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LUK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Luke 1:1</w:t>
      </w:r>
      <w:r>
        <w:rPr>
          <w:lang w:val="en_US" w:bidi="en_US"/>
        </w:rPr>
      </w:r>
    </w:p>
    <w:p>
      <w:pPr>
        <w:pStyle w:val="Heading4"/>
      </w:pPr>
      <w:r>
        <w:rPr>
          <w:lang w:val="en_US" w:bidi="en_US"/>
        </w:rPr>
        <w:t>Section 1:1–4: Luke wrote this book about Jesus for Theophilus</w:t>
      </w:r>
    </w:p>
    <w:p>
      <w:pPr/>
      <w:r>
        <w:rPr>
          <w:lang w:val="en_US" w:bidi="en_US"/>
        </w:rPr>
      </w:r>
      <w:r>
        <w:rPr>
          <w:lang w:val="en_US" w:bidi="en_US"/>
        </w:rPr>
        <w:t>In these Notes, Luke 1:1–4 is both a division and a section of the book of Luke. You may want to include a section heading here. It is good to read the verses before you decide on a heading for the section.</w:t>
      </w:r>
    </w:p>
    <w:p>
      <w:pPr/>
      <w:r>
        <w:rPr>
          <w:lang w:val="en_US" w:bidi="en_US"/>
        </w:rPr>
      </w:r>
      <w:r>
        <w:rPr>
          <w:lang w:val="en_US" w:bidi="en_US"/>
        </w:rPr>
        <w:t>Some other possible headings for this section are:</w:t>
      </w:r>
    </w:p>
    <w:p>
      <w:pPr/>
      <w:r>
        <w:rPr>
          <w:lang w:val="en_US" w:bidi="en_US"/>
        </w:rPr>
      </w:r>
      <w:r>
        <w:rPr>
          <w:lang w:val="en_US" w:bidi="en_US"/>
        </w:rPr>
        <w:t>Luke writes to Theophilus about Jesus</w:t>
      </w:r>
    </w:p>
    <w:p>
      <w:pPr/>
      <w:r>
        <w:rPr>
          <w:lang w:val="en_US" w:bidi="en_US"/>
        </w:rPr>
      </w:r>
      <w:r>
        <w:rPr>
          <w:lang w:val="en_US" w:bidi="en_US"/>
        </w:rPr>
        <w:t>Luke addressed this book to Theophilus</w:t>
      </w:r>
    </w:p>
    <w:p>
      <w:pPr/>
      <w:r>
        <w:rPr>
          <w:lang w:val="en_US" w:bidi="en_US"/>
        </w:rPr>
      </w:r>
      <w:r>
        <w:rPr>
          <w:lang w:val="en_US" w:bidi="en_US"/>
        </w:rPr>
        <w:t>Luke’s purpose in writing this book</w:t>
      </w:r>
    </w:p>
    <w:p>
      <w:pPr>
        <w:pStyle w:val="Heading4"/>
      </w:pPr>
      <w:r>
        <w:rPr>
          <w:lang w:val="en_US" w:bidi="en_US"/>
        </w:rPr>
        <w:t>Paragraph 1:1–4</w:t>
      </w:r>
    </w:p>
    <w:p>
      <w:pPr/>
      <w:r>
        <w:rPr>
          <w:lang w:val="en_US" w:bidi="en_US"/>
        </w:rPr>
      </w:r>
      <w:r>
        <w:rPr>
          <w:lang w:val="en_US" w:bidi="en_US"/>
        </w:rPr>
        <w:t>Paragraph 1:1–4 in the Greek text is one long sentence. In some languages, it may be natural to use more than one sentence for this paragraph. For example, the GNT uses four sentences.</w:t>
      </w:r>
    </w:p>
    <w:p>
      <w:pPr/>
      <w:r>
        <w:rPr>
          <w:lang w:val="en_US" w:bidi="en_US"/>
        </w:rPr>
      </w:r>
      <w:r>
        <w:rPr>
          <w:lang w:val="en_US" w:bidi="en_US"/>
        </w:rPr>
        <w:t>The Greek sentence in 1:1–4 talks about several events and ideas. It mentions them in an order that may not be natural in some languages. Here are the main ideas:</w:t>
      </w:r>
    </w:p>
    <w:p>
      <w:pPr>
        <w:pStyle w:val="ListNumber"/>
        <w:numPr>
          <w:ilvl w:val="0"/>
          <w:numId w:val="14"/>
        </w:numPr>
        <w:spacing w:line="240" w:lineRule="auto"/>
        <w:ind w:left="720"/>
      </w:pPr>
      <w:r>
        <w:rPr>
          <w:lang w:val="en_US" w:bidi="en_US"/>
        </w:rPr>
      </w:r>
      <w:r>
        <w:rPr>
          <w:lang w:val="en_US" w:bidi="en_US"/>
        </w:rPr>
        <w:t>Many people attempted to compile an account of what happened among them (that is, of Jesus’ life) (1:1a–b).</w:t>
      </w:r>
    </w:p>
    <w:p>
      <w:pPr>
        <w:pStyle w:val="ListNumber"/>
        <w:spacing w:line="240" w:lineRule="auto"/>
        <w:ind w:left="720"/>
      </w:pPr>
      <w:r>
        <w:rPr>
          <w:lang w:val="en_US" w:bidi="en_US"/>
        </w:rPr>
      </w:r>
      <w:r>
        <w:rPr>
          <w:lang w:val="en_US" w:bidi="en_US"/>
        </w:rPr>
        <w:t>They wrote what eyewitnesses told them (1:2a–c).</w:t>
      </w:r>
    </w:p>
    <w:p>
      <w:pPr>
        <w:pStyle w:val="ListNumber"/>
        <w:spacing w:line="240" w:lineRule="auto"/>
        <w:ind w:left="720"/>
      </w:pPr>
      <w:r>
        <w:rPr>
          <w:lang w:val="en_US" w:bidi="en_US"/>
        </w:rPr>
      </w:r>
      <w:r>
        <w:rPr>
          <w:lang w:val="en_US" w:bidi="en_US"/>
        </w:rPr>
        <w:t>Luke also investigated all those things carefully (1:3a).</w:t>
      </w:r>
    </w:p>
    <w:p>
      <w:pPr>
        <w:pStyle w:val="ListNumber"/>
        <w:spacing w:line="240" w:lineRule="auto"/>
        <w:ind w:left="720"/>
      </w:pPr>
      <w:r>
        <w:rPr>
          <w:lang w:val="en_US" w:bidi="en_US"/>
        </w:rPr>
      </w:r>
      <w:r>
        <w:rPr>
          <w:lang w:val="en_US" w:bidi="en_US"/>
        </w:rPr>
        <w:t>Luke thought that he also should write those things in an orderly way for Theophilus (1:3b).</w:t>
      </w:r>
    </w:p>
    <w:p>
      <w:pPr>
        <w:pStyle w:val="ListNumber"/>
        <w:spacing w:line="240" w:lineRule="auto"/>
        <w:ind w:left="720"/>
      </w:pPr>
      <w:r>
        <w:rPr>
          <w:lang w:val="en_US" w:bidi="en_US"/>
        </w:rPr>
      </w:r>
      <w:r>
        <w:rPr>
          <w:lang w:val="en_US" w:bidi="en_US"/>
        </w:rPr>
        <w:t>Luke did this so that Theophilus could know that what he was taught was accurate (1:4).</w:t>
      </w:r>
    </w:p>
    <w:p>
      <w:pPr/>
      <w:r>
        <w:rPr>
          <w:lang w:val="en_US" w:bidi="en_US"/>
        </w:rPr>
      </w:r>
      <w:r>
        <w:rPr>
          <w:lang w:val="en_US" w:bidi="en_US"/>
        </w:rPr>
        <w:t>You should present these ideas in an order that is natural in your language. See the General Comments on 1:2a–c and 1:1–2 at the end of the notes on 1:2b–c for specific suggestions.</w:t>
      </w:r>
    </w:p>
    <w:p>
      <w:pPr/>
      <w:r>
        <w:rPr>
          <w:lang w:val="en_US" w:bidi="en_US"/>
        </w:rPr>
      </w:r>
      <w:r>
        <w:rPr>
          <w:lang w:val="en_US" w:bidi="en_US"/>
        </w:rPr>
        <w:t>You also need to think about how to connect the clauses. For example, in English there are different ways to connect the reasons in (a)-(c) with the result in (d):</w:t>
      </w:r>
    </w:p>
    <w:p>
      <w:pPr/>
      <w:r>
        <w:rPr>
          <w:lang w:val="en_US" w:bidi="en_US"/>
        </w:rPr>
      </w:r>
      <w:r>
        <w:rPr>
          <w:vertAlign w:val="superscript"/>
          <w:lang w:val="en_US" w:bidi="en_US"/>
        </w:rPr>
        <w:t>1a</w:t>
      </w:r>
      <w:r>
        <w:rPr>
          <w:lang w:val="en_US" w:bidi="en_US"/>
        </w:rPr>
        <w:t xml:space="preserve"> </w:t>
      </w:r>
      <w:r>
        <w:rPr>
          <w:u w:val="single"/>
          <w:lang w:val="en_US" w:bidi="en_US"/>
        </w:rPr>
        <w:t>Since</w:t>
      </w:r>
      <w:r>
        <w:rPr>
          <w:lang w:val="en_US" w:bidi="en_US"/>
        </w:rPr>
        <w:t xml:space="preserve"> many others have written a report on the things that have happened…</w:t>
      </w:r>
    </w:p>
    <w:p>
      <w:pPr/>
      <w:r>
        <w:rPr>
          <w:lang w:val="en_US" w:bidi="en_US"/>
        </w:rPr>
      </w:r>
      <w:r>
        <w:rPr>
          <w:vertAlign w:val="superscript"/>
          <w:lang w:val="en_US" w:bidi="en_US"/>
        </w:rPr>
        <w:t>3b</w:t>
      </w:r>
      <w:r>
        <w:rPr>
          <w:lang w:val="en_US" w:bidi="en_US"/>
        </w:rPr>
        <w:t>it seemed good for me to also write a report…. (See 1:1–4 in the RSV, NASB, NJB, KJV for similar examples.)</w:t>
      </w:r>
    </w:p>
    <w:p>
      <w:pPr/>
      <w:r>
        <w:rPr>
          <w:lang w:val="en_US" w:bidi="en_US"/>
        </w:rPr>
      </w:r>
      <w:r>
        <w:rPr>
          <w:vertAlign w:val="superscript"/>
          <w:lang w:val="en_US" w:bidi="en_US"/>
        </w:rPr>
        <w:t>1a</w:t>
      </w:r>
      <w:r>
        <w:rPr>
          <w:lang w:val="en_US" w:bidi="en_US"/>
        </w:rPr>
        <w:t>Many others have written a report on the things that have happened….</w:t>
      </w:r>
    </w:p>
    <w:p>
      <w:pPr/>
      <w:r>
        <w:rPr>
          <w:lang w:val="en_US" w:bidi="en_US"/>
        </w:rPr>
      </w:r>
      <w:r>
        <w:rPr>
          <w:vertAlign w:val="superscript"/>
          <w:lang w:val="en_US" w:bidi="en_US"/>
        </w:rPr>
        <w:t>3b</w:t>
      </w:r>
      <w:r>
        <w:rPr>
          <w:lang w:val="en_US" w:bidi="en_US"/>
        </w:rPr>
        <w:t xml:space="preserve"> </w:t>
      </w:r>
      <w:r>
        <w:rPr>
          <w:u w:val="single"/>
          <w:lang w:val="en_US" w:bidi="en_US"/>
        </w:rPr>
        <w:t>Therefore</w:t>
      </w:r>
      <w:r>
        <w:rPr>
          <w:lang w:val="en_US" w:bidi="en_US"/>
        </w:rPr>
        <w:t xml:space="preserve"> it seemed good for me to also write a report. (See 1:1–4 in the BSB, NIV, GNT, NET, CEV, GW, and JBP for similar examples.)</w:t>
      </w:r>
    </w:p>
    <w:p>
      <w:pPr/>
      <w:r>
        <w:rPr>
          <w:lang w:val="en_US" w:bidi="en_US"/>
        </w:rPr>
      </w:r>
      <w:r>
        <w:rPr>
          <w:lang w:val="en_US" w:bidi="en_US"/>
        </w:rPr>
        <w:t>You should connect the clauses in the most natural way in your language.</w:t>
      </w:r>
    </w:p>
    <w:p>
      <w:pPr/>
      <w:r>
        <w:rPr>
          <w:lang w:val="en_US" w:bidi="en_US"/>
        </w:rPr>
      </w:r>
      <w:r>
        <w:rPr>
          <w:lang w:val="en_US" w:bidi="en_US"/>
        </w:rPr>
        <w:t>Luke did not address Theophilus by name until near the end of his introduction. In some languages, it may be more appropriate to begin the introduction with Theophilus’ name. See the Display for 1:1a for an example.</w:t>
      </w:r>
    </w:p>
    <w:p>
      <w:pPr>
        <w:pStyle w:val="Heading5"/>
      </w:pPr>
      <w:r>
        <w:rPr>
          <w:lang w:val="en_US" w:bidi="en_US"/>
        </w:rPr>
        <w:t>1:1a</w:t>
      </w:r>
    </w:p>
    <w:p>
      <w:pPr/>
      <w:r>
        <w:rPr>
          <w:lang w:val="en_US" w:bidi="en_US"/>
        </w:rPr>
      </w:r>
      <w:r>
        <w:rPr>
          <w:b/>
          <w:lang w:val="en_US" w:bidi="en_US"/>
        </w:rPr>
        <w:t>Many have undertaken to compose an account of</w:t>
      </w:r>
    </w:p>
    <w:p>
      <w:pPr>
        <w:pStyle w:val="ListBullet"/>
        <w:spacing w:line="240" w:lineRule="auto"/>
        <w:ind w:left="720"/>
      </w:pPr>
      <w:r>
        <w:rPr>
          <w:lang w:val="en_US" w:bidi="en_US"/>
        </w:rPr>
      </w:r>
      <w:r>
        <w:rPr>
          <w:lang w:val="en_US" w:bidi="en_US"/>
        </w:rPr>
        <w:t xml:space="preserve">¶ Many </w:t>
      </w:r>
      <w:r>
        <w:rPr>
          <w:lang w:val="en_US" w:bidi="en_US"/>
        </w:rPr>
        <w:t>people</w:t>
      </w:r>
      <w:r>
        <w:rPr>
          <w:lang w:val="en_US" w:bidi="en_US"/>
        </w:rPr>
        <w:t xml:space="preserve"> have attempted/tried to compile an orderly account of</w:t>
      </w:r>
    </w:p>
    <w:p>
      <w:pPr>
        <w:pStyle w:val="ListBullet"/>
        <w:spacing w:line="240" w:lineRule="auto"/>
        <w:ind w:left="720"/>
      </w:pPr>
      <w:r>
        <w:rPr>
          <w:lang w:val="en_US" w:bidi="en_US"/>
        </w:rPr>
      </w:r>
      <w:r>
        <w:rPr>
          <w:lang w:val="en_US" w:bidi="en_US"/>
        </w:rPr>
        <w:t xml:space="preserve">¶ </w:t>
      </w:r>
      <w:r>
        <w:rPr>
          <w:lang w:val="en_US" w:bidi="en_US"/>
        </w:rPr>
        <w:t>Most excellent/honorable Theophilus,</w:t>
      </w:r>
      <w:r>
        <w:rPr>
          <w:lang w:val="en_US" w:bidi="en_US"/>
        </w:rPr>
        <w:t xml:space="preserve"> many </w:t>
      </w:r>
      <w:r>
        <w:rPr>
          <w:lang w:val="en_US" w:bidi="en_US"/>
        </w:rPr>
        <w:t>other authors</w:t>
      </w:r>
      <w:r>
        <w:rPr>
          <w:lang w:val="en_US" w:bidi="en_US"/>
        </w:rPr>
        <w:t xml:space="preserve"> have worked hard to write a report/history of</w:t>
      </w:r>
    </w:p>
    <w:p>
      <w:pPr>
        <w:pStyle w:val="ListBullet"/>
        <w:spacing w:line="240" w:lineRule="auto"/>
        <w:ind w:left="720"/>
      </w:pPr>
      <w:r>
        <w:rPr>
          <w:lang w:val="en_US" w:bidi="en_US"/>
        </w:rPr>
      </w:r>
      <w:r>
        <w:rPr>
          <w:lang w:val="en_US" w:bidi="en_US"/>
        </w:rPr>
        <w:t xml:space="preserve">¶ </w:t>
      </w:r>
      <w:r>
        <w:rPr>
          <w:lang w:val="en_US" w:bidi="en_US"/>
        </w:rPr>
        <w:t>Respected Theophilus,</w:t>
      </w:r>
      <w:r>
        <w:rPr>
          <w:lang w:val="en_US" w:bidi="en_US"/>
        </w:rPr>
        <w:t xml:space="preserve"> many </w:t>
      </w:r>
      <w:r>
        <w:rPr>
          <w:lang w:val="en_US" w:bidi="en_US"/>
        </w:rPr>
        <w:t>men</w:t>
      </w:r>
      <w:r>
        <w:rPr>
          <w:lang w:val="en_US" w:bidi="en_US"/>
        </w:rPr>
        <w:t xml:space="preserve"> have already written about</w:t>
      </w:r>
    </w:p>
    <w:p>
      <w:pPr/>
      <w:r>
        <w:rPr>
          <w:lang w:val="en_US" w:bidi="en_US"/>
        </w:rPr>
      </w:r>
      <w:r>
        <w:rPr>
          <w:lang w:val="en_US" w:bidi="en_US"/>
        </w:rPr>
        <w:t>In Greek this sentence begins with a word that means “since.” See the notes above about connecting clauses and decide the best way to connect the clauses of Luke 1:1–4 in your language. (The BSB uses the word “Therefore” in 1:3 to connect the clauses, and so it does not begin with “Since” here.).</w:t>
      </w:r>
    </w:p>
    <w:p>
      <w:pPr/>
      <w:r>
        <w:rPr>
          <w:lang w:val="en_US" w:bidi="en_US"/>
        </w:rPr>
      </w:r>
      <w:r>
        <w:rPr>
          <w:b/>
          <w:lang w:val="en_US" w:bidi="en_US"/>
        </w:rPr>
        <w:t>Many:</w:t>
      </w:r>
      <w:r>
        <w:rPr>
          <w:lang w:val="en_US" w:bidi="en_US"/>
        </w:rPr>
        <w:t xml:space="preserve"> The Greek word that the BSB has translated literally as </w:t>
      </w:r>
      <w:r>
        <w:rPr>
          <w:i/>
          <w:lang w:val="en_US" w:bidi="en_US"/>
        </w:rPr>
        <w:t>Many</w:t>
      </w:r>
      <w:r>
        <w:rPr>
          <w:lang w:val="en_US" w:bidi="en_US"/>
        </w:rPr>
        <w:t xml:space="preserve"> here means “Many people.” In this context it may also be possible to translate this as “Many authors/writers.” In the Jewish culture of New Testament times, usually only men were able to write. So it is also possible to translate this as “Many men.”</w:t>
      </w:r>
    </w:p>
    <w:p>
      <w:pPr/>
      <w:r>
        <w:rPr>
          <w:lang w:val="en_US" w:bidi="en_US"/>
        </w:rPr>
      </w:r>
      <w:r>
        <w:rPr>
          <w:lang w:val="en_US" w:bidi="en_US"/>
        </w:rPr>
        <w:t xml:space="preserve">Luke himself planned to write an account of the life of Jesus as these </w:t>
      </w:r>
      <w:r>
        <w:rPr>
          <w:i/>
          <w:lang w:val="en_US" w:bidi="en_US"/>
        </w:rPr>
        <w:t>Many</w:t>
      </w:r>
      <w:r>
        <w:rPr>
          <w:lang w:val="en_US" w:bidi="en_US"/>
        </w:rPr>
        <w:t xml:space="preserve"> people had done. So, in some languages it may be necessary to say:</w:t>
      </w:r>
    </w:p>
    <w:p>
      <w:pPr/>
      <w:r>
        <w:rPr>
          <w:lang w:val="en_US" w:bidi="en_US"/>
        </w:rPr>
      </w:r>
      <w:r>
        <w:rPr>
          <w:lang w:val="en_US" w:bidi="en_US"/>
        </w:rPr>
        <w:t xml:space="preserve">Many </w:t>
      </w:r>
      <w:r>
        <w:rPr>
          <w:lang w:val="en_US" w:bidi="en_US"/>
        </w:rPr>
        <w:t>others</w:t>
      </w:r>
    </w:p>
    <w:p>
      <w:pPr/>
      <w:r>
        <w:rPr>
          <w:lang w:val="en_US" w:bidi="en_US"/>
        </w:rPr>
      </w:r>
      <w:r>
        <w:rPr>
          <w:b/>
          <w:lang w:val="en_US" w:bidi="en_US"/>
        </w:rPr>
        <w:t>undertaken:</w:t>
      </w:r>
      <w:r>
        <w:rPr>
          <w:lang w:val="en_US" w:bidi="en_US"/>
        </w:rPr>
        <w:t xml:space="preserve"> The Greek word that the BSB translates as </w:t>
      </w:r>
      <w:r>
        <w:rPr>
          <w:i/>
          <w:lang w:val="en_US" w:bidi="en_US"/>
        </w:rPr>
        <w:t>undertaken</w:t>
      </w:r>
      <w:r>
        <w:rPr>
          <w:lang w:val="en_US" w:bidi="en_US"/>
        </w:rPr>
        <w:t xml:space="preserve"> means “attempted” or “tried.” Luke implied here that others had worked hard to write the story of Jesus’ life. He also implied that it was difficult to gather all the facts and write them down accurately and completely. However, he was not criticizing the others’ writings. He did not imply that they had failed in their attempts. Other ways to say this are:</w:t>
      </w:r>
    </w:p>
    <w:p>
      <w:pPr/>
      <w:r>
        <w:rPr>
          <w:lang w:val="en_US" w:bidi="en_US"/>
        </w:rPr>
      </w:r>
      <w:r>
        <w:rPr>
          <w:lang w:val="en_US" w:bidi="en_US"/>
        </w:rPr>
        <w:t>worked hard</w:t>
      </w:r>
    </w:p>
    <w:p>
      <w:pPr/>
      <w:r>
        <w:rPr>
          <w:lang w:val="en_US" w:bidi="en_US"/>
        </w:rPr>
      </w:r>
      <w:r>
        <w:rPr>
          <w:lang w:val="en_US" w:bidi="en_US"/>
        </w:rPr>
        <w:t>done their best (GNT)</w:t>
      </w:r>
    </w:p>
    <w:p>
      <w:pPr/>
      <w:r>
        <w:rPr>
          <w:lang w:val="en_US" w:bidi="en_US"/>
        </w:rPr>
      </w:r>
      <w:r>
        <w:rPr>
          <w:b/>
          <w:lang w:val="en_US" w:bidi="en_US"/>
        </w:rPr>
        <w:t>to compose an account:</w:t>
      </w:r>
      <w:r>
        <w:rPr>
          <w:lang w:val="en_US" w:bidi="en_US"/>
        </w:rPr>
        <w:t xml:space="preserve"> The Greek phrase that the BSB translates as </w:t>
      </w:r>
      <w:r>
        <w:rPr>
          <w:i/>
          <w:lang w:val="en_US" w:bidi="en_US"/>
        </w:rPr>
        <w:t>to compose an account</w:t>
      </w:r>
      <w:r>
        <w:rPr>
          <w:lang w:val="en_US" w:bidi="en_US"/>
        </w:rPr>
        <w:t xml:space="preserve"> means to gather reports of different events and put them together to make one longer story. In this context the writers told about many of Jesus’ actions and teachings as they told the story of his life.</w:t>
      </w:r>
    </w:p>
    <w:p>
      <w:pPr/>
      <w:r>
        <w:rPr>
          <w:lang w:val="en_US" w:bidi="en_US"/>
        </w:rPr>
      </w:r>
      <w:r>
        <w:rPr>
          <w:lang w:val="en_US" w:bidi="en_US"/>
        </w:rPr>
        <w:t>Some other ways to translate this phrase are:</w:t>
      </w:r>
    </w:p>
    <w:p>
      <w:pPr/>
      <w:r>
        <w:rPr>
          <w:lang w:val="en_US" w:bidi="en_US"/>
        </w:rPr>
      </w:r>
      <w:r>
        <w:rPr>
          <w:lang w:val="en_US" w:bidi="en_US"/>
        </w:rPr>
        <w:t>to compose/write the story</w:t>
      </w:r>
    </w:p>
    <w:p>
      <w:pPr/>
      <w:r>
        <w:rPr>
          <w:lang w:val="en_US" w:bidi="en_US"/>
        </w:rPr>
      </w:r>
      <w:r>
        <w:rPr>
          <w:lang w:val="en_US" w:bidi="en_US"/>
        </w:rPr>
        <w:t>to organize a history/narrative</w:t>
      </w:r>
    </w:p>
    <w:p>
      <w:pPr/>
      <w:r>
        <w:rPr>
          <w:lang w:val="en_US" w:bidi="en_US"/>
        </w:rPr>
      </w:r>
      <w:r>
        <w:rPr>
          <w:lang w:val="en_US" w:bidi="en_US"/>
        </w:rPr>
        <w:t>to write a report (GNT)</w:t>
      </w:r>
    </w:p>
    <w:p>
      <w:pPr/>
      <w:r>
        <w:rPr>
          <w:lang w:val="en_US" w:bidi="en_US"/>
        </w:rPr>
      </w:r>
      <w:r>
        <w:rPr>
          <w:lang w:val="en_US" w:bidi="en_US"/>
        </w:rPr>
        <w:t>to write about what had taken place (GW)</w:t>
      </w:r>
    </w:p>
    <w:p>
      <w:pPr>
        <w:pStyle w:val="Heading5"/>
      </w:pPr>
      <w:r>
        <w:rPr>
          <w:lang w:val="en_US" w:bidi="en_US"/>
        </w:rPr>
        <w:t>1:1b</w:t>
      </w:r>
    </w:p>
    <w:p>
      <w:pPr/>
      <w:r>
        <w:rPr>
          <w:lang w:val="en_US" w:bidi="en_US"/>
        </w:rPr>
      </w:r>
      <w:r>
        <w:rPr>
          <w:b/>
          <w:lang w:val="en_US" w:bidi="en_US"/>
        </w:rPr>
        <w:t>the things that have been fulfilled among us,</w:t>
      </w:r>
    </w:p>
    <w:p>
      <w:pPr>
        <w:pStyle w:val="ListBullet"/>
        <w:spacing w:line="240" w:lineRule="auto"/>
        <w:ind w:left="720"/>
      </w:pPr>
      <w:r>
        <w:rPr>
          <w:lang w:val="en_US" w:bidi="en_US"/>
        </w:rPr>
      </w:r>
      <w:r>
        <w:rPr>
          <w:lang w:val="en_US" w:bidi="en_US"/>
        </w:rPr>
        <w:t xml:space="preserve">the events that happened among us in fulfillment </w:t>
      </w:r>
      <w:r>
        <w:rPr>
          <w:lang w:val="en_US" w:bidi="en_US"/>
        </w:rPr>
        <w:t>of what God had said</w:t>
      </w:r>
      <w:r>
        <w:rPr>
          <w:lang w:val="en_US" w:bidi="en_US"/>
        </w:rPr>
        <w:t>.</w:t>
      </w:r>
    </w:p>
    <w:p>
      <w:pPr>
        <w:pStyle w:val="ListBullet"/>
        <w:spacing w:line="240" w:lineRule="auto"/>
        <w:ind w:left="720"/>
      </w:pPr>
      <w:r>
        <w:rPr>
          <w:lang w:val="en_US" w:bidi="en_US"/>
        </w:rPr>
      </w:r>
      <w:r>
        <w:rPr>
          <w:lang w:val="en_US" w:bidi="en_US"/>
        </w:rPr>
        <w:t xml:space="preserve">the things </w:t>
      </w:r>
      <w:r>
        <w:rPr>
          <w:lang w:val="en_US" w:bidi="en_US"/>
        </w:rPr>
        <w:t>about Jesus</w:t>
      </w:r>
      <w:r>
        <w:rPr>
          <w:lang w:val="en_US" w:bidi="en_US"/>
        </w:rPr>
        <w:t xml:space="preserve"> that were fulfilled among us.</w:t>
      </w:r>
      <w:r>
        <w:rPr>
          <w:vertAlign w:val="superscript"/>
          <w:lang w:val="en_US" w:bidi="en_US"/>
        </w:rPr>
        <w:t>(excl)</w:t>
      </w:r>
    </w:p>
    <w:p>
      <w:pPr>
        <w:pStyle w:val="ListBullet"/>
        <w:spacing w:line="240" w:lineRule="auto"/>
        <w:ind w:left="720"/>
      </w:pPr>
      <w:r>
        <w:rPr>
          <w:lang w:val="en_US" w:bidi="en_US"/>
        </w:rPr>
      </w:r>
      <w:r>
        <w:rPr>
          <w:lang w:val="en_US" w:bidi="en_US"/>
        </w:rPr>
        <w:t xml:space="preserve">the events </w:t>
      </w:r>
      <w:r>
        <w:rPr>
          <w:lang w:val="en_US" w:bidi="en_US"/>
        </w:rPr>
        <w:t>of Jesus’ life</w:t>
      </w:r>
      <w:r>
        <w:rPr>
          <w:lang w:val="en_US" w:bidi="en_US"/>
        </w:rPr>
        <w:t xml:space="preserve"> that </w:t>
      </w:r>
      <w:r>
        <w:rPr>
          <w:lang w:val="en_US" w:bidi="en_US"/>
        </w:rPr>
        <w:t>God</w:t>
      </w:r>
      <w:r>
        <w:rPr>
          <w:lang w:val="en_US" w:bidi="en_US"/>
        </w:rPr>
        <w:t xml:space="preserve"> caused to happen among us</w:t>
      </w:r>
      <w:r>
        <w:rPr>
          <w:vertAlign w:val="superscript"/>
          <w:lang w:val="en_US" w:bidi="en_US"/>
        </w:rPr>
        <w:t>(excl)</w:t>
      </w:r>
      <w:r>
        <w:rPr>
          <w:lang w:val="en_US" w:bidi="en_US"/>
        </w:rPr>
        <w:t xml:space="preserve"> </w:t>
      </w:r>
      <w:r>
        <w:rPr>
          <w:lang w:val="en_US" w:bidi="en_US"/>
        </w:rPr>
        <w:t>believers</w:t>
      </w:r>
      <w:r>
        <w:rPr>
          <w:lang w:val="en_US" w:bidi="en_US"/>
        </w:rPr>
        <w:t>, just as he had promised/said.</w:t>
      </w:r>
    </w:p>
    <w:p>
      <w:pPr/>
      <w:r>
        <w:rPr>
          <w:lang w:val="en_US" w:bidi="en_US"/>
        </w:rPr>
      </w:r>
      <w:r>
        <w:rPr>
          <w:b/>
          <w:lang w:val="en_US" w:bidi="en_US"/>
        </w:rPr>
        <w:t>the things that have been fulfilled:</w:t>
      </w:r>
      <w:r>
        <w:rPr>
          <w:lang w:val="en_US" w:bidi="en_US"/>
        </w:rPr>
        <w:t xml:space="preserve"> The Greek phrase that the BSB translates as </w:t>
      </w:r>
      <w:r>
        <w:rPr>
          <w:i/>
          <w:lang w:val="en_US" w:bidi="en_US"/>
        </w:rPr>
        <w:t>the things that have been fulfilled</w:t>
      </w:r>
      <w:r>
        <w:rPr>
          <w:lang w:val="en_US" w:bidi="en_US"/>
        </w:rPr>
        <w:t xml:space="preserve"> refers to the events of Jesus’ life, death, and resurrection. There are several ways</w:t>
      </w:r>
      <w:r>
        <w:rPr>
          <w:lang w:val="en_US" w:bidi="en_US"/>
        </w:rPr>
        <w:t>Another possible interpretation is represented by the KJV. The phrase that the BSB translates as “things that have been fulfilled among us” may mean “the things that have been fully believed among us.” The verb would refer to fullness in the sense of being fully/completely convinced. The KJV says “those things which are most surely believed among us.” One other interpretation refers to fullness in the sense of fullness of knowledge. For example, “the things that are most widely known among us.”</w:t>
      </w:r>
      <w:r>
        <w:rPr>
          <w:lang w:val="en_US" w:bidi="en_US"/>
        </w:rPr>
        <w:t xml:space="preserve"> to interpret the verb </w:t>
      </w:r>
      <w:r>
        <w:rPr>
          <w:i/>
          <w:lang w:val="en_US" w:bidi="en_US"/>
        </w:rPr>
        <w:t>have been fulfilled</w:t>
      </w:r>
      <w:r>
        <w:rPr>
          <w:lang w:val="en_US" w:bidi="en_US"/>
        </w:rPr>
        <w:t xml:space="preserve"> in this context:</w:t>
      </w:r>
    </w:p>
    <w:p>
      <w:pPr>
        <w:pStyle w:val="ListNumber"/>
        <w:numPr>
          <w:ilvl w:val="0"/>
          <w:numId w:val="15"/>
        </w:numPr>
        <w:spacing w:line="240" w:lineRule="auto"/>
        <w:ind w:left="720"/>
      </w:pPr>
      <w:r>
        <w:rPr>
          <w:lang w:val="en_US" w:bidi="en_US"/>
        </w:rPr>
      </w:r>
      <w:r>
        <w:rPr>
          <w:lang w:val="en_US" w:bidi="en_US"/>
        </w:rPr>
        <w:t xml:space="preserve">It means that the events </w:t>
      </w:r>
      <w:r>
        <w:rPr>
          <w:u w:val="single"/>
          <w:lang w:val="en_US" w:bidi="en_US"/>
        </w:rPr>
        <w:t>have been fulfilled</w:t>
      </w:r>
      <w:r>
        <w:rPr>
          <w:lang w:val="en_US" w:bidi="en_US"/>
        </w:rPr>
        <w:t>. This implies that the events had been planned and predicted before they happened, and the events happened just as predicted. For example:</w:t>
      </w:r>
      <w:r>
        <w:rPr>
          <w:lang w:val="en_US" w:bidi="en_US"/>
        </w:rPr>
        <w:t xml:space="preserve">the events that have been fulfilled (NRSV) </w:t>
      </w:r>
      <w:r>
        <w:rPr>
          <w:i/>
          <w:lang w:val="en_US" w:bidi="en_US"/>
        </w:rPr>
        <w:t>(BSB, NRSV, NIV, NET, NLT, NJB)</w:t>
      </w:r>
    </w:p>
    <w:p>
      <w:pPr>
        <w:pStyle w:val="ListNumber"/>
        <w:spacing w:line="240" w:lineRule="auto"/>
        <w:ind w:left="720"/>
      </w:pPr>
      <w:r>
        <w:rPr>
          <w:lang w:val="en_US" w:bidi="en_US"/>
        </w:rPr>
      </w:r>
      <w:r>
        <w:rPr>
          <w:lang w:val="en_US" w:bidi="en_US"/>
        </w:rPr>
        <w:t xml:space="preserve">It means simply that the events </w:t>
      </w:r>
      <w:r>
        <w:rPr>
          <w:u w:val="single"/>
          <w:lang w:val="en_US" w:bidi="en_US"/>
        </w:rPr>
        <w:t>have happened</w:t>
      </w:r>
      <w:r>
        <w:rPr>
          <w:lang w:val="en_US" w:bidi="en_US"/>
        </w:rPr>
        <w:t>. For example:</w:t>
      </w:r>
      <w:r>
        <w:rPr>
          <w:lang w:val="en_US" w:bidi="en_US"/>
        </w:rPr>
        <w:t xml:space="preserve">the things that happened (NCV) </w:t>
      </w:r>
      <w:r>
        <w:rPr>
          <w:i/>
          <w:lang w:val="en_US" w:bidi="en_US"/>
        </w:rPr>
        <w:t>(NCV, GNT, GW, REB, NLT96, JBP)</w:t>
      </w:r>
    </w:p>
    <w:p>
      <w:pPr>
        <w:pStyle w:val="ListNumber"/>
        <w:spacing w:line="240" w:lineRule="auto"/>
        <w:ind w:left="720"/>
      </w:pPr>
      <w:r>
        <w:rPr>
          <w:lang w:val="en_US" w:bidi="en_US"/>
        </w:rPr>
      </w:r>
      <w:r>
        <w:rPr>
          <w:lang w:val="en_US" w:bidi="en_US"/>
        </w:rPr>
        <w:t xml:space="preserve">It means that the events </w:t>
      </w:r>
      <w:r>
        <w:rPr>
          <w:u w:val="single"/>
          <w:lang w:val="en_US" w:bidi="en_US"/>
        </w:rPr>
        <w:t>have been accomplished/completed</w:t>
      </w:r>
      <w:r>
        <w:rPr>
          <w:lang w:val="en_US" w:bidi="en_US"/>
        </w:rPr>
        <w:t>. The events were like tasks that were completed. For example:</w:t>
      </w:r>
      <w:r>
        <w:rPr>
          <w:lang w:val="en_US" w:bidi="en_US"/>
        </w:rPr>
        <w:t xml:space="preserve">things which have been accomplished (RSV) </w:t>
      </w:r>
      <w:r>
        <w:rPr>
          <w:i/>
          <w:lang w:val="en_US" w:bidi="en_US"/>
        </w:rPr>
        <w:t>(RSV, NASB, ESV)</w:t>
      </w:r>
    </w:p>
    <w:p>
      <w:pPr/>
      <w:r>
        <w:rPr>
          <w:lang w:val="en_US" w:bidi="en_US"/>
        </w:rPr>
      </w:r>
      <w:r>
        <w:rPr>
          <w:lang w:val="en_US" w:bidi="en_US"/>
        </w:rPr>
        <w:t>It is recommended that you follow interpretation (1). This interpretation includes (2) and (3) as well. The events happened (2), and they were completed (3). However, interpretation (1) expresses the important idea that these events fulfilled what had been predicted. That is, God said that they would happen, and they did happen, just as he said. The fulfillment of prophecy is a theme in Luke. (See Luke 18:31.)</w:t>
      </w:r>
    </w:p>
    <w:p>
      <w:pPr/>
      <w:r>
        <w:rPr>
          <w:lang w:val="en_US" w:bidi="en_US"/>
        </w:rPr>
      </w:r>
      <w:r>
        <w:rPr>
          <w:b/>
          <w:lang w:val="en_US" w:bidi="en_US"/>
        </w:rPr>
        <w:t>things that have been fulfilled:</w:t>
      </w:r>
      <w:r>
        <w:rPr>
          <w:lang w:val="en_US" w:bidi="en_US"/>
        </w:rPr>
        <w:t xml:space="preserve"> The phrase </w:t>
      </w:r>
      <w:r>
        <w:rPr>
          <w:i/>
          <w:lang w:val="en_US" w:bidi="en_US"/>
        </w:rPr>
        <w:t>things that have been fulfilled</w:t>
      </w:r>
      <w:r>
        <w:rPr>
          <w:lang w:val="en_US" w:bidi="en_US"/>
        </w:rPr>
        <w:t xml:space="preserve"> is passive. In some languages it may be necessary to translate it as active and indicate who fulfilled the things. If that is true in your language, you should indicate that </w:t>
      </w:r>
      <w:r>
        <w:rPr>
          <w:u w:val="single"/>
          <w:lang w:val="en_US" w:bidi="en_US"/>
        </w:rPr>
        <w:t>God</w:t>
      </w:r>
      <w:r>
        <w:rPr>
          <w:lang w:val="en_US" w:bidi="en_US"/>
        </w:rPr>
        <w:t xml:space="preserve"> fulfilled them. He fulfilled them by causing the events to happen just as he had said they would. He fulfilled many of these events through Jesus. He caused Jesus to be born and to die for people’s sins, and he raised Jesus from the dead.</w:t>
      </w:r>
    </w:p>
    <w:p>
      <w:pPr/>
      <w:r>
        <w:rPr>
          <w:lang w:val="en_US" w:bidi="en_US"/>
        </w:rPr>
      </w:r>
      <w:r>
        <w:rPr>
          <w:lang w:val="en_US" w:bidi="en_US"/>
        </w:rPr>
        <w:t xml:space="preserve">Some other ways to translate </w:t>
      </w:r>
      <w:r>
        <w:rPr>
          <w:i/>
          <w:lang w:val="en_US" w:bidi="en_US"/>
        </w:rPr>
        <w:t>things that have been fulfilled</w:t>
      </w:r>
      <w:r>
        <w:rPr>
          <w:lang w:val="en_US" w:bidi="en_US"/>
        </w:rPr>
        <w:t xml:space="preserve"> are:</w:t>
      </w:r>
    </w:p>
    <w:p>
      <w:pPr/>
      <w:r>
        <w:rPr>
          <w:lang w:val="en_US" w:bidi="en_US"/>
        </w:rPr>
      </w:r>
      <w:r>
        <w:rPr>
          <w:lang w:val="en_US" w:bidi="en_US"/>
        </w:rPr>
        <w:t>things that happened just as God said they would</w:t>
      </w:r>
    </w:p>
    <w:p>
      <w:pPr/>
      <w:r>
        <w:rPr>
          <w:lang w:val="en_US" w:bidi="en_US"/>
        </w:rPr>
      </w:r>
      <w:r>
        <w:rPr>
          <w:lang w:val="en_US" w:bidi="en_US"/>
        </w:rPr>
        <w:t>what God has done in fulfillment of his promises (NLT96 in 1:2)</w:t>
      </w:r>
    </w:p>
    <w:p>
      <w:pPr/>
      <w:r>
        <w:rPr>
          <w:lang w:val="en_US" w:bidi="en_US"/>
        </w:rPr>
      </w:r>
      <w:r>
        <w:rPr>
          <w:lang w:val="en_US" w:bidi="en_US"/>
        </w:rPr>
        <w:t xml:space="preserve">things that God did </w:t>
      </w:r>
      <w:r>
        <w:rPr>
          <w:lang w:val="en_US" w:bidi="en_US"/>
        </w:rPr>
        <w:t>through/concerning Jesus</w:t>
      </w:r>
      <w:r>
        <w:rPr>
          <w:lang w:val="en_US" w:bidi="en_US"/>
        </w:rPr>
        <w:t>, just as he said he would do</w:t>
      </w:r>
    </w:p>
    <w:p>
      <w:pPr/>
      <w:r>
        <w:rPr>
          <w:lang w:val="en_US" w:bidi="en_US"/>
        </w:rPr>
      </w:r>
      <w:r>
        <w:rPr>
          <w:b/>
          <w:lang w:val="en_US" w:bidi="en_US"/>
        </w:rPr>
        <w:t>among us:</w:t>
      </w:r>
      <w:r>
        <w:rPr>
          <w:lang w:val="en_US" w:bidi="en_US"/>
        </w:rPr>
        <w:t xml:space="preserve"> The Greek phrase that the BSB translates as </w:t>
      </w:r>
      <w:r>
        <w:rPr>
          <w:i/>
          <w:lang w:val="en_US" w:bidi="en_US"/>
        </w:rPr>
        <w:t>among us</w:t>
      </w:r>
      <w:r>
        <w:rPr>
          <w:lang w:val="en_US" w:bidi="en_US"/>
        </w:rPr>
        <w:t xml:space="preserve"> probably means “among us </w:t>
      </w:r>
      <w:r>
        <w:rPr>
          <w:lang w:val="en_US" w:bidi="en_US"/>
        </w:rPr>
        <w:t>believers</w:t>
      </w:r>
      <w:r>
        <w:rPr>
          <w:lang w:val="en_US" w:bidi="en_US"/>
        </w:rPr>
        <w:t xml:space="preserve">,” that is, “among us </w:t>
      </w:r>
      <w:r>
        <w:rPr>
          <w:lang w:val="en_US" w:bidi="en_US"/>
        </w:rPr>
        <w:t>who believe in Jesus</w:t>
      </w:r>
      <w:r>
        <w:rPr>
          <w:lang w:val="en_US" w:bidi="en_US"/>
        </w:rPr>
        <w:t xml:space="preserve">.” When Luke used this phrase, he probably included Christians who were born after Jesus’ lifetime. The form of the verb that the BSB translates as </w:t>
      </w:r>
      <w:r>
        <w:rPr>
          <w:i/>
          <w:lang w:val="en_US" w:bidi="en_US"/>
        </w:rPr>
        <w:t>fulfilled</w:t>
      </w:r>
      <w:r>
        <w:rPr>
          <w:lang w:val="en_US" w:bidi="en_US"/>
        </w:rPr>
        <w:t xml:space="preserve"> indicates that the events continued to affect people at the time when Luke wrote. Christians of later generations were not present to see the events of Jesus’ life, but those events continued to affect them.</w:t>
      </w:r>
    </w:p>
    <w:p>
      <w:pPr/>
      <w:r>
        <w:rPr>
          <w:lang w:val="en_US" w:bidi="en_US"/>
        </w:rPr>
      </w:r>
      <w:r>
        <w:rPr>
          <w:b/>
          <w:lang w:val="en_US" w:bidi="en_US"/>
        </w:rPr>
        <w:t>us:</w:t>
      </w:r>
      <w:r>
        <w:rPr>
          <w:lang w:val="en_US" w:bidi="en_US"/>
        </w:rPr>
        <w:t xml:space="preserve"> In some languages it is necessary to decide whether Luke meant to include Theophilus when he said </w:t>
      </w:r>
      <w:r>
        <w:rPr>
          <w:i/>
          <w:lang w:val="en_US" w:bidi="en_US"/>
        </w:rPr>
        <w:t>us</w:t>
      </w:r>
      <w:r>
        <w:rPr>
          <w:lang w:val="en_US" w:bidi="en_US"/>
        </w:rPr>
        <w:t>. It is not clear whether Theophilus was a believer at the time when Luke was writing to him. However, he was probably interested in becoming a believer (1:4).</w:t>
      </w:r>
    </w:p>
    <w:p>
      <w:pPr/>
      <w:r>
        <w:rPr>
          <w:lang w:val="en_US" w:bidi="en_US"/>
        </w:rPr>
      </w:r>
      <w:r>
        <w:rPr>
          <w:lang w:val="en_US" w:bidi="en_US"/>
        </w:rPr>
        <w:t>Use a natural form in your language for a speaker to use toward someone who supports his group but perhaps is not yet a member. Remember also that Theophilus was a person of high status. Avoid using a form that would imply rejection or rudeness.</w:t>
      </w:r>
      <w:r>
        <w:rPr>
          <w:lang w:val="en_US" w:bidi="en_US"/>
        </w:rPr>
      </w:r>
      <w:r>
        <w:rPr>
          <w:lang w:val="en_US" w:bidi="en_US"/>
        </w:rPr>
      </w:r>
    </w:p>
    <w:p>
      <w:pPr/>
      <w:r>
        <w:rPr>
          <w:lang w:val="en_US" w:bidi="en_US"/>
        </w:rPr>
      </w:r>
    </w:p>
    <w:p>
      <w:pPr>
        <w:pStyle w:val="Heading2"/>
      </w:pPr>
      <w:r>
        <w:rPr>
          <w:lang w:val="en_US" w:bidi="en_US"/>
        </w:rPr>
        <w:t>Luke 1:2</w:t>
      </w:r>
      <w:r>
        <w:rPr>
          <w:lang w:val="en_US" w:bidi="en_US"/>
        </w:rPr>
      </w:r>
    </w:p>
    <w:p>
      <w:pPr>
        <w:pStyle w:val="Heading4"/>
      </w:pPr>
      <w:r>
        <w:rPr>
          <w:lang w:val="en_US" w:bidi="en_US"/>
        </w:rPr>
        <w:t>Section 1:1–4: Luke wrote this book about Jesus for Theophilus</w:t>
      </w:r>
    </w:p>
    <w:p>
      <w:pPr/>
      <w:r>
        <w:rPr>
          <w:lang w:val="en_US" w:bidi="en_US"/>
        </w:rPr>
      </w:r>
      <w:r>
        <w:rPr>
          <w:lang w:val="en_US" w:bidi="en_US"/>
        </w:rPr>
        <w:t>In these Notes, Luke 1:1–4 is both a division and a section of the book of Luke. You may want to include a section heading here. It is good to read the verses before you decide on a heading for the section.</w:t>
      </w:r>
    </w:p>
    <w:p>
      <w:pPr/>
      <w:r>
        <w:rPr>
          <w:lang w:val="en_US" w:bidi="en_US"/>
        </w:rPr>
      </w:r>
      <w:r>
        <w:rPr>
          <w:lang w:val="en_US" w:bidi="en_US"/>
        </w:rPr>
        <w:t>Some other possible headings for this section are:</w:t>
      </w:r>
    </w:p>
    <w:p>
      <w:pPr/>
      <w:r>
        <w:rPr>
          <w:lang w:val="en_US" w:bidi="en_US"/>
        </w:rPr>
      </w:r>
      <w:r>
        <w:rPr>
          <w:lang w:val="en_US" w:bidi="en_US"/>
        </w:rPr>
        <w:t>Luke writes to Theophilus about Jesus</w:t>
      </w:r>
    </w:p>
    <w:p>
      <w:pPr/>
      <w:r>
        <w:rPr>
          <w:lang w:val="en_US" w:bidi="en_US"/>
        </w:rPr>
      </w:r>
      <w:r>
        <w:rPr>
          <w:lang w:val="en_US" w:bidi="en_US"/>
        </w:rPr>
        <w:t>Luke addressed this book to Theophilus</w:t>
      </w:r>
    </w:p>
    <w:p>
      <w:pPr/>
      <w:r>
        <w:rPr>
          <w:lang w:val="en_US" w:bidi="en_US"/>
        </w:rPr>
      </w:r>
      <w:r>
        <w:rPr>
          <w:lang w:val="en_US" w:bidi="en_US"/>
        </w:rPr>
        <w:t>Luke’s purpose in writing this book</w:t>
      </w:r>
    </w:p>
    <w:p>
      <w:pPr>
        <w:pStyle w:val="Heading4"/>
      </w:pPr>
      <w:r>
        <w:rPr>
          <w:lang w:val="en_US" w:bidi="en_US"/>
        </w:rPr>
        <w:t>Paragraph 1:1–4</w:t>
      </w:r>
    </w:p>
    <w:p>
      <w:pPr/>
      <w:r>
        <w:rPr>
          <w:lang w:val="en_US" w:bidi="en_US"/>
        </w:rPr>
      </w:r>
      <w:r>
        <w:rPr>
          <w:lang w:val="en_US" w:bidi="en_US"/>
        </w:rPr>
        <w:t>Paragraph 1:1–4 in the Greek text is one long sentence. In some languages, it may be natural to use more than one sentence for this paragraph. For example, the GNT uses four sentences.</w:t>
      </w:r>
    </w:p>
    <w:p>
      <w:pPr/>
      <w:r>
        <w:rPr>
          <w:lang w:val="en_US" w:bidi="en_US"/>
        </w:rPr>
      </w:r>
      <w:r>
        <w:rPr>
          <w:lang w:val="en_US" w:bidi="en_US"/>
        </w:rPr>
        <w:t>The Greek sentence in 1:1–4 talks about several events and ideas. It mentions them in an order that may not be natural in some languages. Here are the main ideas:</w:t>
      </w:r>
    </w:p>
    <w:p>
      <w:pPr>
        <w:pStyle w:val="ListNumber"/>
        <w:numPr>
          <w:ilvl w:val="0"/>
          <w:numId w:val="16"/>
        </w:numPr>
        <w:spacing w:line="240" w:lineRule="auto"/>
        <w:ind w:left="720"/>
      </w:pPr>
      <w:r>
        <w:rPr>
          <w:lang w:val="en_US" w:bidi="en_US"/>
        </w:rPr>
      </w:r>
      <w:r>
        <w:rPr>
          <w:lang w:val="en_US" w:bidi="en_US"/>
        </w:rPr>
        <w:t>Many people attempted to compile an account of what happened among them (that is, of Jesus’ life) (1:1a–b).</w:t>
      </w:r>
    </w:p>
    <w:p>
      <w:pPr>
        <w:pStyle w:val="ListNumber"/>
        <w:spacing w:line="240" w:lineRule="auto"/>
        <w:ind w:left="720"/>
      </w:pPr>
      <w:r>
        <w:rPr>
          <w:lang w:val="en_US" w:bidi="en_US"/>
        </w:rPr>
      </w:r>
      <w:r>
        <w:rPr>
          <w:lang w:val="en_US" w:bidi="en_US"/>
        </w:rPr>
        <w:t>They wrote what eyewitnesses told them (1:2a–c).</w:t>
      </w:r>
    </w:p>
    <w:p>
      <w:pPr>
        <w:pStyle w:val="ListNumber"/>
        <w:spacing w:line="240" w:lineRule="auto"/>
        <w:ind w:left="720"/>
      </w:pPr>
      <w:r>
        <w:rPr>
          <w:lang w:val="en_US" w:bidi="en_US"/>
        </w:rPr>
      </w:r>
      <w:r>
        <w:rPr>
          <w:lang w:val="en_US" w:bidi="en_US"/>
        </w:rPr>
        <w:t>Luke also investigated all those things carefully (1:3a).</w:t>
      </w:r>
    </w:p>
    <w:p>
      <w:pPr>
        <w:pStyle w:val="ListNumber"/>
        <w:spacing w:line="240" w:lineRule="auto"/>
        <w:ind w:left="720"/>
      </w:pPr>
      <w:r>
        <w:rPr>
          <w:lang w:val="en_US" w:bidi="en_US"/>
        </w:rPr>
      </w:r>
      <w:r>
        <w:rPr>
          <w:lang w:val="en_US" w:bidi="en_US"/>
        </w:rPr>
        <w:t>Luke thought that he also should write those things in an orderly way for Theophilus (1:3b).</w:t>
      </w:r>
    </w:p>
    <w:p>
      <w:pPr>
        <w:pStyle w:val="ListNumber"/>
        <w:spacing w:line="240" w:lineRule="auto"/>
        <w:ind w:left="720"/>
      </w:pPr>
      <w:r>
        <w:rPr>
          <w:lang w:val="en_US" w:bidi="en_US"/>
        </w:rPr>
      </w:r>
      <w:r>
        <w:rPr>
          <w:lang w:val="en_US" w:bidi="en_US"/>
        </w:rPr>
        <w:t>Luke did this so that Theophilus could know that what he was taught was accurate (1:4).</w:t>
      </w:r>
    </w:p>
    <w:p>
      <w:pPr/>
      <w:r>
        <w:rPr>
          <w:lang w:val="en_US" w:bidi="en_US"/>
        </w:rPr>
      </w:r>
      <w:r>
        <w:rPr>
          <w:lang w:val="en_US" w:bidi="en_US"/>
        </w:rPr>
        <w:t>You should present these ideas in an order that is natural in your language. See the General Comments on 1:2a–c and 1:1–2 at the end of the notes on 1:2b–c for specific suggestions.</w:t>
      </w:r>
    </w:p>
    <w:p>
      <w:pPr/>
      <w:r>
        <w:rPr>
          <w:lang w:val="en_US" w:bidi="en_US"/>
        </w:rPr>
      </w:r>
      <w:r>
        <w:rPr>
          <w:lang w:val="en_US" w:bidi="en_US"/>
        </w:rPr>
        <w:t>You also need to think about how to connect the clauses. For example, in English there are different ways to connect the reasons in (a)-(c) with the result in (d):</w:t>
      </w:r>
    </w:p>
    <w:p>
      <w:pPr/>
      <w:r>
        <w:rPr>
          <w:lang w:val="en_US" w:bidi="en_US"/>
        </w:rPr>
      </w:r>
      <w:r>
        <w:rPr>
          <w:vertAlign w:val="superscript"/>
          <w:lang w:val="en_US" w:bidi="en_US"/>
        </w:rPr>
        <w:t>1a</w:t>
      </w:r>
      <w:r>
        <w:rPr>
          <w:lang w:val="en_US" w:bidi="en_US"/>
        </w:rPr>
        <w:t xml:space="preserve"> </w:t>
      </w:r>
      <w:r>
        <w:rPr>
          <w:u w:val="single"/>
          <w:lang w:val="en_US" w:bidi="en_US"/>
        </w:rPr>
        <w:t>Since</w:t>
      </w:r>
      <w:r>
        <w:rPr>
          <w:lang w:val="en_US" w:bidi="en_US"/>
        </w:rPr>
        <w:t xml:space="preserve"> many others have written a report on the things that have happened…</w:t>
      </w:r>
    </w:p>
    <w:p>
      <w:pPr/>
      <w:r>
        <w:rPr>
          <w:lang w:val="en_US" w:bidi="en_US"/>
        </w:rPr>
      </w:r>
      <w:r>
        <w:rPr>
          <w:vertAlign w:val="superscript"/>
          <w:lang w:val="en_US" w:bidi="en_US"/>
        </w:rPr>
        <w:t>3b</w:t>
      </w:r>
      <w:r>
        <w:rPr>
          <w:lang w:val="en_US" w:bidi="en_US"/>
        </w:rPr>
        <w:t>it seemed good for me to also write a report…. (See 1:1–4 in the RSV, NASB, NJB, KJV for similar examples.)</w:t>
      </w:r>
    </w:p>
    <w:p>
      <w:pPr/>
      <w:r>
        <w:rPr>
          <w:lang w:val="en_US" w:bidi="en_US"/>
        </w:rPr>
      </w:r>
      <w:r>
        <w:rPr>
          <w:vertAlign w:val="superscript"/>
          <w:lang w:val="en_US" w:bidi="en_US"/>
        </w:rPr>
        <w:t>1a</w:t>
      </w:r>
      <w:r>
        <w:rPr>
          <w:lang w:val="en_US" w:bidi="en_US"/>
        </w:rPr>
        <w:t>Many others have written a report on the things that have happened….</w:t>
      </w:r>
    </w:p>
    <w:p>
      <w:pPr/>
      <w:r>
        <w:rPr>
          <w:lang w:val="en_US" w:bidi="en_US"/>
        </w:rPr>
      </w:r>
      <w:r>
        <w:rPr>
          <w:vertAlign w:val="superscript"/>
          <w:lang w:val="en_US" w:bidi="en_US"/>
        </w:rPr>
        <w:t>3b</w:t>
      </w:r>
      <w:r>
        <w:rPr>
          <w:lang w:val="en_US" w:bidi="en_US"/>
        </w:rPr>
        <w:t xml:space="preserve"> </w:t>
      </w:r>
      <w:r>
        <w:rPr>
          <w:u w:val="single"/>
          <w:lang w:val="en_US" w:bidi="en_US"/>
        </w:rPr>
        <w:t>Therefore</w:t>
      </w:r>
      <w:r>
        <w:rPr>
          <w:lang w:val="en_US" w:bidi="en_US"/>
        </w:rPr>
        <w:t xml:space="preserve"> it seemed good for me to also write a report. (See 1:1–4 in the BSB, NIV, GNT, NET, CEV, GW, and JBP for similar examples.)</w:t>
      </w:r>
    </w:p>
    <w:p>
      <w:pPr/>
      <w:r>
        <w:rPr>
          <w:lang w:val="en_US" w:bidi="en_US"/>
        </w:rPr>
      </w:r>
      <w:r>
        <w:rPr>
          <w:lang w:val="en_US" w:bidi="en_US"/>
        </w:rPr>
        <w:t>You should connect the clauses in the most natural way in your language.</w:t>
      </w:r>
    </w:p>
    <w:p>
      <w:pPr/>
      <w:r>
        <w:rPr>
          <w:lang w:val="en_US" w:bidi="en_US"/>
        </w:rPr>
      </w:r>
      <w:r>
        <w:rPr>
          <w:lang w:val="en_US" w:bidi="en_US"/>
        </w:rPr>
        <w:t>Luke did not address Theophilus by name until near the end of his introduction. In some languages, it may be more appropriate to begin the introduction with Theophilus’ name. See the Display for 1:1a for an example.</w:t>
      </w:r>
    </w:p>
    <w:p>
      <w:pPr>
        <w:pStyle w:val="Heading5"/>
      </w:pPr>
      <w:r>
        <w:rPr>
          <w:lang w:val="en_US" w:bidi="en_US"/>
        </w:rPr>
        <w:t>1:2</w:t>
      </w:r>
    </w:p>
    <w:p>
      <w:pPr/>
      <w:r>
        <w:rPr>
          <w:lang w:val="en_US" w:bidi="en_US"/>
        </w:rPr>
      </w:r>
      <w:r>
        <w:rPr>
          <w:b/>
          <w:lang w:val="en_US" w:bidi="en_US"/>
        </w:rPr>
        <w:t>just as they were handed down to us by the initial eyewitnesses and servants of the word:</w:t>
      </w:r>
      <w:r>
        <w:rPr>
          <w:lang w:val="en_US" w:bidi="en_US"/>
        </w:rPr>
        <w:t xml:space="preserve"> The verb that the BSB translates with the passive form </w:t>
      </w:r>
      <w:r>
        <w:rPr>
          <w:i/>
          <w:lang w:val="en_US" w:bidi="en_US"/>
        </w:rPr>
        <w:t>were handed down</w:t>
      </w:r>
      <w:r>
        <w:rPr>
          <w:lang w:val="en_US" w:bidi="en_US"/>
        </w:rPr>
        <w:t xml:space="preserve"> is an active form in Greek. A more literal translation of the clause is:</w:t>
      </w:r>
    </w:p>
    <w:p>
      <w:pPr/>
      <w:r>
        <w:rPr>
          <w:lang w:val="en_US" w:bidi="en_US"/>
        </w:rPr>
      </w:r>
      <w:r>
        <w:rPr>
          <w:lang w:val="en_US" w:bidi="en_US"/>
        </w:rPr>
        <w:t xml:space="preserve">just as the ones who from the first were eyewitnesses and servants of the word </w:t>
      </w:r>
      <w:r>
        <w:rPr>
          <w:u w:val="single"/>
          <w:lang w:val="en_US" w:bidi="en_US"/>
        </w:rPr>
        <w:t>delivered</w:t>
      </w:r>
      <w:r>
        <w:rPr>
          <w:lang w:val="en_US" w:bidi="en_US"/>
        </w:rPr>
        <w:t xml:space="preserve"> (them) to us</w:t>
      </w:r>
    </w:p>
    <w:p>
      <w:pPr/>
      <w:r>
        <w:rPr>
          <w:lang w:val="en_US" w:bidi="en_US"/>
        </w:rPr>
      </w:r>
      <w:r>
        <w:rPr>
          <w:lang w:val="en_US" w:bidi="en_US"/>
        </w:rPr>
        <w:t>Some ways to translate the clause are:</w:t>
      </w:r>
    </w:p>
    <w:p>
      <w:pPr>
        <w:pStyle w:val="ListBullet"/>
        <w:spacing w:line="240" w:lineRule="auto"/>
        <w:ind w:left="720"/>
      </w:pPr>
      <w:r>
        <w:rPr>
          <w:lang w:val="en_US" w:bidi="en_US"/>
        </w:rPr>
      </w:r>
      <w:r>
        <w:rPr>
          <w:lang w:val="en_US" w:bidi="en_US"/>
        </w:rPr>
        <w:t>Use a passive verb. For example:</w:t>
      </w:r>
      <w:r>
        <w:rPr>
          <w:lang w:val="en_US" w:bidi="en_US"/>
        </w:rPr>
        <w:t>just as they were told/delivered to us by those who were originally eyewitness and servants of the word</w:t>
      </w:r>
    </w:p>
    <w:p>
      <w:pPr>
        <w:pStyle w:val="ListBullet"/>
        <w:spacing w:line="240" w:lineRule="auto"/>
        <w:ind w:left="720"/>
      </w:pPr>
      <w:r>
        <w:rPr>
          <w:lang w:val="en_US" w:bidi="en_US"/>
        </w:rPr>
      </w:r>
      <w:r>
        <w:rPr>
          <w:lang w:val="en_US" w:bidi="en_US"/>
        </w:rPr>
        <w:t>Use an active verb. For example:</w:t>
      </w:r>
      <w:r>
        <w:rPr>
          <w:lang w:val="en_US" w:bidi="en_US"/>
        </w:rPr>
        <w:t>just as those who were originally eyewitnesses and servants of the word told us</w:t>
      </w:r>
    </w:p>
    <w:p>
      <w:pPr/>
      <w:r>
        <w:rPr>
          <w:lang w:val="en_US" w:bidi="en_US"/>
        </w:rPr>
      </w:r>
      <w:r>
        <w:rPr>
          <w:lang w:val="en_US" w:bidi="en_US"/>
        </w:rPr>
        <w:t>This clause is long and complex. In some languages it may be more natural to translate it with more than one sentence. For example:</w:t>
      </w:r>
    </w:p>
    <w:p>
      <w:pPr/>
      <w:r>
        <w:rPr>
          <w:lang w:val="en_US" w:bidi="en_US"/>
        </w:rPr>
      </w:r>
      <w:r>
        <w:rPr>
          <w:lang w:val="en_US" w:bidi="en_US"/>
        </w:rPr>
        <w:t>Some people were eyewitnesses of these things from the first. They were servants of the word. These people handed down the reports of these things to us.</w:t>
      </w:r>
    </w:p>
    <w:p>
      <w:pPr/>
      <w:r>
        <w:rPr>
          <w:lang w:val="en_US" w:bidi="en_US"/>
        </w:rPr>
      </w:r>
      <w:r>
        <w:rPr>
          <w:lang w:val="en_US" w:bidi="en_US"/>
        </w:rPr>
        <w:t>See the General Comment on 1:2a–c at the end of the notes on 1:2b–c for another way to reorder 1:2a–c and translate it in an active way.</w:t>
      </w:r>
    </w:p>
    <w:p>
      <w:pPr>
        <w:pStyle w:val="Heading5"/>
      </w:pPr>
      <w:r>
        <w:rPr>
          <w:lang w:val="en_US" w:bidi="en_US"/>
        </w:rPr>
        <w:t>1:2a</w:t>
      </w:r>
    </w:p>
    <w:p>
      <w:pPr/>
      <w:r>
        <w:rPr>
          <w:lang w:val="en_US" w:bidi="en_US"/>
        </w:rPr>
      </w:r>
      <w:r>
        <w:rPr>
          <w:b/>
          <w:lang w:val="en_US" w:bidi="en_US"/>
        </w:rPr>
        <w:t>just as they were handed down to us</w:t>
      </w:r>
    </w:p>
    <w:p>
      <w:pPr>
        <w:pStyle w:val="ListBullet"/>
        <w:spacing w:line="240" w:lineRule="auto"/>
        <w:ind w:left="720"/>
      </w:pPr>
      <w:r>
        <w:rPr>
          <w:lang w:val="en_US" w:bidi="en_US"/>
        </w:rPr>
      </w:r>
      <w:r>
        <w:rPr>
          <w:lang w:val="en_US" w:bidi="en_US"/>
        </w:rPr>
        <w:t>These people wrote down the events</w:t>
      </w:r>
      <w:r>
        <w:rPr>
          <w:lang w:val="en_US" w:bidi="en_US"/>
        </w:rPr>
        <w:t xml:space="preserve"> just as they were passed on to us</w:t>
      </w:r>
      <w:r>
        <w:rPr>
          <w:vertAlign w:val="superscript"/>
          <w:lang w:val="en_US" w:bidi="en_US"/>
        </w:rPr>
        <w:t>(excl)</w:t>
      </w:r>
    </w:p>
    <w:p>
      <w:pPr>
        <w:pStyle w:val="ListBullet"/>
        <w:spacing w:line="240" w:lineRule="auto"/>
        <w:ind w:left="720"/>
      </w:pPr>
      <w:r>
        <w:rPr>
          <w:lang w:val="en_US" w:bidi="en_US"/>
        </w:rPr>
      </w:r>
      <w:r>
        <w:rPr>
          <w:lang w:val="en_US" w:bidi="en_US"/>
        </w:rPr>
        <w:t>They wrote</w:t>
      </w:r>
      <w:r>
        <w:rPr>
          <w:lang w:val="en_US" w:bidi="en_US"/>
        </w:rPr>
        <w:t xml:space="preserve"> exactly/precisely that which </w:t>
      </w:r>
      <w:r>
        <w:rPr>
          <w:lang w:val="en_US" w:bidi="en_US"/>
        </w:rPr>
        <w:t>people who saw those things</w:t>
      </w:r>
      <w:r>
        <w:rPr>
          <w:lang w:val="en_US" w:bidi="en_US"/>
        </w:rPr>
        <w:t xml:space="preserve"> had told us.</w:t>
      </w:r>
      <w:r>
        <w:rPr>
          <w:vertAlign w:val="superscript"/>
          <w:lang w:val="en_US" w:bidi="en_US"/>
        </w:rPr>
        <w:t>(excl)</w:t>
      </w:r>
    </w:p>
    <w:p>
      <w:pPr>
        <w:pStyle w:val="ListBullet"/>
        <w:spacing w:line="240" w:lineRule="auto"/>
        <w:ind w:left="720"/>
      </w:pPr>
      <w:r>
        <w:rPr>
          <w:lang w:val="en_US" w:bidi="en_US"/>
        </w:rPr>
      </w:r>
      <w:r>
        <w:rPr>
          <w:lang w:val="en_US" w:bidi="en_US"/>
        </w:rPr>
        <w:t>They</w:t>
      </w:r>
      <w:r>
        <w:rPr>
          <w:lang w:val="en_US" w:bidi="en_US"/>
        </w:rPr>
        <w:t xml:space="preserve"> did not change/alter that which we</w:t>
      </w:r>
      <w:r>
        <w:rPr>
          <w:vertAlign w:val="superscript"/>
          <w:lang w:val="en_US" w:bidi="en_US"/>
        </w:rPr>
        <w:t>(excl)</w:t>
      </w:r>
      <w:r>
        <w:rPr>
          <w:lang w:val="en_US" w:bidi="en_US"/>
        </w:rPr>
        <w:t xml:space="preserve"> had learned</w:t>
      </w:r>
    </w:p>
    <w:p>
      <w:pPr/>
      <w:r>
        <w:rPr>
          <w:lang w:val="en_US" w:bidi="en_US"/>
        </w:rPr>
      </w:r>
      <w:r>
        <w:rPr>
          <w:b/>
          <w:lang w:val="en_US" w:bidi="en_US"/>
        </w:rPr>
        <w:t>just as:</w:t>
      </w:r>
      <w:r>
        <w:rPr>
          <w:lang w:val="en_US" w:bidi="en_US"/>
        </w:rPr>
        <w:t xml:space="preserve"> The Greek word that the BSB translates as </w:t>
      </w:r>
      <w:r>
        <w:rPr>
          <w:i/>
          <w:lang w:val="en_US" w:bidi="en_US"/>
        </w:rPr>
        <w:t>just as</w:t>
      </w:r>
      <w:r>
        <w:rPr>
          <w:lang w:val="en_US" w:bidi="en_US"/>
        </w:rPr>
        <w:t xml:space="preserve"> indicates that the others who had undertaken to “compose an account” about Jesus faithfully reported what they heard from the people who were eyewitnesses. They did not invent or change the story. Another way to translate this is:</w:t>
      </w:r>
    </w:p>
    <w:p>
      <w:pPr/>
      <w:r>
        <w:rPr>
          <w:lang w:val="en_US" w:bidi="en_US"/>
        </w:rPr>
      </w:r>
      <w:r>
        <w:rPr>
          <w:lang w:val="en_US" w:bidi="en_US"/>
        </w:rPr>
        <w:t>exactly as</w:t>
      </w:r>
    </w:p>
    <w:p>
      <w:pPr/>
      <w:r>
        <w:rPr>
          <w:lang w:val="en_US" w:bidi="en_US"/>
        </w:rPr>
      </w:r>
      <w:r>
        <w:rPr>
          <w:b/>
          <w:lang w:val="en_US" w:bidi="en_US"/>
        </w:rPr>
        <w:t>they were handed down to us:</w:t>
      </w:r>
      <w:r>
        <w:rPr>
          <w:lang w:val="en_US" w:bidi="en_US"/>
        </w:rPr>
        <w:t xml:space="preserve"> The pronoun </w:t>
      </w:r>
      <w:r>
        <w:rPr>
          <w:i/>
          <w:lang w:val="en_US" w:bidi="en_US"/>
        </w:rPr>
        <w:t>they</w:t>
      </w:r>
      <w:r>
        <w:rPr>
          <w:lang w:val="en_US" w:bidi="en_US"/>
        </w:rPr>
        <w:t xml:space="preserve"> here refers to the “things” of 1:1b. These “things” were the events of Jesus’ life and death. Luke and the other believers had heard about these events from other people.</w:t>
      </w:r>
    </w:p>
    <w:p>
      <w:pPr/>
      <w:r>
        <w:rPr>
          <w:lang w:val="en_US" w:bidi="en_US"/>
        </w:rPr>
      </w:r>
      <w:r>
        <w:rPr>
          <w:lang w:val="en_US" w:bidi="en_US"/>
        </w:rPr>
        <w:t>In some languages, it may be necessary to make it clear that it was the information about these events that was handed down. For example:</w:t>
      </w:r>
    </w:p>
    <w:p>
      <w:pPr/>
      <w:r>
        <w:rPr>
          <w:lang w:val="en_US" w:bidi="en_US"/>
        </w:rPr>
      </w:r>
      <w:r>
        <w:rPr>
          <w:lang w:val="en_US" w:bidi="en_US"/>
        </w:rPr>
        <w:t>these accounts/reports were handed down to us</w:t>
      </w:r>
    </w:p>
    <w:p>
      <w:pPr/>
      <w:r>
        <w:rPr>
          <w:lang w:val="en_US" w:bidi="en_US"/>
        </w:rPr>
      </w:r>
      <w:r>
        <w:rPr>
          <w:b/>
          <w:lang w:val="en_US" w:bidi="en_US"/>
        </w:rPr>
        <w:t>were handed down:</w:t>
      </w:r>
      <w:r>
        <w:rPr>
          <w:lang w:val="en_US" w:bidi="en_US"/>
        </w:rPr>
        <w:t xml:space="preserve"> The Greek verb that the BSB translates as </w:t>
      </w:r>
      <w:r>
        <w:rPr>
          <w:i/>
          <w:lang w:val="en_US" w:bidi="en_US"/>
        </w:rPr>
        <w:t>were handed down</w:t>
      </w:r>
      <w:r>
        <w:rPr>
          <w:lang w:val="en_US" w:bidi="en_US"/>
        </w:rPr>
        <w:t xml:space="preserve"> means “delivered.” This word often describes the way people tell their children and grandchildren about important things that happened before their children were born. In this context people who saw the events in Jesus’ life told people who were born later about them. That generation also told the believers of the next generation. People told these things orally or wrote them down.</w:t>
      </w:r>
    </w:p>
    <w:p>
      <w:pPr/>
      <w:r>
        <w:rPr>
          <w:lang w:val="en_US" w:bidi="en_US"/>
        </w:rPr>
      </w:r>
      <w:r>
        <w:rPr>
          <w:b/>
          <w:lang w:val="en_US" w:bidi="en_US"/>
        </w:rPr>
        <w:t>to us:</w:t>
      </w:r>
      <w:r>
        <w:rPr>
          <w:lang w:val="en_US" w:bidi="en_US"/>
        </w:rPr>
        <w:t xml:space="preserve"> The pronoun </w:t>
      </w:r>
      <w:r>
        <w:rPr>
          <w:i/>
          <w:lang w:val="en_US" w:bidi="en_US"/>
        </w:rPr>
        <w:t>us</w:t>
      </w:r>
      <w:r>
        <w:rPr>
          <w:lang w:val="en_US" w:bidi="en_US"/>
        </w:rPr>
        <w:t xml:space="preserve"> refers here to Luke and the other Christians of his generation. It includes the others who had written accounts of the life and death of Jesus. Concerning whether it includes Theophilus, see the note on “among us” at 1:1b.</w:t>
      </w:r>
    </w:p>
    <w:p>
      <w:pPr>
        <w:pStyle w:val="Heading5"/>
      </w:pPr>
      <w:r>
        <w:rPr>
          <w:lang w:val="en_US" w:bidi="en_US"/>
        </w:rPr>
        <w:t>1:2b</w:t>
      </w:r>
    </w:p>
    <w:p>
      <w:pPr/>
      <w:r>
        <w:rPr>
          <w:lang w:val="en_US" w:bidi="en_US"/>
        </w:rPr>
      </w:r>
      <w:r>
        <w:rPr>
          <w:b/>
          <w:lang w:val="en_US" w:bidi="en_US"/>
        </w:rPr>
        <w:t>by the initial eyewitnesses</w:t>
      </w:r>
    </w:p>
    <w:p>
      <w:pPr>
        <w:pStyle w:val="ListBullet"/>
        <w:spacing w:line="240" w:lineRule="auto"/>
        <w:ind w:left="720"/>
      </w:pPr>
      <w:r>
        <w:rPr>
          <w:lang w:val="en_US" w:bidi="en_US"/>
        </w:rPr>
      </w:r>
      <w:r>
        <w:rPr>
          <w:lang w:val="en_US" w:bidi="en_US"/>
        </w:rPr>
        <w:t xml:space="preserve">by those </w:t>
      </w:r>
      <w:r>
        <w:rPr>
          <w:lang w:val="en_US" w:bidi="en_US"/>
        </w:rPr>
        <w:t>people</w:t>
      </w:r>
      <w:r>
        <w:rPr>
          <w:lang w:val="en_US" w:bidi="en_US"/>
        </w:rPr>
        <w:t xml:space="preserve"> who from the beginning saw these things with their own eyes</w:t>
      </w:r>
    </w:p>
    <w:p>
      <w:pPr>
        <w:pStyle w:val="ListBullet"/>
        <w:spacing w:line="240" w:lineRule="auto"/>
        <w:ind w:left="720"/>
      </w:pPr>
      <w:r>
        <w:rPr>
          <w:lang w:val="en_US" w:bidi="en_US"/>
        </w:rPr>
      </w:r>
      <w:r>
        <w:rPr>
          <w:lang w:val="en_US" w:bidi="en_US"/>
        </w:rPr>
        <w:t xml:space="preserve">These </w:t>
      </w:r>
      <w:r>
        <w:rPr>
          <w:lang w:val="en_US" w:bidi="en_US"/>
        </w:rPr>
        <w:t>witnesses</w:t>
      </w:r>
      <w:r>
        <w:rPr>
          <w:lang w:val="en_US" w:bidi="en_US"/>
        </w:rPr>
        <w:t xml:space="preserve"> had watched </w:t>
      </w:r>
      <w:r>
        <w:rPr>
          <w:lang w:val="en_US" w:bidi="en_US"/>
        </w:rPr>
        <w:t>those things</w:t>
      </w:r>
      <w:r>
        <w:rPr>
          <w:lang w:val="en_US" w:bidi="en_US"/>
        </w:rPr>
        <w:t xml:space="preserve"> from the time when they first started to happen.</w:t>
      </w:r>
    </w:p>
    <w:p>
      <w:pPr>
        <w:pStyle w:val="ListBullet"/>
        <w:spacing w:line="240" w:lineRule="auto"/>
        <w:ind w:left="720"/>
      </w:pPr>
      <w:r>
        <w:rPr>
          <w:lang w:val="en_US" w:bidi="en_US"/>
        </w:rPr>
      </w:r>
      <w:r>
        <w:rPr>
          <w:lang w:val="en_US" w:bidi="en_US"/>
        </w:rPr>
        <w:t>from</w:t>
      </w:r>
      <w:r>
        <w:rPr>
          <w:lang w:val="en_US" w:bidi="en_US"/>
        </w:rPr>
        <w:t xml:space="preserve"> the people who had watched </w:t>
      </w:r>
      <w:r>
        <w:rPr>
          <w:lang w:val="en_US" w:bidi="en_US"/>
        </w:rPr>
        <w:t>Jesus</w:t>
      </w:r>
      <w:r>
        <w:rPr>
          <w:lang w:val="en_US" w:bidi="en_US"/>
        </w:rPr>
        <w:t xml:space="preserve"> from the beginning </w:t>
      </w:r>
      <w:r>
        <w:rPr>
          <w:lang w:val="en_US" w:bidi="en_US"/>
        </w:rPr>
        <w:t>of his life on earth</w:t>
      </w:r>
      <w:r>
        <w:rPr>
          <w:lang w:val="en_US" w:bidi="en_US"/>
        </w:rPr>
        <w:t>,</w:t>
      </w:r>
    </w:p>
    <w:p>
      <w:pPr>
        <w:pStyle w:val="Heading5"/>
      </w:pPr>
      <w:r>
        <w:rPr>
          <w:lang w:val="en_US" w:bidi="en_US"/>
        </w:rPr>
        <w:t>1:2c</w:t>
      </w:r>
    </w:p>
    <w:p>
      <w:pPr/>
      <w:r>
        <w:rPr>
          <w:lang w:val="en_US" w:bidi="en_US"/>
        </w:rPr>
      </w:r>
      <w:r>
        <w:rPr>
          <w:b/>
          <w:lang w:val="en_US" w:bidi="en_US"/>
        </w:rPr>
        <w:t>and servants of the word.</w:t>
      </w:r>
    </w:p>
    <w:p>
      <w:pPr>
        <w:pStyle w:val="ListBullet"/>
        <w:spacing w:line="240" w:lineRule="auto"/>
        <w:ind w:left="720"/>
      </w:pPr>
      <w:r>
        <w:rPr>
          <w:lang w:val="en_US" w:bidi="en_US"/>
        </w:rPr>
      </w:r>
      <w:r>
        <w:rPr>
          <w:lang w:val="en_US" w:bidi="en_US"/>
        </w:rPr>
        <w:t xml:space="preserve">and </w:t>
      </w:r>
      <w:r>
        <w:rPr>
          <w:lang w:val="en_US" w:bidi="en_US"/>
        </w:rPr>
        <w:t>then</w:t>
      </w:r>
      <w:r>
        <w:rPr>
          <w:lang w:val="en_US" w:bidi="en_US"/>
        </w:rPr>
        <w:t xml:space="preserve"> served </w:t>
      </w:r>
      <w:r>
        <w:rPr>
          <w:lang w:val="en_US" w:bidi="en_US"/>
        </w:rPr>
        <w:t>God by teaching us</w:t>
      </w:r>
      <w:r>
        <w:rPr>
          <w:vertAlign w:val="superscript"/>
          <w:lang w:val="en_US" w:bidi="en_US"/>
        </w:rPr>
        <w:t>(excl)</w:t>
      </w:r>
      <w:r>
        <w:rPr>
          <w:lang w:val="en_US" w:bidi="en_US"/>
        </w:rPr>
        <w:t xml:space="preserve"> his word/message.</w:t>
      </w:r>
    </w:p>
    <w:p>
      <w:pPr>
        <w:pStyle w:val="ListBullet"/>
        <w:spacing w:line="240" w:lineRule="auto"/>
        <w:ind w:left="720"/>
      </w:pPr>
      <w:r>
        <w:rPr>
          <w:lang w:val="en_US" w:bidi="en_US"/>
        </w:rPr>
      </w:r>
      <w:r>
        <w:rPr>
          <w:lang w:val="en_US" w:bidi="en_US"/>
        </w:rPr>
        <w:t xml:space="preserve">They became </w:t>
      </w:r>
      <w:r>
        <w:rPr>
          <w:lang w:val="en_US" w:bidi="en_US"/>
        </w:rPr>
        <w:t>God’s</w:t>
      </w:r>
      <w:r>
        <w:rPr>
          <w:lang w:val="en_US" w:bidi="en_US"/>
        </w:rPr>
        <w:t xml:space="preserve"> servants to declare </w:t>
      </w:r>
      <w:r>
        <w:rPr>
          <w:lang w:val="en_US" w:bidi="en_US"/>
        </w:rPr>
        <w:t>to us</w:t>
      </w:r>
      <w:r>
        <w:rPr>
          <w:lang w:val="en_US" w:bidi="en_US"/>
        </w:rPr>
        <w:t xml:space="preserve"> the message </w:t>
      </w:r>
      <w:r>
        <w:rPr>
          <w:lang w:val="en_US" w:bidi="en_US"/>
        </w:rPr>
        <w:t>about Jesus</w:t>
      </w:r>
      <w:r>
        <w:rPr>
          <w:lang w:val="en_US" w:bidi="en_US"/>
        </w:rPr>
        <w:t>.</w:t>
      </w:r>
    </w:p>
    <w:p>
      <w:pPr>
        <w:pStyle w:val="ListBullet"/>
        <w:spacing w:line="240" w:lineRule="auto"/>
        <w:ind w:left="720"/>
      </w:pPr>
      <w:r>
        <w:rPr>
          <w:lang w:val="en_US" w:bidi="en_US"/>
        </w:rPr>
      </w:r>
      <w:r>
        <w:rPr>
          <w:lang w:val="en_US" w:bidi="en_US"/>
        </w:rPr>
        <w:t xml:space="preserve">and devoted </w:t>
      </w:r>
      <w:r>
        <w:rPr>
          <w:lang w:val="en_US" w:bidi="en_US"/>
        </w:rPr>
        <w:t>themselves</w:t>
      </w:r>
      <w:r>
        <w:rPr>
          <w:lang w:val="en_US" w:bidi="en_US"/>
        </w:rPr>
        <w:t xml:space="preserve"> to teaching </w:t>
      </w:r>
      <w:r>
        <w:rPr>
          <w:lang w:val="en_US" w:bidi="en_US"/>
        </w:rPr>
        <w:t>God’s</w:t>
      </w:r>
      <w:r>
        <w:rPr>
          <w:lang w:val="en_US" w:bidi="en_US"/>
        </w:rPr>
        <w:t xml:space="preserve"> word/message </w:t>
      </w:r>
      <w:r>
        <w:rPr>
          <w:lang w:val="en_US" w:bidi="en_US"/>
        </w:rPr>
        <w:t>about him</w:t>
      </w:r>
      <w:r>
        <w:rPr>
          <w:lang w:val="en_US" w:bidi="en_US"/>
        </w:rPr>
        <w:t>.</w:t>
      </w:r>
    </w:p>
    <w:p>
      <w:pPr>
        <w:pStyle w:val="Heading5"/>
      </w:pPr>
      <w:r>
        <w:rPr>
          <w:lang w:val="en_US" w:bidi="en_US"/>
        </w:rPr>
        <w:t>1:2b–c</w:t>
      </w:r>
    </w:p>
    <w:p>
      <w:pPr/>
      <w:r>
        <w:rPr>
          <w:lang w:val="en_US" w:bidi="en_US"/>
        </w:rPr>
      </w:r>
      <w:r>
        <w:rPr>
          <w:b/>
          <w:lang w:val="en_US" w:bidi="en_US"/>
        </w:rPr>
        <w:t>the initial:</w:t>
      </w:r>
      <w:r>
        <w:rPr>
          <w:lang w:val="en_US" w:bidi="en_US"/>
        </w:rPr>
        <w:t xml:space="preserve"> The Greek phrase that the BSB translates as </w:t>
      </w:r>
      <w:r>
        <w:rPr>
          <w:i/>
          <w:lang w:val="en_US" w:bidi="en_US"/>
        </w:rPr>
        <w:t>the initial</w:t>
      </w:r>
      <w:r>
        <w:rPr>
          <w:lang w:val="en_US" w:bidi="en_US"/>
        </w:rPr>
        <w:t xml:space="preserve"> is literally “from the beginning.” It refers to the time when the events of Jesus’ life and ministry began. It may refer mainly to the time when he was baptized and began his ministry, but there were also eyewitnesses to his birth.</w:t>
      </w:r>
    </w:p>
    <w:p>
      <w:pPr/>
      <w:r>
        <w:rPr>
          <w:lang w:val="en_US" w:bidi="en_US"/>
        </w:rPr>
      </w:r>
      <w:r>
        <w:rPr>
          <w:b/>
          <w:lang w:val="en_US" w:bidi="en_US"/>
        </w:rPr>
        <w:t>eyewitnesses and servants of the word:</w:t>
      </w:r>
      <w:r>
        <w:rPr>
          <w:lang w:val="en_US" w:bidi="en_US"/>
        </w:rPr>
        <w:t xml:space="preserve"> The words </w:t>
      </w:r>
      <w:r>
        <w:rPr>
          <w:i/>
          <w:lang w:val="en_US" w:bidi="en_US"/>
        </w:rPr>
        <w:t>eyewitnesses</w:t>
      </w:r>
      <w:r>
        <w:rPr>
          <w:lang w:val="en_US" w:bidi="en_US"/>
        </w:rPr>
        <w:t xml:space="preserve"> and </w:t>
      </w:r>
      <w:r>
        <w:rPr>
          <w:i/>
          <w:lang w:val="en_US" w:bidi="en_US"/>
        </w:rPr>
        <w:t>servants</w:t>
      </w:r>
      <w:r>
        <w:rPr>
          <w:lang w:val="en_US" w:bidi="en_US"/>
        </w:rPr>
        <w:t xml:space="preserve"> refer to one group of people. Luke described them here in two different ways. The same people who actually saw the events were the ones who served by telling the message about them.</w:t>
      </w:r>
    </w:p>
    <w:p>
      <w:pPr/>
      <w:r>
        <w:rPr>
          <w:lang w:val="en_US" w:bidi="en_US"/>
        </w:rPr>
      </w:r>
      <w:r>
        <w:rPr>
          <w:b/>
          <w:lang w:val="en_US" w:bidi="en_US"/>
        </w:rPr>
        <w:t>eyewitnesses:</w:t>
      </w:r>
      <w:r>
        <w:rPr>
          <w:lang w:val="en_US" w:bidi="en_US"/>
        </w:rPr>
        <w:t xml:space="preserve"> The Greek word that the BSB translates as </w:t>
      </w:r>
      <w:r>
        <w:rPr>
          <w:i/>
          <w:lang w:val="en_US" w:bidi="en_US"/>
        </w:rPr>
        <w:t>eyewitnesses</w:t>
      </w:r>
      <w:r>
        <w:rPr>
          <w:lang w:val="en_US" w:bidi="en_US"/>
        </w:rPr>
        <w:t xml:space="preserve"> refers to people who had personally seen or heard something. Luke and the other writers based their writings on what they learned from people who had seen and heard Jesus themselves.</w:t>
      </w:r>
    </w:p>
    <w:p>
      <w:pPr/>
      <w:r>
        <w:rPr>
          <w:lang w:val="en_US" w:bidi="en_US"/>
        </w:rPr>
      </w:r>
      <w:r>
        <w:rPr>
          <w:b/>
          <w:lang w:val="en_US" w:bidi="en_US"/>
        </w:rPr>
        <w:t>servants of the word:</w:t>
      </w:r>
      <w:r>
        <w:rPr>
          <w:lang w:val="en_US" w:bidi="en_US"/>
        </w:rPr>
        <w:t xml:space="preserve"> The Greek phrase that the BSB translates as </w:t>
      </w:r>
      <w:r>
        <w:rPr>
          <w:i/>
          <w:lang w:val="en_US" w:bidi="en_US"/>
        </w:rPr>
        <w:t>servants of the word</w:t>
      </w:r>
      <w:r>
        <w:rPr>
          <w:lang w:val="en_US" w:bidi="en_US"/>
        </w:rPr>
        <w:t xml:space="preserve"> refers to people who served God by announcing his word (message) to others. In this context, the </w:t>
      </w:r>
      <w:r>
        <w:rPr>
          <w:i/>
          <w:lang w:val="en_US" w:bidi="en_US"/>
        </w:rPr>
        <w:t>word</w:t>
      </w:r>
      <w:r>
        <w:rPr>
          <w:lang w:val="en_US" w:bidi="en_US"/>
        </w:rPr>
        <w:t xml:space="preserve"> refers to the message about Jesus. Another way to translate this is:</w:t>
      </w:r>
    </w:p>
    <w:p>
      <w:pPr/>
      <w:r>
        <w:rPr>
          <w:lang w:val="en_US" w:bidi="en_US"/>
        </w:rPr>
      </w:r>
      <w:r>
        <w:rPr>
          <w:lang w:val="en_US" w:bidi="en_US"/>
        </w:rPr>
        <w:t>the people who…served God by telling people his message (NCV)</w:t>
      </w:r>
    </w:p>
    <w:p>
      <w:pPr>
        <w:pStyle w:val="Heading6"/>
      </w:pPr>
      <w:r>
        <w:rPr>
          <w:b/>
          <w:lang w:val="en_US" w:bidi="en_US"/>
        </w:rPr>
        <w:t>General Comment on 1:2a–c</w:t>
      </w:r>
    </w:p>
    <w:p>
      <w:pPr/>
      <w:r>
        <w:rPr>
          <w:lang w:val="en_US" w:bidi="en_US"/>
        </w:rPr>
      </w:r>
      <w:r>
        <w:rPr>
          <w:lang w:val="en_US" w:bidi="en_US"/>
        </w:rPr>
        <w:t>In some languages, it may be clearer to combine or reorder parts of 1:2a–c. For example:</w:t>
      </w:r>
    </w:p>
    <w:p>
      <w:pPr/>
      <w:r>
        <w:rPr>
          <w:lang w:val="en_US" w:bidi="en_US"/>
        </w:rPr>
      </w:r>
      <w:r>
        <w:rPr>
          <w:vertAlign w:val="superscript"/>
          <w:lang w:val="en_US" w:bidi="en_US"/>
        </w:rPr>
        <w:t>2a</w:t>
      </w:r>
      <w:r>
        <w:rPr>
          <w:lang w:val="en_US" w:bidi="en_US"/>
        </w:rPr>
        <w:t xml:space="preserve"> </w:t>
      </w:r>
      <w:r>
        <w:rPr>
          <w:lang w:val="en_US" w:bidi="en_US"/>
        </w:rPr>
        <w:t>They wrote down the events</w:t>
      </w:r>
      <w:r>
        <w:rPr>
          <w:lang w:val="en_US" w:bidi="en_US"/>
        </w:rPr>
        <w:t xml:space="preserve"> just as </w:t>
      </w:r>
      <w:r>
        <w:rPr>
          <w:vertAlign w:val="superscript"/>
          <w:lang w:val="en_US" w:bidi="en_US"/>
        </w:rPr>
        <w:t>2b</w:t>
      </w:r>
      <w:r>
        <w:rPr>
          <w:lang w:val="en_US" w:bidi="en_US"/>
        </w:rPr>
        <w:t xml:space="preserve">the people who were eyewitnesses from the beginning </w:t>
      </w:r>
      <w:r>
        <w:rPr>
          <w:lang w:val="en_US" w:bidi="en_US"/>
        </w:rPr>
        <w:t>had reported them</w:t>
      </w:r>
      <w:r>
        <w:rPr>
          <w:lang w:val="en_US" w:bidi="en_US"/>
        </w:rPr>
        <w:t xml:space="preserve">. </w:t>
      </w:r>
      <w:r>
        <w:rPr>
          <w:vertAlign w:val="superscript"/>
          <w:lang w:val="en_US" w:bidi="en_US"/>
        </w:rPr>
        <w:t>2c</w:t>
      </w:r>
      <w:r>
        <w:rPr>
          <w:lang w:val="en_US" w:bidi="en_US"/>
        </w:rPr>
        <w:t xml:space="preserve">These eyewitnesses were servants of the message </w:t>
      </w:r>
      <w:r>
        <w:rPr>
          <w:lang w:val="en_US" w:bidi="en_US"/>
        </w:rPr>
        <w:t>about these events</w:t>
      </w:r>
      <w:r>
        <w:rPr>
          <w:lang w:val="en_US" w:bidi="en_US"/>
        </w:rPr>
        <w:t xml:space="preserve"> </w:t>
      </w:r>
      <w:r>
        <w:rPr>
          <w:vertAlign w:val="superscript"/>
          <w:lang w:val="en_US" w:bidi="en_US"/>
        </w:rPr>
        <w:t>2a</w:t>
      </w:r>
      <w:r>
        <w:rPr>
          <w:lang w:val="en_US" w:bidi="en_US"/>
        </w:rPr>
        <w:t>and handed it down to us.</w:t>
      </w:r>
    </w:p>
    <w:p>
      <w:pPr>
        <w:pStyle w:val="Heading6"/>
      </w:pPr>
      <w:r>
        <w:rPr>
          <w:b/>
          <w:lang w:val="en_US" w:bidi="en_US"/>
        </w:rPr>
        <w:t>General Comment on 1:1–2</w:t>
      </w:r>
    </w:p>
    <w:p>
      <w:pPr/>
      <w:r>
        <w:rPr>
          <w:lang w:val="en_US" w:bidi="en_US"/>
        </w:rPr>
      </w:r>
      <w:r>
        <w:rPr>
          <w:lang w:val="en_US" w:bidi="en_US"/>
        </w:rPr>
        <w:t>In some languages, it may be clearer to put some of the parts of 1:1–2 into the order in which the events happened. For example:</w:t>
      </w:r>
    </w:p>
    <w:p>
      <w:pPr/>
      <w:r>
        <w:rPr>
          <w:lang w:val="en_US" w:bidi="en_US"/>
        </w:rPr>
      </w:r>
      <w:r>
        <w:rPr>
          <w:vertAlign w:val="superscript"/>
          <w:lang w:val="en_US" w:bidi="en_US"/>
        </w:rPr>
        <w:t>2b</w:t>
      </w:r>
      <w:r>
        <w:rPr>
          <w:lang w:val="en_US" w:bidi="en_US"/>
        </w:rPr>
        <w:t xml:space="preserve">From the beginning </w:t>
      </w:r>
      <w:r>
        <w:rPr>
          <w:lang w:val="en_US" w:bidi="en_US"/>
        </w:rPr>
        <w:t>of Jesus’ time on earth,</w:t>
      </w:r>
      <w:r>
        <w:rPr>
          <w:lang w:val="en_US" w:bidi="en_US"/>
        </w:rPr>
        <w:t xml:space="preserve"> certain people were eyewitnesses </w:t>
      </w:r>
      <w:r>
        <w:rPr>
          <w:vertAlign w:val="superscript"/>
          <w:lang w:val="en_US" w:bidi="en_US"/>
        </w:rPr>
        <w:t>1b</w:t>
      </w:r>
      <w:r>
        <w:rPr>
          <w:lang w:val="en_US" w:bidi="en_US"/>
        </w:rPr>
        <w:t xml:space="preserve">of the things/events </w:t>
      </w:r>
      <w:r>
        <w:rPr>
          <w:lang w:val="en_US" w:bidi="en_US"/>
        </w:rPr>
        <w:t>of Jesus’ life and death</w:t>
      </w:r>
      <w:r>
        <w:rPr>
          <w:lang w:val="en_US" w:bidi="en_US"/>
        </w:rPr>
        <w:t xml:space="preserve"> that have been fulfilled among us. </w:t>
      </w:r>
      <w:r>
        <w:rPr>
          <w:vertAlign w:val="superscript"/>
          <w:lang w:val="en_US" w:bidi="en_US"/>
        </w:rPr>
        <w:t>2c</w:t>
      </w:r>
      <w:r>
        <w:rPr>
          <w:lang w:val="en_US" w:bidi="en_US"/>
        </w:rPr>
        <w:t xml:space="preserve">They served God by telling people what Jesus did and what he taught </w:t>
      </w:r>
      <w:r>
        <w:rPr>
          <w:vertAlign w:val="superscript"/>
          <w:lang w:val="en_US" w:bidi="en_US"/>
        </w:rPr>
        <w:t>2a</w:t>
      </w:r>
      <w:r>
        <w:rPr>
          <w:lang w:val="en_US" w:bidi="en_US"/>
        </w:rPr>
        <w:t xml:space="preserve">and so the knowledge of these things was passed/delivered to us. </w:t>
      </w:r>
      <w:r>
        <w:rPr>
          <w:vertAlign w:val="superscript"/>
          <w:lang w:val="en_US" w:bidi="en_US"/>
        </w:rPr>
        <w:t>1a</w:t>
      </w:r>
      <w:r>
        <w:rPr>
          <w:lang w:val="en_US" w:bidi="en_US"/>
        </w:rPr>
        <w:t>Later,</w:t>
      </w:r>
      <w:r>
        <w:rPr>
          <w:lang w:val="en_US" w:bidi="en_US"/>
        </w:rPr>
        <w:t xml:space="preserve"> many </w:t>
      </w:r>
      <w:r>
        <w:rPr>
          <w:lang w:val="en_US" w:bidi="en_US"/>
        </w:rPr>
        <w:t>others</w:t>
      </w:r>
      <w:r>
        <w:rPr>
          <w:lang w:val="en_US" w:bidi="en_US"/>
        </w:rPr>
        <w:t xml:space="preserve"> undertook to put these events in order as a story/history and to write it down.</w:t>
      </w:r>
      <w:r>
        <w:rPr>
          <w:lang w:val="en_US" w:bidi="en_US"/>
        </w:rPr>
      </w:r>
      <w:r>
        <w:rPr>
          <w:lang w:val="en_US" w:bidi="en_US"/>
        </w:rPr>
      </w:r>
    </w:p>
    <w:p>
      <w:pPr/>
      <w:r>
        <w:rPr>
          <w:lang w:val="en_US" w:bidi="en_US"/>
        </w:rPr>
      </w:r>
    </w:p>
    <w:p>
      <w:pPr>
        <w:pStyle w:val="Heading2"/>
      </w:pPr>
      <w:r>
        <w:rPr>
          <w:lang w:val="en_US" w:bidi="en_US"/>
        </w:rPr>
        <w:t>Luke 1:3</w:t>
      </w:r>
      <w:r>
        <w:rPr>
          <w:lang w:val="en_US" w:bidi="en_US"/>
        </w:rPr>
      </w:r>
    </w:p>
    <w:p>
      <w:pPr>
        <w:pStyle w:val="Heading4"/>
      </w:pPr>
      <w:r>
        <w:rPr>
          <w:lang w:val="en_US" w:bidi="en_US"/>
        </w:rPr>
        <w:t>Section 1:1–4: Luke wrote this book about Jesus for Theophilus</w:t>
      </w:r>
    </w:p>
    <w:p>
      <w:pPr/>
      <w:r>
        <w:rPr>
          <w:lang w:val="en_US" w:bidi="en_US"/>
        </w:rPr>
      </w:r>
      <w:r>
        <w:rPr>
          <w:lang w:val="en_US" w:bidi="en_US"/>
        </w:rPr>
        <w:t>In these Notes, Luke 1:1–4 is both a division and a section of the book of Luke. You may want to include a section heading here. It is good to read the verses before you decide on a heading for the section.</w:t>
      </w:r>
    </w:p>
    <w:p>
      <w:pPr/>
      <w:r>
        <w:rPr>
          <w:lang w:val="en_US" w:bidi="en_US"/>
        </w:rPr>
      </w:r>
      <w:r>
        <w:rPr>
          <w:lang w:val="en_US" w:bidi="en_US"/>
        </w:rPr>
        <w:t>Some other possible headings for this section are:</w:t>
      </w:r>
    </w:p>
    <w:p>
      <w:pPr/>
      <w:r>
        <w:rPr>
          <w:lang w:val="en_US" w:bidi="en_US"/>
        </w:rPr>
      </w:r>
      <w:r>
        <w:rPr>
          <w:lang w:val="en_US" w:bidi="en_US"/>
        </w:rPr>
        <w:t>Luke writes to Theophilus about Jesus</w:t>
      </w:r>
    </w:p>
    <w:p>
      <w:pPr/>
      <w:r>
        <w:rPr>
          <w:lang w:val="en_US" w:bidi="en_US"/>
        </w:rPr>
      </w:r>
      <w:r>
        <w:rPr>
          <w:lang w:val="en_US" w:bidi="en_US"/>
        </w:rPr>
        <w:t>Luke addressed this book to Theophilus</w:t>
      </w:r>
    </w:p>
    <w:p>
      <w:pPr/>
      <w:r>
        <w:rPr>
          <w:lang w:val="en_US" w:bidi="en_US"/>
        </w:rPr>
      </w:r>
      <w:r>
        <w:rPr>
          <w:lang w:val="en_US" w:bidi="en_US"/>
        </w:rPr>
        <w:t>Luke’s purpose in writing this book</w:t>
      </w:r>
    </w:p>
    <w:p>
      <w:pPr>
        <w:pStyle w:val="Heading4"/>
      </w:pPr>
      <w:r>
        <w:rPr>
          <w:lang w:val="en_US" w:bidi="en_US"/>
        </w:rPr>
        <w:t>Paragraph 1:1–4</w:t>
      </w:r>
    </w:p>
    <w:p>
      <w:pPr/>
      <w:r>
        <w:rPr>
          <w:lang w:val="en_US" w:bidi="en_US"/>
        </w:rPr>
      </w:r>
      <w:r>
        <w:rPr>
          <w:lang w:val="en_US" w:bidi="en_US"/>
        </w:rPr>
        <w:t>Paragraph 1:1–4 in the Greek text is one long sentence. In some languages, it may be natural to use more than one sentence for this paragraph. For example, the GNT uses four sentences.</w:t>
      </w:r>
    </w:p>
    <w:p>
      <w:pPr/>
      <w:r>
        <w:rPr>
          <w:lang w:val="en_US" w:bidi="en_US"/>
        </w:rPr>
      </w:r>
      <w:r>
        <w:rPr>
          <w:lang w:val="en_US" w:bidi="en_US"/>
        </w:rPr>
        <w:t>The Greek sentence in 1:1–4 talks about several events and ideas. It mentions them in an order that may not be natural in some languages. Here are the main ideas:</w:t>
      </w:r>
    </w:p>
    <w:p>
      <w:pPr>
        <w:pStyle w:val="ListNumber"/>
        <w:numPr>
          <w:ilvl w:val="0"/>
          <w:numId w:val="17"/>
        </w:numPr>
        <w:spacing w:line="240" w:lineRule="auto"/>
        <w:ind w:left="720"/>
      </w:pPr>
      <w:r>
        <w:rPr>
          <w:lang w:val="en_US" w:bidi="en_US"/>
        </w:rPr>
      </w:r>
      <w:r>
        <w:rPr>
          <w:lang w:val="en_US" w:bidi="en_US"/>
        </w:rPr>
        <w:t>Many people attempted to compile an account of what happened among them (that is, of Jesus’ life) (1:1a–b).</w:t>
      </w:r>
    </w:p>
    <w:p>
      <w:pPr>
        <w:pStyle w:val="ListNumber"/>
        <w:spacing w:line="240" w:lineRule="auto"/>
        <w:ind w:left="720"/>
      </w:pPr>
      <w:r>
        <w:rPr>
          <w:lang w:val="en_US" w:bidi="en_US"/>
        </w:rPr>
      </w:r>
      <w:r>
        <w:rPr>
          <w:lang w:val="en_US" w:bidi="en_US"/>
        </w:rPr>
        <w:t>They wrote what eyewitnesses told them (1:2a–c).</w:t>
      </w:r>
    </w:p>
    <w:p>
      <w:pPr>
        <w:pStyle w:val="ListNumber"/>
        <w:spacing w:line="240" w:lineRule="auto"/>
        <w:ind w:left="720"/>
      </w:pPr>
      <w:r>
        <w:rPr>
          <w:lang w:val="en_US" w:bidi="en_US"/>
        </w:rPr>
      </w:r>
      <w:r>
        <w:rPr>
          <w:lang w:val="en_US" w:bidi="en_US"/>
        </w:rPr>
        <w:t>Luke also investigated all those things carefully (1:3a).</w:t>
      </w:r>
    </w:p>
    <w:p>
      <w:pPr>
        <w:pStyle w:val="ListNumber"/>
        <w:spacing w:line="240" w:lineRule="auto"/>
        <w:ind w:left="720"/>
      </w:pPr>
      <w:r>
        <w:rPr>
          <w:lang w:val="en_US" w:bidi="en_US"/>
        </w:rPr>
      </w:r>
      <w:r>
        <w:rPr>
          <w:lang w:val="en_US" w:bidi="en_US"/>
        </w:rPr>
        <w:t>Luke thought that he also should write those things in an orderly way for Theophilus (1:3b).</w:t>
      </w:r>
    </w:p>
    <w:p>
      <w:pPr>
        <w:pStyle w:val="ListNumber"/>
        <w:spacing w:line="240" w:lineRule="auto"/>
        <w:ind w:left="720"/>
      </w:pPr>
      <w:r>
        <w:rPr>
          <w:lang w:val="en_US" w:bidi="en_US"/>
        </w:rPr>
      </w:r>
      <w:r>
        <w:rPr>
          <w:lang w:val="en_US" w:bidi="en_US"/>
        </w:rPr>
        <w:t>Luke did this so that Theophilus could know that what he was taught was accurate (1:4).</w:t>
      </w:r>
    </w:p>
    <w:p>
      <w:pPr/>
      <w:r>
        <w:rPr>
          <w:lang w:val="en_US" w:bidi="en_US"/>
        </w:rPr>
      </w:r>
      <w:r>
        <w:rPr>
          <w:lang w:val="en_US" w:bidi="en_US"/>
        </w:rPr>
        <w:t>You should present these ideas in an order that is natural in your language. See the General Comments on 1:2a–c and 1:1–2 at the end of the notes on 1:2b–c for specific suggestions.</w:t>
      </w:r>
    </w:p>
    <w:p>
      <w:pPr/>
      <w:r>
        <w:rPr>
          <w:lang w:val="en_US" w:bidi="en_US"/>
        </w:rPr>
      </w:r>
      <w:r>
        <w:rPr>
          <w:lang w:val="en_US" w:bidi="en_US"/>
        </w:rPr>
        <w:t>You also need to think about how to connect the clauses. For example, in English there are different ways to connect the reasons in (a)-(c) with the result in (d):</w:t>
      </w:r>
    </w:p>
    <w:p>
      <w:pPr/>
      <w:r>
        <w:rPr>
          <w:lang w:val="en_US" w:bidi="en_US"/>
        </w:rPr>
      </w:r>
      <w:r>
        <w:rPr>
          <w:vertAlign w:val="superscript"/>
          <w:lang w:val="en_US" w:bidi="en_US"/>
        </w:rPr>
        <w:t>1a</w:t>
      </w:r>
      <w:r>
        <w:rPr>
          <w:lang w:val="en_US" w:bidi="en_US"/>
        </w:rPr>
        <w:t xml:space="preserve"> </w:t>
      </w:r>
      <w:r>
        <w:rPr>
          <w:u w:val="single"/>
          <w:lang w:val="en_US" w:bidi="en_US"/>
        </w:rPr>
        <w:t>Since</w:t>
      </w:r>
      <w:r>
        <w:rPr>
          <w:lang w:val="en_US" w:bidi="en_US"/>
        </w:rPr>
        <w:t xml:space="preserve"> many others have written a report on the things that have happened…</w:t>
      </w:r>
    </w:p>
    <w:p>
      <w:pPr/>
      <w:r>
        <w:rPr>
          <w:lang w:val="en_US" w:bidi="en_US"/>
        </w:rPr>
      </w:r>
      <w:r>
        <w:rPr>
          <w:vertAlign w:val="superscript"/>
          <w:lang w:val="en_US" w:bidi="en_US"/>
        </w:rPr>
        <w:t>3b</w:t>
      </w:r>
      <w:r>
        <w:rPr>
          <w:lang w:val="en_US" w:bidi="en_US"/>
        </w:rPr>
        <w:t>it seemed good for me to also write a report…. (See 1:1–4 in the RSV, NASB, NJB, KJV for similar examples.)</w:t>
      </w:r>
    </w:p>
    <w:p>
      <w:pPr/>
      <w:r>
        <w:rPr>
          <w:lang w:val="en_US" w:bidi="en_US"/>
        </w:rPr>
      </w:r>
      <w:r>
        <w:rPr>
          <w:vertAlign w:val="superscript"/>
          <w:lang w:val="en_US" w:bidi="en_US"/>
        </w:rPr>
        <w:t>1a</w:t>
      </w:r>
      <w:r>
        <w:rPr>
          <w:lang w:val="en_US" w:bidi="en_US"/>
        </w:rPr>
        <w:t>Many others have written a report on the things that have happened….</w:t>
      </w:r>
    </w:p>
    <w:p>
      <w:pPr/>
      <w:r>
        <w:rPr>
          <w:lang w:val="en_US" w:bidi="en_US"/>
        </w:rPr>
      </w:r>
      <w:r>
        <w:rPr>
          <w:vertAlign w:val="superscript"/>
          <w:lang w:val="en_US" w:bidi="en_US"/>
        </w:rPr>
        <w:t>3b</w:t>
      </w:r>
      <w:r>
        <w:rPr>
          <w:lang w:val="en_US" w:bidi="en_US"/>
        </w:rPr>
        <w:t xml:space="preserve"> </w:t>
      </w:r>
      <w:r>
        <w:rPr>
          <w:u w:val="single"/>
          <w:lang w:val="en_US" w:bidi="en_US"/>
        </w:rPr>
        <w:t>Therefore</w:t>
      </w:r>
      <w:r>
        <w:rPr>
          <w:lang w:val="en_US" w:bidi="en_US"/>
        </w:rPr>
        <w:t xml:space="preserve"> it seemed good for me to also write a report. (See 1:1–4 in the BSB, NIV, GNT, NET, CEV, GW, and JBP for similar examples.)</w:t>
      </w:r>
    </w:p>
    <w:p>
      <w:pPr/>
      <w:r>
        <w:rPr>
          <w:lang w:val="en_US" w:bidi="en_US"/>
        </w:rPr>
      </w:r>
      <w:r>
        <w:rPr>
          <w:lang w:val="en_US" w:bidi="en_US"/>
        </w:rPr>
        <w:t>You should connect the clauses in the most natural way in your language.</w:t>
      </w:r>
    </w:p>
    <w:p>
      <w:pPr/>
      <w:r>
        <w:rPr>
          <w:lang w:val="en_US" w:bidi="en_US"/>
        </w:rPr>
      </w:r>
      <w:r>
        <w:rPr>
          <w:lang w:val="en_US" w:bidi="en_US"/>
        </w:rPr>
        <w:t>Luke did not address Theophilus by name until near the end of his introduction. In some languages, it may be more appropriate to begin the introduction with Theophilus’ name. See the Display for 1:1a for an example.</w:t>
      </w:r>
    </w:p>
    <w:p>
      <w:pPr>
        <w:pStyle w:val="Heading5"/>
      </w:pPr>
      <w:r>
        <w:rPr>
          <w:lang w:val="en_US" w:bidi="en_US"/>
        </w:rPr>
        <w:t>1:3</w:t>
      </w:r>
    </w:p>
    <w:p>
      <w:pPr/>
      <w:r>
        <w:rPr>
          <w:lang w:val="en_US" w:bidi="en_US"/>
        </w:rPr>
      </w:r>
      <w:r>
        <w:rPr>
          <w:lang w:val="en_US" w:bidi="en_US"/>
        </w:rPr>
        <w:t>In 1:3, Luke said that he also had carefully investigated the events of Jesus’ life, like the other writers mentioned in 1:1–2. Luke implied that he could tell these events in a unique way that would be helpful to Theophilus and others. As a result, Luke had decided to write his own account of the events.</w:t>
      </w:r>
    </w:p>
    <w:p>
      <w:pPr/>
      <w:r>
        <w:rPr>
          <w:lang w:val="en_US" w:bidi="en_US"/>
        </w:rPr>
      </w:r>
      <w:r>
        <w:rPr>
          <w:lang w:val="en_US" w:bidi="en_US"/>
        </w:rPr>
        <w:t>In the Greek text, the clauses in this verse are in an order that may not be natural in some languages. The NET has followed the Greek order:</w:t>
      </w:r>
    </w:p>
    <w:p>
      <w:pPr/>
      <w:r>
        <w:rPr>
          <w:lang w:val="en_US" w:bidi="en_US"/>
        </w:rPr>
      </w:r>
      <w:r>
        <w:rPr>
          <w:vertAlign w:val="superscript"/>
          <w:lang w:val="en_US" w:bidi="en_US"/>
        </w:rPr>
        <w:t>3a</w:t>
      </w:r>
      <w:r>
        <w:rPr>
          <w:lang w:val="en_US" w:bidi="en_US"/>
        </w:rPr>
        <w:t xml:space="preserve">So </w:t>
      </w:r>
      <w:r>
        <w:rPr>
          <w:vertAlign w:val="superscript"/>
          <w:lang w:val="en_US" w:bidi="en_US"/>
        </w:rPr>
        <w:t>3c</w:t>
      </w:r>
      <w:r>
        <w:rPr>
          <w:lang w:val="en_US" w:bidi="en_US"/>
        </w:rPr>
        <w:t xml:space="preserve">it seemed good to me as well, </w:t>
      </w:r>
      <w:r>
        <w:rPr>
          <w:vertAlign w:val="superscript"/>
          <w:lang w:val="en_US" w:bidi="en_US"/>
        </w:rPr>
        <w:t>3a</w:t>
      </w:r>
      <w:r>
        <w:rPr>
          <w:lang w:val="en_US" w:bidi="en_US"/>
        </w:rPr>
        <w:t xml:space="preserve">because I have followed all things carefully </w:t>
      </w:r>
      <w:r>
        <w:rPr>
          <w:vertAlign w:val="superscript"/>
          <w:lang w:val="en_US" w:bidi="en_US"/>
        </w:rPr>
        <w:t>3b</w:t>
      </w:r>
      <w:r>
        <w:rPr>
          <w:lang w:val="en_US" w:bidi="en_US"/>
        </w:rPr>
        <w:t xml:space="preserve">from the beginning, </w:t>
      </w:r>
      <w:r>
        <w:rPr>
          <w:vertAlign w:val="superscript"/>
          <w:lang w:val="en_US" w:bidi="en_US"/>
        </w:rPr>
        <w:t>3d</w:t>
      </w:r>
      <w:r>
        <w:rPr>
          <w:lang w:val="en_US" w:bidi="en_US"/>
        </w:rPr>
        <w:t>to write an orderly account for you, most excellent Theophilus</w:t>
      </w:r>
    </w:p>
    <w:p>
      <w:pPr/>
      <w:r>
        <w:rPr>
          <w:lang w:val="en_US" w:bidi="en_US"/>
        </w:rPr>
      </w:r>
      <w:r>
        <w:rPr>
          <w:lang w:val="en_US" w:bidi="en_US"/>
        </w:rPr>
        <w:t>Many English versions have reordered 1:3. For example, the BSB has:</w:t>
      </w:r>
    </w:p>
    <w:p>
      <w:pPr/>
      <w:r>
        <w:rPr>
          <w:lang w:val="en_US" w:bidi="en_US"/>
        </w:rPr>
      </w:r>
      <w:r>
        <w:rPr>
          <w:lang w:val="en_US" w:bidi="en_US"/>
        </w:rPr>
        <w:t>Therefore, having carefully investigated everything from the beginning, it seemed good also to me to write an orderly account for you, most excellent Theophilus</w:t>
      </w:r>
    </w:p>
    <w:p>
      <w:pPr/>
      <w:r>
        <w:rPr>
          <w:lang w:val="en_US" w:bidi="en_US"/>
        </w:rPr>
      </w:r>
      <w:r>
        <w:rPr>
          <w:lang w:val="en_US" w:bidi="en_US"/>
        </w:rPr>
        <w:t>You should order the clauses in the way that is natural in your language.</w:t>
      </w:r>
    </w:p>
    <w:p>
      <w:pPr>
        <w:pStyle w:val="Heading5"/>
      </w:pPr>
      <w:r>
        <w:rPr>
          <w:lang w:val="en_US" w:bidi="en_US"/>
        </w:rPr>
        <w:t>1:3a</w:t>
      </w:r>
    </w:p>
    <w:p>
      <w:pPr/>
      <w:r>
        <w:rPr>
          <w:lang w:val="en_US" w:bidi="en_US"/>
        </w:rPr>
      </w:r>
      <w:r>
        <w:rPr>
          <w:b/>
          <w:lang w:val="en_US" w:bidi="en_US"/>
        </w:rPr>
        <w:t>Therefore, having carefully investigated everything</w:t>
      </w:r>
    </w:p>
    <w:p>
      <w:pPr>
        <w:pStyle w:val="ListBullet"/>
        <w:spacing w:line="240" w:lineRule="auto"/>
        <w:ind w:left="720"/>
      </w:pPr>
      <w:r>
        <w:rPr>
          <w:lang w:val="en_US" w:bidi="en_US"/>
        </w:rPr>
      </w:r>
      <w:r>
        <w:rPr>
          <w:lang w:val="en_US" w:bidi="en_US"/>
        </w:rPr>
        <w:t xml:space="preserve">So, since/because I myself have carefully studied/researched the whole story </w:t>
      </w:r>
      <w:r>
        <w:rPr>
          <w:lang w:val="en_US" w:bidi="en_US"/>
        </w:rPr>
        <w:t>of Jesus</w:t>
      </w:r>
      <w:r>
        <w:rPr>
          <w:lang w:val="en_US" w:bidi="en_US"/>
        </w:rPr>
        <w:t>,</w:t>
      </w:r>
    </w:p>
    <w:p>
      <w:pPr>
        <w:pStyle w:val="ListBullet"/>
        <w:spacing w:line="240" w:lineRule="auto"/>
        <w:ind w:left="720"/>
      </w:pPr>
      <w:r>
        <w:rPr>
          <w:lang w:val="en_US" w:bidi="en_US"/>
        </w:rPr>
      </w:r>
      <w:r>
        <w:rPr>
          <w:lang w:val="en_US" w:bidi="en_US"/>
        </w:rPr>
        <w:t xml:space="preserve">I, too, made a careful study of everything </w:t>
      </w:r>
      <w:r>
        <w:rPr>
          <w:lang w:val="en_US" w:bidi="en_US"/>
        </w:rPr>
        <w:t>about Jesus</w:t>
      </w:r>
      <w:r>
        <w:rPr>
          <w:lang w:val="en_US" w:bidi="en_US"/>
        </w:rPr>
        <w:t>,</w:t>
      </w:r>
    </w:p>
    <w:p>
      <w:pPr/>
      <w:r>
        <w:rPr>
          <w:lang w:val="en_US" w:bidi="en_US"/>
        </w:rPr>
      </w:r>
      <w:r>
        <w:rPr>
          <w:lang w:val="en_US" w:bidi="en_US"/>
        </w:rPr>
        <w:t>In order to simplify the long Greek sentence (1:1–4), the BSB, like many other English translations, begins a new sentence here at 1:3.</w:t>
      </w:r>
    </w:p>
    <w:p>
      <w:pPr/>
      <w:r>
        <w:rPr>
          <w:lang w:val="en_US" w:bidi="en_US"/>
        </w:rPr>
      </w:r>
      <w:r>
        <w:rPr>
          <w:b/>
          <w:lang w:val="en_US" w:bidi="en_US"/>
        </w:rPr>
        <w:t>Therefore:</w:t>
      </w:r>
      <w:r>
        <w:rPr>
          <w:lang w:val="en_US" w:bidi="en_US"/>
        </w:rPr>
        <w:t xml:space="preserve"> The BSB connects 1:3 to the previous sentence with the conjunction </w:t>
      </w:r>
      <w:r>
        <w:rPr>
          <w:i/>
          <w:lang w:val="en_US" w:bidi="en_US"/>
        </w:rPr>
        <w:t>Therefore</w:t>
      </w:r>
      <w:r>
        <w:rPr>
          <w:lang w:val="en_US" w:bidi="en_US"/>
        </w:rPr>
        <w:t>. See the notes at Paragraph 1:1–4 and 1:1a for advice on translating the connection between 1:1–2 and 1:3.</w:t>
      </w:r>
    </w:p>
    <w:p>
      <w:pPr/>
      <w:r>
        <w:rPr>
          <w:lang w:val="en_US" w:bidi="en_US"/>
        </w:rPr>
      </w:r>
      <w:r>
        <w:rPr>
          <w:b/>
          <w:lang w:val="en_US" w:bidi="en_US"/>
        </w:rPr>
        <w:t>having carefully investigated everything:</w:t>
      </w:r>
      <w:r>
        <w:rPr>
          <w:lang w:val="en_US" w:bidi="en_US"/>
        </w:rPr>
        <w:t xml:space="preserve"> There are two ways to interpret this clause:</w:t>
      </w:r>
    </w:p>
    <w:p>
      <w:pPr>
        <w:pStyle w:val="ListNumber"/>
        <w:numPr>
          <w:ilvl w:val="0"/>
          <w:numId w:val="18"/>
        </w:numPr>
        <w:spacing w:line="240" w:lineRule="auto"/>
        <w:ind w:left="720"/>
      </w:pPr>
      <w:r>
        <w:rPr>
          <w:lang w:val="en_US" w:bidi="en_US"/>
        </w:rPr>
      </w:r>
      <w:r>
        <w:rPr>
          <w:lang w:val="en_US" w:bidi="en_US"/>
        </w:rPr>
        <w:t xml:space="preserve">It gives a </w:t>
      </w:r>
      <w:r>
        <w:rPr>
          <w:u w:val="single"/>
          <w:lang w:val="en_US" w:bidi="en_US"/>
        </w:rPr>
        <w:t>reason</w:t>
      </w:r>
      <w:r>
        <w:rPr>
          <w:lang w:val="en_US" w:bidi="en_US"/>
        </w:rPr>
        <w:t xml:space="preserve"> why Luke wrote the account. For example:</w:t>
      </w:r>
      <w:r>
        <w:rPr>
          <w:lang w:val="en_US" w:bidi="en_US"/>
        </w:rPr>
        <w:t xml:space="preserve">Since I myself have studied everything carefully (NCV) </w:t>
      </w:r>
      <w:r>
        <w:rPr>
          <w:i/>
          <w:lang w:val="en_US" w:bidi="en_US"/>
        </w:rPr>
        <w:t>(BSB, NIV, GNT, NASB, NET, REB, NCV, GW)</w:t>
      </w:r>
    </w:p>
    <w:p>
      <w:pPr>
        <w:pStyle w:val="ListNumber"/>
        <w:spacing w:line="240" w:lineRule="auto"/>
        <w:ind w:left="720"/>
      </w:pPr>
      <w:r>
        <w:rPr>
          <w:lang w:val="en_US" w:bidi="en_US"/>
        </w:rPr>
      </w:r>
      <w:r>
        <w:rPr>
          <w:lang w:val="en_US" w:bidi="en_US"/>
        </w:rPr>
        <w:t xml:space="preserve">It indicates the </w:t>
      </w:r>
      <w:r>
        <w:rPr>
          <w:u w:val="single"/>
          <w:lang w:val="en_US" w:bidi="en_US"/>
        </w:rPr>
        <w:t>time sequence</w:t>
      </w:r>
      <w:r>
        <w:rPr>
          <w:lang w:val="en_US" w:bidi="en_US"/>
        </w:rPr>
        <w:t>. It tells what Luke did before he wrote the account. For example:</w:t>
      </w:r>
      <w:r>
        <w:rPr>
          <w:lang w:val="en_US" w:bidi="en_US"/>
        </w:rPr>
        <w:t xml:space="preserve">after investigating everything carefully (NRSV) </w:t>
      </w:r>
      <w:r>
        <w:rPr>
          <w:i/>
          <w:lang w:val="en_US" w:bidi="en_US"/>
        </w:rPr>
        <w:t>(RSV, NRSV, KJV, NJB, NLT, CEV)</w:t>
      </w:r>
    </w:p>
    <w:p>
      <w:pPr/>
      <w:r>
        <w:rPr>
          <w:lang w:val="en_US" w:bidi="en_US"/>
        </w:rPr>
      </w:r>
      <w:r>
        <w:rPr>
          <w:lang w:val="en_US" w:bidi="en_US"/>
        </w:rPr>
        <w:t>It is recommended that you follow interpretation (1). Although the Greek text does not explicitly state that this was one of Luke’s reasons for writing, it is implied.</w:t>
      </w:r>
    </w:p>
    <w:p>
      <w:pPr/>
      <w:r>
        <w:rPr>
          <w:lang w:val="en_US" w:bidi="en_US"/>
        </w:rPr>
      </w:r>
      <w:r>
        <w:rPr>
          <w:b/>
          <w:lang w:val="en_US" w:bidi="en_US"/>
        </w:rPr>
        <w:t>carefully investigated everything:</w:t>
      </w:r>
      <w:r>
        <w:rPr>
          <w:lang w:val="en_US" w:bidi="en_US"/>
        </w:rPr>
        <w:t xml:space="preserve"> The Greek phrase that the BSB translates as </w:t>
      </w:r>
      <w:r>
        <w:rPr>
          <w:i/>
          <w:lang w:val="en_US" w:bidi="en_US"/>
        </w:rPr>
        <w:t>carefully investigated everything</w:t>
      </w:r>
      <w:r>
        <w:rPr>
          <w:lang w:val="en_US" w:bidi="en_US"/>
        </w:rPr>
        <w:t xml:space="preserve"> indicates that Luke did research and got accurate information about all the major events in Jesus’ life. He spoke personally with people who had known Jesus, and he verified the things that he heard. He questioned people about the details of the events, and he recorded his information carefully. He also read the other accounts of Jesus’ life. Some other ways to translate </w:t>
      </w:r>
      <w:r>
        <w:rPr>
          <w:i/>
          <w:lang w:val="en_US" w:bidi="en_US"/>
        </w:rPr>
        <w:t>carefully investigated everything</w:t>
      </w:r>
      <w:r>
        <w:rPr>
          <w:lang w:val="en_US" w:bidi="en_US"/>
        </w:rPr>
        <w:t xml:space="preserve"> are:</w:t>
      </w:r>
    </w:p>
    <w:p>
      <w:pPr/>
      <w:r>
        <w:rPr>
          <w:lang w:val="en_US" w:bidi="en_US"/>
        </w:rPr>
      </w:r>
      <w:r>
        <w:rPr>
          <w:lang w:val="en_US" w:bidi="en_US"/>
        </w:rPr>
        <w:t xml:space="preserve">checked all the </w:t>
      </w:r>
      <w:r>
        <w:rPr>
          <w:lang w:val="en_US" w:bidi="en_US"/>
        </w:rPr>
        <w:t>facts</w:t>
      </w:r>
      <w:r>
        <w:rPr>
          <w:lang w:val="en_US" w:bidi="en_US"/>
        </w:rPr>
        <w:t xml:space="preserve"> carefully</w:t>
      </w:r>
    </w:p>
    <w:p>
      <w:pPr/>
      <w:r>
        <w:rPr>
          <w:lang w:val="en_US" w:bidi="en_US"/>
        </w:rPr>
      </w:r>
      <w:r>
        <w:rPr>
          <w:lang w:val="en_US" w:bidi="en_US"/>
        </w:rPr>
        <w:t xml:space="preserve">examined all the </w:t>
      </w:r>
      <w:r>
        <w:rPr>
          <w:lang w:val="en_US" w:bidi="en_US"/>
        </w:rPr>
        <w:t>information</w:t>
      </w:r>
      <w:r>
        <w:rPr>
          <w:lang w:val="en_US" w:bidi="en_US"/>
        </w:rPr>
        <w:t xml:space="preserve"> thoroughly</w:t>
      </w:r>
    </w:p>
    <w:p>
      <w:pPr/>
      <w:r>
        <w:rPr>
          <w:lang w:val="en_US" w:bidi="en_US"/>
        </w:rPr>
      </w:r>
      <w:r>
        <w:rPr>
          <w:lang w:val="en_US" w:bidi="en_US"/>
        </w:rPr>
        <w:t>studied all these matters in detail</w:t>
      </w:r>
    </w:p>
    <w:p>
      <w:pPr>
        <w:pStyle w:val="Heading5"/>
      </w:pPr>
      <w:r>
        <w:rPr>
          <w:lang w:val="en_US" w:bidi="en_US"/>
        </w:rPr>
        <w:t>1:3b</w:t>
      </w:r>
    </w:p>
    <w:p>
      <w:pPr/>
      <w:r>
        <w:rPr>
          <w:lang w:val="en_US" w:bidi="en_US"/>
        </w:rPr>
      </w:r>
      <w:r>
        <w:rPr>
          <w:b/>
          <w:lang w:val="en_US" w:bidi="en_US"/>
        </w:rPr>
        <w:t>from the beginning,</w:t>
      </w:r>
    </w:p>
    <w:p>
      <w:pPr>
        <w:pStyle w:val="ListBullet"/>
        <w:spacing w:line="240" w:lineRule="auto"/>
        <w:ind w:left="720"/>
      </w:pPr>
      <w:r>
        <w:rPr>
          <w:lang w:val="en_US" w:bidi="en_US"/>
        </w:rPr>
      </w:r>
      <w:r>
        <w:rPr>
          <w:lang w:val="en_US" w:bidi="en_US"/>
        </w:rPr>
        <w:t>including its beginning,</w:t>
      </w:r>
    </w:p>
    <w:p>
      <w:pPr>
        <w:pStyle w:val="ListBullet"/>
        <w:spacing w:line="240" w:lineRule="auto"/>
        <w:ind w:left="720"/>
      </w:pPr>
      <w:r>
        <w:rPr>
          <w:lang w:val="en_US" w:bidi="en_US"/>
        </w:rPr>
      </w:r>
      <w:r>
        <w:rPr>
          <w:lang w:val="en_US" w:bidi="en_US"/>
        </w:rPr>
        <w:t xml:space="preserve">beginning </w:t>
      </w:r>
      <w:r>
        <w:rPr>
          <w:lang w:val="en_US" w:bidi="en_US"/>
        </w:rPr>
        <w:t>with the events that preceded his birth</w:t>
      </w:r>
      <w:r>
        <w:rPr>
          <w:lang w:val="en_US" w:bidi="en_US"/>
        </w:rPr>
        <w:t>.</w:t>
      </w:r>
    </w:p>
    <w:p>
      <w:pPr/>
      <w:r>
        <w:rPr>
          <w:lang w:val="en_US" w:bidi="en_US"/>
        </w:rPr>
      </w:r>
      <w:r>
        <w:rPr>
          <w:b/>
          <w:lang w:val="en_US" w:bidi="en_US"/>
        </w:rPr>
        <w:t>from the beginning:</w:t>
      </w:r>
      <w:r>
        <w:rPr>
          <w:lang w:val="en_US" w:bidi="en_US"/>
        </w:rPr>
        <w:t xml:space="preserve"> The Greek word that the BSB translates as </w:t>
      </w:r>
      <w:r>
        <w:rPr>
          <w:i/>
          <w:lang w:val="en_US" w:bidi="en_US"/>
        </w:rPr>
        <w:t>from the beginning</w:t>
      </w:r>
      <w:r>
        <w:rPr>
          <w:lang w:val="en_US" w:bidi="en_US"/>
        </w:rPr>
        <w:t xml:space="preserve"> refers here to </w:t>
      </w:r>
      <w:r>
        <w:rPr>
          <w:i/>
          <w:lang w:val="en_US" w:bidi="en_US"/>
        </w:rPr>
        <w:t>the beginning</w:t>
      </w:r>
      <w:r>
        <w:rPr>
          <w:lang w:val="en_US" w:bidi="en_US"/>
        </w:rPr>
        <w:t xml:space="preserve"> of the story about Jesus. This story starts with the prophecies about the births of John the Baptizer and Jesus. Luke investigated the whole story of Jesus, including the story of his birth. This does not mean that Luke was present at the beginning of the story or that he started his investigation at the time when Jesus was born.</w:t>
      </w:r>
    </w:p>
    <w:p>
      <w:pPr>
        <w:pStyle w:val="Heading5"/>
      </w:pPr>
      <w:r>
        <w:rPr>
          <w:lang w:val="en_US" w:bidi="en_US"/>
        </w:rPr>
        <w:t>1:3c</w:t>
      </w:r>
    </w:p>
    <w:p>
      <w:pPr/>
      <w:r>
        <w:rPr>
          <w:lang w:val="en_US" w:bidi="en_US"/>
        </w:rPr>
      </w:r>
      <w:r>
        <w:rPr>
          <w:b/>
          <w:lang w:val="en_US" w:bidi="en_US"/>
        </w:rPr>
        <w:t>it seemed good also to me</w:t>
      </w:r>
    </w:p>
    <w:p>
      <w:pPr>
        <w:pStyle w:val="ListBullet"/>
        <w:spacing w:line="240" w:lineRule="auto"/>
        <w:ind w:left="720"/>
      </w:pPr>
      <w:r>
        <w:rPr>
          <w:lang w:val="en_US" w:bidi="en_US"/>
        </w:rPr>
      </w:r>
      <w:r>
        <w:rPr>
          <w:lang w:val="en_US" w:bidi="en_US"/>
        </w:rPr>
        <w:t>it seemed good to me also</w:t>
      </w:r>
    </w:p>
    <w:p>
      <w:pPr>
        <w:pStyle w:val="ListBullet"/>
        <w:spacing w:line="240" w:lineRule="auto"/>
        <w:ind w:left="720"/>
      </w:pPr>
      <w:r>
        <w:rPr>
          <w:lang w:val="en_US" w:bidi="en_US"/>
        </w:rPr>
      </w:r>
      <w:r>
        <w:rPr>
          <w:lang w:val="en_US" w:bidi="en_US"/>
        </w:rPr>
        <w:t>I thought that it would be good for me also</w:t>
      </w:r>
    </w:p>
    <w:p>
      <w:pPr>
        <w:pStyle w:val="ListBullet"/>
        <w:spacing w:line="240" w:lineRule="auto"/>
        <w:ind w:left="720"/>
      </w:pPr>
      <w:r>
        <w:rPr>
          <w:lang w:val="en_US" w:bidi="en_US"/>
        </w:rPr>
      </w:r>
      <w:r>
        <w:rPr>
          <w:lang w:val="en_US" w:bidi="en_US"/>
        </w:rPr>
        <w:t>So</w:t>
      </w:r>
      <w:r>
        <w:rPr>
          <w:lang w:val="en_US" w:bidi="en_US"/>
        </w:rPr>
        <w:t xml:space="preserve"> I too decided that I should</w:t>
      </w:r>
    </w:p>
    <w:p>
      <w:pPr>
        <w:pStyle w:val="Heading5"/>
      </w:pPr>
      <w:r>
        <w:rPr>
          <w:lang w:val="en_US" w:bidi="en_US"/>
        </w:rPr>
        <w:t>1:3d</w:t>
      </w:r>
    </w:p>
    <w:p>
      <w:pPr/>
      <w:r>
        <w:rPr>
          <w:lang w:val="en_US" w:bidi="en_US"/>
        </w:rPr>
      </w:r>
      <w:r>
        <w:rPr>
          <w:b/>
          <w:lang w:val="en_US" w:bidi="en_US"/>
        </w:rPr>
        <w:t>to write an orderly account for you, most excellent Theophilus,</w:t>
      </w:r>
    </w:p>
    <w:p>
      <w:pPr>
        <w:pStyle w:val="ListBullet"/>
        <w:spacing w:line="240" w:lineRule="auto"/>
        <w:ind w:left="720"/>
      </w:pPr>
      <w:r>
        <w:rPr>
          <w:lang w:val="en_US" w:bidi="en_US"/>
        </w:rPr>
      </w:r>
      <w:r>
        <w:rPr>
          <w:lang w:val="en_US" w:bidi="en_US"/>
        </w:rPr>
        <w:t>to write an ordered narrative for you,</w:t>
      </w:r>
      <w:r>
        <w:rPr>
          <w:vertAlign w:val="superscript"/>
          <w:lang w:val="en_US" w:bidi="en_US"/>
        </w:rPr>
        <w:t>(sing)</w:t>
      </w:r>
      <w:r>
        <w:rPr>
          <w:lang w:val="en_US" w:bidi="en_US"/>
        </w:rPr>
        <w:t xml:space="preserve"> esteemed Theophilus,</w:t>
      </w:r>
    </w:p>
    <w:p>
      <w:pPr>
        <w:pStyle w:val="ListBullet"/>
        <w:spacing w:line="240" w:lineRule="auto"/>
        <w:ind w:left="720"/>
      </w:pPr>
      <w:r>
        <w:rPr>
          <w:lang w:val="en_US" w:bidi="en_US"/>
        </w:rPr>
      </w:r>
      <w:r>
        <w:rPr>
          <w:lang w:val="en_US" w:bidi="en_US"/>
        </w:rPr>
        <w:t xml:space="preserve">to write to you whom </w:t>
      </w:r>
      <w:r>
        <w:rPr>
          <w:lang w:val="en_US" w:bidi="en_US"/>
        </w:rPr>
        <w:t>people</w:t>
      </w:r>
      <w:r>
        <w:rPr>
          <w:lang w:val="en_US" w:bidi="en_US"/>
        </w:rPr>
        <w:t xml:space="preserve"> respect so greatly, and tell you</w:t>
      </w:r>
      <w:r>
        <w:rPr>
          <w:vertAlign w:val="superscript"/>
          <w:lang w:val="en_US" w:bidi="en_US"/>
        </w:rPr>
        <w:t>(sing)</w:t>
      </w:r>
      <w:r>
        <w:rPr>
          <w:lang w:val="en_US" w:bidi="en_US"/>
        </w:rPr>
        <w:t xml:space="preserve"> clearly/exactly what happened,</w:t>
      </w:r>
    </w:p>
    <w:p>
      <w:pPr>
        <w:pStyle w:val="ListBullet"/>
        <w:spacing w:line="240" w:lineRule="auto"/>
        <w:ind w:left="720"/>
      </w:pPr>
      <w:r>
        <w:rPr>
          <w:lang w:val="en_US" w:bidi="en_US"/>
        </w:rPr>
      </w:r>
      <w:r>
        <w:rPr>
          <w:lang w:val="en_US" w:bidi="en_US"/>
        </w:rPr>
        <w:t>write it out for you</w:t>
      </w:r>
      <w:r>
        <w:rPr>
          <w:vertAlign w:val="superscript"/>
          <w:lang w:val="en_US" w:bidi="en_US"/>
        </w:rPr>
        <w:t>(sing)</w:t>
      </w:r>
      <w:r>
        <w:rPr>
          <w:lang w:val="en_US" w:bidi="en_US"/>
        </w:rPr>
        <w:t xml:space="preserve"> and put it in order </w:t>
      </w:r>
      <w:r>
        <w:rPr>
          <w:lang w:val="en_US" w:bidi="en_US"/>
        </w:rPr>
        <w:t>in a book</w:t>
      </w:r>
      <w:r>
        <w:rPr>
          <w:lang w:val="en_US" w:bidi="en_US"/>
        </w:rPr>
        <w:t>.</w:t>
      </w:r>
    </w:p>
    <w:p>
      <w:pPr>
        <w:pStyle w:val="Heading5"/>
      </w:pPr>
      <w:r>
        <w:rPr>
          <w:lang w:val="en_US" w:bidi="en_US"/>
        </w:rPr>
        <w:t>1:3c–d</w:t>
      </w:r>
    </w:p>
    <w:p>
      <w:pPr/>
      <w:r>
        <w:rPr>
          <w:lang w:val="en_US" w:bidi="en_US"/>
        </w:rPr>
      </w:r>
      <w:r>
        <w:rPr>
          <w:b/>
          <w:lang w:val="en_US" w:bidi="en_US"/>
        </w:rPr>
        <w:t>it seemed good also to me to write an orderly account:</w:t>
      </w:r>
      <w:r>
        <w:rPr>
          <w:lang w:val="en_US" w:bidi="en_US"/>
        </w:rPr>
        <w:t xml:space="preserve"> The Greek phrase that the BSB translates as </w:t>
      </w:r>
      <w:r>
        <w:rPr>
          <w:i/>
          <w:lang w:val="en_US" w:bidi="en_US"/>
        </w:rPr>
        <w:t>it seemed good also to me</w:t>
      </w:r>
      <w:r>
        <w:rPr>
          <w:lang w:val="en_US" w:bidi="en_US"/>
        </w:rPr>
        <w:t xml:space="preserve"> means, “I decided that it would be good for me also to….” Some other ways to translate </w:t>
      </w:r>
      <w:r>
        <w:rPr>
          <w:i/>
          <w:lang w:val="en_US" w:bidi="en_US"/>
        </w:rPr>
        <w:t>it seemed good also to me to write an orderly account</w:t>
      </w:r>
      <w:r>
        <w:rPr>
          <w:lang w:val="en_US" w:bidi="en_US"/>
        </w:rPr>
        <w:t xml:space="preserve"> are:</w:t>
      </w:r>
    </w:p>
    <w:p>
      <w:pPr/>
      <w:r>
        <w:rPr>
          <w:lang w:val="en_US" w:bidi="en_US"/>
        </w:rPr>
      </w:r>
      <w:r>
        <w:rPr>
          <w:lang w:val="en_US" w:bidi="en_US"/>
        </w:rPr>
        <w:t>I also have decided to write a careful account (NLT)</w:t>
      </w:r>
    </w:p>
    <w:p>
      <w:pPr/>
      <w:r>
        <w:rPr>
          <w:lang w:val="en_US" w:bidi="en_US"/>
        </w:rPr>
      </w:r>
      <w:r>
        <w:rPr>
          <w:lang w:val="en_US" w:bidi="en_US"/>
        </w:rPr>
        <w:t>I thought it would be a good idea to write an orderly account (GW)</w:t>
      </w:r>
    </w:p>
    <w:p>
      <w:pPr/>
      <w:r>
        <w:rPr>
          <w:lang w:val="en_US" w:bidi="en_US"/>
        </w:rPr>
      </w:r>
      <w:r>
        <w:rPr>
          <w:b/>
          <w:lang w:val="en_US" w:bidi="en_US"/>
        </w:rPr>
        <w:t>also to me:</w:t>
      </w:r>
      <w:r>
        <w:rPr>
          <w:lang w:val="en_US" w:bidi="en_US"/>
        </w:rPr>
        <w:t xml:space="preserve"> The word </w:t>
      </w:r>
      <w:r>
        <w:rPr>
          <w:i/>
          <w:lang w:val="en_US" w:bidi="en_US"/>
        </w:rPr>
        <w:t>also</w:t>
      </w:r>
      <w:r>
        <w:rPr>
          <w:lang w:val="en_US" w:bidi="en_US"/>
        </w:rPr>
        <w:t xml:space="preserve"> here refers to the fact that Luke, as well as the many other writers mentioned in 1:1, would write an account.</w:t>
      </w:r>
    </w:p>
    <w:p>
      <w:pPr/>
      <w:r>
        <w:rPr>
          <w:lang w:val="en_US" w:bidi="en_US"/>
        </w:rPr>
      </w:r>
      <w:r>
        <w:rPr>
          <w:b/>
          <w:lang w:val="en_US" w:bidi="en_US"/>
        </w:rPr>
        <w:t>to write an orderly account:</w:t>
      </w:r>
      <w:r>
        <w:rPr>
          <w:lang w:val="en_US" w:bidi="en_US"/>
        </w:rPr>
        <w:t xml:space="preserve"> The Greek word that the BSB translates as </w:t>
      </w:r>
      <w:r>
        <w:rPr>
          <w:i/>
          <w:lang w:val="en_US" w:bidi="en_US"/>
        </w:rPr>
        <w:t>an orderly account</w:t>
      </w:r>
      <w:r>
        <w:rPr>
          <w:lang w:val="en_US" w:bidi="en_US"/>
        </w:rPr>
        <w:t xml:space="preserve"> describes the way in which Luke wrote. He wrote in a clear, logical, and well-organized way. This does not mean that Luke wrote all the events in the exact order in which they happened.</w:t>
      </w:r>
    </w:p>
    <w:p>
      <w:pPr/>
      <w:r>
        <w:rPr>
          <w:lang w:val="en_US" w:bidi="en_US"/>
        </w:rPr>
      </w:r>
      <w:r>
        <w:rPr>
          <w:b/>
          <w:lang w:val="en_US" w:bidi="en_US"/>
        </w:rPr>
        <w:t>most excellent Theophilus:</w:t>
      </w:r>
      <w:r>
        <w:rPr>
          <w:lang w:val="en_US" w:bidi="en_US"/>
        </w:rPr>
        <w:t xml:space="preserve"> The Greek word that the BSB translates as </w:t>
      </w:r>
      <w:r>
        <w:rPr>
          <w:i/>
          <w:lang w:val="en_US" w:bidi="en_US"/>
        </w:rPr>
        <w:t>most excellent</w:t>
      </w:r>
      <w:r>
        <w:rPr>
          <w:lang w:val="en_US" w:bidi="en_US"/>
        </w:rPr>
        <w:t xml:space="preserve"> indicates that </w:t>
      </w:r>
      <w:r>
        <w:rPr>
          <w:i/>
          <w:lang w:val="en_US" w:bidi="en_US"/>
        </w:rPr>
        <w:t>Theophilus</w:t>
      </w:r>
      <w:r>
        <w:rPr>
          <w:lang w:val="en_US" w:bidi="en_US"/>
        </w:rPr>
        <w:t xml:space="preserve"> was important or wealthy. Luke wrote respectfully and used a special term to show honor to Theophilus.</w:t>
      </w:r>
    </w:p>
    <w:p>
      <w:pPr/>
      <w:r>
        <w:rPr>
          <w:lang w:val="en_US" w:bidi="en_US"/>
        </w:rPr>
      </w:r>
      <w:r>
        <w:rPr>
          <w:lang w:val="en_US" w:bidi="en_US"/>
        </w:rPr>
        <w:t>The form</w:t>
      </w:r>
      <w:r>
        <w:rPr>
          <w:lang w:val="en_US" w:bidi="en_US"/>
        </w:rPr>
        <w:t>The Greek word is in a superlative form.</w:t>
      </w:r>
      <w:r>
        <w:rPr>
          <w:lang w:val="en_US" w:bidi="en_US"/>
        </w:rPr>
        <w:t xml:space="preserve"> of this word in Greek sometimes implies a comparison with other people. However, in this context it simply describes Theophilus himself as honorable or respected. It was a way for Luke to address him as a person of high status. Use a natural way in your language to address someone who has high status. Some ways to translate this in English are:</w:t>
      </w:r>
    </w:p>
    <w:p>
      <w:pPr/>
      <w:r>
        <w:rPr>
          <w:lang w:val="en_US" w:bidi="en_US"/>
        </w:rPr>
      </w:r>
      <w:r>
        <w:rPr>
          <w:lang w:val="en_US" w:bidi="en_US"/>
        </w:rPr>
        <w:t>honorable Theophilus</w:t>
      </w:r>
    </w:p>
    <w:p>
      <w:pPr/>
      <w:r>
        <w:rPr>
          <w:lang w:val="en_US" w:bidi="en_US"/>
        </w:rPr>
      </w:r>
      <w:r>
        <w:rPr>
          <w:lang w:val="en_US" w:bidi="en_US"/>
        </w:rPr>
        <w:t>highly respected Theophilus</w:t>
      </w:r>
    </w:p>
    <w:p>
      <w:pPr/>
      <w:r>
        <w:rPr>
          <w:lang w:val="en_US" w:bidi="en_US"/>
        </w:rPr>
      </w:r>
      <w:r>
        <w:rPr>
          <w:lang w:val="en_US" w:bidi="en_US"/>
        </w:rPr>
        <w:t xml:space="preserve">You may need to put the phrase </w:t>
      </w:r>
      <w:r>
        <w:rPr>
          <w:i/>
          <w:lang w:val="en_US" w:bidi="en_US"/>
        </w:rPr>
        <w:t>most excellent Theophilus</w:t>
      </w:r>
      <w:r>
        <w:rPr>
          <w:lang w:val="en_US" w:bidi="en_US"/>
        </w:rPr>
        <w:t xml:space="preserve"> at the beginning of the introduction in 1:1a. If you do this, you probably do not have to repeat it here. In some languages, it may not be natural to insert the phrase </w:t>
      </w:r>
      <w:r>
        <w:rPr>
          <w:i/>
          <w:lang w:val="en_US" w:bidi="en_US"/>
        </w:rPr>
        <w:t>most excellent Theophilus</w:t>
      </w:r>
      <w:r>
        <w:rPr>
          <w:lang w:val="en_US" w:bidi="en_US"/>
        </w:rPr>
        <w:t xml:space="preserve"> here in 1:3d. See the General Comment on 1:1–4 at the end of the notes on 1:4 for other suggestions.</w:t>
      </w:r>
      <w:r>
        <w:rPr>
          <w:lang w:val="en_US" w:bidi="en_US"/>
        </w:rPr>
      </w:r>
      <w:r>
        <w:rPr>
          <w:lang w:val="en_US" w:bidi="en_US"/>
        </w:rPr>
      </w:r>
    </w:p>
    <w:p>
      <w:pPr/>
      <w:r>
        <w:rPr>
          <w:lang w:val="en_US" w:bidi="en_US"/>
        </w:rPr>
      </w:r>
    </w:p>
    <w:p>
      <w:pPr>
        <w:pStyle w:val="Heading2"/>
      </w:pPr>
      <w:r>
        <w:rPr>
          <w:lang w:val="en_US" w:bidi="en_US"/>
        </w:rPr>
        <w:t>Luke 1:4</w:t>
      </w:r>
      <w:r>
        <w:rPr>
          <w:lang w:val="en_US" w:bidi="en_US"/>
        </w:rPr>
      </w:r>
    </w:p>
    <w:p>
      <w:pPr>
        <w:pStyle w:val="Heading4"/>
      </w:pPr>
      <w:r>
        <w:rPr>
          <w:lang w:val="en_US" w:bidi="en_US"/>
        </w:rPr>
        <w:t>Section 1:1–4: Luke wrote this book about Jesus for Theophilus</w:t>
      </w:r>
    </w:p>
    <w:p>
      <w:pPr/>
      <w:r>
        <w:rPr>
          <w:lang w:val="en_US" w:bidi="en_US"/>
        </w:rPr>
      </w:r>
      <w:r>
        <w:rPr>
          <w:lang w:val="en_US" w:bidi="en_US"/>
        </w:rPr>
        <w:t>In these Notes, Luke 1:1–4 is both a division and a section of the book of Luke. You may want to include a section heading here. It is good to read the verses before you decide on a heading for the section.</w:t>
      </w:r>
    </w:p>
    <w:p>
      <w:pPr/>
      <w:r>
        <w:rPr>
          <w:lang w:val="en_US" w:bidi="en_US"/>
        </w:rPr>
      </w:r>
      <w:r>
        <w:rPr>
          <w:lang w:val="en_US" w:bidi="en_US"/>
        </w:rPr>
        <w:t>Some other possible headings for this section are:</w:t>
      </w:r>
    </w:p>
    <w:p>
      <w:pPr/>
      <w:r>
        <w:rPr>
          <w:lang w:val="en_US" w:bidi="en_US"/>
        </w:rPr>
      </w:r>
      <w:r>
        <w:rPr>
          <w:lang w:val="en_US" w:bidi="en_US"/>
        </w:rPr>
        <w:t>Luke writes to Theophilus about Jesus</w:t>
      </w:r>
    </w:p>
    <w:p>
      <w:pPr/>
      <w:r>
        <w:rPr>
          <w:lang w:val="en_US" w:bidi="en_US"/>
        </w:rPr>
      </w:r>
      <w:r>
        <w:rPr>
          <w:lang w:val="en_US" w:bidi="en_US"/>
        </w:rPr>
        <w:t>Luke addressed this book to Theophilus</w:t>
      </w:r>
    </w:p>
    <w:p>
      <w:pPr/>
      <w:r>
        <w:rPr>
          <w:lang w:val="en_US" w:bidi="en_US"/>
        </w:rPr>
      </w:r>
      <w:r>
        <w:rPr>
          <w:lang w:val="en_US" w:bidi="en_US"/>
        </w:rPr>
        <w:t>Luke’s purpose in writing this book</w:t>
      </w:r>
    </w:p>
    <w:p>
      <w:pPr>
        <w:pStyle w:val="Heading4"/>
      </w:pPr>
      <w:r>
        <w:rPr>
          <w:lang w:val="en_US" w:bidi="en_US"/>
        </w:rPr>
        <w:t>Paragraph 1:1–4</w:t>
      </w:r>
    </w:p>
    <w:p>
      <w:pPr/>
      <w:r>
        <w:rPr>
          <w:lang w:val="en_US" w:bidi="en_US"/>
        </w:rPr>
      </w:r>
      <w:r>
        <w:rPr>
          <w:lang w:val="en_US" w:bidi="en_US"/>
        </w:rPr>
        <w:t>Paragraph 1:1–4 in the Greek text is one long sentence. In some languages, it may be natural to use more than one sentence for this paragraph. For example, the GNT uses four sentences.</w:t>
      </w:r>
    </w:p>
    <w:p>
      <w:pPr/>
      <w:r>
        <w:rPr>
          <w:lang w:val="en_US" w:bidi="en_US"/>
        </w:rPr>
      </w:r>
      <w:r>
        <w:rPr>
          <w:lang w:val="en_US" w:bidi="en_US"/>
        </w:rPr>
        <w:t>The Greek sentence in 1:1–4 talks about several events and ideas. It mentions them in an order that may not be natural in some languages. Here are the main ideas:</w:t>
      </w:r>
    </w:p>
    <w:p>
      <w:pPr>
        <w:pStyle w:val="ListNumber"/>
        <w:numPr>
          <w:ilvl w:val="0"/>
          <w:numId w:val="19"/>
        </w:numPr>
        <w:spacing w:line="240" w:lineRule="auto"/>
        <w:ind w:left="720"/>
      </w:pPr>
      <w:r>
        <w:rPr>
          <w:lang w:val="en_US" w:bidi="en_US"/>
        </w:rPr>
      </w:r>
      <w:r>
        <w:rPr>
          <w:lang w:val="en_US" w:bidi="en_US"/>
        </w:rPr>
        <w:t>Many people attempted to compile an account of what happened among them (that is, of Jesus’ life) (1:1a–b).</w:t>
      </w:r>
    </w:p>
    <w:p>
      <w:pPr>
        <w:pStyle w:val="ListNumber"/>
        <w:spacing w:line="240" w:lineRule="auto"/>
        <w:ind w:left="720"/>
      </w:pPr>
      <w:r>
        <w:rPr>
          <w:lang w:val="en_US" w:bidi="en_US"/>
        </w:rPr>
      </w:r>
      <w:r>
        <w:rPr>
          <w:lang w:val="en_US" w:bidi="en_US"/>
        </w:rPr>
        <w:t>They wrote what eyewitnesses told them (1:2a–c).</w:t>
      </w:r>
    </w:p>
    <w:p>
      <w:pPr>
        <w:pStyle w:val="ListNumber"/>
        <w:spacing w:line="240" w:lineRule="auto"/>
        <w:ind w:left="720"/>
      </w:pPr>
      <w:r>
        <w:rPr>
          <w:lang w:val="en_US" w:bidi="en_US"/>
        </w:rPr>
      </w:r>
      <w:r>
        <w:rPr>
          <w:lang w:val="en_US" w:bidi="en_US"/>
        </w:rPr>
        <w:t>Luke also investigated all those things carefully (1:3a).</w:t>
      </w:r>
    </w:p>
    <w:p>
      <w:pPr>
        <w:pStyle w:val="ListNumber"/>
        <w:spacing w:line="240" w:lineRule="auto"/>
        <w:ind w:left="720"/>
      </w:pPr>
      <w:r>
        <w:rPr>
          <w:lang w:val="en_US" w:bidi="en_US"/>
        </w:rPr>
      </w:r>
      <w:r>
        <w:rPr>
          <w:lang w:val="en_US" w:bidi="en_US"/>
        </w:rPr>
        <w:t>Luke thought that he also should write those things in an orderly way for Theophilus (1:3b).</w:t>
      </w:r>
    </w:p>
    <w:p>
      <w:pPr>
        <w:pStyle w:val="ListNumber"/>
        <w:spacing w:line="240" w:lineRule="auto"/>
        <w:ind w:left="720"/>
      </w:pPr>
      <w:r>
        <w:rPr>
          <w:lang w:val="en_US" w:bidi="en_US"/>
        </w:rPr>
      </w:r>
      <w:r>
        <w:rPr>
          <w:lang w:val="en_US" w:bidi="en_US"/>
        </w:rPr>
        <w:t>Luke did this so that Theophilus could know that what he was taught was accurate (1:4).</w:t>
      </w:r>
    </w:p>
    <w:p>
      <w:pPr/>
      <w:r>
        <w:rPr>
          <w:lang w:val="en_US" w:bidi="en_US"/>
        </w:rPr>
      </w:r>
      <w:r>
        <w:rPr>
          <w:lang w:val="en_US" w:bidi="en_US"/>
        </w:rPr>
        <w:t>You should present these ideas in an order that is natural in your language. See the General Comments on 1:2a–c and 1:1–2 at the end of the notes on 1:2b–c for specific suggestions.</w:t>
      </w:r>
    </w:p>
    <w:p>
      <w:pPr/>
      <w:r>
        <w:rPr>
          <w:lang w:val="en_US" w:bidi="en_US"/>
        </w:rPr>
      </w:r>
      <w:r>
        <w:rPr>
          <w:lang w:val="en_US" w:bidi="en_US"/>
        </w:rPr>
        <w:t>You also need to think about how to connect the clauses. For example, in English there are different ways to connect the reasons in (a)-(c) with the result in (d):</w:t>
      </w:r>
    </w:p>
    <w:p>
      <w:pPr/>
      <w:r>
        <w:rPr>
          <w:lang w:val="en_US" w:bidi="en_US"/>
        </w:rPr>
      </w:r>
      <w:r>
        <w:rPr>
          <w:vertAlign w:val="superscript"/>
          <w:lang w:val="en_US" w:bidi="en_US"/>
        </w:rPr>
        <w:t>1a</w:t>
      </w:r>
      <w:r>
        <w:rPr>
          <w:lang w:val="en_US" w:bidi="en_US"/>
        </w:rPr>
        <w:t xml:space="preserve"> </w:t>
      </w:r>
      <w:r>
        <w:rPr>
          <w:u w:val="single"/>
          <w:lang w:val="en_US" w:bidi="en_US"/>
        </w:rPr>
        <w:t>Since</w:t>
      </w:r>
      <w:r>
        <w:rPr>
          <w:lang w:val="en_US" w:bidi="en_US"/>
        </w:rPr>
        <w:t xml:space="preserve"> many others have written a report on the things that have happened…</w:t>
      </w:r>
    </w:p>
    <w:p>
      <w:pPr/>
      <w:r>
        <w:rPr>
          <w:lang w:val="en_US" w:bidi="en_US"/>
        </w:rPr>
      </w:r>
      <w:r>
        <w:rPr>
          <w:vertAlign w:val="superscript"/>
          <w:lang w:val="en_US" w:bidi="en_US"/>
        </w:rPr>
        <w:t>3b</w:t>
      </w:r>
      <w:r>
        <w:rPr>
          <w:lang w:val="en_US" w:bidi="en_US"/>
        </w:rPr>
        <w:t>it seemed good for me to also write a report…. (See 1:1–4 in the RSV, NASB, NJB, KJV for similar examples.)</w:t>
      </w:r>
    </w:p>
    <w:p>
      <w:pPr/>
      <w:r>
        <w:rPr>
          <w:lang w:val="en_US" w:bidi="en_US"/>
        </w:rPr>
      </w:r>
      <w:r>
        <w:rPr>
          <w:vertAlign w:val="superscript"/>
          <w:lang w:val="en_US" w:bidi="en_US"/>
        </w:rPr>
        <w:t>1a</w:t>
      </w:r>
      <w:r>
        <w:rPr>
          <w:lang w:val="en_US" w:bidi="en_US"/>
        </w:rPr>
        <w:t>Many others have written a report on the things that have happened….</w:t>
      </w:r>
    </w:p>
    <w:p>
      <w:pPr/>
      <w:r>
        <w:rPr>
          <w:lang w:val="en_US" w:bidi="en_US"/>
        </w:rPr>
      </w:r>
      <w:r>
        <w:rPr>
          <w:vertAlign w:val="superscript"/>
          <w:lang w:val="en_US" w:bidi="en_US"/>
        </w:rPr>
        <w:t>3b</w:t>
      </w:r>
      <w:r>
        <w:rPr>
          <w:lang w:val="en_US" w:bidi="en_US"/>
        </w:rPr>
        <w:t xml:space="preserve"> </w:t>
      </w:r>
      <w:r>
        <w:rPr>
          <w:u w:val="single"/>
          <w:lang w:val="en_US" w:bidi="en_US"/>
        </w:rPr>
        <w:t>Therefore</w:t>
      </w:r>
      <w:r>
        <w:rPr>
          <w:lang w:val="en_US" w:bidi="en_US"/>
        </w:rPr>
        <w:t xml:space="preserve"> it seemed good for me to also write a report. (See 1:1–4 in the BSB, NIV, GNT, NET, CEV, GW, and JBP for similar examples.)</w:t>
      </w:r>
    </w:p>
    <w:p>
      <w:pPr/>
      <w:r>
        <w:rPr>
          <w:lang w:val="en_US" w:bidi="en_US"/>
        </w:rPr>
      </w:r>
      <w:r>
        <w:rPr>
          <w:lang w:val="en_US" w:bidi="en_US"/>
        </w:rPr>
        <w:t>You should connect the clauses in the most natural way in your language.</w:t>
      </w:r>
    </w:p>
    <w:p>
      <w:pPr/>
      <w:r>
        <w:rPr>
          <w:lang w:val="en_US" w:bidi="en_US"/>
        </w:rPr>
      </w:r>
      <w:r>
        <w:rPr>
          <w:lang w:val="en_US" w:bidi="en_US"/>
        </w:rPr>
        <w:t>Luke did not address Theophilus by name until near the end of his introduction. In some languages, it may be more appropriate to begin the introduction with Theophilus’ name. See the Display for 1:1a for an example.</w:t>
      </w:r>
    </w:p>
    <w:p>
      <w:pPr>
        <w:pStyle w:val="Heading5"/>
      </w:pPr>
      <w:r>
        <w:rPr>
          <w:lang w:val="en_US" w:bidi="en_US"/>
        </w:rPr>
        <w:t>1:4</w:t>
      </w:r>
    </w:p>
    <w:p>
      <w:pPr/>
      <w:r>
        <w:rPr>
          <w:lang w:val="en_US" w:bidi="en_US"/>
        </w:rPr>
      </w:r>
      <w:r>
        <w:rPr>
          <w:b/>
          <w:lang w:val="en_US" w:bidi="en_US"/>
        </w:rPr>
        <w:t>so that you may know the certainty of the things you have been taught.</w:t>
      </w:r>
    </w:p>
    <w:p>
      <w:pPr>
        <w:pStyle w:val="ListBullet"/>
        <w:spacing w:line="240" w:lineRule="auto"/>
        <w:ind w:left="720"/>
      </w:pPr>
      <w:r>
        <w:rPr>
          <w:lang w:val="en_US" w:bidi="en_US"/>
        </w:rPr>
      </w:r>
      <w:r>
        <w:rPr>
          <w:lang w:val="en_US" w:bidi="en_US"/>
        </w:rPr>
        <w:t xml:space="preserve">in order for you to know that the things which </w:t>
      </w:r>
      <w:r>
        <w:rPr>
          <w:lang w:val="en_US" w:bidi="en_US"/>
        </w:rPr>
        <w:t>others</w:t>
      </w:r>
      <w:r>
        <w:rPr>
          <w:lang w:val="en_US" w:bidi="en_US"/>
        </w:rPr>
        <w:t xml:space="preserve"> have taught you are true.</w:t>
      </w:r>
    </w:p>
    <w:p>
      <w:pPr>
        <w:pStyle w:val="ListBullet"/>
        <w:spacing w:line="240" w:lineRule="auto"/>
        <w:ind w:left="720"/>
      </w:pPr>
      <w:r>
        <w:rPr>
          <w:lang w:val="en_US" w:bidi="en_US"/>
        </w:rPr>
      </w:r>
      <w:r>
        <w:rPr>
          <w:lang w:val="en_US" w:bidi="en_US"/>
        </w:rPr>
        <w:t>so that you may be completely sure that the things that you have learned are true.</w:t>
      </w:r>
    </w:p>
    <w:p>
      <w:pPr>
        <w:pStyle w:val="ListBullet"/>
        <w:spacing w:line="240" w:lineRule="auto"/>
        <w:ind w:left="720"/>
      </w:pPr>
      <w:r>
        <w:rPr>
          <w:lang w:val="en_US" w:bidi="en_US"/>
        </w:rPr>
      </w:r>
      <w:r>
        <w:rPr>
          <w:lang w:val="en_US" w:bidi="en_US"/>
        </w:rPr>
        <w:t>I have done this</w:t>
      </w:r>
      <w:r>
        <w:rPr>
          <w:lang w:val="en_US" w:bidi="en_US"/>
        </w:rPr>
        <w:t xml:space="preserve"> so that you may be certain that the things </w:t>
      </w:r>
      <w:r>
        <w:rPr>
          <w:lang w:val="en_US" w:bidi="en_US"/>
        </w:rPr>
        <w:t>about Jesus</w:t>
      </w:r>
      <w:r>
        <w:rPr>
          <w:lang w:val="en_US" w:bidi="en_US"/>
        </w:rPr>
        <w:t xml:space="preserve"> that you have been taught are true/reliable.</w:t>
      </w:r>
    </w:p>
    <w:p>
      <w:pPr/>
      <w:r>
        <w:rPr>
          <w:lang w:val="en_US" w:bidi="en_US"/>
        </w:rPr>
      </w:r>
      <w:r>
        <w:rPr>
          <w:b/>
          <w:lang w:val="en_US" w:bidi="en_US"/>
        </w:rPr>
        <w:t>so that you may know:</w:t>
      </w:r>
      <w:r>
        <w:rPr>
          <w:lang w:val="en_US" w:bidi="en_US"/>
        </w:rPr>
        <w:t xml:space="preserve"> The Greek word that the BSB translates as </w:t>
      </w:r>
      <w:r>
        <w:rPr>
          <w:i/>
          <w:lang w:val="en_US" w:bidi="en_US"/>
        </w:rPr>
        <w:t>so that</w:t>
      </w:r>
      <w:r>
        <w:rPr>
          <w:lang w:val="en_US" w:bidi="en_US"/>
        </w:rPr>
        <w:t xml:space="preserve"> introduces the purpose for which Luke wrote to Theophilus. He wrote in order that Theophilus would know that everything that he had been taught about Jesus was true. The word </w:t>
      </w:r>
      <w:r>
        <w:rPr>
          <w:i/>
          <w:lang w:val="en_US" w:bidi="en_US"/>
        </w:rPr>
        <w:t>may</w:t>
      </w:r>
      <w:r>
        <w:rPr>
          <w:lang w:val="en_US" w:bidi="en_US"/>
        </w:rPr>
        <w:t xml:space="preserve"> is one way to express purpose in this context. It does not indicate uncertainty. Some other ways to translate </w:t>
      </w:r>
      <w:r>
        <w:rPr>
          <w:i/>
          <w:lang w:val="en_US" w:bidi="en_US"/>
        </w:rPr>
        <w:t>so that you may know</w:t>
      </w:r>
      <w:r>
        <w:rPr>
          <w:lang w:val="en_US" w:bidi="en_US"/>
        </w:rPr>
        <w:t xml:space="preserve"> are:</w:t>
      </w:r>
    </w:p>
    <w:p>
      <w:pPr/>
      <w:r>
        <w:rPr>
          <w:lang w:val="en_US" w:bidi="en_US"/>
        </w:rPr>
      </w:r>
      <w:r>
        <w:rPr>
          <w:lang w:val="en_US" w:bidi="en_US"/>
        </w:rPr>
        <w:t>so you can be certain (NLT)</w:t>
      </w:r>
    </w:p>
    <w:p>
      <w:pPr/>
      <w:r>
        <w:rPr>
          <w:lang w:val="en_US" w:bidi="en_US"/>
        </w:rPr>
      </w:r>
      <w:r>
        <w:rPr>
          <w:lang w:val="en_US" w:bidi="en_US"/>
        </w:rPr>
        <w:t>to help you know (NCV)</w:t>
      </w:r>
    </w:p>
    <w:p>
      <w:pPr/>
      <w:r>
        <w:rPr>
          <w:lang w:val="en_US" w:bidi="en_US"/>
        </w:rPr>
      </w:r>
      <w:r>
        <w:rPr>
          <w:lang w:val="en_US" w:bidi="en_US"/>
        </w:rPr>
        <w:t>Express this purpose in a natural way in your language. In some languages, it may be natural to begin a new sentence here. For example:</w:t>
      </w:r>
    </w:p>
    <w:p>
      <w:pPr/>
      <w:r>
        <w:rPr>
          <w:lang w:val="en_US" w:bidi="en_US"/>
        </w:rPr>
      </w:r>
      <w:r>
        <w:rPr>
          <w:lang w:val="en_US" w:bidi="en_US"/>
        </w:rPr>
        <w:t>I do this so that you will know (GNT)</w:t>
      </w:r>
    </w:p>
    <w:p>
      <w:pPr/>
      <w:r>
        <w:rPr>
          <w:lang w:val="en_US" w:bidi="en_US"/>
        </w:rPr>
      </w:r>
      <w:r>
        <w:rPr>
          <w:b/>
          <w:lang w:val="en_US" w:bidi="en_US"/>
        </w:rPr>
        <w:t>the certainty of the things you have been taught:</w:t>
      </w:r>
      <w:r>
        <w:rPr>
          <w:lang w:val="en_US" w:bidi="en_US"/>
        </w:rPr>
        <w:t xml:space="preserve"> The Greek word that the BSB translates as </w:t>
      </w:r>
      <w:r>
        <w:rPr>
          <w:i/>
          <w:lang w:val="en_US" w:bidi="en_US"/>
        </w:rPr>
        <w:t>the certainty</w:t>
      </w:r>
      <w:r>
        <w:rPr>
          <w:lang w:val="en_US" w:bidi="en_US"/>
        </w:rPr>
        <w:t xml:space="preserve"> means “the reliability.” It describes something as worthy of trust. Luke wanted Theophilus to be confident that the things that he had learned about Jesus were true. Some other ways to translate this are:</w:t>
      </w:r>
    </w:p>
    <w:p>
      <w:pPr/>
      <w:r>
        <w:rPr>
          <w:lang w:val="en_US" w:bidi="en_US"/>
        </w:rPr>
      </w:r>
      <w:r>
        <w:rPr>
          <w:lang w:val="en_US" w:bidi="en_US"/>
        </w:rPr>
        <w:t>that what you have been taught is true (NCV)</w:t>
      </w:r>
    </w:p>
    <w:p>
      <w:pPr/>
      <w:r>
        <w:rPr>
          <w:lang w:val="en_US" w:bidi="en_US"/>
        </w:rPr>
      </w:r>
      <w:r>
        <w:rPr>
          <w:lang w:val="en_US" w:bidi="en_US"/>
        </w:rPr>
        <w:t>that the teaching you received is reliable</w:t>
      </w:r>
    </w:p>
    <w:p>
      <w:pPr/>
      <w:r>
        <w:rPr>
          <w:lang w:val="en_US" w:bidi="en_US"/>
        </w:rPr>
      </w:r>
      <w:r>
        <w:rPr>
          <w:b/>
          <w:lang w:val="en_US" w:bidi="en_US"/>
        </w:rPr>
        <w:t>the things you have been taught:</w:t>
      </w:r>
      <w:r>
        <w:rPr>
          <w:lang w:val="en_US" w:bidi="en_US"/>
        </w:rPr>
        <w:t xml:space="preserve"> The phrase </w:t>
      </w:r>
      <w:r>
        <w:rPr>
          <w:i/>
          <w:lang w:val="en_US" w:bidi="en_US"/>
        </w:rPr>
        <w:t>the things you have been taught</w:t>
      </w:r>
      <w:r>
        <w:rPr>
          <w:lang w:val="en_US" w:bidi="en_US"/>
        </w:rPr>
        <w:t xml:space="preserve"> refers to the history and teachings of Jesus that believers had taught or told Theophilus. It is passive in form. It may be more natural in your language to use an active form. For example:</w:t>
      </w:r>
    </w:p>
    <w:p>
      <w:pPr/>
      <w:r>
        <w:rPr>
          <w:lang w:val="en_US" w:bidi="en_US"/>
        </w:rPr>
      </w:r>
      <w:r>
        <w:rPr>
          <w:lang w:val="en_US" w:bidi="en_US"/>
        </w:rPr>
        <w:t>the things that others have taught you</w:t>
      </w:r>
    </w:p>
    <w:p>
      <w:pPr>
        <w:pStyle w:val="Heading6"/>
      </w:pPr>
      <w:r>
        <w:rPr>
          <w:b/>
          <w:lang w:val="en_US" w:bidi="en_US"/>
        </w:rPr>
        <w:t>General Comment on 1:1–4</w:t>
      </w:r>
    </w:p>
    <w:p>
      <w:pPr/>
      <w:r>
        <w:rPr>
          <w:lang w:val="en_US" w:bidi="en_US"/>
        </w:rPr>
      </w:r>
      <w:r>
        <w:rPr>
          <w:lang w:val="en_US" w:bidi="en_US"/>
        </w:rPr>
        <w:t>Luke inserted the phrase that the BSB translates as “most excellent Theophilus” into the middle of the long sentence in 1:3–4. If it is not natural in your language to do this, here are other options:</w:t>
      </w:r>
    </w:p>
    <w:p>
      <w:pPr>
        <w:pStyle w:val="ListBullet"/>
        <w:spacing w:line="240" w:lineRule="auto"/>
        <w:ind w:left="720"/>
      </w:pPr>
      <w:r>
        <w:rPr>
          <w:lang w:val="en_US" w:bidi="en_US"/>
        </w:rPr>
      </w:r>
      <w:r>
        <w:rPr>
          <w:lang w:val="en_US" w:bidi="en_US"/>
        </w:rPr>
        <w:t>Translate the name Theophilus and the description “most excellent” at the beginning of 1:1. For example:</w:t>
      </w:r>
      <w:r>
        <w:rPr>
          <w:lang w:val="en_US" w:bidi="en_US"/>
        </w:rPr>
        <w:t>Great Theophilus, many….</w:t>
      </w:r>
    </w:p>
    <w:p>
      <w:pPr>
        <w:pStyle w:val="ListBullet"/>
        <w:spacing w:line="240" w:lineRule="auto"/>
        <w:ind w:left="720"/>
      </w:pPr>
      <w:r>
        <w:rPr>
          <w:lang w:val="en_US" w:bidi="en_US"/>
        </w:rPr>
      </w:r>
      <w:r>
        <w:rPr>
          <w:lang w:val="en_US" w:bidi="en_US"/>
        </w:rPr>
        <w:t>Use a natural way to begin a letter in your language and translate the description “most excellent” in 1:3 or in 1:4. For example:</w:t>
      </w:r>
      <w:r>
        <w:rPr>
          <w:vertAlign w:val="superscript"/>
          <w:lang w:val="en_US" w:bidi="en_US"/>
        </w:rPr>
        <w:t>1a</w:t>
      </w:r>
      <w:r>
        <w:rPr>
          <w:lang w:val="en_US" w:bidi="en_US"/>
        </w:rPr>
        <w:t xml:space="preserve">Dear Theophilus, many…. </w:t>
      </w:r>
      <w:r>
        <w:rPr>
          <w:vertAlign w:val="superscript"/>
          <w:lang w:val="en_US" w:bidi="en_US"/>
        </w:rPr>
        <w:t>3d</w:t>
      </w:r>
      <w:r>
        <w:rPr>
          <w:lang w:val="en_US" w:bidi="en_US"/>
        </w:rPr>
        <w:t>So it seemed good to me, too, to write to you who are highly respected….</w:t>
      </w:r>
      <w:r>
        <w:rPr>
          <w:vertAlign w:val="superscript"/>
          <w:lang w:val="en_US" w:bidi="en_US"/>
        </w:rPr>
        <w:t>1a</w:t>
      </w:r>
      <w:r>
        <w:rPr>
          <w:lang w:val="en_US" w:bidi="en_US"/>
        </w:rPr>
        <w:t xml:space="preserve"> </w:t>
      </w:r>
      <w:r>
        <w:rPr>
          <w:lang w:val="en_US" w:bidi="en_US"/>
        </w:rPr>
        <w:t>I am writing this book for you,</w:t>
      </w:r>
      <w:r>
        <w:rPr>
          <w:lang w:val="en_US" w:bidi="en_US"/>
        </w:rPr>
        <w:t xml:space="preserve"> Theophilus. Many </w:t>
      </w:r>
      <w:r>
        <w:rPr>
          <w:lang w:val="en_US" w:bidi="en_US"/>
        </w:rPr>
        <w:t>others</w:t>
      </w:r>
      <w:r>
        <w:rPr>
          <w:lang w:val="en_US" w:bidi="en_US"/>
        </w:rPr>
        <w:t xml:space="preserve">…. </w:t>
      </w:r>
      <w:r>
        <w:rPr>
          <w:vertAlign w:val="superscript"/>
          <w:lang w:val="en_US" w:bidi="en_US"/>
        </w:rPr>
        <w:t>4a</w:t>
      </w:r>
      <w:r>
        <w:rPr>
          <w:lang w:val="en_US" w:bidi="en_US"/>
        </w:rPr>
        <w:t>so that you whom people greatly esteem….</w:t>
      </w:r>
    </w:p>
    <w:p>
      <w:pPr/>
      <w:r>
        <w:rPr>
          <w:lang w:val="en_US" w:bidi="en_US"/>
        </w:rPr>
      </w:r>
      <w:r>
        <w:rPr>
          <w:lang w:val="en_US" w:bidi="en_US"/>
        </w:rPr>
        <w:t>In this second division, Luke told how God sent Jesus to save people. Before God sent Jesus to the world, God sent John the Baptizer to prepare people to receive Jesus. This division gives details about the birth of John and the birth of Jesus. It also tells about John’s preaching and about other events that happened before Jesus started his ministry.</w:t>
      </w:r>
      <w:r>
        <w:rPr>
          <w:lang w:val="en_US" w:bidi="en_US"/>
        </w:rPr>
      </w:r>
      <w:r>
        <w:rPr>
          <w:lang w:val="en_US" w:bidi="en_US"/>
        </w:rPr>
      </w:r>
    </w:p>
    <w:p>
      <w:pPr/>
      <w:r>
        <w:rPr>
          <w:lang w:val="en_US" w:bidi="en_US"/>
        </w:rPr>
      </w:r>
    </w:p>
    <w:p>
      <w:pPr>
        <w:pStyle w:val="Heading2"/>
      </w:pPr>
      <w:r>
        <w:rPr>
          <w:lang w:val="en_US" w:bidi="en_US"/>
        </w:rPr>
        <w:t>Luke 1:5</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4"/>
      </w:pPr>
      <w:r>
        <w:rPr>
          <w:lang w:val="en_US" w:bidi="en_US"/>
        </w:rPr>
        <w:t>Paragraph 1:5–7</w:t>
      </w:r>
    </w:p>
    <w:p>
      <w:pPr/>
      <w:r>
        <w:rPr>
          <w:lang w:val="en_US" w:bidi="en_US"/>
        </w:rPr>
      </w:r>
      <w:r>
        <w:rPr>
          <w:lang w:val="en_US" w:bidi="en_US"/>
        </w:rPr>
        <w:t>In these verses, Luke told about Zechariah and Elizabeth, who are the main people in chapter 1. Luke did not mention them in the rest of the book except in 3:2. Use a natural way in your language to introduce them.</w:t>
      </w:r>
    </w:p>
    <w:p>
      <w:pPr>
        <w:pStyle w:val="Heading5"/>
      </w:pPr>
      <w:r>
        <w:rPr>
          <w:lang w:val="en_US" w:bidi="en_US"/>
        </w:rPr>
        <w:t>1:5a</w:t>
      </w:r>
    </w:p>
    <w:p>
      <w:pPr/>
      <w:r>
        <w:rPr>
          <w:lang w:val="en_US" w:bidi="en_US"/>
        </w:rPr>
      </w:r>
      <w:r>
        <w:rPr>
          <w:b/>
          <w:lang w:val="en_US" w:bidi="en_US"/>
        </w:rPr>
        <w:t>In the time of Herod king of Judea</w:t>
      </w:r>
    </w:p>
    <w:p>
      <w:pPr>
        <w:pStyle w:val="ListBullet"/>
        <w:spacing w:line="240" w:lineRule="auto"/>
        <w:ind w:left="720"/>
      </w:pPr>
      <w:r>
        <w:rPr>
          <w:lang w:val="en_US" w:bidi="en_US"/>
        </w:rPr>
      </w:r>
      <w:r>
        <w:rPr>
          <w:lang w:val="en_US" w:bidi="en_US"/>
        </w:rPr>
        <w:t>¶ During the time/period when Herod was king of Judea,</w:t>
      </w:r>
    </w:p>
    <w:p>
      <w:pPr>
        <w:pStyle w:val="ListBullet"/>
        <w:spacing w:line="240" w:lineRule="auto"/>
        <w:ind w:left="720"/>
      </w:pPr>
      <w:r>
        <w:rPr>
          <w:lang w:val="en_US" w:bidi="en_US"/>
        </w:rPr>
      </w:r>
      <w:r>
        <w:rPr>
          <w:lang w:val="en_US" w:bidi="en_US"/>
        </w:rPr>
        <w:t xml:space="preserve">¶ When Herod ruled </w:t>
      </w:r>
      <w:r>
        <w:rPr>
          <w:lang w:val="en_US" w:bidi="en_US"/>
        </w:rPr>
        <w:t>the region/province of</w:t>
      </w:r>
      <w:r>
        <w:rPr>
          <w:lang w:val="en_US" w:bidi="en_US"/>
        </w:rPr>
        <w:t xml:space="preserve"> Judea,</w:t>
      </w:r>
    </w:p>
    <w:p>
      <w:pPr>
        <w:pStyle w:val="ListBullet"/>
        <w:spacing w:line="240" w:lineRule="auto"/>
        <w:ind w:left="720"/>
      </w:pPr>
      <w:r>
        <w:rPr>
          <w:lang w:val="en_US" w:bidi="en_US"/>
        </w:rPr>
      </w:r>
      <w:r>
        <w:rPr>
          <w:lang w:val="en_US" w:bidi="en_US"/>
        </w:rPr>
        <w:t xml:space="preserve">¶ </w:t>
      </w:r>
      <w:r>
        <w:rPr>
          <w:lang w:val="en_US" w:bidi="en_US"/>
        </w:rPr>
        <w:t>When these things began,</w:t>
      </w:r>
      <w:r>
        <w:rPr>
          <w:lang w:val="en_US" w:bidi="en_US"/>
        </w:rPr>
        <w:t xml:space="preserve"> Herod was the king of Judea.</w:t>
      </w:r>
    </w:p>
    <w:p>
      <w:pPr/>
      <w:r>
        <w:rPr>
          <w:lang w:val="en_US" w:bidi="en_US"/>
        </w:rPr>
      </w:r>
      <w:r>
        <w:rPr>
          <w:b/>
          <w:lang w:val="en_US" w:bidi="en_US"/>
        </w:rPr>
        <w:t>In the time of Herod king of Judea:</w:t>
      </w:r>
      <w:r>
        <w:rPr>
          <w:lang w:val="en_US" w:bidi="en_US"/>
        </w:rPr>
        <w:t xml:space="preserve"> The Greek word that the BSB translates as </w:t>
      </w:r>
      <w:r>
        <w:rPr>
          <w:i/>
          <w:lang w:val="en_US" w:bidi="en_US"/>
        </w:rPr>
        <w:t>time</w:t>
      </w:r>
      <w:r>
        <w:rPr>
          <w:lang w:val="en_US" w:bidi="en_US"/>
        </w:rPr>
        <w:t xml:space="preserve"> is literally “days” (as in the RSV). The phrase </w:t>
      </w:r>
      <w:r>
        <w:rPr>
          <w:i/>
          <w:lang w:val="en_US" w:bidi="en_US"/>
        </w:rPr>
        <w:t>the time of Herod</w:t>
      </w:r>
      <w:r>
        <w:rPr>
          <w:lang w:val="en_US" w:bidi="en_US"/>
        </w:rPr>
        <w:t xml:space="preserve"> refers to the time when Herod ruled Judea. Some other ways to translate this are:</w:t>
      </w:r>
    </w:p>
    <w:p>
      <w:pPr/>
      <w:r>
        <w:rPr>
          <w:lang w:val="en_US" w:bidi="en_US"/>
        </w:rPr>
      </w:r>
      <w:r>
        <w:rPr>
          <w:lang w:val="en_US" w:bidi="en_US"/>
        </w:rPr>
        <w:t>In the reign of Herod king of Judea (REB)</w:t>
      </w:r>
    </w:p>
    <w:p>
      <w:pPr/>
      <w:r>
        <w:rPr>
          <w:lang w:val="en_US" w:bidi="en_US"/>
        </w:rPr>
      </w:r>
      <w:r>
        <w:rPr>
          <w:lang w:val="en_US" w:bidi="en_US"/>
        </w:rPr>
        <w:t>When Herod was king of Judea (CEV)</w:t>
      </w:r>
    </w:p>
    <w:p>
      <w:pPr/>
      <w:r>
        <w:rPr>
          <w:lang w:val="en_US" w:bidi="en_US"/>
        </w:rPr>
      </w:r>
      <w:r>
        <w:rPr>
          <w:lang w:val="en_US" w:bidi="en_US"/>
        </w:rPr>
        <w:t>During the time when Herod was king of Judea (GNT)</w:t>
      </w:r>
    </w:p>
    <w:p>
      <w:pPr/>
      <w:r>
        <w:rPr>
          <w:lang w:val="en_US" w:bidi="en_US"/>
        </w:rPr>
      </w:r>
      <w:r>
        <w:rPr>
          <w:b/>
          <w:lang w:val="en_US" w:bidi="en_US"/>
        </w:rPr>
        <w:t>Herod:</w:t>
      </w:r>
      <w:r>
        <w:rPr>
          <w:lang w:val="en_US" w:bidi="en_US"/>
        </w:rPr>
        <w:t xml:space="preserve"> The name </w:t>
      </w:r>
      <w:r>
        <w:rPr>
          <w:i/>
          <w:lang w:val="en_US" w:bidi="en_US"/>
        </w:rPr>
        <w:t>Herod</w:t>
      </w:r>
      <w:r>
        <w:rPr>
          <w:lang w:val="en_US" w:bidi="en_US"/>
        </w:rPr>
        <w:t xml:space="preserve"> here refers to Herod the Great.</w:t>
      </w:r>
      <w:r>
        <w:rPr>
          <w:lang w:val="en_US" w:bidi="en_US"/>
        </w:rPr>
        <w:t>Herod the Great was the father of the Herod who was king when Jesus was crucified.</w:t>
      </w:r>
      <w:r>
        <w:rPr>
          <w:lang w:val="en_US" w:bidi="en_US"/>
        </w:rPr>
        <w:t xml:space="preserve"> Luke mentioned Herod here in order to indicate the time period during which the events of this chapter happened. It was common in Bible times to indicate when events happened by telling the name of the king who was ruling at the time.</w:t>
      </w:r>
    </w:p>
    <w:p>
      <w:pPr/>
      <w:r>
        <w:rPr>
          <w:lang w:val="en_US" w:bidi="en_US"/>
        </w:rPr>
      </w:r>
      <w:r>
        <w:rPr>
          <w:b/>
          <w:lang w:val="en_US" w:bidi="en_US"/>
        </w:rPr>
        <w:t>Judea:</w:t>
      </w:r>
      <w:r>
        <w:rPr>
          <w:lang w:val="en_US" w:bidi="en_US"/>
        </w:rPr>
        <w:t xml:space="preserve"> </w:t>
      </w:r>
      <w:r>
        <w:rPr>
          <w:i/>
          <w:lang w:val="en_US" w:bidi="en_US"/>
        </w:rPr>
        <w:t>Judea</w:t>
      </w:r>
      <w:r>
        <w:rPr>
          <w:lang w:val="en_US" w:bidi="en_US"/>
        </w:rPr>
        <w:t xml:space="preserve"> was the name of a region or province that King Herod ruled. In some languages, it may helpful to indicate this. For example:</w:t>
      </w:r>
    </w:p>
    <w:p>
      <w:pPr/>
      <w:r>
        <w:rPr>
          <w:lang w:val="en_US" w:bidi="en_US"/>
        </w:rPr>
      </w:r>
      <w:r>
        <w:rPr>
          <w:lang w:val="en_US" w:bidi="en_US"/>
        </w:rPr>
        <w:t>the region/land of</w:t>
      </w:r>
      <w:r>
        <w:rPr>
          <w:lang w:val="en_US" w:bidi="en_US"/>
        </w:rPr>
        <w:t xml:space="preserve"> Judea</w:t>
      </w:r>
    </w:p>
    <w:p>
      <w:pPr>
        <w:pStyle w:val="Heading5"/>
      </w:pPr>
      <w:r>
        <w:rPr>
          <w:lang w:val="en_US" w:bidi="en_US"/>
        </w:rPr>
        <w:t>1:5b</w:t>
      </w:r>
    </w:p>
    <w:p>
      <w:pPr/>
      <w:r>
        <w:rPr>
          <w:lang w:val="en_US" w:bidi="en_US"/>
        </w:rPr>
      </w:r>
      <w:r>
        <w:rPr>
          <w:b/>
          <w:lang w:val="en_US" w:bidi="en_US"/>
        </w:rPr>
        <w:t>there was a priest named Zechariah,</w:t>
      </w:r>
    </w:p>
    <w:p>
      <w:pPr>
        <w:pStyle w:val="ListBullet"/>
        <w:spacing w:line="240" w:lineRule="auto"/>
        <w:ind w:left="720"/>
      </w:pPr>
      <w:r>
        <w:rPr>
          <w:lang w:val="en_US" w:bidi="en_US"/>
        </w:rPr>
      </w:r>
      <w:r>
        <w:rPr>
          <w:lang w:val="en_US" w:bidi="en_US"/>
        </w:rPr>
        <w:t xml:space="preserve">a priest whose name was Zechariah was </w:t>
      </w:r>
      <w:r>
        <w:rPr>
          <w:lang w:val="en_US" w:bidi="en_US"/>
        </w:rPr>
        <w:t>living there</w:t>
      </w:r>
      <w:r>
        <w:rPr>
          <w:lang w:val="en_US" w:bidi="en_US"/>
        </w:rPr>
        <w:t>.</w:t>
      </w:r>
    </w:p>
    <w:p>
      <w:pPr>
        <w:pStyle w:val="ListBullet"/>
        <w:spacing w:line="240" w:lineRule="auto"/>
        <w:ind w:left="720"/>
      </w:pPr>
      <w:r>
        <w:rPr>
          <w:lang w:val="en_US" w:bidi="en_US"/>
        </w:rPr>
      </w:r>
      <w:r>
        <w:rPr>
          <w:lang w:val="en_US" w:bidi="en_US"/>
        </w:rPr>
        <w:t xml:space="preserve">a man called Zechariah was one of the men </w:t>
      </w:r>
      <w:r>
        <w:rPr>
          <w:lang w:val="en_US" w:bidi="en_US"/>
        </w:rPr>
        <w:t>there</w:t>
      </w:r>
      <w:r>
        <w:rPr>
          <w:lang w:val="en_US" w:bidi="en_US"/>
        </w:rPr>
        <w:t xml:space="preserve"> who offered sacrifices </w:t>
      </w:r>
      <w:r>
        <w:rPr>
          <w:lang w:val="en_US" w:bidi="en_US"/>
        </w:rPr>
        <w:t>to God</w:t>
      </w:r>
      <w:r>
        <w:rPr>
          <w:lang w:val="en_US" w:bidi="en_US"/>
        </w:rPr>
        <w:t>.</w:t>
      </w:r>
    </w:p>
    <w:p>
      <w:pPr>
        <w:pStyle w:val="ListBullet"/>
        <w:spacing w:line="240" w:lineRule="auto"/>
        <w:ind w:left="720"/>
      </w:pPr>
      <w:r>
        <w:rPr>
          <w:lang w:val="en_US" w:bidi="en_US"/>
        </w:rPr>
      </w:r>
      <w:r>
        <w:rPr>
          <w:lang w:val="en_US" w:bidi="en_US"/>
        </w:rPr>
        <w:t xml:space="preserve">There was/lived a </w:t>
      </w:r>
      <w:r>
        <w:rPr>
          <w:lang w:val="en_US" w:bidi="en_US"/>
        </w:rPr>
        <w:t>certain</w:t>
      </w:r>
      <w:r>
        <w:rPr>
          <w:lang w:val="en_US" w:bidi="en_US"/>
        </w:rPr>
        <w:t xml:space="preserve"> man named Zechariah. He was a priest </w:t>
      </w:r>
      <w:r>
        <w:rPr>
          <w:lang w:val="en_US" w:bidi="en_US"/>
        </w:rPr>
        <w:t>for the people of Israel</w:t>
      </w:r>
      <w:r>
        <w:rPr>
          <w:lang w:val="en_US" w:bidi="en_US"/>
        </w:rPr>
        <w:t>.</w:t>
      </w:r>
    </w:p>
    <w:p>
      <w:pPr/>
      <w:r>
        <w:rPr>
          <w:lang w:val="en_US" w:bidi="en_US"/>
        </w:rPr>
      </w:r>
      <w:r>
        <w:rPr>
          <w:b/>
          <w:lang w:val="en_US" w:bidi="en_US"/>
        </w:rPr>
        <w:t>there was a priest named Zechariah:</w:t>
      </w:r>
      <w:r>
        <w:rPr>
          <w:lang w:val="en_US" w:bidi="en_US"/>
        </w:rPr>
        <w:t xml:space="preserve"> </w:t>
      </w:r>
      <w:r>
        <w:rPr>
          <w:i/>
          <w:lang w:val="en_US" w:bidi="en_US"/>
        </w:rPr>
        <w:t>Zechariah</w:t>
      </w:r>
      <w:r>
        <w:rPr>
          <w:lang w:val="en_US" w:bidi="en_US"/>
        </w:rPr>
        <w:t xml:space="preserve"> is the main person in this first section of Luke. Introduce him in a natural way in your language.</w:t>
      </w:r>
    </w:p>
    <w:p>
      <w:pPr/>
      <w:r>
        <w:rPr>
          <w:lang w:val="en_US" w:bidi="en_US"/>
        </w:rPr>
      </w:r>
      <w:r>
        <w:rPr>
          <w:lang w:val="en_US" w:bidi="en_US"/>
        </w:rPr>
        <w:t>Luke implied here that Zechariah lived in Judea, where Herod was king. In some languages, it may be necessary to make this explicit. For example:</w:t>
      </w:r>
    </w:p>
    <w:p>
      <w:pPr/>
      <w:r>
        <w:rPr>
          <w:lang w:val="en_US" w:bidi="en_US"/>
        </w:rPr>
      </w:r>
      <w:r>
        <w:rPr>
          <w:lang w:val="en_US" w:bidi="en_US"/>
        </w:rPr>
        <w:t xml:space="preserve">a priest named Zechariah lived </w:t>
      </w:r>
      <w:r>
        <w:rPr>
          <w:lang w:val="en_US" w:bidi="en_US"/>
        </w:rPr>
        <w:t>there</w:t>
      </w:r>
    </w:p>
    <w:p>
      <w:pPr/>
      <w:r>
        <w:rPr>
          <w:lang w:val="en_US" w:bidi="en_US"/>
        </w:rPr>
      </w:r>
      <w:r>
        <w:rPr>
          <w:b/>
          <w:lang w:val="en_US" w:bidi="en_US"/>
        </w:rPr>
        <w:t>priest:</w:t>
      </w:r>
      <w:r>
        <w:rPr>
          <w:lang w:val="en_US" w:bidi="en_US"/>
        </w:rPr>
        <w:t xml:space="preserve"> In this context the word </w:t>
      </w:r>
      <w:r>
        <w:rPr>
          <w:i/>
          <w:lang w:val="en_US" w:bidi="en_US"/>
        </w:rPr>
        <w:t>priest</w:t>
      </w:r>
      <w:r>
        <w:rPr>
          <w:lang w:val="en_US" w:bidi="en_US"/>
        </w:rPr>
        <w:t xml:space="preserve"> refers specifically to a priest for the people of Israel. An Israelite priest was a man who offered sacrifices to God on behalf of the people. He also performed other rituals for them. All Israelite priests, including Zechariah, were descendants of Aaron, the brother of Moses.</w:t>
      </w:r>
    </w:p>
    <w:p>
      <w:pPr/>
      <w:r>
        <w:rPr>
          <w:lang w:val="en_US" w:bidi="en_US"/>
        </w:rPr>
      </w:r>
      <w:r>
        <w:rPr>
          <w:lang w:val="en_US" w:bidi="en_US"/>
        </w:rPr>
        <w:t xml:space="preserve">Some ways to translate </w:t>
      </w:r>
      <w:r>
        <w:rPr>
          <w:i/>
          <w:lang w:val="en_US" w:bidi="en_US"/>
        </w:rPr>
        <w:t>priest</w:t>
      </w:r>
      <w:r>
        <w:rPr>
          <w:lang w:val="en_US" w:bidi="en_US"/>
        </w:rPr>
        <w:t xml:space="preserve"> are:</w:t>
      </w:r>
    </w:p>
    <w:p>
      <w:pPr>
        <w:pStyle w:val="ListBullet"/>
        <w:spacing w:line="240" w:lineRule="auto"/>
        <w:ind w:left="720"/>
      </w:pPr>
      <w:r>
        <w:rPr>
          <w:lang w:val="en_US" w:bidi="en_US"/>
        </w:rPr>
      </w:r>
      <w:r>
        <w:rPr>
          <w:lang w:val="en_US" w:bidi="en_US"/>
        </w:rPr>
        <w:t>Use a descriptive term that focuses on the function of a priest. For example:</w:t>
      </w:r>
      <w:r>
        <w:rPr>
          <w:lang w:val="en_US" w:bidi="en_US"/>
        </w:rPr>
        <w:t>sacrificer</w:t>
      </w:r>
      <w:r>
        <w:rPr>
          <w:lang w:val="en_US" w:bidi="en_US"/>
        </w:rPr>
        <w:t>man/person who offers sacrifices to God</w:t>
      </w:r>
      <w:r>
        <w:rPr>
          <w:lang w:val="en_US" w:bidi="en_US"/>
        </w:rPr>
        <w:t>one who represents people to God</w:t>
      </w:r>
    </w:p>
    <w:p>
      <w:pPr>
        <w:pStyle w:val="ListBullet"/>
        <w:spacing w:line="240" w:lineRule="auto"/>
        <w:ind w:left="720"/>
      </w:pPr>
      <w:r>
        <w:rPr>
          <w:lang w:val="en_US" w:bidi="en_US"/>
        </w:rPr>
      </w:r>
      <w:r>
        <w:rPr>
          <w:lang w:val="en_US" w:bidi="en_US"/>
        </w:rPr>
        <w:t>Use a local word for priest. This option may be acceptable if the duties of a local priest are similar to those of an Israelite/Jewish priest. You may need to indicate that the word refers to a Jewish priest. For example:</w:t>
      </w:r>
      <w:r>
        <w:rPr>
          <w:lang w:val="en_US" w:bidi="en_US"/>
        </w:rPr>
        <w:t>Jewish people’s priest</w:t>
      </w:r>
      <w:r>
        <w:rPr>
          <w:lang w:val="en_US" w:bidi="en_US"/>
        </w:rPr>
        <w:t>sacrificer for the Jewish people</w:t>
      </w:r>
    </w:p>
    <w:p>
      <w:pPr/>
      <w:r>
        <w:rPr>
          <w:lang w:val="en_US" w:bidi="en_US"/>
        </w:rPr>
      </w:r>
      <w:r>
        <w:rPr>
          <w:lang w:val="en_US" w:bidi="en_US"/>
        </w:rPr>
        <w:t>If possible, you should choose a term that can be used in both Old Testament and New Testament contexts. Remember that in the book of Hebrews believers are called priests and Christ is called our high priest.</w:t>
      </w:r>
    </w:p>
    <w:p>
      <w:pPr/>
      <w:r>
        <w:rPr>
          <w:lang w:val="en_US" w:bidi="en_US"/>
        </w:rPr>
      </w:r>
      <w:r>
        <w:rPr>
          <w:lang w:val="en_US" w:bidi="en_US"/>
        </w:rPr>
        <w:t>See priest in the Glossary.</w:t>
      </w:r>
    </w:p>
    <w:p>
      <w:pPr/>
      <w:r>
        <w:rPr>
          <w:lang w:val="en_US" w:bidi="en_US"/>
        </w:rPr>
      </w:r>
      <w:r>
        <w:rPr>
          <w:b/>
          <w:lang w:val="en_US" w:bidi="en_US"/>
        </w:rPr>
        <w:t>Zechariah:</w:t>
      </w:r>
      <w:r>
        <w:rPr>
          <w:lang w:val="en_US" w:bidi="en_US"/>
        </w:rPr>
        <w:t xml:space="preserve"> A few English versions spell </w:t>
      </w:r>
      <w:r>
        <w:rPr>
          <w:i/>
          <w:lang w:val="en_US" w:bidi="en_US"/>
        </w:rPr>
        <w:t>Zechariah</w:t>
      </w:r>
      <w:r>
        <w:rPr>
          <w:lang w:val="en_US" w:bidi="en_US"/>
        </w:rPr>
        <w:t xml:space="preserve"> as “Zecharias” (NASB, KJV). In English, either spelling is acceptable. You may want to check the spelling of this name in the national language version.</w:t>
      </w:r>
    </w:p>
    <w:p>
      <w:pPr>
        <w:pStyle w:val="Heading6"/>
      </w:pPr>
      <w:r>
        <w:rPr>
          <w:b/>
          <w:lang w:val="en_US" w:bidi="en_US"/>
        </w:rPr>
        <w:t>General Comment on 1:5a–b</w:t>
      </w:r>
    </w:p>
    <w:p>
      <w:pPr/>
      <w:r>
        <w:rPr>
          <w:lang w:val="en_US" w:bidi="en_US"/>
        </w:rPr>
      </w:r>
      <w:r>
        <w:rPr>
          <w:lang w:val="en_US" w:bidi="en_US"/>
        </w:rPr>
        <w:t>In some languages it may be necessary to reverse the order of 1:5a and 1:5b in order to keep the focus on Zechariah:</w:t>
      </w:r>
    </w:p>
    <w:p>
      <w:pPr/>
      <w:r>
        <w:rPr>
          <w:lang w:val="en_US" w:bidi="en_US"/>
        </w:rPr>
      </w:r>
      <w:r>
        <w:rPr>
          <w:vertAlign w:val="superscript"/>
          <w:lang w:val="en_US" w:bidi="en_US"/>
        </w:rPr>
        <w:t>5b</w:t>
      </w:r>
      <w:r>
        <w:rPr>
          <w:lang w:val="en_US" w:bidi="en_US"/>
        </w:rPr>
        <w:t xml:space="preserve">There was a priest named Zechariah who lived </w:t>
      </w:r>
      <w:r>
        <w:rPr>
          <w:vertAlign w:val="superscript"/>
          <w:lang w:val="en_US" w:bidi="en_US"/>
        </w:rPr>
        <w:t>5a</w:t>
      </w:r>
      <w:r>
        <w:rPr>
          <w:lang w:val="en_US" w:bidi="en_US"/>
        </w:rPr>
        <w:t xml:space="preserve">during the time that Herod ruled over </w:t>
      </w:r>
      <w:r>
        <w:rPr>
          <w:lang w:val="en_US" w:bidi="en_US"/>
        </w:rPr>
        <w:t>the province of</w:t>
      </w:r>
      <w:r>
        <w:rPr>
          <w:lang w:val="en_US" w:bidi="en_US"/>
        </w:rPr>
        <w:t xml:space="preserve"> Judea.</w:t>
      </w:r>
    </w:p>
    <w:p>
      <w:pPr>
        <w:pStyle w:val="Heading5"/>
      </w:pPr>
      <w:r>
        <w:rPr>
          <w:lang w:val="en_US" w:bidi="en_US"/>
        </w:rPr>
        <w:t>1:5c</w:t>
      </w:r>
    </w:p>
    <w:p>
      <w:pPr/>
      <w:r>
        <w:rPr>
          <w:lang w:val="en_US" w:bidi="en_US"/>
        </w:rPr>
      </w:r>
      <w:r>
        <w:rPr>
          <w:b/>
          <w:lang w:val="en_US" w:bidi="en_US"/>
        </w:rPr>
        <w:t>who belonged to the priestly division of Abijah,</w:t>
      </w:r>
    </w:p>
    <w:p>
      <w:pPr>
        <w:pStyle w:val="ListBullet"/>
        <w:spacing w:line="240" w:lineRule="auto"/>
        <w:ind w:left="720"/>
      </w:pPr>
      <w:r>
        <w:rPr>
          <w:lang w:val="en_US" w:bidi="en_US"/>
        </w:rPr>
      </w:r>
      <w:r>
        <w:rPr>
          <w:lang w:val="en_US" w:bidi="en_US"/>
        </w:rPr>
        <w:t>He belonged to the group of priests named after Abijah.</w:t>
      </w:r>
    </w:p>
    <w:p>
      <w:pPr>
        <w:pStyle w:val="ListBullet"/>
        <w:spacing w:line="240" w:lineRule="auto"/>
        <w:ind w:left="720"/>
      </w:pPr>
      <w:r>
        <w:rPr>
          <w:lang w:val="en_US" w:bidi="en_US"/>
        </w:rPr>
      </w:r>
      <w:r>
        <w:rPr>
          <w:lang w:val="en_US" w:bidi="en_US"/>
        </w:rPr>
        <w:t>He was part of the grouping/section of priests called “Abijah’s group.”</w:t>
      </w:r>
    </w:p>
    <w:p>
      <w:pPr/>
      <w:r>
        <w:rPr>
          <w:lang w:val="en_US" w:bidi="en_US"/>
        </w:rPr>
      </w:r>
      <w:r>
        <w:rPr>
          <w:b/>
          <w:lang w:val="en_US" w:bidi="en_US"/>
        </w:rPr>
        <w:t>the priestly division of Abijah:</w:t>
      </w:r>
      <w:r>
        <w:rPr>
          <w:lang w:val="en_US" w:bidi="en_US"/>
        </w:rPr>
        <w:t xml:space="preserve"> The phrase </w:t>
      </w:r>
      <w:r>
        <w:rPr>
          <w:i/>
          <w:lang w:val="en_US" w:bidi="en_US"/>
        </w:rPr>
        <w:t>priestly division</w:t>
      </w:r>
      <w:r>
        <w:rPr>
          <w:lang w:val="en_US" w:bidi="en_US"/>
        </w:rPr>
        <w:t xml:space="preserve"> refers here to a group of priests who performed duties during a certain time period. Some other ways to translate this are:</w:t>
      </w:r>
    </w:p>
    <w:p>
      <w:pPr/>
      <w:r>
        <w:rPr>
          <w:lang w:val="en_US" w:bidi="en_US"/>
        </w:rPr>
      </w:r>
      <w:r>
        <w:rPr>
          <w:lang w:val="en_US" w:bidi="en_US"/>
        </w:rPr>
        <w:t>priestly group (CEV)</w:t>
      </w:r>
    </w:p>
    <w:p>
      <w:pPr/>
      <w:r>
        <w:rPr>
          <w:lang w:val="en_US" w:bidi="en_US"/>
        </w:rPr>
      </w:r>
      <w:r>
        <w:rPr>
          <w:lang w:val="en_US" w:bidi="en_US"/>
        </w:rPr>
        <w:t>class of priests</w:t>
      </w:r>
    </w:p>
    <w:p>
      <w:pPr/>
      <w:r>
        <w:rPr>
          <w:lang w:val="en_US" w:bidi="en_US"/>
        </w:rPr>
      </w:r>
      <w:r>
        <w:rPr>
          <w:lang w:val="en_US" w:bidi="en_US"/>
        </w:rPr>
        <w:t>section of the priesthood (JBP)</w:t>
      </w:r>
    </w:p>
    <w:p>
      <w:pPr/>
      <w:r>
        <w:rPr>
          <w:lang w:val="en_US" w:bidi="en_US"/>
        </w:rPr>
      </w:r>
      <w:r>
        <w:rPr>
          <w:lang w:val="en_US" w:bidi="en_US"/>
        </w:rPr>
        <w:t>The group of priests that Zechariah belonged to was named after the priest Abijah, who had died long before Zechariah was born.</w:t>
      </w:r>
      <w:r>
        <w:rPr>
          <w:lang w:val="en_US" w:bidi="en_US"/>
        </w:rPr>
        <w:t>It would be incorrect to say in a translation that Zechariah was a “descendant” of Abijah. Here is why: The Abijah division was one of twenty-four divisions of priests. This is described in 1 Chronicles 24. Only four of these divisions returned from exile, and the Abijah division was not one of them. However, the four remaining divisions were then divided into twenty-four divisions and given the same names as the original twenty-four divisions to reflect the original system.</w:t>
      </w:r>
      <w:r>
        <w:rPr>
          <w:lang w:val="en_US" w:bidi="en_US"/>
        </w:rPr>
        <w:t xml:space="preserve"> There were twenty-four groups of priests in Zechariah’s time. Each group worked in the temple for one week at a time, and they did this twice in a year.</w:t>
      </w:r>
    </w:p>
    <w:p>
      <w:pPr/>
      <w:r>
        <w:rPr>
          <w:lang w:val="en_US" w:bidi="en_US"/>
        </w:rPr>
      </w:r>
      <w:r>
        <w:rPr>
          <w:lang w:val="en_US" w:bidi="en_US"/>
        </w:rPr>
        <w:t>The priests served in the temple in the city of Jerusalem. Many priests, including Zechariah, did not live in Jerusalem. During their time of service, they left their families, traveled to Jerusalem, and stayed there for the week.</w:t>
      </w:r>
    </w:p>
    <w:p>
      <w:pPr>
        <w:pStyle w:val="Heading5"/>
      </w:pPr>
      <w:r>
        <w:rPr>
          <w:lang w:val="en_US" w:bidi="en_US"/>
        </w:rPr>
        <w:t>1:5d</w:t>
      </w:r>
    </w:p>
    <w:p>
      <w:pPr/>
      <w:r>
        <w:rPr>
          <w:lang w:val="en_US" w:bidi="en_US"/>
        </w:rPr>
      </w:r>
      <w:r>
        <w:rPr>
          <w:b/>
          <w:lang w:val="en_US" w:bidi="en_US"/>
        </w:rPr>
        <w:t>and whose wife Elizabeth was a daughter of Aaron.</w:t>
      </w:r>
    </w:p>
    <w:p>
      <w:pPr>
        <w:pStyle w:val="ListBullet"/>
        <w:spacing w:line="240" w:lineRule="auto"/>
        <w:ind w:left="720"/>
      </w:pPr>
      <w:r>
        <w:rPr>
          <w:lang w:val="en_US" w:bidi="en_US"/>
        </w:rPr>
      </w:r>
      <w:r>
        <w:rPr>
          <w:lang w:val="en_US" w:bidi="en_US"/>
        </w:rPr>
        <w:t xml:space="preserve">His wife was Elizabeth, and she too was from the family/clan of Aaron, </w:t>
      </w:r>
      <w:r>
        <w:rPr>
          <w:lang w:val="en_US" w:bidi="en_US"/>
        </w:rPr>
        <w:t>the clan that all priests come from</w:t>
      </w:r>
      <w:r>
        <w:rPr>
          <w:lang w:val="en_US" w:bidi="en_US"/>
        </w:rPr>
        <w:t>.</w:t>
      </w:r>
    </w:p>
    <w:p>
      <w:pPr>
        <w:pStyle w:val="ListBullet"/>
        <w:spacing w:line="240" w:lineRule="auto"/>
        <w:ind w:left="720"/>
      </w:pPr>
      <w:r>
        <w:rPr>
          <w:lang w:val="en_US" w:bidi="en_US"/>
        </w:rPr>
      </w:r>
      <w:r>
        <w:rPr>
          <w:lang w:val="en_US" w:bidi="en_US"/>
        </w:rPr>
        <w:t xml:space="preserve">Like him, his wife was a descendant of </w:t>
      </w:r>
      <w:r>
        <w:rPr>
          <w:lang w:val="en_US" w:bidi="en_US"/>
        </w:rPr>
        <w:t>the first Israelite priest</w:t>
      </w:r>
      <w:r>
        <w:rPr>
          <w:lang w:val="en_US" w:bidi="en_US"/>
        </w:rPr>
        <w:t xml:space="preserve"> Aaron. Her name was Elizabeth.</w:t>
      </w:r>
    </w:p>
    <w:p>
      <w:pPr/>
      <w:r>
        <w:rPr>
          <w:lang w:val="en_US" w:bidi="en_US"/>
        </w:rPr>
      </w:r>
      <w:r>
        <w:rPr>
          <w:b/>
          <w:lang w:val="en_US" w:bidi="en_US"/>
        </w:rPr>
        <w:t>and whose wife Elizabeth was a daughter of Aaron:</w:t>
      </w:r>
      <w:r>
        <w:rPr>
          <w:lang w:val="en_US" w:bidi="en_US"/>
        </w:rPr>
        <w:t xml:space="preserve"> The word </w:t>
      </w:r>
      <w:r>
        <w:rPr>
          <w:i/>
          <w:lang w:val="en_US" w:bidi="en_US"/>
        </w:rPr>
        <w:t>and</w:t>
      </w:r>
      <w:r>
        <w:rPr>
          <w:lang w:val="en_US" w:bidi="en_US"/>
        </w:rPr>
        <w:t xml:space="preserve"> indicates here that just like Zechariah, Elizabeth, too, was one of Aaron’s descendants. Before this the text has not explicitly stated that Zechariah was a descendant of Aaron, so you may need to make this explicit here. For example:</w:t>
      </w:r>
    </w:p>
    <w:p>
      <w:pPr/>
      <w:r>
        <w:rPr>
          <w:lang w:val="en_US" w:bidi="en_US"/>
        </w:rPr>
      </w:r>
      <w:r>
        <w:rPr>
          <w:lang w:val="en_US" w:bidi="en_US"/>
        </w:rPr>
        <w:t>…Elizabeth was, like him, a descendant of Aaron (JBP)</w:t>
      </w:r>
    </w:p>
    <w:p>
      <w:pPr/>
      <w:r>
        <w:rPr>
          <w:lang w:val="en_US" w:bidi="en_US"/>
        </w:rPr>
      </w:r>
      <w:r>
        <w:rPr>
          <w:b/>
          <w:lang w:val="en_US" w:bidi="en_US"/>
        </w:rPr>
        <w:t>a daughter of Aaron:</w:t>
      </w:r>
      <w:r>
        <w:rPr>
          <w:lang w:val="en_US" w:bidi="en_US"/>
        </w:rPr>
        <w:t xml:space="preserve"> The Greek phrase that the BSB has translated as </w:t>
      </w:r>
      <w:r>
        <w:rPr>
          <w:i/>
          <w:lang w:val="en_US" w:bidi="en_US"/>
        </w:rPr>
        <w:t>a daughter of Aaron</w:t>
      </w:r>
      <w:r>
        <w:rPr>
          <w:lang w:val="en_US" w:bidi="en_US"/>
        </w:rPr>
        <w:t xml:space="preserve"> is literally “of the daughters of Aaron.” This is a figurative way to say that she was among Aaron’s female descendants. Use a natural term in your language. You may be able to use the same term for both Zechariah and Elizabeth. For example:</w:t>
      </w:r>
    </w:p>
    <w:p>
      <w:pPr/>
      <w:r>
        <w:rPr>
          <w:lang w:val="en_US" w:bidi="en_US"/>
        </w:rPr>
      </w:r>
      <w:r>
        <w:rPr>
          <w:lang w:val="en_US" w:bidi="en_US"/>
        </w:rPr>
        <w:t>his wife Elizabeth was also a descendant of Aaron (NIV)</w:t>
      </w:r>
    </w:p>
    <w:p>
      <w:pPr/>
      <w:r>
        <w:rPr>
          <w:lang w:val="en_US" w:bidi="en_US"/>
        </w:rPr>
      </w:r>
      <w:r>
        <w:rPr>
          <w:b/>
          <w:lang w:val="en_US" w:bidi="en_US"/>
        </w:rPr>
        <w:t>Aaron:</w:t>
      </w:r>
      <w:r>
        <w:rPr>
          <w:lang w:val="en_US" w:bidi="en_US"/>
        </w:rPr>
        <w:t xml:space="preserve"> Aaron was the brother of Moses and was the first high priest of Israel. All the Jewish priests were descended from him. So Elizabeth, like Zechariah, was from a family of priests. In some languages it may be necessary to make this clear by saying:</w:t>
      </w:r>
    </w:p>
    <w:p>
      <w:pPr/>
      <w:r>
        <w:rPr>
          <w:lang w:val="en_US" w:bidi="en_US"/>
        </w:rPr>
      </w:r>
      <w:r>
        <w:rPr>
          <w:lang w:val="en_US" w:bidi="en_US"/>
        </w:rPr>
        <w:t xml:space="preserve">Aaron </w:t>
      </w:r>
      <w:r>
        <w:rPr>
          <w:lang w:val="en_US" w:bidi="en_US"/>
        </w:rPr>
        <w:t>the ancestor of the priestly clan</w:t>
      </w:r>
      <w:r>
        <w:rPr>
          <w:lang w:val="en_US" w:bidi="en_US"/>
        </w:rPr>
      </w:r>
      <w:r>
        <w:rPr>
          <w:lang w:val="en_US" w:bidi="en_US"/>
        </w:rPr>
      </w:r>
    </w:p>
    <w:p>
      <w:pPr/>
      <w:r>
        <w:rPr>
          <w:lang w:val="en_US" w:bidi="en_US"/>
        </w:rPr>
      </w:r>
    </w:p>
    <w:p>
      <w:pPr>
        <w:pStyle w:val="Heading2"/>
      </w:pPr>
      <w:r>
        <w:rPr>
          <w:lang w:val="en_US" w:bidi="en_US"/>
        </w:rPr>
        <w:t>Luke 1:6</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4"/>
      </w:pPr>
      <w:r>
        <w:rPr>
          <w:lang w:val="en_US" w:bidi="en_US"/>
        </w:rPr>
        <w:t>Paragraph 1:5–7</w:t>
      </w:r>
    </w:p>
    <w:p>
      <w:pPr/>
      <w:r>
        <w:rPr>
          <w:lang w:val="en_US" w:bidi="en_US"/>
        </w:rPr>
      </w:r>
      <w:r>
        <w:rPr>
          <w:lang w:val="en_US" w:bidi="en_US"/>
        </w:rPr>
        <w:t>In these verses, Luke told about Zechariah and Elizabeth, who are the main people in chapter 1. Luke did not mention them in the rest of the book except in 3:2. Use a natural way in your language to introduce them.</w:t>
      </w:r>
    </w:p>
    <w:p>
      <w:pPr>
        <w:pStyle w:val="Heading5"/>
      </w:pPr>
      <w:r>
        <w:rPr>
          <w:lang w:val="en_US" w:bidi="en_US"/>
        </w:rPr>
        <w:t>1:6a</w:t>
      </w:r>
    </w:p>
    <w:p>
      <w:pPr/>
      <w:r>
        <w:rPr>
          <w:lang w:val="en_US" w:bidi="en_US"/>
        </w:rPr>
      </w:r>
      <w:r>
        <w:rPr>
          <w:b/>
          <w:lang w:val="en_US" w:bidi="en_US"/>
        </w:rPr>
        <w:t>Both of them were righteous in the sight of God,</w:t>
      </w:r>
    </w:p>
    <w:p>
      <w:pPr>
        <w:pStyle w:val="ListBullet"/>
        <w:spacing w:line="240" w:lineRule="auto"/>
        <w:ind w:left="720"/>
      </w:pPr>
      <w:r>
        <w:rPr>
          <w:lang w:val="en_US" w:bidi="en_US"/>
        </w:rPr>
      </w:r>
      <w:r>
        <w:rPr>
          <w:lang w:val="en_US" w:bidi="en_US"/>
        </w:rPr>
        <w:t>God saw that both of them lived/behaved righteously.</w:t>
      </w:r>
    </w:p>
    <w:p>
      <w:pPr>
        <w:pStyle w:val="ListBullet"/>
        <w:spacing w:line="240" w:lineRule="auto"/>
        <w:ind w:left="720"/>
      </w:pPr>
      <w:r>
        <w:rPr>
          <w:lang w:val="en_US" w:bidi="en_US"/>
        </w:rPr>
      </w:r>
      <w:r>
        <w:rPr>
          <w:lang w:val="en_US" w:bidi="en_US"/>
        </w:rPr>
        <w:t>God approved of both of them.</w:t>
      </w:r>
    </w:p>
    <w:p>
      <w:pPr>
        <w:pStyle w:val="ListBullet"/>
        <w:spacing w:line="240" w:lineRule="auto"/>
        <w:ind w:left="720"/>
      </w:pPr>
      <w:r>
        <w:rPr>
          <w:lang w:val="en_US" w:bidi="en_US"/>
        </w:rPr>
      </w:r>
      <w:r>
        <w:rPr>
          <w:lang w:val="en_US" w:bidi="en_US"/>
        </w:rPr>
        <w:t>Both Zechariah and Elizabeth did that which was right according to God’s standard/laws.</w:t>
      </w:r>
    </w:p>
    <w:p>
      <w:pPr/>
      <w:r>
        <w:rPr>
          <w:lang w:val="en_US" w:bidi="en_US"/>
        </w:rPr>
      </w:r>
      <w:r>
        <w:rPr>
          <w:b/>
          <w:lang w:val="en_US" w:bidi="en_US"/>
        </w:rPr>
        <w:t>Both of them:</w:t>
      </w:r>
      <w:r>
        <w:rPr>
          <w:lang w:val="en_US" w:bidi="en_US"/>
        </w:rPr>
        <w:t xml:space="preserve"> The phrase </w:t>
      </w:r>
      <w:r>
        <w:rPr>
          <w:i/>
          <w:lang w:val="en_US" w:bidi="en_US"/>
        </w:rPr>
        <w:t>Both of them</w:t>
      </w:r>
      <w:r>
        <w:rPr>
          <w:lang w:val="en_US" w:bidi="en_US"/>
        </w:rPr>
        <w:t xml:space="preserve"> refers to Elizabeth and Zechariah. In some languages, it may be helpful to refer to them by name here. For example:</w:t>
      </w:r>
    </w:p>
    <w:p>
      <w:pPr/>
      <w:r>
        <w:rPr>
          <w:lang w:val="en_US" w:bidi="en_US"/>
        </w:rPr>
      </w:r>
      <w:r>
        <w:rPr>
          <w:lang w:val="en_US" w:bidi="en_US"/>
        </w:rPr>
        <w:t>Zechariah and Elizabeth (GW)</w:t>
      </w:r>
    </w:p>
    <w:p>
      <w:pPr/>
      <w:r>
        <w:rPr>
          <w:lang w:val="en_US" w:bidi="en_US"/>
        </w:rPr>
      </w:r>
      <w:r>
        <w:rPr>
          <w:b/>
          <w:lang w:val="en_US" w:bidi="en_US"/>
        </w:rPr>
        <w:t>righteous in the sight of God:</w:t>
      </w:r>
      <w:r>
        <w:rPr>
          <w:lang w:val="en_US" w:bidi="en_US"/>
        </w:rPr>
        <w:t xml:space="preserve"> The Greek phrase that the BSB translates as </w:t>
      </w:r>
      <w:r>
        <w:rPr>
          <w:i/>
          <w:lang w:val="en_US" w:bidi="en_US"/>
        </w:rPr>
        <w:t>righteous in the sight of God</w:t>
      </w:r>
      <w:r>
        <w:rPr>
          <w:lang w:val="en_US" w:bidi="en_US"/>
        </w:rPr>
        <w:t xml:space="preserve"> is literally “righteous before God” (as in the RSV). This phrase means that God considered them to be righteous. He approved of both of them. The phrase indicates that Elizabeth and Zechariah both did what was right according to God’s standards.</w:t>
      </w:r>
    </w:p>
    <w:p>
      <w:pPr/>
      <w:r>
        <w:rPr>
          <w:lang w:val="en_US" w:bidi="en_US"/>
        </w:rPr>
      </w:r>
      <w:r>
        <w:rPr>
          <w:lang w:val="en_US" w:bidi="en_US"/>
        </w:rPr>
        <w:t>Some other ways to translate this are:</w:t>
      </w:r>
    </w:p>
    <w:p>
      <w:pPr/>
      <w:r>
        <w:rPr>
          <w:lang w:val="en_US" w:bidi="en_US"/>
        </w:rPr>
      </w:r>
      <w:r>
        <w:rPr>
          <w:lang w:val="en_US" w:bidi="en_US"/>
        </w:rPr>
        <w:t>God saw that they were righteous people.</w:t>
      </w:r>
    </w:p>
    <w:p>
      <w:pPr/>
      <w:r>
        <w:rPr>
          <w:lang w:val="en_US" w:bidi="en_US"/>
        </w:rPr>
      </w:r>
      <w:r>
        <w:rPr>
          <w:lang w:val="en_US" w:bidi="en_US"/>
        </w:rPr>
        <w:t>They did what God regarded as right and good.</w:t>
      </w:r>
    </w:p>
    <w:p>
      <w:pPr/>
      <w:r>
        <w:rPr>
          <w:lang w:val="en_US" w:bidi="en_US"/>
        </w:rPr>
      </w:r>
      <w:r>
        <w:rPr>
          <w:b/>
          <w:lang w:val="en_US" w:bidi="en_US"/>
        </w:rPr>
        <w:t>God:</w:t>
      </w:r>
      <w:r>
        <w:rPr>
          <w:lang w:val="en_US" w:bidi="en_US"/>
        </w:rPr>
        <w:t xml:space="preserve"> The Greek word that the BSB translates as </w:t>
      </w:r>
      <w:r>
        <w:rPr>
          <w:i/>
          <w:lang w:val="en_US" w:bidi="en_US"/>
        </w:rPr>
        <w:t>God</w:t>
      </w:r>
      <w:r>
        <w:rPr>
          <w:lang w:val="en_US" w:bidi="en_US"/>
        </w:rPr>
        <w:t xml:space="preserve"> refers here to the eternal spirit who created everything. He is more powerful than any other spirit, and he is perfectly good and wise. In many languages, there is already an established term for God. If that is not true in your language, here are some ways to translate </w:t>
      </w:r>
      <w:r>
        <w:rPr>
          <w:i/>
          <w:lang w:val="en_US" w:bidi="en_US"/>
        </w:rPr>
        <w:t>God</w:t>
      </w:r>
      <w:r>
        <w:rPr>
          <w:lang w:val="en_US" w:bidi="en_US"/>
        </w:rPr>
        <w:t>:</w:t>
      </w:r>
    </w:p>
    <w:p>
      <w:pPr>
        <w:pStyle w:val="ListBullet"/>
        <w:spacing w:line="240" w:lineRule="auto"/>
        <w:ind w:left="720"/>
      </w:pPr>
      <w:r>
        <w:rPr>
          <w:lang w:val="en_US" w:bidi="en_US"/>
        </w:rPr>
      </w:r>
      <w:r>
        <w:rPr>
          <w:lang w:val="en_US" w:bidi="en_US"/>
        </w:rPr>
        <w:t xml:space="preserve">Use a name or title for </w:t>
      </w:r>
      <w:r>
        <w:rPr>
          <w:i/>
          <w:lang w:val="en_US" w:bidi="en_US"/>
        </w:rPr>
        <w:t>God</w:t>
      </w:r>
      <w:r>
        <w:rPr>
          <w:lang w:val="en_US" w:bidi="en_US"/>
        </w:rPr>
        <w:t xml:space="preserve"> that people in your culture already use.</w:t>
      </w:r>
    </w:p>
    <w:p>
      <w:pPr>
        <w:pStyle w:val="ListBullet"/>
        <w:spacing w:line="240" w:lineRule="auto"/>
        <w:ind w:left="720"/>
      </w:pPr>
      <w:r>
        <w:rPr>
          <w:lang w:val="en_US" w:bidi="en_US"/>
        </w:rPr>
      </w:r>
      <w:r>
        <w:rPr>
          <w:lang w:val="en_US" w:bidi="en_US"/>
        </w:rPr>
        <w:t>Use a descriptive term that fits the truth about God that is revealed in the Bible. For example:</w:t>
      </w:r>
      <w:r>
        <w:rPr>
          <w:lang w:val="en_US" w:bidi="en_US"/>
        </w:rPr>
        <w:t>Creator</w:t>
      </w:r>
      <w:r>
        <w:rPr>
          <w:lang w:val="en_US" w:bidi="en_US"/>
        </w:rPr>
        <w:t>Great Spirit</w:t>
      </w:r>
      <w:r>
        <w:rPr>
          <w:lang w:val="en_US" w:bidi="en_US"/>
        </w:rPr>
        <w:t>Ruler of the universe</w:t>
      </w:r>
    </w:p>
    <w:p>
      <w:pPr>
        <w:pStyle w:val="ListBullet"/>
        <w:spacing w:line="240" w:lineRule="auto"/>
        <w:ind w:left="720"/>
      </w:pPr>
      <w:r>
        <w:rPr>
          <w:lang w:val="en_US" w:bidi="en_US"/>
        </w:rPr>
      </w:r>
      <w:r>
        <w:rPr>
          <w:lang w:val="en_US" w:bidi="en_US"/>
        </w:rPr>
        <w:t>Use a borrowed word from the national or trade language Bible.</w:t>
      </w:r>
    </w:p>
    <w:p>
      <w:pPr/>
      <w:r>
        <w:rPr>
          <w:lang w:val="en_US" w:bidi="en_US"/>
        </w:rPr>
      </w:r>
      <w:r>
        <w:rPr>
          <w:lang w:val="en_US" w:bidi="en_US"/>
        </w:rPr>
        <w:t>Choose a term that is acceptable to the believers and churches in your area. For more detailed information, see God in the Glossary.</w:t>
      </w:r>
    </w:p>
    <w:p>
      <w:pPr>
        <w:pStyle w:val="Heading5"/>
      </w:pPr>
      <w:r>
        <w:rPr>
          <w:lang w:val="en_US" w:bidi="en_US"/>
        </w:rPr>
        <w:t>1:6b</w:t>
      </w:r>
    </w:p>
    <w:p>
      <w:pPr/>
      <w:r>
        <w:rPr>
          <w:lang w:val="en_US" w:bidi="en_US"/>
        </w:rPr>
      </w:r>
      <w:r>
        <w:rPr>
          <w:b/>
          <w:lang w:val="en_US" w:bidi="en_US"/>
        </w:rPr>
        <w:t>walking blamelessly in all the commandments and decrees of the Lord.</w:t>
      </w:r>
    </w:p>
    <w:p>
      <w:pPr>
        <w:pStyle w:val="ListBullet"/>
        <w:spacing w:line="240" w:lineRule="auto"/>
        <w:ind w:left="720"/>
      </w:pPr>
      <w:r>
        <w:rPr>
          <w:lang w:val="en_US" w:bidi="en_US"/>
        </w:rPr>
      </w:r>
      <w:r>
        <w:rPr>
          <w:lang w:val="en_US" w:bidi="en_US"/>
        </w:rPr>
        <w:t>They followed without fault all of the commands and rules that the Lord gave.</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obeyed completely all that the Lord commanded.</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did everything exactly as God had told his people to do.</w:t>
      </w:r>
    </w:p>
    <w:p>
      <w:pPr/>
      <w:r>
        <w:rPr>
          <w:lang w:val="en_US" w:bidi="en_US"/>
        </w:rPr>
      </w:r>
      <w:r>
        <w:rPr>
          <w:b/>
          <w:lang w:val="en_US" w:bidi="en_US"/>
        </w:rPr>
        <w:t>walking blamelessly in all the commandments and decrees of the Lord:</w:t>
      </w:r>
      <w:r>
        <w:rPr>
          <w:lang w:val="en_US" w:bidi="en_US"/>
        </w:rPr>
        <w:t xml:space="preserve"> The Greek phrase that the BSB translates as </w:t>
      </w:r>
      <w:r>
        <w:rPr>
          <w:i/>
          <w:lang w:val="en_US" w:bidi="en_US"/>
        </w:rPr>
        <w:t>walking blamelessly in all the commandments and decrees of the Lord</w:t>
      </w:r>
      <w:r>
        <w:rPr>
          <w:lang w:val="en_US" w:bidi="en_US"/>
        </w:rPr>
        <w:t xml:space="preserve"> means “obeying all the commandments and regulations that the Lord had given/made.” Another way to say this is:</w:t>
      </w:r>
    </w:p>
    <w:p>
      <w:pPr/>
      <w:r>
        <w:rPr>
          <w:lang w:val="en_US" w:bidi="en_US"/>
        </w:rPr>
      </w:r>
      <w:r>
        <w:rPr>
          <w:lang w:val="en_US" w:bidi="en_US"/>
        </w:rPr>
        <w:t>obeying everything that the Lord commanded and ordered</w:t>
      </w:r>
    </w:p>
    <w:p>
      <w:pPr/>
      <w:r>
        <w:rPr>
          <w:lang w:val="en_US" w:bidi="en_US"/>
        </w:rPr>
      </w:r>
      <w:r>
        <w:rPr>
          <w:lang w:val="en_US" w:bidi="en_US"/>
        </w:rPr>
        <w:t xml:space="preserve">The words </w:t>
      </w:r>
      <w:r>
        <w:rPr>
          <w:i/>
          <w:lang w:val="en_US" w:bidi="en_US"/>
        </w:rPr>
        <w:t>commandments</w:t>
      </w:r>
      <w:r>
        <w:rPr>
          <w:lang w:val="en_US" w:bidi="en_US"/>
        </w:rPr>
        <w:t xml:space="preserve"> and </w:t>
      </w:r>
      <w:r>
        <w:rPr>
          <w:i/>
          <w:lang w:val="en_US" w:bidi="en_US"/>
        </w:rPr>
        <w:t>decrees</w:t>
      </w:r>
      <w:r>
        <w:rPr>
          <w:lang w:val="en_US" w:bidi="en_US"/>
        </w:rPr>
        <w:t xml:space="preserve"> have basically the same meaning. They refer here to the laws and rules in the Old Testament. God told the Jewish people to obey these laws and rules. In some languages it may be more natural to express the meaning of these two words with one word or phrase. For example:</w:t>
      </w:r>
    </w:p>
    <w:p>
      <w:pPr/>
      <w:r>
        <w:rPr>
          <w:lang w:val="en_US" w:bidi="en_US"/>
        </w:rPr>
      </w:r>
      <w:r>
        <w:rPr>
          <w:lang w:val="en_US" w:bidi="en_US"/>
        </w:rPr>
        <w:t xml:space="preserve">…obeying all that he had </w:t>
      </w:r>
      <w:r>
        <w:rPr>
          <w:u w:val="single"/>
          <w:lang w:val="en_US" w:bidi="en_US"/>
        </w:rPr>
        <w:t>commanded</w:t>
      </w:r>
      <w:r>
        <w:rPr>
          <w:lang w:val="en_US" w:bidi="en_US"/>
        </w:rPr>
        <w:t xml:space="preserve"> (CEV)</w:t>
      </w:r>
    </w:p>
    <w:p>
      <w:pPr/>
      <w:r>
        <w:rPr>
          <w:lang w:val="en_US" w:bidi="en_US"/>
        </w:rPr>
      </w:r>
      <w:r>
        <w:rPr>
          <w:b/>
          <w:lang w:val="en_US" w:bidi="en_US"/>
        </w:rPr>
        <w:t>blamelessly:</w:t>
      </w:r>
      <w:r>
        <w:rPr>
          <w:lang w:val="en_US" w:bidi="en_US"/>
        </w:rPr>
        <w:t xml:space="preserve"> The Greek word that the BSB translates as </w:t>
      </w:r>
      <w:r>
        <w:rPr>
          <w:i/>
          <w:lang w:val="en_US" w:bidi="en_US"/>
        </w:rPr>
        <w:t>blamelessly</w:t>
      </w:r>
      <w:r>
        <w:rPr>
          <w:lang w:val="en_US" w:bidi="en_US"/>
        </w:rPr>
        <w:t xml:space="preserve"> means “without fault.” Zechariah and Elizabeth obeyed God’s rules fully and completely. No one could say that they had broken God’s law.</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“master, one who has authority over others.” The word </w:t>
      </w:r>
      <w:r>
        <w:rPr>
          <w:i/>
          <w:lang w:val="en_US" w:bidi="en_US"/>
        </w:rPr>
        <w:t>Lord</w:t>
      </w:r>
      <w:r>
        <w:rPr>
          <w:lang w:val="en_US" w:bidi="en_US"/>
        </w:rPr>
        <w:t xml:space="preserve"> was one of the terms that the Jews used to refer to God.</w:t>
      </w:r>
      <w:r>
        <w:rPr>
          <w:lang w:val="en_US" w:bidi="en_US"/>
        </w:rPr>
        <w:t xml:space="preserve">This is not meant to imply that they used </w:t>
      </w:r>
      <w:r>
        <w:rPr>
          <w:i/>
          <w:lang w:val="en_US" w:bidi="en_US"/>
        </w:rPr>
        <w:t>kurios</w:t>
      </w:r>
      <w:r>
        <w:rPr>
          <w:lang w:val="en_US" w:bidi="en_US"/>
        </w:rPr>
        <w:t xml:space="preserve"> when speaking to each other in Hebrew or Aramaic. It is assumed that they might use it when they spoke or wrote in Greek, as Luke was doing here.</w:t>
      </w:r>
      <w:r>
        <w:rPr>
          <w:lang w:val="en_US" w:bidi="en_US"/>
        </w:rPr>
        <w:t xml:space="preserve"> This is the first time in Luke that the word </w:t>
      </w:r>
      <w:r>
        <w:rPr>
          <w:i/>
          <w:lang w:val="en_US" w:bidi="en_US"/>
        </w:rPr>
        <w:t>Lord</w:t>
      </w:r>
      <w:r>
        <w:rPr>
          <w:lang w:val="en_US" w:bidi="en_US"/>
        </w:rPr>
        <w:t xml:space="preserve"> occurs. Remember that in 1:6a Luke used the word God to refer to him.</w:t>
      </w:r>
    </w:p>
    <w:p>
      <w:pPr/>
      <w:r>
        <w:rPr>
          <w:lang w:val="en_US" w:bidi="en_US"/>
        </w:rPr>
      </w:r>
      <w:r>
        <w:rPr>
          <w:lang w:val="en_US" w:bidi="en_US"/>
        </w:rPr>
        <w:t xml:space="preserve">In some languages, it may not be clear that the word </w:t>
      </w:r>
      <w:r>
        <w:rPr>
          <w:i/>
          <w:lang w:val="en_US" w:bidi="en_US"/>
        </w:rPr>
        <w:t>Lord</w:t>
      </w:r>
      <w:r>
        <w:rPr>
          <w:lang w:val="en_US" w:bidi="en_US"/>
        </w:rPr>
        <w:t xml:space="preserve"> refers to God in this context. If that is true in your language, you should make it clear in some way. For example:</w:t>
      </w:r>
    </w:p>
    <w:p>
      <w:pPr>
        <w:pStyle w:val="ListBullet"/>
        <w:spacing w:line="240" w:lineRule="auto"/>
        <w:ind w:left="720"/>
      </w:pPr>
      <w:r>
        <w:rPr>
          <w:lang w:val="en_US" w:bidi="en_US"/>
        </w:rPr>
      </w:r>
      <w:r>
        <w:rPr>
          <w:lang w:val="en_US" w:bidi="en_US"/>
        </w:rPr>
        <w:t>Use your word for God.</w:t>
      </w:r>
    </w:p>
    <w:p>
      <w:pPr>
        <w:pStyle w:val="ListBullet"/>
        <w:spacing w:line="240" w:lineRule="auto"/>
        <w:ind w:left="720"/>
      </w:pPr>
      <w:r>
        <w:rPr>
          <w:lang w:val="en_US" w:bidi="en_US"/>
        </w:rPr>
      </w:r>
      <w:r>
        <w:rPr>
          <w:lang w:val="en_US" w:bidi="en_US"/>
        </w:rPr>
        <w:t xml:space="preserve">Use your word for God along with the word for </w:t>
      </w:r>
      <w:r>
        <w:rPr>
          <w:i/>
          <w:lang w:val="en_US" w:bidi="en_US"/>
        </w:rPr>
        <w:t>Lord</w:t>
      </w:r>
      <w:r>
        <w:rPr>
          <w:lang w:val="en_US" w:bidi="en_US"/>
        </w:rPr>
        <w:t>. For example:</w:t>
      </w:r>
      <w:r>
        <w:rPr>
          <w:lang w:val="en_US" w:bidi="en_US"/>
        </w:rPr>
        <w:t>God the Lord</w:t>
      </w:r>
      <w:r>
        <w:rPr>
          <w:lang w:val="en_US" w:bidi="en_US"/>
        </w:rPr>
        <w:t>Master God</w:t>
      </w:r>
    </w:p>
    <w:p>
      <w:pPr/>
      <w:r>
        <w:rPr>
          <w:lang w:val="en_US" w:bidi="en_US"/>
        </w:rPr>
      </w:r>
      <w:r>
        <w:rPr>
          <w:lang w:val="en_US" w:bidi="en_US"/>
        </w:rPr>
        <w:t xml:space="preserve">If you include the word for God in your translation of </w:t>
      </w:r>
      <w:r>
        <w:rPr>
          <w:i/>
          <w:lang w:val="en_US" w:bidi="en_US"/>
        </w:rPr>
        <w:t>Lord</w:t>
      </w:r>
      <w:r>
        <w:rPr>
          <w:lang w:val="en_US" w:bidi="en_US"/>
        </w:rPr>
        <w:t>, you may want to include a footnote to give the literal Greek meaning. For example:</w:t>
      </w:r>
    </w:p>
    <w:p>
      <w:pPr/>
      <w:r>
        <w:rPr>
          <w:lang w:val="en_US" w:bidi="en_US"/>
        </w:rPr>
      </w:r>
      <w:r>
        <w:rPr>
          <w:lang w:val="en_US" w:bidi="en_US"/>
        </w:rPr>
        <w:t>Here the Greek text is literally “Lord.”</w:t>
      </w:r>
    </w:p>
    <w:p>
      <w:pPr/>
      <w:r>
        <w:rPr>
          <w:lang w:val="en_US" w:bidi="en_US"/>
        </w:rPr>
      </w:r>
      <w:r>
        <w:rPr>
          <w:lang w:val="en_US" w:bidi="en_US"/>
        </w:rPr>
        <w:t>See Lord, Context 2, in the Glossary.</w:t>
      </w:r>
      <w:r>
        <w:rPr>
          <w:lang w:val="en_US" w:bidi="en_US"/>
        </w:rPr>
      </w:r>
      <w:r>
        <w:rPr>
          <w:lang w:val="en_US" w:bidi="en_US"/>
        </w:rPr>
      </w:r>
    </w:p>
    <w:p>
      <w:pPr/>
      <w:r>
        <w:rPr>
          <w:lang w:val="en_US" w:bidi="en_US"/>
        </w:rPr>
      </w:r>
    </w:p>
    <w:p>
      <w:pPr>
        <w:pStyle w:val="Heading2"/>
      </w:pPr>
      <w:r>
        <w:rPr>
          <w:lang w:val="en_US" w:bidi="en_US"/>
        </w:rPr>
        <w:t>Luke 1:7</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4"/>
      </w:pPr>
      <w:r>
        <w:rPr>
          <w:lang w:val="en_US" w:bidi="en_US"/>
        </w:rPr>
        <w:t>Paragraph 1:5–7</w:t>
      </w:r>
    </w:p>
    <w:p>
      <w:pPr/>
      <w:r>
        <w:rPr>
          <w:lang w:val="en_US" w:bidi="en_US"/>
        </w:rPr>
      </w:r>
      <w:r>
        <w:rPr>
          <w:lang w:val="en_US" w:bidi="en_US"/>
        </w:rPr>
        <w:t>In these verses, Luke told about Zechariah and Elizabeth, who are the main people in chapter 1. Luke did not mention them in the rest of the book except in 3:2. Use a natural way in your language to introduce them.</w:t>
      </w:r>
    </w:p>
    <w:p>
      <w:pPr>
        <w:pStyle w:val="Heading5"/>
      </w:pPr>
      <w:r>
        <w:rPr>
          <w:lang w:val="en_US" w:bidi="en_US"/>
        </w:rPr>
        <w:t>1:7a</w:t>
      </w:r>
    </w:p>
    <w:p>
      <w:pPr/>
      <w:r>
        <w:rPr>
          <w:lang w:val="en_US" w:bidi="en_US"/>
        </w:rPr>
      </w:r>
      <w:r>
        <w:rPr>
          <w:b/>
          <w:lang w:val="en_US" w:bidi="en_US"/>
        </w:rPr>
        <w:t>But they had no children, because Elizabeth was barren,</w:t>
      </w:r>
    </w:p>
    <w:p>
      <w:pPr>
        <w:pStyle w:val="ListBullet"/>
        <w:spacing w:line="240" w:lineRule="auto"/>
        <w:ind w:left="720"/>
      </w:pPr>
      <w:r>
        <w:rPr>
          <w:lang w:val="en_US" w:bidi="en_US"/>
        </w:rPr>
      </w:r>
      <w:r>
        <w:rPr>
          <w:lang w:val="en_US" w:bidi="en_US"/>
        </w:rPr>
        <w:t>They did not have any children, because Elizabeth was not able to conceive.</w:t>
      </w:r>
    </w:p>
    <w:p>
      <w:pPr>
        <w:pStyle w:val="ListBullet"/>
        <w:spacing w:line="240" w:lineRule="auto"/>
        <w:ind w:left="720"/>
      </w:pPr>
      <w:r>
        <w:rPr>
          <w:lang w:val="en_US" w:bidi="en_US"/>
        </w:rPr>
      </w:r>
      <w:r>
        <w:rPr>
          <w:lang w:val="en_US" w:bidi="en_US"/>
        </w:rPr>
        <w:t>But Elizabeth had never been able to have a baby, and so they had no children.</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is a common conjunction that is often translated as “and” in English. Some English versions translate it here as “But.” That is natural in English in this context. The conjunction contrasts the righteous life of Zechariah and Elizabeth (1:6) with the fact that they had no children. Connect 1:7 to 1:6 in a way that is natural in your language. In some languages, a conjunction may not be needed. For example:</w:t>
      </w:r>
    </w:p>
    <w:p>
      <w:pPr/>
      <w:r>
        <w:rPr>
          <w:lang w:val="en_US" w:bidi="en_US"/>
        </w:rPr>
      </w:r>
      <w:r>
        <w:rPr>
          <w:lang w:val="en_US" w:bidi="en_US"/>
        </w:rPr>
        <w:t>They had no children (NLT)</w:t>
      </w:r>
    </w:p>
    <w:p>
      <w:pPr/>
      <w:r>
        <w:rPr>
          <w:lang w:val="en_US" w:bidi="en_US"/>
        </w:rPr>
      </w:r>
      <w:r>
        <w:rPr>
          <w:b/>
          <w:lang w:val="en_US" w:bidi="en_US"/>
        </w:rPr>
        <w:t>children:</w:t>
      </w:r>
      <w:r>
        <w:rPr>
          <w:lang w:val="en_US" w:bidi="en_US"/>
        </w:rPr>
        <w:t xml:space="preserve"> The Greek word that the BSB translates as </w:t>
      </w:r>
      <w:r>
        <w:rPr>
          <w:i/>
          <w:lang w:val="en_US" w:bidi="en_US"/>
        </w:rPr>
        <w:t>children</w:t>
      </w:r>
      <w:r>
        <w:rPr>
          <w:lang w:val="en_US" w:bidi="en_US"/>
        </w:rPr>
        <w:t xml:space="preserve"> is literally “child” (as in the RSV). In modern English, it is more natural to use the plural form </w:t>
      </w:r>
      <w:r>
        <w:rPr>
          <w:i/>
          <w:lang w:val="en_US" w:bidi="en_US"/>
        </w:rPr>
        <w:t>children</w:t>
      </w:r>
      <w:r>
        <w:rPr>
          <w:lang w:val="en_US" w:bidi="en_US"/>
        </w:rPr>
        <w:t>. You can use the form that is most natural in your language here.</w:t>
      </w:r>
    </w:p>
    <w:p>
      <w:pPr/>
      <w:r>
        <w:rPr>
          <w:lang w:val="en_US" w:bidi="en_US"/>
        </w:rPr>
      </w:r>
      <w:r>
        <w:rPr>
          <w:b/>
          <w:lang w:val="en_US" w:bidi="en_US"/>
        </w:rPr>
        <w:t>barren:</w:t>
      </w:r>
      <w:r>
        <w:rPr>
          <w:lang w:val="en_US" w:bidi="en_US"/>
        </w:rPr>
        <w:t xml:space="preserve"> The Greek word that the BSB translates as </w:t>
      </w:r>
      <w:r>
        <w:rPr>
          <w:i/>
          <w:lang w:val="en_US" w:bidi="en_US"/>
        </w:rPr>
        <w:t>barren</w:t>
      </w:r>
      <w:r>
        <w:rPr>
          <w:lang w:val="en_US" w:bidi="en_US"/>
        </w:rPr>
        <w:t xml:space="preserve"> describes a woman who is not able to conceive or give birth to a child. Another way to translate this is:</w:t>
      </w:r>
    </w:p>
    <w:p>
      <w:pPr/>
      <w:r>
        <w:rPr>
          <w:lang w:val="en_US" w:bidi="en_US"/>
        </w:rPr>
      </w:r>
      <w:r>
        <w:rPr>
          <w:lang w:val="en_US" w:bidi="en_US"/>
        </w:rPr>
        <w:t>not able to have children</w:t>
      </w:r>
    </w:p>
    <w:p>
      <w:pPr>
        <w:pStyle w:val="Heading5"/>
      </w:pPr>
      <w:r>
        <w:rPr>
          <w:lang w:val="en_US" w:bidi="en_US"/>
        </w:rPr>
        <w:t>1:7b</w:t>
      </w:r>
    </w:p>
    <w:p>
      <w:pPr/>
      <w:r>
        <w:rPr>
          <w:lang w:val="en_US" w:bidi="en_US"/>
        </w:rPr>
      </w:r>
      <w:r>
        <w:rPr>
          <w:b/>
          <w:lang w:val="en_US" w:bidi="en_US"/>
        </w:rPr>
        <w:t>and they were both well along in years.</w:t>
      </w:r>
    </w:p>
    <w:p>
      <w:pPr>
        <w:pStyle w:val="ListBullet"/>
        <w:spacing w:line="240" w:lineRule="auto"/>
        <w:ind w:left="720"/>
      </w:pPr>
      <w:r>
        <w:rPr>
          <w:lang w:val="en_US" w:bidi="en_US"/>
        </w:rPr>
      </w:r>
      <w:r>
        <w:rPr>
          <w:lang w:val="en_US" w:bidi="en_US"/>
        </w:rPr>
        <w:t>Also, she and Zechariah were quite old.</w:t>
      </w:r>
    </w:p>
    <w:p>
      <w:pPr>
        <w:pStyle w:val="ListBullet"/>
        <w:spacing w:line="240" w:lineRule="auto"/>
        <w:ind w:left="720"/>
      </w:pPr>
      <w:r>
        <w:rPr>
          <w:lang w:val="en_US" w:bidi="en_US"/>
        </w:rPr>
      </w:r>
      <w:r>
        <w:rPr>
          <w:lang w:val="en_US" w:bidi="en_US"/>
        </w:rPr>
        <w:t>Moreover/Furthermore,</w:t>
      </w:r>
      <w:r>
        <w:rPr>
          <w:lang w:val="en_US" w:bidi="en_US"/>
        </w:rPr>
        <w:t xml:space="preserve"> they were both old.</w:t>
      </w:r>
    </w:p>
    <w:p>
      <w:pPr/>
      <w:r>
        <w:rPr>
          <w:lang w:val="en_US" w:bidi="en_US"/>
        </w:rPr>
      </w:r>
      <w:r>
        <w:rPr>
          <w:b/>
          <w:lang w:val="en_US" w:bidi="en_US"/>
        </w:rPr>
        <w:t>they were both well along in years:</w:t>
      </w:r>
      <w:r>
        <w:rPr>
          <w:lang w:val="en_US" w:bidi="en_US"/>
        </w:rPr>
        <w:t xml:space="preserve"> In this context the Greek phrase that the BSB translates as </w:t>
      </w:r>
      <w:r>
        <w:rPr>
          <w:i/>
          <w:lang w:val="en_US" w:bidi="en_US"/>
        </w:rPr>
        <w:t>well along in years</w:t>
      </w:r>
      <w:r>
        <w:rPr>
          <w:lang w:val="en_US" w:bidi="en_US"/>
        </w:rPr>
        <w:t xml:space="preserve"> means that Zechariah and Elizabeth were old. They were past the age when they would normally be able to have children. Another way to translate this is:</w:t>
      </w:r>
    </w:p>
    <w:p>
      <w:pPr/>
      <w:r>
        <w:rPr>
          <w:lang w:val="en_US" w:bidi="en_US"/>
        </w:rPr>
      </w:r>
      <w:r>
        <w:rPr>
          <w:lang w:val="en_US" w:bidi="en_US"/>
        </w:rPr>
        <w:t>she and Zechariah were both very old (GNT)</w:t>
      </w:r>
      <w:r>
        <w:rPr>
          <w:lang w:val="en_US" w:bidi="en_US"/>
        </w:rPr>
      </w:r>
      <w:r>
        <w:rPr>
          <w:lang w:val="en_US" w:bidi="en_US"/>
        </w:rPr>
      </w:r>
    </w:p>
    <w:p>
      <w:pPr/>
      <w:r>
        <w:rPr>
          <w:lang w:val="en_US" w:bidi="en_US"/>
        </w:rPr>
      </w:r>
    </w:p>
    <w:p>
      <w:pPr>
        <w:pStyle w:val="Heading2"/>
      </w:pPr>
      <w:r>
        <w:rPr>
          <w:lang w:val="en_US" w:bidi="en_US"/>
        </w:rPr>
        <w:t>Luke 1:8</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4"/>
      </w:pPr>
      <w:r>
        <w:rPr>
          <w:lang w:val="en_US" w:bidi="en_US"/>
        </w:rPr>
        <w:t>Paragraph 1:8–10</w:t>
      </w:r>
    </w:p>
    <w:p>
      <w:pPr/>
      <w:r>
        <w:rPr>
          <w:lang w:val="en_US" w:bidi="en_US"/>
        </w:rPr>
      </w:r>
      <w:r>
        <w:rPr>
          <w:lang w:val="en_US" w:bidi="en_US"/>
        </w:rPr>
        <w:t>This paragraph gives background information for the events in 1:11–20. These events happened in the temple of God in Jerusalem. The temple had several courtyards. The ordinary people remained in the courtyards while the priests went into the temple building to offer incense and other sacrifices. It may be helpful to have a picture of the temple and the temple courtyards here in your translation.</w:t>
      </w:r>
    </w:p>
    <w:p>
      <w:pPr>
        <w:pStyle w:val="Heading5"/>
      </w:pPr>
      <w:r>
        <w:rPr>
          <w:lang w:val="en_US" w:bidi="en_US"/>
        </w:rPr>
        <w:t>1:8a</w:t>
      </w:r>
    </w:p>
    <w:p>
      <w:pPr/>
      <w:r>
        <w:rPr>
          <w:lang w:val="en_US" w:bidi="en_US"/>
        </w:rPr>
      </w:r>
      <w:r>
        <w:rPr>
          <w:b/>
          <w:lang w:val="en_US" w:bidi="en_US"/>
        </w:rPr>
        <w:t>One day while Zechariah’s division was on duty</w:t>
      </w:r>
    </w:p>
    <w:p>
      <w:pPr>
        <w:pStyle w:val="ListBullet"/>
        <w:spacing w:line="240" w:lineRule="auto"/>
        <w:ind w:left="720"/>
      </w:pPr>
      <w:r>
        <w:rPr>
          <w:lang w:val="en_US" w:bidi="en_US"/>
        </w:rPr>
      </w:r>
      <w:r>
        <w:rPr>
          <w:lang w:val="en_US" w:bidi="en_US"/>
        </w:rPr>
        <w:t xml:space="preserve">¶ It happened that when Zechariah’s group was working </w:t>
      </w:r>
      <w:r>
        <w:rPr>
          <w:lang w:val="en_US" w:bidi="en_US"/>
        </w:rPr>
        <w:t>at the temple</w:t>
      </w:r>
      <w:r>
        <w:rPr>
          <w:lang w:val="en_US" w:bidi="en_US"/>
        </w:rPr>
        <w:t>,</w:t>
      </w:r>
    </w:p>
    <w:p>
      <w:pPr>
        <w:pStyle w:val="ListBullet"/>
        <w:spacing w:line="240" w:lineRule="auto"/>
        <w:ind w:left="720"/>
      </w:pPr>
      <w:r>
        <w:rPr>
          <w:lang w:val="en_US" w:bidi="en_US"/>
        </w:rPr>
      </w:r>
      <w:r>
        <w:rPr>
          <w:lang w:val="en_US" w:bidi="en_US"/>
        </w:rPr>
        <w:t xml:space="preserve">¶ One day the group of priests to which Zechariah belonged was taking its turn </w:t>
      </w:r>
      <w:r>
        <w:rPr>
          <w:lang w:val="en_US" w:bidi="en_US"/>
        </w:rPr>
        <w:t>to serve at the temple</w:t>
      </w:r>
      <w:r>
        <w:rPr>
          <w:lang w:val="en_US" w:bidi="en_US"/>
        </w:rPr>
        <w:t>.</w:t>
      </w:r>
    </w:p>
    <w:p>
      <w:pPr/>
      <w:r>
        <w:rPr>
          <w:lang w:val="en_US" w:bidi="en_US"/>
        </w:rPr>
      </w:r>
      <w:r>
        <w:rPr>
          <w:b/>
          <w:lang w:val="en_US" w:bidi="en_US"/>
        </w:rPr>
        <w:t>One day:</w:t>
      </w:r>
      <w:r>
        <w:rPr>
          <w:lang w:val="en_US" w:bidi="en_US"/>
        </w:rPr>
        <w:t xml:space="preserve"> The Greek word that the BSB translates as </w:t>
      </w:r>
      <w:r>
        <w:rPr>
          <w:i/>
          <w:lang w:val="en_US" w:bidi="en_US"/>
        </w:rPr>
        <w:t>One day</w:t>
      </w:r>
      <w:r>
        <w:rPr>
          <w:lang w:val="en_US" w:bidi="en_US"/>
        </w:rPr>
        <w:t xml:space="preserve"> is literally “it happened.” Here it introduces a background event that led to the events in 1:11–20. Begin this paragraph in a natural way in your language. Some ways to do this in English are:</w:t>
      </w:r>
    </w:p>
    <w:p>
      <w:pPr/>
      <w:r>
        <w:rPr>
          <w:lang w:val="en_US" w:bidi="en_US"/>
        </w:rPr>
      </w:r>
      <w:r>
        <w:rPr>
          <w:lang w:val="en_US" w:bidi="en_US"/>
        </w:rPr>
        <w:t>Once (NIV)</w:t>
      </w:r>
    </w:p>
    <w:p>
      <w:pPr/>
      <w:r>
        <w:rPr>
          <w:lang w:val="en_US" w:bidi="en_US"/>
        </w:rPr>
      </w:r>
      <w:r>
        <w:rPr>
          <w:lang w:val="en_US" w:bidi="en_US"/>
        </w:rPr>
        <w:t>Now it happened that (NASB)</w:t>
      </w:r>
    </w:p>
    <w:p>
      <w:pPr/>
      <w:r>
        <w:rPr>
          <w:lang w:val="en_US" w:bidi="en_US"/>
        </w:rPr>
      </w:r>
      <w:r>
        <w:rPr>
          <w:b/>
          <w:lang w:val="en_US" w:bidi="en_US"/>
        </w:rPr>
        <w:t>while Zechariah’s division was on duty:</w:t>
      </w:r>
      <w:r>
        <w:rPr>
          <w:lang w:val="en_US" w:bidi="en_US"/>
        </w:rPr>
        <w:t xml:space="preserve"> The group of priests to which Zechariah belonged served in the temple for two periods each year. During each period they served for one week. The following incident happened during one of these weeks.</w:t>
      </w:r>
    </w:p>
    <w:p>
      <w:pPr/>
      <w:r>
        <w:rPr>
          <w:lang w:val="en_US" w:bidi="en_US"/>
        </w:rPr>
      </w:r>
      <w:r>
        <w:rPr>
          <w:b/>
          <w:lang w:val="en_US" w:bidi="en_US"/>
        </w:rPr>
        <w:t>Zechariah’s division:</w:t>
      </w:r>
      <w:r>
        <w:rPr>
          <w:lang w:val="en_US" w:bidi="en_US"/>
        </w:rPr>
        <w:t xml:space="preserve"> The term </w:t>
      </w:r>
      <w:r>
        <w:rPr>
          <w:i/>
          <w:lang w:val="en_US" w:bidi="en_US"/>
        </w:rPr>
        <w:t>Zechariah’s division</w:t>
      </w:r>
      <w:r>
        <w:rPr>
          <w:lang w:val="en_US" w:bidi="en_US"/>
        </w:rPr>
        <w:t xml:space="preserve"> refers to the group of priests to which Zechariah belonged. It does not mean that Zechariah was the leader of this group. Another way to translate this is:</w:t>
      </w:r>
    </w:p>
    <w:p>
      <w:pPr/>
      <w:r>
        <w:rPr>
          <w:lang w:val="en_US" w:bidi="en_US"/>
        </w:rPr>
      </w:r>
      <w:r>
        <w:rPr>
          <w:lang w:val="en_US" w:bidi="en_US"/>
        </w:rPr>
        <w:t>the division that Zechariah belonged to</w:t>
      </w:r>
    </w:p>
    <w:p>
      <w:pPr/>
      <w:r>
        <w:rPr>
          <w:lang w:val="en_US" w:bidi="en_US"/>
        </w:rPr>
      </w:r>
      <w:r>
        <w:rPr>
          <w:lang w:val="en_US" w:bidi="en_US"/>
        </w:rPr>
        <w:t xml:space="preserve">Because </w:t>
      </w:r>
      <w:r>
        <w:rPr>
          <w:i/>
          <w:lang w:val="en_US" w:bidi="en_US"/>
        </w:rPr>
        <w:t>Zechariah’s division</w:t>
      </w:r>
      <w:r>
        <w:rPr>
          <w:lang w:val="en_US" w:bidi="en_US"/>
        </w:rPr>
        <w:t xml:space="preserve"> was already described in 1:5c as “the division of Abijah,” it may be helpful in some languages to say that here. For example:</w:t>
      </w:r>
    </w:p>
    <w:p>
      <w:pPr/>
      <w:r>
        <w:rPr>
          <w:lang w:val="en_US" w:bidi="en_US"/>
        </w:rPr>
      </w:r>
      <w:r>
        <w:rPr>
          <w:lang w:val="en_US" w:bidi="en_US"/>
        </w:rPr>
        <w:t xml:space="preserve">when the division </w:t>
      </w:r>
      <w:r>
        <w:rPr>
          <w:lang w:val="en_US" w:bidi="en_US"/>
        </w:rPr>
        <w:t>of Abijah</w:t>
      </w:r>
      <w:r>
        <w:rPr>
          <w:lang w:val="en_US" w:bidi="en_US"/>
        </w:rPr>
        <w:t xml:space="preserve"> that Zechariah belonged to was on duty</w:t>
      </w:r>
    </w:p>
    <w:p>
      <w:pPr/>
      <w:r>
        <w:rPr>
          <w:lang w:val="en_US" w:bidi="en_US"/>
        </w:rPr>
      </w:r>
      <w:r>
        <w:rPr>
          <w:lang w:val="en_US" w:bidi="en_US"/>
        </w:rPr>
        <w:t xml:space="preserve">The word </w:t>
      </w:r>
      <w:r>
        <w:rPr>
          <w:i/>
          <w:lang w:val="en_US" w:bidi="en_US"/>
        </w:rPr>
        <w:t>division</w:t>
      </w:r>
      <w:r>
        <w:rPr>
          <w:lang w:val="en_US" w:bidi="en_US"/>
        </w:rPr>
        <w:t xml:space="preserve"> here is the same word as in 1:5c.</w:t>
      </w:r>
    </w:p>
    <w:p>
      <w:pPr/>
      <w:r>
        <w:rPr>
          <w:lang w:val="en_US" w:bidi="en_US"/>
        </w:rPr>
      </w:r>
      <w:r>
        <w:rPr>
          <w:b/>
          <w:lang w:val="en_US" w:bidi="en_US"/>
        </w:rPr>
        <w:t>on duty:</w:t>
      </w:r>
      <w:r>
        <w:rPr>
          <w:lang w:val="en_US" w:bidi="en_US"/>
        </w:rPr>
        <w:t xml:space="preserve"> The Greek phrase that the BSB translates as </w:t>
      </w:r>
      <w:r>
        <w:rPr>
          <w:i/>
          <w:lang w:val="en_US" w:bidi="en_US"/>
        </w:rPr>
        <w:t>on duty</w:t>
      </w:r>
      <w:r>
        <w:rPr>
          <w:lang w:val="en_US" w:bidi="en_US"/>
        </w:rPr>
        <w:t xml:space="preserve"> means “taking its turn.” It was the turn of Zechariah’s division of priests to work in the temple. You may need to make it explicit that Zechariah was on duty </w:t>
      </w:r>
      <w:r>
        <w:rPr>
          <w:u w:val="single"/>
          <w:lang w:val="en_US" w:bidi="en_US"/>
        </w:rPr>
        <w:t>in the temple</w:t>
      </w:r>
      <w:r>
        <w:rPr>
          <w:lang w:val="en_US" w:bidi="en_US"/>
        </w:rPr>
        <w:t>.</w:t>
      </w:r>
    </w:p>
    <w:p>
      <w:pPr>
        <w:pStyle w:val="Heading5"/>
      </w:pPr>
      <w:r>
        <w:rPr>
          <w:lang w:val="en_US" w:bidi="en_US"/>
        </w:rPr>
        <w:t>1:8b</w:t>
      </w:r>
    </w:p>
    <w:p>
      <w:pPr/>
      <w:r>
        <w:rPr>
          <w:lang w:val="en_US" w:bidi="en_US"/>
        </w:rPr>
      </w:r>
      <w:r>
        <w:rPr>
          <w:b/>
          <w:lang w:val="en_US" w:bidi="en_US"/>
        </w:rPr>
        <w:t>and he was serving as priest before God,</w:t>
      </w:r>
    </w:p>
    <w:p>
      <w:pPr>
        <w:pStyle w:val="ListBullet"/>
        <w:spacing w:line="240" w:lineRule="auto"/>
        <w:ind w:left="720"/>
      </w:pPr>
      <w:r>
        <w:rPr>
          <w:lang w:val="en_US" w:bidi="en_US"/>
        </w:rPr>
      </w:r>
      <w:r>
        <w:rPr>
          <w:lang w:val="en_US" w:bidi="en_US"/>
        </w:rPr>
        <w:t>and Zechariah was working as a priest in the presence of God,</w:t>
      </w:r>
    </w:p>
    <w:p>
      <w:pPr>
        <w:pStyle w:val="ListBullet"/>
        <w:spacing w:line="240" w:lineRule="auto"/>
        <w:ind w:left="720"/>
      </w:pPr>
      <w:r>
        <w:rPr>
          <w:lang w:val="en_US" w:bidi="en_US"/>
        </w:rPr>
      </w:r>
      <w:r>
        <w:rPr>
          <w:lang w:val="en_US" w:bidi="en_US"/>
        </w:rPr>
        <w:t>Zechariah was there too, doing his priestly work/tasks for God.</w:t>
      </w:r>
    </w:p>
    <w:p>
      <w:pPr/>
      <w:r>
        <w:rPr>
          <w:lang w:val="en_US" w:bidi="en_US"/>
        </w:rPr>
      </w:r>
      <w:r>
        <w:rPr>
          <w:b/>
          <w:lang w:val="en_US" w:bidi="en_US"/>
        </w:rPr>
        <w:t>and he was serving as priest:</w:t>
      </w:r>
      <w:r>
        <w:rPr>
          <w:lang w:val="en_US" w:bidi="en_US"/>
        </w:rPr>
        <w:t xml:space="preserve"> The Greek word that the BSB translates as </w:t>
      </w:r>
      <w:r>
        <w:rPr>
          <w:i/>
          <w:lang w:val="en_US" w:bidi="en_US"/>
        </w:rPr>
        <w:t>serving as priest</w:t>
      </w:r>
      <w:r>
        <w:rPr>
          <w:lang w:val="en_US" w:bidi="en_US"/>
        </w:rPr>
        <w:t xml:space="preserve"> means that Zechariah was doing the work that he was supposed to do because he was a priest. He was fulfilling his responsibility as a priest. Other ways to say this are:</w:t>
      </w:r>
    </w:p>
    <w:p>
      <w:pPr/>
      <w:r>
        <w:rPr>
          <w:lang w:val="en_US" w:bidi="en_US"/>
        </w:rPr>
      </w:r>
      <w:r>
        <w:rPr>
          <w:lang w:val="en_US" w:bidi="en_US"/>
        </w:rPr>
        <w:t>he was serving God as a priest (CEV)</w:t>
      </w:r>
    </w:p>
    <w:p>
      <w:pPr/>
      <w:r>
        <w:rPr>
          <w:lang w:val="en_US" w:bidi="en_US"/>
        </w:rPr>
      </w:r>
      <w:r>
        <w:rPr>
          <w:lang w:val="en_US" w:bidi="en_US"/>
        </w:rPr>
        <w:t>Zechariah was doing his work as a priest (GNT)</w:t>
      </w:r>
    </w:p>
    <w:p>
      <w:pPr/>
      <w:r>
        <w:rPr>
          <w:lang w:val="en_US" w:bidi="en_US"/>
        </w:rPr>
      </w:r>
      <w:r>
        <w:rPr>
          <w:b/>
          <w:lang w:val="en_US" w:bidi="en_US"/>
        </w:rPr>
        <w:t>before God:</w:t>
      </w:r>
      <w:r>
        <w:rPr>
          <w:lang w:val="en_US" w:bidi="en_US"/>
        </w:rPr>
        <w:t xml:space="preserve"> The phrase </w:t>
      </w:r>
      <w:r>
        <w:rPr>
          <w:i/>
          <w:lang w:val="en_US" w:bidi="en_US"/>
        </w:rPr>
        <w:t>before God</w:t>
      </w:r>
      <w:r>
        <w:rPr>
          <w:lang w:val="en_US" w:bidi="en_US"/>
        </w:rPr>
        <w:t xml:space="preserve"> indicates that Zechariah was working “in the presence of God.” He was working at the temple, and the Jews believed that God was present in a special way in the temple.</w:t>
      </w:r>
    </w:p>
    <w:p>
      <w:pPr/>
      <w:r>
        <w:rPr>
          <w:lang w:val="en_US" w:bidi="en_US"/>
        </w:rPr>
      </w:r>
      <w:r>
        <w:rPr>
          <w:lang w:val="en_US" w:bidi="en_US"/>
        </w:rPr>
        <w:t>Some other ways to express the meaning are:</w:t>
      </w:r>
    </w:p>
    <w:p>
      <w:pPr/>
      <w:r>
        <w:rPr>
          <w:lang w:val="en_US" w:bidi="en_US"/>
        </w:rPr>
      </w:r>
      <w:r>
        <w:rPr>
          <w:lang w:val="en_US" w:bidi="en_US"/>
        </w:rPr>
        <w:t>he was serving God as a priest (CEV)</w:t>
      </w:r>
    </w:p>
    <w:p>
      <w:pPr/>
      <w:r>
        <w:rPr>
          <w:lang w:val="en_US" w:bidi="en_US"/>
        </w:rPr>
      </w:r>
      <w:r>
        <w:rPr>
          <w:lang w:val="en_US" w:bidi="en_US"/>
        </w:rPr>
        <w:t>Zechariah was serving God in the Temple (NLT)</w:t>
      </w:r>
    </w:p>
    <w:p>
      <w:pPr/>
      <w:r>
        <w:rPr>
          <w:lang w:val="en_US" w:bidi="en_US"/>
        </w:rPr>
      </w:r>
      <w:r>
        <w:rPr>
          <w:lang w:val="en_US" w:bidi="en_US"/>
        </w:rPr>
        <w:t>As he served in God’s presence (GW)</w:t>
      </w:r>
    </w:p>
    <w:p>
      <w:pPr>
        <w:pStyle w:val="Heading6"/>
      </w:pPr>
      <w:r>
        <w:rPr>
          <w:b/>
          <w:lang w:val="en_US" w:bidi="en_US"/>
        </w:rPr>
        <w:t>General Comment on 1:8a–b</w:t>
      </w:r>
    </w:p>
    <w:p>
      <w:pPr/>
      <w:r>
        <w:rPr>
          <w:lang w:val="en_US" w:bidi="en_US"/>
        </w:rPr>
      </w:r>
      <w:r>
        <w:rPr>
          <w:lang w:val="en_US" w:bidi="en_US"/>
        </w:rPr>
        <w:t>In some languages, it may be more natural to reverse the order of 1:8a and 1:8b. For example:</w:t>
      </w:r>
    </w:p>
    <w:p>
      <w:pPr/>
      <w:r>
        <w:rPr>
          <w:lang w:val="en_US" w:bidi="en_US"/>
        </w:rPr>
      </w:r>
      <w:r>
        <w:rPr>
          <w:lang w:val="en_US" w:bidi="en_US"/>
        </w:rPr>
        <w:t xml:space="preserve">One day </w:t>
      </w:r>
      <w:r>
        <w:rPr>
          <w:vertAlign w:val="superscript"/>
          <w:lang w:val="en_US" w:bidi="en_US"/>
        </w:rPr>
        <w:t>8b</w:t>
      </w:r>
      <w:r>
        <w:rPr>
          <w:lang w:val="en_US" w:bidi="en_US"/>
        </w:rPr>
        <w:t xml:space="preserve">Zechariah was serving as a priest before God, because </w:t>
      </w:r>
      <w:r>
        <w:rPr>
          <w:vertAlign w:val="superscript"/>
          <w:lang w:val="en_US" w:bidi="en_US"/>
        </w:rPr>
        <w:t>8a</w:t>
      </w:r>
      <w:r>
        <w:rPr>
          <w:lang w:val="en_US" w:bidi="en_US"/>
        </w:rPr>
        <w:t>his group was on duty. (NCV)</w:t>
      </w:r>
      <w:r>
        <w:rPr>
          <w:lang w:val="en_US" w:bidi="en_US"/>
        </w:rPr>
      </w:r>
      <w:r>
        <w:rPr>
          <w:lang w:val="en_US" w:bidi="en_US"/>
        </w:rPr>
      </w:r>
    </w:p>
    <w:p>
      <w:pPr/>
      <w:r>
        <w:rPr>
          <w:lang w:val="en_US" w:bidi="en_US"/>
        </w:rPr>
      </w:r>
    </w:p>
    <w:p>
      <w:pPr>
        <w:pStyle w:val="Heading2"/>
      </w:pPr>
      <w:r>
        <w:rPr>
          <w:lang w:val="en_US" w:bidi="en_US"/>
        </w:rPr>
        <w:t>Luke 1:9</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4"/>
      </w:pPr>
      <w:r>
        <w:rPr>
          <w:lang w:val="en_US" w:bidi="en_US"/>
        </w:rPr>
        <w:t>Paragraph 1:8–10</w:t>
      </w:r>
    </w:p>
    <w:p>
      <w:pPr/>
      <w:r>
        <w:rPr>
          <w:lang w:val="en_US" w:bidi="en_US"/>
        </w:rPr>
      </w:r>
      <w:r>
        <w:rPr>
          <w:lang w:val="en_US" w:bidi="en_US"/>
        </w:rPr>
        <w:t>This paragraph gives background information for the events in 1:11–20. These events happened in the temple of God in Jerusalem. The temple had several courtyards. The ordinary people remained in the courtyards while the priests went into the temple building to offer incense and other sacrifices. It may be helpful to have a picture of the temple and the temple courtyards here in your translation.</w:t>
      </w:r>
    </w:p>
    <w:p>
      <w:pPr>
        <w:pStyle w:val="Heading5"/>
      </w:pPr>
      <w:r>
        <w:rPr>
          <w:lang w:val="en_US" w:bidi="en_US"/>
        </w:rPr>
        <w:t>1:9a</w:t>
      </w:r>
    </w:p>
    <w:p>
      <w:pPr/>
      <w:r>
        <w:rPr>
          <w:lang w:val="en_US" w:bidi="en_US"/>
        </w:rPr>
      </w:r>
      <w:r>
        <w:rPr>
          <w:b/>
          <w:lang w:val="en_US" w:bidi="en_US"/>
        </w:rPr>
        <w:t>he was chosen by lot, according to the custom of the priesthood,</w:t>
      </w:r>
    </w:p>
    <w:p>
      <w:pPr>
        <w:pStyle w:val="ListBullet"/>
        <w:spacing w:line="240" w:lineRule="auto"/>
        <w:ind w:left="720"/>
      </w:pPr>
      <w:r>
        <w:rPr>
          <w:lang w:val="en_US" w:bidi="en_US"/>
        </w:rPr>
      </w:r>
      <w:r>
        <w:rPr>
          <w:lang w:val="en_US" w:bidi="en_US"/>
        </w:rPr>
        <w:t>he was selected by lot, which was the customary/usual way that one of the priests was selected,</w:t>
      </w:r>
    </w:p>
    <w:p>
      <w:pPr>
        <w:pStyle w:val="ListBullet"/>
        <w:spacing w:line="240" w:lineRule="auto"/>
        <w:ind w:left="720"/>
      </w:pPr>
      <w:r>
        <w:rPr>
          <w:lang w:val="en_US" w:bidi="en_US"/>
        </w:rPr>
      </w:r>
      <w:r>
        <w:rPr>
          <w:lang w:val="en_US" w:bidi="en_US"/>
        </w:rPr>
        <w:t xml:space="preserve">The priests, according to their custom, threw lots/stones in order to see whom </w:t>
      </w:r>
      <w:r>
        <w:rPr>
          <w:lang w:val="en_US" w:bidi="en_US"/>
        </w:rPr>
        <w:t>God wanted</w:t>
      </w:r>
      <w:r>
        <w:rPr>
          <w:lang w:val="en_US" w:bidi="en_US"/>
        </w:rPr>
        <w:t xml:space="preserve"> to obtain the privilege</w:t>
      </w:r>
    </w:p>
    <w:p>
      <w:pPr/>
      <w:r>
        <w:rPr>
          <w:lang w:val="en_US" w:bidi="en_US"/>
        </w:rPr>
      </w:r>
      <w:r>
        <w:rPr>
          <w:b/>
          <w:lang w:val="en_US" w:bidi="en_US"/>
        </w:rPr>
        <w:t>he was chosen by lot:</w:t>
      </w:r>
      <w:r>
        <w:rPr>
          <w:lang w:val="en_US" w:bidi="en_US"/>
        </w:rPr>
        <w:t xml:space="preserve"> The Greek verb that the BSB translates as </w:t>
      </w:r>
      <w:r>
        <w:rPr>
          <w:i/>
          <w:lang w:val="en_US" w:bidi="en_US"/>
        </w:rPr>
        <w:t>he was chosen by lot</w:t>
      </w:r>
      <w:r>
        <w:rPr>
          <w:lang w:val="en_US" w:bidi="en_US"/>
        </w:rPr>
        <w:t xml:space="preserve"> refers to the custom of throwing or drawing “lots” to choose a person. It is not clear what kind of object the priests used for lots. They may have used small stones with one priest’s name on each stone. They may have thrown the lots in a certain way or drawn them from a container in which all of them had been placed. The priest who would serve before God was chosen in this way.</w:t>
      </w:r>
    </w:p>
    <w:p>
      <w:pPr/>
      <w:r>
        <w:rPr>
          <w:lang w:val="en_US" w:bidi="en_US"/>
        </w:rPr>
      </w:r>
      <w:r>
        <w:rPr>
          <w:lang w:val="en_US" w:bidi="en_US"/>
        </w:rPr>
        <w:t xml:space="preserve">The Greek verb that the BSB translates with a passive form, </w:t>
      </w:r>
      <w:r>
        <w:rPr>
          <w:i/>
          <w:lang w:val="en_US" w:bidi="en_US"/>
        </w:rPr>
        <w:t>he was chosen by lot</w:t>
      </w:r>
      <w:r>
        <w:rPr>
          <w:lang w:val="en_US" w:bidi="en_US"/>
        </w:rPr>
        <w:t>, is literally “he obtained/received by lot.” This is an active form in Greek, and it may be more natural to use an active form in your language. For example:</w:t>
      </w:r>
    </w:p>
    <w:p>
      <w:pPr/>
      <w:r>
        <w:rPr>
          <w:lang w:val="en_US" w:bidi="en_US"/>
        </w:rPr>
      </w:r>
      <w:r>
        <w:rPr>
          <w:lang w:val="en_US" w:bidi="en_US"/>
        </w:rPr>
        <w:t>the priests chose him by lot</w:t>
      </w:r>
    </w:p>
    <w:p>
      <w:pPr/>
      <w:r>
        <w:rPr>
          <w:lang w:val="en_US" w:bidi="en_US"/>
        </w:rPr>
      </w:r>
      <w:r>
        <w:rPr>
          <w:lang w:val="en_US" w:bidi="en_US"/>
        </w:rPr>
        <w:t>The priests used lots in this way so that God would be the one to choose a priest. In some languages, it may be helpful to make this information explicit. For example:</w:t>
      </w:r>
    </w:p>
    <w:p>
      <w:pPr/>
      <w:r>
        <w:rPr>
          <w:lang w:val="en_US" w:bidi="en_US"/>
        </w:rPr>
      </w:r>
      <w:r>
        <w:rPr>
          <w:lang w:val="en_US" w:bidi="en_US"/>
        </w:rPr>
        <w:t xml:space="preserve">he was chosen </w:t>
      </w:r>
      <w:r>
        <w:rPr>
          <w:lang w:val="en_US" w:bidi="en_US"/>
        </w:rPr>
        <w:t>by the way God allowed</w:t>
      </w:r>
      <w:r>
        <w:rPr>
          <w:lang w:val="en_US" w:bidi="en_US"/>
        </w:rPr>
        <w:t xml:space="preserve"> the lot to fall</w:t>
      </w:r>
    </w:p>
    <w:p>
      <w:pPr/>
      <w:r>
        <w:rPr>
          <w:lang w:val="en_US" w:bidi="en_US"/>
        </w:rPr>
      </w:r>
      <w:r>
        <w:rPr>
          <w:lang w:val="en_US" w:bidi="en_US"/>
        </w:rPr>
        <w:t xml:space="preserve">he obtained/received </w:t>
      </w:r>
      <w:r>
        <w:rPr>
          <w:lang w:val="en_US" w:bidi="en_US"/>
        </w:rPr>
        <w:t>the privilege</w:t>
      </w:r>
      <w:r>
        <w:rPr>
          <w:lang w:val="en_US" w:bidi="en_US"/>
        </w:rPr>
        <w:t xml:space="preserve"> by lot </w:t>
      </w:r>
      <w:r>
        <w:rPr>
          <w:lang w:val="en_US" w:bidi="en_US"/>
        </w:rPr>
        <w:t>as God determined</w:t>
      </w:r>
    </w:p>
    <w:p>
      <w:pPr/>
      <w:r>
        <w:rPr>
          <w:lang w:val="en_US" w:bidi="en_US"/>
        </w:rPr>
      </w:r>
      <w:r>
        <w:rPr>
          <w:lang w:val="en_US" w:bidi="en_US"/>
        </w:rPr>
        <w:t>In some cultures, the custom of using lots in this way is not known. It may also be difficult to describe this custom in the text. If this is true in your culture, you may want to use a more general expression and explain the custom in a footnote. For example:</w:t>
      </w:r>
    </w:p>
    <w:p>
      <w:pPr/>
      <w:r>
        <w:rPr>
          <w:lang w:val="en_US" w:bidi="en_US"/>
        </w:rPr>
      </w:r>
      <w:r>
        <w:rPr>
          <w:lang w:val="en_US" w:bidi="en_US"/>
        </w:rPr>
        <w:t>he was chosen by priestly custom (GW)</w:t>
      </w:r>
    </w:p>
    <w:p>
      <w:pPr/>
      <w:r>
        <w:rPr>
          <w:lang w:val="en_US" w:bidi="en_US"/>
        </w:rPr>
      </w:r>
      <w:r>
        <w:rPr>
          <w:lang w:val="en_US" w:bidi="en_US"/>
        </w:rPr>
        <w:t>they</w:t>
      </w:r>
      <w:r>
        <w:rPr>
          <w:lang w:val="en_US" w:bidi="en_US"/>
        </w:rPr>
        <w:t xml:space="preserve"> threw </w:t>
      </w:r>
      <w:r>
        <w:rPr>
          <w:lang w:val="en_US" w:bidi="en_US"/>
        </w:rPr>
        <w:t>marked</w:t>
      </w:r>
      <w:r>
        <w:rPr>
          <w:lang w:val="en_US" w:bidi="en_US"/>
        </w:rPr>
        <w:t xml:space="preserve"> stones to decide which priest </w:t>
      </w:r>
      <w:r>
        <w:rPr>
          <w:lang w:val="en_US" w:bidi="en_US"/>
        </w:rPr>
        <w:t>would serve</w:t>
      </w:r>
    </w:p>
    <w:p>
      <w:pPr/>
      <w:r>
        <w:rPr>
          <w:lang w:val="en_US" w:bidi="en_US"/>
        </w:rPr>
      </w:r>
      <w:r>
        <w:rPr>
          <w:lang w:val="en_US" w:bidi="en_US"/>
        </w:rPr>
        <w:t>Here is a possible footnote:</w:t>
      </w:r>
    </w:p>
    <w:p>
      <w:pPr/>
      <w:r>
        <w:rPr>
          <w:lang w:val="en_US" w:bidi="en_US"/>
        </w:rPr>
      </w:r>
      <w:r>
        <w:rPr>
          <w:lang w:val="en_US" w:bidi="en_US"/>
        </w:rPr>
        <w:t>The priests used certain objects to decide which of them would burn incense. They put a priest’s name on each object. Then they put the objects in a container and shook or drew one out. They believed that the priest whose name was on that object was chosen by God to burn the incense.</w:t>
      </w:r>
    </w:p>
    <w:p>
      <w:pPr/>
      <w:r>
        <w:rPr>
          <w:lang w:val="en_US" w:bidi="en_US"/>
        </w:rPr>
      </w:r>
      <w:r>
        <w:rPr>
          <w:b/>
          <w:lang w:val="en_US" w:bidi="en_US"/>
        </w:rPr>
        <w:t>according to the custom of the priesthood:</w:t>
      </w:r>
      <w:r>
        <w:rPr>
          <w:lang w:val="en_US" w:bidi="en_US"/>
        </w:rPr>
        <w:t xml:space="preserve"> The Greek phrase that the BSB translates as </w:t>
      </w:r>
      <w:r>
        <w:rPr>
          <w:i/>
          <w:lang w:val="en_US" w:bidi="en_US"/>
        </w:rPr>
        <w:t>according to the custom of the priesthood</w:t>
      </w:r>
      <w:r>
        <w:rPr>
          <w:lang w:val="en_US" w:bidi="en_US"/>
        </w:rPr>
        <w:t xml:space="preserve"> means that this was the method that the Jewish priests regularly used.</w:t>
      </w:r>
    </w:p>
    <w:p>
      <w:pPr>
        <w:pStyle w:val="Heading5"/>
      </w:pPr>
      <w:r>
        <w:rPr>
          <w:lang w:val="en_US" w:bidi="en_US"/>
        </w:rPr>
        <w:t>1:9b</w:t>
      </w:r>
    </w:p>
    <w:p>
      <w:pPr/>
      <w:r>
        <w:rPr>
          <w:lang w:val="en_US" w:bidi="en_US"/>
        </w:rPr>
      </w:r>
      <w:r>
        <w:rPr>
          <w:b/>
          <w:lang w:val="en_US" w:bidi="en_US"/>
        </w:rPr>
        <w:t>to enter the temple of the Lord and burn incense.</w:t>
      </w:r>
    </w:p>
    <w:p>
      <w:pPr>
        <w:pStyle w:val="ListBullet"/>
        <w:spacing w:line="240" w:lineRule="auto"/>
        <w:ind w:left="720"/>
      </w:pPr>
      <w:r>
        <w:rPr>
          <w:lang w:val="en_US" w:bidi="en_US"/>
        </w:rPr>
      </w:r>
      <w:r>
        <w:rPr>
          <w:lang w:val="en_US" w:bidi="en_US"/>
        </w:rPr>
        <w:t xml:space="preserve">to enter the holiest place/part of the Lord’s temple and burn incense </w:t>
      </w:r>
      <w:r>
        <w:rPr>
          <w:lang w:val="en_US" w:bidi="en_US"/>
        </w:rPr>
        <w:t>there</w:t>
      </w:r>
      <w:r>
        <w:rPr>
          <w:lang w:val="en_US" w:bidi="en_US"/>
        </w:rPr>
        <w:t>.</w:t>
      </w:r>
    </w:p>
    <w:p>
      <w:pPr>
        <w:pStyle w:val="ListBullet"/>
        <w:spacing w:line="240" w:lineRule="auto"/>
        <w:ind w:left="720"/>
      </w:pPr>
      <w:r>
        <w:rPr>
          <w:lang w:val="en_US" w:bidi="en_US"/>
        </w:rPr>
      </w:r>
      <w:r>
        <w:rPr>
          <w:lang w:val="en_US" w:bidi="en_US"/>
        </w:rPr>
        <w:t xml:space="preserve">of entering the temple sanctuary where the Lord </w:t>
      </w:r>
      <w:r>
        <w:rPr>
          <w:lang w:val="en_US" w:bidi="en_US"/>
        </w:rPr>
        <w:t>God</w:t>
      </w:r>
      <w:r>
        <w:rPr>
          <w:lang w:val="en_US" w:bidi="en_US"/>
        </w:rPr>
        <w:t xml:space="preserve"> </w:t>
      </w:r>
      <w:r>
        <w:rPr>
          <w:lang w:val="en_US" w:bidi="en_US"/>
        </w:rPr>
        <w:t>is/dwells</w:t>
      </w:r>
      <w:r>
        <w:rPr>
          <w:lang w:val="en_US" w:bidi="en_US"/>
        </w:rPr>
        <w:t xml:space="preserve"> to burn sweet-smelling spices </w:t>
      </w:r>
      <w:r>
        <w:rPr>
          <w:lang w:val="en_US" w:bidi="en_US"/>
        </w:rPr>
        <w:t>to God</w:t>
      </w:r>
      <w:r>
        <w:rPr>
          <w:lang w:val="en_US" w:bidi="en_US"/>
        </w:rPr>
        <w:t>.</w:t>
      </w:r>
    </w:p>
    <w:p>
      <w:pPr/>
      <w:r>
        <w:rPr>
          <w:lang w:val="en_US" w:bidi="en_US"/>
        </w:rPr>
      </w:r>
      <w:r>
        <w:rPr>
          <w:b/>
          <w:lang w:val="en_US" w:bidi="en_US"/>
        </w:rPr>
        <w:t>the temple of the Lord:</w:t>
      </w:r>
      <w:r>
        <w:rPr>
          <w:lang w:val="en_US" w:bidi="en_US"/>
        </w:rPr>
        <w:t xml:space="preserve"> The phrase </w:t>
      </w:r>
      <w:r>
        <w:rPr>
          <w:i/>
          <w:lang w:val="en_US" w:bidi="en_US"/>
        </w:rPr>
        <w:t>the temple of the Lord</w:t>
      </w:r>
      <w:r>
        <w:rPr>
          <w:lang w:val="en_US" w:bidi="en_US"/>
        </w:rPr>
        <w:t xml:space="preserve"> refers to the temple in Jerusalem where the Lord was present in a special way. Priests served in the temple and presented the people’s sacrifices to the Lord.</w:t>
      </w:r>
    </w:p>
    <w:p>
      <w:pPr/>
      <w:r>
        <w:rPr>
          <w:lang w:val="en_US" w:bidi="en_US"/>
        </w:rPr>
      </w:r>
      <w:r>
        <w:rPr>
          <w:lang w:val="en_US" w:bidi="en_US"/>
        </w:rPr>
        <w:t xml:space="preserve">The Greek word that the BSB translates as </w:t>
      </w:r>
      <w:r>
        <w:rPr>
          <w:i/>
          <w:lang w:val="en_US" w:bidi="en_US"/>
        </w:rPr>
        <w:t>the temple</w:t>
      </w:r>
      <w:r>
        <w:rPr>
          <w:lang w:val="en_US" w:bidi="en_US"/>
        </w:rPr>
        <w:t xml:space="preserve"> refers specifically here to the holiest place in the temple building. It does not refer to the temple as a whole.</w:t>
      </w:r>
    </w:p>
    <w:p>
      <w:pPr/>
      <w:r>
        <w:rPr>
          <w:lang w:val="en_US" w:bidi="en_US"/>
        </w:rPr>
      </w:r>
      <w:r>
        <w:rPr>
          <w:lang w:val="en_US" w:bidi="en_US"/>
        </w:rPr>
        <w:t>Some ways to translate this are:</w:t>
      </w:r>
    </w:p>
    <w:p>
      <w:pPr/>
      <w:r>
        <w:rPr>
          <w:lang w:val="en_US" w:bidi="en_US"/>
        </w:rPr>
      </w:r>
      <w:r>
        <w:rPr>
          <w:lang w:val="en_US" w:bidi="en_US"/>
        </w:rPr>
        <w:t>the holy/holiest place of the Lord’s temple</w:t>
      </w:r>
    </w:p>
    <w:p>
      <w:pPr/>
      <w:r>
        <w:rPr>
          <w:lang w:val="en_US" w:bidi="en_US"/>
        </w:rPr>
      </w:r>
      <w:r>
        <w:rPr>
          <w:lang w:val="en_US" w:bidi="en_US"/>
        </w:rPr>
        <w:t>the house/place where the Lord is/dwells</w:t>
      </w:r>
    </w:p>
    <w:p>
      <w:pPr/>
      <w:r>
        <w:rPr>
          <w:lang w:val="en_US" w:bidi="en_US"/>
        </w:rPr>
      </w:r>
      <w:r>
        <w:rPr>
          <w:lang w:val="en_US" w:bidi="en_US"/>
        </w:rPr>
        <w:t>the innermost part of the Lord’s temple</w:t>
      </w:r>
    </w:p>
    <w:p>
      <w:pPr/>
      <w:r>
        <w:rPr>
          <w:lang w:val="en_US" w:bidi="en_US"/>
        </w:rPr>
      </w:r>
      <w:r>
        <w:rPr>
          <w:lang w:val="en_US" w:bidi="en_US"/>
        </w:rPr>
        <w:t>the sanctuary</w:t>
      </w:r>
    </w:p>
    <w:p>
      <w:pPr/>
      <w:r>
        <w:rPr>
          <w:lang w:val="en_US" w:bidi="en_US"/>
        </w:rPr>
      </w:r>
      <w:r>
        <w:rPr>
          <w:lang w:val="en_US" w:bidi="en_US"/>
        </w:rPr>
        <w:t>See temple, Meaning 2, in the Glossary for more information.</w:t>
      </w:r>
    </w:p>
    <w:p>
      <w:pPr/>
      <w:r>
        <w:rPr>
          <w:lang w:val="en_US" w:bidi="en_US"/>
        </w:rPr>
      </w:r>
      <w:r>
        <w:rPr>
          <w:b/>
          <w:lang w:val="en_US" w:bidi="en_US"/>
        </w:rPr>
        <w:t>the Lord:</w:t>
      </w:r>
      <w:r>
        <w:rPr>
          <w:lang w:val="en_US" w:bidi="en_US"/>
        </w:rPr>
        <w:t xml:space="preserve"> The phrase </w:t>
      </w:r>
      <w:r>
        <w:rPr>
          <w:i/>
          <w:lang w:val="en_US" w:bidi="en_US"/>
        </w:rPr>
        <w:t>the Lord</w:t>
      </w:r>
      <w:r>
        <w:rPr>
          <w:lang w:val="en_US" w:bidi="en_US"/>
        </w:rPr>
        <w:t xml:space="preserve"> refers here to God. See the note at 1:6b.</w:t>
      </w:r>
    </w:p>
    <w:p>
      <w:pPr/>
      <w:r>
        <w:rPr>
          <w:lang w:val="en_US" w:bidi="en_US"/>
        </w:rPr>
      </w:r>
      <w:r>
        <w:rPr>
          <w:lang w:val="en_US" w:bidi="en_US"/>
        </w:rPr>
        <w:t>See also Lord, Context 2, in the Glossary.</w:t>
      </w:r>
    </w:p>
    <w:p>
      <w:pPr/>
      <w:r>
        <w:rPr>
          <w:lang w:val="en_US" w:bidi="en_US"/>
        </w:rPr>
      </w:r>
      <w:r>
        <w:rPr>
          <w:b/>
          <w:lang w:val="en_US" w:bidi="en_US"/>
        </w:rPr>
        <w:t>burn incense:</w:t>
      </w:r>
      <w:r>
        <w:rPr>
          <w:lang w:val="en_US" w:bidi="en_US"/>
        </w:rPr>
        <w:t xml:space="preserve"> The Greek word that the BSB translates as </w:t>
      </w:r>
      <w:r>
        <w:rPr>
          <w:i/>
          <w:lang w:val="en_US" w:bidi="en_US"/>
        </w:rPr>
        <w:t>incense</w:t>
      </w:r>
      <w:r>
        <w:rPr>
          <w:lang w:val="en_US" w:bidi="en_US"/>
        </w:rPr>
        <w:t xml:space="preserve"> refers to a certain powder that smelled good when it burned. The Jews used a special type of incense to burn for God. While the incense burned, the priest prayed to God. The sweet-smelling smoke that rose while it burned was a symbol of people praying to God.</w:t>
      </w:r>
    </w:p>
    <w:p>
      <w:pPr/>
      <w:r>
        <w:rPr>
          <w:lang w:val="en_US" w:bidi="en_US"/>
        </w:rPr>
      </w:r>
      <w:r>
        <w:rPr>
          <w:lang w:val="en_US" w:bidi="en_US"/>
        </w:rPr>
        <w:t>Jewish law did not allow any priest to burn this incense more than once in his life. So it was a special honor for Zechariah to burn the incense.</w:t>
      </w:r>
    </w:p>
    <w:p>
      <w:pPr>
        <w:pStyle w:val="Heading6"/>
      </w:pPr>
      <w:r>
        <w:rPr>
          <w:b/>
          <w:lang w:val="en_US" w:bidi="en_US"/>
        </w:rPr>
        <w:t>General Comment on 1:9a–b</w:t>
      </w:r>
    </w:p>
    <w:p>
      <w:pPr/>
      <w:r>
        <w:rPr>
          <w:lang w:val="en_US" w:bidi="en_US"/>
        </w:rPr>
      </w:r>
      <w:r>
        <w:rPr>
          <w:lang w:val="en_US" w:bidi="en_US"/>
        </w:rPr>
        <w:t>In some languages it may be more natural to change the order of some of the information in 1:9a–b. For example:</w:t>
      </w:r>
    </w:p>
    <w:p>
      <w:pPr/>
      <w:r>
        <w:rPr>
          <w:lang w:val="en_US" w:bidi="en_US"/>
        </w:rPr>
      </w:r>
      <w:r>
        <w:rPr>
          <w:vertAlign w:val="superscript"/>
          <w:lang w:val="en_US" w:bidi="en_US"/>
        </w:rPr>
        <w:t>9a</w:t>
      </w:r>
      <w:r>
        <w:rPr>
          <w:lang w:val="en_US" w:bidi="en_US"/>
        </w:rPr>
        <w:t xml:space="preserve">It was the custom of the priests to draw/take lots in order to decide who </w:t>
      </w:r>
      <w:r>
        <w:rPr>
          <w:vertAlign w:val="superscript"/>
          <w:lang w:val="en_US" w:bidi="en_US"/>
        </w:rPr>
        <w:t>9b</w:t>
      </w:r>
      <w:r>
        <w:rPr>
          <w:lang w:val="en_US" w:bidi="en_US"/>
        </w:rPr>
        <w:t xml:space="preserve">would enter the temple of the Lord to burn incense. </w:t>
      </w:r>
      <w:r>
        <w:rPr>
          <w:vertAlign w:val="superscript"/>
          <w:lang w:val="en_US" w:bidi="en_US"/>
        </w:rPr>
        <w:t>9a</w:t>
      </w:r>
      <w:r>
        <w:rPr>
          <w:lang w:val="en_US" w:bidi="en_US"/>
        </w:rPr>
        <w:t>The priests did this and Zechariah was the one who gained that right.</w:t>
      </w:r>
      <w:r>
        <w:rPr>
          <w:lang w:val="en_US" w:bidi="en_US"/>
        </w:rPr>
      </w:r>
      <w:r>
        <w:rPr>
          <w:lang w:val="en_US" w:bidi="en_US"/>
        </w:rPr>
      </w:r>
    </w:p>
    <w:p>
      <w:pPr/>
      <w:r>
        <w:rPr>
          <w:lang w:val="en_US" w:bidi="en_US"/>
        </w:rPr>
      </w:r>
    </w:p>
    <w:p>
      <w:pPr>
        <w:pStyle w:val="Heading2"/>
      </w:pPr>
      <w:r>
        <w:rPr>
          <w:lang w:val="en_US" w:bidi="en_US"/>
        </w:rPr>
        <w:t>Luke 1:10</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4"/>
      </w:pPr>
      <w:r>
        <w:rPr>
          <w:lang w:val="en_US" w:bidi="en_US"/>
        </w:rPr>
        <w:t>Paragraph 1:8–10</w:t>
      </w:r>
    </w:p>
    <w:p>
      <w:pPr/>
      <w:r>
        <w:rPr>
          <w:lang w:val="en_US" w:bidi="en_US"/>
        </w:rPr>
      </w:r>
      <w:r>
        <w:rPr>
          <w:lang w:val="en_US" w:bidi="en_US"/>
        </w:rPr>
        <w:t>This paragraph gives background information for the events in 1:11–20. These events happened in the temple of God in Jerusalem. The temple had several courtyards. The ordinary people remained in the courtyards while the priests went into the temple building to offer incense and other sacrifices. It may be helpful to have a picture of the temple and the temple courtyards here in your translation.</w:t>
      </w:r>
    </w:p>
    <w:p>
      <w:pPr>
        <w:pStyle w:val="Heading5"/>
      </w:pPr>
      <w:r>
        <w:rPr>
          <w:lang w:val="en_US" w:bidi="en_US"/>
        </w:rPr>
        <w:t>1:10a</w:t>
      </w:r>
    </w:p>
    <w:p>
      <w:pPr/>
      <w:r>
        <w:rPr>
          <w:lang w:val="en_US" w:bidi="en_US"/>
        </w:rPr>
      </w:r>
      <w:r>
        <w:rPr>
          <w:b/>
          <w:lang w:val="en_US" w:bidi="en_US"/>
        </w:rPr>
        <w:t>And at the hour of the incense offering,</w:t>
      </w:r>
    </w:p>
    <w:p>
      <w:pPr>
        <w:pStyle w:val="ListBullet"/>
        <w:spacing w:line="240" w:lineRule="auto"/>
        <w:ind w:left="720"/>
      </w:pPr>
      <w:r>
        <w:rPr>
          <w:lang w:val="en_US" w:bidi="en_US"/>
        </w:rPr>
      </w:r>
      <w:r>
        <w:rPr>
          <w:lang w:val="en_US" w:bidi="en_US"/>
        </w:rPr>
        <w:t>When the time arrived for incense to be burned,</w:t>
      </w:r>
    </w:p>
    <w:p>
      <w:pPr>
        <w:pStyle w:val="ListBullet"/>
        <w:spacing w:line="240" w:lineRule="auto"/>
        <w:ind w:left="720"/>
      </w:pPr>
      <w:r>
        <w:rPr>
          <w:lang w:val="en_US" w:bidi="en_US"/>
        </w:rPr>
      </w:r>
      <w:r>
        <w:rPr>
          <w:lang w:val="en_US" w:bidi="en_US"/>
        </w:rPr>
        <w:t xml:space="preserve">At the hour appointed </w:t>
      </w:r>
      <w:r>
        <w:rPr>
          <w:lang w:val="en_US" w:bidi="en_US"/>
        </w:rPr>
        <w:t>for him</w:t>
      </w:r>
      <w:r>
        <w:rPr>
          <w:lang w:val="en_US" w:bidi="en_US"/>
        </w:rPr>
        <w:t xml:space="preserve"> to burn the incense,</w:t>
      </w:r>
    </w:p>
    <w:p>
      <w:pPr>
        <w:pStyle w:val="ListBullet"/>
        <w:spacing w:line="240" w:lineRule="auto"/>
        <w:ind w:left="720"/>
      </w:pPr>
      <w:r>
        <w:rPr>
          <w:lang w:val="en_US" w:bidi="en_US"/>
        </w:rPr>
      </w:r>
      <w:r>
        <w:rPr>
          <w:lang w:val="en_US" w:bidi="en_US"/>
        </w:rPr>
        <w:t xml:space="preserve">During the time </w:t>
      </w:r>
      <w:r>
        <w:rPr>
          <w:lang w:val="en_US" w:bidi="en_US"/>
        </w:rPr>
        <w:t>he/Zechariah</w:t>
      </w:r>
      <w:r>
        <w:rPr>
          <w:lang w:val="en_US" w:bidi="en_US"/>
        </w:rPr>
        <w:t xml:space="preserve"> was burning the spices/incense,</w:t>
      </w:r>
    </w:p>
    <w:p>
      <w:pPr/>
      <w:r>
        <w:rPr>
          <w:lang w:val="en_US" w:bidi="en_US"/>
        </w:rPr>
      </w:r>
      <w:r>
        <w:rPr>
          <w:b/>
          <w:lang w:val="en_US" w:bidi="en_US"/>
        </w:rPr>
        <w:t>at the hour of the incense offering:</w:t>
      </w:r>
      <w:r>
        <w:rPr>
          <w:lang w:val="en_US" w:bidi="en_US"/>
        </w:rPr>
        <w:t xml:space="preserve"> The Greek phrase that the BSB translates as </w:t>
      </w:r>
      <w:r>
        <w:rPr>
          <w:i/>
          <w:lang w:val="en_US" w:bidi="en_US"/>
        </w:rPr>
        <w:t>at the hour of the incense offering</w:t>
      </w:r>
      <w:r>
        <w:rPr>
          <w:lang w:val="en_US" w:bidi="en_US"/>
        </w:rPr>
        <w:t xml:space="preserve"> refers to one of the two times during each day when a priest entered the temple alone and burned incense. One time was in the morning, and one was in the evening. The events that are described in this paragraph happened at one of these times.</w:t>
      </w:r>
    </w:p>
    <w:p>
      <w:pPr/>
      <w:r>
        <w:rPr>
          <w:lang w:val="en_US" w:bidi="en_US"/>
        </w:rPr>
      </w:r>
      <w:r>
        <w:rPr>
          <w:lang w:val="en_US" w:bidi="en_US"/>
        </w:rPr>
        <w:t>In some languages it may be necessary to say who burned incense. If this is true in your language, you may be able to say:</w:t>
      </w:r>
    </w:p>
    <w:p>
      <w:pPr/>
      <w:r>
        <w:rPr>
          <w:lang w:val="en_US" w:bidi="en_US"/>
        </w:rPr>
      </w:r>
      <w:r>
        <w:rPr>
          <w:lang w:val="en_US" w:bidi="en_US"/>
        </w:rPr>
        <w:t xml:space="preserve">At/during the time when </w:t>
      </w:r>
      <w:r>
        <w:rPr>
          <w:lang w:val="en_US" w:bidi="en_US"/>
        </w:rPr>
        <w:t>Zechariah</w:t>
      </w:r>
      <w:r>
        <w:rPr>
          <w:lang w:val="en_US" w:bidi="en_US"/>
        </w:rPr>
        <w:t xml:space="preserve"> was burning incense…</w:t>
      </w:r>
    </w:p>
    <w:p>
      <w:pPr>
        <w:pStyle w:val="Heading5"/>
      </w:pPr>
      <w:r>
        <w:rPr>
          <w:lang w:val="en_US" w:bidi="en_US"/>
        </w:rPr>
        <w:t>1:10b</w:t>
      </w:r>
    </w:p>
    <w:p>
      <w:pPr/>
      <w:r>
        <w:rPr>
          <w:lang w:val="en_US" w:bidi="en_US"/>
        </w:rPr>
      </w:r>
      <w:r>
        <w:rPr>
          <w:b/>
          <w:lang w:val="en_US" w:bidi="en_US"/>
        </w:rPr>
        <w:t>the whole congregation was praying outside.</w:t>
      </w:r>
    </w:p>
    <w:p>
      <w:pPr>
        <w:pStyle w:val="ListBullet"/>
        <w:spacing w:line="240" w:lineRule="auto"/>
        <w:ind w:left="720"/>
      </w:pPr>
      <w:r>
        <w:rPr>
          <w:lang w:val="en_US" w:bidi="en_US"/>
        </w:rPr>
      </w:r>
      <w:r>
        <w:rPr>
          <w:lang w:val="en_US" w:bidi="en_US"/>
        </w:rPr>
        <w:t xml:space="preserve">many people were outside praying/worshiping </w:t>
      </w:r>
      <w:r>
        <w:rPr>
          <w:lang w:val="en_US" w:bidi="en_US"/>
        </w:rPr>
        <w:t>God</w:t>
      </w:r>
      <w:r>
        <w:rPr>
          <w:lang w:val="en_US" w:bidi="en_US"/>
        </w:rPr>
        <w:t>.</w:t>
      </w:r>
    </w:p>
    <w:p>
      <w:pPr>
        <w:pStyle w:val="ListBullet"/>
        <w:spacing w:line="240" w:lineRule="auto"/>
        <w:ind w:left="720"/>
      </w:pPr>
      <w:r>
        <w:rPr>
          <w:lang w:val="en_US" w:bidi="en_US"/>
        </w:rPr>
      </w:r>
      <w:r>
        <w:rPr>
          <w:lang w:val="en_US" w:bidi="en_US"/>
        </w:rPr>
        <w:t xml:space="preserve">a crowd of people was praying in the courtyard </w:t>
      </w:r>
      <w:r>
        <w:rPr>
          <w:lang w:val="en_US" w:bidi="en_US"/>
        </w:rPr>
        <w:t>of the temple</w:t>
      </w:r>
      <w:r>
        <w:rPr>
          <w:lang w:val="en_US" w:bidi="en_US"/>
        </w:rPr>
        <w:t>.</w:t>
      </w:r>
    </w:p>
    <w:p>
      <w:pPr/>
      <w:r>
        <w:rPr>
          <w:lang w:val="en_US" w:bidi="en_US"/>
        </w:rPr>
      </w:r>
      <w:r>
        <w:rPr>
          <w:b/>
          <w:lang w:val="en_US" w:bidi="en_US"/>
        </w:rPr>
        <w:t>the whole congregation:</w:t>
      </w:r>
      <w:r>
        <w:rPr>
          <w:lang w:val="en_US" w:bidi="en_US"/>
        </w:rPr>
        <w:t xml:space="preserve"> The Greek phrase that the BSB translates as </w:t>
      </w:r>
      <w:r>
        <w:rPr>
          <w:i/>
          <w:lang w:val="en_US" w:bidi="en_US"/>
        </w:rPr>
        <w:t>the whole congregation</w:t>
      </w:r>
      <w:r>
        <w:rPr>
          <w:lang w:val="en_US" w:bidi="en_US"/>
        </w:rPr>
        <w:t xml:space="preserve"> is literally “all the crowd of the people.” It refers to the crowd of people who gathered in the temple courts.</w:t>
      </w:r>
    </w:p>
    <w:p>
      <w:pPr/>
      <w:r>
        <w:rPr>
          <w:lang w:val="en_US" w:bidi="en_US"/>
        </w:rPr>
      </w:r>
      <w:r>
        <w:rPr>
          <w:b/>
          <w:lang w:val="en_US" w:bidi="en_US"/>
        </w:rPr>
        <w:t>was praying:</w:t>
      </w:r>
      <w:r>
        <w:rPr>
          <w:lang w:val="en_US" w:bidi="en_US"/>
        </w:rPr>
        <w:t xml:space="preserve"> The Greek word that the BSB translates as </w:t>
      </w:r>
      <w:r>
        <w:rPr>
          <w:i/>
          <w:lang w:val="en_US" w:bidi="en_US"/>
        </w:rPr>
        <w:t>was praying</w:t>
      </w:r>
      <w:r>
        <w:rPr>
          <w:lang w:val="en_US" w:bidi="en_US"/>
        </w:rPr>
        <w:t xml:space="preserve"> indicates that the people were speaking to God.</w:t>
      </w:r>
    </w:p>
    <w:p>
      <w:pPr/>
      <w:r>
        <w:rPr>
          <w:lang w:val="en_US" w:bidi="en_US"/>
        </w:rPr>
      </w:r>
      <w:r>
        <w:rPr>
          <w:lang w:val="en_US" w:bidi="en_US"/>
        </w:rPr>
        <w:t>Some languages may use different words to refer to specific kinds of prayer, such as requests, thanks, or praise. Use a term that is natural in your language to refer to prayer in general. Avoid a term that may imply magical or meaningless words.</w:t>
      </w:r>
    </w:p>
    <w:p>
      <w:pPr/>
      <w:r>
        <w:rPr>
          <w:lang w:val="en_US" w:bidi="en_US"/>
        </w:rPr>
      </w:r>
      <w:r>
        <w:rPr>
          <w:lang w:val="en_US" w:bidi="en_US"/>
        </w:rPr>
        <w:t>Some other ways to translate this are:</w:t>
      </w:r>
    </w:p>
    <w:p>
      <w:pPr/>
      <w:r>
        <w:rPr>
          <w:lang w:val="en_US" w:bidi="en_US"/>
        </w:rPr>
      </w:r>
      <w:r>
        <w:rPr>
          <w:lang w:val="en_US" w:bidi="en_US"/>
        </w:rPr>
        <w:t>were talking to God</w:t>
      </w:r>
    </w:p>
    <w:p>
      <w:pPr/>
      <w:r>
        <w:rPr>
          <w:lang w:val="en_US" w:bidi="en_US"/>
        </w:rPr>
      </w:r>
      <w:r>
        <w:rPr>
          <w:lang w:val="en_US" w:bidi="en_US"/>
        </w:rPr>
        <w:t>were asking/begging God</w:t>
      </w:r>
    </w:p>
    <w:p>
      <w:pPr/>
      <w:r>
        <w:rPr>
          <w:lang w:val="en_US" w:bidi="en_US"/>
        </w:rPr>
      </w:r>
      <w:r>
        <w:rPr>
          <w:b/>
          <w:lang w:val="en_US" w:bidi="en_US"/>
        </w:rPr>
        <w:t>outside:</w:t>
      </w:r>
      <w:r>
        <w:rPr>
          <w:lang w:val="en_US" w:bidi="en_US"/>
        </w:rPr>
        <w:t xml:space="preserve"> The word </w:t>
      </w:r>
      <w:r>
        <w:rPr>
          <w:i/>
          <w:lang w:val="en_US" w:bidi="en_US"/>
        </w:rPr>
        <w:t>outside</w:t>
      </w:r>
      <w:r>
        <w:rPr>
          <w:lang w:val="en_US" w:bidi="en_US"/>
        </w:rPr>
        <w:t xml:space="preserve"> refers to the area outside the temple building. The people were worshiping in one of the courtyards that were part of the temple area. The leaders did not allow the people to go into the temple building itself. Only certain priests could go there.</w:t>
      </w:r>
      <w:r>
        <w:rPr>
          <w:lang w:val="en_US" w:bidi="en_US"/>
        </w:rPr>
      </w:r>
      <w:r>
        <w:rPr>
          <w:lang w:val="en_US" w:bidi="en_US"/>
        </w:rPr>
      </w:r>
    </w:p>
    <w:p>
      <w:pPr/>
      <w:r>
        <w:rPr>
          <w:lang w:val="en_US" w:bidi="en_US"/>
        </w:rPr>
      </w:r>
    </w:p>
    <w:p>
      <w:pPr>
        <w:pStyle w:val="Heading2"/>
      </w:pPr>
      <w:r>
        <w:rPr>
          <w:lang w:val="en_US" w:bidi="en_US"/>
        </w:rPr>
        <w:t>Luke 1:11</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4"/>
      </w:pPr>
      <w:r>
        <w:rPr>
          <w:lang w:val="en_US" w:bidi="en_US"/>
        </w:rPr>
        <w:t>Paragraph 1:11–17</w:t>
      </w:r>
    </w:p>
    <w:p>
      <w:pPr/>
      <w:r>
        <w:rPr>
          <w:lang w:val="en_US" w:bidi="en_US"/>
        </w:rPr>
      </w:r>
      <w:r>
        <w:rPr>
          <w:lang w:val="en_US" w:bidi="en_US"/>
        </w:rPr>
        <w:t>In this paragraph, Luke began to tell the main events of this section after he gave the background information in 1:5–10. Introduce this paragraph in a natural way in your language.</w:t>
      </w:r>
    </w:p>
    <w:p>
      <w:pPr>
        <w:pStyle w:val="Heading5"/>
      </w:pPr>
      <w:r>
        <w:rPr>
          <w:lang w:val="en_US" w:bidi="en_US"/>
        </w:rPr>
        <w:t>1:11a</w:t>
      </w:r>
    </w:p>
    <w:p>
      <w:pPr/>
      <w:r>
        <w:rPr>
          <w:lang w:val="en_US" w:bidi="en_US"/>
        </w:rPr>
      </w:r>
      <w:r>
        <w:rPr>
          <w:b/>
          <w:lang w:val="en_US" w:bidi="en_US"/>
        </w:rPr>
        <w:t>Just then an angel of the Lord appeared to Zechariah,</w:t>
      </w:r>
    </w:p>
    <w:p>
      <w:pPr>
        <w:pStyle w:val="ListBullet"/>
        <w:spacing w:line="240" w:lineRule="auto"/>
        <w:ind w:left="720"/>
      </w:pPr>
      <w:r>
        <w:rPr>
          <w:lang w:val="en_US" w:bidi="en_US"/>
        </w:rPr>
      </w:r>
      <w:r>
        <w:rPr>
          <w:lang w:val="en_US" w:bidi="en_US"/>
        </w:rPr>
        <w:t>¶ Suddenly an angel from the Lord appeared to Zechariah.</w:t>
      </w:r>
    </w:p>
    <w:p>
      <w:pPr>
        <w:pStyle w:val="ListBullet"/>
        <w:spacing w:line="240" w:lineRule="auto"/>
        <w:ind w:left="720"/>
      </w:pPr>
      <w:r>
        <w:rPr>
          <w:lang w:val="en_US" w:bidi="en_US"/>
        </w:rPr>
      </w:r>
      <w:r>
        <w:rPr>
          <w:lang w:val="en_US" w:bidi="en_US"/>
        </w:rPr>
        <w:t xml:space="preserve">¶ </w:t>
      </w:r>
      <w:r>
        <w:rPr>
          <w:lang w:val="en_US" w:bidi="en_US"/>
        </w:rPr>
        <w:t>As Zechariah was in the temple,</w:t>
      </w:r>
      <w:r>
        <w:rPr>
          <w:lang w:val="en_US" w:bidi="en_US"/>
        </w:rPr>
        <w:t xml:space="preserve"> suddenly an angel was also there, and Zechariah could see him.</w:t>
      </w:r>
    </w:p>
    <w:p>
      <w:pPr/>
      <w:r>
        <w:rPr>
          <w:lang w:val="en_US" w:bidi="en_US"/>
        </w:rPr>
      </w:r>
      <w:r>
        <w:rPr>
          <w:b/>
          <w:lang w:val="en_US" w:bidi="en_US"/>
        </w:rPr>
        <w:t>Just then:</w:t>
      </w:r>
      <w:r>
        <w:rPr>
          <w:lang w:val="en_US" w:bidi="en_US"/>
        </w:rPr>
        <w:t xml:space="preserve"> The Greek conjunction that the BSB translates as </w:t>
      </w:r>
      <w:r>
        <w:rPr>
          <w:i/>
          <w:lang w:val="en_US" w:bidi="en_US"/>
        </w:rPr>
        <w:t>Just then</w:t>
      </w:r>
      <w:r>
        <w:rPr>
          <w:lang w:val="en_US" w:bidi="en_US"/>
        </w:rPr>
        <w:t xml:space="preserve"> here introduces the first event that happened when Zechariah was in the temple. The text does not explicitly state that Zechariah had entered the temple, but this is implied. In some languages it may be necessary to make this information explicit. For example:</w:t>
      </w:r>
    </w:p>
    <w:p>
      <w:pPr/>
      <w:r>
        <w:rPr>
          <w:lang w:val="en_US" w:bidi="en_US"/>
        </w:rPr>
      </w:r>
      <w:r>
        <w:rPr>
          <w:lang w:val="en_US" w:bidi="en_US"/>
        </w:rPr>
        <w:t>While Zechariah was in the sanctuary (NLT)</w:t>
      </w:r>
    </w:p>
    <w:p>
      <w:pPr/>
      <w:r>
        <w:rPr>
          <w:lang w:val="en_US" w:bidi="en_US"/>
        </w:rPr>
      </w:r>
      <w:r>
        <w:rPr>
          <w:b/>
          <w:lang w:val="en_US" w:bidi="en_US"/>
        </w:rPr>
        <w:t>an angel of the Lord:</w:t>
      </w:r>
      <w:r>
        <w:rPr>
          <w:lang w:val="en_US" w:bidi="en_US"/>
        </w:rPr>
        <w:t xml:space="preserve"> The phrase </w:t>
      </w:r>
      <w:r>
        <w:rPr>
          <w:i/>
          <w:lang w:val="en_US" w:bidi="en_US"/>
        </w:rPr>
        <w:t>an angel of the Lord</w:t>
      </w:r>
      <w:r>
        <w:rPr>
          <w:lang w:val="en_US" w:bidi="en_US"/>
        </w:rPr>
        <w:t xml:space="preserve"> refers here to an angel whom the Lord sent. Some other ways to translate this are:</w:t>
      </w:r>
    </w:p>
    <w:p>
      <w:pPr/>
      <w:r>
        <w:rPr>
          <w:lang w:val="en_US" w:bidi="en_US"/>
        </w:rPr>
      </w:r>
      <w:r>
        <w:rPr>
          <w:lang w:val="en_US" w:bidi="en_US"/>
        </w:rPr>
        <w:t>an angel who came from the Lord God</w:t>
      </w:r>
    </w:p>
    <w:p>
      <w:pPr/>
      <w:r>
        <w:rPr>
          <w:lang w:val="en_US" w:bidi="en_US"/>
        </w:rPr>
      </w:r>
      <w:r>
        <w:rPr>
          <w:lang w:val="en_US" w:bidi="en_US"/>
        </w:rPr>
        <w:t>an angel who was sent by the Lord</w:t>
      </w:r>
    </w:p>
    <w:p>
      <w:pPr/>
      <w:r>
        <w:rPr>
          <w:lang w:val="en_US" w:bidi="en_US"/>
        </w:rPr>
      </w:r>
      <w:r>
        <w:rPr>
          <w:b/>
          <w:lang w:val="en_US" w:bidi="en_US"/>
        </w:rPr>
        <w:t>angel:</w:t>
      </w:r>
      <w:r>
        <w:rPr>
          <w:lang w:val="en_US" w:bidi="en_US"/>
        </w:rPr>
        <w:t xml:space="preserve"> The Greek word that the BSB translates as </w:t>
      </w:r>
      <w:r>
        <w:rPr>
          <w:i/>
          <w:lang w:val="en_US" w:bidi="en_US"/>
        </w:rPr>
        <w:t>angel</w:t>
      </w:r>
      <w:r>
        <w:rPr>
          <w:lang w:val="en_US" w:bidi="en_US"/>
        </w:rPr>
        <w:t xml:space="preserve"> means “messenger.” It refers here to a spirit being who serves God. God sent this angel to tell Zechariah a message. Some ways to translate this term are:</w:t>
      </w:r>
    </w:p>
    <w:p>
      <w:pPr>
        <w:pStyle w:val="ListBullet"/>
        <w:spacing w:line="240" w:lineRule="auto"/>
        <w:ind w:left="720"/>
      </w:pPr>
      <w:r>
        <w:rPr>
          <w:lang w:val="en_US" w:bidi="en_US"/>
        </w:rPr>
      </w:r>
      <w:r>
        <w:rPr>
          <w:lang w:val="en_US" w:bidi="en_US"/>
        </w:rPr>
        <w:t>Use a descriptive word or phrase. For example:</w:t>
      </w:r>
      <w:r>
        <w:rPr>
          <w:lang w:val="en_US" w:bidi="en_US"/>
        </w:rPr>
        <w:t xml:space="preserve">messenger </w:t>
      </w:r>
      <w:r>
        <w:rPr>
          <w:lang w:val="en_US" w:bidi="en_US"/>
        </w:rPr>
        <w:t>from God/heaven</w:t>
      </w:r>
      <w:r>
        <w:rPr>
          <w:lang w:val="en_US" w:bidi="en_US"/>
        </w:rPr>
        <w:t>holy</w:t>
      </w:r>
      <w:r>
        <w:rPr>
          <w:lang w:val="en_US" w:bidi="en_US"/>
        </w:rPr>
        <w:t xml:space="preserve"> spirit-being</w:t>
      </w:r>
    </w:p>
    <w:p>
      <w:pPr>
        <w:pStyle w:val="ListBullet"/>
        <w:spacing w:line="240" w:lineRule="auto"/>
        <w:ind w:left="720"/>
      </w:pPr>
      <w:r>
        <w:rPr>
          <w:lang w:val="en_US" w:bidi="en_US"/>
        </w:rPr>
      </w:r>
      <w:r>
        <w:rPr>
          <w:lang w:val="en_US" w:bidi="en_US"/>
        </w:rPr>
        <w:t>Use a local term that fits the biblical meaning.</w:t>
      </w:r>
    </w:p>
    <w:p>
      <w:pPr>
        <w:pStyle w:val="ListBullet"/>
        <w:spacing w:line="240" w:lineRule="auto"/>
        <w:ind w:left="720"/>
      </w:pPr>
      <w:r>
        <w:rPr>
          <w:lang w:val="en_US" w:bidi="en_US"/>
        </w:rPr>
      </w:r>
      <w:r>
        <w:rPr>
          <w:lang w:val="en_US" w:bidi="en_US"/>
        </w:rPr>
        <w:t>In some areas the churches may already be using a borrowed term or a transliterated word for “angel.” Be sure that this term fits the biblical meaning. If some people do not understand the right meaning from this term, you may need to indicate the meaning in some way. For example:</w:t>
      </w:r>
      <w:r>
        <w:rPr>
          <w:lang w:val="en_US" w:bidi="en_US"/>
        </w:rPr>
        <w:t xml:space="preserve">an </w:t>
      </w:r>
      <w:r>
        <w:rPr>
          <w:u w:val="single"/>
          <w:lang w:val="en_US" w:bidi="en_US"/>
        </w:rPr>
        <w:t>angelos</w:t>
      </w:r>
      <w:r>
        <w:rPr>
          <w:lang w:val="en_US" w:bidi="en_US"/>
        </w:rPr>
        <w:t xml:space="preserve"> messenger </w:t>
      </w:r>
      <w:r>
        <w:rPr>
          <w:lang w:val="en_US" w:bidi="en_US"/>
        </w:rPr>
        <w:t>from God</w:t>
      </w:r>
      <w:r>
        <w:rPr>
          <w:lang w:val="en_US" w:bidi="en_US"/>
        </w:rPr>
        <w:t xml:space="preserve">a sacred </w:t>
      </w:r>
      <w:r>
        <w:rPr>
          <w:u w:val="single"/>
          <w:lang w:val="en_US" w:bidi="en_US"/>
        </w:rPr>
        <w:t>angelos</w:t>
      </w:r>
      <w:r>
        <w:rPr>
          <w:lang w:val="en_US" w:bidi="en_US"/>
        </w:rPr>
        <w:t xml:space="preserve"> spirit</w:t>
      </w:r>
    </w:p>
    <w:p>
      <w:pPr/>
      <w:r>
        <w:rPr>
          <w:lang w:val="en_US" w:bidi="en_US"/>
        </w:rPr>
      </w:r>
      <w:r>
        <w:rPr>
          <w:lang w:val="en_US" w:bidi="en_US"/>
        </w:rPr>
        <w:t>Be sure that your term for “angel” is different from your terms for “prophet” and “apostle.” See angel, Meaning 1, in the Glossary. See also the chart in the Glossary that shows the differences between these three terms.</w:t>
      </w:r>
    </w:p>
    <w:p>
      <w:pPr/>
      <w:r>
        <w:rPr>
          <w:lang w:val="en_US" w:bidi="en_US"/>
        </w:rPr>
      </w:r>
      <w:r>
        <w:rPr>
          <w:b/>
          <w:lang w:val="en_US" w:bidi="en_US"/>
        </w:rPr>
        <w:t>the Lord:</w:t>
      </w:r>
      <w:r>
        <w:rPr>
          <w:lang w:val="en_US" w:bidi="en_US"/>
        </w:rPr>
        <w:t xml:space="preserve"> The Greek word that the BSB translates as </w:t>
      </w:r>
      <w:r>
        <w:rPr>
          <w:i/>
          <w:lang w:val="en_US" w:bidi="en_US"/>
        </w:rPr>
        <w:t>the Lord</w:t>
      </w:r>
      <w:r>
        <w:rPr>
          <w:lang w:val="en_US" w:bidi="en_US"/>
        </w:rPr>
        <w:t xml:space="preserve"> refers here to God. This same word occurs in 1:6b.</w:t>
      </w:r>
    </w:p>
    <w:p>
      <w:pPr/>
      <w:r>
        <w:rPr>
          <w:lang w:val="en_US" w:bidi="en_US"/>
        </w:rPr>
      </w:r>
      <w:r>
        <w:rPr>
          <w:b/>
          <w:lang w:val="en_US" w:bidi="en_US"/>
        </w:rPr>
        <w:t>appeared to Zechariah:</w:t>
      </w:r>
      <w:r>
        <w:rPr>
          <w:lang w:val="en_US" w:bidi="en_US"/>
        </w:rPr>
        <w:t xml:space="preserve"> The Greek word that the BSB translates as </w:t>
      </w:r>
      <w:r>
        <w:rPr>
          <w:i/>
          <w:lang w:val="en_US" w:bidi="en_US"/>
        </w:rPr>
        <w:t>appeared</w:t>
      </w:r>
      <w:r>
        <w:rPr>
          <w:lang w:val="en_US" w:bidi="en_US"/>
        </w:rPr>
        <w:t xml:space="preserve"> indicates here that the angel arrived and became visible to Zechariah. Suddenly he was there where Zechariah could see him. This does not imply that Zechariah saw him only in a vision. The angel was really there. However, the context implies that the angel came in a supernatural way. He probably did not walk in; rather, he just appeared in front of Zechariah.</w:t>
      </w:r>
    </w:p>
    <w:p>
      <w:pPr>
        <w:pStyle w:val="Heading5"/>
      </w:pPr>
      <w:r>
        <w:rPr>
          <w:lang w:val="en_US" w:bidi="en_US"/>
        </w:rPr>
        <w:t>1:11b</w:t>
      </w:r>
    </w:p>
    <w:p>
      <w:pPr/>
      <w:r>
        <w:rPr>
          <w:lang w:val="en_US" w:bidi="en_US"/>
        </w:rPr>
      </w:r>
      <w:r>
        <w:rPr>
          <w:b/>
          <w:lang w:val="en_US" w:bidi="en_US"/>
        </w:rPr>
        <w:t>standing at the right side of the altar of incense.</w:t>
      </w:r>
    </w:p>
    <w:p>
      <w:pPr>
        <w:pStyle w:val="ListBullet"/>
        <w:spacing w:line="240" w:lineRule="auto"/>
        <w:ind w:left="720"/>
      </w:pPr>
      <w:r>
        <w:rPr>
          <w:lang w:val="en_US" w:bidi="en_US"/>
        </w:rPr>
      </w:r>
      <w:r>
        <w:rPr>
          <w:lang w:val="en_US" w:bidi="en_US"/>
        </w:rPr>
        <w:t>The angel</w:t>
      </w:r>
      <w:r>
        <w:rPr>
          <w:lang w:val="en_US" w:bidi="en_US"/>
        </w:rPr>
        <w:t xml:space="preserve"> was standing at the right side of the altar for </w:t>
      </w:r>
      <w:r>
        <w:rPr>
          <w:lang w:val="en_US" w:bidi="en_US"/>
        </w:rPr>
        <w:t>burning</w:t>
      </w:r>
      <w:r>
        <w:rPr>
          <w:lang w:val="en_US" w:bidi="en_US"/>
        </w:rPr>
        <w:t xml:space="preserve"> incense.</w:t>
      </w:r>
    </w:p>
    <w:p>
      <w:pPr>
        <w:pStyle w:val="ListBullet"/>
        <w:spacing w:line="240" w:lineRule="auto"/>
        <w:ind w:left="720"/>
      </w:pPr>
      <w:r>
        <w:rPr>
          <w:lang w:val="en_US" w:bidi="en_US"/>
        </w:rPr>
      </w:r>
      <w:r>
        <w:rPr>
          <w:lang w:val="en_US" w:bidi="en_US"/>
        </w:rPr>
        <w:t>The angel</w:t>
      </w:r>
      <w:r>
        <w:rPr>
          <w:lang w:val="en_US" w:bidi="en_US"/>
        </w:rPr>
        <w:t xml:space="preserve"> stood on the right side of the altar </w:t>
      </w:r>
      <w:r>
        <w:rPr>
          <w:lang w:val="en_US" w:bidi="en_US"/>
        </w:rPr>
        <w:t>on which priests burned</w:t>
      </w:r>
      <w:r>
        <w:rPr>
          <w:lang w:val="en_US" w:bidi="en_US"/>
        </w:rPr>
        <w:t xml:space="preserve"> the incense.</w:t>
      </w:r>
    </w:p>
    <w:p>
      <w:pPr/>
      <w:r>
        <w:rPr>
          <w:lang w:val="en_US" w:bidi="en_US"/>
        </w:rPr>
      </w:r>
      <w:r>
        <w:rPr>
          <w:b/>
          <w:lang w:val="en_US" w:bidi="en_US"/>
        </w:rPr>
        <w:t>standing at the right side of the altar of incense:</w:t>
      </w:r>
      <w:r>
        <w:rPr>
          <w:lang w:val="en_US" w:bidi="en_US"/>
        </w:rPr>
        <w:t xml:space="preserve"> This part of the verse indicates that the angel was standing at the right side of the altar. Your translation should not imply that it was Zechariah who was standing there.</w:t>
      </w:r>
    </w:p>
    <w:p>
      <w:pPr/>
      <w:r>
        <w:rPr>
          <w:lang w:val="en_US" w:bidi="en_US"/>
        </w:rPr>
      </w:r>
      <w:r>
        <w:rPr>
          <w:lang w:val="en_US" w:bidi="en_US"/>
        </w:rPr>
        <w:t xml:space="preserve">The angel was standing near the altar, and he was facing Zechariah. The </w:t>
      </w:r>
      <w:r>
        <w:rPr>
          <w:i/>
          <w:lang w:val="en_US" w:bidi="en_US"/>
        </w:rPr>
        <w:t>right side of the altar</w:t>
      </w:r>
      <w:r>
        <w:rPr>
          <w:lang w:val="en_US" w:bidi="en_US"/>
        </w:rPr>
        <w:t xml:space="preserve"> probably refers to the right side from the angel’s point of view. The right side implies a place of honor.</w:t>
      </w:r>
    </w:p>
    <w:p>
      <w:pPr/>
      <w:r>
        <w:rPr>
          <w:lang w:val="en_US" w:bidi="en_US"/>
        </w:rPr>
      </w:r>
      <w:r>
        <w:rPr>
          <w:b/>
          <w:lang w:val="en_US" w:bidi="en_US"/>
        </w:rPr>
        <w:t>altar of incense:</w:t>
      </w:r>
      <w:r>
        <w:rPr>
          <w:lang w:val="en_US" w:bidi="en_US"/>
        </w:rPr>
        <w:t xml:space="preserve"> The </w:t>
      </w:r>
      <w:r>
        <w:rPr>
          <w:i/>
          <w:lang w:val="en_US" w:bidi="en_US"/>
        </w:rPr>
        <w:t>altar of incense</w:t>
      </w:r>
      <w:r>
        <w:rPr>
          <w:lang w:val="en_US" w:bidi="en_US"/>
        </w:rPr>
        <w:t xml:space="preserve"> was the place where the priest burned incense for the Lord. The altar was a table made of wood and covered with gold. On top there was a charcoal fire. The priest threw the powdered incense onto the burning charcoal. The priests did not sacrifice animals on this altar. See the drawing below:</w:t>
      </w:r>
      <w:r>
        <w:rPr>
          <w:lang w:val="en_US" w:bidi="en_US"/>
        </w:rPr>
      </w:r>
      <w:r>
        <w:rPr>
          <w:lang w:val="en_US" w:bidi="en_US"/>
        </w:rPr>
      </w:r>
    </w:p>
    <w:p>
      <w:pPr/>
      <w:r>
        <w:rPr>
          <w:lang w:val="en_US" w:bidi="en_US"/>
        </w:rPr>
      </w:r>
    </w:p>
    <w:p>
      <w:pPr>
        <w:pStyle w:val="Heading2"/>
      </w:pPr>
      <w:r>
        <w:rPr>
          <w:lang w:val="en_US" w:bidi="en_US"/>
        </w:rPr>
        <w:t>Luke 1:12</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4"/>
      </w:pPr>
      <w:r>
        <w:rPr>
          <w:lang w:val="en_US" w:bidi="en_US"/>
        </w:rPr>
        <w:t>Paragraph 1:11–17</w:t>
      </w:r>
    </w:p>
    <w:p>
      <w:pPr/>
      <w:r>
        <w:rPr>
          <w:lang w:val="en_US" w:bidi="en_US"/>
        </w:rPr>
      </w:r>
      <w:r>
        <w:rPr>
          <w:lang w:val="en_US" w:bidi="en_US"/>
        </w:rPr>
        <w:t>In this paragraph, Luke began to tell the main events of this section after he gave the background information in 1:5–10. Introduce this paragraph in a natural way in your language.</w:t>
      </w:r>
    </w:p>
    <w:p>
      <w:pPr>
        <w:pStyle w:val="Heading5"/>
      </w:pPr>
      <w:r>
        <w:rPr>
          <w:lang w:val="en_US" w:bidi="en_US"/>
        </w:rPr>
        <w:t>1:12</w:t>
      </w:r>
    </w:p>
    <w:p>
      <w:pPr/>
      <w:r>
        <w:rPr>
          <w:lang w:val="en_US" w:bidi="en_US"/>
        </w:rPr>
      </w:r>
      <w:r>
        <w:rPr>
          <w:b/>
          <w:lang w:val="en_US" w:bidi="en_US"/>
        </w:rPr>
        <w:t>When Zechariah saw him, he was startled and gripped with fear.</w:t>
      </w:r>
    </w:p>
    <w:p>
      <w:pPr>
        <w:pStyle w:val="ListBullet"/>
        <w:spacing w:line="240" w:lineRule="auto"/>
        <w:ind w:left="720"/>
      </w:pPr>
      <w:r>
        <w:rPr>
          <w:lang w:val="en_US" w:bidi="en_US"/>
        </w:rPr>
      </w:r>
      <w:r>
        <w:rPr>
          <w:lang w:val="en_US" w:bidi="en_US"/>
        </w:rPr>
        <w:t>When Zechariah saw the angel, he was disturbed/troubled and afraid.</w:t>
      </w:r>
    </w:p>
    <w:p>
      <w:pPr>
        <w:pStyle w:val="ListBullet"/>
        <w:spacing w:line="240" w:lineRule="auto"/>
        <w:ind w:left="720"/>
      </w:pPr>
      <w:r>
        <w:rPr>
          <w:lang w:val="en_US" w:bidi="en_US"/>
        </w:rPr>
      </w:r>
      <w:r>
        <w:rPr>
          <w:lang w:val="en_US" w:bidi="en_US"/>
        </w:rPr>
        <w:t>Zechariah saw the angel and was completely terrified/frightened.</w:t>
      </w:r>
    </w:p>
    <w:p>
      <w:pPr/>
      <w:r>
        <w:rPr>
          <w:lang w:val="en_US" w:bidi="en_US"/>
        </w:rPr>
      </w:r>
      <w:r>
        <w:rPr>
          <w:b/>
          <w:lang w:val="en_US" w:bidi="en_US"/>
        </w:rPr>
        <w:t>was startled:</w:t>
      </w:r>
      <w:r>
        <w:rPr>
          <w:lang w:val="en_US" w:bidi="en_US"/>
        </w:rPr>
        <w:t xml:space="preserve"> The Greek word that the BSB translates as </w:t>
      </w:r>
      <w:r>
        <w:rPr>
          <w:i/>
          <w:lang w:val="en_US" w:bidi="en_US"/>
        </w:rPr>
        <w:t>was startled</w:t>
      </w:r>
      <w:r>
        <w:rPr>
          <w:lang w:val="en_US" w:bidi="en_US"/>
        </w:rPr>
        <w:t xml:space="preserve"> describes a feeling of being shocked or agitated in mind. It refers to feeling disturbed, confused, and troubled. There are many ways to describe this feeling in English. The expression </w:t>
      </w:r>
      <w:r>
        <w:rPr>
          <w:i/>
          <w:lang w:val="en_US" w:bidi="en_US"/>
        </w:rPr>
        <w:t>was startled</w:t>
      </w:r>
      <w:r>
        <w:rPr>
          <w:lang w:val="en_US" w:bidi="en_US"/>
        </w:rPr>
        <w:t xml:space="preserve"> is appropriate here to describe Zechariah’s sudden fright. Some other ways to translate this in English are:</w:t>
      </w:r>
    </w:p>
    <w:p>
      <w:pPr/>
      <w:r>
        <w:rPr>
          <w:lang w:val="en_US" w:bidi="en_US"/>
        </w:rPr>
      </w:r>
      <w:r>
        <w:rPr>
          <w:lang w:val="en_US" w:bidi="en_US"/>
        </w:rPr>
        <w:t>was alarmed (GNT)</w:t>
      </w:r>
    </w:p>
    <w:p>
      <w:pPr/>
      <w:r>
        <w:rPr>
          <w:lang w:val="en_US" w:bidi="en_US"/>
        </w:rPr>
      </w:r>
      <w:r>
        <w:rPr>
          <w:lang w:val="en_US" w:bidi="en_US"/>
        </w:rPr>
        <w:t>was shaken (NLT)</w:t>
      </w:r>
    </w:p>
    <w:p>
      <w:pPr/>
      <w:r>
        <w:rPr>
          <w:lang w:val="en_US" w:bidi="en_US"/>
        </w:rPr>
      </w:r>
      <w:r>
        <w:rPr>
          <w:lang w:val="en_US" w:bidi="en_US"/>
        </w:rPr>
        <w:t>was terribly agitated (JBP)</w:t>
      </w:r>
    </w:p>
    <w:p>
      <w:pPr/>
      <w:r>
        <w:rPr>
          <w:lang w:val="en_US" w:bidi="en_US"/>
        </w:rPr>
      </w:r>
      <w:r>
        <w:rPr>
          <w:lang w:val="en_US" w:bidi="en_US"/>
        </w:rPr>
        <w:t>Some languages may find it more natural to express this in active form. For example:</w:t>
      </w:r>
    </w:p>
    <w:p>
      <w:pPr/>
      <w:r>
        <w:rPr>
          <w:lang w:val="en_US" w:bidi="en_US"/>
        </w:rPr>
      </w:r>
      <w:r>
        <w:rPr>
          <w:lang w:val="en_US" w:bidi="en_US"/>
        </w:rPr>
        <w:t>this startled him</w:t>
      </w:r>
    </w:p>
    <w:p>
      <w:pPr/>
      <w:r>
        <w:rPr>
          <w:lang w:val="en_US" w:bidi="en_US"/>
        </w:rPr>
      </w:r>
      <w:r>
        <w:rPr>
          <w:lang w:val="en_US" w:bidi="en_US"/>
        </w:rPr>
        <w:t>Some languages may express this emotion with an idiom. Describe Zechariah’s feeling in a natural way in your language for this context.</w:t>
      </w:r>
    </w:p>
    <w:p>
      <w:pPr/>
      <w:r>
        <w:rPr>
          <w:lang w:val="en_US" w:bidi="en_US"/>
        </w:rPr>
      </w:r>
      <w:r>
        <w:rPr>
          <w:b/>
          <w:lang w:val="en_US" w:bidi="en_US"/>
        </w:rPr>
        <w:t>and gripped with fear:</w:t>
      </w:r>
      <w:r>
        <w:rPr>
          <w:lang w:val="en_US" w:bidi="en_US"/>
        </w:rPr>
        <w:t xml:space="preserve"> The Greek phrase that the BSB translates as </w:t>
      </w:r>
      <w:r>
        <w:rPr>
          <w:i/>
          <w:lang w:val="en_US" w:bidi="en_US"/>
        </w:rPr>
        <w:t>gripped with fear</w:t>
      </w:r>
      <w:r>
        <w:rPr>
          <w:lang w:val="en_US" w:bidi="en_US"/>
        </w:rPr>
        <w:t xml:space="preserve"> is literally: “fear fell upon him.” It is an idiom that means “he became very afraid.” Some languages may have their own idiom to express this. Other ways to translate it in English are:</w:t>
      </w:r>
    </w:p>
    <w:p>
      <w:pPr/>
      <w:r>
        <w:rPr>
          <w:lang w:val="en_US" w:bidi="en_US"/>
        </w:rPr>
      </w:r>
      <w:r>
        <w:rPr>
          <w:lang w:val="en_US" w:bidi="en_US"/>
        </w:rPr>
        <w:t>overwhelmed with fear (NLT)</w:t>
      </w:r>
    </w:p>
    <w:p>
      <w:pPr/>
      <w:r>
        <w:rPr>
          <w:lang w:val="en_US" w:bidi="en_US"/>
        </w:rPr>
      </w:r>
      <w:r>
        <w:rPr>
          <w:lang w:val="en_US" w:bidi="en_US"/>
        </w:rPr>
        <w:t>frightened (NCV)</w:t>
      </w:r>
    </w:p>
    <w:p>
      <w:pPr/>
      <w:r>
        <w:rPr>
          <w:lang w:val="en_US" w:bidi="en_US"/>
        </w:rPr>
      </w:r>
      <w:r>
        <w:rPr>
          <w:lang w:val="en_US" w:bidi="en_US"/>
        </w:rPr>
        <w:t>terrified</w:t>
      </w:r>
    </w:p>
    <w:p>
      <w:pPr/>
      <w:r>
        <w:rPr>
          <w:lang w:val="en_US" w:bidi="en_US"/>
        </w:rPr>
      </w:r>
      <w:r>
        <w:rPr>
          <w:lang w:val="en_US" w:bidi="en_US"/>
        </w:rPr>
        <w:t>Express this emotion in a natural way in your language for this context.</w:t>
      </w:r>
      <w:r>
        <w:rPr>
          <w:lang w:val="en_US" w:bidi="en_US"/>
        </w:rPr>
      </w:r>
      <w:r>
        <w:rPr>
          <w:lang w:val="en_US" w:bidi="en_US"/>
        </w:rPr>
      </w:r>
    </w:p>
    <w:p>
      <w:pPr/>
      <w:r>
        <w:rPr>
          <w:lang w:val="en_US" w:bidi="en_US"/>
        </w:rPr>
      </w:r>
    </w:p>
    <w:p>
      <w:pPr>
        <w:pStyle w:val="Heading2"/>
      </w:pPr>
      <w:r>
        <w:rPr>
          <w:lang w:val="en_US" w:bidi="en_US"/>
        </w:rPr>
        <w:t>Luke 1:13</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4"/>
      </w:pPr>
      <w:r>
        <w:rPr>
          <w:lang w:val="en_US" w:bidi="en_US"/>
        </w:rPr>
        <w:t>Paragraph 1:11–17</w:t>
      </w:r>
    </w:p>
    <w:p>
      <w:pPr/>
      <w:r>
        <w:rPr>
          <w:lang w:val="en_US" w:bidi="en_US"/>
        </w:rPr>
      </w:r>
      <w:r>
        <w:rPr>
          <w:lang w:val="en_US" w:bidi="en_US"/>
        </w:rPr>
        <w:t>In this paragraph, Luke began to tell the main events of this section after he gave the background information in 1:5–10. Introduce this paragraph in a natural way in your language.</w:t>
      </w:r>
    </w:p>
    <w:p>
      <w:pPr>
        <w:pStyle w:val="Heading5"/>
      </w:pPr>
      <w:r>
        <w:rPr>
          <w:lang w:val="en_US" w:bidi="en_US"/>
        </w:rPr>
        <w:t>1:13a</w:t>
      </w:r>
    </w:p>
    <w:p>
      <w:pPr/>
      <w:r>
        <w:rPr>
          <w:lang w:val="en_US" w:bidi="en_US"/>
        </w:rPr>
      </w:r>
      <w:r>
        <w:rPr>
          <w:b/>
          <w:lang w:val="en_US" w:bidi="en_US"/>
        </w:rPr>
        <w:t>But the angel said to him, “Do not be afraid, Zechariah,</w:t>
      </w:r>
    </w:p>
    <w:p>
      <w:pPr>
        <w:pStyle w:val="ListBullet"/>
        <w:spacing w:line="240" w:lineRule="auto"/>
        <w:ind w:left="720"/>
      </w:pPr>
      <w:r>
        <w:rPr>
          <w:lang w:val="en_US" w:bidi="en_US"/>
        </w:rPr>
      </w:r>
      <w:r>
        <w:rPr>
          <w:lang w:val="en_US" w:bidi="en_US"/>
        </w:rPr>
        <w:t>But/So the angel said to him, “Zechariah, do not fear.</w:t>
      </w:r>
    </w:p>
    <w:p>
      <w:pPr>
        <w:pStyle w:val="ListBullet"/>
        <w:spacing w:line="240" w:lineRule="auto"/>
        <w:ind w:left="720"/>
      </w:pPr>
      <w:r>
        <w:rPr>
          <w:lang w:val="en_US" w:bidi="en_US"/>
        </w:rPr>
      </w:r>
      <w:r>
        <w:rPr>
          <w:lang w:val="en_US" w:bidi="en_US"/>
        </w:rPr>
        <w:t xml:space="preserve">The angel told him, “Zechariah, </w:t>
      </w:r>
      <w:r>
        <w:rPr>
          <w:lang w:val="en_US" w:bidi="en_US"/>
        </w:rPr>
        <w:t>you</w:t>
      </w:r>
      <w:r>
        <w:rPr>
          <w:lang w:val="en_US" w:bidi="en_US"/>
        </w:rPr>
        <w:t xml:space="preserve"> do not </w:t>
      </w:r>
      <w:r>
        <w:rPr>
          <w:lang w:val="en_US" w:bidi="en_US"/>
        </w:rPr>
        <w:t>need to</w:t>
      </w:r>
      <w:r>
        <w:rPr>
          <w:lang w:val="en_US" w:bidi="en_US"/>
        </w:rPr>
        <w:t xml:space="preserve"> be afraid,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what the angel said to Zechariah. The angel first responded to Zechariah’s obvious fear by telling him not to be afraid. In some languages, a conjunction may not be needed. Connect 1:12 and 1:13a in a natural way in your language. For example:</w:t>
      </w:r>
    </w:p>
    <w:p>
      <w:pPr/>
      <w:r>
        <w:rPr>
          <w:lang w:val="en_US" w:bidi="en_US"/>
        </w:rPr>
      </w:r>
      <w:r>
        <w:rPr>
          <w:lang w:val="en_US" w:bidi="en_US"/>
        </w:rPr>
        <w:t>The angel said to him, “Don’t be afraid, Zechariah!” (GW)</w:t>
      </w:r>
    </w:p>
    <w:p>
      <w:pPr/>
      <w:r>
        <w:rPr>
          <w:lang w:val="en_US" w:bidi="en_US"/>
        </w:rPr>
      </w:r>
      <w:r>
        <w:rPr>
          <w:lang w:val="en_US" w:bidi="en_US"/>
        </w:rPr>
        <w:t>So/But the angel told him, “Zechariah, do not be afraid!”</w:t>
      </w:r>
    </w:p>
    <w:p>
      <w:pPr/>
      <w:r>
        <w:rPr>
          <w:lang w:val="en_US" w:bidi="en_US"/>
        </w:rPr>
      </w:r>
      <w:r>
        <w:rPr>
          <w:b/>
          <w:lang w:val="en_US" w:bidi="en_US"/>
        </w:rPr>
        <w:t>angel:</w:t>
      </w:r>
      <w:r>
        <w:rPr>
          <w:lang w:val="en_US" w:bidi="en_US"/>
        </w:rPr>
        <w:t xml:space="preserve"> The word </w:t>
      </w:r>
      <w:r>
        <w:rPr>
          <w:i/>
          <w:lang w:val="en_US" w:bidi="en_US"/>
        </w:rPr>
        <w:t>angel</w:t>
      </w:r>
      <w:r>
        <w:rPr>
          <w:lang w:val="en_US" w:bidi="en_US"/>
        </w:rPr>
        <w:t xml:space="preserve"> was also used in 1:11a.</w:t>
      </w:r>
    </w:p>
    <w:p>
      <w:pPr/>
      <w:r>
        <w:rPr>
          <w:lang w:val="en_US" w:bidi="en_US"/>
        </w:rPr>
      </w:r>
      <w:r>
        <w:rPr>
          <w:b/>
          <w:lang w:val="en_US" w:bidi="en_US"/>
        </w:rPr>
        <w:t>Do not be afraid:</w:t>
      </w:r>
      <w:r>
        <w:rPr>
          <w:lang w:val="en_US" w:bidi="en_US"/>
        </w:rPr>
        <w:t xml:space="preserve"> In this context the phrase </w:t>
      </w:r>
      <w:r>
        <w:rPr>
          <w:i/>
          <w:lang w:val="en_US" w:bidi="en_US"/>
        </w:rPr>
        <w:t>Do not be afraid</w:t>
      </w:r>
      <w:r>
        <w:rPr>
          <w:lang w:val="en_US" w:bidi="en_US"/>
        </w:rPr>
        <w:t xml:space="preserve"> expresses reassurance. The angel assured Zechariah that he did not need to be afraid.</w:t>
      </w:r>
    </w:p>
    <w:p>
      <w:pPr/>
      <w:r>
        <w:rPr>
          <w:lang w:val="en_US" w:bidi="en_US"/>
        </w:rPr>
      </w:r>
      <w:r>
        <w:rPr>
          <w:lang w:val="en_US" w:bidi="en_US"/>
        </w:rPr>
        <w:t>Another way to translate this reassurance is:</w:t>
      </w:r>
    </w:p>
    <w:p>
      <w:pPr/>
      <w:r>
        <w:rPr>
          <w:lang w:val="en_US" w:bidi="en_US"/>
        </w:rPr>
      </w:r>
      <w:r>
        <w:rPr>
          <w:lang w:val="en_US" w:bidi="en_US"/>
        </w:rPr>
        <w:t xml:space="preserve">You do not </w:t>
      </w:r>
      <w:r>
        <w:rPr>
          <w:lang w:val="en_US" w:bidi="en_US"/>
        </w:rPr>
        <w:t>need to</w:t>
      </w:r>
      <w:r>
        <w:rPr>
          <w:lang w:val="en_US" w:bidi="en_US"/>
        </w:rPr>
        <w:t xml:space="preserve"> be afraid.</w:t>
      </w:r>
    </w:p>
    <w:p>
      <w:pPr>
        <w:pStyle w:val="Heading5"/>
      </w:pPr>
      <w:r>
        <w:rPr>
          <w:lang w:val="en_US" w:bidi="en_US"/>
        </w:rPr>
        <w:t>1:13b</w:t>
      </w:r>
    </w:p>
    <w:p>
      <w:pPr/>
      <w:r>
        <w:rPr>
          <w:lang w:val="en_US" w:bidi="en_US"/>
        </w:rPr>
      </w:r>
      <w:r>
        <w:rPr>
          <w:b/>
          <w:lang w:val="en_US" w:bidi="en_US"/>
        </w:rPr>
        <w:t>because your prayer has been heard.</w:t>
      </w:r>
    </w:p>
    <w:p>
      <w:pPr>
        <w:pStyle w:val="ListBullet"/>
        <w:spacing w:line="240" w:lineRule="auto"/>
        <w:ind w:left="720"/>
      </w:pPr>
      <w:r>
        <w:rPr>
          <w:lang w:val="en_US" w:bidi="en_US"/>
        </w:rPr>
      </w:r>
      <w:r>
        <w:rPr>
          <w:lang w:val="en_US" w:bidi="en_US"/>
        </w:rPr>
        <w:t>God</w:t>
      </w:r>
      <w:r>
        <w:rPr>
          <w:lang w:val="en_US" w:bidi="en_US"/>
        </w:rPr>
        <w:t xml:space="preserve"> has heard your prayer.</w:t>
      </w:r>
    </w:p>
    <w:p>
      <w:pPr>
        <w:pStyle w:val="ListBullet"/>
        <w:spacing w:line="240" w:lineRule="auto"/>
        <w:ind w:left="720"/>
      </w:pPr>
      <w:r>
        <w:rPr>
          <w:lang w:val="en_US" w:bidi="en_US"/>
        </w:rPr>
      </w:r>
      <w:r>
        <w:rPr>
          <w:lang w:val="en_US" w:bidi="en_US"/>
        </w:rPr>
        <w:t>because God</w:t>
      </w:r>
      <w:r>
        <w:rPr>
          <w:lang w:val="en_US" w:bidi="en_US"/>
        </w:rPr>
        <w:t xml:space="preserve"> has granted/accepted your prayer </w:t>
      </w:r>
      <w:r>
        <w:rPr>
          <w:lang w:val="en_US" w:bidi="en_US"/>
        </w:rPr>
        <w:t>for a son</w:t>
      </w:r>
      <w:r>
        <w:rPr>
          <w:lang w:val="en_US" w:bidi="en_US"/>
        </w:rPr>
        <w:t>.</w:t>
      </w:r>
    </w:p>
    <w:p>
      <w:pPr>
        <w:pStyle w:val="ListBullet"/>
        <w:spacing w:line="240" w:lineRule="auto"/>
        <w:ind w:left="720"/>
      </w:pPr>
      <w:r>
        <w:rPr>
          <w:lang w:val="en_US" w:bidi="en_US"/>
        </w:rPr>
      </w:r>
      <w:r>
        <w:rPr>
          <w:lang w:val="en_US" w:bidi="en_US"/>
        </w:rPr>
        <w:t xml:space="preserve">You prayed </w:t>
      </w:r>
      <w:r>
        <w:rPr>
          <w:lang w:val="en_US" w:bidi="en_US"/>
        </w:rPr>
        <w:t>for a son</w:t>
      </w:r>
      <w:r>
        <w:rPr>
          <w:lang w:val="en_US" w:bidi="en_US"/>
        </w:rPr>
        <w:t xml:space="preserve">, </w:t>
      </w:r>
      <w:r>
        <w:rPr>
          <w:lang w:val="en_US" w:bidi="en_US"/>
        </w:rPr>
        <w:t>and</w:t>
      </w:r>
      <w:r>
        <w:rPr>
          <w:lang w:val="en_US" w:bidi="en_US"/>
        </w:rPr>
        <w:t xml:space="preserve"> </w:t>
      </w:r>
      <w:r>
        <w:rPr>
          <w:lang w:val="en_US" w:bidi="en_US"/>
        </w:rPr>
        <w:t>God</w:t>
      </w:r>
      <w:r>
        <w:rPr>
          <w:lang w:val="en_US" w:bidi="en_US"/>
        </w:rPr>
        <w:t xml:space="preserve"> heard </w:t>
      </w:r>
      <w:r>
        <w:rPr>
          <w:lang w:val="en_US" w:bidi="en_US"/>
        </w:rPr>
        <w:t>and will answer</w:t>
      </w:r>
      <w:r>
        <w:rPr>
          <w:lang w:val="en_US" w:bidi="en_US"/>
        </w:rPr>
        <w:t xml:space="preserve"> your prayer.</w:t>
      </w:r>
    </w:p>
    <w:p>
      <w:pPr/>
      <w:r>
        <w:rPr>
          <w:lang w:val="en_US" w:bidi="en_US"/>
        </w:rPr>
      </w:r>
      <w:r>
        <w:rPr>
          <w:b/>
          <w:lang w:val="en_US" w:bidi="en_US"/>
        </w:rPr>
        <w:t>because</w:t>
      </w:r>
      <w:r>
        <w:rPr>
          <w:lang w:val="en_US" w:bidi="en_US"/>
        </w:rPr>
        <w:t xml:space="preserve"> In Greek, 1:13b begins with a conjunction that the BSB translates as </w:t>
      </w:r>
      <w:r>
        <w:rPr>
          <w:i/>
          <w:lang w:val="en_US" w:bidi="en_US"/>
        </w:rPr>
        <w:t>because</w:t>
      </w:r>
      <w:r>
        <w:rPr>
          <w:lang w:val="en_US" w:bidi="en_US"/>
        </w:rPr>
        <w:t>. It introduces a reason why Zechariah should not be afraid. The angel had come to tell him that God had heard his prayer. Some English versions, such as the NIV, do not translate this conjunction. Connect 1:13a to 1:13b in a way that is natural in your language.</w:t>
      </w:r>
    </w:p>
    <w:p>
      <w:pPr/>
      <w:r>
        <w:rPr>
          <w:lang w:val="en_US" w:bidi="en_US"/>
        </w:rPr>
      </w:r>
      <w:r>
        <w:rPr>
          <w:b/>
          <w:lang w:val="en_US" w:bidi="en_US"/>
        </w:rPr>
        <w:t>your prayer has been heard:</w:t>
      </w:r>
      <w:r>
        <w:rPr>
          <w:lang w:val="en_US" w:bidi="en_US"/>
        </w:rPr>
        <w:t xml:space="preserve"> This clause is passive. In some languages, it may be more natural to translate it as an active clause. For example:</w:t>
      </w:r>
    </w:p>
    <w:p>
      <w:pPr/>
      <w:r>
        <w:rPr>
          <w:lang w:val="en_US" w:bidi="en_US"/>
        </w:rPr>
      </w:r>
      <w:r>
        <w:rPr>
          <w:lang w:val="en_US" w:bidi="en_US"/>
        </w:rPr>
        <w:t>God has heard your prayer (GW)</w:t>
      </w:r>
    </w:p>
    <w:p>
      <w:pPr/>
      <w:r>
        <w:rPr>
          <w:lang w:val="en_US" w:bidi="en_US"/>
        </w:rPr>
      </w:r>
      <w:r>
        <w:rPr>
          <w:lang w:val="en_US" w:bidi="en_US"/>
        </w:rPr>
        <w:t>The angel did not say here when Zechariah had prayed or what he had prayed for. However, in 1:13c he implied that Zechariah had prayed for a son.</w:t>
      </w:r>
      <w:r>
        <w:rPr>
          <w:lang w:val="en_US" w:bidi="en_US"/>
        </w:rPr>
        <w:t>Some commentators believe that the angel referred to Zechariah’s prayer that the Messiah would come. Certainly as a priest and a devout Jew, Zechariah had prayed for the Messiah. When God answered his prayer for a son, God also allowed that son to be the one to prepare the way for the Messiah. However, in the immediate context the angel referred to the granting of a son to Zechariah and Elizabeth. This implies that this son was the answer to his prayer.</w:t>
      </w:r>
      <w:r>
        <w:rPr>
          <w:lang w:val="en_US" w:bidi="en_US"/>
        </w:rPr>
        <w:t xml:space="preserve"> In some languages, it may be helpful to make this information explicit here. For example:</w:t>
      </w:r>
    </w:p>
    <w:p>
      <w:pPr/>
      <w:r>
        <w:rPr>
          <w:lang w:val="en_US" w:bidi="en_US"/>
        </w:rPr>
      </w:r>
      <w:r>
        <w:rPr>
          <w:lang w:val="en_US" w:bidi="en_US"/>
        </w:rPr>
        <w:t>God</w:t>
      </w:r>
      <w:r>
        <w:rPr>
          <w:lang w:val="en_US" w:bidi="en_US"/>
        </w:rPr>
        <w:t xml:space="preserve"> has heard your prayer </w:t>
      </w:r>
      <w:r>
        <w:rPr>
          <w:lang w:val="en_US" w:bidi="en_US"/>
        </w:rPr>
        <w:t>for a son</w:t>
      </w:r>
      <w:r>
        <w:rPr>
          <w:lang w:val="en_US" w:bidi="en_US"/>
        </w:rPr>
        <w:t>.</w:t>
      </w:r>
    </w:p>
    <w:p>
      <w:pPr/>
      <w:r>
        <w:rPr>
          <w:lang w:val="en_US" w:bidi="en_US"/>
        </w:rPr>
      </w:r>
      <w:r>
        <w:rPr>
          <w:b/>
          <w:lang w:val="en_US" w:bidi="en_US"/>
        </w:rPr>
        <w:t>prayer:</w:t>
      </w:r>
      <w:r>
        <w:rPr>
          <w:lang w:val="en_US" w:bidi="en_US"/>
        </w:rPr>
        <w:t xml:space="preserve"> The Greek word that the BSB translates as </w:t>
      </w:r>
      <w:r>
        <w:rPr>
          <w:i/>
          <w:lang w:val="en_US" w:bidi="en_US"/>
        </w:rPr>
        <w:t>prayer</w:t>
      </w:r>
      <w:r>
        <w:rPr>
          <w:lang w:val="en_US" w:bidi="en_US"/>
        </w:rPr>
        <w:t xml:space="preserve"> indicates here that Zechariah had spoken or talked to God. He had asked God to give him a son. In some languages, it will be necessary to translate </w:t>
      </w:r>
      <w:r>
        <w:rPr>
          <w:i/>
          <w:lang w:val="en_US" w:bidi="en_US"/>
        </w:rPr>
        <w:t>prayer</w:t>
      </w:r>
      <w:r>
        <w:rPr>
          <w:lang w:val="en_US" w:bidi="en_US"/>
        </w:rPr>
        <w:t xml:space="preserve"> as a verb. For example:</w:t>
      </w:r>
    </w:p>
    <w:p>
      <w:pPr/>
      <w:r>
        <w:rPr>
          <w:lang w:val="en_US" w:bidi="en_US"/>
        </w:rPr>
      </w:r>
      <w:r>
        <w:rPr>
          <w:lang w:val="en_US" w:bidi="en_US"/>
        </w:rPr>
        <w:t xml:space="preserve">you asked/begged God </w:t>
      </w:r>
      <w:r>
        <w:rPr>
          <w:lang w:val="en_US" w:bidi="en_US"/>
        </w:rPr>
        <w:t>for a son</w:t>
      </w:r>
    </w:p>
    <w:p>
      <w:pPr/>
      <w:r>
        <w:rPr>
          <w:lang w:val="en_US" w:bidi="en_US"/>
        </w:rPr>
      </w:r>
      <w:r>
        <w:rPr>
          <w:b/>
          <w:lang w:val="en_US" w:bidi="en_US"/>
        </w:rPr>
        <w:t>heard:</w:t>
      </w:r>
      <w:r>
        <w:rPr>
          <w:lang w:val="en_US" w:bidi="en_US"/>
        </w:rPr>
        <w:t xml:space="preserve"> Here, the word </w:t>
      </w:r>
      <w:r>
        <w:rPr>
          <w:i/>
          <w:lang w:val="en_US" w:bidi="en_US"/>
        </w:rPr>
        <w:t>heard</w:t>
      </w:r>
      <w:r>
        <w:rPr>
          <w:lang w:val="en_US" w:bidi="en_US"/>
        </w:rPr>
        <w:t xml:space="preserve"> implies that God accepted Zechariah’s prayer and had committed himself to answer it. If the word </w:t>
      </w:r>
      <w:r>
        <w:rPr>
          <w:i/>
          <w:lang w:val="en_US" w:bidi="en_US"/>
        </w:rPr>
        <w:t>heard</w:t>
      </w:r>
      <w:r>
        <w:rPr>
          <w:lang w:val="en_US" w:bidi="en_US"/>
        </w:rPr>
        <w:t xml:space="preserve"> does not imply this in your language, you may need to make this explicit. For example:</w:t>
      </w:r>
    </w:p>
    <w:p>
      <w:pPr/>
      <w:r>
        <w:rPr>
          <w:lang w:val="en_US" w:bidi="en_US"/>
        </w:rPr>
      </w:r>
      <w:r>
        <w:rPr>
          <w:lang w:val="en_US" w:bidi="en_US"/>
        </w:rPr>
        <w:t xml:space="preserve">God has heard your prayer </w:t>
      </w:r>
      <w:r>
        <w:rPr>
          <w:lang w:val="en_US" w:bidi="en_US"/>
        </w:rPr>
        <w:t>and will answer it</w:t>
      </w:r>
    </w:p>
    <w:p>
      <w:pPr/>
      <w:r>
        <w:rPr>
          <w:lang w:val="en_US" w:bidi="en_US"/>
        </w:rPr>
      </w:r>
      <w:r>
        <w:rPr>
          <w:lang w:val="en_US" w:bidi="en_US"/>
        </w:rPr>
        <w:t>God will give you what you have prayed for</w:t>
      </w:r>
    </w:p>
    <w:p>
      <w:pPr>
        <w:pStyle w:val="Heading5"/>
      </w:pPr>
      <w:r>
        <w:rPr>
          <w:lang w:val="en_US" w:bidi="en_US"/>
        </w:rPr>
        <w:t>1:13c</w:t>
      </w:r>
    </w:p>
    <w:p>
      <w:pPr/>
      <w:r>
        <w:rPr>
          <w:lang w:val="en_US" w:bidi="en_US"/>
        </w:rPr>
      </w:r>
      <w:r>
        <w:rPr>
          <w:b/>
          <w:lang w:val="en_US" w:bidi="en_US"/>
        </w:rPr>
        <w:t>Your wife Elizabeth will bear you a son,</w:t>
      </w:r>
    </w:p>
    <w:p>
      <w:pPr>
        <w:pStyle w:val="ListBullet"/>
        <w:spacing w:line="240" w:lineRule="auto"/>
        <w:ind w:left="720"/>
      </w:pPr>
      <w:r>
        <w:rPr>
          <w:lang w:val="en_US" w:bidi="en_US"/>
        </w:rPr>
      </w:r>
      <w:r>
        <w:rPr>
          <w:lang w:val="en_US" w:bidi="en_US"/>
        </w:rPr>
        <w:t xml:space="preserve">And </w:t>
      </w:r>
      <w:r>
        <w:rPr>
          <w:lang w:val="en_US" w:bidi="en_US"/>
        </w:rPr>
        <w:t>so</w:t>
      </w:r>
      <w:r>
        <w:rPr>
          <w:lang w:val="en_US" w:bidi="en_US"/>
        </w:rPr>
        <w:t xml:space="preserve"> your wife Elizabeth will give birth to a son for you,</w:t>
      </w:r>
    </w:p>
    <w:p>
      <w:pPr>
        <w:pStyle w:val="ListBullet"/>
        <w:spacing w:line="240" w:lineRule="auto"/>
        <w:ind w:left="720"/>
      </w:pPr>
      <w:r>
        <w:rPr>
          <w:lang w:val="en_US" w:bidi="en_US"/>
        </w:rPr>
      </w:r>
      <w:r>
        <w:rPr>
          <w:lang w:val="en_US" w:bidi="en_US"/>
        </w:rPr>
        <w:t>You and</w:t>
      </w:r>
      <w:r>
        <w:rPr>
          <w:lang w:val="en_US" w:bidi="en_US"/>
        </w:rPr>
        <w:t xml:space="preserve"> Elizabeth your wife will have a son.</w:t>
      </w:r>
    </w:p>
    <w:p>
      <w:pPr/>
      <w:r>
        <w:rPr>
          <w:lang w:val="en_US" w:bidi="en_US"/>
        </w:rPr>
      </w:r>
      <w:r>
        <w:rPr>
          <w:lang w:val="en_US" w:bidi="en_US"/>
        </w:rPr>
        <w:t>This part of the verse tells what would happen as a result of 1:13b. Connect this part of the verse to 1:13b in a natural way in your language.</w:t>
      </w:r>
    </w:p>
    <w:p>
      <w:pPr/>
      <w:r>
        <w:rPr>
          <w:lang w:val="en_US" w:bidi="en_US"/>
        </w:rPr>
      </w:r>
      <w:r>
        <w:rPr>
          <w:b/>
          <w:lang w:val="en_US" w:bidi="en_US"/>
        </w:rPr>
        <w:t>Your wife Elizabeth will bear you a son:</w:t>
      </w:r>
      <w:r>
        <w:rPr>
          <w:lang w:val="en_US" w:bidi="en_US"/>
        </w:rPr>
        <w:t xml:space="preserve"> The phrase </w:t>
      </w:r>
      <w:r>
        <w:rPr>
          <w:i/>
          <w:lang w:val="en_US" w:bidi="en_US"/>
        </w:rPr>
        <w:t>bear you a son</w:t>
      </w:r>
      <w:r>
        <w:rPr>
          <w:lang w:val="en_US" w:bidi="en_US"/>
        </w:rPr>
        <w:t xml:space="preserve"> is literally “will bear a son to/for you.” This indicates that Elizabeth would conceive a child by Zechariah and give birth to him. Some other ways to say this in English are:</w:t>
      </w:r>
    </w:p>
    <w:p>
      <w:pPr/>
      <w:r>
        <w:rPr>
          <w:lang w:val="en_US" w:bidi="en_US"/>
        </w:rPr>
      </w:r>
      <w:r>
        <w:rPr>
          <w:lang w:val="en_US" w:bidi="en_US"/>
        </w:rPr>
        <w:t>Your wife Elizabeth will have a son (CEV)</w:t>
      </w:r>
    </w:p>
    <w:p>
      <w:pPr/>
      <w:r>
        <w:rPr>
          <w:lang w:val="en_US" w:bidi="en_US"/>
        </w:rPr>
      </w:r>
      <w:r>
        <w:rPr>
          <w:lang w:val="en_US" w:bidi="en_US"/>
        </w:rPr>
        <w:t>Your wife, Elizabeth, will give birth to a son (NCV)</w:t>
      </w:r>
    </w:p>
    <w:p>
      <w:pPr/>
      <w:r>
        <w:rPr>
          <w:lang w:val="en_US" w:bidi="en_US"/>
        </w:rPr>
      </w:r>
      <w:r>
        <w:rPr>
          <w:lang w:val="en_US" w:bidi="en_US"/>
        </w:rPr>
        <w:t>You and your wife Elizabeth are going to have a son</w:t>
      </w:r>
    </w:p>
    <w:p>
      <w:pPr/>
      <w:r>
        <w:rPr>
          <w:lang w:val="en_US" w:bidi="en_US"/>
        </w:rPr>
      </w:r>
      <w:r>
        <w:rPr>
          <w:lang w:val="en_US" w:bidi="en_US"/>
        </w:rPr>
        <w:t>You should use an expression that is both natural and polite in your language.</w:t>
      </w:r>
    </w:p>
    <w:p>
      <w:pPr>
        <w:pStyle w:val="Heading5"/>
      </w:pPr>
      <w:r>
        <w:rPr>
          <w:lang w:val="en_US" w:bidi="en_US"/>
        </w:rPr>
        <w:t>1:13d</w:t>
      </w:r>
    </w:p>
    <w:p>
      <w:pPr/>
      <w:r>
        <w:rPr>
          <w:lang w:val="en_US" w:bidi="en_US"/>
        </w:rPr>
      </w:r>
      <w:r>
        <w:rPr>
          <w:b/>
          <w:lang w:val="en_US" w:bidi="en_US"/>
        </w:rPr>
        <w:t>and you are to give him the name John.</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must name him John.</w:t>
      </w:r>
    </w:p>
    <w:p>
      <w:pPr>
        <w:pStyle w:val="ListBullet"/>
        <w:spacing w:line="240" w:lineRule="auto"/>
        <w:ind w:left="720"/>
      </w:pPr>
      <w:r>
        <w:rPr>
          <w:lang w:val="en_US" w:bidi="en_US"/>
        </w:rPr>
      </w:r>
      <w:r>
        <w:rPr>
          <w:lang w:val="en_US" w:bidi="en_US"/>
        </w:rPr>
        <w:t>Give</w:t>
      </w:r>
      <w:r>
        <w:rPr>
          <w:vertAlign w:val="superscript"/>
          <w:lang w:val="en_US" w:bidi="en_US"/>
        </w:rPr>
        <w:t>(sing)</w:t>
      </w:r>
      <w:r>
        <w:rPr>
          <w:lang w:val="en_US" w:bidi="en_US"/>
        </w:rPr>
        <w:t xml:space="preserve"> him the name John.</w:t>
      </w:r>
    </w:p>
    <w:p>
      <w:pPr/>
      <w:r>
        <w:rPr>
          <w:lang w:val="en_US" w:bidi="en_US"/>
        </w:rPr>
      </w:r>
      <w:r>
        <w:rPr>
          <w:b/>
          <w:lang w:val="en_US" w:bidi="en_US"/>
        </w:rPr>
        <w:t>you are to give him the name John:</w:t>
      </w:r>
      <w:r>
        <w:rPr>
          <w:lang w:val="en_US" w:bidi="en_US"/>
        </w:rPr>
        <w:t xml:space="preserve"> In Greek, the verb that the BSB translates as </w:t>
      </w:r>
      <w:r>
        <w:rPr>
          <w:i/>
          <w:lang w:val="en_US" w:bidi="en_US"/>
        </w:rPr>
        <w:t>you are to give</w:t>
      </w:r>
      <w:r>
        <w:rPr>
          <w:lang w:val="en_US" w:bidi="en_US"/>
        </w:rPr>
        <w:t xml:space="preserve"> functions as a command. It means “you must name him John.” In Jewish custom, the father was usually the person who decided what the names of his children would be.</w:t>
      </w:r>
    </w:p>
    <w:p>
      <w:pPr/>
      <w:r>
        <w:rPr>
          <w:lang w:val="en_US" w:bidi="en_US"/>
        </w:rPr>
      </w:r>
      <w:r>
        <w:rPr>
          <w:b/>
          <w:lang w:val="en_US" w:bidi="en_US"/>
        </w:rPr>
        <w:t>John:</w:t>
      </w:r>
      <w:r>
        <w:rPr>
          <w:lang w:val="en_US" w:bidi="en_US"/>
        </w:rPr>
        <w:t xml:space="preserve"> The name </w:t>
      </w:r>
      <w:r>
        <w:rPr>
          <w:i/>
          <w:lang w:val="en_US" w:bidi="en_US"/>
        </w:rPr>
        <w:t>John</w:t>
      </w:r>
      <w:r>
        <w:rPr>
          <w:lang w:val="en_US" w:bidi="en_US"/>
        </w:rPr>
        <w:t xml:space="preserve"> means “the Lord is gracious.” You may want to include this information in a footnote.</w:t>
      </w:r>
      <w:r>
        <w:rPr>
          <w:lang w:val="en_US" w:bidi="en_US"/>
        </w:rPr>
      </w:r>
      <w:r>
        <w:rPr>
          <w:lang w:val="en_US" w:bidi="en_US"/>
        </w:rPr>
      </w:r>
    </w:p>
    <w:p>
      <w:pPr/>
      <w:r>
        <w:rPr>
          <w:lang w:val="en_US" w:bidi="en_US"/>
        </w:rPr>
      </w:r>
    </w:p>
    <w:p>
      <w:pPr>
        <w:pStyle w:val="Heading2"/>
      </w:pPr>
      <w:r>
        <w:rPr>
          <w:lang w:val="en_US" w:bidi="en_US"/>
        </w:rPr>
        <w:t>Luke 1:14</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4"/>
      </w:pPr>
      <w:r>
        <w:rPr>
          <w:lang w:val="en_US" w:bidi="en_US"/>
        </w:rPr>
        <w:t>Paragraph 1:11–17</w:t>
      </w:r>
    </w:p>
    <w:p>
      <w:pPr/>
      <w:r>
        <w:rPr>
          <w:lang w:val="en_US" w:bidi="en_US"/>
        </w:rPr>
      </w:r>
      <w:r>
        <w:rPr>
          <w:lang w:val="en_US" w:bidi="en_US"/>
        </w:rPr>
        <w:t>In this paragraph, Luke began to tell the main events of this section after he gave the background information in 1:5–10. Introduce this paragraph in a natural way in your language.</w:t>
      </w:r>
    </w:p>
    <w:p>
      <w:pPr>
        <w:pStyle w:val="Heading5"/>
      </w:pPr>
      <w:r>
        <w:rPr>
          <w:lang w:val="en_US" w:bidi="en_US"/>
        </w:rPr>
        <w:t>1:14–17</w:t>
      </w:r>
    </w:p>
    <w:p>
      <w:pPr/>
      <w:r>
        <w:rPr>
          <w:lang w:val="en_US" w:bidi="en_US"/>
        </w:rPr>
      </w:r>
      <w:r>
        <w:rPr>
          <w:lang w:val="en_US" w:bidi="en_US"/>
        </w:rPr>
        <w:t>In these verses, the angel talked about the joy that John’s birth would bring to many people. He also gave the reasons why they would be joyful. The verses are written in a poetic style. English versions differ in how they connect the clauses into sentences. For example, the RSV and the NJB have two long sentences, the NIV has four sentences, and the GNT has six sentences. Consider how to connect the clauses and begin new sentences in a way that is natural in your language.</w:t>
      </w:r>
    </w:p>
    <w:p>
      <w:pPr>
        <w:pStyle w:val="Heading5"/>
      </w:pPr>
      <w:r>
        <w:rPr>
          <w:lang w:val="en_US" w:bidi="en_US"/>
        </w:rPr>
        <w:t>1:14a</w:t>
      </w:r>
    </w:p>
    <w:p>
      <w:pPr/>
      <w:r>
        <w:rPr>
          <w:lang w:val="en_US" w:bidi="en_US"/>
        </w:rPr>
      </w:r>
      <w:r>
        <w:rPr>
          <w:b/>
          <w:lang w:val="en_US" w:bidi="en_US"/>
        </w:rPr>
        <w:t>He will be a joy and delight to you,</w:t>
      </w:r>
    </w:p>
    <w:p>
      <w:pPr>
        <w:pStyle w:val="ListBullet"/>
        <w:spacing w:line="240" w:lineRule="auto"/>
        <w:ind w:left="720"/>
      </w:pPr>
      <w:r>
        <w:rPr>
          <w:lang w:val="en_US" w:bidi="en_US"/>
        </w:rPr>
      </w:r>
      <w:r>
        <w:rPr>
          <w:lang w:val="en_US" w:bidi="en_US"/>
        </w:rPr>
        <w:t>He will be a cause/source of joy and happiness to you,</w:t>
      </w:r>
      <w:r>
        <w:rPr>
          <w:vertAlign w:val="superscript"/>
          <w:lang w:val="en_US" w:bidi="en_US"/>
        </w:rPr>
        <w:t>(sing)</w:t>
      </w:r>
    </w:p>
    <w:p>
      <w:pPr>
        <w:pStyle w:val="ListBullet"/>
        <w:spacing w:line="240" w:lineRule="auto"/>
        <w:ind w:left="720"/>
      </w:pPr>
      <w:r>
        <w:rPr>
          <w:lang w:val="en_US" w:bidi="en_US"/>
        </w:rPr>
      </w:r>
      <w:r>
        <w:rPr>
          <w:lang w:val="en_US" w:bidi="en_US"/>
        </w:rPr>
        <w:t>He will make you</w:t>
      </w:r>
      <w:r>
        <w:rPr>
          <w:vertAlign w:val="superscript"/>
          <w:lang w:val="en_US" w:bidi="en_US"/>
        </w:rPr>
        <w:t>(sing)</w:t>
      </w:r>
      <w:r>
        <w:rPr>
          <w:lang w:val="en_US" w:bidi="en_US"/>
        </w:rPr>
        <w:t xml:space="preserve"> extremely happy,</w:t>
      </w:r>
    </w:p>
    <w:p>
      <w:pPr/>
      <w:r>
        <w:rPr>
          <w:lang w:val="en_US" w:bidi="en_US"/>
        </w:rPr>
      </w:r>
      <w:r>
        <w:rPr>
          <w:b/>
          <w:lang w:val="en_US" w:bidi="en_US"/>
        </w:rPr>
        <w:t>He will be a joy and delight to you:</w:t>
      </w:r>
      <w:r>
        <w:rPr>
          <w:lang w:val="en_US" w:bidi="en_US"/>
        </w:rPr>
        <w:t xml:space="preserve"> The two words that the BSB translates as </w:t>
      </w:r>
      <w:r>
        <w:rPr>
          <w:i/>
          <w:lang w:val="en_US" w:bidi="en_US"/>
        </w:rPr>
        <w:t>joy</w:t>
      </w:r>
      <w:r>
        <w:rPr>
          <w:lang w:val="en_US" w:bidi="en_US"/>
        </w:rPr>
        <w:t xml:space="preserve"> and </w:t>
      </w:r>
      <w:r>
        <w:rPr>
          <w:i/>
          <w:lang w:val="en_US" w:bidi="en_US"/>
        </w:rPr>
        <w:t>delight</w:t>
      </w:r>
      <w:r>
        <w:rPr>
          <w:lang w:val="en_US" w:bidi="en_US"/>
        </w:rPr>
        <w:t xml:space="preserve"> are a doublet. They mean approximately the same thing. But the second word is stronger and suggests a more intense emotion. Together the two words mean “immense joy.” For example:</w:t>
      </w:r>
    </w:p>
    <w:p>
      <w:pPr/>
      <w:r>
        <w:rPr>
          <w:lang w:val="en_US" w:bidi="en_US"/>
        </w:rPr>
      </w:r>
      <w:r>
        <w:rPr>
          <w:lang w:val="en_US" w:bidi="en_US"/>
        </w:rPr>
        <w:t>He will give you great joy</w:t>
      </w:r>
    </w:p>
    <w:p>
      <w:pPr/>
      <w:r>
        <w:rPr>
          <w:lang w:val="en_US" w:bidi="en_US"/>
        </w:rPr>
      </w:r>
      <w:r>
        <w:rPr>
          <w:lang w:val="en_US" w:bidi="en_US"/>
        </w:rPr>
        <w:t>He will make you very happy</w:t>
      </w:r>
    </w:p>
    <w:p>
      <w:pPr/>
      <w:r>
        <w:rPr>
          <w:lang w:val="en_US" w:bidi="en_US"/>
        </w:rPr>
      </w:r>
      <w:r>
        <w:rPr>
          <w:b/>
          <w:lang w:val="en_US" w:bidi="en_US"/>
        </w:rPr>
        <w:t>to you:</w:t>
      </w:r>
      <w:r>
        <w:rPr>
          <w:lang w:val="en_US" w:bidi="en_US"/>
        </w:rPr>
        <w:t xml:space="preserve"> The pronoun </w:t>
      </w:r>
      <w:r>
        <w:rPr>
          <w:i/>
          <w:lang w:val="en_US" w:bidi="en_US"/>
        </w:rPr>
        <w:t>you</w:t>
      </w:r>
      <w:r>
        <w:rPr>
          <w:lang w:val="en_US" w:bidi="en_US"/>
        </w:rPr>
        <w:t xml:space="preserve"> refers to Zechariah.</w:t>
      </w:r>
    </w:p>
    <w:p>
      <w:pPr>
        <w:pStyle w:val="Heading5"/>
      </w:pPr>
      <w:r>
        <w:rPr>
          <w:lang w:val="en_US" w:bidi="en_US"/>
        </w:rPr>
        <w:t>1:14b</w:t>
      </w:r>
    </w:p>
    <w:p>
      <w:pPr/>
      <w:r>
        <w:rPr>
          <w:lang w:val="en_US" w:bidi="en_US"/>
        </w:rPr>
      </w:r>
      <w:r>
        <w:rPr>
          <w:b/>
          <w:lang w:val="en_US" w:bidi="en_US"/>
        </w:rPr>
        <w:t>and many will rejoice at his birth,</w:t>
      </w:r>
    </w:p>
    <w:p>
      <w:pPr>
        <w:pStyle w:val="ListBullet"/>
        <w:spacing w:line="240" w:lineRule="auto"/>
        <w:ind w:left="720"/>
      </w:pPr>
      <w:r>
        <w:rPr>
          <w:lang w:val="en_US" w:bidi="en_US"/>
        </w:rPr>
      </w:r>
      <w:r>
        <w:rPr>
          <w:lang w:val="en_US" w:bidi="en_US"/>
        </w:rPr>
        <w:t xml:space="preserve">and many </w:t>
      </w:r>
      <w:r>
        <w:rPr>
          <w:lang w:val="en_US" w:bidi="en_US"/>
        </w:rPr>
        <w:t>people</w:t>
      </w:r>
      <w:r>
        <w:rPr>
          <w:lang w:val="en_US" w:bidi="en_US"/>
        </w:rPr>
        <w:t xml:space="preserve"> will have great joy because he was born.</w:t>
      </w:r>
    </w:p>
    <w:p>
      <w:pPr>
        <w:pStyle w:val="ListBullet"/>
        <w:spacing w:line="240" w:lineRule="auto"/>
        <w:ind w:left="720"/>
      </w:pPr>
      <w:r>
        <w:rPr>
          <w:lang w:val="en_US" w:bidi="en_US"/>
        </w:rPr>
      </w:r>
      <w:r>
        <w:rPr>
          <w:lang w:val="en_US" w:bidi="en_US"/>
        </w:rPr>
        <w:t xml:space="preserve">and many </w:t>
      </w:r>
      <w:r>
        <w:rPr>
          <w:lang w:val="en_US" w:bidi="en_US"/>
        </w:rPr>
        <w:t>other people</w:t>
      </w:r>
      <w:r>
        <w:rPr>
          <w:lang w:val="en_US" w:bidi="en_US"/>
        </w:rPr>
        <w:t xml:space="preserve"> will </w:t>
      </w:r>
      <w:r>
        <w:rPr>
          <w:lang w:val="en_US" w:bidi="en_US"/>
        </w:rPr>
        <w:t>also</w:t>
      </w:r>
      <w:r>
        <w:rPr>
          <w:lang w:val="en_US" w:bidi="en_US"/>
        </w:rPr>
        <w:t xml:space="preserve"> be happy that he has been born.</w:t>
      </w:r>
    </w:p>
    <w:p>
      <w:pPr/>
      <w:r>
        <w:rPr>
          <w:lang w:val="en_US" w:bidi="en_US"/>
        </w:rPr>
      </w:r>
      <w:r>
        <w:rPr>
          <w:b/>
          <w:lang w:val="en_US" w:bidi="en_US"/>
        </w:rPr>
        <w:t>many will rejoice at his birth:</w:t>
      </w:r>
      <w:r>
        <w:rPr>
          <w:lang w:val="en_US" w:bidi="en_US"/>
        </w:rPr>
        <w:t xml:space="preserve"> This clause indicates that many people would be happy that John was born. They would especially be happy because he was the person whom God sent to prepare people for the Messiah. The clause does not indicate that people would only be happy at the time of his birth. It indicates that they would be happy about his birth and life. Another way to say this is:</w:t>
      </w:r>
    </w:p>
    <w:p>
      <w:pPr/>
      <w:r>
        <w:rPr>
          <w:lang w:val="en_US" w:bidi="en_US"/>
        </w:rPr>
      </w:r>
      <w:r>
        <w:rPr>
          <w:lang w:val="en_US" w:bidi="en_US"/>
        </w:rPr>
        <w:t>many will rejoice that he was born</w:t>
      </w:r>
      <w:r>
        <w:rPr>
          <w:lang w:val="en_US" w:bidi="en_US"/>
        </w:rPr>
      </w:r>
      <w:r>
        <w:rPr>
          <w:lang w:val="en_US" w:bidi="en_US"/>
        </w:rPr>
      </w:r>
    </w:p>
    <w:p>
      <w:pPr/>
      <w:r>
        <w:rPr>
          <w:lang w:val="en_US" w:bidi="en_US"/>
        </w:rPr>
      </w:r>
    </w:p>
    <w:p>
      <w:pPr>
        <w:pStyle w:val="Heading2"/>
      </w:pPr>
      <w:r>
        <w:rPr>
          <w:lang w:val="en_US" w:bidi="en_US"/>
        </w:rPr>
        <w:t>Luke 1:15</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4"/>
      </w:pPr>
      <w:r>
        <w:rPr>
          <w:lang w:val="en_US" w:bidi="en_US"/>
        </w:rPr>
        <w:t>Paragraph 1:11–17</w:t>
      </w:r>
    </w:p>
    <w:p>
      <w:pPr/>
      <w:r>
        <w:rPr>
          <w:lang w:val="en_US" w:bidi="en_US"/>
        </w:rPr>
      </w:r>
      <w:r>
        <w:rPr>
          <w:lang w:val="en_US" w:bidi="en_US"/>
        </w:rPr>
        <w:t>In this paragraph, Luke began to tell the main events of this section after he gave the background information in 1:5–10. Introduce this paragraph in a natural way in your language.</w:t>
      </w:r>
    </w:p>
    <w:p>
      <w:pPr>
        <w:pStyle w:val="Heading5"/>
      </w:pPr>
      <w:r>
        <w:rPr>
          <w:lang w:val="en_US" w:bidi="en_US"/>
        </w:rPr>
        <w:t>1:15a</w:t>
      </w:r>
    </w:p>
    <w:p>
      <w:pPr/>
      <w:r>
        <w:rPr>
          <w:lang w:val="en_US" w:bidi="en_US"/>
        </w:rPr>
      </w:r>
      <w:r>
        <w:rPr>
          <w:b/>
          <w:lang w:val="en_US" w:bidi="en_US"/>
        </w:rPr>
        <w:t>for he will be great in the sight of the Lord.</w:t>
      </w:r>
    </w:p>
    <w:p>
      <w:pPr>
        <w:pStyle w:val="ListBullet"/>
        <w:spacing w:line="240" w:lineRule="auto"/>
        <w:ind w:left="720"/>
      </w:pPr>
      <w:r>
        <w:rPr>
          <w:lang w:val="en_US" w:bidi="en_US"/>
        </w:rPr>
      </w:r>
      <w:r>
        <w:rPr>
          <w:lang w:val="en_US" w:bidi="en_US"/>
        </w:rPr>
        <w:t>For the Lord will esteem him highly.</w:t>
      </w:r>
    </w:p>
    <w:p>
      <w:pPr>
        <w:pStyle w:val="ListBullet"/>
        <w:spacing w:line="240" w:lineRule="auto"/>
        <w:ind w:left="720"/>
      </w:pPr>
      <w:r>
        <w:rPr>
          <w:lang w:val="en_US" w:bidi="en_US"/>
        </w:rPr>
      </w:r>
      <w:r>
        <w:rPr>
          <w:lang w:val="en_US" w:bidi="en_US"/>
        </w:rPr>
        <w:t>He will be a man whom the Lord considers great.</w:t>
      </w:r>
    </w:p>
    <w:p>
      <w:pPr>
        <w:pStyle w:val="ListBullet"/>
        <w:spacing w:line="240" w:lineRule="auto"/>
        <w:ind w:left="720"/>
      </w:pPr>
      <w:r>
        <w:rPr>
          <w:lang w:val="en_US" w:bidi="en_US"/>
        </w:rPr>
      </w:r>
      <w:r>
        <w:rPr>
          <w:lang w:val="en_US" w:bidi="en_US"/>
        </w:rPr>
        <w:t xml:space="preserve">The Lord </w:t>
      </w:r>
      <w:r>
        <w:rPr>
          <w:lang w:val="en_US" w:bidi="en_US"/>
        </w:rPr>
        <w:t>God</w:t>
      </w:r>
      <w:r>
        <w:rPr>
          <w:lang w:val="en_US" w:bidi="en_US"/>
        </w:rPr>
        <w:t xml:space="preserve"> will view/consider him to be a truly great/important man.</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reasons why Zechariah and many other people would be happy about John’s birth (1:14). These reasons are given in 1:15–17. The main reason is that John would prepare the way for the Lord. Express these reasons in a natural way in your language.</w:t>
      </w:r>
    </w:p>
    <w:p>
      <w:pPr/>
      <w:r>
        <w:rPr>
          <w:lang w:val="en_US" w:bidi="en_US"/>
        </w:rPr>
      </w:r>
      <w:r>
        <w:rPr>
          <w:b/>
          <w:lang w:val="en_US" w:bidi="en_US"/>
        </w:rPr>
        <w:t>he will be great in the sight of the Lord:</w:t>
      </w:r>
      <w:r>
        <w:rPr>
          <w:lang w:val="en_US" w:bidi="en_US"/>
        </w:rPr>
        <w:t xml:space="preserve"> The Greek clause that the BSB translates as </w:t>
      </w:r>
      <w:r>
        <w:rPr>
          <w:i/>
          <w:lang w:val="en_US" w:bidi="en_US"/>
        </w:rPr>
        <w:t>he will be great in the sight of the Lord</w:t>
      </w:r>
      <w:r>
        <w:rPr>
          <w:lang w:val="en_US" w:bidi="en_US"/>
        </w:rPr>
        <w:t xml:space="preserve"> is an idiom. It means that God would consider John to be a very important man. God would think highly of him. Some other ways to translate this are:</w:t>
      </w:r>
    </w:p>
    <w:p>
      <w:pPr/>
      <w:r>
        <w:rPr>
          <w:lang w:val="en_US" w:bidi="en_US"/>
        </w:rPr>
      </w:r>
      <w:r>
        <w:rPr>
          <w:lang w:val="en_US" w:bidi="en_US"/>
        </w:rPr>
        <w:t>The Lord will consider him to be very great</w:t>
      </w:r>
    </w:p>
    <w:p>
      <w:pPr/>
      <w:r>
        <w:rPr>
          <w:lang w:val="en_US" w:bidi="en_US"/>
        </w:rPr>
      </w:r>
      <w:r>
        <w:rPr>
          <w:lang w:val="en_US" w:bidi="en_US"/>
        </w:rPr>
        <w:t>He will be very important in the Lord’s estimation/view</w:t>
      </w:r>
    </w:p>
    <w:p>
      <w:pPr/>
      <w:r>
        <w:rPr>
          <w:lang w:val="en_US" w:bidi="en_US"/>
        </w:rPr>
      </w:r>
      <w:r>
        <w:rPr>
          <w:lang w:val="en_US" w:bidi="en_US"/>
        </w:rPr>
        <w:t>The Lord will recognize/esteem him as a great man</w:t>
      </w:r>
    </w:p>
    <w:p>
      <w:pPr/>
      <w:r>
        <w:rPr>
          <w:lang w:val="en_US" w:bidi="en_US"/>
        </w:rPr>
      </w:r>
      <w:r>
        <w:rPr>
          <w:b/>
          <w:lang w:val="en_US" w:bidi="en_US"/>
        </w:rPr>
        <w:t>in the sight of the Lord:</w:t>
      </w:r>
      <w:r>
        <w:rPr>
          <w:lang w:val="en_US" w:bidi="en_US"/>
        </w:rPr>
        <w:t xml:space="preserve"> The Greek phrase that the BSB translates as </w:t>
      </w:r>
      <w:r>
        <w:rPr>
          <w:i/>
          <w:lang w:val="en_US" w:bidi="en_US"/>
        </w:rPr>
        <w:t>in the sight of the Lord</w:t>
      </w:r>
      <w:r>
        <w:rPr>
          <w:lang w:val="en_US" w:bidi="en_US"/>
        </w:rPr>
        <w:t xml:space="preserve"> is literally “before the Lord.” The phrase “before the Lord” or “before God” is used four other times in Luke 1 (1:17, 1:19, 1:75, 1:76).</w:t>
      </w:r>
    </w:p>
    <w:p>
      <w:pPr/>
      <w:r>
        <w:rPr>
          <w:lang w:val="en_US" w:bidi="en_US"/>
        </w:rPr>
      </w:r>
      <w:r>
        <w:rPr>
          <w:b/>
          <w:lang w:val="en_US" w:bidi="en_US"/>
        </w:rPr>
        <w:t>Lord:</w:t>
      </w:r>
      <w:r>
        <w:rPr>
          <w:lang w:val="en_US" w:bidi="en_US"/>
        </w:rPr>
        <w:t xml:space="preserve"> For further discussion of the term </w:t>
      </w:r>
      <w:r>
        <w:rPr>
          <w:i/>
          <w:lang w:val="en_US" w:bidi="en_US"/>
        </w:rPr>
        <w:t>Lord</w:t>
      </w:r>
      <w:r>
        <w:rPr>
          <w:lang w:val="en_US" w:bidi="en_US"/>
        </w:rPr>
        <w:t>, see the Note at 1:6b. See also Lord, Context 2, in the Glossary.</w:t>
      </w:r>
    </w:p>
    <w:p>
      <w:pPr>
        <w:pStyle w:val="Heading5"/>
      </w:pPr>
      <w:r>
        <w:rPr>
          <w:lang w:val="en_US" w:bidi="en_US"/>
        </w:rPr>
        <w:t>1:15b</w:t>
      </w:r>
    </w:p>
    <w:p>
      <w:pPr/>
      <w:r>
        <w:rPr>
          <w:lang w:val="en_US" w:bidi="en_US"/>
        </w:rPr>
      </w:r>
      <w:r>
        <w:rPr>
          <w:b/>
          <w:lang w:val="en_US" w:bidi="en_US"/>
        </w:rPr>
        <w:t>He shall never take wine or strong drink,</w:t>
      </w:r>
    </w:p>
    <w:p>
      <w:pPr>
        <w:pStyle w:val="ListBullet"/>
        <w:spacing w:line="240" w:lineRule="auto"/>
        <w:ind w:left="720"/>
      </w:pPr>
      <w:r>
        <w:rPr>
          <w:lang w:val="en_US" w:bidi="en_US"/>
        </w:rPr>
      </w:r>
      <w:r>
        <w:rPr>
          <w:lang w:val="en_US" w:bidi="en_US"/>
        </w:rPr>
        <w:t>He must never drink wine or other alcoholic drink,</w:t>
      </w:r>
    </w:p>
    <w:p>
      <w:pPr>
        <w:pStyle w:val="ListBullet"/>
        <w:spacing w:line="240" w:lineRule="auto"/>
        <w:ind w:left="720"/>
      </w:pPr>
      <w:r>
        <w:rPr>
          <w:lang w:val="en_US" w:bidi="en_US"/>
        </w:rPr>
      </w:r>
      <w:r>
        <w:rPr>
          <w:lang w:val="en_US" w:bidi="en_US"/>
        </w:rPr>
        <w:t xml:space="preserve">He must not drink </w:t>
      </w:r>
      <w:r>
        <w:rPr>
          <w:lang w:val="en_US" w:bidi="en_US"/>
        </w:rPr>
        <w:t>any</w:t>
      </w:r>
      <w:r>
        <w:rPr>
          <w:lang w:val="en_US" w:bidi="en_US"/>
        </w:rPr>
        <w:t xml:space="preserve"> wine or </w:t>
      </w:r>
      <w:r>
        <w:rPr>
          <w:lang w:val="en_US" w:bidi="en_US"/>
        </w:rPr>
        <w:t>any</w:t>
      </w:r>
      <w:r>
        <w:rPr>
          <w:lang w:val="en_US" w:bidi="en_US"/>
        </w:rPr>
        <w:t xml:space="preserve"> other drink at all that can make </w:t>
      </w:r>
      <w:r>
        <w:rPr>
          <w:lang w:val="en_US" w:bidi="en_US"/>
        </w:rPr>
        <w:t>people</w:t>
      </w:r>
      <w:r>
        <w:rPr>
          <w:lang w:val="en_US" w:bidi="en_US"/>
        </w:rPr>
        <w:t xml:space="preserve"> drunk,</w:t>
      </w:r>
    </w:p>
    <w:p>
      <w:pPr/>
      <w:r>
        <w:rPr>
          <w:lang w:val="en_US" w:bidi="en_US"/>
        </w:rPr>
      </w:r>
      <w:r>
        <w:rPr>
          <w:b/>
          <w:lang w:val="en_US" w:bidi="en_US"/>
        </w:rPr>
        <w:t>He shall never take wine or strong drink:</w:t>
      </w:r>
      <w:r>
        <w:rPr>
          <w:lang w:val="en_US" w:bidi="en_US"/>
        </w:rPr>
        <w:t xml:space="preserve"> This is a command. John must not drink wine or any other drink that could make him drunk. A requirement like this is described in Numbers 6:1–4. It would be a sign to that person and to others that he was dedicated to the Lord in a special way. In some translations it may be helpful to include a footnote about this. For example:</w:t>
      </w:r>
    </w:p>
    <w:p>
      <w:pPr/>
      <w:r>
        <w:rPr>
          <w:lang w:val="en_US" w:bidi="en_US"/>
        </w:rPr>
      </w:r>
      <w:r>
        <w:rPr>
          <w:lang w:val="en_US" w:bidi="en_US"/>
        </w:rPr>
        <w:t>John was dedicated to the Lord to fulfill a very important purpose. As a sign of that dedication, the Lord commanded that John should not drink wine.</w:t>
      </w:r>
    </w:p>
    <w:p>
      <w:pPr/>
      <w:r>
        <w:rPr>
          <w:lang w:val="en_US" w:bidi="en_US"/>
        </w:rPr>
      </w:r>
      <w:r>
        <w:rPr>
          <w:b/>
          <w:lang w:val="en_US" w:bidi="en_US"/>
        </w:rPr>
        <w:t>never:</w:t>
      </w:r>
      <w:r>
        <w:rPr>
          <w:lang w:val="en_US" w:bidi="en_US"/>
        </w:rPr>
        <w:t xml:space="preserve"> The Greek phrase that the BSB translates as </w:t>
      </w:r>
      <w:r>
        <w:rPr>
          <w:i/>
          <w:lang w:val="en_US" w:bidi="en_US"/>
        </w:rPr>
        <w:t>never</w:t>
      </w:r>
      <w:r>
        <w:rPr>
          <w:lang w:val="en_US" w:bidi="en_US"/>
        </w:rPr>
        <w:t xml:space="preserve"> means “definitely not.” The angel meant that John must </w:t>
      </w:r>
      <w:r>
        <w:rPr>
          <w:u w:val="single"/>
          <w:lang w:val="en_US" w:bidi="en_US"/>
        </w:rPr>
        <w:t>not ever</w:t>
      </w:r>
      <w:r>
        <w:rPr>
          <w:lang w:val="en_US" w:bidi="en_US"/>
        </w:rPr>
        <w:t xml:space="preserve"> drink these things.</w:t>
      </w:r>
    </w:p>
    <w:p>
      <w:pPr/>
      <w:r>
        <w:rPr>
          <w:lang w:val="en_US" w:bidi="en_US"/>
        </w:rPr>
      </w:r>
      <w:r>
        <w:rPr>
          <w:b/>
          <w:lang w:val="en_US" w:bidi="en_US"/>
        </w:rPr>
        <w:t>take:</w:t>
      </w:r>
      <w:r>
        <w:rPr>
          <w:lang w:val="en_US" w:bidi="en_US"/>
        </w:rPr>
        <w:t xml:space="preserve"> The Greek verb that the BSB translates as </w:t>
      </w:r>
      <w:r>
        <w:rPr>
          <w:i/>
          <w:lang w:val="en_US" w:bidi="en_US"/>
        </w:rPr>
        <w:t>take</w:t>
      </w:r>
      <w:r>
        <w:rPr>
          <w:lang w:val="en_US" w:bidi="en_US"/>
        </w:rPr>
        <w:t xml:space="preserve"> is literally “drink.” Most English versions say “drink.”</w:t>
      </w:r>
    </w:p>
    <w:p>
      <w:pPr/>
      <w:r>
        <w:rPr>
          <w:lang w:val="en_US" w:bidi="en_US"/>
        </w:rPr>
      </w:r>
      <w:r>
        <w:rPr>
          <w:b/>
          <w:lang w:val="en_US" w:bidi="en_US"/>
        </w:rPr>
        <w:t>wine or strong drink:</w:t>
      </w:r>
      <w:r>
        <w:rPr>
          <w:lang w:val="en_US" w:bidi="en_US"/>
        </w:rPr>
        <w:t xml:space="preserve"> The Jews had two basic terms for alcoholic drinks. The BSB translates these terms as </w:t>
      </w:r>
      <w:r>
        <w:rPr>
          <w:i/>
          <w:lang w:val="en_US" w:bidi="en_US"/>
        </w:rPr>
        <w:t>wine</w:t>
      </w:r>
      <w:r>
        <w:rPr>
          <w:lang w:val="en_US" w:bidi="en_US"/>
        </w:rPr>
        <w:t xml:space="preserve"> and </w:t>
      </w:r>
      <w:r>
        <w:rPr>
          <w:i/>
          <w:lang w:val="en_US" w:bidi="en_US"/>
        </w:rPr>
        <w:t>strong drink</w:t>
      </w:r>
      <w:r>
        <w:rPr>
          <w:lang w:val="en_US" w:bidi="en_US"/>
        </w:rPr>
        <w:t>. In some languages it may be necessary to use one general term for all alcoholic drinks. For example:</w:t>
      </w:r>
    </w:p>
    <w:p>
      <w:pPr/>
      <w:r>
        <w:rPr>
          <w:lang w:val="en_US" w:bidi="en_US"/>
        </w:rPr>
      </w:r>
      <w:r>
        <w:rPr>
          <w:lang w:val="en_US" w:bidi="en_US"/>
        </w:rPr>
        <w:t>all fermented/alcoholic drinks</w:t>
      </w:r>
    </w:p>
    <w:p>
      <w:pPr/>
      <w:r>
        <w:rPr>
          <w:lang w:val="en_US" w:bidi="en_US"/>
        </w:rPr>
      </w:r>
      <w:r>
        <w:rPr>
          <w:lang w:val="en_US" w:bidi="en_US"/>
        </w:rPr>
        <w:t>any drink that causes someone/people to become drunk</w:t>
      </w:r>
    </w:p>
    <w:p>
      <w:pPr/>
      <w:r>
        <w:rPr>
          <w:lang w:val="en_US" w:bidi="en_US"/>
        </w:rPr>
      </w:r>
      <w:r>
        <w:rPr>
          <w:b/>
          <w:lang w:val="en_US" w:bidi="en_US"/>
        </w:rPr>
        <w:t>wine:</w:t>
      </w:r>
      <w:r>
        <w:rPr>
          <w:lang w:val="en_US" w:bidi="en_US"/>
        </w:rPr>
        <w:t xml:space="preserve"> The word </w:t>
      </w:r>
      <w:r>
        <w:rPr>
          <w:i/>
          <w:lang w:val="en_US" w:bidi="en_US"/>
        </w:rPr>
        <w:t>wine</w:t>
      </w:r>
      <w:r>
        <w:rPr>
          <w:lang w:val="en_US" w:bidi="en_US"/>
        </w:rPr>
        <w:t xml:space="preserve"> refers to an alcoholic drink. It is made from the juice of a fruit called grapes. When grape juice ferments, it becomes wine.</w:t>
      </w:r>
    </w:p>
    <w:p>
      <w:pPr/>
      <w:r>
        <w:rPr>
          <w:lang w:val="en_US" w:bidi="en_US"/>
        </w:rPr>
      </w:r>
      <w:r>
        <w:rPr>
          <w:lang w:val="en_US" w:bidi="en_US"/>
        </w:rPr>
        <w:t xml:space="preserve">In some areas, people may not be familiar with grapes or with wine. If that is true in your area, some other ways to translate </w:t>
      </w:r>
      <w:r>
        <w:rPr>
          <w:i/>
          <w:lang w:val="en_US" w:bidi="en_US"/>
        </w:rPr>
        <w:t>wine</w:t>
      </w:r>
      <w:r>
        <w:rPr>
          <w:lang w:val="en_US" w:bidi="en_US"/>
        </w:rPr>
        <w:t xml:space="preserve"> are:</w:t>
      </w:r>
    </w:p>
    <w:p>
      <w:pPr>
        <w:pStyle w:val="ListBullet"/>
        <w:spacing w:line="240" w:lineRule="auto"/>
        <w:ind w:left="720"/>
      </w:pPr>
      <w:r>
        <w:rPr>
          <w:lang w:val="en_US" w:bidi="en_US"/>
        </w:rPr>
      </w:r>
      <w:r>
        <w:rPr>
          <w:lang w:val="en_US" w:bidi="en_US"/>
        </w:rPr>
        <w:t>Use a specific term for another alcoholic drink made from fruit. For example:</w:t>
      </w:r>
      <w:r>
        <w:rPr>
          <w:lang w:val="en_US" w:bidi="en_US"/>
        </w:rPr>
        <w:t>pomegranate wine</w:t>
      </w:r>
      <w:r>
        <w:rPr>
          <w:lang w:val="en_US" w:bidi="en_US"/>
        </w:rPr>
        <w:t>palm wine</w:t>
      </w:r>
    </w:p>
    <w:p>
      <w:pPr>
        <w:pStyle w:val="ListBullet"/>
        <w:spacing w:line="240" w:lineRule="auto"/>
        <w:ind w:left="720"/>
      </w:pPr>
      <w:r>
        <w:rPr>
          <w:lang w:val="en_US" w:bidi="en_US"/>
        </w:rPr>
      </w:r>
      <w:r>
        <w:rPr>
          <w:lang w:val="en_US" w:bidi="en_US"/>
        </w:rPr>
        <w:t>Use a descriptive phrase. For example:</w:t>
      </w:r>
      <w:r>
        <w:rPr>
          <w:lang w:val="en_US" w:bidi="en_US"/>
        </w:rPr>
        <w:t>fermented fruit juice/water</w:t>
      </w:r>
      <w:r>
        <w:rPr>
          <w:lang w:val="en_US" w:bidi="en_US"/>
        </w:rPr>
        <w:t>grape juice</w:t>
      </w:r>
      <w:r>
        <w:rPr>
          <w:lang w:val="en_US" w:bidi="en_US"/>
        </w:rPr>
        <w:t>fermented grape juice</w:t>
      </w:r>
    </w:p>
    <w:p>
      <w:pPr/>
      <w:r>
        <w:rPr>
          <w:lang w:val="en_US" w:bidi="en_US"/>
        </w:rPr>
      </w:r>
      <w:r>
        <w:rPr>
          <w:b/>
          <w:lang w:val="en_US" w:bidi="en_US"/>
        </w:rPr>
        <w:t>strong drink:</w:t>
      </w:r>
      <w:r>
        <w:rPr>
          <w:lang w:val="en_US" w:bidi="en_US"/>
        </w:rPr>
        <w:t xml:space="preserve"> The Greek phrase that the BSB translates as </w:t>
      </w:r>
      <w:r>
        <w:rPr>
          <w:i/>
          <w:lang w:val="en_US" w:bidi="en_US"/>
        </w:rPr>
        <w:t>strong drink</w:t>
      </w:r>
      <w:r>
        <w:rPr>
          <w:lang w:val="en_US" w:bidi="en_US"/>
        </w:rPr>
        <w:t xml:space="preserve"> refers to alcoholic beverages other than wine that the Jews made from either fruit or grain.</w:t>
      </w:r>
      <w:r>
        <w:rPr>
          <w:lang w:val="en_US" w:bidi="en_US"/>
        </w:rPr>
        <w:t>English terms such as “strong drink” (BSB, RSV, GNT, etc.), “liquor” (NASB, GW), or especially “hard liquor” (NLT96) may be misleading because for some readers such terms imply distilled alcoholic beverages (such as whiskey, gin, and vodka). Distilled alcoholic beverages were not known in the ancient world.</w:t>
      </w:r>
      <w:r>
        <w:rPr>
          <w:lang w:val="en_US" w:bidi="en_US"/>
        </w:rPr>
        <w:t xml:space="preserve"> The most common of these was beer made from barley or from barley and millet.</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Use a term for an alcoholic drink made from grain, even if it is not made from barley or millet.</w:t>
      </w:r>
    </w:p>
    <w:p>
      <w:pPr>
        <w:pStyle w:val="ListBullet"/>
        <w:spacing w:line="240" w:lineRule="auto"/>
        <w:ind w:left="720"/>
      </w:pPr>
      <w:r>
        <w:rPr>
          <w:lang w:val="en_US" w:bidi="en_US"/>
        </w:rPr>
      </w:r>
      <w:r>
        <w:rPr>
          <w:lang w:val="en_US" w:bidi="en_US"/>
        </w:rPr>
        <w:t>Use a general term for alcoholic drinks.</w:t>
      </w:r>
    </w:p>
    <w:p>
      <w:pPr>
        <w:pStyle w:val="ListBullet"/>
        <w:spacing w:line="240" w:lineRule="auto"/>
        <w:ind w:left="720"/>
      </w:pPr>
      <w:r>
        <w:rPr>
          <w:lang w:val="en_US" w:bidi="en_US"/>
        </w:rPr>
      </w:r>
      <w:r>
        <w:rPr>
          <w:lang w:val="en_US" w:bidi="en_US"/>
        </w:rPr>
        <w:t>Use a descriptive phrase. For example:</w:t>
      </w:r>
      <w:r>
        <w:rPr>
          <w:lang w:val="en_US" w:bidi="en_US"/>
        </w:rPr>
        <w:t>other drinks that make (people) drunk</w:t>
      </w:r>
    </w:p>
    <w:p>
      <w:pPr>
        <w:pStyle w:val="Heading5"/>
      </w:pPr>
      <w:r>
        <w:rPr>
          <w:lang w:val="en_US" w:bidi="en_US"/>
        </w:rPr>
        <w:t>1:15c</w:t>
      </w:r>
    </w:p>
    <w:p>
      <w:pPr/>
      <w:r>
        <w:rPr>
          <w:lang w:val="en_US" w:bidi="en_US"/>
        </w:rPr>
      </w:r>
      <w:r>
        <w:rPr>
          <w:b/>
          <w:lang w:val="en_US" w:bidi="en_US"/>
        </w:rPr>
        <w:t>and he will be filled with the Holy Spirit even from his mother’s womb.</w:t>
      </w:r>
    </w:p>
    <w:p>
      <w:pPr>
        <w:pStyle w:val="ListBullet"/>
        <w:spacing w:line="240" w:lineRule="auto"/>
        <w:ind w:left="720"/>
      </w:pPr>
      <w:r>
        <w:rPr>
          <w:lang w:val="en_US" w:bidi="en_US"/>
        </w:rPr>
      </w:r>
      <w:r>
        <w:rPr>
          <w:lang w:val="en_US" w:bidi="en_US"/>
        </w:rPr>
        <w:t xml:space="preserve">and he will be guided by the Holy Spirit even from </w:t>
      </w:r>
      <w:r>
        <w:rPr>
          <w:lang w:val="en_US" w:bidi="en_US"/>
        </w:rPr>
        <w:t>the time that he is in</w:t>
      </w:r>
      <w:r>
        <w:rPr>
          <w:lang w:val="en_US" w:bidi="en_US"/>
        </w:rPr>
        <w:t xml:space="preserve"> his mother’s womb.</w:t>
      </w:r>
    </w:p>
    <w:p>
      <w:pPr>
        <w:pStyle w:val="ListBullet"/>
        <w:spacing w:line="240" w:lineRule="auto"/>
        <w:ind w:left="720"/>
      </w:pPr>
      <w:r>
        <w:rPr>
          <w:lang w:val="en_US" w:bidi="en_US"/>
        </w:rPr>
      </w:r>
      <w:r>
        <w:rPr>
          <w:lang w:val="en_US" w:bidi="en_US"/>
        </w:rPr>
        <w:t xml:space="preserve">and </w:t>
      </w:r>
      <w:r>
        <w:rPr>
          <w:lang w:val="en_US" w:bidi="en_US"/>
        </w:rPr>
        <w:t>God’s</w:t>
      </w:r>
      <w:r>
        <w:rPr>
          <w:lang w:val="en_US" w:bidi="en_US"/>
        </w:rPr>
        <w:t xml:space="preserve"> Holy Spirit will fill/control him even before he is born.</w:t>
      </w:r>
    </w:p>
    <w:p>
      <w:pPr>
        <w:pStyle w:val="ListBullet"/>
        <w:spacing w:line="240" w:lineRule="auto"/>
        <w:ind w:left="720"/>
      </w:pPr>
      <w:r>
        <w:rPr>
          <w:lang w:val="en_US" w:bidi="en_US"/>
        </w:rPr>
      </w:r>
      <w:r>
        <w:rPr>
          <w:lang w:val="en_US" w:bidi="en_US"/>
        </w:rPr>
        <w:t>and the power of the Holy Spirit will be upon him from the moment he is conceived.</w:t>
      </w:r>
    </w:p>
    <w:p>
      <w:pPr/>
      <w:r>
        <w:rPr>
          <w:lang w:val="en_US" w:bidi="en_US"/>
        </w:rPr>
      </w:r>
      <w:r>
        <w:rPr>
          <w:b/>
          <w:lang w:val="en_US" w:bidi="en_US"/>
        </w:rPr>
        <w:t>he will be filled with the Holy Spirit:</w:t>
      </w:r>
      <w:r>
        <w:rPr>
          <w:lang w:val="en_US" w:bidi="en_US"/>
        </w:rPr>
        <w:t xml:space="preserve"> The Greek expression that the BSB translates as </w:t>
      </w:r>
      <w:r>
        <w:rPr>
          <w:i/>
          <w:lang w:val="en_US" w:bidi="en_US"/>
        </w:rPr>
        <w:t>filled with the Holy Spirit</w:t>
      </w:r>
      <w:r>
        <w:rPr>
          <w:lang w:val="en_US" w:bidi="en_US"/>
        </w:rPr>
        <w:t xml:space="preserve"> is a common figure of speech in the New Testament. It implies that the Holy Spirit would guide or control John and give him the power to do all that God wanted him to do. Some ways to translate this are:</w:t>
      </w:r>
    </w:p>
    <w:p>
      <w:pPr/>
      <w:r>
        <w:rPr>
          <w:lang w:val="en_US" w:bidi="en_US"/>
        </w:rPr>
      </w:r>
      <w:r>
        <w:rPr>
          <w:lang w:val="en_US" w:bidi="en_US"/>
        </w:rPr>
        <w:t>the Holy Spirit will guide/empower him</w:t>
      </w:r>
    </w:p>
    <w:p>
      <w:pPr/>
      <w:r>
        <w:rPr>
          <w:lang w:val="en_US" w:bidi="en_US"/>
        </w:rPr>
      </w:r>
      <w:r>
        <w:rPr>
          <w:lang w:val="en_US" w:bidi="en_US"/>
        </w:rPr>
        <w:t>he will be full of the Holy Spirit</w:t>
      </w:r>
    </w:p>
    <w:p>
      <w:pPr/>
      <w:r>
        <w:rPr>
          <w:lang w:val="en_US" w:bidi="en_US"/>
        </w:rPr>
      </w:r>
      <w:r>
        <w:rPr>
          <w:lang w:val="en_US" w:bidi="en_US"/>
        </w:rPr>
        <w:t>the power of the Holy Spirit will be with him (CEV)</w:t>
      </w:r>
    </w:p>
    <w:p>
      <w:pPr/>
      <w:r>
        <w:rPr>
          <w:lang w:val="en_US" w:bidi="en_US"/>
        </w:rPr>
      </w:r>
      <w:r>
        <w:rPr>
          <w:lang w:val="en_US" w:bidi="en_US"/>
        </w:rPr>
        <w:t xml:space="preserve">The verb </w:t>
      </w:r>
      <w:r>
        <w:rPr>
          <w:i/>
          <w:lang w:val="en_US" w:bidi="en_US"/>
        </w:rPr>
        <w:t>will be filled</w:t>
      </w:r>
      <w:r>
        <w:rPr>
          <w:lang w:val="en_US" w:bidi="en_US"/>
        </w:rPr>
        <w:t xml:space="preserve"> is passive. Notice that the examples above do not use passive verbs. Translate the clause in a natural way in your language.</w:t>
      </w:r>
    </w:p>
    <w:p>
      <w:pPr/>
      <w:r>
        <w:rPr>
          <w:lang w:val="en_US" w:bidi="en_US"/>
        </w:rPr>
      </w:r>
      <w:r>
        <w:rPr>
          <w:lang w:val="en_US" w:bidi="en_US"/>
        </w:rPr>
        <w:t>The context indicates that John would be “filled” during his entire life. This figure also occurs in 1:41b and 1:67a, but there the “filling” is momentary.</w:t>
      </w:r>
    </w:p>
    <w:p>
      <w:pPr/>
      <w:r>
        <w:rPr>
          <w:lang w:val="en_US" w:bidi="en_US"/>
        </w:rPr>
      </w:r>
      <w:r>
        <w:rPr>
          <w:b/>
          <w:lang w:val="en_US" w:bidi="en_US"/>
        </w:rPr>
        <w:t>the Holy Spirit:</w:t>
      </w:r>
      <w:r>
        <w:rPr>
          <w:lang w:val="en_US" w:bidi="en_US"/>
        </w:rPr>
        <w:t xml:space="preserve"> The Greek phrase that the BSB translates as </w:t>
      </w:r>
      <w:r>
        <w:rPr>
          <w:i/>
          <w:lang w:val="en_US" w:bidi="en_US"/>
        </w:rPr>
        <w:t>Holy Spirit</w:t>
      </w:r>
      <w:r>
        <w:rPr>
          <w:lang w:val="en_US" w:bidi="en_US"/>
        </w:rPr>
        <w:t xml:space="preserve"> refers to the Spirit of God. The </w:t>
      </w:r>
      <w:r>
        <w:rPr>
          <w:i/>
          <w:lang w:val="en_US" w:bidi="en_US"/>
        </w:rPr>
        <w:t>Holy Spirit</w:t>
      </w:r>
      <w:r>
        <w:rPr>
          <w:lang w:val="en_US" w:bidi="en_US"/>
        </w:rPr>
        <w:t xml:space="preserve"> is God, together with God the Father and God the Son. The </w:t>
      </w:r>
      <w:r>
        <w:rPr>
          <w:i/>
          <w:lang w:val="en_US" w:bidi="en_US"/>
        </w:rPr>
        <w:t>Holy Spirit</w:t>
      </w:r>
      <w:r>
        <w:rPr>
          <w:lang w:val="en_US" w:bidi="en_US"/>
        </w:rPr>
        <w:t xml:space="preserve"> is </w:t>
      </w:r>
      <w:r>
        <w:rPr>
          <w:i/>
          <w:lang w:val="en_US" w:bidi="en_US"/>
        </w:rPr>
        <w:t>Spirit</w:t>
      </w:r>
      <w:r>
        <w:rPr>
          <w:lang w:val="en_US" w:bidi="en_US"/>
        </w:rPr>
        <w:t xml:space="preserve"> in the sense that he is a living being who does not have a physical body. He is </w:t>
      </w:r>
      <w:r>
        <w:rPr>
          <w:i/>
          <w:lang w:val="en_US" w:bidi="en_US"/>
        </w:rPr>
        <w:t>Holy</w:t>
      </w:r>
      <w:r>
        <w:rPr>
          <w:lang w:val="en_US" w:bidi="en_US"/>
        </w:rPr>
        <w:t xml:space="preserve"> in the sense that he is divine. He is perfect in every way and is completely pure and sinless. Because of these qualities, he is worthy of awe.</w:t>
      </w:r>
    </w:p>
    <w:p>
      <w:pPr/>
      <w:r>
        <w:rPr>
          <w:lang w:val="en_US" w:bidi="en_US"/>
        </w:rPr>
      </w:r>
      <w:r>
        <w:rPr>
          <w:lang w:val="en_US" w:bidi="en_US"/>
        </w:rPr>
        <w:t xml:space="preserve">Some ways to translate </w:t>
      </w:r>
      <w:r>
        <w:rPr>
          <w:i/>
          <w:lang w:val="en_US" w:bidi="en_US"/>
        </w:rPr>
        <w:t>Holy Spirit</w:t>
      </w:r>
      <w:r>
        <w:rPr>
          <w:lang w:val="en_US" w:bidi="en_US"/>
        </w:rPr>
        <w:t xml:space="preserve"> are:</w:t>
      </w:r>
    </w:p>
    <w:p>
      <w:pPr/>
      <w:r>
        <w:rPr>
          <w:lang w:val="en_US" w:bidi="en_US"/>
        </w:rPr>
      </w:r>
      <w:r>
        <w:rPr>
          <w:lang w:val="en_US" w:bidi="en_US"/>
        </w:rPr>
        <w:t>Spirit/Breath of God</w:t>
      </w:r>
    </w:p>
    <w:p>
      <w:pPr/>
      <w:r>
        <w:rPr>
          <w:lang w:val="en_US" w:bidi="en_US"/>
        </w:rPr>
      </w:r>
      <w:r>
        <w:rPr>
          <w:lang w:val="en_US" w:bidi="en_US"/>
        </w:rPr>
        <w:t>Holy/Sacred Spirit</w:t>
      </w:r>
    </w:p>
    <w:p>
      <w:pPr/>
      <w:r>
        <w:rPr>
          <w:lang w:val="en_US" w:bidi="en_US"/>
        </w:rPr>
      </w:r>
      <w:r>
        <w:rPr>
          <w:lang w:val="en_US" w:bidi="en_US"/>
        </w:rPr>
        <w:t xml:space="preserve">Do not imply that the </w:t>
      </w:r>
      <w:r>
        <w:rPr>
          <w:i/>
          <w:lang w:val="en_US" w:bidi="en_US"/>
        </w:rPr>
        <w:t>Holy Spirit</w:t>
      </w:r>
      <w:r>
        <w:rPr>
          <w:lang w:val="en_US" w:bidi="en_US"/>
        </w:rPr>
        <w:t xml:space="preserve"> is like the ghost of a dead person or that God has died.</w:t>
      </w:r>
    </w:p>
    <w:p>
      <w:pPr/>
      <w:r>
        <w:rPr>
          <w:lang w:val="en_US" w:bidi="en_US"/>
        </w:rPr>
      </w:r>
      <w:r>
        <w:rPr>
          <w:lang w:val="en_US" w:bidi="en_US"/>
        </w:rPr>
        <w:t xml:space="preserve">See </w:t>
      </w:r>
      <w:r>
        <w:rPr>
          <w:u w:val="single"/>
          <w:lang w:val="en_US" w:bidi="en_US"/>
        </w:rPr>
        <w:t>holy, sense A2</w:t>
      </w:r>
      <w:r>
        <w:rPr>
          <w:lang w:val="en_US" w:bidi="en_US"/>
        </w:rPr>
        <w:t>, in KBT.</w:t>
      </w:r>
    </w:p>
    <w:p>
      <w:pPr/>
      <w:r>
        <w:rPr>
          <w:lang w:val="en_US" w:bidi="en_US"/>
        </w:rPr>
      </w:r>
      <w:r>
        <w:rPr>
          <w:b/>
          <w:lang w:val="en_US" w:bidi="en_US"/>
        </w:rPr>
        <w:t>even from his mother’s womb:</w:t>
      </w:r>
      <w:r>
        <w:rPr>
          <w:lang w:val="en_US" w:bidi="en_US"/>
        </w:rPr>
        <w:t xml:space="preserve"> The Greek phrase that the BSB translates as </w:t>
      </w:r>
      <w:r>
        <w:rPr>
          <w:i/>
          <w:lang w:val="en_US" w:bidi="en_US"/>
        </w:rPr>
        <w:t>even from his mother’s womb</w:t>
      </w:r>
      <w:r>
        <w:rPr>
          <w:lang w:val="en_US" w:bidi="en_US"/>
        </w:rPr>
        <w:t xml:space="preserve"> is literally “even from/out-of his mother’s womb/belly.” Scholars interpret the phrase “from his mother’s womb” in one of two ways:</w:t>
      </w:r>
    </w:p>
    <w:p>
      <w:pPr>
        <w:pStyle w:val="ListNumber"/>
        <w:numPr>
          <w:ilvl w:val="0"/>
          <w:numId w:val="20"/>
        </w:numPr>
        <w:spacing w:line="240" w:lineRule="auto"/>
        <w:ind w:left="720"/>
      </w:pPr>
      <w:r>
        <w:rPr>
          <w:lang w:val="en_US" w:bidi="en_US"/>
        </w:rPr>
      </w:r>
      <w:r>
        <w:rPr>
          <w:lang w:val="en_US" w:bidi="en_US"/>
        </w:rPr>
        <w:t xml:space="preserve">It refers to the time </w:t>
      </w:r>
      <w:r>
        <w:rPr>
          <w:u w:val="single"/>
          <w:lang w:val="en_US" w:bidi="en_US"/>
        </w:rPr>
        <w:t>when John was in his mother’s womb</w:t>
      </w:r>
      <w:r>
        <w:rPr>
          <w:lang w:val="en_US" w:bidi="en_US"/>
        </w:rPr>
        <w:t>. This means before he was born. For example:</w:t>
      </w:r>
      <w:r>
        <w:rPr>
          <w:lang w:val="en_US" w:bidi="en_US"/>
        </w:rPr>
        <w:t xml:space="preserve">while yet in his mother’s womb (NASB) </w:t>
      </w:r>
      <w:r>
        <w:rPr>
          <w:i/>
          <w:lang w:val="en_US" w:bidi="en_US"/>
        </w:rPr>
        <w:t>(BSB, RSV, NASB, NET, GW, NLT)</w:t>
      </w:r>
    </w:p>
    <w:p>
      <w:pPr>
        <w:pStyle w:val="ListNumber"/>
        <w:spacing w:line="240" w:lineRule="auto"/>
        <w:ind w:left="720"/>
      </w:pPr>
      <w:r>
        <w:rPr>
          <w:lang w:val="en_US" w:bidi="en_US"/>
        </w:rPr>
      </w:r>
      <w:r>
        <w:rPr>
          <w:lang w:val="en_US" w:bidi="en_US"/>
        </w:rPr>
        <w:t xml:space="preserve">It refers to the time </w:t>
      </w:r>
      <w:r>
        <w:rPr>
          <w:u w:val="single"/>
          <w:lang w:val="en_US" w:bidi="en_US"/>
        </w:rPr>
        <w:t>when John was born</w:t>
      </w:r>
      <w:r>
        <w:rPr>
          <w:lang w:val="en_US" w:bidi="en_US"/>
        </w:rPr>
        <w:t>. For example:</w:t>
      </w:r>
      <w:r>
        <w:rPr>
          <w:lang w:val="en_US" w:bidi="en_US"/>
        </w:rPr>
        <w:t xml:space="preserve">From his very birth (GNT) </w:t>
      </w:r>
      <w:r>
        <w:rPr>
          <w:i/>
          <w:lang w:val="en_US" w:bidi="en_US"/>
        </w:rPr>
        <w:t>(NIV, GNT, REB, NCV, CEV, JBP)</w:t>
      </w:r>
    </w:p>
    <w:p>
      <w:pPr/>
      <w:r>
        <w:rPr>
          <w:lang w:val="en_US" w:bidi="en_US"/>
        </w:rPr>
      </w:r>
      <w:r>
        <w:rPr>
          <w:lang w:val="en_US" w:bidi="en_US"/>
        </w:rPr>
        <w:t>English versions that use the phrase “from his mother’s womb” are somewhat ambiguous (NJB, KJV, RSV).</w:t>
      </w:r>
      <w:r>
        <w:rPr>
          <w:lang w:val="en_US" w:bidi="en_US"/>
        </w:rPr>
        <w:t>English speakers disagree about the meaning of this English phrase.</w:t>
      </w:r>
      <w:r>
        <w:rPr>
          <w:lang w:val="en_US" w:bidi="en_US"/>
        </w:rPr>
        <w:t xml:space="preserve"> In some languages it may be possible to use a general expression that could be interpreted in either way. If that is true in your language, it is good to use that term. If you must choose one of the interpretations, it is recommended that you follow interpretation (1).</w:t>
      </w:r>
      <w:r>
        <w:rPr>
          <w:lang w:val="en_US" w:bidi="en_US"/>
        </w:rPr>
        <w:t xml:space="preserve">There is support for both views in English versions and commentaries. However, a majority of commentaries favor the view that John would be filled with the Holy Spirit even before his birth. While Luke 1:41 (“When Elizabeth heard Mary’s greeting, the baby leaped in her womb”) does not prove this interpretation, it does support it. The Greek expression </w:t>
      </w:r>
      <w:r>
        <w:rPr>
          <w:i/>
          <w:lang w:val="en_US" w:bidi="en_US"/>
        </w:rPr>
        <w:t>ἐκ κοιλίας μητρὸς</w:t>
      </w:r>
      <w:r>
        <w:rPr>
          <w:lang w:val="en_US" w:bidi="en_US"/>
        </w:rPr>
        <w:t xml:space="preserve"> is fairly common in the Septuagint and NT and can mean either “from birth” (Job 1:21, Isaiah 48:8) or “from the womb” (Isaiah 44:2).</w:t>
      </w:r>
      <w:r>
        <w:rPr>
          <w:lang w:val="en_US" w:bidi="en_US"/>
        </w:rPr>
      </w:r>
      <w:r>
        <w:rPr>
          <w:lang w:val="en_US" w:bidi="en_US"/>
        </w:rPr>
      </w:r>
    </w:p>
    <w:p>
      <w:pPr/>
      <w:r>
        <w:rPr>
          <w:lang w:val="en_US" w:bidi="en_US"/>
        </w:rPr>
      </w:r>
    </w:p>
    <w:p>
      <w:pPr>
        <w:pStyle w:val="Heading2"/>
      </w:pPr>
      <w:r>
        <w:rPr>
          <w:lang w:val="en_US" w:bidi="en_US"/>
        </w:rPr>
        <w:t>Luke 1:16</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4"/>
      </w:pPr>
      <w:r>
        <w:rPr>
          <w:lang w:val="en_US" w:bidi="en_US"/>
        </w:rPr>
        <w:t>Paragraph 1:11–17</w:t>
      </w:r>
    </w:p>
    <w:p>
      <w:pPr/>
      <w:r>
        <w:rPr>
          <w:lang w:val="en_US" w:bidi="en_US"/>
        </w:rPr>
      </w:r>
      <w:r>
        <w:rPr>
          <w:lang w:val="en_US" w:bidi="en_US"/>
        </w:rPr>
        <w:t>In this paragraph, Luke began to tell the main events of this section after he gave the background information in 1:5–10. Introduce this paragraph in a natural way in your language.</w:t>
      </w:r>
    </w:p>
    <w:p>
      <w:pPr>
        <w:pStyle w:val="Heading5"/>
      </w:pPr>
      <w:r>
        <w:rPr>
          <w:lang w:val="en_US" w:bidi="en_US"/>
        </w:rPr>
        <w:t>1:16</w:t>
      </w:r>
    </w:p>
    <w:p>
      <w:pPr/>
      <w:r>
        <w:rPr>
          <w:lang w:val="en_US" w:bidi="en_US"/>
        </w:rPr>
      </w:r>
      <w:r>
        <w:rPr>
          <w:b/>
          <w:lang w:val="en_US" w:bidi="en_US"/>
        </w:rPr>
        <w:t>Many of the sons of Israel he will turn back to the Lord their God.</w:t>
      </w:r>
    </w:p>
    <w:p>
      <w:pPr>
        <w:pStyle w:val="ListBullet"/>
        <w:spacing w:line="240" w:lineRule="auto"/>
        <w:ind w:left="720"/>
      </w:pPr>
      <w:r>
        <w:rPr>
          <w:lang w:val="en_US" w:bidi="en_US"/>
        </w:rPr>
      </w:r>
      <w:r>
        <w:rPr>
          <w:lang w:val="en_US" w:bidi="en_US"/>
        </w:rPr>
        <w:t>He will lead many Israelites back to the Lord their God.</w:t>
      </w:r>
    </w:p>
    <w:p>
      <w:pPr>
        <w:pStyle w:val="ListBullet"/>
        <w:spacing w:line="240" w:lineRule="auto"/>
        <w:ind w:left="720"/>
      </w:pPr>
      <w:r>
        <w:rPr>
          <w:lang w:val="en_US" w:bidi="en_US"/>
        </w:rPr>
      </w:r>
      <w:r>
        <w:rPr>
          <w:lang w:val="en_US" w:bidi="en_US"/>
        </w:rPr>
        <w:t xml:space="preserve">He will cause/persuade many of the Israelite people to </w:t>
      </w:r>
      <w:r>
        <w:rPr>
          <w:lang w:val="en_US" w:bidi="en_US"/>
        </w:rPr>
        <w:t>stop sinning and</w:t>
      </w:r>
      <w:r>
        <w:rPr>
          <w:lang w:val="en_US" w:bidi="en_US"/>
        </w:rPr>
        <w:t xml:space="preserve"> follow/obey the Lord their God again.</w:t>
      </w:r>
    </w:p>
    <w:p>
      <w:pPr>
        <w:pStyle w:val="ListBullet"/>
        <w:spacing w:line="240" w:lineRule="auto"/>
        <w:ind w:left="720"/>
      </w:pPr>
      <w:r>
        <w:rPr>
          <w:lang w:val="en_US" w:bidi="en_US"/>
        </w:rPr>
      </w:r>
      <w:r>
        <w:rPr>
          <w:lang w:val="en_US" w:bidi="en_US"/>
        </w:rPr>
        <w:t xml:space="preserve">He will help many Israelite people to </w:t>
      </w:r>
      <w:r>
        <w:rPr>
          <w:lang w:val="en_US" w:bidi="en_US"/>
        </w:rPr>
        <w:t>repent from their sins and</w:t>
      </w:r>
      <w:r>
        <w:rPr>
          <w:lang w:val="en_US" w:bidi="en_US"/>
        </w:rPr>
        <w:t xml:space="preserve"> serve/worship the Lord their God again.</w:t>
      </w:r>
    </w:p>
    <w:p>
      <w:pPr/>
      <w:r>
        <w:rPr>
          <w:lang w:val="en_US" w:bidi="en_US"/>
        </w:rPr>
      </w:r>
      <w:r>
        <w:rPr>
          <w:b/>
          <w:lang w:val="en_US" w:bidi="en_US"/>
        </w:rPr>
        <w:t>the sons of Israel:</w:t>
      </w:r>
      <w:r>
        <w:rPr>
          <w:lang w:val="en_US" w:bidi="en_US"/>
        </w:rPr>
        <w:t xml:space="preserve"> The Greek phrase that the BSB translates as </w:t>
      </w:r>
      <w:r>
        <w:rPr>
          <w:i/>
          <w:lang w:val="en_US" w:bidi="en_US"/>
        </w:rPr>
        <w:t>the sons of Israel</w:t>
      </w:r>
      <w:r>
        <w:rPr>
          <w:lang w:val="en_US" w:bidi="en_US"/>
        </w:rPr>
        <w:t xml:space="preserve"> does not refer only to males but to both male and female descendants of Israel.</w:t>
      </w:r>
    </w:p>
    <w:p>
      <w:pPr/>
      <w:r>
        <w:rPr>
          <w:lang w:val="en_US" w:bidi="en_US"/>
        </w:rPr>
      </w:r>
      <w:r>
        <w:rPr>
          <w:lang w:val="en_US" w:bidi="en_US"/>
        </w:rPr>
        <w:t>Notice that Zechariah himself was a Jew, one of the people of Israel. So in some languages, you may need to say something like:</w:t>
      </w:r>
    </w:p>
    <w:p>
      <w:pPr/>
      <w:r>
        <w:rPr>
          <w:lang w:val="en_US" w:bidi="en_US"/>
        </w:rPr>
      </w:r>
      <w:r>
        <w:rPr>
          <w:lang w:val="en_US" w:bidi="en_US"/>
        </w:rPr>
        <w:t>your</w:t>
      </w:r>
      <w:r>
        <w:rPr>
          <w:vertAlign w:val="superscript"/>
          <w:lang w:val="en_US" w:bidi="en_US"/>
        </w:rPr>
        <w:t>(sing)</w:t>
      </w:r>
      <w:r>
        <w:rPr>
          <w:lang w:val="en_US" w:bidi="en_US"/>
        </w:rPr>
        <w:t xml:space="preserve"> people the Israelites</w:t>
      </w:r>
    </w:p>
    <w:p>
      <w:pPr/>
      <w:r>
        <w:rPr>
          <w:lang w:val="en_US" w:bidi="en_US"/>
        </w:rPr>
      </w:r>
      <w:r>
        <w:rPr>
          <w:b/>
          <w:lang w:val="en_US" w:bidi="en_US"/>
        </w:rPr>
        <w:t>he will turn back:</w:t>
      </w:r>
      <w:r>
        <w:rPr>
          <w:lang w:val="en_US" w:bidi="en_US"/>
        </w:rPr>
        <w:t xml:space="preserve"> The Greek verb that the BSB translates as </w:t>
      </w:r>
      <w:r>
        <w:rPr>
          <w:i/>
          <w:lang w:val="en_US" w:bidi="en_US"/>
        </w:rPr>
        <w:t>he will turn back</w:t>
      </w:r>
      <w:r>
        <w:rPr>
          <w:lang w:val="en_US" w:bidi="en_US"/>
        </w:rPr>
        <w:t xml:space="preserve"> means “he will cause to return.” In this context it is used in a spiritual sense: John would persuade many people to repent from their sins and to obey God again. John would cause them to do this by telling them messages from God.</w:t>
      </w:r>
    </w:p>
    <w:p>
      <w:pPr/>
      <w:r>
        <w:rPr>
          <w:lang w:val="en_US" w:bidi="en_US"/>
        </w:rPr>
      </w:r>
      <w:r>
        <w:rPr>
          <w:b/>
          <w:lang w:val="en_US" w:bidi="en_US"/>
        </w:rPr>
        <w:t>the Lord their God:</w:t>
      </w:r>
      <w:r>
        <w:rPr>
          <w:lang w:val="en_US" w:bidi="en_US"/>
        </w:rPr>
        <w:t xml:space="preserve"> Since Zechariah was himself an Israelite, in some languages it may be necessary to say:</w:t>
      </w:r>
    </w:p>
    <w:p>
      <w:pPr/>
      <w:r>
        <w:rPr>
          <w:lang w:val="en_US" w:bidi="en_US"/>
        </w:rPr>
      </w:r>
      <w:r>
        <w:rPr>
          <w:lang w:val="en_US" w:bidi="en_US"/>
        </w:rPr>
        <w:t>the Lord your</w:t>
      </w:r>
      <w:r>
        <w:rPr>
          <w:vertAlign w:val="superscript"/>
          <w:lang w:val="en_US" w:bidi="en_US"/>
        </w:rPr>
        <w:t>(plur)</w:t>
      </w:r>
      <w:r>
        <w:rPr>
          <w:lang w:val="en_US" w:bidi="en_US"/>
        </w:rPr>
        <w:t xml:space="preserve"> God</w:t>
      </w:r>
      <w:r>
        <w:rPr>
          <w:lang w:val="en_US" w:bidi="en_US"/>
        </w:rPr>
      </w:r>
      <w:r>
        <w:rPr>
          <w:lang w:val="en_US" w:bidi="en_US"/>
        </w:rPr>
      </w:r>
    </w:p>
    <w:p>
      <w:pPr/>
      <w:r>
        <w:rPr>
          <w:lang w:val="en_US" w:bidi="en_US"/>
        </w:rPr>
      </w:r>
    </w:p>
    <w:p>
      <w:pPr>
        <w:pStyle w:val="Heading2"/>
      </w:pPr>
      <w:r>
        <w:rPr>
          <w:lang w:val="en_US" w:bidi="en_US"/>
        </w:rPr>
        <w:t>Luke 1:17</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4"/>
      </w:pPr>
      <w:r>
        <w:rPr>
          <w:lang w:val="en_US" w:bidi="en_US"/>
        </w:rPr>
        <w:t>Paragraph 1:11–17</w:t>
      </w:r>
    </w:p>
    <w:p>
      <w:pPr/>
      <w:r>
        <w:rPr>
          <w:lang w:val="en_US" w:bidi="en_US"/>
        </w:rPr>
      </w:r>
      <w:r>
        <w:rPr>
          <w:lang w:val="en_US" w:bidi="en_US"/>
        </w:rPr>
        <w:t>In this paragraph, Luke began to tell the main events of this section after he gave the background information in 1:5–10. Introduce this paragraph in a natural way in your language.</w:t>
      </w:r>
    </w:p>
    <w:p>
      <w:pPr>
        <w:pStyle w:val="Heading5"/>
      </w:pPr>
      <w:r>
        <w:rPr>
          <w:lang w:val="en_US" w:bidi="en_US"/>
        </w:rPr>
        <w:t>1:17</w:t>
      </w:r>
    </w:p>
    <w:p>
      <w:pPr/>
      <w:r>
        <w:rPr>
          <w:lang w:val="en_US" w:bidi="en_US"/>
        </w:rPr>
      </w:r>
      <w:r>
        <w:rPr>
          <w:lang w:val="en_US" w:bidi="en_US"/>
        </w:rPr>
        <w:t>Scholars have different opinions about the way the parts of this verse relate to each other. Here is one of the main views about how the parts of 1:17 function:</w:t>
      </w:r>
    </w:p>
    <w:p>
      <w:pPr/>
      <w:r>
        <w:rPr>
          <w:lang w:val="en_US" w:bidi="en_US"/>
        </w:rPr>
      </w:r>
      <w:r>
        <w:rPr>
          <w:vertAlign w:val="superscript"/>
          <w:lang w:val="en_US" w:bidi="en_US"/>
        </w:rPr>
        <w:t>17a–b</w:t>
      </w:r>
      <w:r>
        <w:rPr>
          <w:lang w:val="en_US" w:bidi="en_US"/>
        </w:rPr>
        <w:t>John will go on before the Lord…(main clause)</w:t>
      </w:r>
    </w:p>
    <w:p>
      <w:pPr/>
      <w:r>
        <w:rPr>
          <w:lang w:val="en_US" w:bidi="en_US"/>
        </w:rPr>
      </w:r>
      <w:r>
        <w:rPr>
          <w:vertAlign w:val="superscript"/>
          <w:lang w:val="en_US" w:bidi="en_US"/>
        </w:rPr>
        <w:t>17c</w:t>
      </w:r>
      <w:r>
        <w:rPr>
          <w:lang w:val="en_US" w:bidi="en_US"/>
        </w:rPr>
        <w:t xml:space="preserve"> </w:t>
      </w:r>
      <w:r>
        <w:rPr>
          <w:lang w:val="en_US" w:bidi="en_US"/>
        </w:rPr>
        <w:t>in order</w:t>
      </w:r>
      <w:r>
        <w:rPr>
          <w:lang w:val="en_US" w:bidi="en_US"/>
        </w:rPr>
        <w:t xml:space="preserve"> to turn the hearts of the fathers to their children, (purpose)</w:t>
      </w:r>
    </w:p>
    <w:p>
      <w:pPr/>
      <w:r>
        <w:rPr>
          <w:lang w:val="en_US" w:bidi="en_US"/>
        </w:rPr>
      </w:r>
      <w:r>
        <w:rPr>
          <w:vertAlign w:val="superscript"/>
          <w:lang w:val="en_US" w:bidi="en_US"/>
        </w:rPr>
        <w:t>17d</w:t>
      </w:r>
      <w:r>
        <w:rPr>
          <w:lang w:val="en_US" w:bidi="en_US"/>
        </w:rPr>
        <w:t xml:space="preserve"> </w:t>
      </w:r>
      <w:r>
        <w:rPr>
          <w:lang w:val="en_US" w:bidi="en_US"/>
        </w:rPr>
        <w:t>and in order to turn</w:t>
      </w:r>
      <w:r>
        <w:rPr>
          <w:lang w:val="en_US" w:bidi="en_US"/>
        </w:rPr>
        <w:t xml:space="preserve"> the disobedient to the wisdom of the righteous. (another purpose)</w:t>
      </w:r>
    </w:p>
    <w:p>
      <w:pPr/>
      <w:r>
        <w:rPr>
          <w:lang w:val="en_US" w:bidi="en_US"/>
        </w:rPr>
      </w:r>
      <w:r>
        <w:rPr>
          <w:vertAlign w:val="superscript"/>
          <w:lang w:val="en_US" w:bidi="en_US"/>
        </w:rPr>
        <w:t>17e</w:t>
      </w:r>
      <w:r>
        <w:rPr>
          <w:lang w:val="en_US" w:bidi="en_US"/>
        </w:rPr>
        <w:t xml:space="preserve"> </w:t>
      </w:r>
      <w:r>
        <w:rPr>
          <w:lang w:val="en_US" w:bidi="en_US"/>
        </w:rPr>
        <w:t>He will do all this in order</w:t>
      </w:r>
      <w:r>
        <w:rPr>
          <w:lang w:val="en_US" w:bidi="en_US"/>
        </w:rPr>
        <w:t xml:space="preserve"> to make ready a people prepared for the Lord. (main purpose of all of John’s work)</w:t>
      </w:r>
    </w:p>
    <w:p>
      <w:pPr>
        <w:pStyle w:val="Heading5"/>
      </w:pPr>
      <w:r>
        <w:rPr>
          <w:lang w:val="en_US" w:bidi="en_US"/>
        </w:rPr>
        <w:t>1:17a</w:t>
      </w:r>
    </w:p>
    <w:p>
      <w:pPr/>
      <w:r>
        <w:rPr>
          <w:lang w:val="en_US" w:bidi="en_US"/>
        </w:rPr>
      </w:r>
      <w:r>
        <w:rPr>
          <w:b/>
          <w:lang w:val="en_US" w:bidi="en_US"/>
        </w:rPr>
        <w:t>And he will go on before the Lord</w:t>
      </w:r>
    </w:p>
    <w:p>
      <w:pPr>
        <w:pStyle w:val="ListBullet"/>
        <w:spacing w:line="240" w:lineRule="auto"/>
        <w:ind w:left="720"/>
      </w:pPr>
      <w:r>
        <w:rPr>
          <w:lang w:val="en_US" w:bidi="en_US"/>
        </w:rPr>
      </w:r>
      <w:r>
        <w:rPr>
          <w:lang w:val="en_US" w:bidi="en_US"/>
        </w:rPr>
        <w:t xml:space="preserve">John will come </w:t>
      </w:r>
      <w:r>
        <w:rPr>
          <w:lang w:val="en_US" w:bidi="en_US"/>
        </w:rPr>
        <w:t>as a forerunner</w:t>
      </w:r>
      <w:r>
        <w:rPr>
          <w:lang w:val="en_US" w:bidi="en_US"/>
        </w:rPr>
        <w:t xml:space="preserve"> for the Lord</w:t>
      </w:r>
    </w:p>
    <w:p>
      <w:pPr>
        <w:pStyle w:val="ListBullet"/>
        <w:spacing w:line="240" w:lineRule="auto"/>
        <w:ind w:left="720"/>
      </w:pPr>
      <w:r>
        <w:rPr>
          <w:lang w:val="en_US" w:bidi="en_US"/>
        </w:rPr>
      </w:r>
      <w:r>
        <w:rPr>
          <w:lang w:val="en_US" w:bidi="en_US"/>
        </w:rPr>
        <w:t xml:space="preserve">John will go/come ahead of the Lord </w:t>
      </w:r>
      <w:r>
        <w:rPr>
          <w:lang w:val="en_US" w:bidi="en_US"/>
        </w:rPr>
        <w:t>as his herald</w:t>
      </w:r>
      <w:r>
        <w:rPr>
          <w:lang w:val="en_US" w:bidi="en_US"/>
        </w:rPr>
        <w:t>.</w:t>
      </w:r>
    </w:p>
    <w:p>
      <w:pPr/>
      <w:r>
        <w:rPr>
          <w:lang w:val="en_US" w:bidi="en_US"/>
        </w:rPr>
      </w:r>
      <w:r>
        <w:rPr>
          <w:b/>
          <w:lang w:val="en_US" w:bidi="en_US"/>
        </w:rPr>
        <w:t>And he will go on before the Lord:</w:t>
      </w:r>
      <w:r>
        <w:rPr>
          <w:lang w:val="en_US" w:bidi="en_US"/>
        </w:rPr>
        <w:t xml:space="preserve"> In the clause </w:t>
      </w:r>
      <w:r>
        <w:rPr>
          <w:i/>
          <w:lang w:val="en_US" w:bidi="en_US"/>
        </w:rPr>
        <w:t>he will go on before the Lord</w:t>
      </w:r>
      <w:r>
        <w:rPr>
          <w:lang w:val="en_US" w:bidi="en_US"/>
        </w:rPr>
        <w:t xml:space="preserve">, the pronoun </w:t>
      </w:r>
      <w:r>
        <w:rPr>
          <w:i/>
          <w:lang w:val="en_US" w:bidi="en_US"/>
        </w:rPr>
        <w:t>he</w:t>
      </w:r>
      <w:r>
        <w:rPr>
          <w:lang w:val="en_US" w:bidi="en_US"/>
        </w:rPr>
        <w:t xml:space="preserve"> refers to John. The </w:t>
      </w:r>
      <w:r>
        <w:rPr>
          <w:i/>
          <w:lang w:val="en_US" w:bidi="en_US"/>
        </w:rPr>
        <w:t>Lord</w:t>
      </w:r>
      <w:r>
        <w:rPr>
          <w:lang w:val="en_US" w:bidi="en_US"/>
        </w:rPr>
        <w:t xml:space="preserve"> here refers to “the Lord their God” (1:16), who would come in the person of the Messiah, Jesus. This clause implies that:</w:t>
      </w:r>
    </w:p>
    <w:p>
      <w:pPr>
        <w:pStyle w:val="ListNumber"/>
        <w:numPr>
          <w:ilvl w:val="0"/>
          <w:numId w:val="21"/>
        </w:numPr>
        <w:spacing w:line="240" w:lineRule="auto"/>
        <w:ind w:left="720"/>
      </w:pPr>
      <w:r>
        <w:rPr>
          <w:lang w:val="en_US" w:bidi="en_US"/>
        </w:rPr>
      </w:r>
      <w:r>
        <w:rPr>
          <w:lang w:val="en_US" w:bidi="en_US"/>
        </w:rPr>
        <w:t>John will appear in public before the Lord Jesus appears.</w:t>
      </w:r>
    </w:p>
    <w:p>
      <w:pPr>
        <w:pStyle w:val="ListNumber"/>
        <w:spacing w:line="240" w:lineRule="auto"/>
        <w:ind w:left="720"/>
      </w:pPr>
      <w:r>
        <w:rPr>
          <w:lang w:val="en_US" w:bidi="en_US"/>
        </w:rPr>
      </w:r>
      <w:r>
        <w:rPr>
          <w:lang w:val="en_US" w:bidi="en_US"/>
        </w:rPr>
        <w:t>John will announce that the Lord is coming and prepare his way.</w:t>
      </w:r>
    </w:p>
    <w:p>
      <w:pPr/>
      <w:r>
        <w:rPr>
          <w:lang w:val="en_US" w:bidi="en_US"/>
        </w:rPr>
      </w:r>
      <w:r>
        <w:rPr>
          <w:lang w:val="en_US" w:bidi="en_US"/>
        </w:rPr>
        <w:t>Some ways to translate this are:</w:t>
      </w:r>
    </w:p>
    <w:p>
      <w:pPr/>
      <w:r>
        <w:rPr>
          <w:lang w:val="en_US" w:bidi="en_US"/>
        </w:rPr>
      </w:r>
      <w:r>
        <w:rPr>
          <w:lang w:val="en_US" w:bidi="en_US"/>
        </w:rPr>
        <w:t>He will go before him as forerunner… (REB)</w:t>
      </w:r>
    </w:p>
    <w:p>
      <w:pPr/>
      <w:r>
        <w:rPr>
          <w:lang w:val="en_US" w:bidi="en_US"/>
        </w:rPr>
      </w:r>
      <w:r>
        <w:rPr>
          <w:lang w:val="en_US" w:bidi="en_US"/>
        </w:rPr>
        <w:t>He will precede the coming of the Lord… (NLT96)</w:t>
      </w:r>
    </w:p>
    <w:p>
      <w:pPr/>
      <w:r>
        <w:rPr>
          <w:lang w:val="en_US" w:bidi="en_US"/>
        </w:rPr>
      </w:r>
      <w:r>
        <w:rPr>
          <w:lang w:val="en_US" w:bidi="en_US"/>
        </w:rPr>
        <w:t>He will prepare the people for the coming of the Lord. (NLT)</w:t>
      </w:r>
    </w:p>
    <w:p>
      <w:pPr/>
      <w:r>
        <w:rPr>
          <w:lang w:val="en_US" w:bidi="en_US"/>
        </w:rPr>
      </w:r>
      <w:r>
        <w:rPr>
          <w:lang w:val="en_US" w:bidi="en_US"/>
        </w:rPr>
        <w:t>The phrase “before the Lord” was also used in 1:15a, but with a different meaning.</w:t>
      </w:r>
    </w:p>
    <w:p>
      <w:pPr>
        <w:pStyle w:val="Heading5"/>
      </w:pPr>
      <w:r>
        <w:rPr>
          <w:lang w:val="en_US" w:bidi="en_US"/>
        </w:rPr>
        <w:t>1:17b</w:t>
      </w:r>
    </w:p>
    <w:p>
      <w:pPr/>
      <w:r>
        <w:rPr>
          <w:lang w:val="en_US" w:bidi="en_US"/>
        </w:rPr>
      </w:r>
      <w:r>
        <w:rPr>
          <w:b/>
          <w:lang w:val="en_US" w:bidi="en_US"/>
        </w:rPr>
        <w:t>in the spirit and power of Elijah,</w:t>
      </w:r>
    </w:p>
    <w:p>
      <w:pPr>
        <w:pStyle w:val="ListBullet"/>
        <w:spacing w:line="240" w:lineRule="auto"/>
        <w:ind w:left="720"/>
      </w:pPr>
      <w:r>
        <w:rPr>
          <w:lang w:val="en_US" w:bidi="en_US"/>
        </w:rPr>
      </w:r>
      <w:r>
        <w:rPr>
          <w:lang w:val="en_US" w:bidi="en_US"/>
        </w:rPr>
        <w:t>with the same power and spirit that Elijah had. (CEV)</w:t>
      </w:r>
    </w:p>
    <w:p>
      <w:pPr>
        <w:pStyle w:val="ListBullet"/>
        <w:spacing w:line="240" w:lineRule="auto"/>
        <w:ind w:left="720"/>
      </w:pPr>
      <w:r>
        <w:rPr>
          <w:lang w:val="en_US" w:bidi="en_US"/>
        </w:rPr>
      </w:r>
      <w:r>
        <w:rPr>
          <w:lang w:val="en_US" w:bidi="en_US"/>
        </w:rPr>
        <w:t xml:space="preserve">He will have the </w:t>
      </w:r>
      <w:r>
        <w:rPr>
          <w:lang w:val="en_US" w:bidi="en_US"/>
        </w:rPr>
        <w:t>same kind of</w:t>
      </w:r>
      <w:r>
        <w:rPr>
          <w:lang w:val="en_US" w:bidi="en_US"/>
        </w:rPr>
        <w:t xml:space="preserve"> character and power that Elijah </w:t>
      </w:r>
      <w:r>
        <w:rPr>
          <w:lang w:val="en_US" w:bidi="en_US"/>
        </w:rPr>
        <w:t>the prophet</w:t>
      </w:r>
      <w:r>
        <w:rPr>
          <w:lang w:val="en_US" w:bidi="en_US"/>
        </w:rPr>
        <w:t xml:space="preserve"> had,</w:t>
      </w:r>
    </w:p>
    <w:p>
      <w:pPr/>
      <w:r>
        <w:rPr>
          <w:lang w:val="en_US" w:bidi="en_US"/>
        </w:rPr>
      </w:r>
      <w:r>
        <w:rPr>
          <w:b/>
          <w:lang w:val="en_US" w:bidi="en_US"/>
        </w:rPr>
        <w:t>in the spirit and power of Elijah:</w:t>
      </w:r>
      <w:r>
        <w:rPr>
          <w:lang w:val="en_US" w:bidi="en_US"/>
        </w:rPr>
        <w:t xml:space="preserve"> The Greek expression that the BSB translates as </w:t>
      </w:r>
      <w:r>
        <w:rPr>
          <w:i/>
          <w:lang w:val="en_US" w:bidi="en_US"/>
        </w:rPr>
        <w:t>in the spirit and power of Elijah</w:t>
      </w:r>
      <w:r>
        <w:rPr>
          <w:lang w:val="en_US" w:bidi="en_US"/>
        </w:rPr>
        <w:t xml:space="preserve"> means that John would have the same kind of character and power that Elijah the prophet had. It does not indicate that Elijah’s personal spirit had returned in John.</w:t>
      </w:r>
    </w:p>
    <w:p>
      <w:pPr/>
      <w:r>
        <w:rPr>
          <w:lang w:val="en_US" w:bidi="en_US"/>
        </w:rPr>
      </w:r>
      <w:r>
        <w:rPr>
          <w:lang w:val="en_US" w:bidi="en_US"/>
        </w:rPr>
        <w:t>Some other ways to say this are:</w:t>
      </w:r>
    </w:p>
    <w:p>
      <w:pPr/>
      <w:r>
        <w:rPr>
          <w:lang w:val="en_US" w:bidi="en_US"/>
        </w:rPr>
      </w:r>
      <w:r>
        <w:rPr>
          <w:lang w:val="en_US" w:bidi="en_US"/>
        </w:rPr>
        <w:t>in spirit and power like Elijah (NCV)</w:t>
      </w:r>
    </w:p>
    <w:p>
      <w:pPr/>
      <w:r>
        <w:rPr>
          <w:lang w:val="en_US" w:bidi="en_US"/>
        </w:rPr>
      </w:r>
      <w:r>
        <w:rPr>
          <w:lang w:val="en_US" w:bidi="en_US"/>
        </w:rPr>
        <w:t>with the same kind of character and power that Elijah had</w:t>
      </w:r>
    </w:p>
    <w:p>
      <w:pPr/>
      <w:r>
        <w:rPr>
          <w:lang w:val="en_US" w:bidi="en_US"/>
        </w:rPr>
      </w:r>
      <w:r>
        <w:rPr>
          <w:b/>
          <w:lang w:val="en_US" w:bidi="en_US"/>
        </w:rPr>
        <w:t>spirit:</w:t>
      </w:r>
      <w:r>
        <w:rPr>
          <w:lang w:val="en_US" w:bidi="en_US"/>
        </w:rPr>
        <w:t xml:space="preserve"> The word </w:t>
      </w:r>
      <w:r>
        <w:rPr>
          <w:i/>
          <w:lang w:val="en_US" w:bidi="en_US"/>
        </w:rPr>
        <w:t>spirit</w:t>
      </w:r>
      <w:r>
        <w:rPr>
          <w:lang w:val="en_US" w:bidi="en_US"/>
        </w:rPr>
        <w:t xml:space="preserve"> here refers to Elijah’s character. John would be like Elijah in the way he thought and acted. He would be courageous and devoted to God, as Elijah was.</w:t>
      </w:r>
    </w:p>
    <w:p>
      <w:pPr/>
      <w:r>
        <w:rPr>
          <w:lang w:val="en_US" w:bidi="en_US"/>
        </w:rPr>
      </w:r>
      <w:r>
        <w:rPr>
          <w:b/>
          <w:lang w:val="en_US" w:bidi="en_US"/>
        </w:rPr>
        <w:t>power:</w:t>
      </w:r>
      <w:r>
        <w:rPr>
          <w:lang w:val="en_US" w:bidi="en_US"/>
        </w:rPr>
        <w:t xml:space="preserve"> The word </w:t>
      </w:r>
      <w:r>
        <w:rPr>
          <w:i/>
          <w:lang w:val="en_US" w:bidi="en_US"/>
        </w:rPr>
        <w:t>power</w:t>
      </w:r>
      <w:r>
        <w:rPr>
          <w:lang w:val="en_US" w:bidi="en_US"/>
        </w:rPr>
        <w:t xml:space="preserve"> refers to the powerful way Elijah acted. This </w:t>
      </w:r>
      <w:r>
        <w:rPr>
          <w:i/>
          <w:lang w:val="en_US" w:bidi="en_US"/>
        </w:rPr>
        <w:t>power</w:t>
      </w:r>
      <w:r>
        <w:rPr>
          <w:lang w:val="en_US" w:bidi="en_US"/>
        </w:rPr>
        <w:t xml:space="preserve"> refers mainly to spiritual ability, effectiveness, and influence. It does not refer only to physical strength, and it does not imply a harsh way of acting. John preached with ability and authority from God. He was effective in helping the people to repent.</w:t>
      </w:r>
    </w:p>
    <w:p>
      <w:pPr/>
      <w:r>
        <w:rPr>
          <w:lang w:val="en_US" w:bidi="en_US"/>
        </w:rPr>
      </w:r>
      <w:r>
        <w:rPr>
          <w:b/>
          <w:lang w:val="en_US" w:bidi="en_US"/>
        </w:rPr>
        <w:t>Elijah:</w:t>
      </w:r>
      <w:r>
        <w:rPr>
          <w:lang w:val="en_US" w:bidi="en_US"/>
        </w:rPr>
        <w:t xml:space="preserve"> </w:t>
      </w:r>
      <w:r>
        <w:rPr>
          <w:i/>
          <w:lang w:val="en_US" w:bidi="en_US"/>
        </w:rPr>
        <w:t>Elijah</w:t>
      </w:r>
      <w:r>
        <w:rPr>
          <w:lang w:val="en_US" w:bidi="en_US"/>
        </w:rPr>
        <w:t xml:space="preserve"> was a prophet in the Old Testament. The Jews expected </w:t>
      </w:r>
      <w:r>
        <w:rPr>
          <w:i/>
          <w:lang w:val="en_US" w:bidi="en_US"/>
        </w:rPr>
        <w:t>Elijah</w:t>
      </w:r>
      <w:r>
        <w:rPr>
          <w:lang w:val="en_US" w:bidi="en_US"/>
        </w:rPr>
        <w:t xml:space="preserve"> to return before the Messiah came (Malachi 4:5).</w:t>
      </w:r>
    </w:p>
    <w:p>
      <w:pPr>
        <w:pStyle w:val="Heading5"/>
      </w:pPr>
      <w:r>
        <w:rPr>
          <w:lang w:val="en_US" w:bidi="en_US"/>
        </w:rPr>
        <w:t>1:17c</w:t>
      </w:r>
    </w:p>
    <w:p>
      <w:pPr/>
      <w:r>
        <w:rPr>
          <w:lang w:val="en_US" w:bidi="en_US"/>
        </w:rPr>
      </w:r>
      <w:r>
        <w:rPr>
          <w:b/>
          <w:lang w:val="en_US" w:bidi="en_US"/>
        </w:rPr>
        <w:t>to turn the hearts of the fathers to their children</w:t>
      </w:r>
    </w:p>
    <w:p>
      <w:pPr>
        <w:pStyle w:val="ListBullet"/>
        <w:spacing w:line="240" w:lineRule="auto"/>
        <w:ind w:left="720"/>
      </w:pPr>
      <w:r>
        <w:rPr>
          <w:lang w:val="en_US" w:bidi="en_US"/>
        </w:rPr>
      </w:r>
      <w:r>
        <w:rPr>
          <w:lang w:val="en_US" w:bidi="en_US"/>
        </w:rPr>
        <w:t>He will</w:t>
      </w:r>
      <w:r>
        <w:rPr>
          <w:lang w:val="en_US" w:bidi="en_US"/>
        </w:rPr>
        <w:t xml:space="preserve"> reconcile fathers to their children</w:t>
      </w:r>
    </w:p>
    <w:p>
      <w:pPr>
        <w:pStyle w:val="ListBullet"/>
        <w:spacing w:line="240" w:lineRule="auto"/>
        <w:ind w:left="720"/>
      </w:pPr>
      <w:r>
        <w:rPr>
          <w:lang w:val="en_US" w:bidi="en_US"/>
        </w:rPr>
      </w:r>
      <w:r>
        <w:rPr>
          <w:lang w:val="en_US" w:bidi="en_US"/>
        </w:rPr>
        <w:t>and he will</w:t>
      </w:r>
      <w:r>
        <w:rPr>
          <w:lang w:val="en_US" w:bidi="en_US"/>
        </w:rPr>
        <w:t xml:space="preserve"> convince/cause fathers to be caring/devoted to their children </w:t>
      </w:r>
      <w:r>
        <w:rPr>
          <w:lang w:val="en_US" w:bidi="en_US"/>
        </w:rPr>
        <w:t>again</w:t>
      </w:r>
      <w:r>
        <w:rPr>
          <w:lang w:val="en_US" w:bidi="en_US"/>
        </w:rPr>
        <w:t>.</w:t>
      </w:r>
    </w:p>
    <w:p>
      <w:pPr/>
      <w:r>
        <w:rPr>
          <w:lang w:val="en_US" w:bidi="en_US"/>
        </w:rPr>
      </w:r>
      <w:r>
        <w:rPr>
          <w:b/>
          <w:lang w:val="en_US" w:bidi="en_US"/>
        </w:rPr>
        <w:t>to turn the hearts of the fathers to their children:</w:t>
      </w:r>
      <w:r>
        <w:rPr>
          <w:lang w:val="en_US" w:bidi="en_US"/>
        </w:rPr>
        <w:t xml:space="preserve"> The clause </w:t>
      </w:r>
      <w:r>
        <w:rPr>
          <w:i/>
          <w:lang w:val="en_US" w:bidi="en_US"/>
        </w:rPr>
        <w:t>to turn the hearts of the fathers to their children</w:t>
      </w:r>
      <w:r>
        <w:rPr>
          <w:lang w:val="en_US" w:bidi="en_US"/>
        </w:rPr>
        <w:t xml:space="preserve"> is an idiom. It means “to cause fathers to be reconciled to their children.” This was one of the purposes of John’s work.</w:t>
      </w:r>
    </w:p>
    <w:p>
      <w:pPr/>
      <w:r>
        <w:rPr>
          <w:lang w:val="en_US" w:bidi="en_US"/>
        </w:rPr>
      </w:r>
      <w:r>
        <w:rPr>
          <w:lang w:val="en_US" w:bidi="en_US"/>
        </w:rPr>
        <w:t>This part of the verse quotes part of Malachi 4:6.</w:t>
      </w:r>
    </w:p>
    <w:p>
      <w:pPr/>
      <w:r>
        <w:rPr>
          <w:lang w:val="en_US" w:bidi="en_US"/>
        </w:rPr>
      </w:r>
      <w:r>
        <w:rPr>
          <w:b/>
          <w:lang w:val="en_US" w:bidi="en_US"/>
        </w:rPr>
        <w:t>fathers:</w:t>
      </w:r>
      <w:r>
        <w:rPr>
          <w:lang w:val="en_US" w:bidi="en_US"/>
        </w:rPr>
        <w:t xml:space="preserve"> The Greek word that the BSB translates as </w:t>
      </w:r>
      <w:r>
        <w:rPr>
          <w:i/>
          <w:lang w:val="en_US" w:bidi="en_US"/>
        </w:rPr>
        <w:t>fathers</w:t>
      </w:r>
      <w:r>
        <w:rPr>
          <w:lang w:val="en_US" w:bidi="en_US"/>
        </w:rPr>
        <w:t xml:space="preserve"> is the plural form of “father,” which refers specifically to a person’s male parent.</w:t>
      </w:r>
      <w:r>
        <w:rPr>
          <w:lang w:val="en_US" w:bidi="en_US"/>
        </w:rPr>
        <w:t>Some English versions translate “fathers” as “parents.” This is not recommended.</w:t>
      </w:r>
      <w:r>
        <w:rPr>
          <w:lang w:val="en_US" w:bidi="en_US"/>
        </w:rPr>
        <w:t xml:space="preserve"> Another way to translate this is:</w:t>
      </w:r>
    </w:p>
    <w:p>
      <w:pPr/>
      <w:r>
        <w:rPr>
          <w:lang w:val="en_US" w:bidi="en_US"/>
        </w:rPr>
      </w:r>
      <w:r>
        <w:rPr>
          <w:lang w:val="en_US" w:bidi="en_US"/>
        </w:rPr>
        <w:t>to reconcile fathers to their children (NJB)</w:t>
      </w:r>
    </w:p>
    <w:p>
      <w:pPr>
        <w:pStyle w:val="Heading5"/>
      </w:pPr>
      <w:r>
        <w:rPr>
          <w:lang w:val="en_US" w:bidi="en_US"/>
        </w:rPr>
        <w:t>1:17d</w:t>
      </w:r>
    </w:p>
    <w:p>
      <w:pPr/>
      <w:r>
        <w:rPr>
          <w:lang w:val="en_US" w:bidi="en_US"/>
        </w:rPr>
      </w:r>
      <w:r>
        <w:rPr>
          <w:b/>
          <w:lang w:val="en_US" w:bidi="en_US"/>
        </w:rPr>
        <w:t>and the disobedient to the wisdom of the righteous—</w:t>
      </w:r>
    </w:p>
    <w:p>
      <w:pPr>
        <w:pStyle w:val="ListBullet"/>
        <w:spacing w:line="240" w:lineRule="auto"/>
        <w:ind w:left="720"/>
      </w:pPr>
      <w:r>
        <w:rPr>
          <w:lang w:val="en_US" w:bidi="en_US"/>
        </w:rPr>
      </w:r>
      <w:r>
        <w:rPr>
          <w:lang w:val="en_US" w:bidi="en_US"/>
        </w:rPr>
        <w:t xml:space="preserve">and </w:t>
      </w:r>
      <w:r>
        <w:rPr>
          <w:lang w:val="en_US" w:bidi="en_US"/>
        </w:rPr>
        <w:t>turn/lead</w:t>
      </w:r>
      <w:r>
        <w:rPr>
          <w:lang w:val="en_US" w:bidi="en_US"/>
        </w:rPr>
        <w:t xml:space="preserve"> disobedient people to follow the wise </w:t>
      </w:r>
      <w:r>
        <w:rPr>
          <w:lang w:val="en_US" w:bidi="en_US"/>
        </w:rPr>
        <w:t>ways</w:t>
      </w:r>
      <w:r>
        <w:rPr>
          <w:lang w:val="en_US" w:bidi="en_US"/>
        </w:rPr>
        <w:t xml:space="preserve"> of righteous people.</w:t>
      </w:r>
    </w:p>
    <w:p>
      <w:pPr>
        <w:pStyle w:val="ListBullet"/>
        <w:spacing w:line="240" w:lineRule="auto"/>
        <w:ind w:left="720"/>
      </w:pPr>
      <w:r>
        <w:rPr>
          <w:lang w:val="en_US" w:bidi="en_US"/>
        </w:rPr>
      </w:r>
      <w:r>
        <w:rPr>
          <w:lang w:val="en_US" w:bidi="en_US"/>
        </w:rPr>
        <w:t>He will also convince/cause</w:t>
      </w:r>
      <w:r>
        <w:rPr>
          <w:lang w:val="en_US" w:bidi="en_US"/>
        </w:rPr>
        <w:t xml:space="preserve"> those who do not obey </w:t>
      </w:r>
      <w:r>
        <w:rPr>
          <w:lang w:val="en_US" w:bidi="en_US"/>
        </w:rPr>
        <w:t>God</w:t>
      </w:r>
      <w:r>
        <w:rPr>
          <w:lang w:val="en_US" w:bidi="en_US"/>
        </w:rPr>
        <w:t xml:space="preserve"> to repent and become wise like people who do </w:t>
      </w:r>
      <w:r>
        <w:rPr>
          <w:lang w:val="en_US" w:bidi="en_US"/>
        </w:rPr>
        <w:t>what God says is</w:t>
      </w:r>
      <w:r>
        <w:rPr>
          <w:lang w:val="en_US" w:bidi="en_US"/>
        </w:rPr>
        <w:t xml:space="preserve"> right.</w:t>
      </w:r>
    </w:p>
    <w:p>
      <w:pPr/>
      <w:r>
        <w:rPr>
          <w:lang w:val="en_US" w:bidi="en_US"/>
        </w:rPr>
      </w:r>
      <w:r>
        <w:rPr>
          <w:b/>
          <w:lang w:val="en_US" w:bidi="en_US"/>
        </w:rPr>
        <w:t>and the disobedient to the wisdom of the righteous:</w:t>
      </w:r>
      <w:r>
        <w:rPr>
          <w:lang w:val="en_US" w:bidi="en_US"/>
        </w:rPr>
        <w:t xml:space="preserve"> This part of the verse tells a second purpose of John’s work. The verb “to turn” in 1:17c is the implied verb for this part of the verse also. However, you may need to translate the verb in a different way here. It indicates that John would cause those who disobey God to turn/change and become wise, as righteous people are. Some other ways to say this are:</w:t>
      </w:r>
    </w:p>
    <w:p>
      <w:pPr/>
      <w:r>
        <w:rPr>
          <w:lang w:val="en_US" w:bidi="en_US"/>
        </w:rPr>
      </w:r>
      <w:r>
        <w:rPr>
          <w:lang w:val="en_US" w:bidi="en_US"/>
        </w:rPr>
        <w:t>and he will cause those who are rebellious to accept the wisdom of the godly (NLT)</w:t>
      </w:r>
    </w:p>
    <w:p>
      <w:pPr/>
      <w:r>
        <w:rPr>
          <w:lang w:val="en_US" w:bidi="en_US"/>
        </w:rPr>
      </w:r>
      <w:r>
        <w:rPr>
          <w:lang w:val="en_US" w:bidi="en_US"/>
        </w:rPr>
        <w:t>He will change disobedient people so that they will accept the wisdom of those who have God’s approval. (GW)</w:t>
      </w:r>
    </w:p>
    <w:p>
      <w:pPr/>
      <w:r>
        <w:rPr>
          <w:lang w:val="en_US" w:bidi="en_US"/>
        </w:rPr>
      </w:r>
      <w:r>
        <w:rPr>
          <w:b/>
          <w:lang w:val="en_US" w:bidi="en_US"/>
        </w:rPr>
        <w:t>the disobedient:</w:t>
      </w:r>
      <w:r>
        <w:rPr>
          <w:lang w:val="en_US" w:bidi="en_US"/>
        </w:rPr>
        <w:t xml:space="preserve"> The phrase </w:t>
      </w:r>
      <w:r>
        <w:rPr>
          <w:i/>
          <w:lang w:val="en_US" w:bidi="en_US"/>
        </w:rPr>
        <w:t>the disobedient</w:t>
      </w:r>
      <w:r>
        <w:rPr>
          <w:lang w:val="en_US" w:bidi="en_US"/>
        </w:rPr>
        <w:t xml:space="preserve"> refers to people who disobey God. It does not refer specifically to children who disobey their parents.</w:t>
      </w:r>
    </w:p>
    <w:p>
      <w:pPr/>
      <w:r>
        <w:rPr>
          <w:lang w:val="en_US" w:bidi="en_US"/>
        </w:rPr>
      </w:r>
      <w:r>
        <w:rPr>
          <w:b/>
          <w:lang w:val="en_US" w:bidi="en_US"/>
        </w:rPr>
        <w:t>the wisdom of the righteous:</w:t>
      </w:r>
      <w:r>
        <w:rPr>
          <w:lang w:val="en_US" w:bidi="en_US"/>
        </w:rPr>
        <w:t xml:space="preserve"> The Greek word that the BSB translates as </w:t>
      </w:r>
      <w:r>
        <w:rPr>
          <w:i/>
          <w:lang w:val="en_US" w:bidi="en_US"/>
        </w:rPr>
        <w:t>wisdom</w:t>
      </w:r>
      <w:r>
        <w:rPr>
          <w:lang w:val="en_US" w:bidi="en_US"/>
        </w:rPr>
        <w:t xml:space="preserve"> can be used in two different ways:</w:t>
      </w:r>
    </w:p>
    <w:p>
      <w:pPr>
        <w:pStyle w:val="ListNumber"/>
        <w:numPr>
          <w:ilvl w:val="0"/>
          <w:numId w:val="22"/>
        </w:numPr>
        <w:spacing w:line="240" w:lineRule="auto"/>
        <w:ind w:left="720"/>
      </w:pPr>
      <w:r>
        <w:rPr>
          <w:lang w:val="en_US" w:bidi="en_US"/>
        </w:rPr>
      </w:r>
      <w:r>
        <w:rPr>
          <w:lang w:val="en_US" w:bidi="en_US"/>
        </w:rPr>
        <w:t xml:space="preserve">It can refer to a way of thinking </w:t>
      </w:r>
      <w:r>
        <w:rPr>
          <w:u w:val="single"/>
          <w:lang w:val="en_US" w:bidi="en_US"/>
        </w:rPr>
        <w:t>in general</w:t>
      </w:r>
      <w:r>
        <w:rPr>
          <w:lang w:val="en_US" w:bidi="en_US"/>
        </w:rPr>
        <w:t>.</w:t>
      </w:r>
    </w:p>
    <w:p>
      <w:pPr>
        <w:pStyle w:val="ListNumber"/>
        <w:spacing w:line="240" w:lineRule="auto"/>
        <w:ind w:left="720"/>
      </w:pPr>
      <w:r>
        <w:rPr>
          <w:lang w:val="en_US" w:bidi="en_US"/>
        </w:rPr>
      </w:r>
      <w:r>
        <w:rPr>
          <w:lang w:val="en_US" w:bidi="en_US"/>
        </w:rPr>
        <w:t xml:space="preserve">It can refer more specifically to a </w:t>
      </w:r>
      <w:r>
        <w:rPr>
          <w:u w:val="single"/>
          <w:lang w:val="en_US" w:bidi="en_US"/>
        </w:rPr>
        <w:t>wise or prudent</w:t>
      </w:r>
      <w:r>
        <w:rPr>
          <w:lang w:val="en_US" w:bidi="en_US"/>
        </w:rPr>
        <w:t xml:space="preserve"> way of thinking.</w:t>
      </w:r>
    </w:p>
    <w:p>
      <w:pPr/>
      <w:r>
        <w:rPr>
          <w:lang w:val="en_US" w:bidi="en_US"/>
        </w:rPr>
      </w:r>
      <w:r>
        <w:rPr>
          <w:lang w:val="en_US" w:bidi="en_US"/>
        </w:rPr>
        <w:t xml:space="preserve">In this context it refers to “the way of the thinking </w:t>
      </w:r>
      <w:r>
        <w:rPr>
          <w:u w:val="single"/>
          <w:lang w:val="en_US" w:bidi="en_US"/>
        </w:rPr>
        <w:t>of the righteous</w:t>
      </w:r>
      <w:r>
        <w:rPr>
          <w:lang w:val="en_US" w:bidi="en_US"/>
        </w:rPr>
        <w:t xml:space="preserve">,” which is a right or wise way of thinking. It is the way of thinking that is in agreement with God and his Word. Some other ways to translate </w:t>
      </w:r>
      <w:r>
        <w:rPr>
          <w:i/>
          <w:lang w:val="en_US" w:bidi="en_US"/>
        </w:rPr>
        <w:t>the wisdom of the righteous</w:t>
      </w:r>
      <w:r>
        <w:rPr>
          <w:lang w:val="en_US" w:bidi="en_US"/>
        </w:rPr>
        <w:t xml:space="preserve"> are:</w:t>
      </w:r>
    </w:p>
    <w:p>
      <w:pPr/>
      <w:r>
        <w:rPr>
          <w:lang w:val="en_US" w:bidi="en_US"/>
        </w:rPr>
      </w:r>
      <w:r>
        <w:rPr>
          <w:lang w:val="en_US" w:bidi="en_US"/>
        </w:rPr>
        <w:t>the way of thinking of the righteous (GNT)</w:t>
      </w:r>
    </w:p>
    <w:p>
      <w:pPr/>
      <w:r>
        <w:rPr>
          <w:lang w:val="en_US" w:bidi="en_US"/>
        </w:rPr>
      </w:r>
      <w:r>
        <w:rPr>
          <w:lang w:val="en_US" w:bidi="en_US"/>
        </w:rPr>
        <w:t>the right/wise attitude of righteous people</w:t>
      </w:r>
    </w:p>
    <w:p>
      <w:pPr/>
      <w:r>
        <w:rPr>
          <w:lang w:val="en_US" w:bidi="en_US"/>
        </w:rPr>
      </w:r>
      <w:r>
        <w:rPr>
          <w:lang w:val="en_US" w:bidi="en_US"/>
        </w:rPr>
        <w:t>In some languages it may be natural to translate this idea as a verbal expression. For example:</w:t>
      </w:r>
    </w:p>
    <w:p>
      <w:pPr/>
      <w:r>
        <w:rPr>
          <w:lang w:val="en_US" w:bidi="en_US"/>
        </w:rPr>
      </w:r>
      <w:r>
        <w:rPr>
          <w:lang w:val="en_US" w:bidi="en_US"/>
        </w:rPr>
        <w:t>cause/help the disobedient to turn/change and begin to think like the righteous</w:t>
      </w:r>
    </w:p>
    <w:p>
      <w:pPr/>
      <w:r>
        <w:rPr>
          <w:lang w:val="en_US" w:bidi="en_US"/>
        </w:rPr>
      </w:r>
      <w:r>
        <w:rPr>
          <w:b/>
          <w:lang w:val="en_US" w:bidi="en_US"/>
        </w:rPr>
        <w:t>the righteous:</w:t>
      </w:r>
      <w:r>
        <w:rPr>
          <w:lang w:val="en_US" w:bidi="en_US"/>
        </w:rPr>
        <w:t xml:space="preserve"> The Greek word that the BSB translates as </w:t>
      </w:r>
      <w:r>
        <w:rPr>
          <w:i/>
          <w:lang w:val="en_US" w:bidi="en_US"/>
        </w:rPr>
        <w:t>righteous</w:t>
      </w:r>
      <w:r>
        <w:rPr>
          <w:lang w:val="en_US" w:bidi="en_US"/>
        </w:rPr>
        <w:t xml:space="preserve"> refers to people who live according to God’s standards. They consistently do what is right. Some other ways to say this are:</w:t>
      </w:r>
    </w:p>
    <w:p>
      <w:pPr/>
      <w:r>
        <w:rPr>
          <w:lang w:val="en_US" w:bidi="en_US"/>
        </w:rPr>
      </w:r>
      <w:r>
        <w:rPr>
          <w:lang w:val="en_US" w:bidi="en_US"/>
        </w:rPr>
        <w:t>those who obey God’s law</w:t>
      </w:r>
    </w:p>
    <w:p>
      <w:pPr/>
      <w:r>
        <w:rPr>
          <w:lang w:val="en_US" w:bidi="en_US"/>
        </w:rPr>
      </w:r>
      <w:r>
        <w:rPr>
          <w:lang w:val="en_US" w:bidi="en_US"/>
        </w:rPr>
        <w:t>those who do what is right</w:t>
      </w:r>
    </w:p>
    <w:p>
      <w:pPr/>
      <w:r>
        <w:rPr>
          <w:lang w:val="en_US" w:bidi="en_US"/>
        </w:rPr>
      </w:r>
      <w:r>
        <w:rPr>
          <w:lang w:val="en_US" w:bidi="en_US"/>
        </w:rPr>
        <w:t>In some languages, people use an idiom to express this meaning. For example:</w:t>
      </w:r>
    </w:p>
    <w:p>
      <w:pPr/>
      <w:r>
        <w:rPr>
          <w:lang w:val="en_US" w:bidi="en_US"/>
        </w:rPr>
      </w:r>
      <w:r>
        <w:rPr>
          <w:lang w:val="en_US" w:bidi="en_US"/>
        </w:rPr>
        <w:t>those who follow a straight path</w:t>
      </w:r>
    </w:p>
    <w:p>
      <w:pPr/>
      <w:r>
        <w:rPr>
          <w:lang w:val="en_US" w:bidi="en_US"/>
        </w:rPr>
      </w:r>
      <w:r>
        <w:rPr>
          <w:lang w:val="en_US" w:bidi="en_US"/>
        </w:rPr>
        <w:t>upright people</w:t>
      </w:r>
    </w:p>
    <w:p>
      <w:pPr>
        <w:pStyle w:val="Heading5"/>
      </w:pPr>
      <w:r>
        <w:rPr>
          <w:lang w:val="en_US" w:bidi="en_US"/>
        </w:rPr>
        <w:t>1:17e</w:t>
      </w:r>
    </w:p>
    <w:p>
      <w:pPr/>
      <w:r>
        <w:rPr>
          <w:lang w:val="en_US" w:bidi="en_US"/>
        </w:rPr>
      </w:r>
      <w:r>
        <w:rPr>
          <w:b/>
          <w:lang w:val="en_US" w:bidi="en_US"/>
        </w:rPr>
        <w:t>to make ready a people prepared for the Lord.”</w:t>
      </w:r>
    </w:p>
    <w:p>
      <w:pPr>
        <w:pStyle w:val="ListBullet"/>
        <w:spacing w:line="240" w:lineRule="auto"/>
        <w:ind w:left="720"/>
      </w:pPr>
      <w:r>
        <w:rPr>
          <w:lang w:val="en_US" w:bidi="en_US"/>
        </w:rPr>
      </w:r>
      <w:r>
        <w:rPr>
          <w:lang w:val="en_US" w:bidi="en_US"/>
        </w:rPr>
        <w:t>He will do all this in order</w:t>
      </w:r>
      <w:r>
        <w:rPr>
          <w:lang w:val="en_US" w:bidi="en_US"/>
        </w:rPr>
        <w:t xml:space="preserve"> to prepare a nation/community </w:t>
      </w:r>
      <w:r>
        <w:rPr>
          <w:lang w:val="en_US" w:bidi="en_US"/>
        </w:rPr>
        <w:t>so that they will be</w:t>
      </w:r>
      <w:r>
        <w:rPr>
          <w:lang w:val="en_US" w:bidi="en_US"/>
        </w:rPr>
        <w:t xml:space="preserve"> ready for the Lord </w:t>
      </w:r>
      <w:r>
        <w:rPr>
          <w:lang w:val="en_US" w:bidi="en_US"/>
        </w:rPr>
        <w:t>to come</w:t>
      </w:r>
      <w:r>
        <w:rPr>
          <w:lang w:val="en_US" w:bidi="en_US"/>
        </w:rPr>
        <w:t>.”</w:t>
      </w:r>
    </w:p>
    <w:p>
      <w:pPr>
        <w:pStyle w:val="ListBullet"/>
        <w:spacing w:line="240" w:lineRule="auto"/>
        <w:ind w:left="720"/>
      </w:pPr>
      <w:r>
        <w:rPr>
          <w:lang w:val="en_US" w:bidi="en_US"/>
        </w:rPr>
      </w:r>
      <w:r>
        <w:rPr>
          <w:lang w:val="en_US" w:bidi="en_US"/>
        </w:rPr>
        <w:t xml:space="preserve">He will prepare a people so that they will be fit/acceptable to the Lord </w:t>
      </w:r>
      <w:r>
        <w:rPr>
          <w:lang w:val="en_US" w:bidi="en_US"/>
        </w:rPr>
        <w:t>when he comes</w:t>
      </w:r>
      <w:r>
        <w:rPr>
          <w:lang w:val="en_US" w:bidi="en_US"/>
        </w:rPr>
        <w:t>.”</w:t>
      </w:r>
    </w:p>
    <w:p>
      <w:pPr/>
      <w:r>
        <w:rPr>
          <w:lang w:val="en_US" w:bidi="en_US"/>
        </w:rPr>
      </w:r>
      <w:r>
        <w:rPr>
          <w:b/>
          <w:lang w:val="en_US" w:bidi="en_US"/>
        </w:rPr>
        <w:t>to make ready a people prepared for the Lord:</w:t>
      </w:r>
      <w:r>
        <w:rPr>
          <w:lang w:val="en_US" w:bidi="en_US"/>
        </w:rPr>
        <w:t xml:space="preserve"> The clause </w:t>
      </w:r>
      <w:r>
        <w:rPr>
          <w:i/>
          <w:lang w:val="en_US" w:bidi="en_US"/>
        </w:rPr>
        <w:t>to make ready a people prepared for the Lord</w:t>
      </w:r>
      <w:r>
        <w:rPr>
          <w:lang w:val="en_US" w:bidi="en_US"/>
        </w:rPr>
        <w:t xml:space="preserve"> is the final purpose for the preceding parts of 1:17. It expresses the overall purpose of John’s work. John would work in the ways mentioned in 1:17c–d </w:t>
      </w:r>
      <w:r>
        <w:rPr>
          <w:u w:val="single"/>
          <w:lang w:val="en_US" w:bidi="en_US"/>
        </w:rPr>
        <w:t>in order</w:t>
      </w:r>
      <w:r>
        <w:rPr>
          <w:lang w:val="en_US" w:bidi="en_US"/>
        </w:rPr>
        <w:t xml:space="preserve"> to make a people ready for the Lord. These people were not ready for the Lord before, but through John’s preaching they would become ready.</w:t>
      </w:r>
    </w:p>
    <w:p>
      <w:pPr/>
      <w:r>
        <w:rPr>
          <w:lang w:val="en_US" w:bidi="en_US"/>
        </w:rPr>
      </w:r>
      <w:r>
        <w:rPr>
          <w:lang w:val="en_US" w:bidi="en_US"/>
        </w:rPr>
        <w:t>Some ways to show that 1:17e is the overall purpose of John’s work are:</w:t>
      </w:r>
    </w:p>
    <w:p>
      <w:pPr>
        <w:pStyle w:val="ListBullet"/>
        <w:spacing w:line="240" w:lineRule="auto"/>
        <w:ind w:left="720"/>
      </w:pPr>
      <w:r>
        <w:rPr>
          <w:lang w:val="en_US" w:bidi="en_US"/>
        </w:rPr>
      </w:r>
      <w:r>
        <w:rPr>
          <w:lang w:val="en_US" w:bidi="en_US"/>
        </w:rPr>
        <w:t>Make it explicit that this clause is the purpose for all the other actions in the verse. For example:</w:t>
      </w:r>
      <w:r>
        <w:rPr>
          <w:lang w:val="en_US" w:bidi="en_US"/>
        </w:rPr>
        <w:t>He will do all this in order</w:t>
      </w:r>
      <w:r>
        <w:rPr>
          <w:lang w:val="en_US" w:bidi="en_US"/>
        </w:rPr>
        <w:t xml:space="preserve"> to make ready a people prepared for the Lord.</w:t>
      </w:r>
    </w:p>
    <w:p>
      <w:pPr>
        <w:pStyle w:val="ListBullet"/>
        <w:spacing w:line="240" w:lineRule="auto"/>
        <w:ind w:left="720"/>
      </w:pPr>
      <w:r>
        <w:rPr>
          <w:lang w:val="en_US" w:bidi="en_US"/>
        </w:rPr>
      </w:r>
      <w:r>
        <w:rPr>
          <w:lang w:val="en_US" w:bidi="en_US"/>
        </w:rPr>
        <w:t>Reorder this verse to put 1:17e before the other work that John would do (1:17c–d). For example:</w:t>
      </w:r>
      <w:r>
        <w:rPr>
          <w:vertAlign w:val="superscript"/>
          <w:lang w:val="en_US" w:bidi="en_US"/>
        </w:rPr>
        <w:t>17a</w:t>
      </w:r>
      <w:r>
        <w:rPr>
          <w:lang w:val="en_US" w:bidi="en_US"/>
        </w:rPr>
        <w:t xml:space="preserve">He will…precede the coming of the Lord, </w:t>
      </w:r>
      <w:r>
        <w:rPr>
          <w:vertAlign w:val="superscript"/>
          <w:lang w:val="en_US" w:bidi="en_US"/>
        </w:rPr>
        <w:t>17e</w:t>
      </w:r>
      <w:r>
        <w:rPr>
          <w:u w:val="single"/>
          <w:lang w:val="en_US" w:bidi="en_US"/>
        </w:rPr>
        <w:t>preparing the people for his arrival</w:t>
      </w:r>
      <w:r>
        <w:rPr>
          <w:lang w:val="en_US" w:bidi="en_US"/>
        </w:rPr>
        <w:t xml:space="preserve">. </w:t>
      </w:r>
      <w:r>
        <w:rPr>
          <w:vertAlign w:val="superscript"/>
          <w:lang w:val="en_US" w:bidi="en_US"/>
        </w:rPr>
        <w:t>17c</w:t>
      </w:r>
      <w:r>
        <w:rPr>
          <w:lang w:val="en_US" w:bidi="en_US"/>
        </w:rPr>
        <w:t xml:space="preserve">He will turn the hearts of the fathers to their children, </w:t>
      </w:r>
      <w:r>
        <w:rPr>
          <w:vertAlign w:val="superscript"/>
          <w:lang w:val="en_US" w:bidi="en_US"/>
        </w:rPr>
        <w:t>17d</w:t>
      </w:r>
      <w:r>
        <w:rPr>
          <w:lang w:val="en_US" w:bidi="en_US"/>
        </w:rPr>
        <w:t>and he will change disobedient minds to accept godly wisdom. (NLT96)</w:t>
      </w:r>
    </w:p>
    <w:p>
      <w:pPr/>
      <w:r>
        <w:rPr>
          <w:lang w:val="en_US" w:bidi="en_US"/>
        </w:rPr>
      </w:r>
      <w:r>
        <w:rPr>
          <w:b/>
          <w:lang w:val="en_US" w:bidi="en_US"/>
        </w:rPr>
        <w:t>to make ready a people prepared:</w:t>
      </w:r>
      <w:r>
        <w:rPr>
          <w:lang w:val="en_US" w:bidi="en_US"/>
        </w:rPr>
        <w:t xml:space="preserve"> The Greek words that the BSB translates as </w:t>
      </w:r>
      <w:r>
        <w:rPr>
          <w:i/>
          <w:lang w:val="en_US" w:bidi="en_US"/>
        </w:rPr>
        <w:t>to make ready</w:t>
      </w:r>
      <w:r>
        <w:rPr>
          <w:lang w:val="en_US" w:bidi="en_US"/>
        </w:rPr>
        <w:t xml:space="preserve"> and </w:t>
      </w:r>
      <w:r>
        <w:rPr>
          <w:i/>
          <w:lang w:val="en_US" w:bidi="en_US"/>
        </w:rPr>
        <w:t>prepared</w:t>
      </w:r>
      <w:r>
        <w:rPr>
          <w:lang w:val="en_US" w:bidi="en_US"/>
        </w:rPr>
        <w:t xml:space="preserve"> have similar meanings. In some languages, it may be more natural to use only one term to express this meaning. For example:</w:t>
      </w:r>
    </w:p>
    <w:p>
      <w:pPr/>
      <w:r>
        <w:rPr>
          <w:lang w:val="en_US" w:bidi="en_US"/>
        </w:rPr>
      </w:r>
      <w:r>
        <w:rPr>
          <w:lang w:val="en_US" w:bidi="en_US"/>
        </w:rPr>
        <w:t>to prepare a people for the Lord</w:t>
      </w:r>
    </w:p>
    <w:p>
      <w:pPr/>
      <w:r>
        <w:rPr>
          <w:lang w:val="en_US" w:bidi="en_US"/>
        </w:rPr>
      </w:r>
      <w:r>
        <w:rPr>
          <w:lang w:val="en_US" w:bidi="en_US"/>
        </w:rPr>
        <w:t>he will make a people fully ready for their Lord (JBP)</w:t>
      </w:r>
    </w:p>
    <w:p>
      <w:pPr/>
      <w:r>
        <w:rPr>
          <w:lang w:val="en_US" w:bidi="en_US"/>
        </w:rPr>
      </w:r>
      <w:r>
        <w:rPr>
          <w:b/>
          <w:lang w:val="en_US" w:bidi="en_US"/>
        </w:rPr>
        <w:t>a people:</w:t>
      </w:r>
      <w:r>
        <w:rPr>
          <w:lang w:val="en_US" w:bidi="en_US"/>
        </w:rPr>
        <w:t xml:space="preserve"> The Greek word that the BSB translates as </w:t>
      </w:r>
      <w:r>
        <w:rPr>
          <w:i/>
          <w:lang w:val="en_US" w:bidi="en_US"/>
        </w:rPr>
        <w:t>a people</w:t>
      </w:r>
      <w:r>
        <w:rPr>
          <w:lang w:val="en_US" w:bidi="en_US"/>
        </w:rPr>
        <w:t xml:space="preserve"> here refers to a large group or community of people such as a nation or ethnic group. John’s message was to people who would be part of a community of people who were faithful to God. Translate this in a way that can refer to a large group of people that is loyal to a leader (such as a king, chief, or religious leader). For example:</w:t>
      </w:r>
    </w:p>
    <w:p>
      <w:pPr/>
      <w:r>
        <w:rPr>
          <w:lang w:val="en_US" w:bidi="en_US"/>
        </w:rPr>
      </w:r>
      <w:r>
        <w:rPr>
          <w:lang w:val="en_US" w:bidi="en_US"/>
        </w:rPr>
        <w:t>a people/nation</w:t>
      </w:r>
    </w:p>
    <w:p>
      <w:pPr/>
      <w:r>
        <w:rPr>
          <w:lang w:val="en_US" w:bidi="en_US"/>
        </w:rPr>
      </w:r>
      <w:r>
        <w:rPr>
          <w:lang w:val="en_US" w:bidi="en_US"/>
        </w:rPr>
        <w:t>a community</w:t>
      </w:r>
    </w:p>
    <w:p>
      <w:pPr/>
      <w:r>
        <w:rPr>
          <w:lang w:val="en_US" w:bidi="en_US"/>
        </w:rPr>
      </w:r>
      <w:r>
        <w:rPr>
          <w:lang w:val="en_US" w:bidi="en_US"/>
        </w:rPr>
        <w:t>subjects/citizens</w:t>
      </w:r>
    </w:p>
    <w:p>
      <w:pPr/>
      <w:r>
        <w:rPr>
          <w:lang w:val="en_US" w:bidi="en_US"/>
        </w:rPr>
      </w:r>
      <w:r>
        <w:rPr>
          <w:b/>
          <w:lang w:val="en_US" w:bidi="en_US"/>
        </w:rPr>
        <w:t>prepared for the Lord:</w:t>
      </w:r>
      <w:r>
        <w:rPr>
          <w:lang w:val="en_US" w:bidi="en_US"/>
        </w:rPr>
        <w:t xml:space="preserve"> The Greek phrase that the BSB translates as </w:t>
      </w:r>
      <w:r>
        <w:rPr>
          <w:i/>
          <w:lang w:val="en_US" w:bidi="en_US"/>
        </w:rPr>
        <w:t>prepared for the Lord</w:t>
      </w:r>
      <w:r>
        <w:rPr>
          <w:lang w:val="en_US" w:bidi="en_US"/>
        </w:rPr>
        <w:t xml:space="preserve"> here refers to being ready for the Lord to come. They are ready because they choose to do the things that please God. The word </w:t>
      </w:r>
      <w:r>
        <w:rPr>
          <w:i/>
          <w:lang w:val="en_US" w:bidi="en_US"/>
        </w:rPr>
        <w:t>prepared</w:t>
      </w:r>
      <w:r>
        <w:rPr>
          <w:lang w:val="en_US" w:bidi="en_US"/>
        </w:rPr>
        <w:t xml:space="preserve"> does not refer here to being alert. John prepared the people for the Lord by telling them to stop sinning and obey God. He told them to be reconciled to their families and to live wisely and righteously. In some languages it may be more natural to use an adjective in place of the passive verb </w:t>
      </w:r>
      <w:r>
        <w:rPr>
          <w:i/>
          <w:lang w:val="en_US" w:bidi="en_US"/>
        </w:rPr>
        <w:t>prepared</w:t>
      </w:r>
      <w:r>
        <w:rPr>
          <w:lang w:val="en_US" w:bidi="en_US"/>
        </w:rPr>
        <w:t>. Some other ways to translate this are:</w:t>
      </w:r>
    </w:p>
    <w:p>
      <w:pPr/>
      <w:r>
        <w:rPr>
          <w:lang w:val="en_US" w:bidi="en_US"/>
        </w:rPr>
      </w:r>
      <w:r>
        <w:rPr>
          <w:lang w:val="en_US" w:bidi="en_US"/>
        </w:rPr>
        <w:t>fit for the Lord (REB)</w:t>
      </w:r>
    </w:p>
    <w:p>
      <w:pPr/>
      <w:r>
        <w:rPr>
          <w:lang w:val="en_US" w:bidi="en_US"/>
        </w:rPr>
      </w:r>
      <w:r>
        <w:rPr>
          <w:lang w:val="en_US" w:bidi="en_US"/>
        </w:rPr>
        <w:t>ready for the coming of the Lord (NCV)</w:t>
      </w:r>
    </w:p>
    <w:p>
      <w:pPr/>
      <w:r>
        <w:rPr>
          <w:lang w:val="en_US" w:bidi="en_US"/>
        </w:rPr>
      </w:r>
      <w:r>
        <w:rPr>
          <w:lang w:val="en_US" w:bidi="en_US"/>
        </w:rPr>
        <w:t xml:space="preserve">prepared </w:t>
      </w:r>
      <w:r>
        <w:rPr>
          <w:lang w:val="en_US" w:bidi="en_US"/>
        </w:rPr>
        <w:t>to receive/welcome</w:t>
      </w:r>
      <w:r>
        <w:rPr>
          <w:lang w:val="en_US" w:bidi="en_US"/>
        </w:rPr>
        <w:t xml:space="preserve"> the Lord</w:t>
      </w:r>
      <w:r>
        <w:rPr>
          <w:lang w:val="en_US" w:bidi="en_US"/>
        </w:rPr>
      </w:r>
      <w:r>
        <w:rPr>
          <w:lang w:val="en_US" w:bidi="en_US"/>
        </w:rPr>
      </w:r>
    </w:p>
    <w:p>
      <w:pPr/>
      <w:r>
        <w:rPr>
          <w:lang w:val="en_US" w:bidi="en_US"/>
        </w:rPr>
      </w:r>
    </w:p>
    <w:p>
      <w:pPr>
        <w:pStyle w:val="Heading2"/>
      </w:pPr>
      <w:r>
        <w:rPr>
          <w:lang w:val="en_US" w:bidi="en_US"/>
        </w:rPr>
        <w:t>Luke 1:18</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5"/>
      </w:pPr>
      <w:r>
        <w:rPr>
          <w:lang w:val="en_US" w:bidi="en_US"/>
        </w:rPr>
        <w:t>1:18a</w:t>
      </w:r>
    </w:p>
    <w:p>
      <w:pPr/>
      <w:r>
        <w:rPr>
          <w:lang w:val="en_US" w:bidi="en_US"/>
        </w:rPr>
      </w:r>
      <w:r>
        <w:rPr>
          <w:b/>
          <w:lang w:val="en_US" w:bidi="en_US"/>
        </w:rPr>
        <w:t>“How can I be sure of this?” Zechariah asked the angel.</w:t>
      </w:r>
    </w:p>
    <w:p>
      <w:pPr>
        <w:pStyle w:val="ListBullet"/>
        <w:spacing w:line="240" w:lineRule="auto"/>
        <w:ind w:left="720"/>
      </w:pPr>
      <w:r>
        <w:rPr>
          <w:lang w:val="en_US" w:bidi="en_US"/>
        </w:rPr>
      </w:r>
      <w:r>
        <w:rPr>
          <w:lang w:val="en_US" w:bidi="en_US"/>
        </w:rPr>
        <w:t>¶ Zechariah asked the angel, “How can I know that what you</w:t>
      </w:r>
      <w:r>
        <w:rPr>
          <w:vertAlign w:val="superscript"/>
          <w:lang w:val="en_US" w:bidi="en_US"/>
        </w:rPr>
        <w:t>(sing)</w:t>
      </w:r>
      <w:r>
        <w:rPr>
          <w:lang w:val="en_US" w:bidi="en_US"/>
        </w:rPr>
        <w:t xml:space="preserve"> say will truly happen?</w:t>
      </w:r>
    </w:p>
    <w:p>
      <w:pPr>
        <w:pStyle w:val="ListBullet"/>
        <w:spacing w:line="240" w:lineRule="auto"/>
        <w:ind w:left="720"/>
      </w:pPr>
      <w:r>
        <w:rPr>
          <w:lang w:val="en_US" w:bidi="en_US"/>
        </w:rPr>
      </w:r>
      <w:r>
        <w:rPr>
          <w:lang w:val="en_US" w:bidi="en_US"/>
        </w:rPr>
        <w:t>¶ Zechariah said to the angel, “How can I be certain that this will really happen?</w:t>
      </w:r>
    </w:p>
    <w:p>
      <w:pPr>
        <w:pStyle w:val="ListBullet"/>
        <w:spacing w:line="240" w:lineRule="auto"/>
        <w:ind w:left="720"/>
      </w:pPr>
      <w:r>
        <w:rPr>
          <w:lang w:val="en_US" w:bidi="en_US"/>
        </w:rPr>
      </w:r>
      <w:r>
        <w:rPr>
          <w:lang w:val="en_US" w:bidi="en_US"/>
        </w:rPr>
        <w:t>¶ Zechariah asked the angel how he could know for certain that what the angel said would really happen.</w:t>
      </w:r>
    </w:p>
    <w:p>
      <w:pPr/>
      <w:r>
        <w:rPr>
          <w:lang w:val="en_US" w:bidi="en_US"/>
        </w:rPr>
      </w:r>
      <w:r>
        <w:rPr>
          <w:b/>
          <w:lang w:val="en_US" w:bidi="en_US"/>
        </w:rPr>
        <w:t>“How can I be sure of this?”:</w:t>
      </w:r>
      <w:r>
        <w:rPr>
          <w:lang w:val="en_US" w:bidi="en_US"/>
        </w:rPr>
        <w:t xml:space="preserve"> The Greek question that the BSB translates as </w:t>
      </w:r>
      <w:r>
        <w:rPr>
          <w:i/>
          <w:lang w:val="en_US" w:bidi="en_US"/>
        </w:rPr>
        <w:t>How can I be sure of this?</w:t>
      </w:r>
      <w:r>
        <w:rPr>
          <w:lang w:val="en_US" w:bidi="en_US"/>
        </w:rPr>
        <w:t xml:space="preserve"> is literally, “By what will I know this?” Zechariah wanted the angel to say or do something to prove that what he said was true. The question showed that Zechariah did not really believe the angel’s promise that he would have a son (1:13). Some other ways to ask this question are:</w:t>
      </w:r>
    </w:p>
    <w:p>
      <w:pPr/>
      <w:r>
        <w:rPr>
          <w:lang w:val="en_US" w:bidi="en_US"/>
        </w:rPr>
      </w:r>
      <w:r>
        <w:rPr>
          <w:lang w:val="en_US" w:bidi="en_US"/>
        </w:rPr>
        <w:t>How can I know that this is true?</w:t>
      </w:r>
    </w:p>
    <w:p>
      <w:pPr/>
      <w:r>
        <w:rPr>
          <w:lang w:val="en_US" w:bidi="en_US"/>
        </w:rPr>
      </w:r>
      <w:r>
        <w:rPr>
          <w:lang w:val="en_US" w:bidi="en_US"/>
        </w:rPr>
        <w:t xml:space="preserve">What will prove to me that this </w:t>
      </w:r>
      <w:r>
        <w:rPr>
          <w:lang w:val="en_US" w:bidi="en_US"/>
        </w:rPr>
        <w:t>will really happen</w:t>
      </w:r>
      <w:r>
        <w:rPr>
          <w:lang w:val="en_US" w:bidi="en_US"/>
        </w:rPr>
        <w:t>?</w:t>
      </w:r>
    </w:p>
    <w:p>
      <w:pPr/>
      <w:r>
        <w:rPr>
          <w:lang w:val="en_US" w:bidi="en_US"/>
        </w:rPr>
      </w:r>
      <w:r>
        <w:rPr>
          <w:lang w:val="en_US" w:bidi="en_US"/>
        </w:rPr>
        <w:t>What proof is there for this?</w:t>
      </w:r>
    </w:p>
    <w:p>
      <w:pPr>
        <w:pStyle w:val="Heading5"/>
      </w:pPr>
      <w:r>
        <w:rPr>
          <w:lang w:val="en_US" w:bidi="en_US"/>
        </w:rPr>
        <w:t>1:18b</w:t>
      </w:r>
    </w:p>
    <w:p>
      <w:pPr/>
      <w:r>
        <w:rPr>
          <w:lang w:val="en_US" w:bidi="en_US"/>
        </w:rPr>
      </w:r>
      <w:r>
        <w:rPr>
          <w:b/>
          <w:lang w:val="en_US" w:bidi="en_US"/>
        </w:rPr>
        <w:t>“I am an old man, and my wife is well along in years.”</w:t>
      </w:r>
    </w:p>
    <w:p>
      <w:pPr>
        <w:pStyle w:val="ListBullet"/>
        <w:spacing w:line="240" w:lineRule="auto"/>
        <w:ind w:left="720"/>
      </w:pPr>
      <w:r>
        <w:rPr>
          <w:lang w:val="en_US" w:bidi="en_US"/>
        </w:rPr>
      </w:r>
      <w:r>
        <w:rPr>
          <w:lang w:val="en_US" w:bidi="en_US"/>
        </w:rPr>
        <w:t>I am an old man, and my wife is also quite old.”</w:t>
      </w:r>
    </w:p>
    <w:p>
      <w:pPr>
        <w:pStyle w:val="ListBullet"/>
        <w:spacing w:line="240" w:lineRule="auto"/>
        <w:ind w:left="720"/>
      </w:pPr>
      <w:r>
        <w:rPr>
          <w:lang w:val="en_US" w:bidi="en_US"/>
        </w:rPr>
      </w:r>
      <w:r>
        <w:rPr>
          <w:lang w:val="en_US" w:bidi="en_US"/>
        </w:rPr>
        <w:t xml:space="preserve">I am </w:t>
      </w:r>
      <w:r>
        <w:rPr>
          <w:lang w:val="en_US" w:bidi="en_US"/>
        </w:rPr>
        <w:t>too</w:t>
      </w:r>
      <w:r>
        <w:rPr>
          <w:lang w:val="en_US" w:bidi="en_US"/>
        </w:rPr>
        <w:t xml:space="preserve"> old </w:t>
      </w:r>
      <w:r>
        <w:rPr>
          <w:lang w:val="en_US" w:bidi="en_US"/>
        </w:rPr>
        <w:t>to have a son</w:t>
      </w:r>
      <w:r>
        <w:rPr>
          <w:lang w:val="en_US" w:bidi="en_US"/>
        </w:rPr>
        <w:t xml:space="preserve">, and my wife also is </w:t>
      </w:r>
      <w:r>
        <w:rPr>
          <w:lang w:val="en_US" w:bidi="en_US"/>
        </w:rPr>
        <w:t>too</w:t>
      </w:r>
      <w:r>
        <w:rPr>
          <w:lang w:val="en_US" w:bidi="en_US"/>
        </w:rPr>
        <w:t xml:space="preserve"> old </w:t>
      </w:r>
      <w:r>
        <w:rPr>
          <w:lang w:val="en_US" w:bidi="en_US"/>
        </w:rPr>
        <w:t>to be able to have children</w:t>
      </w:r>
      <w:r>
        <w:rPr>
          <w:lang w:val="en_US" w:bidi="en_US"/>
        </w:rPr>
        <w:t>.”</w:t>
      </w:r>
    </w:p>
    <w:p>
      <w:pPr>
        <w:pStyle w:val="ListBullet"/>
        <w:spacing w:line="240" w:lineRule="auto"/>
        <w:ind w:left="720"/>
      </w:pPr>
      <w:r>
        <w:rPr>
          <w:lang w:val="en_US" w:bidi="en_US"/>
        </w:rPr>
      </w:r>
      <w:r>
        <w:rPr>
          <w:lang w:val="en_US" w:bidi="en_US"/>
        </w:rPr>
        <w:t xml:space="preserve">He explained that he was </w:t>
      </w:r>
      <w:r>
        <w:rPr>
          <w:lang w:val="en_US" w:bidi="en_US"/>
        </w:rPr>
        <w:t>too</w:t>
      </w:r>
      <w:r>
        <w:rPr>
          <w:lang w:val="en_US" w:bidi="en_US"/>
        </w:rPr>
        <w:t xml:space="preserve"> old </w:t>
      </w:r>
      <w:r>
        <w:rPr>
          <w:lang w:val="en_US" w:bidi="en_US"/>
        </w:rPr>
        <w:t>to have a son</w:t>
      </w:r>
      <w:r>
        <w:rPr>
          <w:lang w:val="en_US" w:bidi="en_US"/>
        </w:rPr>
        <w:t xml:space="preserve"> and his wife was too old </w:t>
      </w:r>
      <w:r>
        <w:rPr>
          <w:lang w:val="en_US" w:bidi="en_US"/>
        </w:rPr>
        <w:t>to have children</w:t>
      </w:r>
      <w:r>
        <w:rPr>
          <w:lang w:val="en_US" w:bidi="en_US"/>
        </w:rPr>
        <w:t>.</w:t>
      </w:r>
    </w:p>
    <w:p>
      <w:pPr/>
      <w:r>
        <w:rPr>
          <w:lang w:val="en_US" w:bidi="en_US"/>
        </w:rPr>
      </w:r>
      <w:r>
        <w:rPr>
          <w:lang w:val="en_US" w:bidi="en_US"/>
        </w:rPr>
        <w:t>This part of the verse gives Zechariah’s reasons for doubting what the angel said. The Greek text introduces these reasons with a conjunction. Introduce them in a way that is natural in your language. In some languages, a conjunction may not be needed.</w:t>
      </w:r>
    </w:p>
    <w:p>
      <w:pPr/>
      <w:r>
        <w:rPr>
          <w:lang w:val="en_US" w:bidi="en_US"/>
        </w:rPr>
      </w:r>
      <w:r>
        <w:rPr>
          <w:b/>
          <w:lang w:val="en_US" w:bidi="en_US"/>
        </w:rPr>
        <w:t>I am an old man:</w:t>
      </w:r>
      <w:r>
        <w:rPr>
          <w:lang w:val="en_US" w:bidi="en_US"/>
        </w:rPr>
        <w:t xml:space="preserve"> The clause </w:t>
      </w:r>
      <w:r>
        <w:rPr>
          <w:i/>
          <w:lang w:val="en_US" w:bidi="en_US"/>
        </w:rPr>
        <w:t>I am an old man</w:t>
      </w:r>
      <w:r>
        <w:rPr>
          <w:lang w:val="en_US" w:bidi="en_US"/>
        </w:rPr>
        <w:t xml:space="preserve"> implies that Zechariah was past the age by which men usually father a child.</w:t>
      </w:r>
    </w:p>
    <w:p>
      <w:pPr/>
      <w:r>
        <w:rPr>
          <w:lang w:val="en_US" w:bidi="en_US"/>
        </w:rPr>
      </w:r>
      <w:r>
        <w:rPr>
          <w:b/>
          <w:lang w:val="en_US" w:bidi="en_US"/>
        </w:rPr>
        <w:t>and my wife is well along in years:</w:t>
      </w:r>
      <w:r>
        <w:rPr>
          <w:lang w:val="en_US" w:bidi="en_US"/>
        </w:rPr>
        <w:t xml:space="preserve"> The phrase </w:t>
      </w:r>
      <w:r>
        <w:rPr>
          <w:i/>
          <w:lang w:val="en_US" w:bidi="en_US"/>
        </w:rPr>
        <w:t>well along in years</w:t>
      </w:r>
      <w:r>
        <w:rPr>
          <w:lang w:val="en_US" w:bidi="en_US"/>
        </w:rPr>
        <w:t xml:space="preserve"> is an idiom that means “old.” Zechariah was implying that his wife was too old to give birth to a child. Some versions make this explicit. For example:</w:t>
      </w:r>
    </w:p>
    <w:p>
      <w:pPr/>
      <w:r>
        <w:rPr>
          <w:lang w:val="en_US" w:bidi="en_US"/>
        </w:rPr>
      </w:r>
      <w:r>
        <w:rPr>
          <w:lang w:val="en_US" w:bidi="en_US"/>
        </w:rPr>
        <w:t>my wife is beyond her childbearing years (GW)</w:t>
      </w:r>
    </w:p>
    <w:p>
      <w:pPr/>
      <w:r>
        <w:rPr>
          <w:lang w:val="en_US" w:bidi="en_US"/>
        </w:rPr>
      </w:r>
      <w:r>
        <w:rPr>
          <w:lang w:val="en_US" w:bidi="en_US"/>
        </w:rPr>
        <w:t>Use an acceptable way in your culture for a man to say this.</w:t>
      </w:r>
    </w:p>
    <w:p>
      <w:pPr>
        <w:pStyle w:val="Heading6"/>
      </w:pPr>
      <w:r>
        <w:rPr>
          <w:b/>
          <w:lang w:val="en_US" w:bidi="en_US"/>
        </w:rPr>
        <w:t>General Comment on 1:18a–b</w:t>
      </w:r>
    </w:p>
    <w:p>
      <w:pPr/>
      <w:r>
        <w:rPr>
          <w:lang w:val="en_US" w:bidi="en_US"/>
        </w:rPr>
      </w:r>
      <w:r>
        <w:rPr>
          <w:lang w:val="en_US" w:bidi="en_US"/>
        </w:rPr>
        <w:t>In some languages, it may be more natural to reverse the order of 1:18a and 1:18b. For example:</w:t>
      </w:r>
    </w:p>
    <w:p>
      <w:pPr/>
      <w:r>
        <w:rPr>
          <w:lang w:val="en_US" w:bidi="en_US"/>
        </w:rPr>
      </w:r>
      <w:r>
        <w:rPr>
          <w:vertAlign w:val="superscript"/>
          <w:lang w:val="en_US" w:bidi="en_US"/>
        </w:rPr>
        <w:t>18b</w:t>
      </w:r>
      <w:r>
        <w:rPr>
          <w:lang w:val="en_US" w:bidi="en_US"/>
        </w:rPr>
        <w:t xml:space="preserve">I am an old man, and my wife is well along in years. </w:t>
      </w:r>
      <w:r>
        <w:rPr>
          <w:vertAlign w:val="superscript"/>
          <w:lang w:val="en_US" w:bidi="en_US"/>
        </w:rPr>
        <w:t>18a</w:t>
      </w:r>
      <w:r>
        <w:rPr>
          <w:lang w:val="en_US" w:bidi="en_US"/>
        </w:rPr>
        <w:t>So</w:t>
      </w:r>
      <w:r>
        <w:rPr>
          <w:lang w:val="en_US" w:bidi="en_US"/>
        </w:rPr>
        <w:t xml:space="preserve"> how can I be sure of this?</w:t>
      </w:r>
      <w:r>
        <w:rPr>
          <w:lang w:val="en_US" w:bidi="en_US"/>
        </w:rPr>
      </w:r>
      <w:r>
        <w:rPr>
          <w:lang w:val="en_US" w:bidi="en_US"/>
        </w:rPr>
      </w:r>
    </w:p>
    <w:p>
      <w:pPr/>
      <w:r>
        <w:rPr>
          <w:lang w:val="en_US" w:bidi="en_US"/>
        </w:rPr>
      </w:r>
    </w:p>
    <w:p>
      <w:pPr>
        <w:pStyle w:val="Heading2"/>
      </w:pPr>
      <w:r>
        <w:rPr>
          <w:lang w:val="en_US" w:bidi="en_US"/>
        </w:rPr>
        <w:t>Luke 1:19</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5"/>
      </w:pPr>
      <w:r>
        <w:rPr>
          <w:lang w:val="en_US" w:bidi="en_US"/>
        </w:rPr>
        <w:t>1:19</w:t>
      </w:r>
    </w:p>
    <w:p>
      <w:pPr/>
      <w:r>
        <w:rPr>
          <w:lang w:val="en_US" w:bidi="en_US"/>
        </w:rPr>
      </w:r>
      <w:r>
        <w:rPr>
          <w:lang w:val="en_US" w:bidi="en_US"/>
        </w:rPr>
        <w:t>In 1:19 the angel Gabriel indirectly rebuked Zechariah for not believing his message.</w:t>
      </w:r>
    </w:p>
    <w:p>
      <w:pPr>
        <w:pStyle w:val="Heading5"/>
      </w:pPr>
      <w:r>
        <w:rPr>
          <w:lang w:val="en_US" w:bidi="en_US"/>
        </w:rPr>
        <w:t>1:19a</w:t>
      </w:r>
    </w:p>
    <w:p>
      <w:pPr/>
      <w:r>
        <w:rPr>
          <w:lang w:val="en_US" w:bidi="en_US"/>
        </w:rPr>
      </w:r>
      <w:r>
        <w:rPr>
          <w:b/>
          <w:lang w:val="en_US" w:bidi="en_US"/>
        </w:rPr>
        <w:t>“I am Gabriel,” replied the angel. “I stand in the presence of God,</w:t>
      </w:r>
    </w:p>
    <w:p>
      <w:pPr>
        <w:pStyle w:val="ListBullet"/>
        <w:spacing w:line="240" w:lineRule="auto"/>
        <w:ind w:left="720"/>
      </w:pPr>
      <w:r>
        <w:rPr>
          <w:lang w:val="en_US" w:bidi="en_US"/>
        </w:rPr>
      </w:r>
      <w:r>
        <w:rPr>
          <w:lang w:val="en_US" w:bidi="en_US"/>
        </w:rPr>
        <w:t>The angel said, “I am Gabriel, who stands before God,</w:t>
      </w:r>
    </w:p>
    <w:p>
      <w:pPr>
        <w:pStyle w:val="ListBullet"/>
        <w:spacing w:line="240" w:lineRule="auto"/>
        <w:ind w:left="720"/>
      </w:pPr>
      <w:r>
        <w:rPr>
          <w:lang w:val="en_US" w:bidi="en_US"/>
        </w:rPr>
      </w:r>
      <w:r>
        <w:rPr>
          <w:lang w:val="en_US" w:bidi="en_US"/>
        </w:rPr>
        <w:t xml:space="preserve">The angel said, “I am </w:t>
      </w:r>
      <w:r>
        <w:rPr>
          <w:lang w:val="en_US" w:bidi="en_US"/>
        </w:rPr>
        <w:t>the angel</w:t>
      </w:r>
      <w:r>
        <w:rPr>
          <w:lang w:val="en_US" w:bidi="en_US"/>
        </w:rPr>
        <w:t xml:space="preserve"> Gabriel. I stand near God </w:t>
      </w:r>
      <w:r>
        <w:rPr>
          <w:lang w:val="en_US" w:bidi="en_US"/>
        </w:rPr>
        <w:t>ready to serve him</w:t>
      </w:r>
      <w:r>
        <w:rPr>
          <w:lang w:val="en_US" w:bidi="en_US"/>
        </w:rPr>
        <w:t>,</w:t>
      </w:r>
    </w:p>
    <w:p>
      <w:pPr/>
      <w:r>
        <w:rPr>
          <w:lang w:val="en_US" w:bidi="en_US"/>
        </w:rPr>
      </w:r>
      <w:r>
        <w:rPr>
          <w:b/>
          <w:lang w:val="en_US" w:bidi="en_US"/>
        </w:rPr>
        <w:t>“I am Gabriel,” replied the angel. “I stand in the presence of God:</w:t>
      </w:r>
      <w:r>
        <w:rPr>
          <w:lang w:val="en_US" w:bidi="en_US"/>
        </w:rPr>
        <w:t xml:space="preserve"> In the Greek text, the words that the BSB translates as </w:t>
      </w:r>
      <w:r>
        <w:rPr>
          <w:i/>
          <w:lang w:val="en_US" w:bidi="en_US"/>
        </w:rPr>
        <w:t>replied the angel</w:t>
      </w:r>
      <w:r>
        <w:rPr>
          <w:lang w:val="en_US" w:bidi="en_US"/>
        </w:rPr>
        <w:t>, which are literally “and, answering, the angel said to him,” come before this quotation. The BSB has put these words within the quotation. While the GNT does the same thing, most English versions put them before the quotation. In your translation, put them where they would be most natural in your language.</w:t>
      </w:r>
    </w:p>
    <w:p>
      <w:pPr/>
      <w:r>
        <w:rPr>
          <w:lang w:val="en_US" w:bidi="en_US"/>
        </w:rPr>
      </w:r>
      <w:r>
        <w:rPr>
          <w:b/>
          <w:lang w:val="en_US" w:bidi="en_US"/>
        </w:rPr>
        <w:t>I am Gabriel…I stand in the presence of God:</w:t>
      </w:r>
      <w:r>
        <w:rPr>
          <w:lang w:val="en_US" w:bidi="en_US"/>
        </w:rPr>
        <w:t xml:space="preserve"> In the Greek text this part of the verse is more literally, “I am Gabriel, the one standing before God.” The angel mentioned his name and position to emphasize his authority as an important messenger from God. Gabriel’s name was well known among Jewish people. He is mentioned by name in Daniel chapters 8–9. Some other ways to translate this part of the verse are:</w:t>
      </w:r>
    </w:p>
    <w:p>
      <w:pPr/>
      <w:r>
        <w:rPr>
          <w:lang w:val="en_US" w:bidi="en_US"/>
        </w:rPr>
      </w:r>
      <w:r>
        <w:rPr>
          <w:lang w:val="en_US" w:bidi="en_US"/>
        </w:rPr>
        <w:t xml:space="preserve">I am Gabriel who stands near God </w:t>
      </w:r>
      <w:r>
        <w:rPr>
          <w:lang w:val="en_US" w:bidi="en_US"/>
        </w:rPr>
        <w:t>to serve him</w:t>
      </w:r>
    </w:p>
    <w:p>
      <w:pPr/>
      <w:r>
        <w:rPr>
          <w:lang w:val="en_US" w:bidi="en_US"/>
        </w:rPr>
      </w:r>
      <w:r>
        <w:rPr>
          <w:lang w:val="en_US" w:bidi="en_US"/>
        </w:rPr>
        <w:t xml:space="preserve">I serve God in his presence; </w:t>
      </w:r>
      <w:r>
        <w:rPr>
          <w:lang w:val="en_US" w:bidi="en_US"/>
        </w:rPr>
        <w:t>you know my name</w:t>
      </w:r>
      <w:r>
        <w:rPr>
          <w:lang w:val="en_US" w:bidi="en_US"/>
        </w:rPr>
        <w:t>, Gabriel</w:t>
      </w:r>
    </w:p>
    <w:p>
      <w:pPr/>
      <w:r>
        <w:rPr>
          <w:lang w:val="en_US" w:bidi="en_US"/>
        </w:rPr>
      </w:r>
      <w:r>
        <w:rPr>
          <w:lang w:val="en_US" w:bidi="en_US"/>
        </w:rPr>
        <w:t>I am Gabriel! I stand in the very presence of God</w:t>
      </w:r>
    </w:p>
    <w:p>
      <w:pPr/>
      <w:r>
        <w:rPr>
          <w:lang w:val="en_US" w:bidi="en_US"/>
        </w:rPr>
      </w:r>
      <w:r>
        <w:rPr>
          <w:lang w:val="en_US" w:bidi="en_US"/>
        </w:rPr>
        <w:t>Express Gabriel’s authority in an emphatic way in your language.</w:t>
      </w:r>
    </w:p>
    <w:p>
      <w:pPr/>
      <w:r>
        <w:rPr>
          <w:lang w:val="en_US" w:bidi="en_US"/>
        </w:rPr>
      </w:r>
      <w:r>
        <w:rPr>
          <w:b/>
          <w:lang w:val="en_US" w:bidi="en_US"/>
        </w:rPr>
        <w:t>I stand in the presence of God:</w:t>
      </w:r>
      <w:r>
        <w:rPr>
          <w:lang w:val="en_US" w:bidi="en_US"/>
        </w:rPr>
        <w:t xml:space="preserve"> The clause </w:t>
      </w:r>
      <w:r>
        <w:rPr>
          <w:i/>
          <w:lang w:val="en_US" w:bidi="en_US"/>
        </w:rPr>
        <w:t>I stand in the presence of God</w:t>
      </w:r>
      <w:r>
        <w:rPr>
          <w:lang w:val="en_US" w:bidi="en_US"/>
        </w:rPr>
        <w:t xml:space="preserve"> indicates that Gabriel regularly or always stood near God. This fact implies that Gabriel was a very important servant of God and was always ready to serve him. The clause does not imply that Gabriel was standing near God in heaven at the time when he was talking to Zechariah.</w:t>
      </w:r>
    </w:p>
    <w:p>
      <w:pPr/>
      <w:r>
        <w:rPr>
          <w:lang w:val="en_US" w:bidi="en_US"/>
        </w:rPr>
      </w:r>
      <w:r>
        <w:rPr>
          <w:b/>
          <w:lang w:val="en_US" w:bidi="en_US"/>
        </w:rPr>
        <w:t>God:</w:t>
      </w:r>
      <w:r>
        <w:rPr>
          <w:lang w:val="en_US" w:bidi="en_US"/>
        </w:rPr>
        <w:t xml:space="preserve"> See God in the Glossary.</w:t>
      </w:r>
    </w:p>
    <w:p>
      <w:pPr/>
      <w:r>
        <w:rPr>
          <w:lang w:val="en_US" w:bidi="en_US"/>
        </w:rPr>
      </w:r>
      <w:r>
        <w:rPr>
          <w:b/>
          <w:lang w:val="en_US" w:bidi="en_US"/>
        </w:rPr>
        <w:t>the angel:</w:t>
      </w:r>
      <w:r>
        <w:rPr>
          <w:lang w:val="en_US" w:bidi="en_US"/>
        </w:rPr>
        <w:t xml:space="preserve"> See the note at 1:11a for suggestions about translating the word angel. See also angel, Meaning 1, in the Glossary.</w:t>
      </w:r>
    </w:p>
    <w:p>
      <w:pPr>
        <w:pStyle w:val="Heading5"/>
      </w:pPr>
      <w:r>
        <w:rPr>
          <w:lang w:val="en_US" w:bidi="en_US"/>
        </w:rPr>
        <w:t>1:19b</w:t>
      </w:r>
    </w:p>
    <w:p>
      <w:pPr/>
      <w:r>
        <w:rPr>
          <w:lang w:val="en_US" w:bidi="en_US"/>
        </w:rPr>
      </w:r>
      <w:r>
        <w:rPr>
          <w:b/>
          <w:lang w:val="en_US" w:bidi="en_US"/>
        </w:rPr>
        <w:t>and I have been sent to speak to you and to bring you this good news.</w:t>
      </w:r>
    </w:p>
    <w:p>
      <w:pPr>
        <w:pStyle w:val="ListBullet"/>
        <w:spacing w:line="240" w:lineRule="auto"/>
        <w:ind w:left="720"/>
      </w:pPr>
      <w:r>
        <w:rPr>
          <w:lang w:val="en_US" w:bidi="en_US"/>
        </w:rPr>
      </w:r>
      <w:r>
        <w:rPr>
          <w:lang w:val="en_US" w:bidi="en_US"/>
        </w:rPr>
        <w:t xml:space="preserve">and I have been sent </w:t>
      </w:r>
      <w:r>
        <w:rPr>
          <w:lang w:val="en_US" w:bidi="en_US"/>
        </w:rPr>
        <w:t>by him/God</w:t>
      </w:r>
      <w:r>
        <w:rPr>
          <w:lang w:val="en_US" w:bidi="en_US"/>
        </w:rPr>
        <w:t xml:space="preserve"> to talk to you</w:t>
      </w:r>
      <w:r>
        <w:rPr>
          <w:vertAlign w:val="superscript"/>
          <w:lang w:val="en_US" w:bidi="en_US"/>
        </w:rPr>
        <w:t>(sing)</w:t>
      </w:r>
      <w:r>
        <w:rPr>
          <w:lang w:val="en_US" w:bidi="en_US"/>
        </w:rPr>
        <w:t xml:space="preserve"> and to tell you this good news.</w:t>
      </w:r>
    </w:p>
    <w:p>
      <w:pPr>
        <w:pStyle w:val="ListBullet"/>
        <w:spacing w:line="240" w:lineRule="auto"/>
        <w:ind w:left="720"/>
      </w:pPr>
      <w:r>
        <w:rPr>
          <w:lang w:val="en_US" w:bidi="en_US"/>
        </w:rPr>
      </w:r>
      <w:r>
        <w:rPr>
          <w:lang w:val="en_US" w:bidi="en_US"/>
        </w:rPr>
        <w:t xml:space="preserve">and </w:t>
      </w:r>
      <w:r>
        <w:rPr>
          <w:lang w:val="en_US" w:bidi="en_US"/>
        </w:rPr>
        <w:t>God</w:t>
      </w:r>
      <w:r>
        <w:rPr>
          <w:lang w:val="en_US" w:bidi="en_US"/>
        </w:rPr>
        <w:t xml:space="preserve"> has sent me to bring/announce this good news to you</w:t>
      </w:r>
      <w:r>
        <w:rPr>
          <w:vertAlign w:val="superscript"/>
          <w:lang w:val="en_US" w:bidi="en_US"/>
        </w:rPr>
        <w:t>(sing)</w:t>
      </w:r>
      <w:r>
        <w:rPr>
          <w:lang w:val="en_US" w:bidi="en_US"/>
        </w:rPr>
        <w:t xml:space="preserve"> </w:t>
      </w:r>
      <w:r>
        <w:rPr>
          <w:lang w:val="en_US" w:bidi="en_US"/>
        </w:rPr>
        <w:t>concerning your</w:t>
      </w:r>
      <w:r>
        <w:rPr>
          <w:vertAlign w:val="superscript"/>
          <w:lang w:val="en_US" w:bidi="en_US"/>
        </w:rPr>
        <w:t>(sing)</w:t>
      </w:r>
      <w:r>
        <w:rPr>
          <w:lang w:val="en_US" w:bidi="en_US"/>
        </w:rPr>
        <w:t xml:space="preserve"> </w:t>
      </w:r>
      <w:r>
        <w:rPr>
          <w:lang w:val="en_US" w:bidi="en_US"/>
        </w:rPr>
        <w:t>son</w:t>
      </w:r>
      <w:r>
        <w:rPr>
          <w:lang w:val="en_US" w:bidi="en_US"/>
        </w:rPr>
        <w:t>.</w:t>
      </w:r>
    </w:p>
    <w:p>
      <w:pPr/>
      <w:r>
        <w:rPr>
          <w:lang w:val="en_US" w:bidi="en_US"/>
        </w:rPr>
      </w:r>
      <w:r>
        <w:rPr>
          <w:b/>
          <w:lang w:val="en_US" w:bidi="en_US"/>
        </w:rPr>
        <w:t>I have been sent:</w:t>
      </w:r>
      <w:r>
        <w:rPr>
          <w:lang w:val="en_US" w:bidi="en_US"/>
        </w:rPr>
        <w:t xml:space="preserve"> The Greek verb that the BSB translates as </w:t>
      </w:r>
      <w:r>
        <w:rPr>
          <w:i/>
          <w:lang w:val="en_US" w:bidi="en_US"/>
        </w:rPr>
        <w:t>I have been sent</w:t>
      </w:r>
      <w:r>
        <w:rPr>
          <w:lang w:val="en_US" w:bidi="en_US"/>
        </w:rPr>
        <w:t xml:space="preserve"> is passive. It was a respectful way for the angel to say that God sent him. Some ways to translate this verb are:</w:t>
      </w:r>
    </w:p>
    <w:p>
      <w:pPr>
        <w:pStyle w:val="ListBullet"/>
        <w:spacing w:line="240" w:lineRule="auto"/>
        <w:ind w:left="720"/>
      </w:pPr>
      <w:r>
        <w:rPr>
          <w:lang w:val="en_US" w:bidi="en_US"/>
        </w:rPr>
      </w:r>
      <w:r>
        <w:rPr>
          <w:lang w:val="en_US" w:bidi="en_US"/>
        </w:rPr>
        <w:t>Use a passive verb. For example:</w:t>
      </w:r>
      <w:r>
        <w:rPr>
          <w:lang w:val="en_US" w:bidi="en_US"/>
        </w:rPr>
        <w:t>I was sent (NET)</w:t>
      </w:r>
    </w:p>
    <w:p>
      <w:pPr>
        <w:pStyle w:val="ListBullet"/>
        <w:spacing w:line="240" w:lineRule="auto"/>
        <w:ind w:left="720"/>
      </w:pPr>
      <w:r>
        <w:rPr>
          <w:lang w:val="en_US" w:bidi="en_US"/>
        </w:rPr>
      </w:r>
      <w:r>
        <w:rPr>
          <w:lang w:val="en_US" w:bidi="en_US"/>
        </w:rPr>
        <w:t>Use an active verb. For example:</w:t>
      </w:r>
      <w:r>
        <w:rPr>
          <w:lang w:val="en_US" w:bidi="en_US"/>
        </w:rPr>
        <w:t>God sent me (GW)</w:t>
      </w:r>
      <w:r>
        <w:rPr>
          <w:lang w:val="en_US" w:bidi="en_US"/>
        </w:rPr>
        <w:t>It was he who sent me (NLT)</w:t>
      </w:r>
    </w:p>
    <w:p>
      <w:pPr/>
      <w:r>
        <w:rPr>
          <w:lang w:val="en_US" w:bidi="en_US"/>
        </w:rPr>
      </w:r>
      <w:r>
        <w:rPr>
          <w:lang w:val="en_US" w:bidi="en_US"/>
        </w:rPr>
        <w:t>Notice the way that the NLT continues to emphasize Gabriel’s authority from God by using the phrase “It was he.”</w:t>
      </w:r>
    </w:p>
    <w:p>
      <w:pPr/>
      <w:r>
        <w:rPr>
          <w:lang w:val="en_US" w:bidi="en_US"/>
        </w:rPr>
      </w:r>
      <w:r>
        <w:rPr>
          <w:b/>
          <w:lang w:val="en_US" w:bidi="en_US"/>
        </w:rPr>
        <w:t>to speak to you and to bring you this good news:</w:t>
      </w:r>
      <w:r>
        <w:rPr>
          <w:lang w:val="en_US" w:bidi="en_US"/>
        </w:rPr>
        <w:t xml:space="preserve"> The two verb phrases </w:t>
      </w:r>
      <w:r>
        <w:rPr>
          <w:i/>
          <w:lang w:val="en_US" w:bidi="en_US"/>
        </w:rPr>
        <w:t>to speak to you</w:t>
      </w:r>
      <w:r>
        <w:rPr>
          <w:lang w:val="en_US" w:bidi="en_US"/>
        </w:rPr>
        <w:t xml:space="preserve"> and </w:t>
      </w:r>
      <w:r>
        <w:rPr>
          <w:i/>
          <w:lang w:val="en_US" w:bidi="en_US"/>
        </w:rPr>
        <w:t>to bring you this good news</w:t>
      </w:r>
      <w:r>
        <w:rPr>
          <w:lang w:val="en_US" w:bidi="en_US"/>
        </w:rPr>
        <w:t xml:space="preserve"> are similar in meaning. The second verb refers specifically to declaring good news. In some languages, it may be more natural to use only one verb of speech. Use a verb that is appropriate for telling good news that is important. For example:</w:t>
      </w:r>
    </w:p>
    <w:p>
      <w:pPr/>
      <w:r>
        <w:rPr>
          <w:lang w:val="en_US" w:bidi="en_US"/>
        </w:rPr>
      </w:r>
      <w:r>
        <w:rPr>
          <w:lang w:val="en_US" w:bidi="en_US"/>
        </w:rPr>
        <w:t>to declare to you this good news</w:t>
      </w:r>
    </w:p>
    <w:p>
      <w:pPr/>
      <w:r>
        <w:rPr>
          <w:lang w:val="en_US" w:bidi="en_US"/>
        </w:rPr>
      </w:r>
      <w:r>
        <w:rPr>
          <w:lang w:val="en_US" w:bidi="en_US"/>
        </w:rPr>
        <w:t>to announce this good news to you</w:t>
      </w:r>
    </w:p>
    <w:p>
      <w:pPr/>
      <w:r>
        <w:rPr>
          <w:lang w:val="en_US" w:bidi="en_US"/>
        </w:rPr>
      </w:r>
      <w:r>
        <w:rPr>
          <w:b/>
          <w:lang w:val="en_US" w:bidi="en_US"/>
        </w:rPr>
        <w:t>this good news:</w:t>
      </w:r>
      <w:r>
        <w:rPr>
          <w:lang w:val="en_US" w:bidi="en_US"/>
        </w:rPr>
        <w:t xml:space="preserve"> In this context, the </w:t>
      </w:r>
      <w:r>
        <w:rPr>
          <w:i/>
          <w:lang w:val="en_US" w:bidi="en_US"/>
        </w:rPr>
        <w:t>good news</w:t>
      </w:r>
      <w:r>
        <w:rPr>
          <w:lang w:val="en_US" w:bidi="en_US"/>
        </w:rPr>
        <w:t xml:space="preserve"> was that Zechariah would have a son and that God would give his son a special work. Make sure that in your translation it is clear that </w:t>
      </w:r>
      <w:r>
        <w:rPr>
          <w:i/>
          <w:lang w:val="en_US" w:bidi="en_US"/>
        </w:rPr>
        <w:t>this good news</w:t>
      </w:r>
      <w:r>
        <w:rPr>
          <w:lang w:val="en_US" w:bidi="en_US"/>
        </w:rPr>
        <w:t xml:space="preserve"> refers to what the angel had already told Zechariah. Make sure that it does not refer to what he would tell him next.</w:t>
      </w:r>
      <w:r>
        <w:rPr>
          <w:lang w:val="en_US" w:bidi="en_US"/>
        </w:rPr>
      </w:r>
      <w:r>
        <w:rPr>
          <w:lang w:val="en_US" w:bidi="en_US"/>
        </w:rPr>
      </w:r>
    </w:p>
    <w:p>
      <w:pPr/>
      <w:r>
        <w:rPr>
          <w:lang w:val="en_US" w:bidi="en_US"/>
        </w:rPr>
      </w:r>
    </w:p>
    <w:p>
      <w:pPr>
        <w:pStyle w:val="Heading2"/>
      </w:pPr>
      <w:r>
        <w:rPr>
          <w:lang w:val="en_US" w:bidi="en_US"/>
        </w:rPr>
        <w:t>Luke 1:20</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5"/>
      </w:pPr>
      <w:r>
        <w:rPr>
          <w:lang w:val="en_US" w:bidi="en_US"/>
        </w:rPr>
        <w:t>1:20a</w:t>
      </w:r>
    </w:p>
    <w:p>
      <w:pPr/>
      <w:r>
        <w:rPr>
          <w:lang w:val="en_US" w:bidi="en_US"/>
        </w:rPr>
      </w:r>
      <w:r>
        <w:rPr>
          <w:b/>
          <w:lang w:val="en_US" w:bidi="en_US"/>
        </w:rPr>
        <w:t>And now you will be silent and unable to speak</w:t>
      </w:r>
    </w:p>
    <w:p>
      <w:pPr>
        <w:pStyle w:val="ListBullet"/>
        <w:spacing w:line="240" w:lineRule="auto"/>
        <w:ind w:left="720"/>
      </w:pPr>
      <w:r>
        <w:rPr>
          <w:lang w:val="en_US" w:bidi="en_US"/>
        </w:rPr>
      </w:r>
      <w:r>
        <w:rPr>
          <w:lang w:val="en_US" w:bidi="en_US"/>
        </w:rPr>
        <w:t>So listen!</w:t>
      </w:r>
      <w:r>
        <w:rPr>
          <w:vertAlign w:val="superscript"/>
          <w:lang w:val="en_US" w:bidi="en_US"/>
        </w:rPr>
        <w:t>(sing)</w:t>
      </w:r>
      <w:r>
        <w:rPr>
          <w:lang w:val="en_US" w:bidi="en_US"/>
        </w:rPr>
        <w:t xml:space="preserve"> You</w:t>
      </w:r>
      <w:r>
        <w:rPr>
          <w:vertAlign w:val="superscript"/>
          <w:lang w:val="en_US" w:bidi="en_US"/>
        </w:rPr>
        <w:t>(sing)</w:t>
      </w:r>
      <w:r>
        <w:rPr>
          <w:lang w:val="en_US" w:bidi="en_US"/>
        </w:rPr>
        <w:t xml:space="preserve"> will become mute/speechless. You will not be able to talk</w:t>
      </w:r>
    </w:p>
    <w:p>
      <w:pPr>
        <w:pStyle w:val="ListBullet"/>
        <w:spacing w:line="240" w:lineRule="auto"/>
        <w:ind w:left="720"/>
      </w:pPr>
      <w:r>
        <w:rPr>
          <w:lang w:val="en_US" w:bidi="en_US"/>
        </w:rPr>
      </w:r>
      <w:r>
        <w:rPr>
          <w:lang w:val="en_US" w:bidi="en_US"/>
        </w:rPr>
        <w:t>But pay attention to this! You</w:t>
      </w:r>
      <w:r>
        <w:rPr>
          <w:vertAlign w:val="superscript"/>
          <w:lang w:val="en_US" w:bidi="en_US"/>
        </w:rPr>
        <w:t>(sing)</w:t>
      </w:r>
      <w:r>
        <w:rPr>
          <w:lang w:val="en_US" w:bidi="en_US"/>
        </w:rPr>
        <w:t xml:space="preserve"> will not be able to say anything at all</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something unpleasant that will happen to Zechariah. This unpleasant thing will happen because Zechariah did not believe the good news that the angel had told him. Some English versions translate this as “But” (GNT), and others do not use a conjunction (NCV). Translate this connection in a natural way in your language.</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is literally “look” or “see.” It often functions to focus attention on what follows it and to indicate that it is important or amazing. The word does not refer to time, as the word “now” sometimes does in English. In this context, Gabriel focused Zechariah’s attention on what would happen to him because he did not believe what Gabriel told him.</w:t>
      </w:r>
    </w:p>
    <w:p>
      <w:pPr/>
      <w:r>
        <w:rPr>
          <w:lang w:val="en_US" w:bidi="en_US"/>
        </w:rPr>
      </w:r>
      <w:r>
        <w:rPr>
          <w:lang w:val="en_US" w:bidi="en_US"/>
        </w:rPr>
        <w:t>Some ways to translate the word in this context are:</w:t>
      </w:r>
    </w:p>
    <w:p>
      <w:pPr/>
      <w:r>
        <w:rPr>
          <w:lang w:val="en_US" w:bidi="en_US"/>
        </w:rPr>
      </w:r>
      <w:r>
        <w:rPr>
          <w:lang w:val="en_US" w:bidi="en_US"/>
        </w:rPr>
        <w:t>look/listen</w:t>
      </w:r>
    </w:p>
    <w:p>
      <w:pPr/>
      <w:r>
        <w:rPr>
          <w:lang w:val="en_US" w:bidi="en_US"/>
        </w:rPr>
      </w:r>
      <w:r>
        <w:rPr>
          <w:lang w:val="en_US" w:bidi="en_US"/>
        </w:rPr>
        <w:t>take note of this</w:t>
      </w:r>
    </w:p>
    <w:p>
      <w:pPr/>
      <w:r>
        <w:rPr>
          <w:lang w:val="en_US" w:bidi="en_US"/>
        </w:rPr>
      </w:r>
      <w:r>
        <w:rPr>
          <w:lang w:val="en_US" w:bidi="en_US"/>
        </w:rPr>
        <w:t>pay attention to this</w:t>
      </w:r>
    </w:p>
    <w:p>
      <w:pPr/>
      <w:r>
        <w:rPr>
          <w:lang w:val="en_US" w:bidi="en_US"/>
        </w:rPr>
      </w:r>
      <w:r>
        <w:rPr>
          <w:b/>
          <w:lang w:val="en_US" w:bidi="en_US"/>
        </w:rPr>
        <w:t>you will be silent and unable to speak:</w:t>
      </w:r>
      <w:r>
        <w:rPr>
          <w:lang w:val="en_US" w:bidi="en_US"/>
        </w:rPr>
        <w:t xml:space="preserve"> The phrases </w:t>
      </w:r>
      <w:r>
        <w:rPr>
          <w:i/>
          <w:lang w:val="en_US" w:bidi="en_US"/>
        </w:rPr>
        <w:t>be silent</w:t>
      </w:r>
      <w:r>
        <w:rPr>
          <w:lang w:val="en_US" w:bidi="en_US"/>
        </w:rPr>
        <w:t xml:space="preserve"> and </w:t>
      </w:r>
      <w:r>
        <w:rPr>
          <w:i/>
          <w:lang w:val="en_US" w:bidi="en_US"/>
        </w:rPr>
        <w:t>unable to speak</w:t>
      </w:r>
      <w:r>
        <w:rPr>
          <w:lang w:val="en_US" w:bidi="en_US"/>
        </w:rPr>
        <w:t xml:space="preserve"> are two ways to express the same meaning. The angel used these two expressions to emphasize what he was saying. Some other ways to translate this emphasis are:</w:t>
      </w:r>
    </w:p>
    <w:p>
      <w:pPr/>
      <w:r>
        <w:rPr>
          <w:lang w:val="en_US" w:bidi="en_US"/>
        </w:rPr>
      </w:r>
      <w:r>
        <w:rPr>
          <w:lang w:val="en_US" w:bidi="en_US"/>
        </w:rPr>
        <w:t>you will not be able to speak even a single word</w:t>
      </w:r>
    </w:p>
    <w:p>
      <w:pPr/>
      <w:r>
        <w:rPr>
          <w:lang w:val="en_US" w:bidi="en_US"/>
        </w:rPr>
      </w:r>
      <w:r>
        <w:rPr>
          <w:lang w:val="en_US" w:bidi="en_US"/>
        </w:rPr>
        <w:t>you will lose all power of speech and remain silent (REB)</w:t>
      </w:r>
    </w:p>
    <w:p>
      <w:pPr>
        <w:pStyle w:val="Heading5"/>
      </w:pPr>
      <w:r>
        <w:rPr>
          <w:lang w:val="en_US" w:bidi="en_US"/>
        </w:rPr>
        <w:t>1:20b</w:t>
      </w:r>
    </w:p>
    <w:p>
      <w:pPr/>
      <w:r>
        <w:rPr>
          <w:lang w:val="en_US" w:bidi="en_US"/>
        </w:rPr>
      </w:r>
      <w:r>
        <w:rPr>
          <w:b/>
          <w:lang w:val="en_US" w:bidi="en_US"/>
        </w:rPr>
        <w:t>until the day this comes to pass,</w:t>
      </w:r>
    </w:p>
    <w:p>
      <w:pPr>
        <w:pStyle w:val="ListBullet"/>
        <w:spacing w:line="240" w:lineRule="auto"/>
        <w:ind w:left="720"/>
      </w:pPr>
      <w:r>
        <w:rPr>
          <w:lang w:val="en_US" w:bidi="en_US"/>
        </w:rPr>
      </w:r>
      <w:r>
        <w:rPr>
          <w:lang w:val="en_US" w:bidi="en_US"/>
        </w:rPr>
        <w:t xml:space="preserve">until the time </w:t>
      </w:r>
      <w:r>
        <w:rPr>
          <w:lang w:val="en_US" w:bidi="en_US"/>
        </w:rPr>
        <w:t>your son is born</w:t>
      </w:r>
      <w:r>
        <w:rPr>
          <w:lang w:val="en_US" w:bidi="en_US"/>
        </w:rPr>
        <w:t>,</w:t>
      </w:r>
    </w:p>
    <w:p>
      <w:pPr>
        <w:pStyle w:val="ListBullet"/>
        <w:spacing w:line="240" w:lineRule="auto"/>
        <w:ind w:left="720"/>
      </w:pPr>
      <w:r>
        <w:rPr>
          <w:lang w:val="en_US" w:bidi="en_US"/>
        </w:rPr>
      </w:r>
      <w:r>
        <w:rPr>
          <w:lang w:val="en_US" w:bidi="en_US"/>
        </w:rPr>
        <w:t xml:space="preserve">until </w:t>
      </w:r>
      <w:r>
        <w:rPr>
          <w:lang w:val="en_US" w:bidi="en_US"/>
        </w:rPr>
        <w:t>what I said</w:t>
      </w:r>
      <w:r>
        <w:rPr>
          <w:lang w:val="en_US" w:bidi="en_US"/>
        </w:rPr>
        <w:t xml:space="preserve"> happens.</w:t>
      </w:r>
    </w:p>
    <w:p>
      <w:pPr/>
      <w:r>
        <w:rPr>
          <w:lang w:val="en_US" w:bidi="en_US"/>
        </w:rPr>
      </w:r>
      <w:r>
        <w:rPr>
          <w:b/>
          <w:lang w:val="en_US" w:bidi="en_US"/>
        </w:rPr>
        <w:t>until the day this comes to pass:</w:t>
      </w:r>
      <w:r>
        <w:rPr>
          <w:lang w:val="en_US" w:bidi="en_US"/>
        </w:rPr>
        <w:t xml:space="preserve"> The phrase </w:t>
      </w:r>
      <w:r>
        <w:rPr>
          <w:i/>
          <w:lang w:val="en_US" w:bidi="en_US"/>
        </w:rPr>
        <w:t>until the day this comes to pass</w:t>
      </w:r>
      <w:r>
        <w:rPr>
          <w:lang w:val="en_US" w:bidi="en_US"/>
        </w:rPr>
        <w:t xml:space="preserve"> means “until the day that the events that I foretold take place.” This indicates that Zechariah would not be able to talk until the time when his son John was born.</w:t>
      </w:r>
    </w:p>
    <w:p>
      <w:pPr>
        <w:pStyle w:val="Heading5"/>
      </w:pPr>
      <w:r>
        <w:rPr>
          <w:lang w:val="en_US" w:bidi="en_US"/>
        </w:rPr>
        <w:t>1:20c</w:t>
      </w:r>
    </w:p>
    <w:p>
      <w:pPr/>
      <w:r>
        <w:rPr>
          <w:lang w:val="en_US" w:bidi="en_US"/>
        </w:rPr>
      </w:r>
      <w:r>
        <w:rPr>
          <w:b/>
          <w:lang w:val="en_US" w:bidi="en_US"/>
        </w:rPr>
        <w:t>because you did not believe my words,</w:t>
      </w:r>
    </w:p>
    <w:p>
      <w:pPr>
        <w:pStyle w:val="ListBullet"/>
        <w:spacing w:line="240" w:lineRule="auto"/>
        <w:ind w:left="720"/>
      </w:pPr>
      <w:r>
        <w:rPr>
          <w:lang w:val="en_US" w:bidi="en_US"/>
        </w:rPr>
      </w:r>
      <w:r>
        <w:rPr>
          <w:lang w:val="en_US" w:bidi="en_US"/>
        </w:rPr>
        <w:t xml:space="preserve">because you did not believe that my words </w:t>
      </w:r>
      <w:r>
        <w:rPr>
          <w:lang w:val="en_US" w:bidi="en_US"/>
        </w:rPr>
        <w:t>were true</w:t>
      </w:r>
      <w:r>
        <w:rPr>
          <w:lang w:val="en_US" w:bidi="en_US"/>
        </w:rPr>
        <w:t>.</w:t>
      </w:r>
    </w:p>
    <w:p>
      <w:pPr>
        <w:pStyle w:val="ListBullet"/>
        <w:spacing w:line="240" w:lineRule="auto"/>
        <w:ind w:left="720"/>
      </w:pPr>
      <w:r>
        <w:rPr>
          <w:lang w:val="en_US" w:bidi="en_US"/>
        </w:rPr>
      </w:r>
      <w:r>
        <w:rPr>
          <w:lang w:val="en_US" w:bidi="en_US"/>
        </w:rPr>
        <w:t>because you did not believe what I told you.</w:t>
      </w:r>
    </w:p>
    <w:p>
      <w:pPr>
        <w:pStyle w:val="ListBullet"/>
        <w:spacing w:line="240" w:lineRule="auto"/>
        <w:ind w:left="720"/>
      </w:pPr>
      <w:r>
        <w:rPr>
          <w:lang w:val="en_US" w:bidi="en_US"/>
        </w:rPr>
      </w:r>
      <w:r>
        <w:rPr>
          <w:lang w:val="en_US" w:bidi="en_US"/>
        </w:rPr>
        <w:t>This will happen</w:t>
      </w:r>
      <w:r>
        <w:rPr>
          <w:lang w:val="en_US" w:bidi="en_US"/>
        </w:rPr>
        <w:t xml:space="preserve"> because you did not trust what I said.</w:t>
      </w:r>
    </w:p>
    <w:p>
      <w:pPr/>
      <w:r>
        <w:rPr>
          <w:lang w:val="en_US" w:bidi="en_US"/>
        </w:rPr>
      </w:r>
      <w:r>
        <w:rPr>
          <w:b/>
          <w:lang w:val="en_US" w:bidi="en_US"/>
        </w:rPr>
        <w:t>because you did not believe my words:</w:t>
      </w:r>
      <w:r>
        <w:rPr>
          <w:lang w:val="en_US" w:bidi="en_US"/>
        </w:rPr>
        <w:t xml:space="preserve"> Zechariah would not be able to speak because he did not believe what the angel Gabriel said. He did not believe that he and Elizabeth would have a son. He thought that the words of the angel were not true. Another way to translate this is:</w:t>
      </w:r>
    </w:p>
    <w:p>
      <w:pPr/>
      <w:r>
        <w:rPr>
          <w:lang w:val="en_US" w:bidi="en_US"/>
        </w:rPr>
      </w:r>
      <w:r>
        <w:rPr>
          <w:lang w:val="en_US" w:bidi="en_US"/>
        </w:rPr>
        <w:t>because you did not believe what I told you (NCV)</w:t>
      </w:r>
    </w:p>
    <w:p>
      <w:pPr>
        <w:pStyle w:val="Heading5"/>
      </w:pPr>
      <w:r>
        <w:rPr>
          <w:lang w:val="en_US" w:bidi="en_US"/>
        </w:rPr>
        <w:t>1:20d</w:t>
      </w:r>
    </w:p>
    <w:p>
      <w:pPr/>
      <w:r>
        <w:rPr>
          <w:lang w:val="en_US" w:bidi="en_US"/>
        </w:rPr>
      </w:r>
      <w:r>
        <w:rPr>
          <w:b/>
          <w:lang w:val="en_US" w:bidi="en_US"/>
        </w:rPr>
        <w:t>which will be fulfilled at their proper time.”</w:t>
      </w:r>
    </w:p>
    <w:p>
      <w:pPr>
        <w:pStyle w:val="ListBullet"/>
        <w:spacing w:line="240" w:lineRule="auto"/>
        <w:ind w:left="720"/>
      </w:pPr>
      <w:r>
        <w:rPr>
          <w:lang w:val="en_US" w:bidi="en_US"/>
        </w:rPr>
      </w:r>
      <w:r>
        <w:rPr>
          <w:lang w:val="en_US" w:bidi="en_US"/>
        </w:rPr>
        <w:t>All that I have said</w:t>
      </w:r>
      <w:r>
        <w:rPr>
          <w:lang w:val="en_US" w:bidi="en_US"/>
        </w:rPr>
        <w:t xml:space="preserve"> will happen at the right time.”</w:t>
      </w:r>
    </w:p>
    <w:p>
      <w:pPr>
        <w:pStyle w:val="ListBullet"/>
        <w:spacing w:line="240" w:lineRule="auto"/>
        <w:ind w:left="720"/>
      </w:pPr>
      <w:r>
        <w:rPr>
          <w:lang w:val="en_US" w:bidi="en_US"/>
        </w:rPr>
      </w:r>
      <w:r>
        <w:rPr>
          <w:lang w:val="en_US" w:bidi="en_US"/>
        </w:rPr>
        <w:t>My words</w:t>
      </w:r>
      <w:r>
        <w:rPr>
          <w:lang w:val="en_US" w:bidi="en_US"/>
        </w:rPr>
        <w:t xml:space="preserve"> will come true at the time that </w:t>
      </w:r>
      <w:r>
        <w:rPr>
          <w:lang w:val="en_US" w:bidi="en_US"/>
        </w:rPr>
        <w:t>God</w:t>
      </w:r>
      <w:r>
        <w:rPr>
          <w:lang w:val="en_US" w:bidi="en_US"/>
        </w:rPr>
        <w:t xml:space="preserve"> has selected.”</w:t>
      </w:r>
    </w:p>
    <w:p>
      <w:pPr/>
      <w:r>
        <w:rPr>
          <w:lang w:val="en_US" w:bidi="en_US"/>
        </w:rPr>
      </w:r>
      <w:r>
        <w:rPr>
          <w:b/>
          <w:lang w:val="en_US" w:bidi="en_US"/>
        </w:rPr>
        <w:t>which will be fulfilled:</w:t>
      </w:r>
      <w:r>
        <w:rPr>
          <w:lang w:val="en_US" w:bidi="en_US"/>
        </w:rPr>
        <w:t xml:space="preserve"> The phrase </w:t>
      </w:r>
      <w:r>
        <w:rPr>
          <w:i/>
          <w:lang w:val="en_US" w:bidi="en_US"/>
        </w:rPr>
        <w:t>which will be fulfilled</w:t>
      </w:r>
      <w:r>
        <w:rPr>
          <w:lang w:val="en_US" w:bidi="en_US"/>
        </w:rPr>
        <w:t xml:space="preserve"> refers to the fact that things would happen exactly as Gabriel had said, and that would show that his words were true.</w:t>
      </w:r>
    </w:p>
    <w:p>
      <w:pPr/>
      <w:r>
        <w:rPr>
          <w:lang w:val="en_US" w:bidi="en_US"/>
        </w:rPr>
      </w:r>
      <w:r>
        <w:rPr>
          <w:b/>
          <w:lang w:val="en_US" w:bidi="en_US"/>
        </w:rPr>
        <w:t>at their proper time:</w:t>
      </w:r>
      <w:r>
        <w:rPr>
          <w:lang w:val="en_US" w:bidi="en_US"/>
        </w:rPr>
        <w:t xml:space="preserve"> The phrase </w:t>
      </w:r>
      <w:r>
        <w:rPr>
          <w:i/>
          <w:lang w:val="en_US" w:bidi="en_US"/>
        </w:rPr>
        <w:t>at their proper time</w:t>
      </w:r>
      <w:r>
        <w:rPr>
          <w:lang w:val="en_US" w:bidi="en_US"/>
        </w:rPr>
        <w:t xml:space="preserve"> means “at the right time.” It refers to the time that God intended for the things to happen.</w:t>
      </w:r>
    </w:p>
    <w:p>
      <w:pPr>
        <w:pStyle w:val="Heading6"/>
      </w:pPr>
      <w:r>
        <w:rPr>
          <w:b/>
          <w:lang w:val="en_US" w:bidi="en_US"/>
        </w:rPr>
        <w:t>General Comment on 1:20a–d</w:t>
      </w:r>
    </w:p>
    <w:p>
      <w:pPr/>
      <w:r>
        <w:rPr>
          <w:lang w:val="en_US" w:bidi="en_US"/>
        </w:rPr>
      </w:r>
      <w:r>
        <w:rPr>
          <w:lang w:val="en_US" w:bidi="en_US"/>
        </w:rPr>
        <w:t>In some languages, it may be more natural to reorder the parts of this verse. For example:</w:t>
      </w:r>
    </w:p>
    <w:p>
      <w:pPr/>
      <w:r>
        <w:rPr>
          <w:lang w:val="en_US" w:bidi="en_US"/>
        </w:rPr>
      </w:r>
      <w:r>
        <w:rPr>
          <w:lang w:val="en_US" w:bidi="en_US"/>
        </w:rPr>
        <w:t xml:space="preserve">But </w:t>
      </w:r>
      <w:r>
        <w:rPr>
          <w:vertAlign w:val="superscript"/>
          <w:lang w:val="en_US" w:bidi="en_US"/>
        </w:rPr>
        <w:t>20c</w:t>
      </w:r>
      <w:r>
        <w:rPr>
          <w:lang w:val="en_US" w:bidi="en_US"/>
        </w:rPr>
        <w:t xml:space="preserve">because you didn’t believe what I said, </w:t>
      </w:r>
      <w:r>
        <w:rPr>
          <w:vertAlign w:val="superscript"/>
          <w:lang w:val="en_US" w:bidi="en_US"/>
        </w:rPr>
        <w:t>20a</w:t>
      </w:r>
      <w:r>
        <w:rPr>
          <w:lang w:val="en_US" w:bidi="en_US"/>
        </w:rPr>
        <w:t xml:space="preserve">you will be unable to talk </w:t>
      </w:r>
      <w:r>
        <w:rPr>
          <w:vertAlign w:val="superscript"/>
          <w:lang w:val="en_US" w:bidi="en_US"/>
        </w:rPr>
        <w:t>20b</w:t>
      </w:r>
      <w:r>
        <w:rPr>
          <w:lang w:val="en_US" w:bidi="en_US"/>
        </w:rPr>
        <w:t xml:space="preserve">until the day this happens. </w:t>
      </w:r>
      <w:r>
        <w:rPr>
          <w:vertAlign w:val="superscript"/>
          <w:lang w:val="en_US" w:bidi="en_US"/>
        </w:rPr>
        <w:t>20d</w:t>
      </w:r>
      <w:r>
        <w:rPr>
          <w:lang w:val="en_US" w:bidi="en_US"/>
        </w:rPr>
        <w:t>Everything will come true at the right time. (GW)</w:t>
      </w:r>
    </w:p>
    <w:p>
      <w:pPr/>
      <w:r>
        <w:rPr>
          <w:lang w:val="en_US" w:bidi="en_US"/>
        </w:rPr>
      </w:r>
      <w:r>
        <w:rPr>
          <w:vertAlign w:val="superscript"/>
          <w:lang w:val="en_US" w:bidi="en_US"/>
        </w:rPr>
        <w:t>20c</w:t>
      </w:r>
      <w:r>
        <w:rPr>
          <w:lang w:val="en_US" w:bidi="en_US"/>
        </w:rPr>
        <w:t xml:space="preserve">You did not believe my words, </w:t>
      </w:r>
      <w:r>
        <w:rPr>
          <w:vertAlign w:val="superscript"/>
          <w:lang w:val="en_US" w:bidi="en_US"/>
        </w:rPr>
        <w:t>20d</w:t>
      </w:r>
      <w:r>
        <w:rPr>
          <w:lang w:val="en_US" w:bidi="en_US"/>
        </w:rPr>
        <w:t xml:space="preserve">which will be fulfilled at the right time. </w:t>
      </w:r>
      <w:r>
        <w:rPr>
          <w:vertAlign w:val="superscript"/>
          <w:lang w:val="en_US" w:bidi="en_US"/>
        </w:rPr>
        <w:t>20a</w:t>
      </w:r>
      <w:r>
        <w:rPr>
          <w:lang w:val="en_US" w:bidi="en_US"/>
        </w:rPr>
        <w:t xml:space="preserve">That’s why you will be unable to speak </w:t>
      </w:r>
      <w:r>
        <w:rPr>
          <w:vertAlign w:val="superscript"/>
          <w:lang w:val="en_US" w:bidi="en_US"/>
        </w:rPr>
        <w:t>20b</w:t>
      </w:r>
      <w:r>
        <w:rPr>
          <w:lang w:val="en_US" w:bidi="en_US"/>
        </w:rPr>
        <w:t>until the day that your son is born.</w:t>
      </w:r>
      <w:r>
        <w:rPr>
          <w:lang w:val="en_US" w:bidi="en_US"/>
        </w:rPr>
      </w:r>
      <w:r>
        <w:rPr>
          <w:lang w:val="en_US" w:bidi="en_US"/>
        </w:rPr>
      </w:r>
    </w:p>
    <w:p>
      <w:pPr/>
      <w:r>
        <w:rPr>
          <w:lang w:val="en_US" w:bidi="en_US"/>
        </w:rPr>
      </w:r>
    </w:p>
    <w:p>
      <w:pPr>
        <w:pStyle w:val="Heading2"/>
      </w:pPr>
      <w:r>
        <w:rPr>
          <w:lang w:val="en_US" w:bidi="en_US"/>
        </w:rPr>
        <w:t>Luke 1:21</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5"/>
      </w:pPr>
      <w:r>
        <w:rPr>
          <w:lang w:val="en_US" w:bidi="en_US"/>
        </w:rPr>
        <w:t>1:21a</w:t>
      </w:r>
    </w:p>
    <w:p>
      <w:pPr/>
      <w:r>
        <w:rPr>
          <w:lang w:val="en_US" w:bidi="en_US"/>
        </w:rPr>
      </w:r>
      <w:r>
        <w:rPr>
          <w:b/>
          <w:lang w:val="en_US" w:bidi="en_US"/>
        </w:rPr>
        <w:t>Meanwhile, the people were waiting for Zechariah</w:t>
      </w:r>
    </w:p>
    <w:p>
      <w:pPr>
        <w:pStyle w:val="ListBullet"/>
        <w:spacing w:line="240" w:lineRule="auto"/>
        <w:ind w:left="720"/>
      </w:pPr>
      <w:r>
        <w:rPr>
          <w:lang w:val="en_US" w:bidi="en_US"/>
        </w:rPr>
      </w:r>
      <w:r>
        <w:rPr>
          <w:lang w:val="en_US" w:bidi="en_US"/>
        </w:rPr>
        <w:t>¶ While that was happening, the people were waiting outside for Zechariah.</w:t>
      </w:r>
    </w:p>
    <w:p>
      <w:pPr>
        <w:pStyle w:val="ListBullet"/>
        <w:spacing w:line="240" w:lineRule="auto"/>
        <w:ind w:left="720"/>
      </w:pPr>
      <w:r>
        <w:rPr>
          <w:lang w:val="en_US" w:bidi="en_US"/>
        </w:rPr>
      </w:r>
      <w:r>
        <w:rPr>
          <w:lang w:val="en_US" w:bidi="en_US"/>
        </w:rPr>
        <w:t xml:space="preserve">¶ While </w:t>
      </w:r>
      <w:r>
        <w:rPr>
          <w:lang w:val="en_US" w:bidi="en_US"/>
        </w:rPr>
        <w:t>the angel was speaking to Zechariah,</w:t>
      </w:r>
      <w:r>
        <w:rPr>
          <w:lang w:val="en_US" w:bidi="en_US"/>
        </w:rPr>
        <w:t xml:space="preserve"> the crowd </w:t>
      </w:r>
      <w:r>
        <w:rPr>
          <w:lang w:val="en_US" w:bidi="en_US"/>
        </w:rPr>
        <w:t>of worshipers</w:t>
      </w:r>
      <w:r>
        <w:rPr>
          <w:lang w:val="en_US" w:bidi="en_US"/>
        </w:rPr>
        <w:t xml:space="preserve"> waited for Zechariah </w:t>
      </w:r>
      <w:r>
        <w:rPr>
          <w:lang w:val="en_US" w:bidi="en_US"/>
        </w:rPr>
        <w:t>to come out</w:t>
      </w:r>
      <w:r>
        <w:rPr>
          <w:lang w:val="en_US" w:bidi="en_US"/>
        </w:rPr>
        <w:t>.</w:t>
      </w:r>
    </w:p>
    <w:p>
      <w:pPr/>
      <w:r>
        <w:rPr>
          <w:lang w:val="en_US" w:bidi="en_US"/>
        </w:rPr>
      </w:r>
      <w:r>
        <w:rPr>
          <w:b/>
          <w:lang w:val="en_US" w:bidi="en_US"/>
        </w:rPr>
        <w:t>Meanwhile:</w:t>
      </w:r>
      <w:r>
        <w:rPr>
          <w:lang w:val="en_US" w:bidi="en_US"/>
        </w:rPr>
        <w:t xml:space="preserve"> In this verse Luke told what the people in the courtyard were doing while Zechariah was in the temple. Languages have different ways to connect events that happened at the same time. In English, such events are often connected with the word </w:t>
      </w:r>
      <w:r>
        <w:rPr>
          <w:i/>
          <w:lang w:val="en_US" w:bidi="en_US"/>
        </w:rPr>
        <w:t>Meanwhile</w:t>
      </w:r>
      <w:r>
        <w:rPr>
          <w:lang w:val="en_US" w:bidi="en_US"/>
        </w:rPr>
        <w:t xml:space="preserve"> (as in the BSB). The Greek text uses the common conjunction that is often translated as “and.” Another way to translate this is to focus on the place where the other event happened. For example:</w:t>
      </w:r>
    </w:p>
    <w:p>
      <w:pPr/>
      <w:r>
        <w:rPr>
          <w:lang w:val="en_US" w:bidi="en_US"/>
        </w:rPr>
      </w:r>
      <w:r>
        <w:rPr>
          <w:u w:val="single"/>
          <w:lang w:val="en_US" w:bidi="en_US"/>
        </w:rPr>
        <w:t>Outside</w:t>
      </w:r>
      <w:r>
        <w:rPr>
          <w:lang w:val="en_US" w:bidi="en_US"/>
        </w:rPr>
        <w:t>, the people were still waiting for Zechariah</w:t>
      </w:r>
    </w:p>
    <w:p>
      <w:pPr/>
      <w:r>
        <w:rPr>
          <w:lang w:val="en_US" w:bidi="en_US"/>
        </w:rPr>
      </w:r>
      <w:r>
        <w:rPr>
          <w:lang w:val="en_US" w:bidi="en_US"/>
        </w:rPr>
        <w:t>Use a natural way in your language to indicate that the events in this verse happened at the same time when Zechariah was in the temple.</w:t>
      </w:r>
    </w:p>
    <w:p>
      <w:pPr/>
      <w:r>
        <w:rPr>
          <w:lang w:val="en_US" w:bidi="en_US"/>
        </w:rPr>
      </w:r>
      <w:r>
        <w:rPr>
          <w:b/>
          <w:lang w:val="en_US" w:bidi="en_US"/>
        </w:rPr>
        <w:t>the people were waiting for Zechariah:</w:t>
      </w:r>
      <w:r>
        <w:rPr>
          <w:lang w:val="en_US" w:bidi="en_US"/>
        </w:rPr>
        <w:t xml:space="preserve"> The phrase </w:t>
      </w:r>
      <w:r>
        <w:rPr>
          <w:i/>
          <w:lang w:val="en_US" w:bidi="en_US"/>
        </w:rPr>
        <w:t>the people</w:t>
      </w:r>
      <w:r>
        <w:rPr>
          <w:lang w:val="en_US" w:bidi="en_US"/>
        </w:rPr>
        <w:t xml:space="preserve"> refers to the worshipers who were mentioned in 1:10b. They were standing outside the temple praying to God. Zechariah was inside the temple, and they were waiting for him to come out. Refer to them here in a clear way in your language.</w:t>
      </w:r>
    </w:p>
    <w:p>
      <w:pPr>
        <w:pStyle w:val="Heading5"/>
      </w:pPr>
      <w:r>
        <w:rPr>
          <w:lang w:val="en_US" w:bidi="en_US"/>
        </w:rPr>
        <w:t>1:21b</w:t>
      </w:r>
    </w:p>
    <w:p>
      <w:pPr/>
      <w:r>
        <w:rPr>
          <w:lang w:val="en_US" w:bidi="en_US"/>
        </w:rPr>
      </w:r>
      <w:r>
        <w:rPr>
          <w:b/>
          <w:lang w:val="en_US" w:bidi="en_US"/>
        </w:rPr>
        <w:t>and wondering why he took so long in the temple.</w:t>
      </w:r>
    </w:p>
    <w:p>
      <w:pPr>
        <w:pStyle w:val="ListBullet"/>
        <w:spacing w:line="240" w:lineRule="auto"/>
        <w:ind w:left="720"/>
      </w:pPr>
      <w:r>
        <w:rPr>
          <w:lang w:val="en_US" w:bidi="en_US"/>
        </w:rPr>
      </w:r>
      <w:r>
        <w:rPr>
          <w:lang w:val="en_US" w:bidi="en_US"/>
        </w:rPr>
        <w:t>They were amazed that he was staying longer than usual in holy place.</w:t>
      </w:r>
    </w:p>
    <w:p>
      <w:pPr>
        <w:pStyle w:val="ListBullet"/>
        <w:spacing w:line="240" w:lineRule="auto"/>
        <w:ind w:left="720"/>
      </w:pPr>
      <w:r>
        <w:rPr>
          <w:lang w:val="en_US" w:bidi="en_US"/>
        </w:rPr>
      </w:r>
      <w:r>
        <w:rPr>
          <w:lang w:val="en_US" w:bidi="en_US"/>
        </w:rPr>
        <w:t>They were surprised that he remained so long in the temple.</w:t>
      </w:r>
    </w:p>
    <w:p>
      <w:pPr>
        <w:pStyle w:val="ListBullet"/>
        <w:spacing w:line="240" w:lineRule="auto"/>
        <w:ind w:left="720"/>
      </w:pPr>
      <w:r>
        <w:rPr>
          <w:lang w:val="en_US" w:bidi="en_US"/>
        </w:rPr>
      </w:r>
      <w:r>
        <w:rPr>
          <w:lang w:val="en_US" w:bidi="en_US"/>
        </w:rPr>
        <w:t>They thought, “Why is he staying so long in the temple?”</w:t>
      </w:r>
    </w:p>
    <w:p>
      <w:pPr/>
      <w:r>
        <w:rPr>
          <w:lang w:val="en_US" w:bidi="en_US"/>
        </w:rPr>
      </w:r>
      <w:r>
        <w:rPr>
          <w:b/>
          <w:lang w:val="en_US" w:bidi="en_US"/>
        </w:rPr>
        <w:t>wondering why he took so long in the temple:</w:t>
      </w:r>
      <w:r>
        <w:rPr>
          <w:lang w:val="en_US" w:bidi="en_US"/>
        </w:rPr>
        <w:t xml:space="preserve"> The Greek word that the BSB translates as </w:t>
      </w:r>
      <w:r>
        <w:rPr>
          <w:i/>
          <w:lang w:val="en_US" w:bidi="en_US"/>
        </w:rPr>
        <w:t>wondering</w:t>
      </w:r>
      <w:r>
        <w:rPr>
          <w:lang w:val="en_US" w:bidi="en_US"/>
        </w:rPr>
        <w:t xml:space="preserve"> indicates that the people were “surprised” or “amazed.” For example:</w:t>
      </w:r>
    </w:p>
    <w:p>
      <w:pPr/>
      <w:r>
        <w:rPr>
          <w:lang w:val="en_US" w:bidi="en_US"/>
        </w:rPr>
      </w:r>
      <w:r>
        <w:rPr>
          <w:lang w:val="en_US" w:bidi="en_US"/>
        </w:rPr>
        <w:t>and were surprised that he was staying so long in the Temple (NCV)</w:t>
      </w:r>
    </w:p>
    <w:p>
      <w:pPr/>
      <w:r>
        <w:rPr>
          <w:lang w:val="en_US" w:bidi="en_US"/>
        </w:rPr>
      </w:r>
      <w:r>
        <w:rPr>
          <w:lang w:val="en_US" w:bidi="en_US"/>
        </w:rPr>
        <w:t>Zechariah stayed inside the temple longer than other priests usually did. The people were surprised at the delay and tried to think of what might be causing him to be late.</w:t>
      </w:r>
    </w:p>
    <w:p>
      <w:pPr/>
      <w:r>
        <w:rPr>
          <w:lang w:val="en_US" w:bidi="en_US"/>
        </w:rPr>
      </w:r>
      <w:r>
        <w:rPr>
          <w:b/>
          <w:lang w:val="en_US" w:bidi="en_US"/>
        </w:rPr>
        <w:t>temple:</w:t>
      </w:r>
      <w:r>
        <w:rPr>
          <w:lang w:val="en_US" w:bidi="en_US"/>
        </w:rPr>
        <w:t xml:space="preserve"> The Greek word that the BSB translates as </w:t>
      </w:r>
      <w:r>
        <w:rPr>
          <w:i/>
          <w:lang w:val="en_US" w:bidi="en_US"/>
        </w:rPr>
        <w:t>temple</w:t>
      </w:r>
      <w:r>
        <w:rPr>
          <w:lang w:val="en_US" w:bidi="en_US"/>
        </w:rPr>
        <w:t xml:space="preserve"> refers to the innermost building of the temple in Jerusalem. This is the same word as in 1:9b. See temple, Meaning 2, in the Glossary.</w:t>
      </w:r>
      <w:r>
        <w:rPr>
          <w:lang w:val="en_US" w:bidi="en_US"/>
        </w:rPr>
      </w:r>
      <w:r>
        <w:rPr>
          <w:lang w:val="en_US" w:bidi="en_US"/>
        </w:rPr>
      </w:r>
    </w:p>
    <w:p>
      <w:pPr/>
      <w:r>
        <w:rPr>
          <w:lang w:val="en_US" w:bidi="en_US"/>
        </w:rPr>
      </w:r>
    </w:p>
    <w:p>
      <w:pPr>
        <w:pStyle w:val="Heading2"/>
      </w:pPr>
      <w:r>
        <w:rPr>
          <w:lang w:val="en_US" w:bidi="en_US"/>
        </w:rPr>
        <w:t>Luke 1:22</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5"/>
      </w:pPr>
      <w:r>
        <w:rPr>
          <w:lang w:val="en_US" w:bidi="en_US"/>
        </w:rPr>
        <w:t>1:22a</w:t>
      </w:r>
    </w:p>
    <w:p>
      <w:pPr/>
      <w:r>
        <w:rPr>
          <w:lang w:val="en_US" w:bidi="en_US"/>
        </w:rPr>
      </w:r>
      <w:r>
        <w:rPr>
          <w:b/>
          <w:lang w:val="en_US" w:bidi="en_US"/>
        </w:rPr>
        <w:t>When he came out and was unable to speak to them,</w:t>
      </w:r>
    </w:p>
    <w:p>
      <w:pPr>
        <w:pStyle w:val="ListBullet"/>
        <w:spacing w:line="240" w:lineRule="auto"/>
        <w:ind w:left="720"/>
      </w:pPr>
      <w:r>
        <w:rPr>
          <w:lang w:val="en_US" w:bidi="en_US"/>
        </w:rPr>
      </w:r>
      <w:r>
        <w:rPr>
          <w:lang w:val="en_US" w:bidi="en_US"/>
        </w:rPr>
        <w:t>When Zechariah did come out, he was unable to talk to them.</w:t>
      </w:r>
    </w:p>
    <w:p>
      <w:pPr>
        <w:pStyle w:val="ListBullet"/>
        <w:spacing w:line="240" w:lineRule="auto"/>
        <w:ind w:left="720"/>
      </w:pPr>
      <w:r>
        <w:rPr>
          <w:lang w:val="en_US" w:bidi="en_US"/>
        </w:rPr>
      </w:r>
      <w:r>
        <w:rPr>
          <w:lang w:val="en_US" w:bidi="en_US"/>
        </w:rPr>
        <w:t>Then</w:t>
      </w:r>
      <w:r>
        <w:rPr>
          <w:lang w:val="en_US" w:bidi="en_US"/>
        </w:rPr>
        <w:t xml:space="preserve"> when he came out, he could not speak to them,</w:t>
      </w:r>
    </w:p>
    <w:p>
      <w:pPr/>
      <w:r>
        <w:rPr>
          <w:lang w:val="en_US" w:bidi="en_US"/>
        </w:rPr>
      </w:r>
      <w:r>
        <w:rPr>
          <w:b/>
          <w:lang w:val="en_US" w:bidi="en_US"/>
        </w:rPr>
        <w:t>was unable to speak to them:</w:t>
      </w:r>
      <w:r>
        <w:rPr>
          <w:lang w:val="en_US" w:bidi="en_US"/>
        </w:rPr>
        <w:t xml:space="preserve"> Zechariah was unable to talk, so he was not able to tell the people what he had seen in the temple.</w:t>
      </w:r>
    </w:p>
    <w:p>
      <w:pPr>
        <w:pStyle w:val="Heading5"/>
      </w:pPr>
      <w:r>
        <w:rPr>
          <w:lang w:val="en_US" w:bidi="en_US"/>
        </w:rPr>
        <w:t>1:22b</w:t>
      </w:r>
    </w:p>
    <w:p>
      <w:pPr/>
      <w:r>
        <w:rPr>
          <w:lang w:val="en_US" w:bidi="en_US"/>
        </w:rPr>
      </w:r>
      <w:r>
        <w:rPr>
          <w:b/>
          <w:lang w:val="en_US" w:bidi="en_US"/>
        </w:rPr>
        <w:t>they realized he had seen a vision in the temple.</w:t>
      </w:r>
    </w:p>
    <w:p>
      <w:pPr>
        <w:pStyle w:val="ListBullet"/>
        <w:spacing w:line="240" w:lineRule="auto"/>
        <w:ind w:left="720"/>
      </w:pPr>
      <w:r>
        <w:rPr>
          <w:lang w:val="en_US" w:bidi="en_US"/>
        </w:rPr>
      </w:r>
      <w:r>
        <w:rPr>
          <w:lang w:val="en_US" w:bidi="en_US"/>
        </w:rPr>
        <w:t>The people understood that he had seen something supernatural in the holy place</w:t>
      </w:r>
    </w:p>
    <w:p>
      <w:pPr>
        <w:pStyle w:val="ListBullet"/>
        <w:spacing w:line="240" w:lineRule="auto"/>
        <w:ind w:left="720"/>
      </w:pPr>
      <w:r>
        <w:rPr>
          <w:lang w:val="en_US" w:bidi="en_US"/>
        </w:rPr>
      </w:r>
      <w:r>
        <w:rPr>
          <w:lang w:val="en_US" w:bidi="en_US"/>
        </w:rPr>
        <w:t>and so</w:t>
      </w:r>
      <w:r>
        <w:rPr>
          <w:lang w:val="en_US" w:bidi="en_US"/>
        </w:rPr>
        <w:t xml:space="preserve"> they concluded that </w:t>
      </w:r>
      <w:r>
        <w:rPr>
          <w:lang w:val="en_US" w:bidi="en_US"/>
        </w:rPr>
        <w:t>God</w:t>
      </w:r>
      <w:r>
        <w:rPr>
          <w:lang w:val="en_US" w:bidi="en_US"/>
        </w:rPr>
        <w:t xml:space="preserve"> had showed him a vision in the temple.</w:t>
      </w:r>
    </w:p>
    <w:p>
      <w:pPr/>
      <w:r>
        <w:rPr>
          <w:lang w:val="en_US" w:bidi="en_US"/>
        </w:rPr>
      </w:r>
      <w:r>
        <w:rPr>
          <w:b/>
          <w:lang w:val="en_US" w:bidi="en_US"/>
        </w:rPr>
        <w:t>they realized:</w:t>
      </w:r>
      <w:r>
        <w:rPr>
          <w:lang w:val="en_US" w:bidi="en_US"/>
        </w:rPr>
        <w:t xml:space="preserve"> The Greek word that the BSB translates as </w:t>
      </w:r>
      <w:r>
        <w:rPr>
          <w:i/>
          <w:lang w:val="en_US" w:bidi="en_US"/>
        </w:rPr>
        <w:t>realized</w:t>
      </w:r>
      <w:r>
        <w:rPr>
          <w:lang w:val="en_US" w:bidi="en_US"/>
        </w:rPr>
        <w:t xml:space="preserve"> indicates that the people “understood” or “came to know” that Zechariah had seen a vision. Some other ways to say this are:</w:t>
      </w:r>
    </w:p>
    <w:p>
      <w:pPr/>
      <w:r>
        <w:rPr>
          <w:lang w:val="en_US" w:bidi="en_US"/>
        </w:rPr>
      </w:r>
      <w:r>
        <w:rPr>
          <w:lang w:val="en_US" w:bidi="en_US"/>
        </w:rPr>
        <w:t>they perceived (RSV)</w:t>
      </w:r>
    </w:p>
    <w:p>
      <w:pPr/>
      <w:r>
        <w:rPr>
          <w:lang w:val="en_US" w:bidi="en_US"/>
        </w:rPr>
      </w:r>
      <w:r>
        <w:rPr>
          <w:lang w:val="en_US" w:bidi="en_US"/>
        </w:rPr>
        <w:t>it became clear to them</w:t>
      </w:r>
    </w:p>
    <w:p>
      <w:pPr/>
      <w:r>
        <w:rPr>
          <w:lang w:val="en_US" w:bidi="en_US"/>
        </w:rPr>
      </w:r>
      <w:r>
        <w:rPr>
          <w:b/>
          <w:lang w:val="en_US" w:bidi="en_US"/>
        </w:rPr>
        <w:t>he had seen a vision:</w:t>
      </w:r>
      <w:r>
        <w:rPr>
          <w:lang w:val="en_US" w:bidi="en_US"/>
        </w:rPr>
        <w:t xml:space="preserve"> The Greek word that the BSB translates as </w:t>
      </w:r>
      <w:r>
        <w:rPr>
          <w:i/>
          <w:lang w:val="en_US" w:bidi="en_US"/>
        </w:rPr>
        <w:t>a vision</w:t>
      </w:r>
      <w:r>
        <w:rPr>
          <w:lang w:val="en_US" w:bidi="en_US"/>
        </w:rPr>
        <w:t xml:space="preserve"> implies here that the angel appeared to Zechariah in a supernatural way. A human being is not able to see an angel unless God makes him able to see the angel. The meaning in this context is a little different from the usual meaning of vision. Usually, a </w:t>
      </w:r>
      <w:r>
        <w:rPr>
          <w:i/>
          <w:lang w:val="en_US" w:bidi="en_US"/>
        </w:rPr>
        <w:t>vision</w:t>
      </w:r>
      <w:r>
        <w:rPr>
          <w:lang w:val="en_US" w:bidi="en_US"/>
        </w:rPr>
        <w:t xml:space="preserve"> refers to something similar to a dream, except that a person is awake when he sees it.</w:t>
      </w:r>
    </w:p>
    <w:p>
      <w:pPr/>
      <w:r>
        <w:rPr>
          <w:lang w:val="en_US" w:bidi="en_US"/>
        </w:rPr>
      </w:r>
      <w:r>
        <w:rPr>
          <w:lang w:val="en_US" w:bidi="en_US"/>
        </w:rPr>
        <w:t>Some other ways to translate this are:</w:t>
      </w:r>
    </w:p>
    <w:p>
      <w:pPr/>
      <w:r>
        <w:rPr>
          <w:lang w:val="en_US" w:bidi="en_US"/>
        </w:rPr>
      </w:r>
      <w:r>
        <w:rPr>
          <w:lang w:val="en_US" w:bidi="en_US"/>
        </w:rPr>
        <w:t>he had seen something supernatural</w:t>
      </w:r>
    </w:p>
    <w:p>
      <w:pPr/>
      <w:r>
        <w:rPr>
          <w:lang w:val="en_US" w:bidi="en_US"/>
        </w:rPr>
      </w:r>
      <w:r>
        <w:rPr>
          <w:lang w:val="en_US" w:bidi="en_US"/>
        </w:rPr>
        <w:t>God had showed him something</w:t>
      </w:r>
    </w:p>
    <w:p>
      <w:pPr>
        <w:pStyle w:val="Heading5"/>
      </w:pPr>
      <w:r>
        <w:rPr>
          <w:lang w:val="en_US" w:bidi="en_US"/>
        </w:rPr>
        <w:t>1:22c</w:t>
      </w:r>
    </w:p>
    <w:p>
      <w:pPr/>
      <w:r>
        <w:rPr>
          <w:lang w:val="en_US" w:bidi="en_US"/>
        </w:rPr>
      </w:r>
      <w:r>
        <w:rPr>
          <w:b/>
          <w:lang w:val="en_US" w:bidi="en_US"/>
        </w:rPr>
        <w:t>He kept making signs to them</w:t>
      </w:r>
    </w:p>
    <w:p>
      <w:pPr>
        <w:pStyle w:val="ListBullet"/>
        <w:spacing w:line="240" w:lineRule="auto"/>
        <w:ind w:left="720"/>
      </w:pPr>
      <w:r>
        <w:rPr>
          <w:lang w:val="en_US" w:bidi="en_US"/>
        </w:rPr>
      </w:r>
      <w:r>
        <w:rPr>
          <w:lang w:val="en_US" w:bidi="en_US"/>
        </w:rPr>
        <w:t>because he kept gesturing to them</w:t>
      </w:r>
    </w:p>
    <w:p>
      <w:pPr>
        <w:pStyle w:val="ListBullet"/>
        <w:spacing w:line="240" w:lineRule="auto"/>
        <w:ind w:left="720"/>
      </w:pPr>
      <w:r>
        <w:rPr>
          <w:lang w:val="en_US" w:bidi="en_US"/>
        </w:rPr>
      </w:r>
      <w:r>
        <w:rPr>
          <w:lang w:val="en_US" w:bidi="en_US"/>
        </w:rPr>
        <w:t xml:space="preserve">Zechariah motioned to them </w:t>
      </w:r>
      <w:r>
        <w:rPr>
          <w:lang w:val="en_US" w:bidi="en_US"/>
        </w:rPr>
        <w:t>with his hands</w:t>
      </w:r>
      <w:r>
        <w:rPr>
          <w:lang w:val="en_US" w:bidi="en_US"/>
        </w:rPr>
        <w:t xml:space="preserve"> </w:t>
      </w:r>
      <w:r>
        <w:rPr>
          <w:lang w:val="en_US" w:bidi="en_US"/>
        </w:rPr>
        <w:t>to try to tell them what had happened</w:t>
      </w:r>
      <w:r>
        <w:rPr>
          <w:lang w:val="en_US" w:bidi="en_US"/>
        </w:rPr>
        <w:t>,</w:t>
      </w:r>
    </w:p>
    <w:p>
      <w:pPr/>
      <w:r>
        <w:rPr>
          <w:lang w:val="en_US" w:bidi="en_US"/>
        </w:rPr>
      </w:r>
      <w:r>
        <w:rPr>
          <w:lang w:val="en_US" w:bidi="en_US"/>
        </w:rPr>
        <w:t>There is a Greek conjunction at the beginning of this verse part that is often translated as “and” in English. It introduces an explanation of how the people realized that Zechariah had seen a vision. Some translations, such as the NIV, translate it as “for.” Other translations, including the BSB, do not translate it. Connect this part of the verse to 1:22b in a natural way in your language. See the General Comment on 1:22a–d at the end of the notes on 1:22d for suggestions about reordering the parts of this verse.</w:t>
      </w:r>
    </w:p>
    <w:p>
      <w:pPr/>
      <w:r>
        <w:rPr>
          <w:lang w:val="en_US" w:bidi="en_US"/>
        </w:rPr>
      </w:r>
      <w:r>
        <w:rPr>
          <w:b/>
          <w:lang w:val="en_US" w:bidi="en_US"/>
        </w:rPr>
        <w:t>He kept making signs to them:</w:t>
      </w:r>
      <w:r>
        <w:rPr>
          <w:lang w:val="en_US" w:bidi="en_US"/>
        </w:rPr>
        <w:t xml:space="preserve"> The phrase </w:t>
      </w:r>
      <w:r>
        <w:rPr>
          <w:i/>
          <w:lang w:val="en_US" w:bidi="en_US"/>
        </w:rPr>
        <w:t>making signs</w:t>
      </w:r>
      <w:r>
        <w:rPr>
          <w:lang w:val="en_US" w:bidi="en_US"/>
        </w:rPr>
        <w:t xml:space="preserve"> describes the way in which Zechariah tried to communicate with the people. He did this by moving his hands and perhaps also his head. The form of the verb indicates that he did this action many times.</w:t>
      </w:r>
    </w:p>
    <w:p>
      <w:pPr>
        <w:pStyle w:val="Heading5"/>
      </w:pPr>
      <w:r>
        <w:rPr>
          <w:lang w:val="en_US" w:bidi="en_US"/>
        </w:rPr>
        <w:t>1:22d</w:t>
      </w:r>
    </w:p>
    <w:p>
      <w:pPr/>
      <w:r>
        <w:rPr>
          <w:lang w:val="en_US" w:bidi="en_US"/>
        </w:rPr>
      </w:r>
      <w:r>
        <w:rPr>
          <w:b/>
          <w:lang w:val="en_US" w:bidi="en_US"/>
        </w:rPr>
        <w:t>but remained speechless.</w:t>
      </w:r>
    </w:p>
    <w:p>
      <w:pPr>
        <w:pStyle w:val="ListBullet"/>
        <w:spacing w:line="240" w:lineRule="auto"/>
        <w:ind w:left="720"/>
      </w:pPr>
      <w:r>
        <w:rPr>
          <w:lang w:val="en_US" w:bidi="en_US"/>
        </w:rPr>
      </w:r>
      <w:r>
        <w:rPr>
          <w:lang w:val="en_US" w:bidi="en_US"/>
        </w:rPr>
        <w:t>and remained mute.</w:t>
      </w:r>
    </w:p>
    <w:p>
      <w:pPr>
        <w:pStyle w:val="ListBullet"/>
        <w:spacing w:line="240" w:lineRule="auto"/>
        <w:ind w:left="720"/>
      </w:pPr>
      <w:r>
        <w:rPr>
          <w:lang w:val="en_US" w:bidi="en_US"/>
        </w:rPr>
      </w:r>
      <w:r>
        <w:rPr>
          <w:lang w:val="en_US" w:bidi="en_US"/>
        </w:rPr>
        <w:t>but he could not speak.</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is often translated as “and” in English. Some English versions use </w:t>
      </w:r>
      <w:r>
        <w:rPr>
          <w:i/>
          <w:lang w:val="en_US" w:bidi="en_US"/>
        </w:rPr>
        <w:t>but</w:t>
      </w:r>
      <w:r>
        <w:rPr>
          <w:lang w:val="en_US" w:bidi="en_US"/>
        </w:rPr>
        <w:t xml:space="preserve"> because it is natural in English to indicate a contrast between what Zechariah could do (1:22c) and what he could not do. Other English versions translate the conjunction as “and,” or they do not translate it. Connect 1:22d to 1:22c in the way that is most natural in your language in this context.</w:t>
      </w:r>
    </w:p>
    <w:p>
      <w:pPr/>
      <w:r>
        <w:rPr>
          <w:lang w:val="en_US" w:bidi="en_US"/>
        </w:rPr>
      </w:r>
      <w:r>
        <w:rPr>
          <w:b/>
          <w:lang w:val="en_US" w:bidi="en_US"/>
        </w:rPr>
        <w:t>remained speechless:</w:t>
      </w:r>
      <w:r>
        <w:rPr>
          <w:lang w:val="en_US" w:bidi="en_US"/>
        </w:rPr>
        <w:t xml:space="preserve"> The Greek word that the BSB translates as </w:t>
      </w:r>
      <w:r>
        <w:rPr>
          <w:i/>
          <w:lang w:val="en_US" w:bidi="en_US"/>
        </w:rPr>
        <w:t>remained speechless</w:t>
      </w:r>
      <w:r>
        <w:rPr>
          <w:lang w:val="en_US" w:bidi="en_US"/>
        </w:rPr>
        <w:t xml:space="preserve"> can mean unable to speak, unable to hear, or both. Here it includes the idea that Zechariah </w:t>
      </w:r>
      <w:r>
        <w:rPr>
          <w:i/>
          <w:lang w:val="en_US" w:bidi="en_US"/>
        </w:rPr>
        <w:t>remained speechless</w:t>
      </w:r>
      <w:r>
        <w:rPr>
          <w:lang w:val="en_US" w:bidi="en_US"/>
        </w:rPr>
        <w:t>, since that is what Gabriel had said. Luke 1:62 may indicate that Zechariah was also deaf. If your language has a word that means both unable to speak and unable to hear, you may use it here.</w:t>
      </w:r>
    </w:p>
    <w:p>
      <w:pPr/>
      <w:r>
        <w:rPr>
          <w:lang w:val="en_US" w:bidi="en_US"/>
        </w:rPr>
      </w:r>
      <w:r>
        <w:rPr>
          <w:lang w:val="en_US" w:bidi="en_US"/>
        </w:rPr>
        <w:t xml:space="preserve">This verse refers specifically to Zechariah as he tried to communicate with the people at the temple. Luke 1:62–64 indicates that he </w:t>
      </w:r>
      <w:r>
        <w:rPr>
          <w:i/>
          <w:lang w:val="en_US" w:bidi="en_US"/>
        </w:rPr>
        <w:t>remained speechless</w:t>
      </w:r>
      <w:r>
        <w:rPr>
          <w:lang w:val="en_US" w:bidi="en_US"/>
        </w:rPr>
        <w:t xml:space="preserve"> for a long time (for at least nine months).</w:t>
      </w:r>
    </w:p>
    <w:p>
      <w:pPr>
        <w:pStyle w:val="Heading6"/>
      </w:pPr>
      <w:r>
        <w:rPr>
          <w:b/>
          <w:lang w:val="en_US" w:bidi="en_US"/>
        </w:rPr>
        <w:t>General Comment on 1:22a–d</w:t>
      </w:r>
    </w:p>
    <w:p>
      <w:pPr/>
      <w:r>
        <w:rPr>
          <w:lang w:val="en_US" w:bidi="en_US"/>
        </w:rPr>
      </w:r>
      <w:r>
        <w:rPr>
          <w:lang w:val="en_US" w:bidi="en_US"/>
        </w:rPr>
        <w:t>In some languages, it may be necessary to reorder this verse. One way to do that is to put the description of Zechariah’s behavior first and then give the people’s conclusion that Zechariah had seen a vision. For example:</w:t>
      </w:r>
    </w:p>
    <w:p>
      <w:pPr/>
      <w:r>
        <w:rPr>
          <w:lang w:val="en_US" w:bidi="en_US"/>
        </w:rPr>
      </w:r>
      <w:r>
        <w:rPr>
          <w:vertAlign w:val="superscript"/>
          <w:lang w:val="en_US" w:bidi="en_US"/>
        </w:rPr>
        <w:t>22a</w:t>
      </w:r>
      <w:r>
        <w:rPr>
          <w:lang w:val="en_US" w:bidi="en_US"/>
        </w:rPr>
        <w:t xml:space="preserve">When Zechariah came out of the temple, he could not talk to them. </w:t>
      </w:r>
      <w:r>
        <w:rPr>
          <w:vertAlign w:val="superscript"/>
          <w:lang w:val="en_US" w:bidi="en_US"/>
        </w:rPr>
        <w:t>22c</w:t>
      </w:r>
      <w:r>
        <w:rPr>
          <w:lang w:val="en_US" w:bidi="en_US"/>
        </w:rPr>
        <w:t xml:space="preserve">He made hand signals to them </w:t>
      </w:r>
      <w:r>
        <w:rPr>
          <w:vertAlign w:val="superscript"/>
          <w:lang w:val="en_US" w:bidi="en_US"/>
        </w:rPr>
        <w:t>22d</w:t>
      </w:r>
      <w:r>
        <w:rPr>
          <w:lang w:val="en_US" w:bidi="en_US"/>
        </w:rPr>
        <w:t xml:space="preserve">but remained mute. </w:t>
      </w:r>
      <w:r>
        <w:rPr>
          <w:vertAlign w:val="superscript"/>
          <w:lang w:val="en_US" w:bidi="en_US"/>
        </w:rPr>
        <w:t>22b</w:t>
      </w:r>
      <w:r>
        <w:rPr>
          <w:lang w:val="en_US" w:bidi="en_US"/>
        </w:rPr>
        <w:t>Then/so the people realized that he had seen a vision.</w:t>
      </w:r>
    </w:p>
    <w:p>
      <w:pPr/>
      <w:r>
        <w:rPr>
          <w:lang w:val="en_US" w:bidi="en_US"/>
        </w:rPr>
      </w:r>
      <w:r>
        <w:rPr>
          <w:vertAlign w:val="superscript"/>
          <w:lang w:val="en_US" w:bidi="en_US"/>
        </w:rPr>
        <w:t>22a</w:t>
      </w:r>
      <w:r>
        <w:rPr>
          <w:lang w:val="en_US" w:bidi="en_US"/>
        </w:rPr>
        <w:t xml:space="preserve">When he finally did come out, he couldn’t speak to them. </w:t>
      </w:r>
      <w:r>
        <w:rPr>
          <w:vertAlign w:val="superscript"/>
          <w:lang w:val="en_US" w:bidi="en_US"/>
        </w:rPr>
        <w:t>22b</w:t>
      </w:r>
      <w:r>
        <w:rPr>
          <w:lang w:val="en_US" w:bidi="en_US"/>
        </w:rPr>
        <w:t xml:space="preserve">Then they realized </w:t>
      </w:r>
      <w:r>
        <w:rPr>
          <w:vertAlign w:val="superscript"/>
          <w:lang w:val="en_US" w:bidi="en_US"/>
        </w:rPr>
        <w:t>22c</w:t>
      </w:r>
      <w:r>
        <w:rPr>
          <w:lang w:val="en_US" w:bidi="en_US"/>
        </w:rPr>
        <w:t xml:space="preserve">from his gestures </w:t>
      </w:r>
      <w:r>
        <w:rPr>
          <w:vertAlign w:val="superscript"/>
          <w:lang w:val="en_US" w:bidi="en_US"/>
        </w:rPr>
        <w:t>22d</w:t>
      </w:r>
      <w:r>
        <w:rPr>
          <w:lang w:val="en_US" w:bidi="en_US"/>
        </w:rPr>
        <w:t xml:space="preserve">and his silence </w:t>
      </w:r>
      <w:r>
        <w:rPr>
          <w:vertAlign w:val="superscript"/>
          <w:lang w:val="en_US" w:bidi="en_US"/>
        </w:rPr>
        <w:t>22b</w:t>
      </w:r>
      <w:r>
        <w:rPr>
          <w:lang w:val="en_US" w:bidi="en_US"/>
        </w:rPr>
        <w:t>that he must have seen a vision in the sanctuary. (NLT)</w:t>
      </w:r>
      <w:r>
        <w:rPr>
          <w:lang w:val="en_US" w:bidi="en_US"/>
        </w:rPr>
      </w:r>
      <w:r>
        <w:rPr>
          <w:lang w:val="en_US" w:bidi="en_US"/>
        </w:rPr>
      </w:r>
    </w:p>
    <w:p>
      <w:pPr/>
      <w:r>
        <w:rPr>
          <w:lang w:val="en_US" w:bidi="en_US"/>
        </w:rPr>
      </w:r>
    </w:p>
    <w:p>
      <w:pPr>
        <w:pStyle w:val="Heading2"/>
      </w:pPr>
      <w:r>
        <w:rPr>
          <w:lang w:val="en_US" w:bidi="en_US"/>
        </w:rPr>
        <w:t>Luke 1:23</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5"/>
      </w:pPr>
      <w:r>
        <w:rPr>
          <w:lang w:val="en_US" w:bidi="en_US"/>
        </w:rPr>
        <w:t>1:23a</w:t>
      </w:r>
    </w:p>
    <w:p>
      <w:pPr/>
      <w:r>
        <w:rPr>
          <w:lang w:val="en_US" w:bidi="en_US"/>
        </w:rPr>
      </w:r>
      <w:r>
        <w:rPr>
          <w:b/>
          <w:lang w:val="en_US" w:bidi="en_US"/>
        </w:rPr>
        <w:t>And when the days of his service were complete,</w:t>
      </w:r>
    </w:p>
    <w:p>
      <w:pPr>
        <w:pStyle w:val="ListBullet"/>
        <w:spacing w:line="240" w:lineRule="auto"/>
        <w:ind w:left="720"/>
      </w:pPr>
      <w:r>
        <w:rPr>
          <w:lang w:val="en_US" w:bidi="en_US"/>
        </w:rPr>
      </w:r>
      <w:r>
        <w:rPr>
          <w:lang w:val="en_US" w:bidi="en_US"/>
        </w:rPr>
        <w:t xml:space="preserve">¶ When Zechariah’s work time/week </w:t>
      </w:r>
      <w:r>
        <w:rPr>
          <w:lang w:val="en_US" w:bidi="en_US"/>
        </w:rPr>
        <w:t>as a priest</w:t>
      </w:r>
      <w:r>
        <w:rPr>
          <w:lang w:val="en_US" w:bidi="en_US"/>
        </w:rPr>
        <w:t xml:space="preserve"> was finished,</w:t>
      </w:r>
    </w:p>
    <w:p>
      <w:pPr>
        <w:pStyle w:val="ListBullet"/>
        <w:spacing w:line="240" w:lineRule="auto"/>
        <w:ind w:left="720"/>
      </w:pPr>
      <w:r>
        <w:rPr>
          <w:lang w:val="en_US" w:bidi="en_US"/>
        </w:rPr>
      </w:r>
      <w:r>
        <w:rPr>
          <w:lang w:val="en_US" w:bidi="en_US"/>
        </w:rPr>
        <w:t xml:space="preserve">¶ The days </w:t>
      </w:r>
      <w:r>
        <w:rPr>
          <w:lang w:val="en_US" w:bidi="en_US"/>
        </w:rPr>
        <w:t>required</w:t>
      </w:r>
      <w:r>
        <w:rPr>
          <w:lang w:val="en_US" w:bidi="en_US"/>
        </w:rPr>
        <w:t xml:space="preserve"> for Zechariah to serve </w:t>
      </w:r>
      <w:r>
        <w:rPr>
          <w:lang w:val="en_US" w:bidi="en_US"/>
        </w:rPr>
        <w:t>in the temple</w:t>
      </w:r>
      <w:r>
        <w:rPr>
          <w:lang w:val="en_US" w:bidi="en_US"/>
        </w:rPr>
        <w:t xml:space="preserve"> came to an end, and</w:t>
      </w:r>
    </w:p>
    <w:p>
      <w:pPr>
        <w:pStyle w:val="ListBullet"/>
        <w:spacing w:line="240" w:lineRule="auto"/>
        <w:ind w:left="720"/>
      </w:pPr>
      <w:r>
        <w:rPr>
          <w:lang w:val="en_US" w:bidi="en_US"/>
        </w:rPr>
      </w:r>
      <w:r>
        <w:rPr>
          <w:lang w:val="en_US" w:bidi="en_US"/>
        </w:rPr>
        <w:t xml:space="preserve">¶ Zechariah finished/completed his time of serving </w:t>
      </w:r>
      <w:r>
        <w:rPr>
          <w:lang w:val="en_US" w:bidi="en_US"/>
        </w:rPr>
        <w:t>as a priest in the temple</w:t>
      </w:r>
      <w:r>
        <w:rPr>
          <w:lang w:val="en_US" w:bidi="en_US"/>
        </w:rPr>
        <w:t>. Then</w:t>
      </w:r>
    </w:p>
    <w:p>
      <w:pPr/>
      <w:r>
        <w:rPr>
          <w:lang w:val="en_US" w:bidi="en_US"/>
        </w:rPr>
      </w:r>
      <w:r>
        <w:rPr>
          <w:b/>
          <w:lang w:val="en_US" w:bidi="en_US"/>
        </w:rPr>
        <w:t>And when the days of his service were complete:</w:t>
      </w:r>
      <w:r>
        <w:rPr>
          <w:lang w:val="en_US" w:bidi="en_US"/>
        </w:rPr>
        <w:t xml:space="preserve"> Zechariah continued working in the temple as a priest until he finished his week of work. Some other ways to translate this are:</w:t>
      </w:r>
    </w:p>
    <w:p>
      <w:pPr/>
      <w:r>
        <w:rPr>
          <w:lang w:val="en_US" w:bidi="en_US"/>
        </w:rPr>
      </w:r>
      <w:r>
        <w:rPr>
          <w:lang w:val="en_US" w:bidi="en_US"/>
        </w:rPr>
        <w:t>When his time of service at the Temple was finished (NCV)</w:t>
      </w:r>
    </w:p>
    <w:p>
      <w:pPr/>
      <w:r>
        <w:rPr>
          <w:lang w:val="en_US" w:bidi="en_US"/>
        </w:rPr>
      </w:r>
      <w:r>
        <w:rPr>
          <w:lang w:val="en_US" w:bidi="en_US"/>
        </w:rPr>
        <w:t>When Zechariah’s week of service in the Temple was over (NLT)</w:t>
      </w:r>
    </w:p>
    <w:p>
      <w:pPr>
        <w:pStyle w:val="Heading5"/>
      </w:pPr>
      <w:r>
        <w:rPr>
          <w:lang w:val="en_US" w:bidi="en_US"/>
        </w:rPr>
        <w:t>1:23b</w:t>
      </w:r>
    </w:p>
    <w:p>
      <w:pPr/>
      <w:r>
        <w:rPr>
          <w:lang w:val="en_US" w:bidi="en_US"/>
        </w:rPr>
      </w:r>
      <w:r>
        <w:rPr>
          <w:b/>
          <w:lang w:val="en_US" w:bidi="en_US"/>
        </w:rPr>
        <w:t>he returned home.</w:t>
      </w:r>
    </w:p>
    <w:p>
      <w:pPr>
        <w:pStyle w:val="ListBullet"/>
        <w:spacing w:line="240" w:lineRule="auto"/>
        <w:ind w:left="720"/>
      </w:pPr>
      <w:r>
        <w:rPr>
          <w:lang w:val="en_US" w:bidi="en_US"/>
        </w:rPr>
      </w:r>
      <w:r>
        <w:rPr>
          <w:lang w:val="en_US" w:bidi="en_US"/>
        </w:rPr>
        <w:t xml:space="preserve">he </w:t>
      </w:r>
      <w:r>
        <w:rPr>
          <w:lang w:val="en_US" w:bidi="en_US"/>
        </w:rPr>
        <w:t>left Jerusalem and</w:t>
      </w:r>
      <w:r>
        <w:rPr>
          <w:lang w:val="en_US" w:bidi="en_US"/>
        </w:rPr>
        <w:t xml:space="preserve"> went back to his house.</w:t>
      </w:r>
    </w:p>
    <w:p>
      <w:pPr/>
      <w:r>
        <w:rPr>
          <w:lang w:val="en_US" w:bidi="en_US"/>
        </w:rPr>
      </w:r>
      <w:r>
        <w:rPr>
          <w:b/>
          <w:lang w:val="en_US" w:bidi="en_US"/>
        </w:rPr>
        <w:t>he returned home:</w:t>
      </w:r>
      <w:r>
        <w:rPr>
          <w:lang w:val="en_US" w:bidi="en_US"/>
        </w:rPr>
        <w:t xml:space="preserve"> Zechariah and Elizabeth lived outside Jerusalem in the hill country of Judea.</w:t>
      </w:r>
      <w:r>
        <w:rPr>
          <w:lang w:val="en_US" w:bidi="en_US"/>
        </w:rPr>
      </w:r>
      <w:r>
        <w:rPr>
          <w:lang w:val="en_US" w:bidi="en_US"/>
        </w:rPr>
      </w:r>
    </w:p>
    <w:p>
      <w:pPr/>
      <w:r>
        <w:rPr>
          <w:lang w:val="en_US" w:bidi="en_US"/>
        </w:rPr>
      </w:r>
    </w:p>
    <w:p>
      <w:pPr>
        <w:pStyle w:val="Heading2"/>
      </w:pPr>
      <w:r>
        <w:rPr>
          <w:lang w:val="en_US" w:bidi="en_US"/>
        </w:rPr>
        <w:t>Luke 1:24</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5"/>
      </w:pPr>
      <w:r>
        <w:rPr>
          <w:lang w:val="en_US" w:bidi="en_US"/>
        </w:rPr>
        <w:t>1:24a</w:t>
      </w:r>
    </w:p>
    <w:p>
      <w:pPr/>
      <w:r>
        <w:rPr>
          <w:lang w:val="en_US" w:bidi="en_US"/>
        </w:rPr>
      </w:r>
      <w:r>
        <w:rPr>
          <w:b/>
          <w:lang w:val="en_US" w:bidi="en_US"/>
        </w:rPr>
        <w:t>After these days, his wife Elizabeth became pregnant</w:t>
      </w:r>
    </w:p>
    <w:p>
      <w:pPr>
        <w:pStyle w:val="ListBullet"/>
        <w:spacing w:line="240" w:lineRule="auto"/>
        <w:ind w:left="720"/>
      </w:pPr>
      <w:r>
        <w:rPr>
          <w:lang w:val="en_US" w:bidi="en_US"/>
        </w:rPr>
      </w:r>
      <w:r>
        <w:rPr>
          <w:lang w:val="en_US" w:bidi="en_US"/>
        </w:rPr>
        <w:t>Some time later, Elizabeth, his wife, became pregnant.</w:t>
      </w:r>
    </w:p>
    <w:p>
      <w:pPr>
        <w:pStyle w:val="ListBullet"/>
        <w:spacing w:line="240" w:lineRule="auto"/>
        <w:ind w:left="720"/>
      </w:pPr>
      <w:r>
        <w:rPr>
          <w:lang w:val="en_US" w:bidi="en_US"/>
        </w:rPr>
      </w:r>
      <w:r>
        <w:rPr>
          <w:lang w:val="en_US" w:bidi="en_US"/>
        </w:rPr>
        <w:t>Then his wife, Elizabeth, conceived a baby.</w:t>
      </w:r>
    </w:p>
    <w:p>
      <w:pPr/>
      <w:r>
        <w:rPr>
          <w:lang w:val="en_US" w:bidi="en_US"/>
        </w:rPr>
      </w:r>
      <w:r>
        <w:rPr>
          <w:b/>
          <w:lang w:val="en_US" w:bidi="en_US"/>
        </w:rPr>
        <w:t>After these days:</w:t>
      </w:r>
      <w:r>
        <w:rPr>
          <w:lang w:val="en_US" w:bidi="en_US"/>
        </w:rPr>
        <w:t xml:space="preserve"> The Greek phrase that the BSB translates as </w:t>
      </w:r>
      <w:r>
        <w:rPr>
          <w:i/>
          <w:lang w:val="en_US" w:bidi="en_US"/>
        </w:rPr>
        <w:t>After these days</w:t>
      </w:r>
      <w:r>
        <w:rPr>
          <w:lang w:val="en_US" w:bidi="en_US"/>
        </w:rPr>
        <w:t xml:space="preserve"> refers to the time after Zechariah returned home from his priestly service. It introduces the fact that Elizabeth became pregnant. It is not clear how much time passed after Zechariah returned home. It is also not clear when Elizabeth went into seclusion. You should translate </w:t>
      </w:r>
      <w:r>
        <w:rPr>
          <w:i/>
          <w:lang w:val="en_US" w:bidi="en_US"/>
        </w:rPr>
        <w:t>After these days</w:t>
      </w:r>
      <w:r>
        <w:rPr>
          <w:lang w:val="en_US" w:bidi="en_US"/>
        </w:rPr>
        <w:t xml:space="preserve"> in this context with a general expression. For example:</w:t>
      </w:r>
    </w:p>
    <w:p>
      <w:pPr/>
      <w:r>
        <w:rPr>
          <w:lang w:val="en_US" w:bidi="en_US"/>
        </w:rPr>
      </w:r>
      <w:r>
        <w:rPr>
          <w:lang w:val="en_US" w:bidi="en_US"/>
        </w:rPr>
        <w:t>After some time (NET)</w:t>
      </w:r>
    </w:p>
    <w:p>
      <w:pPr/>
      <w:r>
        <w:rPr>
          <w:lang w:val="en_US" w:bidi="en_US"/>
        </w:rPr>
      </w:r>
      <w:r>
        <w:rPr>
          <w:b/>
          <w:lang w:val="en_US" w:bidi="en_US"/>
        </w:rPr>
        <w:t>became pregnant:</w:t>
      </w:r>
      <w:r>
        <w:rPr>
          <w:lang w:val="en_US" w:bidi="en_US"/>
        </w:rPr>
        <w:t xml:space="preserve"> The Greek phrase that the BSB translates as </w:t>
      </w:r>
      <w:r>
        <w:rPr>
          <w:i/>
          <w:lang w:val="en_US" w:bidi="en_US"/>
        </w:rPr>
        <w:t>became pregnant</w:t>
      </w:r>
      <w:r>
        <w:rPr>
          <w:lang w:val="en_US" w:bidi="en_US"/>
        </w:rPr>
        <w:t xml:space="preserve"> means that Elizabeth conceived a child. Use an expression that is appropriate for public reading.</w:t>
      </w:r>
    </w:p>
    <w:p>
      <w:pPr>
        <w:pStyle w:val="Heading5"/>
      </w:pPr>
      <w:r>
        <w:rPr>
          <w:lang w:val="en_US" w:bidi="en_US"/>
        </w:rPr>
        <w:t>1:24b</w:t>
      </w:r>
    </w:p>
    <w:p>
      <w:pPr/>
      <w:r>
        <w:rPr>
          <w:lang w:val="en_US" w:bidi="en_US"/>
        </w:rPr>
      </w:r>
      <w:r>
        <w:rPr>
          <w:b/>
          <w:lang w:val="en_US" w:bidi="en_US"/>
        </w:rPr>
        <w:t>and for five months remained in seclusion. She declared,</w:t>
      </w:r>
    </w:p>
    <w:p>
      <w:pPr>
        <w:pStyle w:val="ListBullet"/>
        <w:spacing w:line="240" w:lineRule="auto"/>
        <w:ind w:left="720"/>
      </w:pPr>
      <w:r>
        <w:rPr>
          <w:lang w:val="en_US" w:bidi="en_US"/>
        </w:rPr>
      </w:r>
      <w:r>
        <w:rPr>
          <w:lang w:val="en_US" w:bidi="en_US"/>
        </w:rPr>
        <w:t>For five months she stayed quietly at home. She said,</w:t>
      </w:r>
    </w:p>
    <w:p>
      <w:pPr>
        <w:pStyle w:val="ListBullet"/>
        <w:spacing w:line="240" w:lineRule="auto"/>
        <w:ind w:left="720"/>
      </w:pPr>
      <w:r>
        <w:rPr>
          <w:lang w:val="en_US" w:bidi="en_US"/>
        </w:rPr>
      </w:r>
      <w:r>
        <w:rPr>
          <w:lang w:val="en_US" w:bidi="en_US"/>
        </w:rPr>
        <w:t>She hid herself at home for five months. She said,</w:t>
      </w:r>
    </w:p>
    <w:p>
      <w:pPr>
        <w:pStyle w:val="ListBullet"/>
        <w:spacing w:line="240" w:lineRule="auto"/>
        <w:ind w:left="720"/>
      </w:pPr>
      <w:r>
        <w:rPr>
          <w:lang w:val="en_US" w:bidi="en_US"/>
        </w:rPr>
      </w:r>
      <w:r>
        <w:rPr>
          <w:lang w:val="en_US" w:bidi="en_US"/>
        </w:rPr>
        <w:t xml:space="preserve">For five months she did not go out </w:t>
      </w:r>
      <w:r>
        <w:rPr>
          <w:lang w:val="en_US" w:bidi="en_US"/>
        </w:rPr>
        <w:t>to public places</w:t>
      </w:r>
      <w:r>
        <w:rPr>
          <w:lang w:val="en_US" w:bidi="en_US"/>
        </w:rPr>
        <w:t>. Elizabeth said,</w:t>
      </w:r>
    </w:p>
    <w:p>
      <w:pPr/>
      <w:r>
        <w:rPr>
          <w:lang w:val="en_US" w:bidi="en_US"/>
        </w:rPr>
      </w:r>
      <w:r>
        <w:rPr>
          <w:b/>
          <w:lang w:val="en_US" w:bidi="en_US"/>
        </w:rPr>
        <w:t>remained in seclusion:</w:t>
      </w:r>
      <w:r>
        <w:rPr>
          <w:lang w:val="en_US" w:bidi="en_US"/>
        </w:rPr>
        <w:t xml:space="preserve"> The Greek phrase that the BSB translates as </w:t>
      </w:r>
      <w:r>
        <w:rPr>
          <w:i/>
          <w:lang w:val="en_US" w:bidi="en_US"/>
        </w:rPr>
        <w:t>remained in seclusion</w:t>
      </w:r>
      <w:r>
        <w:rPr>
          <w:lang w:val="en_US" w:bidi="en_US"/>
        </w:rPr>
        <w:t xml:space="preserve"> means that Elizabeth “hid herself” in her house. This implies that she lived a very quiet, private life. She did not go out in public during this time. Your translation should not imply that she was hiding because she had done something wrong.</w:t>
      </w:r>
    </w:p>
    <w:p>
      <w:pPr/>
      <w:r>
        <w:rPr>
          <w:lang w:val="en_US" w:bidi="en_US"/>
        </w:rPr>
      </w:r>
      <w:r>
        <w:rPr>
          <w:lang w:val="en_US" w:bidi="en_US"/>
        </w:rPr>
        <w:t xml:space="preserve">Some other ways to translate </w:t>
      </w:r>
      <w:r>
        <w:rPr>
          <w:i/>
          <w:lang w:val="en_US" w:bidi="en_US"/>
        </w:rPr>
        <w:t>remained in seclusion</w:t>
      </w:r>
      <w:r>
        <w:rPr>
          <w:lang w:val="en_US" w:bidi="en_US"/>
        </w:rPr>
        <w:t xml:space="preserve"> are:</w:t>
      </w:r>
    </w:p>
    <w:p>
      <w:pPr/>
      <w:r>
        <w:rPr>
          <w:lang w:val="en_US" w:bidi="en_US"/>
        </w:rPr>
      </w:r>
      <w:r>
        <w:rPr>
          <w:lang w:val="en_US" w:bidi="en_US"/>
        </w:rPr>
        <w:t>didn’t go out in public (GW)</w:t>
      </w:r>
    </w:p>
    <w:p>
      <w:pPr/>
      <w:r>
        <w:rPr>
          <w:lang w:val="en_US" w:bidi="en_US"/>
        </w:rPr>
      </w:r>
      <w:r>
        <w:rPr>
          <w:lang w:val="en_US" w:bidi="en_US"/>
        </w:rPr>
        <w:t>did not leave the house (GNT)</w:t>
      </w:r>
      <w:r>
        <w:rPr>
          <w:lang w:val="en_US" w:bidi="en_US"/>
        </w:rPr>
      </w:r>
      <w:r>
        <w:rPr>
          <w:lang w:val="en_US" w:bidi="en_US"/>
        </w:rPr>
      </w:r>
    </w:p>
    <w:p>
      <w:pPr/>
      <w:r>
        <w:rPr>
          <w:lang w:val="en_US" w:bidi="en_US"/>
        </w:rPr>
      </w:r>
    </w:p>
    <w:p>
      <w:pPr>
        <w:pStyle w:val="Heading2"/>
      </w:pPr>
      <w:r>
        <w:rPr>
          <w:lang w:val="en_US" w:bidi="en_US"/>
        </w:rPr>
        <w:t>Luke 1:25</w:t>
      </w:r>
      <w:r>
        <w:rPr>
          <w:lang w:val="en_US" w:bidi="en_US"/>
        </w:rPr>
      </w:r>
    </w:p>
    <w:p>
      <w:pPr>
        <w:pStyle w:val="Heading4"/>
      </w:pPr>
      <w:r>
        <w:rPr>
          <w:lang w:val="en_US" w:bidi="en_US"/>
        </w:rPr>
        <w:t>Section 1:5–25: An angel said that John the Baptizer would be born</w:t>
      </w:r>
    </w:p>
    <w:p>
      <w:pPr/>
      <w:r>
        <w:rPr>
          <w:lang w:val="en_US" w:bidi="en_US"/>
        </w:rPr>
      </w:r>
      <w:r>
        <w:rPr>
          <w:lang w:val="en_US" w:bidi="en_US"/>
        </w:rPr>
        <w:t>An angel of the Lord appeared to Zechariah while he was working in the temple as a priest. The angel told him that his wife Elizabeth would become pregnant and have a baby, and that he must name him John. Zechariah and Elizabeth were old, and Elizabeth was not able to have children. So Zechariah did not believe the angel. Because he did not believe that what the angel said would happen, the angel made him unable to speak. But later, Elizabeth became pregnant.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John the Baptist is Announced (GNT)</w:t>
      </w:r>
    </w:p>
    <w:p>
      <w:pPr/>
      <w:r>
        <w:rPr>
          <w:lang w:val="en_US" w:bidi="en_US"/>
        </w:rPr>
      </w:r>
      <w:r>
        <w:rPr>
          <w:lang w:val="en_US" w:bidi="en_US"/>
        </w:rPr>
        <w:t>The angel Gabriel predicts the birth of John the Baptizer</w:t>
      </w:r>
    </w:p>
    <w:p>
      <w:pPr/>
      <w:r>
        <w:rPr>
          <w:lang w:val="en_US" w:bidi="en_US"/>
        </w:rPr>
      </w:r>
      <w:r>
        <w:rPr>
          <w:lang w:val="en_US" w:bidi="en_US"/>
        </w:rPr>
        <w:t>The angel Gabriel announces/prophesies to Zechariah that his wife will have a son</w:t>
      </w:r>
    </w:p>
    <w:p>
      <w:pPr>
        <w:pStyle w:val="Heading5"/>
      </w:pPr>
      <w:r>
        <w:rPr>
          <w:lang w:val="en_US" w:bidi="en_US"/>
        </w:rPr>
        <w:t>1:25a</w:t>
      </w:r>
    </w:p>
    <w:p>
      <w:pPr/>
      <w:r>
        <w:rPr>
          <w:lang w:val="en_US" w:bidi="en_US"/>
        </w:rPr>
      </w:r>
      <w:r>
        <w:rPr>
          <w:b/>
          <w:lang w:val="en_US" w:bidi="en_US"/>
        </w:rPr>
        <w:t>“The Lord has done this for me.</w:t>
      </w:r>
    </w:p>
    <w:p>
      <w:pPr>
        <w:pStyle w:val="ListBullet"/>
        <w:spacing w:line="240" w:lineRule="auto"/>
        <w:ind w:left="720"/>
      </w:pPr>
      <w:r>
        <w:rPr>
          <w:lang w:val="en_US" w:bidi="en_US"/>
        </w:rPr>
      </w:r>
      <w:r>
        <w:rPr>
          <w:lang w:val="en_US" w:bidi="en_US"/>
        </w:rPr>
        <w:t xml:space="preserve">“The Lord has done this </w:t>
      </w:r>
      <w:r>
        <w:rPr>
          <w:lang w:val="en_US" w:bidi="en_US"/>
        </w:rPr>
        <w:t>good thing</w:t>
      </w:r>
      <w:r>
        <w:rPr>
          <w:lang w:val="en_US" w:bidi="en_US"/>
        </w:rPr>
        <w:t xml:space="preserve"> for me.</w:t>
      </w:r>
    </w:p>
    <w:p>
      <w:pPr>
        <w:pStyle w:val="ListBullet"/>
        <w:spacing w:line="240" w:lineRule="auto"/>
        <w:ind w:left="720"/>
      </w:pPr>
      <w:r>
        <w:rPr>
          <w:lang w:val="en_US" w:bidi="en_US"/>
        </w:rPr>
      </w:r>
      <w:r>
        <w:rPr>
          <w:lang w:val="en_US" w:bidi="en_US"/>
        </w:rPr>
        <w:t>“The Lord has made it possible for me to have a child.</w:t>
      </w:r>
    </w:p>
    <w:p>
      <w:pPr>
        <w:pStyle w:val="ListBullet"/>
        <w:spacing w:line="240" w:lineRule="auto"/>
        <w:ind w:left="720"/>
      </w:pPr>
      <w:r>
        <w:rPr>
          <w:lang w:val="en_US" w:bidi="en_US"/>
        </w:rPr>
      </w:r>
      <w:r>
        <w:rPr>
          <w:lang w:val="en_US" w:bidi="en_US"/>
        </w:rPr>
        <w:t>“God has helped me to conceive a child!</w:t>
      </w:r>
    </w:p>
    <w:p>
      <w:pPr/>
      <w:r>
        <w:rPr>
          <w:lang w:val="en_US" w:bidi="en_US"/>
        </w:rPr>
      </w:r>
      <w:r>
        <w:rPr>
          <w:lang w:val="en_US" w:bidi="en_US"/>
        </w:rPr>
        <w:t>In Greek, Luke’s introduction to the statement in this verse (literally, “saying”), which identifies it as something that Elizabeth said, comes at the end of verse 24. The BSB translates it there as “She declared.” Some versions, such as the NIV, place this introduction within the quotation:</w:t>
      </w:r>
    </w:p>
    <w:p>
      <w:pPr/>
      <w:r>
        <w:rPr>
          <w:lang w:val="en_US" w:bidi="en_US"/>
        </w:rPr>
      </w:r>
      <w:r>
        <w:rPr>
          <w:lang w:val="en_US" w:bidi="en_US"/>
        </w:rPr>
        <w:t>“The Lord has done this for me,” she said.</w:t>
      </w:r>
    </w:p>
    <w:p>
      <w:pPr/>
      <w:r>
        <w:rPr>
          <w:lang w:val="en_US" w:bidi="en_US"/>
        </w:rPr>
      </w:r>
      <w:r>
        <w:rPr>
          <w:lang w:val="en_US" w:bidi="en_US"/>
        </w:rPr>
        <w:t>Place this introduction where it would be most natural in your language.</w:t>
      </w:r>
    </w:p>
    <w:p>
      <w:pPr/>
      <w:r>
        <w:rPr>
          <w:lang w:val="en_US" w:bidi="en_US"/>
        </w:rPr>
      </w:r>
      <w:r>
        <w:rPr>
          <w:b/>
          <w:lang w:val="en_US" w:bidi="en_US"/>
        </w:rPr>
        <w:t>The Lord has done this for me:</w:t>
      </w:r>
      <w:r>
        <w:rPr>
          <w:lang w:val="en_US" w:bidi="en_US"/>
        </w:rPr>
        <w:t xml:space="preserve"> The word </w:t>
      </w:r>
      <w:r>
        <w:rPr>
          <w:i/>
          <w:lang w:val="en_US" w:bidi="en_US"/>
        </w:rPr>
        <w:t>this</w:t>
      </w:r>
      <w:r>
        <w:rPr>
          <w:lang w:val="en_US" w:bidi="en_US"/>
        </w:rPr>
        <w:t xml:space="preserve"> refers to the fact that God had given Elizabeth the ability to conceive a child in her old age.</w:t>
      </w:r>
    </w:p>
    <w:p>
      <w:pPr/>
      <w:r>
        <w:rPr>
          <w:lang w:val="en_US" w:bidi="en_US"/>
        </w:rPr>
      </w:r>
      <w:r>
        <w:rPr>
          <w:b/>
          <w:lang w:val="en_US" w:bidi="en_US"/>
        </w:rPr>
        <w:t>Lord:</w:t>
      </w:r>
      <w:r>
        <w:rPr>
          <w:lang w:val="en_US" w:bidi="en_US"/>
        </w:rPr>
        <w:t xml:space="preserve"> This is the same term as in 1:6b. See also Lord, Context 2, in the Glossary.</w:t>
      </w:r>
    </w:p>
    <w:p>
      <w:pPr>
        <w:pStyle w:val="Heading5"/>
      </w:pPr>
      <w:r>
        <w:rPr>
          <w:lang w:val="en_US" w:bidi="en_US"/>
        </w:rPr>
        <w:t>1:25b</w:t>
      </w:r>
    </w:p>
    <w:p>
      <w:pPr/>
      <w:r>
        <w:rPr>
          <w:lang w:val="en_US" w:bidi="en_US"/>
        </w:rPr>
      </w:r>
      <w:r>
        <w:rPr>
          <w:b/>
          <w:lang w:val="en_US" w:bidi="en_US"/>
        </w:rPr>
        <w:t>In these days He has shown me favor</w:t>
      </w:r>
    </w:p>
    <w:p>
      <w:pPr>
        <w:pStyle w:val="ListBullet"/>
        <w:spacing w:line="240" w:lineRule="auto"/>
        <w:ind w:left="720"/>
      </w:pPr>
      <w:r>
        <w:rPr>
          <w:lang w:val="en_US" w:bidi="en_US"/>
        </w:rPr>
      </w:r>
      <w:r>
        <w:rPr>
          <w:lang w:val="en_US" w:bidi="en_US"/>
        </w:rPr>
        <w:t>At this time, he has looked upon me with his favor/concern</w:t>
      </w:r>
    </w:p>
    <w:p>
      <w:pPr>
        <w:pStyle w:val="ListBullet"/>
        <w:spacing w:line="240" w:lineRule="auto"/>
        <w:ind w:left="720"/>
      </w:pPr>
      <w:r>
        <w:rPr>
          <w:lang w:val="en_US" w:bidi="en_US"/>
        </w:rPr>
      </w:r>
      <w:r>
        <w:rPr>
          <w:lang w:val="en_US" w:bidi="en_US"/>
        </w:rPr>
        <w:t>He has been very gracious to me now</w:t>
      </w:r>
    </w:p>
    <w:p>
      <w:pPr/>
      <w:r>
        <w:rPr>
          <w:lang w:val="en_US" w:bidi="en_US"/>
        </w:rPr>
      </w:r>
      <w:r>
        <w:rPr>
          <w:b/>
          <w:lang w:val="en_US" w:bidi="en_US"/>
        </w:rPr>
        <w:t>In these days:</w:t>
      </w:r>
      <w:r>
        <w:rPr>
          <w:lang w:val="en_US" w:bidi="en_US"/>
        </w:rPr>
        <w:t xml:space="preserve"> The phrase </w:t>
      </w:r>
      <w:r>
        <w:rPr>
          <w:i/>
          <w:lang w:val="en_US" w:bidi="en_US"/>
        </w:rPr>
        <w:t>In these days</w:t>
      </w:r>
      <w:r>
        <w:rPr>
          <w:lang w:val="en_US" w:bidi="en_US"/>
        </w:rPr>
        <w:t xml:space="preserve"> refers to the general time period in which Elizabeth became pregnant. Another way to translate this is:</w:t>
      </w:r>
    </w:p>
    <w:p>
      <w:pPr/>
      <w:r>
        <w:rPr>
          <w:lang w:val="en_US" w:bidi="en_US"/>
        </w:rPr>
      </w:r>
      <w:r>
        <w:rPr>
          <w:lang w:val="en_US" w:bidi="en_US"/>
        </w:rPr>
        <w:t>Now</w:t>
      </w:r>
    </w:p>
    <w:p>
      <w:pPr/>
      <w:r>
        <w:rPr>
          <w:lang w:val="en_US" w:bidi="en_US"/>
        </w:rPr>
      </w:r>
      <w:r>
        <w:rPr>
          <w:b/>
          <w:lang w:val="en_US" w:bidi="en_US"/>
        </w:rPr>
        <w:t>He has shown me favor:</w:t>
      </w:r>
      <w:r>
        <w:rPr>
          <w:lang w:val="en_US" w:bidi="en_US"/>
        </w:rPr>
        <w:t xml:space="preserve"> The Greek verb that the BSB translates as </w:t>
      </w:r>
      <w:r>
        <w:rPr>
          <w:i/>
          <w:lang w:val="en_US" w:bidi="en_US"/>
        </w:rPr>
        <w:t>He has shown me favor</w:t>
      </w:r>
      <w:r>
        <w:rPr>
          <w:lang w:val="en_US" w:bidi="en_US"/>
        </w:rPr>
        <w:t xml:space="preserve"> is literally “he noticed/looked at (me).” It implies here that God was gracious to her and showed his concern and favor toward her. Some ways to translate this here are:</w:t>
      </w:r>
    </w:p>
    <w:p>
      <w:pPr/>
      <w:r>
        <w:rPr>
          <w:lang w:val="en_US" w:bidi="en_US"/>
        </w:rPr>
      </w:r>
      <w:r>
        <w:rPr>
          <w:lang w:val="en_US" w:bidi="en_US"/>
        </w:rPr>
        <w:t>he has been gracious to me (NET)</w:t>
      </w:r>
    </w:p>
    <w:p>
      <w:pPr/>
      <w:r>
        <w:rPr>
          <w:lang w:val="en_US" w:bidi="en_US"/>
        </w:rPr>
      </w:r>
      <w:r>
        <w:rPr>
          <w:lang w:val="en_US" w:bidi="en_US"/>
        </w:rPr>
        <w:t>the Lord has helped me (GNT)</w:t>
      </w:r>
    </w:p>
    <w:p>
      <w:pPr>
        <w:pStyle w:val="Heading5"/>
      </w:pPr>
      <w:r>
        <w:rPr>
          <w:lang w:val="en_US" w:bidi="en_US"/>
        </w:rPr>
        <w:t>1:25c</w:t>
      </w:r>
    </w:p>
    <w:p>
      <w:pPr/>
      <w:r>
        <w:rPr>
          <w:lang w:val="en_US" w:bidi="en_US"/>
        </w:rPr>
      </w:r>
      <w:r>
        <w:rPr>
          <w:b/>
          <w:lang w:val="en_US" w:bidi="en_US"/>
        </w:rPr>
        <w:t>and taken away my disgrace among the people.”</w:t>
      </w:r>
    </w:p>
    <w:p>
      <w:pPr>
        <w:pStyle w:val="ListBullet"/>
        <w:spacing w:line="240" w:lineRule="auto"/>
        <w:ind w:left="720"/>
      </w:pPr>
      <w:r>
        <w:rPr>
          <w:lang w:val="en_US" w:bidi="en_US"/>
        </w:rPr>
      </w:r>
      <w:r>
        <w:rPr>
          <w:lang w:val="en_US" w:bidi="en_US"/>
        </w:rPr>
        <w:t>and has removed the shame that I had before people.”</w:t>
      </w:r>
    </w:p>
    <w:p>
      <w:pPr>
        <w:pStyle w:val="ListBullet"/>
        <w:spacing w:line="240" w:lineRule="auto"/>
        <w:ind w:left="720"/>
      </w:pPr>
      <w:r>
        <w:rPr>
          <w:lang w:val="en_US" w:bidi="en_US"/>
        </w:rPr>
      </w:r>
      <w:r>
        <w:rPr>
          <w:lang w:val="en_US" w:bidi="en_US"/>
        </w:rPr>
        <w:t>and as a result people will no longer look scornfully on me.”</w:t>
      </w:r>
    </w:p>
    <w:p>
      <w:pPr/>
      <w:r>
        <w:rPr>
          <w:lang w:val="en_US" w:bidi="en_US"/>
        </w:rPr>
      </w:r>
      <w:r>
        <w:rPr>
          <w:b/>
          <w:lang w:val="en_US" w:bidi="en_US"/>
        </w:rPr>
        <w:t>taken away my disgrace among the people:</w:t>
      </w:r>
      <w:r>
        <w:rPr>
          <w:lang w:val="en_US" w:bidi="en_US"/>
        </w:rPr>
        <w:t xml:space="preserve"> The words </w:t>
      </w:r>
      <w:r>
        <w:rPr>
          <w:i/>
          <w:lang w:val="en_US" w:bidi="en_US"/>
        </w:rPr>
        <w:t>my disgrace</w:t>
      </w:r>
      <w:r>
        <w:rPr>
          <w:lang w:val="en_US" w:bidi="en_US"/>
        </w:rPr>
        <w:t xml:space="preserve"> refer to the fact that when a Jewish woman could not have children, people thought that she must have displeased God. Every Jewish wife greatly desired to have children, especially sons. When God made Elizabeth able to become pregnant, he took away the reason why she had felt ashamed.</w:t>
      </w:r>
    </w:p>
    <w:p>
      <w:pPr/>
      <w:r>
        <w:rPr>
          <w:lang w:val="en_US" w:bidi="en_US"/>
        </w:rPr>
      </w:r>
      <w:r>
        <w:rPr>
          <w:lang w:val="en_US" w:bidi="en_US"/>
        </w:rPr>
        <w:t xml:space="preserve">Your translation should not imply that Elizabeth’s disgrace was because she had done something wrong. In some languages, it may be necessary to specify what this </w:t>
      </w:r>
      <w:r>
        <w:rPr>
          <w:i/>
          <w:lang w:val="en_US" w:bidi="en_US"/>
        </w:rPr>
        <w:t>disgrace</w:t>
      </w:r>
      <w:r>
        <w:rPr>
          <w:lang w:val="en_US" w:bidi="en_US"/>
        </w:rPr>
        <w:t xml:space="preserve"> was. For example:</w:t>
      </w:r>
    </w:p>
    <w:p>
      <w:pPr/>
      <w:r>
        <w:rPr>
          <w:lang w:val="en_US" w:bidi="en_US"/>
        </w:rPr>
      </w:r>
      <w:r>
        <w:rPr>
          <w:lang w:val="en_US" w:bidi="en_US"/>
        </w:rPr>
        <w:t>taken away from me the disgrace of childlessness (REB)</w:t>
      </w:r>
    </w:p>
    <w:p>
      <w:pPr/>
      <w:r>
        <w:rPr>
          <w:lang w:val="en_US" w:bidi="en_US"/>
        </w:rPr>
      </w:r>
      <w:r>
        <w:rPr>
          <w:lang w:val="en_US" w:bidi="en_US"/>
        </w:rPr>
        <w:t>Some other ways to translate this part of the verse are:</w:t>
      </w:r>
    </w:p>
    <w:p>
      <w:pPr/>
      <w:r>
        <w:rPr>
          <w:lang w:val="en_US" w:bidi="en_US"/>
        </w:rPr>
      </w:r>
      <w:r>
        <w:rPr>
          <w:lang w:val="en_US" w:bidi="en_US"/>
        </w:rPr>
        <w:t>He has removed my public disgrace. (GW)</w:t>
      </w:r>
    </w:p>
    <w:p>
      <w:pPr/>
      <w:r>
        <w:rPr>
          <w:lang w:val="en_US" w:bidi="en_US"/>
        </w:rPr>
      </w:r>
      <w:r>
        <w:rPr>
          <w:lang w:val="en_US" w:bidi="en_US"/>
        </w:rPr>
        <w:t xml:space="preserve">What he has done prevents people from making me feel ashamed </w:t>
      </w:r>
      <w:r>
        <w:rPr>
          <w:lang w:val="en_US" w:bidi="en_US"/>
        </w:rPr>
        <w:t>as I did when I had no children</w:t>
      </w:r>
      <w:r>
        <w:rPr>
          <w:lang w:val="en_US" w:bidi="en_US"/>
        </w:rPr>
        <w:t>.</w:t>
      </w:r>
    </w:p>
    <w:p>
      <w:pPr/>
      <w:r>
        <w:rPr>
          <w:lang w:val="en_US" w:bidi="en_US"/>
        </w:rPr>
      </w:r>
      <w:r>
        <w:rPr>
          <w:b/>
          <w:lang w:val="en_US" w:bidi="en_US"/>
        </w:rPr>
        <w:t>among the people:</w:t>
      </w:r>
      <w:r>
        <w:rPr>
          <w:lang w:val="en_US" w:bidi="en_US"/>
        </w:rPr>
        <w:t xml:space="preserve"> The Greek phrase that the BSB translates as </w:t>
      </w:r>
      <w:r>
        <w:rPr>
          <w:i/>
          <w:lang w:val="en_US" w:bidi="en_US"/>
        </w:rPr>
        <w:t>among the people</w:t>
      </w:r>
      <w:r>
        <w:rPr>
          <w:lang w:val="en_US" w:bidi="en_US"/>
        </w:rPr>
        <w:t xml:space="preserve"> is literally “among people.” It does not refer specifically to certain people.</w:t>
      </w:r>
      <w:r>
        <w:rPr>
          <w:lang w:val="en_US" w:bidi="en_US"/>
        </w:rPr>
      </w:r>
      <w:r>
        <w:rPr>
          <w:lang w:val="en_US" w:bidi="en_US"/>
        </w:rPr>
      </w:r>
    </w:p>
    <w:p>
      <w:pPr/>
      <w:r>
        <w:rPr>
          <w:lang w:val="en_US" w:bidi="en_US"/>
        </w:rPr>
      </w:r>
    </w:p>
    <w:p>
      <w:pPr>
        <w:pStyle w:val="Heading2"/>
      </w:pPr>
      <w:r>
        <w:rPr>
          <w:lang w:val="en_US" w:bidi="en_US"/>
        </w:rPr>
        <w:t>Luke 1:26</w:t>
      </w:r>
      <w:r>
        <w:rPr>
          <w:lang w:val="en_US" w:bidi="en_US"/>
        </w:rPr>
      </w:r>
    </w:p>
    <w:p>
      <w:pPr>
        <w:pStyle w:val="Heading4"/>
      </w:pPr>
      <w:r>
        <w:rPr>
          <w:lang w:val="en_US" w:bidi="en_US"/>
        </w:rPr>
        <w:t>Section 1:26–38: An angel told Mary that Jesus would be born</w:t>
      </w:r>
    </w:p>
    <w:p>
      <w:pPr/>
      <w:r>
        <w:rPr>
          <w:lang w:val="en_US" w:bidi="en_US"/>
        </w:rPr>
      </w:r>
      <w:r>
        <w:rPr>
          <w:lang w:val="en_US" w:bidi="en_US"/>
        </w:rP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pPr/>
      <w:r>
        <w:rPr>
          <w:lang w:val="en_US" w:bidi="en_US"/>
        </w:rPr>
      </w:r>
      <w:r>
        <w:rPr>
          <w:lang w:val="en_US" w:bidi="en_US"/>
        </w:rPr>
        <w:t>Some other possible headings for this section are:</w:t>
      </w:r>
    </w:p>
    <w:p>
      <w:pPr/>
      <w:r>
        <w:rPr>
          <w:lang w:val="en_US" w:bidi="en_US"/>
        </w:rPr>
      </w:r>
      <w:r>
        <w:rPr>
          <w:lang w:val="en_US" w:bidi="en_US"/>
        </w:rPr>
        <w:t>The angel Gabriel predicts the virgin birth of Jesus the Christ</w:t>
      </w:r>
    </w:p>
    <w:p>
      <w:pPr/>
      <w:r>
        <w:rPr>
          <w:lang w:val="en_US" w:bidi="en_US"/>
        </w:rPr>
      </w:r>
      <w:r>
        <w:rPr>
          <w:lang w:val="en_US" w:bidi="en_US"/>
        </w:rPr>
        <w:t>Angel Gabriel announces to the virgin Mary that God will cause her to give birth to a son</w:t>
      </w:r>
    </w:p>
    <w:p>
      <w:pPr/>
      <w:r>
        <w:rPr>
          <w:lang w:val="en_US" w:bidi="en_US"/>
        </w:rPr>
      </w:r>
      <w:r>
        <w:rPr>
          <w:lang w:val="en_US" w:bidi="en_US"/>
        </w:rPr>
        <w:t>The Birth of Jesus is Announced (GNT)</w:t>
      </w:r>
    </w:p>
    <w:p>
      <w:pPr>
        <w:pStyle w:val="Heading5"/>
      </w:pPr>
      <w:r>
        <w:rPr>
          <w:lang w:val="en_US" w:bidi="en_US"/>
        </w:rPr>
        <w:t>1:26a</w:t>
      </w:r>
    </w:p>
    <w:p>
      <w:pPr/>
      <w:r>
        <w:rPr>
          <w:lang w:val="en_US" w:bidi="en_US"/>
        </w:rPr>
      </w:r>
      <w:r>
        <w:rPr>
          <w:b/>
          <w:lang w:val="en_US" w:bidi="en_US"/>
        </w:rPr>
        <w:t>In the sixth month,</w:t>
      </w:r>
    </w:p>
    <w:p>
      <w:pPr>
        <w:pStyle w:val="ListBullet"/>
        <w:spacing w:line="240" w:lineRule="auto"/>
        <w:ind w:left="720"/>
      </w:pPr>
      <w:r>
        <w:rPr>
          <w:lang w:val="en_US" w:bidi="en_US"/>
        </w:rPr>
      </w:r>
      <w:r>
        <w:rPr>
          <w:lang w:val="en_US" w:bidi="en_US"/>
        </w:rPr>
        <w:t xml:space="preserve">¶ During </w:t>
      </w:r>
      <w:r>
        <w:rPr>
          <w:lang w:val="en_US" w:bidi="en_US"/>
        </w:rPr>
        <w:t>Elizabeth’s</w:t>
      </w:r>
      <w:r>
        <w:rPr>
          <w:lang w:val="en_US" w:bidi="en_US"/>
        </w:rPr>
        <w:t xml:space="preserve"> sixth month </w:t>
      </w:r>
      <w:r>
        <w:rPr>
          <w:lang w:val="en_US" w:bidi="en_US"/>
        </w:rPr>
        <w:t>of pregnancy</w:t>
      </w:r>
      <w:r>
        <w:rPr>
          <w:lang w:val="en_US" w:bidi="en_US"/>
        </w:rPr>
        <w:t>,</w:t>
      </w:r>
    </w:p>
    <w:p>
      <w:pPr>
        <w:pStyle w:val="ListBullet"/>
        <w:spacing w:line="240" w:lineRule="auto"/>
        <w:ind w:left="720"/>
      </w:pPr>
      <w:r>
        <w:rPr>
          <w:lang w:val="en_US" w:bidi="en_US"/>
        </w:rPr>
      </w:r>
      <w:r>
        <w:rPr>
          <w:lang w:val="en_US" w:bidi="en_US"/>
        </w:rPr>
        <w:t xml:space="preserve">¶ When </w:t>
      </w:r>
      <w:r>
        <w:rPr>
          <w:lang w:val="en_US" w:bidi="en_US"/>
        </w:rPr>
        <w:t>Elizabeth had been pregnant</w:t>
      </w:r>
      <w:r>
        <w:rPr>
          <w:lang w:val="en_US" w:bidi="en_US"/>
        </w:rPr>
        <w:t xml:space="preserve"> for six months,</w:t>
      </w:r>
    </w:p>
    <w:p>
      <w:pPr/>
      <w:r>
        <w:rPr>
          <w:lang w:val="en_US" w:bidi="en_US"/>
        </w:rPr>
      </w:r>
      <w:r>
        <w:rPr>
          <w:b/>
          <w:lang w:val="en_US" w:bidi="en_US"/>
        </w:rPr>
        <w:t>In the sixth month:</w:t>
      </w:r>
      <w:r>
        <w:rPr>
          <w:lang w:val="en_US" w:bidi="en_US"/>
        </w:rPr>
        <w:t xml:space="preserve"> The phrase </w:t>
      </w:r>
      <w:r>
        <w:rPr>
          <w:i/>
          <w:lang w:val="en_US" w:bidi="en_US"/>
        </w:rPr>
        <w:t>In the sixth month</w:t>
      </w:r>
      <w:r>
        <w:rPr>
          <w:lang w:val="en_US" w:bidi="en_US"/>
        </w:rPr>
        <w:t xml:space="preserve"> refers to the sixth month of Elizabeth’s pregnancy. You may want to make this information explicit. For example:</w:t>
      </w:r>
    </w:p>
    <w:p>
      <w:pPr/>
      <w:r>
        <w:rPr>
          <w:lang w:val="en_US" w:bidi="en_US"/>
        </w:rPr>
      </w:r>
      <w:r>
        <w:rPr>
          <w:lang w:val="en_US" w:bidi="en_US"/>
        </w:rPr>
        <w:t>Six months after Elizabeth had become pregnant (GW)</w:t>
      </w:r>
    </w:p>
    <w:p>
      <w:pPr/>
      <w:r>
        <w:rPr>
          <w:lang w:val="en_US" w:bidi="en_US"/>
        </w:rPr>
      </w:r>
      <w:r>
        <w:rPr>
          <w:lang w:val="en_US" w:bidi="en_US"/>
        </w:rPr>
        <w:t>During Elizabeth’s sixth month of pregnancy (NCV)</w:t>
      </w:r>
    </w:p>
    <w:p>
      <w:pPr>
        <w:pStyle w:val="Heading5"/>
      </w:pPr>
      <w:r>
        <w:rPr>
          <w:lang w:val="en_US" w:bidi="en_US"/>
        </w:rPr>
        <w:t>1:26b</w:t>
      </w:r>
    </w:p>
    <w:p>
      <w:pPr/>
      <w:r>
        <w:rPr>
          <w:lang w:val="en_US" w:bidi="en_US"/>
        </w:rPr>
      </w:r>
      <w:r>
        <w:rPr>
          <w:b/>
          <w:lang w:val="en_US" w:bidi="en_US"/>
        </w:rPr>
        <w:t>God sent the angel Gabriel</w:t>
      </w:r>
    </w:p>
    <w:p>
      <w:pPr>
        <w:pStyle w:val="ListBullet"/>
        <w:spacing w:line="240" w:lineRule="auto"/>
        <w:ind w:left="720"/>
      </w:pPr>
      <w:r>
        <w:rPr>
          <w:lang w:val="en_US" w:bidi="en_US"/>
        </w:rPr>
      </w:r>
      <w:r>
        <w:rPr>
          <w:lang w:val="en_US" w:bidi="en_US"/>
        </w:rPr>
        <w:t>the angel Gabriel was sent from/by God</w:t>
      </w:r>
    </w:p>
    <w:p>
      <w:pPr>
        <w:pStyle w:val="ListBullet"/>
        <w:spacing w:line="240" w:lineRule="auto"/>
        <w:ind w:left="720"/>
      </w:pPr>
      <w:r>
        <w:rPr>
          <w:lang w:val="en_US" w:bidi="en_US"/>
        </w:rPr>
      </w:r>
      <w:r>
        <w:rPr>
          <w:lang w:val="en_US" w:bidi="en_US"/>
        </w:rPr>
        <w:t xml:space="preserve">God again sent/told Gabriel, the angel, </w:t>
      </w:r>
      <w:r>
        <w:rPr>
          <w:lang w:val="en_US" w:bidi="en_US"/>
        </w:rPr>
        <w:t>to give a message to a certain young woman</w:t>
      </w:r>
      <w:r>
        <w:rPr>
          <w:lang w:val="en_US" w:bidi="en_US"/>
        </w:rPr>
        <w:t>.</w:t>
      </w:r>
    </w:p>
    <w:p>
      <w:pPr/>
      <w:r>
        <w:rPr>
          <w:lang w:val="en_US" w:bidi="en_US"/>
        </w:rPr>
      </w:r>
      <w:r>
        <w:rPr>
          <w:b/>
          <w:lang w:val="en_US" w:bidi="en_US"/>
        </w:rPr>
        <w:t>God sent the angel Gabriel:</w:t>
      </w:r>
      <w:r>
        <w:rPr>
          <w:lang w:val="en_US" w:bidi="en_US"/>
        </w:rPr>
        <w:t xml:space="preserve"> The Greek clause that the BSB translates as </w:t>
      </w:r>
      <w:r>
        <w:rPr>
          <w:i/>
          <w:lang w:val="en_US" w:bidi="en_US"/>
        </w:rPr>
        <w:t>God sent the angel Gabriel</w:t>
      </w:r>
      <w:r>
        <w:rPr>
          <w:lang w:val="en_US" w:bidi="en_US"/>
        </w:rPr>
        <w:t xml:space="preserve"> is literally “the angel Gabriel was sent from God” (as in the RSV). This Greek expression is passive. You can use either an active or a passive phrase, whichever is more natural in your language for this context.</w:t>
      </w:r>
    </w:p>
    <w:p>
      <w:pPr/>
      <w:r>
        <w:rPr>
          <w:lang w:val="en_US" w:bidi="en_US"/>
        </w:rPr>
      </w:r>
      <w:r>
        <w:rPr>
          <w:b/>
          <w:lang w:val="en_US" w:bidi="en_US"/>
        </w:rPr>
        <w:t>sent:</w:t>
      </w:r>
      <w:r>
        <w:rPr>
          <w:lang w:val="en_US" w:bidi="en_US"/>
        </w:rPr>
        <w:t xml:space="preserve"> The Greek word that the BSB translates as </w:t>
      </w:r>
      <w:r>
        <w:rPr>
          <w:i/>
          <w:lang w:val="en_US" w:bidi="en_US"/>
        </w:rPr>
        <w:t>sent</w:t>
      </w:r>
      <w:r>
        <w:rPr>
          <w:lang w:val="en_US" w:bidi="en_US"/>
        </w:rPr>
        <w:t xml:space="preserve"> means “told to go (somewhere) for a certain purpose.” God told the angel to go to Nazareth to give a message to Mary.</w:t>
      </w:r>
    </w:p>
    <w:p>
      <w:pPr/>
      <w:r>
        <w:rPr>
          <w:lang w:val="en_US" w:bidi="en_US"/>
        </w:rPr>
      </w:r>
      <w:r>
        <w:rPr>
          <w:b/>
          <w:lang w:val="en_US" w:bidi="en_US"/>
        </w:rPr>
        <w:t>the angel Gabriel:</w:t>
      </w:r>
      <w:r>
        <w:rPr>
          <w:lang w:val="en_US" w:bidi="en_US"/>
        </w:rPr>
        <w:t xml:space="preserve"> The </w:t>
      </w:r>
      <w:r>
        <w:rPr>
          <w:i/>
          <w:lang w:val="en_US" w:bidi="en_US"/>
        </w:rPr>
        <w:t>angel Gabriel</w:t>
      </w:r>
      <w:r>
        <w:rPr>
          <w:lang w:val="en_US" w:bidi="en_US"/>
        </w:rPr>
        <w:t xml:space="preserve"> was also mentioned in 1:19. </w:t>
      </w:r>
      <w:r>
        <w:rPr>
          <w:i/>
          <w:lang w:val="en_US" w:bidi="en_US"/>
        </w:rPr>
        <w:t>Gabriel</w:t>
      </w:r>
      <w:r>
        <w:rPr>
          <w:lang w:val="en_US" w:bidi="en_US"/>
        </w:rPr>
        <w:t xml:space="preserve"> was the angel who appeared to Zechariah.</w:t>
      </w:r>
    </w:p>
    <w:p>
      <w:pPr/>
      <w:r>
        <w:rPr>
          <w:lang w:val="en_US" w:bidi="en_US"/>
        </w:rPr>
      </w:r>
      <w:r>
        <w:rPr>
          <w:b/>
          <w:lang w:val="en_US" w:bidi="en_US"/>
        </w:rPr>
        <w:t>angel:</w:t>
      </w:r>
      <w:r>
        <w:rPr>
          <w:lang w:val="en_US" w:bidi="en_US"/>
        </w:rPr>
        <w:t xml:space="preserve"> See the note at 1:11a for suggestions about how to translate the word </w:t>
      </w:r>
      <w:r>
        <w:rPr>
          <w:i/>
          <w:lang w:val="en_US" w:bidi="en_US"/>
        </w:rPr>
        <w:t>angel</w:t>
      </w:r>
      <w:r>
        <w:rPr>
          <w:lang w:val="en_US" w:bidi="en_US"/>
        </w:rPr>
        <w:t>. See also angel, Meaning 1, in the Glossary.</w:t>
      </w:r>
    </w:p>
    <w:p>
      <w:pPr>
        <w:pStyle w:val="Heading5"/>
      </w:pPr>
      <w:r>
        <w:rPr>
          <w:lang w:val="en_US" w:bidi="en_US"/>
        </w:rPr>
        <w:t>1:26c</w:t>
      </w:r>
    </w:p>
    <w:p>
      <w:pPr/>
      <w:r>
        <w:rPr>
          <w:lang w:val="en_US" w:bidi="en_US"/>
        </w:rPr>
      </w:r>
      <w:r>
        <w:rPr>
          <w:b/>
          <w:lang w:val="en_US" w:bidi="en_US"/>
        </w:rPr>
        <w:t>to a town in Galilee called Nazareth,</w:t>
      </w:r>
    </w:p>
    <w:p>
      <w:pPr>
        <w:pStyle w:val="ListBullet"/>
        <w:spacing w:line="240" w:lineRule="auto"/>
        <w:ind w:left="720"/>
      </w:pPr>
      <w:r>
        <w:rPr>
          <w:lang w:val="en_US" w:bidi="en_US"/>
        </w:rPr>
      </w:r>
      <w:r>
        <w:rPr>
          <w:lang w:val="en_US" w:bidi="en_US"/>
        </w:rPr>
        <w:t xml:space="preserve">to Nazareth, a town in </w:t>
      </w:r>
      <w:r>
        <w:rPr>
          <w:lang w:val="en_US" w:bidi="en_US"/>
        </w:rPr>
        <w:t>the region of</w:t>
      </w:r>
      <w:r>
        <w:rPr>
          <w:lang w:val="en_US" w:bidi="en_US"/>
        </w:rPr>
        <w:t xml:space="preserve"> Galilee.</w:t>
      </w:r>
    </w:p>
    <w:p>
      <w:pPr>
        <w:pStyle w:val="ListBullet"/>
        <w:spacing w:line="240" w:lineRule="auto"/>
        <w:ind w:left="720"/>
      </w:pPr>
      <w:r>
        <w:rPr>
          <w:lang w:val="en_US" w:bidi="en_US"/>
        </w:rPr>
      </w:r>
      <w:r>
        <w:rPr>
          <w:lang w:val="en_US" w:bidi="en_US"/>
        </w:rPr>
        <w:t>So Gabriel went</w:t>
      </w:r>
      <w:r>
        <w:rPr>
          <w:lang w:val="en_US" w:bidi="en_US"/>
        </w:rPr>
        <w:t xml:space="preserve"> to the town called Nazareth, which is in </w:t>
      </w:r>
      <w:r>
        <w:rPr>
          <w:lang w:val="en_US" w:bidi="en_US"/>
        </w:rPr>
        <w:t>the province of</w:t>
      </w:r>
      <w:r>
        <w:rPr>
          <w:lang w:val="en_US" w:bidi="en_US"/>
        </w:rPr>
        <w:t xml:space="preserve"> Galilee</w:t>
      </w:r>
    </w:p>
    <w:p>
      <w:pPr/>
      <w:r>
        <w:rPr>
          <w:lang w:val="en_US" w:bidi="en_US"/>
        </w:rPr>
      </w:r>
      <w:r>
        <w:rPr>
          <w:b/>
          <w:lang w:val="en_US" w:bidi="en_US"/>
        </w:rPr>
        <w:t>to a town in Galilee called Nazareth:</w:t>
      </w:r>
      <w:r>
        <w:rPr>
          <w:lang w:val="en_US" w:bidi="en_US"/>
        </w:rPr>
        <w:t xml:space="preserve"> </w:t>
      </w:r>
      <w:r>
        <w:rPr>
          <w:i/>
          <w:lang w:val="en_US" w:bidi="en_US"/>
        </w:rPr>
        <w:t>Nazareth</w:t>
      </w:r>
      <w:r>
        <w:rPr>
          <w:lang w:val="en_US" w:bidi="en_US"/>
        </w:rPr>
        <w:t xml:space="preserve"> was a small </w:t>
      </w:r>
      <w:r>
        <w:rPr>
          <w:i/>
          <w:lang w:val="en_US" w:bidi="en_US"/>
        </w:rPr>
        <w:t>town</w:t>
      </w:r>
      <w:r>
        <w:rPr>
          <w:lang w:val="en_US" w:bidi="en_US"/>
        </w:rPr>
        <w:t xml:space="preserve"> with perhaps several hundred inhabitants.</w:t>
      </w:r>
    </w:p>
    <w:p>
      <w:pPr/>
      <w:r>
        <w:rPr>
          <w:lang w:val="en_US" w:bidi="en_US"/>
        </w:rPr>
      </w:r>
      <w:r>
        <w:rPr>
          <w:b/>
          <w:lang w:val="en_US" w:bidi="en_US"/>
        </w:rPr>
        <w:t>Galilee:</w:t>
      </w:r>
      <w:r>
        <w:rPr>
          <w:lang w:val="en_US" w:bidi="en_US"/>
        </w:rPr>
        <w:t xml:space="preserve"> </w:t>
      </w:r>
      <w:r>
        <w:rPr>
          <w:i/>
          <w:lang w:val="en_US" w:bidi="en_US"/>
        </w:rPr>
        <w:t>Galilee</w:t>
      </w:r>
      <w:r>
        <w:rPr>
          <w:lang w:val="en_US" w:bidi="en_US"/>
        </w:rPr>
        <w:t xml:space="preserve"> was the name of a district or area in the north part of Israel.</w:t>
      </w:r>
      <w:r>
        <w:rPr>
          <w:lang w:val="en_US" w:bidi="en_US"/>
        </w:rPr>
      </w:r>
      <w:r>
        <w:rPr>
          <w:lang w:val="en_US" w:bidi="en_US"/>
        </w:rPr>
      </w:r>
    </w:p>
    <w:p>
      <w:pPr/>
      <w:r>
        <w:rPr>
          <w:lang w:val="en_US" w:bidi="en_US"/>
        </w:rPr>
      </w:r>
    </w:p>
    <w:p>
      <w:pPr>
        <w:pStyle w:val="Heading2"/>
      </w:pPr>
      <w:r>
        <w:rPr>
          <w:lang w:val="en_US" w:bidi="en_US"/>
        </w:rPr>
        <w:t>Luke 1:27</w:t>
      </w:r>
      <w:r>
        <w:rPr>
          <w:lang w:val="en_US" w:bidi="en_US"/>
        </w:rPr>
      </w:r>
    </w:p>
    <w:p>
      <w:pPr>
        <w:pStyle w:val="Heading4"/>
      </w:pPr>
      <w:r>
        <w:rPr>
          <w:lang w:val="en_US" w:bidi="en_US"/>
        </w:rPr>
        <w:t>Section 1:26–38: An angel told Mary that Jesus would be born</w:t>
      </w:r>
    </w:p>
    <w:p>
      <w:pPr/>
      <w:r>
        <w:rPr>
          <w:lang w:val="en_US" w:bidi="en_US"/>
        </w:rPr>
      </w:r>
      <w:r>
        <w:rPr>
          <w:lang w:val="en_US" w:bidi="en_US"/>
        </w:rP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pPr/>
      <w:r>
        <w:rPr>
          <w:lang w:val="en_US" w:bidi="en_US"/>
        </w:rPr>
      </w:r>
      <w:r>
        <w:rPr>
          <w:lang w:val="en_US" w:bidi="en_US"/>
        </w:rPr>
        <w:t>Some other possible headings for this section are:</w:t>
      </w:r>
    </w:p>
    <w:p>
      <w:pPr/>
      <w:r>
        <w:rPr>
          <w:lang w:val="en_US" w:bidi="en_US"/>
        </w:rPr>
      </w:r>
      <w:r>
        <w:rPr>
          <w:lang w:val="en_US" w:bidi="en_US"/>
        </w:rPr>
        <w:t>The angel Gabriel predicts the virgin birth of Jesus the Christ</w:t>
      </w:r>
    </w:p>
    <w:p>
      <w:pPr/>
      <w:r>
        <w:rPr>
          <w:lang w:val="en_US" w:bidi="en_US"/>
        </w:rPr>
      </w:r>
      <w:r>
        <w:rPr>
          <w:lang w:val="en_US" w:bidi="en_US"/>
        </w:rPr>
        <w:t>Angel Gabriel announces to the virgin Mary that God will cause her to give birth to a son</w:t>
      </w:r>
    </w:p>
    <w:p>
      <w:pPr/>
      <w:r>
        <w:rPr>
          <w:lang w:val="en_US" w:bidi="en_US"/>
        </w:rPr>
      </w:r>
      <w:r>
        <w:rPr>
          <w:lang w:val="en_US" w:bidi="en_US"/>
        </w:rPr>
        <w:t>The Birth of Jesus is Announced (GNT)</w:t>
      </w:r>
    </w:p>
    <w:p>
      <w:pPr>
        <w:pStyle w:val="Heading5"/>
      </w:pPr>
      <w:r>
        <w:rPr>
          <w:lang w:val="en_US" w:bidi="en_US"/>
        </w:rPr>
        <w:t>1:27a</w:t>
      </w:r>
    </w:p>
    <w:p>
      <w:pPr/>
      <w:r>
        <w:rPr>
          <w:lang w:val="en_US" w:bidi="en_US"/>
        </w:rPr>
      </w:r>
      <w:r>
        <w:rPr>
          <w:b/>
          <w:lang w:val="en_US" w:bidi="en_US"/>
        </w:rPr>
        <w:t>to a virgin pledged in marriage to a man named Joseph,</w:t>
      </w:r>
    </w:p>
    <w:p>
      <w:pPr>
        <w:pStyle w:val="ListBullet"/>
        <w:spacing w:line="240" w:lineRule="auto"/>
        <w:ind w:left="720"/>
      </w:pPr>
      <w:r>
        <w:rPr>
          <w:lang w:val="en_US" w:bidi="en_US"/>
        </w:rPr>
      </w:r>
      <w:r>
        <w:rPr>
          <w:lang w:val="en_US" w:bidi="en_US"/>
        </w:rPr>
        <w:t>He was sent</w:t>
      </w:r>
      <w:r>
        <w:rPr>
          <w:lang w:val="en_US" w:bidi="en_US"/>
        </w:rPr>
        <w:t xml:space="preserve"> to a virgin who was engaged to a man whose name was Joseph.</w:t>
      </w:r>
    </w:p>
    <w:p>
      <w:pPr>
        <w:pStyle w:val="ListBullet"/>
        <w:spacing w:line="240" w:lineRule="auto"/>
        <w:ind w:left="720"/>
      </w:pPr>
      <w:r>
        <w:rPr>
          <w:lang w:val="en_US" w:bidi="en_US"/>
        </w:rPr>
      </w:r>
      <w:r>
        <w:rPr>
          <w:lang w:val="en_US" w:bidi="en_US"/>
        </w:rPr>
        <w:t xml:space="preserve">to </w:t>
      </w:r>
      <w:r>
        <w:rPr>
          <w:lang w:val="en_US" w:bidi="en_US"/>
        </w:rPr>
        <w:t>give the message to</w:t>
      </w:r>
      <w:r>
        <w:rPr>
          <w:lang w:val="en_US" w:bidi="en_US"/>
        </w:rPr>
        <w:t xml:space="preserve"> the pure young woman. </w:t>
      </w:r>
      <w:r>
        <w:rPr>
          <w:lang w:val="en_US" w:bidi="en_US"/>
        </w:rPr>
        <w:t>The woman</w:t>
      </w:r>
      <w:r>
        <w:rPr>
          <w:lang w:val="en_US" w:bidi="en_US"/>
        </w:rPr>
        <w:t xml:space="preserve"> had promised to marry a man called Joseph.</w:t>
      </w:r>
    </w:p>
    <w:p>
      <w:pPr/>
      <w:r>
        <w:rPr>
          <w:lang w:val="en_US" w:bidi="en_US"/>
        </w:rPr>
      </w:r>
      <w:r>
        <w:rPr>
          <w:b/>
          <w:lang w:val="en_US" w:bidi="en_US"/>
        </w:rPr>
        <w:t>virgin:</w:t>
      </w:r>
      <w:r>
        <w:rPr>
          <w:lang w:val="en_US" w:bidi="en_US"/>
        </w:rPr>
        <w:t xml:space="preserve"> The Greek word that the BSB translates as </w:t>
      </w:r>
      <w:r>
        <w:rPr>
          <w:i/>
          <w:lang w:val="en_US" w:bidi="en_US"/>
        </w:rPr>
        <w:t>virgin</w:t>
      </w:r>
      <w:r>
        <w:rPr>
          <w:lang w:val="en_US" w:bidi="en_US"/>
        </w:rPr>
        <w:t xml:space="preserve"> usually refers to a young girl or woman who has not yet married and has never had sexual intercourse with a man. The young woman was usually at the age that people consider a good time for girls to marry.</w:t>
      </w:r>
      <w:r>
        <w:rPr>
          <w:lang w:val="en_US" w:bidi="en_US"/>
        </w:rPr>
        <w:t>Not all these aspects of meaning (age, marital status, sexual experience) will necessarily be in focus in a given context. There are even references from Greek literature where one or more of these usual aspects of meaning do not apply: older unmarried women or widows who do not remarry, young wives, and unmarried women who are not virgins.</w:t>
      </w:r>
      <w:r>
        <w:rPr>
          <w:lang w:val="en_US" w:bidi="en_US"/>
        </w:rPr>
        <w:t xml:space="preserve"> All of this was true of Mary.</w:t>
      </w:r>
    </w:p>
    <w:p>
      <w:pPr/>
      <w:r>
        <w:rPr>
          <w:lang w:val="en_US" w:bidi="en_US"/>
        </w:rPr>
      </w:r>
      <w:r>
        <w:rPr>
          <w:lang w:val="en_US" w:bidi="en_US"/>
        </w:rPr>
        <w:t xml:space="preserve">Some ways to translate </w:t>
      </w:r>
      <w:r>
        <w:rPr>
          <w:i/>
          <w:lang w:val="en_US" w:bidi="en_US"/>
        </w:rPr>
        <w:t>virgin</w:t>
      </w:r>
      <w:r>
        <w:rPr>
          <w:lang w:val="en_US" w:bidi="en_US"/>
        </w:rPr>
        <w:t xml:space="preserve"> are:</w:t>
      </w:r>
    </w:p>
    <w:p>
      <w:pPr>
        <w:pStyle w:val="ListBullet"/>
        <w:spacing w:line="240" w:lineRule="auto"/>
        <w:ind w:left="720"/>
      </w:pPr>
      <w:r>
        <w:rPr>
          <w:lang w:val="en_US" w:bidi="en_US"/>
        </w:rPr>
      </w:r>
      <w:r>
        <w:rPr>
          <w:lang w:val="en_US" w:bidi="en_US"/>
        </w:rPr>
        <w:t>Use a specific term that refers to a young unmarried woman who has not had sexual intercourse. It should not imply that men do not want to marry her because she is ugly or has some other problem. For example:</w:t>
      </w:r>
      <w:r>
        <w:rPr>
          <w:lang w:val="en_US" w:bidi="en_US"/>
        </w:rPr>
        <w:t>a virgin</w:t>
      </w:r>
      <w:r>
        <w:rPr>
          <w:lang w:val="en_US" w:bidi="en_US"/>
        </w:rPr>
        <w:t>a pure young woman</w:t>
      </w:r>
      <w:r>
        <w:rPr>
          <w:lang w:val="en_US" w:bidi="en_US"/>
        </w:rPr>
        <w:t>a young woman who has not had sexual relations</w:t>
      </w:r>
    </w:p>
    <w:p>
      <w:pPr>
        <w:pStyle w:val="ListBullet"/>
        <w:spacing w:line="240" w:lineRule="auto"/>
        <w:ind w:left="720"/>
      </w:pPr>
      <w:r>
        <w:rPr>
          <w:lang w:val="en_US" w:bidi="en_US"/>
        </w:rPr>
      </w:r>
      <w:r>
        <w:rPr>
          <w:lang w:val="en_US" w:bidi="en_US"/>
        </w:rPr>
        <w:t>Use a general term that refers to a “young woman” or “young unmarried woman.” Allow the context (especially 1:34) to show that Mary had never had sexual intercourse.</w:t>
      </w:r>
    </w:p>
    <w:p>
      <w:pPr/>
      <w:r>
        <w:rPr>
          <w:lang w:val="en_US" w:bidi="en_US"/>
        </w:rPr>
      </w:r>
      <w:r>
        <w:rPr>
          <w:lang w:val="en_US" w:bidi="en_US"/>
        </w:rPr>
        <w:t>Be careful to choose a translation that will be appropriate for public reading. In some languages, you will have a euphemism or idiom for this. For example:</w:t>
      </w:r>
    </w:p>
    <w:p>
      <w:pPr/>
      <w:r>
        <w:rPr>
          <w:lang w:val="en_US" w:bidi="en_US"/>
        </w:rPr>
      </w:r>
      <w:r>
        <w:rPr>
          <w:lang w:val="en_US" w:bidi="en_US"/>
        </w:rPr>
        <w:t>a woman who has not slept with a man</w:t>
      </w:r>
    </w:p>
    <w:p>
      <w:pPr/>
      <w:r>
        <w:rPr>
          <w:lang w:val="en_US" w:bidi="en_US"/>
        </w:rPr>
      </w:r>
      <w:r>
        <w:rPr>
          <w:lang w:val="en_US" w:bidi="en_US"/>
        </w:rPr>
        <w:t>an untouched woman</w:t>
      </w:r>
    </w:p>
    <w:p>
      <w:pPr/>
      <w:r>
        <w:rPr>
          <w:lang w:val="en_US" w:bidi="en_US"/>
        </w:rPr>
      </w:r>
      <w:r>
        <w:rPr>
          <w:b/>
          <w:lang w:val="en_US" w:bidi="en_US"/>
        </w:rPr>
        <w:t>pledged in marriage:</w:t>
      </w:r>
      <w:r>
        <w:rPr>
          <w:lang w:val="en_US" w:bidi="en_US"/>
        </w:rPr>
        <w:t xml:space="preserve"> The Greek phrase that the BSB translates as </w:t>
      </w:r>
      <w:r>
        <w:rPr>
          <w:i/>
          <w:lang w:val="en_US" w:bidi="en_US"/>
        </w:rPr>
        <w:t>pledged in marriage</w:t>
      </w:r>
      <w:r>
        <w:rPr>
          <w:lang w:val="en_US" w:bidi="en_US"/>
        </w:rPr>
        <w:t xml:space="preserve"> refers to a legal agreement or promise that a woman/girl would marry a man. Among the Jews, the girl’s father often made this promise to the man on her behalf.</w:t>
      </w:r>
    </w:p>
    <w:p>
      <w:pPr/>
      <w:r>
        <w:rPr>
          <w:lang w:val="en_US" w:bidi="en_US"/>
        </w:rPr>
      </w:r>
      <w:r>
        <w:rPr>
          <w:lang w:val="en_US" w:bidi="en_US"/>
        </w:rPr>
        <w:t>Some English versions translate this word as “engaged.” However, the marriage agreement among the Jews was more strict than the word “engaged” implies in many cultures. It legally joined a man and woman, and it was as binding as marriage. If either the man or woman ended the agreement, people considered them to be divorced. However, they were not allowed to have sexual relations until they actually married.</w:t>
      </w:r>
    </w:p>
    <w:p>
      <w:pPr/>
      <w:r>
        <w:rPr>
          <w:lang w:val="en_US" w:bidi="en_US"/>
        </w:rPr>
      </w:r>
      <w:r>
        <w:rPr>
          <w:lang w:val="en_US" w:bidi="en_US"/>
        </w:rPr>
        <w:t xml:space="preserve">Some other ways to express </w:t>
      </w:r>
      <w:r>
        <w:rPr>
          <w:i/>
          <w:lang w:val="en_US" w:bidi="en_US"/>
        </w:rPr>
        <w:t>pledged in marriage</w:t>
      </w:r>
      <w:r>
        <w:rPr>
          <w:lang w:val="en_US" w:bidi="en_US"/>
        </w:rPr>
        <w:t xml:space="preserve"> are:</w:t>
      </w:r>
    </w:p>
    <w:p>
      <w:pPr/>
      <w:r>
        <w:rPr>
          <w:lang w:val="en_US" w:bidi="en_US"/>
        </w:rPr>
      </w:r>
      <w:r>
        <w:rPr>
          <w:lang w:val="en_US" w:bidi="en_US"/>
        </w:rPr>
        <w:t>promised in marriage (GNT)</w:t>
      </w:r>
    </w:p>
    <w:p>
      <w:pPr/>
      <w:r>
        <w:rPr>
          <w:lang w:val="en_US" w:bidi="en_US"/>
        </w:rPr>
      </w:r>
      <w:r>
        <w:rPr>
          <w:lang w:val="en_US" w:bidi="en_US"/>
        </w:rPr>
        <w:t xml:space="preserve">had a </w:t>
      </w:r>
      <w:r>
        <w:rPr>
          <w:lang w:val="en_US" w:bidi="en_US"/>
        </w:rPr>
        <w:t>legal</w:t>
      </w:r>
      <w:r>
        <w:rPr>
          <w:lang w:val="en_US" w:bidi="en_US"/>
        </w:rPr>
        <w:t xml:space="preserve"> contract to be married</w:t>
      </w:r>
    </w:p>
    <w:p>
      <w:pPr/>
      <w:r>
        <w:rPr>
          <w:lang w:val="en_US" w:bidi="en_US"/>
        </w:rPr>
      </w:r>
      <w:r>
        <w:rPr>
          <w:lang w:val="en_US" w:bidi="en_US"/>
        </w:rPr>
        <w:t>You may want to include a footnote to explain more about this Jewish custom. For example:</w:t>
      </w:r>
    </w:p>
    <w:p>
      <w:pPr/>
      <w:r>
        <w:rPr>
          <w:lang w:val="en_US" w:bidi="en_US"/>
        </w:rPr>
      </w:r>
      <w:r>
        <w:rPr>
          <w:lang w:val="en_US" w:bidi="en_US"/>
        </w:rPr>
        <w:t>The type of marriage promise in this verse was legally binding in Jewish culture. After the promise, the man and woman usually waited about one year before they married. During that time, they did not live together or have sexual relations.</w:t>
      </w:r>
    </w:p>
    <w:p>
      <w:pPr>
        <w:pStyle w:val="Heading5"/>
      </w:pPr>
      <w:r>
        <w:rPr>
          <w:lang w:val="en_US" w:bidi="en_US"/>
        </w:rPr>
        <w:t>1:27b</w:t>
      </w:r>
    </w:p>
    <w:p>
      <w:pPr/>
      <w:r>
        <w:rPr>
          <w:lang w:val="en_US" w:bidi="en_US"/>
        </w:rPr>
      </w:r>
      <w:r>
        <w:rPr>
          <w:b/>
          <w:lang w:val="en_US" w:bidi="en_US"/>
        </w:rPr>
        <w:t>who was of the house of David.</w:t>
      </w:r>
    </w:p>
    <w:p>
      <w:pPr>
        <w:pStyle w:val="ListBullet"/>
        <w:spacing w:line="240" w:lineRule="auto"/>
        <w:ind w:left="720"/>
      </w:pPr>
      <w:r>
        <w:rPr>
          <w:lang w:val="en_US" w:bidi="en_US"/>
        </w:rPr>
      </w:r>
      <w:r>
        <w:rPr>
          <w:lang w:val="en_US" w:bidi="en_US"/>
        </w:rPr>
        <w:t xml:space="preserve">Joseph was descended from </w:t>
      </w:r>
      <w:r>
        <w:rPr>
          <w:lang w:val="en_US" w:bidi="en_US"/>
        </w:rPr>
        <w:t>King</w:t>
      </w:r>
      <w:r>
        <w:rPr>
          <w:lang w:val="en_US" w:bidi="en_US"/>
        </w:rPr>
        <w:t xml:space="preserve"> David.</w:t>
      </w:r>
    </w:p>
    <w:p>
      <w:pPr>
        <w:pStyle w:val="ListBullet"/>
        <w:spacing w:line="240" w:lineRule="auto"/>
        <w:ind w:left="720"/>
      </w:pPr>
      <w:r>
        <w:rPr>
          <w:lang w:val="en_US" w:bidi="en_US"/>
        </w:rPr>
      </w:r>
      <w:r>
        <w:rPr>
          <w:lang w:val="en_US" w:bidi="en_US"/>
        </w:rPr>
        <w:t xml:space="preserve">One of Joseph’s ancestors was David </w:t>
      </w:r>
      <w:r>
        <w:rPr>
          <w:lang w:val="en_US" w:bidi="en_US"/>
        </w:rPr>
        <w:t>the king</w:t>
      </w:r>
      <w:r>
        <w:rPr>
          <w:lang w:val="en_US" w:bidi="en_US"/>
        </w:rPr>
        <w:t>.</w:t>
      </w:r>
    </w:p>
    <w:p>
      <w:pPr/>
      <w:r>
        <w:rPr>
          <w:lang w:val="en_US" w:bidi="en_US"/>
        </w:rPr>
      </w:r>
      <w:r>
        <w:rPr>
          <w:b/>
          <w:lang w:val="en_US" w:bidi="en_US"/>
        </w:rPr>
        <w:t>of the house of David:</w:t>
      </w:r>
      <w:r>
        <w:rPr>
          <w:lang w:val="en_US" w:bidi="en_US"/>
        </w:rPr>
        <w:t xml:space="preserve"> The Greek phrase that the BSB translates as a </w:t>
      </w:r>
      <w:r>
        <w:rPr>
          <w:i/>
          <w:lang w:val="en_US" w:bidi="en_US"/>
        </w:rPr>
        <w:t>of the house of David</w:t>
      </w:r>
      <w:r>
        <w:rPr>
          <w:lang w:val="en_US" w:bidi="en_US"/>
        </w:rPr>
        <w:t xml:space="preserve"> means that King David was one of Joseph’s ancestors. David was king over Israel about one thousand years before Joseph’s time.</w:t>
      </w:r>
    </w:p>
    <w:p>
      <w:pPr>
        <w:pStyle w:val="Heading5"/>
      </w:pPr>
      <w:r>
        <w:rPr>
          <w:lang w:val="en_US" w:bidi="en_US"/>
        </w:rPr>
        <w:t>1:27c</w:t>
      </w:r>
    </w:p>
    <w:p>
      <w:pPr/>
      <w:r>
        <w:rPr>
          <w:lang w:val="en_US" w:bidi="en_US"/>
        </w:rPr>
      </w:r>
      <w:r>
        <w:rPr>
          <w:b/>
          <w:lang w:val="en_US" w:bidi="en_US"/>
        </w:rPr>
        <w:t>And the virgin’s name was Mary.</w:t>
      </w:r>
    </w:p>
    <w:p>
      <w:pPr>
        <w:pStyle w:val="ListBullet"/>
        <w:spacing w:line="240" w:lineRule="auto"/>
        <w:ind w:left="720"/>
      </w:pPr>
      <w:r>
        <w:rPr>
          <w:lang w:val="en_US" w:bidi="en_US"/>
        </w:rPr>
      </w:r>
      <w:r>
        <w:rPr>
          <w:lang w:val="en_US" w:bidi="en_US"/>
        </w:rPr>
        <w:t>The name of the virgin/woman was Mary.</w:t>
      </w:r>
    </w:p>
    <w:p>
      <w:pPr/>
      <w:r>
        <w:rPr>
          <w:lang w:val="en_US" w:bidi="en_US"/>
        </w:rPr>
      </w:r>
      <w:r>
        <w:rPr>
          <w:b/>
          <w:lang w:val="en_US" w:bidi="en_US"/>
        </w:rPr>
        <w:t>And the virgin’s name was Mary:</w:t>
      </w:r>
      <w:r>
        <w:rPr>
          <w:lang w:val="en_US" w:bidi="en_US"/>
        </w:rPr>
        <w:t xml:space="preserve"> The name of the virgin to whom the angel was sent was </w:t>
      </w:r>
      <w:r>
        <w:rPr>
          <w:i/>
          <w:lang w:val="en_US" w:bidi="en_US"/>
        </w:rPr>
        <w:t>Mary</w:t>
      </w:r>
      <w:r>
        <w:rPr>
          <w:lang w:val="en_US" w:bidi="en_US"/>
        </w:rPr>
        <w:t>. Some English versions give her name earlier in this verse.</w:t>
      </w:r>
    </w:p>
    <w:p>
      <w:pPr>
        <w:pStyle w:val="Heading6"/>
      </w:pPr>
      <w:r>
        <w:rPr>
          <w:b/>
          <w:lang w:val="en_US" w:bidi="en_US"/>
        </w:rPr>
        <w:t>General Comment on 1:27a–c</w:t>
      </w:r>
    </w:p>
    <w:p>
      <w:pPr/>
      <w:r>
        <w:rPr>
          <w:lang w:val="en_US" w:bidi="en_US"/>
        </w:rPr>
      </w:r>
      <w:r>
        <w:rPr>
          <w:lang w:val="en_US" w:bidi="en_US"/>
        </w:rPr>
        <w:t>In some languages it may be more natural to mention the information about Mary’s name near the beginning of this verse. If that is true in your language, you may want to change the order of the parts of this verse. For example:</w:t>
      </w:r>
    </w:p>
    <w:p>
      <w:pPr/>
      <w:r>
        <w:rPr>
          <w:lang w:val="en_US" w:bidi="en_US"/>
        </w:rPr>
      </w:r>
      <w:r>
        <w:rPr>
          <w:lang w:val="en_US" w:bidi="en_US"/>
        </w:rPr>
        <w:t>He went</w:t>
      </w:r>
      <w:r>
        <w:rPr>
          <w:lang w:val="en_US" w:bidi="en_US"/>
        </w:rPr>
        <w:t xml:space="preserve"> to </w:t>
      </w:r>
      <w:r>
        <w:rPr>
          <w:vertAlign w:val="superscript"/>
          <w:lang w:val="en_US" w:bidi="en_US"/>
        </w:rPr>
        <w:t>27c</w:t>
      </w:r>
      <w:r>
        <w:rPr>
          <w:lang w:val="en_US" w:bidi="en_US"/>
        </w:rPr>
        <w:t xml:space="preserve">a virgin called Mary. Mary </w:t>
      </w:r>
      <w:r>
        <w:rPr>
          <w:vertAlign w:val="superscript"/>
          <w:lang w:val="en_US" w:bidi="en_US"/>
        </w:rPr>
        <w:t>27a</w:t>
      </w:r>
      <w:r>
        <w:rPr>
          <w:lang w:val="en_US" w:bidi="en_US"/>
        </w:rPr>
        <w:t xml:space="preserve">was engaged to a man named Joseph, </w:t>
      </w:r>
      <w:r>
        <w:rPr>
          <w:vertAlign w:val="superscript"/>
          <w:lang w:val="en_US" w:bidi="en_US"/>
        </w:rPr>
        <w:t>27b</w:t>
      </w:r>
      <w:r>
        <w:rPr>
          <w:lang w:val="en_US" w:bidi="en_US"/>
        </w:rPr>
        <w:t xml:space="preserve">who was descended from </w:t>
      </w:r>
      <w:r>
        <w:rPr>
          <w:lang w:val="en_US" w:bidi="en_US"/>
        </w:rPr>
        <w:t>King</w:t>
      </w:r>
      <w:r>
        <w:rPr>
          <w:lang w:val="en_US" w:bidi="en_US"/>
        </w:rPr>
        <w:t xml:space="preserve"> David.</w:t>
      </w:r>
      <w:r>
        <w:rPr>
          <w:lang w:val="en_US" w:bidi="en_US"/>
        </w:rPr>
      </w:r>
      <w:r>
        <w:rPr>
          <w:lang w:val="en_US" w:bidi="en_US"/>
        </w:rPr>
      </w:r>
    </w:p>
    <w:p>
      <w:pPr/>
      <w:r>
        <w:rPr>
          <w:lang w:val="en_US" w:bidi="en_US"/>
        </w:rPr>
      </w:r>
    </w:p>
    <w:p>
      <w:pPr>
        <w:pStyle w:val="Heading2"/>
      </w:pPr>
      <w:r>
        <w:rPr>
          <w:lang w:val="en_US" w:bidi="en_US"/>
        </w:rPr>
        <w:t>Luke 1:28</w:t>
      </w:r>
      <w:r>
        <w:rPr>
          <w:lang w:val="en_US" w:bidi="en_US"/>
        </w:rPr>
      </w:r>
    </w:p>
    <w:p>
      <w:pPr>
        <w:pStyle w:val="Heading4"/>
      </w:pPr>
      <w:r>
        <w:rPr>
          <w:lang w:val="en_US" w:bidi="en_US"/>
        </w:rPr>
        <w:t>Section 1:26–38: An angel told Mary that Jesus would be born</w:t>
      </w:r>
    </w:p>
    <w:p>
      <w:pPr/>
      <w:r>
        <w:rPr>
          <w:lang w:val="en_US" w:bidi="en_US"/>
        </w:rPr>
      </w:r>
      <w:r>
        <w:rPr>
          <w:lang w:val="en_US" w:bidi="en_US"/>
        </w:rP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pPr/>
      <w:r>
        <w:rPr>
          <w:lang w:val="en_US" w:bidi="en_US"/>
        </w:rPr>
      </w:r>
      <w:r>
        <w:rPr>
          <w:lang w:val="en_US" w:bidi="en_US"/>
        </w:rPr>
        <w:t>Some other possible headings for this section are:</w:t>
      </w:r>
    </w:p>
    <w:p>
      <w:pPr/>
      <w:r>
        <w:rPr>
          <w:lang w:val="en_US" w:bidi="en_US"/>
        </w:rPr>
      </w:r>
      <w:r>
        <w:rPr>
          <w:lang w:val="en_US" w:bidi="en_US"/>
        </w:rPr>
        <w:t>The angel Gabriel predicts the virgin birth of Jesus the Christ</w:t>
      </w:r>
    </w:p>
    <w:p>
      <w:pPr/>
      <w:r>
        <w:rPr>
          <w:lang w:val="en_US" w:bidi="en_US"/>
        </w:rPr>
      </w:r>
      <w:r>
        <w:rPr>
          <w:lang w:val="en_US" w:bidi="en_US"/>
        </w:rPr>
        <w:t>Angel Gabriel announces to the virgin Mary that God will cause her to give birth to a son</w:t>
      </w:r>
    </w:p>
    <w:p>
      <w:pPr/>
      <w:r>
        <w:rPr>
          <w:lang w:val="en_US" w:bidi="en_US"/>
        </w:rPr>
      </w:r>
      <w:r>
        <w:rPr>
          <w:lang w:val="en_US" w:bidi="en_US"/>
        </w:rPr>
        <w:t>The Birth of Jesus is Announced (GNT)</w:t>
      </w:r>
    </w:p>
    <w:p>
      <w:pPr>
        <w:pStyle w:val="Heading5"/>
      </w:pPr>
      <w:r>
        <w:rPr>
          <w:lang w:val="en_US" w:bidi="en_US"/>
        </w:rPr>
        <w:t>1:28a</w:t>
      </w:r>
    </w:p>
    <w:p>
      <w:pPr/>
      <w:r>
        <w:rPr>
          <w:lang w:val="en_US" w:bidi="en_US"/>
        </w:rPr>
      </w:r>
      <w:r>
        <w:rPr>
          <w:b/>
          <w:lang w:val="en_US" w:bidi="en_US"/>
        </w:rPr>
        <w:t>The angel appeared to her and said,</w:t>
      </w:r>
    </w:p>
    <w:p>
      <w:pPr>
        <w:pStyle w:val="ListBullet"/>
        <w:spacing w:line="240" w:lineRule="auto"/>
        <w:ind w:left="720"/>
      </w:pPr>
      <w:r>
        <w:rPr>
          <w:lang w:val="en_US" w:bidi="en_US"/>
        </w:rPr>
      </w:r>
      <w:r>
        <w:rPr>
          <w:lang w:val="en_US" w:bidi="en_US"/>
        </w:rPr>
        <w:t>When</w:t>
      </w:r>
      <w:r>
        <w:rPr>
          <w:lang w:val="en_US" w:bidi="en_US"/>
        </w:rPr>
        <w:t xml:space="preserve"> the angel arrived, he said </w:t>
      </w:r>
      <w:r>
        <w:rPr>
          <w:lang w:val="en_US" w:bidi="en_US"/>
        </w:rPr>
        <w:t>to Mary</w:t>
      </w:r>
      <w:r>
        <w:rPr>
          <w:lang w:val="en_US" w:bidi="en_US"/>
        </w:rPr>
        <w:t>,</w:t>
      </w:r>
    </w:p>
    <w:p>
      <w:pPr>
        <w:pStyle w:val="ListBullet"/>
        <w:spacing w:line="240" w:lineRule="auto"/>
        <w:ind w:left="720"/>
      </w:pPr>
      <w:r>
        <w:rPr>
          <w:lang w:val="en_US" w:bidi="en_US"/>
        </w:rPr>
      </w:r>
      <w:r>
        <w:rPr>
          <w:lang w:val="en_US" w:bidi="en_US"/>
        </w:rPr>
        <w:t xml:space="preserve">The angel entered </w:t>
      </w:r>
      <w:r>
        <w:rPr>
          <w:lang w:val="en_US" w:bidi="en_US"/>
        </w:rPr>
        <w:t>her house/room</w:t>
      </w:r>
      <w:r>
        <w:rPr>
          <w:lang w:val="en_US" w:bidi="en_US"/>
        </w:rPr>
        <w:t>, greeted her and said,</w:t>
      </w:r>
    </w:p>
    <w:p>
      <w:pPr/>
      <w:r>
        <w:rPr>
          <w:lang w:val="en_US" w:bidi="en_US"/>
        </w:rPr>
      </w:r>
      <w:r>
        <w:rPr>
          <w:lang w:val="en_US" w:bidi="en_US"/>
        </w:rPr>
        <w:t>In 1:26 God sent the angel Gabriel to Mary. In this verse, the angel arrived. Connect this verse to the preceding verses in a clear way in your language.</w:t>
      </w:r>
    </w:p>
    <w:p>
      <w:pPr/>
      <w:r>
        <w:rPr>
          <w:lang w:val="en_US" w:bidi="en_US"/>
        </w:rPr>
      </w:r>
      <w:r>
        <w:rPr>
          <w:b/>
          <w:lang w:val="en_US" w:bidi="en_US"/>
        </w:rPr>
        <w:t>The angel appeared to her and said:</w:t>
      </w:r>
      <w:r>
        <w:rPr>
          <w:lang w:val="en_US" w:bidi="en_US"/>
        </w:rPr>
        <w:t xml:space="preserve"> The Greek verb that the BSB translates as </w:t>
      </w:r>
      <w:r>
        <w:rPr>
          <w:i/>
          <w:lang w:val="en_US" w:bidi="en_US"/>
        </w:rPr>
        <w:t>appeared</w:t>
      </w:r>
      <w:r>
        <w:rPr>
          <w:lang w:val="en_US" w:bidi="en_US"/>
        </w:rPr>
        <w:t xml:space="preserve"> is literally “entered.” It implies that the angel entered Mary’s house or room. It can also be translated with a more general word such as “came” or “went.” Some ways to translate this part of the verse are:</w:t>
      </w:r>
    </w:p>
    <w:p>
      <w:pPr/>
      <w:r>
        <w:rPr>
          <w:lang w:val="en_US" w:bidi="en_US"/>
        </w:rPr>
      </w:r>
      <w:r>
        <w:rPr>
          <w:lang w:val="en_US" w:bidi="en_US"/>
        </w:rPr>
        <w:t>When he came to her, he said</w:t>
      </w:r>
    </w:p>
    <w:p>
      <w:pPr/>
      <w:r>
        <w:rPr>
          <w:lang w:val="en_US" w:bidi="en_US"/>
        </w:rPr>
      </w:r>
      <w:r>
        <w:rPr>
          <w:lang w:val="en_US" w:bidi="en_US"/>
        </w:rPr>
        <w:t>The angel arrived and entered the place where she was. He greeted her, saying</w:t>
      </w:r>
    </w:p>
    <w:p>
      <w:pPr>
        <w:pStyle w:val="Heading5"/>
      </w:pPr>
      <w:r>
        <w:rPr>
          <w:lang w:val="en_US" w:bidi="en_US"/>
        </w:rPr>
        <w:t>1:28b</w:t>
      </w:r>
    </w:p>
    <w:p>
      <w:pPr/>
      <w:r>
        <w:rPr>
          <w:lang w:val="en_US" w:bidi="en_US"/>
        </w:rPr>
      </w:r>
      <w:r>
        <w:rPr>
          <w:b/>
          <w:lang w:val="en_US" w:bidi="en_US"/>
        </w:rPr>
        <w:t>“Greetings, you who are highly favored!</w:t>
      </w:r>
    </w:p>
    <w:p>
      <w:pPr>
        <w:pStyle w:val="ListBullet"/>
        <w:spacing w:line="240" w:lineRule="auto"/>
        <w:ind w:left="720"/>
      </w:pPr>
      <w:r>
        <w:rPr>
          <w:lang w:val="en_US" w:bidi="en_US"/>
        </w:rPr>
      </w:r>
      <w:r>
        <w:rPr>
          <w:lang w:val="en_US" w:bidi="en_US"/>
        </w:rPr>
        <w:t>“Greetings, one who is favored/blessed.</w:t>
      </w:r>
    </w:p>
    <w:p>
      <w:pPr>
        <w:pStyle w:val="ListBullet"/>
        <w:spacing w:line="240" w:lineRule="auto"/>
        <w:ind w:left="720"/>
      </w:pPr>
      <w:r>
        <w:rPr>
          <w:lang w:val="en_US" w:bidi="en_US"/>
        </w:rPr>
      </w:r>
      <w:r>
        <w:rPr>
          <w:lang w:val="en_US" w:bidi="en_US"/>
        </w:rPr>
        <w:t>“Peace be with you,</w:t>
      </w:r>
      <w:r>
        <w:rPr>
          <w:vertAlign w:val="superscript"/>
          <w:lang w:val="en_US" w:bidi="en_US"/>
        </w:rPr>
        <w:t>(sing)</w:t>
      </w:r>
      <w:r>
        <w:rPr>
          <w:lang w:val="en_US" w:bidi="en_US"/>
        </w:rPr>
        <w:t xml:space="preserve"> </w:t>
      </w:r>
      <w:r>
        <w:rPr>
          <w:lang w:val="en_US" w:bidi="en_US"/>
        </w:rPr>
        <w:t>Mary</w:t>
      </w:r>
      <w:r>
        <w:rPr>
          <w:lang w:val="en_US" w:bidi="en_US"/>
        </w:rPr>
        <w:t xml:space="preserve">. </w:t>
      </w:r>
      <w:r>
        <w:rPr>
          <w:lang w:val="en_US" w:bidi="en_US"/>
        </w:rPr>
        <w:t>God</w:t>
      </w:r>
      <w:r>
        <w:rPr>
          <w:lang w:val="en_US" w:bidi="en_US"/>
        </w:rPr>
        <w:t xml:space="preserve"> has been very kind to you!</w:t>
      </w:r>
      <w:r>
        <w:rPr>
          <w:vertAlign w:val="superscript"/>
          <w:lang w:val="en_US" w:bidi="en_US"/>
        </w:rPr>
        <w:t>(sing)</w:t>
      </w:r>
    </w:p>
    <w:p>
      <w:pPr/>
      <w:r>
        <w:rPr>
          <w:lang w:val="en_US" w:bidi="en_US"/>
        </w:rPr>
      </w:r>
      <w:r>
        <w:rPr>
          <w:b/>
          <w:lang w:val="en_US" w:bidi="en_US"/>
        </w:rPr>
        <w:t>Greetings:</w:t>
      </w:r>
      <w:r>
        <w:rPr>
          <w:lang w:val="en_US" w:bidi="en_US"/>
        </w:rPr>
        <w:t xml:space="preserve"> The Greek word that the BSB translates as </w:t>
      </w:r>
      <w:r>
        <w:rPr>
          <w:i/>
          <w:lang w:val="en_US" w:bidi="en_US"/>
        </w:rPr>
        <w:t>Greetings</w:t>
      </w:r>
      <w:r>
        <w:rPr>
          <w:lang w:val="en_US" w:bidi="en_US"/>
        </w:rPr>
        <w:t xml:space="preserve"> literally means “Rejoice!” It was a common greeting and showed that the angel came as a friend. Some ways to translate this are:</w:t>
      </w:r>
    </w:p>
    <w:p>
      <w:pPr>
        <w:pStyle w:val="ListBullet"/>
        <w:spacing w:line="240" w:lineRule="auto"/>
        <w:ind w:left="720"/>
      </w:pPr>
      <w:r>
        <w:rPr>
          <w:lang w:val="en_US" w:bidi="en_US"/>
        </w:rPr>
      </w:r>
      <w:r>
        <w:rPr>
          <w:lang w:val="en_US" w:bidi="en_US"/>
        </w:rPr>
        <w:t>Use a common greeting in your language. It should be a natural way for someone of authority to greet a young woman. For example:</w:t>
      </w:r>
      <w:r>
        <w:rPr>
          <w:lang w:val="en_US" w:bidi="en_US"/>
        </w:rPr>
        <w:t>Peace be with you! (GNT)</w:t>
      </w:r>
    </w:p>
    <w:p>
      <w:pPr/>
      <w:r>
        <w:rPr>
          <w:lang w:val="en_US" w:bidi="en_US"/>
        </w:rPr>
      </w:r>
      <w:r>
        <w:rPr>
          <w:lang w:val="en_US" w:bidi="en_US"/>
        </w:rPr>
        <w:t>(That is a common Jewish greeting.)</w:t>
      </w:r>
    </w:p>
    <w:p>
      <w:pPr>
        <w:pStyle w:val="ListBullet"/>
        <w:spacing w:line="240" w:lineRule="auto"/>
        <w:ind w:left="720"/>
      </w:pPr>
      <w:r>
        <w:rPr>
          <w:lang w:val="en_US" w:bidi="en_US"/>
        </w:rPr>
      </w:r>
      <w:r>
        <w:rPr>
          <w:lang w:val="en_US" w:bidi="en_US"/>
        </w:rPr>
        <w:t>Translate the literal meaning of the greeting. For example:</w:t>
      </w:r>
      <w:r>
        <w:rPr>
          <w:lang w:val="en_US" w:bidi="en_US"/>
        </w:rPr>
        <w:t>Rejoice!</w:t>
      </w:r>
      <w:r>
        <w:rPr>
          <w:lang w:val="en_US" w:bidi="en_US"/>
        </w:rPr>
        <w:t>Be joyful!</w:t>
      </w:r>
    </w:p>
    <w:p>
      <w:pPr>
        <w:pStyle w:val="ListBullet"/>
        <w:spacing w:line="240" w:lineRule="auto"/>
        <w:ind w:left="720"/>
      </w:pPr>
      <w:r>
        <w:rPr>
          <w:lang w:val="en_US" w:bidi="en_US"/>
        </w:rPr>
      </w:r>
      <w:r>
        <w:rPr>
          <w:lang w:val="en_US" w:bidi="en_US"/>
        </w:rPr>
        <w:t>Mention only the fact that the angel greeted her without putting the greeting in the quotation. For example:</w:t>
      </w:r>
      <w:r>
        <w:rPr>
          <w:lang w:val="en_US" w:bidi="en_US"/>
        </w:rPr>
        <w:t>he greeted her and said (GW)</w:t>
      </w:r>
    </w:p>
    <w:p>
      <w:pPr/>
      <w:r>
        <w:rPr>
          <w:lang w:val="en_US" w:bidi="en_US"/>
        </w:rPr>
      </w:r>
      <w:r>
        <w:rPr>
          <w:lang w:val="en_US" w:bidi="en_US"/>
        </w:rPr>
        <w:t>Notice how the GW puts the verb “greeted” before the verb “said” here.</w:t>
      </w:r>
    </w:p>
    <w:p>
      <w:pPr/>
      <w:r>
        <w:rPr>
          <w:lang w:val="en_US" w:bidi="en_US"/>
        </w:rPr>
      </w:r>
      <w:r>
        <w:rPr>
          <w:lang w:val="en_US" w:bidi="en_US"/>
        </w:rPr>
        <w:t>In 1:30a the angel addressed Mary by name. In some languages it may be natural to use her name here also. For example:</w:t>
      </w:r>
    </w:p>
    <w:p>
      <w:pPr/>
      <w:r>
        <w:rPr>
          <w:lang w:val="en_US" w:bidi="en_US"/>
        </w:rPr>
      </w:r>
      <w:r>
        <w:rPr>
          <w:lang w:val="en_US" w:bidi="en_US"/>
        </w:rPr>
        <w:t>Greetings, Mary.</w:t>
      </w:r>
    </w:p>
    <w:p>
      <w:pPr/>
      <w:r>
        <w:rPr>
          <w:lang w:val="en_US" w:bidi="en_US"/>
        </w:rPr>
      </w:r>
      <w:r>
        <w:rPr>
          <w:b/>
          <w:lang w:val="en_US" w:bidi="en_US"/>
        </w:rPr>
        <w:t>you who are highly favored:</w:t>
      </w:r>
      <w:r>
        <w:rPr>
          <w:lang w:val="en_US" w:bidi="en_US"/>
        </w:rPr>
        <w:t xml:space="preserve"> The Greek verb that the BSB translates as </w:t>
      </w:r>
      <w:r>
        <w:rPr>
          <w:i/>
          <w:lang w:val="en_US" w:bidi="en_US"/>
        </w:rPr>
        <w:t>you who are highly favored</w:t>
      </w:r>
      <w:r>
        <w:rPr>
          <w:lang w:val="en_US" w:bidi="en_US"/>
        </w:rPr>
        <w:t xml:space="preserve"> is literally “favored [one/person].” The angel used this word as a title to address Mary directly. For example:</w:t>
      </w:r>
    </w:p>
    <w:p>
      <w:pPr/>
      <w:r>
        <w:rPr>
          <w:lang w:val="en_US" w:bidi="en_US"/>
        </w:rPr>
      </w:r>
      <w:r>
        <w:rPr>
          <w:lang w:val="en_US" w:bidi="en_US"/>
        </w:rPr>
        <w:t xml:space="preserve">Greetings, </w:t>
      </w:r>
      <w:r>
        <w:rPr>
          <w:u w:val="single"/>
          <w:lang w:val="en_US" w:bidi="en_US"/>
        </w:rPr>
        <w:t>favored woman</w:t>
      </w:r>
      <w:r>
        <w:rPr>
          <w:lang w:val="en_US" w:bidi="en_US"/>
        </w:rPr>
        <w:t>! (NLT)</w:t>
      </w:r>
    </w:p>
    <w:p>
      <w:pPr/>
      <w:r>
        <w:rPr>
          <w:lang w:val="en_US" w:bidi="en_US"/>
        </w:rPr>
      </w:r>
      <w:r>
        <w:rPr>
          <w:lang w:val="en_US" w:bidi="en_US"/>
        </w:rPr>
        <w:t xml:space="preserve">The Greek verb </w:t>
      </w:r>
      <w:r>
        <w:rPr>
          <w:i/>
          <w:lang w:val="en_US" w:bidi="en_US"/>
        </w:rPr>
        <w:t>favored</w:t>
      </w:r>
      <w:r>
        <w:rPr>
          <w:lang w:val="en_US" w:bidi="en_US"/>
        </w:rPr>
        <w:t xml:space="preserve"> is passive. In this context it indicates that God had shown great favor or kindness to Mary. This kindness was that he had chosen her to be the mother of the Christ.</w:t>
      </w:r>
    </w:p>
    <w:p>
      <w:pPr/>
      <w:r>
        <w:rPr>
          <w:lang w:val="en_US" w:bidi="en_US"/>
        </w:rPr>
      </w:r>
      <w:r>
        <w:rPr>
          <w:lang w:val="en_US" w:bidi="en_US"/>
        </w:rPr>
        <w:t>Some ways to translate this are:</w:t>
      </w:r>
    </w:p>
    <w:p>
      <w:pPr/>
      <w:r>
        <w:rPr>
          <w:lang w:val="en_US" w:bidi="en_US"/>
        </w:rPr>
      </w:r>
      <w:r>
        <w:rPr>
          <w:lang w:val="en_US" w:bidi="en_US"/>
        </w:rPr>
        <w:t>God has been very kind to you.</w:t>
      </w:r>
    </w:p>
    <w:p>
      <w:pPr/>
      <w:r>
        <w:rPr>
          <w:lang w:val="en_US" w:bidi="en_US"/>
        </w:rPr>
      </w:r>
      <w:r>
        <w:rPr>
          <w:lang w:val="en_US" w:bidi="en_US"/>
        </w:rPr>
        <w:t>God has greatly favored you.</w:t>
      </w:r>
    </w:p>
    <w:p>
      <w:pPr/>
      <w:r>
        <w:rPr>
          <w:lang w:val="en_US" w:bidi="en_US"/>
        </w:rPr>
      </w:r>
      <w:r>
        <w:rPr>
          <w:lang w:val="en_US" w:bidi="en_US"/>
        </w:rPr>
        <w:t>privileged-one</w:t>
      </w:r>
    </w:p>
    <w:p>
      <w:pPr/>
      <w:r>
        <w:rPr>
          <w:lang w:val="en_US" w:bidi="en_US"/>
        </w:rPr>
      </w:r>
      <w:r>
        <w:rPr>
          <w:lang w:val="en_US" w:bidi="en_US"/>
        </w:rPr>
        <w:t>You are truly blessed! (CEV)</w:t>
      </w:r>
    </w:p>
    <w:p>
      <w:pPr/>
      <w:r>
        <w:rPr>
          <w:lang w:val="en_US" w:bidi="en_US"/>
        </w:rPr>
      </w:r>
      <w:r>
        <w:rPr>
          <w:lang w:val="en_US" w:bidi="en_US"/>
        </w:rPr>
        <w:t>God has given you a great gift/grace.</w:t>
      </w:r>
    </w:p>
    <w:p>
      <w:pPr/>
      <w:r>
        <w:rPr>
          <w:lang w:val="en_US" w:bidi="en_US"/>
        </w:rPr>
      </w:r>
      <w:r>
        <w:rPr>
          <w:lang w:val="en_US" w:bidi="en_US"/>
        </w:rPr>
        <w:t>See grace, Meaning 1, in the Glossary.</w:t>
      </w:r>
    </w:p>
    <w:p>
      <w:pPr>
        <w:pStyle w:val="Heading5"/>
      </w:pPr>
      <w:r>
        <w:rPr>
          <w:lang w:val="en_US" w:bidi="en_US"/>
        </w:rPr>
        <w:t>1:28c</w:t>
      </w:r>
    </w:p>
    <w:p>
      <w:pPr/>
      <w:r>
        <w:rPr>
          <w:lang w:val="en_US" w:bidi="en_US"/>
        </w:rPr>
      </w:r>
      <w:r>
        <w:rPr>
          <w:b/>
          <w:lang w:val="en_US" w:bidi="en_US"/>
        </w:rPr>
        <w:t>The Lord is with you.”</w:t>
      </w:r>
    </w:p>
    <w:p>
      <w:pPr>
        <w:pStyle w:val="ListBullet"/>
        <w:spacing w:line="240" w:lineRule="auto"/>
        <w:ind w:left="720"/>
      </w:pPr>
      <w:r>
        <w:rPr>
          <w:lang w:val="en_US" w:bidi="en_US"/>
        </w:rPr>
      </w:r>
      <w:r>
        <w:rPr>
          <w:lang w:val="en_US" w:bidi="en_US"/>
        </w:rPr>
        <w:t xml:space="preserve">The Lord is </w:t>
      </w:r>
      <w:r>
        <w:rPr>
          <w:lang w:val="en_US" w:bidi="en_US"/>
        </w:rPr>
        <w:t>present</w:t>
      </w:r>
      <w:r>
        <w:rPr>
          <w:lang w:val="en_US" w:bidi="en_US"/>
        </w:rPr>
        <w:t xml:space="preserve"> with you.”</w:t>
      </w:r>
      <w:r>
        <w:rPr>
          <w:vertAlign w:val="superscript"/>
          <w:lang w:val="en_US" w:bidi="en_US"/>
        </w:rPr>
        <w:t>(sing)</w:t>
      </w:r>
    </w:p>
    <w:p>
      <w:pPr>
        <w:pStyle w:val="ListBullet"/>
        <w:spacing w:line="240" w:lineRule="auto"/>
        <w:ind w:left="720"/>
      </w:pPr>
      <w:r>
        <w:rPr>
          <w:lang w:val="en_US" w:bidi="en_US"/>
        </w:rPr>
      </w:r>
      <w:r>
        <w:rPr>
          <w:lang w:val="en_US" w:bidi="en_US"/>
        </w:rPr>
        <w:t>The Lord is with you</w:t>
      </w:r>
      <w:r>
        <w:rPr>
          <w:vertAlign w:val="superscript"/>
          <w:lang w:val="en_US" w:bidi="en_US"/>
        </w:rPr>
        <w:t>(sing)</w:t>
      </w:r>
      <w:r>
        <w:rPr>
          <w:lang w:val="en_US" w:bidi="en_US"/>
        </w:rPr>
        <w:t xml:space="preserve"> </w:t>
      </w:r>
      <w:r>
        <w:rPr>
          <w:lang w:val="en_US" w:bidi="en_US"/>
        </w:rPr>
        <w:t>to bless you</w:t>
      </w:r>
      <w:r>
        <w:rPr>
          <w:lang w:val="en_US" w:bidi="en_US"/>
        </w:rPr>
        <w:t>.”</w:t>
      </w:r>
    </w:p>
    <w:p>
      <w:pPr/>
      <w:r>
        <w:rPr>
          <w:lang w:val="en_US" w:bidi="en_US"/>
        </w:rPr>
      </w:r>
      <w:r>
        <w:rPr>
          <w:lang w:val="en_US" w:bidi="en_US"/>
        </w:rPr>
        <w:t>There is a textual issue in this part of the verse:</w:t>
      </w:r>
    </w:p>
    <w:p>
      <w:pPr>
        <w:pStyle w:val="ListNumber"/>
        <w:numPr>
          <w:ilvl w:val="0"/>
          <w:numId w:val="23"/>
        </w:numPr>
        <w:spacing w:line="240" w:lineRule="auto"/>
        <w:ind w:left="720"/>
      </w:pPr>
      <w:r>
        <w:rPr>
          <w:lang w:val="en_US" w:bidi="en_US"/>
        </w:rPr>
      </w:r>
      <w:r>
        <w:rPr>
          <w:lang w:val="en_US" w:bidi="en_US"/>
        </w:rPr>
        <w:t>The earliest Greek manuscripts have only “The Lord is with you.” For example:</w:t>
      </w:r>
      <w:r>
        <w:rPr>
          <w:lang w:val="en_US" w:bidi="en_US"/>
        </w:rPr>
        <w:t xml:space="preserve">The Lord is with you. (NASB) </w:t>
      </w:r>
      <w:r>
        <w:rPr>
          <w:i/>
          <w:lang w:val="en_US" w:bidi="en_US"/>
        </w:rPr>
        <w:t>(BSB, NASB, NIV, GNT, NJB, ESV, NLT, NET, RSV, REB, NCV, GW, CEV)</w:t>
      </w:r>
    </w:p>
    <w:p>
      <w:pPr>
        <w:pStyle w:val="ListNumber"/>
        <w:spacing w:line="240" w:lineRule="auto"/>
        <w:ind w:left="720"/>
      </w:pPr>
      <w:r>
        <w:rPr>
          <w:lang w:val="en_US" w:bidi="en_US"/>
        </w:rPr>
      </w:r>
      <w:r>
        <w:rPr>
          <w:lang w:val="en_US" w:bidi="en_US"/>
        </w:rPr>
        <w:t>Other Greek manuscripts add “Blessed are you among women.” For example:</w:t>
      </w:r>
      <w:r>
        <w:rPr>
          <w:lang w:val="en_US" w:bidi="en_US"/>
        </w:rPr>
        <w:t xml:space="preserve">…the Lord </w:t>
      </w:r>
      <w:r>
        <w:rPr>
          <w:i/>
          <w:lang w:val="en_US" w:bidi="en_US"/>
        </w:rPr>
        <w:t>is</w:t>
      </w:r>
      <w:r>
        <w:rPr>
          <w:lang w:val="en_US" w:bidi="en_US"/>
        </w:rPr>
        <w:t xml:space="preserve"> with thee: blessed </w:t>
      </w:r>
      <w:r>
        <w:rPr>
          <w:i/>
          <w:lang w:val="en_US" w:bidi="en_US"/>
        </w:rPr>
        <w:t>art</w:t>
      </w:r>
      <w:r>
        <w:rPr>
          <w:lang w:val="en_US" w:bidi="en_US"/>
        </w:rPr>
        <w:t xml:space="preserve"> thou among women. (KJV) </w:t>
      </w:r>
      <w:r>
        <w:rPr>
          <w:i/>
          <w:lang w:val="en_US" w:bidi="en_US"/>
        </w:rPr>
        <w:t>(KJV)</w:t>
      </w:r>
    </w:p>
    <w:p>
      <w:pPr/>
      <w:r>
        <w:rPr>
          <w:lang w:val="en_US" w:bidi="en_US"/>
        </w:rPr>
      </w:r>
      <w:r>
        <w:rPr>
          <w:lang w:val="en_US" w:bidi="en_US"/>
        </w:rPr>
        <w:t>It is recommended that you follow option (1), as the majority of English versions do.</w:t>
      </w:r>
      <w:r>
        <w:rPr>
          <w:lang w:val="en_US" w:bidi="en_US"/>
        </w:rPr>
        <w:t xml:space="preserve">This recommendation is based on information gained from </w:t>
      </w:r>
      <w:r>
        <w:rPr>
          <w:i/>
          <w:lang w:val="en_US" w:bidi="en_US"/>
        </w:rPr>
        <w:t>New Testament Greek Manuscripts of Luke</w:t>
      </w:r>
      <w:r>
        <w:rPr>
          <w:lang w:val="en_US" w:bidi="en_US"/>
        </w:rPr>
        <w:t xml:space="preserve"> by Swanson, p. 19, </w:t>
      </w:r>
      <w:r>
        <w:rPr>
          <w:i/>
          <w:lang w:val="en_US" w:bidi="en_US"/>
        </w:rPr>
        <w:t>Greek NT UBS 4th ed.</w:t>
      </w:r>
      <w:r>
        <w:rPr>
          <w:lang w:val="en_US" w:bidi="en_US"/>
        </w:rPr>
        <w:t xml:space="preserve">, and </w:t>
      </w:r>
      <w:r>
        <w:rPr>
          <w:i/>
          <w:lang w:val="en_US" w:bidi="en_US"/>
        </w:rPr>
        <w:t>A Textual Commentary on the Greek New Testament</w:t>
      </w:r>
      <w:r>
        <w:rPr>
          <w:lang w:val="en_US" w:bidi="en_US"/>
        </w:rPr>
        <w:t xml:space="preserve">, Metzger, p. 108, and </w:t>
      </w:r>
      <w:r>
        <w:rPr>
          <w:i/>
          <w:lang w:val="en_US" w:bidi="en_US"/>
        </w:rPr>
        <w:t>Exegetical Summaries</w:t>
      </w:r>
      <w:r>
        <w:rPr>
          <w:lang w:val="en_US" w:bidi="en_US"/>
        </w:rPr>
        <w:t xml:space="preserve"> (Blight) in </w:t>
      </w:r>
      <w:r>
        <w:rPr>
          <w:i/>
          <w:lang w:val="en_US" w:bidi="en_US"/>
        </w:rPr>
        <w:t>Translator’s Workplace (TW)</w:t>
      </w:r>
      <w:r>
        <w:rPr>
          <w:lang w:val="en_US" w:bidi="en_US"/>
        </w:rPr>
        <w:t>.</w:t>
      </w:r>
      <w:r>
        <w:rPr>
          <w:lang w:val="en_US" w:bidi="en_US"/>
        </w:rPr>
        <w:t xml:space="preserve"> However, if the national language version in your area follows option (2), you may want to mention it in a footnote. For example, the NLT has this footnote:</w:t>
      </w:r>
    </w:p>
    <w:p>
      <w:pPr/>
      <w:r>
        <w:rPr>
          <w:lang w:val="en_US" w:bidi="en_US"/>
        </w:rPr>
      </w:r>
      <w:r>
        <w:rPr>
          <w:lang w:val="en_US" w:bidi="en_US"/>
        </w:rPr>
        <w:t>Some manuscripts add “Blessed are you among women.”</w:t>
      </w:r>
    </w:p>
    <w:p>
      <w:pPr/>
      <w:r>
        <w:rPr>
          <w:lang w:val="en_US" w:bidi="en_US"/>
        </w:rPr>
      </w:r>
      <w:r>
        <w:rPr>
          <w:b/>
          <w:lang w:val="en_US" w:bidi="en_US"/>
        </w:rPr>
        <w:t>The Lord is with you:</w:t>
      </w:r>
      <w:r>
        <w:rPr>
          <w:lang w:val="en_US" w:bidi="en_US"/>
        </w:rPr>
        <w:t xml:space="preserve"> The clause </w:t>
      </w:r>
      <w:r>
        <w:rPr>
          <w:i/>
          <w:lang w:val="en_US" w:bidi="en_US"/>
        </w:rPr>
        <w:t>The Lord is with you</w:t>
      </w:r>
      <w:r>
        <w:rPr>
          <w:lang w:val="en_US" w:bidi="en_US"/>
        </w:rPr>
        <w:t xml:space="preserve"> means that the Lord was present with Mary. He was watching over her to bless her. The word </w:t>
      </w:r>
      <w:r>
        <w:rPr>
          <w:i/>
          <w:lang w:val="en_US" w:bidi="en_US"/>
        </w:rPr>
        <w:t>Lord</w:t>
      </w:r>
      <w:r>
        <w:rPr>
          <w:lang w:val="en_US" w:bidi="en_US"/>
        </w:rPr>
        <w:t xml:space="preserve"> refers to God.</w:t>
      </w:r>
      <w:r>
        <w:rPr>
          <w:lang w:val="en_US" w:bidi="en_US"/>
        </w:rPr>
      </w:r>
      <w:r>
        <w:rPr>
          <w:lang w:val="en_US" w:bidi="en_US"/>
        </w:rPr>
      </w:r>
    </w:p>
    <w:p>
      <w:pPr/>
      <w:r>
        <w:rPr>
          <w:lang w:val="en_US" w:bidi="en_US"/>
        </w:rPr>
      </w:r>
    </w:p>
    <w:p>
      <w:pPr>
        <w:pStyle w:val="Heading2"/>
      </w:pPr>
      <w:r>
        <w:rPr>
          <w:lang w:val="en_US" w:bidi="en_US"/>
        </w:rPr>
        <w:t>Luke 1:29</w:t>
      </w:r>
      <w:r>
        <w:rPr>
          <w:lang w:val="en_US" w:bidi="en_US"/>
        </w:rPr>
      </w:r>
    </w:p>
    <w:p>
      <w:pPr>
        <w:pStyle w:val="Heading4"/>
      </w:pPr>
      <w:r>
        <w:rPr>
          <w:lang w:val="en_US" w:bidi="en_US"/>
        </w:rPr>
        <w:t>Section 1:26–38: An angel told Mary that Jesus would be born</w:t>
      </w:r>
    </w:p>
    <w:p>
      <w:pPr/>
      <w:r>
        <w:rPr>
          <w:lang w:val="en_US" w:bidi="en_US"/>
        </w:rPr>
      </w:r>
      <w:r>
        <w:rPr>
          <w:lang w:val="en_US" w:bidi="en_US"/>
        </w:rP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pPr/>
      <w:r>
        <w:rPr>
          <w:lang w:val="en_US" w:bidi="en_US"/>
        </w:rPr>
      </w:r>
      <w:r>
        <w:rPr>
          <w:lang w:val="en_US" w:bidi="en_US"/>
        </w:rPr>
        <w:t>Some other possible headings for this section are:</w:t>
      </w:r>
    </w:p>
    <w:p>
      <w:pPr/>
      <w:r>
        <w:rPr>
          <w:lang w:val="en_US" w:bidi="en_US"/>
        </w:rPr>
      </w:r>
      <w:r>
        <w:rPr>
          <w:lang w:val="en_US" w:bidi="en_US"/>
        </w:rPr>
        <w:t>The angel Gabriel predicts the virgin birth of Jesus the Christ</w:t>
      </w:r>
    </w:p>
    <w:p>
      <w:pPr/>
      <w:r>
        <w:rPr>
          <w:lang w:val="en_US" w:bidi="en_US"/>
        </w:rPr>
      </w:r>
      <w:r>
        <w:rPr>
          <w:lang w:val="en_US" w:bidi="en_US"/>
        </w:rPr>
        <w:t>Angel Gabriel announces to the virgin Mary that God will cause her to give birth to a son</w:t>
      </w:r>
    </w:p>
    <w:p>
      <w:pPr/>
      <w:r>
        <w:rPr>
          <w:lang w:val="en_US" w:bidi="en_US"/>
        </w:rPr>
      </w:r>
      <w:r>
        <w:rPr>
          <w:lang w:val="en_US" w:bidi="en_US"/>
        </w:rPr>
        <w:t>The Birth of Jesus is Announced (GNT)</w:t>
      </w:r>
    </w:p>
    <w:p>
      <w:pPr>
        <w:pStyle w:val="Heading5"/>
      </w:pPr>
      <w:r>
        <w:rPr>
          <w:lang w:val="en_US" w:bidi="en_US"/>
        </w:rPr>
        <w:t>1:29a</w:t>
      </w:r>
    </w:p>
    <w:p>
      <w:pPr/>
      <w:r>
        <w:rPr>
          <w:lang w:val="en_US" w:bidi="en_US"/>
        </w:rPr>
      </w:r>
      <w:r>
        <w:rPr>
          <w:b/>
          <w:lang w:val="en_US" w:bidi="en_US"/>
        </w:rPr>
        <w:t>Mary was greatly troubled at his words</w:t>
      </w:r>
    </w:p>
    <w:p>
      <w:pPr>
        <w:pStyle w:val="ListBullet"/>
        <w:spacing w:line="240" w:lineRule="auto"/>
        <w:ind w:left="720"/>
      </w:pPr>
      <w:r>
        <w:rPr>
          <w:lang w:val="en_US" w:bidi="en_US"/>
        </w:rPr>
      </w:r>
      <w:r>
        <w:rPr>
          <w:lang w:val="en_US" w:bidi="en_US"/>
        </w:rPr>
        <w:t>¶ Mary was very confused/upset by what the angel said,</w:t>
      </w:r>
    </w:p>
    <w:p>
      <w:pPr>
        <w:pStyle w:val="ListBullet"/>
        <w:spacing w:line="240" w:lineRule="auto"/>
        <w:ind w:left="720"/>
      </w:pPr>
      <w:r>
        <w:rPr>
          <w:lang w:val="en_US" w:bidi="en_US"/>
        </w:rPr>
      </w:r>
      <w:r>
        <w:rPr>
          <w:lang w:val="en_US" w:bidi="en_US"/>
        </w:rPr>
        <w:t>¶ The angel’s message disturbed and bewildered Mary,</w:t>
      </w:r>
    </w:p>
    <w:p>
      <w:pPr/>
      <w:r>
        <w:rPr>
          <w:lang w:val="en_US" w:bidi="en_US"/>
        </w:rPr>
      </w:r>
      <w:r>
        <w:rPr>
          <w:b/>
          <w:lang w:val="en_US" w:bidi="en_US"/>
        </w:rPr>
        <w:t>Mary was greatly troubled at his words:</w:t>
      </w:r>
      <w:r>
        <w:rPr>
          <w:lang w:val="en_US" w:bidi="en_US"/>
        </w:rPr>
        <w:t xml:space="preserve"> The Greek verb that the BSB translates as </w:t>
      </w:r>
      <w:r>
        <w:rPr>
          <w:i/>
          <w:lang w:val="en_US" w:bidi="en_US"/>
        </w:rPr>
        <w:t>greatly troubled</w:t>
      </w:r>
      <w:r>
        <w:rPr>
          <w:lang w:val="en_US" w:bidi="en_US"/>
        </w:rPr>
        <w:t xml:space="preserve"> means “to be troubled, upset, and confused.” It is an emphatic form of the same verb that the BSB translated as “was startled” in 1:12. Mary was disturbed, frightened, and confused by the angel’s message. She did not know what it meant.</w:t>
      </w:r>
    </w:p>
    <w:p>
      <w:pPr>
        <w:pStyle w:val="Heading5"/>
      </w:pPr>
      <w:r>
        <w:rPr>
          <w:lang w:val="en_US" w:bidi="en_US"/>
        </w:rPr>
        <w:t>1:29b</w:t>
      </w:r>
    </w:p>
    <w:p>
      <w:pPr/>
      <w:r>
        <w:rPr>
          <w:lang w:val="en_US" w:bidi="en_US"/>
        </w:rPr>
      </w:r>
      <w:r>
        <w:rPr>
          <w:b/>
          <w:lang w:val="en_US" w:bidi="en_US"/>
        </w:rPr>
        <w:t>and wondered what kind of greeting this might be.</w:t>
      </w:r>
    </w:p>
    <w:p>
      <w:pPr>
        <w:pStyle w:val="ListBullet"/>
        <w:spacing w:line="240" w:lineRule="auto"/>
        <w:ind w:left="720"/>
      </w:pPr>
      <w:r>
        <w:rPr>
          <w:lang w:val="en_US" w:bidi="en_US"/>
        </w:rPr>
      </w:r>
      <w:r>
        <w:rPr>
          <w:lang w:val="en_US" w:bidi="en_US"/>
        </w:rPr>
        <w:t>and she thought about what this greeting meant/implied.</w:t>
      </w:r>
    </w:p>
    <w:p>
      <w:pPr>
        <w:pStyle w:val="ListBullet"/>
        <w:spacing w:line="240" w:lineRule="auto"/>
        <w:ind w:left="720"/>
      </w:pPr>
      <w:r>
        <w:rPr>
          <w:lang w:val="en_US" w:bidi="en_US"/>
        </w:rPr>
      </w:r>
      <w:r>
        <w:rPr>
          <w:lang w:val="en_US" w:bidi="en_US"/>
        </w:rPr>
        <w:t>and she thought, “What causes him to greet me like this?”</w:t>
      </w:r>
    </w:p>
    <w:p>
      <w:pPr/>
      <w:r>
        <w:rPr>
          <w:lang w:val="en_US" w:bidi="en_US"/>
        </w:rPr>
      </w:r>
      <w:r>
        <w:rPr>
          <w:b/>
          <w:lang w:val="en_US" w:bidi="en_US"/>
        </w:rPr>
        <w:t>wondered what kind of greeting this might be:</w:t>
      </w:r>
      <w:r>
        <w:rPr>
          <w:lang w:val="en_US" w:bidi="en_US"/>
        </w:rPr>
        <w:t xml:space="preserve"> The phrase </w:t>
      </w:r>
      <w:r>
        <w:rPr>
          <w:i/>
          <w:lang w:val="en_US" w:bidi="en_US"/>
        </w:rPr>
        <w:t>wondered what kind of greeting this might be</w:t>
      </w:r>
      <w:r>
        <w:rPr>
          <w:lang w:val="en_US" w:bidi="en_US"/>
        </w:rPr>
        <w:t xml:space="preserve"> indicates that Mary thought about what the angel’s words implied. She did not know the reason why the angel greeted her as a person highly favored by the Lord.</w:t>
      </w:r>
    </w:p>
    <w:p>
      <w:pPr/>
      <w:r>
        <w:rPr>
          <w:lang w:val="en_US" w:bidi="en_US"/>
        </w:rPr>
      </w:r>
      <w:r>
        <w:rPr>
          <w:lang w:val="en_US" w:bidi="en_US"/>
        </w:rPr>
        <w:t>Other ways to say this are:</w:t>
      </w:r>
    </w:p>
    <w:p>
      <w:pPr/>
      <w:r>
        <w:rPr>
          <w:lang w:val="en_US" w:bidi="en_US"/>
        </w:rPr>
      </w:r>
      <w:r>
        <w:rPr>
          <w:lang w:val="en_US" w:bidi="en_US"/>
        </w:rPr>
        <w:t>asked herself what this greeting could mean (NJB)</w:t>
      </w:r>
    </w:p>
    <w:p>
      <w:pPr/>
      <w:r>
        <w:rPr>
          <w:lang w:val="en_US" w:bidi="en_US"/>
        </w:rPr>
      </w:r>
      <w:r>
        <w:rPr>
          <w:lang w:val="en_US" w:bidi="en_US"/>
        </w:rPr>
        <w:t xml:space="preserve">wondered why the angel said these </w:t>
      </w:r>
      <w:r>
        <w:rPr>
          <w:lang w:val="en_US" w:bidi="en_US"/>
        </w:rPr>
        <w:t>kind</w:t>
      </w:r>
      <w:r>
        <w:rPr>
          <w:lang w:val="en_US" w:bidi="en_US"/>
        </w:rPr>
        <w:t xml:space="preserve"> words to her</w:t>
      </w:r>
    </w:p>
    <w:p>
      <w:pPr/>
      <w:r>
        <w:rPr>
          <w:lang w:val="en_US" w:bidi="en_US"/>
        </w:rPr>
      </w:r>
      <w:r>
        <w:rPr>
          <w:lang w:val="en_US" w:bidi="en_US"/>
        </w:rPr>
        <w:t>In some languages it may be necessary to translate this as direct speech. For example:</w:t>
      </w:r>
    </w:p>
    <w:p>
      <w:pPr/>
      <w:r>
        <w:rPr>
          <w:lang w:val="en_US" w:bidi="en_US"/>
        </w:rPr>
      </w:r>
      <w:r>
        <w:rPr>
          <w:lang w:val="en_US" w:bidi="en_US"/>
        </w:rPr>
        <w:t>Mary</w:t>
      </w:r>
      <w:r>
        <w:rPr>
          <w:lang w:val="en_US" w:bidi="en_US"/>
        </w:rPr>
        <w:t xml:space="preserve"> asked herself, “What could this greeting mean?”</w:t>
      </w:r>
    </w:p>
    <w:p>
      <w:pPr/>
      <w:r>
        <w:rPr>
          <w:lang w:val="en_US" w:bidi="en_US"/>
        </w:rPr>
      </w:r>
      <w:r>
        <w:rPr>
          <w:lang w:val="en_US" w:bidi="en_US"/>
        </w:rPr>
        <w:t>Mary</w:t>
      </w:r>
      <w:r>
        <w:rPr>
          <w:lang w:val="en_US" w:bidi="en_US"/>
        </w:rPr>
        <w:t xml:space="preserve"> wondered, “What causes him to greet me in this way?”</w:t>
      </w:r>
      <w:r>
        <w:rPr>
          <w:lang w:val="en_US" w:bidi="en_US"/>
        </w:rPr>
      </w:r>
      <w:r>
        <w:rPr>
          <w:lang w:val="en_US" w:bidi="en_US"/>
        </w:rPr>
      </w:r>
    </w:p>
    <w:p>
      <w:pPr/>
      <w:r>
        <w:rPr>
          <w:lang w:val="en_US" w:bidi="en_US"/>
        </w:rPr>
      </w:r>
    </w:p>
    <w:p>
      <w:pPr>
        <w:pStyle w:val="Heading2"/>
      </w:pPr>
      <w:r>
        <w:rPr>
          <w:lang w:val="en_US" w:bidi="en_US"/>
        </w:rPr>
        <w:t>Luke 1:30</w:t>
      </w:r>
      <w:r>
        <w:rPr>
          <w:lang w:val="en_US" w:bidi="en_US"/>
        </w:rPr>
      </w:r>
    </w:p>
    <w:p>
      <w:pPr>
        <w:pStyle w:val="Heading4"/>
      </w:pPr>
      <w:r>
        <w:rPr>
          <w:lang w:val="en_US" w:bidi="en_US"/>
        </w:rPr>
        <w:t>Section 1:26–38: An angel told Mary that Jesus would be born</w:t>
      </w:r>
    </w:p>
    <w:p>
      <w:pPr/>
      <w:r>
        <w:rPr>
          <w:lang w:val="en_US" w:bidi="en_US"/>
        </w:rPr>
      </w:r>
      <w:r>
        <w:rPr>
          <w:lang w:val="en_US" w:bidi="en_US"/>
        </w:rP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pPr/>
      <w:r>
        <w:rPr>
          <w:lang w:val="en_US" w:bidi="en_US"/>
        </w:rPr>
      </w:r>
      <w:r>
        <w:rPr>
          <w:lang w:val="en_US" w:bidi="en_US"/>
        </w:rPr>
        <w:t>Some other possible headings for this section are:</w:t>
      </w:r>
    </w:p>
    <w:p>
      <w:pPr/>
      <w:r>
        <w:rPr>
          <w:lang w:val="en_US" w:bidi="en_US"/>
        </w:rPr>
      </w:r>
      <w:r>
        <w:rPr>
          <w:lang w:val="en_US" w:bidi="en_US"/>
        </w:rPr>
        <w:t>The angel Gabriel predicts the virgin birth of Jesus the Christ</w:t>
      </w:r>
    </w:p>
    <w:p>
      <w:pPr/>
      <w:r>
        <w:rPr>
          <w:lang w:val="en_US" w:bidi="en_US"/>
        </w:rPr>
      </w:r>
      <w:r>
        <w:rPr>
          <w:lang w:val="en_US" w:bidi="en_US"/>
        </w:rPr>
        <w:t>Angel Gabriel announces to the virgin Mary that God will cause her to give birth to a son</w:t>
      </w:r>
    </w:p>
    <w:p>
      <w:pPr/>
      <w:r>
        <w:rPr>
          <w:lang w:val="en_US" w:bidi="en_US"/>
        </w:rPr>
      </w:r>
      <w:r>
        <w:rPr>
          <w:lang w:val="en_US" w:bidi="en_US"/>
        </w:rPr>
        <w:t>The Birth of Jesus is Announced (GNT)</w:t>
      </w:r>
    </w:p>
    <w:p>
      <w:pPr>
        <w:pStyle w:val="Heading5"/>
      </w:pPr>
      <w:r>
        <w:rPr>
          <w:lang w:val="en_US" w:bidi="en_US"/>
        </w:rPr>
        <w:t>1:30a</w:t>
      </w:r>
    </w:p>
    <w:p>
      <w:pPr/>
      <w:r>
        <w:rPr>
          <w:lang w:val="en_US" w:bidi="en_US"/>
        </w:rPr>
      </w:r>
      <w:r>
        <w:rPr>
          <w:b/>
          <w:lang w:val="en_US" w:bidi="en_US"/>
        </w:rPr>
        <w:t>So the angel told her, “Do not be afraid, Mary,</w:t>
      </w:r>
    </w:p>
    <w:p>
      <w:pPr>
        <w:pStyle w:val="ListBullet"/>
        <w:spacing w:line="240" w:lineRule="auto"/>
        <w:ind w:left="720"/>
      </w:pPr>
      <w:r>
        <w:rPr>
          <w:lang w:val="en_US" w:bidi="en_US"/>
        </w:rPr>
      </w:r>
      <w:r>
        <w:rPr>
          <w:lang w:val="en_US" w:bidi="en_US"/>
        </w:rPr>
        <w:t>The angel said to her, “Mary, do not be afraid.</w:t>
      </w:r>
    </w:p>
    <w:p>
      <w:pPr>
        <w:pStyle w:val="ListBullet"/>
        <w:spacing w:line="240" w:lineRule="auto"/>
        <w:ind w:left="720"/>
      </w:pPr>
      <w:r>
        <w:rPr>
          <w:lang w:val="en_US" w:bidi="en_US"/>
        </w:rPr>
      </w:r>
      <w:r>
        <w:rPr>
          <w:lang w:val="en_US" w:bidi="en_US"/>
        </w:rPr>
        <w:t>So the angel told her, “You do not need to be troubled, Mary,</w:t>
      </w:r>
    </w:p>
    <w:p>
      <w:pPr/>
      <w:r>
        <w:rPr>
          <w:lang w:val="en_US" w:bidi="en_US"/>
        </w:rPr>
      </w:r>
      <w:r>
        <w:rPr>
          <w:b/>
          <w:lang w:val="en_US" w:bidi="en_US"/>
        </w:rPr>
        <w:t>So the angel told her:</w:t>
      </w:r>
      <w:r>
        <w:rPr>
          <w:lang w:val="en_US" w:bidi="en_US"/>
        </w:rPr>
        <w:t xml:space="preserve"> This clause introduces what the angel said to Mary. The Greek conjunction that the BSB translates as </w:t>
      </w:r>
      <w:r>
        <w:rPr>
          <w:i/>
          <w:lang w:val="en_US" w:bidi="en_US"/>
        </w:rPr>
        <w:t>So</w:t>
      </w:r>
      <w:r>
        <w:rPr>
          <w:lang w:val="en_US" w:bidi="en_US"/>
        </w:rPr>
        <w:t xml:space="preserve"> is most often translated as “and” in English. Some other ways to translate it are:</w:t>
      </w:r>
    </w:p>
    <w:p>
      <w:pPr/>
      <w:r>
        <w:rPr>
          <w:lang w:val="en_US" w:bidi="en_US"/>
        </w:rPr>
      </w:r>
      <w:r>
        <w:rPr>
          <w:lang w:val="en_US" w:bidi="en_US"/>
        </w:rPr>
        <w:t>Then the angel said to her (REB)</w:t>
      </w:r>
    </w:p>
    <w:p>
      <w:pPr/>
      <w:r>
        <w:rPr>
          <w:lang w:val="en_US" w:bidi="en_US"/>
        </w:rPr>
      </w:r>
      <w:r>
        <w:rPr>
          <w:lang w:val="en_US" w:bidi="en_US"/>
        </w:rPr>
        <w:t>But the angel said to her (NIV)</w:t>
      </w:r>
    </w:p>
    <w:p>
      <w:pPr/>
      <w:r>
        <w:rPr>
          <w:lang w:val="en_US" w:bidi="en_US"/>
        </w:rPr>
      </w:r>
      <w:r>
        <w:rPr>
          <w:lang w:val="en_US" w:bidi="en_US"/>
        </w:rPr>
        <w:t>In some languages a conjunction may not be needed. For example:</w:t>
      </w:r>
    </w:p>
    <w:p>
      <w:pPr/>
      <w:r>
        <w:rPr>
          <w:lang w:val="en_US" w:bidi="en_US"/>
        </w:rPr>
      </w:r>
      <w:r>
        <w:rPr>
          <w:lang w:val="en_US" w:bidi="en_US"/>
        </w:rPr>
        <w:t>The angel said to her (GNT)</w:t>
      </w:r>
    </w:p>
    <w:p>
      <w:pPr/>
      <w:r>
        <w:rPr>
          <w:lang w:val="en_US" w:bidi="en_US"/>
        </w:rPr>
      </w:r>
      <w:r>
        <w:rPr>
          <w:lang w:val="en_US" w:bidi="en_US"/>
        </w:rPr>
        <w:t>Connect this verse to 1:29 in a way that is natural in your language.</w:t>
      </w:r>
    </w:p>
    <w:p>
      <w:pPr/>
      <w:r>
        <w:rPr>
          <w:lang w:val="en_US" w:bidi="en_US"/>
        </w:rPr>
      </w:r>
      <w:r>
        <w:rPr>
          <w:b/>
          <w:lang w:val="en_US" w:bidi="en_US"/>
        </w:rPr>
        <w:t>angel:</w:t>
      </w:r>
      <w:r>
        <w:rPr>
          <w:lang w:val="en_US" w:bidi="en_US"/>
        </w:rPr>
        <w:t xml:space="preserve"> See the note at 1:11a for suggestions about how to translate the word angel. See also angel, Meaning 1, in the Glossary.</w:t>
      </w:r>
    </w:p>
    <w:p>
      <w:pPr/>
      <w:r>
        <w:rPr>
          <w:lang w:val="en_US" w:bidi="en_US"/>
        </w:rPr>
      </w:r>
      <w:r>
        <w:rPr>
          <w:b/>
          <w:lang w:val="en_US" w:bidi="en_US"/>
        </w:rPr>
        <w:t>Do not be afraid, Mary:</w:t>
      </w:r>
      <w:r>
        <w:rPr>
          <w:lang w:val="en_US" w:bidi="en_US"/>
        </w:rPr>
        <w:t xml:space="preserve"> The angel used the phrase </w:t>
      </w:r>
      <w:r>
        <w:rPr>
          <w:i/>
          <w:lang w:val="en_US" w:bidi="en_US"/>
        </w:rPr>
        <w:t>Do not be afraid</w:t>
      </w:r>
      <w:r>
        <w:rPr>
          <w:lang w:val="en_US" w:bidi="en_US"/>
        </w:rPr>
        <w:t xml:space="preserve"> to comfort and reassure Mary because she was troubled (1:29). The angel said the same words to Zechariah in 1:13a.</w:t>
      </w:r>
    </w:p>
    <w:p>
      <w:pPr/>
      <w:r>
        <w:rPr>
          <w:lang w:val="en_US" w:bidi="en_US"/>
        </w:rPr>
      </w:r>
      <w:r>
        <w:rPr>
          <w:lang w:val="en_US" w:bidi="en_US"/>
        </w:rPr>
        <w:t>Some other ways to translate this reassurance are:</w:t>
      </w:r>
    </w:p>
    <w:p>
      <w:pPr/>
      <w:r>
        <w:rPr>
          <w:lang w:val="en_US" w:bidi="en_US"/>
        </w:rPr>
      </w:r>
      <w:r>
        <w:rPr>
          <w:lang w:val="en_US" w:bidi="en_US"/>
        </w:rPr>
        <w:t>You do not need to be afraid, Mary.</w:t>
      </w:r>
    </w:p>
    <w:p>
      <w:pPr/>
      <w:r>
        <w:rPr>
          <w:lang w:val="en_US" w:bidi="en_US"/>
        </w:rPr>
      </w:r>
      <w:r>
        <w:rPr>
          <w:lang w:val="en_US" w:bidi="en_US"/>
        </w:rPr>
        <w:t>Mary, do not be troubled/fearful.</w:t>
      </w:r>
    </w:p>
    <w:p>
      <w:pPr>
        <w:pStyle w:val="Heading5"/>
      </w:pPr>
      <w:r>
        <w:rPr>
          <w:lang w:val="en_US" w:bidi="en_US"/>
        </w:rPr>
        <w:t>1:30b</w:t>
      </w:r>
    </w:p>
    <w:p>
      <w:pPr/>
      <w:r>
        <w:rPr>
          <w:lang w:val="en_US" w:bidi="en_US"/>
        </w:rPr>
      </w:r>
      <w:r>
        <w:rPr>
          <w:b/>
          <w:lang w:val="en_US" w:bidi="en_US"/>
        </w:rPr>
        <w:t>for you have found favor with God.</w:t>
      </w:r>
    </w:p>
    <w:p>
      <w:pPr>
        <w:pStyle w:val="ListBullet"/>
        <w:spacing w:line="240" w:lineRule="auto"/>
        <w:ind w:left="720"/>
      </w:pPr>
      <w:r>
        <w:rPr>
          <w:lang w:val="en_US" w:bidi="en_US"/>
        </w:rPr>
      </w:r>
      <w:r>
        <w:rPr>
          <w:lang w:val="en_US" w:bidi="en_US"/>
        </w:rPr>
        <w:t>You have received grace/blessing from God.</w:t>
      </w:r>
    </w:p>
    <w:p>
      <w:pPr>
        <w:pStyle w:val="ListBullet"/>
        <w:spacing w:line="240" w:lineRule="auto"/>
        <w:ind w:left="720"/>
      </w:pPr>
      <w:r>
        <w:rPr>
          <w:lang w:val="en_US" w:bidi="en_US"/>
        </w:rPr>
      </w:r>
      <w:r>
        <w:rPr>
          <w:lang w:val="en_US" w:bidi="en_US"/>
        </w:rPr>
        <w:t>because God has decided to be especially kind/gracious to you.</w:t>
      </w:r>
      <w:r>
        <w:rPr>
          <w:vertAlign w:val="superscript"/>
          <w:lang w:val="en_US" w:bidi="en_US"/>
        </w:rPr>
        <w:t>(sing)</w:t>
      </w:r>
    </w:p>
    <w:p>
      <w:pPr/>
      <w:r>
        <w:rPr>
          <w:lang w:val="en_US" w:bidi="en_US"/>
        </w:rPr>
      </w:r>
      <w:r>
        <w:rPr>
          <w:b/>
          <w:lang w:val="en_US" w:bidi="en_US"/>
        </w:rPr>
        <w:t>for:</w:t>
      </w:r>
      <w:r>
        <w:rPr>
          <w:lang w:val="en_US" w:bidi="en_US"/>
        </w:rPr>
        <w:t xml:space="preserve"> This conjunction introduces the reason why the angel told Mary not to be afraid. Some English versions, such as the NIV, do not translate this conjunction. Connect 1:30b to 1:30a in a way that is natural in your language.</w:t>
      </w:r>
    </w:p>
    <w:p>
      <w:pPr/>
      <w:r>
        <w:rPr>
          <w:lang w:val="en_US" w:bidi="en_US"/>
        </w:rPr>
      </w:r>
      <w:r>
        <w:rPr>
          <w:b/>
          <w:lang w:val="en_US" w:bidi="en_US"/>
        </w:rPr>
        <w:t>you have found favor with God:</w:t>
      </w:r>
      <w:r>
        <w:rPr>
          <w:lang w:val="en_US" w:bidi="en_US"/>
        </w:rPr>
        <w:t xml:space="preserve"> The Greek expression that the BSB translates as </w:t>
      </w:r>
      <w:r>
        <w:rPr>
          <w:i/>
          <w:lang w:val="en_US" w:bidi="en_US"/>
        </w:rPr>
        <w:t>you have found favor with God</w:t>
      </w:r>
      <w:r>
        <w:rPr>
          <w:lang w:val="en_US" w:bidi="en_US"/>
        </w:rPr>
        <w:t xml:space="preserve"> means “God has shown you favor/kindness.” It indicates here that God had blessed Mary and given her grace. In this context it specifically refers to the grace and blessing of being the mother of the Christ. Some other ways to translate this are:</w:t>
      </w:r>
    </w:p>
    <w:p>
      <w:pPr/>
      <w:r>
        <w:rPr>
          <w:lang w:val="en_US" w:bidi="en_US"/>
        </w:rPr>
      </w:r>
      <w:r>
        <w:rPr>
          <w:lang w:val="en_US" w:bidi="en_US"/>
        </w:rPr>
        <w:t>You have received favor/grace from God</w:t>
      </w:r>
    </w:p>
    <w:p>
      <w:pPr/>
      <w:r>
        <w:rPr>
          <w:lang w:val="en_US" w:bidi="en_US"/>
        </w:rPr>
      </w:r>
      <w:r>
        <w:rPr>
          <w:lang w:val="en_US" w:bidi="en_US"/>
        </w:rPr>
        <w:t>You are favored/blessed by God</w:t>
      </w:r>
    </w:p>
    <w:p>
      <w:pPr/>
      <w:r>
        <w:rPr>
          <w:lang w:val="en_US" w:bidi="en_US"/>
        </w:rPr>
      </w:r>
      <w:r>
        <w:rPr>
          <w:lang w:val="en_US" w:bidi="en_US"/>
        </w:rPr>
        <w:t>God has been gracious to you</w:t>
      </w:r>
    </w:p>
    <w:p>
      <w:pPr/>
      <w:r>
        <w:rPr>
          <w:lang w:val="en_US" w:bidi="en_US"/>
        </w:rPr>
      </w:r>
      <w:r>
        <w:rPr>
          <w:lang w:val="en_US" w:bidi="en_US"/>
        </w:rPr>
        <w:t xml:space="preserve">Notice that the verb </w:t>
      </w:r>
      <w:r>
        <w:rPr>
          <w:i/>
          <w:lang w:val="en_US" w:bidi="en_US"/>
        </w:rPr>
        <w:t>found</w:t>
      </w:r>
      <w:r>
        <w:rPr>
          <w:lang w:val="en_US" w:bidi="en_US"/>
        </w:rPr>
        <w:t xml:space="preserve"> in the expression </w:t>
      </w:r>
      <w:r>
        <w:rPr>
          <w:i/>
          <w:lang w:val="en_US" w:bidi="en_US"/>
        </w:rPr>
        <w:t>found favor</w:t>
      </w:r>
      <w:r>
        <w:rPr>
          <w:lang w:val="en_US" w:bidi="en_US"/>
        </w:rPr>
        <w:t xml:space="preserve"> means “obtained/received.” It does not mean to discover something or to find something after searching for it.</w:t>
      </w:r>
    </w:p>
    <w:p>
      <w:pPr/>
      <w:r>
        <w:rPr>
          <w:lang w:val="en_US" w:bidi="en_US"/>
        </w:rPr>
      </w:r>
      <w:r>
        <w:rPr>
          <w:lang w:val="en_US" w:bidi="en_US"/>
        </w:rPr>
        <w:t>See grace, Meaning 1, in the Glossary.</w:t>
      </w:r>
      <w:r>
        <w:rPr>
          <w:lang w:val="en_US" w:bidi="en_US"/>
        </w:rPr>
      </w:r>
      <w:r>
        <w:rPr>
          <w:lang w:val="en_US" w:bidi="en_US"/>
        </w:rPr>
      </w:r>
    </w:p>
    <w:p>
      <w:pPr/>
      <w:r>
        <w:rPr>
          <w:lang w:val="en_US" w:bidi="en_US"/>
        </w:rPr>
      </w:r>
    </w:p>
    <w:p>
      <w:pPr>
        <w:pStyle w:val="Heading2"/>
      </w:pPr>
      <w:r>
        <w:rPr>
          <w:lang w:val="en_US" w:bidi="en_US"/>
        </w:rPr>
        <w:t>Luke 1:31</w:t>
      </w:r>
      <w:r>
        <w:rPr>
          <w:lang w:val="en_US" w:bidi="en_US"/>
        </w:rPr>
      </w:r>
    </w:p>
    <w:p>
      <w:pPr>
        <w:pStyle w:val="Heading4"/>
      </w:pPr>
      <w:r>
        <w:rPr>
          <w:lang w:val="en_US" w:bidi="en_US"/>
        </w:rPr>
        <w:t>Section 1:26–38: An angel told Mary that Jesus would be born</w:t>
      </w:r>
    </w:p>
    <w:p>
      <w:pPr/>
      <w:r>
        <w:rPr>
          <w:lang w:val="en_US" w:bidi="en_US"/>
        </w:rPr>
      </w:r>
      <w:r>
        <w:rPr>
          <w:lang w:val="en_US" w:bidi="en_US"/>
        </w:rP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pPr/>
      <w:r>
        <w:rPr>
          <w:lang w:val="en_US" w:bidi="en_US"/>
        </w:rPr>
      </w:r>
      <w:r>
        <w:rPr>
          <w:lang w:val="en_US" w:bidi="en_US"/>
        </w:rPr>
        <w:t>Some other possible headings for this section are:</w:t>
      </w:r>
    </w:p>
    <w:p>
      <w:pPr/>
      <w:r>
        <w:rPr>
          <w:lang w:val="en_US" w:bidi="en_US"/>
        </w:rPr>
      </w:r>
      <w:r>
        <w:rPr>
          <w:lang w:val="en_US" w:bidi="en_US"/>
        </w:rPr>
        <w:t>The angel Gabriel predicts the virgin birth of Jesus the Christ</w:t>
      </w:r>
    </w:p>
    <w:p>
      <w:pPr/>
      <w:r>
        <w:rPr>
          <w:lang w:val="en_US" w:bidi="en_US"/>
        </w:rPr>
      </w:r>
      <w:r>
        <w:rPr>
          <w:lang w:val="en_US" w:bidi="en_US"/>
        </w:rPr>
        <w:t>Angel Gabriel announces to the virgin Mary that God will cause her to give birth to a son</w:t>
      </w:r>
    </w:p>
    <w:p>
      <w:pPr/>
      <w:r>
        <w:rPr>
          <w:lang w:val="en_US" w:bidi="en_US"/>
        </w:rPr>
      </w:r>
      <w:r>
        <w:rPr>
          <w:lang w:val="en_US" w:bidi="en_US"/>
        </w:rPr>
        <w:t>The Birth of Jesus is Announced (GNT)</w:t>
      </w:r>
    </w:p>
    <w:p>
      <w:pPr>
        <w:pStyle w:val="Heading5"/>
      </w:pPr>
      <w:r>
        <w:rPr>
          <w:lang w:val="en_US" w:bidi="en_US"/>
        </w:rPr>
        <w:t>1:31a</w:t>
      </w:r>
    </w:p>
    <w:p>
      <w:pPr/>
      <w:r>
        <w:rPr>
          <w:lang w:val="en_US" w:bidi="en_US"/>
        </w:rPr>
      </w:r>
      <w:r>
        <w:rPr>
          <w:b/>
          <w:lang w:val="en_US" w:bidi="en_US"/>
        </w:rPr>
        <w:t>Behold, you will conceive and give birth to a son,</w:t>
      </w:r>
    </w:p>
    <w:p>
      <w:pPr>
        <w:pStyle w:val="ListBullet"/>
        <w:spacing w:line="240" w:lineRule="auto"/>
        <w:ind w:left="720"/>
      </w:pPr>
      <w:r>
        <w:rPr>
          <w:lang w:val="en_US" w:bidi="en_US"/>
        </w:rPr>
      </w:r>
      <w:r>
        <w:rPr>
          <w:lang w:val="en_US" w:bidi="en_US"/>
        </w:rPr>
        <w:t>And see! You will conceive and bear a son,</w:t>
      </w:r>
    </w:p>
    <w:p>
      <w:pPr>
        <w:pStyle w:val="ListBullet"/>
        <w:spacing w:line="240" w:lineRule="auto"/>
        <w:ind w:left="720"/>
      </w:pPr>
      <w:r>
        <w:rPr>
          <w:lang w:val="en_US" w:bidi="en_US"/>
        </w:rPr>
      </w:r>
      <w:r>
        <w:rPr>
          <w:lang w:val="en_US" w:bidi="en_US"/>
        </w:rPr>
        <w:t>Listen to this! You</w:t>
      </w:r>
      <w:r>
        <w:rPr>
          <w:vertAlign w:val="superscript"/>
          <w:lang w:val="en_US" w:bidi="en_US"/>
        </w:rPr>
        <w:t>(sing)</w:t>
      </w:r>
      <w:r>
        <w:rPr>
          <w:lang w:val="en_US" w:bidi="en_US"/>
        </w:rPr>
        <w:t xml:space="preserve"> will become pregnant and have a baby boy,</w:t>
      </w:r>
    </w:p>
    <w:p>
      <w:pPr/>
      <w:r>
        <w:rPr>
          <w:lang w:val="en_US" w:bidi="en_US"/>
        </w:rPr>
      </w:r>
      <w:r>
        <w:rPr>
          <w:b/>
          <w:lang w:val="en_US" w:bidi="en_US"/>
        </w:rPr>
        <w:t>Behold:</w:t>
      </w:r>
      <w:r>
        <w:rPr>
          <w:lang w:val="en_US" w:bidi="en_US"/>
        </w:rPr>
        <w:t xml:space="preserve"> The Greek word that the BSB translates as </w:t>
      </w:r>
      <w:r>
        <w:rPr>
          <w:i/>
          <w:lang w:val="en_US" w:bidi="en_US"/>
        </w:rPr>
        <w:t>Behold</w:t>
      </w:r>
      <w:r>
        <w:rPr>
          <w:lang w:val="en_US" w:bidi="en_US"/>
        </w:rPr>
        <w:t xml:space="preserve"> literally means “look” or “see.” It focuses attention on what follows and indicates that this is important or amazing. Here Gabriel used it to introduce his amazing message to Mary that she would give birth to Jesus.</w:t>
      </w:r>
    </w:p>
    <w:p>
      <w:pPr/>
      <w:r>
        <w:rPr>
          <w:lang w:val="en_US" w:bidi="en_US"/>
        </w:rPr>
      </w:r>
      <w:r>
        <w:rPr>
          <w:lang w:val="en_US" w:bidi="en_US"/>
        </w:rPr>
        <w:t>Some ways to translate the word in this context are:</w:t>
      </w:r>
    </w:p>
    <w:p>
      <w:pPr/>
      <w:r>
        <w:rPr>
          <w:lang w:val="en_US" w:bidi="en_US"/>
        </w:rPr>
      </w:r>
      <w:r>
        <w:rPr>
          <w:lang w:val="en_US" w:bidi="en_US"/>
        </w:rPr>
        <w:t>look/listen</w:t>
      </w:r>
    </w:p>
    <w:p>
      <w:pPr/>
      <w:r>
        <w:rPr>
          <w:lang w:val="en_US" w:bidi="en_US"/>
        </w:rPr>
      </w:r>
      <w:r>
        <w:rPr>
          <w:lang w:val="en_US" w:bidi="en_US"/>
        </w:rPr>
        <w:t>take note of this</w:t>
      </w:r>
    </w:p>
    <w:p>
      <w:pPr/>
      <w:r>
        <w:rPr>
          <w:lang w:val="en_US" w:bidi="en_US"/>
        </w:rPr>
      </w:r>
      <w:r>
        <w:rPr>
          <w:lang w:val="en_US" w:bidi="en_US"/>
        </w:rPr>
        <w:t>pay attention to this</w:t>
      </w:r>
    </w:p>
    <w:p>
      <w:pPr/>
      <w:r>
        <w:rPr>
          <w:lang w:val="en_US" w:bidi="en_US"/>
        </w:rPr>
      </w:r>
      <w:r>
        <w:rPr>
          <w:lang w:val="en_US" w:bidi="en_US"/>
        </w:rPr>
        <w:t>The same Greek word occurred at 1:20a (where the BSB translated it as “now”).</w:t>
      </w:r>
    </w:p>
    <w:p>
      <w:pPr/>
      <w:r>
        <w:rPr>
          <w:lang w:val="en_US" w:bidi="en_US"/>
        </w:rPr>
      </w:r>
      <w:r>
        <w:rPr>
          <w:b/>
          <w:lang w:val="en_US" w:bidi="en_US"/>
        </w:rPr>
        <w:t>you will conceive:</w:t>
      </w:r>
      <w:r>
        <w:rPr>
          <w:lang w:val="en_US" w:bidi="en_US"/>
        </w:rPr>
        <w:t xml:space="preserve"> The Greek expression that the BSB translates as </w:t>
      </w:r>
      <w:r>
        <w:rPr>
          <w:i/>
          <w:lang w:val="en_US" w:bidi="en_US"/>
        </w:rPr>
        <w:t>you will conceive</w:t>
      </w:r>
      <w:r>
        <w:rPr>
          <w:lang w:val="en_US" w:bidi="en_US"/>
        </w:rPr>
        <w:t xml:space="preserve"> is literally “you will conceive in your womb/belly.” It means, “You will become pregnant.” In some languages you may have an idiom to express this. The text implies that Mary would become pregnant very soon, before she married Joseph. Some ways to translate this in English are:</w:t>
      </w:r>
    </w:p>
    <w:p>
      <w:pPr/>
      <w:r>
        <w:rPr>
          <w:lang w:val="en_US" w:bidi="en_US"/>
        </w:rPr>
      </w:r>
      <w:r>
        <w:rPr>
          <w:lang w:val="en_US" w:bidi="en_US"/>
        </w:rPr>
        <w:t>You will be with child (NIV)</w:t>
      </w:r>
    </w:p>
    <w:p>
      <w:pPr/>
      <w:r>
        <w:rPr>
          <w:lang w:val="en_US" w:bidi="en_US"/>
        </w:rPr>
      </w:r>
      <w:r>
        <w:rPr>
          <w:lang w:val="en_US" w:bidi="en_US"/>
        </w:rPr>
        <w:t>You will become pregnant (NET)</w:t>
      </w:r>
    </w:p>
    <w:p>
      <w:pPr/>
      <w:r>
        <w:rPr>
          <w:lang w:val="en_US" w:bidi="en_US"/>
        </w:rPr>
      </w:r>
      <w:r>
        <w:rPr>
          <w:b/>
          <w:lang w:val="en_US" w:bidi="en_US"/>
        </w:rPr>
        <w:t>give birth to a son:</w:t>
      </w:r>
      <w:r>
        <w:rPr>
          <w:lang w:val="en_US" w:bidi="en_US"/>
        </w:rPr>
        <w:t xml:space="preserve"> Two other ways to say this are:</w:t>
      </w:r>
    </w:p>
    <w:p>
      <w:pPr/>
      <w:r>
        <w:rPr>
          <w:lang w:val="en_US" w:bidi="en_US"/>
        </w:rPr>
      </w:r>
      <w:r>
        <w:rPr>
          <w:lang w:val="en_US" w:bidi="en_US"/>
        </w:rPr>
        <w:t>have a baby boy</w:t>
      </w:r>
    </w:p>
    <w:p>
      <w:pPr/>
      <w:r>
        <w:rPr>
          <w:lang w:val="en_US" w:bidi="en_US"/>
        </w:rPr>
      </w:r>
      <w:r>
        <w:rPr>
          <w:lang w:val="en_US" w:bidi="en_US"/>
        </w:rPr>
        <w:t>bear a male child</w:t>
      </w:r>
    </w:p>
    <w:p>
      <w:pPr>
        <w:pStyle w:val="Heading5"/>
      </w:pPr>
      <w:r>
        <w:rPr>
          <w:lang w:val="en_US" w:bidi="en_US"/>
        </w:rPr>
        <w:t>1:31b</w:t>
      </w:r>
    </w:p>
    <w:p>
      <w:pPr/>
      <w:r>
        <w:rPr>
          <w:lang w:val="en_US" w:bidi="en_US"/>
        </w:rPr>
      </w:r>
      <w:r>
        <w:rPr>
          <w:b/>
          <w:lang w:val="en_US" w:bidi="en_US"/>
        </w:rPr>
        <w:t>and you are to give Him the name Jesus.</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will name him Jesus.</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must name him Jesus.</w:t>
      </w:r>
    </w:p>
    <w:p>
      <w:pPr>
        <w:pStyle w:val="ListBullet"/>
        <w:spacing w:line="240" w:lineRule="auto"/>
        <w:ind w:left="720"/>
      </w:pPr>
      <w:r>
        <w:rPr>
          <w:lang w:val="en_US" w:bidi="en_US"/>
        </w:rPr>
      </w:r>
      <w:r>
        <w:rPr>
          <w:lang w:val="en_US" w:bidi="en_US"/>
        </w:rPr>
        <w:t>Give</w:t>
      </w:r>
      <w:r>
        <w:rPr>
          <w:vertAlign w:val="superscript"/>
          <w:lang w:val="en_US" w:bidi="en_US"/>
        </w:rPr>
        <w:t>(sing)</w:t>
      </w:r>
      <w:r>
        <w:rPr>
          <w:lang w:val="en_US" w:bidi="en_US"/>
        </w:rPr>
        <w:t xml:space="preserve"> him the name Jesus.</w:t>
      </w:r>
    </w:p>
    <w:p>
      <w:pPr/>
      <w:r>
        <w:rPr>
          <w:lang w:val="en_US" w:bidi="en_US"/>
        </w:rPr>
      </w:r>
      <w:r>
        <w:rPr>
          <w:b/>
          <w:lang w:val="en_US" w:bidi="en_US"/>
        </w:rPr>
        <w:t>you are to give Him the name Jesus:</w:t>
      </w:r>
      <w:r>
        <w:rPr>
          <w:lang w:val="en_US" w:bidi="en_US"/>
        </w:rPr>
        <w:t xml:space="preserve"> The Greek verb in the clause that the BSB translates as </w:t>
      </w:r>
      <w:r>
        <w:rPr>
          <w:i/>
          <w:lang w:val="en_US" w:bidi="en_US"/>
        </w:rPr>
        <w:t>you are to give Him the name Jesus</w:t>
      </w:r>
      <w:r>
        <w:rPr>
          <w:lang w:val="en_US" w:bidi="en_US"/>
        </w:rPr>
        <w:t xml:space="preserve"> is literally “you will call his name Jesus.” In this context it functions as a command. It implies that Mary should or must give him the name Jesus. See the similar expression at 1:13d.</w:t>
      </w:r>
      <w:r>
        <w:rPr>
          <w:lang w:val="en_US" w:bidi="en_US"/>
        </w:rPr>
      </w:r>
      <w:r>
        <w:rPr>
          <w:lang w:val="en_US" w:bidi="en_US"/>
        </w:rPr>
      </w:r>
    </w:p>
    <w:p>
      <w:pPr/>
      <w:r>
        <w:rPr>
          <w:lang w:val="en_US" w:bidi="en_US"/>
        </w:rPr>
      </w:r>
    </w:p>
    <w:p>
      <w:pPr>
        <w:pStyle w:val="Heading2"/>
      </w:pPr>
      <w:r>
        <w:rPr>
          <w:lang w:val="en_US" w:bidi="en_US"/>
        </w:rPr>
        <w:t>Luke 1:32</w:t>
      </w:r>
      <w:r>
        <w:rPr>
          <w:lang w:val="en_US" w:bidi="en_US"/>
        </w:rPr>
      </w:r>
    </w:p>
    <w:p>
      <w:pPr>
        <w:pStyle w:val="Heading4"/>
      </w:pPr>
      <w:r>
        <w:rPr>
          <w:lang w:val="en_US" w:bidi="en_US"/>
        </w:rPr>
        <w:t>Section 1:26–38: An angel told Mary that Jesus would be born</w:t>
      </w:r>
    </w:p>
    <w:p>
      <w:pPr/>
      <w:r>
        <w:rPr>
          <w:lang w:val="en_US" w:bidi="en_US"/>
        </w:rPr>
      </w:r>
      <w:r>
        <w:rPr>
          <w:lang w:val="en_US" w:bidi="en_US"/>
        </w:rP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pPr/>
      <w:r>
        <w:rPr>
          <w:lang w:val="en_US" w:bidi="en_US"/>
        </w:rPr>
      </w:r>
      <w:r>
        <w:rPr>
          <w:lang w:val="en_US" w:bidi="en_US"/>
        </w:rPr>
        <w:t>Some other possible headings for this section are:</w:t>
      </w:r>
    </w:p>
    <w:p>
      <w:pPr/>
      <w:r>
        <w:rPr>
          <w:lang w:val="en_US" w:bidi="en_US"/>
        </w:rPr>
      </w:r>
      <w:r>
        <w:rPr>
          <w:lang w:val="en_US" w:bidi="en_US"/>
        </w:rPr>
        <w:t>The angel Gabriel predicts the virgin birth of Jesus the Christ</w:t>
      </w:r>
    </w:p>
    <w:p>
      <w:pPr/>
      <w:r>
        <w:rPr>
          <w:lang w:val="en_US" w:bidi="en_US"/>
        </w:rPr>
      </w:r>
      <w:r>
        <w:rPr>
          <w:lang w:val="en_US" w:bidi="en_US"/>
        </w:rPr>
        <w:t>Angel Gabriel announces to the virgin Mary that God will cause her to give birth to a son</w:t>
      </w:r>
    </w:p>
    <w:p>
      <w:pPr/>
      <w:r>
        <w:rPr>
          <w:lang w:val="en_US" w:bidi="en_US"/>
        </w:rPr>
      </w:r>
      <w:r>
        <w:rPr>
          <w:lang w:val="en_US" w:bidi="en_US"/>
        </w:rPr>
        <w:t>The Birth of Jesus is Announced (GNT)</w:t>
      </w:r>
    </w:p>
    <w:p>
      <w:pPr>
        <w:pStyle w:val="Heading5"/>
      </w:pPr>
      <w:r>
        <w:rPr>
          <w:lang w:val="en_US" w:bidi="en_US"/>
        </w:rPr>
        <w:t>1:32a</w:t>
      </w:r>
    </w:p>
    <w:p>
      <w:pPr/>
      <w:r>
        <w:rPr>
          <w:lang w:val="en_US" w:bidi="en_US"/>
        </w:rPr>
      </w:r>
      <w:r>
        <w:rPr>
          <w:b/>
          <w:lang w:val="en_US" w:bidi="en_US"/>
        </w:rPr>
        <w:t>He will be great</w:t>
      </w:r>
    </w:p>
    <w:p>
      <w:pPr>
        <w:pStyle w:val="ListBullet"/>
        <w:spacing w:line="240" w:lineRule="auto"/>
        <w:ind w:left="720"/>
      </w:pPr>
      <w:r>
        <w:rPr>
          <w:lang w:val="en_US" w:bidi="en_US"/>
        </w:rPr>
      </w:r>
      <w:r>
        <w:rPr>
          <w:lang w:val="en_US" w:bidi="en_US"/>
        </w:rPr>
        <w:t>He will have great authority,</w:t>
      </w:r>
    </w:p>
    <w:p>
      <w:pPr>
        <w:pStyle w:val="ListBullet"/>
        <w:spacing w:line="240" w:lineRule="auto"/>
        <w:ind w:left="720"/>
      </w:pPr>
      <w:r>
        <w:rPr>
          <w:lang w:val="en_US" w:bidi="en_US"/>
        </w:rPr>
      </w:r>
      <w:r>
        <w:rPr>
          <w:lang w:val="en_US" w:bidi="en_US"/>
        </w:rPr>
        <w:t>He will be a very important person,</w:t>
      </w:r>
    </w:p>
    <w:p>
      <w:pPr/>
      <w:r>
        <w:rPr>
          <w:lang w:val="en_US" w:bidi="en_US"/>
        </w:rPr>
      </w:r>
      <w:r>
        <w:rPr>
          <w:b/>
          <w:lang w:val="en_US" w:bidi="en_US"/>
        </w:rPr>
        <w:t>He will be great:</w:t>
      </w:r>
      <w:r>
        <w:rPr>
          <w:lang w:val="en_US" w:bidi="en_US"/>
        </w:rPr>
        <w:t xml:space="preserve"> The Greek word that the BSB translates as </w:t>
      </w:r>
      <w:r>
        <w:rPr>
          <w:i/>
          <w:lang w:val="en_US" w:bidi="en_US"/>
        </w:rPr>
        <w:t>great</w:t>
      </w:r>
      <w:r>
        <w:rPr>
          <w:lang w:val="en_US" w:bidi="en_US"/>
        </w:rPr>
        <w:t xml:space="preserve"> was also used in 1:15a. It refers here to being superior in quality, important, significant, and powerful. In 1:32b–33 the angel explained more about specific ways in which Jesus would be great. He would be great as God’s Son, and he would have great authority over a kingdom that will never end. Use an appropriate word in your language for this context.</w:t>
      </w:r>
    </w:p>
    <w:p>
      <w:pPr>
        <w:pStyle w:val="Heading5"/>
      </w:pPr>
      <w:r>
        <w:rPr>
          <w:lang w:val="en_US" w:bidi="en_US"/>
        </w:rPr>
        <w:t>1:32b</w:t>
      </w:r>
    </w:p>
    <w:p>
      <w:pPr/>
      <w:r>
        <w:rPr>
          <w:lang w:val="en_US" w:bidi="en_US"/>
        </w:rPr>
      </w:r>
      <w:r>
        <w:rPr>
          <w:b/>
          <w:lang w:val="en_US" w:bidi="en_US"/>
        </w:rPr>
        <w:t>and will be called the Son of the Most High.</w:t>
      </w:r>
    </w:p>
    <w:p>
      <w:pPr>
        <w:pStyle w:val="ListBullet"/>
        <w:spacing w:line="240" w:lineRule="auto"/>
        <w:ind w:left="720"/>
      </w:pPr>
      <w:r>
        <w:rPr>
          <w:lang w:val="en_US" w:bidi="en_US"/>
        </w:rPr>
      </w:r>
      <w:r>
        <w:rPr>
          <w:lang w:val="en_US" w:bidi="en_US"/>
        </w:rPr>
        <w:t xml:space="preserve">and he will be known/recognized as the Son of the Most High </w:t>
      </w:r>
      <w:r>
        <w:rPr>
          <w:lang w:val="en_US" w:bidi="en_US"/>
        </w:rPr>
        <w:t>God</w:t>
      </w:r>
      <w:r>
        <w:rPr>
          <w:lang w:val="en_US" w:bidi="en_US"/>
        </w:rPr>
        <w:t>.</w:t>
      </w:r>
    </w:p>
    <w:p>
      <w:pPr>
        <w:pStyle w:val="ListBullet"/>
        <w:spacing w:line="240" w:lineRule="auto"/>
        <w:ind w:left="720"/>
      </w:pPr>
      <w:r>
        <w:rPr>
          <w:lang w:val="en_US" w:bidi="en_US"/>
        </w:rPr>
      </w:r>
      <w:r>
        <w:rPr>
          <w:lang w:val="en_US" w:bidi="en_US"/>
        </w:rPr>
        <w:t>and he will have the name/title ‘The Son of the one who is higher/greater than all other beings.’</w:t>
      </w:r>
    </w:p>
    <w:p>
      <w:pPr/>
      <w:r>
        <w:rPr>
          <w:lang w:val="en_US" w:bidi="en_US"/>
        </w:rPr>
      </w:r>
      <w:r>
        <w:rPr>
          <w:b/>
          <w:lang w:val="en_US" w:bidi="en_US"/>
        </w:rPr>
        <w:t>will be called the Son of the Most High:</w:t>
      </w:r>
      <w:r>
        <w:rPr>
          <w:lang w:val="en_US" w:bidi="en_US"/>
        </w:rPr>
        <w:t xml:space="preserve"> This part of the verse implies that Jesus will be described or addressed with the title </w:t>
      </w:r>
      <w:r>
        <w:rPr>
          <w:i/>
          <w:lang w:val="en_US" w:bidi="en_US"/>
        </w:rPr>
        <w:t>Son of the Most High</w:t>
      </w:r>
      <w:r>
        <w:rPr>
          <w:lang w:val="en_US" w:bidi="en_US"/>
        </w:rPr>
        <w:t xml:space="preserve">. He will receive this title because he actually </w:t>
      </w:r>
      <w:r>
        <w:rPr>
          <w:u w:val="single"/>
          <w:lang w:val="en_US" w:bidi="en_US"/>
        </w:rPr>
        <w:t>is</w:t>
      </w:r>
      <w:r>
        <w:rPr>
          <w:lang w:val="en_US" w:bidi="en_US"/>
        </w:rPr>
        <w:t xml:space="preserve"> the Son of the Most High.</w:t>
      </w:r>
    </w:p>
    <w:p>
      <w:pPr/>
      <w:r>
        <w:rPr>
          <w:lang w:val="en_US" w:bidi="en_US"/>
        </w:rPr>
      </w:r>
      <w:r>
        <w:rPr>
          <w:lang w:val="en_US" w:bidi="en_US"/>
        </w:rPr>
        <w:t xml:space="preserve">The verb </w:t>
      </w:r>
      <w:r>
        <w:rPr>
          <w:i/>
          <w:lang w:val="en_US" w:bidi="en_US"/>
        </w:rPr>
        <w:t>will be called</w:t>
      </w:r>
      <w:r>
        <w:rPr>
          <w:lang w:val="en_US" w:bidi="en_US"/>
        </w:rPr>
        <w:t xml:space="preserve"> is passive. The text does not specify who will call Jesus this. Some scholars believe that God is the one who will give this title to Jesus. Other scholars believe that in this context the verb </w:t>
      </w:r>
      <w:r>
        <w:rPr>
          <w:i/>
          <w:lang w:val="en_US" w:bidi="en_US"/>
        </w:rPr>
        <w:t>will be called</w:t>
      </w:r>
      <w:r>
        <w:rPr>
          <w:lang w:val="en_US" w:bidi="en_US"/>
        </w:rPr>
        <w:t xml:space="preserve"> has the same meaning as the verb “will be.”</w:t>
      </w:r>
    </w:p>
    <w:p>
      <w:pPr/>
      <w:r>
        <w:rPr>
          <w:lang w:val="en_US" w:bidi="en_US"/>
        </w:rPr>
      </w:r>
      <w:r>
        <w:rPr>
          <w:lang w:val="en_US" w:bidi="en_US"/>
        </w:rPr>
        <w:t xml:space="preserve">In some languages, it may not be natural to translate the verb </w:t>
      </w:r>
      <w:r>
        <w:rPr>
          <w:i/>
          <w:lang w:val="en_US" w:bidi="en_US"/>
        </w:rPr>
        <w:t>will be called</w:t>
      </w:r>
      <w:r>
        <w:rPr>
          <w:lang w:val="en_US" w:bidi="en_US"/>
        </w:rPr>
        <w:t xml:space="preserve"> as a passive. If that is true in your language, here are other ways to translate it:</w:t>
      </w:r>
    </w:p>
    <w:p>
      <w:pPr>
        <w:pStyle w:val="ListBullet"/>
        <w:spacing w:line="240" w:lineRule="auto"/>
        <w:ind w:left="720"/>
      </w:pPr>
      <w:r>
        <w:rPr>
          <w:lang w:val="en_US" w:bidi="en_US"/>
        </w:rPr>
      </w:r>
      <w:r>
        <w:rPr>
          <w:lang w:val="en_US" w:bidi="en_US"/>
        </w:rPr>
        <w:t>Use a different verb that does not require you to say who will use the title. For example:</w:t>
      </w:r>
      <w:r>
        <w:rPr>
          <w:lang w:val="en_US" w:bidi="en_US"/>
        </w:rPr>
        <w:t>he will have the title Son of the Most High</w:t>
      </w:r>
      <w:r>
        <w:rPr>
          <w:lang w:val="en_US" w:bidi="en_US"/>
        </w:rPr>
        <w:t>his name will be the Son of the Most High</w:t>
      </w:r>
    </w:p>
    <w:p>
      <w:pPr>
        <w:pStyle w:val="ListBullet"/>
        <w:spacing w:line="240" w:lineRule="auto"/>
        <w:ind w:left="720"/>
      </w:pPr>
      <w:r>
        <w:rPr>
          <w:lang w:val="en_US" w:bidi="en_US"/>
        </w:rPr>
      </w:r>
      <w:r>
        <w:rPr>
          <w:lang w:val="en_US" w:bidi="en_US"/>
        </w:rPr>
        <w:t xml:space="preserve">Focus on the fact that Jesus will </w:t>
      </w:r>
      <w:r>
        <w:rPr>
          <w:u w:val="single"/>
          <w:lang w:val="en_US" w:bidi="en_US"/>
        </w:rPr>
        <w:t>be</w:t>
      </w:r>
      <w:r>
        <w:rPr>
          <w:lang w:val="en_US" w:bidi="en_US"/>
        </w:rPr>
        <w:t xml:space="preserve"> the Son of the Most High. For example:</w:t>
      </w:r>
      <w:r>
        <w:rPr>
          <w:lang w:val="en_US" w:bidi="en_US"/>
        </w:rPr>
        <w:t>he will be the Son of the Most High</w:t>
      </w:r>
    </w:p>
    <w:p>
      <w:pPr/>
      <w:r>
        <w:rPr>
          <w:lang w:val="en_US" w:bidi="en_US"/>
        </w:rPr>
      </w:r>
      <w:r>
        <w:rPr>
          <w:b/>
          <w:lang w:val="en_US" w:bidi="en_US"/>
        </w:rPr>
        <w:t>Son of the Most High:</w:t>
      </w:r>
      <w:r>
        <w:rPr>
          <w:lang w:val="en_US" w:bidi="en_US"/>
        </w:rPr>
        <w:t xml:space="preserve"> The phrase </w:t>
      </w:r>
      <w:r>
        <w:rPr>
          <w:i/>
          <w:lang w:val="en_US" w:bidi="en_US"/>
        </w:rPr>
        <w:t>the Most High</w:t>
      </w:r>
      <w:r>
        <w:rPr>
          <w:lang w:val="en_US" w:bidi="en_US"/>
        </w:rPr>
        <w:t xml:space="preserve"> is a title that refers to God. This title for God is used two more times in this chapter—in 1:35 and 1:76.</w:t>
      </w:r>
      <w:r>
        <w:rPr>
          <w:lang w:val="en_US" w:bidi="en_US"/>
        </w:rPr>
        <w:t>It is also used in Mark 5:7, Acts 7:48, and Hebrews 7:1.</w:t>
      </w:r>
      <w:r>
        <w:rPr>
          <w:lang w:val="en_US" w:bidi="en_US"/>
        </w:rPr>
        <w:t xml:space="preserve"> It indicates that God is greater and more powerful than any other god, being, or power that exists. The title does not refer to literal height or size. In some languages there may be a special way to indicate that a phrase like this is a title. The BSB uses capital letters to indicate this.</w:t>
      </w:r>
    </w:p>
    <w:p>
      <w:pPr/>
      <w:r>
        <w:rPr>
          <w:lang w:val="en_US" w:bidi="en_US"/>
        </w:rPr>
      </w:r>
      <w:r>
        <w:rPr>
          <w:lang w:val="en_US" w:bidi="en_US"/>
        </w:rPr>
        <w:t xml:space="preserve">Other ways to translate </w:t>
      </w:r>
      <w:r>
        <w:rPr>
          <w:i/>
          <w:lang w:val="en_US" w:bidi="en_US"/>
        </w:rPr>
        <w:t>Son of the Most High</w:t>
      </w:r>
      <w:r>
        <w:rPr>
          <w:lang w:val="en_US" w:bidi="en_US"/>
        </w:rPr>
        <w:t xml:space="preserve"> are:</w:t>
      </w:r>
    </w:p>
    <w:p>
      <w:pPr/>
      <w:r>
        <w:rPr>
          <w:lang w:val="en_US" w:bidi="en_US"/>
        </w:rPr>
      </w:r>
      <w:r>
        <w:rPr>
          <w:lang w:val="en_US" w:bidi="en_US"/>
        </w:rPr>
        <w:t>Son of the Greatest/Highest God</w:t>
      </w:r>
    </w:p>
    <w:p>
      <w:pPr/>
      <w:r>
        <w:rPr>
          <w:lang w:val="en_US" w:bidi="en_US"/>
        </w:rPr>
      </w:r>
      <w:r>
        <w:rPr>
          <w:lang w:val="en_US" w:bidi="en_US"/>
        </w:rPr>
        <w:t>Son of God, the One who is more powerful than all other beings</w:t>
      </w:r>
    </w:p>
    <w:p>
      <w:pPr/>
      <w:r>
        <w:rPr>
          <w:lang w:val="en_US" w:bidi="en_US"/>
        </w:rPr>
      </w:r>
      <w:r>
        <w:rPr>
          <w:lang w:val="en_US" w:bidi="en_US"/>
        </w:rPr>
        <w:t>Son of God, the God who is so great that no one is great like him</w:t>
      </w:r>
    </w:p>
    <w:p>
      <w:pPr/>
      <w:r>
        <w:rPr>
          <w:lang w:val="en_US" w:bidi="en_US"/>
        </w:rPr>
      </w:r>
      <w:r>
        <w:rPr>
          <w:b/>
          <w:lang w:val="en_US" w:bidi="en_US"/>
        </w:rPr>
        <w:t>Son:</w:t>
      </w:r>
      <w:r>
        <w:rPr>
          <w:lang w:val="en_US" w:bidi="en_US"/>
        </w:rPr>
        <w:t xml:space="preserve"> The Bible uses the title </w:t>
      </w:r>
      <w:r>
        <w:rPr>
          <w:i/>
          <w:lang w:val="en_US" w:bidi="en_US"/>
        </w:rPr>
        <w:t>Son</w:t>
      </w:r>
      <w:r>
        <w:rPr>
          <w:lang w:val="en_US" w:bidi="en_US"/>
        </w:rPr>
        <w:t xml:space="preserve"> to express the facts that Jesus has the same nature as God and that he comes from God. The title also indicates that the relationship between God and Jesus, his Son, is similar in some way to the relationship of human fathers and sons. God does not have a physical body, and he did not create/produce Jesus the way that a human father produces a son. Jesus has existed eternally as the Son with his Father.</w:t>
      </w:r>
    </w:p>
    <w:p>
      <w:pPr/>
      <w:r>
        <w:rPr>
          <w:lang w:val="en_US" w:bidi="en_US"/>
        </w:rPr>
      </w:r>
      <w:r>
        <w:rPr>
          <w:lang w:val="en_US" w:bidi="en_US"/>
        </w:rPr>
        <w:t>You may wish to include a footnote here and say something like:</w:t>
      </w:r>
    </w:p>
    <w:p>
      <w:pPr/>
      <w:r>
        <w:rPr>
          <w:lang w:val="en_US" w:bidi="en_US"/>
        </w:rPr>
      </w:r>
      <w:r>
        <w:rPr>
          <w:lang w:val="en_US" w:bidi="en_US"/>
        </w:rPr>
        <w:t>God is the Father of Jesus the Son in a different way than human males are fathers of their sons. The Bible uses the word Son to express the fact that Jesus has the same nature as God and that he comes from God. It also indicates that the relationship between God and Jesus, his Son, is similar in some way to the relationship of human fathers and sons.</w:t>
      </w:r>
    </w:p>
    <w:p>
      <w:pPr>
        <w:pStyle w:val="Heading5"/>
      </w:pPr>
      <w:r>
        <w:rPr>
          <w:lang w:val="en_US" w:bidi="en_US"/>
        </w:rPr>
        <w:t>1:32c</w:t>
      </w:r>
    </w:p>
    <w:p>
      <w:pPr/>
      <w:r>
        <w:rPr>
          <w:lang w:val="en_US" w:bidi="en_US"/>
        </w:rPr>
      </w:r>
      <w:r>
        <w:rPr>
          <w:b/>
          <w:lang w:val="en_US" w:bidi="en_US"/>
        </w:rPr>
        <w:t>The Lord God will give Him the throne of His father David,</w:t>
      </w:r>
    </w:p>
    <w:p>
      <w:pPr>
        <w:pStyle w:val="ListBullet"/>
        <w:spacing w:line="240" w:lineRule="auto"/>
        <w:ind w:left="720"/>
      </w:pPr>
      <w:r>
        <w:rPr>
          <w:lang w:val="en_US" w:bidi="en_US"/>
        </w:rPr>
      </w:r>
      <w:r>
        <w:rPr>
          <w:lang w:val="en_US" w:bidi="en_US"/>
        </w:rPr>
        <w:t>The Lord God will set him on the throne to rule as his ancestor David did.</w:t>
      </w:r>
    </w:p>
    <w:p>
      <w:pPr>
        <w:pStyle w:val="ListBullet"/>
        <w:spacing w:line="240" w:lineRule="auto"/>
        <w:ind w:left="720"/>
      </w:pPr>
      <w:r>
        <w:rPr>
          <w:lang w:val="en_US" w:bidi="en_US"/>
        </w:rPr>
      </w:r>
      <w:r>
        <w:rPr>
          <w:lang w:val="en_US" w:bidi="en_US"/>
        </w:rPr>
        <w:t xml:space="preserve">The Lord God will make him king </w:t>
      </w:r>
      <w:r>
        <w:rPr>
          <w:lang w:val="en_US" w:bidi="en_US"/>
        </w:rPr>
        <w:t>over the descendants of Jacob</w:t>
      </w:r>
      <w:r>
        <w:rPr>
          <w:lang w:val="en_US" w:bidi="en_US"/>
        </w:rPr>
        <w:t xml:space="preserve"> like his ancestor, </w:t>
      </w:r>
      <w:r>
        <w:rPr>
          <w:lang w:val="en_US" w:bidi="en_US"/>
        </w:rPr>
        <w:t>King</w:t>
      </w:r>
      <w:r>
        <w:rPr>
          <w:lang w:val="en_US" w:bidi="en_US"/>
        </w:rPr>
        <w:t xml:space="preserve"> David.</w:t>
      </w:r>
    </w:p>
    <w:p>
      <w:pPr/>
      <w:r>
        <w:rPr>
          <w:lang w:val="en_US" w:bidi="en_US"/>
        </w:rPr>
      </w:r>
      <w:r>
        <w:rPr>
          <w:b/>
          <w:lang w:val="en_US" w:bidi="en_US"/>
        </w:rPr>
        <w:t>The Lord God will give Him the throne of His father David:</w:t>
      </w:r>
      <w:r>
        <w:rPr>
          <w:lang w:val="en_US" w:bidi="en_US"/>
        </w:rPr>
        <w:t xml:space="preserve"> In this context the word </w:t>
      </w:r>
      <w:r>
        <w:rPr>
          <w:i/>
          <w:lang w:val="en_US" w:bidi="en_US"/>
        </w:rPr>
        <w:t>throne</w:t>
      </w:r>
      <w:r>
        <w:rPr>
          <w:lang w:val="en_US" w:bidi="en_US"/>
        </w:rPr>
        <w:t xml:space="preserve"> is used as a figure of speech. It represents the power and authority of the person who sits on the throne and reigns as king. Some ways to translate this are:</w:t>
      </w:r>
    </w:p>
    <w:p>
      <w:pPr>
        <w:pStyle w:val="ListBullet"/>
        <w:spacing w:line="240" w:lineRule="auto"/>
        <w:ind w:left="720"/>
      </w:pPr>
      <w:r>
        <w:rPr>
          <w:lang w:val="en_US" w:bidi="en_US"/>
        </w:rPr>
      </w:r>
      <w:r>
        <w:rPr>
          <w:lang w:val="en_US" w:bidi="en_US"/>
        </w:rPr>
        <w:t>State what the throne represents. For example:</w:t>
      </w:r>
      <w:r>
        <w:rPr>
          <w:lang w:val="en_US" w:bidi="en_US"/>
        </w:rPr>
        <w:t>the Lord God will give him the right/authority to sit on the throne as king</w:t>
      </w:r>
      <w:r>
        <w:rPr>
          <w:lang w:val="en_US" w:bidi="en_US"/>
        </w:rPr>
        <w:t>the Lord God will cause him to sit in the throne and reign/rule</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The Lord God will make him king (CEV)</w:t>
      </w:r>
      <w:r>
        <w:rPr>
          <w:lang w:val="en_US" w:bidi="en_US"/>
        </w:rPr>
        <w:t>the Lord God will cause him to reign</w:t>
      </w:r>
    </w:p>
    <w:p>
      <w:pPr/>
      <w:r>
        <w:rPr>
          <w:lang w:val="en_US" w:bidi="en_US"/>
        </w:rPr>
      </w:r>
      <w:r>
        <w:rPr>
          <w:b/>
          <w:lang w:val="en_US" w:bidi="en_US"/>
        </w:rPr>
        <w:t>Lord God:</w:t>
      </w:r>
      <w:r>
        <w:rPr>
          <w:lang w:val="en_US" w:bidi="en_US"/>
        </w:rPr>
        <w:t xml:space="preserve"> See Lord, Context 2, and God in the Glossary.</w:t>
      </w:r>
    </w:p>
    <w:p>
      <w:pPr/>
      <w:r>
        <w:rPr>
          <w:lang w:val="en_US" w:bidi="en_US"/>
        </w:rPr>
      </w:r>
      <w:r>
        <w:rPr>
          <w:b/>
          <w:lang w:val="en_US" w:bidi="en_US"/>
        </w:rPr>
        <w:t>give Him the throne of His father David:</w:t>
      </w:r>
      <w:r>
        <w:rPr>
          <w:lang w:val="en_US" w:bidi="en_US"/>
        </w:rPr>
        <w:t xml:space="preserve"> The clause </w:t>
      </w:r>
      <w:r>
        <w:rPr>
          <w:i/>
          <w:lang w:val="en_US" w:bidi="en_US"/>
        </w:rPr>
        <w:t>give Him the throne of His father David</w:t>
      </w:r>
      <w:r>
        <w:rPr>
          <w:lang w:val="en_US" w:bidi="en_US"/>
        </w:rPr>
        <w:t xml:space="preserve"> indicates here that God would cause Jesus to be king over Israel as David was.</w:t>
      </w:r>
    </w:p>
    <w:p>
      <w:pPr/>
      <w:r>
        <w:rPr>
          <w:lang w:val="en_US" w:bidi="en_US"/>
        </w:rPr>
      </w:r>
      <w:r>
        <w:rPr>
          <w:lang w:val="en_US" w:bidi="en_US"/>
        </w:rPr>
        <w:t xml:space="preserve">King David lived about a thousand years before Jesus was born. So in some languages it may be necessary to translate </w:t>
      </w:r>
      <w:r>
        <w:rPr>
          <w:i/>
          <w:lang w:val="en_US" w:bidi="en_US"/>
        </w:rPr>
        <w:t>His father David</w:t>
      </w:r>
      <w:r>
        <w:rPr>
          <w:lang w:val="en_US" w:bidi="en_US"/>
        </w:rPr>
        <w:t xml:space="preserve"> as “his ancestor David.”</w:t>
      </w:r>
    </w:p>
    <w:p>
      <w:pPr/>
      <w:r>
        <w:rPr>
          <w:lang w:val="en_US" w:bidi="en_US"/>
        </w:rPr>
      </w:r>
      <w:r>
        <w:rPr>
          <w:lang w:val="en_US" w:bidi="en_US"/>
        </w:rPr>
        <w:t>Jesus was a descendant of David through his mother Mary and also through his legal father Joseph. If in your language you must say which line of descendants the angel was referring to, you should say his father’s line. This was referred to in 1:27b.</w:t>
      </w:r>
      <w:r>
        <w:rPr>
          <w:lang w:val="en_US" w:bidi="en_US"/>
        </w:rPr>
      </w:r>
      <w:r>
        <w:rPr>
          <w:lang w:val="en_US" w:bidi="en_US"/>
        </w:rPr>
      </w:r>
    </w:p>
    <w:p>
      <w:pPr/>
      <w:r>
        <w:rPr>
          <w:lang w:val="en_US" w:bidi="en_US"/>
        </w:rPr>
      </w:r>
    </w:p>
    <w:p>
      <w:pPr>
        <w:pStyle w:val="Heading2"/>
      </w:pPr>
      <w:r>
        <w:rPr>
          <w:lang w:val="en_US" w:bidi="en_US"/>
        </w:rPr>
        <w:t>Luke 1:33</w:t>
      </w:r>
      <w:r>
        <w:rPr>
          <w:lang w:val="en_US" w:bidi="en_US"/>
        </w:rPr>
      </w:r>
    </w:p>
    <w:p>
      <w:pPr>
        <w:pStyle w:val="Heading4"/>
      </w:pPr>
      <w:r>
        <w:rPr>
          <w:lang w:val="en_US" w:bidi="en_US"/>
        </w:rPr>
        <w:t>Section 1:26–38: An angel told Mary that Jesus would be born</w:t>
      </w:r>
    </w:p>
    <w:p>
      <w:pPr/>
      <w:r>
        <w:rPr>
          <w:lang w:val="en_US" w:bidi="en_US"/>
        </w:rPr>
      </w:r>
      <w:r>
        <w:rPr>
          <w:lang w:val="en_US" w:bidi="en_US"/>
        </w:rP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pPr/>
      <w:r>
        <w:rPr>
          <w:lang w:val="en_US" w:bidi="en_US"/>
        </w:rPr>
      </w:r>
      <w:r>
        <w:rPr>
          <w:lang w:val="en_US" w:bidi="en_US"/>
        </w:rPr>
        <w:t>Some other possible headings for this section are:</w:t>
      </w:r>
    </w:p>
    <w:p>
      <w:pPr/>
      <w:r>
        <w:rPr>
          <w:lang w:val="en_US" w:bidi="en_US"/>
        </w:rPr>
      </w:r>
      <w:r>
        <w:rPr>
          <w:lang w:val="en_US" w:bidi="en_US"/>
        </w:rPr>
        <w:t>The angel Gabriel predicts the virgin birth of Jesus the Christ</w:t>
      </w:r>
    </w:p>
    <w:p>
      <w:pPr/>
      <w:r>
        <w:rPr>
          <w:lang w:val="en_US" w:bidi="en_US"/>
        </w:rPr>
      </w:r>
      <w:r>
        <w:rPr>
          <w:lang w:val="en_US" w:bidi="en_US"/>
        </w:rPr>
        <w:t>Angel Gabriel announces to the virgin Mary that God will cause her to give birth to a son</w:t>
      </w:r>
    </w:p>
    <w:p>
      <w:pPr/>
      <w:r>
        <w:rPr>
          <w:lang w:val="en_US" w:bidi="en_US"/>
        </w:rPr>
      </w:r>
      <w:r>
        <w:rPr>
          <w:lang w:val="en_US" w:bidi="en_US"/>
        </w:rPr>
        <w:t>The Birth of Jesus is Announced (GNT)</w:t>
      </w:r>
    </w:p>
    <w:p>
      <w:pPr>
        <w:pStyle w:val="Heading5"/>
      </w:pPr>
      <w:r>
        <w:rPr>
          <w:lang w:val="en_US" w:bidi="en_US"/>
        </w:rPr>
        <w:t>1:33</w:t>
      </w:r>
    </w:p>
    <w:p>
      <w:pPr/>
      <w:r>
        <w:rPr>
          <w:lang w:val="en_US" w:bidi="en_US"/>
        </w:rPr>
      </w:r>
      <w:r>
        <w:rPr>
          <w:lang w:val="en_US" w:bidi="en_US"/>
        </w:rPr>
        <w:t>In this verse, 1:33a is very similar in meaning to 1:33b. Specific words and phrases in these parts of the verse are also similar: “He will reign” and “His kingdom” are similar. “Forever” and “never end” are similar.</w:t>
      </w:r>
    </w:p>
    <w:p>
      <w:pPr/>
      <w:r>
        <w:rPr>
          <w:lang w:val="en_US" w:bidi="en_US"/>
        </w:rPr>
      </w:r>
      <w:r>
        <w:rPr>
          <w:lang w:val="en_US" w:bidi="en_US"/>
        </w:rPr>
        <w:t>In some languages, it may be confusing to repeat the same meaning in different words here. It may imply that the angel was making two separate statements that had different meanings. If that is true in your language, you may need to translate the parts of the verse in a different way. See the General Comment on 1:33a–b at the end of 1:33b for a suggestion.</w:t>
      </w:r>
    </w:p>
    <w:p>
      <w:pPr>
        <w:pStyle w:val="Heading5"/>
      </w:pPr>
      <w:r>
        <w:rPr>
          <w:lang w:val="en_US" w:bidi="en_US"/>
        </w:rPr>
        <w:t>1:33a</w:t>
      </w:r>
    </w:p>
    <w:p>
      <w:pPr/>
      <w:r>
        <w:rPr>
          <w:lang w:val="en_US" w:bidi="en_US"/>
        </w:rPr>
      </w:r>
      <w:r>
        <w:rPr>
          <w:b/>
          <w:lang w:val="en_US" w:bidi="en_US"/>
        </w:rPr>
        <w:t>and He will reign over the house of Jacob forever.</w:t>
      </w:r>
    </w:p>
    <w:p>
      <w:pPr>
        <w:pStyle w:val="ListBullet"/>
        <w:spacing w:line="240" w:lineRule="auto"/>
        <w:ind w:left="720"/>
      </w:pPr>
      <w:r>
        <w:rPr>
          <w:lang w:val="en_US" w:bidi="en_US"/>
        </w:rPr>
      </w:r>
      <w:r>
        <w:rPr>
          <w:lang w:val="en_US" w:bidi="en_US"/>
        </w:rPr>
        <w:t>He will be king over the descendants/family of Jacob forever.</w:t>
      </w:r>
    </w:p>
    <w:p>
      <w:pPr>
        <w:pStyle w:val="ListBullet"/>
        <w:spacing w:line="240" w:lineRule="auto"/>
        <w:ind w:left="720"/>
      </w:pPr>
      <w:r>
        <w:rPr>
          <w:lang w:val="en_US" w:bidi="en_US"/>
        </w:rPr>
      </w:r>
      <w:r>
        <w:rPr>
          <w:lang w:val="en_US" w:bidi="en_US"/>
        </w:rPr>
        <w:t>He will rule them for all time—</w:t>
      </w:r>
    </w:p>
    <w:p>
      <w:pPr/>
      <w:r>
        <w:rPr>
          <w:lang w:val="en_US" w:bidi="en_US"/>
        </w:rPr>
      </w:r>
      <w:r>
        <w:rPr>
          <w:b/>
          <w:lang w:val="en_US" w:bidi="en_US"/>
        </w:rPr>
        <w:t>He will reign:</w:t>
      </w:r>
      <w:r>
        <w:rPr>
          <w:lang w:val="en_US" w:bidi="en_US"/>
        </w:rPr>
        <w:t xml:space="preserve"> The phrase </w:t>
      </w:r>
      <w:r>
        <w:rPr>
          <w:i/>
          <w:lang w:val="en_US" w:bidi="en_US"/>
        </w:rPr>
        <w:t>He will reign</w:t>
      </w:r>
      <w:r>
        <w:rPr>
          <w:lang w:val="en_US" w:bidi="en_US"/>
        </w:rPr>
        <w:t xml:space="preserve"> means “he will be king” or “he will rule as king.”</w:t>
      </w:r>
    </w:p>
    <w:p>
      <w:pPr/>
      <w:r>
        <w:rPr>
          <w:lang w:val="en_US" w:bidi="en_US"/>
        </w:rPr>
      </w:r>
      <w:r>
        <w:rPr>
          <w:b/>
          <w:lang w:val="en_US" w:bidi="en_US"/>
        </w:rPr>
        <w:t>the house of Jacob:</w:t>
      </w:r>
      <w:r>
        <w:rPr>
          <w:lang w:val="en_US" w:bidi="en_US"/>
        </w:rPr>
        <w:t xml:space="preserve"> The expression </w:t>
      </w:r>
      <w:r>
        <w:rPr>
          <w:i/>
          <w:lang w:val="en_US" w:bidi="en_US"/>
        </w:rPr>
        <w:t>the house of Jacob</w:t>
      </w:r>
      <w:r>
        <w:rPr>
          <w:lang w:val="en_US" w:bidi="en_US"/>
        </w:rPr>
        <w:t xml:space="preserve"> refers to all the descendants of Jacob. Another name for </w:t>
      </w:r>
      <w:r>
        <w:rPr>
          <w:i/>
          <w:lang w:val="en_US" w:bidi="en_US"/>
        </w:rPr>
        <w:t>Jacob</w:t>
      </w:r>
      <w:r>
        <w:rPr>
          <w:lang w:val="en_US" w:bidi="en_US"/>
        </w:rPr>
        <w:t xml:space="preserve"> was Israel. He lived hundreds of years before this time, and all twelve of the tribes of Israel were descended from him. People often called the nation of Israel </w:t>
      </w:r>
      <w:r>
        <w:rPr>
          <w:i/>
          <w:lang w:val="en_US" w:bidi="en_US"/>
        </w:rPr>
        <w:t>the house of Jacob</w:t>
      </w:r>
      <w:r>
        <w:rPr>
          <w:lang w:val="en_US" w:bidi="en_US"/>
        </w:rPr>
        <w:t>.</w:t>
      </w:r>
    </w:p>
    <w:p>
      <w:pPr>
        <w:pStyle w:val="Heading5"/>
      </w:pPr>
      <w:r>
        <w:rPr>
          <w:lang w:val="en_US" w:bidi="en_US"/>
        </w:rPr>
        <w:t>1:33b</w:t>
      </w:r>
    </w:p>
    <w:p>
      <w:pPr/>
      <w:r>
        <w:rPr>
          <w:lang w:val="en_US" w:bidi="en_US"/>
        </w:rPr>
      </w:r>
      <w:r>
        <w:rPr>
          <w:b/>
          <w:lang w:val="en_US" w:bidi="en_US"/>
        </w:rPr>
        <w:t>His kingdom will never end!”</w:t>
      </w:r>
    </w:p>
    <w:p>
      <w:pPr>
        <w:pStyle w:val="ListBullet"/>
        <w:spacing w:line="240" w:lineRule="auto"/>
        <w:ind w:left="720"/>
      </w:pPr>
      <w:r>
        <w:rPr>
          <w:lang w:val="en_US" w:bidi="en_US"/>
        </w:rPr>
      </w:r>
      <w:r>
        <w:rPr>
          <w:lang w:val="en_US" w:bidi="en_US"/>
        </w:rPr>
        <w:t>He will never cease to reign/rule.”</w:t>
      </w:r>
    </w:p>
    <w:p>
      <w:pPr>
        <w:pStyle w:val="ListBullet"/>
        <w:spacing w:line="240" w:lineRule="auto"/>
        <w:ind w:left="720"/>
      </w:pPr>
      <w:r>
        <w:rPr>
          <w:lang w:val="en_US" w:bidi="en_US"/>
        </w:rPr>
      </w:r>
      <w:r>
        <w:rPr>
          <w:lang w:val="en_US" w:bidi="en_US"/>
        </w:rPr>
        <w:t>forever and ever!”</w:t>
      </w:r>
    </w:p>
    <w:p>
      <w:pPr/>
      <w:r>
        <w:rPr>
          <w:lang w:val="en_US" w:bidi="en_US"/>
        </w:rPr>
      </w:r>
      <w:r>
        <w:rPr>
          <w:b/>
          <w:lang w:val="en_US" w:bidi="en_US"/>
        </w:rPr>
        <w:t>His kingdom will never end:</w:t>
      </w:r>
      <w:r>
        <w:rPr>
          <w:lang w:val="en_US" w:bidi="en_US"/>
        </w:rPr>
        <w:t xml:space="preserve"> The clause </w:t>
      </w:r>
      <w:r>
        <w:rPr>
          <w:i/>
          <w:lang w:val="en_US" w:bidi="en_US"/>
        </w:rPr>
        <w:t>His kingdom will never end</w:t>
      </w:r>
      <w:r>
        <w:rPr>
          <w:lang w:val="en_US" w:bidi="en_US"/>
        </w:rPr>
        <w:t xml:space="preserve"> repeats part of the meaning of 1:33a. This repetition emphasizes that Jesus will rule forever.</w:t>
      </w:r>
    </w:p>
    <w:p>
      <w:pPr>
        <w:pStyle w:val="Heading6"/>
      </w:pPr>
      <w:r>
        <w:rPr>
          <w:b/>
          <w:lang w:val="en_US" w:bidi="en_US"/>
        </w:rPr>
        <w:t>General Comment on 1:33a–b</w:t>
      </w:r>
    </w:p>
    <w:p>
      <w:pPr/>
      <w:r>
        <w:rPr>
          <w:lang w:val="en_US" w:bidi="en_US"/>
        </w:rPr>
      </w:r>
      <w:r>
        <w:rPr>
          <w:lang w:val="en_US" w:bidi="en_US"/>
        </w:rPr>
        <w:t>In some languages, it may be confusing to repeat the same meaning in different words. It may imply that the angel was making two separate statements that had different meanings. If that is true in your language, here are other ways to translate it:</w:t>
      </w:r>
    </w:p>
    <w:p>
      <w:pPr>
        <w:pStyle w:val="ListBullet"/>
        <w:spacing w:line="240" w:lineRule="auto"/>
        <w:ind w:left="720"/>
      </w:pPr>
      <w:r>
        <w:rPr>
          <w:lang w:val="en_US" w:bidi="en_US"/>
        </w:rPr>
      </w:r>
      <w:r>
        <w:rPr>
          <w:lang w:val="en_US" w:bidi="en_US"/>
        </w:rPr>
        <w:t>Combine 1:33a and 1:33b as one statement. For example:</w:t>
      </w:r>
      <w:r>
        <w:rPr>
          <w:vertAlign w:val="superscript"/>
          <w:lang w:val="en_US" w:bidi="en_US"/>
        </w:rPr>
        <w:t>33a–b</w:t>
      </w:r>
      <w:r>
        <w:rPr>
          <w:lang w:val="en_US" w:bidi="en_US"/>
        </w:rPr>
        <w:t>He will reign forever over Jacob’s people.</w:t>
      </w:r>
      <w:r>
        <w:rPr>
          <w:vertAlign w:val="superscript"/>
          <w:lang w:val="en_US" w:bidi="en_US"/>
        </w:rPr>
        <w:t>33a–b</w:t>
      </w:r>
      <w:r>
        <w:rPr>
          <w:lang w:val="en_US" w:bidi="en_US"/>
        </w:rPr>
        <w:t>He will never cease to reign over the nation of Israel.</w:t>
      </w:r>
    </w:p>
    <w:p>
      <w:pPr>
        <w:pStyle w:val="ListBullet"/>
        <w:spacing w:line="240" w:lineRule="auto"/>
        <w:ind w:left="720"/>
      </w:pPr>
      <w:r>
        <w:rPr>
          <w:lang w:val="en_US" w:bidi="en_US"/>
        </w:rPr>
      </w:r>
      <w:r>
        <w:rPr>
          <w:lang w:val="en_US" w:bidi="en_US"/>
        </w:rPr>
        <w:t>Indicate in some way that 1:33a and 1:33b have the same meaning. For example:</w:t>
      </w:r>
      <w:r>
        <w:rPr>
          <w:lang w:val="en_US" w:bidi="en_US"/>
        </w:rPr>
        <w:t>He will be king over Jacob’s people forever—yes, his kingdom will never end!</w:t>
      </w:r>
      <w:r>
        <w:rPr>
          <w:lang w:val="en_US" w:bidi="en_US"/>
        </w:rPr>
      </w:r>
      <w:r>
        <w:rPr>
          <w:lang w:val="en_US" w:bidi="en_US"/>
        </w:rPr>
      </w:r>
    </w:p>
    <w:p>
      <w:pPr/>
      <w:r>
        <w:rPr>
          <w:lang w:val="en_US" w:bidi="en_US"/>
        </w:rPr>
      </w:r>
    </w:p>
    <w:p>
      <w:pPr>
        <w:pStyle w:val="Heading2"/>
      </w:pPr>
      <w:r>
        <w:rPr>
          <w:lang w:val="en_US" w:bidi="en_US"/>
        </w:rPr>
        <w:t>Luke 1:34</w:t>
      </w:r>
      <w:r>
        <w:rPr>
          <w:lang w:val="en_US" w:bidi="en_US"/>
        </w:rPr>
      </w:r>
    </w:p>
    <w:p>
      <w:pPr>
        <w:pStyle w:val="Heading4"/>
      </w:pPr>
      <w:r>
        <w:rPr>
          <w:lang w:val="en_US" w:bidi="en_US"/>
        </w:rPr>
        <w:t>Section 1:26–38: An angel told Mary that Jesus would be born</w:t>
      </w:r>
    </w:p>
    <w:p>
      <w:pPr/>
      <w:r>
        <w:rPr>
          <w:lang w:val="en_US" w:bidi="en_US"/>
        </w:rPr>
      </w:r>
      <w:r>
        <w:rPr>
          <w:lang w:val="en_US" w:bidi="en_US"/>
        </w:rP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pPr/>
      <w:r>
        <w:rPr>
          <w:lang w:val="en_US" w:bidi="en_US"/>
        </w:rPr>
      </w:r>
      <w:r>
        <w:rPr>
          <w:lang w:val="en_US" w:bidi="en_US"/>
        </w:rPr>
        <w:t>Some other possible headings for this section are:</w:t>
      </w:r>
    </w:p>
    <w:p>
      <w:pPr/>
      <w:r>
        <w:rPr>
          <w:lang w:val="en_US" w:bidi="en_US"/>
        </w:rPr>
      </w:r>
      <w:r>
        <w:rPr>
          <w:lang w:val="en_US" w:bidi="en_US"/>
        </w:rPr>
        <w:t>The angel Gabriel predicts the virgin birth of Jesus the Christ</w:t>
      </w:r>
    </w:p>
    <w:p>
      <w:pPr/>
      <w:r>
        <w:rPr>
          <w:lang w:val="en_US" w:bidi="en_US"/>
        </w:rPr>
      </w:r>
      <w:r>
        <w:rPr>
          <w:lang w:val="en_US" w:bidi="en_US"/>
        </w:rPr>
        <w:t>Angel Gabriel announces to the virgin Mary that God will cause her to give birth to a son</w:t>
      </w:r>
    </w:p>
    <w:p>
      <w:pPr/>
      <w:r>
        <w:rPr>
          <w:lang w:val="en_US" w:bidi="en_US"/>
        </w:rPr>
      </w:r>
      <w:r>
        <w:rPr>
          <w:lang w:val="en_US" w:bidi="en_US"/>
        </w:rPr>
        <w:t>The Birth of Jesus is Announced (GNT)</w:t>
      </w:r>
    </w:p>
    <w:p>
      <w:pPr>
        <w:pStyle w:val="Heading5"/>
      </w:pPr>
      <w:r>
        <w:rPr>
          <w:lang w:val="en_US" w:bidi="en_US"/>
        </w:rPr>
        <w:t>1:34</w:t>
      </w:r>
    </w:p>
    <w:p>
      <w:pPr/>
      <w:r>
        <w:rPr>
          <w:lang w:val="en_US" w:bidi="en_US"/>
        </w:rPr>
      </w:r>
      <w:r>
        <w:rPr>
          <w:lang w:val="en_US" w:bidi="en_US"/>
        </w:rPr>
        <w:t>The BSB divides Mary’s question in 1:34 into two parts, and it puts the words “Mary asked the angel” between these parts. In many languages it is more natural to put the phrase “Mary asked the angel” at the beginning of the sentence. That is the word order in Greek. See the Display for 1:34a for an example. Follow the order that is natural in your language.</w:t>
      </w:r>
    </w:p>
    <w:p>
      <w:pPr>
        <w:pStyle w:val="Heading5"/>
      </w:pPr>
      <w:r>
        <w:rPr>
          <w:lang w:val="en_US" w:bidi="en_US"/>
        </w:rPr>
        <w:t>1:34a</w:t>
      </w:r>
    </w:p>
    <w:p>
      <w:pPr/>
      <w:r>
        <w:rPr>
          <w:lang w:val="en_US" w:bidi="en_US"/>
        </w:rPr>
      </w:r>
      <w:r>
        <w:rPr>
          <w:b/>
          <w:lang w:val="en_US" w:bidi="en_US"/>
        </w:rPr>
        <w:t>“How can this be,” Mary asked the angel,</w:t>
      </w:r>
    </w:p>
    <w:p>
      <w:pPr>
        <w:pStyle w:val="ListBullet"/>
        <w:spacing w:line="240" w:lineRule="auto"/>
        <w:ind w:left="720"/>
      </w:pPr>
      <w:r>
        <w:rPr>
          <w:lang w:val="en_US" w:bidi="en_US"/>
        </w:rPr>
      </w:r>
      <w:r>
        <w:rPr>
          <w:lang w:val="en_US" w:bidi="en_US"/>
        </w:rPr>
        <w:t>Mary asked the angel, “How will this happen</w:t>
      </w:r>
    </w:p>
    <w:p>
      <w:pPr>
        <w:pStyle w:val="ListBullet"/>
        <w:spacing w:line="240" w:lineRule="auto"/>
        <w:ind w:left="720"/>
      </w:pPr>
      <w:r>
        <w:rPr>
          <w:lang w:val="en_US" w:bidi="en_US"/>
        </w:rPr>
      </w:r>
      <w:r>
        <w:rPr>
          <w:lang w:val="en_US" w:bidi="en_US"/>
        </w:rPr>
        <w:t>Mary said to the angel, “How can I have a baby?</w:t>
      </w:r>
    </w:p>
    <w:p>
      <w:pPr>
        <w:pStyle w:val="ListBullet"/>
        <w:spacing w:line="240" w:lineRule="auto"/>
        <w:ind w:left="720"/>
      </w:pPr>
      <w:r>
        <w:rPr>
          <w:lang w:val="en_US" w:bidi="en_US"/>
        </w:rPr>
      </w:r>
      <w:r>
        <w:rPr>
          <w:lang w:val="en_US" w:bidi="en_US"/>
        </w:rPr>
        <w:t>Mary asked the angel how this could happen</w:t>
      </w:r>
    </w:p>
    <w:p>
      <w:pPr/>
      <w:r>
        <w:rPr>
          <w:lang w:val="en_US" w:bidi="en_US"/>
        </w:rPr>
      </w:r>
      <w:r>
        <w:rPr>
          <w:b/>
          <w:lang w:val="en_US" w:bidi="en_US"/>
        </w:rPr>
        <w:t>How can this be:</w:t>
      </w:r>
      <w:r>
        <w:rPr>
          <w:lang w:val="en_US" w:bidi="en_US"/>
        </w:rPr>
        <w:t xml:space="preserve"> The word </w:t>
      </w:r>
      <w:r>
        <w:rPr>
          <w:i/>
          <w:lang w:val="en_US" w:bidi="en_US"/>
        </w:rPr>
        <w:t>this</w:t>
      </w:r>
      <w:r>
        <w:rPr>
          <w:lang w:val="en_US" w:bidi="en_US"/>
        </w:rPr>
        <w:t xml:space="preserve"> refers to the angel’s words in 1:31a, “You will conceive.” So the question </w:t>
      </w:r>
      <w:r>
        <w:rPr>
          <w:i/>
          <w:lang w:val="en_US" w:bidi="en_US"/>
        </w:rPr>
        <w:t>How can this be</w:t>
      </w:r>
      <w:r>
        <w:rPr>
          <w:lang w:val="en_US" w:bidi="en_US"/>
        </w:rPr>
        <w:t xml:space="preserve"> means “How shall this happen?” Mary was asking the angel for information. She was not implying that she did not believe what the angel had said. She did not understand how she could have a baby when she had not had sexual relations. You should express the question in a respectful way.</w:t>
      </w:r>
    </w:p>
    <w:p>
      <w:pPr/>
      <w:r>
        <w:rPr>
          <w:lang w:val="en_US" w:bidi="en_US"/>
        </w:rPr>
      </w:r>
      <w:r>
        <w:rPr>
          <w:lang w:val="en_US" w:bidi="en_US"/>
        </w:rPr>
        <w:t>Some other ways to say this are:</w:t>
      </w:r>
    </w:p>
    <w:p>
      <w:pPr/>
      <w:r>
        <w:rPr>
          <w:lang w:val="en_US" w:bidi="en_US"/>
        </w:rPr>
      </w:r>
      <w:r>
        <w:rPr>
          <w:lang w:val="en_US" w:bidi="en_US"/>
        </w:rPr>
        <w:t>But how can I have a baby? (NLT96)</w:t>
      </w:r>
    </w:p>
    <w:p>
      <w:pPr/>
      <w:r>
        <w:rPr>
          <w:lang w:val="en_US" w:bidi="en_US"/>
        </w:rPr>
      </w:r>
      <w:r>
        <w:rPr>
          <w:lang w:val="en_US" w:bidi="en_US"/>
        </w:rPr>
        <w:t>How can/will I become pregnant?</w:t>
      </w:r>
    </w:p>
    <w:p>
      <w:pPr/>
      <w:r>
        <w:rPr>
          <w:lang w:val="en_US" w:bidi="en_US"/>
        </w:rPr>
      </w:r>
      <w:r>
        <w:rPr>
          <w:b/>
          <w:lang w:val="en_US" w:bidi="en_US"/>
        </w:rPr>
        <w:t>Mary asked the angel:</w:t>
      </w:r>
      <w:r>
        <w:rPr>
          <w:lang w:val="en_US" w:bidi="en_US"/>
        </w:rPr>
        <w:t xml:space="preserve"> The BSB has placed the words </w:t>
      </w:r>
      <w:r>
        <w:rPr>
          <w:i/>
          <w:lang w:val="en_US" w:bidi="en_US"/>
        </w:rPr>
        <w:t>Mary asked the angel</w:t>
      </w:r>
      <w:r>
        <w:rPr>
          <w:lang w:val="en_US" w:bidi="en_US"/>
        </w:rPr>
        <w:t xml:space="preserve"> in the middle of what Mary asked the angel in 1:34a–b. Place these words where it is natural in your language.</w:t>
      </w:r>
    </w:p>
    <w:p>
      <w:pPr>
        <w:pStyle w:val="Heading5"/>
      </w:pPr>
      <w:r>
        <w:rPr>
          <w:lang w:val="en_US" w:bidi="en_US"/>
        </w:rPr>
        <w:t>1:34b</w:t>
      </w:r>
    </w:p>
    <w:p>
      <w:pPr/>
      <w:r>
        <w:rPr>
          <w:lang w:val="en_US" w:bidi="en_US"/>
        </w:rPr>
      </w:r>
      <w:r>
        <w:rPr>
          <w:b/>
          <w:lang w:val="en_US" w:bidi="en_US"/>
        </w:rPr>
        <w:t>“since I am a virgin?”</w:t>
      </w:r>
    </w:p>
    <w:p>
      <w:pPr>
        <w:pStyle w:val="ListBullet"/>
        <w:spacing w:line="240" w:lineRule="auto"/>
        <w:ind w:left="720"/>
      </w:pPr>
      <w:r>
        <w:rPr>
          <w:lang w:val="en_US" w:bidi="en_US"/>
        </w:rPr>
      </w:r>
      <w:r>
        <w:rPr>
          <w:lang w:val="en_US" w:bidi="en_US"/>
        </w:rPr>
        <w:t>because I have never had sexual intercourse with a man?</w:t>
      </w:r>
    </w:p>
    <w:p>
      <w:pPr>
        <w:pStyle w:val="ListBullet"/>
        <w:spacing w:line="240" w:lineRule="auto"/>
        <w:ind w:left="720"/>
      </w:pPr>
      <w:r>
        <w:rPr>
          <w:lang w:val="en_US" w:bidi="en_US"/>
        </w:rPr>
      </w:r>
      <w:r>
        <w:rPr>
          <w:lang w:val="en_US" w:bidi="en_US"/>
        </w:rPr>
        <w:t>I have not yet been with a man.”</w:t>
      </w:r>
    </w:p>
    <w:p>
      <w:pPr>
        <w:pStyle w:val="ListBullet"/>
        <w:spacing w:line="240" w:lineRule="auto"/>
        <w:ind w:left="720"/>
      </w:pPr>
      <w:r>
        <w:rPr>
          <w:lang w:val="en_US" w:bidi="en_US"/>
        </w:rPr>
      </w:r>
      <w:r>
        <w:rPr>
          <w:lang w:val="en_US" w:bidi="en_US"/>
        </w:rPr>
        <w:t>since she was a virgin.</w:t>
      </w:r>
    </w:p>
    <w:p>
      <w:pPr/>
      <w:r>
        <w:rPr>
          <w:lang w:val="en_US" w:bidi="en_US"/>
        </w:rPr>
      </w:r>
      <w:r>
        <w:rPr>
          <w:b/>
          <w:lang w:val="en_US" w:bidi="en_US"/>
        </w:rPr>
        <w:t>since I am a virgin:</w:t>
      </w:r>
      <w:r>
        <w:rPr>
          <w:lang w:val="en_US" w:bidi="en_US"/>
        </w:rPr>
        <w:t xml:space="preserve"> The </w:t>
      </w:r>
      <w:r>
        <w:rPr>
          <w:u w:val="single"/>
          <w:lang w:val="en_US" w:bidi="en_US"/>
        </w:rPr>
        <w:t>basis</w:t>
      </w:r>
      <w:r>
        <w:rPr>
          <w:lang w:val="en_US" w:bidi="en_US"/>
        </w:rPr>
        <w:t xml:space="preserve"> for Mary’s question in 1:34a is that she was a virgin. That is, because she was a virgin, she concluded that she could not have a baby. So she asked the angel to explain how this could happen.</w:t>
      </w:r>
    </w:p>
    <w:p>
      <w:pPr/>
      <w:r>
        <w:rPr>
          <w:lang w:val="en_US" w:bidi="en_US"/>
        </w:rPr>
      </w:r>
      <w:r>
        <w:rPr>
          <w:b/>
          <w:lang w:val="en_US" w:bidi="en_US"/>
        </w:rPr>
        <w:t>I am a virgin:</w:t>
      </w:r>
      <w:r>
        <w:rPr>
          <w:lang w:val="en_US" w:bidi="en_US"/>
        </w:rPr>
        <w:t xml:space="preserve"> The Greek clause that the BSB translates as </w:t>
      </w:r>
      <w:r>
        <w:rPr>
          <w:i/>
          <w:lang w:val="en_US" w:bidi="en_US"/>
        </w:rPr>
        <w:t>I am a virgin</w:t>
      </w:r>
      <w:r>
        <w:rPr>
          <w:lang w:val="en_US" w:bidi="en_US"/>
        </w:rPr>
        <w:t xml:space="preserve"> is literally “I do not know a man.” This phrase is a polite way to refer to the fact that Mary had never had sexual intercourse with a man. In some languages there may be an idiom for this. Be careful to use an expression that is not vulgar in your language.</w:t>
      </w:r>
    </w:p>
    <w:p>
      <w:pPr/>
      <w:r>
        <w:rPr>
          <w:lang w:val="en_US" w:bidi="en_US"/>
        </w:rPr>
      </w:r>
      <w:r>
        <w:rPr>
          <w:lang w:val="en_US" w:bidi="en_US"/>
        </w:rPr>
        <w:t>Some other ways to say this in English are:</w:t>
      </w:r>
    </w:p>
    <w:p>
      <w:pPr/>
      <w:r>
        <w:rPr>
          <w:lang w:val="en_US" w:bidi="en_US"/>
        </w:rPr>
      </w:r>
      <w:r>
        <w:rPr>
          <w:lang w:val="en_US" w:bidi="en_US"/>
        </w:rPr>
        <w:t>I have not been intimate with a man (NET)</w:t>
      </w:r>
    </w:p>
    <w:p>
      <w:pPr/>
      <w:r>
        <w:rPr>
          <w:lang w:val="en_US" w:bidi="en_US"/>
        </w:rPr>
      </w:r>
      <w:r>
        <w:rPr>
          <w:lang w:val="en_US" w:bidi="en_US"/>
        </w:rPr>
        <w:t>I am still a virgin (REB)</w:t>
      </w:r>
    </w:p>
    <w:p>
      <w:pPr/>
      <w:r>
        <w:rPr>
          <w:lang w:val="en_US" w:bidi="en_US"/>
        </w:rPr>
      </w:r>
      <w:r>
        <w:rPr>
          <w:lang w:val="en_US" w:bidi="en_US"/>
        </w:rPr>
        <w:t>I have not had sexual relations with a man</w:t>
      </w:r>
    </w:p>
    <w:p>
      <w:pPr>
        <w:pStyle w:val="Heading6"/>
      </w:pPr>
      <w:r>
        <w:rPr>
          <w:b/>
          <w:lang w:val="en_US" w:bidi="en_US"/>
        </w:rPr>
        <w:t>General Comment on 1:34a–b</w:t>
      </w:r>
    </w:p>
    <w:p>
      <w:pPr/>
      <w:r>
        <w:rPr>
          <w:lang w:val="en_US" w:bidi="en_US"/>
        </w:rPr>
      </w:r>
      <w:r>
        <w:rPr>
          <w:lang w:val="en_US" w:bidi="en_US"/>
        </w:rPr>
        <w:t>In some languages it may be more natural to reverse the order of 1:34a and 1:34b. For example:</w:t>
      </w:r>
    </w:p>
    <w:p>
      <w:pPr/>
      <w:r>
        <w:rPr>
          <w:lang w:val="en_US" w:bidi="en_US"/>
        </w:rPr>
      </w:r>
      <w:r>
        <w:rPr>
          <w:vertAlign w:val="superscript"/>
          <w:lang w:val="en_US" w:bidi="en_US"/>
        </w:rPr>
        <w:t>34b</w:t>
      </w:r>
      <w:r>
        <w:rPr>
          <w:lang w:val="en_US" w:bidi="en_US"/>
        </w:rPr>
        <w:t xml:space="preserve">“I have no husband, </w:t>
      </w:r>
      <w:r>
        <w:rPr>
          <w:vertAlign w:val="superscript"/>
          <w:lang w:val="en_US" w:bidi="en_US"/>
        </w:rPr>
        <w:t>34a</w:t>
      </w:r>
      <w:r>
        <w:rPr>
          <w:lang w:val="en_US" w:bidi="en_US"/>
        </w:rPr>
        <w:t xml:space="preserve"> so how can this happen?” Mary asked the angel.</w:t>
      </w:r>
      <w:r>
        <w:rPr>
          <w:lang w:val="en_US" w:bidi="en_US"/>
        </w:rPr>
      </w:r>
      <w:r>
        <w:rPr>
          <w:lang w:val="en_US" w:bidi="en_US"/>
        </w:rPr>
      </w:r>
    </w:p>
    <w:p>
      <w:pPr/>
      <w:r>
        <w:rPr>
          <w:lang w:val="en_US" w:bidi="en_US"/>
        </w:rPr>
      </w:r>
    </w:p>
    <w:p>
      <w:pPr>
        <w:pStyle w:val="Heading2"/>
      </w:pPr>
      <w:r>
        <w:rPr>
          <w:lang w:val="en_US" w:bidi="en_US"/>
        </w:rPr>
        <w:t>Luke 1:35</w:t>
      </w:r>
      <w:r>
        <w:rPr>
          <w:lang w:val="en_US" w:bidi="en_US"/>
        </w:rPr>
      </w:r>
    </w:p>
    <w:p>
      <w:pPr>
        <w:pStyle w:val="Heading4"/>
      </w:pPr>
      <w:r>
        <w:rPr>
          <w:lang w:val="en_US" w:bidi="en_US"/>
        </w:rPr>
        <w:t>Section 1:26–38: An angel told Mary that Jesus would be born</w:t>
      </w:r>
    </w:p>
    <w:p>
      <w:pPr/>
      <w:r>
        <w:rPr>
          <w:lang w:val="en_US" w:bidi="en_US"/>
        </w:rPr>
      </w:r>
      <w:r>
        <w:rPr>
          <w:lang w:val="en_US" w:bidi="en_US"/>
        </w:rP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pPr/>
      <w:r>
        <w:rPr>
          <w:lang w:val="en_US" w:bidi="en_US"/>
        </w:rPr>
      </w:r>
      <w:r>
        <w:rPr>
          <w:lang w:val="en_US" w:bidi="en_US"/>
        </w:rPr>
        <w:t>Some other possible headings for this section are:</w:t>
      </w:r>
    </w:p>
    <w:p>
      <w:pPr/>
      <w:r>
        <w:rPr>
          <w:lang w:val="en_US" w:bidi="en_US"/>
        </w:rPr>
      </w:r>
      <w:r>
        <w:rPr>
          <w:lang w:val="en_US" w:bidi="en_US"/>
        </w:rPr>
        <w:t>The angel Gabriel predicts the virgin birth of Jesus the Christ</w:t>
      </w:r>
    </w:p>
    <w:p>
      <w:pPr/>
      <w:r>
        <w:rPr>
          <w:lang w:val="en_US" w:bidi="en_US"/>
        </w:rPr>
      </w:r>
      <w:r>
        <w:rPr>
          <w:lang w:val="en_US" w:bidi="en_US"/>
        </w:rPr>
        <w:t>Angel Gabriel announces to the virgin Mary that God will cause her to give birth to a son</w:t>
      </w:r>
    </w:p>
    <w:p>
      <w:pPr/>
      <w:r>
        <w:rPr>
          <w:lang w:val="en_US" w:bidi="en_US"/>
        </w:rPr>
      </w:r>
      <w:r>
        <w:rPr>
          <w:lang w:val="en_US" w:bidi="en_US"/>
        </w:rPr>
        <w:t>The Birth of Jesus is Announced (GNT)</w:t>
      </w:r>
    </w:p>
    <w:p>
      <w:pPr>
        <w:pStyle w:val="Heading5"/>
      </w:pPr>
      <w:r>
        <w:rPr>
          <w:lang w:val="en_US" w:bidi="en_US"/>
        </w:rPr>
        <w:t>1:35a–b</w:t>
      </w:r>
    </w:p>
    <w:p>
      <w:pPr/>
      <w:r>
        <w:rPr>
          <w:lang w:val="en_US" w:bidi="en_US"/>
        </w:rPr>
      </w:r>
      <w:r>
        <w:rPr>
          <w:lang w:val="en_US" w:bidi="en_US"/>
        </w:rPr>
        <w:t>The two parts of this verse are very similar in meaning. The phrases “The Holy Spirit” and “the power of the Most High” are similar. The phrases “will come upon you” and “will overshadow you” are similar.</w:t>
      </w:r>
    </w:p>
    <w:p>
      <w:pPr/>
      <w:r>
        <w:rPr>
          <w:lang w:val="en_US" w:bidi="en_US"/>
        </w:rPr>
      </w:r>
      <w:r>
        <w:rPr>
          <w:lang w:val="en_US" w:bidi="en_US"/>
        </w:rPr>
        <w:t>In some languages, it may be confusing to repeat the same meaning in different words here. It may imply that the angel was making two separate statements that had different meanings. If that is true in your language, you may need to translate the parts of the verse in a different way. See the General Comment on 1:35a–b at the end of the notes on 1:35b for a suggestion.</w:t>
      </w:r>
    </w:p>
    <w:p>
      <w:pPr>
        <w:pStyle w:val="Heading5"/>
      </w:pPr>
      <w:r>
        <w:rPr>
          <w:lang w:val="en_US" w:bidi="en_US"/>
        </w:rPr>
        <w:t>1:35a</w:t>
      </w:r>
    </w:p>
    <w:p>
      <w:pPr/>
      <w:r>
        <w:rPr>
          <w:lang w:val="en_US" w:bidi="en_US"/>
        </w:rPr>
      </w:r>
      <w:r>
        <w:rPr>
          <w:b/>
          <w:lang w:val="en_US" w:bidi="en_US"/>
        </w:rPr>
        <w:t>The angel replied, “The Holy Spirit will come upon you,</w:t>
      </w:r>
    </w:p>
    <w:p>
      <w:pPr>
        <w:pStyle w:val="ListBullet"/>
        <w:spacing w:line="240" w:lineRule="auto"/>
        <w:ind w:left="720"/>
      </w:pPr>
      <w:r>
        <w:rPr>
          <w:lang w:val="en_US" w:bidi="en_US"/>
        </w:rPr>
      </w:r>
      <w:r>
        <w:rPr>
          <w:lang w:val="en_US" w:bidi="en_US"/>
        </w:rPr>
        <w:t>¶ The angel answered, “The Holy Spirit will come to you.</w:t>
      </w:r>
      <w:r>
        <w:rPr>
          <w:vertAlign w:val="superscript"/>
          <w:lang w:val="en_US" w:bidi="en_US"/>
        </w:rPr>
        <w:t>(sing)</w:t>
      </w:r>
    </w:p>
    <w:p>
      <w:pPr>
        <w:pStyle w:val="ListBullet"/>
        <w:spacing w:line="240" w:lineRule="auto"/>
        <w:ind w:left="720"/>
      </w:pPr>
      <w:r>
        <w:rPr>
          <w:lang w:val="en_US" w:bidi="en_US"/>
        </w:rPr>
      </w:r>
      <w:r>
        <w:rPr>
          <w:lang w:val="en_US" w:bidi="en_US"/>
        </w:rPr>
        <w:t>¶ The angel said to Mary, “</w:t>
      </w:r>
      <w:r>
        <w:rPr>
          <w:lang w:val="en_US" w:bidi="en_US"/>
        </w:rPr>
        <w:t>It will happen in this way:</w:t>
      </w:r>
      <w:r>
        <w:rPr>
          <w:lang w:val="en_US" w:bidi="en_US"/>
        </w:rPr>
        <w:t xml:space="preserve"> the Holy Spirit </w:t>
      </w:r>
      <w:r>
        <w:rPr>
          <w:lang w:val="en_US" w:bidi="en_US"/>
        </w:rPr>
        <w:t>of God</w:t>
      </w:r>
      <w:r>
        <w:rPr>
          <w:lang w:val="en_US" w:bidi="en_US"/>
        </w:rPr>
        <w:t xml:space="preserve"> will surround you.</w:t>
      </w:r>
      <w:r>
        <w:rPr>
          <w:vertAlign w:val="superscript"/>
          <w:lang w:val="en_US" w:bidi="en_US"/>
        </w:rPr>
        <w:t>(sing)</w:t>
      </w:r>
    </w:p>
    <w:p>
      <w:pPr>
        <w:pStyle w:val="ListBullet"/>
        <w:spacing w:line="240" w:lineRule="auto"/>
        <w:ind w:left="720"/>
      </w:pPr>
      <w:r>
        <w:rPr>
          <w:lang w:val="en_US" w:bidi="en_US"/>
        </w:rPr>
      </w:r>
      <w:r>
        <w:rPr>
          <w:lang w:val="en_US" w:bidi="en_US"/>
        </w:rPr>
        <w:t>¶ The angel said, “The Holy Spirit will come and work powerfully within you,</w:t>
      </w:r>
    </w:p>
    <w:p>
      <w:pPr/>
      <w:r>
        <w:rPr>
          <w:lang w:val="en_US" w:bidi="en_US"/>
        </w:rPr>
      </w:r>
      <w:r>
        <w:rPr>
          <w:b/>
          <w:lang w:val="en_US" w:bidi="en_US"/>
        </w:rPr>
        <w:t>The angel replied:</w:t>
      </w:r>
      <w:r>
        <w:rPr>
          <w:lang w:val="en_US" w:bidi="en_US"/>
        </w:rPr>
        <w:t xml:space="preserve"> These words introduce the answer to the question that Mary asked in 1:34a. In some languages it may be necessary to make this clear by repeating part of Mary’s question in the angel’s answer. For example:</w:t>
      </w:r>
    </w:p>
    <w:p>
      <w:pPr/>
      <w:r>
        <w:rPr>
          <w:lang w:val="en_US" w:bidi="en_US"/>
        </w:rPr>
      </w:r>
      <w:r>
        <w:rPr>
          <w:lang w:val="en_US" w:bidi="en_US"/>
        </w:rPr>
        <w:t>The angel answered, “</w:t>
      </w:r>
      <w:r>
        <w:rPr>
          <w:lang w:val="en_US" w:bidi="en_US"/>
        </w:rPr>
        <w:t>It will happen in this way:</w:t>
      </w:r>
      <w:r>
        <w:rPr>
          <w:lang w:val="en_US" w:bidi="en_US"/>
        </w:rPr>
        <w:t>….”</w:t>
      </w:r>
    </w:p>
    <w:p>
      <w:pPr/>
      <w:r>
        <w:rPr>
          <w:lang w:val="en_US" w:bidi="en_US"/>
        </w:rPr>
      </w:r>
      <w:r>
        <w:rPr>
          <w:b/>
          <w:lang w:val="en_US" w:bidi="en_US"/>
        </w:rPr>
        <w:t>angel:</w:t>
      </w:r>
      <w:r>
        <w:rPr>
          <w:lang w:val="en_US" w:bidi="en_US"/>
        </w:rPr>
        <w:t xml:space="preserve"> See the note at 1:11a for suggestions about how to translate the word angel. See also angel, Meaning 1, in the Glossary.</w:t>
      </w:r>
    </w:p>
    <w:p>
      <w:pPr/>
      <w:r>
        <w:rPr>
          <w:lang w:val="en_US" w:bidi="en_US"/>
        </w:rPr>
      </w:r>
      <w:r>
        <w:rPr>
          <w:b/>
          <w:lang w:val="en_US" w:bidi="en_US"/>
        </w:rPr>
        <w:t>The Holy Spirit will come upon you:</w:t>
      </w:r>
      <w:r>
        <w:rPr>
          <w:lang w:val="en_US" w:bidi="en_US"/>
        </w:rPr>
        <w:t xml:space="preserve"> The Greek expression that the BSB translates as </w:t>
      </w:r>
      <w:r>
        <w:rPr>
          <w:i/>
          <w:lang w:val="en_US" w:bidi="en_US"/>
        </w:rPr>
        <w:t>The Holy Spirit will come upon you</w:t>
      </w:r>
      <w:r>
        <w:rPr>
          <w:lang w:val="en_US" w:bidi="en_US"/>
        </w:rPr>
        <w:t xml:space="preserve"> means here that the Holy Spirit would come to Mary. He would do a powerful miracle in her body. He would cause her to become pregnant. Use a natural way in your language to speak about God or a spirit coming to do good in a person. Not all languages will use the expression “come </w:t>
      </w:r>
      <w:r>
        <w:rPr>
          <w:u w:val="single"/>
          <w:lang w:val="en_US" w:bidi="en_US"/>
        </w:rPr>
        <w:t>upon</w:t>
      </w:r>
      <w:r>
        <w:rPr>
          <w:lang w:val="en_US" w:bidi="en_US"/>
        </w:rPr>
        <w:t>.” Some other ways to express the idea are:</w:t>
      </w:r>
    </w:p>
    <w:p>
      <w:pPr/>
      <w:r>
        <w:rPr>
          <w:lang w:val="en_US" w:bidi="en_US"/>
        </w:rPr>
      </w:r>
      <w:r>
        <w:rPr>
          <w:lang w:val="en_US" w:bidi="en_US"/>
        </w:rPr>
        <w:t>The Holy Spirit will come to you (GW)</w:t>
      </w:r>
    </w:p>
    <w:p>
      <w:pPr/>
      <w:r>
        <w:rPr>
          <w:lang w:val="en_US" w:bidi="en_US"/>
        </w:rPr>
      </w:r>
      <w:r>
        <w:rPr>
          <w:lang w:val="en_US" w:bidi="en_US"/>
        </w:rPr>
        <w:t>The Holy Spirit will surround/ envelop you</w:t>
      </w:r>
    </w:p>
    <w:p>
      <w:pPr/>
      <w:r>
        <w:rPr>
          <w:lang w:val="en_US" w:bidi="en_US"/>
        </w:rPr>
      </w:r>
      <w:r>
        <w:rPr>
          <w:lang w:val="en_US" w:bidi="en_US"/>
        </w:rPr>
        <w:t>In some languages there is an expression for an evil spirit coming to control someone for an evil purpose. Do not use an expression like that here if it would imply that the Holy Spirit would come for an evil purpose. The expression should not imply that the Holy Spirit would rape Mary or have sexual relations with her.</w:t>
      </w:r>
    </w:p>
    <w:p>
      <w:pPr/>
      <w:r>
        <w:rPr>
          <w:lang w:val="en_US" w:bidi="en_US"/>
        </w:rPr>
      </w:r>
      <w:r>
        <w:rPr>
          <w:b/>
          <w:lang w:val="en_US" w:bidi="en_US"/>
        </w:rPr>
        <w:t>The Holy Spirit:</w:t>
      </w:r>
      <w:r>
        <w:rPr>
          <w:lang w:val="en_US" w:bidi="en_US"/>
        </w:rPr>
        <w:t xml:space="preserve"> The term </w:t>
      </w:r>
      <w:r>
        <w:rPr>
          <w:i/>
          <w:lang w:val="en_US" w:bidi="en_US"/>
        </w:rPr>
        <w:t>Holy Spirit</w:t>
      </w:r>
      <w:r>
        <w:rPr>
          <w:lang w:val="en_US" w:bidi="en_US"/>
        </w:rPr>
        <w:t xml:space="preserve"> also occurs in 1:15c. See the note there for help in how to translate this term.</w:t>
      </w:r>
    </w:p>
    <w:p>
      <w:pPr>
        <w:pStyle w:val="Heading5"/>
      </w:pPr>
      <w:r>
        <w:rPr>
          <w:lang w:val="en_US" w:bidi="en_US"/>
        </w:rPr>
        <w:t>1:35b</w:t>
      </w:r>
    </w:p>
    <w:p>
      <w:pPr/>
      <w:r>
        <w:rPr>
          <w:lang w:val="en_US" w:bidi="en_US"/>
        </w:rPr>
      </w:r>
      <w:r>
        <w:rPr>
          <w:b/>
          <w:lang w:val="en_US" w:bidi="en_US"/>
        </w:rPr>
        <w:t>and the power of the Most High will overshadow you.</w:t>
      </w:r>
    </w:p>
    <w:p>
      <w:pPr>
        <w:pStyle w:val="ListBullet"/>
        <w:spacing w:line="240" w:lineRule="auto"/>
        <w:ind w:left="720"/>
      </w:pPr>
      <w:r>
        <w:rPr>
          <w:lang w:val="en_US" w:bidi="en_US"/>
        </w:rPr>
      </w:r>
      <w:r>
        <w:rPr>
          <w:lang w:val="en_US" w:bidi="en_US"/>
        </w:rPr>
        <w:t xml:space="preserve">The power of the Most High </w:t>
      </w:r>
      <w:r>
        <w:rPr>
          <w:lang w:val="en_US" w:bidi="en_US"/>
        </w:rPr>
        <w:t>God</w:t>
      </w:r>
      <w:r>
        <w:rPr>
          <w:lang w:val="en_US" w:bidi="en_US"/>
        </w:rPr>
        <w:t xml:space="preserve"> will cover you</w:t>
      </w:r>
      <w:r>
        <w:rPr>
          <w:vertAlign w:val="superscript"/>
          <w:lang w:val="en_US" w:bidi="en_US"/>
        </w:rPr>
        <w:t>(sing)</w:t>
      </w:r>
      <w:r>
        <w:rPr>
          <w:lang w:val="en_US" w:bidi="en_US"/>
        </w:rPr>
        <w:t xml:space="preserve"> like a shadow, and</w:t>
      </w:r>
    </w:p>
    <w:p>
      <w:pPr>
        <w:pStyle w:val="ListBullet"/>
        <w:spacing w:line="240" w:lineRule="auto"/>
        <w:ind w:left="720"/>
      </w:pPr>
      <w:r>
        <w:rPr>
          <w:lang w:val="en_US" w:bidi="en_US"/>
        </w:rPr>
      </w:r>
      <w:r>
        <w:rPr>
          <w:lang w:val="en_US" w:bidi="en_US"/>
        </w:rPr>
        <w:t>God,</w:t>
      </w:r>
      <w:r>
        <w:rPr>
          <w:lang w:val="en_US" w:bidi="en_US"/>
        </w:rPr>
        <w:t xml:space="preserve"> who is higher/greater than all things, will powerfully/mightily work in you.</w:t>
      </w:r>
    </w:p>
    <w:p>
      <w:pPr>
        <w:pStyle w:val="ListBullet"/>
        <w:spacing w:line="240" w:lineRule="auto"/>
        <w:ind w:left="720"/>
      </w:pPr>
      <w:r>
        <w:rPr>
          <w:lang w:val="en_US" w:bidi="en_US"/>
        </w:rPr>
      </w:r>
      <w:r>
        <w:rPr>
          <w:lang w:val="en_US" w:bidi="en_US"/>
        </w:rPr>
        <w:t xml:space="preserve">and the power of </w:t>
      </w:r>
      <w:r>
        <w:rPr>
          <w:lang w:val="en_US" w:bidi="en_US"/>
        </w:rPr>
        <w:t>God</w:t>
      </w:r>
      <w:r>
        <w:rPr>
          <w:lang w:val="en_US" w:bidi="en_US"/>
        </w:rPr>
        <w:t xml:space="preserve">, the One who is Supreme, will be present with you </w:t>
      </w:r>
      <w:r>
        <w:rPr>
          <w:lang w:val="en_US" w:bidi="en_US"/>
        </w:rPr>
        <w:t>to cause you to conceive</w:t>
      </w:r>
      <w:r>
        <w:rPr>
          <w:lang w:val="en_US" w:bidi="en_US"/>
        </w:rPr>
        <w:t>.</w:t>
      </w:r>
    </w:p>
    <w:p>
      <w:pPr/>
      <w:r>
        <w:rPr>
          <w:lang w:val="en_US" w:bidi="en_US"/>
        </w:rPr>
      </w:r>
      <w:r>
        <w:rPr>
          <w:b/>
          <w:lang w:val="en_US" w:bidi="en_US"/>
        </w:rPr>
        <w:t>the power of the Most High will overshadow you:</w:t>
      </w:r>
      <w:r>
        <w:rPr>
          <w:lang w:val="en_US" w:bidi="en_US"/>
        </w:rPr>
        <w:t xml:space="preserve"> The phrase </w:t>
      </w:r>
      <w:r>
        <w:rPr>
          <w:i/>
          <w:lang w:val="en_US" w:bidi="en_US"/>
        </w:rPr>
        <w:t>the power of the Most High will overshadow you</w:t>
      </w:r>
      <w:r>
        <w:rPr>
          <w:lang w:val="en_US" w:bidi="en_US"/>
        </w:rPr>
        <w:t xml:space="preserve"> has almost the same meaning as “the Holy Spirit will come upon you” in 1:35a. The verb </w:t>
      </w:r>
      <w:r>
        <w:rPr>
          <w:i/>
          <w:lang w:val="en_US" w:bidi="en_US"/>
        </w:rPr>
        <w:t>overshadow</w:t>
      </w:r>
      <w:r>
        <w:rPr>
          <w:lang w:val="en_US" w:bidi="en_US"/>
        </w:rPr>
        <w:t xml:space="preserve"> is used here in a figurative way. It literally means “to cast a shadow over” or “to shade.”</w:t>
      </w:r>
      <w:r>
        <w:rPr>
          <w:lang w:val="en_US" w:bidi="en_US"/>
        </w:rPr>
        <w:t>For example, Mark 9:7 in the CEV says: “The shadow of a cloud passed over and covered them.”</w:t>
      </w:r>
      <w:r>
        <w:rPr>
          <w:lang w:val="en_US" w:bidi="en_US"/>
        </w:rPr>
        <w:t xml:space="preserve"> In this context it indicates that God will powerfully work in Mary to cause her to conceive Jesus.</w:t>
      </w:r>
      <w:r>
        <w:rPr>
          <w:lang w:val="en_US" w:bidi="en_US"/>
        </w:rPr>
        <w:t>Many scholars see here an allusion to the cloud that led the Israelites in the time of the Exodus and filled the Tent of Meeting with the glory of God (see Exodus 40:35 and Numbers 9:18). In other OT passages, the word means “cover” and speaks of the protecting presence of God (see Psalm 91:4 and Psalm 139:8). But in this context, God’s presence does not come to protect Mary so much as to work the miracle of the virgin conception and birth.</w:t>
      </w:r>
      <w:r>
        <w:rPr>
          <w:lang w:val="en_US" w:bidi="en_US"/>
        </w:rPr>
        <w:t xml:space="preserve"> It speaks of God’s power surrounding Mary the way a cloud covers or surrounds something.</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 xml:space="preserve">Use an expression based on the </w:t>
      </w:r>
      <w:r>
        <w:rPr>
          <w:u w:val="single"/>
          <w:lang w:val="en_US" w:bidi="en_US"/>
        </w:rPr>
        <w:t>figurative</w:t>
      </w:r>
      <w:r>
        <w:rPr>
          <w:lang w:val="en_US" w:bidi="en_US"/>
        </w:rPr>
        <w:t xml:space="preserve"> meaning of this verb. For example:</w:t>
      </w:r>
      <w:r>
        <w:rPr>
          <w:lang w:val="en_US" w:bidi="en_US"/>
        </w:rPr>
        <w:t xml:space="preserve">the power of the Most High </w:t>
      </w:r>
      <w:r>
        <w:rPr>
          <w:lang w:val="en_US" w:bidi="en_US"/>
        </w:rPr>
        <w:t>God</w:t>
      </w:r>
      <w:r>
        <w:rPr>
          <w:lang w:val="en_US" w:bidi="en_US"/>
        </w:rPr>
        <w:t xml:space="preserve"> will cover you</w:t>
      </w:r>
      <w:r>
        <w:rPr>
          <w:lang w:val="en_US" w:bidi="en_US"/>
        </w:rPr>
        <w:t>God, who is greater than all gods, will completely surround you with his power the way a cloud shades the earth</w:t>
      </w:r>
    </w:p>
    <w:p>
      <w:pPr>
        <w:pStyle w:val="ListBullet"/>
        <w:spacing w:line="240" w:lineRule="auto"/>
        <w:ind w:left="720"/>
      </w:pPr>
      <w:r>
        <w:rPr>
          <w:lang w:val="en_US" w:bidi="en_US"/>
        </w:rPr>
      </w:r>
      <w:r>
        <w:rPr>
          <w:lang w:val="en_US" w:bidi="en_US"/>
        </w:rPr>
        <w:t>Translate the meaning without the figurative language. For example:</w:t>
      </w:r>
      <w:r>
        <w:rPr>
          <w:lang w:val="en_US" w:bidi="en_US"/>
        </w:rPr>
        <w:t>the power of the Most High will be present with you</w:t>
      </w:r>
      <w:r>
        <w:rPr>
          <w:lang w:val="en_US" w:bidi="en_US"/>
        </w:rPr>
        <w:t>God’s power will completely surround/envelop you</w:t>
      </w:r>
      <w:r>
        <w:rPr>
          <w:lang w:val="en_US" w:bidi="en_US"/>
        </w:rPr>
        <w:t>the Most High will be present with you and his power will work in you</w:t>
      </w:r>
    </w:p>
    <w:p>
      <w:pPr/>
      <w:r>
        <w:rPr>
          <w:lang w:val="en_US" w:bidi="en_US"/>
        </w:rPr>
      </w:r>
      <w:r>
        <w:rPr>
          <w:lang w:val="en_US" w:bidi="en_US"/>
        </w:rPr>
        <w:t>You may also want to make explicit what God’s power and presence would accomplish in Mary. For example:</w:t>
      </w:r>
    </w:p>
    <w:p>
      <w:pPr/>
      <w:r>
        <w:rPr>
          <w:lang w:val="en_US" w:bidi="en_US"/>
        </w:rPr>
      </w:r>
      <w:r>
        <w:rPr>
          <w:lang w:val="en_US" w:bidi="en_US"/>
        </w:rPr>
        <w:t xml:space="preserve">the power of the Most High will be present with you </w:t>
      </w:r>
      <w:r>
        <w:rPr>
          <w:lang w:val="en_US" w:bidi="en_US"/>
        </w:rPr>
        <w:t>and cause you to become pregnant</w:t>
      </w:r>
    </w:p>
    <w:p>
      <w:pPr/>
      <w:r>
        <w:rPr>
          <w:lang w:val="en_US" w:bidi="en_US"/>
        </w:rPr>
      </w:r>
      <w:r>
        <w:rPr>
          <w:lang w:val="en_US" w:bidi="en_US"/>
        </w:rPr>
        <w:t xml:space="preserve">The power of the Greatest/Highest </w:t>
      </w:r>
      <w:r>
        <w:rPr>
          <w:lang w:val="en_US" w:bidi="en_US"/>
        </w:rPr>
        <w:t>God</w:t>
      </w:r>
      <w:r>
        <w:rPr>
          <w:lang w:val="en_US" w:bidi="en_US"/>
        </w:rPr>
        <w:t xml:space="preserve"> will come over you </w:t>
      </w:r>
      <w:r>
        <w:rPr>
          <w:lang w:val="en_US" w:bidi="en_US"/>
        </w:rPr>
        <w:t>to cause you to conceive</w:t>
      </w:r>
    </w:p>
    <w:p>
      <w:pPr/>
      <w:r>
        <w:rPr>
          <w:lang w:val="en_US" w:bidi="en_US"/>
        </w:rPr>
      </w:r>
      <w:r>
        <w:rPr>
          <w:b/>
          <w:lang w:val="en_US" w:bidi="en_US"/>
        </w:rPr>
        <w:t>the Most High:</w:t>
      </w:r>
      <w:r>
        <w:rPr>
          <w:lang w:val="en_US" w:bidi="en_US"/>
        </w:rPr>
        <w:t xml:space="preserve"> The expression </w:t>
      </w:r>
      <w:r>
        <w:rPr>
          <w:i/>
          <w:lang w:val="en_US" w:bidi="en_US"/>
        </w:rPr>
        <w:t>the Most High</w:t>
      </w:r>
      <w:r>
        <w:rPr>
          <w:lang w:val="en_US" w:bidi="en_US"/>
        </w:rPr>
        <w:t xml:space="preserve"> is a title for God. Some ways to translate this are:</w:t>
      </w:r>
    </w:p>
    <w:p>
      <w:pPr/>
      <w:r>
        <w:rPr>
          <w:lang w:val="en_US" w:bidi="en_US"/>
        </w:rPr>
      </w:r>
      <w:r>
        <w:rPr>
          <w:lang w:val="en_US" w:bidi="en_US"/>
        </w:rPr>
        <w:t>the One who is higher than all things</w:t>
      </w:r>
    </w:p>
    <w:p>
      <w:pPr/>
      <w:r>
        <w:rPr>
          <w:lang w:val="en_US" w:bidi="en_US"/>
        </w:rPr>
      </w:r>
      <w:r>
        <w:rPr>
          <w:lang w:val="en_US" w:bidi="en_US"/>
        </w:rPr>
        <w:t>the One who is the greatest</w:t>
      </w:r>
    </w:p>
    <w:p>
      <w:pPr/>
      <w:r>
        <w:rPr>
          <w:lang w:val="en_US" w:bidi="en_US"/>
        </w:rPr>
      </w:r>
      <w:r>
        <w:rPr>
          <w:lang w:val="en_US" w:bidi="en_US"/>
        </w:rPr>
        <w:t>the Most High God</w:t>
      </w:r>
    </w:p>
    <w:p>
      <w:pPr/>
      <w:r>
        <w:rPr>
          <w:lang w:val="en_US" w:bidi="en_US"/>
        </w:rPr>
      </w:r>
      <w:r>
        <w:rPr>
          <w:lang w:val="en_US" w:bidi="en_US"/>
        </w:rPr>
        <w:t>God</w:t>
      </w:r>
      <w:r>
        <w:rPr>
          <w:lang w:val="en_US" w:bidi="en_US"/>
        </w:rPr>
        <w:t xml:space="preserve"> , the One who is the Most High</w:t>
      </w:r>
    </w:p>
    <w:p>
      <w:pPr/>
      <w:r>
        <w:rPr>
          <w:lang w:val="en_US" w:bidi="en_US"/>
        </w:rPr>
      </w:r>
      <w:r>
        <w:rPr>
          <w:lang w:val="en_US" w:bidi="en_US"/>
        </w:rPr>
        <w:t xml:space="preserve">See the note on 1:32b for a more complete discussion of </w:t>
      </w:r>
      <w:r>
        <w:rPr>
          <w:i/>
          <w:lang w:val="en_US" w:bidi="en_US"/>
        </w:rPr>
        <w:t>the Most High</w:t>
      </w:r>
      <w:r>
        <w:rPr>
          <w:lang w:val="en_US" w:bidi="en_US"/>
        </w:rPr>
        <w:t>.</w:t>
      </w:r>
    </w:p>
    <w:p>
      <w:pPr>
        <w:pStyle w:val="Heading6"/>
      </w:pPr>
      <w:r>
        <w:rPr>
          <w:b/>
          <w:lang w:val="en_US" w:bidi="en_US"/>
        </w:rPr>
        <w:t>General Comment on 1:35a–b</w:t>
      </w:r>
    </w:p>
    <w:p>
      <w:pPr/>
      <w:r>
        <w:rPr>
          <w:lang w:val="en_US" w:bidi="en_US"/>
        </w:rPr>
      </w:r>
      <w:r>
        <w:rPr>
          <w:lang w:val="en_US" w:bidi="en_US"/>
        </w:rPr>
        <w:t>The clauses in 1:35a and 1:35b have similar meanings. In some languages it may be necessary to make this clear by arranging the information in a different way. For example:</w:t>
      </w:r>
    </w:p>
    <w:p>
      <w:pPr/>
      <w:r>
        <w:rPr>
          <w:lang w:val="en_US" w:bidi="en_US"/>
        </w:rPr>
      </w:r>
      <w:r>
        <w:rPr>
          <w:lang w:val="en_US" w:bidi="en_US"/>
        </w:rPr>
        <w:t>The angel answered, “The Holy Spirit of the Most High God will come to you and work powerfully within you.…”</w:t>
      </w:r>
    </w:p>
    <w:p>
      <w:pPr>
        <w:pStyle w:val="Heading5"/>
      </w:pPr>
      <w:r>
        <w:rPr>
          <w:lang w:val="en_US" w:bidi="en_US"/>
        </w:rPr>
        <w:t>1:35c</w:t>
      </w:r>
    </w:p>
    <w:p>
      <w:pPr/>
      <w:r>
        <w:rPr>
          <w:lang w:val="en_US" w:bidi="en_US"/>
        </w:rPr>
      </w:r>
      <w:r>
        <w:rPr>
          <w:b/>
          <w:lang w:val="en_US" w:bidi="en_US"/>
        </w:rPr>
        <w:t>So the Holy One to be born will be called the Son of God.</w:t>
      </w:r>
    </w:p>
    <w:p>
      <w:pPr>
        <w:pStyle w:val="ListBullet"/>
        <w:spacing w:line="240" w:lineRule="auto"/>
        <w:ind w:left="720"/>
      </w:pPr>
      <w:r>
        <w:rPr>
          <w:lang w:val="en_US" w:bidi="en_US"/>
        </w:rPr>
      </w:r>
      <w:r>
        <w:rPr>
          <w:lang w:val="en_US" w:bidi="en_US"/>
        </w:rPr>
        <w:t xml:space="preserve">therefore the holy </w:t>
      </w:r>
      <w:r>
        <w:rPr>
          <w:lang w:val="en_US" w:bidi="en_US"/>
        </w:rPr>
        <w:t>child</w:t>
      </w:r>
      <w:r>
        <w:rPr>
          <w:lang w:val="en_US" w:bidi="en_US"/>
        </w:rPr>
        <w:t xml:space="preserve"> to whom </w:t>
      </w:r>
      <w:r>
        <w:rPr>
          <w:lang w:val="en_US" w:bidi="en_US"/>
        </w:rPr>
        <w:t>you</w:t>
      </w:r>
      <w:r>
        <w:rPr>
          <w:vertAlign w:val="superscript"/>
          <w:lang w:val="en_US" w:bidi="en_US"/>
        </w:rPr>
        <w:t>(sing)</w:t>
      </w:r>
      <w:r>
        <w:rPr>
          <w:lang w:val="en_US" w:bidi="en_US"/>
        </w:rPr>
        <w:t xml:space="preserve"> will give birth will be called ‘Son of God.’</w:t>
      </w:r>
    </w:p>
    <w:p>
      <w:pPr>
        <w:pStyle w:val="ListBullet"/>
        <w:spacing w:line="240" w:lineRule="auto"/>
        <w:ind w:left="720"/>
      </w:pPr>
      <w:r>
        <w:rPr>
          <w:lang w:val="en_US" w:bidi="en_US"/>
        </w:rPr>
      </w:r>
      <w:r>
        <w:rPr>
          <w:lang w:val="en_US" w:bidi="en_US"/>
        </w:rPr>
        <w:t xml:space="preserve">For that reason </w:t>
      </w:r>
      <w:r>
        <w:rPr>
          <w:lang w:val="en_US" w:bidi="en_US"/>
        </w:rPr>
        <w:t>they</w:t>
      </w:r>
      <w:r>
        <w:rPr>
          <w:lang w:val="en_US" w:bidi="en_US"/>
        </w:rPr>
        <w:t xml:space="preserve"> will call your holy son the Son of God.</w:t>
      </w:r>
    </w:p>
    <w:p>
      <w:pPr>
        <w:pStyle w:val="ListBullet"/>
        <w:spacing w:line="240" w:lineRule="auto"/>
        <w:ind w:left="720"/>
      </w:pPr>
      <w:r>
        <w:rPr>
          <w:lang w:val="en_US" w:bidi="en_US"/>
        </w:rPr>
      </w:r>
      <w:r>
        <w:rPr>
          <w:lang w:val="en_US" w:bidi="en_US"/>
        </w:rPr>
        <w:t xml:space="preserve">So the </w:t>
      </w:r>
      <w:r>
        <w:rPr>
          <w:lang w:val="en_US" w:bidi="en_US"/>
        </w:rPr>
        <w:t>child</w:t>
      </w:r>
      <w:r>
        <w:rPr>
          <w:lang w:val="en_US" w:bidi="en_US"/>
        </w:rPr>
        <w:t xml:space="preserve"> who will be born </w:t>
      </w:r>
      <w:r>
        <w:rPr>
          <w:lang w:val="en_US" w:bidi="en_US"/>
        </w:rPr>
        <w:t>will be</w:t>
      </w:r>
      <w:r>
        <w:rPr>
          <w:lang w:val="en_US" w:bidi="en_US"/>
        </w:rPr>
        <w:t xml:space="preserve"> holy and will be recognized/known as the Son of God.</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here introduces the result of God’s work. 1:35c is the result of 1:35a–b. Another way to translate this is:</w:t>
      </w:r>
    </w:p>
    <w:p>
      <w:pPr/>
      <w:r>
        <w:rPr>
          <w:lang w:val="en_US" w:bidi="en_US"/>
        </w:rPr>
      </w:r>
      <w:r>
        <w:rPr>
          <w:u w:val="single"/>
          <w:lang w:val="en_US" w:bidi="en_US"/>
        </w:rPr>
        <w:t>For this reason</w:t>
      </w:r>
      <w:r>
        <w:rPr>
          <w:lang w:val="en_US" w:bidi="en_US"/>
        </w:rPr>
        <w:t xml:space="preserve"> the holy child will be called the Son of God. (GNT)</w:t>
      </w:r>
    </w:p>
    <w:p>
      <w:pPr/>
      <w:r>
        <w:rPr>
          <w:lang w:val="en_US" w:bidi="en_US"/>
        </w:rPr>
      </w:r>
      <w:r>
        <w:rPr>
          <w:b/>
          <w:lang w:val="en_US" w:bidi="en_US"/>
        </w:rPr>
        <w:t>the Holy One to be born will be called the Son of God:</w:t>
      </w:r>
      <w:r>
        <w:rPr>
          <w:lang w:val="en_US" w:bidi="en_US"/>
        </w:rPr>
        <w:t xml:space="preserve"> </w:t>
      </w:r>
      <w:r>
        <w:rPr>
          <w:lang w:val="en_US" w:bidi="en_US"/>
        </w:rPr>
        <w:t>There is a textual issue here. A few Greek manuscripts have “being born from you.” The earliest and best Greek manuscripts do not include the words “from you.” The manuscripts that include these words have later dates. However, in some languages it may be natural to include these words, for example, if the passive verb “be born” is translated as active.</w:t>
      </w:r>
      <w:r>
        <w:rPr>
          <w:lang w:val="en_US" w:bidi="en_US"/>
        </w:rPr>
        <w:t xml:space="preserve"> The Greek expression that the BSB translates as </w:t>
      </w:r>
      <w:r>
        <w:rPr>
          <w:i/>
          <w:lang w:val="en_US" w:bidi="en_US"/>
        </w:rPr>
        <w:t>the Holy One to be born</w:t>
      </w:r>
      <w:r>
        <w:rPr>
          <w:lang w:val="en_US" w:bidi="en_US"/>
        </w:rPr>
        <w:t xml:space="preserve"> refers to the holy child to whom Mary would give birth. There are different ways to express the Greek structure of 1:35c in English:</w:t>
      </w:r>
    </w:p>
    <w:p>
      <w:pPr/>
      <w:r>
        <w:rPr>
          <w:lang w:val="en_US" w:bidi="en_US"/>
        </w:rPr>
      </w:r>
      <w:r>
        <w:rPr>
          <w:lang w:val="en_US" w:bidi="en_US"/>
        </w:rPr>
        <w:t>the holy child to be born will be called Son of God (REB)</w:t>
      </w:r>
    </w:p>
    <w:p>
      <w:pPr/>
      <w:r>
        <w:rPr>
          <w:lang w:val="en_US" w:bidi="en_US"/>
        </w:rPr>
      </w:r>
      <w:r>
        <w:rPr>
          <w:lang w:val="en_US" w:bidi="en_US"/>
        </w:rPr>
        <w:t>the child to be born will be called holy, the Son of God (RSV)</w:t>
      </w:r>
    </w:p>
    <w:p>
      <w:pPr/>
      <w:r>
        <w:rPr>
          <w:lang w:val="en_US" w:bidi="en_US"/>
        </w:rPr>
      </w:r>
      <w:r>
        <w:rPr>
          <w:lang w:val="en_US" w:bidi="en_US"/>
        </w:rPr>
        <w:t>the child to be born will be holy; he will be called Son of God (NRSV)</w:t>
      </w:r>
    </w:p>
    <w:p>
      <w:pPr/>
      <w:r>
        <w:rPr>
          <w:lang w:val="en_US" w:bidi="en_US"/>
        </w:rPr>
      </w:r>
      <w:r>
        <w:rPr>
          <w:lang w:val="en_US" w:bidi="en_US"/>
        </w:rPr>
        <w:t>The meaning of these three examples is almost the same. Jesus would be holy, and he would be the Son of God, so people would also call him holy and “the Son of God". Some other ways to translate this are:</w:t>
      </w:r>
    </w:p>
    <w:p>
      <w:pPr/>
      <w:r>
        <w:rPr>
          <w:lang w:val="en_US" w:bidi="en_US"/>
        </w:rPr>
      </w:r>
      <w:r>
        <w:rPr>
          <w:lang w:val="en_US" w:bidi="en_US"/>
        </w:rPr>
        <w:t>the holy child who will be born will be called “Son of God”</w:t>
      </w:r>
    </w:p>
    <w:p>
      <w:pPr/>
      <w:r>
        <w:rPr>
          <w:lang w:val="en_US" w:bidi="en_US"/>
        </w:rPr>
      </w:r>
      <w:r>
        <w:rPr>
          <w:lang w:val="en_US" w:bidi="en_US"/>
        </w:rPr>
        <w:t>the baby to be born will be holy, and he will be called the Son of God (NLT)</w:t>
      </w:r>
    </w:p>
    <w:p>
      <w:pPr/>
      <w:r>
        <w:rPr>
          <w:lang w:val="en_US" w:bidi="en_US"/>
        </w:rPr>
      </w:r>
      <w:r>
        <w:rPr>
          <w:b/>
          <w:lang w:val="en_US" w:bidi="en_US"/>
        </w:rPr>
        <w:t>Holy One:</w:t>
      </w:r>
      <w:r>
        <w:rPr>
          <w:lang w:val="en_US" w:bidi="en_US"/>
        </w:rPr>
        <w:t xml:space="preserve"> Here the phrase </w:t>
      </w:r>
      <w:r>
        <w:rPr>
          <w:i/>
          <w:lang w:val="en_US" w:bidi="en_US"/>
        </w:rPr>
        <w:t>Holy One</w:t>
      </w:r>
      <w:r>
        <w:rPr>
          <w:lang w:val="en_US" w:bidi="en_US"/>
        </w:rPr>
        <w:t xml:space="preserve"> refers to the fact that Jesus is divine and has the same nature as God. He is perfect in every way and is completely pure and sinless. Because of these qualities, he is worthy of awe. Some ways to translate this are:</w:t>
      </w:r>
    </w:p>
    <w:p>
      <w:pPr/>
      <w:r>
        <w:rPr>
          <w:lang w:val="en_US" w:bidi="en_US"/>
        </w:rPr>
      </w:r>
      <w:r>
        <w:rPr>
          <w:lang w:val="en_US" w:bidi="en_US"/>
        </w:rPr>
        <w:t>the divine/holy child</w:t>
      </w:r>
    </w:p>
    <w:p>
      <w:pPr/>
      <w:r>
        <w:rPr>
          <w:lang w:val="en_US" w:bidi="en_US"/>
        </w:rPr>
      </w:r>
      <w:r>
        <w:rPr>
          <w:lang w:val="en_US" w:bidi="en_US"/>
        </w:rPr>
        <w:t>the pure one from God</w:t>
      </w:r>
    </w:p>
    <w:p>
      <w:pPr/>
      <w:r>
        <w:rPr>
          <w:lang w:val="en_US" w:bidi="en_US"/>
        </w:rPr>
      </w:r>
      <w:r>
        <w:rPr>
          <w:lang w:val="en_US" w:bidi="en_US"/>
        </w:rPr>
        <w:t xml:space="preserve">See the word </w:t>
      </w:r>
      <w:r>
        <w:rPr>
          <w:u w:val="single"/>
          <w:lang w:val="en_US" w:bidi="en_US"/>
        </w:rPr>
        <w:t>holy, sense A2</w:t>
      </w:r>
      <w:r>
        <w:rPr>
          <w:lang w:val="en_US" w:bidi="en_US"/>
        </w:rPr>
        <w:t>, in KBT.</w:t>
      </w:r>
    </w:p>
    <w:p>
      <w:pPr/>
      <w:r>
        <w:rPr>
          <w:lang w:val="en_US" w:bidi="en_US"/>
        </w:rPr>
      </w:r>
      <w:r>
        <w:rPr>
          <w:b/>
          <w:lang w:val="en_US" w:bidi="en_US"/>
        </w:rPr>
        <w:t>will be called the Son of God:</w:t>
      </w:r>
      <w:r>
        <w:rPr>
          <w:lang w:val="en_US" w:bidi="en_US"/>
        </w:rPr>
        <w:t xml:space="preserve"> The phrase </w:t>
      </w:r>
      <w:r>
        <w:rPr>
          <w:i/>
          <w:lang w:val="en_US" w:bidi="en_US"/>
        </w:rPr>
        <w:t>will be called the Son of God</w:t>
      </w:r>
      <w:r>
        <w:rPr>
          <w:lang w:val="en_US" w:bidi="en_US"/>
        </w:rPr>
        <w:t xml:space="preserve"> is similar to “will be called the Son of the Most High” in 1:32b. See the note there. It implies that Jesus will be described or addressed with the title </w:t>
      </w:r>
      <w:r>
        <w:rPr>
          <w:i/>
          <w:lang w:val="en_US" w:bidi="en_US"/>
        </w:rPr>
        <w:t>the Son of God</w:t>
      </w:r>
      <w:r>
        <w:rPr>
          <w:lang w:val="en_US" w:bidi="en_US"/>
        </w:rPr>
        <w:t xml:space="preserve">. He will receive this title because he actually </w:t>
      </w:r>
      <w:r>
        <w:rPr>
          <w:u w:val="single"/>
          <w:lang w:val="en_US" w:bidi="en_US"/>
        </w:rPr>
        <w:t>is</w:t>
      </w:r>
      <w:r>
        <w:rPr>
          <w:lang w:val="en_US" w:bidi="en_US"/>
        </w:rPr>
        <w:t xml:space="preserve"> the Son of God.</w:t>
      </w:r>
    </w:p>
    <w:p>
      <w:pPr/>
      <w:r>
        <w:rPr>
          <w:lang w:val="en_US" w:bidi="en_US"/>
        </w:rPr>
      </w:r>
      <w:r>
        <w:rPr>
          <w:lang w:val="en_US" w:bidi="en_US"/>
        </w:rPr>
        <w:t xml:space="preserve">The verb </w:t>
      </w:r>
      <w:r>
        <w:rPr>
          <w:i/>
          <w:lang w:val="en_US" w:bidi="en_US"/>
        </w:rPr>
        <w:t>will be called</w:t>
      </w:r>
      <w:r>
        <w:rPr>
          <w:lang w:val="en_US" w:bidi="en_US"/>
        </w:rPr>
        <w:t xml:space="preserve"> is passive. The text does not specify who will call Jesus this. In some languages, it may not be natural to translate the verb </w:t>
      </w:r>
      <w:r>
        <w:rPr>
          <w:i/>
          <w:lang w:val="en_US" w:bidi="en_US"/>
        </w:rPr>
        <w:t>will be called</w:t>
      </w:r>
      <w:r>
        <w:rPr>
          <w:lang w:val="en_US" w:bidi="en_US"/>
        </w:rPr>
        <w:t xml:space="preserve"> as passive. If that is true in your language, here are other ways to translate it:</w:t>
      </w:r>
    </w:p>
    <w:p>
      <w:pPr>
        <w:pStyle w:val="ListBullet"/>
        <w:spacing w:line="240" w:lineRule="auto"/>
        <w:ind w:left="720"/>
      </w:pPr>
      <w:r>
        <w:rPr>
          <w:lang w:val="en_US" w:bidi="en_US"/>
        </w:rPr>
      </w:r>
      <w:r>
        <w:rPr>
          <w:lang w:val="en_US" w:bidi="en_US"/>
        </w:rPr>
        <w:t>Use a different verb that does not require you to say who will use the title. For example:</w:t>
      </w:r>
      <w:r>
        <w:rPr>
          <w:lang w:val="en_US" w:bidi="en_US"/>
        </w:rPr>
        <w:t>he will have the title Son of God</w:t>
      </w:r>
      <w:r>
        <w:rPr>
          <w:lang w:val="en_US" w:bidi="en_US"/>
        </w:rPr>
        <w:t>his name will be the Son of God</w:t>
      </w:r>
    </w:p>
    <w:p>
      <w:pPr>
        <w:pStyle w:val="ListBullet"/>
        <w:spacing w:line="240" w:lineRule="auto"/>
        <w:ind w:left="720"/>
      </w:pPr>
      <w:r>
        <w:rPr>
          <w:lang w:val="en_US" w:bidi="en_US"/>
        </w:rPr>
      </w:r>
      <w:r>
        <w:rPr>
          <w:lang w:val="en_US" w:bidi="en_US"/>
        </w:rPr>
        <w:t xml:space="preserve">Focus on the fact that Jesus will </w:t>
      </w:r>
      <w:r>
        <w:rPr>
          <w:u w:val="single"/>
          <w:lang w:val="en_US" w:bidi="en_US"/>
        </w:rPr>
        <w:t>be</w:t>
      </w:r>
      <w:r>
        <w:rPr>
          <w:lang w:val="en_US" w:bidi="en_US"/>
        </w:rPr>
        <w:t xml:space="preserve"> the Son of God. For example:</w:t>
      </w:r>
      <w:r>
        <w:rPr>
          <w:lang w:val="en_US" w:bidi="en_US"/>
        </w:rPr>
        <w:t>he will be the Son of God</w:t>
      </w:r>
    </w:p>
    <w:p>
      <w:pPr/>
      <w:r>
        <w:rPr>
          <w:lang w:val="en_US" w:bidi="en_US"/>
        </w:rPr>
      </w:r>
      <w:r>
        <w:rPr>
          <w:lang w:val="en_US" w:bidi="en_US"/>
        </w:rPr>
        <w:t>If you must say who would call the child the Son of God, try to make the subject as general as possible. For example:</w:t>
      </w:r>
    </w:p>
    <w:p>
      <w:pPr/>
      <w:r>
        <w:rPr>
          <w:lang w:val="en_US" w:bidi="en_US"/>
        </w:rPr>
      </w:r>
      <w:r>
        <w:rPr>
          <w:lang w:val="en_US" w:bidi="en_US"/>
        </w:rPr>
        <w:t>they</w:t>
      </w:r>
      <w:r>
        <w:rPr>
          <w:lang w:val="en_US" w:bidi="en_US"/>
        </w:rPr>
        <w:t xml:space="preserve"> will call him the Son of God</w:t>
      </w:r>
    </w:p>
    <w:p>
      <w:pPr/>
      <w:r>
        <w:rPr>
          <w:lang w:val="en_US" w:bidi="en_US"/>
        </w:rPr>
      </w:r>
      <w:r>
        <w:rPr>
          <w:b/>
          <w:lang w:val="en_US" w:bidi="en_US"/>
        </w:rPr>
        <w:t>the Son of God:</w:t>
      </w:r>
      <w:r>
        <w:rPr>
          <w:lang w:val="en_US" w:bidi="en_US"/>
        </w:rPr>
        <w:t xml:space="preserve"> See the note on </w:t>
      </w:r>
      <w:r>
        <w:rPr>
          <w:i/>
          <w:lang w:val="en_US" w:bidi="en_US"/>
        </w:rPr>
        <w:t>Son</w:t>
      </w:r>
      <w:r>
        <w:rPr>
          <w:lang w:val="en_US" w:bidi="en_US"/>
        </w:rPr>
        <w:t xml:space="preserve"> in 1:32b for advice about how to translate “Son” when it refers to Jesus as </w:t>
      </w:r>
      <w:r>
        <w:rPr>
          <w:i/>
          <w:lang w:val="en_US" w:bidi="en_US"/>
        </w:rPr>
        <w:t>the Son of God</w:t>
      </w:r>
      <w:r>
        <w:rPr>
          <w:lang w:val="en_US" w:bidi="en_US"/>
        </w:rPr>
        <w:t>.</w:t>
      </w:r>
    </w:p>
    <w:p>
      <w:pPr/>
      <w:r>
        <w:rPr>
          <w:lang w:val="en_US" w:bidi="en_US"/>
        </w:rPr>
      </w:r>
      <w:r>
        <w:rPr>
          <w:lang w:val="en_US" w:bidi="en_US"/>
        </w:rPr>
        <w:t xml:space="preserve">In languages where there is no single word for </w:t>
      </w:r>
      <w:r>
        <w:rPr>
          <w:i/>
          <w:lang w:val="en_US" w:bidi="en_US"/>
        </w:rPr>
        <w:t>Son</w:t>
      </w:r>
      <w:r>
        <w:rPr>
          <w:lang w:val="en_US" w:bidi="en_US"/>
        </w:rPr>
        <w:t>, many translators have used a more general expression, such as:</w:t>
      </w:r>
    </w:p>
    <w:p>
      <w:pPr/>
      <w:r>
        <w:rPr>
          <w:lang w:val="en_US" w:bidi="en_US"/>
        </w:rPr>
      </w:r>
      <w:r>
        <w:rPr>
          <w:lang w:val="en_US" w:bidi="en_US"/>
        </w:rPr>
        <w:t>child of God</w:t>
      </w:r>
    </w:p>
    <w:p>
      <w:pPr/>
      <w:r>
        <w:rPr>
          <w:lang w:val="en_US" w:bidi="en_US"/>
        </w:rPr>
      </w:r>
      <w:r>
        <w:rPr>
          <w:lang w:val="en_US" w:bidi="en_US"/>
        </w:rPr>
        <w:t>Other verses will usually make clear that Jesus was a male child. If you use a descriptive phrase such as “male child of God,” be sure that this expression does not imply that God had another child who was female.</w:t>
      </w:r>
      <w:r>
        <w:rPr>
          <w:lang w:val="en_US" w:bidi="en_US"/>
        </w:rPr>
      </w:r>
      <w:r>
        <w:rPr>
          <w:lang w:val="en_US" w:bidi="en_US"/>
        </w:rPr>
      </w:r>
    </w:p>
    <w:p>
      <w:pPr/>
      <w:r>
        <w:rPr>
          <w:lang w:val="en_US" w:bidi="en_US"/>
        </w:rPr>
      </w:r>
    </w:p>
    <w:p>
      <w:pPr>
        <w:pStyle w:val="Heading2"/>
      </w:pPr>
      <w:r>
        <w:rPr>
          <w:lang w:val="en_US" w:bidi="en_US"/>
        </w:rPr>
        <w:t>Luke 1:36</w:t>
      </w:r>
      <w:r>
        <w:rPr>
          <w:lang w:val="en_US" w:bidi="en_US"/>
        </w:rPr>
      </w:r>
    </w:p>
    <w:p>
      <w:pPr>
        <w:pStyle w:val="Heading4"/>
      </w:pPr>
      <w:r>
        <w:rPr>
          <w:lang w:val="en_US" w:bidi="en_US"/>
        </w:rPr>
        <w:t>Section 1:26–38: An angel told Mary that Jesus would be born</w:t>
      </w:r>
    </w:p>
    <w:p>
      <w:pPr/>
      <w:r>
        <w:rPr>
          <w:lang w:val="en_US" w:bidi="en_US"/>
        </w:rPr>
      </w:r>
      <w:r>
        <w:rPr>
          <w:lang w:val="en_US" w:bidi="en_US"/>
        </w:rP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pPr/>
      <w:r>
        <w:rPr>
          <w:lang w:val="en_US" w:bidi="en_US"/>
        </w:rPr>
      </w:r>
      <w:r>
        <w:rPr>
          <w:lang w:val="en_US" w:bidi="en_US"/>
        </w:rPr>
        <w:t>Some other possible headings for this section are:</w:t>
      </w:r>
    </w:p>
    <w:p>
      <w:pPr/>
      <w:r>
        <w:rPr>
          <w:lang w:val="en_US" w:bidi="en_US"/>
        </w:rPr>
      </w:r>
      <w:r>
        <w:rPr>
          <w:lang w:val="en_US" w:bidi="en_US"/>
        </w:rPr>
        <w:t>The angel Gabriel predicts the virgin birth of Jesus the Christ</w:t>
      </w:r>
    </w:p>
    <w:p>
      <w:pPr/>
      <w:r>
        <w:rPr>
          <w:lang w:val="en_US" w:bidi="en_US"/>
        </w:rPr>
      </w:r>
      <w:r>
        <w:rPr>
          <w:lang w:val="en_US" w:bidi="en_US"/>
        </w:rPr>
        <w:t>Angel Gabriel announces to the virgin Mary that God will cause her to give birth to a son</w:t>
      </w:r>
    </w:p>
    <w:p>
      <w:pPr/>
      <w:r>
        <w:rPr>
          <w:lang w:val="en_US" w:bidi="en_US"/>
        </w:rPr>
      </w:r>
      <w:r>
        <w:rPr>
          <w:lang w:val="en_US" w:bidi="en_US"/>
        </w:rPr>
        <w:t>The Birth of Jesus is Announced (GNT)</w:t>
      </w:r>
    </w:p>
    <w:p>
      <w:pPr>
        <w:pStyle w:val="Heading5"/>
      </w:pPr>
      <w:r>
        <w:rPr>
          <w:lang w:val="en_US" w:bidi="en_US"/>
        </w:rPr>
        <w:t>1:36a</w:t>
      </w:r>
    </w:p>
    <w:p>
      <w:pPr/>
      <w:r>
        <w:rPr>
          <w:lang w:val="en_US" w:bidi="en_US"/>
        </w:rPr>
      </w:r>
      <w:r>
        <w:rPr>
          <w:b/>
          <w:lang w:val="en_US" w:bidi="en_US"/>
        </w:rPr>
        <w:t>Look, even Elizabeth your relative has conceived a son in her old age,</w:t>
      </w:r>
    </w:p>
    <w:p>
      <w:pPr>
        <w:pStyle w:val="ListBullet"/>
        <w:spacing w:line="240" w:lineRule="auto"/>
        <w:ind w:left="720"/>
      </w:pPr>
      <w:r>
        <w:rPr>
          <w:lang w:val="en_US" w:bidi="en_US"/>
        </w:rPr>
      </w:r>
      <w:r>
        <w:rPr>
          <w:lang w:val="en_US" w:bidi="en_US"/>
        </w:rPr>
        <w:t>And I will tell you something else!</w:t>
      </w:r>
      <w:r>
        <w:rPr>
          <w:lang w:val="en_US" w:bidi="en_US"/>
        </w:rPr>
        <w:t xml:space="preserve"> Your relative Elizabeth too has conceived a son, even though she is old.</w:t>
      </w:r>
    </w:p>
    <w:p>
      <w:pPr>
        <w:pStyle w:val="ListBullet"/>
        <w:spacing w:line="240" w:lineRule="auto"/>
        <w:ind w:left="720"/>
      </w:pPr>
      <w:r>
        <w:rPr>
          <w:lang w:val="en_US" w:bidi="en_US"/>
        </w:rPr>
      </w:r>
      <w:r>
        <w:rPr>
          <w:lang w:val="en_US" w:bidi="en_US"/>
        </w:rPr>
        <w:t>And listen!</w:t>
      </w:r>
      <w:r>
        <w:rPr>
          <w:lang w:val="en_US" w:bidi="en_US"/>
        </w:rPr>
        <w:t xml:space="preserve"> In spite of her age, even/also your kinswoman Elizabeth is pregnant with a baby boy.</w:t>
      </w:r>
    </w:p>
    <w:p>
      <w:pPr/>
      <w:r>
        <w:rPr>
          <w:lang w:val="en_US" w:bidi="en_US"/>
        </w:rPr>
      </w:r>
      <w:r>
        <w:rPr>
          <w:b/>
          <w:lang w:val="en_US" w:bidi="en_US"/>
        </w:rPr>
        <w:t>Look:</w:t>
      </w:r>
      <w:r>
        <w:rPr>
          <w:lang w:val="en_US" w:bidi="en_US"/>
        </w:rPr>
        <w:t xml:space="preserve"> The Greek word that the BSB translates as </w:t>
      </w:r>
      <w:r>
        <w:rPr>
          <w:i/>
          <w:lang w:val="en_US" w:bidi="en_US"/>
        </w:rPr>
        <w:t>Look</w:t>
      </w:r>
      <w:r>
        <w:rPr>
          <w:lang w:val="en_US" w:bidi="en_US"/>
        </w:rPr>
        <w:t xml:space="preserve"> is the same word that it translates as “now” in 1:20 and as “Behold” in 1:31. This word often functions to focus attention on what follows and to indicate that this is important or amazing. Here it draws attention to the fact that Elizabeth is pregnant. This is something completely unexpected.</w:t>
      </w:r>
    </w:p>
    <w:p>
      <w:pPr/>
      <w:r>
        <w:rPr>
          <w:lang w:val="en_US" w:bidi="en_US"/>
        </w:rPr>
      </w:r>
      <w:r>
        <w:rPr>
          <w:lang w:val="en_US" w:bidi="en_US"/>
        </w:rPr>
        <w:t>Some ways to translate the word in this context are:</w:t>
      </w:r>
    </w:p>
    <w:p>
      <w:pPr/>
      <w:r>
        <w:rPr>
          <w:lang w:val="en_US" w:bidi="en_US"/>
        </w:rPr>
      </w:r>
      <w:r>
        <w:rPr>
          <w:lang w:val="en_US" w:bidi="en_US"/>
        </w:rPr>
        <w:t>And behold (ESV)</w:t>
      </w:r>
    </w:p>
    <w:p>
      <w:pPr/>
      <w:r>
        <w:rPr>
          <w:lang w:val="en_US" w:bidi="en_US"/>
        </w:rPr>
      </w:r>
      <w:r>
        <w:rPr>
          <w:lang w:val="en_US" w:bidi="en_US"/>
        </w:rPr>
        <w:t>And listen</w:t>
      </w:r>
    </w:p>
    <w:p>
      <w:pPr/>
      <w:r>
        <w:rPr>
          <w:lang w:val="en_US" w:bidi="en_US"/>
        </w:rPr>
      </w:r>
      <w:r>
        <w:rPr>
          <w:lang w:val="en_US" w:bidi="en_US"/>
        </w:rPr>
        <w:t>And I tell you this too (NJB)</w:t>
      </w:r>
    </w:p>
    <w:p>
      <w:pPr/>
      <w:r>
        <w:rPr>
          <w:lang w:val="en_US" w:bidi="en_US"/>
        </w:rPr>
      </w:r>
      <w:r>
        <w:rPr>
          <w:b/>
          <w:lang w:val="en_US" w:bidi="en_US"/>
        </w:rPr>
        <w:t>even Elizabeth:</w:t>
      </w:r>
      <w:r>
        <w:rPr>
          <w:lang w:val="en_US" w:bidi="en_US"/>
        </w:rPr>
        <w:t xml:space="preserve"> The Greek word that the BSB translates as </w:t>
      </w:r>
      <w:r>
        <w:rPr>
          <w:i/>
          <w:lang w:val="en_US" w:bidi="en_US"/>
        </w:rPr>
        <w:t>even</w:t>
      </w:r>
      <w:r>
        <w:rPr>
          <w:lang w:val="en_US" w:bidi="en_US"/>
        </w:rPr>
        <w:t xml:space="preserve"> means “also.” In this context it emphasizes something amazing that is true of Elizabeth as well as of Mary. Elizabeth is another example of someone who became pregnant through God’s power, since she was too old to have children. Use a natural way in your language to express this emphasis. Other ways to do this in English are:</w:t>
      </w:r>
    </w:p>
    <w:p>
      <w:pPr/>
      <w:r>
        <w:rPr>
          <w:lang w:val="en_US" w:bidi="en_US"/>
        </w:rPr>
      </w:r>
      <w:r>
        <w:rPr>
          <w:lang w:val="en_US" w:bidi="en_US"/>
        </w:rPr>
        <w:t xml:space="preserve">has </w:t>
      </w:r>
      <w:r>
        <w:rPr>
          <w:u w:val="single"/>
          <w:lang w:val="en_US" w:bidi="en_US"/>
        </w:rPr>
        <w:t>herself</w:t>
      </w:r>
      <w:r>
        <w:rPr>
          <w:lang w:val="en_US" w:bidi="en_US"/>
        </w:rPr>
        <w:t xml:space="preserve"> conceived a son (REB)</w:t>
      </w:r>
    </w:p>
    <w:p>
      <w:pPr/>
      <w:r>
        <w:rPr>
          <w:lang w:val="en_US" w:bidi="en_US"/>
        </w:rPr>
      </w:r>
      <w:r>
        <w:rPr>
          <w:lang w:val="en_US" w:bidi="en_US"/>
        </w:rPr>
        <w:t xml:space="preserve">has </w:t>
      </w:r>
      <w:r>
        <w:rPr>
          <w:u w:val="single"/>
          <w:lang w:val="en_US" w:bidi="en_US"/>
        </w:rPr>
        <w:t>also</w:t>
      </w:r>
      <w:r>
        <w:rPr>
          <w:lang w:val="en_US" w:bidi="en_US"/>
        </w:rPr>
        <w:t xml:space="preserve"> become pregnant with a son</w:t>
      </w:r>
    </w:p>
    <w:p>
      <w:pPr/>
      <w:r>
        <w:rPr>
          <w:lang w:val="en_US" w:bidi="en_US"/>
        </w:rPr>
      </w:r>
      <w:r>
        <w:rPr>
          <w:b/>
          <w:lang w:val="en_US" w:bidi="en_US"/>
        </w:rPr>
        <w:t>your relative:</w:t>
      </w:r>
      <w:r>
        <w:rPr>
          <w:lang w:val="en_US" w:bidi="en_US"/>
        </w:rPr>
        <w:t xml:space="preserve"> The text does not say how Elizabeth and Mary were related.</w:t>
      </w:r>
      <w:r>
        <w:rPr>
          <w:lang w:val="en_US" w:bidi="en_US"/>
        </w:rPr>
        <w:t>Elizabeth was a member of the tribe of Levi, and Mary was probably a member of the tribe of Judah. Therefore, it is probable that they were related through their mothers rather than their fathers. For example, Mary’s mother may have been from the tribe of Levi and related to Elizabeth.</w:t>
      </w:r>
      <w:r>
        <w:rPr>
          <w:lang w:val="en_US" w:bidi="en_US"/>
        </w:rPr>
        <w:t xml:space="preserve"> So it is good to translate </w:t>
      </w:r>
      <w:r>
        <w:rPr>
          <w:i/>
          <w:lang w:val="en_US" w:bidi="en_US"/>
        </w:rPr>
        <w:t>relative</w:t>
      </w:r>
      <w:r>
        <w:rPr>
          <w:lang w:val="en_US" w:bidi="en_US"/>
        </w:rPr>
        <w:t xml:space="preserve"> in a general way. Another way to translate this is:</w:t>
      </w:r>
    </w:p>
    <w:p>
      <w:pPr/>
      <w:r>
        <w:rPr>
          <w:lang w:val="en_US" w:bidi="en_US"/>
        </w:rPr>
      </w:r>
      <w:r>
        <w:rPr>
          <w:lang w:val="en_US" w:bidi="en_US"/>
        </w:rPr>
        <w:t>kinswoman (REB)</w:t>
      </w:r>
    </w:p>
    <w:p>
      <w:pPr/>
      <w:r>
        <w:rPr>
          <w:lang w:val="en_US" w:bidi="en_US"/>
        </w:rPr>
      </w:r>
      <w:r>
        <w:rPr>
          <w:b/>
          <w:lang w:val="en_US" w:bidi="en_US"/>
        </w:rPr>
        <w:t>has conceived a son:</w:t>
      </w:r>
      <w:r>
        <w:rPr>
          <w:lang w:val="en_US" w:bidi="en_US"/>
        </w:rPr>
        <w:t xml:space="preserve"> Some other ways to translate the Greek phrase that the BSB translates as </w:t>
      </w:r>
      <w:r>
        <w:rPr>
          <w:i/>
          <w:lang w:val="en_US" w:bidi="en_US"/>
        </w:rPr>
        <w:t>has conceived a son</w:t>
      </w:r>
      <w:r>
        <w:rPr>
          <w:lang w:val="en_US" w:bidi="en_US"/>
        </w:rPr>
        <w:t xml:space="preserve"> are:</w:t>
      </w:r>
    </w:p>
    <w:p>
      <w:pPr/>
      <w:r>
        <w:rPr>
          <w:lang w:val="en_US" w:bidi="en_US"/>
        </w:rPr>
      </w:r>
      <w:r>
        <w:rPr>
          <w:lang w:val="en_US" w:bidi="en_US"/>
        </w:rPr>
        <w:t>is…pregnant with a son (NCV)</w:t>
      </w:r>
    </w:p>
    <w:p>
      <w:pPr/>
      <w:r>
        <w:rPr>
          <w:lang w:val="en_US" w:bidi="en_US"/>
        </w:rPr>
      </w:r>
      <w:r>
        <w:rPr>
          <w:lang w:val="en_US" w:bidi="en_US"/>
        </w:rPr>
        <w:t>is going to have a child (NIV)</w:t>
      </w:r>
    </w:p>
    <w:p>
      <w:pPr/>
      <w:r>
        <w:rPr>
          <w:lang w:val="en_US" w:bidi="en_US"/>
        </w:rPr>
      </w:r>
      <w:r>
        <w:rPr>
          <w:b/>
          <w:lang w:val="en_US" w:bidi="en_US"/>
        </w:rPr>
        <w:t>in her old age:</w:t>
      </w:r>
      <w:r>
        <w:rPr>
          <w:lang w:val="en_US" w:bidi="en_US"/>
        </w:rPr>
        <w:t xml:space="preserve"> The phrase </w:t>
      </w:r>
      <w:r>
        <w:rPr>
          <w:i/>
          <w:lang w:val="en_US" w:bidi="en_US"/>
        </w:rPr>
        <w:t>in her old age</w:t>
      </w:r>
      <w:r>
        <w:rPr>
          <w:lang w:val="en_US" w:bidi="en_US"/>
        </w:rPr>
        <w:t xml:space="preserve"> means “even though she is old.” Mary already knew Elizabeth and knew that she was past the normal age of childbearing. The angel did not tell her new information concerning Elizabeth’s age.</w:t>
      </w:r>
    </w:p>
    <w:p>
      <w:pPr>
        <w:pStyle w:val="Heading5"/>
      </w:pPr>
      <w:r>
        <w:rPr>
          <w:lang w:val="en_US" w:bidi="en_US"/>
        </w:rPr>
        <w:t>1:36b</w:t>
      </w:r>
    </w:p>
    <w:p>
      <w:pPr/>
      <w:r>
        <w:rPr>
          <w:lang w:val="en_US" w:bidi="en_US"/>
        </w:rPr>
      </w:r>
      <w:r>
        <w:rPr>
          <w:b/>
          <w:lang w:val="en_US" w:bidi="en_US"/>
        </w:rPr>
        <w:t>and she who was called barren is in her sixth month.</w:t>
      </w:r>
    </w:p>
    <w:p>
      <w:pPr>
        <w:pStyle w:val="ListBullet"/>
        <w:spacing w:line="240" w:lineRule="auto"/>
        <w:ind w:left="720"/>
      </w:pPr>
      <w:r>
        <w:rPr>
          <w:lang w:val="en_US" w:bidi="en_US"/>
        </w:rPr>
      </w:r>
      <w:r>
        <w:rPr>
          <w:lang w:val="en_US" w:bidi="en_US"/>
        </w:rPr>
        <w:t xml:space="preserve">She whom </w:t>
      </w:r>
      <w:r>
        <w:rPr>
          <w:lang w:val="en_US" w:bidi="en_US"/>
        </w:rPr>
        <w:t>people</w:t>
      </w:r>
      <w:r>
        <w:rPr>
          <w:lang w:val="en_US" w:bidi="en_US"/>
        </w:rPr>
        <w:t xml:space="preserve"> called barren is already six months </w:t>
      </w:r>
      <w:r>
        <w:rPr>
          <w:lang w:val="en_US" w:bidi="en_US"/>
        </w:rPr>
        <w:t>pregnant</w:t>
      </w:r>
      <w:r>
        <w:rPr>
          <w:lang w:val="en_US" w:bidi="en_US"/>
        </w:rPr>
        <w:t>.</w:t>
      </w:r>
    </w:p>
    <w:p>
      <w:pPr>
        <w:pStyle w:val="ListBullet"/>
        <w:spacing w:line="240" w:lineRule="auto"/>
        <w:ind w:left="720"/>
      </w:pPr>
      <w:r>
        <w:rPr>
          <w:lang w:val="en_US" w:bidi="en_US"/>
        </w:rPr>
      </w:r>
      <w:r>
        <w:rPr>
          <w:lang w:val="en_US" w:bidi="en_US"/>
        </w:rPr>
        <w:t xml:space="preserve">People knew/said that she was not able to bear children, </w:t>
      </w:r>
      <w:r>
        <w:rPr>
          <w:lang w:val="en_US" w:bidi="en_US"/>
        </w:rPr>
        <w:t>but</w:t>
      </w:r>
      <w:r>
        <w:rPr>
          <w:lang w:val="en_US" w:bidi="en_US"/>
        </w:rPr>
        <w:t xml:space="preserve"> she has been </w:t>
      </w:r>
      <w:r>
        <w:rPr>
          <w:lang w:val="en_US" w:bidi="en_US"/>
        </w:rPr>
        <w:t>pregnant</w:t>
      </w:r>
      <w:r>
        <w:rPr>
          <w:lang w:val="en_US" w:bidi="en_US"/>
        </w:rPr>
        <w:t xml:space="preserve"> for six months.</w:t>
      </w:r>
    </w:p>
    <w:p>
      <w:pPr/>
      <w:r>
        <w:rPr>
          <w:lang w:val="en_US" w:bidi="en_US"/>
        </w:rPr>
      </w:r>
      <w:r>
        <w:rPr>
          <w:b/>
          <w:lang w:val="en_US" w:bidi="en_US"/>
        </w:rPr>
        <w:t>she who was called barren:</w:t>
      </w:r>
      <w:r>
        <w:rPr>
          <w:lang w:val="en_US" w:bidi="en_US"/>
        </w:rPr>
        <w:t xml:space="preserve"> The Greek phrase that the BSB translates as </w:t>
      </w:r>
      <w:r>
        <w:rPr>
          <w:i/>
          <w:lang w:val="en_US" w:bidi="en_US"/>
        </w:rPr>
        <w:t>she who was called barren</w:t>
      </w:r>
      <w:r>
        <w:rPr>
          <w:lang w:val="en_US" w:bidi="en_US"/>
        </w:rPr>
        <w:t xml:space="preserve"> indicates how people described Elizabeth because she did not have any children. It is also an idiom. She was not just called barren; she </w:t>
      </w:r>
      <w:r>
        <w:rPr>
          <w:u w:val="single"/>
          <w:lang w:val="en_US" w:bidi="en_US"/>
        </w:rPr>
        <w:t>had actually been</w:t>
      </w:r>
      <w:r>
        <w:rPr>
          <w:lang w:val="en_US" w:bidi="en_US"/>
        </w:rPr>
        <w:t xml:space="preserve"> barren.</w:t>
      </w:r>
    </w:p>
    <w:p>
      <w:pPr/>
      <w:r>
        <w:rPr>
          <w:lang w:val="en_US" w:bidi="en_US"/>
        </w:rPr>
      </w:r>
      <w:r>
        <w:rPr>
          <w:lang w:val="en_US" w:bidi="en_US"/>
        </w:rPr>
        <w:t>Some other ways to translate this are:</w:t>
      </w:r>
    </w:p>
    <w:p>
      <w:pPr/>
      <w:r>
        <w:rPr>
          <w:lang w:val="en_US" w:bidi="en_US"/>
        </w:rPr>
      </w:r>
      <w:r>
        <w:rPr>
          <w:lang w:val="en_US" w:bidi="en_US"/>
        </w:rPr>
        <w:t>Everyone thought she could not have a baby (NCV)</w:t>
      </w:r>
    </w:p>
    <w:p>
      <w:pPr/>
      <w:r>
        <w:rPr>
          <w:lang w:val="en_US" w:bidi="en_US"/>
        </w:rPr>
      </w:r>
      <w:r>
        <w:rPr>
          <w:lang w:val="en_US" w:bidi="en_US"/>
        </w:rPr>
        <w:t>She was not able to have children before (NLV)</w:t>
      </w:r>
    </w:p>
    <w:p>
      <w:pPr/>
      <w:r>
        <w:rPr>
          <w:lang w:val="en_US" w:bidi="en_US"/>
        </w:rPr>
      </w:r>
      <w:r>
        <w:rPr>
          <w:lang w:val="en_US" w:bidi="en_US"/>
        </w:rPr>
        <w:t>It is said that she cannot have children (GNT)</w:t>
      </w:r>
    </w:p>
    <w:p>
      <w:pPr/>
      <w:r>
        <w:rPr>
          <w:lang w:val="en_US" w:bidi="en_US"/>
        </w:rPr>
      </w:r>
      <w:r>
        <w:rPr>
          <w:lang w:val="en_US" w:bidi="en_US"/>
        </w:rPr>
        <w:t>Notice that the BSB uses a past tense form here, but the Greek uses a present form. The GNT reading quoted just above reflects this. Use a natural form in your language for this context.</w:t>
      </w:r>
    </w:p>
    <w:p>
      <w:pPr/>
      <w:r>
        <w:rPr>
          <w:lang w:val="en_US" w:bidi="en_US"/>
        </w:rPr>
      </w:r>
      <w:r>
        <w:rPr>
          <w:b/>
          <w:lang w:val="en_US" w:bidi="en_US"/>
        </w:rPr>
        <w:t>barren:</w:t>
      </w:r>
      <w:r>
        <w:rPr>
          <w:lang w:val="en_US" w:bidi="en_US"/>
        </w:rPr>
        <w:t xml:space="preserve"> The word </w:t>
      </w:r>
      <w:r>
        <w:rPr>
          <w:i/>
          <w:lang w:val="en_US" w:bidi="en_US"/>
        </w:rPr>
        <w:t>barren</w:t>
      </w:r>
      <w:r>
        <w:rPr>
          <w:lang w:val="en_US" w:bidi="en_US"/>
        </w:rPr>
        <w:t xml:space="preserve"> describes a woman who is not able to conceive or bear a child. Among the Jews it was considered disgraceful for a married woman to be barren. Many Jewish women felt ashamed if they were not able to have children. Translate using language that will be sensitive and respectful for public reading.</w:t>
      </w:r>
    </w:p>
    <w:p>
      <w:pPr/>
      <w:r>
        <w:rPr>
          <w:lang w:val="en_US" w:bidi="en_US"/>
        </w:rPr>
      </w:r>
      <w:r>
        <w:rPr>
          <w:b/>
          <w:lang w:val="en_US" w:bidi="en_US"/>
        </w:rPr>
        <w:t>is in her sixth month:</w:t>
      </w:r>
      <w:r>
        <w:rPr>
          <w:lang w:val="en_US" w:bidi="en_US"/>
        </w:rPr>
        <w:t xml:space="preserve"> The phrase </w:t>
      </w:r>
      <w:r>
        <w:rPr>
          <w:i/>
          <w:lang w:val="en_US" w:bidi="en_US"/>
        </w:rPr>
        <w:t>is in her sixth month</w:t>
      </w:r>
      <w:r>
        <w:rPr>
          <w:lang w:val="en_US" w:bidi="en_US"/>
        </w:rPr>
        <w:t xml:space="preserve"> means that Elizabeth had begun her sixth month of being pregnant.</w:t>
      </w:r>
      <w:r>
        <w:rPr>
          <w:lang w:val="en_US" w:bidi="en_US"/>
        </w:rPr>
      </w:r>
      <w:r>
        <w:rPr>
          <w:lang w:val="en_US" w:bidi="en_US"/>
        </w:rPr>
      </w:r>
    </w:p>
    <w:p>
      <w:pPr/>
      <w:r>
        <w:rPr>
          <w:lang w:val="en_US" w:bidi="en_US"/>
        </w:rPr>
      </w:r>
    </w:p>
    <w:p>
      <w:pPr>
        <w:pStyle w:val="Heading2"/>
      </w:pPr>
      <w:r>
        <w:rPr>
          <w:lang w:val="en_US" w:bidi="en_US"/>
        </w:rPr>
        <w:t>Luke 1:37</w:t>
      </w:r>
      <w:r>
        <w:rPr>
          <w:lang w:val="en_US" w:bidi="en_US"/>
        </w:rPr>
      </w:r>
    </w:p>
    <w:p>
      <w:pPr>
        <w:pStyle w:val="Heading4"/>
      </w:pPr>
      <w:r>
        <w:rPr>
          <w:lang w:val="en_US" w:bidi="en_US"/>
        </w:rPr>
        <w:t>Section 1:26–38: An angel told Mary that Jesus would be born</w:t>
      </w:r>
    </w:p>
    <w:p>
      <w:pPr/>
      <w:r>
        <w:rPr>
          <w:lang w:val="en_US" w:bidi="en_US"/>
        </w:rPr>
      </w:r>
      <w:r>
        <w:rPr>
          <w:lang w:val="en_US" w:bidi="en_US"/>
        </w:rP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pPr/>
      <w:r>
        <w:rPr>
          <w:lang w:val="en_US" w:bidi="en_US"/>
        </w:rPr>
      </w:r>
      <w:r>
        <w:rPr>
          <w:lang w:val="en_US" w:bidi="en_US"/>
        </w:rPr>
        <w:t>Some other possible headings for this section are:</w:t>
      </w:r>
    </w:p>
    <w:p>
      <w:pPr/>
      <w:r>
        <w:rPr>
          <w:lang w:val="en_US" w:bidi="en_US"/>
        </w:rPr>
      </w:r>
      <w:r>
        <w:rPr>
          <w:lang w:val="en_US" w:bidi="en_US"/>
        </w:rPr>
        <w:t>The angel Gabriel predicts the virgin birth of Jesus the Christ</w:t>
      </w:r>
    </w:p>
    <w:p>
      <w:pPr/>
      <w:r>
        <w:rPr>
          <w:lang w:val="en_US" w:bidi="en_US"/>
        </w:rPr>
      </w:r>
      <w:r>
        <w:rPr>
          <w:lang w:val="en_US" w:bidi="en_US"/>
        </w:rPr>
        <w:t>Angel Gabriel announces to the virgin Mary that God will cause her to give birth to a son</w:t>
      </w:r>
    </w:p>
    <w:p>
      <w:pPr/>
      <w:r>
        <w:rPr>
          <w:lang w:val="en_US" w:bidi="en_US"/>
        </w:rPr>
      </w:r>
      <w:r>
        <w:rPr>
          <w:lang w:val="en_US" w:bidi="en_US"/>
        </w:rPr>
        <w:t>The Birth of Jesus is Announced (GNT)</w:t>
      </w:r>
    </w:p>
    <w:p>
      <w:pPr>
        <w:pStyle w:val="Heading5"/>
      </w:pPr>
      <w:r>
        <w:rPr>
          <w:lang w:val="en_US" w:bidi="en_US"/>
        </w:rPr>
        <w:t>1:37</w:t>
      </w:r>
    </w:p>
    <w:p>
      <w:pPr/>
      <w:r>
        <w:rPr>
          <w:lang w:val="en_US" w:bidi="en_US"/>
        </w:rPr>
      </w:r>
      <w:r>
        <w:rPr>
          <w:b/>
          <w:lang w:val="en_US" w:bidi="en_US"/>
        </w:rPr>
        <w:t>For no word from God will ever fail.”</w:t>
      </w:r>
    </w:p>
    <w:p>
      <w:pPr>
        <w:pStyle w:val="ListBullet"/>
        <w:spacing w:line="240" w:lineRule="auto"/>
        <w:ind w:left="720"/>
      </w:pPr>
      <w:r>
        <w:rPr>
          <w:lang w:val="en_US" w:bidi="en_US"/>
        </w:rPr>
      </w:r>
      <w:r>
        <w:rPr>
          <w:lang w:val="en_US" w:bidi="en_US"/>
        </w:rPr>
        <w:t>For there is nothing that God cannot do.”</w:t>
      </w:r>
    </w:p>
    <w:p>
      <w:pPr>
        <w:pStyle w:val="ListBullet"/>
        <w:spacing w:line="240" w:lineRule="auto"/>
        <w:ind w:left="720"/>
      </w:pPr>
      <w:r>
        <w:rPr>
          <w:lang w:val="en_US" w:bidi="en_US"/>
        </w:rPr>
      </w:r>
      <w:r>
        <w:rPr>
          <w:lang w:val="en_US" w:bidi="en_US"/>
        </w:rPr>
        <w:t>God can do anything.”</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here introduces the explanation for Mary’s future pregnancy and Elizabeth’s current pregnancy. Mary will be able to have a son without a husband because God can do anything. Elizabeth was able to conceive a son in her old age because God can do anything. Express this connection in a natural way in your language. In some languages the connection may be implied without a conjunction.</w:t>
      </w:r>
    </w:p>
    <w:p>
      <w:pPr/>
      <w:r>
        <w:rPr>
          <w:lang w:val="en_US" w:bidi="en_US"/>
        </w:rPr>
      </w:r>
      <w:r>
        <w:rPr>
          <w:b/>
          <w:lang w:val="en_US" w:bidi="en_US"/>
        </w:rPr>
        <w:t>no word from God will ever fail:</w:t>
      </w:r>
      <w:r>
        <w:rPr>
          <w:lang w:val="en_US" w:bidi="en_US"/>
        </w:rPr>
        <w:t xml:space="preserve"> The Greek clause that the BSB translates as </w:t>
      </w:r>
      <w:r>
        <w:rPr>
          <w:i/>
          <w:lang w:val="en_US" w:bidi="en_US"/>
        </w:rPr>
        <w:t>no word from God will ever fail</w:t>
      </w:r>
      <w:r>
        <w:rPr>
          <w:lang w:val="en_US" w:bidi="en_US"/>
        </w:rPr>
        <w:t xml:space="preserve"> is literally “nothing will be impossible with God” (as in the NET). It refers to Mary’s future pregnancy, but it is also a general statement and includes Elizabeth’s pregnancy. So in some languages, it is more natural to use a present form here.</w:t>
      </w:r>
    </w:p>
    <w:p>
      <w:pPr/>
      <w:r>
        <w:rPr>
          <w:lang w:val="en_US" w:bidi="en_US"/>
        </w:rPr>
      </w:r>
      <w:r>
        <w:rPr>
          <w:lang w:val="en_US" w:bidi="en_US"/>
        </w:rPr>
        <w:t>Some other ways to translate this are:</w:t>
      </w:r>
    </w:p>
    <w:p>
      <w:pPr/>
      <w:r>
        <w:rPr>
          <w:lang w:val="en_US" w:bidi="en_US"/>
        </w:rPr>
      </w:r>
      <w:r>
        <w:rPr>
          <w:lang w:val="en_US" w:bidi="en_US"/>
        </w:rPr>
        <w:t>there is nothing that God cannot do</w:t>
      </w:r>
    </w:p>
    <w:p>
      <w:pPr/>
      <w:r>
        <w:rPr>
          <w:lang w:val="en_US" w:bidi="en_US"/>
        </w:rPr>
      </w:r>
      <w:r>
        <w:rPr>
          <w:lang w:val="en_US" w:bidi="en_US"/>
        </w:rPr>
        <w:t>God can do anything</w:t>
      </w:r>
      <w:r>
        <w:rPr>
          <w:lang w:val="en_US" w:bidi="en_US"/>
        </w:rPr>
      </w:r>
      <w:r>
        <w:rPr>
          <w:lang w:val="en_US" w:bidi="en_US"/>
        </w:rPr>
      </w:r>
    </w:p>
    <w:p>
      <w:pPr/>
      <w:r>
        <w:rPr>
          <w:lang w:val="en_US" w:bidi="en_US"/>
        </w:rPr>
      </w:r>
    </w:p>
    <w:p>
      <w:pPr>
        <w:pStyle w:val="Heading2"/>
      </w:pPr>
      <w:r>
        <w:rPr>
          <w:lang w:val="en_US" w:bidi="en_US"/>
        </w:rPr>
        <w:t>Luke 1:38</w:t>
      </w:r>
      <w:r>
        <w:rPr>
          <w:lang w:val="en_US" w:bidi="en_US"/>
        </w:rPr>
      </w:r>
    </w:p>
    <w:p>
      <w:pPr>
        <w:pStyle w:val="Heading4"/>
      </w:pPr>
      <w:r>
        <w:rPr>
          <w:lang w:val="en_US" w:bidi="en_US"/>
        </w:rPr>
        <w:t>Section 1:26–38: An angel told Mary that Jesus would be born</w:t>
      </w:r>
    </w:p>
    <w:p>
      <w:pPr/>
      <w:r>
        <w:rPr>
          <w:lang w:val="en_US" w:bidi="en_US"/>
        </w:rPr>
      </w:r>
      <w:r>
        <w:rPr>
          <w:lang w:val="en_US" w:bidi="en_US"/>
        </w:rPr>
        <w:t>God sent an angel to tell Mary that she would have a son and that his name would be Jesus. He would be a king forever. This surprised and frightened Mary. She asked the angel how this would happen, as she was a virgin. She had never had sexual relations with a man. The angel said that the power of God would overshadow her and cause her to become pregnant. She would give birth to a son, and he would be called the Son of God. Mary believed God’s message, and she was willing for this to happen to her.</w:t>
      </w:r>
    </w:p>
    <w:p>
      <w:pPr/>
      <w:r>
        <w:rPr>
          <w:lang w:val="en_US" w:bidi="en_US"/>
        </w:rPr>
      </w:r>
      <w:r>
        <w:rPr>
          <w:lang w:val="en_US" w:bidi="en_US"/>
        </w:rPr>
        <w:t>Some other possible headings for this section are:</w:t>
      </w:r>
    </w:p>
    <w:p>
      <w:pPr/>
      <w:r>
        <w:rPr>
          <w:lang w:val="en_US" w:bidi="en_US"/>
        </w:rPr>
      </w:r>
      <w:r>
        <w:rPr>
          <w:lang w:val="en_US" w:bidi="en_US"/>
        </w:rPr>
        <w:t>The angel Gabriel predicts the virgin birth of Jesus the Christ</w:t>
      </w:r>
    </w:p>
    <w:p>
      <w:pPr/>
      <w:r>
        <w:rPr>
          <w:lang w:val="en_US" w:bidi="en_US"/>
        </w:rPr>
      </w:r>
      <w:r>
        <w:rPr>
          <w:lang w:val="en_US" w:bidi="en_US"/>
        </w:rPr>
        <w:t>Angel Gabriel announces to the virgin Mary that God will cause her to give birth to a son</w:t>
      </w:r>
    </w:p>
    <w:p>
      <w:pPr/>
      <w:r>
        <w:rPr>
          <w:lang w:val="en_US" w:bidi="en_US"/>
        </w:rPr>
      </w:r>
      <w:r>
        <w:rPr>
          <w:lang w:val="en_US" w:bidi="en_US"/>
        </w:rPr>
        <w:t>The Birth of Jesus is Announced (GNT)</w:t>
      </w:r>
    </w:p>
    <w:p>
      <w:pPr>
        <w:pStyle w:val="Heading5"/>
      </w:pPr>
      <w:r>
        <w:rPr>
          <w:lang w:val="en_US" w:bidi="en_US"/>
        </w:rPr>
        <w:t>1:38a</w:t>
      </w:r>
    </w:p>
    <w:p>
      <w:pPr/>
      <w:r>
        <w:rPr>
          <w:lang w:val="en_US" w:bidi="en_US"/>
        </w:rPr>
      </w:r>
      <w:r>
        <w:rPr>
          <w:b/>
          <w:lang w:val="en_US" w:bidi="en_US"/>
        </w:rPr>
        <w:t>“I am the Lord’s servant,” Mary answered.</w:t>
      </w:r>
    </w:p>
    <w:p>
      <w:pPr>
        <w:pStyle w:val="ListBullet"/>
        <w:spacing w:line="240" w:lineRule="auto"/>
        <w:ind w:left="720"/>
      </w:pPr>
      <w:r>
        <w:rPr>
          <w:lang w:val="en_US" w:bidi="en_US"/>
        </w:rPr>
      </w:r>
      <w:r>
        <w:rPr>
          <w:lang w:val="en_US" w:bidi="en_US"/>
        </w:rPr>
        <w:t>Mary answered, “</w:t>
      </w:r>
      <w:r>
        <w:rPr>
          <w:lang w:val="en_US" w:bidi="en_US"/>
        </w:rPr>
        <w:t>Here</w:t>
      </w:r>
      <w:r>
        <w:rPr>
          <w:lang w:val="en_US" w:bidi="en_US"/>
        </w:rPr>
        <w:t xml:space="preserve"> I am, the slave of the Lord.</w:t>
      </w:r>
    </w:p>
    <w:p>
      <w:pPr>
        <w:pStyle w:val="ListBullet"/>
        <w:spacing w:line="240" w:lineRule="auto"/>
        <w:ind w:left="720"/>
      </w:pPr>
      <w:r>
        <w:rPr>
          <w:lang w:val="en_US" w:bidi="en_US"/>
        </w:rPr>
      </w:r>
      <w:r>
        <w:rPr>
          <w:lang w:val="en_US" w:bidi="en_US"/>
        </w:rPr>
        <w:t>Mary replied, “I belong to the Lord to serve him.</w:t>
      </w:r>
    </w:p>
    <w:p>
      <w:pPr/>
      <w:r>
        <w:rPr>
          <w:lang w:val="en_US" w:bidi="en_US"/>
        </w:rPr>
      </w:r>
      <w:r>
        <w:rPr>
          <w:lang w:val="en_US" w:bidi="en_US"/>
        </w:rPr>
        <w:t>In the Greek text, Mary begins her answer with a word that introduces and emphasizes the response that she would give to the angel. It is the same word that the BSB translates as “now” in 1:20, as “Behold” in 1:31, and as “Look” in 1:36. The BSB does not translate the word here, and some other English versions also do not explicitly translate the word. But since Mary was agreeing to what the Lord wanted, some English versions include that idea here. Some ways to translate it are:</w:t>
      </w:r>
    </w:p>
    <w:p>
      <w:pPr/>
      <w:r>
        <w:rPr>
          <w:lang w:val="en_US" w:bidi="en_US"/>
        </w:rPr>
      </w:r>
      <w:r>
        <w:rPr>
          <w:lang w:val="en_US" w:bidi="en_US"/>
        </w:rPr>
        <w:t>Yes… (NET)</w:t>
      </w:r>
    </w:p>
    <w:p>
      <w:pPr/>
      <w:r>
        <w:rPr>
          <w:lang w:val="en_US" w:bidi="en_US"/>
        </w:rPr>
      </w:r>
      <w:r>
        <w:rPr>
          <w:lang w:val="en_US" w:bidi="en_US"/>
        </w:rPr>
        <w:t>Here am I… (NRSV)</w:t>
      </w:r>
    </w:p>
    <w:p>
      <w:pPr/>
      <w:r>
        <w:rPr>
          <w:lang w:val="en_US" w:bidi="en_US"/>
        </w:rPr>
      </w:r>
      <w:r>
        <w:rPr>
          <w:lang w:val="en_US" w:bidi="en_US"/>
        </w:rPr>
        <w:t>Translate the word in a way is natural in your language for this context. In some languages it may not be necessary to translate it explicitly. See the notes at 1:20a and 1:31a, which discuss the way this word introduces those verses.</w:t>
      </w:r>
    </w:p>
    <w:p>
      <w:pPr/>
      <w:r>
        <w:rPr>
          <w:lang w:val="en_US" w:bidi="en_US"/>
        </w:rPr>
      </w:r>
      <w:r>
        <w:rPr>
          <w:b/>
          <w:lang w:val="en_US" w:bidi="en_US"/>
        </w:rPr>
        <w:t>I am the Lord’s servant:</w:t>
      </w:r>
      <w:r>
        <w:rPr>
          <w:lang w:val="en_US" w:bidi="en_US"/>
        </w:rPr>
        <w:t xml:space="preserve"> The phrase </w:t>
      </w:r>
      <w:r>
        <w:rPr>
          <w:i/>
          <w:lang w:val="en_US" w:bidi="en_US"/>
        </w:rPr>
        <w:t>I am the Lord’s servant</w:t>
      </w:r>
      <w:r>
        <w:rPr>
          <w:lang w:val="en_US" w:bidi="en_US"/>
        </w:rPr>
        <w:t xml:space="preserve"> means “I belong to the Lord as his servant.” Mary said this to express her humble submission to whatever the Lord said. Her response showed that she believed what the angel told her and accepted the role of being the mother of the Lord’s son (Jesus). The word </w:t>
      </w:r>
      <w:r>
        <w:rPr>
          <w:i/>
          <w:lang w:val="en_US" w:bidi="en_US"/>
        </w:rPr>
        <w:t>Lord</w:t>
      </w:r>
      <w:r>
        <w:rPr>
          <w:lang w:val="en_US" w:bidi="en_US"/>
        </w:rPr>
        <w:t xml:space="preserve"> refers to God.</w:t>
      </w:r>
    </w:p>
    <w:p>
      <w:pPr/>
      <w:r>
        <w:rPr>
          <w:lang w:val="en_US" w:bidi="en_US"/>
        </w:rPr>
      </w:r>
      <w:r>
        <w:rPr>
          <w:b/>
          <w:lang w:val="en_US" w:bidi="en_US"/>
        </w:rPr>
        <w:t>servant:</w:t>
      </w:r>
      <w:r>
        <w:rPr>
          <w:lang w:val="en_US" w:bidi="en_US"/>
        </w:rPr>
        <w:t xml:space="preserve"> The Greek word that the BSB translates as </w:t>
      </w:r>
      <w:r>
        <w:rPr>
          <w:i/>
          <w:lang w:val="en_US" w:bidi="en_US"/>
        </w:rPr>
        <w:t>servant</w:t>
      </w:r>
      <w:r>
        <w:rPr>
          <w:lang w:val="en_US" w:bidi="en_US"/>
        </w:rPr>
        <w:t xml:space="preserve"> refers to a female slave. This word refers to a woman who was owned by another person. She served and obeyed her master or mistress. She probably was not paid, but she received food and a place to live.</w:t>
      </w:r>
    </w:p>
    <w:p>
      <w:pPr/>
      <w:r>
        <w:rPr>
          <w:lang w:val="en_US" w:bidi="en_US"/>
        </w:rPr>
      </w:r>
      <w:r>
        <w:rPr>
          <w:lang w:val="en_US" w:bidi="en_US"/>
        </w:rPr>
        <w:t>In some cultures, slaves may not be known. In other cultures, the word for slave may imply different customs than in biblical culture. If that is true in your language, some ways to translate this are:</w:t>
      </w:r>
    </w:p>
    <w:p>
      <w:pPr/>
      <w:r>
        <w:rPr>
          <w:lang w:val="en_US" w:bidi="en_US"/>
        </w:rPr>
      </w:r>
      <w:r>
        <w:rPr>
          <w:lang w:val="en_US" w:bidi="en_US"/>
        </w:rPr>
        <w:t>person who belonged to someone else</w:t>
      </w:r>
    </w:p>
    <w:p>
      <w:pPr/>
      <w:r>
        <w:rPr>
          <w:lang w:val="en_US" w:bidi="en_US"/>
        </w:rPr>
      </w:r>
      <w:r>
        <w:rPr>
          <w:lang w:val="en_US" w:bidi="en_US"/>
        </w:rPr>
        <w:t>owned person</w:t>
      </w:r>
    </w:p>
    <w:p>
      <w:pPr/>
      <w:r>
        <w:rPr>
          <w:lang w:val="en_US" w:bidi="en_US"/>
        </w:rPr>
      </w:r>
      <w:r>
        <w:rPr>
          <w:lang w:val="en_US" w:bidi="en_US"/>
        </w:rPr>
        <w:t>person who serves someone</w:t>
      </w:r>
    </w:p>
    <w:p>
      <w:pPr/>
      <w:r>
        <w:rPr>
          <w:lang w:val="en_US" w:bidi="en_US"/>
        </w:rPr>
      </w:r>
      <w:r>
        <w:rPr>
          <w:lang w:val="en_US" w:bidi="en_US"/>
        </w:rPr>
        <w:t>worker/servant</w:t>
      </w:r>
    </w:p>
    <w:p>
      <w:pPr/>
      <w:r>
        <w:rPr>
          <w:lang w:val="en_US" w:bidi="en_US"/>
        </w:rPr>
      </w:r>
      <w:r>
        <w:rPr>
          <w:b/>
          <w:lang w:val="en_US" w:bidi="en_US"/>
        </w:rPr>
        <w:t>Mary answered:</w:t>
      </w:r>
      <w:r>
        <w:rPr>
          <w:lang w:val="en_US" w:bidi="en_US"/>
        </w:rPr>
        <w:t xml:space="preserve"> The BSB has placed the words </w:t>
      </w:r>
      <w:r>
        <w:rPr>
          <w:i/>
          <w:lang w:val="en_US" w:bidi="en_US"/>
        </w:rPr>
        <w:t>Mary answered</w:t>
      </w:r>
      <w:r>
        <w:rPr>
          <w:lang w:val="en_US" w:bidi="en_US"/>
        </w:rPr>
        <w:t xml:space="preserve"> in the middle of what Mary said. Place them where it is natural in your language.</w:t>
      </w:r>
    </w:p>
    <w:p>
      <w:pPr/>
      <w:r>
        <w:rPr>
          <w:lang w:val="en_US" w:bidi="en_US"/>
        </w:rPr>
      </w:r>
      <w:r>
        <w:rPr>
          <w:lang w:val="en_US" w:bidi="en_US"/>
        </w:rPr>
        <w:t xml:space="preserve">The Greek word that the BSB has translated as </w:t>
      </w:r>
      <w:r>
        <w:rPr>
          <w:i/>
          <w:lang w:val="en_US" w:bidi="en_US"/>
        </w:rPr>
        <w:t>answered</w:t>
      </w:r>
      <w:r>
        <w:rPr>
          <w:lang w:val="en_US" w:bidi="en_US"/>
        </w:rPr>
        <w:t xml:space="preserve"> is the common word that means “said.” Use the word that is most natural in your language to introduce Mary’s response to what the angel said.</w:t>
      </w:r>
    </w:p>
    <w:p>
      <w:pPr>
        <w:pStyle w:val="Heading5"/>
      </w:pPr>
      <w:r>
        <w:rPr>
          <w:lang w:val="en_US" w:bidi="en_US"/>
        </w:rPr>
        <w:t>1:38b</w:t>
      </w:r>
    </w:p>
    <w:p>
      <w:pPr/>
      <w:r>
        <w:rPr>
          <w:lang w:val="en_US" w:bidi="en_US"/>
        </w:rPr>
      </w:r>
      <w:r>
        <w:rPr>
          <w:b/>
          <w:lang w:val="en_US" w:bidi="en_US"/>
        </w:rPr>
        <w:t>“May it happen to me according to your word.”</w:t>
      </w:r>
    </w:p>
    <w:p>
      <w:pPr>
        <w:pStyle w:val="ListBullet"/>
        <w:spacing w:line="240" w:lineRule="auto"/>
        <w:ind w:left="720"/>
      </w:pPr>
      <w:r>
        <w:rPr>
          <w:lang w:val="en_US" w:bidi="en_US"/>
        </w:rPr>
      </w:r>
      <w:r>
        <w:rPr>
          <w:lang w:val="en_US" w:bidi="en_US"/>
        </w:rPr>
        <w:t>Let what you have said happen to me.”</w:t>
      </w:r>
    </w:p>
    <w:p>
      <w:pPr>
        <w:pStyle w:val="ListBullet"/>
        <w:spacing w:line="240" w:lineRule="auto"/>
        <w:ind w:left="720"/>
      </w:pPr>
      <w:r>
        <w:rPr>
          <w:lang w:val="en_US" w:bidi="en_US"/>
        </w:rPr>
      </w:r>
      <w:r>
        <w:rPr>
          <w:lang w:val="en_US" w:bidi="en_US"/>
        </w:rPr>
        <w:t xml:space="preserve">I am willing </w:t>
      </w:r>
      <w:r>
        <w:rPr>
          <w:lang w:val="en_US" w:bidi="en_US"/>
        </w:rPr>
        <w:t>for the Lord</w:t>
      </w:r>
      <w:r>
        <w:rPr>
          <w:lang w:val="en_US" w:bidi="en_US"/>
        </w:rPr>
        <w:t xml:space="preserve"> to do to me just as you have said.”</w:t>
      </w:r>
    </w:p>
    <w:p>
      <w:pPr/>
      <w:r>
        <w:rPr>
          <w:lang w:val="en_US" w:bidi="en_US"/>
        </w:rPr>
      </w:r>
      <w:r>
        <w:rPr>
          <w:b/>
          <w:lang w:val="en_US" w:bidi="en_US"/>
        </w:rPr>
        <w:t>May it happen to me according to your word:</w:t>
      </w:r>
      <w:r>
        <w:rPr>
          <w:lang w:val="en_US" w:bidi="en_US"/>
        </w:rPr>
        <w:t xml:space="preserve"> The Greek verb that the BSB translates as </w:t>
      </w:r>
      <w:r>
        <w:rPr>
          <w:i/>
          <w:lang w:val="en_US" w:bidi="en_US"/>
        </w:rPr>
        <w:t>May it happen</w:t>
      </w:r>
      <w:r>
        <w:rPr>
          <w:lang w:val="en_US" w:bidi="en_US"/>
        </w:rPr>
        <w:t xml:space="preserve"> is a form that often expresses a hope, wish, or prayer. Mary wanted or requested that the Lord would do to her exactly what the angel had said. The English word </w:t>
      </w:r>
      <w:r>
        <w:rPr>
          <w:i/>
          <w:lang w:val="en_US" w:bidi="en_US"/>
        </w:rPr>
        <w:t>May</w:t>
      </w:r>
      <w:r>
        <w:rPr>
          <w:lang w:val="en_US" w:bidi="en_US"/>
        </w:rPr>
        <w:t xml:space="preserve"> does not express any doubt here. Some English versions use “Let it be.” This also expresses a hope or request that God would cause his will to happen to her.</w:t>
      </w:r>
    </w:p>
    <w:p>
      <w:pPr/>
      <w:r>
        <w:rPr>
          <w:lang w:val="en_US" w:bidi="en_US"/>
        </w:rPr>
      </w:r>
      <w:r>
        <w:rPr>
          <w:lang w:val="en_US" w:bidi="en_US"/>
        </w:rPr>
        <w:t xml:space="preserve">Some other ways to translate </w:t>
      </w:r>
      <w:r>
        <w:rPr>
          <w:i/>
          <w:lang w:val="en_US" w:bidi="en_US"/>
        </w:rPr>
        <w:t>May it happen to me according to your word</w:t>
      </w:r>
      <w:r>
        <w:rPr>
          <w:lang w:val="en_US" w:bidi="en_US"/>
        </w:rPr>
        <w:t xml:space="preserve"> are:</w:t>
      </w:r>
    </w:p>
    <w:p>
      <w:pPr/>
      <w:r>
        <w:rPr>
          <w:lang w:val="en_US" w:bidi="en_US"/>
        </w:rPr>
      </w:r>
      <w:r>
        <w:rPr>
          <w:lang w:val="en_US" w:bidi="en_US"/>
        </w:rPr>
        <w:t>I am willing to accept whatever he wants. (NLT96)</w:t>
      </w:r>
    </w:p>
    <w:p>
      <w:pPr/>
      <w:r>
        <w:rPr>
          <w:lang w:val="en_US" w:bidi="en_US"/>
        </w:rPr>
      </w:r>
      <w:r>
        <w:rPr>
          <w:lang w:val="en_US" w:bidi="en_US"/>
        </w:rPr>
        <w:t>Let everything you’ve said happen to me. (GW)</w:t>
      </w:r>
    </w:p>
    <w:p>
      <w:pPr/>
      <w:r>
        <w:rPr>
          <w:lang w:val="en_US" w:bidi="en_US"/>
        </w:rPr>
      </w:r>
      <w:r>
        <w:rPr>
          <w:b/>
          <w:lang w:val="en_US" w:bidi="en_US"/>
        </w:rPr>
        <w:t>according to your word:</w:t>
      </w:r>
      <w:r>
        <w:rPr>
          <w:lang w:val="en_US" w:bidi="en_US"/>
        </w:rPr>
        <w:t xml:space="preserve"> The phrase </w:t>
      </w:r>
      <w:r>
        <w:rPr>
          <w:i/>
          <w:lang w:val="en_US" w:bidi="en_US"/>
        </w:rPr>
        <w:t>according to your word</w:t>
      </w:r>
      <w:r>
        <w:rPr>
          <w:lang w:val="en_US" w:bidi="en_US"/>
        </w:rPr>
        <w:t xml:space="preserve"> refers back to what the angel said in 1:31–37. He said that Mary would conceive a child without being married.</w:t>
      </w:r>
    </w:p>
    <w:p>
      <w:pPr>
        <w:pStyle w:val="Heading5"/>
      </w:pPr>
      <w:r>
        <w:rPr>
          <w:lang w:val="en_US" w:bidi="en_US"/>
        </w:rPr>
        <w:t>1:38c</w:t>
      </w:r>
    </w:p>
    <w:p>
      <w:pPr/>
      <w:r>
        <w:rPr>
          <w:lang w:val="en_US" w:bidi="en_US"/>
        </w:rPr>
      </w:r>
      <w:r>
        <w:rPr>
          <w:b/>
          <w:lang w:val="en_US" w:bidi="en_US"/>
        </w:rPr>
        <w:t>Then the angel left her.</w:t>
      </w:r>
    </w:p>
    <w:p>
      <w:pPr>
        <w:pStyle w:val="ListBullet"/>
        <w:spacing w:line="240" w:lineRule="auto"/>
        <w:ind w:left="720"/>
      </w:pPr>
      <w:r>
        <w:rPr>
          <w:lang w:val="en_US" w:bidi="en_US"/>
        </w:rPr>
      </w:r>
      <w:r>
        <w:rPr>
          <w:lang w:val="en_US" w:bidi="en_US"/>
        </w:rPr>
        <w:t>Then the angel went away from her.</w:t>
      </w:r>
    </w:p>
    <w:p>
      <w:pPr/>
      <w:r>
        <w:rPr>
          <w:lang w:val="en_US" w:bidi="en_US"/>
        </w:rPr>
      </w:r>
      <w:r>
        <w:rPr>
          <w:b/>
          <w:lang w:val="en_US" w:bidi="en_US"/>
        </w:rPr>
        <w:t>Then the angel left her:</w:t>
      </w:r>
      <w:r>
        <w:rPr>
          <w:lang w:val="en_US" w:bidi="en_US"/>
        </w:rPr>
        <w:t xml:space="preserve"> After Mary said the words in 1:38a–b, the angel left.</w:t>
      </w:r>
    </w:p>
    <w:p>
      <w:pPr/>
      <w:r>
        <w:rPr>
          <w:lang w:val="en_US" w:bidi="en_US"/>
        </w:rPr>
      </w:r>
      <w:r>
        <w:rPr>
          <w:b/>
          <w:lang w:val="en_US" w:bidi="en_US"/>
        </w:rPr>
        <w:t>angel:</w:t>
      </w:r>
      <w:r>
        <w:rPr>
          <w:lang w:val="en_US" w:bidi="en_US"/>
        </w:rPr>
        <w:t xml:space="preserve"> See the note at 1:11a for suggestions about how to translate the word angel. See also angel, Meaning 1, in the Glossary.</w:t>
      </w:r>
      <w:r>
        <w:rPr>
          <w:lang w:val="en_US" w:bidi="en_US"/>
        </w:rPr>
      </w:r>
      <w:r>
        <w:rPr>
          <w:lang w:val="en_US" w:bidi="en_US"/>
        </w:rPr>
      </w:r>
    </w:p>
    <w:p>
      <w:pPr/>
      <w:r>
        <w:rPr>
          <w:lang w:val="en_US" w:bidi="en_US"/>
        </w:rPr>
      </w:r>
    </w:p>
    <w:p>
      <w:pPr>
        <w:pStyle w:val="Heading2"/>
      </w:pPr>
      <w:r>
        <w:rPr>
          <w:lang w:val="en_US" w:bidi="en_US"/>
        </w:rPr>
        <w:t>Luke 1:39</w:t>
      </w:r>
      <w:r>
        <w:rPr>
          <w:lang w:val="en_US" w:bidi="en_US"/>
        </w:rPr>
      </w:r>
    </w:p>
    <w:p>
      <w:pPr>
        <w:pStyle w:val="Heading4"/>
      </w:pPr>
      <w:r>
        <w:rPr>
          <w:lang w:val="en_US" w:bidi="en_US"/>
        </w:rPr>
        <w:t>Section 1:39–45: Mary visited Elizabeth</w:t>
      </w:r>
    </w:p>
    <w:p>
      <w:pPr/>
      <w:r>
        <w:rPr>
          <w:lang w:val="en_US" w:bidi="en_US"/>
        </w:rPr>
      </w:r>
      <w:r>
        <w:rPr>
          <w:lang w:val="en_US" w:bidi="en_US"/>
        </w:rPr>
        <w:t>Soon after the angel visited Mary in Galilee, she went to visit her relative Elizabeth. Elizabeth lived in a town in Judea. Mary probably traveled from three to five days to reach there. The Holy Spirit revealed to Elizabeth that Mary was carrying the Christ/Messiah in her womb. This was confirmed also by Elizabeth’s baby, John, who leaped for joy in her womb. Elizabeth declared that Mary was blessed more than all women because God had chosen her for such an honor.</w:t>
      </w:r>
    </w:p>
    <w:p>
      <w:pPr/>
      <w:r>
        <w:rPr>
          <w:lang w:val="en_US" w:bidi="en_US"/>
        </w:rPr>
      </w:r>
      <w:r>
        <w:rPr>
          <w:lang w:val="en_US" w:bidi="en_US"/>
        </w:rPr>
        <w:t>Some other possible headings for this section are:</w:t>
      </w:r>
    </w:p>
    <w:p>
      <w:pPr/>
      <w:r>
        <w:rPr>
          <w:lang w:val="en_US" w:bidi="en_US"/>
        </w:rPr>
      </w:r>
      <w:r>
        <w:rPr>
          <w:lang w:val="en_US" w:bidi="en_US"/>
        </w:rPr>
        <w:t>Elizabeth affirmed that God had blessed Mary</w:t>
      </w:r>
    </w:p>
    <w:p>
      <w:pPr/>
      <w:r>
        <w:rPr>
          <w:lang w:val="en_US" w:bidi="en_US"/>
        </w:rPr>
      </w:r>
      <w:r>
        <w:rPr>
          <w:lang w:val="en_US" w:bidi="en_US"/>
        </w:rPr>
        <w:t>Elizabeth recognized that Mary would be the mother of the Christ</w:t>
      </w:r>
    </w:p>
    <w:p>
      <w:pPr>
        <w:pStyle w:val="Heading5"/>
      </w:pPr>
      <w:r>
        <w:rPr>
          <w:lang w:val="en_US" w:bidi="en_US"/>
        </w:rPr>
        <w:t>1:39a</w:t>
      </w:r>
    </w:p>
    <w:p>
      <w:pPr/>
      <w:r>
        <w:rPr>
          <w:lang w:val="en_US" w:bidi="en_US"/>
        </w:rPr>
      </w:r>
      <w:r>
        <w:rPr>
          <w:b/>
          <w:lang w:val="en_US" w:bidi="en_US"/>
        </w:rPr>
        <w:t>In those days Mary got ready and hurried</w:t>
      </w:r>
    </w:p>
    <w:p>
      <w:pPr>
        <w:pStyle w:val="ListBullet"/>
        <w:spacing w:line="240" w:lineRule="auto"/>
        <w:ind w:left="720"/>
      </w:pPr>
      <w:r>
        <w:rPr>
          <w:lang w:val="en_US" w:bidi="en_US"/>
        </w:rPr>
      </w:r>
      <w:r>
        <w:rPr>
          <w:lang w:val="en_US" w:bidi="en_US"/>
        </w:rPr>
        <w:t>¶ Soon afterward, Mary prepared in a hurry and went</w:t>
      </w:r>
    </w:p>
    <w:p>
      <w:pPr>
        <w:pStyle w:val="ListBullet"/>
        <w:spacing w:line="240" w:lineRule="auto"/>
        <w:ind w:left="720"/>
      </w:pPr>
      <w:r>
        <w:rPr>
          <w:lang w:val="en_US" w:bidi="en_US"/>
        </w:rPr>
      </w:r>
      <w:r>
        <w:rPr>
          <w:lang w:val="en_US" w:bidi="en_US"/>
        </w:rPr>
        <w:t>¶ Then Mary journeyed quickly</w:t>
      </w:r>
    </w:p>
    <w:p>
      <w:pPr>
        <w:pStyle w:val="ListBullet"/>
        <w:spacing w:line="240" w:lineRule="auto"/>
        <w:ind w:left="720"/>
      </w:pPr>
      <w:r>
        <w:rPr>
          <w:lang w:val="en_US" w:bidi="en_US"/>
        </w:rPr>
      </w:r>
      <w:r>
        <w:rPr>
          <w:lang w:val="en_US" w:bidi="en_US"/>
        </w:rPr>
        <w:t>¶ As soon as she could, Mary hurried off</w:t>
      </w:r>
    </w:p>
    <w:p>
      <w:pPr/>
      <w:r>
        <w:rPr>
          <w:lang w:val="en_US" w:bidi="en_US"/>
        </w:rPr>
      </w:r>
      <w:r>
        <w:rPr>
          <w:b/>
          <w:lang w:val="en_US" w:bidi="en_US"/>
        </w:rPr>
        <w:t>In those days:</w:t>
      </w:r>
      <w:r>
        <w:rPr>
          <w:lang w:val="en_US" w:bidi="en_US"/>
        </w:rPr>
        <w:t xml:space="preserve"> The Greek phrase that the BSB translates literally as </w:t>
      </w:r>
      <w:r>
        <w:rPr>
          <w:i/>
          <w:lang w:val="en_US" w:bidi="en_US"/>
        </w:rPr>
        <w:t>In those days</w:t>
      </w:r>
      <w:r>
        <w:rPr>
          <w:lang w:val="en_US" w:bidi="en_US"/>
        </w:rPr>
        <w:t xml:space="preserve"> means “at that time.” The word “days” is an idiom for a time period; it does not refer to specific days. After the angel left Mary, she was probably eager to see Elizabeth. She probably left as soon as she could prepare for the journey. Perhaps only a few days passed.</w:t>
      </w:r>
    </w:p>
    <w:p>
      <w:pPr/>
      <w:r>
        <w:rPr>
          <w:lang w:val="en_US" w:bidi="en_US"/>
        </w:rPr>
      </w:r>
      <w:r>
        <w:rPr>
          <w:lang w:val="en_US" w:bidi="en_US"/>
        </w:rPr>
        <w:t>Some other ways to translate this are:</w:t>
      </w:r>
    </w:p>
    <w:p>
      <w:pPr/>
      <w:r>
        <w:rPr>
          <w:lang w:val="en_US" w:bidi="en_US"/>
        </w:rPr>
      </w:r>
      <w:r>
        <w:rPr>
          <w:lang w:val="en_US" w:bidi="en_US"/>
        </w:rPr>
        <w:t>Soon afterward (GW)</w:t>
      </w:r>
    </w:p>
    <w:p>
      <w:pPr/>
      <w:r>
        <w:rPr>
          <w:lang w:val="en_US" w:bidi="en_US"/>
        </w:rPr>
      </w:r>
      <w:r>
        <w:rPr>
          <w:lang w:val="en_US" w:bidi="en_US"/>
        </w:rPr>
        <w:t>A few days later (NLT)</w:t>
      </w:r>
    </w:p>
    <w:p>
      <w:pPr/>
      <w:r>
        <w:rPr>
          <w:lang w:val="en_US" w:bidi="en_US"/>
        </w:rPr>
      </w:r>
      <w:r>
        <w:rPr>
          <w:lang w:val="en_US" w:bidi="en_US"/>
        </w:rPr>
        <w:t>A short time later (CEV)</w:t>
      </w:r>
    </w:p>
    <w:p>
      <w:pPr/>
      <w:r>
        <w:rPr>
          <w:lang w:val="en_US" w:bidi="en_US"/>
        </w:rPr>
      </w:r>
      <w:r>
        <w:rPr>
          <w:b/>
          <w:lang w:val="en_US" w:bidi="en_US"/>
        </w:rPr>
        <w:t>Mary got ready and hurried:</w:t>
      </w:r>
      <w:r>
        <w:rPr>
          <w:lang w:val="en_US" w:bidi="en_US"/>
        </w:rPr>
        <w:t xml:space="preserve"> The Greek expression that the BSB translates as </w:t>
      </w:r>
      <w:r>
        <w:rPr>
          <w:i/>
          <w:lang w:val="en_US" w:bidi="en_US"/>
        </w:rPr>
        <w:t>Mary got ready and hurried</w:t>
      </w:r>
      <w:r>
        <w:rPr>
          <w:lang w:val="en_US" w:bidi="en_US"/>
        </w:rPr>
        <w:t xml:space="preserve"> is literally “rising up, Mary went with haste.” Luke often used the verb “rising up” to describe beginning an action or preparing for it. Here it does not refer literally to standing up. Some ways to translate it in this context are:</w:t>
      </w:r>
    </w:p>
    <w:p>
      <w:pPr/>
      <w:r>
        <w:rPr>
          <w:lang w:val="en_US" w:bidi="en_US"/>
        </w:rPr>
      </w:r>
      <w:r>
        <w:rPr>
          <w:lang w:val="en_US" w:bidi="en_US"/>
        </w:rPr>
        <w:t>Mary set out and hurried away (REB)</w:t>
      </w:r>
    </w:p>
    <w:p>
      <w:pPr/>
      <w:r>
        <w:rPr>
          <w:lang w:val="en_US" w:bidi="en_US"/>
        </w:rPr>
      </w:r>
      <w:r>
        <w:rPr>
          <w:lang w:val="en_US" w:bidi="en_US"/>
        </w:rPr>
        <w:t xml:space="preserve">Mary prepared </w:t>
      </w:r>
      <w:r>
        <w:rPr>
          <w:lang w:val="en_US" w:bidi="en_US"/>
        </w:rPr>
        <w:t>for a trip</w:t>
      </w:r>
      <w:r>
        <w:rPr>
          <w:lang w:val="en_US" w:bidi="en_US"/>
        </w:rPr>
        <w:t xml:space="preserve"> and hurried</w:t>
      </w:r>
    </w:p>
    <w:p>
      <w:pPr/>
      <w:r>
        <w:rPr>
          <w:lang w:val="en_US" w:bidi="en_US"/>
        </w:rPr>
      </w:r>
      <w:r>
        <w:rPr>
          <w:lang w:val="en_US" w:bidi="en_US"/>
        </w:rPr>
        <w:t>In some languages it may not be necessary to translate this idea explicitly. For example:</w:t>
      </w:r>
    </w:p>
    <w:p>
      <w:pPr/>
      <w:r>
        <w:rPr>
          <w:lang w:val="en_US" w:bidi="en_US"/>
        </w:rPr>
      </w:r>
      <w:r>
        <w:rPr>
          <w:lang w:val="en_US" w:bidi="en_US"/>
        </w:rPr>
        <w:t>Mary hurried to a town (CEV)</w:t>
      </w:r>
    </w:p>
    <w:p>
      <w:pPr>
        <w:pStyle w:val="Heading5"/>
      </w:pPr>
      <w:r>
        <w:rPr>
          <w:lang w:val="en_US" w:bidi="en_US"/>
        </w:rPr>
        <w:t>1:39b</w:t>
      </w:r>
    </w:p>
    <w:p>
      <w:pPr/>
      <w:r>
        <w:rPr>
          <w:lang w:val="en_US" w:bidi="en_US"/>
        </w:rPr>
      </w:r>
      <w:r>
        <w:rPr>
          <w:b/>
          <w:lang w:val="en_US" w:bidi="en_US"/>
        </w:rPr>
        <w:t>to a town in the hill country of Judah,</w:t>
      </w:r>
    </w:p>
    <w:p>
      <w:pPr>
        <w:pStyle w:val="ListBullet"/>
        <w:spacing w:line="240" w:lineRule="auto"/>
        <w:ind w:left="720"/>
      </w:pPr>
      <w:r>
        <w:rPr>
          <w:lang w:val="en_US" w:bidi="en_US"/>
        </w:rPr>
      </w:r>
      <w:r>
        <w:rPr>
          <w:lang w:val="en_US" w:bidi="en_US"/>
        </w:rPr>
        <w:t xml:space="preserve">to the hill country of Judea, to a town there </w:t>
      </w:r>
      <w:r>
        <w:rPr>
          <w:lang w:val="en_US" w:bidi="en_US"/>
        </w:rPr>
        <w:t>where Zechariah lived</w:t>
      </w:r>
      <w:r>
        <w:rPr>
          <w:lang w:val="en_US" w:bidi="en_US"/>
        </w:rPr>
        <w:t>.</w:t>
      </w:r>
    </w:p>
    <w:p>
      <w:pPr>
        <w:pStyle w:val="ListBullet"/>
        <w:spacing w:line="240" w:lineRule="auto"/>
        <w:ind w:left="720"/>
      </w:pPr>
      <w:r>
        <w:rPr>
          <w:lang w:val="en_US" w:bidi="en_US"/>
        </w:rPr>
      </w:r>
      <w:r>
        <w:rPr>
          <w:lang w:val="en_US" w:bidi="en_US"/>
        </w:rPr>
        <w:t xml:space="preserve">toward a town in the highlands of </w:t>
      </w:r>
      <w:r>
        <w:rPr>
          <w:lang w:val="en_US" w:bidi="en_US"/>
        </w:rPr>
        <w:t>the region/province of</w:t>
      </w:r>
      <w:r>
        <w:rPr>
          <w:lang w:val="en_US" w:bidi="en_US"/>
        </w:rPr>
        <w:t xml:space="preserve"> Judea </w:t>
      </w:r>
      <w:r>
        <w:rPr>
          <w:lang w:val="en_US" w:bidi="en_US"/>
        </w:rPr>
        <w:t>where Elizabeth and Zechariah lived</w:t>
      </w:r>
      <w:r>
        <w:rPr>
          <w:lang w:val="en_US" w:bidi="en_US"/>
        </w:rPr>
        <w:t xml:space="preserve">. </w:t>
      </w:r>
      <w:r>
        <w:rPr>
          <w:lang w:val="en_US" w:bidi="en_US"/>
        </w:rPr>
        <w:t>On arriving there,</w:t>
      </w:r>
    </w:p>
    <w:p>
      <w:pPr>
        <w:pStyle w:val="ListBullet"/>
        <w:spacing w:line="240" w:lineRule="auto"/>
        <w:ind w:left="720"/>
      </w:pPr>
      <w:r>
        <w:rPr>
          <w:lang w:val="en_US" w:bidi="en_US"/>
        </w:rPr>
      </w:r>
      <w:r>
        <w:rPr>
          <w:lang w:val="en_US" w:bidi="en_US"/>
        </w:rPr>
        <w:t xml:space="preserve">to a large village in the hilly country of Judea </w:t>
      </w:r>
      <w:r>
        <w:rPr>
          <w:lang w:val="en_US" w:bidi="en_US"/>
        </w:rPr>
        <w:t>to see Elizabeth</w:t>
      </w:r>
      <w:r>
        <w:rPr>
          <w:lang w:val="en_US" w:bidi="en_US"/>
        </w:rPr>
        <w:t xml:space="preserve">. </w:t>
      </w:r>
      <w:r>
        <w:rPr>
          <w:lang w:val="en_US" w:bidi="en_US"/>
        </w:rPr>
        <w:t>When she arrived,</w:t>
      </w:r>
    </w:p>
    <w:p>
      <w:pPr/>
      <w:r>
        <w:rPr>
          <w:lang w:val="en_US" w:bidi="en_US"/>
        </w:rPr>
      </w:r>
      <w:r>
        <w:rPr>
          <w:b/>
          <w:lang w:val="en_US" w:bidi="en_US"/>
        </w:rPr>
        <w:t>to a town in the hill country of Judah:</w:t>
      </w:r>
      <w:r>
        <w:rPr>
          <w:lang w:val="en_US" w:bidi="en_US"/>
        </w:rPr>
        <w:t xml:space="preserve"> This </w:t>
      </w:r>
      <w:r>
        <w:rPr>
          <w:i/>
          <w:lang w:val="en_US" w:bidi="en_US"/>
        </w:rPr>
        <w:t>town</w:t>
      </w:r>
      <w:r>
        <w:rPr>
          <w:lang w:val="en_US" w:bidi="en_US"/>
        </w:rPr>
        <w:t xml:space="preserve"> was where Elizabeth and Zechariah lived. Luke did not give the name of the town. The distance from Nazareth to that town in the hill country was between 100 and 150 kilometers (70–100 miles). Mary would have walked or traveled by donkey.</w:t>
      </w:r>
    </w:p>
    <w:p>
      <w:pPr/>
      <w:r>
        <w:rPr>
          <w:lang w:val="en_US" w:bidi="en_US"/>
        </w:rPr>
      </w:r>
      <w:r>
        <w:rPr>
          <w:b/>
          <w:lang w:val="en_US" w:bidi="en_US"/>
        </w:rPr>
        <w:t>Judah:</w:t>
      </w:r>
      <w:r>
        <w:rPr>
          <w:lang w:val="en_US" w:bidi="en_US"/>
        </w:rPr>
        <w:t xml:space="preserve"> </w:t>
      </w:r>
      <w:r>
        <w:rPr>
          <w:i/>
          <w:lang w:val="en_US" w:bidi="en_US"/>
        </w:rPr>
        <w:t>Judah</w:t>
      </w:r>
      <w:r>
        <w:rPr>
          <w:lang w:val="en_US" w:bidi="en_US"/>
        </w:rPr>
        <w:t xml:space="preserve"> was one of the provinces or districts that Rome ruled. It was one of the areas where Jews lived.</w:t>
      </w:r>
    </w:p>
    <w:p>
      <w:pPr/>
      <w:r>
        <w:rPr>
          <w:lang w:val="en_US" w:bidi="en_US"/>
        </w:rPr>
      </w:r>
      <w:r>
        <w:rPr>
          <w:lang w:val="en_US" w:bidi="en_US"/>
        </w:rPr>
        <w:t xml:space="preserve">The word </w:t>
      </w:r>
      <w:r>
        <w:rPr>
          <w:i/>
          <w:lang w:val="en_US" w:bidi="en_US"/>
        </w:rPr>
        <w:t>Judah</w:t>
      </w:r>
      <w:r>
        <w:rPr>
          <w:lang w:val="en_US" w:bidi="en_US"/>
        </w:rPr>
        <w:t xml:space="preserve"> occurs both here and in 1:65b, but it is spelled differently in Greek. Some English versions, including the BSB, show the difference in spelling and transliterate this word as “Judah” here and “Judea” in 1:65b. However, since both spellings refer to the same province, it is recommended that you spell it the same way in both places.</w:t>
      </w:r>
      <w:r>
        <w:rPr>
          <w:lang w:val="en_US" w:bidi="en_US"/>
        </w:rPr>
      </w:r>
      <w:r>
        <w:rPr>
          <w:lang w:val="en_US" w:bidi="en_US"/>
        </w:rPr>
      </w:r>
    </w:p>
    <w:p>
      <w:pPr/>
      <w:r>
        <w:rPr>
          <w:lang w:val="en_US" w:bidi="en_US"/>
        </w:rPr>
      </w:r>
    </w:p>
    <w:p>
      <w:pPr>
        <w:pStyle w:val="Heading2"/>
      </w:pPr>
      <w:r>
        <w:rPr>
          <w:lang w:val="en_US" w:bidi="en_US"/>
        </w:rPr>
        <w:t>Luke 1:40</w:t>
      </w:r>
      <w:r>
        <w:rPr>
          <w:lang w:val="en_US" w:bidi="en_US"/>
        </w:rPr>
      </w:r>
    </w:p>
    <w:p>
      <w:pPr>
        <w:pStyle w:val="Heading4"/>
      </w:pPr>
      <w:r>
        <w:rPr>
          <w:lang w:val="en_US" w:bidi="en_US"/>
        </w:rPr>
        <w:t>Section 1:39–45: Mary visited Elizabeth</w:t>
      </w:r>
    </w:p>
    <w:p>
      <w:pPr/>
      <w:r>
        <w:rPr>
          <w:lang w:val="en_US" w:bidi="en_US"/>
        </w:rPr>
      </w:r>
      <w:r>
        <w:rPr>
          <w:lang w:val="en_US" w:bidi="en_US"/>
        </w:rPr>
        <w:t>Soon after the angel visited Mary in Galilee, she went to visit her relative Elizabeth. Elizabeth lived in a town in Judea. Mary probably traveled from three to five days to reach there. The Holy Spirit revealed to Elizabeth that Mary was carrying the Christ/Messiah in her womb. This was confirmed also by Elizabeth’s baby, John, who leaped for joy in her womb. Elizabeth declared that Mary was blessed more than all women because God had chosen her for such an honor.</w:t>
      </w:r>
    </w:p>
    <w:p>
      <w:pPr/>
      <w:r>
        <w:rPr>
          <w:lang w:val="en_US" w:bidi="en_US"/>
        </w:rPr>
      </w:r>
      <w:r>
        <w:rPr>
          <w:lang w:val="en_US" w:bidi="en_US"/>
        </w:rPr>
        <w:t>Some other possible headings for this section are:</w:t>
      </w:r>
    </w:p>
    <w:p>
      <w:pPr/>
      <w:r>
        <w:rPr>
          <w:lang w:val="en_US" w:bidi="en_US"/>
        </w:rPr>
      </w:r>
      <w:r>
        <w:rPr>
          <w:lang w:val="en_US" w:bidi="en_US"/>
        </w:rPr>
        <w:t>Elizabeth affirmed that God had blessed Mary</w:t>
      </w:r>
    </w:p>
    <w:p>
      <w:pPr/>
      <w:r>
        <w:rPr>
          <w:lang w:val="en_US" w:bidi="en_US"/>
        </w:rPr>
      </w:r>
      <w:r>
        <w:rPr>
          <w:lang w:val="en_US" w:bidi="en_US"/>
        </w:rPr>
        <w:t>Elizabeth recognized that Mary would be the mother of the Christ</w:t>
      </w:r>
    </w:p>
    <w:p>
      <w:pPr>
        <w:pStyle w:val="Heading5"/>
      </w:pPr>
      <w:r>
        <w:rPr>
          <w:lang w:val="en_US" w:bidi="en_US"/>
        </w:rPr>
        <w:t>1:40</w:t>
      </w:r>
    </w:p>
    <w:p>
      <w:pPr/>
      <w:r>
        <w:rPr>
          <w:lang w:val="en_US" w:bidi="en_US"/>
        </w:rPr>
      </w:r>
      <w:r>
        <w:rPr>
          <w:b/>
          <w:lang w:val="en_US" w:bidi="en_US"/>
        </w:rPr>
        <w:t>where she entered the home of Zechariah and greeted Elizabeth.</w:t>
      </w:r>
    </w:p>
    <w:p>
      <w:pPr>
        <w:pStyle w:val="ListBullet"/>
        <w:spacing w:line="240" w:lineRule="auto"/>
        <w:ind w:left="720"/>
      </w:pPr>
      <w:r>
        <w:rPr>
          <w:lang w:val="en_US" w:bidi="en_US"/>
        </w:rPr>
      </w:r>
      <w:r>
        <w:rPr>
          <w:lang w:val="en_US" w:bidi="en_US"/>
        </w:rPr>
        <w:t>She entered Zechariah’s house and greeted Elizabeth.</w:t>
      </w:r>
    </w:p>
    <w:p>
      <w:pPr>
        <w:pStyle w:val="ListBullet"/>
        <w:spacing w:line="240" w:lineRule="auto"/>
        <w:ind w:left="720"/>
      </w:pPr>
      <w:r>
        <w:rPr>
          <w:lang w:val="en_US" w:bidi="en_US"/>
        </w:rPr>
      </w:r>
      <w:r>
        <w:rPr>
          <w:lang w:val="en_US" w:bidi="en_US"/>
        </w:rPr>
        <w:t xml:space="preserve">she went into Zechariah’s </w:t>
      </w:r>
      <w:r>
        <w:rPr>
          <w:lang w:val="en_US" w:bidi="en_US"/>
        </w:rPr>
        <w:t>and Elizabeth’s</w:t>
      </w:r>
      <w:r>
        <w:rPr>
          <w:lang w:val="en_US" w:bidi="en_US"/>
        </w:rPr>
        <w:t xml:space="preserve"> home and greeted Elizabeth, saying, “Peace to you.”</w:t>
      </w:r>
    </w:p>
    <w:p>
      <w:pPr/>
      <w:r>
        <w:rPr>
          <w:lang w:val="en_US" w:bidi="en_US"/>
        </w:rPr>
      </w:r>
      <w:r>
        <w:rPr>
          <w:b/>
          <w:lang w:val="en_US" w:bidi="en_US"/>
        </w:rPr>
        <w:t>where she entered the home of Zechariah:</w:t>
      </w:r>
      <w:r>
        <w:rPr>
          <w:lang w:val="en_US" w:bidi="en_US"/>
        </w:rPr>
        <w:t xml:space="preserve"> In this verse, Mary entered Zechariah’s house. Luke did not first say explicitly that Mary arrived in the town or at the house. In some languages, it may be necessary to make this information explicit. For example:</w:t>
      </w:r>
    </w:p>
    <w:p>
      <w:pPr/>
      <w:r>
        <w:rPr>
          <w:lang w:val="en_US" w:bidi="en_US"/>
        </w:rPr>
      </w:r>
      <w:r>
        <w:rPr>
          <w:lang w:val="en_US" w:bidi="en_US"/>
        </w:rPr>
        <w:t xml:space="preserve">When she arrived at </w:t>
      </w:r>
      <w:r>
        <w:rPr>
          <w:lang w:val="en_US" w:bidi="en_US"/>
        </w:rPr>
        <w:t>Zechariah’s home, she went in</w:t>
      </w:r>
    </w:p>
    <w:p>
      <w:pPr/>
      <w:r>
        <w:rPr>
          <w:lang w:val="en_US" w:bidi="en_US"/>
        </w:rPr>
      </w:r>
      <w:r>
        <w:rPr>
          <w:lang w:val="en_US" w:bidi="en_US"/>
        </w:rPr>
        <w:t>to see Elizabeth. Having arrived,</w:t>
      </w:r>
      <w:r>
        <w:rPr>
          <w:lang w:val="en_US" w:bidi="en_US"/>
        </w:rPr>
        <w:t xml:space="preserve"> she entered Zechariah’s home</w:t>
      </w:r>
    </w:p>
    <w:p>
      <w:pPr/>
      <w:r>
        <w:rPr>
          <w:lang w:val="en_US" w:bidi="en_US"/>
        </w:rPr>
      </w:r>
      <w:r>
        <w:rPr>
          <w:lang w:val="en_US" w:bidi="en_US"/>
        </w:rPr>
        <w:t>She arrived at the place where Elizabeth and Zechariah lived.</w:t>
      </w:r>
      <w:r>
        <w:rPr>
          <w:lang w:val="en_US" w:bidi="en_US"/>
        </w:rPr>
        <w:t xml:space="preserve"> Then she came in</w:t>
      </w:r>
    </w:p>
    <w:p>
      <w:pPr/>
      <w:r>
        <w:rPr>
          <w:lang w:val="en_US" w:bidi="en_US"/>
        </w:rPr>
      </w:r>
      <w:r>
        <w:rPr>
          <w:lang w:val="en_US" w:bidi="en_US"/>
        </w:rPr>
        <w:t>You may include this information either at the end of 1:39b or at the beginning of 1:40. In the Display, this information is at the end of 1:39b.</w:t>
      </w:r>
      <w:r>
        <w:rPr>
          <w:lang w:val="en_US" w:bidi="en_US"/>
        </w:rPr>
      </w:r>
      <w:r>
        <w:rPr>
          <w:lang w:val="en_US" w:bidi="en_US"/>
        </w:rPr>
      </w:r>
    </w:p>
    <w:p>
      <w:pPr/>
      <w:r>
        <w:rPr>
          <w:lang w:val="en_US" w:bidi="en_US"/>
        </w:rPr>
      </w:r>
    </w:p>
    <w:p>
      <w:pPr>
        <w:pStyle w:val="Heading2"/>
      </w:pPr>
      <w:r>
        <w:rPr>
          <w:lang w:val="en_US" w:bidi="en_US"/>
        </w:rPr>
        <w:t>Luke 1:41</w:t>
      </w:r>
      <w:r>
        <w:rPr>
          <w:lang w:val="en_US" w:bidi="en_US"/>
        </w:rPr>
      </w:r>
    </w:p>
    <w:p>
      <w:pPr>
        <w:pStyle w:val="Heading4"/>
      </w:pPr>
      <w:r>
        <w:rPr>
          <w:lang w:val="en_US" w:bidi="en_US"/>
        </w:rPr>
        <w:t>Section 1:39–45: Mary visited Elizabeth</w:t>
      </w:r>
    </w:p>
    <w:p>
      <w:pPr/>
      <w:r>
        <w:rPr>
          <w:lang w:val="en_US" w:bidi="en_US"/>
        </w:rPr>
      </w:r>
      <w:r>
        <w:rPr>
          <w:lang w:val="en_US" w:bidi="en_US"/>
        </w:rPr>
        <w:t>Soon after the angel visited Mary in Galilee, she went to visit her relative Elizabeth. Elizabeth lived in a town in Judea. Mary probably traveled from three to five days to reach there. The Holy Spirit revealed to Elizabeth that Mary was carrying the Christ/Messiah in her womb. This was confirmed also by Elizabeth’s baby, John, who leaped for joy in her womb. Elizabeth declared that Mary was blessed more than all women because God had chosen her for such an honor.</w:t>
      </w:r>
    </w:p>
    <w:p>
      <w:pPr/>
      <w:r>
        <w:rPr>
          <w:lang w:val="en_US" w:bidi="en_US"/>
        </w:rPr>
      </w:r>
      <w:r>
        <w:rPr>
          <w:lang w:val="en_US" w:bidi="en_US"/>
        </w:rPr>
        <w:t>Some other possible headings for this section are:</w:t>
      </w:r>
    </w:p>
    <w:p>
      <w:pPr/>
      <w:r>
        <w:rPr>
          <w:lang w:val="en_US" w:bidi="en_US"/>
        </w:rPr>
      </w:r>
      <w:r>
        <w:rPr>
          <w:lang w:val="en_US" w:bidi="en_US"/>
        </w:rPr>
        <w:t>Elizabeth affirmed that God had blessed Mary</w:t>
      </w:r>
    </w:p>
    <w:p>
      <w:pPr/>
      <w:r>
        <w:rPr>
          <w:lang w:val="en_US" w:bidi="en_US"/>
        </w:rPr>
      </w:r>
      <w:r>
        <w:rPr>
          <w:lang w:val="en_US" w:bidi="en_US"/>
        </w:rPr>
        <w:t>Elizabeth recognized that Mary would be the mother of the Christ</w:t>
      </w:r>
    </w:p>
    <w:p>
      <w:pPr>
        <w:pStyle w:val="Heading5"/>
      </w:pPr>
      <w:r>
        <w:rPr>
          <w:lang w:val="en_US" w:bidi="en_US"/>
        </w:rPr>
        <w:t>1:41a</w:t>
      </w:r>
    </w:p>
    <w:p>
      <w:pPr/>
      <w:r>
        <w:rPr>
          <w:lang w:val="en_US" w:bidi="en_US"/>
        </w:rPr>
      </w:r>
      <w:r>
        <w:rPr>
          <w:b/>
          <w:lang w:val="en_US" w:bidi="en_US"/>
        </w:rPr>
        <w:t>When Elizabeth heard Mary’s greeting, the baby leaped in her womb,</w:t>
      </w:r>
    </w:p>
    <w:p>
      <w:pPr>
        <w:pStyle w:val="ListBullet"/>
        <w:spacing w:line="240" w:lineRule="auto"/>
        <w:ind w:left="720"/>
      </w:pPr>
      <w:r>
        <w:rPr>
          <w:lang w:val="en_US" w:bidi="en_US"/>
        </w:rPr>
      </w:r>
      <w:r>
        <w:rPr>
          <w:lang w:val="en_US" w:bidi="en_US"/>
        </w:rPr>
        <w:t xml:space="preserve">When Elizabeth heard Mary greet </w:t>
      </w:r>
      <w:r>
        <w:rPr>
          <w:lang w:val="en_US" w:bidi="en_US"/>
        </w:rPr>
        <w:t>her</w:t>
      </w:r>
      <w:r>
        <w:rPr>
          <w:lang w:val="en_US" w:bidi="en_US"/>
        </w:rPr>
        <w:t xml:space="preserve">, the baby in </w:t>
      </w:r>
      <w:r>
        <w:rPr>
          <w:lang w:val="en_US" w:bidi="en_US"/>
        </w:rPr>
        <w:t>Elizabeth’s</w:t>
      </w:r>
      <w:r>
        <w:rPr>
          <w:lang w:val="en_US" w:bidi="en_US"/>
        </w:rPr>
        <w:t xml:space="preserve"> womb jumped/moved.</w:t>
      </w:r>
    </w:p>
    <w:p>
      <w:pPr>
        <w:pStyle w:val="ListBullet"/>
        <w:spacing w:line="240" w:lineRule="auto"/>
        <w:ind w:left="720"/>
      </w:pPr>
      <w:r>
        <w:rPr>
          <w:lang w:val="en_US" w:bidi="en_US"/>
        </w:rPr>
      </w:r>
      <w:r>
        <w:rPr>
          <w:lang w:val="en_US" w:bidi="en_US"/>
        </w:rPr>
        <w:t xml:space="preserve">As soon as Elizabeth heard Mary greet </w:t>
      </w:r>
      <w:r>
        <w:rPr>
          <w:lang w:val="en_US" w:bidi="en_US"/>
        </w:rPr>
        <w:t>her</w:t>
      </w:r>
      <w:r>
        <w:rPr>
          <w:lang w:val="en_US" w:bidi="en_US"/>
        </w:rPr>
        <w:t xml:space="preserve">, the unborn child moved within her </w:t>
      </w:r>
      <w:r>
        <w:rPr>
          <w:lang w:val="en_US" w:bidi="en_US"/>
        </w:rPr>
        <w:t>joyously</w:t>
      </w:r>
      <w:r>
        <w:rPr>
          <w:lang w:val="en_US" w:bidi="en_US"/>
        </w:rPr>
        <w:t>.</w:t>
      </w:r>
    </w:p>
    <w:p>
      <w:pPr/>
      <w:r>
        <w:rPr>
          <w:lang w:val="en_US" w:bidi="en_US"/>
        </w:rPr>
      </w:r>
      <w:r>
        <w:rPr>
          <w:b/>
          <w:lang w:val="en_US" w:bidi="en_US"/>
        </w:rPr>
        <w:t>the baby:</w:t>
      </w:r>
      <w:r>
        <w:rPr>
          <w:lang w:val="en_US" w:bidi="en_US"/>
        </w:rPr>
        <w:t xml:space="preserve"> The Greek word that the BSB translates as </w:t>
      </w:r>
      <w:r>
        <w:rPr>
          <w:i/>
          <w:lang w:val="en_US" w:bidi="en_US"/>
        </w:rPr>
        <w:t>the baby</w:t>
      </w:r>
      <w:r>
        <w:rPr>
          <w:lang w:val="en_US" w:bidi="en_US"/>
        </w:rPr>
        <w:t xml:space="preserve"> here refers to Elizabeth’s unborn baby.</w:t>
      </w:r>
    </w:p>
    <w:p>
      <w:pPr/>
      <w:r>
        <w:rPr>
          <w:lang w:val="en_US" w:bidi="en_US"/>
        </w:rPr>
      </w:r>
      <w:r>
        <w:rPr>
          <w:b/>
          <w:lang w:val="en_US" w:bidi="en_US"/>
        </w:rPr>
        <w:t>leaped:</w:t>
      </w:r>
      <w:r>
        <w:rPr>
          <w:lang w:val="en_US" w:bidi="en_US"/>
        </w:rPr>
        <w:t xml:space="preserve"> The Greek word that the BSB translates as </w:t>
      </w:r>
      <w:r>
        <w:rPr>
          <w:i/>
          <w:lang w:val="en_US" w:bidi="en_US"/>
        </w:rPr>
        <w:t>leaped</w:t>
      </w:r>
      <w:r>
        <w:rPr>
          <w:lang w:val="en_US" w:bidi="en_US"/>
        </w:rPr>
        <w:t xml:space="preserve"> normally refers to leaping or jumping for joy. Since this baby was in the womb, here it probably refers to a vigorous, strong movement of the baby’s legs. Use a word that a mother in your language might use to describe the strong movements of a baby in the womb.</w:t>
      </w:r>
    </w:p>
    <w:p>
      <w:pPr/>
      <w:r>
        <w:rPr>
          <w:lang w:val="en_US" w:bidi="en_US"/>
        </w:rPr>
      </w:r>
      <w:r>
        <w:rPr>
          <w:b/>
          <w:lang w:val="en_US" w:bidi="en_US"/>
        </w:rPr>
        <w:t>in her womb:</w:t>
      </w:r>
      <w:r>
        <w:rPr>
          <w:lang w:val="en_US" w:bidi="en_US"/>
        </w:rPr>
        <w:t xml:space="preserve"> The Greek word that the BSB translates as </w:t>
      </w:r>
      <w:r>
        <w:rPr>
          <w:i/>
          <w:lang w:val="en_US" w:bidi="en_US"/>
        </w:rPr>
        <w:t>womb</w:t>
      </w:r>
      <w:r>
        <w:rPr>
          <w:lang w:val="en_US" w:bidi="en_US"/>
        </w:rPr>
        <w:t xml:space="preserve"> refers to the part of a woman’s body where an unborn baby grows. People in some cultures do not publicly refer to the </w:t>
      </w:r>
      <w:r>
        <w:rPr>
          <w:i/>
          <w:lang w:val="en_US" w:bidi="en_US"/>
        </w:rPr>
        <w:t>womb</w:t>
      </w:r>
      <w:r>
        <w:rPr>
          <w:lang w:val="en_US" w:bidi="en_US"/>
        </w:rPr>
        <w:t xml:space="preserve">. If that is true in your culture, you may need to translate this in a more general way. For example you could translate </w:t>
      </w:r>
      <w:r>
        <w:rPr>
          <w:i/>
          <w:lang w:val="en_US" w:bidi="en_US"/>
        </w:rPr>
        <w:t>in her womb</w:t>
      </w:r>
      <w:r>
        <w:rPr>
          <w:lang w:val="en_US" w:bidi="en_US"/>
        </w:rPr>
        <w:t xml:space="preserve"> as “within her.”</w:t>
      </w:r>
    </w:p>
    <w:p>
      <w:pPr>
        <w:pStyle w:val="Heading5"/>
      </w:pPr>
      <w:r>
        <w:rPr>
          <w:lang w:val="en_US" w:bidi="en_US"/>
        </w:rPr>
        <w:t>1:41b</w:t>
      </w:r>
    </w:p>
    <w:p>
      <w:pPr/>
      <w:r>
        <w:rPr>
          <w:lang w:val="en_US" w:bidi="en_US"/>
        </w:rPr>
      </w:r>
      <w:r>
        <w:rPr>
          <w:b/>
          <w:lang w:val="en_US" w:bidi="en_US"/>
        </w:rPr>
        <w:t>and Elizabeth was filled with the Holy Spirit.</w:t>
      </w:r>
    </w:p>
    <w:p>
      <w:pPr>
        <w:pStyle w:val="ListBullet"/>
        <w:spacing w:line="240" w:lineRule="auto"/>
        <w:ind w:left="720"/>
      </w:pPr>
      <w:r>
        <w:rPr>
          <w:lang w:val="en_US" w:bidi="en_US"/>
        </w:rPr>
      </w:r>
      <w:r>
        <w:rPr>
          <w:lang w:val="en_US" w:bidi="en_US"/>
        </w:rPr>
        <w:t>Then Elizabeth was guided/controlled by the Holy Spirit,</w:t>
      </w:r>
    </w:p>
    <w:p>
      <w:pPr>
        <w:pStyle w:val="ListBullet"/>
        <w:spacing w:line="240" w:lineRule="auto"/>
        <w:ind w:left="720"/>
      </w:pPr>
      <w:r>
        <w:rPr>
          <w:lang w:val="en_US" w:bidi="en_US"/>
        </w:rPr>
      </w:r>
      <w:r>
        <w:rPr>
          <w:lang w:val="en_US" w:bidi="en_US"/>
        </w:rPr>
        <w:t xml:space="preserve">Then the Holy Spirit </w:t>
      </w:r>
      <w:r>
        <w:rPr>
          <w:lang w:val="en_US" w:bidi="en_US"/>
        </w:rPr>
        <w:t>of God</w:t>
      </w:r>
      <w:r>
        <w:rPr>
          <w:lang w:val="en_US" w:bidi="en_US"/>
        </w:rPr>
        <w:t xml:space="preserve"> gave Elizabeth </w:t>
      </w:r>
      <w:r>
        <w:rPr>
          <w:lang w:val="en_US" w:bidi="en_US"/>
        </w:rPr>
        <w:t>special</w:t>
      </w:r>
      <w:r>
        <w:rPr>
          <w:lang w:val="en_US" w:bidi="en_US"/>
        </w:rPr>
        <w:t xml:space="preserve"> power/insight</w:t>
      </w:r>
    </w:p>
    <w:p>
      <w:pPr>
        <w:pStyle w:val="ListBullet"/>
        <w:spacing w:line="240" w:lineRule="auto"/>
        <w:ind w:left="720"/>
      </w:pPr>
      <w:r>
        <w:rPr>
          <w:lang w:val="en_US" w:bidi="en_US"/>
        </w:rPr>
      </w:r>
      <w:r>
        <w:rPr>
          <w:lang w:val="en_US" w:bidi="en_US"/>
        </w:rPr>
        <w:t xml:space="preserve">The Holy Spirit came to Elizabeth </w:t>
      </w:r>
      <w:r>
        <w:rPr>
          <w:lang w:val="en_US" w:bidi="en_US"/>
        </w:rPr>
        <w:t>and gave her insight about Mary’s baby</w:t>
      </w:r>
    </w:p>
    <w:p>
      <w:pPr/>
      <w:r>
        <w:rPr>
          <w:lang w:val="en_US" w:bidi="en_US"/>
        </w:rPr>
      </w:r>
      <w:r>
        <w:rPr>
          <w:b/>
          <w:lang w:val="en_US" w:bidi="en_US"/>
        </w:rPr>
        <w:t>Elizabeth was filled with the Holy Spirit:</w:t>
      </w:r>
      <w:r>
        <w:rPr>
          <w:lang w:val="en_US" w:bidi="en_US"/>
        </w:rPr>
        <w:t xml:space="preserve"> The Greek expression that the BSB translates as </w:t>
      </w:r>
      <w:r>
        <w:rPr>
          <w:i/>
          <w:lang w:val="en_US" w:bidi="en_US"/>
        </w:rPr>
        <w:t>was filled with the Holy Spirit</w:t>
      </w:r>
      <w:r>
        <w:rPr>
          <w:lang w:val="en_US" w:bidi="en_US"/>
        </w:rPr>
        <w:t xml:space="preserve"> is a common figure of speech in the New Testament. It describes when the Holy Spirit comes to someone to guide, control, or enable him or her to do something. Here the Holy Spirit enabled Elizabeth to know and speak things about Mary and the baby in Mary’s womb. Elizabeth could not have known these things by herself.</w:t>
      </w:r>
    </w:p>
    <w:p>
      <w:pPr/>
      <w:r>
        <w:rPr>
          <w:lang w:val="en_US" w:bidi="en_US"/>
        </w:rPr>
      </w:r>
      <w:r>
        <w:rPr>
          <w:lang w:val="en_US" w:bidi="en_US"/>
        </w:rPr>
        <w:t>Some ways to translate the expression in this context are:</w:t>
      </w:r>
    </w:p>
    <w:p>
      <w:pPr/>
      <w:r>
        <w:rPr>
          <w:lang w:val="en_US" w:bidi="en_US"/>
        </w:rPr>
      </w:r>
      <w:r>
        <w:rPr>
          <w:lang w:val="en_US" w:bidi="en_US"/>
        </w:rPr>
        <w:t>The Holy Spirit guided Elizabeth</w:t>
      </w:r>
    </w:p>
    <w:p>
      <w:pPr/>
      <w:r>
        <w:rPr>
          <w:lang w:val="en_US" w:bidi="en_US"/>
        </w:rPr>
      </w:r>
      <w:r>
        <w:rPr>
          <w:lang w:val="en_US" w:bidi="en_US"/>
        </w:rPr>
        <w:t>The Holy Spirit gave Elizabeth power</w:t>
      </w:r>
    </w:p>
    <w:p>
      <w:pPr/>
      <w:r>
        <w:rPr>
          <w:lang w:val="en_US" w:bidi="en_US"/>
        </w:rPr>
      </w:r>
      <w:r>
        <w:rPr>
          <w:lang w:val="en_US" w:bidi="en_US"/>
        </w:rPr>
        <w:t>See how you translated the same expression at 1:15c.</w:t>
      </w:r>
    </w:p>
    <w:p>
      <w:pPr/>
      <w:r>
        <w:rPr>
          <w:lang w:val="en_US" w:bidi="en_US"/>
        </w:rPr>
      </w:r>
      <w:r>
        <w:rPr>
          <w:b/>
          <w:lang w:val="en_US" w:bidi="en_US"/>
        </w:rPr>
        <w:t>the Holy Spirit:</w:t>
      </w:r>
      <w:r>
        <w:rPr>
          <w:lang w:val="en_US" w:bidi="en_US"/>
        </w:rPr>
        <w:t xml:space="preserve"> The term </w:t>
      </w:r>
      <w:r>
        <w:rPr>
          <w:i/>
          <w:lang w:val="en_US" w:bidi="en_US"/>
        </w:rPr>
        <w:t>Holy Spirit</w:t>
      </w:r>
      <w:r>
        <w:rPr>
          <w:lang w:val="en_US" w:bidi="en_US"/>
        </w:rPr>
        <w:t xml:space="preserve"> also occurs in 1:15c. See the note there for help in how to translate this term.</w:t>
      </w:r>
      <w:r>
        <w:rPr>
          <w:lang w:val="en_US" w:bidi="en_US"/>
        </w:rPr>
      </w:r>
      <w:r>
        <w:rPr>
          <w:lang w:val="en_US" w:bidi="en_US"/>
        </w:rPr>
      </w:r>
    </w:p>
    <w:p>
      <w:pPr/>
      <w:r>
        <w:rPr>
          <w:lang w:val="en_US" w:bidi="en_US"/>
        </w:rPr>
      </w:r>
    </w:p>
    <w:p>
      <w:pPr>
        <w:pStyle w:val="Heading2"/>
      </w:pPr>
      <w:r>
        <w:rPr>
          <w:lang w:val="en_US" w:bidi="en_US"/>
        </w:rPr>
        <w:t>Luke 1:42</w:t>
      </w:r>
      <w:r>
        <w:rPr>
          <w:lang w:val="en_US" w:bidi="en_US"/>
        </w:rPr>
      </w:r>
    </w:p>
    <w:p>
      <w:pPr>
        <w:pStyle w:val="Heading4"/>
      </w:pPr>
      <w:r>
        <w:rPr>
          <w:lang w:val="en_US" w:bidi="en_US"/>
        </w:rPr>
        <w:t>Section 1:39–45: Mary visited Elizabeth</w:t>
      </w:r>
    </w:p>
    <w:p>
      <w:pPr/>
      <w:r>
        <w:rPr>
          <w:lang w:val="en_US" w:bidi="en_US"/>
        </w:rPr>
      </w:r>
      <w:r>
        <w:rPr>
          <w:lang w:val="en_US" w:bidi="en_US"/>
        </w:rPr>
        <w:t>Soon after the angel visited Mary in Galilee, she went to visit her relative Elizabeth. Elizabeth lived in a town in Judea. Mary probably traveled from three to five days to reach there. The Holy Spirit revealed to Elizabeth that Mary was carrying the Christ/Messiah in her womb. This was confirmed also by Elizabeth’s baby, John, who leaped for joy in her womb. Elizabeth declared that Mary was blessed more than all women because God had chosen her for such an honor.</w:t>
      </w:r>
    </w:p>
    <w:p>
      <w:pPr/>
      <w:r>
        <w:rPr>
          <w:lang w:val="en_US" w:bidi="en_US"/>
        </w:rPr>
      </w:r>
      <w:r>
        <w:rPr>
          <w:lang w:val="en_US" w:bidi="en_US"/>
        </w:rPr>
        <w:t>Some other possible headings for this section are:</w:t>
      </w:r>
    </w:p>
    <w:p>
      <w:pPr/>
      <w:r>
        <w:rPr>
          <w:lang w:val="en_US" w:bidi="en_US"/>
        </w:rPr>
      </w:r>
      <w:r>
        <w:rPr>
          <w:lang w:val="en_US" w:bidi="en_US"/>
        </w:rPr>
        <w:t>Elizabeth affirmed that God had blessed Mary</w:t>
      </w:r>
    </w:p>
    <w:p>
      <w:pPr/>
      <w:r>
        <w:rPr>
          <w:lang w:val="en_US" w:bidi="en_US"/>
        </w:rPr>
      </w:r>
      <w:r>
        <w:rPr>
          <w:lang w:val="en_US" w:bidi="en_US"/>
        </w:rPr>
        <w:t>Elizabeth recognized that Mary would be the mother of the Christ</w:t>
      </w:r>
    </w:p>
    <w:p>
      <w:pPr>
        <w:pStyle w:val="Heading5"/>
      </w:pPr>
      <w:r>
        <w:rPr>
          <w:lang w:val="en_US" w:bidi="en_US"/>
        </w:rPr>
        <w:t>1:42a</w:t>
      </w:r>
    </w:p>
    <w:p>
      <w:pPr/>
      <w:r>
        <w:rPr>
          <w:lang w:val="en_US" w:bidi="en_US"/>
        </w:rPr>
      </w:r>
      <w:r>
        <w:rPr>
          <w:b/>
          <w:lang w:val="en_US" w:bidi="en_US"/>
        </w:rPr>
        <w:t>In a loud voice she exclaimed,</w:t>
      </w:r>
    </w:p>
    <w:p>
      <w:pPr>
        <w:pStyle w:val="ListBullet"/>
        <w:spacing w:line="240" w:lineRule="auto"/>
        <w:ind w:left="720"/>
      </w:pPr>
      <w:r>
        <w:rPr>
          <w:lang w:val="en_US" w:bidi="en_US"/>
        </w:rPr>
      </w:r>
      <w:r>
        <w:rPr>
          <w:lang w:val="en_US" w:bidi="en_US"/>
        </w:rPr>
        <w:t>and she called out in a loud voice,</w:t>
      </w:r>
    </w:p>
    <w:p>
      <w:pPr>
        <w:pStyle w:val="ListBullet"/>
        <w:spacing w:line="240" w:lineRule="auto"/>
        <w:ind w:left="720"/>
      </w:pPr>
      <w:r>
        <w:rPr>
          <w:lang w:val="en_US" w:bidi="en_US"/>
        </w:rPr>
      </w:r>
      <w:r>
        <w:rPr>
          <w:lang w:val="en_US" w:bidi="en_US"/>
        </w:rPr>
        <w:t xml:space="preserve">so that she spoke loudly </w:t>
      </w:r>
      <w:r>
        <w:rPr>
          <w:lang w:val="en_US" w:bidi="en_US"/>
        </w:rPr>
        <w:t>to Mary</w:t>
      </w:r>
      <w:r>
        <w:rPr>
          <w:lang w:val="en_US" w:bidi="en_US"/>
        </w:rPr>
        <w:t>,</w:t>
      </w:r>
    </w:p>
    <w:p>
      <w:pPr/>
      <w:r>
        <w:rPr>
          <w:lang w:val="en_US" w:bidi="en_US"/>
        </w:rPr>
      </w:r>
      <w:r>
        <w:rPr>
          <w:b/>
          <w:lang w:val="en_US" w:bidi="en_US"/>
        </w:rPr>
        <w:t>In a loud voice she exclaimed:</w:t>
      </w:r>
      <w:r>
        <w:rPr>
          <w:lang w:val="en_US" w:bidi="en_US"/>
        </w:rPr>
        <w:t xml:space="preserve"> Elizabeth spoke out loudly because she was very excited. She spoke to Mary, and she spoke loudly enough that anyone else in the house could hear.</w:t>
      </w:r>
    </w:p>
    <w:p>
      <w:pPr>
        <w:pStyle w:val="Heading5"/>
      </w:pPr>
      <w:r>
        <w:rPr>
          <w:lang w:val="en_US" w:bidi="en_US"/>
        </w:rPr>
        <w:t>1:42b</w:t>
      </w:r>
    </w:p>
    <w:p>
      <w:pPr/>
      <w:r>
        <w:rPr>
          <w:lang w:val="en_US" w:bidi="en_US"/>
        </w:rPr>
      </w:r>
      <w:r>
        <w:rPr>
          <w:b/>
          <w:lang w:val="en_US" w:bidi="en_US"/>
        </w:rPr>
        <w:t>“Blessed are you among women,</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w:t>
      </w:r>
      <w:r>
        <w:rPr>
          <w:lang w:val="en_US" w:bidi="en_US"/>
        </w:rPr>
        <w:t>more</w:t>
      </w:r>
      <w:r>
        <w:rPr>
          <w:lang w:val="en_US" w:bidi="en_US"/>
        </w:rPr>
        <w:t xml:space="preserve"> blessed than </w:t>
      </w:r>
      <w:r>
        <w:rPr>
          <w:lang w:val="en_US" w:bidi="en_US"/>
        </w:rPr>
        <w:t>all other</w:t>
      </w:r>
      <w:r>
        <w:rPr>
          <w:lang w:val="en_US" w:bidi="en_US"/>
        </w:rPr>
        <w:t xml:space="preserve"> women,</w:t>
      </w:r>
    </w:p>
    <w:p>
      <w:pPr>
        <w:pStyle w:val="ListBullet"/>
        <w:spacing w:line="240" w:lineRule="auto"/>
        <w:ind w:left="720"/>
      </w:pPr>
      <w:r>
        <w:rPr>
          <w:lang w:val="en_US" w:bidi="en_US"/>
        </w:rPr>
      </w:r>
      <w:r>
        <w:rPr>
          <w:lang w:val="en_US" w:bidi="en_US"/>
        </w:rPr>
        <w:t>“God has given you</w:t>
      </w:r>
      <w:r>
        <w:rPr>
          <w:vertAlign w:val="superscript"/>
          <w:lang w:val="en_US" w:bidi="en_US"/>
        </w:rPr>
        <w:t>(sing)</w:t>
      </w:r>
      <w:r>
        <w:rPr>
          <w:lang w:val="en_US" w:bidi="en_US"/>
        </w:rPr>
        <w:t xml:space="preserve"> greater privilege/favor than </w:t>
      </w:r>
      <w:r>
        <w:rPr>
          <w:lang w:val="en_US" w:bidi="en_US"/>
        </w:rPr>
        <w:t>he has given</w:t>
      </w:r>
      <w:r>
        <w:rPr>
          <w:lang w:val="en_US" w:bidi="en_US"/>
        </w:rPr>
        <w:t xml:space="preserve"> to any other woman.</w:t>
      </w:r>
    </w:p>
    <w:p>
      <w:pPr>
        <w:pStyle w:val="ListBullet"/>
        <w:spacing w:line="240" w:lineRule="auto"/>
        <w:ind w:left="720"/>
      </w:pPr>
      <w:r>
        <w:rPr>
          <w:lang w:val="en_US" w:bidi="en_US"/>
        </w:rPr>
      </w:r>
      <w:r>
        <w:rPr>
          <w:lang w:val="en_US" w:bidi="en_US"/>
        </w:rPr>
        <w:t>“God has favored you</w:t>
      </w:r>
      <w:r>
        <w:rPr>
          <w:vertAlign w:val="superscript"/>
          <w:lang w:val="en_US" w:bidi="en_US"/>
        </w:rPr>
        <w:t>(sing)</w:t>
      </w:r>
      <w:r>
        <w:rPr>
          <w:lang w:val="en_US" w:bidi="en_US"/>
        </w:rPr>
        <w:t xml:space="preserve"> above all women,</w:t>
      </w:r>
    </w:p>
    <w:p>
      <w:pPr/>
      <w:r>
        <w:rPr>
          <w:lang w:val="en_US" w:bidi="en_US"/>
        </w:rPr>
      </w:r>
      <w:r>
        <w:rPr>
          <w:b/>
          <w:lang w:val="en_US" w:bidi="en_US"/>
        </w:rPr>
        <w:t>Blessed are you among women:</w:t>
      </w:r>
      <w:r>
        <w:rPr>
          <w:lang w:val="en_US" w:bidi="en_US"/>
        </w:rPr>
        <w:t xml:space="preserve"> The clause </w:t>
      </w:r>
      <w:r>
        <w:rPr>
          <w:i/>
          <w:lang w:val="en_US" w:bidi="en_US"/>
        </w:rPr>
        <w:t>Blessed are you among women</w:t>
      </w:r>
      <w:r>
        <w:rPr>
          <w:lang w:val="en_US" w:bidi="en_US"/>
        </w:rPr>
        <w:t xml:space="preserve"> means “you are more blessed than all other women.” This clause is passive. God is the implied subject. In some languages you may need to make this explicit. For example:</w:t>
      </w:r>
    </w:p>
    <w:p>
      <w:pPr/>
      <w:r>
        <w:rPr>
          <w:lang w:val="en_US" w:bidi="en_US"/>
        </w:rPr>
      </w:r>
      <w:r>
        <w:rPr>
          <w:lang w:val="en_US" w:bidi="en_US"/>
        </w:rPr>
        <w:t>God</w:t>
      </w:r>
      <w:r>
        <w:rPr>
          <w:lang w:val="en_US" w:bidi="en_US"/>
        </w:rPr>
        <w:t xml:space="preserve"> has blessed you more than all other women.</w:t>
      </w:r>
    </w:p>
    <w:p>
      <w:pPr/>
      <w:r>
        <w:rPr>
          <w:lang w:val="en_US" w:bidi="en_US"/>
        </w:rPr>
      </w:r>
      <w:r>
        <w:rPr>
          <w:lang w:val="en_US" w:bidi="en_US"/>
        </w:rPr>
        <w:t>Mary was the most blessed woman because God had chosen her to be the mother of his Son.</w:t>
      </w:r>
    </w:p>
    <w:p>
      <w:pPr/>
      <w:r>
        <w:rPr>
          <w:lang w:val="en_US" w:bidi="en_US"/>
        </w:rPr>
      </w:r>
      <w:r>
        <w:rPr>
          <w:b/>
          <w:lang w:val="en_US" w:bidi="en_US"/>
        </w:rPr>
        <w:t>Blessed:</w:t>
      </w:r>
      <w:r>
        <w:rPr>
          <w:lang w:val="en_US" w:bidi="en_US"/>
        </w:rPr>
        <w:t xml:space="preserve"> The Greek word that the BSB translates as </w:t>
      </w:r>
      <w:r>
        <w:rPr>
          <w:i/>
          <w:lang w:val="en_US" w:bidi="en_US"/>
        </w:rPr>
        <w:t>Blessed</w:t>
      </w:r>
      <w:r>
        <w:rPr>
          <w:lang w:val="en_US" w:bidi="en_US"/>
        </w:rPr>
        <w:t xml:space="preserve"> means that God had favored Mary. God had done a good thing for Mary and would continue to do good to her. See bless, Meaning 1, in the Glossary.</w:t>
      </w:r>
    </w:p>
    <w:p>
      <w:pPr>
        <w:pStyle w:val="Heading5"/>
      </w:pPr>
      <w:r>
        <w:rPr>
          <w:lang w:val="en_US" w:bidi="en_US"/>
        </w:rPr>
        <w:t>1:42c</w:t>
      </w:r>
    </w:p>
    <w:p>
      <w:pPr/>
      <w:r>
        <w:rPr>
          <w:lang w:val="en_US" w:bidi="en_US"/>
        </w:rPr>
      </w:r>
      <w:r>
        <w:rPr>
          <w:b/>
          <w:lang w:val="en_US" w:bidi="en_US"/>
        </w:rPr>
        <w:t>and blessed is the fruit of your womb!</w:t>
      </w:r>
    </w:p>
    <w:p>
      <w:pPr>
        <w:pStyle w:val="ListBullet"/>
        <w:spacing w:line="240" w:lineRule="auto"/>
        <w:ind w:left="720"/>
      </w:pPr>
      <w:r>
        <w:rPr>
          <w:lang w:val="en_US" w:bidi="en_US"/>
        </w:rPr>
      </w:r>
      <w:r>
        <w:rPr>
          <w:lang w:val="en_US" w:bidi="en_US"/>
        </w:rPr>
        <w:t>and God has blessed the child you will have.</w:t>
      </w:r>
    </w:p>
    <w:p>
      <w:pPr>
        <w:pStyle w:val="ListBullet"/>
        <w:spacing w:line="240" w:lineRule="auto"/>
        <w:ind w:left="720"/>
      </w:pPr>
      <w:r>
        <w:rPr>
          <w:lang w:val="en_US" w:bidi="en_US"/>
        </w:rPr>
      </w:r>
      <w:r>
        <w:rPr>
          <w:lang w:val="en_US" w:bidi="en_US"/>
        </w:rPr>
        <w:t>And God has favored the child you</w:t>
      </w:r>
      <w:r>
        <w:rPr>
          <w:vertAlign w:val="superscript"/>
          <w:lang w:val="en_US" w:bidi="en_US"/>
        </w:rPr>
        <w:t>(sing)</w:t>
      </w:r>
      <w:r>
        <w:rPr>
          <w:lang w:val="en_US" w:bidi="en_US"/>
        </w:rPr>
        <w:t xml:space="preserve"> will give birth to.</w:t>
      </w:r>
    </w:p>
    <w:p>
      <w:pPr>
        <w:pStyle w:val="ListBullet"/>
        <w:spacing w:line="240" w:lineRule="auto"/>
        <w:ind w:left="720"/>
      </w:pPr>
      <w:r>
        <w:rPr>
          <w:lang w:val="en_US" w:bidi="en_US"/>
        </w:rPr>
      </w:r>
      <w:r>
        <w:rPr>
          <w:lang w:val="en_US" w:bidi="en_US"/>
        </w:rPr>
        <w:t>and he has shown favor to your</w:t>
      </w:r>
      <w:r>
        <w:rPr>
          <w:vertAlign w:val="superscript"/>
          <w:lang w:val="en_US" w:bidi="en_US"/>
        </w:rPr>
        <w:t>(sing)</w:t>
      </w:r>
      <w:r>
        <w:rPr>
          <w:lang w:val="en_US" w:bidi="en_US"/>
        </w:rPr>
        <w:t xml:space="preserve"> baby.</w:t>
      </w:r>
    </w:p>
    <w:p>
      <w:pPr/>
      <w:r>
        <w:rPr>
          <w:lang w:val="en_US" w:bidi="en_US"/>
        </w:rPr>
      </w:r>
      <w:r>
        <w:rPr>
          <w:b/>
          <w:lang w:val="en_US" w:bidi="en_US"/>
        </w:rPr>
        <w:t>blessed is the fruit of your womb:</w:t>
      </w:r>
      <w:r>
        <w:rPr>
          <w:lang w:val="en_US" w:bidi="en_US"/>
        </w:rPr>
        <w:t xml:space="preserve"> The Greek expression that the BSB translates as </w:t>
      </w:r>
      <w:r>
        <w:rPr>
          <w:i/>
          <w:lang w:val="en_US" w:bidi="en_US"/>
        </w:rPr>
        <w:t>blessed is the fruit of your womb</w:t>
      </w:r>
      <w:r>
        <w:rPr>
          <w:lang w:val="en_US" w:bidi="en_US"/>
        </w:rPr>
        <w:t xml:space="preserve"> means “</w:t>
      </w:r>
      <w:r>
        <w:rPr>
          <w:lang w:val="en_US" w:bidi="en_US"/>
        </w:rPr>
        <w:t>God</w:t>
      </w:r>
      <w:r>
        <w:rPr>
          <w:lang w:val="en_US" w:bidi="en_US"/>
        </w:rPr>
        <w:t xml:space="preserve"> has favored the child you will give birth to.” God had shown favor and would continue to show special favor to the baby who was in Mary’s womb.</w:t>
      </w:r>
    </w:p>
    <w:p>
      <w:pPr/>
      <w:r>
        <w:rPr>
          <w:lang w:val="en_US" w:bidi="en_US"/>
        </w:rPr>
      </w:r>
      <w:r>
        <w:rPr>
          <w:b/>
          <w:lang w:val="en_US" w:bidi="en_US"/>
        </w:rPr>
        <w:t>the fruit of your womb:</w:t>
      </w:r>
      <w:r>
        <w:rPr>
          <w:lang w:val="en_US" w:bidi="en_US"/>
        </w:rPr>
        <w:t xml:space="preserve"> The Greek phrase that the BSB translates literally as </w:t>
      </w:r>
      <w:r>
        <w:rPr>
          <w:i/>
          <w:lang w:val="en_US" w:bidi="en_US"/>
        </w:rPr>
        <w:t>the fruit of your womb</w:t>
      </w:r>
      <w:r>
        <w:rPr>
          <w:lang w:val="en_US" w:bidi="en_US"/>
        </w:rPr>
        <w:t xml:space="preserve"> is a metaphor. It is a poetic way to refer to a woman’s child. Here it specifically refers to the infant Jesus, who had not yet been born.</w:t>
      </w:r>
    </w:p>
    <w:p>
      <w:pPr/>
      <w:r>
        <w:rPr>
          <w:lang w:val="en_US" w:bidi="en_US"/>
        </w:rPr>
      </w:r>
      <w:r>
        <w:rPr>
          <w:lang w:val="en_US" w:bidi="en_US"/>
        </w:rPr>
        <w:t>In some languages, a literal translation of the metaphor may not be clear. If that is true in your language, some other ways to translate it are:</w:t>
      </w:r>
    </w:p>
    <w:p>
      <w:pPr>
        <w:pStyle w:val="ListBullet"/>
        <w:spacing w:line="240" w:lineRule="auto"/>
        <w:ind w:left="720"/>
      </w:pPr>
      <w:r>
        <w:rPr>
          <w:lang w:val="en_US" w:bidi="en_US"/>
        </w:rPr>
      </w:r>
      <w:r>
        <w:rPr>
          <w:lang w:val="en_US" w:bidi="en_US"/>
        </w:rPr>
        <w:t>Use a different metaphor or idiom that people normally use for a woman’s child or specifically for an unborn baby.</w:t>
      </w:r>
    </w:p>
    <w:p>
      <w:pPr>
        <w:pStyle w:val="ListBullet"/>
        <w:spacing w:line="240" w:lineRule="auto"/>
        <w:ind w:left="720"/>
      </w:pPr>
      <w:r>
        <w:rPr>
          <w:lang w:val="en_US" w:bidi="en_US"/>
        </w:rPr>
      </w:r>
      <w:r>
        <w:rPr>
          <w:lang w:val="en_US" w:bidi="en_US"/>
        </w:rPr>
        <w:t>Translate the meaning of the metaphor without the figure of speech. For example:</w:t>
      </w:r>
      <w:r>
        <w:rPr>
          <w:lang w:val="en_US" w:bidi="en_US"/>
        </w:rPr>
        <w:t>the child you will have (CEV)</w:t>
      </w:r>
      <w:r>
        <w:rPr>
          <w:lang w:val="en_US" w:bidi="en_US"/>
        </w:rPr>
        <w:t>the child in your womb (NET)</w:t>
      </w:r>
      <w:r>
        <w:rPr>
          <w:lang w:val="en_US" w:bidi="en_US"/>
        </w:rPr>
        <w:t>the baby to whom you will give birth</w:t>
      </w:r>
      <w:r>
        <w:rPr>
          <w:lang w:val="en_US" w:bidi="en_US"/>
        </w:rPr>
      </w:r>
      <w:r>
        <w:rPr>
          <w:lang w:val="en_US" w:bidi="en_US"/>
        </w:rPr>
      </w:r>
    </w:p>
    <w:p>
      <w:pPr/>
      <w:r>
        <w:rPr>
          <w:lang w:val="en_US" w:bidi="en_US"/>
        </w:rPr>
      </w:r>
    </w:p>
    <w:p>
      <w:pPr>
        <w:pStyle w:val="Heading2"/>
      </w:pPr>
      <w:r>
        <w:rPr>
          <w:lang w:val="en_US" w:bidi="en_US"/>
        </w:rPr>
        <w:t>Luke 1:43</w:t>
      </w:r>
      <w:r>
        <w:rPr>
          <w:lang w:val="en_US" w:bidi="en_US"/>
        </w:rPr>
      </w:r>
    </w:p>
    <w:p>
      <w:pPr>
        <w:pStyle w:val="Heading4"/>
      </w:pPr>
      <w:r>
        <w:rPr>
          <w:lang w:val="en_US" w:bidi="en_US"/>
        </w:rPr>
        <w:t>Section 1:39–45: Mary visited Elizabeth</w:t>
      </w:r>
    </w:p>
    <w:p>
      <w:pPr/>
      <w:r>
        <w:rPr>
          <w:lang w:val="en_US" w:bidi="en_US"/>
        </w:rPr>
      </w:r>
      <w:r>
        <w:rPr>
          <w:lang w:val="en_US" w:bidi="en_US"/>
        </w:rPr>
        <w:t>Soon after the angel visited Mary in Galilee, she went to visit her relative Elizabeth. Elizabeth lived in a town in Judea. Mary probably traveled from three to five days to reach there. The Holy Spirit revealed to Elizabeth that Mary was carrying the Christ/Messiah in her womb. This was confirmed also by Elizabeth’s baby, John, who leaped for joy in her womb. Elizabeth declared that Mary was blessed more than all women because God had chosen her for such an honor.</w:t>
      </w:r>
    </w:p>
    <w:p>
      <w:pPr/>
      <w:r>
        <w:rPr>
          <w:lang w:val="en_US" w:bidi="en_US"/>
        </w:rPr>
      </w:r>
      <w:r>
        <w:rPr>
          <w:lang w:val="en_US" w:bidi="en_US"/>
        </w:rPr>
        <w:t>Some other possible headings for this section are:</w:t>
      </w:r>
    </w:p>
    <w:p>
      <w:pPr/>
      <w:r>
        <w:rPr>
          <w:lang w:val="en_US" w:bidi="en_US"/>
        </w:rPr>
      </w:r>
      <w:r>
        <w:rPr>
          <w:lang w:val="en_US" w:bidi="en_US"/>
        </w:rPr>
        <w:t>Elizabeth affirmed that God had blessed Mary</w:t>
      </w:r>
    </w:p>
    <w:p>
      <w:pPr/>
      <w:r>
        <w:rPr>
          <w:lang w:val="en_US" w:bidi="en_US"/>
        </w:rPr>
      </w:r>
      <w:r>
        <w:rPr>
          <w:lang w:val="en_US" w:bidi="en_US"/>
        </w:rPr>
        <w:t>Elizabeth recognized that Mary would be the mother of the Christ</w:t>
      </w:r>
    </w:p>
    <w:p>
      <w:pPr>
        <w:pStyle w:val="Heading5"/>
      </w:pPr>
      <w:r>
        <w:rPr>
          <w:lang w:val="en_US" w:bidi="en_US"/>
        </w:rPr>
        <w:t>1:43a</w:t>
      </w:r>
    </w:p>
    <w:p>
      <w:pPr/>
      <w:r>
        <w:rPr>
          <w:lang w:val="en_US" w:bidi="en_US"/>
        </w:rPr>
      </w:r>
      <w:r>
        <w:rPr>
          <w:b/>
          <w:lang w:val="en_US" w:bidi="en_US"/>
        </w:rPr>
        <w:t>And why am I so honored,</w:t>
      </w:r>
    </w:p>
    <w:p>
      <w:pPr>
        <w:pStyle w:val="ListBullet"/>
        <w:spacing w:line="240" w:lineRule="auto"/>
        <w:ind w:left="720"/>
      </w:pPr>
      <w:r>
        <w:rPr>
          <w:lang w:val="en_US" w:bidi="en_US"/>
        </w:rPr>
      </w:r>
      <w:r>
        <w:rPr>
          <w:lang w:val="en_US" w:bidi="en_US"/>
        </w:rPr>
        <w:t>How/why should I be so honored</w:t>
      </w:r>
    </w:p>
    <w:p>
      <w:pPr>
        <w:pStyle w:val="ListBullet"/>
        <w:spacing w:line="240" w:lineRule="auto"/>
        <w:ind w:left="720"/>
      </w:pPr>
      <w:r>
        <w:rPr>
          <w:lang w:val="en_US" w:bidi="en_US"/>
        </w:rPr>
      </w:r>
      <w:r>
        <w:rPr>
          <w:lang w:val="en_US" w:bidi="en_US"/>
        </w:rPr>
        <w:t>This is such a blessing to me</w:t>
      </w:r>
    </w:p>
    <w:p>
      <w:pPr>
        <w:pStyle w:val="ListBullet"/>
        <w:spacing w:line="240" w:lineRule="auto"/>
        <w:ind w:left="720"/>
      </w:pPr>
      <w:r>
        <w:rPr>
          <w:lang w:val="en_US" w:bidi="en_US"/>
        </w:rPr>
      </w:r>
      <w:r>
        <w:rPr>
          <w:lang w:val="en_US" w:bidi="en_US"/>
        </w:rPr>
        <w:t>I am not worthy of this great privilege/ honor.</w:t>
      </w:r>
    </w:p>
    <w:p>
      <w:pPr/>
      <w:r>
        <w:rPr>
          <w:lang w:val="en_US" w:bidi="en_US"/>
        </w:rPr>
      </w:r>
      <w:r>
        <w:rPr>
          <w:b/>
          <w:lang w:val="en_US" w:bidi="en_US"/>
        </w:rPr>
        <w:t>And:</w:t>
      </w:r>
      <w:r>
        <w:rPr>
          <w:lang w:val="en_US" w:bidi="en_US"/>
        </w:rPr>
        <w:t xml:space="preserve"> This verse begins with a Greek conjunction that is most often translated as “and,” as in the BSB. Some other English versions, such as the NIV, translate it as “but” to reflect a contrast between Elizabeth’s awareness of the way that God has honored Mary and her sense of her own humble position. Still other English translations do not translate this conjunction. Connect 1:43 to 1:42 in a natural way in your language. In some languages a conjunction may not be needed.</w:t>
      </w:r>
    </w:p>
    <w:p>
      <w:pPr/>
      <w:r>
        <w:rPr>
          <w:lang w:val="en_US" w:bidi="en_US"/>
        </w:rPr>
      </w:r>
      <w:r>
        <w:rPr>
          <w:b/>
          <w:lang w:val="en_US" w:bidi="en_US"/>
        </w:rPr>
        <w:t>why am I so honored:</w:t>
      </w:r>
      <w:r>
        <w:rPr>
          <w:lang w:val="en_US" w:bidi="en_US"/>
        </w:rPr>
        <w:t xml:space="preserve"> This is a rhetorical question. The Greek phrase that the BSB translates as </w:t>
      </w:r>
      <w:r>
        <w:rPr>
          <w:i/>
          <w:lang w:val="en_US" w:bidi="en_US"/>
        </w:rPr>
        <w:t>why am I so honored</w:t>
      </w:r>
      <w:r>
        <w:rPr>
          <w:lang w:val="en_US" w:bidi="en_US"/>
        </w:rPr>
        <w:t xml:space="preserve"> is literally “From where this to me?” It expresses </w:t>
      </w:r>
      <w:r>
        <w:rPr>
          <w:u w:val="single"/>
          <w:lang w:val="en_US" w:bidi="en_US"/>
        </w:rPr>
        <w:t>amazement</w:t>
      </w:r>
      <w:r>
        <w:rPr>
          <w:lang w:val="en_US" w:bidi="en_US"/>
        </w:rPr>
        <w:t>. Elizabeth was amazed that the mother of the Messiah had come to visit her, because she felt unworthy of this honor.</w:t>
      </w:r>
    </w:p>
    <w:p>
      <w:pPr/>
      <w:r>
        <w:rPr>
          <w:lang w:val="en_US" w:bidi="en_US"/>
        </w:rPr>
      </w:r>
      <w:r>
        <w:rPr>
          <w:lang w:val="en_US" w:bidi="en_US"/>
        </w:rPr>
        <w:t>Some ways to translate this to express amazement and Elizabeth’s sense of being unworthy are:</w:t>
      </w:r>
    </w:p>
    <w:p>
      <w:pPr>
        <w:pStyle w:val="ListBullet"/>
        <w:spacing w:line="240" w:lineRule="auto"/>
        <w:ind w:left="720"/>
      </w:pPr>
      <w:r>
        <w:rPr>
          <w:lang w:val="en_US" w:bidi="en_US"/>
        </w:rPr>
      </w:r>
      <w:r>
        <w:rPr>
          <w:lang w:val="en_US" w:bidi="en_US"/>
        </w:rPr>
        <w:t>As a rhetorical question. For example:</w:t>
      </w:r>
      <w:r>
        <w:rPr>
          <w:lang w:val="en_US" w:bidi="en_US"/>
        </w:rPr>
        <w:t>How is it possible…?</w:t>
      </w:r>
      <w:r>
        <w:rPr>
          <w:lang w:val="en_US" w:bidi="en_US"/>
        </w:rPr>
        <w:t>But why am I so favored…? (NIV)</w:t>
      </w:r>
      <w:r>
        <w:rPr>
          <w:lang w:val="en_US" w:bidi="en_US"/>
        </w:rPr>
        <w:t>Who am I…? (REB)</w:t>
      </w:r>
    </w:p>
    <w:p>
      <w:pPr>
        <w:pStyle w:val="ListBullet"/>
        <w:spacing w:line="240" w:lineRule="auto"/>
        <w:ind w:left="720"/>
      </w:pPr>
      <w:r>
        <w:rPr>
          <w:lang w:val="en_US" w:bidi="en_US"/>
        </w:rPr>
      </w:r>
      <w:r>
        <w:rPr>
          <w:lang w:val="en_US" w:bidi="en_US"/>
        </w:rPr>
        <w:t>As a statement. For example:</w:t>
      </w:r>
      <w:r>
        <w:rPr>
          <w:lang w:val="en_US" w:bidi="en_US"/>
        </w:rPr>
        <w:t>I do not deserve this honor…!</w:t>
      </w:r>
      <w:r>
        <w:rPr>
          <w:lang w:val="en_US" w:bidi="en_US"/>
        </w:rPr>
        <w:t>I feel blessed…. (GW)</w:t>
      </w:r>
    </w:p>
    <w:p>
      <w:pPr/>
      <w:r>
        <w:rPr>
          <w:lang w:val="en_US" w:bidi="en_US"/>
        </w:rPr>
      </w:r>
      <w:r>
        <w:rPr>
          <w:lang w:val="en_US" w:bidi="en_US"/>
        </w:rPr>
        <w:t>Express this amazement in a natural way in your language.</w:t>
      </w:r>
    </w:p>
    <w:p>
      <w:pPr>
        <w:pStyle w:val="Heading5"/>
      </w:pPr>
      <w:r>
        <w:rPr>
          <w:lang w:val="en_US" w:bidi="en_US"/>
        </w:rPr>
        <w:t>1:43b</w:t>
      </w:r>
    </w:p>
    <w:p>
      <w:pPr/>
      <w:r>
        <w:rPr>
          <w:lang w:val="en_US" w:bidi="en_US"/>
        </w:rPr>
      </w:r>
      <w:r>
        <w:rPr>
          <w:b/>
          <w:lang w:val="en_US" w:bidi="en_US"/>
        </w:rPr>
        <w:t>that the mother of my Lord should come to me?</w:t>
      </w:r>
    </w:p>
    <w:p>
      <w:pPr>
        <w:pStyle w:val="ListBullet"/>
        <w:spacing w:line="240" w:lineRule="auto"/>
        <w:ind w:left="720"/>
      </w:pPr>
      <w:r>
        <w:rPr>
          <w:lang w:val="en_US" w:bidi="en_US"/>
        </w:rPr>
      </w:r>
      <w:r>
        <w:rPr>
          <w:lang w:val="en_US" w:bidi="en_US"/>
        </w:rPr>
        <w:t>that the mother of my Lord should come to me?</w:t>
      </w:r>
    </w:p>
    <w:p>
      <w:pPr>
        <w:pStyle w:val="ListBullet"/>
        <w:spacing w:line="240" w:lineRule="auto"/>
        <w:ind w:left="720"/>
      </w:pPr>
      <w:r>
        <w:rPr>
          <w:lang w:val="en_US" w:bidi="en_US"/>
        </w:rPr>
      </w:r>
      <w:r>
        <w:rPr>
          <w:lang w:val="en_US" w:bidi="en_US"/>
        </w:rPr>
        <w:t>that my Lord’s mother visits me!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who are</w:t>
      </w:r>
      <w:r>
        <w:rPr>
          <w:lang w:val="en_US" w:bidi="en_US"/>
        </w:rPr>
        <w:t xml:space="preserve"> my Lord’s mother have come to </w:t>
      </w:r>
      <w:r>
        <w:rPr>
          <w:lang w:val="en_US" w:bidi="en_US"/>
        </w:rPr>
        <w:t>see</w:t>
      </w:r>
      <w:r>
        <w:rPr>
          <w:lang w:val="en_US" w:bidi="en_US"/>
        </w:rPr>
        <w:t xml:space="preserve"> me!</w:t>
      </w:r>
    </w:p>
    <w:p>
      <w:pPr/>
      <w:r>
        <w:rPr>
          <w:lang w:val="en_US" w:bidi="en_US"/>
        </w:rPr>
      </w:r>
      <w:r>
        <w:rPr>
          <w:b/>
          <w:lang w:val="en_US" w:bidi="en_US"/>
        </w:rPr>
        <w:t>the mother of my Lord:</w:t>
      </w:r>
      <w:r>
        <w:rPr>
          <w:lang w:val="en_US" w:bidi="en_US"/>
        </w:rPr>
        <w:t xml:space="preserve"> The Holy Spirit showed Elizabeth that the baby in Mary’s womb was the Lord. He was the Christ/Messiah, the one God had promised to send to save his people.</w:t>
      </w:r>
    </w:p>
    <w:p>
      <w:pPr/>
      <w:r>
        <w:rPr>
          <w:lang w:val="en_US" w:bidi="en_US"/>
        </w:rPr>
      </w:r>
      <w:r>
        <w:rPr>
          <w:lang w:val="en_US" w:bidi="en_US"/>
        </w:rPr>
        <w:t>Elizabeth was speaking directly to Mary here. In some languages it may be necessary to make this clear by using a form such as “you.” For example:</w:t>
      </w:r>
    </w:p>
    <w:p>
      <w:pPr/>
      <w:r>
        <w:rPr>
          <w:lang w:val="en_US" w:bidi="en_US"/>
        </w:rPr>
      </w:r>
      <w:r>
        <w:rPr>
          <w:lang w:val="en_US" w:bidi="en_US"/>
        </w:rPr>
        <w:t>you who are</w:t>
      </w:r>
      <w:r>
        <w:rPr>
          <w:lang w:val="en_US" w:bidi="en_US"/>
        </w:rPr>
        <w:t xml:space="preserve"> the mother of my Lord</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“master, one who has authority over others.” The word </w:t>
      </w:r>
      <w:r>
        <w:rPr>
          <w:i/>
          <w:lang w:val="en_US" w:bidi="en_US"/>
        </w:rPr>
        <w:t>Lord</w:t>
      </w:r>
      <w:r>
        <w:rPr>
          <w:lang w:val="en_US" w:bidi="en_US"/>
        </w:rPr>
        <w:t xml:space="preserve"> was one of the terms that the Jews used to refer to God.</w:t>
      </w:r>
      <w:r>
        <w:rPr>
          <w:lang w:val="en_US" w:bidi="en_US"/>
        </w:rPr>
        <w:t xml:space="preserve">This is not meant to imply that they used </w:t>
      </w:r>
      <w:r>
        <w:rPr>
          <w:i/>
          <w:lang w:val="en_US" w:bidi="en_US"/>
        </w:rPr>
        <w:t>kurios</w:t>
      </w:r>
      <w:r>
        <w:rPr>
          <w:lang w:val="en_US" w:bidi="en_US"/>
        </w:rPr>
        <w:t xml:space="preserve"> when speaking to each other in Hebrew or Aramaic. It is assumed that they might use it when they spoke or wrote in Greek, as Luke was doing here.</w:t>
      </w:r>
      <w:r>
        <w:rPr>
          <w:lang w:val="en_US" w:bidi="en_US"/>
        </w:rPr>
        <w:t xml:space="preserve"> Here the word </w:t>
      </w:r>
      <w:r>
        <w:rPr>
          <w:i/>
          <w:lang w:val="en_US" w:bidi="en_US"/>
        </w:rPr>
        <w:t>Lord</w:t>
      </w:r>
      <w:r>
        <w:rPr>
          <w:lang w:val="en_US" w:bidi="en_US"/>
        </w:rPr>
        <w:t xml:space="preserve"> refers specifically to the Messiah.</w:t>
      </w:r>
    </w:p>
    <w:p>
      <w:pPr/>
      <w:r>
        <w:rPr>
          <w:lang w:val="en_US" w:bidi="en_US"/>
        </w:rPr>
      </w:r>
      <w:r>
        <w:rPr>
          <w:lang w:val="en_US" w:bidi="en_US"/>
        </w:rPr>
        <w:t xml:space="preserve">Some other ways to translate </w:t>
      </w:r>
      <w:r>
        <w:rPr>
          <w:i/>
          <w:lang w:val="en_US" w:bidi="en_US"/>
        </w:rPr>
        <w:t>Lord</w:t>
      </w:r>
      <w:r>
        <w:rPr>
          <w:lang w:val="en_US" w:bidi="en_US"/>
        </w:rPr>
        <w:t xml:space="preserve"> are:</w:t>
      </w:r>
    </w:p>
    <w:p>
      <w:pPr/>
      <w:r>
        <w:rPr>
          <w:lang w:val="en_US" w:bidi="en_US"/>
        </w:rPr>
      </w:r>
      <w:r>
        <w:rPr>
          <w:lang w:val="en_US" w:bidi="en_US"/>
        </w:rPr>
        <w:t>Master</w:t>
      </w:r>
    </w:p>
    <w:p>
      <w:pPr/>
      <w:r>
        <w:rPr>
          <w:lang w:val="en_US" w:bidi="en_US"/>
        </w:rPr>
      </w:r>
      <w:r>
        <w:rPr>
          <w:lang w:val="en_US" w:bidi="en_US"/>
        </w:rPr>
        <w:t>Chief</w:t>
      </w:r>
    </w:p>
    <w:p>
      <w:pPr/>
      <w:r>
        <w:rPr>
          <w:lang w:val="en_US" w:bidi="en_US"/>
        </w:rPr>
      </w:r>
      <w:r>
        <w:rPr>
          <w:b/>
          <w:lang w:val="en_US" w:bidi="en_US"/>
        </w:rPr>
        <w:t>come:</w:t>
      </w:r>
      <w:r>
        <w:rPr>
          <w:lang w:val="en_US" w:bidi="en_US"/>
        </w:rPr>
        <w:t xml:space="preserve"> In this context, the word </w:t>
      </w:r>
      <w:r>
        <w:rPr>
          <w:i/>
          <w:lang w:val="en_US" w:bidi="en_US"/>
        </w:rPr>
        <w:t>come</w:t>
      </w:r>
      <w:r>
        <w:rPr>
          <w:lang w:val="en_US" w:bidi="en_US"/>
        </w:rPr>
        <w:t xml:space="preserve"> refers to “coming for a visit.” So you can translate the word </w:t>
      </w:r>
      <w:r>
        <w:rPr>
          <w:i/>
          <w:lang w:val="en_US" w:bidi="en_US"/>
        </w:rPr>
        <w:t>come</w:t>
      </w:r>
      <w:r>
        <w:rPr>
          <w:lang w:val="en_US" w:bidi="en_US"/>
        </w:rPr>
        <w:t xml:space="preserve"> as:</w:t>
      </w:r>
    </w:p>
    <w:p>
      <w:pPr/>
      <w:r>
        <w:rPr>
          <w:lang w:val="en_US" w:bidi="en_US"/>
        </w:rPr>
      </w:r>
      <w:r>
        <w:rPr>
          <w:lang w:val="en_US" w:bidi="en_US"/>
        </w:rPr>
        <w:t>come and visit (NET)</w:t>
      </w:r>
    </w:p>
    <w:p>
      <w:pPr/>
      <w:r>
        <w:rPr>
          <w:lang w:val="en_US" w:bidi="en_US"/>
        </w:rPr>
      </w:r>
      <w:r>
        <w:rPr>
          <w:lang w:val="en_US" w:bidi="en_US"/>
        </w:rPr>
        <w:t>visit (REB)</w:t>
      </w:r>
    </w:p>
    <w:p>
      <w:pPr/>
      <w:r>
        <w:rPr>
          <w:lang w:val="en_US" w:bidi="en_US"/>
        </w:rPr>
      </w:r>
      <w:r>
        <w:rPr>
          <w:lang w:val="en_US" w:bidi="en_US"/>
        </w:rPr>
        <w:t>come and see</w:t>
      </w:r>
      <w:r>
        <w:rPr>
          <w:lang w:val="en_US" w:bidi="en_US"/>
        </w:rPr>
      </w:r>
      <w:r>
        <w:rPr>
          <w:lang w:val="en_US" w:bidi="en_US"/>
        </w:rPr>
      </w:r>
    </w:p>
    <w:p>
      <w:pPr/>
      <w:r>
        <w:rPr>
          <w:lang w:val="en_US" w:bidi="en_US"/>
        </w:rPr>
      </w:r>
    </w:p>
    <w:p>
      <w:pPr>
        <w:pStyle w:val="Heading2"/>
      </w:pPr>
      <w:r>
        <w:rPr>
          <w:lang w:val="en_US" w:bidi="en_US"/>
        </w:rPr>
        <w:t>Luke 1:44</w:t>
      </w:r>
      <w:r>
        <w:rPr>
          <w:lang w:val="en_US" w:bidi="en_US"/>
        </w:rPr>
      </w:r>
    </w:p>
    <w:p>
      <w:pPr>
        <w:pStyle w:val="Heading4"/>
      </w:pPr>
      <w:r>
        <w:rPr>
          <w:lang w:val="en_US" w:bidi="en_US"/>
        </w:rPr>
        <w:t>Section 1:39–45: Mary visited Elizabeth</w:t>
      </w:r>
    </w:p>
    <w:p>
      <w:pPr/>
      <w:r>
        <w:rPr>
          <w:lang w:val="en_US" w:bidi="en_US"/>
        </w:rPr>
      </w:r>
      <w:r>
        <w:rPr>
          <w:lang w:val="en_US" w:bidi="en_US"/>
        </w:rPr>
        <w:t>Soon after the angel visited Mary in Galilee, she went to visit her relative Elizabeth. Elizabeth lived in a town in Judea. Mary probably traveled from three to five days to reach there. The Holy Spirit revealed to Elizabeth that Mary was carrying the Christ/Messiah in her womb. This was confirmed also by Elizabeth’s baby, John, who leaped for joy in her womb. Elizabeth declared that Mary was blessed more than all women because God had chosen her for such an honor.</w:t>
      </w:r>
    </w:p>
    <w:p>
      <w:pPr/>
      <w:r>
        <w:rPr>
          <w:lang w:val="en_US" w:bidi="en_US"/>
        </w:rPr>
      </w:r>
      <w:r>
        <w:rPr>
          <w:lang w:val="en_US" w:bidi="en_US"/>
        </w:rPr>
        <w:t>Some other possible headings for this section are:</w:t>
      </w:r>
    </w:p>
    <w:p>
      <w:pPr/>
      <w:r>
        <w:rPr>
          <w:lang w:val="en_US" w:bidi="en_US"/>
        </w:rPr>
      </w:r>
      <w:r>
        <w:rPr>
          <w:lang w:val="en_US" w:bidi="en_US"/>
        </w:rPr>
        <w:t>Elizabeth affirmed that God had blessed Mary</w:t>
      </w:r>
    </w:p>
    <w:p>
      <w:pPr/>
      <w:r>
        <w:rPr>
          <w:lang w:val="en_US" w:bidi="en_US"/>
        </w:rPr>
      </w:r>
      <w:r>
        <w:rPr>
          <w:lang w:val="en_US" w:bidi="en_US"/>
        </w:rPr>
        <w:t>Elizabeth recognized that Mary would be the mother of the Christ</w:t>
      </w:r>
    </w:p>
    <w:p>
      <w:pPr>
        <w:pStyle w:val="Heading5"/>
      </w:pPr>
      <w:r>
        <w:rPr>
          <w:lang w:val="en_US" w:bidi="en_US"/>
        </w:rPr>
        <w:t>1:44a</w:t>
      </w:r>
    </w:p>
    <w:p>
      <w:pPr/>
      <w:r>
        <w:rPr>
          <w:lang w:val="en_US" w:bidi="en_US"/>
        </w:rPr>
      </w:r>
      <w:r>
        <w:rPr>
          <w:b/>
          <w:lang w:val="en_US" w:bidi="en_US"/>
        </w:rPr>
        <w:t>For as soon as the sound of your greeting reached my ears,</w:t>
      </w:r>
    </w:p>
    <w:p>
      <w:pPr>
        <w:pStyle w:val="ListBullet"/>
        <w:spacing w:line="240" w:lineRule="auto"/>
        <w:ind w:left="720"/>
      </w:pPr>
      <w:r>
        <w:rPr>
          <w:lang w:val="en_US" w:bidi="en_US"/>
        </w:rPr>
      </w:r>
      <w:r>
        <w:rPr>
          <w:lang w:val="en_US" w:bidi="en_US"/>
        </w:rPr>
        <w:t>Listen, as soon as I heard your</w:t>
      </w:r>
      <w:r>
        <w:rPr>
          <w:vertAlign w:val="superscript"/>
          <w:lang w:val="en_US" w:bidi="en_US"/>
        </w:rPr>
        <w:t>(sing)</w:t>
      </w:r>
      <w:r>
        <w:rPr>
          <w:lang w:val="en_US" w:bidi="en_US"/>
        </w:rPr>
        <w:t xml:space="preserve"> greeting,</w:t>
      </w:r>
    </w:p>
    <w:p>
      <w:pPr>
        <w:pStyle w:val="ListBullet"/>
        <w:spacing w:line="240" w:lineRule="auto"/>
        <w:ind w:left="720"/>
      </w:pPr>
      <w:r>
        <w:rPr>
          <w:lang w:val="en_US" w:bidi="en_US"/>
        </w:rPr>
      </w:r>
      <w:r>
        <w:rPr>
          <w:lang w:val="en_US" w:bidi="en_US"/>
        </w:rPr>
        <w:t>I tell you that when I heard you</w:t>
      </w:r>
      <w:r>
        <w:rPr>
          <w:vertAlign w:val="superscript"/>
          <w:lang w:val="en_US" w:bidi="en_US"/>
        </w:rPr>
        <w:t>(sing)</w:t>
      </w:r>
      <w:r>
        <w:rPr>
          <w:lang w:val="en_US" w:bidi="en_US"/>
        </w:rPr>
        <w:t xml:space="preserve"> greeting me,</w:t>
      </w:r>
    </w:p>
    <w:p>
      <w:pPr/>
      <w:r>
        <w:rPr>
          <w:lang w:val="en_US" w:bidi="en_US"/>
        </w:rPr>
      </w:r>
      <w:r>
        <w:rPr>
          <w:b/>
          <w:lang w:val="en_US" w:bidi="en_US"/>
        </w:rPr>
        <w:t>For</w:t>
      </w:r>
      <w:r>
        <w:rPr>
          <w:lang w:val="en_US" w:bidi="en_US"/>
        </w:rPr>
        <w:t xml:space="preserve"> The Greek text connects 1:44a to 1:43b with a conjunction that the BSB translates as </w:t>
      </w:r>
      <w:r>
        <w:rPr>
          <w:i/>
          <w:lang w:val="en_US" w:bidi="en_US"/>
        </w:rPr>
        <w:t>For</w:t>
      </w:r>
      <w:r>
        <w:rPr>
          <w:lang w:val="en_US" w:bidi="en_US"/>
        </w:rPr>
        <w:t>. This conjunction indicates that Elizabeth’s next statement supports what she had just said. Another way to translate this is:</w:t>
      </w:r>
    </w:p>
    <w:p>
      <w:pPr/>
      <w:r>
        <w:rPr>
          <w:lang w:val="en_US" w:bidi="en_US"/>
        </w:rPr>
      </w:r>
      <w:r>
        <w:rPr>
          <w:lang w:val="en_US" w:bidi="en_US"/>
        </w:rPr>
        <w:t>Indeed (TRT)</w:t>
      </w:r>
    </w:p>
    <w:p>
      <w:pPr/>
      <w:r>
        <w:rPr>
          <w:lang w:val="en_US" w:bidi="en_US"/>
        </w:rPr>
      </w:r>
      <w:r>
        <w:rPr>
          <w:lang w:val="en_US" w:bidi="en_US"/>
        </w:rPr>
        <w:t>Most English versions do not translate this connection.</w:t>
      </w:r>
    </w:p>
    <w:p>
      <w:pPr/>
      <w:r>
        <w:rPr>
          <w:lang w:val="en_US" w:bidi="en_US"/>
        </w:rPr>
      </w:r>
      <w:r>
        <w:rPr>
          <w:lang w:val="en_US" w:bidi="en_US"/>
        </w:rPr>
        <w:t>In the Greek text, Elizabeth began her next statement with a word that emphasized what she was about to say. It is the same word that the BSB translates as “now” in 1:20, as “Behold” in 1:31, and as “Look” in 1:36. The BSB does not translate the word here, and some other English versions also do not explicitly translate the word. Some ways to translate this emphasis in English are:</w:t>
      </w:r>
    </w:p>
    <w:p>
      <w:pPr/>
      <w:r>
        <w:rPr>
          <w:lang w:val="en_US" w:bidi="en_US"/>
        </w:rPr>
      </w:r>
      <w:r>
        <w:rPr>
          <w:lang w:val="en_US" w:bidi="en_US"/>
        </w:rPr>
        <w:t>something amazing happened (TRT)</w:t>
      </w:r>
    </w:p>
    <w:p>
      <w:pPr/>
      <w:r>
        <w:rPr>
          <w:lang w:val="en_US" w:bidi="en_US"/>
        </w:rPr>
      </w:r>
      <w:r>
        <w:rPr>
          <w:lang w:val="en_US" w:bidi="en_US"/>
        </w:rPr>
        <w:t>Look (NJB)</w:t>
      </w:r>
    </w:p>
    <w:p>
      <w:pPr/>
      <w:r>
        <w:rPr>
          <w:lang w:val="en_US" w:bidi="en_US"/>
        </w:rPr>
      </w:r>
      <w:r>
        <w:rPr>
          <w:lang w:val="en_US" w:bidi="en_US"/>
        </w:rPr>
        <w:t>I tell you… (REB)</w:t>
      </w:r>
    </w:p>
    <w:p>
      <w:pPr/>
      <w:r>
        <w:rPr>
          <w:lang w:val="en_US" w:bidi="en_US"/>
        </w:rPr>
      </w:r>
      <w:r>
        <w:rPr>
          <w:lang w:val="en_US" w:bidi="en_US"/>
        </w:rPr>
        <w:t>Listen to this!</w:t>
      </w:r>
    </w:p>
    <w:p>
      <w:pPr/>
      <w:r>
        <w:rPr>
          <w:lang w:val="en_US" w:bidi="en_US"/>
        </w:rPr>
      </w:r>
      <w:r>
        <w:rPr>
          <w:lang w:val="en_US" w:bidi="en_US"/>
        </w:rPr>
        <w:t>Translate this emphasis in a natural way in your language.</w:t>
      </w:r>
    </w:p>
    <w:p>
      <w:pPr/>
      <w:r>
        <w:rPr>
          <w:lang w:val="en_US" w:bidi="en_US"/>
        </w:rPr>
      </w:r>
      <w:r>
        <w:rPr>
          <w:b/>
          <w:lang w:val="en_US" w:bidi="en_US"/>
        </w:rPr>
        <w:t>as soon as the sound of your greeting reached my ears:</w:t>
      </w:r>
      <w:r>
        <w:rPr>
          <w:lang w:val="en_US" w:bidi="en_US"/>
        </w:rPr>
        <w:t xml:space="preserve"> The clause </w:t>
      </w:r>
      <w:r>
        <w:rPr>
          <w:i/>
          <w:lang w:val="en_US" w:bidi="en_US"/>
        </w:rPr>
        <w:t>as soon as the sound of your greeting reached my ears</w:t>
      </w:r>
      <w:r>
        <w:rPr>
          <w:lang w:val="en_US" w:bidi="en_US"/>
        </w:rPr>
        <w:t xml:space="preserve"> is a poetic way of saying “when I heard you greeting </w:t>
      </w:r>
      <w:r>
        <w:rPr>
          <w:lang w:val="en_US" w:bidi="en_US"/>
        </w:rPr>
        <w:t>me</w:t>
      </w:r>
      <w:r>
        <w:rPr>
          <w:lang w:val="en_US" w:bidi="en_US"/>
        </w:rPr>
        <w:t xml:space="preserve">.” The Greek word that the BSB translates as </w:t>
      </w:r>
      <w:r>
        <w:rPr>
          <w:i/>
          <w:lang w:val="en_US" w:bidi="en_US"/>
        </w:rPr>
        <w:t>as soon as</w:t>
      </w:r>
      <w:r>
        <w:rPr>
          <w:lang w:val="en_US" w:bidi="en_US"/>
        </w:rPr>
        <w:t xml:space="preserve"> can also be translated as “when” or “as.” The baby leaped for joy at the same time that Mary greeted Elizabeth. Another way to translate this is:</w:t>
      </w:r>
    </w:p>
    <w:p>
      <w:pPr/>
      <w:r>
        <w:rPr>
          <w:lang w:val="en_US" w:bidi="en_US"/>
        </w:rPr>
      </w:r>
      <w:r>
        <w:rPr>
          <w:lang w:val="en_US" w:bidi="en_US"/>
        </w:rPr>
        <w:t>When I heard your greeting (NLT)</w:t>
      </w:r>
    </w:p>
    <w:p>
      <w:pPr>
        <w:pStyle w:val="Heading5"/>
      </w:pPr>
      <w:r>
        <w:rPr>
          <w:lang w:val="en_US" w:bidi="en_US"/>
        </w:rPr>
        <w:t>1:44b</w:t>
      </w:r>
    </w:p>
    <w:p>
      <w:pPr/>
      <w:r>
        <w:rPr>
          <w:lang w:val="en_US" w:bidi="en_US"/>
        </w:rPr>
      </w:r>
      <w:r>
        <w:rPr>
          <w:b/>
          <w:lang w:val="en_US" w:bidi="en_US"/>
        </w:rPr>
        <w:t>the baby in my womb leaped for joy.</w:t>
      </w:r>
    </w:p>
    <w:p>
      <w:pPr>
        <w:pStyle w:val="ListBullet"/>
        <w:spacing w:line="240" w:lineRule="auto"/>
        <w:ind w:left="720"/>
      </w:pPr>
      <w:r>
        <w:rPr>
          <w:lang w:val="en_US" w:bidi="en_US"/>
        </w:rPr>
      </w:r>
      <w:r>
        <w:rPr>
          <w:lang w:val="en_US" w:bidi="en_US"/>
        </w:rPr>
        <w:t>the baby inside me was so happy that he jumped.</w:t>
      </w:r>
    </w:p>
    <w:p>
      <w:pPr>
        <w:pStyle w:val="ListBullet"/>
        <w:spacing w:line="240" w:lineRule="auto"/>
        <w:ind w:left="720"/>
      </w:pPr>
      <w:r>
        <w:rPr>
          <w:lang w:val="en_US" w:bidi="en_US"/>
        </w:rPr>
      </w:r>
      <w:r>
        <w:rPr>
          <w:lang w:val="en_US" w:bidi="en_US"/>
        </w:rPr>
        <w:t>the child in my womb danced/moved for joy.</w:t>
      </w:r>
    </w:p>
    <w:p>
      <w:pPr/>
      <w:r>
        <w:rPr>
          <w:lang w:val="en_US" w:bidi="en_US"/>
        </w:rPr>
      </w:r>
      <w:r>
        <w:rPr>
          <w:b/>
          <w:lang w:val="en_US" w:bidi="en_US"/>
        </w:rPr>
        <w:t>the baby in my womb leaped for joy:</w:t>
      </w:r>
      <w:r>
        <w:rPr>
          <w:lang w:val="en_US" w:bidi="en_US"/>
        </w:rPr>
        <w:t xml:space="preserve"> This part of the verse uses language that is similar to 1:41a. Here Elizabeth added the reason why the baby leaped. Elizabeth implied that the baby was happy because the mother of the Lord had come.</w:t>
      </w:r>
      <w:r>
        <w:rPr>
          <w:lang w:val="en_US" w:bidi="en_US"/>
        </w:rPr>
      </w:r>
      <w:r>
        <w:rPr>
          <w:lang w:val="en_US" w:bidi="en_US"/>
        </w:rPr>
      </w:r>
    </w:p>
    <w:p>
      <w:pPr/>
      <w:r>
        <w:rPr>
          <w:lang w:val="en_US" w:bidi="en_US"/>
        </w:rPr>
      </w:r>
    </w:p>
    <w:p>
      <w:pPr>
        <w:pStyle w:val="Heading2"/>
      </w:pPr>
      <w:r>
        <w:rPr>
          <w:lang w:val="en_US" w:bidi="en_US"/>
        </w:rPr>
        <w:t>Luke 1:45</w:t>
      </w:r>
      <w:r>
        <w:rPr>
          <w:lang w:val="en_US" w:bidi="en_US"/>
        </w:rPr>
      </w:r>
    </w:p>
    <w:p>
      <w:pPr>
        <w:pStyle w:val="Heading4"/>
      </w:pPr>
      <w:r>
        <w:rPr>
          <w:lang w:val="en_US" w:bidi="en_US"/>
        </w:rPr>
        <w:t>Section 1:39–45: Mary visited Elizabeth</w:t>
      </w:r>
    </w:p>
    <w:p>
      <w:pPr/>
      <w:r>
        <w:rPr>
          <w:lang w:val="en_US" w:bidi="en_US"/>
        </w:rPr>
      </w:r>
      <w:r>
        <w:rPr>
          <w:lang w:val="en_US" w:bidi="en_US"/>
        </w:rPr>
        <w:t>Soon after the angel visited Mary in Galilee, she went to visit her relative Elizabeth. Elizabeth lived in a town in Judea. Mary probably traveled from three to five days to reach there. The Holy Spirit revealed to Elizabeth that Mary was carrying the Christ/Messiah in her womb. This was confirmed also by Elizabeth’s baby, John, who leaped for joy in her womb. Elizabeth declared that Mary was blessed more than all women because God had chosen her for such an honor.</w:t>
      </w:r>
    </w:p>
    <w:p>
      <w:pPr/>
      <w:r>
        <w:rPr>
          <w:lang w:val="en_US" w:bidi="en_US"/>
        </w:rPr>
      </w:r>
      <w:r>
        <w:rPr>
          <w:lang w:val="en_US" w:bidi="en_US"/>
        </w:rPr>
        <w:t>Some other possible headings for this section are:</w:t>
      </w:r>
    </w:p>
    <w:p>
      <w:pPr/>
      <w:r>
        <w:rPr>
          <w:lang w:val="en_US" w:bidi="en_US"/>
        </w:rPr>
      </w:r>
      <w:r>
        <w:rPr>
          <w:lang w:val="en_US" w:bidi="en_US"/>
        </w:rPr>
        <w:t>Elizabeth affirmed that God had blessed Mary</w:t>
      </w:r>
    </w:p>
    <w:p>
      <w:pPr/>
      <w:r>
        <w:rPr>
          <w:lang w:val="en_US" w:bidi="en_US"/>
        </w:rPr>
      </w:r>
      <w:r>
        <w:rPr>
          <w:lang w:val="en_US" w:bidi="en_US"/>
        </w:rPr>
        <w:t>Elizabeth recognized that Mary would be the mother of the Christ</w:t>
      </w:r>
    </w:p>
    <w:p>
      <w:pPr>
        <w:pStyle w:val="Heading5"/>
      </w:pPr>
      <w:r>
        <w:rPr>
          <w:lang w:val="en_US" w:bidi="en_US"/>
        </w:rPr>
        <w:t>1:45a</w:t>
      </w:r>
    </w:p>
    <w:p>
      <w:pPr/>
      <w:r>
        <w:rPr>
          <w:lang w:val="en_US" w:bidi="en_US"/>
        </w:rPr>
      </w:r>
      <w:r>
        <w:rPr>
          <w:b/>
          <w:lang w:val="en_US" w:bidi="en_US"/>
        </w:rPr>
        <w:t>Blessed is she who has believed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favored/fortunate, you</w:t>
      </w:r>
      <w:r>
        <w:rPr>
          <w:vertAlign w:val="superscript"/>
          <w:lang w:val="en_US" w:bidi="en_US"/>
        </w:rPr>
        <w:t>(sing)</w:t>
      </w:r>
      <w:r>
        <w:rPr>
          <w:lang w:val="en_US" w:bidi="en_US"/>
        </w:rPr>
        <w:t xml:space="preserve"> who believed</w:t>
      </w:r>
    </w:p>
    <w:p>
      <w:pPr>
        <w:pStyle w:val="ListBullet"/>
        <w:spacing w:line="240" w:lineRule="auto"/>
        <w:ind w:left="720"/>
      </w:pPr>
      <w:r>
        <w:rPr>
          <w:lang w:val="en_US" w:bidi="en_US"/>
        </w:rPr>
      </w:r>
      <w:r>
        <w:rPr>
          <w:lang w:val="en_US" w:bidi="en_US"/>
        </w:rPr>
        <w:t>How good it is for you</w:t>
      </w:r>
      <w:r>
        <w:rPr>
          <w:vertAlign w:val="superscript"/>
          <w:lang w:val="en_US" w:bidi="en_US"/>
        </w:rPr>
        <w:t>(sing)</w:t>
      </w:r>
      <w:r>
        <w:rPr>
          <w:lang w:val="en_US" w:bidi="en_US"/>
        </w:rPr>
        <w:t xml:space="preserve"> </w:t>
      </w:r>
      <w:r>
        <w:rPr>
          <w:lang w:val="en_US" w:bidi="en_US"/>
        </w:rPr>
        <w:t>because</w:t>
      </w:r>
      <w:r>
        <w:rPr>
          <w:lang w:val="en_US" w:bidi="en_US"/>
        </w:rPr>
        <w:t xml:space="preserve"> you</w:t>
      </w:r>
      <w:r>
        <w:rPr>
          <w:vertAlign w:val="superscript"/>
          <w:lang w:val="en_US" w:bidi="en_US"/>
        </w:rPr>
        <w:t>(sing)</w:t>
      </w:r>
      <w:r>
        <w:rPr>
          <w:lang w:val="en_US" w:bidi="en_US"/>
        </w:rPr>
        <w:t xml:space="preserve"> believed</w:t>
      </w:r>
    </w:p>
    <w:p>
      <w:pPr>
        <w:pStyle w:val="Heading5"/>
      </w:pPr>
      <w:r>
        <w:rPr>
          <w:lang w:val="en_US" w:bidi="en_US"/>
        </w:rPr>
        <w:t>1:45a–b</w:t>
      </w:r>
    </w:p>
    <w:p>
      <w:pPr/>
      <w:r>
        <w:rPr>
          <w:lang w:val="en_US" w:bidi="en_US"/>
        </w:rPr>
      </w:r>
      <w:r>
        <w:rPr>
          <w:b/>
          <w:lang w:val="en_US" w:bidi="en_US"/>
        </w:rPr>
        <w:t>Blessed is she who has believed:</w:t>
      </w:r>
      <w:r>
        <w:rPr>
          <w:lang w:val="en_US" w:bidi="en_US"/>
        </w:rPr>
        <w:t xml:space="preserve"> The phrase </w:t>
      </w:r>
      <w:r>
        <w:rPr>
          <w:i/>
          <w:lang w:val="en_US" w:bidi="en_US"/>
        </w:rPr>
        <w:t>she who has believed</w:t>
      </w:r>
      <w:r>
        <w:rPr>
          <w:lang w:val="en_US" w:bidi="en_US"/>
        </w:rPr>
        <w:t xml:space="preserve"> refers specifically to Mary. Elizabeth was still speaking to her. In some languages it may be more natural to use a form such as “you.” For example:</w:t>
      </w:r>
    </w:p>
    <w:p>
      <w:pPr/>
      <w:r>
        <w:rPr>
          <w:lang w:val="en_US" w:bidi="en_US"/>
        </w:rPr>
      </w:r>
      <w:r>
        <w:rPr>
          <w:lang w:val="en_US" w:bidi="en_US"/>
        </w:rPr>
        <w:t>Blessed are you who have believed</w:t>
      </w:r>
    </w:p>
    <w:p>
      <w:pPr/>
      <w:r>
        <w:rPr>
          <w:lang w:val="en_US" w:bidi="en_US"/>
        </w:rPr>
      </w:r>
      <w:r>
        <w:rPr>
          <w:lang w:val="en_US" w:bidi="en_US"/>
        </w:rPr>
        <w:t>The Greek word</w:t>
      </w:r>
      <w:r>
        <w:rPr>
          <w:i/>
          <w:lang w:val="en_US" w:bidi="en_US"/>
        </w:rPr>
        <w:t>μακαρια</w:t>
      </w:r>
      <w:r>
        <w:rPr>
          <w:lang w:val="en_US" w:bidi="en_US"/>
        </w:rPr>
        <w:t>.</w:t>
      </w:r>
      <w:r>
        <w:rPr>
          <w:lang w:val="en_US" w:bidi="en_US"/>
        </w:rPr>
        <w:t xml:space="preserve"> that the BSB translates as </w:t>
      </w:r>
      <w:r>
        <w:rPr>
          <w:i/>
          <w:lang w:val="en_US" w:bidi="en_US"/>
        </w:rPr>
        <w:t>Blessed</w:t>
      </w:r>
      <w:r>
        <w:rPr>
          <w:lang w:val="en_US" w:bidi="en_US"/>
        </w:rPr>
        <w:t xml:space="preserve"> is different from the one that is translated as </w:t>
      </w:r>
      <w:r>
        <w:rPr>
          <w:i/>
          <w:lang w:val="en_US" w:bidi="en_US"/>
        </w:rPr>
        <w:t>Blessed</w:t>
      </w:r>
      <w:r>
        <w:rPr>
          <w:lang w:val="en_US" w:bidi="en_US"/>
        </w:rPr>
        <w:t xml:space="preserve"> in 1:42b and 1:42c. It describes a person who is in a good situation. In the Bible, the good situation results from God showing favor/kindness to the person.</w:t>
      </w:r>
    </w:p>
    <w:p>
      <w:pPr/>
      <w:r>
        <w:rPr>
          <w:lang w:val="en_US" w:bidi="en_US"/>
        </w:rPr>
      </w:r>
      <w:r>
        <w:rPr>
          <w:lang w:val="en_US" w:bidi="en_US"/>
        </w:rPr>
        <w:t>Some other ways to translate this word are:</w:t>
      </w:r>
    </w:p>
    <w:p>
      <w:pPr/>
      <w:r>
        <w:rPr>
          <w:lang w:val="en_US" w:bidi="en_US"/>
        </w:rPr>
      </w:r>
      <w:r>
        <w:rPr>
          <w:lang w:val="en_US" w:bidi="en_US"/>
        </w:rPr>
        <w:t>Joyful/desirable is your situation because you have believed</w:t>
      </w:r>
    </w:p>
    <w:p>
      <w:pPr/>
      <w:r>
        <w:rPr>
          <w:lang w:val="en_US" w:bidi="en_US"/>
        </w:rPr>
      </w:r>
      <w:r>
        <w:rPr>
          <w:lang w:val="en_US" w:bidi="en_US"/>
        </w:rPr>
        <w:t>How good/happy it is for you who have believed</w:t>
      </w:r>
    </w:p>
    <w:p>
      <w:pPr/>
      <w:r>
        <w:rPr>
          <w:lang w:val="en_US" w:bidi="en_US"/>
        </w:rPr>
      </w:r>
      <w:r>
        <w:rPr>
          <w:lang w:val="en_US" w:bidi="en_US"/>
        </w:rPr>
        <w:t>You are favored/fortunate for believing</w:t>
      </w:r>
    </w:p>
    <w:p>
      <w:pPr/>
      <w:r>
        <w:rPr>
          <w:lang w:val="en_US" w:bidi="en_US"/>
        </w:rPr>
      </w:r>
      <w:r>
        <w:rPr>
          <w:lang w:val="en_US" w:bidi="en_US"/>
        </w:rPr>
        <w:t xml:space="preserve">This word does not primarily refer to a feeling. However, a person in this good situation will frequently have good feelings such as happiness and joy. Do not use a word that </w:t>
      </w:r>
      <w:r>
        <w:rPr>
          <w:u w:val="single"/>
          <w:lang w:val="en_US" w:bidi="en_US"/>
        </w:rPr>
        <w:t>only</w:t>
      </w:r>
      <w:r>
        <w:rPr>
          <w:lang w:val="en_US" w:bidi="en_US"/>
        </w:rPr>
        <w:t xml:space="preserve"> refers to material prosperity or physical health.</w:t>
      </w:r>
    </w:p>
    <w:p>
      <w:pPr/>
      <w:r>
        <w:rPr>
          <w:lang w:val="en_US" w:bidi="en_US"/>
        </w:rPr>
      </w:r>
      <w:r>
        <w:rPr>
          <w:lang w:val="en_US" w:bidi="en_US"/>
        </w:rPr>
        <w:t>See bless, Meaning 3, in the Glossary.</w:t>
      </w:r>
    </w:p>
    <w:p>
      <w:pPr/>
      <w:r>
        <w:rPr>
          <w:lang w:val="en_US" w:bidi="en_US"/>
        </w:rPr>
      </w:r>
      <w:r>
        <w:rPr>
          <w:b/>
          <w:lang w:val="en_US" w:bidi="en_US"/>
        </w:rPr>
        <w:t>she who has believed:</w:t>
      </w:r>
      <w:r>
        <w:rPr>
          <w:lang w:val="en_US" w:bidi="en_US"/>
        </w:rPr>
        <w:t xml:space="preserve"> The phrase </w:t>
      </w:r>
      <w:r>
        <w:rPr>
          <w:i/>
          <w:lang w:val="en_US" w:bidi="en_US"/>
        </w:rPr>
        <w:t>who has believed</w:t>
      </w:r>
      <w:r>
        <w:rPr>
          <w:lang w:val="en_US" w:bidi="en_US"/>
        </w:rPr>
        <w:t xml:space="preserve"> identifies the one who is blessed. However, it also implies the reason why Mary was blessed. For example:</w:t>
      </w:r>
    </w:p>
    <w:p>
      <w:pPr/>
      <w:r>
        <w:rPr>
          <w:lang w:val="en_US" w:bidi="en_US"/>
        </w:rPr>
      </w:r>
      <w:r>
        <w:rPr>
          <w:lang w:val="en_US" w:bidi="en_US"/>
        </w:rPr>
        <w:t>because you believed (CEV)</w:t>
      </w:r>
    </w:p>
    <w:p>
      <w:pPr/>
      <w:r>
        <w:rPr>
          <w:lang w:val="en_US" w:bidi="en_US"/>
        </w:rPr>
      </w:r>
      <w:r>
        <w:rPr>
          <w:b/>
          <w:lang w:val="en_US" w:bidi="en_US"/>
        </w:rPr>
        <w:t>believed:</w:t>
      </w:r>
      <w:r>
        <w:rPr>
          <w:lang w:val="en_US" w:bidi="en_US"/>
        </w:rPr>
        <w:t xml:space="preserve"> In this context the word </w:t>
      </w:r>
      <w:r>
        <w:rPr>
          <w:i/>
          <w:lang w:val="en_US" w:bidi="en_US"/>
        </w:rPr>
        <w:t>believed</w:t>
      </w:r>
      <w:r>
        <w:rPr>
          <w:lang w:val="en_US" w:bidi="en_US"/>
        </w:rPr>
        <w:t xml:space="preserve"> refers to having confidence in what the Lord said. Mary knew that the Lord would do what he had told her.</w:t>
      </w:r>
    </w:p>
    <w:p>
      <w:pPr/>
      <w:r>
        <w:rPr>
          <w:lang w:val="en_US" w:bidi="en_US"/>
        </w:rPr>
      </w:r>
      <w:r>
        <w:rPr>
          <w:lang w:val="en_US" w:bidi="en_US"/>
        </w:rPr>
        <w:t>See believe, Meaning 1, in the Glossary.</w:t>
      </w:r>
    </w:p>
    <w:p>
      <w:pPr>
        <w:pStyle w:val="Heading5"/>
      </w:pPr>
      <w:r>
        <w:rPr>
          <w:lang w:val="en_US" w:bidi="en_US"/>
        </w:rPr>
        <w:t>1:45b</w:t>
      </w:r>
    </w:p>
    <w:p>
      <w:pPr/>
      <w:r>
        <w:rPr>
          <w:lang w:val="en_US" w:bidi="en_US"/>
        </w:rPr>
      </w:r>
      <w:r>
        <w:rPr>
          <w:b/>
          <w:lang w:val="en_US" w:bidi="en_US"/>
        </w:rPr>
        <w:t>that the Lord’s word to her will be fulfilled.”</w:t>
      </w:r>
    </w:p>
    <w:p>
      <w:pPr>
        <w:pStyle w:val="ListBullet"/>
        <w:spacing w:line="240" w:lineRule="auto"/>
        <w:ind w:left="720"/>
      </w:pPr>
      <w:r>
        <w:rPr>
          <w:lang w:val="en_US" w:bidi="en_US"/>
        </w:rPr>
      </w:r>
      <w:r>
        <w:rPr>
          <w:lang w:val="en_US" w:bidi="en_US"/>
        </w:rPr>
        <w:t>that what the Lord said to you</w:t>
      </w:r>
      <w:r>
        <w:rPr>
          <w:vertAlign w:val="superscript"/>
          <w:lang w:val="en_US" w:bidi="en_US"/>
        </w:rPr>
        <w:t>(sing)</w:t>
      </w:r>
      <w:r>
        <w:rPr>
          <w:lang w:val="en_US" w:bidi="en_US"/>
        </w:rPr>
        <w:t xml:space="preserve"> will really happen!”</w:t>
      </w:r>
    </w:p>
    <w:p>
      <w:pPr>
        <w:pStyle w:val="ListBullet"/>
        <w:spacing w:line="240" w:lineRule="auto"/>
        <w:ind w:left="720"/>
      </w:pPr>
      <w:r>
        <w:rPr>
          <w:lang w:val="en_US" w:bidi="en_US"/>
        </w:rPr>
      </w:r>
      <w:r>
        <w:rPr>
          <w:lang w:val="en_US" w:bidi="en_US"/>
        </w:rPr>
        <w:t>that the Lord’s promise/message to you</w:t>
      </w:r>
      <w:r>
        <w:rPr>
          <w:vertAlign w:val="superscript"/>
          <w:lang w:val="en_US" w:bidi="en_US"/>
        </w:rPr>
        <w:t>(sing)</w:t>
      </w:r>
      <w:r>
        <w:rPr>
          <w:lang w:val="en_US" w:bidi="en_US"/>
        </w:rPr>
        <w:t xml:space="preserve"> will come true!”</w:t>
      </w:r>
    </w:p>
    <w:p>
      <w:pPr/>
      <w:r>
        <w:rPr>
          <w:lang w:val="en_US" w:bidi="en_US"/>
        </w:rPr>
      </w:r>
      <w:r>
        <w:rPr>
          <w:b/>
          <w:lang w:val="en_US" w:bidi="en_US"/>
        </w:rPr>
        <w:t>that the Lord’s word to her will be fulfilled:</w:t>
      </w:r>
      <w:r>
        <w:rPr>
          <w:lang w:val="en_US" w:bidi="en_US"/>
        </w:rPr>
        <w:t xml:space="preserve"> This clause refers to what Mary believed. She believed that what the Lord had told her would be done. The Greek words that the BSB translates as </w:t>
      </w:r>
      <w:r>
        <w:rPr>
          <w:i/>
          <w:lang w:val="en_US" w:bidi="en_US"/>
        </w:rPr>
        <w:t>will be fulfilled</w:t>
      </w:r>
      <w:r>
        <w:rPr>
          <w:lang w:val="en_US" w:bidi="en_US"/>
        </w:rPr>
        <w:t xml:space="preserve"> are literally “there will be a fulfillment.” It means here that what the Lord said to Mary would be fulfilled. Another way to say this is:</w:t>
      </w:r>
    </w:p>
    <w:p>
      <w:pPr/>
      <w:r>
        <w:rPr>
          <w:lang w:val="en_US" w:bidi="en_US"/>
        </w:rPr>
      </w:r>
      <w:r>
        <w:rPr>
          <w:lang w:val="en_US" w:bidi="en_US"/>
        </w:rPr>
        <w:t>that what the Lord said to you would really happen (NCV)</w:t>
      </w:r>
    </w:p>
    <w:p>
      <w:pPr/>
      <w:r>
        <w:rPr>
          <w:lang w:val="en_US" w:bidi="en_US"/>
        </w:rPr>
      </w:r>
      <w:r>
        <w:rPr>
          <w:lang w:val="en_US" w:bidi="en_US"/>
        </w:rPr>
        <w:t>that the Lord would fulfill/do what he promised you</w:t>
      </w:r>
    </w:p>
    <w:p>
      <w:pPr/>
      <w:r>
        <w:rPr>
          <w:lang w:val="en_US" w:bidi="en_US"/>
        </w:rPr>
      </w:r>
      <w:r>
        <w:rPr>
          <w:lang w:val="en_US" w:bidi="en_US"/>
        </w:rPr>
        <w:t xml:space="preserve">The phrase that the BSB translates as </w:t>
      </w:r>
      <w:r>
        <w:rPr>
          <w:i/>
          <w:lang w:val="en_US" w:bidi="en_US"/>
        </w:rPr>
        <w:t>the Lord’s word to her</w:t>
      </w:r>
      <w:r>
        <w:rPr>
          <w:lang w:val="en_US" w:bidi="en_US"/>
        </w:rPr>
        <w:t xml:space="preserve"> is literally “the things spoken to her from the Lord.” This phrase refers to what God told Mary through the angel Gabriel (1:26–37). Some English versions describe this as a promise or a message. Others use a more general word such as “said.” Some other ways to translate this are:</w:t>
      </w:r>
    </w:p>
    <w:p>
      <w:pPr/>
      <w:r>
        <w:rPr>
          <w:lang w:val="en_US" w:bidi="en_US"/>
        </w:rPr>
      </w:r>
      <w:r>
        <w:rPr>
          <w:lang w:val="en_US" w:bidi="en_US"/>
        </w:rPr>
        <w:t>that the Lord would keep his promise to you (GW)</w:t>
      </w:r>
    </w:p>
    <w:p>
      <w:pPr/>
      <w:r>
        <w:rPr>
          <w:lang w:val="en_US" w:bidi="en_US"/>
        </w:rPr>
      </w:r>
      <w:r>
        <w:rPr>
          <w:lang w:val="en_US" w:bidi="en_US"/>
        </w:rPr>
        <w:t>that the Lord would do what he said (NLT)</w:t>
      </w:r>
    </w:p>
    <w:p>
      <w:pPr/>
      <w:r>
        <w:rPr>
          <w:lang w:val="en_US" w:bidi="en_US"/>
        </w:rPr>
      </w:r>
      <w:r>
        <w:rPr>
          <w:lang w:val="en_US" w:bidi="en_US"/>
        </w:rPr>
        <w:t>that the Lord’s promise to her would be fulfilled (REB)</w:t>
      </w:r>
    </w:p>
    <w:p>
      <w:pPr>
        <w:pStyle w:val="Heading6"/>
      </w:pPr>
      <w:r>
        <w:rPr>
          <w:b/>
          <w:lang w:val="en_US" w:bidi="en_US"/>
        </w:rPr>
        <w:t>General Comment on 1:45a–b</w:t>
      </w:r>
    </w:p>
    <w:p>
      <w:pPr/>
      <w:r>
        <w:rPr>
          <w:lang w:val="en_US" w:bidi="en_US"/>
        </w:rPr>
      </w:r>
      <w:r>
        <w:rPr>
          <w:lang w:val="en_US" w:bidi="en_US"/>
        </w:rPr>
        <w:t>In some languages it may be more natural to change the order of some information in this verse. For example:</w:t>
      </w:r>
    </w:p>
    <w:p>
      <w:pPr/>
      <w:r>
        <w:rPr>
          <w:lang w:val="en_US" w:bidi="en_US"/>
        </w:rPr>
      </w:r>
      <w:r>
        <w:rPr>
          <w:vertAlign w:val="superscript"/>
          <w:lang w:val="en_US" w:bidi="en_US"/>
        </w:rPr>
        <w:t>45a</w:t>
      </w:r>
      <w:r>
        <w:rPr>
          <w:lang w:val="en_US" w:bidi="en_US"/>
        </w:rPr>
        <w:t xml:space="preserve">You have believed </w:t>
      </w:r>
      <w:r>
        <w:rPr>
          <w:vertAlign w:val="superscript"/>
          <w:lang w:val="en_US" w:bidi="en_US"/>
        </w:rPr>
        <w:t>45b</w:t>
      </w:r>
      <w:r>
        <w:rPr>
          <w:lang w:val="en_US" w:bidi="en_US"/>
        </w:rPr>
        <w:t xml:space="preserve">that what the Lord said to you would happen. </w:t>
      </w:r>
      <w:r>
        <w:rPr>
          <w:vertAlign w:val="superscript"/>
          <w:lang w:val="en_US" w:bidi="en_US"/>
        </w:rPr>
        <w:t>45a</w:t>
      </w:r>
      <w:r>
        <w:rPr>
          <w:lang w:val="en_US" w:bidi="en_US"/>
        </w:rPr>
        <w:t>So how good it is for you!</w:t>
      </w:r>
      <w:r>
        <w:rPr>
          <w:lang w:val="en_US" w:bidi="en_US"/>
        </w:rPr>
      </w:r>
      <w:r>
        <w:rPr>
          <w:lang w:val="en_US" w:bidi="en_US"/>
        </w:rPr>
      </w:r>
    </w:p>
    <w:p>
      <w:pPr/>
      <w:r>
        <w:rPr>
          <w:lang w:val="en_US" w:bidi="en_US"/>
        </w:rPr>
      </w:r>
    </w:p>
    <w:p>
      <w:pPr>
        <w:pStyle w:val="Heading2"/>
      </w:pPr>
      <w:r>
        <w:rPr>
          <w:lang w:val="en_US" w:bidi="en_US"/>
        </w:rPr>
        <w:t>Luke 1:46</w:t>
      </w:r>
      <w:r>
        <w:rPr>
          <w:lang w:val="en_US" w:bidi="en_US"/>
        </w:rPr>
      </w:r>
    </w:p>
    <w:p>
      <w:pPr>
        <w:pStyle w:val="Heading4"/>
      </w:pPr>
      <w:r>
        <w:rPr>
          <w:lang w:val="en_US" w:bidi="en_US"/>
        </w:rPr>
        <w:t>Section 1:46–56: Mary praised God</w:t>
      </w:r>
    </w:p>
    <w:p>
      <w:pPr/>
      <w:r>
        <w:rPr>
          <w:lang w:val="en_US" w:bidi="en_US"/>
        </w:rPr>
      </w:r>
      <w:r>
        <w:rPr>
          <w:lang w:val="en_US" w:bidi="en_US"/>
        </w:rPr>
        <w:t>In this section Mary spoke a poem or song of praise to God.</w:t>
      </w:r>
      <w:r>
        <w:rPr>
          <w:lang w:val="en_US" w:bidi="en_US"/>
        </w:rP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rPr>
          <w:lang w:val="en_US" w:bidi="en_US"/>
        </w:rP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pPr/>
      <w:r>
        <w:rPr>
          <w:lang w:val="en_US" w:bidi="en_US"/>
        </w:rPr>
      </w:r>
      <w:r>
        <w:rPr>
          <w:lang w:val="en_US" w:bidi="en_US"/>
        </w:rP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pPr/>
      <w:r>
        <w:rPr>
          <w:lang w:val="en_US" w:bidi="en_US"/>
        </w:rPr>
      </w:r>
      <w:r>
        <w:rPr>
          <w:lang w:val="en_US" w:bidi="en_US"/>
        </w:rP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pPr/>
      <w:r>
        <w:rPr>
          <w:lang w:val="en_US" w:bidi="en_US"/>
        </w:rPr>
      </w:r>
      <w:r>
        <w:rPr>
          <w:lang w:val="en_US" w:bidi="en_US"/>
        </w:rPr>
        <w:t>Some other possible headings for this section are:</w:t>
      </w:r>
      <w:r>
        <w:rPr>
          <w:lang w:val="en_US" w:bidi="en_US"/>
        </w:rPr>
        <w:t>The name of Mary’s song in Latin, the Magnificat, is well-known in some areas of the world. If this is true in your area, you may be able to use this name as your heading or as part of the heading. For example, the NLT has “The Magnificat: Mary’s Song of Praise.”</w:t>
      </w:r>
    </w:p>
    <w:p>
      <w:pPr/>
      <w:r>
        <w:rPr>
          <w:lang w:val="en_US" w:bidi="en_US"/>
        </w:rPr>
      </w:r>
      <w:r>
        <w:rPr>
          <w:lang w:val="en_US" w:bidi="en_US"/>
        </w:rPr>
        <w:t>Mary’s song of praise to God</w:t>
      </w:r>
    </w:p>
    <w:p>
      <w:pPr/>
      <w:r>
        <w:rPr>
          <w:lang w:val="en_US" w:bidi="en_US"/>
        </w:rPr>
      </w:r>
      <w:r>
        <w:rPr>
          <w:lang w:val="en_US" w:bidi="en_US"/>
        </w:rPr>
        <w:t>Mary praised God for the kindness he was showing to Israel and to her</w:t>
      </w:r>
    </w:p>
    <w:p>
      <w:pPr>
        <w:pStyle w:val="Heading5"/>
      </w:pPr>
      <w:r>
        <w:rPr>
          <w:lang w:val="en_US" w:bidi="en_US"/>
        </w:rPr>
        <w:t>1:46–47</w:t>
      </w:r>
    </w:p>
    <w:p>
      <w:pPr/>
      <w:r>
        <w:rPr>
          <w:lang w:val="en_US" w:bidi="en_US"/>
        </w:rPr>
      </w:r>
      <w:r>
        <w:rPr>
          <w:lang w:val="en_US" w:bidi="en_US"/>
        </w:rPr>
        <w:t>As in 1:33, in these verses the same meaning is expressed in two different ways. 1:46 is very similar in meaning to 1:47. “My soul” and “my spirit” are similar. “Glorifies” and “rejoices” are similar. “The Lord” and “God my Savior” both refer to the same person. See below how the parallel parts of the verse relate to each other (for example, how “My soul” is similar to “my spirit,” etc.):</w:t>
      </w:r>
    </w:p>
    <w:p>
      <w:pPr/>
      <w:r>
        <w:rPr>
          <w:lang w:val="en_US" w:bidi="en_US"/>
        </w:rPr>
      </w:r>
      <w:r>
        <w:rPr>
          <w:vertAlign w:val="superscript"/>
          <w:lang w:val="en_US" w:bidi="en_US"/>
        </w:rPr>
        <w:t>46</w:t>
      </w:r>
      <w:r>
        <w:rPr>
          <w:lang w:val="en_US" w:bidi="en_US"/>
        </w:rPr>
        <w:t xml:space="preserve"> </w:t>
      </w:r>
      <w:r>
        <w:rPr>
          <w:u w:val="single"/>
          <w:lang w:val="en_US" w:bidi="en_US"/>
        </w:rPr>
        <w:t>My soul</w:t>
      </w:r>
      <w:r>
        <w:rPr>
          <w:lang w:val="en_US" w:bidi="en_US"/>
        </w:rPr>
        <w:t xml:space="preserve"> </w:t>
      </w:r>
      <w:r>
        <w:rPr>
          <w:b/>
          <w:lang w:val="en_US" w:bidi="en_US"/>
        </w:rPr>
        <w:t>glorifies</w:t>
      </w:r>
      <w:r>
        <w:rPr>
          <w:lang w:val="en_US" w:bidi="en_US"/>
        </w:rPr>
        <w:t xml:space="preserve"> </w:t>
      </w:r>
      <w:r>
        <w:rPr>
          <w:b/>
          <w:lang w:val="en_US" w:bidi="en_US"/>
        </w:rPr>
        <w:t>the Lord</w:t>
      </w:r>
    </w:p>
    <w:p>
      <w:pPr/>
      <w:r>
        <w:rPr>
          <w:lang w:val="en_US" w:bidi="en_US"/>
        </w:rPr>
      </w:r>
      <w:r>
        <w:rPr>
          <w:vertAlign w:val="superscript"/>
          <w:lang w:val="en_US" w:bidi="en_US"/>
        </w:rPr>
        <w:t>47</w:t>
      </w:r>
      <w:r>
        <w:rPr>
          <w:lang w:val="en_US" w:bidi="en_US"/>
        </w:rPr>
        <w:t xml:space="preserve">and </w:t>
      </w:r>
      <w:r>
        <w:rPr>
          <w:u w:val="single"/>
          <w:lang w:val="en_US" w:bidi="en_US"/>
        </w:rPr>
        <w:t>my spirit</w:t>
      </w:r>
      <w:r>
        <w:rPr>
          <w:lang w:val="en_US" w:bidi="en_US"/>
        </w:rPr>
        <w:t xml:space="preserve"> </w:t>
      </w:r>
      <w:r>
        <w:rPr>
          <w:b/>
          <w:lang w:val="en_US" w:bidi="en_US"/>
        </w:rPr>
        <w:t>rejoices in</w:t>
      </w:r>
      <w:r>
        <w:rPr>
          <w:lang w:val="en_US" w:bidi="en_US"/>
        </w:rPr>
        <w:t xml:space="preserve"> </w:t>
      </w:r>
      <w:r>
        <w:rPr>
          <w:b/>
          <w:lang w:val="en_US" w:bidi="en_US"/>
        </w:rPr>
        <w:t>God my Savior</w:t>
      </w:r>
      <w:r>
        <w:rPr>
          <w:lang w:val="en_US" w:bidi="en_US"/>
        </w:rPr>
        <w:t>.</w:t>
      </w:r>
    </w:p>
    <w:p>
      <w:pPr/>
      <w:r>
        <w:rPr>
          <w:lang w:val="en_US" w:bidi="en_US"/>
        </w:rPr>
      </w:r>
      <w:r>
        <w:rPr>
          <w:lang w:val="en_US" w:bidi="en_US"/>
        </w:rPr>
        <w:t>In some languages it may be confusing to repeat the same meaning in different words here. It may imply that Mary was making two separate statements that had different meanings. If that is true in your language, it may be necessary to combine these statements. For example:</w:t>
      </w:r>
    </w:p>
    <w:p>
      <w:pPr/>
      <w:r>
        <w:rPr>
          <w:lang w:val="en_US" w:bidi="en_US"/>
        </w:rPr>
      </w:r>
      <w:r>
        <w:rPr>
          <w:lang w:val="en_US" w:bidi="en_US"/>
        </w:rPr>
        <w:t>I glorify the Lord God my Savior and rejoice in him.</w:t>
      </w:r>
    </w:p>
    <w:p>
      <w:pPr>
        <w:pStyle w:val="Heading5"/>
      </w:pPr>
      <w:r>
        <w:rPr>
          <w:lang w:val="en_US" w:bidi="en_US"/>
        </w:rPr>
        <w:t>1:46</w:t>
      </w:r>
    </w:p>
    <w:p>
      <w:pPr/>
      <w:r>
        <w:rPr>
          <w:lang w:val="en_US" w:bidi="en_US"/>
        </w:rPr>
      </w:r>
      <w:r>
        <w:rPr>
          <w:b/>
          <w:lang w:val="en_US" w:bidi="en_US"/>
        </w:rPr>
        <w:t>Then Mary said: “My soul magnifies the Lord,</w:t>
      </w:r>
    </w:p>
    <w:p>
      <w:pPr>
        <w:pStyle w:val="ListBullet"/>
        <w:spacing w:line="240" w:lineRule="auto"/>
        <w:ind w:left="720"/>
      </w:pPr>
      <w:r>
        <w:rPr>
          <w:lang w:val="en_US" w:bidi="en_US"/>
        </w:rPr>
      </w:r>
      <w:r>
        <w:rPr>
          <w:lang w:val="en_US" w:bidi="en_US"/>
        </w:rPr>
        <w:t>¶ And Mary said, “My soul tells of the greatness of the Lord,</w:t>
      </w:r>
    </w:p>
    <w:p>
      <w:pPr>
        <w:pStyle w:val="ListBullet"/>
        <w:spacing w:line="240" w:lineRule="auto"/>
        <w:ind w:left="720"/>
      </w:pPr>
      <w:r>
        <w:rPr>
          <w:lang w:val="en_US" w:bidi="en_US"/>
        </w:rPr>
      </w:r>
      <w:r>
        <w:rPr>
          <w:lang w:val="en_US" w:bidi="en_US"/>
        </w:rPr>
        <w:t>¶ And Mary said, “My heart says that the Lord is great!</w:t>
      </w:r>
    </w:p>
    <w:p>
      <w:pPr>
        <w:pStyle w:val="ListBullet"/>
        <w:spacing w:line="240" w:lineRule="auto"/>
        <w:ind w:left="720"/>
      </w:pPr>
      <w:r>
        <w:rPr>
          <w:lang w:val="en_US" w:bidi="en_US"/>
        </w:rPr>
      </w:r>
      <w:r>
        <w:rPr>
          <w:lang w:val="en_US" w:bidi="en_US"/>
        </w:rPr>
        <w:t>¶ Then Mary said, “I praise/honor the Lord</w:t>
      </w:r>
    </w:p>
    <w:p>
      <w:pPr/>
      <w:r>
        <w:rPr>
          <w:lang w:val="en_US" w:bidi="en_US"/>
        </w:rPr>
      </w:r>
      <w:r>
        <w:rPr>
          <w:b/>
          <w:lang w:val="en_US" w:bidi="en_US"/>
        </w:rPr>
        <w:t>Then Mary said:</w:t>
      </w:r>
      <w:r>
        <w:rPr>
          <w:lang w:val="en_US" w:bidi="en_US"/>
        </w:rPr>
        <w:t xml:space="preserve"> In this verse Mary responded to what Elizabeth said with a poem to praise the Lord. Introduce this poem in a natural way in your language. Some other ways to do this are:</w:t>
      </w:r>
    </w:p>
    <w:p>
      <w:pPr/>
      <w:r>
        <w:rPr>
          <w:lang w:val="en_US" w:bidi="en_US"/>
        </w:rPr>
      </w:r>
      <w:r>
        <w:rPr>
          <w:lang w:val="en_US" w:bidi="en_US"/>
        </w:rPr>
        <w:t>Mary responded (NLT)</w:t>
      </w:r>
    </w:p>
    <w:p>
      <w:pPr/>
      <w:r>
        <w:rPr>
          <w:lang w:val="en_US" w:bidi="en_US"/>
        </w:rPr>
      </w:r>
      <w:r>
        <w:rPr>
          <w:lang w:val="en_US" w:bidi="en_US"/>
        </w:rPr>
        <w:t xml:space="preserve">Then Mary replied </w:t>
      </w:r>
      <w:r>
        <w:rPr>
          <w:lang w:val="en_US" w:bidi="en_US"/>
        </w:rPr>
        <w:t>with a song</w:t>
      </w:r>
    </w:p>
    <w:p>
      <w:pPr/>
      <w:r>
        <w:rPr>
          <w:lang w:val="en_US" w:bidi="en_US"/>
        </w:rPr>
      </w:r>
      <w:r>
        <w:rPr>
          <w:b/>
          <w:lang w:val="en_US" w:bidi="en_US"/>
        </w:rPr>
        <w:t>My soul magnifies the Lord:</w:t>
      </w:r>
      <w:r>
        <w:rPr>
          <w:lang w:val="en_US" w:bidi="en_US"/>
        </w:rPr>
        <w:t xml:space="preserve"> The Greek word that the BSB translates as </w:t>
      </w:r>
      <w:r>
        <w:rPr>
          <w:i/>
          <w:lang w:val="en_US" w:bidi="en_US"/>
        </w:rPr>
        <w:t>soul</w:t>
      </w:r>
      <w:r>
        <w:rPr>
          <w:lang w:val="en_US" w:bidi="en_US"/>
        </w:rPr>
        <w:t xml:space="preserve"> refers to the part of a person that thinks and feels emotions. In some languages, people express this meaning with an idiom that uses a part of the body such as the heart, throat, stomach, or liver.</w:t>
      </w:r>
    </w:p>
    <w:p>
      <w:pPr/>
      <w:r>
        <w:rPr>
          <w:lang w:val="en_US" w:bidi="en_US"/>
        </w:rPr>
      </w:r>
      <w:r>
        <w:rPr>
          <w:lang w:val="en_US" w:bidi="en_US"/>
        </w:rPr>
        <w:t xml:space="preserve">In this context the phrase </w:t>
      </w:r>
      <w:r>
        <w:rPr>
          <w:i/>
          <w:lang w:val="en_US" w:bidi="en_US"/>
        </w:rPr>
        <w:t>My soul</w:t>
      </w:r>
      <w:r>
        <w:rPr>
          <w:lang w:val="en_US" w:bidi="en_US"/>
        </w:rPr>
        <w:t xml:space="preserve"> represents Mary herself. In some languages it may be necessary or clearer to translate this meaning directly. For example:</w:t>
      </w:r>
    </w:p>
    <w:p>
      <w:pPr/>
      <w:r>
        <w:rPr>
          <w:lang w:val="en_US" w:bidi="en_US"/>
        </w:rPr>
      </w:r>
      <w:r>
        <w:rPr>
          <w:u w:val="single"/>
          <w:lang w:val="en_US" w:bidi="en_US"/>
        </w:rPr>
        <w:t>I</w:t>
      </w:r>
      <w:r>
        <w:rPr>
          <w:lang w:val="en_US" w:bidi="en_US"/>
        </w:rPr>
        <w:t xml:space="preserve"> glorify the Lord</w:t>
      </w:r>
    </w:p>
    <w:p>
      <w:pPr/>
      <w:r>
        <w:rPr>
          <w:lang w:val="en_US" w:bidi="en_US"/>
        </w:rPr>
      </w:r>
      <w:r>
        <w:rPr>
          <w:b/>
          <w:lang w:val="en_US" w:bidi="en_US"/>
        </w:rPr>
        <w:t>magnifies:</w:t>
      </w:r>
      <w:r>
        <w:rPr>
          <w:lang w:val="en_US" w:bidi="en_US"/>
        </w:rPr>
        <w:t xml:space="preserve"> The Greek word that the BSB translates as </w:t>
      </w:r>
      <w:r>
        <w:rPr>
          <w:i/>
          <w:lang w:val="en_US" w:bidi="en_US"/>
        </w:rPr>
        <w:t>magnifies</w:t>
      </w:r>
      <w:r>
        <w:rPr>
          <w:lang w:val="en_US" w:bidi="en_US"/>
        </w:rPr>
        <w:t xml:space="preserve"> literally means to “make great” or “make large.” Mary was telling how great the Lord is. Some other ways to translate this verse are:</w:t>
      </w:r>
    </w:p>
    <w:p>
      <w:pPr/>
      <w:r>
        <w:rPr>
          <w:lang w:val="en_US" w:bidi="en_US"/>
        </w:rPr>
      </w:r>
      <w:r>
        <w:rPr>
          <w:lang w:val="en_US" w:bidi="en_US"/>
        </w:rPr>
        <w:t>proclaims the greatness of the Lord (NJB)</w:t>
      </w:r>
    </w:p>
    <w:p>
      <w:pPr/>
      <w:r>
        <w:rPr>
          <w:lang w:val="en_US" w:bidi="en_US"/>
        </w:rPr>
      </w:r>
      <w:r>
        <w:rPr>
          <w:lang w:val="en_US" w:bidi="en_US"/>
        </w:rPr>
        <w:t>praises the Lord’s greatness! (GW)</w:t>
      </w:r>
    </w:p>
    <w:p>
      <w:pPr/>
      <w:r>
        <w:rPr>
          <w:lang w:val="en_US" w:bidi="en_US"/>
        </w:rPr>
      </w:r>
      <w:r>
        <w:rPr>
          <w:lang w:val="en_US" w:bidi="en_US"/>
        </w:rPr>
        <w:t>honors the Lord</w:t>
      </w:r>
    </w:p>
    <w:p>
      <w:pPr/>
      <w:r>
        <w:rPr>
          <w:lang w:val="en_US" w:bidi="en_US"/>
        </w:rPr>
      </w:r>
      <w:r>
        <w:rPr>
          <w:lang w:val="en_US" w:bidi="en_US"/>
        </w:rPr>
        <w:t>says/sings “The Lord is great!”</w:t>
      </w:r>
    </w:p>
    <w:p>
      <w:pPr/>
      <w:r>
        <w:rPr>
          <w:lang w:val="en_US" w:bidi="en_US"/>
        </w:rPr>
      </w:r>
      <w:r>
        <w:rPr>
          <w:b/>
          <w:lang w:val="en_US" w:bidi="en_US"/>
        </w:rPr>
        <w:t>the Lord:</w:t>
      </w:r>
      <w:r>
        <w:rPr>
          <w:lang w:val="en_US" w:bidi="en_US"/>
        </w:rPr>
        <w:t xml:space="preserve"> The Greek word that the BSB translates as </w:t>
      </w:r>
      <w:r>
        <w:rPr>
          <w:i/>
          <w:lang w:val="en_US" w:bidi="en_US"/>
        </w:rPr>
        <w:t>Lord</w:t>
      </w:r>
      <w:r>
        <w:rPr>
          <w:lang w:val="en_US" w:bidi="en_US"/>
        </w:rPr>
        <w:t xml:space="preserve"> here refers to God. See the note on 1:6b for more information. See Lord, Context 2, in the Glossary.</w:t>
      </w:r>
      <w:r>
        <w:rPr>
          <w:lang w:val="en_US" w:bidi="en_US"/>
        </w:rPr>
      </w:r>
      <w:r>
        <w:rPr>
          <w:lang w:val="en_US" w:bidi="en_US"/>
        </w:rPr>
      </w:r>
    </w:p>
    <w:p>
      <w:pPr/>
      <w:r>
        <w:rPr>
          <w:lang w:val="en_US" w:bidi="en_US"/>
        </w:rPr>
      </w:r>
    </w:p>
    <w:p>
      <w:pPr>
        <w:pStyle w:val="Heading2"/>
      </w:pPr>
      <w:r>
        <w:rPr>
          <w:lang w:val="en_US" w:bidi="en_US"/>
        </w:rPr>
        <w:t>Luke 1:47</w:t>
      </w:r>
      <w:r>
        <w:rPr>
          <w:lang w:val="en_US" w:bidi="en_US"/>
        </w:rPr>
      </w:r>
    </w:p>
    <w:p>
      <w:pPr>
        <w:pStyle w:val="Heading4"/>
      </w:pPr>
      <w:r>
        <w:rPr>
          <w:lang w:val="en_US" w:bidi="en_US"/>
        </w:rPr>
        <w:t>Section 1:46–56: Mary praised God</w:t>
      </w:r>
    </w:p>
    <w:p>
      <w:pPr/>
      <w:r>
        <w:rPr>
          <w:lang w:val="en_US" w:bidi="en_US"/>
        </w:rPr>
      </w:r>
      <w:r>
        <w:rPr>
          <w:lang w:val="en_US" w:bidi="en_US"/>
        </w:rPr>
        <w:t>In this section Mary spoke a poem or song of praise to God.</w:t>
      </w:r>
      <w:r>
        <w:rPr>
          <w:lang w:val="en_US" w:bidi="en_US"/>
        </w:rP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rPr>
          <w:lang w:val="en_US" w:bidi="en_US"/>
        </w:rP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pPr/>
      <w:r>
        <w:rPr>
          <w:lang w:val="en_US" w:bidi="en_US"/>
        </w:rPr>
      </w:r>
      <w:r>
        <w:rPr>
          <w:lang w:val="en_US" w:bidi="en_US"/>
        </w:rP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pPr/>
      <w:r>
        <w:rPr>
          <w:lang w:val="en_US" w:bidi="en_US"/>
        </w:rPr>
      </w:r>
      <w:r>
        <w:rPr>
          <w:lang w:val="en_US" w:bidi="en_US"/>
        </w:rP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pPr/>
      <w:r>
        <w:rPr>
          <w:lang w:val="en_US" w:bidi="en_US"/>
        </w:rPr>
      </w:r>
      <w:r>
        <w:rPr>
          <w:lang w:val="en_US" w:bidi="en_US"/>
        </w:rPr>
        <w:t>Some other possible headings for this section are:</w:t>
      </w:r>
      <w:r>
        <w:rPr>
          <w:lang w:val="en_US" w:bidi="en_US"/>
        </w:rPr>
        <w:t>The name of Mary’s song in Latin, the Magnificat, is well-known in some areas of the world. If this is true in your area, you may be able to use this name as your heading or as part of the heading. For example, the NLT has “The Magnificat: Mary’s Song of Praise.”</w:t>
      </w:r>
    </w:p>
    <w:p>
      <w:pPr/>
      <w:r>
        <w:rPr>
          <w:lang w:val="en_US" w:bidi="en_US"/>
        </w:rPr>
      </w:r>
      <w:r>
        <w:rPr>
          <w:lang w:val="en_US" w:bidi="en_US"/>
        </w:rPr>
        <w:t>Mary’s song of praise to God</w:t>
      </w:r>
    </w:p>
    <w:p>
      <w:pPr/>
      <w:r>
        <w:rPr>
          <w:lang w:val="en_US" w:bidi="en_US"/>
        </w:rPr>
      </w:r>
      <w:r>
        <w:rPr>
          <w:lang w:val="en_US" w:bidi="en_US"/>
        </w:rPr>
        <w:t>Mary praised God for the kindness he was showing to Israel and to her</w:t>
      </w:r>
    </w:p>
    <w:p>
      <w:pPr>
        <w:pStyle w:val="Heading5"/>
      </w:pPr>
      <w:r>
        <w:rPr>
          <w:lang w:val="en_US" w:bidi="en_US"/>
        </w:rPr>
        <w:t>1:47</w:t>
      </w:r>
    </w:p>
    <w:p>
      <w:pPr/>
      <w:r>
        <w:rPr>
          <w:lang w:val="en_US" w:bidi="en_US"/>
        </w:rPr>
      </w:r>
      <w:r>
        <w:rPr>
          <w:b/>
          <w:lang w:val="en_US" w:bidi="en_US"/>
        </w:rPr>
        <w:t>and my spirit rejoices in God my Savior!</w:t>
      </w:r>
    </w:p>
    <w:p>
      <w:pPr>
        <w:pStyle w:val="ListBullet"/>
        <w:spacing w:line="240" w:lineRule="auto"/>
        <w:ind w:left="720"/>
      </w:pPr>
      <w:r>
        <w:rPr>
          <w:lang w:val="en_US" w:bidi="en_US"/>
        </w:rPr>
      </w:r>
      <w:r>
        <w:rPr>
          <w:lang w:val="en_US" w:bidi="en_US"/>
        </w:rPr>
        <w:t>and my spirit/heart/soul is full of joy about God my Savior,</w:t>
      </w:r>
    </w:p>
    <w:p>
      <w:pPr>
        <w:pStyle w:val="ListBullet"/>
        <w:spacing w:line="240" w:lineRule="auto"/>
        <w:ind w:left="720"/>
      </w:pPr>
      <w:r>
        <w:rPr>
          <w:lang w:val="en_US" w:bidi="en_US"/>
        </w:rPr>
      </w:r>
      <w:r>
        <w:rPr>
          <w:lang w:val="en_US" w:bidi="en_US"/>
        </w:rPr>
        <w:t>My whole being is delighted with God my Deliverer,</w:t>
      </w:r>
    </w:p>
    <w:p>
      <w:pPr>
        <w:pStyle w:val="ListBullet"/>
        <w:spacing w:line="240" w:lineRule="auto"/>
        <w:ind w:left="720"/>
      </w:pPr>
      <w:r>
        <w:rPr>
          <w:lang w:val="en_US" w:bidi="en_US"/>
        </w:rPr>
      </w:r>
      <w:r>
        <w:rPr>
          <w:lang w:val="en_US" w:bidi="en_US"/>
        </w:rPr>
        <w:t xml:space="preserve">God. He is the one who saves me </w:t>
      </w:r>
      <w:r>
        <w:rPr>
          <w:lang w:val="en_US" w:bidi="en_US"/>
        </w:rPr>
        <w:t>from evil</w:t>
      </w:r>
      <w:r>
        <w:rPr>
          <w:lang w:val="en_US" w:bidi="en_US"/>
        </w:rPr>
        <w:t>, and I rejoice as I think of him.</w:t>
      </w:r>
    </w:p>
    <w:p>
      <w:pPr/>
      <w:r>
        <w:rPr>
          <w:lang w:val="en_US" w:bidi="en_US"/>
        </w:rPr>
      </w:r>
      <w:r>
        <w:rPr>
          <w:b/>
          <w:lang w:val="en_US" w:bidi="en_US"/>
        </w:rPr>
        <w:t>my spirit rejoices in God my Savior!:</w:t>
      </w:r>
      <w:r>
        <w:rPr>
          <w:lang w:val="en_US" w:bidi="en_US"/>
        </w:rPr>
        <w:t xml:space="preserve"> The clause </w:t>
      </w:r>
      <w:r>
        <w:rPr>
          <w:i/>
          <w:lang w:val="en_US" w:bidi="en_US"/>
        </w:rPr>
        <w:t>my spirit rejoices in God my Savior</w:t>
      </w:r>
      <w:r>
        <w:rPr>
          <w:lang w:val="en_US" w:bidi="en_US"/>
        </w:rPr>
        <w:t xml:space="preserve"> indicates that Mary was joyful as she thought of God her Savior. She was full of joy because of his character and actions. Some other ways to translate this clause are:</w:t>
      </w:r>
    </w:p>
    <w:p>
      <w:pPr/>
      <w:r>
        <w:rPr>
          <w:lang w:val="en_US" w:bidi="en_US"/>
        </w:rPr>
      </w:r>
      <w:r>
        <w:rPr>
          <w:lang w:val="en_US" w:bidi="en_US"/>
        </w:rPr>
        <w:t>My spirit finds its joy in God, my Savior (GW)</w:t>
      </w:r>
    </w:p>
    <w:p>
      <w:pPr/>
      <w:r>
        <w:rPr>
          <w:lang w:val="en_US" w:bidi="en_US"/>
        </w:rPr>
      </w:r>
      <w:r>
        <w:rPr>
          <w:lang w:val="en_US" w:bidi="en_US"/>
        </w:rPr>
        <w:t>I am delighted with God, my Savior</w:t>
      </w:r>
    </w:p>
    <w:p>
      <w:pPr/>
      <w:r>
        <w:rPr>
          <w:lang w:val="en_US" w:bidi="en_US"/>
        </w:rPr>
      </w:r>
      <w:r>
        <w:rPr>
          <w:b/>
          <w:lang w:val="en_US" w:bidi="en_US"/>
        </w:rPr>
        <w:t>my spirit:</w:t>
      </w:r>
      <w:r>
        <w:rPr>
          <w:lang w:val="en_US" w:bidi="en_US"/>
        </w:rPr>
        <w:t xml:space="preserve"> The Greek word that the BSB translates as </w:t>
      </w:r>
      <w:r>
        <w:rPr>
          <w:i/>
          <w:lang w:val="en_US" w:bidi="en_US"/>
        </w:rPr>
        <w:t>spirit</w:t>
      </w:r>
      <w:r>
        <w:rPr>
          <w:lang w:val="en_US" w:bidi="en_US"/>
        </w:rPr>
        <w:t xml:space="preserve"> refers here to Mary’s spiritual being. In this context there is no real difference in meaning between the Greek words for “soul” (1:46) and </w:t>
      </w:r>
      <w:r>
        <w:rPr>
          <w:i/>
          <w:lang w:val="en_US" w:bidi="en_US"/>
        </w:rPr>
        <w:t>spirit</w:t>
      </w:r>
      <w:r>
        <w:rPr>
          <w:lang w:val="en_US" w:bidi="en_US"/>
        </w:rPr>
        <w:t xml:space="preserve"> (1:47). These two words occur here because it was good style for poetry in that culture. Be sure that your word for </w:t>
      </w:r>
      <w:r>
        <w:rPr>
          <w:i/>
          <w:lang w:val="en_US" w:bidi="en_US"/>
        </w:rPr>
        <w:t>spirit</w:t>
      </w:r>
      <w:r>
        <w:rPr>
          <w:lang w:val="en_US" w:bidi="en_US"/>
        </w:rPr>
        <w:t xml:space="preserve"> does not imply that Mary is referring to a different spirit, such as a ghost or the spirit of a dead person.</w:t>
      </w:r>
    </w:p>
    <w:p>
      <w:pPr/>
      <w:r>
        <w:rPr>
          <w:lang w:val="en_US" w:bidi="en_US"/>
        </w:rPr>
      </w:r>
      <w:r>
        <w:rPr>
          <w:lang w:val="en_US" w:bidi="en_US"/>
        </w:rPr>
        <w:t xml:space="preserve">The phrase </w:t>
      </w:r>
      <w:r>
        <w:rPr>
          <w:i/>
          <w:lang w:val="en_US" w:bidi="en_US"/>
        </w:rPr>
        <w:t>my spirit</w:t>
      </w:r>
      <w:r>
        <w:rPr>
          <w:lang w:val="en_US" w:bidi="en_US"/>
        </w:rPr>
        <w:t xml:space="preserve"> here again refers to Mary herself. In some languages it may be necessary to translate this meaning directly. For example:</w:t>
      </w:r>
    </w:p>
    <w:p>
      <w:pPr/>
      <w:r>
        <w:rPr>
          <w:lang w:val="en_US" w:bidi="en_US"/>
        </w:rPr>
      </w:r>
      <w:r>
        <w:rPr>
          <w:lang w:val="en_US" w:bidi="en_US"/>
        </w:rPr>
        <w:t>I rejoice in God.</w:t>
      </w:r>
    </w:p>
    <w:p>
      <w:pPr/>
      <w:r>
        <w:rPr>
          <w:lang w:val="en_US" w:bidi="en_US"/>
        </w:rPr>
      </w:r>
      <w:r>
        <w:rPr>
          <w:b/>
          <w:lang w:val="en_US" w:bidi="en_US"/>
        </w:rPr>
        <w:t>rejoices:</w:t>
      </w:r>
      <w:r>
        <w:rPr>
          <w:lang w:val="en_US" w:bidi="en_US"/>
        </w:rPr>
        <w:t xml:space="preserve"> The Greek word that the BSB translates as </w:t>
      </w:r>
      <w:r>
        <w:rPr>
          <w:i/>
          <w:lang w:val="en_US" w:bidi="en_US"/>
        </w:rPr>
        <w:t>rejoices</w:t>
      </w:r>
      <w:r>
        <w:rPr>
          <w:lang w:val="en_US" w:bidi="en_US"/>
        </w:rPr>
        <w:t xml:space="preserve"> also means “to be glad” or “to be full of joy.” For example:</w:t>
      </w:r>
    </w:p>
    <w:p>
      <w:pPr/>
      <w:r>
        <w:rPr>
          <w:lang w:val="en_US" w:bidi="en_US"/>
        </w:rPr>
      </w:r>
      <w:r>
        <w:rPr>
          <w:lang w:val="en_US" w:bidi="en_US"/>
        </w:rPr>
        <w:t>is glad (GNT)</w:t>
      </w:r>
    </w:p>
    <w:p>
      <w:pPr/>
      <w:r>
        <w:rPr>
          <w:lang w:val="en_US" w:bidi="en_US"/>
        </w:rPr>
      </w:r>
      <w:r>
        <w:rPr>
          <w:lang w:val="en_US" w:bidi="en_US"/>
        </w:rPr>
        <w:t>finds its joy (GW)</w:t>
      </w:r>
    </w:p>
    <w:p>
      <w:pPr/>
      <w:r>
        <w:rPr>
          <w:lang w:val="en_US" w:bidi="en_US"/>
        </w:rPr>
      </w:r>
      <w:r>
        <w:rPr>
          <w:b/>
          <w:lang w:val="en_US" w:bidi="en_US"/>
        </w:rPr>
        <w:t>my Savior:</w:t>
      </w:r>
      <w:r>
        <w:rPr>
          <w:lang w:val="en_US" w:bidi="en_US"/>
        </w:rPr>
        <w:t xml:space="preserve"> The phrase </w:t>
      </w:r>
      <w:r>
        <w:rPr>
          <w:i/>
          <w:lang w:val="en_US" w:bidi="en_US"/>
        </w:rPr>
        <w:t>my Savior</w:t>
      </w:r>
      <w:r>
        <w:rPr>
          <w:lang w:val="en_US" w:bidi="en_US"/>
        </w:rPr>
        <w:t xml:space="preserve"> means “the one who saves me.” It refers to God as the one who would rescue Mary. The text does not specify what Mary would be rescued from. She may have thought of both physical and spiritual danger. If you have a term that could imply either, consider using it here. For example:</w:t>
      </w:r>
    </w:p>
    <w:p>
      <w:pPr/>
      <w:r>
        <w:rPr>
          <w:lang w:val="en_US" w:bidi="en_US"/>
        </w:rPr>
      </w:r>
      <w:r>
        <w:rPr>
          <w:lang w:val="en_US" w:bidi="en_US"/>
        </w:rPr>
        <w:t xml:space="preserve">my Savior </w:t>
      </w:r>
      <w:r>
        <w:rPr>
          <w:lang w:val="en_US" w:bidi="en_US"/>
        </w:rPr>
        <w:t>from evil</w:t>
      </w:r>
    </w:p>
    <w:p>
      <w:pPr/>
      <w:r>
        <w:rPr>
          <w:lang w:val="en_US" w:bidi="en_US"/>
        </w:rPr>
      </w:r>
      <w:r>
        <w:rPr>
          <w:lang w:val="en_US" w:bidi="en_US"/>
        </w:rPr>
        <w:t xml:space="preserve">who rescues/saves me </w:t>
      </w:r>
      <w:r>
        <w:rPr>
          <w:lang w:val="en_US" w:bidi="en_US"/>
        </w:rPr>
        <w:t>from evil</w:t>
      </w:r>
    </w:p>
    <w:p>
      <w:pPr/>
      <w:r>
        <w:rPr>
          <w:lang w:val="en_US" w:bidi="en_US"/>
        </w:rPr>
      </w:r>
      <w:r>
        <w:rPr>
          <w:lang w:val="en_US" w:bidi="en_US"/>
        </w:rPr>
        <w:t>If you cannot use an ambiguous term, you may be able to use a general expression. For example:</w:t>
      </w:r>
    </w:p>
    <w:p>
      <w:pPr/>
      <w:r>
        <w:rPr>
          <w:lang w:val="en_US" w:bidi="en_US"/>
        </w:rPr>
      </w:r>
      <w:r>
        <w:rPr>
          <w:lang w:val="en_US" w:bidi="en_US"/>
        </w:rPr>
        <w:t xml:space="preserve">my Savior </w:t>
      </w:r>
      <w:r>
        <w:rPr>
          <w:lang w:val="en_US" w:bidi="en_US"/>
        </w:rPr>
        <w:t>from harm/danger</w:t>
      </w:r>
    </w:p>
    <w:p>
      <w:pPr/>
      <w:r>
        <w:rPr>
          <w:lang w:val="en_US" w:bidi="en_US"/>
        </w:rPr>
      </w:r>
      <w:r>
        <w:rPr>
          <w:lang w:val="en_US" w:bidi="en_US"/>
        </w:rPr>
        <w:t xml:space="preserve">who rescues me from </w:t>
      </w:r>
      <w:r>
        <w:rPr>
          <w:lang w:val="en_US" w:bidi="en_US"/>
        </w:rPr>
        <w:t>evil people and actions</w:t>
      </w:r>
    </w:p>
    <w:p>
      <w:pPr/>
      <w:r>
        <w:rPr>
          <w:lang w:val="en_US" w:bidi="en_US"/>
        </w:rPr>
      </w:r>
      <w:r>
        <w:rPr>
          <w:lang w:val="en_US" w:bidi="en_US"/>
        </w:rPr>
        <w:t xml:space="preserve">who saves me </w:t>
      </w:r>
      <w:r>
        <w:rPr>
          <w:lang w:val="en_US" w:bidi="en_US"/>
        </w:rPr>
        <w:t>from destruction</w:t>
      </w:r>
    </w:p>
    <w:p>
      <w:pPr/>
      <w:r>
        <w:rPr>
          <w:lang w:val="en_US" w:bidi="en_US"/>
        </w:rPr>
      </w:r>
      <w:r>
        <w:rPr>
          <w:lang w:val="en_US" w:bidi="en_US"/>
        </w:rPr>
        <w:t>If you use a term such as one of these, it should refer to things that people fear or that are very harmful or destructive. Mary was probably not thinking of being preserved from every small harm or danger. See save in the Glossary (see the note on Savior).</w:t>
      </w:r>
      <w:r>
        <w:rPr>
          <w:lang w:val="en_US" w:bidi="en_US"/>
        </w:rPr>
      </w:r>
      <w:r>
        <w:rPr>
          <w:lang w:val="en_US" w:bidi="en_US"/>
        </w:rPr>
      </w:r>
    </w:p>
    <w:p>
      <w:pPr/>
      <w:r>
        <w:rPr>
          <w:lang w:val="en_US" w:bidi="en_US"/>
        </w:rPr>
      </w:r>
    </w:p>
    <w:p>
      <w:pPr>
        <w:pStyle w:val="Heading2"/>
      </w:pPr>
      <w:r>
        <w:rPr>
          <w:lang w:val="en_US" w:bidi="en_US"/>
        </w:rPr>
        <w:t>Luke 1:48</w:t>
      </w:r>
      <w:r>
        <w:rPr>
          <w:lang w:val="en_US" w:bidi="en_US"/>
        </w:rPr>
      </w:r>
    </w:p>
    <w:p>
      <w:pPr>
        <w:pStyle w:val="Heading4"/>
      </w:pPr>
      <w:r>
        <w:rPr>
          <w:lang w:val="en_US" w:bidi="en_US"/>
        </w:rPr>
        <w:t>Section 1:46–56: Mary praised God</w:t>
      </w:r>
    </w:p>
    <w:p>
      <w:pPr/>
      <w:r>
        <w:rPr>
          <w:lang w:val="en_US" w:bidi="en_US"/>
        </w:rPr>
      </w:r>
      <w:r>
        <w:rPr>
          <w:lang w:val="en_US" w:bidi="en_US"/>
        </w:rPr>
        <w:t>In this section Mary spoke a poem or song of praise to God.</w:t>
      </w:r>
      <w:r>
        <w:rPr>
          <w:lang w:val="en_US" w:bidi="en_US"/>
        </w:rP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rPr>
          <w:lang w:val="en_US" w:bidi="en_US"/>
        </w:rP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pPr/>
      <w:r>
        <w:rPr>
          <w:lang w:val="en_US" w:bidi="en_US"/>
        </w:rPr>
      </w:r>
      <w:r>
        <w:rPr>
          <w:lang w:val="en_US" w:bidi="en_US"/>
        </w:rP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pPr/>
      <w:r>
        <w:rPr>
          <w:lang w:val="en_US" w:bidi="en_US"/>
        </w:rPr>
      </w:r>
      <w:r>
        <w:rPr>
          <w:lang w:val="en_US" w:bidi="en_US"/>
        </w:rP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pPr/>
      <w:r>
        <w:rPr>
          <w:lang w:val="en_US" w:bidi="en_US"/>
        </w:rPr>
      </w:r>
      <w:r>
        <w:rPr>
          <w:lang w:val="en_US" w:bidi="en_US"/>
        </w:rPr>
        <w:t>Some other possible headings for this section are:</w:t>
      </w:r>
      <w:r>
        <w:rPr>
          <w:lang w:val="en_US" w:bidi="en_US"/>
        </w:rPr>
        <w:t>The name of Mary’s song in Latin, the Magnificat, is well-known in some areas of the world. If this is true in your area, you may be able to use this name as your heading or as part of the heading. For example, the NLT has “The Magnificat: Mary’s Song of Praise.”</w:t>
      </w:r>
    </w:p>
    <w:p>
      <w:pPr/>
      <w:r>
        <w:rPr>
          <w:lang w:val="en_US" w:bidi="en_US"/>
        </w:rPr>
      </w:r>
      <w:r>
        <w:rPr>
          <w:lang w:val="en_US" w:bidi="en_US"/>
        </w:rPr>
        <w:t>Mary’s song of praise to God</w:t>
      </w:r>
    </w:p>
    <w:p>
      <w:pPr/>
      <w:r>
        <w:rPr>
          <w:lang w:val="en_US" w:bidi="en_US"/>
        </w:rPr>
      </w:r>
      <w:r>
        <w:rPr>
          <w:lang w:val="en_US" w:bidi="en_US"/>
        </w:rPr>
        <w:t>Mary praised God for the kindness he was showing to Israel and to her</w:t>
      </w:r>
    </w:p>
    <w:p>
      <w:pPr>
        <w:pStyle w:val="Heading5"/>
      </w:pPr>
      <w:r>
        <w:rPr>
          <w:lang w:val="en_US" w:bidi="en_US"/>
        </w:rPr>
        <w:t>1:48a</w:t>
      </w:r>
    </w:p>
    <w:p>
      <w:pPr/>
      <w:r>
        <w:rPr>
          <w:lang w:val="en_US" w:bidi="en_US"/>
        </w:rPr>
      </w:r>
      <w:r>
        <w:rPr>
          <w:b/>
          <w:lang w:val="en_US" w:bidi="en_US"/>
        </w:rPr>
        <w:t>For He has looked with favor on the humble state of His servant.</w:t>
      </w:r>
    </w:p>
    <w:p>
      <w:pPr>
        <w:pStyle w:val="ListBullet"/>
        <w:spacing w:line="240" w:lineRule="auto"/>
        <w:ind w:left="720"/>
      </w:pPr>
      <w:r>
        <w:rPr>
          <w:lang w:val="en_US" w:bidi="en_US"/>
        </w:rPr>
      </w:r>
      <w:r>
        <w:rPr>
          <w:lang w:val="en_US" w:bidi="en_US"/>
        </w:rPr>
        <w:t>because he has looked on the lowly state/status of me, his slave girl, to favor me.</w:t>
      </w:r>
    </w:p>
    <w:p>
      <w:pPr>
        <w:pStyle w:val="ListBullet"/>
        <w:spacing w:line="240" w:lineRule="auto"/>
        <w:ind w:left="720"/>
      </w:pPr>
      <w:r>
        <w:rPr>
          <w:lang w:val="en_US" w:bidi="en_US"/>
        </w:rPr>
      </w:r>
      <w:r>
        <w:rPr>
          <w:lang w:val="en_US" w:bidi="en_US"/>
        </w:rPr>
        <w:t>He cares about me, though I am just his lowly maidservant.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for Mary’s praise in 1:46 and 1:47. It is often translated as “because” in English (as in the NET).</w:t>
      </w:r>
    </w:p>
    <w:p>
      <w:pPr/>
      <w:r>
        <w:rPr>
          <w:lang w:val="en_US" w:bidi="en_US"/>
        </w:rPr>
      </w:r>
      <w:r>
        <w:rPr>
          <w:b/>
          <w:lang w:val="en_US" w:bidi="en_US"/>
        </w:rPr>
        <w:t>He has looked with favor on the humble state of His servant:</w:t>
      </w:r>
      <w:r>
        <w:rPr>
          <w:lang w:val="en_US" w:bidi="en_US"/>
        </w:rPr>
        <w:t xml:space="preserve"> The Greek verb that the BSB translates literally as </w:t>
      </w:r>
      <w:r>
        <w:rPr>
          <w:i/>
          <w:lang w:val="en_US" w:bidi="en_US"/>
        </w:rPr>
        <w:t>He has looked…on</w:t>
      </w:r>
      <w:r>
        <w:rPr>
          <w:lang w:val="en_US" w:bidi="en_US"/>
        </w:rPr>
        <w:t xml:space="preserve"> means that God had thought about Mary with concern. He had acted kindly and graciously to her </w:t>
      </w:r>
      <w:r>
        <w:rPr>
          <w:u w:val="single"/>
          <w:lang w:val="en_US" w:bidi="en_US"/>
        </w:rPr>
        <w:t>in spite of</w:t>
      </w:r>
      <w:r>
        <w:rPr>
          <w:lang w:val="en_US" w:bidi="en_US"/>
        </w:rPr>
        <w:t xml:space="preserve"> her humble state. In this context she implied that God had done that by choosing her to be the mother of the Messiah.</w:t>
      </w:r>
    </w:p>
    <w:p>
      <w:pPr/>
      <w:r>
        <w:rPr>
          <w:lang w:val="en_US" w:bidi="en_US"/>
        </w:rPr>
      </w:r>
      <w:r>
        <w:rPr>
          <w:lang w:val="en_US" w:bidi="en_US"/>
        </w:rPr>
        <w:t>Some other ways to translate this are:</w:t>
      </w:r>
    </w:p>
    <w:p>
      <w:pPr/>
      <w:r>
        <w:rPr>
          <w:lang w:val="en_US" w:bidi="en_US"/>
        </w:rPr>
      </w:r>
      <w:r>
        <w:rPr>
          <w:lang w:val="en_US" w:bidi="en_US"/>
        </w:rPr>
        <w:t>he has looked with favour on his servant, lowly as she is (REB)</w:t>
      </w:r>
    </w:p>
    <w:p>
      <w:pPr/>
      <w:r>
        <w:rPr>
          <w:lang w:val="en_US" w:bidi="en_US"/>
        </w:rPr>
      </w:r>
      <w:r>
        <w:rPr>
          <w:lang w:val="en_US" w:bidi="en_US"/>
        </w:rPr>
        <w:t>For he took notice of his lowly servant girl (NLT)</w:t>
      </w:r>
    </w:p>
    <w:p>
      <w:pPr/>
      <w:r>
        <w:rPr>
          <w:lang w:val="en_US" w:bidi="en_US"/>
        </w:rPr>
      </w:r>
      <w:r>
        <w:rPr>
          <w:lang w:val="en_US" w:bidi="en_US"/>
        </w:rPr>
        <w:t>he has shown his concern for his humble servant girl (NCV)</w:t>
      </w:r>
    </w:p>
    <w:p>
      <w:pPr/>
      <w:r>
        <w:rPr>
          <w:lang w:val="en_US" w:bidi="en_US"/>
        </w:rPr>
      </w:r>
      <w:r>
        <w:rPr>
          <w:b/>
          <w:lang w:val="en_US" w:bidi="en_US"/>
        </w:rPr>
        <w:t>the humble state of His servant:</w:t>
      </w:r>
      <w:r>
        <w:rPr>
          <w:lang w:val="en_US" w:bidi="en_US"/>
        </w:rPr>
        <w:t xml:space="preserve"> The Greek word that the BSB translates as </w:t>
      </w:r>
      <w:r>
        <w:rPr>
          <w:i/>
          <w:lang w:val="en_US" w:bidi="en_US"/>
        </w:rPr>
        <w:t>humble state</w:t>
      </w:r>
      <w:r>
        <w:rPr>
          <w:lang w:val="en_US" w:bidi="en_US"/>
        </w:rPr>
        <w:t xml:space="preserve"> means “low status.” Mary referred to the fact that she was not an important person. She was just a poor, young girl. Notice that </w:t>
      </w:r>
      <w:r>
        <w:rPr>
          <w:i/>
          <w:lang w:val="en_US" w:bidi="en_US"/>
        </w:rPr>
        <w:t>humble</w:t>
      </w:r>
      <w:r>
        <w:rPr>
          <w:lang w:val="en_US" w:bidi="en_US"/>
        </w:rPr>
        <w:t xml:space="preserve"> here does not refer to humility.</w:t>
      </w:r>
    </w:p>
    <w:p>
      <w:pPr/>
      <w:r>
        <w:rPr>
          <w:lang w:val="en_US" w:bidi="en_US"/>
        </w:rPr>
      </w:r>
      <w:r>
        <w:rPr>
          <w:lang w:val="en_US" w:bidi="en_US"/>
        </w:rPr>
        <w:t>Some other ways to translate this are:</w:t>
      </w:r>
    </w:p>
    <w:p>
      <w:pPr/>
      <w:r>
        <w:rPr>
          <w:lang w:val="en_US" w:bidi="en_US"/>
        </w:rPr>
      </w:r>
      <w:r>
        <w:rPr>
          <w:lang w:val="en_US" w:bidi="en_US"/>
        </w:rPr>
        <w:t>his lowly servant girl</w:t>
      </w:r>
    </w:p>
    <w:p>
      <w:pPr/>
      <w:r>
        <w:rPr>
          <w:lang w:val="en_US" w:bidi="en_US"/>
        </w:rPr>
      </w:r>
      <w:r>
        <w:rPr>
          <w:lang w:val="en_US" w:bidi="en_US"/>
        </w:rPr>
        <w:t>his servant who is so low in status</w:t>
      </w:r>
    </w:p>
    <w:p>
      <w:pPr/>
      <w:r>
        <w:rPr>
          <w:lang w:val="en_US" w:bidi="en_US"/>
        </w:rPr>
      </w:r>
      <w:r>
        <w:rPr>
          <w:b/>
          <w:lang w:val="en_US" w:bidi="en_US"/>
        </w:rPr>
        <w:t>His servant:</w:t>
      </w:r>
      <w:r>
        <w:rPr>
          <w:lang w:val="en_US" w:bidi="en_US"/>
        </w:rPr>
        <w:t xml:space="preserve"> The Greek word that the BSB translates as </w:t>
      </w:r>
      <w:r>
        <w:rPr>
          <w:i/>
          <w:lang w:val="en_US" w:bidi="en_US"/>
        </w:rPr>
        <w:t>servant</w:t>
      </w:r>
      <w:r>
        <w:rPr>
          <w:lang w:val="en_US" w:bidi="en_US"/>
        </w:rPr>
        <w:t xml:space="preserve"> here literally means “female servant/slave.” It is the same word as in 1:38a.</w:t>
      </w:r>
    </w:p>
    <w:p>
      <w:pPr/>
      <w:r>
        <w:rPr>
          <w:lang w:val="en_US" w:bidi="en_US"/>
        </w:rPr>
      </w:r>
      <w:r>
        <w:rPr>
          <w:lang w:val="en_US" w:bidi="en_US"/>
        </w:rPr>
        <w:t>Here Mary again indirectly referred to herself as the Lord’s servant. In some languages you may need to express more directly that she referred to herself. For example:</w:t>
      </w:r>
    </w:p>
    <w:p>
      <w:pPr/>
      <w:r>
        <w:rPr>
          <w:lang w:val="en_US" w:bidi="en_US"/>
        </w:rPr>
      </w:r>
      <w:r>
        <w:rPr>
          <w:lang w:val="en_US" w:bidi="en_US"/>
        </w:rPr>
        <w:t>me, his servant/slave girl</w:t>
      </w:r>
    </w:p>
    <w:p>
      <w:pPr/>
      <w:r>
        <w:rPr>
          <w:lang w:val="en_US" w:bidi="en_US"/>
        </w:rPr>
      </w:r>
      <w:r>
        <w:rPr>
          <w:lang w:val="en_US" w:bidi="en_US"/>
        </w:rPr>
        <w:t>me, his lowly work-girl</w:t>
      </w:r>
    </w:p>
    <w:p>
      <w:pPr>
        <w:pStyle w:val="Heading5"/>
      </w:pPr>
      <w:r>
        <w:rPr>
          <w:lang w:val="en_US" w:bidi="en_US"/>
        </w:rPr>
        <w:t>1:48b</w:t>
      </w:r>
    </w:p>
    <w:p>
      <w:pPr/>
      <w:r>
        <w:rPr>
          <w:lang w:val="en_US" w:bidi="en_US"/>
        </w:rPr>
      </w:r>
      <w:r>
        <w:rPr>
          <w:b/>
          <w:lang w:val="en_US" w:bidi="en_US"/>
        </w:rPr>
        <w:t>From now on all generations will call me blessed.</w:t>
      </w:r>
    </w:p>
    <w:p>
      <w:pPr>
        <w:pStyle w:val="ListBullet"/>
        <w:spacing w:line="240" w:lineRule="auto"/>
        <w:ind w:left="720"/>
      </w:pPr>
      <w:r>
        <w:rPr>
          <w:lang w:val="en_US" w:bidi="en_US"/>
        </w:rPr>
      </w:r>
      <w:r>
        <w:rPr>
          <w:lang w:val="en_US" w:bidi="en_US"/>
        </w:rPr>
        <w:t xml:space="preserve">For behold, </w:t>
      </w:r>
      <w:r>
        <w:rPr>
          <w:lang w:val="en_US" w:bidi="en_US"/>
        </w:rPr>
        <w:t>people of</w:t>
      </w:r>
      <w:r>
        <w:rPr>
          <w:lang w:val="en_US" w:bidi="en_US"/>
        </w:rPr>
        <w:t xml:space="preserve"> all generations </w:t>
      </w:r>
      <w:r>
        <w:rPr>
          <w:lang w:val="en_US" w:bidi="en_US"/>
        </w:rPr>
        <w:t>to come</w:t>
      </w:r>
      <w:r>
        <w:rPr>
          <w:lang w:val="en_US" w:bidi="en_US"/>
        </w:rPr>
        <w:t xml:space="preserve"> will call me ‘the blessed/fortunate </w:t>
      </w:r>
      <w:r>
        <w:rPr>
          <w:lang w:val="en_US" w:bidi="en_US"/>
        </w:rPr>
        <w:t>woman</w:t>
      </w:r>
      <w:r>
        <w:rPr>
          <w:lang w:val="en_US" w:bidi="en_US"/>
        </w:rPr>
        <w:t>.’</w:t>
      </w:r>
    </w:p>
    <w:p>
      <w:pPr>
        <w:pStyle w:val="ListBullet"/>
        <w:spacing w:line="240" w:lineRule="auto"/>
        <w:ind w:left="720"/>
      </w:pPr>
      <w:r>
        <w:rPr>
          <w:lang w:val="en_US" w:bidi="en_US"/>
        </w:rPr>
      </w:r>
      <w:r>
        <w:rPr>
          <w:lang w:val="en_US" w:bidi="en_US"/>
        </w:rPr>
        <w:t xml:space="preserve">Indeed, starting now, people of all future ages will say that </w:t>
      </w:r>
      <w:r>
        <w:rPr>
          <w:lang w:val="en_US" w:bidi="en_US"/>
        </w:rPr>
        <w:t>God has</w:t>
      </w:r>
      <w:r>
        <w:rPr>
          <w:lang w:val="en_US" w:bidi="en_US"/>
        </w:rPr>
        <w:t xml:space="preserve"> especially favored me,</w:t>
      </w:r>
    </w:p>
    <w:p>
      <w:pPr/>
      <w:r>
        <w:rPr>
          <w:lang w:val="en_US" w:bidi="en_US"/>
        </w:rPr>
      </w:r>
      <w:r>
        <w:rPr>
          <w:lang w:val="en_US" w:bidi="en_US"/>
        </w:rPr>
        <w:t>The Greek text connects 1:48b to 1:48a with a conjunction that is often translated as “for.” This conjunction often introduces the reason or basis for something. Sometimes it introduces an explanation or evidence for a statement. Here the exact relationship between 1:48a and 1:48b is not completely clear. As you think about this, it may be helpful to remember the implied way that God had been mindful of Mary:</w:t>
      </w:r>
    </w:p>
    <w:p>
      <w:pPr/>
      <w:r>
        <w:rPr>
          <w:lang w:val="en_US" w:bidi="en_US"/>
        </w:rPr>
      </w:r>
      <w:r>
        <w:rPr>
          <w:vertAlign w:val="superscript"/>
          <w:lang w:val="en_US" w:bidi="en_US"/>
        </w:rPr>
        <w:t>48a</w:t>
      </w:r>
      <w:r>
        <w:rPr>
          <w:lang w:val="en_US" w:bidi="en_US"/>
        </w:rPr>
        <w:t xml:space="preserve">He has been mindful of the humble state of his servant </w:t>
      </w:r>
      <w:r>
        <w:rPr>
          <w:lang w:val="en_US" w:bidi="en_US"/>
        </w:rPr>
        <w:t>by choosing her to be the mother of the Messiah</w:t>
      </w:r>
      <w:r>
        <w:rPr>
          <w:lang w:val="en_US" w:bidi="en_US"/>
        </w:rPr>
        <w:t xml:space="preserve">. </w:t>
      </w:r>
      <w:r>
        <w:rPr>
          <w:vertAlign w:val="superscript"/>
          <w:lang w:val="en_US" w:bidi="en_US"/>
        </w:rPr>
        <w:t>48b</w:t>
      </w:r>
      <w:r>
        <w:rPr>
          <w:u w:val="single"/>
          <w:lang w:val="en_US" w:bidi="en_US"/>
        </w:rPr>
        <w:t>As a result</w:t>
      </w:r>
      <w:r>
        <w:rPr>
          <w:lang w:val="en_US" w:bidi="en_US"/>
        </w:rPr>
        <w:t>, from now on all generations will call me blessed.</w:t>
      </w:r>
    </w:p>
    <w:p>
      <w:pPr/>
      <w:r>
        <w:rPr>
          <w:lang w:val="en_US" w:bidi="en_US"/>
        </w:rPr>
      </w:r>
      <w:r>
        <w:rPr>
          <w:lang w:val="en_US" w:bidi="en_US"/>
        </w:rPr>
        <w:t>God was mindful of Mary, and because of that, all generations would call her blessed.</w:t>
      </w:r>
    </w:p>
    <w:p>
      <w:pPr/>
      <w:r>
        <w:rPr>
          <w:lang w:val="en_US" w:bidi="en_US"/>
        </w:rPr>
      </w:r>
      <w:r>
        <w:rPr>
          <w:lang w:val="en_US" w:bidi="en_US"/>
        </w:rPr>
        <w:t>The Greek text also includes a word that calls attention to what Mary said in 1:48b. It is the same word that the BSB translates as “now” in 1:20, as “Behold” in 1:31, and as “Look” in 1:36. The BSB does not translate the word here, and some other English versions also do not explicitly translate the word or the conjunction. Here are some other ways to translate the connection:</w:t>
      </w:r>
    </w:p>
    <w:p>
      <w:pPr/>
      <w:r>
        <w:rPr>
          <w:lang w:val="en_US" w:bidi="en_US"/>
        </w:rPr>
      </w:r>
      <w:r>
        <w:rPr>
          <w:u w:val="single"/>
          <w:lang w:val="en_US" w:bidi="en_US"/>
        </w:rPr>
        <w:t>For behold</w:t>
      </w:r>
      <w:r>
        <w:rPr>
          <w:lang w:val="en_US" w:bidi="en_US"/>
        </w:rPr>
        <w:t>, henceforth all generations will call me blessed (RSV)</w:t>
      </w:r>
    </w:p>
    <w:p>
      <w:pPr/>
      <w:r>
        <w:rPr>
          <w:lang w:val="en_US" w:bidi="en_US"/>
        </w:rPr>
      </w:r>
      <w:r>
        <w:rPr>
          <w:u w:val="single"/>
          <w:lang w:val="en_US" w:bidi="en_US"/>
        </w:rPr>
        <w:t>As a result</w:t>
      </w:r>
      <w:r>
        <w:rPr>
          <w:lang w:val="en_US" w:bidi="en_US"/>
        </w:rPr>
        <w:t>, from now onwards all generations will call me blessed</w:t>
      </w:r>
    </w:p>
    <w:p>
      <w:pPr/>
      <w:r>
        <w:rPr>
          <w:lang w:val="en_US" w:bidi="en_US"/>
        </w:rPr>
      </w:r>
      <w:r>
        <w:rPr>
          <w:u w:val="single"/>
          <w:lang w:val="en_US" w:bidi="en_US"/>
        </w:rPr>
        <w:t>Surely</w:t>
      </w:r>
      <w:r>
        <w:rPr>
          <w:lang w:val="en_US" w:bidi="en_US"/>
        </w:rPr>
        <w:t>, from now on all generations will call me blessed (NRSV)</w:t>
      </w:r>
    </w:p>
    <w:p>
      <w:pPr/>
      <w:r>
        <w:rPr>
          <w:lang w:val="en_US" w:bidi="en_US"/>
        </w:rPr>
      </w:r>
      <w:r>
        <w:rPr>
          <w:lang w:val="en_US" w:bidi="en_US"/>
        </w:rPr>
        <w:t>Translate the connection between 1:48a and 1:48b in a natural way in your language.</w:t>
      </w:r>
    </w:p>
    <w:p>
      <w:pPr/>
      <w:r>
        <w:rPr>
          <w:lang w:val="en_US" w:bidi="en_US"/>
        </w:rPr>
      </w:r>
      <w:r>
        <w:rPr>
          <w:b/>
          <w:lang w:val="en_US" w:bidi="en_US"/>
        </w:rPr>
        <w:t>From now on:</w:t>
      </w:r>
      <w:r>
        <w:rPr>
          <w:lang w:val="en_US" w:bidi="en_US"/>
        </w:rPr>
        <w:t xml:space="preserve"> The phrase </w:t>
      </w:r>
      <w:r>
        <w:rPr>
          <w:i/>
          <w:lang w:val="en_US" w:bidi="en_US"/>
        </w:rPr>
        <w:t>From now on</w:t>
      </w:r>
      <w:r>
        <w:rPr>
          <w:lang w:val="en_US" w:bidi="en_US"/>
        </w:rPr>
        <w:t xml:space="preserve"> means:</w:t>
      </w:r>
    </w:p>
    <w:p>
      <w:pPr/>
      <w:r>
        <w:rPr>
          <w:lang w:val="en_US" w:bidi="en_US"/>
        </w:rPr>
      </w:r>
      <w:r>
        <w:rPr>
          <w:lang w:val="en_US" w:bidi="en_US"/>
        </w:rPr>
        <w:t>starting now and for all future time</w:t>
      </w:r>
    </w:p>
    <w:p>
      <w:pPr/>
      <w:r>
        <w:rPr>
          <w:lang w:val="en_US" w:bidi="en_US"/>
        </w:rPr>
      </w:r>
      <w:r>
        <w:rPr>
          <w:b/>
          <w:lang w:val="en_US" w:bidi="en_US"/>
        </w:rPr>
        <w:t>all generations:</w:t>
      </w:r>
      <w:r>
        <w:rPr>
          <w:lang w:val="en_US" w:bidi="en_US"/>
        </w:rPr>
        <w:t xml:space="preserve"> The phrase </w:t>
      </w:r>
      <w:r>
        <w:rPr>
          <w:i/>
          <w:lang w:val="en_US" w:bidi="en_US"/>
        </w:rPr>
        <w:t>all generations</w:t>
      </w:r>
      <w:r>
        <w:rPr>
          <w:lang w:val="en_US" w:bidi="en_US"/>
        </w:rPr>
        <w:t xml:space="preserve"> refers to people of all the ages to come, that is, the people from all generations. The word “generation” refers to people who are born in the same general time period. Parents represent one generation and their children represent the next generation.</w:t>
      </w:r>
    </w:p>
    <w:p>
      <w:pPr/>
      <w:r>
        <w:rPr>
          <w:lang w:val="en_US" w:bidi="en_US"/>
        </w:rPr>
      </w:r>
      <w:r>
        <w:rPr>
          <w:lang w:val="en_US" w:bidi="en_US"/>
        </w:rPr>
        <w:t>Some other ways to translate this are:</w:t>
      </w:r>
    </w:p>
    <w:p>
      <w:pPr/>
      <w:r>
        <w:rPr>
          <w:lang w:val="en_US" w:bidi="en_US"/>
        </w:rPr>
      </w:r>
      <w:r>
        <w:rPr>
          <w:lang w:val="en_US" w:bidi="en_US"/>
        </w:rPr>
        <w:t>people of all generations</w:t>
      </w:r>
    </w:p>
    <w:p>
      <w:pPr/>
      <w:r>
        <w:rPr>
          <w:lang w:val="en_US" w:bidi="en_US"/>
        </w:rPr>
      </w:r>
      <w:r>
        <w:rPr>
          <w:lang w:val="en_US" w:bidi="en_US"/>
        </w:rPr>
        <w:t>people in every age group in every time period</w:t>
      </w:r>
    </w:p>
    <w:p>
      <w:pPr/>
      <w:r>
        <w:rPr>
          <w:lang w:val="en_US" w:bidi="en_US"/>
        </w:rPr>
      </w:r>
      <w:r>
        <w:rPr>
          <w:lang w:val="en_US" w:bidi="en_US"/>
        </w:rPr>
        <w:t>generation after generation (NLT96)</w:t>
      </w:r>
    </w:p>
    <w:p>
      <w:pPr/>
      <w:r>
        <w:rPr>
          <w:lang w:val="en_US" w:bidi="en_US"/>
        </w:rPr>
      </w:r>
      <w:r>
        <w:rPr>
          <w:lang w:val="en_US" w:bidi="en_US"/>
        </w:rPr>
        <w:t>people from every age/time</w:t>
      </w:r>
    </w:p>
    <w:p>
      <w:pPr/>
      <w:r>
        <w:rPr>
          <w:lang w:val="en_US" w:bidi="en_US"/>
        </w:rPr>
      </w:r>
      <w:r>
        <w:rPr>
          <w:b/>
          <w:lang w:val="en_US" w:bidi="en_US"/>
        </w:rPr>
        <w:t>will call me blessed:</w:t>
      </w:r>
      <w:r>
        <w:rPr>
          <w:lang w:val="en_US" w:bidi="en_US"/>
        </w:rPr>
        <w:t xml:space="preserve"> The Greek word that the BSB translates here as </w:t>
      </w:r>
      <w:r>
        <w:rPr>
          <w:i/>
          <w:lang w:val="en_US" w:bidi="en_US"/>
        </w:rPr>
        <w:t>will call me blessed</w:t>
      </w:r>
      <w:r>
        <w:rPr>
          <w:lang w:val="en_US" w:bidi="en_US"/>
        </w:rPr>
        <w:t xml:space="preserve"> is related to the Greek word that the BSB translates as “Blessed” in 1:45a.</w:t>
      </w:r>
      <w:r>
        <w:rPr>
          <w:lang w:val="en_US" w:bidi="en_US"/>
        </w:rPr>
        <w:t xml:space="preserve">The Greek word is </w:t>
      </w:r>
      <w:r>
        <w:rPr>
          <w:i/>
          <w:lang w:val="en_US" w:bidi="en_US"/>
        </w:rPr>
        <w:t>μακαρίζω</w:t>
      </w:r>
      <w:r>
        <w:rPr>
          <w:lang w:val="en_US" w:bidi="en_US"/>
        </w:rPr>
        <w:t xml:space="preserve"> (</w:t>
      </w:r>
      <w:r>
        <w:rPr>
          <w:i/>
          <w:lang w:val="en_US" w:bidi="en_US"/>
        </w:rPr>
        <w:t>makarizō</w:t>
      </w:r>
      <w:r>
        <w:rPr>
          <w:lang w:val="en_US" w:bidi="en_US"/>
        </w:rPr>
        <w:t>).</w:t>
      </w:r>
      <w:r>
        <w:rPr>
          <w:lang w:val="en_US" w:bidi="en_US"/>
        </w:rPr>
        <w:t xml:space="preserve"> It means “to call or consider someone to be blessed, to say that he or she is in a good situation.” In this context it implies that people will recognize that God showed favor/kindness to Mary.</w:t>
      </w:r>
    </w:p>
    <w:p>
      <w:pPr/>
      <w:r>
        <w:rPr>
          <w:lang w:val="en_US" w:bidi="en_US"/>
        </w:rPr>
      </w:r>
      <w:r>
        <w:rPr>
          <w:lang w:val="en_US" w:bidi="en_US"/>
        </w:rPr>
        <w:t>Some other ways to translate this are:</w:t>
      </w:r>
    </w:p>
    <w:p>
      <w:pPr/>
      <w:r>
        <w:rPr>
          <w:lang w:val="en_US" w:bidi="en_US"/>
        </w:rPr>
      </w:r>
      <w:r>
        <w:rPr>
          <w:lang w:val="en_US" w:bidi="en_US"/>
        </w:rPr>
        <w:t>will describe my situation as very desirable/joyful</w:t>
      </w:r>
    </w:p>
    <w:p>
      <w:pPr/>
      <w:r>
        <w:rPr>
          <w:lang w:val="en_US" w:bidi="en_US"/>
        </w:rPr>
      </w:r>
      <w:r>
        <w:rPr>
          <w:lang w:val="en_US" w:bidi="en_US"/>
        </w:rPr>
        <w:t>will consider me blessed/fortunate</w:t>
      </w:r>
    </w:p>
    <w:p>
      <w:pPr/>
      <w:r>
        <w:rPr>
          <w:lang w:val="en_US" w:bidi="en_US"/>
        </w:rPr>
      </w:r>
      <w:r>
        <w:rPr>
          <w:lang w:val="en_US" w:bidi="en_US"/>
        </w:rPr>
        <w:t>will say, “</w:t>
      </w:r>
      <w:r>
        <w:rPr>
          <w:lang w:val="en_US" w:bidi="en_US"/>
        </w:rPr>
        <w:t>God greatly</w:t>
      </w:r>
      <w:r>
        <w:rPr>
          <w:lang w:val="en_US" w:bidi="en_US"/>
        </w:rPr>
        <w:t xml:space="preserve"> blessed her!”</w:t>
      </w:r>
    </w:p>
    <w:p>
      <w:pPr/>
      <w:r>
        <w:rPr>
          <w:lang w:val="en_US" w:bidi="en_US"/>
        </w:rPr>
      </w:r>
      <w:r>
        <w:rPr>
          <w:lang w:val="en_US" w:bidi="en_US"/>
        </w:rPr>
        <w:t>See the note on “blessed” at 1:45a–b. See also the word bless, Meaning 3, in the Glossary.</w:t>
      </w:r>
      <w:r>
        <w:rPr>
          <w:lang w:val="en_US" w:bidi="en_US"/>
        </w:rPr>
      </w:r>
      <w:r>
        <w:rPr>
          <w:lang w:val="en_US" w:bidi="en_US"/>
        </w:rPr>
      </w:r>
    </w:p>
    <w:p>
      <w:pPr/>
      <w:r>
        <w:rPr>
          <w:lang w:val="en_US" w:bidi="en_US"/>
        </w:rPr>
      </w:r>
    </w:p>
    <w:p>
      <w:pPr>
        <w:pStyle w:val="Heading2"/>
      </w:pPr>
      <w:r>
        <w:rPr>
          <w:lang w:val="en_US" w:bidi="en_US"/>
        </w:rPr>
        <w:t>Luke 1:49</w:t>
      </w:r>
      <w:r>
        <w:rPr>
          <w:lang w:val="en_US" w:bidi="en_US"/>
        </w:rPr>
      </w:r>
    </w:p>
    <w:p>
      <w:pPr>
        <w:pStyle w:val="Heading4"/>
      </w:pPr>
      <w:r>
        <w:rPr>
          <w:lang w:val="en_US" w:bidi="en_US"/>
        </w:rPr>
        <w:t>Section 1:46–56: Mary praised God</w:t>
      </w:r>
    </w:p>
    <w:p>
      <w:pPr/>
      <w:r>
        <w:rPr>
          <w:lang w:val="en_US" w:bidi="en_US"/>
        </w:rPr>
      </w:r>
      <w:r>
        <w:rPr>
          <w:lang w:val="en_US" w:bidi="en_US"/>
        </w:rPr>
        <w:t>In this section Mary spoke a poem or song of praise to God.</w:t>
      </w:r>
      <w:r>
        <w:rPr>
          <w:lang w:val="en_US" w:bidi="en_US"/>
        </w:rP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rPr>
          <w:lang w:val="en_US" w:bidi="en_US"/>
        </w:rP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pPr/>
      <w:r>
        <w:rPr>
          <w:lang w:val="en_US" w:bidi="en_US"/>
        </w:rPr>
      </w:r>
      <w:r>
        <w:rPr>
          <w:lang w:val="en_US" w:bidi="en_US"/>
        </w:rP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pPr/>
      <w:r>
        <w:rPr>
          <w:lang w:val="en_US" w:bidi="en_US"/>
        </w:rPr>
      </w:r>
      <w:r>
        <w:rPr>
          <w:lang w:val="en_US" w:bidi="en_US"/>
        </w:rP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pPr/>
      <w:r>
        <w:rPr>
          <w:lang w:val="en_US" w:bidi="en_US"/>
        </w:rPr>
      </w:r>
      <w:r>
        <w:rPr>
          <w:lang w:val="en_US" w:bidi="en_US"/>
        </w:rPr>
        <w:t>Some other possible headings for this section are:</w:t>
      </w:r>
      <w:r>
        <w:rPr>
          <w:lang w:val="en_US" w:bidi="en_US"/>
        </w:rPr>
        <w:t>The name of Mary’s song in Latin, the Magnificat, is well-known in some areas of the world. If this is true in your area, you may be able to use this name as your heading or as part of the heading. For example, the NLT has “The Magnificat: Mary’s Song of Praise.”</w:t>
      </w:r>
    </w:p>
    <w:p>
      <w:pPr/>
      <w:r>
        <w:rPr>
          <w:lang w:val="en_US" w:bidi="en_US"/>
        </w:rPr>
      </w:r>
      <w:r>
        <w:rPr>
          <w:lang w:val="en_US" w:bidi="en_US"/>
        </w:rPr>
        <w:t>Mary’s song of praise to God</w:t>
      </w:r>
    </w:p>
    <w:p>
      <w:pPr/>
      <w:r>
        <w:rPr>
          <w:lang w:val="en_US" w:bidi="en_US"/>
        </w:rPr>
      </w:r>
      <w:r>
        <w:rPr>
          <w:lang w:val="en_US" w:bidi="en_US"/>
        </w:rPr>
        <w:t>Mary praised God for the kindness he was showing to Israel and to her</w:t>
      </w:r>
    </w:p>
    <w:p>
      <w:pPr>
        <w:pStyle w:val="Heading5"/>
      </w:pPr>
      <w:r>
        <w:rPr>
          <w:lang w:val="en_US" w:bidi="en_US"/>
        </w:rPr>
        <w:t>1:49a</w:t>
      </w:r>
    </w:p>
    <w:p>
      <w:pPr/>
      <w:r>
        <w:rPr>
          <w:lang w:val="en_US" w:bidi="en_US"/>
        </w:rPr>
      </w:r>
      <w:r>
        <w:rPr>
          <w:b/>
          <w:lang w:val="en_US" w:bidi="en_US"/>
        </w:rPr>
        <w:t>For the Mighty One has done great things for me.</w:t>
      </w:r>
    </w:p>
    <w:p>
      <w:pPr>
        <w:pStyle w:val="ListBullet"/>
        <w:spacing w:line="240" w:lineRule="auto"/>
        <w:ind w:left="720"/>
      </w:pPr>
      <w:r>
        <w:rPr>
          <w:lang w:val="en_US" w:bidi="en_US"/>
        </w:rPr>
      </w:r>
      <w:r>
        <w:rPr>
          <w:lang w:val="en_US" w:bidi="en_US"/>
        </w:rPr>
        <w:t>This is</w:t>
      </w:r>
      <w:r>
        <w:rPr>
          <w:lang w:val="en_US" w:bidi="en_US"/>
        </w:rPr>
        <w:t xml:space="preserve"> because the All-Powerful </w:t>
      </w:r>
      <w:r>
        <w:rPr>
          <w:lang w:val="en_US" w:bidi="en_US"/>
        </w:rPr>
        <w:t>God</w:t>
      </w:r>
      <w:r>
        <w:rPr>
          <w:lang w:val="en_US" w:bidi="en_US"/>
        </w:rPr>
        <w:t xml:space="preserve"> has done wonderful things for me.</w:t>
      </w:r>
    </w:p>
    <w:p>
      <w:pPr>
        <w:pStyle w:val="ListBullet"/>
        <w:spacing w:line="240" w:lineRule="auto"/>
        <w:ind w:left="720"/>
      </w:pPr>
      <w:r>
        <w:rPr>
          <w:lang w:val="en_US" w:bidi="en_US"/>
        </w:rPr>
      </w:r>
      <w:r>
        <w:rPr>
          <w:lang w:val="en_US" w:bidi="en_US"/>
        </w:rPr>
        <w:t>because he who is the Mighty One has done great/amazing things for me.</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the reason why all people would call Mary blessed. Some English versions, such as the GNT, translate it as “because” here. In some languages this connection may be implied without a conjunction.</w:t>
      </w:r>
    </w:p>
    <w:p>
      <w:pPr/>
      <w:r>
        <w:rPr>
          <w:lang w:val="en_US" w:bidi="en_US"/>
        </w:rPr>
      </w:r>
      <w:r>
        <w:rPr>
          <w:b/>
          <w:lang w:val="en_US" w:bidi="en_US"/>
        </w:rPr>
        <w:t>the Mighty One:</w:t>
      </w:r>
      <w:r>
        <w:rPr>
          <w:lang w:val="en_US" w:bidi="en_US"/>
        </w:rPr>
        <w:t xml:space="preserve"> The Greek phrase that the BSB translates as </w:t>
      </w:r>
      <w:r>
        <w:rPr>
          <w:i/>
          <w:lang w:val="en_US" w:bidi="en_US"/>
        </w:rPr>
        <w:t>the Mighty One</w:t>
      </w:r>
      <w:r>
        <w:rPr>
          <w:lang w:val="en_US" w:bidi="en_US"/>
        </w:rPr>
        <w:t xml:space="preserve"> is a title for God. It refers to him as very strong and powerful. He is more powerful than all other beings. Some other ways to translate this in English are:</w:t>
      </w:r>
    </w:p>
    <w:p>
      <w:pPr/>
      <w:r>
        <w:rPr>
          <w:lang w:val="en_US" w:bidi="en_US"/>
        </w:rPr>
      </w:r>
      <w:r>
        <w:rPr>
          <w:lang w:val="en_US" w:bidi="en_US"/>
        </w:rPr>
        <w:t>God All-Powerful (CEV)</w:t>
      </w:r>
    </w:p>
    <w:p>
      <w:pPr/>
      <w:r>
        <w:rPr>
          <w:lang w:val="en_US" w:bidi="en_US"/>
        </w:rPr>
      </w:r>
      <w:r>
        <w:rPr>
          <w:lang w:val="en_US" w:bidi="en_US"/>
        </w:rPr>
        <w:t>the Almighty</w:t>
      </w:r>
    </w:p>
    <w:p>
      <w:pPr/>
      <w:r>
        <w:rPr>
          <w:lang w:val="en_US" w:bidi="en_US"/>
        </w:rPr>
      </w:r>
      <w:r>
        <w:rPr>
          <w:b/>
          <w:lang w:val="en_US" w:bidi="en_US"/>
        </w:rPr>
        <w:t>has done great things for me:</w:t>
      </w:r>
      <w:r>
        <w:rPr>
          <w:lang w:val="en_US" w:bidi="en_US"/>
        </w:rPr>
        <w:t xml:space="preserve"> Here the phrase </w:t>
      </w:r>
      <w:r>
        <w:rPr>
          <w:i/>
          <w:lang w:val="en_US" w:bidi="en_US"/>
        </w:rPr>
        <w:t>great things</w:t>
      </w:r>
      <w:r>
        <w:rPr>
          <w:lang w:val="en_US" w:bidi="en_US"/>
        </w:rPr>
        <w:t xml:space="preserve"> refers to things that are very significant, important, and wonderful. Mary was referring specifically to the fact that God had chosen her to be the mother of the Messiah.</w:t>
      </w:r>
    </w:p>
    <w:p>
      <w:pPr>
        <w:pStyle w:val="Heading5"/>
      </w:pPr>
      <w:r>
        <w:rPr>
          <w:lang w:val="en_US" w:bidi="en_US"/>
        </w:rPr>
        <w:t>1:49b</w:t>
      </w:r>
    </w:p>
    <w:p>
      <w:pPr/>
      <w:r>
        <w:rPr>
          <w:lang w:val="en_US" w:bidi="en_US"/>
        </w:rPr>
      </w:r>
      <w:r>
        <w:rPr>
          <w:b/>
          <w:lang w:val="en_US" w:bidi="en_US"/>
        </w:rPr>
        <w:t>Holy is His name.</w:t>
      </w:r>
    </w:p>
    <w:p>
      <w:pPr>
        <w:pStyle w:val="ListBullet"/>
        <w:spacing w:line="240" w:lineRule="auto"/>
        <w:ind w:left="720"/>
      </w:pPr>
      <w:r>
        <w:rPr>
          <w:lang w:val="en_US" w:bidi="en_US"/>
        </w:rPr>
      </w:r>
      <w:r>
        <w:rPr>
          <w:lang w:val="en_US" w:bidi="en_US"/>
        </w:rPr>
        <w:t>He is holy/perfect.</w:t>
      </w:r>
    </w:p>
    <w:p>
      <w:pPr>
        <w:pStyle w:val="ListBullet"/>
        <w:spacing w:line="240" w:lineRule="auto"/>
        <w:ind w:left="720"/>
      </w:pPr>
      <w:r>
        <w:rPr>
          <w:lang w:val="en_US" w:bidi="en_US"/>
        </w:rPr>
      </w:r>
      <w:r>
        <w:rPr>
          <w:lang w:val="en_US" w:bidi="en_US"/>
        </w:rPr>
        <w:t>He is God, and worthy of all worship/awe.</w:t>
      </w:r>
    </w:p>
    <w:p>
      <w:pPr/>
      <w:r>
        <w:rPr>
          <w:lang w:val="en_US" w:bidi="en_US"/>
        </w:rPr>
      </w:r>
      <w:r>
        <w:rPr>
          <w:lang w:val="en_US" w:bidi="en_US"/>
        </w:rPr>
        <w:t>The BSB begins a new sentence with this verse part. Other English versions connect these parts of the verse with the word “and.” The NIV has a dash before this part of the verse, at the end of 1:49a. Use a natural way to connect 1:49a and 1:49b in your language.</w:t>
      </w:r>
    </w:p>
    <w:p>
      <w:pPr/>
      <w:r>
        <w:rPr>
          <w:lang w:val="en_US" w:bidi="en_US"/>
        </w:rPr>
      </w:r>
      <w:r>
        <w:rPr>
          <w:b/>
          <w:lang w:val="en_US" w:bidi="en_US"/>
        </w:rPr>
        <w:t>Holy is His name:</w:t>
      </w:r>
      <w:r>
        <w:rPr>
          <w:lang w:val="en_US" w:bidi="en_US"/>
        </w:rPr>
        <w:t xml:space="preserve"> The word </w:t>
      </w:r>
      <w:r>
        <w:rPr>
          <w:i/>
          <w:lang w:val="en_US" w:bidi="en_US"/>
        </w:rPr>
        <w:t>name</w:t>
      </w:r>
      <w:r>
        <w:rPr>
          <w:lang w:val="en_US" w:bidi="en_US"/>
        </w:rPr>
        <w:t xml:space="preserve"> here represents God himself and his character or nature. So the clause </w:t>
      </w:r>
      <w:r>
        <w:rPr>
          <w:i/>
          <w:lang w:val="en_US" w:bidi="en_US"/>
        </w:rPr>
        <w:t>Holy is His name</w:t>
      </w:r>
      <w:r>
        <w:rPr>
          <w:lang w:val="en_US" w:bidi="en_US"/>
        </w:rPr>
        <w:t xml:space="preserve"> means that God is holy. If a literal translation of </w:t>
      </w:r>
      <w:r>
        <w:rPr>
          <w:i/>
          <w:lang w:val="en_US" w:bidi="en_US"/>
        </w:rPr>
        <w:t>name</w:t>
      </w:r>
      <w:r>
        <w:rPr>
          <w:lang w:val="en_US" w:bidi="en_US"/>
        </w:rPr>
        <w:t xml:space="preserve"> would not mean that in your language, you can translate the meaning directly. For example:</w:t>
      </w:r>
    </w:p>
    <w:p>
      <w:pPr/>
      <w:r>
        <w:rPr>
          <w:lang w:val="en_US" w:bidi="en_US"/>
        </w:rPr>
      </w:r>
      <w:r>
        <w:rPr>
          <w:lang w:val="en_US" w:bidi="en_US"/>
        </w:rPr>
        <w:t>Holy is he</w:t>
      </w:r>
    </w:p>
    <w:p>
      <w:pPr/>
      <w:r>
        <w:rPr>
          <w:lang w:val="en_US" w:bidi="en_US"/>
        </w:rPr>
      </w:r>
      <w:r>
        <w:rPr>
          <w:lang w:val="en_US" w:bidi="en_US"/>
        </w:rPr>
        <w:t>He is holy</w:t>
      </w:r>
    </w:p>
    <w:p>
      <w:pPr/>
      <w:r>
        <w:rPr>
          <w:lang w:val="en_US" w:bidi="en_US"/>
        </w:rPr>
      </w:r>
      <w:r>
        <w:rPr>
          <w:b/>
          <w:lang w:val="en_US" w:bidi="en_US"/>
        </w:rPr>
        <w:t>Holy:</w:t>
      </w:r>
      <w:r>
        <w:rPr>
          <w:lang w:val="en_US" w:bidi="en_US"/>
        </w:rPr>
        <w:t xml:space="preserve"> In this context, the word </w:t>
      </w:r>
      <w:r>
        <w:rPr>
          <w:i/>
          <w:lang w:val="en_US" w:bidi="en_US"/>
        </w:rPr>
        <w:t>Holy</w:t>
      </w:r>
      <w:r>
        <w:rPr>
          <w:lang w:val="en_US" w:bidi="en_US"/>
        </w:rPr>
        <w:t xml:space="preserve"> refers to the fact that God is divine. He is perfect in every way and is completely pure and sinless. Because of these qualities, he is worthy of awe. In some languages there may be an idiom to describe this.</w:t>
      </w:r>
    </w:p>
    <w:p>
      <w:pPr/>
      <w:r>
        <w:rPr>
          <w:lang w:val="en_US" w:bidi="en_US"/>
        </w:rPr>
      </w:r>
      <w:r>
        <w:rPr>
          <w:lang w:val="en_US" w:bidi="en_US"/>
        </w:rPr>
        <w:t xml:space="preserve">Some ways to translate </w:t>
      </w:r>
      <w:r>
        <w:rPr>
          <w:i/>
          <w:lang w:val="en_US" w:bidi="en_US"/>
        </w:rPr>
        <w:t>Holy</w:t>
      </w:r>
      <w:r>
        <w:rPr>
          <w:lang w:val="en_US" w:bidi="en_US"/>
        </w:rPr>
        <w:t xml:space="preserve"> in this context are:</w:t>
      </w:r>
    </w:p>
    <w:p>
      <w:pPr/>
      <w:r>
        <w:rPr>
          <w:lang w:val="en_US" w:bidi="en_US"/>
        </w:rPr>
      </w:r>
      <w:r>
        <w:rPr>
          <w:lang w:val="en_US" w:bidi="en_US"/>
        </w:rPr>
        <w:t>He is totally pure/good</w:t>
      </w:r>
    </w:p>
    <w:p>
      <w:pPr/>
      <w:r>
        <w:rPr>
          <w:lang w:val="en_US" w:bidi="en_US"/>
        </w:rPr>
      </w:r>
      <w:r>
        <w:rPr>
          <w:lang w:val="en_US" w:bidi="en_US"/>
        </w:rPr>
        <w:t>He is worthy of all worship/awe</w:t>
      </w:r>
    </w:p>
    <w:p>
      <w:pPr/>
      <w:r>
        <w:rPr>
          <w:lang w:val="en_US" w:bidi="en_US"/>
        </w:rPr>
      </w:r>
      <w:r>
        <w:rPr>
          <w:lang w:val="en_US" w:bidi="en_US"/>
        </w:rPr>
        <w:t>He is perfect</w:t>
      </w:r>
    </w:p>
    <w:p>
      <w:pPr/>
      <w:r>
        <w:rPr>
          <w:lang w:val="en_US" w:bidi="en_US"/>
        </w:rPr>
      </w:r>
      <w:r>
        <w:rPr>
          <w:lang w:val="en_US" w:bidi="en_US"/>
        </w:rPr>
        <w:t>He is set apart as the only God</w:t>
      </w:r>
      <w:r>
        <w:rPr>
          <w:lang w:val="en_US" w:bidi="en_US"/>
        </w:rPr>
      </w:r>
      <w:r>
        <w:rPr>
          <w:lang w:val="en_US" w:bidi="en_US"/>
        </w:rPr>
      </w:r>
    </w:p>
    <w:p>
      <w:pPr/>
      <w:r>
        <w:rPr>
          <w:lang w:val="en_US" w:bidi="en_US"/>
        </w:rPr>
      </w:r>
    </w:p>
    <w:p>
      <w:pPr>
        <w:pStyle w:val="Heading2"/>
      </w:pPr>
      <w:r>
        <w:rPr>
          <w:lang w:val="en_US" w:bidi="en_US"/>
        </w:rPr>
        <w:t>Luke 1:50</w:t>
      </w:r>
      <w:r>
        <w:rPr>
          <w:lang w:val="en_US" w:bidi="en_US"/>
        </w:rPr>
      </w:r>
    </w:p>
    <w:p>
      <w:pPr>
        <w:pStyle w:val="Heading4"/>
      </w:pPr>
      <w:r>
        <w:rPr>
          <w:lang w:val="en_US" w:bidi="en_US"/>
        </w:rPr>
        <w:t>Section 1:46–56: Mary praised God</w:t>
      </w:r>
    </w:p>
    <w:p>
      <w:pPr/>
      <w:r>
        <w:rPr>
          <w:lang w:val="en_US" w:bidi="en_US"/>
        </w:rPr>
      </w:r>
      <w:r>
        <w:rPr>
          <w:lang w:val="en_US" w:bidi="en_US"/>
        </w:rPr>
        <w:t>In this section Mary spoke a poem or song of praise to God.</w:t>
      </w:r>
      <w:r>
        <w:rPr>
          <w:lang w:val="en_US" w:bidi="en_US"/>
        </w:rP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rPr>
          <w:lang w:val="en_US" w:bidi="en_US"/>
        </w:rP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pPr/>
      <w:r>
        <w:rPr>
          <w:lang w:val="en_US" w:bidi="en_US"/>
        </w:rPr>
      </w:r>
      <w:r>
        <w:rPr>
          <w:lang w:val="en_US" w:bidi="en_US"/>
        </w:rP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pPr/>
      <w:r>
        <w:rPr>
          <w:lang w:val="en_US" w:bidi="en_US"/>
        </w:rPr>
      </w:r>
      <w:r>
        <w:rPr>
          <w:lang w:val="en_US" w:bidi="en_US"/>
        </w:rP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pPr/>
      <w:r>
        <w:rPr>
          <w:lang w:val="en_US" w:bidi="en_US"/>
        </w:rPr>
      </w:r>
      <w:r>
        <w:rPr>
          <w:lang w:val="en_US" w:bidi="en_US"/>
        </w:rPr>
        <w:t>Some other possible headings for this section are:</w:t>
      </w:r>
      <w:r>
        <w:rPr>
          <w:lang w:val="en_US" w:bidi="en_US"/>
        </w:rPr>
        <w:t>The name of Mary’s song in Latin, the Magnificat, is well-known in some areas of the world. If this is true in your area, you may be able to use this name as your heading or as part of the heading. For example, the NLT has “The Magnificat: Mary’s Song of Praise.”</w:t>
      </w:r>
    </w:p>
    <w:p>
      <w:pPr/>
      <w:r>
        <w:rPr>
          <w:lang w:val="en_US" w:bidi="en_US"/>
        </w:rPr>
      </w:r>
      <w:r>
        <w:rPr>
          <w:lang w:val="en_US" w:bidi="en_US"/>
        </w:rPr>
        <w:t>Mary’s song of praise to God</w:t>
      </w:r>
    </w:p>
    <w:p>
      <w:pPr/>
      <w:r>
        <w:rPr>
          <w:lang w:val="en_US" w:bidi="en_US"/>
        </w:rPr>
      </w:r>
      <w:r>
        <w:rPr>
          <w:lang w:val="en_US" w:bidi="en_US"/>
        </w:rPr>
        <w:t>Mary praised God for the kindness he was showing to Israel and to her</w:t>
      </w:r>
    </w:p>
    <w:p>
      <w:pPr>
        <w:pStyle w:val="Heading5"/>
      </w:pPr>
      <w:r>
        <w:rPr>
          <w:lang w:val="en_US" w:bidi="en_US"/>
        </w:rPr>
        <w:t>1:50</w:t>
      </w:r>
    </w:p>
    <w:p>
      <w:pPr/>
      <w:r>
        <w:rPr>
          <w:lang w:val="en_US" w:bidi="en_US"/>
        </w:rPr>
      </w:r>
      <w:r>
        <w:rPr>
          <w:b/>
          <w:lang w:val="en_US" w:bidi="en_US"/>
        </w:rPr>
        <w:t>His mercy extends to those who fear Him, from generation to generation.</w:t>
      </w:r>
    </w:p>
    <w:p>
      <w:pPr>
        <w:pStyle w:val="ListBullet"/>
        <w:spacing w:line="240" w:lineRule="auto"/>
        <w:ind w:left="720"/>
      </w:pPr>
      <w:r>
        <w:rPr>
          <w:lang w:val="en_US" w:bidi="en_US"/>
        </w:rPr>
      </w:r>
      <w:r>
        <w:rPr>
          <w:lang w:val="en_US" w:bidi="en_US"/>
        </w:rPr>
        <w:t>He is merciful to the people from each generation who respect him.</w:t>
      </w:r>
    </w:p>
    <w:p>
      <w:pPr>
        <w:pStyle w:val="ListBullet"/>
        <w:spacing w:line="240" w:lineRule="auto"/>
        <w:ind w:left="720"/>
      </w:pPr>
      <w:r>
        <w:rPr>
          <w:lang w:val="en_US" w:bidi="en_US"/>
        </w:rPr>
      </w:r>
      <w:r>
        <w:rPr>
          <w:lang w:val="en_US" w:bidi="en_US"/>
        </w:rPr>
        <w:t>In every age he shows pity to those who revere him.</w:t>
      </w:r>
    </w:p>
    <w:p>
      <w:pPr>
        <w:pStyle w:val="ListBullet"/>
        <w:spacing w:line="240" w:lineRule="auto"/>
        <w:ind w:left="720"/>
      </w:pPr>
      <w:r>
        <w:rPr>
          <w:lang w:val="en_US" w:bidi="en_US"/>
        </w:rPr>
      </w:r>
      <w:r>
        <w:rPr>
          <w:lang w:val="en_US" w:bidi="en_US"/>
        </w:rPr>
        <w:t xml:space="preserve">Throughout the ages he has compassion on the people who </w:t>
      </w:r>
      <w:r>
        <w:rPr>
          <w:lang w:val="en_US" w:bidi="en_US"/>
        </w:rPr>
        <w:t>submit to</w:t>
      </w:r>
      <w:r>
        <w:rPr>
          <w:lang w:val="en_US" w:bidi="en_US"/>
        </w:rPr>
        <w:t xml:space="preserve"> him with reverence.</w:t>
      </w:r>
    </w:p>
    <w:p>
      <w:pPr/>
      <w:r>
        <w:rPr>
          <w:lang w:val="en_US" w:bidi="en_US"/>
        </w:rPr>
      </w:r>
      <w:r>
        <w:rPr>
          <w:b/>
          <w:lang w:val="en_US" w:bidi="en_US"/>
        </w:rPr>
        <w:t>His mercy extends to those who fear Him, from generation to generation:</w:t>
      </w:r>
      <w:r>
        <w:rPr>
          <w:lang w:val="en_US" w:bidi="en_US"/>
        </w:rPr>
        <w:t xml:space="preserve"> In the Greek text, this verse is more literally, “And his mercy (is) into generations and generations to/for those who fear him.”</w:t>
      </w:r>
    </w:p>
    <w:p>
      <w:pPr/>
      <w:r>
        <w:rPr>
          <w:lang w:val="en_US" w:bidi="en_US"/>
        </w:rPr>
      </w:r>
      <w:r>
        <w:rPr>
          <w:lang w:val="en_US" w:bidi="en_US"/>
        </w:rPr>
        <w:t>This clause indicates that God shows mercy forever to people who fear him. He shows his mercy to each generation. English versions translate this in different ways, but the meaning is the same. For example:</w:t>
      </w:r>
    </w:p>
    <w:p>
      <w:pPr/>
      <w:r>
        <w:rPr>
          <w:lang w:val="en_US" w:bidi="en_US"/>
        </w:rPr>
      </w:r>
      <w:r>
        <w:rPr>
          <w:lang w:val="en_US" w:bidi="en_US"/>
        </w:rPr>
        <w:t>from one generation to another he shows mercy to those who honor him (GNT)</w:t>
      </w:r>
    </w:p>
    <w:p>
      <w:pPr/>
      <w:r>
        <w:rPr>
          <w:lang w:val="en_US" w:bidi="en_US"/>
        </w:rPr>
      </w:r>
      <w:r>
        <w:rPr>
          <w:lang w:val="en_US" w:bidi="en_US"/>
        </w:rPr>
        <w:t>his mercy is on those who fear him in each generation</w:t>
      </w:r>
    </w:p>
    <w:p>
      <w:pPr/>
      <w:r>
        <w:rPr>
          <w:lang w:val="en_US" w:bidi="en_US"/>
        </w:rPr>
      </w:r>
      <w:r>
        <w:rPr>
          <w:lang w:val="en_US" w:bidi="en_US"/>
        </w:rPr>
        <w:t>from generation to generation he is merciful to those who fear him (NET)</w:t>
      </w:r>
    </w:p>
    <w:p>
      <w:pPr/>
      <w:r>
        <w:rPr>
          <w:lang w:val="en_US" w:bidi="en_US"/>
        </w:rPr>
      </w:r>
      <w:r>
        <w:rPr>
          <w:lang w:val="en_US" w:bidi="en_US"/>
        </w:rPr>
        <w:t>You should translate this in the way that is most natural in your language.</w:t>
      </w:r>
    </w:p>
    <w:p>
      <w:pPr/>
      <w:r>
        <w:rPr>
          <w:lang w:val="en_US" w:bidi="en_US"/>
        </w:rPr>
      </w:r>
      <w:r>
        <w:rPr>
          <w:b/>
          <w:lang w:val="en_US" w:bidi="en_US"/>
        </w:rPr>
        <w:t>mercy:</w:t>
      </w:r>
      <w:r>
        <w:rPr>
          <w:lang w:val="en_US" w:bidi="en_US"/>
        </w:rPr>
        <w:t xml:space="preserve"> The word </w:t>
      </w:r>
      <w:r>
        <w:rPr>
          <w:i/>
          <w:lang w:val="en_US" w:bidi="en_US"/>
        </w:rPr>
        <w:t>mercy</w:t>
      </w:r>
      <w:r>
        <w:rPr>
          <w:lang w:val="en_US" w:bidi="en_US"/>
        </w:rPr>
        <w:t xml:space="preserve"> means compassion for those who suffer or are in need. Some ways to translate this are:</w:t>
      </w:r>
    </w:p>
    <w:p>
      <w:pPr/>
      <w:r>
        <w:rPr>
          <w:lang w:val="en_US" w:bidi="en_US"/>
        </w:rPr>
      </w:r>
      <w:r>
        <w:rPr>
          <w:lang w:val="en_US" w:bidi="en_US"/>
        </w:rPr>
        <w:t>compassion</w:t>
      </w:r>
    </w:p>
    <w:p>
      <w:pPr/>
      <w:r>
        <w:rPr>
          <w:lang w:val="en_US" w:bidi="en_US"/>
        </w:rPr>
      </w:r>
      <w:r>
        <w:rPr>
          <w:lang w:val="en_US" w:bidi="en_US"/>
        </w:rPr>
        <w:t>pity</w:t>
      </w:r>
    </w:p>
    <w:p>
      <w:pPr/>
      <w:r>
        <w:rPr>
          <w:lang w:val="en_US" w:bidi="en_US"/>
        </w:rPr>
      </w:r>
      <w:r>
        <w:rPr>
          <w:lang w:val="en_US" w:bidi="en_US"/>
        </w:rPr>
        <w:t>In some languages it may be more natural to translate this word with a verb phrase or a descriptive phrase. For example:</w:t>
      </w:r>
    </w:p>
    <w:p>
      <w:pPr/>
      <w:r>
        <w:rPr>
          <w:lang w:val="en_US" w:bidi="en_US"/>
        </w:rPr>
      </w:r>
      <w:r>
        <w:rPr>
          <w:lang w:val="en_US" w:bidi="en_US"/>
        </w:rPr>
        <w:t>is kind</w:t>
      </w:r>
    </w:p>
    <w:p>
      <w:pPr/>
      <w:r>
        <w:rPr>
          <w:lang w:val="en_US" w:bidi="en_US"/>
        </w:rPr>
      </w:r>
      <w:r>
        <w:rPr>
          <w:lang w:val="en_US" w:bidi="en_US"/>
        </w:rPr>
        <w:t>graciously helps</w:t>
      </w:r>
    </w:p>
    <w:p>
      <w:pPr/>
      <w:r>
        <w:rPr>
          <w:lang w:val="en_US" w:bidi="en_US"/>
        </w:rPr>
      </w:r>
      <w:r>
        <w:rPr>
          <w:lang w:val="en_US" w:bidi="en_US"/>
        </w:rPr>
        <w:t>In some languages there may be an idiom that expresses this. For example, two English idioms are:</w:t>
      </w:r>
    </w:p>
    <w:p>
      <w:pPr/>
      <w:r>
        <w:rPr>
          <w:lang w:val="en_US" w:bidi="en_US"/>
        </w:rPr>
      </w:r>
      <w:r>
        <w:rPr>
          <w:lang w:val="en_US" w:bidi="en_US"/>
        </w:rPr>
        <w:t>his heart is touched by those who fear him</w:t>
      </w:r>
    </w:p>
    <w:p>
      <w:pPr/>
      <w:r>
        <w:rPr>
          <w:lang w:val="en_US" w:bidi="en_US"/>
        </w:rPr>
      </w:r>
      <w:r>
        <w:rPr>
          <w:lang w:val="en_US" w:bidi="en_US"/>
        </w:rPr>
        <w:t>he feels for those who fear him</w:t>
      </w:r>
    </w:p>
    <w:p>
      <w:pPr/>
      <w:r>
        <w:rPr>
          <w:lang w:val="en_US" w:bidi="en_US"/>
        </w:rPr>
      </w:r>
      <w:r>
        <w:rPr>
          <w:b/>
          <w:lang w:val="en_US" w:bidi="en_US"/>
        </w:rPr>
        <w:t>to those who fear Him:</w:t>
      </w:r>
      <w:r>
        <w:rPr>
          <w:lang w:val="en_US" w:bidi="en_US"/>
        </w:rPr>
        <w:t xml:space="preserve"> The Greek verb that the BSB translates as </w:t>
      </w:r>
      <w:r>
        <w:rPr>
          <w:i/>
          <w:lang w:val="en_US" w:bidi="en_US"/>
        </w:rPr>
        <w:t>fear</w:t>
      </w:r>
      <w:r>
        <w:rPr>
          <w:lang w:val="en_US" w:bidi="en_US"/>
        </w:rPr>
        <w:t xml:space="preserve"> here means to respect or to revere. People who </w:t>
      </w:r>
      <w:r>
        <w:rPr>
          <w:i/>
          <w:lang w:val="en_US" w:bidi="en_US"/>
        </w:rPr>
        <w:t>fear</w:t>
      </w:r>
      <w:r>
        <w:rPr>
          <w:lang w:val="en_US" w:bidi="en_US"/>
        </w:rPr>
        <w:t xml:space="preserve"> God know that he is great, and they are afraid to offend him. They have an attitude of submission and awe toward him.</w:t>
      </w:r>
    </w:p>
    <w:p>
      <w:pPr/>
      <w:r>
        <w:rPr>
          <w:lang w:val="en_US" w:bidi="en_US"/>
        </w:rPr>
      </w:r>
      <w:r>
        <w:rPr>
          <w:lang w:val="en_US" w:bidi="en_US"/>
        </w:rPr>
        <w:t xml:space="preserve">Some other ways to translate </w:t>
      </w:r>
      <w:r>
        <w:rPr>
          <w:i/>
          <w:lang w:val="en_US" w:bidi="en_US"/>
        </w:rPr>
        <w:t>to those who fear Him</w:t>
      </w:r>
      <w:r>
        <w:rPr>
          <w:lang w:val="en_US" w:bidi="en_US"/>
        </w:rPr>
        <w:t xml:space="preserve"> are:</w:t>
      </w:r>
    </w:p>
    <w:p>
      <w:pPr/>
      <w:r>
        <w:rPr>
          <w:lang w:val="en_US" w:bidi="en_US"/>
        </w:rPr>
      </w:r>
      <w:r>
        <w:rPr>
          <w:lang w:val="en_US" w:bidi="en_US"/>
        </w:rPr>
        <w:t>to those who honor him (GNT)</w:t>
      </w:r>
    </w:p>
    <w:p>
      <w:pPr/>
      <w:r>
        <w:rPr>
          <w:lang w:val="en_US" w:bidi="en_US"/>
        </w:rPr>
      </w:r>
      <w:r>
        <w:rPr>
          <w:lang w:val="en_US" w:bidi="en_US"/>
        </w:rPr>
        <w:t>to those who revere him</w:t>
      </w:r>
    </w:p>
    <w:p>
      <w:pPr/>
      <w:r>
        <w:rPr>
          <w:lang w:val="en_US" w:bidi="en_US"/>
        </w:rPr>
      </w:r>
      <w:r>
        <w:rPr>
          <w:b/>
          <w:lang w:val="en_US" w:bidi="en_US"/>
        </w:rPr>
        <w:t>from generation to generation:</w:t>
      </w:r>
      <w:r>
        <w:rPr>
          <w:lang w:val="en_US" w:bidi="en_US"/>
        </w:rPr>
        <w:t xml:space="preserve"> The phrase </w:t>
      </w:r>
      <w:r>
        <w:rPr>
          <w:i/>
          <w:lang w:val="en_US" w:bidi="en_US"/>
        </w:rPr>
        <w:t>from generation to generation</w:t>
      </w:r>
      <w:r>
        <w:rPr>
          <w:lang w:val="en_US" w:bidi="en_US"/>
        </w:rPr>
        <w:t xml:space="preserve"> is a poetic phrase. In this context it indicates that God continues to show mercy to each generation of his people forever. He is merciful to all people who fear him in each generation. This means that he shows mercy to parents, and he also shows this mercy to their children and to their grandchildren. This continues for many generations. This verse is a general statement about what God is like, so the phrase includes generations before and after Mary’s time.</w:t>
      </w:r>
    </w:p>
    <w:p>
      <w:pPr/>
      <w:r>
        <w:rPr>
          <w:lang w:val="en_US" w:bidi="en_US"/>
        </w:rPr>
      </w:r>
      <w:r>
        <w:rPr>
          <w:lang w:val="en_US" w:bidi="en_US"/>
        </w:rPr>
        <w:t>If this poetic phrase is very long and complicated to translate in your language, you may want to simplify it. Some models to follow are:</w:t>
      </w:r>
    </w:p>
    <w:p>
      <w:pPr/>
      <w:r>
        <w:rPr>
          <w:lang w:val="en_US" w:bidi="en_US"/>
        </w:rPr>
      </w:r>
      <w:r>
        <w:rPr>
          <w:lang w:val="en_US" w:bidi="en_US"/>
        </w:rPr>
        <w:t xml:space="preserve">He </w:t>
      </w:r>
      <w:r>
        <w:rPr>
          <w:u w:val="single"/>
          <w:lang w:val="en_US" w:bidi="en_US"/>
        </w:rPr>
        <w:t>always</w:t>
      </w:r>
      <w:r>
        <w:rPr>
          <w:lang w:val="en_US" w:bidi="en_US"/>
        </w:rPr>
        <w:t xml:space="preserve"> shows mercy (CEV)</w:t>
      </w:r>
    </w:p>
    <w:p>
      <w:pPr/>
      <w:r>
        <w:rPr>
          <w:lang w:val="en_US" w:bidi="en_US"/>
        </w:rPr>
      </w:r>
      <w:r>
        <w:rPr>
          <w:lang w:val="en_US" w:bidi="en_US"/>
        </w:rPr>
        <w:t xml:space="preserve">God will show his mercy </w:t>
      </w:r>
      <w:r>
        <w:rPr>
          <w:u w:val="single"/>
          <w:lang w:val="en_US" w:bidi="en_US"/>
        </w:rPr>
        <w:t>forever and ever</w:t>
      </w:r>
      <w:r>
        <w:rPr>
          <w:lang w:val="en_US" w:bidi="en_US"/>
        </w:rPr>
        <w:t xml:space="preserve"> (NCV)</w:t>
      </w:r>
    </w:p>
    <w:p>
      <w:pPr/>
      <w:r>
        <w:rPr>
          <w:lang w:val="en_US" w:bidi="en_US"/>
        </w:rPr>
      </w:r>
      <w:r>
        <w:rPr>
          <w:lang w:val="en_US" w:bidi="en_US"/>
        </w:rPr>
        <w:t xml:space="preserve">His mercy </w:t>
      </w:r>
      <w:r>
        <w:rPr>
          <w:u w:val="single"/>
          <w:lang w:val="en_US" w:bidi="en_US"/>
        </w:rPr>
        <w:t>never stops/changes</w:t>
      </w:r>
    </w:p>
    <w:p>
      <w:pPr/>
      <w:r>
        <w:rPr>
          <w:lang w:val="en_US" w:bidi="en_US"/>
        </w:rPr>
      </w:r>
      <w:r>
        <w:rPr>
          <w:lang w:val="en_US" w:bidi="en_US"/>
        </w:rPr>
        <w:t>See the note on the similar expression “all generations” in 1:48b.</w:t>
      </w:r>
      <w:r>
        <w:rPr>
          <w:lang w:val="en_US" w:bidi="en_US"/>
        </w:rPr>
      </w:r>
      <w:r>
        <w:rPr>
          <w:lang w:val="en_US" w:bidi="en_US"/>
        </w:rPr>
      </w:r>
    </w:p>
    <w:p>
      <w:pPr/>
      <w:r>
        <w:rPr>
          <w:lang w:val="en_US" w:bidi="en_US"/>
        </w:rPr>
      </w:r>
    </w:p>
    <w:p>
      <w:pPr>
        <w:pStyle w:val="Heading2"/>
      </w:pPr>
      <w:r>
        <w:rPr>
          <w:lang w:val="en_US" w:bidi="en_US"/>
        </w:rPr>
        <w:t>Luke 1:51</w:t>
      </w:r>
      <w:r>
        <w:rPr>
          <w:lang w:val="en_US" w:bidi="en_US"/>
        </w:rPr>
      </w:r>
    </w:p>
    <w:p>
      <w:pPr>
        <w:pStyle w:val="Heading4"/>
      </w:pPr>
      <w:r>
        <w:rPr>
          <w:lang w:val="en_US" w:bidi="en_US"/>
        </w:rPr>
        <w:t>Section 1:46–56: Mary praised God</w:t>
      </w:r>
    </w:p>
    <w:p>
      <w:pPr/>
      <w:r>
        <w:rPr>
          <w:lang w:val="en_US" w:bidi="en_US"/>
        </w:rPr>
      </w:r>
      <w:r>
        <w:rPr>
          <w:lang w:val="en_US" w:bidi="en_US"/>
        </w:rPr>
        <w:t>In this section Mary spoke a poem or song of praise to God.</w:t>
      </w:r>
      <w:r>
        <w:rPr>
          <w:lang w:val="en_US" w:bidi="en_US"/>
        </w:rP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rPr>
          <w:lang w:val="en_US" w:bidi="en_US"/>
        </w:rP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pPr/>
      <w:r>
        <w:rPr>
          <w:lang w:val="en_US" w:bidi="en_US"/>
        </w:rPr>
      </w:r>
      <w:r>
        <w:rPr>
          <w:lang w:val="en_US" w:bidi="en_US"/>
        </w:rP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pPr/>
      <w:r>
        <w:rPr>
          <w:lang w:val="en_US" w:bidi="en_US"/>
        </w:rPr>
      </w:r>
      <w:r>
        <w:rPr>
          <w:lang w:val="en_US" w:bidi="en_US"/>
        </w:rP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pPr/>
      <w:r>
        <w:rPr>
          <w:lang w:val="en_US" w:bidi="en_US"/>
        </w:rPr>
      </w:r>
      <w:r>
        <w:rPr>
          <w:lang w:val="en_US" w:bidi="en_US"/>
        </w:rPr>
        <w:t>Some other possible headings for this section are:</w:t>
      </w:r>
      <w:r>
        <w:rPr>
          <w:lang w:val="en_US" w:bidi="en_US"/>
        </w:rPr>
        <w:t>The name of Mary’s song in Latin, the Magnificat, is well-known in some areas of the world. If this is true in your area, you may be able to use this name as your heading or as part of the heading. For example, the NLT has “The Magnificat: Mary’s Song of Praise.”</w:t>
      </w:r>
    </w:p>
    <w:p>
      <w:pPr/>
      <w:r>
        <w:rPr>
          <w:lang w:val="en_US" w:bidi="en_US"/>
        </w:rPr>
      </w:r>
      <w:r>
        <w:rPr>
          <w:lang w:val="en_US" w:bidi="en_US"/>
        </w:rPr>
        <w:t>Mary’s song of praise to God</w:t>
      </w:r>
    </w:p>
    <w:p>
      <w:pPr/>
      <w:r>
        <w:rPr>
          <w:lang w:val="en_US" w:bidi="en_US"/>
        </w:rPr>
      </w:r>
      <w:r>
        <w:rPr>
          <w:lang w:val="en_US" w:bidi="en_US"/>
        </w:rPr>
        <w:t>Mary praised God for the kindness he was showing to Israel and to her</w:t>
      </w:r>
    </w:p>
    <w:p>
      <w:pPr>
        <w:pStyle w:val="Heading5"/>
      </w:pPr>
      <w:r>
        <w:rPr>
          <w:lang w:val="en_US" w:bidi="en_US"/>
        </w:rPr>
        <w:t>1:51a</w:t>
      </w:r>
    </w:p>
    <w:p>
      <w:pPr/>
      <w:r>
        <w:rPr>
          <w:lang w:val="en_US" w:bidi="en_US"/>
        </w:rPr>
      </w:r>
      <w:r>
        <w:rPr>
          <w:b/>
          <w:lang w:val="en_US" w:bidi="en_US"/>
        </w:rPr>
        <w:t>He has performed mighty deeds with His arm;</w:t>
      </w:r>
    </w:p>
    <w:p>
      <w:pPr>
        <w:pStyle w:val="ListBullet"/>
        <w:spacing w:line="240" w:lineRule="auto"/>
        <w:ind w:left="720"/>
      </w:pPr>
      <w:r>
        <w:rPr>
          <w:lang w:val="en_US" w:bidi="en_US"/>
        </w:rPr>
      </w:r>
      <w:r>
        <w:rPr>
          <w:lang w:val="en_US" w:bidi="en_US"/>
        </w:rPr>
        <w:t>His powerful arm has done great/mighty deeds.</w:t>
      </w:r>
    </w:p>
    <w:p>
      <w:pPr>
        <w:pStyle w:val="ListBullet"/>
        <w:spacing w:line="240" w:lineRule="auto"/>
        <w:ind w:left="720"/>
      </w:pPr>
      <w:r>
        <w:rPr>
          <w:lang w:val="en_US" w:bidi="en_US"/>
        </w:rPr>
      </w:r>
      <w:r>
        <w:rPr>
          <w:lang w:val="en_US" w:bidi="en_US"/>
        </w:rPr>
        <w:t>He has stretched out his arm and done powerful deeds.</w:t>
      </w:r>
    </w:p>
    <w:p>
      <w:pPr>
        <w:pStyle w:val="ListBullet"/>
        <w:spacing w:line="240" w:lineRule="auto"/>
        <w:ind w:left="720"/>
      </w:pPr>
      <w:r>
        <w:rPr>
          <w:lang w:val="en_US" w:bidi="en_US"/>
        </w:rPr>
      </w:r>
      <w:r>
        <w:rPr>
          <w:lang w:val="en_US" w:bidi="en_US"/>
        </w:rPr>
        <w:t>He has displayed/demonstrated his mighty power.</w:t>
      </w:r>
    </w:p>
    <w:p>
      <w:pPr/>
      <w:r>
        <w:rPr>
          <w:lang w:val="en_US" w:bidi="en_US"/>
        </w:rPr>
      </w:r>
      <w:r>
        <w:rPr>
          <w:b/>
          <w:lang w:val="en_US" w:bidi="en_US"/>
        </w:rPr>
        <w:t>He has performed mighty deeds with His arm:</w:t>
      </w:r>
      <w:r>
        <w:rPr>
          <w:lang w:val="en_US" w:bidi="en_US"/>
        </w:rPr>
        <w:t xml:space="preserve"> The Greek clause that the BSB translates as </w:t>
      </w:r>
      <w:r>
        <w:rPr>
          <w:i/>
          <w:lang w:val="en_US" w:bidi="en_US"/>
        </w:rPr>
        <w:t>He has performed mighty deeds with His arm</w:t>
      </w:r>
      <w:r>
        <w:rPr>
          <w:lang w:val="en_US" w:bidi="en_US"/>
        </w:rPr>
        <w:t xml:space="preserve"> is literally “he did power with his arm.” The phrase </w:t>
      </w:r>
      <w:r>
        <w:rPr>
          <w:i/>
          <w:lang w:val="en_US" w:bidi="en_US"/>
        </w:rPr>
        <w:t>with His arm</w:t>
      </w:r>
      <w:r>
        <w:rPr>
          <w:lang w:val="en_US" w:bidi="en_US"/>
        </w:rPr>
        <w:t xml:space="preserve"> is used as a figure of speech to mean “with/by his power.” The clause indicates that God used his power to do mighty acts. Some versions express this idea by indicating that he showed his power by these acts. In 1:51b–55, Mary told different mighty things that God had done.</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Translate the figure of speech and indicate the meaning. For example:</w:t>
      </w:r>
      <w:r>
        <w:rPr>
          <w:lang w:val="en_US" w:bidi="en_US"/>
        </w:rPr>
        <w:t>His mighty arm has done tremendous things! (NLT)</w:t>
      </w:r>
      <w:r>
        <w:rPr>
          <w:lang w:val="en_US" w:bidi="en_US"/>
        </w:rPr>
        <w:t>He has stretched out his mighty arm (GNT)</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He has done mighty deeds by his power (NCV)</w:t>
      </w:r>
      <w:r>
        <w:rPr>
          <w:lang w:val="en_US" w:bidi="en_US"/>
        </w:rPr>
        <w:t>He displayed his mighty power (GW)</w:t>
      </w:r>
    </w:p>
    <w:p>
      <w:pPr>
        <w:pStyle w:val="Heading5"/>
      </w:pPr>
      <w:r>
        <w:rPr>
          <w:lang w:val="en_US" w:bidi="en_US"/>
        </w:rPr>
        <w:t>1:51b</w:t>
      </w:r>
    </w:p>
    <w:p>
      <w:pPr/>
      <w:r>
        <w:rPr>
          <w:lang w:val="en_US" w:bidi="en_US"/>
        </w:rPr>
      </w:r>
      <w:r>
        <w:rPr>
          <w:b/>
          <w:lang w:val="en_US" w:bidi="en_US"/>
        </w:rPr>
        <w:t>He has scattered those who are proud in the thoughts of their hearts.</w:t>
      </w:r>
    </w:p>
    <w:p>
      <w:pPr>
        <w:pStyle w:val="ListBullet"/>
        <w:spacing w:line="240" w:lineRule="auto"/>
        <w:ind w:left="720"/>
      </w:pPr>
      <w:r>
        <w:rPr>
          <w:lang w:val="en_US" w:bidi="en_US"/>
        </w:rPr>
      </w:r>
      <w:r>
        <w:rPr>
          <w:lang w:val="en_US" w:bidi="en_US"/>
        </w:rPr>
        <w:t>He has chased away people who are proud in their hearts/thoughts.</w:t>
      </w:r>
    </w:p>
    <w:p>
      <w:pPr>
        <w:pStyle w:val="ListBullet"/>
        <w:spacing w:line="240" w:lineRule="auto"/>
        <w:ind w:left="720"/>
      </w:pPr>
      <w:r>
        <w:rPr>
          <w:lang w:val="en_US" w:bidi="en_US"/>
        </w:rPr>
      </w:r>
      <w:r>
        <w:rPr>
          <w:lang w:val="en_US" w:bidi="en_US"/>
        </w:rPr>
        <w:t xml:space="preserve">He has </w:t>
      </w:r>
      <w:r>
        <w:rPr>
          <w:lang w:val="en_US" w:bidi="en_US"/>
        </w:rPr>
        <w:t>seen/known</w:t>
      </w:r>
      <w:r>
        <w:rPr>
          <w:lang w:val="en_US" w:bidi="en_US"/>
        </w:rPr>
        <w:t xml:space="preserve"> people who privately think that they are great, and he has caused them to run away in all directions.</w:t>
      </w:r>
    </w:p>
    <w:p>
      <w:pPr>
        <w:pStyle w:val="ListBullet"/>
        <w:spacing w:line="240" w:lineRule="auto"/>
        <w:ind w:left="720"/>
      </w:pPr>
      <w:r>
        <w:rPr>
          <w:lang w:val="en_US" w:bidi="en_US"/>
        </w:rPr>
      </w:r>
      <w:r>
        <w:rPr>
          <w:lang w:val="en_US" w:bidi="en_US"/>
        </w:rPr>
        <w:t>He has dispersed people who are proud.</w:t>
      </w:r>
    </w:p>
    <w:p>
      <w:pPr/>
      <w:r>
        <w:rPr>
          <w:lang w:val="en_US" w:bidi="en_US"/>
        </w:rPr>
      </w:r>
      <w:r>
        <w:rPr>
          <w:b/>
          <w:lang w:val="en_US" w:bidi="en_US"/>
        </w:rPr>
        <w:t>He has scattered:</w:t>
      </w:r>
      <w:r>
        <w:rPr>
          <w:lang w:val="en_US" w:bidi="en_US"/>
        </w:rPr>
        <w:t xml:space="preserve"> The Greek word that the BSB translates as </w:t>
      </w:r>
      <w:r>
        <w:rPr>
          <w:i/>
          <w:lang w:val="en_US" w:bidi="en_US"/>
        </w:rPr>
        <w:t>He has scattered</w:t>
      </w:r>
      <w:r>
        <w:rPr>
          <w:lang w:val="en_US" w:bidi="en_US"/>
        </w:rPr>
        <w:t xml:space="preserve"> refers to chasing people away. Here, it implies that God caused them to run away in different directions. This word is used in other contexts to describe how a conquering army chases away its defeated enemies.</w:t>
      </w:r>
    </w:p>
    <w:p>
      <w:pPr/>
      <w:r>
        <w:rPr>
          <w:lang w:val="en_US" w:bidi="en_US"/>
        </w:rPr>
      </w:r>
      <w:r>
        <w:rPr>
          <w:b/>
          <w:lang w:val="en_US" w:bidi="en_US"/>
        </w:rPr>
        <w:t>those who are proud in the thoughts of their hearts:</w:t>
      </w:r>
      <w:r>
        <w:rPr>
          <w:lang w:val="en_US" w:bidi="en_US"/>
        </w:rPr>
        <w:t xml:space="preserve"> The Greek phrase that the BSB translates as </w:t>
      </w:r>
      <w:r>
        <w:rPr>
          <w:i/>
          <w:lang w:val="en_US" w:bidi="en_US"/>
        </w:rPr>
        <w:t>those who are proud</w:t>
      </w:r>
      <w:r>
        <w:rPr>
          <w:lang w:val="en_US" w:bidi="en_US"/>
        </w:rPr>
        <w:t xml:space="preserve"> refers to people who are arrogant. They think that they are greater than other people. The phrase </w:t>
      </w:r>
      <w:r>
        <w:rPr>
          <w:i/>
          <w:lang w:val="en_US" w:bidi="en_US"/>
        </w:rPr>
        <w:t>in the thoughts of their hearts</w:t>
      </w:r>
      <w:r>
        <w:rPr>
          <w:lang w:val="en_US" w:bidi="en_US"/>
        </w:rPr>
        <w:t xml:space="preserve"> indicates that these people have arrogant thoughts and plans. Some other ways to translate this are:</w:t>
      </w:r>
    </w:p>
    <w:p>
      <w:pPr/>
      <w:r>
        <w:rPr>
          <w:lang w:val="en_US" w:bidi="en_US"/>
        </w:rPr>
      </w:r>
      <w:r>
        <w:rPr>
          <w:lang w:val="en_US" w:bidi="en_US"/>
        </w:rPr>
        <w:t>people who are proud and think great things about themselves (NCV)</w:t>
      </w:r>
    </w:p>
    <w:p>
      <w:pPr/>
      <w:r>
        <w:rPr>
          <w:lang w:val="en_US" w:bidi="en_US"/>
        </w:rPr>
      </w:r>
      <w:r>
        <w:rPr>
          <w:lang w:val="en_US" w:bidi="en_US"/>
        </w:rPr>
        <w:t>those who think too highly of themselves (GW)</w:t>
      </w:r>
    </w:p>
    <w:p>
      <w:pPr/>
      <w:r>
        <w:rPr>
          <w:lang w:val="en_US" w:bidi="en_US"/>
        </w:rPr>
      </w:r>
      <w:r>
        <w:rPr>
          <w:lang w:val="en_US" w:bidi="en_US"/>
        </w:rPr>
        <w:t>people who have arrogant thoughts/hearts</w:t>
      </w:r>
    </w:p>
    <w:p>
      <w:pPr/>
      <w:r>
        <w:rPr>
          <w:lang w:val="en_US" w:bidi="en_US"/>
        </w:rPr>
      </w:r>
      <w:r>
        <w:rPr>
          <w:lang w:val="en_US" w:bidi="en_US"/>
        </w:rPr>
        <w:t>the proud with all their plans (GNT)</w:t>
      </w:r>
      <w:r>
        <w:rPr>
          <w:lang w:val="en_US" w:bidi="en_US"/>
        </w:rPr>
      </w:r>
      <w:r>
        <w:rPr>
          <w:lang w:val="en_US" w:bidi="en_US"/>
        </w:rPr>
      </w:r>
    </w:p>
    <w:p>
      <w:pPr/>
      <w:r>
        <w:rPr>
          <w:lang w:val="en_US" w:bidi="en_US"/>
        </w:rPr>
      </w:r>
    </w:p>
    <w:p>
      <w:pPr>
        <w:pStyle w:val="Heading2"/>
      </w:pPr>
      <w:r>
        <w:rPr>
          <w:lang w:val="en_US" w:bidi="en_US"/>
        </w:rPr>
        <w:t>Luke 1:52</w:t>
      </w:r>
      <w:r>
        <w:rPr>
          <w:lang w:val="en_US" w:bidi="en_US"/>
        </w:rPr>
      </w:r>
    </w:p>
    <w:p>
      <w:pPr>
        <w:pStyle w:val="Heading4"/>
      </w:pPr>
      <w:r>
        <w:rPr>
          <w:lang w:val="en_US" w:bidi="en_US"/>
        </w:rPr>
        <w:t>Section 1:46–56: Mary praised God</w:t>
      </w:r>
    </w:p>
    <w:p>
      <w:pPr/>
      <w:r>
        <w:rPr>
          <w:lang w:val="en_US" w:bidi="en_US"/>
        </w:rPr>
      </w:r>
      <w:r>
        <w:rPr>
          <w:lang w:val="en_US" w:bidi="en_US"/>
        </w:rPr>
        <w:t>In this section Mary spoke a poem or song of praise to God.</w:t>
      </w:r>
      <w:r>
        <w:rPr>
          <w:lang w:val="en_US" w:bidi="en_US"/>
        </w:rP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rPr>
          <w:lang w:val="en_US" w:bidi="en_US"/>
        </w:rP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pPr/>
      <w:r>
        <w:rPr>
          <w:lang w:val="en_US" w:bidi="en_US"/>
        </w:rPr>
      </w:r>
      <w:r>
        <w:rPr>
          <w:lang w:val="en_US" w:bidi="en_US"/>
        </w:rP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pPr/>
      <w:r>
        <w:rPr>
          <w:lang w:val="en_US" w:bidi="en_US"/>
        </w:rPr>
      </w:r>
      <w:r>
        <w:rPr>
          <w:lang w:val="en_US" w:bidi="en_US"/>
        </w:rP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pPr/>
      <w:r>
        <w:rPr>
          <w:lang w:val="en_US" w:bidi="en_US"/>
        </w:rPr>
      </w:r>
      <w:r>
        <w:rPr>
          <w:lang w:val="en_US" w:bidi="en_US"/>
        </w:rPr>
        <w:t>Some other possible headings for this section are:</w:t>
      </w:r>
      <w:r>
        <w:rPr>
          <w:lang w:val="en_US" w:bidi="en_US"/>
        </w:rPr>
        <w:t>The name of Mary’s song in Latin, the Magnificat, is well-known in some areas of the world. If this is true in your area, you may be able to use this name as your heading or as part of the heading. For example, the NLT has “The Magnificat: Mary’s Song of Praise.”</w:t>
      </w:r>
    </w:p>
    <w:p>
      <w:pPr/>
      <w:r>
        <w:rPr>
          <w:lang w:val="en_US" w:bidi="en_US"/>
        </w:rPr>
      </w:r>
      <w:r>
        <w:rPr>
          <w:lang w:val="en_US" w:bidi="en_US"/>
        </w:rPr>
        <w:t>Mary’s song of praise to God</w:t>
      </w:r>
    </w:p>
    <w:p>
      <w:pPr/>
      <w:r>
        <w:rPr>
          <w:lang w:val="en_US" w:bidi="en_US"/>
        </w:rPr>
      </w:r>
      <w:r>
        <w:rPr>
          <w:lang w:val="en_US" w:bidi="en_US"/>
        </w:rPr>
        <w:t>Mary praised God for the kindness he was showing to Israel and to her</w:t>
      </w:r>
    </w:p>
    <w:p>
      <w:pPr>
        <w:pStyle w:val="Heading5"/>
      </w:pPr>
      <w:r>
        <w:rPr>
          <w:lang w:val="en_US" w:bidi="en_US"/>
        </w:rPr>
        <w:t>1:52a</w:t>
      </w:r>
    </w:p>
    <w:p>
      <w:pPr/>
      <w:r>
        <w:rPr>
          <w:lang w:val="en_US" w:bidi="en_US"/>
        </w:rPr>
      </w:r>
      <w:r>
        <w:rPr>
          <w:b/>
          <w:lang w:val="en_US" w:bidi="en_US"/>
        </w:rPr>
        <w:t>He has brought down rulers from their thrones,</w:t>
      </w:r>
    </w:p>
    <w:p>
      <w:pPr>
        <w:pStyle w:val="ListBullet"/>
        <w:spacing w:line="240" w:lineRule="auto"/>
        <w:ind w:left="720"/>
      </w:pPr>
      <w:r>
        <w:rPr>
          <w:lang w:val="en_US" w:bidi="en_US"/>
        </w:rPr>
      </w:r>
      <w:r>
        <w:rPr>
          <w:lang w:val="en_US" w:bidi="en_US"/>
        </w:rPr>
        <w:t>He has taken/pulled down rulers from their thrones,</w:t>
      </w:r>
    </w:p>
    <w:p>
      <w:pPr>
        <w:pStyle w:val="ListBullet"/>
        <w:spacing w:line="240" w:lineRule="auto"/>
        <w:ind w:left="720"/>
      </w:pPr>
      <w:r>
        <w:rPr>
          <w:lang w:val="en_US" w:bidi="en_US"/>
        </w:rPr>
      </w:r>
      <w:r>
        <w:rPr>
          <w:lang w:val="en_US" w:bidi="en_US"/>
        </w:rPr>
        <w:t>He has taken away the power of kings,</w:t>
      </w:r>
    </w:p>
    <w:p>
      <w:pPr>
        <w:pStyle w:val="ListBullet"/>
        <w:spacing w:line="240" w:lineRule="auto"/>
        <w:ind w:left="720"/>
      </w:pPr>
      <w:r>
        <w:rPr>
          <w:lang w:val="en_US" w:bidi="en_US"/>
        </w:rPr>
      </w:r>
      <w:r>
        <w:rPr>
          <w:lang w:val="en_US" w:bidi="en_US"/>
        </w:rPr>
        <w:t>He has removed powerful leaders from their place of authority,</w:t>
      </w:r>
    </w:p>
    <w:p>
      <w:pPr/>
      <w:r>
        <w:rPr>
          <w:lang w:val="en_US" w:bidi="en_US"/>
        </w:rPr>
      </w:r>
      <w:r>
        <w:rPr>
          <w:b/>
          <w:lang w:val="en_US" w:bidi="en_US"/>
        </w:rPr>
        <w:t>He has brought down rulers from their thrones:</w:t>
      </w:r>
      <w:r>
        <w:rPr>
          <w:lang w:val="en_US" w:bidi="en_US"/>
        </w:rPr>
        <w:t xml:space="preserve"> The clause </w:t>
      </w:r>
      <w:r>
        <w:rPr>
          <w:i/>
          <w:lang w:val="en_US" w:bidi="en_US"/>
        </w:rPr>
        <w:t>He has brought down rulers from their thrones</w:t>
      </w:r>
      <w:r>
        <w:rPr>
          <w:lang w:val="en_US" w:bidi="en_US"/>
        </w:rPr>
        <w:t xml:space="preserve"> is a figure of speech. It indicates that the Lord has removed rulers from their positions of authority. In this verse, the word </w:t>
      </w:r>
      <w:r>
        <w:rPr>
          <w:i/>
          <w:lang w:val="en_US" w:bidi="en_US"/>
        </w:rPr>
        <w:t>thrones</w:t>
      </w:r>
      <w:r>
        <w:rPr>
          <w:lang w:val="en_US" w:bidi="en_US"/>
        </w:rPr>
        <w:t xml:space="preserve"> represents the authority that kings have. Therefore, this expression means that God has caused people who were kings to be kings no longer.</w:t>
      </w:r>
    </w:p>
    <w:p>
      <w:pPr/>
      <w:r>
        <w:rPr>
          <w:lang w:val="en_US" w:bidi="en_US"/>
        </w:rPr>
      </w:r>
      <w:r>
        <w:rPr>
          <w:lang w:val="en_US" w:bidi="en_US"/>
        </w:rPr>
        <w:t>In some languages, people may not understand this figure of speech. If that is true in your language, here are other ways to translate it:</w:t>
      </w:r>
    </w:p>
    <w:p>
      <w:pPr>
        <w:pStyle w:val="ListBullet"/>
        <w:spacing w:line="240" w:lineRule="auto"/>
        <w:ind w:left="720"/>
      </w:pPr>
      <w:r>
        <w:rPr>
          <w:lang w:val="en_US" w:bidi="en_US"/>
        </w:rPr>
      </w:r>
      <w:r>
        <w:rPr>
          <w:lang w:val="en_US" w:bidi="en_US"/>
        </w:rPr>
        <w:t>Use the figure of speech and also make the meaning explicit. For example:</w:t>
      </w:r>
      <w:r>
        <w:rPr>
          <w:lang w:val="en_US" w:bidi="en_US"/>
        </w:rPr>
        <w:t>He has pulled kings from their thrones and taken their kingship from them</w:t>
      </w:r>
    </w:p>
    <w:p>
      <w:pPr>
        <w:pStyle w:val="ListBullet"/>
        <w:spacing w:line="240" w:lineRule="auto"/>
        <w:ind w:left="720"/>
      </w:pPr>
      <w:r>
        <w:rPr>
          <w:lang w:val="en_US" w:bidi="en_US"/>
        </w:rPr>
      </w:r>
      <w:r>
        <w:rPr>
          <w:lang w:val="en_US" w:bidi="en_US"/>
        </w:rPr>
        <w:t>Use a similar figure of speech in your language. For example:</w:t>
      </w:r>
      <w:r>
        <w:rPr>
          <w:lang w:val="en_US" w:bidi="en_US"/>
        </w:rPr>
        <w:t>He has taken the kings’ staffs of office from them</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He has removed kings from their positions of authority</w:t>
      </w:r>
      <w:r>
        <w:rPr>
          <w:lang w:val="en_US" w:bidi="en_US"/>
        </w:rPr>
        <w:t>He has taken away the power of kings</w:t>
      </w:r>
    </w:p>
    <w:p>
      <w:pPr>
        <w:pStyle w:val="Heading5"/>
      </w:pPr>
      <w:r>
        <w:rPr>
          <w:lang w:val="en_US" w:bidi="en_US"/>
        </w:rPr>
        <w:t>1:52b</w:t>
      </w:r>
    </w:p>
    <w:p>
      <w:pPr/>
      <w:r>
        <w:rPr>
          <w:lang w:val="en_US" w:bidi="en_US"/>
        </w:rPr>
      </w:r>
      <w:r>
        <w:rPr>
          <w:b/>
          <w:lang w:val="en_US" w:bidi="en_US"/>
        </w:rPr>
        <w:t>but has exalted the humble.</w:t>
      </w:r>
    </w:p>
    <w:p>
      <w:pPr>
        <w:pStyle w:val="ListBullet"/>
        <w:spacing w:line="240" w:lineRule="auto"/>
        <w:ind w:left="720"/>
      </w:pPr>
      <w:r>
        <w:rPr>
          <w:lang w:val="en_US" w:bidi="en_US"/>
        </w:rPr>
      </w:r>
      <w:r>
        <w:rPr>
          <w:lang w:val="en_US" w:bidi="en_US"/>
        </w:rPr>
        <w:t xml:space="preserve">but he has raised up humble </w:t>
      </w:r>
      <w:r>
        <w:rPr>
          <w:lang w:val="en_US" w:bidi="en_US"/>
        </w:rPr>
        <w:t>people</w:t>
      </w:r>
      <w:r>
        <w:rPr>
          <w:lang w:val="en_US" w:bidi="en_US"/>
        </w:rPr>
        <w:t>.</w:t>
      </w:r>
    </w:p>
    <w:p>
      <w:pPr>
        <w:pStyle w:val="ListBullet"/>
        <w:spacing w:line="240" w:lineRule="auto"/>
        <w:ind w:left="720"/>
      </w:pPr>
      <w:r>
        <w:rPr>
          <w:lang w:val="en_US" w:bidi="en_US"/>
        </w:rPr>
      </w:r>
      <w:r>
        <w:rPr>
          <w:lang w:val="en_US" w:bidi="en_US"/>
        </w:rPr>
        <w:t>and he has made lowly people important.</w:t>
      </w:r>
    </w:p>
    <w:p>
      <w:pPr>
        <w:pStyle w:val="ListBullet"/>
        <w:spacing w:line="240" w:lineRule="auto"/>
        <w:ind w:left="720"/>
      </w:pPr>
      <w:r>
        <w:rPr>
          <w:lang w:val="en_US" w:bidi="en_US"/>
        </w:rPr>
      </w:r>
      <w:r>
        <w:rPr>
          <w:lang w:val="en_US" w:bidi="en_US"/>
        </w:rPr>
        <w:t>and he has exalted/honored insignificant people.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is often translated as “and.” It connects two ways in which God showed his power: He has brought down rulers from their thrones (1:52a), and he has lifted up humble people (1:52b). These two actions contrast with each other, so </w:t>
      </w:r>
      <w:r>
        <w:rPr>
          <w:i/>
          <w:lang w:val="en_US" w:bidi="en_US"/>
        </w:rPr>
        <w:t>but</w:t>
      </w:r>
      <w:r>
        <w:rPr>
          <w:lang w:val="en_US" w:bidi="en_US"/>
        </w:rPr>
        <w:t xml:space="preserve"> is natural in English. Connect these parts of the verse in a natural way in your language. In some languages a conjunction may not be needed.</w:t>
      </w:r>
    </w:p>
    <w:p>
      <w:pPr/>
      <w:r>
        <w:rPr>
          <w:lang w:val="en_US" w:bidi="en_US"/>
        </w:rPr>
      </w:r>
      <w:r>
        <w:rPr>
          <w:b/>
          <w:lang w:val="en_US" w:bidi="en_US"/>
        </w:rPr>
        <w:t>has exalted the humble:</w:t>
      </w:r>
      <w:r>
        <w:rPr>
          <w:lang w:val="en_US" w:bidi="en_US"/>
        </w:rPr>
        <w:t xml:space="preserve"> The verb that the BSB translates as </w:t>
      </w:r>
      <w:r>
        <w:rPr>
          <w:i/>
          <w:lang w:val="en_US" w:bidi="en_US"/>
        </w:rPr>
        <w:t>exalted</w:t>
      </w:r>
      <w:r>
        <w:rPr>
          <w:lang w:val="en_US" w:bidi="en_US"/>
        </w:rPr>
        <w:t xml:space="preserve"> here has the figurative meaning of “to give a high position to.” It has the opposite meaning of the verb “brought down” in 1:52a. The phrase </w:t>
      </w:r>
      <w:r>
        <w:rPr>
          <w:i/>
          <w:lang w:val="en_US" w:bidi="en_US"/>
        </w:rPr>
        <w:t>the humble</w:t>
      </w:r>
      <w:r>
        <w:rPr>
          <w:lang w:val="en_US" w:bidi="en_US"/>
        </w:rPr>
        <w:t xml:space="preserve"> refers to people who were poor and also humble in spirit.</w:t>
      </w:r>
    </w:p>
    <w:p>
      <w:pPr/>
      <w:r>
        <w:rPr>
          <w:lang w:val="en_US" w:bidi="en_US"/>
        </w:rPr>
      </w:r>
      <w:r>
        <w:rPr>
          <w:lang w:val="en_US" w:bidi="en_US"/>
        </w:rPr>
        <w:t>Mary and Elizabeth were examples of humble people whom God exalted. God exalted Mary by giving her the honor of becoming the mother of the Messiah. He exalted Elizabeth by making her the mother of John, who prepared people for the Messiah.</w:t>
      </w:r>
    </w:p>
    <w:p>
      <w:pPr/>
      <w:r>
        <w:rPr>
          <w:lang w:val="en_US" w:bidi="en_US"/>
        </w:rPr>
      </w:r>
      <w:r>
        <w:rPr>
          <w:lang w:val="en_US" w:bidi="en_US"/>
        </w:rPr>
        <w:t xml:space="preserve">Some other ways to translate </w:t>
      </w:r>
      <w:r>
        <w:rPr>
          <w:i/>
          <w:lang w:val="en_US" w:bidi="en_US"/>
        </w:rPr>
        <w:t>exalted the humble</w:t>
      </w:r>
      <w:r>
        <w:rPr>
          <w:lang w:val="en_US" w:bidi="en_US"/>
        </w:rPr>
        <w:t xml:space="preserve"> are:</w:t>
      </w:r>
    </w:p>
    <w:p>
      <w:pPr/>
      <w:r>
        <w:rPr>
          <w:lang w:val="en_US" w:bidi="en_US"/>
        </w:rPr>
      </w:r>
      <w:r>
        <w:rPr>
          <w:lang w:val="en_US" w:bidi="en_US"/>
        </w:rPr>
        <w:t>exalted the lowly (NLT96)</w:t>
      </w:r>
    </w:p>
    <w:p>
      <w:pPr/>
      <w:r>
        <w:rPr>
          <w:lang w:val="en_US" w:bidi="en_US"/>
        </w:rPr>
      </w:r>
      <w:r>
        <w:rPr>
          <w:lang w:val="en_US" w:bidi="en_US"/>
        </w:rPr>
        <w:t>honored humble people (GW)</w:t>
      </w:r>
      <w:r>
        <w:rPr>
          <w:lang w:val="en_US" w:bidi="en_US"/>
        </w:rPr>
      </w:r>
      <w:r>
        <w:rPr>
          <w:lang w:val="en_US" w:bidi="en_US"/>
        </w:rPr>
      </w:r>
    </w:p>
    <w:p>
      <w:pPr/>
      <w:r>
        <w:rPr>
          <w:lang w:val="en_US" w:bidi="en_US"/>
        </w:rPr>
      </w:r>
    </w:p>
    <w:p>
      <w:pPr>
        <w:pStyle w:val="Heading2"/>
      </w:pPr>
      <w:r>
        <w:rPr>
          <w:lang w:val="en_US" w:bidi="en_US"/>
        </w:rPr>
        <w:t>Luke 1:53</w:t>
      </w:r>
      <w:r>
        <w:rPr>
          <w:lang w:val="en_US" w:bidi="en_US"/>
        </w:rPr>
      </w:r>
    </w:p>
    <w:p>
      <w:pPr>
        <w:pStyle w:val="Heading4"/>
      </w:pPr>
      <w:r>
        <w:rPr>
          <w:lang w:val="en_US" w:bidi="en_US"/>
        </w:rPr>
        <w:t>Section 1:46–56: Mary praised God</w:t>
      </w:r>
    </w:p>
    <w:p>
      <w:pPr/>
      <w:r>
        <w:rPr>
          <w:lang w:val="en_US" w:bidi="en_US"/>
        </w:rPr>
      </w:r>
      <w:r>
        <w:rPr>
          <w:lang w:val="en_US" w:bidi="en_US"/>
        </w:rPr>
        <w:t>In this section Mary spoke a poem or song of praise to God.</w:t>
      </w:r>
      <w:r>
        <w:rPr>
          <w:lang w:val="en_US" w:bidi="en_US"/>
        </w:rP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rPr>
          <w:lang w:val="en_US" w:bidi="en_US"/>
        </w:rP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pPr/>
      <w:r>
        <w:rPr>
          <w:lang w:val="en_US" w:bidi="en_US"/>
        </w:rPr>
      </w:r>
      <w:r>
        <w:rPr>
          <w:lang w:val="en_US" w:bidi="en_US"/>
        </w:rP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pPr/>
      <w:r>
        <w:rPr>
          <w:lang w:val="en_US" w:bidi="en_US"/>
        </w:rPr>
      </w:r>
      <w:r>
        <w:rPr>
          <w:lang w:val="en_US" w:bidi="en_US"/>
        </w:rP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pPr/>
      <w:r>
        <w:rPr>
          <w:lang w:val="en_US" w:bidi="en_US"/>
        </w:rPr>
      </w:r>
      <w:r>
        <w:rPr>
          <w:lang w:val="en_US" w:bidi="en_US"/>
        </w:rPr>
        <w:t>Some other possible headings for this section are:</w:t>
      </w:r>
      <w:r>
        <w:rPr>
          <w:lang w:val="en_US" w:bidi="en_US"/>
        </w:rPr>
        <w:t>The name of Mary’s song in Latin, the Magnificat, is well-known in some areas of the world. If this is true in your area, you may be able to use this name as your heading or as part of the heading. For example, the NLT has “The Magnificat: Mary’s Song of Praise.”</w:t>
      </w:r>
    </w:p>
    <w:p>
      <w:pPr/>
      <w:r>
        <w:rPr>
          <w:lang w:val="en_US" w:bidi="en_US"/>
        </w:rPr>
      </w:r>
      <w:r>
        <w:rPr>
          <w:lang w:val="en_US" w:bidi="en_US"/>
        </w:rPr>
        <w:t>Mary’s song of praise to God</w:t>
      </w:r>
    </w:p>
    <w:p>
      <w:pPr/>
      <w:r>
        <w:rPr>
          <w:lang w:val="en_US" w:bidi="en_US"/>
        </w:rPr>
      </w:r>
      <w:r>
        <w:rPr>
          <w:lang w:val="en_US" w:bidi="en_US"/>
        </w:rPr>
        <w:t>Mary praised God for the kindness he was showing to Israel and to her</w:t>
      </w:r>
    </w:p>
    <w:p>
      <w:pPr>
        <w:pStyle w:val="Heading5"/>
      </w:pPr>
      <w:r>
        <w:rPr>
          <w:lang w:val="en_US" w:bidi="en_US"/>
        </w:rPr>
        <w:t>1:53a</w:t>
      </w:r>
    </w:p>
    <w:p>
      <w:pPr/>
      <w:r>
        <w:rPr>
          <w:lang w:val="en_US" w:bidi="en_US"/>
        </w:rPr>
      </w:r>
      <w:r>
        <w:rPr>
          <w:b/>
          <w:lang w:val="en_US" w:bidi="en_US"/>
        </w:rPr>
        <w:t>He has filled the hungry with good things,</w:t>
      </w:r>
    </w:p>
    <w:p>
      <w:pPr>
        <w:pStyle w:val="ListBullet"/>
        <w:spacing w:line="240" w:lineRule="auto"/>
        <w:ind w:left="720"/>
      </w:pPr>
      <w:r>
        <w:rPr>
          <w:lang w:val="en_US" w:bidi="en_US"/>
        </w:rPr>
      </w:r>
      <w:r>
        <w:rPr>
          <w:lang w:val="en_US" w:bidi="en_US"/>
        </w:rPr>
        <w:t xml:space="preserve">He has filled/fed hungry people with the good things </w:t>
      </w:r>
      <w:r>
        <w:rPr>
          <w:lang w:val="en_US" w:bidi="en_US"/>
        </w:rPr>
        <w:t>they need</w:t>
      </w:r>
      <w:r>
        <w:rPr>
          <w:lang w:val="en_US" w:bidi="en_US"/>
        </w:rPr>
        <w:t>,</w:t>
      </w:r>
    </w:p>
    <w:p>
      <w:pPr>
        <w:pStyle w:val="ListBullet"/>
        <w:spacing w:line="240" w:lineRule="auto"/>
        <w:ind w:left="720"/>
      </w:pPr>
      <w:r>
        <w:rPr>
          <w:lang w:val="en_US" w:bidi="en_US"/>
        </w:rPr>
      </w:r>
      <w:r>
        <w:rPr>
          <w:lang w:val="en_US" w:bidi="en_US"/>
        </w:rPr>
        <w:t>He has satisfied people who are hungry by giving them good things,</w:t>
      </w:r>
    </w:p>
    <w:p>
      <w:pPr/>
      <w:r>
        <w:rPr>
          <w:lang w:val="en_US" w:bidi="en_US"/>
        </w:rPr>
      </w:r>
      <w:r>
        <w:rPr>
          <w:b/>
          <w:lang w:val="en_US" w:bidi="en_US"/>
        </w:rPr>
        <w:t>He has filled the hungry with good things:</w:t>
      </w:r>
      <w:r>
        <w:rPr>
          <w:lang w:val="en_US" w:bidi="en_US"/>
        </w:rPr>
        <w:t xml:space="preserve"> The clause </w:t>
      </w:r>
      <w:r>
        <w:rPr>
          <w:i/>
          <w:lang w:val="en_US" w:bidi="en_US"/>
        </w:rPr>
        <w:t>He has filled the hungry with good things</w:t>
      </w:r>
      <w:r>
        <w:rPr>
          <w:lang w:val="en_US" w:bidi="en_US"/>
        </w:rPr>
        <w:t xml:space="preserve"> means “God has given hungry people so much good food to eat that they are satisfied.”</w:t>
      </w:r>
    </w:p>
    <w:p>
      <w:pPr/>
      <w:r>
        <w:rPr>
          <w:lang w:val="en_US" w:bidi="en_US"/>
        </w:rPr>
      </w:r>
      <w:r>
        <w:rPr>
          <w:lang w:val="en_US" w:bidi="en_US"/>
        </w:rPr>
        <w:t xml:space="preserve">This clause has both a literal and a figurative meaning. Literally, the word </w:t>
      </w:r>
      <w:r>
        <w:rPr>
          <w:i/>
          <w:lang w:val="en_US" w:bidi="en_US"/>
        </w:rPr>
        <w:t>hungry</w:t>
      </w:r>
      <w:r>
        <w:rPr>
          <w:lang w:val="en_US" w:bidi="en_US"/>
        </w:rPr>
        <w:t xml:space="preserve"> refers to people who do not have enough food to eat and so are physically hungry. Figuratively, it refers to people who have a great desire for God and spiritual blessings.</w:t>
      </w:r>
    </w:p>
    <w:p>
      <w:pPr/>
      <w:r>
        <w:rPr>
          <w:lang w:val="en_US" w:bidi="en_US"/>
        </w:rPr>
      </w:r>
      <w:r>
        <w:rPr>
          <w:lang w:val="en_US" w:bidi="en_US"/>
        </w:rPr>
        <w:t xml:space="preserve">Some languages may have a clause or idiom for </w:t>
      </w:r>
      <w:r>
        <w:rPr>
          <w:i/>
          <w:lang w:val="en_US" w:bidi="en_US"/>
        </w:rPr>
        <w:t>filled the hungry</w:t>
      </w:r>
      <w:r>
        <w:rPr>
          <w:lang w:val="en_US" w:bidi="en_US"/>
        </w:rPr>
        <w:t xml:space="preserve"> that has this literal meaning and also implies this figurative meaning. If this is true in your language, you may be able to use it here. However, be careful that it does not imply a wrong figurative meaning.</w:t>
      </w:r>
    </w:p>
    <w:p>
      <w:pPr/>
      <w:r>
        <w:rPr>
          <w:lang w:val="en_US" w:bidi="en_US"/>
        </w:rPr>
      </w:r>
      <w:r>
        <w:rPr>
          <w:lang w:val="en_US" w:bidi="en_US"/>
        </w:rPr>
        <w:t>Some other ways to translate the clause are:</w:t>
      </w:r>
    </w:p>
    <w:p>
      <w:pPr/>
      <w:r>
        <w:rPr>
          <w:lang w:val="en_US" w:bidi="en_US"/>
        </w:rPr>
      </w:r>
      <w:r>
        <w:rPr>
          <w:lang w:val="en_US" w:bidi="en_US"/>
        </w:rPr>
        <w:t>He has satisfied the hungry with good things (NLT96)</w:t>
      </w:r>
    </w:p>
    <w:p>
      <w:pPr/>
      <w:r>
        <w:rPr>
          <w:lang w:val="en_US" w:bidi="en_US"/>
        </w:rPr>
      </w:r>
      <w:r>
        <w:rPr>
          <w:lang w:val="en_US" w:bidi="en_US"/>
        </w:rPr>
        <w:t>He fed hungry people with good food. (GW)</w:t>
      </w:r>
    </w:p>
    <w:p>
      <w:pPr/>
      <w:r>
        <w:rPr>
          <w:lang w:val="en_US" w:bidi="en_US"/>
        </w:rPr>
      </w:r>
      <w:r>
        <w:rPr>
          <w:b/>
          <w:lang w:val="en_US" w:bidi="en_US"/>
        </w:rPr>
        <w:t>good things:</w:t>
      </w:r>
      <w:r>
        <w:rPr>
          <w:lang w:val="en_US" w:bidi="en_US"/>
        </w:rPr>
        <w:t xml:space="preserve"> In this context, </w:t>
      </w:r>
      <w:r>
        <w:rPr>
          <w:i/>
          <w:lang w:val="en_US" w:bidi="en_US"/>
        </w:rPr>
        <w:t>good things</w:t>
      </w:r>
      <w:r>
        <w:rPr>
          <w:lang w:val="en_US" w:bidi="en_US"/>
        </w:rPr>
        <w:t xml:space="preserve"> refers to food. But the </w:t>
      </w:r>
      <w:r>
        <w:rPr>
          <w:i/>
          <w:lang w:val="en_US" w:bidi="en_US"/>
        </w:rPr>
        <w:t>good things</w:t>
      </w:r>
      <w:r>
        <w:rPr>
          <w:lang w:val="en_US" w:bidi="en_US"/>
        </w:rPr>
        <w:t xml:space="preserve"> also represent all the things that people desire and need (both physical and spiritual things).</w:t>
      </w:r>
    </w:p>
    <w:p>
      <w:pPr>
        <w:pStyle w:val="Heading5"/>
      </w:pPr>
      <w:r>
        <w:rPr>
          <w:lang w:val="en_US" w:bidi="en_US"/>
        </w:rPr>
        <w:t>1:53b</w:t>
      </w:r>
    </w:p>
    <w:p>
      <w:pPr/>
      <w:r>
        <w:rPr>
          <w:lang w:val="en_US" w:bidi="en_US"/>
        </w:rPr>
      </w:r>
      <w:r>
        <w:rPr>
          <w:b/>
          <w:lang w:val="en_US" w:bidi="en_US"/>
        </w:rPr>
        <w:t>but has sent the rich away empty.</w:t>
      </w:r>
    </w:p>
    <w:p>
      <w:pPr>
        <w:pStyle w:val="ListBullet"/>
        <w:spacing w:line="240" w:lineRule="auto"/>
        <w:ind w:left="720"/>
      </w:pPr>
      <w:r>
        <w:rPr>
          <w:lang w:val="en_US" w:bidi="en_US"/>
        </w:rPr>
      </w:r>
      <w:r>
        <w:rPr>
          <w:lang w:val="en_US" w:bidi="en_US"/>
        </w:rPr>
        <w:t>and he has sent away rich people empty-handed.</w:t>
      </w:r>
    </w:p>
    <w:p>
      <w:pPr>
        <w:pStyle w:val="ListBullet"/>
        <w:spacing w:line="240" w:lineRule="auto"/>
        <w:ind w:left="720"/>
      </w:pPr>
      <w:r>
        <w:rPr>
          <w:lang w:val="en_US" w:bidi="en_US"/>
        </w:rPr>
      </w:r>
      <w:r>
        <w:rPr>
          <w:lang w:val="en_US" w:bidi="en_US"/>
        </w:rPr>
        <w:t>and he has sent away the rich without giving them anything.</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is the same one that was used in 1:52b. As in 1:52b, it connects two ways in which God showed his power. God showed his power when he filled the hungry people with good things (1:53a) and when he sent the rich people away empty (1:53b). These two actions contrast with each other, so the conjunction </w:t>
      </w:r>
      <w:r>
        <w:rPr>
          <w:i/>
          <w:lang w:val="en_US" w:bidi="en_US"/>
        </w:rPr>
        <w:t>but</w:t>
      </w:r>
      <w:r>
        <w:rPr>
          <w:lang w:val="en_US" w:bidi="en_US"/>
        </w:rPr>
        <w:t xml:space="preserve"> is natural in English. Connect these parts of the verse in a natural way in your language. In some languages a conjunction may not be needed.</w:t>
      </w:r>
    </w:p>
    <w:p>
      <w:pPr/>
      <w:r>
        <w:rPr>
          <w:lang w:val="en_US" w:bidi="en_US"/>
        </w:rPr>
      </w:r>
      <w:r>
        <w:rPr>
          <w:b/>
          <w:lang w:val="en_US" w:bidi="en_US"/>
        </w:rPr>
        <w:t>has sent the rich away empty:</w:t>
      </w:r>
      <w:r>
        <w:rPr>
          <w:lang w:val="en_US" w:bidi="en_US"/>
        </w:rPr>
        <w:t xml:space="preserve"> This phrase indicates that God sent the rich people away without giving them anything. As in 1:53a, this clause has both a literal meaning and a figurative meaning. It implies that God does not satisfy the arrogant with spiritual blessings.</w:t>
      </w:r>
    </w:p>
    <w:p>
      <w:pPr/>
      <w:r>
        <w:rPr>
          <w:lang w:val="en_US" w:bidi="en_US"/>
        </w:rPr>
      </w:r>
      <w:r>
        <w:rPr>
          <w:lang w:val="en_US" w:bidi="en_US"/>
        </w:rPr>
        <w:t xml:space="preserve">Some languages may have a clause or idiom for </w:t>
      </w:r>
      <w:r>
        <w:rPr>
          <w:i/>
          <w:lang w:val="en_US" w:bidi="en_US"/>
        </w:rPr>
        <w:t>sent the rich away empty</w:t>
      </w:r>
      <w:r>
        <w:rPr>
          <w:lang w:val="en_US" w:bidi="en_US"/>
        </w:rPr>
        <w:t xml:space="preserve"> that has this literal meaning and also implies this figurative meaning. If this is true in your language, you may be able to use it here. However, be careful that it does not imply a wrong figurative meaning.</w:t>
      </w:r>
    </w:p>
    <w:p>
      <w:pPr/>
      <w:r>
        <w:rPr>
          <w:lang w:val="en_US" w:bidi="en_US"/>
        </w:rPr>
      </w:r>
      <w:r>
        <w:rPr>
          <w:lang w:val="en_US" w:bidi="en_US"/>
        </w:rPr>
        <w:t>Some other ways to translate this are:</w:t>
      </w:r>
    </w:p>
    <w:p>
      <w:pPr/>
      <w:r>
        <w:rPr>
          <w:lang w:val="en_US" w:bidi="en_US"/>
        </w:rPr>
      </w:r>
      <w:r>
        <w:rPr>
          <w:lang w:val="en_US" w:bidi="en_US"/>
        </w:rPr>
        <w:t>He sent rich people away with nothing. (GW)</w:t>
      </w:r>
    </w:p>
    <w:p>
      <w:pPr/>
      <w:r>
        <w:rPr>
          <w:lang w:val="en_US" w:bidi="en_US"/>
        </w:rPr>
      </w:r>
      <w:r>
        <w:rPr>
          <w:lang w:val="en_US" w:bidi="en_US"/>
        </w:rPr>
        <w:t xml:space="preserve">He did not give the </w:t>
      </w:r>
      <w:r>
        <w:rPr>
          <w:lang w:val="en_US" w:bidi="en_US"/>
        </w:rPr>
        <w:t>arrogant</w:t>
      </w:r>
      <w:r>
        <w:rPr>
          <w:lang w:val="en_US" w:bidi="en_US"/>
        </w:rPr>
        <w:t xml:space="preserve"> rich people anything, but sent them away.</w:t>
      </w:r>
      <w:r>
        <w:rPr>
          <w:lang w:val="en_US" w:bidi="en_US"/>
        </w:rPr>
      </w:r>
      <w:r>
        <w:rPr>
          <w:lang w:val="en_US" w:bidi="en_US"/>
        </w:rPr>
      </w:r>
    </w:p>
    <w:p>
      <w:pPr/>
      <w:r>
        <w:rPr>
          <w:lang w:val="en_US" w:bidi="en_US"/>
        </w:rPr>
      </w:r>
    </w:p>
    <w:p>
      <w:pPr>
        <w:pStyle w:val="Heading2"/>
      </w:pPr>
      <w:r>
        <w:rPr>
          <w:lang w:val="en_US" w:bidi="en_US"/>
        </w:rPr>
        <w:t>Luke 1:54</w:t>
      </w:r>
      <w:r>
        <w:rPr>
          <w:lang w:val="en_US" w:bidi="en_US"/>
        </w:rPr>
      </w:r>
    </w:p>
    <w:p>
      <w:pPr>
        <w:pStyle w:val="Heading4"/>
      </w:pPr>
      <w:r>
        <w:rPr>
          <w:lang w:val="en_US" w:bidi="en_US"/>
        </w:rPr>
        <w:t>Section 1:46–56: Mary praised God</w:t>
      </w:r>
    </w:p>
    <w:p>
      <w:pPr/>
      <w:r>
        <w:rPr>
          <w:lang w:val="en_US" w:bidi="en_US"/>
        </w:rPr>
      </w:r>
      <w:r>
        <w:rPr>
          <w:lang w:val="en_US" w:bidi="en_US"/>
        </w:rPr>
        <w:t>In this section Mary spoke a poem or song of praise to God.</w:t>
      </w:r>
      <w:r>
        <w:rPr>
          <w:lang w:val="en_US" w:bidi="en_US"/>
        </w:rP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rPr>
          <w:lang w:val="en_US" w:bidi="en_US"/>
        </w:rP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pPr/>
      <w:r>
        <w:rPr>
          <w:lang w:val="en_US" w:bidi="en_US"/>
        </w:rPr>
      </w:r>
      <w:r>
        <w:rPr>
          <w:lang w:val="en_US" w:bidi="en_US"/>
        </w:rP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pPr/>
      <w:r>
        <w:rPr>
          <w:lang w:val="en_US" w:bidi="en_US"/>
        </w:rPr>
      </w:r>
      <w:r>
        <w:rPr>
          <w:lang w:val="en_US" w:bidi="en_US"/>
        </w:rP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pPr/>
      <w:r>
        <w:rPr>
          <w:lang w:val="en_US" w:bidi="en_US"/>
        </w:rPr>
      </w:r>
      <w:r>
        <w:rPr>
          <w:lang w:val="en_US" w:bidi="en_US"/>
        </w:rPr>
        <w:t>Some other possible headings for this section are:</w:t>
      </w:r>
      <w:r>
        <w:rPr>
          <w:lang w:val="en_US" w:bidi="en_US"/>
        </w:rPr>
        <w:t>The name of Mary’s song in Latin, the Magnificat, is well-known in some areas of the world. If this is true in your area, you may be able to use this name as your heading or as part of the heading. For example, the NLT has “The Magnificat: Mary’s Song of Praise.”</w:t>
      </w:r>
    </w:p>
    <w:p>
      <w:pPr/>
      <w:r>
        <w:rPr>
          <w:lang w:val="en_US" w:bidi="en_US"/>
        </w:rPr>
      </w:r>
      <w:r>
        <w:rPr>
          <w:lang w:val="en_US" w:bidi="en_US"/>
        </w:rPr>
        <w:t>Mary’s song of praise to God</w:t>
      </w:r>
    </w:p>
    <w:p>
      <w:pPr/>
      <w:r>
        <w:rPr>
          <w:lang w:val="en_US" w:bidi="en_US"/>
        </w:rPr>
      </w:r>
      <w:r>
        <w:rPr>
          <w:lang w:val="en_US" w:bidi="en_US"/>
        </w:rPr>
        <w:t>Mary praised God for the kindness he was showing to Israel and to her</w:t>
      </w:r>
    </w:p>
    <w:p>
      <w:pPr>
        <w:pStyle w:val="Heading5"/>
      </w:pPr>
      <w:r>
        <w:rPr>
          <w:lang w:val="en_US" w:bidi="en_US"/>
        </w:rPr>
        <w:t>1:54–1:55a</w:t>
      </w:r>
    </w:p>
    <w:p>
      <w:pPr/>
      <w:r>
        <w:rPr>
          <w:lang w:val="en_US" w:bidi="en_US"/>
        </w:rPr>
      </w:r>
      <w:r>
        <w:rPr>
          <w:b/>
          <w:lang w:val="en_US" w:bidi="en_US"/>
        </w:rPr>
        <w:t>He has helped His servant Israel, remembering to be merciful…to Abraham and his descendants forever:</w:t>
      </w:r>
      <w:r>
        <w:rPr>
          <w:lang w:val="en_US" w:bidi="en_US"/>
        </w:rPr>
        <w:t xml:space="preserve"> The word </w:t>
      </w:r>
      <w:r>
        <w:rPr>
          <w:i/>
          <w:lang w:val="en_US" w:bidi="en_US"/>
        </w:rPr>
        <w:t>Israel</w:t>
      </w:r>
      <w:r>
        <w:rPr>
          <w:lang w:val="en_US" w:bidi="en_US"/>
        </w:rPr>
        <w:t xml:space="preserve"> refers to the same people as Abraham’s </w:t>
      </w:r>
      <w:r>
        <w:rPr>
          <w:i/>
          <w:lang w:val="en_US" w:bidi="en_US"/>
        </w:rPr>
        <w:t>descendants</w:t>
      </w:r>
      <w:r>
        <w:rPr>
          <w:lang w:val="en_US" w:bidi="en_US"/>
        </w:rPr>
        <w:t xml:space="preserve">. </w:t>
      </w:r>
      <w:r>
        <w:rPr>
          <w:i/>
          <w:lang w:val="en_US" w:bidi="en_US"/>
        </w:rPr>
        <w:t>Abraham</w:t>
      </w:r>
      <w:r>
        <w:rPr>
          <w:lang w:val="en_US" w:bidi="en_US"/>
        </w:rPr>
        <w:t xml:space="preserve"> was the ancestor of Jacob, who was called </w:t>
      </w:r>
      <w:r>
        <w:rPr>
          <w:i/>
          <w:lang w:val="en_US" w:bidi="en_US"/>
        </w:rPr>
        <w:t>Israel</w:t>
      </w:r>
      <w:r>
        <w:rPr>
          <w:lang w:val="en_US" w:bidi="en_US"/>
        </w:rPr>
        <w:t>, for whom the nation of Israel was named. In some languages it may be good to indicate this in some way in your translation. For example:</w:t>
      </w:r>
    </w:p>
    <w:p>
      <w:pPr/>
      <w:r>
        <w:rPr>
          <w:lang w:val="en_US" w:bidi="en_US"/>
        </w:rPr>
      </w:r>
      <w:r>
        <w:rPr>
          <w:lang w:val="en_US" w:bidi="en_US"/>
        </w:rPr>
        <w:t>He has helped…</w:t>
      </w:r>
      <w:r>
        <w:rPr>
          <w:lang w:val="en_US" w:bidi="en_US"/>
        </w:rPr>
        <w:t>us</w:t>
      </w:r>
      <w:r>
        <w:rPr>
          <w:lang w:val="en_US" w:bidi="en_US"/>
        </w:rPr>
        <w:t xml:space="preserve"> Israelites. Yes, he has remembered to be merciful…to </w:t>
      </w:r>
      <w:r>
        <w:rPr>
          <w:lang w:val="en_US" w:bidi="en_US"/>
        </w:rPr>
        <w:t>our ancestor</w:t>
      </w:r>
      <w:r>
        <w:rPr>
          <w:lang w:val="en_US" w:bidi="en_US"/>
        </w:rPr>
        <w:t xml:space="preserve"> Abraham and to </w:t>
      </w:r>
      <w:r>
        <w:rPr>
          <w:lang w:val="en_US" w:bidi="en_US"/>
        </w:rPr>
        <w:t>us</w:t>
      </w:r>
      <w:r>
        <w:rPr>
          <w:lang w:val="en_US" w:bidi="en_US"/>
        </w:rPr>
        <w:t xml:space="preserve"> his descendants forever.</w:t>
      </w:r>
    </w:p>
    <w:p>
      <w:pPr/>
      <w:r>
        <w:rPr>
          <w:lang w:val="en_US" w:bidi="en_US"/>
        </w:rPr>
      </w:r>
      <w:r>
        <w:rPr>
          <w:b/>
          <w:lang w:val="en_US" w:bidi="en_US"/>
        </w:rPr>
        <w:t>remembering to be merciful…to Abraham and his descendants forever:</w:t>
      </w:r>
      <w:r>
        <w:rPr>
          <w:lang w:val="en_US" w:bidi="en_US"/>
        </w:rPr>
        <w:t xml:space="preserve"> This phrase does not suggest that God might potentially forget something. Rather, it indicates that God will continue to be merciful to Abraham and his descendants in the future. He will never stop being merciful to them.</w:t>
      </w:r>
    </w:p>
    <w:p>
      <w:pPr>
        <w:pStyle w:val="Heading5"/>
      </w:pPr>
      <w:r>
        <w:rPr>
          <w:lang w:val="en_US" w:bidi="en_US"/>
        </w:rPr>
        <w:t>1:54a</w:t>
      </w:r>
    </w:p>
    <w:p>
      <w:pPr/>
      <w:r>
        <w:rPr>
          <w:lang w:val="en_US" w:bidi="en_US"/>
        </w:rPr>
      </w:r>
      <w:r>
        <w:rPr>
          <w:b/>
          <w:lang w:val="en_US" w:bidi="en_US"/>
        </w:rPr>
        <w:t>He has helped His servant Israel,</w:t>
      </w:r>
    </w:p>
    <w:p>
      <w:pPr>
        <w:pStyle w:val="ListBullet"/>
        <w:spacing w:line="240" w:lineRule="auto"/>
        <w:ind w:left="720"/>
      </w:pPr>
      <w:r>
        <w:rPr>
          <w:lang w:val="en_US" w:bidi="en_US"/>
        </w:rPr>
      </w:r>
      <w:r>
        <w:rPr>
          <w:lang w:val="en_US" w:bidi="en_US"/>
        </w:rPr>
        <w:t xml:space="preserve">He has helped the </w:t>
      </w:r>
      <w:r>
        <w:rPr>
          <w:lang w:val="en_US" w:bidi="en_US"/>
        </w:rPr>
        <w:t>people of</w:t>
      </w:r>
      <w:r>
        <w:rPr>
          <w:lang w:val="en_US" w:bidi="en_US"/>
        </w:rPr>
        <w:t xml:space="preserve"> Israel, his servants,</w:t>
      </w:r>
    </w:p>
    <w:p>
      <w:pPr>
        <w:pStyle w:val="ListBullet"/>
        <w:spacing w:line="240" w:lineRule="auto"/>
        <w:ind w:left="720"/>
      </w:pPr>
      <w:r>
        <w:rPr>
          <w:lang w:val="en_US" w:bidi="en_US"/>
        </w:rPr>
      </w:r>
      <w:r>
        <w:rPr>
          <w:lang w:val="en_US" w:bidi="en_US"/>
        </w:rPr>
        <w:t>He has come to the aid of us his servants, the Israelites,</w:t>
      </w:r>
    </w:p>
    <w:p>
      <w:pPr/>
      <w:r>
        <w:rPr>
          <w:lang w:val="en_US" w:bidi="en_US"/>
        </w:rPr>
      </w:r>
      <w:r>
        <w:rPr>
          <w:b/>
          <w:lang w:val="en_US" w:bidi="en_US"/>
        </w:rPr>
        <w:t>He has helped His servant Israel:</w:t>
      </w:r>
      <w:r>
        <w:rPr>
          <w:lang w:val="en_US" w:bidi="en_US"/>
        </w:rPr>
        <w:t xml:space="preserve"> The Greek word that the BSB translates as </w:t>
      </w:r>
      <w:r>
        <w:rPr>
          <w:i/>
          <w:lang w:val="en_US" w:bidi="en_US"/>
        </w:rPr>
        <w:t>helped</w:t>
      </w:r>
      <w:r>
        <w:rPr>
          <w:lang w:val="en_US" w:bidi="en_US"/>
        </w:rPr>
        <w:t xml:space="preserve"> means “to assist, to share in someone’s situation to aid him/her.” God had </w:t>
      </w:r>
      <w:r>
        <w:rPr>
          <w:i/>
          <w:lang w:val="en_US" w:bidi="en_US"/>
        </w:rPr>
        <w:t>helped</w:t>
      </w:r>
      <w:r>
        <w:rPr>
          <w:lang w:val="en_US" w:bidi="en_US"/>
        </w:rPr>
        <w:t xml:space="preserve"> the people of Israel by fulfilling his promise to send the Messiah who would save them. The angel had told Mary that she would give birth to the Messiah.</w:t>
      </w:r>
    </w:p>
    <w:p>
      <w:pPr/>
      <w:r>
        <w:rPr>
          <w:lang w:val="en_US" w:bidi="en_US"/>
        </w:rPr>
      </w:r>
      <w:r>
        <w:rPr>
          <w:b/>
          <w:lang w:val="en_US" w:bidi="en_US"/>
        </w:rPr>
        <w:t>His servant Israel:</w:t>
      </w:r>
      <w:r>
        <w:rPr>
          <w:lang w:val="en_US" w:bidi="en_US"/>
        </w:rPr>
        <w:t xml:space="preserve"> The phrase </w:t>
      </w:r>
      <w:r>
        <w:rPr>
          <w:i/>
          <w:lang w:val="en_US" w:bidi="en_US"/>
        </w:rPr>
        <w:t>His servant Israel</w:t>
      </w:r>
      <w:r>
        <w:rPr>
          <w:lang w:val="en_US" w:bidi="en_US"/>
        </w:rPr>
        <w:t xml:space="preserve"> refers to the people of Israel. They are called God’s </w:t>
      </w:r>
      <w:r>
        <w:rPr>
          <w:i/>
          <w:lang w:val="en_US" w:bidi="en_US"/>
        </w:rPr>
        <w:t>servant</w:t>
      </w:r>
      <w:r>
        <w:rPr>
          <w:lang w:val="en_US" w:bidi="en_US"/>
        </w:rPr>
        <w:t xml:space="preserve"> because they serve God and worship him. In some languages it is not natural to use a singular form to speak of the whole nation as God’s servant. If this is true in your language, some other ways to translate it are:</w:t>
      </w:r>
    </w:p>
    <w:p>
      <w:pPr/>
      <w:r>
        <w:rPr>
          <w:lang w:val="en_US" w:bidi="en_US"/>
        </w:rPr>
      </w:r>
      <w:r>
        <w:rPr>
          <w:lang w:val="en_US" w:bidi="en_US"/>
        </w:rPr>
        <w:t>his servants, the people/nation of Israel</w:t>
      </w:r>
    </w:p>
    <w:p>
      <w:pPr/>
      <w:r>
        <w:rPr>
          <w:lang w:val="en_US" w:bidi="en_US"/>
        </w:rPr>
      </w:r>
      <w:r>
        <w:rPr>
          <w:lang w:val="en_US" w:bidi="en_US"/>
        </w:rPr>
        <w:t>us Israelites, his servants</w:t>
      </w:r>
    </w:p>
    <w:p>
      <w:pPr/>
      <w:r>
        <w:rPr>
          <w:lang w:val="en_US" w:bidi="en_US"/>
        </w:rPr>
      </w:r>
      <w:r>
        <w:rPr>
          <w:b/>
          <w:lang w:val="en_US" w:bidi="en_US"/>
        </w:rPr>
        <w:t>servant:</w:t>
      </w:r>
      <w:r>
        <w:rPr>
          <w:lang w:val="en_US" w:bidi="en_US"/>
        </w:rPr>
        <w:t xml:space="preserve"> The Greek word that the BSB translates here as </w:t>
      </w:r>
      <w:r>
        <w:rPr>
          <w:i/>
          <w:lang w:val="en_US" w:bidi="en_US"/>
        </w:rPr>
        <w:t>servant</w:t>
      </w:r>
      <w:r>
        <w:rPr>
          <w:lang w:val="en_US" w:bidi="en_US"/>
        </w:rPr>
        <w:t xml:space="preserve"> refers to a slave, but to one whom the master loves. This is a different Greek word than “servant” or “slave” in 1:38a, but the meaning is similar.</w:t>
      </w:r>
    </w:p>
    <w:p>
      <w:pPr>
        <w:pStyle w:val="Heading5"/>
      </w:pPr>
      <w:r>
        <w:rPr>
          <w:lang w:val="en_US" w:bidi="en_US"/>
        </w:rPr>
        <w:t>1:54b</w:t>
      </w:r>
    </w:p>
    <w:p>
      <w:pPr/>
      <w:r>
        <w:rPr>
          <w:lang w:val="en_US" w:bidi="en_US"/>
        </w:rPr>
      </w:r>
      <w:r>
        <w:rPr>
          <w:b/>
          <w:lang w:val="en_US" w:bidi="en_US"/>
        </w:rPr>
        <w:t>remembering to be merciful,</w:t>
      </w:r>
    </w:p>
    <w:p>
      <w:pPr>
        <w:pStyle w:val="ListBullet"/>
        <w:spacing w:line="240" w:lineRule="auto"/>
        <w:ind w:left="720"/>
      </w:pPr>
      <w:r>
        <w:rPr>
          <w:lang w:val="en_US" w:bidi="en_US"/>
        </w:rPr>
      </w:r>
      <w:r>
        <w:rPr>
          <w:lang w:val="en_US" w:bidi="en_US"/>
        </w:rPr>
        <w:t xml:space="preserve">by remembering </w:t>
      </w:r>
      <w:r>
        <w:rPr>
          <w:lang w:val="en_US" w:bidi="en_US"/>
        </w:rPr>
        <w:t>his promise</w:t>
      </w:r>
      <w:r>
        <w:rPr>
          <w:lang w:val="en_US" w:bidi="en_US"/>
        </w:rPr>
        <w:t xml:space="preserve"> to show mercy/kindness</w:t>
      </w:r>
    </w:p>
    <w:p>
      <w:pPr>
        <w:pStyle w:val="ListBullet"/>
        <w:spacing w:line="240" w:lineRule="auto"/>
        <w:ind w:left="720"/>
      </w:pPr>
      <w:r>
        <w:rPr>
          <w:lang w:val="en_US" w:bidi="en_US"/>
        </w:rPr>
      </w:r>
      <w:r>
        <w:rPr>
          <w:lang w:val="en_US" w:bidi="en_US"/>
        </w:rPr>
        <w:t>and has not forgotten to be kind</w:t>
      </w:r>
    </w:p>
    <w:p>
      <w:pPr>
        <w:pStyle w:val="ListBullet"/>
        <w:spacing w:line="240" w:lineRule="auto"/>
        <w:ind w:left="720"/>
      </w:pPr>
      <w:r>
        <w:rPr>
          <w:lang w:val="en_US" w:bidi="en_US"/>
        </w:rPr>
      </w:r>
      <w:r>
        <w:rPr>
          <w:lang w:val="en_US" w:bidi="en_US"/>
        </w:rPr>
        <w:t>and has been faithful to always show compassion</w:t>
      </w:r>
    </w:p>
    <w:p>
      <w:pPr/>
      <w:r>
        <w:rPr>
          <w:lang w:val="en_US" w:bidi="en_US"/>
        </w:rPr>
      </w:r>
      <w:r>
        <w:rPr>
          <w:b/>
          <w:lang w:val="en_US" w:bidi="en_US"/>
        </w:rPr>
        <w:t>remembering to be merciful:</w:t>
      </w:r>
      <w:r>
        <w:rPr>
          <w:lang w:val="en_US" w:bidi="en_US"/>
        </w:rPr>
        <w:t xml:space="preserve"> The phrase </w:t>
      </w:r>
      <w:r>
        <w:rPr>
          <w:i/>
          <w:lang w:val="en_US" w:bidi="en_US"/>
        </w:rPr>
        <w:t>remembering to be merciful</w:t>
      </w:r>
      <w:r>
        <w:rPr>
          <w:lang w:val="en_US" w:bidi="en_US"/>
        </w:rPr>
        <w:t xml:space="preserve"> refers to the same action as the previous phrase “he has helped his servant Israel.” It means that God remembered that he had promised to be merciful to his people, and he fulfilled his promise.</w:t>
      </w:r>
    </w:p>
    <w:p>
      <w:pPr/>
      <w:r>
        <w:rPr>
          <w:lang w:val="en_US" w:bidi="en_US"/>
        </w:rPr>
      </w:r>
      <w:r>
        <w:rPr>
          <w:lang w:val="en_US" w:bidi="en_US"/>
        </w:rPr>
        <w:t>God had not previously forgotten to be merciful. If a literal translation would give this wrong meaning, you may need to say something such as:</w:t>
      </w:r>
    </w:p>
    <w:p>
      <w:pPr/>
      <w:r>
        <w:rPr>
          <w:lang w:val="en_US" w:bidi="en_US"/>
        </w:rPr>
      </w:r>
      <w:r>
        <w:rPr>
          <w:lang w:val="en_US" w:bidi="en_US"/>
        </w:rPr>
        <w:t>God has kept his promise to be merciful.</w:t>
      </w:r>
    </w:p>
    <w:p>
      <w:pPr/>
      <w:r>
        <w:rPr>
          <w:lang w:val="en_US" w:bidi="en_US"/>
        </w:rPr>
      </w:r>
      <w:r>
        <w:rPr>
          <w:b/>
          <w:lang w:val="en_US" w:bidi="en_US"/>
        </w:rPr>
        <w:t>to be merciful:</w:t>
      </w:r>
      <w:r>
        <w:rPr>
          <w:lang w:val="en_US" w:bidi="en_US"/>
        </w:rPr>
        <w:t xml:space="preserve"> The phrase </w:t>
      </w:r>
      <w:r>
        <w:rPr>
          <w:i/>
          <w:lang w:val="en_US" w:bidi="en_US"/>
        </w:rPr>
        <w:t>to be merciful</w:t>
      </w:r>
      <w:r>
        <w:rPr>
          <w:lang w:val="en_US" w:bidi="en_US"/>
        </w:rPr>
        <w:t xml:space="preserve"> means “to have compassion” or “to show pity.” It is related to the word that is translated as “mercy” in 1:50. See the note there.</w:t>
      </w:r>
    </w:p>
    <w:p>
      <w:pPr/>
      <w:r>
        <w:rPr>
          <w:lang w:val="en_US" w:bidi="en_US"/>
        </w:rPr>
      </w:r>
      <w:r>
        <w:rPr>
          <w:lang w:val="en_US" w:bidi="en_US"/>
        </w:rPr>
        <w:t>Some other ways to translate it are:</w:t>
      </w:r>
    </w:p>
    <w:p>
      <w:pPr/>
      <w:r>
        <w:rPr>
          <w:lang w:val="en_US" w:bidi="en_US"/>
        </w:rPr>
      </w:r>
      <w:r>
        <w:rPr>
          <w:lang w:val="en_US" w:bidi="en_US"/>
        </w:rPr>
        <w:t>to be kind</w:t>
      </w:r>
    </w:p>
    <w:p>
      <w:pPr/>
      <w:r>
        <w:rPr>
          <w:lang w:val="en_US" w:bidi="en_US"/>
        </w:rPr>
      </w:r>
      <w:r>
        <w:rPr>
          <w:lang w:val="en_US" w:bidi="en_US"/>
        </w:rPr>
        <w:t>graciously to show compassion</w:t>
      </w:r>
      <w:r>
        <w:rPr>
          <w:lang w:val="en_US" w:bidi="en_US"/>
        </w:rPr>
      </w:r>
      <w:r>
        <w:rPr>
          <w:lang w:val="en_US" w:bidi="en_US"/>
        </w:rPr>
      </w:r>
    </w:p>
    <w:p>
      <w:pPr/>
      <w:r>
        <w:rPr>
          <w:lang w:val="en_US" w:bidi="en_US"/>
        </w:rPr>
      </w:r>
    </w:p>
    <w:p>
      <w:pPr>
        <w:pStyle w:val="Heading2"/>
      </w:pPr>
      <w:r>
        <w:rPr>
          <w:lang w:val="en_US" w:bidi="en_US"/>
        </w:rPr>
        <w:t>Luke 1:55</w:t>
      </w:r>
      <w:r>
        <w:rPr>
          <w:lang w:val="en_US" w:bidi="en_US"/>
        </w:rPr>
      </w:r>
    </w:p>
    <w:p>
      <w:pPr>
        <w:pStyle w:val="Heading4"/>
      </w:pPr>
      <w:r>
        <w:rPr>
          <w:lang w:val="en_US" w:bidi="en_US"/>
        </w:rPr>
        <w:t>Section 1:46–56: Mary praised God</w:t>
      </w:r>
    </w:p>
    <w:p>
      <w:pPr/>
      <w:r>
        <w:rPr>
          <w:lang w:val="en_US" w:bidi="en_US"/>
        </w:rPr>
      </w:r>
      <w:r>
        <w:rPr>
          <w:lang w:val="en_US" w:bidi="en_US"/>
        </w:rPr>
        <w:t>In this section Mary spoke a poem or song of praise to God.</w:t>
      </w:r>
      <w:r>
        <w:rPr>
          <w:lang w:val="en_US" w:bidi="en_US"/>
        </w:rP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rPr>
          <w:lang w:val="en_US" w:bidi="en_US"/>
        </w:rP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pPr/>
      <w:r>
        <w:rPr>
          <w:lang w:val="en_US" w:bidi="en_US"/>
        </w:rPr>
      </w:r>
      <w:r>
        <w:rPr>
          <w:lang w:val="en_US" w:bidi="en_US"/>
        </w:rP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pPr/>
      <w:r>
        <w:rPr>
          <w:lang w:val="en_US" w:bidi="en_US"/>
        </w:rPr>
      </w:r>
      <w:r>
        <w:rPr>
          <w:lang w:val="en_US" w:bidi="en_US"/>
        </w:rP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pPr/>
      <w:r>
        <w:rPr>
          <w:lang w:val="en_US" w:bidi="en_US"/>
        </w:rPr>
      </w:r>
      <w:r>
        <w:rPr>
          <w:lang w:val="en_US" w:bidi="en_US"/>
        </w:rPr>
        <w:t>Some other possible headings for this section are:</w:t>
      </w:r>
      <w:r>
        <w:rPr>
          <w:lang w:val="en_US" w:bidi="en_US"/>
        </w:rPr>
        <w:t>The name of Mary’s song in Latin, the Magnificat, is well-known in some areas of the world. If this is true in your area, you may be able to use this name as your heading or as part of the heading. For example, the NLT has “The Magnificat: Mary’s Song of Praise.”</w:t>
      </w:r>
    </w:p>
    <w:p>
      <w:pPr/>
      <w:r>
        <w:rPr>
          <w:lang w:val="en_US" w:bidi="en_US"/>
        </w:rPr>
      </w:r>
      <w:r>
        <w:rPr>
          <w:lang w:val="en_US" w:bidi="en_US"/>
        </w:rPr>
        <w:t>Mary’s song of praise to God</w:t>
      </w:r>
    </w:p>
    <w:p>
      <w:pPr/>
      <w:r>
        <w:rPr>
          <w:lang w:val="en_US" w:bidi="en_US"/>
        </w:rPr>
      </w:r>
      <w:r>
        <w:rPr>
          <w:lang w:val="en_US" w:bidi="en_US"/>
        </w:rPr>
        <w:t>Mary praised God for the kindness he was showing to Israel and to her</w:t>
      </w:r>
    </w:p>
    <w:p>
      <w:pPr>
        <w:pStyle w:val="Heading5"/>
      </w:pPr>
      <w:r>
        <w:rPr>
          <w:lang w:val="en_US" w:bidi="en_US"/>
        </w:rPr>
        <w:t>1:55a</w:t>
      </w:r>
    </w:p>
    <w:p>
      <w:pPr/>
      <w:r>
        <w:rPr>
          <w:lang w:val="en_US" w:bidi="en_US"/>
        </w:rPr>
      </w:r>
      <w:r>
        <w:rPr>
          <w:b/>
          <w:lang w:val="en_US" w:bidi="en_US"/>
        </w:rPr>
        <w:t>as He promised to our fathers,</w:t>
      </w:r>
    </w:p>
    <w:p>
      <w:pPr>
        <w:pStyle w:val="ListBullet"/>
        <w:spacing w:line="240" w:lineRule="auto"/>
        <w:ind w:left="720"/>
      </w:pPr>
      <w:r>
        <w:rPr>
          <w:lang w:val="en_US" w:bidi="en_US"/>
        </w:rPr>
      </w:r>
      <w:r>
        <w:rPr>
          <w:lang w:val="en_US" w:bidi="en_US"/>
        </w:rPr>
        <w:t>just as he assured our</w:t>
      </w:r>
      <w:r>
        <w:rPr>
          <w:vertAlign w:val="superscript"/>
          <w:lang w:val="en_US" w:bidi="en_US"/>
        </w:rPr>
        <w:t>(incl)</w:t>
      </w:r>
      <w:r>
        <w:rPr>
          <w:lang w:val="en_US" w:bidi="en_US"/>
        </w:rPr>
        <w:t xml:space="preserve"> ancestors.</w:t>
      </w:r>
    </w:p>
    <w:p>
      <w:pPr>
        <w:pStyle w:val="ListBullet"/>
        <w:spacing w:line="240" w:lineRule="auto"/>
        <w:ind w:left="720"/>
      </w:pPr>
      <w:r>
        <w:rPr>
          <w:lang w:val="en_US" w:bidi="en_US"/>
        </w:rPr>
      </w:r>
      <w:r>
        <w:rPr>
          <w:lang w:val="en_US" w:bidi="en_US"/>
        </w:rPr>
        <w:t>exactly</w:t>
      </w:r>
      <w:r>
        <w:rPr>
          <w:lang w:val="en_US" w:bidi="en_US"/>
        </w:rPr>
        <w:t xml:space="preserve"> as he told our</w:t>
      </w:r>
      <w:r>
        <w:rPr>
          <w:vertAlign w:val="superscript"/>
          <w:lang w:val="en_US" w:bidi="en_US"/>
        </w:rPr>
        <w:t>(incl)</w:t>
      </w:r>
      <w:r>
        <w:rPr>
          <w:lang w:val="en_US" w:bidi="en_US"/>
        </w:rPr>
        <w:t xml:space="preserve"> ancestors that he would.</w:t>
      </w:r>
    </w:p>
    <w:p>
      <w:pPr>
        <w:pStyle w:val="ListBullet"/>
        <w:spacing w:line="240" w:lineRule="auto"/>
        <w:ind w:left="720"/>
      </w:pPr>
      <w:r>
        <w:rPr>
          <w:lang w:val="en_US" w:bidi="en_US"/>
        </w:rPr>
      </w:r>
      <w:r>
        <w:rPr>
          <w:lang w:val="en_US" w:bidi="en_US"/>
        </w:rPr>
        <w:t>So he has fulfilled the promise that he made to our ancestors,</w:t>
      </w:r>
    </w:p>
    <w:p>
      <w:pPr/>
      <w:r>
        <w:rPr>
          <w:lang w:val="en_US" w:bidi="en_US"/>
        </w:rPr>
      </w:r>
      <w:r>
        <w:rPr>
          <w:b/>
          <w:lang w:val="en_US" w:bidi="en_US"/>
        </w:rPr>
        <w:t>as He promised to our fathers:</w:t>
      </w:r>
      <w:r>
        <w:rPr>
          <w:lang w:val="en_US" w:bidi="en_US"/>
        </w:rPr>
        <w:t xml:space="preserve"> Mary used the phrase </w:t>
      </w:r>
      <w:r>
        <w:rPr>
          <w:i/>
          <w:lang w:val="en_US" w:bidi="en_US"/>
        </w:rPr>
        <w:t>our fathers</w:t>
      </w:r>
      <w:r>
        <w:rPr>
          <w:lang w:val="en_US" w:bidi="en_US"/>
        </w:rPr>
        <w:t xml:space="preserve"> to refer to all the people of Israel who had lived before Mary and Elizabeth were born. Some versions translate this phrase as “our ancestors.” She also used the word </w:t>
      </w:r>
      <w:r>
        <w:rPr>
          <w:i/>
          <w:lang w:val="en_US" w:bidi="en_US"/>
        </w:rPr>
        <w:t>our</w:t>
      </w:r>
      <w:r>
        <w:rPr>
          <w:lang w:val="en_US" w:bidi="en_US"/>
        </w:rPr>
        <w:t xml:space="preserve"> to refer to the ancestors of </w:t>
      </w:r>
      <w:r>
        <w:rPr>
          <w:u w:val="single"/>
          <w:lang w:val="en_US" w:bidi="en_US"/>
        </w:rPr>
        <w:t>all</w:t>
      </w:r>
      <w:r>
        <w:rPr>
          <w:lang w:val="en_US" w:bidi="en_US"/>
        </w:rPr>
        <w:t xml:space="preserve"> the people of Israel. God had promised to all the people of Israel that he would send a Savior. He did not make this promise only to the ancestors of Mary and Elizabeth. So it may be necessary to make this explicit. For example:</w:t>
      </w:r>
    </w:p>
    <w:p>
      <w:pPr/>
      <w:r>
        <w:rPr>
          <w:lang w:val="en_US" w:bidi="en_US"/>
        </w:rPr>
      </w:r>
      <w:r>
        <w:rPr>
          <w:lang w:val="en_US" w:bidi="en_US"/>
        </w:rPr>
        <w:t xml:space="preserve">just as he said to the ancestors </w:t>
      </w:r>
      <w:r>
        <w:rPr>
          <w:lang w:val="en_US" w:bidi="en_US"/>
        </w:rPr>
        <w:t>of our people</w:t>
      </w:r>
    </w:p>
    <w:p>
      <w:pPr>
        <w:pStyle w:val="Heading5"/>
      </w:pPr>
      <w:r>
        <w:rPr>
          <w:lang w:val="en_US" w:bidi="en_US"/>
        </w:rPr>
        <w:t>1:55b</w:t>
      </w:r>
    </w:p>
    <w:p>
      <w:pPr/>
      <w:r>
        <w:rPr>
          <w:lang w:val="en_US" w:bidi="en_US"/>
        </w:rPr>
      </w:r>
      <w:r>
        <w:rPr>
          <w:b/>
          <w:lang w:val="en_US" w:bidi="en_US"/>
        </w:rPr>
        <w:t>to Abraham and his descendants forever.”</w:t>
      </w:r>
    </w:p>
    <w:p>
      <w:pPr>
        <w:pStyle w:val="ListBullet"/>
        <w:spacing w:line="240" w:lineRule="auto"/>
        <w:ind w:left="720"/>
      </w:pPr>
      <w:r>
        <w:rPr>
          <w:lang w:val="en_US" w:bidi="en_US"/>
        </w:rPr>
      </w:r>
      <w:r>
        <w:rPr>
          <w:lang w:val="en_US" w:bidi="en_US"/>
        </w:rPr>
        <w:t>He made this permanent promise to Abraham and to his family after him.”</w:t>
      </w:r>
    </w:p>
    <w:p>
      <w:pPr>
        <w:pStyle w:val="ListBullet"/>
        <w:spacing w:line="240" w:lineRule="auto"/>
        <w:ind w:left="720"/>
      </w:pPr>
      <w:r>
        <w:rPr>
          <w:lang w:val="en_US" w:bidi="en_US"/>
        </w:rPr>
      </w:r>
      <w:r>
        <w:rPr>
          <w:lang w:val="en_US" w:bidi="en_US"/>
        </w:rPr>
        <w:t>that is, to Abraham and to all of the descendants he would ever have.”</w:t>
      </w:r>
    </w:p>
    <w:p>
      <w:pPr/>
      <w:r>
        <w:rPr>
          <w:lang w:val="en_US" w:bidi="en_US"/>
        </w:rPr>
      </w:r>
      <w:r>
        <w:rPr>
          <w:b/>
          <w:lang w:val="en_US" w:bidi="en_US"/>
        </w:rPr>
        <w:t>to Abraham and his descendants forever:</w:t>
      </w:r>
      <w:r>
        <w:rPr>
          <w:lang w:val="en_US" w:bidi="en_US"/>
        </w:rPr>
        <w:t xml:space="preserve"> There are two interpretations of the way this clause relates to the context:</w:t>
      </w:r>
    </w:p>
    <w:p>
      <w:pPr>
        <w:pStyle w:val="ListNumber"/>
        <w:numPr>
          <w:ilvl w:val="0"/>
          <w:numId w:val="24"/>
        </w:numPr>
        <w:spacing w:line="240" w:lineRule="auto"/>
        <w:ind w:left="720"/>
      </w:pPr>
      <w:r>
        <w:rPr>
          <w:lang w:val="en_US" w:bidi="en_US"/>
        </w:rPr>
      </w:r>
      <w:r>
        <w:rPr>
          <w:i/>
          <w:lang w:val="en_US" w:bidi="en_US"/>
        </w:rPr>
        <w:t>Abraham and his descendants</w:t>
      </w:r>
      <w:r>
        <w:rPr>
          <w:lang w:val="en_US" w:bidi="en_US"/>
        </w:rPr>
        <w:t xml:space="preserve"> are the ones who received God’s </w:t>
      </w:r>
      <w:r>
        <w:rPr>
          <w:u w:val="single"/>
          <w:lang w:val="en_US" w:bidi="en_US"/>
        </w:rPr>
        <w:t>mercy</w:t>
      </w:r>
      <w:r>
        <w:rPr>
          <w:lang w:val="en_US" w:bidi="en_US"/>
        </w:rPr>
        <w:t xml:space="preserve"> that is mentioned in 1:54b. For example:</w:t>
      </w:r>
      <w:r>
        <w:rPr>
          <w:lang w:val="en_US" w:bidi="en_US"/>
        </w:rPr>
        <w:t xml:space="preserve">He has remembered to show mercy to Abraham and to all his descendants forever! (GNT) </w:t>
      </w:r>
      <w:r>
        <w:rPr>
          <w:i/>
          <w:lang w:val="en_US" w:bidi="en_US"/>
        </w:rPr>
        <w:t>(BSB, NIV, NJB, GNT, REB, and the majority of commentators)</w:t>
      </w:r>
    </w:p>
    <w:p>
      <w:pPr>
        <w:pStyle w:val="ListNumber"/>
        <w:spacing w:line="240" w:lineRule="auto"/>
        <w:ind w:left="720"/>
      </w:pPr>
      <w:r>
        <w:rPr>
          <w:lang w:val="en_US" w:bidi="en_US"/>
        </w:rPr>
      </w:r>
      <w:r>
        <w:rPr>
          <w:i/>
          <w:lang w:val="en_US" w:bidi="en_US"/>
        </w:rPr>
        <w:t>Abraham and his descendants</w:t>
      </w:r>
      <w:r>
        <w:rPr>
          <w:lang w:val="en_US" w:bidi="en_US"/>
        </w:rPr>
        <w:t xml:space="preserve"> are the ones who received God’s </w:t>
      </w:r>
      <w:r>
        <w:rPr>
          <w:u w:val="single"/>
          <w:lang w:val="en_US" w:bidi="en_US"/>
        </w:rPr>
        <w:t>promise</w:t>
      </w:r>
      <w:r>
        <w:rPr>
          <w:lang w:val="en_US" w:bidi="en_US"/>
        </w:rPr>
        <w:t xml:space="preserve"> that is mentioned in 1:55b. In this interpretation, </w:t>
      </w:r>
      <w:r>
        <w:rPr>
          <w:i/>
          <w:lang w:val="en_US" w:bidi="en_US"/>
        </w:rPr>
        <w:t>Abraham and his descendants</w:t>
      </w:r>
      <w:r>
        <w:rPr>
          <w:lang w:val="en_US" w:bidi="en_US"/>
        </w:rPr>
        <w:t xml:space="preserve"> has the same meaning as “our fathers” in 1:55b. This means that God spoke a promise to our fathers/ancestors who are </w:t>
      </w:r>
      <w:r>
        <w:rPr>
          <w:i/>
          <w:lang w:val="en_US" w:bidi="en_US"/>
        </w:rPr>
        <w:t>Abraham and his descendants</w:t>
      </w:r>
      <w:r>
        <w:rPr>
          <w:lang w:val="en_US" w:bidi="en_US"/>
        </w:rPr>
        <w:t>. For example:</w:t>
      </w:r>
      <w:r>
        <w:rPr>
          <w:lang w:val="en_US" w:bidi="en_US"/>
        </w:rPr>
        <w:t xml:space="preserve">as he promised to our ancestors, to Abraham and to his children forever (NCV) </w:t>
      </w:r>
      <w:r>
        <w:rPr>
          <w:i/>
          <w:lang w:val="en_US" w:bidi="en_US"/>
        </w:rPr>
        <w:t>(RSV, CEV, GW, NET, NLT, NASB, NCV, KJV, JBP)</w:t>
      </w:r>
    </w:p>
    <w:p>
      <w:pPr/>
      <w:r>
        <w:rPr>
          <w:lang w:val="en_US" w:bidi="en_US"/>
        </w:rPr>
      </w:r>
      <w:r>
        <w:rPr>
          <w:lang w:val="en_US" w:bidi="en_US"/>
        </w:rPr>
        <w:t>It is recommended that you follow interpretation (1).</w:t>
      </w:r>
      <w:r>
        <w:rPr>
          <w:lang w:val="en_US" w:bidi="en_US"/>
        </w:rPr>
        <w:t xml:space="preserve">The phrase </w:t>
      </w:r>
      <w:r>
        <w:rPr>
          <w:i/>
          <w:lang w:val="en_US" w:bidi="en_US"/>
        </w:rPr>
        <w:t>Abraham and his descendants</w:t>
      </w:r>
      <w:r>
        <w:rPr>
          <w:lang w:val="en_US" w:bidi="en_US"/>
        </w:rPr>
        <w:t xml:space="preserve"> is in a different case than the phrase “our fathers,” so they are probably not the objects of the same verb.</w:t>
      </w:r>
    </w:p>
    <w:p>
      <w:pPr/>
      <w:r>
        <w:rPr>
          <w:lang w:val="en_US" w:bidi="en_US"/>
        </w:rPr>
      </w:r>
      <w:r>
        <w:rPr>
          <w:b/>
          <w:lang w:val="en_US" w:bidi="en_US"/>
        </w:rPr>
        <w:t>to Abraham and his descendants:</w:t>
      </w:r>
      <w:r>
        <w:rPr>
          <w:lang w:val="en_US" w:bidi="en_US"/>
        </w:rPr>
        <w:t xml:space="preserve"> As mentioned above, the phrase </w:t>
      </w:r>
      <w:r>
        <w:rPr>
          <w:i/>
          <w:lang w:val="en_US" w:bidi="en_US"/>
        </w:rPr>
        <w:t>Abraham and his descendants</w:t>
      </w:r>
      <w:r>
        <w:rPr>
          <w:lang w:val="en_US" w:bidi="en_US"/>
        </w:rPr>
        <w:t xml:space="preserve"> is connected to the word “merciful” in 1:54b. God showed his mercy to Abraham and Abraham’s descendants by sending the Messiah. This phrase is another way to refer to Israel, since Abraham was the ancestor of the Israelites.</w:t>
      </w:r>
    </w:p>
    <w:p>
      <w:pPr>
        <w:pStyle w:val="Heading6"/>
      </w:pPr>
      <w:r>
        <w:rPr>
          <w:b/>
          <w:lang w:val="en_US" w:bidi="en_US"/>
        </w:rPr>
        <w:t>General Comment on 1:54–55</w:t>
      </w:r>
    </w:p>
    <w:p>
      <w:pPr/>
      <w:r>
        <w:rPr>
          <w:lang w:val="en_US" w:bidi="en_US"/>
        </w:rPr>
      </w:r>
      <w:r>
        <w:rPr>
          <w:lang w:val="en_US" w:bidi="en_US"/>
        </w:rPr>
        <w:t>In some languages it may be helpful to reorder these verses in order to put God’s promise to their ancestors first (1:55b). Here is one way you could do that:</w:t>
      </w:r>
    </w:p>
    <w:p>
      <w:pPr/>
      <w:r>
        <w:rPr>
          <w:lang w:val="en_US" w:bidi="en_US"/>
        </w:rPr>
      </w:r>
      <w:r>
        <w:rPr>
          <w:vertAlign w:val="superscript"/>
          <w:lang w:val="en_US" w:bidi="en_US"/>
        </w:rPr>
        <w:t>55b</w:t>
      </w:r>
      <w:r>
        <w:rPr>
          <w:lang w:val="en_US" w:bidi="en_US"/>
        </w:rPr>
        <w:t xml:space="preserve">God promised our ancestors that </w:t>
      </w:r>
      <w:r>
        <w:rPr>
          <w:vertAlign w:val="superscript"/>
          <w:lang w:val="en_US" w:bidi="en_US"/>
        </w:rPr>
        <w:t>54a</w:t>
      </w:r>
      <w:r>
        <w:rPr>
          <w:lang w:val="en_US" w:bidi="en_US"/>
        </w:rPr>
        <w:t xml:space="preserve">he would help his servants the Israelites. </w:t>
      </w:r>
      <w:r>
        <w:rPr>
          <w:lang w:val="en_US" w:bidi="en_US"/>
        </w:rPr>
        <w:t>Now he has fulfilled his promise.</w:t>
      </w:r>
      <w:r>
        <w:rPr>
          <w:lang w:val="en_US" w:bidi="en_US"/>
        </w:rPr>
        <w:t xml:space="preserve"> </w:t>
      </w:r>
      <w:r>
        <w:rPr>
          <w:vertAlign w:val="superscript"/>
          <w:lang w:val="en_US" w:bidi="en_US"/>
        </w:rPr>
        <w:t>54b</w:t>
      </w:r>
      <w:r>
        <w:rPr>
          <w:lang w:val="en_US" w:bidi="en_US"/>
        </w:rPr>
        <w:t xml:space="preserve">He has remembered to be merciful </w:t>
      </w:r>
      <w:r>
        <w:rPr>
          <w:vertAlign w:val="superscript"/>
          <w:lang w:val="en_US" w:bidi="en_US"/>
        </w:rPr>
        <w:t>55a</w:t>
      </w:r>
      <w:r>
        <w:rPr>
          <w:lang w:val="en_US" w:bidi="en_US"/>
        </w:rPr>
        <w:t>to Abraham and to all of his descendants.</w:t>
      </w:r>
      <w:r>
        <w:rPr>
          <w:lang w:val="en_US" w:bidi="en_US"/>
        </w:rPr>
      </w:r>
      <w:r>
        <w:rPr>
          <w:lang w:val="en_US" w:bidi="en_US"/>
        </w:rPr>
      </w:r>
    </w:p>
    <w:p>
      <w:pPr/>
      <w:r>
        <w:rPr>
          <w:lang w:val="en_US" w:bidi="en_US"/>
        </w:rPr>
      </w:r>
    </w:p>
    <w:p>
      <w:pPr>
        <w:pStyle w:val="Heading2"/>
      </w:pPr>
      <w:r>
        <w:rPr>
          <w:lang w:val="en_US" w:bidi="en_US"/>
        </w:rPr>
        <w:t>Luke 1:56</w:t>
      </w:r>
      <w:r>
        <w:rPr>
          <w:lang w:val="en_US" w:bidi="en_US"/>
        </w:rPr>
      </w:r>
    </w:p>
    <w:p>
      <w:pPr>
        <w:pStyle w:val="Heading4"/>
      </w:pPr>
      <w:r>
        <w:rPr>
          <w:lang w:val="en_US" w:bidi="en_US"/>
        </w:rPr>
        <w:t>Section 1:46–56: Mary praised God</w:t>
      </w:r>
    </w:p>
    <w:p>
      <w:pPr/>
      <w:r>
        <w:rPr>
          <w:lang w:val="en_US" w:bidi="en_US"/>
        </w:rPr>
      </w:r>
      <w:r>
        <w:rPr>
          <w:lang w:val="en_US" w:bidi="en_US"/>
        </w:rPr>
        <w:t>In this section Mary spoke a poem or song of praise to God.</w:t>
      </w:r>
      <w:r>
        <w:rPr>
          <w:lang w:val="en_US" w:bidi="en_US"/>
        </w:rPr>
        <w:t>Many of the lines in this song of praise are echoes of other songs of praise in the Old Testament. In fact, one scholar points out that of the ten verses of Mary’s song, eight are very similar to Old Testament verses. For example, in 1:47 Mary said that “my spirit rejoices in God my Savior.” Compare this with Habakkuk 3:18, “I will rejoice in the God of my salvation.” Mary may have had these thoughts stored in her mind because she had heard people read the Scriptures many times in synagogue services. However, in her song, Mary combined the thoughts of Old Testament songs in her own original way.</w:t>
      </w:r>
      <w:r>
        <w:rPr>
          <w:lang w:val="en_US" w:bidi="en_US"/>
        </w:rPr>
        <w:t xml:space="preserve"> In 1:46–49 she praised God for blessing her personally. In 1:50 she praised God because he is merciful to all people who fear him. In 1:51–53 she spoke of the way God had rejected the proud, the powerful, and the rich. She spoke of the way he had instead chosen to bless those who are poor and lowly. In 1:54–55 she praised God for helping the people of Israel.</w:t>
      </w:r>
    </w:p>
    <w:p>
      <w:pPr/>
      <w:r>
        <w:rPr>
          <w:lang w:val="en_US" w:bidi="en_US"/>
        </w:rPr>
      </w:r>
      <w:r>
        <w:rPr>
          <w:lang w:val="en_US" w:bidi="en_US"/>
        </w:rPr>
        <w:t>When Mary talked about what God had done, she was not just talking about the past. She was talking about what God was doing at that time and about what he would continue to do through the Messiah. By choosing Mary to be the mother of the Messiah, God had shown mercy to her as a poor and lowly person. He had also shown mercy to the people of Israel, because the Messiah would save them. This was similar to the way he had worked in the past, showing mercy to his people and helping them against their enemies.</w:t>
      </w:r>
    </w:p>
    <w:p>
      <w:pPr/>
      <w:r>
        <w:rPr>
          <w:lang w:val="en_US" w:bidi="en_US"/>
        </w:rPr>
      </w:r>
      <w:r>
        <w:rPr>
          <w:lang w:val="en_US" w:bidi="en_US"/>
        </w:rPr>
        <w:t>It may be good to write this song (1:46–55) as poetry in your translation, using separate lines at appropriate places. For examples, see 1:46–55 in the RSV, NIV, and GNT. There may be special phrases in your language that are appropriate to use in poetry that you do not use in ordinary conversation. Because this song is poetry, you may be able to use those phrases here.</w:t>
      </w:r>
    </w:p>
    <w:p>
      <w:pPr/>
      <w:r>
        <w:rPr>
          <w:lang w:val="en_US" w:bidi="en_US"/>
        </w:rPr>
      </w:r>
      <w:r>
        <w:rPr>
          <w:lang w:val="en_US" w:bidi="en_US"/>
        </w:rPr>
        <w:t>Some other possible headings for this section are:</w:t>
      </w:r>
      <w:r>
        <w:rPr>
          <w:lang w:val="en_US" w:bidi="en_US"/>
        </w:rPr>
        <w:t>The name of Mary’s song in Latin, the Magnificat, is well-known in some areas of the world. If this is true in your area, you may be able to use this name as your heading or as part of the heading. For example, the NLT has “The Magnificat: Mary’s Song of Praise.”</w:t>
      </w:r>
    </w:p>
    <w:p>
      <w:pPr/>
      <w:r>
        <w:rPr>
          <w:lang w:val="en_US" w:bidi="en_US"/>
        </w:rPr>
      </w:r>
      <w:r>
        <w:rPr>
          <w:lang w:val="en_US" w:bidi="en_US"/>
        </w:rPr>
        <w:t>Mary’s song of praise to God</w:t>
      </w:r>
    </w:p>
    <w:p>
      <w:pPr/>
      <w:r>
        <w:rPr>
          <w:lang w:val="en_US" w:bidi="en_US"/>
        </w:rPr>
      </w:r>
      <w:r>
        <w:rPr>
          <w:lang w:val="en_US" w:bidi="en_US"/>
        </w:rPr>
        <w:t>Mary praised God for the kindness he was showing to Israel and to her</w:t>
      </w:r>
    </w:p>
    <w:p>
      <w:pPr>
        <w:pStyle w:val="Heading5"/>
      </w:pPr>
      <w:r>
        <w:rPr>
          <w:lang w:val="en_US" w:bidi="en_US"/>
        </w:rPr>
        <w:t>1:56a</w:t>
      </w:r>
    </w:p>
    <w:p>
      <w:pPr/>
      <w:r>
        <w:rPr>
          <w:lang w:val="en_US" w:bidi="en_US"/>
        </w:rPr>
      </w:r>
      <w:r>
        <w:rPr>
          <w:b/>
          <w:lang w:val="en_US" w:bidi="en_US"/>
        </w:rPr>
        <w:t>Mary stayed with Elizabeth for about three months</w:t>
      </w:r>
    </w:p>
    <w:p>
      <w:pPr>
        <w:pStyle w:val="ListBullet"/>
        <w:spacing w:line="240" w:lineRule="auto"/>
        <w:ind w:left="720"/>
      </w:pPr>
      <w:r>
        <w:rPr>
          <w:lang w:val="en_US" w:bidi="en_US"/>
        </w:rPr>
      </w:r>
      <w:r>
        <w:rPr>
          <w:lang w:val="en_US" w:bidi="en_US"/>
        </w:rPr>
        <w:t>Mary visited Elizabeth for about three months,</w:t>
      </w:r>
    </w:p>
    <w:p>
      <w:pPr>
        <w:pStyle w:val="ListBullet"/>
        <w:spacing w:line="240" w:lineRule="auto"/>
        <w:ind w:left="720"/>
      </w:pPr>
      <w:r>
        <w:rPr>
          <w:lang w:val="en_US" w:bidi="en_US"/>
        </w:rPr>
      </w:r>
      <w:r>
        <w:rPr>
          <w:lang w:val="en_US" w:bidi="en_US"/>
        </w:rPr>
        <w:t>Mary remained in Elizabeth</w:t>
      </w:r>
      <w:r>
        <w:rPr>
          <w:lang w:val="en_US" w:bidi="en_US"/>
        </w:rPr>
        <w:t>’s home</w:t>
      </w:r>
      <w:r>
        <w:rPr>
          <w:lang w:val="en_US" w:bidi="en_US"/>
        </w:rPr>
        <w:t xml:space="preserve"> about three months.</w:t>
      </w:r>
    </w:p>
    <w:p>
      <w:pPr>
        <w:pStyle w:val="Heading5"/>
      </w:pPr>
      <w:r>
        <w:rPr>
          <w:lang w:val="en_US" w:bidi="en_US"/>
        </w:rPr>
        <w:t>1:56b</w:t>
      </w:r>
    </w:p>
    <w:p>
      <w:pPr/>
      <w:r>
        <w:rPr>
          <w:lang w:val="en_US" w:bidi="en_US"/>
        </w:rPr>
      </w:r>
      <w:r>
        <w:rPr>
          <w:b/>
          <w:lang w:val="en_US" w:bidi="en_US"/>
        </w:rPr>
        <w:t>and then returned home.</w:t>
      </w:r>
    </w:p>
    <w:p>
      <w:pPr>
        <w:pStyle w:val="ListBullet"/>
        <w:spacing w:line="240" w:lineRule="auto"/>
        <w:ind w:left="720"/>
      </w:pPr>
      <w:r>
        <w:rPr>
          <w:lang w:val="en_US" w:bidi="en_US"/>
        </w:rPr>
      </w:r>
      <w:r>
        <w:rPr>
          <w:lang w:val="en_US" w:bidi="en_US"/>
        </w:rPr>
        <w:t>and then she went back to her home.</w:t>
      </w:r>
    </w:p>
    <w:p>
      <w:pPr>
        <w:pStyle w:val="ListBullet"/>
        <w:spacing w:line="240" w:lineRule="auto"/>
        <w:ind w:left="720"/>
      </w:pPr>
      <w:r>
        <w:rPr>
          <w:lang w:val="en_US" w:bidi="en_US"/>
        </w:rPr>
      </w:r>
      <w:r>
        <w:rPr>
          <w:lang w:val="en_US" w:bidi="en_US"/>
        </w:rPr>
        <w:t xml:space="preserve">Then she went back to her </w:t>
      </w:r>
      <w:r>
        <w:rPr>
          <w:lang w:val="en_US" w:bidi="en_US"/>
        </w:rPr>
        <w:t>own</w:t>
      </w:r>
      <w:r>
        <w:rPr>
          <w:lang w:val="en_US" w:bidi="en_US"/>
        </w:rPr>
        <w:t xml:space="preserve"> home </w:t>
      </w:r>
      <w:r>
        <w:rPr>
          <w:lang w:val="en_US" w:bidi="en_US"/>
        </w:rPr>
        <w:t>in Nazareth</w:t>
      </w:r>
      <w:r>
        <w:rPr>
          <w:lang w:val="en_US" w:bidi="en_US"/>
        </w:rPr>
        <w:t>.</w:t>
      </w:r>
    </w:p>
    <w:p>
      <w:pPr>
        <w:pStyle w:val="Heading5"/>
      </w:pPr>
      <w:r>
        <w:rPr>
          <w:lang w:val="en_US" w:bidi="en_US"/>
        </w:rPr>
        <w:t>1:56a–b</w:t>
      </w:r>
    </w:p>
    <w:p>
      <w:pPr/>
      <w:r>
        <w:rPr>
          <w:lang w:val="en_US" w:bidi="en_US"/>
        </w:rPr>
      </w:r>
      <w:r>
        <w:rPr>
          <w:b/>
          <w:lang w:val="en_US" w:bidi="en_US"/>
        </w:rPr>
        <w:t>Mary stayed with Elizabeth for about three months and then returned home:</w:t>
      </w:r>
      <w:r>
        <w:rPr>
          <w:lang w:val="en_US" w:bidi="en_US"/>
        </w:rPr>
        <w:t xml:space="preserve"> This statement tells the length of Mary’s whole visit to Elizabeth. After her visit, Mary returned to her home in Nazareth.</w:t>
      </w:r>
      <w:r>
        <w:rPr>
          <w:lang w:val="en_US" w:bidi="en_US"/>
        </w:rPr>
      </w:r>
      <w:r>
        <w:rPr>
          <w:lang w:val="en_US" w:bidi="en_US"/>
        </w:rPr>
      </w:r>
    </w:p>
    <w:p>
      <w:pPr/>
      <w:r>
        <w:rPr>
          <w:lang w:val="en_US" w:bidi="en_US"/>
        </w:rPr>
      </w:r>
    </w:p>
    <w:p>
      <w:pPr>
        <w:pStyle w:val="Heading2"/>
      </w:pPr>
      <w:r>
        <w:rPr>
          <w:lang w:val="en_US" w:bidi="en_US"/>
        </w:rPr>
        <w:t>Luke 1:57</w:t>
      </w:r>
      <w:r>
        <w:rPr>
          <w:lang w:val="en_US" w:bidi="en_US"/>
        </w:rPr>
      </w:r>
    </w:p>
    <w:p>
      <w:pPr>
        <w:pStyle w:val="Heading4"/>
      </w:pPr>
      <w:r>
        <w:rPr>
          <w:lang w:val="en_US" w:bidi="en_US"/>
        </w:rPr>
        <w:t>Section 1:57–66: John the Baptizer was born and received his name</w:t>
      </w:r>
    </w:p>
    <w:p>
      <w:pPr/>
      <w:r>
        <w:rPr>
          <w:lang w:val="en_US" w:bidi="en_US"/>
        </w:rPr>
      </w:r>
      <w:r>
        <w:rPr>
          <w:lang w:val="en_US" w:bidi="en_US"/>
        </w:rPr>
        <w:t>In this section, Elizabeth gave birth to a son, and she and his father gave him the name John. John received this name at the time when he was circumcised. He was the one who was later called John the Baptizer.</w:t>
      </w:r>
    </w:p>
    <w:p>
      <w:pPr/>
      <w:r>
        <w:rPr>
          <w:lang w:val="en_US" w:bidi="en_US"/>
        </w:rPr>
      </w:r>
      <w:r>
        <w:rPr>
          <w:lang w:val="en_US" w:bidi="en_US"/>
        </w:rPr>
        <w:t>It was Jewish custom to circumcise a baby boy one week after his birth. The circumcision commonly took place at the family’s home. The father or a man who specialized in doing circumcision would cut off the skin at the end of the baby’s penis. This was a sign in each boy’s body that he was part of Israel and included in the covenant that God had made with Israel. Neighbors and relatives joined in the celebration.</w:t>
      </w:r>
    </w:p>
    <w:p>
      <w:pPr/>
      <w:r>
        <w:rPr>
          <w:lang w:val="en_US" w:bidi="en_US"/>
        </w:rPr>
      </w:r>
      <w:r>
        <w:rPr>
          <w:lang w:val="en_US" w:bidi="en_US"/>
        </w:rPr>
        <w:t>God had shown his power in causing Elizabeth to become pregnant when she was old and had been unable to have children. When the baby was circumcised, God again showed his power by restoring Zechariah’s ability to speak. The unusual events in connection with John’s birth were told throughout the hill country of Judah. As a result, people thought about these things and felt awe and fear to see God working in that powerful way among them.</w:t>
      </w:r>
    </w:p>
    <w:p>
      <w:pPr/>
      <w:r>
        <w:rPr>
          <w:lang w:val="en_US" w:bidi="en_US"/>
        </w:rPr>
      </w:r>
      <w:r>
        <w:rPr>
          <w:lang w:val="en_US" w:bidi="en_US"/>
        </w:rPr>
        <w:t>Some other possible headings for this section are:</w:t>
      </w:r>
    </w:p>
    <w:p>
      <w:pPr/>
      <w:r>
        <w:rPr>
          <w:lang w:val="en_US" w:bidi="en_US"/>
        </w:rPr>
      </w:r>
      <w:r>
        <w:rPr>
          <w:lang w:val="en_US" w:bidi="en_US"/>
        </w:rPr>
        <w:t>Elizabeth gave birth to John</w:t>
      </w:r>
    </w:p>
    <w:p>
      <w:pPr/>
      <w:r>
        <w:rPr>
          <w:lang w:val="en_US" w:bidi="en_US"/>
        </w:rPr>
      </w:r>
      <w:r>
        <w:rPr>
          <w:lang w:val="en_US" w:bidi="en_US"/>
        </w:rPr>
        <w:t>Elizabeth gave birth to a baby who was circumcised and named John</w:t>
      </w:r>
    </w:p>
    <w:p>
      <w:pPr/>
      <w:r>
        <w:rPr>
          <w:lang w:val="en_US" w:bidi="en_US"/>
        </w:rPr>
      </w:r>
      <w:r>
        <w:rPr>
          <w:lang w:val="en_US" w:bidi="en_US"/>
        </w:rPr>
        <w:t>The birth and circumcision of John the Baptizer</w:t>
      </w:r>
    </w:p>
    <w:p>
      <w:pPr>
        <w:pStyle w:val="Heading5"/>
      </w:pPr>
      <w:r>
        <w:rPr>
          <w:lang w:val="en_US" w:bidi="en_US"/>
        </w:rPr>
        <w:t>1:57</w:t>
      </w:r>
    </w:p>
    <w:p>
      <w:pPr/>
      <w:r>
        <w:rPr>
          <w:lang w:val="en_US" w:bidi="en_US"/>
        </w:rPr>
      </w:r>
      <w:r>
        <w:rPr>
          <w:b/>
          <w:lang w:val="en_US" w:bidi="en_US"/>
        </w:rPr>
        <w:t>When the time came for Elizabeth to have her child, she gave birth to a son.</w:t>
      </w:r>
    </w:p>
    <w:p>
      <w:pPr>
        <w:pStyle w:val="ListBullet"/>
        <w:spacing w:line="240" w:lineRule="auto"/>
        <w:ind w:left="720"/>
      </w:pPr>
      <w:r>
        <w:rPr>
          <w:lang w:val="en_US" w:bidi="en_US"/>
        </w:rPr>
      </w:r>
      <w:r>
        <w:rPr>
          <w:lang w:val="en_US" w:bidi="en_US"/>
        </w:rPr>
        <w:t>¶ When Elizabeth’s pregnancy ended, she had a baby boy.</w:t>
      </w:r>
    </w:p>
    <w:p>
      <w:pPr>
        <w:pStyle w:val="ListBullet"/>
        <w:spacing w:line="240" w:lineRule="auto"/>
        <w:ind w:left="720"/>
      </w:pPr>
      <w:r>
        <w:rPr>
          <w:lang w:val="en_US" w:bidi="en_US"/>
        </w:rPr>
      </w:r>
      <w:r>
        <w:rPr>
          <w:lang w:val="en_US" w:bidi="en_US"/>
        </w:rPr>
        <w:t>¶ The time came for Elizabeth to give birth, and she had/bore a son.</w:t>
      </w:r>
    </w:p>
    <w:p>
      <w:pPr/>
      <w:r>
        <w:rPr>
          <w:lang w:val="en_US" w:bidi="en_US"/>
        </w:rPr>
      </w:r>
      <w:r>
        <w:rPr>
          <w:b/>
          <w:lang w:val="en_US" w:bidi="en_US"/>
        </w:rPr>
        <w:t>When the time came for Elizabeth to have her child, she gave birth to a son:</w:t>
      </w:r>
      <w:r>
        <w:rPr>
          <w:lang w:val="en_US" w:bidi="en_US"/>
        </w:rPr>
        <w:t xml:space="preserve"> This verse indicates that Elizabeth’s pregnancy ended and she gave birth to a son. Use a natural way in your language to express this. In some languages you may use an idiomatic expression.</w:t>
      </w:r>
    </w:p>
    <w:p>
      <w:pPr/>
      <w:r>
        <w:rPr>
          <w:lang w:val="en_US" w:bidi="en_US"/>
        </w:rPr>
      </w:r>
      <w:r>
        <w:rPr>
          <w:b/>
          <w:lang w:val="en_US" w:bidi="en_US"/>
        </w:rPr>
        <w:t>When</w:t>
      </w:r>
      <w:r>
        <w:rPr>
          <w:lang w:val="en_US" w:bidi="en_US"/>
        </w:rPr>
        <w:t xml:space="preserve"> </w:t>
      </w:r>
      <w:r>
        <w:rPr>
          <w:b/>
          <w:lang w:val="en_US" w:bidi="en_US"/>
        </w:rPr>
        <w:t xml:space="preserve">In Greek, this part of the verse begins with a conjunction that the BSB translates as </w:t>
      </w:r>
      <w:r>
        <w:rPr>
          <w:i/>
          <w:lang w:val="en_US" w:bidi="en_US"/>
        </w:rPr>
        <w:t>When</w:t>
      </w:r>
      <w:r>
        <w:rPr>
          <w:lang w:val="en_US" w:bidi="en_US"/>
        </w:rPr>
        <w:t>. This makes 1:57a a time clause. Many English versions translate this conjunction as “Now,” so that 1:57a introduces the next event. Translate it in a natural way in your language. In some languages a conjunction may not be needed.</w:t>
      </w:r>
      <w:r>
        <w:rPr>
          <w:lang w:val="en_US" w:bidi="en_US"/>
        </w:rPr>
      </w:r>
      <w:r>
        <w:rPr>
          <w:lang w:val="en_US" w:bidi="en_US"/>
        </w:rPr>
      </w:r>
    </w:p>
    <w:p>
      <w:pPr/>
      <w:r>
        <w:rPr>
          <w:lang w:val="en_US" w:bidi="en_US"/>
        </w:rPr>
      </w:r>
    </w:p>
    <w:p>
      <w:pPr>
        <w:pStyle w:val="Heading2"/>
      </w:pPr>
      <w:r>
        <w:rPr>
          <w:lang w:val="en_US" w:bidi="en_US"/>
        </w:rPr>
        <w:t>Luke 1:58</w:t>
      </w:r>
      <w:r>
        <w:rPr>
          <w:lang w:val="en_US" w:bidi="en_US"/>
        </w:rPr>
      </w:r>
    </w:p>
    <w:p>
      <w:pPr>
        <w:pStyle w:val="Heading4"/>
      </w:pPr>
      <w:r>
        <w:rPr>
          <w:lang w:val="en_US" w:bidi="en_US"/>
        </w:rPr>
        <w:t>Section 1:57–66: John the Baptizer was born and received his name</w:t>
      </w:r>
    </w:p>
    <w:p>
      <w:pPr/>
      <w:r>
        <w:rPr>
          <w:lang w:val="en_US" w:bidi="en_US"/>
        </w:rPr>
      </w:r>
      <w:r>
        <w:rPr>
          <w:lang w:val="en_US" w:bidi="en_US"/>
        </w:rPr>
        <w:t>In this section, Elizabeth gave birth to a son, and she and his father gave him the name John. John received this name at the time when he was circumcised. He was the one who was later called John the Baptizer.</w:t>
      </w:r>
    </w:p>
    <w:p>
      <w:pPr/>
      <w:r>
        <w:rPr>
          <w:lang w:val="en_US" w:bidi="en_US"/>
        </w:rPr>
      </w:r>
      <w:r>
        <w:rPr>
          <w:lang w:val="en_US" w:bidi="en_US"/>
        </w:rPr>
        <w:t>It was Jewish custom to circumcise a baby boy one week after his birth. The circumcision commonly took place at the family’s home. The father or a man who specialized in doing circumcision would cut off the skin at the end of the baby’s penis. This was a sign in each boy’s body that he was part of Israel and included in the covenant that God had made with Israel. Neighbors and relatives joined in the celebration.</w:t>
      </w:r>
    </w:p>
    <w:p>
      <w:pPr/>
      <w:r>
        <w:rPr>
          <w:lang w:val="en_US" w:bidi="en_US"/>
        </w:rPr>
      </w:r>
      <w:r>
        <w:rPr>
          <w:lang w:val="en_US" w:bidi="en_US"/>
        </w:rPr>
        <w:t>God had shown his power in causing Elizabeth to become pregnant when she was old and had been unable to have children. When the baby was circumcised, God again showed his power by restoring Zechariah’s ability to speak. The unusual events in connection with John’s birth were told throughout the hill country of Judah. As a result, people thought about these things and felt awe and fear to see God working in that powerful way among them.</w:t>
      </w:r>
    </w:p>
    <w:p>
      <w:pPr/>
      <w:r>
        <w:rPr>
          <w:lang w:val="en_US" w:bidi="en_US"/>
        </w:rPr>
      </w:r>
      <w:r>
        <w:rPr>
          <w:lang w:val="en_US" w:bidi="en_US"/>
        </w:rPr>
        <w:t>Some other possible headings for this section are:</w:t>
      </w:r>
    </w:p>
    <w:p>
      <w:pPr/>
      <w:r>
        <w:rPr>
          <w:lang w:val="en_US" w:bidi="en_US"/>
        </w:rPr>
      </w:r>
      <w:r>
        <w:rPr>
          <w:lang w:val="en_US" w:bidi="en_US"/>
        </w:rPr>
        <w:t>Elizabeth gave birth to John</w:t>
      </w:r>
    </w:p>
    <w:p>
      <w:pPr/>
      <w:r>
        <w:rPr>
          <w:lang w:val="en_US" w:bidi="en_US"/>
        </w:rPr>
      </w:r>
      <w:r>
        <w:rPr>
          <w:lang w:val="en_US" w:bidi="en_US"/>
        </w:rPr>
        <w:t>Elizabeth gave birth to a baby who was circumcised and named John</w:t>
      </w:r>
    </w:p>
    <w:p>
      <w:pPr/>
      <w:r>
        <w:rPr>
          <w:lang w:val="en_US" w:bidi="en_US"/>
        </w:rPr>
      </w:r>
      <w:r>
        <w:rPr>
          <w:lang w:val="en_US" w:bidi="en_US"/>
        </w:rPr>
        <w:t>The birth and circumcision of John the Baptizer</w:t>
      </w:r>
    </w:p>
    <w:p>
      <w:pPr>
        <w:pStyle w:val="Heading5"/>
      </w:pPr>
      <w:r>
        <w:rPr>
          <w:lang w:val="en_US" w:bidi="en_US"/>
        </w:rPr>
        <w:t>1:58a</w:t>
      </w:r>
    </w:p>
    <w:p>
      <w:pPr/>
      <w:r>
        <w:rPr>
          <w:lang w:val="en_US" w:bidi="en_US"/>
        </w:rPr>
      </w:r>
      <w:r>
        <w:rPr>
          <w:b/>
          <w:lang w:val="en_US" w:bidi="en_US"/>
        </w:rPr>
        <w:t>Her neighbors and relatives heard</w:t>
      </w:r>
    </w:p>
    <w:p>
      <w:pPr>
        <w:pStyle w:val="ListBullet"/>
        <w:spacing w:line="240" w:lineRule="auto"/>
        <w:ind w:left="720"/>
      </w:pPr>
      <w:r>
        <w:rPr>
          <w:lang w:val="en_US" w:bidi="en_US"/>
        </w:rPr>
      </w:r>
      <w:r>
        <w:rPr>
          <w:lang w:val="en_US" w:bidi="en_US"/>
        </w:rPr>
        <w:t>Her neighbors and relatives/kinsfolk heard</w:t>
      </w:r>
    </w:p>
    <w:p>
      <w:pPr>
        <w:pStyle w:val="ListBullet"/>
        <w:spacing w:line="240" w:lineRule="auto"/>
        <w:ind w:left="720"/>
      </w:pPr>
      <w:r>
        <w:rPr>
          <w:lang w:val="en_US" w:bidi="en_US"/>
        </w:rPr>
      </w:r>
      <w:r>
        <w:rPr>
          <w:lang w:val="en_US" w:bidi="en_US"/>
        </w:rPr>
        <w:t>When her/Elizabeth’s family and neighbors were told</w:t>
      </w:r>
    </w:p>
    <w:p>
      <w:pPr>
        <w:pStyle w:val="ListBullet"/>
        <w:spacing w:line="240" w:lineRule="auto"/>
        <w:ind w:left="720"/>
      </w:pPr>
      <w:r>
        <w:rPr>
          <w:lang w:val="en_US" w:bidi="en_US"/>
        </w:rPr>
      </w:r>
      <w:r>
        <w:rPr>
          <w:lang w:val="en_US" w:bidi="en_US"/>
        </w:rPr>
        <w:t>Those who lived near her and those in her clan heard/learned</w:t>
      </w:r>
    </w:p>
    <w:p>
      <w:pPr/>
      <w:r>
        <w:rPr>
          <w:lang w:val="en_US" w:bidi="en_US"/>
        </w:rPr>
      </w:r>
      <w:r>
        <w:rPr>
          <w:b/>
          <w:lang w:val="en_US" w:bidi="en_US"/>
        </w:rPr>
        <w:t>neighbors:</w:t>
      </w:r>
      <w:r>
        <w:rPr>
          <w:lang w:val="en_US" w:bidi="en_US"/>
        </w:rPr>
        <w:t xml:space="preserve"> The Greek word that the BSB translates as </w:t>
      </w:r>
      <w:r>
        <w:rPr>
          <w:i/>
          <w:lang w:val="en_US" w:bidi="en_US"/>
        </w:rPr>
        <w:t>neighbors</w:t>
      </w:r>
      <w:r>
        <w:rPr>
          <w:lang w:val="en_US" w:bidi="en_US"/>
        </w:rPr>
        <w:t xml:space="preserve"> refers to people who knew Elizabeth and Zechariah and lived close to them.</w:t>
      </w:r>
    </w:p>
    <w:p>
      <w:pPr/>
      <w:r>
        <w:rPr>
          <w:lang w:val="en_US" w:bidi="en_US"/>
        </w:rPr>
      </w:r>
      <w:r>
        <w:rPr>
          <w:b/>
          <w:lang w:val="en_US" w:bidi="en_US"/>
        </w:rPr>
        <w:t>relatives:</w:t>
      </w:r>
      <w:r>
        <w:rPr>
          <w:lang w:val="en_US" w:bidi="en_US"/>
        </w:rPr>
        <w:t xml:space="preserve"> The word </w:t>
      </w:r>
      <w:r>
        <w:rPr>
          <w:i/>
          <w:lang w:val="en_US" w:bidi="en_US"/>
        </w:rPr>
        <w:t>relatives</w:t>
      </w:r>
      <w:r>
        <w:rPr>
          <w:lang w:val="en_US" w:bidi="en_US"/>
        </w:rPr>
        <w:t xml:space="preserve"> means “kinsmen” or “family members.” It refers to people in the extended or larger family of Elizabeth and Zechariah. Some may have lived a long distance away. This is the same word as in 1:36a.</w:t>
      </w:r>
    </w:p>
    <w:p>
      <w:pPr/>
      <w:r>
        <w:rPr>
          <w:lang w:val="en_US" w:bidi="en_US"/>
        </w:rPr>
      </w:r>
      <w:r>
        <w:rPr>
          <w:b/>
          <w:lang w:val="en_US" w:bidi="en_US"/>
        </w:rPr>
        <w:t>heard:</w:t>
      </w:r>
      <w:r>
        <w:rPr>
          <w:lang w:val="en_US" w:bidi="en_US"/>
        </w:rPr>
        <w:t xml:space="preserve"> The Greek word that the BSB translates as </w:t>
      </w:r>
      <w:r>
        <w:rPr>
          <w:i/>
          <w:lang w:val="en_US" w:bidi="en_US"/>
        </w:rPr>
        <w:t>heard</w:t>
      </w:r>
      <w:r>
        <w:rPr>
          <w:lang w:val="en_US" w:bidi="en_US"/>
        </w:rPr>
        <w:t xml:space="preserve"> is the common word for “to hear.” But in this context it also implies that they had received news or learned new information.</w:t>
      </w:r>
    </w:p>
    <w:p>
      <w:pPr>
        <w:pStyle w:val="Heading5"/>
      </w:pPr>
      <w:r>
        <w:rPr>
          <w:lang w:val="en_US" w:bidi="en_US"/>
        </w:rPr>
        <w:t>1:58b</w:t>
      </w:r>
    </w:p>
    <w:p>
      <w:pPr/>
      <w:r>
        <w:rPr>
          <w:lang w:val="en_US" w:bidi="en_US"/>
        </w:rPr>
      </w:r>
      <w:r>
        <w:rPr>
          <w:b/>
          <w:lang w:val="en_US" w:bidi="en_US"/>
        </w:rPr>
        <w:t>that the Lord had shown her great mercy,</w:t>
      </w:r>
    </w:p>
    <w:p>
      <w:pPr>
        <w:pStyle w:val="ListBullet"/>
        <w:spacing w:line="240" w:lineRule="auto"/>
        <w:ind w:left="720"/>
      </w:pPr>
      <w:r>
        <w:rPr>
          <w:lang w:val="en_US" w:bidi="en_US"/>
        </w:rPr>
      </w:r>
      <w:r>
        <w:rPr>
          <w:lang w:val="en_US" w:bidi="en_US"/>
        </w:rPr>
        <w:t>the news</w:t>
      </w:r>
      <w:r>
        <w:rPr>
          <w:lang w:val="en_US" w:bidi="en_US"/>
        </w:rPr>
        <w:t xml:space="preserve"> that the Lord had been very merciful to her,</w:t>
      </w:r>
    </w:p>
    <w:p>
      <w:pPr>
        <w:pStyle w:val="ListBullet"/>
        <w:spacing w:line="240" w:lineRule="auto"/>
        <w:ind w:left="720"/>
      </w:pPr>
      <w:r>
        <w:rPr>
          <w:lang w:val="en_US" w:bidi="en_US"/>
        </w:rPr>
      </w:r>
      <w:r>
        <w:rPr>
          <w:lang w:val="en_US" w:bidi="en_US"/>
        </w:rPr>
        <w:t>about this great kindness that the Lord had done for her,</w:t>
      </w:r>
    </w:p>
    <w:p>
      <w:pPr>
        <w:pStyle w:val="ListBullet"/>
        <w:spacing w:line="240" w:lineRule="auto"/>
        <w:ind w:left="720"/>
      </w:pPr>
      <w:r>
        <w:rPr>
          <w:lang w:val="en_US" w:bidi="en_US"/>
        </w:rPr>
      </w:r>
      <w:r>
        <w:rPr>
          <w:lang w:val="en_US" w:bidi="en_US"/>
        </w:rPr>
        <w:t xml:space="preserve">how, in his great mercy/compassion, the Lord </w:t>
      </w:r>
      <w:r>
        <w:rPr>
          <w:lang w:val="en_US" w:bidi="en_US"/>
        </w:rPr>
        <w:t>had given her a son</w:t>
      </w:r>
      <w:r>
        <w:rPr>
          <w:lang w:val="en_US" w:bidi="en_US"/>
        </w:rPr>
        <w:t>,</w:t>
      </w:r>
    </w:p>
    <w:p>
      <w:pPr/>
      <w:r>
        <w:rPr>
          <w:lang w:val="en_US" w:bidi="en_US"/>
        </w:rPr>
      </w:r>
      <w:r>
        <w:rPr>
          <w:b/>
          <w:lang w:val="en_US" w:bidi="en_US"/>
        </w:rPr>
        <w:t>the Lord had shown her great mercy:</w:t>
      </w:r>
      <w:r>
        <w:rPr>
          <w:lang w:val="en_US" w:bidi="en_US"/>
        </w:rPr>
        <w:t xml:space="preserve"> The Greek phrase that the BSB translates as </w:t>
      </w:r>
      <w:r>
        <w:rPr>
          <w:i/>
          <w:lang w:val="en_US" w:bidi="en_US"/>
        </w:rPr>
        <w:t>had shown her great mercy</w:t>
      </w:r>
      <w:r>
        <w:rPr>
          <w:lang w:val="en_US" w:bidi="en_US"/>
        </w:rPr>
        <w:t xml:space="preserve"> is an idiom that is literally “made-great his mercy with her.” It indicates that the Lord had expressed great compassion to her in her need. Elizabeth had suffered because she was not able to have children. God showed his compassion to her by making her able to have a child in her old age.</w:t>
      </w:r>
    </w:p>
    <w:p>
      <w:pPr/>
      <w:r>
        <w:rPr>
          <w:lang w:val="en_US" w:bidi="en_US"/>
        </w:rPr>
      </w:r>
      <w:r>
        <w:rPr>
          <w:lang w:val="en_US" w:bidi="en_US"/>
        </w:rPr>
        <w:t>Some other ways to translate this are:</w:t>
      </w:r>
    </w:p>
    <w:p>
      <w:pPr/>
      <w:r>
        <w:rPr>
          <w:lang w:val="en_US" w:bidi="en_US"/>
        </w:rPr>
      </w:r>
      <w:r>
        <w:rPr>
          <w:lang w:val="en_US" w:bidi="en_US"/>
        </w:rPr>
        <w:t>the Lord had caused his mercy to be great</w:t>
      </w:r>
    </w:p>
    <w:p>
      <w:pPr/>
      <w:r>
        <w:rPr>
          <w:lang w:val="en_US" w:bidi="en_US"/>
        </w:rPr>
      </w:r>
      <w:r>
        <w:rPr>
          <w:lang w:val="en_US" w:bidi="en_US"/>
        </w:rPr>
        <w:t>the Lord had been very kind to her (GW)</w:t>
      </w:r>
    </w:p>
    <w:p>
      <w:pPr/>
      <w:r>
        <w:rPr>
          <w:lang w:val="en_US" w:bidi="en_US"/>
        </w:rPr>
      </w:r>
      <w:r>
        <w:rPr>
          <w:lang w:val="en_US" w:bidi="en_US"/>
        </w:rPr>
        <w:t>the Lord had treated her very mercifully/compassionately</w:t>
      </w:r>
    </w:p>
    <w:p>
      <w:pPr/>
      <w:r>
        <w:rPr>
          <w:lang w:val="en_US" w:bidi="en_US"/>
        </w:rPr>
      </w:r>
      <w:r>
        <w:rPr>
          <w:b/>
          <w:lang w:val="en_US" w:bidi="en_US"/>
        </w:rPr>
        <w:t>Lord:</w:t>
      </w:r>
      <w:r>
        <w:rPr>
          <w:lang w:val="en_US" w:bidi="en_US"/>
        </w:rPr>
        <w:t xml:space="preserve"> Here the word </w:t>
      </w:r>
      <w:r>
        <w:rPr>
          <w:i/>
          <w:lang w:val="en_US" w:bidi="en_US"/>
        </w:rPr>
        <w:t>Lord</w:t>
      </w:r>
      <w:r>
        <w:rPr>
          <w:lang w:val="en_US" w:bidi="en_US"/>
        </w:rPr>
        <w:t xml:space="preserve"> refers to God. See Lord, Context 2, in the Glossary.</w:t>
      </w:r>
    </w:p>
    <w:p>
      <w:pPr>
        <w:pStyle w:val="Heading5"/>
      </w:pPr>
      <w:r>
        <w:rPr>
          <w:lang w:val="en_US" w:bidi="en_US"/>
        </w:rPr>
        <w:t>1:58c</w:t>
      </w:r>
    </w:p>
    <w:p>
      <w:pPr/>
      <w:r>
        <w:rPr>
          <w:lang w:val="en_US" w:bidi="en_US"/>
        </w:rPr>
      </w:r>
      <w:r>
        <w:rPr>
          <w:b/>
          <w:lang w:val="en_US" w:bidi="en_US"/>
        </w:rPr>
        <w:t>and they rejoiced with her.</w:t>
      </w:r>
    </w:p>
    <w:p>
      <w:pPr>
        <w:pStyle w:val="ListBullet"/>
        <w:spacing w:line="240" w:lineRule="auto"/>
        <w:ind w:left="720"/>
      </w:pPr>
      <w:r>
        <w:rPr>
          <w:lang w:val="en_US" w:bidi="en_US"/>
        </w:rPr>
      </w:r>
      <w:r>
        <w:rPr>
          <w:lang w:val="en_US" w:bidi="en_US"/>
        </w:rPr>
        <w:t>and they rejoiced with her.</w:t>
      </w:r>
    </w:p>
    <w:p>
      <w:pPr>
        <w:pStyle w:val="ListBullet"/>
        <w:spacing w:line="240" w:lineRule="auto"/>
        <w:ind w:left="720"/>
      </w:pPr>
      <w:r>
        <w:rPr>
          <w:lang w:val="en_US" w:bidi="en_US"/>
        </w:rPr>
      </w:r>
      <w:r>
        <w:rPr>
          <w:lang w:val="en_US" w:bidi="en_US"/>
        </w:rPr>
        <w:t>they were happy with/for her.</w:t>
      </w:r>
    </w:p>
    <w:p>
      <w:pPr>
        <w:pStyle w:val="ListBullet"/>
        <w:spacing w:line="240" w:lineRule="auto"/>
        <w:ind w:left="720"/>
      </w:pPr>
      <w:r>
        <w:rPr>
          <w:lang w:val="en_US" w:bidi="en_US"/>
        </w:rPr>
      </w:r>
      <w:r>
        <w:rPr>
          <w:lang w:val="en_US" w:bidi="en_US"/>
        </w:rPr>
        <w:t xml:space="preserve">and they celebrated </w:t>
      </w:r>
      <w:r>
        <w:rPr>
          <w:lang w:val="en_US" w:bidi="en_US"/>
        </w:rPr>
        <w:t>the birth</w:t>
      </w:r>
      <w:r>
        <w:rPr>
          <w:lang w:val="en_US" w:bidi="en_US"/>
        </w:rPr>
        <w:t xml:space="preserve"> with her.</w:t>
      </w:r>
    </w:p>
    <w:p>
      <w:pPr/>
      <w:r>
        <w:rPr>
          <w:lang w:val="en_US" w:bidi="en_US"/>
        </w:rPr>
      </w:r>
      <w:r>
        <w:rPr>
          <w:b/>
          <w:lang w:val="en_US" w:bidi="en_US"/>
        </w:rPr>
        <w:t>they rejoiced with her:</w:t>
      </w:r>
      <w:r>
        <w:rPr>
          <w:lang w:val="en_US" w:bidi="en_US"/>
        </w:rPr>
        <w:t xml:space="preserve"> The Greek expression that the BSB translates as </w:t>
      </w:r>
      <w:r>
        <w:rPr>
          <w:i/>
          <w:lang w:val="en_US" w:bidi="en_US"/>
        </w:rPr>
        <w:t>they rejoiced with her</w:t>
      </w:r>
      <w:r>
        <w:rPr>
          <w:lang w:val="en_US" w:bidi="en_US"/>
        </w:rPr>
        <w:t xml:space="preserve"> means that the neighbors and relatives were happy because of what the Lord had done for Elizabeth, and because she was happy.</w:t>
      </w:r>
      <w:r>
        <w:rPr>
          <w:lang w:val="en_US" w:bidi="en_US"/>
        </w:rPr>
      </w:r>
      <w:r>
        <w:rPr>
          <w:lang w:val="en_US" w:bidi="en_US"/>
        </w:rPr>
      </w:r>
    </w:p>
    <w:p>
      <w:pPr/>
      <w:r>
        <w:rPr>
          <w:lang w:val="en_US" w:bidi="en_US"/>
        </w:rPr>
      </w:r>
    </w:p>
    <w:p>
      <w:pPr>
        <w:pStyle w:val="Heading2"/>
      </w:pPr>
      <w:r>
        <w:rPr>
          <w:lang w:val="en_US" w:bidi="en_US"/>
        </w:rPr>
        <w:t>Luke 1:59</w:t>
      </w:r>
      <w:r>
        <w:rPr>
          <w:lang w:val="en_US" w:bidi="en_US"/>
        </w:rPr>
      </w:r>
    </w:p>
    <w:p>
      <w:pPr>
        <w:pStyle w:val="Heading4"/>
      </w:pPr>
      <w:r>
        <w:rPr>
          <w:lang w:val="en_US" w:bidi="en_US"/>
        </w:rPr>
        <w:t>Section 1:57–66: John the Baptizer was born and received his name</w:t>
      </w:r>
    </w:p>
    <w:p>
      <w:pPr/>
      <w:r>
        <w:rPr>
          <w:lang w:val="en_US" w:bidi="en_US"/>
        </w:rPr>
      </w:r>
      <w:r>
        <w:rPr>
          <w:lang w:val="en_US" w:bidi="en_US"/>
        </w:rPr>
        <w:t>In this section, Elizabeth gave birth to a son, and she and his father gave him the name John. John received this name at the time when he was circumcised. He was the one who was later called John the Baptizer.</w:t>
      </w:r>
    </w:p>
    <w:p>
      <w:pPr/>
      <w:r>
        <w:rPr>
          <w:lang w:val="en_US" w:bidi="en_US"/>
        </w:rPr>
      </w:r>
      <w:r>
        <w:rPr>
          <w:lang w:val="en_US" w:bidi="en_US"/>
        </w:rPr>
        <w:t>It was Jewish custom to circumcise a baby boy one week after his birth. The circumcision commonly took place at the family’s home. The father or a man who specialized in doing circumcision would cut off the skin at the end of the baby’s penis. This was a sign in each boy’s body that he was part of Israel and included in the covenant that God had made with Israel. Neighbors and relatives joined in the celebration.</w:t>
      </w:r>
    </w:p>
    <w:p>
      <w:pPr/>
      <w:r>
        <w:rPr>
          <w:lang w:val="en_US" w:bidi="en_US"/>
        </w:rPr>
      </w:r>
      <w:r>
        <w:rPr>
          <w:lang w:val="en_US" w:bidi="en_US"/>
        </w:rPr>
        <w:t>God had shown his power in causing Elizabeth to become pregnant when she was old and had been unable to have children. When the baby was circumcised, God again showed his power by restoring Zechariah’s ability to speak. The unusual events in connection with John’s birth were told throughout the hill country of Judah. As a result, people thought about these things and felt awe and fear to see God working in that powerful way among them.</w:t>
      </w:r>
    </w:p>
    <w:p>
      <w:pPr/>
      <w:r>
        <w:rPr>
          <w:lang w:val="en_US" w:bidi="en_US"/>
        </w:rPr>
      </w:r>
      <w:r>
        <w:rPr>
          <w:lang w:val="en_US" w:bidi="en_US"/>
        </w:rPr>
        <w:t>Some other possible headings for this section are:</w:t>
      </w:r>
    </w:p>
    <w:p>
      <w:pPr/>
      <w:r>
        <w:rPr>
          <w:lang w:val="en_US" w:bidi="en_US"/>
        </w:rPr>
      </w:r>
      <w:r>
        <w:rPr>
          <w:lang w:val="en_US" w:bidi="en_US"/>
        </w:rPr>
        <w:t>Elizabeth gave birth to John</w:t>
      </w:r>
    </w:p>
    <w:p>
      <w:pPr/>
      <w:r>
        <w:rPr>
          <w:lang w:val="en_US" w:bidi="en_US"/>
        </w:rPr>
      </w:r>
      <w:r>
        <w:rPr>
          <w:lang w:val="en_US" w:bidi="en_US"/>
        </w:rPr>
        <w:t>Elizabeth gave birth to a baby who was circumcised and named John</w:t>
      </w:r>
    </w:p>
    <w:p>
      <w:pPr/>
      <w:r>
        <w:rPr>
          <w:lang w:val="en_US" w:bidi="en_US"/>
        </w:rPr>
      </w:r>
      <w:r>
        <w:rPr>
          <w:lang w:val="en_US" w:bidi="en_US"/>
        </w:rPr>
        <w:t>The birth and circumcision of John the Baptizer</w:t>
      </w:r>
    </w:p>
    <w:p>
      <w:pPr>
        <w:pStyle w:val="Heading5"/>
      </w:pPr>
      <w:r>
        <w:rPr>
          <w:lang w:val="en_US" w:bidi="en_US"/>
        </w:rPr>
        <w:t>1:59a</w:t>
      </w:r>
    </w:p>
    <w:p>
      <w:pPr/>
      <w:r>
        <w:rPr>
          <w:lang w:val="en_US" w:bidi="en_US"/>
        </w:rPr>
      </w:r>
      <w:r>
        <w:rPr>
          <w:b/>
          <w:lang w:val="en_US" w:bidi="en_US"/>
        </w:rPr>
        <w:t>On the eighth day,</w:t>
      </w:r>
    </w:p>
    <w:p>
      <w:pPr>
        <w:pStyle w:val="ListBullet"/>
        <w:spacing w:line="240" w:lineRule="auto"/>
        <w:ind w:left="720"/>
      </w:pPr>
      <w:r>
        <w:rPr>
          <w:lang w:val="en_US" w:bidi="en_US"/>
        </w:rPr>
      </w:r>
      <w:r>
        <w:rPr>
          <w:lang w:val="en_US" w:bidi="en_US"/>
        </w:rPr>
        <w:t xml:space="preserve">¶ When </w:t>
      </w:r>
      <w:r>
        <w:rPr>
          <w:lang w:val="en_US" w:bidi="en_US"/>
        </w:rPr>
        <w:t>the baby was</w:t>
      </w:r>
      <w:r>
        <w:rPr>
          <w:lang w:val="en_US" w:bidi="en_US"/>
        </w:rPr>
        <w:t xml:space="preserve"> a week old,</w:t>
      </w:r>
    </w:p>
    <w:p>
      <w:pPr>
        <w:pStyle w:val="ListBullet"/>
        <w:spacing w:line="240" w:lineRule="auto"/>
        <w:ind w:left="720"/>
      </w:pPr>
      <w:r>
        <w:rPr>
          <w:lang w:val="en_US" w:bidi="en_US"/>
        </w:rPr>
      </w:r>
      <w:r>
        <w:rPr>
          <w:lang w:val="en_US" w:bidi="en_US"/>
        </w:rPr>
        <w:t>¶ Seven days later,</w:t>
      </w:r>
    </w:p>
    <w:p>
      <w:pPr/>
      <w:r>
        <w:rPr>
          <w:lang w:val="en_US" w:bidi="en_US"/>
        </w:rPr>
      </w:r>
      <w:r>
        <w:rPr>
          <w:b/>
          <w:lang w:val="en_US" w:bidi="en_US"/>
        </w:rPr>
        <w:t>On the eighth day:</w:t>
      </w:r>
      <w:r>
        <w:rPr>
          <w:lang w:val="en_US" w:bidi="en_US"/>
        </w:rPr>
        <w:t xml:space="preserve"> The phrase </w:t>
      </w:r>
      <w:r>
        <w:rPr>
          <w:i/>
          <w:lang w:val="en_US" w:bidi="en_US"/>
        </w:rPr>
        <w:t>On the eighth day</w:t>
      </w:r>
      <w:r>
        <w:rPr>
          <w:lang w:val="en_US" w:bidi="en_US"/>
        </w:rPr>
        <w:t xml:space="preserve"> refers to “the eighth day, starting with the day of the baby’s birth.” This was the way the Jews counted days. For example, if a baby was born on a Friday, they would say that the Friday of the following week was </w:t>
      </w:r>
      <w:r>
        <w:rPr>
          <w:i/>
          <w:lang w:val="en_US" w:bidi="en_US"/>
        </w:rPr>
        <w:t>the eighth day</w:t>
      </w:r>
      <w:r>
        <w:rPr>
          <w:lang w:val="en_US" w:bidi="en_US"/>
        </w:rPr>
        <w:t>. Other ways to express this meaning are:</w:t>
      </w:r>
    </w:p>
    <w:p>
      <w:pPr/>
      <w:r>
        <w:rPr>
          <w:lang w:val="en_US" w:bidi="en_US"/>
        </w:rPr>
      </w:r>
      <w:r>
        <w:rPr>
          <w:lang w:val="en_US" w:bidi="en_US"/>
        </w:rPr>
        <w:t>When the baby was a week old (GNT)</w:t>
      </w:r>
    </w:p>
    <w:p>
      <w:pPr/>
      <w:r>
        <w:rPr>
          <w:lang w:val="en_US" w:bidi="en_US"/>
        </w:rPr>
      </w:r>
      <w:r>
        <w:rPr>
          <w:lang w:val="en_US" w:bidi="en_US"/>
        </w:rPr>
        <w:t>When the baby was eight days old</w:t>
      </w:r>
    </w:p>
    <w:p>
      <w:pPr>
        <w:pStyle w:val="Heading5"/>
      </w:pPr>
      <w:r>
        <w:rPr>
          <w:lang w:val="en_US" w:bidi="en_US"/>
        </w:rPr>
        <w:t>1:59b</w:t>
      </w:r>
    </w:p>
    <w:p>
      <w:pPr/>
      <w:r>
        <w:rPr>
          <w:lang w:val="en_US" w:bidi="en_US"/>
        </w:rPr>
      </w:r>
      <w:r>
        <w:rPr>
          <w:b/>
          <w:lang w:val="en_US" w:bidi="en_US"/>
        </w:rPr>
        <w:t>when they came to circumcise the child,</w:t>
      </w:r>
    </w:p>
    <w:p>
      <w:pPr>
        <w:pStyle w:val="ListBullet"/>
        <w:spacing w:line="240" w:lineRule="auto"/>
        <w:ind w:left="720"/>
      </w:pPr>
      <w:r>
        <w:rPr>
          <w:lang w:val="en_US" w:bidi="en_US"/>
        </w:rPr>
      </w:r>
      <w:r>
        <w:rPr>
          <w:lang w:val="en_US" w:bidi="en_US"/>
        </w:rPr>
        <w:t xml:space="preserve">people came </w:t>
      </w:r>
      <w:r>
        <w:rPr>
          <w:lang w:val="en_US" w:bidi="en_US"/>
        </w:rPr>
        <w:t>to Zechariah’s house</w:t>
      </w:r>
      <w:r>
        <w:rPr>
          <w:lang w:val="en_US" w:bidi="en_US"/>
        </w:rPr>
        <w:t xml:space="preserve"> for the baby’s circumcision,</w:t>
      </w:r>
    </w:p>
    <w:p>
      <w:pPr>
        <w:pStyle w:val="ListBullet"/>
        <w:spacing w:line="240" w:lineRule="auto"/>
        <w:ind w:left="720"/>
      </w:pPr>
      <w:r>
        <w:rPr>
          <w:lang w:val="en_US" w:bidi="en_US"/>
        </w:rPr>
      </w:r>
      <w:r>
        <w:rPr>
          <w:lang w:val="en_US" w:bidi="en_US"/>
        </w:rPr>
        <w:t xml:space="preserve">people came to </w:t>
      </w:r>
      <w:r>
        <w:rPr>
          <w:lang w:val="en_US" w:bidi="en_US"/>
        </w:rPr>
        <w:t>celebrate</w:t>
      </w:r>
      <w:r>
        <w:rPr>
          <w:lang w:val="en_US" w:bidi="en_US"/>
        </w:rPr>
        <w:t xml:space="preserve"> the cutting off of the baby boy’s foreskin.</w:t>
      </w:r>
    </w:p>
    <w:p>
      <w:pPr/>
      <w:r>
        <w:rPr>
          <w:lang w:val="en_US" w:bidi="en_US"/>
        </w:rPr>
      </w:r>
      <w:r>
        <w:rPr>
          <w:b/>
          <w:lang w:val="en_US" w:bidi="en_US"/>
        </w:rPr>
        <w:t>they came to circumcise the child:</w:t>
      </w:r>
      <w:r>
        <w:rPr>
          <w:lang w:val="en_US" w:bidi="en_US"/>
        </w:rPr>
        <w:t xml:space="preserve"> The clause </w:t>
      </w:r>
      <w:r>
        <w:rPr>
          <w:i/>
          <w:lang w:val="en_US" w:bidi="en_US"/>
        </w:rPr>
        <w:t>they came to circumcise the child</w:t>
      </w:r>
      <w:r>
        <w:rPr>
          <w:lang w:val="en_US" w:bidi="en_US"/>
        </w:rPr>
        <w:t xml:space="preserve"> indicates that many people came to be with Zechariah and Elizabeth when the baby was circumcised. The people did not actually help to circumcise the child. Only one person circumcised him. Some ways to make this clear are:</w:t>
      </w:r>
    </w:p>
    <w:p>
      <w:pPr/>
      <w:r>
        <w:rPr>
          <w:lang w:val="en_US" w:bidi="en_US"/>
        </w:rPr>
      </w:r>
      <w:r>
        <w:rPr>
          <w:lang w:val="en_US" w:bidi="en_US"/>
        </w:rPr>
        <w:t>they came to attend the child’s circumcision</w:t>
      </w:r>
    </w:p>
    <w:p>
      <w:pPr/>
      <w:r>
        <w:rPr>
          <w:lang w:val="en_US" w:bidi="en_US"/>
        </w:rPr>
      </w:r>
      <w:r>
        <w:rPr>
          <w:lang w:val="en_US" w:bidi="en_US"/>
        </w:rPr>
        <w:t>they came to witness the circumcision of the child</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here included the family and neighbors of Elizabeth and Zechariah. Some ways to translate this are:</w:t>
      </w:r>
    </w:p>
    <w:p>
      <w:pPr/>
      <w:r>
        <w:rPr>
          <w:lang w:val="en_US" w:bidi="en_US"/>
        </w:rPr>
      </w:r>
      <w:r>
        <w:rPr>
          <w:lang w:val="en_US" w:bidi="en_US"/>
        </w:rPr>
        <w:t>people</w:t>
      </w:r>
    </w:p>
    <w:p>
      <w:pPr/>
      <w:r>
        <w:rPr>
          <w:lang w:val="en_US" w:bidi="en_US"/>
        </w:rPr>
      </w:r>
      <w:r>
        <w:rPr>
          <w:lang w:val="en_US" w:bidi="en_US"/>
        </w:rPr>
        <w:t>all the relatives and friends (NLT96)</w:t>
      </w:r>
    </w:p>
    <w:p>
      <w:pPr/>
      <w:r>
        <w:rPr>
          <w:lang w:val="en_US" w:bidi="en_US"/>
        </w:rPr>
      </w:r>
      <w:r>
        <w:rPr>
          <w:b/>
          <w:lang w:val="en_US" w:bidi="en_US"/>
        </w:rPr>
        <w:t>came:</w:t>
      </w:r>
      <w:r>
        <w:rPr>
          <w:lang w:val="en_US" w:bidi="en_US"/>
        </w:rPr>
        <w:t xml:space="preserve"> The text is not explicit about where the circumcision was held. If you need to specify where they </w:t>
      </w:r>
      <w:r>
        <w:rPr>
          <w:i/>
          <w:lang w:val="en_US" w:bidi="en_US"/>
        </w:rPr>
        <w:t>came</w:t>
      </w:r>
      <w:r>
        <w:rPr>
          <w:lang w:val="en_US" w:bidi="en_US"/>
        </w:rPr>
        <w:t>, they probably came to the house where Zechariah and Elizabeth lived.</w:t>
      </w:r>
      <w:r>
        <w:rPr>
          <w:lang w:val="en_US" w:bidi="en_US"/>
        </w:rPr>
        <w:t>According to Leviticus 12:1–4, the mother was unclean for 40 days after the birth of a son, and she did not leave her home. Since Elizabeth was present at this event, logically, it must have occurred at their home.</w:t>
      </w:r>
    </w:p>
    <w:p>
      <w:pPr/>
      <w:r>
        <w:rPr>
          <w:lang w:val="en_US" w:bidi="en_US"/>
        </w:rPr>
      </w:r>
      <w:r>
        <w:rPr>
          <w:b/>
          <w:lang w:val="en_US" w:bidi="en_US"/>
        </w:rPr>
        <w:t>circumcise:</w:t>
      </w:r>
      <w:r>
        <w:rPr>
          <w:lang w:val="en_US" w:bidi="en_US"/>
        </w:rPr>
        <w:t xml:space="preserve"> The word </w:t>
      </w:r>
      <w:r>
        <w:rPr>
          <w:i/>
          <w:lang w:val="en_US" w:bidi="en_US"/>
        </w:rPr>
        <w:t>circumcise</w:t>
      </w:r>
      <w:r>
        <w:rPr>
          <w:lang w:val="en_US" w:bidi="en_US"/>
        </w:rPr>
        <w:t xml:space="preserve"> means to cut off the loose skin at the end of a boy’s penis. The father or a man who specialized in doing circumcision would perform this operation. Among the Jews circumcision was an important custom that had to be done for every male. When a baby was circumcised, it was usual for neighbors and relatives to come for the circumcision.</w:t>
      </w:r>
    </w:p>
    <w:p>
      <w:pPr/>
      <w:r>
        <w:rPr>
          <w:lang w:val="en_US" w:bidi="en_US"/>
        </w:rPr>
      </w:r>
      <w:r>
        <w:rPr>
          <w:lang w:val="en_US" w:bidi="en_US"/>
        </w:rPr>
        <w:t>In some cultures, it may be acceptable to use an explicit expression that means “cut off the loose skin at the end of a boy’s penis.” In other cultures, it may be necessary to use a euphemism to describe this event. Some examples are:</w:t>
      </w:r>
    </w:p>
    <w:p>
      <w:pPr/>
      <w:r>
        <w:rPr>
          <w:lang w:val="en_US" w:bidi="en_US"/>
        </w:rPr>
      </w:r>
      <w:r>
        <w:rPr>
          <w:lang w:val="en_US" w:bidi="en_US"/>
        </w:rPr>
        <w:t>cut the skin</w:t>
      </w:r>
    </w:p>
    <w:p>
      <w:pPr/>
      <w:r>
        <w:rPr>
          <w:lang w:val="en_US" w:bidi="en_US"/>
        </w:rPr>
      </w:r>
      <w:r>
        <w:rPr>
          <w:lang w:val="en_US" w:bidi="en_US"/>
        </w:rPr>
        <w:t xml:space="preserve">mark </w:t>
      </w:r>
      <w:r>
        <w:rPr>
          <w:lang w:val="en_US" w:bidi="en_US"/>
        </w:rPr>
        <w:t>the body to show he belongs to God</w:t>
      </w:r>
    </w:p>
    <w:p>
      <w:pPr/>
      <w:r>
        <w:rPr>
          <w:lang w:val="en_US" w:bidi="en_US"/>
        </w:rPr>
      </w:r>
      <w:r>
        <w:rPr>
          <w:lang w:val="en_US" w:bidi="en_US"/>
        </w:rPr>
        <w:t>receive the mark</w:t>
      </w:r>
    </w:p>
    <w:p>
      <w:pPr/>
      <w:r>
        <w:rPr>
          <w:lang w:val="en_US" w:bidi="en_US"/>
        </w:rPr>
      </w:r>
      <w:r>
        <w:rPr>
          <w:lang w:val="en_US" w:bidi="en_US"/>
        </w:rPr>
        <w:t>In some cultures people do not circumcise babies, and in some cultures they do not circumcise any males. In other cultures circumcision may be done for different reasons than Jewish circumcision. If that is true in your culture, you may want to include a footnote to explain the Jewish custom. For example:</w:t>
      </w:r>
    </w:p>
    <w:p>
      <w:pPr/>
      <w:r>
        <w:rPr>
          <w:lang w:val="en_US" w:bidi="en_US"/>
        </w:rPr>
      </w:r>
      <w:r>
        <w:rPr>
          <w:lang w:val="en_US" w:bidi="en_US"/>
        </w:rPr>
        <w:t>Circumcision is the cutting off of the skin at the end of the penis. Every male Jew was required to be circumcised. Circumcision was the sign that he was a member of the community with whom God had made a covenant.</w:t>
      </w:r>
    </w:p>
    <w:p>
      <w:pPr/>
      <w:r>
        <w:rPr>
          <w:lang w:val="en_US" w:bidi="en_US"/>
        </w:rPr>
      </w:r>
      <w:r>
        <w:rPr>
          <w:b/>
          <w:lang w:val="en_US" w:bidi="en_US"/>
        </w:rPr>
        <w:t>child:</w:t>
      </w:r>
      <w:r>
        <w:rPr>
          <w:lang w:val="en_US" w:bidi="en_US"/>
        </w:rPr>
        <w:t xml:space="preserve"> The Greek word that the BSB translates as </w:t>
      </w:r>
      <w:r>
        <w:rPr>
          <w:i/>
          <w:lang w:val="en_US" w:bidi="en_US"/>
        </w:rPr>
        <w:t>child</w:t>
      </w:r>
      <w:r>
        <w:rPr>
          <w:lang w:val="en_US" w:bidi="en_US"/>
        </w:rPr>
        <w:t xml:space="preserve"> is a general term that refers to someone who is below the age of puberty. The same Greek word is also used to refer to John as he grows (see 1:66, 1:76, 1:80). In some languages it may be more natural to use a specific word like “baby” or “infant” here. Use the word that is most natural in your language.</w:t>
      </w:r>
    </w:p>
    <w:p>
      <w:pPr>
        <w:pStyle w:val="Heading5"/>
      </w:pPr>
      <w:r>
        <w:rPr>
          <w:lang w:val="en_US" w:bidi="en_US"/>
        </w:rPr>
        <w:t>1:59c</w:t>
      </w:r>
    </w:p>
    <w:p>
      <w:pPr/>
      <w:r>
        <w:rPr>
          <w:lang w:val="en_US" w:bidi="en_US"/>
        </w:rPr>
      </w:r>
      <w:r>
        <w:rPr>
          <w:b/>
          <w:lang w:val="en_US" w:bidi="en_US"/>
        </w:rPr>
        <w:t>they were going to name him after his father Zechariah.</w:t>
      </w:r>
    </w:p>
    <w:p>
      <w:pPr>
        <w:pStyle w:val="ListBullet"/>
        <w:spacing w:line="240" w:lineRule="auto"/>
        <w:ind w:left="720"/>
      </w:pPr>
      <w:r>
        <w:rPr>
          <w:lang w:val="en_US" w:bidi="en_US"/>
        </w:rPr>
      </w:r>
      <w:r>
        <w:rPr>
          <w:lang w:val="en_US" w:bidi="en_US"/>
        </w:rPr>
        <w:t>and they wanted to name him Zechariah after his father.</w:t>
      </w:r>
    </w:p>
    <w:p>
      <w:pPr>
        <w:pStyle w:val="ListBullet"/>
        <w:spacing w:line="240" w:lineRule="auto"/>
        <w:ind w:left="720"/>
      </w:pPr>
      <w:r>
        <w:rPr>
          <w:lang w:val="en_US" w:bidi="en_US"/>
        </w:rPr>
      </w:r>
      <w:r>
        <w:rPr>
          <w:lang w:val="en_US" w:bidi="en_US"/>
        </w:rPr>
        <w:t>Family members</w:t>
      </w:r>
      <w:r>
        <w:rPr>
          <w:lang w:val="en_US" w:bidi="en_US"/>
        </w:rPr>
        <w:t xml:space="preserve"> </w:t>
      </w:r>
      <w:r>
        <w:rPr>
          <w:lang w:val="en_US" w:bidi="en_US"/>
        </w:rPr>
        <w:t>assumed</w:t>
      </w:r>
      <w:r>
        <w:rPr>
          <w:lang w:val="en_US" w:bidi="en_US"/>
        </w:rPr>
        <w:t xml:space="preserve"> that his name would be Zechariah because that was his father’s name.</w:t>
      </w:r>
    </w:p>
    <w:p>
      <w:pPr>
        <w:pStyle w:val="ListBullet"/>
        <w:spacing w:line="240" w:lineRule="auto"/>
        <w:ind w:left="720"/>
      </w:pPr>
      <w:r>
        <w:rPr>
          <w:lang w:val="en_US" w:bidi="en_US"/>
        </w:rPr>
      </w:r>
      <w:r>
        <w:rPr>
          <w:lang w:val="en_US" w:bidi="en_US"/>
        </w:rPr>
        <w:t>They said, “He will have the name Zechariah like his father,”</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in general to some of the people who came to Zechariah’s house for the circumcision. These people were probably members of Zechariah’s family. The word </w:t>
      </w:r>
      <w:r>
        <w:rPr>
          <w:i/>
          <w:lang w:val="en_US" w:bidi="en_US"/>
        </w:rPr>
        <w:t>they</w:t>
      </w:r>
      <w:r>
        <w:rPr>
          <w:lang w:val="en_US" w:bidi="en_US"/>
        </w:rPr>
        <w:t xml:space="preserve"> does not include Zechariah and Elizabeth here. In some languages it may be helpful to refer to the people in a more specific way. For example:</w:t>
      </w:r>
    </w:p>
    <w:p>
      <w:pPr/>
      <w:r>
        <w:rPr>
          <w:lang w:val="en_US" w:bidi="en_US"/>
        </w:rPr>
      </w:r>
      <w:r>
        <w:rPr>
          <w:lang w:val="en_US" w:bidi="en_US"/>
        </w:rPr>
        <w:t>The people who came to watch the ceremony</w:t>
      </w:r>
    </w:p>
    <w:p>
      <w:pPr/>
      <w:r>
        <w:rPr>
          <w:lang w:val="en_US" w:bidi="en_US"/>
        </w:rPr>
      </w:r>
      <w:r>
        <w:rPr>
          <w:lang w:val="en_US" w:bidi="en_US"/>
        </w:rPr>
        <w:t>The relatives and neighbors</w:t>
      </w:r>
    </w:p>
    <w:p>
      <w:pPr/>
      <w:r>
        <w:rPr>
          <w:lang w:val="en_US" w:bidi="en_US"/>
        </w:rPr>
      </w:r>
      <w:r>
        <w:rPr>
          <w:b/>
          <w:lang w:val="en_US" w:bidi="en_US"/>
        </w:rPr>
        <w:t>were going to name him after his father Zechariah:</w:t>
      </w:r>
      <w:r>
        <w:rPr>
          <w:lang w:val="en_US" w:bidi="en_US"/>
        </w:rPr>
        <w:t xml:space="preserve"> The Greek verb phrase that the BSB translates as </w:t>
      </w:r>
      <w:r>
        <w:rPr>
          <w:i/>
          <w:lang w:val="en_US" w:bidi="en_US"/>
        </w:rPr>
        <w:t>were going to name him</w:t>
      </w:r>
      <w:r>
        <w:rPr>
          <w:lang w:val="en_US" w:bidi="en_US"/>
        </w:rPr>
        <w:t xml:space="preserve"> is literally “were calling him.” It implies that the people </w:t>
      </w:r>
      <w:r>
        <w:rPr>
          <w:u w:val="single"/>
          <w:lang w:val="en_US" w:bidi="en_US"/>
        </w:rPr>
        <w:t>assumed</w:t>
      </w:r>
      <w:r>
        <w:rPr>
          <w:lang w:val="en_US" w:bidi="en_US"/>
        </w:rPr>
        <w:t xml:space="preserve"> or </w:t>
      </w:r>
      <w:r>
        <w:rPr>
          <w:u w:val="single"/>
          <w:lang w:val="en_US" w:bidi="en_US"/>
        </w:rPr>
        <w:t>wished</w:t>
      </w:r>
      <w:r>
        <w:rPr>
          <w:lang w:val="en_US" w:bidi="en_US"/>
        </w:rPr>
        <w:t xml:space="preserve"> that he would be given the name </w:t>
      </w:r>
      <w:r>
        <w:rPr>
          <w:i/>
          <w:lang w:val="en_US" w:bidi="en_US"/>
        </w:rPr>
        <w:t>Zechariah</w:t>
      </w:r>
      <w:r>
        <w:rPr>
          <w:lang w:val="en_US" w:bidi="en_US"/>
        </w:rPr>
        <w:t>. They may have actually called him by that name as they were talking about him during the celebration. Some ways to translate this are:</w:t>
      </w:r>
    </w:p>
    <w:p>
      <w:pPr/>
      <w:r>
        <w:rPr>
          <w:lang w:val="en_US" w:bidi="en_US"/>
        </w:rPr>
      </w:r>
      <w:r>
        <w:rPr>
          <w:lang w:val="en_US" w:bidi="en_US"/>
        </w:rPr>
        <w:t xml:space="preserve">they </w:t>
      </w:r>
      <w:r>
        <w:rPr>
          <w:u w:val="single"/>
          <w:lang w:val="en_US" w:bidi="en_US"/>
        </w:rPr>
        <w:t>wanted to</w:t>
      </w:r>
      <w:r>
        <w:rPr>
          <w:lang w:val="en_US" w:bidi="en_US"/>
        </w:rPr>
        <w:t xml:space="preserve"> name him Zechariah (NET)</w:t>
      </w:r>
    </w:p>
    <w:p>
      <w:pPr/>
      <w:r>
        <w:rPr>
          <w:lang w:val="en_US" w:bidi="en_US"/>
        </w:rPr>
      </w:r>
      <w:r>
        <w:rPr>
          <w:lang w:val="en_US" w:bidi="en_US"/>
        </w:rPr>
        <w:t>they assumed/thought that his name would be Zechariah</w:t>
      </w:r>
    </w:p>
    <w:p>
      <w:pPr/>
      <w:r>
        <w:rPr>
          <w:lang w:val="en_US" w:bidi="en_US"/>
        </w:rPr>
      </w:r>
      <w:r>
        <w:rPr>
          <w:b/>
          <w:lang w:val="en_US" w:bidi="en_US"/>
        </w:rPr>
        <w:t>name him after his father Zechariah:</w:t>
      </w:r>
      <w:r>
        <w:rPr>
          <w:lang w:val="en_US" w:bidi="en_US"/>
        </w:rPr>
        <w:t xml:space="preserve"> To name someone </w:t>
      </w:r>
      <w:r>
        <w:rPr>
          <w:i/>
          <w:lang w:val="en_US" w:bidi="en_US"/>
        </w:rPr>
        <w:t>after his father</w:t>
      </w:r>
      <w:r>
        <w:rPr>
          <w:lang w:val="en_US" w:bidi="en_US"/>
        </w:rPr>
        <w:t xml:space="preserve"> means to give him the same name as his father. Jewish parents often gave a son the same name as his father or grandfather. Some other ways to translate this part of the verse are:</w:t>
      </w:r>
    </w:p>
    <w:p>
      <w:pPr/>
      <w:r>
        <w:rPr>
          <w:lang w:val="en_US" w:bidi="en_US"/>
        </w:rPr>
      </w:r>
      <w:r>
        <w:rPr>
          <w:lang w:val="en_US" w:bidi="en_US"/>
        </w:rPr>
        <w:t>They assumed that he would be given the same name as his father</w:t>
      </w:r>
    </w:p>
    <w:p>
      <w:pPr/>
      <w:r>
        <w:rPr>
          <w:lang w:val="en_US" w:bidi="en_US"/>
        </w:rPr>
      </w:r>
      <w:r>
        <w:rPr>
          <w:lang w:val="en_US" w:bidi="en_US"/>
        </w:rPr>
        <w:t>They wanted to name him Zechariah because this was his father’s name (NCV)</w:t>
      </w:r>
      <w:r>
        <w:rPr>
          <w:lang w:val="en_US" w:bidi="en_US"/>
        </w:rPr>
      </w:r>
      <w:r>
        <w:rPr>
          <w:lang w:val="en_US" w:bidi="en_US"/>
        </w:rPr>
      </w:r>
    </w:p>
    <w:p>
      <w:pPr/>
      <w:r>
        <w:rPr>
          <w:lang w:val="en_US" w:bidi="en_US"/>
        </w:rPr>
      </w:r>
    </w:p>
    <w:p>
      <w:pPr>
        <w:pStyle w:val="Heading2"/>
      </w:pPr>
      <w:r>
        <w:rPr>
          <w:lang w:val="en_US" w:bidi="en_US"/>
        </w:rPr>
        <w:t>Luke 1:60</w:t>
      </w:r>
      <w:r>
        <w:rPr>
          <w:lang w:val="en_US" w:bidi="en_US"/>
        </w:rPr>
      </w:r>
    </w:p>
    <w:p>
      <w:pPr>
        <w:pStyle w:val="Heading4"/>
      </w:pPr>
      <w:r>
        <w:rPr>
          <w:lang w:val="en_US" w:bidi="en_US"/>
        </w:rPr>
        <w:t>Section 1:57–66: John the Baptizer was born and received his name</w:t>
      </w:r>
    </w:p>
    <w:p>
      <w:pPr/>
      <w:r>
        <w:rPr>
          <w:lang w:val="en_US" w:bidi="en_US"/>
        </w:rPr>
      </w:r>
      <w:r>
        <w:rPr>
          <w:lang w:val="en_US" w:bidi="en_US"/>
        </w:rPr>
        <w:t>In this section, Elizabeth gave birth to a son, and she and his father gave him the name John. John received this name at the time when he was circumcised. He was the one who was later called John the Baptizer.</w:t>
      </w:r>
    </w:p>
    <w:p>
      <w:pPr/>
      <w:r>
        <w:rPr>
          <w:lang w:val="en_US" w:bidi="en_US"/>
        </w:rPr>
      </w:r>
      <w:r>
        <w:rPr>
          <w:lang w:val="en_US" w:bidi="en_US"/>
        </w:rPr>
        <w:t>It was Jewish custom to circumcise a baby boy one week after his birth. The circumcision commonly took place at the family’s home. The father or a man who specialized in doing circumcision would cut off the skin at the end of the baby’s penis. This was a sign in each boy’s body that he was part of Israel and included in the covenant that God had made with Israel. Neighbors and relatives joined in the celebration.</w:t>
      </w:r>
    </w:p>
    <w:p>
      <w:pPr/>
      <w:r>
        <w:rPr>
          <w:lang w:val="en_US" w:bidi="en_US"/>
        </w:rPr>
      </w:r>
      <w:r>
        <w:rPr>
          <w:lang w:val="en_US" w:bidi="en_US"/>
        </w:rPr>
        <w:t>God had shown his power in causing Elizabeth to become pregnant when she was old and had been unable to have children. When the baby was circumcised, God again showed his power by restoring Zechariah’s ability to speak. The unusual events in connection with John’s birth were told throughout the hill country of Judah. As a result, people thought about these things and felt awe and fear to see God working in that powerful way among them.</w:t>
      </w:r>
    </w:p>
    <w:p>
      <w:pPr/>
      <w:r>
        <w:rPr>
          <w:lang w:val="en_US" w:bidi="en_US"/>
        </w:rPr>
      </w:r>
      <w:r>
        <w:rPr>
          <w:lang w:val="en_US" w:bidi="en_US"/>
        </w:rPr>
        <w:t>Some other possible headings for this section are:</w:t>
      </w:r>
    </w:p>
    <w:p>
      <w:pPr/>
      <w:r>
        <w:rPr>
          <w:lang w:val="en_US" w:bidi="en_US"/>
        </w:rPr>
      </w:r>
      <w:r>
        <w:rPr>
          <w:lang w:val="en_US" w:bidi="en_US"/>
        </w:rPr>
        <w:t>Elizabeth gave birth to John</w:t>
      </w:r>
    </w:p>
    <w:p>
      <w:pPr/>
      <w:r>
        <w:rPr>
          <w:lang w:val="en_US" w:bidi="en_US"/>
        </w:rPr>
      </w:r>
      <w:r>
        <w:rPr>
          <w:lang w:val="en_US" w:bidi="en_US"/>
        </w:rPr>
        <w:t>Elizabeth gave birth to a baby who was circumcised and named John</w:t>
      </w:r>
    </w:p>
    <w:p>
      <w:pPr/>
      <w:r>
        <w:rPr>
          <w:lang w:val="en_US" w:bidi="en_US"/>
        </w:rPr>
      </w:r>
      <w:r>
        <w:rPr>
          <w:lang w:val="en_US" w:bidi="en_US"/>
        </w:rPr>
        <w:t>The birth and circumcision of John the Baptizer</w:t>
      </w:r>
    </w:p>
    <w:p>
      <w:pPr>
        <w:pStyle w:val="Heading5"/>
      </w:pPr>
      <w:r>
        <w:rPr>
          <w:lang w:val="en_US" w:bidi="en_US"/>
        </w:rPr>
        <w:t>1:60a</w:t>
      </w:r>
    </w:p>
    <w:p>
      <w:pPr/>
      <w:r>
        <w:rPr>
          <w:lang w:val="en_US" w:bidi="en_US"/>
        </w:rPr>
      </w:r>
      <w:r>
        <w:rPr>
          <w:b/>
          <w:lang w:val="en_US" w:bidi="en_US"/>
        </w:rPr>
        <w:t>But his mother replied, “No!</w:t>
      </w:r>
    </w:p>
    <w:p>
      <w:pPr>
        <w:pStyle w:val="ListBullet"/>
        <w:spacing w:line="240" w:lineRule="auto"/>
        <w:ind w:left="720"/>
      </w:pPr>
      <w:r>
        <w:rPr>
          <w:lang w:val="en_US" w:bidi="en_US"/>
        </w:rPr>
      </w:r>
      <w:r>
        <w:rPr>
          <w:lang w:val="en_US" w:bidi="en_US"/>
        </w:rPr>
        <w:t>The baby’s mother said/responded, “Not at all!</w:t>
      </w:r>
    </w:p>
    <w:p>
      <w:pPr>
        <w:pStyle w:val="ListBullet"/>
        <w:spacing w:line="240" w:lineRule="auto"/>
        <w:ind w:left="720"/>
      </w:pPr>
      <w:r>
        <w:rPr>
          <w:lang w:val="en_US" w:bidi="en_US"/>
        </w:rPr>
      </w:r>
      <w:r>
        <w:rPr>
          <w:lang w:val="en_US" w:bidi="en_US"/>
        </w:rPr>
        <w:t xml:space="preserve">However, his mother </w:t>
      </w:r>
      <w:r>
        <w:rPr>
          <w:lang w:val="en_US" w:bidi="en_US"/>
        </w:rPr>
        <w:t>Elizabeth</w:t>
      </w:r>
      <w:r>
        <w:rPr>
          <w:lang w:val="en_US" w:bidi="en_US"/>
        </w:rPr>
        <w:t xml:space="preserve"> refused/rejected this. She said,</w:t>
      </w:r>
    </w:p>
    <w:p>
      <w:pPr>
        <w:pStyle w:val="ListBullet"/>
        <w:spacing w:line="240" w:lineRule="auto"/>
        <w:ind w:left="720"/>
      </w:pPr>
      <w:r>
        <w:rPr>
          <w:lang w:val="en_US" w:bidi="en_US"/>
        </w:rPr>
      </w:r>
      <w:r>
        <w:rPr>
          <w:lang w:val="en_US" w:bidi="en_US"/>
        </w:rPr>
        <w:t>but his mother told them</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is often translated as “and.” It introduces the fact that Elizabeth did not agree with the people that the baby would be called “Zechariah.” Many English versions express this as a contrast and use the conjunction “but.” In other languages a conjunction that indicates contrast may not be necessary. Connect these verses in a way that is natural in your language.</w:t>
      </w:r>
    </w:p>
    <w:p>
      <w:pPr/>
      <w:r>
        <w:rPr>
          <w:lang w:val="en_US" w:bidi="en_US"/>
        </w:rPr>
      </w:r>
      <w:r>
        <w:rPr>
          <w:b/>
          <w:lang w:val="en_US" w:bidi="en_US"/>
        </w:rPr>
        <w:t>his mother:</w:t>
      </w:r>
      <w:r>
        <w:rPr>
          <w:lang w:val="en_US" w:bidi="en_US"/>
        </w:rPr>
        <w:t xml:space="preserve"> The phrase </w:t>
      </w:r>
      <w:r>
        <w:rPr>
          <w:i/>
          <w:lang w:val="en_US" w:bidi="en_US"/>
        </w:rPr>
        <w:t>his mother</w:t>
      </w:r>
      <w:r>
        <w:rPr>
          <w:lang w:val="en_US" w:bidi="en_US"/>
        </w:rPr>
        <w:t xml:space="preserve"> refers to Elizabeth, the baby’s mother. Your translation should not imply that it refers to Zechariah’s mother. In some languages it may be helpful to add the name “Elizabeth” to make this clear.</w:t>
      </w:r>
    </w:p>
    <w:p>
      <w:pPr/>
      <w:r>
        <w:rPr>
          <w:lang w:val="en_US" w:bidi="en_US"/>
        </w:rPr>
      </w:r>
      <w:r>
        <w:rPr>
          <w:b/>
          <w:lang w:val="en_US" w:bidi="en_US"/>
        </w:rPr>
        <w:t>replied:</w:t>
      </w:r>
      <w:r>
        <w:rPr>
          <w:lang w:val="en_US" w:bidi="en_US"/>
        </w:rPr>
        <w:t xml:space="preserve"> The Greek phrase that the BSB translates as </w:t>
      </w:r>
      <w:r>
        <w:rPr>
          <w:i/>
          <w:lang w:val="en_US" w:bidi="en_US"/>
        </w:rPr>
        <w:t>replied</w:t>
      </w:r>
      <w:r>
        <w:rPr>
          <w:lang w:val="en_US" w:bidi="en_US"/>
        </w:rPr>
        <w:t xml:space="preserve"> is literally “answered and said” (as in the NASB). In Greek the verb “answered” implies that Elizabeth was responding to what the people said. It does not imply that she was answering a question. In some languages it may be more natural in just have one verb of speech here. For example:</w:t>
      </w:r>
    </w:p>
    <w:p>
      <w:pPr/>
      <w:r>
        <w:rPr>
          <w:lang w:val="en_US" w:bidi="en_US"/>
        </w:rPr>
      </w:r>
      <w:r>
        <w:rPr>
          <w:lang w:val="en_US" w:bidi="en_US"/>
        </w:rPr>
        <w:t>but his mother said (RSV)</w:t>
      </w:r>
    </w:p>
    <w:p>
      <w:pPr/>
      <w:r>
        <w:rPr>
          <w:lang w:val="en_US" w:bidi="en_US"/>
        </w:rPr>
      </w:r>
      <w:r>
        <w:rPr>
          <w:b/>
          <w:lang w:val="en_US" w:bidi="en_US"/>
        </w:rPr>
        <w:t>No!:</w:t>
      </w:r>
      <w:r>
        <w:rPr>
          <w:lang w:val="en_US" w:bidi="en_US"/>
        </w:rPr>
        <w:t xml:space="preserve"> The Greek word that the BSB translates as </w:t>
      </w:r>
      <w:r>
        <w:rPr>
          <w:i/>
          <w:lang w:val="en_US" w:bidi="en_US"/>
        </w:rPr>
        <w:t>No!</w:t>
      </w:r>
      <w:r>
        <w:rPr>
          <w:lang w:val="en_US" w:bidi="en_US"/>
        </w:rPr>
        <w:t xml:space="preserve"> is an exclamation. It emphasizes that Elizabeth disagreed with what the people said and contradicted it. If the word </w:t>
      </w:r>
      <w:r>
        <w:rPr>
          <w:i/>
          <w:lang w:val="en_US" w:bidi="en_US"/>
        </w:rPr>
        <w:t>No!</w:t>
      </w:r>
      <w:r>
        <w:rPr>
          <w:lang w:val="en_US" w:bidi="en_US"/>
        </w:rPr>
        <w:t xml:space="preserve"> would imply the answer to a question here, you may need to use a different expression to show that Elizabeth disagreed with the people. For example:</w:t>
      </w:r>
    </w:p>
    <w:p>
      <w:pPr/>
      <w:r>
        <w:rPr>
          <w:lang w:val="en_US" w:bidi="en_US"/>
        </w:rPr>
      </w:r>
      <w:r>
        <w:rPr>
          <w:lang w:val="en_US" w:bidi="en_US"/>
        </w:rPr>
        <w:t>Absolutely not! (GW)</w:t>
      </w:r>
    </w:p>
    <w:p>
      <w:pPr/>
      <w:r>
        <w:rPr>
          <w:lang w:val="en_US" w:bidi="en_US"/>
        </w:rPr>
      </w:r>
      <w:r>
        <w:rPr>
          <w:lang w:val="en_US" w:bidi="en_US"/>
        </w:rPr>
        <w:t xml:space="preserve">His name will </w:t>
      </w:r>
      <w:r>
        <w:rPr>
          <w:u w:val="single"/>
          <w:lang w:val="en_US" w:bidi="en_US"/>
        </w:rPr>
        <w:t>definitely not</w:t>
      </w:r>
      <w:r>
        <w:rPr>
          <w:lang w:val="en_US" w:bidi="en_US"/>
        </w:rPr>
        <w:t xml:space="preserve"> be Zechariah!</w:t>
      </w:r>
    </w:p>
    <w:p>
      <w:pPr/>
      <w:r>
        <w:rPr>
          <w:lang w:val="en_US" w:bidi="en_US"/>
        </w:rPr>
      </w:r>
      <w:r>
        <w:rPr>
          <w:lang w:val="en_US" w:bidi="en_US"/>
        </w:rPr>
        <w:t>Indeed, he will not be named Zechariah.</w:t>
      </w:r>
    </w:p>
    <w:p>
      <w:pPr>
        <w:pStyle w:val="Heading5"/>
      </w:pPr>
      <w:r>
        <w:rPr>
          <w:lang w:val="en_US" w:bidi="en_US"/>
        </w:rPr>
        <w:t>1:60b</w:t>
      </w:r>
    </w:p>
    <w:p>
      <w:pPr/>
      <w:r>
        <w:rPr>
          <w:lang w:val="en_US" w:bidi="en_US"/>
        </w:rPr>
      </w:r>
      <w:r>
        <w:rPr>
          <w:b/>
          <w:lang w:val="en_US" w:bidi="en_US"/>
        </w:rPr>
        <w:t>He shall be called John.”</w:t>
      </w:r>
    </w:p>
    <w:p>
      <w:pPr>
        <w:pStyle w:val="ListBullet"/>
        <w:spacing w:line="240" w:lineRule="auto"/>
        <w:ind w:left="720"/>
      </w:pPr>
      <w:r>
        <w:rPr>
          <w:lang w:val="en_US" w:bidi="en_US"/>
        </w:rPr>
      </w:r>
      <w:r>
        <w:rPr>
          <w:lang w:val="en_US" w:bidi="en_US"/>
        </w:rPr>
        <w:t>Instead/Rather,</w:t>
      </w:r>
      <w:r>
        <w:rPr>
          <w:lang w:val="en_US" w:bidi="en_US"/>
        </w:rPr>
        <w:t xml:space="preserve"> his name will be John!”</w:t>
      </w:r>
    </w:p>
    <w:p>
      <w:pPr>
        <w:pStyle w:val="ListBullet"/>
        <w:spacing w:line="240" w:lineRule="auto"/>
        <w:ind w:left="720"/>
      </w:pPr>
      <w:r>
        <w:rPr>
          <w:lang w:val="en_US" w:bidi="en_US"/>
        </w:rPr>
      </w:r>
      <w:r>
        <w:rPr>
          <w:lang w:val="en_US" w:bidi="en_US"/>
        </w:rPr>
        <w:t>“</w:t>
      </w:r>
      <w:r>
        <w:rPr>
          <w:lang w:val="en_US" w:bidi="en_US"/>
        </w:rPr>
        <w:t>On the contrary,</w:t>
      </w:r>
      <w:r>
        <w:rPr>
          <w:lang w:val="en_US" w:bidi="en_US"/>
        </w:rPr>
        <w:t xml:space="preserve"> we</w:t>
      </w:r>
      <w:r>
        <w:rPr>
          <w:vertAlign w:val="superscript"/>
          <w:lang w:val="en_US" w:bidi="en_US"/>
        </w:rPr>
        <w:t>(incl)</w:t>
      </w:r>
      <w:r>
        <w:rPr>
          <w:lang w:val="en_US" w:bidi="en_US"/>
        </w:rPr>
        <w:t xml:space="preserve"> must call him John.”</w:t>
      </w:r>
    </w:p>
    <w:p>
      <w:pPr>
        <w:pStyle w:val="ListBullet"/>
        <w:spacing w:line="240" w:lineRule="auto"/>
        <w:ind w:left="720"/>
      </w:pPr>
      <w:r>
        <w:rPr>
          <w:lang w:val="en_US" w:bidi="en_US"/>
        </w:rPr>
      </w:r>
      <w:r>
        <w:rPr>
          <w:lang w:val="en_US" w:bidi="en_US"/>
        </w:rPr>
        <w:t>that his name must be John.</w:t>
      </w:r>
    </w:p>
    <w:p>
      <w:pPr/>
      <w:r>
        <w:rPr>
          <w:lang w:val="en_US" w:bidi="en_US"/>
        </w:rPr>
      </w:r>
      <w:r>
        <w:rPr>
          <w:lang w:val="en_US" w:bidi="en_US"/>
        </w:rPr>
        <w:t>In the Greek text 1:60b begins with a conjunction that expresses strong contrast. It introduces Elizabeth’s statement that the baby must be given a different name from the one that her visitors expected. The BSB has not translated this conjunction. Try to translate it with a word or phrase that (politely) contradicts a previous statement, for example:</w:t>
      </w:r>
    </w:p>
    <w:p>
      <w:pPr/>
      <w:r>
        <w:rPr>
          <w:lang w:val="en_US" w:bidi="en_US"/>
        </w:rPr>
      </w:r>
      <w:r>
        <w:rPr>
          <w:lang w:val="en_US" w:bidi="en_US"/>
        </w:rPr>
        <w:t>On the contrary</w:t>
      </w:r>
    </w:p>
    <w:p>
      <w:pPr/>
      <w:r>
        <w:rPr>
          <w:lang w:val="en_US" w:bidi="en_US"/>
        </w:rPr>
      </w:r>
      <w:r>
        <w:rPr>
          <w:lang w:val="en_US" w:bidi="en_US"/>
        </w:rPr>
        <w:t>Instead/rather</w:t>
      </w:r>
    </w:p>
    <w:p>
      <w:pPr/>
      <w:r>
        <w:rPr>
          <w:lang w:val="en_US" w:bidi="en_US"/>
        </w:rPr>
      </w:r>
      <w:r>
        <w:rPr>
          <w:lang w:val="en_US" w:bidi="en_US"/>
        </w:rPr>
        <w:t>But</w:t>
      </w:r>
    </w:p>
    <w:p>
      <w:pPr/>
      <w:r>
        <w:rPr>
          <w:lang w:val="en_US" w:bidi="en_US"/>
        </w:rPr>
      </w:r>
      <w:r>
        <w:rPr>
          <w:b/>
          <w:lang w:val="en_US" w:bidi="en_US"/>
        </w:rPr>
        <w:t>He shall be called John:</w:t>
      </w:r>
      <w:r>
        <w:rPr>
          <w:lang w:val="en_US" w:bidi="en_US"/>
        </w:rPr>
        <w:t xml:space="preserve"> The Greek clause that the BSB translates as </w:t>
      </w:r>
      <w:r>
        <w:rPr>
          <w:i/>
          <w:lang w:val="en_US" w:bidi="en_US"/>
        </w:rPr>
        <w:t>He shall be called John</w:t>
      </w:r>
      <w:r>
        <w:rPr>
          <w:lang w:val="en_US" w:bidi="en_US"/>
        </w:rPr>
        <w:t xml:space="preserve"> uses the future tense to indicate that the choice of the baby’s name has been firmly decided and will not be changed. Some other ways to express this are:</w:t>
      </w:r>
    </w:p>
    <w:p>
      <w:pPr/>
      <w:r>
        <w:rPr>
          <w:lang w:val="en_US" w:bidi="en_US"/>
        </w:rPr>
      </w:r>
      <w:r>
        <w:rPr>
          <w:lang w:val="en_US" w:bidi="en_US"/>
        </w:rPr>
        <w:t>His name is John! (NLT)</w:t>
      </w:r>
    </w:p>
    <w:p>
      <w:pPr/>
      <w:r>
        <w:rPr>
          <w:lang w:val="en_US" w:bidi="en_US"/>
        </w:rPr>
      </w:r>
      <w:r>
        <w:rPr>
          <w:lang w:val="en_US" w:bidi="en_US"/>
        </w:rPr>
        <w:t>He must be named John. (NET)</w:t>
      </w:r>
    </w:p>
    <w:p>
      <w:pPr/>
      <w:r>
        <w:rPr>
          <w:lang w:val="en_US" w:bidi="en_US"/>
        </w:rPr>
      </w:r>
      <w:r>
        <w:rPr>
          <w:lang w:val="en_US" w:bidi="en_US"/>
        </w:rPr>
        <w:t xml:space="preserve">The Greek text did not say who would call or name the baby </w:t>
      </w:r>
      <w:r>
        <w:rPr>
          <w:i/>
          <w:lang w:val="en_US" w:bidi="en_US"/>
        </w:rPr>
        <w:t>John</w:t>
      </w:r>
      <w:r>
        <w:rPr>
          <w:lang w:val="en_US" w:bidi="en_US"/>
        </w:rPr>
        <w:t>. If you must supply such information, it is recommended that you use a general word such as “we” or “people.” For example:</w:t>
      </w:r>
    </w:p>
    <w:p>
      <w:pPr/>
      <w:r>
        <w:rPr>
          <w:lang w:val="en_US" w:bidi="en_US"/>
        </w:rPr>
      </w:r>
      <w:r>
        <w:rPr>
          <w:lang w:val="en_US" w:bidi="en_US"/>
        </w:rPr>
        <w:t>We must name him John.</w:t>
      </w:r>
    </w:p>
    <w:p>
      <w:pPr/>
      <w:r>
        <w:rPr>
          <w:lang w:val="en_US" w:bidi="en_US"/>
        </w:rPr>
      </w:r>
      <w:r>
        <w:rPr>
          <w:lang w:val="en_US" w:bidi="en_US"/>
        </w:rPr>
        <w:t>People must call him John.</w:t>
      </w:r>
      <w:r>
        <w:rPr>
          <w:lang w:val="en_US" w:bidi="en_US"/>
        </w:rPr>
      </w:r>
      <w:r>
        <w:rPr>
          <w:lang w:val="en_US" w:bidi="en_US"/>
        </w:rPr>
      </w:r>
    </w:p>
    <w:p>
      <w:pPr/>
      <w:r>
        <w:rPr>
          <w:lang w:val="en_US" w:bidi="en_US"/>
        </w:rPr>
      </w:r>
    </w:p>
    <w:p>
      <w:pPr>
        <w:pStyle w:val="Heading2"/>
      </w:pPr>
      <w:r>
        <w:rPr>
          <w:lang w:val="en_US" w:bidi="en_US"/>
        </w:rPr>
        <w:t>Luke 1:61</w:t>
      </w:r>
      <w:r>
        <w:rPr>
          <w:lang w:val="en_US" w:bidi="en_US"/>
        </w:rPr>
      </w:r>
    </w:p>
    <w:p>
      <w:pPr>
        <w:pStyle w:val="Heading4"/>
      </w:pPr>
      <w:r>
        <w:rPr>
          <w:lang w:val="en_US" w:bidi="en_US"/>
        </w:rPr>
        <w:t>Section 1:57–66: John the Baptizer was born and received his name</w:t>
      </w:r>
    </w:p>
    <w:p>
      <w:pPr/>
      <w:r>
        <w:rPr>
          <w:lang w:val="en_US" w:bidi="en_US"/>
        </w:rPr>
      </w:r>
      <w:r>
        <w:rPr>
          <w:lang w:val="en_US" w:bidi="en_US"/>
        </w:rPr>
        <w:t>In this section, Elizabeth gave birth to a son, and she and his father gave him the name John. John received this name at the time when he was circumcised. He was the one who was later called John the Baptizer.</w:t>
      </w:r>
    </w:p>
    <w:p>
      <w:pPr/>
      <w:r>
        <w:rPr>
          <w:lang w:val="en_US" w:bidi="en_US"/>
        </w:rPr>
      </w:r>
      <w:r>
        <w:rPr>
          <w:lang w:val="en_US" w:bidi="en_US"/>
        </w:rPr>
        <w:t>It was Jewish custom to circumcise a baby boy one week after his birth. The circumcision commonly took place at the family’s home. The father or a man who specialized in doing circumcision would cut off the skin at the end of the baby’s penis. This was a sign in each boy’s body that he was part of Israel and included in the covenant that God had made with Israel. Neighbors and relatives joined in the celebration.</w:t>
      </w:r>
    </w:p>
    <w:p>
      <w:pPr/>
      <w:r>
        <w:rPr>
          <w:lang w:val="en_US" w:bidi="en_US"/>
        </w:rPr>
      </w:r>
      <w:r>
        <w:rPr>
          <w:lang w:val="en_US" w:bidi="en_US"/>
        </w:rPr>
        <w:t>God had shown his power in causing Elizabeth to become pregnant when she was old and had been unable to have children. When the baby was circumcised, God again showed his power by restoring Zechariah’s ability to speak. The unusual events in connection with John’s birth were told throughout the hill country of Judah. As a result, people thought about these things and felt awe and fear to see God working in that powerful way among them.</w:t>
      </w:r>
    </w:p>
    <w:p>
      <w:pPr/>
      <w:r>
        <w:rPr>
          <w:lang w:val="en_US" w:bidi="en_US"/>
        </w:rPr>
      </w:r>
      <w:r>
        <w:rPr>
          <w:lang w:val="en_US" w:bidi="en_US"/>
        </w:rPr>
        <w:t>Some other possible headings for this section are:</w:t>
      </w:r>
    </w:p>
    <w:p>
      <w:pPr/>
      <w:r>
        <w:rPr>
          <w:lang w:val="en_US" w:bidi="en_US"/>
        </w:rPr>
      </w:r>
      <w:r>
        <w:rPr>
          <w:lang w:val="en_US" w:bidi="en_US"/>
        </w:rPr>
        <w:t>Elizabeth gave birth to John</w:t>
      </w:r>
    </w:p>
    <w:p>
      <w:pPr/>
      <w:r>
        <w:rPr>
          <w:lang w:val="en_US" w:bidi="en_US"/>
        </w:rPr>
      </w:r>
      <w:r>
        <w:rPr>
          <w:lang w:val="en_US" w:bidi="en_US"/>
        </w:rPr>
        <w:t>Elizabeth gave birth to a baby who was circumcised and named John</w:t>
      </w:r>
    </w:p>
    <w:p>
      <w:pPr/>
      <w:r>
        <w:rPr>
          <w:lang w:val="en_US" w:bidi="en_US"/>
        </w:rPr>
      </w:r>
      <w:r>
        <w:rPr>
          <w:lang w:val="en_US" w:bidi="en_US"/>
        </w:rPr>
        <w:t>The birth and circumcision of John the Baptizer</w:t>
      </w:r>
    </w:p>
    <w:p>
      <w:pPr>
        <w:pStyle w:val="Heading5"/>
      </w:pPr>
      <w:r>
        <w:rPr>
          <w:lang w:val="en_US" w:bidi="en_US"/>
        </w:rPr>
        <w:t>1:61</w:t>
      </w:r>
    </w:p>
    <w:p>
      <w:pPr/>
      <w:r>
        <w:rPr>
          <w:lang w:val="en_US" w:bidi="en_US"/>
        </w:rPr>
      </w:r>
      <w:r>
        <w:rPr>
          <w:b/>
          <w:lang w:val="en_US" w:bidi="en_US"/>
        </w:rPr>
        <w:t>They said to her, “There is no one among your relatives who bears this name.”</w:t>
      </w:r>
    </w:p>
    <w:p>
      <w:pPr>
        <w:pStyle w:val="ListBullet"/>
        <w:spacing w:line="240" w:lineRule="auto"/>
        <w:ind w:left="720"/>
      </w:pPr>
      <w:r>
        <w:rPr>
          <w:lang w:val="en_US" w:bidi="en_US"/>
        </w:rPr>
      </w:r>
      <w:r>
        <w:rPr>
          <w:lang w:val="en_US" w:bidi="en_US"/>
        </w:rPr>
        <w:t>They said to her, “</w:t>
      </w:r>
      <w:r>
        <w:rPr>
          <w:lang w:val="en_US" w:bidi="en_US"/>
        </w:rPr>
        <w:t>But</w:t>
      </w:r>
      <w:r>
        <w:rPr>
          <w:lang w:val="en_US" w:bidi="en_US"/>
        </w:rPr>
        <w:t xml:space="preserve"> there is no one in your</w:t>
      </w:r>
      <w:r>
        <w:rPr>
          <w:vertAlign w:val="superscript"/>
          <w:lang w:val="en_US" w:bidi="en_US"/>
        </w:rPr>
        <w:t>(sing)</w:t>
      </w:r>
      <w:r>
        <w:rPr>
          <w:lang w:val="en_US" w:bidi="en_US"/>
        </w:rPr>
        <w:t xml:space="preserve"> </w:t>
      </w:r>
      <w:r>
        <w:rPr>
          <w:lang w:val="en_US" w:bidi="en_US"/>
        </w:rPr>
        <w:t>whole</w:t>
      </w:r>
      <w:r>
        <w:rPr>
          <w:lang w:val="en_US" w:bidi="en_US"/>
        </w:rPr>
        <w:t xml:space="preserve"> family with that name!”</w:t>
      </w:r>
    </w:p>
    <w:p>
      <w:pPr>
        <w:pStyle w:val="ListBullet"/>
        <w:spacing w:line="240" w:lineRule="auto"/>
        <w:ind w:left="720"/>
      </w:pPr>
      <w:r>
        <w:rPr>
          <w:lang w:val="en_US" w:bidi="en_US"/>
        </w:rPr>
      </w:r>
      <w:r>
        <w:rPr>
          <w:lang w:val="en_US" w:bidi="en_US"/>
        </w:rPr>
        <w:t>They responded. “No one related to you</w:t>
      </w:r>
      <w:r>
        <w:rPr>
          <w:vertAlign w:val="superscript"/>
          <w:lang w:val="en_US" w:bidi="en_US"/>
        </w:rPr>
        <w:t>(dual)</w:t>
      </w:r>
      <w:r>
        <w:rPr>
          <w:lang w:val="en_US" w:bidi="en_US"/>
        </w:rPr>
        <w:t xml:space="preserve"> is called </w:t>
      </w:r>
      <w:r>
        <w:rPr>
          <w:lang w:val="en_US" w:bidi="en_US"/>
        </w:rPr>
        <w:t>John</w:t>
      </w:r>
      <w:r>
        <w:rPr>
          <w:lang w:val="en_US" w:bidi="en_US"/>
        </w:rPr>
        <w:t>!”</w:t>
      </w:r>
    </w:p>
    <w:p>
      <w:pPr>
        <w:pStyle w:val="ListBullet"/>
        <w:spacing w:line="240" w:lineRule="auto"/>
        <w:ind w:left="720"/>
      </w:pPr>
      <w:r>
        <w:rPr>
          <w:lang w:val="en_US" w:bidi="en_US"/>
        </w:rPr>
      </w:r>
      <w:r>
        <w:rPr>
          <w:lang w:val="en_US" w:bidi="en_US"/>
        </w:rPr>
        <w:t>They objected and said that no one in her/their family had the name John.</w:t>
      </w:r>
    </w:p>
    <w:p>
      <w:pPr/>
      <w:r>
        <w:rPr>
          <w:lang w:val="en_US" w:bidi="en_US"/>
        </w:rPr>
      </w:r>
      <w:r>
        <w:rPr>
          <w:b/>
          <w:lang w:val="en_US" w:bidi="en_US"/>
        </w:rPr>
        <w:t>They said to her, “There is no one among your relatives who bears this name.”:</w:t>
      </w:r>
      <w:r>
        <w:rPr>
          <w:lang w:val="en_US" w:bidi="en_US"/>
        </w:rPr>
        <w:t xml:space="preserve"> In 1:61 the people disagreed with what Elizabeth said in 1:60. They thought that the baby should not be named John because none of their relatives had that name. Some English versions express this as a contrast by using the word “but” at the beginning of what the people said. For example:</w:t>
      </w:r>
    </w:p>
    <w:p>
      <w:pPr/>
      <w:r>
        <w:rPr>
          <w:lang w:val="en_US" w:bidi="en_US"/>
        </w:rPr>
      </w:r>
      <w:r>
        <w:rPr>
          <w:lang w:val="en_US" w:bidi="en_US"/>
        </w:rPr>
        <w:t>They said to her, “But you don’t have any relative with that name!” (GNT)</w:t>
      </w:r>
    </w:p>
    <w:p>
      <w:pPr/>
      <w:r>
        <w:rPr>
          <w:lang w:val="en_US" w:bidi="en_US"/>
        </w:rPr>
      </w:r>
      <w:r>
        <w:rPr>
          <w:lang w:val="en_US" w:bidi="en_US"/>
        </w:rPr>
        <w:t>Connect these verses in a way that is natural in your language.</w:t>
      </w:r>
    </w:p>
    <w:p>
      <w:pPr/>
      <w:r>
        <w:rPr>
          <w:lang w:val="en_US" w:bidi="en_US"/>
        </w:rPr>
      </w:r>
      <w:r>
        <w:rPr>
          <w:b/>
          <w:lang w:val="en_US" w:bidi="en_US"/>
        </w:rPr>
        <w:t>There is no one among your relatives who bears this name:</w:t>
      </w:r>
      <w:r>
        <w:rPr>
          <w:lang w:val="en_US" w:bidi="en_US"/>
        </w:rPr>
        <w:t xml:space="preserve"> This statement implies that the people expected the baby to be given the name of someone in the family. In some languages it may be helpful to add implied information to make that clear. For example:</w:t>
      </w:r>
    </w:p>
    <w:p>
      <w:pPr/>
      <w:r>
        <w:rPr>
          <w:lang w:val="en_US" w:bidi="en_US"/>
        </w:rPr>
      </w:r>
      <w:r>
        <w:rPr>
          <w:lang w:val="en_US" w:bidi="en_US"/>
        </w:rPr>
        <w:t>We expected you to name the baby after a relative, and</w:t>
      </w:r>
      <w:r>
        <w:rPr>
          <w:lang w:val="en_US" w:bidi="en_US"/>
        </w:rPr>
        <w:t xml:space="preserve"> none of your relatives have that name.</w:t>
      </w:r>
    </w:p>
    <w:p>
      <w:pPr/>
      <w:r>
        <w:rPr>
          <w:lang w:val="en_US" w:bidi="en_US"/>
        </w:rPr>
      </w:r>
      <w:r>
        <w:rPr>
          <w:lang w:val="en_US" w:bidi="en_US"/>
        </w:rPr>
        <w:t>But don’t you want to name the baby after someone in your family?</w:t>
      </w:r>
      <w:r>
        <w:rPr>
          <w:lang w:val="en_US" w:bidi="en_US"/>
        </w:rPr>
        <w:t xml:space="preserve"> No one in your family has that name.</w:t>
      </w:r>
    </w:p>
    <w:p>
      <w:pPr/>
      <w:r>
        <w:rPr>
          <w:lang w:val="en_US" w:bidi="en_US"/>
        </w:rPr>
      </w:r>
      <w:r>
        <w:rPr>
          <w:b/>
          <w:lang w:val="en_US" w:bidi="en_US"/>
        </w:rPr>
        <w:t>your relatives:</w:t>
      </w:r>
      <w:r>
        <w:rPr>
          <w:lang w:val="en_US" w:bidi="en_US"/>
        </w:rPr>
        <w:t xml:space="preserve"> The pronoun </w:t>
      </w:r>
      <w:r>
        <w:rPr>
          <w:i/>
          <w:lang w:val="en_US" w:bidi="en_US"/>
        </w:rPr>
        <w:t>your</w:t>
      </w:r>
      <w:r>
        <w:rPr>
          <w:lang w:val="en_US" w:bidi="en_US"/>
        </w:rPr>
        <w:t xml:space="preserve"> is singular. It may refer only to Elizabeth’s relatives. However, it probably includes both her relatives and Zechariah’s. This is because Elizabeth and Zechariah were related by marriage. It was also common to name a son after his father or grandfather (father’s father). In some languages it may be more natural to use a dual or plural form here. For example:</w:t>
      </w:r>
    </w:p>
    <w:p>
      <w:pPr/>
      <w:r>
        <w:rPr>
          <w:lang w:val="en_US" w:bidi="en_US"/>
        </w:rPr>
      </w:r>
      <w:r>
        <w:rPr>
          <w:lang w:val="en_US" w:bidi="en_US"/>
        </w:rPr>
        <w:t>your</w:t>
      </w:r>
      <w:r>
        <w:rPr>
          <w:vertAlign w:val="superscript"/>
          <w:lang w:val="en_US" w:bidi="en_US"/>
        </w:rPr>
        <w:t>(plur)</w:t>
      </w:r>
    </w:p>
    <w:p>
      <w:pPr/>
      <w:r>
        <w:rPr>
          <w:lang w:val="en_US" w:bidi="en_US"/>
        </w:rPr>
      </w:r>
      <w:r>
        <w:rPr>
          <w:lang w:val="en_US" w:bidi="en_US"/>
        </w:rPr>
        <w:t>your</w:t>
      </w:r>
      <w:r>
        <w:rPr>
          <w:vertAlign w:val="superscript"/>
          <w:lang w:val="en_US" w:bidi="en_US"/>
        </w:rPr>
        <w:t>(dual)</w:t>
      </w:r>
      <w:r>
        <w:rPr>
          <w:lang w:val="en_US" w:bidi="en_US"/>
        </w:rPr>
      </w:r>
      <w:r>
        <w:rPr>
          <w:lang w:val="en_US" w:bidi="en_US"/>
        </w:rPr>
      </w:r>
    </w:p>
    <w:p>
      <w:pPr/>
      <w:r>
        <w:rPr>
          <w:lang w:val="en_US" w:bidi="en_US"/>
        </w:rPr>
      </w:r>
    </w:p>
    <w:p>
      <w:pPr>
        <w:pStyle w:val="Heading2"/>
      </w:pPr>
      <w:r>
        <w:rPr>
          <w:lang w:val="en_US" w:bidi="en_US"/>
        </w:rPr>
        <w:t>Luke 1:62</w:t>
      </w:r>
      <w:r>
        <w:rPr>
          <w:lang w:val="en_US" w:bidi="en_US"/>
        </w:rPr>
      </w:r>
    </w:p>
    <w:p>
      <w:pPr>
        <w:pStyle w:val="Heading4"/>
      </w:pPr>
      <w:r>
        <w:rPr>
          <w:lang w:val="en_US" w:bidi="en_US"/>
        </w:rPr>
        <w:t>Section 1:57–66: John the Baptizer was born and received his name</w:t>
      </w:r>
    </w:p>
    <w:p>
      <w:pPr/>
      <w:r>
        <w:rPr>
          <w:lang w:val="en_US" w:bidi="en_US"/>
        </w:rPr>
      </w:r>
      <w:r>
        <w:rPr>
          <w:lang w:val="en_US" w:bidi="en_US"/>
        </w:rPr>
        <w:t>In this section, Elizabeth gave birth to a son, and she and his father gave him the name John. John received this name at the time when he was circumcised. He was the one who was later called John the Baptizer.</w:t>
      </w:r>
    </w:p>
    <w:p>
      <w:pPr/>
      <w:r>
        <w:rPr>
          <w:lang w:val="en_US" w:bidi="en_US"/>
        </w:rPr>
      </w:r>
      <w:r>
        <w:rPr>
          <w:lang w:val="en_US" w:bidi="en_US"/>
        </w:rPr>
        <w:t>It was Jewish custom to circumcise a baby boy one week after his birth. The circumcision commonly took place at the family’s home. The father or a man who specialized in doing circumcision would cut off the skin at the end of the baby’s penis. This was a sign in each boy’s body that he was part of Israel and included in the covenant that God had made with Israel. Neighbors and relatives joined in the celebration.</w:t>
      </w:r>
    </w:p>
    <w:p>
      <w:pPr/>
      <w:r>
        <w:rPr>
          <w:lang w:val="en_US" w:bidi="en_US"/>
        </w:rPr>
      </w:r>
      <w:r>
        <w:rPr>
          <w:lang w:val="en_US" w:bidi="en_US"/>
        </w:rPr>
        <w:t>God had shown his power in causing Elizabeth to become pregnant when she was old and had been unable to have children. When the baby was circumcised, God again showed his power by restoring Zechariah’s ability to speak. The unusual events in connection with John’s birth were told throughout the hill country of Judah. As a result, people thought about these things and felt awe and fear to see God working in that powerful way among them.</w:t>
      </w:r>
    </w:p>
    <w:p>
      <w:pPr/>
      <w:r>
        <w:rPr>
          <w:lang w:val="en_US" w:bidi="en_US"/>
        </w:rPr>
      </w:r>
      <w:r>
        <w:rPr>
          <w:lang w:val="en_US" w:bidi="en_US"/>
        </w:rPr>
        <w:t>Some other possible headings for this section are:</w:t>
      </w:r>
    </w:p>
    <w:p>
      <w:pPr/>
      <w:r>
        <w:rPr>
          <w:lang w:val="en_US" w:bidi="en_US"/>
        </w:rPr>
      </w:r>
      <w:r>
        <w:rPr>
          <w:lang w:val="en_US" w:bidi="en_US"/>
        </w:rPr>
        <w:t>Elizabeth gave birth to John</w:t>
      </w:r>
    </w:p>
    <w:p>
      <w:pPr/>
      <w:r>
        <w:rPr>
          <w:lang w:val="en_US" w:bidi="en_US"/>
        </w:rPr>
      </w:r>
      <w:r>
        <w:rPr>
          <w:lang w:val="en_US" w:bidi="en_US"/>
        </w:rPr>
        <w:t>Elizabeth gave birth to a baby who was circumcised and named John</w:t>
      </w:r>
    </w:p>
    <w:p>
      <w:pPr/>
      <w:r>
        <w:rPr>
          <w:lang w:val="en_US" w:bidi="en_US"/>
        </w:rPr>
      </w:r>
      <w:r>
        <w:rPr>
          <w:lang w:val="en_US" w:bidi="en_US"/>
        </w:rPr>
        <w:t>The birth and circumcision of John the Baptizer</w:t>
      </w:r>
    </w:p>
    <w:p>
      <w:pPr>
        <w:pStyle w:val="Heading5"/>
      </w:pPr>
      <w:r>
        <w:rPr>
          <w:lang w:val="en_US" w:bidi="en_US"/>
        </w:rPr>
        <w:t>1:62a</w:t>
      </w:r>
    </w:p>
    <w:p>
      <w:pPr/>
      <w:r>
        <w:rPr>
          <w:lang w:val="en_US" w:bidi="en_US"/>
        </w:rPr>
      </w:r>
      <w:r>
        <w:rPr>
          <w:b/>
          <w:lang w:val="en_US" w:bidi="en_US"/>
        </w:rPr>
        <w:t>So they made signs to his father</w:t>
      </w:r>
    </w:p>
    <w:p>
      <w:pPr>
        <w:pStyle w:val="ListBullet"/>
        <w:spacing w:line="240" w:lineRule="auto"/>
        <w:ind w:left="720"/>
      </w:pPr>
      <w:r>
        <w:rPr>
          <w:lang w:val="en_US" w:bidi="en_US"/>
        </w:rPr>
      </w:r>
      <w:r>
        <w:rPr>
          <w:lang w:val="en_US" w:bidi="en_US"/>
        </w:rPr>
        <w:t>Then they signaled/gestured to the baby’s father,</w:t>
      </w:r>
    </w:p>
    <w:p>
      <w:pPr>
        <w:pStyle w:val="ListBullet"/>
        <w:spacing w:line="240" w:lineRule="auto"/>
        <w:ind w:left="720"/>
      </w:pPr>
      <w:r>
        <w:rPr>
          <w:lang w:val="en_US" w:bidi="en_US"/>
        </w:rPr>
      </w:r>
      <w:r>
        <w:rPr>
          <w:lang w:val="en_US" w:bidi="en_US"/>
        </w:rPr>
        <w:t xml:space="preserve">Then they made motions </w:t>
      </w:r>
      <w:r>
        <w:rPr>
          <w:lang w:val="en_US" w:bidi="en_US"/>
        </w:rPr>
        <w:t>with their hands</w:t>
      </w:r>
      <w:r>
        <w:rPr>
          <w:lang w:val="en_US" w:bidi="en_US"/>
        </w:rPr>
        <w:t xml:space="preserve"> </w:t>
      </w:r>
      <w:r>
        <w:rPr>
          <w:lang w:val="en_US" w:bidi="en_US"/>
        </w:rPr>
        <w:t>to ask</w:t>
      </w:r>
      <w:r>
        <w:rPr>
          <w:lang w:val="en_US" w:bidi="en_US"/>
        </w:rPr>
        <w:t xml:space="preserve"> Zechariah</w:t>
      </w:r>
    </w:p>
    <w:p>
      <w:pPr/>
      <w:r>
        <w:rPr>
          <w:lang w:val="en_US" w:bidi="en_US"/>
        </w:rPr>
      </w:r>
      <w:r>
        <w:rPr>
          <w:b/>
          <w:lang w:val="en_US" w:bidi="en_US"/>
        </w:rPr>
        <w:t>So they made signs to his father:</w:t>
      </w:r>
      <w:r>
        <w:rPr>
          <w:lang w:val="en_US" w:bidi="en_US"/>
        </w:rPr>
        <w:t xml:space="preserve"> The visitors communicated to the baby’s father here by motioning with their hands.</w:t>
      </w:r>
    </w:p>
    <w:p>
      <w:pPr/>
      <w:r>
        <w:rPr>
          <w:lang w:val="en_US" w:bidi="en_US"/>
        </w:rPr>
      </w:r>
      <w:r>
        <w:rPr>
          <w:b/>
          <w:lang w:val="en_US" w:bidi="en_US"/>
        </w:rPr>
        <w:t>his father:</w:t>
      </w:r>
      <w:r>
        <w:rPr>
          <w:lang w:val="en_US" w:bidi="en_US"/>
        </w:rPr>
        <w:t xml:space="preserve"> It may be necessary to make it clear that </w:t>
      </w:r>
      <w:r>
        <w:rPr>
          <w:i/>
          <w:lang w:val="en_US" w:bidi="en_US"/>
        </w:rPr>
        <w:t>his father</w:t>
      </w:r>
      <w:r>
        <w:rPr>
          <w:lang w:val="en_US" w:bidi="en_US"/>
        </w:rPr>
        <w:t xml:space="preserve"> refers to the baby’s father, that is, Zechariah. For example:</w:t>
      </w:r>
    </w:p>
    <w:p>
      <w:pPr/>
      <w:r>
        <w:rPr>
          <w:lang w:val="en_US" w:bidi="en_US"/>
        </w:rPr>
      </w:r>
      <w:r>
        <w:rPr>
          <w:lang w:val="en_US" w:bidi="en_US"/>
        </w:rPr>
        <w:t>they made signs to the baby’s father</w:t>
      </w:r>
    </w:p>
    <w:p>
      <w:pPr/>
      <w:r>
        <w:rPr>
          <w:lang w:val="en_US" w:bidi="en_US"/>
        </w:rPr>
      </w:r>
      <w:r>
        <w:rPr>
          <w:lang w:val="en_US" w:bidi="en_US"/>
        </w:rPr>
        <w:t>they made signs to Zechariah</w:t>
      </w:r>
    </w:p>
    <w:p>
      <w:pPr>
        <w:pStyle w:val="Heading5"/>
      </w:pPr>
      <w:r>
        <w:rPr>
          <w:lang w:val="en_US" w:bidi="en_US"/>
        </w:rPr>
        <w:t>1:62b</w:t>
      </w:r>
    </w:p>
    <w:p>
      <w:pPr/>
      <w:r>
        <w:rPr>
          <w:lang w:val="en_US" w:bidi="en_US"/>
        </w:rPr>
      </w:r>
      <w:r>
        <w:rPr>
          <w:b/>
          <w:lang w:val="en_US" w:bidi="en_US"/>
        </w:rPr>
        <w:t>to find out what he wanted to name the child.</w:t>
      </w:r>
    </w:p>
    <w:p>
      <w:pPr>
        <w:pStyle w:val="ListBullet"/>
        <w:spacing w:line="240" w:lineRule="auto"/>
        <w:ind w:left="720"/>
      </w:pPr>
      <w:r>
        <w:rPr>
          <w:lang w:val="en_US" w:bidi="en_US"/>
        </w:rPr>
      </w:r>
      <w:r>
        <w:rPr>
          <w:lang w:val="en_US" w:bidi="en_US"/>
        </w:rPr>
        <w:t>asking</w:t>
      </w:r>
      <w:r>
        <w:rPr>
          <w:lang w:val="en_US" w:bidi="en_US"/>
        </w:rPr>
        <w:t xml:space="preserve"> what he wanted to name the child.</w:t>
      </w:r>
    </w:p>
    <w:p>
      <w:pPr>
        <w:pStyle w:val="ListBullet"/>
        <w:spacing w:line="240" w:lineRule="auto"/>
        <w:ind w:left="720"/>
      </w:pPr>
      <w:r>
        <w:rPr>
          <w:lang w:val="en_US" w:bidi="en_US"/>
        </w:rPr>
      </w:r>
      <w:r>
        <w:rPr>
          <w:lang w:val="en_US" w:bidi="en_US"/>
        </w:rPr>
        <w:t>what/how he wanted people to call the baby.</w:t>
      </w:r>
    </w:p>
    <w:p>
      <w:pPr/>
      <w:r>
        <w:rPr>
          <w:lang w:val="en_US" w:bidi="en_US"/>
        </w:rPr>
      </w:r>
      <w:r>
        <w:rPr>
          <w:b/>
          <w:lang w:val="en_US" w:bidi="en_US"/>
        </w:rPr>
        <w:t>to find out what he wanted to name the child:</w:t>
      </w:r>
      <w:r>
        <w:rPr>
          <w:lang w:val="en_US" w:bidi="en_US"/>
        </w:rPr>
        <w:t xml:space="preserve"> Luke 1:62b gives the meaning of the people’s question that they asked by making signs with their hands. Some other ways to translate this are:</w:t>
      </w:r>
    </w:p>
    <w:p>
      <w:pPr/>
      <w:r>
        <w:rPr>
          <w:lang w:val="en_US" w:bidi="en_US"/>
        </w:rPr>
      </w:r>
      <w:r>
        <w:rPr>
          <w:lang w:val="en_US" w:bidi="en_US"/>
        </w:rPr>
        <w:t>inquiring what he wanted to name his son (NET)</w:t>
      </w:r>
    </w:p>
    <w:p>
      <w:pPr/>
      <w:r>
        <w:rPr>
          <w:lang w:val="en_US" w:bidi="en_US"/>
        </w:rPr>
      </w:r>
      <w:r>
        <w:rPr>
          <w:lang w:val="en_US" w:bidi="en_US"/>
        </w:rPr>
        <w:t>asking how he wanted people to call the baby</w:t>
      </w:r>
    </w:p>
    <w:p>
      <w:pPr/>
      <w:r>
        <w:rPr>
          <w:lang w:val="en_US" w:bidi="en_US"/>
        </w:rPr>
      </w:r>
      <w:r>
        <w:rPr>
          <w:lang w:val="en_US" w:bidi="en_US"/>
        </w:rPr>
        <w:t>In some languages it may be natural to express this in direct speech, even though the people communicated this through signs and not through speech. For example:</w:t>
      </w:r>
    </w:p>
    <w:p>
      <w:pPr/>
      <w:r>
        <w:rPr>
          <w:lang w:val="en_US" w:bidi="en_US"/>
        </w:rPr>
      </w:r>
      <w:r>
        <w:rPr>
          <w:lang w:val="en_US" w:bidi="en_US"/>
        </w:rPr>
        <w:t>…they used signs to ask the baby’s father: “What/how do you want people to call the child?”</w:t>
      </w:r>
      <w:r>
        <w:rPr>
          <w:lang w:val="en_US" w:bidi="en_US"/>
        </w:rPr>
      </w:r>
      <w:r>
        <w:rPr>
          <w:lang w:val="en_US" w:bidi="en_US"/>
        </w:rPr>
      </w:r>
    </w:p>
    <w:p>
      <w:pPr/>
      <w:r>
        <w:rPr>
          <w:lang w:val="en_US" w:bidi="en_US"/>
        </w:rPr>
      </w:r>
    </w:p>
    <w:p>
      <w:pPr>
        <w:pStyle w:val="Heading2"/>
      </w:pPr>
      <w:r>
        <w:rPr>
          <w:lang w:val="en_US" w:bidi="en_US"/>
        </w:rPr>
        <w:t>Luke 1:63</w:t>
      </w:r>
      <w:r>
        <w:rPr>
          <w:lang w:val="en_US" w:bidi="en_US"/>
        </w:rPr>
      </w:r>
    </w:p>
    <w:p>
      <w:pPr>
        <w:pStyle w:val="Heading4"/>
      </w:pPr>
      <w:r>
        <w:rPr>
          <w:lang w:val="en_US" w:bidi="en_US"/>
        </w:rPr>
        <w:t>Section 1:57–66: John the Baptizer was born and received his name</w:t>
      </w:r>
    </w:p>
    <w:p>
      <w:pPr/>
      <w:r>
        <w:rPr>
          <w:lang w:val="en_US" w:bidi="en_US"/>
        </w:rPr>
      </w:r>
      <w:r>
        <w:rPr>
          <w:lang w:val="en_US" w:bidi="en_US"/>
        </w:rPr>
        <w:t>In this section, Elizabeth gave birth to a son, and she and his father gave him the name John. John received this name at the time when he was circumcised. He was the one who was later called John the Baptizer.</w:t>
      </w:r>
    </w:p>
    <w:p>
      <w:pPr/>
      <w:r>
        <w:rPr>
          <w:lang w:val="en_US" w:bidi="en_US"/>
        </w:rPr>
      </w:r>
      <w:r>
        <w:rPr>
          <w:lang w:val="en_US" w:bidi="en_US"/>
        </w:rPr>
        <w:t>It was Jewish custom to circumcise a baby boy one week after his birth. The circumcision commonly took place at the family’s home. The father or a man who specialized in doing circumcision would cut off the skin at the end of the baby’s penis. This was a sign in each boy’s body that he was part of Israel and included in the covenant that God had made with Israel. Neighbors and relatives joined in the celebration.</w:t>
      </w:r>
    </w:p>
    <w:p>
      <w:pPr/>
      <w:r>
        <w:rPr>
          <w:lang w:val="en_US" w:bidi="en_US"/>
        </w:rPr>
      </w:r>
      <w:r>
        <w:rPr>
          <w:lang w:val="en_US" w:bidi="en_US"/>
        </w:rPr>
        <w:t>God had shown his power in causing Elizabeth to become pregnant when she was old and had been unable to have children. When the baby was circumcised, God again showed his power by restoring Zechariah’s ability to speak. The unusual events in connection with John’s birth were told throughout the hill country of Judah. As a result, people thought about these things and felt awe and fear to see God working in that powerful way among them.</w:t>
      </w:r>
    </w:p>
    <w:p>
      <w:pPr/>
      <w:r>
        <w:rPr>
          <w:lang w:val="en_US" w:bidi="en_US"/>
        </w:rPr>
      </w:r>
      <w:r>
        <w:rPr>
          <w:lang w:val="en_US" w:bidi="en_US"/>
        </w:rPr>
        <w:t>Some other possible headings for this section are:</w:t>
      </w:r>
    </w:p>
    <w:p>
      <w:pPr/>
      <w:r>
        <w:rPr>
          <w:lang w:val="en_US" w:bidi="en_US"/>
        </w:rPr>
      </w:r>
      <w:r>
        <w:rPr>
          <w:lang w:val="en_US" w:bidi="en_US"/>
        </w:rPr>
        <w:t>Elizabeth gave birth to John</w:t>
      </w:r>
    </w:p>
    <w:p>
      <w:pPr/>
      <w:r>
        <w:rPr>
          <w:lang w:val="en_US" w:bidi="en_US"/>
        </w:rPr>
      </w:r>
      <w:r>
        <w:rPr>
          <w:lang w:val="en_US" w:bidi="en_US"/>
        </w:rPr>
        <w:t>Elizabeth gave birth to a baby who was circumcised and named John</w:t>
      </w:r>
    </w:p>
    <w:p>
      <w:pPr/>
      <w:r>
        <w:rPr>
          <w:lang w:val="en_US" w:bidi="en_US"/>
        </w:rPr>
      </w:r>
      <w:r>
        <w:rPr>
          <w:lang w:val="en_US" w:bidi="en_US"/>
        </w:rPr>
        <w:t>The birth and circumcision of John the Baptizer</w:t>
      </w:r>
    </w:p>
    <w:p>
      <w:pPr>
        <w:pStyle w:val="Heading5"/>
      </w:pPr>
      <w:r>
        <w:rPr>
          <w:lang w:val="en_US" w:bidi="en_US"/>
        </w:rPr>
        <w:t>1:63a</w:t>
      </w:r>
    </w:p>
    <w:p>
      <w:pPr/>
      <w:r>
        <w:rPr>
          <w:lang w:val="en_US" w:bidi="en_US"/>
        </w:rPr>
      </w:r>
      <w:r>
        <w:rPr>
          <w:b/>
          <w:lang w:val="en_US" w:bidi="en_US"/>
        </w:rPr>
        <w:t>Zechariah asked for a tablet</w:t>
      </w:r>
    </w:p>
    <w:p>
      <w:pPr>
        <w:pStyle w:val="ListBullet"/>
        <w:spacing w:line="240" w:lineRule="auto"/>
        <w:ind w:left="720"/>
      </w:pPr>
      <w:r>
        <w:rPr>
          <w:lang w:val="en_US" w:bidi="en_US"/>
        </w:rPr>
      </w:r>
      <w:r>
        <w:rPr>
          <w:lang w:val="en_US" w:bidi="en_US"/>
        </w:rPr>
        <w:t>¶ Zechariah requested a board to write on,</w:t>
      </w:r>
    </w:p>
    <w:p>
      <w:pPr>
        <w:pStyle w:val="ListBullet"/>
        <w:spacing w:line="240" w:lineRule="auto"/>
        <w:ind w:left="720"/>
      </w:pPr>
      <w:r>
        <w:rPr>
          <w:lang w:val="en_US" w:bidi="en_US"/>
        </w:rPr>
      </w:r>
      <w:r>
        <w:rPr>
          <w:lang w:val="en_US" w:bidi="en_US"/>
        </w:rPr>
        <w:t xml:space="preserve">¶ Zechariah showed/indicated that he wanted </w:t>
      </w:r>
      <w:r>
        <w:rPr>
          <w:lang w:val="en_US" w:bidi="en_US"/>
        </w:rPr>
        <w:t>someone to bring him</w:t>
      </w:r>
      <w:r>
        <w:rPr>
          <w:lang w:val="en_US" w:bidi="en_US"/>
        </w:rPr>
        <w:t xml:space="preserve"> something to write on.</w:t>
      </w:r>
    </w:p>
    <w:p>
      <w:pPr>
        <w:pStyle w:val="ListBullet"/>
        <w:spacing w:line="240" w:lineRule="auto"/>
        <w:ind w:left="720"/>
      </w:pPr>
      <w:r>
        <w:rPr>
          <w:lang w:val="en_US" w:bidi="en_US"/>
        </w:rPr>
      </w:r>
      <w:r>
        <w:rPr>
          <w:lang w:val="en_US" w:bidi="en_US"/>
        </w:rPr>
        <w:t xml:space="preserve">¶ At Zechariah’s request, </w:t>
      </w:r>
      <w:r>
        <w:rPr>
          <w:lang w:val="en_US" w:bidi="en_US"/>
        </w:rPr>
        <w:t>someone brought him</w:t>
      </w:r>
      <w:r>
        <w:rPr>
          <w:lang w:val="en_US" w:bidi="en_US"/>
        </w:rPr>
        <w:t xml:space="preserve"> a writing tablet,</w:t>
      </w:r>
    </w:p>
    <w:p>
      <w:pPr/>
      <w:r>
        <w:rPr>
          <w:lang w:val="en_US" w:bidi="en_US"/>
        </w:rPr>
      </w:r>
      <w:r>
        <w:rPr>
          <w:lang w:val="en_US" w:bidi="en_US"/>
        </w:rPr>
        <w:t>In this verse Zechariah wrote on a writing tablet. The text does not state explicitly that someone brought him the tablet, but it is implied. In some languages it may be helpful to make this explicit. For example:</w:t>
      </w:r>
    </w:p>
    <w:p>
      <w:pPr/>
      <w:r>
        <w:rPr>
          <w:lang w:val="en_US" w:bidi="en_US"/>
        </w:rPr>
      </w:r>
      <w:r>
        <w:rPr>
          <w:lang w:val="en_US" w:bidi="en_US"/>
        </w:rPr>
        <w:t>Someone brought him the tablet,</w:t>
      </w:r>
      <w:r>
        <w:rPr>
          <w:lang w:val="en_US" w:bidi="en_US"/>
        </w:rPr>
        <w:t xml:space="preserve"> and </w:t>
      </w:r>
      <w:r>
        <w:rPr>
          <w:lang w:val="en_US" w:bidi="en_US"/>
        </w:rPr>
        <w:t>then</w:t>
      </w:r>
    </w:p>
    <w:p>
      <w:pPr/>
      <w:r>
        <w:rPr>
          <w:lang w:val="en_US" w:bidi="en_US"/>
        </w:rPr>
      </w:r>
      <w:r>
        <w:rPr>
          <w:b/>
          <w:lang w:val="en_US" w:bidi="en_US"/>
        </w:rPr>
        <w:t>Zechariah asked for a tablet:</w:t>
      </w:r>
      <w:r>
        <w:rPr>
          <w:lang w:val="en_US" w:bidi="en_US"/>
        </w:rPr>
        <w:t xml:space="preserve"> The verb </w:t>
      </w:r>
      <w:r>
        <w:rPr>
          <w:i/>
          <w:lang w:val="en_US" w:bidi="en_US"/>
        </w:rPr>
        <w:t>asked for</w:t>
      </w:r>
      <w:r>
        <w:rPr>
          <w:lang w:val="en_US" w:bidi="en_US"/>
        </w:rPr>
        <w:t xml:space="preserve"> here means “indicated that he wanted.” Zechariah showed his visitors that he wanted something to write on. He could not yet talk, so he motioned, probably with his hands, to show that he wanted to write something.</w:t>
      </w:r>
    </w:p>
    <w:p>
      <w:pPr/>
      <w:r>
        <w:rPr>
          <w:lang w:val="en_US" w:bidi="en_US"/>
        </w:rPr>
      </w:r>
      <w:r>
        <w:rPr>
          <w:b/>
          <w:lang w:val="en_US" w:bidi="en_US"/>
        </w:rPr>
        <w:t>tablet:</w:t>
      </w:r>
      <w:r>
        <w:rPr>
          <w:lang w:val="en_US" w:bidi="en_US"/>
        </w:rPr>
        <w:t xml:space="preserve"> The Greek word that the BSB translates as </w:t>
      </w:r>
      <w:r>
        <w:rPr>
          <w:i/>
          <w:lang w:val="en_US" w:bidi="en_US"/>
        </w:rPr>
        <w:t>tablet</w:t>
      </w:r>
      <w:r>
        <w:rPr>
          <w:lang w:val="en_US" w:bidi="en_US"/>
        </w:rPr>
        <w:t xml:space="preserve"> refers to a small wooden board that someone had covered with wax. People could write by making marks in the wax with a pointed object that was shaped like a pen.</w:t>
      </w:r>
    </w:p>
    <w:p>
      <w:pPr>
        <w:pStyle w:val="Heading5"/>
      </w:pPr>
      <w:r>
        <w:rPr>
          <w:lang w:val="en_US" w:bidi="en_US"/>
        </w:rPr>
        <w:t>1:63b</w:t>
      </w:r>
    </w:p>
    <w:p>
      <w:pPr/>
      <w:r>
        <w:rPr>
          <w:lang w:val="en_US" w:bidi="en_US"/>
        </w:rPr>
      </w:r>
      <w:r>
        <w:rPr>
          <w:b/>
          <w:lang w:val="en_US" w:bidi="en_US"/>
        </w:rPr>
        <w:t>and wrote, “His name is John.” And they were all amazed.</w:t>
      </w:r>
    </w:p>
    <w:p>
      <w:pPr>
        <w:pStyle w:val="ListBullet"/>
        <w:spacing w:line="240" w:lineRule="auto"/>
        <w:ind w:left="720"/>
      </w:pPr>
      <w:r>
        <w:rPr>
          <w:lang w:val="en_US" w:bidi="en_US"/>
        </w:rPr>
      </w:r>
      <w:r>
        <w:rPr>
          <w:lang w:val="en_US" w:bidi="en_US"/>
        </w:rPr>
        <w:t>and he wrote these words on it: “His name is John.” This surprised everyone.</w:t>
      </w:r>
    </w:p>
    <w:p>
      <w:pPr>
        <w:pStyle w:val="ListBullet"/>
        <w:spacing w:line="240" w:lineRule="auto"/>
        <w:ind w:left="720"/>
      </w:pPr>
      <w:r>
        <w:rPr>
          <w:lang w:val="en_US" w:bidi="en_US"/>
        </w:rPr>
      </w:r>
      <w:r>
        <w:rPr>
          <w:lang w:val="en_US" w:bidi="en_US"/>
        </w:rPr>
        <w:t>When they brought it,</w:t>
      </w:r>
      <w:r>
        <w:rPr>
          <w:lang w:val="en_US" w:bidi="en_US"/>
        </w:rPr>
        <w:t xml:space="preserve"> he wrote, “John is his name.” And the people were amazed.</w:t>
      </w:r>
    </w:p>
    <w:p>
      <w:pPr>
        <w:pStyle w:val="ListBullet"/>
        <w:spacing w:line="240" w:lineRule="auto"/>
        <w:ind w:left="720"/>
      </w:pPr>
      <w:r>
        <w:rPr>
          <w:lang w:val="en_US" w:bidi="en_US"/>
        </w:rPr>
      </w:r>
      <w:r>
        <w:rPr>
          <w:lang w:val="en_US" w:bidi="en_US"/>
        </w:rPr>
        <w:t xml:space="preserve">and he wrote </w:t>
      </w:r>
      <w:r>
        <w:rPr>
          <w:lang w:val="en_US" w:bidi="en_US"/>
        </w:rPr>
        <w:t>on it these words</w:t>
      </w:r>
      <w:r>
        <w:rPr>
          <w:lang w:val="en_US" w:bidi="en_US"/>
        </w:rPr>
        <w:t xml:space="preserve">: “His name is John.” Everyone </w:t>
      </w:r>
      <w:r>
        <w:rPr>
          <w:lang w:val="en_US" w:bidi="en_US"/>
        </w:rPr>
        <w:t>present</w:t>
      </w:r>
      <w:r>
        <w:rPr>
          <w:lang w:val="en_US" w:bidi="en_US"/>
        </w:rPr>
        <w:t xml:space="preserve"> was very surprised.</w:t>
      </w:r>
    </w:p>
    <w:p>
      <w:pPr/>
      <w:r>
        <w:rPr>
          <w:lang w:val="en_US" w:bidi="en_US"/>
        </w:rPr>
      </w:r>
      <w:r>
        <w:rPr>
          <w:b/>
          <w:lang w:val="en_US" w:bidi="en_US"/>
        </w:rPr>
        <w:t>And they were all amazed:</w:t>
      </w:r>
      <w:r>
        <w:rPr>
          <w:lang w:val="en_US" w:bidi="en_US"/>
        </w:rPr>
        <w:t xml:space="preserve"> The Greek phrase that the BSB translates as </w:t>
      </w:r>
      <w:r>
        <w:rPr>
          <w:i/>
          <w:lang w:val="en_US" w:bidi="en_US"/>
        </w:rPr>
        <w:t>they were all amazed</w:t>
      </w:r>
      <w:r>
        <w:rPr>
          <w:lang w:val="en_US" w:bidi="en_US"/>
        </w:rPr>
        <w:t xml:space="preserve"> means “all the people </w:t>
      </w:r>
      <w:r>
        <w:rPr>
          <w:lang w:val="en_US" w:bidi="en_US"/>
        </w:rPr>
        <w:t>who saw what Zechariah wrote</w:t>
      </w:r>
      <w:r>
        <w:rPr>
          <w:lang w:val="en_US" w:bidi="en_US"/>
        </w:rPr>
        <w:t xml:space="preserve"> were amazed.” The Greek word that the BSB translates as </w:t>
      </w:r>
      <w:r>
        <w:rPr>
          <w:i/>
          <w:lang w:val="en_US" w:bidi="en_US"/>
        </w:rPr>
        <w:t>amazed</w:t>
      </w:r>
      <w:r>
        <w:rPr>
          <w:lang w:val="en_US" w:bidi="en_US"/>
        </w:rPr>
        <w:t xml:space="preserve"> also occurs in 1:21. See the note in 1:21b on “wondering why he took so long in the temple.”</w:t>
      </w:r>
      <w:r>
        <w:rPr>
          <w:lang w:val="en_US" w:bidi="en_US"/>
        </w:rPr>
      </w:r>
      <w:r>
        <w:rPr>
          <w:lang w:val="en_US" w:bidi="en_US"/>
        </w:rPr>
      </w:r>
    </w:p>
    <w:p>
      <w:pPr/>
      <w:r>
        <w:rPr>
          <w:lang w:val="en_US" w:bidi="en_US"/>
        </w:rPr>
      </w:r>
    </w:p>
    <w:p>
      <w:pPr>
        <w:pStyle w:val="Heading2"/>
      </w:pPr>
      <w:r>
        <w:rPr>
          <w:lang w:val="en_US" w:bidi="en_US"/>
        </w:rPr>
        <w:t>Luke 1:64</w:t>
      </w:r>
      <w:r>
        <w:rPr>
          <w:lang w:val="en_US" w:bidi="en_US"/>
        </w:rPr>
      </w:r>
    </w:p>
    <w:p>
      <w:pPr>
        <w:pStyle w:val="Heading4"/>
      </w:pPr>
      <w:r>
        <w:rPr>
          <w:lang w:val="en_US" w:bidi="en_US"/>
        </w:rPr>
        <w:t>Section 1:57–66: John the Baptizer was born and received his name</w:t>
      </w:r>
    </w:p>
    <w:p>
      <w:pPr/>
      <w:r>
        <w:rPr>
          <w:lang w:val="en_US" w:bidi="en_US"/>
        </w:rPr>
      </w:r>
      <w:r>
        <w:rPr>
          <w:lang w:val="en_US" w:bidi="en_US"/>
        </w:rPr>
        <w:t>In this section, Elizabeth gave birth to a son, and she and his father gave him the name John. John received this name at the time when he was circumcised. He was the one who was later called John the Baptizer.</w:t>
      </w:r>
    </w:p>
    <w:p>
      <w:pPr/>
      <w:r>
        <w:rPr>
          <w:lang w:val="en_US" w:bidi="en_US"/>
        </w:rPr>
      </w:r>
      <w:r>
        <w:rPr>
          <w:lang w:val="en_US" w:bidi="en_US"/>
        </w:rPr>
        <w:t>It was Jewish custom to circumcise a baby boy one week after his birth. The circumcision commonly took place at the family’s home. The father or a man who specialized in doing circumcision would cut off the skin at the end of the baby’s penis. This was a sign in each boy’s body that he was part of Israel and included in the covenant that God had made with Israel. Neighbors and relatives joined in the celebration.</w:t>
      </w:r>
    </w:p>
    <w:p>
      <w:pPr/>
      <w:r>
        <w:rPr>
          <w:lang w:val="en_US" w:bidi="en_US"/>
        </w:rPr>
      </w:r>
      <w:r>
        <w:rPr>
          <w:lang w:val="en_US" w:bidi="en_US"/>
        </w:rPr>
        <w:t>God had shown his power in causing Elizabeth to become pregnant when she was old and had been unable to have children. When the baby was circumcised, God again showed his power by restoring Zechariah’s ability to speak. The unusual events in connection with John’s birth were told throughout the hill country of Judah. As a result, people thought about these things and felt awe and fear to see God working in that powerful way among them.</w:t>
      </w:r>
    </w:p>
    <w:p>
      <w:pPr/>
      <w:r>
        <w:rPr>
          <w:lang w:val="en_US" w:bidi="en_US"/>
        </w:rPr>
      </w:r>
      <w:r>
        <w:rPr>
          <w:lang w:val="en_US" w:bidi="en_US"/>
        </w:rPr>
        <w:t>Some other possible headings for this section are:</w:t>
      </w:r>
    </w:p>
    <w:p>
      <w:pPr/>
      <w:r>
        <w:rPr>
          <w:lang w:val="en_US" w:bidi="en_US"/>
        </w:rPr>
      </w:r>
      <w:r>
        <w:rPr>
          <w:lang w:val="en_US" w:bidi="en_US"/>
        </w:rPr>
        <w:t>Elizabeth gave birth to John</w:t>
      </w:r>
    </w:p>
    <w:p>
      <w:pPr/>
      <w:r>
        <w:rPr>
          <w:lang w:val="en_US" w:bidi="en_US"/>
        </w:rPr>
      </w:r>
      <w:r>
        <w:rPr>
          <w:lang w:val="en_US" w:bidi="en_US"/>
        </w:rPr>
        <w:t>Elizabeth gave birth to a baby who was circumcised and named John</w:t>
      </w:r>
    </w:p>
    <w:p>
      <w:pPr/>
      <w:r>
        <w:rPr>
          <w:lang w:val="en_US" w:bidi="en_US"/>
        </w:rPr>
      </w:r>
      <w:r>
        <w:rPr>
          <w:lang w:val="en_US" w:bidi="en_US"/>
        </w:rPr>
        <w:t>The birth and circumcision of John the Baptizer</w:t>
      </w:r>
    </w:p>
    <w:p>
      <w:pPr>
        <w:pStyle w:val="Heading5"/>
      </w:pPr>
      <w:r>
        <w:rPr>
          <w:lang w:val="en_US" w:bidi="en_US"/>
        </w:rPr>
        <w:t>1:64a</w:t>
      </w:r>
    </w:p>
    <w:p>
      <w:pPr/>
      <w:r>
        <w:rPr>
          <w:lang w:val="en_US" w:bidi="en_US"/>
        </w:rPr>
      </w:r>
      <w:r>
        <w:rPr>
          <w:b/>
          <w:lang w:val="en_US" w:bidi="en_US"/>
        </w:rPr>
        <w:t>Immediately Zechariah’s mouth was opened and his tongue was released,</w:t>
      </w:r>
    </w:p>
    <w:p>
      <w:pPr>
        <w:pStyle w:val="ListBullet"/>
        <w:spacing w:line="240" w:lineRule="auto"/>
        <w:ind w:left="720"/>
      </w:pPr>
      <w:r>
        <w:rPr>
          <w:lang w:val="en_US" w:bidi="en_US"/>
        </w:rPr>
      </w:r>
      <w:r>
        <w:rPr>
          <w:lang w:val="en_US" w:bidi="en_US"/>
        </w:rPr>
        <w:t>At that very moment, Zechariah’s ability to speak was restored/regained,</w:t>
      </w:r>
    </w:p>
    <w:p>
      <w:pPr>
        <w:pStyle w:val="ListBullet"/>
        <w:spacing w:line="240" w:lineRule="auto"/>
        <w:ind w:left="720"/>
      </w:pPr>
      <w:r>
        <w:rPr>
          <w:lang w:val="en_US" w:bidi="en_US"/>
        </w:rPr>
      </w:r>
      <w:r>
        <w:rPr>
          <w:lang w:val="en_US" w:bidi="en_US"/>
        </w:rPr>
        <w:t xml:space="preserve">Just then Zechariah became able to speak/talk </w:t>
      </w:r>
      <w:r>
        <w:rPr>
          <w:lang w:val="en_US" w:bidi="en_US"/>
        </w:rPr>
        <w:t>again</w:t>
      </w:r>
      <w:r>
        <w:rPr>
          <w:lang w:val="en_US" w:bidi="en_US"/>
        </w:rPr>
        <w:t>,</w:t>
      </w:r>
    </w:p>
    <w:p>
      <w:pPr>
        <w:pStyle w:val="ListBullet"/>
        <w:spacing w:line="240" w:lineRule="auto"/>
        <w:ind w:left="720"/>
      </w:pPr>
      <w:r>
        <w:rPr>
          <w:lang w:val="en_US" w:bidi="en_US"/>
        </w:rPr>
      </w:r>
      <w:r>
        <w:rPr>
          <w:lang w:val="en_US" w:bidi="en_US"/>
        </w:rPr>
        <w:t xml:space="preserve">At once </w:t>
      </w:r>
      <w:r>
        <w:rPr>
          <w:lang w:val="en_US" w:bidi="en_US"/>
        </w:rPr>
        <w:t>God</w:t>
      </w:r>
      <w:r>
        <w:rPr>
          <w:lang w:val="en_US" w:bidi="en_US"/>
        </w:rPr>
        <w:t xml:space="preserve"> made it possible for Zechariah</w:t>
      </w:r>
    </w:p>
    <w:p>
      <w:pPr>
        <w:pStyle w:val="Heading5"/>
      </w:pPr>
      <w:r>
        <w:rPr>
          <w:lang w:val="en_US" w:bidi="en_US"/>
        </w:rPr>
        <w:t>1:64b</w:t>
      </w:r>
    </w:p>
    <w:p>
      <w:pPr/>
      <w:r>
        <w:rPr>
          <w:lang w:val="en_US" w:bidi="en_US"/>
        </w:rPr>
      </w:r>
      <w:r>
        <w:rPr>
          <w:b/>
          <w:lang w:val="en_US" w:bidi="en_US"/>
        </w:rPr>
        <w:t>and he began to speak, praising God.</w:t>
      </w:r>
    </w:p>
    <w:p>
      <w:pPr>
        <w:pStyle w:val="ListBullet"/>
        <w:spacing w:line="240" w:lineRule="auto"/>
        <w:ind w:left="720"/>
      </w:pPr>
      <w:r>
        <w:rPr>
          <w:lang w:val="en_US" w:bidi="en_US"/>
        </w:rPr>
      </w:r>
      <w:r>
        <w:rPr>
          <w:lang w:val="en_US" w:bidi="en_US"/>
        </w:rPr>
        <w:t>and he began to praise God.</w:t>
      </w:r>
    </w:p>
    <w:p>
      <w:pPr>
        <w:pStyle w:val="ListBullet"/>
        <w:spacing w:line="240" w:lineRule="auto"/>
        <w:ind w:left="720"/>
      </w:pPr>
      <w:r>
        <w:rPr>
          <w:lang w:val="en_US" w:bidi="en_US"/>
        </w:rPr>
      </w:r>
      <w:r>
        <w:rPr>
          <w:lang w:val="en_US" w:bidi="en_US"/>
        </w:rPr>
        <w:t>and he immediately began to praise God.</w:t>
      </w:r>
    </w:p>
    <w:p>
      <w:pPr>
        <w:pStyle w:val="ListBullet"/>
        <w:spacing w:line="240" w:lineRule="auto"/>
        <w:ind w:left="720"/>
      </w:pPr>
      <w:r>
        <w:rPr>
          <w:lang w:val="en_US" w:bidi="en_US"/>
        </w:rPr>
      </w:r>
      <w:r>
        <w:rPr>
          <w:lang w:val="en_US" w:bidi="en_US"/>
        </w:rPr>
        <w:t>to speak, and he said, “God is very great! God has done great/marvelous things!”</w:t>
      </w:r>
    </w:p>
    <w:p>
      <w:pPr>
        <w:pStyle w:val="Heading5"/>
      </w:pPr>
      <w:r>
        <w:rPr>
          <w:lang w:val="en_US" w:bidi="en_US"/>
        </w:rPr>
        <w:t>1:64a–b</w:t>
      </w:r>
    </w:p>
    <w:p>
      <w:pPr/>
      <w:r>
        <w:rPr>
          <w:lang w:val="en_US" w:bidi="en_US"/>
        </w:rPr>
      </w:r>
      <w:r>
        <w:rPr>
          <w:b/>
          <w:lang w:val="en_US" w:bidi="en_US"/>
        </w:rPr>
        <w:t>Immediately Zechariah’s mouth was opened and his tongue was released, and he began to speak:</w:t>
      </w:r>
      <w:r>
        <w:rPr>
          <w:lang w:val="en_US" w:bidi="en_US"/>
        </w:rPr>
        <w:t xml:space="preserve"> The Greek expression that the BSB translates as </w:t>
      </w:r>
      <w:r>
        <w:rPr>
          <w:i/>
          <w:lang w:val="en_US" w:bidi="en_US"/>
        </w:rPr>
        <w:t>Zechariah’s mouth was opened and his tongue was released</w:t>
      </w:r>
      <w:r>
        <w:rPr>
          <w:lang w:val="en_US" w:bidi="en_US"/>
        </w:rPr>
        <w:t xml:space="preserve"> is a figure of speech. It means that Zechariah became able to speak again. This happened as soon as he wrote the words in 1:63. Then </w:t>
      </w:r>
      <w:r>
        <w:rPr>
          <w:i/>
          <w:lang w:val="en_US" w:bidi="en_US"/>
        </w:rPr>
        <w:t>he began to speak</w:t>
      </w:r>
      <w:r>
        <w:rPr>
          <w:lang w:val="en_US" w:bidi="en_US"/>
        </w:rPr>
        <w:t>.</w:t>
      </w:r>
    </w:p>
    <w:p>
      <w:pPr/>
      <w:r>
        <w:rPr>
          <w:lang w:val="en_US" w:bidi="en_US"/>
        </w:rPr>
      </w:r>
      <w:r>
        <w:rPr>
          <w:lang w:val="en_US" w:bidi="en_US"/>
        </w:rPr>
        <w:t>In many languages a literal translation of the figure of speech may imply a wrong meaning. For example, it may indicate that Zechariah had not been able to open his mouth (and so was unable to eat). If this is true in your language, you should translate the meaning of the figure of speech. For example:</w:t>
      </w:r>
    </w:p>
    <w:p>
      <w:pPr/>
      <w:r>
        <w:rPr>
          <w:lang w:val="en_US" w:bidi="en_US"/>
        </w:rPr>
      </w:r>
      <w:r>
        <w:rPr>
          <w:lang w:val="en_US" w:bidi="en_US"/>
        </w:rPr>
        <w:t>At once, Zechariah regained his ability to speak</w:t>
      </w:r>
    </w:p>
    <w:p>
      <w:pPr/>
      <w:r>
        <w:rPr>
          <w:lang w:val="en_US" w:bidi="en_US"/>
        </w:rPr>
      </w:r>
      <w:r>
        <w:rPr>
          <w:lang w:val="en_US" w:bidi="en_US"/>
        </w:rPr>
        <w:t>Suddenly, Zechariah was able to speak (GW)</w:t>
      </w:r>
    </w:p>
    <w:p>
      <w:pPr/>
      <w:r>
        <w:rPr>
          <w:lang w:val="en_US" w:bidi="en_US"/>
        </w:rPr>
      </w:r>
      <w:r>
        <w:rPr>
          <w:b/>
          <w:lang w:val="en_US" w:bidi="en_US"/>
        </w:rPr>
        <w:t>he began to speak:</w:t>
      </w:r>
      <w:r>
        <w:rPr>
          <w:lang w:val="en_US" w:bidi="en_US"/>
        </w:rPr>
        <w:t xml:space="preserve"> The Greek verb that the BSB translates as he began to speak is literally “he was speaking.” It does not indicate that he began to speak and did not finish what he planned to say. Another way to translate this is:</w:t>
      </w:r>
    </w:p>
    <w:p>
      <w:pPr/>
      <w:r>
        <w:rPr>
          <w:lang w:val="en_US" w:bidi="en_US"/>
        </w:rPr>
      </w:r>
      <w:r>
        <w:rPr>
          <w:lang w:val="en_US" w:bidi="en_US"/>
        </w:rPr>
        <w:t>and he spoke (RSV)</w:t>
      </w:r>
    </w:p>
    <w:p>
      <w:pPr/>
      <w:r>
        <w:rPr>
          <w:lang w:val="en_US" w:bidi="en_US"/>
        </w:rPr>
      </w:r>
      <w:r>
        <w:rPr>
          <w:b/>
          <w:lang w:val="en_US" w:bidi="en_US"/>
        </w:rPr>
        <w:t>speak, praising God:</w:t>
      </w:r>
      <w:r>
        <w:rPr>
          <w:lang w:val="en_US" w:bidi="en_US"/>
        </w:rPr>
        <w:t xml:space="preserve"> When Zechariah was able to speak again, the first words he spoke were words of praise to God. These words of praise may have been the words in 1:67–79. Another way to translate this is:</w:t>
      </w:r>
    </w:p>
    <w:p>
      <w:pPr/>
      <w:r>
        <w:rPr>
          <w:lang w:val="en_US" w:bidi="en_US"/>
        </w:rPr>
      </w:r>
      <w:r>
        <w:rPr>
          <w:vertAlign w:val="superscript"/>
          <w:lang w:val="en_US" w:bidi="en_US"/>
        </w:rPr>
        <w:t>64a</w:t>
      </w:r>
      <w:r>
        <w:rPr>
          <w:lang w:val="en_US" w:bidi="en_US"/>
        </w:rPr>
        <w:t xml:space="preserve">Instantly Zechariah could speak again, </w:t>
      </w:r>
      <w:r>
        <w:rPr>
          <w:vertAlign w:val="superscript"/>
          <w:lang w:val="en_US" w:bidi="en_US"/>
        </w:rPr>
        <w:t>64b</w:t>
      </w:r>
      <w:r>
        <w:rPr>
          <w:lang w:val="en_US" w:bidi="en_US"/>
        </w:rPr>
        <w:t>and he began praising God. (NLT)</w:t>
      </w:r>
    </w:p>
    <w:p>
      <w:pPr/>
      <w:r>
        <w:rPr>
          <w:lang w:val="en_US" w:bidi="en_US"/>
        </w:rPr>
      </w:r>
      <w:r>
        <w:rPr>
          <w:b/>
          <w:lang w:val="en_US" w:bidi="en_US"/>
        </w:rPr>
        <w:t>praising:</w:t>
      </w:r>
      <w:r>
        <w:rPr>
          <w:lang w:val="en_US" w:bidi="en_US"/>
        </w:rPr>
        <w:t xml:space="preserve"> The Greek word that the BSB translates as </w:t>
      </w:r>
      <w:r>
        <w:rPr>
          <w:i/>
          <w:lang w:val="en_US" w:bidi="en_US"/>
        </w:rPr>
        <w:t>praising</w:t>
      </w:r>
      <w:r>
        <w:rPr>
          <w:lang w:val="en_US" w:bidi="en_US"/>
        </w:rPr>
        <w:t xml:space="preserve"> is literally “blessing.” It refers here to expressing praise and gratitude to God. See bless, Meaning 4, in the Glossary.</w:t>
      </w:r>
      <w:r>
        <w:rPr>
          <w:lang w:val="en_US" w:bidi="en_US"/>
        </w:rPr>
      </w:r>
      <w:r>
        <w:rPr>
          <w:lang w:val="en_US" w:bidi="en_US"/>
        </w:rPr>
      </w:r>
    </w:p>
    <w:p>
      <w:pPr/>
      <w:r>
        <w:rPr>
          <w:lang w:val="en_US" w:bidi="en_US"/>
        </w:rPr>
      </w:r>
    </w:p>
    <w:p>
      <w:pPr>
        <w:pStyle w:val="Heading2"/>
      </w:pPr>
      <w:r>
        <w:rPr>
          <w:lang w:val="en_US" w:bidi="en_US"/>
        </w:rPr>
        <w:t>Luke 1:65</w:t>
      </w:r>
      <w:r>
        <w:rPr>
          <w:lang w:val="en_US" w:bidi="en_US"/>
        </w:rPr>
      </w:r>
    </w:p>
    <w:p>
      <w:pPr>
        <w:pStyle w:val="Heading4"/>
      </w:pPr>
      <w:r>
        <w:rPr>
          <w:lang w:val="en_US" w:bidi="en_US"/>
        </w:rPr>
        <w:t>Section 1:57–66: John the Baptizer was born and received his name</w:t>
      </w:r>
    </w:p>
    <w:p>
      <w:pPr/>
      <w:r>
        <w:rPr>
          <w:lang w:val="en_US" w:bidi="en_US"/>
        </w:rPr>
      </w:r>
      <w:r>
        <w:rPr>
          <w:lang w:val="en_US" w:bidi="en_US"/>
        </w:rPr>
        <w:t>In this section, Elizabeth gave birth to a son, and she and his father gave him the name John. John received this name at the time when he was circumcised. He was the one who was later called John the Baptizer.</w:t>
      </w:r>
    </w:p>
    <w:p>
      <w:pPr/>
      <w:r>
        <w:rPr>
          <w:lang w:val="en_US" w:bidi="en_US"/>
        </w:rPr>
      </w:r>
      <w:r>
        <w:rPr>
          <w:lang w:val="en_US" w:bidi="en_US"/>
        </w:rPr>
        <w:t>It was Jewish custom to circumcise a baby boy one week after his birth. The circumcision commonly took place at the family’s home. The father or a man who specialized in doing circumcision would cut off the skin at the end of the baby’s penis. This was a sign in each boy’s body that he was part of Israel and included in the covenant that God had made with Israel. Neighbors and relatives joined in the celebration.</w:t>
      </w:r>
    </w:p>
    <w:p>
      <w:pPr/>
      <w:r>
        <w:rPr>
          <w:lang w:val="en_US" w:bidi="en_US"/>
        </w:rPr>
      </w:r>
      <w:r>
        <w:rPr>
          <w:lang w:val="en_US" w:bidi="en_US"/>
        </w:rPr>
        <w:t>God had shown his power in causing Elizabeth to become pregnant when she was old and had been unable to have children. When the baby was circumcised, God again showed his power by restoring Zechariah’s ability to speak. The unusual events in connection with John’s birth were told throughout the hill country of Judah. As a result, people thought about these things and felt awe and fear to see God working in that powerful way among them.</w:t>
      </w:r>
    </w:p>
    <w:p>
      <w:pPr/>
      <w:r>
        <w:rPr>
          <w:lang w:val="en_US" w:bidi="en_US"/>
        </w:rPr>
      </w:r>
      <w:r>
        <w:rPr>
          <w:lang w:val="en_US" w:bidi="en_US"/>
        </w:rPr>
        <w:t>Some other possible headings for this section are:</w:t>
      </w:r>
    </w:p>
    <w:p>
      <w:pPr/>
      <w:r>
        <w:rPr>
          <w:lang w:val="en_US" w:bidi="en_US"/>
        </w:rPr>
      </w:r>
      <w:r>
        <w:rPr>
          <w:lang w:val="en_US" w:bidi="en_US"/>
        </w:rPr>
        <w:t>Elizabeth gave birth to John</w:t>
      </w:r>
    </w:p>
    <w:p>
      <w:pPr/>
      <w:r>
        <w:rPr>
          <w:lang w:val="en_US" w:bidi="en_US"/>
        </w:rPr>
      </w:r>
      <w:r>
        <w:rPr>
          <w:lang w:val="en_US" w:bidi="en_US"/>
        </w:rPr>
        <w:t>Elizabeth gave birth to a baby who was circumcised and named John</w:t>
      </w:r>
    </w:p>
    <w:p>
      <w:pPr/>
      <w:r>
        <w:rPr>
          <w:lang w:val="en_US" w:bidi="en_US"/>
        </w:rPr>
      </w:r>
      <w:r>
        <w:rPr>
          <w:lang w:val="en_US" w:bidi="en_US"/>
        </w:rPr>
        <w:t>The birth and circumcision of John the Baptizer</w:t>
      </w:r>
    </w:p>
    <w:p>
      <w:pPr>
        <w:pStyle w:val="Heading5"/>
      </w:pPr>
      <w:r>
        <w:rPr>
          <w:lang w:val="en_US" w:bidi="en_US"/>
        </w:rPr>
        <w:t>1:65a</w:t>
      </w:r>
    </w:p>
    <w:p>
      <w:pPr/>
      <w:r>
        <w:rPr>
          <w:lang w:val="en_US" w:bidi="en_US"/>
        </w:rPr>
      </w:r>
      <w:r>
        <w:rPr>
          <w:b/>
          <w:lang w:val="en_US" w:bidi="en_US"/>
        </w:rPr>
        <w:t>All their neighbors were filled with awe,</w:t>
      </w:r>
    </w:p>
    <w:p>
      <w:pPr>
        <w:pStyle w:val="ListBullet"/>
        <w:spacing w:line="240" w:lineRule="auto"/>
        <w:ind w:left="720"/>
      </w:pPr>
      <w:r>
        <w:rPr>
          <w:lang w:val="en_US" w:bidi="en_US"/>
        </w:rPr>
      </w:r>
      <w:r>
        <w:rPr>
          <w:lang w:val="en_US" w:bidi="en_US"/>
        </w:rPr>
        <w:t xml:space="preserve">All their neighbors felt awe/fear </w:t>
      </w:r>
      <w:r>
        <w:rPr>
          <w:lang w:val="en_US" w:bidi="en_US"/>
        </w:rPr>
        <w:t>at what had happened</w:t>
      </w:r>
      <w:r>
        <w:rPr>
          <w:lang w:val="en_US" w:bidi="en_US"/>
        </w:rPr>
        <w:t>.</w:t>
      </w:r>
    </w:p>
    <w:p>
      <w:pPr>
        <w:pStyle w:val="ListBullet"/>
        <w:spacing w:line="240" w:lineRule="auto"/>
        <w:ind w:left="720"/>
      </w:pPr>
      <w:r>
        <w:rPr>
          <w:lang w:val="en_US" w:bidi="en_US"/>
        </w:rPr>
      </w:r>
      <w:r>
        <w:rPr>
          <w:lang w:val="en_US" w:bidi="en_US"/>
        </w:rPr>
        <w:t>All those who lived near them were awed and amazed.</w:t>
      </w:r>
    </w:p>
    <w:p>
      <w:pPr/>
      <w:r>
        <w:rPr>
          <w:lang w:val="en_US" w:bidi="en_US"/>
        </w:rPr>
      </w:r>
      <w:r>
        <w:rPr>
          <w:b/>
          <w:lang w:val="en_US" w:bidi="en_US"/>
        </w:rPr>
        <w:t>All their neighbors were filled with awe:</w:t>
      </w:r>
      <w:r>
        <w:rPr>
          <w:lang w:val="en_US" w:bidi="en_US"/>
        </w:rPr>
        <w:t xml:space="preserve"> The Greek expression that the BSB translates as </w:t>
      </w:r>
      <w:r>
        <w:rPr>
          <w:i/>
          <w:lang w:val="en_US" w:bidi="en_US"/>
        </w:rPr>
        <w:t>All their neighbors were filled with awe</w:t>
      </w:r>
      <w:r>
        <w:rPr>
          <w:lang w:val="en_US" w:bidi="en_US"/>
        </w:rPr>
        <w:t xml:space="preserve"> is literally “fear/awe came upon all the neighbors.” The Greek word that the BSB translates as </w:t>
      </w:r>
      <w:r>
        <w:rPr>
          <w:i/>
          <w:lang w:val="en_US" w:bidi="en_US"/>
        </w:rPr>
        <w:t>awe</w:t>
      </w:r>
      <w:r>
        <w:rPr>
          <w:lang w:val="en_US" w:bidi="en_US"/>
        </w:rPr>
        <w:t xml:space="preserve"> expresses an emotion of amazement and fear. The people felt this way because God worked powerfully among them. Translate this by the word in your language that expresses best what people feel when a supernatural being is present or supernatural power is active.</w:t>
      </w:r>
    </w:p>
    <w:p>
      <w:pPr/>
      <w:r>
        <w:rPr>
          <w:lang w:val="en_US" w:bidi="en_US"/>
        </w:rPr>
      </w:r>
      <w:r>
        <w:rPr>
          <w:lang w:val="en_US" w:bidi="en_US"/>
        </w:rPr>
        <w:t>Some other ways to translate this part of the verse are:</w:t>
      </w:r>
    </w:p>
    <w:p>
      <w:pPr/>
      <w:r>
        <w:rPr>
          <w:lang w:val="en_US" w:bidi="en_US"/>
        </w:rPr>
      </w:r>
      <w:r>
        <w:rPr>
          <w:lang w:val="en_US" w:bidi="en_US"/>
        </w:rPr>
        <w:t>All their neighbors felt great awe</w:t>
      </w:r>
    </w:p>
    <w:p>
      <w:pPr/>
      <w:r>
        <w:rPr>
          <w:lang w:val="en_US" w:bidi="en_US"/>
        </w:rPr>
      </w:r>
      <w:r>
        <w:rPr>
          <w:lang w:val="en_US" w:bidi="en_US"/>
        </w:rPr>
        <w:t>All the people who lived near them were amazed and fearful</w:t>
      </w:r>
    </w:p>
    <w:p>
      <w:pPr/>
      <w:r>
        <w:rPr>
          <w:lang w:val="en_US" w:bidi="en_US"/>
        </w:rPr>
      </w:r>
      <w:r>
        <w:rPr>
          <w:lang w:val="en_US" w:bidi="en_US"/>
        </w:rPr>
        <w:t>All the neighbours were overcome with awe (REB)</w:t>
      </w:r>
    </w:p>
    <w:p>
      <w:pPr/>
      <w:r>
        <w:rPr>
          <w:lang w:val="en_US" w:bidi="en_US"/>
        </w:rPr>
      </w:r>
      <w:r>
        <w:rPr>
          <w:lang w:val="en_US" w:bidi="en_US"/>
        </w:rPr>
        <w:t>In some languages there may be an idiom to express this.</w:t>
      </w:r>
    </w:p>
    <w:p>
      <w:pPr/>
      <w:r>
        <w:rPr>
          <w:lang w:val="en_US" w:bidi="en_US"/>
        </w:rPr>
      </w:r>
      <w:r>
        <w:rPr>
          <w:b/>
          <w:lang w:val="en_US" w:bidi="en_US"/>
        </w:rPr>
        <w:t>All their neighbors:</w:t>
      </w:r>
      <w:r>
        <w:rPr>
          <w:lang w:val="en_US" w:bidi="en_US"/>
        </w:rPr>
        <w:t xml:space="preserve"> The word </w:t>
      </w:r>
      <w:r>
        <w:rPr>
          <w:i/>
          <w:lang w:val="en_US" w:bidi="en_US"/>
        </w:rPr>
        <w:t>neighbors</w:t>
      </w:r>
      <w:r>
        <w:rPr>
          <w:lang w:val="en_US" w:bidi="en_US"/>
        </w:rPr>
        <w:t xml:space="preserve"> here refers to people who lived near Elizabeth and Zechariah. It is the same word as in 1:58a. But in this verse, Luke referred to all of their neighbors, not only to the neighbors who were present for the circumcision.</w:t>
      </w:r>
    </w:p>
    <w:p>
      <w:pPr>
        <w:pStyle w:val="Heading5"/>
      </w:pPr>
      <w:r>
        <w:rPr>
          <w:lang w:val="en_US" w:bidi="en_US"/>
        </w:rPr>
        <w:t>1:65b</w:t>
      </w:r>
    </w:p>
    <w:p>
      <w:pPr/>
      <w:r>
        <w:rPr>
          <w:lang w:val="en_US" w:bidi="en_US"/>
        </w:rPr>
      </w:r>
      <w:r>
        <w:rPr>
          <w:b/>
          <w:lang w:val="en_US" w:bidi="en_US"/>
        </w:rPr>
        <w:t>and people throughout the hill country of Judea</w:t>
      </w:r>
    </w:p>
    <w:p>
      <w:pPr>
        <w:pStyle w:val="ListBullet"/>
        <w:spacing w:line="240" w:lineRule="auto"/>
        <w:ind w:left="720"/>
      </w:pPr>
      <w:r>
        <w:rPr>
          <w:lang w:val="en_US" w:bidi="en_US"/>
        </w:rPr>
      </w:r>
      <w:r>
        <w:rPr>
          <w:lang w:val="en_US" w:bidi="en_US"/>
        </w:rPr>
        <w:t>And all through the mountainous area of Judea</w:t>
      </w:r>
    </w:p>
    <w:p>
      <w:pPr>
        <w:pStyle w:val="ListBullet"/>
        <w:spacing w:line="240" w:lineRule="auto"/>
        <w:ind w:left="720"/>
      </w:pPr>
      <w:r>
        <w:rPr>
          <w:lang w:val="en_US" w:bidi="en_US"/>
        </w:rPr>
      </w:r>
      <w:r>
        <w:rPr>
          <w:lang w:val="en_US" w:bidi="en_US"/>
        </w:rPr>
        <w:t xml:space="preserve">In that whole hilly part </w:t>
      </w:r>
      <w:r>
        <w:rPr>
          <w:lang w:val="en_US" w:bidi="en_US"/>
        </w:rPr>
        <w:t>of the province</w:t>
      </w:r>
      <w:r>
        <w:rPr>
          <w:lang w:val="en_US" w:bidi="en_US"/>
        </w:rPr>
        <w:t xml:space="preserve"> of Judea</w:t>
      </w:r>
    </w:p>
    <w:p>
      <w:pPr/>
      <w:r>
        <w:rPr>
          <w:lang w:val="en_US" w:bidi="en_US"/>
        </w:rPr>
      </w:r>
      <w:r>
        <w:rPr>
          <w:b/>
          <w:lang w:val="en_US" w:bidi="en_US"/>
        </w:rPr>
        <w:t>people throughout the hill country of Judea:</w:t>
      </w:r>
      <w:r>
        <w:rPr>
          <w:lang w:val="en_US" w:bidi="en_US"/>
        </w:rPr>
        <w:t xml:space="preserve"> The phrase </w:t>
      </w:r>
      <w:r>
        <w:rPr>
          <w:i/>
          <w:lang w:val="en_US" w:bidi="en_US"/>
        </w:rPr>
        <w:t>the hill country of Judea</w:t>
      </w:r>
      <w:r>
        <w:rPr>
          <w:lang w:val="en_US" w:bidi="en_US"/>
        </w:rPr>
        <w:t xml:space="preserve"> refers to the hilly area of the province of Judea. This was the area where Elizabeth and Zechariah lived. See the note on 1:39b.</w:t>
      </w:r>
    </w:p>
    <w:p>
      <w:pPr>
        <w:pStyle w:val="Heading5"/>
      </w:pPr>
      <w:r>
        <w:rPr>
          <w:lang w:val="en_US" w:bidi="en_US"/>
        </w:rPr>
        <w:t>1:65c</w:t>
      </w:r>
    </w:p>
    <w:p>
      <w:pPr/>
      <w:r>
        <w:rPr>
          <w:lang w:val="en_US" w:bidi="en_US"/>
        </w:rPr>
      </w:r>
      <w:r>
        <w:rPr>
          <w:b/>
          <w:lang w:val="en_US" w:bidi="en_US"/>
        </w:rPr>
        <w:t>were talking about these events.</w:t>
      </w:r>
    </w:p>
    <w:p>
      <w:pPr>
        <w:pStyle w:val="ListBullet"/>
        <w:spacing w:line="240" w:lineRule="auto"/>
        <w:ind w:left="720"/>
      </w:pPr>
      <w:r>
        <w:rPr>
          <w:lang w:val="en_US" w:bidi="en_US"/>
        </w:rPr>
      </w:r>
      <w:r>
        <w:rPr>
          <w:lang w:val="en_US" w:bidi="en_US"/>
        </w:rPr>
        <w:t>the people were talking about all these events.</w:t>
      </w:r>
    </w:p>
    <w:p>
      <w:pPr>
        <w:pStyle w:val="ListBullet"/>
        <w:spacing w:line="240" w:lineRule="auto"/>
        <w:ind w:left="720"/>
      </w:pPr>
      <w:r>
        <w:rPr>
          <w:lang w:val="en_US" w:bidi="en_US"/>
        </w:rPr>
      </w:r>
      <w:r>
        <w:rPr>
          <w:lang w:val="en_US" w:bidi="en_US"/>
        </w:rPr>
        <w:t xml:space="preserve">people discussed all these things </w:t>
      </w:r>
      <w:r>
        <w:rPr>
          <w:lang w:val="en_US" w:bidi="en_US"/>
        </w:rPr>
        <w:t>that had happened</w:t>
      </w:r>
      <w:r>
        <w:rPr>
          <w:lang w:val="en_US" w:bidi="en_US"/>
        </w:rPr>
        <w:t>.</w:t>
      </w:r>
    </w:p>
    <w:p>
      <w:pPr/>
      <w:r>
        <w:rPr>
          <w:lang w:val="en_US" w:bidi="en_US"/>
        </w:rPr>
      </w:r>
      <w:r>
        <w:rPr>
          <w:b/>
          <w:lang w:val="en_US" w:bidi="en_US"/>
        </w:rPr>
        <w:t>these events:</w:t>
      </w:r>
      <w:r>
        <w:rPr>
          <w:lang w:val="en_US" w:bidi="en_US"/>
        </w:rPr>
        <w:t xml:space="preserve"> The phrase </w:t>
      </w:r>
      <w:r>
        <w:rPr>
          <w:i/>
          <w:lang w:val="en_US" w:bidi="en_US"/>
        </w:rPr>
        <w:t>these events</w:t>
      </w:r>
      <w:r>
        <w:rPr>
          <w:lang w:val="en_US" w:bidi="en_US"/>
        </w:rPr>
        <w:t xml:space="preserve"> refers to the special events that God had caused to happen in relation to John’s birth. For example, God’s angel spoke to Zechariah in the temple, and he became unable to speak. Elizabeth became pregnant, although she was old and had been unable to have children. John was born, and Zechariah became able to speak again and praised God. Refer to these things in a natural way in your language.</w:t>
      </w:r>
      <w:r>
        <w:rPr>
          <w:lang w:val="en_US" w:bidi="en_US"/>
        </w:rPr>
      </w:r>
      <w:r>
        <w:rPr>
          <w:lang w:val="en_US" w:bidi="en_US"/>
        </w:rPr>
      </w:r>
    </w:p>
    <w:p>
      <w:pPr/>
      <w:r>
        <w:rPr>
          <w:lang w:val="en_US" w:bidi="en_US"/>
        </w:rPr>
      </w:r>
    </w:p>
    <w:p>
      <w:pPr>
        <w:pStyle w:val="Heading2"/>
      </w:pPr>
      <w:r>
        <w:rPr>
          <w:lang w:val="en_US" w:bidi="en_US"/>
        </w:rPr>
        <w:t>Luke 1:66</w:t>
      </w:r>
      <w:r>
        <w:rPr>
          <w:lang w:val="en_US" w:bidi="en_US"/>
        </w:rPr>
      </w:r>
    </w:p>
    <w:p>
      <w:pPr>
        <w:pStyle w:val="Heading4"/>
      </w:pPr>
      <w:r>
        <w:rPr>
          <w:lang w:val="en_US" w:bidi="en_US"/>
        </w:rPr>
        <w:t>Section 1:57–66: John the Baptizer was born and received his name</w:t>
      </w:r>
    </w:p>
    <w:p>
      <w:pPr/>
      <w:r>
        <w:rPr>
          <w:lang w:val="en_US" w:bidi="en_US"/>
        </w:rPr>
      </w:r>
      <w:r>
        <w:rPr>
          <w:lang w:val="en_US" w:bidi="en_US"/>
        </w:rPr>
        <w:t>In this section, Elizabeth gave birth to a son, and she and his father gave him the name John. John received this name at the time when he was circumcised. He was the one who was later called John the Baptizer.</w:t>
      </w:r>
    </w:p>
    <w:p>
      <w:pPr/>
      <w:r>
        <w:rPr>
          <w:lang w:val="en_US" w:bidi="en_US"/>
        </w:rPr>
      </w:r>
      <w:r>
        <w:rPr>
          <w:lang w:val="en_US" w:bidi="en_US"/>
        </w:rPr>
        <w:t>It was Jewish custom to circumcise a baby boy one week after his birth. The circumcision commonly took place at the family’s home. The father or a man who specialized in doing circumcision would cut off the skin at the end of the baby’s penis. This was a sign in each boy’s body that he was part of Israel and included in the covenant that God had made with Israel. Neighbors and relatives joined in the celebration.</w:t>
      </w:r>
    </w:p>
    <w:p>
      <w:pPr/>
      <w:r>
        <w:rPr>
          <w:lang w:val="en_US" w:bidi="en_US"/>
        </w:rPr>
      </w:r>
      <w:r>
        <w:rPr>
          <w:lang w:val="en_US" w:bidi="en_US"/>
        </w:rPr>
        <w:t>God had shown his power in causing Elizabeth to become pregnant when she was old and had been unable to have children. When the baby was circumcised, God again showed his power by restoring Zechariah’s ability to speak. The unusual events in connection with John’s birth were told throughout the hill country of Judah. As a result, people thought about these things and felt awe and fear to see God working in that powerful way among them.</w:t>
      </w:r>
    </w:p>
    <w:p>
      <w:pPr/>
      <w:r>
        <w:rPr>
          <w:lang w:val="en_US" w:bidi="en_US"/>
        </w:rPr>
      </w:r>
      <w:r>
        <w:rPr>
          <w:lang w:val="en_US" w:bidi="en_US"/>
        </w:rPr>
        <w:t>Some other possible headings for this section are:</w:t>
      </w:r>
    </w:p>
    <w:p>
      <w:pPr/>
      <w:r>
        <w:rPr>
          <w:lang w:val="en_US" w:bidi="en_US"/>
        </w:rPr>
      </w:r>
      <w:r>
        <w:rPr>
          <w:lang w:val="en_US" w:bidi="en_US"/>
        </w:rPr>
        <w:t>Elizabeth gave birth to John</w:t>
      </w:r>
    </w:p>
    <w:p>
      <w:pPr/>
      <w:r>
        <w:rPr>
          <w:lang w:val="en_US" w:bidi="en_US"/>
        </w:rPr>
      </w:r>
      <w:r>
        <w:rPr>
          <w:lang w:val="en_US" w:bidi="en_US"/>
        </w:rPr>
        <w:t>Elizabeth gave birth to a baby who was circumcised and named John</w:t>
      </w:r>
    </w:p>
    <w:p>
      <w:pPr/>
      <w:r>
        <w:rPr>
          <w:lang w:val="en_US" w:bidi="en_US"/>
        </w:rPr>
      </w:r>
      <w:r>
        <w:rPr>
          <w:lang w:val="en_US" w:bidi="en_US"/>
        </w:rPr>
        <w:t>The birth and circumcision of John the Baptizer</w:t>
      </w:r>
    </w:p>
    <w:p>
      <w:pPr>
        <w:pStyle w:val="Heading5"/>
      </w:pPr>
      <w:r>
        <w:rPr>
          <w:lang w:val="en_US" w:bidi="en_US"/>
        </w:rPr>
        <w:t>1:66a</w:t>
      </w:r>
    </w:p>
    <w:p>
      <w:pPr/>
      <w:r>
        <w:rPr>
          <w:lang w:val="en_US" w:bidi="en_US"/>
        </w:rPr>
      </w:r>
      <w:r>
        <w:rPr>
          <w:b/>
          <w:lang w:val="en_US" w:bidi="en_US"/>
        </w:rPr>
        <w:t>And all who heard this wondered in their hearts and asked,</w:t>
      </w:r>
    </w:p>
    <w:p>
      <w:pPr>
        <w:pStyle w:val="ListBullet"/>
        <w:spacing w:line="240" w:lineRule="auto"/>
        <w:ind w:left="720"/>
      </w:pPr>
      <w:r>
        <w:rPr>
          <w:lang w:val="en_US" w:bidi="en_US"/>
        </w:rPr>
      </w:r>
      <w:r>
        <w:rPr>
          <w:lang w:val="en_US" w:bidi="en_US"/>
        </w:rPr>
        <w:t xml:space="preserve">Everyone who heard the </w:t>
      </w:r>
      <w:r>
        <w:rPr>
          <w:lang w:val="en_US" w:bidi="en_US"/>
        </w:rPr>
        <w:t>discussions</w:t>
      </w:r>
      <w:r>
        <w:rPr>
          <w:lang w:val="en_US" w:bidi="en_US"/>
        </w:rPr>
        <w:t xml:space="preserve"> thought seriously about what had happened and asked:</w:t>
      </w:r>
    </w:p>
    <w:p>
      <w:pPr>
        <w:pStyle w:val="ListBullet"/>
        <w:spacing w:line="240" w:lineRule="auto"/>
        <w:ind w:left="720"/>
      </w:pPr>
      <w:r>
        <w:rPr>
          <w:lang w:val="en_US" w:bidi="en_US"/>
        </w:rPr>
      </w:r>
      <w:r>
        <w:rPr>
          <w:lang w:val="en_US" w:bidi="en_US"/>
        </w:rPr>
        <w:t>Everyone who heard about these things/events continued to ponder them. They said/thought,</w:t>
      </w:r>
    </w:p>
    <w:p>
      <w:pPr>
        <w:pStyle w:val="ListBullet"/>
        <w:spacing w:line="240" w:lineRule="auto"/>
        <w:ind w:left="720"/>
      </w:pPr>
      <w:r>
        <w:rPr>
          <w:lang w:val="en_US" w:bidi="en_US"/>
        </w:rPr>
      </w:r>
      <w:r>
        <w:rPr>
          <w:lang w:val="en_US" w:bidi="en_US"/>
        </w:rPr>
        <w:t>When people heard about the events, they all considered them and thought</w:t>
      </w:r>
    </w:p>
    <w:p>
      <w:pPr/>
      <w:r>
        <w:rPr>
          <w:lang w:val="en_US" w:bidi="en_US"/>
        </w:rPr>
      </w:r>
      <w:r>
        <w:rPr>
          <w:b/>
          <w:lang w:val="en_US" w:bidi="en_US"/>
        </w:rPr>
        <w:t>And all who heard this wondered in their hearts:</w:t>
      </w:r>
      <w:r>
        <w:rPr>
          <w:lang w:val="en_US" w:bidi="en_US"/>
        </w:rPr>
        <w:t xml:space="preserve"> The BSB has used the singular form </w:t>
      </w:r>
      <w:r>
        <w:rPr>
          <w:i/>
          <w:lang w:val="en_US" w:bidi="en_US"/>
        </w:rPr>
        <w:t>this</w:t>
      </w:r>
      <w:r>
        <w:rPr>
          <w:lang w:val="en_US" w:bidi="en_US"/>
        </w:rPr>
        <w:t xml:space="preserve"> to refer back to the plural “these things” in the previous verse. (There is no pronoun in the Greek; it says simply “the ones hearing.”) This could be confusing in some languages. You may need to express the meaning in the plural. For example:</w:t>
      </w:r>
    </w:p>
    <w:p>
      <w:pPr/>
      <w:r>
        <w:rPr>
          <w:lang w:val="en_US" w:bidi="en_US"/>
        </w:rPr>
      </w:r>
      <w:r>
        <w:rPr>
          <w:lang w:val="en_US" w:bidi="en_US"/>
        </w:rPr>
        <w:t>Everyone who heard these things wondered about them.</w:t>
      </w:r>
    </w:p>
    <w:p>
      <w:pPr/>
      <w:r>
        <w:rPr>
          <w:lang w:val="en_US" w:bidi="en_US"/>
        </w:rPr>
      </w:r>
      <w:r>
        <w:rPr>
          <w:lang w:val="en_US" w:bidi="en_US"/>
        </w:rPr>
        <w:t xml:space="preserve">The Greek phrase that the BSB translates as </w:t>
      </w:r>
      <w:r>
        <w:rPr>
          <w:i/>
          <w:lang w:val="en_US" w:bidi="en_US"/>
        </w:rPr>
        <w:t>wondered in their hearts</w:t>
      </w:r>
      <w:r>
        <w:rPr>
          <w:lang w:val="en_US" w:bidi="en_US"/>
        </w:rPr>
        <w:t xml:space="preserve"> is literally “put/placed them in their hearts.” This is an idiom. In this context it indicates that people thought about these events and wondered what they meant. It implies that the events so impressed the people that they did not stop thinking about them. They continued to ponder them. When you translate this phrase, you can:</w:t>
      </w:r>
    </w:p>
    <w:p>
      <w:pPr>
        <w:pStyle w:val="ListBullet"/>
        <w:spacing w:line="240" w:lineRule="auto"/>
        <w:ind w:left="720"/>
      </w:pPr>
      <w:r>
        <w:rPr>
          <w:lang w:val="en_US" w:bidi="en_US"/>
        </w:rPr>
      </w:r>
      <w:r>
        <w:rPr>
          <w:lang w:val="en_US" w:bidi="en_US"/>
        </w:rPr>
        <w:t>Use an idiom in your language that has the same meaning. For example:</w:t>
      </w:r>
      <w:r>
        <w:rPr>
          <w:lang w:val="en_US" w:bidi="en_US"/>
        </w:rPr>
        <w:t>People turned the whole matter over in their hearts (JBP)</w:t>
      </w:r>
    </w:p>
    <w:p>
      <w:pPr>
        <w:pStyle w:val="ListBullet"/>
        <w:spacing w:line="240" w:lineRule="auto"/>
        <w:ind w:left="720"/>
      </w:pPr>
      <w:r>
        <w:rPr>
          <w:lang w:val="en_US" w:bidi="en_US"/>
        </w:rPr>
      </w:r>
      <w:r>
        <w:rPr>
          <w:lang w:val="en_US" w:bidi="en_US"/>
        </w:rPr>
        <w:t>Translate the meaning. For example:</w:t>
      </w:r>
      <w:r>
        <w:rPr>
          <w:lang w:val="en_US" w:bidi="en_US"/>
        </w:rPr>
        <w:t xml:space="preserve">Everyone who heard of it </w:t>
      </w:r>
      <w:r>
        <w:rPr>
          <w:u w:val="single"/>
          <w:lang w:val="en_US" w:bidi="en_US"/>
        </w:rPr>
        <w:t>thought about it</w:t>
      </w:r>
      <w:r>
        <w:rPr>
          <w:lang w:val="en_US" w:bidi="en_US"/>
        </w:rPr>
        <w:t xml:space="preserve"> (GNT)</w:t>
      </w:r>
    </w:p>
    <w:p>
      <w:pPr/>
      <w:r>
        <w:rPr>
          <w:lang w:val="en_US" w:bidi="en_US"/>
        </w:rPr>
      </w:r>
      <w:r>
        <w:rPr>
          <w:b/>
          <w:lang w:val="en_US" w:bidi="en_US"/>
        </w:rPr>
        <w:t>and asked:</w:t>
      </w:r>
      <w:r>
        <w:rPr>
          <w:lang w:val="en_US" w:bidi="en_US"/>
        </w:rPr>
        <w:t xml:space="preserve"> The Greek verb that the BSB translates as </w:t>
      </w:r>
      <w:r>
        <w:rPr>
          <w:i/>
          <w:lang w:val="en_US" w:bidi="en_US"/>
        </w:rPr>
        <w:t>asked</w:t>
      </w:r>
      <w:r>
        <w:rPr>
          <w:lang w:val="en_US" w:bidi="en_US"/>
        </w:rPr>
        <w:t xml:space="preserve"> is literally “saying.” It can refer both to spoken words and to thoughts. In this context it refers to both. It introduces a question that people asked each other and that they asked in their own minds. If you must make explicit whether the people thought or spoke the question, it is probably best to translate it as a thought.</w:t>
      </w:r>
    </w:p>
    <w:p>
      <w:pPr>
        <w:pStyle w:val="Heading5"/>
      </w:pPr>
      <w:r>
        <w:rPr>
          <w:lang w:val="en_US" w:bidi="en_US"/>
        </w:rPr>
        <w:t>1:66b</w:t>
      </w:r>
    </w:p>
    <w:p>
      <w:pPr/>
      <w:r>
        <w:rPr>
          <w:lang w:val="en_US" w:bidi="en_US"/>
        </w:rPr>
      </w:r>
      <w:r>
        <w:rPr>
          <w:b/>
          <w:lang w:val="en_US" w:bidi="en_US"/>
        </w:rPr>
        <w:t>“What then will this child become?”</w:t>
      </w:r>
    </w:p>
    <w:p>
      <w:pPr>
        <w:pStyle w:val="ListBullet"/>
        <w:spacing w:line="240" w:lineRule="auto"/>
        <w:ind w:left="720"/>
      </w:pPr>
      <w:r>
        <w:rPr>
          <w:lang w:val="en_US" w:bidi="en_US"/>
        </w:rPr>
      </w:r>
      <w:r>
        <w:rPr>
          <w:lang w:val="en_US" w:bidi="en_US"/>
        </w:rPr>
        <w:t>“</w:t>
      </w:r>
      <w:r>
        <w:rPr>
          <w:lang w:val="en_US" w:bidi="en_US"/>
        </w:rPr>
        <w:t>Considering these things</w:t>
      </w:r>
      <w:r>
        <w:rPr>
          <w:lang w:val="en_US" w:bidi="en_US"/>
        </w:rPr>
        <w:t xml:space="preserve">, what kind of great </w:t>
      </w:r>
      <w:r>
        <w:rPr>
          <w:lang w:val="en_US" w:bidi="en_US"/>
        </w:rPr>
        <w:t>work</w:t>
      </w:r>
      <w:r>
        <w:rPr>
          <w:lang w:val="en_US" w:bidi="en_US"/>
        </w:rPr>
        <w:t xml:space="preserve"> will this child </w:t>
      </w:r>
      <w:r>
        <w:rPr>
          <w:lang w:val="en_US" w:bidi="en_US"/>
        </w:rPr>
        <w:t>do</w:t>
      </w:r>
      <w:r>
        <w:rPr>
          <w:lang w:val="en_US" w:bidi="en_US"/>
        </w:rPr>
        <w:t xml:space="preserve"> when he is a man?”</w:t>
      </w:r>
    </w:p>
    <w:p>
      <w:pPr>
        <w:pStyle w:val="ListBullet"/>
        <w:spacing w:line="240" w:lineRule="auto"/>
        <w:ind w:left="720"/>
      </w:pPr>
      <w:r>
        <w:rPr>
          <w:lang w:val="en_US" w:bidi="en_US"/>
        </w:rPr>
      </w:r>
      <w:r>
        <w:rPr>
          <w:lang w:val="en_US" w:bidi="en_US"/>
        </w:rPr>
        <w:t xml:space="preserve">“What </w:t>
      </w:r>
      <w:r>
        <w:rPr>
          <w:lang w:val="en_US" w:bidi="en_US"/>
        </w:rPr>
        <w:t>do these things mean about what</w:t>
      </w:r>
      <w:r>
        <w:rPr>
          <w:lang w:val="en_US" w:bidi="en_US"/>
        </w:rPr>
        <w:t xml:space="preserve"> this child will become?”</w:t>
      </w:r>
    </w:p>
    <w:p>
      <w:pPr>
        <w:pStyle w:val="ListBullet"/>
        <w:spacing w:line="240" w:lineRule="auto"/>
        <w:ind w:left="720"/>
      </w:pPr>
      <w:r>
        <w:rPr>
          <w:lang w:val="en_US" w:bidi="en_US"/>
        </w:rPr>
      </w:r>
      <w:r>
        <w:rPr>
          <w:lang w:val="en_US" w:bidi="en_US"/>
        </w:rPr>
        <w:t xml:space="preserve">that when the child matured, he would become </w:t>
      </w:r>
      <w:r>
        <w:rPr>
          <w:lang w:val="en_US" w:bidi="en_US"/>
        </w:rPr>
        <w:t>someone great</w:t>
      </w:r>
      <w:r>
        <w:rPr>
          <w:lang w:val="en_US" w:bidi="en_US"/>
        </w:rPr>
        <w:t>,</w:t>
      </w:r>
    </w:p>
    <w:p>
      <w:pPr/>
      <w:r>
        <w:rPr>
          <w:lang w:val="en_US" w:bidi="en_US"/>
        </w:rPr>
      </w:r>
      <w:r>
        <w:rPr>
          <w:b/>
          <w:lang w:val="en_US" w:bidi="en_US"/>
        </w:rPr>
        <w:t>What then will this child become?:</w:t>
      </w:r>
      <w:r>
        <w:rPr>
          <w:lang w:val="en_US" w:bidi="en_US"/>
        </w:rPr>
        <w:t xml:space="preserve"> The people asked this question because they were awed by the unusual events of John’s birth. From these events, they understood that God had a great purpose for John, and they wondered what that might be.</w:t>
      </w:r>
    </w:p>
    <w:p>
      <w:pPr/>
      <w:r>
        <w:rPr>
          <w:lang w:val="en_US" w:bidi="en_US"/>
        </w:rPr>
      </w:r>
      <w:r>
        <w:rPr>
          <w:lang w:val="en_US" w:bidi="en_US"/>
        </w:rPr>
        <w:t>Some ways to translate this question are:</w:t>
      </w:r>
    </w:p>
    <w:p>
      <w:pPr>
        <w:pStyle w:val="ListBullet"/>
        <w:spacing w:line="240" w:lineRule="auto"/>
        <w:ind w:left="720"/>
      </w:pPr>
      <w:r>
        <w:rPr>
          <w:lang w:val="en_US" w:bidi="en_US"/>
        </w:rPr>
      </w:r>
      <w:r>
        <w:rPr>
          <w:lang w:val="en_US" w:bidi="en_US"/>
        </w:rPr>
        <w:t>As a question. For example:</w:t>
      </w:r>
      <w:r>
        <w:rPr>
          <w:lang w:val="en_US" w:bidi="en_US"/>
        </w:rPr>
        <w:t>What does the future hold for this child? (GW)</w:t>
      </w:r>
      <w:r>
        <w:rPr>
          <w:lang w:val="en_US" w:bidi="en_US"/>
        </w:rPr>
        <w:t>What great work will this child do when he is a man?</w:t>
      </w:r>
    </w:p>
    <w:p>
      <w:pPr>
        <w:pStyle w:val="ListBullet"/>
        <w:spacing w:line="240" w:lineRule="auto"/>
        <w:ind w:left="720"/>
      </w:pPr>
      <w:r>
        <w:rPr>
          <w:lang w:val="en_US" w:bidi="en_US"/>
        </w:rPr>
      </w:r>
      <w:r>
        <w:rPr>
          <w:lang w:val="en_US" w:bidi="en_US"/>
        </w:rPr>
        <w:t>As indirect speech. For example:</w:t>
      </w:r>
      <w:r>
        <w:rPr>
          <w:lang w:val="en_US" w:bidi="en_US"/>
        </w:rPr>
        <w:t>They wondered what the child would become when he matured.</w:t>
      </w:r>
    </w:p>
    <w:p>
      <w:pPr/>
      <w:r>
        <w:rPr>
          <w:lang w:val="en_US" w:bidi="en_US"/>
        </w:rPr>
      </w:r>
      <w:r>
        <w:rPr>
          <w:lang w:val="en_US" w:bidi="en_US"/>
        </w:rPr>
        <w:t>Be careful not to imply that John might become something other than a human being.</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connects the question in 1:66b to the events of John’s birth that the neighbors had heard about. It means “on the basis of what we have heard, what is this child going to be?” Some other ways to translate it are:</w:t>
      </w:r>
    </w:p>
    <w:p>
      <w:pPr/>
      <w:r>
        <w:rPr>
          <w:lang w:val="en_US" w:bidi="en_US"/>
        </w:rPr>
      </w:r>
      <w:r>
        <w:rPr>
          <w:lang w:val="en_US" w:bidi="en_US"/>
        </w:rPr>
        <w:t>So/therefore, what is this child going to be?</w:t>
      </w:r>
    </w:p>
    <w:p>
      <w:pPr/>
      <w:r>
        <w:rPr>
          <w:lang w:val="en_US" w:bidi="en_US"/>
        </w:rPr>
      </w:r>
      <w:r>
        <w:rPr>
          <w:lang w:val="en_US" w:bidi="en_US"/>
        </w:rPr>
        <w:t>Given these circumstances, what is this child going to be?</w:t>
      </w:r>
    </w:p>
    <w:p>
      <w:pPr/>
      <w:r>
        <w:rPr>
          <w:lang w:val="en_US" w:bidi="en_US"/>
        </w:rPr>
      </w:r>
      <w:r>
        <w:rPr>
          <w:lang w:val="en_US" w:bidi="en_US"/>
        </w:rPr>
        <w:t>In some languages it may not be necessary to translate this conjunction.</w:t>
      </w:r>
    </w:p>
    <w:p>
      <w:pPr/>
      <w:r>
        <w:rPr>
          <w:lang w:val="en_US" w:bidi="en_US"/>
        </w:rPr>
      </w:r>
      <w:r>
        <w:rPr>
          <w:b/>
          <w:lang w:val="en_US" w:bidi="en_US"/>
        </w:rPr>
        <w:t>child:</w:t>
      </w:r>
      <w:r>
        <w:rPr>
          <w:lang w:val="en_US" w:bidi="en_US"/>
        </w:rPr>
        <w:t xml:space="preserve"> The same Greek word that was used in 1:59b is used again here.</w:t>
      </w:r>
    </w:p>
    <w:p>
      <w:pPr>
        <w:pStyle w:val="Heading5"/>
      </w:pPr>
      <w:r>
        <w:rPr>
          <w:lang w:val="en_US" w:bidi="en_US"/>
        </w:rPr>
        <w:t>1:66c</w:t>
      </w:r>
    </w:p>
    <w:p>
      <w:pPr/>
      <w:r>
        <w:rPr>
          <w:lang w:val="en_US" w:bidi="en_US"/>
        </w:rPr>
      </w:r>
      <w:r>
        <w:rPr>
          <w:b/>
          <w:lang w:val="en_US" w:bidi="en_US"/>
        </w:rPr>
        <w:t>For the Lord’s hand was with him.</w:t>
      </w:r>
    </w:p>
    <w:p>
      <w:pPr>
        <w:pStyle w:val="ListBullet"/>
        <w:spacing w:line="240" w:lineRule="auto"/>
        <w:ind w:left="720"/>
      </w:pPr>
      <w:r>
        <w:rPr>
          <w:lang w:val="en_US" w:bidi="en_US"/>
        </w:rPr>
      </w:r>
      <w:r>
        <w:rPr>
          <w:lang w:val="en_US" w:bidi="en_US"/>
        </w:rPr>
        <w:t>They said this</w:t>
      </w:r>
      <w:r>
        <w:rPr>
          <w:lang w:val="en_US" w:bidi="en_US"/>
        </w:rPr>
        <w:t xml:space="preserve"> because </w:t>
      </w:r>
      <w:r>
        <w:rPr>
          <w:lang w:val="en_US" w:bidi="en_US"/>
        </w:rPr>
        <w:t>it was clear that</w:t>
      </w:r>
      <w:r>
        <w:rPr>
          <w:lang w:val="en_US" w:bidi="en_US"/>
        </w:rPr>
        <w:t xml:space="preserve"> the Lord was with him.</w:t>
      </w:r>
    </w:p>
    <w:p>
      <w:pPr>
        <w:pStyle w:val="ListBullet"/>
        <w:spacing w:line="240" w:lineRule="auto"/>
        <w:ind w:left="720"/>
      </w:pPr>
      <w:r>
        <w:rPr>
          <w:lang w:val="en_US" w:bidi="en_US"/>
        </w:rPr>
      </w:r>
      <w:r>
        <w:rPr>
          <w:lang w:val="en_US" w:bidi="en_US"/>
        </w:rPr>
        <w:t>They asked this</w:t>
      </w:r>
      <w:r>
        <w:rPr>
          <w:lang w:val="en_US" w:bidi="en_US"/>
        </w:rPr>
        <w:t xml:space="preserve"> because </w:t>
      </w:r>
      <w:r>
        <w:rPr>
          <w:lang w:val="en_US" w:bidi="en_US"/>
        </w:rPr>
        <w:t>they realized that truly/certainly</w:t>
      </w:r>
      <w:r>
        <w:rPr>
          <w:lang w:val="en_US" w:bidi="en_US"/>
        </w:rPr>
        <w:t xml:space="preserve"> the power of God was with him.</w:t>
      </w:r>
    </w:p>
    <w:p>
      <w:pPr>
        <w:pStyle w:val="ListBullet"/>
        <w:spacing w:line="240" w:lineRule="auto"/>
        <w:ind w:left="720"/>
      </w:pPr>
      <w:r>
        <w:rPr>
          <w:lang w:val="en_US" w:bidi="en_US"/>
        </w:rPr>
      </w:r>
      <w:r>
        <w:rPr>
          <w:lang w:val="en_US" w:bidi="en_US"/>
        </w:rPr>
        <w:t>because the Lord was with him.</w:t>
      </w:r>
    </w:p>
    <w:p>
      <w:pPr/>
      <w:r>
        <w:rPr>
          <w:lang w:val="en_US" w:bidi="en_US"/>
        </w:rPr>
      </w:r>
      <w:r>
        <w:rPr>
          <w:lang w:val="en_US" w:bidi="en_US"/>
        </w:rPr>
        <w:t>In Greek 1:66c begins with a word</w:t>
      </w:r>
      <w:r>
        <w:rPr>
          <w:lang w:val="en_US" w:bidi="en_US"/>
        </w:rPr>
        <w:t xml:space="preserve">The </w:t>
      </w:r>
      <w:r>
        <w:rPr>
          <w:i/>
          <w:lang w:val="en_US" w:bidi="en_US"/>
        </w:rPr>
        <w:t>και</w:t>
      </w:r>
      <w:r>
        <w:rPr>
          <w:lang w:val="en_US" w:bidi="en_US"/>
        </w:rPr>
        <w:t xml:space="preserve"> of </w:t>
      </w:r>
      <w:r>
        <w:rPr>
          <w:i/>
          <w:lang w:val="en_US" w:bidi="en_US"/>
        </w:rPr>
        <w:t>και γαρ</w:t>
      </w:r>
      <w:r>
        <w:rPr>
          <w:lang w:val="en_US" w:bidi="en_US"/>
        </w:rPr>
        <w:t xml:space="preserve"> cannot be functioning as a simple coordinating conjunction. There is split opinion as to whether it means “also/in addition to these things” (Plummer, Lenski) or it functions as an intensifier (“indeed”). The latter sense is supported by the </w:t>
      </w:r>
      <w:r>
        <w:rPr>
          <w:i/>
          <w:lang w:val="en_US" w:bidi="en_US"/>
        </w:rPr>
        <w:t>UBS Handbook on Luke</w:t>
      </w:r>
      <w:r>
        <w:rPr>
          <w:lang w:val="en_US" w:bidi="en_US"/>
        </w:rPr>
        <w:t xml:space="preserve"> (Reiling), Bock, Fitzmyer, Bruce in </w:t>
      </w:r>
      <w:r>
        <w:rPr>
          <w:i/>
          <w:lang w:val="en_US" w:bidi="en_US"/>
        </w:rPr>
        <w:t>Expositor’s Greek Testament</w:t>
      </w:r>
      <w:r>
        <w:rPr>
          <w:lang w:val="en_US" w:bidi="en_US"/>
        </w:rPr>
        <w:t>, and a number of English versions.</w:t>
      </w:r>
      <w:r>
        <w:rPr>
          <w:lang w:val="en_US" w:bidi="en_US"/>
        </w:rPr>
        <w:t xml:space="preserve"> that emphasizes that the statement is clear or certain. Some ways to translate this are:</w:t>
      </w:r>
    </w:p>
    <w:p>
      <w:pPr/>
      <w:r>
        <w:rPr>
          <w:lang w:val="en_US" w:bidi="en_US"/>
        </w:rPr>
      </w:r>
      <w:r>
        <w:rPr>
          <w:lang w:val="en_US" w:bidi="en_US"/>
        </w:rPr>
        <w:t xml:space="preserve">For, </w:t>
      </w:r>
      <w:r>
        <w:rPr>
          <w:u w:val="single"/>
          <w:lang w:val="en_US" w:bidi="en_US"/>
        </w:rPr>
        <w:t>indeed</w:t>
      </w:r>
      <w:r>
        <w:rPr>
          <w:lang w:val="en_US" w:bidi="en_US"/>
        </w:rPr>
        <w:t>, the hand of the Lord was with him. (NRSV)</w:t>
      </w:r>
    </w:p>
    <w:p>
      <w:pPr/>
      <w:r>
        <w:rPr>
          <w:lang w:val="en_US" w:bidi="en_US"/>
        </w:rPr>
      </w:r>
      <w:r>
        <w:rPr>
          <w:lang w:val="en_US" w:bidi="en_US"/>
        </w:rPr>
        <w:t xml:space="preserve">For the hand of the Lord was </w:t>
      </w:r>
      <w:r>
        <w:rPr>
          <w:u w:val="single"/>
          <w:lang w:val="en_US" w:bidi="en_US"/>
        </w:rPr>
        <w:t>certainly</w:t>
      </w:r>
      <w:r>
        <w:rPr>
          <w:lang w:val="en_US" w:bidi="en_US"/>
        </w:rPr>
        <w:t xml:space="preserve"> with him. (NASB)</w:t>
      </w:r>
    </w:p>
    <w:p>
      <w:pPr/>
      <w:r>
        <w:rPr>
          <w:lang w:val="en_US" w:bidi="en_US"/>
        </w:rPr>
      </w:r>
      <w:r>
        <w:rPr>
          <w:lang w:val="en_US" w:bidi="en_US"/>
        </w:rPr>
        <w:t xml:space="preserve">For </w:t>
      </w:r>
      <w:r>
        <w:rPr>
          <w:u w:val="single"/>
          <w:lang w:val="en_US" w:bidi="en_US"/>
        </w:rPr>
        <w:t>it was plain that</w:t>
      </w:r>
      <w:r>
        <w:rPr>
          <w:lang w:val="en_US" w:bidi="en_US"/>
        </w:rPr>
        <w:t xml:space="preserve"> the Lord’s power was upon him. (GNT)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basis or reason for the question that the people asked in 1:66b. They realized that the baby would be someone special </w:t>
      </w:r>
      <w:r>
        <w:rPr>
          <w:u w:val="single"/>
          <w:lang w:val="en_US" w:bidi="en_US"/>
        </w:rPr>
        <w:t>because</w:t>
      </w:r>
      <w:r>
        <w:rPr>
          <w:lang w:val="en_US" w:bidi="en_US"/>
        </w:rPr>
        <w:t xml:space="preserve"> they could see that the Lord was with him.</w:t>
      </w:r>
    </w:p>
    <w:p>
      <w:pPr/>
      <w:r>
        <w:rPr>
          <w:lang w:val="en_US" w:bidi="en_US"/>
        </w:rPr>
      </w:r>
      <w:r>
        <w:rPr>
          <w:b/>
          <w:lang w:val="en_US" w:bidi="en_US"/>
        </w:rPr>
        <w:t>the Lord’s hand was with him:</w:t>
      </w:r>
      <w:r>
        <w:rPr>
          <w:lang w:val="en_US" w:bidi="en_US"/>
        </w:rPr>
        <w:t xml:space="preserve"> The phrase </w:t>
      </w:r>
      <w:r>
        <w:rPr>
          <w:i/>
          <w:lang w:val="en_US" w:bidi="en_US"/>
        </w:rPr>
        <w:t>the Lord’s hand was with him</w:t>
      </w:r>
      <w:r>
        <w:rPr>
          <w:lang w:val="en_US" w:bidi="en_US"/>
        </w:rPr>
        <w:t xml:space="preserve"> is an idiom. It means that God was with John to give him power and guide him in a special way. Some ways to translate this are:</w:t>
      </w:r>
    </w:p>
    <w:p>
      <w:pPr/>
      <w:r>
        <w:rPr>
          <w:lang w:val="en_US" w:bidi="en_US"/>
        </w:rPr>
      </w:r>
      <w:r>
        <w:rPr>
          <w:lang w:val="en_US" w:bidi="en_US"/>
        </w:rPr>
        <w:t>the Lord’s power was upon him (GNT)</w:t>
      </w:r>
    </w:p>
    <w:p>
      <w:pPr/>
      <w:r>
        <w:rPr>
          <w:lang w:val="en_US" w:bidi="en_US"/>
        </w:rPr>
      </w:r>
      <w:r>
        <w:rPr>
          <w:lang w:val="en_US" w:bidi="en_US"/>
        </w:rPr>
        <w:t>the Lord was powerfully working in his life</w:t>
      </w:r>
    </w:p>
    <w:p>
      <w:pPr/>
      <w:r>
        <w:rPr>
          <w:lang w:val="en_US" w:bidi="en_US"/>
        </w:rPr>
      </w:r>
      <w:r>
        <w:rPr>
          <w:lang w:val="en_US" w:bidi="en_US"/>
        </w:rPr>
        <w:t>The Lord was helping him in a powerful way</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refers to the child John, who was mentioned in 1:66b.</w:t>
      </w:r>
      <w:r>
        <w:rPr>
          <w:lang w:val="en_US" w:bidi="en_US"/>
        </w:rPr>
      </w:r>
      <w:r>
        <w:rPr>
          <w:lang w:val="en_US" w:bidi="en_US"/>
        </w:rPr>
      </w:r>
    </w:p>
    <w:p>
      <w:pPr/>
      <w:r>
        <w:rPr>
          <w:lang w:val="en_US" w:bidi="en_US"/>
        </w:rPr>
      </w:r>
    </w:p>
    <w:p>
      <w:pPr>
        <w:pStyle w:val="Heading2"/>
      </w:pPr>
      <w:r>
        <w:rPr>
          <w:lang w:val="en_US" w:bidi="en_US"/>
        </w:rPr>
        <w:t>Luke 1:67</w:t>
      </w:r>
      <w:r>
        <w:rPr>
          <w:lang w:val="en_US" w:bidi="en_US"/>
        </w:rPr>
      </w:r>
    </w:p>
    <w:p>
      <w:pPr>
        <w:pStyle w:val="Heading4"/>
      </w:pPr>
      <w:r>
        <w:rPr>
          <w:lang w:val="en_US" w:bidi="en_US"/>
        </w:rPr>
        <w:t>Section 1:67–80: Zechariah prophesied and praised God</w:t>
      </w:r>
    </w:p>
    <w:p>
      <w:pPr/>
      <w:r>
        <w:rPr>
          <w:lang w:val="en_US" w:bidi="en_US"/>
        </w:rPr>
      </w:r>
      <w:r>
        <w:rPr>
          <w:lang w:val="en_US" w:bidi="en_US"/>
        </w:rP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pPr/>
      <w:r>
        <w:rPr>
          <w:lang w:val="en_US" w:bidi="en_US"/>
        </w:rPr>
      </w:r>
      <w:r>
        <w:rPr>
          <w:lang w:val="en_US" w:bidi="en_US"/>
        </w:rP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pPr/>
      <w:r>
        <w:rPr>
          <w:lang w:val="en_US" w:bidi="en_US"/>
        </w:rPr>
      </w:r>
      <w:r>
        <w:rPr>
          <w:lang w:val="en_US" w:bidi="en_US"/>
        </w:rP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pPr/>
      <w:r>
        <w:rPr>
          <w:lang w:val="en_US" w:bidi="en_US"/>
        </w:rPr>
      </w:r>
      <w:r>
        <w:rPr>
          <w:lang w:val="en_US" w:bidi="en_US"/>
        </w:rP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pPr/>
      <w:r>
        <w:rPr>
          <w:lang w:val="en_US" w:bidi="en_US"/>
        </w:rPr>
      </w:r>
      <w:r>
        <w:rPr>
          <w:lang w:val="en_US" w:bidi="en_US"/>
        </w:rP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pPr/>
      <w:r>
        <w:rPr>
          <w:lang w:val="en_US" w:bidi="en_US"/>
        </w:rPr>
      </w:r>
      <w:r>
        <w:rPr>
          <w:vertAlign w:val="superscript"/>
          <w:lang w:val="en_US" w:bidi="en_US"/>
        </w:rPr>
        <w:t>68a</w:t>
      </w:r>
      <w:r>
        <w:rPr>
          <w:lang w:val="en_US" w:bidi="en_US"/>
        </w:rPr>
        <w:t>Praise be to the Lord the God of Israel!</w:t>
      </w:r>
    </w:p>
    <w:p>
      <w:pPr/>
      <w:r>
        <w:rPr>
          <w:lang w:val="en_US" w:bidi="en_US"/>
        </w:rPr>
      </w:r>
      <w:r>
        <w:rPr>
          <w:vertAlign w:val="superscript"/>
          <w:lang w:val="en_US" w:bidi="en_US"/>
        </w:rPr>
        <w:t>73</w:t>
      </w:r>
      <w:r>
        <w:rPr>
          <w:lang w:val="en_US" w:bidi="en_US"/>
        </w:rPr>
        <w:t>Long ago he swore an oath to our father Abraham.</w:t>
      </w:r>
    </w:p>
    <w:p>
      <w:pPr/>
      <w:r>
        <w:rPr>
          <w:lang w:val="en_US" w:bidi="en_US"/>
        </w:rPr>
      </w:r>
      <w:r>
        <w:rPr>
          <w:vertAlign w:val="superscript"/>
          <w:lang w:val="en_US" w:bidi="en_US"/>
        </w:rPr>
        <w:t>74a</w:t>
      </w:r>
      <w:r>
        <w:rPr>
          <w:lang w:val="en_US" w:bidi="en_US"/>
        </w:rPr>
        <w:t>He promised to rescue us from the hand of our enemies…</w:t>
      </w:r>
    </w:p>
    <w:p>
      <w:pPr/>
      <w:r>
        <w:rPr>
          <w:lang w:val="en_US" w:bidi="en_US"/>
        </w:rPr>
      </w:r>
      <w:r>
        <w:rPr>
          <w:lang w:val="en_US" w:bidi="en_US"/>
        </w:rPr>
        <w:t>Some other possible headings for this section are:</w:t>
      </w:r>
    </w:p>
    <w:p>
      <w:pPr/>
      <w:r>
        <w:rPr>
          <w:lang w:val="en_US" w:bidi="en_US"/>
        </w:rPr>
      </w:r>
      <w:r>
        <w:rPr>
          <w:lang w:val="en_US" w:bidi="en_US"/>
        </w:rPr>
        <w:t>Zechariah praised God and prophesied about John</w:t>
      </w:r>
    </w:p>
    <w:p>
      <w:pPr/>
      <w:r>
        <w:rPr>
          <w:lang w:val="en_US" w:bidi="en_US"/>
        </w:rPr>
      </w:r>
      <w:r>
        <w:rPr>
          <w:lang w:val="en_US" w:bidi="en_US"/>
        </w:rPr>
        <w:t>Zechariah praised God for the Messiah who would save Israel</w:t>
      </w:r>
    </w:p>
    <w:p>
      <w:pPr/>
      <w:r>
        <w:rPr>
          <w:lang w:val="en_US" w:bidi="en_US"/>
        </w:rPr>
      </w:r>
      <w:r>
        <w:rPr>
          <w:lang w:val="en_US" w:bidi="en_US"/>
        </w:rPr>
        <w:t>Zechariah’s prophecy</w:t>
      </w:r>
    </w:p>
    <w:p>
      <w:pPr/>
      <w:r>
        <w:rPr>
          <w:lang w:val="en_US" w:bidi="en_US"/>
        </w:rPr>
      </w:r>
      <w:r>
        <w:rPr>
          <w:lang w:val="en_US" w:bidi="en_US"/>
        </w:rPr>
        <w:t>Zechariah’s song of praise to God</w:t>
      </w:r>
    </w:p>
    <w:p>
      <w:pPr>
        <w:pStyle w:val="Heading5"/>
      </w:pPr>
      <w:r>
        <w:rPr>
          <w:lang w:val="en_US" w:bidi="en_US"/>
        </w:rPr>
        <w:t>1:67a</w:t>
      </w:r>
    </w:p>
    <w:p>
      <w:pPr/>
      <w:r>
        <w:rPr>
          <w:lang w:val="en_US" w:bidi="en_US"/>
        </w:rPr>
      </w:r>
      <w:r>
        <w:rPr>
          <w:b/>
          <w:lang w:val="en_US" w:bidi="en_US"/>
        </w:rPr>
        <w:t>Then his father Zechariah was filled with the Holy Spirit</w:t>
      </w:r>
    </w:p>
    <w:p>
      <w:pPr>
        <w:pStyle w:val="ListBullet"/>
        <w:spacing w:line="240" w:lineRule="auto"/>
        <w:ind w:left="720"/>
      </w:pPr>
      <w:r>
        <w:rPr>
          <w:lang w:val="en_US" w:bidi="en_US"/>
        </w:rPr>
      </w:r>
      <w:r>
        <w:rPr>
          <w:lang w:val="en_US" w:bidi="en_US"/>
        </w:rPr>
        <w:t xml:space="preserve">¶ The Holy Spirit guided/controlled Zechariah, </w:t>
      </w:r>
      <w:r>
        <w:rPr>
          <w:lang w:val="en_US" w:bidi="en_US"/>
        </w:rPr>
        <w:t>the baby’s</w:t>
      </w:r>
      <w:r>
        <w:rPr>
          <w:lang w:val="en_US" w:bidi="en_US"/>
        </w:rPr>
        <w:t xml:space="preserve"> father,</w:t>
      </w:r>
    </w:p>
    <w:p>
      <w:pPr>
        <w:pStyle w:val="ListBullet"/>
        <w:spacing w:line="240" w:lineRule="auto"/>
        <w:ind w:left="720"/>
      </w:pPr>
      <w:r>
        <w:rPr>
          <w:lang w:val="en_US" w:bidi="en_US"/>
        </w:rPr>
      </w:r>
      <w:r>
        <w:rPr>
          <w:lang w:val="en_US" w:bidi="en_US"/>
        </w:rPr>
        <w:t xml:space="preserve">¶ The Holy Spirit </w:t>
      </w:r>
      <w:r>
        <w:rPr>
          <w:lang w:val="en_US" w:bidi="en_US"/>
        </w:rPr>
        <w:t>of God</w:t>
      </w:r>
      <w:r>
        <w:rPr>
          <w:lang w:val="en_US" w:bidi="en_US"/>
        </w:rPr>
        <w:t xml:space="preserve"> gave Zechariah </w:t>
      </w:r>
      <w:r>
        <w:rPr>
          <w:lang w:val="en_US" w:bidi="en_US"/>
        </w:rPr>
        <w:t>special</w:t>
      </w:r>
      <w:r>
        <w:rPr>
          <w:lang w:val="en_US" w:bidi="en_US"/>
        </w:rPr>
        <w:t xml:space="preserve"> power/insight,</w:t>
      </w:r>
    </w:p>
    <w:p>
      <w:pPr/>
      <w:r>
        <w:rPr>
          <w:lang w:val="en_US" w:bidi="en_US"/>
        </w:rPr>
      </w:r>
      <w:r>
        <w:rPr>
          <w:b/>
          <w:lang w:val="en_US" w:bidi="en_US"/>
        </w:rPr>
        <w:t>Then his father Zechariah:</w:t>
      </w:r>
      <w:r>
        <w:rPr>
          <w:lang w:val="en_US" w:bidi="en_US"/>
        </w:rPr>
        <w:t xml:space="preserve"> The phrase </w:t>
      </w:r>
      <w:r>
        <w:rPr>
          <w:i/>
          <w:lang w:val="en_US" w:bidi="en_US"/>
        </w:rPr>
        <w:t>his father</w:t>
      </w:r>
      <w:r>
        <w:rPr>
          <w:lang w:val="en_US" w:bidi="en_US"/>
        </w:rPr>
        <w:t xml:space="preserve"> refers to Zechariah as the father of the child/baby John. You should refer to him in a natural way in your language for this context. Some ways to do this are:</w:t>
      </w:r>
    </w:p>
    <w:p>
      <w:pPr/>
      <w:r>
        <w:rPr>
          <w:lang w:val="en_US" w:bidi="en_US"/>
        </w:rPr>
      </w:r>
      <w:r>
        <w:rPr>
          <w:lang w:val="en_US" w:bidi="en_US"/>
        </w:rPr>
        <w:t>John’s father Zechariah (GNT)</w:t>
      </w:r>
    </w:p>
    <w:p>
      <w:pPr/>
      <w:r>
        <w:rPr>
          <w:lang w:val="en_US" w:bidi="en_US"/>
        </w:rPr>
      </w:r>
      <w:r>
        <w:rPr>
          <w:lang w:val="en_US" w:bidi="en_US"/>
        </w:rPr>
        <w:t>The child’s father</w:t>
      </w:r>
    </w:p>
    <w:p>
      <w:pPr/>
      <w:r>
        <w:rPr>
          <w:lang w:val="en_US" w:bidi="en_US"/>
        </w:rPr>
      </w:r>
      <w:r>
        <w:rPr>
          <w:lang w:val="en_US" w:bidi="en_US"/>
        </w:rPr>
        <w:t>Zechariah (CEV)</w:t>
      </w:r>
    </w:p>
    <w:p>
      <w:pPr/>
      <w:r>
        <w:rPr>
          <w:lang w:val="en_US" w:bidi="en_US"/>
        </w:rPr>
      </w:r>
      <w:r>
        <w:rPr>
          <w:b/>
          <w:lang w:val="en_US" w:bidi="en_US"/>
        </w:rPr>
        <w:t>Zechariah was filled with the Holy Spirit:</w:t>
      </w:r>
      <w:r>
        <w:rPr>
          <w:lang w:val="en_US" w:bidi="en_US"/>
        </w:rPr>
        <w:t xml:space="preserve"> The Greek expression that the BSB translates as </w:t>
      </w:r>
      <w:r>
        <w:rPr>
          <w:i/>
          <w:lang w:val="en_US" w:bidi="en_US"/>
        </w:rPr>
        <w:t>filled with the Holy Spirit</w:t>
      </w:r>
      <w:r>
        <w:rPr>
          <w:lang w:val="en_US" w:bidi="en_US"/>
        </w:rPr>
        <w:t xml:space="preserve"> implies here that the Holy Spirit suddenly gave Zechariah a message to speak from God. The expression </w:t>
      </w:r>
      <w:r>
        <w:rPr>
          <w:i/>
          <w:lang w:val="en_US" w:bidi="en_US"/>
        </w:rPr>
        <w:t>filled with the Holy Spirit</w:t>
      </w:r>
      <w:r>
        <w:rPr>
          <w:lang w:val="en_US" w:bidi="en_US"/>
        </w:rPr>
        <w:t xml:space="preserve"> is a common figure of speech in the New Testament.</w:t>
      </w:r>
    </w:p>
    <w:p>
      <w:pPr/>
      <w:r>
        <w:rPr>
          <w:lang w:val="en_US" w:bidi="en_US"/>
        </w:rPr>
      </w:r>
      <w:r>
        <w:rPr>
          <w:lang w:val="en_US" w:bidi="en_US"/>
        </w:rPr>
        <w:t xml:space="preserve">This expression was also used in 1:41b. In 1:41b Zechariah’s wife Elizabeth was </w:t>
      </w:r>
      <w:r>
        <w:rPr>
          <w:i/>
          <w:lang w:val="en_US" w:bidi="en_US"/>
        </w:rPr>
        <w:t>filled with the Holy Spirit</w:t>
      </w:r>
      <w:r>
        <w:rPr>
          <w:lang w:val="en_US" w:bidi="en_US"/>
        </w:rPr>
        <w:t xml:space="preserve"> and then spoke God’s words.</w:t>
      </w:r>
    </w:p>
    <w:p>
      <w:pPr/>
      <w:r>
        <w:rPr>
          <w:lang w:val="en_US" w:bidi="en_US"/>
        </w:rPr>
      </w:r>
      <w:r>
        <w:rPr>
          <w:lang w:val="en_US" w:bidi="en_US"/>
        </w:rPr>
        <w:t xml:space="preserve">Some ways to translate </w:t>
      </w:r>
      <w:r>
        <w:rPr>
          <w:i/>
          <w:lang w:val="en_US" w:bidi="en_US"/>
        </w:rPr>
        <w:t>Zechariah was filled with the Holy Spirit</w:t>
      </w:r>
      <w:r>
        <w:rPr>
          <w:lang w:val="en_US" w:bidi="en_US"/>
        </w:rPr>
        <w:t xml:space="preserve"> in this context are:</w:t>
      </w:r>
    </w:p>
    <w:p>
      <w:pPr/>
      <w:r>
        <w:rPr>
          <w:lang w:val="en_US" w:bidi="en_US"/>
        </w:rPr>
      </w:r>
      <w:r>
        <w:rPr>
          <w:lang w:val="en_US" w:bidi="en_US"/>
        </w:rPr>
        <w:t>The Holy Spirit guided Zechariah</w:t>
      </w:r>
    </w:p>
    <w:p>
      <w:pPr/>
      <w:r>
        <w:rPr>
          <w:lang w:val="en_US" w:bidi="en_US"/>
        </w:rPr>
      </w:r>
      <w:r>
        <w:rPr>
          <w:lang w:val="en_US" w:bidi="en_US"/>
        </w:rPr>
        <w:t>The Holy Spirit gave Zechariah power/insight</w:t>
      </w:r>
    </w:p>
    <w:p>
      <w:pPr/>
      <w:r>
        <w:rPr>
          <w:lang w:val="en_US" w:bidi="en_US"/>
        </w:rPr>
      </w:r>
      <w:r>
        <w:rPr>
          <w:b/>
          <w:lang w:val="en_US" w:bidi="en_US"/>
        </w:rPr>
        <w:t>the Holy Spirit:</w:t>
      </w:r>
      <w:r>
        <w:rPr>
          <w:lang w:val="en_US" w:bidi="en_US"/>
        </w:rPr>
        <w:t xml:space="preserve"> The term </w:t>
      </w:r>
      <w:r>
        <w:rPr>
          <w:i/>
          <w:lang w:val="en_US" w:bidi="en_US"/>
        </w:rPr>
        <w:t>Holy Spirit</w:t>
      </w:r>
      <w:r>
        <w:rPr>
          <w:lang w:val="en_US" w:bidi="en_US"/>
        </w:rPr>
        <w:t xml:space="preserve"> also occurs in 1:15c. See the note there for help in translating this term.</w:t>
      </w:r>
    </w:p>
    <w:p>
      <w:pPr>
        <w:pStyle w:val="Heading5"/>
      </w:pPr>
      <w:r>
        <w:rPr>
          <w:lang w:val="en_US" w:bidi="en_US"/>
        </w:rPr>
        <w:t>1:67b</w:t>
      </w:r>
    </w:p>
    <w:p>
      <w:pPr/>
      <w:r>
        <w:rPr>
          <w:lang w:val="en_US" w:bidi="en_US"/>
        </w:rPr>
      </w:r>
      <w:r>
        <w:rPr>
          <w:b/>
          <w:lang w:val="en_US" w:bidi="en_US"/>
        </w:rPr>
        <w:t>and prophesied:</w:t>
      </w:r>
    </w:p>
    <w:p>
      <w:pPr>
        <w:pStyle w:val="ListBullet"/>
        <w:spacing w:line="240" w:lineRule="auto"/>
        <w:ind w:left="720"/>
      </w:pPr>
      <w:r>
        <w:rPr>
          <w:lang w:val="en_US" w:bidi="en_US"/>
        </w:rPr>
      </w:r>
      <w:r>
        <w:rPr>
          <w:lang w:val="en_US" w:bidi="en_US"/>
        </w:rPr>
        <w:t>and he spoke what God inspired him to say:</w:t>
      </w:r>
    </w:p>
    <w:p>
      <w:pPr>
        <w:pStyle w:val="ListBullet"/>
        <w:spacing w:line="240" w:lineRule="auto"/>
        <w:ind w:left="720"/>
      </w:pPr>
      <w:r>
        <w:rPr>
          <w:lang w:val="en_US" w:bidi="en_US"/>
        </w:rPr>
      </w:r>
      <w:r>
        <w:rPr>
          <w:lang w:val="en_US" w:bidi="en_US"/>
        </w:rPr>
        <w:t>and he spoke these words that God revealed to him:</w:t>
      </w:r>
    </w:p>
    <w:p>
      <w:pPr/>
      <w:r>
        <w:rPr>
          <w:lang w:val="en_US" w:bidi="en_US"/>
        </w:rPr>
      </w:r>
      <w:r>
        <w:rPr>
          <w:b/>
          <w:lang w:val="en_US" w:bidi="en_US"/>
        </w:rPr>
        <w:t>prophesied:</w:t>
      </w:r>
      <w:r>
        <w:rPr>
          <w:lang w:val="en_US" w:bidi="en_US"/>
        </w:rPr>
        <w:t xml:space="preserve"> The word </w:t>
      </w:r>
      <w:r>
        <w:rPr>
          <w:i/>
          <w:lang w:val="en_US" w:bidi="en_US"/>
        </w:rPr>
        <w:t>prophesied</w:t>
      </w:r>
      <w:r>
        <w:rPr>
          <w:lang w:val="en_US" w:bidi="en_US"/>
        </w:rPr>
        <w:t xml:space="preserve"> means “to speak a message on behalf of God.” God somehow communicates his message directly to the prophet. The prophet then speaks the message to people on behalf of God. Here Zechariah spoke about what God had done, what he was doing, and what he would soon do in the future.</w:t>
      </w:r>
    </w:p>
    <w:p>
      <w:pPr/>
      <w:r>
        <w:rPr>
          <w:lang w:val="en_US" w:bidi="en_US"/>
        </w:rPr>
      </w:r>
      <w:r>
        <w:rPr>
          <w:lang w:val="en_US" w:bidi="en_US"/>
        </w:rPr>
        <w:t>Some other ways to translate this are:</w:t>
      </w:r>
    </w:p>
    <w:p>
      <w:pPr/>
      <w:r>
        <w:rPr>
          <w:lang w:val="en_US" w:bidi="en_US"/>
        </w:rPr>
      </w:r>
      <w:r>
        <w:rPr>
          <w:lang w:val="en_US" w:bidi="en_US"/>
        </w:rPr>
        <w:t>spoke words that God wanted/inspired him to say</w:t>
      </w:r>
    </w:p>
    <w:p>
      <w:pPr/>
      <w:r>
        <w:rPr>
          <w:lang w:val="en_US" w:bidi="en_US"/>
        </w:rPr>
      </w:r>
      <w:r>
        <w:rPr>
          <w:lang w:val="en_US" w:bidi="en_US"/>
        </w:rPr>
        <w:t>proclaimed things that God revealed to him</w:t>
      </w:r>
      <w:r>
        <w:rPr>
          <w:lang w:val="en_US" w:bidi="en_US"/>
        </w:rPr>
      </w:r>
      <w:r>
        <w:rPr>
          <w:lang w:val="en_US" w:bidi="en_US"/>
        </w:rPr>
      </w:r>
    </w:p>
    <w:p>
      <w:pPr/>
      <w:r>
        <w:rPr>
          <w:lang w:val="en_US" w:bidi="en_US"/>
        </w:rPr>
      </w:r>
    </w:p>
    <w:p>
      <w:pPr>
        <w:pStyle w:val="Heading2"/>
      </w:pPr>
      <w:r>
        <w:rPr>
          <w:lang w:val="en_US" w:bidi="en_US"/>
        </w:rPr>
        <w:t>Luke 1:68</w:t>
      </w:r>
      <w:r>
        <w:rPr>
          <w:lang w:val="en_US" w:bidi="en_US"/>
        </w:rPr>
      </w:r>
    </w:p>
    <w:p>
      <w:pPr>
        <w:pStyle w:val="Heading4"/>
      </w:pPr>
      <w:r>
        <w:rPr>
          <w:lang w:val="en_US" w:bidi="en_US"/>
        </w:rPr>
        <w:t>Section 1:67–80: Zechariah prophesied and praised God</w:t>
      </w:r>
    </w:p>
    <w:p>
      <w:pPr/>
      <w:r>
        <w:rPr>
          <w:lang w:val="en_US" w:bidi="en_US"/>
        </w:rPr>
      </w:r>
      <w:r>
        <w:rPr>
          <w:lang w:val="en_US" w:bidi="en_US"/>
        </w:rP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pPr/>
      <w:r>
        <w:rPr>
          <w:lang w:val="en_US" w:bidi="en_US"/>
        </w:rPr>
      </w:r>
      <w:r>
        <w:rPr>
          <w:lang w:val="en_US" w:bidi="en_US"/>
        </w:rP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pPr/>
      <w:r>
        <w:rPr>
          <w:lang w:val="en_US" w:bidi="en_US"/>
        </w:rPr>
      </w:r>
      <w:r>
        <w:rPr>
          <w:lang w:val="en_US" w:bidi="en_US"/>
        </w:rP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pPr/>
      <w:r>
        <w:rPr>
          <w:lang w:val="en_US" w:bidi="en_US"/>
        </w:rPr>
      </w:r>
      <w:r>
        <w:rPr>
          <w:lang w:val="en_US" w:bidi="en_US"/>
        </w:rP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pPr/>
      <w:r>
        <w:rPr>
          <w:lang w:val="en_US" w:bidi="en_US"/>
        </w:rPr>
      </w:r>
      <w:r>
        <w:rPr>
          <w:lang w:val="en_US" w:bidi="en_US"/>
        </w:rP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pPr/>
      <w:r>
        <w:rPr>
          <w:lang w:val="en_US" w:bidi="en_US"/>
        </w:rPr>
      </w:r>
      <w:r>
        <w:rPr>
          <w:vertAlign w:val="superscript"/>
          <w:lang w:val="en_US" w:bidi="en_US"/>
        </w:rPr>
        <w:t>68a</w:t>
      </w:r>
      <w:r>
        <w:rPr>
          <w:lang w:val="en_US" w:bidi="en_US"/>
        </w:rPr>
        <w:t>Praise be to the Lord the God of Israel!</w:t>
      </w:r>
    </w:p>
    <w:p>
      <w:pPr/>
      <w:r>
        <w:rPr>
          <w:lang w:val="en_US" w:bidi="en_US"/>
        </w:rPr>
      </w:r>
      <w:r>
        <w:rPr>
          <w:vertAlign w:val="superscript"/>
          <w:lang w:val="en_US" w:bidi="en_US"/>
        </w:rPr>
        <w:t>73</w:t>
      </w:r>
      <w:r>
        <w:rPr>
          <w:lang w:val="en_US" w:bidi="en_US"/>
        </w:rPr>
        <w:t>Long ago he swore an oath to our father Abraham.</w:t>
      </w:r>
    </w:p>
    <w:p>
      <w:pPr/>
      <w:r>
        <w:rPr>
          <w:lang w:val="en_US" w:bidi="en_US"/>
        </w:rPr>
      </w:r>
      <w:r>
        <w:rPr>
          <w:vertAlign w:val="superscript"/>
          <w:lang w:val="en_US" w:bidi="en_US"/>
        </w:rPr>
        <w:t>74a</w:t>
      </w:r>
      <w:r>
        <w:rPr>
          <w:lang w:val="en_US" w:bidi="en_US"/>
        </w:rPr>
        <w:t>He promised to rescue us from the hand of our enemies…</w:t>
      </w:r>
    </w:p>
    <w:p>
      <w:pPr/>
      <w:r>
        <w:rPr>
          <w:lang w:val="en_US" w:bidi="en_US"/>
        </w:rPr>
      </w:r>
      <w:r>
        <w:rPr>
          <w:lang w:val="en_US" w:bidi="en_US"/>
        </w:rPr>
        <w:t>Some other possible headings for this section are:</w:t>
      </w:r>
    </w:p>
    <w:p>
      <w:pPr/>
      <w:r>
        <w:rPr>
          <w:lang w:val="en_US" w:bidi="en_US"/>
        </w:rPr>
      </w:r>
      <w:r>
        <w:rPr>
          <w:lang w:val="en_US" w:bidi="en_US"/>
        </w:rPr>
        <w:t>Zechariah praised God and prophesied about John</w:t>
      </w:r>
    </w:p>
    <w:p>
      <w:pPr/>
      <w:r>
        <w:rPr>
          <w:lang w:val="en_US" w:bidi="en_US"/>
        </w:rPr>
      </w:r>
      <w:r>
        <w:rPr>
          <w:lang w:val="en_US" w:bidi="en_US"/>
        </w:rPr>
        <w:t>Zechariah praised God for the Messiah who would save Israel</w:t>
      </w:r>
    </w:p>
    <w:p>
      <w:pPr/>
      <w:r>
        <w:rPr>
          <w:lang w:val="en_US" w:bidi="en_US"/>
        </w:rPr>
      </w:r>
      <w:r>
        <w:rPr>
          <w:lang w:val="en_US" w:bidi="en_US"/>
        </w:rPr>
        <w:t>Zechariah’s prophecy</w:t>
      </w:r>
    </w:p>
    <w:p>
      <w:pPr/>
      <w:r>
        <w:rPr>
          <w:lang w:val="en_US" w:bidi="en_US"/>
        </w:rPr>
      </w:r>
      <w:r>
        <w:rPr>
          <w:lang w:val="en_US" w:bidi="en_US"/>
        </w:rPr>
        <w:t>Zechariah’s song of praise to God</w:t>
      </w:r>
    </w:p>
    <w:p>
      <w:pPr>
        <w:pStyle w:val="Heading5"/>
      </w:pPr>
      <w:r>
        <w:rPr>
          <w:lang w:val="en_US" w:bidi="en_US"/>
        </w:rPr>
        <w:t>1:68a</w:t>
      </w:r>
    </w:p>
    <w:p>
      <w:pPr/>
      <w:r>
        <w:rPr>
          <w:lang w:val="en_US" w:bidi="en_US"/>
        </w:rPr>
      </w:r>
      <w:r>
        <w:rPr>
          <w:b/>
          <w:lang w:val="en_US" w:bidi="en_US"/>
        </w:rPr>
        <w:t>“Blessed be the Lord, the God of Israel,</w:t>
      </w:r>
    </w:p>
    <w:p>
      <w:pPr>
        <w:pStyle w:val="ListBullet"/>
        <w:spacing w:line="240" w:lineRule="auto"/>
        <w:ind w:left="720"/>
      </w:pPr>
      <w:r>
        <w:rPr>
          <w:lang w:val="en_US" w:bidi="en_US"/>
        </w:rPr>
      </w:r>
      <w:r>
        <w:rPr>
          <w:lang w:val="en_US" w:bidi="en_US"/>
        </w:rPr>
        <w:t>“Let us</w:t>
      </w:r>
      <w:r>
        <w:rPr>
          <w:vertAlign w:val="superscript"/>
          <w:lang w:val="en_US" w:bidi="en_US"/>
        </w:rPr>
        <w:t>(incl)</w:t>
      </w:r>
      <w:r>
        <w:rPr>
          <w:lang w:val="en_US" w:bidi="en_US"/>
        </w:rPr>
        <w:t xml:space="preserve"> praise/thank the Lord, who is the God of Israel,</w:t>
      </w:r>
    </w:p>
    <w:p>
      <w:pPr>
        <w:pStyle w:val="ListBullet"/>
        <w:spacing w:line="240" w:lineRule="auto"/>
        <w:ind w:left="720"/>
      </w:pPr>
      <w:r>
        <w:rPr>
          <w:lang w:val="en_US" w:bidi="en_US"/>
        </w:rPr>
      </w:r>
      <w:r>
        <w:rPr>
          <w:lang w:val="en_US" w:bidi="en_US"/>
        </w:rPr>
        <w:t>“Praise/Exalt</w:t>
      </w:r>
      <w:r>
        <w:rPr>
          <w:vertAlign w:val="superscript"/>
          <w:lang w:val="en_US" w:bidi="en_US"/>
        </w:rPr>
        <w:t>(plur)</w:t>
      </w:r>
      <w:r>
        <w:rPr>
          <w:lang w:val="en_US" w:bidi="en_US"/>
        </w:rPr>
        <w:t xml:space="preserve"> the Lord, the God </w:t>
      </w:r>
      <w:r>
        <w:rPr>
          <w:lang w:val="en_US" w:bidi="en_US"/>
        </w:rPr>
        <w:t>whom we</w:t>
      </w:r>
      <w:r>
        <w:rPr>
          <w:vertAlign w:val="superscript"/>
          <w:lang w:val="en_US" w:bidi="en_US"/>
        </w:rPr>
        <w:t>(incl)</w:t>
      </w:r>
      <w:r>
        <w:rPr>
          <w:lang w:val="en_US" w:bidi="en_US"/>
        </w:rPr>
        <w:t xml:space="preserve"> Israelites </w:t>
      </w:r>
      <w:r>
        <w:rPr>
          <w:lang w:val="en_US" w:bidi="en_US"/>
        </w:rPr>
        <w:t>serve</w:t>
      </w:r>
      <w:r>
        <w:rPr>
          <w:lang w:val="en_US" w:bidi="en_US"/>
        </w:rPr>
        <w:t>,</w:t>
      </w:r>
    </w:p>
    <w:p>
      <w:pPr>
        <w:pStyle w:val="ListBullet"/>
        <w:spacing w:line="240" w:lineRule="auto"/>
        <w:ind w:left="720"/>
      </w:pPr>
      <w:r>
        <w:rPr>
          <w:lang w:val="en_US" w:bidi="en_US"/>
        </w:rPr>
      </w:r>
      <w:r>
        <w:rPr>
          <w:lang w:val="en_US" w:bidi="en_US"/>
        </w:rPr>
        <w:t>“</w:t>
      </w:r>
      <w:r>
        <w:rPr>
          <w:lang w:val="en_US" w:bidi="en_US"/>
        </w:rPr>
        <w:t>Our</w:t>
      </w:r>
      <w:r>
        <w:rPr>
          <w:lang w:val="en_US" w:bidi="en_US"/>
        </w:rPr>
        <w:t xml:space="preserve"> Lord, the God of Israel, is worthy of praise/thanks,</w:t>
      </w:r>
    </w:p>
    <w:p>
      <w:pPr/>
      <w:r>
        <w:rPr>
          <w:lang w:val="en_US" w:bidi="en_US"/>
        </w:rPr>
      </w:r>
      <w:r>
        <w:rPr>
          <w:b/>
          <w:lang w:val="en_US" w:bidi="en_US"/>
        </w:rPr>
        <w:t>Blessed be the Lord:</w:t>
      </w:r>
      <w:r>
        <w:rPr>
          <w:lang w:val="en_US" w:bidi="en_US"/>
        </w:rPr>
        <w:t xml:space="preserve"> Zechariah used the Greek expression that the BSB translates literally as </w:t>
      </w:r>
      <w:r>
        <w:rPr>
          <w:i/>
          <w:lang w:val="en_US" w:bidi="en_US"/>
        </w:rPr>
        <w:t>Blessed be the Lord</w:t>
      </w:r>
      <w:r>
        <w:rPr>
          <w:lang w:val="en_US" w:bidi="en_US"/>
        </w:rPr>
        <w:t xml:space="preserve"> to express praise and thanks to God. He implied that God was worthy of praise and that everyone should speak wonderful things about him. Some other ways to translate this are:</w:t>
      </w:r>
    </w:p>
    <w:p>
      <w:pPr/>
      <w:r>
        <w:rPr>
          <w:lang w:val="en_US" w:bidi="en_US"/>
        </w:rPr>
      </w:r>
      <w:r>
        <w:rPr>
          <w:lang w:val="en_US" w:bidi="en_US"/>
        </w:rPr>
        <w:t>Let us praise the Lord (NCV)</w:t>
      </w:r>
    </w:p>
    <w:p>
      <w:pPr/>
      <w:r>
        <w:rPr>
          <w:lang w:val="en_US" w:bidi="en_US"/>
        </w:rPr>
      </w:r>
      <w:r>
        <w:rPr>
          <w:lang w:val="en_US" w:bidi="en_US"/>
        </w:rPr>
        <w:t>Praise belongs to the Lord</w:t>
      </w:r>
    </w:p>
    <w:p>
      <w:pPr/>
      <w:r>
        <w:rPr>
          <w:lang w:val="en_US" w:bidi="en_US"/>
        </w:rPr>
      </w:r>
      <w:r>
        <w:rPr>
          <w:lang w:val="en_US" w:bidi="en_US"/>
        </w:rPr>
        <w:t>The Lord is worthy of praise</w:t>
      </w:r>
    </w:p>
    <w:p>
      <w:pPr/>
      <w:r>
        <w:rPr>
          <w:lang w:val="en_US" w:bidi="en_US"/>
        </w:rPr>
      </w:r>
      <w:r>
        <w:rPr>
          <w:lang w:val="en_US" w:bidi="en_US"/>
        </w:rPr>
        <w:t>See bless, Meaning 4, in the Glossary. See also Lord, Context 2, in the Glossary.</w:t>
      </w:r>
    </w:p>
    <w:p>
      <w:pPr/>
      <w:r>
        <w:rPr>
          <w:lang w:val="en_US" w:bidi="en_US"/>
        </w:rPr>
      </w:r>
      <w:r>
        <w:rPr>
          <w:b/>
          <w:lang w:val="en_US" w:bidi="en_US"/>
        </w:rPr>
        <w:t>the God of Israel:</w:t>
      </w:r>
      <w:r>
        <w:rPr>
          <w:lang w:val="en_US" w:bidi="en_US"/>
        </w:rPr>
        <w:t xml:space="preserve"> The phrase </w:t>
      </w:r>
      <w:r>
        <w:rPr>
          <w:i/>
          <w:lang w:val="en_US" w:bidi="en_US"/>
        </w:rPr>
        <w:t>the God of Israel</w:t>
      </w:r>
      <w:r>
        <w:rPr>
          <w:lang w:val="en_US" w:bidi="en_US"/>
        </w:rPr>
        <w:t xml:space="preserve"> means “the God whom the people of Israel serve/worship.” Since Zechariah was an Israelite, in some languages it may be necessary to translate this as:</w:t>
      </w:r>
    </w:p>
    <w:p>
      <w:pPr/>
      <w:r>
        <w:rPr>
          <w:lang w:val="en_US" w:bidi="en_US"/>
        </w:rPr>
      </w:r>
      <w:r>
        <w:rPr>
          <w:lang w:val="en_US" w:bidi="en_US"/>
        </w:rPr>
        <w:t xml:space="preserve">the God whom </w:t>
      </w:r>
      <w:r>
        <w:rPr>
          <w:lang w:val="en_US" w:bidi="en_US"/>
        </w:rPr>
        <w:t>we</w:t>
      </w:r>
      <w:r>
        <w:rPr>
          <w:lang w:val="en_US" w:bidi="en_US"/>
        </w:rPr>
        <w:t xml:space="preserve"> Israelites </w:t>
      </w:r>
      <w:r>
        <w:rPr>
          <w:lang w:val="en_US" w:bidi="en_US"/>
        </w:rPr>
        <w:t>serve/worship</w:t>
      </w:r>
    </w:p>
    <w:p>
      <w:pPr>
        <w:pStyle w:val="Heading5"/>
      </w:pPr>
      <w:r>
        <w:rPr>
          <w:lang w:val="en_US" w:bidi="en_US"/>
        </w:rPr>
        <w:t>1:68b–69</w:t>
      </w:r>
    </w:p>
    <w:p>
      <w:pPr/>
      <w:r>
        <w:rPr>
          <w:lang w:val="en_US" w:bidi="en_US"/>
        </w:rPr>
      </w:r>
      <w:r>
        <w:rPr>
          <w:lang w:val="en_US" w:bidi="en_US"/>
        </w:rPr>
        <w:t>At the time when Zechariah spoke, God had not yet delivered his people. But Zechariah knew that God had started to deliver them. He knew this because the angel had promised that his son John would “make ready a people prepared” (1:17) for the Deliverer whom God would send. In 1:68b–69 Zechariah used verb forms that would normally imply that God had already delivered the people. Hebrew prophets often spoke in that way to emphasize that the events about which they prophesied would certainly happen.</w:t>
      </w:r>
    </w:p>
    <w:p>
      <w:pPr/>
      <w:r>
        <w:rPr>
          <w:lang w:val="en_US" w:bidi="en_US"/>
        </w:rPr>
      </w:r>
      <w:r>
        <w:rPr>
          <w:lang w:val="en_US" w:bidi="en_US"/>
        </w:rPr>
        <w:t>In some languages, speaking in that way may wrongly imply that the events had already happened. If that is true in your language, you may need to translate the verbs in a different way. Use a form in your language that describes either:</w:t>
      </w:r>
    </w:p>
    <w:p>
      <w:pPr>
        <w:pStyle w:val="ListNumber"/>
        <w:numPr>
          <w:ilvl w:val="0"/>
          <w:numId w:val="25"/>
        </w:numPr>
        <w:spacing w:line="240" w:lineRule="auto"/>
        <w:ind w:left="720"/>
      </w:pPr>
      <w:r>
        <w:rPr>
          <w:lang w:val="en_US" w:bidi="en_US"/>
        </w:rPr>
      </w:r>
      <w:r>
        <w:rPr>
          <w:lang w:val="en_US" w:bidi="en_US"/>
        </w:rPr>
        <w:t>a process that has begun (but is not yet finished), or</w:t>
      </w:r>
    </w:p>
    <w:p>
      <w:pPr>
        <w:pStyle w:val="ListNumber"/>
        <w:spacing w:line="240" w:lineRule="auto"/>
        <w:ind w:left="720"/>
      </w:pPr>
      <w:r>
        <w:rPr>
          <w:lang w:val="en_US" w:bidi="en_US"/>
        </w:rPr>
      </w:r>
      <w:r>
        <w:rPr>
          <w:lang w:val="en_US" w:bidi="en_US"/>
        </w:rPr>
        <w:t>a series of events that is described as one single event. Some of the events in the series may be past and others may be present or future.</w:t>
      </w:r>
    </w:p>
    <w:p>
      <w:pPr/>
      <w:r>
        <w:rPr>
          <w:lang w:val="en_US" w:bidi="en_US"/>
        </w:rPr>
      </w:r>
      <w:r>
        <w:rPr>
          <w:lang w:val="en_US" w:bidi="en_US"/>
        </w:rPr>
        <w:t>See the introduction to Section 1:67–80 for more information. Some other ways to translate the events in 1:68b–69 are:</w:t>
      </w:r>
    </w:p>
    <w:p>
      <w:pPr/>
      <w:r>
        <w:rPr>
          <w:lang w:val="en_US" w:bidi="en_US"/>
        </w:rPr>
      </w:r>
      <w:r>
        <w:rPr>
          <w:lang w:val="en_US" w:bidi="en_US"/>
        </w:rPr>
        <w:t xml:space="preserve">…he </w:t>
      </w:r>
      <w:r>
        <w:rPr>
          <w:u w:val="single"/>
          <w:lang w:val="en_US" w:bidi="en_US"/>
        </w:rPr>
        <w:t>has come</w:t>
      </w:r>
      <w:r>
        <w:rPr>
          <w:lang w:val="en_US" w:bidi="en_US"/>
        </w:rPr>
        <w:t xml:space="preserve"> and </w:t>
      </w:r>
      <w:r>
        <w:rPr>
          <w:u w:val="single"/>
          <w:lang w:val="en_US" w:bidi="en_US"/>
        </w:rPr>
        <w:t>has begun to redeem</w:t>
      </w:r>
      <w:r>
        <w:rPr>
          <w:lang w:val="en_US" w:bidi="en_US"/>
        </w:rPr>
        <w:t xml:space="preserve"> his people. He </w:t>
      </w:r>
      <w:r>
        <w:rPr>
          <w:u w:val="single"/>
          <w:lang w:val="en_US" w:bidi="en_US"/>
        </w:rPr>
        <w:t>is raising up</w:t>
      </w:r>
      <w:r>
        <w:rPr>
          <w:lang w:val="en_US" w:bidi="en_US"/>
        </w:rPr>
        <w:t xml:space="preserve"> a horn of salvation…</w:t>
      </w:r>
    </w:p>
    <w:p>
      <w:pPr/>
      <w:r>
        <w:rPr>
          <w:lang w:val="en_US" w:bidi="en_US"/>
        </w:rPr>
      </w:r>
      <w:r>
        <w:rPr>
          <w:lang w:val="en_US" w:bidi="en_US"/>
        </w:rPr>
        <w:t xml:space="preserve">…he </w:t>
      </w:r>
      <w:r>
        <w:rPr>
          <w:u w:val="single"/>
          <w:lang w:val="en_US" w:bidi="en_US"/>
        </w:rPr>
        <w:t>has come</w:t>
      </w:r>
      <w:r>
        <w:rPr>
          <w:lang w:val="en_US" w:bidi="en_US"/>
        </w:rPr>
        <w:t xml:space="preserve"> and </w:t>
      </w:r>
      <w:r>
        <w:rPr>
          <w:u w:val="single"/>
          <w:lang w:val="en_US" w:bidi="en_US"/>
        </w:rPr>
        <w:t>is redeeming</w:t>
      </w:r>
      <w:r>
        <w:rPr>
          <w:lang w:val="en_US" w:bidi="en_US"/>
        </w:rPr>
        <w:t xml:space="preserve"> his people. He </w:t>
      </w:r>
      <w:r>
        <w:rPr>
          <w:u w:val="single"/>
          <w:lang w:val="en_US" w:bidi="en_US"/>
        </w:rPr>
        <w:t>is raising up</w:t>
      </w:r>
      <w:r>
        <w:rPr>
          <w:lang w:val="en_US" w:bidi="en_US"/>
        </w:rPr>
        <w:t xml:space="preserve"> a horn of salvation…</w:t>
      </w:r>
    </w:p>
    <w:p>
      <w:pPr/>
      <w:r>
        <w:rPr>
          <w:lang w:val="en_US" w:bidi="en_US"/>
        </w:rPr>
      </w:r>
      <w:r>
        <w:rPr>
          <w:lang w:val="en_US" w:bidi="en_US"/>
        </w:rPr>
        <w:t xml:space="preserve">…he </w:t>
      </w:r>
      <w:r>
        <w:rPr>
          <w:u w:val="single"/>
          <w:lang w:val="en_US" w:bidi="en_US"/>
        </w:rPr>
        <w:t>will certainly come</w:t>
      </w:r>
      <w:r>
        <w:rPr>
          <w:lang w:val="en_US" w:bidi="en_US"/>
        </w:rPr>
        <w:t xml:space="preserve"> and </w:t>
      </w:r>
      <w:r>
        <w:rPr>
          <w:u w:val="single"/>
          <w:lang w:val="en_US" w:bidi="en_US"/>
        </w:rPr>
        <w:t>will redeem</w:t>
      </w:r>
      <w:r>
        <w:rPr>
          <w:lang w:val="en_US" w:bidi="en_US"/>
        </w:rPr>
        <w:t xml:space="preserve"> his people. He </w:t>
      </w:r>
      <w:r>
        <w:rPr>
          <w:u w:val="single"/>
          <w:lang w:val="en_US" w:bidi="en_US"/>
        </w:rPr>
        <w:t>will raise up</w:t>
      </w:r>
      <w:r>
        <w:rPr>
          <w:lang w:val="en_US" w:bidi="en_US"/>
        </w:rPr>
        <w:t xml:space="preserve"> a horn of salvation…</w:t>
      </w:r>
    </w:p>
    <w:p>
      <w:pPr/>
      <w:r>
        <w:rPr>
          <w:lang w:val="en_US" w:bidi="en_US"/>
        </w:rPr>
      </w:r>
      <w:r>
        <w:rPr>
          <w:lang w:val="en_US" w:bidi="en_US"/>
        </w:rPr>
        <w:t>You may also want to include a footnote in your translation to explain these things.</w:t>
      </w:r>
    </w:p>
    <w:p>
      <w:pPr>
        <w:pStyle w:val="Heading5"/>
      </w:pPr>
      <w:r>
        <w:rPr>
          <w:lang w:val="en_US" w:bidi="en_US"/>
        </w:rPr>
        <w:t>1:68b</w:t>
      </w:r>
    </w:p>
    <w:p>
      <w:pPr/>
      <w:r>
        <w:rPr>
          <w:lang w:val="en_US" w:bidi="en_US"/>
        </w:rPr>
      </w:r>
      <w:r>
        <w:rPr>
          <w:b/>
          <w:lang w:val="en_US" w:bidi="en_US"/>
        </w:rPr>
        <w:t>because He has visited and redeemed His people.</w:t>
      </w:r>
    </w:p>
    <w:p>
      <w:pPr>
        <w:pStyle w:val="ListBullet"/>
        <w:spacing w:line="240" w:lineRule="auto"/>
        <w:ind w:left="720"/>
      </w:pPr>
      <w:r>
        <w:rPr>
          <w:lang w:val="en_US" w:bidi="en_US"/>
        </w:rPr>
      </w:r>
      <w:r>
        <w:rPr>
          <w:lang w:val="en_US" w:bidi="en_US"/>
        </w:rPr>
        <w:t>for he has visited his people and set them free.</w:t>
      </w:r>
    </w:p>
    <w:p>
      <w:pPr>
        <w:pStyle w:val="ListBullet"/>
        <w:spacing w:line="240" w:lineRule="auto"/>
        <w:ind w:left="720"/>
      </w:pPr>
      <w:r>
        <w:rPr>
          <w:lang w:val="en_US" w:bidi="en_US"/>
        </w:rPr>
      </w:r>
      <w:r>
        <w:rPr>
          <w:lang w:val="en_US" w:bidi="en_US"/>
        </w:rPr>
        <w:t xml:space="preserve">because he comes </w:t>
      </w:r>
      <w:r>
        <w:rPr>
          <w:lang w:val="en_US" w:bidi="en_US"/>
        </w:rPr>
        <w:t>to help</w:t>
      </w:r>
      <w:r>
        <w:rPr>
          <w:lang w:val="en_US" w:bidi="en_US"/>
        </w:rPr>
        <w:t xml:space="preserve"> </w:t>
      </w:r>
      <w:r>
        <w:rPr>
          <w:lang w:val="en_US" w:bidi="en_US"/>
        </w:rPr>
        <w:t>us</w:t>
      </w:r>
      <w:r>
        <w:rPr>
          <w:vertAlign w:val="superscript"/>
          <w:lang w:val="en_US" w:bidi="en_US"/>
        </w:rPr>
        <w:t>(incl)</w:t>
      </w:r>
      <w:r>
        <w:rPr>
          <w:lang w:val="en_US" w:bidi="en_US"/>
        </w:rPr>
        <w:t xml:space="preserve"> his people, and he will rescue/deliver us.</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introduces a reason why the Lord is worthy of praise. This part of the verse explains why Zechariah praised God in 1:68a. Connect 1:68a and 1:68b in a natural way in your language. In some languages a conjunction may not be needed. For example:</w:t>
      </w:r>
    </w:p>
    <w:p>
      <w:pPr/>
      <w:r>
        <w:rPr>
          <w:lang w:val="en_US" w:bidi="en_US"/>
        </w:rPr>
      </w:r>
      <w:r>
        <w:rPr>
          <w:vertAlign w:val="superscript"/>
          <w:lang w:val="en_US" w:bidi="en_US"/>
        </w:rPr>
        <w:t>68a</w:t>
      </w:r>
      <w:r>
        <w:rPr>
          <w:lang w:val="en_US" w:bidi="en_US"/>
        </w:rPr>
        <w:t xml:space="preserve">Praise the Lord, the God of Israel! </w:t>
      </w:r>
      <w:r>
        <w:rPr>
          <w:vertAlign w:val="superscript"/>
          <w:lang w:val="en_US" w:bidi="en_US"/>
        </w:rPr>
        <w:t>68b</w:t>
      </w:r>
      <w:r>
        <w:rPr>
          <w:lang w:val="en_US" w:bidi="en_US"/>
        </w:rPr>
        <w:t>He has come to save his people. (CEV)</w:t>
      </w:r>
    </w:p>
    <w:p>
      <w:pPr/>
      <w:r>
        <w:rPr>
          <w:lang w:val="en_US" w:bidi="en_US"/>
        </w:rPr>
      </w:r>
      <w:r>
        <w:rPr>
          <w:b/>
          <w:lang w:val="en_US" w:bidi="en_US"/>
        </w:rPr>
        <w:t>He has visited and redeemed His people:</w:t>
      </w:r>
      <w:r>
        <w:rPr>
          <w:lang w:val="en_US" w:bidi="en_US"/>
        </w:rPr>
        <w:t xml:space="preserve"> The Greek word that the BSB translates literally as </w:t>
      </w:r>
      <w:r>
        <w:rPr>
          <w:i/>
          <w:lang w:val="en_US" w:bidi="en_US"/>
        </w:rPr>
        <w:t>visited</w:t>
      </w:r>
      <w:r>
        <w:rPr>
          <w:lang w:val="en_US" w:bidi="en_US"/>
        </w:rPr>
        <w:t xml:space="preserve"> means that God had come near to his people to help them. He would help them by redeeming them. Some other ways to translate this are:</w:t>
      </w:r>
    </w:p>
    <w:p>
      <w:pPr/>
      <w:r>
        <w:rPr>
          <w:lang w:val="en_US" w:bidi="en_US"/>
        </w:rPr>
      </w:r>
      <w:r>
        <w:rPr>
          <w:lang w:val="en_US" w:bidi="en_US"/>
        </w:rPr>
        <w:t>he has come to help his people and has given them freedom (NCV)</w:t>
      </w:r>
    </w:p>
    <w:p>
      <w:pPr/>
      <w:r>
        <w:rPr>
          <w:lang w:val="en_US" w:bidi="en_US"/>
        </w:rPr>
      </w:r>
      <w:r>
        <w:rPr>
          <w:lang w:val="en_US" w:bidi="en_US"/>
        </w:rPr>
        <w:t xml:space="preserve">he has come </w:t>
      </w:r>
      <w:r>
        <w:rPr>
          <w:lang w:val="en_US" w:bidi="en_US"/>
        </w:rPr>
        <w:t>to take care of</w:t>
      </w:r>
      <w:r>
        <w:rPr>
          <w:lang w:val="en_US" w:bidi="en_US"/>
        </w:rPr>
        <w:t xml:space="preserve"> his people and redeem them</w:t>
      </w:r>
    </w:p>
    <w:p>
      <w:pPr/>
      <w:r>
        <w:rPr>
          <w:lang w:val="en_US" w:bidi="en_US"/>
        </w:rPr>
      </w:r>
      <w:r>
        <w:rPr>
          <w:lang w:val="en_US" w:bidi="en_US"/>
        </w:rPr>
        <w:t>he has turned to his people and set them free (REB)</w:t>
      </w:r>
    </w:p>
    <w:p>
      <w:pPr/>
      <w:r>
        <w:rPr>
          <w:lang w:val="en_US" w:bidi="en_US"/>
        </w:rPr>
      </w:r>
      <w:r>
        <w:rPr>
          <w:b/>
          <w:lang w:val="en_US" w:bidi="en_US"/>
        </w:rPr>
        <w:t>redeemed His people:</w:t>
      </w:r>
      <w:r>
        <w:rPr>
          <w:lang w:val="en_US" w:bidi="en_US"/>
        </w:rPr>
        <w:t xml:space="preserve"> The verb </w:t>
      </w:r>
      <w:r>
        <w:rPr>
          <w:i/>
          <w:lang w:val="en_US" w:bidi="en_US"/>
        </w:rPr>
        <w:t>redeemed</w:t>
      </w:r>
      <w:r>
        <w:rPr>
          <w:lang w:val="en_US" w:bidi="en_US"/>
        </w:rPr>
        <w:t xml:space="preserve"> means “rescued, set free, delivered.” If you must say from whom or what God had </w:t>
      </w:r>
      <w:r>
        <w:rPr>
          <w:i/>
          <w:lang w:val="en_US" w:bidi="en_US"/>
        </w:rPr>
        <w:t>redeemed His people</w:t>
      </w:r>
      <w:r>
        <w:rPr>
          <w:lang w:val="en_US" w:bidi="en_US"/>
        </w:rPr>
        <w:t>, you should supply “from their enemies.” This is made explicit in 1:71.</w:t>
      </w:r>
    </w:p>
    <w:p>
      <w:pPr/>
      <w:r>
        <w:rPr>
          <w:lang w:val="en_US" w:bidi="en_US"/>
        </w:rPr>
      </w:r>
      <w:r>
        <w:rPr>
          <w:lang w:val="en_US" w:bidi="en_US"/>
        </w:rPr>
        <w:t>This phrase is similar to Psalm 111:9, “He provided redemption for his people.”</w:t>
      </w:r>
    </w:p>
    <w:p>
      <w:pPr/>
      <w:r>
        <w:rPr>
          <w:lang w:val="en_US" w:bidi="en_US"/>
        </w:rPr>
      </w:r>
      <w:r>
        <w:rPr>
          <w:b/>
          <w:lang w:val="en_US" w:bidi="en_US"/>
        </w:rPr>
        <w:t>His people:</w:t>
      </w:r>
      <w:r>
        <w:rPr>
          <w:lang w:val="en_US" w:bidi="en_US"/>
        </w:rPr>
        <w:t xml:space="preserve"> Zechariah was an Israelite, one of God’s people. In some languages it may be necessary to indicate that explicitly. For example:</w:t>
      </w:r>
    </w:p>
    <w:p>
      <w:pPr/>
      <w:r>
        <w:rPr>
          <w:lang w:val="en_US" w:bidi="en_US"/>
        </w:rPr>
      </w:r>
      <w:r>
        <w:rPr>
          <w:lang w:val="en_US" w:bidi="en_US"/>
        </w:rPr>
        <w:t>us</w:t>
      </w:r>
      <w:r>
        <w:rPr>
          <w:vertAlign w:val="superscript"/>
          <w:lang w:val="en_US" w:bidi="en_US"/>
        </w:rPr>
        <w:t>(incl)</w:t>
      </w:r>
      <w:r>
        <w:rPr>
          <w:lang w:val="en_US" w:bidi="en_US"/>
        </w:rPr>
        <w:t xml:space="preserve"> his people</w:t>
      </w:r>
      <w:r>
        <w:rPr>
          <w:lang w:val="en_US" w:bidi="en_US"/>
        </w:rPr>
      </w:r>
      <w:r>
        <w:rPr>
          <w:lang w:val="en_US" w:bidi="en_US"/>
        </w:rPr>
      </w:r>
    </w:p>
    <w:p>
      <w:pPr/>
      <w:r>
        <w:rPr>
          <w:lang w:val="en_US" w:bidi="en_US"/>
        </w:rPr>
      </w:r>
    </w:p>
    <w:p>
      <w:pPr>
        <w:pStyle w:val="Heading2"/>
      </w:pPr>
      <w:r>
        <w:rPr>
          <w:lang w:val="en_US" w:bidi="en_US"/>
        </w:rPr>
        <w:t>Luke 1:69</w:t>
      </w:r>
      <w:r>
        <w:rPr>
          <w:lang w:val="en_US" w:bidi="en_US"/>
        </w:rPr>
      </w:r>
    </w:p>
    <w:p>
      <w:pPr>
        <w:pStyle w:val="Heading4"/>
      </w:pPr>
      <w:r>
        <w:rPr>
          <w:lang w:val="en_US" w:bidi="en_US"/>
        </w:rPr>
        <w:t>Section 1:67–80: Zechariah prophesied and praised God</w:t>
      </w:r>
    </w:p>
    <w:p>
      <w:pPr/>
      <w:r>
        <w:rPr>
          <w:lang w:val="en_US" w:bidi="en_US"/>
        </w:rPr>
      </w:r>
      <w:r>
        <w:rPr>
          <w:lang w:val="en_US" w:bidi="en_US"/>
        </w:rP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pPr/>
      <w:r>
        <w:rPr>
          <w:lang w:val="en_US" w:bidi="en_US"/>
        </w:rPr>
      </w:r>
      <w:r>
        <w:rPr>
          <w:lang w:val="en_US" w:bidi="en_US"/>
        </w:rP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pPr/>
      <w:r>
        <w:rPr>
          <w:lang w:val="en_US" w:bidi="en_US"/>
        </w:rPr>
      </w:r>
      <w:r>
        <w:rPr>
          <w:lang w:val="en_US" w:bidi="en_US"/>
        </w:rP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pPr/>
      <w:r>
        <w:rPr>
          <w:lang w:val="en_US" w:bidi="en_US"/>
        </w:rPr>
      </w:r>
      <w:r>
        <w:rPr>
          <w:lang w:val="en_US" w:bidi="en_US"/>
        </w:rP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pPr/>
      <w:r>
        <w:rPr>
          <w:lang w:val="en_US" w:bidi="en_US"/>
        </w:rPr>
      </w:r>
      <w:r>
        <w:rPr>
          <w:lang w:val="en_US" w:bidi="en_US"/>
        </w:rP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pPr/>
      <w:r>
        <w:rPr>
          <w:lang w:val="en_US" w:bidi="en_US"/>
        </w:rPr>
      </w:r>
      <w:r>
        <w:rPr>
          <w:vertAlign w:val="superscript"/>
          <w:lang w:val="en_US" w:bidi="en_US"/>
        </w:rPr>
        <w:t>68a</w:t>
      </w:r>
      <w:r>
        <w:rPr>
          <w:lang w:val="en_US" w:bidi="en_US"/>
        </w:rPr>
        <w:t>Praise be to the Lord the God of Israel!</w:t>
      </w:r>
    </w:p>
    <w:p>
      <w:pPr/>
      <w:r>
        <w:rPr>
          <w:lang w:val="en_US" w:bidi="en_US"/>
        </w:rPr>
      </w:r>
      <w:r>
        <w:rPr>
          <w:vertAlign w:val="superscript"/>
          <w:lang w:val="en_US" w:bidi="en_US"/>
        </w:rPr>
        <w:t>73</w:t>
      </w:r>
      <w:r>
        <w:rPr>
          <w:lang w:val="en_US" w:bidi="en_US"/>
        </w:rPr>
        <w:t>Long ago he swore an oath to our father Abraham.</w:t>
      </w:r>
    </w:p>
    <w:p>
      <w:pPr/>
      <w:r>
        <w:rPr>
          <w:lang w:val="en_US" w:bidi="en_US"/>
        </w:rPr>
      </w:r>
      <w:r>
        <w:rPr>
          <w:vertAlign w:val="superscript"/>
          <w:lang w:val="en_US" w:bidi="en_US"/>
        </w:rPr>
        <w:t>74a</w:t>
      </w:r>
      <w:r>
        <w:rPr>
          <w:lang w:val="en_US" w:bidi="en_US"/>
        </w:rPr>
        <w:t>He promised to rescue us from the hand of our enemies…</w:t>
      </w:r>
    </w:p>
    <w:p>
      <w:pPr/>
      <w:r>
        <w:rPr>
          <w:lang w:val="en_US" w:bidi="en_US"/>
        </w:rPr>
      </w:r>
      <w:r>
        <w:rPr>
          <w:lang w:val="en_US" w:bidi="en_US"/>
        </w:rPr>
        <w:t>Some other possible headings for this section are:</w:t>
      </w:r>
    </w:p>
    <w:p>
      <w:pPr/>
      <w:r>
        <w:rPr>
          <w:lang w:val="en_US" w:bidi="en_US"/>
        </w:rPr>
      </w:r>
      <w:r>
        <w:rPr>
          <w:lang w:val="en_US" w:bidi="en_US"/>
        </w:rPr>
        <w:t>Zechariah praised God and prophesied about John</w:t>
      </w:r>
    </w:p>
    <w:p>
      <w:pPr/>
      <w:r>
        <w:rPr>
          <w:lang w:val="en_US" w:bidi="en_US"/>
        </w:rPr>
      </w:r>
      <w:r>
        <w:rPr>
          <w:lang w:val="en_US" w:bidi="en_US"/>
        </w:rPr>
        <w:t>Zechariah praised God for the Messiah who would save Israel</w:t>
      </w:r>
    </w:p>
    <w:p>
      <w:pPr/>
      <w:r>
        <w:rPr>
          <w:lang w:val="en_US" w:bidi="en_US"/>
        </w:rPr>
      </w:r>
      <w:r>
        <w:rPr>
          <w:lang w:val="en_US" w:bidi="en_US"/>
        </w:rPr>
        <w:t>Zechariah’s prophecy</w:t>
      </w:r>
    </w:p>
    <w:p>
      <w:pPr/>
      <w:r>
        <w:rPr>
          <w:lang w:val="en_US" w:bidi="en_US"/>
        </w:rPr>
      </w:r>
      <w:r>
        <w:rPr>
          <w:lang w:val="en_US" w:bidi="en_US"/>
        </w:rPr>
        <w:t>Zechariah’s song of praise to God</w:t>
      </w:r>
    </w:p>
    <w:p>
      <w:pPr>
        <w:pStyle w:val="Heading5"/>
      </w:pPr>
      <w:r>
        <w:rPr>
          <w:lang w:val="en_US" w:bidi="en_US"/>
        </w:rPr>
        <w:t>1:69a</w:t>
      </w:r>
    </w:p>
    <w:p>
      <w:pPr/>
      <w:r>
        <w:rPr>
          <w:lang w:val="en_US" w:bidi="en_US"/>
        </w:rPr>
      </w:r>
      <w:r>
        <w:rPr>
          <w:b/>
          <w:lang w:val="en_US" w:bidi="en_US"/>
        </w:rPr>
        <w:t>He has raised up a horn of salvation for us</w:t>
      </w:r>
    </w:p>
    <w:p>
      <w:pPr>
        <w:pStyle w:val="ListBullet"/>
        <w:spacing w:line="240" w:lineRule="auto"/>
        <w:ind w:left="720"/>
      </w:pPr>
      <w:r>
        <w:rPr>
          <w:lang w:val="en_US" w:bidi="en_US"/>
        </w:rPr>
      </w:r>
      <w:r>
        <w:rPr>
          <w:lang w:val="en_US" w:bidi="en_US"/>
        </w:rPr>
        <w:t>He has provided a mighty Savior for us</w:t>
      </w:r>
      <w:r>
        <w:rPr>
          <w:vertAlign w:val="superscript"/>
          <w:lang w:val="en_US" w:bidi="en_US"/>
        </w:rPr>
        <w:t>(incl)</w:t>
      </w:r>
    </w:p>
    <w:p>
      <w:pPr>
        <w:pStyle w:val="ListBullet"/>
        <w:spacing w:line="240" w:lineRule="auto"/>
        <w:ind w:left="720"/>
      </w:pPr>
      <w:r>
        <w:rPr>
          <w:lang w:val="en_US" w:bidi="en_US"/>
        </w:rPr>
      </w:r>
      <w:r>
        <w:rPr>
          <w:lang w:val="en_US" w:bidi="en_US"/>
        </w:rPr>
        <w:t>God is sending us</w:t>
      </w:r>
      <w:r>
        <w:rPr>
          <w:vertAlign w:val="superscript"/>
          <w:lang w:val="en_US" w:bidi="en_US"/>
        </w:rPr>
        <w:t>(incl)</w:t>
      </w:r>
      <w:r>
        <w:rPr>
          <w:lang w:val="en_US" w:bidi="en_US"/>
        </w:rPr>
        <w:t xml:space="preserve"> a powerful one/person to rescue us</w:t>
      </w:r>
      <w:r>
        <w:rPr>
          <w:vertAlign w:val="superscript"/>
          <w:lang w:val="en_US" w:bidi="en_US"/>
        </w:rPr>
        <w:t>(incl)</w:t>
      </w:r>
      <w:r>
        <w:rPr>
          <w:lang w:val="en_US" w:bidi="en_US"/>
        </w:rPr>
        <w:t xml:space="preserve"> </w:t>
      </w:r>
      <w:r>
        <w:rPr>
          <w:lang w:val="en_US" w:bidi="en_US"/>
        </w:rPr>
        <w:t>from evil</w:t>
      </w:r>
      <w:r>
        <w:rPr>
          <w:lang w:val="en_US" w:bidi="en_US"/>
        </w:rPr>
        <w:t>,</w:t>
      </w:r>
    </w:p>
    <w:p>
      <w:pPr/>
      <w:r>
        <w:rPr>
          <w:lang w:val="en_US" w:bidi="en_US"/>
        </w:rPr>
      </w:r>
      <w:r>
        <w:rPr>
          <w:b/>
          <w:lang w:val="en_US" w:bidi="en_US"/>
        </w:rPr>
        <w:t>He has raised up a horn of salvation for us:</w:t>
      </w:r>
      <w:r>
        <w:rPr>
          <w:lang w:val="en_US" w:bidi="en_US"/>
        </w:rPr>
        <w:t xml:space="preserve"> The sentence </w:t>
      </w:r>
      <w:r>
        <w:rPr>
          <w:i/>
          <w:lang w:val="en_US" w:bidi="en_US"/>
        </w:rPr>
        <w:t>He has raised up a horn of salvation</w:t>
      </w:r>
      <w:r>
        <w:rPr>
          <w:lang w:val="en_US" w:bidi="en_US"/>
        </w:rPr>
        <w:t xml:space="preserve"> is a figure of speech. It means that the Lord has provided a mighty Savior/Rescuer. Old Testament writers used the expression </w:t>
      </w:r>
      <w:r>
        <w:rPr>
          <w:i/>
          <w:lang w:val="en_US" w:bidi="en_US"/>
        </w:rPr>
        <w:t>He has raised up</w:t>
      </w:r>
      <w:r>
        <w:rPr>
          <w:lang w:val="en_US" w:bidi="en_US"/>
        </w:rPr>
        <w:t xml:space="preserve"> when God provided a king or judge to rule his people and save them.</w:t>
      </w:r>
    </w:p>
    <w:p>
      <w:pPr/>
      <w:r>
        <w:rPr>
          <w:lang w:val="en_US" w:bidi="en_US"/>
        </w:rPr>
      </w:r>
      <w:r>
        <w:rPr>
          <w:lang w:val="en_US" w:bidi="en_US"/>
        </w:rPr>
        <w:t>Some other ways to translate this are:</w:t>
      </w:r>
    </w:p>
    <w:p>
      <w:pPr/>
      <w:r>
        <w:rPr>
          <w:lang w:val="en_US" w:bidi="en_US"/>
        </w:rPr>
      </w:r>
      <w:r>
        <w:rPr>
          <w:lang w:val="en_US" w:bidi="en_US"/>
        </w:rPr>
        <w:t>He has provided for us a mighty Savior (GNT)</w:t>
      </w:r>
    </w:p>
    <w:p>
      <w:pPr/>
      <w:r>
        <w:rPr>
          <w:lang w:val="en_US" w:bidi="en_US"/>
        </w:rPr>
      </w:r>
      <w:r>
        <w:rPr>
          <w:lang w:val="en_US" w:bidi="en_US"/>
        </w:rPr>
        <w:t>He has given us a powerful Savior (NCV)</w:t>
      </w:r>
    </w:p>
    <w:p>
      <w:pPr/>
      <w:r>
        <w:rPr>
          <w:lang w:val="en_US" w:bidi="en_US"/>
        </w:rPr>
      </w:r>
      <w:r>
        <w:rPr>
          <w:lang w:val="en_US" w:bidi="en_US"/>
        </w:rPr>
        <w:t>He has sent us a mighty Savior (NLT)</w:t>
      </w:r>
    </w:p>
    <w:p>
      <w:pPr/>
      <w:r>
        <w:rPr>
          <w:lang w:val="en_US" w:bidi="en_US"/>
        </w:rPr>
      </w:r>
      <w:r>
        <w:rPr>
          <w:b/>
          <w:lang w:val="en_US" w:bidi="en_US"/>
        </w:rPr>
        <w:t>a horn of salvation for us:</w:t>
      </w:r>
      <w:r>
        <w:rPr>
          <w:lang w:val="en_US" w:bidi="en_US"/>
        </w:rPr>
        <w:t xml:space="preserve"> The phrase </w:t>
      </w:r>
      <w:r>
        <w:rPr>
          <w:i/>
          <w:lang w:val="en_US" w:bidi="en_US"/>
        </w:rPr>
        <w:t>a horn of salvation</w:t>
      </w:r>
      <w:r>
        <w:rPr>
          <w:lang w:val="en_US" w:bidi="en_US"/>
        </w:rPr>
        <w:t xml:space="preserve"> is a metaphor taken from the Old Testament. Literally, it refers to the horn of a strong animal such as an ox. The horn was a powerful weapon that the animal could use to attack and defend itself against enemies. It refers figuratively to someone who is very strong or powerful. A horn </w:t>
      </w:r>
      <w:r>
        <w:rPr>
          <w:i/>
          <w:lang w:val="en_US" w:bidi="en_US"/>
        </w:rPr>
        <w:t>of salvation</w:t>
      </w:r>
      <w:r>
        <w:rPr>
          <w:lang w:val="en_US" w:bidi="en_US"/>
        </w:rPr>
        <w:t xml:space="preserve"> refers to a powerful person who would bring salvation to people, that is, who would save them.</w:t>
      </w:r>
    </w:p>
    <w:p>
      <w:pPr/>
      <w:r>
        <w:rPr>
          <w:lang w:val="en_US" w:bidi="en_US"/>
        </w:rPr>
      </w:r>
      <w:r>
        <w:rPr>
          <w:lang w:val="en_US" w:bidi="en_US"/>
        </w:rPr>
        <w:t>If you do not use an animal’s horn to express this idea in your language, here are some other ways to translate this:</w:t>
      </w:r>
    </w:p>
    <w:p>
      <w:pPr>
        <w:pStyle w:val="ListBullet"/>
        <w:spacing w:line="240" w:lineRule="auto"/>
        <w:ind w:left="720"/>
      </w:pPr>
      <w:r>
        <w:rPr>
          <w:lang w:val="en_US" w:bidi="en_US"/>
        </w:rPr>
      </w:r>
      <w:r>
        <w:rPr>
          <w:lang w:val="en_US" w:bidi="en_US"/>
        </w:rPr>
        <w:t>Use a figure of speech that has the same meaning in your language.</w:t>
      </w:r>
    </w:p>
    <w:p>
      <w:pPr>
        <w:pStyle w:val="ListBullet"/>
        <w:spacing w:line="240" w:lineRule="auto"/>
        <w:ind w:left="720"/>
      </w:pPr>
      <w:r>
        <w:rPr>
          <w:lang w:val="en_US" w:bidi="en_US"/>
        </w:rPr>
      </w:r>
      <w:r>
        <w:rPr>
          <w:lang w:val="en_US" w:bidi="en_US"/>
        </w:rPr>
        <w:t>Translate the meaning directly without the figure of speech. For example:</w:t>
      </w:r>
      <w:r>
        <w:rPr>
          <w:lang w:val="en_US" w:bidi="en_US"/>
        </w:rPr>
        <w:t>a powerful one to save us</w:t>
      </w:r>
      <w:r>
        <w:rPr>
          <w:lang w:val="en_US" w:bidi="en_US"/>
        </w:rPr>
        <w:t xml:space="preserve">a mighty </w:t>
      </w:r>
      <w:r>
        <w:rPr>
          <w:lang w:val="en_US" w:bidi="en_US"/>
        </w:rPr>
        <w:t>ruler</w:t>
      </w:r>
      <w:r>
        <w:rPr>
          <w:lang w:val="en_US" w:bidi="en_US"/>
        </w:rPr>
        <w:t xml:space="preserve"> to bring us to safety</w:t>
      </w:r>
    </w:p>
    <w:p>
      <w:pPr/>
      <w:r>
        <w:rPr>
          <w:lang w:val="en_US" w:bidi="en_US"/>
        </w:rPr>
      </w:r>
      <w:r>
        <w:rPr>
          <w:b/>
          <w:lang w:val="en_US" w:bidi="en_US"/>
        </w:rPr>
        <w:t>salvation:</w:t>
      </w:r>
      <w:r>
        <w:rPr>
          <w:lang w:val="en_US" w:bidi="en_US"/>
        </w:rPr>
        <w:t xml:space="preserve"> The word </w:t>
      </w:r>
      <w:r>
        <w:rPr>
          <w:i/>
          <w:lang w:val="en_US" w:bidi="en_US"/>
        </w:rPr>
        <w:t>salvation</w:t>
      </w:r>
      <w:r>
        <w:rPr>
          <w:lang w:val="en_US" w:bidi="en_US"/>
        </w:rPr>
        <w:t xml:space="preserve"> refers to being rescued/saved from something harmful or dangerous. A person may be saved from physical dangers such as death or enemies or from spiritual dangers such as sin and its punishment. The “horn of salvation” (the Messiah) would save people from both physical and spiritual dangers. In 1:71 the text specifies that he would save them from their enemies.</w:t>
      </w:r>
    </w:p>
    <w:p>
      <w:pPr/>
      <w:r>
        <w:rPr>
          <w:lang w:val="en_US" w:bidi="en_US"/>
        </w:rPr>
      </w:r>
      <w:r>
        <w:rPr>
          <w:lang w:val="en_US" w:bidi="en_US"/>
        </w:rPr>
        <w:t>In some languages it may be necessary to specify what the people were saved from. If that is true in your language, there are two ways to translate it in this context:</w:t>
      </w:r>
    </w:p>
    <w:p>
      <w:pPr>
        <w:pStyle w:val="ListBullet"/>
        <w:spacing w:line="240" w:lineRule="auto"/>
        <w:ind w:left="720"/>
      </w:pPr>
      <w:r>
        <w:rPr>
          <w:lang w:val="en_US" w:bidi="en_US"/>
        </w:rPr>
      </w:r>
      <w:r>
        <w:rPr>
          <w:lang w:val="en_US" w:bidi="en_US"/>
        </w:rPr>
        <w:t>Use a general expression that can include deliverance from all kinds of dangers/troubles. For example:</w:t>
      </w:r>
      <w:r>
        <w:rPr>
          <w:lang w:val="en_US" w:bidi="en_US"/>
        </w:rPr>
        <w:t xml:space="preserve">to rescue us </w:t>
      </w:r>
      <w:r>
        <w:rPr>
          <w:lang w:val="en_US" w:bidi="en_US"/>
        </w:rPr>
        <w:t>from evil/harm</w:t>
      </w:r>
    </w:p>
    <w:p>
      <w:pPr>
        <w:pStyle w:val="ListBullet"/>
        <w:spacing w:line="240" w:lineRule="auto"/>
        <w:ind w:left="720"/>
      </w:pPr>
      <w:r>
        <w:rPr>
          <w:lang w:val="en_US" w:bidi="en_US"/>
        </w:rPr>
      </w:r>
      <w:r>
        <w:rPr>
          <w:lang w:val="en_US" w:bidi="en_US"/>
        </w:rPr>
        <w:t>Use the information from 1:71 and indicate that they were saved from their enemies. For example:</w:t>
      </w:r>
      <w:r>
        <w:rPr>
          <w:lang w:val="en_US" w:bidi="en_US"/>
        </w:rPr>
        <w:t xml:space="preserve">to rescue us </w:t>
      </w:r>
      <w:r>
        <w:rPr>
          <w:lang w:val="en_US" w:bidi="en_US"/>
        </w:rPr>
        <w:t>from our enemies</w:t>
      </w:r>
    </w:p>
    <w:p>
      <w:pPr/>
      <w:r>
        <w:rPr>
          <w:lang w:val="en_US" w:bidi="en_US"/>
        </w:rPr>
      </w:r>
      <w:r>
        <w:rPr>
          <w:lang w:val="en_US" w:bidi="en_US"/>
        </w:rPr>
        <w:t>If you use this option, express it in a way that will fit with 1:71 and will not sound redundant.</w:t>
      </w:r>
    </w:p>
    <w:p>
      <w:pPr/>
      <w:r>
        <w:rPr>
          <w:lang w:val="en_US" w:bidi="en_US"/>
        </w:rPr>
      </w:r>
      <w:r>
        <w:rPr>
          <w:lang w:val="en_US" w:bidi="en_US"/>
        </w:rPr>
        <w:t>See also save in the Glossary (see the note on salvation).</w:t>
      </w:r>
    </w:p>
    <w:p>
      <w:pPr/>
      <w:r>
        <w:rPr>
          <w:lang w:val="en_US" w:bidi="en_US"/>
        </w:rPr>
      </w:r>
      <w:r>
        <w:rPr>
          <w:b/>
          <w:lang w:val="en_US" w:bidi="en_US"/>
        </w:rPr>
        <w:t>for us:</w:t>
      </w:r>
      <w:r>
        <w:rPr>
          <w:lang w:val="en_US" w:bidi="en_US"/>
        </w:rPr>
        <w:t xml:space="preserve"> In this context the phrase </w:t>
      </w:r>
      <w:r>
        <w:rPr>
          <w:i/>
          <w:lang w:val="en_US" w:bidi="en_US"/>
        </w:rPr>
        <w:t>for us</w:t>
      </w:r>
      <w:r>
        <w:rPr>
          <w:lang w:val="en_US" w:bidi="en_US"/>
        </w:rPr>
        <w:t xml:space="preserve"> means “for us</w:t>
      </w:r>
      <w:r>
        <w:rPr>
          <w:vertAlign w:val="superscript"/>
          <w:lang w:val="en_US" w:bidi="en_US"/>
        </w:rPr>
        <w:t>(incl)</w:t>
      </w:r>
      <w:r>
        <w:rPr>
          <w:lang w:val="en_US" w:bidi="en_US"/>
        </w:rPr>
        <w:t xml:space="preserve"> Israelites.” Zechariah and the people to whom he was talking were all Israelites.</w:t>
      </w:r>
    </w:p>
    <w:p>
      <w:pPr>
        <w:pStyle w:val="Heading5"/>
      </w:pPr>
      <w:r>
        <w:rPr>
          <w:lang w:val="en_US" w:bidi="en_US"/>
        </w:rPr>
        <w:t>1:69b</w:t>
      </w:r>
    </w:p>
    <w:p>
      <w:pPr/>
      <w:r>
        <w:rPr>
          <w:lang w:val="en_US" w:bidi="en_US"/>
        </w:rPr>
      </w:r>
      <w:r>
        <w:rPr>
          <w:b/>
          <w:lang w:val="en_US" w:bidi="en_US"/>
        </w:rPr>
        <w:t>in the house of His servant David,</w:t>
      </w:r>
    </w:p>
    <w:p>
      <w:pPr>
        <w:pStyle w:val="ListBullet"/>
        <w:spacing w:line="240" w:lineRule="auto"/>
        <w:ind w:left="720"/>
      </w:pPr>
      <w:r>
        <w:rPr>
          <w:lang w:val="en_US" w:bidi="en_US"/>
        </w:rPr>
      </w:r>
      <w:r>
        <w:rPr>
          <w:lang w:val="en_US" w:bidi="en_US"/>
        </w:rPr>
        <w:t>from the family/clan of David, his servant.</w:t>
      </w:r>
    </w:p>
    <w:p>
      <w:pPr>
        <w:pStyle w:val="ListBullet"/>
        <w:spacing w:line="240" w:lineRule="auto"/>
        <w:ind w:left="720"/>
      </w:pPr>
      <w:r>
        <w:rPr>
          <w:lang w:val="en_US" w:bidi="en_US"/>
        </w:rPr>
      </w:r>
      <w:r>
        <w:rPr>
          <w:lang w:val="en_US" w:bidi="en_US"/>
        </w:rPr>
        <w:t xml:space="preserve">a descendant of his servant </w:t>
      </w:r>
      <w:r>
        <w:rPr>
          <w:lang w:val="en_US" w:bidi="en_US"/>
        </w:rPr>
        <w:t>King</w:t>
      </w:r>
      <w:r>
        <w:rPr>
          <w:lang w:val="en_US" w:bidi="en_US"/>
        </w:rPr>
        <w:t xml:space="preserve"> David.</w:t>
      </w:r>
    </w:p>
    <w:p>
      <w:pPr/>
      <w:r>
        <w:rPr>
          <w:lang w:val="en_US" w:bidi="en_US"/>
        </w:rPr>
      </w:r>
      <w:r>
        <w:rPr>
          <w:b/>
          <w:lang w:val="en_US" w:bidi="en_US"/>
        </w:rPr>
        <w:t>in the house of His servant David:</w:t>
      </w:r>
      <w:r>
        <w:rPr>
          <w:lang w:val="en_US" w:bidi="en_US"/>
        </w:rPr>
        <w:t xml:space="preserve"> The phrase </w:t>
      </w:r>
      <w:r>
        <w:rPr>
          <w:i/>
          <w:lang w:val="en_US" w:bidi="en_US"/>
        </w:rPr>
        <w:t>in the house of His servant David</w:t>
      </w:r>
      <w:r>
        <w:rPr>
          <w:lang w:val="en_US" w:bidi="en_US"/>
        </w:rPr>
        <w:t xml:space="preserve"> means that the Savior would come “from the family of </w:t>
      </w:r>
      <w:r>
        <w:rPr>
          <w:lang w:val="en_US" w:bidi="en_US"/>
        </w:rPr>
        <w:t>King</w:t>
      </w:r>
      <w:r>
        <w:rPr>
          <w:lang w:val="en_US" w:bidi="en_US"/>
        </w:rPr>
        <w:t xml:space="preserve"> David, God’s servant.” The Savior or Messiah would be a descendant of King David. This implies that he would be a king.</w:t>
      </w:r>
      <w:r>
        <w:rPr>
          <w:lang w:val="en_US" w:bidi="en_US"/>
        </w:rPr>
      </w:r>
      <w:r>
        <w:rPr>
          <w:lang w:val="en_US" w:bidi="en_US"/>
        </w:rPr>
      </w:r>
    </w:p>
    <w:p>
      <w:pPr/>
      <w:r>
        <w:rPr>
          <w:lang w:val="en_US" w:bidi="en_US"/>
        </w:rPr>
      </w:r>
    </w:p>
    <w:p>
      <w:pPr>
        <w:pStyle w:val="Heading2"/>
      </w:pPr>
      <w:r>
        <w:rPr>
          <w:lang w:val="en_US" w:bidi="en_US"/>
        </w:rPr>
        <w:t>Luke 1:70</w:t>
      </w:r>
      <w:r>
        <w:rPr>
          <w:lang w:val="en_US" w:bidi="en_US"/>
        </w:rPr>
      </w:r>
    </w:p>
    <w:p>
      <w:pPr>
        <w:pStyle w:val="Heading4"/>
      </w:pPr>
      <w:r>
        <w:rPr>
          <w:lang w:val="en_US" w:bidi="en_US"/>
        </w:rPr>
        <w:t>Section 1:67–80: Zechariah prophesied and praised God</w:t>
      </w:r>
    </w:p>
    <w:p>
      <w:pPr/>
      <w:r>
        <w:rPr>
          <w:lang w:val="en_US" w:bidi="en_US"/>
        </w:rPr>
      </w:r>
      <w:r>
        <w:rPr>
          <w:lang w:val="en_US" w:bidi="en_US"/>
        </w:rP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pPr/>
      <w:r>
        <w:rPr>
          <w:lang w:val="en_US" w:bidi="en_US"/>
        </w:rPr>
      </w:r>
      <w:r>
        <w:rPr>
          <w:lang w:val="en_US" w:bidi="en_US"/>
        </w:rP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pPr/>
      <w:r>
        <w:rPr>
          <w:lang w:val="en_US" w:bidi="en_US"/>
        </w:rPr>
      </w:r>
      <w:r>
        <w:rPr>
          <w:lang w:val="en_US" w:bidi="en_US"/>
        </w:rP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pPr/>
      <w:r>
        <w:rPr>
          <w:lang w:val="en_US" w:bidi="en_US"/>
        </w:rPr>
      </w:r>
      <w:r>
        <w:rPr>
          <w:lang w:val="en_US" w:bidi="en_US"/>
        </w:rP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pPr/>
      <w:r>
        <w:rPr>
          <w:lang w:val="en_US" w:bidi="en_US"/>
        </w:rPr>
      </w:r>
      <w:r>
        <w:rPr>
          <w:lang w:val="en_US" w:bidi="en_US"/>
        </w:rP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pPr/>
      <w:r>
        <w:rPr>
          <w:lang w:val="en_US" w:bidi="en_US"/>
        </w:rPr>
      </w:r>
      <w:r>
        <w:rPr>
          <w:vertAlign w:val="superscript"/>
          <w:lang w:val="en_US" w:bidi="en_US"/>
        </w:rPr>
        <w:t>68a</w:t>
      </w:r>
      <w:r>
        <w:rPr>
          <w:lang w:val="en_US" w:bidi="en_US"/>
        </w:rPr>
        <w:t>Praise be to the Lord the God of Israel!</w:t>
      </w:r>
    </w:p>
    <w:p>
      <w:pPr/>
      <w:r>
        <w:rPr>
          <w:lang w:val="en_US" w:bidi="en_US"/>
        </w:rPr>
      </w:r>
      <w:r>
        <w:rPr>
          <w:vertAlign w:val="superscript"/>
          <w:lang w:val="en_US" w:bidi="en_US"/>
        </w:rPr>
        <w:t>73</w:t>
      </w:r>
      <w:r>
        <w:rPr>
          <w:lang w:val="en_US" w:bidi="en_US"/>
        </w:rPr>
        <w:t>Long ago he swore an oath to our father Abraham.</w:t>
      </w:r>
    </w:p>
    <w:p>
      <w:pPr/>
      <w:r>
        <w:rPr>
          <w:lang w:val="en_US" w:bidi="en_US"/>
        </w:rPr>
      </w:r>
      <w:r>
        <w:rPr>
          <w:vertAlign w:val="superscript"/>
          <w:lang w:val="en_US" w:bidi="en_US"/>
        </w:rPr>
        <w:t>74a</w:t>
      </w:r>
      <w:r>
        <w:rPr>
          <w:lang w:val="en_US" w:bidi="en_US"/>
        </w:rPr>
        <w:t>He promised to rescue us from the hand of our enemies…</w:t>
      </w:r>
    </w:p>
    <w:p>
      <w:pPr/>
      <w:r>
        <w:rPr>
          <w:lang w:val="en_US" w:bidi="en_US"/>
        </w:rPr>
      </w:r>
      <w:r>
        <w:rPr>
          <w:lang w:val="en_US" w:bidi="en_US"/>
        </w:rPr>
        <w:t>Some other possible headings for this section are:</w:t>
      </w:r>
    </w:p>
    <w:p>
      <w:pPr/>
      <w:r>
        <w:rPr>
          <w:lang w:val="en_US" w:bidi="en_US"/>
        </w:rPr>
      </w:r>
      <w:r>
        <w:rPr>
          <w:lang w:val="en_US" w:bidi="en_US"/>
        </w:rPr>
        <w:t>Zechariah praised God and prophesied about John</w:t>
      </w:r>
    </w:p>
    <w:p>
      <w:pPr/>
      <w:r>
        <w:rPr>
          <w:lang w:val="en_US" w:bidi="en_US"/>
        </w:rPr>
      </w:r>
      <w:r>
        <w:rPr>
          <w:lang w:val="en_US" w:bidi="en_US"/>
        </w:rPr>
        <w:t>Zechariah praised God for the Messiah who would save Israel</w:t>
      </w:r>
    </w:p>
    <w:p>
      <w:pPr/>
      <w:r>
        <w:rPr>
          <w:lang w:val="en_US" w:bidi="en_US"/>
        </w:rPr>
      </w:r>
      <w:r>
        <w:rPr>
          <w:lang w:val="en_US" w:bidi="en_US"/>
        </w:rPr>
        <w:t>Zechariah’s prophecy</w:t>
      </w:r>
    </w:p>
    <w:p>
      <w:pPr/>
      <w:r>
        <w:rPr>
          <w:lang w:val="en_US" w:bidi="en_US"/>
        </w:rPr>
      </w:r>
      <w:r>
        <w:rPr>
          <w:lang w:val="en_US" w:bidi="en_US"/>
        </w:rPr>
        <w:t>Zechariah’s song of praise to God</w:t>
      </w:r>
    </w:p>
    <w:p>
      <w:pPr>
        <w:pStyle w:val="Heading5"/>
      </w:pPr>
      <w:r>
        <w:rPr>
          <w:lang w:val="en_US" w:bidi="en_US"/>
        </w:rPr>
        <w:t>1:70</w:t>
      </w:r>
    </w:p>
    <w:p>
      <w:pPr/>
      <w:r>
        <w:rPr>
          <w:lang w:val="en_US" w:bidi="en_US"/>
        </w:rPr>
      </w:r>
      <w:r>
        <w:rPr>
          <w:b/>
          <w:lang w:val="en_US" w:bidi="en_US"/>
        </w:rPr>
        <w:t>as He spoke through His holy prophets, those of ages past,</w:t>
      </w:r>
    </w:p>
    <w:p>
      <w:pPr>
        <w:pStyle w:val="ListBullet"/>
        <w:spacing w:line="240" w:lineRule="auto"/>
        <w:ind w:left="720"/>
      </w:pPr>
      <w:r>
        <w:rPr>
          <w:lang w:val="en_US" w:bidi="en_US"/>
        </w:rPr>
      </w:r>
      <w:r>
        <w:rPr>
          <w:lang w:val="en_US" w:bidi="en_US"/>
        </w:rPr>
        <w:t>Long ago God caused his holy/righteous prophets to say that he would do this.</w:t>
      </w:r>
    </w:p>
    <w:p>
      <w:pPr>
        <w:pStyle w:val="ListBullet"/>
        <w:spacing w:line="240" w:lineRule="auto"/>
        <w:ind w:left="720"/>
      </w:pPr>
      <w:r>
        <w:rPr>
          <w:lang w:val="en_US" w:bidi="en_US"/>
        </w:rPr>
      </w:r>
      <w:r>
        <w:rPr>
          <w:lang w:val="en_US" w:bidi="en_US"/>
        </w:rPr>
        <w:t>He is fulfilling the word/promise</w:t>
      </w:r>
      <w:r>
        <w:rPr>
          <w:lang w:val="en_US" w:bidi="en_US"/>
        </w:rPr>
        <w:t xml:space="preserve"> that he spoke </w:t>
      </w:r>
      <w:r>
        <w:rPr>
          <w:lang w:val="en_US" w:bidi="en_US"/>
        </w:rPr>
        <w:t>to his people</w:t>
      </w:r>
      <w:r>
        <w:rPr>
          <w:lang w:val="en_US" w:bidi="en_US"/>
        </w:rPr>
        <w:t xml:space="preserve"> though his holy prophets </w:t>
      </w:r>
      <w:r>
        <w:rPr>
          <w:lang w:val="en_US" w:bidi="en_US"/>
        </w:rPr>
        <w:t>who lived</w:t>
      </w:r>
      <w:r>
        <w:rPr>
          <w:lang w:val="en_US" w:bidi="en_US"/>
        </w:rPr>
        <w:t xml:space="preserve"> long ago.</w:t>
      </w:r>
    </w:p>
    <w:p>
      <w:pPr>
        <w:pStyle w:val="ListBullet"/>
        <w:spacing w:line="240" w:lineRule="auto"/>
        <w:ind w:left="720"/>
      </w:pPr>
      <w:r>
        <w:rPr>
          <w:lang w:val="en_US" w:bidi="en_US"/>
        </w:rPr>
      </w:r>
      <w:r>
        <w:rPr>
          <w:lang w:val="en_US" w:bidi="en_US"/>
        </w:rPr>
        <w:t>God is doing</w:t>
      </w:r>
      <w:r>
        <w:rPr>
          <w:lang w:val="en_US" w:bidi="en_US"/>
        </w:rPr>
        <w:t xml:space="preserve"> exactly as he said </w:t>
      </w:r>
      <w:r>
        <w:rPr>
          <w:lang w:val="en_US" w:bidi="en_US"/>
        </w:rPr>
        <w:t>he would do</w:t>
      </w:r>
      <w:r>
        <w:rPr>
          <w:lang w:val="en_US" w:bidi="en_US"/>
        </w:rPr>
        <w:t xml:space="preserve"> long ago </w:t>
      </w:r>
      <w:r>
        <w:rPr>
          <w:lang w:val="en_US" w:bidi="en_US"/>
        </w:rPr>
        <w:t>when he spoke to his people</w:t>
      </w:r>
      <w:r>
        <w:rPr>
          <w:lang w:val="en_US" w:bidi="en_US"/>
        </w:rPr>
        <w:t xml:space="preserve"> through his holy prophets.</w:t>
      </w:r>
    </w:p>
    <w:p>
      <w:pPr/>
      <w:r>
        <w:rPr>
          <w:lang w:val="en_US" w:bidi="en_US"/>
        </w:rPr>
      </w:r>
      <w:r>
        <w:rPr>
          <w:b/>
          <w:lang w:val="en_US" w:bidi="en_US"/>
        </w:rPr>
        <w:t>as He spoke through His holy prophets, those of ages past:</w:t>
      </w:r>
      <w:r>
        <w:rPr>
          <w:lang w:val="en_US" w:bidi="en_US"/>
        </w:rPr>
        <w:t xml:space="preserve"> This verse applies both to the verses before it and the verses after it. Long before Zechariah was born, God spoke through his holy prophets that he would provide salvation for his people. This salvation is mentioned in both 1:69 and 1:71.</w:t>
      </w:r>
    </w:p>
    <w:p>
      <w:pPr/>
      <w:r>
        <w:rPr>
          <w:lang w:val="en_US" w:bidi="en_US"/>
        </w:rPr>
      </w:r>
      <w:r>
        <w:rPr>
          <w:lang w:val="en_US" w:bidi="en_US"/>
        </w:rPr>
        <w:t>Some English versions connect 1:70 to 1:69, while others connect it to 1:71. You should connect the verse to the context in a natural way in your language. In some languages, it may be more natural to change the order of some of the clauses in 1:68–71. See the General Comment on 1:68b–71 at the end of the notes on 1:71 for suggestions.</w:t>
      </w:r>
    </w:p>
    <w:p>
      <w:pPr/>
      <w:r>
        <w:rPr>
          <w:lang w:val="en_US" w:bidi="en_US"/>
        </w:rPr>
      </w:r>
      <w:r>
        <w:rPr>
          <w:b/>
          <w:lang w:val="en_US" w:bidi="en_US"/>
        </w:rPr>
        <w:t>He spoke through His holy prophets:</w:t>
      </w:r>
      <w:r>
        <w:rPr>
          <w:lang w:val="en_US" w:bidi="en_US"/>
        </w:rPr>
        <w:t xml:space="preserve"> The pronoun </w:t>
      </w:r>
      <w:r>
        <w:rPr>
          <w:i/>
          <w:lang w:val="en_US" w:bidi="en_US"/>
        </w:rPr>
        <w:t>He</w:t>
      </w:r>
      <w:r>
        <w:rPr>
          <w:lang w:val="en_US" w:bidi="en_US"/>
        </w:rPr>
        <w:t xml:space="preserve"> refers to the Lord, the God of Israel (1:68a). The phrase </w:t>
      </w:r>
      <w:r>
        <w:rPr>
          <w:i/>
          <w:lang w:val="en_US" w:bidi="en_US"/>
        </w:rPr>
        <w:t>He spoke through His holy prophets</w:t>
      </w:r>
      <w:r>
        <w:rPr>
          <w:lang w:val="en_US" w:bidi="en_US"/>
        </w:rPr>
        <w:t xml:space="preserve"> means that God said things to his prophets, and the prophets told these things to other people.</w:t>
      </w:r>
    </w:p>
    <w:p>
      <w:pPr/>
      <w:r>
        <w:rPr>
          <w:lang w:val="en_US" w:bidi="en_US"/>
        </w:rPr>
      </w:r>
      <w:r>
        <w:rPr>
          <w:lang w:val="en_US" w:bidi="en_US"/>
        </w:rPr>
        <w:t xml:space="preserve">Some ways to translate </w:t>
      </w:r>
      <w:r>
        <w:rPr>
          <w:i/>
          <w:lang w:val="en_US" w:bidi="en_US"/>
        </w:rPr>
        <w:t>He spoke through His holy prophets</w:t>
      </w:r>
      <w:r>
        <w:rPr>
          <w:lang w:val="en_US" w:bidi="en_US"/>
        </w:rPr>
        <w:t xml:space="preserve"> are:</w:t>
      </w:r>
    </w:p>
    <w:p>
      <w:pPr/>
      <w:r>
        <w:rPr>
          <w:lang w:val="en_US" w:bidi="en_US"/>
        </w:rPr>
      </w:r>
      <w:r>
        <w:rPr>
          <w:lang w:val="en_US" w:bidi="en_US"/>
        </w:rPr>
        <w:t>the Lord promised by the words of his holy prophets (CEV)</w:t>
      </w:r>
    </w:p>
    <w:p>
      <w:pPr/>
      <w:r>
        <w:rPr>
          <w:lang w:val="en_US" w:bidi="en_US"/>
        </w:rPr>
      </w:r>
      <w:r>
        <w:rPr>
          <w:lang w:val="en_US" w:bidi="en_US"/>
        </w:rPr>
        <w:t>he said these things to his holy prophets and they proclaimed them to people</w:t>
      </w:r>
    </w:p>
    <w:p>
      <w:pPr/>
      <w:r>
        <w:rPr>
          <w:lang w:val="en_US" w:bidi="en_US"/>
        </w:rPr>
      </w:r>
      <w:r>
        <w:rPr>
          <w:lang w:val="en_US" w:bidi="en_US"/>
        </w:rPr>
        <w:t>just as he promised through his holy prophets (NLT)</w:t>
      </w:r>
    </w:p>
    <w:p>
      <w:pPr/>
      <w:r>
        <w:rPr>
          <w:lang w:val="en_US" w:bidi="en_US"/>
        </w:rPr>
      </w:r>
      <w:r>
        <w:rPr>
          <w:b/>
          <w:lang w:val="en_US" w:bidi="en_US"/>
        </w:rPr>
        <w:t>through His holy prophets:</w:t>
      </w:r>
      <w:r>
        <w:rPr>
          <w:lang w:val="en_US" w:bidi="en_US"/>
        </w:rPr>
        <w:t xml:space="preserve"> The phrase that the BSB translates as </w:t>
      </w:r>
      <w:r>
        <w:rPr>
          <w:i/>
          <w:lang w:val="en_US" w:bidi="en_US"/>
        </w:rPr>
        <w:t>through His holy prophets</w:t>
      </w:r>
      <w:r>
        <w:rPr>
          <w:lang w:val="en_US" w:bidi="en_US"/>
        </w:rPr>
        <w:t xml:space="preserve"> is literally “through the mouth of his holy prophets.” The “mouth” represents the prophets speaking. Another way to translate this is:</w:t>
      </w:r>
    </w:p>
    <w:p>
      <w:pPr/>
      <w:r>
        <w:rPr>
          <w:lang w:val="en_US" w:bidi="en_US"/>
        </w:rPr>
      </w:r>
      <w:r>
        <w:rPr>
          <w:lang w:val="en_US" w:bidi="en_US"/>
        </w:rPr>
        <w:t>through what his holy prophets said</w:t>
      </w:r>
    </w:p>
    <w:p>
      <w:pPr/>
      <w:r>
        <w:rPr>
          <w:lang w:val="en_US" w:bidi="en_US"/>
        </w:rPr>
      </w:r>
      <w:r>
        <w:rPr>
          <w:b/>
          <w:lang w:val="en_US" w:bidi="en_US"/>
        </w:rPr>
        <w:t>His holy prophets:</w:t>
      </w:r>
      <w:r>
        <w:rPr>
          <w:lang w:val="en_US" w:bidi="en_US"/>
        </w:rPr>
        <w:t xml:space="preserve"> The word </w:t>
      </w:r>
      <w:r>
        <w:rPr>
          <w:i/>
          <w:lang w:val="en_US" w:bidi="en_US"/>
        </w:rPr>
        <w:t>prophets</w:t>
      </w:r>
      <w:r>
        <w:rPr>
          <w:lang w:val="en_US" w:bidi="en_US"/>
        </w:rPr>
        <w:t xml:space="preserve"> refers to men and women who spoke on behalf of God. They told people what God revealed to them. The word </w:t>
      </w:r>
      <w:r>
        <w:rPr>
          <w:i/>
          <w:lang w:val="en_US" w:bidi="en_US"/>
        </w:rPr>
        <w:t>holy</w:t>
      </w:r>
      <w:r>
        <w:rPr>
          <w:lang w:val="en_US" w:bidi="en_US"/>
        </w:rPr>
        <w:t xml:space="preserve"> indicates that they were dedicated to God. It also implies that they lived in a righteous way that pleased him. Some ways to translate </w:t>
      </w:r>
      <w:r>
        <w:rPr>
          <w:i/>
          <w:lang w:val="en_US" w:bidi="en_US"/>
        </w:rPr>
        <w:t>His holy prophets</w:t>
      </w:r>
      <w:r>
        <w:rPr>
          <w:lang w:val="en_US" w:bidi="en_US"/>
        </w:rPr>
        <w:t xml:space="preserve"> are:</w:t>
      </w:r>
    </w:p>
    <w:p>
      <w:pPr/>
      <w:r>
        <w:rPr>
          <w:lang w:val="en_US" w:bidi="en_US"/>
        </w:rPr>
      </w:r>
      <w:r>
        <w:rPr>
          <w:lang w:val="en_US" w:bidi="en_US"/>
        </w:rPr>
        <w:t>God’s own spokesmen</w:t>
      </w:r>
    </w:p>
    <w:p>
      <w:pPr/>
      <w:r>
        <w:rPr>
          <w:lang w:val="en_US" w:bidi="en_US"/>
        </w:rPr>
      </w:r>
      <w:r>
        <w:rPr>
          <w:lang w:val="en_US" w:bidi="en_US"/>
        </w:rPr>
        <w:t>righteous men and women who spoke God’s words</w:t>
      </w:r>
    </w:p>
    <w:p>
      <w:pPr/>
      <w:r>
        <w:rPr>
          <w:lang w:val="en_US" w:bidi="en_US"/>
        </w:rPr>
      </w:r>
      <w:r>
        <w:rPr>
          <w:lang w:val="en_US" w:bidi="en_US"/>
        </w:rPr>
        <w:t>God’s message-speakers</w:t>
      </w:r>
    </w:p>
    <w:p>
      <w:pPr/>
      <w:r>
        <w:rPr>
          <w:lang w:val="en_US" w:bidi="en_US"/>
        </w:rPr>
      </w:r>
      <w:r>
        <w:rPr>
          <w:lang w:val="en_US" w:bidi="en_US"/>
        </w:rPr>
        <w:t>When you translate the word “prophet,” it is good to use a general term that does not focus only on foretelling the future. Although prophets did foretell the future, they also gave people other messages from God. They especially told them to stop sinning and to obey God.</w:t>
      </w:r>
    </w:p>
    <w:p>
      <w:pPr/>
      <w:r>
        <w:rPr>
          <w:lang w:val="en_US" w:bidi="en_US"/>
        </w:rPr>
      </w:r>
      <w:r>
        <w:rPr>
          <w:lang w:val="en_US" w:bidi="en_US"/>
        </w:rPr>
        <w:t>When you choose a term for “prophet,” consider how you will distinguish prophet from other words which are similar in meaning such as “angel,” “apostle,” and “preacher.”</w:t>
      </w:r>
    </w:p>
    <w:p>
      <w:pPr/>
      <w:r>
        <w:rPr>
          <w:lang w:val="en_US" w:bidi="en_US"/>
        </w:rPr>
      </w:r>
      <w:r>
        <w:rPr>
          <w:lang w:val="en_US" w:bidi="en_US"/>
        </w:rPr>
        <w:t>This word has the same root as the word “prophesied” in 1:67b. See also prophet in the Glossary.</w:t>
      </w:r>
    </w:p>
    <w:p>
      <w:pPr/>
      <w:r>
        <w:rPr>
          <w:lang w:val="en_US" w:bidi="en_US"/>
        </w:rPr>
      </w:r>
      <w:r>
        <w:rPr>
          <w:b/>
          <w:lang w:val="en_US" w:bidi="en_US"/>
        </w:rPr>
        <w:t>those of ages past:</w:t>
      </w:r>
      <w:r>
        <w:rPr>
          <w:lang w:val="en_US" w:bidi="en_US"/>
        </w:rPr>
        <w:t xml:space="preserve"> The phrase </w:t>
      </w:r>
      <w:r>
        <w:rPr>
          <w:i/>
          <w:lang w:val="en_US" w:bidi="en_US"/>
        </w:rPr>
        <w:t>those of ages past</w:t>
      </w:r>
      <w:r>
        <w:rPr>
          <w:lang w:val="en_US" w:bidi="en_US"/>
        </w:rPr>
        <w:t>, literally “from the ages,” refers to prophets who lived hundreds of years before Zechariah was born.</w:t>
      </w:r>
    </w:p>
    <w:p>
      <w:pPr/>
      <w:r>
        <w:rPr>
          <w:lang w:val="en_US" w:bidi="en_US"/>
        </w:rPr>
      </w:r>
      <w:r>
        <w:rPr>
          <w:lang w:val="en_US" w:bidi="en_US"/>
        </w:rPr>
        <w:t>Some other ways to translate this are:</w:t>
      </w:r>
    </w:p>
    <w:p>
      <w:pPr/>
      <w:r>
        <w:rPr>
          <w:lang w:val="en_US" w:bidi="en_US"/>
        </w:rPr>
      </w:r>
      <w:r>
        <w:rPr>
          <w:lang w:val="en_US" w:bidi="en_US"/>
        </w:rPr>
        <w:t>who lived a long time ago</w:t>
      </w:r>
    </w:p>
    <w:p>
      <w:pPr/>
      <w:r>
        <w:rPr>
          <w:lang w:val="en_US" w:bidi="en_US"/>
        </w:rPr>
      </w:r>
      <w:r>
        <w:rPr>
          <w:lang w:val="en_US" w:bidi="en_US"/>
        </w:rPr>
        <w:t>who lived/prophesied many centuries ago</w:t>
      </w:r>
      <w:r>
        <w:rPr>
          <w:lang w:val="en_US" w:bidi="en_US"/>
        </w:rPr>
      </w:r>
      <w:r>
        <w:rPr>
          <w:lang w:val="en_US" w:bidi="en_US"/>
        </w:rPr>
      </w:r>
    </w:p>
    <w:p>
      <w:pPr/>
      <w:r>
        <w:rPr>
          <w:lang w:val="en_US" w:bidi="en_US"/>
        </w:rPr>
      </w:r>
    </w:p>
    <w:p>
      <w:pPr>
        <w:pStyle w:val="Heading2"/>
      </w:pPr>
      <w:r>
        <w:rPr>
          <w:lang w:val="en_US" w:bidi="en_US"/>
        </w:rPr>
        <w:t>Luke 1:71</w:t>
      </w:r>
      <w:r>
        <w:rPr>
          <w:lang w:val="en_US" w:bidi="en_US"/>
        </w:rPr>
      </w:r>
    </w:p>
    <w:p>
      <w:pPr>
        <w:pStyle w:val="Heading4"/>
      </w:pPr>
      <w:r>
        <w:rPr>
          <w:lang w:val="en_US" w:bidi="en_US"/>
        </w:rPr>
        <w:t>Section 1:67–80: Zechariah prophesied and praised God</w:t>
      </w:r>
    </w:p>
    <w:p>
      <w:pPr/>
      <w:r>
        <w:rPr>
          <w:lang w:val="en_US" w:bidi="en_US"/>
        </w:rPr>
      </w:r>
      <w:r>
        <w:rPr>
          <w:lang w:val="en_US" w:bidi="en_US"/>
        </w:rP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pPr/>
      <w:r>
        <w:rPr>
          <w:lang w:val="en_US" w:bidi="en_US"/>
        </w:rPr>
      </w:r>
      <w:r>
        <w:rPr>
          <w:lang w:val="en_US" w:bidi="en_US"/>
        </w:rP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pPr/>
      <w:r>
        <w:rPr>
          <w:lang w:val="en_US" w:bidi="en_US"/>
        </w:rPr>
      </w:r>
      <w:r>
        <w:rPr>
          <w:lang w:val="en_US" w:bidi="en_US"/>
        </w:rP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pPr/>
      <w:r>
        <w:rPr>
          <w:lang w:val="en_US" w:bidi="en_US"/>
        </w:rPr>
      </w:r>
      <w:r>
        <w:rPr>
          <w:lang w:val="en_US" w:bidi="en_US"/>
        </w:rP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pPr/>
      <w:r>
        <w:rPr>
          <w:lang w:val="en_US" w:bidi="en_US"/>
        </w:rPr>
      </w:r>
      <w:r>
        <w:rPr>
          <w:lang w:val="en_US" w:bidi="en_US"/>
        </w:rP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pPr/>
      <w:r>
        <w:rPr>
          <w:lang w:val="en_US" w:bidi="en_US"/>
        </w:rPr>
      </w:r>
      <w:r>
        <w:rPr>
          <w:vertAlign w:val="superscript"/>
          <w:lang w:val="en_US" w:bidi="en_US"/>
        </w:rPr>
        <w:t>68a</w:t>
      </w:r>
      <w:r>
        <w:rPr>
          <w:lang w:val="en_US" w:bidi="en_US"/>
        </w:rPr>
        <w:t>Praise be to the Lord the God of Israel!</w:t>
      </w:r>
    </w:p>
    <w:p>
      <w:pPr/>
      <w:r>
        <w:rPr>
          <w:lang w:val="en_US" w:bidi="en_US"/>
        </w:rPr>
      </w:r>
      <w:r>
        <w:rPr>
          <w:vertAlign w:val="superscript"/>
          <w:lang w:val="en_US" w:bidi="en_US"/>
        </w:rPr>
        <w:t>73</w:t>
      </w:r>
      <w:r>
        <w:rPr>
          <w:lang w:val="en_US" w:bidi="en_US"/>
        </w:rPr>
        <w:t>Long ago he swore an oath to our father Abraham.</w:t>
      </w:r>
    </w:p>
    <w:p>
      <w:pPr/>
      <w:r>
        <w:rPr>
          <w:lang w:val="en_US" w:bidi="en_US"/>
        </w:rPr>
      </w:r>
      <w:r>
        <w:rPr>
          <w:vertAlign w:val="superscript"/>
          <w:lang w:val="en_US" w:bidi="en_US"/>
        </w:rPr>
        <w:t>74a</w:t>
      </w:r>
      <w:r>
        <w:rPr>
          <w:lang w:val="en_US" w:bidi="en_US"/>
        </w:rPr>
        <w:t>He promised to rescue us from the hand of our enemies…</w:t>
      </w:r>
    </w:p>
    <w:p>
      <w:pPr/>
      <w:r>
        <w:rPr>
          <w:lang w:val="en_US" w:bidi="en_US"/>
        </w:rPr>
      </w:r>
      <w:r>
        <w:rPr>
          <w:lang w:val="en_US" w:bidi="en_US"/>
        </w:rPr>
        <w:t>Some other possible headings for this section are:</w:t>
      </w:r>
    </w:p>
    <w:p>
      <w:pPr/>
      <w:r>
        <w:rPr>
          <w:lang w:val="en_US" w:bidi="en_US"/>
        </w:rPr>
      </w:r>
      <w:r>
        <w:rPr>
          <w:lang w:val="en_US" w:bidi="en_US"/>
        </w:rPr>
        <w:t>Zechariah praised God and prophesied about John</w:t>
      </w:r>
    </w:p>
    <w:p>
      <w:pPr/>
      <w:r>
        <w:rPr>
          <w:lang w:val="en_US" w:bidi="en_US"/>
        </w:rPr>
      </w:r>
      <w:r>
        <w:rPr>
          <w:lang w:val="en_US" w:bidi="en_US"/>
        </w:rPr>
        <w:t>Zechariah praised God for the Messiah who would save Israel</w:t>
      </w:r>
    </w:p>
    <w:p>
      <w:pPr/>
      <w:r>
        <w:rPr>
          <w:lang w:val="en_US" w:bidi="en_US"/>
        </w:rPr>
      </w:r>
      <w:r>
        <w:rPr>
          <w:lang w:val="en_US" w:bidi="en_US"/>
        </w:rPr>
        <w:t>Zechariah’s prophecy</w:t>
      </w:r>
    </w:p>
    <w:p>
      <w:pPr/>
      <w:r>
        <w:rPr>
          <w:lang w:val="en_US" w:bidi="en_US"/>
        </w:rPr>
      </w:r>
      <w:r>
        <w:rPr>
          <w:lang w:val="en_US" w:bidi="en_US"/>
        </w:rPr>
        <w:t>Zechariah’s song of praise to God</w:t>
      </w:r>
    </w:p>
    <w:p>
      <w:pPr>
        <w:pStyle w:val="Heading5"/>
      </w:pPr>
      <w:r>
        <w:rPr>
          <w:lang w:val="en_US" w:bidi="en_US"/>
        </w:rPr>
        <w:t>1:71a</w:t>
      </w:r>
    </w:p>
    <w:p>
      <w:pPr/>
      <w:r>
        <w:rPr>
          <w:lang w:val="en_US" w:bidi="en_US"/>
        </w:rPr>
      </w:r>
      <w:r>
        <w:rPr>
          <w:b/>
          <w:lang w:val="en_US" w:bidi="en_US"/>
        </w:rPr>
        <w:t>salvation from our enemies</w:t>
      </w:r>
    </w:p>
    <w:p>
      <w:pPr>
        <w:pStyle w:val="ListBullet"/>
        <w:spacing w:line="240" w:lineRule="auto"/>
        <w:ind w:left="720"/>
      </w:pPr>
      <w:r>
        <w:rPr>
          <w:lang w:val="en_US" w:bidi="en_US"/>
        </w:rPr>
      </w:r>
      <w:r>
        <w:rPr>
          <w:lang w:val="en_US" w:bidi="en_US"/>
        </w:rPr>
        <w:t>Now he has provided this mighty Savior</w:t>
      </w:r>
      <w:r>
        <w:rPr>
          <w:lang w:val="en_US" w:bidi="en_US"/>
        </w:rPr>
        <w:t xml:space="preserve"> to rescue us</w:t>
      </w:r>
      <w:r>
        <w:rPr>
          <w:vertAlign w:val="superscript"/>
          <w:lang w:val="en_US" w:bidi="en_US"/>
        </w:rPr>
        <w:t>(incl)</w:t>
      </w:r>
      <w:r>
        <w:rPr>
          <w:lang w:val="en_US" w:bidi="en_US"/>
        </w:rPr>
        <w:t xml:space="preserve"> from our</w:t>
      </w:r>
      <w:r>
        <w:rPr>
          <w:vertAlign w:val="superscript"/>
          <w:lang w:val="en_US" w:bidi="en_US"/>
        </w:rPr>
        <w:t>(incl)</w:t>
      </w:r>
      <w:r>
        <w:rPr>
          <w:lang w:val="en_US" w:bidi="en_US"/>
        </w:rPr>
        <w:t xml:space="preserve"> enemies</w:t>
      </w:r>
    </w:p>
    <w:p>
      <w:pPr>
        <w:pStyle w:val="ListBullet"/>
        <w:spacing w:line="240" w:lineRule="auto"/>
        <w:ind w:left="720"/>
      </w:pPr>
      <w:r>
        <w:rPr>
          <w:lang w:val="en_US" w:bidi="en_US"/>
        </w:rPr>
      </w:r>
      <w:r>
        <w:rPr>
          <w:lang w:val="en_US" w:bidi="en_US"/>
        </w:rPr>
        <w:t>He is giving us this mighty Savior</w:t>
      </w:r>
      <w:r>
        <w:rPr>
          <w:lang w:val="en_US" w:bidi="en_US"/>
        </w:rPr>
        <w:t xml:space="preserve"> to save us</w:t>
      </w:r>
      <w:r>
        <w:rPr>
          <w:vertAlign w:val="superscript"/>
          <w:lang w:val="en_US" w:bidi="en_US"/>
        </w:rPr>
        <w:t>(incl)</w:t>
      </w:r>
      <w:r>
        <w:rPr>
          <w:lang w:val="en_US" w:bidi="en_US"/>
        </w:rPr>
        <w:t xml:space="preserve"> from our enemies;</w:t>
      </w:r>
    </w:p>
    <w:p>
      <w:pPr>
        <w:pStyle w:val="ListBullet"/>
        <w:spacing w:line="240" w:lineRule="auto"/>
        <w:ind w:left="720"/>
      </w:pPr>
      <w:r>
        <w:rPr>
          <w:lang w:val="en_US" w:bidi="en_US"/>
        </w:rPr>
      </w:r>
      <w:r>
        <w:rPr>
          <w:lang w:val="en_US" w:bidi="en_US"/>
        </w:rPr>
        <w:t>This Savior will</w:t>
      </w:r>
      <w:r>
        <w:rPr>
          <w:lang w:val="en_US" w:bidi="en_US"/>
        </w:rPr>
        <w:t xml:space="preserve"> deliver us</w:t>
      </w:r>
      <w:r>
        <w:rPr>
          <w:vertAlign w:val="superscript"/>
          <w:lang w:val="en_US" w:bidi="en_US"/>
        </w:rPr>
        <w:t>(incl)</w:t>
      </w:r>
      <w:r>
        <w:rPr>
          <w:lang w:val="en_US" w:bidi="en_US"/>
        </w:rPr>
        <w:t xml:space="preserve"> from </w:t>
      </w:r>
      <w:r>
        <w:rPr>
          <w:lang w:val="en_US" w:bidi="en_US"/>
        </w:rPr>
        <w:t>all</w:t>
      </w:r>
      <w:r>
        <w:rPr>
          <w:lang w:val="en_US" w:bidi="en_US"/>
        </w:rPr>
        <w:t xml:space="preserve"> our</w:t>
      </w:r>
      <w:r>
        <w:rPr>
          <w:vertAlign w:val="superscript"/>
          <w:lang w:val="en_US" w:bidi="en_US"/>
        </w:rPr>
        <w:t>(incl)</w:t>
      </w:r>
      <w:r>
        <w:rPr>
          <w:lang w:val="en_US" w:bidi="en_US"/>
        </w:rPr>
        <w:t xml:space="preserve"> enemies.</w:t>
      </w:r>
    </w:p>
    <w:p>
      <w:pPr>
        <w:pStyle w:val="Heading5"/>
      </w:pPr>
      <w:r>
        <w:rPr>
          <w:lang w:val="en_US" w:bidi="en_US"/>
        </w:rPr>
        <w:t>1:71b</w:t>
      </w:r>
    </w:p>
    <w:p>
      <w:pPr/>
      <w:r>
        <w:rPr>
          <w:lang w:val="en_US" w:bidi="en_US"/>
        </w:rPr>
      </w:r>
      <w:r>
        <w:rPr>
          <w:b/>
          <w:lang w:val="en_US" w:bidi="en_US"/>
        </w:rPr>
        <w:t>and from the hand of all who hate us,</w:t>
      </w:r>
    </w:p>
    <w:p>
      <w:pPr>
        <w:pStyle w:val="ListBullet"/>
        <w:spacing w:line="240" w:lineRule="auto"/>
        <w:ind w:left="720"/>
      </w:pPr>
      <w:r>
        <w:rPr>
          <w:lang w:val="en_US" w:bidi="en_US"/>
        </w:rPr>
      </w:r>
      <w:r>
        <w:rPr>
          <w:lang w:val="en_US" w:bidi="en_US"/>
        </w:rPr>
        <w:t xml:space="preserve">and </w:t>
      </w:r>
      <w:r>
        <w:rPr>
          <w:lang w:val="en_US" w:bidi="en_US"/>
        </w:rPr>
        <w:t>to release us</w:t>
      </w:r>
      <w:r>
        <w:rPr>
          <w:lang w:val="en_US" w:bidi="en_US"/>
        </w:rPr>
        <w:t xml:space="preserve"> from the power of all who hate us.</w:t>
      </w:r>
      <w:r>
        <w:rPr>
          <w:vertAlign w:val="superscript"/>
          <w:lang w:val="en_US" w:bidi="en_US"/>
        </w:rPr>
        <w:t>(incl)</w:t>
      </w:r>
    </w:p>
    <w:p>
      <w:pPr>
        <w:pStyle w:val="ListBullet"/>
        <w:spacing w:line="240" w:lineRule="auto"/>
        <w:ind w:left="720"/>
      </w:pPr>
      <w:r>
        <w:rPr>
          <w:lang w:val="en_US" w:bidi="en_US"/>
        </w:rPr>
      </w:r>
      <w:r>
        <w:rPr>
          <w:lang w:val="en_US" w:bidi="en_US"/>
        </w:rPr>
        <w:t>that is,</w:t>
      </w:r>
      <w:r>
        <w:rPr>
          <w:lang w:val="en_US" w:bidi="en_US"/>
        </w:rPr>
        <w:t xml:space="preserve"> from the power of everyone who hates us.</w:t>
      </w:r>
      <w:r>
        <w:rPr>
          <w:vertAlign w:val="superscript"/>
          <w:lang w:val="en_US" w:bidi="en_US"/>
        </w:rPr>
        <w:t>(incl)</w:t>
      </w:r>
    </w:p>
    <w:p>
      <w:pPr>
        <w:pStyle w:val="ListBullet"/>
        <w:spacing w:line="240" w:lineRule="auto"/>
        <w:ind w:left="720"/>
      </w:pPr>
      <w:r>
        <w:rPr>
          <w:lang w:val="en_US" w:bidi="en_US"/>
        </w:rPr>
      </w:r>
      <w:r>
        <w:rPr>
          <w:lang w:val="en_US" w:bidi="en_US"/>
        </w:rPr>
        <w:t>He will save/rescue us</w:t>
      </w:r>
      <w:r>
        <w:rPr>
          <w:vertAlign w:val="superscript"/>
          <w:lang w:val="en_US" w:bidi="en_US"/>
        </w:rPr>
        <w:t>(incl)</w:t>
      </w:r>
      <w:r>
        <w:rPr>
          <w:lang w:val="en_US" w:bidi="en_US"/>
        </w:rPr>
        <w:t xml:space="preserve"> from all </w:t>
      </w:r>
      <w:r>
        <w:rPr>
          <w:lang w:val="en_US" w:bidi="en_US"/>
        </w:rPr>
        <w:t>the people</w:t>
      </w:r>
      <w:r>
        <w:rPr>
          <w:lang w:val="en_US" w:bidi="en_US"/>
        </w:rPr>
        <w:t xml:space="preserve"> who hate us.</w:t>
      </w:r>
      <w:r>
        <w:rPr>
          <w:vertAlign w:val="superscript"/>
          <w:lang w:val="en_US" w:bidi="en_US"/>
        </w:rPr>
        <w:t>(incl)</w:t>
      </w:r>
    </w:p>
    <w:p>
      <w:pPr>
        <w:pStyle w:val="Heading5"/>
      </w:pPr>
      <w:r>
        <w:rPr>
          <w:lang w:val="en_US" w:bidi="en_US"/>
        </w:rPr>
        <w:t>1:71a–b</w:t>
      </w:r>
    </w:p>
    <w:p>
      <w:pPr/>
      <w:r>
        <w:rPr>
          <w:lang w:val="en_US" w:bidi="en_US"/>
        </w:rPr>
      </w:r>
      <w:r>
        <w:rPr>
          <w:lang w:val="en_US" w:bidi="en_US"/>
        </w:rPr>
        <w:t>In this verse Zechariah spoke again about the salvation that he mentioned in 1:69. In 1:69 he referred to the “horn of salvation,” which represents the mighty Savior whom God provided. Here in 1:71 Zechariah implied that this Savior would deliver the Israelites from their enemies and those who hated them. In some languages it may be helpful to begin a new sentence here and repeat this information. For example:</w:t>
      </w:r>
    </w:p>
    <w:p>
      <w:pPr/>
      <w:r>
        <w:rPr>
          <w:lang w:val="en_US" w:bidi="en_US"/>
        </w:rPr>
      </w:r>
      <w:r>
        <w:rPr>
          <w:lang w:val="en_US" w:bidi="en_US"/>
        </w:rPr>
        <w:t>He has provided</w:t>
      </w:r>
      <w:r>
        <w:rPr>
          <w:lang w:val="en_US" w:bidi="en_US"/>
        </w:rPr>
        <w:t xml:space="preserve"> salvation from our enemies…</w:t>
      </w:r>
    </w:p>
    <w:p>
      <w:pPr/>
      <w:r>
        <w:rPr>
          <w:lang w:val="en_US" w:bidi="en_US"/>
        </w:rPr>
      </w:r>
      <w:r>
        <w:rPr>
          <w:lang w:val="en_US" w:bidi="en_US"/>
        </w:rPr>
        <w:t>Now we will be saved from our enemies… (NLT)</w:t>
      </w:r>
    </w:p>
    <w:p>
      <w:pPr/>
      <w:r>
        <w:rPr>
          <w:lang w:val="en_US" w:bidi="en_US"/>
        </w:rPr>
      </w:r>
      <w:r>
        <w:rPr>
          <w:lang w:val="en_US" w:bidi="en_US"/>
        </w:rPr>
        <w:t>He will save us from our enemies…</w:t>
      </w:r>
    </w:p>
    <w:p>
      <w:pPr/>
      <w:r>
        <w:rPr>
          <w:lang w:val="en_US" w:bidi="en_US"/>
        </w:rPr>
      </w:r>
      <w:r>
        <w:rPr>
          <w:lang w:val="en_US" w:bidi="en_US"/>
        </w:rPr>
        <w:t>Be sure that your translation of this verse fits with the way you translated 1:69. In some languages you may want to repeat part of 1:69a. For example:</w:t>
      </w:r>
    </w:p>
    <w:p>
      <w:pPr/>
      <w:r>
        <w:rPr>
          <w:lang w:val="en_US" w:bidi="en_US"/>
        </w:rPr>
      </w:r>
      <w:r>
        <w:rPr>
          <w:lang w:val="en_US" w:bidi="en_US"/>
        </w:rPr>
        <w:t>He has sent us a mighty Savior who</w:t>
      </w:r>
      <w:r>
        <w:rPr>
          <w:lang w:val="en_US" w:bidi="en_US"/>
        </w:rPr>
        <w:t xml:space="preserve"> </w:t>
      </w:r>
      <w:r>
        <w:rPr>
          <w:vertAlign w:val="superscript"/>
          <w:lang w:val="en_US" w:bidi="en_US"/>
        </w:rPr>
        <w:t>71</w:t>
      </w:r>
      <w:r>
        <w:rPr>
          <w:lang w:val="en_US" w:bidi="en_US"/>
        </w:rPr>
        <w:t>will save us from our enemies.</w:t>
      </w:r>
    </w:p>
    <w:p>
      <w:pPr/>
      <w:r>
        <w:rPr>
          <w:lang w:val="en_US" w:bidi="en_US"/>
        </w:rPr>
      </w:r>
      <w:r>
        <w:rPr>
          <w:b/>
          <w:lang w:val="en_US" w:bidi="en_US"/>
        </w:rPr>
        <w:t>salvation from our enemies and from the hand of all who hate us:</w:t>
      </w:r>
      <w:r>
        <w:rPr>
          <w:lang w:val="en_US" w:bidi="en_US"/>
        </w:rPr>
        <w:t xml:space="preserve"> The phrase </w:t>
      </w:r>
      <w:r>
        <w:rPr>
          <w:i/>
          <w:lang w:val="en_US" w:bidi="en_US"/>
        </w:rPr>
        <w:t>our enemies</w:t>
      </w:r>
      <w:r>
        <w:rPr>
          <w:lang w:val="en_US" w:bidi="en_US"/>
        </w:rPr>
        <w:t xml:space="preserve"> and the phrase </w:t>
      </w:r>
      <w:r>
        <w:rPr>
          <w:i/>
          <w:lang w:val="en_US" w:bidi="en_US"/>
        </w:rPr>
        <w:t>all who hate us</w:t>
      </w:r>
      <w:r>
        <w:rPr>
          <w:lang w:val="en_US" w:bidi="en_US"/>
        </w:rPr>
        <w:t xml:space="preserve"> refer to the same group of people. So this verse is saying the same thing in two ways. This was common in Hebrew poetry.</w:t>
      </w:r>
    </w:p>
    <w:p>
      <w:pPr/>
      <w:r>
        <w:rPr>
          <w:lang w:val="en_US" w:bidi="en_US"/>
        </w:rPr>
      </w:r>
      <w:r>
        <w:rPr>
          <w:lang w:val="en_US" w:bidi="en_US"/>
        </w:rPr>
        <w:t>In some languages, a literal translation might cause readers to think that these were two different groups of people. In those languages it may be necessary to combine the two phrases. For example:</w:t>
      </w:r>
    </w:p>
    <w:p>
      <w:pPr/>
      <w:r>
        <w:rPr>
          <w:lang w:val="en_US" w:bidi="en_US"/>
        </w:rPr>
      </w:r>
      <w:r>
        <w:rPr>
          <w:lang w:val="en_US" w:bidi="en_US"/>
        </w:rPr>
        <w:t>salvation from all our enemies, those who hate us</w:t>
      </w:r>
    </w:p>
    <w:p>
      <w:pPr/>
      <w:r>
        <w:rPr>
          <w:lang w:val="en_US" w:bidi="en_US"/>
        </w:rPr>
      </w:r>
      <w:r>
        <w:rPr>
          <w:lang w:val="en_US" w:bidi="en_US"/>
        </w:rPr>
        <w:t>salvation from all our enemies, who hate us</w:t>
      </w:r>
    </w:p>
    <w:p>
      <w:pPr/>
      <w:r>
        <w:rPr>
          <w:lang w:val="en_US" w:bidi="en_US"/>
        </w:rPr>
      </w:r>
      <w:r>
        <w:rPr>
          <w:lang w:val="en_US" w:bidi="en_US"/>
        </w:rPr>
        <w:t>salvation from all who hate us</w:t>
      </w:r>
    </w:p>
    <w:p>
      <w:pPr/>
      <w:r>
        <w:rPr>
          <w:lang w:val="en_US" w:bidi="en_US"/>
        </w:rPr>
      </w:r>
      <w:r>
        <w:rPr>
          <w:lang w:val="en_US" w:bidi="en_US"/>
        </w:rPr>
        <w:t>This verse is similar to Psalm 106:10, “He saved them from the hand of the foe; from the hand of the enemy he redeemed them.”</w:t>
      </w:r>
    </w:p>
    <w:p>
      <w:pPr/>
      <w:r>
        <w:rPr>
          <w:lang w:val="en_US" w:bidi="en_US"/>
        </w:rPr>
      </w:r>
      <w:r>
        <w:rPr>
          <w:b/>
          <w:lang w:val="en_US" w:bidi="en_US"/>
        </w:rPr>
        <w:t>salvation:</w:t>
      </w:r>
      <w:r>
        <w:rPr>
          <w:lang w:val="en_US" w:bidi="en_US"/>
        </w:rPr>
        <w:t xml:space="preserve"> The word </w:t>
      </w:r>
      <w:r>
        <w:rPr>
          <w:i/>
          <w:lang w:val="en_US" w:bidi="en_US"/>
        </w:rPr>
        <w:t>salvation</w:t>
      </w:r>
      <w:r>
        <w:rPr>
          <w:lang w:val="en_US" w:bidi="en_US"/>
        </w:rPr>
        <w:t xml:space="preserve"> is repeated from “horn of salvation” in 1:69a. Zechariah now spoke more specifically about being saved from their enemies. If possible, use the same word or expression that you used for salvation/save/Savior in 1:69a.</w:t>
      </w:r>
    </w:p>
    <w:p>
      <w:pPr/>
      <w:r>
        <w:rPr>
          <w:lang w:val="en_US" w:bidi="en_US"/>
        </w:rPr>
      </w:r>
      <w:r>
        <w:rPr>
          <w:lang w:val="en_US" w:bidi="en_US"/>
        </w:rPr>
        <w:t>See also save in the Glossary (see the note on salvation).</w:t>
      </w:r>
    </w:p>
    <w:p>
      <w:pPr/>
      <w:r>
        <w:rPr>
          <w:lang w:val="en_US" w:bidi="en_US"/>
        </w:rPr>
      </w:r>
      <w:r>
        <w:rPr>
          <w:b/>
          <w:lang w:val="en_US" w:bidi="en_US"/>
        </w:rPr>
        <w:t>and from the hand of all who hate us:</w:t>
      </w:r>
      <w:r>
        <w:rPr>
          <w:lang w:val="en_US" w:bidi="en_US"/>
        </w:rPr>
        <w:t xml:space="preserve"> Here the word </w:t>
      </w:r>
      <w:r>
        <w:rPr>
          <w:i/>
          <w:lang w:val="en_US" w:bidi="en_US"/>
        </w:rPr>
        <w:t>hand</w:t>
      </w:r>
      <w:r>
        <w:rPr>
          <w:lang w:val="en_US" w:bidi="en_US"/>
        </w:rPr>
        <w:t xml:space="preserve"> is used in a figurative sense to mean “power, authority, and control.” Some other ways to translate </w:t>
      </w:r>
      <w:r>
        <w:rPr>
          <w:i/>
          <w:lang w:val="en_US" w:bidi="en_US"/>
        </w:rPr>
        <w:t>from the hand of all who hate us</w:t>
      </w:r>
      <w:r>
        <w:rPr>
          <w:lang w:val="en_US" w:bidi="en_US"/>
        </w:rPr>
        <w:t xml:space="preserve"> are:</w:t>
      </w:r>
    </w:p>
    <w:p>
      <w:pPr/>
      <w:r>
        <w:rPr>
          <w:lang w:val="en_US" w:bidi="en_US"/>
        </w:rPr>
      </w:r>
      <w:r>
        <w:rPr>
          <w:lang w:val="en_US" w:bidi="en_US"/>
        </w:rPr>
        <w:t>from the power/authority of all who hate us</w:t>
      </w:r>
    </w:p>
    <w:p>
      <w:pPr/>
      <w:r>
        <w:rPr>
          <w:lang w:val="en_US" w:bidi="en_US"/>
        </w:rPr>
      </w:r>
      <w:r>
        <w:rPr>
          <w:lang w:val="en_US" w:bidi="en_US"/>
        </w:rPr>
        <w:t>from being under the control of all those who hate us</w:t>
      </w:r>
    </w:p>
    <w:p>
      <w:pPr/>
      <w:r>
        <w:rPr>
          <w:lang w:val="en_US" w:bidi="en_US"/>
        </w:rPr>
      </w:r>
      <w:r>
        <w:rPr>
          <w:lang w:val="en_US" w:bidi="en_US"/>
        </w:rPr>
        <w:t xml:space="preserve">There is a similar figurative use of the word </w:t>
      </w:r>
      <w:r>
        <w:rPr>
          <w:i/>
          <w:lang w:val="en_US" w:bidi="en_US"/>
        </w:rPr>
        <w:t>hand</w:t>
      </w:r>
      <w:r>
        <w:rPr>
          <w:lang w:val="en_US" w:bidi="en_US"/>
        </w:rPr>
        <w:t xml:space="preserve"> in 1:66c. The difference here is that the power is used to harm and control people, not to help them. The same figure will be used again in 1:74a.</w:t>
      </w:r>
    </w:p>
    <w:p>
      <w:pPr>
        <w:pStyle w:val="Heading6"/>
      </w:pPr>
      <w:r>
        <w:rPr>
          <w:b/>
          <w:lang w:val="en_US" w:bidi="en_US"/>
        </w:rPr>
        <w:t>General Comment on 1:68b–71</w:t>
      </w:r>
    </w:p>
    <w:p>
      <w:pPr/>
      <w:r>
        <w:rPr>
          <w:lang w:val="en_US" w:bidi="en_US"/>
        </w:rPr>
      </w:r>
      <w:r>
        <w:rPr>
          <w:lang w:val="en_US" w:bidi="en_US"/>
        </w:rPr>
        <w:t>In these verses, Zechariah spoke about what God was doing at the time when he was speaking. He was keeping the promises that he had made through his prophets long before that time. God had promised that he would send a Savior and that someone would come before the Savior to prepare for him. John was the person who came before the Savior, Jesus. His birth indicated that the Savior would also be coming soon.</w:t>
      </w:r>
    </w:p>
    <w:p>
      <w:pPr/>
      <w:r>
        <w:rPr>
          <w:lang w:val="en_US" w:bidi="en_US"/>
        </w:rPr>
      </w:r>
      <w:r>
        <w:rPr>
          <w:lang w:val="en_US" w:bidi="en_US"/>
        </w:rPr>
        <w:t>In some languages it may clearer to change the order of the clauses in 1:68b–71. For example:</w:t>
      </w:r>
    </w:p>
    <w:p>
      <w:pPr/>
      <w:r>
        <w:rPr>
          <w:lang w:val="en_US" w:bidi="en_US"/>
        </w:rPr>
      </w:r>
      <w:r>
        <w:rPr>
          <w:vertAlign w:val="superscript"/>
          <w:lang w:val="en_US" w:bidi="en_US"/>
        </w:rPr>
        <w:t>70</w:t>
      </w:r>
      <w:r>
        <w:rPr>
          <w:lang w:val="en_US" w:bidi="en_US"/>
        </w:rPr>
        <w:t xml:space="preserve">Just as God said through his holy prophets of ancient times, </w:t>
      </w:r>
      <w:r>
        <w:rPr>
          <w:vertAlign w:val="superscript"/>
          <w:lang w:val="en_US" w:bidi="en_US"/>
        </w:rPr>
        <w:t>68b</w:t>
      </w:r>
      <w:r>
        <w:rPr>
          <w:lang w:val="en_US" w:bidi="en_US"/>
        </w:rPr>
        <w:t xml:space="preserve">he has visited his people to deliver them. </w:t>
      </w:r>
      <w:r>
        <w:rPr>
          <w:vertAlign w:val="superscript"/>
          <w:lang w:val="en_US" w:bidi="en_US"/>
        </w:rPr>
        <w:t>69a</w:t>
      </w:r>
      <w:r>
        <w:rPr>
          <w:lang w:val="en_US" w:bidi="en_US"/>
        </w:rPr>
        <w:t xml:space="preserve">He has given us a mighty Savior </w:t>
      </w:r>
      <w:r>
        <w:rPr>
          <w:vertAlign w:val="superscript"/>
          <w:lang w:val="en_US" w:bidi="en_US"/>
        </w:rPr>
        <w:t>69b</w:t>
      </w:r>
      <w:r>
        <w:rPr>
          <w:lang w:val="en_US" w:bidi="en_US"/>
        </w:rPr>
        <w:t xml:space="preserve">from the house of his servant David. </w:t>
      </w:r>
      <w:r>
        <w:rPr>
          <w:vertAlign w:val="superscript"/>
          <w:lang w:val="en_US" w:bidi="en_US"/>
        </w:rPr>
        <w:t>71a</w:t>
      </w:r>
      <w:r>
        <w:rPr>
          <w:lang w:val="en_US" w:bidi="en_US"/>
        </w:rPr>
        <w:t xml:space="preserve">He will save us from our enemies, </w:t>
      </w:r>
      <w:r>
        <w:rPr>
          <w:vertAlign w:val="superscript"/>
          <w:lang w:val="en_US" w:bidi="en_US"/>
        </w:rPr>
        <w:t>71b</w:t>
      </w:r>
      <w:r>
        <w:rPr>
          <w:lang w:val="en_US" w:bidi="en_US"/>
        </w:rPr>
        <w:t>from the power of all who hate us.</w:t>
      </w:r>
    </w:p>
    <w:p>
      <w:pPr/>
      <w:r>
        <w:rPr>
          <w:lang w:val="en_US" w:bidi="en_US"/>
        </w:rPr>
      </w:r>
      <w:r>
        <w:rPr>
          <w:vertAlign w:val="superscript"/>
          <w:lang w:val="en_US" w:bidi="en_US"/>
        </w:rPr>
        <w:t>70</w:t>
      </w:r>
      <w:r>
        <w:rPr>
          <w:lang w:val="en_US" w:bidi="en_US"/>
        </w:rPr>
        <w:t xml:space="preserve">God </w:t>
      </w:r>
      <w:r>
        <w:rPr>
          <w:lang w:val="en_US" w:bidi="en_US"/>
        </w:rPr>
        <w:t>has done</w:t>
      </w:r>
      <w:r>
        <w:rPr>
          <w:lang w:val="en_US" w:bidi="en_US"/>
        </w:rPr>
        <w:t xml:space="preserve"> just as/what he promised </w:t>
      </w:r>
      <w:r>
        <w:rPr>
          <w:lang w:val="en_US" w:bidi="en_US"/>
        </w:rPr>
        <w:t>he would do</w:t>
      </w:r>
      <w:r>
        <w:rPr>
          <w:lang w:val="en_US" w:bidi="en_US"/>
        </w:rPr>
        <w:t xml:space="preserve"> through his holy prophets </w:t>
      </w:r>
      <w:r>
        <w:rPr>
          <w:lang w:val="en_US" w:bidi="en_US"/>
        </w:rPr>
        <w:t>who lived</w:t>
      </w:r>
      <w:r>
        <w:rPr>
          <w:lang w:val="en_US" w:bidi="en_US"/>
        </w:rPr>
        <w:t xml:space="preserve"> long ago. </w:t>
      </w:r>
      <w:r>
        <w:rPr>
          <w:vertAlign w:val="superscript"/>
          <w:lang w:val="en_US" w:bidi="en_US"/>
        </w:rPr>
        <w:t>68b</w:t>
      </w:r>
      <w:r>
        <w:rPr>
          <w:lang w:val="en_US" w:bidi="en_US"/>
        </w:rPr>
        <w:t xml:space="preserve">He has come to us, his people, to help us and has begun to deliver us. </w:t>
      </w:r>
      <w:r>
        <w:rPr>
          <w:vertAlign w:val="superscript"/>
          <w:lang w:val="en_US" w:bidi="en_US"/>
        </w:rPr>
        <w:t>69</w:t>
      </w:r>
      <w:r>
        <w:rPr>
          <w:lang w:val="en_US" w:bidi="en_US"/>
        </w:rPr>
        <w:t xml:space="preserve">He will send to us a powerful one descended from his servant </w:t>
      </w:r>
      <w:r>
        <w:rPr>
          <w:lang w:val="en_US" w:bidi="en_US"/>
        </w:rPr>
        <w:t>King</w:t>
      </w:r>
      <w:r>
        <w:rPr>
          <w:lang w:val="en_US" w:bidi="en_US"/>
        </w:rPr>
        <w:t xml:space="preserve"> David to rescue us. </w:t>
      </w:r>
      <w:r>
        <w:rPr>
          <w:vertAlign w:val="superscript"/>
          <w:lang w:val="en_US" w:bidi="en_US"/>
        </w:rPr>
        <w:t>71a</w:t>
      </w:r>
      <w:r>
        <w:rPr>
          <w:lang w:val="en_US" w:bidi="en_US"/>
        </w:rPr>
        <w:t>He will deliver us from the power of all our enemies who hate us.</w:t>
      </w:r>
      <w:r>
        <w:rPr>
          <w:lang w:val="en_US" w:bidi="en_US"/>
        </w:rPr>
      </w:r>
      <w:r>
        <w:rPr>
          <w:lang w:val="en_US" w:bidi="en_US"/>
        </w:rPr>
      </w:r>
    </w:p>
    <w:p>
      <w:pPr/>
      <w:r>
        <w:rPr>
          <w:lang w:val="en_US" w:bidi="en_US"/>
        </w:rPr>
      </w:r>
    </w:p>
    <w:p>
      <w:pPr>
        <w:pStyle w:val="Heading2"/>
      </w:pPr>
      <w:r>
        <w:rPr>
          <w:lang w:val="en_US" w:bidi="en_US"/>
        </w:rPr>
        <w:t>Luke 1:72</w:t>
      </w:r>
      <w:r>
        <w:rPr>
          <w:lang w:val="en_US" w:bidi="en_US"/>
        </w:rPr>
      </w:r>
    </w:p>
    <w:p>
      <w:pPr>
        <w:pStyle w:val="Heading4"/>
      </w:pPr>
      <w:r>
        <w:rPr>
          <w:lang w:val="en_US" w:bidi="en_US"/>
        </w:rPr>
        <w:t>Section 1:67–80: Zechariah prophesied and praised God</w:t>
      </w:r>
    </w:p>
    <w:p>
      <w:pPr/>
      <w:r>
        <w:rPr>
          <w:lang w:val="en_US" w:bidi="en_US"/>
        </w:rPr>
      </w:r>
      <w:r>
        <w:rPr>
          <w:lang w:val="en_US" w:bidi="en_US"/>
        </w:rP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pPr/>
      <w:r>
        <w:rPr>
          <w:lang w:val="en_US" w:bidi="en_US"/>
        </w:rPr>
      </w:r>
      <w:r>
        <w:rPr>
          <w:lang w:val="en_US" w:bidi="en_US"/>
        </w:rP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pPr/>
      <w:r>
        <w:rPr>
          <w:lang w:val="en_US" w:bidi="en_US"/>
        </w:rPr>
      </w:r>
      <w:r>
        <w:rPr>
          <w:lang w:val="en_US" w:bidi="en_US"/>
        </w:rP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pPr/>
      <w:r>
        <w:rPr>
          <w:lang w:val="en_US" w:bidi="en_US"/>
        </w:rPr>
      </w:r>
      <w:r>
        <w:rPr>
          <w:lang w:val="en_US" w:bidi="en_US"/>
        </w:rP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pPr/>
      <w:r>
        <w:rPr>
          <w:lang w:val="en_US" w:bidi="en_US"/>
        </w:rPr>
      </w:r>
      <w:r>
        <w:rPr>
          <w:lang w:val="en_US" w:bidi="en_US"/>
        </w:rP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pPr/>
      <w:r>
        <w:rPr>
          <w:lang w:val="en_US" w:bidi="en_US"/>
        </w:rPr>
      </w:r>
      <w:r>
        <w:rPr>
          <w:vertAlign w:val="superscript"/>
          <w:lang w:val="en_US" w:bidi="en_US"/>
        </w:rPr>
        <w:t>68a</w:t>
      </w:r>
      <w:r>
        <w:rPr>
          <w:lang w:val="en_US" w:bidi="en_US"/>
        </w:rPr>
        <w:t>Praise be to the Lord the God of Israel!</w:t>
      </w:r>
    </w:p>
    <w:p>
      <w:pPr/>
      <w:r>
        <w:rPr>
          <w:lang w:val="en_US" w:bidi="en_US"/>
        </w:rPr>
      </w:r>
      <w:r>
        <w:rPr>
          <w:vertAlign w:val="superscript"/>
          <w:lang w:val="en_US" w:bidi="en_US"/>
        </w:rPr>
        <w:t>73</w:t>
      </w:r>
      <w:r>
        <w:rPr>
          <w:lang w:val="en_US" w:bidi="en_US"/>
        </w:rPr>
        <w:t>Long ago he swore an oath to our father Abraham.</w:t>
      </w:r>
    </w:p>
    <w:p>
      <w:pPr/>
      <w:r>
        <w:rPr>
          <w:lang w:val="en_US" w:bidi="en_US"/>
        </w:rPr>
      </w:r>
      <w:r>
        <w:rPr>
          <w:vertAlign w:val="superscript"/>
          <w:lang w:val="en_US" w:bidi="en_US"/>
        </w:rPr>
        <w:t>74a</w:t>
      </w:r>
      <w:r>
        <w:rPr>
          <w:lang w:val="en_US" w:bidi="en_US"/>
        </w:rPr>
        <w:t>He promised to rescue us from the hand of our enemies…</w:t>
      </w:r>
    </w:p>
    <w:p>
      <w:pPr/>
      <w:r>
        <w:rPr>
          <w:lang w:val="en_US" w:bidi="en_US"/>
        </w:rPr>
      </w:r>
      <w:r>
        <w:rPr>
          <w:lang w:val="en_US" w:bidi="en_US"/>
        </w:rPr>
        <w:t>Some other possible headings for this section are:</w:t>
      </w:r>
    </w:p>
    <w:p>
      <w:pPr/>
      <w:r>
        <w:rPr>
          <w:lang w:val="en_US" w:bidi="en_US"/>
        </w:rPr>
      </w:r>
      <w:r>
        <w:rPr>
          <w:lang w:val="en_US" w:bidi="en_US"/>
        </w:rPr>
        <w:t>Zechariah praised God and prophesied about John</w:t>
      </w:r>
    </w:p>
    <w:p>
      <w:pPr/>
      <w:r>
        <w:rPr>
          <w:lang w:val="en_US" w:bidi="en_US"/>
        </w:rPr>
      </w:r>
      <w:r>
        <w:rPr>
          <w:lang w:val="en_US" w:bidi="en_US"/>
        </w:rPr>
        <w:t>Zechariah praised God for the Messiah who would save Israel</w:t>
      </w:r>
    </w:p>
    <w:p>
      <w:pPr/>
      <w:r>
        <w:rPr>
          <w:lang w:val="en_US" w:bidi="en_US"/>
        </w:rPr>
      </w:r>
      <w:r>
        <w:rPr>
          <w:lang w:val="en_US" w:bidi="en_US"/>
        </w:rPr>
        <w:t>Zechariah’s prophecy</w:t>
      </w:r>
    </w:p>
    <w:p>
      <w:pPr/>
      <w:r>
        <w:rPr>
          <w:lang w:val="en_US" w:bidi="en_US"/>
        </w:rPr>
      </w:r>
      <w:r>
        <w:rPr>
          <w:lang w:val="en_US" w:bidi="en_US"/>
        </w:rPr>
        <w:t>Zechariah’s song of praise to God</w:t>
      </w:r>
    </w:p>
    <w:p>
      <w:pPr>
        <w:pStyle w:val="Heading5"/>
      </w:pPr>
      <w:r>
        <w:rPr>
          <w:lang w:val="en_US" w:bidi="en_US"/>
        </w:rPr>
        <w:t>1:72</w:t>
      </w:r>
    </w:p>
    <w:p>
      <w:pPr/>
      <w:r>
        <w:rPr>
          <w:lang w:val="en_US" w:bidi="en_US"/>
        </w:rPr>
      </w:r>
      <w:r>
        <w:rPr>
          <w:lang w:val="en_US" w:bidi="en_US"/>
        </w:rPr>
        <w:t>Scholars disagree about how this verse connects to the context. The main interpretations are:</w:t>
      </w:r>
      <w:r>
        <w:rPr>
          <w:lang w:val="en_US" w:bidi="en_US"/>
        </w:rPr>
        <w:t>Bock and the NRSV, for example, understand 1:72 to express the result of coming salvation. This difference between purpose and result, however, seems slight in this context. When a volitional agent chooses to do something knowing what the result will be, that is generally thought of as purpose.</w:t>
      </w:r>
    </w:p>
    <w:p>
      <w:pPr>
        <w:pStyle w:val="ListNumber"/>
        <w:numPr>
          <w:ilvl w:val="0"/>
          <w:numId w:val="26"/>
        </w:numPr>
        <w:spacing w:line="240" w:lineRule="auto"/>
        <w:ind w:left="720"/>
      </w:pPr>
      <w:r>
        <w:rPr>
          <w:lang w:val="en_US" w:bidi="en_US"/>
        </w:rPr>
      </w:r>
      <w:r>
        <w:rPr>
          <w:lang w:val="en_US" w:bidi="en_US"/>
        </w:rPr>
        <w:t xml:space="preserve">It indicates </w:t>
      </w:r>
      <w:r>
        <w:rPr>
          <w:u w:val="single"/>
          <w:lang w:val="en_US" w:bidi="en_US"/>
        </w:rPr>
        <w:t>the purpose</w:t>
      </w:r>
      <w:r>
        <w:rPr>
          <w:lang w:val="en_US" w:bidi="en_US"/>
        </w:rPr>
        <w:t xml:space="preserve"> for which God had visited Israel to save them (1:68b–69, 71). God did this in order to show mercy to their fathers and to remember his holy covenant. For example:</w:t>
      </w:r>
      <w:r>
        <w:rPr>
          <w:lang w:val="en_US" w:bidi="en_US"/>
        </w:rPr>
        <w:t xml:space="preserve">He has done this to show mercy to our ancestors, and to remember his holy covenant (NET) </w:t>
      </w:r>
      <w:r>
        <w:rPr>
          <w:i/>
          <w:lang w:val="en_US" w:bidi="en_US"/>
        </w:rPr>
        <w:t>(BSB, NIV, RSV, NET, NASB, KJV)</w:t>
      </w:r>
    </w:p>
    <w:p>
      <w:pPr>
        <w:pStyle w:val="ListNumber"/>
        <w:spacing w:line="240" w:lineRule="auto"/>
        <w:ind w:left="720"/>
      </w:pPr>
      <w:r>
        <w:rPr>
          <w:lang w:val="en_US" w:bidi="en_US"/>
        </w:rPr>
      </w:r>
      <w:r>
        <w:rPr>
          <w:lang w:val="en_US" w:bidi="en_US"/>
        </w:rPr>
        <w:t xml:space="preserve">It expresses </w:t>
      </w:r>
      <w:r>
        <w:rPr>
          <w:u w:val="single"/>
          <w:lang w:val="en_US" w:bidi="en_US"/>
        </w:rPr>
        <w:t>another thing that God said</w:t>
      </w:r>
      <w:r>
        <w:rPr>
          <w:lang w:val="en_US" w:bidi="en_US"/>
        </w:rPr>
        <w:t>, and is parallel to 1:71. God said that he would save us from our enemies (1:71), and that he would show mercy to our ancestors (1:72). For example:</w:t>
      </w:r>
      <w:r>
        <w:rPr>
          <w:lang w:val="en_US" w:bidi="en_US"/>
        </w:rPr>
        <w:t xml:space="preserve">He said he would give mercy to our fathers and that he would remember his holy promise. (NCV) </w:t>
      </w:r>
      <w:r>
        <w:rPr>
          <w:i/>
          <w:lang w:val="en_US" w:bidi="en_US"/>
        </w:rPr>
        <w:t>(GNT, CEV, NJB, REB, NCV)</w:t>
      </w:r>
    </w:p>
    <w:p>
      <w:pPr/>
      <w:r>
        <w:rPr>
          <w:lang w:val="en_US" w:bidi="en_US"/>
        </w:rPr>
      </w:r>
      <w:r>
        <w:rPr>
          <w:lang w:val="en_US" w:bidi="en_US"/>
        </w:rPr>
        <w:t>It is recommended that you follow interpretation (1).</w:t>
      </w:r>
    </w:p>
    <w:p>
      <w:pPr/>
      <w:r>
        <w:rPr>
          <w:lang w:val="en_US" w:bidi="en_US"/>
        </w:rPr>
      </w:r>
      <w:r>
        <w:rPr>
          <w:lang w:val="en_US" w:bidi="en_US"/>
        </w:rPr>
        <w:t>Verse 72 does not connect only with the clause that comes immediately before it. It explains the purpose for the action that is described in verse 69. English versions indicate this in various ways, such as by ending end 1:71b with a comma, a semi-colon, a period, or a dash.</w:t>
      </w:r>
    </w:p>
    <w:p>
      <w:pPr/>
      <w:r>
        <w:rPr>
          <w:lang w:val="en_US" w:bidi="en_US"/>
        </w:rPr>
      </w:r>
      <w:r>
        <w:rPr>
          <w:lang w:val="en_US" w:bidi="en_US"/>
        </w:rPr>
        <w:t>In some languages it may be necessary to make the connection between 1:72 and 1:69 more explicit. For example:</w:t>
      </w:r>
    </w:p>
    <w:p>
      <w:pPr/>
      <w:r>
        <w:rPr>
          <w:lang w:val="en_US" w:bidi="en_US"/>
        </w:rPr>
      </w:r>
      <w:r>
        <w:rPr>
          <w:lang w:val="en_US" w:bidi="en_US"/>
        </w:rPr>
        <w:t>God did all this</w:t>
      </w:r>
      <w:r>
        <w:rPr>
          <w:lang w:val="en_US" w:bidi="en_US"/>
        </w:rPr>
        <w:t xml:space="preserve"> in order to show mercy</w:t>
      </w:r>
    </w:p>
    <w:p>
      <w:pPr/>
      <w:r>
        <w:rPr>
          <w:lang w:val="en_US" w:bidi="en_US"/>
        </w:rPr>
      </w:r>
      <w:r>
        <w:rPr>
          <w:lang w:val="en_US" w:bidi="en_US"/>
        </w:rPr>
        <w:t>God provided this salvation/Savior for us in order to show</w:t>
      </w:r>
    </w:p>
    <w:p>
      <w:pPr>
        <w:pStyle w:val="Heading5"/>
      </w:pPr>
      <w:r>
        <w:rPr>
          <w:lang w:val="en_US" w:bidi="en_US"/>
        </w:rPr>
        <w:t>1:72a</w:t>
      </w:r>
    </w:p>
    <w:p>
      <w:pPr/>
      <w:r>
        <w:rPr>
          <w:lang w:val="en_US" w:bidi="en_US"/>
        </w:rPr>
      </w:r>
      <w:r>
        <w:rPr>
          <w:b/>
          <w:lang w:val="en_US" w:bidi="en_US"/>
        </w:rPr>
        <w:t>to show mercy to our fathers</w:t>
      </w:r>
    </w:p>
    <w:p>
      <w:pPr>
        <w:pStyle w:val="ListBullet"/>
        <w:spacing w:line="240" w:lineRule="auto"/>
        <w:ind w:left="720"/>
      </w:pPr>
      <w:r>
        <w:rPr>
          <w:lang w:val="en_US" w:bidi="en_US"/>
        </w:rPr>
      </w:r>
      <w:r>
        <w:rPr>
          <w:lang w:val="en_US" w:bidi="en_US"/>
        </w:rPr>
        <w:t>God has done this</w:t>
      </w:r>
      <w:r>
        <w:rPr>
          <w:lang w:val="en_US" w:bidi="en_US"/>
        </w:rPr>
        <w:t xml:space="preserve"> in order to show his faithful love to our</w:t>
      </w:r>
      <w:r>
        <w:rPr>
          <w:vertAlign w:val="superscript"/>
          <w:lang w:val="en_US" w:bidi="en_US"/>
        </w:rPr>
        <w:t>(incl)</w:t>
      </w:r>
      <w:r>
        <w:rPr>
          <w:lang w:val="en_US" w:bidi="en_US"/>
        </w:rPr>
        <w:t xml:space="preserve"> forefathers</w:t>
      </w:r>
    </w:p>
    <w:p>
      <w:pPr>
        <w:pStyle w:val="ListBullet"/>
        <w:spacing w:line="240" w:lineRule="auto"/>
        <w:ind w:left="720"/>
      </w:pPr>
      <w:r>
        <w:rPr>
          <w:lang w:val="en_US" w:bidi="en_US"/>
        </w:rPr>
      </w:r>
      <w:r>
        <w:rPr>
          <w:lang w:val="en_US" w:bidi="en_US"/>
        </w:rPr>
        <w:t>He is doing this</w:t>
      </w:r>
      <w:r>
        <w:rPr>
          <w:lang w:val="en_US" w:bidi="en_US"/>
        </w:rPr>
        <w:t xml:space="preserve"> in order to act with loyalty and compassion toward our ancestors</w:t>
      </w:r>
    </w:p>
    <w:p>
      <w:pPr>
        <w:pStyle w:val="ListBullet"/>
        <w:spacing w:line="240" w:lineRule="auto"/>
        <w:ind w:left="720"/>
      </w:pPr>
      <w:r>
        <w:rPr>
          <w:lang w:val="en_US" w:bidi="en_US"/>
        </w:rPr>
      </w:r>
      <w:r>
        <w:rPr>
          <w:lang w:val="en_US" w:bidi="en_US"/>
        </w:rPr>
        <w:t>God will do this</w:t>
      </w:r>
      <w:r>
        <w:rPr>
          <w:lang w:val="en_US" w:bidi="en_US"/>
        </w:rPr>
        <w:t xml:space="preserve"> to treat our ancestors with compassion</w:t>
      </w:r>
    </w:p>
    <w:p>
      <w:pPr>
        <w:pStyle w:val="Heading5"/>
      </w:pPr>
      <w:r>
        <w:rPr>
          <w:lang w:val="en_US" w:bidi="en_US"/>
        </w:rPr>
        <w:t>1:72a–b</w:t>
      </w:r>
    </w:p>
    <w:p>
      <w:pPr/>
      <w:r>
        <w:rPr>
          <w:lang w:val="en_US" w:bidi="en_US"/>
        </w:rPr>
      </w:r>
      <w:r>
        <w:rPr>
          <w:b/>
          <w:lang w:val="en_US" w:bidi="en_US"/>
        </w:rPr>
        <w:t>to show mercy to our fathers and to remember His holy covenant:</w:t>
      </w:r>
      <w:r>
        <w:rPr>
          <w:lang w:val="en_US" w:bidi="en_US"/>
        </w:rPr>
        <w:t xml:space="preserve"> The actions in these two parts of the verse are closely related. The Lord showed mercy to the fathers and remembered his holy covenant with them. In some languages it may be more natural to indicate that the Lord showed mercy to them by remembering the covenant. For example:</w:t>
      </w:r>
    </w:p>
    <w:p>
      <w:pPr/>
      <w:r>
        <w:rPr>
          <w:lang w:val="en_US" w:bidi="en_US"/>
        </w:rPr>
      </w:r>
      <w:r>
        <w:rPr>
          <w:lang w:val="en_US" w:bidi="en_US"/>
        </w:rPr>
        <w:t>He has been merciful to our ancestors by remembering his sacred covenant (NLT)</w:t>
      </w:r>
    </w:p>
    <w:p>
      <w:pPr/>
      <w:r>
        <w:rPr>
          <w:lang w:val="en_US" w:bidi="en_US"/>
        </w:rPr>
      </w:r>
      <w:r>
        <w:rPr>
          <w:lang w:val="en_US" w:bidi="en_US"/>
        </w:rPr>
        <w:t>Connect these actions in a natural way in your language.</w:t>
      </w:r>
    </w:p>
    <w:p>
      <w:pPr/>
      <w:r>
        <w:rPr>
          <w:lang w:val="en_US" w:bidi="en_US"/>
        </w:rPr>
      </w:r>
      <w:r>
        <w:rPr>
          <w:b/>
          <w:lang w:val="en_US" w:bidi="en_US"/>
        </w:rPr>
        <w:t>to show mercy to our fathers:</w:t>
      </w:r>
      <w:r>
        <w:rPr>
          <w:lang w:val="en_US" w:bidi="en_US"/>
        </w:rPr>
        <w:t xml:space="preserve"> The Greek phrase that the BSB translates as </w:t>
      </w:r>
      <w:r>
        <w:rPr>
          <w:i/>
          <w:lang w:val="en_US" w:bidi="en_US"/>
        </w:rPr>
        <w:t>to show mercy</w:t>
      </w:r>
      <w:r>
        <w:rPr>
          <w:lang w:val="en_US" w:bidi="en_US"/>
        </w:rPr>
        <w:t xml:space="preserve"> is used in the context of keeping a covenant/promise. In such contexts the phrase refers to showing love/kindness through faithfulness to that covenant. In the Old Testament God made a covenant with Abraham and other ancestors of the Israelites. He promised to send a Savior to their descendants. This verse implies that God showed faithful love to the ancestors by keeping that promise and sending the Savior.</w:t>
      </w:r>
    </w:p>
    <w:p>
      <w:pPr/>
      <w:r>
        <w:rPr>
          <w:lang w:val="en_US" w:bidi="en_US"/>
        </w:rPr>
      </w:r>
      <w:r>
        <w:rPr>
          <w:lang w:val="en_US" w:bidi="en_US"/>
        </w:rPr>
        <w:t xml:space="preserve">Some ways to translate </w:t>
      </w:r>
      <w:r>
        <w:rPr>
          <w:i/>
          <w:lang w:val="en_US" w:bidi="en_US"/>
        </w:rPr>
        <w:t>to show mercy to our fathers</w:t>
      </w:r>
      <w:r>
        <w:rPr>
          <w:lang w:val="en_US" w:bidi="en_US"/>
        </w:rPr>
        <w:t xml:space="preserve"> are:</w:t>
      </w:r>
    </w:p>
    <w:p>
      <w:pPr/>
      <w:r>
        <w:rPr>
          <w:lang w:val="en_US" w:bidi="en_US"/>
        </w:rPr>
      </w:r>
      <w:r>
        <w:rPr>
          <w:lang w:val="en_US" w:bidi="en_US"/>
        </w:rPr>
        <w:t>to treat our ancestors with faithful love</w:t>
      </w:r>
    </w:p>
    <w:p>
      <w:pPr/>
      <w:r>
        <w:rPr>
          <w:lang w:val="en_US" w:bidi="en_US"/>
        </w:rPr>
      </w:r>
      <w:r>
        <w:rPr>
          <w:lang w:val="en_US" w:bidi="en_US"/>
        </w:rPr>
        <w:t>to show covenant love to our fathers</w:t>
      </w:r>
    </w:p>
    <w:p>
      <w:pPr/>
      <w:r>
        <w:rPr>
          <w:lang w:val="en_US" w:bidi="en_US"/>
        </w:rPr>
      </w:r>
      <w:r>
        <w:rPr>
          <w:lang w:val="en_US" w:bidi="en_US"/>
        </w:rPr>
        <w:t>to act with loyalty and kindness toward our fathers</w:t>
      </w:r>
    </w:p>
    <w:p>
      <w:pPr/>
      <w:r>
        <w:rPr>
          <w:lang w:val="en_US" w:bidi="en_US"/>
        </w:rPr>
      </w:r>
      <w:r>
        <w:rPr>
          <w:b/>
          <w:lang w:val="en_US" w:bidi="en_US"/>
        </w:rPr>
        <w:t>our fathers:</w:t>
      </w:r>
      <w:r>
        <w:rPr>
          <w:lang w:val="en_US" w:bidi="en_US"/>
        </w:rPr>
        <w:t xml:space="preserve"> Here the word </w:t>
      </w:r>
      <w:r>
        <w:rPr>
          <w:i/>
          <w:lang w:val="en_US" w:bidi="en_US"/>
        </w:rPr>
        <w:t>fathers</w:t>
      </w:r>
      <w:r>
        <w:rPr>
          <w:lang w:val="en_US" w:bidi="en_US"/>
        </w:rPr>
        <w:t xml:space="preserve"> means “ancestors.”</w:t>
      </w:r>
    </w:p>
    <w:p>
      <w:pPr>
        <w:pStyle w:val="Heading5"/>
      </w:pPr>
      <w:r>
        <w:rPr>
          <w:lang w:val="en_US" w:bidi="en_US"/>
        </w:rPr>
        <w:t>1:72b</w:t>
      </w:r>
    </w:p>
    <w:p>
      <w:pPr/>
      <w:r>
        <w:rPr>
          <w:lang w:val="en_US" w:bidi="en_US"/>
        </w:rPr>
      </w:r>
      <w:r>
        <w:rPr>
          <w:b/>
          <w:lang w:val="en_US" w:bidi="en_US"/>
        </w:rPr>
        <w:t>and to remember His holy covenant,</w:t>
      </w:r>
    </w:p>
    <w:p>
      <w:pPr>
        <w:pStyle w:val="ListBullet"/>
        <w:spacing w:line="240" w:lineRule="auto"/>
        <w:ind w:left="720"/>
      </w:pPr>
      <w:r>
        <w:rPr>
          <w:lang w:val="en_US" w:bidi="en_US"/>
        </w:rPr>
      </w:r>
      <w:r>
        <w:rPr>
          <w:lang w:val="en_US" w:bidi="en_US"/>
        </w:rPr>
        <w:t>and to fulfill his sacred covenant/promise</w:t>
      </w:r>
    </w:p>
    <w:p>
      <w:pPr>
        <w:pStyle w:val="ListBullet"/>
        <w:spacing w:line="240" w:lineRule="auto"/>
        <w:ind w:left="720"/>
      </w:pPr>
      <w:r>
        <w:rPr>
          <w:lang w:val="en_US" w:bidi="en_US"/>
        </w:rPr>
      </w:r>
      <w:r>
        <w:rPr>
          <w:lang w:val="en_US" w:bidi="en_US"/>
        </w:rPr>
        <w:t>by</w:t>
      </w:r>
      <w:r>
        <w:rPr>
          <w:lang w:val="en_US" w:bidi="en_US"/>
        </w:rPr>
        <w:t xml:space="preserve"> doing what he promised to do in his holy agreement/treaty.</w:t>
      </w:r>
    </w:p>
    <w:p>
      <w:pPr>
        <w:pStyle w:val="ListBullet"/>
        <w:spacing w:line="240" w:lineRule="auto"/>
        <w:ind w:left="720"/>
      </w:pPr>
      <w:r>
        <w:rPr>
          <w:lang w:val="en_US" w:bidi="en_US"/>
        </w:rPr>
      </w:r>
      <w:r>
        <w:rPr>
          <w:lang w:val="en_US" w:bidi="en_US"/>
        </w:rPr>
        <w:t>by fulfilling his solemn agreement with them.</w:t>
      </w:r>
    </w:p>
    <w:p>
      <w:pPr/>
      <w:r>
        <w:rPr>
          <w:lang w:val="en_US" w:bidi="en_US"/>
        </w:rPr>
      </w:r>
      <w:r>
        <w:rPr>
          <w:b/>
          <w:lang w:val="en_US" w:bidi="en_US"/>
        </w:rPr>
        <w:t>to remember His holy covenant:</w:t>
      </w:r>
      <w:r>
        <w:rPr>
          <w:lang w:val="en_US" w:bidi="en_US"/>
        </w:rPr>
        <w:t xml:space="preserve"> The Greek verb that the BSB translates as </w:t>
      </w:r>
      <w:r>
        <w:rPr>
          <w:i/>
          <w:lang w:val="en_US" w:bidi="en_US"/>
        </w:rPr>
        <w:t>remember</w:t>
      </w:r>
      <w:r>
        <w:rPr>
          <w:lang w:val="en_US" w:bidi="en_US"/>
        </w:rPr>
        <w:t xml:space="preserve"> here means “to fulfill” or “to keep/honor” his covenant. God had never forgotten his covenant promises, but at this time he chose to do what he had promised.</w:t>
      </w:r>
    </w:p>
    <w:p>
      <w:pPr/>
      <w:r>
        <w:rPr>
          <w:lang w:val="en_US" w:bidi="en_US"/>
        </w:rPr>
      </w:r>
      <w:r>
        <w:rPr>
          <w:lang w:val="en_US" w:bidi="en_US"/>
        </w:rPr>
        <w:t xml:space="preserve">Another way to translate the phrase </w:t>
      </w:r>
      <w:r>
        <w:rPr>
          <w:i/>
          <w:lang w:val="en_US" w:bidi="en_US"/>
        </w:rPr>
        <w:t>to remember His holy covenant</w:t>
      </w:r>
      <w:r>
        <w:rPr>
          <w:lang w:val="en_US" w:bidi="en_US"/>
        </w:rPr>
        <w:t xml:space="preserve"> is:</w:t>
      </w:r>
    </w:p>
    <w:p>
      <w:pPr/>
      <w:r>
        <w:rPr>
          <w:lang w:val="en_US" w:bidi="en_US"/>
        </w:rPr>
      </w:r>
      <w:r>
        <w:rPr>
          <w:lang w:val="en_US" w:bidi="en_US"/>
        </w:rPr>
        <w:t>to do what he had promised to do in his holy covenant</w:t>
      </w:r>
    </w:p>
    <w:p>
      <w:pPr/>
      <w:r>
        <w:rPr>
          <w:lang w:val="en_US" w:bidi="en_US"/>
        </w:rPr>
      </w:r>
      <w:r>
        <w:rPr>
          <w:b/>
          <w:lang w:val="en_US" w:bidi="en_US"/>
        </w:rPr>
        <w:t>His holy covenant:</w:t>
      </w:r>
      <w:r>
        <w:rPr>
          <w:lang w:val="en_US" w:bidi="en_US"/>
        </w:rPr>
        <w:t xml:space="preserve"> The Greek word that the BSB translates as </w:t>
      </w:r>
      <w:r>
        <w:rPr>
          <w:i/>
          <w:lang w:val="en_US" w:bidi="en_US"/>
        </w:rPr>
        <w:t>covenant</w:t>
      </w:r>
      <w:r>
        <w:rPr>
          <w:lang w:val="en_US" w:bidi="en_US"/>
        </w:rPr>
        <w:t xml:space="preserve"> refers to a binding agreement made between two people or groups. It establishes a relationship of peace or friendship between them. They promise to be faithful to this agreement.</w:t>
      </w:r>
    </w:p>
    <w:p>
      <w:pPr/>
      <w:r>
        <w:rPr>
          <w:lang w:val="en_US" w:bidi="en_US"/>
        </w:rPr>
      </w:r>
      <w:r>
        <w:rPr>
          <w:lang w:val="en_US" w:bidi="en_US"/>
        </w:rPr>
        <w:t xml:space="preserve">In this verse the </w:t>
      </w:r>
      <w:r>
        <w:rPr>
          <w:i/>
          <w:lang w:val="en_US" w:bidi="en_US"/>
        </w:rPr>
        <w:t>holy covenant</w:t>
      </w:r>
      <w:r>
        <w:rPr>
          <w:lang w:val="en_US" w:bidi="en_US"/>
        </w:rPr>
        <w:t xml:space="preserve"> is the agreement or promise that God made with Abraham and his descendants. It is </w:t>
      </w:r>
      <w:r>
        <w:rPr>
          <w:i/>
          <w:lang w:val="en_US" w:bidi="en_US"/>
        </w:rPr>
        <w:t>holy</w:t>
      </w:r>
      <w:r>
        <w:rPr>
          <w:lang w:val="en_US" w:bidi="en_US"/>
        </w:rPr>
        <w:t xml:space="preserve"> because God made it. He also set it apart as especially important and serious.</w:t>
      </w:r>
    </w:p>
    <w:p>
      <w:pPr/>
      <w:r>
        <w:rPr>
          <w:lang w:val="en_US" w:bidi="en_US"/>
        </w:rPr>
      </w:r>
      <w:r>
        <w:rPr>
          <w:lang w:val="en_US" w:bidi="en_US"/>
        </w:rPr>
        <w:t xml:space="preserve">Some other ways you can translate </w:t>
      </w:r>
      <w:r>
        <w:rPr>
          <w:i/>
          <w:lang w:val="en_US" w:bidi="en_US"/>
        </w:rPr>
        <w:t>holy covenant</w:t>
      </w:r>
      <w:r>
        <w:rPr>
          <w:lang w:val="en_US" w:bidi="en_US"/>
        </w:rPr>
        <w:t xml:space="preserve"> are:</w:t>
      </w:r>
    </w:p>
    <w:p>
      <w:pPr/>
      <w:r>
        <w:rPr>
          <w:lang w:val="en_US" w:bidi="en_US"/>
        </w:rPr>
      </w:r>
      <w:r>
        <w:rPr>
          <w:lang w:val="en_US" w:bidi="en_US"/>
        </w:rPr>
        <w:t>his sacred promise (CEV)</w:t>
      </w:r>
    </w:p>
    <w:p>
      <w:pPr/>
      <w:r>
        <w:rPr>
          <w:lang w:val="en_US" w:bidi="en_US"/>
        </w:rPr>
      </w:r>
      <w:r>
        <w:rPr>
          <w:lang w:val="en_US" w:bidi="en_US"/>
        </w:rPr>
        <w:t>God’s binding/solemn agreement</w:t>
      </w:r>
    </w:p>
    <w:p>
      <w:pPr/>
      <w:r>
        <w:rPr>
          <w:lang w:val="en_US" w:bidi="en_US"/>
        </w:rPr>
      </w:r>
      <w:r>
        <w:rPr>
          <w:lang w:val="en_US" w:bidi="en_US"/>
        </w:rPr>
        <w:t>the holy treaty that God made with them</w:t>
      </w:r>
    </w:p>
    <w:p>
      <w:pPr/>
      <w:r>
        <w:rPr>
          <w:lang w:val="en_US" w:bidi="en_US"/>
        </w:rPr>
      </w:r>
      <w:r>
        <w:rPr>
          <w:lang w:val="en_US" w:bidi="en_US"/>
        </w:rPr>
        <w:t xml:space="preserve">In some languages you may have an idiom for </w:t>
      </w:r>
      <w:r>
        <w:rPr>
          <w:i/>
          <w:lang w:val="en_US" w:bidi="en_US"/>
        </w:rPr>
        <w:t>covenant</w:t>
      </w:r>
      <w:r>
        <w:rPr>
          <w:lang w:val="en_US" w:bidi="en_US"/>
        </w:rPr>
        <w:t>. See covenant in the Glossary.</w:t>
      </w:r>
      <w:r>
        <w:rPr>
          <w:lang w:val="en_US" w:bidi="en_US"/>
        </w:rPr>
      </w:r>
      <w:r>
        <w:rPr>
          <w:lang w:val="en_US" w:bidi="en_US"/>
        </w:rPr>
      </w:r>
    </w:p>
    <w:p>
      <w:pPr/>
      <w:r>
        <w:rPr>
          <w:lang w:val="en_US" w:bidi="en_US"/>
        </w:rPr>
      </w:r>
    </w:p>
    <w:p>
      <w:pPr>
        <w:pStyle w:val="Heading2"/>
      </w:pPr>
      <w:r>
        <w:rPr>
          <w:lang w:val="en_US" w:bidi="en_US"/>
        </w:rPr>
        <w:t>Luke 1:73</w:t>
      </w:r>
      <w:r>
        <w:rPr>
          <w:lang w:val="en_US" w:bidi="en_US"/>
        </w:rPr>
      </w:r>
    </w:p>
    <w:p>
      <w:pPr>
        <w:pStyle w:val="Heading4"/>
      </w:pPr>
      <w:r>
        <w:rPr>
          <w:lang w:val="en_US" w:bidi="en_US"/>
        </w:rPr>
        <w:t>Section 1:67–80: Zechariah prophesied and praised God</w:t>
      </w:r>
    </w:p>
    <w:p>
      <w:pPr/>
      <w:r>
        <w:rPr>
          <w:lang w:val="en_US" w:bidi="en_US"/>
        </w:rPr>
      </w:r>
      <w:r>
        <w:rPr>
          <w:lang w:val="en_US" w:bidi="en_US"/>
        </w:rP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pPr/>
      <w:r>
        <w:rPr>
          <w:lang w:val="en_US" w:bidi="en_US"/>
        </w:rPr>
      </w:r>
      <w:r>
        <w:rPr>
          <w:lang w:val="en_US" w:bidi="en_US"/>
        </w:rP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pPr/>
      <w:r>
        <w:rPr>
          <w:lang w:val="en_US" w:bidi="en_US"/>
        </w:rPr>
      </w:r>
      <w:r>
        <w:rPr>
          <w:lang w:val="en_US" w:bidi="en_US"/>
        </w:rP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pPr/>
      <w:r>
        <w:rPr>
          <w:lang w:val="en_US" w:bidi="en_US"/>
        </w:rPr>
      </w:r>
      <w:r>
        <w:rPr>
          <w:lang w:val="en_US" w:bidi="en_US"/>
        </w:rP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pPr/>
      <w:r>
        <w:rPr>
          <w:lang w:val="en_US" w:bidi="en_US"/>
        </w:rPr>
      </w:r>
      <w:r>
        <w:rPr>
          <w:lang w:val="en_US" w:bidi="en_US"/>
        </w:rP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pPr/>
      <w:r>
        <w:rPr>
          <w:lang w:val="en_US" w:bidi="en_US"/>
        </w:rPr>
      </w:r>
      <w:r>
        <w:rPr>
          <w:vertAlign w:val="superscript"/>
          <w:lang w:val="en_US" w:bidi="en_US"/>
        </w:rPr>
        <w:t>68a</w:t>
      </w:r>
      <w:r>
        <w:rPr>
          <w:lang w:val="en_US" w:bidi="en_US"/>
        </w:rPr>
        <w:t>Praise be to the Lord the God of Israel!</w:t>
      </w:r>
    </w:p>
    <w:p>
      <w:pPr/>
      <w:r>
        <w:rPr>
          <w:lang w:val="en_US" w:bidi="en_US"/>
        </w:rPr>
      </w:r>
      <w:r>
        <w:rPr>
          <w:vertAlign w:val="superscript"/>
          <w:lang w:val="en_US" w:bidi="en_US"/>
        </w:rPr>
        <w:t>73</w:t>
      </w:r>
      <w:r>
        <w:rPr>
          <w:lang w:val="en_US" w:bidi="en_US"/>
        </w:rPr>
        <w:t>Long ago he swore an oath to our father Abraham.</w:t>
      </w:r>
    </w:p>
    <w:p>
      <w:pPr/>
      <w:r>
        <w:rPr>
          <w:lang w:val="en_US" w:bidi="en_US"/>
        </w:rPr>
      </w:r>
      <w:r>
        <w:rPr>
          <w:vertAlign w:val="superscript"/>
          <w:lang w:val="en_US" w:bidi="en_US"/>
        </w:rPr>
        <w:t>74a</w:t>
      </w:r>
      <w:r>
        <w:rPr>
          <w:lang w:val="en_US" w:bidi="en_US"/>
        </w:rPr>
        <w:t>He promised to rescue us from the hand of our enemies…</w:t>
      </w:r>
    </w:p>
    <w:p>
      <w:pPr/>
      <w:r>
        <w:rPr>
          <w:lang w:val="en_US" w:bidi="en_US"/>
        </w:rPr>
      </w:r>
      <w:r>
        <w:rPr>
          <w:lang w:val="en_US" w:bidi="en_US"/>
        </w:rPr>
        <w:t>Some other possible headings for this section are:</w:t>
      </w:r>
    </w:p>
    <w:p>
      <w:pPr/>
      <w:r>
        <w:rPr>
          <w:lang w:val="en_US" w:bidi="en_US"/>
        </w:rPr>
      </w:r>
      <w:r>
        <w:rPr>
          <w:lang w:val="en_US" w:bidi="en_US"/>
        </w:rPr>
        <w:t>Zechariah praised God and prophesied about John</w:t>
      </w:r>
    </w:p>
    <w:p>
      <w:pPr/>
      <w:r>
        <w:rPr>
          <w:lang w:val="en_US" w:bidi="en_US"/>
        </w:rPr>
      </w:r>
      <w:r>
        <w:rPr>
          <w:lang w:val="en_US" w:bidi="en_US"/>
        </w:rPr>
        <w:t>Zechariah praised God for the Messiah who would save Israel</w:t>
      </w:r>
    </w:p>
    <w:p>
      <w:pPr/>
      <w:r>
        <w:rPr>
          <w:lang w:val="en_US" w:bidi="en_US"/>
        </w:rPr>
      </w:r>
      <w:r>
        <w:rPr>
          <w:lang w:val="en_US" w:bidi="en_US"/>
        </w:rPr>
        <w:t>Zechariah’s prophecy</w:t>
      </w:r>
    </w:p>
    <w:p>
      <w:pPr/>
      <w:r>
        <w:rPr>
          <w:lang w:val="en_US" w:bidi="en_US"/>
        </w:rPr>
      </w:r>
      <w:r>
        <w:rPr>
          <w:lang w:val="en_US" w:bidi="en_US"/>
        </w:rPr>
        <w:t>Zechariah’s song of praise to God</w:t>
      </w:r>
    </w:p>
    <w:p>
      <w:pPr>
        <w:pStyle w:val="Heading5"/>
      </w:pPr>
      <w:r>
        <w:rPr>
          <w:lang w:val="en_US" w:bidi="en_US"/>
        </w:rPr>
        <w:t>1:73</w:t>
      </w:r>
    </w:p>
    <w:p>
      <w:pPr/>
      <w:r>
        <w:rPr>
          <w:lang w:val="en_US" w:bidi="en_US"/>
        </w:rPr>
      </w:r>
      <w:r>
        <w:rPr>
          <w:b/>
          <w:lang w:val="en_US" w:bidi="en_US"/>
        </w:rPr>
        <w:t>the oath He swore to our father Abraham, to grant us</w:t>
      </w:r>
    </w:p>
    <w:p>
      <w:pPr>
        <w:pStyle w:val="ListBullet"/>
        <w:spacing w:line="240" w:lineRule="auto"/>
        <w:ind w:left="720"/>
      </w:pPr>
      <w:r>
        <w:rPr>
          <w:lang w:val="en_US" w:bidi="en_US"/>
        </w:rPr>
      </w:r>
      <w:r>
        <w:rPr>
          <w:lang w:val="en_US" w:bidi="en_US"/>
        </w:rPr>
        <w:t xml:space="preserve">that he confirmed to our father Abraham with an oath </w:t>
      </w:r>
      <w:r>
        <w:rPr>
          <w:lang w:val="en_US" w:bidi="en_US"/>
        </w:rPr>
        <w:t>He swore/promised</w:t>
      </w:r>
    </w:p>
    <w:p>
      <w:pPr>
        <w:pStyle w:val="ListBullet"/>
        <w:spacing w:line="240" w:lineRule="auto"/>
        <w:ind w:left="720"/>
      </w:pPr>
      <w:r>
        <w:rPr>
          <w:lang w:val="en_US" w:bidi="en_US"/>
        </w:rPr>
      </w:r>
      <w:r>
        <w:rPr>
          <w:lang w:val="en_US" w:bidi="en_US"/>
        </w:rPr>
        <w:t>He solemnly promised our</w:t>
      </w:r>
      <w:r>
        <w:rPr>
          <w:vertAlign w:val="superscript"/>
          <w:lang w:val="en_US" w:bidi="en_US"/>
        </w:rPr>
        <w:t>(incl)</w:t>
      </w:r>
      <w:r>
        <w:rPr>
          <w:lang w:val="en_US" w:bidi="en_US"/>
        </w:rPr>
        <w:t xml:space="preserve"> forefather Abraham,</w:t>
      </w:r>
    </w:p>
    <w:p>
      <w:pPr>
        <w:pStyle w:val="ListBullet"/>
        <w:spacing w:line="240" w:lineRule="auto"/>
        <w:ind w:left="720"/>
      </w:pPr>
      <w:r>
        <w:rPr>
          <w:lang w:val="en_US" w:bidi="en_US"/>
        </w:rPr>
      </w:r>
      <w:r>
        <w:rPr>
          <w:lang w:val="en_US" w:bidi="en_US"/>
        </w:rPr>
        <w:t>This is</w:t>
      </w:r>
      <w:r>
        <w:rPr>
          <w:lang w:val="en_US" w:bidi="en_US"/>
        </w:rPr>
        <w:t xml:space="preserve"> the binding promise that he made/gave to our</w:t>
      </w:r>
      <w:r>
        <w:rPr>
          <w:vertAlign w:val="superscript"/>
          <w:lang w:val="en_US" w:bidi="en_US"/>
        </w:rPr>
        <w:t>(incl)</w:t>
      </w:r>
      <w:r>
        <w:rPr>
          <w:lang w:val="en_US" w:bidi="en_US"/>
        </w:rPr>
        <w:t xml:space="preserve"> ancestor Abraham:</w:t>
      </w:r>
    </w:p>
    <w:p>
      <w:pPr/>
      <w:r>
        <w:rPr>
          <w:lang w:val="en_US" w:bidi="en_US"/>
        </w:rPr>
      </w:r>
      <w:r>
        <w:rPr>
          <w:b/>
          <w:lang w:val="en_US" w:bidi="en_US"/>
        </w:rPr>
        <w:t>the oath He swore to our father Abraham, to grant us:</w:t>
      </w:r>
      <w:r>
        <w:rPr>
          <w:lang w:val="en_US" w:bidi="en_US"/>
        </w:rPr>
        <w:t xml:space="preserve"> When two people or groups made a covenant, they </w:t>
      </w:r>
      <w:r>
        <w:rPr>
          <w:i/>
          <w:lang w:val="en_US" w:bidi="en_US"/>
        </w:rPr>
        <w:t>swore</w:t>
      </w:r>
      <w:r>
        <w:rPr>
          <w:lang w:val="en_US" w:bidi="en_US"/>
        </w:rPr>
        <w:t xml:space="preserve"> an </w:t>
      </w:r>
      <w:r>
        <w:rPr>
          <w:i/>
          <w:lang w:val="en_US" w:bidi="en_US"/>
        </w:rPr>
        <w:t>oath</w:t>
      </w:r>
      <w:r>
        <w:rPr>
          <w:lang w:val="en_US" w:bidi="en_US"/>
        </w:rPr>
        <w:t xml:space="preserve"> to be faithful to it. This oath was a solemn promise. In this poetic verse, the phrase </w:t>
      </w:r>
      <w:r>
        <w:rPr>
          <w:i/>
          <w:lang w:val="en_US" w:bidi="en_US"/>
        </w:rPr>
        <w:t>the oath He swore</w:t>
      </w:r>
      <w:r>
        <w:rPr>
          <w:lang w:val="en_US" w:bidi="en_US"/>
        </w:rPr>
        <w:t xml:space="preserve"> is another way to refer to God’s covenant in 1:72b.</w:t>
      </w:r>
    </w:p>
    <w:p>
      <w:pPr/>
      <w:r>
        <w:rPr>
          <w:lang w:val="en_US" w:bidi="en_US"/>
        </w:rPr>
      </w:r>
      <w:r>
        <w:rPr>
          <w:lang w:val="en_US" w:bidi="en_US"/>
        </w:rPr>
        <w:t xml:space="preserve">It is important to indicate clearly in your translation that “holy covenant” and </w:t>
      </w:r>
      <w:r>
        <w:rPr>
          <w:i/>
          <w:lang w:val="en_US" w:bidi="en_US"/>
        </w:rPr>
        <w:t>the oath He swore</w:t>
      </w:r>
      <w:r>
        <w:rPr>
          <w:lang w:val="en_US" w:bidi="en_US"/>
        </w:rPr>
        <w:t xml:space="preserve"> refer to the same thing. One way to do this in English is:</w:t>
      </w:r>
    </w:p>
    <w:p>
      <w:pPr/>
      <w:r>
        <w:rPr>
          <w:lang w:val="en_US" w:bidi="en_US"/>
        </w:rPr>
      </w:r>
      <w:r>
        <w:rPr>
          <w:lang w:val="en_US" w:bidi="en_US"/>
        </w:rPr>
        <w:t>the holy covenant, that is, the oath he swore</w:t>
      </w:r>
    </w:p>
    <w:p>
      <w:pPr/>
      <w:r>
        <w:rPr>
          <w:lang w:val="en_US" w:bidi="en_US"/>
        </w:rPr>
      </w:r>
      <w:r>
        <w:rPr>
          <w:lang w:val="en_US" w:bidi="en_US"/>
        </w:rPr>
        <w:t>This verse is similar to Jeremiah 11:5, “Then I will fulfill the oath I swore to your forefathers.” See also Micah 7:20 and Psalm 105:8–9.</w:t>
      </w:r>
    </w:p>
    <w:p>
      <w:pPr/>
      <w:r>
        <w:rPr>
          <w:lang w:val="en_US" w:bidi="en_US"/>
        </w:rPr>
      </w:r>
      <w:r>
        <w:rPr>
          <w:b/>
          <w:lang w:val="en_US" w:bidi="en_US"/>
        </w:rPr>
        <w:t>the oath He swore:</w:t>
      </w:r>
      <w:r>
        <w:rPr>
          <w:lang w:val="en_US" w:bidi="en_US"/>
        </w:rPr>
        <w:t xml:space="preserve"> The Greek word that the BSB translates as </w:t>
      </w:r>
      <w:r>
        <w:rPr>
          <w:i/>
          <w:lang w:val="en_US" w:bidi="en_US"/>
        </w:rPr>
        <w:t>swore</w:t>
      </w:r>
      <w:r>
        <w:rPr>
          <w:lang w:val="en_US" w:bidi="en_US"/>
        </w:rPr>
        <w:t xml:space="preserve"> is the verb that naturally goes with “oath.” It means to speak or make an oath. It does not mean that God used vulgar words or cursed. Some other ways to translate swore </w:t>
      </w:r>
      <w:r>
        <w:rPr>
          <w:i/>
          <w:lang w:val="en_US" w:bidi="en_US"/>
        </w:rPr>
        <w:t>the oath He swore</w:t>
      </w:r>
      <w:r>
        <w:rPr>
          <w:lang w:val="en_US" w:bidi="en_US"/>
        </w:rPr>
        <w:t xml:space="preserve"> are:</w:t>
      </w:r>
    </w:p>
    <w:p>
      <w:pPr/>
      <w:r>
        <w:rPr>
          <w:lang w:val="en_US" w:bidi="en_US"/>
        </w:rPr>
      </w:r>
      <w:r>
        <w:rPr>
          <w:lang w:val="en_US" w:bidi="en_US"/>
        </w:rPr>
        <w:t>the oath he spoke/promised</w:t>
      </w:r>
    </w:p>
    <w:p>
      <w:pPr/>
      <w:r>
        <w:rPr>
          <w:lang w:val="en_US" w:bidi="en_US"/>
        </w:rPr>
      </w:r>
      <w:r>
        <w:rPr>
          <w:lang w:val="en_US" w:bidi="en_US"/>
        </w:rPr>
        <w:t>the oath he gave/made</w:t>
      </w:r>
    </w:p>
    <w:p>
      <w:pPr/>
      <w:r>
        <w:rPr>
          <w:lang w:val="en_US" w:bidi="en_US"/>
        </w:rPr>
      </w:r>
      <w:r>
        <w:rPr>
          <w:lang w:val="en_US" w:bidi="en_US"/>
        </w:rPr>
        <w:t>the promise he made with an oath</w:t>
      </w:r>
    </w:p>
    <w:p>
      <w:pPr/>
      <w:r>
        <w:rPr>
          <w:lang w:val="en_US" w:bidi="en_US"/>
        </w:rPr>
      </w:r>
      <w:r>
        <w:rPr>
          <w:b/>
          <w:lang w:val="en_US" w:bidi="en_US"/>
        </w:rPr>
        <w:t>oath:</w:t>
      </w:r>
      <w:r>
        <w:rPr>
          <w:lang w:val="en_US" w:bidi="en_US"/>
        </w:rPr>
        <w:t xml:space="preserve"> An </w:t>
      </w:r>
      <w:r>
        <w:rPr>
          <w:i/>
          <w:lang w:val="en_US" w:bidi="en_US"/>
        </w:rPr>
        <w:t>oath</w:t>
      </w:r>
      <w:r>
        <w:rPr>
          <w:lang w:val="en_US" w:bidi="en_US"/>
        </w:rPr>
        <w:t xml:space="preserve"> is added to a promise so that the people who make it will know that they must not fail to fulfill it. After they swear the oath, the covenant cannot be changed. The person speaking the oath asks God to punish him if he does not keep the promise. Some other ways to translate </w:t>
      </w:r>
      <w:r>
        <w:rPr>
          <w:i/>
          <w:lang w:val="en_US" w:bidi="en_US"/>
        </w:rPr>
        <w:t>oath</w:t>
      </w:r>
      <w:r>
        <w:rPr>
          <w:lang w:val="en_US" w:bidi="en_US"/>
        </w:rPr>
        <w:t xml:space="preserve"> are:</w:t>
      </w:r>
    </w:p>
    <w:p>
      <w:pPr/>
      <w:r>
        <w:rPr>
          <w:lang w:val="en_US" w:bidi="en_US"/>
        </w:rPr>
      </w:r>
      <w:r>
        <w:rPr>
          <w:lang w:val="en_US" w:bidi="en_US"/>
        </w:rPr>
        <w:t>binding promise</w:t>
      </w:r>
    </w:p>
    <w:p>
      <w:pPr/>
      <w:r>
        <w:rPr>
          <w:lang w:val="en_US" w:bidi="en_US"/>
        </w:rPr>
      </w:r>
      <w:r>
        <w:rPr>
          <w:lang w:val="en_US" w:bidi="en_US"/>
        </w:rPr>
        <w:t>solemn promise</w:t>
      </w:r>
      <w:r>
        <w:rPr>
          <w:lang w:val="en_US" w:bidi="en_US"/>
        </w:rPr>
      </w:r>
      <w:r>
        <w:rPr>
          <w:lang w:val="en_US" w:bidi="en_US"/>
        </w:rPr>
      </w:r>
    </w:p>
    <w:p>
      <w:pPr/>
      <w:r>
        <w:rPr>
          <w:lang w:val="en_US" w:bidi="en_US"/>
        </w:rPr>
      </w:r>
    </w:p>
    <w:p>
      <w:pPr>
        <w:pStyle w:val="Heading2"/>
      </w:pPr>
      <w:r>
        <w:rPr>
          <w:lang w:val="en_US" w:bidi="en_US"/>
        </w:rPr>
        <w:t>Luke 1:74</w:t>
      </w:r>
      <w:r>
        <w:rPr>
          <w:lang w:val="en_US" w:bidi="en_US"/>
        </w:rPr>
      </w:r>
    </w:p>
    <w:p>
      <w:pPr>
        <w:pStyle w:val="Heading4"/>
      </w:pPr>
      <w:r>
        <w:rPr>
          <w:lang w:val="en_US" w:bidi="en_US"/>
        </w:rPr>
        <w:t>Section 1:67–80: Zechariah prophesied and praised God</w:t>
      </w:r>
    </w:p>
    <w:p>
      <w:pPr/>
      <w:r>
        <w:rPr>
          <w:lang w:val="en_US" w:bidi="en_US"/>
        </w:rPr>
      </w:r>
      <w:r>
        <w:rPr>
          <w:lang w:val="en_US" w:bidi="en_US"/>
        </w:rP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pPr/>
      <w:r>
        <w:rPr>
          <w:lang w:val="en_US" w:bidi="en_US"/>
        </w:rPr>
      </w:r>
      <w:r>
        <w:rPr>
          <w:lang w:val="en_US" w:bidi="en_US"/>
        </w:rP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pPr/>
      <w:r>
        <w:rPr>
          <w:lang w:val="en_US" w:bidi="en_US"/>
        </w:rPr>
      </w:r>
      <w:r>
        <w:rPr>
          <w:lang w:val="en_US" w:bidi="en_US"/>
        </w:rP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pPr/>
      <w:r>
        <w:rPr>
          <w:lang w:val="en_US" w:bidi="en_US"/>
        </w:rPr>
      </w:r>
      <w:r>
        <w:rPr>
          <w:lang w:val="en_US" w:bidi="en_US"/>
        </w:rP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pPr/>
      <w:r>
        <w:rPr>
          <w:lang w:val="en_US" w:bidi="en_US"/>
        </w:rPr>
      </w:r>
      <w:r>
        <w:rPr>
          <w:lang w:val="en_US" w:bidi="en_US"/>
        </w:rP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pPr/>
      <w:r>
        <w:rPr>
          <w:lang w:val="en_US" w:bidi="en_US"/>
        </w:rPr>
      </w:r>
      <w:r>
        <w:rPr>
          <w:vertAlign w:val="superscript"/>
          <w:lang w:val="en_US" w:bidi="en_US"/>
        </w:rPr>
        <w:t>68a</w:t>
      </w:r>
      <w:r>
        <w:rPr>
          <w:lang w:val="en_US" w:bidi="en_US"/>
        </w:rPr>
        <w:t>Praise be to the Lord the God of Israel!</w:t>
      </w:r>
    </w:p>
    <w:p>
      <w:pPr/>
      <w:r>
        <w:rPr>
          <w:lang w:val="en_US" w:bidi="en_US"/>
        </w:rPr>
      </w:r>
      <w:r>
        <w:rPr>
          <w:vertAlign w:val="superscript"/>
          <w:lang w:val="en_US" w:bidi="en_US"/>
        </w:rPr>
        <w:t>73</w:t>
      </w:r>
      <w:r>
        <w:rPr>
          <w:lang w:val="en_US" w:bidi="en_US"/>
        </w:rPr>
        <w:t>Long ago he swore an oath to our father Abraham.</w:t>
      </w:r>
    </w:p>
    <w:p>
      <w:pPr/>
      <w:r>
        <w:rPr>
          <w:lang w:val="en_US" w:bidi="en_US"/>
        </w:rPr>
      </w:r>
      <w:r>
        <w:rPr>
          <w:vertAlign w:val="superscript"/>
          <w:lang w:val="en_US" w:bidi="en_US"/>
        </w:rPr>
        <w:t>74a</w:t>
      </w:r>
      <w:r>
        <w:rPr>
          <w:lang w:val="en_US" w:bidi="en_US"/>
        </w:rPr>
        <w:t>He promised to rescue us from the hand of our enemies…</w:t>
      </w:r>
    </w:p>
    <w:p>
      <w:pPr/>
      <w:r>
        <w:rPr>
          <w:lang w:val="en_US" w:bidi="en_US"/>
        </w:rPr>
      </w:r>
      <w:r>
        <w:rPr>
          <w:lang w:val="en_US" w:bidi="en_US"/>
        </w:rPr>
        <w:t>Some other possible headings for this section are:</w:t>
      </w:r>
    </w:p>
    <w:p>
      <w:pPr/>
      <w:r>
        <w:rPr>
          <w:lang w:val="en_US" w:bidi="en_US"/>
        </w:rPr>
      </w:r>
      <w:r>
        <w:rPr>
          <w:lang w:val="en_US" w:bidi="en_US"/>
        </w:rPr>
        <w:t>Zechariah praised God and prophesied about John</w:t>
      </w:r>
    </w:p>
    <w:p>
      <w:pPr/>
      <w:r>
        <w:rPr>
          <w:lang w:val="en_US" w:bidi="en_US"/>
        </w:rPr>
      </w:r>
      <w:r>
        <w:rPr>
          <w:lang w:val="en_US" w:bidi="en_US"/>
        </w:rPr>
        <w:t>Zechariah praised God for the Messiah who would save Israel</w:t>
      </w:r>
    </w:p>
    <w:p>
      <w:pPr/>
      <w:r>
        <w:rPr>
          <w:lang w:val="en_US" w:bidi="en_US"/>
        </w:rPr>
      </w:r>
      <w:r>
        <w:rPr>
          <w:lang w:val="en_US" w:bidi="en_US"/>
        </w:rPr>
        <w:t>Zechariah’s prophecy</w:t>
      </w:r>
    </w:p>
    <w:p>
      <w:pPr/>
      <w:r>
        <w:rPr>
          <w:lang w:val="en_US" w:bidi="en_US"/>
        </w:rPr>
      </w:r>
      <w:r>
        <w:rPr>
          <w:lang w:val="en_US" w:bidi="en_US"/>
        </w:rPr>
        <w:t>Zechariah’s song of praise to God</w:t>
      </w:r>
    </w:p>
    <w:p>
      <w:pPr>
        <w:pStyle w:val="Heading5"/>
      </w:pPr>
      <w:r>
        <w:rPr>
          <w:lang w:val="en_US" w:bidi="en_US"/>
        </w:rPr>
        <w:t>1:74–75</w:t>
      </w:r>
    </w:p>
    <w:p>
      <w:pPr/>
      <w:r>
        <w:rPr>
          <w:lang w:val="en_US" w:bidi="en_US"/>
        </w:rPr>
      </w:r>
      <w:r>
        <w:rPr>
          <w:lang w:val="en_US" w:bidi="en_US"/>
        </w:rPr>
        <w:t>These verses tell some of the promises that God had made in his covenant with Abraham. God promised to deliver Abraham’s descendants from their enemies so that they could serve him without fear.</w:t>
      </w:r>
    </w:p>
    <w:p>
      <w:pPr/>
      <w:r>
        <w:rPr>
          <w:lang w:val="en_US" w:bidi="en_US"/>
        </w:rPr>
      </w:r>
      <w:r>
        <w:rPr>
          <w:lang w:val="en_US" w:bidi="en_US"/>
        </w:rPr>
        <w:t>In some languages, it may be more natural to put this oath in direct speech. For example:</w:t>
      </w:r>
    </w:p>
    <w:p>
      <w:pPr/>
      <w:r>
        <w:rPr>
          <w:lang w:val="en_US" w:bidi="en_US"/>
        </w:rPr>
      </w:r>
      <w:r>
        <w:rPr>
          <w:lang w:val="en_US" w:bidi="en_US"/>
        </w:rPr>
        <w:t>“I will rescue you from the hands of your enemies….”</w:t>
      </w:r>
    </w:p>
    <w:p>
      <w:pPr/>
      <w:r>
        <w:rPr>
          <w:lang w:val="en_US" w:bidi="en_US"/>
        </w:rPr>
      </w:r>
      <w:r>
        <w:rPr>
          <w:lang w:val="en_US" w:bidi="en_US"/>
        </w:rPr>
        <w:t>The second meaning line in the Display gives an example of this.</w:t>
      </w:r>
    </w:p>
    <w:p>
      <w:pPr>
        <w:pStyle w:val="Heading5"/>
      </w:pPr>
      <w:r>
        <w:rPr>
          <w:lang w:val="en_US" w:bidi="en_US"/>
        </w:rPr>
        <w:t>1:74a</w:t>
      </w:r>
    </w:p>
    <w:p>
      <w:pPr/>
      <w:r>
        <w:rPr>
          <w:lang w:val="en_US" w:bidi="en_US"/>
        </w:rPr>
      </w:r>
      <w:r>
        <w:rPr>
          <w:b/>
          <w:lang w:val="en_US" w:bidi="en_US"/>
        </w:rPr>
        <w:t>deliverance from hostile hands,</w:t>
      </w:r>
    </w:p>
    <w:p>
      <w:pPr>
        <w:pStyle w:val="ListBullet"/>
        <w:spacing w:line="240" w:lineRule="auto"/>
        <w:ind w:left="720"/>
      </w:pPr>
      <w:r>
        <w:rPr>
          <w:lang w:val="en_US" w:bidi="en_US"/>
        </w:rPr>
      </w:r>
      <w:r>
        <w:rPr>
          <w:lang w:val="en_US" w:bidi="en_US"/>
        </w:rPr>
        <w:t>that he would save us from the power of our</w:t>
      </w:r>
      <w:r>
        <w:rPr>
          <w:vertAlign w:val="superscript"/>
          <w:lang w:val="en_US" w:bidi="en_US"/>
        </w:rPr>
        <w:t>(incl)</w:t>
      </w:r>
      <w:r>
        <w:rPr>
          <w:lang w:val="en_US" w:bidi="en_US"/>
        </w:rPr>
        <w:t xml:space="preserve"> enemies</w:t>
      </w:r>
    </w:p>
    <w:p>
      <w:pPr>
        <w:pStyle w:val="ListBullet"/>
        <w:spacing w:line="240" w:lineRule="auto"/>
        <w:ind w:left="720"/>
      </w:pPr>
      <w:r>
        <w:rPr>
          <w:lang w:val="en_US" w:bidi="en_US"/>
        </w:rPr>
      </w:r>
      <w:r>
        <w:rPr>
          <w:lang w:val="en_US" w:bidi="en_US"/>
        </w:rPr>
        <w:t>‘I will rescue you</w:t>
      </w:r>
      <w:r>
        <w:rPr>
          <w:vertAlign w:val="superscript"/>
          <w:lang w:val="en_US" w:bidi="en_US"/>
        </w:rPr>
        <w:t>(plur)</w:t>
      </w:r>
      <w:r>
        <w:rPr>
          <w:lang w:val="en_US" w:bidi="en_US"/>
        </w:rPr>
        <w:t xml:space="preserve"> from your enemies,</w:t>
      </w:r>
    </w:p>
    <w:p>
      <w:pPr/>
      <w:r>
        <w:rPr>
          <w:lang w:val="en_US" w:bidi="en_US"/>
        </w:rPr>
      </w:r>
      <w:r>
        <w:rPr>
          <w:b/>
          <w:lang w:val="en_US" w:bidi="en_US"/>
        </w:rPr>
        <w:t>deliverance from hostile hands:</w:t>
      </w:r>
      <w:r>
        <w:rPr>
          <w:lang w:val="en_US" w:bidi="en_US"/>
        </w:rPr>
        <w:t xml:space="preserve"> As in 1:71b, the word </w:t>
      </w:r>
      <w:r>
        <w:rPr>
          <w:i/>
          <w:lang w:val="en_US" w:bidi="en_US"/>
        </w:rPr>
        <w:t>hands</w:t>
      </w:r>
      <w:r>
        <w:rPr>
          <w:lang w:val="en_US" w:bidi="en_US"/>
        </w:rPr>
        <w:t xml:space="preserve"> is used here in a figurative sense to mean “power, authority, and control.” Some other ways to translate </w:t>
      </w:r>
      <w:r>
        <w:rPr>
          <w:i/>
          <w:lang w:val="en_US" w:bidi="en_US"/>
        </w:rPr>
        <w:t>from hostile hands</w:t>
      </w:r>
      <w:r>
        <w:rPr>
          <w:lang w:val="en_US" w:bidi="en_US"/>
        </w:rPr>
        <w:t xml:space="preserve"> are:</w:t>
      </w:r>
    </w:p>
    <w:p>
      <w:pPr/>
      <w:r>
        <w:rPr>
          <w:lang w:val="en_US" w:bidi="en_US"/>
        </w:rPr>
      </w:r>
      <w:r>
        <w:rPr>
          <w:lang w:val="en_US" w:bidi="en_US"/>
        </w:rPr>
        <w:t>from the power/authority of our enemies</w:t>
      </w:r>
    </w:p>
    <w:p>
      <w:pPr/>
      <w:r>
        <w:rPr>
          <w:lang w:val="en_US" w:bidi="en_US"/>
        </w:rPr>
      </w:r>
      <w:r>
        <w:rPr>
          <w:lang w:val="en_US" w:bidi="en_US"/>
        </w:rPr>
        <w:t>from being under the control of our enemies</w:t>
      </w:r>
    </w:p>
    <w:p>
      <w:pPr/>
      <w:r>
        <w:rPr>
          <w:lang w:val="en_US" w:bidi="en_US"/>
        </w:rPr>
      </w:r>
      <w:r>
        <w:rPr>
          <w:lang w:val="en_US" w:bidi="en_US"/>
        </w:rPr>
        <w:t>See the note on “and from the hand of all who hate us” in 1:71a–b.</w:t>
      </w:r>
    </w:p>
    <w:p>
      <w:pPr>
        <w:pStyle w:val="Heading5"/>
      </w:pPr>
      <w:r>
        <w:rPr>
          <w:lang w:val="en_US" w:bidi="en_US"/>
        </w:rPr>
        <w:t>1:74b</w:t>
      </w:r>
    </w:p>
    <w:p>
      <w:pPr/>
      <w:r>
        <w:rPr>
          <w:lang w:val="en_US" w:bidi="en_US"/>
        </w:rPr>
      </w:r>
      <w:r>
        <w:rPr>
          <w:b/>
          <w:lang w:val="en_US" w:bidi="en_US"/>
        </w:rPr>
        <w:t>that we may serve Him without fear,</w:t>
      </w:r>
    </w:p>
    <w:p>
      <w:pPr>
        <w:pStyle w:val="ListBullet"/>
        <w:spacing w:line="240" w:lineRule="auto"/>
        <w:ind w:left="720"/>
      </w:pPr>
      <w:r>
        <w:rPr>
          <w:lang w:val="en_US" w:bidi="en_US"/>
        </w:rPr>
      </w:r>
      <w:r>
        <w:rPr>
          <w:lang w:val="en_US" w:bidi="en_US"/>
        </w:rPr>
        <w:t xml:space="preserve">so that we would be able to serve/worship him without being afraid </w:t>
      </w:r>
      <w:r>
        <w:rPr>
          <w:lang w:val="en_US" w:bidi="en_US"/>
        </w:rPr>
        <w:t>of them</w:t>
      </w:r>
      <w:r>
        <w:rPr>
          <w:lang w:val="en_US" w:bidi="en_US"/>
        </w:rPr>
        <w:t>.</w:t>
      </w:r>
    </w:p>
    <w:p>
      <w:pPr>
        <w:pStyle w:val="ListBullet"/>
        <w:spacing w:line="240" w:lineRule="auto"/>
        <w:ind w:left="720"/>
      </w:pPr>
      <w:r>
        <w:rPr>
          <w:lang w:val="en_US" w:bidi="en_US"/>
        </w:rPr>
      </w:r>
      <w:r>
        <w:rPr>
          <w:lang w:val="en_US" w:bidi="en_US"/>
        </w:rPr>
        <w:t>and as a result, you</w:t>
      </w:r>
      <w:r>
        <w:rPr>
          <w:vertAlign w:val="superscript"/>
          <w:lang w:val="en_US" w:bidi="en_US"/>
        </w:rPr>
        <w:t>(plur)</w:t>
      </w:r>
      <w:r>
        <w:rPr>
          <w:lang w:val="en_US" w:bidi="en_US"/>
        </w:rPr>
        <w:t xml:space="preserve"> will have nothing to fear. You can worship me</w:t>
      </w:r>
    </w:p>
    <w:p>
      <w:pPr/>
      <w:r>
        <w:rPr>
          <w:lang w:val="en_US" w:bidi="en_US"/>
        </w:rPr>
      </w:r>
      <w:r>
        <w:rPr>
          <w:b/>
          <w:lang w:val="en_US" w:bidi="en_US"/>
        </w:rPr>
        <w:t>that we may serve Him without fear:</w:t>
      </w:r>
      <w:r>
        <w:rPr>
          <w:lang w:val="en_US" w:bidi="en_US"/>
        </w:rPr>
        <w:t xml:space="preserve"> This clause gives the purpose of 1:74a. God promised to rescue the Israelites from their enemies (1:74a) so that they could serve him without fear (1:74b).</w:t>
      </w:r>
    </w:p>
    <w:p>
      <w:pPr/>
      <w:r>
        <w:rPr>
          <w:lang w:val="en_US" w:bidi="en_US"/>
        </w:rPr>
      </w:r>
      <w:r>
        <w:rPr>
          <w:lang w:val="en_US" w:bidi="en_US"/>
        </w:rPr>
        <w:t>God promised Abraham that he would allow the people of Israel to serve him without fear. They would not have to be afraid that their enemies would punish them for worshiping the true God.</w:t>
      </w:r>
    </w:p>
    <w:p>
      <w:pPr/>
      <w:r>
        <w:rPr>
          <w:lang w:val="en_US" w:bidi="en_US"/>
        </w:rPr>
      </w:r>
      <w:r>
        <w:rPr>
          <w:b/>
          <w:lang w:val="en_US" w:bidi="en_US"/>
        </w:rPr>
        <w:t>serve Him:</w:t>
      </w:r>
      <w:r>
        <w:rPr>
          <w:lang w:val="en_US" w:bidi="en_US"/>
        </w:rPr>
        <w:t xml:space="preserve"> The Greek verb that the BSB translates as </w:t>
      </w:r>
      <w:r>
        <w:rPr>
          <w:i/>
          <w:lang w:val="en_US" w:bidi="en_US"/>
        </w:rPr>
        <w:t>serve</w:t>
      </w:r>
      <w:r>
        <w:rPr>
          <w:lang w:val="en_US" w:bidi="en_US"/>
        </w:rPr>
        <w:t xml:space="preserve"> often means “to worship God by doing religious rites or duties.” However, in a Jewish context, serving or worshiping God involves being devoted to him and obeying him. It is not limited to acts only done at the temple or synagogue or on certain days. In some languages, the word for “worship” only means to do religious rites at special places or special times. If this is true in your language, you should probably translate this is in a broader way. For example:</w:t>
      </w:r>
    </w:p>
    <w:p>
      <w:pPr/>
      <w:r>
        <w:rPr>
          <w:lang w:val="en_US" w:bidi="en_US"/>
        </w:rPr>
      </w:r>
      <w:r>
        <w:rPr>
          <w:lang w:val="en_US" w:bidi="en_US"/>
        </w:rPr>
        <w:t>obey him</w:t>
      </w:r>
      <w:r>
        <w:rPr>
          <w:lang w:val="en_US" w:bidi="en_US"/>
        </w:rPr>
      </w:r>
      <w:r>
        <w:rPr>
          <w:lang w:val="en_US" w:bidi="en_US"/>
        </w:rPr>
      </w:r>
    </w:p>
    <w:p>
      <w:pPr/>
      <w:r>
        <w:rPr>
          <w:lang w:val="en_US" w:bidi="en_US"/>
        </w:rPr>
      </w:r>
    </w:p>
    <w:p>
      <w:pPr>
        <w:pStyle w:val="Heading2"/>
      </w:pPr>
      <w:r>
        <w:rPr>
          <w:lang w:val="en_US" w:bidi="en_US"/>
        </w:rPr>
        <w:t>Luke 1:75</w:t>
      </w:r>
      <w:r>
        <w:rPr>
          <w:lang w:val="en_US" w:bidi="en_US"/>
        </w:rPr>
      </w:r>
    </w:p>
    <w:p>
      <w:pPr>
        <w:pStyle w:val="Heading4"/>
      </w:pPr>
      <w:r>
        <w:rPr>
          <w:lang w:val="en_US" w:bidi="en_US"/>
        </w:rPr>
        <w:t>Section 1:67–80: Zechariah prophesied and praised God</w:t>
      </w:r>
    </w:p>
    <w:p>
      <w:pPr/>
      <w:r>
        <w:rPr>
          <w:lang w:val="en_US" w:bidi="en_US"/>
        </w:rPr>
      </w:r>
      <w:r>
        <w:rPr>
          <w:lang w:val="en_US" w:bidi="en_US"/>
        </w:rP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pPr/>
      <w:r>
        <w:rPr>
          <w:lang w:val="en_US" w:bidi="en_US"/>
        </w:rPr>
      </w:r>
      <w:r>
        <w:rPr>
          <w:lang w:val="en_US" w:bidi="en_US"/>
        </w:rP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pPr/>
      <w:r>
        <w:rPr>
          <w:lang w:val="en_US" w:bidi="en_US"/>
        </w:rPr>
      </w:r>
      <w:r>
        <w:rPr>
          <w:lang w:val="en_US" w:bidi="en_US"/>
        </w:rP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pPr/>
      <w:r>
        <w:rPr>
          <w:lang w:val="en_US" w:bidi="en_US"/>
        </w:rPr>
      </w:r>
      <w:r>
        <w:rPr>
          <w:lang w:val="en_US" w:bidi="en_US"/>
        </w:rP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pPr/>
      <w:r>
        <w:rPr>
          <w:lang w:val="en_US" w:bidi="en_US"/>
        </w:rPr>
      </w:r>
      <w:r>
        <w:rPr>
          <w:lang w:val="en_US" w:bidi="en_US"/>
        </w:rP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pPr/>
      <w:r>
        <w:rPr>
          <w:lang w:val="en_US" w:bidi="en_US"/>
        </w:rPr>
      </w:r>
      <w:r>
        <w:rPr>
          <w:vertAlign w:val="superscript"/>
          <w:lang w:val="en_US" w:bidi="en_US"/>
        </w:rPr>
        <w:t>68a</w:t>
      </w:r>
      <w:r>
        <w:rPr>
          <w:lang w:val="en_US" w:bidi="en_US"/>
        </w:rPr>
        <w:t>Praise be to the Lord the God of Israel!</w:t>
      </w:r>
    </w:p>
    <w:p>
      <w:pPr/>
      <w:r>
        <w:rPr>
          <w:lang w:val="en_US" w:bidi="en_US"/>
        </w:rPr>
      </w:r>
      <w:r>
        <w:rPr>
          <w:vertAlign w:val="superscript"/>
          <w:lang w:val="en_US" w:bidi="en_US"/>
        </w:rPr>
        <w:t>73</w:t>
      </w:r>
      <w:r>
        <w:rPr>
          <w:lang w:val="en_US" w:bidi="en_US"/>
        </w:rPr>
        <w:t>Long ago he swore an oath to our father Abraham.</w:t>
      </w:r>
    </w:p>
    <w:p>
      <w:pPr/>
      <w:r>
        <w:rPr>
          <w:lang w:val="en_US" w:bidi="en_US"/>
        </w:rPr>
      </w:r>
      <w:r>
        <w:rPr>
          <w:vertAlign w:val="superscript"/>
          <w:lang w:val="en_US" w:bidi="en_US"/>
        </w:rPr>
        <w:t>74a</w:t>
      </w:r>
      <w:r>
        <w:rPr>
          <w:lang w:val="en_US" w:bidi="en_US"/>
        </w:rPr>
        <w:t>He promised to rescue us from the hand of our enemies…</w:t>
      </w:r>
    </w:p>
    <w:p>
      <w:pPr/>
      <w:r>
        <w:rPr>
          <w:lang w:val="en_US" w:bidi="en_US"/>
        </w:rPr>
      </w:r>
      <w:r>
        <w:rPr>
          <w:lang w:val="en_US" w:bidi="en_US"/>
        </w:rPr>
        <w:t>Some other possible headings for this section are:</w:t>
      </w:r>
    </w:p>
    <w:p>
      <w:pPr/>
      <w:r>
        <w:rPr>
          <w:lang w:val="en_US" w:bidi="en_US"/>
        </w:rPr>
      </w:r>
      <w:r>
        <w:rPr>
          <w:lang w:val="en_US" w:bidi="en_US"/>
        </w:rPr>
        <w:t>Zechariah praised God and prophesied about John</w:t>
      </w:r>
    </w:p>
    <w:p>
      <w:pPr/>
      <w:r>
        <w:rPr>
          <w:lang w:val="en_US" w:bidi="en_US"/>
        </w:rPr>
      </w:r>
      <w:r>
        <w:rPr>
          <w:lang w:val="en_US" w:bidi="en_US"/>
        </w:rPr>
        <w:t>Zechariah praised God for the Messiah who would save Israel</w:t>
      </w:r>
    </w:p>
    <w:p>
      <w:pPr/>
      <w:r>
        <w:rPr>
          <w:lang w:val="en_US" w:bidi="en_US"/>
        </w:rPr>
      </w:r>
      <w:r>
        <w:rPr>
          <w:lang w:val="en_US" w:bidi="en_US"/>
        </w:rPr>
        <w:t>Zechariah’s prophecy</w:t>
      </w:r>
    </w:p>
    <w:p>
      <w:pPr/>
      <w:r>
        <w:rPr>
          <w:lang w:val="en_US" w:bidi="en_US"/>
        </w:rPr>
      </w:r>
      <w:r>
        <w:rPr>
          <w:lang w:val="en_US" w:bidi="en_US"/>
        </w:rPr>
        <w:t>Zechariah’s song of praise to God</w:t>
      </w:r>
    </w:p>
    <w:p>
      <w:pPr>
        <w:pStyle w:val="Heading5"/>
      </w:pPr>
      <w:r>
        <w:rPr>
          <w:lang w:val="en_US" w:bidi="en_US"/>
        </w:rPr>
        <w:t>1:75</w:t>
      </w:r>
    </w:p>
    <w:p>
      <w:pPr/>
      <w:r>
        <w:rPr>
          <w:lang w:val="en_US" w:bidi="en_US"/>
        </w:rPr>
      </w:r>
      <w:r>
        <w:rPr>
          <w:b/>
          <w:lang w:val="en_US" w:bidi="en_US"/>
        </w:rPr>
        <w:t>in holiness and righteousness before Him all the days of our lives.</w:t>
      </w:r>
    </w:p>
    <w:p>
      <w:pPr>
        <w:pStyle w:val="ListBullet"/>
        <w:spacing w:line="240" w:lineRule="auto"/>
        <w:ind w:left="720"/>
      </w:pPr>
      <w:r>
        <w:rPr>
          <w:lang w:val="en_US" w:bidi="en_US"/>
        </w:rPr>
      </w:r>
      <w:r>
        <w:rPr>
          <w:lang w:val="en_US" w:bidi="en_US"/>
        </w:rPr>
        <w:t>We would not fear</w:t>
      </w:r>
      <w:r>
        <w:rPr>
          <w:lang w:val="en_US" w:bidi="en_US"/>
        </w:rPr>
        <w:t xml:space="preserve"> to be faithful to God and obedient to his laws as we live in his presence all our</w:t>
      </w:r>
      <w:r>
        <w:rPr>
          <w:vertAlign w:val="superscript"/>
          <w:lang w:val="en_US" w:bidi="en_US"/>
        </w:rPr>
        <w:t>(incl)</w:t>
      </w:r>
      <w:r>
        <w:rPr>
          <w:lang w:val="en_US" w:bidi="en_US"/>
        </w:rPr>
        <w:t xml:space="preserve"> lives.</w:t>
      </w:r>
    </w:p>
    <w:p>
      <w:pPr>
        <w:pStyle w:val="ListBullet"/>
        <w:spacing w:line="240" w:lineRule="auto"/>
        <w:ind w:left="720"/>
      </w:pPr>
      <w:r>
        <w:rPr>
          <w:lang w:val="en_US" w:bidi="en_US"/>
        </w:rPr>
      </w:r>
      <w:r>
        <w:rPr>
          <w:lang w:val="en_US" w:bidi="en_US"/>
        </w:rPr>
        <w:t>as people who are living good, godly lives in my presence as long as you</w:t>
      </w:r>
      <w:r>
        <w:rPr>
          <w:vertAlign w:val="superscript"/>
          <w:lang w:val="en_US" w:bidi="en_US"/>
        </w:rPr>
        <w:t>(plur)</w:t>
      </w:r>
      <w:r>
        <w:rPr>
          <w:lang w:val="en_US" w:bidi="en_US"/>
        </w:rPr>
        <w:t xml:space="preserve"> live.’</w:t>
      </w:r>
    </w:p>
    <w:p>
      <w:pPr>
        <w:pStyle w:val="ListBullet"/>
        <w:spacing w:line="240" w:lineRule="auto"/>
        <w:ind w:left="720"/>
      </w:pPr>
      <w:r>
        <w:rPr>
          <w:lang w:val="en_US" w:bidi="en_US"/>
        </w:rPr>
      </w:r>
      <w:r>
        <w:rPr>
          <w:lang w:val="en_US" w:bidi="en_US"/>
        </w:rPr>
        <w:t>and live in a way that pleases me for as long as you</w:t>
      </w:r>
      <w:r>
        <w:rPr>
          <w:vertAlign w:val="superscript"/>
          <w:lang w:val="en_US" w:bidi="en_US"/>
        </w:rPr>
        <w:t>(plur)</w:t>
      </w:r>
      <w:r>
        <w:rPr>
          <w:lang w:val="en_US" w:bidi="en_US"/>
        </w:rPr>
        <w:t xml:space="preserve"> live.’</w:t>
      </w:r>
    </w:p>
    <w:p>
      <w:pPr/>
      <w:r>
        <w:rPr>
          <w:lang w:val="en_US" w:bidi="en_US"/>
        </w:rPr>
      </w:r>
      <w:r>
        <w:rPr>
          <w:b/>
          <w:lang w:val="en_US" w:bidi="en_US"/>
        </w:rPr>
        <w:t>in holiness and righteousness:</w:t>
      </w:r>
      <w:r>
        <w:rPr>
          <w:lang w:val="en_US" w:bidi="en_US"/>
        </w:rPr>
        <w:t xml:space="preserve"> By delivering Israel from their enemies, God would enable the people of Israel to worship/serve him in a way that was holy and righteous. The phrase </w:t>
      </w:r>
      <w:r>
        <w:rPr>
          <w:i/>
          <w:lang w:val="en_US" w:bidi="en_US"/>
        </w:rPr>
        <w:t>in holiness and righteousness</w:t>
      </w:r>
      <w:r>
        <w:rPr>
          <w:lang w:val="en_US" w:bidi="en_US"/>
        </w:rPr>
        <w:t xml:space="preserve"> describes the character they should have as they worship/serve God. It does not just describe the manner in which they were to worship or serve him. The worshiper himself should be holy and righteous. Some ways to translate this are:</w:t>
      </w:r>
    </w:p>
    <w:p>
      <w:pPr/>
      <w:r>
        <w:rPr>
          <w:lang w:val="en_US" w:bidi="en_US"/>
        </w:rPr>
      </w:r>
      <w:r>
        <w:rPr>
          <w:u w:val="single"/>
          <w:lang w:val="en_US" w:bidi="en_US"/>
        </w:rPr>
        <w:t>while being</w:t>
      </w:r>
      <w:r>
        <w:rPr>
          <w:lang w:val="en_US" w:bidi="en_US"/>
        </w:rPr>
        <w:t xml:space="preserve"> holy and righteous</w:t>
      </w:r>
    </w:p>
    <w:p>
      <w:pPr/>
      <w:r>
        <w:rPr>
          <w:lang w:val="en_US" w:bidi="en_US"/>
        </w:rPr>
      </w:r>
      <w:r>
        <w:rPr>
          <w:u w:val="single"/>
          <w:lang w:val="en_US" w:bidi="en_US"/>
        </w:rPr>
        <w:t>as people who are</w:t>
      </w:r>
      <w:r>
        <w:rPr>
          <w:lang w:val="en_US" w:bidi="en_US"/>
        </w:rPr>
        <w:t xml:space="preserve"> holy and righteous</w:t>
      </w:r>
    </w:p>
    <w:p>
      <w:pPr/>
      <w:r>
        <w:rPr>
          <w:lang w:val="en_US" w:bidi="en_US"/>
        </w:rPr>
      </w:r>
      <w:r>
        <w:rPr>
          <w:u w:val="single"/>
          <w:lang w:val="en_US" w:bidi="en_US"/>
        </w:rPr>
        <w:t>while we live in a way that is</w:t>
      </w:r>
      <w:r>
        <w:rPr>
          <w:lang w:val="en_US" w:bidi="en_US"/>
        </w:rPr>
        <w:t xml:space="preserve"> holy and righteous</w:t>
      </w:r>
    </w:p>
    <w:p>
      <w:pPr/>
      <w:r>
        <w:rPr>
          <w:lang w:val="en_US" w:bidi="en_US"/>
        </w:rPr>
      </w:r>
      <w:r>
        <w:rPr>
          <w:b/>
          <w:lang w:val="en_US" w:bidi="en_US"/>
        </w:rPr>
        <w:t>holiness and righteousness:</w:t>
      </w:r>
      <w:r>
        <w:rPr>
          <w:lang w:val="en_US" w:bidi="en_US"/>
        </w:rPr>
        <w:t xml:space="preserve"> The Greek words that are translated here as </w:t>
      </w:r>
      <w:r>
        <w:rPr>
          <w:i/>
          <w:lang w:val="en_US" w:bidi="en_US"/>
        </w:rPr>
        <w:t>holiness</w:t>
      </w:r>
      <w:r>
        <w:rPr>
          <w:lang w:val="en_US" w:bidi="en_US"/>
        </w:rPr>
        <w:t xml:space="preserve"> and </w:t>
      </w:r>
      <w:r>
        <w:rPr>
          <w:i/>
          <w:lang w:val="en_US" w:bidi="en_US"/>
        </w:rPr>
        <w:t>righteousness</w:t>
      </w:r>
      <w:r>
        <w:rPr>
          <w:lang w:val="en_US" w:bidi="en_US"/>
        </w:rPr>
        <w:t xml:space="preserve"> are similar in meaning.</w:t>
      </w:r>
    </w:p>
    <w:p>
      <w:pPr/>
      <w:r>
        <w:rPr>
          <w:lang w:val="en_US" w:bidi="en_US"/>
        </w:rPr>
      </w:r>
      <w:r>
        <w:rPr>
          <w:lang w:val="en_US" w:bidi="en_US"/>
        </w:rPr>
        <w:t xml:space="preserve">The word for </w:t>
      </w:r>
      <w:r>
        <w:rPr>
          <w:i/>
          <w:lang w:val="en_US" w:bidi="en_US"/>
        </w:rPr>
        <w:t>holiness</w:t>
      </w:r>
      <w:r>
        <w:rPr>
          <w:lang w:val="en_US" w:bidi="en_US"/>
        </w:rPr>
        <w:t xml:space="preserve"> here is a different word from the one that is translated as “holy” in other verses in this chapter. It refers to being pious or faithful to God. It means to do what pleases God and to avoid doing what displeases him. Some other ways to translate this word are:</w:t>
      </w:r>
    </w:p>
    <w:p>
      <w:pPr/>
      <w:r>
        <w:rPr>
          <w:lang w:val="en_US" w:bidi="en_US"/>
        </w:rPr>
      </w:r>
      <w:r>
        <w:rPr>
          <w:lang w:val="en_US" w:bidi="en_US"/>
        </w:rPr>
        <w:t>piety</w:t>
      </w:r>
    </w:p>
    <w:p>
      <w:pPr/>
      <w:r>
        <w:rPr>
          <w:lang w:val="en_US" w:bidi="en_US"/>
        </w:rPr>
      </w:r>
      <w:r>
        <w:rPr>
          <w:lang w:val="en_US" w:bidi="en_US"/>
        </w:rPr>
        <w:t>living in a way that is pleasing to God</w:t>
      </w:r>
    </w:p>
    <w:p>
      <w:pPr/>
      <w:r>
        <w:rPr>
          <w:lang w:val="en_US" w:bidi="en_US"/>
        </w:rPr>
      </w:r>
      <w:r>
        <w:rPr>
          <w:lang w:val="en_US" w:bidi="en_US"/>
        </w:rPr>
        <w:t>faithfulness to God</w:t>
      </w:r>
    </w:p>
    <w:p>
      <w:pPr/>
      <w:r>
        <w:rPr>
          <w:lang w:val="en_US" w:bidi="en_US"/>
        </w:rPr>
      </w:r>
      <w:r>
        <w:rPr>
          <w:lang w:val="en_US" w:bidi="en_US"/>
        </w:rPr>
        <w:t xml:space="preserve">The word for </w:t>
      </w:r>
      <w:r>
        <w:rPr>
          <w:i/>
          <w:lang w:val="en_US" w:bidi="en_US"/>
        </w:rPr>
        <w:t>righteousness</w:t>
      </w:r>
      <w:r>
        <w:rPr>
          <w:lang w:val="en_US" w:bidi="en_US"/>
        </w:rPr>
        <w:t xml:space="preserve"> refers to doing things that are good and right. It means to act in a way that agrees with God’s standards and laws.</w:t>
      </w:r>
    </w:p>
    <w:p>
      <w:pPr/>
      <w:r>
        <w:rPr>
          <w:lang w:val="en_US" w:bidi="en_US"/>
        </w:rPr>
      </w:r>
      <w:r>
        <w:rPr>
          <w:lang w:val="en_US" w:bidi="en_US"/>
        </w:rPr>
        <w:t>Some ways to translate this are:</w:t>
      </w:r>
    </w:p>
    <w:p>
      <w:pPr/>
      <w:r>
        <w:rPr>
          <w:lang w:val="en_US" w:bidi="en_US"/>
        </w:rPr>
      </w:r>
      <w:r>
        <w:rPr>
          <w:lang w:val="en_US" w:bidi="en_US"/>
        </w:rPr>
        <w:t>doing what is right</w:t>
      </w:r>
    </w:p>
    <w:p>
      <w:pPr/>
      <w:r>
        <w:rPr>
          <w:lang w:val="en_US" w:bidi="en_US"/>
        </w:rPr>
      </w:r>
      <w:r>
        <w:rPr>
          <w:lang w:val="en_US" w:bidi="en_US"/>
        </w:rPr>
        <w:t>obedience to God’s standards/laws</w:t>
      </w:r>
    </w:p>
    <w:p>
      <w:pPr/>
      <w:r>
        <w:rPr>
          <w:lang w:val="en_US" w:bidi="en_US"/>
        </w:rPr>
      </w:r>
      <w:r>
        <w:rPr>
          <w:lang w:val="en_US" w:bidi="en_US"/>
        </w:rPr>
        <w:t xml:space="preserve">Some ways to translate </w:t>
      </w:r>
      <w:r>
        <w:rPr>
          <w:i/>
          <w:lang w:val="en_US" w:bidi="en_US"/>
        </w:rPr>
        <w:t>holiness</w:t>
      </w:r>
      <w:r>
        <w:rPr>
          <w:lang w:val="en_US" w:bidi="en_US"/>
        </w:rPr>
        <w:t xml:space="preserve"> and </w:t>
      </w:r>
      <w:r>
        <w:rPr>
          <w:i/>
          <w:lang w:val="en_US" w:bidi="en_US"/>
        </w:rPr>
        <w:t>righteousness</w:t>
      </w:r>
      <w:r>
        <w:rPr>
          <w:lang w:val="en_US" w:bidi="en_US"/>
        </w:rPr>
        <w:t xml:space="preserve"> here are:</w:t>
      </w:r>
    </w:p>
    <w:p>
      <w:pPr/>
      <w:r>
        <w:rPr>
          <w:lang w:val="en_US" w:bidi="en_US"/>
        </w:rPr>
      </w:r>
      <w:r>
        <w:rPr>
          <w:lang w:val="en_US" w:bidi="en_US"/>
        </w:rPr>
        <w:t>doing what is right and living in a way that is pleasing to God</w:t>
      </w:r>
    </w:p>
    <w:p>
      <w:pPr/>
      <w:r>
        <w:rPr>
          <w:lang w:val="en_US" w:bidi="en_US"/>
        </w:rPr>
      </w:r>
      <w:r>
        <w:rPr>
          <w:lang w:val="en_US" w:bidi="en_US"/>
        </w:rPr>
        <w:t>being faithful to God and following his principles</w:t>
      </w:r>
    </w:p>
    <w:p>
      <w:pPr/>
      <w:r>
        <w:rPr>
          <w:lang w:val="en_US" w:bidi="en_US"/>
        </w:rPr>
      </w:r>
      <w:r>
        <w:rPr>
          <w:b/>
          <w:lang w:val="en_US" w:bidi="en_US"/>
        </w:rPr>
        <w:t>before Him:</w:t>
      </w:r>
      <w:r>
        <w:rPr>
          <w:lang w:val="en_US" w:bidi="en_US"/>
        </w:rPr>
        <w:t xml:space="preserve"> The phrase </w:t>
      </w:r>
      <w:r>
        <w:rPr>
          <w:i/>
          <w:lang w:val="en_US" w:bidi="en_US"/>
        </w:rPr>
        <w:t>before Him</w:t>
      </w:r>
      <w:r>
        <w:rPr>
          <w:lang w:val="en_US" w:bidi="en_US"/>
        </w:rPr>
        <w:t xml:space="preserve"> means “in the presence of God.” People should act in a holy and righteous way because they know that God is present with them. God knows everything that they think and do.</w:t>
      </w:r>
    </w:p>
    <w:p>
      <w:pPr/>
      <w:r>
        <w:rPr>
          <w:lang w:val="en_US" w:bidi="en_US"/>
        </w:rPr>
      </w:r>
      <w:r>
        <w:rPr>
          <w:b/>
          <w:lang w:val="en_US" w:bidi="en_US"/>
        </w:rPr>
        <w:t>all the days of our lives:</w:t>
      </w:r>
      <w:r>
        <w:rPr>
          <w:lang w:val="en_US" w:bidi="en_US"/>
        </w:rPr>
        <w:t xml:space="preserve"> The phrase that the BSB translates as </w:t>
      </w:r>
      <w:r>
        <w:rPr>
          <w:i/>
          <w:lang w:val="en_US" w:bidi="en_US"/>
        </w:rPr>
        <w:t>all the days of our lives</w:t>
      </w:r>
      <w:r>
        <w:rPr>
          <w:lang w:val="en_US" w:bidi="en_US"/>
        </w:rPr>
        <w:t xml:space="preserve"> means “for as long as we live.”</w:t>
      </w:r>
    </w:p>
    <w:p>
      <w:pPr>
        <w:pStyle w:val="Heading6"/>
      </w:pPr>
      <w:r>
        <w:rPr>
          <w:b/>
          <w:lang w:val="en_US" w:bidi="en_US"/>
        </w:rPr>
        <w:t>General Comment on 1:74–75</w:t>
      </w:r>
    </w:p>
    <w:p>
      <w:pPr/>
      <w:r>
        <w:rPr>
          <w:lang w:val="en_US" w:bidi="en_US"/>
        </w:rPr>
      </w:r>
      <w:r>
        <w:rPr>
          <w:lang w:val="en_US" w:bidi="en_US"/>
        </w:rPr>
        <w:t>The parts of 1:74–75 can be expressed in different orders. Chose an order that is natural in your language. Some examples are:</w:t>
      </w:r>
    </w:p>
    <w:p>
      <w:pPr/>
      <w:r>
        <w:rPr>
          <w:lang w:val="en_US" w:bidi="en_US"/>
        </w:rPr>
      </w:r>
      <w:r>
        <w:rPr>
          <w:vertAlign w:val="superscript"/>
          <w:lang w:val="en_US" w:bidi="en_US"/>
        </w:rPr>
        <w:t>74a</w:t>
      </w:r>
      <w:r>
        <w:rPr>
          <w:lang w:val="en_US" w:bidi="en_US"/>
        </w:rPr>
        <w:t xml:space="preserve"> </w:t>
      </w:r>
      <w:r>
        <w:rPr>
          <w:lang w:val="en_US" w:bidi="en_US"/>
        </w:rPr>
        <w:t>He swore that</w:t>
      </w:r>
      <w:r>
        <w:rPr>
          <w:lang w:val="en_US" w:bidi="en_US"/>
        </w:rPr>
        <w:t xml:space="preserve"> he would deliver us from the power of our enemies. </w:t>
      </w:r>
      <w:r>
        <w:rPr>
          <w:vertAlign w:val="superscript"/>
          <w:lang w:val="en_US" w:bidi="en_US"/>
        </w:rPr>
        <w:t>74b</w:t>
      </w:r>
      <w:r>
        <w:rPr>
          <w:lang w:val="en_US" w:bidi="en_US"/>
        </w:rPr>
        <w:t xml:space="preserve">Then we would be able to worship him </w:t>
      </w:r>
      <w:r>
        <w:rPr>
          <w:vertAlign w:val="superscript"/>
          <w:lang w:val="en_US" w:bidi="en_US"/>
        </w:rPr>
        <w:t>75</w:t>
      </w:r>
      <w:r>
        <w:rPr>
          <w:lang w:val="en_US" w:bidi="en_US"/>
        </w:rPr>
        <w:t xml:space="preserve">all our lives </w:t>
      </w:r>
      <w:r>
        <w:rPr>
          <w:vertAlign w:val="superscript"/>
          <w:lang w:val="en_US" w:bidi="en_US"/>
        </w:rPr>
        <w:t>74b</w:t>
      </w:r>
      <w:r>
        <w:rPr>
          <w:lang w:val="en_US" w:bidi="en_US"/>
        </w:rPr>
        <w:t xml:space="preserve">without any fear </w:t>
      </w:r>
      <w:r>
        <w:rPr>
          <w:vertAlign w:val="superscript"/>
          <w:lang w:val="en_US" w:bidi="en_US"/>
        </w:rPr>
        <w:t>75</w:t>
      </w:r>
      <w:r>
        <w:rPr>
          <w:lang w:val="en_US" w:bidi="en_US"/>
        </w:rPr>
        <w:t>and in a way that is pious and right in his presence.</w:t>
      </w:r>
    </w:p>
    <w:p>
      <w:pPr/>
      <w:r>
        <w:rPr>
          <w:lang w:val="en_US" w:bidi="en_US"/>
        </w:rPr>
      </w:r>
      <w:r>
        <w:rPr>
          <w:vertAlign w:val="superscript"/>
          <w:lang w:val="en_US" w:bidi="en_US"/>
        </w:rPr>
        <w:t>74b</w:t>
      </w:r>
      <w:r>
        <w:rPr>
          <w:lang w:val="en_US" w:bidi="en_US"/>
        </w:rPr>
        <w:t xml:space="preserve"> </w:t>
      </w:r>
      <w:r>
        <w:rPr>
          <w:lang w:val="en_US" w:bidi="en_US"/>
        </w:rPr>
        <w:t>He wanted/purposed</w:t>
      </w:r>
      <w:r>
        <w:rPr>
          <w:lang w:val="en_US" w:bidi="en_US"/>
        </w:rPr>
        <w:t xml:space="preserve"> to enable us to serve him </w:t>
      </w:r>
      <w:r>
        <w:rPr>
          <w:vertAlign w:val="superscript"/>
          <w:lang w:val="en_US" w:bidi="en_US"/>
        </w:rPr>
        <w:t>75</w:t>
      </w:r>
      <w:r>
        <w:rPr>
          <w:lang w:val="en_US" w:bidi="en_US"/>
        </w:rPr>
        <w:t xml:space="preserve">in his presence </w:t>
      </w:r>
      <w:r>
        <w:rPr>
          <w:vertAlign w:val="superscript"/>
          <w:lang w:val="en_US" w:bidi="en_US"/>
        </w:rPr>
        <w:t>74b</w:t>
      </w:r>
      <w:r>
        <w:rPr>
          <w:lang w:val="en_US" w:bidi="en_US"/>
        </w:rPr>
        <w:t xml:space="preserve">without fear. </w:t>
      </w:r>
      <w:r>
        <w:rPr>
          <w:vertAlign w:val="superscript"/>
          <w:lang w:val="en_US" w:bidi="en_US"/>
        </w:rPr>
        <w:t>75</w:t>
      </w:r>
      <w:r>
        <w:rPr>
          <w:lang w:val="en_US" w:bidi="en_US"/>
        </w:rPr>
        <w:t>He wanted us to be free</w:t>
      </w:r>
      <w:r>
        <w:rPr>
          <w:lang w:val="en_US" w:bidi="en_US"/>
        </w:rPr>
        <w:t xml:space="preserve"> to be faithful to him and obedient to his law as long as we live. </w:t>
      </w:r>
      <w:r>
        <w:rPr>
          <w:vertAlign w:val="superscript"/>
          <w:lang w:val="en_US" w:bidi="en_US"/>
        </w:rPr>
        <w:t>74a</w:t>
      </w:r>
      <w:r>
        <w:rPr>
          <w:lang w:val="en_US" w:bidi="en_US"/>
        </w:rPr>
        <w:t xml:space="preserve">So </w:t>
      </w:r>
      <w:r>
        <w:rPr>
          <w:lang w:val="en_US" w:bidi="en_US"/>
        </w:rPr>
        <w:t>he promised</w:t>
      </w:r>
      <w:r>
        <w:rPr>
          <w:lang w:val="en_US" w:bidi="en_US"/>
        </w:rPr>
        <w:t xml:space="preserve"> to rescue us from the hand of our enemies </w:t>
      </w:r>
      <w:r>
        <w:rPr>
          <w:vertAlign w:val="superscript"/>
          <w:lang w:val="en_US" w:bidi="en_US"/>
        </w:rPr>
        <w:t>74b–75</w:t>
      </w:r>
      <w:r>
        <w:rPr>
          <w:lang w:val="en_US" w:bidi="en_US"/>
        </w:rPr>
        <w:t>so we could do that</w:t>
      </w:r>
      <w:r>
        <w:rPr>
          <w:lang w:val="en_US" w:bidi="en_US"/>
        </w:rPr>
        <w:t>.</w:t>
      </w:r>
      <w:r>
        <w:rPr>
          <w:lang w:val="en_US" w:bidi="en_US"/>
        </w:rPr>
      </w:r>
      <w:r>
        <w:rPr>
          <w:lang w:val="en_US" w:bidi="en_US"/>
        </w:rPr>
      </w:r>
    </w:p>
    <w:p>
      <w:pPr/>
      <w:r>
        <w:rPr>
          <w:lang w:val="en_US" w:bidi="en_US"/>
        </w:rPr>
      </w:r>
    </w:p>
    <w:p>
      <w:pPr>
        <w:pStyle w:val="Heading2"/>
      </w:pPr>
      <w:r>
        <w:rPr>
          <w:lang w:val="en_US" w:bidi="en_US"/>
        </w:rPr>
        <w:t>Luke 1:76</w:t>
      </w:r>
      <w:r>
        <w:rPr>
          <w:lang w:val="en_US" w:bidi="en_US"/>
        </w:rPr>
      </w:r>
    </w:p>
    <w:p>
      <w:pPr>
        <w:pStyle w:val="Heading4"/>
      </w:pPr>
      <w:r>
        <w:rPr>
          <w:lang w:val="en_US" w:bidi="en_US"/>
        </w:rPr>
        <w:t>Section 1:67–80: Zechariah prophesied and praised God</w:t>
      </w:r>
    </w:p>
    <w:p>
      <w:pPr/>
      <w:r>
        <w:rPr>
          <w:lang w:val="en_US" w:bidi="en_US"/>
        </w:rPr>
      </w:r>
      <w:r>
        <w:rPr>
          <w:lang w:val="en_US" w:bidi="en_US"/>
        </w:rP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pPr/>
      <w:r>
        <w:rPr>
          <w:lang w:val="en_US" w:bidi="en_US"/>
        </w:rPr>
      </w:r>
      <w:r>
        <w:rPr>
          <w:lang w:val="en_US" w:bidi="en_US"/>
        </w:rP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pPr/>
      <w:r>
        <w:rPr>
          <w:lang w:val="en_US" w:bidi="en_US"/>
        </w:rPr>
      </w:r>
      <w:r>
        <w:rPr>
          <w:lang w:val="en_US" w:bidi="en_US"/>
        </w:rP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pPr/>
      <w:r>
        <w:rPr>
          <w:lang w:val="en_US" w:bidi="en_US"/>
        </w:rPr>
      </w:r>
      <w:r>
        <w:rPr>
          <w:lang w:val="en_US" w:bidi="en_US"/>
        </w:rP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pPr/>
      <w:r>
        <w:rPr>
          <w:lang w:val="en_US" w:bidi="en_US"/>
        </w:rPr>
      </w:r>
      <w:r>
        <w:rPr>
          <w:lang w:val="en_US" w:bidi="en_US"/>
        </w:rP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pPr/>
      <w:r>
        <w:rPr>
          <w:lang w:val="en_US" w:bidi="en_US"/>
        </w:rPr>
      </w:r>
      <w:r>
        <w:rPr>
          <w:vertAlign w:val="superscript"/>
          <w:lang w:val="en_US" w:bidi="en_US"/>
        </w:rPr>
        <w:t>68a</w:t>
      </w:r>
      <w:r>
        <w:rPr>
          <w:lang w:val="en_US" w:bidi="en_US"/>
        </w:rPr>
        <w:t>Praise be to the Lord the God of Israel!</w:t>
      </w:r>
    </w:p>
    <w:p>
      <w:pPr/>
      <w:r>
        <w:rPr>
          <w:lang w:val="en_US" w:bidi="en_US"/>
        </w:rPr>
      </w:r>
      <w:r>
        <w:rPr>
          <w:vertAlign w:val="superscript"/>
          <w:lang w:val="en_US" w:bidi="en_US"/>
        </w:rPr>
        <w:t>73</w:t>
      </w:r>
      <w:r>
        <w:rPr>
          <w:lang w:val="en_US" w:bidi="en_US"/>
        </w:rPr>
        <w:t>Long ago he swore an oath to our father Abraham.</w:t>
      </w:r>
    </w:p>
    <w:p>
      <w:pPr/>
      <w:r>
        <w:rPr>
          <w:lang w:val="en_US" w:bidi="en_US"/>
        </w:rPr>
      </w:r>
      <w:r>
        <w:rPr>
          <w:vertAlign w:val="superscript"/>
          <w:lang w:val="en_US" w:bidi="en_US"/>
        </w:rPr>
        <w:t>74a</w:t>
      </w:r>
      <w:r>
        <w:rPr>
          <w:lang w:val="en_US" w:bidi="en_US"/>
        </w:rPr>
        <w:t>He promised to rescue us from the hand of our enemies…</w:t>
      </w:r>
    </w:p>
    <w:p>
      <w:pPr/>
      <w:r>
        <w:rPr>
          <w:lang w:val="en_US" w:bidi="en_US"/>
        </w:rPr>
      </w:r>
      <w:r>
        <w:rPr>
          <w:lang w:val="en_US" w:bidi="en_US"/>
        </w:rPr>
        <w:t>Some other possible headings for this section are:</w:t>
      </w:r>
    </w:p>
    <w:p>
      <w:pPr/>
      <w:r>
        <w:rPr>
          <w:lang w:val="en_US" w:bidi="en_US"/>
        </w:rPr>
      </w:r>
      <w:r>
        <w:rPr>
          <w:lang w:val="en_US" w:bidi="en_US"/>
        </w:rPr>
        <w:t>Zechariah praised God and prophesied about John</w:t>
      </w:r>
    </w:p>
    <w:p>
      <w:pPr/>
      <w:r>
        <w:rPr>
          <w:lang w:val="en_US" w:bidi="en_US"/>
        </w:rPr>
      </w:r>
      <w:r>
        <w:rPr>
          <w:lang w:val="en_US" w:bidi="en_US"/>
        </w:rPr>
        <w:t>Zechariah praised God for the Messiah who would save Israel</w:t>
      </w:r>
    </w:p>
    <w:p>
      <w:pPr/>
      <w:r>
        <w:rPr>
          <w:lang w:val="en_US" w:bidi="en_US"/>
        </w:rPr>
      </w:r>
      <w:r>
        <w:rPr>
          <w:lang w:val="en_US" w:bidi="en_US"/>
        </w:rPr>
        <w:t>Zechariah’s prophecy</w:t>
      </w:r>
    </w:p>
    <w:p>
      <w:pPr/>
      <w:r>
        <w:rPr>
          <w:lang w:val="en_US" w:bidi="en_US"/>
        </w:rPr>
      </w:r>
      <w:r>
        <w:rPr>
          <w:lang w:val="en_US" w:bidi="en_US"/>
        </w:rPr>
        <w:t>Zechariah’s song of praise to God</w:t>
      </w:r>
    </w:p>
    <w:p>
      <w:pPr>
        <w:pStyle w:val="Heading5"/>
      </w:pPr>
      <w:r>
        <w:rPr>
          <w:lang w:val="en_US" w:bidi="en_US"/>
        </w:rPr>
        <w:t>1:76a</w:t>
      </w:r>
    </w:p>
    <w:p>
      <w:pPr/>
      <w:r>
        <w:rPr>
          <w:lang w:val="en_US" w:bidi="en_US"/>
        </w:rPr>
      </w:r>
      <w:r>
        <w:rPr>
          <w:b/>
          <w:lang w:val="en_US" w:bidi="en_US"/>
        </w:rPr>
        <w:t>And you, child, will be called a prophet of the Most High;</w:t>
      </w:r>
    </w:p>
    <w:p>
      <w:pPr>
        <w:pStyle w:val="ListBullet"/>
        <w:spacing w:line="240" w:lineRule="auto"/>
        <w:ind w:left="720"/>
      </w:pPr>
      <w:r>
        <w:rPr>
          <w:lang w:val="en_US" w:bidi="en_US"/>
        </w:rPr>
      </w:r>
      <w:r>
        <w:rPr>
          <w:lang w:val="en_US" w:bidi="en_US"/>
        </w:rPr>
        <w:t xml:space="preserve">¶ “You, my child, will be known/acknowledged as a prophet of the Most High </w:t>
      </w:r>
      <w:r>
        <w:rPr>
          <w:lang w:val="en_US" w:bidi="en_US"/>
        </w:rPr>
        <w:t>God</w:t>
      </w:r>
      <w:r>
        <w:rPr>
          <w:lang w:val="en_US" w:bidi="en_US"/>
        </w:rPr>
        <w:t>,</w:t>
      </w:r>
    </w:p>
    <w:p>
      <w:pPr>
        <w:pStyle w:val="ListBullet"/>
        <w:spacing w:line="240" w:lineRule="auto"/>
        <w:ind w:left="720"/>
      </w:pPr>
      <w:r>
        <w:rPr>
          <w:lang w:val="en_US" w:bidi="en_US"/>
        </w:rPr>
      </w:r>
      <w:r>
        <w:rPr>
          <w:lang w:val="en_US" w:bidi="en_US"/>
        </w:rPr>
        <w:t>¶ “And as for you, my baby, you will have the title: ‘prophet of the one who is more powerful than all other beings,’</w:t>
      </w:r>
    </w:p>
    <w:p>
      <w:pPr/>
      <w:r>
        <w:rPr>
          <w:lang w:val="en_US" w:bidi="en_US"/>
        </w:rPr>
      </w:r>
      <w:r>
        <w:rPr>
          <w:lang w:val="en_US" w:bidi="en_US"/>
        </w:rPr>
        <w:t>In this verse Zechariah began to speak to and about a different person. He had been speaking to all the people who were with him. In this verse he began to speak to his son. Indicate this change of focus in a natural way in your language.</w:t>
      </w:r>
    </w:p>
    <w:p>
      <w:pPr/>
      <w:r>
        <w:rPr>
          <w:lang w:val="en_US" w:bidi="en_US"/>
        </w:rPr>
      </w:r>
      <w:r>
        <w:rPr>
          <w:b/>
          <w:lang w:val="en_US" w:bidi="en_US"/>
        </w:rPr>
        <w:t>And you, child:</w:t>
      </w:r>
      <w:r>
        <w:rPr>
          <w:lang w:val="en_US" w:bidi="en_US"/>
        </w:rPr>
        <w:t xml:space="preserve"> Zechariah now began to talk to his baby boy, John, even though the baby did not yet understand him. Even though Zechariah was speaking to a different person, he continued to speak a message from God.</w:t>
      </w:r>
    </w:p>
    <w:p>
      <w:pPr/>
      <w:r>
        <w:rPr>
          <w:lang w:val="en_US" w:bidi="en_US"/>
        </w:rPr>
      </w:r>
      <w:r>
        <w:rPr>
          <w:lang w:val="en_US" w:bidi="en_US"/>
        </w:rPr>
        <w:t xml:space="preserve">To clarify that John is the child to whom Zechariah is speaking, many English translations supply the word “my” before the word </w:t>
      </w:r>
      <w:r>
        <w:rPr>
          <w:i/>
          <w:lang w:val="en_US" w:bidi="en_US"/>
        </w:rPr>
        <w:t>child</w:t>
      </w:r>
      <w:r>
        <w:rPr>
          <w:lang w:val="en_US" w:bidi="en_US"/>
        </w:rPr>
        <w:t xml:space="preserve"> (or “son”), even though it is not in the Greek text. You may use a natural way in your language for Zechariah to address his son.</w:t>
      </w:r>
    </w:p>
    <w:p>
      <w:pPr/>
      <w:r>
        <w:rPr>
          <w:lang w:val="en_US" w:bidi="en_US"/>
        </w:rPr>
      </w:r>
      <w:r>
        <w:rPr>
          <w:b/>
          <w:lang w:val="en_US" w:bidi="en_US"/>
        </w:rPr>
        <w:t>you…will be called a prophet of the Most High:</w:t>
      </w:r>
      <w:r>
        <w:rPr>
          <w:lang w:val="en_US" w:bidi="en_US"/>
        </w:rPr>
        <w:t xml:space="preserve"> The phrase </w:t>
      </w:r>
      <w:r>
        <w:rPr>
          <w:i/>
          <w:lang w:val="en_US" w:bidi="en_US"/>
        </w:rPr>
        <w:t>will be called a prophet</w:t>
      </w:r>
      <w:r>
        <w:rPr>
          <w:lang w:val="en_US" w:bidi="en_US"/>
        </w:rPr>
        <w:t xml:space="preserve"> indicates that God would cause John to be his prophet. People in general would recognize this and give him the title “a prophet of the Most High.”</w:t>
      </w:r>
    </w:p>
    <w:p>
      <w:pPr/>
      <w:r>
        <w:rPr>
          <w:lang w:val="en_US" w:bidi="en_US"/>
        </w:rPr>
      </w:r>
      <w:r>
        <w:rPr>
          <w:lang w:val="en_US" w:bidi="en_US"/>
        </w:rPr>
        <w:t xml:space="preserve">The verb </w:t>
      </w:r>
      <w:r>
        <w:rPr>
          <w:i/>
          <w:lang w:val="en_US" w:bidi="en_US"/>
        </w:rPr>
        <w:t>will be called</w:t>
      </w:r>
      <w:r>
        <w:rPr>
          <w:lang w:val="en_US" w:bidi="en_US"/>
        </w:rPr>
        <w:t xml:space="preserve"> is passive. In some languages, it may not be natural to translate it as passive. If that is true in your language, here are other ways to translate it:</w:t>
      </w:r>
    </w:p>
    <w:p>
      <w:pPr>
        <w:pStyle w:val="ListBullet"/>
        <w:spacing w:line="240" w:lineRule="auto"/>
        <w:ind w:left="720"/>
      </w:pPr>
      <w:r>
        <w:rPr>
          <w:lang w:val="en_US" w:bidi="en_US"/>
        </w:rPr>
      </w:r>
      <w:r>
        <w:rPr>
          <w:lang w:val="en_US" w:bidi="en_US"/>
        </w:rPr>
        <w:t>Use a different verb that does not require you to say who will use the title. For example:</w:t>
      </w:r>
      <w:r>
        <w:rPr>
          <w:lang w:val="en_US" w:bidi="en_US"/>
        </w:rPr>
        <w:t>you will have the title “Prophet of the Most High”</w:t>
      </w:r>
      <w:r>
        <w:rPr>
          <w:lang w:val="en_US" w:bidi="en_US"/>
        </w:rPr>
        <w:t>your title will be Prophet of the Most High</w:t>
      </w:r>
    </w:p>
    <w:p>
      <w:pPr>
        <w:pStyle w:val="ListBullet"/>
        <w:spacing w:line="240" w:lineRule="auto"/>
        <w:ind w:left="720"/>
      </w:pPr>
      <w:r>
        <w:rPr>
          <w:lang w:val="en_US" w:bidi="en_US"/>
        </w:rPr>
      </w:r>
      <w:r>
        <w:rPr>
          <w:lang w:val="en_US" w:bidi="en_US"/>
        </w:rPr>
        <w:t xml:space="preserve">Focus on the fact that John will </w:t>
      </w:r>
      <w:r>
        <w:rPr>
          <w:u w:val="single"/>
          <w:lang w:val="en_US" w:bidi="en_US"/>
        </w:rPr>
        <w:t>be</w:t>
      </w:r>
      <w:r>
        <w:rPr>
          <w:lang w:val="en_US" w:bidi="en_US"/>
        </w:rPr>
        <w:t xml:space="preserve"> a prophet of the Most High. For example:</w:t>
      </w:r>
      <w:r>
        <w:rPr>
          <w:lang w:val="en_US" w:bidi="en_US"/>
        </w:rPr>
        <w:t>you will be a prophet of the Most High</w:t>
      </w:r>
    </w:p>
    <w:p>
      <w:pPr/>
      <w:r>
        <w:rPr>
          <w:lang w:val="en_US" w:bidi="en_US"/>
        </w:rPr>
      </w:r>
      <w:r>
        <w:rPr>
          <w:b/>
          <w:lang w:val="en_US" w:bidi="en_US"/>
        </w:rPr>
        <w:t>a prophet of the Most High:</w:t>
      </w:r>
      <w:r>
        <w:rPr>
          <w:lang w:val="en_US" w:bidi="en_US"/>
        </w:rPr>
        <w:t xml:space="preserve"> The Greek phrase that the BSB translates as </w:t>
      </w:r>
      <w:r>
        <w:rPr>
          <w:i/>
          <w:lang w:val="en_US" w:bidi="en_US"/>
        </w:rPr>
        <w:t>a prophet of the Most High</w:t>
      </w:r>
      <w:r>
        <w:rPr>
          <w:lang w:val="en_US" w:bidi="en_US"/>
        </w:rPr>
        <w:t xml:space="preserve"> means one who speaks messages from the Most High God.</w:t>
      </w:r>
    </w:p>
    <w:p>
      <w:pPr/>
      <w:r>
        <w:rPr>
          <w:lang w:val="en_US" w:bidi="en_US"/>
        </w:rPr>
      </w:r>
      <w:r>
        <w:rPr>
          <w:lang w:val="en_US" w:bidi="en_US"/>
        </w:rPr>
        <w:t xml:space="preserve">Some ways to translate </w:t>
      </w:r>
      <w:r>
        <w:rPr>
          <w:i/>
          <w:lang w:val="en_US" w:bidi="en_US"/>
        </w:rPr>
        <w:t>a prophet of the Most High</w:t>
      </w:r>
      <w:r>
        <w:rPr>
          <w:lang w:val="en_US" w:bidi="en_US"/>
        </w:rPr>
        <w:t xml:space="preserve"> are:</w:t>
      </w:r>
    </w:p>
    <w:p>
      <w:pPr/>
      <w:r>
        <w:rPr>
          <w:lang w:val="en_US" w:bidi="en_US"/>
        </w:rPr>
      </w:r>
      <w:r>
        <w:rPr>
          <w:lang w:val="en_US" w:bidi="en_US"/>
        </w:rPr>
        <w:t>a spokesman for the Most High</w:t>
      </w:r>
    </w:p>
    <w:p>
      <w:pPr/>
      <w:r>
        <w:rPr>
          <w:lang w:val="en_US" w:bidi="en_US"/>
        </w:rPr>
      </w:r>
      <w:r>
        <w:rPr>
          <w:lang w:val="en_US" w:bidi="en_US"/>
        </w:rPr>
        <w:t>a man who speaks words from God Most High</w:t>
      </w:r>
    </w:p>
    <w:p>
      <w:pPr/>
      <w:r>
        <w:rPr>
          <w:lang w:val="en_US" w:bidi="en_US"/>
        </w:rPr>
      </w:r>
      <w:r>
        <w:rPr>
          <w:lang w:val="en_US" w:bidi="en_US"/>
        </w:rPr>
        <w:t>a message-speaker for the Most High</w:t>
      </w:r>
    </w:p>
    <w:p>
      <w:pPr/>
      <w:r>
        <w:rPr>
          <w:lang w:val="en_US" w:bidi="en_US"/>
        </w:rPr>
      </w:r>
      <w:r>
        <w:rPr>
          <w:lang w:val="en_US" w:bidi="en_US"/>
        </w:rPr>
        <w:t>The word “prophets” occurs in 1:70. See the note on “his holy prophets” in 1:70. See also prophet in the Glossary.</w:t>
      </w:r>
    </w:p>
    <w:p>
      <w:pPr/>
      <w:r>
        <w:rPr>
          <w:lang w:val="en_US" w:bidi="en_US"/>
        </w:rPr>
      </w:r>
      <w:r>
        <w:rPr>
          <w:b/>
          <w:lang w:val="en_US" w:bidi="en_US"/>
        </w:rPr>
        <w:t>the Most High:</w:t>
      </w:r>
      <w:r>
        <w:rPr>
          <w:lang w:val="en_US" w:bidi="en_US"/>
        </w:rPr>
        <w:t xml:space="preserve"> The expression </w:t>
      </w:r>
      <w:r>
        <w:rPr>
          <w:i/>
          <w:lang w:val="en_US" w:bidi="en_US"/>
        </w:rPr>
        <w:t>the Most High</w:t>
      </w:r>
      <w:r>
        <w:rPr>
          <w:lang w:val="en_US" w:bidi="en_US"/>
        </w:rPr>
        <w:t xml:space="preserve"> is a title for God. Some ways to translate this are:</w:t>
      </w:r>
    </w:p>
    <w:p>
      <w:pPr/>
      <w:r>
        <w:rPr>
          <w:lang w:val="en_US" w:bidi="en_US"/>
        </w:rPr>
      </w:r>
      <w:r>
        <w:rPr>
          <w:lang w:val="en_US" w:bidi="en_US"/>
        </w:rPr>
        <w:t>the Greatest/Highest God</w:t>
      </w:r>
    </w:p>
    <w:p>
      <w:pPr/>
      <w:r>
        <w:rPr>
          <w:lang w:val="en_US" w:bidi="en_US"/>
        </w:rPr>
      </w:r>
      <w:r>
        <w:rPr>
          <w:lang w:val="en_US" w:bidi="en_US"/>
        </w:rPr>
        <w:t>the One who is more powerful than all other beings</w:t>
      </w:r>
    </w:p>
    <w:p>
      <w:pPr/>
      <w:r>
        <w:rPr>
          <w:lang w:val="en_US" w:bidi="en_US"/>
        </w:rPr>
      </w:r>
      <w:r>
        <w:rPr>
          <w:lang w:val="en_US" w:bidi="en_US"/>
        </w:rPr>
        <w:t>the Most High God (GNT)</w:t>
      </w:r>
    </w:p>
    <w:p>
      <w:pPr/>
      <w:r>
        <w:rPr>
          <w:lang w:val="en_US" w:bidi="en_US"/>
        </w:rPr>
      </w:r>
      <w:r>
        <w:rPr>
          <w:lang w:val="en_US" w:bidi="en_US"/>
        </w:rPr>
        <w:t>God who is so great that no one is great like him</w:t>
      </w:r>
    </w:p>
    <w:p>
      <w:pPr/>
      <w:r>
        <w:rPr>
          <w:lang w:val="en_US" w:bidi="en_US"/>
        </w:rPr>
      </w:r>
      <w:r>
        <w:rPr>
          <w:lang w:val="en_US" w:bidi="en_US"/>
        </w:rPr>
        <w:t xml:space="preserve">See the note on 1:32b for a more complete discussion of </w:t>
      </w:r>
      <w:r>
        <w:rPr>
          <w:i/>
          <w:lang w:val="en_US" w:bidi="en_US"/>
        </w:rPr>
        <w:t>the Most High</w:t>
      </w:r>
      <w:r>
        <w:rPr>
          <w:lang w:val="en_US" w:bidi="en_US"/>
        </w:rPr>
        <w:t>.</w:t>
      </w:r>
    </w:p>
    <w:p>
      <w:pPr>
        <w:pStyle w:val="Heading5"/>
      </w:pPr>
      <w:r>
        <w:rPr>
          <w:lang w:val="en_US" w:bidi="en_US"/>
        </w:rPr>
        <w:t>1:76b</w:t>
      </w:r>
    </w:p>
    <w:p>
      <w:pPr/>
      <w:r>
        <w:rPr>
          <w:lang w:val="en_US" w:bidi="en_US"/>
        </w:rPr>
      </w:r>
      <w:r>
        <w:rPr>
          <w:b/>
          <w:lang w:val="en_US" w:bidi="en_US"/>
        </w:rPr>
        <w:t>for you will go on before the Lord to prepare the way for Him,</w:t>
      </w:r>
    </w:p>
    <w:p>
      <w:pPr>
        <w:pStyle w:val="ListBullet"/>
        <w:spacing w:line="240" w:lineRule="auto"/>
        <w:ind w:left="720"/>
      </w:pPr>
      <w:r>
        <w:rPr>
          <w:lang w:val="en_US" w:bidi="en_US"/>
        </w:rPr>
      </w:r>
      <w:r>
        <w:rPr>
          <w:lang w:val="en_US" w:bidi="en_US"/>
        </w:rPr>
        <w:t>for you</w:t>
      </w:r>
      <w:r>
        <w:rPr>
          <w:vertAlign w:val="superscript"/>
          <w:lang w:val="en_US" w:bidi="en_US"/>
        </w:rPr>
        <w:t>(sing)</w:t>
      </w:r>
      <w:r>
        <w:rPr>
          <w:lang w:val="en_US" w:bidi="en_US"/>
        </w:rPr>
        <w:t xml:space="preserve"> will be the forerunner/messenger who goes before the Lord to make his roads/paths ready.</w:t>
      </w:r>
    </w:p>
    <w:p>
      <w:pPr>
        <w:pStyle w:val="ListBullet"/>
        <w:spacing w:line="240" w:lineRule="auto"/>
        <w:ind w:left="720"/>
      </w:pPr>
      <w:r>
        <w:rPr>
          <w:lang w:val="en_US" w:bidi="en_US"/>
        </w:rPr>
      </w:r>
      <w:r>
        <w:rPr>
          <w:lang w:val="en_US" w:bidi="en_US"/>
        </w:rPr>
        <w:t>because you</w:t>
      </w:r>
      <w:r>
        <w:rPr>
          <w:vertAlign w:val="superscript"/>
          <w:lang w:val="en_US" w:bidi="en_US"/>
        </w:rPr>
        <w:t>(sing)</w:t>
      </w:r>
      <w:r>
        <w:rPr>
          <w:lang w:val="en_US" w:bidi="en_US"/>
        </w:rPr>
        <w:t xml:space="preserve"> will </w:t>
      </w:r>
      <w:r>
        <w:rPr>
          <w:lang w:val="en_US" w:bidi="en_US"/>
        </w:rPr>
        <w:t>start your work</w:t>
      </w:r>
      <w:r>
        <w:rPr>
          <w:lang w:val="en_US" w:bidi="en_US"/>
        </w:rPr>
        <w:t xml:space="preserve"> before the Lord does, to get people ready for him to come.</w:t>
      </w:r>
    </w:p>
    <w:p>
      <w:pPr>
        <w:pStyle w:val="ListBullet"/>
        <w:spacing w:line="240" w:lineRule="auto"/>
        <w:ind w:left="720"/>
      </w:pPr>
      <w:r>
        <w:rPr>
          <w:lang w:val="en_US" w:bidi="en_US"/>
        </w:rPr>
      </w:r>
      <w:r>
        <w:rPr>
          <w:lang w:val="en_US" w:bidi="en_US"/>
        </w:rPr>
        <w:t>because your</w:t>
      </w:r>
      <w:r>
        <w:rPr>
          <w:vertAlign w:val="superscript"/>
          <w:lang w:val="en_US" w:bidi="en_US"/>
        </w:rPr>
        <w:t>(sing)</w:t>
      </w:r>
      <w:r>
        <w:rPr>
          <w:lang w:val="en_US" w:bidi="en_US"/>
        </w:rPr>
        <w:t xml:space="preserve"> role/work will be to go ahead of the Lord to prepare the people to receive him.</w:t>
      </w:r>
    </w:p>
    <w:p>
      <w:pPr/>
      <w:r>
        <w:rPr>
          <w:lang w:val="en_US" w:bidi="en_US"/>
        </w:rPr>
      </w:r>
      <w:r>
        <w:rPr>
          <w:lang w:val="en_US" w:bidi="en_US"/>
        </w:rPr>
        <w:t>Here, Zechariah repeated some of the things that the angel told him in 1:17.</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reasons why people would call John a prophet. These reasons are given here in 1:76b and 1:77.</w:t>
      </w:r>
    </w:p>
    <w:p>
      <w:pPr/>
      <w:r>
        <w:rPr>
          <w:lang w:val="en_US" w:bidi="en_US"/>
        </w:rPr>
      </w:r>
      <w:r>
        <w:rPr>
          <w:b/>
          <w:lang w:val="en_US" w:bidi="en_US"/>
        </w:rPr>
        <w:t>you will go on before the Lord:</w:t>
      </w:r>
      <w:r>
        <w:rPr>
          <w:lang w:val="en_US" w:bidi="en_US"/>
        </w:rPr>
        <w:t xml:space="preserve"> The clause </w:t>
      </w:r>
      <w:r>
        <w:rPr>
          <w:i/>
          <w:lang w:val="en_US" w:bidi="en_US"/>
        </w:rPr>
        <w:t>you will go on before the Lord</w:t>
      </w:r>
      <w:r>
        <w:rPr>
          <w:lang w:val="en_US" w:bidi="en_US"/>
        </w:rPr>
        <w:t xml:space="preserve"> means that John would go and preach to the people of Israel before the Lord/Messiah came. John was to be messenger or forerunner of the Messiah. He would tell the people that the Messiah was coming. Another way to translate this is:</w:t>
      </w:r>
    </w:p>
    <w:p>
      <w:pPr/>
      <w:r>
        <w:rPr>
          <w:lang w:val="en_US" w:bidi="en_US"/>
        </w:rPr>
      </w:r>
      <w:r>
        <w:rPr>
          <w:lang w:val="en_US" w:bidi="en_US"/>
        </w:rPr>
        <w:t>You will go ahead of the Lord (CEV)</w:t>
      </w:r>
    </w:p>
    <w:p>
      <w:pPr/>
      <w:r>
        <w:rPr>
          <w:lang w:val="en_US" w:bidi="en_US"/>
        </w:rPr>
      </w:r>
      <w:r>
        <w:rPr>
          <w:lang w:val="en_US" w:bidi="en_US"/>
        </w:rPr>
        <w:t>See the note on “he will go on before the Lord” in 1:17a for further discussion.</w:t>
      </w:r>
    </w:p>
    <w:p>
      <w:pPr/>
      <w:r>
        <w:rPr>
          <w:lang w:val="en_US" w:bidi="en_US"/>
        </w:rPr>
      </w:r>
      <w:r>
        <w:rPr>
          <w:b/>
          <w:lang w:val="en_US" w:bidi="en_US"/>
        </w:rPr>
        <w:t>before the Lord:</w:t>
      </w:r>
      <w:r>
        <w:rPr>
          <w:lang w:val="en_US" w:bidi="en_US"/>
        </w:rPr>
        <w:t xml:space="preserve"> Make sure that in this verse the word </w:t>
      </w:r>
      <w:r>
        <w:rPr>
          <w:i/>
          <w:lang w:val="en_US" w:bidi="en_US"/>
        </w:rPr>
        <w:t>before</w:t>
      </w:r>
      <w:r>
        <w:rPr>
          <w:lang w:val="en_US" w:bidi="en_US"/>
        </w:rPr>
        <w:t xml:space="preserve"> means “before the Lord/Messiah comes.” Here </w:t>
      </w:r>
      <w:r>
        <w:rPr>
          <w:i/>
          <w:lang w:val="en_US" w:bidi="en_US"/>
        </w:rPr>
        <w:t>before</w:t>
      </w:r>
      <w:r>
        <w:rPr>
          <w:lang w:val="en_US" w:bidi="en_US"/>
        </w:rPr>
        <w:t xml:space="preserve"> does not mean that John would walk in front of the Messiah.</w:t>
      </w:r>
    </w:p>
    <w:p>
      <w:pPr/>
      <w:r>
        <w:rPr>
          <w:lang w:val="en_US" w:bidi="en_US"/>
        </w:rPr>
      </w:r>
      <w:r>
        <w:rPr>
          <w:lang w:val="en_US" w:bidi="en_US"/>
        </w:rPr>
        <w:t>The phrase “before the Lord” was used in 1:17a with the same meaning.</w:t>
      </w:r>
    </w:p>
    <w:p>
      <w:pPr/>
      <w:r>
        <w:rPr>
          <w:lang w:val="en_US" w:bidi="en_US"/>
        </w:rPr>
      </w:r>
      <w:r>
        <w:rPr>
          <w:b/>
          <w:lang w:val="en_US" w:bidi="en_US"/>
        </w:rPr>
        <w:t>Lord:</w:t>
      </w:r>
      <w:r>
        <w:rPr>
          <w:lang w:val="en_US" w:bidi="en_US"/>
        </w:rPr>
        <w:t xml:space="preserve"> In this context the word </w:t>
      </w:r>
      <w:r>
        <w:rPr>
          <w:i/>
          <w:lang w:val="en_US" w:bidi="en_US"/>
        </w:rPr>
        <w:t>Lord</w:t>
      </w:r>
      <w:r>
        <w:rPr>
          <w:lang w:val="en_US" w:bidi="en_US"/>
        </w:rPr>
        <w:t xml:space="preserve"> refers to the Messiah. Luke probably also implied here that the </w:t>
      </w:r>
      <w:r>
        <w:rPr>
          <w:i/>
          <w:lang w:val="en_US" w:bidi="en_US"/>
        </w:rPr>
        <w:t>Lord</w:t>
      </w:r>
      <w:r>
        <w:rPr>
          <w:lang w:val="en_US" w:bidi="en_US"/>
        </w:rPr>
        <w:t xml:space="preserve"> was God who was coming to his people as the Messiah. In some languages it may be necessary to use a possessive pronoun with the word </w:t>
      </w:r>
      <w:r>
        <w:rPr>
          <w:i/>
          <w:lang w:val="en_US" w:bidi="en_US"/>
        </w:rPr>
        <w:t>Lord</w:t>
      </w:r>
      <w:r>
        <w:rPr>
          <w:lang w:val="en_US" w:bidi="en_US"/>
        </w:rPr>
        <w:t>. For example:</w:t>
      </w:r>
    </w:p>
    <w:p>
      <w:pPr/>
      <w:r>
        <w:rPr>
          <w:lang w:val="en_US" w:bidi="en_US"/>
        </w:rPr>
      </w:r>
      <w:r>
        <w:rPr>
          <w:lang w:val="en_US" w:bidi="en_US"/>
        </w:rPr>
        <w:t>our</w:t>
      </w:r>
      <w:r>
        <w:rPr>
          <w:vertAlign w:val="superscript"/>
          <w:lang w:val="en_US" w:bidi="en_US"/>
        </w:rPr>
        <w:t>(incl)</w:t>
      </w:r>
      <w:r>
        <w:rPr>
          <w:lang w:val="en_US" w:bidi="en_US"/>
        </w:rPr>
        <w:t xml:space="preserve"> Lord</w:t>
      </w:r>
    </w:p>
    <w:p>
      <w:pPr/>
      <w:r>
        <w:rPr>
          <w:lang w:val="en_US" w:bidi="en_US"/>
        </w:rPr>
      </w:r>
      <w:r>
        <w:rPr>
          <w:lang w:val="en_US" w:bidi="en_US"/>
        </w:rPr>
        <w:t>See Lord, Context 2, in the Glossary.</w:t>
      </w:r>
    </w:p>
    <w:p>
      <w:pPr/>
      <w:r>
        <w:rPr>
          <w:lang w:val="en_US" w:bidi="en_US"/>
        </w:rPr>
      </w:r>
      <w:r>
        <w:rPr>
          <w:b/>
          <w:lang w:val="en_US" w:bidi="en_US"/>
        </w:rPr>
        <w:t>to prepare the way for Him:</w:t>
      </w:r>
      <w:r>
        <w:rPr>
          <w:lang w:val="en_US" w:bidi="en_US"/>
        </w:rPr>
        <w:t xml:space="preserve"> The Greek word that the BSB translates as </w:t>
      </w:r>
      <w:r>
        <w:rPr>
          <w:i/>
          <w:lang w:val="en_US" w:bidi="en_US"/>
        </w:rPr>
        <w:t>the way</w:t>
      </w:r>
      <w:r>
        <w:rPr>
          <w:lang w:val="en_US" w:bidi="en_US"/>
        </w:rPr>
        <w:t xml:space="preserve"> is literally “roads.” The phrase </w:t>
      </w:r>
      <w:r>
        <w:rPr>
          <w:i/>
          <w:lang w:val="en_US" w:bidi="en_US"/>
        </w:rPr>
        <w:t>to prepare the way for Him</w:t>
      </w:r>
      <w:r>
        <w:rPr>
          <w:lang w:val="en_US" w:bidi="en_US"/>
        </w:rPr>
        <w:t xml:space="preserve"> means “to make roads ready for the Lord to use.” Zechariah used this phrase as a figure of speech. He implied that John would preach to the people to prepare them for the Lord. John would tell the people to prepare their hearts and their attitudes to receive their Messiah.</w:t>
      </w:r>
    </w:p>
    <w:p>
      <w:pPr/>
      <w:r>
        <w:rPr>
          <w:lang w:val="en_US" w:bidi="en_US"/>
        </w:rPr>
      </w:r>
      <w:r>
        <w:rPr>
          <w:lang w:val="en_US" w:bidi="en_US"/>
        </w:rPr>
        <w:t>In some cultures, readers may not understand the meaning of this metaphor. If that is true for your culture, you will have to indicate the meaning more explicitly. Some ways to do this are:</w:t>
      </w:r>
    </w:p>
    <w:p>
      <w:pPr>
        <w:pStyle w:val="ListBullet"/>
        <w:spacing w:line="240" w:lineRule="auto"/>
        <w:ind w:left="720"/>
      </w:pPr>
      <w:r>
        <w:rPr>
          <w:lang w:val="en_US" w:bidi="en_US"/>
        </w:rPr>
      </w:r>
      <w:r>
        <w:rPr>
          <w:lang w:val="en_US" w:bidi="en_US"/>
        </w:rPr>
        <w:t>Use a simile. For example:</w:t>
      </w:r>
      <w:r>
        <w:rPr>
          <w:lang w:val="en_US" w:bidi="en_US"/>
        </w:rPr>
        <w:t xml:space="preserve">to </w:t>
      </w:r>
      <w:r>
        <w:rPr>
          <w:lang w:val="en_US" w:bidi="en_US"/>
        </w:rPr>
        <w:t>prepare people’s hearts/ minds/ lives for the Lord as a person would</w:t>
      </w:r>
      <w:r>
        <w:rPr>
          <w:lang w:val="en_US" w:bidi="en_US"/>
        </w:rPr>
        <w:t xml:space="preserve"> prepare a road for a king</w:t>
      </w:r>
    </w:p>
    <w:p>
      <w:pPr>
        <w:pStyle w:val="ListBullet"/>
        <w:spacing w:line="240" w:lineRule="auto"/>
        <w:ind w:left="720"/>
      </w:pPr>
      <w:r>
        <w:rPr>
          <w:lang w:val="en_US" w:bidi="en_US"/>
        </w:rPr>
      </w:r>
      <w:r>
        <w:rPr>
          <w:lang w:val="en_US" w:bidi="en_US"/>
        </w:rPr>
        <w:t>Express the meaning without the figure of speech. For example:</w:t>
      </w:r>
      <w:r>
        <w:rPr>
          <w:lang w:val="en_US" w:bidi="en_US"/>
        </w:rPr>
        <w:t>To prepare people’s hearts/ minds/ lives to receive the Lord</w:t>
      </w:r>
      <w:r>
        <w:rPr>
          <w:lang w:val="en_US" w:bidi="en_US"/>
        </w:rPr>
      </w:r>
      <w:r>
        <w:rPr>
          <w:lang w:val="en_US" w:bidi="en_US"/>
        </w:rPr>
      </w:r>
    </w:p>
    <w:p>
      <w:pPr/>
      <w:r>
        <w:rPr>
          <w:lang w:val="en_US" w:bidi="en_US"/>
        </w:rPr>
      </w:r>
    </w:p>
    <w:p>
      <w:pPr>
        <w:pStyle w:val="Heading2"/>
      </w:pPr>
      <w:r>
        <w:rPr>
          <w:lang w:val="en_US" w:bidi="en_US"/>
        </w:rPr>
        <w:t>Luke 1:77</w:t>
      </w:r>
      <w:r>
        <w:rPr>
          <w:lang w:val="en_US" w:bidi="en_US"/>
        </w:rPr>
      </w:r>
    </w:p>
    <w:p>
      <w:pPr>
        <w:pStyle w:val="Heading4"/>
      </w:pPr>
      <w:r>
        <w:rPr>
          <w:lang w:val="en_US" w:bidi="en_US"/>
        </w:rPr>
        <w:t>Section 1:67–80: Zechariah prophesied and praised God</w:t>
      </w:r>
    </w:p>
    <w:p>
      <w:pPr/>
      <w:r>
        <w:rPr>
          <w:lang w:val="en_US" w:bidi="en_US"/>
        </w:rPr>
      </w:r>
      <w:r>
        <w:rPr>
          <w:lang w:val="en_US" w:bidi="en_US"/>
        </w:rP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pPr/>
      <w:r>
        <w:rPr>
          <w:lang w:val="en_US" w:bidi="en_US"/>
        </w:rPr>
      </w:r>
      <w:r>
        <w:rPr>
          <w:lang w:val="en_US" w:bidi="en_US"/>
        </w:rP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pPr/>
      <w:r>
        <w:rPr>
          <w:lang w:val="en_US" w:bidi="en_US"/>
        </w:rPr>
      </w:r>
      <w:r>
        <w:rPr>
          <w:lang w:val="en_US" w:bidi="en_US"/>
        </w:rP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pPr/>
      <w:r>
        <w:rPr>
          <w:lang w:val="en_US" w:bidi="en_US"/>
        </w:rPr>
      </w:r>
      <w:r>
        <w:rPr>
          <w:lang w:val="en_US" w:bidi="en_US"/>
        </w:rP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pPr/>
      <w:r>
        <w:rPr>
          <w:lang w:val="en_US" w:bidi="en_US"/>
        </w:rPr>
      </w:r>
      <w:r>
        <w:rPr>
          <w:lang w:val="en_US" w:bidi="en_US"/>
        </w:rP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pPr/>
      <w:r>
        <w:rPr>
          <w:lang w:val="en_US" w:bidi="en_US"/>
        </w:rPr>
      </w:r>
      <w:r>
        <w:rPr>
          <w:vertAlign w:val="superscript"/>
          <w:lang w:val="en_US" w:bidi="en_US"/>
        </w:rPr>
        <w:t>68a</w:t>
      </w:r>
      <w:r>
        <w:rPr>
          <w:lang w:val="en_US" w:bidi="en_US"/>
        </w:rPr>
        <w:t>Praise be to the Lord the God of Israel!</w:t>
      </w:r>
    </w:p>
    <w:p>
      <w:pPr/>
      <w:r>
        <w:rPr>
          <w:lang w:val="en_US" w:bidi="en_US"/>
        </w:rPr>
      </w:r>
      <w:r>
        <w:rPr>
          <w:vertAlign w:val="superscript"/>
          <w:lang w:val="en_US" w:bidi="en_US"/>
        </w:rPr>
        <w:t>73</w:t>
      </w:r>
      <w:r>
        <w:rPr>
          <w:lang w:val="en_US" w:bidi="en_US"/>
        </w:rPr>
        <w:t>Long ago he swore an oath to our father Abraham.</w:t>
      </w:r>
    </w:p>
    <w:p>
      <w:pPr/>
      <w:r>
        <w:rPr>
          <w:lang w:val="en_US" w:bidi="en_US"/>
        </w:rPr>
      </w:r>
      <w:r>
        <w:rPr>
          <w:vertAlign w:val="superscript"/>
          <w:lang w:val="en_US" w:bidi="en_US"/>
        </w:rPr>
        <w:t>74a</w:t>
      </w:r>
      <w:r>
        <w:rPr>
          <w:lang w:val="en_US" w:bidi="en_US"/>
        </w:rPr>
        <w:t>He promised to rescue us from the hand of our enemies…</w:t>
      </w:r>
    </w:p>
    <w:p>
      <w:pPr/>
      <w:r>
        <w:rPr>
          <w:lang w:val="en_US" w:bidi="en_US"/>
        </w:rPr>
      </w:r>
      <w:r>
        <w:rPr>
          <w:lang w:val="en_US" w:bidi="en_US"/>
        </w:rPr>
        <w:t>Some other possible headings for this section are:</w:t>
      </w:r>
    </w:p>
    <w:p>
      <w:pPr/>
      <w:r>
        <w:rPr>
          <w:lang w:val="en_US" w:bidi="en_US"/>
        </w:rPr>
      </w:r>
      <w:r>
        <w:rPr>
          <w:lang w:val="en_US" w:bidi="en_US"/>
        </w:rPr>
        <w:t>Zechariah praised God and prophesied about John</w:t>
      </w:r>
    </w:p>
    <w:p>
      <w:pPr/>
      <w:r>
        <w:rPr>
          <w:lang w:val="en_US" w:bidi="en_US"/>
        </w:rPr>
      </w:r>
      <w:r>
        <w:rPr>
          <w:lang w:val="en_US" w:bidi="en_US"/>
        </w:rPr>
        <w:t>Zechariah praised God for the Messiah who would save Israel</w:t>
      </w:r>
    </w:p>
    <w:p>
      <w:pPr/>
      <w:r>
        <w:rPr>
          <w:lang w:val="en_US" w:bidi="en_US"/>
        </w:rPr>
      </w:r>
      <w:r>
        <w:rPr>
          <w:lang w:val="en_US" w:bidi="en_US"/>
        </w:rPr>
        <w:t>Zechariah’s prophecy</w:t>
      </w:r>
    </w:p>
    <w:p>
      <w:pPr/>
      <w:r>
        <w:rPr>
          <w:lang w:val="en_US" w:bidi="en_US"/>
        </w:rPr>
      </w:r>
      <w:r>
        <w:rPr>
          <w:lang w:val="en_US" w:bidi="en_US"/>
        </w:rPr>
        <w:t>Zechariah’s song of praise to God</w:t>
      </w:r>
    </w:p>
    <w:p>
      <w:pPr>
        <w:pStyle w:val="Heading5"/>
      </w:pPr>
      <w:r>
        <w:rPr>
          <w:lang w:val="en_US" w:bidi="en_US"/>
        </w:rPr>
        <w:t>1:77</w:t>
      </w:r>
    </w:p>
    <w:p>
      <w:pPr/>
      <w:r>
        <w:rPr>
          <w:lang w:val="en_US" w:bidi="en_US"/>
        </w:rPr>
      </w:r>
      <w:r>
        <w:rPr>
          <w:b/>
          <w:lang w:val="en_US" w:bidi="en_US"/>
        </w:rPr>
        <w:t>to give to His people the knowledge of salvation through the forgiveness of their sins,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help his people know that </w:t>
      </w:r>
      <w:r>
        <w:rPr>
          <w:lang w:val="en_US" w:bidi="en_US"/>
        </w:rPr>
        <w:t>God is coming to</w:t>
      </w:r>
      <w:r>
        <w:rPr>
          <w:lang w:val="en_US" w:bidi="en_US"/>
        </w:rPr>
        <w:t xml:space="preserve"> save them by forgiving their sins.</w:t>
      </w:r>
    </w:p>
    <w:p>
      <w:pPr>
        <w:pStyle w:val="ListBullet"/>
        <w:spacing w:line="240" w:lineRule="auto"/>
        <w:ind w:left="720"/>
      </w:pPr>
      <w:r>
        <w:rPr>
          <w:lang w:val="en_US" w:bidi="en_US"/>
        </w:rPr>
      </w:r>
      <w:r>
        <w:rPr>
          <w:lang w:val="en_US" w:bidi="en_US"/>
        </w:rPr>
        <w:t>You will prepare them for the Lord,</w:t>
      </w:r>
      <w:r>
        <w:rPr>
          <w:lang w:val="en_US" w:bidi="en_US"/>
        </w:rPr>
        <w:t xml:space="preserve"> leading them to experience </w:t>
      </w:r>
      <w:r>
        <w:rPr>
          <w:lang w:val="en_US" w:bidi="en_US"/>
        </w:rPr>
        <w:t>his</w:t>
      </w:r>
      <w:r>
        <w:rPr>
          <w:lang w:val="en_US" w:bidi="en_US"/>
        </w:rPr>
        <w:t xml:space="preserve"> forgiveness for their sins so that they will be saved </w:t>
      </w:r>
      <w:r>
        <w:rPr>
          <w:lang w:val="en_US" w:bidi="en_US"/>
        </w:rPr>
        <w:t>from judgment/punishment</w:t>
      </w:r>
      <w:r>
        <w:rPr>
          <w:lang w:val="en_US" w:bidi="en_US"/>
        </w:rPr>
        <w:t>.</w:t>
      </w:r>
    </w:p>
    <w:p>
      <w:pPr/>
      <w:r>
        <w:rPr>
          <w:lang w:val="en_US" w:bidi="en_US"/>
        </w:rPr>
      </w:r>
      <w:r>
        <w:rPr>
          <w:lang w:val="en_US" w:bidi="en_US"/>
        </w:rPr>
        <w:t>This verse tells the means by which John will prepare the people for the Lord. In some languages you may need to make this connection more explicit. For example:</w:t>
      </w:r>
    </w:p>
    <w:p>
      <w:pPr/>
      <w:r>
        <w:rPr>
          <w:lang w:val="en_US" w:bidi="en_US"/>
        </w:rPr>
      </w:r>
      <w:r>
        <w:rPr>
          <w:lang w:val="en_US" w:bidi="en_US"/>
        </w:rPr>
        <w:t>You will prepare his people for him by</w:t>
      </w:r>
      <w:r>
        <w:rPr>
          <w:lang w:val="en_US" w:bidi="en_US"/>
        </w:rPr>
        <w:t xml:space="preserve"> giving them the knowledge of salvation</w:t>
      </w:r>
    </w:p>
    <w:p>
      <w:pPr/>
      <w:r>
        <w:rPr>
          <w:lang w:val="en_US" w:bidi="en_US"/>
        </w:rPr>
      </w:r>
      <w:r>
        <w:rPr>
          <w:lang w:val="en_US" w:bidi="en_US"/>
        </w:rPr>
        <w:t>In other languages you may leave this connection implied and choose whether to begin a new sentence here. For example:</w:t>
      </w:r>
    </w:p>
    <w:p>
      <w:pPr/>
      <w:r>
        <w:rPr>
          <w:lang w:val="en_US" w:bidi="en_US"/>
        </w:rPr>
      </w:r>
      <w:r>
        <w:rPr>
          <w:lang w:val="en_US" w:bidi="en_US"/>
        </w:rPr>
        <w:t>You will give them the knowledge of salvation</w:t>
      </w:r>
    </w:p>
    <w:p>
      <w:pPr/>
      <w:r>
        <w:rPr>
          <w:lang w:val="en_US" w:bidi="en_US"/>
        </w:rPr>
      </w:r>
      <w:r>
        <w:rPr>
          <w:lang w:val="en_US" w:bidi="en_US"/>
        </w:rPr>
        <w:t>giving his people the knowledge of salvation</w:t>
      </w:r>
    </w:p>
    <w:p>
      <w:pPr/>
      <w:r>
        <w:rPr>
          <w:lang w:val="en_US" w:bidi="en_US"/>
        </w:rPr>
      </w:r>
      <w:r>
        <w:rPr>
          <w:b/>
          <w:lang w:val="en_US" w:bidi="en_US"/>
        </w:rPr>
        <w:t>to give to His people the knowledge of salvation:</w:t>
      </w:r>
      <w:r>
        <w:rPr>
          <w:lang w:val="en_US" w:bidi="en_US"/>
        </w:rPr>
        <w:t xml:space="preserve"> The expression </w:t>
      </w:r>
      <w:r>
        <w:rPr>
          <w:i/>
          <w:lang w:val="en_US" w:bidi="en_US"/>
        </w:rPr>
        <w:t>to give to His people the knowledge of salvation</w:t>
      </w:r>
      <w:r>
        <w:rPr>
          <w:lang w:val="en_US" w:bidi="en_US"/>
        </w:rPr>
        <w:t xml:space="preserve"> implies two things:</w:t>
      </w:r>
    </w:p>
    <w:p>
      <w:pPr>
        <w:pStyle w:val="ListNumber"/>
        <w:numPr>
          <w:ilvl w:val="0"/>
          <w:numId w:val="27"/>
        </w:numPr>
        <w:spacing w:line="240" w:lineRule="auto"/>
        <w:ind w:left="720"/>
      </w:pPr>
      <w:r>
        <w:rPr>
          <w:lang w:val="en_US" w:bidi="en_US"/>
        </w:rPr>
      </w:r>
      <w:r>
        <w:rPr>
          <w:lang w:val="en_US" w:bidi="en_US"/>
        </w:rPr>
        <w:t>John would tell the people about God coming to save his people through the Christ.</w:t>
      </w:r>
    </w:p>
    <w:p>
      <w:pPr>
        <w:pStyle w:val="ListNumber"/>
        <w:spacing w:line="240" w:lineRule="auto"/>
        <w:ind w:left="720"/>
      </w:pPr>
      <w:r>
        <w:rPr>
          <w:lang w:val="en_US" w:bidi="en_US"/>
        </w:rPr>
      </w:r>
      <w:r>
        <w:rPr>
          <w:lang w:val="en_US" w:bidi="en_US"/>
        </w:rPr>
        <w:t>John would lead the people to experience God saving them.</w:t>
      </w:r>
    </w:p>
    <w:p>
      <w:pPr/>
      <w:r>
        <w:rPr>
          <w:lang w:val="en_US" w:bidi="en_US"/>
        </w:rPr>
      </w:r>
      <w:r>
        <w:rPr>
          <w:lang w:val="en_US" w:bidi="en_US"/>
        </w:rPr>
        <w:t>Some English versions translate only the idea of (a). However, it is good to translate in a way that implies both (a) and (b). For example:</w:t>
      </w:r>
    </w:p>
    <w:p>
      <w:pPr/>
      <w:r>
        <w:rPr>
          <w:lang w:val="en_US" w:bidi="en_US"/>
        </w:rPr>
      </w:r>
      <w:r>
        <w:rPr>
          <w:lang w:val="en_US" w:bidi="en_US"/>
        </w:rPr>
        <w:t>You will do this</w:t>
      </w:r>
      <w:r>
        <w:rPr>
          <w:lang w:val="en_US" w:bidi="en_US"/>
        </w:rPr>
        <w:t xml:space="preserve"> by leading his people to know/experience salvation.</w:t>
      </w:r>
    </w:p>
    <w:p>
      <w:pPr/>
      <w:r>
        <w:rPr>
          <w:lang w:val="en_US" w:bidi="en_US"/>
        </w:rPr>
      </w:r>
      <w:r>
        <w:rPr>
          <w:lang w:val="en_US" w:bidi="en_US"/>
        </w:rPr>
        <w:t>You will tell</w:t>
      </w:r>
      <w:r>
        <w:rPr>
          <w:lang w:val="en_US" w:bidi="en_US"/>
        </w:rPr>
        <w:t xml:space="preserve"> his people about salvation and help them be saved.</w:t>
      </w:r>
    </w:p>
    <w:p>
      <w:pPr/>
      <w:r>
        <w:rPr>
          <w:lang w:val="en_US" w:bidi="en_US"/>
        </w:rPr>
      </w:r>
      <w:r>
        <w:rPr>
          <w:lang w:val="en_US" w:bidi="en_US"/>
        </w:rPr>
        <w:t>See save in the Glossary (see the note on salvation).</w:t>
      </w:r>
    </w:p>
    <w:p>
      <w:pPr/>
      <w:r>
        <w:rPr>
          <w:lang w:val="en_US" w:bidi="en_US"/>
        </w:rPr>
      </w:r>
      <w:r>
        <w:rPr>
          <w:b/>
          <w:lang w:val="en_US" w:bidi="en_US"/>
        </w:rPr>
        <w:t>salvation through the forgiveness of their sins:</w:t>
      </w:r>
      <w:r>
        <w:rPr>
          <w:lang w:val="en_US" w:bidi="en_US"/>
        </w:rPr>
        <w:t xml:space="preserve"> The phrase </w:t>
      </w:r>
      <w:r>
        <w:rPr>
          <w:i/>
          <w:lang w:val="en_US" w:bidi="en_US"/>
        </w:rPr>
        <w:t>through the forgiveness of their sins</w:t>
      </w:r>
      <w:r>
        <w:rPr>
          <w:lang w:val="en_US" w:bidi="en_US"/>
        </w:rPr>
        <w:t xml:space="preserve"> expresses the way in which God would save his people from judgment and punishment. He would save them by forgiving them for their sins.</w:t>
      </w:r>
    </w:p>
    <w:p>
      <w:pPr/>
      <w:r>
        <w:rPr>
          <w:lang w:val="en_US" w:bidi="en_US"/>
        </w:rPr>
      </w:r>
      <w:r>
        <w:rPr>
          <w:b/>
          <w:lang w:val="en_US" w:bidi="en_US"/>
        </w:rPr>
        <w:t>forgiveness of their sins:</w:t>
      </w:r>
      <w:r>
        <w:rPr>
          <w:lang w:val="en_US" w:bidi="en_US"/>
        </w:rPr>
        <w:t xml:space="preserve"> In this context the phrase </w:t>
      </w:r>
      <w:r>
        <w:rPr>
          <w:i/>
          <w:lang w:val="en_US" w:bidi="en_US"/>
        </w:rPr>
        <w:t>forgiveness of their sins</w:t>
      </w:r>
      <w:r>
        <w:rPr>
          <w:lang w:val="en_US" w:bidi="en_US"/>
        </w:rPr>
        <w:t xml:space="preserve"> refers to God choosing not to punish people for the evil/wrong things that they have done and thought. God cancels their guilt and treats them as though they had never offended him.</w:t>
      </w:r>
    </w:p>
    <w:p>
      <w:pPr/>
      <w:r>
        <w:rPr>
          <w:lang w:val="en_US" w:bidi="en_US"/>
        </w:rPr>
      </w:r>
      <w:r>
        <w:rPr>
          <w:lang w:val="en_US" w:bidi="en_US"/>
        </w:rPr>
        <w:t xml:space="preserve">Some ways to translate </w:t>
      </w:r>
      <w:r>
        <w:rPr>
          <w:i/>
          <w:lang w:val="en_US" w:bidi="en_US"/>
        </w:rPr>
        <w:t>forgiveness of their sins</w:t>
      </w:r>
      <w:r>
        <w:rPr>
          <w:lang w:val="en_US" w:bidi="en_US"/>
        </w:rPr>
        <w:t xml:space="preserve"> are:</w:t>
      </w:r>
    </w:p>
    <w:p>
      <w:pPr/>
      <w:r>
        <w:rPr>
          <w:lang w:val="en_US" w:bidi="en_US"/>
        </w:rPr>
      </w:r>
      <w:r>
        <w:rPr>
          <w:lang w:val="en_US" w:bidi="en_US"/>
        </w:rPr>
        <w:t>release from their sins</w:t>
      </w:r>
    </w:p>
    <w:p>
      <w:pPr/>
      <w:r>
        <w:rPr>
          <w:lang w:val="en_US" w:bidi="en_US"/>
        </w:rPr>
      </w:r>
      <w:r>
        <w:rPr>
          <w:lang w:val="en_US" w:bidi="en_US"/>
        </w:rPr>
        <w:t>taking away their sins</w:t>
      </w:r>
    </w:p>
    <w:p>
      <w:pPr/>
      <w:r>
        <w:rPr>
          <w:lang w:val="en_US" w:bidi="en_US"/>
        </w:rPr>
      </w:r>
      <w:r>
        <w:rPr>
          <w:lang w:val="en_US" w:bidi="en_US"/>
        </w:rPr>
        <w:t>canceling their sins/guilt</w:t>
      </w:r>
    </w:p>
    <w:p>
      <w:pPr/>
      <w:r>
        <w:rPr>
          <w:lang w:val="en_US" w:bidi="en_US"/>
        </w:rPr>
      </w:r>
      <w:r>
        <w:rPr>
          <w:lang w:val="en_US" w:bidi="en_US"/>
        </w:rPr>
        <w:t xml:space="preserve">In some languages it may be necessary to translate the noun </w:t>
      </w:r>
      <w:r>
        <w:rPr>
          <w:i/>
          <w:lang w:val="en_US" w:bidi="en_US"/>
        </w:rPr>
        <w:t>forgiveness</w:t>
      </w:r>
      <w:r>
        <w:rPr>
          <w:lang w:val="en_US" w:bidi="en_US"/>
        </w:rPr>
        <w:t xml:space="preserve"> with a verb. Some ways to do this are:</w:t>
      </w:r>
    </w:p>
    <w:p>
      <w:pPr/>
      <w:r>
        <w:rPr>
          <w:lang w:val="en_US" w:bidi="en_US"/>
        </w:rPr>
      </w:r>
      <w:r>
        <w:rPr>
          <w:lang w:val="en_US" w:bidi="en_US"/>
        </w:rPr>
        <w:t>pardon their sins</w:t>
      </w:r>
    </w:p>
    <w:p>
      <w:pPr/>
      <w:r>
        <w:rPr>
          <w:lang w:val="en_US" w:bidi="en_US"/>
        </w:rPr>
      </w:r>
      <w:r>
        <w:rPr>
          <w:lang w:val="en_US" w:bidi="en_US"/>
        </w:rPr>
        <w:t>cancel their sins</w:t>
      </w:r>
    </w:p>
    <w:p>
      <w:pPr/>
      <w:r>
        <w:rPr>
          <w:lang w:val="en_US" w:bidi="en_US"/>
        </w:rPr>
      </w:r>
      <w:r>
        <w:rPr>
          <w:lang w:val="en_US" w:bidi="en_US"/>
        </w:rPr>
        <w:t>In many languages there may be an idiom for this. For example:</w:t>
      </w:r>
    </w:p>
    <w:p>
      <w:pPr/>
      <w:r>
        <w:rPr>
          <w:lang w:val="en_US" w:bidi="en_US"/>
        </w:rPr>
      </w:r>
      <w:r>
        <w:rPr>
          <w:lang w:val="en_US" w:bidi="en_US"/>
        </w:rPr>
        <w:t>erase their sins/guilt</w:t>
      </w:r>
    </w:p>
    <w:p>
      <w:pPr/>
      <w:r>
        <w:rPr>
          <w:lang w:val="en_US" w:bidi="en_US"/>
        </w:rPr>
      </w:r>
      <w:r>
        <w:rPr>
          <w:lang w:val="en_US" w:bidi="en_US"/>
        </w:rPr>
        <w:t>wiping away their sins</w:t>
      </w:r>
    </w:p>
    <w:p>
      <w:pPr/>
      <w:r>
        <w:rPr>
          <w:lang w:val="en_US" w:bidi="en_US"/>
        </w:rPr>
      </w:r>
      <w:r>
        <w:rPr>
          <w:lang w:val="en_US" w:bidi="en_US"/>
        </w:rPr>
        <w:t xml:space="preserve">In some languages it is more natural to say “forgive </w:t>
      </w:r>
      <w:r>
        <w:rPr>
          <w:u w:val="single"/>
          <w:lang w:val="en_US" w:bidi="en_US"/>
        </w:rPr>
        <w:t>people</w:t>
      </w:r>
      <w:r>
        <w:rPr>
          <w:lang w:val="en_US" w:bidi="en_US"/>
        </w:rPr>
        <w:t xml:space="preserve">,” rather than to “forgive </w:t>
      </w:r>
      <w:r>
        <w:rPr>
          <w:u w:val="single"/>
          <w:lang w:val="en_US" w:bidi="en_US"/>
        </w:rPr>
        <w:t>sins</w:t>
      </w:r>
      <w:r>
        <w:rPr>
          <w:lang w:val="en_US" w:bidi="en_US"/>
        </w:rPr>
        <w:t>.” For example:</w:t>
      </w:r>
    </w:p>
    <w:p>
      <w:pPr/>
      <w:r>
        <w:rPr>
          <w:lang w:val="en_US" w:bidi="en_US"/>
        </w:rPr>
      </w:r>
      <w:r>
        <w:rPr>
          <w:lang w:val="en_US" w:bidi="en_US"/>
        </w:rPr>
        <w:t xml:space="preserve">forgive </w:t>
      </w:r>
      <w:r>
        <w:rPr>
          <w:lang w:val="en_US" w:bidi="en_US"/>
        </w:rPr>
        <w:t>people</w:t>
      </w:r>
      <w:r>
        <w:rPr>
          <w:lang w:val="en_US" w:bidi="en_US"/>
        </w:rPr>
        <w:t xml:space="preserve"> for their sins</w:t>
      </w:r>
    </w:p>
    <w:p>
      <w:pPr/>
      <w:r>
        <w:rPr>
          <w:lang w:val="en_US" w:bidi="en_US"/>
        </w:rPr>
      </w:r>
      <w:r>
        <w:rPr>
          <w:lang w:val="en_US" w:bidi="en_US"/>
        </w:rPr>
        <w:t xml:space="preserve">See </w:t>
      </w:r>
      <w:r>
        <w:rPr>
          <w:u w:val="single"/>
          <w:lang w:val="en_US" w:bidi="en_US"/>
        </w:rPr>
        <w:t>forgive</w:t>
      </w:r>
      <w:r>
        <w:rPr>
          <w:lang w:val="en_US" w:bidi="en_US"/>
        </w:rPr>
        <w:t xml:space="preserve"> in KBT.</w:t>
      </w:r>
    </w:p>
    <w:p>
      <w:pPr/>
      <w:r>
        <w:rPr>
          <w:lang w:val="en_US" w:bidi="en_US"/>
        </w:rPr>
      </w:r>
      <w:r>
        <w:rPr>
          <w:b/>
          <w:lang w:val="en_US" w:bidi="en_US"/>
        </w:rPr>
        <w:t>sins:</w:t>
      </w:r>
      <w:r>
        <w:rPr>
          <w:lang w:val="en_US" w:bidi="en_US"/>
        </w:rPr>
        <w:t xml:space="preserve"> The word </w:t>
      </w:r>
      <w:r>
        <w:rPr>
          <w:i/>
          <w:lang w:val="en_US" w:bidi="en_US"/>
        </w:rPr>
        <w:t>sins</w:t>
      </w:r>
      <w:r>
        <w:rPr>
          <w:lang w:val="en_US" w:bidi="en_US"/>
        </w:rPr>
        <w:t xml:space="preserve"> refers to offenses against God or another person. These </w:t>
      </w:r>
      <w:r>
        <w:rPr>
          <w:i/>
          <w:lang w:val="en_US" w:bidi="en_US"/>
        </w:rPr>
        <w:t>sins</w:t>
      </w:r>
      <w:r>
        <w:rPr>
          <w:lang w:val="en_US" w:bidi="en_US"/>
        </w:rPr>
        <w:t xml:space="preserve"> include acts, thoughts, and attitudes that are not what God wants or approves.</w:t>
      </w:r>
      <w:r>
        <w:rPr>
          <w:lang w:val="en_US" w:bidi="en_US"/>
        </w:rPr>
        <w:t>In Greek, the verb that English versions translate as “to sin” is also a term that is used in archery to mean “to miss the target.” When a person sins, he “misses” the target, that is, he fails to reach God’s standard.</w:t>
      </w:r>
      <w:r>
        <w:rPr>
          <w:lang w:val="en_US" w:bidi="en_US"/>
        </w:rPr>
        <w:t xml:space="preserve"> A person can also offend God by not doing what God wants him to do.</w:t>
      </w:r>
    </w:p>
    <w:p>
      <w:pPr/>
      <w:r>
        <w:rPr>
          <w:lang w:val="en_US" w:bidi="en_US"/>
        </w:rPr>
      </w:r>
      <w:r>
        <w:rPr>
          <w:lang w:val="en_US" w:bidi="en_US"/>
        </w:rPr>
        <w:t xml:space="preserve">Try to translate </w:t>
      </w:r>
      <w:r>
        <w:rPr>
          <w:i/>
          <w:lang w:val="en_US" w:bidi="en_US"/>
        </w:rPr>
        <w:t>sins</w:t>
      </w:r>
      <w:r>
        <w:rPr>
          <w:lang w:val="en_US" w:bidi="en_US"/>
        </w:rPr>
        <w:t xml:space="preserve"> with a general term that can include any wrongdoing against God. Here are problems to avoid:</w:t>
      </w:r>
    </w:p>
    <w:p>
      <w:pPr>
        <w:pStyle w:val="ListNumber"/>
        <w:numPr>
          <w:ilvl w:val="0"/>
          <w:numId w:val="28"/>
        </w:numPr>
        <w:spacing w:line="240" w:lineRule="auto"/>
        <w:ind w:left="720"/>
      </w:pPr>
      <w:r>
        <w:rPr>
          <w:lang w:val="en_US" w:bidi="en_US"/>
        </w:rPr>
      </w:r>
      <w:r>
        <w:rPr>
          <w:lang w:val="en_US" w:bidi="en_US"/>
        </w:rPr>
        <w:t>The term should not imply that only serious crimes such as murder or stealing are sins. Other offenses such as gossip and greed are also sins.</w:t>
      </w:r>
    </w:p>
    <w:p>
      <w:pPr>
        <w:pStyle w:val="ListNumber"/>
        <w:spacing w:line="240" w:lineRule="auto"/>
        <w:ind w:left="720"/>
      </w:pPr>
      <w:r>
        <w:rPr>
          <w:lang w:val="en_US" w:bidi="en_US"/>
        </w:rPr>
      </w:r>
      <w:r>
        <w:rPr>
          <w:lang w:val="en_US" w:bidi="en_US"/>
        </w:rPr>
        <w:t>The term should not include accidents or mistakes that are not against God’s will.</w:t>
      </w:r>
    </w:p>
    <w:p>
      <w:pPr/>
      <w:r>
        <w:rPr>
          <w:lang w:val="en_US" w:bidi="en_US"/>
        </w:rPr>
      </w:r>
      <w:r>
        <w:rPr>
          <w:lang w:val="en_US" w:bidi="en_US"/>
        </w:rPr>
        <w:t xml:space="preserve">Some ways to translate </w:t>
      </w:r>
      <w:r>
        <w:rPr>
          <w:i/>
          <w:lang w:val="en_US" w:bidi="en_US"/>
        </w:rPr>
        <w:t>sins</w:t>
      </w:r>
      <w:r>
        <w:rPr>
          <w:lang w:val="en_US" w:bidi="en_US"/>
        </w:rPr>
        <w:t xml:space="preserve"> are:</w:t>
      </w:r>
    </w:p>
    <w:p>
      <w:pPr/>
      <w:r>
        <w:rPr>
          <w:lang w:val="en_US" w:bidi="en_US"/>
        </w:rPr>
      </w:r>
      <w:r>
        <w:rPr>
          <w:lang w:val="en_US" w:bidi="en_US"/>
        </w:rPr>
        <w:t>wrong acts</w:t>
      </w:r>
    </w:p>
    <w:p>
      <w:pPr/>
      <w:r>
        <w:rPr>
          <w:lang w:val="en_US" w:bidi="en_US"/>
        </w:rPr>
      </w:r>
      <w:r>
        <w:rPr>
          <w:lang w:val="en_US" w:bidi="en_US"/>
        </w:rPr>
        <w:t xml:space="preserve">offenses </w:t>
      </w:r>
      <w:r>
        <w:rPr>
          <w:lang w:val="en_US" w:bidi="en_US"/>
        </w:rPr>
        <w:t>against God</w:t>
      </w:r>
    </w:p>
    <w:p>
      <w:pPr/>
      <w:r>
        <w:rPr>
          <w:lang w:val="en_US" w:bidi="en_US"/>
        </w:rPr>
      </w:r>
      <w:r>
        <w:rPr>
          <w:lang w:val="en_US" w:bidi="en_US"/>
        </w:rPr>
        <w:t>evil deeds</w:t>
      </w:r>
    </w:p>
    <w:p>
      <w:pPr/>
      <w:r>
        <w:rPr>
          <w:lang w:val="en_US" w:bidi="en_US"/>
        </w:rPr>
      </w:r>
      <w:r>
        <w:rPr>
          <w:lang w:val="en_US" w:bidi="en_US"/>
        </w:rPr>
        <w:t xml:space="preserve">In some languages it may be natural to translate </w:t>
      </w:r>
      <w:r>
        <w:rPr>
          <w:i/>
          <w:lang w:val="en_US" w:bidi="en_US"/>
        </w:rPr>
        <w:t>sins</w:t>
      </w:r>
      <w:r>
        <w:rPr>
          <w:lang w:val="en_US" w:bidi="en_US"/>
        </w:rPr>
        <w:t xml:space="preserve"> with a phrase that includes a verb. For example:</w:t>
      </w:r>
    </w:p>
    <w:p>
      <w:pPr/>
      <w:r>
        <w:rPr>
          <w:lang w:val="en_US" w:bidi="en_US"/>
        </w:rPr>
      </w:r>
      <w:r>
        <w:rPr>
          <w:lang w:val="en_US" w:bidi="en_US"/>
        </w:rPr>
        <w:t>wrong things that they have done</w:t>
      </w:r>
      <w:r>
        <w:rPr>
          <w:lang w:val="en_US" w:bidi="en_US"/>
        </w:rPr>
      </w:r>
      <w:r>
        <w:rPr>
          <w:lang w:val="en_US" w:bidi="en_US"/>
        </w:rPr>
      </w:r>
    </w:p>
    <w:p>
      <w:pPr/>
      <w:r>
        <w:rPr>
          <w:lang w:val="en_US" w:bidi="en_US"/>
        </w:rPr>
      </w:r>
    </w:p>
    <w:p>
      <w:pPr>
        <w:pStyle w:val="Heading2"/>
      </w:pPr>
      <w:r>
        <w:rPr>
          <w:lang w:val="en_US" w:bidi="en_US"/>
        </w:rPr>
        <w:t>Luke 1:78</w:t>
      </w:r>
      <w:r>
        <w:rPr>
          <w:lang w:val="en_US" w:bidi="en_US"/>
        </w:rPr>
      </w:r>
    </w:p>
    <w:p>
      <w:pPr>
        <w:pStyle w:val="Heading4"/>
      </w:pPr>
      <w:r>
        <w:rPr>
          <w:lang w:val="en_US" w:bidi="en_US"/>
        </w:rPr>
        <w:t>Section 1:67–80: Zechariah prophesied and praised God</w:t>
      </w:r>
    </w:p>
    <w:p>
      <w:pPr/>
      <w:r>
        <w:rPr>
          <w:lang w:val="en_US" w:bidi="en_US"/>
        </w:rPr>
      </w:r>
      <w:r>
        <w:rPr>
          <w:lang w:val="en_US" w:bidi="en_US"/>
        </w:rP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pPr/>
      <w:r>
        <w:rPr>
          <w:lang w:val="en_US" w:bidi="en_US"/>
        </w:rPr>
      </w:r>
      <w:r>
        <w:rPr>
          <w:lang w:val="en_US" w:bidi="en_US"/>
        </w:rP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pPr/>
      <w:r>
        <w:rPr>
          <w:lang w:val="en_US" w:bidi="en_US"/>
        </w:rPr>
      </w:r>
      <w:r>
        <w:rPr>
          <w:lang w:val="en_US" w:bidi="en_US"/>
        </w:rP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pPr/>
      <w:r>
        <w:rPr>
          <w:lang w:val="en_US" w:bidi="en_US"/>
        </w:rPr>
      </w:r>
      <w:r>
        <w:rPr>
          <w:lang w:val="en_US" w:bidi="en_US"/>
        </w:rP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pPr/>
      <w:r>
        <w:rPr>
          <w:lang w:val="en_US" w:bidi="en_US"/>
        </w:rPr>
      </w:r>
      <w:r>
        <w:rPr>
          <w:lang w:val="en_US" w:bidi="en_US"/>
        </w:rP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pPr/>
      <w:r>
        <w:rPr>
          <w:lang w:val="en_US" w:bidi="en_US"/>
        </w:rPr>
      </w:r>
      <w:r>
        <w:rPr>
          <w:vertAlign w:val="superscript"/>
          <w:lang w:val="en_US" w:bidi="en_US"/>
        </w:rPr>
        <w:t>68a</w:t>
      </w:r>
      <w:r>
        <w:rPr>
          <w:lang w:val="en_US" w:bidi="en_US"/>
        </w:rPr>
        <w:t>Praise be to the Lord the God of Israel!</w:t>
      </w:r>
    </w:p>
    <w:p>
      <w:pPr/>
      <w:r>
        <w:rPr>
          <w:lang w:val="en_US" w:bidi="en_US"/>
        </w:rPr>
      </w:r>
      <w:r>
        <w:rPr>
          <w:vertAlign w:val="superscript"/>
          <w:lang w:val="en_US" w:bidi="en_US"/>
        </w:rPr>
        <w:t>73</w:t>
      </w:r>
      <w:r>
        <w:rPr>
          <w:lang w:val="en_US" w:bidi="en_US"/>
        </w:rPr>
        <w:t>Long ago he swore an oath to our father Abraham.</w:t>
      </w:r>
    </w:p>
    <w:p>
      <w:pPr/>
      <w:r>
        <w:rPr>
          <w:lang w:val="en_US" w:bidi="en_US"/>
        </w:rPr>
      </w:r>
      <w:r>
        <w:rPr>
          <w:vertAlign w:val="superscript"/>
          <w:lang w:val="en_US" w:bidi="en_US"/>
        </w:rPr>
        <w:t>74a</w:t>
      </w:r>
      <w:r>
        <w:rPr>
          <w:lang w:val="en_US" w:bidi="en_US"/>
        </w:rPr>
        <w:t>He promised to rescue us from the hand of our enemies…</w:t>
      </w:r>
    </w:p>
    <w:p>
      <w:pPr/>
      <w:r>
        <w:rPr>
          <w:lang w:val="en_US" w:bidi="en_US"/>
        </w:rPr>
      </w:r>
      <w:r>
        <w:rPr>
          <w:lang w:val="en_US" w:bidi="en_US"/>
        </w:rPr>
        <w:t>Some other possible headings for this section are:</w:t>
      </w:r>
    </w:p>
    <w:p>
      <w:pPr/>
      <w:r>
        <w:rPr>
          <w:lang w:val="en_US" w:bidi="en_US"/>
        </w:rPr>
      </w:r>
      <w:r>
        <w:rPr>
          <w:lang w:val="en_US" w:bidi="en_US"/>
        </w:rPr>
        <w:t>Zechariah praised God and prophesied about John</w:t>
      </w:r>
    </w:p>
    <w:p>
      <w:pPr/>
      <w:r>
        <w:rPr>
          <w:lang w:val="en_US" w:bidi="en_US"/>
        </w:rPr>
      </w:r>
      <w:r>
        <w:rPr>
          <w:lang w:val="en_US" w:bidi="en_US"/>
        </w:rPr>
        <w:t>Zechariah praised God for the Messiah who would save Israel</w:t>
      </w:r>
    </w:p>
    <w:p>
      <w:pPr/>
      <w:r>
        <w:rPr>
          <w:lang w:val="en_US" w:bidi="en_US"/>
        </w:rPr>
      </w:r>
      <w:r>
        <w:rPr>
          <w:lang w:val="en_US" w:bidi="en_US"/>
        </w:rPr>
        <w:t>Zechariah’s prophecy</w:t>
      </w:r>
    </w:p>
    <w:p>
      <w:pPr/>
      <w:r>
        <w:rPr>
          <w:lang w:val="en_US" w:bidi="en_US"/>
        </w:rPr>
      </w:r>
      <w:r>
        <w:rPr>
          <w:lang w:val="en_US" w:bidi="en_US"/>
        </w:rPr>
        <w:t>Zechariah’s song of praise to God</w:t>
      </w:r>
    </w:p>
    <w:p>
      <w:pPr>
        <w:pStyle w:val="Heading5"/>
      </w:pPr>
      <w:r>
        <w:rPr>
          <w:lang w:val="en_US" w:bidi="en_US"/>
        </w:rPr>
        <w:t>1:78a</w:t>
      </w:r>
    </w:p>
    <w:p>
      <w:pPr/>
      <w:r>
        <w:rPr>
          <w:lang w:val="en_US" w:bidi="en_US"/>
        </w:rPr>
      </w:r>
      <w:r>
        <w:rPr>
          <w:b/>
          <w:lang w:val="en_US" w:bidi="en_US"/>
        </w:rPr>
        <w:t>because of the tender mercy of our God,</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w:t>
      </w:r>
      <w:r>
        <w:rPr>
          <w:lang w:val="en_US" w:bidi="en_US"/>
        </w:rPr>
        <w:t>God saves us like this</w:t>
      </w:r>
      <w:r>
        <w:rPr>
          <w:lang w:val="en_US" w:bidi="en_US"/>
        </w:rPr>
        <w:t xml:space="preserve"> because of his compassion that he feels so intensely.</w:t>
      </w:r>
    </w:p>
    <w:p>
      <w:pPr>
        <w:pStyle w:val="ListBullet"/>
        <w:spacing w:line="240" w:lineRule="auto"/>
        <w:ind w:left="720"/>
      </w:pPr>
      <w:r>
        <w:rPr>
          <w:lang w:val="en_US" w:bidi="en_US"/>
        </w:rPr>
      </w:r>
      <w:r>
        <w:rPr>
          <w:lang w:val="en_US" w:bidi="en_US"/>
        </w:rPr>
        <w:t>His people will be saved</w:t>
      </w:r>
      <w:r>
        <w:rPr>
          <w:lang w:val="en_US" w:bidi="en_US"/>
        </w:rPr>
        <w:t xml:space="preserve"> because God is very merciful/compassionate </w:t>
      </w:r>
      <w:r>
        <w:rPr>
          <w:lang w:val="en_US" w:bidi="en_US"/>
        </w:rPr>
        <w:t>to us</w:t>
      </w:r>
      <w:r>
        <w:rPr>
          <w:vertAlign w:val="superscript"/>
          <w:lang w:val="en_US" w:bidi="en_US"/>
        </w:rPr>
        <w:t>(incl)</w:t>
      </w:r>
      <w:r>
        <w:rPr>
          <w:lang w:val="en_US" w:bidi="en_US"/>
        </w:rPr>
        <w:t>.</w:t>
      </w:r>
    </w:p>
    <w:p>
      <w:pPr/>
      <w:r>
        <w:rPr>
          <w:lang w:val="en_US" w:bidi="en_US"/>
        </w:rPr>
      </w:r>
      <w:r>
        <w:rPr>
          <w:b/>
          <w:lang w:val="en_US" w:bidi="en_US"/>
        </w:rPr>
        <w:t>because of the tender mercy of our God:</w:t>
      </w:r>
      <w:r>
        <w:rPr>
          <w:lang w:val="en_US" w:bidi="en_US"/>
        </w:rPr>
        <w:t xml:space="preserve"> The phrase </w:t>
      </w:r>
      <w:r>
        <w:rPr>
          <w:i/>
          <w:lang w:val="en_US" w:bidi="en_US"/>
        </w:rPr>
        <w:t>because of the tender mercy of our God</w:t>
      </w:r>
      <w:r>
        <w:rPr>
          <w:lang w:val="en_US" w:bidi="en_US"/>
        </w:rPr>
        <w:t xml:space="preserve"> expresses God’s motivation or basis for forgiving and saving people in 1:77. He does it because of his tender mercy. This phrase also connects with 1:78b: because of God’s tender mercy, the “Dawn” will come to visit us. Some English versions connect the phrase with 1:77, and others connect it with 1:79. Either option is acceptable.</w:t>
      </w:r>
      <w:r>
        <w:rPr>
          <w:lang w:val="en_US" w:bidi="en_US"/>
        </w:rPr>
        <w:t xml:space="preserve">In the Greek text, “the tender mercy of our God” is connected to 1:77 by </w:t>
      </w:r>
      <w:r>
        <w:rPr>
          <w:i/>
          <w:lang w:val="en_US" w:bidi="en_US"/>
        </w:rPr>
        <w:t>δια</w:t>
      </w:r>
      <w:r>
        <w:rPr>
          <w:lang w:val="en_US" w:bidi="en_US"/>
        </w:rPr>
        <w:t xml:space="preserve"> and to 1:78b by </w:t>
      </w:r>
      <w:r>
        <w:rPr>
          <w:i/>
          <w:lang w:val="en_US" w:bidi="en_US"/>
        </w:rPr>
        <w:t>ἐν οἷς</w:t>
      </w:r>
      <w:r>
        <w:rPr>
          <w:lang w:val="en_US" w:bidi="en_US"/>
        </w:rPr>
        <w:t>. Some English versions (NRSV, NLT, NET, GW, NCV, for example) have chosen to break this long sentence into smaller ones by putting a full stop at the end of 1:77. As a result, these versions only make explicit the connection between God’s mercy and the coming of the “Dawn.”</w:t>
      </w:r>
    </w:p>
    <w:p>
      <w:pPr/>
      <w:r>
        <w:rPr>
          <w:lang w:val="en_US" w:bidi="en_US"/>
        </w:rPr>
      </w:r>
      <w:r>
        <w:rPr>
          <w:lang w:val="en_US" w:bidi="en_US"/>
        </w:rPr>
        <w:t>You should decide how to connect this phrase to the context in the most natural way in your language. In some languages you may be able to leave these connections implied. For example:</w:t>
      </w:r>
    </w:p>
    <w:p>
      <w:pPr/>
      <w:r>
        <w:rPr>
          <w:lang w:val="en_US" w:bidi="en_US"/>
        </w:rPr>
      </w:r>
      <w:r>
        <w:rPr>
          <w:vertAlign w:val="superscript"/>
          <w:lang w:val="en_US" w:bidi="en_US"/>
        </w:rPr>
        <w:t>77</w:t>
      </w:r>
      <w:r>
        <w:rPr>
          <w:lang w:val="en_US" w:bidi="en_US"/>
        </w:rPr>
        <w:t>…having their sins forgiven.</w:t>
      </w:r>
    </w:p>
    <w:p>
      <w:pPr/>
      <w:r>
        <w:rPr>
          <w:lang w:val="en_US" w:bidi="en_US"/>
        </w:rPr>
      </w:r>
      <w:r>
        <w:rPr>
          <w:vertAlign w:val="superscript"/>
          <w:lang w:val="en_US" w:bidi="en_US"/>
        </w:rPr>
        <w:t>78a</w:t>
      </w:r>
      <w:r>
        <w:rPr>
          <w:lang w:val="en_US" w:bidi="en_US"/>
        </w:rPr>
        <w:t>Our God is merciful and tender.</w:t>
      </w:r>
    </w:p>
    <w:p>
      <w:pPr/>
      <w:r>
        <w:rPr>
          <w:lang w:val="en_US" w:bidi="en_US"/>
        </w:rPr>
      </w:r>
      <w:r>
        <w:rPr>
          <w:vertAlign w:val="superscript"/>
          <w:lang w:val="en_US" w:bidi="en_US"/>
        </w:rPr>
        <w:t>78b</w:t>
      </w:r>
      <w:r>
        <w:rPr>
          <w:lang w:val="en_US" w:bidi="en_US"/>
        </w:rPr>
        <w:t>He will cause the bright dawn of salvation to rise on us… (GNT)</w:t>
      </w:r>
    </w:p>
    <w:p>
      <w:pPr/>
      <w:r>
        <w:rPr>
          <w:lang w:val="en_US" w:bidi="en_US"/>
        </w:rPr>
      </w:r>
      <w:r>
        <w:rPr>
          <w:lang w:val="en_US" w:bidi="en_US"/>
        </w:rPr>
        <w:t>Some other ways to express the connections in English are:</w:t>
      </w:r>
    </w:p>
    <w:p>
      <w:pPr/>
      <w:r>
        <w:rPr>
          <w:lang w:val="en_US" w:bidi="en_US"/>
        </w:rPr>
      </w:r>
      <w:r>
        <w:rPr>
          <w:vertAlign w:val="superscript"/>
          <w:lang w:val="en_US" w:bidi="en_US"/>
        </w:rPr>
        <w:t>77</w:t>
      </w:r>
      <w:r>
        <w:rPr>
          <w:lang w:val="en_US" w:bidi="en_US"/>
        </w:rPr>
        <w:t xml:space="preserve"> </w:t>
      </w:r>
      <w:r>
        <w:rPr>
          <w:lang w:val="en_US" w:bidi="en_US"/>
        </w:rPr>
        <w:t>You will</w:t>
      </w:r>
      <w:r>
        <w:rPr>
          <w:lang w:val="en_US" w:bidi="en_US"/>
        </w:rPr>
        <w:t xml:space="preserve"> give his people knowledge of salvation through our God forgiving their sins </w:t>
      </w:r>
      <w:r>
        <w:rPr>
          <w:vertAlign w:val="superscript"/>
          <w:lang w:val="en_US" w:bidi="en_US"/>
        </w:rPr>
        <w:t>78a</w:t>
      </w:r>
      <w:r>
        <w:rPr>
          <w:lang w:val="en_US" w:bidi="en_US"/>
        </w:rPr>
        <w:t xml:space="preserve">because of his tender mercies. As a result of his mercies, </w:t>
      </w:r>
      <w:r>
        <w:rPr>
          <w:vertAlign w:val="superscript"/>
          <w:lang w:val="en_US" w:bidi="en_US"/>
        </w:rPr>
        <w:t>78b</w:t>
      </w:r>
      <w:r>
        <w:rPr>
          <w:lang w:val="en_US" w:bidi="en_US"/>
        </w:rPr>
        <w:t>the Rising One will visit us from heaven…</w:t>
      </w:r>
    </w:p>
    <w:p>
      <w:pPr/>
      <w:r>
        <w:rPr>
          <w:lang w:val="en_US" w:bidi="en_US"/>
        </w:rPr>
      </w:r>
      <w:r>
        <w:rPr>
          <w:vertAlign w:val="superscript"/>
          <w:lang w:val="en_US" w:bidi="en_US"/>
        </w:rPr>
        <w:t>77</w:t>
      </w:r>
      <w:r>
        <w:rPr>
          <w:lang w:val="en_US" w:bidi="en_US"/>
        </w:rPr>
        <w:t xml:space="preserve">…and lead his people to a knowledge of salvation through the forgiveness of their sins: </w:t>
      </w:r>
      <w:r>
        <w:rPr>
          <w:vertAlign w:val="superscript"/>
          <w:lang w:val="en_US" w:bidi="en_US"/>
        </w:rPr>
        <w:t>78</w:t>
      </w:r>
      <w:r>
        <w:rPr>
          <w:lang w:val="en_US" w:bidi="en_US"/>
        </w:rPr>
        <w:t>for in the tender compassion of our God the dawn from heaven will break upon us… (REB)</w:t>
      </w:r>
    </w:p>
    <w:p>
      <w:pPr/>
      <w:r>
        <w:rPr>
          <w:lang w:val="en_US" w:bidi="en_US"/>
        </w:rPr>
      </w:r>
      <w:r>
        <w:rPr>
          <w:b/>
          <w:lang w:val="en_US" w:bidi="en_US"/>
        </w:rPr>
        <w:t>tender mercy:</w:t>
      </w:r>
      <w:r>
        <w:rPr>
          <w:lang w:val="en_US" w:bidi="en_US"/>
        </w:rPr>
        <w:t xml:space="preserve"> The Greek phrase that the BSB translates as </w:t>
      </w:r>
      <w:r>
        <w:rPr>
          <w:i/>
          <w:lang w:val="en_US" w:bidi="en_US"/>
        </w:rPr>
        <w:t>tender mercy</w:t>
      </w:r>
      <w:r>
        <w:rPr>
          <w:lang w:val="en_US" w:bidi="en_US"/>
        </w:rPr>
        <w:t xml:space="preserve"> is an idiom that refers to mercy and kindness that someone feels intensely. This kindness and compassion comes from a person’s deepest emotions.</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Use an idiom that has the same meaning in your language. For example:</w:t>
      </w:r>
      <w:r>
        <w:rPr>
          <w:lang w:val="en_US" w:bidi="en_US"/>
        </w:rPr>
        <w:t>the heart of our God is full of mercy (JBP)</w:t>
      </w:r>
    </w:p>
    <w:p>
      <w:pPr>
        <w:pStyle w:val="ListBullet"/>
        <w:spacing w:line="240" w:lineRule="auto"/>
        <w:ind w:left="720"/>
      </w:pPr>
      <w:r>
        <w:rPr>
          <w:lang w:val="en_US" w:bidi="en_US"/>
        </w:rPr>
      </w:r>
      <w:r>
        <w:rPr>
          <w:lang w:val="en_US" w:bidi="en_US"/>
        </w:rPr>
        <w:t>Translate the meaning of the idiom directly. For example:</w:t>
      </w:r>
      <w:r>
        <w:rPr>
          <w:lang w:val="en_US" w:bidi="en_US"/>
        </w:rPr>
        <w:t>the compassionate mercy of our God</w:t>
      </w:r>
      <w:r>
        <w:rPr>
          <w:lang w:val="en_US" w:bidi="en_US"/>
        </w:rPr>
        <w:t>our God is loving and merciful (GW)</w:t>
      </w:r>
      <w:r>
        <w:rPr>
          <w:lang w:val="en_US" w:bidi="en_US"/>
        </w:rPr>
        <w:t>the compassion that our God feels deeply/intensely</w:t>
      </w:r>
    </w:p>
    <w:p>
      <w:pPr>
        <w:pStyle w:val="Heading5"/>
      </w:pPr>
      <w:r>
        <w:rPr>
          <w:lang w:val="en_US" w:bidi="en_US"/>
        </w:rPr>
        <w:t>1:78b</w:t>
      </w:r>
    </w:p>
    <w:p>
      <w:pPr/>
      <w:r>
        <w:rPr>
          <w:lang w:val="en_US" w:bidi="en_US"/>
        </w:rPr>
      </w:r>
      <w:r>
        <w:rPr>
          <w:b/>
          <w:lang w:val="en_US" w:bidi="en_US"/>
        </w:rPr>
        <w:t>by which the Dawn will visit us from on high,</w:t>
      </w:r>
    </w:p>
    <w:p>
      <w:pPr>
        <w:pStyle w:val="ListBullet"/>
        <w:spacing w:line="240" w:lineRule="auto"/>
        <w:ind w:left="720"/>
      </w:pPr>
      <w:r>
        <w:rPr>
          <w:lang w:val="en_US" w:bidi="en_US"/>
        </w:rPr>
      </w:r>
      <w:r>
        <w:rPr>
          <w:lang w:val="en_US" w:bidi="en_US"/>
        </w:rPr>
        <w:t>Through this compassion</w:t>
      </w:r>
      <w:r>
        <w:rPr>
          <w:lang w:val="en_US" w:bidi="en_US"/>
        </w:rPr>
        <w:t xml:space="preserve"> the rising sun will come from above</w:t>
      </w:r>
    </w:p>
    <w:p>
      <w:pPr>
        <w:pStyle w:val="ListBullet"/>
        <w:spacing w:line="240" w:lineRule="auto"/>
        <w:ind w:left="720"/>
      </w:pPr>
      <w:r>
        <w:rPr>
          <w:lang w:val="en_US" w:bidi="en_US"/>
        </w:rPr>
      </w:r>
      <w:r>
        <w:rPr>
          <w:lang w:val="en_US" w:bidi="en_US"/>
        </w:rPr>
        <w:t xml:space="preserve">And so </w:t>
      </w:r>
      <w:r>
        <w:rPr>
          <w:lang w:val="en_US" w:bidi="en_US"/>
        </w:rPr>
        <w:t>the Lord/Messiah, like</w:t>
      </w:r>
      <w:r>
        <w:rPr>
          <w:lang w:val="en_US" w:bidi="en_US"/>
        </w:rPr>
        <w:t xml:space="preserve"> the sunrise/dawn, will come to us from </w:t>
      </w:r>
      <w:r>
        <w:rPr>
          <w:lang w:val="en_US" w:bidi="en_US"/>
        </w:rPr>
        <w:t>God</w:t>
      </w:r>
      <w:r>
        <w:rPr>
          <w:lang w:val="en_US" w:bidi="en_US"/>
        </w:rPr>
        <w:t>.</w:t>
      </w:r>
    </w:p>
    <w:p>
      <w:pPr/>
      <w:r>
        <w:rPr>
          <w:lang w:val="en_US" w:bidi="en_US"/>
        </w:rPr>
      </w:r>
      <w:r>
        <w:rPr>
          <w:b/>
          <w:lang w:val="en_US" w:bidi="en_US"/>
        </w:rPr>
        <w:t>by which the Dawn will visit us from on high:</w:t>
      </w:r>
      <w:r>
        <w:rPr>
          <w:lang w:val="en_US" w:bidi="en_US"/>
        </w:rPr>
        <w:t xml:space="preserve"> This part of the verse indicates a result of God’s tender mercy toward us. A literal translation of it is “by which (the) rising (sun) will visit us from the height.” The BSB translates the Greek phrase that introduces this result as </w:t>
      </w:r>
      <w:r>
        <w:rPr>
          <w:i/>
          <w:lang w:val="en_US" w:bidi="en_US"/>
        </w:rPr>
        <w:t>by which</w:t>
      </w:r>
      <w:r>
        <w:rPr>
          <w:lang w:val="en_US" w:bidi="en_US"/>
        </w:rPr>
        <w:t>. Some other ways to translate this phrase are:</w:t>
      </w:r>
    </w:p>
    <w:p>
      <w:pPr/>
      <w:r>
        <w:rPr>
          <w:lang w:val="en_US" w:bidi="en_US"/>
        </w:rPr>
      </w:r>
      <w:r>
        <w:rPr>
          <w:u w:val="single"/>
          <w:lang w:val="en_US" w:bidi="en_US"/>
        </w:rPr>
        <w:t>by</w:t>
      </w:r>
      <w:r>
        <w:rPr>
          <w:lang w:val="en_US" w:bidi="en_US"/>
        </w:rPr>
        <w:t xml:space="preserve"> God’s tender mercy</w:t>
      </w:r>
    </w:p>
    <w:p>
      <w:pPr/>
      <w:r>
        <w:rPr>
          <w:lang w:val="en_US" w:bidi="en_US"/>
        </w:rPr>
      </w:r>
      <w:r>
        <w:rPr>
          <w:u w:val="single"/>
          <w:lang w:val="en_US" w:bidi="en_US"/>
        </w:rPr>
        <w:t>through</w:t>
      </w:r>
      <w:r>
        <w:rPr>
          <w:lang w:val="en_US" w:bidi="en_US"/>
        </w:rPr>
        <w:t xml:space="preserve"> God’s tender mercy</w:t>
      </w:r>
    </w:p>
    <w:p>
      <w:pPr/>
      <w:r>
        <w:rPr>
          <w:lang w:val="en_US" w:bidi="en_US"/>
        </w:rPr>
      </w:r>
      <w:r>
        <w:rPr>
          <w:u w:val="single"/>
          <w:lang w:val="en_US" w:bidi="en_US"/>
        </w:rPr>
        <w:t>as a result of</w:t>
      </w:r>
      <w:r>
        <w:rPr>
          <w:lang w:val="en_US" w:bidi="en_US"/>
        </w:rPr>
        <w:t xml:space="preserve"> God’s tender mercy</w:t>
      </w:r>
    </w:p>
    <w:p>
      <w:pPr/>
      <w:r>
        <w:rPr>
          <w:lang w:val="en_US" w:bidi="en_US"/>
        </w:rPr>
      </w:r>
      <w:r>
        <w:rPr>
          <w:u w:val="single"/>
          <w:lang w:val="en_US" w:bidi="en_US"/>
        </w:rPr>
        <w:t>because of</w:t>
      </w:r>
      <w:r>
        <w:rPr>
          <w:lang w:val="en_US" w:bidi="en_US"/>
        </w:rPr>
        <w:t xml:space="preserve"> God’s tender mercy, </w:t>
      </w:r>
      <w:r>
        <w:rPr>
          <w:lang w:val="en_US" w:bidi="en_US"/>
        </w:rPr>
        <w:t>he will cause</w:t>
      </w:r>
    </w:p>
    <w:p>
      <w:pPr/>
      <w:r>
        <w:rPr>
          <w:lang w:val="en_US" w:bidi="en_US"/>
        </w:rPr>
      </w:r>
      <w:r>
        <w:rPr>
          <w:b/>
          <w:lang w:val="en_US" w:bidi="en_US"/>
        </w:rPr>
        <w:t>the Dawn:</w:t>
      </w:r>
      <w:r>
        <w:rPr>
          <w:lang w:val="en_US" w:bidi="en_US"/>
        </w:rPr>
        <w:t xml:space="preserve"> The Greek word that the BSB translates as </w:t>
      </w:r>
      <w:r>
        <w:rPr>
          <w:i/>
          <w:lang w:val="en_US" w:bidi="en_US"/>
        </w:rPr>
        <w:t>the Dawn</w:t>
      </w:r>
      <w:r>
        <w:rPr>
          <w:lang w:val="en_US" w:bidi="en_US"/>
        </w:rPr>
        <w:t xml:space="preserve"> refers to the sun at dawn. It refers to the moment when the sun rises and the day begins. It is a figure of speech that refers to the Lord/Messiah. This figure is repeated from Malachi 4:2. It indicates that the coming of the Messiah is like light shining on people in dark places.</w:t>
      </w:r>
    </w:p>
    <w:p>
      <w:pPr/>
      <w:r>
        <w:rPr>
          <w:lang w:val="en_US" w:bidi="en_US"/>
        </w:rPr>
      </w:r>
      <w:r>
        <w:rPr>
          <w:lang w:val="en_US" w:bidi="en_US"/>
        </w:rPr>
        <w:t>Some ways to translate this figure of speech are:</w:t>
      </w:r>
    </w:p>
    <w:p>
      <w:pPr>
        <w:pStyle w:val="ListBullet"/>
        <w:spacing w:line="240" w:lineRule="auto"/>
        <w:ind w:left="720"/>
      </w:pPr>
      <w:r>
        <w:rPr>
          <w:lang w:val="en_US" w:bidi="en_US"/>
        </w:rPr>
      </w:r>
      <w:r>
        <w:rPr>
          <w:lang w:val="en_US" w:bidi="en_US"/>
        </w:rPr>
        <w:t xml:space="preserve">Indicate in the translation whom </w:t>
      </w:r>
      <w:r>
        <w:rPr>
          <w:i/>
          <w:lang w:val="en_US" w:bidi="en_US"/>
        </w:rPr>
        <w:t>the Dawn</w:t>
      </w:r>
      <w:r>
        <w:rPr>
          <w:lang w:val="en_US" w:bidi="en_US"/>
        </w:rPr>
        <w:t xml:space="preserve"> refers to. For example:</w:t>
      </w:r>
      <w:r>
        <w:rPr>
          <w:lang w:val="en_US" w:bidi="en_US"/>
        </w:rPr>
        <w:t>the Messiah/Lord, like</w:t>
      </w:r>
      <w:r>
        <w:rPr>
          <w:lang w:val="en_US" w:bidi="en_US"/>
        </w:rPr>
        <w:t xml:space="preserve"> the rising sun</w:t>
      </w:r>
      <w:r>
        <w:rPr>
          <w:lang w:val="en_US" w:bidi="en_US"/>
        </w:rPr>
        <w:t>the Lord, like</w:t>
      </w:r>
      <w:r>
        <w:rPr>
          <w:lang w:val="en_US" w:bidi="en_US"/>
        </w:rPr>
        <w:t xml:space="preserve"> sunrise/dawn</w:t>
      </w:r>
    </w:p>
    <w:p>
      <w:pPr>
        <w:pStyle w:val="ListBullet"/>
        <w:spacing w:line="240" w:lineRule="auto"/>
        <w:ind w:left="720"/>
      </w:pPr>
      <w:r>
        <w:rPr>
          <w:lang w:val="en_US" w:bidi="en_US"/>
        </w:rPr>
      </w:r>
      <w:r>
        <w:rPr>
          <w:lang w:val="en_US" w:bidi="en_US"/>
        </w:rPr>
        <w:t xml:space="preserve">Include a footnote and say that </w:t>
      </w:r>
      <w:r>
        <w:rPr>
          <w:i/>
          <w:lang w:val="en_US" w:bidi="en_US"/>
        </w:rPr>
        <w:t>the Dawn</w:t>
      </w:r>
      <w:r>
        <w:rPr>
          <w:lang w:val="en_US" w:bidi="en_US"/>
        </w:rPr>
        <w:t xml:space="preserve"> represents the Lord/ Messiah. For example:</w:t>
      </w:r>
      <w:r>
        <w:rPr>
          <w:lang w:val="en_US" w:bidi="en_US"/>
        </w:rPr>
        <w:t>The word “Dawn” (or the phrase “rising sun”) represents the Messiah coming from heaven.</w:t>
      </w:r>
    </w:p>
    <w:p>
      <w:pPr/>
      <w:r>
        <w:rPr>
          <w:lang w:val="en_US" w:bidi="en_US"/>
        </w:rPr>
      </w:r>
      <w:r>
        <w:rPr>
          <w:lang w:val="en_US" w:bidi="en_US"/>
        </w:rPr>
        <w:t>See the General Comment on 1:78b–79b at the end of 1:79b for another suggestion about how to translate this figure of speech.</w:t>
      </w:r>
    </w:p>
    <w:p>
      <w:pPr/>
      <w:r>
        <w:rPr>
          <w:lang w:val="en_US" w:bidi="en_US"/>
        </w:rPr>
      </w:r>
      <w:r>
        <w:rPr>
          <w:b/>
          <w:lang w:val="en_US" w:bidi="en_US"/>
        </w:rPr>
        <w:t>will visit:</w:t>
      </w:r>
      <w:r>
        <w:rPr>
          <w:lang w:val="en_US" w:bidi="en_US"/>
        </w:rPr>
        <w:t xml:space="preserve"> There is a textual issue here:</w:t>
      </w:r>
    </w:p>
    <w:p>
      <w:pPr>
        <w:pStyle w:val="ListNumber"/>
        <w:numPr>
          <w:ilvl w:val="0"/>
          <w:numId w:val="29"/>
        </w:numPr>
        <w:spacing w:line="240" w:lineRule="auto"/>
        <w:ind w:left="720"/>
      </w:pPr>
      <w:r>
        <w:rPr>
          <w:lang w:val="en_US" w:bidi="en_US"/>
        </w:rPr>
      </w:r>
      <w:r>
        <w:rPr>
          <w:lang w:val="en_US" w:bidi="en_US"/>
        </w:rPr>
        <w:t>Some Greek manuscripts have the future tense “will come/visit.” For example:</w:t>
      </w:r>
      <w:r>
        <w:rPr>
          <w:lang w:val="en_US" w:bidi="en_US"/>
        </w:rPr>
        <w:t xml:space="preserve">A new day </w:t>
      </w:r>
      <w:r>
        <w:rPr>
          <w:u w:val="single"/>
          <w:lang w:val="en_US" w:bidi="en_US"/>
        </w:rPr>
        <w:t>will</w:t>
      </w:r>
      <w:r>
        <w:rPr>
          <w:lang w:val="en_US" w:bidi="en_US"/>
        </w:rPr>
        <w:t xml:space="preserve"> dawn (GW) </w:t>
      </w:r>
      <w:r>
        <w:rPr>
          <w:i/>
          <w:lang w:val="en_US" w:bidi="en_US"/>
        </w:rPr>
        <w:t>(BSB, RSV, NIV, GNT, NASB, NLT, GW, CEV, NET, JBP, REB, NCV)</w:t>
      </w:r>
    </w:p>
    <w:p>
      <w:pPr>
        <w:pStyle w:val="ListNumber"/>
        <w:spacing w:line="240" w:lineRule="auto"/>
        <w:ind w:left="720"/>
      </w:pPr>
      <w:r>
        <w:rPr>
          <w:lang w:val="en_US" w:bidi="en_US"/>
        </w:rPr>
      </w:r>
      <w:r>
        <w:rPr>
          <w:lang w:val="en_US" w:bidi="en_US"/>
        </w:rPr>
        <w:t>Other Greek manuscripts have the past tense “has come/visited.” For example:</w:t>
      </w:r>
      <w:r>
        <w:rPr>
          <w:lang w:val="en_US" w:bidi="en_US"/>
        </w:rPr>
        <w:t xml:space="preserve">the rising Sun </w:t>
      </w:r>
      <w:r>
        <w:rPr>
          <w:u w:val="single"/>
          <w:lang w:val="en_US" w:bidi="en_US"/>
        </w:rPr>
        <w:t>has</w:t>
      </w:r>
      <w:r>
        <w:rPr>
          <w:lang w:val="en_US" w:bidi="en_US"/>
        </w:rPr>
        <w:t xml:space="preserve"> come (NJB) </w:t>
      </w:r>
      <w:r>
        <w:rPr>
          <w:i/>
          <w:lang w:val="en_US" w:bidi="en_US"/>
        </w:rPr>
        <w:t>(NJB, KJV)</w:t>
      </w:r>
    </w:p>
    <w:p>
      <w:pPr/>
      <w:r>
        <w:rPr>
          <w:lang w:val="en_US" w:bidi="en_US"/>
        </w:rPr>
      </w:r>
      <w:r>
        <w:rPr>
          <w:lang w:val="en_US" w:bidi="en_US"/>
        </w:rPr>
        <w:t>It is recommended that you follow option (1) because it has early and strong manuscript support.</w:t>
      </w:r>
      <w:r>
        <w:rPr>
          <w:lang w:val="en_US" w:bidi="en_US"/>
        </w:rPr>
        <w:t xml:space="preserve">This recommendation is based on Swanson, p. 29; </w:t>
      </w:r>
      <w:r>
        <w:rPr>
          <w:i/>
          <w:lang w:val="en_US" w:bidi="en_US"/>
        </w:rPr>
        <w:t>Greek NT UBS 4th ed.</w:t>
      </w:r>
      <w:r>
        <w:rPr>
          <w:lang w:val="en_US" w:bidi="en_US"/>
        </w:rPr>
        <w:t xml:space="preserve">; Metzger, p. 110; and </w:t>
      </w:r>
      <w:r>
        <w:rPr>
          <w:i/>
          <w:lang w:val="en_US" w:bidi="en_US"/>
        </w:rPr>
        <w:t>Exegetical Summaries</w:t>
      </w:r>
      <w:r>
        <w:rPr>
          <w:lang w:val="en_US" w:bidi="en_US"/>
        </w:rPr>
        <w:t xml:space="preserve"> on </w:t>
      </w:r>
      <w:r>
        <w:rPr>
          <w:i/>
          <w:lang w:val="en_US" w:bidi="en_US"/>
        </w:rPr>
        <w:t>TW</w:t>
      </w:r>
      <w:r>
        <w:rPr>
          <w:lang w:val="en_US" w:bidi="en_US"/>
        </w:rPr>
        <w:t>.</w:t>
      </w:r>
      <w:r>
        <w:rPr>
          <w:lang w:val="en_US" w:bidi="en_US"/>
        </w:rPr>
        <w:t xml:space="preserve"> Also, most English versions follow this option.</w:t>
      </w:r>
    </w:p>
    <w:p>
      <w:pPr/>
      <w:r>
        <w:rPr>
          <w:lang w:val="en_US" w:bidi="en_US"/>
        </w:rPr>
      </w:r>
      <w:r>
        <w:rPr>
          <w:b/>
          <w:lang w:val="en_US" w:bidi="en_US"/>
        </w:rPr>
        <w:t>from on high:</w:t>
      </w:r>
      <w:r>
        <w:rPr>
          <w:lang w:val="en_US" w:bidi="en_US"/>
        </w:rPr>
        <w:t xml:space="preserve"> The Greek phrase that the BSB translates as </w:t>
      </w:r>
      <w:r>
        <w:rPr>
          <w:i/>
          <w:lang w:val="en_US" w:bidi="en_US"/>
        </w:rPr>
        <w:t>on high</w:t>
      </w:r>
      <w:r>
        <w:rPr>
          <w:lang w:val="en_US" w:bidi="en_US"/>
        </w:rPr>
        <w:t xml:space="preserve"> refers to two places. It refers to the sky, where the sun is, and also to God’s dwelling, where the Messiah came from. Try to choose a phrase that can refer to both places, as “from on high” does.</w:t>
      </w:r>
    </w:p>
    <w:p>
      <w:pPr/>
      <w:r>
        <w:rPr>
          <w:lang w:val="en_US" w:bidi="en_US"/>
        </w:rPr>
      </w:r>
      <w:r>
        <w:rPr>
          <w:lang w:val="en_US" w:bidi="en_US"/>
        </w:rPr>
        <w:t>See heaven, Meanings 1 and 2, in the Glossary.</w:t>
      </w:r>
      <w:r>
        <w:rPr>
          <w:lang w:val="en_US" w:bidi="en_US"/>
        </w:rPr>
      </w:r>
      <w:r>
        <w:rPr>
          <w:lang w:val="en_US" w:bidi="en_US"/>
        </w:rPr>
      </w:r>
    </w:p>
    <w:p>
      <w:pPr/>
      <w:r>
        <w:rPr>
          <w:lang w:val="en_US" w:bidi="en_US"/>
        </w:rPr>
      </w:r>
    </w:p>
    <w:p>
      <w:pPr>
        <w:pStyle w:val="Heading2"/>
      </w:pPr>
      <w:r>
        <w:rPr>
          <w:lang w:val="en_US" w:bidi="en_US"/>
        </w:rPr>
        <w:t>Luke 1:79</w:t>
      </w:r>
      <w:r>
        <w:rPr>
          <w:lang w:val="en_US" w:bidi="en_US"/>
        </w:rPr>
      </w:r>
    </w:p>
    <w:p>
      <w:pPr>
        <w:pStyle w:val="Heading4"/>
      </w:pPr>
      <w:r>
        <w:rPr>
          <w:lang w:val="en_US" w:bidi="en_US"/>
        </w:rPr>
        <w:t>Section 1:67–80: Zechariah prophesied and praised God</w:t>
      </w:r>
    </w:p>
    <w:p>
      <w:pPr/>
      <w:r>
        <w:rPr>
          <w:lang w:val="en_US" w:bidi="en_US"/>
        </w:rPr>
      </w:r>
      <w:r>
        <w:rPr>
          <w:lang w:val="en_US" w:bidi="en_US"/>
        </w:rP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pPr/>
      <w:r>
        <w:rPr>
          <w:lang w:val="en_US" w:bidi="en_US"/>
        </w:rPr>
      </w:r>
      <w:r>
        <w:rPr>
          <w:lang w:val="en_US" w:bidi="en_US"/>
        </w:rP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pPr/>
      <w:r>
        <w:rPr>
          <w:lang w:val="en_US" w:bidi="en_US"/>
        </w:rPr>
      </w:r>
      <w:r>
        <w:rPr>
          <w:lang w:val="en_US" w:bidi="en_US"/>
        </w:rP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pPr/>
      <w:r>
        <w:rPr>
          <w:lang w:val="en_US" w:bidi="en_US"/>
        </w:rPr>
      </w:r>
      <w:r>
        <w:rPr>
          <w:lang w:val="en_US" w:bidi="en_US"/>
        </w:rP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pPr/>
      <w:r>
        <w:rPr>
          <w:lang w:val="en_US" w:bidi="en_US"/>
        </w:rPr>
      </w:r>
      <w:r>
        <w:rPr>
          <w:lang w:val="en_US" w:bidi="en_US"/>
        </w:rP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pPr/>
      <w:r>
        <w:rPr>
          <w:lang w:val="en_US" w:bidi="en_US"/>
        </w:rPr>
      </w:r>
      <w:r>
        <w:rPr>
          <w:vertAlign w:val="superscript"/>
          <w:lang w:val="en_US" w:bidi="en_US"/>
        </w:rPr>
        <w:t>68a</w:t>
      </w:r>
      <w:r>
        <w:rPr>
          <w:lang w:val="en_US" w:bidi="en_US"/>
        </w:rPr>
        <w:t>Praise be to the Lord the God of Israel!</w:t>
      </w:r>
    </w:p>
    <w:p>
      <w:pPr/>
      <w:r>
        <w:rPr>
          <w:lang w:val="en_US" w:bidi="en_US"/>
        </w:rPr>
      </w:r>
      <w:r>
        <w:rPr>
          <w:vertAlign w:val="superscript"/>
          <w:lang w:val="en_US" w:bidi="en_US"/>
        </w:rPr>
        <w:t>73</w:t>
      </w:r>
      <w:r>
        <w:rPr>
          <w:lang w:val="en_US" w:bidi="en_US"/>
        </w:rPr>
        <w:t>Long ago he swore an oath to our father Abraham.</w:t>
      </w:r>
    </w:p>
    <w:p>
      <w:pPr/>
      <w:r>
        <w:rPr>
          <w:lang w:val="en_US" w:bidi="en_US"/>
        </w:rPr>
      </w:r>
      <w:r>
        <w:rPr>
          <w:vertAlign w:val="superscript"/>
          <w:lang w:val="en_US" w:bidi="en_US"/>
        </w:rPr>
        <w:t>74a</w:t>
      </w:r>
      <w:r>
        <w:rPr>
          <w:lang w:val="en_US" w:bidi="en_US"/>
        </w:rPr>
        <w:t>He promised to rescue us from the hand of our enemies…</w:t>
      </w:r>
    </w:p>
    <w:p>
      <w:pPr/>
      <w:r>
        <w:rPr>
          <w:lang w:val="en_US" w:bidi="en_US"/>
        </w:rPr>
      </w:r>
      <w:r>
        <w:rPr>
          <w:lang w:val="en_US" w:bidi="en_US"/>
        </w:rPr>
        <w:t>Some other possible headings for this section are:</w:t>
      </w:r>
    </w:p>
    <w:p>
      <w:pPr/>
      <w:r>
        <w:rPr>
          <w:lang w:val="en_US" w:bidi="en_US"/>
        </w:rPr>
      </w:r>
      <w:r>
        <w:rPr>
          <w:lang w:val="en_US" w:bidi="en_US"/>
        </w:rPr>
        <w:t>Zechariah praised God and prophesied about John</w:t>
      </w:r>
    </w:p>
    <w:p>
      <w:pPr/>
      <w:r>
        <w:rPr>
          <w:lang w:val="en_US" w:bidi="en_US"/>
        </w:rPr>
      </w:r>
      <w:r>
        <w:rPr>
          <w:lang w:val="en_US" w:bidi="en_US"/>
        </w:rPr>
        <w:t>Zechariah praised God for the Messiah who would save Israel</w:t>
      </w:r>
    </w:p>
    <w:p>
      <w:pPr/>
      <w:r>
        <w:rPr>
          <w:lang w:val="en_US" w:bidi="en_US"/>
        </w:rPr>
      </w:r>
      <w:r>
        <w:rPr>
          <w:lang w:val="en_US" w:bidi="en_US"/>
        </w:rPr>
        <w:t>Zechariah’s prophecy</w:t>
      </w:r>
    </w:p>
    <w:p>
      <w:pPr/>
      <w:r>
        <w:rPr>
          <w:lang w:val="en_US" w:bidi="en_US"/>
        </w:rPr>
      </w:r>
      <w:r>
        <w:rPr>
          <w:lang w:val="en_US" w:bidi="en_US"/>
        </w:rPr>
        <w:t>Zechariah’s song of praise to God</w:t>
      </w:r>
    </w:p>
    <w:p>
      <w:pPr>
        <w:pStyle w:val="Heading5"/>
      </w:pPr>
      <w:r>
        <w:rPr>
          <w:lang w:val="en_US" w:bidi="en_US"/>
        </w:rPr>
        <w:t>1:79a</w:t>
      </w:r>
    </w:p>
    <w:p>
      <w:pPr/>
      <w:r>
        <w:rPr>
          <w:lang w:val="en_US" w:bidi="en_US"/>
        </w:rPr>
      </w:r>
      <w:r>
        <w:rPr>
          <w:b/>
          <w:lang w:val="en_US" w:bidi="en_US"/>
        </w:rPr>
        <w:t>to shine on those who live in darkness</w:t>
      </w:r>
    </w:p>
    <w:p>
      <w:pPr>
        <w:pStyle w:val="ListBullet"/>
        <w:spacing w:line="240" w:lineRule="auto"/>
        <w:ind w:left="720"/>
      </w:pPr>
      <w:r>
        <w:rPr>
          <w:lang w:val="en_US" w:bidi="en_US"/>
        </w:rPr>
      </w:r>
      <w:r>
        <w:rPr>
          <w:lang w:val="en_US" w:bidi="en_US"/>
        </w:rPr>
        <w:t xml:space="preserve">to shine on those </w:t>
      </w:r>
      <w:r>
        <w:rPr>
          <w:lang w:val="en_US" w:bidi="en_US"/>
        </w:rPr>
        <w:t>people who are</w:t>
      </w:r>
      <w:r>
        <w:rPr>
          <w:lang w:val="en_US" w:bidi="en_US"/>
        </w:rPr>
        <w:t xml:space="preserve"> living in darkness</w:t>
      </w:r>
    </w:p>
    <w:p>
      <w:pPr>
        <w:pStyle w:val="ListBullet"/>
        <w:spacing w:line="240" w:lineRule="auto"/>
        <w:ind w:left="720"/>
      </w:pPr>
      <w:r>
        <w:rPr>
          <w:lang w:val="en_US" w:bidi="en_US"/>
        </w:rPr>
      </w:r>
      <w:r>
        <w:rPr>
          <w:lang w:val="en_US" w:bidi="en_US"/>
        </w:rPr>
        <w:t>He will</w:t>
      </w:r>
      <w:r>
        <w:rPr>
          <w:lang w:val="en_US" w:bidi="en_US"/>
        </w:rPr>
        <w:t xml:space="preserve"> help/bless those </w:t>
      </w:r>
      <w:r>
        <w:rPr>
          <w:lang w:val="en_US" w:bidi="en_US"/>
        </w:rPr>
        <w:t>who are</w:t>
      </w:r>
      <w:r>
        <w:rPr>
          <w:lang w:val="en_US" w:bidi="en_US"/>
        </w:rPr>
        <w:t xml:space="preserve"> living in gloom and distress,</w:t>
      </w:r>
    </w:p>
    <w:p>
      <w:pPr/>
      <w:r>
        <w:rPr>
          <w:lang w:val="en_US" w:bidi="en_US"/>
        </w:rPr>
      </w:r>
      <w:r>
        <w:rPr>
          <w:b/>
          <w:lang w:val="en_US" w:bidi="en_US"/>
        </w:rPr>
        <w:t>to shine on those who live in darkness:</w:t>
      </w:r>
      <w:r>
        <w:rPr>
          <w:lang w:val="en_US" w:bidi="en_US"/>
        </w:rPr>
        <w:t xml:space="preserve"> The Greek verb that the BSB translates as </w:t>
      </w:r>
      <w:r>
        <w:rPr>
          <w:i/>
          <w:lang w:val="en_US" w:bidi="en_US"/>
        </w:rPr>
        <w:t>to shine on</w:t>
      </w:r>
      <w:r>
        <w:rPr>
          <w:lang w:val="en_US" w:bidi="en_US"/>
        </w:rPr>
        <w:t xml:space="preserve"> means “to appear to” or “to give light to.” This part of the verse continues the figure of speech in 1:78b. The sun rises and brings light to places that were dark. In the same way, the Messiah would bless or help people who were living in spiritual darkness. So another way to translate this is:</w:t>
      </w:r>
    </w:p>
    <w:p>
      <w:pPr/>
      <w:r>
        <w:rPr>
          <w:lang w:val="en_US" w:bidi="en_US"/>
        </w:rPr>
      </w:r>
      <w:r>
        <w:rPr>
          <w:lang w:val="en_US" w:bidi="en_US"/>
        </w:rPr>
        <w:t xml:space="preserve">to bless/help people living in </w:t>
      </w:r>
      <w:r>
        <w:rPr>
          <w:lang w:val="en_US" w:bidi="en_US"/>
        </w:rPr>
        <w:t>spiritual</w:t>
      </w:r>
      <w:r>
        <w:rPr>
          <w:lang w:val="en_US" w:bidi="en_US"/>
        </w:rPr>
        <w:t xml:space="preserve"> darkness</w:t>
      </w:r>
    </w:p>
    <w:p>
      <w:pPr/>
      <w:r>
        <w:rPr>
          <w:lang w:val="en_US" w:bidi="en_US"/>
        </w:rPr>
      </w:r>
      <w:r>
        <w:rPr>
          <w:lang w:val="en_US" w:bidi="en_US"/>
        </w:rPr>
        <w:t xml:space="preserve">Darkness and light are a common figure of speech in the Bible. The word </w:t>
      </w:r>
      <w:r>
        <w:rPr>
          <w:i/>
          <w:lang w:val="en_US" w:bidi="en_US"/>
        </w:rPr>
        <w:t>darkness</w:t>
      </w:r>
      <w:r>
        <w:rPr>
          <w:lang w:val="en_US" w:bidi="en_US"/>
        </w:rPr>
        <w:t xml:space="preserve"> can be used to refer to sin, separation from God, lack of spiritual understanding, ignorance, and unbelief. In some languages it may be helpful to include a footnote about this. For example, the TRT suggests this footnote:</w:t>
      </w:r>
    </w:p>
    <w:p>
      <w:pPr/>
      <w:r>
        <w:rPr>
          <w:lang w:val="en_US" w:bidi="en_US"/>
        </w:rPr>
      </w:r>
      <w:r>
        <w:rPr>
          <w:lang w:val="en_US" w:bidi="en_US"/>
        </w:rPr>
        <w:t>Darkness represents sin, evil, spiritual blindness/ignorance, unbelief, hopeless despair, and separation from God (who is light; 1 John 1:5). Compare Ephesians 5:8.</w:t>
      </w:r>
    </w:p>
    <w:p>
      <w:pPr>
        <w:pStyle w:val="Heading5"/>
      </w:pPr>
      <w:r>
        <w:rPr>
          <w:lang w:val="en_US" w:bidi="en_US"/>
        </w:rPr>
        <w:t>1:79b</w:t>
      </w:r>
    </w:p>
    <w:p>
      <w:pPr/>
      <w:r>
        <w:rPr>
          <w:lang w:val="en_US" w:bidi="en_US"/>
        </w:rPr>
      </w:r>
      <w:r>
        <w:rPr>
          <w:b/>
          <w:lang w:val="en_US" w:bidi="en_US"/>
        </w:rPr>
        <w:t>and in the shadow of death,</w:t>
      </w:r>
    </w:p>
    <w:p>
      <w:pPr>
        <w:pStyle w:val="ListBullet"/>
        <w:spacing w:line="240" w:lineRule="auto"/>
        <w:ind w:left="720"/>
      </w:pPr>
      <w:r>
        <w:rPr>
          <w:lang w:val="en_US" w:bidi="en_US"/>
        </w:rPr>
      </w:r>
      <w:r>
        <w:rPr>
          <w:lang w:val="en_US" w:bidi="en_US"/>
        </w:rPr>
        <w:t>and are threatened by death.</w:t>
      </w:r>
    </w:p>
    <w:p>
      <w:pPr>
        <w:pStyle w:val="ListBullet"/>
        <w:spacing w:line="240" w:lineRule="auto"/>
        <w:ind w:left="720"/>
      </w:pPr>
      <w:r>
        <w:rPr>
          <w:lang w:val="en_US" w:bidi="en_US"/>
        </w:rPr>
      </w:r>
      <w:r>
        <w:rPr>
          <w:lang w:val="en_US" w:bidi="en_US"/>
        </w:rPr>
        <w:t>who are afraid and distressed as they think of dying.</w:t>
      </w:r>
    </w:p>
    <w:p>
      <w:pPr/>
      <w:r>
        <w:rPr>
          <w:lang w:val="en_US" w:bidi="en_US"/>
        </w:rPr>
      </w:r>
      <w:r>
        <w:rPr>
          <w:b/>
          <w:lang w:val="en_US" w:bidi="en_US"/>
        </w:rPr>
        <w:t>and in the shadow of death:</w:t>
      </w:r>
      <w:r>
        <w:rPr>
          <w:lang w:val="en_US" w:bidi="en_US"/>
        </w:rPr>
        <w:t xml:space="preserve"> The phrase </w:t>
      </w:r>
      <w:r>
        <w:rPr>
          <w:i/>
          <w:lang w:val="en_US" w:bidi="en_US"/>
        </w:rPr>
        <w:t>the shadow of death</w:t>
      </w:r>
      <w:r>
        <w:rPr>
          <w:lang w:val="en_US" w:bidi="en_US"/>
        </w:rPr>
        <w:t xml:space="preserve"> is another figure of speech. It refers to people who are troubled and grieved as they think about death.</w:t>
      </w:r>
    </w:p>
    <w:p>
      <w:pPr/>
      <w:r>
        <w:rPr>
          <w:lang w:val="en_US" w:bidi="en_US"/>
        </w:rPr>
      </w:r>
      <w:r>
        <w:rPr>
          <w:lang w:val="en_US" w:bidi="en_US"/>
        </w:rPr>
        <w:t>These are the same people as those described as “living in darkness.” Zechariah was describing them in a different way. These were people who knew that they and others would have to die, and they were troubled, grieved, and afraid.</w:t>
      </w:r>
    </w:p>
    <w:p>
      <w:pPr>
        <w:pStyle w:val="Heading6"/>
      </w:pPr>
      <w:r>
        <w:rPr>
          <w:b/>
          <w:lang w:val="en_US" w:bidi="en_US"/>
        </w:rPr>
        <w:t>General Comment on 1:78b–79b</w:t>
      </w:r>
    </w:p>
    <w:p>
      <w:pPr/>
      <w:r>
        <w:rPr>
          <w:lang w:val="en_US" w:bidi="en_US"/>
        </w:rPr>
      </w:r>
      <w:r>
        <w:rPr>
          <w:lang w:val="en_US" w:bidi="en_US"/>
        </w:rPr>
        <w:t>Another way to express the images of 1:78b–1:79b is:</w:t>
      </w:r>
    </w:p>
    <w:p>
      <w:pPr/>
      <w:r>
        <w:rPr>
          <w:lang w:val="en_US" w:bidi="en_US"/>
        </w:rPr>
      </w:r>
      <w:r>
        <w:rPr>
          <w:lang w:val="en_US" w:bidi="en_US"/>
        </w:rPr>
        <w:t>As the rising sun dispels darkness, so the Lord/Messiah will come from God to help those who live in spiritual darkness and fear of death.</w:t>
      </w:r>
    </w:p>
    <w:p>
      <w:pPr>
        <w:pStyle w:val="Heading5"/>
      </w:pPr>
      <w:r>
        <w:rPr>
          <w:lang w:val="en_US" w:bidi="en_US"/>
        </w:rPr>
        <w:t>1:79c</w:t>
      </w:r>
    </w:p>
    <w:p>
      <w:pPr/>
      <w:r>
        <w:rPr>
          <w:lang w:val="en_US" w:bidi="en_US"/>
        </w:rPr>
      </w:r>
      <w:r>
        <w:rPr>
          <w:b/>
          <w:lang w:val="en_US" w:bidi="en_US"/>
        </w:rPr>
        <w:t>to guide our feet into the path of peace.”</w:t>
      </w:r>
    </w:p>
    <w:p>
      <w:pPr>
        <w:pStyle w:val="ListBullet"/>
        <w:spacing w:line="240" w:lineRule="auto"/>
        <w:ind w:left="720"/>
      </w:pPr>
      <w:r>
        <w:rPr>
          <w:lang w:val="en_US" w:bidi="en_US"/>
        </w:rPr>
      </w:r>
      <w:r>
        <w:rPr>
          <w:lang w:val="en_US" w:bidi="en_US"/>
        </w:rPr>
        <w:t>He will do this</w:t>
      </w:r>
      <w:r>
        <w:rPr>
          <w:lang w:val="en_US" w:bidi="en_US"/>
        </w:rPr>
        <w:t xml:space="preserve"> to guide us</w:t>
      </w:r>
      <w:r>
        <w:rPr>
          <w:vertAlign w:val="superscript"/>
          <w:lang w:val="en_US" w:bidi="en_US"/>
        </w:rPr>
        <w:t>(incl)</w:t>
      </w:r>
      <w:r>
        <w:rPr>
          <w:lang w:val="en_US" w:bidi="en_US"/>
        </w:rPr>
        <w:t xml:space="preserve"> into the way of peace </w:t>
      </w:r>
      <w:r>
        <w:rPr>
          <w:lang w:val="en_US" w:bidi="en_US"/>
        </w:rPr>
        <w:t>with God</w:t>
      </w:r>
      <w:r>
        <w:rPr>
          <w:lang w:val="en_US" w:bidi="en_US"/>
        </w:rPr>
        <w:t>.”</w:t>
      </w:r>
    </w:p>
    <w:p>
      <w:pPr>
        <w:pStyle w:val="ListBullet"/>
        <w:spacing w:line="240" w:lineRule="auto"/>
        <w:ind w:left="720"/>
      </w:pPr>
      <w:r>
        <w:rPr>
          <w:lang w:val="en_US" w:bidi="en_US"/>
        </w:rPr>
      </w:r>
      <w:r>
        <w:rPr>
          <w:lang w:val="en_US" w:bidi="en_US"/>
        </w:rPr>
        <w:t>He will do this in order</w:t>
      </w:r>
      <w:r>
        <w:rPr>
          <w:lang w:val="en_US" w:bidi="en_US"/>
        </w:rPr>
        <w:t xml:space="preserve"> to guide/lead us</w:t>
      </w:r>
      <w:r>
        <w:rPr>
          <w:vertAlign w:val="superscript"/>
          <w:lang w:val="en_US" w:bidi="en_US"/>
        </w:rPr>
        <w:t>(incl)</w:t>
      </w:r>
      <w:r>
        <w:rPr>
          <w:lang w:val="en_US" w:bidi="en_US"/>
        </w:rPr>
        <w:t xml:space="preserve"> so we can live peacefully </w:t>
      </w:r>
      <w:r>
        <w:rPr>
          <w:lang w:val="en_US" w:bidi="en_US"/>
        </w:rPr>
        <w:t>with God and one another</w:t>
      </w:r>
      <w:r>
        <w:rPr>
          <w:lang w:val="en_US" w:bidi="en_US"/>
        </w:rPr>
        <w:t>.”</w:t>
      </w:r>
    </w:p>
    <w:p>
      <w:pPr/>
      <w:r>
        <w:rPr>
          <w:lang w:val="en_US" w:bidi="en_US"/>
        </w:rPr>
      </w:r>
      <w:r>
        <w:rPr>
          <w:b/>
          <w:lang w:val="en_US" w:bidi="en_US"/>
        </w:rPr>
        <w:t>to guide our feet into the path of peace:</w:t>
      </w:r>
      <w:r>
        <w:rPr>
          <w:lang w:val="en_US" w:bidi="en_US"/>
        </w:rPr>
        <w:t xml:space="preserve"> The expression </w:t>
      </w:r>
      <w:r>
        <w:rPr>
          <w:i/>
          <w:lang w:val="en_US" w:bidi="en_US"/>
        </w:rPr>
        <w:t>to guide our feet into the path of peace</w:t>
      </w:r>
      <w:r>
        <w:rPr>
          <w:lang w:val="en_US" w:bidi="en_US"/>
        </w:rPr>
        <w:t xml:space="preserve"> is a figure of speech. In this context, </w:t>
      </w:r>
      <w:r>
        <w:rPr>
          <w:i/>
          <w:lang w:val="en_US" w:bidi="en_US"/>
        </w:rPr>
        <w:t>the path of peace</w:t>
      </w:r>
      <w:r>
        <w:rPr>
          <w:lang w:val="en_US" w:bidi="en_US"/>
        </w:rPr>
        <w:t xml:space="preserve"> has a similar meaning to “salvation” in 1:71a–b and 1:77. In this context Zechariah implied that the Messiah would save his people and enable them to live in peace and well-being.</w:t>
      </w:r>
    </w:p>
    <w:p>
      <w:pPr/>
      <w:r>
        <w:rPr>
          <w:lang w:val="en_US" w:bidi="en_US"/>
        </w:rPr>
      </w:r>
      <w:r>
        <w:rPr>
          <w:lang w:val="en_US" w:bidi="en_US"/>
        </w:rPr>
        <w:t xml:space="preserve">In 1:71 Zechariah mentioned salvation from enemies. In 1:77 he mentioned salvation through God forgiving people’s sins. Try to translate </w:t>
      </w:r>
      <w:r>
        <w:rPr>
          <w:i/>
          <w:lang w:val="en_US" w:bidi="en_US"/>
        </w:rPr>
        <w:t>peace</w:t>
      </w:r>
      <w:r>
        <w:rPr>
          <w:lang w:val="en_US" w:bidi="en_US"/>
        </w:rPr>
        <w:t xml:space="preserve"> here in a way that could describe this type of freedom or salvation from both enemies and sins.</w:t>
      </w:r>
    </w:p>
    <w:p>
      <w:pPr/>
      <w:r>
        <w:rPr>
          <w:lang w:val="en_US" w:bidi="en_US"/>
        </w:rPr>
      </w:r>
      <w:r>
        <w:rPr>
          <w:lang w:val="en_US" w:bidi="en_US"/>
        </w:rPr>
        <w:t>He will guide us into the way of peace. (GW)</w:t>
      </w:r>
    </w:p>
    <w:p>
      <w:pPr/>
      <w:r>
        <w:rPr>
          <w:lang w:val="en_US" w:bidi="en_US"/>
        </w:rPr>
      </w:r>
      <w:r>
        <w:rPr>
          <w:lang w:val="en_US" w:bidi="en_US"/>
        </w:rPr>
        <w:t>He will show us how to live in harmony/rest.</w:t>
      </w:r>
    </w:p>
    <w:p>
      <w:pPr/>
      <w:r>
        <w:rPr>
          <w:lang w:val="en_US" w:bidi="en_US"/>
        </w:rPr>
      </w:r>
      <w:r>
        <w:rPr>
          <w:lang w:val="en_US" w:bidi="en_US"/>
        </w:rPr>
        <w:t xml:space="preserve">He will </w:t>
      </w:r>
      <w:r>
        <w:rPr>
          <w:lang w:val="en_US" w:bidi="en_US"/>
        </w:rPr>
        <w:t>save</w:t>
      </w:r>
      <w:r>
        <w:rPr>
          <w:lang w:val="en_US" w:bidi="en_US"/>
        </w:rPr>
        <w:t xml:space="preserve"> us so that we can live in peace/wholeness.</w:t>
      </w:r>
    </w:p>
    <w:p>
      <w:pPr/>
      <w:r>
        <w:rPr>
          <w:lang w:val="en_US" w:bidi="en_US"/>
        </w:rPr>
      </w:r>
      <w:r>
        <w:rPr>
          <w:b/>
          <w:lang w:val="en_US" w:bidi="en_US"/>
        </w:rPr>
        <w:t>peace:</w:t>
      </w:r>
      <w:r>
        <w:rPr>
          <w:lang w:val="en_US" w:bidi="en_US"/>
        </w:rPr>
        <w:t xml:space="preserve"> In Jewish culture the word </w:t>
      </w:r>
      <w:r>
        <w:rPr>
          <w:i/>
          <w:lang w:val="en_US" w:bidi="en_US"/>
        </w:rPr>
        <w:t>peace</w:t>
      </w:r>
      <w:r>
        <w:rPr>
          <w:lang w:val="en_US" w:bidi="en_US"/>
        </w:rPr>
        <w:t xml:space="preserve"> has a very broad meaning. It describes a situation of well-being that can include safety, wholeness, health, and prosperity. It often describes harmony and friendship between God and people or between individuals or groups of people. This harmony is in contrast to war, hostility, or conflict.</w:t>
      </w:r>
    </w:p>
    <w:p>
      <w:pPr/>
      <w:r>
        <w:rPr>
          <w:lang w:val="en_US" w:bidi="en_US"/>
        </w:rPr>
      </w:r>
      <w:r>
        <w:rPr>
          <w:lang w:val="en_US" w:bidi="en_US"/>
        </w:rPr>
        <w:t xml:space="preserve">Some other ways to translate </w:t>
      </w:r>
      <w:r>
        <w:rPr>
          <w:i/>
          <w:lang w:val="en_US" w:bidi="en_US"/>
        </w:rPr>
        <w:t>peace</w:t>
      </w:r>
      <w:r>
        <w:rPr>
          <w:lang w:val="en_US" w:bidi="en_US"/>
        </w:rPr>
        <w:t xml:space="preserve"> here are:</w:t>
      </w:r>
    </w:p>
    <w:p>
      <w:pPr/>
      <w:r>
        <w:rPr>
          <w:lang w:val="en_US" w:bidi="en_US"/>
        </w:rPr>
      </w:r>
      <w:r>
        <w:rPr>
          <w:lang w:val="en_US" w:bidi="en_US"/>
        </w:rPr>
        <w:t>harmony</w:t>
      </w:r>
    </w:p>
    <w:p>
      <w:pPr/>
      <w:r>
        <w:rPr>
          <w:lang w:val="en_US" w:bidi="en_US"/>
        </w:rPr>
      </w:r>
      <w:r>
        <w:rPr>
          <w:lang w:val="en_US" w:bidi="en_US"/>
        </w:rPr>
        <w:t>freedom</w:t>
      </w:r>
    </w:p>
    <w:p>
      <w:pPr/>
      <w:r>
        <w:rPr>
          <w:lang w:val="en_US" w:bidi="en_US"/>
        </w:rPr>
      </w:r>
      <w:r>
        <w:rPr>
          <w:lang w:val="en_US" w:bidi="en_US"/>
        </w:rPr>
        <w:t xml:space="preserve">In English the word </w:t>
      </w:r>
      <w:r>
        <w:rPr>
          <w:i/>
          <w:lang w:val="en_US" w:bidi="en_US"/>
        </w:rPr>
        <w:t>peace</w:t>
      </w:r>
      <w:r>
        <w:rPr>
          <w:lang w:val="en_US" w:bidi="en_US"/>
        </w:rPr>
        <w:t xml:space="preserve"> is a noun. In some languages it may be more natural to translate </w:t>
      </w:r>
      <w:r>
        <w:rPr>
          <w:i/>
          <w:lang w:val="en_US" w:bidi="en_US"/>
        </w:rPr>
        <w:t>peace</w:t>
      </w:r>
      <w:r>
        <w:rPr>
          <w:lang w:val="en_US" w:bidi="en_US"/>
        </w:rPr>
        <w:t xml:space="preserve"> with a verb or in another way. For example:</w:t>
      </w:r>
    </w:p>
    <w:p>
      <w:pPr/>
      <w:r>
        <w:rPr>
          <w:lang w:val="en_US" w:bidi="en_US"/>
        </w:rPr>
      </w:r>
      <w:r>
        <w:rPr>
          <w:lang w:val="en_US" w:bidi="en_US"/>
        </w:rPr>
        <w:t>be whole/free/peaceful</w:t>
      </w:r>
    </w:p>
    <w:p>
      <w:pPr/>
      <w:r>
        <w:rPr>
          <w:lang w:val="en_US" w:bidi="en_US"/>
        </w:rPr>
      </w:r>
      <w:r>
        <w:rPr>
          <w:lang w:val="en_US" w:bidi="en_US"/>
        </w:rPr>
        <w:t>live peacefully/well</w:t>
      </w:r>
    </w:p>
    <w:p>
      <w:pPr/>
      <w:r>
        <w:rPr>
          <w:lang w:val="en_US" w:bidi="en_US"/>
        </w:rPr>
      </w:r>
      <w:r>
        <w:rPr>
          <w:lang w:val="en_US" w:bidi="en_US"/>
        </w:rPr>
        <w:t>See peace, Meaning 6, in the Glossary.</w:t>
      </w:r>
    </w:p>
    <w:p>
      <w:pPr>
        <w:pStyle w:val="Heading6"/>
      </w:pPr>
      <w:r>
        <w:rPr>
          <w:b/>
          <w:lang w:val="en_US" w:bidi="en_US"/>
        </w:rPr>
        <w:t>General Comment on 1:79c</w:t>
      </w:r>
    </w:p>
    <w:p>
      <w:pPr/>
      <w:r>
        <w:rPr>
          <w:lang w:val="en_US" w:bidi="en_US"/>
        </w:rPr>
      </w:r>
      <w:r>
        <w:rPr>
          <w:lang w:val="en_US" w:bidi="en_US"/>
        </w:rPr>
        <w:t>This is the end of Zechariah’s prophecy. Try to make this clear in your translation.</w:t>
      </w:r>
      <w:r>
        <w:rPr>
          <w:lang w:val="en_US" w:bidi="en_US"/>
        </w:rPr>
      </w:r>
      <w:r>
        <w:rPr>
          <w:lang w:val="en_US" w:bidi="en_US"/>
        </w:rPr>
      </w:r>
    </w:p>
    <w:p>
      <w:pPr/>
      <w:r>
        <w:rPr>
          <w:lang w:val="en_US" w:bidi="en_US"/>
        </w:rPr>
      </w:r>
    </w:p>
    <w:p>
      <w:pPr>
        <w:pStyle w:val="Heading2"/>
      </w:pPr>
      <w:r>
        <w:rPr>
          <w:lang w:val="en_US" w:bidi="en_US"/>
        </w:rPr>
        <w:t>Luke 1:80</w:t>
      </w:r>
      <w:r>
        <w:rPr>
          <w:lang w:val="en_US" w:bidi="en_US"/>
        </w:rPr>
      </w:r>
    </w:p>
    <w:p>
      <w:pPr>
        <w:pStyle w:val="Heading4"/>
      </w:pPr>
      <w:r>
        <w:rPr>
          <w:lang w:val="en_US" w:bidi="en_US"/>
        </w:rPr>
        <w:t>Section 1:67–80: Zechariah prophesied and praised God</w:t>
      </w:r>
    </w:p>
    <w:p>
      <w:pPr/>
      <w:r>
        <w:rPr>
          <w:lang w:val="en_US" w:bidi="en_US"/>
        </w:rPr>
      </w:r>
      <w:r>
        <w:rPr>
          <w:lang w:val="en_US" w:bidi="en_US"/>
        </w:rPr>
        <w:t>In this section the Holy Spirit gave Zechariah insight, and Zechariah spoke the message in 1:68–79. Some scholars call the message a song because it praises God and is similar to some of the psalms, which people often sang. In the message, Zechariah praised God for keeping his promises by sending the Messiah, who would deliver Israel (1:68–75). He also prophesied that his son, John, would prepare people for the Messiah (1:76–79). John grew up (1:80) and fulfilled this prophecy.</w:t>
      </w:r>
    </w:p>
    <w:p>
      <w:pPr/>
      <w:r>
        <w:rPr>
          <w:lang w:val="en_US" w:bidi="en_US"/>
        </w:rPr>
      </w:r>
      <w:r>
        <w:rPr>
          <w:lang w:val="en_US" w:bidi="en_US"/>
        </w:rPr>
        <w:t>Many verbs in 1:68–79 are in the past tense. But Zechariah was not talking only about the past. He talked about what God was doing at that time and what he would continue to do through the Messiah and through John. If possible, use verb forms that do not refer only to past events.</w:t>
      </w:r>
    </w:p>
    <w:p>
      <w:pPr/>
      <w:r>
        <w:rPr>
          <w:lang w:val="en_US" w:bidi="en_US"/>
        </w:rPr>
      </w:r>
      <w:r>
        <w:rPr>
          <w:lang w:val="en_US" w:bidi="en_US"/>
        </w:rPr>
        <w:t>The phrases in Zechariah’s prophecy are similar to phrases in the Old Testament Scriptures. Almost every clause is similar to a verse in the Old Testament. However, none are so similar that it is clear that Zechariah is quoting a certain verse. You may want to include cross-references to some of the similar verses. They will be mentioned in the Notes.</w:t>
      </w:r>
    </w:p>
    <w:p>
      <w:pPr/>
      <w:r>
        <w:rPr>
          <w:lang w:val="en_US" w:bidi="en_US"/>
        </w:rPr>
      </w:r>
      <w:r>
        <w:rPr>
          <w:lang w:val="en_US" w:bidi="en_US"/>
        </w:rPr>
        <w:t>For your translation of 1:68–79, you may want to write the clauses of this song on separate lines, as poetry. For an example, see 1:68–79 in the BSB, NIV, or GNT. In Greek, 1:68–79 is phrased as two long sentences. Most modern English versions use more and shorter sentences. The Notes will give suggestions about sentence breaks. Remember that there may be special phrases in your language that are appropriate for poetry, even if they are not used in ordinary conversation.</w:t>
      </w:r>
    </w:p>
    <w:p>
      <w:pPr/>
      <w:r>
        <w:rPr>
          <w:lang w:val="en_US" w:bidi="en_US"/>
        </w:rPr>
      </w:r>
      <w:r>
        <w:rPr>
          <w:lang w:val="en_US" w:bidi="en_US"/>
        </w:rPr>
        <w:t>In this section Zechariah did not speak about events in the order in which they happened. In some languages it may be necessary to change the order of the clauses to make the sequence of events clear. For example, here is a possible way to begin this section in some languages:</w:t>
      </w:r>
    </w:p>
    <w:p>
      <w:pPr/>
      <w:r>
        <w:rPr>
          <w:lang w:val="en_US" w:bidi="en_US"/>
        </w:rPr>
      </w:r>
      <w:r>
        <w:rPr>
          <w:vertAlign w:val="superscript"/>
          <w:lang w:val="en_US" w:bidi="en_US"/>
        </w:rPr>
        <w:t>68a</w:t>
      </w:r>
      <w:r>
        <w:rPr>
          <w:lang w:val="en_US" w:bidi="en_US"/>
        </w:rPr>
        <w:t>Praise be to the Lord the God of Israel!</w:t>
      </w:r>
    </w:p>
    <w:p>
      <w:pPr/>
      <w:r>
        <w:rPr>
          <w:lang w:val="en_US" w:bidi="en_US"/>
        </w:rPr>
      </w:r>
      <w:r>
        <w:rPr>
          <w:vertAlign w:val="superscript"/>
          <w:lang w:val="en_US" w:bidi="en_US"/>
        </w:rPr>
        <w:t>73</w:t>
      </w:r>
      <w:r>
        <w:rPr>
          <w:lang w:val="en_US" w:bidi="en_US"/>
        </w:rPr>
        <w:t>Long ago he swore an oath to our father Abraham.</w:t>
      </w:r>
    </w:p>
    <w:p>
      <w:pPr/>
      <w:r>
        <w:rPr>
          <w:lang w:val="en_US" w:bidi="en_US"/>
        </w:rPr>
      </w:r>
      <w:r>
        <w:rPr>
          <w:vertAlign w:val="superscript"/>
          <w:lang w:val="en_US" w:bidi="en_US"/>
        </w:rPr>
        <w:t>74a</w:t>
      </w:r>
      <w:r>
        <w:rPr>
          <w:lang w:val="en_US" w:bidi="en_US"/>
        </w:rPr>
        <w:t>He promised to rescue us from the hand of our enemies…</w:t>
      </w:r>
    </w:p>
    <w:p>
      <w:pPr/>
      <w:r>
        <w:rPr>
          <w:lang w:val="en_US" w:bidi="en_US"/>
        </w:rPr>
      </w:r>
      <w:r>
        <w:rPr>
          <w:lang w:val="en_US" w:bidi="en_US"/>
        </w:rPr>
        <w:t>Some other possible headings for this section are:</w:t>
      </w:r>
    </w:p>
    <w:p>
      <w:pPr/>
      <w:r>
        <w:rPr>
          <w:lang w:val="en_US" w:bidi="en_US"/>
        </w:rPr>
      </w:r>
      <w:r>
        <w:rPr>
          <w:lang w:val="en_US" w:bidi="en_US"/>
        </w:rPr>
        <w:t>Zechariah praised God and prophesied about John</w:t>
      </w:r>
    </w:p>
    <w:p>
      <w:pPr/>
      <w:r>
        <w:rPr>
          <w:lang w:val="en_US" w:bidi="en_US"/>
        </w:rPr>
      </w:r>
      <w:r>
        <w:rPr>
          <w:lang w:val="en_US" w:bidi="en_US"/>
        </w:rPr>
        <w:t>Zechariah praised God for the Messiah who would save Israel</w:t>
      </w:r>
    </w:p>
    <w:p>
      <w:pPr/>
      <w:r>
        <w:rPr>
          <w:lang w:val="en_US" w:bidi="en_US"/>
        </w:rPr>
      </w:r>
      <w:r>
        <w:rPr>
          <w:lang w:val="en_US" w:bidi="en_US"/>
        </w:rPr>
        <w:t>Zechariah’s prophecy</w:t>
      </w:r>
    </w:p>
    <w:p>
      <w:pPr/>
      <w:r>
        <w:rPr>
          <w:lang w:val="en_US" w:bidi="en_US"/>
        </w:rPr>
      </w:r>
      <w:r>
        <w:rPr>
          <w:lang w:val="en_US" w:bidi="en_US"/>
        </w:rPr>
        <w:t>Zechariah’s song of praise to God</w:t>
      </w:r>
    </w:p>
    <w:p>
      <w:pPr>
        <w:pStyle w:val="Heading5"/>
      </w:pPr>
      <w:r>
        <w:rPr>
          <w:lang w:val="en_US" w:bidi="en_US"/>
        </w:rPr>
        <w:t>1:80</w:t>
      </w:r>
    </w:p>
    <w:p>
      <w:pPr/>
      <w:r>
        <w:rPr>
          <w:lang w:val="en_US" w:bidi="en_US"/>
        </w:rPr>
      </w:r>
      <w:r>
        <w:rPr>
          <w:lang w:val="en_US" w:bidi="en_US"/>
        </w:rPr>
        <w:t>In this verse Luke gave a summary statement about John’s childhood and youth. Your translation should indicate clearly that 1:80 returns to Luke’s account of events. It is not something that Zechariah said.</w:t>
      </w:r>
    </w:p>
    <w:p>
      <w:pPr>
        <w:pStyle w:val="Heading5"/>
      </w:pPr>
      <w:r>
        <w:rPr>
          <w:lang w:val="en_US" w:bidi="en_US"/>
        </w:rPr>
        <w:t>1:80a</w:t>
      </w:r>
    </w:p>
    <w:p>
      <w:pPr/>
      <w:r>
        <w:rPr>
          <w:lang w:val="en_US" w:bidi="en_US"/>
        </w:rPr>
      </w:r>
      <w:r>
        <w:rPr>
          <w:b/>
          <w:lang w:val="en_US" w:bidi="en_US"/>
        </w:rPr>
        <w:t>And the child grew and became strong in spirit;</w:t>
      </w:r>
    </w:p>
    <w:p>
      <w:pPr>
        <w:pStyle w:val="ListBullet"/>
        <w:spacing w:line="240" w:lineRule="auto"/>
        <w:ind w:left="720"/>
      </w:pPr>
      <w:r>
        <w:rPr>
          <w:lang w:val="en_US" w:bidi="en_US"/>
        </w:rPr>
      </w:r>
      <w:r>
        <w:rPr>
          <w:lang w:val="en_US" w:bidi="en_US"/>
        </w:rPr>
        <w:t xml:space="preserve">¶ The child, </w:t>
      </w:r>
      <w:r>
        <w:rPr>
          <w:lang w:val="en_US" w:bidi="en_US"/>
        </w:rPr>
        <w:t>John,</w:t>
      </w:r>
      <w:r>
        <w:rPr>
          <w:lang w:val="en_US" w:bidi="en_US"/>
        </w:rPr>
        <w:t xml:space="preserve"> grew up and his spirit became strong/mature.</w:t>
      </w:r>
    </w:p>
    <w:p>
      <w:pPr>
        <w:pStyle w:val="ListBullet"/>
        <w:spacing w:line="240" w:lineRule="auto"/>
        <w:ind w:left="720"/>
      </w:pPr>
      <w:r>
        <w:rPr>
          <w:lang w:val="en_US" w:bidi="en_US"/>
        </w:rPr>
      </w:r>
      <w:r>
        <w:rPr>
          <w:lang w:val="en_US" w:bidi="en_US"/>
        </w:rPr>
        <w:t xml:space="preserve">¶ The boy grew up </w:t>
      </w:r>
      <w:r>
        <w:rPr>
          <w:lang w:val="en_US" w:bidi="en_US"/>
        </w:rPr>
        <w:t>and became a man</w:t>
      </w:r>
      <w:r>
        <w:rPr>
          <w:lang w:val="en_US" w:bidi="en_US"/>
        </w:rPr>
        <w:t xml:space="preserve"> and became confident and mature in character.</w:t>
      </w:r>
    </w:p>
    <w:p>
      <w:pPr/>
      <w:r>
        <w:rPr>
          <w:lang w:val="en_US" w:bidi="en_US"/>
        </w:rPr>
      </w:r>
      <w:r>
        <w:rPr>
          <w:b/>
          <w:lang w:val="en_US" w:bidi="en_US"/>
        </w:rPr>
        <w:t>And the child grew:</w:t>
      </w:r>
      <w:r>
        <w:rPr>
          <w:lang w:val="en_US" w:bidi="en_US"/>
        </w:rPr>
        <w:t xml:space="preserve"> The word </w:t>
      </w:r>
      <w:r>
        <w:rPr>
          <w:i/>
          <w:lang w:val="en_US" w:bidi="en_US"/>
        </w:rPr>
        <w:t>child</w:t>
      </w:r>
      <w:r>
        <w:rPr>
          <w:lang w:val="en_US" w:bidi="en_US"/>
        </w:rPr>
        <w:t xml:space="preserve"> refers to John. He grew up and became a man.</w:t>
      </w:r>
    </w:p>
    <w:p>
      <w:pPr/>
      <w:r>
        <w:rPr>
          <w:lang w:val="en_US" w:bidi="en_US"/>
        </w:rPr>
      </w:r>
      <w:r>
        <w:rPr>
          <w:b/>
          <w:lang w:val="en_US" w:bidi="en_US"/>
        </w:rPr>
        <w:t>became strong in spirit:</w:t>
      </w:r>
      <w:r>
        <w:rPr>
          <w:lang w:val="en_US" w:bidi="en_US"/>
        </w:rPr>
        <w:t xml:space="preserve"> The phrase </w:t>
      </w:r>
      <w:r>
        <w:rPr>
          <w:i/>
          <w:lang w:val="en_US" w:bidi="en_US"/>
        </w:rPr>
        <w:t>became strong in spirit</w:t>
      </w:r>
      <w:r>
        <w:rPr>
          <w:lang w:val="en_US" w:bidi="en_US"/>
        </w:rPr>
        <w:t xml:space="preserve"> is literally “was being strengthened in spirit.” It means that as John grew, he became confident, courageous, and mature in his thinking and character.</w:t>
      </w:r>
    </w:p>
    <w:p>
      <w:pPr>
        <w:pStyle w:val="Heading5"/>
      </w:pPr>
      <w:r>
        <w:rPr>
          <w:lang w:val="en_US" w:bidi="en_US"/>
        </w:rPr>
        <w:t>1:80b</w:t>
      </w:r>
    </w:p>
    <w:p>
      <w:pPr/>
      <w:r>
        <w:rPr>
          <w:lang w:val="en_US" w:bidi="en_US"/>
        </w:rPr>
      </w:r>
      <w:r>
        <w:rPr>
          <w:b/>
          <w:lang w:val="en_US" w:bidi="en_US"/>
        </w:rPr>
        <w:t>and he lived in the wilderness until the time of his public appearance to Israel.</w:t>
      </w:r>
    </w:p>
    <w:p>
      <w:pPr>
        <w:pStyle w:val="ListBullet"/>
        <w:spacing w:line="240" w:lineRule="auto"/>
        <w:ind w:left="720"/>
      </w:pPr>
      <w:r>
        <w:rPr>
          <w:lang w:val="en_US" w:bidi="en_US"/>
        </w:rPr>
      </w:r>
      <w:r>
        <w:rPr>
          <w:lang w:val="en_US" w:bidi="en_US"/>
        </w:rPr>
        <w:t xml:space="preserve">He lived in uninhabited areas until he began his public ministry/work to </w:t>
      </w:r>
      <w:r>
        <w:rPr>
          <w:lang w:val="en_US" w:bidi="en_US"/>
        </w:rPr>
        <w:t>the people of</w:t>
      </w:r>
      <w:r>
        <w:rPr>
          <w:lang w:val="en_US" w:bidi="en_US"/>
        </w:rPr>
        <w:t xml:space="preserve"> Israel.</w:t>
      </w:r>
    </w:p>
    <w:p>
      <w:pPr>
        <w:pStyle w:val="ListBullet"/>
        <w:spacing w:line="240" w:lineRule="auto"/>
        <w:ind w:left="720"/>
      </w:pPr>
      <w:r>
        <w:rPr>
          <w:lang w:val="en_US" w:bidi="en_US"/>
        </w:rPr>
      </w:r>
      <w:r>
        <w:rPr>
          <w:lang w:val="en_US" w:bidi="en_US"/>
        </w:rPr>
        <w:t xml:space="preserve">He lived in a desolate region when he matured. </w:t>
      </w:r>
      <w:r>
        <w:rPr>
          <w:lang w:val="en_US" w:bidi="en_US"/>
        </w:rPr>
        <w:t>Then the time came when</w:t>
      </w:r>
      <w:r>
        <w:rPr>
          <w:lang w:val="en_US" w:bidi="en_US"/>
        </w:rPr>
        <w:t xml:space="preserve"> he </w:t>
      </w:r>
      <w:r>
        <w:rPr>
          <w:lang w:val="en_US" w:bidi="en_US"/>
        </w:rPr>
        <w:t>began to preach</w:t>
      </w:r>
      <w:r>
        <w:rPr>
          <w:lang w:val="en_US" w:bidi="en_US"/>
        </w:rPr>
        <w:t xml:space="preserve"> to </w:t>
      </w:r>
      <w:r>
        <w:rPr>
          <w:lang w:val="en_US" w:bidi="en_US"/>
        </w:rPr>
        <w:t>the people of</w:t>
      </w:r>
      <w:r>
        <w:rPr>
          <w:lang w:val="en_US" w:bidi="en_US"/>
        </w:rPr>
        <w:t xml:space="preserve"> Israel.</w:t>
      </w:r>
    </w:p>
    <w:p>
      <w:pPr/>
      <w:r>
        <w:rPr>
          <w:lang w:val="en_US" w:bidi="en_US"/>
        </w:rPr>
      </w:r>
      <w:r>
        <w:rPr>
          <w:b/>
          <w:lang w:val="en_US" w:bidi="en_US"/>
        </w:rPr>
        <w:t>he lived in the wilderness until the time of his public appearance to Israel:</w:t>
      </w:r>
      <w:r>
        <w:rPr>
          <w:lang w:val="en_US" w:bidi="en_US"/>
        </w:rPr>
        <w:t xml:space="preserve"> John lived in the wilderness until the time when he began to preach publicly to the Israelites. He also continued to live in the wilderness while he was preaching to them. Translate in a way that will not imply that John stopped living in the wilderness after he began to preach publicly.</w:t>
      </w:r>
    </w:p>
    <w:p>
      <w:pPr/>
      <w:r>
        <w:rPr>
          <w:lang w:val="en_US" w:bidi="en_US"/>
        </w:rPr>
      </w:r>
      <w:r>
        <w:rPr>
          <w:lang w:val="en_US" w:bidi="en_US"/>
        </w:rPr>
        <w:t>Another way to translate this is:</w:t>
      </w:r>
    </w:p>
    <w:p>
      <w:pPr/>
      <w:r>
        <w:rPr>
          <w:lang w:val="en_US" w:bidi="en_US"/>
        </w:rPr>
      </w:r>
      <w:r>
        <w:rPr>
          <w:lang w:val="en_US" w:bidi="en_US"/>
        </w:rPr>
        <w:t>He lived in uninhabited areas when he grew up. Then he began to preach publicly to the people of Israel.</w:t>
      </w:r>
    </w:p>
    <w:p>
      <w:pPr/>
      <w:r>
        <w:rPr>
          <w:lang w:val="en_US" w:bidi="en_US"/>
        </w:rPr>
      </w:r>
      <w:r>
        <w:rPr>
          <w:b/>
          <w:lang w:val="en_US" w:bidi="en_US"/>
        </w:rPr>
        <w:t>he lived in the wilderness:</w:t>
      </w:r>
      <w:r>
        <w:rPr>
          <w:lang w:val="en_US" w:bidi="en_US"/>
        </w:rPr>
        <w:t xml:space="preserve"> The word </w:t>
      </w:r>
      <w:r>
        <w:rPr>
          <w:i/>
          <w:lang w:val="en_US" w:bidi="en_US"/>
        </w:rPr>
        <w:t>wilderness</w:t>
      </w:r>
      <w:r>
        <w:rPr>
          <w:lang w:val="en_US" w:bidi="en_US"/>
        </w:rPr>
        <w:t xml:space="preserve"> refers to a wild, desolate area where few people lived. It was often dry in this area, and so many English versions translate this word as “desert.” However, the focus of the word is that few people lived there, not that it was dry.</w:t>
      </w:r>
    </w:p>
    <w:p>
      <w:pPr/>
      <w:r>
        <w:rPr>
          <w:lang w:val="en_US" w:bidi="en_US"/>
        </w:rPr>
      </w:r>
      <w:r>
        <w:rPr>
          <w:lang w:val="en_US" w:bidi="en_US"/>
        </w:rPr>
        <w:t>Other ways to translate this are:</w:t>
      </w:r>
    </w:p>
    <w:p>
      <w:pPr/>
      <w:r>
        <w:rPr>
          <w:lang w:val="en_US" w:bidi="en_US"/>
        </w:rPr>
      </w:r>
      <w:r>
        <w:rPr>
          <w:lang w:val="en_US" w:bidi="en_US"/>
        </w:rPr>
        <w:t>he lived in an uninhabited area</w:t>
      </w:r>
    </w:p>
    <w:p>
      <w:pPr/>
      <w:r>
        <w:rPr>
          <w:lang w:val="en_US" w:bidi="en_US"/>
        </w:rPr>
      </w:r>
      <w:r>
        <w:rPr>
          <w:lang w:val="en_US" w:bidi="en_US"/>
        </w:rPr>
        <w:t>he lived in a desolate area</w:t>
      </w:r>
    </w:p>
    <w:p>
      <w:pPr/>
      <w:r>
        <w:rPr>
          <w:lang w:val="en_US" w:bidi="en_US"/>
        </w:rPr>
      </w:r>
      <w:r>
        <w:rPr>
          <w:lang w:val="en_US" w:bidi="en_US"/>
        </w:rPr>
        <w:t>he lived in an area where few people lived</w:t>
      </w:r>
    </w:p>
    <w:p>
      <w:pPr/>
      <w:r>
        <w:rPr>
          <w:lang w:val="en_US" w:bidi="en_US"/>
        </w:rPr>
      </w:r>
      <w:r>
        <w:rPr>
          <w:b/>
          <w:lang w:val="en_US" w:bidi="en_US"/>
        </w:rPr>
        <w:t>the time of his public appearance to Israel:</w:t>
      </w:r>
      <w:r>
        <w:rPr>
          <w:lang w:val="en_US" w:bidi="en_US"/>
        </w:rPr>
        <w:t xml:space="preserve"> The Greek phrase that the BSB translates as </w:t>
      </w:r>
      <w:r>
        <w:rPr>
          <w:i/>
          <w:lang w:val="en_US" w:bidi="en_US"/>
        </w:rPr>
        <w:t>his public appearance</w:t>
      </w:r>
      <w:r>
        <w:rPr>
          <w:lang w:val="en_US" w:bidi="en_US"/>
        </w:rPr>
        <w:t xml:space="preserve"> refers to the time when John began to preach to the people of Israel. Great crowds of people then saw him and listened to him.</w:t>
      </w:r>
    </w:p>
    <w:p>
      <w:pPr/>
      <w:r>
        <w:rPr>
          <w:lang w:val="en_US" w:bidi="en_US"/>
        </w:rPr>
      </w:r>
      <w:r>
        <w:rPr>
          <w:lang w:val="en_US" w:bidi="en_US"/>
        </w:rPr>
        <w:t>Some other ways to translate this are:</w:t>
      </w:r>
    </w:p>
    <w:p>
      <w:pPr/>
      <w:r>
        <w:rPr>
          <w:lang w:val="en_US" w:bidi="en_US"/>
        </w:rPr>
      </w:r>
      <w:r>
        <w:rPr>
          <w:lang w:val="en_US" w:bidi="en_US"/>
        </w:rPr>
        <w:t>he began his public ministry to Israel (NLT)</w:t>
      </w:r>
    </w:p>
    <w:p>
      <w:pPr/>
      <w:r>
        <w:rPr>
          <w:lang w:val="en_US" w:bidi="en_US"/>
        </w:rPr>
      </w:r>
      <w:r>
        <w:rPr>
          <w:lang w:val="en_US" w:bidi="en_US"/>
        </w:rPr>
        <w:t>he began to preach publicly to the people of Israel</w:t>
      </w:r>
      <w:r>
        <w:rPr>
          <w:lang w:val="en_US" w:bidi="en_US"/>
        </w:rPr>
      </w:r>
      <w:r>
        <w:rPr>
          <w:lang w:val="en_US" w:bidi="en_US"/>
        </w:rPr>
      </w:r>
    </w:p>
    <w:p>
      <w:pPr/>
      <w:r>
        <w:rPr>
          <w:lang w:val="en_US" w:bidi="en_US"/>
        </w:rPr>
      </w:r>
    </w:p>
    <w:p>
      <w:pPr>
        <w:pStyle w:val="Heading2"/>
      </w:pPr>
      <w:r>
        <w:rPr>
          <w:lang w:val="en_US" w:bidi="en_US"/>
        </w:rPr>
        <w:t>Luke 2:1</w:t>
      </w:r>
      <w:r>
        <w:rPr>
          <w:lang w:val="en_US" w:bidi="en_US"/>
        </w:rPr>
      </w:r>
    </w:p>
    <w:p>
      <w:pPr>
        <w:pStyle w:val="Heading4"/>
      </w:pPr>
      <w:r>
        <w:rPr>
          <w:lang w:val="en_US" w:bidi="en_US"/>
        </w:rPr>
        <w:t>Section 2:1–7: Jesus was born</w:t>
      </w:r>
    </w:p>
    <w:p>
      <w:pPr/>
      <w:r>
        <w:rPr>
          <w:lang w:val="en_US" w:bidi="en_US"/>
        </w:rPr>
      </w:r>
      <w:r>
        <w:rPr>
          <w:lang w:val="en_US" w:bidi="en_US"/>
        </w:rPr>
        <w:t>In this section the things that the angel told Mary about in 1:31–37 happened. In those verses the angel told Mary that she would give birth to a son through the power of the Holy Spirit. This would happen even though she was a virgin. In this section, that prophecy was fulfilled. Mary gave birth to Jesus in Bethlehem. This section begins about six months after John the Baptizer was born (1:26).</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Jesus (GNT)</w:t>
      </w:r>
    </w:p>
    <w:p>
      <w:pPr/>
      <w:r>
        <w:rPr>
          <w:lang w:val="en_US" w:bidi="en_US"/>
        </w:rPr>
      </w:r>
      <w:r>
        <w:rPr>
          <w:lang w:val="en_US" w:bidi="en_US"/>
        </w:rPr>
        <w:t>Mary gave birth to the Savior</w:t>
      </w:r>
    </w:p>
    <w:p>
      <w:pPr>
        <w:pStyle w:val="Heading4"/>
      </w:pPr>
      <w:r>
        <w:rPr>
          <w:lang w:val="en_US" w:bidi="en_US"/>
        </w:rPr>
        <w:t>Paragraph 2:1–3</w:t>
      </w:r>
    </w:p>
    <w:p>
      <w:pPr/>
      <w:r>
        <w:rPr>
          <w:lang w:val="en_US" w:bidi="en_US"/>
        </w:rPr>
      </w:r>
      <w:r>
        <w:rPr>
          <w:lang w:val="en_US" w:bidi="en_US"/>
        </w:rPr>
        <w:t>This paragraph is the introduction to this section. It tells when the events happened. It also tells about an event that was background information for the main events of the section.</w:t>
      </w:r>
    </w:p>
    <w:p>
      <w:pPr>
        <w:pStyle w:val="Heading5"/>
      </w:pPr>
      <w:r>
        <w:rPr>
          <w:lang w:val="en_US" w:bidi="en_US"/>
        </w:rPr>
        <w:t>2:1a</w:t>
      </w:r>
    </w:p>
    <w:p>
      <w:pPr/>
      <w:r>
        <w:rPr>
          <w:lang w:val="en_US" w:bidi="en_US"/>
        </w:rPr>
      </w:r>
      <w:r>
        <w:rPr>
          <w:b/>
          <w:lang w:val="en_US" w:bidi="en_US"/>
        </w:rPr>
        <w:t>Now in those days a decree went out from Caesar Augustus</w:t>
      </w:r>
    </w:p>
    <w:p>
      <w:pPr>
        <w:pStyle w:val="ListBullet"/>
        <w:spacing w:line="240" w:lineRule="auto"/>
        <w:ind w:left="720"/>
      </w:pPr>
      <w:r>
        <w:rPr>
          <w:lang w:val="en_US" w:bidi="en_US"/>
        </w:rPr>
      </w:r>
      <w:r>
        <w:rPr>
          <w:lang w:val="en_US" w:bidi="en_US"/>
        </w:rPr>
        <w:t>¶ At that time Emperor Augustus commanded/decreed</w:t>
      </w:r>
    </w:p>
    <w:p>
      <w:pPr>
        <w:pStyle w:val="ListBullet"/>
        <w:spacing w:line="240" w:lineRule="auto"/>
        <w:ind w:left="720"/>
      </w:pPr>
      <w:r>
        <w:rPr>
          <w:lang w:val="en_US" w:bidi="en_US"/>
        </w:rPr>
      </w:r>
      <w:r>
        <w:rPr>
          <w:lang w:val="en_US" w:bidi="en_US"/>
        </w:rPr>
        <w:t xml:space="preserve">¶ Near the time when </w:t>
      </w:r>
      <w:r>
        <w:rPr>
          <w:lang w:val="en_US" w:bidi="en_US"/>
        </w:rPr>
        <w:t>John was born</w:t>
      </w:r>
      <w:r>
        <w:rPr>
          <w:lang w:val="en_US" w:bidi="en_US"/>
        </w:rPr>
        <w:t>, the Exalted High King ordered</w:t>
      </w:r>
    </w:p>
    <w:p>
      <w:pPr>
        <w:pStyle w:val="ListBullet"/>
        <w:spacing w:line="240" w:lineRule="auto"/>
        <w:ind w:left="720"/>
      </w:pPr>
      <w:r>
        <w:rPr>
          <w:lang w:val="en_US" w:bidi="en_US"/>
        </w:rPr>
      </w:r>
      <w:r>
        <w:rPr>
          <w:lang w:val="en_US" w:bidi="en_US"/>
        </w:rPr>
        <w:t xml:space="preserve">¶ During those months the Great Emperor </w:t>
      </w:r>
      <w:r>
        <w:rPr>
          <w:lang w:val="en_US" w:bidi="en_US"/>
        </w:rPr>
        <w:t>of Rome</w:t>
      </w:r>
      <w:r>
        <w:rPr>
          <w:lang w:val="en_US" w:bidi="en_US"/>
        </w:rPr>
        <w:t xml:space="preserve"> decided </w:t>
      </w:r>
      <w:r>
        <w:rPr>
          <w:lang w:val="en_US" w:bidi="en_US"/>
        </w:rPr>
        <w:t>that his people must be counted</w:t>
      </w:r>
      <w:r>
        <w:rPr>
          <w:lang w:val="en_US" w:bidi="en_US"/>
        </w:rPr>
        <w:t xml:space="preserve">. </w:t>
      </w:r>
      <w:r>
        <w:rPr>
          <w:lang w:val="en_US" w:bidi="en_US"/>
        </w:rPr>
        <w:t>So</w:t>
      </w:r>
      <w:r>
        <w:rPr>
          <w:lang w:val="en_US" w:bidi="en_US"/>
        </w:rPr>
        <w:t xml:space="preserve"> he said,</w:t>
      </w:r>
    </w:p>
    <w:p>
      <w:pPr>
        <w:pStyle w:val="Heading5"/>
      </w:pPr>
      <w:r>
        <w:rPr>
          <w:lang w:val="en_US" w:bidi="en_US"/>
        </w:rPr>
        <w:t>2:1a–b</w:t>
      </w:r>
    </w:p>
    <w:p>
      <w:pPr/>
      <w:r>
        <w:rPr>
          <w:lang w:val="en_US" w:bidi="en_US"/>
        </w:rPr>
      </w:r>
      <w:r>
        <w:rPr>
          <w:b/>
          <w:lang w:val="en_US" w:bidi="en_US"/>
        </w:rPr>
        <w:t>Now:</w:t>
      </w:r>
      <w:r>
        <w:rPr>
          <w:lang w:val="en_US" w:bidi="en_US"/>
        </w:rPr>
        <w:t xml:space="preserve"> Here Greek conjunction that the BSB translates as </w:t>
      </w:r>
      <w:r>
        <w:rPr>
          <w:i/>
          <w:lang w:val="en_US" w:bidi="en_US"/>
        </w:rPr>
        <w:t>Now</w:t>
      </w:r>
      <w:r>
        <w:rPr>
          <w:lang w:val="en_US" w:bidi="en_US"/>
        </w:rPr>
        <w:t xml:space="preserve"> introduces background information. Many English versions do not have a conjunction here. Introduce this information in a way that is natural in your language.</w:t>
      </w:r>
    </w:p>
    <w:p>
      <w:pPr/>
      <w:r>
        <w:rPr>
          <w:lang w:val="en_US" w:bidi="en_US"/>
        </w:rPr>
      </w:r>
      <w:r>
        <w:rPr>
          <w:b/>
          <w:lang w:val="en_US" w:bidi="en_US"/>
        </w:rPr>
        <w:t>in those days:</w:t>
      </w:r>
      <w:r>
        <w:rPr>
          <w:lang w:val="en_US" w:bidi="en_US"/>
        </w:rPr>
        <w:t xml:space="preserve"> The phrase </w:t>
      </w:r>
      <w:r>
        <w:rPr>
          <w:i/>
          <w:lang w:val="en_US" w:bidi="en_US"/>
        </w:rPr>
        <w:t>in those days</w:t>
      </w:r>
      <w:r>
        <w:rPr>
          <w:lang w:val="en_US" w:bidi="en_US"/>
        </w:rPr>
        <w:t xml:space="preserve"> refers back to 1:57–79. It refers to around the time that John the Baptizer was born. He was born about six months before Jesus was born. The phrase </w:t>
      </w:r>
      <w:r>
        <w:rPr>
          <w:i/>
          <w:lang w:val="en_US" w:bidi="en_US"/>
        </w:rPr>
        <w:t>in those days</w:t>
      </w:r>
      <w:r>
        <w:rPr>
          <w:lang w:val="en_US" w:bidi="en_US"/>
        </w:rPr>
        <w:t xml:space="preserve"> does not refer to 1:80, which talks about John becoming a man. Other ways to translate this phrase are:</w:t>
      </w:r>
    </w:p>
    <w:p>
      <w:pPr/>
      <w:r>
        <w:rPr>
          <w:lang w:val="en_US" w:bidi="en_US"/>
        </w:rPr>
      </w:r>
      <w:r>
        <w:rPr>
          <w:lang w:val="en_US" w:bidi="en_US"/>
        </w:rPr>
        <w:t>At that time</w:t>
      </w:r>
    </w:p>
    <w:p>
      <w:pPr/>
      <w:r>
        <w:rPr>
          <w:lang w:val="en_US" w:bidi="en_US"/>
        </w:rPr>
      </w:r>
      <w:r>
        <w:rPr>
          <w:lang w:val="en_US" w:bidi="en_US"/>
        </w:rPr>
        <w:t>At about the time when John was born</w:t>
      </w:r>
    </w:p>
    <w:p>
      <w:pPr/>
      <w:r>
        <w:rPr>
          <w:lang w:val="en_US" w:bidi="en_US"/>
        </w:rPr>
      </w:r>
      <w:r>
        <w:rPr>
          <w:b/>
          <w:lang w:val="en_US" w:bidi="en_US"/>
        </w:rPr>
        <w:t>a decree went out from Caesar Augustus:</w:t>
      </w:r>
      <w:r>
        <w:rPr>
          <w:lang w:val="en_US" w:bidi="en_US"/>
        </w:rPr>
        <w:t xml:space="preserve"> The Greek clause that the BSB translates literally as </w:t>
      </w:r>
      <w:r>
        <w:rPr>
          <w:i/>
          <w:lang w:val="en_US" w:bidi="en_US"/>
        </w:rPr>
        <w:t>a decree went out from Caesar Augustus</w:t>
      </w:r>
      <w:r>
        <w:rPr>
          <w:lang w:val="en_US" w:bidi="en_US"/>
        </w:rPr>
        <w:t xml:space="preserve"> refers to a command/order that this emperor issued. It is a figure of speech that describes the </w:t>
      </w:r>
      <w:r>
        <w:rPr>
          <w:i/>
          <w:lang w:val="en_US" w:bidi="en_US"/>
        </w:rPr>
        <w:t>decree</w:t>
      </w:r>
      <w:r>
        <w:rPr>
          <w:lang w:val="en_US" w:bidi="en_US"/>
        </w:rPr>
        <w:t xml:space="preserve"> as if it </w:t>
      </w:r>
      <w:r>
        <w:rPr>
          <w:i/>
          <w:lang w:val="en_US" w:bidi="en_US"/>
        </w:rPr>
        <w:t>went out</w:t>
      </w:r>
      <w:r>
        <w:rPr>
          <w:lang w:val="en_US" w:bidi="en_US"/>
        </w:rPr>
        <w:t xml:space="preserve"> by itself. Some ways other to translate this clause are:</w:t>
      </w:r>
    </w:p>
    <w:p>
      <w:pPr/>
      <w:r>
        <w:rPr>
          <w:lang w:val="en_US" w:bidi="en_US"/>
        </w:rPr>
      </w:r>
      <w:r>
        <w:rPr>
          <w:lang w:val="en_US" w:bidi="en_US"/>
        </w:rPr>
        <w:t>a command came from Caesar Augustus</w:t>
      </w:r>
    </w:p>
    <w:p>
      <w:pPr/>
      <w:r>
        <w:rPr>
          <w:lang w:val="en_US" w:bidi="en_US"/>
        </w:rPr>
      </w:r>
      <w:r>
        <w:rPr>
          <w:lang w:val="en_US" w:bidi="en_US"/>
        </w:rPr>
        <w:t>Caesar Augustus ordered/commanded</w:t>
      </w:r>
    </w:p>
    <w:p>
      <w:pPr/>
      <w:r>
        <w:rPr>
          <w:lang w:val="en_US" w:bidi="en_US"/>
        </w:rPr>
      </w:r>
      <w:r>
        <w:rPr>
          <w:lang w:val="en_US" w:bidi="en_US"/>
        </w:rPr>
        <w:t>Augustus Caesar sent an order (NCV)</w:t>
      </w:r>
    </w:p>
    <w:p>
      <w:pPr/>
      <w:r>
        <w:rPr>
          <w:lang w:val="en_US" w:bidi="en_US"/>
        </w:rPr>
      </w:r>
      <w:r>
        <w:rPr>
          <w:lang w:val="en_US" w:bidi="en_US"/>
        </w:rPr>
        <w:t>Caesar probably gave this command directly to his officials. Then they told this order to the people so that people would come for the officials to write their names. Describe this situation in a natural way in your language. If you need to say whom he ordered, you can say:</w:t>
      </w:r>
    </w:p>
    <w:p>
      <w:pPr/>
      <w:r>
        <w:rPr>
          <w:lang w:val="en_US" w:bidi="en_US"/>
        </w:rPr>
      </w:r>
      <w:r>
        <w:rPr>
          <w:lang w:val="en_US" w:bidi="en_US"/>
        </w:rPr>
        <w:t>Caesar ordered his people</w:t>
      </w:r>
    </w:p>
    <w:p>
      <w:pPr/>
      <w:r>
        <w:rPr>
          <w:lang w:val="en_US" w:bidi="en_US"/>
        </w:rPr>
      </w:r>
      <w:r>
        <w:rPr>
          <w:lang w:val="en_US" w:bidi="en_US"/>
        </w:rPr>
        <w:t>Caesar ordered the people that he ruled</w:t>
      </w:r>
    </w:p>
    <w:p>
      <w:pPr/>
      <w:r>
        <w:rPr>
          <w:lang w:val="en_US" w:bidi="en_US"/>
        </w:rPr>
      </w:r>
      <w:r>
        <w:rPr>
          <w:lang w:val="en_US" w:bidi="en_US"/>
        </w:rPr>
        <w:t>See the General Comment on 2:1a–b at the end of the notes on 2:1b for another translation suggestion.</w:t>
      </w:r>
    </w:p>
    <w:p>
      <w:pPr/>
      <w:r>
        <w:rPr>
          <w:lang w:val="en_US" w:bidi="en_US"/>
        </w:rPr>
      </w:r>
      <w:r>
        <w:rPr>
          <w:b/>
          <w:lang w:val="en_US" w:bidi="en_US"/>
        </w:rPr>
        <w:t>Caesar:</w:t>
      </w:r>
      <w:r>
        <w:rPr>
          <w:lang w:val="en_US" w:bidi="en_US"/>
        </w:rPr>
        <w:t xml:space="preserve"> The word </w:t>
      </w:r>
      <w:r>
        <w:rPr>
          <w:i/>
          <w:lang w:val="en_US" w:bidi="en_US"/>
        </w:rPr>
        <w:t>Caesar</w:t>
      </w:r>
      <w:r>
        <w:rPr>
          <w:lang w:val="en_US" w:bidi="en_US"/>
        </w:rPr>
        <w:t xml:space="preserve"> was a title for the great king of the city of Rome and of the Roman empire. He ruled many countries and kings that the people of Rome had conquered. The title </w:t>
      </w:r>
      <w:r>
        <w:rPr>
          <w:i/>
          <w:lang w:val="en_US" w:bidi="en_US"/>
        </w:rPr>
        <w:t>Caesar</w:t>
      </w:r>
      <w:r>
        <w:rPr>
          <w:lang w:val="en_US" w:bidi="en_US"/>
        </w:rPr>
        <w:t xml:space="preserve"> means “Emperor.” Other ways to translate this are:</w:t>
      </w:r>
    </w:p>
    <w:p>
      <w:pPr/>
      <w:r>
        <w:rPr>
          <w:lang w:val="en_US" w:bidi="en_US"/>
        </w:rPr>
      </w:r>
      <w:r>
        <w:rPr>
          <w:lang w:val="en_US" w:bidi="en_US"/>
        </w:rPr>
        <w:t>high king</w:t>
      </w:r>
    </w:p>
    <w:p>
      <w:pPr/>
      <w:r>
        <w:rPr>
          <w:lang w:val="en_US" w:bidi="en_US"/>
        </w:rPr>
      </w:r>
      <w:r>
        <w:rPr>
          <w:lang w:val="en_US" w:bidi="en_US"/>
        </w:rPr>
        <w:t>paramount chief</w:t>
      </w:r>
    </w:p>
    <w:p>
      <w:pPr/>
      <w:r>
        <w:rPr>
          <w:lang w:val="en_US" w:bidi="en_US"/>
        </w:rPr>
      </w:r>
      <w:r>
        <w:rPr>
          <w:b/>
          <w:lang w:val="en_US" w:bidi="en_US"/>
        </w:rPr>
        <w:t>Augustus:</w:t>
      </w:r>
      <w:r>
        <w:rPr>
          <w:lang w:val="en_US" w:bidi="en_US"/>
        </w:rPr>
        <w:t xml:space="preserve"> The title </w:t>
      </w:r>
      <w:r>
        <w:rPr>
          <w:i/>
          <w:lang w:val="en_US" w:bidi="en_US"/>
        </w:rPr>
        <w:t>Augustus</w:t>
      </w:r>
      <w:r>
        <w:rPr>
          <w:lang w:val="en_US" w:bidi="en_US"/>
        </w:rPr>
        <w:t xml:space="preserve"> means “exalted.”</w:t>
      </w:r>
      <w:r>
        <w:rPr>
          <w:lang w:val="en_US" w:bidi="en_US"/>
        </w:rPr>
        <w:t>English versions transliterate Augustus rather than translate the meaning. When translating Caesar Augustus, there are four possibilities: (1) transliterate both Caesar and Augustus, (2) translate the meaning of Caesar and transliterate Augustus (e.g., the GNT has “Emperor Augustus”), (3) transliterate Caesar and translate the meaning of Augustus (e.g., “the high Caesar” or “the Caesar called ‘Great’”), (4) translate the meaning of both Caesar and Augustus.</w:t>
      </w:r>
      <w:r>
        <w:rPr>
          <w:lang w:val="en_US" w:bidi="en_US"/>
        </w:rPr>
        <w:t xml:space="preserve"> It is a title that the Senate of Rome gave to the emperor who was ruling when Jesus was born. Many English versions transliterate the word </w:t>
      </w:r>
      <w:r>
        <w:rPr>
          <w:i/>
          <w:lang w:val="en_US" w:bidi="en_US"/>
        </w:rPr>
        <w:t>Augustus</w:t>
      </w:r>
      <w:r>
        <w:rPr>
          <w:lang w:val="en_US" w:bidi="en_US"/>
        </w:rPr>
        <w:t>. You may also decide to translate the meaning of both Caesar and Augustus. For example:</w:t>
      </w:r>
    </w:p>
    <w:p>
      <w:pPr/>
      <w:r>
        <w:rPr>
          <w:lang w:val="en_US" w:bidi="en_US"/>
        </w:rPr>
      </w:r>
      <w:r>
        <w:rPr>
          <w:lang w:val="en_US" w:bidi="en_US"/>
        </w:rPr>
        <w:t>the exalted high king</w:t>
      </w:r>
    </w:p>
    <w:p>
      <w:pPr/>
      <w:r>
        <w:rPr>
          <w:lang w:val="en_US" w:bidi="en_US"/>
        </w:rPr>
      </w:r>
      <w:r>
        <w:rPr>
          <w:lang w:val="en_US" w:bidi="en_US"/>
        </w:rPr>
        <w:t>the emperor called great</w:t>
      </w:r>
    </w:p>
    <w:p>
      <w:pPr>
        <w:pStyle w:val="Heading5"/>
      </w:pPr>
      <w:r>
        <w:rPr>
          <w:lang w:val="en_US" w:bidi="en_US"/>
        </w:rPr>
        <w:t>2:1b</w:t>
      </w:r>
    </w:p>
    <w:p>
      <w:pPr/>
      <w:r>
        <w:rPr>
          <w:lang w:val="en_US" w:bidi="en_US"/>
        </w:rPr>
      </w:r>
      <w:r>
        <w:rPr>
          <w:b/>
          <w:lang w:val="en_US" w:bidi="en_US"/>
        </w:rPr>
        <w:t>that a census should be taken of the whole empire.</w:t>
      </w:r>
    </w:p>
    <w:p>
      <w:pPr>
        <w:pStyle w:val="ListBullet"/>
        <w:spacing w:line="240" w:lineRule="auto"/>
        <w:ind w:left="720"/>
      </w:pPr>
      <w:r>
        <w:rPr>
          <w:lang w:val="en_US" w:bidi="en_US"/>
        </w:rPr>
      </w:r>
      <w:r>
        <w:rPr>
          <w:lang w:val="en_US" w:bidi="en_US"/>
        </w:rPr>
        <w:t xml:space="preserve">that </w:t>
      </w:r>
      <w:r>
        <w:rPr>
          <w:lang w:val="en_US" w:bidi="en_US"/>
        </w:rPr>
        <w:t>the people in</w:t>
      </w:r>
      <w:r>
        <w:rPr>
          <w:lang w:val="en_US" w:bidi="en_US"/>
        </w:rPr>
        <w:t xml:space="preserve"> the whole Roman Empire should be registered.</w:t>
      </w:r>
    </w:p>
    <w:p>
      <w:pPr>
        <w:pStyle w:val="ListBullet"/>
        <w:spacing w:line="240" w:lineRule="auto"/>
        <w:ind w:left="720"/>
      </w:pPr>
      <w:r>
        <w:rPr>
          <w:lang w:val="en_US" w:bidi="en_US"/>
        </w:rPr>
      </w:r>
      <w:r>
        <w:rPr>
          <w:lang w:val="en_US" w:bidi="en_US"/>
        </w:rPr>
        <w:t>his officials</w:t>
      </w:r>
      <w:r>
        <w:rPr>
          <w:lang w:val="en_US" w:bidi="en_US"/>
        </w:rPr>
        <w:t xml:space="preserve"> to write the names of the people in all </w:t>
      </w:r>
      <w:r>
        <w:rPr>
          <w:lang w:val="en_US" w:bidi="en_US"/>
        </w:rPr>
        <w:t>the countries that</w:t>
      </w:r>
      <w:r>
        <w:rPr>
          <w:lang w:val="en_US" w:bidi="en_US"/>
        </w:rPr>
        <w:t xml:space="preserve"> Rome ruled, and </w:t>
      </w:r>
      <w:r>
        <w:rPr>
          <w:lang w:val="en_US" w:bidi="en_US"/>
        </w:rPr>
        <w:t>then count them</w:t>
      </w:r>
      <w:r>
        <w:rPr>
          <w:lang w:val="en_US" w:bidi="en_US"/>
        </w:rPr>
        <w:t>.</w:t>
      </w:r>
    </w:p>
    <w:p>
      <w:pPr>
        <w:pStyle w:val="ListBullet"/>
        <w:spacing w:line="240" w:lineRule="auto"/>
        <w:ind w:left="720"/>
      </w:pPr>
      <w:r>
        <w:rPr>
          <w:lang w:val="en_US" w:bidi="en_US"/>
        </w:rPr>
      </w:r>
      <w:r>
        <w:rPr>
          <w:lang w:val="en_US" w:bidi="en_US"/>
        </w:rPr>
        <w:t>“The names of everyone under our</w:t>
      </w:r>
      <w:r>
        <w:rPr>
          <w:vertAlign w:val="superscript"/>
          <w:lang w:val="en_US" w:bidi="en_US"/>
        </w:rPr>
        <w:t>(incl)</w:t>
      </w:r>
      <w:r>
        <w:rPr>
          <w:lang w:val="en_US" w:bidi="en_US"/>
        </w:rPr>
        <w:t xml:space="preserve"> Roman </w:t>
      </w:r>
      <w:r>
        <w:rPr>
          <w:lang w:val="en_US" w:bidi="en_US"/>
        </w:rPr>
        <w:t>government</w:t>
      </w:r>
      <w:r>
        <w:rPr>
          <w:lang w:val="en_US" w:bidi="en_US"/>
        </w:rPr>
        <w:t xml:space="preserve"> must be recorded </w:t>
      </w:r>
      <w:r>
        <w:rPr>
          <w:lang w:val="en_US" w:bidi="en_US"/>
        </w:rPr>
        <w:t>in a book</w:t>
      </w:r>
      <w:r>
        <w:rPr>
          <w:lang w:val="en_US" w:bidi="en_US"/>
        </w:rPr>
        <w:t>.”</w:t>
      </w:r>
    </w:p>
    <w:p>
      <w:pPr/>
      <w:r>
        <w:rPr>
          <w:lang w:val="en_US" w:bidi="en_US"/>
        </w:rPr>
      </w:r>
      <w:r>
        <w:rPr>
          <w:b/>
          <w:lang w:val="en_US" w:bidi="en_US"/>
        </w:rPr>
        <w:t>that a census should be taken:</w:t>
      </w:r>
      <w:r>
        <w:rPr>
          <w:lang w:val="en_US" w:bidi="en_US"/>
        </w:rPr>
        <w:t xml:space="preserve"> The Greek word that the BSB translates as </w:t>
      </w:r>
      <w:r>
        <w:rPr>
          <w:i/>
          <w:lang w:val="en_US" w:bidi="en_US"/>
        </w:rPr>
        <w:t>that a census should be taken</w:t>
      </w:r>
      <w:r>
        <w:rPr>
          <w:lang w:val="en_US" w:bidi="en_US"/>
        </w:rPr>
        <w:t xml:space="preserve"> is literally “to be registered/enrolled.”</w:t>
      </w:r>
      <w:r>
        <w:rPr>
          <w:lang w:val="en_US" w:bidi="en_US"/>
        </w:rPr>
        <w:t>The Greek word is a present infinitive. In Greek, the middle and passive forms of the present infinitive are identical. So this word could either mean “to enroll themselves” or “to be enrolled.” Here, the passive sense, “to be enrolled,” is probably more likely.</w:t>
      </w:r>
      <w:r>
        <w:rPr>
          <w:lang w:val="en_US" w:bidi="en_US"/>
        </w:rPr>
        <w:t xml:space="preserve"> This word indicates that government officials would have to write the names of people in a book. Then the officials would count the names so that the emperor would know how many people were living in the empire. The Romans would also know where these people lived and which of them had to pay taxes.</w:t>
      </w:r>
    </w:p>
    <w:p>
      <w:pPr/>
      <w:r>
        <w:rPr>
          <w:lang w:val="en_US" w:bidi="en_US"/>
        </w:rPr>
      </w:r>
      <w:r>
        <w:rPr>
          <w:lang w:val="en_US" w:bidi="en_US"/>
        </w:rPr>
        <w:t xml:space="preserve">Some other ways to translate </w:t>
      </w:r>
      <w:r>
        <w:rPr>
          <w:i/>
          <w:lang w:val="en_US" w:bidi="en_US"/>
        </w:rPr>
        <w:t>a census should be taken</w:t>
      </w:r>
      <w:r>
        <w:rPr>
          <w:lang w:val="en_US" w:bidi="en_US"/>
        </w:rPr>
        <w:t xml:space="preserve"> are:</w:t>
      </w:r>
    </w:p>
    <w:p>
      <w:pPr/>
      <w:r>
        <w:rPr>
          <w:lang w:val="en_US" w:bidi="en_US"/>
        </w:rPr>
      </w:r>
      <w:r>
        <w:rPr>
          <w:lang w:val="en_US" w:bidi="en_US"/>
        </w:rPr>
        <w:t>people must</w:t>
      </w:r>
      <w:r>
        <w:rPr>
          <w:lang w:val="en_US" w:bidi="en_US"/>
        </w:rPr>
        <w:t xml:space="preserve"> register/enroll</w:t>
      </w:r>
    </w:p>
    <w:p>
      <w:pPr/>
      <w:r>
        <w:rPr>
          <w:lang w:val="en_US" w:bidi="en_US"/>
        </w:rPr>
      </w:r>
      <w:r>
        <w:rPr>
          <w:lang w:val="en_US" w:bidi="en_US"/>
        </w:rPr>
        <w:t>officials must</w:t>
      </w:r>
      <w:r>
        <w:rPr>
          <w:lang w:val="en_US" w:bidi="en_US"/>
        </w:rPr>
        <w:t xml:space="preserve"> register/record people’s names</w:t>
      </w:r>
    </w:p>
    <w:p>
      <w:pPr/>
      <w:r>
        <w:rPr>
          <w:lang w:val="en_US" w:bidi="en_US"/>
        </w:rPr>
      </w:r>
      <w:r>
        <w:rPr>
          <w:lang w:val="en_US" w:bidi="en_US"/>
        </w:rPr>
        <w:t>government officials must</w:t>
      </w:r>
      <w:r>
        <w:rPr>
          <w:lang w:val="en_US" w:bidi="en_US"/>
        </w:rPr>
        <w:t xml:space="preserve"> write people’s names in a book </w:t>
      </w:r>
      <w:r>
        <w:rPr>
          <w:lang w:val="en_US" w:bidi="en_US"/>
        </w:rPr>
        <w:t>and count them</w:t>
      </w:r>
    </w:p>
    <w:p>
      <w:pPr/>
      <w:r>
        <w:rPr>
          <w:lang w:val="en_US" w:bidi="en_US"/>
        </w:rPr>
      </w:r>
      <w:r>
        <w:rPr>
          <w:b/>
          <w:lang w:val="en_US" w:bidi="en_US"/>
        </w:rPr>
        <w:t>the whole empire:</w:t>
      </w:r>
      <w:r>
        <w:rPr>
          <w:lang w:val="en_US" w:bidi="en_US"/>
        </w:rPr>
        <w:t xml:space="preserve"> The phrase that the BSB translates as </w:t>
      </w:r>
      <w:r>
        <w:rPr>
          <w:i/>
          <w:lang w:val="en_US" w:bidi="en_US"/>
        </w:rPr>
        <w:t>the whole empire</w:t>
      </w:r>
      <w:r>
        <w:rPr>
          <w:lang w:val="en_US" w:bidi="en_US"/>
        </w:rPr>
        <w:t xml:space="preserve"> is literally “all the world.” This does not mean all the nations on the whole earth at that time. Rather, it refers here to all the countries that the Roman emperor ruled.</w:t>
      </w:r>
    </w:p>
    <w:p>
      <w:pPr/>
      <w:r>
        <w:rPr>
          <w:lang w:val="en_US" w:bidi="en_US"/>
        </w:rPr>
      </w:r>
      <w:r>
        <w:rPr>
          <w:lang w:val="en_US" w:bidi="en_US"/>
        </w:rPr>
        <w:t>Some English versions translate this phrase literally. For example:</w:t>
      </w:r>
    </w:p>
    <w:p>
      <w:pPr/>
      <w:r>
        <w:rPr>
          <w:lang w:val="en_US" w:bidi="en_US"/>
        </w:rPr>
      </w:r>
      <w:r>
        <w:rPr>
          <w:lang w:val="en_US" w:bidi="en_US"/>
        </w:rPr>
        <w:t>all the world (NRSV)</w:t>
      </w:r>
    </w:p>
    <w:p>
      <w:pPr/>
      <w:r>
        <w:rPr>
          <w:lang w:val="en_US" w:bidi="en_US"/>
        </w:rPr>
      </w:r>
      <w:r>
        <w:rPr>
          <w:lang w:val="en_US" w:bidi="en_US"/>
        </w:rPr>
        <w:t>Some other English versions translate the meaning that this phrase had at the time, “the entire Roman world.” Other ways to translate this are:</w:t>
      </w:r>
    </w:p>
    <w:p>
      <w:pPr/>
      <w:r>
        <w:rPr>
          <w:lang w:val="en_US" w:bidi="en_US"/>
        </w:rPr>
      </w:r>
      <w:r>
        <w:rPr>
          <w:lang w:val="en_US" w:bidi="en_US"/>
        </w:rPr>
        <w:t>all the empire (NET)</w:t>
      </w:r>
    </w:p>
    <w:p>
      <w:pPr/>
      <w:r>
        <w:rPr>
          <w:lang w:val="en_US" w:bidi="en_US"/>
        </w:rPr>
      </w:r>
      <w:r>
        <w:rPr>
          <w:lang w:val="en_US" w:bidi="en_US"/>
        </w:rPr>
        <w:t>throughout the Roman empire (GNT)</w:t>
      </w:r>
    </w:p>
    <w:p>
      <w:pPr/>
      <w:r>
        <w:rPr>
          <w:lang w:val="en_US" w:bidi="en_US"/>
        </w:rPr>
      </w:r>
      <w:r>
        <w:rPr>
          <w:lang w:val="en_US" w:bidi="en_US"/>
        </w:rPr>
        <w:t>all people in the countries under Roman rule (NCV)</w:t>
      </w:r>
    </w:p>
    <w:p>
      <w:pPr>
        <w:pStyle w:val="Heading6"/>
      </w:pPr>
      <w:r>
        <w:rPr>
          <w:b/>
          <w:lang w:val="en_US" w:bidi="en_US"/>
        </w:rPr>
        <w:t>General Comment on 2:1a–b</w:t>
      </w:r>
    </w:p>
    <w:p>
      <w:pPr/>
      <w:r>
        <w:rPr>
          <w:lang w:val="en_US" w:bidi="en_US"/>
        </w:rPr>
      </w:r>
      <w:r>
        <w:rPr>
          <w:lang w:val="en_US" w:bidi="en_US"/>
        </w:rPr>
        <w:t>In some languages, it may be more natural to put Caesar’s words in direct speech. For example:</w:t>
      </w:r>
    </w:p>
    <w:p>
      <w:pPr/>
      <w:r>
        <w:rPr>
          <w:lang w:val="en_US" w:bidi="en_US"/>
        </w:rPr>
      </w:r>
      <w:r>
        <w:rPr>
          <w:lang w:val="en_US" w:bidi="en_US"/>
        </w:rPr>
        <w:t>In those days, Caesar Augustus gave this order: “Everyone in the empire must be registered.”</w:t>
      </w:r>
      <w:r>
        <w:rPr>
          <w:lang w:val="en_US" w:bidi="en_US"/>
        </w:rPr>
      </w:r>
      <w:r>
        <w:rPr>
          <w:lang w:val="en_US" w:bidi="en_US"/>
        </w:rPr>
      </w:r>
    </w:p>
    <w:p>
      <w:pPr/>
      <w:r>
        <w:rPr>
          <w:lang w:val="en_US" w:bidi="en_US"/>
        </w:rPr>
      </w:r>
    </w:p>
    <w:p>
      <w:pPr>
        <w:pStyle w:val="Heading2"/>
      </w:pPr>
      <w:r>
        <w:rPr>
          <w:lang w:val="en_US" w:bidi="en_US"/>
        </w:rPr>
        <w:t>Luke 2:2</w:t>
      </w:r>
      <w:r>
        <w:rPr>
          <w:lang w:val="en_US" w:bidi="en_US"/>
        </w:rPr>
      </w:r>
    </w:p>
    <w:p>
      <w:pPr>
        <w:pStyle w:val="Heading4"/>
      </w:pPr>
      <w:r>
        <w:rPr>
          <w:lang w:val="en_US" w:bidi="en_US"/>
        </w:rPr>
        <w:t>Section 2:1–7: Jesus was born</w:t>
      </w:r>
    </w:p>
    <w:p>
      <w:pPr/>
      <w:r>
        <w:rPr>
          <w:lang w:val="en_US" w:bidi="en_US"/>
        </w:rPr>
      </w:r>
      <w:r>
        <w:rPr>
          <w:lang w:val="en_US" w:bidi="en_US"/>
        </w:rPr>
        <w:t>In this section the things that the angel told Mary about in 1:31–37 happened. In those verses the angel told Mary that she would give birth to a son through the power of the Holy Spirit. This would happen even though she was a virgin. In this section, that prophecy was fulfilled. Mary gave birth to Jesus in Bethlehem. This section begins about six months after John the Baptizer was born (1:26).</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Jesus (GNT)</w:t>
      </w:r>
    </w:p>
    <w:p>
      <w:pPr/>
      <w:r>
        <w:rPr>
          <w:lang w:val="en_US" w:bidi="en_US"/>
        </w:rPr>
      </w:r>
      <w:r>
        <w:rPr>
          <w:lang w:val="en_US" w:bidi="en_US"/>
        </w:rPr>
        <w:t>Mary gave birth to the Savior</w:t>
      </w:r>
    </w:p>
    <w:p>
      <w:pPr>
        <w:pStyle w:val="Heading4"/>
      </w:pPr>
      <w:r>
        <w:rPr>
          <w:lang w:val="en_US" w:bidi="en_US"/>
        </w:rPr>
        <w:t>Paragraph 2:1–3</w:t>
      </w:r>
    </w:p>
    <w:p>
      <w:pPr/>
      <w:r>
        <w:rPr>
          <w:lang w:val="en_US" w:bidi="en_US"/>
        </w:rPr>
      </w:r>
      <w:r>
        <w:rPr>
          <w:lang w:val="en_US" w:bidi="en_US"/>
        </w:rPr>
        <w:t>This paragraph is the introduction to this section. It tells when the events happened. It also tells about an event that was background information for the main events of the section.</w:t>
      </w:r>
    </w:p>
    <w:p>
      <w:pPr>
        <w:pStyle w:val="Heading5"/>
      </w:pPr>
      <w:r>
        <w:rPr>
          <w:lang w:val="en_US" w:bidi="en_US"/>
        </w:rPr>
        <w:t>2:2</w:t>
      </w:r>
    </w:p>
    <w:p>
      <w:pPr/>
      <w:r>
        <w:rPr>
          <w:lang w:val="en_US" w:bidi="en_US"/>
        </w:rPr>
      </w:r>
      <w:r>
        <w:rPr>
          <w:lang w:val="en_US" w:bidi="en_US"/>
        </w:rPr>
        <w:t>This verse tells what was happening in the history of the world at the time when Jesus was born. Some versions, such as the NIV, put this verse in parentheses to show that it is background information. Consider how your language would indicate that 2:2 is background information.</w:t>
      </w:r>
    </w:p>
    <w:p>
      <w:pPr>
        <w:pStyle w:val="Heading5"/>
      </w:pPr>
      <w:r>
        <w:rPr>
          <w:lang w:val="en_US" w:bidi="en_US"/>
        </w:rPr>
        <w:t>2:2a</w:t>
      </w:r>
    </w:p>
    <w:p>
      <w:pPr/>
      <w:r>
        <w:rPr>
          <w:lang w:val="en_US" w:bidi="en_US"/>
        </w:rPr>
      </w:r>
      <w:r>
        <w:rPr>
          <w:b/>
          <w:lang w:val="en_US" w:bidi="en_US"/>
        </w:rPr>
        <w:t>This was the first census</w:t>
      </w:r>
    </w:p>
    <w:p>
      <w:pPr>
        <w:pStyle w:val="ListBullet"/>
        <w:spacing w:line="240" w:lineRule="auto"/>
        <w:ind w:left="720"/>
      </w:pPr>
      <w:r>
        <w:rPr>
          <w:lang w:val="en_US" w:bidi="en_US"/>
        </w:rPr>
      </w:r>
      <w:r>
        <w:rPr>
          <w:lang w:val="en_US" w:bidi="en_US"/>
        </w:rPr>
        <w:t xml:space="preserve">(This was the first census/registration that happened </w:t>
      </w:r>
      <w:r>
        <w:rPr>
          <w:lang w:val="en_US" w:bidi="en_US"/>
        </w:rPr>
        <w:t>in the Roman Empire</w:t>
      </w:r>
      <w:r>
        <w:rPr>
          <w:lang w:val="en_US" w:bidi="en_US"/>
        </w:rPr>
        <w:t>.</w:t>
      </w:r>
    </w:p>
    <w:p>
      <w:pPr>
        <w:pStyle w:val="ListBullet"/>
        <w:spacing w:line="240" w:lineRule="auto"/>
        <w:ind w:left="720"/>
      </w:pPr>
      <w:r>
        <w:rPr>
          <w:lang w:val="en_US" w:bidi="en_US"/>
        </w:rPr>
      </w:r>
      <w:r>
        <w:rPr>
          <w:lang w:val="en_US" w:bidi="en_US"/>
        </w:rPr>
        <w:t>(This was the first time that they wrote all the people’s names in a book.</w:t>
      </w:r>
    </w:p>
    <w:p>
      <w:pPr>
        <w:pStyle w:val="Heading5"/>
      </w:pPr>
      <w:r>
        <w:rPr>
          <w:lang w:val="en_US" w:bidi="en_US"/>
        </w:rPr>
        <w:t>2:2b</w:t>
      </w:r>
    </w:p>
    <w:p>
      <w:pPr/>
      <w:r>
        <w:rPr>
          <w:lang w:val="en_US" w:bidi="en_US"/>
        </w:rPr>
      </w:r>
      <w:r>
        <w:rPr>
          <w:b/>
          <w:lang w:val="en_US" w:bidi="en_US"/>
        </w:rPr>
        <w:t>to take place while Quirinius was governor of Syria.</w:t>
      </w:r>
    </w:p>
    <w:p>
      <w:pPr>
        <w:pStyle w:val="ListBullet"/>
        <w:spacing w:line="240" w:lineRule="auto"/>
        <w:ind w:left="720"/>
      </w:pPr>
      <w:r>
        <w:rPr>
          <w:lang w:val="en_US" w:bidi="en_US"/>
        </w:rPr>
      </w:r>
      <w:r>
        <w:rPr>
          <w:lang w:val="en_US" w:bidi="en_US"/>
        </w:rPr>
        <w:t xml:space="preserve">It happened while Quirinius was governor/leader of </w:t>
      </w:r>
      <w:r>
        <w:rPr>
          <w:lang w:val="en_US" w:bidi="en_US"/>
        </w:rPr>
        <w:t>the province of</w:t>
      </w:r>
      <w:r>
        <w:rPr>
          <w:lang w:val="en_US" w:bidi="en_US"/>
        </w:rPr>
        <w:t xml:space="preserve"> Syria.)</w:t>
      </w:r>
    </w:p>
    <w:p>
      <w:pPr>
        <w:pStyle w:val="ListBullet"/>
        <w:spacing w:line="240" w:lineRule="auto"/>
        <w:ind w:left="720"/>
      </w:pPr>
      <w:r>
        <w:rPr>
          <w:lang w:val="en_US" w:bidi="en_US"/>
        </w:rPr>
      </w:r>
      <w:r>
        <w:rPr>
          <w:lang w:val="en_US" w:bidi="en_US"/>
        </w:rPr>
        <w:t xml:space="preserve">They did this when Quirinius was governing/ruling </w:t>
      </w:r>
      <w:r>
        <w:rPr>
          <w:lang w:val="en_US" w:bidi="en_US"/>
        </w:rPr>
        <w:t>the Roman province of</w:t>
      </w:r>
      <w:r>
        <w:rPr>
          <w:lang w:val="en_US" w:bidi="en_US"/>
        </w:rPr>
        <w:t xml:space="preserve"> Syria.)</w:t>
      </w:r>
    </w:p>
    <w:p>
      <w:pPr>
        <w:pStyle w:val="Heading5"/>
      </w:pPr>
      <w:r>
        <w:rPr>
          <w:lang w:val="en_US" w:bidi="en_US"/>
        </w:rPr>
        <w:t>2:2a–b</w:t>
      </w:r>
    </w:p>
    <w:p>
      <w:pPr/>
      <w:r>
        <w:rPr>
          <w:lang w:val="en_US" w:bidi="en_US"/>
        </w:rPr>
      </w:r>
      <w:r>
        <w:rPr>
          <w:b/>
          <w:lang w:val="en_US" w:bidi="en_US"/>
        </w:rPr>
        <w:t>the first census to take place while Quirinius was governor of Syria:</w:t>
      </w:r>
      <w:r>
        <w:rPr>
          <w:lang w:val="en_US" w:bidi="en_US"/>
        </w:rPr>
        <w:t xml:space="preserve"> Scholars understand this sentence in different ways. The two main interpretations are:</w:t>
      </w:r>
    </w:p>
    <w:p>
      <w:pPr>
        <w:pStyle w:val="ListNumber"/>
        <w:numPr>
          <w:ilvl w:val="0"/>
          <w:numId w:val="30"/>
        </w:numPr>
        <w:spacing w:line="240" w:lineRule="auto"/>
        <w:ind w:left="720"/>
      </w:pPr>
      <w:r>
        <w:rPr>
          <w:lang w:val="en_US" w:bidi="en_US"/>
        </w:rPr>
      </w:r>
      <w:r>
        <w:rPr>
          <w:lang w:val="en_US" w:bidi="en_US"/>
        </w:rPr>
        <w:t xml:space="preserve">This was the first census </w:t>
      </w:r>
      <w:r>
        <w:rPr>
          <w:u w:val="single"/>
          <w:lang w:val="en_US" w:bidi="en_US"/>
        </w:rPr>
        <w:t>in the Roman Empire</w:t>
      </w:r>
      <w:r>
        <w:rPr>
          <w:lang w:val="en_US" w:bidi="en_US"/>
        </w:rPr>
        <w:t xml:space="preserve">. </w:t>
      </w:r>
      <w:r>
        <w:rPr>
          <w:u w:val="single"/>
          <w:lang w:val="en_US" w:bidi="en_US"/>
        </w:rPr>
        <w:t>It happened while Quirinius was governor</w:t>
      </w:r>
      <w:r>
        <w:rPr>
          <w:lang w:val="en_US" w:bidi="en_US"/>
        </w:rPr>
        <w:t>. For example:</w:t>
      </w:r>
      <w:r>
        <w:rPr>
          <w:lang w:val="en_US" w:bidi="en_US"/>
        </w:rPr>
        <w:t xml:space="preserve">This was the first registration; it was taken while Quirinius was governor of Syria. (NCV) </w:t>
      </w:r>
      <w:r>
        <w:rPr>
          <w:i/>
          <w:lang w:val="en_US" w:bidi="en_US"/>
        </w:rPr>
        <w:t>(GNT, RSV, NJB, NET, NCV, REB, CEV, JBP)</w:t>
      </w:r>
    </w:p>
    <w:p>
      <w:pPr>
        <w:pStyle w:val="ListNumber"/>
        <w:spacing w:line="240" w:lineRule="auto"/>
        <w:ind w:left="720"/>
      </w:pPr>
      <w:r>
        <w:rPr>
          <w:lang w:val="en_US" w:bidi="en_US"/>
        </w:rPr>
      </w:r>
      <w:r>
        <w:rPr>
          <w:lang w:val="en_US" w:bidi="en_US"/>
        </w:rPr>
        <w:t xml:space="preserve">This was the first census </w:t>
      </w:r>
      <w:r>
        <w:rPr>
          <w:u w:val="single"/>
          <w:lang w:val="en_US" w:bidi="en_US"/>
        </w:rPr>
        <w:t>that took place while Quirinius was governor</w:t>
      </w:r>
      <w:r>
        <w:rPr>
          <w:lang w:val="en_US" w:bidi="en_US"/>
        </w:rPr>
        <w:t>. This meaning implies that there was at least one later census while he was governor. For example:</w:t>
      </w:r>
      <w:r>
        <w:rPr>
          <w:lang w:val="en_US" w:bidi="en_US"/>
        </w:rPr>
        <w:t xml:space="preserve">This was the first census taken while Quirinius was governor of Syria. (GW) </w:t>
      </w:r>
      <w:r>
        <w:rPr>
          <w:i/>
          <w:lang w:val="en_US" w:bidi="en_US"/>
        </w:rPr>
        <w:t>(BSB, GW, NIV, NASB, NLT)</w:t>
      </w:r>
    </w:p>
    <w:p>
      <w:pPr/>
      <w:r>
        <w:rPr>
          <w:lang w:val="en_US" w:bidi="en_US"/>
        </w:rPr>
      </w:r>
      <w:r>
        <w:rPr>
          <w:lang w:val="en_US" w:bidi="en_US"/>
        </w:rPr>
        <w:t>It is recommended that you follow interpretation (1).</w:t>
      </w:r>
    </w:p>
    <w:p>
      <w:pPr/>
      <w:r>
        <w:rPr>
          <w:lang w:val="en_US" w:bidi="en_US"/>
        </w:rPr>
      </w:r>
      <w:r>
        <w:rPr>
          <w:b/>
          <w:lang w:val="en_US" w:bidi="en_US"/>
        </w:rPr>
        <w:t>census:</w:t>
      </w:r>
      <w:r>
        <w:rPr>
          <w:lang w:val="en_US" w:bidi="en_US"/>
        </w:rPr>
        <w:t xml:space="preserve"> The word </w:t>
      </w:r>
      <w:r>
        <w:rPr>
          <w:i/>
          <w:lang w:val="en_US" w:bidi="en_US"/>
        </w:rPr>
        <w:t>census</w:t>
      </w:r>
      <w:r>
        <w:rPr>
          <w:lang w:val="en_US" w:bidi="en_US"/>
        </w:rPr>
        <w:t xml:space="preserve"> is the noun form of the Greek verb that means “register, enroll” that was used in 2:1b. Other words for </w:t>
      </w:r>
      <w:r>
        <w:rPr>
          <w:i/>
          <w:lang w:val="en_US" w:bidi="en_US"/>
        </w:rPr>
        <w:t>census</w:t>
      </w:r>
      <w:r>
        <w:rPr>
          <w:lang w:val="en_US" w:bidi="en_US"/>
        </w:rPr>
        <w:t xml:space="preserve"> are “registration” and “enrollment.”</w:t>
      </w:r>
    </w:p>
    <w:p>
      <w:pPr/>
      <w:r>
        <w:rPr>
          <w:lang w:val="en_US" w:bidi="en_US"/>
        </w:rPr>
      </w:r>
      <w:r>
        <w:rPr>
          <w:lang w:val="en_US" w:bidi="en_US"/>
        </w:rPr>
        <w:t>In some languages it may be more natural to use a verb phrase here. For example:</w:t>
      </w:r>
    </w:p>
    <w:p>
      <w:pPr/>
      <w:r>
        <w:rPr>
          <w:lang w:val="en_US" w:bidi="en_US"/>
        </w:rPr>
      </w:r>
      <w:r>
        <w:rPr>
          <w:lang w:val="en_US" w:bidi="en_US"/>
        </w:rPr>
        <w:t>they wrote people’s names in a book</w:t>
      </w:r>
    </w:p>
    <w:p>
      <w:pPr/>
      <w:r>
        <w:rPr>
          <w:lang w:val="en_US" w:bidi="en_US"/>
        </w:rPr>
      </w:r>
      <w:r>
        <w:rPr>
          <w:b/>
          <w:lang w:val="en_US" w:bidi="en_US"/>
        </w:rPr>
        <w:t>Quirinius:</w:t>
      </w:r>
      <w:r>
        <w:rPr>
          <w:lang w:val="en_US" w:bidi="en_US"/>
        </w:rPr>
        <w:t xml:space="preserve"> </w:t>
      </w:r>
      <w:r>
        <w:rPr>
          <w:i/>
          <w:lang w:val="en_US" w:bidi="en_US"/>
        </w:rPr>
        <w:t>Quirinius</w:t>
      </w:r>
      <w:r>
        <w:rPr>
          <w:lang w:val="en_US" w:bidi="en_US"/>
        </w:rPr>
        <w:t xml:space="preserve"> is the name of a man. He was one of the Roman leaders who served Caesar. He governed a province that Rome ruled at that time.</w:t>
      </w:r>
    </w:p>
    <w:p>
      <w:pPr/>
      <w:r>
        <w:rPr>
          <w:lang w:val="en_US" w:bidi="en_US"/>
        </w:rPr>
      </w:r>
      <w:r>
        <w:rPr>
          <w:b/>
          <w:lang w:val="en_US" w:bidi="en_US"/>
        </w:rPr>
        <w:t>governor:</w:t>
      </w:r>
      <w:r>
        <w:rPr>
          <w:lang w:val="en_US" w:bidi="en_US"/>
        </w:rPr>
        <w:t xml:space="preserve"> A </w:t>
      </w:r>
      <w:r>
        <w:rPr>
          <w:i/>
          <w:lang w:val="en_US" w:bidi="en_US"/>
        </w:rPr>
        <w:t>governor</w:t>
      </w:r>
      <w:r>
        <w:rPr>
          <w:lang w:val="en_US" w:bidi="en_US"/>
        </w:rPr>
        <w:t xml:space="preserve"> was the leader of a province or country. The emperor had appointed him to this position.</w:t>
      </w:r>
    </w:p>
    <w:p>
      <w:pPr/>
      <w:r>
        <w:rPr>
          <w:lang w:val="en_US" w:bidi="en_US"/>
        </w:rPr>
      </w:r>
      <w:r>
        <w:rPr>
          <w:b/>
          <w:lang w:val="en_US" w:bidi="en_US"/>
        </w:rPr>
        <w:t>Syria:</w:t>
      </w:r>
      <w:r>
        <w:rPr>
          <w:lang w:val="en_US" w:bidi="en_US"/>
        </w:rPr>
        <w:t xml:space="preserve"> </w:t>
      </w:r>
      <w:r>
        <w:rPr>
          <w:i/>
          <w:lang w:val="en_US" w:bidi="en_US"/>
        </w:rPr>
        <w:t>Syria</w:t>
      </w:r>
      <w:r>
        <w:rPr>
          <w:lang w:val="en_US" w:bidi="en_US"/>
        </w:rPr>
        <w:t xml:space="preserve"> was one of many provinces or districts that the Romans ruled. It was a more powerful province than Judea and Galilee. In some languages it may be helpful to make it explicit that Syria was a province. For example:</w:t>
      </w:r>
    </w:p>
    <w:p>
      <w:pPr/>
      <w:r>
        <w:rPr>
          <w:lang w:val="en_US" w:bidi="en_US"/>
        </w:rPr>
      </w:r>
      <w:r>
        <w:rPr>
          <w:lang w:val="en_US" w:bidi="en_US"/>
        </w:rPr>
        <w:t>the province of</w:t>
      </w:r>
      <w:r>
        <w:rPr>
          <w:lang w:val="en_US" w:bidi="en_US"/>
        </w:rPr>
        <w:t xml:space="preserve"> Syria</w:t>
      </w:r>
      <w:r>
        <w:rPr>
          <w:lang w:val="en_US" w:bidi="en_US"/>
        </w:rPr>
      </w:r>
      <w:r>
        <w:rPr>
          <w:lang w:val="en_US" w:bidi="en_US"/>
        </w:rPr>
      </w:r>
    </w:p>
    <w:p>
      <w:pPr/>
      <w:r>
        <w:rPr>
          <w:lang w:val="en_US" w:bidi="en_US"/>
        </w:rPr>
      </w:r>
    </w:p>
    <w:p>
      <w:pPr>
        <w:pStyle w:val="Heading2"/>
      </w:pPr>
      <w:r>
        <w:rPr>
          <w:lang w:val="en_US" w:bidi="en_US"/>
        </w:rPr>
        <w:t>Luke 2:3</w:t>
      </w:r>
      <w:r>
        <w:rPr>
          <w:lang w:val="en_US" w:bidi="en_US"/>
        </w:rPr>
      </w:r>
    </w:p>
    <w:p>
      <w:pPr>
        <w:pStyle w:val="Heading4"/>
      </w:pPr>
      <w:r>
        <w:rPr>
          <w:lang w:val="en_US" w:bidi="en_US"/>
        </w:rPr>
        <w:t>Section 2:1–7: Jesus was born</w:t>
      </w:r>
    </w:p>
    <w:p>
      <w:pPr/>
      <w:r>
        <w:rPr>
          <w:lang w:val="en_US" w:bidi="en_US"/>
        </w:rPr>
      </w:r>
      <w:r>
        <w:rPr>
          <w:lang w:val="en_US" w:bidi="en_US"/>
        </w:rPr>
        <w:t>In this section the things that the angel told Mary about in 1:31–37 happened. In those verses the angel told Mary that she would give birth to a son through the power of the Holy Spirit. This would happen even though she was a virgin. In this section, that prophecy was fulfilled. Mary gave birth to Jesus in Bethlehem. This section begins about six months after John the Baptizer was born (1:26).</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Jesus (GNT)</w:t>
      </w:r>
    </w:p>
    <w:p>
      <w:pPr/>
      <w:r>
        <w:rPr>
          <w:lang w:val="en_US" w:bidi="en_US"/>
        </w:rPr>
      </w:r>
      <w:r>
        <w:rPr>
          <w:lang w:val="en_US" w:bidi="en_US"/>
        </w:rPr>
        <w:t>Mary gave birth to the Savior</w:t>
      </w:r>
    </w:p>
    <w:p>
      <w:pPr>
        <w:pStyle w:val="Heading4"/>
      </w:pPr>
      <w:r>
        <w:rPr>
          <w:lang w:val="en_US" w:bidi="en_US"/>
        </w:rPr>
        <w:t>Paragraph 2:1–3</w:t>
      </w:r>
    </w:p>
    <w:p>
      <w:pPr/>
      <w:r>
        <w:rPr>
          <w:lang w:val="en_US" w:bidi="en_US"/>
        </w:rPr>
      </w:r>
      <w:r>
        <w:rPr>
          <w:lang w:val="en_US" w:bidi="en_US"/>
        </w:rPr>
        <w:t>This paragraph is the introduction to this section. It tells when the events happened. It also tells about an event that was background information for the main events of the section.</w:t>
      </w:r>
    </w:p>
    <w:p>
      <w:pPr>
        <w:pStyle w:val="Heading5"/>
      </w:pPr>
      <w:r>
        <w:rPr>
          <w:lang w:val="en_US" w:bidi="en_US"/>
        </w:rPr>
        <w:t>2:3</w:t>
      </w:r>
    </w:p>
    <w:p>
      <w:pPr/>
      <w:r>
        <w:rPr>
          <w:lang w:val="en_US" w:bidi="en_US"/>
        </w:rPr>
      </w:r>
      <w:r>
        <w:rPr>
          <w:b/>
          <w:lang w:val="en_US" w:bidi="en_US"/>
        </w:rPr>
        <w:t>And everyone went to his own town to register.</w:t>
      </w:r>
    </w:p>
    <w:p>
      <w:pPr>
        <w:pStyle w:val="ListBullet"/>
        <w:spacing w:line="240" w:lineRule="auto"/>
        <w:ind w:left="720"/>
      </w:pPr>
      <w:r>
        <w:rPr>
          <w:lang w:val="en_US" w:bidi="en_US"/>
        </w:rPr>
      </w:r>
      <w:r>
        <w:rPr>
          <w:lang w:val="en_US" w:bidi="en_US"/>
        </w:rPr>
        <w:t xml:space="preserve">All the people went to the towns of their ancestors in order to register </w:t>
      </w:r>
      <w:r>
        <w:rPr>
          <w:lang w:val="en_US" w:bidi="en_US"/>
        </w:rPr>
        <w:t>their names</w:t>
      </w:r>
      <w:r>
        <w:rPr>
          <w:lang w:val="en_US" w:bidi="en_US"/>
        </w:rPr>
        <w:t>.</w:t>
      </w:r>
    </w:p>
    <w:p>
      <w:pPr>
        <w:pStyle w:val="ListBullet"/>
        <w:spacing w:line="240" w:lineRule="auto"/>
        <w:ind w:left="720"/>
      </w:pPr>
      <w:r>
        <w:rPr>
          <w:lang w:val="en_US" w:bidi="en_US"/>
        </w:rPr>
      </w:r>
      <w:r>
        <w:rPr>
          <w:lang w:val="en_US" w:bidi="en_US"/>
        </w:rPr>
        <w:t>So,</w:t>
      </w:r>
      <w:r>
        <w:rPr>
          <w:lang w:val="en_US" w:bidi="en_US"/>
        </w:rPr>
        <w:t xml:space="preserve"> each person went to the village/town </w:t>
      </w:r>
      <w:r>
        <w:rPr>
          <w:lang w:val="en_US" w:bidi="en_US"/>
        </w:rPr>
        <w:t>where</w:t>
      </w:r>
      <w:r>
        <w:rPr>
          <w:lang w:val="en_US" w:bidi="en_US"/>
        </w:rPr>
        <w:t xml:space="preserve"> his </w:t>
      </w:r>
      <w:r>
        <w:rPr>
          <w:lang w:val="en_US" w:bidi="en_US"/>
        </w:rPr>
        <w:t>ancestors had lived</w:t>
      </w:r>
      <w:r>
        <w:rPr>
          <w:lang w:val="en_US" w:bidi="en_US"/>
        </w:rPr>
        <w:t xml:space="preserve"> so that </w:t>
      </w:r>
      <w:r>
        <w:rPr>
          <w:lang w:val="en_US" w:bidi="en_US"/>
        </w:rPr>
        <w:t>government officials</w:t>
      </w:r>
      <w:r>
        <w:rPr>
          <w:lang w:val="en_US" w:bidi="en_US"/>
        </w:rPr>
        <w:t xml:space="preserve"> could record/write his name in a book there.</w:t>
      </w:r>
    </w:p>
    <w:p>
      <w:pPr/>
      <w:r>
        <w:rPr>
          <w:lang w:val="en_US" w:bidi="en_US"/>
        </w:rPr>
      </w:r>
      <w:r>
        <w:rPr>
          <w:b/>
          <w:lang w:val="en_US" w:bidi="en_US"/>
        </w:rPr>
        <w:t>And</w:t>
      </w:r>
      <w:r>
        <w:rPr>
          <w:lang w:val="en_US" w:bidi="en_US"/>
        </w:rPr>
        <w:t xml:space="preserve"> This verse begins with a Greek conjunction that introduces more information about the census that Caesar ordered in 2:1. To show that people going to their own towns to register was the next thing that happened after Caesar ordered a census, the BSB translates this conjunction as </w:t>
      </w:r>
      <w:r>
        <w:rPr>
          <w:i/>
          <w:lang w:val="en_US" w:bidi="en_US"/>
        </w:rPr>
        <w:t>And</w:t>
      </w:r>
      <w:r>
        <w:rPr>
          <w:lang w:val="en_US" w:bidi="en_US"/>
        </w:rPr>
        <w:t>. Caesar had ordered people to go to the town where their ancestors had lived in order for officials to register them. Then the officials could write each person’s name as being from that place. Here are some other ways to connect this verse to the context:</w:t>
      </w:r>
    </w:p>
    <w:p>
      <w:pPr>
        <w:pStyle w:val="ListBullet"/>
        <w:spacing w:line="240" w:lineRule="auto"/>
        <w:ind w:left="720"/>
      </w:pPr>
      <w:r>
        <w:rPr>
          <w:lang w:val="en_US" w:bidi="en_US"/>
        </w:rPr>
      </w:r>
      <w:r>
        <w:rPr>
          <w:lang w:val="en_US" w:bidi="en_US"/>
        </w:rPr>
        <w:t>Use a general way to connect events in your language, as the BSB does. The Greek text uses the common connector that is often translated as “And.” For example:</w:t>
      </w:r>
      <w:r>
        <w:rPr>
          <w:lang w:val="en_US" w:bidi="en_US"/>
        </w:rPr>
        <w:t>And all went to their own towns to be registered. (NCV)</w:t>
      </w:r>
    </w:p>
    <w:p>
      <w:pPr>
        <w:pStyle w:val="ListBullet"/>
        <w:spacing w:line="240" w:lineRule="auto"/>
        <w:ind w:left="720"/>
      </w:pPr>
      <w:r>
        <w:rPr>
          <w:lang w:val="en_US" w:bidi="en_US"/>
        </w:rPr>
      </w:r>
      <w:r>
        <w:rPr>
          <w:lang w:val="en_US" w:bidi="en_US"/>
        </w:rPr>
        <w:t>Some versions do not use a connector. For example:</w:t>
      </w:r>
      <w:r>
        <w:rPr>
          <w:lang w:val="en_US" w:bidi="en_US"/>
        </w:rPr>
        <w:t>Everyone went to his own town to be registered. (NET)</w:t>
      </w:r>
    </w:p>
    <w:p>
      <w:pPr>
        <w:pStyle w:val="ListBullet"/>
        <w:spacing w:line="240" w:lineRule="auto"/>
        <w:ind w:left="720"/>
      </w:pPr>
      <w:r>
        <w:rPr>
          <w:lang w:val="en_US" w:bidi="en_US"/>
        </w:rPr>
      </w:r>
      <w:r>
        <w:rPr>
          <w:lang w:val="en_US" w:bidi="en_US"/>
        </w:rPr>
        <w:t>Make it explicit that this verse is a result of 2:1. For example:</w:t>
      </w:r>
      <w:r>
        <w:rPr>
          <w:u w:val="single"/>
          <w:lang w:val="en_US" w:bidi="en_US"/>
        </w:rPr>
        <w:t>Because of this law/order</w:t>
      </w:r>
      <w:r>
        <w:rPr>
          <w:lang w:val="en_US" w:bidi="en_US"/>
        </w:rPr>
        <w:t>, everyone went to his own town to register.</w:t>
      </w:r>
    </w:p>
    <w:p>
      <w:pPr/>
      <w:r>
        <w:rPr>
          <w:lang w:val="en_US" w:bidi="en_US"/>
        </w:rPr>
      </w:r>
      <w:r>
        <w:rPr>
          <w:lang w:val="en_US" w:bidi="en_US"/>
        </w:rPr>
        <w:t>Connect this verse to the context in a natural way in your language.</w:t>
      </w:r>
    </w:p>
    <w:p>
      <w:pPr/>
      <w:r>
        <w:rPr>
          <w:lang w:val="en_US" w:bidi="en_US"/>
        </w:rPr>
      </w:r>
      <w:r>
        <w:rPr>
          <w:b/>
          <w:lang w:val="en_US" w:bidi="en_US"/>
        </w:rPr>
        <w:t>everyone went to his own town:</w:t>
      </w:r>
      <w:r>
        <w:rPr>
          <w:lang w:val="en_US" w:bidi="en_US"/>
        </w:rPr>
        <w:t xml:space="preserve"> This clause describes what Caesar required people to do. The Greek verb form that the BSB translates as </w:t>
      </w:r>
      <w:r>
        <w:rPr>
          <w:i/>
          <w:lang w:val="en_US" w:bidi="en_US"/>
        </w:rPr>
        <w:t>went</w:t>
      </w:r>
      <w:r>
        <w:rPr>
          <w:lang w:val="en_US" w:bidi="en_US"/>
        </w:rPr>
        <w:t xml:space="preserve"> indicates that this action happened over a period of time. People were going to their own towns to be registered. Some other ways to translate this are:</w:t>
      </w:r>
    </w:p>
    <w:p>
      <w:pPr/>
      <w:r>
        <w:rPr>
          <w:lang w:val="en_US" w:bidi="en_US"/>
        </w:rPr>
      </w:r>
      <w:r>
        <w:rPr>
          <w:lang w:val="en_US" w:bidi="en_US"/>
        </w:rPr>
        <w:t>And everyone was on his way…each to his own city. (NASB)</w:t>
      </w:r>
    </w:p>
    <w:p>
      <w:pPr/>
      <w:r>
        <w:rPr>
          <w:lang w:val="en_US" w:bidi="en_US"/>
        </w:rPr>
      </w:r>
      <w:r>
        <w:rPr>
          <w:lang w:val="en_US" w:bidi="en_US"/>
        </w:rPr>
        <w:t>Everyone had to go to their own hometown (CEV)</w:t>
      </w:r>
    </w:p>
    <w:p>
      <w:pPr/>
      <w:r>
        <w:rPr>
          <w:lang w:val="en_US" w:bidi="en_US"/>
        </w:rPr>
      </w:r>
      <w:r>
        <w:rPr>
          <w:b/>
          <w:lang w:val="en_US" w:bidi="en_US"/>
        </w:rPr>
        <w:t>his own town:</w:t>
      </w:r>
      <w:r>
        <w:rPr>
          <w:lang w:val="en_US" w:bidi="en_US"/>
        </w:rPr>
        <w:t xml:space="preserve"> In this context, the phrase </w:t>
      </w:r>
      <w:r>
        <w:rPr>
          <w:i/>
          <w:lang w:val="en_US" w:bidi="en_US"/>
        </w:rPr>
        <w:t>his own town</w:t>
      </w:r>
      <w:r>
        <w:rPr>
          <w:lang w:val="en_US" w:bidi="en_US"/>
        </w:rPr>
        <w:t xml:space="preserve"> refers to the town where his </w:t>
      </w:r>
      <w:r>
        <w:rPr>
          <w:u w:val="single"/>
          <w:lang w:val="en_US" w:bidi="en_US"/>
        </w:rPr>
        <w:t>ancestors</w:t>
      </w:r>
      <w:r>
        <w:rPr>
          <w:lang w:val="en_US" w:bidi="en_US"/>
        </w:rPr>
        <w:t xml:space="preserve"> had lived. This may not be the town or area where the person was born. It also may not be the town where he was then living. Some other ways to translate this are:</w:t>
      </w:r>
    </w:p>
    <w:p>
      <w:pPr/>
      <w:r>
        <w:rPr>
          <w:lang w:val="en_US" w:bidi="en_US"/>
        </w:rPr>
      </w:r>
      <w:r>
        <w:rPr>
          <w:lang w:val="en_US" w:bidi="en_US"/>
        </w:rPr>
        <w:t>the cities where their ancestors had lived (GW)</w:t>
      </w:r>
    </w:p>
    <w:p>
      <w:pPr/>
      <w:r>
        <w:rPr>
          <w:lang w:val="en_US" w:bidi="en_US"/>
        </w:rPr>
      </w:r>
      <w:r>
        <w:rPr>
          <w:lang w:val="en_US" w:bidi="en_US"/>
        </w:rPr>
        <w:t>their own ancestral towns (NLT)</w:t>
      </w:r>
    </w:p>
    <w:p>
      <w:pPr/>
      <w:r>
        <w:rPr>
          <w:lang w:val="en_US" w:bidi="en_US"/>
        </w:rPr>
      </w:r>
      <w:r>
        <w:rPr>
          <w:b/>
          <w:lang w:val="en_US" w:bidi="en_US"/>
        </w:rPr>
        <w:t>to register:</w:t>
      </w:r>
      <w:r>
        <w:rPr>
          <w:lang w:val="en_US" w:bidi="en_US"/>
        </w:rPr>
        <w:t xml:space="preserve"> The Greek word that the BSB translates as </w:t>
      </w:r>
      <w:r>
        <w:rPr>
          <w:i/>
          <w:lang w:val="en_US" w:bidi="en_US"/>
        </w:rPr>
        <w:t>to register</w:t>
      </w:r>
      <w:r>
        <w:rPr>
          <w:lang w:val="en_US" w:bidi="en_US"/>
        </w:rPr>
        <w:t xml:space="preserve"> is the same word as in 2:1b. There the BSB translates this word as “census.” As in 2:1b, it means “to register” or “to enroll.” The emperor ordered people to tell officials their names so that the officials could write them in the government’s record book.</w:t>
      </w:r>
      <w:r>
        <w:rPr>
          <w:lang w:val="en_US" w:bidi="en_US"/>
        </w:rPr>
      </w:r>
      <w:r>
        <w:rPr>
          <w:lang w:val="en_US" w:bidi="en_US"/>
        </w:rPr>
      </w:r>
    </w:p>
    <w:p>
      <w:pPr/>
      <w:r>
        <w:rPr>
          <w:lang w:val="en_US" w:bidi="en_US"/>
        </w:rPr>
      </w:r>
    </w:p>
    <w:p>
      <w:pPr>
        <w:pStyle w:val="Heading2"/>
      </w:pPr>
      <w:r>
        <w:rPr>
          <w:lang w:val="en_US" w:bidi="en_US"/>
        </w:rPr>
        <w:t>Luke 2:4</w:t>
      </w:r>
      <w:r>
        <w:rPr>
          <w:lang w:val="en_US" w:bidi="en_US"/>
        </w:rPr>
      </w:r>
    </w:p>
    <w:p>
      <w:pPr>
        <w:pStyle w:val="Heading4"/>
      </w:pPr>
      <w:r>
        <w:rPr>
          <w:lang w:val="en_US" w:bidi="en_US"/>
        </w:rPr>
        <w:t>Section 2:1–7: Jesus was born</w:t>
      </w:r>
    </w:p>
    <w:p>
      <w:pPr/>
      <w:r>
        <w:rPr>
          <w:lang w:val="en_US" w:bidi="en_US"/>
        </w:rPr>
      </w:r>
      <w:r>
        <w:rPr>
          <w:lang w:val="en_US" w:bidi="en_US"/>
        </w:rPr>
        <w:t>In this section the things that the angel told Mary about in 1:31–37 happened. In those verses the angel told Mary that she would give birth to a son through the power of the Holy Spirit. This would happen even though she was a virgin. In this section, that prophecy was fulfilled. Mary gave birth to Jesus in Bethlehem. This section begins about six months after John the Baptizer was born (1:26).</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Jesus (GNT)</w:t>
      </w:r>
    </w:p>
    <w:p>
      <w:pPr/>
      <w:r>
        <w:rPr>
          <w:lang w:val="en_US" w:bidi="en_US"/>
        </w:rPr>
      </w:r>
      <w:r>
        <w:rPr>
          <w:lang w:val="en_US" w:bidi="en_US"/>
        </w:rPr>
        <w:t>Mary gave birth to the Savior</w:t>
      </w:r>
    </w:p>
    <w:p>
      <w:pPr>
        <w:pStyle w:val="Heading5"/>
      </w:pPr>
      <w:r>
        <w:rPr>
          <w:lang w:val="en_US" w:bidi="en_US"/>
        </w:rPr>
        <w:t>2:4a</w:t>
      </w:r>
    </w:p>
    <w:p>
      <w:pPr/>
      <w:r>
        <w:rPr>
          <w:lang w:val="en_US" w:bidi="en_US"/>
        </w:rPr>
      </w:r>
      <w:r>
        <w:rPr>
          <w:b/>
          <w:lang w:val="en_US" w:bidi="en_US"/>
        </w:rPr>
        <w:t>So Joseph also went up from Nazareth in Galilee</w:t>
      </w:r>
    </w:p>
    <w:p>
      <w:pPr>
        <w:pStyle w:val="ListBullet"/>
        <w:spacing w:line="240" w:lineRule="auto"/>
        <w:ind w:left="720"/>
      </w:pPr>
      <w:r>
        <w:rPr>
          <w:lang w:val="en_US" w:bidi="en_US"/>
        </w:rPr>
      </w:r>
      <w:r>
        <w:rPr>
          <w:lang w:val="en_US" w:bidi="en_US"/>
        </w:rPr>
        <w:t xml:space="preserve">¶ So Joseph also went up from the town of Nazareth in </w:t>
      </w:r>
      <w:r>
        <w:rPr>
          <w:lang w:val="en_US" w:bidi="en_US"/>
        </w:rPr>
        <w:t>the region of</w:t>
      </w:r>
      <w:r>
        <w:rPr>
          <w:lang w:val="en_US" w:bidi="en_US"/>
        </w:rPr>
        <w:t xml:space="preserve"> Galilee</w:t>
      </w:r>
    </w:p>
    <w:p>
      <w:pPr>
        <w:pStyle w:val="ListBullet"/>
        <w:spacing w:line="240" w:lineRule="auto"/>
        <w:ind w:left="720"/>
      </w:pPr>
      <w:r>
        <w:rPr>
          <w:lang w:val="en_US" w:bidi="en_US"/>
        </w:rPr>
      </w:r>
      <w:r>
        <w:rPr>
          <w:lang w:val="en_US" w:bidi="en_US"/>
        </w:rPr>
        <w:t xml:space="preserve">¶ Joseph also </w:t>
      </w:r>
      <w:r>
        <w:rPr>
          <w:lang w:val="en_US" w:bidi="en_US"/>
        </w:rPr>
        <w:t>had to do this.</w:t>
      </w:r>
      <w:r>
        <w:rPr>
          <w:lang w:val="en_US" w:bidi="en_US"/>
        </w:rPr>
        <w:t xml:space="preserve"> So he left the town of Nazareth in </w:t>
      </w:r>
      <w:r>
        <w:rPr>
          <w:lang w:val="en_US" w:bidi="en_US"/>
        </w:rPr>
        <w:t>the province of</w:t>
      </w:r>
      <w:r>
        <w:rPr>
          <w:lang w:val="en_US" w:bidi="en_US"/>
        </w:rPr>
        <w:t xml:space="preserve"> Galilee and went</w:t>
      </w:r>
    </w:p>
    <w:p>
      <w:pPr>
        <w:pStyle w:val="Heading5"/>
      </w:pPr>
      <w:r>
        <w:rPr>
          <w:lang w:val="en_US" w:bidi="en_US"/>
        </w:rPr>
        <w:t>2:4b</w:t>
      </w:r>
    </w:p>
    <w:p>
      <w:pPr/>
      <w:r>
        <w:rPr>
          <w:lang w:val="en_US" w:bidi="en_US"/>
        </w:rPr>
      </w:r>
      <w:r>
        <w:rPr>
          <w:b/>
          <w:lang w:val="en_US" w:bidi="en_US"/>
        </w:rPr>
        <w:t>to Judea, to the city of David called Bethlehem,</w:t>
      </w:r>
    </w:p>
    <w:p>
      <w:pPr>
        <w:pStyle w:val="ListBullet"/>
        <w:spacing w:line="240" w:lineRule="auto"/>
        <w:ind w:left="720"/>
      </w:pPr>
      <w:r>
        <w:rPr>
          <w:lang w:val="en_US" w:bidi="en_US"/>
        </w:rPr>
      </w:r>
      <w:r>
        <w:rPr>
          <w:lang w:val="en_US" w:bidi="en_US"/>
        </w:rPr>
        <w:t xml:space="preserve">to Bethlehem, the town of </w:t>
      </w:r>
      <w:r>
        <w:rPr>
          <w:lang w:val="en_US" w:bidi="en_US"/>
        </w:rPr>
        <w:t>King</w:t>
      </w:r>
      <w:r>
        <w:rPr>
          <w:lang w:val="en_US" w:bidi="en_US"/>
        </w:rPr>
        <w:t xml:space="preserve"> David, which was in Judea.</w:t>
      </w:r>
    </w:p>
    <w:p>
      <w:pPr>
        <w:pStyle w:val="ListBullet"/>
        <w:spacing w:line="240" w:lineRule="auto"/>
        <w:ind w:left="720"/>
      </w:pPr>
      <w:r>
        <w:rPr>
          <w:lang w:val="en_US" w:bidi="en_US"/>
        </w:rPr>
      </w:r>
      <w:r>
        <w:rPr>
          <w:lang w:val="en_US" w:bidi="en_US"/>
        </w:rPr>
        <w:t xml:space="preserve">to the </w:t>
      </w:r>
      <w:r>
        <w:rPr>
          <w:lang w:val="en_US" w:bidi="en_US"/>
        </w:rPr>
        <w:t>home</w:t>
      </w:r>
      <w:r>
        <w:rPr>
          <w:lang w:val="en_US" w:bidi="en_US"/>
        </w:rPr>
        <w:t xml:space="preserve"> town of </w:t>
      </w:r>
      <w:r>
        <w:rPr>
          <w:lang w:val="en_US" w:bidi="en_US"/>
        </w:rPr>
        <w:t>King</w:t>
      </w:r>
      <w:r>
        <w:rPr>
          <w:lang w:val="en_US" w:bidi="en_US"/>
        </w:rPr>
        <w:t xml:space="preserve"> David, </w:t>
      </w:r>
      <w:r>
        <w:rPr>
          <w:lang w:val="en_US" w:bidi="en_US"/>
        </w:rPr>
        <w:t>which is</w:t>
      </w:r>
      <w:r>
        <w:rPr>
          <w:lang w:val="en_US" w:bidi="en_US"/>
        </w:rPr>
        <w:t xml:space="preserve"> Bethlehem, in </w:t>
      </w:r>
      <w:r>
        <w:rPr>
          <w:lang w:val="en_US" w:bidi="en_US"/>
        </w:rPr>
        <w:t>the province/state of</w:t>
      </w:r>
      <w:r>
        <w:rPr>
          <w:lang w:val="en_US" w:bidi="en_US"/>
        </w:rPr>
        <w:t xml:space="preserve"> Judea.</w:t>
      </w:r>
    </w:p>
    <w:p>
      <w:pPr>
        <w:pStyle w:val="ListBullet"/>
        <w:spacing w:line="240" w:lineRule="auto"/>
        <w:ind w:left="720"/>
      </w:pPr>
      <w:r>
        <w:rPr>
          <w:lang w:val="en_US" w:bidi="en_US"/>
        </w:rPr>
      </w:r>
      <w:r>
        <w:rPr>
          <w:lang w:val="en_US" w:bidi="en_US"/>
        </w:rPr>
        <w:t xml:space="preserve">to the town of Bethlehem. Bethlehem is where </w:t>
      </w:r>
      <w:r>
        <w:rPr>
          <w:lang w:val="en_US" w:bidi="en_US"/>
        </w:rPr>
        <w:t>King</w:t>
      </w:r>
      <w:r>
        <w:rPr>
          <w:lang w:val="en_US" w:bidi="en_US"/>
        </w:rPr>
        <w:t xml:space="preserve"> David </w:t>
      </w:r>
      <w:r>
        <w:rPr>
          <w:lang w:val="en_US" w:bidi="en_US"/>
        </w:rPr>
        <w:t>was born</w:t>
      </w:r>
      <w:r>
        <w:rPr>
          <w:lang w:val="en_US" w:bidi="en_US"/>
        </w:rPr>
        <w:t xml:space="preserve">. It is in </w:t>
      </w:r>
      <w:r>
        <w:rPr>
          <w:lang w:val="en_US" w:bidi="en_US"/>
        </w:rPr>
        <w:t>the province/state of</w:t>
      </w:r>
      <w:r>
        <w:rPr>
          <w:lang w:val="en_US" w:bidi="en_US"/>
        </w:rPr>
        <w:t xml:space="preserve"> Judea.</w:t>
      </w:r>
    </w:p>
    <w:p>
      <w:pPr>
        <w:pStyle w:val="Heading5"/>
      </w:pPr>
      <w:r>
        <w:rPr>
          <w:lang w:val="en_US" w:bidi="en_US"/>
        </w:rPr>
        <w:t>2:4a–b</w:t>
      </w:r>
    </w:p>
    <w:p>
      <w:pPr/>
      <w:r>
        <w:rPr>
          <w:lang w:val="en_US" w:bidi="en_US"/>
        </w:rPr>
      </w:r>
      <w:r>
        <w:rPr>
          <w:b/>
          <w:lang w:val="en_US" w:bidi="en_US"/>
        </w:rPr>
        <w:t>So Joseph also:</w:t>
      </w:r>
      <w:r>
        <w:rPr>
          <w:lang w:val="en_US" w:bidi="en_US"/>
        </w:rPr>
        <w:t xml:space="preserve"> The Greek conjunction that the BSB translates as </w:t>
      </w:r>
      <w:r>
        <w:rPr>
          <w:i/>
          <w:lang w:val="en_US" w:bidi="en_US"/>
        </w:rPr>
        <w:t>So</w:t>
      </w:r>
      <w:r>
        <w:rPr>
          <w:lang w:val="en_US" w:bidi="en_US"/>
        </w:rPr>
        <w:t xml:space="preserve"> introduces a specific event that happened as a result of the background information in 2:1–3. This event begins a series of events in the story of Jesus’ birth. Some English versions do not have a conjunction here. Introduce this event in a way that is natural in your language.</w:t>
      </w:r>
    </w:p>
    <w:p>
      <w:pPr/>
      <w:r>
        <w:rPr>
          <w:lang w:val="en_US" w:bidi="en_US"/>
        </w:rPr>
      </w:r>
      <w:r>
        <w:rPr>
          <w:b/>
          <w:lang w:val="en_US" w:bidi="en_US"/>
        </w:rPr>
        <w:t>Joseph:</w:t>
      </w:r>
      <w:r>
        <w:rPr>
          <w:lang w:val="en_US" w:bidi="en_US"/>
        </w:rPr>
        <w:t xml:space="preserve"> </w:t>
      </w:r>
      <w:r>
        <w:rPr>
          <w:i/>
          <w:lang w:val="en_US" w:bidi="en_US"/>
        </w:rPr>
        <w:t>Joseph</w:t>
      </w:r>
      <w:r>
        <w:rPr>
          <w:lang w:val="en_US" w:bidi="en_US"/>
        </w:rPr>
        <w:t xml:space="preserve"> was mentioned in 1:27.</w:t>
      </w:r>
    </w:p>
    <w:p>
      <w:pPr/>
      <w:r>
        <w:rPr>
          <w:lang w:val="en_US" w:bidi="en_US"/>
        </w:rPr>
      </w:r>
      <w:r>
        <w:rPr>
          <w:b/>
          <w:lang w:val="en_US" w:bidi="en_US"/>
        </w:rPr>
        <w:t>went up from Nazareth:</w:t>
      </w:r>
      <w:r>
        <w:rPr>
          <w:lang w:val="en_US" w:bidi="en_US"/>
        </w:rPr>
        <w:t xml:space="preserve"> The phrase </w:t>
      </w:r>
      <w:r>
        <w:rPr>
          <w:i/>
          <w:lang w:val="en_US" w:bidi="en_US"/>
        </w:rPr>
        <w:t>went up from Nazareth</w:t>
      </w:r>
      <w:r>
        <w:rPr>
          <w:lang w:val="en_US" w:bidi="en_US"/>
        </w:rPr>
        <w:t xml:space="preserve"> means that Joseph left the town of </w:t>
      </w:r>
      <w:r>
        <w:rPr>
          <w:i/>
          <w:lang w:val="en_US" w:bidi="en_US"/>
        </w:rPr>
        <w:t>Nazareth</w:t>
      </w:r>
      <w:r>
        <w:rPr>
          <w:lang w:val="en_US" w:bidi="en_US"/>
        </w:rPr>
        <w:t xml:space="preserve"> and went to a part of the country that was higher in elevation. Luke 2:5a says that Mary went with Joseph. They went to the town of Bethlehem. Bethlehem is about one hundred kilometers (70 miles) from Nazareth and about three hundred meters (1000 feet) higher. On the trip Joseph and Mary sometimes went downhill as well as uphill.</w:t>
      </w:r>
    </w:p>
    <w:p>
      <w:pPr/>
      <w:r>
        <w:rPr>
          <w:lang w:val="en_US" w:bidi="en_US"/>
        </w:rPr>
      </w:r>
      <w:r>
        <w:rPr>
          <w:lang w:val="en_US" w:bidi="en_US"/>
        </w:rPr>
        <w:t xml:space="preserve">In some languages, it may not be natural to say that they </w:t>
      </w:r>
      <w:r>
        <w:rPr>
          <w:i/>
          <w:lang w:val="en_US" w:bidi="en_US"/>
        </w:rPr>
        <w:t>went up</w:t>
      </w:r>
      <w:r>
        <w:rPr>
          <w:lang w:val="en_US" w:bidi="en_US"/>
        </w:rPr>
        <w:t xml:space="preserve"> in this context. If this is the case in your language, you should simply say they “went.”</w:t>
      </w:r>
    </w:p>
    <w:p>
      <w:pPr/>
      <w:r>
        <w:rPr>
          <w:lang w:val="en_US" w:bidi="en_US"/>
        </w:rPr>
      </w:r>
      <w:r>
        <w:rPr>
          <w:b/>
          <w:lang w:val="en_US" w:bidi="en_US"/>
        </w:rPr>
        <w:t>Nazareth:</w:t>
      </w:r>
      <w:r>
        <w:rPr>
          <w:lang w:val="en_US" w:bidi="en_US"/>
        </w:rPr>
        <w:t xml:space="preserve"> </w:t>
      </w:r>
      <w:r>
        <w:rPr>
          <w:i/>
          <w:lang w:val="en_US" w:bidi="en_US"/>
        </w:rPr>
        <w:t>Nazareth</w:t>
      </w:r>
      <w:r>
        <w:rPr>
          <w:lang w:val="en_US" w:bidi="en_US"/>
        </w:rPr>
        <w:t xml:space="preserve"> is the town where Joseph was living when Caesar ordered the census.</w:t>
      </w:r>
    </w:p>
    <w:p>
      <w:pPr/>
      <w:r>
        <w:rPr>
          <w:lang w:val="en_US" w:bidi="en_US"/>
        </w:rPr>
      </w:r>
      <w:r>
        <w:rPr>
          <w:b/>
          <w:lang w:val="en_US" w:bidi="en_US"/>
        </w:rPr>
        <w:t>Galilee to Judea:</w:t>
      </w:r>
      <w:r>
        <w:rPr>
          <w:lang w:val="en_US" w:bidi="en_US"/>
        </w:rPr>
        <w:t xml:space="preserve"> </w:t>
      </w:r>
      <w:r>
        <w:rPr>
          <w:i/>
          <w:lang w:val="en_US" w:bidi="en_US"/>
        </w:rPr>
        <w:t>Galilee</w:t>
      </w:r>
      <w:r>
        <w:rPr>
          <w:lang w:val="en_US" w:bidi="en_US"/>
        </w:rPr>
        <w:t xml:space="preserve"> and </w:t>
      </w:r>
      <w:r>
        <w:rPr>
          <w:i/>
          <w:lang w:val="en_US" w:bidi="en_US"/>
        </w:rPr>
        <w:t>Judea</w:t>
      </w:r>
      <w:r>
        <w:rPr>
          <w:lang w:val="en_US" w:bidi="en_US"/>
        </w:rPr>
        <w:t xml:space="preserve"> were two minor provinces that Rome controlled.</w:t>
      </w:r>
    </w:p>
    <w:p>
      <w:pPr/>
      <w:r>
        <w:rPr>
          <w:lang w:val="en_US" w:bidi="en_US"/>
        </w:rPr>
      </w:r>
      <w:r>
        <w:rPr>
          <w:b/>
          <w:lang w:val="en_US" w:bidi="en_US"/>
        </w:rPr>
        <w:t>the city of David called Bethlehem:</w:t>
      </w:r>
      <w:r>
        <w:rPr>
          <w:lang w:val="en_US" w:bidi="en_US"/>
        </w:rPr>
        <w:t xml:space="preserve"> The Jews referred to </w:t>
      </w:r>
      <w:r>
        <w:rPr>
          <w:i/>
          <w:lang w:val="en_US" w:bidi="en_US"/>
        </w:rPr>
        <w:t>Bethlehem</w:t>
      </w:r>
      <w:r>
        <w:rPr>
          <w:lang w:val="en_US" w:bidi="en_US"/>
        </w:rPr>
        <w:t xml:space="preserve"> as </w:t>
      </w:r>
      <w:r>
        <w:rPr>
          <w:i/>
          <w:lang w:val="en_US" w:bidi="en_US"/>
        </w:rPr>
        <w:t>the city of David</w:t>
      </w:r>
      <w:r>
        <w:rPr>
          <w:lang w:val="en_US" w:bidi="en_US"/>
        </w:rPr>
        <w:t xml:space="preserve"> because King David had been born there. It was his hometown and the town of his ancestors. Bethlehem was not the place where David lived while he was king.</w:t>
      </w:r>
      <w:r>
        <w:rPr>
          <w:lang w:val="en_US" w:bidi="en_US"/>
        </w:rPr>
        <w:t>In the latter part of his reign, David ruled from his capital, Jerusalem. The Jews also referred to Jerusalem as the town/city of David.</w:t>
      </w:r>
      <w:r>
        <w:rPr>
          <w:lang w:val="en_US" w:bidi="en_US"/>
        </w:rPr>
        <w:t xml:space="preserve"> Other ways to translate this are:</w:t>
      </w:r>
    </w:p>
    <w:p>
      <w:pPr/>
      <w:r>
        <w:rPr>
          <w:lang w:val="en_US" w:bidi="en_US"/>
        </w:rPr>
      </w:r>
      <w:r>
        <w:rPr>
          <w:lang w:val="en_US" w:bidi="en_US"/>
        </w:rPr>
        <w:t>the town of Bethlehem…, the birthplace of King David (GNT)</w:t>
      </w:r>
    </w:p>
    <w:p>
      <w:pPr/>
      <w:r>
        <w:rPr>
          <w:lang w:val="en_US" w:bidi="en_US"/>
        </w:rPr>
      </w:r>
      <w:r>
        <w:rPr>
          <w:lang w:val="en_US" w:bidi="en_US"/>
        </w:rPr>
        <w:t>Long ago Bethlehem had been King David’s hometown (CEV)</w:t>
      </w:r>
    </w:p>
    <w:p>
      <w:pPr/>
      <w:r>
        <w:rPr>
          <w:lang w:val="en_US" w:bidi="en_US"/>
        </w:rPr>
      </w:r>
      <w:r>
        <w:rPr>
          <w:lang w:val="en_US" w:bidi="en_US"/>
        </w:rPr>
        <w:t>Bethlehem, because David had been born there (GW)</w:t>
      </w:r>
    </w:p>
    <w:p>
      <w:pPr>
        <w:pStyle w:val="Heading5"/>
      </w:pPr>
      <w:r>
        <w:rPr>
          <w:lang w:val="en_US" w:bidi="en_US"/>
        </w:rPr>
        <w:t>2:4c</w:t>
      </w:r>
    </w:p>
    <w:p>
      <w:pPr/>
      <w:r>
        <w:rPr>
          <w:lang w:val="en_US" w:bidi="en_US"/>
        </w:rPr>
      </w:r>
      <w:r>
        <w:rPr>
          <w:b/>
          <w:lang w:val="en_US" w:bidi="en_US"/>
        </w:rPr>
        <w:t>since he was from the house and line of David.</w:t>
      </w:r>
    </w:p>
    <w:p>
      <w:pPr>
        <w:pStyle w:val="ListBullet"/>
        <w:spacing w:line="240" w:lineRule="auto"/>
        <w:ind w:left="720"/>
      </w:pPr>
      <w:r>
        <w:rPr>
          <w:lang w:val="en_US" w:bidi="en_US"/>
        </w:rPr>
      </w:r>
      <w:r>
        <w:rPr>
          <w:lang w:val="en_US" w:bidi="en_US"/>
        </w:rPr>
        <w:t>He went there</w:t>
      </w:r>
      <w:r>
        <w:rPr>
          <w:lang w:val="en_US" w:bidi="en_US"/>
        </w:rPr>
        <w:t xml:space="preserve"> because he belonged to David’s clan. He was a descendant of David.</w:t>
      </w:r>
    </w:p>
    <w:p>
      <w:pPr>
        <w:pStyle w:val="ListBullet"/>
        <w:spacing w:line="240" w:lineRule="auto"/>
        <w:ind w:left="720"/>
      </w:pPr>
      <w:r>
        <w:rPr>
          <w:lang w:val="en_US" w:bidi="en_US"/>
        </w:rPr>
      </w:r>
      <w:r>
        <w:rPr>
          <w:lang w:val="en_US" w:bidi="en_US"/>
        </w:rPr>
        <w:t>He did this</w:t>
      </w:r>
      <w:r>
        <w:rPr>
          <w:lang w:val="en_US" w:bidi="en_US"/>
        </w:rPr>
        <w:t xml:space="preserve"> because he was a descendant of </w:t>
      </w:r>
      <w:r>
        <w:rPr>
          <w:lang w:val="en_US" w:bidi="en_US"/>
        </w:rPr>
        <w:t>King</w:t>
      </w:r>
      <w:r>
        <w:rPr>
          <w:lang w:val="en_US" w:bidi="en_US"/>
        </w:rPr>
        <w:t xml:space="preserve"> David.</w:t>
      </w:r>
    </w:p>
    <w:p>
      <w:pPr>
        <w:pStyle w:val="ListBullet"/>
        <w:spacing w:line="240" w:lineRule="auto"/>
        <w:ind w:left="720"/>
      </w:pPr>
      <w:r>
        <w:rPr>
          <w:lang w:val="en_US" w:bidi="en_US"/>
        </w:rPr>
      </w:r>
      <w:r>
        <w:rPr>
          <w:lang w:val="en_US" w:bidi="en_US"/>
        </w:rPr>
        <w:t>Joseph went to the town where King David was born</w:t>
      </w:r>
      <w:r>
        <w:rPr>
          <w:lang w:val="en_US" w:bidi="en_US"/>
        </w:rPr>
        <w:t xml:space="preserve"> because </w:t>
      </w:r>
      <w:r>
        <w:rPr>
          <w:lang w:val="en_US" w:bidi="en_US"/>
        </w:rPr>
        <w:t>King</w:t>
      </w:r>
      <w:r>
        <w:rPr>
          <w:lang w:val="en_US" w:bidi="en_US"/>
        </w:rPr>
        <w:t xml:space="preserve"> David was his ancestor.</w:t>
      </w:r>
    </w:p>
    <w:p>
      <w:pPr/>
      <w:r>
        <w:rPr>
          <w:lang w:val="en_US" w:bidi="en_US"/>
        </w:rPr>
      </w:r>
      <w:r>
        <w:rPr>
          <w:b/>
          <w:lang w:val="en_US" w:bidi="en_US"/>
        </w:rPr>
        <w:t>from the house and line of David:</w:t>
      </w:r>
      <w:r>
        <w:rPr>
          <w:lang w:val="en_US" w:bidi="en_US"/>
        </w:rPr>
        <w:t xml:space="preserve"> The words </w:t>
      </w:r>
      <w:r>
        <w:rPr>
          <w:i/>
          <w:lang w:val="en_US" w:bidi="en_US"/>
        </w:rPr>
        <w:t>house</w:t>
      </w:r>
      <w:r>
        <w:rPr>
          <w:lang w:val="en_US" w:bidi="en_US"/>
        </w:rPr>
        <w:t xml:space="preserve"> and </w:t>
      </w:r>
      <w:r>
        <w:rPr>
          <w:i/>
          <w:lang w:val="en_US" w:bidi="en_US"/>
        </w:rPr>
        <w:t>line</w:t>
      </w:r>
      <w:r>
        <w:rPr>
          <w:lang w:val="en_US" w:bidi="en_US"/>
        </w:rPr>
        <w:t xml:space="preserve"> have the same meaning. They mean here that Joseph was a “descendant” </w:t>
      </w:r>
      <w:r>
        <w:rPr>
          <w:i/>
          <w:lang w:val="en_US" w:bidi="en_US"/>
        </w:rPr>
        <w:t>of David</w:t>
      </w:r>
      <w:r>
        <w:rPr>
          <w:lang w:val="en_US" w:bidi="en_US"/>
        </w:rPr>
        <w:t xml:space="preserve">. The Greek uses two words that have the same meaning in order to emphasize that Joseph (and therefore Jesus) was a descendant </w:t>
      </w:r>
      <w:r>
        <w:rPr>
          <w:i/>
          <w:lang w:val="en_US" w:bidi="en_US"/>
        </w:rPr>
        <w:t>of David</w:t>
      </w:r>
      <w:r>
        <w:rPr>
          <w:lang w:val="en_US" w:bidi="en_US"/>
        </w:rPr>
        <w:t>.</w:t>
      </w:r>
    </w:p>
    <w:p>
      <w:pPr/>
      <w:r>
        <w:rPr>
          <w:lang w:val="en_US" w:bidi="en_US"/>
        </w:rPr>
      </w:r>
      <w:r>
        <w:rPr>
          <w:lang w:val="en_US" w:bidi="en_US"/>
        </w:rPr>
        <w:t>When you translate this phrase, you can translate both words together in one expression. For example:</w:t>
      </w:r>
    </w:p>
    <w:p>
      <w:pPr/>
      <w:r>
        <w:rPr>
          <w:lang w:val="en_US" w:bidi="en_US"/>
        </w:rPr>
      </w:r>
      <w:r>
        <w:rPr>
          <w:lang w:val="en_US" w:bidi="en_US"/>
        </w:rPr>
        <w:t>he was a descendant of David (GNT)</w:t>
      </w:r>
    </w:p>
    <w:p>
      <w:pPr/>
      <w:r>
        <w:rPr>
          <w:lang w:val="en_US" w:bidi="en_US"/>
        </w:rPr>
      </w:r>
      <w:r>
        <w:rPr>
          <w:b/>
          <w:lang w:val="en_US" w:bidi="en_US"/>
        </w:rPr>
        <w:t>the house…of David:</w:t>
      </w:r>
      <w:r>
        <w:rPr>
          <w:lang w:val="en_US" w:bidi="en_US"/>
        </w:rPr>
        <w:t xml:space="preserve"> In this context the phrase </w:t>
      </w:r>
      <w:r>
        <w:rPr>
          <w:i/>
          <w:lang w:val="en_US" w:bidi="en_US"/>
        </w:rPr>
        <w:t>house…of David</w:t>
      </w:r>
      <w:r>
        <w:rPr>
          <w:lang w:val="en_US" w:bidi="en_US"/>
        </w:rPr>
        <w:t xml:space="preserve"> is used in a figurative way. It means that Joseph was a descendant of David. It does not refer to a literal building where people lived. Other ways to say this are:</w:t>
      </w:r>
    </w:p>
    <w:p>
      <w:pPr/>
      <w:r>
        <w:rPr>
          <w:lang w:val="en_US" w:bidi="en_US"/>
        </w:rPr>
      </w:r>
      <w:r>
        <w:rPr>
          <w:lang w:val="en_US" w:bidi="en_US"/>
        </w:rPr>
        <w:t>David’s clan</w:t>
      </w:r>
    </w:p>
    <w:p>
      <w:pPr/>
      <w:r>
        <w:rPr>
          <w:lang w:val="en_US" w:bidi="en_US"/>
        </w:rPr>
      </w:r>
      <w:r>
        <w:rPr>
          <w:lang w:val="en_US" w:bidi="en_US"/>
        </w:rPr>
        <w:t>David’s family</w:t>
      </w:r>
    </w:p>
    <w:p>
      <w:pPr/>
      <w:r>
        <w:rPr>
          <w:lang w:val="en_US" w:bidi="en_US"/>
        </w:rPr>
      </w:r>
      <w:r>
        <w:rPr>
          <w:b/>
          <w:lang w:val="en_US" w:bidi="en_US"/>
        </w:rPr>
        <w:t>line of David:</w:t>
      </w:r>
      <w:r>
        <w:rPr>
          <w:lang w:val="en_US" w:bidi="en_US"/>
        </w:rPr>
        <w:t xml:space="preserve"> The expression </w:t>
      </w:r>
      <w:r>
        <w:rPr>
          <w:i/>
          <w:lang w:val="en_US" w:bidi="en_US"/>
        </w:rPr>
        <w:t>line of David</w:t>
      </w:r>
      <w:r>
        <w:rPr>
          <w:lang w:val="en_US" w:bidi="en_US"/>
        </w:rPr>
        <w:t xml:space="preserve"> is another way to say that Joseph was a “descendant of David.” See the notes above.</w:t>
      </w:r>
    </w:p>
    <w:p>
      <w:pPr>
        <w:pStyle w:val="Heading6"/>
      </w:pPr>
      <w:r>
        <w:rPr>
          <w:b/>
          <w:lang w:val="en_US" w:bidi="en_US"/>
        </w:rPr>
        <w:t>General Comment on 2:4a–c</w:t>
      </w:r>
    </w:p>
    <w:p>
      <w:pPr/>
      <w:r>
        <w:rPr>
          <w:lang w:val="en_US" w:bidi="en_US"/>
        </w:rPr>
      </w:r>
      <w:r>
        <w:rPr>
          <w:lang w:val="en_US" w:bidi="en_US"/>
        </w:rPr>
        <w:t>In some languages, it may be more natural to put 2:4c before 2:4a. For example:</w:t>
      </w:r>
    </w:p>
    <w:p>
      <w:pPr/>
      <w:r>
        <w:rPr>
          <w:lang w:val="en_US" w:bidi="en_US"/>
        </w:rPr>
      </w:r>
      <w:r>
        <w:rPr>
          <w:vertAlign w:val="superscript"/>
          <w:lang w:val="en_US" w:bidi="en_US"/>
        </w:rPr>
        <w:t>4c</w:t>
      </w:r>
      <w:r>
        <w:rPr>
          <w:lang w:val="en_US" w:bidi="en_US"/>
        </w:rPr>
        <w:t xml:space="preserve">Joseph belonged to the house and line of David. </w:t>
      </w:r>
      <w:r>
        <w:rPr>
          <w:vertAlign w:val="superscript"/>
          <w:lang w:val="en_US" w:bidi="en_US"/>
        </w:rPr>
        <w:t>4a</w:t>
      </w:r>
      <w:r>
        <w:rPr>
          <w:lang w:val="en_US" w:bidi="en_US"/>
        </w:rPr>
        <w:t>That is why</w:t>
      </w:r>
      <w:r>
        <w:rPr>
          <w:lang w:val="en_US" w:bidi="en_US"/>
        </w:rPr>
        <w:t xml:space="preserve"> he also went up from the town of Nazareth in Galilee </w:t>
      </w:r>
      <w:r>
        <w:rPr>
          <w:vertAlign w:val="superscript"/>
          <w:lang w:val="en_US" w:bidi="en_US"/>
        </w:rPr>
        <w:t>4b</w:t>
      </w:r>
      <w:r>
        <w:rPr>
          <w:lang w:val="en_US" w:bidi="en_US"/>
        </w:rPr>
        <w:t>to Judea, to Bethlehem, the town of David.</w:t>
      </w:r>
      <w:r>
        <w:rPr>
          <w:lang w:val="en_US" w:bidi="en_US"/>
        </w:rPr>
      </w:r>
      <w:r>
        <w:rPr>
          <w:lang w:val="en_US" w:bidi="en_US"/>
        </w:rPr>
      </w:r>
    </w:p>
    <w:p>
      <w:pPr/>
      <w:r>
        <w:rPr>
          <w:lang w:val="en_US" w:bidi="en_US"/>
        </w:rPr>
      </w:r>
    </w:p>
    <w:p>
      <w:pPr>
        <w:pStyle w:val="Heading2"/>
      </w:pPr>
      <w:r>
        <w:rPr>
          <w:lang w:val="en_US" w:bidi="en_US"/>
        </w:rPr>
        <w:t>Luke 2:5</w:t>
      </w:r>
      <w:r>
        <w:rPr>
          <w:lang w:val="en_US" w:bidi="en_US"/>
        </w:rPr>
      </w:r>
    </w:p>
    <w:p>
      <w:pPr>
        <w:pStyle w:val="Heading4"/>
      </w:pPr>
      <w:r>
        <w:rPr>
          <w:lang w:val="en_US" w:bidi="en_US"/>
        </w:rPr>
        <w:t>Section 2:1–7: Jesus was born</w:t>
      </w:r>
    </w:p>
    <w:p>
      <w:pPr/>
      <w:r>
        <w:rPr>
          <w:lang w:val="en_US" w:bidi="en_US"/>
        </w:rPr>
      </w:r>
      <w:r>
        <w:rPr>
          <w:lang w:val="en_US" w:bidi="en_US"/>
        </w:rPr>
        <w:t>In this section the things that the angel told Mary about in 1:31–37 happened. In those verses the angel told Mary that she would give birth to a son through the power of the Holy Spirit. This would happen even though she was a virgin. In this section, that prophecy was fulfilled. Mary gave birth to Jesus in Bethlehem. This section begins about six months after John the Baptizer was born (1:26).</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Jesus (GNT)</w:t>
      </w:r>
    </w:p>
    <w:p>
      <w:pPr/>
      <w:r>
        <w:rPr>
          <w:lang w:val="en_US" w:bidi="en_US"/>
        </w:rPr>
      </w:r>
      <w:r>
        <w:rPr>
          <w:lang w:val="en_US" w:bidi="en_US"/>
        </w:rPr>
        <w:t>Mary gave birth to the Savior</w:t>
      </w:r>
    </w:p>
    <w:p>
      <w:pPr>
        <w:pStyle w:val="Heading5"/>
      </w:pPr>
      <w:r>
        <w:rPr>
          <w:lang w:val="en_US" w:bidi="en_US"/>
        </w:rPr>
        <w:t>2:5a</w:t>
      </w:r>
    </w:p>
    <w:p>
      <w:pPr/>
      <w:r>
        <w:rPr>
          <w:lang w:val="en_US" w:bidi="en_US"/>
        </w:rPr>
      </w:r>
      <w:r>
        <w:rPr>
          <w:b/>
          <w:lang w:val="en_US" w:bidi="en_US"/>
        </w:rPr>
        <w:t>He went there to register with Mary,</w:t>
      </w:r>
    </w:p>
    <w:p>
      <w:pPr>
        <w:pStyle w:val="ListBullet"/>
        <w:spacing w:line="240" w:lineRule="auto"/>
        <w:ind w:left="720"/>
      </w:pPr>
      <w:r>
        <w:rPr>
          <w:lang w:val="en_US" w:bidi="en_US"/>
        </w:rPr>
      </w:r>
      <w:r>
        <w:rPr>
          <w:lang w:val="en_US" w:bidi="en_US"/>
        </w:rPr>
        <w:t xml:space="preserve">He went to Bethlehem in order that he and Mary could register </w:t>
      </w:r>
      <w:r>
        <w:rPr>
          <w:lang w:val="en_US" w:bidi="en_US"/>
        </w:rPr>
        <w:t>their names in the government records</w:t>
      </w:r>
      <w:r>
        <w:rPr>
          <w:lang w:val="en_US" w:bidi="en_US"/>
        </w:rPr>
        <w:t>.</w:t>
      </w:r>
    </w:p>
    <w:p>
      <w:pPr>
        <w:pStyle w:val="ListBullet"/>
        <w:spacing w:line="240" w:lineRule="auto"/>
        <w:ind w:left="720"/>
      </w:pPr>
      <w:r>
        <w:rPr>
          <w:lang w:val="en_US" w:bidi="en_US"/>
        </w:rPr>
      </w:r>
      <w:r>
        <w:rPr>
          <w:lang w:val="en_US" w:bidi="en_US"/>
        </w:rPr>
        <w:t xml:space="preserve">He went there with Mary for </w:t>
      </w:r>
      <w:r>
        <w:rPr>
          <w:lang w:val="en_US" w:bidi="en_US"/>
        </w:rPr>
        <w:t>the official</w:t>
      </w:r>
      <w:r>
        <w:rPr>
          <w:lang w:val="en_US" w:bidi="en_US"/>
        </w:rPr>
        <w:t xml:space="preserve"> to write both his name and Mary’s name in the </w:t>
      </w:r>
      <w:r>
        <w:rPr>
          <w:lang w:val="en_US" w:bidi="en_US"/>
        </w:rPr>
        <w:t>record</w:t>
      </w:r>
      <w:r>
        <w:rPr>
          <w:lang w:val="en_US" w:bidi="en_US"/>
        </w:rPr>
        <w:t xml:space="preserve"> book.</w:t>
      </w:r>
    </w:p>
    <w:p>
      <w:pPr/>
      <w:r>
        <w:rPr>
          <w:lang w:val="en_US" w:bidi="en_US"/>
        </w:rPr>
      </w:r>
      <w:r>
        <w:rPr>
          <w:b/>
          <w:lang w:val="en_US" w:bidi="en_US"/>
        </w:rPr>
        <w:t>to register with Mary:</w:t>
      </w:r>
      <w:r>
        <w:rPr>
          <w:lang w:val="en_US" w:bidi="en_US"/>
        </w:rPr>
        <w:t xml:space="preserve"> Joseph took Mary with him to Bethlehem. He did this so that an officer could write his name and Mary’s name in the book that the government officials used for the census.</w:t>
      </w:r>
      <w:r>
        <w:rPr>
          <w:lang w:val="en_US" w:bidi="en_US"/>
        </w:rPr>
        <w:t>Scholars have different views about what the phrase “with Mary” connects with in this context. Some of the main interpretations are: (1) It connects with “to register,” that is, Joseph went to register with Mary. Most English versions follow this interpretation (BSB, NIV, GNT, RSV, NJB, NET, NASB, KJV, GW, JBP, NCV). (2) It connects with “went,” that is, Joseph went to register, and he went with Mary. The English versions that follow interpretation (2) indicate this by omitting the verb “to register” in 2:5 or by putting the infinitive in 2:4. For example, the REB says, “</w:t>
      </w:r>
      <w:r>
        <w:rPr>
          <w:vertAlign w:val="superscript"/>
          <w:lang w:val="en_US" w:bidi="en_US"/>
        </w:rPr>
        <w:t>4–5</w:t>
      </w:r>
      <w:r>
        <w:rPr>
          <w:lang w:val="en_US" w:bidi="en_US"/>
        </w:rPr>
        <w:t>Joseph went up to Judea from the town of Nazareth in Galilee, to register in the city of David called Bethlehem, because he was of the house of David by descent; and with him went Mary, his betrothed, who was expecting her child” (also CEV and NLT). The Notes follow interpretation (1) along with the majority of English versions.</w:t>
      </w:r>
    </w:p>
    <w:p>
      <w:pPr>
        <w:pStyle w:val="Heading5"/>
      </w:pPr>
      <w:r>
        <w:rPr>
          <w:lang w:val="en_US" w:bidi="en_US"/>
        </w:rPr>
        <w:t>2:5b</w:t>
      </w:r>
    </w:p>
    <w:p>
      <w:pPr/>
      <w:r>
        <w:rPr>
          <w:lang w:val="en_US" w:bidi="en_US"/>
        </w:rPr>
      </w:r>
      <w:r>
        <w:rPr>
          <w:b/>
          <w:lang w:val="en_US" w:bidi="en_US"/>
        </w:rPr>
        <w:t>who was pledged to him in marriage and was expecting a child.</w:t>
      </w:r>
    </w:p>
    <w:p>
      <w:pPr>
        <w:pStyle w:val="ListBullet"/>
        <w:spacing w:line="240" w:lineRule="auto"/>
        <w:ind w:left="720"/>
      </w:pPr>
      <w:r>
        <w:rPr>
          <w:lang w:val="en_US" w:bidi="en_US"/>
        </w:rPr>
      </w:r>
      <w:r>
        <w:rPr>
          <w:lang w:val="en_US" w:bidi="en_US"/>
        </w:rPr>
        <w:t>She and her family had promised that she would be his wife, and she was pregnant.</w:t>
      </w:r>
    </w:p>
    <w:p>
      <w:pPr>
        <w:pStyle w:val="ListBullet"/>
        <w:spacing w:line="240" w:lineRule="auto"/>
        <w:ind w:left="720"/>
      </w:pPr>
      <w:r>
        <w:rPr>
          <w:lang w:val="en_US" w:bidi="en_US"/>
        </w:rPr>
      </w:r>
      <w:r>
        <w:rPr>
          <w:lang w:val="en_US" w:bidi="en_US"/>
        </w:rPr>
        <w:t xml:space="preserve">He and Mary had a </w:t>
      </w:r>
      <w:r>
        <w:rPr>
          <w:lang w:val="en_US" w:bidi="en_US"/>
        </w:rPr>
        <w:t>legal</w:t>
      </w:r>
      <w:r>
        <w:rPr>
          <w:lang w:val="en_US" w:bidi="en_US"/>
        </w:rPr>
        <w:t xml:space="preserve"> contract to marry </w:t>
      </w:r>
      <w:r>
        <w:rPr>
          <w:lang w:val="en_US" w:bidi="en_US"/>
        </w:rPr>
        <w:t>each other</w:t>
      </w:r>
      <w:r>
        <w:rPr>
          <w:lang w:val="en_US" w:bidi="en_US"/>
        </w:rPr>
        <w:t>, and she was pregnant.</w:t>
      </w:r>
    </w:p>
    <w:p>
      <w:pPr/>
      <w:r>
        <w:rPr>
          <w:lang w:val="en_US" w:bidi="en_US"/>
        </w:rPr>
      </w:r>
      <w:r>
        <w:rPr>
          <w:b/>
          <w:lang w:val="en_US" w:bidi="en_US"/>
        </w:rPr>
        <w:t>who was pledged to him in marriage:</w:t>
      </w:r>
      <w:r>
        <w:rPr>
          <w:lang w:val="en_US" w:bidi="en_US"/>
        </w:rPr>
        <w:t xml:space="preserve"> The Greek word that the BSB translates as </w:t>
      </w:r>
      <w:r>
        <w:rPr>
          <w:i/>
          <w:lang w:val="en_US" w:bidi="en_US"/>
        </w:rPr>
        <w:t>pledged to him in marriage</w:t>
      </w:r>
      <w:r>
        <w:rPr>
          <w:lang w:val="en_US" w:bidi="en_US"/>
        </w:rPr>
        <w:t xml:space="preserve"> refers to an agreement to marry. This agreement was made by a young man and woman and their families.</w:t>
      </w:r>
    </w:p>
    <w:p>
      <w:pPr/>
      <w:r>
        <w:rPr>
          <w:lang w:val="en_US" w:bidi="en_US"/>
        </w:rPr>
      </w:r>
      <w:r>
        <w:rPr>
          <w:lang w:val="en_US" w:bidi="en_US"/>
        </w:rPr>
        <w:t>Some English versions translate this word as “engaged.” However, the marriage agreement among the Jews was more strict than the word “engaged” implies in Western society. It legally joined a man and woman, and it was as binding as marriage. If either the man or the woman ended the agreement, people considered them to be divorced.</w:t>
      </w:r>
    </w:p>
    <w:p>
      <w:pPr/>
      <w:r>
        <w:rPr>
          <w:lang w:val="en_US" w:bidi="en_US"/>
        </w:rPr>
      </w:r>
      <w:r>
        <w:rPr>
          <w:lang w:val="en_US" w:bidi="en_US"/>
        </w:rPr>
        <w:t xml:space="preserve">Some other ways to express </w:t>
      </w:r>
      <w:r>
        <w:rPr>
          <w:i/>
          <w:lang w:val="en_US" w:bidi="en_US"/>
        </w:rPr>
        <w:t>pledged…in marriage</w:t>
      </w:r>
      <w:r>
        <w:rPr>
          <w:lang w:val="en_US" w:bidi="en_US"/>
        </w:rPr>
        <w:t xml:space="preserve"> are:</w:t>
      </w:r>
    </w:p>
    <w:p>
      <w:pPr/>
      <w:r>
        <w:rPr>
          <w:lang w:val="en_US" w:bidi="en_US"/>
        </w:rPr>
      </w:r>
      <w:r>
        <w:rPr>
          <w:lang w:val="en_US" w:bidi="en_US"/>
        </w:rPr>
        <w:t>promised in marriage (GNT)</w:t>
      </w:r>
    </w:p>
    <w:p>
      <w:pPr/>
      <w:r>
        <w:rPr>
          <w:lang w:val="en_US" w:bidi="en_US"/>
        </w:rPr>
      </w:r>
      <w:r>
        <w:rPr>
          <w:lang w:val="en_US" w:bidi="en_US"/>
        </w:rPr>
        <w:t xml:space="preserve">had made a </w:t>
      </w:r>
      <w:r>
        <w:rPr>
          <w:lang w:val="en_US" w:bidi="en_US"/>
        </w:rPr>
        <w:t>legal</w:t>
      </w:r>
      <w:r>
        <w:rPr>
          <w:lang w:val="en_US" w:bidi="en_US"/>
        </w:rPr>
        <w:t xml:space="preserve"> contract to be married</w:t>
      </w:r>
    </w:p>
    <w:p>
      <w:pPr/>
      <w:r>
        <w:rPr>
          <w:lang w:val="en_US" w:bidi="en_US"/>
        </w:rPr>
      </w:r>
      <w:r>
        <w:rPr>
          <w:lang w:val="en_US" w:bidi="en_US"/>
        </w:rPr>
        <w:t>After the marriage agreement was made, the man and woman usually waited for a year before their wedding. As part of the wedding ceremony, the man took the woman into his house to live. Matthew 1:24 indicates that Joseph had already taken Mary to his house as his wife before they went to Bethlehem. However, they had not yet had sexual relations, so Luke continued to refer to Mary as the “one pledged to be married.”</w:t>
      </w:r>
    </w:p>
    <w:p>
      <w:pPr>
        <w:pStyle w:val="Heading6"/>
      </w:pPr>
      <w:r>
        <w:rPr>
          <w:b/>
          <w:lang w:val="en_US" w:bidi="en_US"/>
        </w:rPr>
        <w:t>General Comment on 2:5a–b</w:t>
      </w:r>
    </w:p>
    <w:p>
      <w:pPr/>
      <w:r>
        <w:rPr>
          <w:lang w:val="en_US" w:bidi="en_US"/>
        </w:rPr>
      </w:r>
      <w:r>
        <w:rPr>
          <w:lang w:val="en_US" w:bidi="en_US"/>
        </w:rPr>
        <w:t>In some languages, it may be more natural to put 2:5b before 2:5a. For example:</w:t>
      </w:r>
    </w:p>
    <w:p>
      <w:pPr/>
      <w:r>
        <w:rPr>
          <w:lang w:val="en_US" w:bidi="en_US"/>
        </w:rPr>
      </w:r>
      <w:r>
        <w:rPr>
          <w:vertAlign w:val="superscript"/>
          <w:lang w:val="en_US" w:bidi="en_US"/>
        </w:rPr>
        <w:t>5b</w:t>
      </w:r>
      <w:r>
        <w:rPr>
          <w:lang w:val="en_US" w:bidi="en_US"/>
        </w:rPr>
        <w:t xml:space="preserve">Joseph and Mary had promised to get married, and Mary was expecting a child. </w:t>
      </w:r>
      <w:r>
        <w:rPr>
          <w:vertAlign w:val="superscript"/>
          <w:lang w:val="en_US" w:bidi="en_US"/>
        </w:rPr>
        <w:t>5a</w:t>
      </w:r>
      <w:r>
        <w:rPr>
          <w:lang w:val="en_US" w:bidi="en_US"/>
        </w:rPr>
        <w:t>So Joseph went to Bethlehem with Mary to register.</w:t>
      </w:r>
      <w:r>
        <w:rPr>
          <w:lang w:val="en_US" w:bidi="en_US"/>
        </w:rPr>
      </w:r>
      <w:r>
        <w:rPr>
          <w:lang w:val="en_US" w:bidi="en_US"/>
        </w:rPr>
      </w:r>
    </w:p>
    <w:p>
      <w:pPr/>
      <w:r>
        <w:rPr>
          <w:lang w:val="en_US" w:bidi="en_US"/>
        </w:rPr>
      </w:r>
    </w:p>
    <w:p>
      <w:pPr>
        <w:pStyle w:val="Heading2"/>
      </w:pPr>
      <w:r>
        <w:rPr>
          <w:lang w:val="en_US" w:bidi="en_US"/>
        </w:rPr>
        <w:t>Luke 2:6</w:t>
      </w:r>
      <w:r>
        <w:rPr>
          <w:lang w:val="en_US" w:bidi="en_US"/>
        </w:rPr>
      </w:r>
    </w:p>
    <w:p>
      <w:pPr>
        <w:pStyle w:val="Heading4"/>
      </w:pPr>
      <w:r>
        <w:rPr>
          <w:lang w:val="en_US" w:bidi="en_US"/>
        </w:rPr>
        <w:t>Section 2:1–7: Jesus was born</w:t>
      </w:r>
    </w:p>
    <w:p>
      <w:pPr/>
      <w:r>
        <w:rPr>
          <w:lang w:val="en_US" w:bidi="en_US"/>
        </w:rPr>
      </w:r>
      <w:r>
        <w:rPr>
          <w:lang w:val="en_US" w:bidi="en_US"/>
        </w:rPr>
        <w:t>In this section the things that the angel told Mary about in 1:31–37 happened. In those verses the angel told Mary that she would give birth to a son through the power of the Holy Spirit. This would happen even though she was a virgin. In this section, that prophecy was fulfilled. Mary gave birth to Jesus in Bethlehem. This section begins about six months after John the Baptizer was born (1:26).</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Jesus (GNT)</w:t>
      </w:r>
    </w:p>
    <w:p>
      <w:pPr/>
      <w:r>
        <w:rPr>
          <w:lang w:val="en_US" w:bidi="en_US"/>
        </w:rPr>
      </w:r>
      <w:r>
        <w:rPr>
          <w:lang w:val="en_US" w:bidi="en_US"/>
        </w:rPr>
        <w:t>Mary gave birth to the Savior</w:t>
      </w:r>
    </w:p>
    <w:p>
      <w:pPr>
        <w:pStyle w:val="Heading5"/>
      </w:pPr>
      <w:r>
        <w:rPr>
          <w:lang w:val="en_US" w:bidi="en_US"/>
        </w:rPr>
        <w:t>2:6a</w:t>
      </w:r>
    </w:p>
    <w:p>
      <w:pPr/>
      <w:r>
        <w:rPr>
          <w:lang w:val="en_US" w:bidi="en_US"/>
        </w:rPr>
      </w:r>
      <w:r>
        <w:rPr>
          <w:b/>
          <w:lang w:val="en_US" w:bidi="en_US"/>
        </w:rPr>
        <w:t>While they were there,</w:t>
      </w:r>
    </w:p>
    <w:p>
      <w:pPr>
        <w:pStyle w:val="ListBullet"/>
        <w:spacing w:line="240" w:lineRule="auto"/>
        <w:ind w:left="720"/>
      </w:pPr>
      <w:r>
        <w:rPr>
          <w:lang w:val="en_US" w:bidi="en_US"/>
        </w:rPr>
      </w:r>
      <w:r>
        <w:rPr>
          <w:lang w:val="en_US" w:bidi="en_US"/>
        </w:rPr>
        <w:t>While they</w:t>
      </w:r>
      <w:r>
        <w:rPr>
          <w:vertAlign w:val="superscript"/>
          <w:lang w:val="en_US" w:bidi="en_US"/>
        </w:rPr>
        <w:t>(dual)</w:t>
      </w:r>
      <w:r>
        <w:rPr>
          <w:lang w:val="en_US" w:bidi="en_US"/>
        </w:rPr>
        <w:t xml:space="preserve"> were in Bethlehem,</w:t>
      </w:r>
    </w:p>
    <w:p>
      <w:pPr>
        <w:pStyle w:val="ListBullet"/>
        <w:spacing w:line="240" w:lineRule="auto"/>
        <w:ind w:left="720"/>
      </w:pPr>
      <w:r>
        <w:rPr>
          <w:lang w:val="en_US" w:bidi="en_US"/>
        </w:rPr>
      </w:r>
      <w:r>
        <w:rPr>
          <w:lang w:val="en_US" w:bidi="en_US"/>
        </w:rPr>
        <w:t>During the days that Mary and Joseph were in Bethlehem,</w:t>
      </w:r>
    </w:p>
    <w:p>
      <w:pPr/>
      <w:r>
        <w:rPr>
          <w:lang w:val="en_US" w:bidi="en_US"/>
        </w:rPr>
      </w:r>
      <w:r>
        <w:rPr>
          <w:b/>
          <w:lang w:val="en_US" w:bidi="en_US"/>
        </w:rPr>
        <w:t>While they were there:</w:t>
      </w:r>
      <w:r>
        <w:rPr>
          <w:lang w:val="en_US" w:bidi="en_US"/>
        </w:rPr>
        <w:t xml:space="preserve"> The pronoun </w:t>
      </w:r>
      <w:r>
        <w:rPr>
          <w:i/>
          <w:lang w:val="en_US" w:bidi="en_US"/>
        </w:rPr>
        <w:t>they</w:t>
      </w:r>
      <w:r>
        <w:rPr>
          <w:lang w:val="en_US" w:bidi="en_US"/>
        </w:rPr>
        <w:t xml:space="preserve"> refers to Joseph and Mary. The word </w:t>
      </w:r>
      <w:r>
        <w:rPr>
          <w:i/>
          <w:lang w:val="en_US" w:bidi="en_US"/>
        </w:rPr>
        <w:t>there</w:t>
      </w:r>
      <w:r>
        <w:rPr>
          <w:lang w:val="en_US" w:bidi="en_US"/>
        </w:rPr>
        <w:t xml:space="preserve"> refers to the town of Bethlehem. During the time that Joseph and Mary were in Bethlehem, Jesus was born.</w:t>
      </w:r>
    </w:p>
    <w:p>
      <w:pPr>
        <w:pStyle w:val="Heading5"/>
      </w:pPr>
      <w:r>
        <w:rPr>
          <w:lang w:val="en_US" w:bidi="en_US"/>
        </w:rPr>
        <w:t>2:6b</w:t>
      </w:r>
    </w:p>
    <w:p>
      <w:pPr/>
      <w:r>
        <w:rPr>
          <w:lang w:val="en_US" w:bidi="en_US"/>
        </w:rPr>
      </w:r>
      <w:r>
        <w:rPr>
          <w:b/>
          <w:lang w:val="en_US" w:bidi="en_US"/>
        </w:rPr>
        <w:t>the time came for her Child to be born.</w:t>
      </w:r>
    </w:p>
    <w:p>
      <w:pPr>
        <w:pStyle w:val="ListBullet"/>
        <w:spacing w:line="240" w:lineRule="auto"/>
        <w:ind w:left="720"/>
      </w:pPr>
      <w:r>
        <w:rPr>
          <w:lang w:val="en_US" w:bidi="en_US"/>
        </w:rPr>
      </w:r>
      <w:r>
        <w:rPr>
          <w:lang w:val="en_US" w:bidi="en_US"/>
        </w:rPr>
        <w:t>Mary’s time for giving birth arrived,</w:t>
      </w:r>
    </w:p>
    <w:p>
      <w:pPr>
        <w:pStyle w:val="ListBullet"/>
        <w:spacing w:line="240" w:lineRule="auto"/>
        <w:ind w:left="720"/>
      </w:pPr>
      <w:r>
        <w:rPr>
          <w:lang w:val="en_US" w:bidi="en_US"/>
        </w:rPr>
      </w:r>
      <w:r>
        <w:rPr>
          <w:lang w:val="en_US" w:bidi="en_US"/>
        </w:rPr>
        <w:t>the time came for her to have/deliver her baby.</w:t>
      </w:r>
    </w:p>
    <w:p>
      <w:pPr/>
      <w:r>
        <w:rPr>
          <w:lang w:val="en_US" w:bidi="en_US"/>
        </w:rPr>
      </w:r>
      <w:r>
        <w:rPr>
          <w:b/>
          <w:lang w:val="en_US" w:bidi="en_US"/>
        </w:rPr>
        <w:t>the time came for her Child to be born:</w:t>
      </w:r>
      <w:r>
        <w:rPr>
          <w:lang w:val="en_US" w:bidi="en_US"/>
        </w:rPr>
        <w:t xml:space="preserve"> The BSB translates this with a passive verb, but in Greek this clause is active, literally “the days were completed for her to give birth.” This indicates that the baby in Mary’s womb had matured and her body was ready to give birth. Some languages may have an idiom for this. Another way to say this, with an active verb, is:</w:t>
      </w:r>
    </w:p>
    <w:p>
      <w:pPr/>
      <w:r>
        <w:rPr>
          <w:lang w:val="en_US" w:bidi="en_US"/>
        </w:rPr>
      </w:r>
      <w:r>
        <w:rPr>
          <w:lang w:val="en_US" w:bidi="en_US"/>
        </w:rPr>
        <w:t>the time came for Mary to give birth to her baby</w:t>
      </w:r>
      <w:r>
        <w:rPr>
          <w:lang w:val="en_US" w:bidi="en_US"/>
        </w:rPr>
      </w:r>
      <w:r>
        <w:rPr>
          <w:lang w:val="en_US" w:bidi="en_US"/>
        </w:rPr>
      </w:r>
    </w:p>
    <w:p>
      <w:pPr/>
      <w:r>
        <w:rPr>
          <w:lang w:val="en_US" w:bidi="en_US"/>
        </w:rPr>
      </w:r>
    </w:p>
    <w:p>
      <w:pPr>
        <w:pStyle w:val="Heading2"/>
      </w:pPr>
      <w:r>
        <w:rPr>
          <w:lang w:val="en_US" w:bidi="en_US"/>
        </w:rPr>
        <w:t>Luke 2:7</w:t>
      </w:r>
      <w:r>
        <w:rPr>
          <w:lang w:val="en_US" w:bidi="en_US"/>
        </w:rPr>
      </w:r>
    </w:p>
    <w:p>
      <w:pPr>
        <w:pStyle w:val="Heading4"/>
      </w:pPr>
      <w:r>
        <w:rPr>
          <w:lang w:val="en_US" w:bidi="en_US"/>
        </w:rPr>
        <w:t>Section 2:1–7: Jesus was born</w:t>
      </w:r>
    </w:p>
    <w:p>
      <w:pPr/>
      <w:r>
        <w:rPr>
          <w:lang w:val="en_US" w:bidi="en_US"/>
        </w:rPr>
      </w:r>
      <w:r>
        <w:rPr>
          <w:lang w:val="en_US" w:bidi="en_US"/>
        </w:rPr>
        <w:t>In this section the things that the angel told Mary about in 1:31–37 happened. In those verses the angel told Mary that she would give birth to a son through the power of the Holy Spirit. This would happen even though she was a virgin. In this section, that prophecy was fulfilled. Mary gave birth to Jesus in Bethlehem. This section begins about six months after John the Baptizer was born (1:26).</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Birth of Jesus (GNT)</w:t>
      </w:r>
    </w:p>
    <w:p>
      <w:pPr/>
      <w:r>
        <w:rPr>
          <w:lang w:val="en_US" w:bidi="en_US"/>
        </w:rPr>
      </w:r>
      <w:r>
        <w:rPr>
          <w:lang w:val="en_US" w:bidi="en_US"/>
        </w:rPr>
        <w:t>Mary gave birth to the Savior</w:t>
      </w:r>
    </w:p>
    <w:p>
      <w:pPr>
        <w:pStyle w:val="Heading5"/>
      </w:pPr>
      <w:r>
        <w:rPr>
          <w:lang w:val="en_US" w:bidi="en_US"/>
        </w:rPr>
        <w:t>2:7a</w:t>
      </w:r>
    </w:p>
    <w:p>
      <w:pPr/>
      <w:r>
        <w:rPr>
          <w:lang w:val="en_US" w:bidi="en_US"/>
        </w:rPr>
      </w:r>
      <w:r>
        <w:rPr>
          <w:b/>
          <w:lang w:val="en_US" w:bidi="en_US"/>
        </w:rPr>
        <w:t>And she gave birth to her firstborn, a Son.</w:t>
      </w:r>
    </w:p>
    <w:p>
      <w:pPr>
        <w:pStyle w:val="ListBullet"/>
        <w:spacing w:line="240" w:lineRule="auto"/>
        <w:ind w:left="720"/>
      </w:pPr>
      <w:r>
        <w:rPr>
          <w:lang w:val="en_US" w:bidi="en_US"/>
        </w:rPr>
      </w:r>
      <w:r>
        <w:rPr>
          <w:lang w:val="en_US" w:bidi="en_US"/>
        </w:rPr>
        <w:t xml:space="preserve">and she gave birth to her first child, a </w:t>
      </w:r>
      <w:r>
        <w:rPr>
          <w:lang w:val="en_US" w:bidi="en_US"/>
        </w:rPr>
        <w:t>baby</w:t>
      </w:r>
      <w:r>
        <w:rPr>
          <w:lang w:val="en_US" w:bidi="en_US"/>
        </w:rPr>
        <w:t xml:space="preserve"> boy.</w:t>
      </w:r>
    </w:p>
    <w:p>
      <w:pPr>
        <w:pStyle w:val="ListBullet"/>
        <w:spacing w:line="240" w:lineRule="auto"/>
        <w:ind w:left="720"/>
      </w:pPr>
      <w:r>
        <w:rPr>
          <w:lang w:val="en_US" w:bidi="en_US"/>
        </w:rPr>
      </w:r>
      <w:r>
        <w:rPr>
          <w:lang w:val="en_US" w:bidi="en_US"/>
        </w:rPr>
        <w:t>She bore a son. He was her first child.</w:t>
      </w:r>
    </w:p>
    <w:p>
      <w:pPr/>
      <w:r>
        <w:rPr>
          <w:lang w:val="en_US" w:bidi="en_US"/>
        </w:rPr>
      </w:r>
      <w:r>
        <w:rPr>
          <w:b/>
          <w:lang w:val="en_US" w:bidi="en_US"/>
        </w:rPr>
        <w:t>her firstborn, a Son:</w:t>
      </w:r>
      <w:r>
        <w:rPr>
          <w:lang w:val="en_US" w:bidi="en_US"/>
        </w:rPr>
        <w:t xml:space="preserve"> The Greek phrase that the BSB translates as </w:t>
      </w:r>
      <w:r>
        <w:rPr>
          <w:i/>
          <w:lang w:val="en_US" w:bidi="en_US"/>
        </w:rPr>
        <w:t>her firstborn, a Son</w:t>
      </w:r>
      <w:r>
        <w:rPr>
          <w:lang w:val="en_US" w:bidi="en_US"/>
        </w:rPr>
        <w:t xml:space="preserve"> is literally “her son, the firstborn.” It indicates that this baby was Mary’s first child, and that he was a boy. Another way to translate this is:</w:t>
      </w:r>
    </w:p>
    <w:p>
      <w:pPr/>
      <w:r>
        <w:rPr>
          <w:lang w:val="en_US" w:bidi="en_US"/>
        </w:rPr>
      </w:r>
      <w:r>
        <w:rPr>
          <w:lang w:val="en_US" w:bidi="en_US"/>
        </w:rPr>
        <w:t>She gave birth to her first child, a son. (NLT)</w:t>
      </w:r>
    </w:p>
    <w:p>
      <w:pPr>
        <w:pStyle w:val="Heading5"/>
      </w:pPr>
      <w:r>
        <w:rPr>
          <w:lang w:val="en_US" w:bidi="en_US"/>
        </w:rPr>
        <w:t>2:7b</w:t>
      </w:r>
    </w:p>
    <w:p>
      <w:pPr/>
      <w:r>
        <w:rPr>
          <w:lang w:val="en_US" w:bidi="en_US"/>
        </w:rPr>
      </w:r>
      <w:r>
        <w:rPr>
          <w:b/>
          <w:lang w:val="en_US" w:bidi="en_US"/>
        </w:rPr>
        <w:t>She wrapped Him in swaddling cloths</w:t>
      </w:r>
    </w:p>
    <w:p>
      <w:pPr>
        <w:pStyle w:val="ListBullet"/>
        <w:spacing w:line="240" w:lineRule="auto"/>
        <w:ind w:left="720"/>
      </w:pPr>
      <w:r>
        <w:rPr>
          <w:lang w:val="en_US" w:bidi="en_US"/>
        </w:rPr>
      </w:r>
      <w:r>
        <w:rPr>
          <w:lang w:val="en_US" w:bidi="en_US"/>
        </w:rPr>
        <w:t xml:space="preserve">She put </w:t>
      </w:r>
      <w:r>
        <w:rPr>
          <w:lang w:val="en_US" w:bidi="en_US"/>
        </w:rPr>
        <w:t>long</w:t>
      </w:r>
      <w:r>
        <w:rPr>
          <w:lang w:val="en_US" w:bidi="en_US"/>
        </w:rPr>
        <w:t xml:space="preserve"> </w:t>
      </w:r>
      <w:r>
        <w:rPr>
          <w:lang w:val="en_US" w:bidi="en_US"/>
        </w:rPr>
        <w:t>strips of</w:t>
      </w:r>
      <w:r>
        <w:rPr>
          <w:lang w:val="en_US" w:bidi="en_US"/>
        </w:rPr>
        <w:t xml:space="preserve"> cloth around him</w:t>
      </w:r>
    </w:p>
    <w:p>
      <w:pPr>
        <w:pStyle w:val="ListBullet"/>
        <w:spacing w:line="240" w:lineRule="auto"/>
        <w:ind w:left="720"/>
      </w:pPr>
      <w:r>
        <w:rPr>
          <w:lang w:val="en_US" w:bidi="en_US"/>
        </w:rPr>
      </w:r>
      <w:r>
        <w:rPr>
          <w:lang w:val="en_US" w:bidi="en_US"/>
        </w:rPr>
        <w:t xml:space="preserve">She wrapped </w:t>
      </w:r>
      <w:r>
        <w:rPr>
          <w:lang w:val="en_US" w:bidi="en_US"/>
        </w:rPr>
        <w:t>his arms and legs</w:t>
      </w:r>
      <w:r>
        <w:rPr>
          <w:lang w:val="en_US" w:bidi="en_US"/>
        </w:rPr>
        <w:t xml:space="preserve"> with </w:t>
      </w:r>
      <w:r>
        <w:rPr>
          <w:lang w:val="en_US" w:bidi="en_US"/>
        </w:rPr>
        <w:t>pieces of</w:t>
      </w:r>
      <w:r>
        <w:rPr>
          <w:lang w:val="en_US" w:bidi="en_US"/>
        </w:rPr>
        <w:t xml:space="preserve"> cloth</w:t>
      </w:r>
    </w:p>
    <w:p>
      <w:pPr/>
      <w:r>
        <w:rPr>
          <w:lang w:val="en_US" w:bidi="en_US"/>
        </w:rPr>
      </w:r>
      <w:r>
        <w:rPr>
          <w:b/>
          <w:lang w:val="en_US" w:bidi="en_US"/>
        </w:rPr>
        <w:t>She wrapped Him in swaddling cloths:</w:t>
      </w:r>
      <w:r>
        <w:rPr>
          <w:lang w:val="en_US" w:bidi="en_US"/>
        </w:rPr>
        <w:t xml:space="preserve"> Mary wrapped strips of cloth around the baby Jesus. It was a Jewish custom to wrap newborn babies in that way. This kept them warm, and it also kept their arms and legs straight.</w:t>
      </w:r>
    </w:p>
    <w:p>
      <w:pPr/>
      <w:r>
        <w:rPr>
          <w:lang w:val="en_US" w:bidi="en_US"/>
        </w:rPr>
      </w:r>
      <w:r>
        <w:rPr>
          <w:lang w:val="en_US" w:bidi="en_US"/>
        </w:rPr>
        <w:t>Here are some other ways to translate this clause:</w:t>
      </w:r>
    </w:p>
    <w:p>
      <w:pPr/>
      <w:r>
        <w:rPr>
          <w:lang w:val="en_US" w:bidi="en_US"/>
        </w:rPr>
      </w:r>
      <w:r>
        <w:rPr>
          <w:lang w:val="en_US" w:bidi="en_US"/>
        </w:rPr>
        <w:t>She wrapped the baby with pieces of cloth (NCV)</w:t>
      </w:r>
    </w:p>
    <w:p>
      <w:pPr/>
      <w:r>
        <w:rPr>
          <w:lang w:val="en_US" w:bidi="en_US"/>
        </w:rPr>
      </w:r>
      <w:r>
        <w:rPr>
          <w:lang w:val="en_US" w:bidi="en_US"/>
        </w:rPr>
        <w:t xml:space="preserve">She wrapped his </w:t>
      </w:r>
      <w:r>
        <w:rPr>
          <w:lang w:val="en_US" w:bidi="en_US"/>
        </w:rPr>
        <w:t>arms and legs snugly</w:t>
      </w:r>
      <w:r>
        <w:rPr>
          <w:lang w:val="en_US" w:bidi="en_US"/>
        </w:rPr>
        <w:t xml:space="preserve"> with pieces of cloth</w:t>
      </w:r>
    </w:p>
    <w:p>
      <w:pPr/>
      <w:r>
        <w:rPr>
          <w:lang w:val="en_US" w:bidi="en_US"/>
        </w:rPr>
      </w:r>
      <w:r>
        <w:rPr>
          <w:lang w:val="en_US" w:bidi="en_US"/>
        </w:rPr>
        <w:t xml:space="preserve">She put/wrapped strips of cloth around him </w:t>
      </w:r>
      <w:r>
        <w:rPr>
          <w:lang w:val="en_US" w:bidi="en_US"/>
        </w:rPr>
        <w:t>as was their custom</w:t>
      </w:r>
    </w:p>
    <w:p>
      <w:pPr/>
      <w:r>
        <w:rPr>
          <w:lang w:val="en_US" w:bidi="en_US"/>
        </w:rPr>
      </w:r>
      <w:r>
        <w:rPr>
          <w:b/>
          <w:lang w:val="en_US" w:bidi="en_US"/>
        </w:rPr>
        <w:t>swaddling cloths:</w:t>
      </w:r>
      <w:r>
        <w:rPr>
          <w:lang w:val="en_US" w:bidi="en_US"/>
        </w:rPr>
        <w:t xml:space="preserve"> These </w:t>
      </w:r>
      <w:r>
        <w:rPr>
          <w:i/>
          <w:lang w:val="en_US" w:bidi="en_US"/>
        </w:rPr>
        <w:t>cloths</w:t>
      </w:r>
      <w:r>
        <w:rPr>
          <w:lang w:val="en_US" w:bidi="en_US"/>
        </w:rPr>
        <w:t xml:space="preserve"> were long strips of cloth like bandages that were wrapped about the baby many times.</w:t>
      </w:r>
    </w:p>
    <w:p>
      <w:pPr>
        <w:pStyle w:val="Heading5"/>
      </w:pPr>
      <w:r>
        <w:rPr>
          <w:lang w:val="en_US" w:bidi="en_US"/>
        </w:rPr>
        <w:t>2:7c-d</w:t>
      </w:r>
    </w:p>
    <w:p>
      <w:pPr/>
      <w:r>
        <w:rPr>
          <w:lang w:val="en_US" w:bidi="en_US"/>
        </w:rPr>
      </w:r>
      <w:r>
        <w:rPr>
          <w:b/>
          <w:lang w:val="en_US" w:bidi="en_US"/>
        </w:rPr>
        <w:t>and laid Him in a manger, because there was no room for them in the inn:</w:t>
      </w:r>
      <w:r>
        <w:rPr>
          <w:lang w:val="en_US" w:bidi="en_US"/>
        </w:rPr>
        <w:t xml:space="preserve"> According to many people’s understanding or traditions, Mary and Joseph arrived at Bethlehem just at the time when Mary was ready to give birth. They approached an inn or hotel in Bethlehem, but were told that it was full. Instead they were guided to a stable with animals, where Mary gave birth.</w:t>
      </w:r>
    </w:p>
    <w:p>
      <w:pPr/>
      <w:r>
        <w:rPr>
          <w:lang w:val="en_US" w:bidi="en_US"/>
        </w:rPr>
      </w:r>
      <w:r>
        <w:rPr>
          <w:lang w:val="en_US" w:bidi="en_US"/>
        </w:rPr>
        <w:t>But according to Luke 2:6, they had already been in Bethlehem for a time when the moment came to give birth. And it is likely that they stayed in a house. Joseph probably had relatives in Bethlehem, and they would have invited him to stay with them. The home where they stayed had a room for guests, but it was already occupied. So they stayed in another room that was close to where animals were kept inside the house at night. This meant that a manger would have been nearby, and it became a good place to lay the newborn baby. This understanding of the story is followed in the notes below.</w:t>
      </w:r>
    </w:p>
    <w:p>
      <w:pPr/>
      <w:r>
        <w:rPr>
          <w:lang w:val="en_US" w:bidi="en_US"/>
        </w:rPr>
      </w:r>
      <w:r>
        <w:rPr>
          <w:b/>
          <w:lang w:val="en_US" w:bidi="en_US"/>
        </w:rPr>
        <w:t>because there was no room for them in the inn:</w:t>
      </w:r>
      <w:r>
        <w:rPr>
          <w:lang w:val="en_US" w:bidi="en_US"/>
        </w:rPr>
        <w:t xml:space="preserve"> This clause explains the reason why Mary laid the baby in a manger, which was not a usual place</w:t>
      </w:r>
      <w:r>
        <w:rPr>
          <w:lang w:val="en_US" w:bidi="en_US"/>
        </w:rPr>
        <w:t xml:space="preserve">While laying the baby in a manger was probably unexpected, it was not a bad choice of place to lay a newborn baby. With hay in it, it would have been soft. And because it was deep, the baby would not fall out of it. If it was a wooden manger, it could have been moved from the animal area onto the floor of the room where Mary and Joseph were staying. Or it may have been a manger carved or dug out into the family room floor and already near them. (See Kenneth Bailey, </w:t>
      </w:r>
      <w:r>
        <w:rPr>
          <w:i/>
          <w:lang w:val="en_US" w:bidi="en_US"/>
        </w:rPr>
        <w:t>Jesus Through Middle Eastern Eyes</w:t>
      </w:r>
      <w:r>
        <w:rPr>
          <w:lang w:val="en_US" w:bidi="en_US"/>
        </w:rPr>
        <w:t>, IVP (2008), pp. 28–30.)</w:t>
      </w:r>
      <w:r>
        <w:rPr>
          <w:lang w:val="en_US" w:bidi="en_US"/>
        </w:rPr>
        <w:t xml:space="preserve"> to lay a baby. It was because there was not enough space for the couple to stay, or to have the baby, in the guest room of the house. Instead they stayed near where the family kept their animals, and so they laid the baby in a nearby manger. See the translation suggestions at the end of the note on “because there was no room for them” at 2:7d for ways to make some of this information explicit.</w:t>
      </w:r>
    </w:p>
    <w:p>
      <w:pPr/>
      <w:r>
        <w:rPr>
          <w:lang w:val="en_US" w:bidi="en_US"/>
        </w:rPr>
      </w:r>
      <w:r>
        <w:rPr>
          <w:lang w:val="en_US" w:bidi="en_US"/>
        </w:rPr>
        <w:t>In some languages, it may be more natural to put the reason clause before the result clause. For example:</w:t>
      </w:r>
    </w:p>
    <w:p>
      <w:pPr/>
      <w:r>
        <w:rPr>
          <w:lang w:val="en_US" w:bidi="en_US"/>
        </w:rPr>
      </w:r>
      <w:r>
        <w:rPr>
          <w:lang w:val="en_US" w:bidi="en_US"/>
        </w:rPr>
        <w:t>Because there was no space for them in the guest room, she placed him in a manger.</w:t>
      </w:r>
    </w:p>
    <w:p>
      <w:pPr/>
      <w:r>
        <w:rPr>
          <w:lang w:val="en_US" w:bidi="en_US"/>
        </w:rPr>
      </w:r>
      <w:r>
        <w:rPr>
          <w:lang w:val="en_US" w:bidi="en_US"/>
        </w:rPr>
        <w:t>There was no place for them in the room for travelers, so she laid him in a manger.</w:t>
      </w:r>
    </w:p>
    <w:p>
      <w:pPr>
        <w:pStyle w:val="Heading5"/>
      </w:pPr>
      <w:r>
        <w:rPr>
          <w:lang w:val="en_US" w:bidi="en_US"/>
        </w:rPr>
        <w:t>2:7c</w:t>
      </w:r>
    </w:p>
    <w:p>
      <w:pPr/>
      <w:r>
        <w:rPr>
          <w:lang w:val="en_US" w:bidi="en_US"/>
        </w:rPr>
      </w:r>
      <w:r>
        <w:rPr>
          <w:b/>
          <w:lang w:val="en_US" w:bidi="en_US"/>
        </w:rPr>
        <w:t>and laid Him in a manger,</w:t>
      </w:r>
    </w:p>
    <w:p>
      <w:pPr>
        <w:pStyle w:val="ListBullet"/>
        <w:spacing w:line="240" w:lineRule="auto"/>
        <w:ind w:left="720"/>
      </w:pPr>
      <w:r>
        <w:rPr>
          <w:lang w:val="en_US" w:bidi="en_US"/>
        </w:rPr>
      </w:r>
      <w:r>
        <w:rPr>
          <w:lang w:val="en_US" w:bidi="en_US"/>
        </w:rPr>
        <w:t xml:space="preserve">and laid him in a box from which animals eat </w:t>
      </w:r>
      <w:r>
        <w:rPr>
          <w:lang w:val="en_US" w:bidi="en_US"/>
        </w:rPr>
        <w:t>their food</w:t>
      </w:r>
      <w:r>
        <w:rPr>
          <w:lang w:val="en_US" w:bidi="en_US"/>
        </w:rPr>
        <w:t>.</w:t>
      </w:r>
    </w:p>
    <w:p>
      <w:pPr>
        <w:pStyle w:val="ListBullet"/>
        <w:spacing w:line="240" w:lineRule="auto"/>
        <w:ind w:left="720"/>
      </w:pPr>
      <w:r>
        <w:rPr>
          <w:lang w:val="en_US" w:bidi="en_US"/>
        </w:rPr>
      </w:r>
      <w:r>
        <w:rPr>
          <w:lang w:val="en_US" w:bidi="en_US"/>
        </w:rPr>
        <w:t xml:space="preserve">and set him in a feeding trough </w:t>
      </w:r>
      <w:r>
        <w:rPr>
          <w:lang w:val="en_US" w:bidi="en_US"/>
        </w:rPr>
        <w:t>at the house where they were staying</w:t>
      </w:r>
      <w:r>
        <w:rPr>
          <w:lang w:val="en_US" w:bidi="en_US"/>
        </w:rPr>
        <w:t>.</w:t>
      </w:r>
    </w:p>
    <w:p>
      <w:pPr>
        <w:pStyle w:val="ListBullet"/>
        <w:spacing w:line="240" w:lineRule="auto"/>
        <w:ind w:left="720"/>
      </w:pPr>
      <w:r>
        <w:rPr>
          <w:lang w:val="en_US" w:bidi="en_US"/>
        </w:rPr>
      </w:r>
      <w:r>
        <w:rPr>
          <w:lang w:val="en_US" w:bidi="en_US"/>
        </w:rPr>
        <w:t xml:space="preserve">and laid him </w:t>
      </w:r>
      <w:r>
        <w:rPr>
          <w:lang w:val="en_US" w:bidi="en_US"/>
        </w:rPr>
        <w:t>on some hay</w:t>
      </w:r>
      <w:r>
        <w:rPr>
          <w:lang w:val="en_US" w:bidi="en_US"/>
        </w:rPr>
        <w:t xml:space="preserve"> in a feeding trough </w:t>
      </w:r>
      <w:r>
        <w:rPr>
          <w:lang w:val="en_US" w:bidi="en_US"/>
        </w:rPr>
        <w:t>because that was the best place she could find</w:t>
      </w:r>
      <w:r>
        <w:rPr>
          <w:lang w:val="en_US" w:bidi="en_US"/>
        </w:rPr>
        <w:t>.</w:t>
      </w:r>
    </w:p>
    <w:p>
      <w:pPr/>
      <w:r>
        <w:rPr>
          <w:lang w:val="en_US" w:bidi="en_US"/>
        </w:rPr>
      </w:r>
      <w:r>
        <w:rPr>
          <w:b/>
          <w:lang w:val="en_US" w:bidi="en_US"/>
        </w:rPr>
        <w:t>in a manger:</w:t>
      </w:r>
      <w:r>
        <w:rPr>
          <w:lang w:val="en_US" w:bidi="en_US"/>
        </w:rPr>
        <w:t xml:space="preserve"> A </w:t>
      </w:r>
      <w:r>
        <w:rPr>
          <w:i/>
          <w:lang w:val="en_US" w:bidi="en_US"/>
        </w:rPr>
        <w:t>manger</w:t>
      </w:r>
      <w:r>
        <w:rPr>
          <w:lang w:val="en_US" w:bidi="en_US"/>
        </w:rPr>
        <w:t xml:space="preserve"> was a box or trough that held food for animals, especially for large animals such as cattle and horses. People made this feeding box out of wood or stone. Other ways to translate this are:</w:t>
      </w:r>
    </w:p>
    <w:p>
      <w:pPr/>
      <w:r>
        <w:rPr>
          <w:lang w:val="en_US" w:bidi="en_US"/>
        </w:rPr>
      </w:r>
      <w:r>
        <w:rPr>
          <w:lang w:val="en_US" w:bidi="en_US"/>
        </w:rPr>
        <w:t>in a feeding trough</w:t>
      </w:r>
    </w:p>
    <w:p>
      <w:pPr/>
      <w:r>
        <w:rPr>
          <w:lang w:val="en_US" w:bidi="en_US"/>
        </w:rPr>
      </w:r>
      <w:r>
        <w:rPr>
          <w:lang w:val="en_US" w:bidi="en_US"/>
        </w:rPr>
        <w:t>in a feeding box for animals</w:t>
      </w:r>
    </w:p>
    <w:p>
      <w:pPr/>
      <w:r>
        <w:rPr>
          <w:lang w:val="en_US" w:bidi="en_US"/>
        </w:rPr>
      </w:r>
      <w:r>
        <w:rPr>
          <w:lang w:val="en_US" w:bidi="en_US"/>
        </w:rPr>
        <w:t>in a trough where people put food for the animals (T4T)</w:t>
      </w:r>
    </w:p>
    <w:p>
      <w:pPr/>
      <w:r>
        <w:rPr>
          <w:lang w:val="en_US" w:bidi="en_US"/>
        </w:rPr>
      </w:r>
      <w:r>
        <w:rPr>
          <w:lang w:val="en_US" w:bidi="en_US"/>
        </w:rPr>
        <w:t>on a bed of hay (CEV)</w:t>
      </w:r>
    </w:p>
    <w:p>
      <w:pPr/>
      <w:r>
        <w:rPr>
          <w:lang w:val="en_US" w:bidi="en_US"/>
        </w:rPr>
      </w:r>
      <w:r>
        <w:rPr>
          <w:lang w:val="en_US" w:bidi="en_US"/>
        </w:rPr>
        <w:t>Jewish peasant families commonly kept their animals in their houses at night.</w:t>
      </w:r>
      <w:r>
        <w:rPr>
          <w:lang w:val="en_US" w:bidi="en_US"/>
        </w:rPr>
        <w:t xml:space="preserve">Two of the most common styles of village houses at the time of Jesus were (a) a simple one-room house, possibly also having a guest room, and (b) a three- or four-room house with the rooms surrounding a central courtyard. In either type of house, the animals were kept inside at night. The one-room house, for example, was divided into a first part, nearest the door, that would have a dirt floor and where animals would spend the night. From there, the family living space was built up about a meter higher than the dirt floor. This is where the family cooked, ate, slept, and lived. Mangers or feeding troughs for the animals were either placed on the lower dirt floor or were sometimes dug out of the edge of the floor of the family area next to where the animals were kept. (See Kenneth Bailey, </w:t>
      </w:r>
      <w:r>
        <w:rPr>
          <w:i/>
          <w:lang w:val="en_US" w:bidi="en_US"/>
        </w:rPr>
        <w:t>Jesus Through Middle Eastern Eyes</w:t>
      </w:r>
      <w:r>
        <w:rPr>
          <w:lang w:val="en_US" w:bidi="en_US"/>
        </w:rPr>
        <w:t>, IVP (2008), pp. 28–30.)</w:t>
      </w:r>
      <w:r>
        <w:rPr>
          <w:lang w:val="en_US" w:bidi="en_US"/>
        </w:rPr>
        <w:t xml:space="preserve"> So the manger was probably inside a house where Mary and Joseph were invited to stay, and not in a stable away from a house. You may want to make this information explicit in your translation. For example:</w:t>
      </w:r>
    </w:p>
    <w:p>
      <w:pPr/>
      <w:r>
        <w:rPr>
          <w:lang w:val="en_US" w:bidi="en_US"/>
        </w:rPr>
      </w:r>
      <w:r>
        <w:rPr>
          <w:lang w:val="en_US" w:bidi="en_US"/>
        </w:rPr>
        <w:t xml:space="preserve">in a feeding trough </w:t>
      </w:r>
      <w:r>
        <w:rPr>
          <w:lang w:val="en_US" w:bidi="en_US"/>
        </w:rPr>
        <w:t>in a home</w:t>
      </w:r>
    </w:p>
    <w:p>
      <w:pPr/>
      <w:r>
        <w:rPr>
          <w:lang w:val="en_US" w:bidi="en_US"/>
        </w:rPr>
      </w:r>
      <w:r>
        <w:rPr>
          <w:lang w:val="en_US" w:bidi="en_US"/>
        </w:rPr>
        <w:t xml:space="preserve">in an animal’s feeding box </w:t>
      </w:r>
      <w:r>
        <w:rPr>
          <w:lang w:val="en_US" w:bidi="en_US"/>
        </w:rPr>
        <w:t>at the house where they were staying</w:t>
      </w:r>
    </w:p>
    <w:p>
      <w:pPr/>
      <w:r>
        <w:rPr>
          <w:lang w:val="en_US" w:bidi="en_US"/>
        </w:rPr>
      </w:r>
    </w:p>
    <w:p>
      <w:pPr>
        <w:pStyle w:val="Heading5"/>
      </w:pPr>
      <w:r>
        <w:rPr>
          <w:lang w:val="en_US" w:bidi="en_US"/>
        </w:rPr>
        <w:t>2:7d</w:t>
      </w:r>
    </w:p>
    <w:p>
      <w:pPr/>
      <w:r>
        <w:rPr>
          <w:lang w:val="en_US" w:bidi="en_US"/>
        </w:rPr>
      </w:r>
      <w:r>
        <w:rPr>
          <w:b/>
          <w:lang w:val="en_US" w:bidi="en_US"/>
        </w:rPr>
        <w:t>because there was no room for them in the inn.</w:t>
      </w:r>
    </w:p>
    <w:p>
      <w:pPr>
        <w:pStyle w:val="ListBullet"/>
        <w:spacing w:line="240" w:lineRule="auto"/>
        <w:ind w:left="720"/>
      </w:pPr>
      <w:r>
        <w:rPr>
          <w:lang w:val="en_US" w:bidi="en_US"/>
        </w:rPr>
      </w:r>
      <w:r>
        <w:rPr>
          <w:lang w:val="en_US" w:bidi="en_US"/>
        </w:rPr>
        <w:t>She did this</w:t>
      </w:r>
      <w:r>
        <w:rPr>
          <w:lang w:val="en_US" w:bidi="en_US"/>
        </w:rPr>
        <w:t xml:space="preserve"> because there was not enough space for them to stay in the guest room.</w:t>
      </w:r>
    </w:p>
    <w:p>
      <w:pPr>
        <w:pStyle w:val="ListBullet"/>
        <w:spacing w:line="240" w:lineRule="auto"/>
        <w:ind w:left="720"/>
      </w:pPr>
      <w:r>
        <w:rPr>
          <w:lang w:val="en_US" w:bidi="en_US"/>
        </w:rPr>
      </w:r>
      <w:r>
        <w:rPr>
          <w:lang w:val="en_US" w:bidi="en_US"/>
        </w:rPr>
        <w:t>She put him there because the guest room was full. (ERV)</w:t>
      </w:r>
    </w:p>
    <w:p>
      <w:pPr>
        <w:pStyle w:val="ListBullet"/>
        <w:spacing w:line="240" w:lineRule="auto"/>
        <w:ind w:left="720"/>
      </w:pPr>
      <w:r>
        <w:rPr>
          <w:lang w:val="en_US" w:bidi="en_US"/>
        </w:rPr>
      </w:r>
      <w:r>
        <w:rPr>
          <w:lang w:val="en_US" w:bidi="en_US"/>
        </w:rPr>
        <w:t xml:space="preserve">This was because </w:t>
      </w:r>
      <w:r>
        <w:rPr>
          <w:lang w:val="en_US" w:bidi="en_US"/>
        </w:rPr>
        <w:t>other travelers</w:t>
      </w:r>
      <w:r>
        <w:rPr>
          <w:lang w:val="en_US" w:bidi="en_US"/>
        </w:rPr>
        <w:t xml:space="preserve"> were already staying in the room for visitors/guests. </w:t>
      </w:r>
      <w:r>
        <w:rPr>
          <w:lang w:val="en_US" w:bidi="en_US"/>
        </w:rPr>
        <w:t>Mary and Joseph stayed in the room near the animals and the feeding trough was nearby.</w:t>
      </w:r>
    </w:p>
    <w:p>
      <w:pPr/>
      <w:r>
        <w:rPr>
          <w:lang w:val="en_US" w:bidi="en_US"/>
        </w:rPr>
      </w:r>
      <w:r>
        <w:rPr>
          <w:b/>
          <w:lang w:val="en_US" w:bidi="en_US"/>
        </w:rPr>
        <w:t>because there was no room for them in the inn:</w:t>
      </w:r>
      <w:r>
        <w:rPr>
          <w:lang w:val="en_US" w:bidi="en_US"/>
        </w:rPr>
        <w:t xml:space="preserve"> The Greek word that the BSB translates as </w:t>
      </w:r>
      <w:r>
        <w:rPr>
          <w:i/>
          <w:lang w:val="en_US" w:bidi="en_US"/>
        </w:rPr>
        <w:t>inn</w:t>
      </w:r>
      <w:r>
        <w:rPr>
          <w:lang w:val="en_US" w:bidi="en_US"/>
        </w:rPr>
        <w:t xml:space="preserve"> is a general word that refers to any place for travelers to stay or lodge. (This is a different Greek word than the word translated as “inn” in Luke 10:34.) The word can refer to an inn, a guesthouse, or a guest room in a house.</w:t>
      </w:r>
      <w:r>
        <w:rPr>
          <w:lang w:val="en_US" w:bidi="en_US"/>
        </w:rPr>
        <w:t>Another option discussed in commentaries is whether this might have been a khan (also called a caravansarai). These were walled-in shelters with an open courtyard in the center for the animals or possibly some animal stalls with feed. Some khans had a manager or keeper, and also private rooms for the wealthy. Others were mostly self-service and simple. The same reasons (discussed in the next footnote) that argue against this being a commercial inn also apply to a khan.</w:t>
      </w:r>
      <w:r>
        <w:rPr>
          <w:lang w:val="en_US" w:bidi="en_US"/>
        </w:rPr>
        <w:t xml:space="preserve"> In this context, it probably refers to a room in a village home where guests could stay.</w:t>
      </w:r>
      <w:r>
        <w:rPr>
          <w:lang w:val="en_US" w:bidi="en_US"/>
        </w:rPr>
        <w:t xml:space="preserve">There are several reasons in favor of understanding this as the guest room of a home rather than as a commercial inn or khan. First, Bethlehem was a small town or village and was not on a main road. So it is quite unlikely that Bethlehem would have had a commercial inn or khan. Secondly, hospitality was of such high value in Israel that Jewish travelers would seek a place to stay in a Jewish home and only rarely in a commercial inn, a place mainly used by foreigners. Third, since Jewish peasant families usually kept their animals in their house at night, mention of the manger should cause us to think first of a house. And finally there is the linguistic argument. Luke uses the Greek word </w:t>
      </w:r>
      <w:r>
        <w:rPr>
          <w:i/>
          <w:lang w:val="en_US" w:bidi="en_US"/>
        </w:rPr>
        <w:t>kataluma</w:t>
      </w:r>
      <w:r>
        <w:rPr>
          <w:lang w:val="en_US" w:bidi="en_US"/>
        </w:rPr>
        <w:t xml:space="preserve"> here. While the possible meanings of the word include a commercial inn or khan, the only other time Luke uses the word </w:t>
      </w:r>
      <w:r>
        <w:rPr>
          <w:i/>
          <w:lang w:val="en_US" w:bidi="en_US"/>
        </w:rPr>
        <w:t>kataluma</w:t>
      </w:r>
      <w:r>
        <w:rPr>
          <w:lang w:val="en_US" w:bidi="en_US"/>
        </w:rPr>
        <w:t>, it refers to the guest room of a house (the “upper room” in Luke 22:11). And in the parable of the Good Samaritan, where the reference is clearly to a commercial inn with an innkeeper, Luke uses a different Greek word (</w:t>
      </w:r>
      <w:r>
        <w:rPr>
          <w:i/>
          <w:lang w:val="en_US" w:bidi="en_US"/>
        </w:rPr>
        <w:t>pandocheion</w:t>
      </w:r>
      <w:r>
        <w:rPr>
          <w:lang w:val="en_US" w:bidi="en_US"/>
        </w:rPr>
        <w:t>, Luke 10:34).</w:t>
      </w:r>
      <w:r>
        <w:rPr>
          <w:lang w:val="en_US" w:bidi="en_US"/>
        </w:rPr>
        <w:t xml:space="preserve"> It does not refer to a building such as a hotel with many rooms.</w:t>
      </w:r>
    </w:p>
    <w:p>
      <w:pPr/>
      <w:r>
        <w:rPr>
          <w:lang w:val="en_US" w:bidi="en_US"/>
        </w:rPr>
      </w:r>
      <w:r>
        <w:rPr>
          <w:lang w:val="en_US" w:bidi="en_US"/>
        </w:rPr>
        <w:t>Here are some other ways to translate this word:</w:t>
      </w:r>
    </w:p>
    <w:p>
      <w:pPr/>
      <w:r>
        <w:rPr>
          <w:lang w:val="en_US" w:bidi="en_US"/>
        </w:rPr>
      </w:r>
      <w:r>
        <w:rPr>
          <w:lang w:val="en_US" w:bidi="en_US"/>
        </w:rPr>
        <w:t>guest room (NIV11)</w:t>
      </w:r>
    </w:p>
    <w:p>
      <w:pPr/>
      <w:r>
        <w:rPr>
          <w:lang w:val="en_US" w:bidi="en_US"/>
        </w:rPr>
      </w:r>
      <w:r>
        <w:rPr>
          <w:lang w:val="en_US" w:bidi="en_US"/>
        </w:rPr>
        <w:t xml:space="preserve">in the room </w:t>
      </w:r>
      <w:r>
        <w:rPr>
          <w:lang w:val="en_US" w:bidi="en_US"/>
        </w:rPr>
        <w:t>of the house</w:t>
      </w:r>
      <w:r>
        <w:rPr>
          <w:lang w:val="en_US" w:bidi="en_US"/>
        </w:rPr>
        <w:t xml:space="preserve"> for travelers/visitors</w:t>
      </w:r>
    </w:p>
    <w:p>
      <w:pPr/>
      <w:r>
        <w:rPr>
          <w:lang w:val="en_US" w:bidi="en_US"/>
        </w:rPr>
      </w:r>
      <w:r>
        <w:rPr>
          <w:b/>
          <w:lang w:val="en_US" w:bidi="en_US"/>
        </w:rPr>
        <w:t>because there was no room for them in the inn:</w:t>
      </w:r>
      <w:r>
        <w:rPr>
          <w:lang w:val="en_US" w:bidi="en_US"/>
        </w:rPr>
        <w:t xml:space="preserve"> In this context, the words </w:t>
      </w:r>
      <w:r>
        <w:rPr>
          <w:i/>
          <w:lang w:val="en_US" w:bidi="en_US"/>
        </w:rPr>
        <w:t>no room</w:t>
      </w:r>
      <w:r>
        <w:rPr>
          <w:lang w:val="en_US" w:bidi="en_US"/>
        </w:rPr>
        <w:t xml:space="preserve"> mean that there was not enough space for them either to stay or to have the baby in the guest room. That room was already occupied, possibly by other relatives or travelers who had arrived for the census before Joseph and Mary or who had higher status. Some other ways to translate this clause are:</w:t>
      </w:r>
    </w:p>
    <w:p>
      <w:pPr/>
      <w:r>
        <w:rPr>
          <w:lang w:val="en_US" w:bidi="en_US"/>
        </w:rPr>
      </w:r>
      <w:r>
        <w:rPr>
          <w:lang w:val="en_US" w:bidi="en_US"/>
        </w:rPr>
        <w:t>because there was no place for them in the guestroom (CEB)</w:t>
      </w:r>
    </w:p>
    <w:p>
      <w:pPr/>
      <w:r>
        <w:rPr>
          <w:lang w:val="en_US" w:bidi="en_US"/>
        </w:rPr>
      </w:r>
      <w:r>
        <w:rPr>
          <w:lang w:val="en_US" w:bidi="en_US"/>
        </w:rPr>
        <w:t>because there was not enough space for them in the room/place for travelers</w:t>
      </w:r>
    </w:p>
    <w:p>
      <w:pPr/>
      <w:r>
        <w:rPr>
          <w:lang w:val="en_US" w:bidi="en_US"/>
        </w:rPr>
      </w:r>
      <w:r>
        <w:rPr>
          <w:lang w:val="en_US" w:bidi="en_US"/>
        </w:rPr>
        <w:t>because the guest room was full (ERV)</w:t>
      </w:r>
    </w:p>
    <w:p>
      <w:pPr/>
      <w:r>
        <w:rPr>
          <w:lang w:val="en_US" w:bidi="en_US"/>
        </w:rPr>
      </w:r>
      <w:r>
        <w:rPr>
          <w:lang w:val="en_US" w:bidi="en_US"/>
        </w:rPr>
        <w:t xml:space="preserve">because other people were already staying in the guest room </w:t>
      </w:r>
      <w:r>
        <w:rPr>
          <w:lang w:val="en_US" w:bidi="en_US"/>
        </w:rPr>
        <w:t>of the house where they stayed</w:t>
      </w:r>
    </w:p>
    <w:p>
      <w:pPr/>
      <w:r>
        <w:rPr>
          <w:lang w:val="en_US" w:bidi="en_US"/>
        </w:rPr>
      </w:r>
      <w:r>
        <w:rPr>
          <w:lang w:val="en_US" w:bidi="en_US"/>
        </w:rPr>
        <w:t xml:space="preserve">This clause </w:t>
      </w:r>
      <w:r>
        <w:rPr>
          <w:i/>
          <w:lang w:val="en_US" w:bidi="en_US"/>
        </w:rPr>
        <w:t>because there was no room for them</w:t>
      </w:r>
      <w:r>
        <w:rPr>
          <w:lang w:val="en_US" w:bidi="en_US"/>
        </w:rPr>
        <w:t xml:space="preserve"> explains the reason why Mary laid Jesus in a manger, a place where people do not usually lay a baby. Mary and Joseph were probably invited to stay in a home, possibly with relatives. But since the guest room of that home was already full, they stayed in another part of the house. They may have shared the room where the host family stayed. Wherever they stayed, it was near the part of the house where the family kept their animals inside at night. So the most suitable place Mary could find to lay the baby was in a nearby manager.</w:t>
      </w:r>
    </w:p>
    <w:p>
      <w:pPr/>
      <w:r>
        <w:rPr>
          <w:lang w:val="en_US" w:bidi="en_US"/>
        </w:rPr>
      </w:r>
      <w:r>
        <w:rPr>
          <w:lang w:val="en_US" w:bidi="en_US"/>
        </w:rPr>
        <w:t>You may want to make some of this information explicit in your translation. For example:</w:t>
      </w:r>
    </w:p>
    <w:p>
      <w:pPr/>
      <w:r>
        <w:rPr>
          <w:lang w:val="en_US" w:bidi="en_US"/>
        </w:rPr>
      </w:r>
      <w:r>
        <w:rPr>
          <w:lang w:val="en_US" w:bidi="en_US"/>
        </w:rPr>
        <w:t xml:space="preserve">Since the guest room was already full, </w:t>
      </w:r>
      <w:r>
        <w:rPr>
          <w:lang w:val="en_US" w:bidi="en_US"/>
        </w:rPr>
        <w:t>the most suitable place that Mary could find</w:t>
      </w:r>
      <w:r>
        <w:rPr>
          <w:lang w:val="en_US" w:bidi="en_US"/>
        </w:rPr>
        <w:t xml:space="preserve"> to lay the baby was the manager.</w:t>
      </w:r>
    </w:p>
    <w:p>
      <w:pPr/>
      <w:r>
        <w:rPr>
          <w:lang w:val="en_US" w:bidi="en_US"/>
        </w:rPr>
      </w:r>
      <w:r>
        <w:rPr>
          <w:lang w:val="en_US" w:bidi="en_US"/>
        </w:rPr>
        <w:t xml:space="preserve">She laid him there </w:t>
      </w:r>
      <w:r>
        <w:rPr>
          <w:lang w:val="en_US" w:bidi="en_US"/>
        </w:rPr>
        <w:t>because there was no better place for him where they were staying</w:t>
      </w:r>
      <w:r>
        <w:rPr>
          <w:lang w:val="en_US" w:bidi="en_US"/>
        </w:rPr>
        <w:t>. That was because other people were staying in the guest room.</w:t>
      </w:r>
    </w:p>
    <w:p>
      <w:pPr/>
      <w:r>
        <w:rPr>
          <w:lang w:val="en_US" w:bidi="en_US"/>
        </w:rPr>
      </w:r>
      <w:r>
        <w:rPr>
          <w:lang w:val="en_US" w:bidi="en_US"/>
        </w:rPr>
        <w:t xml:space="preserve">Since other people were staying in the guest room, </w:t>
      </w:r>
      <w:r>
        <w:rPr>
          <w:lang w:val="en_US" w:bidi="en_US"/>
        </w:rPr>
        <w:t>Mary and Joseph stayed near where their hosts kept their animals in the house.</w:t>
      </w:r>
      <w:r>
        <w:rPr>
          <w:lang w:val="en_US" w:bidi="en_US"/>
        </w:rPr>
        <w:t xml:space="preserve"> So she laid the baby in a </w:t>
      </w:r>
      <w:r>
        <w:rPr>
          <w:lang w:val="en_US" w:bidi="en_US"/>
        </w:rPr>
        <w:t>nearby</w:t>
      </w:r>
      <w:r>
        <w:rPr>
          <w:lang w:val="en_US" w:bidi="en_US"/>
        </w:rPr>
        <w:t xml:space="preserve"> manger.</w:t>
      </w:r>
    </w:p>
    <w:p>
      <w:pPr/>
      <w:r>
        <w:rPr>
          <w:lang w:val="en_US" w:bidi="en_US"/>
        </w:rPr>
      </w:r>
      <w:r>
        <w:rPr>
          <w:lang w:val="en_US" w:bidi="en_US"/>
        </w:rPr>
        <w:t>That was the best place to lay the baby.</w:t>
      </w:r>
      <w:r>
        <w:rPr>
          <w:lang w:val="en_US" w:bidi="en_US"/>
        </w:rPr>
        <w:t xml:space="preserve"> This was because there was no space for them in the guest room of the house. </w:t>
      </w:r>
      <w:r>
        <w:rPr>
          <w:lang w:val="en_US" w:bidi="en_US"/>
        </w:rPr>
        <w:t>Instead/so they stayed in the house near the animals and the manger was there.</w:t>
      </w:r>
    </w:p>
    <w:p>
      <w:pPr>
        <w:pStyle w:val="Heading6"/>
      </w:pPr>
      <w:r>
        <w:rPr>
          <w:b/>
          <w:lang w:val="en_US" w:bidi="en_US"/>
        </w:rPr>
        <w:t>General Comment on 2:6a–7d</w:t>
      </w:r>
    </w:p>
    <w:p>
      <w:pPr/>
      <w:r>
        <w:rPr>
          <w:lang w:val="en_US" w:bidi="en_US"/>
        </w:rPr>
      </w:r>
      <w:r>
        <w:rPr>
          <w:lang w:val="en_US" w:bidi="en_US"/>
        </w:rPr>
        <w:t>In some languages, it may be more natural to put 2:7d before 2:6a. For example:</w:t>
      </w:r>
    </w:p>
    <w:p>
      <w:pPr/>
      <w:r>
        <w:rPr>
          <w:lang w:val="en_US" w:bidi="en_US"/>
        </w:rPr>
      </w:r>
      <w:r>
        <w:rPr>
          <w:vertAlign w:val="superscript"/>
          <w:lang w:val="en_US" w:bidi="en_US"/>
        </w:rPr>
        <w:t>7d</w:t>
      </w:r>
      <w:r>
        <w:rPr>
          <w:lang w:val="en_US" w:bidi="en_US"/>
        </w:rPr>
        <w:t xml:space="preserve">There was not enough room/space for them in the guest room </w:t>
      </w:r>
      <w:r>
        <w:rPr>
          <w:lang w:val="en_US" w:bidi="en_US"/>
        </w:rPr>
        <w:t>of the house where they stayed,</w:t>
      </w:r>
      <w:r>
        <w:rPr>
          <w:lang w:val="en_US" w:bidi="en_US"/>
        </w:rPr>
        <w:t xml:space="preserve"> </w:t>
      </w:r>
      <w:r>
        <w:rPr>
          <w:lang w:val="en_US" w:bidi="en_US"/>
        </w:rPr>
        <w:t>so they stayed in the part of the house near where the animals sleep</w:t>
      </w:r>
      <w:r>
        <w:rPr>
          <w:lang w:val="en_US" w:bidi="en_US"/>
        </w:rPr>
        <w:t xml:space="preserve">. </w:t>
      </w:r>
      <w:r>
        <w:rPr>
          <w:vertAlign w:val="superscript"/>
          <w:lang w:val="en_US" w:bidi="en_US"/>
        </w:rPr>
        <w:t>6a-7c</w:t>
      </w:r>
      <w:r>
        <w:rPr>
          <w:lang w:val="en_US" w:bidi="en_US"/>
        </w:rPr>
        <w:t>While they were there…</w:t>
      </w:r>
    </w:p>
    <w:p>
      <w:pPr>
        <w:pStyle w:val="Heading5"/>
      </w:pPr>
      <w:r>
        <w:rPr>
          <w:lang w:val="en_US" w:bidi="en_US"/>
        </w:rPr>
        <w:t>2:6a–7d</w:t>
      </w:r>
    </w:p>
    <w:p>
      <w:pPr/>
      <w:r>
        <w:rPr>
          <w:lang w:val="en_US" w:bidi="en_US"/>
        </w:rPr>
      </w:r>
      <w:r>
        <w:rPr>
          <w:b/>
          <w:lang w:val="en_US" w:bidi="en_US"/>
        </w:rPr>
        <w:t xml:space="preserve">(reordered) In Bethlehem, there was not enough room/space for them in the guest room </w:t>
      </w:r>
      <w:r>
        <w:rPr>
          <w:b/>
          <w:lang w:val="en_US" w:bidi="en_US"/>
        </w:rPr>
        <w:t>of the house where they stayed,</w:t>
      </w:r>
      <w:r>
        <w:rPr>
          <w:b/>
          <w:lang w:val="en_US" w:bidi="en_US"/>
        </w:rPr>
        <w:t xml:space="preserve"> </w:t>
      </w:r>
      <w:r>
        <w:rPr>
          <w:b/>
          <w:lang w:val="en_US" w:bidi="en_US"/>
        </w:rPr>
        <w:t>so they stayed in the part of the house near where the animals sleep</w:t>
      </w:r>
      <w:r>
        <w:rPr>
          <w:b/>
          <w:lang w:val="en_US" w:bidi="en_US"/>
        </w:rPr>
        <w:t>. While they</w:t>
      </w:r>
      <w:r>
        <w:rPr>
          <w:b/>
          <w:vertAlign w:val="superscript"/>
          <w:lang w:val="en_US" w:bidi="en_US"/>
        </w:rPr>
        <w:t>(dual)</w:t>
      </w:r>
      <w:r>
        <w:rPr>
          <w:b/>
          <w:lang w:val="en_US" w:bidi="en_US"/>
        </w:rPr>
        <w:t xml:space="preserve"> were there, Mary’s time for giving birth arrived, and she gave birth to her first child, a boy. She wrapped strips of cloth around him, and laid him in a feeding trough that was </w:t>
      </w:r>
      <w:r>
        <w:rPr>
          <w:b/>
          <w:lang w:val="en_US" w:bidi="en_US"/>
        </w:rPr>
        <w:t>nearby</w:t>
      </w:r>
      <w:r>
        <w:rPr>
          <w:b/>
          <w:lang w:val="en_US" w:bidi="en_US"/>
        </w:rPr>
        <w:t>.</w:t>
      </w:r>
      <w:r>
        <w:rPr>
          <w:lang w:val="en_US" w:bidi="en_US"/>
        </w:rPr>
      </w:r>
      <w:r>
        <w:rPr>
          <w:lang w:val="en_US" w:bidi="en_US"/>
        </w:rPr>
      </w:r>
    </w:p>
    <w:p>
      <w:pPr/>
      <w:r>
        <w:rPr>
          <w:lang w:val="en_US" w:bidi="en_US"/>
        </w:rPr>
      </w:r>
    </w:p>
    <w:p>
      <w:pPr>
        <w:pStyle w:val="Heading2"/>
      </w:pPr>
      <w:r>
        <w:rPr>
          <w:lang w:val="en_US" w:bidi="en_US"/>
        </w:rPr>
        <w:t>Luke 2:8</w:t>
      </w:r>
      <w:r>
        <w:rPr>
          <w:lang w:val="en_US" w:bidi="en_US"/>
        </w:rPr>
      </w:r>
    </w:p>
    <w:p>
      <w:pPr>
        <w:pStyle w:val="Heading4"/>
      </w:pPr>
      <w:r>
        <w:rPr>
          <w:lang w:val="en_US" w:bidi="en_US"/>
        </w:rPr>
        <w:t>Section 2:8–20: Angels announced to shepherds that the Savior was born</w:t>
      </w:r>
    </w:p>
    <w:p>
      <w:pPr/>
      <w:r>
        <w:rPr>
          <w:lang w:val="en_US" w:bidi="en_US"/>
        </w:rPr>
      </w:r>
      <w:r>
        <w:rPr>
          <w:lang w:val="en_US" w:bidi="en_US"/>
        </w:rP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Angels tell shepherds about Jesus’ birth and the shepherds visit him</w:t>
      </w:r>
    </w:p>
    <w:p>
      <w:pPr/>
      <w:r>
        <w:rPr>
          <w:lang w:val="en_US" w:bidi="en_US"/>
        </w:rPr>
      </w:r>
      <w:r>
        <w:rPr>
          <w:lang w:val="en_US" w:bidi="en_US"/>
        </w:rPr>
        <w:t>The Shepherds and the Angels (GNT)</w:t>
      </w:r>
    </w:p>
    <w:p>
      <w:pPr>
        <w:pStyle w:val="Heading5"/>
      </w:pPr>
      <w:r>
        <w:rPr>
          <w:lang w:val="en_US" w:bidi="en_US"/>
        </w:rPr>
        <w:t>2:8a</w:t>
      </w:r>
    </w:p>
    <w:p>
      <w:pPr/>
      <w:r>
        <w:rPr>
          <w:lang w:val="en_US" w:bidi="en_US"/>
        </w:rPr>
      </w:r>
      <w:r>
        <w:rPr>
          <w:b/>
          <w:lang w:val="en_US" w:bidi="en_US"/>
        </w:rPr>
        <w:t>And there were shepherds residing in the fields nearby,</w:t>
      </w:r>
    </w:p>
    <w:p>
      <w:pPr>
        <w:pStyle w:val="ListBullet"/>
        <w:spacing w:line="240" w:lineRule="auto"/>
        <w:ind w:left="720"/>
      </w:pPr>
      <w:r>
        <w:rPr>
          <w:lang w:val="en_US" w:bidi="en_US"/>
        </w:rPr>
      </w:r>
      <w:r>
        <w:rPr>
          <w:lang w:val="en_US" w:bidi="en_US"/>
        </w:rPr>
        <w:t xml:space="preserve">¶ In the area around </w:t>
      </w:r>
      <w:r>
        <w:rPr>
          <w:lang w:val="en_US" w:bidi="en_US"/>
        </w:rPr>
        <w:t>Bethlehem</w:t>
      </w:r>
      <w:r>
        <w:rPr>
          <w:lang w:val="en_US" w:bidi="en_US"/>
        </w:rPr>
        <w:t>, there were some shepherds staying/living in the fields</w:t>
      </w:r>
    </w:p>
    <w:p>
      <w:pPr>
        <w:pStyle w:val="ListBullet"/>
        <w:spacing w:line="240" w:lineRule="auto"/>
        <w:ind w:left="720"/>
      </w:pPr>
      <w:r>
        <w:rPr>
          <w:lang w:val="en_US" w:bidi="en_US"/>
        </w:rPr>
      </w:r>
      <w:r>
        <w:rPr>
          <w:lang w:val="en_US" w:bidi="en_US"/>
        </w:rPr>
        <w:t xml:space="preserve">¶ Some shepherds/men were spending the night in the </w:t>
      </w:r>
      <w:r>
        <w:rPr>
          <w:lang w:val="en_US" w:bidi="en_US"/>
        </w:rPr>
        <w:t>open</w:t>
      </w:r>
      <w:r>
        <w:rPr>
          <w:lang w:val="en_US" w:bidi="en_US"/>
        </w:rPr>
        <w:t xml:space="preserve"> land/country near </w:t>
      </w:r>
      <w:r>
        <w:rPr>
          <w:lang w:val="en_US" w:bidi="en_US"/>
        </w:rPr>
        <w:t>Bethlehem</w:t>
      </w:r>
      <w:r>
        <w:rPr>
          <w:lang w:val="en_US" w:bidi="en_US"/>
        </w:rPr>
        <w:t>.</w:t>
      </w:r>
    </w:p>
    <w:p>
      <w:pPr/>
      <w:r>
        <w:rPr>
          <w:lang w:val="en_US" w:bidi="en_US"/>
        </w:rPr>
      </w:r>
      <w:r>
        <w:rPr>
          <w:b/>
          <w:lang w:val="en_US" w:bidi="en_US"/>
        </w:rPr>
        <w:t>And there were shepherds residing in the fields nearby:</w:t>
      </w:r>
      <w:r>
        <w:rPr>
          <w:lang w:val="en_US" w:bidi="en_US"/>
        </w:rPr>
        <w:t xml:space="preserve"> This part of the verse is background information. It tells about something that was happening at a different place at the time when Jesus was born. Some other ways to translate this background information are:</w:t>
      </w:r>
    </w:p>
    <w:p>
      <w:pPr/>
      <w:r>
        <w:rPr>
          <w:lang w:val="en_US" w:bidi="en_US"/>
        </w:rPr>
      </w:r>
      <w:r>
        <w:rPr>
          <w:lang w:val="en_US" w:bidi="en_US"/>
        </w:rPr>
        <w:t>That night…near Bethlehem some shepherds were (CEV)</w:t>
      </w:r>
    </w:p>
    <w:p>
      <w:pPr/>
      <w:r>
        <w:rPr>
          <w:lang w:val="en_US" w:bidi="en_US"/>
        </w:rPr>
      </w:r>
      <w:r>
        <w:rPr>
          <w:lang w:val="en_US" w:bidi="en_US"/>
        </w:rPr>
        <w:t>Now in this same district there were shepherds (REB)</w:t>
      </w:r>
    </w:p>
    <w:p>
      <w:pPr/>
      <w:r>
        <w:rPr>
          <w:lang w:val="en_US" w:bidi="en_US"/>
        </w:rPr>
      </w:r>
      <w:r>
        <w:rPr>
          <w:lang w:val="en_US" w:bidi="en_US"/>
        </w:rPr>
        <w:t>When Mary bore Jesus, some shepherds were…near Bethlehem</w:t>
      </w:r>
    </w:p>
    <w:p>
      <w:pPr/>
      <w:r>
        <w:rPr>
          <w:lang w:val="en_US" w:bidi="en_US"/>
        </w:rPr>
      </w:r>
      <w:r>
        <w:rPr>
          <w:lang w:val="en_US" w:bidi="en_US"/>
        </w:rPr>
        <w:t>That night, some shepherds were…nearby (NCV)</w:t>
      </w:r>
    </w:p>
    <w:p>
      <w:pPr/>
      <w:r>
        <w:rPr>
          <w:lang w:val="en_US" w:bidi="en_US"/>
        </w:rPr>
      </w:r>
      <w:r>
        <w:rPr>
          <w:lang w:val="en_US" w:bidi="en_US"/>
        </w:rPr>
        <w:t>Express this background information in a way that is natural in your language.</w:t>
      </w:r>
    </w:p>
    <w:p>
      <w:pPr/>
      <w:r>
        <w:rPr>
          <w:lang w:val="en_US" w:bidi="en_US"/>
        </w:rPr>
      </w:r>
      <w:r>
        <w:rPr>
          <w:b/>
          <w:lang w:val="en_US" w:bidi="en_US"/>
        </w:rPr>
        <w:t>shepherds:</w:t>
      </w:r>
      <w:r>
        <w:rPr>
          <w:lang w:val="en_US" w:bidi="en_US"/>
        </w:rPr>
        <w:t xml:space="preserve"> The term </w:t>
      </w:r>
      <w:r>
        <w:rPr>
          <w:i/>
          <w:lang w:val="en_US" w:bidi="en_US"/>
        </w:rPr>
        <w:t>shepherds</w:t>
      </w:r>
      <w:r>
        <w:rPr>
          <w:lang w:val="en_US" w:bidi="en_US"/>
        </w:rPr>
        <w:t xml:space="preserve"> describes people who takes care of animals called “sheep.” If there is no word for </w:t>
      </w:r>
      <w:r>
        <w:rPr>
          <w:i/>
          <w:lang w:val="en_US" w:bidi="en_US"/>
        </w:rPr>
        <w:t>shepherds</w:t>
      </w:r>
      <w:r>
        <w:rPr>
          <w:lang w:val="en_US" w:bidi="en_US"/>
        </w:rPr>
        <w:t xml:space="preserve"> in your language, you may use a descriptive phrase. For example:</w:t>
      </w:r>
    </w:p>
    <w:p>
      <w:pPr/>
      <w:r>
        <w:rPr>
          <w:lang w:val="en_US" w:bidi="en_US"/>
        </w:rPr>
      </w:r>
      <w:r>
        <w:rPr>
          <w:lang w:val="en_US" w:bidi="en_US"/>
        </w:rPr>
        <w:t>people who tend sheep</w:t>
      </w:r>
    </w:p>
    <w:p>
      <w:pPr/>
      <w:r>
        <w:rPr>
          <w:lang w:val="en_US" w:bidi="en_US"/>
        </w:rPr>
      </w:r>
      <w:r>
        <w:rPr>
          <w:lang w:val="en_US" w:bidi="en_US"/>
        </w:rPr>
        <w:t xml:space="preserve">Sheep are domestic animals that are raised for meat and for wool. If there is no word for “sheep” in your language, you may need to borrow the word. Then you can indicate the meaning with a general word in your translation of </w:t>
      </w:r>
      <w:r>
        <w:rPr>
          <w:i/>
          <w:lang w:val="en_US" w:bidi="en_US"/>
        </w:rPr>
        <w:t>shepherds</w:t>
      </w:r>
      <w:r>
        <w:rPr>
          <w:lang w:val="en_US" w:bidi="en_US"/>
        </w:rPr>
        <w:t>. For example:</w:t>
      </w:r>
    </w:p>
    <w:p>
      <w:pPr/>
      <w:r>
        <w:rPr>
          <w:lang w:val="en_US" w:bidi="en_US"/>
        </w:rPr>
      </w:r>
      <w:r>
        <w:rPr>
          <w:lang w:val="en_US" w:bidi="en_US"/>
        </w:rPr>
        <w:t xml:space="preserve">people who care for </w:t>
      </w:r>
      <w:r>
        <w:rPr>
          <w:lang w:val="en_US" w:bidi="en_US"/>
        </w:rPr>
        <w:t>animals called</w:t>
      </w:r>
      <w:r>
        <w:rPr>
          <w:lang w:val="en_US" w:bidi="en_US"/>
        </w:rPr>
        <w:t xml:space="preserve"> sheep</w:t>
      </w:r>
    </w:p>
    <w:p>
      <w:pPr/>
      <w:r>
        <w:rPr>
          <w:lang w:val="en_US" w:bidi="en_US"/>
        </w:rPr>
      </w:r>
      <w:r>
        <w:rPr>
          <w:lang w:val="en_US" w:bidi="en_US"/>
        </w:rPr>
        <w:t>If people are not familiar with sheep in your area, you may want to include a picture in your translation.</w:t>
      </w:r>
    </w:p>
    <w:p>
      <w:pPr/>
      <w:r>
        <w:rPr>
          <w:lang w:val="en_US" w:bidi="en_US"/>
        </w:rPr>
      </w:r>
      <w:r>
        <w:rPr>
          <w:b/>
          <w:lang w:val="en_US" w:bidi="en_US"/>
        </w:rPr>
        <w:t>residing in the fields:</w:t>
      </w:r>
      <w:r>
        <w:rPr>
          <w:lang w:val="en_US" w:bidi="en_US"/>
        </w:rPr>
        <w:t xml:space="preserve"> The Greek word that the BSB translates as </w:t>
      </w:r>
      <w:r>
        <w:rPr>
          <w:i/>
          <w:lang w:val="en_US" w:bidi="en_US"/>
        </w:rPr>
        <w:t>residing in the fields</w:t>
      </w:r>
      <w:r>
        <w:rPr>
          <w:lang w:val="en_US" w:bidi="en_US"/>
        </w:rPr>
        <w:t xml:space="preserve"> is literally “living outdoors” or “living in open country.” While the shepherds were watching their sheep near the town of Bethlehem, they were living in the fields there.</w:t>
      </w:r>
    </w:p>
    <w:p>
      <w:pPr/>
      <w:r>
        <w:rPr>
          <w:lang w:val="en_US" w:bidi="en_US"/>
        </w:rPr>
      </w:r>
      <w:r>
        <w:rPr>
          <w:b/>
          <w:lang w:val="en_US" w:bidi="en_US"/>
        </w:rPr>
        <w:t>fields:</w:t>
      </w:r>
      <w:r>
        <w:rPr>
          <w:lang w:val="en_US" w:bidi="en_US"/>
        </w:rPr>
        <w:t xml:space="preserve"> These </w:t>
      </w:r>
      <w:r>
        <w:rPr>
          <w:i/>
          <w:lang w:val="en_US" w:bidi="en_US"/>
        </w:rPr>
        <w:t>fields</w:t>
      </w:r>
      <w:r>
        <w:rPr>
          <w:lang w:val="en_US" w:bidi="en_US"/>
        </w:rPr>
        <w:t xml:space="preserve"> were open, grassy areas where the sheep could eat. They were not cultivated fields.</w:t>
      </w:r>
    </w:p>
    <w:p>
      <w:pPr/>
      <w:r>
        <w:rPr>
          <w:lang w:val="en_US" w:bidi="en_US"/>
        </w:rPr>
      </w:r>
      <w:r>
        <w:rPr>
          <w:b/>
          <w:lang w:val="en_US" w:bidi="en_US"/>
        </w:rPr>
        <w:t>nearby:</w:t>
      </w:r>
      <w:r>
        <w:rPr>
          <w:lang w:val="en_US" w:bidi="en_US"/>
        </w:rPr>
        <w:t xml:space="preserve"> The Greek phrase that the BSB translates as </w:t>
      </w:r>
      <w:r>
        <w:rPr>
          <w:i/>
          <w:lang w:val="en_US" w:bidi="en_US"/>
        </w:rPr>
        <w:t>nearby</w:t>
      </w:r>
      <w:r>
        <w:rPr>
          <w:lang w:val="en_US" w:bidi="en_US"/>
        </w:rPr>
        <w:t xml:space="preserve"> is literally “in the same region.” This means in the area around the town of Bethlehem.</w:t>
      </w:r>
    </w:p>
    <w:p>
      <w:pPr>
        <w:pStyle w:val="Heading5"/>
      </w:pPr>
      <w:r>
        <w:rPr>
          <w:lang w:val="en_US" w:bidi="en_US"/>
        </w:rPr>
        <w:t>2:8b</w:t>
      </w:r>
    </w:p>
    <w:p>
      <w:pPr/>
      <w:r>
        <w:rPr>
          <w:lang w:val="en_US" w:bidi="en_US"/>
        </w:rPr>
      </w:r>
      <w:r>
        <w:rPr>
          <w:b/>
          <w:lang w:val="en_US" w:bidi="en_US"/>
        </w:rPr>
        <w:t>keeping watch over their flocks by night.</w:t>
      </w:r>
    </w:p>
    <w:p>
      <w:pPr>
        <w:pStyle w:val="ListBullet"/>
        <w:spacing w:line="240" w:lineRule="auto"/>
        <w:ind w:left="720"/>
      </w:pPr>
      <w:r>
        <w:rPr>
          <w:lang w:val="en_US" w:bidi="en_US"/>
        </w:rPr>
      </w:r>
      <w:r>
        <w:rPr>
          <w:lang w:val="en_US" w:bidi="en_US"/>
        </w:rPr>
        <w:t>and</w:t>
      </w:r>
      <w:r>
        <w:rPr>
          <w:lang w:val="en_US" w:bidi="en_US"/>
        </w:rPr>
        <w:t xml:space="preserve"> watching their flock </w:t>
      </w:r>
      <w:r>
        <w:rPr>
          <w:lang w:val="en_US" w:bidi="en_US"/>
        </w:rPr>
        <w:t>of sheep</w:t>
      </w:r>
      <w:r>
        <w:rPr>
          <w:lang w:val="en_US" w:bidi="en_US"/>
        </w:rPr>
        <w:t xml:space="preserve"> during the night.</w:t>
      </w:r>
    </w:p>
    <w:p>
      <w:pPr>
        <w:pStyle w:val="ListBullet"/>
        <w:spacing w:line="240" w:lineRule="auto"/>
        <w:ind w:left="720"/>
      </w:pPr>
      <w:r>
        <w:rPr>
          <w:lang w:val="en_US" w:bidi="en_US"/>
        </w:rPr>
      </w:r>
      <w:r>
        <w:rPr>
          <w:lang w:val="en_US" w:bidi="en_US"/>
        </w:rPr>
        <w:t xml:space="preserve">They were </w:t>
      </w:r>
      <w:r>
        <w:rPr>
          <w:lang w:val="en_US" w:bidi="en_US"/>
        </w:rPr>
        <w:t>taking turns</w:t>
      </w:r>
      <w:r>
        <w:rPr>
          <w:lang w:val="en_US" w:bidi="en_US"/>
        </w:rPr>
        <w:t xml:space="preserve"> guarding their sheep during the night.</w:t>
      </w:r>
    </w:p>
    <w:p>
      <w:pPr/>
      <w:r>
        <w:rPr>
          <w:lang w:val="en_US" w:bidi="en_US"/>
        </w:rPr>
      </w:r>
      <w:r>
        <w:rPr>
          <w:b/>
          <w:lang w:val="en_US" w:bidi="en_US"/>
        </w:rPr>
        <w:t>keeping watch over their flocks by night:</w:t>
      </w:r>
      <w:r>
        <w:rPr>
          <w:lang w:val="en_US" w:bidi="en_US"/>
        </w:rPr>
        <w:t xml:space="preserve"> The phrase </w:t>
      </w:r>
      <w:r>
        <w:rPr>
          <w:i/>
          <w:lang w:val="en_US" w:bidi="en_US"/>
        </w:rPr>
        <w:t>keeping watch over</w:t>
      </w:r>
      <w:r>
        <w:rPr>
          <w:lang w:val="en_US" w:bidi="en_US"/>
        </w:rPr>
        <w:t xml:space="preserve"> indicates that the shepherds were protecting their sheep. The sheep were not kept in pens at night, so the shepherds took turns guarding them. They guarded their sheep so that no wild animals would hurt them and no thieves would steal them. They also watched them so that no sheep would wander away and become lost. Another way to translate this is:</w:t>
      </w:r>
    </w:p>
    <w:p>
      <w:pPr/>
      <w:r>
        <w:rPr>
          <w:lang w:val="en_US" w:bidi="en_US"/>
        </w:rPr>
      </w:r>
      <w:r>
        <w:rPr>
          <w:lang w:val="en_US" w:bidi="en_US"/>
        </w:rPr>
        <w:t>They were taking turns watching their flock during the night. (GW)</w:t>
      </w:r>
    </w:p>
    <w:p>
      <w:pPr/>
      <w:r>
        <w:rPr>
          <w:lang w:val="en_US" w:bidi="en_US"/>
        </w:rPr>
      </w:r>
      <w:r>
        <w:rPr>
          <w:b/>
          <w:lang w:val="en_US" w:bidi="en_US"/>
        </w:rPr>
        <w:t>their flocks:</w:t>
      </w:r>
      <w:r>
        <w:rPr>
          <w:lang w:val="en_US" w:bidi="en_US"/>
        </w:rPr>
        <w:t xml:space="preserve"> The term </w:t>
      </w:r>
      <w:r>
        <w:rPr>
          <w:i/>
          <w:lang w:val="en_US" w:bidi="en_US"/>
        </w:rPr>
        <w:t>flock</w:t>
      </w:r>
      <w:r>
        <w:rPr>
          <w:lang w:val="en_US" w:bidi="en_US"/>
        </w:rPr>
        <w:t xml:space="preserve"> describes a group of sheep. The Greek word that the BSB translates as </w:t>
      </w:r>
      <w:r>
        <w:rPr>
          <w:i/>
          <w:lang w:val="en_US" w:bidi="en_US"/>
        </w:rPr>
        <w:t>flocks</w:t>
      </w:r>
      <w:r>
        <w:rPr>
          <w:lang w:val="en_US" w:bidi="en_US"/>
        </w:rPr>
        <w:t xml:space="preserve"> is singular here, not plural. You may translate this as “flock of sheep” or simply “sheep,” whatever is most natural in your language.</w:t>
      </w:r>
    </w:p>
    <w:p>
      <w:pPr/>
      <w:r>
        <w:rPr>
          <w:lang w:val="en_US" w:bidi="en_US"/>
        </w:rPr>
      </w:r>
      <w:r>
        <w:rPr>
          <w:b/>
          <w:lang w:val="en_US" w:bidi="en_US"/>
        </w:rPr>
        <w:t>by night:</w:t>
      </w:r>
      <w:r>
        <w:rPr>
          <w:lang w:val="en_US" w:bidi="en_US"/>
        </w:rPr>
        <w:t xml:space="preserve"> The phrase </w:t>
      </w:r>
      <w:r>
        <w:rPr>
          <w:i/>
          <w:lang w:val="en_US" w:bidi="en_US"/>
        </w:rPr>
        <w:t>by night</w:t>
      </w:r>
      <w:r>
        <w:rPr>
          <w:lang w:val="en_US" w:bidi="en_US"/>
        </w:rPr>
        <w:t xml:space="preserve"> indicates that the shepherds watched the sheep “during the night.”</w:t>
      </w:r>
      <w:r>
        <w:rPr>
          <w:lang w:val="en_US" w:bidi="en_US"/>
        </w:rPr>
      </w:r>
      <w:r>
        <w:rPr>
          <w:lang w:val="en_US" w:bidi="en_US"/>
        </w:rPr>
      </w:r>
    </w:p>
    <w:p>
      <w:pPr/>
      <w:r>
        <w:rPr>
          <w:lang w:val="en_US" w:bidi="en_US"/>
        </w:rPr>
      </w:r>
    </w:p>
    <w:p>
      <w:pPr>
        <w:pStyle w:val="Heading2"/>
      </w:pPr>
      <w:r>
        <w:rPr>
          <w:lang w:val="en_US" w:bidi="en_US"/>
        </w:rPr>
        <w:t>Luke 2:9</w:t>
      </w:r>
      <w:r>
        <w:rPr>
          <w:lang w:val="en_US" w:bidi="en_US"/>
        </w:rPr>
      </w:r>
    </w:p>
    <w:p>
      <w:pPr>
        <w:pStyle w:val="Heading4"/>
      </w:pPr>
      <w:r>
        <w:rPr>
          <w:lang w:val="en_US" w:bidi="en_US"/>
        </w:rPr>
        <w:t>Section 2:8–20: Angels announced to shepherds that the Savior was born</w:t>
      </w:r>
    </w:p>
    <w:p>
      <w:pPr/>
      <w:r>
        <w:rPr>
          <w:lang w:val="en_US" w:bidi="en_US"/>
        </w:rPr>
      </w:r>
      <w:r>
        <w:rPr>
          <w:lang w:val="en_US" w:bidi="en_US"/>
        </w:rP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Angels tell shepherds about Jesus’ birth and the shepherds visit him</w:t>
      </w:r>
    </w:p>
    <w:p>
      <w:pPr/>
      <w:r>
        <w:rPr>
          <w:lang w:val="en_US" w:bidi="en_US"/>
        </w:rPr>
      </w:r>
      <w:r>
        <w:rPr>
          <w:lang w:val="en_US" w:bidi="en_US"/>
        </w:rPr>
        <w:t>The Shepherds and the Angels (GNT)</w:t>
      </w:r>
    </w:p>
    <w:p>
      <w:pPr>
        <w:pStyle w:val="Heading5"/>
      </w:pPr>
      <w:r>
        <w:rPr>
          <w:lang w:val="en_US" w:bidi="en_US"/>
        </w:rPr>
        <w:t>2:9a</w:t>
      </w:r>
    </w:p>
    <w:p>
      <w:pPr/>
      <w:r>
        <w:rPr>
          <w:lang w:val="en_US" w:bidi="en_US"/>
        </w:rPr>
      </w:r>
      <w:r>
        <w:rPr>
          <w:b/>
          <w:lang w:val="en_US" w:bidi="en_US"/>
        </w:rPr>
        <w:t>Just then an angel of the Lord stood before them,</w:t>
      </w:r>
    </w:p>
    <w:p>
      <w:pPr>
        <w:pStyle w:val="ListBullet"/>
        <w:spacing w:line="240" w:lineRule="auto"/>
        <w:ind w:left="720"/>
      </w:pPr>
      <w:r>
        <w:rPr>
          <w:lang w:val="en_US" w:bidi="en_US"/>
        </w:rPr>
      </w:r>
      <w:r>
        <w:rPr>
          <w:lang w:val="en_US" w:bidi="en_US"/>
        </w:rPr>
        <w:t>Suddenly</w:t>
      </w:r>
      <w:r>
        <w:rPr>
          <w:lang w:val="en_US" w:bidi="en_US"/>
        </w:rPr>
        <w:t xml:space="preserve"> an angel from the Lord appeared to them,</w:t>
      </w:r>
    </w:p>
    <w:p>
      <w:pPr>
        <w:pStyle w:val="ListBullet"/>
        <w:spacing w:line="240" w:lineRule="auto"/>
        <w:ind w:left="720"/>
      </w:pPr>
      <w:r>
        <w:rPr>
          <w:lang w:val="en_US" w:bidi="en_US"/>
        </w:rPr>
      </w:r>
      <w:r>
        <w:rPr>
          <w:lang w:val="en_US" w:bidi="en_US"/>
        </w:rPr>
        <w:t>Suddenly</w:t>
      </w:r>
      <w:r>
        <w:rPr>
          <w:lang w:val="en_US" w:bidi="en_US"/>
        </w:rPr>
        <w:t xml:space="preserve"> an angel </w:t>
      </w:r>
      <w:r>
        <w:rPr>
          <w:lang w:val="en_US" w:bidi="en_US"/>
        </w:rPr>
        <w:t>sent</w:t>
      </w:r>
      <w:r>
        <w:rPr>
          <w:lang w:val="en_US" w:bidi="en_US"/>
        </w:rPr>
        <w:t xml:space="preserve"> from the Lord </w:t>
      </w:r>
      <w:r>
        <w:rPr>
          <w:lang w:val="en_US" w:bidi="en_US"/>
        </w:rPr>
        <w:t>God</w:t>
      </w:r>
      <w:r>
        <w:rPr>
          <w:lang w:val="en_US" w:bidi="en_US"/>
        </w:rPr>
        <w:t xml:space="preserve"> appeared to them.</w:t>
      </w:r>
    </w:p>
    <w:p>
      <w:pPr>
        <w:pStyle w:val="ListBullet"/>
        <w:spacing w:line="240" w:lineRule="auto"/>
        <w:ind w:left="720"/>
      </w:pPr>
      <w:r>
        <w:rPr>
          <w:lang w:val="en_US" w:bidi="en_US"/>
        </w:rPr>
      </w:r>
      <w:r>
        <w:rPr>
          <w:lang w:val="en_US" w:bidi="en_US"/>
        </w:rPr>
        <w:t xml:space="preserve">The Lord </w:t>
      </w:r>
      <w:r>
        <w:rPr>
          <w:lang w:val="en_US" w:bidi="en_US"/>
        </w:rPr>
        <w:t>sent</w:t>
      </w:r>
      <w:r>
        <w:rPr>
          <w:lang w:val="en_US" w:bidi="en_US"/>
        </w:rPr>
        <w:t xml:space="preserve"> an angel to the shepherds. The angel </w:t>
      </w:r>
      <w:r>
        <w:rPr>
          <w:lang w:val="en_US" w:bidi="en_US"/>
        </w:rPr>
        <w:t>suddenly</w:t>
      </w:r>
      <w:r>
        <w:rPr>
          <w:lang w:val="en_US" w:bidi="en_US"/>
        </w:rPr>
        <w:t xml:space="preserve"> came where they could see him.</w:t>
      </w:r>
    </w:p>
    <w:p>
      <w:pPr/>
      <w:r>
        <w:rPr>
          <w:lang w:val="en_US" w:bidi="en_US"/>
        </w:rPr>
      </w:r>
      <w:r>
        <w:rPr>
          <w:b/>
          <w:lang w:val="en_US" w:bidi="en_US"/>
        </w:rPr>
        <w:t>Just then</w:t>
      </w:r>
      <w:r>
        <w:rPr>
          <w:lang w:val="en_US" w:bidi="en_US"/>
        </w:rPr>
        <w:t xml:space="preserve"> This verse begins with a Greek conjunction that is often translated as “and.” Many English versions translate it that way. Some other versions translate it as “then” to show that this is the next thing that happened in the story. The BSB translates it as </w:t>
      </w:r>
      <w:r>
        <w:rPr>
          <w:i/>
          <w:lang w:val="en_US" w:bidi="en_US"/>
        </w:rPr>
        <w:t>Just then</w:t>
      </w:r>
      <w:r>
        <w:rPr>
          <w:lang w:val="en_US" w:bidi="en_US"/>
        </w:rPr>
        <w:t xml:space="preserve"> to show that this next event happened suddenly. Other English versions do not translate this conjunction.</w:t>
      </w:r>
      <w:r>
        <w:rPr>
          <w:lang w:val="en_US" w:bidi="en_US"/>
        </w:rPr>
        <w:t xml:space="preserve">There is a textual issue here. Many Greek manuscripts begin this verse with the word </w:t>
      </w:r>
      <w:r>
        <w:rPr>
          <w:i/>
          <w:lang w:val="en_US" w:bidi="en_US"/>
        </w:rPr>
        <w:t>kai</w:t>
      </w:r>
      <w:r>
        <w:rPr>
          <w:lang w:val="en_US" w:bidi="en_US"/>
        </w:rPr>
        <w:t xml:space="preserve">, “and.” The textual support for beginning the verse in this way is early and widespread. However, the decision about whether to translate the word explicitly should be based on stylistic considerations. In other Greek manuscripts, the verse begins with the words </w:t>
      </w:r>
      <w:r>
        <w:rPr>
          <w:i/>
          <w:lang w:val="en_US" w:bidi="en_US"/>
        </w:rPr>
        <w:t>kai idou</w:t>
      </w:r>
      <w:r>
        <w:rPr>
          <w:lang w:val="en_US" w:bidi="en_US"/>
        </w:rPr>
        <w:t>, “and behold.” The KJV follows these manuscripts and says “and lo.” This difference also is largely a matter of style.</w:t>
      </w:r>
    </w:p>
    <w:p>
      <w:pPr/>
      <w:r>
        <w:rPr>
          <w:lang w:val="en_US" w:bidi="en_US"/>
        </w:rPr>
      </w:r>
      <w:r>
        <w:rPr>
          <w:b/>
          <w:lang w:val="en_US" w:bidi="en_US"/>
        </w:rPr>
        <w:t>an angel of the Lord:</w:t>
      </w:r>
      <w:r>
        <w:rPr>
          <w:lang w:val="en_US" w:bidi="en_US"/>
        </w:rPr>
        <w:t xml:space="preserve"> Here the phrase </w:t>
      </w:r>
      <w:r>
        <w:rPr>
          <w:i/>
          <w:lang w:val="en_US" w:bidi="en_US"/>
        </w:rPr>
        <w:t>an angel of the Lord</w:t>
      </w:r>
      <w:r>
        <w:rPr>
          <w:lang w:val="en_US" w:bidi="en_US"/>
        </w:rPr>
        <w:t xml:space="preserve"> refers to an angel whom God had sent. This same expression occurs in 1:11a.</w:t>
      </w:r>
    </w:p>
    <w:p>
      <w:pPr/>
      <w:r>
        <w:rPr>
          <w:lang w:val="en_US" w:bidi="en_US"/>
        </w:rPr>
      </w:r>
      <w:r>
        <w:rPr>
          <w:b/>
          <w:lang w:val="en_US" w:bidi="en_US"/>
        </w:rPr>
        <w:t>angel:</w:t>
      </w:r>
      <w:r>
        <w:rPr>
          <w:lang w:val="en_US" w:bidi="en_US"/>
        </w:rPr>
        <w:t xml:space="preserve"> The Greek word that the BSB translates as </w:t>
      </w:r>
      <w:r>
        <w:rPr>
          <w:i/>
          <w:lang w:val="en_US" w:bidi="en_US"/>
        </w:rPr>
        <w:t>angel</w:t>
      </w:r>
      <w:r>
        <w:rPr>
          <w:lang w:val="en_US" w:bidi="en_US"/>
        </w:rPr>
        <w:t xml:space="preserve"> means “messenger.” It refers here to a spirit-being who serves God. God sent an angel to tell a message to these shepherds. Some ways to translate this term are:</w:t>
      </w:r>
    </w:p>
    <w:p>
      <w:pPr>
        <w:pStyle w:val="ListBullet"/>
        <w:spacing w:line="240" w:lineRule="auto"/>
        <w:ind w:left="720"/>
      </w:pPr>
      <w:r>
        <w:rPr>
          <w:lang w:val="en_US" w:bidi="en_US"/>
        </w:rPr>
      </w:r>
      <w:r>
        <w:rPr>
          <w:lang w:val="en_US" w:bidi="en_US"/>
        </w:rPr>
        <w:t>Use a descriptive word or phrase. For example:</w:t>
      </w:r>
      <w:r>
        <w:rPr>
          <w:lang w:val="en_US" w:bidi="en_US"/>
        </w:rPr>
        <w:t xml:space="preserve">messenger </w:t>
      </w:r>
      <w:r>
        <w:rPr>
          <w:lang w:val="en_US" w:bidi="en_US"/>
        </w:rPr>
        <w:t>from God/heaven</w:t>
      </w:r>
      <w:r>
        <w:rPr>
          <w:lang w:val="en_US" w:bidi="en_US"/>
        </w:rPr>
        <w:t>good/holy</w:t>
      </w:r>
      <w:r>
        <w:rPr>
          <w:lang w:val="en_US" w:bidi="en_US"/>
        </w:rPr>
        <w:t xml:space="preserve"> spirit-being</w:t>
      </w:r>
      <w:r>
        <w:rPr>
          <w:lang w:val="en_US" w:bidi="en_US"/>
        </w:rPr>
        <w:t>spirit-being servant of God</w:t>
      </w:r>
    </w:p>
    <w:p>
      <w:pPr>
        <w:pStyle w:val="ListBullet"/>
        <w:spacing w:line="240" w:lineRule="auto"/>
        <w:ind w:left="720"/>
      </w:pPr>
      <w:r>
        <w:rPr>
          <w:lang w:val="en_US" w:bidi="en_US"/>
        </w:rPr>
      </w:r>
      <w:r>
        <w:rPr>
          <w:lang w:val="en_US" w:bidi="en_US"/>
        </w:rPr>
        <w:t>Use a local term that fits the biblical meaning.</w:t>
      </w:r>
    </w:p>
    <w:p>
      <w:pPr>
        <w:pStyle w:val="ListBullet"/>
        <w:spacing w:line="240" w:lineRule="auto"/>
        <w:ind w:left="720"/>
      </w:pPr>
      <w:r>
        <w:rPr>
          <w:lang w:val="en_US" w:bidi="en_US"/>
        </w:rPr>
      </w:r>
      <w:r>
        <w:rPr>
          <w:lang w:val="en_US" w:bidi="en_US"/>
        </w:rPr>
        <w:t>In some areas the churches may use a borrowed term or a transliterated word for “angel.” If some people do not understand the right meaning from this word, you may need to indicate the meaning. For example:</w:t>
      </w:r>
      <w:r>
        <w:rPr>
          <w:lang w:val="en_US" w:bidi="en_US"/>
        </w:rPr>
        <w:t xml:space="preserve">an </w:t>
      </w:r>
      <w:r>
        <w:rPr>
          <w:u w:val="single"/>
          <w:lang w:val="en_US" w:bidi="en_US"/>
        </w:rPr>
        <w:t>angelos</w:t>
      </w:r>
      <w:r>
        <w:rPr>
          <w:lang w:val="en_US" w:bidi="en_US"/>
        </w:rPr>
        <w:t xml:space="preserve"> messenger </w:t>
      </w:r>
      <w:r>
        <w:rPr>
          <w:lang w:val="en_US" w:bidi="en_US"/>
        </w:rPr>
        <w:t>from God</w:t>
      </w:r>
      <w:r>
        <w:rPr>
          <w:lang w:val="en_US" w:bidi="en_US"/>
        </w:rPr>
        <w:t xml:space="preserve">a sacred </w:t>
      </w:r>
      <w:r>
        <w:rPr>
          <w:u w:val="single"/>
          <w:lang w:val="en_US" w:bidi="en_US"/>
        </w:rPr>
        <w:t>angelos</w:t>
      </w:r>
      <w:r>
        <w:rPr>
          <w:lang w:val="en_US" w:bidi="en_US"/>
        </w:rPr>
        <w:t xml:space="preserve"> spirit</w:t>
      </w:r>
    </w:p>
    <w:p>
      <w:pPr/>
      <w:r>
        <w:rPr>
          <w:lang w:val="en_US" w:bidi="en_US"/>
        </w:rPr>
      </w:r>
      <w:r>
        <w:rPr>
          <w:lang w:val="en_US" w:bidi="en_US"/>
        </w:rPr>
        <w:t>Be sure that your term for “angel” is different from your terms for “prophet” and “apostle.” See angel, Meaning 1, in the Glossary.</w:t>
      </w:r>
    </w:p>
    <w:p>
      <w:pPr/>
      <w:r>
        <w:rPr>
          <w:lang w:val="en_US" w:bidi="en_US"/>
        </w:rPr>
      </w:r>
      <w:r>
        <w:rPr>
          <w:b/>
          <w:lang w:val="en_US" w:bidi="en_US"/>
        </w:rPr>
        <w:t>stood before them:</w:t>
      </w:r>
      <w:r>
        <w:rPr>
          <w:lang w:val="en_US" w:bidi="en_US"/>
        </w:rPr>
        <w:t xml:space="preserve"> In this context, the Greek term that the BSB translates as </w:t>
      </w:r>
      <w:r>
        <w:rPr>
          <w:i/>
          <w:lang w:val="en_US" w:bidi="en_US"/>
        </w:rPr>
        <w:t>stood before</w:t>
      </w:r>
      <w:r>
        <w:rPr>
          <w:lang w:val="en_US" w:bidi="en_US"/>
        </w:rPr>
        <w:t xml:space="preserve"> means that the angel appeared to the shepherds and that the shepherds had not seen him approaching. Many English versions, such as the NIV, the ESV, and the NET, translated this as “appeared.” In some languages, a word such as “suddenly” or “unexpectedly” may help to express this idea. For example:</w:t>
      </w:r>
    </w:p>
    <w:p>
      <w:pPr/>
      <w:r>
        <w:rPr>
          <w:lang w:val="en_US" w:bidi="en_US"/>
        </w:rPr>
      </w:r>
      <w:r>
        <w:rPr>
          <w:lang w:val="en_US" w:bidi="en_US"/>
        </w:rPr>
        <w:t>An angel from the Lord suddenly appeared to them. (GW)</w:t>
      </w:r>
    </w:p>
    <w:p>
      <w:pPr/>
      <w:r>
        <w:rPr>
          <w:lang w:val="en_US" w:bidi="en_US"/>
        </w:rPr>
      </w:r>
      <w:r>
        <w:rPr>
          <w:lang w:val="en_US" w:bidi="en_US"/>
        </w:rPr>
        <w:t>They suddenly saw an angel whom God had sent to them.</w:t>
      </w:r>
    </w:p>
    <w:p>
      <w:pPr/>
      <w:r>
        <w:rPr>
          <w:lang w:val="en_US" w:bidi="en_US"/>
        </w:rPr>
      </w:r>
      <w:r>
        <w:rPr>
          <w:b/>
          <w:lang w:val="en_US" w:bidi="en_US"/>
        </w:rPr>
        <w:t>before them:</w:t>
      </w:r>
      <w:r>
        <w:rPr>
          <w:lang w:val="en_US" w:bidi="en_US"/>
        </w:rPr>
        <w:t xml:space="preserve"> The Greek text indicates that the angel appeared to the shepherds, but it does not specify whether the angel appeared in front of the shepherds or beside them. If you say “appeared” in your translation, you may wish to say simply “to.”</w:t>
      </w:r>
    </w:p>
    <w:p>
      <w:pPr>
        <w:pStyle w:val="Heading5"/>
      </w:pPr>
      <w:r>
        <w:rPr>
          <w:lang w:val="en_US" w:bidi="en_US"/>
        </w:rPr>
        <w:t>2:9b</w:t>
      </w:r>
    </w:p>
    <w:p>
      <w:pPr/>
      <w:r>
        <w:rPr>
          <w:lang w:val="en_US" w:bidi="en_US"/>
        </w:rPr>
      </w:r>
      <w:r>
        <w:rPr>
          <w:b/>
          <w:lang w:val="en_US" w:bidi="en_US"/>
        </w:rPr>
        <w:t>and the glory of the Lord shone around them,</w:t>
      </w:r>
    </w:p>
    <w:p>
      <w:pPr>
        <w:pStyle w:val="ListBullet"/>
        <w:spacing w:line="240" w:lineRule="auto"/>
        <w:ind w:left="720"/>
      </w:pPr>
      <w:r>
        <w:rPr>
          <w:lang w:val="en_US" w:bidi="en_US"/>
        </w:rPr>
      </w:r>
      <w:r>
        <w:rPr>
          <w:lang w:val="en_US" w:bidi="en_US"/>
        </w:rPr>
        <w:t>and the brightness of the Lord shined with glory/splendor on the place where they were.</w:t>
      </w:r>
    </w:p>
    <w:p>
      <w:pPr>
        <w:pStyle w:val="ListBullet"/>
        <w:spacing w:line="240" w:lineRule="auto"/>
        <w:ind w:left="720"/>
      </w:pPr>
      <w:r>
        <w:rPr>
          <w:lang w:val="en_US" w:bidi="en_US"/>
        </w:rPr>
      </w:r>
      <w:r>
        <w:rPr>
          <w:lang w:val="en_US" w:bidi="en_US"/>
        </w:rPr>
        <w:t>The Lord’s light illuminated the place where they were,</w:t>
      </w:r>
    </w:p>
    <w:p>
      <w:pPr/>
      <w:r>
        <w:rPr>
          <w:lang w:val="en_US" w:bidi="en_US"/>
        </w:rPr>
      </w:r>
      <w:r>
        <w:rPr>
          <w:b/>
          <w:lang w:val="en_US" w:bidi="en_US"/>
        </w:rPr>
        <w:t>glory of the Lord:</w:t>
      </w:r>
      <w:r>
        <w:rPr>
          <w:lang w:val="en_US" w:bidi="en_US"/>
        </w:rPr>
        <w:t xml:space="preserve"> Here the word </w:t>
      </w:r>
      <w:r>
        <w:rPr>
          <w:i/>
          <w:lang w:val="en_US" w:bidi="en_US"/>
        </w:rPr>
        <w:t>glory</w:t>
      </w:r>
      <w:r>
        <w:rPr>
          <w:lang w:val="en_US" w:bidi="en_US"/>
        </w:rPr>
        <w:t xml:space="preserve"> refers to the Lord’s “majesty” or “greatness.” This “majesty” or “greatness” appeared to the shepherds as brightness like the shining of a very bright light. It was not normal light, but a special type of light.</w:t>
      </w:r>
    </w:p>
    <w:p>
      <w:pPr/>
      <w:r>
        <w:rPr>
          <w:lang w:val="en_US" w:bidi="en_US"/>
        </w:rPr>
      </w:r>
      <w:r>
        <w:rPr>
          <w:lang w:val="en_US" w:bidi="en_US"/>
        </w:rPr>
        <w:t xml:space="preserve">Some ways to translate the phrase </w:t>
      </w:r>
      <w:r>
        <w:rPr>
          <w:i/>
          <w:lang w:val="en_US" w:bidi="en_US"/>
        </w:rPr>
        <w:t>glory of the Lord</w:t>
      </w:r>
      <w:r>
        <w:rPr>
          <w:lang w:val="en_US" w:bidi="en_US"/>
        </w:rPr>
        <w:t xml:space="preserve"> here are:</w:t>
      </w:r>
    </w:p>
    <w:p>
      <w:pPr/>
      <w:r>
        <w:rPr>
          <w:lang w:val="en_US" w:bidi="en_US"/>
        </w:rPr>
      </w:r>
      <w:r>
        <w:rPr>
          <w:lang w:val="en_US" w:bidi="en_US"/>
        </w:rPr>
        <w:t>majesty/greatness of the Lord</w:t>
      </w:r>
    </w:p>
    <w:p>
      <w:pPr/>
      <w:r>
        <w:rPr>
          <w:lang w:val="en_US" w:bidi="en_US"/>
        </w:rPr>
      </w:r>
      <w:r>
        <w:rPr>
          <w:lang w:val="en_US" w:bidi="en_US"/>
        </w:rPr>
        <w:t>brightness of the Lord</w:t>
      </w:r>
    </w:p>
    <w:p>
      <w:pPr/>
      <w:r>
        <w:rPr>
          <w:lang w:val="en_US" w:bidi="en_US"/>
        </w:rPr>
      </w:r>
      <w:r>
        <w:rPr>
          <w:lang w:val="en_US" w:bidi="en_US"/>
        </w:rPr>
        <w:t>bright light from the Lord</w:t>
      </w:r>
    </w:p>
    <w:p>
      <w:pPr/>
      <w:r>
        <w:rPr>
          <w:lang w:val="en_US" w:bidi="en_US"/>
        </w:rPr>
      </w:r>
      <w:r>
        <w:rPr>
          <w:lang w:val="en_US" w:bidi="en_US"/>
        </w:rPr>
        <w:t>the light of the Lord</w:t>
      </w:r>
    </w:p>
    <w:p>
      <w:pPr/>
      <w:r>
        <w:rPr>
          <w:lang w:val="en_US" w:bidi="en_US"/>
        </w:rPr>
      </w:r>
      <w:r>
        <w:rPr>
          <w:lang w:val="en_US" w:bidi="en_US"/>
        </w:rPr>
        <w:t xml:space="preserve">See also the word </w:t>
      </w:r>
      <w:r>
        <w:rPr>
          <w:u w:val="single"/>
          <w:lang w:val="en_US" w:bidi="en_US"/>
        </w:rPr>
        <w:t>glory, sense A2</w:t>
      </w:r>
      <w:r>
        <w:rPr>
          <w:lang w:val="en_US" w:bidi="en_US"/>
        </w:rPr>
        <w:t>, in KBT. See Lord, Context 2, in the Glossary.</w:t>
      </w:r>
    </w:p>
    <w:p>
      <w:pPr/>
      <w:r>
        <w:rPr>
          <w:lang w:val="en_US" w:bidi="en_US"/>
        </w:rPr>
      </w:r>
      <w:r>
        <w:rPr>
          <w:b/>
          <w:lang w:val="en_US" w:bidi="en_US"/>
        </w:rPr>
        <w:t>shone around them:</w:t>
      </w:r>
      <w:r>
        <w:rPr>
          <w:lang w:val="en_US" w:bidi="en_US"/>
        </w:rPr>
        <w:t xml:space="preserve"> Some other ways to say </w:t>
      </w:r>
      <w:r>
        <w:rPr>
          <w:i/>
          <w:lang w:val="en_US" w:bidi="en_US"/>
        </w:rPr>
        <w:t>shone around them</w:t>
      </w:r>
      <w:r>
        <w:rPr>
          <w:lang w:val="en_US" w:bidi="en_US"/>
        </w:rPr>
        <w:t xml:space="preserve"> are:</w:t>
      </w:r>
    </w:p>
    <w:p>
      <w:pPr/>
      <w:r>
        <w:rPr>
          <w:lang w:val="en_US" w:bidi="en_US"/>
        </w:rPr>
      </w:r>
      <w:r>
        <w:rPr>
          <w:lang w:val="en_US" w:bidi="en_US"/>
        </w:rPr>
        <w:t>shined over/on them</w:t>
      </w:r>
    </w:p>
    <w:p>
      <w:pPr/>
      <w:r>
        <w:rPr>
          <w:lang w:val="en_US" w:bidi="en_US"/>
        </w:rPr>
      </w:r>
      <w:r>
        <w:rPr>
          <w:lang w:val="en_US" w:bidi="en_US"/>
        </w:rPr>
        <w:t>illuminated/illumined the place where they were</w:t>
      </w:r>
    </w:p>
    <w:p>
      <w:pPr/>
      <w:r>
        <w:rPr>
          <w:lang w:val="en_US" w:bidi="en_US"/>
        </w:rPr>
      </w:r>
      <w:r>
        <w:rPr>
          <w:lang w:val="en_US" w:bidi="en_US"/>
        </w:rPr>
        <w:t>filled the area with light (GW)</w:t>
      </w:r>
    </w:p>
    <w:p>
      <w:pPr>
        <w:pStyle w:val="Heading5"/>
      </w:pPr>
      <w:r>
        <w:rPr>
          <w:lang w:val="en_US" w:bidi="en_US"/>
        </w:rPr>
        <w:t>2:9c</w:t>
      </w:r>
    </w:p>
    <w:p>
      <w:pPr/>
      <w:r>
        <w:rPr>
          <w:lang w:val="en_US" w:bidi="en_US"/>
        </w:rPr>
      </w:r>
      <w:r>
        <w:rPr>
          <w:b/>
          <w:lang w:val="en_US" w:bidi="en_US"/>
        </w:rPr>
        <w:t>and they were terrified.</w:t>
      </w:r>
    </w:p>
    <w:p>
      <w:pPr>
        <w:pStyle w:val="ListBullet"/>
        <w:spacing w:line="240" w:lineRule="auto"/>
        <w:ind w:left="720"/>
      </w:pPr>
      <w:r>
        <w:rPr>
          <w:lang w:val="en_US" w:bidi="en_US"/>
        </w:rPr>
      </w:r>
      <w:r>
        <w:rPr>
          <w:lang w:val="en_US" w:bidi="en_US"/>
        </w:rPr>
        <w:t>They were terrified.</w:t>
      </w:r>
    </w:p>
    <w:p>
      <w:pPr>
        <w:pStyle w:val="ListBullet"/>
        <w:spacing w:line="240" w:lineRule="auto"/>
        <w:ind w:left="720"/>
      </w:pPr>
      <w:r>
        <w:rPr>
          <w:lang w:val="en_US" w:bidi="en_US"/>
        </w:rPr>
      </w:r>
      <w:r>
        <w:rPr>
          <w:lang w:val="en_US" w:bidi="en_US"/>
        </w:rPr>
        <w:t xml:space="preserve">and </w:t>
      </w:r>
      <w:r>
        <w:rPr>
          <w:lang w:val="en_US" w:bidi="en_US"/>
        </w:rPr>
        <w:t>this</w:t>
      </w:r>
      <w:r>
        <w:rPr>
          <w:lang w:val="en_US" w:bidi="en_US"/>
        </w:rPr>
        <w:t xml:space="preserve"> frightened/scared them.</w:t>
      </w:r>
    </w:p>
    <w:p>
      <w:pPr>
        <w:pStyle w:val="ListBullet"/>
        <w:spacing w:line="240" w:lineRule="auto"/>
        <w:ind w:left="720"/>
      </w:pPr>
      <w:r>
        <w:rPr>
          <w:lang w:val="en_US" w:bidi="en_US"/>
        </w:rPr>
      </w:r>
      <w:r>
        <w:rPr>
          <w:lang w:val="en_US" w:bidi="en_US"/>
        </w:rPr>
        <w:t>so that</w:t>
      </w:r>
      <w:r>
        <w:rPr>
          <w:lang w:val="en_US" w:bidi="en_US"/>
        </w:rPr>
        <w:t xml:space="preserve"> they became very afraid.</w:t>
      </w:r>
    </w:p>
    <w:p>
      <w:pPr/>
      <w:r>
        <w:rPr>
          <w:lang w:val="en_US" w:bidi="en_US"/>
        </w:rPr>
      </w:r>
      <w:r>
        <w:rPr>
          <w:b/>
          <w:lang w:val="en_US" w:bidi="en_US"/>
        </w:rPr>
        <w:t>they were terrified:</w:t>
      </w:r>
      <w:r>
        <w:rPr>
          <w:lang w:val="en_US" w:bidi="en_US"/>
        </w:rPr>
        <w:t xml:space="preserve"> The Greek clause that the BSB translates as </w:t>
      </w:r>
      <w:r>
        <w:rPr>
          <w:i/>
          <w:lang w:val="en_US" w:bidi="en_US"/>
        </w:rPr>
        <w:t>they were terrified</w:t>
      </w:r>
      <w:r>
        <w:rPr>
          <w:lang w:val="en_US" w:bidi="en_US"/>
        </w:rPr>
        <w:t xml:space="preserve"> is literally “they feared a great fear.” Some other ways to say this are:</w:t>
      </w:r>
    </w:p>
    <w:p>
      <w:pPr/>
      <w:r>
        <w:rPr>
          <w:lang w:val="en_US" w:bidi="en_US"/>
        </w:rPr>
      </w:r>
      <w:r>
        <w:rPr>
          <w:lang w:val="en_US" w:bidi="en_US"/>
        </w:rPr>
        <w:t>they were very afraid</w:t>
      </w:r>
    </w:p>
    <w:p>
      <w:pPr/>
      <w:r>
        <w:rPr>
          <w:lang w:val="en_US" w:bidi="en_US"/>
        </w:rPr>
      </w:r>
      <w:r>
        <w:rPr>
          <w:lang w:val="en_US" w:bidi="en_US"/>
        </w:rPr>
        <w:t>they feared greatly</w:t>
      </w:r>
    </w:p>
    <w:p>
      <w:pPr/>
      <w:r>
        <w:rPr>
          <w:lang w:val="en_US" w:bidi="en_US"/>
        </w:rPr>
      </w:r>
      <w:r>
        <w:rPr>
          <w:lang w:val="en_US" w:bidi="en_US"/>
        </w:rPr>
        <w:t>this</w:t>
      </w:r>
      <w:r>
        <w:rPr>
          <w:lang w:val="en_US" w:bidi="en_US"/>
        </w:rPr>
        <w:t xml:space="preserve"> really frightened/scared them</w:t>
      </w:r>
      <w:r>
        <w:rPr>
          <w:lang w:val="en_US" w:bidi="en_US"/>
        </w:rPr>
      </w:r>
      <w:r>
        <w:rPr>
          <w:lang w:val="en_US" w:bidi="en_US"/>
        </w:rPr>
      </w:r>
    </w:p>
    <w:p>
      <w:pPr/>
      <w:r>
        <w:rPr>
          <w:lang w:val="en_US" w:bidi="en_US"/>
        </w:rPr>
      </w:r>
    </w:p>
    <w:p>
      <w:pPr>
        <w:pStyle w:val="Heading2"/>
      </w:pPr>
      <w:r>
        <w:rPr>
          <w:lang w:val="en_US" w:bidi="en_US"/>
        </w:rPr>
        <w:t>Luke 2:10</w:t>
      </w:r>
      <w:r>
        <w:rPr>
          <w:lang w:val="en_US" w:bidi="en_US"/>
        </w:rPr>
      </w:r>
    </w:p>
    <w:p>
      <w:pPr>
        <w:pStyle w:val="Heading4"/>
      </w:pPr>
      <w:r>
        <w:rPr>
          <w:lang w:val="en_US" w:bidi="en_US"/>
        </w:rPr>
        <w:t>Section 2:8–20: Angels announced to shepherds that the Savior was born</w:t>
      </w:r>
    </w:p>
    <w:p>
      <w:pPr/>
      <w:r>
        <w:rPr>
          <w:lang w:val="en_US" w:bidi="en_US"/>
        </w:rPr>
      </w:r>
      <w:r>
        <w:rPr>
          <w:lang w:val="en_US" w:bidi="en_US"/>
        </w:rP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Angels tell shepherds about Jesus’ birth and the shepherds visit him</w:t>
      </w:r>
    </w:p>
    <w:p>
      <w:pPr/>
      <w:r>
        <w:rPr>
          <w:lang w:val="en_US" w:bidi="en_US"/>
        </w:rPr>
      </w:r>
      <w:r>
        <w:rPr>
          <w:lang w:val="en_US" w:bidi="en_US"/>
        </w:rPr>
        <w:t>The Shepherds and the Angels (GNT)</w:t>
      </w:r>
    </w:p>
    <w:p>
      <w:pPr>
        <w:pStyle w:val="Heading5"/>
      </w:pPr>
      <w:r>
        <w:rPr>
          <w:lang w:val="en_US" w:bidi="en_US"/>
        </w:rPr>
        <w:t>2:10a</w:t>
      </w:r>
    </w:p>
    <w:p>
      <w:pPr/>
      <w:r>
        <w:rPr>
          <w:lang w:val="en_US" w:bidi="en_US"/>
        </w:rPr>
      </w:r>
      <w:r>
        <w:rPr>
          <w:b/>
          <w:lang w:val="en_US" w:bidi="en_US"/>
        </w:rPr>
        <w:t>But the angel said to them, “Do not be afraid!</w:t>
      </w:r>
    </w:p>
    <w:p>
      <w:pPr>
        <w:pStyle w:val="ListBullet"/>
        <w:spacing w:line="240" w:lineRule="auto"/>
        <w:ind w:left="720"/>
      </w:pPr>
      <w:r>
        <w:rPr>
          <w:lang w:val="en_US" w:bidi="en_US"/>
        </w:rPr>
      </w:r>
      <w:r>
        <w:rPr>
          <w:lang w:val="en_US" w:bidi="en_US"/>
        </w:rPr>
        <w:t>But/Then the angel told them, “Do not be afraid.</w:t>
      </w:r>
    </w:p>
    <w:p>
      <w:pPr>
        <w:pStyle w:val="ListBullet"/>
        <w:spacing w:line="240" w:lineRule="auto"/>
        <w:ind w:left="720"/>
      </w:pPr>
      <w:r>
        <w:rPr>
          <w:lang w:val="en_US" w:bidi="en_US"/>
        </w:rPr>
      </w:r>
      <w:r>
        <w:rPr>
          <w:lang w:val="en_US" w:bidi="en_US"/>
        </w:rPr>
        <w:t>The angel told them not to be afraid. Then he said,</w:t>
      </w:r>
    </w:p>
    <w:p>
      <w:pPr/>
      <w:r>
        <w:rPr>
          <w:lang w:val="en_US" w:bidi="en_US"/>
        </w:rPr>
      </w:r>
      <w:r>
        <w:rPr>
          <w:b/>
          <w:lang w:val="en_US" w:bidi="en_US"/>
        </w:rPr>
        <w:t>But:</w:t>
      </w:r>
      <w:r>
        <w:rPr>
          <w:lang w:val="en_US" w:bidi="en_US"/>
        </w:rPr>
        <w:t xml:space="preserve"> The Greek word that the BSB here translates as </w:t>
      </w:r>
      <w:r>
        <w:rPr>
          <w:i/>
          <w:lang w:val="en_US" w:bidi="en_US"/>
        </w:rPr>
        <w:t>But</w:t>
      </w:r>
      <w:r>
        <w:rPr>
          <w:lang w:val="en_US" w:bidi="en_US"/>
        </w:rPr>
        <w:t xml:space="preserve"> introduces what the angel told the shepherds. In 2:10a the angel told them not to be afraid. This contrasts with their being terrified in 2:9c. Some English versions, such as the ESV and NASB, translate this conjunction as “And.” Other English versions do not translate this word. Connect 2:9c with 2:10a in a way that is natural in your language for this type of contrast.</w:t>
      </w:r>
    </w:p>
    <w:p>
      <w:pPr/>
      <w:r>
        <w:rPr>
          <w:lang w:val="en_US" w:bidi="en_US"/>
        </w:rPr>
      </w:r>
      <w:r>
        <w:rPr>
          <w:b/>
          <w:lang w:val="en_US" w:bidi="en_US"/>
        </w:rPr>
        <w:t>the angel said to them, “Do not be afraid!:</w:t>
      </w:r>
      <w:r>
        <w:rPr>
          <w:lang w:val="en_US" w:bidi="en_US"/>
        </w:rPr>
        <w:t xml:space="preserve"> In some languages it may be more natural to use indirect speech for this part of what the angel said. For example:</w:t>
      </w:r>
    </w:p>
    <w:p>
      <w:pPr/>
      <w:r>
        <w:rPr>
          <w:lang w:val="en_US" w:bidi="en_US"/>
        </w:rPr>
      </w:r>
      <w:r>
        <w:rPr>
          <w:lang w:val="en_US" w:bidi="en_US"/>
        </w:rPr>
        <w:t>the angel told them not to be afraid</w:t>
      </w:r>
    </w:p>
    <w:p>
      <w:pPr/>
      <w:r>
        <w:rPr>
          <w:lang w:val="en_US" w:bidi="en_US"/>
        </w:rPr>
      </w:r>
      <w:r>
        <w:rPr>
          <w:b/>
          <w:lang w:val="en_US" w:bidi="en_US"/>
        </w:rPr>
        <w:t>angel:</w:t>
      </w:r>
      <w:r>
        <w:rPr>
          <w:lang w:val="en_US" w:bidi="en_US"/>
        </w:rPr>
        <w:t xml:space="preserve"> This word also occurred in 2:9a. Translate it the same way in both these verses.</w:t>
      </w:r>
    </w:p>
    <w:p>
      <w:pPr>
        <w:pStyle w:val="Heading5"/>
      </w:pPr>
      <w:r>
        <w:rPr>
          <w:lang w:val="en_US" w:bidi="en_US"/>
        </w:rPr>
        <w:t>2:10b</w:t>
      </w:r>
    </w:p>
    <w:p>
      <w:pPr/>
      <w:r>
        <w:rPr>
          <w:lang w:val="en_US" w:bidi="en_US"/>
        </w:rPr>
      </w:r>
      <w:r>
        <w:rPr>
          <w:b/>
          <w:lang w:val="en_US" w:bidi="en_US"/>
        </w:rPr>
        <w:t>For behold, I bring you good news of great joy that will be for all the people:</w:t>
      </w:r>
    </w:p>
    <w:p>
      <w:pPr>
        <w:pStyle w:val="ListBullet"/>
        <w:spacing w:line="240" w:lineRule="auto"/>
        <w:ind w:left="720"/>
      </w:pPr>
      <w:r>
        <w:rPr>
          <w:lang w:val="en_US" w:bidi="en_US"/>
        </w:rPr>
      </w:r>
      <w:r>
        <w:rPr>
          <w:lang w:val="en_US" w:bidi="en_US"/>
        </w:rPr>
        <w:t>I announce to you a sweet message of great joy that is for all the people.</w:t>
      </w:r>
    </w:p>
    <w:p>
      <w:pPr>
        <w:pStyle w:val="ListBullet"/>
        <w:spacing w:line="240" w:lineRule="auto"/>
        <w:ind w:left="720"/>
      </w:pPr>
      <w:r>
        <w:rPr>
          <w:lang w:val="en_US" w:bidi="en_US"/>
        </w:rPr>
      </w:r>
      <w:r>
        <w:rPr>
          <w:lang w:val="en_US" w:bidi="en_US"/>
        </w:rPr>
        <w:t xml:space="preserve">“I </w:t>
      </w:r>
      <w:r>
        <w:rPr>
          <w:lang w:val="en_US" w:bidi="en_US"/>
        </w:rPr>
        <w:t>have come to</w:t>
      </w:r>
      <w:r>
        <w:rPr>
          <w:lang w:val="en_US" w:bidi="en_US"/>
        </w:rPr>
        <w:t xml:space="preserve"> tell you good news that will cause all the people </w:t>
      </w:r>
      <w:r>
        <w:rPr>
          <w:lang w:val="en_US" w:bidi="en_US"/>
        </w:rPr>
        <w:t>who receive/welcome it</w:t>
      </w:r>
      <w:r>
        <w:rPr>
          <w:lang w:val="en_US" w:bidi="en_US"/>
        </w:rPr>
        <w:t xml:space="preserve"> to be very happy.</w:t>
      </w:r>
    </w:p>
    <w:p>
      <w:pPr/>
      <w:r>
        <w:rPr>
          <w:lang w:val="en_US" w:bidi="en_US"/>
        </w:rPr>
      </w:r>
      <w:r>
        <w:rPr>
          <w:b/>
          <w:lang w:val="en_US" w:bidi="en_US"/>
        </w:rPr>
        <w:t>For behold</w:t>
      </w:r>
      <w:r>
        <w:rPr>
          <w:lang w:val="en_US" w:bidi="en_US"/>
        </w:rPr>
        <w:t xml:space="preserve"> In Greek this part of the verse begins with a phrase that the BSB translates as </w:t>
      </w:r>
      <w:r>
        <w:rPr>
          <w:i/>
          <w:lang w:val="en_US" w:bidi="en_US"/>
        </w:rPr>
        <w:t>For behold</w:t>
      </w:r>
      <w:r>
        <w:rPr>
          <w:lang w:val="en_US" w:bidi="en_US"/>
        </w:rPr>
        <w:t xml:space="preserve">. The conjunction </w:t>
      </w:r>
      <w:r>
        <w:rPr>
          <w:i/>
          <w:lang w:val="en_US" w:bidi="en_US"/>
        </w:rPr>
        <w:t>For</w:t>
      </w:r>
      <w:r>
        <w:rPr>
          <w:lang w:val="en_US" w:bidi="en_US"/>
        </w:rPr>
        <w:t xml:space="preserve"> introduces the reason the angel gave the shepherds for why they should not be afraid. The word </w:t>
      </w:r>
      <w:r>
        <w:rPr>
          <w:i/>
          <w:lang w:val="en_US" w:bidi="en_US"/>
        </w:rPr>
        <w:t>behold</w:t>
      </w:r>
      <w:r>
        <w:rPr>
          <w:lang w:val="en_US" w:bidi="en_US"/>
        </w:rPr>
        <w:t xml:space="preserve"> indicates that the explanation was something important. Another way to translate this is:</w:t>
      </w:r>
    </w:p>
    <w:p>
      <w:pPr/>
      <w:r>
        <w:rPr>
          <w:lang w:val="en_US" w:bidi="en_US"/>
        </w:rPr>
      </w:r>
      <w:r>
        <w:rPr>
          <w:lang w:val="en_US" w:bidi="en_US"/>
        </w:rPr>
        <w:t>Listen carefully, for… (NET)</w:t>
      </w:r>
    </w:p>
    <w:p>
      <w:pPr/>
      <w:r>
        <w:rPr>
          <w:lang w:val="en_US" w:bidi="en_US"/>
        </w:rPr>
      </w:r>
      <w:r>
        <w:rPr>
          <w:lang w:val="en_US" w:bidi="en_US"/>
        </w:rPr>
        <w:t>Use a natural way in your language to introduce the important words in this part of the verse. In some languages, special words of introduction may not be necessary.</w:t>
      </w:r>
    </w:p>
    <w:p>
      <w:pPr/>
      <w:r>
        <w:rPr>
          <w:lang w:val="en_US" w:bidi="en_US"/>
        </w:rPr>
      </w:r>
      <w:r>
        <w:rPr>
          <w:b/>
          <w:lang w:val="en_US" w:bidi="en_US"/>
        </w:rPr>
        <w:t>I bring you good news:</w:t>
      </w:r>
      <w:r>
        <w:rPr>
          <w:lang w:val="en_US" w:bidi="en_US"/>
        </w:rPr>
        <w:t xml:space="preserve"> The Greek verb that the BSB here translates as </w:t>
      </w:r>
      <w:r>
        <w:rPr>
          <w:i/>
          <w:lang w:val="en_US" w:bidi="en_US"/>
        </w:rPr>
        <w:t>I bring you good news</w:t>
      </w:r>
      <w:r>
        <w:rPr>
          <w:lang w:val="en_US" w:bidi="en_US"/>
        </w:rPr>
        <w:t xml:space="preserve"> also occurs in 1:19b.</w:t>
      </w:r>
      <w:r>
        <w:rPr>
          <w:lang w:val="en_US" w:bidi="en_US"/>
        </w:rPr>
        <w:t>In 1:19b, it is an infinitive.</w:t>
      </w:r>
      <w:r>
        <w:rPr>
          <w:lang w:val="en_US" w:bidi="en_US"/>
        </w:rPr>
        <w:t xml:space="preserve"> There the BSB translates this verb as “bring…good news.”</w:t>
      </w:r>
    </w:p>
    <w:p>
      <w:pPr/>
      <w:r>
        <w:rPr>
          <w:lang w:val="en_US" w:bidi="en_US"/>
        </w:rPr>
      </w:r>
      <w:r>
        <w:rPr>
          <w:lang w:val="en_US" w:bidi="en_US"/>
        </w:rPr>
        <w:t xml:space="preserve">Some other ways to say </w:t>
      </w:r>
      <w:r>
        <w:rPr>
          <w:i/>
          <w:lang w:val="en_US" w:bidi="en_US"/>
        </w:rPr>
        <w:t>I bring you good news</w:t>
      </w:r>
      <w:r>
        <w:rPr>
          <w:lang w:val="en_US" w:bidi="en_US"/>
        </w:rPr>
        <w:t xml:space="preserve"> are:</w:t>
      </w:r>
    </w:p>
    <w:p>
      <w:pPr/>
      <w:r>
        <w:rPr>
          <w:lang w:val="en_US" w:bidi="en_US"/>
        </w:rPr>
      </w:r>
      <w:r>
        <w:rPr>
          <w:lang w:val="en_US" w:bidi="en_US"/>
        </w:rPr>
        <w:t>I announce good news to you</w:t>
      </w:r>
    </w:p>
    <w:p>
      <w:pPr/>
      <w:r>
        <w:rPr>
          <w:lang w:val="en_US" w:bidi="en_US"/>
        </w:rPr>
      </w:r>
      <w:r>
        <w:rPr>
          <w:lang w:val="en_US" w:bidi="en_US"/>
        </w:rPr>
        <w:t>I have a good message for you</w:t>
      </w:r>
    </w:p>
    <w:p>
      <w:pPr/>
      <w:r>
        <w:rPr>
          <w:lang w:val="en_US" w:bidi="en_US"/>
        </w:rPr>
      </w:r>
      <w:r>
        <w:rPr>
          <w:lang w:val="en_US" w:bidi="en_US"/>
        </w:rPr>
        <w:t xml:space="preserve">The </w:t>
      </w:r>
      <w:r>
        <w:rPr>
          <w:i/>
          <w:lang w:val="en_US" w:bidi="en_US"/>
        </w:rPr>
        <w:t>good news</w:t>
      </w:r>
      <w:r>
        <w:rPr>
          <w:lang w:val="en_US" w:bidi="en_US"/>
        </w:rPr>
        <w:t xml:space="preserve"> that the angel referred to, as stated in 2:11, was the message that the Christ had come.</w:t>
      </w:r>
    </w:p>
    <w:p>
      <w:pPr/>
      <w:r>
        <w:rPr>
          <w:lang w:val="en_US" w:bidi="en_US"/>
        </w:rPr>
      </w:r>
      <w:r>
        <w:rPr>
          <w:b/>
          <w:lang w:val="en_US" w:bidi="en_US"/>
        </w:rPr>
        <w:t>good news of great joy that will be for all the people:</w:t>
      </w:r>
      <w:r>
        <w:rPr>
          <w:lang w:val="en_US" w:bidi="en_US"/>
        </w:rPr>
        <w:t xml:space="preserve"> The message that the Messiah had come would bring great joy for </w:t>
      </w:r>
      <w:r>
        <w:rPr>
          <w:i/>
          <w:lang w:val="en_US" w:bidi="en_US"/>
        </w:rPr>
        <w:t>all the people</w:t>
      </w:r>
      <w:r>
        <w:rPr>
          <w:lang w:val="en_US" w:bidi="en_US"/>
        </w:rPr>
        <w:t xml:space="preserve"> who believed it. God had promised </w:t>
      </w:r>
      <w:r>
        <w:rPr>
          <w:i/>
          <w:lang w:val="en_US" w:bidi="en_US"/>
        </w:rPr>
        <w:t>the people</w:t>
      </w:r>
      <w:r>
        <w:rPr>
          <w:lang w:val="en_US" w:bidi="en_US"/>
        </w:rPr>
        <w:t xml:space="preserve"> of Israel that he would send a Savior, the Messiah. This Messiah would bring joy to </w:t>
      </w:r>
      <w:r>
        <w:rPr>
          <w:i/>
          <w:lang w:val="en_US" w:bidi="en_US"/>
        </w:rPr>
        <w:t>all the people</w:t>
      </w:r>
      <w:r>
        <w:rPr>
          <w:lang w:val="en_US" w:bidi="en_US"/>
        </w:rPr>
        <w:t xml:space="preserve"> from Israel and every nation who would believe this message. It would not bring joy to those who did not believe it.</w:t>
      </w:r>
    </w:p>
    <w:p>
      <w:pPr/>
      <w:r>
        <w:rPr>
          <w:lang w:val="en_US" w:bidi="en_US"/>
        </w:rPr>
      </w:r>
      <w:r>
        <w:rPr>
          <w:lang w:val="en_US" w:bidi="en_US"/>
        </w:rPr>
        <w:t xml:space="preserve">The phrase </w:t>
      </w:r>
      <w:r>
        <w:rPr>
          <w:i/>
          <w:lang w:val="en_US" w:bidi="en_US"/>
        </w:rPr>
        <w:t>of great joy</w:t>
      </w:r>
      <w:r>
        <w:rPr>
          <w:lang w:val="en_US" w:bidi="en_US"/>
        </w:rPr>
        <w:t xml:space="preserve"> indicates that the good news would cause the people to rejoice. It would make them very happy.</w:t>
      </w:r>
    </w:p>
    <w:p>
      <w:pPr/>
      <w:r>
        <w:rPr>
          <w:lang w:val="en_US" w:bidi="en_US"/>
        </w:rPr>
      </w:r>
      <w:r>
        <w:rPr>
          <w:lang w:val="en_US" w:bidi="en_US"/>
        </w:rPr>
        <w:t xml:space="preserve">Some ways to translate the phrase </w:t>
      </w:r>
      <w:r>
        <w:rPr>
          <w:i/>
          <w:lang w:val="en_US" w:bidi="en_US"/>
        </w:rPr>
        <w:t>good news of great joy that will be for all the people</w:t>
      </w:r>
      <w:r>
        <w:rPr>
          <w:lang w:val="en_US" w:bidi="en_US"/>
        </w:rPr>
        <w:t xml:space="preserve"> are:</w:t>
      </w:r>
    </w:p>
    <w:p>
      <w:pPr/>
      <w:r>
        <w:rPr>
          <w:lang w:val="en_US" w:bidi="en_US"/>
        </w:rPr>
      </w:r>
      <w:r>
        <w:rPr>
          <w:lang w:val="en_US" w:bidi="en_US"/>
        </w:rPr>
        <w:t>good news that will cause all the people to rejoice</w:t>
      </w:r>
    </w:p>
    <w:p>
      <w:pPr/>
      <w:r>
        <w:rPr>
          <w:lang w:val="en_US" w:bidi="en_US"/>
        </w:rPr>
      </w:r>
      <w:r>
        <w:rPr>
          <w:lang w:val="en_US" w:bidi="en_US"/>
        </w:rPr>
        <w:t>sweet message that offers great joy to everyone</w:t>
      </w:r>
      <w:r>
        <w:rPr>
          <w:lang w:val="en_US" w:bidi="en_US"/>
        </w:rPr>
      </w:r>
      <w:r>
        <w:rPr>
          <w:lang w:val="en_US" w:bidi="en_US"/>
        </w:rPr>
      </w:r>
    </w:p>
    <w:p>
      <w:pPr/>
      <w:r>
        <w:rPr>
          <w:lang w:val="en_US" w:bidi="en_US"/>
        </w:rPr>
      </w:r>
    </w:p>
    <w:p>
      <w:pPr>
        <w:pStyle w:val="Heading2"/>
      </w:pPr>
      <w:r>
        <w:rPr>
          <w:lang w:val="en_US" w:bidi="en_US"/>
        </w:rPr>
        <w:t>Luke 2:11</w:t>
      </w:r>
      <w:r>
        <w:rPr>
          <w:lang w:val="en_US" w:bidi="en_US"/>
        </w:rPr>
      </w:r>
    </w:p>
    <w:p>
      <w:pPr>
        <w:pStyle w:val="Heading4"/>
      </w:pPr>
      <w:r>
        <w:rPr>
          <w:lang w:val="en_US" w:bidi="en_US"/>
        </w:rPr>
        <w:t>Section 2:8–20: Angels announced to shepherds that the Savior was born</w:t>
      </w:r>
    </w:p>
    <w:p>
      <w:pPr/>
      <w:r>
        <w:rPr>
          <w:lang w:val="en_US" w:bidi="en_US"/>
        </w:rPr>
      </w:r>
      <w:r>
        <w:rPr>
          <w:lang w:val="en_US" w:bidi="en_US"/>
        </w:rP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Angels tell shepherds about Jesus’ birth and the shepherds visit him</w:t>
      </w:r>
    </w:p>
    <w:p>
      <w:pPr/>
      <w:r>
        <w:rPr>
          <w:lang w:val="en_US" w:bidi="en_US"/>
        </w:rPr>
      </w:r>
      <w:r>
        <w:rPr>
          <w:lang w:val="en_US" w:bidi="en_US"/>
        </w:rPr>
        <w:t>The Shepherds and the Angels (GNT)</w:t>
      </w:r>
    </w:p>
    <w:p>
      <w:pPr>
        <w:pStyle w:val="Heading5"/>
      </w:pPr>
      <w:r>
        <w:rPr>
          <w:lang w:val="en_US" w:bidi="en_US"/>
        </w:rPr>
        <w:t>2:11a</w:t>
      </w:r>
    </w:p>
    <w:p>
      <w:pPr/>
      <w:r>
        <w:rPr>
          <w:lang w:val="en_US" w:bidi="en_US"/>
        </w:rPr>
      </w:r>
      <w:r>
        <w:rPr>
          <w:b/>
          <w:lang w:val="en_US" w:bidi="en_US"/>
        </w:rPr>
        <w:t>Today in the city of David a Savior has been born to you.</w:t>
      </w:r>
    </w:p>
    <w:p>
      <w:pPr>
        <w:pStyle w:val="ListBullet"/>
        <w:spacing w:line="240" w:lineRule="auto"/>
        <w:ind w:left="720"/>
      </w:pPr>
      <w:r>
        <w:rPr>
          <w:lang w:val="en_US" w:bidi="en_US"/>
        </w:rPr>
      </w:r>
      <w:r>
        <w:rPr>
          <w:lang w:val="en_US" w:bidi="en_US"/>
        </w:rPr>
        <w:t>Today in David’s town a Savior has been born for you.</w:t>
      </w:r>
    </w:p>
    <w:p>
      <w:pPr>
        <w:pStyle w:val="ListBullet"/>
        <w:spacing w:line="240" w:lineRule="auto"/>
        <w:ind w:left="720"/>
      </w:pPr>
      <w:r>
        <w:rPr>
          <w:lang w:val="en_US" w:bidi="en_US"/>
        </w:rPr>
      </w:r>
      <w:r>
        <w:rPr>
          <w:lang w:val="en_US" w:bidi="en_US"/>
        </w:rPr>
        <w:t>This good news is that</w:t>
      </w:r>
      <w:r>
        <w:rPr>
          <w:lang w:val="en_US" w:bidi="en_US"/>
        </w:rPr>
        <w:t xml:space="preserve"> he who will save you has been born </w:t>
      </w:r>
      <w:r>
        <w:rPr>
          <w:lang w:val="en_US" w:bidi="en_US"/>
        </w:rPr>
        <w:t>here</w:t>
      </w:r>
      <w:r>
        <w:rPr>
          <w:lang w:val="en_US" w:bidi="en_US"/>
        </w:rPr>
        <w:t xml:space="preserve"> tonight in </w:t>
      </w:r>
      <w:r>
        <w:rPr>
          <w:lang w:val="en_US" w:bidi="en_US"/>
        </w:rPr>
        <w:t>King</w:t>
      </w:r>
      <w:r>
        <w:rPr>
          <w:lang w:val="en_US" w:bidi="en_US"/>
        </w:rPr>
        <w:t xml:space="preserve"> David’s </w:t>
      </w:r>
      <w:r>
        <w:rPr>
          <w:lang w:val="en_US" w:bidi="en_US"/>
        </w:rPr>
        <w:t>home</w:t>
      </w:r>
      <w:r>
        <w:rPr>
          <w:lang w:val="en_US" w:bidi="en_US"/>
        </w:rPr>
        <w:t xml:space="preserve"> town.</w:t>
      </w:r>
    </w:p>
    <w:p>
      <w:pPr>
        <w:pStyle w:val="ListBullet"/>
        <w:spacing w:line="240" w:lineRule="auto"/>
        <w:ind w:left="720"/>
      </w:pPr>
      <w:r>
        <w:rPr>
          <w:lang w:val="en_US" w:bidi="en_US"/>
        </w:rPr>
      </w:r>
      <w:r>
        <w:rPr>
          <w:lang w:val="en_US" w:bidi="en_US"/>
        </w:rPr>
        <w:t xml:space="preserve">Today </w:t>
      </w:r>
      <w:r>
        <w:rPr>
          <w:lang w:val="en_US" w:bidi="en_US"/>
        </w:rPr>
        <w:t>a woman</w:t>
      </w:r>
      <w:r>
        <w:rPr>
          <w:lang w:val="en_US" w:bidi="en_US"/>
        </w:rPr>
        <w:t xml:space="preserve"> has borne </w:t>
      </w:r>
      <w:r>
        <w:rPr>
          <w:lang w:val="en_US" w:bidi="en_US"/>
        </w:rPr>
        <w:t>a child</w:t>
      </w:r>
      <w:r>
        <w:rPr>
          <w:lang w:val="en_US" w:bidi="en_US"/>
        </w:rPr>
        <w:t xml:space="preserve"> in David’s </w:t>
      </w:r>
      <w:r>
        <w:rPr>
          <w:lang w:val="en_US" w:bidi="en_US"/>
        </w:rPr>
        <w:t>home</w:t>
      </w:r>
      <w:r>
        <w:rPr>
          <w:lang w:val="en_US" w:bidi="en_US"/>
        </w:rPr>
        <w:t xml:space="preserve"> town. This child </w:t>
      </w:r>
      <w:r>
        <w:rPr>
          <w:lang w:val="en_US" w:bidi="en_US"/>
        </w:rPr>
        <w:t>is the one who</w:t>
      </w:r>
      <w:r>
        <w:rPr>
          <w:lang w:val="en_US" w:bidi="en_US"/>
        </w:rPr>
        <w:t xml:space="preserve"> will save/rescue you.</w:t>
      </w:r>
    </w:p>
    <w:p>
      <w:pPr/>
      <w:r>
        <w:rPr>
          <w:lang w:val="en_US" w:bidi="en_US"/>
        </w:rPr>
      </w:r>
      <w:r>
        <w:rPr>
          <w:lang w:val="en_US" w:bidi="en_US"/>
        </w:rPr>
        <w:t>In Greek, 2:11 begins with a word that connects 2:10 to 2:11–12. The BSB does not translate this word. There are two ways to interpret the word in this context:</w:t>
      </w:r>
    </w:p>
    <w:p>
      <w:pPr>
        <w:pStyle w:val="ListNumber"/>
        <w:numPr>
          <w:ilvl w:val="0"/>
          <w:numId w:val="31"/>
        </w:numPr>
        <w:spacing w:line="240" w:lineRule="auto"/>
        <w:ind w:left="720"/>
      </w:pPr>
      <w:r>
        <w:rPr>
          <w:lang w:val="en_US" w:bidi="en_US"/>
        </w:rPr>
      </w:r>
      <w:r>
        <w:rPr>
          <w:lang w:val="en_US" w:bidi="en_US"/>
        </w:rPr>
        <w:t xml:space="preserve">It indicates that 2:11 is the </w:t>
      </w:r>
      <w:r>
        <w:rPr>
          <w:u w:val="single"/>
          <w:lang w:val="en_US" w:bidi="en_US"/>
        </w:rPr>
        <w:t>content of the angel’s announcement</w:t>
      </w:r>
      <w:r>
        <w:rPr>
          <w:lang w:val="en_US" w:bidi="en_US"/>
        </w:rPr>
        <w:t>. Most English versions that do not translate this word are probably following this interpretation. For example:</w:t>
      </w:r>
      <w:r>
        <w:rPr>
          <w:vertAlign w:val="superscript"/>
          <w:lang w:val="en_US" w:bidi="en_US"/>
        </w:rPr>
        <w:t>10b</w:t>
      </w:r>
      <w:r>
        <w:rPr>
          <w:lang w:val="en_US" w:bidi="en_US"/>
        </w:rPr>
        <w:t xml:space="preserve">I bring you good news…. </w:t>
      </w:r>
      <w:r>
        <w:rPr>
          <w:vertAlign w:val="superscript"/>
          <w:lang w:val="en_US" w:bidi="en_US"/>
        </w:rPr>
        <w:t>11a</w:t>
      </w:r>
      <w:r>
        <w:rPr>
          <w:lang w:val="en_US" w:bidi="en_US"/>
        </w:rPr>
        <w:t xml:space="preserve">Today there has been born… (REB) </w:t>
      </w:r>
      <w:r>
        <w:rPr>
          <w:i/>
          <w:lang w:val="en_US" w:bidi="en_US"/>
        </w:rPr>
        <w:t>(BSB, NIV, GNT, NJB, NET, REB, GW, NLT, CEV, JBP, NCV)</w:t>
      </w:r>
    </w:p>
    <w:p>
      <w:pPr>
        <w:pStyle w:val="ListNumber"/>
        <w:spacing w:line="240" w:lineRule="auto"/>
        <w:ind w:left="720"/>
      </w:pPr>
      <w:r>
        <w:rPr>
          <w:lang w:val="en_US" w:bidi="en_US"/>
        </w:rPr>
      </w:r>
      <w:r>
        <w:rPr>
          <w:lang w:val="en_US" w:bidi="en_US"/>
        </w:rPr>
        <w:t xml:space="preserve">It indicates that 2:11 is the </w:t>
      </w:r>
      <w:r>
        <w:rPr>
          <w:u w:val="single"/>
          <w:lang w:val="en_US" w:bidi="en_US"/>
        </w:rPr>
        <w:t>reason that all the people will have great joy</w:t>
      </w:r>
      <w:r>
        <w:rPr>
          <w:lang w:val="en_US" w:bidi="en_US"/>
        </w:rPr>
        <w:t>. This meaning can be translated in English as “because/for.” For example:</w:t>
      </w:r>
      <w:r>
        <w:rPr>
          <w:vertAlign w:val="superscript"/>
          <w:lang w:val="en_US" w:bidi="en_US"/>
        </w:rPr>
        <w:t>10b</w:t>
      </w:r>
      <w:r>
        <w:rPr>
          <w:lang w:val="en_US" w:bidi="en_US"/>
        </w:rPr>
        <w:t>I bring you good news…</w:t>
      </w:r>
      <w:r>
        <w:rPr>
          <w:vertAlign w:val="superscript"/>
          <w:lang w:val="en_US" w:bidi="en_US"/>
        </w:rPr>
        <w:t>11a</w:t>
      </w:r>
      <w:r>
        <w:rPr>
          <w:u w:val="single"/>
          <w:lang w:val="en_US" w:bidi="en_US"/>
        </w:rPr>
        <w:t>for</w:t>
      </w:r>
      <w:r>
        <w:rPr>
          <w:lang w:val="en_US" w:bidi="en_US"/>
        </w:rPr>
        <w:t xml:space="preserve"> today…there has been born… (NASB) </w:t>
      </w:r>
      <w:r>
        <w:rPr>
          <w:i/>
          <w:lang w:val="en_US" w:bidi="en_US"/>
        </w:rPr>
        <w:t>(RSV, NASB, KJV)</w:t>
      </w:r>
    </w:p>
    <w:p>
      <w:pPr/>
      <w:r>
        <w:rPr>
          <w:lang w:val="en_US" w:bidi="en_US"/>
        </w:rPr>
      </w:r>
      <w:r>
        <w:rPr>
          <w:lang w:val="en_US" w:bidi="en_US"/>
        </w:rPr>
        <w:t>It is recommended that you follow interpretation (1).</w:t>
      </w:r>
    </w:p>
    <w:p>
      <w:pPr/>
      <w:r>
        <w:rPr>
          <w:lang w:val="en_US" w:bidi="en_US"/>
        </w:rPr>
      </w:r>
      <w:r>
        <w:rPr>
          <w:b/>
          <w:lang w:val="en_US" w:bidi="en_US"/>
        </w:rPr>
        <w:t>Today in the city of David a Savior has been born to you:</w:t>
      </w:r>
      <w:r>
        <w:rPr>
          <w:lang w:val="en_US" w:bidi="en_US"/>
        </w:rPr>
        <w:t xml:space="preserve"> In Greek this is a passive clause. Use a natural way in your language to announce a birth. Another way to translate this is:</w:t>
      </w:r>
    </w:p>
    <w:p>
      <w:pPr/>
      <w:r>
        <w:rPr>
          <w:lang w:val="en_US" w:bidi="en_US"/>
        </w:rPr>
      </w:r>
      <w:r>
        <w:rPr>
          <w:lang w:val="en_US" w:bidi="en_US"/>
        </w:rPr>
        <w:t>This very day in David's town your Savior was born (GNT)</w:t>
      </w:r>
    </w:p>
    <w:p>
      <w:pPr/>
      <w:r>
        <w:rPr>
          <w:lang w:val="en_US" w:bidi="en_US"/>
        </w:rPr>
      </w:r>
      <w:r>
        <w:rPr>
          <w:b/>
          <w:lang w:val="en_US" w:bidi="en_US"/>
        </w:rPr>
        <w:t>Today:</w:t>
      </w:r>
      <w:r>
        <w:rPr>
          <w:lang w:val="en_US" w:bidi="en_US"/>
        </w:rPr>
        <w:t xml:space="preserve"> To the Jews, each new day began at sunset, about 6:00 p.m. Verse 8 indicates that the angel spoke to the shepherds at night. When the angel announced that Jesus had been born, the angel said </w:t>
      </w:r>
      <w:r>
        <w:rPr>
          <w:i/>
          <w:lang w:val="en_US" w:bidi="en_US"/>
        </w:rPr>
        <w:t>Today</w:t>
      </w:r>
      <w:r>
        <w:rPr>
          <w:lang w:val="en_US" w:bidi="en_US"/>
        </w:rPr>
        <w:t xml:space="preserve">. Because a new day had begun at 6:00 p.m., it is clear that Jesus was born at night after the sun had already set. For this reason, it may be more natural in some languages to say “tonight” rather than </w:t>
      </w:r>
      <w:r>
        <w:rPr>
          <w:i/>
          <w:lang w:val="en_US" w:bidi="en_US"/>
        </w:rPr>
        <w:t>Today</w:t>
      </w:r>
      <w:r>
        <w:rPr>
          <w:lang w:val="en_US" w:bidi="en_US"/>
        </w:rPr>
        <w:t>. For example:</w:t>
      </w:r>
    </w:p>
    <w:p>
      <w:pPr/>
      <w:r>
        <w:rPr>
          <w:lang w:val="en_US" w:bidi="en_US"/>
        </w:rPr>
      </w:r>
      <w:r>
        <w:rPr>
          <w:lang w:val="en_US" w:bidi="en_US"/>
        </w:rPr>
        <w:t>The Savior…has been born tonight. (NLT96)</w:t>
      </w:r>
    </w:p>
    <w:p>
      <w:pPr/>
      <w:r>
        <w:rPr>
          <w:lang w:val="en_US" w:bidi="en_US"/>
        </w:rPr>
      </w:r>
      <w:r>
        <w:rPr>
          <w:b/>
          <w:lang w:val="en_US" w:bidi="en_US"/>
        </w:rPr>
        <w:t>the city of David:</w:t>
      </w:r>
      <w:r>
        <w:rPr>
          <w:lang w:val="en_US" w:bidi="en_US"/>
        </w:rPr>
        <w:t xml:space="preserve"> The shepherds understood that </w:t>
      </w:r>
      <w:r>
        <w:rPr>
          <w:i/>
          <w:lang w:val="en_US" w:bidi="en_US"/>
        </w:rPr>
        <w:t>the city of David</w:t>
      </w:r>
      <w:r>
        <w:rPr>
          <w:lang w:val="en_US" w:bidi="en_US"/>
        </w:rPr>
        <w:t xml:space="preserve"> referred to the town that was called Bethlehem, where David was born. Another way to translate this phrase is:</w:t>
      </w:r>
    </w:p>
    <w:p>
      <w:pPr/>
      <w:r>
        <w:rPr>
          <w:lang w:val="en_US" w:bidi="en_US"/>
        </w:rPr>
      </w:r>
      <w:r>
        <w:rPr>
          <w:lang w:val="en_US" w:bidi="en_US"/>
        </w:rPr>
        <w:t>the hometown of David</w:t>
      </w:r>
    </w:p>
    <w:p>
      <w:pPr/>
      <w:r>
        <w:rPr>
          <w:lang w:val="en_US" w:bidi="en_US"/>
        </w:rPr>
      </w:r>
      <w:r>
        <w:rPr>
          <w:lang w:val="en_US" w:bidi="en_US"/>
        </w:rPr>
        <w:t xml:space="preserve">the town where David </w:t>
      </w:r>
      <w:r>
        <w:rPr>
          <w:lang w:val="en_US" w:bidi="en_US"/>
        </w:rPr>
        <w:t>was born</w:t>
      </w:r>
    </w:p>
    <w:p>
      <w:pPr/>
      <w:r>
        <w:rPr>
          <w:lang w:val="en_US" w:bidi="en_US"/>
        </w:rPr>
      </w:r>
      <w:r>
        <w:rPr>
          <w:lang w:val="en_US" w:bidi="en_US"/>
        </w:rPr>
        <w:t xml:space="preserve">This phrase, </w:t>
      </w:r>
      <w:r>
        <w:rPr>
          <w:i/>
          <w:lang w:val="en_US" w:bidi="en_US"/>
        </w:rPr>
        <w:t>the city of David</w:t>
      </w:r>
      <w:r>
        <w:rPr>
          <w:lang w:val="en_US" w:bidi="en_US"/>
        </w:rPr>
        <w:t>, also occurs in 2:4b. You may translate it the same way in both places.</w:t>
      </w:r>
    </w:p>
    <w:p>
      <w:pPr/>
      <w:r>
        <w:rPr>
          <w:lang w:val="en_US" w:bidi="en_US"/>
        </w:rPr>
      </w:r>
      <w:r>
        <w:rPr>
          <w:b/>
          <w:lang w:val="en_US" w:bidi="en_US"/>
        </w:rPr>
        <w:t>Savior:</w:t>
      </w:r>
      <w:r>
        <w:rPr>
          <w:lang w:val="en_US" w:bidi="en_US"/>
        </w:rPr>
        <w:t xml:space="preserve"> The word </w:t>
      </w:r>
      <w:r>
        <w:rPr>
          <w:i/>
          <w:lang w:val="en_US" w:bidi="en_US"/>
        </w:rPr>
        <w:t>Savior</w:t>
      </w:r>
      <w:r>
        <w:rPr>
          <w:lang w:val="en_US" w:bidi="en_US"/>
        </w:rPr>
        <w:t xml:space="preserve"> means “someone who saves/rescues (others) from harm or danger.” This same word occurs in 1:47. Other ways to translate this are:</w:t>
      </w:r>
    </w:p>
    <w:p>
      <w:pPr/>
      <w:r>
        <w:rPr>
          <w:lang w:val="en_US" w:bidi="en_US"/>
        </w:rPr>
      </w:r>
      <w:r>
        <w:rPr>
          <w:lang w:val="en_US" w:bidi="en_US"/>
        </w:rPr>
        <w:t>he who will save you</w:t>
      </w:r>
    </w:p>
    <w:p>
      <w:pPr/>
      <w:r>
        <w:rPr>
          <w:lang w:val="en_US" w:bidi="en_US"/>
        </w:rPr>
      </w:r>
      <w:r>
        <w:rPr>
          <w:lang w:val="en_US" w:bidi="en_US"/>
        </w:rPr>
        <w:t>deliverer (REB)</w:t>
      </w:r>
    </w:p>
    <w:p>
      <w:pPr/>
      <w:r>
        <w:rPr>
          <w:lang w:val="en_US" w:bidi="en_US"/>
        </w:rPr>
      </w:r>
      <w:r>
        <w:rPr>
          <w:lang w:val="en_US" w:bidi="en_US"/>
        </w:rPr>
        <w:t>one who will rescue you</w:t>
      </w:r>
    </w:p>
    <w:p>
      <w:pPr/>
      <w:r>
        <w:rPr>
          <w:lang w:val="en_US" w:bidi="en_US"/>
        </w:rPr>
      </w:r>
      <w:r>
        <w:rPr>
          <w:lang w:val="en_US" w:bidi="en_US"/>
        </w:rPr>
        <w:t xml:space="preserve">If you must indicate from what </w:t>
      </w:r>
      <w:r>
        <w:rPr>
          <w:u w:val="single"/>
          <w:lang w:val="en_US" w:bidi="en_US"/>
        </w:rPr>
        <w:t>he will save</w:t>
      </w:r>
      <w:r>
        <w:rPr>
          <w:lang w:val="en_US" w:bidi="en_US"/>
        </w:rPr>
        <w:t>, you can say:</w:t>
      </w:r>
    </w:p>
    <w:p>
      <w:pPr/>
      <w:r>
        <w:rPr>
          <w:lang w:val="en_US" w:bidi="en_US"/>
        </w:rPr>
      </w:r>
      <w:r>
        <w:rPr>
          <w:lang w:val="en_US" w:bidi="en_US"/>
        </w:rPr>
        <w:t xml:space="preserve">he who will save you </w:t>
      </w:r>
      <w:r>
        <w:rPr>
          <w:lang w:val="en_US" w:bidi="en_US"/>
        </w:rPr>
        <w:t>from your sins</w:t>
      </w:r>
    </w:p>
    <w:p>
      <w:pPr/>
      <w:r>
        <w:rPr>
          <w:lang w:val="en_US" w:bidi="en_US"/>
        </w:rPr>
      </w:r>
      <w:r>
        <w:rPr>
          <w:lang w:val="en_US" w:bidi="en_US"/>
        </w:rPr>
        <w:t>See save in the Glossary (see the note on Savior).</w:t>
      </w:r>
    </w:p>
    <w:p>
      <w:pPr/>
      <w:r>
        <w:rPr>
          <w:lang w:val="en_US" w:bidi="en_US"/>
        </w:rPr>
      </w:r>
      <w:r>
        <w:rPr>
          <w:b/>
          <w:lang w:val="en_US" w:bidi="en_US"/>
        </w:rPr>
        <w:t>born to you:</w:t>
      </w:r>
      <w:r>
        <w:rPr>
          <w:lang w:val="en_US" w:bidi="en_US"/>
        </w:rPr>
        <w:t xml:space="preserve"> The pronoun </w:t>
      </w:r>
      <w:r>
        <w:rPr>
          <w:i/>
          <w:lang w:val="en_US" w:bidi="en_US"/>
        </w:rPr>
        <w:t>you</w:t>
      </w:r>
      <w:r>
        <w:rPr>
          <w:lang w:val="en_US" w:bidi="en_US"/>
        </w:rPr>
        <w:t xml:space="preserve"> is plural. It refers to the shepherds, but in this context it also applies to “all the people” in 2:10b. The phrase </w:t>
      </w:r>
      <w:r>
        <w:rPr>
          <w:i/>
          <w:lang w:val="en_US" w:bidi="en_US"/>
        </w:rPr>
        <w:t>born to you</w:t>
      </w:r>
      <w:r>
        <w:rPr>
          <w:lang w:val="en_US" w:bidi="en_US"/>
        </w:rPr>
        <w:t xml:space="preserve"> indicates that the Savior’s birth would benefit them. Some ways to translate this include:</w:t>
      </w:r>
    </w:p>
    <w:p>
      <w:pPr/>
      <w:r>
        <w:rPr>
          <w:lang w:val="en_US" w:bidi="en_US"/>
        </w:rPr>
      </w:r>
      <w:r>
        <w:rPr>
          <w:lang w:val="en_US" w:bidi="en_US"/>
        </w:rPr>
        <w:t>born for you</w:t>
      </w:r>
    </w:p>
    <w:p>
      <w:pPr/>
      <w:r>
        <w:rPr>
          <w:lang w:val="en_US" w:bidi="en_US"/>
        </w:rPr>
      </w:r>
      <w:r>
        <w:rPr>
          <w:lang w:val="en_US" w:bidi="en_US"/>
        </w:rPr>
        <w:t>born for your benefit</w:t>
      </w:r>
    </w:p>
    <w:p>
      <w:pPr/>
      <w:r>
        <w:rPr>
          <w:lang w:val="en_US" w:bidi="en_US"/>
        </w:rPr>
      </w:r>
      <w:r>
        <w:rPr>
          <w:lang w:val="en_US" w:bidi="en_US"/>
        </w:rPr>
        <w:t>born to help you</w:t>
      </w:r>
    </w:p>
    <w:p>
      <w:pPr/>
      <w:r>
        <w:rPr>
          <w:lang w:val="en_US" w:bidi="en_US"/>
        </w:rPr>
      </w:r>
      <w:r>
        <w:rPr>
          <w:lang w:val="en_US" w:bidi="en_US"/>
        </w:rPr>
        <w:t xml:space="preserve">If you have translated the word “Savior” as a clause such as “he who will save you,” you may not need to repeat the idea </w:t>
      </w:r>
      <w:r>
        <w:rPr>
          <w:i/>
          <w:lang w:val="en_US" w:bidi="en_US"/>
        </w:rPr>
        <w:t>to you</w:t>
      </w:r>
      <w:r>
        <w:rPr>
          <w:lang w:val="en_US" w:bidi="en_US"/>
        </w:rPr>
        <w:t>. For example, you may be able to translate “a Savior has been born to you” as:</w:t>
      </w:r>
    </w:p>
    <w:p>
      <w:pPr/>
      <w:r>
        <w:rPr>
          <w:lang w:val="en_US" w:bidi="en_US"/>
        </w:rPr>
      </w:r>
      <w:r>
        <w:rPr>
          <w:lang w:val="en_US" w:bidi="en_US"/>
        </w:rPr>
        <w:t>he who will save you has been born</w:t>
      </w:r>
    </w:p>
    <w:p>
      <w:pPr>
        <w:pStyle w:val="Heading5"/>
      </w:pPr>
      <w:r>
        <w:rPr>
          <w:lang w:val="en_US" w:bidi="en_US"/>
        </w:rPr>
        <w:t>2:11b</w:t>
      </w:r>
    </w:p>
    <w:p>
      <w:pPr/>
      <w:r>
        <w:rPr>
          <w:lang w:val="en_US" w:bidi="en_US"/>
        </w:rPr>
      </w:r>
      <w:r>
        <w:rPr>
          <w:b/>
          <w:lang w:val="en_US" w:bidi="en_US"/>
        </w:rPr>
        <w:t>He is Christ the Lord!</w:t>
      </w:r>
    </w:p>
    <w:p>
      <w:pPr>
        <w:pStyle w:val="ListBullet"/>
        <w:spacing w:line="240" w:lineRule="auto"/>
        <w:ind w:left="720"/>
      </w:pPr>
      <w:r>
        <w:rPr>
          <w:lang w:val="en_US" w:bidi="en_US"/>
        </w:rPr>
      </w:r>
      <w:r>
        <w:rPr>
          <w:lang w:val="en_US" w:bidi="en_US"/>
        </w:rPr>
        <w:t xml:space="preserve">He is </w:t>
      </w:r>
      <w:r>
        <w:rPr>
          <w:lang w:val="en_US" w:bidi="en_US"/>
        </w:rPr>
        <w:t>the</w:t>
      </w:r>
      <w:r>
        <w:rPr>
          <w:lang w:val="en_US" w:bidi="en_US"/>
        </w:rPr>
        <w:t xml:space="preserve"> Christ/Messiah, and he is the Lord.</w:t>
      </w:r>
    </w:p>
    <w:p>
      <w:pPr>
        <w:pStyle w:val="ListBullet"/>
        <w:spacing w:line="240" w:lineRule="auto"/>
        <w:ind w:left="720"/>
      </w:pPr>
      <w:r>
        <w:rPr>
          <w:lang w:val="en_US" w:bidi="en_US"/>
        </w:rPr>
      </w:r>
      <w:r>
        <w:rPr>
          <w:lang w:val="en_US" w:bidi="en_US"/>
        </w:rPr>
        <w:t>He is the Christ/Deliverer. He is the Lord.</w:t>
      </w:r>
    </w:p>
    <w:p>
      <w:pPr>
        <w:pStyle w:val="ListBullet"/>
        <w:spacing w:line="240" w:lineRule="auto"/>
        <w:ind w:left="720"/>
      </w:pPr>
      <w:r>
        <w:rPr>
          <w:lang w:val="en_US" w:bidi="en_US"/>
        </w:rPr>
      </w:r>
      <w:r>
        <w:rPr>
          <w:lang w:val="en_US" w:bidi="en_US"/>
        </w:rPr>
        <w:t xml:space="preserve">He is the Christ/Rescuer </w:t>
      </w:r>
      <w:r>
        <w:rPr>
          <w:lang w:val="en_US" w:bidi="en_US"/>
        </w:rPr>
        <w:t>whom God promised to send</w:t>
      </w:r>
      <w:r>
        <w:rPr>
          <w:lang w:val="en_US" w:bidi="en_US"/>
        </w:rPr>
        <w:t>. He is the Lord.</w:t>
      </w:r>
    </w:p>
    <w:p>
      <w:pPr/>
      <w:r>
        <w:rPr>
          <w:lang w:val="en_US" w:bidi="en_US"/>
        </w:rPr>
      </w:r>
      <w:r>
        <w:rPr>
          <w:b/>
          <w:lang w:val="en_US" w:bidi="en_US"/>
        </w:rPr>
        <w:t>Christ the Lord:</w:t>
      </w:r>
      <w:r>
        <w:rPr>
          <w:lang w:val="en_US" w:bidi="en_US"/>
        </w:rPr>
        <w:t xml:space="preserve"> Both the word </w:t>
      </w:r>
      <w:r>
        <w:rPr>
          <w:i/>
          <w:lang w:val="en_US" w:bidi="en_US"/>
        </w:rPr>
        <w:t>Christ</w:t>
      </w:r>
      <w:r>
        <w:rPr>
          <w:lang w:val="en_US" w:bidi="en_US"/>
        </w:rPr>
        <w:t xml:space="preserve"> and the word </w:t>
      </w:r>
      <w:r>
        <w:rPr>
          <w:i/>
          <w:lang w:val="en_US" w:bidi="en_US"/>
        </w:rPr>
        <w:t>Lord</w:t>
      </w:r>
      <w:r>
        <w:rPr>
          <w:lang w:val="en_US" w:bidi="en_US"/>
        </w:rPr>
        <w:t xml:space="preserve"> are descriptive titles. If it is not natural in your language to put two titles together like this, you may be able to say:</w:t>
      </w:r>
    </w:p>
    <w:p>
      <w:pPr/>
      <w:r>
        <w:rPr>
          <w:lang w:val="en_US" w:bidi="en_US"/>
        </w:rPr>
      </w:r>
      <w:r>
        <w:rPr>
          <w:lang w:val="en_US" w:bidi="en_US"/>
        </w:rPr>
        <w:t xml:space="preserve">he is </w:t>
      </w:r>
      <w:r>
        <w:rPr>
          <w:lang w:val="en_US" w:bidi="en_US"/>
        </w:rPr>
        <w:t>the</w:t>
      </w:r>
      <w:r>
        <w:rPr>
          <w:lang w:val="en_US" w:bidi="en_US"/>
        </w:rPr>
        <w:t xml:space="preserve"> Christ, he is the Lord</w:t>
      </w:r>
    </w:p>
    <w:p>
      <w:pPr/>
      <w:r>
        <w:rPr>
          <w:lang w:val="en_US" w:bidi="en_US"/>
        </w:rPr>
      </w:r>
      <w:r>
        <w:rPr>
          <w:b/>
          <w:lang w:val="en_US" w:bidi="en_US"/>
        </w:rPr>
        <w:t>Christ:</w:t>
      </w:r>
      <w:r>
        <w:rPr>
          <w:lang w:val="en_US" w:bidi="en_US"/>
        </w:rPr>
        <w:t xml:space="preserve"> Here the word </w:t>
      </w:r>
      <w:r>
        <w:rPr>
          <w:i/>
          <w:lang w:val="en_US" w:bidi="en_US"/>
        </w:rPr>
        <w:t>Christ</w:t>
      </w:r>
      <w:r>
        <w:rPr>
          <w:lang w:val="en_US" w:bidi="en_US"/>
        </w:rPr>
        <w:t xml:space="preserve"> is used as a title. It is not just one of Jesus’ names. The Jews used this title to refer to the person whom God had appointed and promised to send as King and Savior. The title </w:t>
      </w:r>
      <w:r>
        <w:rPr>
          <w:i/>
          <w:lang w:val="en_US" w:bidi="en_US"/>
        </w:rPr>
        <w:t>Christ</w:t>
      </w:r>
      <w:r>
        <w:rPr>
          <w:lang w:val="en_US" w:bidi="en_US"/>
        </w:rPr>
        <w:t xml:space="preserve"> is the Greek translation of the Hebrew word “Messiah,” and the two words have the same meaning.</w:t>
      </w:r>
    </w:p>
    <w:p>
      <w:pPr/>
      <w:r>
        <w:rPr>
          <w:lang w:val="en_US" w:bidi="en_US"/>
        </w:rPr>
      </w:r>
      <w:r>
        <w:rPr>
          <w:lang w:val="en_US" w:bidi="en_US"/>
        </w:rPr>
        <w:t xml:space="preserve">Some ways to translate </w:t>
      </w:r>
      <w:r>
        <w:rPr>
          <w:i/>
          <w:lang w:val="en_US" w:bidi="en_US"/>
        </w:rPr>
        <w:t>Christ</w:t>
      </w:r>
      <w:r>
        <w:rPr>
          <w:lang w:val="en_US" w:bidi="en_US"/>
        </w:rPr>
        <w:t xml:space="preserve"> are:</w:t>
      </w:r>
    </w:p>
    <w:p>
      <w:pPr>
        <w:pStyle w:val="ListBullet"/>
        <w:spacing w:line="240" w:lineRule="auto"/>
        <w:ind w:left="720"/>
      </w:pPr>
      <w:r>
        <w:rPr>
          <w:lang w:val="en_US" w:bidi="en_US"/>
        </w:rPr>
      </w:r>
      <w:r>
        <w:rPr>
          <w:lang w:val="en_US" w:bidi="en_US"/>
        </w:rPr>
        <w:t xml:space="preserve">Use a title or a descriptive phrase in your language that has the same meaning as </w:t>
      </w:r>
      <w:r>
        <w:rPr>
          <w:i/>
          <w:lang w:val="en_US" w:bidi="en_US"/>
        </w:rPr>
        <w:t>Christ</w:t>
      </w:r>
      <w:r>
        <w:rPr>
          <w:lang w:val="en_US" w:bidi="en_US"/>
        </w:rPr>
        <w:t>. For example:</w:t>
      </w:r>
      <w:r>
        <w:rPr>
          <w:lang w:val="en_US" w:bidi="en_US"/>
        </w:rPr>
        <w:t>Messiah</w:t>
      </w:r>
      <w:r>
        <w:rPr>
          <w:lang w:val="en_US" w:bidi="en_US"/>
        </w:rPr>
        <w:t>Promised Deliverer</w:t>
      </w:r>
      <w:r>
        <w:rPr>
          <w:lang w:val="en_US" w:bidi="en_US"/>
        </w:rPr>
        <w:t>the Rescuer-King whom God sent</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include a phrase that explains the meaning. For example:</w:t>
      </w:r>
      <w:r>
        <w:rPr>
          <w:lang w:val="en_US" w:bidi="en_US"/>
        </w:rPr>
        <w:t>Karisiti, the appointed one</w:t>
      </w:r>
      <w:r>
        <w:rPr>
          <w:lang w:val="en_US" w:bidi="en_US"/>
        </w:rPr>
        <w:t>Cristo, the Savior whom God promised to send</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indicate in some way that it is a title. For example:</w:t>
      </w:r>
      <w:r>
        <w:rPr>
          <w:lang w:val="en_US" w:bidi="en_US"/>
        </w:rPr>
        <w:t>the Kirisita</w:t>
      </w:r>
    </w:p>
    <w:p>
      <w:pPr/>
      <w:r>
        <w:rPr>
          <w:lang w:val="en_US" w:bidi="en_US"/>
        </w:rPr>
      </w:r>
      <w:r>
        <w:rPr>
          <w:lang w:val="en_US" w:bidi="en_US"/>
        </w:rPr>
        <w:t xml:space="preserve">You may want to explain the meaning of </w:t>
      </w:r>
      <w:r>
        <w:rPr>
          <w:i/>
          <w:lang w:val="en_US" w:bidi="en_US"/>
        </w:rPr>
        <w:t>Christ</w:t>
      </w:r>
      <w:r>
        <w:rPr>
          <w:lang w:val="en_US" w:bidi="en_US"/>
        </w:rPr>
        <w:t xml:space="preserve"> in a footnote or in a glossary. For example:</w:t>
      </w:r>
    </w:p>
    <w:p>
      <w:pPr/>
      <w:r>
        <w:rPr>
          <w:lang w:val="en_US" w:bidi="en_US"/>
        </w:rPr>
      </w:r>
      <w:r>
        <w:rPr>
          <w:lang w:val="en_US" w:bidi="en_US"/>
        </w:rPr>
        <w:t>The word/title “Christ” refers to the King and Savior whom God had promised to send.</w:t>
      </w:r>
    </w:p>
    <w:p>
      <w:pPr/>
      <w:r>
        <w:rPr>
          <w:lang w:val="en_US" w:bidi="en_US"/>
        </w:rPr>
      </w:r>
      <w:r>
        <w:rPr>
          <w:lang w:val="en_US" w:bidi="en_US"/>
        </w:rPr>
        <w:t>See also Christ in the Glossary.</w:t>
      </w:r>
    </w:p>
    <w:p>
      <w:pPr/>
      <w:r>
        <w:rPr>
          <w:lang w:val="en_US" w:bidi="en_US"/>
        </w:rPr>
      </w:r>
      <w:r>
        <w:rPr>
          <w:b/>
          <w:lang w:val="en_US" w:bidi="en_US"/>
        </w:rPr>
        <w:t>the Lord:</w:t>
      </w:r>
      <w:r>
        <w:rPr>
          <w:lang w:val="en_US" w:bidi="en_US"/>
        </w:rPr>
        <w:t xml:space="preserve"> The Greek word that the BSB translates as </w:t>
      </w:r>
      <w:r>
        <w:rPr>
          <w:i/>
          <w:lang w:val="en_US" w:bidi="en_US"/>
        </w:rPr>
        <w:t>the Lord</w:t>
      </w:r>
      <w:r>
        <w:rPr>
          <w:lang w:val="en_US" w:bidi="en_US"/>
        </w:rPr>
        <w:t xml:space="preserve"> was one of the terms that the Jews used to refer to God.</w:t>
      </w:r>
      <w:r>
        <w:rPr>
          <w:lang w:val="en_US" w:bidi="en_US"/>
        </w:rPr>
        <w:t xml:space="preserve">This is not meant to imply that they used </w:t>
      </w:r>
      <w:r>
        <w:rPr>
          <w:i/>
          <w:lang w:val="en_US" w:bidi="en_US"/>
        </w:rPr>
        <w:t>kurios</w:t>
      </w:r>
      <w:r>
        <w:rPr>
          <w:lang w:val="en_US" w:bidi="en_US"/>
        </w:rPr>
        <w:t xml:space="preserve"> when speaking to each other in Hebrew or Aramaic. It is assumed that they might use it when they spoke or wrote in Greek, as Luke was doing here.</w:t>
      </w:r>
      <w:r>
        <w:rPr>
          <w:lang w:val="en_US" w:bidi="en_US"/>
        </w:rPr>
        <w:t xml:space="preserve"> Its basic meaning in Greek was “master” or “one who has authority over others.” Use a term from your language that is appropriate for this context. See Lord, Context 2 in the Glossary.</w:t>
      </w:r>
      <w:r>
        <w:rPr>
          <w:lang w:val="en_US" w:bidi="en_US"/>
        </w:rPr>
      </w:r>
      <w:r>
        <w:rPr>
          <w:lang w:val="en_US" w:bidi="en_US"/>
        </w:rPr>
      </w:r>
    </w:p>
    <w:p>
      <w:pPr/>
      <w:r>
        <w:rPr>
          <w:lang w:val="en_US" w:bidi="en_US"/>
        </w:rPr>
      </w:r>
    </w:p>
    <w:p>
      <w:pPr>
        <w:pStyle w:val="Heading2"/>
      </w:pPr>
      <w:r>
        <w:rPr>
          <w:lang w:val="en_US" w:bidi="en_US"/>
        </w:rPr>
        <w:t>Luke 2:12</w:t>
      </w:r>
      <w:r>
        <w:rPr>
          <w:lang w:val="en_US" w:bidi="en_US"/>
        </w:rPr>
      </w:r>
    </w:p>
    <w:p>
      <w:pPr>
        <w:pStyle w:val="Heading4"/>
      </w:pPr>
      <w:r>
        <w:rPr>
          <w:lang w:val="en_US" w:bidi="en_US"/>
        </w:rPr>
        <w:t>Section 2:8–20: Angels announced to shepherds that the Savior was born</w:t>
      </w:r>
    </w:p>
    <w:p>
      <w:pPr/>
      <w:r>
        <w:rPr>
          <w:lang w:val="en_US" w:bidi="en_US"/>
        </w:rPr>
      </w:r>
      <w:r>
        <w:rPr>
          <w:lang w:val="en_US" w:bidi="en_US"/>
        </w:rP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Angels tell shepherds about Jesus’ birth and the shepherds visit him</w:t>
      </w:r>
    </w:p>
    <w:p>
      <w:pPr/>
      <w:r>
        <w:rPr>
          <w:lang w:val="en_US" w:bidi="en_US"/>
        </w:rPr>
      </w:r>
      <w:r>
        <w:rPr>
          <w:lang w:val="en_US" w:bidi="en_US"/>
        </w:rPr>
        <w:t>The Shepherds and the Angels (GNT)</w:t>
      </w:r>
    </w:p>
    <w:p>
      <w:pPr>
        <w:pStyle w:val="Heading5"/>
      </w:pPr>
      <w:r>
        <w:rPr>
          <w:lang w:val="en_US" w:bidi="en_US"/>
        </w:rPr>
        <w:t>2:12a</w:t>
      </w:r>
    </w:p>
    <w:p>
      <w:pPr/>
      <w:r>
        <w:rPr>
          <w:lang w:val="en_US" w:bidi="en_US"/>
        </w:rPr>
      </w:r>
      <w:r>
        <w:rPr>
          <w:b/>
          <w:lang w:val="en_US" w:bidi="en_US"/>
        </w:rPr>
        <w:t>And this will be a sign to you:</w:t>
      </w:r>
    </w:p>
    <w:p>
      <w:pPr>
        <w:pStyle w:val="ListBullet"/>
        <w:spacing w:line="240" w:lineRule="auto"/>
        <w:ind w:left="720"/>
      </w:pPr>
      <w:r>
        <w:rPr>
          <w:lang w:val="en_US" w:bidi="en_US"/>
        </w:rPr>
      </w:r>
      <w:r>
        <w:rPr>
          <w:lang w:val="en_US" w:bidi="en_US"/>
        </w:rPr>
        <w:t xml:space="preserve">Here is a sign to show/prove to you that </w:t>
      </w:r>
      <w:r>
        <w:rPr>
          <w:lang w:val="en_US" w:bidi="en_US"/>
        </w:rPr>
        <w:t>the baby you find is the Christ/Messiah</w:t>
      </w:r>
      <w:r>
        <w:rPr>
          <w:lang w:val="en_US" w:bidi="en_US"/>
        </w:rPr>
        <w:t>.</w:t>
      </w:r>
    </w:p>
    <w:p>
      <w:pPr>
        <w:pStyle w:val="ListBullet"/>
        <w:spacing w:line="240" w:lineRule="auto"/>
        <w:ind w:left="720"/>
      </w:pPr>
      <w:r>
        <w:rPr>
          <w:lang w:val="en_US" w:bidi="en_US"/>
        </w:rPr>
      </w:r>
      <w:r>
        <w:rPr>
          <w:lang w:val="en_US" w:bidi="en_US"/>
        </w:rPr>
        <w:t>You will see</w:t>
      </w:r>
      <w:r>
        <w:rPr>
          <w:lang w:val="en_US" w:bidi="en_US"/>
        </w:rPr>
        <w:t xml:space="preserve"> something </w:t>
      </w:r>
      <w:r>
        <w:rPr>
          <w:lang w:val="en_US" w:bidi="en_US"/>
        </w:rPr>
        <w:t>unusual</w:t>
      </w:r>
      <w:r>
        <w:rPr>
          <w:lang w:val="en_US" w:bidi="en_US"/>
        </w:rPr>
        <w:t xml:space="preserve"> that will verify that </w:t>
      </w:r>
      <w:r>
        <w:rPr>
          <w:lang w:val="en_US" w:bidi="en_US"/>
        </w:rPr>
        <w:t>he is the Christ/Deliverer and Lord</w:t>
      </w:r>
      <w:r>
        <w:rPr>
          <w:lang w:val="en_US" w:bidi="en_US"/>
        </w:rPr>
        <w:t>:</w:t>
      </w:r>
    </w:p>
    <w:p>
      <w:pPr/>
      <w:r>
        <w:rPr>
          <w:lang w:val="en_US" w:bidi="en_US"/>
        </w:rPr>
      </w:r>
      <w:r>
        <w:rPr>
          <w:b/>
          <w:lang w:val="en_US" w:bidi="en_US"/>
        </w:rPr>
        <w:t>And this will be a sign to you:</w:t>
      </w:r>
      <w:r>
        <w:rPr>
          <w:lang w:val="en_US" w:bidi="en_US"/>
        </w:rPr>
        <w:t xml:space="preserve"> The angel gave the shepherds a </w:t>
      </w:r>
      <w:r>
        <w:rPr>
          <w:i/>
          <w:lang w:val="en_US" w:bidi="en_US"/>
        </w:rPr>
        <w:t>sign</w:t>
      </w:r>
      <w:r>
        <w:rPr>
          <w:lang w:val="en_US" w:bidi="en_US"/>
        </w:rPr>
        <w:t xml:space="preserve"> to help them know that the baby was the Messiah. They needed a sign, because they would find the Messiah in an unusual place in humble conditions. Because it was so unusual to find a newborn baby in conditions such as those, the sign proved that the baby who had just been born in Bethlehem was Christ the Lord. Some ways to translate this are:</w:t>
      </w:r>
    </w:p>
    <w:p>
      <w:pPr/>
      <w:r>
        <w:rPr>
          <w:lang w:val="en_US" w:bidi="en_US"/>
        </w:rPr>
      </w:r>
      <w:r>
        <w:rPr>
          <w:vertAlign w:val="superscript"/>
          <w:lang w:val="en_US" w:bidi="en_US"/>
        </w:rPr>
        <w:t>11b</w:t>
      </w:r>
      <w:r>
        <w:rPr>
          <w:lang w:val="en_US" w:bidi="en_US"/>
        </w:rPr>
        <w:t xml:space="preserve">He is Christ, the Lord. </w:t>
      </w:r>
      <w:r>
        <w:rPr>
          <w:vertAlign w:val="superscript"/>
          <w:lang w:val="en_US" w:bidi="en_US"/>
        </w:rPr>
        <w:t>12a</w:t>
      </w:r>
      <w:r>
        <w:rPr>
          <w:lang w:val="en_US" w:bidi="en_US"/>
        </w:rPr>
        <w:t>Let this prove it to you: (JBP)</w:t>
      </w:r>
    </w:p>
    <w:p>
      <w:pPr/>
      <w:r>
        <w:rPr>
          <w:lang w:val="en_US" w:bidi="en_US"/>
        </w:rPr>
      </w:r>
      <w:r>
        <w:rPr>
          <w:lang w:val="en_US" w:bidi="en_US"/>
        </w:rPr>
        <w:t xml:space="preserve">Here is a sign </w:t>
      </w:r>
      <w:r>
        <w:rPr>
          <w:lang w:val="en_US" w:bidi="en_US"/>
        </w:rPr>
        <w:t>that he is Christ the Lord</w:t>
      </w:r>
      <w:r>
        <w:rPr>
          <w:lang w:val="en_US" w:bidi="en_US"/>
        </w:rPr>
        <w:t>.</w:t>
      </w:r>
    </w:p>
    <w:p>
      <w:pPr/>
      <w:r>
        <w:rPr>
          <w:lang w:val="en_US" w:bidi="en_US"/>
        </w:rPr>
      </w:r>
      <w:r>
        <w:rPr>
          <w:lang w:val="en_US" w:bidi="en_US"/>
        </w:rPr>
        <w:t xml:space="preserve">This will show that </w:t>
      </w:r>
      <w:r>
        <w:rPr>
          <w:lang w:val="en_US" w:bidi="en_US"/>
        </w:rPr>
        <w:t>he is Christ the Lord</w:t>
      </w:r>
      <w:r>
        <w:rPr>
          <w:lang w:val="en_US" w:bidi="en_US"/>
        </w:rPr>
        <w:t>.</w:t>
      </w:r>
    </w:p>
    <w:p>
      <w:pPr/>
      <w:r>
        <w:rPr>
          <w:lang w:val="en_US" w:bidi="en_US"/>
        </w:rPr>
      </w:r>
      <w:r>
        <w:rPr>
          <w:b/>
          <w:lang w:val="en_US" w:bidi="en_US"/>
        </w:rPr>
        <w:t>And this:</w:t>
      </w:r>
      <w:r>
        <w:rPr>
          <w:lang w:val="en_US" w:bidi="en_US"/>
        </w:rPr>
        <w:t xml:space="preserve"> The word </w:t>
      </w:r>
      <w:r>
        <w:rPr>
          <w:i/>
          <w:lang w:val="en_US" w:bidi="en_US"/>
        </w:rPr>
        <w:t>this</w:t>
      </w:r>
      <w:r>
        <w:rPr>
          <w:lang w:val="en_US" w:bidi="en_US"/>
        </w:rPr>
        <w:t xml:space="preserve"> refers to what the angel was about to tell the shepherds in 2:12b–c, that the shepherds would find Christ wrapped in cloths and lying in a manger.</w:t>
      </w:r>
    </w:p>
    <w:p>
      <w:pPr/>
      <w:r>
        <w:rPr>
          <w:lang w:val="en_US" w:bidi="en_US"/>
        </w:rPr>
      </w:r>
      <w:r>
        <w:rPr>
          <w:b/>
          <w:lang w:val="en_US" w:bidi="en_US"/>
        </w:rPr>
        <w:t>a sign:</w:t>
      </w:r>
      <w:r>
        <w:rPr>
          <w:lang w:val="en_US" w:bidi="en_US"/>
        </w:rPr>
        <w:t xml:space="preserve"> The Greek word that the BSB translates as </w:t>
      </w:r>
      <w:r>
        <w:rPr>
          <w:i/>
          <w:lang w:val="en_US" w:bidi="en_US"/>
        </w:rPr>
        <w:t>sign</w:t>
      </w:r>
      <w:r>
        <w:rPr>
          <w:lang w:val="en_US" w:bidi="en_US"/>
        </w:rPr>
        <w:t xml:space="preserve"> refers to an unusual event/miracle that has a meaning or proves that something is true. In this context, it is unusual to find any baby lying in a manger, especially the Messiah!</w:t>
      </w:r>
      <w:r>
        <w:rPr>
          <w:lang w:val="en_US" w:bidi="en_US"/>
        </w:rPr>
        <w:t>It is also likely that the clothes with which Jesus was wrapped were not of the same quality that one would expect for the Messiah. But they would not be unusual for a child of more humble birth. By telling them this sign ahead of time, the angel (and hence God) took the unexpectedly humble circumstances that may have confused the shepherds when they found the baby and instead offered it as a proof that he was the Messiah.</w:t>
      </w:r>
      <w:r>
        <w:rPr>
          <w:lang w:val="en_US" w:bidi="en_US"/>
        </w:rPr>
        <w:t xml:space="preserve"> The angel gave this as proof that the baby, Jesus, was Christ the Lord.</w:t>
      </w:r>
    </w:p>
    <w:p>
      <w:pPr>
        <w:pStyle w:val="Heading5"/>
      </w:pPr>
      <w:r>
        <w:rPr>
          <w:lang w:val="en_US" w:bidi="en_US"/>
        </w:rPr>
        <w:t>2:12b</w:t>
      </w:r>
    </w:p>
    <w:p>
      <w:pPr/>
      <w:r>
        <w:rPr>
          <w:lang w:val="en_US" w:bidi="en_US"/>
        </w:rPr>
      </w:r>
      <w:r>
        <w:rPr>
          <w:b/>
          <w:lang w:val="en_US" w:bidi="en_US"/>
        </w:rPr>
        <w:t>You will find a baby wrapped in swaddling cloths</w:t>
      </w:r>
    </w:p>
    <w:p>
      <w:pPr>
        <w:pStyle w:val="ListBullet"/>
        <w:spacing w:line="240" w:lineRule="auto"/>
        <w:ind w:left="720"/>
      </w:pPr>
      <w:r>
        <w:rPr>
          <w:lang w:val="en_US" w:bidi="en_US"/>
        </w:rPr>
      </w:r>
      <w:r>
        <w:rPr>
          <w:lang w:val="en_US" w:bidi="en_US"/>
        </w:rPr>
        <w:t xml:space="preserve">You will find </w:t>
      </w:r>
      <w:r>
        <w:rPr>
          <w:lang w:val="en_US" w:bidi="en_US"/>
        </w:rPr>
        <w:t>this</w:t>
      </w:r>
      <w:r>
        <w:rPr>
          <w:lang w:val="en_US" w:bidi="en_US"/>
        </w:rPr>
        <w:t xml:space="preserve"> baby wrapped in </w:t>
      </w:r>
      <w:r>
        <w:rPr>
          <w:lang w:val="en_US" w:bidi="en_US"/>
        </w:rPr>
        <w:t>strips of</w:t>
      </w:r>
      <w:r>
        <w:rPr>
          <w:lang w:val="en_US" w:bidi="en_US"/>
        </w:rPr>
        <w:t xml:space="preserve"> cloth</w:t>
      </w:r>
    </w:p>
    <w:p>
      <w:pPr>
        <w:pStyle w:val="ListBullet"/>
        <w:spacing w:line="240" w:lineRule="auto"/>
        <w:ind w:left="720"/>
      </w:pPr>
      <w:r>
        <w:rPr>
          <w:lang w:val="en_US" w:bidi="en_US"/>
        </w:rPr>
      </w:r>
      <w:r>
        <w:rPr>
          <w:lang w:val="en_US" w:bidi="en_US"/>
        </w:rPr>
        <w:t xml:space="preserve">You will find a baby </w:t>
      </w:r>
      <w:r>
        <w:rPr>
          <w:lang w:val="en_US" w:bidi="en_US"/>
        </w:rPr>
        <w:t>whose mother</w:t>
      </w:r>
      <w:r>
        <w:rPr>
          <w:lang w:val="en_US" w:bidi="en_US"/>
        </w:rPr>
        <w:t xml:space="preserve"> has wrapped him in </w:t>
      </w:r>
      <w:r>
        <w:rPr>
          <w:lang w:val="en_US" w:bidi="en_US"/>
        </w:rPr>
        <w:t>pieces of</w:t>
      </w:r>
      <w:r>
        <w:rPr>
          <w:lang w:val="en_US" w:bidi="en_US"/>
        </w:rPr>
        <w:t xml:space="preserve"> cloth.</w:t>
      </w:r>
    </w:p>
    <w:p>
      <w:pPr/>
      <w:r>
        <w:rPr>
          <w:lang w:val="en_US" w:bidi="en_US"/>
        </w:rPr>
      </w:r>
      <w:r>
        <w:rPr>
          <w:b/>
          <w:lang w:val="en_US" w:bidi="en_US"/>
        </w:rPr>
        <w:t>You will find a baby:</w:t>
      </w:r>
      <w:r>
        <w:rPr>
          <w:lang w:val="en_US" w:bidi="en_US"/>
        </w:rPr>
        <w:t xml:space="preserve"> The clause </w:t>
      </w:r>
      <w:r>
        <w:rPr>
          <w:i/>
          <w:lang w:val="en_US" w:bidi="en_US"/>
        </w:rPr>
        <w:t>You will find a baby</w:t>
      </w:r>
      <w:r>
        <w:rPr>
          <w:lang w:val="en_US" w:bidi="en_US"/>
        </w:rPr>
        <w:t xml:space="preserve"> implies that the shepherds would first have to search for a baby. They would not accidentally find him.</w:t>
      </w:r>
    </w:p>
    <w:p>
      <w:pPr/>
      <w:r>
        <w:rPr>
          <w:lang w:val="en_US" w:bidi="en_US"/>
        </w:rPr>
      </w:r>
      <w:r>
        <w:rPr>
          <w:b/>
          <w:lang w:val="en_US" w:bidi="en_US"/>
        </w:rPr>
        <w:t>wrapped in swaddling cloths:</w:t>
      </w:r>
      <w:r>
        <w:rPr>
          <w:lang w:val="en_US" w:bidi="en_US"/>
        </w:rPr>
        <w:t xml:space="preserve"> The phrase </w:t>
      </w:r>
      <w:r>
        <w:rPr>
          <w:i/>
          <w:lang w:val="en_US" w:bidi="en_US"/>
        </w:rPr>
        <w:t>wrapped in swaddling cloths</w:t>
      </w:r>
      <w:r>
        <w:rPr>
          <w:lang w:val="en_US" w:bidi="en_US"/>
        </w:rPr>
        <w:t xml:space="preserve"> is the same expression as in 2:7a. It was a Jewish custom to wrap newborn babies in strips of cloth. This kept them warm, and it also kept their arms and legs straight.</w:t>
      </w:r>
    </w:p>
    <w:p>
      <w:pPr/>
      <w:r>
        <w:rPr>
          <w:lang w:val="en_US" w:bidi="en_US"/>
        </w:rPr>
      </w:r>
      <w:r>
        <w:rPr>
          <w:lang w:val="en_US" w:bidi="en_US"/>
        </w:rPr>
        <w:t>If your language requires you to say who wrapped the baby in cloths, you may say that his mother did. For example:</w:t>
      </w:r>
    </w:p>
    <w:p>
      <w:pPr/>
      <w:r>
        <w:rPr>
          <w:lang w:val="en_US" w:bidi="en_US"/>
        </w:rPr>
      </w:r>
      <w:r>
        <w:rPr>
          <w:lang w:val="en_US" w:bidi="en_US"/>
        </w:rPr>
        <w:t xml:space="preserve">You will find a baby </w:t>
      </w:r>
      <w:r>
        <w:rPr>
          <w:lang w:val="en_US" w:bidi="en_US"/>
        </w:rPr>
        <w:t>whose mother</w:t>
      </w:r>
      <w:r>
        <w:rPr>
          <w:lang w:val="en_US" w:bidi="en_US"/>
        </w:rPr>
        <w:t xml:space="preserve"> has wrapped </w:t>
      </w:r>
      <w:r>
        <w:rPr>
          <w:lang w:val="en_US" w:bidi="en_US"/>
        </w:rPr>
        <w:t>him</w:t>
      </w:r>
      <w:r>
        <w:rPr>
          <w:lang w:val="en_US" w:bidi="en_US"/>
        </w:rPr>
        <w:t xml:space="preserve"> in cloths.</w:t>
      </w:r>
    </w:p>
    <w:p>
      <w:pPr>
        <w:pStyle w:val="Heading5"/>
      </w:pPr>
      <w:r>
        <w:rPr>
          <w:lang w:val="en_US" w:bidi="en_US"/>
        </w:rPr>
        <w:t>2:12c</w:t>
      </w:r>
    </w:p>
    <w:p>
      <w:pPr/>
      <w:r>
        <w:rPr>
          <w:lang w:val="en_US" w:bidi="en_US"/>
        </w:rPr>
      </w:r>
      <w:r>
        <w:rPr>
          <w:b/>
          <w:lang w:val="en_US" w:bidi="en_US"/>
        </w:rPr>
        <w:t>and lying in a manger.”</w:t>
      </w:r>
    </w:p>
    <w:p>
      <w:pPr>
        <w:pStyle w:val="ListBullet"/>
        <w:spacing w:line="240" w:lineRule="auto"/>
        <w:ind w:left="720"/>
      </w:pPr>
      <w:r>
        <w:rPr>
          <w:lang w:val="en_US" w:bidi="en_US"/>
        </w:rPr>
      </w:r>
      <w:r>
        <w:rPr>
          <w:lang w:val="en_US" w:bidi="en_US"/>
        </w:rPr>
        <w:t>and lying in a feeding box for animals.”</w:t>
      </w:r>
    </w:p>
    <w:p>
      <w:pPr>
        <w:pStyle w:val="ListBullet"/>
        <w:spacing w:line="240" w:lineRule="auto"/>
        <w:ind w:left="720"/>
      </w:pPr>
      <w:r>
        <w:rPr>
          <w:lang w:val="en_US" w:bidi="en_US"/>
        </w:rPr>
      </w:r>
      <w:r>
        <w:rPr>
          <w:lang w:val="en_US" w:bidi="en_US"/>
        </w:rPr>
        <w:t>He will be</w:t>
      </w:r>
      <w:r>
        <w:rPr>
          <w:lang w:val="en_US" w:bidi="en_US"/>
        </w:rPr>
        <w:t xml:space="preserve"> lying in a box from which animals eat </w:t>
      </w:r>
      <w:r>
        <w:rPr>
          <w:lang w:val="en_US" w:bidi="en_US"/>
        </w:rPr>
        <w:t>their food</w:t>
      </w:r>
      <w:r>
        <w:rPr>
          <w:lang w:val="en_US" w:bidi="en_US"/>
        </w:rPr>
        <w:t>.”</w:t>
      </w:r>
    </w:p>
    <w:p>
      <w:pPr/>
      <w:r>
        <w:rPr>
          <w:lang w:val="en_US" w:bidi="en_US"/>
        </w:rPr>
      </w:r>
      <w:r>
        <w:rPr>
          <w:b/>
          <w:lang w:val="en_US" w:bidi="en_US"/>
        </w:rPr>
        <w:t>manger:</w:t>
      </w:r>
      <w:r>
        <w:rPr>
          <w:lang w:val="en_US" w:bidi="en_US"/>
        </w:rPr>
        <w:t xml:space="preserve"> A </w:t>
      </w:r>
      <w:r>
        <w:rPr>
          <w:i/>
          <w:lang w:val="en_US" w:bidi="en_US"/>
        </w:rPr>
        <w:t>manger</w:t>
      </w:r>
      <w:r>
        <w:rPr>
          <w:lang w:val="en_US" w:bidi="en_US"/>
        </w:rPr>
        <w:t xml:space="preserve"> was a feeding box or trough for animals, especially for large animals such as cattle and horses. People made this feeding box out of wood or stone. The word </w:t>
      </w:r>
      <w:r>
        <w:rPr>
          <w:i/>
          <w:lang w:val="en_US" w:bidi="en_US"/>
        </w:rPr>
        <w:t>manger</w:t>
      </w:r>
      <w:r>
        <w:rPr>
          <w:lang w:val="en_US" w:bidi="en_US"/>
        </w:rPr>
        <w:t xml:space="preserve"> also occurs in 2:7c.</w:t>
      </w:r>
      <w:r>
        <w:rPr>
          <w:lang w:val="en_US" w:bidi="en_US"/>
        </w:rPr>
      </w:r>
      <w:r>
        <w:rPr>
          <w:lang w:val="en_US" w:bidi="en_US"/>
        </w:rPr>
      </w:r>
    </w:p>
    <w:p>
      <w:pPr/>
      <w:r>
        <w:rPr>
          <w:lang w:val="en_US" w:bidi="en_US"/>
        </w:rPr>
      </w:r>
    </w:p>
    <w:p>
      <w:pPr>
        <w:pStyle w:val="Heading2"/>
      </w:pPr>
      <w:r>
        <w:rPr>
          <w:lang w:val="en_US" w:bidi="en_US"/>
        </w:rPr>
        <w:t>Luke 2:13</w:t>
      </w:r>
      <w:r>
        <w:rPr>
          <w:lang w:val="en_US" w:bidi="en_US"/>
        </w:rPr>
      </w:r>
    </w:p>
    <w:p>
      <w:pPr>
        <w:pStyle w:val="Heading4"/>
      </w:pPr>
      <w:r>
        <w:rPr>
          <w:lang w:val="en_US" w:bidi="en_US"/>
        </w:rPr>
        <w:t>Section 2:8–20: Angels announced to shepherds that the Savior was born</w:t>
      </w:r>
    </w:p>
    <w:p>
      <w:pPr/>
      <w:r>
        <w:rPr>
          <w:lang w:val="en_US" w:bidi="en_US"/>
        </w:rPr>
      </w:r>
      <w:r>
        <w:rPr>
          <w:lang w:val="en_US" w:bidi="en_US"/>
        </w:rP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Angels tell shepherds about Jesus’ birth and the shepherds visit him</w:t>
      </w:r>
    </w:p>
    <w:p>
      <w:pPr/>
      <w:r>
        <w:rPr>
          <w:lang w:val="en_US" w:bidi="en_US"/>
        </w:rPr>
      </w:r>
      <w:r>
        <w:rPr>
          <w:lang w:val="en_US" w:bidi="en_US"/>
        </w:rPr>
        <w:t>The Shepherds and the Angels (GNT)</w:t>
      </w:r>
    </w:p>
    <w:p>
      <w:pPr>
        <w:pStyle w:val="Heading5"/>
      </w:pPr>
      <w:r>
        <w:rPr>
          <w:lang w:val="en_US" w:bidi="en_US"/>
        </w:rPr>
        <w:t>2:13a</w:t>
      </w:r>
    </w:p>
    <w:p>
      <w:pPr/>
      <w:r>
        <w:rPr>
          <w:lang w:val="en_US" w:bidi="en_US"/>
        </w:rPr>
      </w:r>
      <w:r>
        <w:rPr>
          <w:b/>
          <w:lang w:val="en_US" w:bidi="en_US"/>
        </w:rPr>
        <w:t>And suddenly there appeared with the angel a great multitude of the heavenly host,</w:t>
      </w:r>
    </w:p>
    <w:p>
      <w:pPr>
        <w:pStyle w:val="ListBullet"/>
        <w:spacing w:line="240" w:lineRule="auto"/>
        <w:ind w:left="720"/>
      </w:pPr>
      <w:r>
        <w:rPr>
          <w:lang w:val="en_US" w:bidi="en_US"/>
        </w:rPr>
      </w:r>
      <w:r>
        <w:rPr>
          <w:lang w:val="en_US" w:bidi="en_US"/>
        </w:rPr>
        <w:t xml:space="preserve">¶ Suddenly, a very large group of angels appeared there with the </w:t>
      </w:r>
      <w:r>
        <w:rPr>
          <w:lang w:val="en_US" w:bidi="en_US"/>
        </w:rPr>
        <w:t>first</w:t>
      </w:r>
      <w:r>
        <w:rPr>
          <w:lang w:val="en_US" w:bidi="en_US"/>
        </w:rPr>
        <w:t xml:space="preserve"> angel.</w:t>
      </w:r>
    </w:p>
    <w:p>
      <w:pPr>
        <w:pStyle w:val="ListBullet"/>
        <w:spacing w:line="240" w:lineRule="auto"/>
        <w:ind w:left="720"/>
      </w:pPr>
      <w:r>
        <w:rPr>
          <w:lang w:val="en_US" w:bidi="en_US"/>
        </w:rPr>
      </w:r>
      <w:r>
        <w:rPr>
          <w:lang w:val="en_US" w:bidi="en_US"/>
        </w:rPr>
        <w:t xml:space="preserve">¶ A great number of angels from heaven were suddenly there </w:t>
      </w:r>
      <w:r>
        <w:rPr>
          <w:lang w:val="en_US" w:bidi="en_US"/>
        </w:rPr>
        <w:t>together</w:t>
      </w:r>
      <w:r>
        <w:rPr>
          <w:lang w:val="en_US" w:bidi="en_US"/>
        </w:rPr>
        <w:t xml:space="preserve"> with the </w:t>
      </w:r>
      <w:r>
        <w:rPr>
          <w:lang w:val="en_US" w:bidi="en_US"/>
        </w:rPr>
        <w:t>other</w:t>
      </w:r>
      <w:r>
        <w:rPr>
          <w:lang w:val="en_US" w:bidi="en_US"/>
        </w:rPr>
        <w:t xml:space="preserve"> angel.</w:t>
      </w:r>
    </w:p>
    <w:p>
      <w:pPr>
        <w:pStyle w:val="ListBullet"/>
        <w:spacing w:line="240" w:lineRule="auto"/>
        <w:ind w:left="720"/>
      </w:pPr>
      <w:r>
        <w:rPr>
          <w:lang w:val="en_US" w:bidi="en_US"/>
        </w:rPr>
      </w:r>
      <w:r>
        <w:rPr>
          <w:lang w:val="en_US" w:bidi="en_US"/>
        </w:rPr>
        <w:t>¶ Then a very large group of angels from heaven joined the first angel. (NCV)</w:t>
      </w:r>
    </w:p>
    <w:p>
      <w:pPr/>
      <w:r>
        <w:rPr>
          <w:lang w:val="en_US" w:bidi="en_US"/>
        </w:rPr>
      </w:r>
      <w:r>
        <w:rPr>
          <w:b/>
          <w:lang w:val="en_US" w:bidi="en_US"/>
        </w:rPr>
        <w:t>And suddenly there appeared with the angel a great multitude of the heavenly host:</w:t>
      </w:r>
      <w:r>
        <w:rPr>
          <w:lang w:val="en_US" w:bidi="en_US"/>
        </w:rPr>
        <w:t xml:space="preserve"> This clause indicates that immediately after the angel said the words in 2:12, many other angels from heaven were there with him. They suddenly joined the angel there. Other ways to say this are:</w:t>
      </w:r>
    </w:p>
    <w:p>
      <w:pPr/>
      <w:r>
        <w:rPr>
          <w:lang w:val="en_US" w:bidi="en_US"/>
        </w:rPr>
      </w:r>
      <w:r>
        <w:rPr>
          <w:lang w:val="en_US" w:bidi="en_US"/>
        </w:rPr>
        <w:t>Suddenly, the angel was joined by a vast host of others—the armies of heaven (NLT)</w:t>
      </w:r>
    </w:p>
    <w:p>
      <w:pPr/>
      <w:r>
        <w:rPr>
          <w:lang w:val="en_US" w:bidi="en_US"/>
        </w:rPr>
      </w:r>
      <w:r>
        <w:rPr>
          <w:lang w:val="en_US" w:bidi="en_US"/>
        </w:rPr>
        <w:t>All at once there was with the angel a great company of the heavenly host (REB)</w:t>
      </w:r>
    </w:p>
    <w:p>
      <w:pPr/>
      <w:r>
        <w:rPr>
          <w:lang w:val="en_US" w:bidi="en_US"/>
        </w:rPr>
      </w:r>
      <w:r>
        <w:rPr>
          <w:b/>
          <w:lang w:val="en_US" w:bidi="en_US"/>
        </w:rPr>
        <w:t>a great multitude of the heavenly host:</w:t>
      </w:r>
      <w:r>
        <w:rPr>
          <w:lang w:val="en_US" w:bidi="en_US"/>
        </w:rPr>
        <w:t xml:space="preserve"> The Greek word that the BSB translates as </w:t>
      </w:r>
      <w:r>
        <w:rPr>
          <w:i/>
          <w:lang w:val="en_US" w:bidi="en_US"/>
        </w:rPr>
        <w:t>a great multitude</w:t>
      </w:r>
      <w:r>
        <w:rPr>
          <w:lang w:val="en_US" w:bidi="en_US"/>
        </w:rPr>
        <w:t xml:space="preserve"> means “a very large group.” It describes the phrase </w:t>
      </w:r>
      <w:r>
        <w:rPr>
          <w:i/>
          <w:lang w:val="en_US" w:bidi="en_US"/>
        </w:rPr>
        <w:t>heavenly host</w:t>
      </w:r>
      <w:r>
        <w:rPr>
          <w:lang w:val="en_US" w:bidi="en_US"/>
        </w:rPr>
        <w:t>, which is used as an idiom in this context. It literally means “the army of heaven.” For example:</w:t>
      </w:r>
    </w:p>
    <w:p>
      <w:pPr/>
      <w:r>
        <w:rPr>
          <w:lang w:val="en_US" w:bidi="en_US"/>
        </w:rPr>
      </w:r>
      <w:r>
        <w:rPr>
          <w:lang w:val="en_US" w:bidi="en_US"/>
        </w:rPr>
        <w:t>a great army of heaven’s angels (GNT)</w:t>
      </w:r>
    </w:p>
    <w:p>
      <w:pPr/>
      <w:r>
        <w:rPr>
          <w:lang w:val="en_US" w:bidi="en_US"/>
        </w:rPr>
      </w:r>
      <w:r>
        <w:rPr>
          <w:lang w:val="en_US" w:bidi="en_US"/>
        </w:rPr>
        <w:t xml:space="preserve">However, in this context the word “army” simply indicates that there were many angels, as in an army. Luke was not using the phrase in a military sense. Here is another way to translate </w:t>
      </w:r>
      <w:r>
        <w:rPr>
          <w:i/>
          <w:lang w:val="en_US" w:bidi="en_US"/>
        </w:rPr>
        <w:t>a great multitude of the heavenly host</w:t>
      </w:r>
      <w:r>
        <w:rPr>
          <w:lang w:val="en_US" w:bidi="en_US"/>
        </w:rPr>
        <w:t>:</w:t>
      </w:r>
    </w:p>
    <w:p>
      <w:pPr/>
      <w:r>
        <w:rPr>
          <w:lang w:val="en_US" w:bidi="en_US"/>
        </w:rPr>
      </w:r>
      <w:r>
        <w:rPr>
          <w:lang w:val="en_US" w:bidi="en_US"/>
        </w:rPr>
        <w:t>a very large group of angels from heaven (NCV)</w:t>
      </w:r>
    </w:p>
    <w:p>
      <w:pPr>
        <w:pStyle w:val="Heading5"/>
      </w:pPr>
      <w:r>
        <w:rPr>
          <w:lang w:val="en_US" w:bidi="en_US"/>
        </w:rPr>
        <w:t>2:13b</w:t>
      </w:r>
    </w:p>
    <w:p>
      <w:pPr/>
      <w:r>
        <w:rPr>
          <w:lang w:val="en_US" w:bidi="en_US"/>
        </w:rPr>
      </w:r>
      <w:r>
        <w:rPr>
          <w:b/>
          <w:lang w:val="en_US" w:bidi="en_US"/>
        </w:rPr>
        <w:t>praising God and saying:</w:t>
      </w:r>
    </w:p>
    <w:p>
      <w:pPr>
        <w:pStyle w:val="ListBullet"/>
        <w:spacing w:line="240" w:lineRule="auto"/>
        <w:ind w:left="720"/>
      </w:pPr>
      <w:r>
        <w:rPr>
          <w:lang w:val="en_US" w:bidi="en_US"/>
        </w:rPr>
      </w:r>
      <w:r>
        <w:rPr>
          <w:lang w:val="en_US" w:bidi="en_US"/>
        </w:rPr>
        <w:t>They were</w:t>
      </w:r>
      <w:r>
        <w:rPr>
          <w:lang w:val="en_US" w:bidi="en_US"/>
        </w:rPr>
        <w:t xml:space="preserve"> praising God by saying,</w:t>
      </w:r>
    </w:p>
    <w:p>
      <w:pPr>
        <w:pStyle w:val="ListBullet"/>
        <w:spacing w:line="240" w:lineRule="auto"/>
        <w:ind w:left="720"/>
      </w:pPr>
      <w:r>
        <w:rPr>
          <w:lang w:val="en_US" w:bidi="en_US"/>
        </w:rPr>
      </w:r>
      <w:r>
        <w:rPr>
          <w:lang w:val="en_US" w:bidi="en_US"/>
        </w:rPr>
        <w:t>All of them were</w:t>
      </w:r>
      <w:r>
        <w:rPr>
          <w:lang w:val="en_US" w:bidi="en_US"/>
        </w:rPr>
        <w:t xml:space="preserve"> saying good things about God. They said,</w:t>
      </w:r>
    </w:p>
    <w:p>
      <w:pPr/>
      <w:r>
        <w:rPr>
          <w:lang w:val="en_US" w:bidi="en_US"/>
        </w:rPr>
      </w:r>
      <w:r>
        <w:rPr>
          <w:b/>
          <w:lang w:val="en_US" w:bidi="en_US"/>
        </w:rPr>
        <w:t>praising God and saying:</w:t>
      </w:r>
      <w:r>
        <w:rPr>
          <w:lang w:val="en_US" w:bidi="en_US"/>
        </w:rPr>
        <w:t xml:space="preserve"> When the angels appeared, they were </w:t>
      </w:r>
      <w:r>
        <w:rPr>
          <w:i/>
          <w:lang w:val="en_US" w:bidi="en_US"/>
        </w:rPr>
        <w:t>praising God</w:t>
      </w:r>
      <w:r>
        <w:rPr>
          <w:lang w:val="en_US" w:bidi="en_US"/>
        </w:rPr>
        <w:t xml:space="preserve"> for Jesus’ birth. The verb </w:t>
      </w:r>
      <w:r>
        <w:rPr>
          <w:i/>
          <w:lang w:val="en_US" w:bidi="en_US"/>
        </w:rPr>
        <w:t>saying</w:t>
      </w:r>
      <w:r>
        <w:rPr>
          <w:lang w:val="en_US" w:bidi="en_US"/>
        </w:rPr>
        <w:t xml:space="preserve"> introduces what the angels said to praise God. Some ways to show this are:</w:t>
      </w:r>
    </w:p>
    <w:p>
      <w:pPr/>
      <w:r>
        <w:rPr>
          <w:lang w:val="en_US" w:bidi="en_US"/>
        </w:rPr>
      </w:r>
      <w:r>
        <w:rPr>
          <w:lang w:val="en_US" w:bidi="en_US"/>
        </w:rPr>
        <w:t>praising God by saying (GW)</w:t>
      </w:r>
    </w:p>
    <w:p>
      <w:pPr/>
      <w:r>
        <w:rPr>
          <w:lang w:val="en_US" w:bidi="en_US"/>
        </w:rPr>
      </w:r>
      <w:r>
        <w:rPr>
          <w:lang w:val="en_US" w:bidi="en_US"/>
        </w:rPr>
        <w:t>praising God. They said (CEV)</w:t>
      </w:r>
    </w:p>
    <w:p>
      <w:pPr/>
      <w:r>
        <w:rPr>
          <w:lang w:val="en_US" w:bidi="en_US"/>
        </w:rPr>
      </w:r>
      <w:r>
        <w:rPr>
          <w:b/>
          <w:lang w:val="en_US" w:bidi="en_US"/>
        </w:rPr>
        <w:t>praising God:</w:t>
      </w:r>
      <w:r>
        <w:rPr>
          <w:lang w:val="en_US" w:bidi="en_US"/>
        </w:rPr>
        <w:t xml:space="preserve"> The Greek phrase that the BSB translates as praising God means “to express approval of God, to speak well of God.” In some languages there may be an idiom to express this. It would be good to use an expression that fits with what the angels said in 2:14.</w:t>
      </w:r>
    </w:p>
    <w:p>
      <w:pPr/>
      <w:r>
        <w:rPr>
          <w:lang w:val="en_US" w:bidi="en_US"/>
        </w:rPr>
      </w:r>
      <w:r>
        <w:rPr>
          <w:b/>
          <w:lang w:val="en_US" w:bidi="en_US"/>
        </w:rPr>
        <w:t>God:</w:t>
      </w:r>
      <w:r>
        <w:rPr>
          <w:lang w:val="en_US" w:bidi="en_US"/>
        </w:rPr>
        <w:t xml:space="preserve"> The Greek word that the BSB translates as </w:t>
      </w:r>
      <w:r>
        <w:rPr>
          <w:i/>
          <w:lang w:val="en_US" w:bidi="en_US"/>
        </w:rPr>
        <w:t>God</w:t>
      </w:r>
      <w:r>
        <w:rPr>
          <w:lang w:val="en_US" w:bidi="en_US"/>
        </w:rPr>
        <w:t xml:space="preserve"> refers here to the eternal spirit who created everything. He is more powerful than any other spirit, and he is perfectly good and wise. In many languages there will already be an established term for God. If that is not true in your language, here are some ways to translate </w:t>
      </w:r>
      <w:r>
        <w:rPr>
          <w:i/>
          <w:lang w:val="en_US" w:bidi="en_US"/>
        </w:rPr>
        <w:t>God</w:t>
      </w:r>
      <w:r>
        <w:rPr>
          <w:lang w:val="en_US" w:bidi="en_US"/>
        </w:rPr>
        <w:t>:</w:t>
      </w:r>
    </w:p>
    <w:p>
      <w:pPr>
        <w:pStyle w:val="ListBullet"/>
        <w:spacing w:line="240" w:lineRule="auto"/>
        <w:ind w:left="720"/>
      </w:pPr>
      <w:r>
        <w:rPr>
          <w:lang w:val="en_US" w:bidi="en_US"/>
        </w:rPr>
      </w:r>
      <w:r>
        <w:rPr>
          <w:lang w:val="en_US" w:bidi="en_US"/>
        </w:rPr>
        <w:t xml:space="preserve">Use a name or title for </w:t>
      </w:r>
      <w:r>
        <w:rPr>
          <w:i/>
          <w:lang w:val="en_US" w:bidi="en_US"/>
        </w:rPr>
        <w:t>God</w:t>
      </w:r>
      <w:r>
        <w:rPr>
          <w:lang w:val="en_US" w:bidi="en_US"/>
        </w:rPr>
        <w:t xml:space="preserve"> that people in your culture already use.</w:t>
      </w:r>
    </w:p>
    <w:p>
      <w:pPr>
        <w:pStyle w:val="ListBullet"/>
        <w:spacing w:line="240" w:lineRule="auto"/>
        <w:ind w:left="720"/>
      </w:pPr>
      <w:r>
        <w:rPr>
          <w:lang w:val="en_US" w:bidi="en_US"/>
        </w:rPr>
      </w:r>
      <w:r>
        <w:rPr>
          <w:lang w:val="en_US" w:bidi="en_US"/>
        </w:rPr>
        <w:t>Use a descriptive term that fits the truth about God that is revealed in the Bible. For example:</w:t>
      </w:r>
      <w:r>
        <w:rPr>
          <w:lang w:val="en_US" w:bidi="en_US"/>
        </w:rPr>
        <w:t>Creator</w:t>
      </w:r>
      <w:r>
        <w:rPr>
          <w:lang w:val="en_US" w:bidi="en_US"/>
        </w:rPr>
        <w:t>Great Spirit</w:t>
      </w:r>
      <w:r>
        <w:rPr>
          <w:lang w:val="en_US" w:bidi="en_US"/>
        </w:rPr>
        <w:t>Ruler of the universe</w:t>
      </w:r>
    </w:p>
    <w:p>
      <w:pPr>
        <w:pStyle w:val="ListBullet"/>
        <w:spacing w:line="240" w:lineRule="auto"/>
        <w:ind w:left="720"/>
      </w:pPr>
      <w:r>
        <w:rPr>
          <w:lang w:val="en_US" w:bidi="en_US"/>
        </w:rPr>
      </w:r>
      <w:r>
        <w:rPr>
          <w:lang w:val="en_US" w:bidi="en_US"/>
        </w:rPr>
        <w:t>Use a borrowed word from the national or trade language Bible.</w:t>
      </w:r>
    </w:p>
    <w:p>
      <w:pPr/>
      <w:r>
        <w:rPr>
          <w:lang w:val="en_US" w:bidi="en_US"/>
        </w:rPr>
      </w:r>
      <w:r>
        <w:rPr>
          <w:lang w:val="en_US" w:bidi="en_US"/>
        </w:rPr>
        <w:t>Choose a term that is acceptable to the believers and churches in your area. For more detailed information, see God in the Glossary.</w:t>
      </w:r>
    </w:p>
    <w:p>
      <w:pPr/>
      <w:r>
        <w:rPr>
          <w:lang w:val="en_US" w:bidi="en_US"/>
        </w:rPr>
      </w:r>
      <w:r>
        <w:rPr>
          <w:b/>
          <w:lang w:val="en_US" w:bidi="en_US"/>
        </w:rPr>
        <w:t>saying:</w:t>
      </w:r>
      <w:r>
        <w:rPr>
          <w:lang w:val="en_US" w:bidi="en_US"/>
        </w:rPr>
        <w:t xml:space="preserve"> The Greek verb that the BSB translates literally as </w:t>
      </w:r>
      <w:r>
        <w:rPr>
          <w:i/>
          <w:lang w:val="en_US" w:bidi="en_US"/>
        </w:rPr>
        <w:t>saying</w:t>
      </w:r>
      <w:r>
        <w:rPr>
          <w:lang w:val="en_US" w:bidi="en_US"/>
        </w:rPr>
        <w:t xml:space="preserve"> introduces the words that the angels used to praise God. These words are arranged in the form of a poem, and some English versions translate the verb as “sang” (GNT, REB). The Greek verb itself does not indicate that the angels sang the words. However, it also does not indicate that they did not sing them. There are two ways to translate the verb here:</w:t>
      </w:r>
    </w:p>
    <w:p>
      <w:pPr>
        <w:pStyle w:val="ListBullet"/>
        <w:spacing w:line="240" w:lineRule="auto"/>
        <w:ind w:left="720"/>
      </w:pPr>
      <w:r>
        <w:rPr>
          <w:lang w:val="en_US" w:bidi="en_US"/>
        </w:rPr>
      </w:r>
      <w:r>
        <w:rPr>
          <w:lang w:val="en_US" w:bidi="en_US"/>
        </w:rPr>
        <w:t>Use a general word such as “say.”</w:t>
      </w:r>
    </w:p>
    <w:p>
      <w:pPr>
        <w:pStyle w:val="ListBullet"/>
        <w:spacing w:line="240" w:lineRule="auto"/>
        <w:ind w:left="720"/>
      </w:pPr>
      <w:r>
        <w:rPr>
          <w:lang w:val="en_US" w:bidi="en_US"/>
        </w:rPr>
      </w:r>
      <w:r>
        <w:rPr>
          <w:lang w:val="en_US" w:bidi="en_US"/>
        </w:rPr>
        <w:t>Use a more specific word in your language that describes what the angels said.</w:t>
      </w:r>
      <w:r>
        <w:rPr>
          <w:lang w:val="en_US" w:bidi="en_US"/>
        </w:rPr>
      </w:r>
      <w:r>
        <w:rPr>
          <w:lang w:val="en_US" w:bidi="en_US"/>
        </w:rPr>
      </w:r>
    </w:p>
    <w:p>
      <w:pPr/>
      <w:r>
        <w:rPr>
          <w:lang w:val="en_US" w:bidi="en_US"/>
        </w:rPr>
      </w:r>
    </w:p>
    <w:p>
      <w:pPr>
        <w:pStyle w:val="Heading2"/>
      </w:pPr>
      <w:r>
        <w:rPr>
          <w:lang w:val="en_US" w:bidi="en_US"/>
        </w:rPr>
        <w:t>Luke 2:14</w:t>
      </w:r>
      <w:r>
        <w:rPr>
          <w:lang w:val="en_US" w:bidi="en_US"/>
        </w:rPr>
      </w:r>
    </w:p>
    <w:p>
      <w:pPr>
        <w:pStyle w:val="Heading4"/>
      </w:pPr>
      <w:r>
        <w:rPr>
          <w:lang w:val="en_US" w:bidi="en_US"/>
        </w:rPr>
        <w:t>Section 2:8–20: Angels announced to shepherds that the Savior was born</w:t>
      </w:r>
    </w:p>
    <w:p>
      <w:pPr/>
      <w:r>
        <w:rPr>
          <w:lang w:val="en_US" w:bidi="en_US"/>
        </w:rPr>
      </w:r>
      <w:r>
        <w:rPr>
          <w:lang w:val="en_US" w:bidi="en_US"/>
        </w:rP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Angels tell shepherds about Jesus’ birth and the shepherds visit him</w:t>
      </w:r>
    </w:p>
    <w:p>
      <w:pPr/>
      <w:r>
        <w:rPr>
          <w:lang w:val="en_US" w:bidi="en_US"/>
        </w:rPr>
      </w:r>
      <w:r>
        <w:rPr>
          <w:lang w:val="en_US" w:bidi="en_US"/>
        </w:rPr>
        <w:t>The Shepherds and the Angels (GNT)</w:t>
      </w:r>
    </w:p>
    <w:p>
      <w:pPr>
        <w:pStyle w:val="Heading5"/>
      </w:pPr>
      <w:r>
        <w:rPr>
          <w:lang w:val="en_US" w:bidi="en_US"/>
        </w:rPr>
        <w:t>2:14</w:t>
      </w:r>
    </w:p>
    <w:p>
      <w:pPr/>
      <w:r>
        <w:rPr>
          <w:lang w:val="en_US" w:bidi="en_US"/>
        </w:rPr>
      </w:r>
      <w:r>
        <w:rPr>
          <w:b/>
          <w:lang w:val="en_US" w:bidi="en_US"/>
        </w:rPr>
        <w:t>Glory to God in the highest, and on earth peace to men on whom His favor rests:</w:t>
      </w:r>
      <w:r>
        <w:rPr>
          <w:lang w:val="en_US" w:bidi="en_US"/>
        </w:rPr>
        <w:t xml:space="preserve"> This verse has two clauses that have parallel words or phrases. In some languages it may be good to translate this verse as poetry.</w:t>
      </w:r>
      <w:r>
        <w:rPr>
          <w:lang w:val="en_US" w:bidi="en_US"/>
        </w:rPr>
        <w:t xml:space="preserve">In the Greek text, this verse has two clauses that have parallel words or phrases. These phrases, translated more literally, are:Glory in the heavens to Godpeace on the earth to favored menThe chart above shows that </w:t>
      </w:r>
      <w:r>
        <w:rPr>
          <w:i/>
          <w:lang w:val="en_US" w:bidi="en_US"/>
        </w:rPr>
        <w:t>Glory</w:t>
      </w:r>
      <w:r>
        <w:rPr>
          <w:lang w:val="en_US" w:bidi="en_US"/>
        </w:rPr>
        <w:t xml:space="preserve"> and </w:t>
      </w:r>
      <w:r>
        <w:rPr>
          <w:i/>
          <w:lang w:val="en_US" w:bidi="en_US"/>
        </w:rPr>
        <w:t>peace</w:t>
      </w:r>
      <w:r>
        <w:rPr>
          <w:lang w:val="en_US" w:bidi="en_US"/>
        </w:rPr>
        <w:t xml:space="preserve"> are parallel. </w:t>
      </w:r>
      <w:r>
        <w:rPr>
          <w:i/>
          <w:lang w:val="en_US" w:bidi="en_US"/>
        </w:rPr>
        <w:t>God</w:t>
      </w:r>
      <w:r>
        <w:rPr>
          <w:lang w:val="en_US" w:bidi="en_US"/>
        </w:rPr>
        <w:t xml:space="preserve"> and “favored men” are parallel. </w:t>
      </w:r>
      <w:r>
        <w:rPr>
          <w:i/>
          <w:lang w:val="en_US" w:bidi="en_US"/>
        </w:rPr>
        <w:t>Glory…</w:t>
      </w:r>
      <w:r>
        <w:rPr>
          <w:lang w:val="en_US" w:bidi="en_US"/>
        </w:rPr>
        <w:t xml:space="preserve"> “in the heavens” is parallel to </w:t>
      </w:r>
      <w:r>
        <w:rPr>
          <w:i/>
          <w:lang w:val="en_US" w:bidi="en_US"/>
        </w:rPr>
        <w:t>peace…</w:t>
      </w:r>
      <w:r>
        <w:rPr>
          <w:lang w:val="en_US" w:bidi="en_US"/>
        </w:rPr>
        <w:t xml:space="preserve"> “on the earth.”</w:t>
      </w:r>
    </w:p>
    <w:p>
      <w:pPr/>
      <w:r>
        <w:rPr>
          <w:lang w:val="en_US" w:bidi="en_US"/>
        </w:rPr>
      </w:r>
      <w:r>
        <w:rPr>
          <w:lang w:val="en_US" w:bidi="en_US"/>
        </w:rPr>
        <w:t>In Greek, there is no verb in this verse. You should use a verb form that is natural for praise in your language. This poem of praise expresses the results of Jesus’ birth. Some ways to translate it are:</w:t>
      </w:r>
    </w:p>
    <w:p>
      <w:pPr/>
      <w:r>
        <w:rPr>
          <w:lang w:val="en_US" w:bidi="en_US"/>
        </w:rPr>
      </w:r>
      <w:r>
        <w:rPr>
          <w:lang w:val="en_US" w:bidi="en_US"/>
        </w:rPr>
        <w:t xml:space="preserve">Glory </w:t>
      </w:r>
      <w:r>
        <w:rPr>
          <w:u w:val="single"/>
          <w:lang w:val="en_US" w:bidi="en_US"/>
        </w:rPr>
        <w:t>comes</w:t>
      </w:r>
      <w:r>
        <w:rPr>
          <w:lang w:val="en_US" w:bidi="en_US"/>
        </w:rPr>
        <w:t xml:space="preserve"> to God in the heavens, and peace </w:t>
      </w:r>
      <w:r>
        <w:rPr>
          <w:u w:val="single"/>
          <w:lang w:val="en_US" w:bidi="en_US"/>
        </w:rPr>
        <w:t>comes</w:t>
      </w:r>
      <w:r>
        <w:rPr>
          <w:lang w:val="en_US" w:bidi="en_US"/>
        </w:rPr>
        <w:t xml:space="preserve"> to favored men on the earth.</w:t>
      </w:r>
    </w:p>
    <w:p>
      <w:pPr/>
      <w:r>
        <w:rPr>
          <w:lang w:val="en_US" w:bidi="en_US"/>
        </w:rPr>
      </w:r>
      <w:r>
        <w:rPr>
          <w:lang w:val="en_US" w:bidi="en_US"/>
        </w:rPr>
        <w:t xml:space="preserve">God </w:t>
      </w:r>
      <w:r>
        <w:rPr>
          <w:u w:val="single"/>
          <w:lang w:val="en_US" w:bidi="en_US"/>
        </w:rPr>
        <w:t>receives</w:t>
      </w:r>
      <w:r>
        <w:rPr>
          <w:lang w:val="en_US" w:bidi="en_US"/>
        </w:rPr>
        <w:t xml:space="preserve"> glory in the heavens, and favored men </w:t>
      </w:r>
      <w:r>
        <w:rPr>
          <w:u w:val="single"/>
          <w:lang w:val="en_US" w:bidi="en_US"/>
        </w:rPr>
        <w:t>receive</w:t>
      </w:r>
      <w:r>
        <w:rPr>
          <w:lang w:val="en_US" w:bidi="en_US"/>
        </w:rPr>
        <w:t xml:space="preserve"> peace on the earth.</w:t>
      </w:r>
    </w:p>
    <w:p>
      <w:pPr/>
      <w:r>
        <w:rPr>
          <w:lang w:val="en_US" w:bidi="en_US"/>
        </w:rPr>
      </w:r>
      <w:r>
        <w:rPr>
          <w:lang w:val="en_US" w:bidi="en_US"/>
        </w:rPr>
        <w:t>This is not a command. The angels are not commanding the shepherds to give glory to God.</w:t>
      </w:r>
    </w:p>
    <w:p>
      <w:pPr>
        <w:pStyle w:val="Heading5"/>
      </w:pPr>
      <w:r>
        <w:rPr>
          <w:lang w:val="en_US" w:bidi="en_US"/>
        </w:rPr>
        <w:t>2:14a</w:t>
      </w:r>
    </w:p>
    <w:p>
      <w:pPr/>
      <w:r>
        <w:rPr>
          <w:lang w:val="en_US" w:bidi="en_US"/>
        </w:rPr>
      </w:r>
      <w:r>
        <w:rPr>
          <w:b/>
          <w:lang w:val="en_US" w:bidi="en_US"/>
        </w:rPr>
        <w:t>“Glory to God in the highest,</w:t>
      </w:r>
    </w:p>
    <w:p>
      <w:pPr>
        <w:pStyle w:val="ListBullet"/>
        <w:spacing w:line="240" w:lineRule="auto"/>
        <w:ind w:left="720"/>
      </w:pPr>
      <w:r>
        <w:rPr>
          <w:lang w:val="en_US" w:bidi="en_US"/>
        </w:rPr>
      </w:r>
      <w:r>
        <w:rPr>
          <w:lang w:val="en_US" w:bidi="en_US"/>
        </w:rPr>
        <w:t xml:space="preserve">“Glory/Honor </w:t>
      </w:r>
      <w:r>
        <w:rPr>
          <w:lang w:val="en_US" w:bidi="en_US"/>
        </w:rPr>
        <w:t>belongs</w:t>
      </w:r>
      <w:r>
        <w:rPr>
          <w:lang w:val="en_US" w:bidi="en_US"/>
        </w:rPr>
        <w:t xml:space="preserve"> to God in the highest heaven!</w:t>
      </w:r>
    </w:p>
    <w:p>
      <w:pPr>
        <w:pStyle w:val="ListBullet"/>
        <w:spacing w:line="240" w:lineRule="auto"/>
        <w:ind w:left="720"/>
      </w:pPr>
      <w:r>
        <w:rPr>
          <w:lang w:val="en_US" w:bidi="en_US"/>
        </w:rPr>
      </w:r>
      <w:r>
        <w:rPr>
          <w:lang w:val="en_US" w:bidi="en_US"/>
        </w:rPr>
        <w:t xml:space="preserve">“God </w:t>
      </w:r>
      <w:r>
        <w:rPr>
          <w:lang w:val="en_US" w:bidi="en_US"/>
        </w:rPr>
        <w:t>receives</w:t>
      </w:r>
      <w:r>
        <w:rPr>
          <w:lang w:val="en_US" w:bidi="en_US"/>
        </w:rPr>
        <w:t xml:space="preserve"> praise in heaven!</w:t>
      </w:r>
    </w:p>
    <w:p>
      <w:pPr>
        <w:pStyle w:val="ListBullet"/>
        <w:spacing w:line="240" w:lineRule="auto"/>
        <w:ind w:left="720"/>
      </w:pPr>
      <w:r>
        <w:rPr>
          <w:lang w:val="en_US" w:bidi="en_US"/>
        </w:rPr>
      </w:r>
      <w:r>
        <w:rPr>
          <w:lang w:val="en_US" w:bidi="en_US"/>
        </w:rPr>
        <w:t>“Those in heaven praise God</w:t>
      </w:r>
    </w:p>
    <w:p>
      <w:pPr/>
      <w:r>
        <w:rPr>
          <w:lang w:val="en_US" w:bidi="en_US"/>
        </w:rPr>
      </w:r>
      <w:r>
        <w:rPr>
          <w:b/>
          <w:lang w:val="en_US" w:bidi="en_US"/>
        </w:rPr>
        <w:t>Glory to God in the highest:</w:t>
      </w:r>
      <w:r>
        <w:rPr>
          <w:lang w:val="en_US" w:bidi="en_US"/>
        </w:rPr>
        <w:t xml:space="preserve"> The Greek phrase that the BSB translates as </w:t>
      </w:r>
      <w:r>
        <w:rPr>
          <w:i/>
          <w:lang w:val="en_US" w:bidi="en_US"/>
        </w:rPr>
        <w:t>in the highest</w:t>
      </w:r>
      <w:r>
        <w:rPr>
          <w:lang w:val="en_US" w:bidi="en_US"/>
        </w:rPr>
        <w:t xml:space="preserve"> refers to heaven. There are two views about how it is related to the phrase </w:t>
      </w:r>
      <w:r>
        <w:rPr>
          <w:i/>
          <w:lang w:val="en_US" w:bidi="en_US"/>
        </w:rPr>
        <w:t>Glory to God</w:t>
      </w:r>
      <w:r>
        <w:rPr>
          <w:lang w:val="en_US" w:bidi="en_US"/>
        </w:rPr>
        <w:t>:</w:t>
      </w:r>
    </w:p>
    <w:p>
      <w:pPr>
        <w:pStyle w:val="ListNumber"/>
        <w:numPr>
          <w:ilvl w:val="0"/>
          <w:numId w:val="32"/>
        </w:numPr>
        <w:spacing w:line="240" w:lineRule="auto"/>
        <w:ind w:left="720"/>
      </w:pPr>
      <w:r>
        <w:rPr>
          <w:lang w:val="en_US" w:bidi="en_US"/>
        </w:rPr>
      </w:r>
      <w:r>
        <w:rPr>
          <w:lang w:val="en_US" w:bidi="en_US"/>
        </w:rPr>
        <w:t>It refers to the place where God receives glory. For example:</w:t>
      </w:r>
      <w:r>
        <w:rPr>
          <w:lang w:val="en_US" w:bidi="en_US"/>
        </w:rPr>
        <w:t>God receives glory in heaven.</w:t>
      </w:r>
    </w:p>
    <w:p>
      <w:pPr>
        <w:pStyle w:val="ListNumber"/>
        <w:spacing w:line="240" w:lineRule="auto"/>
        <w:ind w:left="720"/>
      </w:pPr>
      <w:r>
        <w:rPr>
          <w:lang w:val="en_US" w:bidi="en_US"/>
        </w:rPr>
      </w:r>
      <w:r>
        <w:rPr>
          <w:lang w:val="en_US" w:bidi="en_US"/>
        </w:rPr>
        <w:t>It refers to the place where God is. For example:</w:t>
      </w:r>
      <w:r>
        <w:rPr>
          <w:lang w:val="en_US" w:bidi="en_US"/>
        </w:rPr>
        <w:t>Glory to God who is in heaven.</w:t>
      </w:r>
    </w:p>
    <w:p>
      <w:pPr/>
      <w:r>
        <w:rPr>
          <w:lang w:val="en_US" w:bidi="en_US"/>
        </w:rPr>
      </w:r>
      <w:r>
        <w:rPr>
          <w:lang w:val="en_US" w:bidi="en_US"/>
        </w:rPr>
        <w:t xml:space="preserve">Most English versions are ambiguous. It is recommended that you follow interpretation (1). Most commentators seem to follow this view that </w:t>
      </w:r>
      <w:r>
        <w:rPr>
          <w:i/>
          <w:lang w:val="en_US" w:bidi="en_US"/>
        </w:rPr>
        <w:t>in the highest</w:t>
      </w:r>
      <w:r>
        <w:rPr>
          <w:lang w:val="en_US" w:bidi="en_US"/>
        </w:rPr>
        <w:t xml:space="preserve"> refers to the place where God receives glory.</w:t>
      </w:r>
    </w:p>
    <w:p>
      <w:pPr/>
      <w:r>
        <w:rPr>
          <w:lang w:val="en_US" w:bidi="en_US"/>
        </w:rPr>
      </w:r>
      <w:r>
        <w:rPr>
          <w:b/>
          <w:lang w:val="en_US" w:bidi="en_US"/>
        </w:rPr>
        <w:t>Glory to God:</w:t>
      </w:r>
      <w:r>
        <w:rPr>
          <w:lang w:val="en_US" w:bidi="en_US"/>
        </w:rPr>
        <w:t xml:space="preserve"> In this context the word </w:t>
      </w:r>
      <w:r>
        <w:rPr>
          <w:i/>
          <w:lang w:val="en_US" w:bidi="en_US"/>
        </w:rPr>
        <w:t>Glory</w:t>
      </w:r>
      <w:r>
        <w:rPr>
          <w:lang w:val="en_US" w:bidi="en_US"/>
        </w:rPr>
        <w:t xml:space="preserve"> refers to praise and honor. As the note on 2:14 said, in some languages it will be necessary to supply a verb for the phrase </w:t>
      </w:r>
      <w:r>
        <w:rPr>
          <w:i/>
          <w:lang w:val="en_US" w:bidi="en_US"/>
        </w:rPr>
        <w:t>Glory to God</w:t>
      </w:r>
      <w:r>
        <w:rPr>
          <w:lang w:val="en_US" w:bidi="en_US"/>
        </w:rPr>
        <w:t>. Some ways to do this are:</w:t>
      </w:r>
    </w:p>
    <w:p>
      <w:pPr/>
      <w:r>
        <w:rPr>
          <w:lang w:val="en_US" w:bidi="en_US"/>
        </w:rPr>
      </w:r>
      <w:r>
        <w:rPr>
          <w:lang w:val="en_US" w:bidi="en_US"/>
        </w:rPr>
        <w:t>Praises belong to God</w:t>
      </w:r>
    </w:p>
    <w:p>
      <w:pPr/>
      <w:r>
        <w:rPr>
          <w:lang w:val="en_US" w:bidi="en_US"/>
        </w:rPr>
      </w:r>
      <w:r>
        <w:rPr>
          <w:lang w:val="en_US" w:bidi="en_US"/>
        </w:rPr>
        <w:t>God deserves honor/glory</w:t>
      </w:r>
    </w:p>
    <w:p>
      <w:pPr/>
      <w:r>
        <w:rPr>
          <w:lang w:val="en_US" w:bidi="en_US"/>
        </w:rPr>
      </w:r>
      <w:r>
        <w:rPr>
          <w:lang w:val="en_US" w:bidi="en_US"/>
        </w:rPr>
        <w:t xml:space="preserve">Notice that the meaning of </w:t>
      </w:r>
      <w:r>
        <w:rPr>
          <w:i/>
          <w:lang w:val="en_US" w:bidi="en_US"/>
        </w:rPr>
        <w:t>Glory</w:t>
      </w:r>
      <w:r>
        <w:rPr>
          <w:lang w:val="en_US" w:bidi="en_US"/>
        </w:rPr>
        <w:t xml:space="preserve"> here is different from the meaning of “glory” in 2:9b. See also </w:t>
      </w:r>
      <w:r>
        <w:rPr>
          <w:u w:val="single"/>
          <w:lang w:val="en_US" w:bidi="en_US"/>
        </w:rPr>
        <w:t>glory, sense A3</w:t>
      </w:r>
      <w:r>
        <w:rPr>
          <w:lang w:val="en_US" w:bidi="en_US"/>
        </w:rPr>
        <w:t>, in KBT.</w:t>
      </w:r>
    </w:p>
    <w:p>
      <w:pPr/>
      <w:r>
        <w:rPr>
          <w:lang w:val="en_US" w:bidi="en_US"/>
        </w:rPr>
      </w:r>
      <w:r>
        <w:rPr>
          <w:b/>
          <w:lang w:val="en_US" w:bidi="en_US"/>
        </w:rPr>
        <w:t>in the highest:</w:t>
      </w:r>
      <w:r>
        <w:rPr>
          <w:lang w:val="en_US" w:bidi="en_US"/>
        </w:rPr>
        <w:t xml:space="preserve"> The phrase </w:t>
      </w:r>
      <w:r>
        <w:rPr>
          <w:i/>
          <w:lang w:val="en_US" w:bidi="en_US"/>
        </w:rPr>
        <w:t>in the highest</w:t>
      </w:r>
      <w:r>
        <w:rPr>
          <w:lang w:val="en_US" w:bidi="en_US"/>
        </w:rPr>
        <w:t xml:space="preserve"> refers to heaven. It is the place where God lives with the angels.</w:t>
      </w:r>
      <w:r>
        <w:rPr>
          <w:lang w:val="en_US" w:bidi="en_US"/>
        </w:rPr>
        <w:t>Most commentators seem to follow the view that “in the highest” refers to the place where God receives glory. Other views are that “in the highest” refers to the place where God is. The Bible mentions three heavens. The first heaven is the sky, where the birds fly. The second heaven is outer space, where the sun, moon, and stars are located. The third heaven is beyond that. It is the home of God and the good angels.</w:t>
      </w:r>
      <w:r>
        <w:rPr>
          <w:lang w:val="en_US" w:bidi="en_US"/>
        </w:rPr>
        <w:t xml:space="preserve"> Another way to translate this is:</w:t>
      </w:r>
    </w:p>
    <w:p>
      <w:pPr/>
      <w:r>
        <w:rPr>
          <w:lang w:val="en_US" w:bidi="en_US"/>
        </w:rPr>
      </w:r>
      <w:r>
        <w:rPr>
          <w:lang w:val="en_US" w:bidi="en_US"/>
        </w:rPr>
        <w:t>in heaven (CEV)</w:t>
      </w:r>
    </w:p>
    <w:p>
      <w:pPr/>
      <w:r>
        <w:rPr>
          <w:lang w:val="en_US" w:bidi="en_US"/>
        </w:rPr>
      </w:r>
      <w:r>
        <w:rPr>
          <w:lang w:val="en_US" w:bidi="en_US"/>
        </w:rPr>
        <w:t>Some languages have an idiom that refers to heaven as being “on top” or “on top of everything.” If this is true in your language, you may be able to use it here.</w:t>
      </w:r>
    </w:p>
    <w:p>
      <w:pPr>
        <w:pStyle w:val="Heading5"/>
      </w:pPr>
      <w:r>
        <w:rPr>
          <w:lang w:val="en_US" w:bidi="en_US"/>
        </w:rPr>
        <w:t>2:14b</w:t>
      </w:r>
    </w:p>
    <w:p>
      <w:pPr/>
      <w:r>
        <w:rPr>
          <w:lang w:val="en_US" w:bidi="en_US"/>
        </w:rPr>
      </w:r>
      <w:r>
        <w:rPr>
          <w:b/>
          <w:lang w:val="en_US" w:bidi="en_US"/>
        </w:rPr>
        <w:t>and on earth peace to men on whom His favor rests!”</w:t>
      </w:r>
    </w:p>
    <w:p>
      <w:pPr>
        <w:pStyle w:val="ListBullet"/>
        <w:spacing w:line="240" w:lineRule="auto"/>
        <w:ind w:left="720"/>
      </w:pPr>
      <w:r>
        <w:rPr>
          <w:lang w:val="en_US" w:bidi="en_US"/>
        </w:rPr>
      </w:r>
      <w:r>
        <w:rPr>
          <w:lang w:val="en_US" w:bidi="en_US"/>
        </w:rPr>
        <w:t xml:space="preserve">On earth </w:t>
      </w:r>
      <w:r>
        <w:rPr>
          <w:lang w:val="en_US" w:bidi="en_US"/>
        </w:rPr>
        <w:t>there will be</w:t>
      </w:r>
      <w:r>
        <w:rPr>
          <w:lang w:val="en_US" w:bidi="en_US"/>
        </w:rPr>
        <w:t xml:space="preserve"> peace with those people whom he favors.”</w:t>
      </w:r>
    </w:p>
    <w:p>
      <w:pPr>
        <w:pStyle w:val="ListBullet"/>
        <w:spacing w:line="240" w:lineRule="auto"/>
        <w:ind w:left="720"/>
      </w:pPr>
      <w:r>
        <w:rPr>
          <w:lang w:val="en_US" w:bidi="en_US"/>
        </w:rPr>
      </w:r>
      <w:r>
        <w:rPr>
          <w:lang w:val="en_US" w:bidi="en_US"/>
        </w:rPr>
        <w:t>He provides/makes</w:t>
      </w:r>
      <w:r>
        <w:rPr>
          <w:lang w:val="en_US" w:bidi="en_US"/>
        </w:rPr>
        <w:t xml:space="preserve"> peace on earth for those people who have his good will.”</w:t>
      </w:r>
    </w:p>
    <w:p>
      <w:pPr>
        <w:pStyle w:val="ListBullet"/>
        <w:spacing w:line="240" w:lineRule="auto"/>
        <w:ind w:left="720"/>
      </w:pPr>
      <w:r>
        <w:rPr>
          <w:lang w:val="en_US" w:bidi="en_US"/>
        </w:rPr>
      </w:r>
      <w:r>
        <w:rPr>
          <w:lang w:val="en_US" w:bidi="en_US"/>
        </w:rPr>
        <w:t xml:space="preserve">and </w:t>
      </w:r>
      <w:r>
        <w:rPr>
          <w:lang w:val="en_US" w:bidi="en_US"/>
        </w:rPr>
        <w:t>there is</w:t>
      </w:r>
      <w:r>
        <w:rPr>
          <w:lang w:val="en_US" w:bidi="en_US"/>
        </w:rPr>
        <w:t xml:space="preserve"> harmony between </w:t>
      </w:r>
      <w:r>
        <w:rPr>
          <w:lang w:val="en_US" w:bidi="en_US"/>
        </w:rPr>
        <w:t>him and</w:t>
      </w:r>
      <w:r>
        <w:rPr>
          <w:lang w:val="en_US" w:bidi="en_US"/>
        </w:rPr>
        <w:t xml:space="preserve"> the people on earth whom he blesses.”</w:t>
      </w:r>
    </w:p>
    <w:p>
      <w:pPr/>
      <w:r>
        <w:rPr>
          <w:lang w:val="en_US" w:bidi="en_US"/>
        </w:rPr>
      </w:r>
      <w:r>
        <w:rPr>
          <w:b/>
          <w:lang w:val="en_US" w:bidi="en_US"/>
        </w:rPr>
        <w:t>on earth peace to men on whom His favor rests:</w:t>
      </w:r>
      <w:r>
        <w:rPr>
          <w:lang w:val="en_US" w:bidi="en_US"/>
        </w:rPr>
        <w:t xml:space="preserve"> </w:t>
      </w:r>
      <w:r>
        <w:rPr>
          <w:lang w:val="en_US" w:bidi="en_US"/>
        </w:rPr>
        <w:t xml:space="preserve">There is a textual issue here: (1) The earliest Greek manuscripts say “and on earth peace among men of goodwill.” Nearly every major English version follows these manuscripts. For example, the GNT says “and peace on earth to those with whom he is pleased!” This text is followed by BSB, RSV, NIV, GNT, NASB, NLT96, NLT, GW, CEV, NET, JBP, REB, NCV, and NJB. (2) Other Greek manuscripts say “and on earth peace, good will toward men.” The KJV follows these manuscripts. It is recommended that you follow option (1). It has early and strong manuscript support. Also, nearly every major English version follows this option. This recommendation is based on Swanson, p. 33; </w:t>
      </w:r>
      <w:r>
        <w:rPr>
          <w:i/>
          <w:lang w:val="en_US" w:bidi="en_US"/>
        </w:rPr>
        <w:t>Greek NT UBS 4th ed.</w:t>
      </w:r>
      <w:r>
        <w:rPr>
          <w:lang w:val="en_US" w:bidi="en_US"/>
        </w:rPr>
        <w:t xml:space="preserve">; Metzger, p. 111; and </w:t>
      </w:r>
      <w:r>
        <w:rPr>
          <w:i/>
          <w:lang w:val="en_US" w:bidi="en_US"/>
        </w:rPr>
        <w:t>Exegetical Summaries</w:t>
      </w:r>
      <w:r>
        <w:rPr>
          <w:lang w:val="en_US" w:bidi="en_US"/>
        </w:rPr>
        <w:t xml:space="preserve"> on </w:t>
      </w:r>
      <w:r>
        <w:rPr>
          <w:i/>
          <w:lang w:val="en_US" w:bidi="en_US"/>
        </w:rPr>
        <w:t>TW</w:t>
      </w:r>
      <w:r>
        <w:rPr>
          <w:lang w:val="en_US" w:bidi="en_US"/>
        </w:rPr>
        <w:t>.</w:t>
      </w:r>
      <w:r>
        <w:rPr>
          <w:lang w:val="en_US" w:bidi="en_US"/>
        </w:rPr>
        <w:t xml:space="preserve"> The phrase </w:t>
      </w:r>
      <w:r>
        <w:rPr>
          <w:i/>
          <w:lang w:val="en_US" w:bidi="en_US"/>
        </w:rPr>
        <w:t>on earth</w:t>
      </w:r>
      <w:r>
        <w:rPr>
          <w:lang w:val="en_US" w:bidi="en_US"/>
        </w:rPr>
        <w:t xml:space="preserve"> tells where the men will receive peace. It is parallel to “in the highest,” where God will receive praise. The phrase </w:t>
      </w:r>
      <w:r>
        <w:rPr>
          <w:i/>
          <w:lang w:val="en_US" w:bidi="en_US"/>
        </w:rPr>
        <w:t>peace to men on whom His favor rests</w:t>
      </w:r>
      <w:r>
        <w:rPr>
          <w:lang w:val="en_US" w:bidi="en_US"/>
        </w:rPr>
        <w:t xml:space="preserve"> refers here to harmony between God and the people whom God favors. They are not in conflict.</w:t>
      </w:r>
    </w:p>
    <w:p>
      <w:pPr/>
      <w:r>
        <w:rPr>
          <w:lang w:val="en_US" w:bidi="en_US"/>
        </w:rPr>
      </w:r>
      <w:r>
        <w:rPr>
          <w:lang w:val="en_US" w:bidi="en_US"/>
        </w:rPr>
        <w:t>Some ways to translate this part of the verse are:</w:t>
      </w:r>
    </w:p>
    <w:p>
      <w:pPr/>
      <w:r>
        <w:rPr>
          <w:lang w:val="en_US" w:bidi="en_US"/>
        </w:rPr>
      </w:r>
      <w:r>
        <w:rPr>
          <w:lang w:val="en_US" w:bidi="en_US"/>
        </w:rPr>
        <w:t>he has</w:t>
      </w:r>
      <w:r>
        <w:rPr>
          <w:lang w:val="en_US" w:bidi="en_US"/>
        </w:rPr>
        <w:t xml:space="preserve"> peaceful relations on earth with people whom he favors</w:t>
      </w:r>
    </w:p>
    <w:p>
      <w:pPr/>
      <w:r>
        <w:rPr>
          <w:lang w:val="en_US" w:bidi="en_US"/>
        </w:rPr>
      </w:r>
      <w:r>
        <w:rPr>
          <w:lang w:val="en_US" w:bidi="en_US"/>
        </w:rPr>
        <w:t>he</w:t>
      </w:r>
      <w:r>
        <w:rPr>
          <w:lang w:val="en_US" w:bidi="en_US"/>
        </w:rPr>
        <w:t xml:space="preserve"> and the people whom he favors on earth are in harmony/peace</w:t>
      </w:r>
    </w:p>
    <w:p>
      <w:pPr/>
      <w:r>
        <w:rPr>
          <w:lang w:val="en_US" w:bidi="en_US"/>
        </w:rPr>
      </w:r>
      <w:r>
        <w:rPr>
          <w:b/>
          <w:lang w:val="en_US" w:bidi="en_US"/>
        </w:rPr>
        <w:t>peace:</w:t>
      </w:r>
      <w:r>
        <w:rPr>
          <w:lang w:val="en_US" w:bidi="en_US"/>
        </w:rPr>
        <w:t xml:space="preserve"> In Jewish cultures the word </w:t>
      </w:r>
      <w:r>
        <w:rPr>
          <w:i/>
          <w:lang w:val="en_US" w:bidi="en_US"/>
        </w:rPr>
        <w:t>peace</w:t>
      </w:r>
      <w:r>
        <w:rPr>
          <w:lang w:val="en_US" w:bidi="en_US"/>
        </w:rPr>
        <w:t xml:space="preserve"> has a very broad meaning. It describes a situation of well-being that can include safety, wholeness, health, and prosperity. It often describes harmony and friendship between God and people or between individuals or groups of people. This harmony is in contrast to war, hostility, or conflict.</w:t>
      </w:r>
    </w:p>
    <w:p>
      <w:pPr/>
      <w:r>
        <w:rPr>
          <w:lang w:val="en_US" w:bidi="en_US"/>
        </w:rPr>
      </w:r>
      <w:r>
        <w:rPr>
          <w:lang w:val="en_US" w:bidi="en_US"/>
        </w:rPr>
        <w:t xml:space="preserve">Some other ways to translate </w:t>
      </w:r>
      <w:r>
        <w:rPr>
          <w:i/>
          <w:lang w:val="en_US" w:bidi="en_US"/>
        </w:rPr>
        <w:t>peace</w:t>
      </w:r>
      <w:r>
        <w:rPr>
          <w:lang w:val="en_US" w:bidi="en_US"/>
        </w:rPr>
        <w:t xml:space="preserve"> here are:</w:t>
      </w:r>
    </w:p>
    <w:p>
      <w:pPr/>
      <w:r>
        <w:rPr>
          <w:lang w:val="en_US" w:bidi="en_US"/>
        </w:rPr>
      </w:r>
      <w:r>
        <w:rPr>
          <w:lang w:val="en_US" w:bidi="en_US"/>
        </w:rPr>
        <w:t>harmony</w:t>
      </w:r>
    </w:p>
    <w:p>
      <w:pPr/>
      <w:r>
        <w:rPr>
          <w:lang w:val="en_US" w:bidi="en_US"/>
        </w:rPr>
      </w:r>
      <w:r>
        <w:rPr>
          <w:lang w:val="en_US" w:bidi="en_US"/>
        </w:rPr>
        <w:t>freedom</w:t>
      </w:r>
    </w:p>
    <w:p>
      <w:pPr/>
      <w:r>
        <w:rPr>
          <w:lang w:val="en_US" w:bidi="en_US"/>
        </w:rPr>
      </w:r>
      <w:r>
        <w:rPr>
          <w:lang w:val="en_US" w:bidi="en_US"/>
        </w:rPr>
        <w:t xml:space="preserve">In English the word </w:t>
      </w:r>
      <w:r>
        <w:rPr>
          <w:i/>
          <w:lang w:val="en_US" w:bidi="en_US"/>
        </w:rPr>
        <w:t>peace</w:t>
      </w:r>
      <w:r>
        <w:rPr>
          <w:lang w:val="en_US" w:bidi="en_US"/>
        </w:rPr>
        <w:t xml:space="preserve"> is a noun. In some languages it may be more natural to translate </w:t>
      </w:r>
      <w:r>
        <w:rPr>
          <w:i/>
          <w:lang w:val="en_US" w:bidi="en_US"/>
        </w:rPr>
        <w:t>peace</w:t>
      </w:r>
      <w:r>
        <w:rPr>
          <w:lang w:val="en_US" w:bidi="en_US"/>
        </w:rPr>
        <w:t xml:space="preserve"> with a verb or in another way. For example:</w:t>
      </w:r>
    </w:p>
    <w:p>
      <w:pPr/>
      <w:r>
        <w:rPr>
          <w:lang w:val="en_US" w:bidi="en_US"/>
        </w:rPr>
      </w:r>
      <w:r>
        <w:rPr>
          <w:lang w:val="en_US" w:bidi="en_US"/>
        </w:rPr>
        <w:t>be whole/free/peaceful</w:t>
      </w:r>
    </w:p>
    <w:p>
      <w:pPr/>
      <w:r>
        <w:rPr>
          <w:lang w:val="en_US" w:bidi="en_US"/>
        </w:rPr>
      </w:r>
      <w:r>
        <w:rPr>
          <w:lang w:val="en_US" w:bidi="en_US"/>
        </w:rPr>
        <w:t>live peacefully/well</w:t>
      </w:r>
    </w:p>
    <w:p>
      <w:pPr/>
      <w:r>
        <w:rPr>
          <w:lang w:val="en_US" w:bidi="en_US"/>
        </w:rPr>
      </w:r>
      <w:r>
        <w:rPr>
          <w:lang w:val="en_US" w:bidi="en_US"/>
        </w:rPr>
        <w:t>In many languages there may be an idiom to express this. See peace, Meaning 1, in the Glossary.</w:t>
      </w:r>
    </w:p>
    <w:p>
      <w:pPr/>
      <w:r>
        <w:rPr>
          <w:lang w:val="en_US" w:bidi="en_US"/>
        </w:rPr>
      </w:r>
      <w:r>
        <w:rPr>
          <w:b/>
          <w:lang w:val="en_US" w:bidi="en_US"/>
        </w:rPr>
        <w:t>to men on whom His favor rests:</w:t>
      </w:r>
      <w:r>
        <w:rPr>
          <w:lang w:val="en_US" w:bidi="en_US"/>
        </w:rPr>
        <w:t xml:space="preserve"> The Greek phrase that the BSB translates as </w:t>
      </w:r>
      <w:r>
        <w:rPr>
          <w:i/>
          <w:lang w:val="en_US" w:bidi="en_US"/>
        </w:rPr>
        <w:t>men on whom His favor rests</w:t>
      </w:r>
      <w:r>
        <w:rPr>
          <w:lang w:val="en_US" w:bidi="en_US"/>
        </w:rPr>
        <w:t xml:space="preserve"> is literally “people of goodwill/favor.” The goodwill refers to God’s goodwill or favor toward people. So the phrase </w:t>
      </w:r>
      <w:r>
        <w:rPr>
          <w:i/>
          <w:lang w:val="en_US" w:bidi="en_US"/>
        </w:rPr>
        <w:t>to men on whom His favor rests</w:t>
      </w:r>
      <w:r>
        <w:rPr>
          <w:lang w:val="en_US" w:bidi="en_US"/>
        </w:rPr>
        <w:t xml:space="preserve"> means “to people whom God favors/blesses.” Other ways to say this are:</w:t>
      </w:r>
    </w:p>
    <w:p>
      <w:pPr/>
      <w:r>
        <w:rPr>
          <w:lang w:val="en_US" w:bidi="en_US"/>
        </w:rPr>
      </w:r>
      <w:r>
        <w:rPr>
          <w:lang w:val="en_US" w:bidi="en_US"/>
        </w:rPr>
        <w:t>in people whom God favors/blesses</w:t>
      </w:r>
    </w:p>
    <w:p>
      <w:pPr/>
      <w:r>
        <w:rPr>
          <w:lang w:val="en_US" w:bidi="en_US"/>
        </w:rPr>
      </w:r>
      <w:r>
        <w:rPr>
          <w:lang w:val="en_US" w:bidi="en_US"/>
        </w:rPr>
        <w:t>for people with whom God is pleased</w:t>
      </w:r>
      <w:r>
        <w:rPr>
          <w:lang w:val="en_US" w:bidi="en_US"/>
        </w:rPr>
      </w:r>
      <w:r>
        <w:rPr>
          <w:lang w:val="en_US" w:bidi="en_US"/>
        </w:rPr>
      </w:r>
    </w:p>
    <w:p>
      <w:pPr/>
      <w:r>
        <w:rPr>
          <w:lang w:val="en_US" w:bidi="en_US"/>
        </w:rPr>
      </w:r>
    </w:p>
    <w:p>
      <w:pPr>
        <w:pStyle w:val="Heading2"/>
      </w:pPr>
      <w:r>
        <w:rPr>
          <w:lang w:val="en_US" w:bidi="en_US"/>
        </w:rPr>
        <w:t>Luke 2:15</w:t>
      </w:r>
      <w:r>
        <w:rPr>
          <w:lang w:val="en_US" w:bidi="en_US"/>
        </w:rPr>
      </w:r>
    </w:p>
    <w:p>
      <w:pPr>
        <w:pStyle w:val="Heading4"/>
      </w:pPr>
      <w:r>
        <w:rPr>
          <w:lang w:val="en_US" w:bidi="en_US"/>
        </w:rPr>
        <w:t>Section 2:8–20: Angels announced to shepherds that the Savior was born</w:t>
      </w:r>
    </w:p>
    <w:p>
      <w:pPr/>
      <w:r>
        <w:rPr>
          <w:lang w:val="en_US" w:bidi="en_US"/>
        </w:rPr>
      </w:r>
      <w:r>
        <w:rPr>
          <w:lang w:val="en_US" w:bidi="en_US"/>
        </w:rP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Angels tell shepherds about Jesus’ birth and the shepherds visit him</w:t>
      </w:r>
    </w:p>
    <w:p>
      <w:pPr/>
      <w:r>
        <w:rPr>
          <w:lang w:val="en_US" w:bidi="en_US"/>
        </w:rPr>
      </w:r>
      <w:r>
        <w:rPr>
          <w:lang w:val="en_US" w:bidi="en_US"/>
        </w:rPr>
        <w:t>The Shepherds and the Angels (GNT)</w:t>
      </w:r>
    </w:p>
    <w:p>
      <w:pPr>
        <w:pStyle w:val="Heading5"/>
      </w:pPr>
      <w:r>
        <w:rPr>
          <w:lang w:val="en_US" w:bidi="en_US"/>
        </w:rPr>
        <w:t>2:15a</w:t>
      </w:r>
    </w:p>
    <w:p>
      <w:pPr/>
      <w:r>
        <w:rPr>
          <w:lang w:val="en_US" w:bidi="en_US"/>
        </w:rPr>
      </w:r>
      <w:r>
        <w:rPr>
          <w:b/>
          <w:lang w:val="en_US" w:bidi="en_US"/>
        </w:rPr>
        <w:t>When the angels had left them and gone into heaven,</w:t>
      </w:r>
    </w:p>
    <w:p>
      <w:pPr>
        <w:pStyle w:val="ListBullet"/>
        <w:spacing w:line="240" w:lineRule="auto"/>
        <w:ind w:left="720"/>
      </w:pPr>
      <w:r>
        <w:rPr>
          <w:lang w:val="en_US" w:bidi="en_US"/>
        </w:rPr>
      </w:r>
      <w:r>
        <w:rPr>
          <w:lang w:val="en_US" w:bidi="en_US"/>
        </w:rPr>
        <w:t>¶ When the angels left the shepherds and went back to heaven,</w:t>
      </w:r>
    </w:p>
    <w:p>
      <w:pPr>
        <w:pStyle w:val="ListBullet"/>
        <w:spacing w:line="240" w:lineRule="auto"/>
        <w:ind w:left="720"/>
      </w:pPr>
      <w:r>
        <w:rPr>
          <w:lang w:val="en_US" w:bidi="en_US"/>
        </w:rPr>
      </w:r>
      <w:r>
        <w:rPr>
          <w:lang w:val="en_US" w:bidi="en_US"/>
        </w:rPr>
        <w:t>¶ After the angels had returned to heaven,</w:t>
      </w:r>
    </w:p>
    <w:p>
      <w:pPr/>
      <w:r>
        <w:rPr>
          <w:lang w:val="en_US" w:bidi="en_US"/>
        </w:rPr>
      </w:r>
      <w:r>
        <w:rPr>
          <w:b/>
          <w:lang w:val="en_US" w:bidi="en_US"/>
        </w:rPr>
        <w:t>When the angels had left them and gone into heaven:</w:t>
      </w:r>
      <w:r>
        <w:rPr>
          <w:lang w:val="en_US" w:bidi="en_US"/>
        </w:rPr>
        <w:t xml:space="preserve"> This part of the verse is more literally “when the angels went from them to heaven.” It indicates that the angels left the shepherds and went (back) to heaven. The Greek text uses only one verb in this clause. There are two ways to translate the clause:</w:t>
      </w:r>
    </w:p>
    <w:p>
      <w:pPr>
        <w:pStyle w:val="ListBullet"/>
        <w:spacing w:line="240" w:lineRule="auto"/>
        <w:ind w:left="720"/>
      </w:pPr>
      <w:r>
        <w:rPr>
          <w:lang w:val="en_US" w:bidi="en_US"/>
        </w:rPr>
      </w:r>
      <w:r>
        <w:rPr>
          <w:lang w:val="en_US" w:bidi="en_US"/>
        </w:rPr>
        <w:t>Use one verb, For example:</w:t>
      </w:r>
      <w:r>
        <w:rPr>
          <w:lang w:val="en_US" w:bidi="en_US"/>
        </w:rPr>
        <w:t>When the angels had returned to heaven (NLT)</w:t>
      </w:r>
      <w:r>
        <w:rPr>
          <w:lang w:val="en_US" w:bidi="en_US"/>
        </w:rPr>
        <w:t>After the angels had gone back to heaven</w:t>
      </w:r>
    </w:p>
    <w:p>
      <w:pPr>
        <w:pStyle w:val="ListBullet"/>
        <w:spacing w:line="240" w:lineRule="auto"/>
        <w:ind w:left="720"/>
      </w:pPr>
      <w:r>
        <w:rPr>
          <w:lang w:val="en_US" w:bidi="en_US"/>
        </w:rPr>
      </w:r>
      <w:r>
        <w:rPr>
          <w:lang w:val="en_US" w:bidi="en_US"/>
        </w:rPr>
        <w:t>Supply a second verb. For example:</w:t>
      </w:r>
      <w:r>
        <w:rPr>
          <w:lang w:val="en_US" w:bidi="en_US"/>
        </w:rPr>
        <w:t>After the angels had left them and returned to heaven (REB)</w:t>
      </w:r>
      <w:r>
        <w:rPr>
          <w:lang w:val="en_US" w:bidi="en_US"/>
        </w:rPr>
        <w:t>When the angels left them and went back to heaven (NCV)</w:t>
      </w:r>
    </w:p>
    <w:p>
      <w:pPr/>
      <w:r>
        <w:rPr>
          <w:lang w:val="en_US" w:bidi="en_US"/>
        </w:rPr>
      </w:r>
      <w:r>
        <w:rPr>
          <w:lang w:val="en_US" w:bidi="en_US"/>
        </w:rPr>
        <w:t>Translate this clause in a way that is natural in your language.</w:t>
      </w:r>
    </w:p>
    <w:p>
      <w:pPr/>
      <w:r>
        <w:rPr>
          <w:lang w:val="en_US" w:bidi="en_US"/>
        </w:rPr>
      </w:r>
      <w:r>
        <w:rPr>
          <w:b/>
          <w:lang w:val="en_US" w:bidi="en_US"/>
        </w:rPr>
        <w:t>heaven:</w:t>
      </w:r>
      <w:r>
        <w:rPr>
          <w:lang w:val="en_US" w:bidi="en_US"/>
        </w:rPr>
        <w:t xml:space="preserve"> Here, the word </w:t>
      </w:r>
      <w:r>
        <w:rPr>
          <w:i/>
          <w:lang w:val="en_US" w:bidi="en_US"/>
        </w:rPr>
        <w:t>heaven</w:t>
      </w:r>
      <w:r>
        <w:rPr>
          <w:lang w:val="en_US" w:bidi="en_US"/>
        </w:rPr>
        <w:t xml:space="preserve"> means “the place where God lives.” See heaven, Meaning 2, in the Glossary.</w:t>
      </w:r>
    </w:p>
    <w:p>
      <w:pPr>
        <w:pStyle w:val="Heading5"/>
      </w:pPr>
      <w:r>
        <w:rPr>
          <w:lang w:val="en_US" w:bidi="en_US"/>
        </w:rPr>
        <w:t>2:15b</w:t>
      </w:r>
    </w:p>
    <w:p>
      <w:pPr/>
      <w:r>
        <w:rPr>
          <w:lang w:val="en_US" w:bidi="en_US"/>
        </w:rPr>
      </w:r>
      <w:r>
        <w:rPr>
          <w:b/>
          <w:lang w:val="en_US" w:bidi="en_US"/>
        </w:rPr>
        <w:t>the shepherds said to one another,</w:t>
      </w:r>
    </w:p>
    <w:p>
      <w:pPr>
        <w:pStyle w:val="ListBullet"/>
        <w:spacing w:line="240" w:lineRule="auto"/>
        <w:ind w:left="720"/>
      </w:pPr>
      <w:r>
        <w:rPr>
          <w:lang w:val="en_US" w:bidi="en_US"/>
        </w:rPr>
      </w:r>
      <w:r>
        <w:rPr>
          <w:lang w:val="en_US" w:bidi="en_US"/>
        </w:rPr>
        <w:t>the shepherds said to each other,</w:t>
      </w:r>
    </w:p>
    <w:p>
      <w:pPr>
        <w:pStyle w:val="ListBullet"/>
        <w:spacing w:line="240" w:lineRule="auto"/>
        <w:ind w:left="720"/>
      </w:pPr>
      <w:r>
        <w:rPr>
          <w:lang w:val="en_US" w:bidi="en_US"/>
        </w:rPr>
      </w:r>
      <w:r>
        <w:rPr>
          <w:lang w:val="en_US" w:bidi="en_US"/>
        </w:rPr>
        <w:t>the shepherds said among themselves,</w:t>
      </w:r>
    </w:p>
    <w:p>
      <w:pPr>
        <w:pStyle w:val="ListBullet"/>
        <w:spacing w:line="240" w:lineRule="auto"/>
        <w:ind w:left="720"/>
      </w:pPr>
      <w:r>
        <w:rPr>
          <w:lang w:val="en_US" w:bidi="en_US"/>
        </w:rPr>
      </w:r>
      <w:r>
        <w:rPr>
          <w:lang w:val="en_US" w:bidi="en_US"/>
        </w:rPr>
        <w:t xml:space="preserve">the shepherds discussed </w:t>
      </w:r>
      <w:r>
        <w:rPr>
          <w:lang w:val="en_US" w:bidi="en_US"/>
        </w:rPr>
        <w:t>what the angel said</w:t>
      </w:r>
      <w:r>
        <w:rPr>
          <w:lang w:val="en_US" w:bidi="en_US"/>
        </w:rPr>
        <w:t>,</w:t>
      </w:r>
    </w:p>
    <w:p>
      <w:pPr/>
      <w:r>
        <w:rPr>
          <w:lang w:val="en_US" w:bidi="en_US"/>
        </w:rPr>
      </w:r>
      <w:r>
        <w:rPr>
          <w:b/>
          <w:lang w:val="en_US" w:bidi="en_US"/>
        </w:rPr>
        <w:t>the shepherds said to one another:</w:t>
      </w:r>
      <w:r>
        <w:rPr>
          <w:lang w:val="en_US" w:bidi="en_US"/>
        </w:rPr>
        <w:t xml:space="preserve"> The shepherds discussed what to do and decided together to go to Bethlehem (2:15c). Other ways to translate this part of the verse are:</w:t>
      </w:r>
    </w:p>
    <w:p>
      <w:pPr/>
      <w:r>
        <w:rPr>
          <w:lang w:val="en_US" w:bidi="en_US"/>
        </w:rPr>
      </w:r>
      <w:r>
        <w:rPr>
          <w:lang w:val="en_US" w:bidi="en_US"/>
        </w:rPr>
        <w:t>the shepherds said among themselves</w:t>
      </w:r>
    </w:p>
    <w:p>
      <w:pPr/>
      <w:r>
        <w:rPr>
          <w:lang w:val="en_US" w:bidi="en_US"/>
        </w:rPr>
      </w:r>
      <w:r>
        <w:rPr>
          <w:lang w:val="en_US" w:bidi="en_US"/>
        </w:rPr>
        <w:t>the shepherds said to each other</w:t>
      </w:r>
    </w:p>
    <w:p>
      <w:pPr/>
      <w:r>
        <w:rPr>
          <w:lang w:val="en_US" w:bidi="en_US"/>
        </w:rPr>
      </w:r>
      <w:r>
        <w:rPr>
          <w:lang w:val="en_US" w:bidi="en_US"/>
        </w:rPr>
        <w:t>In some languages it may be more natural to translate 2:15b–c as indirect speech. See the General Comment on 2:15b–c at the end of the notes on 2:15c for an example.</w:t>
      </w:r>
    </w:p>
    <w:p>
      <w:pPr>
        <w:pStyle w:val="Heading5"/>
      </w:pPr>
      <w:r>
        <w:rPr>
          <w:lang w:val="en_US" w:bidi="en_US"/>
        </w:rPr>
        <w:t>2:15c</w:t>
      </w:r>
    </w:p>
    <w:p>
      <w:pPr/>
      <w:r>
        <w:rPr>
          <w:lang w:val="en_US" w:bidi="en_US"/>
        </w:rPr>
      </w:r>
      <w:r>
        <w:rPr>
          <w:b/>
          <w:lang w:val="en_US" w:bidi="en_US"/>
        </w:rPr>
        <w:t>“Let us go to Bethlehem and see this thing that has happened, which the Lord has made known to us.”</w:t>
      </w:r>
    </w:p>
    <w:p>
      <w:pPr>
        <w:pStyle w:val="ListBullet"/>
        <w:spacing w:line="240" w:lineRule="auto"/>
        <w:ind w:left="720"/>
      </w:pPr>
      <w:r>
        <w:rPr>
          <w:lang w:val="en_US" w:bidi="en_US"/>
        </w:rPr>
      </w:r>
      <w:r>
        <w:rPr>
          <w:lang w:val="en_US" w:bidi="en_US"/>
        </w:rPr>
        <w:t>“Let us</w:t>
      </w:r>
      <w:r>
        <w:rPr>
          <w:vertAlign w:val="superscript"/>
          <w:lang w:val="en_US" w:bidi="en_US"/>
        </w:rPr>
        <w:t>(incl)</w:t>
      </w:r>
      <w:r>
        <w:rPr>
          <w:lang w:val="en_US" w:bidi="en_US"/>
        </w:rPr>
        <w:t xml:space="preserve"> go to Bethlehem and see what the Lord has caused us to know about.”</w:t>
      </w:r>
    </w:p>
    <w:p>
      <w:pPr>
        <w:pStyle w:val="ListBullet"/>
        <w:spacing w:line="240" w:lineRule="auto"/>
        <w:ind w:left="720"/>
      </w:pPr>
      <w:r>
        <w:rPr>
          <w:lang w:val="en_US" w:bidi="en_US"/>
        </w:rPr>
      </w:r>
      <w:r>
        <w:rPr>
          <w:lang w:val="en_US" w:bidi="en_US"/>
        </w:rPr>
        <w:t xml:space="preserve">“The Lord </w:t>
      </w:r>
      <w:r>
        <w:rPr>
          <w:lang w:val="en_US" w:bidi="en_US"/>
        </w:rPr>
        <w:t>sent his angel to</w:t>
      </w:r>
      <w:r>
        <w:rPr>
          <w:lang w:val="en_US" w:bidi="en_US"/>
        </w:rPr>
        <w:t xml:space="preserve"> tell us</w:t>
      </w:r>
      <w:r>
        <w:rPr>
          <w:vertAlign w:val="superscript"/>
          <w:lang w:val="en_US" w:bidi="en_US"/>
        </w:rPr>
        <w:t>(incl)</w:t>
      </w:r>
      <w:r>
        <w:rPr>
          <w:lang w:val="en_US" w:bidi="en_US"/>
        </w:rPr>
        <w:t xml:space="preserve"> about this </w:t>
      </w:r>
      <w:r>
        <w:rPr>
          <w:lang w:val="en_US" w:bidi="en_US"/>
        </w:rPr>
        <w:t>baby being born tonight</w:t>
      </w:r>
      <w:r>
        <w:rPr>
          <w:lang w:val="en_US" w:bidi="en_US"/>
        </w:rPr>
        <w:t xml:space="preserve">. Let us go to </w:t>
      </w:r>
      <w:r>
        <w:rPr>
          <w:lang w:val="en_US" w:bidi="en_US"/>
        </w:rPr>
        <w:t>the town of</w:t>
      </w:r>
      <w:r>
        <w:rPr>
          <w:lang w:val="en_US" w:bidi="en_US"/>
        </w:rPr>
        <w:t xml:space="preserve"> Bethlehem and see him.”</w:t>
      </w:r>
    </w:p>
    <w:p>
      <w:pPr>
        <w:pStyle w:val="ListBullet"/>
        <w:spacing w:line="240" w:lineRule="auto"/>
        <w:ind w:left="720"/>
      </w:pPr>
      <w:r>
        <w:rPr>
          <w:lang w:val="en_US" w:bidi="en_US"/>
        </w:rPr>
      </w:r>
      <w:r>
        <w:rPr>
          <w:lang w:val="en_US" w:bidi="en_US"/>
        </w:rPr>
        <w:t>and they decided to go to Bethlehem and see what the Lord had told them about.</w:t>
      </w:r>
    </w:p>
    <w:p>
      <w:pPr/>
      <w:r>
        <w:rPr>
          <w:lang w:val="en_US" w:bidi="en_US"/>
        </w:rPr>
      </w:r>
      <w:r>
        <w:rPr>
          <w:b/>
          <w:lang w:val="en_US" w:bidi="en_US"/>
        </w:rPr>
        <w:t>Let us go:</w:t>
      </w:r>
      <w:r>
        <w:rPr>
          <w:lang w:val="en_US" w:bidi="en_US"/>
        </w:rPr>
        <w:t xml:space="preserve"> The form of the Greek verb that the BSB translates as </w:t>
      </w:r>
      <w:r>
        <w:rPr>
          <w:i/>
          <w:lang w:val="en_US" w:bidi="en_US"/>
        </w:rPr>
        <w:t>Let us go</w:t>
      </w:r>
      <w:r>
        <w:rPr>
          <w:lang w:val="en_US" w:bidi="en_US"/>
        </w:rPr>
        <w:t xml:space="preserve"> indicates that the shepherds were suggesting to each other that they should go. They were not asking each other for permission. Another way to say this is:</w:t>
      </w:r>
    </w:p>
    <w:p>
      <w:pPr/>
      <w:r>
        <w:rPr>
          <w:lang w:val="en_US" w:bidi="en_US"/>
        </w:rPr>
      </w:r>
      <w:r>
        <w:rPr>
          <w:lang w:val="en_US" w:bidi="en_US"/>
        </w:rPr>
        <w:t>We should/must go</w:t>
      </w:r>
    </w:p>
    <w:p>
      <w:pPr/>
      <w:r>
        <w:rPr>
          <w:lang w:val="en_US" w:bidi="en_US"/>
        </w:rPr>
      </w:r>
      <w:r>
        <w:rPr>
          <w:lang w:val="en_US" w:bidi="en_US"/>
        </w:rPr>
        <w:t>Use a natural way in your language to talk about a group of people deciding to go somewhere together.</w:t>
      </w:r>
    </w:p>
    <w:p>
      <w:pPr/>
      <w:r>
        <w:rPr>
          <w:lang w:val="en_US" w:bidi="en_US"/>
        </w:rPr>
      </w:r>
      <w:r>
        <w:rPr>
          <w:b/>
          <w:lang w:val="en_US" w:bidi="en_US"/>
        </w:rPr>
        <w:t>this thing that has happened:</w:t>
      </w:r>
      <w:r>
        <w:rPr>
          <w:lang w:val="en_US" w:bidi="en_US"/>
        </w:rPr>
        <w:t xml:space="preserve"> The phrase </w:t>
      </w:r>
      <w:r>
        <w:rPr>
          <w:i/>
          <w:lang w:val="en_US" w:bidi="en_US"/>
        </w:rPr>
        <w:t>this thing</w:t>
      </w:r>
      <w:r>
        <w:rPr>
          <w:lang w:val="en_US" w:bidi="en_US"/>
        </w:rPr>
        <w:t xml:space="preserve"> refers to Jesus’ birth. He was the Christ whom God had promised.</w:t>
      </w:r>
    </w:p>
    <w:p>
      <w:pPr/>
      <w:r>
        <w:rPr>
          <w:lang w:val="en_US" w:bidi="en_US"/>
        </w:rPr>
      </w:r>
      <w:r>
        <w:rPr>
          <w:b/>
          <w:lang w:val="en_US" w:bidi="en_US"/>
        </w:rPr>
        <w:t>which the Lord has made known to us:</w:t>
      </w:r>
      <w:r>
        <w:rPr>
          <w:lang w:val="en_US" w:bidi="en_US"/>
        </w:rPr>
        <w:t xml:space="preserve"> The clause </w:t>
      </w:r>
      <w:r>
        <w:rPr>
          <w:i/>
          <w:lang w:val="en_US" w:bidi="en_US"/>
        </w:rPr>
        <w:t>which the Lord has made known to us</w:t>
      </w:r>
      <w:r>
        <w:rPr>
          <w:lang w:val="en_US" w:bidi="en_US"/>
        </w:rPr>
        <w:t xml:space="preserve"> refers to the message that God had given to the shepherds through his angel.</w:t>
      </w:r>
    </w:p>
    <w:p>
      <w:pPr>
        <w:pStyle w:val="Heading6"/>
      </w:pPr>
      <w:r>
        <w:rPr>
          <w:b/>
          <w:lang w:val="en_US" w:bidi="en_US"/>
        </w:rPr>
        <w:t>General Comment on 2:15b–c</w:t>
      </w:r>
    </w:p>
    <w:p>
      <w:pPr/>
      <w:r>
        <w:rPr>
          <w:lang w:val="en_US" w:bidi="en_US"/>
        </w:rPr>
      </w:r>
      <w:r>
        <w:rPr>
          <w:lang w:val="en_US" w:bidi="en_US"/>
        </w:rPr>
        <w:t>In some languages it may be more natural to translate 2:15b–c as indirect speech. For example:</w:t>
      </w:r>
    </w:p>
    <w:p>
      <w:pPr/>
      <w:r>
        <w:rPr>
          <w:lang w:val="en_US" w:bidi="en_US"/>
        </w:rPr>
      </w:r>
      <w:r>
        <w:rPr>
          <w:lang w:val="en_US" w:bidi="en_US"/>
        </w:rPr>
        <w:t>The shepherds agreed together to go to Bethlehem and see the thing that had happened, which the Lord had told them about through the angel.</w:t>
      </w:r>
      <w:r>
        <w:rPr>
          <w:lang w:val="en_US" w:bidi="en_US"/>
        </w:rPr>
      </w:r>
      <w:r>
        <w:rPr>
          <w:lang w:val="en_US" w:bidi="en_US"/>
        </w:rPr>
      </w:r>
    </w:p>
    <w:p>
      <w:pPr/>
      <w:r>
        <w:rPr>
          <w:lang w:val="en_US" w:bidi="en_US"/>
        </w:rPr>
      </w:r>
    </w:p>
    <w:p>
      <w:pPr>
        <w:pStyle w:val="Heading2"/>
      </w:pPr>
      <w:r>
        <w:rPr>
          <w:lang w:val="en_US" w:bidi="en_US"/>
        </w:rPr>
        <w:t>Luke 2:16</w:t>
      </w:r>
      <w:r>
        <w:rPr>
          <w:lang w:val="en_US" w:bidi="en_US"/>
        </w:rPr>
      </w:r>
    </w:p>
    <w:p>
      <w:pPr>
        <w:pStyle w:val="Heading4"/>
      </w:pPr>
      <w:r>
        <w:rPr>
          <w:lang w:val="en_US" w:bidi="en_US"/>
        </w:rPr>
        <w:t>Section 2:8–20: Angels announced to shepherds that the Savior was born</w:t>
      </w:r>
    </w:p>
    <w:p>
      <w:pPr/>
      <w:r>
        <w:rPr>
          <w:lang w:val="en_US" w:bidi="en_US"/>
        </w:rPr>
      </w:r>
      <w:r>
        <w:rPr>
          <w:lang w:val="en_US" w:bidi="en_US"/>
        </w:rP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Angels tell shepherds about Jesus’ birth and the shepherds visit him</w:t>
      </w:r>
    </w:p>
    <w:p>
      <w:pPr/>
      <w:r>
        <w:rPr>
          <w:lang w:val="en_US" w:bidi="en_US"/>
        </w:rPr>
      </w:r>
      <w:r>
        <w:rPr>
          <w:lang w:val="en_US" w:bidi="en_US"/>
        </w:rPr>
        <w:t>The Shepherds and the Angels (GNT)</w:t>
      </w:r>
    </w:p>
    <w:p>
      <w:pPr>
        <w:pStyle w:val="Heading5"/>
      </w:pPr>
      <w:r>
        <w:rPr>
          <w:lang w:val="en_US" w:bidi="en_US"/>
        </w:rPr>
        <w:t>2:16a</w:t>
      </w:r>
    </w:p>
    <w:p>
      <w:pPr/>
      <w:r>
        <w:rPr>
          <w:lang w:val="en_US" w:bidi="en_US"/>
        </w:rPr>
      </w:r>
      <w:r>
        <w:rPr>
          <w:b/>
          <w:lang w:val="en_US" w:bidi="en_US"/>
        </w:rPr>
        <w:t>So they hurried off and found Mary and Joseph</w:t>
      </w:r>
    </w:p>
    <w:p>
      <w:pPr>
        <w:pStyle w:val="ListBullet"/>
        <w:spacing w:line="240" w:lineRule="auto"/>
        <w:ind w:left="720"/>
      </w:pPr>
      <w:r>
        <w:rPr>
          <w:lang w:val="en_US" w:bidi="en_US"/>
        </w:rPr>
      </w:r>
      <w:r>
        <w:rPr>
          <w:lang w:val="en_US" w:bidi="en_US"/>
        </w:rPr>
        <w:t xml:space="preserve">So they hurried away, and, </w:t>
      </w:r>
      <w:r>
        <w:rPr>
          <w:lang w:val="en_US" w:bidi="en_US"/>
        </w:rPr>
        <w:t>after searching,</w:t>
      </w:r>
      <w:r>
        <w:rPr>
          <w:lang w:val="en_US" w:bidi="en_US"/>
        </w:rPr>
        <w:t xml:space="preserve"> they found Mary and Joseph</w:t>
      </w:r>
    </w:p>
    <w:p>
      <w:pPr>
        <w:pStyle w:val="ListBullet"/>
        <w:spacing w:line="240" w:lineRule="auto"/>
        <w:ind w:left="720"/>
      </w:pPr>
      <w:r>
        <w:rPr>
          <w:lang w:val="en_US" w:bidi="en_US"/>
        </w:rPr>
      </w:r>
      <w:r>
        <w:rPr>
          <w:lang w:val="en_US" w:bidi="en_US"/>
        </w:rPr>
        <w:t xml:space="preserve">So they went quickly </w:t>
      </w:r>
      <w:r>
        <w:rPr>
          <w:lang w:val="en_US" w:bidi="en_US"/>
        </w:rPr>
        <w:t>to Bethlehem</w:t>
      </w:r>
      <w:r>
        <w:rPr>
          <w:lang w:val="en_US" w:bidi="en_US"/>
        </w:rPr>
        <w:t xml:space="preserve"> and, </w:t>
      </w:r>
      <w:r>
        <w:rPr>
          <w:lang w:val="en_US" w:bidi="en_US"/>
        </w:rPr>
        <w:t>after they had searched, they</w:t>
      </w:r>
      <w:r>
        <w:rPr>
          <w:lang w:val="en_US" w:bidi="en_US"/>
        </w:rPr>
        <w:t xml:space="preserve"> found Mary and Joseph </w:t>
      </w:r>
      <w:r>
        <w:rPr>
          <w:lang w:val="en_US" w:bidi="en_US"/>
        </w:rPr>
        <w:t>in a/the stable</w:t>
      </w:r>
    </w:p>
    <w:p>
      <w:pPr>
        <w:pStyle w:val="Heading5"/>
      </w:pPr>
      <w:r>
        <w:rPr>
          <w:lang w:val="en_US" w:bidi="en_US"/>
        </w:rPr>
        <w:t>2:16b</w:t>
      </w:r>
    </w:p>
    <w:p>
      <w:pPr/>
      <w:r>
        <w:rPr>
          <w:lang w:val="en_US" w:bidi="en_US"/>
        </w:rPr>
      </w:r>
      <w:r>
        <w:rPr>
          <w:b/>
          <w:lang w:val="en_US" w:bidi="en_US"/>
        </w:rPr>
        <w:t>and the Baby, who was lying in the manger.</w:t>
      </w:r>
    </w:p>
    <w:p>
      <w:pPr>
        <w:pStyle w:val="ListBullet"/>
        <w:spacing w:line="240" w:lineRule="auto"/>
        <w:ind w:left="720"/>
      </w:pPr>
      <w:r>
        <w:rPr>
          <w:lang w:val="en_US" w:bidi="en_US"/>
        </w:rPr>
      </w:r>
      <w:r>
        <w:rPr>
          <w:lang w:val="en_US" w:bidi="en_US"/>
        </w:rPr>
        <w:t>and the baby, who was lying in a feeding box for animals.</w:t>
      </w:r>
    </w:p>
    <w:p>
      <w:pPr>
        <w:pStyle w:val="ListBullet"/>
        <w:spacing w:line="240" w:lineRule="auto"/>
        <w:ind w:left="720"/>
      </w:pPr>
      <w:r>
        <w:rPr>
          <w:lang w:val="en_US" w:bidi="en_US"/>
        </w:rPr>
      </w:r>
      <w:r>
        <w:rPr>
          <w:lang w:val="en_US" w:bidi="en_US"/>
        </w:rPr>
        <w:t xml:space="preserve">with the baby. The baby was lying in a box from which animals eat </w:t>
      </w:r>
      <w:r>
        <w:rPr>
          <w:lang w:val="en_US" w:bidi="en_US"/>
        </w:rPr>
        <w:t>their food</w:t>
      </w:r>
      <w:r>
        <w:rPr>
          <w:lang w:val="en_US" w:bidi="en_US"/>
        </w:rPr>
        <w:t>.</w:t>
      </w:r>
    </w:p>
    <w:p>
      <w:pPr>
        <w:pStyle w:val="Heading5"/>
      </w:pPr>
      <w:r>
        <w:rPr>
          <w:lang w:val="en_US" w:bidi="en_US"/>
        </w:rPr>
        <w:t>2:16a–b</w:t>
      </w:r>
    </w:p>
    <w:p>
      <w:pPr/>
      <w:r>
        <w:rPr>
          <w:lang w:val="en_US" w:bidi="en_US"/>
        </w:rPr>
      </w:r>
      <w:r>
        <w:rPr>
          <w:b/>
          <w:lang w:val="en_US" w:bidi="en_US"/>
        </w:rPr>
        <w:t>So they hurried off:</w:t>
      </w:r>
      <w:r>
        <w:rPr>
          <w:lang w:val="en_US" w:bidi="en_US"/>
        </w:rPr>
        <w:t xml:space="preserve"> The Greek conjunction that the BSB translates as </w:t>
      </w:r>
      <w:r>
        <w:rPr>
          <w:i/>
          <w:lang w:val="en_US" w:bidi="en_US"/>
        </w:rPr>
        <w:t>So</w:t>
      </w:r>
      <w:r>
        <w:rPr>
          <w:lang w:val="en_US" w:bidi="en_US"/>
        </w:rPr>
        <w:t xml:space="preserve"> introduces the result of the shepherds’ discussion. In some languages a conjunction may not be needed. For example:</w:t>
      </w:r>
    </w:p>
    <w:p>
      <w:pPr/>
      <w:r>
        <w:rPr>
          <w:lang w:val="en_US" w:bidi="en_US"/>
        </w:rPr>
      </w:r>
      <w:r>
        <w:rPr>
          <w:lang w:val="en_US" w:bidi="en_US"/>
        </w:rPr>
        <w:t>They went quickly (GW)</w:t>
      </w:r>
    </w:p>
    <w:p>
      <w:pPr/>
      <w:r>
        <w:rPr>
          <w:lang w:val="en_US" w:bidi="en_US"/>
        </w:rPr>
      </w:r>
      <w:r>
        <w:rPr>
          <w:lang w:val="en_US" w:bidi="en_US"/>
        </w:rPr>
        <w:t>Connect this verse to 2:15 in a natural way in your language.</w:t>
      </w:r>
    </w:p>
    <w:p>
      <w:pPr/>
      <w:r>
        <w:rPr>
          <w:lang w:val="en_US" w:bidi="en_US"/>
        </w:rPr>
      </w:r>
      <w:r>
        <w:rPr>
          <w:b/>
          <w:lang w:val="en_US" w:bidi="en_US"/>
        </w:rPr>
        <w:t>they hurried off:</w:t>
      </w:r>
      <w:r>
        <w:rPr>
          <w:lang w:val="en_US" w:bidi="en_US"/>
        </w:rPr>
        <w:t xml:space="preserve"> The phrase </w:t>
      </w:r>
      <w:r>
        <w:rPr>
          <w:i/>
          <w:lang w:val="en_US" w:bidi="en_US"/>
        </w:rPr>
        <w:t>they hurried off</w:t>
      </w:r>
      <w:r>
        <w:rPr>
          <w:lang w:val="en_US" w:bidi="en_US"/>
        </w:rPr>
        <w:t xml:space="preserve"> indicates that the shepherds went quickly. They did not hesitate to go and see the baby whom the angel had told them about. Some other ways to translate this are:</w:t>
      </w:r>
    </w:p>
    <w:p>
      <w:pPr/>
      <w:r>
        <w:rPr>
          <w:lang w:val="en_US" w:bidi="en_US"/>
        </w:rPr>
      </w:r>
      <w:r>
        <w:rPr>
          <w:lang w:val="en_US" w:bidi="en_US"/>
        </w:rPr>
        <w:t>the shepherds went quickly (NCV)</w:t>
      </w:r>
    </w:p>
    <w:p>
      <w:pPr/>
      <w:r>
        <w:rPr>
          <w:lang w:val="en_US" w:bidi="en_US"/>
        </w:rPr>
      </w:r>
      <w:r>
        <w:rPr>
          <w:lang w:val="en_US" w:bidi="en_US"/>
        </w:rPr>
        <w:t>they came in a hurry (NASB)</w:t>
      </w:r>
    </w:p>
    <w:p>
      <w:pPr/>
      <w:r>
        <w:rPr>
          <w:lang w:val="en_US" w:bidi="en_US"/>
        </w:rPr>
      </w:r>
      <w:r>
        <w:rPr>
          <w:lang w:val="en_US" w:bidi="en_US"/>
        </w:rPr>
        <w:t>they came as fast as they could (JBP)</w:t>
      </w:r>
    </w:p>
    <w:p>
      <w:pPr/>
      <w:r>
        <w:rPr>
          <w:lang w:val="en_US" w:bidi="en_US"/>
        </w:rPr>
      </w:r>
      <w:r>
        <w:rPr>
          <w:b/>
          <w:lang w:val="en_US" w:bidi="en_US"/>
        </w:rPr>
        <w:t>and found Mary and Joseph and the Baby:</w:t>
      </w:r>
      <w:r>
        <w:rPr>
          <w:lang w:val="en_US" w:bidi="en_US"/>
        </w:rPr>
        <w:t xml:space="preserve"> The shepherds </w:t>
      </w:r>
      <w:r>
        <w:rPr>
          <w:i/>
          <w:lang w:val="en_US" w:bidi="en_US"/>
        </w:rPr>
        <w:t>found Mary and Joseph</w:t>
      </w:r>
      <w:r>
        <w:rPr>
          <w:lang w:val="en_US" w:bidi="en_US"/>
        </w:rPr>
        <w:t xml:space="preserve"> with the baby Jesus. The Greek verb that the BSB translates as </w:t>
      </w:r>
      <w:r>
        <w:rPr>
          <w:i/>
          <w:lang w:val="en_US" w:bidi="en_US"/>
        </w:rPr>
        <w:t>found</w:t>
      </w:r>
      <w:r>
        <w:rPr>
          <w:lang w:val="en_US" w:bidi="en_US"/>
        </w:rPr>
        <w:t xml:space="preserve"> implies that the shepherds searched for Mary, Joseph, and the baby before finding them.</w:t>
      </w:r>
    </w:p>
    <w:p>
      <w:pPr/>
      <w:r>
        <w:rPr>
          <w:lang w:val="en_US" w:bidi="en_US"/>
        </w:rPr>
      </w:r>
      <w:r>
        <w:rPr>
          <w:b/>
          <w:lang w:val="en_US" w:bidi="en_US"/>
        </w:rPr>
        <w:t>who was lying in the manger:</w:t>
      </w:r>
      <w:r>
        <w:rPr>
          <w:lang w:val="en_US" w:bidi="en_US"/>
        </w:rPr>
        <w:t xml:space="preserve"> The baby Jesus </w:t>
      </w:r>
      <w:r>
        <w:rPr>
          <w:i/>
          <w:lang w:val="en_US" w:bidi="en_US"/>
        </w:rPr>
        <w:t>was lying in the manger</w:t>
      </w:r>
      <w:r>
        <w:rPr>
          <w:lang w:val="en_US" w:bidi="en_US"/>
        </w:rPr>
        <w:t xml:space="preserve">, as the angel had told them (2:12). For a description of </w:t>
      </w:r>
      <w:r>
        <w:rPr>
          <w:i/>
          <w:lang w:val="en_US" w:bidi="en_US"/>
        </w:rPr>
        <w:t>manger</w:t>
      </w:r>
      <w:r>
        <w:rPr>
          <w:lang w:val="en_US" w:bidi="en_US"/>
        </w:rPr>
        <w:t>, see the note for 2:7c.</w:t>
      </w:r>
      <w:r>
        <w:rPr>
          <w:lang w:val="en_US" w:bidi="en_US"/>
        </w:rPr>
      </w:r>
      <w:r>
        <w:rPr>
          <w:lang w:val="en_US" w:bidi="en_US"/>
        </w:rPr>
      </w:r>
    </w:p>
    <w:p>
      <w:pPr/>
      <w:r>
        <w:rPr>
          <w:lang w:val="en_US" w:bidi="en_US"/>
        </w:rPr>
      </w:r>
    </w:p>
    <w:p>
      <w:pPr>
        <w:pStyle w:val="Heading2"/>
      </w:pPr>
      <w:r>
        <w:rPr>
          <w:lang w:val="en_US" w:bidi="en_US"/>
        </w:rPr>
        <w:t>Luke 2:17</w:t>
      </w:r>
      <w:r>
        <w:rPr>
          <w:lang w:val="en_US" w:bidi="en_US"/>
        </w:rPr>
      </w:r>
    </w:p>
    <w:p>
      <w:pPr>
        <w:pStyle w:val="Heading4"/>
      </w:pPr>
      <w:r>
        <w:rPr>
          <w:lang w:val="en_US" w:bidi="en_US"/>
        </w:rPr>
        <w:t>Section 2:8–20: Angels announced to shepherds that the Savior was born</w:t>
      </w:r>
    </w:p>
    <w:p>
      <w:pPr/>
      <w:r>
        <w:rPr>
          <w:lang w:val="en_US" w:bidi="en_US"/>
        </w:rPr>
      </w:r>
      <w:r>
        <w:rPr>
          <w:lang w:val="en_US" w:bidi="en_US"/>
        </w:rP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Angels tell shepherds about Jesus’ birth and the shepherds visit him</w:t>
      </w:r>
    </w:p>
    <w:p>
      <w:pPr/>
      <w:r>
        <w:rPr>
          <w:lang w:val="en_US" w:bidi="en_US"/>
        </w:rPr>
      </w:r>
      <w:r>
        <w:rPr>
          <w:lang w:val="en_US" w:bidi="en_US"/>
        </w:rPr>
        <w:t>The Shepherds and the Angels (GNT)</w:t>
      </w:r>
    </w:p>
    <w:p>
      <w:pPr>
        <w:pStyle w:val="Heading5"/>
      </w:pPr>
      <w:r>
        <w:rPr>
          <w:lang w:val="en_US" w:bidi="en_US"/>
        </w:rPr>
        <w:t>2:17a</w:t>
      </w:r>
    </w:p>
    <w:p>
      <w:pPr/>
      <w:r>
        <w:rPr>
          <w:lang w:val="en_US" w:bidi="en_US"/>
        </w:rPr>
      </w:r>
      <w:r>
        <w:rPr>
          <w:b/>
          <w:lang w:val="en_US" w:bidi="en_US"/>
        </w:rPr>
        <w:t>After they had seen the Child, they spread</w:t>
      </w:r>
    </w:p>
    <w:p>
      <w:pPr>
        <w:pStyle w:val="ListBullet"/>
        <w:spacing w:line="240" w:lineRule="auto"/>
        <w:ind w:left="720"/>
      </w:pPr>
      <w:r>
        <w:rPr>
          <w:lang w:val="en_US" w:bidi="en_US"/>
        </w:rPr>
      </w:r>
      <w:r>
        <w:rPr>
          <w:lang w:val="en_US" w:bidi="en_US"/>
        </w:rPr>
        <w:t>When they had seen him, they went and told/shared</w:t>
      </w:r>
    </w:p>
    <w:p>
      <w:pPr>
        <w:pStyle w:val="ListBullet"/>
        <w:spacing w:line="240" w:lineRule="auto"/>
        <w:ind w:left="720"/>
      </w:pPr>
      <w:r>
        <w:rPr>
          <w:lang w:val="en_US" w:bidi="en_US"/>
        </w:rPr>
      </w:r>
      <w:r>
        <w:rPr>
          <w:lang w:val="en_US" w:bidi="en_US"/>
        </w:rPr>
        <w:t xml:space="preserve">After the shepherds had seen the baby, they told </w:t>
      </w:r>
      <w:r>
        <w:rPr>
          <w:lang w:val="en_US" w:bidi="en_US"/>
        </w:rPr>
        <w:t>other people</w:t>
      </w:r>
    </w:p>
    <w:p>
      <w:pPr/>
      <w:r>
        <w:rPr>
          <w:lang w:val="en_US" w:bidi="en_US"/>
        </w:rPr>
      </w:r>
      <w:r>
        <w:rPr>
          <w:b/>
          <w:lang w:val="en_US" w:bidi="en_US"/>
        </w:rPr>
        <w:t>they spread:</w:t>
      </w:r>
      <w:r>
        <w:rPr>
          <w:lang w:val="en_US" w:bidi="en_US"/>
        </w:rPr>
        <w:t xml:space="preserve"> The Greek verb that the BSB translates as </w:t>
      </w:r>
      <w:r>
        <w:rPr>
          <w:i/>
          <w:lang w:val="en_US" w:bidi="en_US"/>
        </w:rPr>
        <w:t>spread</w:t>
      </w:r>
      <w:r>
        <w:rPr>
          <w:lang w:val="en_US" w:bidi="en_US"/>
        </w:rPr>
        <w:t xml:space="preserve"> is literally “made known.” The shepherds “made known” or “told” others what the angel had told them about the baby.</w:t>
      </w:r>
    </w:p>
    <w:p>
      <w:pPr/>
      <w:r>
        <w:rPr>
          <w:lang w:val="en_US" w:bidi="en_US"/>
        </w:rPr>
      </w:r>
      <w:r>
        <w:rPr>
          <w:lang w:val="en_US" w:bidi="en_US"/>
        </w:rPr>
        <w:t>The Greek text does not say to whom the shepherds told this. There are two points of view:</w:t>
      </w:r>
    </w:p>
    <w:p>
      <w:pPr>
        <w:pStyle w:val="ListNumber"/>
        <w:numPr>
          <w:ilvl w:val="0"/>
          <w:numId w:val="33"/>
        </w:numPr>
        <w:spacing w:line="240" w:lineRule="auto"/>
        <w:ind w:left="720"/>
      </w:pPr>
      <w:r>
        <w:rPr>
          <w:lang w:val="en_US" w:bidi="en_US"/>
        </w:rPr>
      </w:r>
      <w:r>
        <w:rPr>
          <w:lang w:val="en_US" w:bidi="en_US"/>
        </w:rPr>
        <w:t xml:space="preserve">They told it </w:t>
      </w:r>
      <w:r>
        <w:rPr>
          <w:u w:val="single"/>
          <w:lang w:val="en_US" w:bidi="en_US"/>
        </w:rPr>
        <w:t>to everyone</w:t>
      </w:r>
      <w:r>
        <w:rPr>
          <w:lang w:val="en_US" w:bidi="en_US"/>
        </w:rPr>
        <w:t xml:space="preserve"> whom they saw. For example:</w:t>
      </w:r>
      <w:r>
        <w:rPr>
          <w:lang w:val="en_US" w:bidi="en_US"/>
        </w:rPr>
        <w:t xml:space="preserve">the shepherds told everyone (NLT) </w:t>
      </w:r>
      <w:r>
        <w:rPr>
          <w:i/>
          <w:lang w:val="en_US" w:bidi="en_US"/>
        </w:rPr>
        <w:t>(NLT, NIV, JBP, KJV)</w:t>
      </w:r>
    </w:p>
    <w:p>
      <w:pPr>
        <w:pStyle w:val="ListNumber"/>
        <w:spacing w:line="240" w:lineRule="auto"/>
        <w:ind w:left="720"/>
      </w:pPr>
      <w:r>
        <w:rPr>
          <w:lang w:val="en_US" w:bidi="en_US"/>
        </w:rPr>
      </w:r>
      <w:r>
        <w:rPr>
          <w:lang w:val="en_US" w:bidi="en_US"/>
        </w:rPr>
        <w:t xml:space="preserve">They told it </w:t>
      </w:r>
      <w:r>
        <w:rPr>
          <w:u w:val="single"/>
          <w:lang w:val="en_US" w:bidi="en_US"/>
        </w:rPr>
        <w:t>to Mary and Joseph</w:t>
      </w:r>
      <w:r>
        <w:rPr>
          <w:lang w:val="en_US" w:bidi="en_US"/>
        </w:rPr>
        <w:t>. For example:</w:t>
      </w:r>
      <w:r>
        <w:rPr>
          <w:lang w:val="en_US" w:bidi="en_US"/>
        </w:rPr>
        <w:t xml:space="preserve">they told his parents (CEV) </w:t>
      </w:r>
      <w:r>
        <w:rPr>
          <w:i/>
          <w:lang w:val="en_US" w:bidi="en_US"/>
        </w:rPr>
        <w:t>(CEV, GNT)</w:t>
      </w:r>
    </w:p>
    <w:p>
      <w:pPr/>
      <w:r>
        <w:rPr>
          <w:lang w:val="en_US" w:bidi="en_US"/>
        </w:rPr>
      </w:r>
      <w:r>
        <w:rPr>
          <w:lang w:val="en_US" w:bidi="en_US"/>
        </w:rPr>
        <w:t>Most English versions do not specifically say to whom the shepherds told this.</w:t>
      </w:r>
    </w:p>
    <w:p>
      <w:pPr/>
      <w:r>
        <w:rPr>
          <w:lang w:val="en_US" w:bidi="en_US"/>
        </w:rPr>
      </w:r>
      <w:r>
        <w:rPr>
          <w:lang w:val="en_US" w:bidi="en_US"/>
        </w:rPr>
        <w:t>It may be more natural in your language to make explicit to whom the shepherds told the news. If that is true in your language, it is recommended that you follow interpretation (1). Interpretation (1) seems to fit the context better, because 2:18 says that “all who heard it were amazed.”</w:t>
      </w:r>
    </w:p>
    <w:p>
      <w:pPr>
        <w:pStyle w:val="Heading5"/>
      </w:pPr>
      <w:r>
        <w:rPr>
          <w:lang w:val="en_US" w:bidi="en_US"/>
        </w:rPr>
        <w:t>2:17b</w:t>
      </w:r>
    </w:p>
    <w:p>
      <w:pPr/>
      <w:r>
        <w:rPr>
          <w:lang w:val="en_US" w:bidi="en_US"/>
        </w:rPr>
      </w:r>
      <w:r>
        <w:rPr>
          <w:b/>
          <w:lang w:val="en_US" w:bidi="en_US"/>
        </w:rPr>
        <w:t>the message they had received about Him.</w:t>
      </w:r>
    </w:p>
    <w:p>
      <w:pPr>
        <w:pStyle w:val="ListBullet"/>
        <w:spacing w:line="240" w:lineRule="auto"/>
        <w:ind w:left="720"/>
      </w:pPr>
      <w:r>
        <w:rPr>
          <w:lang w:val="en_US" w:bidi="en_US"/>
        </w:rPr>
      </w:r>
      <w:r>
        <w:rPr>
          <w:lang w:val="en_US" w:bidi="en_US"/>
        </w:rPr>
        <w:t>what they had heard about this child/baby.</w:t>
      </w:r>
    </w:p>
    <w:p>
      <w:pPr>
        <w:pStyle w:val="ListBullet"/>
        <w:spacing w:line="240" w:lineRule="auto"/>
        <w:ind w:left="720"/>
      </w:pPr>
      <w:r>
        <w:rPr>
          <w:lang w:val="en_US" w:bidi="en_US"/>
        </w:rPr>
      </w:r>
      <w:r>
        <w:rPr>
          <w:lang w:val="en_US" w:bidi="en_US"/>
        </w:rPr>
        <w:t xml:space="preserve">about the things that </w:t>
      </w:r>
      <w:r>
        <w:rPr>
          <w:lang w:val="en_US" w:bidi="en_US"/>
        </w:rPr>
        <w:t>the angel</w:t>
      </w:r>
      <w:r>
        <w:rPr>
          <w:lang w:val="en_US" w:bidi="en_US"/>
        </w:rPr>
        <w:t xml:space="preserve"> had told them about him.</w:t>
      </w:r>
    </w:p>
    <w:p>
      <w:pPr/>
      <w:r>
        <w:rPr>
          <w:lang w:val="en_US" w:bidi="en_US"/>
        </w:rPr>
      </w:r>
      <w:r>
        <w:rPr>
          <w:b/>
          <w:lang w:val="en_US" w:bidi="en_US"/>
        </w:rPr>
        <w:t>the message:</w:t>
      </w:r>
      <w:r>
        <w:rPr>
          <w:lang w:val="en_US" w:bidi="en_US"/>
        </w:rPr>
        <w:t xml:space="preserve"> The Greek word that the BSB translates as </w:t>
      </w:r>
      <w:r>
        <w:rPr>
          <w:i/>
          <w:lang w:val="en_US" w:bidi="en_US"/>
        </w:rPr>
        <w:t>the message</w:t>
      </w:r>
      <w:r>
        <w:rPr>
          <w:lang w:val="en_US" w:bidi="en_US"/>
        </w:rPr>
        <w:t xml:space="preserve"> is literally “the word/saying.” It refers to the angel’s statement that the child was the “Savior, Christ the Lord” (2:11).</w:t>
      </w:r>
    </w:p>
    <w:p>
      <w:pPr/>
      <w:r>
        <w:rPr>
          <w:lang w:val="en_US" w:bidi="en_US"/>
        </w:rPr>
      </w:r>
      <w:r>
        <w:rPr>
          <w:b/>
          <w:lang w:val="en_US" w:bidi="en_US"/>
        </w:rPr>
        <w:t>they had received about Him:</w:t>
      </w:r>
      <w:r>
        <w:rPr>
          <w:lang w:val="en_US" w:bidi="en_US"/>
        </w:rPr>
        <w:t xml:space="preserve"> The Greek verb that the BSB translates as </w:t>
      </w:r>
      <w:r>
        <w:rPr>
          <w:i/>
          <w:lang w:val="en_US" w:bidi="en_US"/>
        </w:rPr>
        <w:t>they had received about Him</w:t>
      </w:r>
      <w:r>
        <w:rPr>
          <w:lang w:val="en_US" w:bidi="en_US"/>
        </w:rPr>
        <w:t xml:space="preserve"> is passive, literally “that had been told to them about this child.” It does not indicate who told the shepherds about the child. The context indicates that </w:t>
      </w:r>
      <w:r>
        <w:rPr>
          <w:u w:val="single"/>
          <w:lang w:val="en_US" w:bidi="en_US"/>
        </w:rPr>
        <w:t>the angel</w:t>
      </w:r>
      <w:r>
        <w:rPr>
          <w:lang w:val="en_US" w:bidi="en_US"/>
        </w:rPr>
        <w:t xml:space="preserve"> told them (2:9–12).</w:t>
      </w:r>
    </w:p>
    <w:p>
      <w:pPr/>
      <w:r>
        <w:rPr>
          <w:lang w:val="en_US" w:bidi="en_US"/>
        </w:rPr>
      </w:r>
      <w:r>
        <w:rPr>
          <w:lang w:val="en_US" w:bidi="en_US"/>
        </w:rPr>
        <w:t>If it is more natural in your language to say who told the shepherds about this child, you can say:</w:t>
      </w:r>
    </w:p>
    <w:p>
      <w:pPr/>
      <w:r>
        <w:rPr>
          <w:lang w:val="en_US" w:bidi="en_US"/>
        </w:rPr>
      </w:r>
      <w:r>
        <w:rPr>
          <w:lang w:val="en_US" w:bidi="en_US"/>
        </w:rPr>
        <w:t xml:space="preserve">what </w:t>
      </w:r>
      <w:r>
        <w:rPr>
          <w:u w:val="single"/>
          <w:lang w:val="en_US" w:bidi="en_US"/>
        </w:rPr>
        <w:t>the angel</w:t>
      </w:r>
      <w:r>
        <w:rPr>
          <w:lang w:val="en_US" w:bidi="en_US"/>
        </w:rPr>
        <w:t xml:space="preserve"> had told them about this child</w:t>
      </w:r>
      <w:r>
        <w:rPr>
          <w:lang w:val="en_US" w:bidi="en_US"/>
        </w:rPr>
      </w:r>
      <w:r>
        <w:rPr>
          <w:lang w:val="en_US" w:bidi="en_US"/>
        </w:rPr>
      </w:r>
    </w:p>
    <w:p>
      <w:pPr/>
      <w:r>
        <w:rPr>
          <w:lang w:val="en_US" w:bidi="en_US"/>
        </w:rPr>
      </w:r>
    </w:p>
    <w:p>
      <w:pPr>
        <w:pStyle w:val="Heading2"/>
      </w:pPr>
      <w:r>
        <w:rPr>
          <w:lang w:val="en_US" w:bidi="en_US"/>
        </w:rPr>
        <w:t>Luke 2:18</w:t>
      </w:r>
      <w:r>
        <w:rPr>
          <w:lang w:val="en_US" w:bidi="en_US"/>
        </w:rPr>
      </w:r>
    </w:p>
    <w:p>
      <w:pPr>
        <w:pStyle w:val="Heading4"/>
      </w:pPr>
      <w:r>
        <w:rPr>
          <w:lang w:val="en_US" w:bidi="en_US"/>
        </w:rPr>
        <w:t>Section 2:8–20: Angels announced to shepherds that the Savior was born</w:t>
      </w:r>
    </w:p>
    <w:p>
      <w:pPr/>
      <w:r>
        <w:rPr>
          <w:lang w:val="en_US" w:bidi="en_US"/>
        </w:rPr>
      </w:r>
      <w:r>
        <w:rPr>
          <w:lang w:val="en_US" w:bidi="en_US"/>
        </w:rP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Angels tell shepherds about Jesus’ birth and the shepherds visit him</w:t>
      </w:r>
    </w:p>
    <w:p>
      <w:pPr/>
      <w:r>
        <w:rPr>
          <w:lang w:val="en_US" w:bidi="en_US"/>
        </w:rPr>
      </w:r>
      <w:r>
        <w:rPr>
          <w:lang w:val="en_US" w:bidi="en_US"/>
        </w:rPr>
        <w:t>The Shepherds and the Angels (GNT)</w:t>
      </w:r>
    </w:p>
    <w:p>
      <w:pPr>
        <w:pStyle w:val="Heading5"/>
      </w:pPr>
      <w:r>
        <w:rPr>
          <w:lang w:val="en_US" w:bidi="en_US"/>
        </w:rPr>
        <w:t>2:18</w:t>
      </w:r>
    </w:p>
    <w:p>
      <w:pPr/>
      <w:r>
        <w:rPr>
          <w:lang w:val="en_US" w:bidi="en_US"/>
        </w:rPr>
      </w:r>
      <w:r>
        <w:rPr>
          <w:b/>
          <w:lang w:val="en_US" w:bidi="en_US"/>
        </w:rPr>
        <w:t>And all who heard it were amazed at what the shepherds said to them.</w:t>
      </w:r>
    </w:p>
    <w:p>
      <w:pPr>
        <w:pStyle w:val="ListBullet"/>
        <w:spacing w:line="240" w:lineRule="auto"/>
        <w:ind w:left="720"/>
      </w:pPr>
      <w:r>
        <w:rPr>
          <w:lang w:val="en_US" w:bidi="en_US"/>
        </w:rPr>
      </w:r>
      <w:r>
        <w:rPr>
          <w:lang w:val="en_US" w:bidi="en_US"/>
        </w:rPr>
        <w:t>And all the people who heard this were amazed at what the shepherds told them.</w:t>
      </w:r>
    </w:p>
    <w:p>
      <w:pPr>
        <w:pStyle w:val="ListBullet"/>
        <w:spacing w:line="240" w:lineRule="auto"/>
        <w:ind w:left="720"/>
      </w:pPr>
      <w:r>
        <w:rPr>
          <w:lang w:val="en_US" w:bidi="en_US"/>
        </w:rPr>
      </w:r>
      <w:r>
        <w:rPr>
          <w:lang w:val="en_US" w:bidi="en_US"/>
        </w:rPr>
        <w:t>Everyone who heard the shepherds’ words/report was astonished/surprised.</w:t>
      </w:r>
    </w:p>
    <w:p>
      <w:pPr/>
      <w:r>
        <w:rPr>
          <w:lang w:val="en_US" w:bidi="en_US"/>
        </w:rPr>
      </w:r>
      <w:r>
        <w:rPr>
          <w:b/>
          <w:lang w:val="en_US" w:bidi="en_US"/>
        </w:rPr>
        <w:t>all who heard it:</w:t>
      </w:r>
      <w:r>
        <w:rPr>
          <w:lang w:val="en_US" w:bidi="en_US"/>
        </w:rPr>
        <w:t xml:space="preserve"> Some other ways to say </w:t>
      </w:r>
      <w:r>
        <w:rPr>
          <w:i/>
          <w:lang w:val="en_US" w:bidi="en_US"/>
        </w:rPr>
        <w:t>all who heard it</w:t>
      </w:r>
      <w:r>
        <w:rPr>
          <w:lang w:val="en_US" w:bidi="en_US"/>
        </w:rPr>
        <w:t xml:space="preserve"> are:</w:t>
      </w:r>
    </w:p>
    <w:p>
      <w:pPr/>
      <w:r>
        <w:rPr>
          <w:lang w:val="en_US" w:bidi="en_US"/>
        </w:rPr>
      </w:r>
      <w:r>
        <w:rPr>
          <w:lang w:val="en_US" w:bidi="en_US"/>
        </w:rPr>
        <w:t>all the people who heard this news</w:t>
      </w:r>
    </w:p>
    <w:p>
      <w:pPr/>
      <w:r>
        <w:rPr>
          <w:lang w:val="en_US" w:bidi="en_US"/>
        </w:rPr>
      </w:r>
      <w:r>
        <w:rPr>
          <w:lang w:val="en_US" w:bidi="en_US"/>
        </w:rPr>
        <w:t>everyone who heard the shepherds’ words/report</w:t>
      </w:r>
    </w:p>
    <w:p>
      <w:pPr/>
      <w:r>
        <w:rPr>
          <w:lang w:val="en_US" w:bidi="en_US"/>
        </w:rPr>
      </w:r>
      <w:r>
        <w:rPr>
          <w:b/>
          <w:lang w:val="en_US" w:bidi="en_US"/>
        </w:rPr>
        <w:t>were amazed:</w:t>
      </w:r>
      <w:r>
        <w:rPr>
          <w:lang w:val="en_US" w:bidi="en_US"/>
        </w:rPr>
        <w:t xml:space="preserve"> The Greek verb that the BSB translates here as </w:t>
      </w:r>
      <w:r>
        <w:rPr>
          <w:i/>
          <w:lang w:val="en_US" w:bidi="en_US"/>
        </w:rPr>
        <w:t>were amazed</w:t>
      </w:r>
      <w:r>
        <w:rPr>
          <w:lang w:val="en_US" w:bidi="en_US"/>
        </w:rPr>
        <w:t xml:space="preserve"> occurred twice before in Luke (1:21, 1:63). It may also be translated as:</w:t>
      </w:r>
    </w:p>
    <w:p>
      <w:pPr/>
      <w:r>
        <w:rPr>
          <w:lang w:val="en_US" w:bidi="en_US"/>
        </w:rPr>
      </w:r>
      <w:r>
        <w:rPr>
          <w:lang w:val="en_US" w:bidi="en_US"/>
        </w:rPr>
        <w:t>were astonished (NET)</w:t>
      </w:r>
    </w:p>
    <w:p>
      <w:pPr/>
      <w:r>
        <w:rPr>
          <w:lang w:val="en_US" w:bidi="en_US"/>
        </w:rPr>
      </w:r>
      <w:r>
        <w:rPr>
          <w:lang w:val="en_US" w:bidi="en_US"/>
        </w:rPr>
        <w:t>wondered (RSV)</w:t>
      </w:r>
    </w:p>
    <w:p>
      <w:pPr/>
      <w:r>
        <w:rPr>
          <w:lang w:val="en_US" w:bidi="en_US"/>
        </w:rPr>
      </w:r>
      <w:r>
        <w:rPr>
          <w:lang w:val="en_US" w:bidi="en_US"/>
        </w:rPr>
        <w:t>was surprised (CEV)</w:t>
      </w:r>
      <w:r>
        <w:rPr>
          <w:lang w:val="en_US" w:bidi="en_US"/>
        </w:rPr>
      </w:r>
      <w:r>
        <w:rPr>
          <w:lang w:val="en_US" w:bidi="en_US"/>
        </w:rPr>
      </w:r>
    </w:p>
    <w:p>
      <w:pPr/>
      <w:r>
        <w:rPr>
          <w:lang w:val="en_US" w:bidi="en_US"/>
        </w:rPr>
      </w:r>
    </w:p>
    <w:p>
      <w:pPr>
        <w:pStyle w:val="Heading2"/>
      </w:pPr>
      <w:r>
        <w:rPr>
          <w:lang w:val="en_US" w:bidi="en_US"/>
        </w:rPr>
        <w:t>Luke 2:19</w:t>
      </w:r>
      <w:r>
        <w:rPr>
          <w:lang w:val="en_US" w:bidi="en_US"/>
        </w:rPr>
      </w:r>
    </w:p>
    <w:p>
      <w:pPr>
        <w:pStyle w:val="Heading4"/>
      </w:pPr>
      <w:r>
        <w:rPr>
          <w:lang w:val="en_US" w:bidi="en_US"/>
        </w:rPr>
        <w:t>Section 2:8–20: Angels announced to shepherds that the Savior was born</w:t>
      </w:r>
    </w:p>
    <w:p>
      <w:pPr/>
      <w:r>
        <w:rPr>
          <w:lang w:val="en_US" w:bidi="en_US"/>
        </w:rPr>
      </w:r>
      <w:r>
        <w:rPr>
          <w:lang w:val="en_US" w:bidi="en_US"/>
        </w:rP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Angels tell shepherds about Jesus’ birth and the shepherds visit him</w:t>
      </w:r>
    </w:p>
    <w:p>
      <w:pPr/>
      <w:r>
        <w:rPr>
          <w:lang w:val="en_US" w:bidi="en_US"/>
        </w:rPr>
      </w:r>
      <w:r>
        <w:rPr>
          <w:lang w:val="en_US" w:bidi="en_US"/>
        </w:rPr>
        <w:t>The Shepherds and the Angels (GNT)</w:t>
      </w:r>
    </w:p>
    <w:p>
      <w:pPr>
        <w:pStyle w:val="Heading5"/>
      </w:pPr>
      <w:r>
        <w:rPr>
          <w:lang w:val="en_US" w:bidi="en_US"/>
        </w:rPr>
        <w:t>2:19</w:t>
      </w:r>
    </w:p>
    <w:p>
      <w:pPr/>
      <w:r>
        <w:rPr>
          <w:lang w:val="en_US" w:bidi="en_US"/>
        </w:rPr>
      </w:r>
      <w:r>
        <w:rPr>
          <w:b/>
          <w:lang w:val="en_US" w:bidi="en_US"/>
        </w:rPr>
        <w:t>But Mary treasured up all these things and pondered them in her heart.</w:t>
      </w:r>
    </w:p>
    <w:p>
      <w:pPr>
        <w:pStyle w:val="ListBullet"/>
        <w:spacing w:line="240" w:lineRule="auto"/>
        <w:ind w:left="720"/>
      </w:pPr>
      <w:r>
        <w:rPr>
          <w:lang w:val="en_US" w:bidi="en_US"/>
        </w:rPr>
      </w:r>
      <w:r>
        <w:rPr>
          <w:lang w:val="en_US" w:bidi="en_US"/>
        </w:rPr>
        <w:t>But Mary kept all these things in her mind and thought about them.</w:t>
      </w:r>
    </w:p>
    <w:p>
      <w:pPr>
        <w:pStyle w:val="ListBullet"/>
        <w:spacing w:line="240" w:lineRule="auto"/>
        <w:ind w:left="720"/>
      </w:pPr>
      <w:r>
        <w:rPr>
          <w:lang w:val="en_US" w:bidi="en_US"/>
        </w:rPr>
      </w:r>
      <w:r>
        <w:rPr>
          <w:lang w:val="en_US" w:bidi="en_US"/>
        </w:rPr>
        <w:t>As for Mary, she remembered all of these events that had happened. She kept thinking about what they must mean.</w:t>
      </w:r>
    </w:p>
    <w:p>
      <w:pPr/>
      <w:r>
        <w:rPr>
          <w:lang w:val="en_US" w:bidi="en_US"/>
        </w:rPr>
      </w:r>
      <w:r>
        <w:rPr>
          <w:b/>
          <w:lang w:val="en_US" w:bidi="en_US"/>
        </w:rPr>
        <w:t>But:</w:t>
      </w:r>
      <w:r>
        <w:rPr>
          <w:lang w:val="en_US" w:bidi="en_US"/>
        </w:rPr>
        <w:t xml:space="preserve"> The Greek conjunction that the BSB translates here as </w:t>
      </w:r>
      <w:r>
        <w:rPr>
          <w:i/>
          <w:lang w:val="en_US" w:bidi="en_US"/>
        </w:rPr>
        <w:t>But</w:t>
      </w:r>
      <w:r>
        <w:rPr>
          <w:lang w:val="en_US" w:bidi="en_US"/>
        </w:rPr>
        <w:t xml:space="preserve"> introduces Mary’s reaction to the things that the shepherds told her. Luke focused on Mary’s reaction as special among the group who heard the shepherds’ words. There is a contrast between Mary and everyone else. Everyone was amazed, but Mary also thought carefully about what had happened. In some languages it may not be necessary to use a connector. Translate the connection in a natural way in your language.</w:t>
      </w:r>
    </w:p>
    <w:p>
      <w:pPr/>
      <w:r>
        <w:rPr>
          <w:lang w:val="en_US" w:bidi="en_US"/>
        </w:rPr>
      </w:r>
      <w:r>
        <w:rPr>
          <w:b/>
          <w:lang w:val="en_US" w:bidi="en_US"/>
        </w:rPr>
        <w:t>treasured up all these things and pondered them in her heart:</w:t>
      </w:r>
      <w:r>
        <w:rPr>
          <w:lang w:val="en_US" w:bidi="en_US"/>
        </w:rPr>
        <w:t xml:space="preserve"> The word </w:t>
      </w:r>
      <w:r>
        <w:rPr>
          <w:i/>
          <w:lang w:val="en_US" w:bidi="en_US"/>
        </w:rPr>
        <w:t>heart</w:t>
      </w:r>
      <w:r>
        <w:rPr>
          <w:lang w:val="en_US" w:bidi="en_US"/>
        </w:rPr>
        <w:t xml:space="preserve"> is figurative here. The Jews often spoke of the heart as the part of a person in which thoughts and feelings occur. In some languages, it may not be natural to use an expression like “in the heart.” If that is true in your language, here are other ways to translate this part of the verse:</w:t>
      </w:r>
    </w:p>
    <w:p>
      <w:pPr>
        <w:pStyle w:val="ListBullet"/>
        <w:spacing w:line="240" w:lineRule="auto"/>
        <w:ind w:left="720"/>
      </w:pPr>
      <w:r>
        <w:rPr>
          <w:lang w:val="en_US" w:bidi="en_US"/>
        </w:rPr>
      </w:r>
      <w:r>
        <w:rPr>
          <w:lang w:val="en_US" w:bidi="en_US"/>
        </w:rPr>
        <w:t>Use a specific expression that people in your culture use to refer to the part of a person in which thoughts and feelings occur. For example:</w:t>
      </w:r>
      <w:r>
        <w:rPr>
          <w:lang w:val="en_US" w:bidi="en_US"/>
        </w:rPr>
        <w:t xml:space="preserve">Mary treasured all these things and turned them over in her </w:t>
      </w:r>
      <w:r>
        <w:rPr>
          <w:u w:val="single"/>
          <w:lang w:val="en_US" w:bidi="en_US"/>
        </w:rPr>
        <w:t>mind</w:t>
      </w:r>
      <w:r>
        <w:rPr>
          <w:lang w:val="en_US" w:bidi="en_US"/>
        </w:rPr>
        <w:t>… (JBP)</w:t>
      </w:r>
    </w:p>
    <w:p>
      <w:pPr>
        <w:pStyle w:val="ListBullet"/>
        <w:spacing w:line="240" w:lineRule="auto"/>
        <w:ind w:left="720"/>
      </w:pPr>
      <w:r>
        <w:rPr>
          <w:lang w:val="en_US" w:bidi="en_US"/>
        </w:rPr>
      </w:r>
      <w:r>
        <w:rPr>
          <w:lang w:val="en_US" w:bidi="en_US"/>
        </w:rPr>
        <w:t>Use a general expression without mentioning a specific part of a person. For example:</w:t>
      </w:r>
      <w:r>
        <w:rPr>
          <w:lang w:val="en_US" w:bidi="en_US"/>
        </w:rPr>
        <w:t>Mary treasured these things and continued to think about them. (NCV)</w:t>
      </w:r>
    </w:p>
    <w:p>
      <w:pPr/>
      <w:r>
        <w:rPr>
          <w:lang w:val="en_US" w:bidi="en_US"/>
        </w:rPr>
      </w:r>
      <w:r>
        <w:rPr>
          <w:b/>
          <w:lang w:val="en_US" w:bidi="en_US"/>
        </w:rPr>
        <w:t>treasured up:</w:t>
      </w:r>
      <w:r>
        <w:rPr>
          <w:lang w:val="en_US" w:bidi="en_US"/>
        </w:rPr>
        <w:t xml:space="preserve"> The Greek verb that the BSB translates as </w:t>
      </w:r>
      <w:r>
        <w:rPr>
          <w:i/>
          <w:lang w:val="en_US" w:bidi="en_US"/>
        </w:rPr>
        <w:t>treasured up</w:t>
      </w:r>
      <w:r>
        <w:rPr>
          <w:lang w:val="en_US" w:bidi="en_US"/>
        </w:rPr>
        <w:t xml:space="preserve"> literally means “kept,” “guarded,” or “protected.” In this context, Mary kept/guarded her thoughts and memories. This means that she continually remembered the things that had happened. She did not allow herself to forget these things.</w:t>
      </w:r>
    </w:p>
    <w:p>
      <w:pPr/>
      <w:r>
        <w:rPr>
          <w:lang w:val="en_US" w:bidi="en_US"/>
        </w:rPr>
      </w:r>
      <w:r>
        <w:rPr>
          <w:b/>
          <w:lang w:val="en_US" w:bidi="en_US"/>
        </w:rPr>
        <w:t>all these things:</w:t>
      </w:r>
      <w:r>
        <w:rPr>
          <w:lang w:val="en_US" w:bidi="en_US"/>
        </w:rPr>
        <w:t xml:space="preserve"> The phrase </w:t>
      </w:r>
      <w:r>
        <w:rPr>
          <w:i/>
          <w:lang w:val="en_US" w:bidi="en_US"/>
        </w:rPr>
        <w:t>all these things</w:t>
      </w:r>
      <w:r>
        <w:rPr>
          <w:lang w:val="en_US" w:bidi="en_US"/>
        </w:rPr>
        <w:t xml:space="preserve"> refers to all the events that had happened regarding Jesus. Mary thought not only about what the shepherds said but also about the things that the angel had told her (1:31–35). She probably also thought about what Elizabeth had said (1:42–45).</w:t>
      </w:r>
    </w:p>
    <w:p>
      <w:pPr/>
      <w:r>
        <w:rPr>
          <w:lang w:val="en_US" w:bidi="en_US"/>
        </w:rPr>
      </w:r>
      <w:r>
        <w:rPr>
          <w:b/>
          <w:lang w:val="en_US" w:bidi="en_US"/>
        </w:rPr>
        <w:t>pondered them:</w:t>
      </w:r>
      <w:r>
        <w:rPr>
          <w:lang w:val="en_US" w:bidi="en_US"/>
        </w:rPr>
        <w:t xml:space="preserve"> The Greek verb that the BSB translates as </w:t>
      </w:r>
      <w:r>
        <w:rPr>
          <w:i/>
          <w:lang w:val="en_US" w:bidi="en_US"/>
        </w:rPr>
        <w:t>pondered</w:t>
      </w:r>
      <w:r>
        <w:rPr>
          <w:lang w:val="en_US" w:bidi="en_US"/>
        </w:rPr>
        <w:t xml:space="preserve"> means that Mary thought about all these things that had happened. She carefully considered their meaning.</w:t>
      </w:r>
      <w:r>
        <w:rPr>
          <w:lang w:val="en_US" w:bidi="en_US"/>
        </w:rPr>
      </w:r>
      <w:r>
        <w:rPr>
          <w:lang w:val="en_US" w:bidi="en_US"/>
        </w:rPr>
      </w:r>
    </w:p>
    <w:p>
      <w:pPr/>
      <w:r>
        <w:rPr>
          <w:lang w:val="en_US" w:bidi="en_US"/>
        </w:rPr>
      </w:r>
    </w:p>
    <w:p>
      <w:pPr>
        <w:pStyle w:val="Heading2"/>
      </w:pPr>
      <w:r>
        <w:rPr>
          <w:lang w:val="en_US" w:bidi="en_US"/>
        </w:rPr>
        <w:t>Luke 2:20</w:t>
      </w:r>
      <w:r>
        <w:rPr>
          <w:lang w:val="en_US" w:bidi="en_US"/>
        </w:rPr>
      </w:r>
    </w:p>
    <w:p>
      <w:pPr>
        <w:pStyle w:val="Heading4"/>
      </w:pPr>
      <w:r>
        <w:rPr>
          <w:lang w:val="en_US" w:bidi="en_US"/>
        </w:rPr>
        <w:t>Section 2:8–20: Angels announced to shepherds that the Savior was born</w:t>
      </w:r>
    </w:p>
    <w:p>
      <w:pPr/>
      <w:r>
        <w:rPr>
          <w:lang w:val="en_US" w:bidi="en_US"/>
        </w:rPr>
      </w:r>
      <w:r>
        <w:rPr>
          <w:lang w:val="en_US" w:bidi="en_US"/>
        </w:rPr>
        <w:t>In this section some shepherds were taking care of their sheep in fields near Bethlehem. An angel came to them and told them that Christ the Savior had been born that night in Bethlehem. He told them that they would find the baby lying in a feeding box for animals. Then other angels came and praised God. After the angels left, the shepherds went to Bethlehem and found the baby, just as the angel had said they would.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Angels tell shepherds about Jesus’ birth and the shepherds visit him</w:t>
      </w:r>
    </w:p>
    <w:p>
      <w:pPr/>
      <w:r>
        <w:rPr>
          <w:lang w:val="en_US" w:bidi="en_US"/>
        </w:rPr>
      </w:r>
      <w:r>
        <w:rPr>
          <w:lang w:val="en_US" w:bidi="en_US"/>
        </w:rPr>
        <w:t>The Shepherds and the Angels (GNT)</w:t>
      </w:r>
    </w:p>
    <w:p>
      <w:pPr>
        <w:pStyle w:val="Heading5"/>
      </w:pPr>
      <w:r>
        <w:rPr>
          <w:lang w:val="en_US" w:bidi="en_US"/>
        </w:rPr>
        <w:t>2:20a</w:t>
      </w:r>
    </w:p>
    <w:p>
      <w:pPr/>
      <w:r>
        <w:rPr>
          <w:lang w:val="en_US" w:bidi="en_US"/>
        </w:rPr>
      </w:r>
      <w:r>
        <w:rPr>
          <w:b/>
          <w:lang w:val="en_US" w:bidi="en_US"/>
        </w:rPr>
        <w:t>The shepherds returned, glorifying and praising God</w:t>
      </w:r>
    </w:p>
    <w:p>
      <w:pPr>
        <w:pStyle w:val="ListBullet"/>
        <w:spacing w:line="240" w:lineRule="auto"/>
        <w:ind w:left="720"/>
      </w:pPr>
      <w:r>
        <w:rPr>
          <w:lang w:val="en_US" w:bidi="en_US"/>
        </w:rPr>
      </w:r>
      <w:r>
        <w:rPr>
          <w:lang w:val="en_US" w:bidi="en_US"/>
        </w:rPr>
        <w:t xml:space="preserve">Then the shepherds returned </w:t>
      </w:r>
      <w:r>
        <w:rPr>
          <w:lang w:val="en_US" w:bidi="en_US"/>
        </w:rPr>
        <w:t>to the fields</w:t>
      </w:r>
      <w:r>
        <w:rPr>
          <w:lang w:val="en_US" w:bidi="en_US"/>
        </w:rPr>
        <w:t>. They honored and praised God</w:t>
      </w:r>
    </w:p>
    <w:p>
      <w:pPr>
        <w:pStyle w:val="ListBullet"/>
        <w:spacing w:line="240" w:lineRule="auto"/>
        <w:ind w:left="720"/>
      </w:pPr>
      <w:r>
        <w:rPr>
          <w:lang w:val="en_US" w:bidi="en_US"/>
        </w:rPr>
      </w:r>
      <w:r>
        <w:rPr>
          <w:lang w:val="en_US" w:bidi="en_US"/>
        </w:rPr>
        <w:t xml:space="preserve">As the shepherds went back </w:t>
      </w:r>
      <w:r>
        <w:rPr>
          <w:lang w:val="en_US" w:bidi="en_US"/>
        </w:rPr>
        <w:t>to their sheep</w:t>
      </w:r>
      <w:r>
        <w:rPr>
          <w:lang w:val="en_US" w:bidi="en_US"/>
        </w:rPr>
        <w:t>, they spoke well/highly of God</w:t>
      </w:r>
    </w:p>
    <w:p>
      <w:pPr>
        <w:pStyle w:val="Heading5"/>
      </w:pPr>
      <w:r>
        <w:rPr>
          <w:lang w:val="en_US" w:bidi="en_US"/>
        </w:rPr>
        <w:t>2:20b</w:t>
      </w:r>
    </w:p>
    <w:p>
      <w:pPr/>
      <w:r>
        <w:rPr>
          <w:lang w:val="en_US" w:bidi="en_US"/>
        </w:rPr>
      </w:r>
      <w:r>
        <w:rPr>
          <w:b/>
          <w:lang w:val="en_US" w:bidi="en_US"/>
        </w:rPr>
        <w:t>for all they had heard and seen,</w:t>
      </w:r>
    </w:p>
    <w:p>
      <w:pPr>
        <w:pStyle w:val="ListBullet"/>
        <w:spacing w:line="240" w:lineRule="auto"/>
        <w:ind w:left="720"/>
      </w:pPr>
      <w:r>
        <w:rPr>
          <w:lang w:val="en_US" w:bidi="en_US"/>
        </w:rPr>
      </w:r>
      <w:r>
        <w:rPr>
          <w:lang w:val="en_US" w:bidi="en_US"/>
        </w:rPr>
        <w:t>because of everything they had heard and seen.</w:t>
      </w:r>
    </w:p>
    <w:p>
      <w:pPr>
        <w:pStyle w:val="ListBullet"/>
        <w:spacing w:line="240" w:lineRule="auto"/>
        <w:ind w:left="720"/>
      </w:pPr>
      <w:r>
        <w:rPr>
          <w:lang w:val="en_US" w:bidi="en_US"/>
        </w:rPr>
      </w:r>
      <w:r>
        <w:rPr>
          <w:lang w:val="en_US" w:bidi="en_US"/>
        </w:rPr>
        <w:t xml:space="preserve">because </w:t>
      </w:r>
      <w:r>
        <w:rPr>
          <w:lang w:val="en_US" w:bidi="en_US"/>
        </w:rPr>
        <w:t>of what he had done</w:t>
      </w:r>
      <w:r>
        <w:rPr>
          <w:lang w:val="en_US" w:bidi="en_US"/>
        </w:rPr>
        <w:t>. Everything that they had seen and heard</w:t>
      </w:r>
    </w:p>
    <w:p>
      <w:pPr>
        <w:pStyle w:val="Heading5"/>
      </w:pPr>
      <w:r>
        <w:rPr>
          <w:lang w:val="en_US" w:bidi="en_US"/>
        </w:rPr>
        <w:t>2:20a–b</w:t>
      </w:r>
    </w:p>
    <w:p>
      <w:pPr/>
      <w:r>
        <w:rPr>
          <w:lang w:val="en_US" w:bidi="en_US"/>
        </w:rPr>
      </w:r>
      <w:r>
        <w:rPr>
          <w:b/>
          <w:lang w:val="en_US" w:bidi="en_US"/>
        </w:rPr>
        <w:t>returned:</w:t>
      </w:r>
      <w:r>
        <w:rPr>
          <w:lang w:val="en_US" w:bidi="en_US"/>
        </w:rPr>
        <w:t xml:space="preserve"> If it is more natural in your language to say to where the shepherds returned, you can say:</w:t>
      </w:r>
    </w:p>
    <w:p>
      <w:pPr/>
      <w:r>
        <w:rPr>
          <w:lang w:val="en_US" w:bidi="en_US"/>
        </w:rPr>
      </w:r>
      <w:r>
        <w:rPr>
          <w:lang w:val="en_US" w:bidi="en_US"/>
        </w:rPr>
        <w:t>returned to the field(s)</w:t>
      </w:r>
    </w:p>
    <w:p>
      <w:pPr/>
      <w:r>
        <w:rPr>
          <w:lang w:val="en_US" w:bidi="en_US"/>
        </w:rPr>
      </w:r>
      <w:r>
        <w:rPr>
          <w:lang w:val="en_US" w:bidi="en_US"/>
        </w:rPr>
        <w:t>returned to their flock of sheep</w:t>
      </w:r>
    </w:p>
    <w:p>
      <w:pPr/>
      <w:r>
        <w:rPr>
          <w:lang w:val="en_US" w:bidi="en_US"/>
        </w:rPr>
      </w:r>
      <w:r>
        <w:rPr>
          <w:b/>
          <w:lang w:val="en_US" w:bidi="en_US"/>
        </w:rPr>
        <w:t>glorifying and praising God for all they had heard and seen:</w:t>
      </w:r>
      <w:r>
        <w:rPr>
          <w:lang w:val="en_US" w:bidi="en_US"/>
        </w:rPr>
        <w:t xml:space="preserve"> The phrase </w:t>
      </w:r>
      <w:r>
        <w:rPr>
          <w:i/>
          <w:lang w:val="en_US" w:bidi="en_US"/>
        </w:rPr>
        <w:t>glorifying and praising God for all they had heard and seen</w:t>
      </w:r>
      <w:r>
        <w:rPr>
          <w:lang w:val="en_US" w:bidi="en_US"/>
        </w:rPr>
        <w:t xml:space="preserve"> indicates that the shepherds talked about how great and good God was to cause those events.</w:t>
      </w:r>
    </w:p>
    <w:p>
      <w:pPr/>
      <w:r>
        <w:rPr>
          <w:lang w:val="en_US" w:bidi="en_US"/>
        </w:rPr>
      </w:r>
      <w:r>
        <w:rPr>
          <w:b/>
          <w:lang w:val="en_US" w:bidi="en_US"/>
        </w:rPr>
        <w:t>glorifying and praising God:</w:t>
      </w:r>
      <w:r>
        <w:rPr>
          <w:lang w:val="en_US" w:bidi="en_US"/>
        </w:rPr>
        <w:t xml:space="preserve"> The Greek words that the BSB translates as </w:t>
      </w:r>
      <w:r>
        <w:rPr>
          <w:i/>
          <w:lang w:val="en_US" w:bidi="en_US"/>
        </w:rPr>
        <w:t>glorifying</w:t>
      </w:r>
      <w:r>
        <w:rPr>
          <w:lang w:val="en_US" w:bidi="en_US"/>
        </w:rPr>
        <w:t xml:space="preserve"> and </w:t>
      </w:r>
      <w:r>
        <w:rPr>
          <w:i/>
          <w:lang w:val="en_US" w:bidi="en_US"/>
        </w:rPr>
        <w:t>praising</w:t>
      </w:r>
      <w:r>
        <w:rPr>
          <w:lang w:val="en_US" w:bidi="en_US"/>
        </w:rPr>
        <w:t xml:space="preserve"> have almost the same meaning here. The meaning is that the shepherds honored and praised God. The same Greek word that the BSB translates as </w:t>
      </w:r>
      <w:r>
        <w:rPr>
          <w:i/>
          <w:lang w:val="en_US" w:bidi="en_US"/>
        </w:rPr>
        <w:t>praising</w:t>
      </w:r>
      <w:r>
        <w:rPr>
          <w:lang w:val="en_US" w:bidi="en_US"/>
        </w:rPr>
        <w:t xml:space="preserve"> was also used in 2:13.</w:t>
      </w:r>
    </w:p>
    <w:p>
      <w:pPr/>
      <w:r>
        <w:rPr>
          <w:lang w:val="en_US" w:bidi="en_US"/>
        </w:rPr>
      </w:r>
      <w:r>
        <w:rPr>
          <w:lang w:val="en_US" w:bidi="en_US"/>
        </w:rPr>
        <w:t>The author used two words with the same meaning in order to emphasize the idea. In some languages it may be more natural to express this emphasis in another way. For example:</w:t>
      </w:r>
    </w:p>
    <w:p>
      <w:pPr/>
      <w:r>
        <w:rPr>
          <w:lang w:val="en_US" w:bidi="en_US"/>
        </w:rPr>
      </w:r>
      <w:r>
        <w:rPr>
          <w:lang w:val="en_US" w:bidi="en_US"/>
        </w:rPr>
        <w:t>greatly praised God</w:t>
      </w:r>
    </w:p>
    <w:p>
      <w:pPr/>
      <w:r>
        <w:rPr>
          <w:lang w:val="en_US" w:bidi="en_US"/>
        </w:rPr>
      </w:r>
      <w:r>
        <w:rPr>
          <w:b/>
          <w:lang w:val="en_US" w:bidi="en_US"/>
        </w:rPr>
        <w:t>glorifying:</w:t>
      </w:r>
      <w:r>
        <w:rPr>
          <w:lang w:val="en_US" w:bidi="en_US"/>
        </w:rPr>
        <w:t xml:space="preserve"> The word </w:t>
      </w:r>
      <w:r>
        <w:rPr>
          <w:i/>
          <w:lang w:val="en_US" w:bidi="en_US"/>
        </w:rPr>
        <w:t>glorifying</w:t>
      </w:r>
      <w:r>
        <w:rPr>
          <w:lang w:val="en_US" w:bidi="en_US"/>
        </w:rPr>
        <w:t xml:space="preserve"> means “honoring, extolling, praising.” In this context the shepherds were honoring and praising God. They were talking about how God showed his greatness and glory through </w:t>
      </w:r>
      <w:r>
        <w:rPr>
          <w:i/>
          <w:lang w:val="en_US" w:bidi="en_US"/>
        </w:rPr>
        <w:t>all</w:t>
      </w:r>
      <w:r>
        <w:rPr>
          <w:lang w:val="en_US" w:bidi="en_US"/>
        </w:rPr>
        <w:t xml:space="preserve"> that they had </w:t>
      </w:r>
      <w:r>
        <w:rPr>
          <w:i/>
          <w:lang w:val="en_US" w:bidi="en_US"/>
        </w:rPr>
        <w:t>heard and seen</w:t>
      </w:r>
      <w:r>
        <w:rPr>
          <w:lang w:val="en_US" w:bidi="en_US"/>
        </w:rPr>
        <w:t xml:space="preserve"> (2:20b). See </w:t>
      </w:r>
      <w:r>
        <w:rPr>
          <w:u w:val="single"/>
          <w:lang w:val="en_US" w:bidi="en_US"/>
        </w:rPr>
        <w:t>glory, sense C1</w:t>
      </w:r>
      <w:r>
        <w:rPr>
          <w:lang w:val="en_US" w:bidi="en_US"/>
        </w:rPr>
        <w:t>, in KBT.</w:t>
      </w:r>
    </w:p>
    <w:p>
      <w:pPr/>
      <w:r>
        <w:rPr>
          <w:lang w:val="en_US" w:bidi="en_US"/>
        </w:rPr>
      </w:r>
      <w:r>
        <w:rPr>
          <w:b/>
          <w:lang w:val="en_US" w:bidi="en_US"/>
        </w:rPr>
        <w:t>all they had heard and seen:</w:t>
      </w:r>
      <w:r>
        <w:rPr>
          <w:lang w:val="en_US" w:bidi="en_US"/>
        </w:rPr>
        <w:t xml:space="preserve"> The phrase </w:t>
      </w:r>
      <w:r>
        <w:rPr>
          <w:i/>
          <w:lang w:val="en_US" w:bidi="en_US"/>
        </w:rPr>
        <w:t>all they had heard and seen</w:t>
      </w:r>
      <w:r>
        <w:rPr>
          <w:lang w:val="en_US" w:bidi="en_US"/>
        </w:rPr>
        <w:t xml:space="preserve"> refers to the baby in the manger, what the angel had said about him, and how the angels had praised God.</w:t>
      </w:r>
    </w:p>
    <w:p>
      <w:pPr>
        <w:pStyle w:val="Heading5"/>
      </w:pPr>
      <w:r>
        <w:rPr>
          <w:lang w:val="en_US" w:bidi="en_US"/>
        </w:rPr>
        <w:t>2:20c</w:t>
      </w:r>
    </w:p>
    <w:p>
      <w:pPr/>
      <w:r>
        <w:rPr>
          <w:lang w:val="en_US" w:bidi="en_US"/>
        </w:rPr>
      </w:r>
      <w:r>
        <w:rPr>
          <w:b/>
          <w:lang w:val="en_US" w:bidi="en_US"/>
        </w:rPr>
        <w:t>which was just as the angel had told them.</w:t>
      </w:r>
    </w:p>
    <w:p>
      <w:pPr>
        <w:pStyle w:val="ListBullet"/>
        <w:spacing w:line="240" w:lineRule="auto"/>
        <w:ind w:left="720"/>
      </w:pPr>
      <w:r>
        <w:rPr>
          <w:lang w:val="en_US" w:bidi="en_US"/>
        </w:rPr>
      </w:r>
      <w:r>
        <w:rPr>
          <w:lang w:val="en_US" w:bidi="en_US"/>
        </w:rPr>
        <w:t>Everything had happened just like they had been told.</w:t>
      </w:r>
    </w:p>
    <w:p>
      <w:pPr>
        <w:pStyle w:val="ListBullet"/>
        <w:spacing w:line="240" w:lineRule="auto"/>
        <w:ind w:left="720"/>
      </w:pPr>
      <w:r>
        <w:rPr>
          <w:lang w:val="en_US" w:bidi="en_US"/>
        </w:rPr>
      </w:r>
      <w:r>
        <w:rPr>
          <w:lang w:val="en_US" w:bidi="en_US"/>
        </w:rPr>
        <w:t xml:space="preserve">had happened exactly as </w:t>
      </w:r>
      <w:r>
        <w:rPr>
          <w:lang w:val="en_US" w:bidi="en_US"/>
        </w:rPr>
        <w:t>the angel whom God sent to them</w:t>
      </w:r>
      <w:r>
        <w:rPr>
          <w:lang w:val="en_US" w:bidi="en_US"/>
        </w:rPr>
        <w:t xml:space="preserve"> told them it would.</w:t>
      </w:r>
    </w:p>
    <w:p>
      <w:pPr/>
      <w:r>
        <w:rPr>
          <w:lang w:val="en_US" w:bidi="en_US"/>
        </w:rPr>
      </w:r>
      <w:r>
        <w:rPr>
          <w:b/>
          <w:lang w:val="en_US" w:bidi="en_US"/>
        </w:rPr>
        <w:t>just as the angel had told them:</w:t>
      </w:r>
      <w:r>
        <w:rPr>
          <w:lang w:val="en_US" w:bidi="en_US"/>
        </w:rPr>
        <w:t xml:space="preserve"> This clause is passive in Greek, literally “just as it was told to them.” It is similar to the phrase in 2:17b that the BSB translates as “they had received about Him.” In Greek the phrase is more literally “that had been told to them.” In some languages it may be more natural to use an active verb and indicate who told the shepherds the message. If that is true in your language, you may indicate that the angel told the shepherds (2:9–12). For example:</w:t>
      </w:r>
    </w:p>
    <w:p>
      <w:pPr/>
      <w:r>
        <w:rPr>
          <w:lang w:val="en_US" w:bidi="en_US"/>
        </w:rPr>
      </w:r>
      <w:r>
        <w:rPr>
          <w:lang w:val="en_US" w:bidi="en_US"/>
        </w:rPr>
        <w:t xml:space="preserve">exactly as </w:t>
      </w:r>
      <w:r>
        <w:rPr>
          <w:lang w:val="en_US" w:bidi="en_US"/>
        </w:rPr>
        <w:t>the angel</w:t>
      </w:r>
      <w:r>
        <w:rPr>
          <w:lang w:val="en_US" w:bidi="en_US"/>
        </w:rPr>
        <w:t xml:space="preserve"> had told them </w:t>
      </w:r>
      <w:r>
        <w:rPr>
          <w:lang w:val="en_US" w:bidi="en_US"/>
        </w:rPr>
        <w:t>it would happen</w:t>
      </w:r>
    </w:p>
    <w:p>
      <w:pPr>
        <w:pStyle w:val="Heading6"/>
      </w:pPr>
      <w:r>
        <w:rPr>
          <w:b/>
          <w:lang w:val="en_US" w:bidi="en_US"/>
        </w:rPr>
        <w:t>General Comment on 2:20a–c</w:t>
      </w:r>
    </w:p>
    <w:p>
      <w:pPr/>
      <w:r>
        <w:rPr>
          <w:lang w:val="en_US" w:bidi="en_US"/>
        </w:rPr>
      </w:r>
      <w:r>
        <w:rPr>
          <w:lang w:val="en_US" w:bidi="en_US"/>
        </w:rPr>
        <w:t>In some languages, it may be more natural to put 2:20a after 2:20b–c. For example:</w:t>
      </w:r>
    </w:p>
    <w:p>
      <w:pPr/>
      <w:r>
        <w:rPr>
          <w:lang w:val="en_US" w:bidi="en_US"/>
        </w:rPr>
      </w:r>
      <w:r>
        <w:rPr>
          <w:vertAlign w:val="superscript"/>
          <w:lang w:val="en_US" w:bidi="en_US"/>
        </w:rPr>
        <w:t>20b</w:t>
      </w:r>
      <w:r>
        <w:rPr>
          <w:lang w:val="en_US" w:bidi="en_US"/>
        </w:rPr>
        <w:t xml:space="preserve">All the things that the shepherds heard and saw </w:t>
      </w:r>
      <w:r>
        <w:rPr>
          <w:vertAlign w:val="superscript"/>
          <w:lang w:val="en_US" w:bidi="en_US"/>
        </w:rPr>
        <w:t>20c</w:t>
      </w:r>
      <w:r>
        <w:rPr>
          <w:lang w:val="en_US" w:bidi="en_US"/>
        </w:rPr>
        <w:t xml:space="preserve">were just as they had been told. </w:t>
      </w:r>
      <w:r>
        <w:rPr>
          <w:vertAlign w:val="superscript"/>
          <w:lang w:val="en_US" w:bidi="en_US"/>
        </w:rPr>
        <w:t>20a</w:t>
      </w:r>
      <w:r>
        <w:rPr>
          <w:lang w:val="en_US" w:bidi="en_US"/>
        </w:rPr>
        <w:t>So they returned, glorifying and praising God.</w:t>
      </w:r>
      <w:r>
        <w:rPr>
          <w:lang w:val="en_US" w:bidi="en_US"/>
        </w:rPr>
      </w:r>
      <w:r>
        <w:rPr>
          <w:lang w:val="en_US" w:bidi="en_US"/>
        </w:rPr>
      </w:r>
    </w:p>
    <w:p>
      <w:pPr/>
      <w:r>
        <w:rPr>
          <w:lang w:val="en_US" w:bidi="en_US"/>
        </w:rPr>
      </w:r>
    </w:p>
    <w:p>
      <w:pPr>
        <w:pStyle w:val="Heading2"/>
      </w:pPr>
      <w:r>
        <w:rPr>
          <w:lang w:val="en_US" w:bidi="en_US"/>
        </w:rPr>
        <w:t>Luke 2:21</w:t>
      </w:r>
      <w:r>
        <w:rPr>
          <w:lang w:val="en_US" w:bidi="en_US"/>
        </w:rPr>
      </w:r>
    </w:p>
    <w:p>
      <w:pPr>
        <w:pStyle w:val="Heading4"/>
      </w:pPr>
      <w:r>
        <w:rPr>
          <w:lang w:val="en_US" w:bidi="en_US"/>
        </w:rPr>
        <w:t>Section 2:21–40: The baby Jesus at the temple</w:t>
      </w:r>
    </w:p>
    <w:p>
      <w:pPr/>
      <w:r>
        <w:rPr>
          <w:lang w:val="en_US" w:bidi="en_US"/>
        </w:rPr>
      </w:r>
      <w:r>
        <w:rPr>
          <w:lang w:val="en_US" w:bidi="en_US"/>
        </w:rPr>
        <w:t>The events in this section happened some days after Jesus was born.</w:t>
      </w:r>
    </w:p>
    <w:p>
      <w:pPr/>
      <w:r>
        <w:rPr>
          <w:lang w:val="en_US" w:bidi="en_US"/>
        </w:rPr>
      </w:r>
      <w:r>
        <w:rPr>
          <w:lang w:val="en_US" w:bidi="en_US"/>
        </w:rPr>
        <w:t>In 2:21–24, Luke mentioned three ceremonies that were done when Jewish boys were born:</w:t>
      </w:r>
    </w:p>
    <w:p>
      <w:pPr>
        <w:pStyle w:val="ListNumber"/>
        <w:numPr>
          <w:ilvl w:val="0"/>
          <w:numId w:val="34"/>
        </w:numPr>
        <w:spacing w:line="240" w:lineRule="auto"/>
        <w:ind w:left="720"/>
      </w:pPr>
      <w:r>
        <w:rPr>
          <w:lang w:val="en_US" w:bidi="en_US"/>
        </w:rPr>
      </w:r>
      <w:r>
        <w:rPr>
          <w:lang w:val="en_US" w:bidi="en_US"/>
        </w:rPr>
        <w:t>the baby boy was circumcised;</w:t>
      </w:r>
    </w:p>
    <w:p>
      <w:pPr>
        <w:pStyle w:val="ListNumber"/>
        <w:spacing w:line="240" w:lineRule="auto"/>
        <w:ind w:left="720"/>
      </w:pPr>
      <w:r>
        <w:rPr>
          <w:lang w:val="en_US" w:bidi="en_US"/>
        </w:rPr>
      </w:r>
      <w:r>
        <w:rPr>
          <w:lang w:val="en_US" w:bidi="en_US"/>
        </w:rPr>
        <w:t>the mother was ritually purified;</w:t>
      </w:r>
    </w:p>
    <w:p>
      <w:pPr>
        <w:pStyle w:val="ListNumber"/>
        <w:spacing w:line="240" w:lineRule="auto"/>
        <w:ind w:left="720"/>
      </w:pPr>
      <w:r>
        <w:rPr>
          <w:lang w:val="en_US" w:bidi="en_US"/>
        </w:rPr>
      </w:r>
      <w:r>
        <w:rPr>
          <w:lang w:val="en_US" w:bidi="en_US"/>
        </w:rPr>
        <w:t>the baby boy was presented to God.</w:t>
      </w:r>
    </w:p>
    <w:p>
      <w:pPr/>
      <w:r>
        <w:rPr>
          <w:lang w:val="en_US" w:bidi="en_US"/>
        </w:rPr>
      </w:r>
      <w:r>
        <w:rPr>
          <w:lang w:val="en_US" w:bidi="en_US"/>
        </w:rPr>
        <w:t>In 2:25–38 Luke described two other events that happened while Joseph, Mary, and Jesus were at the temple in Jerusalem. God allowed two righteous people named Simeon and Anna to see Jesus and to thank God for him. Simeon spoke a prophecy about Jesus and Mary.</w:t>
      </w:r>
    </w:p>
    <w:p>
      <w:pPr/>
      <w:r>
        <w:rPr>
          <w:lang w:val="en_US" w:bidi="en_US"/>
        </w:rPr>
      </w:r>
      <w:r>
        <w:rPr>
          <w:lang w:val="en_US" w:bidi="en_US"/>
        </w:rP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Parents Obey Moses’ Teachings (GW)</w:t>
      </w:r>
    </w:p>
    <w:p>
      <w:pPr/>
      <w:r>
        <w:rPr>
          <w:lang w:val="en_US" w:bidi="en_US"/>
        </w:rPr>
      </w:r>
      <w:r>
        <w:rPr>
          <w:lang w:val="en_US" w:bidi="en_US"/>
        </w:rPr>
        <w:t>Jesus Presented at the Temple (NASB)</w:t>
      </w:r>
    </w:p>
    <w:p>
      <w:pPr/>
      <w:r>
        <w:rPr>
          <w:lang w:val="en_US" w:bidi="en_US"/>
        </w:rPr>
      </w:r>
      <w:r>
        <w:rPr>
          <w:lang w:val="en_US" w:bidi="en_US"/>
        </w:rPr>
        <w:t>Some English versions begin new sections at 2:25 and at 2:36. If you decide to do this in your translation, some possible headings are:</w:t>
      </w:r>
    </w:p>
    <w:p>
      <w:pPr/>
      <w:r>
        <w:rPr>
          <w:lang w:val="en_US" w:bidi="en_US"/>
        </w:rPr>
      </w:r>
      <w:r>
        <w:rPr>
          <w:lang w:val="en_US" w:bidi="en_US"/>
        </w:rPr>
        <w:t>Simeon saw Jesus and prophesied about him (2:25)</w:t>
      </w:r>
    </w:p>
    <w:p>
      <w:pPr/>
      <w:r>
        <w:rPr>
          <w:lang w:val="en_US" w:bidi="en_US"/>
        </w:rPr>
      </w:r>
      <w:r>
        <w:rPr>
          <w:lang w:val="en_US" w:bidi="en_US"/>
        </w:rPr>
        <w:t>Anna thanked God for Jesus and told others about him (2:36)</w:t>
      </w:r>
    </w:p>
    <w:p>
      <w:pPr/>
      <w:r>
        <w:rPr>
          <w:lang w:val="en_US" w:bidi="en_US"/>
        </w:rPr>
      </w:r>
      <w:r>
        <w:rPr>
          <w:lang w:val="en_US" w:bidi="en_US"/>
        </w:rPr>
        <w:t>Simeon’s Prophecy (2:25)</w:t>
      </w:r>
    </w:p>
    <w:p>
      <w:pPr/>
      <w:r>
        <w:rPr>
          <w:lang w:val="en_US" w:bidi="en_US"/>
        </w:rPr>
      </w:r>
      <w:r>
        <w:rPr>
          <w:lang w:val="en_US" w:bidi="en_US"/>
        </w:rPr>
        <w:t>Anna’s Prophecy (2:36)</w:t>
      </w:r>
    </w:p>
    <w:p>
      <w:pPr>
        <w:pStyle w:val="Heading5"/>
      </w:pPr>
      <w:r>
        <w:rPr>
          <w:lang w:val="en_US" w:bidi="en_US"/>
        </w:rPr>
        <w:t>2:21a</w:t>
      </w:r>
    </w:p>
    <w:p>
      <w:pPr/>
      <w:r>
        <w:rPr>
          <w:lang w:val="en_US" w:bidi="en_US"/>
        </w:rPr>
      </w:r>
      <w:r>
        <w:rPr>
          <w:b/>
          <w:lang w:val="en_US" w:bidi="en_US"/>
        </w:rPr>
        <w:t>When the eight days until His circumcision had passed,</w:t>
      </w:r>
    </w:p>
    <w:p>
      <w:pPr>
        <w:pStyle w:val="ListBullet"/>
        <w:spacing w:line="240" w:lineRule="auto"/>
        <w:ind w:left="720"/>
      </w:pPr>
      <w:r>
        <w:rPr>
          <w:lang w:val="en_US" w:bidi="en_US"/>
        </w:rPr>
      </w:r>
      <w:r>
        <w:rPr>
          <w:lang w:val="en_US" w:bidi="en_US"/>
        </w:rPr>
        <w:t xml:space="preserve">¶ On the eighth day </w:t>
      </w:r>
      <w:r>
        <w:rPr>
          <w:lang w:val="en_US" w:bidi="en_US"/>
        </w:rPr>
        <w:t>from the baby’s birth</w:t>
      </w:r>
      <w:r>
        <w:rPr>
          <w:lang w:val="en_US" w:bidi="en_US"/>
        </w:rPr>
        <w:t>, it was time for his circumcision,</w:t>
      </w:r>
    </w:p>
    <w:p>
      <w:pPr>
        <w:pStyle w:val="ListBullet"/>
        <w:spacing w:line="240" w:lineRule="auto"/>
        <w:ind w:left="720"/>
      </w:pPr>
      <w:r>
        <w:rPr>
          <w:lang w:val="en_US" w:bidi="en_US"/>
        </w:rPr>
      </w:r>
      <w:r>
        <w:rPr>
          <w:lang w:val="en_US" w:bidi="en_US"/>
        </w:rPr>
        <w:t xml:space="preserve">¶ </w:t>
      </w:r>
      <w:r>
        <w:rPr>
          <w:lang w:val="en_US" w:bidi="en_US"/>
        </w:rPr>
        <w:t>As God’s law requires for baby boys</w:t>
      </w:r>
      <w:r>
        <w:rPr>
          <w:lang w:val="en_US" w:bidi="en_US"/>
        </w:rPr>
        <w:t xml:space="preserve">, when seven days had passed, </w:t>
      </w:r>
      <w:r>
        <w:rPr>
          <w:lang w:val="en_US" w:bidi="en_US"/>
        </w:rPr>
        <w:t>his parents caused someone to</w:t>
      </w:r>
      <w:r>
        <w:rPr>
          <w:lang w:val="en_US" w:bidi="en_US"/>
        </w:rPr>
        <w:t xml:space="preserve"> cut off some of the skin at the end of his penis.</w:t>
      </w:r>
    </w:p>
    <w:p>
      <w:pPr>
        <w:pStyle w:val="ListBullet"/>
        <w:spacing w:line="240" w:lineRule="auto"/>
        <w:ind w:left="720"/>
      </w:pPr>
      <w:r>
        <w:rPr>
          <w:lang w:val="en_US" w:bidi="en_US"/>
        </w:rPr>
      </w:r>
      <w:r>
        <w:rPr>
          <w:lang w:val="en_US" w:bidi="en_US"/>
        </w:rPr>
        <w:t xml:space="preserve">¶ A week after </w:t>
      </w:r>
      <w:r>
        <w:rPr>
          <w:lang w:val="en_US" w:bidi="en_US"/>
        </w:rPr>
        <w:t>the baby was born</w:t>
      </w:r>
      <w:r>
        <w:rPr>
          <w:lang w:val="en_US" w:bidi="en_US"/>
        </w:rPr>
        <w:t xml:space="preserve">, it was time </w:t>
      </w:r>
      <w:r>
        <w:rPr>
          <w:lang w:val="en_US" w:bidi="en_US"/>
        </w:rPr>
        <w:t>for them</w:t>
      </w:r>
      <w:r>
        <w:rPr>
          <w:lang w:val="en_US" w:bidi="en_US"/>
        </w:rPr>
        <w:t xml:space="preserve"> to mark him as one of God’s people. </w:t>
      </w:r>
      <w:r>
        <w:rPr>
          <w:lang w:val="en_US" w:bidi="en_US"/>
        </w:rPr>
        <w:t>So they cut off his foreskin.</w:t>
      </w:r>
    </w:p>
    <w:p>
      <w:pPr/>
      <w:r>
        <w:rPr>
          <w:lang w:val="en_US" w:bidi="en_US"/>
        </w:rPr>
      </w:r>
      <w:r>
        <w:rPr>
          <w:b/>
          <w:lang w:val="en_US" w:bidi="en_US"/>
        </w:rPr>
        <w:t>When the eight days until His circumcision had passed:</w:t>
      </w:r>
      <w:r>
        <w:rPr>
          <w:lang w:val="en_US" w:bidi="en_US"/>
        </w:rPr>
        <w:t xml:space="preserve"> The Greek clause that the BSB translates as </w:t>
      </w:r>
      <w:r>
        <w:rPr>
          <w:i/>
          <w:lang w:val="en_US" w:bidi="en_US"/>
        </w:rPr>
        <w:t>When the eight days until His circumcision had passed</w:t>
      </w:r>
      <w:r>
        <w:rPr>
          <w:lang w:val="en_US" w:bidi="en_US"/>
        </w:rPr>
        <w:t xml:space="preserve"> indirectly refers to what the Law of Moses required. The Law stated that every baby boy must be circumcised on the eighth day from his birth. In some languages it may be helpful to mention the Law more directly. For example:</w:t>
      </w:r>
    </w:p>
    <w:p>
      <w:pPr/>
      <w:r>
        <w:rPr>
          <w:lang w:val="en_US" w:bidi="en_US"/>
        </w:rPr>
      </w:r>
      <w:r>
        <w:rPr>
          <w:lang w:val="en_US" w:bidi="en_US"/>
        </w:rPr>
        <w:t xml:space="preserve">On the eighth day from his birth, they circumcised him </w:t>
      </w:r>
      <w:r>
        <w:rPr>
          <w:lang w:val="en_US" w:bidi="en_US"/>
        </w:rPr>
        <w:t>as God’s law required</w:t>
      </w:r>
    </w:p>
    <w:p>
      <w:pPr/>
      <w:r>
        <w:rPr>
          <w:lang w:val="en_US" w:bidi="en_US"/>
        </w:rPr>
      </w:r>
      <w:r>
        <w:rPr>
          <w:b/>
          <w:lang w:val="en_US" w:bidi="en_US"/>
        </w:rPr>
        <w:t>When the eight days:</w:t>
      </w:r>
      <w:r>
        <w:rPr>
          <w:lang w:val="en_US" w:bidi="en_US"/>
        </w:rPr>
        <w:t xml:space="preserve"> When the Jews counted the days between two events, they started counting with the day that the first event happened. For example, in this context, if Jesus was born on a Friday, they would count that Friday as the first day. Then the Friday of the following week would be the last of </w:t>
      </w:r>
      <w:r>
        <w:rPr>
          <w:i/>
          <w:lang w:val="en_US" w:bidi="en_US"/>
        </w:rPr>
        <w:t>the eight days</w:t>
      </w:r>
      <w:r>
        <w:rPr>
          <w:lang w:val="en_US" w:bidi="en_US"/>
        </w:rPr>
        <w:t xml:space="preserve"> that the law specified. A similar expression occurs in 1:59a. In English, people start counting with the day after the first event happened. For example:</w:t>
      </w:r>
    </w:p>
    <w:p>
      <w:pPr/>
      <w:r>
        <w:rPr>
          <w:lang w:val="en_US" w:bidi="en_US"/>
        </w:rPr>
      </w:r>
      <w:r>
        <w:rPr>
          <w:lang w:val="en_US" w:bidi="en_US"/>
        </w:rPr>
        <w:t>A week later (GNT)</w:t>
      </w:r>
    </w:p>
    <w:p>
      <w:pPr/>
      <w:r>
        <w:rPr>
          <w:lang w:val="en_US" w:bidi="en_US"/>
        </w:rPr>
      </w:r>
      <w:r>
        <w:rPr>
          <w:lang w:val="en_US" w:bidi="en_US"/>
        </w:rPr>
        <w:t>When Jesus was seven days old</w:t>
      </w:r>
    </w:p>
    <w:p>
      <w:pPr/>
      <w:r>
        <w:rPr>
          <w:lang w:val="en_US" w:bidi="en_US"/>
        </w:rPr>
      </w:r>
      <w:r>
        <w:rPr>
          <w:lang w:val="en_US" w:bidi="en_US"/>
        </w:rPr>
        <w:t>Use the natural way in your language to count the days between events.</w:t>
      </w:r>
    </w:p>
    <w:p>
      <w:pPr/>
      <w:r>
        <w:rPr>
          <w:lang w:val="en_US" w:bidi="en_US"/>
        </w:rPr>
      </w:r>
      <w:r>
        <w:rPr>
          <w:b/>
          <w:lang w:val="en_US" w:bidi="en_US"/>
        </w:rPr>
        <w:t>circumcision:</w:t>
      </w:r>
      <w:r>
        <w:rPr>
          <w:lang w:val="en_US" w:bidi="en_US"/>
        </w:rPr>
        <w:t xml:space="preserve"> The act of </w:t>
      </w:r>
      <w:r>
        <w:rPr>
          <w:i/>
          <w:lang w:val="en_US" w:bidi="en_US"/>
        </w:rPr>
        <w:t>circumcision</w:t>
      </w:r>
      <w:r>
        <w:rPr>
          <w:lang w:val="en_US" w:bidi="en_US"/>
        </w:rPr>
        <w:t xml:space="preserve"> means to cut off the skin at the end of a boy’s penis. According to custom, someone would circumcise the boy.</w:t>
      </w:r>
    </w:p>
    <w:p>
      <w:pPr/>
      <w:r>
        <w:rPr>
          <w:lang w:val="en_US" w:bidi="en_US"/>
        </w:rPr>
      </w:r>
      <w:r>
        <w:rPr>
          <w:lang w:val="en_US" w:bidi="en_US"/>
        </w:rPr>
        <w:t>In some cultures, it may be acceptable to explicitly say “cut off the loose skin at the end of a boy’s penis.” In other cultures, it may be necessary to use a euphemism, that is, to describe circumcision in a less direct way. Some examples are:</w:t>
      </w:r>
    </w:p>
    <w:p>
      <w:pPr/>
      <w:r>
        <w:rPr>
          <w:lang w:val="en_US" w:bidi="en_US"/>
        </w:rPr>
      </w:r>
      <w:r>
        <w:rPr>
          <w:lang w:val="en_US" w:bidi="en_US"/>
        </w:rPr>
        <w:t>cut off some of the skin</w:t>
      </w:r>
    </w:p>
    <w:p>
      <w:pPr/>
      <w:r>
        <w:rPr>
          <w:lang w:val="en_US" w:bidi="en_US"/>
        </w:rPr>
      </w:r>
      <w:r>
        <w:rPr>
          <w:lang w:val="en_US" w:bidi="en_US"/>
        </w:rPr>
        <w:t xml:space="preserve">mark </w:t>
      </w:r>
      <w:r>
        <w:rPr>
          <w:lang w:val="en_US" w:bidi="en_US"/>
        </w:rPr>
        <w:t>him as one of God’s people</w:t>
      </w:r>
    </w:p>
    <w:p>
      <w:pPr/>
      <w:r>
        <w:rPr>
          <w:lang w:val="en_US" w:bidi="en_US"/>
        </w:rPr>
      </w:r>
      <w:r>
        <w:rPr>
          <w:lang w:val="en_US" w:bidi="en_US"/>
        </w:rPr>
        <w:t>receive the mark</w:t>
      </w:r>
    </w:p>
    <w:p>
      <w:pPr>
        <w:pStyle w:val="Heading5"/>
      </w:pPr>
      <w:r>
        <w:rPr>
          <w:lang w:val="en_US" w:bidi="en_US"/>
        </w:rPr>
        <w:t>2:21b</w:t>
      </w:r>
    </w:p>
    <w:p>
      <w:pPr/>
      <w:r>
        <w:rPr>
          <w:lang w:val="en_US" w:bidi="en_US"/>
        </w:rPr>
      </w:r>
      <w:r>
        <w:rPr>
          <w:b/>
          <w:lang w:val="en_US" w:bidi="en_US"/>
        </w:rPr>
        <w:t>He was named Jesus,</w:t>
      </w:r>
    </w:p>
    <w:p>
      <w:pPr>
        <w:pStyle w:val="ListBullet"/>
        <w:spacing w:line="240" w:lineRule="auto"/>
        <w:ind w:left="720"/>
      </w:pPr>
      <w:r>
        <w:rPr>
          <w:lang w:val="en_US" w:bidi="en_US"/>
        </w:rPr>
      </w:r>
      <w:r>
        <w:rPr>
          <w:lang w:val="en_US" w:bidi="en_US"/>
        </w:rPr>
        <w:t>and his parents</w:t>
      </w:r>
      <w:r>
        <w:rPr>
          <w:lang w:val="en_US" w:bidi="en_US"/>
        </w:rPr>
        <w:t xml:space="preserve"> named him Jesus.</w:t>
      </w:r>
    </w:p>
    <w:p>
      <w:pPr>
        <w:pStyle w:val="ListBullet"/>
        <w:spacing w:line="240" w:lineRule="auto"/>
        <w:ind w:left="720"/>
      </w:pPr>
      <w:r>
        <w:rPr>
          <w:lang w:val="en_US" w:bidi="en_US"/>
        </w:rPr>
      </w:r>
      <w:r>
        <w:rPr>
          <w:lang w:val="en_US" w:bidi="en_US"/>
        </w:rPr>
        <w:t>At that time, they</w:t>
      </w:r>
      <w:r>
        <w:rPr>
          <w:lang w:val="en_US" w:bidi="en_US"/>
        </w:rPr>
        <w:t xml:space="preserve"> named him Jesus.</w:t>
      </w:r>
    </w:p>
    <w:p>
      <w:pPr/>
      <w:r>
        <w:rPr>
          <w:lang w:val="en_US" w:bidi="en_US"/>
        </w:rPr>
      </w:r>
      <w:r>
        <w:rPr>
          <w:b/>
          <w:lang w:val="en_US" w:bidi="en_US"/>
        </w:rPr>
        <w:t>He was named Jesus:</w:t>
      </w:r>
      <w:r>
        <w:rPr>
          <w:lang w:val="en_US" w:bidi="en_US"/>
        </w:rPr>
        <w:t xml:space="preserve"> In Jewish culture at the time of Jesus’ birth, it was the custom for the parents to name their baby boys when they were circumcised. The clause </w:t>
      </w:r>
      <w:r>
        <w:rPr>
          <w:i/>
          <w:lang w:val="en_US" w:bidi="en_US"/>
        </w:rPr>
        <w:t>He was named Jesus</w:t>
      </w:r>
      <w:r>
        <w:rPr>
          <w:lang w:val="en_US" w:bidi="en_US"/>
        </w:rPr>
        <w:t xml:space="preserve"> is passive. In some languages it may be more natural to use an active verb and say who named Jesus. For example:</w:t>
      </w:r>
    </w:p>
    <w:p>
      <w:pPr/>
      <w:r>
        <w:rPr>
          <w:lang w:val="en_US" w:bidi="en_US"/>
        </w:rPr>
      </w:r>
      <w:r>
        <w:rPr>
          <w:lang w:val="en_US" w:bidi="en_US"/>
        </w:rPr>
        <w:t>they</w:t>
      </w:r>
      <w:r>
        <w:rPr>
          <w:lang w:val="en_US" w:bidi="en_US"/>
        </w:rPr>
        <w:t xml:space="preserve"> named him Jesus</w:t>
      </w:r>
    </w:p>
    <w:p>
      <w:pPr/>
      <w:r>
        <w:rPr>
          <w:lang w:val="en_US" w:bidi="en_US"/>
        </w:rPr>
      </w:r>
      <w:r>
        <w:rPr>
          <w:lang w:val="en_US" w:bidi="en_US"/>
        </w:rPr>
        <w:t>his parents</w:t>
      </w:r>
      <w:r>
        <w:rPr>
          <w:lang w:val="en_US" w:bidi="en_US"/>
        </w:rPr>
        <w:t xml:space="preserve"> named him Jesus</w:t>
      </w:r>
    </w:p>
    <w:p>
      <w:pPr>
        <w:pStyle w:val="Heading5"/>
      </w:pPr>
      <w:r>
        <w:rPr>
          <w:lang w:val="en_US" w:bidi="en_US"/>
        </w:rPr>
        <w:t>2:21c</w:t>
      </w:r>
    </w:p>
    <w:p>
      <w:pPr/>
      <w:r>
        <w:rPr>
          <w:lang w:val="en_US" w:bidi="en_US"/>
        </w:rPr>
      </w:r>
      <w:r>
        <w:rPr>
          <w:b/>
          <w:lang w:val="en_US" w:bidi="en_US"/>
        </w:rPr>
        <w:t>the name the angel had given Him</w:t>
      </w:r>
    </w:p>
    <w:p>
      <w:pPr>
        <w:pStyle w:val="ListBullet"/>
        <w:spacing w:line="240" w:lineRule="auto"/>
        <w:ind w:left="720"/>
      </w:pPr>
      <w:r>
        <w:rPr>
          <w:lang w:val="en_US" w:bidi="en_US"/>
        </w:rPr>
      </w:r>
      <w:r>
        <w:rPr>
          <w:lang w:val="en_US" w:bidi="en_US"/>
        </w:rPr>
        <w:t>This was</w:t>
      </w:r>
      <w:r>
        <w:rPr>
          <w:lang w:val="en_US" w:bidi="en_US"/>
        </w:rPr>
        <w:t xml:space="preserve"> the name that the angel </w:t>
      </w:r>
      <w:r>
        <w:rPr>
          <w:lang w:val="en_US" w:bidi="en_US"/>
        </w:rPr>
        <w:t>Gabriel</w:t>
      </w:r>
      <w:r>
        <w:rPr>
          <w:lang w:val="en_US" w:bidi="en_US"/>
        </w:rPr>
        <w:t xml:space="preserve"> had given him</w:t>
      </w:r>
    </w:p>
    <w:p>
      <w:pPr>
        <w:pStyle w:val="ListBullet"/>
        <w:spacing w:line="240" w:lineRule="auto"/>
        <w:ind w:left="720"/>
      </w:pPr>
      <w:r>
        <w:rPr>
          <w:lang w:val="en_US" w:bidi="en_US"/>
        </w:rPr>
      </w:r>
      <w:r>
        <w:rPr>
          <w:lang w:val="en_US" w:bidi="en_US"/>
        </w:rPr>
        <w:t xml:space="preserve">The angel </w:t>
      </w:r>
      <w:r>
        <w:rPr>
          <w:lang w:val="en_US" w:bidi="en_US"/>
        </w:rPr>
        <w:t>Gabriel</w:t>
      </w:r>
      <w:r>
        <w:rPr>
          <w:lang w:val="en_US" w:bidi="en_US"/>
        </w:rPr>
        <w:t xml:space="preserve"> had told Mary to give him this name</w:t>
      </w:r>
    </w:p>
    <w:p>
      <w:pPr>
        <w:pStyle w:val="Heading5"/>
      </w:pPr>
      <w:r>
        <w:rPr>
          <w:lang w:val="en_US" w:bidi="en_US"/>
        </w:rPr>
        <w:t>2:21d</w:t>
      </w:r>
    </w:p>
    <w:p>
      <w:pPr/>
      <w:r>
        <w:rPr>
          <w:lang w:val="en_US" w:bidi="en_US"/>
        </w:rPr>
      </w:r>
      <w:r>
        <w:rPr>
          <w:b/>
          <w:lang w:val="en_US" w:bidi="en_US"/>
        </w:rPr>
        <w:t>before He had been conceived.</w:t>
      </w:r>
    </w:p>
    <w:p>
      <w:pPr>
        <w:pStyle w:val="ListBullet"/>
        <w:spacing w:line="240" w:lineRule="auto"/>
        <w:ind w:left="720"/>
      </w:pPr>
      <w:r>
        <w:rPr>
          <w:lang w:val="en_US" w:bidi="en_US"/>
        </w:rPr>
      </w:r>
      <w:r>
        <w:rPr>
          <w:lang w:val="en_US" w:bidi="en_US"/>
        </w:rPr>
        <w:t xml:space="preserve">before </w:t>
      </w:r>
      <w:r>
        <w:rPr>
          <w:lang w:val="en_US" w:bidi="en_US"/>
        </w:rPr>
        <w:t>Mary</w:t>
      </w:r>
      <w:r>
        <w:rPr>
          <w:lang w:val="en_US" w:bidi="en_US"/>
        </w:rPr>
        <w:t xml:space="preserve"> conceived him.</w:t>
      </w:r>
    </w:p>
    <w:p>
      <w:pPr>
        <w:pStyle w:val="ListBullet"/>
        <w:spacing w:line="240" w:lineRule="auto"/>
        <w:ind w:left="720"/>
      </w:pPr>
      <w:r>
        <w:rPr>
          <w:lang w:val="en_US" w:bidi="en_US"/>
        </w:rPr>
      </w:r>
      <w:r>
        <w:rPr>
          <w:lang w:val="en_US" w:bidi="en_US"/>
        </w:rPr>
        <w:t xml:space="preserve">before </w:t>
      </w:r>
      <w:r>
        <w:rPr>
          <w:lang w:val="en_US" w:bidi="en_US"/>
        </w:rPr>
        <w:t>she</w:t>
      </w:r>
      <w:r>
        <w:rPr>
          <w:lang w:val="en_US" w:bidi="en_US"/>
        </w:rPr>
        <w:t xml:space="preserve"> became pregnant.</w:t>
      </w:r>
    </w:p>
    <w:p>
      <w:pPr>
        <w:pStyle w:val="Heading5"/>
      </w:pPr>
      <w:r>
        <w:rPr>
          <w:lang w:val="en_US" w:bidi="en_US"/>
        </w:rPr>
        <w:t>2:21c–d</w:t>
      </w:r>
    </w:p>
    <w:p>
      <w:pPr/>
      <w:r>
        <w:rPr>
          <w:lang w:val="en_US" w:bidi="en_US"/>
        </w:rPr>
      </w:r>
      <w:r>
        <w:rPr>
          <w:b/>
          <w:lang w:val="en_US" w:bidi="en_US"/>
        </w:rPr>
        <w:t>the name the angel had given Him before He had been conceived:</w:t>
      </w:r>
      <w:r>
        <w:rPr>
          <w:lang w:val="en_US" w:bidi="en_US"/>
        </w:rPr>
        <w:t xml:space="preserve"> This part of the verse refers to 1:31. When the angel Gabriel told Mary that she would conceive and bear a son, he told her that she should name him Jesus.</w:t>
      </w:r>
    </w:p>
    <w:p>
      <w:pPr/>
      <w:r>
        <w:rPr>
          <w:lang w:val="en_US" w:bidi="en_US"/>
        </w:rPr>
      </w:r>
      <w:r>
        <w:rPr>
          <w:b/>
          <w:lang w:val="en_US" w:bidi="en_US"/>
        </w:rPr>
        <w:t>angel:</w:t>
      </w:r>
      <w:r>
        <w:rPr>
          <w:lang w:val="en_US" w:bidi="en_US"/>
        </w:rPr>
        <w:t xml:space="preserve"> See angel, Meaning 1, in the Glossary.</w:t>
      </w:r>
    </w:p>
    <w:p>
      <w:pPr/>
      <w:r>
        <w:rPr>
          <w:lang w:val="en_US" w:bidi="en_US"/>
        </w:rPr>
      </w:r>
      <w:r>
        <w:rPr>
          <w:b/>
          <w:lang w:val="en_US" w:bidi="en_US"/>
        </w:rPr>
        <w:t>before He had been conceived:</w:t>
      </w:r>
      <w:r>
        <w:rPr>
          <w:lang w:val="en_US" w:bidi="en_US"/>
        </w:rPr>
        <w:t xml:space="preserve"> The word </w:t>
      </w:r>
      <w:r>
        <w:rPr>
          <w:i/>
          <w:lang w:val="en_US" w:bidi="en_US"/>
        </w:rPr>
        <w:t>conceived</w:t>
      </w:r>
      <w:r>
        <w:rPr>
          <w:lang w:val="en_US" w:bidi="en_US"/>
        </w:rPr>
        <w:t xml:space="preserve"> refers to the time when Mary became pregnant. At that time the baby started to grow inside her womb. That happened sometime after the angel had told her what the baby’s name should be. Another way to translate this is:</w:t>
      </w:r>
    </w:p>
    <w:p>
      <w:pPr/>
      <w:r>
        <w:rPr>
          <w:lang w:val="en_US" w:bidi="en_US"/>
        </w:rPr>
      </w:r>
      <w:r>
        <w:rPr>
          <w:lang w:val="en_US" w:bidi="en_US"/>
        </w:rPr>
        <w:t>before his mother became pregnant (GW)</w:t>
      </w:r>
    </w:p>
    <w:p>
      <w:pPr>
        <w:pStyle w:val="Heading6"/>
      </w:pPr>
      <w:r>
        <w:rPr>
          <w:b/>
          <w:lang w:val="en_US" w:bidi="en_US"/>
        </w:rPr>
        <w:t>General Comment on 2:21b–d</w:t>
      </w:r>
    </w:p>
    <w:p>
      <w:pPr/>
      <w:r>
        <w:rPr>
          <w:lang w:val="en_US" w:bidi="en_US"/>
        </w:rPr>
      </w:r>
      <w:r>
        <w:rPr>
          <w:lang w:val="en_US" w:bidi="en_US"/>
        </w:rPr>
        <w:t>In some languages, it may be more natural to change the order of some of the parts of 2:21b–d. For example:</w:t>
      </w:r>
    </w:p>
    <w:p>
      <w:pPr/>
      <w:r>
        <w:rPr>
          <w:lang w:val="en_US" w:bidi="en_US"/>
        </w:rPr>
      </w:r>
      <w:r>
        <w:rPr>
          <w:vertAlign w:val="superscript"/>
          <w:lang w:val="en_US" w:bidi="en_US"/>
        </w:rPr>
        <w:t>21d</w:t>
      </w:r>
      <w:r>
        <w:rPr>
          <w:lang w:val="en_US" w:bidi="en_US"/>
        </w:rPr>
        <w:t xml:space="preserve">Before Mary became pregnant, </w:t>
      </w:r>
      <w:r>
        <w:rPr>
          <w:vertAlign w:val="superscript"/>
          <w:lang w:val="en_US" w:bidi="en_US"/>
        </w:rPr>
        <w:t>21c</w:t>
      </w:r>
      <w:r>
        <w:rPr>
          <w:lang w:val="en_US" w:bidi="en_US"/>
        </w:rPr>
        <w:t xml:space="preserve">the angel had told Mary to name the baby Jesus. </w:t>
      </w:r>
      <w:r>
        <w:rPr>
          <w:vertAlign w:val="superscript"/>
          <w:lang w:val="en_US" w:bidi="en_US"/>
        </w:rPr>
        <w:t>21b</w:t>
      </w:r>
      <w:r>
        <w:rPr>
          <w:lang w:val="en_US" w:bidi="en_US"/>
        </w:rPr>
        <w:t>So</w:t>
      </w:r>
      <w:r>
        <w:rPr>
          <w:lang w:val="en_US" w:bidi="en_US"/>
        </w:rPr>
        <w:t xml:space="preserve"> that is what his parents did.</w:t>
      </w:r>
      <w:r>
        <w:rPr>
          <w:lang w:val="en_US" w:bidi="en_US"/>
        </w:rPr>
      </w:r>
      <w:r>
        <w:rPr>
          <w:lang w:val="en_US" w:bidi="en_US"/>
        </w:rPr>
      </w:r>
    </w:p>
    <w:p>
      <w:pPr/>
      <w:r>
        <w:rPr>
          <w:lang w:val="en_US" w:bidi="en_US"/>
        </w:rPr>
      </w:r>
    </w:p>
    <w:p>
      <w:pPr>
        <w:pStyle w:val="Heading2"/>
      </w:pPr>
      <w:r>
        <w:rPr>
          <w:lang w:val="en_US" w:bidi="en_US"/>
        </w:rPr>
        <w:t>Luke 2:22</w:t>
      </w:r>
      <w:r>
        <w:rPr>
          <w:lang w:val="en_US" w:bidi="en_US"/>
        </w:rPr>
      </w:r>
    </w:p>
    <w:p>
      <w:pPr>
        <w:pStyle w:val="Heading4"/>
      </w:pPr>
      <w:r>
        <w:rPr>
          <w:lang w:val="en_US" w:bidi="en_US"/>
        </w:rPr>
        <w:t>Section 2:21–40: The baby Jesus at the temple</w:t>
      </w:r>
    </w:p>
    <w:p>
      <w:pPr/>
      <w:r>
        <w:rPr>
          <w:lang w:val="en_US" w:bidi="en_US"/>
        </w:rPr>
      </w:r>
      <w:r>
        <w:rPr>
          <w:lang w:val="en_US" w:bidi="en_US"/>
        </w:rPr>
        <w:t>The events in this section happened some days after Jesus was born.</w:t>
      </w:r>
    </w:p>
    <w:p>
      <w:pPr/>
      <w:r>
        <w:rPr>
          <w:lang w:val="en_US" w:bidi="en_US"/>
        </w:rPr>
      </w:r>
      <w:r>
        <w:rPr>
          <w:lang w:val="en_US" w:bidi="en_US"/>
        </w:rPr>
        <w:t>In 2:21–24, Luke mentioned three ceremonies that were done when Jewish boys were born:</w:t>
      </w:r>
    </w:p>
    <w:p>
      <w:pPr>
        <w:pStyle w:val="ListNumber"/>
        <w:numPr>
          <w:ilvl w:val="0"/>
          <w:numId w:val="35"/>
        </w:numPr>
        <w:spacing w:line="240" w:lineRule="auto"/>
        <w:ind w:left="720"/>
      </w:pPr>
      <w:r>
        <w:rPr>
          <w:lang w:val="en_US" w:bidi="en_US"/>
        </w:rPr>
      </w:r>
      <w:r>
        <w:rPr>
          <w:lang w:val="en_US" w:bidi="en_US"/>
        </w:rPr>
        <w:t>the baby boy was circumcised;</w:t>
      </w:r>
    </w:p>
    <w:p>
      <w:pPr>
        <w:pStyle w:val="ListNumber"/>
        <w:spacing w:line="240" w:lineRule="auto"/>
        <w:ind w:left="720"/>
      </w:pPr>
      <w:r>
        <w:rPr>
          <w:lang w:val="en_US" w:bidi="en_US"/>
        </w:rPr>
      </w:r>
      <w:r>
        <w:rPr>
          <w:lang w:val="en_US" w:bidi="en_US"/>
        </w:rPr>
        <w:t>the mother was ritually purified;</w:t>
      </w:r>
    </w:p>
    <w:p>
      <w:pPr>
        <w:pStyle w:val="ListNumber"/>
        <w:spacing w:line="240" w:lineRule="auto"/>
        <w:ind w:left="720"/>
      </w:pPr>
      <w:r>
        <w:rPr>
          <w:lang w:val="en_US" w:bidi="en_US"/>
        </w:rPr>
      </w:r>
      <w:r>
        <w:rPr>
          <w:lang w:val="en_US" w:bidi="en_US"/>
        </w:rPr>
        <w:t>the baby boy was presented to God.</w:t>
      </w:r>
    </w:p>
    <w:p>
      <w:pPr/>
      <w:r>
        <w:rPr>
          <w:lang w:val="en_US" w:bidi="en_US"/>
        </w:rPr>
      </w:r>
      <w:r>
        <w:rPr>
          <w:lang w:val="en_US" w:bidi="en_US"/>
        </w:rPr>
        <w:t>In 2:25–38 Luke described two other events that happened while Joseph, Mary, and Jesus were at the temple in Jerusalem. God allowed two righteous people named Simeon and Anna to see Jesus and to thank God for him. Simeon spoke a prophecy about Jesus and Mary.</w:t>
      </w:r>
    </w:p>
    <w:p>
      <w:pPr/>
      <w:r>
        <w:rPr>
          <w:lang w:val="en_US" w:bidi="en_US"/>
        </w:rPr>
      </w:r>
      <w:r>
        <w:rPr>
          <w:lang w:val="en_US" w:bidi="en_US"/>
        </w:rP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Parents Obey Moses’ Teachings (GW)</w:t>
      </w:r>
    </w:p>
    <w:p>
      <w:pPr/>
      <w:r>
        <w:rPr>
          <w:lang w:val="en_US" w:bidi="en_US"/>
        </w:rPr>
      </w:r>
      <w:r>
        <w:rPr>
          <w:lang w:val="en_US" w:bidi="en_US"/>
        </w:rPr>
        <w:t>Jesus Presented at the Temple (NASB)</w:t>
      </w:r>
    </w:p>
    <w:p>
      <w:pPr/>
      <w:r>
        <w:rPr>
          <w:lang w:val="en_US" w:bidi="en_US"/>
        </w:rPr>
      </w:r>
      <w:r>
        <w:rPr>
          <w:lang w:val="en_US" w:bidi="en_US"/>
        </w:rPr>
        <w:t>Some English versions begin new sections at 2:25 and at 2:36. If you decide to do this in your translation, some possible headings are:</w:t>
      </w:r>
    </w:p>
    <w:p>
      <w:pPr/>
      <w:r>
        <w:rPr>
          <w:lang w:val="en_US" w:bidi="en_US"/>
        </w:rPr>
      </w:r>
      <w:r>
        <w:rPr>
          <w:lang w:val="en_US" w:bidi="en_US"/>
        </w:rPr>
        <w:t>Simeon saw Jesus and prophesied about him (2:25)</w:t>
      </w:r>
    </w:p>
    <w:p>
      <w:pPr/>
      <w:r>
        <w:rPr>
          <w:lang w:val="en_US" w:bidi="en_US"/>
        </w:rPr>
      </w:r>
      <w:r>
        <w:rPr>
          <w:lang w:val="en_US" w:bidi="en_US"/>
        </w:rPr>
        <w:t>Anna thanked God for Jesus and told others about him (2:36)</w:t>
      </w:r>
    </w:p>
    <w:p>
      <w:pPr/>
      <w:r>
        <w:rPr>
          <w:lang w:val="en_US" w:bidi="en_US"/>
        </w:rPr>
      </w:r>
      <w:r>
        <w:rPr>
          <w:lang w:val="en_US" w:bidi="en_US"/>
        </w:rPr>
        <w:t>Simeon’s Prophecy (2:25)</w:t>
      </w:r>
    </w:p>
    <w:p>
      <w:pPr/>
      <w:r>
        <w:rPr>
          <w:lang w:val="en_US" w:bidi="en_US"/>
        </w:rPr>
      </w:r>
      <w:r>
        <w:rPr>
          <w:lang w:val="en_US" w:bidi="en_US"/>
        </w:rPr>
        <w:t>Anna’s Prophecy (2:36)</w:t>
      </w:r>
    </w:p>
    <w:p>
      <w:pPr>
        <w:pStyle w:val="Heading4"/>
      </w:pPr>
      <w:r>
        <w:rPr>
          <w:lang w:val="en_US" w:bidi="en_US"/>
        </w:rPr>
        <w:t>Paragraph 2:22–24</w:t>
      </w:r>
    </w:p>
    <w:p>
      <w:pPr/>
      <w:r>
        <w:rPr>
          <w:lang w:val="en_US" w:bidi="en_US"/>
        </w:rPr>
      </w:r>
      <w:r>
        <w:rPr>
          <w:lang w:val="en_US" w:bidi="en_US"/>
        </w:rPr>
        <w:t>There are two main events in this paragraph:</w:t>
      </w:r>
    </w:p>
    <w:p>
      <w:pPr>
        <w:pStyle w:val="ListNumber"/>
        <w:numPr>
          <w:ilvl w:val="0"/>
          <w:numId w:val="36"/>
        </w:numPr>
        <w:spacing w:line="240" w:lineRule="auto"/>
        <w:ind w:left="720"/>
      </w:pPr>
      <w:r>
        <w:rPr>
          <w:lang w:val="en_US" w:bidi="en_US"/>
        </w:rPr>
      </w:r>
      <w:r>
        <w:rPr>
          <w:lang w:val="en_US" w:bidi="en_US"/>
        </w:rPr>
        <w:t>Mary was purified after she gave birth to Jesus (2:22a and 2:24). In 2:22a this event was introduced. In 2:24 Luke gave details about the sacrifice for Mary’s purification.</w:t>
      </w:r>
    </w:p>
    <w:p>
      <w:pPr>
        <w:pStyle w:val="ListNumber"/>
        <w:spacing w:line="240" w:lineRule="auto"/>
        <w:ind w:left="720"/>
      </w:pPr>
      <w:r>
        <w:rPr>
          <w:lang w:val="en_US" w:bidi="en_US"/>
        </w:rPr>
      </w:r>
      <w:r>
        <w:rPr>
          <w:lang w:val="en_US" w:bidi="en_US"/>
        </w:rPr>
        <w:t>Jesus was presented to the Lord (2:22b–23).</w:t>
      </w:r>
    </w:p>
    <w:p>
      <w:pPr/>
      <w:r>
        <w:rPr>
          <w:lang w:val="en_US" w:bidi="en_US"/>
        </w:rPr>
      </w:r>
      <w:r>
        <w:rPr>
          <w:lang w:val="en_US" w:bidi="en_US"/>
        </w:rPr>
        <w:t>Notice that the purification of Mary is mentioned in 2:22a and also in 2:24. The presentation of Jesus (2:22b–23) separates the two places where Mary’s purification is mentioned. In some languages, it may be clearer to reorder these verses. For example:</w:t>
      </w:r>
    </w:p>
    <w:p>
      <w:pPr/>
      <w:r>
        <w:rPr>
          <w:lang w:val="en_US" w:bidi="en_US"/>
        </w:rPr>
      </w:r>
      <w:r>
        <w:rPr>
          <w:vertAlign w:val="superscript"/>
          <w:lang w:val="en_US" w:bidi="en_US"/>
        </w:rPr>
        <w:t>22a</w:t>
      </w:r>
      <w:r>
        <w:rPr>
          <w:lang w:val="en_US" w:bidi="en_US"/>
        </w:rPr>
        <w:t xml:space="preserve">When Mary and Joseph’s days of purification ended according to the Law of Moses, </w:t>
      </w:r>
      <w:r>
        <w:rPr>
          <w:vertAlign w:val="superscript"/>
          <w:lang w:val="en_US" w:bidi="en_US"/>
        </w:rPr>
        <w:t>22b</w:t>
      </w:r>
      <w:r>
        <w:rPr>
          <w:lang w:val="en_US" w:bidi="en_US"/>
        </w:rPr>
        <w:t xml:space="preserve">they went to Jerusalem. </w:t>
      </w:r>
      <w:r>
        <w:rPr>
          <w:vertAlign w:val="superscript"/>
          <w:lang w:val="en_US" w:bidi="en_US"/>
        </w:rPr>
        <w:t>24a</w:t>
      </w:r>
      <w:r>
        <w:rPr>
          <w:lang w:val="en_US" w:bidi="en_US"/>
        </w:rPr>
        <w:t xml:space="preserve">They went there to offer the sacrifice of </w:t>
      </w:r>
      <w:r>
        <w:rPr>
          <w:vertAlign w:val="superscript"/>
          <w:lang w:val="en_US" w:bidi="en_US"/>
        </w:rPr>
        <w:t>24b</w:t>
      </w:r>
      <w:r>
        <w:rPr>
          <w:lang w:val="en_US" w:bidi="en_US"/>
        </w:rPr>
        <w:t xml:space="preserve">two doves or two young pigeons. </w:t>
      </w:r>
      <w:r>
        <w:rPr>
          <w:vertAlign w:val="superscript"/>
          <w:lang w:val="en_US" w:bidi="en_US"/>
        </w:rPr>
        <w:t>24a</w:t>
      </w:r>
      <w:r>
        <w:rPr>
          <w:lang w:val="en_US" w:bidi="en_US"/>
        </w:rPr>
        <w:t xml:space="preserve">This was to obey what the Law of the Lord says. </w:t>
      </w:r>
      <w:r>
        <w:rPr>
          <w:vertAlign w:val="superscript"/>
          <w:lang w:val="en_US" w:bidi="en_US"/>
        </w:rPr>
        <w:t>22b</w:t>
      </w:r>
      <w:r>
        <w:rPr>
          <w:lang w:val="en_US" w:bidi="en_US"/>
        </w:rPr>
        <w:t xml:space="preserve">They also went to Jerusalem with Jesus to present him to the Lord, </w:t>
      </w:r>
      <w:r>
        <w:rPr>
          <w:vertAlign w:val="superscript"/>
          <w:lang w:val="en_US" w:bidi="en_US"/>
        </w:rPr>
        <w:t>23a</w:t>
      </w:r>
      <w:r>
        <w:rPr>
          <w:lang w:val="en_US" w:bidi="en_US"/>
        </w:rPr>
        <w:t xml:space="preserve">because the Law of the Lord also says, </w:t>
      </w:r>
      <w:r>
        <w:rPr>
          <w:vertAlign w:val="superscript"/>
          <w:lang w:val="en_US" w:bidi="en_US"/>
        </w:rPr>
        <w:t>23b</w:t>
      </w:r>
      <w:r>
        <w:rPr>
          <w:lang w:val="en_US" w:bidi="en_US"/>
        </w:rPr>
        <w:t>“Whenever a mother’s first child is a son, he must be set apart to be holy to the Lord.”</w:t>
      </w:r>
    </w:p>
    <w:p>
      <w:pPr>
        <w:pStyle w:val="Heading5"/>
      </w:pPr>
      <w:r>
        <w:rPr>
          <w:lang w:val="en_US" w:bidi="en_US"/>
        </w:rPr>
        <w:t>2:22a</w:t>
      </w:r>
    </w:p>
    <w:p>
      <w:pPr/>
      <w:r>
        <w:rPr>
          <w:lang w:val="en_US" w:bidi="en_US"/>
        </w:rPr>
      </w:r>
      <w:r>
        <w:rPr>
          <w:b/>
          <w:lang w:val="en_US" w:bidi="en_US"/>
        </w:rPr>
        <w:t>And when the time of purification according to the Law of Moses was complete,</w:t>
      </w:r>
    </w:p>
    <w:p>
      <w:pPr>
        <w:pStyle w:val="ListBullet"/>
        <w:spacing w:line="240" w:lineRule="auto"/>
        <w:ind w:left="720"/>
      </w:pPr>
      <w:r>
        <w:rPr>
          <w:lang w:val="en_US" w:bidi="en_US"/>
        </w:rPr>
      </w:r>
      <w:r>
        <w:rPr>
          <w:lang w:val="en_US" w:bidi="en_US"/>
        </w:rPr>
        <w:t>¶ The days/time that Moses’ law required for Mary and Joseph to become pure ended/passed.</w:t>
      </w:r>
    </w:p>
    <w:p>
      <w:pPr>
        <w:pStyle w:val="ListBullet"/>
        <w:spacing w:line="240" w:lineRule="auto"/>
        <w:ind w:left="720"/>
      </w:pPr>
      <w:r>
        <w:rPr>
          <w:lang w:val="en_US" w:bidi="en_US"/>
        </w:rPr>
      </w:r>
      <w:r>
        <w:rPr>
          <w:lang w:val="en_US" w:bidi="en_US"/>
        </w:rPr>
        <w:t xml:space="preserve">¶ </w:t>
      </w:r>
      <w:r>
        <w:rPr>
          <w:lang w:val="en_US" w:bidi="en_US"/>
        </w:rPr>
        <w:t>God’s</w:t>
      </w:r>
      <w:r>
        <w:rPr>
          <w:lang w:val="en_US" w:bidi="en_US"/>
        </w:rPr>
        <w:t xml:space="preserve"> Law that Moses </w:t>
      </w:r>
      <w:r>
        <w:rPr>
          <w:lang w:val="en_US" w:bidi="en_US"/>
        </w:rPr>
        <w:t>wrote</w:t>
      </w:r>
      <w:r>
        <w:rPr>
          <w:lang w:val="en_US" w:bidi="en_US"/>
        </w:rPr>
        <w:t xml:space="preserve"> said that </w:t>
      </w:r>
      <w:r>
        <w:rPr>
          <w:lang w:val="en_US" w:bidi="en_US"/>
        </w:rPr>
        <w:t>a mother</w:t>
      </w:r>
      <w:r>
        <w:rPr>
          <w:lang w:val="en_US" w:bidi="en_US"/>
        </w:rPr>
        <w:t xml:space="preserve"> must wait some days </w:t>
      </w:r>
      <w:r>
        <w:rPr>
          <w:lang w:val="en_US" w:bidi="en_US"/>
        </w:rPr>
        <w:t>after her baby’s birth</w:t>
      </w:r>
      <w:r>
        <w:rPr>
          <w:lang w:val="en_US" w:bidi="en_US"/>
        </w:rPr>
        <w:t xml:space="preserve"> before </w:t>
      </w:r>
      <w:r>
        <w:rPr>
          <w:lang w:val="en_US" w:bidi="en_US"/>
        </w:rPr>
        <w:t>she</w:t>
      </w:r>
      <w:r>
        <w:rPr>
          <w:lang w:val="en_US" w:bidi="en_US"/>
        </w:rPr>
        <w:t xml:space="preserve"> was purified. After they waited those days,</w:t>
      </w:r>
    </w:p>
    <w:p>
      <w:pPr/>
      <w:r>
        <w:rPr>
          <w:lang w:val="en_US" w:bidi="en_US"/>
        </w:rPr>
      </w:r>
      <w:r>
        <w:rPr>
          <w:b/>
          <w:lang w:val="en_US" w:bidi="en_US"/>
        </w:rPr>
        <w:t>And when the time of purification according to the Law of Moses was complete:</w:t>
      </w:r>
      <w:r>
        <w:rPr>
          <w:lang w:val="en_US" w:bidi="en_US"/>
        </w:rPr>
        <w:t xml:space="preserve"> The Law that God gave to the Israelites through Moses said that when a Jewish woman gave birth to a baby, she became “unclean.” In order to become ritually “clean” (or pure) again after giving birth to a baby boy, she had to do two things:</w:t>
      </w:r>
    </w:p>
    <w:p>
      <w:pPr>
        <w:pStyle w:val="ListNumber"/>
        <w:numPr>
          <w:ilvl w:val="0"/>
          <w:numId w:val="37"/>
        </w:numPr>
        <w:spacing w:line="240" w:lineRule="auto"/>
        <w:ind w:left="720"/>
      </w:pPr>
      <w:r>
        <w:rPr>
          <w:lang w:val="en_US" w:bidi="en_US"/>
        </w:rPr>
      </w:r>
      <w:r>
        <w:rPr>
          <w:lang w:val="en_US" w:bidi="en_US"/>
        </w:rPr>
        <w:t>wait for a period of forty days after the birth;</w:t>
      </w:r>
    </w:p>
    <w:p>
      <w:pPr>
        <w:pStyle w:val="ListNumber"/>
        <w:spacing w:line="240" w:lineRule="auto"/>
        <w:ind w:left="720"/>
      </w:pPr>
      <w:r>
        <w:rPr>
          <w:lang w:val="en_US" w:bidi="en_US"/>
        </w:rPr>
      </w:r>
      <w:r>
        <w:rPr>
          <w:lang w:val="en_US" w:bidi="en_US"/>
        </w:rPr>
        <w:t>offer a sacrifice.</w:t>
      </w:r>
    </w:p>
    <w:p>
      <w:pPr/>
      <w:r>
        <w:rPr>
          <w:lang w:val="en_US" w:bidi="en_US"/>
        </w:rPr>
      </w:r>
      <w:r>
        <w:rPr>
          <w:lang w:val="en_US" w:bidi="en_US"/>
        </w:rPr>
        <w:t>The period of forty days was called “the time of her purification.” At the end of that time, she was required to offer a sacrifice, and then she was clean again.</w:t>
      </w:r>
    </w:p>
    <w:p>
      <w:pPr/>
      <w:r>
        <w:rPr>
          <w:lang w:val="en_US" w:bidi="en_US"/>
        </w:rPr>
      </w:r>
      <w:r>
        <w:rPr>
          <w:lang w:val="en_US" w:bidi="en_US"/>
        </w:rPr>
        <w:t>Some other ways to translate this are:</w:t>
      </w:r>
    </w:p>
    <w:p>
      <w:pPr/>
      <w:r>
        <w:rPr>
          <w:lang w:val="en_US" w:bidi="en_US"/>
        </w:rPr>
      </w:r>
      <w:r>
        <w:rPr>
          <w:lang w:val="en_US" w:bidi="en_US"/>
        </w:rPr>
        <w:t>After the days required by Moses’ Teachings to make a mother clean had passed (GW)</w:t>
      </w:r>
    </w:p>
    <w:p>
      <w:pPr/>
      <w:r>
        <w:rPr>
          <w:lang w:val="en_US" w:bidi="en_US"/>
        </w:rPr>
      </w:r>
      <w:r>
        <w:rPr>
          <w:lang w:val="en_US" w:bidi="en_US"/>
        </w:rPr>
        <w:t>When the necessary days had passed in order for a mother to become clean again, as the Law of Moses teaches</w:t>
      </w:r>
    </w:p>
    <w:p>
      <w:pPr/>
      <w:r>
        <w:rPr>
          <w:lang w:val="en_US" w:bidi="en_US"/>
        </w:rPr>
      </w:r>
      <w:r>
        <w:rPr>
          <w:b/>
          <w:lang w:val="en_US" w:bidi="en_US"/>
        </w:rPr>
        <w:t>the time of purification:</w:t>
      </w:r>
      <w:r>
        <w:rPr>
          <w:lang w:val="en_US" w:bidi="en_US"/>
        </w:rPr>
        <w:t xml:space="preserve"> </w:t>
      </w:r>
      <w:r>
        <w:rPr>
          <w:lang w:val="en_US" w:bidi="en_US"/>
        </w:rPr>
        <w:t>There is a textual variant here concerning the pronoun: (1) Most Greek texts read the “time of their purification.” For example, the RSV says, “the time came for their purification” (NIV, GNT, NJB, NET, NASB, CEV, NCV). (2) A few Greek texts read “the time of her purification.” For example, the KJV says, “the days of her purification” (GW, KJV). While the majority of Greek texts follow interpretation (1), issues of naturalness and culture may dictate that you follow interpretation (2).</w:t>
      </w:r>
      <w:r>
        <w:rPr>
          <w:lang w:val="en_US" w:bidi="en_US"/>
        </w:rPr>
        <w:t xml:space="preserve"> The Greek text speaks literally of “their” purification. (The BSB does not translate this pronoun.) The term “their” probably refers to Joseph and Mary. Some English versions make this explicit. For example:</w:t>
      </w:r>
    </w:p>
    <w:p>
      <w:pPr/>
      <w:r>
        <w:rPr>
          <w:lang w:val="en_US" w:bidi="en_US"/>
        </w:rPr>
      </w:r>
      <w:r>
        <w:rPr>
          <w:lang w:val="en_US" w:bidi="en_US"/>
        </w:rPr>
        <w:t>The time…for Joseph and Mary to perform the ceremony of purification (GNT)</w:t>
      </w:r>
    </w:p>
    <w:p>
      <w:pPr/>
      <w:r>
        <w:rPr>
          <w:lang w:val="en_US" w:bidi="en_US"/>
        </w:rPr>
      </w:r>
      <w:r>
        <w:rPr>
          <w:lang w:val="en_US" w:bidi="en_US"/>
        </w:rPr>
        <w:t>The Law that God gave to the Israelites through Moses did not require Joseph to be purified. But because purification was a family matter, he was included. In some cultures, it may be more natural to say only that the mother needed to become pure or clean. If that is true in your language, you can say:</w:t>
      </w:r>
    </w:p>
    <w:p>
      <w:pPr/>
      <w:r>
        <w:rPr>
          <w:lang w:val="en_US" w:bidi="en_US"/>
        </w:rPr>
      </w:r>
      <w:r>
        <w:rPr>
          <w:lang w:val="en_US" w:bidi="en_US"/>
        </w:rPr>
        <w:t xml:space="preserve">The waiting period for </w:t>
      </w:r>
      <w:r>
        <w:rPr>
          <w:lang w:val="en_US" w:bidi="en_US"/>
        </w:rPr>
        <w:t>Mary</w:t>
      </w:r>
      <w:r>
        <w:rPr>
          <w:lang w:val="en_US" w:bidi="en_US"/>
        </w:rPr>
        <w:t xml:space="preserve"> to become pure again ended</w:t>
      </w:r>
    </w:p>
    <w:p>
      <w:pPr/>
      <w:r>
        <w:rPr>
          <w:lang w:val="en_US" w:bidi="en_US"/>
        </w:rPr>
      </w:r>
      <w:r>
        <w:rPr>
          <w:b/>
          <w:lang w:val="en_US" w:bidi="en_US"/>
        </w:rPr>
        <w:t>purification:</w:t>
      </w:r>
      <w:r>
        <w:rPr>
          <w:lang w:val="en_US" w:bidi="en_US"/>
        </w:rPr>
        <w:t xml:space="preserve"> The word </w:t>
      </w:r>
      <w:r>
        <w:rPr>
          <w:i/>
          <w:lang w:val="en_US" w:bidi="en_US"/>
        </w:rPr>
        <w:t>purification</w:t>
      </w:r>
      <w:r>
        <w:rPr>
          <w:lang w:val="en_US" w:bidi="en_US"/>
        </w:rPr>
        <w:t xml:space="preserve"> refers to becoming ritually pure or clean according to religious customs.</w:t>
      </w:r>
    </w:p>
    <w:p>
      <w:pPr/>
      <w:r>
        <w:rPr>
          <w:lang w:val="en_US" w:bidi="en_US"/>
        </w:rPr>
      </w:r>
      <w:r>
        <w:rPr>
          <w:b/>
          <w:lang w:val="en_US" w:bidi="en_US"/>
        </w:rPr>
        <w:t>Law of Moses:</w:t>
      </w:r>
      <w:r>
        <w:rPr>
          <w:lang w:val="en_US" w:bidi="en_US"/>
        </w:rPr>
        <w:t xml:space="preserve"> The </w:t>
      </w:r>
      <w:r>
        <w:rPr>
          <w:i/>
          <w:lang w:val="en_US" w:bidi="en_US"/>
        </w:rPr>
        <w:t>Law of Moses</w:t>
      </w:r>
      <w:r>
        <w:rPr>
          <w:lang w:val="en_US" w:bidi="en_US"/>
        </w:rPr>
        <w:t xml:space="preserve"> is the law that God gave to the Israelites through Moses.</w:t>
      </w:r>
    </w:p>
    <w:p>
      <w:pPr>
        <w:pStyle w:val="Heading5"/>
      </w:pPr>
      <w:r>
        <w:rPr>
          <w:lang w:val="en_US" w:bidi="en_US"/>
        </w:rPr>
        <w:t>2:22b</w:t>
      </w:r>
    </w:p>
    <w:p>
      <w:pPr/>
      <w:r>
        <w:rPr>
          <w:lang w:val="en_US" w:bidi="en_US"/>
        </w:rPr>
      </w:r>
      <w:r>
        <w:rPr>
          <w:b/>
          <w:lang w:val="en_US" w:bidi="en_US"/>
        </w:rPr>
        <w:t>His parents brought Him to Jerusalem to present Him to the Lord</w:t>
      </w:r>
    </w:p>
    <w:p>
      <w:pPr>
        <w:pStyle w:val="ListBullet"/>
        <w:spacing w:line="240" w:lineRule="auto"/>
        <w:ind w:left="720"/>
      </w:pPr>
      <w:r>
        <w:rPr>
          <w:lang w:val="en_US" w:bidi="en_US"/>
        </w:rPr>
      </w:r>
      <w:r>
        <w:rPr>
          <w:lang w:val="en_US" w:bidi="en_US"/>
        </w:rPr>
        <w:t>Then</w:t>
      </w:r>
      <w:r>
        <w:rPr>
          <w:lang w:val="en_US" w:bidi="en_US"/>
        </w:rPr>
        <w:t xml:space="preserve"> Joseph and Mary took Jesus to </w:t>
      </w:r>
      <w:r>
        <w:rPr>
          <w:lang w:val="en_US" w:bidi="en_US"/>
        </w:rPr>
        <w:t>the temple in</w:t>
      </w:r>
      <w:r>
        <w:rPr>
          <w:lang w:val="en_US" w:bidi="en_US"/>
        </w:rPr>
        <w:t xml:space="preserve"> Jerusalem and presented him to the Lord.</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brought Jesus to </w:t>
      </w:r>
      <w:r>
        <w:rPr>
          <w:lang w:val="en_US" w:bidi="en_US"/>
        </w:rPr>
        <w:t>the temple in</w:t>
      </w:r>
      <w:r>
        <w:rPr>
          <w:lang w:val="en_US" w:bidi="en_US"/>
        </w:rPr>
        <w:t xml:space="preserve"> </w:t>
      </w:r>
      <w:r>
        <w:rPr>
          <w:lang w:val="en_US" w:bidi="en_US"/>
        </w:rPr>
        <w:t>the city of</w:t>
      </w:r>
      <w:r>
        <w:rPr>
          <w:lang w:val="en_US" w:bidi="en_US"/>
        </w:rPr>
        <w:t xml:space="preserve"> Jerusalem to acknowledge that he belonged to the Lord/God.</w:t>
      </w:r>
    </w:p>
    <w:p>
      <w:pPr/>
      <w:r>
        <w:rPr>
          <w:lang w:val="en_US" w:bidi="en_US"/>
        </w:rPr>
      </w:r>
      <w:r>
        <w:rPr>
          <w:lang w:val="en_US" w:bidi="en_US"/>
        </w:rPr>
        <w:t>Joseph and Mary went to Jerusalem for two reasons. The first reason is here in 2:22b. They went to present Jesus to the Lord. The second reason is in 2:24a.</w:t>
      </w:r>
    </w:p>
    <w:p>
      <w:pPr/>
      <w:r>
        <w:rPr>
          <w:lang w:val="en_US" w:bidi="en_US"/>
        </w:rPr>
      </w:r>
      <w:r>
        <w:rPr>
          <w:b/>
          <w:lang w:val="en_US" w:bidi="en_US"/>
        </w:rPr>
        <w:t>to Jerusalem:</w:t>
      </w:r>
      <w:r>
        <w:rPr>
          <w:lang w:val="en_US" w:bidi="en_US"/>
        </w:rPr>
        <w:t xml:space="preserve"> Joseph and Mary took Jesus to God’s temple, which was located in the city of </w:t>
      </w:r>
      <w:r>
        <w:rPr>
          <w:i/>
          <w:lang w:val="en_US" w:bidi="en_US"/>
        </w:rPr>
        <w:t>Jerusalem</w:t>
      </w:r>
      <w:r>
        <w:rPr>
          <w:lang w:val="en_US" w:bidi="en_US"/>
        </w:rPr>
        <w:t>. In some languages, it may be necessary to make this explicit. For example:</w:t>
      </w:r>
    </w:p>
    <w:p>
      <w:pPr/>
      <w:r>
        <w:rPr>
          <w:lang w:val="en_US" w:bidi="en_US"/>
        </w:rPr>
      </w:r>
      <w:r>
        <w:rPr>
          <w:lang w:val="en_US" w:bidi="en_US"/>
        </w:rPr>
        <w:t>to the temple in Jerusalem (CEV)</w:t>
      </w:r>
    </w:p>
    <w:p>
      <w:pPr/>
      <w:r>
        <w:rPr>
          <w:lang w:val="en_US" w:bidi="en_US"/>
        </w:rPr>
      </w:r>
      <w:r>
        <w:rPr>
          <w:b/>
          <w:lang w:val="en_US" w:bidi="en_US"/>
        </w:rPr>
        <w:t>to present Him to the Lord:</w:t>
      </w:r>
      <w:r>
        <w:rPr>
          <w:lang w:val="en_US" w:bidi="en_US"/>
        </w:rPr>
        <w:t xml:space="preserve"> In this context, the phrase </w:t>
      </w:r>
      <w:r>
        <w:rPr>
          <w:i/>
          <w:lang w:val="en_US" w:bidi="en_US"/>
        </w:rPr>
        <w:t>to present Him to the Lord</w:t>
      </w:r>
      <w:r>
        <w:rPr>
          <w:lang w:val="en_US" w:bidi="en_US"/>
        </w:rPr>
        <w:t xml:space="preserve"> indicates that they took Jesus to the priest to acknowledge that Jesus belonged to God. This action is explained further in 2:23a and 2:23b. You may want to consider how to translate “consecrated” in 2:23b at the same time as you think about how to translate </w:t>
      </w:r>
      <w:r>
        <w:rPr>
          <w:i/>
          <w:lang w:val="en_US" w:bidi="en_US"/>
        </w:rPr>
        <w:t>present Him to the Lord</w:t>
      </w:r>
      <w:r>
        <w:rPr>
          <w:lang w:val="en_US" w:bidi="en_US"/>
        </w:rPr>
        <w:t>. See also Lord, Context 2, in the Glossary.</w:t>
      </w:r>
      <w:r>
        <w:rPr>
          <w:lang w:val="en_US" w:bidi="en_US"/>
        </w:rPr>
      </w:r>
      <w:r>
        <w:rPr>
          <w:lang w:val="en_US" w:bidi="en_US"/>
        </w:rPr>
      </w:r>
    </w:p>
    <w:p>
      <w:pPr/>
      <w:r>
        <w:rPr>
          <w:lang w:val="en_US" w:bidi="en_US"/>
        </w:rPr>
      </w:r>
    </w:p>
    <w:p>
      <w:pPr>
        <w:pStyle w:val="Heading2"/>
      </w:pPr>
      <w:r>
        <w:rPr>
          <w:lang w:val="en_US" w:bidi="en_US"/>
        </w:rPr>
        <w:t>Luke 2:23</w:t>
      </w:r>
      <w:r>
        <w:rPr>
          <w:lang w:val="en_US" w:bidi="en_US"/>
        </w:rPr>
      </w:r>
    </w:p>
    <w:p>
      <w:pPr>
        <w:pStyle w:val="Heading4"/>
      </w:pPr>
      <w:r>
        <w:rPr>
          <w:lang w:val="en_US" w:bidi="en_US"/>
        </w:rPr>
        <w:t>Section 2:21–40: The baby Jesus at the temple</w:t>
      </w:r>
    </w:p>
    <w:p>
      <w:pPr/>
      <w:r>
        <w:rPr>
          <w:lang w:val="en_US" w:bidi="en_US"/>
        </w:rPr>
      </w:r>
      <w:r>
        <w:rPr>
          <w:lang w:val="en_US" w:bidi="en_US"/>
        </w:rPr>
        <w:t>The events in this section happened some days after Jesus was born.</w:t>
      </w:r>
    </w:p>
    <w:p>
      <w:pPr/>
      <w:r>
        <w:rPr>
          <w:lang w:val="en_US" w:bidi="en_US"/>
        </w:rPr>
      </w:r>
      <w:r>
        <w:rPr>
          <w:lang w:val="en_US" w:bidi="en_US"/>
        </w:rPr>
        <w:t>In 2:21–24, Luke mentioned three ceremonies that were done when Jewish boys were born:</w:t>
      </w:r>
    </w:p>
    <w:p>
      <w:pPr>
        <w:pStyle w:val="ListNumber"/>
        <w:numPr>
          <w:ilvl w:val="0"/>
          <w:numId w:val="38"/>
        </w:numPr>
        <w:spacing w:line="240" w:lineRule="auto"/>
        <w:ind w:left="720"/>
      </w:pPr>
      <w:r>
        <w:rPr>
          <w:lang w:val="en_US" w:bidi="en_US"/>
        </w:rPr>
      </w:r>
      <w:r>
        <w:rPr>
          <w:lang w:val="en_US" w:bidi="en_US"/>
        </w:rPr>
        <w:t>the baby boy was circumcised;</w:t>
      </w:r>
    </w:p>
    <w:p>
      <w:pPr>
        <w:pStyle w:val="ListNumber"/>
        <w:spacing w:line="240" w:lineRule="auto"/>
        <w:ind w:left="720"/>
      </w:pPr>
      <w:r>
        <w:rPr>
          <w:lang w:val="en_US" w:bidi="en_US"/>
        </w:rPr>
      </w:r>
      <w:r>
        <w:rPr>
          <w:lang w:val="en_US" w:bidi="en_US"/>
        </w:rPr>
        <w:t>the mother was ritually purified;</w:t>
      </w:r>
    </w:p>
    <w:p>
      <w:pPr>
        <w:pStyle w:val="ListNumber"/>
        <w:spacing w:line="240" w:lineRule="auto"/>
        <w:ind w:left="720"/>
      </w:pPr>
      <w:r>
        <w:rPr>
          <w:lang w:val="en_US" w:bidi="en_US"/>
        </w:rPr>
      </w:r>
      <w:r>
        <w:rPr>
          <w:lang w:val="en_US" w:bidi="en_US"/>
        </w:rPr>
        <w:t>the baby boy was presented to God.</w:t>
      </w:r>
    </w:p>
    <w:p>
      <w:pPr/>
      <w:r>
        <w:rPr>
          <w:lang w:val="en_US" w:bidi="en_US"/>
        </w:rPr>
      </w:r>
      <w:r>
        <w:rPr>
          <w:lang w:val="en_US" w:bidi="en_US"/>
        </w:rPr>
        <w:t>In 2:25–38 Luke described two other events that happened while Joseph, Mary, and Jesus were at the temple in Jerusalem. God allowed two righteous people named Simeon and Anna to see Jesus and to thank God for him. Simeon spoke a prophecy about Jesus and Mary.</w:t>
      </w:r>
    </w:p>
    <w:p>
      <w:pPr/>
      <w:r>
        <w:rPr>
          <w:lang w:val="en_US" w:bidi="en_US"/>
        </w:rPr>
      </w:r>
      <w:r>
        <w:rPr>
          <w:lang w:val="en_US" w:bidi="en_US"/>
        </w:rP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Parents Obey Moses’ Teachings (GW)</w:t>
      </w:r>
    </w:p>
    <w:p>
      <w:pPr/>
      <w:r>
        <w:rPr>
          <w:lang w:val="en_US" w:bidi="en_US"/>
        </w:rPr>
      </w:r>
      <w:r>
        <w:rPr>
          <w:lang w:val="en_US" w:bidi="en_US"/>
        </w:rPr>
        <w:t>Jesus Presented at the Temple (NASB)</w:t>
      </w:r>
    </w:p>
    <w:p>
      <w:pPr/>
      <w:r>
        <w:rPr>
          <w:lang w:val="en_US" w:bidi="en_US"/>
        </w:rPr>
      </w:r>
      <w:r>
        <w:rPr>
          <w:lang w:val="en_US" w:bidi="en_US"/>
        </w:rPr>
        <w:t>Some English versions begin new sections at 2:25 and at 2:36. If you decide to do this in your translation, some possible headings are:</w:t>
      </w:r>
    </w:p>
    <w:p>
      <w:pPr/>
      <w:r>
        <w:rPr>
          <w:lang w:val="en_US" w:bidi="en_US"/>
        </w:rPr>
      </w:r>
      <w:r>
        <w:rPr>
          <w:lang w:val="en_US" w:bidi="en_US"/>
        </w:rPr>
        <w:t>Simeon saw Jesus and prophesied about him (2:25)</w:t>
      </w:r>
    </w:p>
    <w:p>
      <w:pPr/>
      <w:r>
        <w:rPr>
          <w:lang w:val="en_US" w:bidi="en_US"/>
        </w:rPr>
      </w:r>
      <w:r>
        <w:rPr>
          <w:lang w:val="en_US" w:bidi="en_US"/>
        </w:rPr>
        <w:t>Anna thanked God for Jesus and told others about him (2:36)</w:t>
      </w:r>
    </w:p>
    <w:p>
      <w:pPr/>
      <w:r>
        <w:rPr>
          <w:lang w:val="en_US" w:bidi="en_US"/>
        </w:rPr>
      </w:r>
      <w:r>
        <w:rPr>
          <w:lang w:val="en_US" w:bidi="en_US"/>
        </w:rPr>
        <w:t>Simeon’s Prophecy (2:25)</w:t>
      </w:r>
    </w:p>
    <w:p>
      <w:pPr/>
      <w:r>
        <w:rPr>
          <w:lang w:val="en_US" w:bidi="en_US"/>
        </w:rPr>
      </w:r>
      <w:r>
        <w:rPr>
          <w:lang w:val="en_US" w:bidi="en_US"/>
        </w:rPr>
        <w:t>Anna’s Prophecy (2:36)</w:t>
      </w:r>
    </w:p>
    <w:p>
      <w:pPr>
        <w:pStyle w:val="Heading4"/>
      </w:pPr>
      <w:r>
        <w:rPr>
          <w:lang w:val="en_US" w:bidi="en_US"/>
        </w:rPr>
        <w:t>Paragraph 2:22–24</w:t>
      </w:r>
    </w:p>
    <w:p>
      <w:pPr/>
      <w:r>
        <w:rPr>
          <w:lang w:val="en_US" w:bidi="en_US"/>
        </w:rPr>
      </w:r>
      <w:r>
        <w:rPr>
          <w:lang w:val="en_US" w:bidi="en_US"/>
        </w:rPr>
        <w:t>There are two main events in this paragraph:</w:t>
      </w:r>
    </w:p>
    <w:p>
      <w:pPr>
        <w:pStyle w:val="ListNumber"/>
        <w:numPr>
          <w:ilvl w:val="0"/>
          <w:numId w:val="39"/>
        </w:numPr>
        <w:spacing w:line="240" w:lineRule="auto"/>
        <w:ind w:left="720"/>
      </w:pPr>
      <w:r>
        <w:rPr>
          <w:lang w:val="en_US" w:bidi="en_US"/>
        </w:rPr>
      </w:r>
      <w:r>
        <w:rPr>
          <w:lang w:val="en_US" w:bidi="en_US"/>
        </w:rPr>
        <w:t>Mary was purified after she gave birth to Jesus (2:22a and 2:24). In 2:22a this event was introduced. In 2:24 Luke gave details about the sacrifice for Mary’s purification.</w:t>
      </w:r>
    </w:p>
    <w:p>
      <w:pPr>
        <w:pStyle w:val="ListNumber"/>
        <w:spacing w:line="240" w:lineRule="auto"/>
        <w:ind w:left="720"/>
      </w:pPr>
      <w:r>
        <w:rPr>
          <w:lang w:val="en_US" w:bidi="en_US"/>
        </w:rPr>
      </w:r>
      <w:r>
        <w:rPr>
          <w:lang w:val="en_US" w:bidi="en_US"/>
        </w:rPr>
        <w:t>Jesus was presented to the Lord (2:22b–23).</w:t>
      </w:r>
    </w:p>
    <w:p>
      <w:pPr/>
      <w:r>
        <w:rPr>
          <w:lang w:val="en_US" w:bidi="en_US"/>
        </w:rPr>
      </w:r>
      <w:r>
        <w:rPr>
          <w:lang w:val="en_US" w:bidi="en_US"/>
        </w:rPr>
        <w:t>Notice that the purification of Mary is mentioned in 2:22a and also in 2:24. The presentation of Jesus (2:22b–23) separates the two places where Mary’s purification is mentioned. In some languages, it may be clearer to reorder these verses. For example:</w:t>
      </w:r>
    </w:p>
    <w:p>
      <w:pPr/>
      <w:r>
        <w:rPr>
          <w:lang w:val="en_US" w:bidi="en_US"/>
        </w:rPr>
      </w:r>
      <w:r>
        <w:rPr>
          <w:vertAlign w:val="superscript"/>
          <w:lang w:val="en_US" w:bidi="en_US"/>
        </w:rPr>
        <w:t>22a</w:t>
      </w:r>
      <w:r>
        <w:rPr>
          <w:lang w:val="en_US" w:bidi="en_US"/>
        </w:rPr>
        <w:t xml:space="preserve">When Mary and Joseph’s days of purification ended according to the Law of Moses, </w:t>
      </w:r>
      <w:r>
        <w:rPr>
          <w:vertAlign w:val="superscript"/>
          <w:lang w:val="en_US" w:bidi="en_US"/>
        </w:rPr>
        <w:t>22b</w:t>
      </w:r>
      <w:r>
        <w:rPr>
          <w:lang w:val="en_US" w:bidi="en_US"/>
        </w:rPr>
        <w:t xml:space="preserve">they went to Jerusalem. </w:t>
      </w:r>
      <w:r>
        <w:rPr>
          <w:vertAlign w:val="superscript"/>
          <w:lang w:val="en_US" w:bidi="en_US"/>
        </w:rPr>
        <w:t>24a</w:t>
      </w:r>
      <w:r>
        <w:rPr>
          <w:lang w:val="en_US" w:bidi="en_US"/>
        </w:rPr>
        <w:t xml:space="preserve">They went there to offer the sacrifice of </w:t>
      </w:r>
      <w:r>
        <w:rPr>
          <w:vertAlign w:val="superscript"/>
          <w:lang w:val="en_US" w:bidi="en_US"/>
        </w:rPr>
        <w:t>24b</w:t>
      </w:r>
      <w:r>
        <w:rPr>
          <w:lang w:val="en_US" w:bidi="en_US"/>
        </w:rPr>
        <w:t xml:space="preserve">two doves or two young pigeons. </w:t>
      </w:r>
      <w:r>
        <w:rPr>
          <w:vertAlign w:val="superscript"/>
          <w:lang w:val="en_US" w:bidi="en_US"/>
        </w:rPr>
        <w:t>24a</w:t>
      </w:r>
      <w:r>
        <w:rPr>
          <w:lang w:val="en_US" w:bidi="en_US"/>
        </w:rPr>
        <w:t xml:space="preserve">This was to obey what the Law of the Lord says. </w:t>
      </w:r>
      <w:r>
        <w:rPr>
          <w:vertAlign w:val="superscript"/>
          <w:lang w:val="en_US" w:bidi="en_US"/>
        </w:rPr>
        <w:t>22b</w:t>
      </w:r>
      <w:r>
        <w:rPr>
          <w:lang w:val="en_US" w:bidi="en_US"/>
        </w:rPr>
        <w:t xml:space="preserve">They also went to Jerusalem with Jesus to present him to the Lord, </w:t>
      </w:r>
      <w:r>
        <w:rPr>
          <w:vertAlign w:val="superscript"/>
          <w:lang w:val="en_US" w:bidi="en_US"/>
        </w:rPr>
        <w:t>23a</w:t>
      </w:r>
      <w:r>
        <w:rPr>
          <w:lang w:val="en_US" w:bidi="en_US"/>
        </w:rPr>
        <w:t xml:space="preserve">because the Law of the Lord also says, </w:t>
      </w:r>
      <w:r>
        <w:rPr>
          <w:vertAlign w:val="superscript"/>
          <w:lang w:val="en_US" w:bidi="en_US"/>
        </w:rPr>
        <w:t>23b</w:t>
      </w:r>
      <w:r>
        <w:rPr>
          <w:lang w:val="en_US" w:bidi="en_US"/>
        </w:rPr>
        <w:t>“Whenever a mother’s first child is a son, he must be set apart to be holy to the Lord.”</w:t>
      </w:r>
    </w:p>
    <w:p>
      <w:pPr>
        <w:pStyle w:val="Heading5"/>
      </w:pPr>
      <w:r>
        <w:rPr>
          <w:lang w:val="en_US" w:bidi="en_US"/>
        </w:rPr>
        <w:t>2:23</w:t>
      </w:r>
    </w:p>
    <w:p>
      <w:pPr/>
      <w:r>
        <w:rPr>
          <w:lang w:val="en_US" w:bidi="en_US"/>
        </w:rPr>
      </w:r>
      <w:r>
        <w:rPr>
          <w:lang w:val="en_US" w:bidi="en_US"/>
        </w:rPr>
        <w:t>This verse provides background information. Several English versions, including the BSB, indicate this by putting the verse in parentheses. You should indicate that this is background information in a way that is natural in your language.</w:t>
      </w:r>
    </w:p>
    <w:p>
      <w:pPr>
        <w:pStyle w:val="Heading5"/>
      </w:pPr>
      <w:r>
        <w:rPr>
          <w:lang w:val="en_US" w:bidi="en_US"/>
        </w:rPr>
        <w:t>2:23a</w:t>
      </w:r>
    </w:p>
    <w:p>
      <w:pPr/>
      <w:r>
        <w:rPr>
          <w:lang w:val="en_US" w:bidi="en_US"/>
        </w:rPr>
      </w:r>
      <w:r>
        <w:rPr>
          <w:b/>
          <w:lang w:val="en_US" w:bidi="en_US"/>
        </w:rPr>
        <w:t>(as it is written in the Law of the Lord:</w:t>
      </w:r>
    </w:p>
    <w:p>
      <w:pPr>
        <w:pStyle w:val="ListBullet"/>
        <w:spacing w:line="240" w:lineRule="auto"/>
        <w:ind w:left="720"/>
      </w:pPr>
      <w:r>
        <w:rPr>
          <w:lang w:val="en_US" w:bidi="en_US"/>
        </w:rPr>
      </w:r>
      <w:r>
        <w:rPr>
          <w:lang w:val="en_US" w:bidi="en_US"/>
        </w:rPr>
        <w:t>They did this</w:t>
      </w:r>
      <w:r>
        <w:rPr>
          <w:lang w:val="en_US" w:bidi="en_US"/>
        </w:rPr>
        <w:t xml:space="preserve"> to follow what is written in the law of the Lord:</w:t>
      </w:r>
    </w:p>
    <w:p>
      <w:pPr>
        <w:pStyle w:val="ListBullet"/>
        <w:spacing w:line="240" w:lineRule="auto"/>
        <w:ind w:left="720"/>
      </w:pPr>
      <w:r>
        <w:rPr>
          <w:lang w:val="en_US" w:bidi="en_US"/>
        </w:rPr>
      </w:r>
      <w:r>
        <w:rPr>
          <w:lang w:val="en_US" w:bidi="en_US"/>
        </w:rPr>
        <w:t>This was</w:t>
      </w:r>
      <w:r>
        <w:rPr>
          <w:lang w:val="en_US" w:bidi="en_US"/>
        </w:rPr>
        <w:t xml:space="preserve"> just as God </w:t>
      </w:r>
      <w:r>
        <w:rPr>
          <w:lang w:val="en_US" w:bidi="en_US"/>
        </w:rPr>
        <w:t>commanded</w:t>
      </w:r>
      <w:r>
        <w:rPr>
          <w:lang w:val="en_US" w:bidi="en_US"/>
        </w:rPr>
        <w:t xml:space="preserve"> in his book of laws:</w:t>
      </w:r>
    </w:p>
    <w:p>
      <w:pPr>
        <w:pStyle w:val="ListBullet"/>
        <w:spacing w:line="240" w:lineRule="auto"/>
        <w:ind w:left="720"/>
      </w:pPr>
      <w:r>
        <w:rPr>
          <w:lang w:val="en_US" w:bidi="en_US"/>
        </w:rPr>
      </w:r>
      <w:r>
        <w:rPr>
          <w:lang w:val="en_US" w:bidi="en_US"/>
        </w:rPr>
        <w:t>They did this</w:t>
      </w:r>
      <w:r>
        <w:rPr>
          <w:lang w:val="en_US" w:bidi="en_US"/>
        </w:rPr>
        <w:t xml:space="preserve"> because the law that the Lord </w:t>
      </w:r>
      <w:r>
        <w:rPr>
          <w:lang w:val="en_US" w:bidi="en_US"/>
        </w:rPr>
        <w:t>gave to the Israelites</w:t>
      </w:r>
      <w:r>
        <w:rPr>
          <w:lang w:val="en_US" w:bidi="en_US"/>
        </w:rPr>
        <w:t xml:space="preserve"> </w:t>
      </w:r>
      <w:r>
        <w:rPr>
          <w:lang w:val="en_US" w:bidi="en_US"/>
        </w:rPr>
        <w:t>through Moses</w:t>
      </w:r>
      <w:r>
        <w:rPr>
          <w:lang w:val="en_US" w:bidi="en_US"/>
        </w:rPr>
        <w:t xml:space="preserve"> said:</w:t>
      </w:r>
    </w:p>
    <w:p>
      <w:pPr/>
      <w:r>
        <w:rPr>
          <w:lang w:val="en_US" w:bidi="en_US"/>
        </w:rPr>
      </w:r>
      <w:r>
        <w:rPr>
          <w:b/>
          <w:lang w:val="en_US" w:bidi="en_US"/>
        </w:rPr>
        <w:t>as it is written:</w:t>
      </w:r>
      <w:r>
        <w:rPr>
          <w:lang w:val="en_US" w:bidi="en_US"/>
        </w:rPr>
        <w:t xml:space="preserve"> Joseph and Mary went to Jerusalem to present Jesus to the Lord, as the Lord’s law said that they must do. The law said that each firstborn son must belong to the Lord.</w:t>
      </w:r>
    </w:p>
    <w:p>
      <w:pPr/>
      <w:r>
        <w:rPr>
          <w:lang w:val="en_US" w:bidi="en_US"/>
        </w:rPr>
      </w:r>
      <w:r>
        <w:rPr>
          <w:lang w:val="en_US" w:bidi="en_US"/>
        </w:rPr>
        <w:t>This refers to the law recorded in Exodus 13:2, 13:12–13, 13:15.</w:t>
      </w:r>
    </w:p>
    <w:p>
      <w:pPr/>
      <w:r>
        <w:rPr>
          <w:lang w:val="en_US" w:bidi="en_US"/>
        </w:rPr>
      </w:r>
      <w:r>
        <w:rPr>
          <w:b/>
          <w:lang w:val="en_US" w:bidi="en_US"/>
        </w:rPr>
        <w:t>the Law of the Lord:</w:t>
      </w:r>
      <w:r>
        <w:rPr>
          <w:lang w:val="en_US" w:bidi="en_US"/>
        </w:rPr>
        <w:t xml:space="preserve"> The term </w:t>
      </w:r>
      <w:r>
        <w:rPr>
          <w:i/>
          <w:lang w:val="en_US" w:bidi="en_US"/>
        </w:rPr>
        <w:t>the Law of the Lord</w:t>
      </w:r>
      <w:r>
        <w:rPr>
          <w:lang w:val="en_US" w:bidi="en_US"/>
        </w:rPr>
        <w:t xml:space="preserve"> refers to the same Law as “the Law of Moses” in 2:22a. The Bible uses both terms to refer to the Law that God gave to the people of Israel through Moses.</w:t>
      </w:r>
    </w:p>
    <w:p>
      <w:pPr/>
      <w:r>
        <w:rPr>
          <w:lang w:val="en_US" w:bidi="en_US"/>
        </w:rPr>
      </w:r>
      <w:r>
        <w:rPr>
          <w:lang w:val="en_US" w:bidi="en_US"/>
        </w:rPr>
        <w:t xml:space="preserve">Some other ways to say </w:t>
      </w:r>
      <w:r>
        <w:rPr>
          <w:i/>
          <w:lang w:val="en_US" w:bidi="en_US"/>
        </w:rPr>
        <w:t>the Law of the Lord</w:t>
      </w:r>
      <w:r>
        <w:rPr>
          <w:lang w:val="en_US" w:bidi="en_US"/>
        </w:rPr>
        <w:t xml:space="preserve"> are:</w:t>
      </w:r>
    </w:p>
    <w:p>
      <w:pPr/>
      <w:r>
        <w:rPr>
          <w:lang w:val="en_US" w:bidi="en_US"/>
        </w:rPr>
      </w:r>
      <w:r>
        <w:rPr>
          <w:lang w:val="en_US" w:bidi="en_US"/>
        </w:rPr>
        <w:t>the Lord’s law</w:t>
      </w:r>
    </w:p>
    <w:p>
      <w:pPr/>
      <w:r>
        <w:rPr>
          <w:lang w:val="en_US" w:bidi="en_US"/>
        </w:rPr>
      </w:r>
      <w:r>
        <w:rPr>
          <w:lang w:val="en_US" w:bidi="en_US"/>
        </w:rPr>
        <w:t>God’s law</w:t>
      </w:r>
    </w:p>
    <w:p>
      <w:pPr/>
      <w:r>
        <w:rPr>
          <w:lang w:val="en_US" w:bidi="en_US"/>
        </w:rPr>
      </w:r>
      <w:r>
        <w:rPr>
          <w:lang w:val="en_US" w:bidi="en_US"/>
        </w:rPr>
        <w:t xml:space="preserve">the law that the Lord gave </w:t>
      </w:r>
      <w:r>
        <w:rPr>
          <w:lang w:val="en_US" w:bidi="en_US"/>
        </w:rPr>
        <w:t>to the Israelites</w:t>
      </w:r>
    </w:p>
    <w:p>
      <w:pPr>
        <w:pStyle w:val="Heading5"/>
      </w:pPr>
      <w:r>
        <w:rPr>
          <w:lang w:val="en_US" w:bidi="en_US"/>
        </w:rPr>
        <w:t>2:23b</w:t>
      </w:r>
    </w:p>
    <w:p>
      <w:pPr/>
      <w:r>
        <w:rPr>
          <w:lang w:val="en_US" w:bidi="en_US"/>
        </w:rPr>
      </w:r>
      <w:r>
        <w:rPr>
          <w:b/>
          <w:lang w:val="en_US" w:bidi="en_US"/>
        </w:rPr>
        <w:t>“Every firstborn male shall be consecrated to the Lord”),</w:t>
      </w:r>
    </w:p>
    <w:p>
      <w:pPr>
        <w:pStyle w:val="ListBullet"/>
        <w:spacing w:line="240" w:lineRule="auto"/>
        <w:ind w:left="720"/>
      </w:pPr>
      <w:r>
        <w:rPr>
          <w:lang w:val="en_US" w:bidi="en_US"/>
        </w:rPr>
      </w:r>
      <w:r>
        <w:rPr>
          <w:lang w:val="en_US" w:bidi="en_US"/>
        </w:rPr>
        <w:t>“The first child of every family who is a male belongs to the Lord.”</w:t>
      </w:r>
    </w:p>
    <w:p>
      <w:pPr>
        <w:pStyle w:val="ListBullet"/>
        <w:spacing w:line="240" w:lineRule="auto"/>
        <w:ind w:left="720"/>
      </w:pPr>
      <w:r>
        <w:rPr>
          <w:lang w:val="en_US" w:bidi="en_US"/>
        </w:rPr>
      </w:r>
      <w:r>
        <w:rPr>
          <w:lang w:val="en_US" w:bidi="en_US"/>
        </w:rPr>
        <w:t xml:space="preserve">“When the first baby a woman has is a son, he is set apart to </w:t>
      </w:r>
      <w:r>
        <w:rPr>
          <w:lang w:val="en_US" w:bidi="en_US"/>
        </w:rPr>
        <w:t>serve</w:t>
      </w:r>
      <w:r>
        <w:rPr>
          <w:lang w:val="en_US" w:bidi="en_US"/>
        </w:rPr>
        <w:t xml:space="preserve"> the Lord.”</w:t>
      </w:r>
    </w:p>
    <w:p>
      <w:pPr>
        <w:pStyle w:val="ListBullet"/>
        <w:spacing w:line="240" w:lineRule="auto"/>
        <w:ind w:left="720"/>
      </w:pPr>
      <w:r>
        <w:rPr>
          <w:lang w:val="en_US" w:bidi="en_US"/>
        </w:rPr>
      </w:r>
      <w:r>
        <w:rPr>
          <w:lang w:val="en_US" w:bidi="en_US"/>
        </w:rPr>
        <w:t>“Every firstborn male must be holy to the Lord.”</w:t>
      </w:r>
    </w:p>
    <w:p>
      <w:pPr/>
      <w:r>
        <w:rPr>
          <w:lang w:val="en_US" w:bidi="en_US"/>
        </w:rPr>
      </w:r>
      <w:r>
        <w:rPr>
          <w:b/>
          <w:lang w:val="en_US" w:bidi="en_US"/>
        </w:rPr>
        <w:t>firstborn male:</w:t>
      </w:r>
      <w:r>
        <w:rPr>
          <w:lang w:val="en_US" w:bidi="en_US"/>
        </w:rPr>
        <w:t xml:space="preserve"> The Greek phrase that the BSB translates as </w:t>
      </w:r>
      <w:r>
        <w:rPr>
          <w:i/>
          <w:lang w:val="en_US" w:bidi="en_US"/>
        </w:rPr>
        <w:t>firstborn male</w:t>
      </w:r>
      <w:r>
        <w:rPr>
          <w:lang w:val="en_US" w:bidi="en_US"/>
        </w:rPr>
        <w:t xml:space="preserve"> is literally “male opening a womb” (compare the RSV). This refers to a baby boy who is the first child that a mother has.</w:t>
      </w:r>
    </w:p>
    <w:p>
      <w:pPr/>
      <w:r>
        <w:rPr>
          <w:lang w:val="en_US" w:bidi="en_US"/>
        </w:rPr>
      </w:r>
      <w:r>
        <w:rPr>
          <w:b/>
          <w:lang w:val="en_US" w:bidi="en_US"/>
        </w:rPr>
        <w:t>shall be consecrated to the Lord:</w:t>
      </w:r>
      <w:r>
        <w:rPr>
          <w:lang w:val="en_US" w:bidi="en_US"/>
        </w:rPr>
        <w:t xml:space="preserve"> The Greek phrase that the BSB translates as </w:t>
      </w:r>
      <w:r>
        <w:rPr>
          <w:i/>
          <w:lang w:val="en_US" w:bidi="en_US"/>
        </w:rPr>
        <w:t>shall be consecrated to the Lord</w:t>
      </w:r>
      <w:r>
        <w:rPr>
          <w:lang w:val="en_US" w:bidi="en_US"/>
        </w:rPr>
        <w:t xml:space="preserve"> is literally “shall be called holy to the Lord” (as in the RSV). In this context, the form of the verb “shall be called” functions as a type of command. It means “he must/should be called holy to the Lord.”</w:t>
      </w:r>
    </w:p>
    <w:p>
      <w:pPr/>
      <w:r>
        <w:rPr>
          <w:lang w:val="en_US" w:bidi="en_US"/>
        </w:rPr>
      </w:r>
      <w:r>
        <w:rPr>
          <w:lang w:val="en_US" w:bidi="en_US"/>
        </w:rPr>
        <w:t>In this context, the phrase “called holy” means that he must actually be holy, that is, he must be consecrated to the Lord. It does not mean that someone will call or name the baby “holy to the Lord.”</w:t>
      </w:r>
      <w:r>
        <w:rPr>
          <w:lang w:val="en_US" w:bidi="en_US"/>
        </w:rPr>
        <w:t>BDAG has this note: “</w:t>
      </w:r>
      <w:r>
        <w:rPr>
          <w:i/>
          <w:lang w:val="en_US" w:bidi="en_US"/>
        </w:rPr>
        <w:t>καλέω</w:t>
      </w:r>
      <w:r>
        <w:rPr>
          <w:lang w:val="en_US" w:bidi="en_US"/>
        </w:rPr>
        <w:t xml:space="preserve"> </w:t>
      </w:r>
      <w:r>
        <w:rPr>
          <w:i/>
          <w:lang w:val="en_US" w:bidi="en_US"/>
        </w:rPr>
        <w:t>name, provide with a name</w:t>
      </w:r>
      <w:r>
        <w:rPr>
          <w:lang w:val="en_US" w:bidi="en_US"/>
        </w:rPr>
        <w:t xml:space="preserve"> Very often the emphasis is to be placed less on the fact that the names are such and such, than on the fact that the bearers of the name actually are what the name says about them. The passive ‘be named’ thus approaches closely the meaning ‘to be.’”</w:t>
      </w:r>
      <w:r>
        <w:rPr>
          <w:lang w:val="en_US" w:bidi="en_US"/>
        </w:rPr>
        <w:t xml:space="preserve"> Some ways to translate the phrase </w:t>
      </w:r>
      <w:r>
        <w:rPr>
          <w:i/>
          <w:lang w:val="en_US" w:bidi="en_US"/>
        </w:rPr>
        <w:t>shall be consecrated to the Lord</w:t>
      </w:r>
      <w:r>
        <w:rPr>
          <w:lang w:val="en_US" w:bidi="en_US"/>
        </w:rPr>
        <w:t xml:space="preserve"> are:</w:t>
      </w:r>
    </w:p>
    <w:p>
      <w:pPr/>
      <w:r>
        <w:rPr>
          <w:lang w:val="en_US" w:bidi="en_US"/>
        </w:rPr>
      </w:r>
      <w:r>
        <w:rPr>
          <w:lang w:val="en_US" w:bidi="en_US"/>
        </w:rPr>
        <w:t>must be consecrated to the Lord (NJB)</w:t>
      </w:r>
    </w:p>
    <w:p>
      <w:pPr/>
      <w:r>
        <w:rPr>
          <w:lang w:val="en_US" w:bidi="en_US"/>
        </w:rPr>
      </w:r>
      <w:r>
        <w:rPr>
          <w:lang w:val="en_US" w:bidi="en_US"/>
        </w:rPr>
        <w:t>is to be dedicated to the Lord. (GNT)</w:t>
      </w:r>
    </w:p>
    <w:p>
      <w:pPr/>
      <w:r>
        <w:rPr>
          <w:lang w:val="en_US" w:bidi="en_US"/>
        </w:rPr>
      </w:r>
      <w:r>
        <w:rPr>
          <w:lang w:val="en_US" w:bidi="en_US"/>
        </w:rPr>
        <w:t>Consecrate to the Lord…</w:t>
      </w:r>
    </w:p>
    <w:p>
      <w:pPr/>
      <w:r>
        <w:rPr>
          <w:lang w:val="en_US" w:bidi="en_US"/>
        </w:rPr>
      </w:r>
      <w:r>
        <w:rPr>
          <w:b/>
          <w:lang w:val="en_US" w:bidi="en_US"/>
        </w:rPr>
        <w:t>consecrated:</w:t>
      </w:r>
      <w:r>
        <w:rPr>
          <w:lang w:val="en_US" w:bidi="en_US"/>
        </w:rPr>
        <w:t xml:space="preserve"> The Greek word that the BSB translates as </w:t>
      </w:r>
      <w:r>
        <w:rPr>
          <w:i/>
          <w:lang w:val="en_US" w:bidi="en_US"/>
        </w:rPr>
        <w:t>consecrated</w:t>
      </w:r>
      <w:r>
        <w:rPr>
          <w:lang w:val="en_US" w:bidi="en_US"/>
        </w:rPr>
        <w:t xml:space="preserve"> is literally “holy.” Here it indicates that firstborn Israelite boys belonged to God for his service.</w:t>
      </w:r>
      <w:r>
        <w:rPr>
          <w:lang w:val="en_US" w:bidi="en_US"/>
        </w:rPr>
        <w:t>This was a reminder to the Jews of how God delivered them from the Egyptians at the Passover. He killed the firstborn sons of the Egyptians, but he spared the firstborn sons of the Israelites.</w:t>
      </w:r>
      <w:r>
        <w:rPr>
          <w:lang w:val="en_US" w:bidi="en_US"/>
        </w:rPr>
        <w:t xml:space="preserve"> Other ways to express this are:</w:t>
      </w:r>
    </w:p>
    <w:p>
      <w:pPr/>
      <w:r>
        <w:rPr>
          <w:lang w:val="en_US" w:bidi="en_US"/>
        </w:rPr>
      </w:r>
      <w:r>
        <w:rPr>
          <w:lang w:val="en_US" w:bidi="en_US"/>
        </w:rPr>
        <w:t>set apart for</w:t>
      </w:r>
    </w:p>
    <w:p>
      <w:pPr/>
      <w:r>
        <w:rPr>
          <w:lang w:val="en_US" w:bidi="en_US"/>
        </w:rPr>
      </w:r>
      <w:r>
        <w:rPr>
          <w:lang w:val="en_US" w:bidi="en_US"/>
        </w:rPr>
        <w:t>belong to</w:t>
      </w:r>
      <w:r>
        <w:rPr>
          <w:lang w:val="en_US" w:bidi="en_US"/>
        </w:rPr>
      </w:r>
      <w:r>
        <w:rPr>
          <w:lang w:val="en_US" w:bidi="en_US"/>
        </w:rPr>
      </w:r>
    </w:p>
    <w:p>
      <w:pPr/>
      <w:r>
        <w:rPr>
          <w:lang w:val="en_US" w:bidi="en_US"/>
        </w:rPr>
      </w:r>
    </w:p>
    <w:p>
      <w:pPr>
        <w:pStyle w:val="Heading2"/>
      </w:pPr>
      <w:r>
        <w:rPr>
          <w:lang w:val="en_US" w:bidi="en_US"/>
        </w:rPr>
        <w:t>Luke 2:24</w:t>
      </w:r>
      <w:r>
        <w:rPr>
          <w:lang w:val="en_US" w:bidi="en_US"/>
        </w:rPr>
      </w:r>
    </w:p>
    <w:p>
      <w:pPr>
        <w:pStyle w:val="Heading4"/>
      </w:pPr>
      <w:r>
        <w:rPr>
          <w:lang w:val="en_US" w:bidi="en_US"/>
        </w:rPr>
        <w:t>Section 2:21–40: The baby Jesus at the temple</w:t>
      </w:r>
    </w:p>
    <w:p>
      <w:pPr/>
      <w:r>
        <w:rPr>
          <w:lang w:val="en_US" w:bidi="en_US"/>
        </w:rPr>
      </w:r>
      <w:r>
        <w:rPr>
          <w:lang w:val="en_US" w:bidi="en_US"/>
        </w:rPr>
        <w:t>The events in this section happened some days after Jesus was born.</w:t>
      </w:r>
    </w:p>
    <w:p>
      <w:pPr/>
      <w:r>
        <w:rPr>
          <w:lang w:val="en_US" w:bidi="en_US"/>
        </w:rPr>
      </w:r>
      <w:r>
        <w:rPr>
          <w:lang w:val="en_US" w:bidi="en_US"/>
        </w:rPr>
        <w:t>In 2:21–24, Luke mentioned three ceremonies that were done when Jewish boys were born:</w:t>
      </w:r>
    </w:p>
    <w:p>
      <w:pPr>
        <w:pStyle w:val="ListNumber"/>
        <w:numPr>
          <w:ilvl w:val="0"/>
          <w:numId w:val="40"/>
        </w:numPr>
        <w:spacing w:line="240" w:lineRule="auto"/>
        <w:ind w:left="720"/>
      </w:pPr>
      <w:r>
        <w:rPr>
          <w:lang w:val="en_US" w:bidi="en_US"/>
        </w:rPr>
      </w:r>
      <w:r>
        <w:rPr>
          <w:lang w:val="en_US" w:bidi="en_US"/>
        </w:rPr>
        <w:t>the baby boy was circumcised;</w:t>
      </w:r>
    </w:p>
    <w:p>
      <w:pPr>
        <w:pStyle w:val="ListNumber"/>
        <w:spacing w:line="240" w:lineRule="auto"/>
        <w:ind w:left="720"/>
      </w:pPr>
      <w:r>
        <w:rPr>
          <w:lang w:val="en_US" w:bidi="en_US"/>
        </w:rPr>
      </w:r>
      <w:r>
        <w:rPr>
          <w:lang w:val="en_US" w:bidi="en_US"/>
        </w:rPr>
        <w:t>the mother was ritually purified;</w:t>
      </w:r>
    </w:p>
    <w:p>
      <w:pPr>
        <w:pStyle w:val="ListNumber"/>
        <w:spacing w:line="240" w:lineRule="auto"/>
        <w:ind w:left="720"/>
      </w:pPr>
      <w:r>
        <w:rPr>
          <w:lang w:val="en_US" w:bidi="en_US"/>
        </w:rPr>
      </w:r>
      <w:r>
        <w:rPr>
          <w:lang w:val="en_US" w:bidi="en_US"/>
        </w:rPr>
        <w:t>the baby boy was presented to God.</w:t>
      </w:r>
    </w:p>
    <w:p>
      <w:pPr/>
      <w:r>
        <w:rPr>
          <w:lang w:val="en_US" w:bidi="en_US"/>
        </w:rPr>
      </w:r>
      <w:r>
        <w:rPr>
          <w:lang w:val="en_US" w:bidi="en_US"/>
        </w:rPr>
        <w:t>In 2:25–38 Luke described two other events that happened while Joseph, Mary, and Jesus were at the temple in Jerusalem. God allowed two righteous people named Simeon and Anna to see Jesus and to thank God for him. Simeon spoke a prophecy about Jesus and Mary.</w:t>
      </w:r>
    </w:p>
    <w:p>
      <w:pPr/>
      <w:r>
        <w:rPr>
          <w:lang w:val="en_US" w:bidi="en_US"/>
        </w:rPr>
      </w:r>
      <w:r>
        <w:rPr>
          <w:lang w:val="en_US" w:bidi="en_US"/>
        </w:rP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Parents Obey Moses’ Teachings (GW)</w:t>
      </w:r>
    </w:p>
    <w:p>
      <w:pPr/>
      <w:r>
        <w:rPr>
          <w:lang w:val="en_US" w:bidi="en_US"/>
        </w:rPr>
      </w:r>
      <w:r>
        <w:rPr>
          <w:lang w:val="en_US" w:bidi="en_US"/>
        </w:rPr>
        <w:t>Jesus Presented at the Temple (NASB)</w:t>
      </w:r>
    </w:p>
    <w:p>
      <w:pPr/>
      <w:r>
        <w:rPr>
          <w:lang w:val="en_US" w:bidi="en_US"/>
        </w:rPr>
      </w:r>
      <w:r>
        <w:rPr>
          <w:lang w:val="en_US" w:bidi="en_US"/>
        </w:rPr>
        <w:t>Some English versions begin new sections at 2:25 and at 2:36. If you decide to do this in your translation, some possible headings are:</w:t>
      </w:r>
    </w:p>
    <w:p>
      <w:pPr/>
      <w:r>
        <w:rPr>
          <w:lang w:val="en_US" w:bidi="en_US"/>
        </w:rPr>
      </w:r>
      <w:r>
        <w:rPr>
          <w:lang w:val="en_US" w:bidi="en_US"/>
        </w:rPr>
        <w:t>Simeon saw Jesus and prophesied about him (2:25)</w:t>
      </w:r>
    </w:p>
    <w:p>
      <w:pPr/>
      <w:r>
        <w:rPr>
          <w:lang w:val="en_US" w:bidi="en_US"/>
        </w:rPr>
      </w:r>
      <w:r>
        <w:rPr>
          <w:lang w:val="en_US" w:bidi="en_US"/>
        </w:rPr>
        <w:t>Anna thanked God for Jesus and told others about him (2:36)</w:t>
      </w:r>
    </w:p>
    <w:p>
      <w:pPr/>
      <w:r>
        <w:rPr>
          <w:lang w:val="en_US" w:bidi="en_US"/>
        </w:rPr>
      </w:r>
      <w:r>
        <w:rPr>
          <w:lang w:val="en_US" w:bidi="en_US"/>
        </w:rPr>
        <w:t>Simeon’s Prophecy (2:25)</w:t>
      </w:r>
    </w:p>
    <w:p>
      <w:pPr/>
      <w:r>
        <w:rPr>
          <w:lang w:val="en_US" w:bidi="en_US"/>
        </w:rPr>
      </w:r>
      <w:r>
        <w:rPr>
          <w:lang w:val="en_US" w:bidi="en_US"/>
        </w:rPr>
        <w:t>Anna’s Prophecy (2:36)</w:t>
      </w:r>
    </w:p>
    <w:p>
      <w:pPr>
        <w:pStyle w:val="Heading4"/>
      </w:pPr>
      <w:r>
        <w:rPr>
          <w:lang w:val="en_US" w:bidi="en_US"/>
        </w:rPr>
        <w:t>Paragraph 2:22–24</w:t>
      </w:r>
    </w:p>
    <w:p>
      <w:pPr/>
      <w:r>
        <w:rPr>
          <w:lang w:val="en_US" w:bidi="en_US"/>
        </w:rPr>
      </w:r>
      <w:r>
        <w:rPr>
          <w:lang w:val="en_US" w:bidi="en_US"/>
        </w:rPr>
        <w:t>There are two main events in this paragraph:</w:t>
      </w:r>
    </w:p>
    <w:p>
      <w:pPr>
        <w:pStyle w:val="ListNumber"/>
        <w:numPr>
          <w:ilvl w:val="0"/>
          <w:numId w:val="41"/>
        </w:numPr>
        <w:spacing w:line="240" w:lineRule="auto"/>
        <w:ind w:left="720"/>
      </w:pPr>
      <w:r>
        <w:rPr>
          <w:lang w:val="en_US" w:bidi="en_US"/>
        </w:rPr>
      </w:r>
      <w:r>
        <w:rPr>
          <w:lang w:val="en_US" w:bidi="en_US"/>
        </w:rPr>
        <w:t>Mary was purified after she gave birth to Jesus (2:22a and 2:24). In 2:22a this event was introduced. In 2:24 Luke gave details about the sacrifice for Mary’s purification.</w:t>
      </w:r>
    </w:p>
    <w:p>
      <w:pPr>
        <w:pStyle w:val="ListNumber"/>
        <w:spacing w:line="240" w:lineRule="auto"/>
        <w:ind w:left="720"/>
      </w:pPr>
      <w:r>
        <w:rPr>
          <w:lang w:val="en_US" w:bidi="en_US"/>
        </w:rPr>
      </w:r>
      <w:r>
        <w:rPr>
          <w:lang w:val="en_US" w:bidi="en_US"/>
        </w:rPr>
        <w:t>Jesus was presented to the Lord (2:22b–23).</w:t>
      </w:r>
    </w:p>
    <w:p>
      <w:pPr/>
      <w:r>
        <w:rPr>
          <w:lang w:val="en_US" w:bidi="en_US"/>
        </w:rPr>
      </w:r>
      <w:r>
        <w:rPr>
          <w:lang w:val="en_US" w:bidi="en_US"/>
        </w:rPr>
        <w:t>Notice that the purification of Mary is mentioned in 2:22a and also in 2:24. The presentation of Jesus (2:22b–23) separates the two places where Mary’s purification is mentioned. In some languages, it may be clearer to reorder these verses. For example:</w:t>
      </w:r>
    </w:p>
    <w:p>
      <w:pPr/>
      <w:r>
        <w:rPr>
          <w:lang w:val="en_US" w:bidi="en_US"/>
        </w:rPr>
      </w:r>
      <w:r>
        <w:rPr>
          <w:vertAlign w:val="superscript"/>
          <w:lang w:val="en_US" w:bidi="en_US"/>
        </w:rPr>
        <w:t>22a</w:t>
      </w:r>
      <w:r>
        <w:rPr>
          <w:lang w:val="en_US" w:bidi="en_US"/>
        </w:rPr>
        <w:t xml:space="preserve">When Mary and Joseph’s days of purification ended according to the Law of Moses, </w:t>
      </w:r>
      <w:r>
        <w:rPr>
          <w:vertAlign w:val="superscript"/>
          <w:lang w:val="en_US" w:bidi="en_US"/>
        </w:rPr>
        <w:t>22b</w:t>
      </w:r>
      <w:r>
        <w:rPr>
          <w:lang w:val="en_US" w:bidi="en_US"/>
        </w:rPr>
        <w:t xml:space="preserve">they went to Jerusalem. </w:t>
      </w:r>
      <w:r>
        <w:rPr>
          <w:vertAlign w:val="superscript"/>
          <w:lang w:val="en_US" w:bidi="en_US"/>
        </w:rPr>
        <w:t>24a</w:t>
      </w:r>
      <w:r>
        <w:rPr>
          <w:lang w:val="en_US" w:bidi="en_US"/>
        </w:rPr>
        <w:t xml:space="preserve">They went there to offer the sacrifice of </w:t>
      </w:r>
      <w:r>
        <w:rPr>
          <w:vertAlign w:val="superscript"/>
          <w:lang w:val="en_US" w:bidi="en_US"/>
        </w:rPr>
        <w:t>24b</w:t>
      </w:r>
      <w:r>
        <w:rPr>
          <w:lang w:val="en_US" w:bidi="en_US"/>
        </w:rPr>
        <w:t xml:space="preserve">two doves or two young pigeons. </w:t>
      </w:r>
      <w:r>
        <w:rPr>
          <w:vertAlign w:val="superscript"/>
          <w:lang w:val="en_US" w:bidi="en_US"/>
        </w:rPr>
        <w:t>24a</w:t>
      </w:r>
      <w:r>
        <w:rPr>
          <w:lang w:val="en_US" w:bidi="en_US"/>
        </w:rPr>
        <w:t xml:space="preserve">This was to obey what the Law of the Lord says. </w:t>
      </w:r>
      <w:r>
        <w:rPr>
          <w:vertAlign w:val="superscript"/>
          <w:lang w:val="en_US" w:bidi="en_US"/>
        </w:rPr>
        <w:t>22b</w:t>
      </w:r>
      <w:r>
        <w:rPr>
          <w:lang w:val="en_US" w:bidi="en_US"/>
        </w:rPr>
        <w:t xml:space="preserve">They also went to Jerusalem with Jesus to present him to the Lord, </w:t>
      </w:r>
      <w:r>
        <w:rPr>
          <w:vertAlign w:val="superscript"/>
          <w:lang w:val="en_US" w:bidi="en_US"/>
        </w:rPr>
        <w:t>23a</w:t>
      </w:r>
      <w:r>
        <w:rPr>
          <w:lang w:val="en_US" w:bidi="en_US"/>
        </w:rPr>
        <w:t xml:space="preserve">because the Law of the Lord also says, </w:t>
      </w:r>
      <w:r>
        <w:rPr>
          <w:vertAlign w:val="superscript"/>
          <w:lang w:val="en_US" w:bidi="en_US"/>
        </w:rPr>
        <w:t>23b</w:t>
      </w:r>
      <w:r>
        <w:rPr>
          <w:lang w:val="en_US" w:bidi="en_US"/>
        </w:rPr>
        <w:t>“Whenever a mother’s first child is a son, he must be set apart to be holy to the Lord.”</w:t>
      </w:r>
    </w:p>
    <w:p>
      <w:pPr>
        <w:pStyle w:val="Heading5"/>
      </w:pPr>
      <w:r>
        <w:rPr>
          <w:lang w:val="en_US" w:bidi="en_US"/>
        </w:rPr>
        <w:t>2:24a</w:t>
      </w:r>
    </w:p>
    <w:p>
      <w:pPr/>
      <w:r>
        <w:rPr>
          <w:lang w:val="en_US" w:bidi="en_US"/>
        </w:rPr>
      </w:r>
      <w:r>
        <w:rPr>
          <w:b/>
          <w:lang w:val="en_US" w:bidi="en_US"/>
        </w:rPr>
        <w:t>and to offer the sacrifice specified in the Law of the Lord:</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w:t>
      </w:r>
      <w:r>
        <w:rPr>
          <w:lang w:val="en_US" w:bidi="en_US"/>
        </w:rPr>
        <w:t>also went</w:t>
      </w:r>
      <w:r>
        <w:rPr>
          <w:lang w:val="en_US" w:bidi="en_US"/>
        </w:rPr>
        <w:t xml:space="preserve"> to offer/give a sacrifice just as the Law of the Lord says:</w:t>
      </w:r>
    </w:p>
    <w:p>
      <w:pPr>
        <w:pStyle w:val="ListBullet"/>
        <w:spacing w:line="240" w:lineRule="auto"/>
        <w:ind w:left="720"/>
      </w:pPr>
      <w:r>
        <w:rPr>
          <w:lang w:val="en_US" w:bidi="en_US"/>
        </w:rPr>
      </w:r>
      <w:r>
        <w:rPr>
          <w:lang w:val="en_US" w:bidi="en_US"/>
        </w:rPr>
        <w:t>Joseph and Mary also went</w:t>
      </w:r>
      <w:r>
        <w:rPr>
          <w:lang w:val="en_US" w:bidi="en_US"/>
        </w:rPr>
        <w:t xml:space="preserve"> </w:t>
      </w:r>
      <w:r>
        <w:rPr>
          <w:lang w:val="en_US" w:bidi="en_US"/>
        </w:rPr>
        <w:t>to Jerusalem</w:t>
      </w:r>
      <w:r>
        <w:rPr>
          <w:lang w:val="en_US" w:bidi="en_US"/>
        </w:rPr>
        <w:t xml:space="preserve"> to make the sacrifice that the Lord’s law required </w:t>
      </w:r>
      <w:r>
        <w:rPr>
          <w:lang w:val="en_US" w:bidi="en_US"/>
        </w:rPr>
        <w:t>in order for Mary to become pure</w:t>
      </w:r>
      <w:r>
        <w:rPr>
          <w:lang w:val="en_US" w:bidi="en_US"/>
        </w:rPr>
        <w:t>. It says:</w:t>
      </w:r>
    </w:p>
    <w:p>
      <w:pPr/>
      <w:r>
        <w:rPr>
          <w:lang w:val="en_US" w:bidi="en_US"/>
        </w:rPr>
      </w:r>
      <w:r>
        <w:rPr>
          <w:lang w:val="en_US" w:bidi="en_US"/>
        </w:rPr>
        <w:t>Luke 2:24a explains the second reason why Joseph and Mary went to Jerusalem. They went to offer a sacrifice for purification. The first reason is in 2:22b. Then 2:23 gives background information. It may be good to begin a new sentence at 2:24. For example:</w:t>
      </w:r>
    </w:p>
    <w:p>
      <w:pPr/>
      <w:r>
        <w:rPr>
          <w:lang w:val="en_US" w:bidi="en_US"/>
        </w:rPr>
      </w:r>
      <w:r>
        <w:rPr>
          <w:lang w:val="en_US" w:bidi="en_US"/>
        </w:rPr>
        <w:t>Mary and Joseph also went to… (NCV)</w:t>
      </w:r>
    </w:p>
    <w:p>
      <w:pPr/>
      <w:r>
        <w:rPr>
          <w:lang w:val="en_US" w:bidi="en_US"/>
        </w:rPr>
      </w:r>
      <w:r>
        <w:rPr>
          <w:lang w:val="en_US" w:bidi="en_US"/>
        </w:rPr>
        <w:t xml:space="preserve">They also </w:t>
      </w:r>
      <w:r>
        <w:rPr>
          <w:lang w:val="en_US" w:bidi="en_US"/>
        </w:rPr>
        <w:t>came to Jerusalem</w:t>
      </w:r>
      <w:r>
        <w:rPr>
          <w:lang w:val="en_US" w:bidi="en_US"/>
        </w:rPr>
        <w:t xml:space="preserve"> to…</w:t>
      </w:r>
    </w:p>
    <w:p>
      <w:pPr/>
      <w:r>
        <w:rPr>
          <w:lang w:val="en_US" w:bidi="en_US"/>
        </w:rPr>
      </w:r>
      <w:r>
        <w:rPr>
          <w:b/>
          <w:lang w:val="en_US" w:bidi="en_US"/>
        </w:rPr>
        <w:t>and to offer the sacrifice:</w:t>
      </w:r>
      <w:r>
        <w:rPr>
          <w:lang w:val="en_US" w:bidi="en_US"/>
        </w:rPr>
        <w:t xml:space="preserve"> The phrase </w:t>
      </w:r>
      <w:r>
        <w:rPr>
          <w:i/>
          <w:lang w:val="en_US" w:bidi="en_US"/>
        </w:rPr>
        <w:t>to offer the sacrifice</w:t>
      </w:r>
      <w:r>
        <w:rPr>
          <w:lang w:val="en_US" w:bidi="en_US"/>
        </w:rPr>
        <w:t xml:space="preserve"> refers to the sacrifice that Joseph and Mary offered in Jerusalem for Mary’s purification. They gave two birds to a priest, who then killed the birds during a ceremony.</w:t>
      </w:r>
    </w:p>
    <w:p>
      <w:pPr/>
      <w:r>
        <w:rPr>
          <w:lang w:val="en_US" w:bidi="en_US"/>
        </w:rPr>
      </w:r>
      <w:r>
        <w:rPr>
          <w:lang w:val="en_US" w:bidi="en_US"/>
        </w:rPr>
        <w:t>They gave this type of sacrifice so that Mary would become clean according to their religious customs. Then she could worship God publicly with other people again.</w:t>
      </w:r>
    </w:p>
    <w:p>
      <w:pPr/>
      <w:r>
        <w:rPr>
          <w:lang w:val="en_US" w:bidi="en_US"/>
        </w:rPr>
      </w:r>
      <w:r>
        <w:rPr>
          <w:b/>
          <w:lang w:val="en_US" w:bidi="en_US"/>
        </w:rPr>
        <w:t>the sacrifice:</w:t>
      </w:r>
      <w:r>
        <w:rPr>
          <w:lang w:val="en_US" w:bidi="en_US"/>
        </w:rPr>
        <w:t xml:space="preserve"> A </w:t>
      </w:r>
      <w:r>
        <w:rPr>
          <w:i/>
          <w:lang w:val="en_US" w:bidi="en_US"/>
        </w:rPr>
        <w:t>sacrifice</w:t>
      </w:r>
      <w:r>
        <w:rPr>
          <w:lang w:val="en_US" w:bidi="en_US"/>
        </w:rPr>
        <w:t xml:space="preserve"> is something that is offered/given to God or an idol. A sacrifice is often an animal that is killed in a ceremony. Another way to say this is:</w:t>
      </w:r>
    </w:p>
    <w:p>
      <w:pPr/>
      <w:r>
        <w:rPr>
          <w:lang w:val="en_US" w:bidi="en_US"/>
        </w:rPr>
      </w:r>
      <w:r>
        <w:rPr>
          <w:lang w:val="en_US" w:bidi="en_US"/>
        </w:rPr>
        <w:t>that which is given to God</w:t>
      </w:r>
    </w:p>
    <w:p>
      <w:pPr/>
      <w:r>
        <w:rPr>
          <w:lang w:val="en_US" w:bidi="en_US"/>
        </w:rPr>
      </w:r>
      <w:r>
        <w:rPr>
          <w:b/>
          <w:lang w:val="en_US" w:bidi="en_US"/>
        </w:rPr>
        <w:t>specified in the Law of the Lord:</w:t>
      </w:r>
      <w:r>
        <w:rPr>
          <w:lang w:val="en_US" w:bidi="en_US"/>
        </w:rPr>
        <w:t xml:space="preserve"> The Greek phrase that the BSB translates as </w:t>
      </w:r>
      <w:r>
        <w:rPr>
          <w:i/>
          <w:lang w:val="en_US" w:bidi="en_US"/>
        </w:rPr>
        <w:t>specified</w:t>
      </w:r>
      <w:r>
        <w:rPr>
          <w:lang w:val="en_US" w:bidi="en_US"/>
        </w:rPr>
        <w:t xml:space="preserve"> is literally “according to what is said.” Joseph and Mary gave this sacrifice according to what </w:t>
      </w:r>
      <w:r>
        <w:rPr>
          <w:i/>
          <w:lang w:val="en_US" w:bidi="en_US"/>
        </w:rPr>
        <w:t>the Lord</w:t>
      </w:r>
      <w:r>
        <w:rPr>
          <w:lang w:val="en_US" w:bidi="en_US"/>
        </w:rPr>
        <w:t xml:space="preserve"> required in his law. This means that they did what God’s law said they should do. Another way to translate this is:</w:t>
      </w:r>
    </w:p>
    <w:p>
      <w:pPr/>
      <w:r>
        <w:rPr>
          <w:lang w:val="en_US" w:bidi="en_US"/>
        </w:rPr>
      </w:r>
      <w:r>
        <w:rPr>
          <w:lang w:val="en_US" w:bidi="en_US"/>
        </w:rPr>
        <w:t>The Law of the Lord also says that parents have to offer a sacrifice…. So that is what Mary and Joseph did. (CEV)</w:t>
      </w:r>
    </w:p>
    <w:p>
      <w:pPr>
        <w:pStyle w:val="Heading5"/>
      </w:pPr>
      <w:r>
        <w:rPr>
          <w:lang w:val="en_US" w:bidi="en_US"/>
        </w:rPr>
        <w:t>2:24b</w:t>
      </w:r>
    </w:p>
    <w:p>
      <w:pPr/>
      <w:r>
        <w:rPr>
          <w:lang w:val="en_US" w:bidi="en_US"/>
        </w:rPr>
      </w:r>
      <w:r>
        <w:rPr>
          <w:b/>
          <w:lang w:val="en_US" w:bidi="en_US"/>
        </w:rPr>
        <w:t>“A pair of turtledoves or two young pigeons.”</w:t>
      </w:r>
    </w:p>
    <w:p>
      <w:pPr>
        <w:pStyle w:val="ListBullet"/>
        <w:spacing w:line="240" w:lineRule="auto"/>
        <w:ind w:left="720"/>
      </w:pPr>
      <w:r>
        <w:rPr>
          <w:lang w:val="en_US" w:bidi="en_US"/>
        </w:rPr>
      </w:r>
      <w:r>
        <w:rPr>
          <w:lang w:val="en_US" w:bidi="en_US"/>
        </w:rPr>
        <w:t>“</w:t>
      </w:r>
      <w:r>
        <w:rPr>
          <w:lang w:val="en_US" w:bidi="en_US"/>
        </w:rPr>
        <w:t>Sacrifice</w:t>
      </w:r>
      <w:r>
        <w:rPr>
          <w:lang w:val="en_US" w:bidi="en_US"/>
        </w:rPr>
        <w:t xml:space="preserve"> two turtledoves or two young pigeons.”</w:t>
      </w:r>
    </w:p>
    <w:p>
      <w:pPr>
        <w:pStyle w:val="ListBullet"/>
        <w:spacing w:line="240" w:lineRule="auto"/>
        <w:ind w:left="720"/>
      </w:pPr>
      <w:r>
        <w:rPr>
          <w:lang w:val="en_US" w:bidi="en_US"/>
        </w:rPr>
      </w:r>
      <w:r>
        <w:rPr>
          <w:lang w:val="en_US" w:bidi="en_US"/>
        </w:rPr>
        <w:t>“</w:t>
      </w:r>
      <w:r>
        <w:rPr>
          <w:lang w:val="en_US" w:bidi="en_US"/>
        </w:rPr>
        <w:t>You shall offer/sacrifice</w:t>
      </w:r>
      <w:r>
        <w:rPr>
          <w:lang w:val="en_US" w:bidi="en_US"/>
        </w:rPr>
        <w:t xml:space="preserve"> two pigeons or two young doves.”</w:t>
      </w:r>
    </w:p>
    <w:p>
      <w:pPr>
        <w:pStyle w:val="ListBullet"/>
        <w:spacing w:line="240" w:lineRule="auto"/>
        <w:ind w:left="720"/>
      </w:pPr>
      <w:r>
        <w:rPr>
          <w:lang w:val="en_US" w:bidi="en_US"/>
        </w:rPr>
      </w:r>
      <w:r>
        <w:rPr>
          <w:lang w:val="en_US" w:bidi="en_US"/>
        </w:rPr>
        <w:t>that they/people should sacrifice two young pigeons/doves or two other birds that are like doves/pigeons.</w:t>
      </w:r>
    </w:p>
    <w:p>
      <w:pPr/>
      <w:r>
        <w:rPr>
          <w:lang w:val="en_US" w:bidi="en_US"/>
        </w:rPr>
      </w:r>
      <w:r>
        <w:rPr>
          <w:b/>
          <w:lang w:val="en_US" w:bidi="en_US"/>
        </w:rPr>
        <w:t>A pair of turtledoves or two young pigeons:</w:t>
      </w:r>
      <w:r>
        <w:rPr>
          <w:lang w:val="en_US" w:bidi="en_US"/>
        </w:rPr>
        <w:t xml:space="preserve"> This is a citation from Leviticus 12:8, which names two kinds of birds that can be used for the sacrifice. Both of these birds are in the same family of birds that are referred to in English as either “doves” or “pigeons.”</w:t>
      </w:r>
    </w:p>
    <w:p>
      <w:pPr/>
      <w:r>
        <w:rPr>
          <w:lang w:val="en_US" w:bidi="en_US"/>
        </w:rPr>
      </w:r>
      <w:r>
        <w:rPr>
          <w:lang w:val="en_US" w:bidi="en_US"/>
        </w:rPr>
        <w:t xml:space="preserve">The first pair of birds, translated as </w:t>
      </w:r>
      <w:r>
        <w:rPr>
          <w:i/>
          <w:lang w:val="en_US" w:bidi="en_US"/>
        </w:rPr>
        <w:t>turtledoves</w:t>
      </w:r>
      <w:r>
        <w:rPr>
          <w:lang w:val="en_US" w:bidi="en_US"/>
        </w:rPr>
        <w:t xml:space="preserve"> in the BSB, are sometimes translated more generally as “doves”</w:t>
      </w:r>
      <w:r>
        <w:rPr>
          <w:lang w:val="en_US" w:bidi="en_US"/>
        </w:rPr>
        <w:t xml:space="preserve">2.24 According to </w:t>
      </w:r>
      <w:r>
        <w:rPr>
          <w:i/>
          <w:lang w:val="en_US" w:bidi="en_US"/>
        </w:rPr>
        <w:t>Animals in the Bible</w:t>
      </w:r>
      <w:r>
        <w:rPr>
          <w:lang w:val="en_US" w:bidi="en_US"/>
        </w:rPr>
        <w:t xml:space="preserve"> (UBS), “Dove, Pigeon,” there are three types of turtledoves found in Israel today, two of which were probably also present in ancient times and which would have been identified as </w:t>
      </w:r>
      <w:r>
        <w:rPr>
          <w:i/>
          <w:lang w:val="en_US" w:bidi="en_US"/>
        </w:rPr>
        <w:t>tor</w:t>
      </w:r>
      <w:r>
        <w:rPr>
          <w:lang w:val="en_US" w:bidi="en_US"/>
        </w:rPr>
        <w:t xml:space="preserve"> in Hebrew or </w:t>
      </w:r>
      <w:r>
        <w:rPr>
          <w:i/>
          <w:lang w:val="en_US" w:bidi="en_US"/>
        </w:rPr>
        <w:t>trugōn</w:t>
      </w:r>
      <w:r>
        <w:rPr>
          <w:lang w:val="en_US" w:bidi="en_US"/>
        </w:rPr>
        <w:t xml:space="preserve"> in Greek: the true turtledove, </w:t>
      </w:r>
      <w:r>
        <w:rPr>
          <w:i/>
          <w:lang w:val="en_US" w:bidi="en_US"/>
        </w:rPr>
        <w:t>Streptopelia turtur</w:t>
      </w:r>
      <w:r>
        <w:rPr>
          <w:lang w:val="en_US" w:bidi="en_US"/>
        </w:rPr>
        <w:t xml:space="preserve">, and the collared dove, </w:t>
      </w:r>
      <w:r>
        <w:rPr>
          <w:i/>
          <w:lang w:val="en_US" w:bidi="en_US"/>
        </w:rPr>
        <w:t>Streptopelia decaocto</w:t>
      </w:r>
      <w:r>
        <w:rPr>
          <w:lang w:val="en_US" w:bidi="en_US"/>
        </w:rPr>
        <w:t>.</w:t>
      </w:r>
      <w:r>
        <w:rPr>
          <w:lang w:val="en_US" w:bidi="en_US"/>
        </w:rPr>
        <w:t xml:space="preserve"> in English versions. These turtledoves are migratory, have brownish wings and a blue-gray neck and head, and are 24–29 centimeters in length.</w:t>
      </w:r>
    </w:p>
    <w:p>
      <w:pPr/>
      <w:r>
        <w:rPr>
          <w:lang w:val="en_US" w:bidi="en_US"/>
        </w:rPr>
      </w:r>
      <w:r>
        <w:rPr>
          <w:lang w:val="en_US" w:bidi="en_US"/>
        </w:rPr>
        <w:t xml:space="preserve">The Greek word for the second pair of birds, translated as </w:t>
      </w:r>
      <w:r>
        <w:rPr>
          <w:i/>
          <w:lang w:val="en_US" w:bidi="en_US"/>
        </w:rPr>
        <w:t>pigeons</w:t>
      </w:r>
      <w:r>
        <w:rPr>
          <w:lang w:val="en_US" w:bidi="en_US"/>
        </w:rPr>
        <w:t xml:space="preserve"> in the BSB, can refer to several different species of birds. In English, these birds are sometimes called “doves” and sometimes called “pigeons.” The dove/pigeon described here is probably similar to a common pigeon today.</w:t>
      </w:r>
      <w:r>
        <w:rPr>
          <w:lang w:val="en_US" w:bidi="en_US"/>
        </w:rPr>
        <w:t xml:space="preserve">2.24 In </w:t>
      </w:r>
      <w:r>
        <w:rPr>
          <w:i/>
          <w:lang w:val="en_US" w:bidi="en_US"/>
        </w:rPr>
        <w:t>Animals in the Bible</w:t>
      </w:r>
      <w:r>
        <w:rPr>
          <w:lang w:val="en_US" w:bidi="en_US"/>
        </w:rPr>
        <w:t xml:space="preserve"> (UBS), “Dove, Pigeon,” it is suggested that the most common bird in the dove-pigeon family in the Middle East today is the Asiatic Rock Dove (also called the Rock Pigeon or Common Pigeon), </w:t>
      </w:r>
      <w:r>
        <w:rPr>
          <w:i/>
          <w:lang w:val="en_US" w:bidi="en_US"/>
        </w:rPr>
        <w:t>Columba livia</w:t>
      </w:r>
      <w:r>
        <w:rPr>
          <w:lang w:val="en_US" w:bidi="en_US"/>
        </w:rPr>
        <w:t xml:space="preserve">, and would be the most likely identification for </w:t>
      </w:r>
      <w:r>
        <w:rPr>
          <w:i/>
          <w:lang w:val="en_US" w:bidi="en_US"/>
        </w:rPr>
        <w:t>yonah</w:t>
      </w:r>
      <w:r>
        <w:rPr>
          <w:lang w:val="en_US" w:bidi="en_US"/>
        </w:rPr>
        <w:t xml:space="preserve"> in Hebrew and </w:t>
      </w:r>
      <w:r>
        <w:rPr>
          <w:i/>
          <w:lang w:val="en_US" w:bidi="en_US"/>
        </w:rPr>
        <w:t>peristera</w:t>
      </w:r>
      <w:r>
        <w:rPr>
          <w:lang w:val="en_US" w:bidi="en_US"/>
        </w:rPr>
        <w:t xml:space="preserve"> in Greek.</w:t>
      </w:r>
      <w:r>
        <w:rPr>
          <w:lang w:val="en_US" w:bidi="en_US"/>
        </w:rPr>
        <w:t xml:space="preserve"> Doves/pigeons are medium-sized birds (30–36 centimeters long). They are usually gray or blue-gray with more color on their necks. They are found all around the world. In the case of these doves/pigeons, unlike for turtledoves, the law required that only young ones could be used for sacrifices.</w:t>
      </w:r>
    </w:p>
    <w:p>
      <w:pPr/>
      <w:r>
        <w:rPr>
          <w:lang w:val="en_US" w:bidi="en_US"/>
        </w:rPr>
      </w:r>
      <w:r>
        <w:rPr>
          <w:lang w:val="en_US" w:bidi="en_US"/>
        </w:rPr>
        <w:t>If you have more than one word that describes birds from this family, choose two different words here.</w:t>
      </w:r>
    </w:p>
    <w:p>
      <w:pPr/>
      <w:r>
        <w:rPr>
          <w:lang w:val="en_US" w:bidi="en_US"/>
        </w:rPr>
      </w:r>
      <w:r>
        <w:rPr>
          <w:lang w:val="en_US" w:bidi="en_US"/>
        </w:rPr>
        <w:t>If you only have one word to describe birds of this type, you could:</w:t>
      </w:r>
    </w:p>
    <w:p>
      <w:pPr>
        <w:pStyle w:val="ListBullet"/>
        <w:spacing w:line="240" w:lineRule="auto"/>
        <w:ind w:left="720"/>
      </w:pPr>
      <w:r>
        <w:rPr>
          <w:lang w:val="en_US" w:bidi="en_US"/>
        </w:rPr>
      </w:r>
      <w:r>
        <w:rPr>
          <w:lang w:val="en_US" w:bidi="en_US"/>
        </w:rPr>
        <w:t>Use your common word for dove/pigeon for the first, and then describe the second as another kind of dove/pigeon. For example:</w:t>
      </w:r>
      <w:r>
        <w:rPr>
          <w:lang w:val="en_US" w:bidi="en_US"/>
        </w:rPr>
        <w:t>a pair of young doves/pigeons or two doves/pigeons of another kind</w:t>
      </w:r>
      <w:r>
        <w:rPr>
          <w:lang w:val="en_US" w:bidi="en_US"/>
        </w:rPr>
        <w:t>two young doves/pigeons or two other birds that are like doves/pigeons</w:t>
      </w:r>
    </w:p>
    <w:p>
      <w:pPr>
        <w:pStyle w:val="ListBullet"/>
        <w:spacing w:line="240" w:lineRule="auto"/>
        <w:ind w:left="720"/>
      </w:pPr>
      <w:r>
        <w:rPr>
          <w:lang w:val="en_US" w:bidi="en_US"/>
        </w:rPr>
      </w:r>
      <w:r>
        <w:rPr>
          <w:lang w:val="en_US" w:bidi="en_US"/>
        </w:rPr>
        <w:t>Describe one as domestic doves/pigeons and the other as wild doves/pigeons, even though in ancient Israel probably only domestic birds were used for sacrifice.</w:t>
      </w:r>
    </w:p>
    <w:p>
      <w:pPr/>
      <w:r>
        <w:rPr>
          <w:lang w:val="en_US" w:bidi="en_US"/>
        </w:rPr>
      </w:r>
      <w:r>
        <w:rPr>
          <w:b/>
          <w:lang w:val="en_US" w:bidi="en_US"/>
        </w:rPr>
        <w:t>A pair of turtledoves:</w:t>
      </w:r>
      <w:r>
        <w:rPr>
          <w:lang w:val="en_US" w:bidi="en_US"/>
        </w:rPr>
        <w:t xml:space="preserve"> The phrase </w:t>
      </w:r>
      <w:r>
        <w:rPr>
          <w:i/>
          <w:lang w:val="en_US" w:bidi="en_US"/>
        </w:rPr>
        <w:t>A pair of turtledoves</w:t>
      </w:r>
      <w:r>
        <w:rPr>
          <w:lang w:val="en_US" w:bidi="en_US"/>
        </w:rPr>
        <w:t xml:space="preserve"> refers to two birds that were turtledoves. It does not necessarily mean a male and a female turtledove.</w:t>
      </w:r>
      <w:r>
        <w:rPr>
          <w:lang w:val="en_US" w:bidi="en_US"/>
        </w:rPr>
      </w:r>
      <w:r>
        <w:rPr>
          <w:lang w:val="en_US" w:bidi="en_US"/>
        </w:rPr>
      </w:r>
    </w:p>
    <w:p>
      <w:pPr/>
      <w:r>
        <w:rPr>
          <w:lang w:val="en_US" w:bidi="en_US"/>
        </w:rPr>
      </w:r>
    </w:p>
    <w:p>
      <w:pPr>
        <w:pStyle w:val="Heading2"/>
      </w:pPr>
      <w:r>
        <w:rPr>
          <w:lang w:val="en_US" w:bidi="en_US"/>
        </w:rPr>
        <w:t>Luke 2:25</w:t>
      </w:r>
      <w:r>
        <w:rPr>
          <w:lang w:val="en_US" w:bidi="en_US"/>
        </w:rPr>
      </w:r>
    </w:p>
    <w:p>
      <w:pPr>
        <w:pStyle w:val="Heading4"/>
      </w:pPr>
      <w:r>
        <w:rPr>
          <w:lang w:val="en_US" w:bidi="en_US"/>
        </w:rPr>
        <w:t>Section 2:21–40: The baby Jesus at the temple</w:t>
      </w:r>
    </w:p>
    <w:p>
      <w:pPr/>
      <w:r>
        <w:rPr>
          <w:lang w:val="en_US" w:bidi="en_US"/>
        </w:rPr>
      </w:r>
      <w:r>
        <w:rPr>
          <w:lang w:val="en_US" w:bidi="en_US"/>
        </w:rPr>
        <w:t>The events in this section happened some days after Jesus was born.</w:t>
      </w:r>
    </w:p>
    <w:p>
      <w:pPr/>
      <w:r>
        <w:rPr>
          <w:lang w:val="en_US" w:bidi="en_US"/>
        </w:rPr>
      </w:r>
      <w:r>
        <w:rPr>
          <w:lang w:val="en_US" w:bidi="en_US"/>
        </w:rPr>
        <w:t>In 2:21–24, Luke mentioned three ceremonies that were done when Jewish boys were born:</w:t>
      </w:r>
    </w:p>
    <w:p>
      <w:pPr>
        <w:pStyle w:val="ListNumber"/>
        <w:numPr>
          <w:ilvl w:val="0"/>
          <w:numId w:val="42"/>
        </w:numPr>
        <w:spacing w:line="240" w:lineRule="auto"/>
        <w:ind w:left="720"/>
      </w:pPr>
      <w:r>
        <w:rPr>
          <w:lang w:val="en_US" w:bidi="en_US"/>
        </w:rPr>
      </w:r>
      <w:r>
        <w:rPr>
          <w:lang w:val="en_US" w:bidi="en_US"/>
        </w:rPr>
        <w:t>the baby boy was circumcised;</w:t>
      </w:r>
    </w:p>
    <w:p>
      <w:pPr>
        <w:pStyle w:val="ListNumber"/>
        <w:spacing w:line="240" w:lineRule="auto"/>
        <w:ind w:left="720"/>
      </w:pPr>
      <w:r>
        <w:rPr>
          <w:lang w:val="en_US" w:bidi="en_US"/>
        </w:rPr>
      </w:r>
      <w:r>
        <w:rPr>
          <w:lang w:val="en_US" w:bidi="en_US"/>
        </w:rPr>
        <w:t>the mother was ritually purified;</w:t>
      </w:r>
    </w:p>
    <w:p>
      <w:pPr>
        <w:pStyle w:val="ListNumber"/>
        <w:spacing w:line="240" w:lineRule="auto"/>
        <w:ind w:left="720"/>
      </w:pPr>
      <w:r>
        <w:rPr>
          <w:lang w:val="en_US" w:bidi="en_US"/>
        </w:rPr>
      </w:r>
      <w:r>
        <w:rPr>
          <w:lang w:val="en_US" w:bidi="en_US"/>
        </w:rPr>
        <w:t>the baby boy was presented to God.</w:t>
      </w:r>
    </w:p>
    <w:p>
      <w:pPr/>
      <w:r>
        <w:rPr>
          <w:lang w:val="en_US" w:bidi="en_US"/>
        </w:rPr>
      </w:r>
      <w:r>
        <w:rPr>
          <w:lang w:val="en_US" w:bidi="en_US"/>
        </w:rPr>
        <w:t>In 2:25–38 Luke described two other events that happened while Joseph, Mary, and Jesus were at the temple in Jerusalem. God allowed two righteous people named Simeon and Anna to see Jesus and to thank God for him. Simeon spoke a prophecy about Jesus and Mary.</w:t>
      </w:r>
    </w:p>
    <w:p>
      <w:pPr/>
      <w:r>
        <w:rPr>
          <w:lang w:val="en_US" w:bidi="en_US"/>
        </w:rPr>
      </w:r>
      <w:r>
        <w:rPr>
          <w:lang w:val="en_US" w:bidi="en_US"/>
        </w:rP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Parents Obey Moses’ Teachings (GW)</w:t>
      </w:r>
    </w:p>
    <w:p>
      <w:pPr/>
      <w:r>
        <w:rPr>
          <w:lang w:val="en_US" w:bidi="en_US"/>
        </w:rPr>
      </w:r>
      <w:r>
        <w:rPr>
          <w:lang w:val="en_US" w:bidi="en_US"/>
        </w:rPr>
        <w:t>Jesus Presented at the Temple (NASB)</w:t>
      </w:r>
    </w:p>
    <w:p>
      <w:pPr/>
      <w:r>
        <w:rPr>
          <w:lang w:val="en_US" w:bidi="en_US"/>
        </w:rPr>
      </w:r>
      <w:r>
        <w:rPr>
          <w:lang w:val="en_US" w:bidi="en_US"/>
        </w:rPr>
        <w:t>Some English versions begin new sections at 2:25 and at 2:36. If you decide to do this in your translation, some possible headings are:</w:t>
      </w:r>
    </w:p>
    <w:p>
      <w:pPr/>
      <w:r>
        <w:rPr>
          <w:lang w:val="en_US" w:bidi="en_US"/>
        </w:rPr>
      </w:r>
      <w:r>
        <w:rPr>
          <w:lang w:val="en_US" w:bidi="en_US"/>
        </w:rPr>
        <w:t>Simeon saw Jesus and prophesied about him (2:25)</w:t>
      </w:r>
    </w:p>
    <w:p>
      <w:pPr/>
      <w:r>
        <w:rPr>
          <w:lang w:val="en_US" w:bidi="en_US"/>
        </w:rPr>
      </w:r>
      <w:r>
        <w:rPr>
          <w:lang w:val="en_US" w:bidi="en_US"/>
        </w:rPr>
        <w:t>Anna thanked God for Jesus and told others about him (2:36)</w:t>
      </w:r>
    </w:p>
    <w:p>
      <w:pPr/>
      <w:r>
        <w:rPr>
          <w:lang w:val="en_US" w:bidi="en_US"/>
        </w:rPr>
      </w:r>
      <w:r>
        <w:rPr>
          <w:lang w:val="en_US" w:bidi="en_US"/>
        </w:rPr>
        <w:t>Simeon’s Prophecy (2:25)</w:t>
      </w:r>
    </w:p>
    <w:p>
      <w:pPr/>
      <w:r>
        <w:rPr>
          <w:lang w:val="en_US" w:bidi="en_US"/>
        </w:rPr>
      </w:r>
      <w:r>
        <w:rPr>
          <w:lang w:val="en_US" w:bidi="en_US"/>
        </w:rPr>
        <w:t>Anna’s Prophecy (2:36)</w:t>
      </w:r>
    </w:p>
    <w:p>
      <w:pPr>
        <w:pStyle w:val="Heading5"/>
      </w:pPr>
      <w:r>
        <w:rPr>
          <w:lang w:val="en_US" w:bidi="en_US"/>
        </w:rPr>
        <w:t>2:25a</w:t>
      </w:r>
    </w:p>
    <w:p>
      <w:pPr/>
      <w:r>
        <w:rPr>
          <w:lang w:val="en_US" w:bidi="en_US"/>
        </w:rPr>
      </w:r>
      <w:r>
        <w:rPr>
          <w:b/>
          <w:lang w:val="en_US" w:bidi="en_US"/>
        </w:rPr>
        <w:t>Now there was a man in Jerusalem named Simeon,</w:t>
      </w:r>
    </w:p>
    <w:p>
      <w:pPr>
        <w:pStyle w:val="ListBullet"/>
        <w:spacing w:line="240" w:lineRule="auto"/>
        <w:ind w:left="720"/>
      </w:pPr>
      <w:r>
        <w:rPr>
          <w:lang w:val="en_US" w:bidi="en_US"/>
        </w:rPr>
      </w:r>
      <w:r>
        <w:rPr>
          <w:lang w:val="en_US" w:bidi="en_US"/>
        </w:rPr>
        <w:t>¶ At that time a man named Simeon lived in Jerusalem.</w:t>
      </w:r>
    </w:p>
    <w:p>
      <w:pPr>
        <w:pStyle w:val="ListBullet"/>
        <w:spacing w:line="240" w:lineRule="auto"/>
        <w:ind w:left="720"/>
      </w:pPr>
      <w:r>
        <w:rPr>
          <w:lang w:val="en_US" w:bidi="en_US"/>
        </w:rPr>
      </w:r>
      <w:r>
        <w:rPr>
          <w:lang w:val="en_US" w:bidi="en_US"/>
        </w:rPr>
        <w:t xml:space="preserve">¶ In </w:t>
      </w:r>
      <w:r>
        <w:rPr>
          <w:lang w:val="en_US" w:bidi="en_US"/>
        </w:rPr>
        <w:t>the city of</w:t>
      </w:r>
      <w:r>
        <w:rPr>
          <w:lang w:val="en_US" w:bidi="en_US"/>
        </w:rPr>
        <w:t xml:space="preserve"> Jerusalem there was a man whose name was Simeon.</w:t>
      </w:r>
    </w:p>
    <w:p>
      <w:pPr/>
      <w:r>
        <w:rPr>
          <w:lang w:val="en_US" w:bidi="en_US"/>
        </w:rPr>
      </w:r>
      <w:r>
        <w:rPr>
          <w:b/>
          <w:lang w:val="en_US" w:bidi="en_US"/>
        </w:rPr>
        <w:t>Now there was:</w:t>
      </w:r>
      <w:r>
        <w:rPr>
          <w:lang w:val="en_US" w:bidi="en_US"/>
        </w:rPr>
        <w:t xml:space="preserve"> In this context the Greek phrase</w:t>
      </w:r>
      <w:r>
        <w:rPr>
          <w:lang w:val="en_US" w:bidi="en_US"/>
        </w:rPr>
        <w:t xml:space="preserve">This Greek phrase is </w:t>
      </w:r>
      <w:r>
        <w:rPr>
          <w:i/>
          <w:lang w:val="en_US" w:bidi="en_US"/>
        </w:rPr>
        <w:t>kai idou</w:t>
      </w:r>
      <w:r>
        <w:rPr>
          <w:lang w:val="en_US" w:bidi="en_US"/>
        </w:rPr>
        <w:t>. It occurs twenty-six times in Luke at 1:20, 1:31, 1:36, 2:25, 5:12, 5:18, 7:12, 7:37, 8:41, 9:30, 9:38, 9:39, 10:25, 11:31, 11:32, 11:41, 13:11, 13:30, 14:2, 19:2, 23:14, 23:15, 23:50, 24:4, 24:13, and 24:49.</w:t>
      </w:r>
      <w:r>
        <w:rPr>
          <w:lang w:val="en_US" w:bidi="en_US"/>
        </w:rPr>
        <w:t xml:space="preserve"> that the BSB translates as </w:t>
      </w:r>
      <w:r>
        <w:rPr>
          <w:i/>
          <w:lang w:val="en_US" w:bidi="en_US"/>
        </w:rPr>
        <w:t>Now</w:t>
      </w:r>
      <w:r>
        <w:rPr>
          <w:lang w:val="en_US" w:bidi="en_US"/>
        </w:rPr>
        <w:t xml:space="preserve"> introduces background information about a new person in the story. You should introduce this background information in a natural way in your language. Some ways to do this in English are:</w:t>
      </w:r>
    </w:p>
    <w:p>
      <w:pPr/>
      <w:r>
        <w:rPr>
          <w:lang w:val="en_US" w:bidi="en_US"/>
        </w:rPr>
      </w:r>
      <w:r>
        <w:rPr>
          <w:lang w:val="en_US" w:bidi="en_US"/>
        </w:rPr>
        <w:t>At that time (GNT)</w:t>
      </w:r>
    </w:p>
    <w:p>
      <w:pPr/>
      <w:r>
        <w:rPr>
          <w:lang w:val="en_US" w:bidi="en_US"/>
        </w:rPr>
      </w:r>
      <w:r>
        <w:rPr>
          <w:lang w:val="en_US" w:bidi="en_US"/>
        </w:rPr>
        <w:t>There was at that time (REB)</w:t>
      </w:r>
    </w:p>
    <w:p>
      <w:pPr/>
      <w:r>
        <w:rPr>
          <w:lang w:val="en_US" w:bidi="en_US"/>
        </w:rPr>
      </w:r>
      <w:r>
        <w:rPr>
          <w:lang w:val="en_US" w:bidi="en_US"/>
        </w:rPr>
        <w:t>In Jerusalem lived (NCV)</w:t>
      </w:r>
    </w:p>
    <w:p>
      <w:pPr>
        <w:pStyle w:val="Heading5"/>
      </w:pPr>
      <w:r>
        <w:rPr>
          <w:lang w:val="en_US" w:bidi="en_US"/>
        </w:rPr>
        <w:t>2:25b</w:t>
      </w:r>
    </w:p>
    <w:p>
      <w:pPr/>
      <w:r>
        <w:rPr>
          <w:lang w:val="en_US" w:bidi="en_US"/>
        </w:rPr>
      </w:r>
      <w:r>
        <w:rPr>
          <w:b/>
          <w:lang w:val="en_US" w:bidi="en_US"/>
        </w:rPr>
        <w:t>who was righteous and devout.</w:t>
      </w:r>
    </w:p>
    <w:p>
      <w:pPr>
        <w:pStyle w:val="ListBullet"/>
        <w:spacing w:line="240" w:lineRule="auto"/>
        <w:ind w:left="720"/>
      </w:pPr>
      <w:r>
        <w:rPr>
          <w:lang w:val="en_US" w:bidi="en_US"/>
        </w:rPr>
      </w:r>
      <w:r>
        <w:rPr>
          <w:lang w:val="en_US" w:bidi="en_US"/>
        </w:rPr>
        <w:t>He was a righteous/moral man and careful to follow God.</w:t>
      </w:r>
    </w:p>
    <w:p>
      <w:pPr>
        <w:pStyle w:val="ListBullet"/>
        <w:spacing w:line="240" w:lineRule="auto"/>
        <w:ind w:left="720"/>
      </w:pPr>
      <w:r>
        <w:rPr>
          <w:lang w:val="en_US" w:bidi="en_US"/>
        </w:rPr>
      </w:r>
      <w:r>
        <w:rPr>
          <w:lang w:val="en_US" w:bidi="en_US"/>
        </w:rPr>
        <w:t>He did what God said was good, and he was faithful to God.</w:t>
      </w:r>
    </w:p>
    <w:p>
      <w:pPr/>
      <w:r>
        <w:rPr>
          <w:lang w:val="en_US" w:bidi="en_US"/>
        </w:rPr>
      </w:r>
      <w:r>
        <w:rPr>
          <w:b/>
          <w:lang w:val="en_US" w:bidi="en_US"/>
        </w:rPr>
        <w:t>righteous:</w:t>
      </w:r>
      <w:r>
        <w:rPr>
          <w:lang w:val="en_US" w:bidi="en_US"/>
        </w:rPr>
        <w:t xml:space="preserve"> The Greek word that the BSB translates here as </w:t>
      </w:r>
      <w:r>
        <w:rPr>
          <w:i/>
          <w:lang w:val="en_US" w:bidi="en_US"/>
        </w:rPr>
        <w:t>righteous</w:t>
      </w:r>
      <w:r>
        <w:rPr>
          <w:lang w:val="en_US" w:bidi="en_US"/>
        </w:rPr>
        <w:t xml:space="preserve"> means “morally good.” It refers to a person who does what pleases God, that is, what is right according to God’s standards. Some other ways to translate </w:t>
      </w:r>
      <w:r>
        <w:rPr>
          <w:i/>
          <w:lang w:val="en_US" w:bidi="en_US"/>
        </w:rPr>
        <w:t>righteous</w:t>
      </w:r>
      <w:r>
        <w:rPr>
          <w:lang w:val="en_US" w:bidi="en_US"/>
        </w:rPr>
        <w:t xml:space="preserve"> are:</w:t>
      </w:r>
    </w:p>
    <w:p>
      <w:pPr/>
      <w:r>
        <w:rPr>
          <w:lang w:val="en_US" w:bidi="en_US"/>
        </w:rPr>
      </w:r>
      <w:r>
        <w:rPr>
          <w:lang w:val="en_US" w:bidi="en_US"/>
        </w:rPr>
        <w:t>He was a good man</w:t>
      </w:r>
    </w:p>
    <w:p>
      <w:pPr/>
      <w:r>
        <w:rPr>
          <w:lang w:val="en_US" w:bidi="en_US"/>
        </w:rPr>
      </w:r>
      <w:r>
        <w:rPr>
          <w:lang w:val="en_US" w:bidi="en_US"/>
        </w:rPr>
        <w:t>He lived right</w:t>
      </w:r>
    </w:p>
    <w:p>
      <w:pPr/>
      <w:r>
        <w:rPr>
          <w:lang w:val="en_US" w:bidi="en_US"/>
        </w:rPr>
      </w:r>
      <w:r>
        <w:rPr>
          <w:lang w:val="en_US" w:bidi="en_US"/>
        </w:rPr>
        <w:t>He lived in a way that pleased God</w:t>
      </w:r>
    </w:p>
    <w:p>
      <w:pPr/>
      <w:r>
        <w:rPr>
          <w:lang w:val="en_US" w:bidi="en_US"/>
        </w:rPr>
      </w:r>
      <w:r>
        <w:rPr>
          <w:lang w:val="en_US" w:bidi="en_US"/>
        </w:rPr>
        <w:t>He obeyed God’s law</w:t>
      </w:r>
    </w:p>
    <w:p>
      <w:pPr/>
      <w:r>
        <w:rPr>
          <w:lang w:val="en_US" w:bidi="en_US"/>
        </w:rPr>
      </w:r>
      <w:r>
        <w:rPr>
          <w:lang w:val="en_US" w:bidi="en_US"/>
        </w:rPr>
        <w:t xml:space="preserve">The same Greek word that the BSB translates here as </w:t>
      </w:r>
      <w:r>
        <w:rPr>
          <w:i/>
          <w:lang w:val="en_US" w:bidi="en_US"/>
        </w:rPr>
        <w:t>righteous</w:t>
      </w:r>
      <w:r>
        <w:rPr>
          <w:lang w:val="en_US" w:bidi="en_US"/>
        </w:rPr>
        <w:t xml:space="preserve"> was also used in 1:6a.</w:t>
      </w:r>
    </w:p>
    <w:p>
      <w:pPr/>
      <w:r>
        <w:rPr>
          <w:lang w:val="en_US" w:bidi="en_US"/>
        </w:rPr>
      </w:r>
      <w:r>
        <w:rPr>
          <w:b/>
          <w:lang w:val="en_US" w:bidi="en_US"/>
        </w:rPr>
        <w:t>devout:</w:t>
      </w:r>
      <w:r>
        <w:rPr>
          <w:lang w:val="en_US" w:bidi="en_US"/>
        </w:rPr>
        <w:t xml:space="preserve"> The Greek word that the BSB translates as </w:t>
      </w:r>
      <w:r>
        <w:rPr>
          <w:i/>
          <w:lang w:val="en_US" w:bidi="en_US"/>
        </w:rPr>
        <w:t>devout</w:t>
      </w:r>
      <w:r>
        <w:rPr>
          <w:lang w:val="en_US" w:bidi="en_US"/>
        </w:rPr>
        <w:t xml:space="preserve"> refers to a person who has great reverence for God. He respects God, so he is careful to do what God requires. Some other ways to translate this word are:</w:t>
      </w:r>
    </w:p>
    <w:p>
      <w:pPr/>
      <w:r>
        <w:rPr>
          <w:lang w:val="en_US" w:bidi="en_US"/>
        </w:rPr>
      </w:r>
      <w:r>
        <w:rPr>
          <w:lang w:val="en_US" w:bidi="en_US"/>
        </w:rPr>
        <w:t>careful to follow God</w:t>
      </w:r>
    </w:p>
    <w:p>
      <w:pPr/>
      <w:r>
        <w:rPr>
          <w:lang w:val="en_US" w:bidi="en_US"/>
        </w:rPr>
      </w:r>
      <w:r>
        <w:rPr>
          <w:lang w:val="en_US" w:bidi="en_US"/>
        </w:rPr>
        <w:t>sincere in serving God</w:t>
      </w:r>
    </w:p>
    <w:p>
      <w:pPr/>
      <w:r>
        <w:rPr>
          <w:lang w:val="en_US" w:bidi="en_US"/>
        </w:rPr>
      </w:r>
      <w:r>
        <w:rPr>
          <w:lang w:val="en_US" w:bidi="en_US"/>
        </w:rPr>
        <w:t>faithful to God</w:t>
      </w:r>
    </w:p>
    <w:p>
      <w:pPr>
        <w:pStyle w:val="Heading5"/>
      </w:pPr>
      <w:r>
        <w:rPr>
          <w:lang w:val="en_US" w:bidi="en_US"/>
        </w:rPr>
        <w:t>2:25c</w:t>
      </w:r>
    </w:p>
    <w:p>
      <w:pPr/>
      <w:r>
        <w:rPr>
          <w:lang w:val="en_US" w:bidi="en_US"/>
        </w:rPr>
      </w:r>
      <w:r>
        <w:rPr>
          <w:b/>
          <w:lang w:val="en_US" w:bidi="en_US"/>
        </w:rPr>
        <w:t>He was waiting for the consolation of Israel,</w:t>
      </w:r>
    </w:p>
    <w:p>
      <w:pPr>
        <w:pStyle w:val="ListBullet"/>
        <w:spacing w:line="240" w:lineRule="auto"/>
        <w:ind w:left="720"/>
      </w:pPr>
      <w:r>
        <w:rPr>
          <w:lang w:val="en_US" w:bidi="en_US"/>
        </w:rPr>
      </w:r>
      <w:r>
        <w:rPr>
          <w:lang w:val="en_US" w:bidi="en_US"/>
        </w:rPr>
        <w:t>He was waiting for the one who would comfort Israel. (GW)</w:t>
      </w:r>
    </w:p>
    <w:p>
      <w:pPr>
        <w:pStyle w:val="ListBullet"/>
        <w:spacing w:line="240" w:lineRule="auto"/>
        <w:ind w:left="720"/>
      </w:pPr>
      <w:r>
        <w:rPr>
          <w:lang w:val="en_US" w:bidi="en_US"/>
        </w:rPr>
      </w:r>
      <w:r>
        <w:rPr>
          <w:lang w:val="en_US" w:bidi="en_US"/>
        </w:rPr>
        <w:t xml:space="preserve">He longed </w:t>
      </w:r>
      <w:r>
        <w:rPr>
          <w:lang w:val="en_US" w:bidi="en_US"/>
        </w:rPr>
        <w:t>to see the Christ</w:t>
      </w:r>
      <w:r>
        <w:rPr>
          <w:lang w:val="en_US" w:bidi="en_US"/>
        </w:rPr>
        <w:t xml:space="preserve"> who would comfort </w:t>
      </w:r>
      <w:r>
        <w:rPr>
          <w:lang w:val="en_US" w:bidi="en_US"/>
        </w:rPr>
        <w:t>the people of</w:t>
      </w:r>
      <w:r>
        <w:rPr>
          <w:lang w:val="en_US" w:bidi="en_US"/>
        </w:rPr>
        <w:t xml:space="preserve"> Israel,</w:t>
      </w:r>
    </w:p>
    <w:p>
      <w:pPr/>
      <w:r>
        <w:rPr>
          <w:lang w:val="en_US" w:bidi="en_US"/>
        </w:rPr>
      </w:r>
      <w:r>
        <w:rPr>
          <w:b/>
          <w:lang w:val="en_US" w:bidi="en_US"/>
        </w:rPr>
        <w:t>waiting:</w:t>
      </w:r>
      <w:r>
        <w:rPr>
          <w:lang w:val="en_US" w:bidi="en_US"/>
        </w:rPr>
        <w:t xml:space="preserve"> In this context, the word </w:t>
      </w:r>
      <w:r>
        <w:rPr>
          <w:i/>
          <w:lang w:val="en_US" w:bidi="en_US"/>
        </w:rPr>
        <w:t>waiting</w:t>
      </w:r>
      <w:r>
        <w:rPr>
          <w:lang w:val="en_US" w:bidi="en_US"/>
        </w:rPr>
        <w:t xml:space="preserve"> indicates that Simeon was waiting for, expecting, and looking forward to something. God had promised to send a Savior. Simeon was </w:t>
      </w:r>
      <w:r>
        <w:rPr>
          <w:i/>
          <w:lang w:val="en_US" w:bidi="en_US"/>
        </w:rPr>
        <w:t>waiting</w:t>
      </w:r>
      <w:r>
        <w:rPr>
          <w:lang w:val="en_US" w:bidi="en_US"/>
        </w:rPr>
        <w:t xml:space="preserve"> and hoping for the Savior to come.</w:t>
      </w:r>
    </w:p>
    <w:p>
      <w:pPr/>
      <w:r>
        <w:rPr>
          <w:lang w:val="en_US" w:bidi="en_US"/>
        </w:rPr>
      </w:r>
      <w:r>
        <w:rPr>
          <w:b/>
          <w:lang w:val="en_US" w:bidi="en_US"/>
        </w:rPr>
        <w:t>the consolation of Israel:</w:t>
      </w:r>
      <w:r>
        <w:rPr>
          <w:lang w:val="en_US" w:bidi="en_US"/>
        </w:rPr>
        <w:t xml:space="preserve"> The Greek word that the BSB translates here as </w:t>
      </w:r>
      <w:r>
        <w:rPr>
          <w:i/>
          <w:lang w:val="en_US" w:bidi="en_US"/>
        </w:rPr>
        <w:t>consolation</w:t>
      </w:r>
      <w:r>
        <w:rPr>
          <w:lang w:val="en_US" w:bidi="en_US"/>
        </w:rPr>
        <w:t xml:space="preserve"> may also be translated as “comfort.”</w:t>
      </w:r>
      <w:r>
        <w:rPr>
          <w:lang w:val="en_US" w:bidi="en_US"/>
        </w:rPr>
        <w:t xml:space="preserve">The Greek word here is </w:t>
      </w:r>
      <w:r>
        <w:rPr>
          <w:i/>
          <w:lang w:val="en_US" w:bidi="en_US"/>
        </w:rPr>
        <w:t>paraklēsis</w:t>
      </w:r>
      <w:r>
        <w:rPr>
          <w:lang w:val="en_US" w:bidi="en_US"/>
        </w:rPr>
        <w:t>. The root of this word is the same as the root of the word that has traditionally been translated as “the Comforter” in John 14–16.</w:t>
      </w:r>
      <w:r>
        <w:rPr>
          <w:lang w:val="en_US" w:bidi="en_US"/>
        </w:rPr>
        <w:t xml:space="preserve"> The phrase </w:t>
      </w:r>
      <w:r>
        <w:rPr>
          <w:i/>
          <w:lang w:val="en_US" w:bidi="en_US"/>
        </w:rPr>
        <w:t>the consolation of Israel</w:t>
      </w:r>
      <w:r>
        <w:rPr>
          <w:lang w:val="en_US" w:bidi="en_US"/>
        </w:rPr>
        <w:t xml:space="preserve"> refers here specifically to the Messiah, who would comfort God’s people Israel. God had promised to send the Messiah to comfort them.</w:t>
      </w:r>
    </w:p>
    <w:p>
      <w:pPr/>
      <w:r>
        <w:rPr>
          <w:lang w:val="en_US" w:bidi="en_US"/>
        </w:rPr>
      </w:r>
      <w:r>
        <w:rPr>
          <w:lang w:val="en_US" w:bidi="en_US"/>
        </w:rPr>
        <w:t xml:space="preserve">Some ways to translate </w:t>
      </w:r>
      <w:r>
        <w:rPr>
          <w:i/>
          <w:lang w:val="en_US" w:bidi="en_US"/>
        </w:rPr>
        <w:t>the consolation of Israel</w:t>
      </w:r>
      <w:r>
        <w:rPr>
          <w:lang w:val="en_US" w:bidi="en_US"/>
        </w:rPr>
        <w:t xml:space="preserve"> in this context are:</w:t>
      </w:r>
    </w:p>
    <w:p>
      <w:pPr>
        <w:pStyle w:val="ListBullet"/>
        <w:spacing w:line="240" w:lineRule="auto"/>
        <w:ind w:left="720"/>
      </w:pPr>
      <w:r>
        <w:rPr>
          <w:lang w:val="en_US" w:bidi="en_US"/>
        </w:rPr>
      </w:r>
      <w:r>
        <w:rPr>
          <w:lang w:val="en_US" w:bidi="en_US"/>
        </w:rPr>
        <w:t xml:space="preserve">Translate </w:t>
      </w:r>
      <w:r>
        <w:rPr>
          <w:i/>
          <w:lang w:val="en_US" w:bidi="en_US"/>
        </w:rPr>
        <w:t>consolation</w:t>
      </w:r>
      <w:r>
        <w:rPr>
          <w:lang w:val="en_US" w:bidi="en_US"/>
        </w:rPr>
        <w:t xml:space="preserve"> in a general way with a word such as “comfort” or “salvation.” For example:</w:t>
      </w:r>
      <w:r>
        <w:rPr>
          <w:lang w:val="en_US" w:bidi="en_US"/>
        </w:rPr>
        <w:t>living in expectation of the “salvation of Israel” (JBP)</w:t>
      </w:r>
    </w:p>
    <w:p>
      <w:pPr>
        <w:pStyle w:val="ListBullet"/>
        <w:spacing w:line="240" w:lineRule="auto"/>
        <w:ind w:left="720"/>
      </w:pPr>
      <w:r>
        <w:rPr>
          <w:lang w:val="en_US" w:bidi="en_US"/>
        </w:rPr>
      </w:r>
      <w:r>
        <w:rPr>
          <w:lang w:val="en_US" w:bidi="en_US"/>
        </w:rPr>
        <w:t xml:space="preserve">Translate </w:t>
      </w:r>
      <w:r>
        <w:rPr>
          <w:i/>
          <w:lang w:val="en_US" w:bidi="en_US"/>
        </w:rPr>
        <w:t>consolation</w:t>
      </w:r>
      <w:r>
        <w:rPr>
          <w:lang w:val="en_US" w:bidi="en_US"/>
        </w:rPr>
        <w:t xml:space="preserve"> by referring more specifically to the Messiah. For example:</w:t>
      </w:r>
      <w:r>
        <w:rPr>
          <w:lang w:val="en_US" w:bidi="en_US"/>
        </w:rPr>
        <w:t>waiting for the one who would comfort Israel (GW)</w:t>
      </w:r>
      <w:r>
        <w:rPr>
          <w:lang w:val="en_US" w:bidi="en_US"/>
        </w:rPr>
        <w:t>eagerly waiting for the Messiah to come and rescue Israel (NLT)</w:t>
      </w:r>
    </w:p>
    <w:p>
      <w:pPr>
        <w:pStyle w:val="Heading5"/>
      </w:pPr>
      <w:r>
        <w:rPr>
          <w:lang w:val="en_US" w:bidi="en_US"/>
        </w:rPr>
        <w:t>2:25d</w:t>
      </w:r>
    </w:p>
    <w:p>
      <w:pPr/>
      <w:r>
        <w:rPr>
          <w:lang w:val="en_US" w:bidi="en_US"/>
        </w:rPr>
      </w:r>
      <w:r>
        <w:rPr>
          <w:b/>
          <w:lang w:val="en_US" w:bidi="en_US"/>
        </w:rPr>
        <w:t>and the Holy Spirit was upon him.</w:t>
      </w:r>
    </w:p>
    <w:p>
      <w:pPr>
        <w:pStyle w:val="ListBullet"/>
        <w:spacing w:line="240" w:lineRule="auto"/>
        <w:ind w:left="720"/>
      </w:pPr>
      <w:r>
        <w:rPr>
          <w:lang w:val="en_US" w:bidi="en_US"/>
        </w:rPr>
      </w:r>
      <w:r>
        <w:rPr>
          <w:lang w:val="en_US" w:bidi="en_US"/>
        </w:rPr>
        <w:t>The Holy Spirit was with him.</w:t>
      </w:r>
    </w:p>
    <w:p>
      <w:pPr>
        <w:pStyle w:val="ListBullet"/>
        <w:spacing w:line="240" w:lineRule="auto"/>
        <w:ind w:left="720"/>
      </w:pPr>
      <w:r>
        <w:rPr>
          <w:lang w:val="en_US" w:bidi="en_US"/>
        </w:rPr>
      </w:r>
      <w:r>
        <w:rPr>
          <w:lang w:val="en_US" w:bidi="en_US"/>
        </w:rPr>
        <w:t>and God’s Spirit guided him.</w:t>
      </w:r>
    </w:p>
    <w:p>
      <w:pPr/>
      <w:r>
        <w:rPr>
          <w:lang w:val="en_US" w:bidi="en_US"/>
        </w:rPr>
      </w:r>
      <w:r>
        <w:rPr>
          <w:b/>
          <w:lang w:val="en_US" w:bidi="en_US"/>
        </w:rPr>
        <w:t>the Holy Spirit was upon him:</w:t>
      </w:r>
      <w:r>
        <w:rPr>
          <w:lang w:val="en_US" w:bidi="en_US"/>
        </w:rPr>
        <w:t xml:space="preserve"> The Holy Spirit was with Simeon. He was guiding him and showing him what God planned to do.</w:t>
      </w:r>
    </w:p>
    <w:p>
      <w:pPr/>
      <w:r>
        <w:rPr>
          <w:lang w:val="en_US" w:bidi="en_US"/>
        </w:rPr>
      </w:r>
      <w:r>
        <w:rPr>
          <w:b/>
          <w:lang w:val="en_US" w:bidi="en_US"/>
        </w:rPr>
        <w:t>Holy Spirit:</w:t>
      </w:r>
      <w:r>
        <w:rPr>
          <w:lang w:val="en_US" w:bidi="en_US"/>
        </w:rPr>
        <w:t xml:space="preserve"> The Greek phrase that the BSB translates as </w:t>
      </w:r>
      <w:r>
        <w:rPr>
          <w:i/>
          <w:lang w:val="en_US" w:bidi="en_US"/>
        </w:rPr>
        <w:t>Holy Spirit</w:t>
      </w:r>
      <w:r>
        <w:rPr>
          <w:lang w:val="en_US" w:bidi="en_US"/>
        </w:rPr>
        <w:t xml:space="preserve"> refers to the Spirit of God. The </w:t>
      </w:r>
      <w:r>
        <w:rPr>
          <w:i/>
          <w:lang w:val="en_US" w:bidi="en_US"/>
        </w:rPr>
        <w:t>Holy Spirit</w:t>
      </w:r>
      <w:r>
        <w:rPr>
          <w:lang w:val="en_US" w:bidi="en_US"/>
        </w:rPr>
        <w:t xml:space="preserve"> is God, together with God the Father and God the Son. The </w:t>
      </w:r>
      <w:r>
        <w:rPr>
          <w:i/>
          <w:lang w:val="en_US" w:bidi="en_US"/>
        </w:rPr>
        <w:t>Holy Spirit</w:t>
      </w:r>
      <w:r>
        <w:rPr>
          <w:lang w:val="en_US" w:bidi="en_US"/>
        </w:rPr>
        <w:t xml:space="preserve"> is </w:t>
      </w:r>
      <w:r>
        <w:rPr>
          <w:i/>
          <w:lang w:val="en_US" w:bidi="en_US"/>
        </w:rPr>
        <w:t>Spirit</w:t>
      </w:r>
      <w:r>
        <w:rPr>
          <w:lang w:val="en_US" w:bidi="en_US"/>
        </w:rPr>
        <w:t xml:space="preserve"> in the sense that he is a living being who does not have a physical body. He is </w:t>
      </w:r>
      <w:r>
        <w:rPr>
          <w:i/>
          <w:lang w:val="en_US" w:bidi="en_US"/>
        </w:rPr>
        <w:t>Holy</w:t>
      </w:r>
      <w:r>
        <w:rPr>
          <w:lang w:val="en_US" w:bidi="en_US"/>
        </w:rPr>
        <w:t xml:space="preserve"> in the sense that he is divine. He is perfect in every way and is completely pure and sinless. Because of these qualities, he is worthy of awe.</w:t>
      </w:r>
    </w:p>
    <w:p>
      <w:pPr/>
      <w:r>
        <w:rPr>
          <w:lang w:val="en_US" w:bidi="en_US"/>
        </w:rPr>
      </w:r>
      <w:r>
        <w:rPr>
          <w:lang w:val="en_US" w:bidi="en_US"/>
        </w:rPr>
        <w:t xml:space="preserve">Some other ways to translate </w:t>
      </w:r>
      <w:r>
        <w:rPr>
          <w:i/>
          <w:lang w:val="en_US" w:bidi="en_US"/>
        </w:rPr>
        <w:t>Holy Spirit</w:t>
      </w:r>
      <w:r>
        <w:rPr>
          <w:lang w:val="en_US" w:bidi="en_US"/>
        </w:rPr>
        <w:t xml:space="preserve"> are:</w:t>
      </w:r>
    </w:p>
    <w:p>
      <w:pPr/>
      <w:r>
        <w:rPr>
          <w:lang w:val="en_US" w:bidi="en_US"/>
        </w:rPr>
      </w:r>
      <w:r>
        <w:rPr>
          <w:lang w:val="en_US" w:bidi="en_US"/>
        </w:rPr>
        <w:t>Spirit/Breath of God</w:t>
      </w:r>
    </w:p>
    <w:p>
      <w:pPr/>
      <w:r>
        <w:rPr>
          <w:lang w:val="en_US" w:bidi="en_US"/>
        </w:rPr>
      </w:r>
      <w:r>
        <w:rPr>
          <w:lang w:val="en_US" w:bidi="en_US"/>
        </w:rPr>
        <w:t>God’s Spirit</w:t>
      </w:r>
    </w:p>
    <w:p>
      <w:pPr/>
      <w:r>
        <w:rPr>
          <w:lang w:val="en_US" w:bidi="en_US"/>
        </w:rPr>
      </w:r>
      <w:r>
        <w:rPr>
          <w:lang w:val="en_US" w:bidi="en_US"/>
        </w:rPr>
        <w:t>Sacred Spirit</w:t>
      </w:r>
    </w:p>
    <w:p>
      <w:pPr/>
      <w:r>
        <w:rPr>
          <w:lang w:val="en_US" w:bidi="en_US"/>
        </w:rPr>
      </w:r>
      <w:r>
        <w:rPr>
          <w:lang w:val="en_US" w:bidi="en_US"/>
        </w:rPr>
        <w:t xml:space="preserve">The </w:t>
      </w:r>
      <w:r>
        <w:rPr>
          <w:i/>
          <w:lang w:val="en_US" w:bidi="en_US"/>
        </w:rPr>
        <w:t>Holy Spirit</w:t>
      </w:r>
      <w:r>
        <w:rPr>
          <w:lang w:val="en_US" w:bidi="en_US"/>
        </w:rPr>
        <w:t xml:space="preserve"> is not a ghost of a dead person. Your translation should not imply this or that God has died.</w:t>
      </w:r>
    </w:p>
    <w:p>
      <w:pPr/>
      <w:r>
        <w:rPr>
          <w:lang w:val="en_US" w:bidi="en_US"/>
        </w:rPr>
      </w:r>
      <w:r>
        <w:rPr>
          <w:lang w:val="en_US" w:bidi="en_US"/>
        </w:rPr>
        <w:t xml:space="preserve">This term also occurs in 1:15c. Translate it the same way in both places. See </w:t>
      </w:r>
      <w:r>
        <w:rPr>
          <w:u w:val="single"/>
          <w:lang w:val="en_US" w:bidi="en_US"/>
        </w:rPr>
        <w:t>holy, sense A2</w:t>
      </w:r>
      <w:r>
        <w:rPr>
          <w:lang w:val="en_US" w:bidi="en_US"/>
        </w:rPr>
        <w:t>, in KBT.</w:t>
      </w:r>
      <w:r>
        <w:rPr>
          <w:lang w:val="en_US" w:bidi="en_US"/>
        </w:rPr>
      </w:r>
      <w:r>
        <w:rPr>
          <w:lang w:val="en_US" w:bidi="en_US"/>
        </w:rPr>
      </w:r>
    </w:p>
    <w:p>
      <w:pPr/>
      <w:r>
        <w:rPr>
          <w:lang w:val="en_US" w:bidi="en_US"/>
        </w:rPr>
      </w:r>
    </w:p>
    <w:p>
      <w:pPr>
        <w:pStyle w:val="Heading2"/>
      </w:pPr>
      <w:r>
        <w:rPr>
          <w:lang w:val="en_US" w:bidi="en_US"/>
        </w:rPr>
        <w:t>Luke 2:26</w:t>
      </w:r>
      <w:r>
        <w:rPr>
          <w:lang w:val="en_US" w:bidi="en_US"/>
        </w:rPr>
      </w:r>
    </w:p>
    <w:p>
      <w:pPr>
        <w:pStyle w:val="Heading4"/>
      </w:pPr>
      <w:r>
        <w:rPr>
          <w:lang w:val="en_US" w:bidi="en_US"/>
        </w:rPr>
        <w:t>Section 2:21–40: The baby Jesus at the temple</w:t>
      </w:r>
    </w:p>
    <w:p>
      <w:pPr/>
      <w:r>
        <w:rPr>
          <w:lang w:val="en_US" w:bidi="en_US"/>
        </w:rPr>
      </w:r>
      <w:r>
        <w:rPr>
          <w:lang w:val="en_US" w:bidi="en_US"/>
        </w:rPr>
        <w:t>The events in this section happened some days after Jesus was born.</w:t>
      </w:r>
    </w:p>
    <w:p>
      <w:pPr/>
      <w:r>
        <w:rPr>
          <w:lang w:val="en_US" w:bidi="en_US"/>
        </w:rPr>
      </w:r>
      <w:r>
        <w:rPr>
          <w:lang w:val="en_US" w:bidi="en_US"/>
        </w:rPr>
        <w:t>In 2:21–24, Luke mentioned three ceremonies that were done when Jewish boys were born:</w:t>
      </w:r>
    </w:p>
    <w:p>
      <w:pPr>
        <w:pStyle w:val="ListNumber"/>
        <w:numPr>
          <w:ilvl w:val="0"/>
          <w:numId w:val="43"/>
        </w:numPr>
        <w:spacing w:line="240" w:lineRule="auto"/>
        <w:ind w:left="720"/>
      </w:pPr>
      <w:r>
        <w:rPr>
          <w:lang w:val="en_US" w:bidi="en_US"/>
        </w:rPr>
      </w:r>
      <w:r>
        <w:rPr>
          <w:lang w:val="en_US" w:bidi="en_US"/>
        </w:rPr>
        <w:t>the baby boy was circumcised;</w:t>
      </w:r>
    </w:p>
    <w:p>
      <w:pPr>
        <w:pStyle w:val="ListNumber"/>
        <w:spacing w:line="240" w:lineRule="auto"/>
        <w:ind w:left="720"/>
      </w:pPr>
      <w:r>
        <w:rPr>
          <w:lang w:val="en_US" w:bidi="en_US"/>
        </w:rPr>
      </w:r>
      <w:r>
        <w:rPr>
          <w:lang w:val="en_US" w:bidi="en_US"/>
        </w:rPr>
        <w:t>the mother was ritually purified;</w:t>
      </w:r>
    </w:p>
    <w:p>
      <w:pPr>
        <w:pStyle w:val="ListNumber"/>
        <w:spacing w:line="240" w:lineRule="auto"/>
        <w:ind w:left="720"/>
      </w:pPr>
      <w:r>
        <w:rPr>
          <w:lang w:val="en_US" w:bidi="en_US"/>
        </w:rPr>
      </w:r>
      <w:r>
        <w:rPr>
          <w:lang w:val="en_US" w:bidi="en_US"/>
        </w:rPr>
        <w:t>the baby boy was presented to God.</w:t>
      </w:r>
    </w:p>
    <w:p>
      <w:pPr/>
      <w:r>
        <w:rPr>
          <w:lang w:val="en_US" w:bidi="en_US"/>
        </w:rPr>
      </w:r>
      <w:r>
        <w:rPr>
          <w:lang w:val="en_US" w:bidi="en_US"/>
        </w:rPr>
        <w:t>In 2:25–38 Luke described two other events that happened while Joseph, Mary, and Jesus were at the temple in Jerusalem. God allowed two righteous people named Simeon and Anna to see Jesus and to thank God for him. Simeon spoke a prophecy about Jesus and Mary.</w:t>
      </w:r>
    </w:p>
    <w:p>
      <w:pPr/>
      <w:r>
        <w:rPr>
          <w:lang w:val="en_US" w:bidi="en_US"/>
        </w:rPr>
      </w:r>
      <w:r>
        <w:rPr>
          <w:lang w:val="en_US" w:bidi="en_US"/>
        </w:rP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Parents Obey Moses’ Teachings (GW)</w:t>
      </w:r>
    </w:p>
    <w:p>
      <w:pPr/>
      <w:r>
        <w:rPr>
          <w:lang w:val="en_US" w:bidi="en_US"/>
        </w:rPr>
      </w:r>
      <w:r>
        <w:rPr>
          <w:lang w:val="en_US" w:bidi="en_US"/>
        </w:rPr>
        <w:t>Jesus Presented at the Temple (NASB)</w:t>
      </w:r>
    </w:p>
    <w:p>
      <w:pPr/>
      <w:r>
        <w:rPr>
          <w:lang w:val="en_US" w:bidi="en_US"/>
        </w:rPr>
      </w:r>
      <w:r>
        <w:rPr>
          <w:lang w:val="en_US" w:bidi="en_US"/>
        </w:rPr>
        <w:t>Some English versions begin new sections at 2:25 and at 2:36. If you decide to do this in your translation, some possible headings are:</w:t>
      </w:r>
    </w:p>
    <w:p>
      <w:pPr/>
      <w:r>
        <w:rPr>
          <w:lang w:val="en_US" w:bidi="en_US"/>
        </w:rPr>
      </w:r>
      <w:r>
        <w:rPr>
          <w:lang w:val="en_US" w:bidi="en_US"/>
        </w:rPr>
        <w:t>Simeon saw Jesus and prophesied about him (2:25)</w:t>
      </w:r>
    </w:p>
    <w:p>
      <w:pPr/>
      <w:r>
        <w:rPr>
          <w:lang w:val="en_US" w:bidi="en_US"/>
        </w:rPr>
      </w:r>
      <w:r>
        <w:rPr>
          <w:lang w:val="en_US" w:bidi="en_US"/>
        </w:rPr>
        <w:t>Anna thanked God for Jesus and told others about him (2:36)</w:t>
      </w:r>
    </w:p>
    <w:p>
      <w:pPr/>
      <w:r>
        <w:rPr>
          <w:lang w:val="en_US" w:bidi="en_US"/>
        </w:rPr>
      </w:r>
      <w:r>
        <w:rPr>
          <w:lang w:val="en_US" w:bidi="en_US"/>
        </w:rPr>
        <w:t>Simeon’s Prophecy (2:25)</w:t>
      </w:r>
    </w:p>
    <w:p>
      <w:pPr/>
      <w:r>
        <w:rPr>
          <w:lang w:val="en_US" w:bidi="en_US"/>
        </w:rPr>
      </w:r>
      <w:r>
        <w:rPr>
          <w:lang w:val="en_US" w:bidi="en_US"/>
        </w:rPr>
        <w:t>Anna’s Prophecy (2:36)</w:t>
      </w:r>
    </w:p>
    <w:p>
      <w:pPr>
        <w:pStyle w:val="Heading5"/>
      </w:pPr>
      <w:r>
        <w:rPr>
          <w:lang w:val="en_US" w:bidi="en_US"/>
        </w:rPr>
        <w:t>2:26a</w:t>
      </w:r>
    </w:p>
    <w:p>
      <w:pPr/>
      <w:r>
        <w:rPr>
          <w:lang w:val="en_US" w:bidi="en_US"/>
        </w:rPr>
      </w:r>
      <w:r>
        <w:rPr>
          <w:b/>
          <w:lang w:val="en_US" w:bidi="en_US"/>
        </w:rPr>
        <w:t>The Holy Spirit had revealed to him</w:t>
      </w:r>
    </w:p>
    <w:p>
      <w:pPr>
        <w:pStyle w:val="ListBullet"/>
        <w:spacing w:line="240" w:lineRule="auto"/>
        <w:ind w:left="720"/>
      </w:pPr>
      <w:r>
        <w:rPr>
          <w:lang w:val="en_US" w:bidi="en_US"/>
        </w:rPr>
      </w:r>
      <w:r>
        <w:rPr>
          <w:lang w:val="en_US" w:bidi="en_US"/>
        </w:rPr>
        <w:t>The Holy Spirit had revealed/shown to him</w:t>
      </w:r>
    </w:p>
    <w:p>
      <w:pPr>
        <w:pStyle w:val="ListBullet"/>
        <w:spacing w:line="240" w:lineRule="auto"/>
        <w:ind w:left="720"/>
      </w:pPr>
      <w:r>
        <w:rPr>
          <w:lang w:val="en_US" w:bidi="en_US"/>
        </w:rPr>
      </w:r>
      <w:r>
        <w:rPr>
          <w:lang w:val="en_US" w:bidi="en_US"/>
        </w:rPr>
        <w:t>God’s Spirit had made known to Simeon</w:t>
      </w:r>
    </w:p>
    <w:p>
      <w:pPr>
        <w:pStyle w:val="Heading5"/>
      </w:pPr>
      <w:r>
        <w:rPr>
          <w:lang w:val="en_US" w:bidi="en_US"/>
        </w:rPr>
        <w:t>2:26b</w:t>
      </w:r>
    </w:p>
    <w:p>
      <w:pPr/>
      <w:r>
        <w:rPr>
          <w:lang w:val="en_US" w:bidi="en_US"/>
        </w:rPr>
      </w:r>
      <w:r>
        <w:rPr>
          <w:b/>
          <w:lang w:val="en_US" w:bidi="en_US"/>
        </w:rPr>
        <w:t>that he would not see death before he had seen the Lord’s Christ.</w:t>
      </w:r>
    </w:p>
    <w:p>
      <w:pPr>
        <w:pStyle w:val="ListBullet"/>
        <w:spacing w:line="240" w:lineRule="auto"/>
        <w:ind w:left="720"/>
      </w:pPr>
      <w:r>
        <w:rPr>
          <w:lang w:val="en_US" w:bidi="en_US"/>
        </w:rPr>
      </w:r>
      <w:r>
        <w:rPr>
          <w:lang w:val="en_US" w:bidi="en_US"/>
        </w:rPr>
        <w:t xml:space="preserve">that he would not die before he saw the Christ/Messiah whom the Lord </w:t>
      </w:r>
      <w:r>
        <w:rPr>
          <w:lang w:val="en_US" w:bidi="en_US"/>
        </w:rPr>
        <w:t>appointed</w:t>
      </w:r>
      <w:r>
        <w:rPr>
          <w:lang w:val="en_US" w:bidi="en_US"/>
        </w:rPr>
        <w:t>.</w:t>
      </w:r>
    </w:p>
    <w:p>
      <w:pPr>
        <w:pStyle w:val="ListBullet"/>
        <w:spacing w:line="240" w:lineRule="auto"/>
        <w:ind w:left="720"/>
      </w:pPr>
      <w:r>
        <w:rPr>
          <w:lang w:val="en_US" w:bidi="en_US"/>
        </w:rPr>
      </w:r>
      <w:r>
        <w:rPr>
          <w:lang w:val="en_US" w:bidi="en_US"/>
        </w:rPr>
        <w:t xml:space="preserve">that before he died, he would see the Christ/Deliverer whom God </w:t>
      </w:r>
      <w:r>
        <w:rPr>
          <w:lang w:val="en_US" w:bidi="en_US"/>
        </w:rPr>
        <w:t>promised to send</w:t>
      </w:r>
      <w:r>
        <w:rPr>
          <w:lang w:val="en_US" w:bidi="en_US"/>
        </w:rPr>
        <w:t>.</w:t>
      </w:r>
    </w:p>
    <w:p>
      <w:pPr>
        <w:pStyle w:val="Heading5"/>
      </w:pPr>
      <w:r>
        <w:rPr>
          <w:lang w:val="en_US" w:bidi="en_US"/>
        </w:rPr>
        <w:t>2:26a–b</w:t>
      </w:r>
    </w:p>
    <w:p>
      <w:pPr/>
      <w:r>
        <w:rPr>
          <w:lang w:val="en_US" w:bidi="en_US"/>
        </w:rPr>
      </w:r>
      <w:r>
        <w:rPr>
          <w:b/>
          <w:lang w:val="en_US" w:bidi="en_US"/>
        </w:rPr>
        <w:t>The Holy Spirit had revealed to him that he would not see death before he had seen the Lord’s Christ:</w:t>
      </w:r>
      <w:r>
        <w:rPr>
          <w:lang w:val="en_US" w:bidi="en_US"/>
        </w:rPr>
        <w:t xml:space="preserve"> This part of the verse is passive, literally “it had been revealed to him by the Holy Spirit.” The Holy Spirit had revealed to Simeon that he would see the Christ/Messiah</w:t>
      </w:r>
      <w:r>
        <w:rPr>
          <w:lang w:val="en_US" w:bidi="en_US"/>
        </w:rPr>
        <w:t xml:space="preserve">When the Greek word that is translated as </w:t>
      </w:r>
      <w:r>
        <w:rPr>
          <w:i/>
          <w:lang w:val="en_US" w:bidi="en_US"/>
        </w:rPr>
        <w:t>Christ</w:t>
      </w:r>
      <w:r>
        <w:rPr>
          <w:lang w:val="en_US" w:bidi="en_US"/>
        </w:rPr>
        <w:t xml:space="preserve"> is used as a title for Jesus, it has the same meaning as the Hebrew word that English versions frequently translated as “Messiah.”</w:t>
      </w:r>
      <w:r>
        <w:rPr>
          <w:lang w:val="en_US" w:bidi="en_US"/>
        </w:rPr>
        <w:t xml:space="preserve"> before he died. In some languages, it may be more natural to translate this as an active sentence, as the BSB does. For example:</w:t>
      </w:r>
    </w:p>
    <w:p>
      <w:pPr/>
      <w:r>
        <w:rPr>
          <w:lang w:val="en_US" w:bidi="en_US"/>
        </w:rPr>
      </w:r>
      <w:r>
        <w:rPr>
          <w:lang w:val="en_US" w:bidi="en_US"/>
        </w:rPr>
        <w:t>The Holy Spirit…had revealed to him that he would not die until he had seen the Lord’s Messiah. (NLT)</w:t>
      </w:r>
      <w:r>
        <w:rPr>
          <w:lang w:val="en_US" w:bidi="en_US"/>
        </w:rPr>
        <w:t>The phrase “The Holy Spirit” is the subject of the verb at the end of 2:25, and the NLT has used it also as the subject of “had revealed” in 2:26.</w:t>
      </w:r>
    </w:p>
    <w:p>
      <w:pPr/>
      <w:r>
        <w:rPr>
          <w:lang w:val="en_US" w:bidi="en_US"/>
        </w:rPr>
      </w:r>
      <w:r>
        <w:rPr>
          <w:lang w:val="en_US" w:bidi="en_US"/>
        </w:rPr>
        <w:t>The form of the Greek verb here indicates that the Holy Spirit had already revealed this to Simeon at some time in the past.</w:t>
      </w:r>
    </w:p>
    <w:p>
      <w:pPr/>
      <w:r>
        <w:rPr>
          <w:lang w:val="en_US" w:bidi="en_US"/>
        </w:rPr>
      </w:r>
      <w:r>
        <w:rPr>
          <w:b/>
          <w:lang w:val="en_US" w:bidi="en_US"/>
        </w:rPr>
        <w:t>he would not see death before he had seen the Lord’s Christ:</w:t>
      </w:r>
      <w:r>
        <w:rPr>
          <w:lang w:val="en_US" w:bidi="en_US"/>
        </w:rPr>
        <w:t xml:space="preserve"> In some languages it may be natural to reverse the clauses here and translate without the negative (</w:t>
      </w:r>
      <w:r>
        <w:rPr>
          <w:i/>
          <w:lang w:val="en_US" w:bidi="en_US"/>
        </w:rPr>
        <w:t>not</w:t>
      </w:r>
      <w:r>
        <w:rPr>
          <w:lang w:val="en_US" w:bidi="en_US"/>
        </w:rPr>
        <w:t>). For example:</w:t>
      </w:r>
    </w:p>
    <w:p>
      <w:pPr/>
      <w:r>
        <w:rPr>
          <w:lang w:val="en_US" w:bidi="en_US"/>
        </w:rPr>
      </w:r>
      <w:r>
        <w:rPr>
          <w:lang w:val="en_US" w:bidi="en_US"/>
        </w:rPr>
        <w:t>he would see the Lord’s Christ before he died</w:t>
      </w:r>
    </w:p>
    <w:p>
      <w:pPr/>
      <w:r>
        <w:rPr>
          <w:lang w:val="en_US" w:bidi="en_US"/>
        </w:rPr>
      </w:r>
      <w:r>
        <w:rPr>
          <w:b/>
          <w:lang w:val="en_US" w:bidi="en_US"/>
        </w:rPr>
        <w:t>see death:</w:t>
      </w:r>
      <w:r>
        <w:rPr>
          <w:lang w:val="en_US" w:bidi="en_US"/>
        </w:rPr>
        <w:t xml:space="preserve"> The phrase </w:t>
      </w:r>
      <w:r>
        <w:rPr>
          <w:i/>
          <w:lang w:val="en_US" w:bidi="en_US"/>
        </w:rPr>
        <w:t>see death</w:t>
      </w:r>
      <w:r>
        <w:rPr>
          <w:lang w:val="en_US" w:bidi="en_US"/>
        </w:rPr>
        <w:t xml:space="preserve"> is an idiom. It means “to die,” and many English versions translate it that way. For example:</w:t>
      </w:r>
    </w:p>
    <w:p>
      <w:pPr/>
      <w:r>
        <w:rPr>
          <w:lang w:val="en_US" w:bidi="en_US"/>
        </w:rPr>
      </w:r>
      <w:r>
        <w:rPr>
          <w:lang w:val="en_US" w:bidi="en_US"/>
        </w:rPr>
        <w:t>he would not die (NIV)</w:t>
      </w:r>
    </w:p>
    <w:p>
      <w:pPr/>
      <w:r>
        <w:rPr>
          <w:lang w:val="en_US" w:bidi="en_US"/>
        </w:rPr>
      </w:r>
      <w:r>
        <w:rPr>
          <w:b/>
          <w:lang w:val="en_US" w:bidi="en_US"/>
        </w:rPr>
        <w:t>the Lord’s Christ:</w:t>
      </w:r>
      <w:r>
        <w:rPr>
          <w:lang w:val="en_US" w:bidi="en_US"/>
        </w:rPr>
        <w:t xml:space="preserve"> In the phrase </w:t>
      </w:r>
      <w:r>
        <w:rPr>
          <w:i/>
          <w:lang w:val="en_US" w:bidi="en_US"/>
        </w:rPr>
        <w:t>the Lord’s Christ</w:t>
      </w:r>
      <w:r>
        <w:rPr>
          <w:lang w:val="en_US" w:bidi="en_US"/>
        </w:rPr>
        <w:t xml:space="preserve">, the word </w:t>
      </w:r>
      <w:r>
        <w:rPr>
          <w:i/>
          <w:lang w:val="en_US" w:bidi="en_US"/>
        </w:rPr>
        <w:t>Lord’s</w:t>
      </w:r>
      <w:r>
        <w:rPr>
          <w:lang w:val="en_US" w:bidi="en_US"/>
        </w:rPr>
        <w:t xml:space="preserve"> refers to God. The word </w:t>
      </w:r>
      <w:r>
        <w:rPr>
          <w:i/>
          <w:lang w:val="en_US" w:bidi="en_US"/>
        </w:rPr>
        <w:t>Christ</w:t>
      </w:r>
      <w:r>
        <w:rPr>
          <w:lang w:val="en_US" w:bidi="en_US"/>
        </w:rPr>
        <w:t xml:space="preserve"> refers to the person whom God appointed and promised to send as King and Savior. So </w:t>
      </w:r>
      <w:r>
        <w:rPr>
          <w:i/>
          <w:lang w:val="en_US" w:bidi="en_US"/>
        </w:rPr>
        <w:t>the Lord’s Christ</w:t>
      </w:r>
      <w:r>
        <w:rPr>
          <w:lang w:val="en_US" w:bidi="en_US"/>
        </w:rPr>
        <w:t xml:space="preserve"> means “God’s appointed/promised one.” See Lord, Context 2, in the Glossary.</w:t>
      </w:r>
    </w:p>
    <w:p>
      <w:pPr/>
      <w:r>
        <w:rPr>
          <w:lang w:val="en_US" w:bidi="en_US"/>
        </w:rPr>
      </w:r>
      <w:r>
        <w:rPr>
          <w:lang w:val="en_US" w:bidi="en_US"/>
        </w:rPr>
        <w:t xml:space="preserve">For a fuller discussion of </w:t>
      </w:r>
      <w:r>
        <w:rPr>
          <w:i/>
          <w:lang w:val="en_US" w:bidi="en_US"/>
        </w:rPr>
        <w:t>Christ</w:t>
      </w:r>
      <w:r>
        <w:rPr>
          <w:lang w:val="en_US" w:bidi="en_US"/>
        </w:rPr>
        <w:t>, see the note at 2:11b. See also Christ in the Glossary.</w:t>
      </w:r>
      <w:r>
        <w:rPr>
          <w:lang w:val="en_US" w:bidi="en_US"/>
        </w:rPr>
      </w:r>
      <w:r>
        <w:rPr>
          <w:lang w:val="en_US" w:bidi="en_US"/>
        </w:rPr>
      </w:r>
    </w:p>
    <w:p>
      <w:pPr/>
      <w:r>
        <w:rPr>
          <w:lang w:val="en_US" w:bidi="en_US"/>
        </w:rPr>
      </w:r>
    </w:p>
    <w:p>
      <w:pPr>
        <w:pStyle w:val="Heading2"/>
      </w:pPr>
      <w:r>
        <w:rPr>
          <w:lang w:val="en_US" w:bidi="en_US"/>
        </w:rPr>
        <w:t>Luke 2:27</w:t>
      </w:r>
      <w:r>
        <w:rPr>
          <w:lang w:val="en_US" w:bidi="en_US"/>
        </w:rPr>
      </w:r>
    </w:p>
    <w:p>
      <w:pPr>
        <w:pStyle w:val="Heading4"/>
      </w:pPr>
      <w:r>
        <w:rPr>
          <w:lang w:val="en_US" w:bidi="en_US"/>
        </w:rPr>
        <w:t>Section 2:21–40: The baby Jesus at the temple</w:t>
      </w:r>
    </w:p>
    <w:p>
      <w:pPr/>
      <w:r>
        <w:rPr>
          <w:lang w:val="en_US" w:bidi="en_US"/>
        </w:rPr>
      </w:r>
      <w:r>
        <w:rPr>
          <w:lang w:val="en_US" w:bidi="en_US"/>
        </w:rPr>
        <w:t>The events in this section happened some days after Jesus was born.</w:t>
      </w:r>
    </w:p>
    <w:p>
      <w:pPr/>
      <w:r>
        <w:rPr>
          <w:lang w:val="en_US" w:bidi="en_US"/>
        </w:rPr>
      </w:r>
      <w:r>
        <w:rPr>
          <w:lang w:val="en_US" w:bidi="en_US"/>
        </w:rPr>
        <w:t>In 2:21–24, Luke mentioned three ceremonies that were done when Jewish boys were born:</w:t>
      </w:r>
    </w:p>
    <w:p>
      <w:pPr>
        <w:pStyle w:val="ListNumber"/>
        <w:numPr>
          <w:ilvl w:val="0"/>
          <w:numId w:val="44"/>
        </w:numPr>
        <w:spacing w:line="240" w:lineRule="auto"/>
        <w:ind w:left="720"/>
      </w:pPr>
      <w:r>
        <w:rPr>
          <w:lang w:val="en_US" w:bidi="en_US"/>
        </w:rPr>
      </w:r>
      <w:r>
        <w:rPr>
          <w:lang w:val="en_US" w:bidi="en_US"/>
        </w:rPr>
        <w:t>the baby boy was circumcised;</w:t>
      </w:r>
    </w:p>
    <w:p>
      <w:pPr>
        <w:pStyle w:val="ListNumber"/>
        <w:spacing w:line="240" w:lineRule="auto"/>
        <w:ind w:left="720"/>
      </w:pPr>
      <w:r>
        <w:rPr>
          <w:lang w:val="en_US" w:bidi="en_US"/>
        </w:rPr>
      </w:r>
      <w:r>
        <w:rPr>
          <w:lang w:val="en_US" w:bidi="en_US"/>
        </w:rPr>
        <w:t>the mother was ritually purified;</w:t>
      </w:r>
    </w:p>
    <w:p>
      <w:pPr>
        <w:pStyle w:val="ListNumber"/>
        <w:spacing w:line="240" w:lineRule="auto"/>
        <w:ind w:left="720"/>
      </w:pPr>
      <w:r>
        <w:rPr>
          <w:lang w:val="en_US" w:bidi="en_US"/>
        </w:rPr>
      </w:r>
      <w:r>
        <w:rPr>
          <w:lang w:val="en_US" w:bidi="en_US"/>
        </w:rPr>
        <w:t>the baby boy was presented to God.</w:t>
      </w:r>
    </w:p>
    <w:p>
      <w:pPr/>
      <w:r>
        <w:rPr>
          <w:lang w:val="en_US" w:bidi="en_US"/>
        </w:rPr>
      </w:r>
      <w:r>
        <w:rPr>
          <w:lang w:val="en_US" w:bidi="en_US"/>
        </w:rPr>
        <w:t>In 2:25–38 Luke described two other events that happened while Joseph, Mary, and Jesus were at the temple in Jerusalem. God allowed two righteous people named Simeon and Anna to see Jesus and to thank God for him. Simeon spoke a prophecy about Jesus and Mary.</w:t>
      </w:r>
    </w:p>
    <w:p>
      <w:pPr/>
      <w:r>
        <w:rPr>
          <w:lang w:val="en_US" w:bidi="en_US"/>
        </w:rPr>
      </w:r>
      <w:r>
        <w:rPr>
          <w:lang w:val="en_US" w:bidi="en_US"/>
        </w:rP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Parents Obey Moses’ Teachings (GW)</w:t>
      </w:r>
    </w:p>
    <w:p>
      <w:pPr/>
      <w:r>
        <w:rPr>
          <w:lang w:val="en_US" w:bidi="en_US"/>
        </w:rPr>
      </w:r>
      <w:r>
        <w:rPr>
          <w:lang w:val="en_US" w:bidi="en_US"/>
        </w:rPr>
        <w:t>Jesus Presented at the Temple (NASB)</w:t>
      </w:r>
    </w:p>
    <w:p>
      <w:pPr/>
      <w:r>
        <w:rPr>
          <w:lang w:val="en_US" w:bidi="en_US"/>
        </w:rPr>
      </w:r>
      <w:r>
        <w:rPr>
          <w:lang w:val="en_US" w:bidi="en_US"/>
        </w:rPr>
        <w:t>Some English versions begin new sections at 2:25 and at 2:36. If you decide to do this in your translation, some possible headings are:</w:t>
      </w:r>
    </w:p>
    <w:p>
      <w:pPr/>
      <w:r>
        <w:rPr>
          <w:lang w:val="en_US" w:bidi="en_US"/>
        </w:rPr>
      </w:r>
      <w:r>
        <w:rPr>
          <w:lang w:val="en_US" w:bidi="en_US"/>
        </w:rPr>
        <w:t>Simeon saw Jesus and prophesied about him (2:25)</w:t>
      </w:r>
    </w:p>
    <w:p>
      <w:pPr/>
      <w:r>
        <w:rPr>
          <w:lang w:val="en_US" w:bidi="en_US"/>
        </w:rPr>
      </w:r>
      <w:r>
        <w:rPr>
          <w:lang w:val="en_US" w:bidi="en_US"/>
        </w:rPr>
        <w:t>Anna thanked God for Jesus and told others about him (2:36)</w:t>
      </w:r>
    </w:p>
    <w:p>
      <w:pPr/>
      <w:r>
        <w:rPr>
          <w:lang w:val="en_US" w:bidi="en_US"/>
        </w:rPr>
      </w:r>
      <w:r>
        <w:rPr>
          <w:lang w:val="en_US" w:bidi="en_US"/>
        </w:rPr>
        <w:t>Simeon’s Prophecy (2:25)</w:t>
      </w:r>
    </w:p>
    <w:p>
      <w:pPr/>
      <w:r>
        <w:rPr>
          <w:lang w:val="en_US" w:bidi="en_US"/>
        </w:rPr>
      </w:r>
      <w:r>
        <w:rPr>
          <w:lang w:val="en_US" w:bidi="en_US"/>
        </w:rPr>
        <w:t>Anna’s Prophecy (2:36)</w:t>
      </w:r>
    </w:p>
    <w:p>
      <w:pPr>
        <w:pStyle w:val="Heading5"/>
      </w:pPr>
      <w:r>
        <w:rPr>
          <w:lang w:val="en_US" w:bidi="en_US"/>
        </w:rPr>
        <w:t>2:27a</w:t>
      </w:r>
    </w:p>
    <w:p>
      <w:pPr/>
      <w:r>
        <w:rPr>
          <w:lang w:val="en_US" w:bidi="en_US"/>
        </w:rPr>
      </w:r>
      <w:r>
        <w:rPr>
          <w:b/>
          <w:lang w:val="en_US" w:bidi="en_US"/>
        </w:rPr>
        <w:t>Led by the Spirit, he went into the temple courts.</w:t>
      </w:r>
    </w:p>
    <w:p>
      <w:pPr>
        <w:pStyle w:val="ListBullet"/>
        <w:spacing w:line="240" w:lineRule="auto"/>
        <w:ind w:left="720"/>
      </w:pPr>
      <w:r>
        <w:rPr>
          <w:lang w:val="en_US" w:bidi="en_US"/>
        </w:rPr>
      </w:r>
      <w:r>
        <w:rPr>
          <w:lang w:val="en_US" w:bidi="en_US"/>
        </w:rPr>
        <w:t xml:space="preserve">The </w:t>
      </w:r>
      <w:r>
        <w:rPr>
          <w:lang w:val="en_US" w:bidi="en_US"/>
        </w:rPr>
        <w:t>Holy</w:t>
      </w:r>
      <w:r>
        <w:rPr>
          <w:lang w:val="en_US" w:bidi="en_US"/>
        </w:rPr>
        <w:t xml:space="preserve"> Spirit led Simeon to the temple courtyard.</w:t>
      </w:r>
    </w:p>
    <w:p>
      <w:pPr>
        <w:pStyle w:val="ListBullet"/>
        <w:spacing w:line="240" w:lineRule="auto"/>
        <w:ind w:left="720"/>
      </w:pPr>
      <w:r>
        <w:rPr>
          <w:lang w:val="en_US" w:bidi="en_US"/>
        </w:rPr>
      </w:r>
      <w:r>
        <w:rPr>
          <w:lang w:val="en_US" w:bidi="en_US"/>
        </w:rPr>
        <w:t>So God’s</w:t>
      </w:r>
      <w:r>
        <w:rPr>
          <w:lang w:val="en_US" w:bidi="en_US"/>
        </w:rPr>
        <w:t xml:space="preserve"> Spirit caused Simeon to go into a courtyard of the temple.</w:t>
      </w:r>
    </w:p>
    <w:p>
      <w:pPr/>
      <w:r>
        <w:rPr>
          <w:lang w:val="en_US" w:bidi="en_US"/>
        </w:rPr>
      </w:r>
      <w:r>
        <w:rPr>
          <w:b/>
          <w:lang w:val="en_US" w:bidi="en_US"/>
        </w:rPr>
        <w:t>Led by the Spirit, he went:</w:t>
      </w:r>
      <w:r>
        <w:rPr>
          <w:lang w:val="en_US" w:bidi="en_US"/>
        </w:rPr>
        <w:t xml:space="preserve"> The Greek phrase that the BSB translates as </w:t>
      </w:r>
      <w:r>
        <w:rPr>
          <w:i/>
          <w:lang w:val="en_US" w:bidi="en_US"/>
        </w:rPr>
        <w:t>Led by the Spirit, he went</w:t>
      </w:r>
      <w:r>
        <w:rPr>
          <w:lang w:val="en_US" w:bidi="en_US"/>
        </w:rPr>
        <w:t xml:space="preserve"> is literally “He went in the Spirit.” This means that the Spirit of God caused Simeon to want to go to the temple area.</w:t>
      </w:r>
    </w:p>
    <w:p>
      <w:pPr/>
      <w:r>
        <w:rPr>
          <w:lang w:val="en_US" w:bidi="en_US"/>
        </w:rPr>
      </w:r>
      <w:r>
        <w:rPr>
          <w:lang w:val="en_US" w:bidi="en_US"/>
        </w:rPr>
        <w:t>Some other ways to translate this phrase are:</w:t>
      </w:r>
    </w:p>
    <w:p>
      <w:pPr/>
      <w:r>
        <w:rPr>
          <w:lang w:val="en_US" w:bidi="en_US"/>
        </w:rPr>
      </w:r>
      <w:r>
        <w:rPr>
          <w:lang w:val="en_US" w:bidi="en_US"/>
        </w:rPr>
        <w:t>The Spirit led Simeon (NCV)</w:t>
      </w:r>
    </w:p>
    <w:p>
      <w:pPr/>
      <w:r>
        <w:rPr>
          <w:lang w:val="en_US" w:bidi="en_US"/>
        </w:rPr>
      </w:r>
      <w:r>
        <w:rPr>
          <w:lang w:val="en_US" w:bidi="en_US"/>
        </w:rPr>
        <w:t>the Spirit told Simeon to go (CEV)</w:t>
      </w:r>
    </w:p>
    <w:p>
      <w:pPr/>
      <w:r>
        <w:rPr>
          <w:lang w:val="en_US" w:bidi="en_US"/>
        </w:rPr>
      </w:r>
      <w:r>
        <w:rPr>
          <w:b/>
          <w:lang w:val="en_US" w:bidi="en_US"/>
        </w:rPr>
        <w:t>Spirit:</w:t>
      </w:r>
      <w:r>
        <w:rPr>
          <w:lang w:val="en_US" w:bidi="en_US"/>
        </w:rPr>
        <w:t xml:space="preserve"> The term </w:t>
      </w:r>
      <w:r>
        <w:rPr>
          <w:i/>
          <w:lang w:val="en_US" w:bidi="en_US"/>
        </w:rPr>
        <w:t>Spirit</w:t>
      </w:r>
      <w:r>
        <w:rPr>
          <w:lang w:val="en_US" w:bidi="en_US"/>
        </w:rPr>
        <w:t xml:space="preserve"> here refers to the Holy Spirit. This is the same Spirit as in 2:25d.</w:t>
      </w:r>
    </w:p>
    <w:p>
      <w:pPr/>
      <w:r>
        <w:rPr>
          <w:lang w:val="en_US" w:bidi="en_US"/>
        </w:rPr>
      </w:r>
      <w:r>
        <w:rPr>
          <w:b/>
          <w:lang w:val="en_US" w:bidi="en_US"/>
        </w:rPr>
        <w:t>the temple courts:</w:t>
      </w:r>
      <w:r>
        <w:rPr>
          <w:lang w:val="en_US" w:bidi="en_US"/>
        </w:rPr>
        <w:t xml:space="preserve"> The Greek word that the BSB translates as </w:t>
      </w:r>
      <w:r>
        <w:rPr>
          <w:i/>
          <w:lang w:val="en_US" w:bidi="en_US"/>
        </w:rPr>
        <w:t>temple courts</w:t>
      </w:r>
      <w:r>
        <w:rPr>
          <w:lang w:val="en_US" w:bidi="en_US"/>
        </w:rPr>
        <w:t xml:space="preserve"> is literally “temple” (as in most English versions). The </w:t>
      </w:r>
      <w:r>
        <w:rPr>
          <w:i/>
          <w:lang w:val="en_US" w:bidi="en_US"/>
        </w:rPr>
        <w:t>temple</w:t>
      </w:r>
      <w:r>
        <w:rPr>
          <w:lang w:val="en_US" w:bidi="en_US"/>
        </w:rPr>
        <w:t xml:space="preserve"> was in Jerusalem and was the most important place where Jews worshiped God. It consisted of the main building and the walls and courtyards that surrounded it. Here “temple” refers specifically to one of the courtyards.</w:t>
      </w:r>
    </w:p>
    <w:p>
      <w:pPr/>
      <w:r>
        <w:rPr>
          <w:lang w:val="en_US" w:bidi="en_US"/>
        </w:rPr>
      </w:r>
      <w:r>
        <w:rPr>
          <w:lang w:val="en_US" w:bidi="en_US"/>
        </w:rPr>
        <w:t xml:space="preserve">Some English versions (BSB, NIV, NET) have made this clear by translating “temple” as </w:t>
      </w:r>
      <w:r>
        <w:rPr>
          <w:i/>
          <w:lang w:val="en_US" w:bidi="en_US"/>
        </w:rPr>
        <w:t>temple courts</w:t>
      </w:r>
      <w:r>
        <w:rPr>
          <w:lang w:val="en_US" w:bidi="en_US"/>
        </w:rPr>
        <w:t>. You may want to do this also if your word or phrase for “temple” would make readers think they met inside the temple building.</w:t>
      </w:r>
    </w:p>
    <w:p>
      <w:pPr/>
      <w:r>
        <w:rPr>
          <w:lang w:val="en_US" w:bidi="en_US"/>
        </w:rPr>
      </w:r>
      <w:r>
        <w:rPr>
          <w:lang w:val="en_US" w:bidi="en_US"/>
        </w:rPr>
        <w:t xml:space="preserve">Some ways to translate the term </w:t>
      </w:r>
      <w:r>
        <w:rPr>
          <w:i/>
          <w:lang w:val="en_US" w:bidi="en_US"/>
        </w:rPr>
        <w:t>temple courts</w:t>
      </w:r>
      <w:r>
        <w:rPr>
          <w:lang w:val="en_US" w:bidi="en_US"/>
        </w:rPr>
        <w:t xml:space="preserve"> are:</w:t>
      </w:r>
    </w:p>
    <w:p>
      <w:pPr>
        <w:pStyle w:val="ListBullet"/>
        <w:spacing w:line="240" w:lineRule="auto"/>
        <w:ind w:left="720"/>
      </w:pPr>
      <w:r>
        <w:rPr>
          <w:lang w:val="en_US" w:bidi="en_US"/>
        </w:rPr>
      </w:r>
      <w:r>
        <w:rPr>
          <w:lang w:val="en_US" w:bidi="en_US"/>
        </w:rPr>
        <w:t>Use a descriptive phrase. For example:</w:t>
      </w:r>
      <w:r>
        <w:rPr>
          <w:lang w:val="en_US" w:bidi="en_US"/>
        </w:rPr>
        <w:t>courtyard of God’s house</w:t>
      </w:r>
      <w:r>
        <w:rPr>
          <w:lang w:val="en_US" w:bidi="en_US"/>
        </w:rPr>
        <w:t>courtyard of the house of sacrifice</w:t>
      </w:r>
      <w:r>
        <w:rPr>
          <w:lang w:val="en_US" w:bidi="en_US"/>
        </w:rPr>
        <w:t>courtyard of the holy/sacred house</w:t>
      </w:r>
    </w:p>
    <w:p>
      <w:pPr>
        <w:pStyle w:val="ListBullet"/>
        <w:spacing w:line="240" w:lineRule="auto"/>
        <w:ind w:left="720"/>
      </w:pPr>
      <w:r>
        <w:rPr>
          <w:lang w:val="en_US" w:bidi="en_US"/>
        </w:rPr>
      </w:r>
      <w:r>
        <w:rPr>
          <w:lang w:val="en_US" w:bidi="en_US"/>
        </w:rPr>
        <w:t>If your language has a word for “temple,” consider using it. But you may need to modify it by saying:</w:t>
      </w:r>
      <w:r>
        <w:rPr>
          <w:lang w:val="en_US" w:bidi="en_US"/>
        </w:rPr>
        <w:t>courtyard of the temple of the Lord</w:t>
      </w:r>
    </w:p>
    <w:p>
      <w:pPr/>
      <w:r>
        <w:rPr>
          <w:lang w:val="en_US" w:bidi="en_US"/>
        </w:rPr>
      </w:r>
      <w:r>
        <w:rPr>
          <w:lang w:val="en_US" w:bidi="en_US"/>
        </w:rPr>
        <w:t>Be sure to use a different term from the one you have chosen for “synagogue.” There was only one temple, but there were many synagogues where the Jews met regularly for worship.</w:t>
      </w:r>
    </w:p>
    <w:p>
      <w:pPr/>
      <w:r>
        <w:rPr>
          <w:lang w:val="en_US" w:bidi="en_US"/>
        </w:rPr>
      </w:r>
      <w:r>
        <w:rPr>
          <w:lang w:val="en_US" w:bidi="en_US"/>
        </w:rPr>
        <w:t>See temple, Meaning 1, in the Glossary for more information about the temple and how to translate it.</w:t>
      </w:r>
    </w:p>
    <w:p>
      <w:pPr>
        <w:pStyle w:val="Heading5"/>
      </w:pPr>
      <w:r>
        <w:rPr>
          <w:lang w:val="en_US" w:bidi="en_US"/>
        </w:rPr>
        <w:t>2:27b</w:t>
      </w:r>
    </w:p>
    <w:p>
      <w:pPr/>
      <w:r>
        <w:rPr>
          <w:lang w:val="en_US" w:bidi="en_US"/>
        </w:rPr>
      </w:r>
      <w:r>
        <w:rPr>
          <w:b/>
          <w:lang w:val="en_US" w:bidi="en_US"/>
        </w:rPr>
        <w:t>And when the parents brought in the child Jesus</w:t>
      </w:r>
    </w:p>
    <w:p>
      <w:pPr>
        <w:pStyle w:val="ListBullet"/>
        <w:spacing w:line="240" w:lineRule="auto"/>
        <w:ind w:left="720"/>
      </w:pPr>
      <w:r>
        <w:rPr>
          <w:lang w:val="en_US" w:bidi="en_US"/>
        </w:rPr>
      </w:r>
      <w:r>
        <w:rPr>
          <w:lang w:val="en_US" w:bidi="en_US"/>
        </w:rPr>
        <w:t xml:space="preserve">When the parents brought the baby Jesus </w:t>
      </w:r>
      <w:r>
        <w:rPr>
          <w:lang w:val="en_US" w:bidi="en_US"/>
        </w:rPr>
        <w:t>into the temple courtyard</w:t>
      </w:r>
      <w:r>
        <w:rPr>
          <w:lang w:val="en_US" w:bidi="en_US"/>
        </w:rPr>
        <w:t>,</w:t>
      </w:r>
    </w:p>
    <w:p>
      <w:pPr>
        <w:pStyle w:val="ListBullet"/>
        <w:spacing w:line="240" w:lineRule="auto"/>
        <w:ind w:left="720"/>
      </w:pPr>
      <w:r>
        <w:rPr>
          <w:lang w:val="en_US" w:bidi="en_US"/>
        </w:rPr>
      </w:r>
      <w:r>
        <w:rPr>
          <w:lang w:val="en_US" w:bidi="en_US"/>
        </w:rPr>
        <w:t>While Simeon was in the temple,</w:t>
      </w:r>
      <w:r>
        <w:rPr>
          <w:lang w:val="en_US" w:bidi="en_US"/>
        </w:rPr>
        <w:t xml:space="preserve"> Mary and Joseph brought the baby Jesus there.</w:t>
      </w:r>
    </w:p>
    <w:p>
      <w:pPr/>
      <w:r>
        <w:rPr>
          <w:lang w:val="en_US" w:bidi="en_US"/>
        </w:rPr>
      </w:r>
      <w:r>
        <w:rPr>
          <w:b/>
          <w:lang w:val="en_US" w:bidi="en_US"/>
        </w:rPr>
        <w:t>the parents:</w:t>
      </w:r>
      <w:r>
        <w:rPr>
          <w:lang w:val="en_US" w:bidi="en_US"/>
        </w:rPr>
        <w:t xml:space="preserve"> The phrase </w:t>
      </w:r>
      <w:r>
        <w:rPr>
          <w:i/>
          <w:lang w:val="en_US" w:bidi="en_US"/>
        </w:rPr>
        <w:t>the parents</w:t>
      </w:r>
      <w:r>
        <w:rPr>
          <w:lang w:val="en_US" w:bidi="en_US"/>
        </w:rPr>
        <w:t xml:space="preserve"> refers to Mary and Joseph. Joseph was not the biological father of Jesus, but he was his legal father.</w:t>
      </w:r>
    </w:p>
    <w:p>
      <w:pPr/>
      <w:r>
        <w:rPr>
          <w:lang w:val="en_US" w:bidi="en_US"/>
        </w:rPr>
      </w:r>
      <w:r>
        <w:rPr>
          <w:b/>
          <w:lang w:val="en_US" w:bidi="en_US"/>
        </w:rPr>
        <w:t>brought in the child Jesus:</w:t>
      </w:r>
      <w:r>
        <w:rPr>
          <w:lang w:val="en_US" w:bidi="en_US"/>
        </w:rPr>
        <w:t xml:space="preserve"> In your translation, it may already be clear here that Jesus was a child. If so, then it may be more natural in your language to make “the child” implicit. For example:</w:t>
      </w:r>
    </w:p>
    <w:p>
      <w:pPr/>
      <w:r>
        <w:rPr>
          <w:lang w:val="en_US" w:bidi="en_US"/>
        </w:rPr>
      </w:r>
      <w:r>
        <w:rPr>
          <w:lang w:val="en_US" w:bidi="en_US"/>
        </w:rPr>
        <w:t>brought in Jesus</w:t>
      </w:r>
    </w:p>
    <w:p>
      <w:pPr/>
      <w:r>
        <w:rPr>
          <w:lang w:val="en_US" w:bidi="en_US"/>
        </w:rPr>
      </w:r>
      <w:r>
        <w:rPr>
          <w:b/>
          <w:lang w:val="en_US" w:bidi="en_US"/>
        </w:rPr>
        <w:t>the child:</w:t>
      </w:r>
      <w:r>
        <w:rPr>
          <w:lang w:val="en_US" w:bidi="en_US"/>
        </w:rPr>
        <w:t xml:space="preserve"> At this time, Jesus was between one and two months old. If you translate “child,” you should use a word or phrase that fits his age. For example:</w:t>
      </w:r>
    </w:p>
    <w:p>
      <w:pPr/>
      <w:r>
        <w:rPr>
          <w:lang w:val="en_US" w:bidi="en_US"/>
        </w:rPr>
      </w:r>
      <w:r>
        <w:rPr>
          <w:lang w:val="en_US" w:bidi="en_US"/>
        </w:rPr>
        <w:t>the baby</w:t>
      </w:r>
    </w:p>
    <w:p>
      <w:pPr>
        <w:pStyle w:val="Heading5"/>
      </w:pPr>
      <w:r>
        <w:rPr>
          <w:lang w:val="en_US" w:bidi="en_US"/>
        </w:rPr>
        <w:t>2:27c</w:t>
      </w:r>
    </w:p>
    <w:p>
      <w:pPr/>
      <w:r>
        <w:rPr>
          <w:lang w:val="en_US" w:bidi="en_US"/>
        </w:rPr>
      </w:r>
      <w:r>
        <w:rPr>
          <w:b/>
          <w:lang w:val="en_US" w:bidi="en_US"/>
        </w:rPr>
        <w:t>to do for Him what was customary under the Law,</w:t>
      </w:r>
    </w:p>
    <w:p>
      <w:pPr>
        <w:pStyle w:val="ListBullet"/>
        <w:spacing w:line="240" w:lineRule="auto"/>
        <w:ind w:left="720"/>
      </w:pPr>
      <w:r>
        <w:rPr>
          <w:lang w:val="en_US" w:bidi="en_US"/>
        </w:rPr>
      </w:r>
      <w:r>
        <w:rPr>
          <w:lang w:val="en_US" w:bidi="en_US"/>
        </w:rPr>
        <w:t xml:space="preserve">to do for him the customary thing, based on what the law </w:t>
      </w:r>
      <w:r>
        <w:rPr>
          <w:lang w:val="en_US" w:bidi="en_US"/>
        </w:rPr>
        <w:t>of Moses said</w:t>
      </w:r>
      <w:r>
        <w:rPr>
          <w:lang w:val="en_US" w:bidi="en_US"/>
        </w:rPr>
        <w:t>.</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w:t>
      </w:r>
      <w:r>
        <w:rPr>
          <w:lang w:val="en_US" w:bidi="en_US"/>
        </w:rPr>
        <w:t>came</w:t>
      </w:r>
      <w:r>
        <w:rPr>
          <w:lang w:val="en_US" w:bidi="en_US"/>
        </w:rPr>
        <w:t xml:space="preserve"> to follow the </w:t>
      </w:r>
      <w:r>
        <w:rPr>
          <w:lang w:val="en_US" w:bidi="en_US"/>
        </w:rPr>
        <w:t>Jewish</w:t>
      </w:r>
      <w:r>
        <w:rPr>
          <w:lang w:val="en_US" w:bidi="en_US"/>
        </w:rPr>
        <w:t xml:space="preserve"> custom that related to what the law said about </w:t>
      </w:r>
      <w:r>
        <w:rPr>
          <w:lang w:val="en_US" w:bidi="en_US"/>
        </w:rPr>
        <w:t>firstborn sons</w:t>
      </w:r>
      <w:r>
        <w:rPr>
          <w:lang w:val="en_US" w:bidi="en_US"/>
        </w:rPr>
        <w:t>.</w:t>
      </w:r>
    </w:p>
    <w:p>
      <w:pPr/>
      <w:r>
        <w:rPr>
          <w:lang w:val="en_US" w:bidi="en_US"/>
        </w:rPr>
      </w:r>
      <w:r>
        <w:rPr>
          <w:b/>
          <w:lang w:val="en_US" w:bidi="en_US"/>
        </w:rPr>
        <w:t>to do for Him what was customary under the Law:</w:t>
      </w:r>
      <w:r>
        <w:rPr>
          <w:lang w:val="en_US" w:bidi="en_US"/>
        </w:rPr>
        <w:t xml:space="preserve"> The Greek phrase that the BSB translates as </w:t>
      </w:r>
      <w:r>
        <w:rPr>
          <w:i/>
          <w:lang w:val="en_US" w:bidi="en_US"/>
        </w:rPr>
        <w:t>to do for Him what was customary under the Law</w:t>
      </w:r>
      <w:r>
        <w:rPr>
          <w:lang w:val="en_US" w:bidi="en_US"/>
        </w:rPr>
        <w:t xml:space="preserve"> is more literally “for them to do according to the custom of the Law about him.” The Law that God gave the Israelites required them to do certain things for firstborn males. The Israelites later started doing other things that were based on this Law but that were not stated in it.</w:t>
      </w:r>
      <w:r>
        <w:rPr>
          <w:lang w:val="en_US" w:bidi="en_US"/>
        </w:rPr>
        <w:t>The Law required a payment to be made to the priests for each firstborn son unless that son was to remain in God’s service. The Law did not specifically require parents to present their child to the Lord at the Temple. However, that custom was based on the Law, as 2:23b says, “Every firstborn male shall be consecrated to the Lord.” In your translation you should not state that Joseph and Mary paid the payment for Jesus, because it is not clear from the text that they did that. Jesus remained consecrated to God’s service.</w:t>
      </w:r>
      <w:r>
        <w:rPr>
          <w:lang w:val="en_US" w:bidi="en_US"/>
        </w:rPr>
        <w:t xml:space="preserve"> These things became customs.</w:t>
      </w:r>
    </w:p>
    <w:p>
      <w:pPr/>
      <w:r>
        <w:rPr>
          <w:lang w:val="en_US" w:bidi="en_US"/>
        </w:rPr>
      </w:r>
      <w:r>
        <w:rPr>
          <w:lang w:val="en_US" w:bidi="en_US"/>
        </w:rPr>
        <w:t>When Jesus’ parents brought him to the temple to present him to God, they were following such a custom. This entire clause refers back to what was already mentioned in 2:22b–23.</w:t>
      </w:r>
    </w:p>
    <w:p>
      <w:pPr/>
      <w:r>
        <w:rPr>
          <w:lang w:val="en_US" w:bidi="en_US"/>
        </w:rPr>
      </w:r>
      <w:r>
        <w:rPr>
          <w:lang w:val="en_US" w:bidi="en_US"/>
        </w:rPr>
        <w:t>Some other ways to translate this clause are:</w:t>
      </w:r>
    </w:p>
    <w:p>
      <w:pPr/>
      <w:r>
        <w:rPr>
          <w:lang w:val="en_US" w:bidi="en_US"/>
        </w:rPr>
      </w:r>
      <w:r>
        <w:rPr>
          <w:lang w:val="en_US" w:bidi="en_US"/>
        </w:rPr>
        <w:t xml:space="preserve">to perform for him the custom </w:t>
      </w:r>
      <w:r>
        <w:rPr>
          <w:lang w:val="en_US" w:bidi="en_US"/>
        </w:rPr>
        <w:t>derived</w:t>
      </w:r>
      <w:r>
        <w:rPr>
          <w:lang w:val="en_US" w:bidi="en_US"/>
        </w:rPr>
        <w:t xml:space="preserve"> from the Law concerning him </w:t>
      </w:r>
      <w:r>
        <w:rPr>
          <w:lang w:val="en_US" w:bidi="en_US"/>
        </w:rPr>
        <w:t>as a firstborn son</w:t>
      </w:r>
    </w:p>
    <w:p>
      <w:pPr/>
      <w:r>
        <w:rPr>
          <w:lang w:val="en_US" w:bidi="en_US"/>
        </w:rPr>
      </w:r>
      <w:r>
        <w:rPr>
          <w:lang w:val="en_US" w:bidi="en_US"/>
        </w:rPr>
        <w:t xml:space="preserve">to do the customary thing for him based on </w:t>
      </w:r>
      <w:r>
        <w:rPr>
          <w:lang w:val="en_US" w:bidi="en_US"/>
        </w:rPr>
        <w:t>Moses’</w:t>
      </w:r>
      <w:r>
        <w:rPr>
          <w:lang w:val="en_US" w:bidi="en_US"/>
        </w:rPr>
        <w:t xml:space="preserve"> law</w:t>
      </w:r>
      <w:r>
        <w:rPr>
          <w:lang w:val="en_US" w:bidi="en_US"/>
        </w:rPr>
      </w:r>
      <w:r>
        <w:rPr>
          <w:lang w:val="en_US" w:bidi="en_US"/>
        </w:rPr>
      </w:r>
    </w:p>
    <w:p>
      <w:pPr/>
      <w:r>
        <w:rPr>
          <w:lang w:val="en_US" w:bidi="en_US"/>
        </w:rPr>
      </w:r>
    </w:p>
    <w:p>
      <w:pPr>
        <w:pStyle w:val="Heading2"/>
      </w:pPr>
      <w:r>
        <w:rPr>
          <w:lang w:val="en_US" w:bidi="en_US"/>
        </w:rPr>
        <w:t>Luke 2:28</w:t>
      </w:r>
      <w:r>
        <w:rPr>
          <w:lang w:val="en_US" w:bidi="en_US"/>
        </w:rPr>
      </w:r>
    </w:p>
    <w:p>
      <w:pPr>
        <w:pStyle w:val="Heading4"/>
      </w:pPr>
      <w:r>
        <w:rPr>
          <w:lang w:val="en_US" w:bidi="en_US"/>
        </w:rPr>
        <w:t>Section 2:21–40: The baby Jesus at the temple</w:t>
      </w:r>
    </w:p>
    <w:p>
      <w:pPr/>
      <w:r>
        <w:rPr>
          <w:lang w:val="en_US" w:bidi="en_US"/>
        </w:rPr>
      </w:r>
      <w:r>
        <w:rPr>
          <w:lang w:val="en_US" w:bidi="en_US"/>
        </w:rPr>
        <w:t>The events in this section happened some days after Jesus was born.</w:t>
      </w:r>
    </w:p>
    <w:p>
      <w:pPr/>
      <w:r>
        <w:rPr>
          <w:lang w:val="en_US" w:bidi="en_US"/>
        </w:rPr>
      </w:r>
      <w:r>
        <w:rPr>
          <w:lang w:val="en_US" w:bidi="en_US"/>
        </w:rPr>
        <w:t>In 2:21–24, Luke mentioned three ceremonies that were done when Jewish boys were born:</w:t>
      </w:r>
    </w:p>
    <w:p>
      <w:pPr>
        <w:pStyle w:val="ListNumber"/>
        <w:numPr>
          <w:ilvl w:val="0"/>
          <w:numId w:val="45"/>
        </w:numPr>
        <w:spacing w:line="240" w:lineRule="auto"/>
        <w:ind w:left="720"/>
      </w:pPr>
      <w:r>
        <w:rPr>
          <w:lang w:val="en_US" w:bidi="en_US"/>
        </w:rPr>
      </w:r>
      <w:r>
        <w:rPr>
          <w:lang w:val="en_US" w:bidi="en_US"/>
        </w:rPr>
        <w:t>the baby boy was circumcised;</w:t>
      </w:r>
    </w:p>
    <w:p>
      <w:pPr>
        <w:pStyle w:val="ListNumber"/>
        <w:spacing w:line="240" w:lineRule="auto"/>
        <w:ind w:left="720"/>
      </w:pPr>
      <w:r>
        <w:rPr>
          <w:lang w:val="en_US" w:bidi="en_US"/>
        </w:rPr>
      </w:r>
      <w:r>
        <w:rPr>
          <w:lang w:val="en_US" w:bidi="en_US"/>
        </w:rPr>
        <w:t>the mother was ritually purified;</w:t>
      </w:r>
    </w:p>
    <w:p>
      <w:pPr>
        <w:pStyle w:val="ListNumber"/>
        <w:spacing w:line="240" w:lineRule="auto"/>
        <w:ind w:left="720"/>
      </w:pPr>
      <w:r>
        <w:rPr>
          <w:lang w:val="en_US" w:bidi="en_US"/>
        </w:rPr>
      </w:r>
      <w:r>
        <w:rPr>
          <w:lang w:val="en_US" w:bidi="en_US"/>
        </w:rPr>
        <w:t>the baby boy was presented to God.</w:t>
      </w:r>
    </w:p>
    <w:p>
      <w:pPr/>
      <w:r>
        <w:rPr>
          <w:lang w:val="en_US" w:bidi="en_US"/>
        </w:rPr>
      </w:r>
      <w:r>
        <w:rPr>
          <w:lang w:val="en_US" w:bidi="en_US"/>
        </w:rPr>
        <w:t>In 2:25–38 Luke described two other events that happened while Joseph, Mary, and Jesus were at the temple in Jerusalem. God allowed two righteous people named Simeon and Anna to see Jesus and to thank God for him. Simeon spoke a prophecy about Jesus and Mary.</w:t>
      </w:r>
    </w:p>
    <w:p>
      <w:pPr/>
      <w:r>
        <w:rPr>
          <w:lang w:val="en_US" w:bidi="en_US"/>
        </w:rPr>
      </w:r>
      <w:r>
        <w:rPr>
          <w:lang w:val="en_US" w:bidi="en_US"/>
        </w:rP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Parents Obey Moses’ Teachings (GW)</w:t>
      </w:r>
    </w:p>
    <w:p>
      <w:pPr/>
      <w:r>
        <w:rPr>
          <w:lang w:val="en_US" w:bidi="en_US"/>
        </w:rPr>
      </w:r>
      <w:r>
        <w:rPr>
          <w:lang w:val="en_US" w:bidi="en_US"/>
        </w:rPr>
        <w:t>Jesus Presented at the Temple (NASB)</w:t>
      </w:r>
    </w:p>
    <w:p>
      <w:pPr/>
      <w:r>
        <w:rPr>
          <w:lang w:val="en_US" w:bidi="en_US"/>
        </w:rPr>
      </w:r>
      <w:r>
        <w:rPr>
          <w:lang w:val="en_US" w:bidi="en_US"/>
        </w:rPr>
        <w:t>Some English versions begin new sections at 2:25 and at 2:36. If you decide to do this in your translation, some possible headings are:</w:t>
      </w:r>
    </w:p>
    <w:p>
      <w:pPr/>
      <w:r>
        <w:rPr>
          <w:lang w:val="en_US" w:bidi="en_US"/>
        </w:rPr>
      </w:r>
      <w:r>
        <w:rPr>
          <w:lang w:val="en_US" w:bidi="en_US"/>
        </w:rPr>
        <w:t>Simeon saw Jesus and prophesied about him (2:25)</w:t>
      </w:r>
    </w:p>
    <w:p>
      <w:pPr/>
      <w:r>
        <w:rPr>
          <w:lang w:val="en_US" w:bidi="en_US"/>
        </w:rPr>
      </w:r>
      <w:r>
        <w:rPr>
          <w:lang w:val="en_US" w:bidi="en_US"/>
        </w:rPr>
        <w:t>Anna thanked God for Jesus and told others about him (2:36)</w:t>
      </w:r>
    </w:p>
    <w:p>
      <w:pPr/>
      <w:r>
        <w:rPr>
          <w:lang w:val="en_US" w:bidi="en_US"/>
        </w:rPr>
      </w:r>
      <w:r>
        <w:rPr>
          <w:lang w:val="en_US" w:bidi="en_US"/>
        </w:rPr>
        <w:t>Simeon’s Prophecy (2:25)</w:t>
      </w:r>
    </w:p>
    <w:p>
      <w:pPr/>
      <w:r>
        <w:rPr>
          <w:lang w:val="en_US" w:bidi="en_US"/>
        </w:rPr>
      </w:r>
      <w:r>
        <w:rPr>
          <w:lang w:val="en_US" w:bidi="en_US"/>
        </w:rPr>
        <w:t>Anna’s Prophecy (2:36)</w:t>
      </w:r>
    </w:p>
    <w:p>
      <w:pPr>
        <w:pStyle w:val="Heading5"/>
      </w:pPr>
      <w:r>
        <w:rPr>
          <w:lang w:val="en_US" w:bidi="en_US"/>
        </w:rPr>
        <w:t>2:28a</w:t>
      </w:r>
    </w:p>
    <w:p>
      <w:pPr/>
      <w:r>
        <w:rPr>
          <w:lang w:val="en_US" w:bidi="en_US"/>
        </w:rPr>
      </w:r>
      <w:r>
        <w:rPr>
          <w:b/>
          <w:lang w:val="en_US" w:bidi="en_US"/>
        </w:rPr>
        <w:t>Simeon took Him in his arms</w:t>
      </w:r>
    </w:p>
    <w:p>
      <w:pPr>
        <w:pStyle w:val="ListBullet"/>
        <w:spacing w:line="240" w:lineRule="auto"/>
        <w:ind w:left="720"/>
      </w:pPr>
      <w:r>
        <w:rPr>
          <w:lang w:val="en_US" w:bidi="en_US"/>
        </w:rPr>
      </w:r>
      <w:r>
        <w:rPr>
          <w:lang w:val="en_US" w:bidi="en_US"/>
        </w:rPr>
        <w:t xml:space="preserve">Simeon </w:t>
      </w:r>
      <w:r>
        <w:rPr>
          <w:lang w:val="en_US" w:bidi="en_US"/>
        </w:rPr>
        <w:t>saw the baby Jesus and</w:t>
      </w:r>
      <w:r>
        <w:rPr>
          <w:lang w:val="en_US" w:bidi="en_US"/>
        </w:rPr>
        <w:t xml:space="preserve"> took him in his arms</w:t>
      </w:r>
    </w:p>
    <w:p>
      <w:pPr>
        <w:pStyle w:val="ListBullet"/>
        <w:spacing w:line="240" w:lineRule="auto"/>
        <w:ind w:left="720"/>
      </w:pPr>
      <w:r>
        <w:rPr>
          <w:lang w:val="en_US" w:bidi="en_US"/>
        </w:rPr>
      </w:r>
      <w:r>
        <w:rPr>
          <w:lang w:val="en_US" w:bidi="en_US"/>
        </w:rPr>
        <w:t>When Simeon saw the child Jesus,</w:t>
      </w:r>
      <w:r>
        <w:rPr>
          <w:lang w:val="en_US" w:bidi="en_US"/>
        </w:rPr>
        <w:t xml:space="preserve"> he </w:t>
      </w:r>
      <w:r>
        <w:rPr>
          <w:lang w:val="en_US" w:bidi="en_US"/>
        </w:rPr>
        <w:t>came and</w:t>
      </w:r>
      <w:r>
        <w:rPr>
          <w:lang w:val="en_US" w:bidi="en_US"/>
        </w:rPr>
        <w:t xml:space="preserve"> held Jesus in his arms.</w:t>
      </w:r>
    </w:p>
    <w:p>
      <w:pPr/>
      <w:r>
        <w:rPr>
          <w:lang w:val="en_US" w:bidi="en_US"/>
        </w:rPr>
      </w:r>
      <w:r>
        <w:rPr>
          <w:b/>
          <w:lang w:val="en_US" w:bidi="en_US"/>
        </w:rPr>
        <w:t>Simeon took Him in his arms:</w:t>
      </w:r>
      <w:r>
        <w:rPr>
          <w:lang w:val="en_US" w:bidi="en_US"/>
        </w:rPr>
        <w:t xml:space="preserve"> When Simeon saw the baby Jesus, Simeon immediately knew who he was. Then he came to where Jesus was and took him in his arms. In some languages, it may be necessary to make this explicit. For example:</w:t>
      </w:r>
    </w:p>
    <w:p>
      <w:pPr/>
      <w:r>
        <w:rPr>
          <w:lang w:val="en_US" w:bidi="en_US"/>
        </w:rPr>
      </w:r>
      <w:r>
        <w:rPr>
          <w:lang w:val="en_US" w:bidi="en_US"/>
        </w:rPr>
        <w:t xml:space="preserve">Simeon </w:t>
      </w:r>
      <w:r>
        <w:rPr>
          <w:lang w:val="en_US" w:bidi="en_US"/>
        </w:rPr>
        <w:t>saw the baby and realized who he was</w:t>
      </w:r>
      <w:r>
        <w:rPr>
          <w:lang w:val="en_US" w:bidi="en_US"/>
        </w:rPr>
        <w:t>. He came and took him in his arms…</w:t>
      </w:r>
    </w:p>
    <w:p>
      <w:pPr/>
      <w:r>
        <w:rPr>
          <w:lang w:val="en_US" w:bidi="en_US"/>
        </w:rPr>
      </w:r>
      <w:r>
        <w:rPr>
          <w:b/>
          <w:lang w:val="en_US" w:bidi="en_US"/>
        </w:rPr>
        <w:t>took:</w:t>
      </w:r>
      <w:r>
        <w:rPr>
          <w:lang w:val="en_US" w:bidi="en_US"/>
        </w:rPr>
        <w:t xml:space="preserve"> The Greek verb that the BSB translates as </w:t>
      </w:r>
      <w:r>
        <w:rPr>
          <w:i/>
          <w:lang w:val="en_US" w:bidi="en_US"/>
        </w:rPr>
        <w:t>took</w:t>
      </w:r>
      <w:r>
        <w:rPr>
          <w:lang w:val="en_US" w:bidi="en_US"/>
        </w:rPr>
        <w:t xml:space="preserve"> also means “received.” It implies that Mary or Joseph willingly allowed Simeon to hold the baby Jesus. Use a verb that is appropriate in your language.</w:t>
      </w:r>
    </w:p>
    <w:p>
      <w:pPr>
        <w:pStyle w:val="Heading5"/>
      </w:pPr>
      <w:r>
        <w:rPr>
          <w:lang w:val="en_US" w:bidi="en_US"/>
        </w:rPr>
        <w:t>2:28b</w:t>
      </w:r>
    </w:p>
    <w:p>
      <w:pPr/>
      <w:r>
        <w:rPr>
          <w:lang w:val="en_US" w:bidi="en_US"/>
        </w:rPr>
      </w:r>
      <w:r>
        <w:rPr>
          <w:b/>
          <w:lang w:val="en_US" w:bidi="en_US"/>
        </w:rPr>
        <w:t>and blessed God, saying:</w:t>
      </w:r>
    </w:p>
    <w:p>
      <w:pPr>
        <w:pStyle w:val="ListBullet"/>
        <w:spacing w:line="240" w:lineRule="auto"/>
        <w:ind w:left="720"/>
      </w:pPr>
      <w:r>
        <w:rPr>
          <w:lang w:val="en_US" w:bidi="en_US"/>
        </w:rPr>
      </w:r>
      <w:r>
        <w:rPr>
          <w:lang w:val="en_US" w:bidi="en_US"/>
        </w:rPr>
        <w:t>and praised God with these words:</w:t>
      </w:r>
    </w:p>
    <w:p>
      <w:pPr>
        <w:pStyle w:val="ListBullet"/>
        <w:spacing w:line="240" w:lineRule="auto"/>
        <w:ind w:left="720"/>
      </w:pPr>
      <w:r>
        <w:rPr>
          <w:lang w:val="en_US" w:bidi="en_US"/>
        </w:rPr>
      </w:r>
      <w:r>
        <w:rPr>
          <w:lang w:val="en_US" w:bidi="en_US"/>
        </w:rPr>
        <w:t>Then he praised/thanked God. He said,</w:t>
      </w:r>
    </w:p>
    <w:p>
      <w:pPr/>
      <w:r>
        <w:rPr>
          <w:lang w:val="en_US" w:bidi="en_US"/>
        </w:rPr>
      </w:r>
      <w:r>
        <w:rPr>
          <w:b/>
          <w:lang w:val="en_US" w:bidi="en_US"/>
        </w:rPr>
        <w:t>and blessed God, saying:</w:t>
      </w:r>
      <w:r>
        <w:rPr>
          <w:lang w:val="en_US" w:bidi="en_US"/>
        </w:rPr>
        <w:t xml:space="preserve"> The Greek word that the BSB translates literally as </w:t>
      </w:r>
      <w:r>
        <w:rPr>
          <w:i/>
          <w:lang w:val="en_US" w:bidi="en_US"/>
        </w:rPr>
        <w:t>blessed</w:t>
      </w:r>
      <w:r>
        <w:rPr>
          <w:lang w:val="en_US" w:bidi="en_US"/>
        </w:rPr>
        <w:t xml:space="preserve"> indicates in this context that Simeon expressed gratitude and praise to God.</w:t>
      </w:r>
      <w:r>
        <w:rPr>
          <w:lang w:val="en_US" w:bidi="en_US"/>
        </w:rPr>
      </w:r>
      <w:r>
        <w:rPr>
          <w:lang w:val="en_US" w:bidi="en_US"/>
        </w:rPr>
      </w:r>
    </w:p>
    <w:p>
      <w:pPr/>
      <w:r>
        <w:rPr>
          <w:lang w:val="en_US" w:bidi="en_US"/>
        </w:rPr>
      </w:r>
    </w:p>
    <w:p>
      <w:pPr>
        <w:pStyle w:val="Heading2"/>
      </w:pPr>
      <w:r>
        <w:rPr>
          <w:lang w:val="en_US" w:bidi="en_US"/>
        </w:rPr>
        <w:t>Luke 2:29</w:t>
      </w:r>
      <w:r>
        <w:rPr>
          <w:lang w:val="en_US" w:bidi="en_US"/>
        </w:rPr>
      </w:r>
    </w:p>
    <w:p>
      <w:pPr>
        <w:pStyle w:val="Heading4"/>
      </w:pPr>
      <w:r>
        <w:rPr>
          <w:lang w:val="en_US" w:bidi="en_US"/>
        </w:rPr>
        <w:t>Section 2:21–40: The baby Jesus at the temple</w:t>
      </w:r>
    </w:p>
    <w:p>
      <w:pPr/>
      <w:r>
        <w:rPr>
          <w:lang w:val="en_US" w:bidi="en_US"/>
        </w:rPr>
      </w:r>
      <w:r>
        <w:rPr>
          <w:lang w:val="en_US" w:bidi="en_US"/>
        </w:rPr>
        <w:t>The events in this section happened some days after Jesus was born.</w:t>
      </w:r>
    </w:p>
    <w:p>
      <w:pPr/>
      <w:r>
        <w:rPr>
          <w:lang w:val="en_US" w:bidi="en_US"/>
        </w:rPr>
      </w:r>
      <w:r>
        <w:rPr>
          <w:lang w:val="en_US" w:bidi="en_US"/>
        </w:rPr>
        <w:t>In 2:21–24, Luke mentioned three ceremonies that were done when Jewish boys were born:</w:t>
      </w:r>
    </w:p>
    <w:p>
      <w:pPr>
        <w:pStyle w:val="ListNumber"/>
        <w:numPr>
          <w:ilvl w:val="0"/>
          <w:numId w:val="46"/>
        </w:numPr>
        <w:spacing w:line="240" w:lineRule="auto"/>
        <w:ind w:left="720"/>
      </w:pPr>
      <w:r>
        <w:rPr>
          <w:lang w:val="en_US" w:bidi="en_US"/>
        </w:rPr>
      </w:r>
      <w:r>
        <w:rPr>
          <w:lang w:val="en_US" w:bidi="en_US"/>
        </w:rPr>
        <w:t>the baby boy was circumcised;</w:t>
      </w:r>
    </w:p>
    <w:p>
      <w:pPr>
        <w:pStyle w:val="ListNumber"/>
        <w:spacing w:line="240" w:lineRule="auto"/>
        <w:ind w:left="720"/>
      </w:pPr>
      <w:r>
        <w:rPr>
          <w:lang w:val="en_US" w:bidi="en_US"/>
        </w:rPr>
      </w:r>
      <w:r>
        <w:rPr>
          <w:lang w:val="en_US" w:bidi="en_US"/>
        </w:rPr>
        <w:t>the mother was ritually purified;</w:t>
      </w:r>
    </w:p>
    <w:p>
      <w:pPr>
        <w:pStyle w:val="ListNumber"/>
        <w:spacing w:line="240" w:lineRule="auto"/>
        <w:ind w:left="720"/>
      </w:pPr>
      <w:r>
        <w:rPr>
          <w:lang w:val="en_US" w:bidi="en_US"/>
        </w:rPr>
      </w:r>
      <w:r>
        <w:rPr>
          <w:lang w:val="en_US" w:bidi="en_US"/>
        </w:rPr>
        <w:t>the baby boy was presented to God.</w:t>
      </w:r>
    </w:p>
    <w:p>
      <w:pPr/>
      <w:r>
        <w:rPr>
          <w:lang w:val="en_US" w:bidi="en_US"/>
        </w:rPr>
      </w:r>
      <w:r>
        <w:rPr>
          <w:lang w:val="en_US" w:bidi="en_US"/>
        </w:rPr>
        <w:t>In 2:25–38 Luke described two other events that happened while Joseph, Mary, and Jesus were at the temple in Jerusalem. God allowed two righteous people named Simeon and Anna to see Jesus and to thank God for him. Simeon spoke a prophecy about Jesus and Mary.</w:t>
      </w:r>
    </w:p>
    <w:p>
      <w:pPr/>
      <w:r>
        <w:rPr>
          <w:lang w:val="en_US" w:bidi="en_US"/>
        </w:rPr>
      </w:r>
      <w:r>
        <w:rPr>
          <w:lang w:val="en_US" w:bidi="en_US"/>
        </w:rP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Parents Obey Moses’ Teachings (GW)</w:t>
      </w:r>
    </w:p>
    <w:p>
      <w:pPr/>
      <w:r>
        <w:rPr>
          <w:lang w:val="en_US" w:bidi="en_US"/>
        </w:rPr>
      </w:r>
      <w:r>
        <w:rPr>
          <w:lang w:val="en_US" w:bidi="en_US"/>
        </w:rPr>
        <w:t>Jesus Presented at the Temple (NASB)</w:t>
      </w:r>
    </w:p>
    <w:p>
      <w:pPr/>
      <w:r>
        <w:rPr>
          <w:lang w:val="en_US" w:bidi="en_US"/>
        </w:rPr>
      </w:r>
      <w:r>
        <w:rPr>
          <w:lang w:val="en_US" w:bidi="en_US"/>
        </w:rPr>
        <w:t>Some English versions begin new sections at 2:25 and at 2:36. If you decide to do this in your translation, some possible headings are:</w:t>
      </w:r>
    </w:p>
    <w:p>
      <w:pPr/>
      <w:r>
        <w:rPr>
          <w:lang w:val="en_US" w:bidi="en_US"/>
        </w:rPr>
      </w:r>
      <w:r>
        <w:rPr>
          <w:lang w:val="en_US" w:bidi="en_US"/>
        </w:rPr>
        <w:t>Simeon saw Jesus and prophesied about him (2:25)</w:t>
      </w:r>
    </w:p>
    <w:p>
      <w:pPr/>
      <w:r>
        <w:rPr>
          <w:lang w:val="en_US" w:bidi="en_US"/>
        </w:rPr>
      </w:r>
      <w:r>
        <w:rPr>
          <w:lang w:val="en_US" w:bidi="en_US"/>
        </w:rPr>
        <w:t>Anna thanked God for Jesus and told others about him (2:36)</w:t>
      </w:r>
    </w:p>
    <w:p>
      <w:pPr/>
      <w:r>
        <w:rPr>
          <w:lang w:val="en_US" w:bidi="en_US"/>
        </w:rPr>
      </w:r>
      <w:r>
        <w:rPr>
          <w:lang w:val="en_US" w:bidi="en_US"/>
        </w:rPr>
        <w:t>Simeon’s Prophecy (2:25)</w:t>
      </w:r>
    </w:p>
    <w:p>
      <w:pPr/>
      <w:r>
        <w:rPr>
          <w:lang w:val="en_US" w:bidi="en_US"/>
        </w:rPr>
      </w:r>
      <w:r>
        <w:rPr>
          <w:lang w:val="en_US" w:bidi="en_US"/>
        </w:rPr>
        <w:t>Anna’s Prophecy (2:36)</w:t>
      </w:r>
    </w:p>
    <w:p>
      <w:pPr>
        <w:pStyle w:val="Heading5"/>
      </w:pPr>
      <w:r>
        <w:rPr>
          <w:lang w:val="en_US" w:bidi="en_US"/>
        </w:rPr>
        <w:t>2:29</w:t>
      </w:r>
    </w:p>
    <w:p>
      <w:pPr/>
      <w:r>
        <w:rPr>
          <w:lang w:val="en_US" w:bidi="en_US"/>
        </w:rPr>
      </w:r>
      <w:r>
        <w:rPr>
          <w:lang w:val="en_US" w:bidi="en_US"/>
        </w:rPr>
        <w:t>In some languages, it may be more natural to put 2:29 after 2:32. See the General Comment on 2:29–32 at the end of the notes on 2:32b for an example.</w:t>
      </w:r>
    </w:p>
    <w:p>
      <w:pPr>
        <w:pStyle w:val="Heading5"/>
      </w:pPr>
      <w:r>
        <w:rPr>
          <w:lang w:val="en_US" w:bidi="en_US"/>
        </w:rPr>
        <w:t>2:29a</w:t>
      </w:r>
    </w:p>
    <w:p>
      <w:pPr/>
      <w:r>
        <w:rPr>
          <w:lang w:val="en_US" w:bidi="en_US"/>
        </w:rPr>
      </w:r>
      <w:r>
        <w:rPr>
          <w:b/>
          <w:lang w:val="en_US" w:bidi="en_US"/>
        </w:rPr>
        <w:t>“Sovereign Lord, as You have promised,</w:t>
      </w:r>
    </w:p>
    <w:p>
      <w:pPr>
        <w:pStyle w:val="ListBullet"/>
        <w:spacing w:line="240" w:lineRule="auto"/>
        <w:ind w:left="720"/>
      </w:pPr>
      <w:r>
        <w:rPr>
          <w:lang w:val="en_US" w:bidi="en_US"/>
        </w:rPr>
      </w:r>
      <w:r>
        <w:rPr>
          <w:lang w:val="en_US" w:bidi="en_US"/>
        </w:rPr>
        <w:t xml:space="preserve">“Lord, you have kept your promise </w:t>
      </w:r>
      <w:r>
        <w:rPr>
          <w:lang w:val="en_US" w:bidi="en_US"/>
        </w:rPr>
        <w:t>to me</w:t>
      </w:r>
      <w:r>
        <w:rPr>
          <w:lang w:val="en_US" w:bidi="en_US"/>
        </w:rPr>
        <w:t>.</w:t>
      </w:r>
    </w:p>
    <w:p>
      <w:pPr>
        <w:pStyle w:val="ListBullet"/>
        <w:spacing w:line="240" w:lineRule="auto"/>
        <w:ind w:left="720"/>
      </w:pPr>
      <w:r>
        <w:rPr>
          <w:lang w:val="en_US" w:bidi="en_US"/>
        </w:rPr>
      </w:r>
      <w:r>
        <w:rPr>
          <w:lang w:val="en_US" w:bidi="en_US"/>
        </w:rPr>
        <w:t>“Master, you have done what you said you would do.</w:t>
      </w:r>
    </w:p>
    <w:p>
      <w:pPr/>
      <w:r>
        <w:rPr>
          <w:lang w:val="en_US" w:bidi="en_US"/>
        </w:rPr>
      </w:r>
      <w:r>
        <w:rPr>
          <w:b/>
          <w:lang w:val="en_US" w:bidi="en_US"/>
        </w:rPr>
        <w:t>Sovereign Lord:</w:t>
      </w:r>
      <w:r>
        <w:rPr>
          <w:lang w:val="en_US" w:bidi="en_US"/>
        </w:rPr>
        <w:t xml:space="preserve"> The Greek word that the BSB translates as </w:t>
      </w:r>
      <w:r>
        <w:rPr>
          <w:i/>
          <w:lang w:val="en_US" w:bidi="en_US"/>
        </w:rPr>
        <w:t>Sovereign Lord</w:t>
      </w:r>
      <w:r>
        <w:rPr>
          <w:lang w:val="en_US" w:bidi="en_US"/>
        </w:rPr>
        <w:t xml:space="preserve"> means “master” or “lord.” This is what a slave would call his master.</w:t>
      </w:r>
    </w:p>
    <w:p>
      <w:pPr/>
      <w:r>
        <w:rPr>
          <w:lang w:val="en_US" w:bidi="en_US"/>
        </w:rPr>
      </w:r>
      <w:r>
        <w:rPr>
          <w:lang w:val="en_US" w:bidi="en_US"/>
        </w:rPr>
        <w:t>This is a different Greek word than the usual word for “lord,” but the meaning is similar. You may use the same term as you use for “lord,” or you may use another term with a similar meaning.</w:t>
      </w:r>
    </w:p>
    <w:p>
      <w:pPr/>
      <w:r>
        <w:rPr>
          <w:lang w:val="en_US" w:bidi="en_US"/>
        </w:rPr>
      </w:r>
      <w:r>
        <w:rPr>
          <w:b/>
          <w:lang w:val="en_US" w:bidi="en_US"/>
        </w:rPr>
        <w:t>as You have promised:</w:t>
      </w:r>
      <w:r>
        <w:rPr>
          <w:lang w:val="en_US" w:bidi="en_US"/>
        </w:rPr>
        <w:t xml:space="preserve"> The Greek phrase that the BSB translates as </w:t>
      </w:r>
      <w:r>
        <w:rPr>
          <w:i/>
          <w:lang w:val="en_US" w:bidi="en_US"/>
        </w:rPr>
        <w:t>as You have promised</w:t>
      </w:r>
      <w:r>
        <w:rPr>
          <w:lang w:val="en_US" w:bidi="en_US"/>
        </w:rPr>
        <w:t xml:space="preserve"> is literally “according to your word.” This refers back to 2:26. At some time in the past, the Holy Spirit had told Simeon that he would not die before he had seen the Christ.</w:t>
      </w:r>
    </w:p>
    <w:p>
      <w:pPr/>
      <w:r>
        <w:rPr>
          <w:lang w:val="en_US" w:bidi="en_US"/>
        </w:rPr>
      </w:r>
      <w:r>
        <w:rPr>
          <w:lang w:val="en_US" w:bidi="en_US"/>
        </w:rPr>
        <w:t>God fulfilled his promise that Simeon would see the Christ when Simeon saw Jesus.</w:t>
      </w:r>
    </w:p>
    <w:p>
      <w:pPr>
        <w:pStyle w:val="Heading5"/>
      </w:pPr>
      <w:r>
        <w:rPr>
          <w:lang w:val="en_US" w:bidi="en_US"/>
        </w:rPr>
        <w:t>2:29b</w:t>
      </w:r>
    </w:p>
    <w:p>
      <w:pPr/>
      <w:r>
        <w:rPr>
          <w:lang w:val="en_US" w:bidi="en_US"/>
        </w:rPr>
      </w:r>
      <w:r>
        <w:rPr>
          <w:b/>
          <w:lang w:val="en_US" w:bidi="en_US"/>
        </w:rPr>
        <w:t>You now dismiss Your servant in peace.</w:t>
      </w:r>
    </w:p>
    <w:p>
      <w:pPr>
        <w:pStyle w:val="ListBullet"/>
        <w:spacing w:line="240" w:lineRule="auto"/>
        <w:ind w:left="720"/>
      </w:pPr>
      <w:r>
        <w:rPr>
          <w:lang w:val="en_US" w:bidi="en_US"/>
        </w:rPr>
      </w:r>
      <w:r>
        <w:rPr>
          <w:lang w:val="en_US" w:bidi="en_US"/>
        </w:rPr>
        <w:t xml:space="preserve">Now you </w:t>
      </w:r>
      <w:r>
        <w:rPr>
          <w:lang w:val="en_US" w:bidi="en_US"/>
        </w:rPr>
        <w:t>have enabled me</w:t>
      </w:r>
      <w:r>
        <w:rPr>
          <w:lang w:val="en_US" w:bidi="en_US"/>
        </w:rPr>
        <w:t>, your servant, to go/leave in peace,</w:t>
      </w:r>
    </w:p>
    <w:p>
      <w:pPr>
        <w:pStyle w:val="ListBullet"/>
        <w:spacing w:line="240" w:lineRule="auto"/>
        <w:ind w:left="720"/>
      </w:pPr>
      <w:r>
        <w:rPr>
          <w:lang w:val="en_US" w:bidi="en_US"/>
        </w:rPr>
      </w:r>
      <w:r>
        <w:rPr>
          <w:lang w:val="en_US" w:bidi="en_US"/>
        </w:rPr>
        <w:t>So I, your servant, can now die content,</w:t>
      </w:r>
    </w:p>
    <w:p>
      <w:pPr>
        <w:pStyle w:val="ListBullet"/>
        <w:spacing w:line="240" w:lineRule="auto"/>
        <w:ind w:left="720"/>
      </w:pPr>
      <w:r>
        <w:rPr>
          <w:lang w:val="en_US" w:bidi="en_US"/>
        </w:rPr>
      </w:r>
      <w:r>
        <w:rPr>
          <w:lang w:val="en_US" w:bidi="en_US"/>
        </w:rPr>
        <w:t>I am your servant, and now I can die in peace, (CEV)</w:t>
      </w:r>
    </w:p>
    <w:p>
      <w:pPr/>
      <w:r>
        <w:rPr>
          <w:lang w:val="en_US" w:bidi="en_US"/>
        </w:rPr>
      </w:r>
      <w:r>
        <w:rPr>
          <w:b/>
          <w:lang w:val="en_US" w:bidi="en_US"/>
        </w:rPr>
        <w:t>You now dismiss Your servant in peace:</w:t>
      </w:r>
      <w:r>
        <w:rPr>
          <w:lang w:val="en_US" w:bidi="en_US"/>
        </w:rPr>
        <w:t xml:space="preserve"> The Greek word that the BSB translates as </w:t>
      </w:r>
      <w:r>
        <w:rPr>
          <w:i/>
          <w:lang w:val="en_US" w:bidi="en_US"/>
        </w:rPr>
        <w:t>dismiss</w:t>
      </w:r>
      <w:r>
        <w:rPr>
          <w:lang w:val="en_US" w:bidi="en_US"/>
        </w:rPr>
        <w:t xml:space="preserve"> is literally “release” or “set free.” It is used in this clause as a euphemism, so that the clause means “you now allow your servant to die in peace.” Simeon implied that when the time came for him to die, he would die in peace. Simeon praised God with these words. The words do not imply that Simeon died that same day.</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Use a euphemism in your language for dying. For example:</w:t>
      </w:r>
      <w:r>
        <w:rPr>
          <w:lang w:val="en_US" w:bidi="en_US"/>
        </w:rPr>
        <w:t>you are allowing your servant to leave in peace (GW)</w:t>
      </w:r>
    </w:p>
    <w:p>
      <w:pPr>
        <w:pStyle w:val="ListBullet"/>
        <w:spacing w:line="240" w:lineRule="auto"/>
        <w:ind w:left="720"/>
      </w:pPr>
      <w:r>
        <w:rPr>
          <w:lang w:val="en_US" w:bidi="en_US"/>
        </w:rPr>
      </w:r>
      <w:r>
        <w:rPr>
          <w:lang w:val="en_US" w:bidi="en_US"/>
        </w:rPr>
        <w:t>Translate the meaning directly. For example:</w:t>
      </w:r>
      <w:r>
        <w:rPr>
          <w:lang w:val="en_US" w:bidi="en_US"/>
        </w:rPr>
        <w:t>I am your servant, and now I can die in peace (CEV)</w:t>
      </w:r>
    </w:p>
    <w:p>
      <w:pPr/>
      <w:r>
        <w:rPr>
          <w:lang w:val="en_US" w:bidi="en_US"/>
        </w:rPr>
      </w:r>
      <w:r>
        <w:rPr>
          <w:b/>
          <w:lang w:val="en_US" w:bidi="en_US"/>
        </w:rPr>
        <w:t>now:</w:t>
      </w:r>
      <w:r>
        <w:rPr>
          <w:lang w:val="en_US" w:bidi="en_US"/>
        </w:rPr>
        <w:t xml:space="preserve"> The word now refers to that exact time when Simeon saw Jesus. Simeon felt that whenever he might die after that time, he would die satisfied.</w:t>
      </w:r>
    </w:p>
    <w:p>
      <w:pPr/>
      <w:r>
        <w:rPr>
          <w:lang w:val="en_US" w:bidi="en_US"/>
        </w:rPr>
      </w:r>
      <w:r>
        <w:rPr>
          <w:b/>
          <w:lang w:val="en_US" w:bidi="en_US"/>
        </w:rPr>
        <w:t>Your servant:</w:t>
      </w:r>
      <w:r>
        <w:rPr>
          <w:lang w:val="en_US" w:bidi="en_US"/>
        </w:rPr>
        <w:t xml:space="preserve"> When Simeon praised God, he referred to himself as </w:t>
      </w:r>
      <w:r>
        <w:rPr>
          <w:i/>
          <w:lang w:val="en_US" w:bidi="en_US"/>
        </w:rPr>
        <w:t>Your servant</w:t>
      </w:r>
      <w:r>
        <w:rPr>
          <w:lang w:val="en_US" w:bidi="en_US"/>
        </w:rPr>
        <w:t>. In some languages, it may be necessary to express this in a different way to make it clear that Simeon was referring to himself. For example:</w:t>
      </w:r>
    </w:p>
    <w:p>
      <w:pPr/>
      <w:r>
        <w:rPr>
          <w:lang w:val="en_US" w:bidi="en_US"/>
        </w:rPr>
      </w:r>
      <w:r>
        <w:rPr>
          <w:lang w:val="en_US" w:bidi="en_US"/>
        </w:rPr>
        <w:t>you now dismiss me, your servant, in peace</w:t>
      </w:r>
    </w:p>
    <w:p>
      <w:pPr/>
      <w:r>
        <w:rPr>
          <w:lang w:val="en_US" w:bidi="en_US"/>
        </w:rPr>
      </w:r>
      <w:r>
        <w:rPr>
          <w:lang w:val="en_US" w:bidi="en_US"/>
        </w:rPr>
        <w:t>I am your servant, you now dismiss me in peace</w:t>
      </w:r>
    </w:p>
    <w:p>
      <w:pPr/>
      <w:r>
        <w:rPr>
          <w:lang w:val="en_US" w:bidi="en_US"/>
        </w:rPr>
      </w:r>
      <w:r>
        <w:rPr>
          <w:b/>
          <w:lang w:val="en_US" w:bidi="en_US"/>
        </w:rPr>
        <w:t>servant:</w:t>
      </w:r>
      <w:r>
        <w:rPr>
          <w:lang w:val="en_US" w:bidi="en_US"/>
        </w:rPr>
        <w:t xml:space="preserve"> The Greek word that the BSB translates as </w:t>
      </w:r>
      <w:r>
        <w:rPr>
          <w:i/>
          <w:lang w:val="en_US" w:bidi="en_US"/>
        </w:rPr>
        <w:t>servant</w:t>
      </w:r>
      <w:r>
        <w:rPr>
          <w:lang w:val="en_US" w:bidi="en_US"/>
        </w:rPr>
        <w:t xml:space="preserve"> also meant “slave.” This referred to someone who was owned by another person. He had no rights of his own and worked for his owner without receiving pay.</w:t>
      </w:r>
    </w:p>
    <w:p>
      <w:pPr/>
      <w:r>
        <w:rPr>
          <w:lang w:val="en_US" w:bidi="en_US"/>
        </w:rPr>
      </w:r>
      <w:r>
        <w:rPr>
          <w:lang w:val="en_US" w:bidi="en_US"/>
        </w:rPr>
        <w:t>If the idea of slaves or servants is not known in your area, you can say:</w:t>
      </w:r>
    </w:p>
    <w:p>
      <w:pPr/>
      <w:r>
        <w:rPr>
          <w:lang w:val="en_US" w:bidi="en_US"/>
        </w:rPr>
      </w:r>
      <w:r>
        <w:rPr>
          <w:lang w:val="en_US" w:bidi="en_US"/>
        </w:rPr>
        <w:t>I belong to you</w:t>
      </w:r>
    </w:p>
    <w:p>
      <w:pPr/>
      <w:r>
        <w:rPr>
          <w:lang w:val="en_US" w:bidi="en_US"/>
        </w:rPr>
      </w:r>
      <w:r>
        <w:rPr>
          <w:lang w:val="en_US" w:bidi="en_US"/>
        </w:rPr>
        <w:t>you who own me</w:t>
      </w:r>
    </w:p>
    <w:p>
      <w:pPr/>
      <w:r>
        <w:rPr>
          <w:lang w:val="en_US" w:bidi="en_US"/>
        </w:rPr>
      </w:r>
      <w:r>
        <w:rPr>
          <w:lang w:val="en_US" w:bidi="en_US"/>
        </w:rPr>
        <w:t>Simeon expressed humility and his desire to serve God by referring to himself in this way.</w:t>
      </w:r>
    </w:p>
    <w:p>
      <w:pPr/>
      <w:r>
        <w:rPr>
          <w:lang w:val="en_US" w:bidi="en_US"/>
        </w:rPr>
      </w:r>
      <w:r>
        <w:rPr>
          <w:b/>
          <w:lang w:val="en_US" w:bidi="en_US"/>
        </w:rPr>
        <w:t>in peace:</w:t>
      </w:r>
      <w:r>
        <w:rPr>
          <w:lang w:val="en_US" w:bidi="en_US"/>
        </w:rPr>
        <w:t xml:space="preserve"> In this context the phrase </w:t>
      </w:r>
      <w:r>
        <w:rPr>
          <w:i/>
          <w:lang w:val="en_US" w:bidi="en_US"/>
        </w:rPr>
        <w:t>in peace</w:t>
      </w:r>
      <w:r>
        <w:rPr>
          <w:lang w:val="en_US" w:bidi="en_US"/>
        </w:rPr>
        <w:t xml:space="preserve"> describes an attitude of calmness and contentment. Simeon could die </w:t>
      </w:r>
      <w:r>
        <w:rPr>
          <w:i/>
          <w:lang w:val="en_US" w:bidi="en_US"/>
        </w:rPr>
        <w:t>in peace</w:t>
      </w:r>
      <w:r>
        <w:rPr>
          <w:lang w:val="en_US" w:bidi="en_US"/>
        </w:rPr>
        <w:t xml:space="preserve"> because he had at last seen the Christ. Some other ways to say this are:</w:t>
      </w:r>
    </w:p>
    <w:p>
      <w:pPr/>
      <w:r>
        <w:rPr>
          <w:lang w:val="en_US" w:bidi="en_US"/>
        </w:rPr>
      </w:r>
      <w:r>
        <w:rPr>
          <w:lang w:val="en_US" w:bidi="en_US"/>
        </w:rPr>
        <w:t>die</w:t>
      </w:r>
      <w:r>
        <w:rPr>
          <w:lang w:val="en_US" w:bidi="en_US"/>
        </w:rPr>
        <w:t xml:space="preserve"> happily</w:t>
      </w:r>
    </w:p>
    <w:p>
      <w:pPr/>
      <w:r>
        <w:rPr>
          <w:lang w:val="en_US" w:bidi="en_US"/>
        </w:rPr>
      </w:r>
      <w:r>
        <w:rPr>
          <w:lang w:val="en_US" w:bidi="en_US"/>
        </w:rPr>
        <w:t>I am at peace</w:t>
      </w:r>
    </w:p>
    <w:p>
      <w:pPr/>
      <w:r>
        <w:rPr>
          <w:lang w:val="en_US" w:bidi="en_US"/>
        </w:rPr>
      </w:r>
      <w:r>
        <w:rPr>
          <w:lang w:val="en_US" w:bidi="en_US"/>
        </w:rPr>
        <w:t>See peace, Meaning 3, in the Glossary.</w:t>
      </w:r>
      <w:r>
        <w:rPr>
          <w:lang w:val="en_US" w:bidi="en_US"/>
        </w:rPr>
      </w:r>
      <w:r>
        <w:rPr>
          <w:lang w:val="en_US" w:bidi="en_US"/>
        </w:rPr>
      </w:r>
    </w:p>
    <w:p>
      <w:pPr/>
      <w:r>
        <w:rPr>
          <w:lang w:val="en_US" w:bidi="en_US"/>
        </w:rPr>
      </w:r>
    </w:p>
    <w:p>
      <w:pPr>
        <w:pStyle w:val="Heading2"/>
      </w:pPr>
      <w:r>
        <w:rPr>
          <w:lang w:val="en_US" w:bidi="en_US"/>
        </w:rPr>
        <w:t>Luke 2:30</w:t>
      </w:r>
      <w:r>
        <w:rPr>
          <w:lang w:val="en_US" w:bidi="en_US"/>
        </w:rPr>
      </w:r>
    </w:p>
    <w:p>
      <w:pPr>
        <w:pStyle w:val="Heading4"/>
      </w:pPr>
      <w:r>
        <w:rPr>
          <w:lang w:val="en_US" w:bidi="en_US"/>
        </w:rPr>
        <w:t>Section 2:21–40: The baby Jesus at the temple</w:t>
      </w:r>
    </w:p>
    <w:p>
      <w:pPr/>
      <w:r>
        <w:rPr>
          <w:lang w:val="en_US" w:bidi="en_US"/>
        </w:rPr>
      </w:r>
      <w:r>
        <w:rPr>
          <w:lang w:val="en_US" w:bidi="en_US"/>
        </w:rPr>
        <w:t>The events in this section happened some days after Jesus was born.</w:t>
      </w:r>
    </w:p>
    <w:p>
      <w:pPr/>
      <w:r>
        <w:rPr>
          <w:lang w:val="en_US" w:bidi="en_US"/>
        </w:rPr>
      </w:r>
      <w:r>
        <w:rPr>
          <w:lang w:val="en_US" w:bidi="en_US"/>
        </w:rPr>
        <w:t>In 2:21–24, Luke mentioned three ceremonies that were done when Jewish boys were born:</w:t>
      </w:r>
    </w:p>
    <w:p>
      <w:pPr>
        <w:pStyle w:val="ListNumber"/>
        <w:numPr>
          <w:ilvl w:val="0"/>
          <w:numId w:val="47"/>
        </w:numPr>
        <w:spacing w:line="240" w:lineRule="auto"/>
        <w:ind w:left="720"/>
      </w:pPr>
      <w:r>
        <w:rPr>
          <w:lang w:val="en_US" w:bidi="en_US"/>
        </w:rPr>
      </w:r>
      <w:r>
        <w:rPr>
          <w:lang w:val="en_US" w:bidi="en_US"/>
        </w:rPr>
        <w:t>the baby boy was circumcised;</w:t>
      </w:r>
    </w:p>
    <w:p>
      <w:pPr>
        <w:pStyle w:val="ListNumber"/>
        <w:spacing w:line="240" w:lineRule="auto"/>
        <w:ind w:left="720"/>
      </w:pPr>
      <w:r>
        <w:rPr>
          <w:lang w:val="en_US" w:bidi="en_US"/>
        </w:rPr>
      </w:r>
      <w:r>
        <w:rPr>
          <w:lang w:val="en_US" w:bidi="en_US"/>
        </w:rPr>
        <w:t>the mother was ritually purified;</w:t>
      </w:r>
    </w:p>
    <w:p>
      <w:pPr>
        <w:pStyle w:val="ListNumber"/>
        <w:spacing w:line="240" w:lineRule="auto"/>
        <w:ind w:left="720"/>
      </w:pPr>
      <w:r>
        <w:rPr>
          <w:lang w:val="en_US" w:bidi="en_US"/>
        </w:rPr>
      </w:r>
      <w:r>
        <w:rPr>
          <w:lang w:val="en_US" w:bidi="en_US"/>
        </w:rPr>
        <w:t>the baby boy was presented to God.</w:t>
      </w:r>
    </w:p>
    <w:p>
      <w:pPr/>
      <w:r>
        <w:rPr>
          <w:lang w:val="en_US" w:bidi="en_US"/>
        </w:rPr>
      </w:r>
      <w:r>
        <w:rPr>
          <w:lang w:val="en_US" w:bidi="en_US"/>
        </w:rPr>
        <w:t>In 2:25–38 Luke described two other events that happened while Joseph, Mary, and Jesus were at the temple in Jerusalem. God allowed two righteous people named Simeon and Anna to see Jesus and to thank God for him. Simeon spoke a prophecy about Jesus and Mary.</w:t>
      </w:r>
    </w:p>
    <w:p>
      <w:pPr/>
      <w:r>
        <w:rPr>
          <w:lang w:val="en_US" w:bidi="en_US"/>
        </w:rPr>
      </w:r>
      <w:r>
        <w:rPr>
          <w:lang w:val="en_US" w:bidi="en_US"/>
        </w:rP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Parents Obey Moses’ Teachings (GW)</w:t>
      </w:r>
    </w:p>
    <w:p>
      <w:pPr/>
      <w:r>
        <w:rPr>
          <w:lang w:val="en_US" w:bidi="en_US"/>
        </w:rPr>
      </w:r>
      <w:r>
        <w:rPr>
          <w:lang w:val="en_US" w:bidi="en_US"/>
        </w:rPr>
        <w:t>Jesus Presented at the Temple (NASB)</w:t>
      </w:r>
    </w:p>
    <w:p>
      <w:pPr/>
      <w:r>
        <w:rPr>
          <w:lang w:val="en_US" w:bidi="en_US"/>
        </w:rPr>
      </w:r>
      <w:r>
        <w:rPr>
          <w:lang w:val="en_US" w:bidi="en_US"/>
        </w:rPr>
        <w:t>Some English versions begin new sections at 2:25 and at 2:36. If you decide to do this in your translation, some possible headings are:</w:t>
      </w:r>
    </w:p>
    <w:p>
      <w:pPr/>
      <w:r>
        <w:rPr>
          <w:lang w:val="en_US" w:bidi="en_US"/>
        </w:rPr>
      </w:r>
      <w:r>
        <w:rPr>
          <w:lang w:val="en_US" w:bidi="en_US"/>
        </w:rPr>
        <w:t>Simeon saw Jesus and prophesied about him (2:25)</w:t>
      </w:r>
    </w:p>
    <w:p>
      <w:pPr/>
      <w:r>
        <w:rPr>
          <w:lang w:val="en_US" w:bidi="en_US"/>
        </w:rPr>
      </w:r>
      <w:r>
        <w:rPr>
          <w:lang w:val="en_US" w:bidi="en_US"/>
        </w:rPr>
        <w:t>Anna thanked God for Jesus and told others about him (2:36)</w:t>
      </w:r>
    </w:p>
    <w:p>
      <w:pPr/>
      <w:r>
        <w:rPr>
          <w:lang w:val="en_US" w:bidi="en_US"/>
        </w:rPr>
      </w:r>
      <w:r>
        <w:rPr>
          <w:lang w:val="en_US" w:bidi="en_US"/>
        </w:rPr>
        <w:t>Simeon’s Prophecy (2:25)</w:t>
      </w:r>
    </w:p>
    <w:p>
      <w:pPr/>
      <w:r>
        <w:rPr>
          <w:lang w:val="en_US" w:bidi="en_US"/>
        </w:rPr>
      </w:r>
      <w:r>
        <w:rPr>
          <w:lang w:val="en_US" w:bidi="en_US"/>
        </w:rPr>
        <w:t>Anna’s Prophecy (2:36)</w:t>
      </w:r>
    </w:p>
    <w:p>
      <w:pPr>
        <w:pStyle w:val="Heading5"/>
      </w:pPr>
      <w:r>
        <w:rPr>
          <w:lang w:val="en_US" w:bidi="en_US"/>
        </w:rPr>
        <w:t>2:30</w:t>
      </w:r>
    </w:p>
    <w:p>
      <w:pPr/>
      <w:r>
        <w:rPr>
          <w:lang w:val="en_US" w:bidi="en_US"/>
        </w:rPr>
      </w:r>
      <w:r>
        <w:rPr>
          <w:b/>
          <w:lang w:val="en_US" w:bidi="en_US"/>
        </w:rPr>
        <w:t>For my eyes have seen Your salvation,</w:t>
      </w:r>
    </w:p>
    <w:p>
      <w:pPr>
        <w:pStyle w:val="ListBullet"/>
        <w:spacing w:line="240" w:lineRule="auto"/>
        <w:ind w:left="720"/>
      </w:pPr>
      <w:r>
        <w:rPr>
          <w:lang w:val="en_US" w:bidi="en_US"/>
        </w:rPr>
      </w:r>
      <w:r>
        <w:rPr>
          <w:lang w:val="en_US" w:bidi="en_US"/>
        </w:rPr>
        <w:t xml:space="preserve">because I have </w:t>
      </w:r>
      <w:r>
        <w:rPr>
          <w:lang w:val="en_US" w:bidi="en_US"/>
        </w:rPr>
        <w:t>now</w:t>
      </w:r>
      <w:r>
        <w:rPr>
          <w:lang w:val="en_US" w:bidi="en_US"/>
        </w:rPr>
        <w:t xml:space="preserve"> seen with my </w:t>
      </w:r>
      <w:r>
        <w:rPr>
          <w:lang w:val="en_US" w:bidi="en_US"/>
        </w:rPr>
        <w:t>own</w:t>
      </w:r>
      <w:r>
        <w:rPr>
          <w:lang w:val="en_US" w:bidi="en_US"/>
        </w:rPr>
        <w:t xml:space="preserve"> eyes the salvation </w:t>
      </w:r>
      <w:r>
        <w:rPr>
          <w:lang w:val="en_US" w:bidi="en_US"/>
        </w:rPr>
        <w:t>which comes</w:t>
      </w:r>
      <w:r>
        <w:rPr>
          <w:lang w:val="en_US" w:bidi="en_US"/>
        </w:rPr>
        <w:t xml:space="preserve"> from you.</w:t>
      </w:r>
    </w:p>
    <w:p>
      <w:pPr>
        <w:pStyle w:val="ListBullet"/>
        <w:spacing w:line="240" w:lineRule="auto"/>
        <w:ind w:left="720"/>
      </w:pPr>
      <w:r>
        <w:rPr>
          <w:lang w:val="en_US" w:bidi="en_US"/>
        </w:rPr>
      </w:r>
      <w:r>
        <w:rPr>
          <w:lang w:val="en_US" w:bidi="en_US"/>
        </w:rPr>
        <w:t xml:space="preserve">because I have actually seen the </w:t>
      </w:r>
      <w:r>
        <w:rPr>
          <w:lang w:val="en_US" w:bidi="en_US"/>
        </w:rPr>
        <w:t>person</w:t>
      </w:r>
      <w:r>
        <w:rPr>
          <w:lang w:val="en_US" w:bidi="en_US"/>
        </w:rPr>
        <w:t xml:space="preserve"> whom you </w:t>
      </w:r>
      <w:r>
        <w:rPr>
          <w:lang w:val="en_US" w:bidi="en_US"/>
        </w:rPr>
        <w:t>have sent to</w:t>
      </w:r>
      <w:r>
        <w:rPr>
          <w:lang w:val="en_US" w:bidi="en_US"/>
        </w:rPr>
        <w:t xml:space="preserve"> save </w:t>
      </w:r>
      <w:r>
        <w:rPr>
          <w:lang w:val="en_US" w:bidi="en_US"/>
        </w:rPr>
        <w:t>us</w:t>
      </w:r>
      <w:r>
        <w:rPr>
          <w:lang w:val="en_US" w:bidi="en_US"/>
        </w:rPr>
        <w:t>.</w:t>
      </w:r>
      <w:r>
        <w:rPr>
          <w:vertAlign w:val="superscript"/>
          <w:lang w:val="en_US" w:bidi="en_US"/>
        </w:rPr>
        <w:t>(excl)</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introduces the reason why Simeon could die in peace. He could die in peace </w:t>
      </w:r>
      <w:r>
        <w:rPr>
          <w:u w:val="single"/>
          <w:lang w:val="en_US" w:bidi="en_US"/>
        </w:rPr>
        <w:t>because</w:t>
      </w:r>
      <w:r>
        <w:rPr>
          <w:lang w:val="en_US" w:bidi="en_US"/>
        </w:rPr>
        <w:t xml:space="preserve"> he had seen the salvation of the Lord.</w:t>
      </w:r>
    </w:p>
    <w:p>
      <w:pPr/>
      <w:r>
        <w:rPr>
          <w:lang w:val="en_US" w:bidi="en_US"/>
        </w:rPr>
      </w:r>
      <w:r>
        <w:rPr>
          <w:b/>
          <w:lang w:val="en_US" w:bidi="en_US"/>
        </w:rPr>
        <w:t>my eyes have seen:</w:t>
      </w:r>
      <w:r>
        <w:rPr>
          <w:lang w:val="en_US" w:bidi="en_US"/>
        </w:rPr>
        <w:t xml:space="preserve"> The expression </w:t>
      </w:r>
      <w:r>
        <w:rPr>
          <w:i/>
          <w:lang w:val="en_US" w:bidi="en_US"/>
        </w:rPr>
        <w:t>my eyes have seen</w:t>
      </w:r>
      <w:r>
        <w:rPr>
          <w:lang w:val="en_US" w:bidi="en_US"/>
        </w:rPr>
        <w:t xml:space="preserve"> is an emphatic way of saying “I have seen.” Some other ways to express this are:</w:t>
      </w:r>
    </w:p>
    <w:p>
      <w:pPr/>
      <w:r>
        <w:rPr>
          <w:lang w:val="en_US" w:bidi="en_US"/>
        </w:rPr>
      </w:r>
      <w:r>
        <w:rPr>
          <w:lang w:val="en_US" w:bidi="en_US"/>
        </w:rPr>
        <w:t>I have really/actually seen</w:t>
      </w:r>
    </w:p>
    <w:p>
      <w:pPr/>
      <w:r>
        <w:rPr>
          <w:lang w:val="en_US" w:bidi="en_US"/>
        </w:rPr>
      </w:r>
      <w:r>
        <w:rPr>
          <w:lang w:val="en_US" w:bidi="en_US"/>
        </w:rPr>
        <w:t>I have seen with my own eyes</w:t>
      </w:r>
    </w:p>
    <w:p>
      <w:pPr/>
      <w:r>
        <w:rPr>
          <w:lang w:val="en_US" w:bidi="en_US"/>
        </w:rPr>
      </w:r>
      <w:r>
        <w:rPr>
          <w:b/>
          <w:lang w:val="en_US" w:bidi="en_US"/>
        </w:rPr>
        <w:t>Your salvation:</w:t>
      </w:r>
      <w:r>
        <w:rPr>
          <w:lang w:val="en_US" w:bidi="en_US"/>
        </w:rPr>
        <w:t xml:space="preserve"> The phrase </w:t>
      </w:r>
      <w:r>
        <w:rPr>
          <w:i/>
          <w:lang w:val="en_US" w:bidi="en_US"/>
        </w:rPr>
        <w:t>Your salvation</w:t>
      </w:r>
      <w:r>
        <w:rPr>
          <w:lang w:val="en_US" w:bidi="en_US"/>
        </w:rPr>
        <w:t xml:space="preserve"> is another way to refer to “the Lord’s Christ” (2:26b). Simeon described the Christ as </w:t>
      </w:r>
      <w:r>
        <w:rPr>
          <w:i/>
          <w:lang w:val="en_US" w:bidi="en_US"/>
        </w:rPr>
        <w:t>Your</w:t>
      </w:r>
      <w:r>
        <w:rPr>
          <w:lang w:val="en_US" w:bidi="en_US"/>
        </w:rPr>
        <w:t xml:space="preserve"> (God’s) </w:t>
      </w:r>
      <w:r>
        <w:rPr>
          <w:i/>
          <w:lang w:val="en_US" w:bidi="en_US"/>
        </w:rPr>
        <w:t>salvation</w:t>
      </w:r>
      <w:r>
        <w:rPr>
          <w:lang w:val="en_US" w:bidi="en_US"/>
        </w:rPr>
        <w:t xml:space="preserve"> because the Christ was the one whom God had sent to save people.</w:t>
      </w:r>
    </w:p>
    <w:p>
      <w:pPr/>
      <w:r>
        <w:rPr>
          <w:lang w:val="en_US" w:bidi="en_US"/>
        </w:rPr>
      </w:r>
      <w:r>
        <w:rPr>
          <w:lang w:val="en_US" w:bidi="en_US"/>
        </w:rPr>
        <w:t xml:space="preserve">Some ways to translate </w:t>
      </w:r>
      <w:r>
        <w:rPr>
          <w:i/>
          <w:lang w:val="en_US" w:bidi="en_US"/>
        </w:rPr>
        <w:t>Your salvation</w:t>
      </w:r>
      <w:r>
        <w:rPr>
          <w:lang w:val="en_US" w:bidi="en_US"/>
        </w:rPr>
        <w:t xml:space="preserve"> are:</w:t>
      </w:r>
    </w:p>
    <w:p>
      <w:pPr/>
      <w:r>
        <w:rPr>
          <w:lang w:val="en_US" w:bidi="en_US"/>
        </w:rPr>
      </w:r>
      <w:r>
        <w:rPr>
          <w:lang w:val="en_US" w:bidi="en_US"/>
        </w:rPr>
        <w:t>the salvation that comes from you</w:t>
      </w:r>
    </w:p>
    <w:p>
      <w:pPr/>
      <w:r>
        <w:rPr>
          <w:lang w:val="en_US" w:bidi="en_US"/>
        </w:rPr>
      </w:r>
      <w:r>
        <w:rPr>
          <w:lang w:val="en_US" w:bidi="en_US"/>
        </w:rPr>
        <w:t>the Savior who comes from you</w:t>
      </w:r>
    </w:p>
    <w:p>
      <w:pPr/>
      <w:r>
        <w:rPr>
          <w:lang w:val="en_US" w:bidi="en_US"/>
        </w:rPr>
      </w:r>
      <w:r>
        <w:rPr>
          <w:lang w:val="en_US" w:bidi="en_US"/>
        </w:rPr>
        <w:t>the person whom you have sent to save us</w:t>
      </w:r>
    </w:p>
    <w:p>
      <w:pPr/>
      <w:r>
        <w:rPr>
          <w:lang w:val="en_US" w:bidi="en_US"/>
        </w:rPr>
      </w:r>
      <w:r>
        <w:rPr>
          <w:lang w:val="en_US" w:bidi="en_US"/>
        </w:rPr>
        <w:t>See save in the Glossary (see the note on salvation).</w:t>
      </w:r>
      <w:r>
        <w:rPr>
          <w:lang w:val="en_US" w:bidi="en_US"/>
        </w:rPr>
      </w:r>
      <w:r>
        <w:rPr>
          <w:lang w:val="en_US" w:bidi="en_US"/>
        </w:rPr>
      </w:r>
    </w:p>
    <w:p>
      <w:pPr/>
      <w:r>
        <w:rPr>
          <w:lang w:val="en_US" w:bidi="en_US"/>
        </w:rPr>
      </w:r>
    </w:p>
    <w:p>
      <w:pPr>
        <w:pStyle w:val="Heading2"/>
      </w:pPr>
      <w:r>
        <w:rPr>
          <w:lang w:val="en_US" w:bidi="en_US"/>
        </w:rPr>
        <w:t>Luke 2:31</w:t>
      </w:r>
      <w:r>
        <w:rPr>
          <w:lang w:val="en_US" w:bidi="en_US"/>
        </w:rPr>
      </w:r>
    </w:p>
    <w:p>
      <w:pPr>
        <w:pStyle w:val="Heading4"/>
      </w:pPr>
      <w:r>
        <w:rPr>
          <w:lang w:val="en_US" w:bidi="en_US"/>
        </w:rPr>
        <w:t>Section 2:21–40: The baby Jesus at the temple</w:t>
      </w:r>
    </w:p>
    <w:p>
      <w:pPr/>
      <w:r>
        <w:rPr>
          <w:lang w:val="en_US" w:bidi="en_US"/>
        </w:rPr>
      </w:r>
      <w:r>
        <w:rPr>
          <w:lang w:val="en_US" w:bidi="en_US"/>
        </w:rPr>
        <w:t>The events in this section happened some days after Jesus was born.</w:t>
      </w:r>
    </w:p>
    <w:p>
      <w:pPr/>
      <w:r>
        <w:rPr>
          <w:lang w:val="en_US" w:bidi="en_US"/>
        </w:rPr>
      </w:r>
      <w:r>
        <w:rPr>
          <w:lang w:val="en_US" w:bidi="en_US"/>
        </w:rPr>
        <w:t>In 2:21–24, Luke mentioned three ceremonies that were done when Jewish boys were born:</w:t>
      </w:r>
    </w:p>
    <w:p>
      <w:pPr>
        <w:pStyle w:val="ListNumber"/>
        <w:numPr>
          <w:ilvl w:val="0"/>
          <w:numId w:val="48"/>
        </w:numPr>
        <w:spacing w:line="240" w:lineRule="auto"/>
        <w:ind w:left="720"/>
      </w:pPr>
      <w:r>
        <w:rPr>
          <w:lang w:val="en_US" w:bidi="en_US"/>
        </w:rPr>
      </w:r>
      <w:r>
        <w:rPr>
          <w:lang w:val="en_US" w:bidi="en_US"/>
        </w:rPr>
        <w:t>the baby boy was circumcised;</w:t>
      </w:r>
    </w:p>
    <w:p>
      <w:pPr>
        <w:pStyle w:val="ListNumber"/>
        <w:spacing w:line="240" w:lineRule="auto"/>
        <w:ind w:left="720"/>
      </w:pPr>
      <w:r>
        <w:rPr>
          <w:lang w:val="en_US" w:bidi="en_US"/>
        </w:rPr>
      </w:r>
      <w:r>
        <w:rPr>
          <w:lang w:val="en_US" w:bidi="en_US"/>
        </w:rPr>
        <w:t>the mother was ritually purified;</w:t>
      </w:r>
    </w:p>
    <w:p>
      <w:pPr>
        <w:pStyle w:val="ListNumber"/>
        <w:spacing w:line="240" w:lineRule="auto"/>
        <w:ind w:left="720"/>
      </w:pPr>
      <w:r>
        <w:rPr>
          <w:lang w:val="en_US" w:bidi="en_US"/>
        </w:rPr>
      </w:r>
      <w:r>
        <w:rPr>
          <w:lang w:val="en_US" w:bidi="en_US"/>
        </w:rPr>
        <w:t>the baby boy was presented to God.</w:t>
      </w:r>
    </w:p>
    <w:p>
      <w:pPr/>
      <w:r>
        <w:rPr>
          <w:lang w:val="en_US" w:bidi="en_US"/>
        </w:rPr>
      </w:r>
      <w:r>
        <w:rPr>
          <w:lang w:val="en_US" w:bidi="en_US"/>
        </w:rPr>
        <w:t>In 2:25–38 Luke described two other events that happened while Joseph, Mary, and Jesus were at the temple in Jerusalem. God allowed two righteous people named Simeon and Anna to see Jesus and to thank God for him. Simeon spoke a prophecy about Jesus and Mary.</w:t>
      </w:r>
    </w:p>
    <w:p>
      <w:pPr/>
      <w:r>
        <w:rPr>
          <w:lang w:val="en_US" w:bidi="en_US"/>
        </w:rPr>
      </w:r>
      <w:r>
        <w:rPr>
          <w:lang w:val="en_US" w:bidi="en_US"/>
        </w:rP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Parents Obey Moses’ Teachings (GW)</w:t>
      </w:r>
    </w:p>
    <w:p>
      <w:pPr/>
      <w:r>
        <w:rPr>
          <w:lang w:val="en_US" w:bidi="en_US"/>
        </w:rPr>
      </w:r>
      <w:r>
        <w:rPr>
          <w:lang w:val="en_US" w:bidi="en_US"/>
        </w:rPr>
        <w:t>Jesus Presented at the Temple (NASB)</w:t>
      </w:r>
    </w:p>
    <w:p>
      <w:pPr/>
      <w:r>
        <w:rPr>
          <w:lang w:val="en_US" w:bidi="en_US"/>
        </w:rPr>
      </w:r>
      <w:r>
        <w:rPr>
          <w:lang w:val="en_US" w:bidi="en_US"/>
        </w:rPr>
        <w:t>Some English versions begin new sections at 2:25 and at 2:36. If you decide to do this in your translation, some possible headings are:</w:t>
      </w:r>
    </w:p>
    <w:p>
      <w:pPr/>
      <w:r>
        <w:rPr>
          <w:lang w:val="en_US" w:bidi="en_US"/>
        </w:rPr>
      </w:r>
      <w:r>
        <w:rPr>
          <w:lang w:val="en_US" w:bidi="en_US"/>
        </w:rPr>
        <w:t>Simeon saw Jesus and prophesied about him (2:25)</w:t>
      </w:r>
    </w:p>
    <w:p>
      <w:pPr/>
      <w:r>
        <w:rPr>
          <w:lang w:val="en_US" w:bidi="en_US"/>
        </w:rPr>
      </w:r>
      <w:r>
        <w:rPr>
          <w:lang w:val="en_US" w:bidi="en_US"/>
        </w:rPr>
        <w:t>Anna thanked God for Jesus and told others about him (2:36)</w:t>
      </w:r>
    </w:p>
    <w:p>
      <w:pPr/>
      <w:r>
        <w:rPr>
          <w:lang w:val="en_US" w:bidi="en_US"/>
        </w:rPr>
      </w:r>
      <w:r>
        <w:rPr>
          <w:lang w:val="en_US" w:bidi="en_US"/>
        </w:rPr>
        <w:t>Simeon’s Prophecy (2:25)</w:t>
      </w:r>
    </w:p>
    <w:p>
      <w:pPr/>
      <w:r>
        <w:rPr>
          <w:lang w:val="en_US" w:bidi="en_US"/>
        </w:rPr>
      </w:r>
      <w:r>
        <w:rPr>
          <w:lang w:val="en_US" w:bidi="en_US"/>
        </w:rPr>
        <w:t>Anna’s Prophecy (2:36)</w:t>
      </w:r>
    </w:p>
    <w:p>
      <w:pPr>
        <w:pStyle w:val="Heading5"/>
      </w:pPr>
      <w:r>
        <w:rPr>
          <w:lang w:val="en_US" w:bidi="en_US"/>
        </w:rPr>
        <w:t>2:31</w:t>
      </w:r>
    </w:p>
    <w:p>
      <w:pPr/>
      <w:r>
        <w:rPr>
          <w:lang w:val="en_US" w:bidi="en_US"/>
        </w:rPr>
      </w:r>
      <w:r>
        <w:rPr>
          <w:b/>
          <w:lang w:val="en_US" w:bidi="en_US"/>
        </w:rPr>
        <w:t>which You have prepared in the sight of all people,</w:t>
      </w:r>
    </w:p>
    <w:p>
      <w:pPr>
        <w:pStyle w:val="ListBullet"/>
        <w:spacing w:line="240" w:lineRule="auto"/>
        <w:ind w:left="720"/>
      </w:pPr>
      <w:r>
        <w:rPr>
          <w:lang w:val="en_US" w:bidi="en_US"/>
        </w:rPr>
      </w:r>
      <w:r>
        <w:rPr>
          <w:lang w:val="en_US" w:bidi="en_US"/>
        </w:rPr>
        <w:t>You have prepared it in front of everyone.</w:t>
      </w:r>
    </w:p>
    <w:p>
      <w:pPr>
        <w:pStyle w:val="ListBullet"/>
        <w:spacing w:line="240" w:lineRule="auto"/>
        <w:ind w:left="720"/>
      </w:pPr>
      <w:r>
        <w:rPr>
          <w:lang w:val="en_US" w:bidi="en_US"/>
        </w:rPr>
      </w:r>
      <w:r>
        <w:rPr>
          <w:lang w:val="en_US" w:bidi="en_US"/>
        </w:rPr>
        <w:t xml:space="preserve">You have planned </w:t>
      </w:r>
      <w:r>
        <w:rPr>
          <w:lang w:val="en_US" w:bidi="en_US"/>
        </w:rPr>
        <w:t>to save the world through him in a way that</w:t>
      </w:r>
      <w:r>
        <w:rPr>
          <w:lang w:val="en_US" w:bidi="en_US"/>
        </w:rPr>
        <w:t xml:space="preserve"> all peoples/nations can see.</w:t>
      </w:r>
    </w:p>
    <w:p>
      <w:pPr>
        <w:pStyle w:val="ListBullet"/>
        <w:spacing w:line="240" w:lineRule="auto"/>
        <w:ind w:left="720"/>
      </w:pPr>
      <w:r>
        <w:rPr>
          <w:lang w:val="en_US" w:bidi="en_US"/>
        </w:rPr>
      </w:r>
      <w:r>
        <w:rPr>
          <w:lang w:val="en_US" w:bidi="en_US"/>
        </w:rPr>
        <w:t xml:space="preserve">All peoples/nations will see this </w:t>
      </w:r>
      <w:r>
        <w:rPr>
          <w:lang w:val="en_US" w:bidi="en_US"/>
        </w:rPr>
        <w:t>salvation/Savior</w:t>
      </w:r>
      <w:r>
        <w:rPr>
          <w:lang w:val="en_US" w:bidi="en_US"/>
        </w:rPr>
        <w:t xml:space="preserve"> that you have made ready.</w:t>
      </w:r>
    </w:p>
    <w:p>
      <w:pPr/>
      <w:r>
        <w:rPr>
          <w:lang w:val="en_US" w:bidi="en_US"/>
        </w:rPr>
      </w:r>
      <w:r>
        <w:rPr>
          <w:b/>
          <w:lang w:val="en_US" w:bidi="en_US"/>
        </w:rPr>
        <w:t>which You have prepared:</w:t>
      </w:r>
      <w:r>
        <w:rPr>
          <w:lang w:val="en_US" w:bidi="en_US"/>
        </w:rPr>
        <w:t xml:space="preserve"> The word </w:t>
      </w:r>
      <w:r>
        <w:rPr>
          <w:i/>
          <w:lang w:val="en_US" w:bidi="en_US"/>
        </w:rPr>
        <w:t>which</w:t>
      </w:r>
      <w:r>
        <w:rPr>
          <w:lang w:val="en_US" w:bidi="en_US"/>
        </w:rPr>
        <w:t xml:space="preserve"> refers back to the word “salvation” in 2:30. The word </w:t>
      </w:r>
      <w:r>
        <w:rPr>
          <w:i/>
          <w:lang w:val="en_US" w:bidi="en_US"/>
        </w:rPr>
        <w:t>prepared</w:t>
      </w:r>
      <w:r>
        <w:rPr>
          <w:lang w:val="en_US" w:bidi="en_US"/>
        </w:rPr>
        <w:t xml:space="preserve"> refers to God planning and preparing to save the world through Jesus.</w:t>
      </w:r>
    </w:p>
    <w:p>
      <w:pPr/>
      <w:r>
        <w:rPr>
          <w:lang w:val="en_US" w:bidi="en_US"/>
        </w:rPr>
      </w:r>
      <w:r>
        <w:rPr>
          <w:b/>
          <w:lang w:val="en_US" w:bidi="en_US"/>
        </w:rPr>
        <w:t>in the sight of all people:</w:t>
      </w:r>
      <w:r>
        <w:rPr>
          <w:lang w:val="en_US" w:bidi="en_US"/>
        </w:rPr>
        <w:t xml:space="preserve"> The Greek phrase that the BSB translates as </w:t>
      </w:r>
      <w:r>
        <w:rPr>
          <w:i/>
          <w:lang w:val="en_US" w:bidi="en_US"/>
        </w:rPr>
        <w:t>in the sight of all people</w:t>
      </w:r>
      <w:r>
        <w:rPr>
          <w:lang w:val="en_US" w:bidi="en_US"/>
        </w:rPr>
        <w:t xml:space="preserve"> is literally “before the face of all peoples.” This indicates that both Jews and Gentiles would see God’s salvation. God’s plan to save mankind would not take place in secret, nor would it be for the Jews only. God had prepared events so that the Savior would come to the earth where people could see him.</w:t>
      </w:r>
      <w:r>
        <w:rPr>
          <w:lang w:val="en_US" w:bidi="en_US"/>
        </w:rPr>
      </w:r>
      <w:r>
        <w:rPr>
          <w:lang w:val="en_US" w:bidi="en_US"/>
        </w:rPr>
      </w:r>
    </w:p>
    <w:p>
      <w:pPr/>
      <w:r>
        <w:rPr>
          <w:lang w:val="en_US" w:bidi="en_US"/>
        </w:rPr>
      </w:r>
    </w:p>
    <w:p>
      <w:pPr>
        <w:pStyle w:val="Heading2"/>
      </w:pPr>
      <w:r>
        <w:rPr>
          <w:lang w:val="en_US" w:bidi="en_US"/>
        </w:rPr>
        <w:t>Luke 2:32</w:t>
      </w:r>
      <w:r>
        <w:rPr>
          <w:lang w:val="en_US" w:bidi="en_US"/>
        </w:rPr>
      </w:r>
    </w:p>
    <w:p>
      <w:pPr>
        <w:pStyle w:val="Heading4"/>
      </w:pPr>
      <w:r>
        <w:rPr>
          <w:lang w:val="en_US" w:bidi="en_US"/>
        </w:rPr>
        <w:t>Section 2:21–40: The baby Jesus at the temple</w:t>
      </w:r>
    </w:p>
    <w:p>
      <w:pPr/>
      <w:r>
        <w:rPr>
          <w:lang w:val="en_US" w:bidi="en_US"/>
        </w:rPr>
      </w:r>
      <w:r>
        <w:rPr>
          <w:lang w:val="en_US" w:bidi="en_US"/>
        </w:rPr>
        <w:t>The events in this section happened some days after Jesus was born.</w:t>
      </w:r>
    </w:p>
    <w:p>
      <w:pPr/>
      <w:r>
        <w:rPr>
          <w:lang w:val="en_US" w:bidi="en_US"/>
        </w:rPr>
      </w:r>
      <w:r>
        <w:rPr>
          <w:lang w:val="en_US" w:bidi="en_US"/>
        </w:rPr>
        <w:t>In 2:21–24, Luke mentioned three ceremonies that were done when Jewish boys were born:</w:t>
      </w:r>
    </w:p>
    <w:p>
      <w:pPr>
        <w:pStyle w:val="ListNumber"/>
        <w:numPr>
          <w:ilvl w:val="0"/>
          <w:numId w:val="49"/>
        </w:numPr>
        <w:spacing w:line="240" w:lineRule="auto"/>
        <w:ind w:left="720"/>
      </w:pPr>
      <w:r>
        <w:rPr>
          <w:lang w:val="en_US" w:bidi="en_US"/>
        </w:rPr>
      </w:r>
      <w:r>
        <w:rPr>
          <w:lang w:val="en_US" w:bidi="en_US"/>
        </w:rPr>
        <w:t>the baby boy was circumcised;</w:t>
      </w:r>
    </w:p>
    <w:p>
      <w:pPr>
        <w:pStyle w:val="ListNumber"/>
        <w:spacing w:line="240" w:lineRule="auto"/>
        <w:ind w:left="720"/>
      </w:pPr>
      <w:r>
        <w:rPr>
          <w:lang w:val="en_US" w:bidi="en_US"/>
        </w:rPr>
      </w:r>
      <w:r>
        <w:rPr>
          <w:lang w:val="en_US" w:bidi="en_US"/>
        </w:rPr>
        <w:t>the mother was ritually purified;</w:t>
      </w:r>
    </w:p>
    <w:p>
      <w:pPr>
        <w:pStyle w:val="ListNumber"/>
        <w:spacing w:line="240" w:lineRule="auto"/>
        <w:ind w:left="720"/>
      </w:pPr>
      <w:r>
        <w:rPr>
          <w:lang w:val="en_US" w:bidi="en_US"/>
        </w:rPr>
      </w:r>
      <w:r>
        <w:rPr>
          <w:lang w:val="en_US" w:bidi="en_US"/>
        </w:rPr>
        <w:t>the baby boy was presented to God.</w:t>
      </w:r>
    </w:p>
    <w:p>
      <w:pPr/>
      <w:r>
        <w:rPr>
          <w:lang w:val="en_US" w:bidi="en_US"/>
        </w:rPr>
      </w:r>
      <w:r>
        <w:rPr>
          <w:lang w:val="en_US" w:bidi="en_US"/>
        </w:rPr>
        <w:t>In 2:25–38 Luke described two other events that happened while Joseph, Mary, and Jesus were at the temple in Jerusalem. God allowed two righteous people named Simeon and Anna to see Jesus and to thank God for him. Simeon spoke a prophecy about Jesus and Mary.</w:t>
      </w:r>
    </w:p>
    <w:p>
      <w:pPr/>
      <w:r>
        <w:rPr>
          <w:lang w:val="en_US" w:bidi="en_US"/>
        </w:rPr>
      </w:r>
      <w:r>
        <w:rPr>
          <w:lang w:val="en_US" w:bidi="en_US"/>
        </w:rP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Parents Obey Moses’ Teachings (GW)</w:t>
      </w:r>
    </w:p>
    <w:p>
      <w:pPr/>
      <w:r>
        <w:rPr>
          <w:lang w:val="en_US" w:bidi="en_US"/>
        </w:rPr>
      </w:r>
      <w:r>
        <w:rPr>
          <w:lang w:val="en_US" w:bidi="en_US"/>
        </w:rPr>
        <w:t>Jesus Presented at the Temple (NASB)</w:t>
      </w:r>
    </w:p>
    <w:p>
      <w:pPr/>
      <w:r>
        <w:rPr>
          <w:lang w:val="en_US" w:bidi="en_US"/>
        </w:rPr>
      </w:r>
      <w:r>
        <w:rPr>
          <w:lang w:val="en_US" w:bidi="en_US"/>
        </w:rPr>
        <w:t>Some English versions begin new sections at 2:25 and at 2:36. If you decide to do this in your translation, some possible headings are:</w:t>
      </w:r>
    </w:p>
    <w:p>
      <w:pPr/>
      <w:r>
        <w:rPr>
          <w:lang w:val="en_US" w:bidi="en_US"/>
        </w:rPr>
      </w:r>
      <w:r>
        <w:rPr>
          <w:lang w:val="en_US" w:bidi="en_US"/>
        </w:rPr>
        <w:t>Simeon saw Jesus and prophesied about him (2:25)</w:t>
      </w:r>
    </w:p>
    <w:p>
      <w:pPr/>
      <w:r>
        <w:rPr>
          <w:lang w:val="en_US" w:bidi="en_US"/>
        </w:rPr>
      </w:r>
      <w:r>
        <w:rPr>
          <w:lang w:val="en_US" w:bidi="en_US"/>
        </w:rPr>
        <w:t>Anna thanked God for Jesus and told others about him (2:36)</w:t>
      </w:r>
    </w:p>
    <w:p>
      <w:pPr/>
      <w:r>
        <w:rPr>
          <w:lang w:val="en_US" w:bidi="en_US"/>
        </w:rPr>
      </w:r>
      <w:r>
        <w:rPr>
          <w:lang w:val="en_US" w:bidi="en_US"/>
        </w:rPr>
        <w:t>Simeon’s Prophecy (2:25)</w:t>
      </w:r>
    </w:p>
    <w:p>
      <w:pPr/>
      <w:r>
        <w:rPr>
          <w:lang w:val="en_US" w:bidi="en_US"/>
        </w:rPr>
      </w:r>
      <w:r>
        <w:rPr>
          <w:lang w:val="en_US" w:bidi="en_US"/>
        </w:rPr>
        <w:t>Anna’s Prophecy (2:36)</w:t>
      </w:r>
    </w:p>
    <w:p>
      <w:pPr>
        <w:pStyle w:val="Heading5"/>
      </w:pPr>
      <w:r>
        <w:rPr>
          <w:lang w:val="en_US" w:bidi="en_US"/>
        </w:rPr>
        <w:t>2:32</w:t>
      </w:r>
    </w:p>
    <w:p>
      <w:pPr/>
      <w:r>
        <w:rPr>
          <w:lang w:val="en_US" w:bidi="en_US"/>
        </w:rPr>
      </w:r>
      <w:r>
        <w:rPr>
          <w:b/>
          <w:lang w:val="en_US" w:bidi="en_US"/>
        </w:rPr>
        <w:t>a light for revelation to the Gentiles, and for glory to Your people Israel:</w:t>
      </w:r>
      <w:r>
        <w:rPr>
          <w:lang w:val="en_US" w:bidi="en_US"/>
        </w:rPr>
        <w:t xml:space="preserve"> Scholars interpret this clause differently:</w:t>
      </w:r>
    </w:p>
    <w:p>
      <w:pPr>
        <w:pStyle w:val="ListNumber"/>
        <w:numPr>
          <w:ilvl w:val="0"/>
          <w:numId w:val="50"/>
        </w:numPr>
        <w:spacing w:line="240" w:lineRule="auto"/>
        <w:ind w:left="720"/>
      </w:pPr>
      <w:r>
        <w:rPr>
          <w:lang w:val="en_US" w:bidi="en_US"/>
        </w:rPr>
      </w:r>
      <w:r>
        <w:rPr>
          <w:lang w:val="en_US" w:bidi="en_US"/>
        </w:rPr>
        <w:t xml:space="preserve">The words </w:t>
      </w:r>
      <w:r>
        <w:rPr>
          <w:u w:val="single"/>
          <w:lang w:val="en_US" w:bidi="en_US"/>
        </w:rPr>
        <w:t>revelation</w:t>
      </w:r>
      <w:r>
        <w:rPr>
          <w:lang w:val="en_US" w:bidi="en_US"/>
        </w:rPr>
        <w:t xml:space="preserve"> and </w:t>
      </w:r>
      <w:r>
        <w:rPr>
          <w:u w:val="single"/>
          <w:lang w:val="en_US" w:bidi="en_US"/>
        </w:rPr>
        <w:t>glory</w:t>
      </w:r>
      <w:r>
        <w:rPr>
          <w:lang w:val="en_US" w:bidi="en_US"/>
        </w:rPr>
        <w:t xml:space="preserve"> are parallel. They both relate to </w:t>
      </w:r>
      <w:r>
        <w:rPr>
          <w:i/>
          <w:lang w:val="en_US" w:bidi="en_US"/>
        </w:rPr>
        <w:t>a light</w:t>
      </w:r>
      <w:r>
        <w:rPr>
          <w:lang w:val="en_US" w:bidi="en_US"/>
        </w:rPr>
        <w:t xml:space="preserve"> (2:32a). This </w:t>
      </w:r>
      <w:r>
        <w:rPr>
          <w:i/>
          <w:lang w:val="en_US" w:bidi="en_US"/>
        </w:rPr>
        <w:t>light</w:t>
      </w:r>
      <w:r>
        <w:rPr>
          <w:lang w:val="en_US" w:bidi="en_US"/>
        </w:rPr>
        <w:t>:</w:t>
      </w:r>
    </w:p>
    <w:p>
      <w:pPr>
        <w:pStyle w:val="ListNumber"/>
        <w:spacing w:line="240" w:lineRule="auto"/>
        <w:ind w:left="1440"/>
      </w:pPr>
      <w:r>
        <w:rPr>
          <w:lang w:val="en_US" w:bidi="en_US"/>
        </w:rPr>
      </w:r>
      <w:r>
        <w:rPr>
          <w:u w:val="single"/>
          <w:lang w:val="en_US" w:bidi="en_US"/>
        </w:rPr>
        <w:t>reveals</w:t>
      </w:r>
      <w:r>
        <w:rPr>
          <w:lang w:val="en_US" w:bidi="en_US"/>
        </w:rPr>
        <w:t xml:space="preserve"> God’s salvation to the Gentiles, and</w:t>
      </w:r>
    </w:p>
    <w:p>
      <w:pPr>
        <w:pStyle w:val="ListNumber"/>
        <w:spacing w:line="240" w:lineRule="auto"/>
        <w:ind w:left="1440"/>
      </w:pPr>
      <w:r>
        <w:rPr>
          <w:lang w:val="en_US" w:bidi="en_US"/>
        </w:rPr>
      </w:r>
      <w:r>
        <w:rPr>
          <w:lang w:val="en_US" w:bidi="en_US"/>
        </w:rPr>
        <w:t xml:space="preserve">brings </w:t>
      </w:r>
      <w:r>
        <w:rPr>
          <w:u w:val="single"/>
          <w:lang w:val="en_US" w:bidi="en_US"/>
        </w:rPr>
        <w:t>glory</w:t>
      </w:r>
      <w:r>
        <w:rPr>
          <w:lang w:val="en_US" w:bidi="en_US"/>
        </w:rPr>
        <w:t xml:space="preserve"> to Israel. For example:</w:t>
      </w:r>
      <w:r>
        <w:rPr>
          <w:lang w:val="en_US" w:bidi="en_US"/>
        </w:rPr>
        <w:t xml:space="preserve">a light that will bring revelation to the Gentiles and glory to your people Israel (REB) </w:t>
      </w:r>
      <w:r>
        <w:rPr>
          <w:i/>
          <w:lang w:val="en_US" w:bidi="en_US"/>
        </w:rPr>
        <w:t>(BSB, NIV, GNT, NJB, RSV, NET, REB, GW)</w:t>
      </w:r>
    </w:p>
    <w:p>
      <w:pPr>
        <w:pStyle w:val="ListNumber"/>
        <w:spacing w:line="240" w:lineRule="auto"/>
        <w:ind w:left="720"/>
      </w:pPr>
      <w:r>
        <w:rPr>
          <w:lang w:val="en_US" w:bidi="en_US"/>
        </w:rPr>
      </w:r>
      <w:r>
        <w:rPr>
          <w:lang w:val="en_US" w:bidi="en_US"/>
        </w:rPr>
        <w:t xml:space="preserve">The words </w:t>
      </w:r>
      <w:r>
        <w:rPr>
          <w:u w:val="single"/>
          <w:lang w:val="en_US" w:bidi="en_US"/>
        </w:rPr>
        <w:t>light</w:t>
      </w:r>
      <w:r>
        <w:rPr>
          <w:lang w:val="en_US" w:bidi="en_US"/>
        </w:rPr>
        <w:t xml:space="preserve"> and </w:t>
      </w:r>
      <w:r>
        <w:rPr>
          <w:u w:val="single"/>
          <w:lang w:val="en_US" w:bidi="en_US"/>
        </w:rPr>
        <w:t>glory</w:t>
      </w:r>
      <w:r>
        <w:rPr>
          <w:lang w:val="en_US" w:bidi="en_US"/>
        </w:rPr>
        <w:t xml:space="preserve"> are parallel. They both relate to salvation (2:30). The Christ and the salvation that he brings are:</w:t>
      </w:r>
    </w:p>
    <w:p>
      <w:pPr>
        <w:pStyle w:val="ListNumber"/>
        <w:spacing w:line="240" w:lineRule="auto"/>
        <w:ind w:left="1440"/>
      </w:pPr>
      <w:r>
        <w:rPr>
          <w:lang w:val="en_US" w:bidi="en_US"/>
        </w:rPr>
      </w:r>
      <w:r>
        <w:rPr>
          <w:lang w:val="en_US" w:bidi="en_US"/>
        </w:rPr>
        <w:t xml:space="preserve">a </w:t>
      </w:r>
      <w:r>
        <w:rPr>
          <w:u w:val="single"/>
          <w:lang w:val="en_US" w:bidi="en_US"/>
        </w:rPr>
        <w:t>light</w:t>
      </w:r>
      <w:r>
        <w:rPr>
          <w:lang w:val="en_US" w:bidi="en_US"/>
        </w:rPr>
        <w:t xml:space="preserve"> to…the Gentiles, and</w:t>
      </w:r>
    </w:p>
    <w:p>
      <w:pPr>
        <w:pStyle w:val="ListNumber"/>
        <w:spacing w:line="240" w:lineRule="auto"/>
        <w:ind w:left="1440"/>
      </w:pPr>
      <w:r>
        <w:rPr>
          <w:lang w:val="en_US" w:bidi="en_US"/>
        </w:rPr>
      </w:r>
      <w:r>
        <w:rPr>
          <w:lang w:val="en_US" w:bidi="en_US"/>
        </w:rPr>
        <w:t xml:space="preserve">the </w:t>
      </w:r>
      <w:r>
        <w:rPr>
          <w:u w:val="single"/>
          <w:lang w:val="en_US" w:bidi="en_US"/>
        </w:rPr>
        <w:t>glory</w:t>
      </w:r>
      <w:r>
        <w:rPr>
          <w:lang w:val="en_US" w:bidi="en_US"/>
        </w:rPr>
        <w:t xml:space="preserve"> of Israel. For example:</w:t>
      </w:r>
      <w:r>
        <w:rPr>
          <w:lang w:val="en_US" w:bidi="en_US"/>
        </w:rPr>
        <w:t xml:space="preserve">He is a light to reveal God to the nations, and he is the glory of…Israel! (NLT) </w:t>
      </w:r>
      <w:r>
        <w:rPr>
          <w:i/>
          <w:lang w:val="en_US" w:bidi="en_US"/>
        </w:rPr>
        <w:t>(NIV11, NASB, NCV, CEV, NLT, KJV)</w:t>
      </w:r>
    </w:p>
    <w:p>
      <w:pPr/>
      <w:r>
        <w:rPr>
          <w:lang w:val="en_US" w:bidi="en_US"/>
        </w:rPr>
      </w:r>
      <w:r>
        <w:rPr>
          <w:lang w:val="en_US" w:bidi="en_US"/>
        </w:rPr>
        <w:t>It is recommended that you follow interpretation (1).</w:t>
      </w:r>
    </w:p>
    <w:p>
      <w:pPr>
        <w:pStyle w:val="Heading5"/>
      </w:pPr>
      <w:r>
        <w:rPr>
          <w:lang w:val="en_US" w:bidi="en_US"/>
        </w:rPr>
        <w:t>2:32a</w:t>
      </w:r>
    </w:p>
    <w:p>
      <w:pPr/>
      <w:r>
        <w:rPr>
          <w:lang w:val="en_US" w:bidi="en_US"/>
        </w:rPr>
      </w:r>
      <w:r>
        <w:rPr>
          <w:b/>
          <w:lang w:val="en_US" w:bidi="en_US"/>
        </w:rPr>
        <w:t>a light for revelation to the Gentiles,</w:t>
      </w:r>
    </w:p>
    <w:p>
      <w:pPr>
        <w:pStyle w:val="ListBullet"/>
        <w:spacing w:line="240" w:lineRule="auto"/>
        <w:ind w:left="720"/>
      </w:pPr>
      <w:r>
        <w:rPr>
          <w:lang w:val="en_US" w:bidi="en_US"/>
        </w:rPr>
      </w:r>
      <w:r>
        <w:rPr>
          <w:lang w:val="en_US" w:bidi="en_US"/>
        </w:rPr>
        <w:t>This salvation will be</w:t>
      </w:r>
      <w:r>
        <w:rPr>
          <w:lang w:val="en_US" w:bidi="en_US"/>
        </w:rPr>
        <w:t xml:space="preserve"> a light to reveal/show </w:t>
      </w:r>
      <w:r>
        <w:rPr>
          <w:lang w:val="en_US" w:bidi="en_US"/>
        </w:rPr>
        <w:t>you</w:t>
      </w:r>
      <w:r>
        <w:rPr>
          <w:lang w:val="en_US" w:bidi="en_US"/>
        </w:rPr>
        <w:t xml:space="preserve"> to the Gentiles</w:t>
      </w:r>
    </w:p>
    <w:p>
      <w:pPr>
        <w:pStyle w:val="ListBullet"/>
        <w:spacing w:line="240" w:lineRule="auto"/>
        <w:ind w:left="720"/>
      </w:pPr>
      <w:r>
        <w:rPr>
          <w:lang w:val="en_US" w:bidi="en_US"/>
        </w:rPr>
      </w:r>
      <w:r>
        <w:rPr>
          <w:lang w:val="en_US" w:bidi="en_US"/>
        </w:rPr>
        <w:t>He will be like</w:t>
      </w:r>
      <w:r>
        <w:rPr>
          <w:lang w:val="en_US" w:bidi="en_US"/>
        </w:rPr>
        <w:t xml:space="preserve"> a light that reveals things. The people who are not Jews </w:t>
      </w:r>
      <w:r>
        <w:rPr>
          <w:lang w:val="en_US" w:bidi="en_US"/>
        </w:rPr>
        <w:t>are like people in the dark</w:t>
      </w:r>
      <w:r>
        <w:rPr>
          <w:lang w:val="en_US" w:bidi="en_US"/>
        </w:rPr>
        <w:t>, but he will cause them to know you,</w:t>
      </w:r>
    </w:p>
    <w:p>
      <w:pPr/>
      <w:r>
        <w:rPr>
          <w:lang w:val="en_US" w:bidi="en_US"/>
        </w:rPr>
      </w:r>
      <w:r>
        <w:rPr>
          <w:b/>
          <w:lang w:val="en_US" w:bidi="en_US"/>
        </w:rPr>
        <w:t>a light:</w:t>
      </w:r>
      <w:r>
        <w:rPr>
          <w:lang w:val="en_US" w:bidi="en_US"/>
        </w:rPr>
        <w:t xml:space="preserve"> As with “salvation” in 2:30, </w:t>
      </w:r>
      <w:r>
        <w:rPr>
          <w:i/>
          <w:lang w:val="en_US" w:bidi="en_US"/>
        </w:rPr>
        <w:t>a light</w:t>
      </w:r>
      <w:r>
        <w:rPr>
          <w:lang w:val="en_US" w:bidi="en_US"/>
        </w:rPr>
        <w:t xml:space="preserve"> is another way that Simeon referred to “the Lord’s Christ” (2:26b). Simeon described the Christ as </w:t>
      </w:r>
      <w:r>
        <w:rPr>
          <w:i/>
          <w:lang w:val="en_US" w:bidi="en_US"/>
        </w:rPr>
        <w:t>a light</w:t>
      </w:r>
      <w:r>
        <w:rPr>
          <w:lang w:val="en_US" w:bidi="en_US"/>
        </w:rPr>
        <w:t xml:space="preserve"> because he is like a light. Just as light enables people to see things, the Christ will enable people to know things.</w:t>
      </w:r>
    </w:p>
    <w:p>
      <w:pPr/>
      <w:r>
        <w:rPr>
          <w:lang w:val="en_US" w:bidi="en_US"/>
        </w:rPr>
      </w:r>
      <w:r>
        <w:rPr>
          <w:b/>
          <w:lang w:val="en_US" w:bidi="en_US"/>
        </w:rPr>
        <w:t>for revelation to the Gentiles:</w:t>
      </w:r>
      <w:r>
        <w:rPr>
          <w:lang w:val="en_US" w:bidi="en_US"/>
        </w:rPr>
        <w:t xml:space="preserve"> In this context the word </w:t>
      </w:r>
      <w:r>
        <w:rPr>
          <w:i/>
          <w:lang w:val="en_US" w:bidi="en_US"/>
        </w:rPr>
        <w:t>revelation</w:t>
      </w:r>
      <w:r>
        <w:rPr>
          <w:lang w:val="en_US" w:bidi="en_US"/>
        </w:rPr>
        <w:t xml:space="preserve"> indicates that the Christ as the light will reveal God and his character (his love, will, truth, and grace). He will reveal this to the Gentiles who are in spiritual darkness.</w:t>
      </w:r>
    </w:p>
    <w:p>
      <w:pPr/>
      <w:r>
        <w:rPr>
          <w:lang w:val="en_US" w:bidi="en_US"/>
        </w:rPr>
      </w:r>
      <w:r>
        <w:rPr>
          <w:lang w:val="en_US" w:bidi="en_US"/>
        </w:rPr>
        <w:t xml:space="preserve">If your language needs to express the word </w:t>
      </w:r>
      <w:r>
        <w:rPr>
          <w:i/>
          <w:lang w:val="en_US" w:bidi="en_US"/>
        </w:rPr>
        <w:t>revelation</w:t>
      </w:r>
      <w:r>
        <w:rPr>
          <w:lang w:val="en_US" w:bidi="en_US"/>
        </w:rPr>
        <w:t xml:space="preserve"> as a verbal idea, you can say:</w:t>
      </w:r>
    </w:p>
    <w:p>
      <w:pPr/>
      <w:r>
        <w:rPr>
          <w:lang w:val="en_US" w:bidi="en_US"/>
        </w:rPr>
      </w:r>
      <w:r>
        <w:rPr>
          <w:lang w:val="en_US" w:bidi="en_US"/>
        </w:rPr>
        <w:t>He will be like</w:t>
      </w:r>
      <w:r>
        <w:rPr>
          <w:lang w:val="en_US" w:bidi="en_US"/>
        </w:rPr>
        <w:t xml:space="preserve"> a light to reveal/show </w:t>
      </w:r>
      <w:r>
        <w:rPr>
          <w:lang w:val="en_US" w:bidi="en_US"/>
        </w:rPr>
        <w:t>you</w:t>
      </w:r>
      <w:r>
        <w:rPr>
          <w:lang w:val="en_US" w:bidi="en_US"/>
        </w:rPr>
        <w:t xml:space="preserve"> to the Gentiles</w:t>
      </w:r>
    </w:p>
    <w:p>
      <w:pPr/>
      <w:r>
        <w:rPr>
          <w:lang w:val="en_US" w:bidi="en_US"/>
        </w:rPr>
      </w:r>
      <w:r>
        <w:rPr>
          <w:lang w:val="en_US" w:bidi="en_US"/>
        </w:rPr>
        <w:t>A light to reveal your will to the Gentiles (GNT)</w:t>
      </w:r>
    </w:p>
    <w:p>
      <w:pPr>
        <w:pStyle w:val="Heading5"/>
      </w:pPr>
      <w:r>
        <w:rPr>
          <w:lang w:val="en_US" w:bidi="en_US"/>
        </w:rPr>
        <w:t>2:32b</w:t>
      </w:r>
    </w:p>
    <w:p>
      <w:pPr/>
      <w:r>
        <w:rPr>
          <w:lang w:val="en_US" w:bidi="en_US"/>
        </w:rPr>
      </w:r>
      <w:r>
        <w:rPr>
          <w:b/>
          <w:lang w:val="en_US" w:bidi="en_US"/>
        </w:rPr>
        <w:t>and for glory to Your people Israel.”</w:t>
      </w:r>
    </w:p>
    <w:p>
      <w:pPr>
        <w:pStyle w:val="ListBullet"/>
        <w:spacing w:line="240" w:lineRule="auto"/>
        <w:ind w:left="720"/>
      </w:pPr>
      <w:r>
        <w:rPr>
          <w:lang w:val="en_US" w:bidi="en_US"/>
        </w:rPr>
      </w:r>
      <w:r>
        <w:rPr>
          <w:lang w:val="en_US" w:bidi="en_US"/>
        </w:rPr>
        <w:t xml:space="preserve">and </w:t>
      </w:r>
      <w:r>
        <w:rPr>
          <w:lang w:val="en_US" w:bidi="en_US"/>
        </w:rPr>
        <w:t>bring</w:t>
      </w:r>
      <w:r>
        <w:rPr>
          <w:lang w:val="en_US" w:bidi="en_US"/>
        </w:rPr>
        <w:t xml:space="preserve"> glory/honor to your people, the Israelites.”</w:t>
      </w:r>
    </w:p>
    <w:p>
      <w:pPr>
        <w:pStyle w:val="ListBullet"/>
        <w:spacing w:line="240" w:lineRule="auto"/>
        <w:ind w:left="720"/>
      </w:pPr>
      <w:r>
        <w:rPr>
          <w:lang w:val="en_US" w:bidi="en_US"/>
        </w:rPr>
      </w:r>
      <w:r>
        <w:rPr>
          <w:lang w:val="en_US" w:bidi="en_US"/>
        </w:rPr>
        <w:t xml:space="preserve">and </w:t>
      </w:r>
      <w:r>
        <w:rPr>
          <w:lang w:val="en_US" w:bidi="en_US"/>
        </w:rPr>
        <w:t>he will bring</w:t>
      </w:r>
      <w:r>
        <w:rPr>
          <w:lang w:val="en_US" w:bidi="en_US"/>
        </w:rPr>
        <w:t xml:space="preserve"> honor to </w:t>
      </w:r>
      <w:r>
        <w:rPr>
          <w:lang w:val="en_US" w:bidi="en_US"/>
        </w:rPr>
        <w:t>us</w:t>
      </w:r>
      <w:r>
        <w:rPr>
          <w:vertAlign w:val="superscript"/>
          <w:lang w:val="en_US" w:bidi="en_US"/>
        </w:rPr>
        <w:t>(excl)</w:t>
      </w:r>
      <w:r>
        <w:rPr>
          <w:lang w:val="en_US" w:bidi="en_US"/>
        </w:rPr>
        <w:t xml:space="preserve"> Israelites/Jews </w:t>
      </w:r>
      <w:r>
        <w:rPr>
          <w:lang w:val="en_US" w:bidi="en_US"/>
        </w:rPr>
        <w:t>who are</w:t>
      </w:r>
      <w:r>
        <w:rPr>
          <w:lang w:val="en_US" w:bidi="en_US"/>
        </w:rPr>
        <w:t xml:space="preserve"> your people.”</w:t>
      </w:r>
    </w:p>
    <w:p>
      <w:pPr/>
      <w:r>
        <w:rPr>
          <w:lang w:val="en_US" w:bidi="en_US"/>
        </w:rPr>
      </w:r>
      <w:r>
        <w:rPr>
          <w:b/>
          <w:lang w:val="en_US" w:bidi="en_US"/>
        </w:rPr>
        <w:t>for glory to Your people Israel:</w:t>
      </w:r>
      <w:r>
        <w:rPr>
          <w:lang w:val="en_US" w:bidi="en_US"/>
        </w:rPr>
        <w:t xml:space="preserve"> The Christ as the light will bring glory to God’s people Israel.</w:t>
      </w:r>
    </w:p>
    <w:p>
      <w:pPr/>
      <w:r>
        <w:rPr>
          <w:lang w:val="en_US" w:bidi="en_US"/>
        </w:rPr>
      </w:r>
      <w:r>
        <w:rPr>
          <w:b/>
          <w:lang w:val="en_US" w:bidi="en_US"/>
        </w:rPr>
        <w:t>glory:</w:t>
      </w:r>
      <w:r>
        <w:rPr>
          <w:lang w:val="en_US" w:bidi="en_US"/>
        </w:rPr>
        <w:t xml:space="preserve"> Here, the word </w:t>
      </w:r>
      <w:r>
        <w:rPr>
          <w:i/>
          <w:lang w:val="en_US" w:bidi="en_US"/>
        </w:rPr>
        <w:t>glory</w:t>
      </w:r>
      <w:r>
        <w:rPr>
          <w:lang w:val="en_US" w:bidi="en_US"/>
        </w:rPr>
        <w:t xml:space="preserve"> means “honor,” “praise,” or “a high reputation.” In some language this can be expressed as:</w:t>
      </w:r>
    </w:p>
    <w:p>
      <w:pPr/>
      <w:r>
        <w:rPr>
          <w:lang w:val="en_US" w:bidi="en_US"/>
        </w:rPr>
      </w:r>
      <w:r>
        <w:rPr>
          <w:lang w:val="en_US" w:bidi="en_US"/>
        </w:rPr>
        <w:t>he is the pride of your people Israel</w:t>
      </w:r>
    </w:p>
    <w:p>
      <w:pPr/>
      <w:r>
        <w:rPr>
          <w:lang w:val="en_US" w:bidi="en_US"/>
        </w:rPr>
      </w:r>
      <w:r>
        <w:rPr>
          <w:lang w:val="en_US" w:bidi="en_US"/>
        </w:rPr>
        <w:t xml:space="preserve">Israel received glory and honor because the Christ, the Savior, was an Israelite. See </w:t>
      </w:r>
      <w:r>
        <w:rPr>
          <w:u w:val="single"/>
          <w:lang w:val="en_US" w:bidi="en_US"/>
        </w:rPr>
        <w:t>glory, sense A3(c)</w:t>
      </w:r>
      <w:r>
        <w:rPr>
          <w:lang w:val="en_US" w:bidi="en_US"/>
        </w:rPr>
        <w:t>, in KBT.</w:t>
      </w:r>
    </w:p>
    <w:p>
      <w:pPr>
        <w:pStyle w:val="Heading6"/>
      </w:pPr>
      <w:r>
        <w:rPr>
          <w:b/>
          <w:lang w:val="en_US" w:bidi="en_US"/>
        </w:rPr>
        <w:t>General Comment on 2:29–32</w:t>
      </w:r>
    </w:p>
    <w:p>
      <w:pPr/>
      <w:r>
        <w:rPr>
          <w:lang w:val="en_US" w:bidi="en_US"/>
        </w:rPr>
      </w:r>
      <w:r>
        <w:rPr>
          <w:lang w:val="en_US" w:bidi="en_US"/>
        </w:rPr>
        <w:t>Luke 2:30–32 gives the reason for 2:29. In some languages, it may be more natural to put 2:30–32 before 2:29. For example:</w:t>
      </w:r>
    </w:p>
    <w:p>
      <w:pPr/>
      <w:r>
        <w:rPr>
          <w:lang w:val="en_US" w:bidi="en_US"/>
        </w:rPr>
      </w:r>
      <w:r>
        <w:rPr>
          <w:vertAlign w:val="superscript"/>
          <w:lang w:val="en_US" w:bidi="en_US"/>
        </w:rPr>
        <w:t>30</w:t>
      </w:r>
      <w:r>
        <w:rPr>
          <w:lang w:val="en_US" w:bidi="en_US"/>
        </w:rPr>
        <w:t xml:space="preserve">My eyes have seen your salvation, </w:t>
      </w:r>
      <w:r>
        <w:rPr>
          <w:vertAlign w:val="superscript"/>
          <w:lang w:val="en_US" w:bidi="en_US"/>
        </w:rPr>
        <w:t>31</w:t>
      </w:r>
      <w:r>
        <w:rPr>
          <w:lang w:val="en_US" w:bidi="en_US"/>
        </w:rPr>
        <w:t xml:space="preserve">which you have prepared in the sight of all people, </w:t>
      </w:r>
      <w:r>
        <w:rPr>
          <w:vertAlign w:val="superscript"/>
          <w:lang w:val="en_US" w:bidi="en_US"/>
        </w:rPr>
        <w:t>32</w:t>
      </w:r>
      <w:r>
        <w:rPr>
          <w:lang w:val="en_US" w:bidi="en_US"/>
        </w:rPr>
        <w:t xml:space="preserve">a light for revelation to the Gentiles and for glory to your people Israel. </w:t>
      </w:r>
      <w:r>
        <w:rPr>
          <w:vertAlign w:val="superscript"/>
          <w:lang w:val="en_US" w:bidi="en_US"/>
        </w:rPr>
        <w:t>29</w:t>
      </w:r>
      <w:r>
        <w:rPr>
          <w:lang w:val="en_US" w:bidi="en_US"/>
        </w:rPr>
        <w:t>So,</w:t>
      </w:r>
      <w:r>
        <w:rPr>
          <w:lang w:val="en_US" w:bidi="en_US"/>
        </w:rPr>
        <w:t xml:space="preserve"> Sovereign Lord, as you have promised, you now dismiss your servant in peace.</w:t>
      </w:r>
      <w:r>
        <w:rPr>
          <w:lang w:val="en_US" w:bidi="en_US"/>
        </w:rPr>
      </w:r>
      <w:r>
        <w:rPr>
          <w:lang w:val="en_US" w:bidi="en_US"/>
        </w:rPr>
      </w:r>
    </w:p>
    <w:p>
      <w:pPr/>
      <w:r>
        <w:rPr>
          <w:lang w:val="en_US" w:bidi="en_US"/>
        </w:rPr>
      </w:r>
    </w:p>
    <w:p>
      <w:pPr>
        <w:pStyle w:val="Heading2"/>
      </w:pPr>
      <w:r>
        <w:rPr>
          <w:lang w:val="en_US" w:bidi="en_US"/>
        </w:rPr>
        <w:t>Luke 2:33</w:t>
      </w:r>
      <w:r>
        <w:rPr>
          <w:lang w:val="en_US" w:bidi="en_US"/>
        </w:rPr>
      </w:r>
    </w:p>
    <w:p>
      <w:pPr>
        <w:pStyle w:val="Heading4"/>
      </w:pPr>
      <w:r>
        <w:rPr>
          <w:lang w:val="en_US" w:bidi="en_US"/>
        </w:rPr>
        <w:t>Section 2:21–40: The baby Jesus at the temple</w:t>
      </w:r>
    </w:p>
    <w:p>
      <w:pPr/>
      <w:r>
        <w:rPr>
          <w:lang w:val="en_US" w:bidi="en_US"/>
        </w:rPr>
      </w:r>
      <w:r>
        <w:rPr>
          <w:lang w:val="en_US" w:bidi="en_US"/>
        </w:rPr>
        <w:t>The events in this section happened some days after Jesus was born.</w:t>
      </w:r>
    </w:p>
    <w:p>
      <w:pPr/>
      <w:r>
        <w:rPr>
          <w:lang w:val="en_US" w:bidi="en_US"/>
        </w:rPr>
      </w:r>
      <w:r>
        <w:rPr>
          <w:lang w:val="en_US" w:bidi="en_US"/>
        </w:rPr>
        <w:t>In 2:21–24, Luke mentioned three ceremonies that were done when Jewish boys were born:</w:t>
      </w:r>
    </w:p>
    <w:p>
      <w:pPr>
        <w:pStyle w:val="ListNumber"/>
        <w:numPr>
          <w:ilvl w:val="0"/>
          <w:numId w:val="51"/>
        </w:numPr>
        <w:spacing w:line="240" w:lineRule="auto"/>
        <w:ind w:left="720"/>
      </w:pPr>
      <w:r>
        <w:rPr>
          <w:lang w:val="en_US" w:bidi="en_US"/>
        </w:rPr>
      </w:r>
      <w:r>
        <w:rPr>
          <w:lang w:val="en_US" w:bidi="en_US"/>
        </w:rPr>
        <w:t>the baby boy was circumcised;</w:t>
      </w:r>
    </w:p>
    <w:p>
      <w:pPr>
        <w:pStyle w:val="ListNumber"/>
        <w:spacing w:line="240" w:lineRule="auto"/>
        <w:ind w:left="720"/>
      </w:pPr>
      <w:r>
        <w:rPr>
          <w:lang w:val="en_US" w:bidi="en_US"/>
        </w:rPr>
      </w:r>
      <w:r>
        <w:rPr>
          <w:lang w:val="en_US" w:bidi="en_US"/>
        </w:rPr>
        <w:t>the mother was ritually purified;</w:t>
      </w:r>
    </w:p>
    <w:p>
      <w:pPr>
        <w:pStyle w:val="ListNumber"/>
        <w:spacing w:line="240" w:lineRule="auto"/>
        <w:ind w:left="720"/>
      </w:pPr>
      <w:r>
        <w:rPr>
          <w:lang w:val="en_US" w:bidi="en_US"/>
        </w:rPr>
      </w:r>
      <w:r>
        <w:rPr>
          <w:lang w:val="en_US" w:bidi="en_US"/>
        </w:rPr>
        <w:t>the baby boy was presented to God.</w:t>
      </w:r>
    </w:p>
    <w:p>
      <w:pPr/>
      <w:r>
        <w:rPr>
          <w:lang w:val="en_US" w:bidi="en_US"/>
        </w:rPr>
      </w:r>
      <w:r>
        <w:rPr>
          <w:lang w:val="en_US" w:bidi="en_US"/>
        </w:rPr>
        <w:t>In 2:25–38 Luke described two other events that happened while Joseph, Mary, and Jesus were at the temple in Jerusalem. God allowed two righteous people named Simeon and Anna to see Jesus and to thank God for him. Simeon spoke a prophecy about Jesus and Mary.</w:t>
      </w:r>
    </w:p>
    <w:p>
      <w:pPr/>
      <w:r>
        <w:rPr>
          <w:lang w:val="en_US" w:bidi="en_US"/>
        </w:rPr>
      </w:r>
      <w:r>
        <w:rPr>
          <w:lang w:val="en_US" w:bidi="en_US"/>
        </w:rP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Parents Obey Moses’ Teachings (GW)</w:t>
      </w:r>
    </w:p>
    <w:p>
      <w:pPr/>
      <w:r>
        <w:rPr>
          <w:lang w:val="en_US" w:bidi="en_US"/>
        </w:rPr>
      </w:r>
      <w:r>
        <w:rPr>
          <w:lang w:val="en_US" w:bidi="en_US"/>
        </w:rPr>
        <w:t>Jesus Presented at the Temple (NASB)</w:t>
      </w:r>
    </w:p>
    <w:p>
      <w:pPr/>
      <w:r>
        <w:rPr>
          <w:lang w:val="en_US" w:bidi="en_US"/>
        </w:rPr>
      </w:r>
      <w:r>
        <w:rPr>
          <w:lang w:val="en_US" w:bidi="en_US"/>
        </w:rPr>
        <w:t>Some English versions begin new sections at 2:25 and at 2:36. If you decide to do this in your translation, some possible headings are:</w:t>
      </w:r>
    </w:p>
    <w:p>
      <w:pPr/>
      <w:r>
        <w:rPr>
          <w:lang w:val="en_US" w:bidi="en_US"/>
        </w:rPr>
      </w:r>
      <w:r>
        <w:rPr>
          <w:lang w:val="en_US" w:bidi="en_US"/>
        </w:rPr>
        <w:t>Simeon saw Jesus and prophesied about him (2:25)</w:t>
      </w:r>
    </w:p>
    <w:p>
      <w:pPr/>
      <w:r>
        <w:rPr>
          <w:lang w:val="en_US" w:bidi="en_US"/>
        </w:rPr>
      </w:r>
      <w:r>
        <w:rPr>
          <w:lang w:val="en_US" w:bidi="en_US"/>
        </w:rPr>
        <w:t>Anna thanked God for Jesus and told others about him (2:36)</w:t>
      </w:r>
    </w:p>
    <w:p>
      <w:pPr/>
      <w:r>
        <w:rPr>
          <w:lang w:val="en_US" w:bidi="en_US"/>
        </w:rPr>
      </w:r>
      <w:r>
        <w:rPr>
          <w:lang w:val="en_US" w:bidi="en_US"/>
        </w:rPr>
        <w:t>Simeon’s Prophecy (2:25)</w:t>
      </w:r>
    </w:p>
    <w:p>
      <w:pPr/>
      <w:r>
        <w:rPr>
          <w:lang w:val="en_US" w:bidi="en_US"/>
        </w:rPr>
      </w:r>
      <w:r>
        <w:rPr>
          <w:lang w:val="en_US" w:bidi="en_US"/>
        </w:rPr>
        <w:t>Anna’s Prophecy (2:36)</w:t>
      </w:r>
    </w:p>
    <w:p>
      <w:pPr>
        <w:pStyle w:val="Heading5"/>
      </w:pPr>
      <w:r>
        <w:rPr>
          <w:lang w:val="en_US" w:bidi="en_US"/>
        </w:rPr>
        <w:t>2:33</w:t>
      </w:r>
    </w:p>
    <w:p>
      <w:pPr/>
      <w:r>
        <w:rPr>
          <w:lang w:val="en_US" w:bidi="en_US"/>
        </w:rPr>
      </w:r>
      <w:r>
        <w:rPr>
          <w:b/>
          <w:lang w:val="en_US" w:bidi="en_US"/>
        </w:rPr>
        <w:t>The Child’s father and mother were amazed at what was spoken about Him.</w:t>
      </w:r>
    </w:p>
    <w:p>
      <w:pPr>
        <w:pStyle w:val="ListBullet"/>
        <w:spacing w:line="240" w:lineRule="auto"/>
        <w:ind w:left="720"/>
      </w:pPr>
      <w:r>
        <w:rPr>
          <w:lang w:val="en_US" w:bidi="en_US"/>
        </w:rPr>
      </w:r>
      <w:r>
        <w:rPr>
          <w:lang w:val="en_US" w:bidi="en_US"/>
        </w:rPr>
        <w:t xml:space="preserve">¶ The child’s father and mother were amazed at that which </w:t>
      </w:r>
      <w:r>
        <w:rPr>
          <w:lang w:val="en_US" w:bidi="en_US"/>
        </w:rPr>
        <w:t>Simeon</w:t>
      </w:r>
      <w:r>
        <w:rPr>
          <w:lang w:val="en_US" w:bidi="en_US"/>
        </w:rPr>
        <w:t xml:space="preserve"> said about him/Jesus.</w:t>
      </w:r>
    </w:p>
    <w:p>
      <w:pPr>
        <w:pStyle w:val="ListBullet"/>
        <w:spacing w:line="240" w:lineRule="auto"/>
        <w:ind w:left="720"/>
      </w:pPr>
      <w:r>
        <w:rPr>
          <w:lang w:val="en_US" w:bidi="en_US"/>
        </w:rPr>
      </w:r>
      <w:r>
        <w:rPr>
          <w:lang w:val="en_US" w:bidi="en_US"/>
        </w:rPr>
        <w:t xml:space="preserve">¶ Jesus’ father and mother were surprised at these things/words that </w:t>
      </w:r>
      <w:r>
        <w:rPr>
          <w:lang w:val="en_US" w:bidi="en_US"/>
        </w:rPr>
        <w:t>Simeon</w:t>
      </w:r>
      <w:r>
        <w:rPr>
          <w:lang w:val="en_US" w:bidi="en_US"/>
        </w:rPr>
        <w:t xml:space="preserve"> said about him.</w:t>
      </w:r>
    </w:p>
    <w:p>
      <w:pPr>
        <w:pStyle w:val="ListBullet"/>
        <w:spacing w:line="240" w:lineRule="auto"/>
        <w:ind w:left="720"/>
      </w:pPr>
      <w:r>
        <w:rPr>
          <w:lang w:val="en_US" w:bidi="en_US"/>
        </w:rPr>
      </w:r>
      <w:r>
        <w:rPr>
          <w:lang w:val="en_US" w:bidi="en_US"/>
        </w:rPr>
        <w:t>¶ These words surprised his/Jesus’ parents.</w:t>
      </w:r>
    </w:p>
    <w:p>
      <w:pPr/>
      <w:r>
        <w:rPr>
          <w:lang w:val="en_US" w:bidi="en_US"/>
        </w:rPr>
      </w:r>
      <w:r>
        <w:rPr>
          <w:b/>
          <w:lang w:val="en_US" w:bidi="en_US"/>
        </w:rPr>
        <w:t>The Child’s father and mother:</w:t>
      </w:r>
      <w:r>
        <w:rPr>
          <w:lang w:val="en_US" w:bidi="en_US"/>
        </w:rPr>
        <w:t xml:space="preserve"> </w:t>
      </w:r>
      <w:r>
        <w:rPr>
          <w:lang w:val="en_US" w:bidi="en_US"/>
        </w:rPr>
        <w:t xml:space="preserve">There is a textual issue here. Instead of “his father and mother,” some Greek manuscripts say “Joseph and his mother.” The reading “his father and mother” has early and strong manuscript support. The KJV says “Joseph and his mother.” Perhaps copyists replaced “his father and mother” with “Joseph and his mother” in order to safeguard the doctrine of the virgin birth of Jesus. This evaluation of the evidence is based on Swanson, p. 38; </w:t>
      </w:r>
      <w:r>
        <w:rPr>
          <w:i/>
          <w:lang w:val="en_US" w:bidi="en_US"/>
        </w:rPr>
        <w:t>Greek NT UBS 4th ed.</w:t>
      </w:r>
      <w:r>
        <w:rPr>
          <w:lang w:val="en_US" w:bidi="en_US"/>
        </w:rPr>
        <w:t xml:space="preserve">; Metzger, pp. 111–112; and </w:t>
      </w:r>
      <w:r>
        <w:rPr>
          <w:i/>
          <w:lang w:val="en_US" w:bidi="en_US"/>
        </w:rPr>
        <w:t>Exegetical Summaries</w:t>
      </w:r>
      <w:r>
        <w:rPr>
          <w:lang w:val="en_US" w:bidi="en_US"/>
        </w:rPr>
        <w:t xml:space="preserve"> on </w:t>
      </w:r>
      <w:r>
        <w:rPr>
          <w:i/>
          <w:lang w:val="en_US" w:bidi="en_US"/>
        </w:rPr>
        <w:t>TW</w:t>
      </w:r>
      <w:r>
        <w:rPr>
          <w:lang w:val="en_US" w:bidi="en_US"/>
        </w:rPr>
        <w:t>.</w:t>
      </w:r>
      <w:r>
        <w:rPr>
          <w:lang w:val="en_US" w:bidi="en_US"/>
        </w:rPr>
        <w:t xml:space="preserve"> The phrase </w:t>
      </w:r>
      <w:r>
        <w:rPr>
          <w:i/>
          <w:lang w:val="en_US" w:bidi="en_US"/>
        </w:rPr>
        <w:t>The Child’s father and mother</w:t>
      </w:r>
      <w:r>
        <w:rPr>
          <w:lang w:val="en_US" w:bidi="en_US"/>
        </w:rPr>
        <w:t xml:space="preserve"> refers to Jesus’ parents, Joseph and Mary.</w:t>
      </w:r>
    </w:p>
    <w:p>
      <w:pPr/>
      <w:r>
        <w:rPr>
          <w:lang w:val="en_US" w:bidi="en_US"/>
        </w:rPr>
      </w:r>
      <w:r>
        <w:rPr>
          <w:b/>
          <w:lang w:val="en_US" w:bidi="en_US"/>
        </w:rPr>
        <w:t>were amazed:</w:t>
      </w:r>
      <w:r>
        <w:rPr>
          <w:lang w:val="en_US" w:bidi="en_US"/>
        </w:rPr>
        <w:t xml:space="preserve"> The Greek word that the BSB translates as </w:t>
      </w:r>
      <w:r>
        <w:rPr>
          <w:i/>
          <w:lang w:val="en_US" w:bidi="en_US"/>
        </w:rPr>
        <w:t>were amazed</w:t>
      </w:r>
      <w:r>
        <w:rPr>
          <w:lang w:val="en_US" w:bidi="en_US"/>
        </w:rPr>
        <w:t xml:space="preserve"> has the same root as the word translated as “amazed” in 2:18.</w:t>
      </w:r>
    </w:p>
    <w:p>
      <w:pPr/>
      <w:r>
        <w:rPr>
          <w:lang w:val="en_US" w:bidi="en_US"/>
        </w:rPr>
      </w:r>
      <w:r>
        <w:rPr>
          <w:b/>
          <w:lang w:val="en_US" w:bidi="en_US"/>
        </w:rPr>
        <w:t>at what was spoken about Him:</w:t>
      </w:r>
      <w:r>
        <w:rPr>
          <w:lang w:val="en_US" w:bidi="en_US"/>
        </w:rPr>
        <w:t xml:space="preserve"> The clause </w:t>
      </w:r>
      <w:r>
        <w:rPr>
          <w:i/>
          <w:lang w:val="en_US" w:bidi="en_US"/>
        </w:rPr>
        <w:t>at what was spoken about Him</w:t>
      </w:r>
      <w:r>
        <w:rPr>
          <w:lang w:val="en_US" w:bidi="en_US"/>
        </w:rPr>
        <w:t xml:space="preserve"> tells what Jesus’ parents were amazed about. The things that Simeon said about Jesus amazed them. This clause is passive. In some languages, it may be more natural to translate it as an active clause. For example:</w:t>
      </w:r>
    </w:p>
    <w:p>
      <w:pPr/>
      <w:r>
        <w:rPr>
          <w:lang w:val="en_US" w:bidi="en_US"/>
        </w:rPr>
      </w:r>
      <w:r>
        <w:rPr>
          <w:lang w:val="en_US" w:bidi="en_US"/>
        </w:rPr>
        <w:t>at the things Simeon said about him (GNT)</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refers to the baby Jesus.</w:t>
      </w:r>
      <w:r>
        <w:rPr>
          <w:lang w:val="en_US" w:bidi="en_US"/>
        </w:rPr>
      </w:r>
      <w:r>
        <w:rPr>
          <w:lang w:val="en_US" w:bidi="en_US"/>
        </w:rPr>
      </w:r>
    </w:p>
    <w:p>
      <w:pPr/>
      <w:r>
        <w:rPr>
          <w:lang w:val="en_US" w:bidi="en_US"/>
        </w:rPr>
      </w:r>
    </w:p>
    <w:p>
      <w:pPr>
        <w:pStyle w:val="Heading2"/>
      </w:pPr>
      <w:r>
        <w:rPr>
          <w:lang w:val="en_US" w:bidi="en_US"/>
        </w:rPr>
        <w:t>Luke 2:34</w:t>
      </w:r>
      <w:r>
        <w:rPr>
          <w:lang w:val="en_US" w:bidi="en_US"/>
        </w:rPr>
      </w:r>
    </w:p>
    <w:p>
      <w:pPr>
        <w:pStyle w:val="Heading4"/>
      </w:pPr>
      <w:r>
        <w:rPr>
          <w:lang w:val="en_US" w:bidi="en_US"/>
        </w:rPr>
        <w:t>Section 2:21–40: The baby Jesus at the temple</w:t>
      </w:r>
    </w:p>
    <w:p>
      <w:pPr/>
      <w:r>
        <w:rPr>
          <w:lang w:val="en_US" w:bidi="en_US"/>
        </w:rPr>
      </w:r>
      <w:r>
        <w:rPr>
          <w:lang w:val="en_US" w:bidi="en_US"/>
        </w:rPr>
        <w:t>The events in this section happened some days after Jesus was born.</w:t>
      </w:r>
    </w:p>
    <w:p>
      <w:pPr/>
      <w:r>
        <w:rPr>
          <w:lang w:val="en_US" w:bidi="en_US"/>
        </w:rPr>
      </w:r>
      <w:r>
        <w:rPr>
          <w:lang w:val="en_US" w:bidi="en_US"/>
        </w:rPr>
        <w:t>In 2:21–24, Luke mentioned three ceremonies that were done when Jewish boys were born:</w:t>
      </w:r>
    </w:p>
    <w:p>
      <w:pPr>
        <w:pStyle w:val="ListNumber"/>
        <w:numPr>
          <w:ilvl w:val="0"/>
          <w:numId w:val="52"/>
        </w:numPr>
        <w:spacing w:line="240" w:lineRule="auto"/>
        <w:ind w:left="720"/>
      </w:pPr>
      <w:r>
        <w:rPr>
          <w:lang w:val="en_US" w:bidi="en_US"/>
        </w:rPr>
      </w:r>
      <w:r>
        <w:rPr>
          <w:lang w:val="en_US" w:bidi="en_US"/>
        </w:rPr>
        <w:t>the baby boy was circumcised;</w:t>
      </w:r>
    </w:p>
    <w:p>
      <w:pPr>
        <w:pStyle w:val="ListNumber"/>
        <w:spacing w:line="240" w:lineRule="auto"/>
        <w:ind w:left="720"/>
      </w:pPr>
      <w:r>
        <w:rPr>
          <w:lang w:val="en_US" w:bidi="en_US"/>
        </w:rPr>
      </w:r>
      <w:r>
        <w:rPr>
          <w:lang w:val="en_US" w:bidi="en_US"/>
        </w:rPr>
        <w:t>the mother was ritually purified;</w:t>
      </w:r>
    </w:p>
    <w:p>
      <w:pPr>
        <w:pStyle w:val="ListNumber"/>
        <w:spacing w:line="240" w:lineRule="auto"/>
        <w:ind w:left="720"/>
      </w:pPr>
      <w:r>
        <w:rPr>
          <w:lang w:val="en_US" w:bidi="en_US"/>
        </w:rPr>
      </w:r>
      <w:r>
        <w:rPr>
          <w:lang w:val="en_US" w:bidi="en_US"/>
        </w:rPr>
        <w:t>the baby boy was presented to God.</w:t>
      </w:r>
    </w:p>
    <w:p>
      <w:pPr/>
      <w:r>
        <w:rPr>
          <w:lang w:val="en_US" w:bidi="en_US"/>
        </w:rPr>
      </w:r>
      <w:r>
        <w:rPr>
          <w:lang w:val="en_US" w:bidi="en_US"/>
        </w:rPr>
        <w:t>In 2:25–38 Luke described two other events that happened while Joseph, Mary, and Jesus were at the temple in Jerusalem. God allowed two righteous people named Simeon and Anna to see Jesus and to thank God for him. Simeon spoke a prophecy about Jesus and Mary.</w:t>
      </w:r>
    </w:p>
    <w:p>
      <w:pPr/>
      <w:r>
        <w:rPr>
          <w:lang w:val="en_US" w:bidi="en_US"/>
        </w:rPr>
      </w:r>
      <w:r>
        <w:rPr>
          <w:lang w:val="en_US" w:bidi="en_US"/>
        </w:rP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Parents Obey Moses’ Teachings (GW)</w:t>
      </w:r>
    </w:p>
    <w:p>
      <w:pPr/>
      <w:r>
        <w:rPr>
          <w:lang w:val="en_US" w:bidi="en_US"/>
        </w:rPr>
      </w:r>
      <w:r>
        <w:rPr>
          <w:lang w:val="en_US" w:bidi="en_US"/>
        </w:rPr>
        <w:t>Jesus Presented at the Temple (NASB)</w:t>
      </w:r>
    </w:p>
    <w:p>
      <w:pPr/>
      <w:r>
        <w:rPr>
          <w:lang w:val="en_US" w:bidi="en_US"/>
        </w:rPr>
      </w:r>
      <w:r>
        <w:rPr>
          <w:lang w:val="en_US" w:bidi="en_US"/>
        </w:rPr>
        <w:t>Some English versions begin new sections at 2:25 and at 2:36. If you decide to do this in your translation, some possible headings are:</w:t>
      </w:r>
    </w:p>
    <w:p>
      <w:pPr/>
      <w:r>
        <w:rPr>
          <w:lang w:val="en_US" w:bidi="en_US"/>
        </w:rPr>
      </w:r>
      <w:r>
        <w:rPr>
          <w:lang w:val="en_US" w:bidi="en_US"/>
        </w:rPr>
        <w:t>Simeon saw Jesus and prophesied about him (2:25)</w:t>
      </w:r>
    </w:p>
    <w:p>
      <w:pPr/>
      <w:r>
        <w:rPr>
          <w:lang w:val="en_US" w:bidi="en_US"/>
        </w:rPr>
      </w:r>
      <w:r>
        <w:rPr>
          <w:lang w:val="en_US" w:bidi="en_US"/>
        </w:rPr>
        <w:t>Anna thanked God for Jesus and told others about him (2:36)</w:t>
      </w:r>
    </w:p>
    <w:p>
      <w:pPr/>
      <w:r>
        <w:rPr>
          <w:lang w:val="en_US" w:bidi="en_US"/>
        </w:rPr>
      </w:r>
      <w:r>
        <w:rPr>
          <w:lang w:val="en_US" w:bidi="en_US"/>
        </w:rPr>
        <w:t>Simeon’s Prophecy (2:25)</w:t>
      </w:r>
    </w:p>
    <w:p>
      <w:pPr/>
      <w:r>
        <w:rPr>
          <w:lang w:val="en_US" w:bidi="en_US"/>
        </w:rPr>
      </w:r>
      <w:r>
        <w:rPr>
          <w:lang w:val="en_US" w:bidi="en_US"/>
        </w:rPr>
        <w:t>Anna’s Prophecy (2:36)</w:t>
      </w:r>
    </w:p>
    <w:p>
      <w:pPr>
        <w:pStyle w:val="Heading5"/>
      </w:pPr>
      <w:r>
        <w:rPr>
          <w:lang w:val="en_US" w:bidi="en_US"/>
        </w:rPr>
        <w:t>2:34a</w:t>
      </w:r>
    </w:p>
    <w:p>
      <w:pPr/>
      <w:r>
        <w:rPr>
          <w:lang w:val="en_US" w:bidi="en_US"/>
        </w:rPr>
      </w:r>
      <w:r>
        <w:rPr>
          <w:b/>
          <w:lang w:val="en_US" w:bidi="en_US"/>
        </w:rPr>
        <w:t>Then Simeon blessed them and said to His mother Mary:</w:t>
      </w:r>
    </w:p>
    <w:p>
      <w:pPr>
        <w:pStyle w:val="ListBullet"/>
        <w:spacing w:line="240" w:lineRule="auto"/>
        <w:ind w:left="720"/>
      </w:pPr>
      <w:r>
        <w:rPr>
          <w:lang w:val="en_US" w:bidi="en_US"/>
        </w:rPr>
      </w:r>
      <w:r>
        <w:rPr>
          <w:lang w:val="en_US" w:bidi="en_US"/>
        </w:rPr>
        <w:t>Then Simeon blessed them,</w:t>
      </w:r>
      <w:r>
        <w:rPr>
          <w:vertAlign w:val="superscript"/>
          <w:lang w:val="en_US" w:bidi="en_US"/>
        </w:rPr>
        <w:t>(dual)</w:t>
      </w:r>
      <w:r>
        <w:rPr>
          <w:lang w:val="en_US" w:bidi="en_US"/>
        </w:rPr>
        <w:t xml:space="preserve"> and he also said to Jesus’ mother, Mary,</w:t>
      </w:r>
    </w:p>
    <w:p>
      <w:pPr>
        <w:pStyle w:val="ListBullet"/>
        <w:spacing w:line="240" w:lineRule="auto"/>
        <w:ind w:left="720"/>
      </w:pPr>
      <w:r>
        <w:rPr>
          <w:lang w:val="en_US" w:bidi="en_US"/>
        </w:rPr>
      </w:r>
      <w:r>
        <w:rPr>
          <w:lang w:val="en_US" w:bidi="en_US"/>
        </w:rPr>
        <w:t>Simeon invoked/spoke God’s blessing on Mary and Joseph. Then he said to Mary:</w:t>
      </w:r>
    </w:p>
    <w:p>
      <w:pPr/>
      <w:r>
        <w:rPr>
          <w:lang w:val="en_US" w:bidi="en_US"/>
        </w:rPr>
      </w:r>
      <w:r>
        <w:rPr>
          <w:b/>
          <w:lang w:val="en_US" w:bidi="en_US"/>
        </w:rPr>
        <w:t>Then Simeon blessed them and said to His mother Mary:</w:t>
      </w:r>
      <w:r>
        <w:rPr>
          <w:lang w:val="en_US" w:bidi="en_US"/>
        </w:rPr>
        <w:t xml:space="preserve"> There are two actions here:</w:t>
      </w:r>
    </w:p>
    <w:p>
      <w:pPr>
        <w:pStyle w:val="ListNumber"/>
        <w:numPr>
          <w:ilvl w:val="0"/>
          <w:numId w:val="53"/>
        </w:numPr>
        <w:spacing w:line="240" w:lineRule="auto"/>
        <w:ind w:left="720"/>
      </w:pPr>
      <w:r>
        <w:rPr>
          <w:lang w:val="en_US" w:bidi="en_US"/>
        </w:rPr>
      </w:r>
      <w:r>
        <w:rPr>
          <w:lang w:val="en_US" w:bidi="en_US"/>
        </w:rPr>
        <w:t>Simeon blessed them;</w:t>
      </w:r>
    </w:p>
    <w:p>
      <w:pPr>
        <w:pStyle w:val="ListNumber"/>
        <w:spacing w:line="240" w:lineRule="auto"/>
        <w:ind w:left="720"/>
      </w:pPr>
      <w:r>
        <w:rPr>
          <w:lang w:val="en_US" w:bidi="en_US"/>
        </w:rPr>
      </w:r>
      <w:r>
        <w:rPr>
          <w:lang w:val="en_US" w:bidi="en_US"/>
        </w:rPr>
        <w:t>Simeon talked to Mary.</w:t>
      </w:r>
    </w:p>
    <w:p>
      <w:pPr/>
      <w:r>
        <w:rPr>
          <w:lang w:val="en_US" w:bidi="en_US"/>
        </w:rPr>
      </w:r>
      <w:r>
        <w:rPr>
          <w:lang w:val="en_US" w:bidi="en_US"/>
        </w:rPr>
        <w:t>Notice that 2:34b–2:35b is the prophecy that Simeon spoke to Mary. It is not the content of the blessing. Luke did not record the words of the blessing. Use a natural way in your language to indicate that Simeon’s prophecy to Mary was separate from the blessing. One way to do this in English is:</w:t>
      </w:r>
    </w:p>
    <w:p>
      <w:pPr/>
      <w:r>
        <w:rPr>
          <w:lang w:val="en_US" w:bidi="en_US"/>
        </w:rPr>
      </w:r>
      <w:r>
        <w:rPr>
          <w:lang w:val="en_US" w:bidi="en_US"/>
        </w:rPr>
        <w:t xml:space="preserve">Simeon blessed them, and </w:t>
      </w:r>
      <w:r>
        <w:rPr>
          <w:u w:val="single"/>
          <w:lang w:val="en_US" w:bidi="en_US"/>
        </w:rPr>
        <w:t>then</w:t>
      </w:r>
      <w:r>
        <w:rPr>
          <w:lang w:val="en_US" w:bidi="en_US"/>
        </w:rPr>
        <w:t xml:space="preserve"> he said to Mary</w:t>
      </w:r>
    </w:p>
    <w:p>
      <w:pPr/>
      <w:r>
        <w:rPr>
          <w:lang w:val="en_US" w:bidi="en_US"/>
        </w:rPr>
      </w:r>
      <w:r>
        <w:rPr>
          <w:b/>
          <w:lang w:val="en_US" w:bidi="en_US"/>
        </w:rPr>
        <w:t>blessed:</w:t>
      </w:r>
      <w:r>
        <w:rPr>
          <w:lang w:val="en_US" w:bidi="en_US"/>
        </w:rPr>
        <w:t xml:space="preserve"> The word </w:t>
      </w:r>
      <w:r>
        <w:rPr>
          <w:i/>
          <w:lang w:val="en_US" w:bidi="en_US"/>
        </w:rPr>
        <w:t>blessed</w:t>
      </w:r>
      <w:r>
        <w:rPr>
          <w:lang w:val="en_US" w:bidi="en_US"/>
        </w:rPr>
        <w:t xml:space="preserve"> means to ask God to “do good to someone” or “favor someone.” See bless, Meaning 2, in the Glossary.</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Mary and Joseph.</w:t>
      </w:r>
    </w:p>
    <w:p>
      <w:pPr>
        <w:pStyle w:val="Heading5"/>
      </w:pPr>
      <w:r>
        <w:rPr>
          <w:lang w:val="en_US" w:bidi="en_US"/>
        </w:rPr>
        <w:t>2:34b</w:t>
      </w:r>
    </w:p>
    <w:p>
      <w:pPr/>
      <w:r>
        <w:rPr>
          <w:lang w:val="en_US" w:bidi="en_US"/>
        </w:rPr>
      </w:r>
      <w:r>
        <w:rPr>
          <w:b/>
          <w:lang w:val="en_US" w:bidi="en_US"/>
        </w:rPr>
        <w:t>“Behold, this Child is appointed to cause the rise and fall of many in Israel,</w:t>
      </w:r>
    </w:p>
    <w:p>
      <w:pPr>
        <w:pStyle w:val="ListBullet"/>
        <w:spacing w:line="240" w:lineRule="auto"/>
        <w:ind w:left="720"/>
      </w:pPr>
      <w:r>
        <w:rPr>
          <w:lang w:val="en_US" w:bidi="en_US"/>
        </w:rPr>
      </w:r>
      <w:r>
        <w:rPr>
          <w:lang w:val="en_US" w:bidi="en_US"/>
        </w:rPr>
        <w:t>“This child is destined to cause many people in Israel to fall and many others to rise.</w:t>
      </w:r>
    </w:p>
    <w:p>
      <w:pPr>
        <w:pStyle w:val="ListBullet"/>
        <w:spacing w:line="240" w:lineRule="auto"/>
        <w:ind w:left="720"/>
      </w:pPr>
      <w:r>
        <w:rPr>
          <w:lang w:val="en_US" w:bidi="en_US"/>
        </w:rPr>
      </w:r>
      <w:r>
        <w:rPr>
          <w:lang w:val="en_US" w:bidi="en_US"/>
        </w:rPr>
        <w:t>“</w:t>
      </w:r>
      <w:r>
        <w:rPr>
          <w:lang w:val="en_US" w:bidi="en_US"/>
        </w:rPr>
        <w:t>God</w:t>
      </w:r>
      <w:r>
        <w:rPr>
          <w:lang w:val="en_US" w:bidi="en_US"/>
        </w:rPr>
        <w:t xml:space="preserve"> has planned for this child to cause many people in Israel to be destroyed and many others to be saved.</w:t>
      </w:r>
    </w:p>
    <w:p>
      <w:pPr>
        <w:pStyle w:val="ListBullet"/>
        <w:spacing w:line="240" w:lineRule="auto"/>
        <w:ind w:left="720"/>
      </w:pPr>
      <w:r>
        <w:rPr>
          <w:lang w:val="en_US" w:bidi="en_US"/>
        </w:rPr>
      </w:r>
      <w:r>
        <w:rPr>
          <w:lang w:val="en_US" w:bidi="en_US"/>
        </w:rPr>
        <w:t xml:space="preserve">“Because of this child </w:t>
      </w:r>
      <w:r>
        <w:rPr>
          <w:lang w:val="en_US" w:bidi="en_US"/>
        </w:rPr>
        <w:t>that God has appointed</w:t>
      </w:r>
      <w:r>
        <w:rPr>
          <w:lang w:val="en_US" w:bidi="en_US"/>
        </w:rPr>
        <w:t xml:space="preserve">, </w:t>
      </w:r>
      <w:r>
        <w:rPr>
          <w:lang w:val="en_US" w:bidi="en_US"/>
        </w:rPr>
        <w:t>God</w:t>
      </w:r>
      <w:r>
        <w:rPr>
          <w:lang w:val="en_US" w:bidi="en_US"/>
        </w:rPr>
        <w:t xml:space="preserve"> will condemn/destroy many people in Israel, and </w:t>
      </w:r>
      <w:r>
        <w:rPr>
          <w:lang w:val="en_US" w:bidi="en_US"/>
        </w:rPr>
        <w:t>he</w:t>
      </w:r>
      <w:r>
        <w:rPr>
          <w:lang w:val="en_US" w:bidi="en_US"/>
        </w:rPr>
        <w:t xml:space="preserve"> will save many other people in Israel.</w:t>
      </w:r>
    </w:p>
    <w:p>
      <w:pPr/>
      <w:r>
        <w:rPr>
          <w:lang w:val="en_US" w:bidi="en_US"/>
        </w:rPr>
      </w:r>
      <w:r>
        <w:rPr>
          <w:b/>
          <w:lang w:val="en_US" w:bidi="en_US"/>
        </w:rPr>
        <w:t>Behold:</w:t>
      </w:r>
      <w:r>
        <w:rPr>
          <w:lang w:val="en_US" w:bidi="en_US"/>
        </w:rPr>
        <w:t xml:space="preserve"> The word that the BSB translates here as </w:t>
      </w:r>
      <w:r>
        <w:rPr>
          <w:i/>
          <w:lang w:val="en_US" w:bidi="en_US"/>
        </w:rPr>
        <w:t>Behold</w:t>
      </w:r>
      <w:r>
        <w:rPr>
          <w:lang w:val="en_US" w:bidi="en_US"/>
        </w:rPr>
        <w:t xml:space="preserve"> is the same word that it translates as “now” in 1:20, as “Behold” in 1:31, and as “Look” in 1:36. Some English versions do not explicitly translate the word. Decide what would be most natural to do in your language.</w:t>
      </w:r>
    </w:p>
    <w:p>
      <w:pPr/>
      <w:r>
        <w:rPr>
          <w:lang w:val="en_US" w:bidi="en_US"/>
        </w:rPr>
      </w:r>
      <w:r>
        <w:rPr>
          <w:b/>
          <w:lang w:val="en_US" w:bidi="en_US"/>
        </w:rPr>
        <w:t>this Child is appointed to cause:</w:t>
      </w:r>
      <w:r>
        <w:rPr>
          <w:lang w:val="en_US" w:bidi="en_US"/>
        </w:rPr>
        <w:t xml:space="preserve"> The phrase </w:t>
      </w:r>
      <w:r>
        <w:rPr>
          <w:i/>
          <w:lang w:val="en_US" w:bidi="en_US"/>
        </w:rPr>
        <w:t>appointed to cause</w:t>
      </w:r>
      <w:r>
        <w:rPr>
          <w:lang w:val="en_US" w:bidi="en_US"/>
        </w:rPr>
        <w:t xml:space="preserve"> indicates here that God had planned for Jesus to cause the things described in 2:34b to happen. Jesus would fulfill God’s plan. Some other ways to translate this are:</w:t>
      </w:r>
    </w:p>
    <w:p>
      <w:pPr/>
      <w:r>
        <w:rPr>
          <w:lang w:val="en_US" w:bidi="en_US"/>
        </w:rPr>
      </w:r>
      <w:r>
        <w:rPr>
          <w:lang w:val="en_US" w:bidi="en_US"/>
        </w:rPr>
        <w:t>This child is destined to cause</w:t>
      </w:r>
    </w:p>
    <w:p>
      <w:pPr/>
      <w:r>
        <w:rPr>
          <w:lang w:val="en_US" w:bidi="en_US"/>
        </w:rPr>
      </w:r>
      <w:r>
        <w:rPr>
          <w:lang w:val="en_US" w:bidi="en_US"/>
        </w:rPr>
        <w:t>God</w:t>
      </w:r>
      <w:r>
        <w:rPr>
          <w:lang w:val="en_US" w:bidi="en_US"/>
        </w:rPr>
        <w:t xml:space="preserve"> has planned for this child to cause</w:t>
      </w:r>
    </w:p>
    <w:p>
      <w:pPr/>
      <w:r>
        <w:rPr>
          <w:lang w:val="en_US" w:bidi="en_US"/>
        </w:rPr>
      </w:r>
      <w:r>
        <w:rPr>
          <w:b/>
          <w:lang w:val="en_US" w:bidi="en_US"/>
        </w:rPr>
        <w:t>the rise and fall of many in Israel:</w:t>
      </w:r>
      <w:r>
        <w:rPr>
          <w:lang w:val="en_US" w:bidi="en_US"/>
        </w:rPr>
        <w:t xml:space="preserve"> The phrase </w:t>
      </w:r>
      <w:r>
        <w:rPr>
          <w:i/>
          <w:lang w:val="en_US" w:bidi="en_US"/>
        </w:rPr>
        <w:t>the rise and fall of many in Israel</w:t>
      </w:r>
      <w:r>
        <w:rPr>
          <w:lang w:val="en_US" w:bidi="en_US"/>
        </w:rPr>
        <w:t>, literally “the falling and rising of many in Israel,” refers to what will happen to two groups of people in Israel. One group will fall, and another group will rise. In this context, it indicates that Jesus will cause one group to fall and he will cause the other group to rise.</w:t>
      </w:r>
    </w:p>
    <w:p>
      <w:pPr/>
      <w:r>
        <w:rPr>
          <w:lang w:val="en_US" w:bidi="en_US"/>
        </w:rPr>
      </w:r>
      <w:r>
        <w:rPr>
          <w:lang w:val="en_US" w:bidi="en_US"/>
        </w:rPr>
        <w:t xml:space="preserve">In some languages, it may be more natural to reverse the order of the words </w:t>
      </w:r>
      <w:r>
        <w:rPr>
          <w:i/>
          <w:lang w:val="en_US" w:bidi="en_US"/>
        </w:rPr>
        <w:t>fall</w:t>
      </w:r>
      <w:r>
        <w:rPr>
          <w:lang w:val="en_US" w:bidi="en_US"/>
        </w:rPr>
        <w:t xml:space="preserve"> and </w:t>
      </w:r>
      <w:r>
        <w:rPr>
          <w:i/>
          <w:lang w:val="en_US" w:bidi="en_US"/>
        </w:rPr>
        <w:t>rise</w:t>
      </w:r>
      <w:r>
        <w:rPr>
          <w:lang w:val="en_US" w:bidi="en_US"/>
        </w:rPr>
        <w:t>. For example:</w:t>
      </w:r>
    </w:p>
    <w:p>
      <w:pPr/>
      <w:r>
        <w:rPr>
          <w:lang w:val="en_US" w:bidi="en_US"/>
        </w:rPr>
      </w:r>
      <w:r>
        <w:rPr>
          <w:lang w:val="en_US" w:bidi="en_US"/>
        </w:rPr>
        <w:t>for the rise of many in Israel and the fall of many others</w:t>
      </w:r>
    </w:p>
    <w:p>
      <w:pPr/>
      <w:r>
        <w:rPr>
          <w:lang w:val="en_US" w:bidi="en_US"/>
        </w:rPr>
      </w:r>
      <w:r>
        <w:rPr>
          <w:b/>
          <w:lang w:val="en_US" w:bidi="en_US"/>
        </w:rPr>
        <w:t>the rise:</w:t>
      </w:r>
      <w:r>
        <w:rPr>
          <w:lang w:val="en_US" w:bidi="en_US"/>
        </w:rPr>
        <w:t xml:space="preserve"> The word </w:t>
      </w:r>
      <w:r>
        <w:rPr>
          <w:i/>
          <w:lang w:val="en_US" w:bidi="en_US"/>
        </w:rPr>
        <w:t>rise</w:t>
      </w:r>
      <w:r>
        <w:rPr>
          <w:lang w:val="en_US" w:bidi="en_US"/>
        </w:rPr>
        <w:t xml:space="preserve"> is used as a figure of speech here. It refers to being blessed or saved. This is what would happen to people who accepted Jesus as the Christ/Messiah. Because they believed Jesus, God would bless and save them and allow them to share his glory.</w:t>
      </w:r>
    </w:p>
    <w:p>
      <w:pPr/>
      <w:r>
        <w:rPr>
          <w:lang w:val="en_US" w:bidi="en_US"/>
        </w:rPr>
      </w:r>
      <w:r>
        <w:rPr>
          <w:lang w:val="en_US" w:bidi="en_US"/>
        </w:rPr>
        <w:t xml:space="preserve">In some languages, a literal translation of this figure of speech would communicate a wrong meaning. If this is true in your language, you should translate the meaning without the figure of speech. For example, some other ways to translate the word </w:t>
      </w:r>
      <w:r>
        <w:rPr>
          <w:i/>
          <w:lang w:val="en_US" w:bidi="en_US"/>
        </w:rPr>
        <w:t>rise</w:t>
      </w:r>
      <w:r>
        <w:rPr>
          <w:lang w:val="en_US" w:bidi="en_US"/>
        </w:rPr>
        <w:t xml:space="preserve"> here are:</w:t>
      </w:r>
    </w:p>
    <w:p>
      <w:pPr/>
      <w:r>
        <w:rPr>
          <w:lang w:val="en_US" w:bidi="en_US"/>
        </w:rPr>
      </w:r>
      <w:r>
        <w:rPr>
          <w:lang w:val="en_US" w:bidi="en_US"/>
        </w:rPr>
        <w:t>will be saved (GW)</w:t>
      </w:r>
    </w:p>
    <w:p>
      <w:pPr/>
      <w:r>
        <w:rPr>
          <w:lang w:val="en_US" w:bidi="en_US"/>
        </w:rPr>
      </w:r>
      <w:r>
        <w:rPr>
          <w:lang w:val="en_US" w:bidi="en_US"/>
        </w:rPr>
        <w:t>blessing</w:t>
      </w:r>
    </w:p>
    <w:p>
      <w:pPr/>
      <w:r>
        <w:rPr>
          <w:lang w:val="en_US" w:bidi="en_US"/>
        </w:rPr>
      </w:r>
      <w:r>
        <w:rPr>
          <w:b/>
          <w:lang w:val="en_US" w:bidi="en_US"/>
        </w:rPr>
        <w:t>fall:</w:t>
      </w:r>
      <w:r>
        <w:rPr>
          <w:lang w:val="en_US" w:bidi="en_US"/>
        </w:rPr>
        <w:t xml:space="preserve"> The word </w:t>
      </w:r>
      <w:r>
        <w:rPr>
          <w:i/>
          <w:lang w:val="en_US" w:bidi="en_US"/>
        </w:rPr>
        <w:t>fall</w:t>
      </w:r>
      <w:r>
        <w:rPr>
          <w:lang w:val="en_US" w:bidi="en_US"/>
        </w:rPr>
        <w:t xml:space="preserve"> is also used as a figure of speech here. It refers to being condemned or destroyed. This is what would happen to people who refused to believe that Jesus is the Christ/Messiah. Because they refuse to believe Jesus, God will judge, condemn, or destroy these people.</w:t>
      </w:r>
    </w:p>
    <w:p>
      <w:pPr/>
      <w:r>
        <w:rPr>
          <w:lang w:val="en_US" w:bidi="en_US"/>
        </w:rPr>
      </w:r>
      <w:r>
        <w:rPr>
          <w:lang w:val="en_US" w:bidi="en_US"/>
        </w:rPr>
        <w:t xml:space="preserve">In some languages, a literal translation of this figure of speech will communicate a wrong meaning. If this is true in your language, you should translate the meaning without the figure of speech. For example, some other ways to translate the word </w:t>
      </w:r>
      <w:r>
        <w:rPr>
          <w:i/>
          <w:lang w:val="en_US" w:bidi="en_US"/>
        </w:rPr>
        <w:t>fall</w:t>
      </w:r>
      <w:r>
        <w:rPr>
          <w:lang w:val="en_US" w:bidi="en_US"/>
        </w:rPr>
        <w:t xml:space="preserve"> here are:</w:t>
      </w:r>
    </w:p>
    <w:p>
      <w:pPr/>
      <w:r>
        <w:rPr>
          <w:lang w:val="en_US" w:bidi="en_US"/>
        </w:rPr>
      </w:r>
      <w:r>
        <w:rPr>
          <w:lang w:val="en_US" w:bidi="en_US"/>
        </w:rPr>
        <w:t>destruction (GNT)</w:t>
      </w:r>
    </w:p>
    <w:p>
      <w:pPr/>
      <w:r>
        <w:rPr>
          <w:lang w:val="en_US" w:bidi="en_US"/>
        </w:rPr>
      </w:r>
      <w:r>
        <w:rPr>
          <w:lang w:val="en_US" w:bidi="en_US"/>
        </w:rPr>
        <w:t>will be condemned (GW)</w:t>
      </w:r>
    </w:p>
    <w:p>
      <w:pPr>
        <w:pStyle w:val="Heading5"/>
      </w:pPr>
      <w:r>
        <w:rPr>
          <w:lang w:val="en_US" w:bidi="en_US"/>
        </w:rPr>
        <w:t>2:34c–35b</w:t>
      </w:r>
    </w:p>
    <w:p>
      <w:pPr/>
      <w:r>
        <w:rPr>
          <w:lang w:val="en_US" w:bidi="en_US"/>
        </w:rPr>
      </w:r>
      <w:r>
        <w:rPr>
          <w:lang w:val="en_US" w:bidi="en_US"/>
        </w:rPr>
        <w:t>In the Greek text, 2:34c and 2:35b are connected. Some Bibles, including the BSB, NIV, GNT, and NRSV, change the Greek order of the clauses in 2:35a and 2:35b so that 2:35b will immediately follow 2:34c. Other versions, such as the NASB, RSV, and ESV, follow the Greek order. Compare the order of the clauses in the RSV and NIV below:</w:t>
      </w:r>
    </w:p>
    <w:p>
      <w:pPr/>
      <w:r>
        <w:rPr>
          <w:lang w:val="en_US" w:bidi="en_US"/>
        </w:rPr>
      </w:r>
      <w:r>
        <w:rPr>
          <w:vertAlign w:val="superscript"/>
          <w:lang w:val="en_US" w:bidi="en_US"/>
        </w:rPr>
        <w:t>34c</w:t>
      </w:r>
      <w:r>
        <w:rPr>
          <w:lang w:val="en_US" w:bidi="en_US"/>
        </w:rPr>
        <w:t>and for a sign that is spoken against</w:t>
      </w:r>
    </w:p>
    <w:p>
      <w:pPr/>
      <w:r>
        <w:rPr>
          <w:lang w:val="en_US" w:bidi="en_US"/>
        </w:rPr>
      </w:r>
      <w:r>
        <w:rPr>
          <w:vertAlign w:val="superscript"/>
          <w:lang w:val="en_US" w:bidi="en_US"/>
        </w:rPr>
        <w:t>35b</w:t>
      </w:r>
      <w:r>
        <w:rPr>
          <w:lang w:val="en_US" w:bidi="en_US"/>
        </w:rPr>
        <w:t>(and a sword will pierce through your own soul also),</w:t>
      </w:r>
    </w:p>
    <w:p>
      <w:pPr/>
      <w:r>
        <w:rPr>
          <w:lang w:val="en_US" w:bidi="en_US"/>
        </w:rPr>
      </w:r>
      <w:r>
        <w:rPr>
          <w:vertAlign w:val="superscript"/>
          <w:lang w:val="en_US" w:bidi="en_US"/>
        </w:rPr>
        <w:t>35a</w:t>
      </w:r>
      <w:r>
        <w:rPr>
          <w:lang w:val="en_US" w:bidi="en_US"/>
        </w:rPr>
        <w:t>that thoughts out of many hearts may be revealed. (RSV)</w:t>
      </w:r>
    </w:p>
    <w:p>
      <w:pPr/>
      <w:r>
        <w:rPr>
          <w:lang w:val="en_US" w:bidi="en_US"/>
        </w:rPr>
      </w:r>
      <w:r>
        <w:rPr>
          <w:vertAlign w:val="superscript"/>
          <w:lang w:val="en_US" w:bidi="en_US"/>
        </w:rPr>
        <w:t>34c</w:t>
      </w:r>
      <w:r>
        <w:rPr>
          <w:lang w:val="en_US" w:bidi="en_US"/>
        </w:rPr>
        <w:t>and to be a sign that will be spoken against</w:t>
      </w:r>
    </w:p>
    <w:p>
      <w:pPr/>
      <w:r>
        <w:rPr>
          <w:lang w:val="en_US" w:bidi="en_US"/>
        </w:rPr>
      </w:r>
      <w:r>
        <w:rPr>
          <w:vertAlign w:val="superscript"/>
          <w:lang w:val="en_US" w:bidi="en_US"/>
        </w:rPr>
        <w:t>35a</w:t>
      </w:r>
      <w:r>
        <w:rPr>
          <w:lang w:val="en_US" w:bidi="en_US"/>
        </w:rPr>
        <w:t>so that the thoughts of many hearts will be revealed.</w:t>
      </w:r>
    </w:p>
    <w:p>
      <w:pPr/>
      <w:r>
        <w:rPr>
          <w:lang w:val="en_US" w:bidi="en_US"/>
        </w:rPr>
      </w:r>
      <w:r>
        <w:rPr>
          <w:vertAlign w:val="superscript"/>
          <w:lang w:val="en_US" w:bidi="en_US"/>
        </w:rPr>
        <w:t>35b</w:t>
      </w:r>
      <w:r>
        <w:rPr>
          <w:lang w:val="en_US" w:bidi="en_US"/>
        </w:rPr>
        <w:t>And a sword will pierce your own soul too. (NIV)</w:t>
      </w:r>
    </w:p>
    <w:p>
      <w:pPr/>
      <w:r>
        <w:rPr>
          <w:lang w:val="en_US" w:bidi="en_US"/>
        </w:rPr>
      </w:r>
      <w:r>
        <w:rPr>
          <w:lang w:val="en_US" w:bidi="en_US"/>
        </w:rPr>
        <w:t>You should use the order that expresses the meaning in a clear and natural way in your language.</w:t>
      </w:r>
    </w:p>
    <w:p>
      <w:pPr>
        <w:pStyle w:val="Heading5"/>
      </w:pPr>
      <w:r>
        <w:rPr>
          <w:lang w:val="en_US" w:bidi="en_US"/>
        </w:rPr>
        <w:t>2:34c</w:t>
      </w:r>
    </w:p>
    <w:p>
      <w:pPr/>
      <w:r>
        <w:rPr>
          <w:lang w:val="en_US" w:bidi="en_US"/>
        </w:rPr>
      </w:r>
      <w:r>
        <w:rPr>
          <w:b/>
          <w:lang w:val="en_US" w:bidi="en_US"/>
        </w:rPr>
        <w:t>and to be a sign that will be spoken against,</w:t>
      </w:r>
    </w:p>
    <w:p>
      <w:pPr>
        <w:pStyle w:val="ListBullet"/>
        <w:spacing w:line="240" w:lineRule="auto"/>
        <w:ind w:left="720"/>
      </w:pPr>
      <w:r>
        <w:rPr>
          <w:lang w:val="en_US" w:bidi="en_US"/>
        </w:rPr>
      </w:r>
      <w:r>
        <w:rPr>
          <w:lang w:val="en_US" w:bidi="en_US"/>
        </w:rPr>
        <w:t>This child is like</w:t>
      </w:r>
      <w:r>
        <w:rPr>
          <w:lang w:val="en_US" w:bidi="en_US"/>
        </w:rPr>
        <w:t xml:space="preserve"> a sign </w:t>
      </w:r>
      <w:r>
        <w:rPr>
          <w:lang w:val="en_US" w:bidi="en_US"/>
        </w:rPr>
        <w:t>from God</w:t>
      </w:r>
      <w:r>
        <w:rPr>
          <w:lang w:val="en_US" w:bidi="en_US"/>
        </w:rPr>
        <w:t xml:space="preserve">. </w:t>
      </w:r>
      <w:r>
        <w:rPr>
          <w:lang w:val="en_US" w:bidi="en_US"/>
        </w:rPr>
        <w:t>Many people</w:t>
      </w:r>
      <w:r>
        <w:rPr>
          <w:lang w:val="en_US" w:bidi="en_US"/>
        </w:rPr>
        <w:t xml:space="preserve"> will speak against him/it.</w:t>
      </w:r>
    </w:p>
    <w:p>
      <w:pPr>
        <w:pStyle w:val="ListBullet"/>
        <w:spacing w:line="240" w:lineRule="auto"/>
        <w:ind w:left="720"/>
      </w:pPr>
      <w:r>
        <w:rPr>
          <w:lang w:val="en_US" w:bidi="en_US"/>
        </w:rPr>
      </w:r>
      <w:r>
        <w:rPr>
          <w:lang w:val="en_US" w:bidi="en_US"/>
        </w:rPr>
        <w:t>God also planned for this child</w:t>
      </w:r>
      <w:r>
        <w:rPr>
          <w:lang w:val="en_US" w:bidi="en_US"/>
        </w:rPr>
        <w:t xml:space="preserve"> to indicate/show </w:t>
      </w:r>
      <w:r>
        <w:rPr>
          <w:lang w:val="en_US" w:bidi="en_US"/>
        </w:rPr>
        <w:t>his/God’s plan/work,</w:t>
      </w:r>
      <w:r>
        <w:rPr>
          <w:lang w:val="en_US" w:bidi="en_US"/>
        </w:rPr>
        <w:t xml:space="preserve"> and </w:t>
      </w:r>
      <w:r>
        <w:rPr>
          <w:lang w:val="en_US" w:bidi="en_US"/>
        </w:rPr>
        <w:t>many people</w:t>
      </w:r>
      <w:r>
        <w:rPr>
          <w:lang w:val="en_US" w:bidi="en_US"/>
        </w:rPr>
        <w:t xml:space="preserve"> will oppose/reject </w:t>
      </w:r>
      <w:r>
        <w:rPr>
          <w:lang w:val="en_US" w:bidi="en_US"/>
        </w:rPr>
        <w:t>him</w:t>
      </w:r>
      <w:r>
        <w:rPr>
          <w:lang w:val="en_US" w:bidi="en_US"/>
        </w:rPr>
        <w:t>.</w:t>
      </w:r>
    </w:p>
    <w:p>
      <w:pPr/>
      <w:r>
        <w:rPr>
          <w:lang w:val="en_US" w:bidi="en_US"/>
        </w:rPr>
      </w:r>
      <w:r>
        <w:rPr>
          <w:b/>
          <w:lang w:val="en_US" w:bidi="en_US"/>
        </w:rPr>
        <w:t>and to be a sign:</w:t>
      </w:r>
      <w:r>
        <w:rPr>
          <w:lang w:val="en_US" w:bidi="en_US"/>
        </w:rPr>
        <w:t xml:space="preserve"> The phrase </w:t>
      </w:r>
      <w:r>
        <w:rPr>
          <w:i/>
          <w:lang w:val="en_US" w:bidi="en_US"/>
        </w:rPr>
        <w:t>to be a sign</w:t>
      </w:r>
      <w:r>
        <w:rPr>
          <w:lang w:val="en_US" w:bidi="en_US"/>
        </w:rPr>
        <w:t xml:space="preserve"> is a second thing that Simeon said to Mary about God’s plan for Jesus. Jesus would also be a sign to people. In some languages, you may need to repeat some information from 2:34b. For example:</w:t>
      </w:r>
    </w:p>
    <w:p>
      <w:pPr/>
      <w:r>
        <w:rPr>
          <w:lang w:val="en_US" w:bidi="en_US"/>
        </w:rPr>
      </w:r>
      <w:r>
        <w:rPr>
          <w:lang w:val="en_US" w:bidi="en_US"/>
        </w:rPr>
        <w:t>God also appointed him</w:t>
      </w:r>
      <w:r>
        <w:rPr>
          <w:lang w:val="en_US" w:bidi="en_US"/>
        </w:rPr>
        <w:t xml:space="preserve"> to be a sign</w:t>
      </w:r>
    </w:p>
    <w:p>
      <w:pPr/>
      <w:r>
        <w:rPr>
          <w:lang w:val="en_US" w:bidi="en_US"/>
        </w:rPr>
      </w:r>
      <w:r>
        <w:rPr>
          <w:lang w:val="en_US" w:bidi="en_US"/>
        </w:rPr>
        <w:t xml:space="preserve">He will be a sign </w:t>
      </w:r>
      <w:r>
        <w:rPr>
          <w:u w:val="single"/>
          <w:lang w:val="en_US" w:bidi="en_US"/>
        </w:rPr>
        <w:t>from God</w:t>
      </w:r>
      <w:r>
        <w:rPr>
          <w:lang w:val="en_US" w:bidi="en_US"/>
        </w:rPr>
        <w:t xml:space="preserve"> (GNT)</w:t>
      </w:r>
    </w:p>
    <w:p>
      <w:pPr/>
      <w:r>
        <w:rPr>
          <w:lang w:val="en_US" w:bidi="en_US"/>
        </w:rPr>
      </w:r>
      <w:r>
        <w:rPr>
          <w:lang w:val="en_US" w:bidi="en_US"/>
        </w:rPr>
        <w:t>Connect this part of the verse to the context in a natural way in your language.</w:t>
      </w:r>
    </w:p>
    <w:p>
      <w:pPr/>
      <w:r>
        <w:rPr>
          <w:lang w:val="en_US" w:bidi="en_US"/>
        </w:rPr>
      </w:r>
      <w:r>
        <w:rPr>
          <w:b/>
          <w:lang w:val="en_US" w:bidi="en_US"/>
        </w:rPr>
        <w:t>a sign:</w:t>
      </w:r>
      <w:r>
        <w:rPr>
          <w:lang w:val="en_US" w:bidi="en_US"/>
        </w:rPr>
        <w:t xml:space="preserve"> Jesus was like a </w:t>
      </w:r>
      <w:r>
        <w:rPr>
          <w:i/>
          <w:lang w:val="en_US" w:bidi="en_US"/>
        </w:rPr>
        <w:t>sign</w:t>
      </w:r>
      <w:r>
        <w:rPr>
          <w:lang w:val="en_US" w:bidi="en_US"/>
        </w:rPr>
        <w:t xml:space="preserve"> or symbol that indicated that God was beginning to fulfill his promises to Israel.</w:t>
      </w:r>
    </w:p>
    <w:p>
      <w:pPr/>
      <w:r>
        <w:rPr>
          <w:lang w:val="en_US" w:bidi="en_US"/>
        </w:rPr>
      </w:r>
      <w:r>
        <w:rPr>
          <w:lang w:val="en_US" w:bidi="en_US"/>
        </w:rPr>
        <w:t xml:space="preserve">If you need to translate </w:t>
      </w:r>
      <w:r>
        <w:rPr>
          <w:i/>
          <w:lang w:val="en_US" w:bidi="en_US"/>
        </w:rPr>
        <w:t>sign</w:t>
      </w:r>
      <w:r>
        <w:rPr>
          <w:lang w:val="en_US" w:bidi="en_US"/>
        </w:rPr>
        <w:t xml:space="preserve"> as a verb, one possibility is:</w:t>
      </w:r>
    </w:p>
    <w:p>
      <w:pPr/>
      <w:r>
        <w:rPr>
          <w:lang w:val="en_US" w:bidi="en_US"/>
        </w:rPr>
      </w:r>
      <w:r>
        <w:rPr>
          <w:lang w:val="en_US" w:bidi="en_US"/>
        </w:rPr>
        <w:t xml:space="preserve">he will indicate/show </w:t>
      </w:r>
      <w:r>
        <w:rPr>
          <w:lang w:val="en_US" w:bidi="en_US"/>
        </w:rPr>
        <w:t>God’s plan</w:t>
      </w:r>
    </w:p>
    <w:p>
      <w:pPr/>
      <w:r>
        <w:rPr>
          <w:lang w:val="en_US" w:bidi="en_US"/>
        </w:rPr>
      </w:r>
      <w:r>
        <w:rPr>
          <w:b/>
          <w:lang w:val="en_US" w:bidi="en_US"/>
        </w:rPr>
        <w:t>that will be spoken against:</w:t>
      </w:r>
      <w:r>
        <w:rPr>
          <w:lang w:val="en_US" w:bidi="en_US"/>
        </w:rPr>
        <w:t xml:space="preserve"> The Greek word that the BSB translates here as </w:t>
      </w:r>
      <w:r>
        <w:rPr>
          <w:i/>
          <w:lang w:val="en_US" w:bidi="en_US"/>
        </w:rPr>
        <w:t>spoken against</w:t>
      </w:r>
      <w:r>
        <w:rPr>
          <w:lang w:val="en_US" w:bidi="en_US"/>
        </w:rPr>
        <w:t xml:space="preserve"> also means “to oppose.” Jesus would be a sign that many people would “oppose” or “speak against.”</w:t>
      </w:r>
      <w:r>
        <w:rPr>
          <w:lang w:val="en_US" w:bidi="en_US"/>
        </w:rPr>
      </w:r>
      <w:r>
        <w:rPr>
          <w:lang w:val="en_US" w:bidi="en_US"/>
        </w:rPr>
      </w:r>
    </w:p>
    <w:p>
      <w:pPr/>
      <w:r>
        <w:rPr>
          <w:lang w:val="en_US" w:bidi="en_US"/>
        </w:rPr>
      </w:r>
    </w:p>
    <w:p>
      <w:pPr>
        <w:pStyle w:val="Heading2"/>
      </w:pPr>
      <w:r>
        <w:rPr>
          <w:lang w:val="en_US" w:bidi="en_US"/>
        </w:rPr>
        <w:t>Luke 2:35</w:t>
      </w:r>
      <w:r>
        <w:rPr>
          <w:lang w:val="en_US" w:bidi="en_US"/>
        </w:rPr>
      </w:r>
    </w:p>
    <w:p>
      <w:pPr>
        <w:pStyle w:val="Heading4"/>
      </w:pPr>
      <w:r>
        <w:rPr>
          <w:lang w:val="en_US" w:bidi="en_US"/>
        </w:rPr>
        <w:t>Section 2:21–40: The baby Jesus at the temple</w:t>
      </w:r>
    </w:p>
    <w:p>
      <w:pPr/>
      <w:r>
        <w:rPr>
          <w:lang w:val="en_US" w:bidi="en_US"/>
        </w:rPr>
      </w:r>
      <w:r>
        <w:rPr>
          <w:lang w:val="en_US" w:bidi="en_US"/>
        </w:rPr>
        <w:t>The events in this section happened some days after Jesus was born.</w:t>
      </w:r>
    </w:p>
    <w:p>
      <w:pPr/>
      <w:r>
        <w:rPr>
          <w:lang w:val="en_US" w:bidi="en_US"/>
        </w:rPr>
      </w:r>
      <w:r>
        <w:rPr>
          <w:lang w:val="en_US" w:bidi="en_US"/>
        </w:rPr>
        <w:t>In 2:21–24, Luke mentioned three ceremonies that were done when Jewish boys were born:</w:t>
      </w:r>
    </w:p>
    <w:p>
      <w:pPr>
        <w:pStyle w:val="ListNumber"/>
        <w:numPr>
          <w:ilvl w:val="0"/>
          <w:numId w:val="54"/>
        </w:numPr>
        <w:spacing w:line="240" w:lineRule="auto"/>
        <w:ind w:left="720"/>
      </w:pPr>
      <w:r>
        <w:rPr>
          <w:lang w:val="en_US" w:bidi="en_US"/>
        </w:rPr>
      </w:r>
      <w:r>
        <w:rPr>
          <w:lang w:val="en_US" w:bidi="en_US"/>
        </w:rPr>
        <w:t>the baby boy was circumcised;</w:t>
      </w:r>
    </w:p>
    <w:p>
      <w:pPr>
        <w:pStyle w:val="ListNumber"/>
        <w:spacing w:line="240" w:lineRule="auto"/>
        <w:ind w:left="720"/>
      </w:pPr>
      <w:r>
        <w:rPr>
          <w:lang w:val="en_US" w:bidi="en_US"/>
        </w:rPr>
      </w:r>
      <w:r>
        <w:rPr>
          <w:lang w:val="en_US" w:bidi="en_US"/>
        </w:rPr>
        <w:t>the mother was ritually purified;</w:t>
      </w:r>
    </w:p>
    <w:p>
      <w:pPr>
        <w:pStyle w:val="ListNumber"/>
        <w:spacing w:line="240" w:lineRule="auto"/>
        <w:ind w:left="720"/>
      </w:pPr>
      <w:r>
        <w:rPr>
          <w:lang w:val="en_US" w:bidi="en_US"/>
        </w:rPr>
      </w:r>
      <w:r>
        <w:rPr>
          <w:lang w:val="en_US" w:bidi="en_US"/>
        </w:rPr>
        <w:t>the baby boy was presented to God.</w:t>
      </w:r>
    </w:p>
    <w:p>
      <w:pPr/>
      <w:r>
        <w:rPr>
          <w:lang w:val="en_US" w:bidi="en_US"/>
        </w:rPr>
      </w:r>
      <w:r>
        <w:rPr>
          <w:lang w:val="en_US" w:bidi="en_US"/>
        </w:rPr>
        <w:t>In 2:25–38 Luke described two other events that happened while Joseph, Mary, and Jesus were at the temple in Jerusalem. God allowed two righteous people named Simeon and Anna to see Jesus and to thank God for him. Simeon spoke a prophecy about Jesus and Mary.</w:t>
      </w:r>
    </w:p>
    <w:p>
      <w:pPr/>
      <w:r>
        <w:rPr>
          <w:lang w:val="en_US" w:bidi="en_US"/>
        </w:rPr>
      </w:r>
      <w:r>
        <w:rPr>
          <w:lang w:val="en_US" w:bidi="en_US"/>
        </w:rP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Parents Obey Moses’ Teachings (GW)</w:t>
      </w:r>
    </w:p>
    <w:p>
      <w:pPr/>
      <w:r>
        <w:rPr>
          <w:lang w:val="en_US" w:bidi="en_US"/>
        </w:rPr>
      </w:r>
      <w:r>
        <w:rPr>
          <w:lang w:val="en_US" w:bidi="en_US"/>
        </w:rPr>
        <w:t>Jesus Presented at the Temple (NASB)</w:t>
      </w:r>
    </w:p>
    <w:p>
      <w:pPr/>
      <w:r>
        <w:rPr>
          <w:lang w:val="en_US" w:bidi="en_US"/>
        </w:rPr>
      </w:r>
      <w:r>
        <w:rPr>
          <w:lang w:val="en_US" w:bidi="en_US"/>
        </w:rPr>
        <w:t>Some English versions begin new sections at 2:25 and at 2:36. If you decide to do this in your translation, some possible headings are:</w:t>
      </w:r>
    </w:p>
    <w:p>
      <w:pPr/>
      <w:r>
        <w:rPr>
          <w:lang w:val="en_US" w:bidi="en_US"/>
        </w:rPr>
      </w:r>
      <w:r>
        <w:rPr>
          <w:lang w:val="en_US" w:bidi="en_US"/>
        </w:rPr>
        <w:t>Simeon saw Jesus and prophesied about him (2:25)</w:t>
      </w:r>
    </w:p>
    <w:p>
      <w:pPr/>
      <w:r>
        <w:rPr>
          <w:lang w:val="en_US" w:bidi="en_US"/>
        </w:rPr>
      </w:r>
      <w:r>
        <w:rPr>
          <w:lang w:val="en_US" w:bidi="en_US"/>
        </w:rPr>
        <w:t>Anna thanked God for Jesus and told others about him (2:36)</w:t>
      </w:r>
    </w:p>
    <w:p>
      <w:pPr/>
      <w:r>
        <w:rPr>
          <w:lang w:val="en_US" w:bidi="en_US"/>
        </w:rPr>
      </w:r>
      <w:r>
        <w:rPr>
          <w:lang w:val="en_US" w:bidi="en_US"/>
        </w:rPr>
        <w:t>Simeon’s Prophecy (2:25)</w:t>
      </w:r>
    </w:p>
    <w:p>
      <w:pPr/>
      <w:r>
        <w:rPr>
          <w:lang w:val="en_US" w:bidi="en_US"/>
        </w:rPr>
      </w:r>
      <w:r>
        <w:rPr>
          <w:lang w:val="en_US" w:bidi="en_US"/>
        </w:rPr>
        <w:t>Anna’s Prophecy (2:36)</w:t>
      </w:r>
    </w:p>
    <w:p>
      <w:pPr>
        <w:pStyle w:val="Heading5"/>
      </w:pPr>
      <w:r>
        <w:rPr>
          <w:lang w:val="en_US" w:bidi="en_US"/>
        </w:rPr>
        <w:t>2:35a</w:t>
      </w:r>
    </w:p>
    <w:p>
      <w:pPr/>
      <w:r>
        <w:rPr>
          <w:lang w:val="en_US" w:bidi="en_US"/>
        </w:rPr>
      </w:r>
      <w:r>
        <w:rPr>
          <w:b/>
          <w:lang w:val="en_US" w:bidi="en_US"/>
        </w:rPr>
        <w:t>so that the thoughts of many hearts will be revealed—</w:t>
      </w:r>
    </w:p>
    <w:p>
      <w:pPr>
        <w:pStyle w:val="ListBullet"/>
        <w:spacing w:line="240" w:lineRule="auto"/>
        <w:ind w:left="720"/>
      </w:pPr>
      <w:r>
        <w:rPr>
          <w:lang w:val="en_US" w:bidi="en_US"/>
        </w:rPr>
      </w:r>
      <w:r>
        <w:rPr>
          <w:lang w:val="en_US" w:bidi="en_US"/>
        </w:rPr>
        <w:t>This is</w:t>
      </w:r>
      <w:r>
        <w:rPr>
          <w:lang w:val="en_US" w:bidi="en_US"/>
        </w:rPr>
        <w:t xml:space="preserve"> so that their true thoughts will be made known.</w:t>
      </w:r>
    </w:p>
    <w:p>
      <w:pPr>
        <w:pStyle w:val="ListBullet"/>
        <w:spacing w:line="240" w:lineRule="auto"/>
        <w:ind w:left="720"/>
      </w:pPr>
      <w:r>
        <w:rPr>
          <w:lang w:val="en_US" w:bidi="en_US"/>
        </w:rPr>
      </w:r>
      <w:r>
        <w:rPr>
          <w:lang w:val="en_US" w:bidi="en_US"/>
        </w:rPr>
        <w:t>This will happen</w:t>
      </w:r>
      <w:r>
        <w:rPr>
          <w:lang w:val="en_US" w:bidi="en_US"/>
        </w:rPr>
        <w:t xml:space="preserve"> so that many people will reveal/show what they really think in their hearts/minds.</w:t>
      </w:r>
    </w:p>
    <w:p>
      <w:pPr>
        <w:pStyle w:val="ListBullet"/>
        <w:spacing w:line="240" w:lineRule="auto"/>
        <w:ind w:left="720"/>
      </w:pPr>
      <w:r>
        <w:rPr>
          <w:lang w:val="en_US" w:bidi="en_US"/>
        </w:rPr>
      </w:r>
      <w:r>
        <w:rPr>
          <w:lang w:val="en_US" w:bidi="en_US"/>
        </w:rPr>
        <w:t>By opposing/rejecting him, they will expose/show their true/inner thoughts.</w:t>
      </w:r>
    </w:p>
    <w:p>
      <w:pPr/>
      <w:r>
        <w:rPr>
          <w:lang w:val="en_US" w:bidi="en_US"/>
        </w:rPr>
      </w:r>
      <w:r>
        <w:rPr>
          <w:b/>
          <w:lang w:val="en_US" w:bidi="en_US"/>
        </w:rPr>
        <w:t>so that:</w:t>
      </w:r>
      <w:r>
        <w:rPr>
          <w:lang w:val="en_US" w:bidi="en_US"/>
        </w:rPr>
        <w:t xml:space="preserve"> Scholars interpret the Greek conjunction that the BSB translates as </w:t>
      </w:r>
      <w:r>
        <w:rPr>
          <w:i/>
          <w:lang w:val="en_US" w:bidi="en_US"/>
        </w:rPr>
        <w:t>so that</w:t>
      </w:r>
      <w:r>
        <w:rPr>
          <w:lang w:val="en_US" w:bidi="en_US"/>
        </w:rPr>
        <w:t xml:space="preserve"> in two ways:</w:t>
      </w:r>
    </w:p>
    <w:p>
      <w:pPr>
        <w:pStyle w:val="ListNumber"/>
        <w:numPr>
          <w:ilvl w:val="0"/>
          <w:numId w:val="55"/>
        </w:numPr>
        <w:spacing w:line="240" w:lineRule="auto"/>
        <w:ind w:left="720"/>
      </w:pPr>
      <w:r>
        <w:rPr>
          <w:lang w:val="en_US" w:bidi="en_US"/>
        </w:rPr>
      </w:r>
      <w:r>
        <w:rPr>
          <w:lang w:val="en_US" w:bidi="en_US"/>
        </w:rPr>
        <w:t xml:space="preserve">It indicates the </w:t>
      </w:r>
      <w:r>
        <w:rPr>
          <w:u w:val="single"/>
          <w:lang w:val="en_US" w:bidi="en_US"/>
        </w:rPr>
        <w:t>purpose</w:t>
      </w:r>
      <w:r>
        <w:rPr>
          <w:lang w:val="en_US" w:bidi="en_US"/>
        </w:rPr>
        <w:t xml:space="preserve"> for which God destined Jesus. He was destined “to be a sign that people will oppose </w:t>
      </w:r>
      <w:r>
        <w:rPr>
          <w:u w:val="single"/>
          <w:lang w:val="en_US" w:bidi="en_US"/>
        </w:rPr>
        <w:t>in order that</w:t>
      </w:r>
      <w:r>
        <w:rPr>
          <w:lang w:val="en_US" w:bidi="en_US"/>
        </w:rPr>
        <w:t xml:space="preserve"> their secret thoughts will be revealed.” For example:</w:t>
      </w:r>
      <w:r>
        <w:rPr>
          <w:lang w:val="en_US" w:bidi="en_US"/>
        </w:rPr>
        <w:t xml:space="preserve">so that the thoughts of many will be made known (NCV) </w:t>
      </w:r>
      <w:r>
        <w:rPr>
          <w:i/>
          <w:lang w:val="en_US" w:bidi="en_US"/>
        </w:rPr>
        <w:t>(BSB, NIV, RSV, NJB, NASB, NCV, KJV)</w:t>
      </w:r>
    </w:p>
    <w:p>
      <w:pPr>
        <w:pStyle w:val="ListNumber"/>
        <w:spacing w:line="240" w:lineRule="auto"/>
        <w:ind w:left="720"/>
      </w:pPr>
      <w:r>
        <w:rPr>
          <w:lang w:val="en_US" w:bidi="en_US"/>
        </w:rPr>
      </w:r>
      <w:r>
        <w:rPr>
          <w:lang w:val="en_US" w:bidi="en_US"/>
        </w:rPr>
        <w:t xml:space="preserve">It indicates the </w:t>
      </w:r>
      <w:r>
        <w:rPr>
          <w:u w:val="single"/>
          <w:lang w:val="en_US" w:bidi="en_US"/>
        </w:rPr>
        <w:t>result</w:t>
      </w:r>
      <w:r>
        <w:rPr>
          <w:lang w:val="en_US" w:bidi="en_US"/>
        </w:rPr>
        <w:t xml:space="preserve"> of many people opposing the sign. He was “a sign that people will oppose, </w:t>
      </w:r>
      <w:r>
        <w:rPr>
          <w:u w:val="single"/>
          <w:lang w:val="en_US" w:bidi="en_US"/>
        </w:rPr>
        <w:t>with the result that</w:t>
      </w:r>
      <w:r>
        <w:rPr>
          <w:lang w:val="en_US" w:bidi="en_US"/>
        </w:rPr>
        <w:t xml:space="preserve"> their secret thoughts will be revealed.” For example:</w:t>
      </w:r>
      <w:r>
        <w:rPr>
          <w:lang w:val="en_US" w:bidi="en_US"/>
        </w:rPr>
        <w:t xml:space="preserve">Indeed, as a result of him the thoughts of many hearts will be revealed (NET) </w:t>
      </w:r>
      <w:r>
        <w:rPr>
          <w:i/>
          <w:lang w:val="en_US" w:bidi="en_US"/>
        </w:rPr>
        <w:t>(GNT, NET, REB, NLT)</w:t>
      </w:r>
    </w:p>
    <w:p>
      <w:pPr/>
      <w:r>
        <w:rPr>
          <w:lang w:val="en_US" w:bidi="en_US"/>
        </w:rPr>
      </w:r>
      <w:r>
        <w:rPr>
          <w:lang w:val="en_US" w:bidi="en_US"/>
        </w:rPr>
        <w:t>It is recommended that you follow interpretation (1) and the larger number of English versions and commentaries.</w:t>
      </w:r>
    </w:p>
    <w:p>
      <w:pPr/>
      <w:r>
        <w:rPr>
          <w:lang w:val="en_US" w:bidi="en_US"/>
        </w:rPr>
      </w:r>
      <w:r>
        <w:rPr>
          <w:b/>
          <w:lang w:val="en_US" w:bidi="en_US"/>
        </w:rPr>
        <w:t>the thoughts of many hearts will be revealed:</w:t>
      </w:r>
      <w:r>
        <w:rPr>
          <w:lang w:val="en_US" w:bidi="en_US"/>
        </w:rPr>
        <w:t xml:space="preserve"> This is a passive clause. The text does not say who will reveal the thoughts. It is likely that the actions of the people themselves will reveal their true thoughts to other people. When they oppose and reject Jesus, their actions will expose their true character. They may not intend to reveal their thoughts, but God planned that Jesus would cause them to do that. Here is one way to express this meaning in 2:34c–35a:</w:t>
      </w:r>
    </w:p>
    <w:p>
      <w:pPr/>
      <w:r>
        <w:rPr>
          <w:lang w:val="en_US" w:bidi="en_US"/>
        </w:rPr>
      </w:r>
      <w:r>
        <w:rPr>
          <w:vertAlign w:val="superscript"/>
          <w:lang w:val="en_US" w:bidi="en_US"/>
        </w:rPr>
        <w:t>34c</w:t>
      </w:r>
      <w:r>
        <w:rPr>
          <w:lang w:val="en_US" w:bidi="en_US"/>
        </w:rPr>
        <w:t xml:space="preserve">He will be a sign that will expose </w:t>
      </w:r>
      <w:r>
        <w:rPr>
          <w:vertAlign w:val="superscript"/>
          <w:lang w:val="en_US" w:bidi="en_US"/>
        </w:rPr>
        <w:t>35a</w:t>
      </w:r>
      <w:r>
        <w:rPr>
          <w:lang w:val="en_US" w:bidi="en_US"/>
        </w:rPr>
        <w:t>the thoughts of those who reject him. (GW)</w:t>
      </w:r>
    </w:p>
    <w:p>
      <w:pPr/>
      <w:r>
        <w:rPr>
          <w:lang w:val="en_US" w:bidi="en_US"/>
        </w:rPr>
      </w:r>
      <w:r>
        <w:rPr>
          <w:b/>
          <w:lang w:val="en_US" w:bidi="en_US"/>
        </w:rPr>
        <w:t>the thoughts of many hearts:</w:t>
      </w:r>
      <w:r>
        <w:rPr>
          <w:lang w:val="en_US" w:bidi="en_US"/>
        </w:rPr>
        <w:t xml:space="preserve"> In this context the word </w:t>
      </w:r>
      <w:r>
        <w:rPr>
          <w:i/>
          <w:lang w:val="en_US" w:bidi="en_US"/>
        </w:rPr>
        <w:t>hearts</w:t>
      </w:r>
      <w:r>
        <w:rPr>
          <w:lang w:val="en_US" w:bidi="en_US"/>
        </w:rPr>
        <w:t xml:space="preserve"> is used as a figure of speech. Often the “heart” refers figuratively to the part of a person that thinks about and remembers things. In this context, it represents the people who have these thoughts.</w:t>
      </w:r>
    </w:p>
    <w:p>
      <w:pPr/>
      <w:r>
        <w:rPr>
          <w:lang w:val="en_US" w:bidi="en_US"/>
        </w:rPr>
      </w:r>
      <w:r>
        <w:rPr>
          <w:lang w:val="en_US" w:bidi="en_US"/>
        </w:rPr>
        <w:t>Some other ways to translate this are:</w:t>
      </w:r>
    </w:p>
    <w:p>
      <w:pPr/>
      <w:r>
        <w:rPr>
          <w:lang w:val="en_US" w:bidi="en_US"/>
        </w:rPr>
      </w:r>
      <w:r>
        <w:rPr>
          <w:lang w:val="en_US" w:bidi="en_US"/>
        </w:rPr>
        <w:t>that which many people think in their hearts/minds</w:t>
      </w:r>
    </w:p>
    <w:p>
      <w:pPr/>
      <w:r>
        <w:rPr>
          <w:lang w:val="en_US" w:bidi="en_US"/>
        </w:rPr>
      </w:r>
      <w:r>
        <w:rPr>
          <w:lang w:val="en_US" w:bidi="en_US"/>
        </w:rPr>
        <w:t>the true thoughts of many people</w:t>
      </w:r>
    </w:p>
    <w:p>
      <w:pPr/>
      <w:r>
        <w:rPr>
          <w:lang w:val="en_US" w:bidi="en_US"/>
        </w:rPr>
      </w:r>
      <w:r>
        <w:rPr>
          <w:lang w:val="en_US" w:bidi="en_US"/>
        </w:rPr>
        <w:t>that which many people really think</w:t>
      </w:r>
    </w:p>
    <w:p>
      <w:pPr/>
      <w:r>
        <w:rPr>
          <w:lang w:val="en_US" w:bidi="en_US"/>
        </w:rPr>
      </w:r>
      <w:r>
        <w:rPr>
          <w:b/>
          <w:lang w:val="en_US" w:bidi="en_US"/>
        </w:rPr>
        <w:t>many:</w:t>
      </w:r>
      <w:r>
        <w:rPr>
          <w:lang w:val="en_US" w:bidi="en_US"/>
        </w:rPr>
        <w:t xml:space="preserve"> The word </w:t>
      </w:r>
      <w:r>
        <w:rPr>
          <w:i/>
          <w:lang w:val="en_US" w:bidi="en_US"/>
        </w:rPr>
        <w:t>many</w:t>
      </w:r>
      <w:r>
        <w:rPr>
          <w:lang w:val="en_US" w:bidi="en_US"/>
        </w:rPr>
        <w:t xml:space="preserve"> refers to the same people as the “many in Israel” in 2:34b who would either fall or rise.</w:t>
      </w:r>
    </w:p>
    <w:p>
      <w:pPr>
        <w:pStyle w:val="Heading5"/>
      </w:pPr>
      <w:r>
        <w:rPr>
          <w:lang w:val="en_US" w:bidi="en_US"/>
        </w:rPr>
        <w:t>2:35b</w:t>
      </w:r>
    </w:p>
    <w:p>
      <w:pPr/>
      <w:r>
        <w:rPr>
          <w:lang w:val="en_US" w:bidi="en_US"/>
        </w:rPr>
      </w:r>
      <w:r>
        <w:rPr>
          <w:b/>
          <w:lang w:val="en_US" w:bidi="en_US"/>
        </w:rPr>
        <w:t>and a sword will pierce your soul as well.”</w:t>
      </w:r>
    </w:p>
    <w:p>
      <w:pPr>
        <w:pStyle w:val="ListBullet"/>
        <w:spacing w:line="240" w:lineRule="auto"/>
        <w:ind w:left="720"/>
      </w:pPr>
      <w:r>
        <w:rPr>
          <w:lang w:val="en_US" w:bidi="en_US"/>
        </w:rPr>
      </w:r>
      <w:r>
        <w:rPr>
          <w:lang w:val="en_US" w:bidi="en_US"/>
        </w:rPr>
        <w:t xml:space="preserve">And </w:t>
      </w:r>
      <w:r>
        <w:rPr>
          <w:lang w:val="en_US" w:bidi="en_US"/>
        </w:rPr>
        <w:t>great sorrow, like</w:t>
      </w:r>
      <w:r>
        <w:rPr>
          <w:lang w:val="en_US" w:bidi="en_US"/>
        </w:rPr>
        <w:t xml:space="preserve"> a sword, will go through your own soul also.”</w:t>
      </w:r>
    </w:p>
    <w:p>
      <w:pPr>
        <w:pStyle w:val="ListBullet"/>
        <w:spacing w:line="240" w:lineRule="auto"/>
        <w:ind w:left="720"/>
      </w:pPr>
      <w:r>
        <w:rPr>
          <w:lang w:val="en_US" w:bidi="en_US"/>
        </w:rPr>
      </w:r>
      <w:r>
        <w:rPr>
          <w:lang w:val="en_US" w:bidi="en_US"/>
        </w:rPr>
        <w:t xml:space="preserve">You too will feel </w:t>
      </w:r>
      <w:r>
        <w:rPr>
          <w:lang w:val="en_US" w:bidi="en_US"/>
        </w:rPr>
        <w:t>great sorrow</w:t>
      </w:r>
      <w:r>
        <w:rPr>
          <w:lang w:val="en_US" w:bidi="en_US"/>
        </w:rPr>
        <w:t>.”</w:t>
      </w:r>
    </w:p>
    <w:p>
      <w:pPr/>
      <w:r>
        <w:rPr>
          <w:lang w:val="en_US" w:bidi="en_US"/>
        </w:rPr>
      </w:r>
      <w:r>
        <w:rPr>
          <w:b/>
          <w:lang w:val="en_US" w:bidi="en_US"/>
        </w:rPr>
        <w:t>and a sword will pierce your soul as well:</w:t>
      </w:r>
      <w:r>
        <w:rPr>
          <w:lang w:val="en_US" w:bidi="en_US"/>
        </w:rPr>
        <w:t xml:space="preserve"> In this part of the verse Simeon made a prophecy about Mary herself. In the Greek text the phrase </w:t>
      </w:r>
      <w:r>
        <w:rPr>
          <w:i/>
          <w:lang w:val="en_US" w:bidi="en_US"/>
        </w:rPr>
        <w:t>your soul</w:t>
      </w:r>
      <w:r>
        <w:rPr>
          <w:lang w:val="en_US" w:bidi="en_US"/>
        </w:rPr>
        <w:t xml:space="preserve"> comes first in the sentence. This order helps to connect the statement to 2:34c. The sense is that when Jesus is opposed, Mary will feel as though a sword had pierced her own heart.</w:t>
      </w:r>
    </w:p>
    <w:p>
      <w:pPr/>
      <w:r>
        <w:rPr>
          <w:lang w:val="en_US" w:bidi="en_US"/>
        </w:rPr>
      </w:r>
      <w:r>
        <w:rPr>
          <w:b/>
          <w:lang w:val="en_US" w:bidi="en_US"/>
        </w:rPr>
        <w:t>a sword will pierce your soul:</w:t>
      </w:r>
      <w:r>
        <w:rPr>
          <w:lang w:val="en_US" w:bidi="en_US"/>
        </w:rPr>
        <w:t xml:space="preserve"> This is a metaphor. Simeon referred here to something that would happen to Mary in the future. When people would later reject and crucify Jesus, it would cause Mary intense mental suffering. This great sorrow would be as if someone had pierced her with a sword.</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Use a simile and make the point of similarity explicit. For example:</w:t>
      </w:r>
      <w:r>
        <w:rPr>
          <w:lang w:val="en_US" w:bidi="en_US"/>
        </w:rPr>
        <w:t>suffering/sorrow</w:t>
      </w:r>
      <w:r>
        <w:rPr>
          <w:lang w:val="en_US" w:bidi="en_US"/>
        </w:rPr>
        <w:t xml:space="preserve"> will pierce your own soul like a sword</w:t>
      </w:r>
      <w:r>
        <w:rPr>
          <w:lang w:val="en_US" w:bidi="en_US"/>
        </w:rPr>
        <w:t>you will grieve so much that it will be as if</w:t>
      </w:r>
      <w:r>
        <w:rPr>
          <w:lang w:val="en_US" w:bidi="en_US"/>
        </w:rPr>
        <w:t xml:space="preserve"> a sword has pierced your own soul</w:t>
      </w:r>
    </w:p>
    <w:p>
      <w:pPr>
        <w:pStyle w:val="ListBullet"/>
        <w:spacing w:line="240" w:lineRule="auto"/>
        <w:ind w:left="720"/>
      </w:pPr>
      <w:r>
        <w:rPr>
          <w:lang w:val="en_US" w:bidi="en_US"/>
        </w:rPr>
      </w:r>
      <w:r>
        <w:rPr>
          <w:lang w:val="en_US" w:bidi="en_US"/>
        </w:rPr>
        <w:t>Use an idiom that expresses the meaning in your language. For example, in English you could say:</w:t>
      </w:r>
      <w:r>
        <w:rPr>
          <w:lang w:val="en_US" w:bidi="en_US"/>
        </w:rPr>
        <w:t>your heart/soul will be broken</w:t>
      </w:r>
    </w:p>
    <w:p>
      <w:pPr>
        <w:pStyle w:val="ListBullet"/>
        <w:spacing w:line="240" w:lineRule="auto"/>
        <w:ind w:left="720"/>
      </w:pPr>
      <w:r>
        <w:rPr>
          <w:lang w:val="en_US" w:bidi="en_US"/>
        </w:rPr>
      </w:r>
      <w:r>
        <w:rPr>
          <w:lang w:val="en_US" w:bidi="en_US"/>
        </w:rPr>
        <w:t>Translate the meaning directly. For example:</w:t>
      </w:r>
      <w:r>
        <w:rPr>
          <w:lang w:val="en_US" w:bidi="en_US"/>
        </w:rPr>
        <w:t>you will suffer greatly</w:t>
      </w:r>
    </w:p>
    <w:p>
      <w:pPr/>
      <w:r>
        <w:rPr>
          <w:lang w:val="en_US" w:bidi="en_US"/>
        </w:rPr>
      </w:r>
      <w:r>
        <w:rPr>
          <w:b/>
          <w:lang w:val="en_US" w:bidi="en_US"/>
        </w:rPr>
        <w:t>sword:</w:t>
      </w:r>
      <w:r>
        <w:rPr>
          <w:lang w:val="en_US" w:bidi="en_US"/>
        </w:rPr>
        <w:t xml:space="preserve"> The word </w:t>
      </w:r>
      <w:r>
        <w:rPr>
          <w:i/>
          <w:lang w:val="en_US" w:bidi="en_US"/>
        </w:rPr>
        <w:t>sword</w:t>
      </w:r>
      <w:r>
        <w:rPr>
          <w:lang w:val="en_US" w:bidi="en_US"/>
        </w:rPr>
        <w:t xml:space="preserve"> refers to a very long, straight, broad knife. A </w:t>
      </w:r>
      <w:r>
        <w:rPr>
          <w:i/>
          <w:lang w:val="en_US" w:bidi="en_US"/>
        </w:rPr>
        <w:t>sword</w:t>
      </w:r>
      <w:r>
        <w:rPr>
          <w:lang w:val="en_US" w:bidi="en_US"/>
        </w:rPr>
        <w:t xml:space="preserve"> is sharp on both edges. It is about the same length as a machete.</w:t>
      </w:r>
    </w:p>
    <w:p>
      <w:pPr/>
      <w:r>
        <w:rPr>
          <w:lang w:val="en_US" w:bidi="en_US"/>
        </w:rPr>
      </w:r>
      <w:r>
        <w:rPr>
          <w:b/>
          <w:lang w:val="en_US" w:bidi="en_US"/>
        </w:rPr>
        <w:t>soul:</w:t>
      </w:r>
      <w:r>
        <w:rPr>
          <w:lang w:val="en_US" w:bidi="en_US"/>
        </w:rPr>
        <w:t xml:space="preserve"> Here the word </w:t>
      </w:r>
      <w:r>
        <w:rPr>
          <w:i/>
          <w:lang w:val="en_US" w:bidi="en_US"/>
        </w:rPr>
        <w:t>soul</w:t>
      </w:r>
      <w:r>
        <w:rPr>
          <w:lang w:val="en_US" w:bidi="en_US"/>
        </w:rPr>
        <w:t xml:space="preserve"> refers to that part of a person where emotions occur. In some languages, people call this part of a person the “heart.” In others, people call it the “liver” or use some other word. Notice that in this context the word </w:t>
      </w:r>
      <w:r>
        <w:rPr>
          <w:i/>
          <w:lang w:val="en_US" w:bidi="en_US"/>
        </w:rPr>
        <w:t>soul</w:t>
      </w:r>
      <w:r>
        <w:rPr>
          <w:lang w:val="en_US" w:bidi="en_US"/>
        </w:rPr>
        <w:t xml:space="preserve"> is part of the figure of speech. So some languages will not need to translate a word for </w:t>
      </w:r>
      <w:r>
        <w:rPr>
          <w:i/>
          <w:lang w:val="en_US" w:bidi="en_US"/>
        </w:rPr>
        <w:t>soul</w:t>
      </w:r>
      <w:r>
        <w:rPr>
          <w:lang w:val="en_US" w:bidi="en_US"/>
        </w:rPr>
        <w:t>. For example:</w:t>
      </w:r>
    </w:p>
    <w:p>
      <w:pPr/>
      <w:r>
        <w:rPr>
          <w:lang w:val="en_US" w:bidi="en_US"/>
        </w:rPr>
      </w:r>
      <w:r>
        <w:rPr>
          <w:lang w:val="en_US" w:bidi="en_US"/>
        </w:rPr>
        <w:t>you, too, will feel great sorrow</w:t>
      </w:r>
    </w:p>
    <w:p>
      <w:pPr/>
      <w:r>
        <w:rPr>
          <w:lang w:val="en_US" w:bidi="en_US"/>
        </w:rPr>
      </w:r>
      <w:r>
        <w:rPr>
          <w:lang w:val="en_US" w:bidi="en_US"/>
        </w:rPr>
        <w:t xml:space="preserve">you, too, will suffer as though </w:t>
      </w:r>
      <w:r>
        <w:rPr>
          <w:lang w:val="en_US" w:bidi="en_US"/>
        </w:rPr>
        <w:t>people</w:t>
      </w:r>
      <w:r>
        <w:rPr>
          <w:lang w:val="en_US" w:bidi="en_US"/>
        </w:rPr>
        <w:t xml:space="preserve"> had wounded you with a sword</w:t>
      </w:r>
      <w:r>
        <w:rPr>
          <w:lang w:val="en_US" w:bidi="en_US"/>
        </w:rPr>
      </w:r>
      <w:r>
        <w:rPr>
          <w:lang w:val="en_US" w:bidi="en_US"/>
        </w:rPr>
      </w:r>
    </w:p>
    <w:p>
      <w:pPr/>
      <w:r>
        <w:rPr>
          <w:lang w:val="en_US" w:bidi="en_US"/>
        </w:rPr>
      </w:r>
    </w:p>
    <w:p>
      <w:pPr>
        <w:pStyle w:val="Heading2"/>
      </w:pPr>
      <w:r>
        <w:rPr>
          <w:lang w:val="en_US" w:bidi="en_US"/>
        </w:rPr>
        <w:t>Luke 2:36</w:t>
      </w:r>
      <w:r>
        <w:rPr>
          <w:lang w:val="en_US" w:bidi="en_US"/>
        </w:rPr>
      </w:r>
    </w:p>
    <w:p>
      <w:pPr>
        <w:pStyle w:val="Heading4"/>
      </w:pPr>
      <w:r>
        <w:rPr>
          <w:lang w:val="en_US" w:bidi="en_US"/>
        </w:rPr>
        <w:t>Section 2:21–40: The baby Jesus at the temple</w:t>
      </w:r>
    </w:p>
    <w:p>
      <w:pPr/>
      <w:r>
        <w:rPr>
          <w:lang w:val="en_US" w:bidi="en_US"/>
        </w:rPr>
      </w:r>
      <w:r>
        <w:rPr>
          <w:lang w:val="en_US" w:bidi="en_US"/>
        </w:rPr>
        <w:t>The events in this section happened some days after Jesus was born.</w:t>
      </w:r>
    </w:p>
    <w:p>
      <w:pPr/>
      <w:r>
        <w:rPr>
          <w:lang w:val="en_US" w:bidi="en_US"/>
        </w:rPr>
      </w:r>
      <w:r>
        <w:rPr>
          <w:lang w:val="en_US" w:bidi="en_US"/>
        </w:rPr>
        <w:t>In 2:21–24, Luke mentioned three ceremonies that were done when Jewish boys were born:</w:t>
      </w:r>
    </w:p>
    <w:p>
      <w:pPr>
        <w:pStyle w:val="ListNumber"/>
        <w:numPr>
          <w:ilvl w:val="0"/>
          <w:numId w:val="56"/>
        </w:numPr>
        <w:spacing w:line="240" w:lineRule="auto"/>
        <w:ind w:left="720"/>
      </w:pPr>
      <w:r>
        <w:rPr>
          <w:lang w:val="en_US" w:bidi="en_US"/>
        </w:rPr>
      </w:r>
      <w:r>
        <w:rPr>
          <w:lang w:val="en_US" w:bidi="en_US"/>
        </w:rPr>
        <w:t>the baby boy was circumcised;</w:t>
      </w:r>
    </w:p>
    <w:p>
      <w:pPr>
        <w:pStyle w:val="ListNumber"/>
        <w:spacing w:line="240" w:lineRule="auto"/>
        <w:ind w:left="720"/>
      </w:pPr>
      <w:r>
        <w:rPr>
          <w:lang w:val="en_US" w:bidi="en_US"/>
        </w:rPr>
      </w:r>
      <w:r>
        <w:rPr>
          <w:lang w:val="en_US" w:bidi="en_US"/>
        </w:rPr>
        <w:t>the mother was ritually purified;</w:t>
      </w:r>
    </w:p>
    <w:p>
      <w:pPr>
        <w:pStyle w:val="ListNumber"/>
        <w:spacing w:line="240" w:lineRule="auto"/>
        <w:ind w:left="720"/>
      </w:pPr>
      <w:r>
        <w:rPr>
          <w:lang w:val="en_US" w:bidi="en_US"/>
        </w:rPr>
      </w:r>
      <w:r>
        <w:rPr>
          <w:lang w:val="en_US" w:bidi="en_US"/>
        </w:rPr>
        <w:t>the baby boy was presented to God.</w:t>
      </w:r>
    </w:p>
    <w:p>
      <w:pPr/>
      <w:r>
        <w:rPr>
          <w:lang w:val="en_US" w:bidi="en_US"/>
        </w:rPr>
      </w:r>
      <w:r>
        <w:rPr>
          <w:lang w:val="en_US" w:bidi="en_US"/>
        </w:rPr>
        <w:t>In 2:25–38 Luke described two other events that happened while Joseph, Mary, and Jesus were at the temple in Jerusalem. God allowed two righteous people named Simeon and Anna to see Jesus and to thank God for him. Simeon spoke a prophecy about Jesus and Mary.</w:t>
      </w:r>
    </w:p>
    <w:p>
      <w:pPr/>
      <w:r>
        <w:rPr>
          <w:lang w:val="en_US" w:bidi="en_US"/>
        </w:rPr>
      </w:r>
      <w:r>
        <w:rPr>
          <w:lang w:val="en_US" w:bidi="en_US"/>
        </w:rP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Parents Obey Moses’ Teachings (GW)</w:t>
      </w:r>
    </w:p>
    <w:p>
      <w:pPr/>
      <w:r>
        <w:rPr>
          <w:lang w:val="en_US" w:bidi="en_US"/>
        </w:rPr>
      </w:r>
      <w:r>
        <w:rPr>
          <w:lang w:val="en_US" w:bidi="en_US"/>
        </w:rPr>
        <w:t>Jesus Presented at the Temple (NASB)</w:t>
      </w:r>
    </w:p>
    <w:p>
      <w:pPr/>
      <w:r>
        <w:rPr>
          <w:lang w:val="en_US" w:bidi="en_US"/>
        </w:rPr>
      </w:r>
      <w:r>
        <w:rPr>
          <w:lang w:val="en_US" w:bidi="en_US"/>
        </w:rPr>
        <w:t>Some English versions begin new sections at 2:25 and at 2:36. If you decide to do this in your translation, some possible headings are:</w:t>
      </w:r>
    </w:p>
    <w:p>
      <w:pPr/>
      <w:r>
        <w:rPr>
          <w:lang w:val="en_US" w:bidi="en_US"/>
        </w:rPr>
      </w:r>
      <w:r>
        <w:rPr>
          <w:lang w:val="en_US" w:bidi="en_US"/>
        </w:rPr>
        <w:t>Simeon saw Jesus and prophesied about him (2:25)</w:t>
      </w:r>
    </w:p>
    <w:p>
      <w:pPr/>
      <w:r>
        <w:rPr>
          <w:lang w:val="en_US" w:bidi="en_US"/>
        </w:rPr>
      </w:r>
      <w:r>
        <w:rPr>
          <w:lang w:val="en_US" w:bidi="en_US"/>
        </w:rPr>
        <w:t>Anna thanked God for Jesus and told others about him (2:36)</w:t>
      </w:r>
    </w:p>
    <w:p>
      <w:pPr/>
      <w:r>
        <w:rPr>
          <w:lang w:val="en_US" w:bidi="en_US"/>
        </w:rPr>
      </w:r>
      <w:r>
        <w:rPr>
          <w:lang w:val="en_US" w:bidi="en_US"/>
        </w:rPr>
        <w:t>Simeon’s Prophecy (2:25)</w:t>
      </w:r>
    </w:p>
    <w:p>
      <w:pPr/>
      <w:r>
        <w:rPr>
          <w:lang w:val="en_US" w:bidi="en_US"/>
        </w:rPr>
      </w:r>
      <w:r>
        <w:rPr>
          <w:lang w:val="en_US" w:bidi="en_US"/>
        </w:rPr>
        <w:t>Anna’s Prophecy (2:36)</w:t>
      </w:r>
    </w:p>
    <w:p>
      <w:pPr>
        <w:pStyle w:val="Heading4"/>
      </w:pPr>
      <w:r>
        <w:rPr>
          <w:lang w:val="en_US" w:bidi="en_US"/>
        </w:rPr>
        <w:t>Paragraph 2:36–38</w:t>
      </w:r>
    </w:p>
    <w:p>
      <w:pPr/>
      <w:r>
        <w:rPr>
          <w:lang w:val="en_US" w:bidi="en_US"/>
        </w:rPr>
      </w:r>
      <w:r>
        <w:rPr>
          <w:lang w:val="en_US" w:bidi="en_US"/>
        </w:rPr>
        <w:t>This paragraph begins with background information. It introduces a woman named Anna and tells about her. The event in 2:38 happened immediately after Simeon’s blessing in 2:34–35. Indicate the background information in a natural way in your language. In some languages, you may want to put part of 2:38a at the beginning of the paragraph. For example:</w:t>
      </w:r>
    </w:p>
    <w:p>
      <w:pPr/>
      <w:r>
        <w:rPr>
          <w:lang w:val="en_US" w:bidi="en_US"/>
        </w:rPr>
      </w:r>
      <w:r>
        <w:rPr>
          <w:vertAlign w:val="superscript"/>
          <w:lang w:val="en_US" w:bidi="en_US"/>
        </w:rPr>
        <w:t>38a</w:t>
      </w:r>
      <w:r>
        <w:rPr>
          <w:lang w:val="en_US" w:bidi="en_US"/>
        </w:rPr>
        <w:t xml:space="preserve">At that very moment a prophetess came up to them. </w:t>
      </w:r>
      <w:r>
        <w:rPr>
          <w:vertAlign w:val="superscript"/>
          <w:lang w:val="en_US" w:bidi="en_US"/>
        </w:rPr>
        <w:t>36a</w:t>
      </w:r>
      <w:r>
        <w:rPr>
          <w:lang w:val="en_US" w:bidi="en_US"/>
        </w:rPr>
        <w:t>Her name was Anna….</w:t>
      </w:r>
    </w:p>
    <w:p>
      <w:pPr>
        <w:pStyle w:val="Heading5"/>
      </w:pPr>
      <w:r>
        <w:rPr>
          <w:lang w:val="en_US" w:bidi="en_US"/>
        </w:rPr>
        <w:t>2:36a</w:t>
      </w:r>
    </w:p>
    <w:p>
      <w:pPr/>
      <w:r>
        <w:rPr>
          <w:lang w:val="en_US" w:bidi="en_US"/>
        </w:rPr>
      </w:r>
      <w:r>
        <w:rPr>
          <w:b/>
          <w:lang w:val="en_US" w:bidi="en_US"/>
        </w:rPr>
        <w:t>There was also a prophetess named Anna,</w:t>
      </w:r>
    </w:p>
    <w:p>
      <w:pPr>
        <w:pStyle w:val="ListBullet"/>
        <w:spacing w:line="240" w:lineRule="auto"/>
        <w:ind w:left="720"/>
      </w:pPr>
      <w:r>
        <w:rPr>
          <w:lang w:val="en_US" w:bidi="en_US"/>
        </w:rPr>
      </w:r>
      <w:r>
        <w:rPr>
          <w:lang w:val="en_US" w:bidi="en_US"/>
        </w:rPr>
        <w:t xml:space="preserve">¶ A woman, who was a prophet, was there also. </w:t>
      </w:r>
      <w:r>
        <w:rPr>
          <w:lang w:val="en_US" w:bidi="en_US"/>
        </w:rPr>
        <w:t>Her name was</w:t>
      </w:r>
      <w:r>
        <w:rPr>
          <w:lang w:val="en_US" w:bidi="en_US"/>
        </w:rPr>
        <w:t xml:space="preserve"> Anna.</w:t>
      </w:r>
    </w:p>
    <w:p>
      <w:pPr>
        <w:pStyle w:val="ListBullet"/>
        <w:spacing w:line="240" w:lineRule="auto"/>
        <w:ind w:left="720"/>
      </w:pPr>
      <w:r>
        <w:rPr>
          <w:lang w:val="en_US" w:bidi="en_US"/>
        </w:rPr>
      </w:r>
      <w:r>
        <w:rPr>
          <w:lang w:val="en_US" w:bidi="en_US"/>
        </w:rPr>
        <w:t xml:space="preserve">¶ </w:t>
      </w:r>
      <w:r>
        <w:rPr>
          <w:lang w:val="en_US" w:bidi="en_US"/>
        </w:rPr>
        <w:t>Just then</w:t>
      </w:r>
      <w:r>
        <w:rPr>
          <w:lang w:val="en_US" w:bidi="en_US"/>
        </w:rPr>
        <w:t xml:space="preserve"> a woman </w:t>
      </w:r>
      <w:r>
        <w:rPr>
          <w:lang w:val="en_US" w:bidi="en_US"/>
        </w:rPr>
        <w:t>named</w:t>
      </w:r>
      <w:r>
        <w:rPr>
          <w:lang w:val="en_US" w:bidi="en_US"/>
        </w:rPr>
        <w:t xml:space="preserve"> Anna </w:t>
      </w:r>
      <w:r>
        <w:rPr>
          <w:lang w:val="en_US" w:bidi="en_US"/>
        </w:rPr>
        <w:t>approached them</w:t>
      </w:r>
      <w:r>
        <w:rPr>
          <w:lang w:val="en_US" w:bidi="en_US"/>
        </w:rPr>
        <w:t xml:space="preserve">. </w:t>
      </w:r>
      <w:r>
        <w:rPr>
          <w:lang w:val="en_US" w:bidi="en_US"/>
        </w:rPr>
        <w:t>She was</w:t>
      </w:r>
      <w:r>
        <w:rPr>
          <w:lang w:val="en_US" w:bidi="en_US"/>
        </w:rPr>
        <w:t xml:space="preserve"> a prophet.</w:t>
      </w:r>
    </w:p>
    <w:p>
      <w:pPr/>
      <w:r>
        <w:rPr>
          <w:lang w:val="en_US" w:bidi="en_US"/>
        </w:rPr>
      </w:r>
      <w:r>
        <w:rPr>
          <w:b/>
          <w:lang w:val="en_US" w:bidi="en_US"/>
        </w:rPr>
        <w:t>a prophetess named Anna:</w:t>
      </w:r>
      <w:r>
        <w:rPr>
          <w:lang w:val="en_US" w:bidi="en_US"/>
        </w:rPr>
        <w:t xml:space="preserve"> </w:t>
      </w:r>
      <w:r>
        <w:rPr>
          <w:i/>
          <w:lang w:val="en_US" w:bidi="en_US"/>
        </w:rPr>
        <w:t>Anna</w:t>
      </w:r>
      <w:r>
        <w:rPr>
          <w:lang w:val="en_US" w:bidi="en_US"/>
        </w:rPr>
        <w:t xml:space="preserve"> was a </w:t>
      </w:r>
      <w:r>
        <w:rPr>
          <w:i/>
          <w:lang w:val="en_US" w:bidi="en_US"/>
        </w:rPr>
        <w:t>prophetess</w:t>
      </w:r>
      <w:r>
        <w:rPr>
          <w:lang w:val="en_US" w:bidi="en_US"/>
        </w:rPr>
        <w:t>, that is, a woman who was a prophet. She was not just an ordinary person who went to the temple.</w:t>
      </w:r>
    </w:p>
    <w:p>
      <w:pPr/>
      <w:r>
        <w:rPr>
          <w:lang w:val="en_US" w:bidi="en_US"/>
        </w:rPr>
      </w:r>
      <w:r>
        <w:rPr>
          <w:lang w:val="en_US" w:bidi="en_US"/>
        </w:rPr>
        <w:t>A “prophet” was someone whom God chose to speak for him. God revealed things to a prophet that the prophet then told the people.</w:t>
      </w:r>
    </w:p>
    <w:p>
      <w:pPr/>
      <w:r>
        <w:rPr>
          <w:lang w:val="en_US" w:bidi="en_US"/>
        </w:rPr>
      </w:r>
      <w:r>
        <w:rPr>
          <w:lang w:val="en_US" w:bidi="en_US"/>
        </w:rPr>
        <w:t xml:space="preserve">Some ways to translate </w:t>
      </w:r>
      <w:r>
        <w:rPr>
          <w:i/>
          <w:lang w:val="en_US" w:bidi="en_US"/>
        </w:rPr>
        <w:t>prophetess</w:t>
      </w:r>
      <w:r>
        <w:rPr>
          <w:lang w:val="en_US" w:bidi="en_US"/>
        </w:rPr>
        <w:t xml:space="preserve"> are:</w:t>
      </w:r>
    </w:p>
    <w:p>
      <w:pPr/>
      <w:r>
        <w:rPr>
          <w:lang w:val="en_US" w:bidi="en_US"/>
        </w:rPr>
      </w:r>
      <w:r>
        <w:rPr>
          <w:lang w:val="en_US" w:bidi="en_US"/>
        </w:rPr>
        <w:t>a prophet (NRSV)</w:t>
      </w:r>
    </w:p>
    <w:p>
      <w:pPr/>
      <w:r>
        <w:rPr>
          <w:lang w:val="en_US" w:bidi="en_US"/>
        </w:rPr>
      </w:r>
      <w:r>
        <w:rPr>
          <w:lang w:val="en_US" w:bidi="en_US"/>
        </w:rPr>
        <w:t>a spokeswoman for God</w:t>
      </w:r>
    </w:p>
    <w:p>
      <w:pPr/>
      <w:r>
        <w:rPr>
          <w:lang w:val="en_US" w:bidi="en_US"/>
        </w:rPr>
      </w:r>
      <w:r>
        <w:rPr>
          <w:lang w:val="en_US" w:bidi="en_US"/>
        </w:rPr>
        <w:t>a woman who spoke God’s words</w:t>
      </w:r>
    </w:p>
    <w:p>
      <w:pPr/>
      <w:r>
        <w:rPr>
          <w:lang w:val="en_US" w:bidi="en_US"/>
        </w:rPr>
      </w:r>
      <w:r>
        <w:rPr>
          <w:lang w:val="en_US" w:bidi="en_US"/>
        </w:rPr>
        <w:t>God’s message speaker</w:t>
      </w:r>
    </w:p>
    <w:p>
      <w:pPr/>
      <w:r>
        <w:rPr>
          <w:lang w:val="en_US" w:bidi="en_US"/>
        </w:rPr>
      </w:r>
      <w:r>
        <w:rPr>
          <w:lang w:val="en_US" w:bidi="en_US"/>
        </w:rPr>
        <w:t>See also prophet in the Glossary.</w:t>
      </w:r>
    </w:p>
    <w:p>
      <w:pPr>
        <w:pStyle w:val="Heading5"/>
      </w:pPr>
      <w:r>
        <w:rPr>
          <w:lang w:val="en_US" w:bidi="en_US"/>
        </w:rPr>
        <w:t>2:36b</w:t>
      </w:r>
    </w:p>
    <w:p>
      <w:pPr/>
      <w:r>
        <w:rPr>
          <w:lang w:val="en_US" w:bidi="en_US"/>
        </w:rPr>
      </w:r>
      <w:r>
        <w:rPr>
          <w:b/>
          <w:lang w:val="en_US" w:bidi="en_US"/>
        </w:rPr>
        <w:t>the daughter of Phanuel, of the tribe of Asher,</w:t>
      </w:r>
    </w:p>
    <w:p>
      <w:pPr>
        <w:pStyle w:val="ListBullet"/>
        <w:spacing w:line="240" w:lineRule="auto"/>
        <w:ind w:left="720"/>
      </w:pPr>
      <w:r>
        <w:rPr>
          <w:lang w:val="en_US" w:bidi="en_US"/>
        </w:rPr>
      </w:r>
      <w:r>
        <w:rPr>
          <w:lang w:val="en_US" w:bidi="en_US"/>
        </w:rPr>
        <w:t xml:space="preserve">She was the daughter of </w:t>
      </w:r>
      <w:r>
        <w:rPr>
          <w:lang w:val="en_US" w:bidi="en_US"/>
        </w:rPr>
        <w:t>a man named</w:t>
      </w:r>
      <w:r>
        <w:rPr>
          <w:lang w:val="en_US" w:bidi="en_US"/>
        </w:rPr>
        <w:t xml:space="preserve"> Phanuel who was from the tribe of Asher.</w:t>
      </w:r>
    </w:p>
    <w:p>
      <w:pPr>
        <w:pStyle w:val="ListBullet"/>
        <w:spacing w:line="240" w:lineRule="auto"/>
        <w:ind w:left="720"/>
      </w:pPr>
      <w:r>
        <w:rPr>
          <w:lang w:val="en_US" w:bidi="en_US"/>
        </w:rPr>
      </w:r>
      <w:r>
        <w:rPr>
          <w:lang w:val="en_US" w:bidi="en_US"/>
        </w:rPr>
        <w:t>Her father was Phanuel. He was from the clan of Asher.</w:t>
      </w:r>
    </w:p>
    <w:p>
      <w:pPr/>
      <w:r>
        <w:rPr>
          <w:lang w:val="en_US" w:bidi="en_US"/>
        </w:rPr>
      </w:r>
      <w:r>
        <w:rPr>
          <w:b/>
          <w:lang w:val="en_US" w:bidi="en_US"/>
        </w:rPr>
        <w:t>the daughter of Phanuel:</w:t>
      </w:r>
      <w:r>
        <w:rPr>
          <w:lang w:val="en_US" w:bidi="en_US"/>
        </w:rPr>
        <w:t xml:space="preserve"> The Greek phrase that the BSB translates as </w:t>
      </w:r>
      <w:r>
        <w:rPr>
          <w:i/>
          <w:lang w:val="en_US" w:bidi="en_US"/>
        </w:rPr>
        <w:t>the daughter of Phanuel</w:t>
      </w:r>
      <w:r>
        <w:rPr>
          <w:lang w:val="en_US" w:bidi="en_US"/>
        </w:rPr>
        <w:t xml:space="preserve"> is literally “daughter of Phanuel.” It does not imply that she was Phanuel’s only daughter or that he did not have sons.</w:t>
      </w:r>
    </w:p>
    <w:p>
      <w:pPr/>
      <w:r>
        <w:rPr>
          <w:lang w:val="en_US" w:bidi="en_US"/>
        </w:rPr>
      </w:r>
      <w:r>
        <w:rPr>
          <w:i/>
          <w:lang w:val="en_US" w:bidi="en_US"/>
        </w:rPr>
        <w:t>Phanuel</w:t>
      </w:r>
      <w:r>
        <w:rPr>
          <w:lang w:val="en_US" w:bidi="en_US"/>
        </w:rPr>
        <w:t xml:space="preserve"> was the name of a man. It refers to Anna’s father (or to a male ancestor), not to her mother. Another way to translate this is:</w:t>
      </w:r>
    </w:p>
    <w:p>
      <w:pPr/>
      <w:r>
        <w:rPr>
          <w:lang w:val="en_US" w:bidi="en_US"/>
        </w:rPr>
      </w:r>
      <w:r>
        <w:rPr>
          <w:lang w:val="en_US" w:bidi="en_US"/>
        </w:rPr>
        <w:t>Her father was Phanuel (TRT)</w:t>
      </w:r>
    </w:p>
    <w:p>
      <w:pPr/>
      <w:r>
        <w:rPr>
          <w:lang w:val="en_US" w:bidi="en_US"/>
        </w:rPr>
      </w:r>
      <w:r>
        <w:rPr>
          <w:b/>
          <w:lang w:val="en_US" w:bidi="en_US"/>
        </w:rPr>
        <w:t>the tribe of Asher:</w:t>
      </w:r>
      <w:r>
        <w:rPr>
          <w:lang w:val="en_US" w:bidi="en_US"/>
        </w:rPr>
        <w:t xml:space="preserve"> </w:t>
      </w:r>
      <w:r>
        <w:rPr>
          <w:i/>
          <w:lang w:val="en_US" w:bidi="en_US"/>
        </w:rPr>
        <w:t>Asher</w:t>
      </w:r>
      <w:r>
        <w:rPr>
          <w:lang w:val="en_US" w:bidi="en_US"/>
        </w:rPr>
        <w:t xml:space="preserve"> was one of the twelve sons of Jacob. Jacob’s other name was Israel. Each of Israel’s sons had many descendants and formed large family groups who were all descendants of Israel. In English such groups can be called “tribes” or “clans.” Anna and her father Phanuel belonged to the clan/tribe that was named for its ancestor </w:t>
      </w:r>
      <w:r>
        <w:rPr>
          <w:i/>
          <w:lang w:val="en_US" w:bidi="en_US"/>
        </w:rPr>
        <w:t>Asher</w:t>
      </w:r>
      <w:r>
        <w:rPr>
          <w:lang w:val="en_US" w:bidi="en_US"/>
        </w:rPr>
        <w:t>. Use an appropriate term to describe such a family group in your language.</w:t>
      </w:r>
    </w:p>
    <w:p>
      <w:pPr>
        <w:pStyle w:val="Heading5"/>
      </w:pPr>
      <w:r>
        <w:rPr>
          <w:lang w:val="en_US" w:bidi="en_US"/>
        </w:rPr>
        <w:t>2:36c</w:t>
      </w:r>
    </w:p>
    <w:p>
      <w:pPr/>
      <w:r>
        <w:rPr>
          <w:lang w:val="en_US" w:bidi="en_US"/>
        </w:rPr>
      </w:r>
      <w:r>
        <w:rPr>
          <w:b/>
          <w:lang w:val="en_US" w:bidi="en_US"/>
        </w:rPr>
        <w:t>who was well along in years.</w:t>
      </w:r>
    </w:p>
    <w:p>
      <w:pPr>
        <w:pStyle w:val="ListBullet"/>
        <w:spacing w:line="240" w:lineRule="auto"/>
        <w:ind w:left="720"/>
      </w:pPr>
      <w:r>
        <w:rPr>
          <w:lang w:val="en_US" w:bidi="en_US"/>
        </w:rPr>
      </w:r>
      <w:r>
        <w:rPr>
          <w:lang w:val="en_US" w:bidi="en_US"/>
        </w:rPr>
        <w:t>Anna was a very old woman.</w:t>
      </w:r>
    </w:p>
    <w:p>
      <w:pPr/>
      <w:r>
        <w:rPr>
          <w:lang w:val="en_US" w:bidi="en_US"/>
        </w:rPr>
      </w:r>
      <w:r>
        <w:rPr>
          <w:b/>
          <w:lang w:val="en_US" w:bidi="en_US"/>
        </w:rPr>
        <w:t>who was well along in years:</w:t>
      </w:r>
      <w:r>
        <w:rPr>
          <w:lang w:val="en_US" w:bidi="en_US"/>
        </w:rPr>
        <w:t xml:space="preserve"> The Greek clause that the BSB translates as </w:t>
      </w:r>
      <w:r>
        <w:rPr>
          <w:i/>
          <w:lang w:val="en_US" w:bidi="en_US"/>
        </w:rPr>
        <w:t>who was well along in years</w:t>
      </w:r>
      <w:r>
        <w:rPr>
          <w:lang w:val="en_US" w:bidi="en_US"/>
        </w:rPr>
        <w:t xml:space="preserve"> is more literally “she was advanced in many days.” This is an idiom that emphasizes that Anna was very old. If you have an idiom that expresses this, you may be able to use it here.</w:t>
      </w:r>
    </w:p>
    <w:p>
      <w:pPr>
        <w:pStyle w:val="Heading5"/>
      </w:pPr>
      <w:r>
        <w:rPr>
          <w:lang w:val="en_US" w:bidi="en_US"/>
        </w:rPr>
        <w:t>2:36d</w:t>
      </w:r>
    </w:p>
    <w:p>
      <w:pPr/>
      <w:r>
        <w:rPr>
          <w:lang w:val="en_US" w:bidi="en_US"/>
        </w:rPr>
      </w:r>
      <w:r>
        <w:rPr>
          <w:b/>
          <w:lang w:val="en_US" w:bidi="en_US"/>
        </w:rPr>
        <w:t>She had been married for seven years,</w:t>
      </w:r>
    </w:p>
    <w:p>
      <w:pPr>
        <w:pStyle w:val="ListBullet"/>
        <w:spacing w:line="240" w:lineRule="auto"/>
        <w:ind w:left="720"/>
      </w:pPr>
      <w:r>
        <w:rPr>
          <w:lang w:val="en_US" w:bidi="en_US"/>
        </w:rPr>
      </w:r>
      <w:r>
        <w:rPr>
          <w:lang w:val="en_US" w:bidi="en_US"/>
        </w:rPr>
        <w:t>She had married and lived with her husband for seven years.</w:t>
      </w:r>
    </w:p>
    <w:p>
      <w:pPr>
        <w:pStyle w:val="ListBullet"/>
        <w:spacing w:line="240" w:lineRule="auto"/>
        <w:ind w:left="720"/>
      </w:pPr>
      <w:r>
        <w:rPr>
          <w:lang w:val="en_US" w:bidi="en_US"/>
        </w:rPr>
      </w:r>
      <w:r>
        <w:rPr>
          <w:lang w:val="en_US" w:bidi="en_US"/>
        </w:rPr>
        <w:t xml:space="preserve">She had been married for </w:t>
      </w:r>
      <w:r>
        <w:rPr>
          <w:lang w:val="en_US" w:bidi="en_US"/>
        </w:rPr>
        <w:t>only</w:t>
      </w:r>
      <w:r>
        <w:rPr>
          <w:lang w:val="en_US" w:bidi="en_US"/>
        </w:rPr>
        <w:t xml:space="preserve"> seven years.</w:t>
      </w:r>
    </w:p>
    <w:p>
      <w:pPr>
        <w:pStyle w:val="ListBullet"/>
        <w:spacing w:line="240" w:lineRule="auto"/>
        <w:ind w:left="720"/>
      </w:pPr>
      <w:r>
        <w:rPr>
          <w:lang w:val="en_US" w:bidi="en_US"/>
        </w:rPr>
      </w:r>
      <w:r>
        <w:rPr>
          <w:lang w:val="en_US" w:bidi="en_US"/>
        </w:rPr>
        <w:t>She had married, and was married for seven years.</w:t>
      </w:r>
    </w:p>
    <w:p>
      <w:pPr/>
      <w:r>
        <w:rPr>
          <w:lang w:val="en_US" w:bidi="en_US"/>
        </w:rPr>
      </w:r>
      <w:r>
        <w:rPr>
          <w:b/>
          <w:lang w:val="en_US" w:bidi="en_US"/>
        </w:rPr>
        <w:t>She had been married for seven years:</w:t>
      </w:r>
      <w:r>
        <w:rPr>
          <w:lang w:val="en_US" w:bidi="en_US"/>
        </w:rPr>
        <w:t xml:space="preserve"> In Greek this part of the verse is literally “having lived with a husband seven years from her virginity” (as in the RSV). This means that Anna got married and was married for seven years. In this context, it also indicates that she had had only one husband.</w:t>
      </w:r>
      <w:r>
        <w:rPr>
          <w:lang w:val="en_US" w:bidi="en_US"/>
        </w:rPr>
      </w:r>
      <w:r>
        <w:rPr>
          <w:lang w:val="en_US" w:bidi="en_US"/>
        </w:rPr>
      </w:r>
    </w:p>
    <w:p>
      <w:pPr/>
      <w:r>
        <w:rPr>
          <w:lang w:val="en_US" w:bidi="en_US"/>
        </w:rPr>
      </w:r>
    </w:p>
    <w:p>
      <w:pPr>
        <w:pStyle w:val="Heading2"/>
      </w:pPr>
      <w:r>
        <w:rPr>
          <w:lang w:val="en_US" w:bidi="en_US"/>
        </w:rPr>
        <w:t>Luke 2:37</w:t>
      </w:r>
      <w:r>
        <w:rPr>
          <w:lang w:val="en_US" w:bidi="en_US"/>
        </w:rPr>
      </w:r>
    </w:p>
    <w:p>
      <w:pPr>
        <w:pStyle w:val="Heading4"/>
      </w:pPr>
      <w:r>
        <w:rPr>
          <w:lang w:val="en_US" w:bidi="en_US"/>
        </w:rPr>
        <w:t>Section 2:21–40: The baby Jesus at the temple</w:t>
      </w:r>
    </w:p>
    <w:p>
      <w:pPr/>
      <w:r>
        <w:rPr>
          <w:lang w:val="en_US" w:bidi="en_US"/>
        </w:rPr>
      </w:r>
      <w:r>
        <w:rPr>
          <w:lang w:val="en_US" w:bidi="en_US"/>
        </w:rPr>
        <w:t>The events in this section happened some days after Jesus was born.</w:t>
      </w:r>
    </w:p>
    <w:p>
      <w:pPr/>
      <w:r>
        <w:rPr>
          <w:lang w:val="en_US" w:bidi="en_US"/>
        </w:rPr>
      </w:r>
      <w:r>
        <w:rPr>
          <w:lang w:val="en_US" w:bidi="en_US"/>
        </w:rPr>
        <w:t>In 2:21–24, Luke mentioned three ceremonies that were done when Jewish boys were born:</w:t>
      </w:r>
    </w:p>
    <w:p>
      <w:pPr>
        <w:pStyle w:val="ListNumber"/>
        <w:numPr>
          <w:ilvl w:val="0"/>
          <w:numId w:val="57"/>
        </w:numPr>
        <w:spacing w:line="240" w:lineRule="auto"/>
        <w:ind w:left="720"/>
      </w:pPr>
      <w:r>
        <w:rPr>
          <w:lang w:val="en_US" w:bidi="en_US"/>
        </w:rPr>
      </w:r>
      <w:r>
        <w:rPr>
          <w:lang w:val="en_US" w:bidi="en_US"/>
        </w:rPr>
        <w:t>the baby boy was circumcised;</w:t>
      </w:r>
    </w:p>
    <w:p>
      <w:pPr>
        <w:pStyle w:val="ListNumber"/>
        <w:spacing w:line="240" w:lineRule="auto"/>
        <w:ind w:left="720"/>
      </w:pPr>
      <w:r>
        <w:rPr>
          <w:lang w:val="en_US" w:bidi="en_US"/>
        </w:rPr>
      </w:r>
      <w:r>
        <w:rPr>
          <w:lang w:val="en_US" w:bidi="en_US"/>
        </w:rPr>
        <w:t>the mother was ritually purified;</w:t>
      </w:r>
    </w:p>
    <w:p>
      <w:pPr>
        <w:pStyle w:val="ListNumber"/>
        <w:spacing w:line="240" w:lineRule="auto"/>
        <w:ind w:left="720"/>
      </w:pPr>
      <w:r>
        <w:rPr>
          <w:lang w:val="en_US" w:bidi="en_US"/>
        </w:rPr>
      </w:r>
      <w:r>
        <w:rPr>
          <w:lang w:val="en_US" w:bidi="en_US"/>
        </w:rPr>
        <w:t>the baby boy was presented to God.</w:t>
      </w:r>
    </w:p>
    <w:p>
      <w:pPr/>
      <w:r>
        <w:rPr>
          <w:lang w:val="en_US" w:bidi="en_US"/>
        </w:rPr>
      </w:r>
      <w:r>
        <w:rPr>
          <w:lang w:val="en_US" w:bidi="en_US"/>
        </w:rPr>
        <w:t>In 2:25–38 Luke described two other events that happened while Joseph, Mary, and Jesus were at the temple in Jerusalem. God allowed two righteous people named Simeon and Anna to see Jesus and to thank God for him. Simeon spoke a prophecy about Jesus and Mary.</w:t>
      </w:r>
    </w:p>
    <w:p>
      <w:pPr/>
      <w:r>
        <w:rPr>
          <w:lang w:val="en_US" w:bidi="en_US"/>
        </w:rPr>
      </w:r>
      <w:r>
        <w:rPr>
          <w:lang w:val="en_US" w:bidi="en_US"/>
        </w:rP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Parents Obey Moses’ Teachings (GW)</w:t>
      </w:r>
    </w:p>
    <w:p>
      <w:pPr/>
      <w:r>
        <w:rPr>
          <w:lang w:val="en_US" w:bidi="en_US"/>
        </w:rPr>
      </w:r>
      <w:r>
        <w:rPr>
          <w:lang w:val="en_US" w:bidi="en_US"/>
        </w:rPr>
        <w:t>Jesus Presented at the Temple (NASB)</w:t>
      </w:r>
    </w:p>
    <w:p>
      <w:pPr/>
      <w:r>
        <w:rPr>
          <w:lang w:val="en_US" w:bidi="en_US"/>
        </w:rPr>
      </w:r>
      <w:r>
        <w:rPr>
          <w:lang w:val="en_US" w:bidi="en_US"/>
        </w:rPr>
        <w:t>Some English versions begin new sections at 2:25 and at 2:36. If you decide to do this in your translation, some possible headings are:</w:t>
      </w:r>
    </w:p>
    <w:p>
      <w:pPr/>
      <w:r>
        <w:rPr>
          <w:lang w:val="en_US" w:bidi="en_US"/>
        </w:rPr>
      </w:r>
      <w:r>
        <w:rPr>
          <w:lang w:val="en_US" w:bidi="en_US"/>
        </w:rPr>
        <w:t>Simeon saw Jesus and prophesied about him (2:25)</w:t>
      </w:r>
    </w:p>
    <w:p>
      <w:pPr/>
      <w:r>
        <w:rPr>
          <w:lang w:val="en_US" w:bidi="en_US"/>
        </w:rPr>
      </w:r>
      <w:r>
        <w:rPr>
          <w:lang w:val="en_US" w:bidi="en_US"/>
        </w:rPr>
        <w:t>Anna thanked God for Jesus and told others about him (2:36)</w:t>
      </w:r>
    </w:p>
    <w:p>
      <w:pPr/>
      <w:r>
        <w:rPr>
          <w:lang w:val="en_US" w:bidi="en_US"/>
        </w:rPr>
      </w:r>
      <w:r>
        <w:rPr>
          <w:lang w:val="en_US" w:bidi="en_US"/>
        </w:rPr>
        <w:t>Simeon’s Prophecy (2:25)</w:t>
      </w:r>
    </w:p>
    <w:p>
      <w:pPr/>
      <w:r>
        <w:rPr>
          <w:lang w:val="en_US" w:bidi="en_US"/>
        </w:rPr>
      </w:r>
      <w:r>
        <w:rPr>
          <w:lang w:val="en_US" w:bidi="en_US"/>
        </w:rPr>
        <w:t>Anna’s Prophecy (2:36)</w:t>
      </w:r>
    </w:p>
    <w:p>
      <w:pPr>
        <w:pStyle w:val="Heading4"/>
      </w:pPr>
      <w:r>
        <w:rPr>
          <w:lang w:val="en_US" w:bidi="en_US"/>
        </w:rPr>
        <w:t>Paragraph 2:36–38</w:t>
      </w:r>
    </w:p>
    <w:p>
      <w:pPr/>
      <w:r>
        <w:rPr>
          <w:lang w:val="en_US" w:bidi="en_US"/>
        </w:rPr>
      </w:r>
      <w:r>
        <w:rPr>
          <w:lang w:val="en_US" w:bidi="en_US"/>
        </w:rPr>
        <w:t>This paragraph begins with background information. It introduces a woman named Anna and tells about her. The event in 2:38 happened immediately after Simeon’s blessing in 2:34–35. Indicate the background information in a natural way in your language. In some languages, you may want to put part of 2:38a at the beginning of the paragraph. For example:</w:t>
      </w:r>
    </w:p>
    <w:p>
      <w:pPr/>
      <w:r>
        <w:rPr>
          <w:lang w:val="en_US" w:bidi="en_US"/>
        </w:rPr>
      </w:r>
      <w:r>
        <w:rPr>
          <w:vertAlign w:val="superscript"/>
          <w:lang w:val="en_US" w:bidi="en_US"/>
        </w:rPr>
        <w:t>38a</w:t>
      </w:r>
      <w:r>
        <w:rPr>
          <w:lang w:val="en_US" w:bidi="en_US"/>
        </w:rPr>
        <w:t xml:space="preserve">At that very moment a prophetess came up to them. </w:t>
      </w:r>
      <w:r>
        <w:rPr>
          <w:vertAlign w:val="superscript"/>
          <w:lang w:val="en_US" w:bidi="en_US"/>
        </w:rPr>
        <w:t>36a</w:t>
      </w:r>
      <w:r>
        <w:rPr>
          <w:lang w:val="en_US" w:bidi="en_US"/>
        </w:rPr>
        <w:t>Her name was Anna….</w:t>
      </w:r>
    </w:p>
    <w:p>
      <w:pPr>
        <w:pStyle w:val="Heading5"/>
      </w:pPr>
      <w:r>
        <w:rPr>
          <w:lang w:val="en_US" w:bidi="en_US"/>
        </w:rPr>
        <w:t>2:37a</w:t>
      </w:r>
    </w:p>
    <w:p>
      <w:pPr/>
      <w:r>
        <w:rPr>
          <w:lang w:val="en_US" w:bidi="en_US"/>
        </w:rPr>
      </w:r>
      <w:r>
        <w:rPr>
          <w:b/>
          <w:lang w:val="en_US" w:bidi="en_US"/>
        </w:rPr>
        <w:t>and then was a widow to the age of eighty-four.</w:t>
      </w:r>
    </w:p>
    <w:p>
      <w:pPr>
        <w:pStyle w:val="ListBullet"/>
        <w:spacing w:line="240" w:lineRule="auto"/>
        <w:ind w:left="720"/>
      </w:pPr>
      <w:r>
        <w:rPr>
          <w:lang w:val="en_US" w:bidi="en_US"/>
        </w:rPr>
      </w:r>
      <w:r>
        <w:rPr>
          <w:lang w:val="en_US" w:bidi="en_US"/>
        </w:rPr>
        <w:t xml:space="preserve">Then </w:t>
      </w:r>
      <w:r>
        <w:rPr>
          <w:lang w:val="en_US" w:bidi="en_US"/>
        </w:rPr>
        <w:t>he died</w:t>
      </w:r>
      <w:r>
        <w:rPr>
          <w:lang w:val="en_US" w:bidi="en_US"/>
        </w:rPr>
        <w:t xml:space="preserve"> and she was a widow until she was eighty-four years old.</w:t>
      </w:r>
    </w:p>
    <w:p>
      <w:pPr>
        <w:pStyle w:val="ListBullet"/>
        <w:spacing w:line="240" w:lineRule="auto"/>
        <w:ind w:left="720"/>
      </w:pPr>
      <w:r>
        <w:rPr>
          <w:lang w:val="en_US" w:bidi="en_US"/>
        </w:rPr>
      </w:r>
      <w:r>
        <w:rPr>
          <w:lang w:val="en_US" w:bidi="en_US"/>
        </w:rPr>
        <w:t xml:space="preserve">Then </w:t>
      </w:r>
      <w:r>
        <w:rPr>
          <w:lang w:val="en_US" w:bidi="en_US"/>
        </w:rPr>
        <w:t>her husband died and</w:t>
      </w:r>
      <w:r>
        <w:rPr>
          <w:lang w:val="en_US" w:bidi="en_US"/>
        </w:rPr>
        <w:t xml:space="preserve"> she remained a widow ever since then. She was </w:t>
      </w:r>
      <w:r>
        <w:rPr>
          <w:lang w:val="en_US" w:bidi="en_US"/>
        </w:rPr>
        <w:t>now</w:t>
      </w:r>
      <w:r>
        <w:rPr>
          <w:lang w:val="en_US" w:bidi="en_US"/>
        </w:rPr>
        <w:t xml:space="preserve"> eighty-four years old.</w:t>
      </w:r>
    </w:p>
    <w:p>
      <w:pPr/>
      <w:r>
        <w:rPr>
          <w:lang w:val="en_US" w:bidi="en_US"/>
        </w:rPr>
      </w:r>
      <w:r>
        <w:rPr>
          <w:b/>
          <w:lang w:val="en_US" w:bidi="en_US"/>
        </w:rPr>
        <w:t>and then was a widow to the age of eighty-four:</w:t>
      </w:r>
      <w:r>
        <w:rPr>
          <w:lang w:val="en_US" w:bidi="en_US"/>
        </w:rPr>
        <w:t xml:space="preserve"> This clause implies that:</w:t>
      </w:r>
    </w:p>
    <w:p>
      <w:pPr>
        <w:pStyle w:val="ListNumber"/>
        <w:numPr>
          <w:ilvl w:val="0"/>
          <w:numId w:val="58"/>
        </w:numPr>
        <w:spacing w:line="240" w:lineRule="auto"/>
        <w:ind w:left="720"/>
      </w:pPr>
      <w:r>
        <w:rPr>
          <w:lang w:val="en_US" w:bidi="en_US"/>
        </w:rPr>
      </w:r>
      <w:r>
        <w:rPr>
          <w:lang w:val="en_US" w:bidi="en_US"/>
        </w:rPr>
        <w:t>her husband died (after they had been married for seven years);</w:t>
      </w:r>
    </w:p>
    <w:p>
      <w:pPr>
        <w:pStyle w:val="ListNumber"/>
        <w:spacing w:line="240" w:lineRule="auto"/>
        <w:ind w:left="720"/>
      </w:pPr>
      <w:r>
        <w:rPr>
          <w:lang w:val="en_US" w:bidi="en_US"/>
        </w:rPr>
      </w:r>
      <w:r>
        <w:rPr>
          <w:lang w:val="en_US" w:bidi="en_US"/>
        </w:rPr>
        <w:t>she remained a widow, that is, she never married again.</w:t>
      </w:r>
    </w:p>
    <w:p>
      <w:pPr/>
      <w:r>
        <w:rPr>
          <w:lang w:val="en_US" w:bidi="en_US"/>
        </w:rPr>
      </w:r>
      <w:r>
        <w:rPr>
          <w:b/>
          <w:lang w:val="en_US" w:bidi="en_US"/>
        </w:rPr>
        <w:t>to the age of eighty-four:</w:t>
      </w:r>
      <w:r>
        <w:rPr>
          <w:lang w:val="en_US" w:bidi="en_US"/>
        </w:rPr>
        <w:t xml:space="preserve"> The Greek text that the BSB translates </w:t>
      </w:r>
      <w:r>
        <w:rPr>
          <w:i/>
          <w:lang w:val="en_US" w:bidi="en_US"/>
        </w:rPr>
        <w:t>to the age of eighty-four</w:t>
      </w:r>
      <w:r>
        <w:rPr>
          <w:lang w:val="en_US" w:bidi="en_US"/>
        </w:rPr>
        <w:t xml:space="preserve"> is literally “until eighty-four years.” Scholars interpret the phrase “until eighty-four years” in two ways:</w:t>
      </w:r>
    </w:p>
    <w:p>
      <w:pPr>
        <w:pStyle w:val="ListNumber"/>
        <w:numPr>
          <w:ilvl w:val="0"/>
          <w:numId w:val="59"/>
        </w:numPr>
        <w:spacing w:line="240" w:lineRule="auto"/>
        <w:ind w:left="720"/>
      </w:pPr>
      <w:r>
        <w:rPr>
          <w:lang w:val="en_US" w:bidi="en_US"/>
        </w:rPr>
      </w:r>
      <w:r>
        <w:rPr>
          <w:lang w:val="en_US" w:bidi="en_US"/>
        </w:rPr>
        <w:t xml:space="preserve">It refers to Anna’s </w:t>
      </w:r>
      <w:r>
        <w:rPr>
          <w:u w:val="single"/>
          <w:lang w:val="en_US" w:bidi="en_US"/>
        </w:rPr>
        <w:t>age</w:t>
      </w:r>
      <w:r>
        <w:rPr>
          <w:lang w:val="en_US" w:bidi="en_US"/>
        </w:rPr>
        <w:t xml:space="preserve"> at the time of this story. She was eighty-four years old (and had been a widow after having been married for seven years). For example:</w:t>
      </w:r>
      <w:r>
        <w:rPr>
          <w:lang w:val="en_US" w:bidi="en_US"/>
        </w:rPr>
        <w:t xml:space="preserve">She was now eighty-four years old. (NLT96) </w:t>
      </w:r>
      <w:r>
        <w:rPr>
          <w:i/>
          <w:lang w:val="en_US" w:bidi="en_US"/>
        </w:rPr>
        <w:t>(BSB, NIV, GNT, RSV, NJB, NASB, REB, KJV, NLT, CEV, JBP)</w:t>
      </w:r>
    </w:p>
    <w:p>
      <w:pPr>
        <w:pStyle w:val="ListNumber"/>
        <w:spacing w:line="240" w:lineRule="auto"/>
        <w:ind w:left="720"/>
      </w:pPr>
      <w:r>
        <w:rPr>
          <w:lang w:val="en_US" w:bidi="en_US"/>
        </w:rPr>
      </w:r>
      <w:r>
        <w:rPr>
          <w:lang w:val="en_US" w:bidi="en_US"/>
        </w:rPr>
        <w:t xml:space="preserve">It refers to the </w:t>
      </w:r>
      <w:r>
        <w:rPr>
          <w:u w:val="single"/>
          <w:lang w:val="en_US" w:bidi="en_US"/>
        </w:rPr>
        <w:t>length of her widowhood</w:t>
      </w:r>
      <w:r>
        <w:rPr>
          <w:lang w:val="en_US" w:bidi="en_US"/>
        </w:rPr>
        <w:t>. She had been a widow for eighty-four years. This implies that she was over one hundred years old at the time of this story. For example:</w:t>
      </w:r>
      <w:r>
        <w:rPr>
          <w:lang w:val="en_US" w:bidi="en_US"/>
        </w:rPr>
        <w:t xml:space="preserve">She had lived as a widow since then for eighty-four years. (NET) </w:t>
      </w:r>
      <w:r>
        <w:rPr>
          <w:i/>
          <w:lang w:val="en_US" w:bidi="en_US"/>
        </w:rPr>
        <w:t>(NET, NCV, GW)</w:t>
      </w:r>
    </w:p>
    <w:p>
      <w:pPr/>
      <w:r>
        <w:rPr>
          <w:lang w:val="en_US" w:bidi="en_US"/>
        </w:rPr>
      </w:r>
      <w:r>
        <w:rPr>
          <w:lang w:val="en_US" w:bidi="en_US"/>
        </w:rPr>
        <w:t>It is recommended that you follow interpretation (1), as the majority of English versions do.</w:t>
      </w:r>
    </w:p>
    <w:p>
      <w:pPr>
        <w:pStyle w:val="Heading6"/>
      </w:pPr>
      <w:r>
        <w:rPr>
          <w:b/>
          <w:lang w:val="en_US" w:bidi="en_US"/>
        </w:rPr>
        <w:t>General Comment on 2:36c–37a</w:t>
      </w:r>
    </w:p>
    <w:p>
      <w:pPr/>
      <w:r>
        <w:rPr>
          <w:lang w:val="en_US" w:bidi="en_US"/>
        </w:rPr>
      </w:r>
      <w:r>
        <w:rPr>
          <w:lang w:val="en_US" w:bidi="en_US"/>
        </w:rPr>
        <w:t>In some languages, it may be more natural to reorder some of the phrases in these verse parts. For example:</w:t>
      </w:r>
    </w:p>
    <w:p>
      <w:pPr/>
      <w:r>
        <w:rPr>
          <w:lang w:val="en_US" w:bidi="en_US"/>
        </w:rPr>
      </w:r>
      <w:r>
        <w:rPr>
          <w:vertAlign w:val="superscript"/>
          <w:lang w:val="en_US" w:bidi="en_US"/>
        </w:rPr>
        <w:t>36d</w:t>
      </w:r>
      <w:r>
        <w:rPr>
          <w:lang w:val="en_US" w:bidi="en_US"/>
        </w:rPr>
        <w:t xml:space="preserve">She had been married for seven years </w:t>
      </w:r>
      <w:r>
        <w:rPr>
          <w:lang w:val="en_US" w:bidi="en_US"/>
        </w:rPr>
        <w:t>and then she became</w:t>
      </w:r>
      <w:r>
        <w:rPr>
          <w:lang w:val="en_US" w:bidi="en_US"/>
        </w:rPr>
        <w:t xml:space="preserve"> </w:t>
      </w:r>
      <w:r>
        <w:rPr>
          <w:vertAlign w:val="superscript"/>
          <w:lang w:val="en_US" w:bidi="en_US"/>
        </w:rPr>
        <w:t>37a</w:t>
      </w:r>
      <w:r>
        <w:rPr>
          <w:lang w:val="en_US" w:bidi="en_US"/>
        </w:rPr>
        <w:t xml:space="preserve">a widow. </w:t>
      </w:r>
      <w:r>
        <w:rPr>
          <w:vertAlign w:val="superscript"/>
          <w:lang w:val="en_US" w:bidi="en_US"/>
        </w:rPr>
        <w:t>36c</w:t>
      </w:r>
      <w:r>
        <w:rPr>
          <w:lang w:val="en_US" w:bidi="en_US"/>
        </w:rPr>
        <w:t xml:space="preserve">She was now very old: </w:t>
      </w:r>
      <w:r>
        <w:rPr>
          <w:vertAlign w:val="superscript"/>
          <w:lang w:val="en_US" w:bidi="en_US"/>
        </w:rPr>
        <w:t>37a</w:t>
      </w:r>
      <w:r>
        <w:rPr>
          <w:lang w:val="en_US" w:bidi="en_US"/>
        </w:rPr>
        <w:t xml:space="preserve">eighty-four years </w:t>
      </w:r>
      <w:r>
        <w:rPr>
          <w:lang w:val="en_US" w:bidi="en_US"/>
        </w:rPr>
        <w:t>old</w:t>
      </w:r>
      <w:r>
        <w:rPr>
          <w:lang w:val="en_US" w:bidi="en_US"/>
        </w:rPr>
        <w:t>.</w:t>
      </w:r>
    </w:p>
    <w:p>
      <w:pPr>
        <w:pStyle w:val="Heading5"/>
      </w:pPr>
      <w:r>
        <w:rPr>
          <w:lang w:val="en_US" w:bidi="en_US"/>
        </w:rPr>
        <w:t>2:37b</w:t>
      </w:r>
    </w:p>
    <w:p>
      <w:pPr/>
      <w:r>
        <w:rPr>
          <w:lang w:val="en_US" w:bidi="en_US"/>
        </w:rPr>
      </w:r>
      <w:r>
        <w:rPr>
          <w:b/>
          <w:lang w:val="en_US" w:bidi="en_US"/>
        </w:rPr>
        <w:t>She never left the temple,</w:t>
      </w:r>
    </w:p>
    <w:p>
      <w:pPr>
        <w:pStyle w:val="ListBullet"/>
        <w:spacing w:line="240" w:lineRule="auto"/>
        <w:ind w:left="720"/>
      </w:pPr>
      <w:r>
        <w:rPr>
          <w:lang w:val="en_US" w:bidi="en_US"/>
        </w:rPr>
      </w:r>
      <w:r>
        <w:rPr>
          <w:lang w:val="en_US" w:bidi="en_US"/>
        </w:rPr>
        <w:t>She rarely left the temple.</w:t>
      </w:r>
    </w:p>
    <w:p>
      <w:pPr>
        <w:pStyle w:val="ListBullet"/>
        <w:spacing w:line="240" w:lineRule="auto"/>
        <w:ind w:left="720"/>
      </w:pPr>
      <w:r>
        <w:rPr>
          <w:lang w:val="en_US" w:bidi="en_US"/>
        </w:rPr>
      </w:r>
      <w:r>
        <w:rPr>
          <w:lang w:val="en_US" w:bidi="en_US"/>
        </w:rPr>
        <w:t>She was continually in the temple,</w:t>
      </w:r>
    </w:p>
    <w:p>
      <w:pPr/>
      <w:r>
        <w:rPr>
          <w:lang w:val="en_US" w:bidi="en_US"/>
        </w:rPr>
      </w:r>
      <w:r>
        <w:rPr>
          <w:b/>
          <w:lang w:val="en_US" w:bidi="en_US"/>
        </w:rPr>
        <w:t>She never left the temple:</w:t>
      </w:r>
      <w:r>
        <w:rPr>
          <w:lang w:val="en_US" w:bidi="en_US"/>
        </w:rPr>
        <w:t xml:space="preserve"> There are two ways to interpret the clause </w:t>
      </w:r>
      <w:r>
        <w:rPr>
          <w:i/>
          <w:lang w:val="en_US" w:bidi="en_US"/>
        </w:rPr>
        <w:t>She never left the temple</w:t>
      </w:r>
      <w:r>
        <w:rPr>
          <w:lang w:val="en_US" w:bidi="en_US"/>
        </w:rPr>
        <w:t>:</w:t>
      </w:r>
    </w:p>
    <w:p>
      <w:pPr>
        <w:pStyle w:val="ListNumber"/>
        <w:numPr>
          <w:ilvl w:val="0"/>
          <w:numId w:val="60"/>
        </w:numPr>
        <w:spacing w:line="240" w:lineRule="auto"/>
        <w:ind w:left="720"/>
      </w:pPr>
      <w:r>
        <w:rPr>
          <w:lang w:val="en_US" w:bidi="en_US"/>
        </w:rPr>
      </w:r>
      <w:r>
        <w:rPr>
          <w:lang w:val="en_US" w:bidi="en_US"/>
        </w:rPr>
        <w:t xml:space="preserve">It is </w:t>
      </w:r>
      <w:r>
        <w:rPr>
          <w:u w:val="single"/>
          <w:lang w:val="en_US" w:bidi="en_US"/>
        </w:rPr>
        <w:t>hyperbole</w:t>
      </w:r>
      <w:r>
        <w:rPr>
          <w:lang w:val="en_US" w:bidi="en_US"/>
        </w:rPr>
        <w:t>. That is, it is an exaggerated statement to emphasize how frequently Anna was at the temple. She never missed any of the temple services.</w:t>
      </w:r>
    </w:p>
    <w:p>
      <w:pPr>
        <w:pStyle w:val="ListNumber"/>
        <w:spacing w:line="240" w:lineRule="auto"/>
        <w:ind w:left="720"/>
      </w:pPr>
      <w:r>
        <w:rPr>
          <w:lang w:val="en_US" w:bidi="en_US"/>
        </w:rPr>
      </w:r>
      <w:r>
        <w:rPr>
          <w:lang w:val="en_US" w:bidi="en_US"/>
        </w:rPr>
        <w:t xml:space="preserve">It is </w:t>
      </w:r>
      <w:r>
        <w:rPr>
          <w:u w:val="single"/>
          <w:lang w:val="en_US" w:bidi="en_US"/>
        </w:rPr>
        <w:t>literal</w:t>
      </w:r>
      <w:r>
        <w:rPr>
          <w:lang w:val="en_US" w:bidi="en_US"/>
        </w:rPr>
        <w:t>. This means that Anna never went away from the temple area. She even slept there.</w:t>
      </w:r>
    </w:p>
    <w:p>
      <w:pPr/>
      <w:r>
        <w:rPr>
          <w:lang w:val="en_US" w:bidi="en_US"/>
        </w:rPr>
      </w:r>
      <w:r>
        <w:rPr>
          <w:lang w:val="en_US" w:bidi="en_US"/>
        </w:rPr>
        <w:t>It is recommended that you follow meaning (1). If people will not understand that this clause is hyperbole, you will need to use an expression that indicates that Anna was at the temple very often. For example:</w:t>
      </w:r>
    </w:p>
    <w:p>
      <w:pPr/>
      <w:r>
        <w:rPr>
          <w:lang w:val="en_US" w:bidi="en_US"/>
        </w:rPr>
      </w:r>
      <w:r>
        <w:rPr>
          <w:lang w:val="en_US" w:bidi="en_US"/>
        </w:rPr>
        <w:t xml:space="preserve">Anna </w:t>
      </w:r>
      <w:r>
        <w:rPr>
          <w:lang w:val="en_US" w:bidi="en_US"/>
        </w:rPr>
        <w:t>almost</w:t>
      </w:r>
      <w:r>
        <w:rPr>
          <w:lang w:val="en_US" w:bidi="en_US"/>
        </w:rPr>
        <w:t xml:space="preserve"> never left the temple.</w:t>
      </w:r>
    </w:p>
    <w:p>
      <w:pPr/>
      <w:r>
        <w:rPr>
          <w:lang w:val="en_US" w:bidi="en_US"/>
        </w:rPr>
      </w:r>
      <w:r>
        <w:rPr>
          <w:lang w:val="en_US" w:bidi="en_US"/>
        </w:rPr>
        <w:t xml:space="preserve">Anna was </w:t>
      </w:r>
      <w:r>
        <w:rPr>
          <w:lang w:val="en_US" w:bidi="en_US"/>
        </w:rPr>
        <w:t>almost</w:t>
      </w:r>
      <w:r>
        <w:rPr>
          <w:lang w:val="en_US" w:bidi="en_US"/>
        </w:rPr>
        <w:t xml:space="preserve"> always at the temple.</w:t>
      </w:r>
    </w:p>
    <w:p>
      <w:pPr/>
      <w:r>
        <w:rPr>
          <w:lang w:val="en_US" w:bidi="en_US"/>
        </w:rPr>
      </w:r>
      <w:r>
        <w:rPr>
          <w:lang w:val="en_US" w:bidi="en_US"/>
        </w:rPr>
        <w:t xml:space="preserve">Anna was </w:t>
      </w:r>
      <w:r>
        <w:rPr>
          <w:lang w:val="en_US" w:bidi="en_US"/>
        </w:rPr>
        <w:t>frequently</w:t>
      </w:r>
      <w:r>
        <w:rPr>
          <w:lang w:val="en_US" w:bidi="en_US"/>
        </w:rPr>
        <w:t xml:space="preserve"> at the temple.</w:t>
      </w:r>
    </w:p>
    <w:p>
      <w:pPr/>
      <w:r>
        <w:rPr>
          <w:lang w:val="en_US" w:bidi="en_US"/>
        </w:rPr>
      </w:r>
      <w:r>
        <w:rPr>
          <w:b/>
          <w:lang w:val="en_US" w:bidi="en_US"/>
        </w:rPr>
        <w:t>temple:</w:t>
      </w:r>
      <w:r>
        <w:rPr>
          <w:lang w:val="en_US" w:bidi="en_US"/>
        </w:rPr>
        <w:t xml:space="preserve"> As in 2:27a, Luke used the word </w:t>
      </w:r>
      <w:r>
        <w:rPr>
          <w:i/>
          <w:lang w:val="en_US" w:bidi="en_US"/>
        </w:rPr>
        <w:t>temple</w:t>
      </w:r>
      <w:r>
        <w:rPr>
          <w:lang w:val="en_US" w:bidi="en_US"/>
        </w:rPr>
        <w:t xml:space="preserve"> here to refer to the </w:t>
      </w:r>
      <w:r>
        <w:rPr>
          <w:i/>
          <w:lang w:val="en_US" w:bidi="en_US"/>
        </w:rPr>
        <w:t>temple</w:t>
      </w:r>
      <w:r>
        <w:rPr>
          <w:lang w:val="en_US" w:bidi="en_US"/>
        </w:rPr>
        <w:t xml:space="preserve"> courtyards. The </w:t>
      </w:r>
      <w:r>
        <w:rPr>
          <w:i/>
          <w:lang w:val="en_US" w:bidi="en_US"/>
        </w:rPr>
        <w:t>temple</w:t>
      </w:r>
      <w:r>
        <w:rPr>
          <w:lang w:val="en_US" w:bidi="en_US"/>
        </w:rPr>
        <w:t xml:space="preserve"> courtyards are the area around the main </w:t>
      </w:r>
      <w:r>
        <w:rPr>
          <w:i/>
          <w:lang w:val="en_US" w:bidi="en_US"/>
        </w:rPr>
        <w:t>temple</w:t>
      </w:r>
      <w:r>
        <w:rPr>
          <w:lang w:val="en_US" w:bidi="en_US"/>
        </w:rPr>
        <w:t xml:space="preserve"> building that was part of the temple compound/land.</w:t>
      </w:r>
    </w:p>
    <w:p>
      <w:pPr>
        <w:pStyle w:val="Heading5"/>
      </w:pPr>
      <w:r>
        <w:rPr>
          <w:lang w:val="en_US" w:bidi="en_US"/>
        </w:rPr>
        <w:t>2:37c</w:t>
      </w:r>
    </w:p>
    <w:p>
      <w:pPr/>
      <w:r>
        <w:rPr>
          <w:lang w:val="en_US" w:bidi="en_US"/>
        </w:rPr>
      </w:r>
      <w:r>
        <w:rPr>
          <w:b/>
          <w:lang w:val="en_US" w:bidi="en_US"/>
        </w:rPr>
        <w:t>but worshiped night and day, fasting and praying.</w:t>
      </w:r>
    </w:p>
    <w:p>
      <w:pPr>
        <w:pStyle w:val="ListBullet"/>
        <w:spacing w:line="240" w:lineRule="auto"/>
        <w:ind w:left="720"/>
      </w:pPr>
      <w:r>
        <w:rPr>
          <w:lang w:val="en_US" w:bidi="en_US"/>
        </w:rPr>
      </w:r>
      <w:r>
        <w:rPr>
          <w:lang w:val="en_US" w:bidi="en_US"/>
        </w:rPr>
        <w:t>She worshiped there very often with fasting and praying.</w:t>
      </w:r>
    </w:p>
    <w:p>
      <w:pPr>
        <w:pStyle w:val="ListBullet"/>
        <w:spacing w:line="240" w:lineRule="auto"/>
        <w:ind w:left="720"/>
      </w:pPr>
      <w:r>
        <w:rPr>
          <w:lang w:val="en_US" w:bidi="en_US"/>
        </w:rPr>
      </w:r>
      <w:r>
        <w:rPr>
          <w:lang w:val="en_US" w:bidi="en_US"/>
        </w:rPr>
        <w:t xml:space="preserve">and she served </w:t>
      </w:r>
      <w:r>
        <w:rPr>
          <w:lang w:val="en_US" w:bidi="en_US"/>
        </w:rPr>
        <w:t>God</w:t>
      </w:r>
      <w:r>
        <w:rPr>
          <w:lang w:val="en_US" w:bidi="en_US"/>
        </w:rPr>
        <w:t xml:space="preserve"> there day and night by not eating </w:t>
      </w:r>
      <w:r>
        <w:rPr>
          <w:lang w:val="en_US" w:bidi="en_US"/>
        </w:rPr>
        <w:t>for periods of time</w:t>
      </w:r>
      <w:r>
        <w:rPr>
          <w:lang w:val="en_US" w:bidi="en_US"/>
        </w:rPr>
        <w:t xml:space="preserve"> and by praying </w:t>
      </w:r>
      <w:r>
        <w:rPr>
          <w:lang w:val="en_US" w:bidi="en_US"/>
        </w:rPr>
        <w:t>to God</w:t>
      </w:r>
      <w:r>
        <w:rPr>
          <w:lang w:val="en_US" w:bidi="en_US"/>
        </w:rPr>
        <w:t>.</w:t>
      </w:r>
    </w:p>
    <w:p>
      <w:pPr/>
      <w:r>
        <w:rPr>
          <w:lang w:val="en_US" w:bidi="en_US"/>
        </w:rPr>
      </w:r>
      <w:r>
        <w:rPr>
          <w:b/>
          <w:lang w:val="en_US" w:bidi="en_US"/>
        </w:rPr>
        <w:t>but worshiped night and day, fasting and praying:</w:t>
      </w:r>
      <w:r>
        <w:rPr>
          <w:lang w:val="en_US" w:bidi="en_US"/>
        </w:rPr>
        <w:t xml:space="preserve"> The Greek phrase that the BSB translates as </w:t>
      </w:r>
      <w:r>
        <w:rPr>
          <w:i/>
          <w:lang w:val="en_US" w:bidi="en_US"/>
        </w:rPr>
        <w:t>but worshiped night and day, fasting and praying</w:t>
      </w:r>
      <w:r>
        <w:rPr>
          <w:lang w:val="en_US" w:bidi="en_US"/>
        </w:rPr>
        <w:t xml:space="preserve"> tells what Anna was doing while she was in the temple. The BSB has supplied the word </w:t>
      </w:r>
      <w:r>
        <w:rPr>
          <w:i/>
          <w:lang w:val="en_US" w:bidi="en_US"/>
        </w:rPr>
        <w:t>but</w:t>
      </w:r>
      <w:r>
        <w:rPr>
          <w:lang w:val="en_US" w:bidi="en_US"/>
        </w:rPr>
        <w:t xml:space="preserve"> because it is natural in English. The Greek text does not have a conjunction here. In many languages, a conjunction may not be needed. Here are examples of other ways to connect this part of the verse to the context:</w:t>
      </w:r>
    </w:p>
    <w:p>
      <w:pPr/>
      <w:r>
        <w:rPr>
          <w:lang w:val="en_US" w:bidi="en_US"/>
        </w:rPr>
      </w:r>
      <w:r>
        <w:rPr>
          <w:lang w:val="en_US" w:bidi="en_US"/>
        </w:rPr>
        <w:t>worshiping with fasting and prayer (NET)</w:t>
      </w:r>
    </w:p>
    <w:p>
      <w:pPr/>
      <w:r>
        <w:rPr>
          <w:lang w:val="en_US" w:bidi="en_US"/>
        </w:rPr>
      </w:r>
      <w:r>
        <w:rPr>
          <w:lang w:val="en_US" w:bidi="en_US"/>
        </w:rPr>
        <w:t>she worshiped God, fasting and praying (GNT)</w:t>
      </w:r>
    </w:p>
    <w:p>
      <w:pPr/>
      <w:r>
        <w:rPr>
          <w:lang w:val="en_US" w:bidi="en_US"/>
        </w:rPr>
      </w:r>
      <w:r>
        <w:rPr>
          <w:b/>
          <w:lang w:val="en_US" w:bidi="en_US"/>
        </w:rPr>
        <w:t>worshiped:</w:t>
      </w:r>
      <w:r>
        <w:rPr>
          <w:lang w:val="en_US" w:bidi="en_US"/>
        </w:rPr>
        <w:t xml:space="preserve"> The Greek word that the BSB translates as </w:t>
      </w:r>
      <w:r>
        <w:rPr>
          <w:i/>
          <w:lang w:val="en_US" w:bidi="en_US"/>
        </w:rPr>
        <w:t>worshiped</w:t>
      </w:r>
      <w:r>
        <w:rPr>
          <w:lang w:val="en_US" w:bidi="en_US"/>
        </w:rPr>
        <w:t xml:space="preserve"> also means “served.” Anna </w:t>
      </w:r>
      <w:r>
        <w:rPr>
          <w:i/>
          <w:lang w:val="en_US" w:bidi="en_US"/>
        </w:rPr>
        <w:t>worshiped</w:t>
      </w:r>
      <w:r>
        <w:rPr>
          <w:lang w:val="en_US" w:bidi="en_US"/>
        </w:rPr>
        <w:t xml:space="preserve"> or “served” God in the temple by fasting and praying. Be careful that the word you use here does not imply that Anna worked in the temple. Another way to translate this is:</w:t>
      </w:r>
    </w:p>
    <w:p>
      <w:pPr/>
      <w:r>
        <w:rPr>
          <w:lang w:val="en_US" w:bidi="en_US"/>
        </w:rPr>
      </w:r>
      <w:r>
        <w:rPr>
          <w:lang w:val="en_US" w:bidi="en_US"/>
        </w:rPr>
        <w:t>she served God…by praying and often going without eating (CEV)</w:t>
      </w:r>
    </w:p>
    <w:p>
      <w:pPr/>
      <w:r>
        <w:rPr>
          <w:lang w:val="en_US" w:bidi="en_US"/>
        </w:rPr>
      </w:r>
      <w:r>
        <w:rPr>
          <w:b/>
          <w:lang w:val="en_US" w:bidi="en_US"/>
        </w:rPr>
        <w:t>fasting and praying:</w:t>
      </w:r>
      <w:r>
        <w:rPr>
          <w:lang w:val="en_US" w:bidi="en_US"/>
        </w:rPr>
        <w:t xml:space="preserve"> In this context the word </w:t>
      </w:r>
      <w:r>
        <w:rPr>
          <w:i/>
          <w:lang w:val="en_US" w:bidi="en_US"/>
        </w:rPr>
        <w:t>fasting</w:t>
      </w:r>
      <w:r>
        <w:rPr>
          <w:lang w:val="en_US" w:bidi="en_US"/>
        </w:rPr>
        <w:t xml:space="preserve"> means “to go without food for a period of time for religious reasons.” Anna often did not eat so that she could think only about God and his kingdom and have much time to pray.</w:t>
      </w:r>
    </w:p>
    <w:p>
      <w:pPr/>
      <w:r>
        <w:rPr>
          <w:lang w:val="en_US" w:bidi="en_US"/>
        </w:rPr>
      </w:r>
      <w:r>
        <w:rPr>
          <w:b/>
          <w:lang w:val="en_US" w:bidi="en_US"/>
        </w:rPr>
        <w:t>praying:</w:t>
      </w:r>
      <w:r>
        <w:rPr>
          <w:lang w:val="en_US" w:bidi="en_US"/>
        </w:rPr>
        <w:t xml:space="preserve"> The Greek word that the BSB translates as </w:t>
      </w:r>
      <w:r>
        <w:rPr>
          <w:i/>
          <w:lang w:val="en_US" w:bidi="en_US"/>
        </w:rPr>
        <w:t>praying</w:t>
      </w:r>
      <w:r>
        <w:rPr>
          <w:lang w:val="en_US" w:bidi="en_US"/>
        </w:rPr>
        <w:t xml:space="preserve"> indicates here that Anna spoke or talked to God.</w:t>
      </w:r>
    </w:p>
    <w:p>
      <w:pPr/>
      <w:r>
        <w:rPr>
          <w:lang w:val="en_US" w:bidi="en_US"/>
        </w:rPr>
      </w:r>
      <w:r>
        <w:rPr>
          <w:lang w:val="en_US" w:bidi="en_US"/>
        </w:rPr>
        <w:t>Some languages may use different words to refer to specific kinds of prayer, such as requests, thanks, or praise. Anna probably did all of these. So here you should use a word or expression that has a general meaning. Avoid a term that may imply magical or meaningless words.</w:t>
      </w:r>
      <w:r>
        <w:rPr>
          <w:lang w:val="en_US" w:bidi="en_US"/>
        </w:rPr>
      </w:r>
      <w:r>
        <w:rPr>
          <w:lang w:val="en_US" w:bidi="en_US"/>
        </w:rPr>
      </w:r>
    </w:p>
    <w:p>
      <w:pPr/>
      <w:r>
        <w:rPr>
          <w:lang w:val="en_US" w:bidi="en_US"/>
        </w:rPr>
      </w:r>
    </w:p>
    <w:p>
      <w:pPr>
        <w:pStyle w:val="Heading2"/>
      </w:pPr>
      <w:r>
        <w:rPr>
          <w:lang w:val="en_US" w:bidi="en_US"/>
        </w:rPr>
        <w:t>Luke 2:38</w:t>
      </w:r>
      <w:r>
        <w:rPr>
          <w:lang w:val="en_US" w:bidi="en_US"/>
        </w:rPr>
      </w:r>
    </w:p>
    <w:p>
      <w:pPr>
        <w:pStyle w:val="Heading4"/>
      </w:pPr>
      <w:r>
        <w:rPr>
          <w:lang w:val="en_US" w:bidi="en_US"/>
        </w:rPr>
        <w:t>Section 2:21–40: The baby Jesus at the temple</w:t>
      </w:r>
    </w:p>
    <w:p>
      <w:pPr/>
      <w:r>
        <w:rPr>
          <w:lang w:val="en_US" w:bidi="en_US"/>
        </w:rPr>
      </w:r>
      <w:r>
        <w:rPr>
          <w:lang w:val="en_US" w:bidi="en_US"/>
        </w:rPr>
        <w:t>The events in this section happened some days after Jesus was born.</w:t>
      </w:r>
    </w:p>
    <w:p>
      <w:pPr/>
      <w:r>
        <w:rPr>
          <w:lang w:val="en_US" w:bidi="en_US"/>
        </w:rPr>
      </w:r>
      <w:r>
        <w:rPr>
          <w:lang w:val="en_US" w:bidi="en_US"/>
        </w:rPr>
        <w:t>In 2:21–24, Luke mentioned three ceremonies that were done when Jewish boys were born:</w:t>
      </w:r>
    </w:p>
    <w:p>
      <w:pPr>
        <w:pStyle w:val="ListNumber"/>
        <w:numPr>
          <w:ilvl w:val="0"/>
          <w:numId w:val="61"/>
        </w:numPr>
        <w:spacing w:line="240" w:lineRule="auto"/>
        <w:ind w:left="720"/>
      </w:pPr>
      <w:r>
        <w:rPr>
          <w:lang w:val="en_US" w:bidi="en_US"/>
        </w:rPr>
      </w:r>
      <w:r>
        <w:rPr>
          <w:lang w:val="en_US" w:bidi="en_US"/>
        </w:rPr>
        <w:t>the baby boy was circumcised;</w:t>
      </w:r>
    </w:p>
    <w:p>
      <w:pPr>
        <w:pStyle w:val="ListNumber"/>
        <w:spacing w:line="240" w:lineRule="auto"/>
        <w:ind w:left="720"/>
      </w:pPr>
      <w:r>
        <w:rPr>
          <w:lang w:val="en_US" w:bidi="en_US"/>
        </w:rPr>
      </w:r>
      <w:r>
        <w:rPr>
          <w:lang w:val="en_US" w:bidi="en_US"/>
        </w:rPr>
        <w:t>the mother was ritually purified;</w:t>
      </w:r>
    </w:p>
    <w:p>
      <w:pPr>
        <w:pStyle w:val="ListNumber"/>
        <w:spacing w:line="240" w:lineRule="auto"/>
        <w:ind w:left="720"/>
      </w:pPr>
      <w:r>
        <w:rPr>
          <w:lang w:val="en_US" w:bidi="en_US"/>
        </w:rPr>
      </w:r>
      <w:r>
        <w:rPr>
          <w:lang w:val="en_US" w:bidi="en_US"/>
        </w:rPr>
        <w:t>the baby boy was presented to God.</w:t>
      </w:r>
    </w:p>
    <w:p>
      <w:pPr/>
      <w:r>
        <w:rPr>
          <w:lang w:val="en_US" w:bidi="en_US"/>
        </w:rPr>
      </w:r>
      <w:r>
        <w:rPr>
          <w:lang w:val="en_US" w:bidi="en_US"/>
        </w:rPr>
        <w:t>In 2:25–38 Luke described two other events that happened while Joseph, Mary, and Jesus were at the temple in Jerusalem. God allowed two righteous people named Simeon and Anna to see Jesus and to thank God for him. Simeon spoke a prophecy about Jesus and Mary.</w:t>
      </w:r>
    </w:p>
    <w:p>
      <w:pPr/>
      <w:r>
        <w:rPr>
          <w:lang w:val="en_US" w:bidi="en_US"/>
        </w:rPr>
      </w:r>
      <w:r>
        <w:rPr>
          <w:lang w:val="en_US" w:bidi="en_US"/>
        </w:rP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Parents Obey Moses’ Teachings (GW)</w:t>
      </w:r>
    </w:p>
    <w:p>
      <w:pPr/>
      <w:r>
        <w:rPr>
          <w:lang w:val="en_US" w:bidi="en_US"/>
        </w:rPr>
      </w:r>
      <w:r>
        <w:rPr>
          <w:lang w:val="en_US" w:bidi="en_US"/>
        </w:rPr>
        <w:t>Jesus Presented at the Temple (NASB)</w:t>
      </w:r>
    </w:p>
    <w:p>
      <w:pPr/>
      <w:r>
        <w:rPr>
          <w:lang w:val="en_US" w:bidi="en_US"/>
        </w:rPr>
      </w:r>
      <w:r>
        <w:rPr>
          <w:lang w:val="en_US" w:bidi="en_US"/>
        </w:rPr>
        <w:t>Some English versions begin new sections at 2:25 and at 2:36. If you decide to do this in your translation, some possible headings are:</w:t>
      </w:r>
    </w:p>
    <w:p>
      <w:pPr/>
      <w:r>
        <w:rPr>
          <w:lang w:val="en_US" w:bidi="en_US"/>
        </w:rPr>
      </w:r>
      <w:r>
        <w:rPr>
          <w:lang w:val="en_US" w:bidi="en_US"/>
        </w:rPr>
        <w:t>Simeon saw Jesus and prophesied about him (2:25)</w:t>
      </w:r>
    </w:p>
    <w:p>
      <w:pPr/>
      <w:r>
        <w:rPr>
          <w:lang w:val="en_US" w:bidi="en_US"/>
        </w:rPr>
      </w:r>
      <w:r>
        <w:rPr>
          <w:lang w:val="en_US" w:bidi="en_US"/>
        </w:rPr>
        <w:t>Anna thanked God for Jesus and told others about him (2:36)</w:t>
      </w:r>
    </w:p>
    <w:p>
      <w:pPr/>
      <w:r>
        <w:rPr>
          <w:lang w:val="en_US" w:bidi="en_US"/>
        </w:rPr>
      </w:r>
      <w:r>
        <w:rPr>
          <w:lang w:val="en_US" w:bidi="en_US"/>
        </w:rPr>
        <w:t>Simeon’s Prophecy (2:25)</w:t>
      </w:r>
    </w:p>
    <w:p>
      <w:pPr/>
      <w:r>
        <w:rPr>
          <w:lang w:val="en_US" w:bidi="en_US"/>
        </w:rPr>
      </w:r>
      <w:r>
        <w:rPr>
          <w:lang w:val="en_US" w:bidi="en_US"/>
        </w:rPr>
        <w:t>Anna’s Prophecy (2:36)</w:t>
      </w:r>
    </w:p>
    <w:p>
      <w:pPr>
        <w:pStyle w:val="Heading4"/>
      </w:pPr>
      <w:r>
        <w:rPr>
          <w:lang w:val="en_US" w:bidi="en_US"/>
        </w:rPr>
        <w:t>Paragraph 2:36–38</w:t>
      </w:r>
    </w:p>
    <w:p>
      <w:pPr/>
      <w:r>
        <w:rPr>
          <w:lang w:val="en_US" w:bidi="en_US"/>
        </w:rPr>
      </w:r>
      <w:r>
        <w:rPr>
          <w:lang w:val="en_US" w:bidi="en_US"/>
        </w:rPr>
        <w:t>This paragraph begins with background information. It introduces a woman named Anna and tells about her. The event in 2:38 happened immediately after Simeon’s blessing in 2:34–35. Indicate the background information in a natural way in your language. In some languages, you may want to put part of 2:38a at the beginning of the paragraph. For example:</w:t>
      </w:r>
    </w:p>
    <w:p>
      <w:pPr/>
      <w:r>
        <w:rPr>
          <w:lang w:val="en_US" w:bidi="en_US"/>
        </w:rPr>
      </w:r>
      <w:r>
        <w:rPr>
          <w:vertAlign w:val="superscript"/>
          <w:lang w:val="en_US" w:bidi="en_US"/>
        </w:rPr>
        <w:t>38a</w:t>
      </w:r>
      <w:r>
        <w:rPr>
          <w:lang w:val="en_US" w:bidi="en_US"/>
        </w:rPr>
        <w:t xml:space="preserve">At that very moment a prophetess came up to them. </w:t>
      </w:r>
      <w:r>
        <w:rPr>
          <w:vertAlign w:val="superscript"/>
          <w:lang w:val="en_US" w:bidi="en_US"/>
        </w:rPr>
        <w:t>36a</w:t>
      </w:r>
      <w:r>
        <w:rPr>
          <w:lang w:val="en_US" w:bidi="en_US"/>
        </w:rPr>
        <w:t>Her name was Anna….</w:t>
      </w:r>
    </w:p>
    <w:p>
      <w:pPr>
        <w:pStyle w:val="Heading5"/>
      </w:pPr>
      <w:r>
        <w:rPr>
          <w:lang w:val="en_US" w:bidi="en_US"/>
        </w:rPr>
        <w:t>2:38</w:t>
      </w:r>
    </w:p>
    <w:p>
      <w:pPr/>
      <w:r>
        <w:rPr>
          <w:lang w:val="en_US" w:bidi="en_US"/>
        </w:rPr>
      </w:r>
      <w:r>
        <w:rPr>
          <w:lang w:val="en_US" w:bidi="en_US"/>
        </w:rPr>
        <w:t>In this verse the author finished giving background information and told the next event in the story after 2:35. Indicate this in a natural way in your language.</w:t>
      </w:r>
    </w:p>
    <w:p>
      <w:pPr/>
      <w:r>
        <w:rPr>
          <w:lang w:val="en_US" w:bidi="en_US"/>
        </w:rPr>
      </w:r>
      <w:r>
        <w:rPr>
          <w:lang w:val="en_US" w:bidi="en_US"/>
        </w:rPr>
        <w:t>This verse begins with a Greek conjunction that is often translated as “and.” Some English versions, such as the ESV, translate it that way. The BSB has not translated this conjunction, and some other versions, such as the NIV and NET, also do not translate it. In some languages, it will not be necessary to translate this conjunction either. Connect 2:38a to 2:37cin a way that is natural in your language.</w:t>
      </w:r>
    </w:p>
    <w:p>
      <w:pPr>
        <w:pStyle w:val="Heading5"/>
      </w:pPr>
      <w:r>
        <w:rPr>
          <w:lang w:val="en_US" w:bidi="en_US"/>
        </w:rPr>
        <w:t>2:38a</w:t>
      </w:r>
    </w:p>
    <w:p>
      <w:pPr/>
      <w:r>
        <w:rPr>
          <w:lang w:val="en_US" w:bidi="en_US"/>
        </w:rPr>
      </w:r>
      <w:r>
        <w:rPr>
          <w:b/>
          <w:lang w:val="en_US" w:bidi="en_US"/>
        </w:rPr>
        <w:t>Coming forward at that moment,</w:t>
      </w:r>
    </w:p>
    <w:p>
      <w:pPr>
        <w:pStyle w:val="ListBullet"/>
        <w:spacing w:line="240" w:lineRule="auto"/>
        <w:ind w:left="720"/>
      </w:pPr>
      <w:r>
        <w:rPr>
          <w:lang w:val="en_US" w:bidi="en_US"/>
        </w:rPr>
      </w:r>
      <w:r>
        <w:rPr>
          <w:lang w:val="en_US" w:bidi="en_US"/>
        </w:rPr>
        <w:t xml:space="preserve">At the same time </w:t>
      </w:r>
      <w:r>
        <w:rPr>
          <w:lang w:val="en_US" w:bidi="en_US"/>
        </w:rPr>
        <w:t>as Simeon was speaking</w:t>
      </w:r>
      <w:r>
        <w:rPr>
          <w:lang w:val="en_US" w:bidi="en_US"/>
        </w:rPr>
        <w:t>, Anna came up to Joseph and Mary.</w:t>
      </w:r>
    </w:p>
    <w:p>
      <w:pPr>
        <w:pStyle w:val="ListBullet"/>
        <w:spacing w:line="240" w:lineRule="auto"/>
        <w:ind w:left="720"/>
      </w:pPr>
      <w:r>
        <w:rPr>
          <w:lang w:val="en_US" w:bidi="en_US"/>
        </w:rPr>
      </w:r>
      <w:r>
        <w:rPr>
          <w:lang w:val="en_US" w:bidi="en_US"/>
        </w:rPr>
        <w:t>Just as Simeon finished speaking,</w:t>
      </w:r>
      <w:r>
        <w:rPr>
          <w:lang w:val="en_US" w:bidi="en_US"/>
        </w:rPr>
        <w:t xml:space="preserve"> Anna approached Joseph and Mary,</w:t>
      </w:r>
    </w:p>
    <w:p>
      <w:pPr/>
      <w:r>
        <w:rPr>
          <w:lang w:val="en_US" w:bidi="en_US"/>
        </w:rPr>
      </w:r>
      <w:r>
        <w:rPr>
          <w:b/>
          <w:lang w:val="en_US" w:bidi="en_US"/>
        </w:rPr>
        <w:t>Coming forward:</w:t>
      </w:r>
      <w:r>
        <w:rPr>
          <w:lang w:val="en_US" w:bidi="en_US"/>
        </w:rPr>
        <w:t xml:space="preserve"> Anna approached Joseph and Mary and Jesus.</w:t>
      </w:r>
    </w:p>
    <w:p>
      <w:pPr/>
      <w:r>
        <w:rPr>
          <w:lang w:val="en_US" w:bidi="en_US"/>
        </w:rPr>
      </w:r>
      <w:r>
        <w:rPr>
          <w:b/>
          <w:lang w:val="en_US" w:bidi="en_US"/>
        </w:rPr>
        <w:t>at that moment:</w:t>
      </w:r>
      <w:r>
        <w:rPr>
          <w:lang w:val="en_US" w:bidi="en_US"/>
        </w:rPr>
        <w:t xml:space="preserve"> The phrase </w:t>
      </w:r>
      <w:r>
        <w:rPr>
          <w:i/>
          <w:lang w:val="en_US" w:bidi="en_US"/>
        </w:rPr>
        <w:t>at that moment</w:t>
      </w:r>
      <w:r>
        <w:rPr>
          <w:lang w:val="en_US" w:bidi="en_US"/>
        </w:rPr>
        <w:t xml:space="preserve"> is literally “at the same hour/time.” It refers to the time when Simeon was speaking in 2:35b or just after he finished speaking. Other ways to say this are:</w:t>
      </w:r>
    </w:p>
    <w:p>
      <w:pPr/>
      <w:r>
        <w:rPr>
          <w:lang w:val="en_US" w:bidi="en_US"/>
        </w:rPr>
      </w:r>
      <w:r>
        <w:rPr>
          <w:lang w:val="en_US" w:bidi="en_US"/>
        </w:rPr>
        <w:t>That very same hour she arrived (GNT)</w:t>
      </w:r>
    </w:p>
    <w:p>
      <w:pPr/>
      <w:r>
        <w:rPr>
          <w:lang w:val="en_US" w:bidi="en_US"/>
        </w:rPr>
      </w:r>
      <w:r>
        <w:rPr>
          <w:lang w:val="en_US" w:bidi="en_US"/>
        </w:rPr>
        <w:t>just as Simeon was talking with Mary and Joseph (NLT)</w:t>
      </w:r>
    </w:p>
    <w:p>
      <w:pPr/>
      <w:r>
        <w:rPr>
          <w:lang w:val="en_US" w:bidi="en_US"/>
        </w:rPr>
      </w:r>
      <w:r>
        <w:rPr>
          <w:lang w:val="en_US" w:bidi="en_US"/>
        </w:rPr>
        <w:t>As mentioned in the note at Paragraph 2:36–38, you may want to put 2:38a at the beginning of 2:36a to show this connection.</w:t>
      </w:r>
    </w:p>
    <w:p>
      <w:pPr>
        <w:pStyle w:val="Heading5"/>
      </w:pPr>
      <w:r>
        <w:rPr>
          <w:lang w:val="en_US" w:bidi="en_US"/>
        </w:rPr>
        <w:t>2:38b</w:t>
      </w:r>
    </w:p>
    <w:p>
      <w:pPr/>
      <w:r>
        <w:rPr>
          <w:lang w:val="en_US" w:bidi="en_US"/>
        </w:rPr>
      </w:r>
      <w:r>
        <w:rPr>
          <w:b/>
          <w:lang w:val="en_US" w:bidi="en_US"/>
        </w:rPr>
        <w:t>she gave thanks to God</w:t>
      </w:r>
    </w:p>
    <w:p>
      <w:pPr>
        <w:pStyle w:val="ListBullet"/>
        <w:spacing w:line="240" w:lineRule="auto"/>
        <w:ind w:left="720"/>
      </w:pPr>
      <w:r>
        <w:rPr>
          <w:lang w:val="en_US" w:bidi="en_US"/>
        </w:rPr>
      </w:r>
      <w:r>
        <w:rPr>
          <w:lang w:val="en_US" w:bidi="en_US"/>
        </w:rPr>
        <w:t xml:space="preserve">She </w:t>
      </w:r>
      <w:r>
        <w:rPr>
          <w:lang w:val="en_US" w:bidi="en_US"/>
        </w:rPr>
        <w:t>began</w:t>
      </w:r>
      <w:r>
        <w:rPr>
          <w:lang w:val="en_US" w:bidi="en_US"/>
        </w:rPr>
        <w:t xml:space="preserve"> thanking God </w:t>
      </w:r>
      <w:r>
        <w:rPr>
          <w:lang w:val="en_US" w:bidi="en_US"/>
        </w:rPr>
        <w:t>for the child</w:t>
      </w:r>
    </w:p>
    <w:p>
      <w:pPr>
        <w:pStyle w:val="ListBullet"/>
        <w:spacing w:line="240" w:lineRule="auto"/>
        <w:ind w:left="720"/>
      </w:pPr>
      <w:r>
        <w:rPr>
          <w:lang w:val="en_US" w:bidi="en_US"/>
        </w:rPr>
      </w:r>
      <w:r>
        <w:rPr>
          <w:lang w:val="en_US" w:bidi="en_US"/>
        </w:rPr>
        <w:t xml:space="preserve">thanking God </w:t>
      </w:r>
      <w:r>
        <w:rPr>
          <w:lang w:val="en_US" w:bidi="en_US"/>
        </w:rPr>
        <w:t>for the child</w:t>
      </w:r>
      <w:r>
        <w:rPr>
          <w:lang w:val="en_US" w:bidi="en_US"/>
        </w:rPr>
        <w:t>.</w:t>
      </w:r>
    </w:p>
    <w:p>
      <w:pPr/>
      <w:r>
        <w:rPr>
          <w:lang w:val="en_US" w:bidi="en_US"/>
        </w:rPr>
      </w:r>
      <w:r>
        <w:rPr>
          <w:b/>
          <w:lang w:val="en_US" w:bidi="en_US"/>
        </w:rPr>
        <w:t>she gave thanks to God:</w:t>
      </w:r>
      <w:r>
        <w:rPr>
          <w:lang w:val="en_US" w:bidi="en_US"/>
        </w:rPr>
        <w:t xml:space="preserve"> </w:t>
      </w:r>
      <w:r>
        <w:rPr>
          <w:lang w:val="en_US" w:bidi="en_US"/>
        </w:rPr>
        <w:t xml:space="preserve">There is a textual issue here. Some manuscripts have “Lord” instead of “God.” The KJV has “Lord.” It is recommended that you translate “God,” since it has early and widespread manuscript support. Also, the majority of English versions have “God.” This recommendation is based on Swanson, p. 40, and </w:t>
      </w:r>
      <w:r>
        <w:rPr>
          <w:i/>
          <w:lang w:val="en_US" w:bidi="en_US"/>
        </w:rPr>
        <w:t>Exegetical Summaries</w:t>
      </w:r>
      <w:r>
        <w:rPr>
          <w:lang w:val="en_US" w:bidi="en_US"/>
        </w:rPr>
        <w:t xml:space="preserve"> on </w:t>
      </w:r>
      <w:r>
        <w:rPr>
          <w:i/>
          <w:lang w:val="en_US" w:bidi="en_US"/>
        </w:rPr>
        <w:t>TW</w:t>
      </w:r>
      <w:r>
        <w:rPr>
          <w:lang w:val="en_US" w:bidi="en_US"/>
        </w:rPr>
        <w:t>.</w:t>
      </w:r>
      <w:r>
        <w:rPr>
          <w:lang w:val="en_US" w:bidi="en_US"/>
        </w:rPr>
        <w:t xml:space="preserve"> In this part of the verse, Anna thanked and praised God for sending the promised Savior. The Greek word that the BSB translates as </w:t>
      </w:r>
      <w:r>
        <w:rPr>
          <w:i/>
          <w:lang w:val="en_US" w:bidi="en_US"/>
        </w:rPr>
        <w:t>gave thanks</w:t>
      </w:r>
      <w:r>
        <w:rPr>
          <w:lang w:val="en_US" w:bidi="en_US"/>
        </w:rPr>
        <w:t xml:space="preserve"> also means “was praising.” The Greek verb that is used here indicates that Anna did not just give thanks once, but repeatedly. This idea can also be expressed by saying that Anna </w:t>
      </w:r>
      <w:r>
        <w:rPr>
          <w:u w:val="single"/>
          <w:lang w:val="en_US" w:bidi="en_US"/>
        </w:rPr>
        <w:t>began</w:t>
      </w:r>
      <w:r>
        <w:rPr>
          <w:lang w:val="en_US" w:bidi="en_US"/>
        </w:rPr>
        <w:t xml:space="preserve"> to give thanks to God, implying that she continued to thank him. For example:</w:t>
      </w:r>
    </w:p>
    <w:p>
      <w:pPr/>
      <w:r>
        <w:rPr>
          <w:lang w:val="en_US" w:bidi="en_US"/>
        </w:rPr>
      </w:r>
      <w:r>
        <w:rPr>
          <w:lang w:val="en_US" w:bidi="en_US"/>
        </w:rPr>
        <w:t>and began to give thanks to God (NET)</w:t>
      </w:r>
    </w:p>
    <w:p>
      <w:pPr/>
      <w:r>
        <w:rPr>
          <w:lang w:val="en_US" w:bidi="en_US"/>
        </w:rPr>
      </w:r>
      <w:r>
        <w:rPr>
          <w:lang w:val="en_US" w:bidi="en_US"/>
        </w:rPr>
        <w:t>and she began praising God (NLT)</w:t>
      </w:r>
    </w:p>
    <w:p>
      <w:pPr>
        <w:pStyle w:val="Heading5"/>
      </w:pPr>
      <w:r>
        <w:rPr>
          <w:lang w:val="en_US" w:bidi="en_US"/>
        </w:rPr>
        <w:t>2:38c</w:t>
      </w:r>
    </w:p>
    <w:p>
      <w:pPr/>
      <w:r>
        <w:rPr>
          <w:lang w:val="en_US" w:bidi="en_US"/>
        </w:rPr>
      </w:r>
      <w:r>
        <w:rPr>
          <w:b/>
          <w:lang w:val="en_US" w:bidi="en_US"/>
        </w:rPr>
        <w:t>and spoke about the Child</w:t>
      </w:r>
    </w:p>
    <w:p>
      <w:pPr>
        <w:pStyle w:val="ListBullet"/>
        <w:spacing w:line="240" w:lineRule="auto"/>
        <w:ind w:left="720"/>
      </w:pPr>
      <w:r>
        <w:rPr>
          <w:lang w:val="en_US" w:bidi="en_US"/>
        </w:rPr>
      </w:r>
      <w:r>
        <w:rPr>
          <w:lang w:val="en_US" w:bidi="en_US"/>
        </w:rPr>
        <w:t>and talking about him</w:t>
      </w:r>
    </w:p>
    <w:p>
      <w:pPr>
        <w:pStyle w:val="ListBullet"/>
        <w:spacing w:line="240" w:lineRule="auto"/>
        <w:ind w:left="720"/>
      </w:pPr>
      <w:r>
        <w:rPr>
          <w:lang w:val="en_US" w:bidi="en_US"/>
        </w:rPr>
      </w:r>
      <w:r>
        <w:rPr>
          <w:lang w:val="en_US" w:bidi="en_US"/>
        </w:rPr>
        <w:t>She began/was talking about him</w:t>
      </w:r>
    </w:p>
    <w:p>
      <w:pPr/>
      <w:r>
        <w:rPr>
          <w:lang w:val="en_US" w:bidi="en_US"/>
        </w:rPr>
      </w:r>
      <w:r>
        <w:rPr>
          <w:b/>
          <w:lang w:val="en_US" w:bidi="en_US"/>
        </w:rPr>
        <w:t>and spoke about the Child:</w:t>
      </w:r>
      <w:r>
        <w:rPr>
          <w:lang w:val="en_US" w:bidi="en_US"/>
        </w:rPr>
        <w:t xml:space="preserve"> The form of the Greek verb that the BSB translates as </w:t>
      </w:r>
      <w:r>
        <w:rPr>
          <w:i/>
          <w:lang w:val="en_US" w:bidi="en_US"/>
        </w:rPr>
        <w:t>spoke</w:t>
      </w:r>
      <w:r>
        <w:rPr>
          <w:lang w:val="en_US" w:bidi="en_US"/>
        </w:rPr>
        <w:t xml:space="preserve"> may indicate that Anna was talking about Jesus continuously or repeatedly. For example:</w:t>
      </w:r>
    </w:p>
    <w:p>
      <w:pPr/>
      <w:r>
        <w:rPr>
          <w:lang w:val="en_US" w:bidi="en_US"/>
        </w:rPr>
      </w:r>
      <w:r>
        <w:rPr>
          <w:lang w:val="en_US" w:bidi="en_US"/>
        </w:rPr>
        <w:t>and continued to speak of Him (NASB)</w:t>
      </w:r>
    </w:p>
    <w:p>
      <w:pPr/>
      <w:r>
        <w:rPr>
          <w:lang w:val="en_US" w:bidi="en_US"/>
        </w:rPr>
      </w:r>
      <w:r>
        <w:rPr>
          <w:lang w:val="en_US" w:bidi="en_US"/>
        </w:rPr>
        <w:t>Anna probably did not speak of Jesus only on that day. She probably continued to spread the news that Jesus was the Savior whom God had promised to send.</w:t>
      </w:r>
    </w:p>
    <w:p>
      <w:pPr>
        <w:pStyle w:val="Heading5"/>
      </w:pPr>
      <w:r>
        <w:rPr>
          <w:lang w:val="en_US" w:bidi="en_US"/>
        </w:rPr>
        <w:t>2:38d</w:t>
      </w:r>
    </w:p>
    <w:p>
      <w:pPr/>
      <w:r>
        <w:rPr>
          <w:lang w:val="en_US" w:bidi="en_US"/>
        </w:rPr>
      </w:r>
      <w:r>
        <w:rPr>
          <w:b/>
          <w:lang w:val="en_US" w:bidi="en_US"/>
        </w:rPr>
        <w:t>to all who were waiting for the redemption of Jerusalem.</w:t>
      </w:r>
    </w:p>
    <w:p>
      <w:pPr>
        <w:pStyle w:val="ListBullet"/>
        <w:spacing w:line="240" w:lineRule="auto"/>
        <w:ind w:left="720"/>
      </w:pPr>
      <w:r>
        <w:rPr>
          <w:lang w:val="en_US" w:bidi="en_US"/>
        </w:rPr>
      </w:r>
      <w:r>
        <w:rPr>
          <w:lang w:val="en_US" w:bidi="en_US"/>
        </w:rPr>
        <w:t xml:space="preserve">to everyone </w:t>
      </w:r>
      <w:r>
        <w:rPr>
          <w:lang w:val="en_US" w:bidi="en_US"/>
        </w:rPr>
        <w:t>there</w:t>
      </w:r>
      <w:r>
        <w:rPr>
          <w:lang w:val="en_US" w:bidi="en_US"/>
        </w:rPr>
        <w:t xml:space="preserve"> who was expecting </w:t>
      </w:r>
      <w:r>
        <w:rPr>
          <w:lang w:val="en_US" w:bidi="en_US"/>
        </w:rPr>
        <w:t>God</w:t>
      </w:r>
      <w:r>
        <w:rPr>
          <w:lang w:val="en_US" w:bidi="en_US"/>
        </w:rPr>
        <w:t xml:space="preserve"> to redeem/free Jerusalem </w:t>
      </w:r>
      <w:r>
        <w:rPr>
          <w:lang w:val="en_US" w:bidi="en_US"/>
        </w:rPr>
        <w:t>and the rest of Israel</w:t>
      </w:r>
      <w:r>
        <w:rPr>
          <w:lang w:val="en_US" w:bidi="en_US"/>
        </w:rPr>
        <w:t>.</w:t>
      </w:r>
    </w:p>
    <w:p>
      <w:pPr>
        <w:pStyle w:val="ListBullet"/>
        <w:spacing w:line="240" w:lineRule="auto"/>
        <w:ind w:left="720"/>
      </w:pPr>
      <w:r>
        <w:rPr>
          <w:lang w:val="en_US" w:bidi="en_US"/>
        </w:rPr>
      </w:r>
      <w:r>
        <w:rPr>
          <w:lang w:val="en_US" w:bidi="en_US"/>
        </w:rPr>
        <w:t xml:space="preserve">to all the people </w:t>
      </w:r>
      <w:r>
        <w:rPr>
          <w:lang w:val="en_US" w:bidi="en_US"/>
        </w:rPr>
        <w:t>there</w:t>
      </w:r>
      <w:r>
        <w:rPr>
          <w:lang w:val="en_US" w:bidi="en_US"/>
        </w:rPr>
        <w:t xml:space="preserve"> who were waiting for </w:t>
      </w:r>
      <w:r>
        <w:rPr>
          <w:lang w:val="en_US" w:bidi="en_US"/>
        </w:rPr>
        <w:t>God</w:t>
      </w:r>
      <w:r>
        <w:rPr>
          <w:lang w:val="en_US" w:bidi="en_US"/>
        </w:rPr>
        <w:t xml:space="preserve"> to liberate/deliver </w:t>
      </w:r>
      <w:r>
        <w:rPr>
          <w:lang w:val="en_US" w:bidi="en_US"/>
        </w:rPr>
        <w:t>the people of</w:t>
      </w:r>
      <w:r>
        <w:rPr>
          <w:lang w:val="en_US" w:bidi="en_US"/>
        </w:rPr>
        <w:t xml:space="preserve"> Israel.</w:t>
      </w:r>
    </w:p>
    <w:p>
      <w:pPr/>
      <w:r>
        <w:rPr>
          <w:lang w:val="en_US" w:bidi="en_US"/>
        </w:rPr>
      </w:r>
      <w:r>
        <w:rPr>
          <w:b/>
          <w:lang w:val="en_US" w:bidi="en_US"/>
        </w:rPr>
        <w:t>to all who were waiting for the redemption of Jerusalem:</w:t>
      </w:r>
      <w:r>
        <w:rPr>
          <w:lang w:val="en_US" w:bidi="en_US"/>
        </w:rPr>
        <w:t xml:space="preserve"> This part of the verse tells whom Anna spoke to about Jesus. They were people who were hoping for the redemption of Jerusalem.</w:t>
      </w:r>
    </w:p>
    <w:p>
      <w:pPr/>
      <w:r>
        <w:rPr>
          <w:lang w:val="en_US" w:bidi="en_US"/>
        </w:rPr>
      </w:r>
      <w:r>
        <w:rPr>
          <w:b/>
          <w:lang w:val="en_US" w:bidi="en_US"/>
        </w:rPr>
        <w:t>waiting for:</w:t>
      </w:r>
      <w:r>
        <w:rPr>
          <w:lang w:val="en_US" w:bidi="en_US"/>
        </w:rPr>
        <w:t xml:space="preserve"> The Greek word that the BSB translates as </w:t>
      </w:r>
      <w:r>
        <w:rPr>
          <w:i/>
          <w:lang w:val="en_US" w:bidi="en_US"/>
        </w:rPr>
        <w:t>waiting for</w:t>
      </w:r>
      <w:r>
        <w:rPr>
          <w:lang w:val="en_US" w:bidi="en_US"/>
        </w:rPr>
        <w:t xml:space="preserve"> also means “anticipating” “looking forward to,” or “expecting.” Many Jews were </w:t>
      </w:r>
      <w:r>
        <w:rPr>
          <w:u w:val="single"/>
          <w:lang w:val="en_US" w:bidi="en_US"/>
        </w:rPr>
        <w:t>waiting for</w:t>
      </w:r>
      <w:r>
        <w:rPr>
          <w:lang w:val="en_US" w:bidi="en_US"/>
        </w:rPr>
        <w:t xml:space="preserve"> God to send the Christ to redeem them. This same Greek word also occurs in 2:25c.</w:t>
      </w:r>
    </w:p>
    <w:p>
      <w:pPr/>
      <w:r>
        <w:rPr>
          <w:lang w:val="en_US" w:bidi="en_US"/>
        </w:rPr>
      </w:r>
      <w:r>
        <w:rPr>
          <w:b/>
          <w:lang w:val="en_US" w:bidi="en_US"/>
        </w:rPr>
        <w:t>the redemption of Jerusalem:</w:t>
      </w:r>
      <w:r>
        <w:rPr>
          <w:lang w:val="en_US" w:bidi="en_US"/>
        </w:rPr>
        <w:t xml:space="preserve"> The expression </w:t>
      </w:r>
      <w:r>
        <w:rPr>
          <w:i/>
          <w:lang w:val="en_US" w:bidi="en_US"/>
        </w:rPr>
        <w:t>the redemption of Jerusalem</w:t>
      </w:r>
      <w:r>
        <w:rPr>
          <w:lang w:val="en_US" w:bidi="en_US"/>
        </w:rPr>
        <w:t xml:space="preserve"> is similar to “the consolation of Israel” in 2:25c. Many Jews were expecting that God would send the Messiah to deliver them and give them freedom. Some ways to translate </w:t>
      </w:r>
      <w:r>
        <w:rPr>
          <w:i/>
          <w:lang w:val="en_US" w:bidi="en_US"/>
        </w:rPr>
        <w:t>the redemption of Jerusalem</w:t>
      </w:r>
      <w:r>
        <w:rPr>
          <w:lang w:val="en_US" w:bidi="en_US"/>
        </w:rPr>
        <w:t xml:space="preserve"> are:</w:t>
      </w:r>
    </w:p>
    <w:p>
      <w:pPr/>
      <w:r>
        <w:rPr>
          <w:lang w:val="en_US" w:bidi="en_US"/>
        </w:rPr>
      </w:r>
      <w:r>
        <w:rPr>
          <w:lang w:val="en_US" w:bidi="en_US"/>
        </w:rPr>
        <w:t xml:space="preserve">for </w:t>
      </w:r>
      <w:r>
        <w:rPr>
          <w:lang w:val="en_US" w:bidi="en_US"/>
        </w:rPr>
        <w:t>the one who would</w:t>
      </w:r>
      <w:r>
        <w:rPr>
          <w:lang w:val="en_US" w:bidi="en_US"/>
        </w:rPr>
        <w:t xml:space="preserve"> redeem </w:t>
      </w:r>
      <w:r>
        <w:rPr>
          <w:lang w:val="en_US" w:bidi="en_US"/>
        </w:rPr>
        <w:t>the people of</w:t>
      </w:r>
      <w:r>
        <w:rPr>
          <w:lang w:val="en_US" w:bidi="en_US"/>
        </w:rPr>
        <w:t xml:space="preserve"> Jerusalem</w:t>
      </w:r>
    </w:p>
    <w:p>
      <w:pPr/>
      <w:r>
        <w:rPr>
          <w:lang w:val="en_US" w:bidi="en_US"/>
        </w:rPr>
      </w:r>
      <w:r>
        <w:rPr>
          <w:lang w:val="en_US" w:bidi="en_US"/>
        </w:rPr>
        <w:t>for God to rescue Jerusalem (NLT)</w:t>
      </w:r>
    </w:p>
    <w:p>
      <w:pPr/>
      <w:r>
        <w:rPr>
          <w:lang w:val="en_US" w:bidi="en_US"/>
        </w:rPr>
      </w:r>
      <w:r>
        <w:rPr>
          <w:lang w:val="en_US" w:bidi="en_US"/>
        </w:rPr>
        <w:t xml:space="preserve">for </w:t>
      </w:r>
      <w:r>
        <w:rPr>
          <w:lang w:val="en_US" w:bidi="en_US"/>
        </w:rPr>
        <w:t>the Christ</w:t>
      </w:r>
      <w:r>
        <w:rPr>
          <w:lang w:val="en_US" w:bidi="en_US"/>
        </w:rPr>
        <w:t xml:space="preserve"> to deliver Jerusalem</w:t>
      </w:r>
    </w:p>
    <w:p>
      <w:pPr/>
      <w:r>
        <w:rPr>
          <w:lang w:val="en_US" w:bidi="en_US"/>
        </w:rPr>
      </w:r>
      <w:r>
        <w:rPr>
          <w:b/>
          <w:lang w:val="en_US" w:bidi="en_US"/>
        </w:rPr>
        <w:t>redemption:</w:t>
      </w:r>
      <w:r>
        <w:rPr>
          <w:lang w:val="en_US" w:bidi="en_US"/>
        </w:rPr>
        <w:t xml:space="preserve"> The word </w:t>
      </w:r>
      <w:r>
        <w:rPr>
          <w:i/>
          <w:lang w:val="en_US" w:bidi="en_US"/>
        </w:rPr>
        <w:t>redemption</w:t>
      </w:r>
      <w:r>
        <w:rPr>
          <w:lang w:val="en_US" w:bidi="en_US"/>
        </w:rPr>
        <w:t xml:space="preserve"> means “freeing,” “deliverance” or “liberation.” Many Jews were waiting for God to redeem/rescue them in different ways. Some believed that God would rescue their country from the rule of the Romans. Others believed that God would rescue them from physical suffering. Others believed that God would rescue them from their sin (1:77). It is good to translate this in a general way without specifying the type of redemption.</w:t>
      </w:r>
    </w:p>
    <w:p>
      <w:pPr/>
      <w:r>
        <w:rPr>
          <w:lang w:val="en_US" w:bidi="en_US"/>
        </w:rPr>
      </w:r>
      <w:r>
        <w:rPr>
          <w:b/>
          <w:lang w:val="en_US" w:bidi="en_US"/>
        </w:rPr>
        <w:t>Jerusalem:</w:t>
      </w:r>
      <w:r>
        <w:rPr>
          <w:lang w:val="en_US" w:bidi="en_US"/>
        </w:rPr>
        <w:t xml:space="preserve"> In this context the word </w:t>
      </w:r>
      <w:r>
        <w:rPr>
          <w:i/>
          <w:lang w:val="en_US" w:bidi="en_US"/>
        </w:rPr>
        <w:t>Jerusalem</w:t>
      </w:r>
      <w:r>
        <w:rPr>
          <w:lang w:val="en_US" w:bidi="en_US"/>
        </w:rPr>
        <w:t xml:space="preserve"> means “the entire nation of Israel” or “all the people in Israel, the Jews.” If you need to make this explicit, you may be able to say:</w:t>
      </w:r>
    </w:p>
    <w:p>
      <w:pPr/>
      <w:r>
        <w:rPr>
          <w:lang w:val="en_US" w:bidi="en_US"/>
        </w:rPr>
      </w:r>
      <w:r>
        <w:rPr>
          <w:lang w:val="en_US" w:bidi="en_US"/>
        </w:rPr>
        <w:t>the people of</w:t>
      </w:r>
      <w:r>
        <w:rPr>
          <w:lang w:val="en_US" w:bidi="en_US"/>
        </w:rPr>
        <w:t xml:space="preserve"> Jerusalem </w:t>
      </w:r>
      <w:r>
        <w:rPr>
          <w:lang w:val="en_US" w:bidi="en_US"/>
        </w:rPr>
        <w:t>and all Israel</w:t>
      </w:r>
    </w:p>
    <w:p>
      <w:pPr/>
      <w:r>
        <w:rPr>
          <w:lang w:val="en_US" w:bidi="en_US"/>
        </w:rPr>
      </w:r>
      <w:r>
        <w:rPr>
          <w:lang w:val="en_US" w:bidi="en_US"/>
        </w:rPr>
        <w:t>If you add this implied information, you may want to include the literal Greek in a footnote. For example:</w:t>
      </w:r>
    </w:p>
    <w:p>
      <w:pPr/>
      <w:r>
        <w:rPr>
          <w:lang w:val="en_US" w:bidi="en_US"/>
        </w:rPr>
      </w:r>
      <w:r>
        <w:rPr>
          <w:lang w:val="en_US" w:bidi="en_US"/>
        </w:rPr>
        <w:t>The Greek text says “Jerusalem.” Here “Jerusalem” represents all the people of Israel.</w:t>
      </w:r>
      <w:r>
        <w:rPr>
          <w:lang w:val="en_US" w:bidi="en_US"/>
        </w:rPr>
      </w:r>
      <w:r>
        <w:rPr>
          <w:lang w:val="en_US" w:bidi="en_US"/>
        </w:rPr>
      </w:r>
    </w:p>
    <w:p>
      <w:pPr/>
      <w:r>
        <w:rPr>
          <w:lang w:val="en_US" w:bidi="en_US"/>
        </w:rPr>
      </w:r>
    </w:p>
    <w:p>
      <w:pPr>
        <w:pStyle w:val="Heading2"/>
      </w:pPr>
      <w:r>
        <w:rPr>
          <w:lang w:val="en_US" w:bidi="en_US"/>
        </w:rPr>
        <w:t>Luke 2:39</w:t>
      </w:r>
      <w:r>
        <w:rPr>
          <w:lang w:val="en_US" w:bidi="en_US"/>
        </w:rPr>
      </w:r>
    </w:p>
    <w:p>
      <w:pPr>
        <w:pStyle w:val="Heading4"/>
      </w:pPr>
      <w:r>
        <w:rPr>
          <w:lang w:val="en_US" w:bidi="en_US"/>
        </w:rPr>
        <w:t>Section 2:21–40: The baby Jesus at the temple</w:t>
      </w:r>
    </w:p>
    <w:p>
      <w:pPr/>
      <w:r>
        <w:rPr>
          <w:lang w:val="en_US" w:bidi="en_US"/>
        </w:rPr>
      </w:r>
      <w:r>
        <w:rPr>
          <w:lang w:val="en_US" w:bidi="en_US"/>
        </w:rPr>
        <w:t>The events in this section happened some days after Jesus was born.</w:t>
      </w:r>
    </w:p>
    <w:p>
      <w:pPr/>
      <w:r>
        <w:rPr>
          <w:lang w:val="en_US" w:bidi="en_US"/>
        </w:rPr>
      </w:r>
      <w:r>
        <w:rPr>
          <w:lang w:val="en_US" w:bidi="en_US"/>
        </w:rPr>
        <w:t>In 2:21–24, Luke mentioned three ceremonies that were done when Jewish boys were born:</w:t>
      </w:r>
    </w:p>
    <w:p>
      <w:pPr>
        <w:pStyle w:val="ListNumber"/>
        <w:numPr>
          <w:ilvl w:val="0"/>
          <w:numId w:val="62"/>
        </w:numPr>
        <w:spacing w:line="240" w:lineRule="auto"/>
        <w:ind w:left="720"/>
      </w:pPr>
      <w:r>
        <w:rPr>
          <w:lang w:val="en_US" w:bidi="en_US"/>
        </w:rPr>
      </w:r>
      <w:r>
        <w:rPr>
          <w:lang w:val="en_US" w:bidi="en_US"/>
        </w:rPr>
        <w:t>the baby boy was circumcised;</w:t>
      </w:r>
    </w:p>
    <w:p>
      <w:pPr>
        <w:pStyle w:val="ListNumber"/>
        <w:spacing w:line="240" w:lineRule="auto"/>
        <w:ind w:left="720"/>
      </w:pPr>
      <w:r>
        <w:rPr>
          <w:lang w:val="en_US" w:bidi="en_US"/>
        </w:rPr>
      </w:r>
      <w:r>
        <w:rPr>
          <w:lang w:val="en_US" w:bidi="en_US"/>
        </w:rPr>
        <w:t>the mother was ritually purified;</w:t>
      </w:r>
    </w:p>
    <w:p>
      <w:pPr>
        <w:pStyle w:val="ListNumber"/>
        <w:spacing w:line="240" w:lineRule="auto"/>
        <w:ind w:left="720"/>
      </w:pPr>
      <w:r>
        <w:rPr>
          <w:lang w:val="en_US" w:bidi="en_US"/>
        </w:rPr>
      </w:r>
      <w:r>
        <w:rPr>
          <w:lang w:val="en_US" w:bidi="en_US"/>
        </w:rPr>
        <w:t>the baby boy was presented to God.</w:t>
      </w:r>
    </w:p>
    <w:p>
      <w:pPr/>
      <w:r>
        <w:rPr>
          <w:lang w:val="en_US" w:bidi="en_US"/>
        </w:rPr>
      </w:r>
      <w:r>
        <w:rPr>
          <w:lang w:val="en_US" w:bidi="en_US"/>
        </w:rPr>
        <w:t>In 2:25–38 Luke described two other events that happened while Joseph, Mary, and Jesus were at the temple in Jerusalem. God allowed two righteous people named Simeon and Anna to see Jesus and to thank God for him. Simeon spoke a prophecy about Jesus and Mary.</w:t>
      </w:r>
    </w:p>
    <w:p>
      <w:pPr/>
      <w:r>
        <w:rPr>
          <w:lang w:val="en_US" w:bidi="en_US"/>
        </w:rPr>
      </w:r>
      <w:r>
        <w:rPr>
          <w:lang w:val="en_US" w:bidi="en_US"/>
        </w:rP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Parents Obey Moses’ Teachings (GW)</w:t>
      </w:r>
    </w:p>
    <w:p>
      <w:pPr/>
      <w:r>
        <w:rPr>
          <w:lang w:val="en_US" w:bidi="en_US"/>
        </w:rPr>
      </w:r>
      <w:r>
        <w:rPr>
          <w:lang w:val="en_US" w:bidi="en_US"/>
        </w:rPr>
        <w:t>Jesus Presented at the Temple (NASB)</w:t>
      </w:r>
    </w:p>
    <w:p>
      <w:pPr/>
      <w:r>
        <w:rPr>
          <w:lang w:val="en_US" w:bidi="en_US"/>
        </w:rPr>
      </w:r>
      <w:r>
        <w:rPr>
          <w:lang w:val="en_US" w:bidi="en_US"/>
        </w:rPr>
        <w:t>Some English versions begin new sections at 2:25 and at 2:36. If you decide to do this in your translation, some possible headings are:</w:t>
      </w:r>
    </w:p>
    <w:p>
      <w:pPr/>
      <w:r>
        <w:rPr>
          <w:lang w:val="en_US" w:bidi="en_US"/>
        </w:rPr>
      </w:r>
      <w:r>
        <w:rPr>
          <w:lang w:val="en_US" w:bidi="en_US"/>
        </w:rPr>
        <w:t>Simeon saw Jesus and prophesied about him (2:25)</w:t>
      </w:r>
    </w:p>
    <w:p>
      <w:pPr/>
      <w:r>
        <w:rPr>
          <w:lang w:val="en_US" w:bidi="en_US"/>
        </w:rPr>
      </w:r>
      <w:r>
        <w:rPr>
          <w:lang w:val="en_US" w:bidi="en_US"/>
        </w:rPr>
        <w:t>Anna thanked God for Jesus and told others about him (2:36)</w:t>
      </w:r>
    </w:p>
    <w:p>
      <w:pPr/>
      <w:r>
        <w:rPr>
          <w:lang w:val="en_US" w:bidi="en_US"/>
        </w:rPr>
      </w:r>
      <w:r>
        <w:rPr>
          <w:lang w:val="en_US" w:bidi="en_US"/>
        </w:rPr>
        <w:t>Simeon’s Prophecy (2:25)</w:t>
      </w:r>
    </w:p>
    <w:p>
      <w:pPr/>
      <w:r>
        <w:rPr>
          <w:lang w:val="en_US" w:bidi="en_US"/>
        </w:rPr>
      </w:r>
      <w:r>
        <w:rPr>
          <w:lang w:val="en_US" w:bidi="en_US"/>
        </w:rPr>
        <w:t>Anna’s Prophecy (2:36)</w:t>
      </w:r>
    </w:p>
    <w:p>
      <w:pPr>
        <w:pStyle w:val="Heading5"/>
      </w:pPr>
      <w:r>
        <w:rPr>
          <w:lang w:val="en_US" w:bidi="en_US"/>
        </w:rPr>
        <w:t>2:39</w:t>
      </w:r>
    </w:p>
    <w:p>
      <w:pPr/>
      <w:r>
        <w:rPr>
          <w:lang w:val="en_US" w:bidi="en_US"/>
        </w:rPr>
      </w:r>
      <w:r>
        <w:rPr>
          <w:b/>
          <w:lang w:val="en_US" w:bidi="en_US"/>
        </w:rPr>
        <w:t>When Jesus’ parents had done everything required by the Law of the Lord, they returned to Galilee, to their own town of Nazareth:</w:t>
      </w:r>
      <w:r>
        <w:rPr>
          <w:lang w:val="en_US" w:bidi="en_US"/>
        </w:rPr>
        <w:t xml:space="preserve"> The Gospel of Matthew indicates that Joseph and Mary went to Egypt before they returned to Nazareth. Translate this verse in a way that fits with that information. For example:</w:t>
      </w:r>
    </w:p>
    <w:p>
      <w:pPr/>
      <w:r>
        <w:rPr>
          <w:lang w:val="en_US" w:bidi="en_US"/>
        </w:rPr>
      </w:r>
      <w:r>
        <w:rPr>
          <w:lang w:val="en_US" w:bidi="en_US"/>
        </w:rPr>
        <w:t xml:space="preserve">After Joseph and Mary had done everything…they returned to Galilee to the town of Nazareth where they had lived </w:t>
      </w:r>
      <w:r>
        <w:rPr>
          <w:lang w:val="en_US" w:bidi="en_US"/>
        </w:rPr>
        <w:t>earlier</w:t>
      </w:r>
      <w:r>
        <w:rPr>
          <w:lang w:val="en_US" w:bidi="en_US"/>
        </w:rPr>
        <w:t>.</w:t>
      </w:r>
    </w:p>
    <w:p>
      <w:pPr>
        <w:pStyle w:val="Heading5"/>
      </w:pPr>
      <w:r>
        <w:rPr>
          <w:lang w:val="en_US" w:bidi="en_US"/>
        </w:rPr>
        <w:t>2:39a</w:t>
      </w:r>
    </w:p>
    <w:p>
      <w:pPr/>
      <w:r>
        <w:rPr>
          <w:lang w:val="en_US" w:bidi="en_US"/>
        </w:rPr>
      </w:r>
      <w:r>
        <w:rPr>
          <w:b/>
          <w:lang w:val="en_US" w:bidi="en_US"/>
        </w:rPr>
        <w:t>When Jesus’ parents had done everything required by the Law of the Lord,</w:t>
      </w:r>
    </w:p>
    <w:p>
      <w:pPr>
        <w:pStyle w:val="ListBullet"/>
        <w:spacing w:line="240" w:lineRule="auto"/>
        <w:ind w:left="720"/>
      </w:pPr>
      <w:r>
        <w:rPr>
          <w:lang w:val="en_US" w:bidi="en_US"/>
        </w:rPr>
      </w:r>
      <w:r>
        <w:rPr>
          <w:lang w:val="en_US" w:bidi="en_US"/>
        </w:rPr>
        <w:t>¶ When Joseph and Mary finished doing everything based on what the Law of the Lord taught,</w:t>
      </w:r>
    </w:p>
    <w:p>
      <w:pPr>
        <w:pStyle w:val="ListBullet"/>
        <w:spacing w:line="240" w:lineRule="auto"/>
        <w:ind w:left="720"/>
      </w:pPr>
      <w:r>
        <w:rPr>
          <w:lang w:val="en_US" w:bidi="en_US"/>
        </w:rPr>
      </w:r>
      <w:r>
        <w:rPr>
          <w:lang w:val="en_US" w:bidi="en_US"/>
        </w:rPr>
        <w:t>¶ Joseph and Mary completed everything that God’s Law said that parents of baby boys should do.</w:t>
      </w:r>
    </w:p>
    <w:p>
      <w:pPr/>
      <w:r>
        <w:rPr>
          <w:lang w:val="en_US" w:bidi="en_US"/>
        </w:rPr>
      </w:r>
      <w:r>
        <w:rPr>
          <w:b/>
          <w:lang w:val="en_US" w:bidi="en_US"/>
        </w:rPr>
        <w:t>When Jesus’ parents had done everything required by the Law of the Lord:</w:t>
      </w:r>
      <w:r>
        <w:rPr>
          <w:lang w:val="en_US" w:bidi="en_US"/>
        </w:rPr>
        <w:t xml:space="preserve"> The Greek phrase that the BSB translates as </w:t>
      </w:r>
      <w:r>
        <w:rPr>
          <w:i/>
          <w:lang w:val="en_US" w:bidi="en_US"/>
        </w:rPr>
        <w:t>everything required by the Law of the Lord</w:t>
      </w:r>
      <w:r>
        <w:rPr>
          <w:lang w:val="en_US" w:bidi="en_US"/>
        </w:rPr>
        <w:t xml:space="preserve"> is literally “everything according to the law of the Lord” (as in the RSV). This includes all the things that Jewish parents did when they had a newborn child, based on the Lord’s Law. They completed all of the following ceremonies:</w:t>
      </w:r>
    </w:p>
    <w:p>
      <w:pPr>
        <w:pStyle w:val="ListNumber"/>
        <w:numPr>
          <w:ilvl w:val="0"/>
          <w:numId w:val="63"/>
        </w:numPr>
        <w:spacing w:line="240" w:lineRule="auto"/>
        <w:ind w:left="720"/>
      </w:pPr>
      <w:r>
        <w:rPr>
          <w:lang w:val="en_US" w:bidi="en_US"/>
        </w:rPr>
      </w:r>
      <w:r>
        <w:rPr>
          <w:lang w:val="en_US" w:bidi="en_US"/>
        </w:rPr>
        <w:t>they had the baby circumcised and named at home;</w:t>
      </w:r>
    </w:p>
    <w:p>
      <w:pPr>
        <w:pStyle w:val="ListNumber"/>
        <w:spacing w:line="240" w:lineRule="auto"/>
        <w:ind w:left="720"/>
      </w:pPr>
      <w:r>
        <w:rPr>
          <w:lang w:val="en_US" w:bidi="en_US"/>
        </w:rPr>
      </w:r>
      <w:r>
        <w:rPr>
          <w:lang w:val="en_US" w:bidi="en_US"/>
        </w:rPr>
        <w:t>they presented the baby Jesus at the temple (because he was a firstborn male);</w:t>
      </w:r>
    </w:p>
    <w:p>
      <w:pPr>
        <w:pStyle w:val="ListNumber"/>
        <w:spacing w:line="240" w:lineRule="auto"/>
        <w:ind w:left="720"/>
      </w:pPr>
      <w:r>
        <w:rPr>
          <w:lang w:val="en_US" w:bidi="en_US"/>
        </w:rPr>
      </w:r>
      <w:r>
        <w:rPr>
          <w:lang w:val="en_US" w:bidi="en_US"/>
        </w:rPr>
        <w:t>and they gave the sacrifice for the purification of Mary.</w:t>
      </w:r>
    </w:p>
    <w:p>
      <w:pPr/>
      <w:r>
        <w:rPr>
          <w:lang w:val="en_US" w:bidi="en_US"/>
        </w:rPr>
      </w:r>
      <w:r>
        <w:rPr>
          <w:lang w:val="en_US" w:bidi="en_US"/>
        </w:rPr>
        <w:t>Some other ways to translate this part of the verse are:</w:t>
      </w:r>
    </w:p>
    <w:p>
      <w:pPr/>
      <w:r>
        <w:rPr>
          <w:lang w:val="en_US" w:bidi="en_US"/>
        </w:rPr>
      </w:r>
      <w:r>
        <w:rPr>
          <w:lang w:val="en_US" w:bidi="en_US"/>
        </w:rPr>
        <w:t>After they had finished doing all these necessary things, just as the Law of the Lord teaches</w:t>
      </w:r>
    </w:p>
    <w:p>
      <w:pPr/>
      <w:r>
        <w:rPr>
          <w:lang w:val="en_US" w:bidi="en_US"/>
        </w:rPr>
      </w:r>
      <w:r>
        <w:rPr>
          <w:lang w:val="en_US" w:bidi="en_US"/>
        </w:rPr>
        <w:t>When Jesus’ parents had fulfilled all the requirements of the law of the Lord (NLT)</w:t>
      </w:r>
    </w:p>
    <w:p>
      <w:pPr/>
      <w:r>
        <w:rPr>
          <w:lang w:val="en_US" w:bidi="en_US"/>
        </w:rPr>
      </w:r>
      <w:r>
        <w:rPr>
          <w:lang w:val="en_US" w:bidi="en_US"/>
        </w:rPr>
        <w:t>In some languages, it may be clearer to make this clause a complete sentence. For example:</w:t>
      </w:r>
    </w:p>
    <w:p>
      <w:pPr/>
      <w:r>
        <w:rPr>
          <w:lang w:val="en_US" w:bidi="en_US"/>
        </w:rPr>
      </w:r>
      <w:r>
        <w:rPr>
          <w:lang w:val="en_US" w:bidi="en_US"/>
        </w:rPr>
        <w:t>Joseph and Mary finished doing everything that the Law of the Lord commanded.</w:t>
      </w:r>
    </w:p>
    <w:p>
      <w:pPr/>
      <w:r>
        <w:rPr>
          <w:lang w:val="en_US" w:bidi="en_US"/>
        </w:rPr>
      </w:r>
      <w:r>
        <w:rPr>
          <w:b/>
          <w:lang w:val="en_US" w:bidi="en_US"/>
        </w:rPr>
        <w:t>everything:</w:t>
      </w:r>
      <w:r>
        <w:rPr>
          <w:lang w:val="en_US" w:bidi="en_US"/>
        </w:rPr>
        <w:t xml:space="preserve"> The word </w:t>
      </w:r>
      <w:r>
        <w:rPr>
          <w:i/>
          <w:lang w:val="en_US" w:bidi="en_US"/>
        </w:rPr>
        <w:t>everything</w:t>
      </w:r>
      <w:r>
        <w:rPr>
          <w:lang w:val="en_US" w:bidi="en_US"/>
        </w:rPr>
        <w:t xml:space="preserve"> refers here to the things that were listed in the first note on this part of the verse. These things related specifically to what parents did after the birth of their son if he was a first child. It does not refer to the many other types of laws and sacrifices that the Law of the Lord mentions. In some languages, it may be necessary to translate this with a more specific phrase. For example:</w:t>
      </w:r>
    </w:p>
    <w:p>
      <w:pPr/>
      <w:r>
        <w:rPr>
          <w:lang w:val="en_US" w:bidi="en_US"/>
        </w:rPr>
      </w:r>
      <w:r>
        <w:rPr>
          <w:lang w:val="en_US" w:bidi="en_US"/>
        </w:rPr>
        <w:t xml:space="preserve">all the things that the Law of the Lord required </w:t>
      </w:r>
      <w:r>
        <w:rPr>
          <w:lang w:val="en_US" w:bidi="en_US"/>
        </w:rPr>
        <w:t>new parents to do</w:t>
      </w:r>
    </w:p>
    <w:p>
      <w:pPr/>
      <w:r>
        <w:rPr>
          <w:lang w:val="en_US" w:bidi="en_US"/>
        </w:rPr>
      </w:r>
      <w:r>
        <w:rPr>
          <w:b/>
          <w:lang w:val="en_US" w:bidi="en_US"/>
        </w:rPr>
        <w:t>the Law of the Lord:</w:t>
      </w:r>
      <w:r>
        <w:rPr>
          <w:lang w:val="en_US" w:bidi="en_US"/>
        </w:rPr>
        <w:t xml:space="preserve"> The </w:t>
      </w:r>
      <w:r>
        <w:rPr>
          <w:i/>
          <w:lang w:val="en_US" w:bidi="en_US"/>
        </w:rPr>
        <w:t>Law of the Lord</w:t>
      </w:r>
      <w:r>
        <w:rPr>
          <w:lang w:val="en_US" w:bidi="en_US"/>
        </w:rPr>
        <w:t xml:space="preserve"> refers to the Law that God gave to the Israelites through Moses.</w:t>
      </w:r>
    </w:p>
    <w:p>
      <w:pPr>
        <w:pStyle w:val="Heading5"/>
      </w:pPr>
      <w:r>
        <w:rPr>
          <w:lang w:val="en_US" w:bidi="en_US"/>
        </w:rPr>
        <w:t>2:39b</w:t>
      </w:r>
    </w:p>
    <w:p>
      <w:pPr/>
      <w:r>
        <w:rPr>
          <w:lang w:val="en_US" w:bidi="en_US"/>
        </w:rPr>
      </w:r>
      <w:r>
        <w:rPr>
          <w:b/>
          <w:lang w:val="en_US" w:bidi="en_US"/>
        </w:rPr>
        <w:t>they returned to Galilee, to their own town of Nazareth.</w:t>
      </w:r>
    </w:p>
    <w:p>
      <w:pPr>
        <w:pStyle w:val="ListBullet"/>
        <w:spacing w:line="240" w:lineRule="auto"/>
        <w:ind w:left="720"/>
      </w:pPr>
      <w:r>
        <w:rPr>
          <w:lang w:val="en_US" w:bidi="en_US"/>
        </w:rPr>
      </w:r>
      <w:r>
        <w:rPr>
          <w:lang w:val="en_US" w:bidi="en_US"/>
        </w:rPr>
        <w:t>they returned to their own town of Nazareth in Galilee.</w:t>
      </w:r>
    </w:p>
    <w:p>
      <w:pPr>
        <w:pStyle w:val="ListBullet"/>
        <w:spacing w:line="240" w:lineRule="auto"/>
        <w:ind w:left="720"/>
      </w:pPr>
      <w:r>
        <w:rPr>
          <w:lang w:val="en_US" w:bidi="en_US"/>
        </w:rPr>
      </w:r>
      <w:r>
        <w:rPr>
          <w:lang w:val="en_US" w:bidi="en_US"/>
        </w:rPr>
        <w:t>Then they</w:t>
      </w:r>
      <w:r>
        <w:rPr>
          <w:vertAlign w:val="superscript"/>
          <w:lang w:val="en_US" w:bidi="en_US"/>
        </w:rPr>
        <w:t>(dual)</w:t>
      </w:r>
      <w:r>
        <w:rPr>
          <w:lang w:val="en_US" w:bidi="en_US"/>
        </w:rPr>
        <w:t xml:space="preserve"> </w:t>
      </w:r>
      <w:r>
        <w:rPr>
          <w:lang w:val="en_US" w:bidi="en_US"/>
        </w:rPr>
        <w:t>took Jesus</w:t>
      </w:r>
      <w:r>
        <w:rPr>
          <w:lang w:val="en_US" w:bidi="en_US"/>
        </w:rPr>
        <w:t xml:space="preserve"> and went back to </w:t>
      </w:r>
      <w:r>
        <w:rPr>
          <w:lang w:val="en_US" w:bidi="en_US"/>
        </w:rPr>
        <w:t>the province/region of</w:t>
      </w:r>
      <w:r>
        <w:rPr>
          <w:lang w:val="en_US" w:bidi="en_US"/>
        </w:rPr>
        <w:t xml:space="preserve"> Galilee, to Nazareth, the town where they had been living </w:t>
      </w:r>
      <w:r>
        <w:rPr>
          <w:lang w:val="en_US" w:bidi="en_US"/>
        </w:rPr>
        <w:t>earlier</w:t>
      </w:r>
      <w:r>
        <w:rPr>
          <w:lang w:val="en_US" w:bidi="en_US"/>
        </w:rPr>
        <w:t>.</w:t>
      </w:r>
    </w:p>
    <w:p>
      <w:pPr/>
      <w:r>
        <w:rPr>
          <w:lang w:val="en_US" w:bidi="en_US"/>
        </w:rPr>
      </w:r>
      <w:r>
        <w:rPr>
          <w:b/>
          <w:lang w:val="en_US" w:bidi="en_US"/>
        </w:rPr>
        <w:t>they returned to Galilee, to their own town of Nazareth:</w:t>
      </w:r>
      <w:r>
        <w:rPr>
          <w:lang w:val="en_US" w:bidi="en_US"/>
        </w:rPr>
        <w:t xml:space="preserve"> Joseph and Mary returned with Jesus to Nazareth, where they had been living. In 2:4 Joseph and Mary left Nazareth to come to Bethlehem for the census. In this context the phrase </w:t>
      </w:r>
      <w:r>
        <w:rPr>
          <w:i/>
          <w:lang w:val="en_US" w:bidi="en_US"/>
        </w:rPr>
        <w:t>their own town</w:t>
      </w:r>
      <w:r>
        <w:rPr>
          <w:lang w:val="en_US" w:bidi="en_US"/>
        </w:rPr>
        <w:t xml:space="preserve"> does not refer to the home of their ancestors, which was Bethlehem. Use a general term in your language.</w:t>
      </w:r>
    </w:p>
    <w:p>
      <w:pPr/>
      <w:r>
        <w:rPr>
          <w:lang w:val="en_US" w:bidi="en_US"/>
        </w:rPr>
      </w:r>
      <w:r>
        <w:rPr>
          <w:b/>
          <w:lang w:val="en_US" w:bidi="en_US"/>
        </w:rPr>
        <w:t>Galilee:</w:t>
      </w:r>
      <w:r>
        <w:rPr>
          <w:lang w:val="en_US" w:bidi="en_US"/>
        </w:rPr>
        <w:t xml:space="preserve"> </w:t>
      </w:r>
      <w:r>
        <w:rPr>
          <w:i/>
          <w:lang w:val="en_US" w:bidi="en_US"/>
        </w:rPr>
        <w:t>Galilee</w:t>
      </w:r>
      <w:r>
        <w:rPr>
          <w:lang w:val="en_US" w:bidi="en_US"/>
        </w:rPr>
        <w:t xml:space="preserve"> was the name of a province/district of the Roman Empire. It was located in the northern part of what is currently the nation of Israel.</w:t>
      </w:r>
      <w:r>
        <w:rPr>
          <w:lang w:val="en_US" w:bidi="en_US"/>
        </w:rPr>
      </w:r>
      <w:r>
        <w:rPr>
          <w:lang w:val="en_US" w:bidi="en_US"/>
        </w:rPr>
      </w:r>
    </w:p>
    <w:p>
      <w:pPr/>
      <w:r>
        <w:rPr>
          <w:lang w:val="en_US" w:bidi="en_US"/>
        </w:rPr>
      </w:r>
    </w:p>
    <w:p>
      <w:pPr>
        <w:pStyle w:val="Heading2"/>
      </w:pPr>
      <w:r>
        <w:rPr>
          <w:lang w:val="en_US" w:bidi="en_US"/>
        </w:rPr>
        <w:t>Luke 2:40</w:t>
      </w:r>
      <w:r>
        <w:rPr>
          <w:lang w:val="en_US" w:bidi="en_US"/>
        </w:rPr>
      </w:r>
    </w:p>
    <w:p>
      <w:pPr>
        <w:pStyle w:val="Heading4"/>
      </w:pPr>
      <w:r>
        <w:rPr>
          <w:lang w:val="en_US" w:bidi="en_US"/>
        </w:rPr>
        <w:t>Section 2:21–40: The baby Jesus at the temple</w:t>
      </w:r>
    </w:p>
    <w:p>
      <w:pPr/>
      <w:r>
        <w:rPr>
          <w:lang w:val="en_US" w:bidi="en_US"/>
        </w:rPr>
      </w:r>
      <w:r>
        <w:rPr>
          <w:lang w:val="en_US" w:bidi="en_US"/>
        </w:rPr>
        <w:t>The events in this section happened some days after Jesus was born.</w:t>
      </w:r>
    </w:p>
    <w:p>
      <w:pPr/>
      <w:r>
        <w:rPr>
          <w:lang w:val="en_US" w:bidi="en_US"/>
        </w:rPr>
      </w:r>
      <w:r>
        <w:rPr>
          <w:lang w:val="en_US" w:bidi="en_US"/>
        </w:rPr>
        <w:t>In 2:21–24, Luke mentioned three ceremonies that were done when Jewish boys were born:</w:t>
      </w:r>
    </w:p>
    <w:p>
      <w:pPr>
        <w:pStyle w:val="ListNumber"/>
        <w:numPr>
          <w:ilvl w:val="0"/>
          <w:numId w:val="64"/>
        </w:numPr>
        <w:spacing w:line="240" w:lineRule="auto"/>
        <w:ind w:left="720"/>
      </w:pPr>
      <w:r>
        <w:rPr>
          <w:lang w:val="en_US" w:bidi="en_US"/>
        </w:rPr>
      </w:r>
      <w:r>
        <w:rPr>
          <w:lang w:val="en_US" w:bidi="en_US"/>
        </w:rPr>
        <w:t>the baby boy was circumcised;</w:t>
      </w:r>
    </w:p>
    <w:p>
      <w:pPr>
        <w:pStyle w:val="ListNumber"/>
        <w:spacing w:line="240" w:lineRule="auto"/>
        <w:ind w:left="720"/>
      </w:pPr>
      <w:r>
        <w:rPr>
          <w:lang w:val="en_US" w:bidi="en_US"/>
        </w:rPr>
      </w:r>
      <w:r>
        <w:rPr>
          <w:lang w:val="en_US" w:bidi="en_US"/>
        </w:rPr>
        <w:t>the mother was ritually purified;</w:t>
      </w:r>
    </w:p>
    <w:p>
      <w:pPr>
        <w:pStyle w:val="ListNumber"/>
        <w:spacing w:line="240" w:lineRule="auto"/>
        <w:ind w:left="720"/>
      </w:pPr>
      <w:r>
        <w:rPr>
          <w:lang w:val="en_US" w:bidi="en_US"/>
        </w:rPr>
      </w:r>
      <w:r>
        <w:rPr>
          <w:lang w:val="en_US" w:bidi="en_US"/>
        </w:rPr>
        <w:t>the baby boy was presented to God.</w:t>
      </w:r>
    </w:p>
    <w:p>
      <w:pPr/>
      <w:r>
        <w:rPr>
          <w:lang w:val="en_US" w:bidi="en_US"/>
        </w:rPr>
      </w:r>
      <w:r>
        <w:rPr>
          <w:lang w:val="en_US" w:bidi="en_US"/>
        </w:rPr>
        <w:t>In 2:25–38 Luke described two other events that happened while Joseph, Mary, and Jesus were at the temple in Jerusalem. God allowed two righteous people named Simeon and Anna to see Jesus and to thank God for him. Simeon spoke a prophecy about Jesus and Mary.</w:t>
      </w:r>
    </w:p>
    <w:p>
      <w:pPr/>
      <w:r>
        <w:rPr>
          <w:lang w:val="en_US" w:bidi="en_US"/>
        </w:rPr>
      </w:r>
      <w:r>
        <w:rPr>
          <w:lang w:val="en_US" w:bidi="en_US"/>
        </w:rPr>
        <w:t>In 2:39–40 Luke concluded the section. Joseph and Mary took Jesus back to their home in Nazareth, where he grew and became strong and wise. The Gospel of Matthew indicates that before they went to Nazareth, Joseph and Mary took Jesus to Egypt and stayed there for some time. Although Luke does not mention this, you should connect the clauses in 2:39 in a way that does not contradict it.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Parents Obey Moses’ Teachings (GW)</w:t>
      </w:r>
    </w:p>
    <w:p>
      <w:pPr/>
      <w:r>
        <w:rPr>
          <w:lang w:val="en_US" w:bidi="en_US"/>
        </w:rPr>
      </w:r>
      <w:r>
        <w:rPr>
          <w:lang w:val="en_US" w:bidi="en_US"/>
        </w:rPr>
        <w:t>Jesus Presented at the Temple (NASB)</w:t>
      </w:r>
    </w:p>
    <w:p>
      <w:pPr/>
      <w:r>
        <w:rPr>
          <w:lang w:val="en_US" w:bidi="en_US"/>
        </w:rPr>
      </w:r>
      <w:r>
        <w:rPr>
          <w:lang w:val="en_US" w:bidi="en_US"/>
        </w:rPr>
        <w:t>Some English versions begin new sections at 2:25 and at 2:36. If you decide to do this in your translation, some possible headings are:</w:t>
      </w:r>
    </w:p>
    <w:p>
      <w:pPr/>
      <w:r>
        <w:rPr>
          <w:lang w:val="en_US" w:bidi="en_US"/>
        </w:rPr>
      </w:r>
      <w:r>
        <w:rPr>
          <w:lang w:val="en_US" w:bidi="en_US"/>
        </w:rPr>
        <w:t>Simeon saw Jesus and prophesied about him (2:25)</w:t>
      </w:r>
    </w:p>
    <w:p>
      <w:pPr/>
      <w:r>
        <w:rPr>
          <w:lang w:val="en_US" w:bidi="en_US"/>
        </w:rPr>
      </w:r>
      <w:r>
        <w:rPr>
          <w:lang w:val="en_US" w:bidi="en_US"/>
        </w:rPr>
        <w:t>Anna thanked God for Jesus and told others about him (2:36)</w:t>
      </w:r>
    </w:p>
    <w:p>
      <w:pPr/>
      <w:r>
        <w:rPr>
          <w:lang w:val="en_US" w:bidi="en_US"/>
        </w:rPr>
      </w:r>
      <w:r>
        <w:rPr>
          <w:lang w:val="en_US" w:bidi="en_US"/>
        </w:rPr>
        <w:t>Simeon’s Prophecy (2:25)</w:t>
      </w:r>
    </w:p>
    <w:p>
      <w:pPr/>
      <w:r>
        <w:rPr>
          <w:lang w:val="en_US" w:bidi="en_US"/>
        </w:rPr>
      </w:r>
      <w:r>
        <w:rPr>
          <w:lang w:val="en_US" w:bidi="en_US"/>
        </w:rPr>
        <w:t>Anna’s Prophecy (2:36)</w:t>
      </w:r>
    </w:p>
    <w:p>
      <w:pPr>
        <w:pStyle w:val="Heading5"/>
      </w:pPr>
      <w:r>
        <w:rPr>
          <w:lang w:val="en_US" w:bidi="en_US"/>
        </w:rPr>
        <w:t>2:40a</w:t>
      </w:r>
    </w:p>
    <w:p>
      <w:pPr/>
      <w:r>
        <w:rPr>
          <w:lang w:val="en_US" w:bidi="en_US"/>
        </w:rPr>
      </w:r>
      <w:r>
        <w:rPr>
          <w:b/>
          <w:lang w:val="en_US" w:bidi="en_US"/>
        </w:rPr>
        <w:t>And the Child grew and became strong.</w:t>
      </w:r>
    </w:p>
    <w:p>
      <w:pPr>
        <w:pStyle w:val="ListBullet"/>
        <w:spacing w:line="240" w:lineRule="auto"/>
        <w:ind w:left="720"/>
      </w:pPr>
      <w:r>
        <w:rPr>
          <w:lang w:val="en_US" w:bidi="en_US"/>
        </w:rPr>
      </w:r>
      <w:r>
        <w:rPr>
          <w:lang w:val="en_US" w:bidi="en_US"/>
        </w:rPr>
        <w:t>The child continued to grow and become strong.</w:t>
      </w:r>
    </w:p>
    <w:p>
      <w:pPr>
        <w:pStyle w:val="ListBullet"/>
        <w:spacing w:line="240" w:lineRule="auto"/>
        <w:ind w:left="720"/>
      </w:pPr>
      <w:r>
        <w:rPr>
          <w:lang w:val="en_US" w:bidi="en_US"/>
        </w:rPr>
      </w:r>
      <w:r>
        <w:rPr>
          <w:lang w:val="en_US" w:bidi="en_US"/>
        </w:rPr>
        <w:t>As the child Jesus grew up, he became strong</w:t>
      </w:r>
    </w:p>
    <w:p>
      <w:pPr/>
      <w:r>
        <w:rPr>
          <w:lang w:val="en_US" w:bidi="en_US"/>
        </w:rPr>
      </w:r>
      <w:r>
        <w:rPr>
          <w:b/>
          <w:lang w:val="en_US" w:bidi="en_US"/>
        </w:rPr>
        <w:t>grew and became strong:</w:t>
      </w:r>
      <w:r>
        <w:rPr>
          <w:lang w:val="en_US" w:bidi="en_US"/>
        </w:rPr>
        <w:t xml:space="preserve"> </w:t>
      </w:r>
      <w:r>
        <w:rPr>
          <w:lang w:val="en_US" w:bidi="en_US"/>
        </w:rPr>
        <w:t>A few Greek manuscripts add the words “in spirit” after strong, perhaps to make it similar to 1:80. Most English versions follow the manuscripts that do not include these words. Most commentators agree that “strong” here refers to physical strength. However, the KJV follows the manuscripts that include the words “in spirit.”</w:t>
      </w:r>
      <w:r>
        <w:rPr>
          <w:lang w:val="en_US" w:bidi="en_US"/>
        </w:rPr>
        <w:t xml:space="preserve"> The word </w:t>
      </w:r>
      <w:r>
        <w:rPr>
          <w:i/>
          <w:lang w:val="en_US" w:bidi="en_US"/>
        </w:rPr>
        <w:t>strong</w:t>
      </w:r>
      <w:r>
        <w:rPr>
          <w:lang w:val="en_US" w:bidi="en_US"/>
        </w:rPr>
        <w:t xml:space="preserve"> here refers to physical strength. As Jesus grew, he became physically strong.</w:t>
      </w:r>
    </w:p>
    <w:p>
      <w:pPr>
        <w:pStyle w:val="Heading5"/>
      </w:pPr>
      <w:r>
        <w:rPr>
          <w:lang w:val="en_US" w:bidi="en_US"/>
        </w:rPr>
        <w:t>2:40b</w:t>
      </w:r>
    </w:p>
    <w:p>
      <w:pPr/>
      <w:r>
        <w:rPr>
          <w:lang w:val="en_US" w:bidi="en_US"/>
        </w:rPr>
      </w:r>
      <w:r>
        <w:rPr>
          <w:b/>
          <w:lang w:val="en_US" w:bidi="en_US"/>
        </w:rPr>
        <w:t>He was filled with wisdom,</w:t>
      </w:r>
    </w:p>
    <w:p>
      <w:pPr>
        <w:pStyle w:val="ListBullet"/>
        <w:spacing w:line="240" w:lineRule="auto"/>
        <w:ind w:left="720"/>
      </w:pPr>
      <w:r>
        <w:rPr>
          <w:lang w:val="en_US" w:bidi="en_US"/>
        </w:rPr>
      </w:r>
      <w:r>
        <w:rPr>
          <w:lang w:val="en_US" w:bidi="en_US"/>
        </w:rPr>
        <w:t>He acquired/gained much wisdom,</w:t>
      </w:r>
    </w:p>
    <w:p>
      <w:pPr>
        <w:pStyle w:val="ListBullet"/>
        <w:spacing w:line="240" w:lineRule="auto"/>
        <w:ind w:left="720"/>
      </w:pPr>
      <w:r>
        <w:rPr>
          <w:lang w:val="en_US" w:bidi="en_US"/>
        </w:rPr>
      </w:r>
      <w:r>
        <w:rPr>
          <w:lang w:val="en_US" w:bidi="en_US"/>
        </w:rPr>
        <w:t>and wise.</w:t>
      </w:r>
    </w:p>
    <w:p>
      <w:pPr/>
      <w:r>
        <w:rPr>
          <w:lang w:val="en_US" w:bidi="en_US"/>
        </w:rPr>
      </w:r>
      <w:r>
        <w:rPr>
          <w:b/>
          <w:lang w:val="en_US" w:bidi="en_US"/>
        </w:rPr>
        <w:t>He was filled with wisdom:</w:t>
      </w:r>
      <w:r>
        <w:rPr>
          <w:lang w:val="en_US" w:bidi="en_US"/>
        </w:rPr>
        <w:t xml:space="preserve"> The Greek phrase that the BSB translates literally as </w:t>
      </w:r>
      <w:r>
        <w:rPr>
          <w:i/>
          <w:lang w:val="en_US" w:bidi="en_US"/>
        </w:rPr>
        <w:t>filled with wisdom</w:t>
      </w:r>
      <w:r>
        <w:rPr>
          <w:lang w:val="en_US" w:bidi="en_US"/>
        </w:rPr>
        <w:t xml:space="preserve"> is an idiom. It means that Jesus became very wise. Consider whether you also have an idiom in your language to express this.</w:t>
      </w:r>
    </w:p>
    <w:p>
      <w:pPr/>
      <w:r>
        <w:rPr>
          <w:lang w:val="en_US" w:bidi="en_US"/>
        </w:rPr>
      </w:r>
      <w:r>
        <w:rPr>
          <w:lang w:val="en_US" w:bidi="en_US"/>
        </w:rPr>
        <w:t xml:space="preserve">The word </w:t>
      </w:r>
      <w:r>
        <w:rPr>
          <w:i/>
          <w:lang w:val="en_US" w:bidi="en_US"/>
        </w:rPr>
        <w:t>wisdom</w:t>
      </w:r>
      <w:r>
        <w:rPr>
          <w:lang w:val="en_US" w:bidi="en_US"/>
        </w:rPr>
        <w:t xml:space="preserve"> here refers to understanding and insight, especially understanding of spiritual things. It does not refer only to intelligence or to knowledge that is learned from studying.</w:t>
      </w:r>
    </w:p>
    <w:p>
      <w:pPr/>
      <w:r>
        <w:rPr>
          <w:lang w:val="en_US" w:bidi="en_US"/>
        </w:rPr>
      </w:r>
      <w:r>
        <w:rPr>
          <w:lang w:val="en_US" w:bidi="en_US"/>
        </w:rPr>
        <w:t>Another way to translate this is:</w:t>
      </w:r>
    </w:p>
    <w:p>
      <w:pPr/>
      <w:r>
        <w:rPr>
          <w:lang w:val="en_US" w:bidi="en_US"/>
        </w:rPr>
      </w:r>
      <w:r>
        <w:rPr>
          <w:lang w:val="en_US" w:bidi="en_US"/>
        </w:rPr>
        <w:t>He became very wise</w:t>
      </w:r>
    </w:p>
    <w:p>
      <w:pPr/>
      <w:r>
        <w:rPr>
          <w:lang w:val="en_US" w:bidi="en_US"/>
        </w:rPr>
      </w:r>
      <w:r>
        <w:rPr>
          <w:lang w:val="en_US" w:bidi="en_US"/>
        </w:rPr>
        <w:t>He gained great insight/ understanding</w:t>
      </w:r>
    </w:p>
    <w:p>
      <w:pPr>
        <w:pStyle w:val="Heading5"/>
      </w:pPr>
      <w:r>
        <w:rPr>
          <w:lang w:val="en_US" w:bidi="en_US"/>
        </w:rPr>
        <w:t>2:40c</w:t>
      </w:r>
    </w:p>
    <w:p>
      <w:pPr/>
      <w:r>
        <w:rPr>
          <w:lang w:val="en_US" w:bidi="en_US"/>
        </w:rPr>
      </w:r>
      <w:r>
        <w:rPr>
          <w:b/>
          <w:lang w:val="en_US" w:bidi="en_US"/>
        </w:rPr>
        <w:t>and the grace of God was upon Him.</w:t>
      </w:r>
    </w:p>
    <w:p>
      <w:pPr>
        <w:pStyle w:val="ListBullet"/>
        <w:spacing w:line="240" w:lineRule="auto"/>
        <w:ind w:left="720"/>
      </w:pPr>
      <w:r>
        <w:rPr>
          <w:lang w:val="en_US" w:bidi="en_US"/>
        </w:rPr>
      </w:r>
      <w:r>
        <w:rPr>
          <w:lang w:val="en_US" w:bidi="en_US"/>
        </w:rPr>
        <w:t>and God placed his special favor upon him. (NLT96)</w:t>
      </w:r>
    </w:p>
    <w:p>
      <w:pPr>
        <w:pStyle w:val="ListBullet"/>
        <w:spacing w:line="240" w:lineRule="auto"/>
        <w:ind w:left="720"/>
      </w:pPr>
      <w:r>
        <w:rPr>
          <w:lang w:val="en_US" w:bidi="en_US"/>
        </w:rPr>
      </w:r>
      <w:r>
        <w:rPr>
          <w:lang w:val="en_US" w:bidi="en_US"/>
        </w:rPr>
        <w:t>God’s blessing was upon him. (JBP)</w:t>
      </w:r>
    </w:p>
    <w:p>
      <w:pPr>
        <w:pStyle w:val="ListBullet"/>
        <w:spacing w:line="240" w:lineRule="auto"/>
        <w:ind w:left="720"/>
      </w:pPr>
      <w:r>
        <w:rPr>
          <w:lang w:val="en_US" w:bidi="en_US"/>
        </w:rPr>
      </w:r>
      <w:r>
        <w:rPr>
          <w:lang w:val="en_US" w:bidi="en_US"/>
        </w:rPr>
        <w:t xml:space="preserve">And God continually blessed him </w:t>
      </w:r>
      <w:r>
        <w:rPr>
          <w:lang w:val="en_US" w:bidi="en_US"/>
        </w:rPr>
        <w:t>as he grew/matured</w:t>
      </w:r>
      <w:r>
        <w:rPr>
          <w:lang w:val="en_US" w:bidi="en_US"/>
        </w:rPr>
        <w:t>.</w:t>
      </w:r>
    </w:p>
    <w:p>
      <w:pPr/>
      <w:r>
        <w:rPr>
          <w:lang w:val="en_US" w:bidi="en_US"/>
        </w:rPr>
      </w:r>
      <w:r>
        <w:rPr>
          <w:b/>
          <w:lang w:val="en_US" w:bidi="en_US"/>
        </w:rPr>
        <w:t>the grace of God was upon Him:</w:t>
      </w:r>
      <w:r>
        <w:rPr>
          <w:lang w:val="en_US" w:bidi="en_US"/>
        </w:rPr>
        <w:t xml:space="preserve"> The Greek phrase that the BSB translates as </w:t>
      </w:r>
      <w:r>
        <w:rPr>
          <w:i/>
          <w:lang w:val="en_US" w:bidi="en_US"/>
        </w:rPr>
        <w:t>the grace of God was upon Him</w:t>
      </w:r>
      <w:r>
        <w:rPr>
          <w:lang w:val="en_US" w:bidi="en_US"/>
        </w:rPr>
        <w:t xml:space="preserve"> is an idiom. It indicates here that God continually favored and blessed Jesus. Jesus received the </w:t>
      </w:r>
      <w:r>
        <w:rPr>
          <w:u w:val="single"/>
          <w:lang w:val="en_US" w:bidi="en_US"/>
        </w:rPr>
        <w:t>ongoing</w:t>
      </w:r>
      <w:r>
        <w:rPr>
          <w:lang w:val="en_US" w:bidi="en_US"/>
        </w:rPr>
        <w:t xml:space="preserve"> benefits of God’s favor during the years that he was maturing.</w:t>
      </w:r>
    </w:p>
    <w:p>
      <w:pPr/>
      <w:r>
        <w:rPr>
          <w:lang w:val="en_US" w:bidi="en_US"/>
        </w:rPr>
      </w:r>
      <w:r>
        <w:rPr>
          <w:lang w:val="en_US" w:bidi="en_US"/>
        </w:rPr>
        <w:t xml:space="preserve">The word </w:t>
      </w:r>
      <w:r>
        <w:rPr>
          <w:i/>
          <w:lang w:val="en_US" w:bidi="en_US"/>
        </w:rPr>
        <w:t>grace</w:t>
      </w:r>
      <w:r>
        <w:rPr>
          <w:lang w:val="en_US" w:bidi="en_US"/>
        </w:rPr>
        <w:t xml:space="preserve"> refers here to God’s kindness, favor, or blessing. He showed this kindness to Jesus in special ways. Some other ways to translate </w:t>
      </w:r>
      <w:r>
        <w:rPr>
          <w:i/>
          <w:lang w:val="en_US" w:bidi="en_US"/>
        </w:rPr>
        <w:t>the grace of God was upon Him</w:t>
      </w:r>
      <w:r>
        <w:rPr>
          <w:lang w:val="en_US" w:bidi="en_US"/>
        </w:rPr>
        <w:t xml:space="preserve"> are:</w:t>
      </w:r>
    </w:p>
    <w:p>
      <w:pPr/>
      <w:r>
        <w:rPr>
          <w:lang w:val="en_US" w:bidi="en_US"/>
        </w:rPr>
      </w:r>
      <w:r>
        <w:rPr>
          <w:lang w:val="en_US" w:bidi="en_US"/>
        </w:rPr>
        <w:t>God placed his special favor upon him. (NLT96)</w:t>
      </w:r>
    </w:p>
    <w:p>
      <w:pPr/>
      <w:r>
        <w:rPr>
          <w:lang w:val="en_US" w:bidi="en_US"/>
        </w:rPr>
      </w:r>
      <w:r>
        <w:rPr>
          <w:lang w:val="en_US" w:bidi="en_US"/>
        </w:rPr>
        <w:t>God continually blessed him.</w:t>
      </w:r>
    </w:p>
    <w:p>
      <w:pPr/>
      <w:r>
        <w:rPr>
          <w:lang w:val="en_US" w:bidi="en_US"/>
        </w:rPr>
      </w:r>
      <w:r>
        <w:rPr>
          <w:lang w:val="en_US" w:bidi="en_US"/>
        </w:rPr>
        <w:t>See grace, Meaning 1, in the Glossary.</w:t>
      </w:r>
      <w:r>
        <w:rPr>
          <w:lang w:val="en_US" w:bidi="en_US"/>
        </w:rPr>
      </w:r>
      <w:r>
        <w:rPr>
          <w:lang w:val="en_US" w:bidi="en_US"/>
        </w:rPr>
      </w:r>
    </w:p>
    <w:p>
      <w:pPr/>
      <w:r>
        <w:rPr>
          <w:lang w:val="en_US" w:bidi="en_US"/>
        </w:rPr>
      </w:r>
    </w:p>
    <w:p>
      <w:pPr>
        <w:pStyle w:val="Heading2"/>
      </w:pPr>
      <w:r>
        <w:rPr>
          <w:lang w:val="en_US" w:bidi="en_US"/>
        </w:rPr>
        <w:t>Luke 2:41</w:t>
      </w:r>
      <w:r>
        <w:rPr>
          <w:lang w:val="en_US" w:bidi="en_US"/>
        </w:rPr>
      </w:r>
    </w:p>
    <w:p>
      <w:pPr>
        <w:pStyle w:val="Heading4"/>
      </w:pPr>
      <w:r>
        <w:rPr>
          <w:lang w:val="en_US" w:bidi="en_US"/>
        </w:rPr>
        <w:t>Section 2:41–52: The boy Jesus spoke with the teachers</w:t>
      </w:r>
    </w:p>
    <w:p>
      <w:pPr/>
      <w:r>
        <w:rPr>
          <w:lang w:val="en_US" w:bidi="en_US"/>
        </w:rPr>
      </w:r>
      <w:r>
        <w:rPr>
          <w:lang w:val="en_US" w:bidi="en_US"/>
        </w:rPr>
        <w:t>In this section, Joseph and Mary took Jesus to the Feast of the Passover in Jerusalem. This may have been Jesus’ first time to go there for Passover. While Jesus was in Jerusalem, he went to the Temple and discussed religious matters with Jewish religious leaders.</w:t>
      </w:r>
    </w:p>
    <w:p>
      <w:pPr/>
      <w:r>
        <w:rPr>
          <w:lang w:val="en_US" w:bidi="en_US"/>
        </w:rPr>
      </w:r>
      <w:r>
        <w:rPr>
          <w:lang w:val="en_US" w:bidi="en_US"/>
        </w:rP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numPr>
          <w:ilvl w:val="0"/>
          <w:numId w:val="65"/>
        </w:numPr>
        <w:spacing w:line="240" w:lineRule="auto"/>
        <w:ind w:left="720"/>
      </w:pPr>
      <w:r>
        <w:rPr>
          <w:lang w:val="en_US" w:bidi="en_US"/>
        </w:rPr>
      </w:r>
      <w:r>
        <w:rPr>
          <w:lang w:val="en_US" w:bidi="en_US"/>
        </w:rPr>
        <w:t>Joseph and Mary did not know where Jesus was;</w:t>
      </w:r>
    </w:p>
    <w:p>
      <w:pPr>
        <w:pStyle w:val="ListNumber"/>
        <w:spacing w:line="240" w:lineRule="auto"/>
        <w:ind w:left="720"/>
      </w:pPr>
      <w:r>
        <w:rPr>
          <w:lang w:val="en_US" w:bidi="en_US"/>
        </w:rPr>
      </w:r>
      <w:r>
        <w:rPr>
          <w:lang w:val="en_US" w:bidi="en_US"/>
        </w:rPr>
        <w:t>they did not know exactly what he was telling them when they found him;</w:t>
      </w:r>
    </w:p>
    <w:p>
      <w:pPr>
        <w:pStyle w:val="ListNumber"/>
        <w:spacing w:line="240" w:lineRule="auto"/>
        <w:ind w:left="720"/>
      </w:pPr>
      <w:r>
        <w:rPr>
          <w:lang w:val="en_US" w:bidi="en_US"/>
        </w:rPr>
      </w:r>
      <w:r>
        <w:rPr>
          <w:lang w:val="en_US" w:bidi="en_US"/>
        </w:rPr>
        <w:t>by the age of twelve (or before), Jesus was aware that he was God’s Son.</w:t>
      </w:r>
    </w:p>
    <w:p>
      <w:pPr/>
      <w:r>
        <w:rPr>
          <w:lang w:val="en_US" w:bidi="en_US"/>
        </w:rPr>
      </w:r>
      <w:r>
        <w:rPr>
          <w:lang w:val="en_US" w:bidi="en_US"/>
        </w:rPr>
        <w:t>Some other possible headings for this section are:</w:t>
      </w:r>
    </w:p>
    <w:p>
      <w:pPr/>
      <w:r>
        <w:rPr>
          <w:lang w:val="en_US" w:bidi="en_US"/>
        </w:rPr>
      </w:r>
      <w:r>
        <w:rPr>
          <w:lang w:val="en_US" w:bidi="en_US"/>
        </w:rPr>
        <w:t>Mary and Joseph Find Jesus With the Teachers in the Temple Courtyard (GW)</w:t>
      </w:r>
    </w:p>
    <w:p>
      <w:pPr/>
      <w:r>
        <w:rPr>
          <w:lang w:val="en_US" w:bidi="en_US"/>
        </w:rPr>
      </w:r>
      <w:r>
        <w:rPr>
          <w:lang w:val="en_US" w:bidi="en_US"/>
        </w:rPr>
        <w:t>Jesus when he was twelve years old</w:t>
      </w:r>
    </w:p>
    <w:p>
      <w:pPr>
        <w:pStyle w:val="Heading5"/>
      </w:pPr>
      <w:r>
        <w:rPr>
          <w:lang w:val="en_US" w:bidi="en_US"/>
        </w:rPr>
        <w:t>2:41</w:t>
      </w:r>
    </w:p>
    <w:p>
      <w:pPr/>
      <w:r>
        <w:rPr>
          <w:lang w:val="en_US" w:bidi="en_US"/>
        </w:rPr>
      </w:r>
      <w:r>
        <w:rPr>
          <w:b/>
          <w:lang w:val="en_US" w:bidi="en_US"/>
        </w:rPr>
        <w:t>Every year His parents went to Jerusalem for the Feast of the Passover.</w:t>
      </w:r>
    </w:p>
    <w:p>
      <w:pPr>
        <w:pStyle w:val="ListBullet"/>
        <w:spacing w:line="240" w:lineRule="auto"/>
        <w:ind w:left="720"/>
      </w:pPr>
      <w:r>
        <w:rPr>
          <w:lang w:val="en_US" w:bidi="en_US"/>
        </w:rPr>
      </w:r>
      <w:r>
        <w:rPr>
          <w:lang w:val="en_US" w:bidi="en_US"/>
        </w:rPr>
        <w:t>¶ Every year Jesus’ parents went to Jerusalem for the Passover Festival.</w:t>
      </w:r>
    </w:p>
    <w:p>
      <w:pPr>
        <w:pStyle w:val="ListBullet"/>
        <w:spacing w:line="240" w:lineRule="auto"/>
        <w:ind w:left="720"/>
      </w:pPr>
      <w:r>
        <w:rPr>
          <w:lang w:val="en_US" w:bidi="en_US"/>
        </w:rPr>
      </w:r>
      <w:r>
        <w:rPr>
          <w:lang w:val="en_US" w:bidi="en_US"/>
        </w:rPr>
        <w:t xml:space="preserve">¶ Every year Jesus’ father and mother traveled to </w:t>
      </w:r>
      <w:r>
        <w:rPr>
          <w:lang w:val="en_US" w:bidi="en_US"/>
        </w:rPr>
        <w:t>the city of</w:t>
      </w:r>
      <w:r>
        <w:rPr>
          <w:lang w:val="en_US" w:bidi="en_US"/>
        </w:rPr>
        <w:t xml:space="preserve"> Jerusalem </w:t>
      </w:r>
      <w:r>
        <w:rPr>
          <w:lang w:val="en_US" w:bidi="en_US"/>
        </w:rPr>
        <w:t>to celebrate</w:t>
      </w:r>
      <w:r>
        <w:rPr>
          <w:lang w:val="en_US" w:bidi="en_US"/>
        </w:rPr>
        <w:t xml:space="preserve"> the Passover Feast.</w:t>
      </w:r>
    </w:p>
    <w:p>
      <w:pPr/>
      <w:r>
        <w:rPr>
          <w:lang w:val="en_US" w:bidi="en_US"/>
        </w:rPr>
      </w:r>
      <w:r>
        <w:rPr>
          <w:b/>
          <w:lang w:val="en_US" w:bidi="en_US"/>
        </w:rPr>
        <w:t>His parents:</w:t>
      </w:r>
      <w:r>
        <w:rPr>
          <w:lang w:val="en_US" w:bidi="en_US"/>
        </w:rPr>
        <w:t xml:space="preserve"> The phrase </w:t>
      </w:r>
      <w:r>
        <w:rPr>
          <w:i/>
          <w:lang w:val="en_US" w:bidi="en_US"/>
        </w:rPr>
        <w:t>His parents</w:t>
      </w:r>
      <w:r>
        <w:rPr>
          <w:lang w:val="en_US" w:bidi="en_US"/>
        </w:rPr>
        <w:t xml:space="preserve"> refers to Joseph and Mary. Although Joseph was not Jesus’ biological father, he filled the responsibility of a father toward Jesus.</w:t>
      </w:r>
    </w:p>
    <w:p>
      <w:pPr/>
      <w:r>
        <w:rPr>
          <w:lang w:val="en_US" w:bidi="en_US"/>
        </w:rPr>
      </w:r>
      <w:r>
        <w:rPr>
          <w:b/>
          <w:lang w:val="en_US" w:bidi="en_US"/>
        </w:rPr>
        <w:t>the Feast of the Passover:</w:t>
      </w:r>
      <w:r>
        <w:rPr>
          <w:lang w:val="en_US" w:bidi="en_US"/>
        </w:rPr>
        <w:t xml:space="preserve"> The Greek word that the BSB translates as </w:t>
      </w:r>
      <w:r>
        <w:rPr>
          <w:i/>
          <w:lang w:val="en_US" w:bidi="en_US"/>
        </w:rPr>
        <w:t>Passover</w:t>
      </w:r>
      <w:r>
        <w:rPr>
          <w:lang w:val="en_US" w:bidi="en_US"/>
        </w:rPr>
        <w:t xml:space="preserve"> means “pass by” or “pass over.”</w:t>
      </w:r>
      <w:r>
        <w:rPr>
          <w:lang w:val="en_US" w:bidi="en_US"/>
        </w:rPr>
        <w:t>The Greek word is actually a transliteration of an Aramaic word that means “to pass by” or “to pass over.”</w:t>
      </w:r>
      <w:r>
        <w:rPr>
          <w:lang w:val="en_US" w:bidi="en_US"/>
        </w:rPr>
        <w:t xml:space="preserve"> The </w:t>
      </w:r>
      <w:r>
        <w:rPr>
          <w:i/>
          <w:lang w:val="en_US" w:bidi="en_US"/>
        </w:rPr>
        <w:t>Feast of the Passover</w:t>
      </w:r>
      <w:r>
        <w:rPr>
          <w:lang w:val="en_US" w:bidi="en_US"/>
        </w:rPr>
        <w:t xml:space="preserve"> was one of the Jewish religious festivals. The Jews celebrated this festival every year.</w:t>
      </w:r>
    </w:p>
    <w:p>
      <w:pPr/>
      <w:r>
        <w:rPr>
          <w:lang w:val="en_US" w:bidi="en_US"/>
        </w:rPr>
      </w:r>
      <w:r>
        <w:rPr>
          <w:lang w:val="en_US" w:bidi="en_US"/>
        </w:rPr>
        <w:t xml:space="preserve">During this festival, the Jews celebrated the time when God freed their ancestors from slavery in Egypt. It reminded them of how the angel of the Lord caused the Egyptian king to allow the Israelites to leave Egypt. The angel did this by killing every firstborn son of the Egyptians during one night. However, the angel did not kill any of the firstborn sons of the Israelites. Instead, he spared their lives. He “passed over” the oldest sons of the Israelites (Exodus 12:21–27). Because of this, the </w:t>
      </w:r>
      <w:r>
        <w:rPr>
          <w:i/>
          <w:lang w:val="en_US" w:bidi="en_US"/>
        </w:rPr>
        <w:t>Feast of the Passover</w:t>
      </w:r>
      <w:r>
        <w:rPr>
          <w:lang w:val="en_US" w:bidi="en_US"/>
        </w:rPr>
        <w:t xml:space="preserve"> was like an independence celebration for the Jews.</w:t>
      </w:r>
    </w:p>
    <w:p>
      <w:pPr/>
      <w:r>
        <w:rPr>
          <w:lang w:val="en_US" w:bidi="en_US"/>
        </w:rPr>
      </w:r>
      <w:r>
        <w:rPr>
          <w:lang w:val="en_US" w:bidi="en_US"/>
        </w:rPr>
        <w:t xml:space="preserve">Some ways to translate the phrase </w:t>
      </w:r>
      <w:r>
        <w:rPr>
          <w:i/>
          <w:lang w:val="en_US" w:bidi="en_US"/>
        </w:rPr>
        <w:t>Feast of the Passover</w:t>
      </w:r>
      <w:r>
        <w:rPr>
          <w:lang w:val="en_US" w:bidi="en_US"/>
        </w:rPr>
        <w:t xml:space="preserve"> are:</w:t>
      </w:r>
    </w:p>
    <w:p>
      <w:pPr>
        <w:pStyle w:val="ListBullet"/>
        <w:spacing w:line="240" w:lineRule="auto"/>
        <w:ind w:left="720"/>
      </w:pPr>
      <w:r>
        <w:rPr>
          <w:lang w:val="en_US" w:bidi="en_US"/>
        </w:rPr>
      </w:r>
      <w:r>
        <w:rPr>
          <w:lang w:val="en_US" w:bidi="en_US"/>
        </w:rPr>
        <w:t>Translate the meaning of the term. For example:</w:t>
      </w:r>
      <w:r>
        <w:rPr>
          <w:lang w:val="en_US" w:bidi="en_US"/>
        </w:rPr>
        <w:t>the Passing Over/By Feast</w:t>
      </w:r>
      <w:r>
        <w:rPr>
          <w:lang w:val="en_US" w:bidi="en_US"/>
        </w:rPr>
        <w:t xml:space="preserve">the Sparing </w:t>
      </w:r>
      <w:r>
        <w:rPr>
          <w:lang w:val="en_US" w:bidi="en_US"/>
        </w:rPr>
        <w:t>of the Firstborn Sons</w:t>
      </w:r>
      <w:r>
        <w:rPr>
          <w:lang w:val="en_US" w:bidi="en_US"/>
        </w:rPr>
        <w:t xml:space="preserve"> festival</w:t>
      </w:r>
      <w:r>
        <w:rPr>
          <w:lang w:val="en_US" w:bidi="en_US"/>
        </w:rPr>
        <w:t>“Death did not harm us” feast</w:t>
      </w:r>
    </w:p>
    <w:p>
      <w:pPr>
        <w:pStyle w:val="ListBullet"/>
        <w:spacing w:line="240" w:lineRule="auto"/>
        <w:ind w:left="720"/>
      </w:pPr>
      <w:r>
        <w:rPr>
          <w:lang w:val="en_US" w:bidi="en_US"/>
        </w:rPr>
      </w:r>
      <w:r>
        <w:rPr>
          <w:lang w:val="en_US" w:bidi="en_US"/>
        </w:rPr>
        <w:t>Focus on the result of the angel “passing over,” in other words, the Jews becoming free. For example:</w:t>
      </w:r>
      <w:r>
        <w:rPr>
          <w:lang w:val="en_US" w:bidi="en_US"/>
        </w:rPr>
        <w:t>the Festival of Freedom</w:t>
      </w:r>
      <w:r>
        <w:rPr>
          <w:lang w:val="en_US" w:bidi="en_US"/>
        </w:rPr>
        <w:t>Deliverance Day Feast</w:t>
      </w:r>
      <w:r>
        <w:rPr>
          <w:lang w:val="en_US" w:bidi="en_US"/>
        </w:rPr>
        <w:t>the End of Slavery Celebration</w:t>
      </w:r>
    </w:p>
    <w:p>
      <w:pPr/>
      <w:r>
        <w:rPr>
          <w:lang w:val="en_US" w:bidi="en_US"/>
        </w:rPr>
      </w:r>
      <w:r>
        <w:rPr>
          <w:lang w:val="en_US" w:bidi="en_US"/>
        </w:rPr>
        <w:t>You may want to include a footnote and cross-reference here about this feast. For example:</w:t>
      </w:r>
    </w:p>
    <w:p>
      <w:pPr/>
      <w:r>
        <w:rPr>
          <w:lang w:val="en_US" w:bidi="en_US"/>
        </w:rPr>
      </w:r>
      <w:r>
        <w:rPr>
          <w:lang w:val="en_US" w:bidi="en_US"/>
        </w:rPr>
        <w:t>The Feast of Passover was a festival that reminded the Jews of the time when God freed their ancestors from slavery in Egypt. See Exodus 12:1–27.</w:t>
      </w:r>
      <w:r>
        <w:rPr>
          <w:lang w:val="en_US" w:bidi="en_US"/>
        </w:rPr>
      </w:r>
      <w:r>
        <w:rPr>
          <w:lang w:val="en_US" w:bidi="en_US"/>
        </w:rPr>
      </w:r>
    </w:p>
    <w:p>
      <w:pPr/>
      <w:r>
        <w:rPr>
          <w:lang w:val="en_US" w:bidi="en_US"/>
        </w:rPr>
      </w:r>
    </w:p>
    <w:p>
      <w:pPr>
        <w:pStyle w:val="Heading2"/>
      </w:pPr>
      <w:r>
        <w:rPr>
          <w:lang w:val="en_US" w:bidi="en_US"/>
        </w:rPr>
        <w:t>Luke 2:42</w:t>
      </w:r>
      <w:r>
        <w:rPr>
          <w:lang w:val="en_US" w:bidi="en_US"/>
        </w:rPr>
      </w:r>
    </w:p>
    <w:p>
      <w:pPr>
        <w:pStyle w:val="Heading4"/>
      </w:pPr>
      <w:r>
        <w:rPr>
          <w:lang w:val="en_US" w:bidi="en_US"/>
        </w:rPr>
        <w:t>Section 2:41–52: The boy Jesus spoke with the teachers</w:t>
      </w:r>
    </w:p>
    <w:p>
      <w:pPr/>
      <w:r>
        <w:rPr>
          <w:lang w:val="en_US" w:bidi="en_US"/>
        </w:rPr>
      </w:r>
      <w:r>
        <w:rPr>
          <w:lang w:val="en_US" w:bidi="en_US"/>
        </w:rPr>
        <w:t>In this section, Joseph and Mary took Jesus to the Feast of the Passover in Jerusalem. This may have been Jesus’ first time to go there for Passover. While Jesus was in Jerusalem, he went to the Temple and discussed religious matters with Jewish religious leaders.</w:t>
      </w:r>
    </w:p>
    <w:p>
      <w:pPr/>
      <w:r>
        <w:rPr>
          <w:lang w:val="en_US" w:bidi="en_US"/>
        </w:rPr>
      </w:r>
      <w:r>
        <w:rPr>
          <w:lang w:val="en_US" w:bidi="en_US"/>
        </w:rP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numPr>
          <w:ilvl w:val="0"/>
          <w:numId w:val="66"/>
        </w:numPr>
        <w:spacing w:line="240" w:lineRule="auto"/>
        <w:ind w:left="720"/>
      </w:pPr>
      <w:r>
        <w:rPr>
          <w:lang w:val="en_US" w:bidi="en_US"/>
        </w:rPr>
      </w:r>
      <w:r>
        <w:rPr>
          <w:lang w:val="en_US" w:bidi="en_US"/>
        </w:rPr>
        <w:t>Joseph and Mary did not know where Jesus was;</w:t>
      </w:r>
    </w:p>
    <w:p>
      <w:pPr>
        <w:pStyle w:val="ListNumber"/>
        <w:spacing w:line="240" w:lineRule="auto"/>
        <w:ind w:left="720"/>
      </w:pPr>
      <w:r>
        <w:rPr>
          <w:lang w:val="en_US" w:bidi="en_US"/>
        </w:rPr>
      </w:r>
      <w:r>
        <w:rPr>
          <w:lang w:val="en_US" w:bidi="en_US"/>
        </w:rPr>
        <w:t>they did not know exactly what he was telling them when they found him;</w:t>
      </w:r>
    </w:p>
    <w:p>
      <w:pPr>
        <w:pStyle w:val="ListNumber"/>
        <w:spacing w:line="240" w:lineRule="auto"/>
        <w:ind w:left="720"/>
      </w:pPr>
      <w:r>
        <w:rPr>
          <w:lang w:val="en_US" w:bidi="en_US"/>
        </w:rPr>
      </w:r>
      <w:r>
        <w:rPr>
          <w:lang w:val="en_US" w:bidi="en_US"/>
        </w:rPr>
        <w:t>by the age of twelve (or before), Jesus was aware that he was God’s Son.</w:t>
      </w:r>
    </w:p>
    <w:p>
      <w:pPr/>
      <w:r>
        <w:rPr>
          <w:lang w:val="en_US" w:bidi="en_US"/>
        </w:rPr>
      </w:r>
      <w:r>
        <w:rPr>
          <w:lang w:val="en_US" w:bidi="en_US"/>
        </w:rPr>
        <w:t>Some other possible headings for this section are:</w:t>
      </w:r>
    </w:p>
    <w:p>
      <w:pPr/>
      <w:r>
        <w:rPr>
          <w:lang w:val="en_US" w:bidi="en_US"/>
        </w:rPr>
      </w:r>
      <w:r>
        <w:rPr>
          <w:lang w:val="en_US" w:bidi="en_US"/>
        </w:rPr>
        <w:t>Mary and Joseph Find Jesus With the Teachers in the Temple Courtyard (GW)</w:t>
      </w:r>
    </w:p>
    <w:p>
      <w:pPr/>
      <w:r>
        <w:rPr>
          <w:lang w:val="en_US" w:bidi="en_US"/>
        </w:rPr>
      </w:r>
      <w:r>
        <w:rPr>
          <w:lang w:val="en_US" w:bidi="en_US"/>
        </w:rPr>
        <w:t>Jesus when he was twelve years old</w:t>
      </w:r>
    </w:p>
    <w:p>
      <w:pPr>
        <w:pStyle w:val="Heading5"/>
      </w:pPr>
      <w:r>
        <w:rPr>
          <w:lang w:val="en_US" w:bidi="en_US"/>
        </w:rPr>
        <w:t>2:42</w:t>
      </w:r>
    </w:p>
    <w:p>
      <w:pPr/>
      <w:r>
        <w:rPr>
          <w:lang w:val="en_US" w:bidi="en_US"/>
        </w:rPr>
      </w:r>
      <w:r>
        <w:rPr>
          <w:b/>
          <w:lang w:val="en_US" w:bidi="en_US"/>
        </w:rPr>
        <w:t>And when He was twelve years old, they went up according to the custom of the Feast.</w:t>
      </w:r>
    </w:p>
    <w:p>
      <w:pPr>
        <w:pStyle w:val="ListBullet"/>
        <w:spacing w:line="240" w:lineRule="auto"/>
        <w:ind w:left="720"/>
      </w:pPr>
      <w:r>
        <w:rPr>
          <w:lang w:val="en_US" w:bidi="en_US"/>
        </w:rPr>
      </w:r>
      <w:r>
        <w:rPr>
          <w:lang w:val="en_US" w:bidi="en_US"/>
        </w:rPr>
        <w:t xml:space="preserve">When Jesus was twelve years old, his parents went to that festival as was their custom, </w:t>
      </w:r>
      <w:r>
        <w:rPr>
          <w:lang w:val="en_US" w:bidi="en_US"/>
        </w:rPr>
        <w:t>and he went with them</w:t>
      </w:r>
      <w:r>
        <w:rPr>
          <w:lang w:val="en_US" w:bidi="en_US"/>
        </w:rPr>
        <w:t>.</w:t>
      </w:r>
    </w:p>
    <w:p>
      <w:pPr>
        <w:pStyle w:val="ListBullet"/>
        <w:spacing w:line="240" w:lineRule="auto"/>
        <w:ind w:left="720"/>
      </w:pPr>
      <w:r>
        <w:rPr>
          <w:lang w:val="en_US" w:bidi="en_US"/>
        </w:rPr>
      </w:r>
      <w:r>
        <w:rPr>
          <w:lang w:val="en_US" w:bidi="en_US"/>
        </w:rPr>
        <w:t>When Jesus was twelve years old, his parents went to that festival as they</w:t>
      </w:r>
      <w:r>
        <w:rPr>
          <w:vertAlign w:val="superscript"/>
          <w:lang w:val="en_US" w:bidi="en_US"/>
        </w:rPr>
        <w:t>(dual)</w:t>
      </w:r>
      <w:r>
        <w:rPr>
          <w:lang w:val="en_US" w:bidi="en_US"/>
        </w:rPr>
        <w:t xml:space="preserve"> usually did, </w:t>
      </w:r>
      <w:r>
        <w:rPr>
          <w:lang w:val="en_US" w:bidi="en_US"/>
        </w:rPr>
        <w:t>and they took Jesus also</w:t>
      </w:r>
      <w:r>
        <w:rPr>
          <w:lang w:val="en_US" w:bidi="en_US"/>
        </w:rPr>
        <w:t>.</w:t>
      </w:r>
    </w:p>
    <w:p>
      <w:pPr/>
      <w:r>
        <w:rPr>
          <w:lang w:val="en_US" w:bidi="en_US"/>
        </w:rPr>
      </w:r>
      <w:r>
        <w:rPr>
          <w:b/>
          <w:lang w:val="en_US" w:bidi="en_US"/>
        </w:rPr>
        <w:t>twelve years old:</w:t>
      </w:r>
      <w:r>
        <w:rPr>
          <w:lang w:val="en_US" w:bidi="en_US"/>
        </w:rPr>
        <w:t xml:space="preserve"> The age of </w:t>
      </w:r>
      <w:r>
        <w:rPr>
          <w:i/>
          <w:lang w:val="en_US" w:bidi="en_US"/>
        </w:rPr>
        <w:t>twelve</w:t>
      </w:r>
      <w:r>
        <w:rPr>
          <w:lang w:val="en_US" w:bidi="en_US"/>
        </w:rPr>
        <w:t xml:space="preserve"> was an important time in a Jewish boy’s life.</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grammatically refers to Joseph and Mary, but it is clear from the story that Jesus went with them.</w:t>
      </w:r>
    </w:p>
    <w:p>
      <w:pPr/>
      <w:r>
        <w:rPr>
          <w:lang w:val="en_US" w:bidi="en_US"/>
        </w:rPr>
      </w:r>
      <w:r>
        <w:rPr>
          <w:lang w:val="en_US" w:bidi="en_US"/>
        </w:rPr>
        <w:t>To make this clear, you can say:</w:t>
      </w:r>
    </w:p>
    <w:p>
      <w:pPr/>
      <w:r>
        <w:rPr>
          <w:lang w:val="en_US" w:bidi="en_US"/>
        </w:rPr>
      </w:r>
      <w:r>
        <w:rPr>
          <w:lang w:val="en_US" w:bidi="en_US"/>
        </w:rPr>
        <w:t>they went up…</w:t>
      </w:r>
      <w:r>
        <w:rPr>
          <w:lang w:val="en_US" w:bidi="en_US"/>
        </w:rPr>
        <w:t>and he went with them</w:t>
      </w:r>
    </w:p>
    <w:p>
      <w:pPr/>
      <w:r>
        <w:rPr>
          <w:lang w:val="en_US" w:bidi="en_US"/>
        </w:rPr>
      </w:r>
      <w:r>
        <w:rPr>
          <w:lang w:val="en_US" w:bidi="en_US"/>
        </w:rPr>
        <w:t>he and</w:t>
      </w:r>
      <w:r>
        <w:rPr>
          <w:lang w:val="en_US" w:bidi="en_US"/>
        </w:rPr>
        <w:t xml:space="preserve"> his parents</w:t>
      </w:r>
    </w:p>
    <w:p>
      <w:pPr/>
      <w:r>
        <w:rPr>
          <w:lang w:val="en_US" w:bidi="en_US"/>
        </w:rPr>
      </w:r>
      <w:r>
        <w:rPr>
          <w:b/>
          <w:lang w:val="en_US" w:bidi="en_US"/>
        </w:rPr>
        <w:t>went up according to the custom of the Feast:</w:t>
      </w:r>
      <w:r>
        <w:rPr>
          <w:lang w:val="en_US" w:bidi="en_US"/>
        </w:rPr>
        <w:t xml:space="preserve"> The verb </w:t>
      </w:r>
      <w:r>
        <w:rPr>
          <w:i/>
          <w:lang w:val="en_US" w:bidi="en_US"/>
        </w:rPr>
        <w:t>went up</w:t>
      </w:r>
      <w:r>
        <w:rPr>
          <w:lang w:val="en_US" w:bidi="en_US"/>
        </w:rPr>
        <w:t xml:space="preserve"> indicates that they were traveling to a place that was higher in elevation. The city of Jerusalem, where the Feast was held, was located on a hill.</w:t>
      </w:r>
    </w:p>
    <w:p>
      <w:pPr/>
      <w:r>
        <w:rPr>
          <w:lang w:val="en_US" w:bidi="en_US"/>
        </w:rPr>
      </w:r>
      <w:r>
        <w:rPr>
          <w:lang w:val="en_US" w:bidi="en_US"/>
        </w:rPr>
        <w:t>In some languages, it is important to say whether people are traveling to a place that is higher or lower in elevation. However, in other languages, this may be unusual or confusing. If it is confusing in your language, here are other ways to translate the action:</w:t>
      </w:r>
    </w:p>
    <w:p>
      <w:pPr/>
      <w:r>
        <w:rPr>
          <w:lang w:val="en_US" w:bidi="en_US"/>
        </w:rPr>
      </w:r>
      <w:r>
        <w:rPr>
          <w:lang w:val="en_US" w:bidi="en_US"/>
        </w:rPr>
        <w:t>traveled to Jerusalem</w:t>
      </w:r>
    </w:p>
    <w:p>
      <w:pPr/>
      <w:r>
        <w:rPr>
          <w:lang w:val="en_US" w:bidi="en_US"/>
        </w:rPr>
      </w:r>
      <w:r>
        <w:rPr>
          <w:lang w:val="en_US" w:bidi="en_US"/>
        </w:rPr>
        <w:t>went to the feast</w:t>
      </w:r>
    </w:p>
    <w:p>
      <w:pPr/>
      <w:r>
        <w:rPr>
          <w:lang w:val="en_US" w:bidi="en_US"/>
        </w:rPr>
      </w:r>
      <w:r>
        <w:rPr>
          <w:b/>
          <w:lang w:val="en_US" w:bidi="en_US"/>
        </w:rPr>
        <w:t>according to the custom of the Feast:</w:t>
      </w:r>
      <w:r>
        <w:rPr>
          <w:lang w:val="en_US" w:bidi="en_US"/>
        </w:rPr>
        <w:t xml:space="preserve"> At that time in Israel’s history, it was the custom for all Jewish men to go to Jerusalem every year for the Passover Festival. The wives often accompanied their husbands.</w:t>
      </w:r>
    </w:p>
    <w:p>
      <w:pPr/>
      <w:r>
        <w:rPr>
          <w:lang w:val="en_US" w:bidi="en_US"/>
        </w:rPr>
      </w:r>
      <w:r>
        <w:rPr>
          <w:b/>
          <w:lang w:val="en_US" w:bidi="en_US"/>
        </w:rPr>
        <w:t>the Feast:</w:t>
      </w:r>
      <w:r>
        <w:rPr>
          <w:lang w:val="en_US" w:bidi="en_US"/>
        </w:rPr>
        <w:t xml:space="preserve"> The phrase </w:t>
      </w:r>
      <w:r>
        <w:rPr>
          <w:i/>
          <w:lang w:val="en_US" w:bidi="en_US"/>
        </w:rPr>
        <w:t>the Feast</w:t>
      </w:r>
      <w:r>
        <w:rPr>
          <w:lang w:val="en_US" w:bidi="en_US"/>
        </w:rPr>
        <w:t xml:space="preserve"> refers back to the Feast of the Passover in 2:41. Many English versions do not capitalize the word “Feast” here, and you may follow the rules of capitalization that you normally use. Some versions use a general term such as “celebration” here or leave the phrase implied.</w:t>
      </w:r>
      <w:r>
        <w:rPr>
          <w:lang w:val="en_US" w:bidi="en_US"/>
        </w:rPr>
      </w:r>
      <w:r>
        <w:rPr>
          <w:lang w:val="en_US" w:bidi="en_US"/>
        </w:rPr>
      </w:r>
    </w:p>
    <w:p>
      <w:pPr/>
      <w:r>
        <w:rPr>
          <w:lang w:val="en_US" w:bidi="en_US"/>
        </w:rPr>
      </w:r>
    </w:p>
    <w:p>
      <w:pPr>
        <w:pStyle w:val="Heading2"/>
      </w:pPr>
      <w:r>
        <w:rPr>
          <w:lang w:val="en_US" w:bidi="en_US"/>
        </w:rPr>
        <w:t>Luke 2:43</w:t>
      </w:r>
      <w:r>
        <w:rPr>
          <w:lang w:val="en_US" w:bidi="en_US"/>
        </w:rPr>
      </w:r>
    </w:p>
    <w:p>
      <w:pPr>
        <w:pStyle w:val="Heading4"/>
      </w:pPr>
      <w:r>
        <w:rPr>
          <w:lang w:val="en_US" w:bidi="en_US"/>
        </w:rPr>
        <w:t>Section 2:41–52: The boy Jesus spoke with the teachers</w:t>
      </w:r>
    </w:p>
    <w:p>
      <w:pPr/>
      <w:r>
        <w:rPr>
          <w:lang w:val="en_US" w:bidi="en_US"/>
        </w:rPr>
      </w:r>
      <w:r>
        <w:rPr>
          <w:lang w:val="en_US" w:bidi="en_US"/>
        </w:rPr>
        <w:t>In this section, Joseph and Mary took Jesus to the Feast of the Passover in Jerusalem. This may have been Jesus’ first time to go there for Passover. While Jesus was in Jerusalem, he went to the Temple and discussed religious matters with Jewish religious leaders.</w:t>
      </w:r>
    </w:p>
    <w:p>
      <w:pPr/>
      <w:r>
        <w:rPr>
          <w:lang w:val="en_US" w:bidi="en_US"/>
        </w:rPr>
      </w:r>
      <w:r>
        <w:rPr>
          <w:lang w:val="en_US" w:bidi="en_US"/>
        </w:rP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numPr>
          <w:ilvl w:val="0"/>
          <w:numId w:val="67"/>
        </w:numPr>
        <w:spacing w:line="240" w:lineRule="auto"/>
        <w:ind w:left="720"/>
      </w:pPr>
      <w:r>
        <w:rPr>
          <w:lang w:val="en_US" w:bidi="en_US"/>
        </w:rPr>
      </w:r>
      <w:r>
        <w:rPr>
          <w:lang w:val="en_US" w:bidi="en_US"/>
        </w:rPr>
        <w:t>Joseph and Mary did not know where Jesus was;</w:t>
      </w:r>
    </w:p>
    <w:p>
      <w:pPr>
        <w:pStyle w:val="ListNumber"/>
        <w:spacing w:line="240" w:lineRule="auto"/>
        <w:ind w:left="720"/>
      </w:pPr>
      <w:r>
        <w:rPr>
          <w:lang w:val="en_US" w:bidi="en_US"/>
        </w:rPr>
      </w:r>
      <w:r>
        <w:rPr>
          <w:lang w:val="en_US" w:bidi="en_US"/>
        </w:rPr>
        <w:t>they did not know exactly what he was telling them when they found him;</w:t>
      </w:r>
    </w:p>
    <w:p>
      <w:pPr>
        <w:pStyle w:val="ListNumber"/>
        <w:spacing w:line="240" w:lineRule="auto"/>
        <w:ind w:left="720"/>
      </w:pPr>
      <w:r>
        <w:rPr>
          <w:lang w:val="en_US" w:bidi="en_US"/>
        </w:rPr>
      </w:r>
      <w:r>
        <w:rPr>
          <w:lang w:val="en_US" w:bidi="en_US"/>
        </w:rPr>
        <w:t>by the age of twelve (or before), Jesus was aware that he was God’s Son.</w:t>
      </w:r>
    </w:p>
    <w:p>
      <w:pPr/>
      <w:r>
        <w:rPr>
          <w:lang w:val="en_US" w:bidi="en_US"/>
        </w:rPr>
      </w:r>
      <w:r>
        <w:rPr>
          <w:lang w:val="en_US" w:bidi="en_US"/>
        </w:rPr>
        <w:t>Some other possible headings for this section are:</w:t>
      </w:r>
    </w:p>
    <w:p>
      <w:pPr/>
      <w:r>
        <w:rPr>
          <w:lang w:val="en_US" w:bidi="en_US"/>
        </w:rPr>
      </w:r>
      <w:r>
        <w:rPr>
          <w:lang w:val="en_US" w:bidi="en_US"/>
        </w:rPr>
        <w:t>Mary and Joseph Find Jesus With the Teachers in the Temple Courtyard (GW)</w:t>
      </w:r>
    </w:p>
    <w:p>
      <w:pPr/>
      <w:r>
        <w:rPr>
          <w:lang w:val="en_US" w:bidi="en_US"/>
        </w:rPr>
      </w:r>
      <w:r>
        <w:rPr>
          <w:lang w:val="en_US" w:bidi="en_US"/>
        </w:rPr>
        <w:t>Jesus when he was twelve years old</w:t>
      </w:r>
    </w:p>
    <w:p>
      <w:pPr>
        <w:pStyle w:val="Heading5"/>
      </w:pPr>
      <w:r>
        <w:rPr>
          <w:lang w:val="en_US" w:bidi="en_US"/>
        </w:rPr>
        <w:t>2:43a</w:t>
      </w:r>
    </w:p>
    <w:p>
      <w:pPr/>
      <w:r>
        <w:rPr>
          <w:lang w:val="en_US" w:bidi="en_US"/>
        </w:rPr>
      </w:r>
      <w:r>
        <w:rPr>
          <w:b/>
          <w:lang w:val="en_US" w:bidi="en_US"/>
        </w:rPr>
        <w:t>When those days were over and they were returning home,</w:t>
      </w:r>
    </w:p>
    <w:p>
      <w:pPr>
        <w:pStyle w:val="ListBullet"/>
        <w:spacing w:line="240" w:lineRule="auto"/>
        <w:ind w:left="720"/>
      </w:pPr>
      <w:r>
        <w:rPr>
          <w:lang w:val="en_US" w:bidi="en_US"/>
        </w:rPr>
      </w:r>
      <w:r>
        <w:rPr>
          <w:lang w:val="en_US" w:bidi="en_US"/>
        </w:rPr>
        <w:t>When the festival was over, Jesus’ parents started on their way back home.</w:t>
      </w:r>
    </w:p>
    <w:p>
      <w:pPr>
        <w:pStyle w:val="ListBullet"/>
        <w:spacing w:line="240" w:lineRule="auto"/>
        <w:ind w:left="720"/>
      </w:pPr>
      <w:r>
        <w:rPr>
          <w:lang w:val="en_US" w:bidi="en_US"/>
        </w:rPr>
      </w:r>
      <w:r>
        <w:rPr>
          <w:lang w:val="en_US" w:bidi="en_US"/>
        </w:rPr>
        <w:t>After the feast, Jesus’ mother and father left to go back home,</w:t>
      </w:r>
    </w:p>
    <w:p>
      <w:pPr/>
      <w:r>
        <w:rPr>
          <w:lang w:val="en_US" w:bidi="en_US"/>
        </w:rPr>
      </w:r>
      <w:r>
        <w:rPr>
          <w:b/>
          <w:lang w:val="en_US" w:bidi="en_US"/>
        </w:rPr>
        <w:t>When those days were over and they were returning home:</w:t>
      </w:r>
      <w:r>
        <w:rPr>
          <w:lang w:val="en_US" w:bidi="en_US"/>
        </w:rPr>
        <w:t xml:space="preserve"> This part of the verse indicates that after the Passover celebration ended, Joseph and Mary started traveling home.</w:t>
      </w:r>
    </w:p>
    <w:p>
      <w:pPr/>
      <w:r>
        <w:rPr>
          <w:lang w:val="en_US" w:bidi="en_US"/>
        </w:rPr>
      </w:r>
      <w:r>
        <w:rPr>
          <w:b/>
          <w:lang w:val="en_US" w:bidi="en_US"/>
        </w:rPr>
        <w:t>they:</w:t>
      </w:r>
      <w:r>
        <w:rPr>
          <w:lang w:val="en_US" w:bidi="en_US"/>
        </w:rPr>
        <w:t xml:space="preserve"> The Greek word that the BSB translates as </w:t>
      </w:r>
      <w:r>
        <w:rPr>
          <w:i/>
          <w:lang w:val="en_US" w:bidi="en_US"/>
        </w:rPr>
        <w:t>they</w:t>
      </w:r>
      <w:r>
        <w:rPr>
          <w:lang w:val="en_US" w:bidi="en_US"/>
        </w:rPr>
        <w:t xml:space="preserve"> refers to Joseph and Mary, the parents of Jesus. Some versions, such as the NIV, say “his parents” here and “they” in 2:43c instead of “his parents.”</w:t>
      </w:r>
    </w:p>
    <w:p>
      <w:pPr>
        <w:pStyle w:val="Heading5"/>
      </w:pPr>
      <w:r>
        <w:rPr>
          <w:lang w:val="en_US" w:bidi="en_US"/>
        </w:rPr>
        <w:t>2:43b</w:t>
      </w:r>
    </w:p>
    <w:p>
      <w:pPr/>
      <w:r>
        <w:rPr>
          <w:lang w:val="en_US" w:bidi="en_US"/>
        </w:rPr>
      </w:r>
      <w:r>
        <w:rPr>
          <w:b/>
          <w:lang w:val="en_US" w:bidi="en_US"/>
        </w:rPr>
        <w:t>the boy Jesus remained behind in Jerusalem,</w:t>
      </w:r>
    </w:p>
    <w:p>
      <w:pPr>
        <w:pStyle w:val="ListBullet"/>
        <w:spacing w:line="240" w:lineRule="auto"/>
        <w:ind w:left="720"/>
      </w:pPr>
      <w:r>
        <w:rPr>
          <w:lang w:val="en_US" w:bidi="en_US"/>
        </w:rPr>
      </w:r>
      <w:r>
        <w:rPr>
          <w:lang w:val="en_US" w:bidi="en_US"/>
        </w:rPr>
        <w:t>The young Jesus stayed behind in Jerusalem,</w:t>
      </w:r>
    </w:p>
    <w:p>
      <w:pPr>
        <w:pStyle w:val="ListBullet"/>
        <w:spacing w:line="240" w:lineRule="auto"/>
        <w:ind w:left="720"/>
      </w:pPr>
      <w:r>
        <w:rPr>
          <w:lang w:val="en_US" w:bidi="en_US"/>
        </w:rPr>
      </w:r>
      <w:r>
        <w:rPr>
          <w:lang w:val="en_US" w:bidi="en_US"/>
        </w:rPr>
        <w:t>but</w:t>
      </w:r>
      <w:r>
        <w:rPr>
          <w:lang w:val="en_US" w:bidi="en_US"/>
        </w:rPr>
        <w:t xml:space="preserve"> their son Jesus remained in </w:t>
      </w:r>
      <w:r>
        <w:rPr>
          <w:lang w:val="en_US" w:bidi="en_US"/>
        </w:rPr>
        <w:t>the city of</w:t>
      </w:r>
      <w:r>
        <w:rPr>
          <w:lang w:val="en_US" w:bidi="en_US"/>
        </w:rPr>
        <w:t xml:space="preserve"> Jerusalem.</w:t>
      </w:r>
    </w:p>
    <w:p>
      <w:pPr/>
      <w:r>
        <w:rPr>
          <w:lang w:val="en_US" w:bidi="en_US"/>
        </w:rPr>
      </w:r>
      <w:r>
        <w:rPr>
          <w:lang w:val="en_US" w:bidi="en_US"/>
        </w:rPr>
        <w:t>In Greek, no conjunction connects this clause to 2:43a. This verse tells about an event that is unexpected or surprising. In some languages, it may be natural to use a conjunction to indicate that, as the BSB does by saying “but.” For example:</w:t>
      </w:r>
    </w:p>
    <w:p>
      <w:pPr/>
      <w:r>
        <w:rPr>
          <w:lang w:val="en_US" w:bidi="en_US"/>
        </w:rPr>
      </w:r>
      <w:r>
        <w:rPr>
          <w:vertAlign w:val="superscript"/>
          <w:lang w:val="en_US" w:bidi="en_US"/>
        </w:rPr>
        <w:t>43a</w:t>
      </w:r>
      <w:r>
        <w:rPr>
          <w:lang w:val="en_US" w:bidi="en_US"/>
        </w:rPr>
        <w:t xml:space="preserve">…they started home to Nazareth, </w:t>
      </w:r>
      <w:r>
        <w:rPr>
          <w:vertAlign w:val="superscript"/>
          <w:lang w:val="en_US" w:bidi="en_US"/>
        </w:rPr>
        <w:t>43b</w:t>
      </w:r>
      <w:r>
        <w:rPr>
          <w:u w:val="single"/>
          <w:lang w:val="en_US" w:bidi="en_US"/>
        </w:rPr>
        <w:t>but</w:t>
      </w:r>
      <w:r>
        <w:rPr>
          <w:lang w:val="en_US" w:bidi="en_US"/>
        </w:rPr>
        <w:t xml:space="preserve"> Jesus stayed behind in Jerusalem.</w:t>
      </w:r>
    </w:p>
    <w:p>
      <w:pPr/>
      <w:r>
        <w:rPr>
          <w:lang w:val="en_US" w:bidi="en_US"/>
        </w:rPr>
      </w:r>
      <w:r>
        <w:rPr>
          <w:lang w:val="en_US" w:bidi="en_US"/>
        </w:rPr>
        <w:t>The event in 2:43c is also surprising. In some languages, it may be natural to have a conjunction there too. For example:</w:t>
      </w:r>
    </w:p>
    <w:p>
      <w:pPr/>
      <w:r>
        <w:rPr>
          <w:lang w:val="en_US" w:bidi="en_US"/>
        </w:rPr>
      </w:r>
      <w:r>
        <w:rPr>
          <w:vertAlign w:val="superscript"/>
          <w:lang w:val="en_US" w:bidi="en_US"/>
        </w:rPr>
        <w:t>43a</w:t>
      </w:r>
      <w:r>
        <w:rPr>
          <w:lang w:val="en_US" w:bidi="en_US"/>
        </w:rPr>
        <w:t xml:space="preserve">…they started home to Nazareth, </w:t>
      </w:r>
      <w:r>
        <w:rPr>
          <w:vertAlign w:val="superscript"/>
          <w:lang w:val="en_US" w:bidi="en_US"/>
        </w:rPr>
        <w:t>43b</w:t>
      </w:r>
      <w:r>
        <w:rPr>
          <w:u w:val="single"/>
          <w:lang w:val="en_US" w:bidi="en_US"/>
        </w:rPr>
        <w:t>but</w:t>
      </w:r>
      <w:r>
        <w:rPr>
          <w:lang w:val="en_US" w:bidi="en_US"/>
        </w:rPr>
        <w:t xml:space="preserve"> Jesus stayed behind in Jerusalem. </w:t>
      </w:r>
      <w:r>
        <w:rPr>
          <w:vertAlign w:val="superscript"/>
          <w:lang w:val="en_US" w:bidi="en_US"/>
        </w:rPr>
        <w:t>43c</w:t>
      </w:r>
      <w:r>
        <w:rPr>
          <w:u w:val="single"/>
          <w:lang w:val="en_US" w:bidi="en_US"/>
        </w:rPr>
        <w:t>However, they were unaware of it</w:t>
      </w:r>
      <w:r>
        <w:rPr>
          <w:lang w:val="en_US" w:bidi="en_US"/>
        </w:rPr>
        <w:t>.</w:t>
      </w:r>
    </w:p>
    <w:p>
      <w:pPr/>
      <w:r>
        <w:rPr>
          <w:lang w:val="en_US" w:bidi="en_US"/>
        </w:rPr>
      </w:r>
      <w:r>
        <w:rPr>
          <w:lang w:val="en_US" w:bidi="en_US"/>
        </w:rPr>
        <w:t>Connect the clauses in a natural way in your language.</w:t>
      </w:r>
    </w:p>
    <w:p>
      <w:pPr/>
      <w:r>
        <w:rPr>
          <w:lang w:val="en_US" w:bidi="en_US"/>
        </w:rPr>
      </w:r>
      <w:r>
        <w:rPr>
          <w:b/>
          <w:lang w:val="en_US" w:bidi="en_US"/>
        </w:rPr>
        <w:t>the boy Jesus:</w:t>
      </w:r>
      <w:r>
        <w:rPr>
          <w:lang w:val="en_US" w:bidi="en_US"/>
        </w:rPr>
        <w:t xml:space="preserve"> In some languages it may be difficult or unnatural to say </w:t>
      </w:r>
      <w:r>
        <w:rPr>
          <w:i/>
          <w:lang w:val="en_US" w:bidi="en_US"/>
        </w:rPr>
        <w:t>the boy Jesus</w:t>
      </w:r>
      <w:r>
        <w:rPr>
          <w:lang w:val="en_US" w:bidi="en_US"/>
        </w:rPr>
        <w:t>. If that is true in your language, here are other ways to translate it:</w:t>
      </w:r>
    </w:p>
    <w:p>
      <w:pPr/>
      <w:r>
        <w:rPr>
          <w:lang w:val="en_US" w:bidi="en_US"/>
        </w:rPr>
      </w:r>
      <w:r>
        <w:rPr>
          <w:lang w:val="en_US" w:bidi="en_US"/>
        </w:rPr>
        <w:t>young Jesus</w:t>
      </w:r>
    </w:p>
    <w:p>
      <w:pPr/>
      <w:r>
        <w:rPr>
          <w:lang w:val="en_US" w:bidi="en_US"/>
        </w:rPr>
      </w:r>
      <w:r>
        <w:rPr>
          <w:lang w:val="en_US" w:bidi="en_US"/>
        </w:rPr>
        <w:t>their son Jesus</w:t>
      </w:r>
    </w:p>
    <w:p>
      <w:pPr/>
      <w:r>
        <w:rPr>
          <w:lang w:val="en_US" w:bidi="en_US"/>
        </w:rPr>
      </w:r>
      <w:r>
        <w:rPr>
          <w:lang w:val="en_US" w:bidi="en_US"/>
        </w:rPr>
        <w:t>Jesus</w:t>
      </w:r>
    </w:p>
    <w:p>
      <w:pPr>
        <w:pStyle w:val="Heading5"/>
      </w:pPr>
      <w:r>
        <w:rPr>
          <w:lang w:val="en_US" w:bidi="en_US"/>
        </w:rPr>
        <w:t>2:43c</w:t>
      </w:r>
    </w:p>
    <w:p>
      <w:pPr/>
      <w:r>
        <w:rPr>
          <w:lang w:val="en_US" w:bidi="en_US"/>
        </w:rPr>
      </w:r>
      <w:r>
        <w:rPr>
          <w:b/>
          <w:lang w:val="en_US" w:bidi="en_US"/>
        </w:rPr>
        <w:t>but His parents were unaware He had stayed.</w:t>
      </w:r>
    </w:p>
    <w:p>
      <w:pPr>
        <w:pStyle w:val="ListBullet"/>
        <w:spacing w:line="240" w:lineRule="auto"/>
        <w:ind w:left="720"/>
      </w:pPr>
      <w:r>
        <w:rPr>
          <w:lang w:val="en_US" w:bidi="en_US"/>
        </w:rPr>
      </w:r>
      <w:r>
        <w:rPr>
          <w:lang w:val="en_US" w:bidi="en_US"/>
        </w:rPr>
        <w:t>but his parents did not know about it.</w:t>
      </w:r>
    </w:p>
    <w:p>
      <w:pPr>
        <w:pStyle w:val="ListBullet"/>
        <w:spacing w:line="240" w:lineRule="auto"/>
        <w:ind w:left="720"/>
      </w:pPr>
      <w:r>
        <w:rPr>
          <w:lang w:val="en_US" w:bidi="en_US"/>
        </w:rPr>
      </w:r>
      <w:r>
        <w:rPr>
          <w:lang w:val="en_US" w:bidi="en_US"/>
        </w:rPr>
        <w:t xml:space="preserve">Joseph and Mary did not realize/know </w:t>
      </w:r>
      <w:r>
        <w:rPr>
          <w:lang w:val="en_US" w:bidi="en_US"/>
        </w:rPr>
        <w:t>that he was not with them</w:t>
      </w:r>
      <w:r>
        <w:rPr>
          <w:lang w:val="en_US" w:bidi="en_US"/>
        </w:rPr>
        <w:t>.</w:t>
      </w:r>
    </w:p>
    <w:p>
      <w:pPr/>
      <w:r>
        <w:rPr>
          <w:lang w:val="en_US" w:bidi="en_US"/>
        </w:rPr>
      </w:r>
      <w:r>
        <w:rPr>
          <w:b/>
          <w:lang w:val="en_US" w:bidi="en_US"/>
        </w:rPr>
        <w:t>but:</w:t>
      </w:r>
      <w:r>
        <w:rPr>
          <w:lang w:val="en_US" w:bidi="en_US"/>
        </w:rPr>
        <w:t xml:space="preserve"> The Greek conjunction that the BSB here translates as </w:t>
      </w:r>
      <w:r>
        <w:rPr>
          <w:i/>
          <w:lang w:val="en_US" w:bidi="en_US"/>
        </w:rPr>
        <w:t>but</w:t>
      </w:r>
      <w:r>
        <w:rPr>
          <w:lang w:val="en_US" w:bidi="en_US"/>
        </w:rPr>
        <w:t xml:space="preserve"> is a common conjunction that is often translated as “and” in English. Some English versions begin a new sentence here and do not translate this conjunction. However, since it introduces an unexpected event, some English versions indicate that by saying “but.” Connect this clause to the context in a natural way in your language. See the note on the connection in 2:43b.</w:t>
      </w:r>
    </w:p>
    <w:p>
      <w:pPr/>
      <w:r>
        <w:rPr>
          <w:lang w:val="en_US" w:bidi="en_US"/>
        </w:rPr>
      </w:r>
      <w:r>
        <w:rPr>
          <w:b/>
          <w:lang w:val="en_US" w:bidi="en_US"/>
        </w:rPr>
        <w:t>His parents were unaware He had stayed:</w:t>
      </w:r>
      <w:r>
        <w:rPr>
          <w:lang w:val="en_US" w:bidi="en_US"/>
        </w:rPr>
        <w:t xml:space="preserve"> The Greek clause that the BSB translates as </w:t>
      </w:r>
      <w:r>
        <w:rPr>
          <w:i/>
          <w:lang w:val="en_US" w:bidi="en_US"/>
        </w:rPr>
        <w:t>His parents were unaware</w:t>
      </w:r>
      <w:r>
        <w:rPr>
          <w:lang w:val="en_US" w:bidi="en_US"/>
        </w:rPr>
        <w:t xml:space="preserve"> is literally “his parents did not know.” Joseph and Mary did not know that Jesus had stayed behind in Jerusalem. Another way to translate this is:</w:t>
      </w:r>
    </w:p>
    <w:p>
      <w:pPr/>
      <w:r>
        <w:rPr>
          <w:lang w:val="en_US" w:bidi="en_US"/>
        </w:rPr>
      </w:r>
      <w:r>
        <w:rPr>
          <w:lang w:val="en_US" w:bidi="en_US"/>
        </w:rPr>
        <w:t>His parents did not know it (ESV)</w:t>
      </w:r>
    </w:p>
    <w:p>
      <w:pPr/>
      <w:r>
        <w:rPr>
          <w:lang w:val="en_US" w:bidi="en_US"/>
        </w:rPr>
      </w:r>
      <w:r>
        <w:rPr>
          <w:b/>
          <w:lang w:val="en_US" w:bidi="en_US"/>
        </w:rPr>
        <w:t>His parents:</w:t>
      </w:r>
      <w:r>
        <w:rPr>
          <w:lang w:val="en_US" w:bidi="en_US"/>
        </w:rPr>
        <w:t xml:space="preserve"> </w:t>
      </w:r>
      <w:r>
        <w:rPr>
          <w:lang w:val="en_US" w:bidi="en_US"/>
        </w:rPr>
        <w:t xml:space="preserve">There is a textual issue with this phrase. Most English versions follow the rendering “his parents.” Other manuscripts have “Joseph and his mother” instead of “his parents.” The KJV follows these manuscripts. It is recommended that you translate “his parents,” since it has early and widespread manuscript support. Also, the majority of English versions have “his parents.” However, if the national language version in your area has “Joseph and his mother,” you may want to mention the other textual possibility in a footnote. For example: “Some Greek manuscripts have ‘Joseph and his mother.’” This recommendation is based on Swanson, p. 42, and </w:t>
      </w:r>
      <w:r>
        <w:rPr>
          <w:i/>
          <w:lang w:val="en_US" w:bidi="en_US"/>
        </w:rPr>
        <w:t>Exegetical Summaries</w:t>
      </w:r>
      <w:r>
        <w:rPr>
          <w:lang w:val="en_US" w:bidi="en_US"/>
        </w:rPr>
        <w:t xml:space="preserve"> on </w:t>
      </w:r>
      <w:r>
        <w:rPr>
          <w:i/>
          <w:lang w:val="en_US" w:bidi="en_US"/>
        </w:rPr>
        <w:t>TW</w:t>
      </w:r>
      <w:r>
        <w:rPr>
          <w:lang w:val="en_US" w:bidi="en_US"/>
        </w:rPr>
        <w:t>.</w:t>
      </w:r>
      <w:r>
        <w:rPr>
          <w:lang w:val="en_US" w:bidi="en_US"/>
        </w:rPr>
        <w:t xml:space="preserve"> As noted at 2:43a, the Greek says </w:t>
      </w:r>
      <w:r>
        <w:rPr>
          <w:i/>
          <w:lang w:val="en_US" w:bidi="en_US"/>
        </w:rPr>
        <w:t>his parents</w:t>
      </w:r>
      <w:r>
        <w:rPr>
          <w:lang w:val="en_US" w:bidi="en_US"/>
        </w:rPr>
        <w:t xml:space="preserve"> here. Some translations, such as the NIV, mention the parents in 2:43a and say “they” here. Refer to Joseph and Mary here in a natural way in your language.</w:t>
      </w:r>
    </w:p>
    <w:p>
      <w:pPr>
        <w:pStyle w:val="Heading6"/>
      </w:pPr>
      <w:r>
        <w:rPr>
          <w:b/>
          <w:lang w:val="en_US" w:bidi="en_US"/>
        </w:rPr>
        <w:t>General Comment on 2:43a–c</w:t>
      </w:r>
    </w:p>
    <w:p>
      <w:pPr/>
      <w:r>
        <w:rPr>
          <w:lang w:val="en_US" w:bidi="en_US"/>
        </w:rPr>
      </w:r>
      <w:r>
        <w:rPr>
          <w:lang w:val="en_US" w:bidi="en_US"/>
        </w:rPr>
        <w:t>In some languages, it will be more natural to reorder the clauses of 2:43a–c. Some examples are:</w:t>
      </w:r>
    </w:p>
    <w:p>
      <w:pPr/>
      <w:r>
        <w:rPr>
          <w:lang w:val="en_US" w:bidi="en_US"/>
        </w:rPr>
      </w:r>
      <w:r>
        <w:rPr>
          <w:vertAlign w:val="superscript"/>
          <w:lang w:val="en_US" w:bidi="en_US"/>
        </w:rPr>
        <w:t>43a</w:t>
      </w:r>
      <w:r>
        <w:rPr>
          <w:lang w:val="en_US" w:bidi="en_US"/>
        </w:rPr>
        <w:t xml:space="preserve">When the feast was over, Jesus’ parents returned home. </w:t>
      </w:r>
      <w:r>
        <w:rPr>
          <w:vertAlign w:val="superscript"/>
          <w:lang w:val="en_US" w:bidi="en_US"/>
        </w:rPr>
        <w:t>43c</w:t>
      </w:r>
      <w:r>
        <w:rPr>
          <w:lang w:val="en_US" w:bidi="en_US"/>
        </w:rPr>
        <w:t xml:space="preserve">They did not realize that </w:t>
      </w:r>
      <w:r>
        <w:rPr>
          <w:vertAlign w:val="superscript"/>
          <w:lang w:val="en_US" w:bidi="en_US"/>
        </w:rPr>
        <w:t>43b</w:t>
      </w:r>
      <w:r>
        <w:rPr>
          <w:lang w:val="en_US" w:bidi="en_US"/>
        </w:rPr>
        <w:t>Jesus had stayed behind in Jerusalem.</w:t>
      </w:r>
    </w:p>
    <w:p>
      <w:pPr/>
      <w:r>
        <w:rPr>
          <w:lang w:val="en_US" w:bidi="en_US"/>
        </w:rPr>
      </w:r>
      <w:r>
        <w:rPr>
          <w:vertAlign w:val="superscript"/>
          <w:lang w:val="en_US" w:bidi="en_US"/>
        </w:rPr>
        <w:t>43a</w:t>
      </w:r>
      <w:r>
        <w:rPr>
          <w:lang w:val="en_US" w:bidi="en_US"/>
        </w:rPr>
        <w:t xml:space="preserve">When the feast was over, Jesus’ parents left Jerusalem and started to return home. </w:t>
      </w:r>
      <w:r>
        <w:rPr>
          <w:vertAlign w:val="superscript"/>
          <w:lang w:val="en_US" w:bidi="en_US"/>
        </w:rPr>
        <w:t>43c</w:t>
      </w:r>
      <w:r>
        <w:rPr>
          <w:lang w:val="en_US" w:bidi="en_US"/>
        </w:rPr>
        <w:t xml:space="preserve">They did not realize that </w:t>
      </w:r>
      <w:r>
        <w:rPr>
          <w:vertAlign w:val="superscript"/>
          <w:lang w:val="en_US" w:bidi="en_US"/>
        </w:rPr>
        <w:t>43b</w:t>
      </w:r>
      <w:r>
        <w:rPr>
          <w:lang w:val="en_US" w:bidi="en_US"/>
        </w:rPr>
        <w:t>Jesus had stayed in Jerusalem.</w:t>
      </w:r>
      <w:r>
        <w:rPr>
          <w:lang w:val="en_US" w:bidi="en_US"/>
        </w:rPr>
      </w:r>
      <w:r>
        <w:rPr>
          <w:lang w:val="en_US" w:bidi="en_US"/>
        </w:rPr>
      </w:r>
    </w:p>
    <w:p>
      <w:pPr/>
      <w:r>
        <w:rPr>
          <w:lang w:val="en_US" w:bidi="en_US"/>
        </w:rPr>
      </w:r>
    </w:p>
    <w:p>
      <w:pPr>
        <w:pStyle w:val="Heading2"/>
      </w:pPr>
      <w:r>
        <w:rPr>
          <w:lang w:val="en_US" w:bidi="en_US"/>
        </w:rPr>
        <w:t>Luke 2:44</w:t>
      </w:r>
      <w:r>
        <w:rPr>
          <w:lang w:val="en_US" w:bidi="en_US"/>
        </w:rPr>
      </w:r>
    </w:p>
    <w:p>
      <w:pPr>
        <w:pStyle w:val="Heading4"/>
      </w:pPr>
      <w:r>
        <w:rPr>
          <w:lang w:val="en_US" w:bidi="en_US"/>
        </w:rPr>
        <w:t>Section 2:41–52: The boy Jesus spoke with the teachers</w:t>
      </w:r>
    </w:p>
    <w:p>
      <w:pPr/>
      <w:r>
        <w:rPr>
          <w:lang w:val="en_US" w:bidi="en_US"/>
        </w:rPr>
      </w:r>
      <w:r>
        <w:rPr>
          <w:lang w:val="en_US" w:bidi="en_US"/>
        </w:rPr>
        <w:t>In this section, Joseph and Mary took Jesus to the Feast of the Passover in Jerusalem. This may have been Jesus’ first time to go there for Passover. While Jesus was in Jerusalem, he went to the Temple and discussed religious matters with Jewish religious leaders.</w:t>
      </w:r>
    </w:p>
    <w:p>
      <w:pPr/>
      <w:r>
        <w:rPr>
          <w:lang w:val="en_US" w:bidi="en_US"/>
        </w:rPr>
      </w:r>
      <w:r>
        <w:rPr>
          <w:lang w:val="en_US" w:bidi="en_US"/>
        </w:rP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numPr>
          <w:ilvl w:val="0"/>
          <w:numId w:val="68"/>
        </w:numPr>
        <w:spacing w:line="240" w:lineRule="auto"/>
        <w:ind w:left="720"/>
      </w:pPr>
      <w:r>
        <w:rPr>
          <w:lang w:val="en_US" w:bidi="en_US"/>
        </w:rPr>
      </w:r>
      <w:r>
        <w:rPr>
          <w:lang w:val="en_US" w:bidi="en_US"/>
        </w:rPr>
        <w:t>Joseph and Mary did not know where Jesus was;</w:t>
      </w:r>
    </w:p>
    <w:p>
      <w:pPr>
        <w:pStyle w:val="ListNumber"/>
        <w:spacing w:line="240" w:lineRule="auto"/>
        <w:ind w:left="720"/>
      </w:pPr>
      <w:r>
        <w:rPr>
          <w:lang w:val="en_US" w:bidi="en_US"/>
        </w:rPr>
      </w:r>
      <w:r>
        <w:rPr>
          <w:lang w:val="en_US" w:bidi="en_US"/>
        </w:rPr>
        <w:t>they did not know exactly what he was telling them when they found him;</w:t>
      </w:r>
    </w:p>
    <w:p>
      <w:pPr>
        <w:pStyle w:val="ListNumber"/>
        <w:spacing w:line="240" w:lineRule="auto"/>
        <w:ind w:left="720"/>
      </w:pPr>
      <w:r>
        <w:rPr>
          <w:lang w:val="en_US" w:bidi="en_US"/>
        </w:rPr>
      </w:r>
      <w:r>
        <w:rPr>
          <w:lang w:val="en_US" w:bidi="en_US"/>
        </w:rPr>
        <w:t>by the age of twelve (or before), Jesus was aware that he was God’s Son.</w:t>
      </w:r>
    </w:p>
    <w:p>
      <w:pPr/>
      <w:r>
        <w:rPr>
          <w:lang w:val="en_US" w:bidi="en_US"/>
        </w:rPr>
      </w:r>
      <w:r>
        <w:rPr>
          <w:lang w:val="en_US" w:bidi="en_US"/>
        </w:rPr>
        <w:t>Some other possible headings for this section are:</w:t>
      </w:r>
    </w:p>
    <w:p>
      <w:pPr/>
      <w:r>
        <w:rPr>
          <w:lang w:val="en_US" w:bidi="en_US"/>
        </w:rPr>
      </w:r>
      <w:r>
        <w:rPr>
          <w:lang w:val="en_US" w:bidi="en_US"/>
        </w:rPr>
        <w:t>Mary and Joseph Find Jesus With the Teachers in the Temple Courtyard (GW)</w:t>
      </w:r>
    </w:p>
    <w:p>
      <w:pPr/>
      <w:r>
        <w:rPr>
          <w:lang w:val="en_US" w:bidi="en_US"/>
        </w:rPr>
      </w:r>
      <w:r>
        <w:rPr>
          <w:lang w:val="en_US" w:bidi="en_US"/>
        </w:rPr>
        <w:t>Jesus when he was twelve years old</w:t>
      </w:r>
    </w:p>
    <w:p>
      <w:pPr>
        <w:pStyle w:val="Heading5"/>
      </w:pPr>
      <w:r>
        <w:rPr>
          <w:lang w:val="en_US" w:bidi="en_US"/>
        </w:rPr>
        <w:t>2:44a</w:t>
      </w:r>
    </w:p>
    <w:p>
      <w:pPr/>
      <w:r>
        <w:rPr>
          <w:lang w:val="en_US" w:bidi="en_US"/>
        </w:rPr>
      </w:r>
      <w:r>
        <w:rPr>
          <w:b/>
          <w:lang w:val="en_US" w:bidi="en_US"/>
        </w:rPr>
        <w:t>Assuming He was in their company,</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thought that he was with them in their group </w:t>
      </w:r>
      <w:r>
        <w:rPr>
          <w:lang w:val="en_US" w:bidi="en_US"/>
        </w:rPr>
        <w:t>of travelers</w:t>
      </w:r>
      <w:r>
        <w:rPr>
          <w:lang w:val="en_US" w:bidi="en_US"/>
        </w:rPr>
        <w:t>,</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thought that he was </w:t>
      </w:r>
      <w:r>
        <w:rPr>
          <w:lang w:val="en_US" w:bidi="en_US"/>
        </w:rPr>
        <w:t>somewhere</w:t>
      </w:r>
      <w:r>
        <w:rPr>
          <w:lang w:val="en_US" w:bidi="en_US"/>
        </w:rPr>
        <w:t xml:space="preserve"> among the group with whom they were traveling,</w:t>
      </w:r>
    </w:p>
    <w:p>
      <w:pPr/>
      <w:r>
        <w:rPr>
          <w:lang w:val="en_US" w:bidi="en_US"/>
        </w:rPr>
      </w:r>
      <w:r>
        <w:rPr>
          <w:lang w:val="en_US" w:bidi="en_US"/>
        </w:rPr>
        <w:t>This verse begins with a Greek conjunction that is often translated as “but.” Some English versions, such as the ESV, translate it that way. The BSB has not translated this conjunction, and some other versions such as the NIV and GW also do not translate it. Connect 2:44a to 2:43c in a way that is natural in your language.</w:t>
      </w:r>
    </w:p>
    <w:p>
      <w:pPr/>
      <w:r>
        <w:rPr>
          <w:lang w:val="en_US" w:bidi="en_US"/>
        </w:rPr>
      </w:r>
      <w:r>
        <w:rPr>
          <w:b/>
          <w:lang w:val="en_US" w:bidi="en_US"/>
        </w:rPr>
        <w:t>Assuming He was in their company:</w:t>
      </w:r>
      <w:r>
        <w:rPr>
          <w:lang w:val="en_US" w:bidi="en_US"/>
        </w:rPr>
        <w:t xml:space="preserve"> Joseph and Mary thought that Jesus was traveling with the same group of people that they were traveling with. See the introduction to Section 2:41–52 for more information about how this happened.</w:t>
      </w:r>
    </w:p>
    <w:p>
      <w:pPr/>
      <w:r>
        <w:rPr>
          <w:lang w:val="en_US" w:bidi="en_US"/>
        </w:rPr>
      </w:r>
      <w:r>
        <w:rPr>
          <w:b/>
          <w:lang w:val="en_US" w:bidi="en_US"/>
        </w:rPr>
        <w:t>in their company:</w:t>
      </w:r>
      <w:r>
        <w:rPr>
          <w:lang w:val="en_US" w:bidi="en_US"/>
        </w:rPr>
        <w:t xml:space="preserve"> In some languages, the phrase </w:t>
      </w:r>
      <w:r>
        <w:rPr>
          <w:i/>
          <w:lang w:val="en_US" w:bidi="en_US"/>
        </w:rPr>
        <w:t>in their company</w:t>
      </w:r>
      <w:r>
        <w:rPr>
          <w:lang w:val="en_US" w:bidi="en_US"/>
        </w:rPr>
        <w:t xml:space="preserve"> will suggest that Jesus was personally present with Joseph and Mary. This was not the case. To avoid this idea, you could translate the Greek word that the BSB translates as </w:t>
      </w:r>
      <w:r>
        <w:rPr>
          <w:i/>
          <w:lang w:val="en_US" w:bidi="en_US"/>
        </w:rPr>
        <w:t>company</w:t>
      </w:r>
      <w:r>
        <w:rPr>
          <w:lang w:val="en_US" w:bidi="en_US"/>
        </w:rPr>
        <w:t xml:space="preserve"> as:</w:t>
      </w:r>
    </w:p>
    <w:p>
      <w:pPr/>
      <w:r>
        <w:rPr>
          <w:lang w:val="en_US" w:bidi="en_US"/>
        </w:rPr>
      </w:r>
      <w:r>
        <w:rPr>
          <w:lang w:val="en_US" w:bidi="en_US"/>
        </w:rPr>
        <w:t>group</w:t>
      </w:r>
    </w:p>
    <w:p>
      <w:pPr/>
      <w:r>
        <w:rPr>
          <w:lang w:val="en_US" w:bidi="en_US"/>
        </w:rPr>
      </w:r>
      <w:r>
        <w:rPr>
          <w:lang w:val="en_US" w:bidi="en_US"/>
        </w:rPr>
        <w:t>group of travelers</w:t>
      </w:r>
    </w:p>
    <w:p>
      <w:pPr>
        <w:pStyle w:val="Heading5"/>
      </w:pPr>
      <w:r>
        <w:rPr>
          <w:lang w:val="en_US" w:bidi="en_US"/>
        </w:rPr>
        <w:t>2:44b</w:t>
      </w:r>
    </w:p>
    <w:p>
      <w:pPr/>
      <w:r>
        <w:rPr>
          <w:lang w:val="en_US" w:bidi="en_US"/>
        </w:rPr>
      </w:r>
      <w:r>
        <w:rPr>
          <w:b/>
          <w:lang w:val="en_US" w:bidi="en_US"/>
        </w:rPr>
        <w:t>they traveled on for a day</w:t>
      </w:r>
    </w:p>
    <w:p>
      <w:pPr>
        <w:pStyle w:val="ListBullet"/>
        <w:spacing w:line="240" w:lineRule="auto"/>
        <w:ind w:left="720"/>
      </w:pPr>
      <w:r>
        <w:rPr>
          <w:lang w:val="en_US" w:bidi="en_US"/>
        </w:rPr>
      </w:r>
      <w:r>
        <w:rPr>
          <w:lang w:val="en_US" w:bidi="en_US"/>
        </w:rPr>
        <w:t>so</w:t>
      </w:r>
      <w:r>
        <w:rPr>
          <w:lang w:val="en_US" w:bidi="en_US"/>
        </w:rPr>
        <w:t xml:space="preserve"> they continued traveling for </w:t>
      </w:r>
      <w:r>
        <w:rPr>
          <w:lang w:val="en_US" w:bidi="en_US"/>
        </w:rPr>
        <w:t>the rest of</w:t>
      </w:r>
      <w:r>
        <w:rPr>
          <w:lang w:val="en_US" w:bidi="en_US"/>
        </w:rPr>
        <w:t xml:space="preserve"> that day.</w:t>
      </w:r>
    </w:p>
    <w:p>
      <w:pPr>
        <w:pStyle w:val="ListBullet"/>
        <w:spacing w:line="240" w:lineRule="auto"/>
        <w:ind w:left="720"/>
      </w:pPr>
      <w:r>
        <w:rPr>
          <w:lang w:val="en_US" w:bidi="en_US"/>
        </w:rPr>
      </w:r>
      <w:r>
        <w:rPr>
          <w:lang w:val="en_US" w:bidi="en_US"/>
        </w:rPr>
        <w:t>and so</w:t>
      </w:r>
      <w:r>
        <w:rPr>
          <w:lang w:val="en_US" w:bidi="en_US"/>
        </w:rPr>
        <w:t xml:space="preserve"> they walked for a day.</w:t>
      </w:r>
    </w:p>
    <w:p>
      <w:pPr/>
      <w:r>
        <w:rPr>
          <w:lang w:val="en_US" w:bidi="en_US"/>
        </w:rPr>
      </w:r>
      <w:r>
        <w:rPr>
          <w:b/>
          <w:lang w:val="en_US" w:bidi="en_US"/>
        </w:rPr>
        <w:t>they traveled on for a day:</w:t>
      </w:r>
      <w:r>
        <w:rPr>
          <w:lang w:val="en_US" w:bidi="en_US"/>
        </w:rPr>
        <w:t xml:space="preserve"> The clause </w:t>
      </w:r>
      <w:r>
        <w:rPr>
          <w:i/>
          <w:lang w:val="en_US" w:bidi="en_US"/>
        </w:rPr>
        <w:t>they traveled on for a day</w:t>
      </w:r>
      <w:r>
        <w:rPr>
          <w:lang w:val="en_US" w:bidi="en_US"/>
        </w:rPr>
        <w:t xml:space="preserve"> indicates that Joseph and Mary left Jerusalem and traveled until the end of that day. They probably camped with the other travelers somewhere near the road, or they may have stayed in a guesthouse. That is when they realized that Jesus was not with them.</w:t>
      </w:r>
    </w:p>
    <w:p>
      <w:pPr>
        <w:pStyle w:val="Heading5"/>
      </w:pPr>
      <w:r>
        <w:rPr>
          <w:lang w:val="en_US" w:bidi="en_US"/>
        </w:rPr>
        <w:t>2:44c</w:t>
      </w:r>
    </w:p>
    <w:p>
      <w:pPr/>
      <w:r>
        <w:rPr>
          <w:lang w:val="en_US" w:bidi="en_US"/>
        </w:rPr>
      </w:r>
      <w:r>
        <w:rPr>
          <w:b/>
          <w:lang w:val="en_US" w:bidi="en_US"/>
        </w:rPr>
        <w:t>before they began to look for Him among their relatives and friends.</w:t>
      </w:r>
    </w:p>
    <w:p>
      <w:pPr>
        <w:pStyle w:val="ListBullet"/>
        <w:spacing w:line="240" w:lineRule="auto"/>
        <w:ind w:left="720"/>
      </w:pPr>
      <w:r>
        <w:rPr>
          <w:lang w:val="en_US" w:bidi="en_US"/>
        </w:rPr>
      </w:r>
      <w:r>
        <w:rPr>
          <w:lang w:val="en_US" w:bidi="en_US"/>
        </w:rPr>
        <w:t>Then they</w:t>
      </w:r>
      <w:r>
        <w:rPr>
          <w:vertAlign w:val="superscript"/>
          <w:lang w:val="en_US" w:bidi="en_US"/>
        </w:rPr>
        <w:t>(dual)</w:t>
      </w:r>
      <w:r>
        <w:rPr>
          <w:lang w:val="en_US" w:bidi="en_US"/>
        </w:rPr>
        <w:t xml:space="preserve"> started looking to see if he was traveling with their relatives or friends.</w:t>
      </w:r>
    </w:p>
    <w:p>
      <w:pPr>
        <w:pStyle w:val="ListBullet"/>
        <w:spacing w:line="240" w:lineRule="auto"/>
        <w:ind w:left="720"/>
      </w:pPr>
      <w:r>
        <w:rPr>
          <w:lang w:val="en_US" w:bidi="en_US"/>
        </w:rPr>
      </w:r>
      <w:r>
        <w:rPr>
          <w:lang w:val="en_US" w:bidi="en_US"/>
        </w:rPr>
        <w:t>At the end of that day,</w:t>
      </w:r>
      <w:r>
        <w:rPr>
          <w:lang w:val="en_US" w:bidi="en_US"/>
        </w:rPr>
        <w:t xml:space="preserve"> they</w:t>
      </w:r>
      <w:r>
        <w:rPr>
          <w:vertAlign w:val="superscript"/>
          <w:lang w:val="en_US" w:bidi="en_US"/>
        </w:rPr>
        <w:t>(dual)</w:t>
      </w:r>
      <w:r>
        <w:rPr>
          <w:lang w:val="en_US" w:bidi="en_US"/>
        </w:rPr>
        <w:t xml:space="preserve"> started to look for him among their family and friends,</w:t>
      </w:r>
    </w:p>
    <w:p>
      <w:pPr/>
      <w:r>
        <w:rPr>
          <w:lang w:val="en_US" w:bidi="en_US"/>
        </w:rPr>
      </w:r>
      <w:r>
        <w:rPr>
          <w:b/>
          <w:lang w:val="en_US" w:bidi="en_US"/>
        </w:rPr>
        <w:t>relatives:</w:t>
      </w:r>
      <w:r>
        <w:rPr>
          <w:lang w:val="en_US" w:bidi="en_US"/>
        </w:rPr>
        <w:t xml:space="preserve"> The </w:t>
      </w:r>
      <w:r>
        <w:rPr>
          <w:i/>
          <w:lang w:val="en_US" w:bidi="en_US"/>
        </w:rPr>
        <w:t>relatives</w:t>
      </w:r>
      <w:r>
        <w:rPr>
          <w:lang w:val="en_US" w:bidi="en_US"/>
        </w:rPr>
        <w:t xml:space="preserve"> probably included brothers and sisters of Joseph and Mary and the children of these brothers and sisters (Jesus’ cousins).</w:t>
      </w:r>
      <w:r>
        <w:rPr>
          <w:lang w:val="en_US" w:bidi="en_US"/>
        </w:rPr>
      </w:r>
      <w:r>
        <w:rPr>
          <w:lang w:val="en_US" w:bidi="en_US"/>
        </w:rPr>
      </w:r>
    </w:p>
    <w:p>
      <w:pPr/>
      <w:r>
        <w:rPr>
          <w:lang w:val="en_US" w:bidi="en_US"/>
        </w:rPr>
      </w:r>
    </w:p>
    <w:p>
      <w:pPr>
        <w:pStyle w:val="Heading2"/>
      </w:pPr>
      <w:r>
        <w:rPr>
          <w:lang w:val="en_US" w:bidi="en_US"/>
        </w:rPr>
        <w:t>Luke 2:45</w:t>
      </w:r>
      <w:r>
        <w:rPr>
          <w:lang w:val="en_US" w:bidi="en_US"/>
        </w:rPr>
      </w:r>
    </w:p>
    <w:p>
      <w:pPr>
        <w:pStyle w:val="Heading4"/>
      </w:pPr>
      <w:r>
        <w:rPr>
          <w:lang w:val="en_US" w:bidi="en_US"/>
        </w:rPr>
        <w:t>Section 2:41–52: The boy Jesus spoke with the teachers</w:t>
      </w:r>
    </w:p>
    <w:p>
      <w:pPr/>
      <w:r>
        <w:rPr>
          <w:lang w:val="en_US" w:bidi="en_US"/>
        </w:rPr>
      </w:r>
      <w:r>
        <w:rPr>
          <w:lang w:val="en_US" w:bidi="en_US"/>
        </w:rPr>
        <w:t>In this section, Joseph and Mary took Jesus to the Feast of the Passover in Jerusalem. This may have been Jesus’ first time to go there for Passover. While Jesus was in Jerusalem, he went to the Temple and discussed religious matters with Jewish religious leaders.</w:t>
      </w:r>
    </w:p>
    <w:p>
      <w:pPr/>
      <w:r>
        <w:rPr>
          <w:lang w:val="en_US" w:bidi="en_US"/>
        </w:rPr>
      </w:r>
      <w:r>
        <w:rPr>
          <w:lang w:val="en_US" w:bidi="en_US"/>
        </w:rP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numPr>
          <w:ilvl w:val="0"/>
          <w:numId w:val="69"/>
        </w:numPr>
        <w:spacing w:line="240" w:lineRule="auto"/>
        <w:ind w:left="720"/>
      </w:pPr>
      <w:r>
        <w:rPr>
          <w:lang w:val="en_US" w:bidi="en_US"/>
        </w:rPr>
      </w:r>
      <w:r>
        <w:rPr>
          <w:lang w:val="en_US" w:bidi="en_US"/>
        </w:rPr>
        <w:t>Joseph and Mary did not know where Jesus was;</w:t>
      </w:r>
    </w:p>
    <w:p>
      <w:pPr>
        <w:pStyle w:val="ListNumber"/>
        <w:spacing w:line="240" w:lineRule="auto"/>
        <w:ind w:left="720"/>
      </w:pPr>
      <w:r>
        <w:rPr>
          <w:lang w:val="en_US" w:bidi="en_US"/>
        </w:rPr>
      </w:r>
      <w:r>
        <w:rPr>
          <w:lang w:val="en_US" w:bidi="en_US"/>
        </w:rPr>
        <w:t>they did not know exactly what he was telling them when they found him;</w:t>
      </w:r>
    </w:p>
    <w:p>
      <w:pPr>
        <w:pStyle w:val="ListNumber"/>
        <w:spacing w:line="240" w:lineRule="auto"/>
        <w:ind w:left="720"/>
      </w:pPr>
      <w:r>
        <w:rPr>
          <w:lang w:val="en_US" w:bidi="en_US"/>
        </w:rPr>
      </w:r>
      <w:r>
        <w:rPr>
          <w:lang w:val="en_US" w:bidi="en_US"/>
        </w:rPr>
        <w:t>by the age of twelve (or before), Jesus was aware that he was God’s Son.</w:t>
      </w:r>
    </w:p>
    <w:p>
      <w:pPr/>
      <w:r>
        <w:rPr>
          <w:lang w:val="en_US" w:bidi="en_US"/>
        </w:rPr>
      </w:r>
      <w:r>
        <w:rPr>
          <w:lang w:val="en_US" w:bidi="en_US"/>
        </w:rPr>
        <w:t>Some other possible headings for this section are:</w:t>
      </w:r>
    </w:p>
    <w:p>
      <w:pPr/>
      <w:r>
        <w:rPr>
          <w:lang w:val="en_US" w:bidi="en_US"/>
        </w:rPr>
      </w:r>
      <w:r>
        <w:rPr>
          <w:lang w:val="en_US" w:bidi="en_US"/>
        </w:rPr>
        <w:t>Mary and Joseph Find Jesus With the Teachers in the Temple Courtyard (GW)</w:t>
      </w:r>
    </w:p>
    <w:p>
      <w:pPr/>
      <w:r>
        <w:rPr>
          <w:lang w:val="en_US" w:bidi="en_US"/>
        </w:rPr>
      </w:r>
      <w:r>
        <w:rPr>
          <w:lang w:val="en_US" w:bidi="en_US"/>
        </w:rPr>
        <w:t>Jesus when he was twelve years old</w:t>
      </w:r>
    </w:p>
    <w:p>
      <w:pPr>
        <w:pStyle w:val="Heading5"/>
      </w:pPr>
      <w:r>
        <w:rPr>
          <w:lang w:val="en_US" w:bidi="en_US"/>
        </w:rPr>
        <w:t>2:45a</w:t>
      </w:r>
    </w:p>
    <w:p>
      <w:pPr/>
      <w:r>
        <w:rPr>
          <w:lang w:val="en_US" w:bidi="en_US"/>
        </w:rPr>
      </w:r>
      <w:r>
        <w:rPr>
          <w:b/>
          <w:lang w:val="en_US" w:bidi="en_US"/>
        </w:rPr>
        <w:t>When they could not find Him,</w:t>
      </w:r>
    </w:p>
    <w:p>
      <w:pPr>
        <w:pStyle w:val="ListBullet"/>
        <w:spacing w:line="240" w:lineRule="auto"/>
        <w:ind w:left="720"/>
      </w:pPr>
      <w:r>
        <w:rPr>
          <w:lang w:val="en_US" w:bidi="en_US"/>
        </w:rPr>
      </w:r>
      <w:r>
        <w:rPr>
          <w:lang w:val="en_US" w:bidi="en_US"/>
        </w:rPr>
        <w:t>When they could not find him,</w:t>
      </w:r>
    </w:p>
    <w:p>
      <w:pPr>
        <w:pStyle w:val="ListBullet"/>
        <w:spacing w:line="240" w:lineRule="auto"/>
        <w:ind w:left="720"/>
      </w:pPr>
      <w:r>
        <w:rPr>
          <w:lang w:val="en_US" w:bidi="en_US"/>
        </w:rPr>
      </w:r>
      <w:r>
        <w:rPr>
          <w:lang w:val="en_US" w:bidi="en_US"/>
        </w:rPr>
        <w:t>but</w:t>
      </w:r>
      <w:r>
        <w:rPr>
          <w:lang w:val="en_US" w:bidi="en_US"/>
        </w:rPr>
        <w:t xml:space="preserve"> they did not see/find him.</w:t>
      </w:r>
    </w:p>
    <w:p>
      <w:pPr/>
      <w:r>
        <w:rPr>
          <w:lang w:val="en_US" w:bidi="en_US"/>
        </w:rPr>
      </w:r>
      <w:r>
        <w:rPr>
          <w:lang w:val="en_US" w:bidi="en_US"/>
        </w:rPr>
        <w:t>In some languages, it may be natural to show a contrast between 2:44c and 2:45a. For example:</w:t>
      </w:r>
    </w:p>
    <w:p>
      <w:pPr/>
      <w:r>
        <w:rPr>
          <w:lang w:val="en_US" w:bidi="en_US"/>
        </w:rPr>
      </w:r>
      <w:r>
        <w:rPr>
          <w:vertAlign w:val="superscript"/>
          <w:lang w:val="en_US" w:bidi="en_US"/>
        </w:rPr>
        <w:t>44c</w:t>
      </w:r>
      <w:r>
        <w:rPr>
          <w:lang w:val="en_US" w:bidi="en_US"/>
        </w:rPr>
        <w:t xml:space="preserve">…they looked for him, </w:t>
      </w:r>
      <w:r>
        <w:rPr>
          <w:vertAlign w:val="superscript"/>
          <w:lang w:val="en_US" w:bidi="en_US"/>
        </w:rPr>
        <w:t>45a</w:t>
      </w:r>
      <w:r>
        <w:rPr>
          <w:u w:val="single"/>
          <w:lang w:val="en_US" w:bidi="en_US"/>
        </w:rPr>
        <w:t>but</w:t>
      </w:r>
      <w:r>
        <w:rPr>
          <w:lang w:val="en_US" w:bidi="en_US"/>
        </w:rPr>
        <w:t xml:space="preserve"> they did not find him.</w:t>
      </w:r>
    </w:p>
    <w:p>
      <w:pPr/>
      <w:r>
        <w:rPr>
          <w:lang w:val="en_US" w:bidi="en_US"/>
        </w:rPr>
      </w:r>
      <w:r>
        <w:rPr>
          <w:b/>
          <w:lang w:val="en_US" w:bidi="en_US"/>
        </w:rPr>
        <w:t>they could not find Him:</w:t>
      </w:r>
      <w:r>
        <w:rPr>
          <w:lang w:val="en_US" w:bidi="en_US"/>
        </w:rPr>
        <w:t xml:space="preserve"> In some languages, it may be more natural to say, “they did not see him.”</w:t>
      </w:r>
    </w:p>
    <w:p>
      <w:pPr>
        <w:pStyle w:val="Heading5"/>
      </w:pPr>
      <w:r>
        <w:rPr>
          <w:lang w:val="en_US" w:bidi="en_US"/>
        </w:rPr>
        <w:t>2:45b</w:t>
      </w:r>
    </w:p>
    <w:p>
      <w:pPr/>
      <w:r>
        <w:rPr>
          <w:lang w:val="en_US" w:bidi="en_US"/>
        </w:rPr>
      </w:r>
      <w:r>
        <w:rPr>
          <w:b/>
          <w:lang w:val="en_US" w:bidi="en_US"/>
        </w:rPr>
        <w:t>they returned to Jerusalem to search for Him.</w:t>
      </w:r>
    </w:p>
    <w:p>
      <w:pPr>
        <w:pStyle w:val="ListBullet"/>
        <w:spacing w:line="240" w:lineRule="auto"/>
        <w:ind w:left="720"/>
      </w:pPr>
      <w:r>
        <w:rPr>
          <w:lang w:val="en_US" w:bidi="en_US"/>
        </w:rPr>
      </w:r>
      <w:r>
        <w:rPr>
          <w:lang w:val="en_US" w:bidi="en_US"/>
        </w:rPr>
        <w:t xml:space="preserve">they returned to Jerusalem to search for him </w:t>
      </w:r>
      <w:r>
        <w:rPr>
          <w:lang w:val="en_US" w:bidi="en_US"/>
        </w:rPr>
        <w:t>there</w:t>
      </w:r>
      <w:r>
        <w:rPr>
          <w:lang w:val="en_US" w:bidi="en_US"/>
        </w:rPr>
        <w:t>.</w:t>
      </w:r>
    </w:p>
    <w:p>
      <w:pPr>
        <w:pStyle w:val="ListBullet"/>
        <w:spacing w:line="240" w:lineRule="auto"/>
        <w:ind w:left="720"/>
      </w:pPr>
      <w:r>
        <w:rPr>
          <w:lang w:val="en_US" w:bidi="en_US"/>
        </w:rPr>
      </w:r>
      <w:r>
        <w:rPr>
          <w:lang w:val="en_US" w:bidi="en_US"/>
        </w:rPr>
        <w:t>So</w:t>
      </w:r>
      <w:r>
        <w:rPr>
          <w:lang w:val="en_US" w:bidi="en_US"/>
        </w:rPr>
        <w:t xml:space="preserve"> they </w:t>
      </w:r>
      <w:r>
        <w:rPr>
          <w:lang w:val="en_US" w:bidi="en_US"/>
        </w:rPr>
        <w:t>turned around and</w:t>
      </w:r>
      <w:r>
        <w:rPr>
          <w:lang w:val="en_US" w:bidi="en_US"/>
        </w:rPr>
        <w:t xml:space="preserve"> went back to </w:t>
      </w:r>
      <w:r>
        <w:rPr>
          <w:lang w:val="en_US" w:bidi="en_US"/>
        </w:rPr>
        <w:t>the city of</w:t>
      </w:r>
      <w:r>
        <w:rPr>
          <w:lang w:val="en_US" w:bidi="en_US"/>
        </w:rPr>
        <w:t xml:space="preserve"> Jerusalem to look for him </w:t>
      </w:r>
      <w:r>
        <w:rPr>
          <w:lang w:val="en_US" w:bidi="en_US"/>
        </w:rPr>
        <w:t>there</w:t>
      </w:r>
      <w:r>
        <w:rPr>
          <w:lang w:val="en_US" w:bidi="en_US"/>
        </w:rPr>
        <w:t>.</w:t>
      </w:r>
    </w:p>
    <w:p>
      <w:pPr/>
      <w:r>
        <w:rPr>
          <w:lang w:val="en_US" w:bidi="en_US"/>
        </w:rPr>
      </w:r>
      <w:r>
        <w:rPr>
          <w:b/>
          <w:lang w:val="en_US" w:bidi="en_US"/>
        </w:rPr>
        <w:t>they returned:</w:t>
      </w:r>
      <w:r>
        <w:rPr>
          <w:lang w:val="en_US" w:bidi="en_US"/>
        </w:rPr>
        <w:t xml:space="preserve"> Joseph and Mary turned around and started back toward Jerusalem. They probably did this the next morning, the day after they had left Jerusalem.</w:t>
      </w:r>
      <w:r>
        <w:rPr>
          <w:lang w:val="en_US" w:bidi="en_US"/>
        </w:rPr>
      </w:r>
      <w:r>
        <w:rPr>
          <w:lang w:val="en_US" w:bidi="en_US"/>
        </w:rPr>
      </w:r>
    </w:p>
    <w:p>
      <w:pPr/>
      <w:r>
        <w:rPr>
          <w:lang w:val="en_US" w:bidi="en_US"/>
        </w:rPr>
      </w:r>
    </w:p>
    <w:p>
      <w:pPr>
        <w:pStyle w:val="Heading2"/>
      </w:pPr>
      <w:r>
        <w:rPr>
          <w:lang w:val="en_US" w:bidi="en_US"/>
        </w:rPr>
        <w:t>Luke 2:46</w:t>
      </w:r>
      <w:r>
        <w:rPr>
          <w:lang w:val="en_US" w:bidi="en_US"/>
        </w:rPr>
      </w:r>
    </w:p>
    <w:p>
      <w:pPr>
        <w:pStyle w:val="Heading4"/>
      </w:pPr>
      <w:r>
        <w:rPr>
          <w:lang w:val="en_US" w:bidi="en_US"/>
        </w:rPr>
        <w:t>Section 2:41–52: The boy Jesus spoke with the teachers</w:t>
      </w:r>
    </w:p>
    <w:p>
      <w:pPr/>
      <w:r>
        <w:rPr>
          <w:lang w:val="en_US" w:bidi="en_US"/>
        </w:rPr>
      </w:r>
      <w:r>
        <w:rPr>
          <w:lang w:val="en_US" w:bidi="en_US"/>
        </w:rPr>
        <w:t>In this section, Joseph and Mary took Jesus to the Feast of the Passover in Jerusalem. This may have been Jesus’ first time to go there for Passover. While Jesus was in Jerusalem, he went to the Temple and discussed religious matters with Jewish religious leaders.</w:t>
      </w:r>
    </w:p>
    <w:p>
      <w:pPr/>
      <w:r>
        <w:rPr>
          <w:lang w:val="en_US" w:bidi="en_US"/>
        </w:rPr>
      </w:r>
      <w:r>
        <w:rPr>
          <w:lang w:val="en_US" w:bidi="en_US"/>
        </w:rP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numPr>
          <w:ilvl w:val="0"/>
          <w:numId w:val="70"/>
        </w:numPr>
        <w:spacing w:line="240" w:lineRule="auto"/>
        <w:ind w:left="720"/>
      </w:pPr>
      <w:r>
        <w:rPr>
          <w:lang w:val="en_US" w:bidi="en_US"/>
        </w:rPr>
      </w:r>
      <w:r>
        <w:rPr>
          <w:lang w:val="en_US" w:bidi="en_US"/>
        </w:rPr>
        <w:t>Joseph and Mary did not know where Jesus was;</w:t>
      </w:r>
    </w:p>
    <w:p>
      <w:pPr>
        <w:pStyle w:val="ListNumber"/>
        <w:spacing w:line="240" w:lineRule="auto"/>
        <w:ind w:left="720"/>
      </w:pPr>
      <w:r>
        <w:rPr>
          <w:lang w:val="en_US" w:bidi="en_US"/>
        </w:rPr>
      </w:r>
      <w:r>
        <w:rPr>
          <w:lang w:val="en_US" w:bidi="en_US"/>
        </w:rPr>
        <w:t>they did not know exactly what he was telling them when they found him;</w:t>
      </w:r>
    </w:p>
    <w:p>
      <w:pPr>
        <w:pStyle w:val="ListNumber"/>
        <w:spacing w:line="240" w:lineRule="auto"/>
        <w:ind w:left="720"/>
      </w:pPr>
      <w:r>
        <w:rPr>
          <w:lang w:val="en_US" w:bidi="en_US"/>
        </w:rPr>
      </w:r>
      <w:r>
        <w:rPr>
          <w:lang w:val="en_US" w:bidi="en_US"/>
        </w:rPr>
        <w:t>by the age of twelve (or before), Jesus was aware that he was God’s Son.</w:t>
      </w:r>
    </w:p>
    <w:p>
      <w:pPr/>
      <w:r>
        <w:rPr>
          <w:lang w:val="en_US" w:bidi="en_US"/>
        </w:rPr>
      </w:r>
      <w:r>
        <w:rPr>
          <w:lang w:val="en_US" w:bidi="en_US"/>
        </w:rPr>
        <w:t>Some other possible headings for this section are:</w:t>
      </w:r>
    </w:p>
    <w:p>
      <w:pPr/>
      <w:r>
        <w:rPr>
          <w:lang w:val="en_US" w:bidi="en_US"/>
        </w:rPr>
      </w:r>
      <w:r>
        <w:rPr>
          <w:lang w:val="en_US" w:bidi="en_US"/>
        </w:rPr>
        <w:t>Mary and Joseph Find Jesus With the Teachers in the Temple Courtyard (GW)</w:t>
      </w:r>
    </w:p>
    <w:p>
      <w:pPr/>
      <w:r>
        <w:rPr>
          <w:lang w:val="en_US" w:bidi="en_US"/>
        </w:rPr>
      </w:r>
      <w:r>
        <w:rPr>
          <w:lang w:val="en_US" w:bidi="en_US"/>
        </w:rPr>
        <w:t>Jesus when he was twelve years old</w:t>
      </w:r>
    </w:p>
    <w:p>
      <w:pPr>
        <w:pStyle w:val="Heading5"/>
      </w:pPr>
      <w:r>
        <w:rPr>
          <w:lang w:val="en_US" w:bidi="en_US"/>
        </w:rPr>
        <w:t>2:46a</w:t>
      </w:r>
    </w:p>
    <w:p>
      <w:pPr/>
      <w:r>
        <w:rPr>
          <w:lang w:val="en_US" w:bidi="en_US"/>
        </w:rPr>
      </w:r>
      <w:r>
        <w:rPr>
          <w:b/>
          <w:lang w:val="en_US" w:bidi="en_US"/>
        </w:rPr>
        <w:t>Finally, after three days they found Him in the temple courts,</w:t>
      </w:r>
    </w:p>
    <w:p>
      <w:pPr>
        <w:pStyle w:val="ListBullet"/>
        <w:spacing w:line="240" w:lineRule="auto"/>
        <w:ind w:left="720"/>
      </w:pPr>
      <w:r>
        <w:rPr>
          <w:lang w:val="en_US" w:bidi="en_US"/>
        </w:rPr>
      </w:r>
      <w:r>
        <w:rPr>
          <w:lang w:val="en_US" w:bidi="en_US"/>
        </w:rPr>
        <w:t>On the third day, they</w:t>
      </w:r>
      <w:r>
        <w:rPr>
          <w:vertAlign w:val="superscript"/>
          <w:lang w:val="en_US" w:bidi="en_US"/>
        </w:rPr>
        <w:t>(dual)</w:t>
      </w:r>
      <w:r>
        <w:rPr>
          <w:lang w:val="en_US" w:bidi="en_US"/>
        </w:rPr>
        <w:t xml:space="preserve"> found Jesus in the temple courtyard,</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w:t>
      </w:r>
      <w:r>
        <w:rPr>
          <w:lang w:val="en_US" w:bidi="en_US"/>
        </w:rPr>
        <w:t>searched for him,</w:t>
      </w:r>
      <w:r>
        <w:rPr>
          <w:lang w:val="en_US" w:bidi="en_US"/>
        </w:rPr>
        <w:t xml:space="preserve"> and on the third day </w:t>
      </w:r>
      <w:r>
        <w:rPr>
          <w:lang w:val="en_US" w:bidi="en_US"/>
        </w:rPr>
        <w:t>after they had left Jerusalem</w:t>
      </w:r>
      <w:r>
        <w:rPr>
          <w:lang w:val="en_US" w:bidi="en_US"/>
        </w:rPr>
        <w:t>, they</w:t>
      </w:r>
      <w:r>
        <w:rPr>
          <w:vertAlign w:val="superscript"/>
          <w:lang w:val="en_US" w:bidi="en_US"/>
        </w:rPr>
        <w:t>(dual)</w:t>
      </w:r>
      <w:r>
        <w:rPr>
          <w:lang w:val="en_US" w:bidi="en_US"/>
        </w:rPr>
        <w:t xml:space="preserve"> found him in a courtyard of the temple.</w:t>
      </w:r>
    </w:p>
    <w:p>
      <w:pPr/>
      <w:r>
        <w:rPr>
          <w:lang w:val="en_US" w:bidi="en_US"/>
        </w:rPr>
      </w:r>
      <w:r>
        <w:rPr>
          <w:b/>
          <w:lang w:val="en_US" w:bidi="en_US"/>
        </w:rPr>
        <w:t>Finally, after three days:</w:t>
      </w:r>
      <w:r>
        <w:rPr>
          <w:lang w:val="en_US" w:bidi="en_US"/>
        </w:rPr>
        <w:t xml:space="preserve"> The Greek phrase that the BSB translates as </w:t>
      </w:r>
      <w:r>
        <w:rPr>
          <w:i/>
          <w:lang w:val="en_US" w:bidi="en_US"/>
        </w:rPr>
        <w:t>after three days</w:t>
      </w:r>
      <w:r>
        <w:rPr>
          <w:lang w:val="en_US" w:bidi="en_US"/>
        </w:rPr>
        <w:t xml:space="preserve"> probably indicates that Joseph and Mary found Jesus on the third day after they left Jerusalem. The first day was the day that they left Jerusalem to go toward Nazareth. On the second day they went back to Jerusalem, and on the third day they found Jesus.</w:t>
      </w:r>
    </w:p>
    <w:p>
      <w:pPr/>
      <w:r>
        <w:rPr>
          <w:lang w:val="en_US" w:bidi="en_US"/>
        </w:rPr>
      </w:r>
      <w:r>
        <w:rPr>
          <w:lang w:val="en_US" w:bidi="en_US"/>
        </w:rPr>
        <w:t>If you want to make this clear in your translation you could say:</w:t>
      </w:r>
    </w:p>
    <w:p>
      <w:pPr/>
      <w:r>
        <w:rPr>
          <w:lang w:val="en_US" w:bidi="en_US"/>
        </w:rPr>
      </w:r>
      <w:r>
        <w:rPr>
          <w:lang w:val="en_US" w:bidi="en_US"/>
        </w:rPr>
        <w:t xml:space="preserve">On the third day </w:t>
      </w:r>
      <w:r>
        <w:rPr>
          <w:lang w:val="en_US" w:bidi="en_US"/>
        </w:rPr>
        <w:t>after they left Jerusalem</w:t>
      </w:r>
    </w:p>
    <w:p>
      <w:pPr/>
      <w:r>
        <w:rPr>
          <w:lang w:val="en_US" w:bidi="en_US"/>
        </w:rPr>
      </w:r>
      <w:r>
        <w:rPr>
          <w:lang w:val="en_US" w:bidi="en_US"/>
        </w:rPr>
        <w:t>Most commentators do not think that this phrase means that they searched for him in Jerusalem for three days.</w:t>
      </w:r>
    </w:p>
    <w:p>
      <w:pPr/>
      <w:r>
        <w:rPr>
          <w:lang w:val="en_US" w:bidi="en_US"/>
        </w:rPr>
      </w:r>
      <w:r>
        <w:rPr>
          <w:b/>
          <w:lang w:val="en_US" w:bidi="en_US"/>
        </w:rPr>
        <w:t>temple courts:</w:t>
      </w:r>
      <w:r>
        <w:rPr>
          <w:lang w:val="en_US" w:bidi="en_US"/>
        </w:rPr>
        <w:t xml:space="preserve"> The Greek word that the BSB translates here as </w:t>
      </w:r>
      <w:r>
        <w:rPr>
          <w:i/>
          <w:lang w:val="en_US" w:bidi="en_US"/>
        </w:rPr>
        <w:t>temple courts</w:t>
      </w:r>
      <w:r>
        <w:rPr>
          <w:lang w:val="en_US" w:bidi="en_US"/>
        </w:rPr>
        <w:t xml:space="preserve"> is literally “temple” (as in most English versions). The </w:t>
      </w:r>
      <w:r>
        <w:rPr>
          <w:i/>
          <w:lang w:val="en_US" w:bidi="en_US"/>
        </w:rPr>
        <w:t>temple</w:t>
      </w:r>
      <w:r>
        <w:rPr>
          <w:lang w:val="en_US" w:bidi="en_US"/>
        </w:rPr>
        <w:t xml:space="preserve"> was in Jerusalem and was the most important place where Jews worshiped God. It consisted of the main building and the walls and courtyards that surrounded it. Here “temple” refers specifically to one of the temple courtyards.</w:t>
      </w:r>
    </w:p>
    <w:p>
      <w:pPr/>
      <w:r>
        <w:rPr>
          <w:lang w:val="en_US" w:bidi="en_US"/>
        </w:rPr>
      </w:r>
      <w:r>
        <w:rPr>
          <w:lang w:val="en_US" w:bidi="en_US"/>
        </w:rPr>
        <w:t xml:space="preserve">Some English versions (BSB, NIV, NET) have made this clear by translating “temple” as </w:t>
      </w:r>
      <w:r>
        <w:rPr>
          <w:i/>
          <w:lang w:val="en_US" w:bidi="en_US"/>
        </w:rPr>
        <w:t>temple courts</w:t>
      </w:r>
      <w:r>
        <w:rPr>
          <w:lang w:val="en_US" w:bidi="en_US"/>
        </w:rPr>
        <w:t>. You may want to do this also if your word or phrase for “temple” would make readers think that Joseph and Mary found Jesus inside the temple building.</w:t>
      </w:r>
    </w:p>
    <w:p>
      <w:pPr/>
      <w:r>
        <w:rPr>
          <w:lang w:val="en_US" w:bidi="en_US"/>
        </w:rPr>
      </w:r>
      <w:r>
        <w:rPr>
          <w:lang w:val="en_US" w:bidi="en_US"/>
        </w:rPr>
        <w:t>This word also occurs in 2:27a. See the note on 2:27a for examples of how to translate this. See temple, Meaning 1, in the Glossary.</w:t>
      </w:r>
    </w:p>
    <w:p>
      <w:pPr>
        <w:pStyle w:val="Heading5"/>
      </w:pPr>
      <w:r>
        <w:rPr>
          <w:lang w:val="en_US" w:bidi="en_US"/>
        </w:rPr>
        <w:t>2:46b</w:t>
      </w:r>
    </w:p>
    <w:p>
      <w:pPr/>
      <w:r>
        <w:rPr>
          <w:lang w:val="en_US" w:bidi="en_US"/>
        </w:rPr>
      </w:r>
      <w:r>
        <w:rPr>
          <w:b/>
          <w:lang w:val="en_US" w:bidi="en_US"/>
        </w:rPr>
        <w:t>sitting among the teachers,</w:t>
      </w:r>
    </w:p>
    <w:p>
      <w:pPr>
        <w:pStyle w:val="ListBullet"/>
        <w:spacing w:line="240" w:lineRule="auto"/>
        <w:ind w:left="720"/>
      </w:pPr>
      <w:r>
        <w:rPr>
          <w:lang w:val="en_US" w:bidi="en_US"/>
        </w:rPr>
      </w:r>
      <w:r>
        <w:rPr>
          <w:lang w:val="en_US" w:bidi="en_US"/>
        </w:rPr>
        <w:t>sitting with the teachers.</w:t>
      </w:r>
    </w:p>
    <w:p>
      <w:pPr>
        <w:pStyle w:val="ListBullet"/>
        <w:spacing w:line="240" w:lineRule="auto"/>
        <w:ind w:left="720"/>
      </w:pPr>
      <w:r>
        <w:rPr>
          <w:lang w:val="en_US" w:bidi="en_US"/>
        </w:rPr>
      </w:r>
      <w:r>
        <w:rPr>
          <w:lang w:val="en_US" w:bidi="en_US"/>
        </w:rPr>
        <w:t xml:space="preserve">He was sitting with the </w:t>
      </w:r>
      <w:r>
        <w:rPr>
          <w:lang w:val="en_US" w:bidi="en_US"/>
        </w:rPr>
        <w:t>Jewish</w:t>
      </w:r>
      <w:r>
        <w:rPr>
          <w:lang w:val="en_US" w:bidi="en_US"/>
        </w:rPr>
        <w:t xml:space="preserve"> </w:t>
      </w:r>
      <w:r>
        <w:rPr>
          <w:lang w:val="en_US" w:bidi="en_US"/>
        </w:rPr>
        <w:t>religious</w:t>
      </w:r>
      <w:r>
        <w:rPr>
          <w:lang w:val="en_US" w:bidi="en_US"/>
        </w:rPr>
        <w:t xml:space="preserve"> teachers.</w:t>
      </w:r>
    </w:p>
    <w:p>
      <w:pPr/>
      <w:r>
        <w:rPr>
          <w:lang w:val="en_US" w:bidi="en_US"/>
        </w:rPr>
      </w:r>
      <w:r>
        <w:rPr>
          <w:b/>
          <w:lang w:val="en_US" w:bidi="en_US"/>
        </w:rPr>
        <w:t>among:</w:t>
      </w:r>
      <w:r>
        <w:rPr>
          <w:lang w:val="en_US" w:bidi="en_US"/>
        </w:rPr>
        <w:t xml:space="preserve"> The word </w:t>
      </w:r>
      <w:r>
        <w:rPr>
          <w:i/>
          <w:lang w:val="en_US" w:bidi="en_US"/>
        </w:rPr>
        <w:t>among</w:t>
      </w:r>
      <w:r>
        <w:rPr>
          <w:lang w:val="en_US" w:bidi="en_US"/>
        </w:rPr>
        <w:t xml:space="preserve"> indicates that Jesus was with a group of teachers. It does not imply that he was one of the teachers. The word </w:t>
      </w:r>
      <w:r>
        <w:rPr>
          <w:i/>
          <w:lang w:val="en_US" w:bidi="en_US"/>
        </w:rPr>
        <w:t>among</w:t>
      </w:r>
      <w:r>
        <w:rPr>
          <w:lang w:val="en_US" w:bidi="en_US"/>
        </w:rPr>
        <w:t xml:space="preserve"> can be translated as “with,” “next to,” “in front of,” or “in the middle of.” Translate it in a natural way in your language for this context.</w:t>
      </w:r>
    </w:p>
    <w:p>
      <w:pPr/>
      <w:r>
        <w:rPr>
          <w:lang w:val="en_US" w:bidi="en_US"/>
        </w:rPr>
      </w:r>
      <w:r>
        <w:rPr>
          <w:b/>
          <w:lang w:val="en_US" w:bidi="en_US"/>
        </w:rPr>
        <w:t>teachers:</w:t>
      </w:r>
      <w:r>
        <w:rPr>
          <w:lang w:val="en_US" w:bidi="en_US"/>
        </w:rPr>
        <w:t xml:space="preserve"> The </w:t>
      </w:r>
      <w:r>
        <w:rPr>
          <w:i/>
          <w:lang w:val="en_US" w:bidi="en_US"/>
        </w:rPr>
        <w:t>teachers</w:t>
      </w:r>
      <w:r>
        <w:rPr>
          <w:lang w:val="en_US" w:bidi="en_US"/>
        </w:rPr>
        <w:t xml:space="preserve"> were teachers of the Jewish religion. They were probably some of the best-known religious teachers in Israel.</w:t>
      </w:r>
    </w:p>
    <w:p>
      <w:pPr>
        <w:pStyle w:val="Heading5"/>
      </w:pPr>
      <w:r>
        <w:rPr>
          <w:lang w:val="en_US" w:bidi="en_US"/>
        </w:rPr>
        <w:t>2:46c</w:t>
      </w:r>
    </w:p>
    <w:p>
      <w:pPr/>
      <w:r>
        <w:rPr>
          <w:lang w:val="en_US" w:bidi="en_US"/>
        </w:rPr>
      </w:r>
      <w:r>
        <w:rPr>
          <w:b/>
          <w:lang w:val="en_US" w:bidi="en_US"/>
        </w:rPr>
        <w:t>listening to them and asking them questions.</w:t>
      </w:r>
    </w:p>
    <w:p>
      <w:pPr>
        <w:pStyle w:val="ListBullet"/>
        <w:spacing w:line="240" w:lineRule="auto"/>
        <w:ind w:left="720"/>
      </w:pPr>
      <w:r>
        <w:rPr>
          <w:lang w:val="en_US" w:bidi="en_US"/>
        </w:rPr>
      </w:r>
      <w:r>
        <w:rPr>
          <w:lang w:val="en_US" w:bidi="en_US"/>
        </w:rPr>
        <w:t>He was listening to them and asking them questions.</w:t>
      </w:r>
    </w:p>
    <w:p>
      <w:pPr/>
      <w:r>
        <w:rPr>
          <w:lang w:val="en_US" w:bidi="en_US"/>
        </w:rPr>
      </w:r>
      <w:r>
        <w:rPr>
          <w:b/>
          <w:lang w:val="en_US" w:bidi="en_US"/>
        </w:rPr>
        <w:t>listening to them and asking them questions:</w:t>
      </w:r>
      <w:r>
        <w:rPr>
          <w:lang w:val="en_US" w:bidi="en_US"/>
        </w:rPr>
        <w:t xml:space="preserve"> Jesus was respectful toward these teachers. He behaved like a student.</w:t>
      </w:r>
      <w:r>
        <w:rPr>
          <w:lang w:val="en_US" w:bidi="en_US"/>
        </w:rPr>
      </w:r>
      <w:r>
        <w:rPr>
          <w:lang w:val="en_US" w:bidi="en_US"/>
        </w:rPr>
      </w:r>
    </w:p>
    <w:p>
      <w:pPr/>
      <w:r>
        <w:rPr>
          <w:lang w:val="en_US" w:bidi="en_US"/>
        </w:rPr>
      </w:r>
    </w:p>
    <w:p>
      <w:pPr>
        <w:pStyle w:val="Heading2"/>
      </w:pPr>
      <w:r>
        <w:rPr>
          <w:lang w:val="en_US" w:bidi="en_US"/>
        </w:rPr>
        <w:t>Luke 2:47</w:t>
      </w:r>
      <w:r>
        <w:rPr>
          <w:lang w:val="en_US" w:bidi="en_US"/>
        </w:rPr>
      </w:r>
    </w:p>
    <w:p>
      <w:pPr>
        <w:pStyle w:val="Heading4"/>
      </w:pPr>
      <w:r>
        <w:rPr>
          <w:lang w:val="en_US" w:bidi="en_US"/>
        </w:rPr>
        <w:t>Section 2:41–52: The boy Jesus spoke with the teachers</w:t>
      </w:r>
    </w:p>
    <w:p>
      <w:pPr/>
      <w:r>
        <w:rPr>
          <w:lang w:val="en_US" w:bidi="en_US"/>
        </w:rPr>
      </w:r>
      <w:r>
        <w:rPr>
          <w:lang w:val="en_US" w:bidi="en_US"/>
        </w:rPr>
        <w:t>In this section, Joseph and Mary took Jesus to the Feast of the Passover in Jerusalem. This may have been Jesus’ first time to go there for Passover. While Jesus was in Jerusalem, he went to the Temple and discussed religious matters with Jewish religious leaders.</w:t>
      </w:r>
    </w:p>
    <w:p>
      <w:pPr/>
      <w:r>
        <w:rPr>
          <w:lang w:val="en_US" w:bidi="en_US"/>
        </w:rPr>
      </w:r>
      <w:r>
        <w:rPr>
          <w:lang w:val="en_US" w:bidi="en_US"/>
        </w:rP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numPr>
          <w:ilvl w:val="0"/>
          <w:numId w:val="71"/>
        </w:numPr>
        <w:spacing w:line="240" w:lineRule="auto"/>
        <w:ind w:left="720"/>
      </w:pPr>
      <w:r>
        <w:rPr>
          <w:lang w:val="en_US" w:bidi="en_US"/>
        </w:rPr>
      </w:r>
      <w:r>
        <w:rPr>
          <w:lang w:val="en_US" w:bidi="en_US"/>
        </w:rPr>
        <w:t>Joseph and Mary did not know where Jesus was;</w:t>
      </w:r>
    </w:p>
    <w:p>
      <w:pPr>
        <w:pStyle w:val="ListNumber"/>
        <w:spacing w:line="240" w:lineRule="auto"/>
        <w:ind w:left="720"/>
      </w:pPr>
      <w:r>
        <w:rPr>
          <w:lang w:val="en_US" w:bidi="en_US"/>
        </w:rPr>
      </w:r>
      <w:r>
        <w:rPr>
          <w:lang w:val="en_US" w:bidi="en_US"/>
        </w:rPr>
        <w:t>they did not know exactly what he was telling them when they found him;</w:t>
      </w:r>
    </w:p>
    <w:p>
      <w:pPr>
        <w:pStyle w:val="ListNumber"/>
        <w:spacing w:line="240" w:lineRule="auto"/>
        <w:ind w:left="720"/>
      </w:pPr>
      <w:r>
        <w:rPr>
          <w:lang w:val="en_US" w:bidi="en_US"/>
        </w:rPr>
      </w:r>
      <w:r>
        <w:rPr>
          <w:lang w:val="en_US" w:bidi="en_US"/>
        </w:rPr>
        <w:t>by the age of twelve (or before), Jesus was aware that he was God’s Son.</w:t>
      </w:r>
    </w:p>
    <w:p>
      <w:pPr/>
      <w:r>
        <w:rPr>
          <w:lang w:val="en_US" w:bidi="en_US"/>
        </w:rPr>
      </w:r>
      <w:r>
        <w:rPr>
          <w:lang w:val="en_US" w:bidi="en_US"/>
        </w:rPr>
        <w:t>Some other possible headings for this section are:</w:t>
      </w:r>
    </w:p>
    <w:p>
      <w:pPr/>
      <w:r>
        <w:rPr>
          <w:lang w:val="en_US" w:bidi="en_US"/>
        </w:rPr>
      </w:r>
      <w:r>
        <w:rPr>
          <w:lang w:val="en_US" w:bidi="en_US"/>
        </w:rPr>
        <w:t>Mary and Joseph Find Jesus With the Teachers in the Temple Courtyard (GW)</w:t>
      </w:r>
    </w:p>
    <w:p>
      <w:pPr/>
      <w:r>
        <w:rPr>
          <w:lang w:val="en_US" w:bidi="en_US"/>
        </w:rPr>
      </w:r>
      <w:r>
        <w:rPr>
          <w:lang w:val="en_US" w:bidi="en_US"/>
        </w:rPr>
        <w:t>Jesus when he was twelve years old</w:t>
      </w:r>
    </w:p>
    <w:p>
      <w:pPr>
        <w:pStyle w:val="Heading5"/>
      </w:pPr>
      <w:r>
        <w:rPr>
          <w:lang w:val="en_US" w:bidi="en_US"/>
        </w:rPr>
        <w:t>2:47</w:t>
      </w:r>
    </w:p>
    <w:p>
      <w:pPr/>
      <w:r>
        <w:rPr>
          <w:lang w:val="en_US" w:bidi="en_US"/>
        </w:rPr>
      </w:r>
      <w:r>
        <w:rPr>
          <w:b/>
          <w:lang w:val="en_US" w:bidi="en_US"/>
        </w:rPr>
        <w:t>And all who heard Him were astounded at His understanding and His answers.</w:t>
      </w:r>
    </w:p>
    <w:p>
      <w:pPr>
        <w:pStyle w:val="ListBullet"/>
        <w:spacing w:line="240" w:lineRule="auto"/>
        <w:ind w:left="720"/>
      </w:pPr>
      <w:r>
        <w:rPr>
          <w:lang w:val="en_US" w:bidi="en_US"/>
        </w:rPr>
      </w:r>
      <w:r>
        <w:rPr>
          <w:lang w:val="en_US" w:bidi="en_US"/>
        </w:rPr>
        <w:t xml:space="preserve">All those who heard Jesus were amazed at his intelligence and the way he answered </w:t>
      </w:r>
      <w:r>
        <w:rPr>
          <w:lang w:val="en_US" w:bidi="en_US"/>
        </w:rPr>
        <w:t>the</w:t>
      </w:r>
      <w:r>
        <w:rPr>
          <w:lang w:val="en_US" w:bidi="en_US"/>
        </w:rPr>
        <w:t xml:space="preserve"> questions </w:t>
      </w:r>
      <w:r>
        <w:rPr>
          <w:lang w:val="en_US" w:bidi="en_US"/>
        </w:rPr>
        <w:t>of the teachers</w:t>
      </w:r>
      <w:r>
        <w:rPr>
          <w:lang w:val="en_US" w:bidi="en_US"/>
        </w:rPr>
        <w:t>.</w:t>
      </w:r>
    </w:p>
    <w:p>
      <w:pPr>
        <w:pStyle w:val="ListBullet"/>
        <w:spacing w:line="240" w:lineRule="auto"/>
        <w:ind w:left="720"/>
      </w:pPr>
      <w:r>
        <w:rPr>
          <w:lang w:val="en_US" w:bidi="en_US"/>
        </w:rPr>
      </w:r>
      <w:r>
        <w:rPr>
          <w:lang w:val="en_US" w:bidi="en_US"/>
        </w:rPr>
        <w:t xml:space="preserve">All the people who heard him were astonished at </w:t>
      </w:r>
      <w:r>
        <w:rPr>
          <w:lang w:val="en_US" w:bidi="en_US"/>
        </w:rPr>
        <w:t>how much</w:t>
      </w:r>
      <w:r>
        <w:rPr>
          <w:lang w:val="en_US" w:bidi="en_US"/>
        </w:rPr>
        <w:t xml:space="preserve"> he knew/understood and </w:t>
      </w:r>
      <w:r>
        <w:rPr>
          <w:lang w:val="en_US" w:bidi="en_US"/>
        </w:rPr>
        <w:t>how well</w:t>
      </w:r>
      <w:r>
        <w:rPr>
          <w:lang w:val="en_US" w:bidi="en_US"/>
        </w:rPr>
        <w:t xml:space="preserve"> he answered </w:t>
      </w:r>
      <w:r>
        <w:rPr>
          <w:lang w:val="en_US" w:bidi="en_US"/>
        </w:rPr>
        <w:t>the</w:t>
      </w:r>
      <w:r>
        <w:rPr>
          <w:lang w:val="en_US" w:bidi="en_US"/>
        </w:rPr>
        <w:t xml:space="preserve"> questions </w:t>
      </w:r>
      <w:r>
        <w:rPr>
          <w:lang w:val="en_US" w:bidi="en_US"/>
        </w:rPr>
        <w:t>that the teachers asked him</w:t>
      </w:r>
      <w:r>
        <w:rPr>
          <w:lang w:val="en_US" w:bidi="en_US"/>
        </w:rPr>
        <w:t>.</w:t>
      </w:r>
    </w:p>
    <w:p>
      <w:pPr/>
      <w:r>
        <w:rPr>
          <w:lang w:val="en_US" w:bidi="en_US"/>
        </w:rPr>
      </w:r>
      <w:r>
        <w:rPr>
          <w:b/>
          <w:lang w:val="en_US" w:bidi="en_US"/>
        </w:rPr>
        <w:t>And all who heard Him:</w:t>
      </w:r>
      <w:r>
        <w:rPr>
          <w:lang w:val="en_US" w:bidi="en_US"/>
        </w:rPr>
        <w:t xml:space="preserve"> The clause </w:t>
      </w:r>
      <w:r>
        <w:rPr>
          <w:i/>
          <w:lang w:val="en_US" w:bidi="en_US"/>
        </w:rPr>
        <w:t>all who heard Him</w:t>
      </w:r>
      <w:r>
        <w:rPr>
          <w:lang w:val="en_US" w:bidi="en_US"/>
        </w:rPr>
        <w:t xml:space="preserve"> indicates that other people gathered around to listen to the conversation between Jesus and the teachers. It was so interesting that people in the temple stopped to listen.</w:t>
      </w:r>
    </w:p>
    <w:p>
      <w:pPr/>
      <w:r>
        <w:rPr>
          <w:lang w:val="en_US" w:bidi="en_US"/>
        </w:rPr>
      </w:r>
      <w:r>
        <w:rPr>
          <w:b/>
          <w:lang w:val="en_US" w:bidi="en_US"/>
        </w:rPr>
        <w:t>astounded:</w:t>
      </w:r>
      <w:r>
        <w:rPr>
          <w:lang w:val="en_US" w:bidi="en_US"/>
        </w:rPr>
        <w:t xml:space="preserve"> The Greek word that the BSB translates here as </w:t>
      </w:r>
      <w:r>
        <w:rPr>
          <w:i/>
          <w:lang w:val="en_US" w:bidi="en_US"/>
        </w:rPr>
        <w:t>astounded</w:t>
      </w:r>
      <w:r>
        <w:rPr>
          <w:lang w:val="en_US" w:bidi="en_US"/>
        </w:rPr>
        <w:t xml:space="preserve"> is a very strong word. It means more than just surprised. For example:</w:t>
      </w:r>
    </w:p>
    <w:p>
      <w:pPr/>
      <w:r>
        <w:rPr>
          <w:lang w:val="en_US" w:bidi="en_US"/>
        </w:rPr>
      </w:r>
      <w:r>
        <w:rPr>
          <w:lang w:val="en_US" w:bidi="en_US"/>
        </w:rPr>
        <w:t xml:space="preserve">his answers </w:t>
      </w:r>
      <w:r>
        <w:rPr>
          <w:u w:val="single"/>
          <w:lang w:val="en_US" w:bidi="en_US"/>
        </w:rPr>
        <w:t>stunned</w:t>
      </w:r>
      <w:r>
        <w:rPr>
          <w:lang w:val="en_US" w:bidi="en_US"/>
        </w:rPr>
        <w:t xml:space="preserve"> everyone who heard him (GW)</w:t>
      </w:r>
    </w:p>
    <w:p>
      <w:pPr/>
      <w:r>
        <w:rPr>
          <w:lang w:val="en_US" w:bidi="en_US"/>
        </w:rPr>
      </w:r>
      <w:r>
        <w:rPr>
          <w:lang w:val="en_US" w:bidi="en_US"/>
        </w:rPr>
        <w:t xml:space="preserve">all who heard Jesus were </w:t>
      </w:r>
      <w:r>
        <w:rPr>
          <w:u w:val="single"/>
          <w:lang w:val="en_US" w:bidi="en_US"/>
        </w:rPr>
        <w:t>astonished</w:t>
      </w:r>
      <w:r>
        <w:rPr>
          <w:lang w:val="en_US" w:bidi="en_US"/>
        </w:rPr>
        <w:t xml:space="preserve"> (NET)</w:t>
      </w:r>
    </w:p>
    <w:p>
      <w:pPr/>
      <w:r>
        <w:rPr>
          <w:lang w:val="en_US" w:bidi="en_US"/>
        </w:rPr>
      </w:r>
      <w:r>
        <w:rPr>
          <w:b/>
          <w:lang w:val="en_US" w:bidi="en_US"/>
        </w:rPr>
        <w:t>His understanding:</w:t>
      </w:r>
      <w:r>
        <w:rPr>
          <w:lang w:val="en_US" w:bidi="en_US"/>
        </w:rPr>
        <w:t xml:space="preserve"> The Greek word that the BSB translates here as </w:t>
      </w:r>
      <w:r>
        <w:rPr>
          <w:i/>
          <w:lang w:val="en_US" w:bidi="en_US"/>
        </w:rPr>
        <w:t>understanding</w:t>
      </w:r>
      <w:r>
        <w:rPr>
          <w:lang w:val="en_US" w:bidi="en_US"/>
        </w:rPr>
        <w:t xml:space="preserve"> can refer to the ability to understand something or to the content of what is understood. Because of this, the word may also be translated as “intelligence” (as in the REB and the NJB).</w:t>
      </w:r>
    </w:p>
    <w:p>
      <w:pPr/>
      <w:r>
        <w:rPr>
          <w:lang w:val="en_US" w:bidi="en_US"/>
        </w:rPr>
      </w:r>
      <w:r>
        <w:rPr>
          <w:b/>
          <w:lang w:val="en_US" w:bidi="en_US"/>
        </w:rPr>
        <w:t>His answers:</w:t>
      </w:r>
      <w:r>
        <w:rPr>
          <w:lang w:val="en_US" w:bidi="en_US"/>
        </w:rPr>
        <w:t xml:space="preserve"> The phrase </w:t>
      </w:r>
      <w:r>
        <w:rPr>
          <w:i/>
          <w:lang w:val="en_US" w:bidi="en_US"/>
        </w:rPr>
        <w:t>His answers</w:t>
      </w:r>
      <w:r>
        <w:rPr>
          <w:lang w:val="en_US" w:bidi="en_US"/>
        </w:rPr>
        <w:t xml:space="preserve"> implies that the teachers were also asking Jesus questions. They were amazed because he answered their questions so well.</w:t>
      </w:r>
    </w:p>
    <w:p>
      <w:pPr/>
      <w:r>
        <w:rPr>
          <w:lang w:val="en_US" w:bidi="en_US"/>
        </w:rPr>
      </w:r>
      <w:r>
        <w:rPr>
          <w:lang w:val="en_US" w:bidi="en_US"/>
        </w:rPr>
        <w:t>In some languages, it may be more natural to make this explicit. For example:</w:t>
      </w:r>
    </w:p>
    <w:p>
      <w:pPr/>
      <w:r>
        <w:rPr>
          <w:lang w:val="en_US" w:bidi="en_US"/>
        </w:rPr>
      </w:r>
      <w:r>
        <w:rPr>
          <w:lang w:val="en_US" w:bidi="en_US"/>
        </w:rPr>
        <w:t>the answers he gave (REB)</w:t>
      </w:r>
    </w:p>
    <w:p>
      <w:pPr/>
      <w:r>
        <w:rPr>
          <w:lang w:val="en_US" w:bidi="en_US"/>
        </w:rPr>
      </w:r>
      <w:r>
        <w:rPr>
          <w:lang w:val="en_US" w:bidi="en_US"/>
        </w:rPr>
        <w:t>the way he answered the questions that the teachers asked him</w:t>
      </w:r>
      <w:r>
        <w:rPr>
          <w:lang w:val="en_US" w:bidi="en_US"/>
        </w:rPr>
      </w:r>
      <w:r>
        <w:rPr>
          <w:lang w:val="en_US" w:bidi="en_US"/>
        </w:rPr>
      </w:r>
    </w:p>
    <w:p>
      <w:pPr/>
      <w:r>
        <w:rPr>
          <w:lang w:val="en_US" w:bidi="en_US"/>
        </w:rPr>
      </w:r>
    </w:p>
    <w:p>
      <w:pPr>
        <w:pStyle w:val="Heading2"/>
      </w:pPr>
      <w:r>
        <w:rPr>
          <w:lang w:val="en_US" w:bidi="en_US"/>
        </w:rPr>
        <w:t>Luke 2:48</w:t>
      </w:r>
      <w:r>
        <w:rPr>
          <w:lang w:val="en_US" w:bidi="en_US"/>
        </w:rPr>
      </w:r>
    </w:p>
    <w:p>
      <w:pPr>
        <w:pStyle w:val="Heading4"/>
      </w:pPr>
      <w:r>
        <w:rPr>
          <w:lang w:val="en_US" w:bidi="en_US"/>
        </w:rPr>
        <w:t>Section 2:41–52: The boy Jesus spoke with the teachers</w:t>
      </w:r>
    </w:p>
    <w:p>
      <w:pPr/>
      <w:r>
        <w:rPr>
          <w:lang w:val="en_US" w:bidi="en_US"/>
        </w:rPr>
      </w:r>
      <w:r>
        <w:rPr>
          <w:lang w:val="en_US" w:bidi="en_US"/>
        </w:rPr>
        <w:t>In this section, Joseph and Mary took Jesus to the Feast of the Passover in Jerusalem. This may have been Jesus’ first time to go there for Passover. While Jesus was in Jerusalem, he went to the Temple and discussed religious matters with Jewish religious leaders.</w:t>
      </w:r>
    </w:p>
    <w:p>
      <w:pPr/>
      <w:r>
        <w:rPr>
          <w:lang w:val="en_US" w:bidi="en_US"/>
        </w:rPr>
      </w:r>
      <w:r>
        <w:rPr>
          <w:lang w:val="en_US" w:bidi="en_US"/>
        </w:rP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numPr>
          <w:ilvl w:val="0"/>
          <w:numId w:val="72"/>
        </w:numPr>
        <w:spacing w:line="240" w:lineRule="auto"/>
        <w:ind w:left="720"/>
      </w:pPr>
      <w:r>
        <w:rPr>
          <w:lang w:val="en_US" w:bidi="en_US"/>
        </w:rPr>
      </w:r>
      <w:r>
        <w:rPr>
          <w:lang w:val="en_US" w:bidi="en_US"/>
        </w:rPr>
        <w:t>Joseph and Mary did not know where Jesus was;</w:t>
      </w:r>
    </w:p>
    <w:p>
      <w:pPr>
        <w:pStyle w:val="ListNumber"/>
        <w:spacing w:line="240" w:lineRule="auto"/>
        <w:ind w:left="720"/>
      </w:pPr>
      <w:r>
        <w:rPr>
          <w:lang w:val="en_US" w:bidi="en_US"/>
        </w:rPr>
      </w:r>
      <w:r>
        <w:rPr>
          <w:lang w:val="en_US" w:bidi="en_US"/>
        </w:rPr>
        <w:t>they did not know exactly what he was telling them when they found him;</w:t>
      </w:r>
    </w:p>
    <w:p>
      <w:pPr>
        <w:pStyle w:val="ListNumber"/>
        <w:spacing w:line="240" w:lineRule="auto"/>
        <w:ind w:left="720"/>
      </w:pPr>
      <w:r>
        <w:rPr>
          <w:lang w:val="en_US" w:bidi="en_US"/>
        </w:rPr>
      </w:r>
      <w:r>
        <w:rPr>
          <w:lang w:val="en_US" w:bidi="en_US"/>
        </w:rPr>
        <w:t>by the age of twelve (or before), Jesus was aware that he was God’s Son.</w:t>
      </w:r>
    </w:p>
    <w:p>
      <w:pPr/>
      <w:r>
        <w:rPr>
          <w:lang w:val="en_US" w:bidi="en_US"/>
        </w:rPr>
      </w:r>
      <w:r>
        <w:rPr>
          <w:lang w:val="en_US" w:bidi="en_US"/>
        </w:rPr>
        <w:t>Some other possible headings for this section are:</w:t>
      </w:r>
    </w:p>
    <w:p>
      <w:pPr/>
      <w:r>
        <w:rPr>
          <w:lang w:val="en_US" w:bidi="en_US"/>
        </w:rPr>
      </w:r>
      <w:r>
        <w:rPr>
          <w:lang w:val="en_US" w:bidi="en_US"/>
        </w:rPr>
        <w:t>Mary and Joseph Find Jesus With the Teachers in the Temple Courtyard (GW)</w:t>
      </w:r>
    </w:p>
    <w:p>
      <w:pPr/>
      <w:r>
        <w:rPr>
          <w:lang w:val="en_US" w:bidi="en_US"/>
        </w:rPr>
      </w:r>
      <w:r>
        <w:rPr>
          <w:lang w:val="en_US" w:bidi="en_US"/>
        </w:rPr>
        <w:t>Jesus when he was twelve years old</w:t>
      </w:r>
    </w:p>
    <w:p>
      <w:pPr>
        <w:pStyle w:val="Heading5"/>
      </w:pPr>
      <w:r>
        <w:rPr>
          <w:lang w:val="en_US" w:bidi="en_US"/>
        </w:rPr>
        <w:t>2:48a</w:t>
      </w:r>
    </w:p>
    <w:p>
      <w:pPr/>
      <w:r>
        <w:rPr>
          <w:lang w:val="en_US" w:bidi="en_US"/>
        </w:rPr>
      </w:r>
      <w:r>
        <w:rPr>
          <w:b/>
          <w:lang w:val="en_US" w:bidi="en_US"/>
        </w:rPr>
        <w:t>When His parents saw Him, they were astonished.</w:t>
      </w:r>
    </w:p>
    <w:p>
      <w:pPr>
        <w:pStyle w:val="ListBullet"/>
        <w:spacing w:line="240" w:lineRule="auto"/>
        <w:ind w:left="720"/>
      </w:pPr>
      <w:r>
        <w:rPr>
          <w:lang w:val="en_US" w:bidi="en_US"/>
        </w:rPr>
      </w:r>
      <w:r>
        <w:rPr>
          <w:lang w:val="en_US" w:bidi="en_US"/>
        </w:rPr>
        <w:t>When Jesus’ parents found him, they were astonished.</w:t>
      </w:r>
    </w:p>
    <w:p>
      <w:pPr>
        <w:pStyle w:val="ListBullet"/>
        <w:spacing w:line="240" w:lineRule="auto"/>
        <w:ind w:left="720"/>
      </w:pPr>
      <w:r>
        <w:rPr>
          <w:lang w:val="en_US" w:bidi="en_US"/>
        </w:rPr>
      </w:r>
      <w:r>
        <w:rPr>
          <w:lang w:val="en_US" w:bidi="en_US"/>
        </w:rPr>
        <w:t>Jesus’ father and mother were shocked/overwhelmed when they saw him.</w:t>
      </w:r>
    </w:p>
    <w:p>
      <w:pPr/>
      <w:r>
        <w:rPr>
          <w:lang w:val="en_US" w:bidi="en_US"/>
        </w:rPr>
      </w:r>
      <w:r>
        <w:rPr>
          <w:b/>
          <w:lang w:val="en_US" w:bidi="en_US"/>
        </w:rPr>
        <w:t>When His parents saw Him, they were astonished:</w:t>
      </w:r>
      <w:r>
        <w:rPr>
          <w:lang w:val="en_US" w:bidi="en_US"/>
        </w:rPr>
        <w:t xml:space="preserve"> The text does not tell the reason why Jesus’ parents were astonished. They were probably amazed that he was speaking with the teachers. It was not normal for a child of Jesus’ age to be in a group of such teachers and to speak with them about religious matters.</w:t>
      </w:r>
    </w:p>
    <w:p>
      <w:pPr/>
      <w:r>
        <w:rPr>
          <w:lang w:val="en_US" w:bidi="en_US"/>
        </w:rPr>
      </w:r>
      <w:r>
        <w:rPr>
          <w:b/>
          <w:lang w:val="en_US" w:bidi="en_US"/>
        </w:rPr>
        <w:t>astonished:</w:t>
      </w:r>
      <w:r>
        <w:rPr>
          <w:lang w:val="en_US" w:bidi="en_US"/>
        </w:rPr>
        <w:t xml:space="preserve"> The Greek word that the BSB translates here as </w:t>
      </w:r>
      <w:r>
        <w:rPr>
          <w:i/>
          <w:lang w:val="en_US" w:bidi="en_US"/>
        </w:rPr>
        <w:t>astonished</w:t>
      </w:r>
      <w:r>
        <w:rPr>
          <w:lang w:val="en_US" w:bidi="en_US"/>
        </w:rPr>
        <w:t xml:space="preserve"> is a strong word. It is a different word from the word that the BSB translates as “astounded” in 2:47, but the meaning is very similar. Some other ways to translate this word are:</w:t>
      </w:r>
    </w:p>
    <w:p>
      <w:pPr/>
      <w:r>
        <w:rPr>
          <w:lang w:val="en_US" w:bidi="en_US"/>
        </w:rPr>
      </w:r>
      <w:r>
        <w:rPr>
          <w:lang w:val="en_US" w:bidi="en_US"/>
        </w:rPr>
        <w:t xml:space="preserve">they were </w:t>
      </w:r>
      <w:r>
        <w:rPr>
          <w:u w:val="single"/>
          <w:lang w:val="en_US" w:bidi="en_US"/>
        </w:rPr>
        <w:t>overwhelmed</w:t>
      </w:r>
      <w:r>
        <w:rPr>
          <w:lang w:val="en_US" w:bidi="en_US"/>
        </w:rPr>
        <w:t xml:space="preserve"> (NET)</w:t>
      </w:r>
    </w:p>
    <w:p>
      <w:pPr/>
      <w:r>
        <w:rPr>
          <w:lang w:val="en_US" w:bidi="en_US"/>
        </w:rPr>
      </w:r>
      <w:r>
        <w:rPr>
          <w:lang w:val="en_US" w:bidi="en_US"/>
        </w:rPr>
        <w:t xml:space="preserve">they were </w:t>
      </w:r>
      <w:r>
        <w:rPr>
          <w:u w:val="single"/>
          <w:lang w:val="en_US" w:bidi="en_US"/>
        </w:rPr>
        <w:t>shocked</w:t>
      </w:r>
      <w:r>
        <w:rPr>
          <w:lang w:val="en_US" w:bidi="en_US"/>
        </w:rPr>
        <w:t xml:space="preserve"> (GW)</w:t>
      </w:r>
    </w:p>
    <w:p>
      <w:pPr/>
      <w:r>
        <w:rPr>
          <w:lang w:val="en_US" w:bidi="en_US"/>
        </w:rPr>
      </w:r>
      <w:r>
        <w:rPr>
          <w:lang w:val="en_US" w:bidi="en_US"/>
        </w:rPr>
        <w:t xml:space="preserve">They were </w:t>
      </w:r>
      <w:r>
        <w:rPr>
          <w:u w:val="single"/>
          <w:lang w:val="en_US" w:bidi="en_US"/>
        </w:rPr>
        <w:t>overcome</w:t>
      </w:r>
      <w:r>
        <w:rPr>
          <w:lang w:val="en_US" w:bidi="en_US"/>
        </w:rPr>
        <w:t xml:space="preserve"> (NJB)</w:t>
      </w:r>
    </w:p>
    <w:p>
      <w:pPr>
        <w:pStyle w:val="Heading5"/>
      </w:pPr>
      <w:r>
        <w:rPr>
          <w:lang w:val="en_US" w:bidi="en_US"/>
        </w:rPr>
        <w:t>2:48b</w:t>
      </w:r>
    </w:p>
    <w:p>
      <w:pPr/>
      <w:r>
        <w:rPr>
          <w:lang w:val="en_US" w:bidi="en_US"/>
        </w:rPr>
      </w:r>
      <w:r>
        <w:rPr>
          <w:b/>
          <w:lang w:val="en_US" w:bidi="en_US"/>
        </w:rPr>
        <w:t>“Child, why have You done this to us?” His mother asked.</w:t>
      </w:r>
    </w:p>
    <w:p>
      <w:pPr>
        <w:pStyle w:val="ListBullet"/>
        <w:spacing w:line="240" w:lineRule="auto"/>
        <w:ind w:left="720"/>
      </w:pPr>
      <w:r>
        <w:rPr>
          <w:lang w:val="en_US" w:bidi="en_US"/>
        </w:rPr>
      </w:r>
      <w:r>
        <w:rPr>
          <w:lang w:val="en_US" w:bidi="en_US"/>
        </w:rPr>
        <w:t>His mother said, “Child, why have you done this to us?</w:t>
      </w:r>
      <w:r>
        <w:rPr>
          <w:vertAlign w:val="superscript"/>
          <w:lang w:val="en_US" w:bidi="en_US"/>
        </w:rPr>
        <w:t>(dual)</w:t>
      </w:r>
    </w:p>
    <w:p>
      <w:pPr>
        <w:pStyle w:val="ListBullet"/>
        <w:spacing w:line="240" w:lineRule="auto"/>
        <w:ind w:left="720"/>
      </w:pPr>
      <w:r>
        <w:rPr>
          <w:lang w:val="en_US" w:bidi="en_US"/>
        </w:rPr>
      </w:r>
      <w:r>
        <w:rPr>
          <w:lang w:val="en_US" w:bidi="en_US"/>
        </w:rPr>
        <w:t>Mary said to him, “My son, explain to us why you have treated us</w:t>
      </w:r>
      <w:r>
        <w:rPr>
          <w:vertAlign w:val="superscript"/>
          <w:lang w:val="en_US" w:bidi="en_US"/>
        </w:rPr>
        <w:t>(dual)</w:t>
      </w:r>
      <w:r>
        <w:rPr>
          <w:lang w:val="en_US" w:bidi="en_US"/>
        </w:rPr>
        <w:t xml:space="preserve"> like this.</w:t>
      </w:r>
    </w:p>
    <w:p>
      <w:pPr>
        <w:pStyle w:val="ListBullet"/>
        <w:spacing w:line="240" w:lineRule="auto"/>
        <w:ind w:left="720"/>
      </w:pPr>
      <w:r>
        <w:rPr>
          <w:lang w:val="en_US" w:bidi="en_US"/>
        </w:rPr>
      </w:r>
      <w:r>
        <w:rPr>
          <w:lang w:val="en_US" w:bidi="en_US"/>
        </w:rPr>
        <w:t>His mother Mary asked him kindly to explain why he had not traveled back with them.</w:t>
      </w:r>
    </w:p>
    <w:p>
      <w:pPr/>
      <w:r>
        <w:rPr>
          <w:lang w:val="en_US" w:bidi="en_US"/>
        </w:rPr>
      </w:r>
      <w:r>
        <w:rPr>
          <w:b/>
          <w:lang w:val="en_US" w:bidi="en_US"/>
        </w:rPr>
        <w:t>Child:</w:t>
      </w:r>
      <w:r>
        <w:rPr>
          <w:lang w:val="en_US" w:bidi="en_US"/>
        </w:rPr>
        <w:t xml:space="preserve"> When Mary addressed Jesus as her </w:t>
      </w:r>
      <w:r>
        <w:rPr>
          <w:i/>
          <w:lang w:val="en_US" w:bidi="en_US"/>
        </w:rPr>
        <w:t>Child</w:t>
      </w:r>
      <w:r>
        <w:rPr>
          <w:lang w:val="en_US" w:bidi="en_US"/>
        </w:rPr>
        <w:t>, she was using a term of affection that a mother would use. Use a natural term in your language.</w:t>
      </w:r>
    </w:p>
    <w:p>
      <w:pPr/>
      <w:r>
        <w:rPr>
          <w:lang w:val="en_US" w:bidi="en_US"/>
        </w:rPr>
      </w:r>
      <w:r>
        <w:rPr>
          <w:b/>
          <w:lang w:val="en_US" w:bidi="en_US"/>
        </w:rPr>
        <w:t>why have You done this to us:</w:t>
      </w:r>
      <w:r>
        <w:rPr>
          <w:lang w:val="en_US" w:bidi="en_US"/>
        </w:rPr>
        <w:t xml:space="preserve"> This question can be interpreted in two ways:</w:t>
      </w:r>
    </w:p>
    <w:p>
      <w:pPr>
        <w:pStyle w:val="ListNumber"/>
        <w:numPr>
          <w:ilvl w:val="0"/>
          <w:numId w:val="73"/>
        </w:numPr>
        <w:spacing w:line="240" w:lineRule="auto"/>
        <w:ind w:left="720"/>
      </w:pPr>
      <w:r>
        <w:rPr>
          <w:lang w:val="en_US" w:bidi="en_US"/>
        </w:rPr>
      </w:r>
      <w:r>
        <w:rPr>
          <w:lang w:val="en_US" w:bidi="en_US"/>
        </w:rPr>
        <w:t>As a real question that expects an answer.</w:t>
      </w:r>
    </w:p>
    <w:p>
      <w:pPr>
        <w:pStyle w:val="ListNumber"/>
        <w:spacing w:line="240" w:lineRule="auto"/>
        <w:ind w:left="720"/>
      </w:pPr>
      <w:r>
        <w:rPr>
          <w:lang w:val="en_US" w:bidi="en_US"/>
        </w:rPr>
      </w:r>
      <w:r>
        <w:rPr>
          <w:lang w:val="en_US" w:bidi="en_US"/>
        </w:rPr>
        <w:t>As a rhetorical question that does not seek an answer.</w:t>
      </w:r>
    </w:p>
    <w:p>
      <w:pPr/>
      <w:r>
        <w:rPr>
          <w:lang w:val="en_US" w:bidi="en_US"/>
        </w:rPr>
      </w:r>
      <w:r>
        <w:rPr>
          <w:lang w:val="en_US" w:bidi="en_US"/>
        </w:rPr>
        <w:t>It is recommended that you follow interpretation (1). Mary wanted Jesus to answer her, and Jesus did answer Mary’s question.</w:t>
      </w:r>
    </w:p>
    <w:p>
      <w:pPr/>
      <w:r>
        <w:rPr>
          <w:lang w:val="en_US" w:bidi="en_US"/>
        </w:rPr>
      </w:r>
      <w:r>
        <w:rPr>
          <w:lang w:val="en_US" w:bidi="en_US"/>
        </w:rPr>
        <w:t>Although this question is real, it is also like a rhetorical question because it expresses Mary’s surprise and distress. Mary implied that Jesus should not have stayed behind in Jerusalem without telling her or Joseph.</w:t>
      </w:r>
    </w:p>
    <w:p>
      <w:pPr/>
      <w:r>
        <w:rPr>
          <w:lang w:val="en_US" w:bidi="en_US"/>
        </w:rPr>
      </w:r>
      <w:r>
        <w:rPr>
          <w:lang w:val="en_US" w:bidi="en_US"/>
        </w:rPr>
        <w:t>There are several ways that you can translate this:</w:t>
      </w:r>
    </w:p>
    <w:p>
      <w:pPr>
        <w:pStyle w:val="ListBullet"/>
        <w:spacing w:line="240" w:lineRule="auto"/>
        <w:ind w:left="720"/>
      </w:pPr>
      <w:r>
        <w:rPr>
          <w:lang w:val="en_US" w:bidi="en_US"/>
        </w:rPr>
      </w:r>
      <w:r>
        <w:rPr>
          <w:lang w:val="en_US" w:bidi="en_US"/>
        </w:rPr>
        <w:t>As a question. For example:</w:t>
      </w:r>
      <w:r>
        <w:rPr>
          <w:lang w:val="en_US" w:bidi="en_US"/>
        </w:rPr>
        <w:t>why have you done this to us? (GNT)</w:t>
      </w:r>
    </w:p>
    <w:p>
      <w:pPr>
        <w:pStyle w:val="ListBullet"/>
        <w:spacing w:line="240" w:lineRule="auto"/>
        <w:ind w:left="720"/>
      </w:pPr>
      <w:r>
        <w:rPr>
          <w:lang w:val="en_US" w:bidi="en_US"/>
        </w:rPr>
      </w:r>
      <w:r>
        <w:rPr>
          <w:lang w:val="en_US" w:bidi="en_US"/>
        </w:rPr>
        <w:t>As a request from Mary for Jesus to explain his actions. For example:</w:t>
      </w:r>
      <w:r>
        <w:rPr>
          <w:lang w:val="en_US" w:bidi="en_US"/>
        </w:rPr>
        <w:t>explain to us why you have treated us like this.</w:t>
      </w:r>
    </w:p>
    <w:p>
      <w:pPr>
        <w:pStyle w:val="ListBullet"/>
        <w:spacing w:line="240" w:lineRule="auto"/>
        <w:ind w:left="720"/>
      </w:pPr>
      <w:r>
        <w:rPr>
          <w:lang w:val="en_US" w:bidi="en_US"/>
        </w:rPr>
      </w:r>
      <w:r>
        <w:rPr>
          <w:lang w:val="en_US" w:bidi="en_US"/>
        </w:rPr>
        <w:t>As a statement that expresses surprise or mild rebuke. For example:</w:t>
      </w:r>
      <w:r>
        <w:rPr>
          <w:lang w:val="en_US" w:bidi="en_US"/>
        </w:rPr>
        <w:t xml:space="preserve">what you did </w:t>
      </w:r>
      <w:r>
        <w:rPr>
          <w:lang w:val="en_US" w:bidi="en_US"/>
        </w:rPr>
        <w:t>has upset/worried</w:t>
      </w:r>
      <w:r>
        <w:rPr>
          <w:lang w:val="en_US" w:bidi="en_US"/>
        </w:rPr>
        <w:t xml:space="preserve"> us.</w:t>
      </w:r>
      <w:r>
        <w:rPr>
          <w:lang w:val="en_US" w:bidi="en_US"/>
        </w:rPr>
        <w:t>I do not understand</w:t>
      </w:r>
      <w:r>
        <w:rPr>
          <w:lang w:val="en_US" w:bidi="en_US"/>
        </w:rPr>
        <w:t xml:space="preserve"> why you have treated us like this.</w:t>
      </w:r>
    </w:p>
    <w:p>
      <w:pPr/>
      <w:r>
        <w:rPr>
          <w:lang w:val="en_US" w:bidi="en_US"/>
        </w:rPr>
      </w:r>
      <w:r>
        <w:rPr>
          <w:lang w:val="en_US" w:bidi="en_US"/>
        </w:rPr>
        <w:t>Mary was seeking an answer, and she was also expressing surprise and/or mild rebuke. Translate this in the way that is most natural in your language.</w:t>
      </w:r>
    </w:p>
    <w:p>
      <w:pPr>
        <w:pStyle w:val="Heading5"/>
      </w:pPr>
      <w:r>
        <w:rPr>
          <w:lang w:val="en_US" w:bidi="en_US"/>
        </w:rPr>
        <w:t>2:48c</w:t>
      </w:r>
    </w:p>
    <w:p>
      <w:pPr/>
      <w:r>
        <w:rPr>
          <w:lang w:val="en_US" w:bidi="en_US"/>
        </w:rPr>
      </w:r>
      <w:r>
        <w:rPr>
          <w:b/>
          <w:lang w:val="en_US" w:bidi="en_US"/>
        </w:rPr>
        <w:t>“Your father and I have been anxiously searching for You.”</w:t>
      </w:r>
    </w:p>
    <w:p>
      <w:pPr>
        <w:pStyle w:val="ListBullet"/>
        <w:spacing w:line="240" w:lineRule="auto"/>
        <w:ind w:left="720"/>
      </w:pPr>
      <w:r>
        <w:rPr>
          <w:lang w:val="en_US" w:bidi="en_US"/>
        </w:rPr>
      </w:r>
      <w:r>
        <w:rPr>
          <w:lang w:val="en_US" w:bidi="en_US"/>
        </w:rPr>
        <w:t>Your father and I have been very worried about you, and we</w:t>
      </w:r>
      <w:r>
        <w:rPr>
          <w:vertAlign w:val="superscript"/>
          <w:lang w:val="en_US" w:bidi="en_US"/>
        </w:rPr>
        <w:t>(dual)</w:t>
      </w:r>
      <w:r>
        <w:rPr>
          <w:lang w:val="en_US" w:bidi="en_US"/>
        </w:rPr>
        <w:t xml:space="preserve"> have been trying to find you!”</w:t>
      </w:r>
    </w:p>
    <w:p>
      <w:pPr>
        <w:pStyle w:val="ListBullet"/>
        <w:spacing w:line="240" w:lineRule="auto"/>
        <w:ind w:left="720"/>
      </w:pPr>
      <w:r>
        <w:rPr>
          <w:lang w:val="en_US" w:bidi="en_US"/>
        </w:rPr>
      </w:r>
      <w:r>
        <w:rPr>
          <w:lang w:val="en_US" w:bidi="en_US"/>
        </w:rPr>
        <w:t>She told him that she and his father had been looking for him and were afraid that he had been hurt.</w:t>
      </w:r>
    </w:p>
    <w:p>
      <w:pPr/>
      <w:r>
        <w:rPr>
          <w:lang w:val="en_US" w:bidi="en_US"/>
        </w:rPr>
      </w:r>
      <w:r>
        <w:rPr>
          <w:b/>
          <w:lang w:val="en_US" w:bidi="en_US"/>
        </w:rPr>
        <w:t>anxiously searching for You:</w:t>
      </w:r>
      <w:r>
        <w:rPr>
          <w:lang w:val="en_US" w:bidi="en_US"/>
        </w:rPr>
        <w:t xml:space="preserve"> The phrase </w:t>
      </w:r>
      <w:r>
        <w:rPr>
          <w:i/>
          <w:lang w:val="en_US" w:bidi="en_US"/>
        </w:rPr>
        <w:t>anxiously searching for You</w:t>
      </w:r>
      <w:r>
        <w:rPr>
          <w:lang w:val="en_US" w:bidi="en_US"/>
        </w:rPr>
        <w:t xml:space="preserve"> means that Joseph and Mary had been looking hard to find Jesus. They had worried about him.</w:t>
      </w:r>
      <w:r>
        <w:rPr>
          <w:lang w:val="en_US" w:bidi="en_US"/>
        </w:rPr>
      </w:r>
      <w:r>
        <w:rPr>
          <w:lang w:val="en_US" w:bidi="en_US"/>
        </w:rPr>
      </w:r>
    </w:p>
    <w:p>
      <w:pPr/>
      <w:r>
        <w:rPr>
          <w:lang w:val="en_US" w:bidi="en_US"/>
        </w:rPr>
      </w:r>
    </w:p>
    <w:p>
      <w:pPr>
        <w:pStyle w:val="Heading2"/>
      </w:pPr>
      <w:r>
        <w:rPr>
          <w:lang w:val="en_US" w:bidi="en_US"/>
        </w:rPr>
        <w:t>Luke 2:49</w:t>
      </w:r>
      <w:r>
        <w:rPr>
          <w:lang w:val="en_US" w:bidi="en_US"/>
        </w:rPr>
      </w:r>
    </w:p>
    <w:p>
      <w:pPr>
        <w:pStyle w:val="Heading4"/>
      </w:pPr>
      <w:r>
        <w:rPr>
          <w:lang w:val="en_US" w:bidi="en_US"/>
        </w:rPr>
        <w:t>Section 2:41–52: The boy Jesus spoke with the teachers</w:t>
      </w:r>
    </w:p>
    <w:p>
      <w:pPr/>
      <w:r>
        <w:rPr>
          <w:lang w:val="en_US" w:bidi="en_US"/>
        </w:rPr>
      </w:r>
      <w:r>
        <w:rPr>
          <w:lang w:val="en_US" w:bidi="en_US"/>
        </w:rPr>
        <w:t>In this section, Joseph and Mary took Jesus to the Feast of the Passover in Jerusalem. This may have been Jesus’ first time to go there for Passover. While Jesus was in Jerusalem, he went to the Temple and discussed religious matters with Jewish religious leaders.</w:t>
      </w:r>
    </w:p>
    <w:p>
      <w:pPr/>
      <w:r>
        <w:rPr>
          <w:lang w:val="en_US" w:bidi="en_US"/>
        </w:rPr>
      </w:r>
      <w:r>
        <w:rPr>
          <w:lang w:val="en_US" w:bidi="en_US"/>
        </w:rP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numPr>
          <w:ilvl w:val="0"/>
          <w:numId w:val="74"/>
        </w:numPr>
        <w:spacing w:line="240" w:lineRule="auto"/>
        <w:ind w:left="720"/>
      </w:pPr>
      <w:r>
        <w:rPr>
          <w:lang w:val="en_US" w:bidi="en_US"/>
        </w:rPr>
      </w:r>
      <w:r>
        <w:rPr>
          <w:lang w:val="en_US" w:bidi="en_US"/>
        </w:rPr>
        <w:t>Joseph and Mary did not know where Jesus was;</w:t>
      </w:r>
    </w:p>
    <w:p>
      <w:pPr>
        <w:pStyle w:val="ListNumber"/>
        <w:spacing w:line="240" w:lineRule="auto"/>
        <w:ind w:left="720"/>
      </w:pPr>
      <w:r>
        <w:rPr>
          <w:lang w:val="en_US" w:bidi="en_US"/>
        </w:rPr>
      </w:r>
      <w:r>
        <w:rPr>
          <w:lang w:val="en_US" w:bidi="en_US"/>
        </w:rPr>
        <w:t>they did not know exactly what he was telling them when they found him;</w:t>
      </w:r>
    </w:p>
    <w:p>
      <w:pPr>
        <w:pStyle w:val="ListNumber"/>
        <w:spacing w:line="240" w:lineRule="auto"/>
        <w:ind w:left="720"/>
      </w:pPr>
      <w:r>
        <w:rPr>
          <w:lang w:val="en_US" w:bidi="en_US"/>
        </w:rPr>
      </w:r>
      <w:r>
        <w:rPr>
          <w:lang w:val="en_US" w:bidi="en_US"/>
        </w:rPr>
        <w:t>by the age of twelve (or before), Jesus was aware that he was God’s Son.</w:t>
      </w:r>
    </w:p>
    <w:p>
      <w:pPr/>
      <w:r>
        <w:rPr>
          <w:lang w:val="en_US" w:bidi="en_US"/>
        </w:rPr>
      </w:r>
      <w:r>
        <w:rPr>
          <w:lang w:val="en_US" w:bidi="en_US"/>
        </w:rPr>
        <w:t>Some other possible headings for this section are:</w:t>
      </w:r>
    </w:p>
    <w:p>
      <w:pPr/>
      <w:r>
        <w:rPr>
          <w:lang w:val="en_US" w:bidi="en_US"/>
        </w:rPr>
      </w:r>
      <w:r>
        <w:rPr>
          <w:lang w:val="en_US" w:bidi="en_US"/>
        </w:rPr>
        <w:t>Mary and Joseph Find Jesus With the Teachers in the Temple Courtyard (GW)</w:t>
      </w:r>
    </w:p>
    <w:p>
      <w:pPr/>
      <w:r>
        <w:rPr>
          <w:lang w:val="en_US" w:bidi="en_US"/>
        </w:rPr>
      </w:r>
      <w:r>
        <w:rPr>
          <w:lang w:val="en_US" w:bidi="en_US"/>
        </w:rPr>
        <w:t>Jesus when he was twelve years old</w:t>
      </w:r>
    </w:p>
    <w:p>
      <w:pPr>
        <w:pStyle w:val="Heading5"/>
      </w:pPr>
      <w:r>
        <w:rPr>
          <w:lang w:val="en_US" w:bidi="en_US"/>
        </w:rPr>
        <w:t>2:49a</w:t>
      </w:r>
    </w:p>
    <w:p>
      <w:pPr/>
      <w:r>
        <w:rPr>
          <w:lang w:val="en_US" w:bidi="en_US"/>
        </w:rPr>
      </w:r>
      <w:r>
        <w:rPr>
          <w:b/>
          <w:lang w:val="en_US" w:bidi="en_US"/>
        </w:rPr>
        <w:t>“Why were you looking for Me?” He asked.</w:t>
      </w:r>
    </w:p>
    <w:p>
      <w:pPr>
        <w:pStyle w:val="ListBullet"/>
        <w:spacing w:line="240" w:lineRule="auto"/>
        <w:ind w:left="720"/>
      </w:pPr>
      <w:r>
        <w:rPr>
          <w:lang w:val="en_US" w:bidi="en_US"/>
        </w:rPr>
      </w:r>
      <w:r>
        <w:rPr>
          <w:lang w:val="en_US" w:bidi="en_US"/>
        </w:rPr>
        <w:t>¶ Jesus asked, “Why did you</w:t>
      </w:r>
      <w:r>
        <w:rPr>
          <w:vertAlign w:val="superscript"/>
          <w:lang w:val="en_US" w:bidi="en_US"/>
        </w:rPr>
        <w:t>(dual)</w:t>
      </w:r>
      <w:r>
        <w:rPr>
          <w:lang w:val="en_US" w:bidi="en_US"/>
        </w:rPr>
        <w:t xml:space="preserve"> need to search for me?</w:t>
      </w:r>
    </w:p>
    <w:p>
      <w:pPr>
        <w:pStyle w:val="ListBullet"/>
        <w:spacing w:line="240" w:lineRule="auto"/>
        <w:ind w:left="720"/>
      </w:pPr>
      <w:r>
        <w:rPr>
          <w:lang w:val="en_US" w:bidi="en_US"/>
        </w:rPr>
      </w:r>
      <w:r>
        <w:rPr>
          <w:lang w:val="en_US" w:bidi="en_US"/>
        </w:rPr>
        <w:t>¶ He said to them, “You</w:t>
      </w:r>
      <w:r>
        <w:rPr>
          <w:vertAlign w:val="superscript"/>
          <w:lang w:val="en_US" w:bidi="en_US"/>
        </w:rPr>
        <w:t>(dual)</w:t>
      </w:r>
      <w:r>
        <w:rPr>
          <w:lang w:val="en_US" w:bidi="en_US"/>
        </w:rPr>
        <w:t xml:space="preserve"> did not have to look for me </w:t>
      </w:r>
      <w:r>
        <w:rPr>
          <w:lang w:val="en_US" w:bidi="en_US"/>
        </w:rPr>
        <w:t>anywhere else</w:t>
      </w:r>
      <w:r>
        <w:rPr>
          <w:lang w:val="en_US" w:bidi="en_US"/>
        </w:rPr>
        <w:t>.</w:t>
      </w:r>
    </w:p>
    <w:p>
      <w:pPr>
        <w:pStyle w:val="ListBullet"/>
        <w:spacing w:line="240" w:lineRule="auto"/>
        <w:ind w:left="720"/>
      </w:pPr>
      <w:r>
        <w:rPr>
          <w:lang w:val="en_US" w:bidi="en_US"/>
        </w:rPr>
      </w:r>
      <w:r>
        <w:rPr>
          <w:lang w:val="en_US" w:bidi="en_US"/>
        </w:rPr>
        <w:t>¶ He asked them</w:t>
      </w:r>
      <w:r>
        <w:rPr>
          <w:vertAlign w:val="superscript"/>
          <w:lang w:val="en_US" w:bidi="en_US"/>
        </w:rPr>
        <w:t>(dual)</w:t>
      </w:r>
      <w:r>
        <w:rPr>
          <w:lang w:val="en_US" w:bidi="en_US"/>
        </w:rPr>
        <w:t xml:space="preserve"> why they</w:t>
      </w:r>
      <w:r>
        <w:rPr>
          <w:vertAlign w:val="superscript"/>
          <w:lang w:val="en_US" w:bidi="en_US"/>
        </w:rPr>
        <w:t>(dual)</w:t>
      </w:r>
      <w:r>
        <w:rPr>
          <w:lang w:val="en_US" w:bidi="en_US"/>
        </w:rPr>
        <w:t xml:space="preserve"> were searching for him.</w:t>
      </w:r>
    </w:p>
    <w:p>
      <w:pPr/>
      <w:r>
        <w:rPr>
          <w:lang w:val="en_US" w:bidi="en_US"/>
        </w:rPr>
      </w:r>
      <w:r>
        <w:rPr>
          <w:b/>
          <w:lang w:val="en_US" w:bidi="en_US"/>
        </w:rPr>
        <w:t>Why were you looking for Me?:</w:t>
      </w:r>
      <w:r>
        <w:rPr>
          <w:lang w:val="en_US" w:bidi="en_US"/>
        </w:rPr>
        <w:t xml:space="preserve"> This is probably a rhetorical question. Jesus was surprised that his parents did not understand why he had stayed behind. This answer to Mary’s question (2:48b) implies that Mary and Joseph should have known why he was with the teachers in the temple area. If they had known this, they would not have had to search for him.</w:t>
      </w:r>
    </w:p>
    <w:p>
      <w:pPr/>
      <w:r>
        <w:rPr>
          <w:lang w:val="en_US" w:bidi="en_US"/>
        </w:rPr>
      </w:r>
      <w:r>
        <w:rPr>
          <w:lang w:val="en_US" w:bidi="en_US"/>
        </w:rPr>
        <w:t>Some ways to translate this include:</w:t>
      </w:r>
    </w:p>
    <w:p>
      <w:pPr>
        <w:pStyle w:val="ListBullet"/>
        <w:spacing w:line="240" w:lineRule="auto"/>
        <w:ind w:left="720"/>
      </w:pPr>
      <w:r>
        <w:rPr>
          <w:lang w:val="en_US" w:bidi="en_US"/>
        </w:rPr>
      </w:r>
      <w:r>
        <w:rPr>
          <w:lang w:val="en_US" w:bidi="en_US"/>
        </w:rPr>
        <w:t>As a rhetorical question. For example:</w:t>
      </w:r>
      <w:r>
        <w:rPr>
          <w:lang w:val="en_US" w:bidi="en_US"/>
        </w:rPr>
        <w:t>Why did you need to search for me?</w:t>
      </w:r>
      <w:r>
        <w:rPr>
          <w:lang w:val="en_US" w:bidi="en_US"/>
        </w:rPr>
        <w:t>Why was it hard for you to find me?</w:t>
      </w:r>
    </w:p>
    <w:p>
      <w:pPr>
        <w:pStyle w:val="ListBullet"/>
        <w:spacing w:line="240" w:lineRule="auto"/>
        <w:ind w:left="720"/>
      </w:pPr>
      <w:r>
        <w:rPr>
          <w:lang w:val="en_US" w:bidi="en_US"/>
        </w:rPr>
      </w:r>
      <w:r>
        <w:rPr>
          <w:lang w:val="en_US" w:bidi="en_US"/>
        </w:rPr>
        <w:t>As a statement that expresses surprise. For example:</w:t>
      </w:r>
      <w:r>
        <w:rPr>
          <w:lang w:val="en_US" w:bidi="en_US"/>
        </w:rPr>
        <w:t>I am surprised that</w:t>
      </w:r>
      <w:r>
        <w:rPr>
          <w:lang w:val="en_US" w:bidi="en_US"/>
        </w:rPr>
        <w:t xml:space="preserve"> you were searching for me.</w:t>
      </w:r>
      <w:r>
        <w:rPr>
          <w:lang w:val="en_US" w:bidi="en_US"/>
        </w:rPr>
        <w:t>You did not have to look anywhere else.</w:t>
      </w:r>
    </w:p>
    <w:p>
      <w:pPr/>
      <w:r>
        <w:rPr>
          <w:lang w:val="en_US" w:bidi="en_US"/>
        </w:rPr>
      </w:r>
      <w:r>
        <w:rPr>
          <w:lang w:val="en_US" w:bidi="en_US"/>
        </w:rPr>
        <w:t>Use whichever form is most natural in your language.</w:t>
      </w:r>
    </w:p>
    <w:p>
      <w:pPr/>
      <w:r>
        <w:rPr>
          <w:lang w:val="en_US" w:bidi="en_US"/>
        </w:rPr>
      </w:r>
      <w:r>
        <w:rPr>
          <w:b/>
          <w:lang w:val="en_US" w:bidi="en_US"/>
        </w:rPr>
        <w:t>He asked:</w:t>
      </w:r>
      <w:r>
        <w:rPr>
          <w:lang w:val="en_US" w:bidi="en_US"/>
        </w:rPr>
        <w:t xml:space="preserve"> The BSB puts the words </w:t>
      </w:r>
      <w:r>
        <w:rPr>
          <w:i/>
          <w:lang w:val="en_US" w:bidi="en_US"/>
        </w:rPr>
        <w:t>He asked</w:t>
      </w:r>
      <w:r>
        <w:rPr>
          <w:lang w:val="en_US" w:bidi="en_US"/>
        </w:rPr>
        <w:t xml:space="preserve"> in the middle of the two rhetorical questions that Jesus asked. In some languages, it is more natural to follow the Greek order and put the words </w:t>
      </w:r>
      <w:r>
        <w:rPr>
          <w:i/>
          <w:lang w:val="en_US" w:bidi="en_US"/>
        </w:rPr>
        <w:t>He asked</w:t>
      </w:r>
      <w:r>
        <w:rPr>
          <w:lang w:val="en_US" w:bidi="en_US"/>
        </w:rPr>
        <w:t xml:space="preserve"> at the beginning of 2:49. In some other languages, it may be more natural to put these words after Jesus’ second question. Do what is most natural in your language.</w:t>
      </w:r>
    </w:p>
    <w:p>
      <w:pPr/>
      <w:r>
        <w:rPr>
          <w:lang w:val="en_US" w:bidi="en_US"/>
        </w:rPr>
      </w:r>
      <w:r>
        <w:rPr>
          <w:lang w:val="en_US" w:bidi="en_US"/>
        </w:rPr>
        <w:t>Some English versions translate this to show that 2:49 is the answer that Jesus gave to Mary’s question. For example:</w:t>
      </w:r>
    </w:p>
    <w:p>
      <w:pPr/>
      <w:r>
        <w:rPr>
          <w:lang w:val="en_US" w:bidi="en_US"/>
        </w:rPr>
      </w:r>
      <w:r>
        <w:rPr>
          <w:lang w:val="en_US" w:bidi="en_US"/>
        </w:rPr>
        <w:t>Jesus answered (CEV)</w:t>
      </w:r>
    </w:p>
    <w:p>
      <w:pPr/>
      <w:r>
        <w:rPr>
          <w:lang w:val="en_US" w:bidi="en_US"/>
        </w:rPr>
      </w:r>
      <w:r>
        <w:rPr>
          <w:lang w:val="en_US" w:bidi="en_US"/>
        </w:rPr>
        <w:t>he replied (NET)</w:t>
      </w:r>
    </w:p>
    <w:p>
      <w:pPr>
        <w:pStyle w:val="Heading5"/>
      </w:pPr>
      <w:r>
        <w:rPr>
          <w:lang w:val="en_US" w:bidi="en_US"/>
        </w:rPr>
        <w:t>2:49b</w:t>
      </w:r>
    </w:p>
    <w:p>
      <w:pPr/>
      <w:r>
        <w:rPr>
          <w:lang w:val="en_US" w:bidi="en_US"/>
        </w:rPr>
      </w:r>
      <w:r>
        <w:rPr>
          <w:b/>
          <w:lang w:val="en_US" w:bidi="en_US"/>
        </w:rPr>
        <w:t>“Did you not know that I had to be in My Father’s house?”</w:t>
      </w:r>
    </w:p>
    <w:p>
      <w:pPr>
        <w:pStyle w:val="ListBullet"/>
        <w:spacing w:line="240" w:lineRule="auto"/>
        <w:ind w:left="720"/>
      </w:pPr>
      <w:r>
        <w:rPr>
          <w:lang w:val="en_US" w:bidi="en_US"/>
        </w:rPr>
      </w:r>
      <w:r>
        <w:rPr>
          <w:lang w:val="en_US" w:bidi="en_US"/>
        </w:rPr>
        <w:t>Didn’t you realize that I had to be in my Father’s house?” (GW)</w:t>
      </w:r>
    </w:p>
    <w:p>
      <w:pPr>
        <w:pStyle w:val="ListBullet"/>
        <w:spacing w:line="240" w:lineRule="auto"/>
        <w:ind w:left="720"/>
      </w:pPr>
      <w:r>
        <w:rPr>
          <w:lang w:val="en_US" w:bidi="en_US"/>
        </w:rPr>
      </w:r>
      <w:r>
        <w:rPr>
          <w:lang w:val="en_US" w:bidi="en_US"/>
        </w:rPr>
        <w:t>I thought</w:t>
      </w:r>
      <w:r>
        <w:rPr>
          <w:lang w:val="en_US" w:bidi="en_US"/>
        </w:rPr>
        <w:t xml:space="preserve"> you</w:t>
      </w:r>
      <w:r>
        <w:rPr>
          <w:vertAlign w:val="superscript"/>
          <w:lang w:val="en_US" w:bidi="en_US"/>
        </w:rPr>
        <w:t>(dual)</w:t>
      </w:r>
      <w:r>
        <w:rPr>
          <w:lang w:val="en_US" w:bidi="en_US"/>
        </w:rPr>
        <w:t xml:space="preserve"> would know that I must be in my Father’s house.”</w:t>
      </w:r>
    </w:p>
    <w:p>
      <w:pPr>
        <w:pStyle w:val="ListBullet"/>
        <w:spacing w:line="240" w:lineRule="auto"/>
        <w:ind w:left="720"/>
      </w:pPr>
      <w:r>
        <w:rPr>
          <w:lang w:val="en_US" w:bidi="en_US"/>
        </w:rPr>
      </w:r>
      <w:r>
        <w:rPr>
          <w:lang w:val="en_US" w:bidi="en_US"/>
        </w:rPr>
        <w:t>He said, “It was necessary for me to be in my Father’s house. I thought that you</w:t>
      </w:r>
      <w:r>
        <w:rPr>
          <w:vertAlign w:val="superscript"/>
          <w:lang w:val="en_US" w:bidi="en_US"/>
        </w:rPr>
        <w:t>(dual)</w:t>
      </w:r>
      <w:r>
        <w:rPr>
          <w:lang w:val="en_US" w:bidi="en_US"/>
        </w:rPr>
        <w:t xml:space="preserve"> would have known that.”</w:t>
      </w:r>
    </w:p>
    <w:p>
      <w:pPr/>
      <w:r>
        <w:rPr>
          <w:lang w:val="en_US" w:bidi="en_US"/>
        </w:rPr>
      </w:r>
      <w:r>
        <w:rPr>
          <w:b/>
          <w:lang w:val="en_US" w:bidi="en_US"/>
        </w:rPr>
        <w:t>Did you not know that I had to be in My Father’s house?:</w:t>
      </w:r>
      <w:r>
        <w:rPr>
          <w:lang w:val="en_US" w:bidi="en_US"/>
        </w:rPr>
        <w:t xml:space="preserve"> </w:t>
      </w:r>
      <w:r>
        <w:rPr>
          <w:lang w:val="en_US" w:bidi="en_US"/>
        </w:rPr>
        <w:t xml:space="preserve">The Greek clause that the BSB translates as “Did you not know I had to be in My Father’s house?” is literally “Didn’t you know that it is necessary for me to be in the (things) of my Father?” The plural Greek article </w:t>
      </w:r>
      <w:r>
        <w:rPr>
          <w:i/>
          <w:lang w:val="en_US" w:bidi="en_US"/>
        </w:rPr>
        <w:t>tois</w:t>
      </w:r>
      <w:r>
        <w:rPr>
          <w:lang w:val="en_US" w:bidi="en_US"/>
        </w:rPr>
        <w:t xml:space="preserve"> can be either masculine or neuter. Most commentators and versions interpret this article to be masculine and thus to mean “the places” of my Father or “the temple.” A few commentators and the KJV interpret this article to be neuter and thus to mean “the affairs” or “the business” of my Father. The Notes follow the majority of commentaries and versions here.</w:t>
      </w:r>
      <w:r>
        <w:rPr>
          <w:lang w:val="en_US" w:bidi="en_US"/>
        </w:rPr>
        <w:t xml:space="preserve"> This is the second rhetorical question that Jesus asked. Jesus may have asked this to show that he was not being disrespectful and to explain his reason for staying behind in Jerusalem. This rhetorical question also implies that Mary and Joseph should have known where he was.</w:t>
      </w:r>
    </w:p>
    <w:p>
      <w:pPr/>
      <w:r>
        <w:rPr>
          <w:lang w:val="en_US" w:bidi="en_US"/>
        </w:rPr>
      </w:r>
      <w:r>
        <w:rPr>
          <w:lang w:val="en_US" w:bidi="en_US"/>
        </w:rPr>
        <w:t>Some ways to translate this include:</w:t>
      </w:r>
    </w:p>
    <w:p>
      <w:pPr>
        <w:pStyle w:val="ListBullet"/>
        <w:spacing w:line="240" w:lineRule="auto"/>
        <w:ind w:left="720"/>
      </w:pPr>
      <w:r>
        <w:rPr>
          <w:lang w:val="en_US" w:bidi="en_US"/>
        </w:rPr>
      </w:r>
      <w:r>
        <w:rPr>
          <w:lang w:val="en_US" w:bidi="en_US"/>
        </w:rPr>
        <w:t>As a rhetorical question. For example:</w:t>
      </w:r>
      <w:r>
        <w:rPr>
          <w:lang w:val="en_US" w:bidi="en_US"/>
        </w:rPr>
        <w:t>Didn’t you know that I must be in my Father’s house? (NCV)</w:t>
      </w:r>
      <w:r>
        <w:rPr>
          <w:lang w:val="en_US" w:bidi="en_US"/>
        </w:rPr>
        <w:t>Didn’t you realize that I had to be in my Father’s house? (GW)</w:t>
      </w:r>
    </w:p>
    <w:p>
      <w:pPr>
        <w:pStyle w:val="ListBullet"/>
        <w:spacing w:line="240" w:lineRule="auto"/>
        <w:ind w:left="720"/>
      </w:pPr>
      <w:r>
        <w:rPr>
          <w:lang w:val="en_US" w:bidi="en_US"/>
        </w:rPr>
      </w:r>
      <w:r>
        <w:rPr>
          <w:lang w:val="en_US" w:bidi="en_US"/>
        </w:rPr>
        <w:t>As a statement. For example:</w:t>
      </w:r>
      <w:r>
        <w:rPr>
          <w:lang w:val="en_US" w:bidi="en_US"/>
        </w:rPr>
        <w:t>I thought you would know that I had to be in my Father’s house.</w:t>
      </w:r>
      <w:r>
        <w:rPr>
          <w:lang w:val="en_US" w:bidi="en_US"/>
        </w:rPr>
        <w:t>You should have known that I would be in my Father’s house. (NLT96)</w:t>
      </w:r>
    </w:p>
    <w:p>
      <w:pPr/>
      <w:r>
        <w:rPr>
          <w:lang w:val="en_US" w:bidi="en_US"/>
        </w:rPr>
      </w:r>
      <w:r>
        <w:rPr>
          <w:lang w:val="en_US" w:bidi="en_US"/>
        </w:rPr>
        <w:t>Use whichever form is most natural in your language.</w:t>
      </w:r>
    </w:p>
    <w:p>
      <w:pPr/>
      <w:r>
        <w:rPr>
          <w:lang w:val="en_US" w:bidi="en_US"/>
        </w:rPr>
      </w:r>
      <w:r>
        <w:rPr>
          <w:b/>
          <w:lang w:val="en_US" w:bidi="en_US"/>
        </w:rPr>
        <w:t>I had to be in My Father’s house:</w:t>
      </w:r>
      <w:r>
        <w:rPr>
          <w:lang w:val="en_US" w:bidi="en_US"/>
        </w:rPr>
        <w:t xml:space="preserve"> The Greek phrase that the BSB translates as </w:t>
      </w:r>
      <w:r>
        <w:rPr>
          <w:i/>
          <w:lang w:val="en_US" w:bidi="en_US"/>
        </w:rPr>
        <w:t>I had to be</w:t>
      </w:r>
      <w:r>
        <w:rPr>
          <w:lang w:val="en_US" w:bidi="en_US"/>
        </w:rPr>
        <w:t xml:space="preserve"> is literally “it is/was necessary for me to be.” Jesus felt that he must be in God’s house, and he thought that his parents should have understood that. Another way to translate this is:</w:t>
      </w:r>
    </w:p>
    <w:p>
      <w:pPr/>
      <w:r>
        <w:rPr>
          <w:lang w:val="en_US" w:bidi="en_US"/>
        </w:rPr>
      </w:r>
      <w:r>
        <w:rPr>
          <w:lang w:val="en_US" w:bidi="en_US"/>
        </w:rPr>
        <w:t>I must be in my Father’s house (RSV)</w:t>
      </w:r>
    </w:p>
    <w:p>
      <w:pPr/>
      <w:r>
        <w:rPr>
          <w:lang w:val="en_US" w:bidi="en_US"/>
        </w:rPr>
      </w:r>
      <w:r>
        <w:rPr>
          <w:b/>
          <w:lang w:val="en_US" w:bidi="en_US"/>
        </w:rPr>
        <w:t>My Father’s house:</w:t>
      </w:r>
      <w:r>
        <w:rPr>
          <w:lang w:val="en_US" w:bidi="en_US"/>
        </w:rPr>
        <w:t xml:space="preserve"> The phrase </w:t>
      </w:r>
      <w:r>
        <w:rPr>
          <w:i/>
          <w:lang w:val="en_US" w:bidi="en_US"/>
        </w:rPr>
        <w:t>My Father’s house</w:t>
      </w:r>
      <w:r>
        <w:rPr>
          <w:lang w:val="en_US" w:bidi="en_US"/>
        </w:rPr>
        <w:t xml:space="preserve"> refers to God’s house, that is, the temple. The Jews referred to the temple as the house of God.</w:t>
      </w:r>
    </w:p>
    <w:p>
      <w:pPr/>
      <w:r>
        <w:rPr>
          <w:lang w:val="en_US" w:bidi="en_US"/>
        </w:rPr>
      </w:r>
      <w:r>
        <w:rPr>
          <w:lang w:val="en_US" w:bidi="en_US"/>
        </w:rPr>
        <w:t>Jesus referred to God as “my father.” If people in your area will understand the phrase “my father” to refer to Joseph, you may have to add a footnote to explain it. You could say, “The words ‘my Father’ refer to God, Jesus’ Father from eternity.”</w:t>
      </w:r>
    </w:p>
    <w:p>
      <w:pPr/>
      <w:r>
        <w:rPr>
          <w:lang w:val="en_US" w:bidi="en_US"/>
        </w:rPr>
      </w:r>
      <w:r>
        <w:rPr>
          <w:lang w:val="en_US" w:bidi="en_US"/>
        </w:rPr>
        <w:t xml:space="preserve">In your text, you should probably not translate the phrase “my Father” using implied information to make it clear. For example, you should not say “my </w:t>
      </w:r>
      <w:r>
        <w:rPr>
          <w:lang w:val="en_US" w:bidi="en_US"/>
        </w:rPr>
        <w:t>eternal/heavenly</w:t>
      </w:r>
      <w:r>
        <w:rPr>
          <w:lang w:val="en_US" w:bidi="en_US"/>
        </w:rPr>
        <w:t xml:space="preserve"> Father.” You should not make the implied information explicit, because Joseph and Mary did not understand what Jesus meant by </w:t>
      </w:r>
      <w:r>
        <w:rPr>
          <w:i/>
          <w:lang w:val="en_US" w:bidi="en_US"/>
        </w:rPr>
        <w:t>My Father</w:t>
      </w:r>
      <w:r>
        <w:rPr>
          <w:lang w:val="en_US" w:bidi="en_US"/>
        </w:rPr>
        <w:t xml:space="preserve"> (2:50).</w:t>
      </w:r>
      <w:r>
        <w:rPr>
          <w:lang w:val="en_US" w:bidi="en_US"/>
        </w:rPr>
      </w:r>
      <w:r>
        <w:rPr>
          <w:lang w:val="en_US" w:bidi="en_US"/>
        </w:rPr>
      </w:r>
    </w:p>
    <w:p>
      <w:pPr/>
      <w:r>
        <w:rPr>
          <w:lang w:val="en_US" w:bidi="en_US"/>
        </w:rPr>
      </w:r>
    </w:p>
    <w:p>
      <w:pPr>
        <w:pStyle w:val="Heading2"/>
      </w:pPr>
      <w:r>
        <w:rPr>
          <w:lang w:val="en_US" w:bidi="en_US"/>
        </w:rPr>
        <w:t>Luke 2:50</w:t>
      </w:r>
      <w:r>
        <w:rPr>
          <w:lang w:val="en_US" w:bidi="en_US"/>
        </w:rPr>
      </w:r>
    </w:p>
    <w:p>
      <w:pPr>
        <w:pStyle w:val="Heading4"/>
      </w:pPr>
      <w:r>
        <w:rPr>
          <w:lang w:val="en_US" w:bidi="en_US"/>
        </w:rPr>
        <w:t>Section 2:41–52: The boy Jesus spoke with the teachers</w:t>
      </w:r>
    </w:p>
    <w:p>
      <w:pPr/>
      <w:r>
        <w:rPr>
          <w:lang w:val="en_US" w:bidi="en_US"/>
        </w:rPr>
      </w:r>
      <w:r>
        <w:rPr>
          <w:lang w:val="en_US" w:bidi="en_US"/>
        </w:rPr>
        <w:t>In this section, Joseph and Mary took Jesus to the Feast of the Passover in Jerusalem. This may have been Jesus’ first time to go there for Passover. While Jesus was in Jerusalem, he went to the Temple and discussed religious matters with Jewish religious leaders.</w:t>
      </w:r>
    </w:p>
    <w:p>
      <w:pPr/>
      <w:r>
        <w:rPr>
          <w:lang w:val="en_US" w:bidi="en_US"/>
        </w:rPr>
      </w:r>
      <w:r>
        <w:rPr>
          <w:lang w:val="en_US" w:bidi="en_US"/>
        </w:rP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numPr>
          <w:ilvl w:val="0"/>
          <w:numId w:val="75"/>
        </w:numPr>
        <w:spacing w:line="240" w:lineRule="auto"/>
        <w:ind w:left="720"/>
      </w:pPr>
      <w:r>
        <w:rPr>
          <w:lang w:val="en_US" w:bidi="en_US"/>
        </w:rPr>
      </w:r>
      <w:r>
        <w:rPr>
          <w:lang w:val="en_US" w:bidi="en_US"/>
        </w:rPr>
        <w:t>Joseph and Mary did not know where Jesus was;</w:t>
      </w:r>
    </w:p>
    <w:p>
      <w:pPr>
        <w:pStyle w:val="ListNumber"/>
        <w:spacing w:line="240" w:lineRule="auto"/>
        <w:ind w:left="720"/>
      </w:pPr>
      <w:r>
        <w:rPr>
          <w:lang w:val="en_US" w:bidi="en_US"/>
        </w:rPr>
      </w:r>
      <w:r>
        <w:rPr>
          <w:lang w:val="en_US" w:bidi="en_US"/>
        </w:rPr>
        <w:t>they did not know exactly what he was telling them when they found him;</w:t>
      </w:r>
    </w:p>
    <w:p>
      <w:pPr>
        <w:pStyle w:val="ListNumber"/>
        <w:spacing w:line="240" w:lineRule="auto"/>
        <w:ind w:left="720"/>
      </w:pPr>
      <w:r>
        <w:rPr>
          <w:lang w:val="en_US" w:bidi="en_US"/>
        </w:rPr>
      </w:r>
      <w:r>
        <w:rPr>
          <w:lang w:val="en_US" w:bidi="en_US"/>
        </w:rPr>
        <w:t>by the age of twelve (or before), Jesus was aware that he was God’s Son.</w:t>
      </w:r>
    </w:p>
    <w:p>
      <w:pPr/>
      <w:r>
        <w:rPr>
          <w:lang w:val="en_US" w:bidi="en_US"/>
        </w:rPr>
      </w:r>
      <w:r>
        <w:rPr>
          <w:lang w:val="en_US" w:bidi="en_US"/>
        </w:rPr>
        <w:t>Some other possible headings for this section are:</w:t>
      </w:r>
    </w:p>
    <w:p>
      <w:pPr/>
      <w:r>
        <w:rPr>
          <w:lang w:val="en_US" w:bidi="en_US"/>
        </w:rPr>
      </w:r>
      <w:r>
        <w:rPr>
          <w:lang w:val="en_US" w:bidi="en_US"/>
        </w:rPr>
        <w:t>Mary and Joseph Find Jesus With the Teachers in the Temple Courtyard (GW)</w:t>
      </w:r>
    </w:p>
    <w:p>
      <w:pPr/>
      <w:r>
        <w:rPr>
          <w:lang w:val="en_US" w:bidi="en_US"/>
        </w:rPr>
      </w:r>
      <w:r>
        <w:rPr>
          <w:lang w:val="en_US" w:bidi="en_US"/>
        </w:rPr>
        <w:t>Jesus when he was twelve years old</w:t>
      </w:r>
    </w:p>
    <w:p>
      <w:pPr>
        <w:pStyle w:val="Heading5"/>
      </w:pPr>
      <w:r>
        <w:rPr>
          <w:lang w:val="en_US" w:bidi="en_US"/>
        </w:rPr>
        <w:t>2:50</w:t>
      </w:r>
    </w:p>
    <w:p>
      <w:pPr/>
      <w:r>
        <w:rPr>
          <w:lang w:val="en_US" w:bidi="en_US"/>
        </w:rPr>
      </w:r>
      <w:r>
        <w:rPr>
          <w:b/>
          <w:lang w:val="en_US" w:bidi="en_US"/>
        </w:rPr>
        <w:t>But they did not understand the statement He was making to them.</w:t>
      </w:r>
    </w:p>
    <w:p>
      <w:pPr>
        <w:pStyle w:val="ListBullet"/>
        <w:spacing w:line="240" w:lineRule="auto"/>
        <w:ind w:left="720"/>
      </w:pPr>
      <w:r>
        <w:rPr>
          <w:lang w:val="en_US" w:bidi="en_US"/>
        </w:rPr>
      </w:r>
      <w:r>
        <w:rPr>
          <w:lang w:val="en_US" w:bidi="en_US"/>
        </w:rPr>
        <w:t>But Mary and Joseph did not understand what Jesus meant when he said this to them.</w:t>
      </w:r>
    </w:p>
    <w:p>
      <w:pPr>
        <w:pStyle w:val="ListBullet"/>
        <w:spacing w:line="240" w:lineRule="auto"/>
        <w:ind w:left="720"/>
      </w:pPr>
      <w:r>
        <w:rPr>
          <w:lang w:val="en_US" w:bidi="en_US"/>
        </w:rPr>
      </w:r>
      <w:r>
        <w:rPr>
          <w:lang w:val="en_US" w:bidi="en_US"/>
        </w:rPr>
        <w:t>But his parents did not comprehend the meaning of what he said to them.</w:t>
      </w:r>
    </w:p>
    <w:p>
      <w:pPr/>
      <w:r>
        <w:rPr>
          <w:lang w:val="en_US" w:bidi="en_US"/>
        </w:rPr>
      </w:r>
      <w:r>
        <w:rPr>
          <w:b/>
          <w:lang w:val="en_US" w:bidi="en_US"/>
        </w:rPr>
        <w:t>But they did not understand the statement He was making to them:</w:t>
      </w:r>
      <w:r>
        <w:rPr>
          <w:lang w:val="en_US" w:bidi="en_US"/>
        </w:rPr>
        <w:t xml:space="preserve"> The pronoun </w:t>
      </w:r>
      <w:r>
        <w:rPr>
          <w:i/>
          <w:lang w:val="en_US" w:bidi="en_US"/>
        </w:rPr>
        <w:t>they</w:t>
      </w:r>
      <w:r>
        <w:rPr>
          <w:lang w:val="en_US" w:bidi="en_US"/>
        </w:rPr>
        <w:t xml:space="preserve"> refers to Joseph and Mary. Joseph and Mary heard what Jesus said (2:49), but they did not understand what he meant.</w:t>
      </w:r>
      <w:r>
        <w:rPr>
          <w:lang w:val="en_US" w:bidi="en_US"/>
        </w:rPr>
      </w:r>
      <w:r>
        <w:rPr>
          <w:lang w:val="en_US" w:bidi="en_US"/>
        </w:rPr>
      </w:r>
    </w:p>
    <w:p>
      <w:pPr/>
      <w:r>
        <w:rPr>
          <w:lang w:val="en_US" w:bidi="en_US"/>
        </w:rPr>
      </w:r>
    </w:p>
    <w:p>
      <w:pPr>
        <w:pStyle w:val="Heading2"/>
      </w:pPr>
      <w:r>
        <w:rPr>
          <w:lang w:val="en_US" w:bidi="en_US"/>
        </w:rPr>
        <w:t>Luke 2:51</w:t>
      </w:r>
      <w:r>
        <w:rPr>
          <w:lang w:val="en_US" w:bidi="en_US"/>
        </w:rPr>
      </w:r>
    </w:p>
    <w:p>
      <w:pPr>
        <w:pStyle w:val="Heading4"/>
      </w:pPr>
      <w:r>
        <w:rPr>
          <w:lang w:val="en_US" w:bidi="en_US"/>
        </w:rPr>
        <w:t>Section 2:41–52: The boy Jesus spoke with the teachers</w:t>
      </w:r>
    </w:p>
    <w:p>
      <w:pPr/>
      <w:r>
        <w:rPr>
          <w:lang w:val="en_US" w:bidi="en_US"/>
        </w:rPr>
      </w:r>
      <w:r>
        <w:rPr>
          <w:lang w:val="en_US" w:bidi="en_US"/>
        </w:rPr>
        <w:t>In this section, Joseph and Mary took Jesus to the Feast of the Passover in Jerusalem. This may have been Jesus’ first time to go there for Passover. While Jesus was in Jerusalem, he went to the Temple and discussed religious matters with Jewish religious leaders.</w:t>
      </w:r>
    </w:p>
    <w:p>
      <w:pPr/>
      <w:r>
        <w:rPr>
          <w:lang w:val="en_US" w:bidi="en_US"/>
        </w:rPr>
      </w:r>
      <w:r>
        <w:rPr>
          <w:lang w:val="en_US" w:bidi="en_US"/>
        </w:rP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numPr>
          <w:ilvl w:val="0"/>
          <w:numId w:val="76"/>
        </w:numPr>
        <w:spacing w:line="240" w:lineRule="auto"/>
        <w:ind w:left="720"/>
      </w:pPr>
      <w:r>
        <w:rPr>
          <w:lang w:val="en_US" w:bidi="en_US"/>
        </w:rPr>
      </w:r>
      <w:r>
        <w:rPr>
          <w:lang w:val="en_US" w:bidi="en_US"/>
        </w:rPr>
        <w:t>Joseph and Mary did not know where Jesus was;</w:t>
      </w:r>
    </w:p>
    <w:p>
      <w:pPr>
        <w:pStyle w:val="ListNumber"/>
        <w:spacing w:line="240" w:lineRule="auto"/>
        <w:ind w:left="720"/>
      </w:pPr>
      <w:r>
        <w:rPr>
          <w:lang w:val="en_US" w:bidi="en_US"/>
        </w:rPr>
      </w:r>
      <w:r>
        <w:rPr>
          <w:lang w:val="en_US" w:bidi="en_US"/>
        </w:rPr>
        <w:t>they did not know exactly what he was telling them when they found him;</w:t>
      </w:r>
    </w:p>
    <w:p>
      <w:pPr>
        <w:pStyle w:val="ListNumber"/>
        <w:spacing w:line="240" w:lineRule="auto"/>
        <w:ind w:left="720"/>
      </w:pPr>
      <w:r>
        <w:rPr>
          <w:lang w:val="en_US" w:bidi="en_US"/>
        </w:rPr>
      </w:r>
      <w:r>
        <w:rPr>
          <w:lang w:val="en_US" w:bidi="en_US"/>
        </w:rPr>
        <w:t>by the age of twelve (or before), Jesus was aware that he was God’s Son.</w:t>
      </w:r>
    </w:p>
    <w:p>
      <w:pPr/>
      <w:r>
        <w:rPr>
          <w:lang w:val="en_US" w:bidi="en_US"/>
        </w:rPr>
      </w:r>
      <w:r>
        <w:rPr>
          <w:lang w:val="en_US" w:bidi="en_US"/>
        </w:rPr>
        <w:t>Some other possible headings for this section are:</w:t>
      </w:r>
    </w:p>
    <w:p>
      <w:pPr/>
      <w:r>
        <w:rPr>
          <w:lang w:val="en_US" w:bidi="en_US"/>
        </w:rPr>
      </w:r>
      <w:r>
        <w:rPr>
          <w:lang w:val="en_US" w:bidi="en_US"/>
        </w:rPr>
        <w:t>Mary and Joseph Find Jesus With the Teachers in the Temple Courtyard (GW)</w:t>
      </w:r>
    </w:p>
    <w:p>
      <w:pPr/>
      <w:r>
        <w:rPr>
          <w:lang w:val="en_US" w:bidi="en_US"/>
        </w:rPr>
      </w:r>
      <w:r>
        <w:rPr>
          <w:lang w:val="en_US" w:bidi="en_US"/>
        </w:rPr>
        <w:t>Jesus when he was twelve years old</w:t>
      </w:r>
    </w:p>
    <w:p>
      <w:pPr>
        <w:pStyle w:val="Heading5"/>
      </w:pPr>
      <w:r>
        <w:rPr>
          <w:lang w:val="en_US" w:bidi="en_US"/>
        </w:rPr>
        <w:t>2:51a</w:t>
      </w:r>
    </w:p>
    <w:p>
      <w:pPr/>
      <w:r>
        <w:rPr>
          <w:lang w:val="en_US" w:bidi="en_US"/>
        </w:rPr>
      </w:r>
      <w:r>
        <w:rPr>
          <w:b/>
          <w:lang w:val="en_US" w:bidi="en_US"/>
        </w:rPr>
        <w:t>Then He went down to Nazareth with them</w:t>
      </w:r>
    </w:p>
    <w:p>
      <w:pPr>
        <w:pStyle w:val="ListBullet"/>
        <w:spacing w:line="240" w:lineRule="auto"/>
        <w:ind w:left="720"/>
      </w:pPr>
      <w:r>
        <w:rPr>
          <w:lang w:val="en_US" w:bidi="en_US"/>
        </w:rPr>
      </w:r>
      <w:r>
        <w:rPr>
          <w:lang w:val="en_US" w:bidi="en_US"/>
        </w:rPr>
        <w:t xml:space="preserve">¶ After that, Jesus went back to </w:t>
      </w:r>
      <w:r>
        <w:rPr>
          <w:lang w:val="en_US" w:bidi="en_US"/>
        </w:rPr>
        <w:t>the town of</w:t>
      </w:r>
      <w:r>
        <w:rPr>
          <w:lang w:val="en_US" w:bidi="en_US"/>
        </w:rPr>
        <w:t xml:space="preserve"> Nazareth with Mary and Joseph,</w:t>
      </w:r>
    </w:p>
    <w:p>
      <w:pPr/>
      <w:r>
        <w:rPr>
          <w:lang w:val="en_US" w:bidi="en_US"/>
        </w:rPr>
      </w:r>
      <w:r>
        <w:rPr>
          <w:b/>
          <w:lang w:val="en_US" w:bidi="en_US"/>
        </w:rPr>
        <w:t>Then He went down to Nazareth with them:</w:t>
      </w:r>
      <w:r>
        <w:rPr>
          <w:lang w:val="en_US" w:bidi="en_US"/>
        </w:rPr>
        <w:t xml:space="preserve"> The town of Nazareth was lower in the hills than Jerusalem. So anyone traveling from Jerusalem to Nazareth had to walk </w:t>
      </w:r>
      <w:r>
        <w:rPr>
          <w:i/>
          <w:lang w:val="en_US" w:bidi="en_US"/>
        </w:rPr>
        <w:t>down</w:t>
      </w:r>
      <w:r>
        <w:rPr>
          <w:lang w:val="en_US" w:bidi="en_US"/>
        </w:rPr>
        <w:t xml:space="preserve"> the hill to a place that was lower in elevation.</w:t>
      </w:r>
    </w:p>
    <w:p>
      <w:pPr/>
      <w:r>
        <w:rPr>
          <w:lang w:val="en_US" w:bidi="en_US"/>
        </w:rPr>
      </w:r>
      <w:r>
        <w:rPr>
          <w:lang w:val="en_US" w:bidi="en_US"/>
        </w:rPr>
        <w:t>In some languages, it is important to say whether people go up or down when they travel. In other languages, this will be unusual or may be confusing. If it is confusing in your language, you may use a more general word or phrase. For example:</w:t>
      </w:r>
    </w:p>
    <w:p>
      <w:pPr/>
      <w:r>
        <w:rPr>
          <w:lang w:val="en_US" w:bidi="en_US"/>
        </w:rPr>
      </w:r>
      <w:r>
        <w:rPr>
          <w:lang w:val="en_US" w:bidi="en_US"/>
        </w:rPr>
        <w:t>Jesus went with them to Nazareth (NCV)</w:t>
      </w:r>
    </w:p>
    <w:p>
      <w:pPr/>
      <w:r>
        <w:rPr>
          <w:lang w:val="en_US" w:bidi="en_US"/>
        </w:rPr>
      </w:r>
      <w:r>
        <w:rPr>
          <w:lang w:val="en_US" w:bidi="en_US"/>
        </w:rPr>
        <w:t>Then he returned to Nazareth with them (NLT)</w:t>
      </w:r>
    </w:p>
    <w:p>
      <w:pPr>
        <w:pStyle w:val="Heading5"/>
      </w:pPr>
      <w:r>
        <w:rPr>
          <w:lang w:val="en_US" w:bidi="en_US"/>
        </w:rPr>
        <w:t>2:51b</w:t>
      </w:r>
    </w:p>
    <w:p>
      <w:pPr/>
      <w:r>
        <w:rPr>
          <w:lang w:val="en_US" w:bidi="en_US"/>
        </w:rPr>
      </w:r>
      <w:r>
        <w:rPr>
          <w:b/>
          <w:lang w:val="en_US" w:bidi="en_US"/>
        </w:rPr>
        <w:t>and was obedient to them.</w:t>
      </w:r>
    </w:p>
    <w:p>
      <w:pPr>
        <w:pStyle w:val="ListBullet"/>
        <w:spacing w:line="240" w:lineRule="auto"/>
        <w:ind w:left="720"/>
      </w:pPr>
      <w:r>
        <w:rPr>
          <w:lang w:val="en_US" w:bidi="en_US"/>
        </w:rPr>
      </w:r>
      <w:r>
        <w:rPr>
          <w:lang w:val="en_US" w:bidi="en_US"/>
        </w:rPr>
        <w:t>and he obeyed them.</w:t>
      </w:r>
      <w:r>
        <w:rPr>
          <w:vertAlign w:val="superscript"/>
          <w:lang w:val="en_US" w:bidi="en_US"/>
        </w:rPr>
        <w:t>(dual)</w:t>
      </w:r>
    </w:p>
    <w:p>
      <w:pPr>
        <w:pStyle w:val="ListBullet"/>
        <w:spacing w:line="240" w:lineRule="auto"/>
        <w:ind w:left="720"/>
      </w:pPr>
      <w:r>
        <w:rPr>
          <w:lang w:val="en_US" w:bidi="en_US"/>
        </w:rPr>
      </w:r>
      <w:r>
        <w:rPr>
          <w:lang w:val="en_US" w:bidi="en_US"/>
        </w:rPr>
        <w:t>and he did the things that they</w:t>
      </w:r>
      <w:r>
        <w:rPr>
          <w:vertAlign w:val="superscript"/>
          <w:lang w:val="en_US" w:bidi="en_US"/>
        </w:rPr>
        <w:t>(dual)</w:t>
      </w:r>
      <w:r>
        <w:rPr>
          <w:lang w:val="en_US" w:bidi="en_US"/>
        </w:rPr>
        <w:t xml:space="preserve"> told him to do.</w:t>
      </w:r>
    </w:p>
    <w:p>
      <w:pPr/>
      <w:r>
        <w:rPr>
          <w:lang w:val="en_US" w:bidi="en_US"/>
        </w:rPr>
      </w:r>
      <w:r>
        <w:rPr>
          <w:b/>
          <w:lang w:val="en_US" w:bidi="en_US"/>
        </w:rPr>
        <w:t>and was obedient to them:</w:t>
      </w:r>
      <w:r>
        <w:rPr>
          <w:lang w:val="en_US" w:bidi="en_US"/>
        </w:rPr>
        <w:t xml:space="preserve"> The clause </w:t>
      </w:r>
      <w:r>
        <w:rPr>
          <w:i/>
          <w:lang w:val="en_US" w:bidi="en_US"/>
        </w:rPr>
        <w:t>was obedient to them</w:t>
      </w:r>
      <w:r>
        <w:rPr>
          <w:lang w:val="en_US" w:bidi="en_US"/>
        </w:rPr>
        <w:t xml:space="preserve"> means that Jesus obeyed his parents. It does not imply that he did not obey them before. If this is not clear, you could say:</w:t>
      </w:r>
    </w:p>
    <w:p>
      <w:pPr/>
      <w:r>
        <w:rPr>
          <w:lang w:val="en_US" w:bidi="en_US"/>
        </w:rPr>
      </w:r>
      <w:r>
        <w:rPr>
          <w:lang w:val="en_US" w:bidi="en_US"/>
        </w:rPr>
        <w:t>he continued to obey them</w:t>
      </w:r>
    </w:p>
    <w:p>
      <w:pPr/>
      <w:r>
        <w:rPr>
          <w:lang w:val="en_US" w:bidi="en_US"/>
        </w:rPr>
      </w:r>
      <w:r>
        <w:rPr>
          <w:lang w:val="en_US" w:bidi="en_US"/>
        </w:rPr>
        <w:t>In this verse part, Luke made it clear that Jesus obeyed his parents as he grew to be a mature man.</w:t>
      </w:r>
    </w:p>
    <w:p>
      <w:pPr>
        <w:pStyle w:val="Heading5"/>
      </w:pPr>
      <w:r>
        <w:rPr>
          <w:lang w:val="en_US" w:bidi="en_US"/>
        </w:rPr>
        <w:t>2:51c</w:t>
      </w:r>
    </w:p>
    <w:p>
      <w:pPr/>
      <w:r>
        <w:rPr>
          <w:lang w:val="en_US" w:bidi="en_US"/>
        </w:rPr>
      </w:r>
      <w:r>
        <w:rPr>
          <w:b/>
          <w:lang w:val="en_US" w:bidi="en_US"/>
        </w:rPr>
        <w:t>But His mother treasured up all these things in her heart.</w:t>
      </w:r>
    </w:p>
    <w:p>
      <w:pPr>
        <w:pStyle w:val="ListBullet"/>
        <w:spacing w:line="240" w:lineRule="auto"/>
        <w:ind w:left="720"/>
      </w:pPr>
      <w:r>
        <w:rPr>
          <w:lang w:val="en_US" w:bidi="en_US"/>
        </w:rPr>
      </w:r>
      <w:r>
        <w:rPr>
          <w:lang w:val="en_US" w:bidi="en_US"/>
        </w:rPr>
        <w:t>His mother kept all these things in her heart/mind.</w:t>
      </w:r>
    </w:p>
    <w:p>
      <w:pPr>
        <w:pStyle w:val="ListBullet"/>
        <w:spacing w:line="240" w:lineRule="auto"/>
        <w:ind w:left="720"/>
      </w:pPr>
      <w:r>
        <w:rPr>
          <w:lang w:val="en_US" w:bidi="en_US"/>
        </w:rPr>
      </w:r>
      <w:r>
        <w:rPr>
          <w:lang w:val="en_US" w:bidi="en_US"/>
        </w:rPr>
        <w:t>His mother continued to remember all these things.</w:t>
      </w:r>
    </w:p>
    <w:p>
      <w:pPr>
        <w:pStyle w:val="ListBullet"/>
        <w:spacing w:line="240" w:lineRule="auto"/>
        <w:ind w:left="720"/>
      </w:pPr>
      <w:r>
        <w:rPr>
          <w:lang w:val="en_US" w:bidi="en_US"/>
        </w:rPr>
      </w:r>
      <w:r>
        <w:rPr>
          <w:lang w:val="en_US" w:bidi="en_US"/>
        </w:rPr>
        <w:t>Mary did not forget about all these events.</w:t>
      </w:r>
    </w:p>
    <w:p>
      <w:pPr/>
      <w:r>
        <w:rPr>
          <w:lang w:val="en_US" w:bidi="en_US"/>
        </w:rPr>
      </w:r>
      <w:r>
        <w:rPr>
          <w:b/>
          <w:lang w:val="en_US" w:bidi="en_US"/>
        </w:rPr>
        <w:t>But:</w:t>
      </w:r>
      <w:r>
        <w:rPr>
          <w:lang w:val="en_US" w:bidi="en_US"/>
        </w:rPr>
        <w:t xml:space="preserve"> The Greek word that the BSB here translates as </w:t>
      </w:r>
      <w:r>
        <w:rPr>
          <w:i/>
          <w:lang w:val="en_US" w:bidi="en_US"/>
        </w:rPr>
        <w:t>But</w:t>
      </w:r>
      <w:r>
        <w:rPr>
          <w:lang w:val="en_US" w:bidi="en_US"/>
        </w:rPr>
        <w:t xml:space="preserve"> is often translated as “and.” There is no strong contrast between 2:51c and 2:51b. This word simply indicates that the story continues. So here some versions translate this word as “and.” For example:</w:t>
      </w:r>
    </w:p>
    <w:p>
      <w:pPr/>
      <w:r>
        <w:rPr>
          <w:lang w:val="en_US" w:bidi="en_US"/>
        </w:rPr>
      </w:r>
      <w:r>
        <w:rPr>
          <w:lang w:val="en_US" w:bidi="en_US"/>
        </w:rPr>
        <w:t>and his mother kept all these things in her heart (RSV)</w:t>
      </w:r>
    </w:p>
    <w:p>
      <w:pPr/>
      <w:r>
        <w:rPr>
          <w:lang w:val="en_US" w:bidi="en_US"/>
        </w:rPr>
      </w:r>
      <w:r>
        <w:rPr>
          <w:lang w:val="en_US" w:bidi="en_US"/>
        </w:rPr>
        <w:t>Other versions start a new sentence here and leave this word untranslated. For example:</w:t>
      </w:r>
    </w:p>
    <w:p>
      <w:pPr/>
      <w:r>
        <w:rPr>
          <w:lang w:val="en_US" w:bidi="en_US"/>
        </w:rPr>
      </w:r>
      <w:r>
        <w:rPr>
          <w:lang w:val="en_US" w:bidi="en_US"/>
        </w:rPr>
        <w:t>His mother treasured all these things in her heart. (GNT)</w:t>
      </w:r>
    </w:p>
    <w:p>
      <w:pPr/>
      <w:r>
        <w:rPr>
          <w:lang w:val="en_US" w:bidi="en_US"/>
        </w:rPr>
      </w:r>
      <w:r>
        <w:rPr>
          <w:lang w:val="en_US" w:bidi="en_US"/>
        </w:rPr>
        <w:t>You should connect 2:51c to 2:51b in a way that is natural in your language.</w:t>
      </w:r>
    </w:p>
    <w:p>
      <w:pPr/>
      <w:r>
        <w:rPr>
          <w:lang w:val="en_US" w:bidi="en_US"/>
        </w:rPr>
      </w:r>
      <w:r>
        <w:rPr>
          <w:b/>
          <w:lang w:val="en_US" w:bidi="en_US"/>
        </w:rPr>
        <w:t>His mother treasured up all these things in her heart:</w:t>
      </w:r>
      <w:r>
        <w:rPr>
          <w:lang w:val="en_US" w:bidi="en_US"/>
        </w:rPr>
        <w:t xml:space="preserve"> The Greek word that the BSB translates as </w:t>
      </w:r>
      <w:r>
        <w:rPr>
          <w:i/>
          <w:lang w:val="en_US" w:bidi="en_US"/>
        </w:rPr>
        <w:t>treasured</w:t>
      </w:r>
      <w:r>
        <w:rPr>
          <w:lang w:val="en_US" w:bidi="en_US"/>
        </w:rPr>
        <w:t xml:space="preserve"> means “kept” (as in the RSV). Mary kept all these things in her heart. This means that she remembered them. She did not allow herself to forget these things.</w:t>
      </w:r>
    </w:p>
    <w:p>
      <w:pPr/>
      <w:r>
        <w:rPr>
          <w:lang w:val="en_US" w:bidi="en_US"/>
        </w:rPr>
      </w:r>
      <w:r>
        <w:rPr>
          <w:lang w:val="en_US" w:bidi="en_US"/>
        </w:rPr>
        <w:t>This word has a meaning that is similar to a different word in 2:19 that the BSB translates as “treasured up.”</w:t>
      </w:r>
    </w:p>
    <w:p>
      <w:pPr/>
      <w:r>
        <w:rPr>
          <w:lang w:val="en_US" w:bidi="en_US"/>
        </w:rPr>
      </w:r>
      <w:r>
        <w:rPr>
          <w:lang w:val="en_US" w:bidi="en_US"/>
        </w:rPr>
        <w:t>Other ways to translate this are:</w:t>
      </w:r>
    </w:p>
    <w:p>
      <w:pPr/>
      <w:r>
        <w:rPr>
          <w:lang w:val="en_US" w:bidi="en_US"/>
        </w:rPr>
      </w:r>
      <w:r>
        <w:rPr>
          <w:lang w:val="en_US" w:bidi="en_US"/>
        </w:rPr>
        <w:t>kept all these things in mind and pondered them</w:t>
      </w:r>
    </w:p>
    <w:p>
      <w:pPr/>
      <w:r>
        <w:rPr>
          <w:lang w:val="en_US" w:bidi="en_US"/>
        </w:rPr>
      </w:r>
      <w:r>
        <w:rPr>
          <w:lang w:val="en_US" w:bidi="en_US"/>
        </w:rPr>
        <w:t>remembered all these things and thought about them often</w:t>
      </w:r>
    </w:p>
    <w:p>
      <w:pPr/>
      <w:r>
        <w:rPr>
          <w:lang w:val="en_US" w:bidi="en_US"/>
        </w:rPr>
      </w:r>
      <w:r>
        <w:rPr>
          <w:lang w:val="en_US" w:bidi="en_US"/>
        </w:rPr>
        <w:t>kept thinking about all these things</w:t>
      </w:r>
    </w:p>
    <w:p>
      <w:pPr/>
      <w:r>
        <w:rPr>
          <w:lang w:val="en_US" w:bidi="en_US"/>
        </w:rPr>
      </w:r>
      <w:r>
        <w:rPr>
          <w:b/>
          <w:lang w:val="en_US" w:bidi="en_US"/>
        </w:rPr>
        <w:t>His mother:</w:t>
      </w:r>
      <w:r>
        <w:rPr>
          <w:lang w:val="en_US" w:bidi="en_US"/>
        </w:rPr>
        <w:t xml:space="preserve"> The phrase </w:t>
      </w:r>
      <w:r>
        <w:rPr>
          <w:i/>
          <w:lang w:val="en_US" w:bidi="en_US"/>
        </w:rPr>
        <w:t>His mother</w:t>
      </w:r>
      <w:r>
        <w:rPr>
          <w:lang w:val="en_US" w:bidi="en_US"/>
        </w:rPr>
        <w:t xml:space="preserve"> refers to Jesus’ mother Mary.</w:t>
      </w:r>
    </w:p>
    <w:p>
      <w:pPr/>
      <w:r>
        <w:rPr>
          <w:lang w:val="en_US" w:bidi="en_US"/>
        </w:rPr>
      </w:r>
      <w:r>
        <w:rPr>
          <w:b/>
          <w:lang w:val="en_US" w:bidi="en_US"/>
        </w:rPr>
        <w:t>all these things:</w:t>
      </w:r>
      <w:r>
        <w:rPr>
          <w:lang w:val="en_US" w:bidi="en_US"/>
        </w:rPr>
        <w:t xml:space="preserve"> The phrase </w:t>
      </w:r>
      <w:r>
        <w:rPr>
          <w:i/>
          <w:lang w:val="en_US" w:bidi="en_US"/>
        </w:rPr>
        <w:t>all these things</w:t>
      </w:r>
      <w:r>
        <w:rPr>
          <w:lang w:val="en_US" w:bidi="en_US"/>
        </w:rPr>
        <w:t xml:space="preserve"> refers to all the events that happened in 2:41–50. It may also refer to events that had happened in the earlier part of Jesus’ life.</w:t>
      </w:r>
    </w:p>
    <w:p>
      <w:pPr/>
      <w:r>
        <w:rPr>
          <w:lang w:val="en_US" w:bidi="en_US"/>
        </w:rPr>
      </w:r>
      <w:r>
        <w:rPr>
          <w:b/>
          <w:lang w:val="en_US" w:bidi="en_US"/>
        </w:rPr>
        <w:t>in her heart:</w:t>
      </w:r>
      <w:r>
        <w:rPr>
          <w:lang w:val="en_US" w:bidi="en_US"/>
        </w:rPr>
        <w:t xml:space="preserve"> The word </w:t>
      </w:r>
      <w:r>
        <w:rPr>
          <w:i/>
          <w:lang w:val="en_US" w:bidi="en_US"/>
        </w:rPr>
        <w:t>heart</w:t>
      </w:r>
      <w:r>
        <w:rPr>
          <w:lang w:val="en_US" w:bidi="en_US"/>
        </w:rPr>
        <w:t xml:space="preserve"> is figurative here. The Jews often spoke of the heart as the part of a person in which thoughts and feelings occur. In some languages, it may not be natural to use an expression like “in the heart.” If that is true in your language, here are other ways to translate this part of the verse:</w:t>
      </w:r>
    </w:p>
    <w:p>
      <w:pPr>
        <w:pStyle w:val="ListBullet"/>
        <w:spacing w:line="240" w:lineRule="auto"/>
        <w:ind w:left="720"/>
      </w:pPr>
      <w:r>
        <w:rPr>
          <w:lang w:val="en_US" w:bidi="en_US"/>
        </w:rPr>
      </w:r>
      <w:r>
        <w:rPr>
          <w:lang w:val="en_US" w:bidi="en_US"/>
        </w:rPr>
        <w:t>Use a specific expression that people in your culture use to refer to the part of a person in which thoughts and feelings occur. For example:</w:t>
      </w:r>
      <w:r>
        <w:rPr>
          <w:lang w:val="en_US" w:bidi="en_US"/>
        </w:rPr>
        <w:t xml:space="preserve">Mary treasured all these things and turned them over in her </w:t>
      </w:r>
      <w:r>
        <w:rPr>
          <w:u w:val="single"/>
          <w:lang w:val="en_US" w:bidi="en_US"/>
        </w:rPr>
        <w:t>mind</w:t>
      </w:r>
      <w:r>
        <w:rPr>
          <w:lang w:val="en_US" w:bidi="en_US"/>
        </w:rPr>
        <w:t>.</w:t>
      </w:r>
    </w:p>
    <w:p>
      <w:pPr>
        <w:pStyle w:val="ListBullet"/>
        <w:spacing w:line="240" w:lineRule="auto"/>
        <w:ind w:left="720"/>
      </w:pPr>
      <w:r>
        <w:rPr>
          <w:lang w:val="en_US" w:bidi="en_US"/>
        </w:rPr>
      </w:r>
      <w:r>
        <w:rPr>
          <w:lang w:val="en_US" w:bidi="en_US"/>
        </w:rPr>
        <w:t>Use a general expression without mentioning a specific part of a person. For example:</w:t>
      </w:r>
      <w:r>
        <w:rPr>
          <w:lang w:val="en_US" w:bidi="en_US"/>
        </w:rPr>
        <w:t>Mary treasured these things and continued to think about them.</w:t>
      </w:r>
      <w:r>
        <w:rPr>
          <w:lang w:val="en_US" w:bidi="en_US"/>
        </w:rPr>
        <w:t>His mother kept on thinking about all that had happened. (CEV)</w:t>
      </w:r>
    </w:p>
    <w:p>
      <w:pPr/>
      <w:r>
        <w:rPr>
          <w:lang w:val="en_US" w:bidi="en_US"/>
        </w:rPr>
      </w:r>
      <w:r>
        <w:rPr>
          <w:lang w:val="en_US" w:bidi="en_US"/>
        </w:rPr>
        <w:t>This same phrase occurs in 2:19.</w:t>
      </w:r>
      <w:r>
        <w:rPr>
          <w:lang w:val="en_US" w:bidi="en_US"/>
        </w:rPr>
      </w:r>
      <w:r>
        <w:rPr>
          <w:lang w:val="en_US" w:bidi="en_US"/>
        </w:rPr>
      </w:r>
    </w:p>
    <w:p>
      <w:pPr/>
      <w:r>
        <w:rPr>
          <w:lang w:val="en_US" w:bidi="en_US"/>
        </w:rPr>
      </w:r>
    </w:p>
    <w:p>
      <w:pPr>
        <w:pStyle w:val="Heading2"/>
      </w:pPr>
      <w:r>
        <w:rPr>
          <w:lang w:val="en_US" w:bidi="en_US"/>
        </w:rPr>
        <w:t>Luke 2:52</w:t>
      </w:r>
      <w:r>
        <w:rPr>
          <w:lang w:val="en_US" w:bidi="en_US"/>
        </w:rPr>
      </w:r>
    </w:p>
    <w:p>
      <w:pPr>
        <w:pStyle w:val="Heading4"/>
      </w:pPr>
      <w:r>
        <w:rPr>
          <w:lang w:val="en_US" w:bidi="en_US"/>
        </w:rPr>
        <w:t>Section 2:41–52: The boy Jesus spoke with the teachers</w:t>
      </w:r>
    </w:p>
    <w:p>
      <w:pPr/>
      <w:r>
        <w:rPr>
          <w:lang w:val="en_US" w:bidi="en_US"/>
        </w:rPr>
      </w:r>
      <w:r>
        <w:rPr>
          <w:lang w:val="en_US" w:bidi="en_US"/>
        </w:rPr>
        <w:t>In this section, Joseph and Mary took Jesus to the Feast of the Passover in Jerusalem. This may have been Jesus’ first time to go there for Passover. While Jesus was in Jerusalem, he went to the Temple and discussed religious matters with Jewish religious leaders.</w:t>
      </w:r>
    </w:p>
    <w:p>
      <w:pPr/>
      <w:r>
        <w:rPr>
          <w:lang w:val="en_US" w:bidi="en_US"/>
        </w:rPr>
      </w:r>
      <w:r>
        <w:rPr>
          <w:lang w:val="en_US" w:bidi="en_US"/>
        </w:rPr>
        <w:t>When Joseph and Mary left Jerusalem to return to Nazareth, they traveled with a group of people. They did not realize that Jesus had stayed in Jerusalem and was not traveling with them. This may have happened because of the way Jews normally walked in smaller groups when they traveled together. The women and small children walked ahead since they traveled more slowly. A boy normally traveled with his mother. But when he became a man, perhaps as early as twelve years old, he traveled with his father. So, as they returned from Jerusalem, Mary probably thought that Jesus was with Joseph, and Joseph may have thought that he was with Mary. Joseph and Mary traveled for a whole day before they realized that Jesus was not with them. The events in this section show three things:</w:t>
      </w:r>
    </w:p>
    <w:p>
      <w:pPr>
        <w:pStyle w:val="ListNumber"/>
        <w:numPr>
          <w:ilvl w:val="0"/>
          <w:numId w:val="77"/>
        </w:numPr>
        <w:spacing w:line="240" w:lineRule="auto"/>
        <w:ind w:left="720"/>
      </w:pPr>
      <w:r>
        <w:rPr>
          <w:lang w:val="en_US" w:bidi="en_US"/>
        </w:rPr>
      </w:r>
      <w:r>
        <w:rPr>
          <w:lang w:val="en_US" w:bidi="en_US"/>
        </w:rPr>
        <w:t>Joseph and Mary did not know where Jesus was;</w:t>
      </w:r>
    </w:p>
    <w:p>
      <w:pPr>
        <w:pStyle w:val="ListNumber"/>
        <w:spacing w:line="240" w:lineRule="auto"/>
        <w:ind w:left="720"/>
      </w:pPr>
      <w:r>
        <w:rPr>
          <w:lang w:val="en_US" w:bidi="en_US"/>
        </w:rPr>
      </w:r>
      <w:r>
        <w:rPr>
          <w:lang w:val="en_US" w:bidi="en_US"/>
        </w:rPr>
        <w:t>they did not know exactly what he was telling them when they found him;</w:t>
      </w:r>
    </w:p>
    <w:p>
      <w:pPr>
        <w:pStyle w:val="ListNumber"/>
        <w:spacing w:line="240" w:lineRule="auto"/>
        <w:ind w:left="720"/>
      </w:pPr>
      <w:r>
        <w:rPr>
          <w:lang w:val="en_US" w:bidi="en_US"/>
        </w:rPr>
      </w:r>
      <w:r>
        <w:rPr>
          <w:lang w:val="en_US" w:bidi="en_US"/>
        </w:rPr>
        <w:t>by the age of twelve (or before), Jesus was aware that he was God’s Son.</w:t>
      </w:r>
    </w:p>
    <w:p>
      <w:pPr/>
      <w:r>
        <w:rPr>
          <w:lang w:val="en_US" w:bidi="en_US"/>
        </w:rPr>
      </w:r>
      <w:r>
        <w:rPr>
          <w:lang w:val="en_US" w:bidi="en_US"/>
        </w:rPr>
        <w:t>Some other possible headings for this section are:</w:t>
      </w:r>
    </w:p>
    <w:p>
      <w:pPr/>
      <w:r>
        <w:rPr>
          <w:lang w:val="en_US" w:bidi="en_US"/>
        </w:rPr>
      </w:r>
      <w:r>
        <w:rPr>
          <w:lang w:val="en_US" w:bidi="en_US"/>
        </w:rPr>
        <w:t>Mary and Joseph Find Jesus With the Teachers in the Temple Courtyard (GW)</w:t>
      </w:r>
    </w:p>
    <w:p>
      <w:pPr/>
      <w:r>
        <w:rPr>
          <w:lang w:val="en_US" w:bidi="en_US"/>
        </w:rPr>
      </w:r>
      <w:r>
        <w:rPr>
          <w:lang w:val="en_US" w:bidi="en_US"/>
        </w:rPr>
        <w:t>Jesus when he was twelve years old</w:t>
      </w:r>
    </w:p>
    <w:p>
      <w:pPr>
        <w:pStyle w:val="Heading5"/>
      </w:pPr>
      <w:r>
        <w:rPr>
          <w:lang w:val="en_US" w:bidi="en_US"/>
        </w:rPr>
        <w:t>2:52a</w:t>
      </w:r>
    </w:p>
    <w:p>
      <w:pPr/>
      <w:r>
        <w:rPr>
          <w:lang w:val="en_US" w:bidi="en_US"/>
        </w:rPr>
      </w:r>
      <w:r>
        <w:rPr>
          <w:b/>
          <w:lang w:val="en_US" w:bidi="en_US"/>
        </w:rPr>
        <w:t>And Jesus grew in wisdom and stature,</w:t>
      </w:r>
    </w:p>
    <w:p>
      <w:pPr>
        <w:pStyle w:val="ListBullet"/>
        <w:spacing w:line="240" w:lineRule="auto"/>
        <w:ind w:left="720"/>
      </w:pPr>
      <w:r>
        <w:rPr>
          <w:lang w:val="en_US" w:bidi="en_US"/>
        </w:rPr>
      </w:r>
      <w:r>
        <w:rPr>
          <w:lang w:val="en_US" w:bidi="en_US"/>
        </w:rPr>
        <w:t>And Jesus grew in body and in wise/correct thinking.</w:t>
      </w:r>
    </w:p>
    <w:p>
      <w:pPr>
        <w:pStyle w:val="ListBullet"/>
        <w:spacing w:line="240" w:lineRule="auto"/>
        <w:ind w:left="720"/>
      </w:pPr>
      <w:r>
        <w:rPr>
          <w:lang w:val="en_US" w:bidi="en_US"/>
        </w:rPr>
      </w:r>
      <w:r>
        <w:rPr>
          <w:lang w:val="en_US" w:bidi="en_US"/>
        </w:rPr>
        <w:t>Jesus became wiser and grew physically. (NCV)</w:t>
      </w:r>
    </w:p>
    <w:p>
      <w:pPr/>
      <w:r>
        <w:rPr>
          <w:lang w:val="en_US" w:bidi="en_US"/>
        </w:rPr>
      </w:r>
      <w:r>
        <w:rPr>
          <w:b/>
          <w:lang w:val="en_US" w:bidi="en_US"/>
        </w:rPr>
        <w:t>Jesus grew in wisdom and stature:</w:t>
      </w:r>
      <w:r>
        <w:rPr>
          <w:lang w:val="en_US" w:bidi="en_US"/>
        </w:rPr>
        <w:t xml:space="preserve"> In some languages it may be more natural to change the order of </w:t>
      </w:r>
      <w:r>
        <w:rPr>
          <w:i/>
          <w:lang w:val="en_US" w:bidi="en_US"/>
        </w:rPr>
        <w:t>wisdom</w:t>
      </w:r>
      <w:r>
        <w:rPr>
          <w:lang w:val="en_US" w:bidi="en_US"/>
        </w:rPr>
        <w:t xml:space="preserve"> and </w:t>
      </w:r>
      <w:r>
        <w:rPr>
          <w:i/>
          <w:lang w:val="en_US" w:bidi="en_US"/>
        </w:rPr>
        <w:t>stature</w:t>
      </w:r>
      <w:r>
        <w:rPr>
          <w:lang w:val="en_US" w:bidi="en_US"/>
        </w:rPr>
        <w:t xml:space="preserve"> here. For example:</w:t>
      </w:r>
    </w:p>
    <w:p>
      <w:pPr/>
      <w:r>
        <w:rPr>
          <w:lang w:val="en_US" w:bidi="en_US"/>
        </w:rPr>
      </w:r>
      <w:r>
        <w:rPr>
          <w:lang w:val="en_US" w:bidi="en_US"/>
        </w:rPr>
        <w:t>Jesus grew both in body and in wisdom (GNT)</w:t>
      </w:r>
    </w:p>
    <w:p>
      <w:pPr/>
      <w:r>
        <w:rPr>
          <w:lang w:val="en_US" w:bidi="en_US"/>
        </w:rPr>
      </w:r>
      <w:r>
        <w:rPr>
          <w:b/>
          <w:lang w:val="en_US" w:bidi="en_US"/>
        </w:rPr>
        <w:t>grew:</w:t>
      </w:r>
      <w:r>
        <w:rPr>
          <w:lang w:val="en_US" w:bidi="en_US"/>
        </w:rPr>
        <w:t xml:space="preserve"> The Greek word that the BSB translates as </w:t>
      </w:r>
      <w:r>
        <w:rPr>
          <w:i/>
          <w:lang w:val="en_US" w:bidi="en_US"/>
        </w:rPr>
        <w:t>grew</w:t>
      </w:r>
      <w:r>
        <w:rPr>
          <w:lang w:val="en_US" w:bidi="en_US"/>
        </w:rPr>
        <w:t xml:space="preserve"> is literally “increased.” In this context, Jesus increased in wisdom and size. This indicates that Jesus grew and developed. He was becoming mature.</w:t>
      </w:r>
    </w:p>
    <w:p>
      <w:pPr/>
      <w:r>
        <w:rPr>
          <w:lang w:val="en_US" w:bidi="en_US"/>
        </w:rPr>
      </w:r>
      <w:r>
        <w:rPr>
          <w:b/>
          <w:lang w:val="en_US" w:bidi="en_US"/>
        </w:rPr>
        <w:t>wisdom:</w:t>
      </w:r>
      <w:r>
        <w:rPr>
          <w:lang w:val="en_US" w:bidi="en_US"/>
        </w:rPr>
        <w:t xml:space="preserve"> The word </w:t>
      </w:r>
      <w:r>
        <w:rPr>
          <w:i/>
          <w:lang w:val="en_US" w:bidi="en_US"/>
        </w:rPr>
        <w:t>wisdom</w:t>
      </w:r>
      <w:r>
        <w:rPr>
          <w:lang w:val="en_US" w:bidi="en_US"/>
        </w:rPr>
        <w:t xml:space="preserve"> here means the ability to think clearly and sensibly, to understand matters, and to be able to act wisely based on that understanding. In the Bible, </w:t>
      </w:r>
      <w:r>
        <w:rPr>
          <w:i/>
          <w:lang w:val="en_US" w:bidi="en_US"/>
        </w:rPr>
        <w:t>wisdom</w:t>
      </w:r>
      <w:r>
        <w:rPr>
          <w:lang w:val="en_US" w:bidi="en_US"/>
        </w:rPr>
        <w:t xml:space="preserve"> often refers to </w:t>
      </w:r>
      <w:r>
        <w:rPr>
          <w:u w:val="single"/>
          <w:lang w:val="en_US" w:bidi="en_US"/>
        </w:rPr>
        <w:t>godly</w:t>
      </w:r>
      <w:r>
        <w:rPr>
          <w:lang w:val="en_US" w:bidi="en_US"/>
        </w:rPr>
        <w:t xml:space="preserve"> </w:t>
      </w:r>
      <w:r>
        <w:rPr>
          <w:i/>
          <w:lang w:val="en_US" w:bidi="en_US"/>
        </w:rPr>
        <w:t>wisdom</w:t>
      </w:r>
      <w:r>
        <w:rPr>
          <w:lang w:val="en_US" w:bidi="en_US"/>
        </w:rPr>
        <w:t xml:space="preserve">. A person who has godly </w:t>
      </w:r>
      <w:r>
        <w:rPr>
          <w:i/>
          <w:lang w:val="en_US" w:bidi="en_US"/>
        </w:rPr>
        <w:t>wisdom</w:t>
      </w:r>
      <w:r>
        <w:rPr>
          <w:lang w:val="en_US" w:bidi="en_US"/>
        </w:rPr>
        <w:t xml:space="preserve"> understands what God says and what God wants people to do. The wise person acts on the basis of that understanding.</w:t>
      </w:r>
    </w:p>
    <w:p>
      <w:pPr/>
      <w:r>
        <w:rPr>
          <w:lang w:val="en_US" w:bidi="en_US"/>
        </w:rPr>
      </w:r>
      <w:r>
        <w:rPr>
          <w:b/>
          <w:lang w:val="en_US" w:bidi="en_US"/>
        </w:rPr>
        <w:t>stature:</w:t>
      </w:r>
      <w:r>
        <w:rPr>
          <w:lang w:val="en_US" w:bidi="en_US"/>
        </w:rPr>
        <w:t xml:space="preserve"> The word </w:t>
      </w:r>
      <w:r>
        <w:rPr>
          <w:i/>
          <w:lang w:val="en_US" w:bidi="en_US"/>
        </w:rPr>
        <w:t>stature</w:t>
      </w:r>
      <w:r>
        <w:rPr>
          <w:lang w:val="en_US" w:bidi="en_US"/>
        </w:rPr>
        <w:t xml:space="preserve"> refers here to Jesus’ body. Jesus was growing and maturing physically. He was becoming a man.</w:t>
      </w:r>
    </w:p>
    <w:p>
      <w:pPr>
        <w:pStyle w:val="Heading5"/>
      </w:pPr>
      <w:r>
        <w:rPr>
          <w:lang w:val="en_US" w:bidi="en_US"/>
        </w:rPr>
        <w:t>2:52b</w:t>
      </w:r>
    </w:p>
    <w:p>
      <w:pPr/>
      <w:r>
        <w:rPr>
          <w:lang w:val="en_US" w:bidi="en_US"/>
        </w:rPr>
      </w:r>
      <w:r>
        <w:rPr>
          <w:b/>
          <w:lang w:val="en_US" w:bidi="en_US"/>
        </w:rPr>
        <w:t>and in favor with God and man.</w:t>
      </w:r>
    </w:p>
    <w:p>
      <w:pPr>
        <w:pStyle w:val="ListBullet"/>
        <w:spacing w:line="240" w:lineRule="auto"/>
        <w:ind w:left="720"/>
      </w:pPr>
      <w:r>
        <w:rPr>
          <w:lang w:val="en_US" w:bidi="en_US"/>
        </w:rPr>
      </w:r>
      <w:r>
        <w:rPr>
          <w:lang w:val="en_US" w:bidi="en_US"/>
        </w:rPr>
        <w:t>He gained favor from God and people. (GW)</w:t>
      </w:r>
    </w:p>
    <w:p>
      <w:pPr>
        <w:pStyle w:val="ListBullet"/>
        <w:spacing w:line="240" w:lineRule="auto"/>
        <w:ind w:left="720"/>
      </w:pPr>
      <w:r>
        <w:rPr>
          <w:lang w:val="en_US" w:bidi="en_US"/>
        </w:rPr>
      </w:r>
      <w:r>
        <w:rPr>
          <w:lang w:val="en_US" w:bidi="en_US"/>
        </w:rPr>
        <w:t>Both</w:t>
      </w:r>
      <w:r>
        <w:rPr>
          <w:lang w:val="en_US" w:bidi="en_US"/>
        </w:rPr>
        <w:t xml:space="preserve"> God and people were pleased with him more and more.</w:t>
      </w:r>
    </w:p>
    <w:p>
      <w:pPr/>
      <w:r>
        <w:rPr>
          <w:lang w:val="en_US" w:bidi="en_US"/>
        </w:rPr>
      </w:r>
      <w:r>
        <w:rPr>
          <w:b/>
          <w:lang w:val="en_US" w:bidi="en_US"/>
        </w:rPr>
        <w:t>and in favor with God and man:</w:t>
      </w:r>
      <w:r>
        <w:rPr>
          <w:lang w:val="en_US" w:bidi="en_US"/>
        </w:rPr>
        <w:t xml:space="preserve"> The phrase </w:t>
      </w:r>
      <w:r>
        <w:rPr>
          <w:i/>
          <w:lang w:val="en_US" w:bidi="en_US"/>
        </w:rPr>
        <w:t>and in favor with God and man</w:t>
      </w:r>
      <w:r>
        <w:rPr>
          <w:lang w:val="en_US" w:bidi="en_US"/>
        </w:rPr>
        <w:t xml:space="preserve"> means that God </w:t>
      </w:r>
      <w:r>
        <w:rPr>
          <w:u w:val="single"/>
          <w:lang w:val="en_US" w:bidi="en_US"/>
        </w:rPr>
        <w:t>approved of him</w:t>
      </w:r>
      <w:r>
        <w:rPr>
          <w:lang w:val="en_US" w:bidi="en_US"/>
        </w:rPr>
        <w:t xml:space="preserve"> and people also approved of him. That approval from </w:t>
      </w:r>
      <w:r>
        <w:rPr>
          <w:i/>
          <w:lang w:val="en_US" w:bidi="en_US"/>
        </w:rPr>
        <w:t>God and man</w:t>
      </w:r>
      <w:r>
        <w:rPr>
          <w:lang w:val="en_US" w:bidi="en_US"/>
        </w:rPr>
        <w:t xml:space="preserve"> increased as Jesus grew. Other ways to say this are:</w:t>
      </w:r>
    </w:p>
    <w:p>
      <w:pPr/>
      <w:r>
        <w:rPr>
          <w:lang w:val="en_US" w:bidi="en_US"/>
        </w:rPr>
      </w:r>
      <w:r>
        <w:rPr>
          <w:lang w:val="en_US" w:bidi="en_US"/>
        </w:rPr>
        <w:t>He gained favor from God and people. (GW)</w:t>
      </w:r>
    </w:p>
    <w:p>
      <w:pPr/>
      <w:r>
        <w:rPr>
          <w:lang w:val="en_US" w:bidi="en_US"/>
        </w:rPr>
      </w:r>
      <w:r>
        <w:rPr>
          <w:lang w:val="en_US" w:bidi="en_US"/>
        </w:rPr>
        <w:t>increased…in divine and human favor (NRSV)</w:t>
      </w:r>
    </w:p>
    <w:p>
      <w:pPr/>
      <w:r>
        <w:rPr>
          <w:lang w:val="en_US" w:bidi="en_US"/>
        </w:rPr>
      </w:r>
      <w:r>
        <w:rPr>
          <w:b/>
          <w:lang w:val="en_US" w:bidi="en_US"/>
        </w:rPr>
        <w:t>favor:</w:t>
      </w:r>
      <w:r>
        <w:rPr>
          <w:lang w:val="en_US" w:bidi="en_US"/>
        </w:rPr>
        <w:t xml:space="preserve"> In this context </w:t>
      </w:r>
      <w:r>
        <w:rPr>
          <w:i/>
          <w:lang w:val="en_US" w:bidi="en_US"/>
        </w:rPr>
        <w:t>favor</w:t>
      </w:r>
      <w:r>
        <w:rPr>
          <w:lang w:val="en_US" w:bidi="en_US"/>
        </w:rPr>
        <w:t xml:space="preserve"> refers to an attitude that people had toward Jesus. They were pleased with him and appreciated him.</w:t>
      </w:r>
    </w:p>
    <w:p>
      <w:pPr/>
      <w:r>
        <w:rPr>
          <w:lang w:val="en_US" w:bidi="en_US"/>
        </w:rPr>
      </w:r>
      <w:r>
        <w:rPr>
          <w:b/>
          <w:lang w:val="en_US" w:bidi="en_US"/>
        </w:rPr>
        <w:t>man:</w:t>
      </w:r>
      <w:r>
        <w:rPr>
          <w:lang w:val="en_US" w:bidi="en_US"/>
        </w:rPr>
        <w:t xml:space="preserve"> The Greek word that the BSB translates as </w:t>
      </w:r>
      <w:r>
        <w:rPr>
          <w:i/>
          <w:lang w:val="en_US" w:bidi="en_US"/>
        </w:rPr>
        <w:t>man</w:t>
      </w:r>
      <w:r>
        <w:rPr>
          <w:lang w:val="en_US" w:bidi="en_US"/>
        </w:rPr>
        <w:t xml:space="preserve"> is literally “people,” including both males and females. For example:</w:t>
      </w:r>
    </w:p>
    <w:p>
      <w:pPr/>
      <w:r>
        <w:rPr>
          <w:lang w:val="en_US" w:bidi="en_US"/>
        </w:rPr>
      </w:r>
      <w:r>
        <w:rPr>
          <w:lang w:val="en_US" w:bidi="en_US"/>
        </w:rPr>
        <w:t>gained favor from…people (GW)</w:t>
      </w:r>
      <w:r>
        <w:rPr>
          <w:lang w:val="en_US" w:bidi="en_US"/>
        </w:rPr>
      </w:r>
      <w:r>
        <w:rPr>
          <w:lang w:val="en_US" w:bidi="en_US"/>
        </w:rPr>
      </w:r>
    </w:p>
    <w:p>
      <w:pPr/>
      <w:r>
        <w:rPr>
          <w:lang w:val="en_US" w:bidi="en_US"/>
        </w:rPr>
      </w:r>
    </w:p>
    <w:p>
      <w:pPr>
        <w:pStyle w:val="Heading2"/>
      </w:pPr>
      <w:r>
        <w:rPr>
          <w:lang w:val="en_US" w:bidi="en_US"/>
        </w:rPr>
        <w:t>Luke 3:1</w:t>
      </w:r>
      <w:r>
        <w:rPr>
          <w:lang w:val="en_US" w:bidi="en_US"/>
        </w:rPr>
      </w:r>
    </w:p>
    <w:p>
      <w:pPr>
        <w:pStyle w:val="Heading4"/>
      </w:pPr>
      <w:r>
        <w:rPr>
          <w:lang w:val="en_US" w:bidi="en_US"/>
        </w:rPr>
        <w:t>Section 3:1–20: John the Baptizer prepared the way for Jesus</w:t>
      </w:r>
    </w:p>
    <w:p>
      <w:pPr/>
      <w:r>
        <w:rPr>
          <w:lang w:val="en_US" w:bidi="en_US"/>
        </w:rPr>
      </w:r>
      <w:r>
        <w:rPr>
          <w:lang w:val="en_US" w:bidi="en_US"/>
        </w:rP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Preaching of John (NCV)</w:t>
      </w:r>
    </w:p>
    <w:p>
      <w:pPr/>
      <w:r>
        <w:rPr>
          <w:lang w:val="en_US" w:bidi="en_US"/>
        </w:rPr>
      </w:r>
      <w:r>
        <w:rPr>
          <w:lang w:val="en_US" w:bidi="en_US"/>
        </w:rPr>
        <w:t>John the Baptist and Jesus (REB)</w:t>
      </w:r>
    </w:p>
    <w:p>
      <w:pPr/>
      <w:r>
        <w:rPr>
          <w:lang w:val="en_US" w:bidi="en_US"/>
        </w:rPr>
      </w:r>
      <w:r>
        <w:rPr>
          <w:lang w:val="en_US" w:bidi="en_US"/>
        </w:rPr>
        <w:t>John the Baptizer tells people to prepare themselves for the Messiah</w:t>
      </w:r>
    </w:p>
    <w:p>
      <w:pPr/>
      <w:r>
        <w:rPr>
          <w:lang w:val="en_US" w:bidi="en_US"/>
        </w:rPr>
      </w:r>
      <w:r>
        <w:rPr>
          <w:lang w:val="en_US" w:bidi="en_US"/>
        </w:rPr>
        <w:t>Parts of Luke 3:1–20 are basically the same as verses in Matthew 3:1–12. But Luke 3:1–2, 10–14, and 19–20 are not in Matthew.</w:t>
      </w:r>
    </w:p>
    <w:p>
      <w:pPr>
        <w:pStyle w:val="Heading4"/>
      </w:pPr>
      <w:r>
        <w:rPr>
          <w:lang w:val="en_US" w:bidi="en_US"/>
        </w:rPr>
        <w:t>Paragraph 3:1–3</w:t>
      </w:r>
    </w:p>
    <w:p>
      <w:pPr/>
      <w:r>
        <w:rPr>
          <w:lang w:val="en_US" w:bidi="en_US"/>
        </w:rPr>
      </w:r>
      <w:r>
        <w:rPr>
          <w:lang w:val="en_US" w:bidi="en_US"/>
        </w:rPr>
        <w:t>This paragraph introduces John the Baptizer and gives historical background. The information about the government and religious leaders in 3:1–2 shows the time period when John began his work. John is the main person in this section. In some languages it may be helpful to introduce John before giving the information about leaders in that time period. See the General Comment on 3:1–2 at the end of the notes on 3:2b for specific suggestions.</w:t>
      </w:r>
    </w:p>
    <w:p>
      <w:pPr/>
      <w:r>
        <w:rPr>
          <w:lang w:val="en_US" w:bidi="en_US"/>
        </w:rPr>
      </w:r>
      <w:r>
        <w:rPr>
          <w:lang w:val="en_US" w:bidi="en_US"/>
        </w:rPr>
        <w:t>In some languages, the difference between background information and the main part of a story is shown by using certain verbs or other markers. If this is true in your language, you should try to show these differences here in 3:1 and 3:2.</w:t>
      </w:r>
    </w:p>
    <w:p>
      <w:pPr>
        <w:pStyle w:val="Heading5"/>
      </w:pPr>
      <w:r>
        <w:rPr>
          <w:lang w:val="en_US" w:bidi="en_US"/>
        </w:rPr>
        <w:t>3:1a</w:t>
      </w:r>
    </w:p>
    <w:p>
      <w:pPr/>
      <w:r>
        <w:rPr>
          <w:lang w:val="en_US" w:bidi="en_US"/>
        </w:rPr>
      </w:r>
      <w:r>
        <w:rPr>
          <w:b/>
          <w:lang w:val="en_US" w:bidi="en_US"/>
        </w:rPr>
        <w:t>In the fifteenth year of the reign of Tiberius Caesar,</w:t>
      </w:r>
    </w:p>
    <w:p>
      <w:pPr>
        <w:pStyle w:val="ListBullet"/>
        <w:spacing w:line="240" w:lineRule="auto"/>
        <w:ind w:left="720"/>
      </w:pPr>
      <w:r>
        <w:rPr>
          <w:lang w:val="en_US" w:bidi="en_US"/>
        </w:rPr>
      </w:r>
      <w:r>
        <w:rPr>
          <w:lang w:val="en_US" w:bidi="en_US"/>
        </w:rPr>
        <w:t xml:space="preserve">¶ In the fifteenth year that Tiberius was Caesar/emperor </w:t>
      </w:r>
      <w:r>
        <w:rPr>
          <w:lang w:val="en_US" w:bidi="en_US"/>
        </w:rPr>
        <w:t>of Rome</w:t>
      </w:r>
      <w:r>
        <w:rPr>
          <w:lang w:val="en_US" w:bidi="en_US"/>
        </w:rPr>
        <w:t>,</w:t>
      </w:r>
    </w:p>
    <w:p>
      <w:pPr>
        <w:pStyle w:val="ListBullet"/>
        <w:spacing w:line="240" w:lineRule="auto"/>
        <w:ind w:left="720"/>
      </w:pPr>
      <w:r>
        <w:rPr>
          <w:lang w:val="en_US" w:bidi="en_US"/>
        </w:rPr>
      </w:r>
      <w:r>
        <w:rPr>
          <w:lang w:val="en_US" w:bidi="en_US"/>
        </w:rPr>
        <w:t xml:space="preserve">¶ Emperor Tiberius had ruled </w:t>
      </w:r>
      <w:r>
        <w:rPr>
          <w:lang w:val="en_US" w:bidi="en_US"/>
        </w:rPr>
        <w:t>the Roman empire</w:t>
      </w:r>
      <w:r>
        <w:rPr>
          <w:lang w:val="en_US" w:bidi="en_US"/>
        </w:rPr>
        <w:t xml:space="preserve"> for fourteen years. During his fifteenth year,</w:t>
      </w:r>
    </w:p>
    <w:p>
      <w:pPr>
        <w:pStyle w:val="ListBullet"/>
        <w:spacing w:line="240" w:lineRule="auto"/>
        <w:ind w:left="720"/>
      </w:pPr>
      <w:r>
        <w:rPr>
          <w:lang w:val="en_US" w:bidi="en_US"/>
        </w:rPr>
      </w:r>
      <w:r>
        <w:rPr>
          <w:lang w:val="en_US" w:bidi="en_US"/>
        </w:rPr>
        <w:t xml:space="preserve">¶ </w:t>
      </w:r>
      <w:r>
        <w:rPr>
          <w:lang w:val="en_US" w:bidi="en_US"/>
        </w:rPr>
        <w:t>The following events happened when</w:t>
      </w:r>
      <w:r>
        <w:rPr>
          <w:lang w:val="en_US" w:bidi="en_US"/>
        </w:rPr>
        <w:t xml:space="preserve"> Tiberius had been the high king </w:t>
      </w:r>
      <w:r>
        <w:rPr>
          <w:lang w:val="en_US" w:bidi="en_US"/>
        </w:rPr>
        <w:t>of Rome</w:t>
      </w:r>
      <w:r>
        <w:rPr>
          <w:lang w:val="en_US" w:bidi="en_US"/>
        </w:rPr>
        <w:t xml:space="preserve"> for fifteen years.</w:t>
      </w:r>
    </w:p>
    <w:p>
      <w:pPr/>
      <w:r>
        <w:rPr>
          <w:lang w:val="en_US" w:bidi="en_US"/>
        </w:rPr>
      </w:r>
      <w:r>
        <w:rPr>
          <w:b/>
          <w:lang w:val="en_US" w:bidi="en_US"/>
        </w:rPr>
        <w:t>In the fifteenth year of the reign of Tiberius Caesar:</w:t>
      </w:r>
      <w:r>
        <w:rPr>
          <w:lang w:val="en_US" w:bidi="en_US"/>
        </w:rPr>
        <w:t xml:space="preserve"> The phrase </w:t>
      </w:r>
      <w:r>
        <w:rPr>
          <w:i/>
          <w:lang w:val="en_US" w:bidi="en_US"/>
        </w:rPr>
        <w:t>the fifteenth year of the reign of Tiberius Caesar</w:t>
      </w:r>
      <w:r>
        <w:rPr>
          <w:lang w:val="en_US" w:bidi="en_US"/>
        </w:rPr>
        <w:t xml:space="preserve"> refers to the fifteenth year that Tiberius Caesar had been emperor. He ruled the Roman Empire from the city of Rome. This </w:t>
      </w:r>
      <w:r>
        <w:rPr>
          <w:i/>
          <w:lang w:val="en_US" w:bidi="en_US"/>
        </w:rPr>
        <w:t>fifteenth year</w:t>
      </w:r>
      <w:r>
        <w:rPr>
          <w:lang w:val="en_US" w:bidi="en_US"/>
        </w:rPr>
        <w:t xml:space="preserve"> was somewhere around A.D. 26 to 28.</w:t>
      </w:r>
    </w:p>
    <w:p>
      <w:pPr/>
      <w:r>
        <w:rPr>
          <w:lang w:val="en_US" w:bidi="en_US"/>
        </w:rPr>
      </w:r>
      <w:r>
        <w:rPr>
          <w:lang w:val="en_US" w:bidi="en_US"/>
        </w:rPr>
        <w:t>Tiberius had completed fourteen years of rule, and the events in this chapter began during his fifteenth year of ruling. So in some languages it may be natural to translate this as:</w:t>
      </w:r>
    </w:p>
    <w:p>
      <w:pPr/>
      <w:r>
        <w:rPr>
          <w:lang w:val="en_US" w:bidi="en_US"/>
        </w:rPr>
      </w:r>
      <w:r>
        <w:rPr>
          <w:lang w:val="en_US" w:bidi="en_US"/>
        </w:rPr>
        <w:t>Tiberius had already been emperor of Rome for fourteen years. During his fifteenth year….</w:t>
      </w:r>
    </w:p>
    <w:p>
      <w:pPr/>
      <w:r>
        <w:rPr>
          <w:lang w:val="en_US" w:bidi="en_US"/>
        </w:rPr>
      </w:r>
      <w:r>
        <w:rPr>
          <w:b/>
          <w:lang w:val="en_US" w:bidi="en_US"/>
        </w:rPr>
        <w:t>reign:</w:t>
      </w:r>
      <w:r>
        <w:rPr>
          <w:lang w:val="en_US" w:bidi="en_US"/>
        </w:rPr>
        <w:t xml:space="preserve"> The word </w:t>
      </w:r>
      <w:r>
        <w:rPr>
          <w:i/>
          <w:lang w:val="en_US" w:bidi="en_US"/>
        </w:rPr>
        <w:t>reign</w:t>
      </w:r>
      <w:r>
        <w:rPr>
          <w:lang w:val="en_US" w:bidi="en_US"/>
        </w:rPr>
        <w:t xml:space="preserve"> refers to the period of time that a king rules over a country or empire. Tiberius ruled the entire Roman Empire, which included the provinces of Judea (3:1b) and Galilee (3:1c) and also many other provinces.</w:t>
      </w:r>
    </w:p>
    <w:p>
      <w:pPr/>
      <w:r>
        <w:rPr>
          <w:lang w:val="en_US" w:bidi="en_US"/>
        </w:rPr>
      </w:r>
      <w:r>
        <w:rPr>
          <w:b/>
          <w:lang w:val="en_US" w:bidi="en_US"/>
        </w:rPr>
        <w:t>Tiberius Caesar:</w:t>
      </w:r>
      <w:r>
        <w:rPr>
          <w:lang w:val="en_US" w:bidi="en_US"/>
        </w:rPr>
        <w:t xml:space="preserve"> </w:t>
      </w:r>
      <w:r>
        <w:rPr>
          <w:i/>
          <w:lang w:val="en_US" w:bidi="en_US"/>
        </w:rPr>
        <w:t>Tiberius Caesar</w:t>
      </w:r>
      <w:r>
        <w:rPr>
          <w:lang w:val="en_US" w:bidi="en_US"/>
        </w:rPr>
        <w:t xml:space="preserve"> was the Roman emperor. </w:t>
      </w:r>
      <w:r>
        <w:rPr>
          <w:i/>
          <w:lang w:val="en_US" w:bidi="en_US"/>
        </w:rPr>
        <w:t>Tiberius</w:t>
      </w:r>
      <w:r>
        <w:rPr>
          <w:lang w:val="en_US" w:bidi="en_US"/>
        </w:rPr>
        <w:t xml:space="preserve"> was his personal name. </w:t>
      </w:r>
      <w:r>
        <w:rPr>
          <w:i/>
          <w:lang w:val="en_US" w:bidi="en_US"/>
        </w:rPr>
        <w:t>Caesar</w:t>
      </w:r>
      <w:r>
        <w:rPr>
          <w:lang w:val="en_US" w:bidi="en_US"/>
        </w:rPr>
        <w:t xml:space="preserve"> was his title, which means “emperor.” The word </w:t>
      </w:r>
      <w:r>
        <w:rPr>
          <w:i/>
          <w:lang w:val="en_US" w:bidi="en_US"/>
        </w:rPr>
        <w:t>Caesar</w:t>
      </w:r>
      <w:r>
        <w:rPr>
          <w:lang w:val="en_US" w:bidi="en_US"/>
        </w:rPr>
        <w:t xml:space="preserve"> also occurs in 2:1a–b. Some ways to translate this are:</w:t>
      </w:r>
    </w:p>
    <w:p>
      <w:pPr/>
      <w:r>
        <w:rPr>
          <w:lang w:val="en_US" w:bidi="en_US"/>
        </w:rPr>
      </w:r>
      <w:r>
        <w:rPr>
          <w:lang w:val="en_US" w:bidi="en_US"/>
        </w:rPr>
        <w:t>the high king Tiberius</w:t>
      </w:r>
    </w:p>
    <w:p>
      <w:pPr/>
      <w:r>
        <w:rPr>
          <w:lang w:val="en_US" w:bidi="en_US"/>
        </w:rPr>
      </w:r>
      <w:r>
        <w:rPr>
          <w:lang w:val="en_US" w:bidi="en_US"/>
        </w:rPr>
        <w:t>Tiberius, the supreme ruler</w:t>
      </w:r>
    </w:p>
    <w:p>
      <w:pPr/>
      <w:r>
        <w:rPr>
          <w:lang w:val="en_US" w:bidi="en_US"/>
        </w:rPr>
      </w:r>
      <w:r>
        <w:rPr>
          <w:lang w:val="en_US" w:bidi="en_US"/>
        </w:rPr>
        <w:t>Emperor Tiberius (CEV)</w:t>
      </w:r>
    </w:p>
    <w:p>
      <w:pPr/>
      <w:r>
        <w:rPr>
          <w:lang w:val="en_US" w:bidi="en_US"/>
        </w:rPr>
      </w:r>
      <w:r>
        <w:rPr>
          <w:lang w:val="en_US" w:bidi="en_US"/>
        </w:rPr>
        <w:t>Decide whether it is more natural in your language to put the title before the personal name or after the name.</w:t>
      </w:r>
    </w:p>
    <w:p>
      <w:pPr>
        <w:pStyle w:val="Heading5"/>
      </w:pPr>
      <w:r>
        <w:rPr>
          <w:lang w:val="en_US" w:bidi="en_US"/>
        </w:rPr>
        <w:t>3:1b</w:t>
      </w:r>
    </w:p>
    <w:p>
      <w:pPr/>
      <w:r>
        <w:rPr>
          <w:lang w:val="en_US" w:bidi="en_US"/>
        </w:rPr>
      </w:r>
      <w:r>
        <w:rPr>
          <w:b/>
          <w:lang w:val="en_US" w:bidi="en_US"/>
        </w:rPr>
        <w:t>while Pontius Pilate was governor of Judea,</w:t>
      </w:r>
    </w:p>
    <w:p>
      <w:pPr>
        <w:pStyle w:val="ListBullet"/>
        <w:spacing w:line="240" w:lineRule="auto"/>
        <w:ind w:left="720"/>
      </w:pPr>
      <w:r>
        <w:rPr>
          <w:lang w:val="en_US" w:bidi="en_US"/>
        </w:rPr>
      </w:r>
      <w:r>
        <w:rPr>
          <w:lang w:val="en_US" w:bidi="en_US"/>
        </w:rPr>
        <w:t xml:space="preserve">when Pontius Pilate was governor of </w:t>
      </w:r>
      <w:r>
        <w:rPr>
          <w:lang w:val="en_US" w:bidi="en_US"/>
        </w:rPr>
        <w:t>the province of</w:t>
      </w:r>
      <w:r>
        <w:rPr>
          <w:lang w:val="en_US" w:bidi="en_US"/>
        </w:rPr>
        <w:t xml:space="preserve"> Judea,</w:t>
      </w:r>
    </w:p>
    <w:p>
      <w:pPr>
        <w:pStyle w:val="ListBullet"/>
        <w:spacing w:line="240" w:lineRule="auto"/>
        <w:ind w:left="720"/>
      </w:pPr>
      <w:r>
        <w:rPr>
          <w:lang w:val="en_US" w:bidi="en_US"/>
        </w:rPr>
      </w:r>
      <w:r>
        <w:rPr>
          <w:lang w:val="en_US" w:bidi="en_US"/>
        </w:rPr>
        <w:t xml:space="preserve">At that time, Pontius Pilate governed/ruled </w:t>
      </w:r>
      <w:r>
        <w:rPr>
          <w:lang w:val="en_US" w:bidi="en_US"/>
        </w:rPr>
        <w:t>the province of</w:t>
      </w:r>
      <w:r>
        <w:rPr>
          <w:lang w:val="en_US" w:bidi="en_US"/>
        </w:rPr>
        <w:t xml:space="preserve"> Judea.</w:t>
      </w:r>
    </w:p>
    <w:p>
      <w:pPr/>
      <w:r>
        <w:rPr>
          <w:lang w:val="en_US" w:bidi="en_US"/>
        </w:rPr>
      </w:r>
      <w:r>
        <w:rPr>
          <w:lang w:val="en_US" w:bidi="en_US"/>
        </w:rPr>
        <w:t>Several English versions put a dash at the end of 3:1a before the clause about political leaders. Some English versions begin a new sentence at the end of this clause; others, such as the NIV, put another dash there. Other English versions use commas in both places. Connect the clauses in a way that is natural in your language. See the General Comment on 3:1–2 at the end of the notes on 3:2b for more information and suggestions.</w:t>
      </w:r>
    </w:p>
    <w:p>
      <w:pPr/>
      <w:r>
        <w:rPr>
          <w:lang w:val="en_US" w:bidi="en_US"/>
        </w:rPr>
      </w:r>
      <w:r>
        <w:rPr>
          <w:b/>
          <w:lang w:val="en_US" w:bidi="en_US"/>
        </w:rPr>
        <w:t>Pontius Pilate:</w:t>
      </w:r>
      <w:r>
        <w:rPr>
          <w:lang w:val="en_US" w:bidi="en_US"/>
        </w:rPr>
        <w:t xml:space="preserve"> </w:t>
      </w:r>
      <w:r>
        <w:rPr>
          <w:i/>
          <w:lang w:val="en_US" w:bidi="en_US"/>
        </w:rPr>
        <w:t>Pontius Pilate</w:t>
      </w:r>
      <w:r>
        <w:rPr>
          <w:lang w:val="en_US" w:bidi="en_US"/>
        </w:rPr>
        <w:t xml:space="preserve"> was the personal name of the leader of the district of Judea.</w:t>
      </w:r>
    </w:p>
    <w:p>
      <w:pPr/>
      <w:r>
        <w:rPr>
          <w:lang w:val="en_US" w:bidi="en_US"/>
        </w:rPr>
      </w:r>
      <w:r>
        <w:rPr>
          <w:b/>
          <w:lang w:val="en_US" w:bidi="en_US"/>
        </w:rPr>
        <w:t>governor:</w:t>
      </w:r>
      <w:r>
        <w:rPr>
          <w:lang w:val="en_US" w:bidi="en_US"/>
        </w:rPr>
        <w:t xml:space="preserve"> The Greek word that the BSB translates as </w:t>
      </w:r>
      <w:r>
        <w:rPr>
          <w:i/>
          <w:lang w:val="en_US" w:bidi="en_US"/>
        </w:rPr>
        <w:t>governor</w:t>
      </w:r>
      <w:r>
        <w:rPr>
          <w:lang w:val="en_US" w:bidi="en_US"/>
        </w:rPr>
        <w:t xml:space="preserve"> is literally “governing.” It is a general word that means “ruling” or “leading.” It is used of ruling over a district rather than over an entire country or empire. In the Roman Empire, a </w:t>
      </w:r>
      <w:r>
        <w:rPr>
          <w:i/>
          <w:lang w:val="en_US" w:bidi="en_US"/>
        </w:rPr>
        <w:t>governor</w:t>
      </w:r>
      <w:r>
        <w:rPr>
          <w:lang w:val="en_US" w:bidi="en_US"/>
        </w:rPr>
        <w:t xml:space="preserve"> ruled under someone with greater authority.</w:t>
      </w:r>
    </w:p>
    <w:p>
      <w:pPr/>
      <w:r>
        <w:rPr>
          <w:lang w:val="en_US" w:bidi="en_US"/>
        </w:rPr>
      </w:r>
      <w:r>
        <w:rPr>
          <w:b/>
          <w:lang w:val="en_US" w:bidi="en_US"/>
        </w:rPr>
        <w:t>Judea:</w:t>
      </w:r>
      <w:r>
        <w:rPr>
          <w:lang w:val="en_US" w:bidi="en_US"/>
        </w:rPr>
        <w:t xml:space="preserve"> </w:t>
      </w:r>
      <w:r>
        <w:rPr>
          <w:i/>
          <w:lang w:val="en_US" w:bidi="en_US"/>
        </w:rPr>
        <w:t>Judea</w:t>
      </w:r>
      <w:r>
        <w:rPr>
          <w:lang w:val="en_US" w:bidi="en_US"/>
        </w:rPr>
        <w:t xml:space="preserve"> was the name of one of the provinces in the Roman empire. </w:t>
      </w:r>
      <w:r>
        <w:rPr>
          <w:i/>
          <w:lang w:val="en_US" w:bidi="en_US"/>
        </w:rPr>
        <w:t>Judea</w:t>
      </w:r>
      <w:r>
        <w:rPr>
          <w:lang w:val="en_US" w:bidi="en_US"/>
        </w:rPr>
        <w:t xml:space="preserve"> was part of the homeland of the Jews.</w:t>
      </w:r>
    </w:p>
    <w:p>
      <w:pPr>
        <w:pStyle w:val="Heading5"/>
      </w:pPr>
      <w:r>
        <w:rPr>
          <w:lang w:val="en_US" w:bidi="en_US"/>
        </w:rPr>
        <w:t>3:1c</w:t>
      </w:r>
    </w:p>
    <w:p>
      <w:pPr/>
      <w:r>
        <w:rPr>
          <w:lang w:val="en_US" w:bidi="en_US"/>
        </w:rPr>
      </w:r>
      <w:r>
        <w:rPr>
          <w:b/>
          <w:lang w:val="en_US" w:bidi="en_US"/>
        </w:rPr>
        <w:t>Herod tetrarch of Galilee,</w:t>
      </w:r>
    </w:p>
    <w:p>
      <w:pPr>
        <w:pStyle w:val="ListBullet"/>
        <w:spacing w:line="240" w:lineRule="auto"/>
        <w:ind w:left="720"/>
      </w:pPr>
      <w:r>
        <w:rPr>
          <w:lang w:val="en_US" w:bidi="en_US"/>
        </w:rPr>
      </w:r>
      <w:r>
        <w:rPr>
          <w:lang w:val="en_US" w:bidi="en_US"/>
        </w:rPr>
        <w:t xml:space="preserve">and Herod was </w:t>
      </w:r>
      <w:r>
        <w:rPr>
          <w:lang w:val="en_US" w:bidi="en_US"/>
        </w:rPr>
        <w:t>government</w:t>
      </w:r>
      <w:r>
        <w:rPr>
          <w:lang w:val="en_US" w:bidi="en_US"/>
        </w:rPr>
        <w:t xml:space="preserve"> leader/ruler of </w:t>
      </w:r>
      <w:r>
        <w:rPr>
          <w:lang w:val="en_US" w:bidi="en_US"/>
        </w:rPr>
        <w:t>the region of</w:t>
      </w:r>
      <w:r>
        <w:rPr>
          <w:lang w:val="en_US" w:bidi="en_US"/>
        </w:rPr>
        <w:t xml:space="preserve"> Galilee,</w:t>
      </w:r>
    </w:p>
    <w:p>
      <w:pPr>
        <w:pStyle w:val="ListBullet"/>
        <w:spacing w:line="240" w:lineRule="auto"/>
        <w:ind w:left="720"/>
      </w:pPr>
      <w:r>
        <w:rPr>
          <w:lang w:val="en_US" w:bidi="en_US"/>
        </w:rPr>
      </w:r>
      <w:r>
        <w:rPr>
          <w:lang w:val="en_US" w:bidi="en_US"/>
        </w:rPr>
        <w:t xml:space="preserve">Herod governed/ruled </w:t>
      </w:r>
      <w:r>
        <w:rPr>
          <w:lang w:val="en_US" w:bidi="en_US"/>
        </w:rPr>
        <w:t>the province of</w:t>
      </w:r>
      <w:r>
        <w:rPr>
          <w:lang w:val="en_US" w:bidi="en_US"/>
        </w:rPr>
        <w:t xml:space="preserve"> Galilee,</w:t>
      </w:r>
    </w:p>
    <w:p>
      <w:pPr/>
      <w:r>
        <w:rPr>
          <w:lang w:val="en_US" w:bidi="en_US"/>
        </w:rPr>
      </w:r>
      <w:r>
        <w:rPr>
          <w:b/>
          <w:lang w:val="en_US" w:bidi="en_US"/>
        </w:rPr>
        <w:t>Herod tetrarch of Galilee:</w:t>
      </w:r>
      <w:r>
        <w:rPr>
          <w:lang w:val="en_US" w:bidi="en_US"/>
        </w:rPr>
        <w:t xml:space="preserve"> </w:t>
      </w:r>
      <w:r>
        <w:rPr>
          <w:i/>
          <w:lang w:val="en_US" w:bidi="en_US"/>
        </w:rPr>
        <w:t>Herod</w:t>
      </w:r>
      <w:r>
        <w:rPr>
          <w:lang w:val="en_US" w:bidi="en_US"/>
        </w:rPr>
        <w:t xml:space="preserve"> was the name of the government leader who ruled over the province or district of Galilee. (Galilee was another part of the homeland of the Jews.) Herod’s full name was Herod Antipas. His father, who is sometimes called Herod the Great, was king when Jesus was born.</w:t>
      </w:r>
    </w:p>
    <w:p>
      <w:pPr/>
      <w:r>
        <w:rPr>
          <w:lang w:val="en_US" w:bidi="en_US"/>
        </w:rPr>
      </w:r>
      <w:r>
        <w:rPr>
          <w:lang w:val="en_US" w:bidi="en_US"/>
        </w:rPr>
        <w:t>In some languages it may be natural to translate this part of the verse as a complete clause:</w:t>
      </w:r>
    </w:p>
    <w:p>
      <w:pPr/>
      <w:r>
        <w:rPr>
          <w:lang w:val="en_US" w:bidi="en_US"/>
        </w:rPr>
      </w:r>
      <w:r>
        <w:rPr>
          <w:lang w:val="en_US" w:bidi="en_US"/>
        </w:rPr>
        <w:t>Herod was tetrarch/governor of Galilee.</w:t>
      </w:r>
    </w:p>
    <w:p>
      <w:pPr/>
      <w:r>
        <w:rPr>
          <w:lang w:val="en_US" w:bidi="en_US"/>
        </w:rPr>
      </w:r>
      <w:r>
        <w:rPr>
          <w:lang w:val="en_US" w:bidi="en_US"/>
        </w:rPr>
        <w:t xml:space="preserve">Herod ruled/governed </w:t>
      </w:r>
      <w:r>
        <w:rPr>
          <w:lang w:val="en_US" w:bidi="en_US"/>
        </w:rPr>
        <w:t>the province called</w:t>
      </w:r>
      <w:r>
        <w:rPr>
          <w:lang w:val="en_US" w:bidi="en_US"/>
        </w:rPr>
        <w:t xml:space="preserve"> Galilee.</w:t>
      </w:r>
    </w:p>
    <w:p>
      <w:pPr/>
      <w:r>
        <w:rPr>
          <w:lang w:val="en_US" w:bidi="en_US"/>
        </w:rPr>
      </w:r>
      <w:r>
        <w:rPr>
          <w:b/>
          <w:lang w:val="en_US" w:bidi="en_US"/>
        </w:rPr>
        <w:t>tetrarch:</w:t>
      </w:r>
      <w:r>
        <w:rPr>
          <w:lang w:val="en_US" w:bidi="en_US"/>
        </w:rPr>
        <w:t xml:space="preserve"> The word </w:t>
      </w:r>
      <w:r>
        <w:rPr>
          <w:i/>
          <w:lang w:val="en_US" w:bidi="en_US"/>
        </w:rPr>
        <w:t>tetrarch</w:t>
      </w:r>
      <w:r>
        <w:rPr>
          <w:lang w:val="en_US" w:bidi="en_US"/>
        </w:rPr>
        <w:t xml:space="preserve"> literally means “ruler of a fourth part.” It refers to the government leader of one fourth of an area.</w:t>
      </w:r>
    </w:p>
    <w:p>
      <w:pPr/>
      <w:r>
        <w:rPr>
          <w:lang w:val="en_US" w:bidi="en_US"/>
        </w:rPr>
      </w:r>
      <w:r>
        <w:rPr>
          <w:lang w:val="en_US" w:bidi="en_US"/>
        </w:rPr>
        <w:t>Herod the Great died not long after Jesus was born. When he died, Caesar divided the land that Herod ruled. Caesar appointed some of Herod’s sons to rule different parts. Herod Antipas became the ruler of the part called Galilee.</w:t>
      </w:r>
    </w:p>
    <w:p>
      <w:pPr/>
      <w:r>
        <w:rPr>
          <w:lang w:val="en_US" w:bidi="en_US"/>
        </w:rPr>
      </w:r>
      <w:r>
        <w:rPr>
          <w:lang w:val="en_US" w:bidi="en_US"/>
        </w:rPr>
        <w:t xml:space="preserve">Luke gave these details to indicate the political situation when John the Baptist started his ministry. The focus is not on the meaning of the word </w:t>
      </w:r>
      <w:r>
        <w:rPr>
          <w:i/>
          <w:lang w:val="en_US" w:bidi="en_US"/>
        </w:rPr>
        <w:t>tetrarch</w:t>
      </w:r>
      <w:r>
        <w:rPr>
          <w:lang w:val="en_US" w:bidi="en_US"/>
        </w:rPr>
        <w:t xml:space="preserve">. For this reason, you may translate </w:t>
      </w:r>
      <w:r>
        <w:rPr>
          <w:i/>
          <w:lang w:val="en_US" w:bidi="en_US"/>
        </w:rPr>
        <w:t>tetrarch</w:t>
      </w:r>
      <w:r>
        <w:rPr>
          <w:lang w:val="en_US" w:bidi="en_US"/>
        </w:rPr>
        <w:t xml:space="preserve"> in a general way. For example:</w:t>
      </w:r>
    </w:p>
    <w:p>
      <w:pPr/>
      <w:r>
        <w:rPr>
          <w:lang w:val="en_US" w:bidi="en_US"/>
        </w:rPr>
      </w:r>
      <w:r>
        <w:rPr>
          <w:lang w:val="en_US" w:bidi="en_US"/>
        </w:rPr>
        <w:t>Herod was the ruler of Galilee (CEV)</w:t>
      </w:r>
    </w:p>
    <w:p>
      <w:pPr/>
      <w:r>
        <w:rPr>
          <w:lang w:val="en_US" w:bidi="en_US"/>
        </w:rPr>
      </w:r>
      <w:r>
        <w:rPr>
          <w:lang w:val="en_US" w:bidi="en_US"/>
        </w:rPr>
        <w:t>Herod was the leader/governor of Galilee</w:t>
      </w:r>
    </w:p>
    <w:p>
      <w:pPr/>
      <w:r>
        <w:rPr>
          <w:lang w:val="en_US" w:bidi="en_US"/>
        </w:rPr>
      </w:r>
      <w:r>
        <w:rPr>
          <w:lang w:val="en_US" w:bidi="en_US"/>
        </w:rPr>
        <w:t>Herod ruled Galilee (GW)</w:t>
      </w:r>
    </w:p>
    <w:p>
      <w:pPr>
        <w:pStyle w:val="Heading5"/>
      </w:pPr>
      <w:r>
        <w:rPr>
          <w:lang w:val="en_US" w:bidi="en_US"/>
        </w:rPr>
        <w:t>3:1d</w:t>
      </w:r>
    </w:p>
    <w:p>
      <w:pPr/>
      <w:r>
        <w:rPr>
          <w:lang w:val="en_US" w:bidi="en_US"/>
        </w:rPr>
      </w:r>
      <w:r>
        <w:rPr>
          <w:b/>
          <w:lang w:val="en_US" w:bidi="en_US"/>
        </w:rPr>
        <w:t>his brother Philip tetrarch of Ituraea and Trachonitis,</w:t>
      </w:r>
    </w:p>
    <w:p>
      <w:pPr>
        <w:pStyle w:val="ListBullet"/>
        <w:spacing w:line="240" w:lineRule="auto"/>
        <w:ind w:left="720"/>
      </w:pPr>
      <w:r>
        <w:rPr>
          <w:lang w:val="en_US" w:bidi="en_US"/>
        </w:rPr>
      </w:r>
      <w:r>
        <w:rPr>
          <w:lang w:val="en_US" w:bidi="en_US"/>
        </w:rPr>
        <w:t xml:space="preserve">and his brother, Philip, was </w:t>
      </w:r>
      <w:r>
        <w:rPr>
          <w:lang w:val="en_US" w:bidi="en_US"/>
        </w:rPr>
        <w:t>government</w:t>
      </w:r>
      <w:r>
        <w:rPr>
          <w:lang w:val="en_US" w:bidi="en_US"/>
        </w:rPr>
        <w:t xml:space="preserve"> leader of </w:t>
      </w:r>
      <w:r>
        <w:rPr>
          <w:lang w:val="en_US" w:bidi="en_US"/>
        </w:rPr>
        <w:t>the districts/provinces of</w:t>
      </w:r>
      <w:r>
        <w:rPr>
          <w:lang w:val="en_US" w:bidi="en_US"/>
        </w:rPr>
        <w:t xml:space="preserve"> Iturea and Traconitis,</w:t>
      </w:r>
    </w:p>
    <w:p>
      <w:pPr>
        <w:pStyle w:val="ListBullet"/>
        <w:spacing w:line="240" w:lineRule="auto"/>
        <w:ind w:left="720"/>
      </w:pPr>
      <w:r>
        <w:rPr>
          <w:lang w:val="en_US" w:bidi="en_US"/>
        </w:rPr>
      </w:r>
      <w:r>
        <w:rPr>
          <w:lang w:val="en_US" w:bidi="en_US"/>
        </w:rPr>
        <w:t xml:space="preserve">Herod’s </w:t>
      </w:r>
      <w:r>
        <w:rPr>
          <w:lang w:val="en_US" w:bidi="en_US"/>
        </w:rPr>
        <w:t>older</w:t>
      </w:r>
      <w:r>
        <w:rPr>
          <w:lang w:val="en_US" w:bidi="en_US"/>
        </w:rPr>
        <w:t xml:space="preserve"> brother Philip ruled </w:t>
      </w:r>
      <w:r>
        <w:rPr>
          <w:lang w:val="en_US" w:bidi="en_US"/>
        </w:rPr>
        <w:t>the districts/provinces of</w:t>
      </w:r>
      <w:r>
        <w:rPr>
          <w:lang w:val="en_US" w:bidi="en_US"/>
        </w:rPr>
        <w:t xml:space="preserve"> Iturea and Traconitis,</w:t>
      </w:r>
    </w:p>
    <w:p>
      <w:pPr/>
      <w:r>
        <w:rPr>
          <w:lang w:val="en_US" w:bidi="en_US"/>
        </w:rPr>
      </w:r>
      <w:r>
        <w:rPr>
          <w:lang w:val="en_US" w:bidi="en_US"/>
        </w:rPr>
        <w:t>As in 3:1c, you may need to translate this part of the verse as a complete clause. For example:</w:t>
      </w:r>
    </w:p>
    <w:p>
      <w:pPr/>
      <w:r>
        <w:rPr>
          <w:lang w:val="en_US" w:bidi="en_US"/>
        </w:rPr>
      </w:r>
      <w:r>
        <w:rPr>
          <w:lang w:val="en_US" w:bidi="en_US"/>
        </w:rPr>
        <w:t xml:space="preserve">His brother Philip </w:t>
      </w:r>
      <w:r>
        <w:rPr>
          <w:lang w:val="en_US" w:bidi="en_US"/>
        </w:rPr>
        <w:t>was</w:t>
      </w:r>
      <w:r>
        <w:rPr>
          <w:lang w:val="en_US" w:bidi="en_US"/>
        </w:rPr>
        <w:t xml:space="preserve"> tetrarch of Iturea and Traconitis.</w:t>
      </w:r>
    </w:p>
    <w:p>
      <w:pPr/>
      <w:r>
        <w:rPr>
          <w:lang w:val="en_US" w:bidi="en_US"/>
        </w:rPr>
      </w:r>
      <w:r>
        <w:rPr>
          <w:b/>
          <w:lang w:val="en_US" w:bidi="en_US"/>
        </w:rPr>
        <w:t>his brother Philip:</w:t>
      </w:r>
      <w:r>
        <w:rPr>
          <w:lang w:val="en_US" w:bidi="en_US"/>
        </w:rPr>
        <w:t xml:space="preserve"> </w:t>
      </w:r>
      <w:r>
        <w:rPr>
          <w:i/>
          <w:lang w:val="en_US" w:bidi="en_US"/>
        </w:rPr>
        <w:t>Philip</w:t>
      </w:r>
      <w:r>
        <w:rPr>
          <w:lang w:val="en_US" w:bidi="en_US"/>
        </w:rPr>
        <w:t xml:space="preserve"> was a half-brother of Herod.</w:t>
      </w:r>
      <w:r>
        <w:rPr>
          <w:lang w:val="en_US" w:bidi="en_US"/>
        </w:rPr>
        <w:t>Philip’s mother was Cleopatra of Jerusalem. This was not the famous Cleopatra who was queen of Egypt.</w:t>
      </w:r>
      <w:r>
        <w:rPr>
          <w:lang w:val="en_US" w:bidi="en_US"/>
        </w:rPr>
        <w:t xml:space="preserve"> They were both sons of the older Herod, who was sometimes called Herod the Great, but they had different mothers. Philip was older than his brother Herod.</w:t>
      </w:r>
    </w:p>
    <w:p>
      <w:pPr/>
      <w:r>
        <w:rPr>
          <w:lang w:val="en_US" w:bidi="en_US"/>
        </w:rPr>
      </w:r>
      <w:r>
        <w:rPr>
          <w:b/>
          <w:lang w:val="en_US" w:bidi="en_US"/>
        </w:rPr>
        <w:t>Ituraea and Trachonitis:</w:t>
      </w:r>
      <w:r>
        <w:rPr>
          <w:lang w:val="en_US" w:bidi="en_US"/>
        </w:rPr>
        <w:t xml:space="preserve"> </w:t>
      </w:r>
      <w:r>
        <w:rPr>
          <w:i/>
          <w:lang w:val="en_US" w:bidi="en_US"/>
        </w:rPr>
        <w:t>Ituraea</w:t>
      </w:r>
      <w:r>
        <w:rPr>
          <w:lang w:val="en_US" w:bidi="en_US"/>
        </w:rPr>
        <w:t xml:space="preserve"> and </w:t>
      </w:r>
      <w:r>
        <w:rPr>
          <w:i/>
          <w:lang w:val="en_US" w:bidi="en_US"/>
        </w:rPr>
        <w:t>Trachonitis</w:t>
      </w:r>
      <w:r>
        <w:rPr>
          <w:lang w:val="en_US" w:bidi="en_US"/>
        </w:rPr>
        <w:t xml:space="preserve"> were the names of two provinces/districts to the east of the province/district of Galilee. The people living in </w:t>
      </w:r>
      <w:r>
        <w:rPr>
          <w:i/>
          <w:lang w:val="en_US" w:bidi="en_US"/>
        </w:rPr>
        <w:t>Ituraea and Trachonitis</w:t>
      </w:r>
      <w:r>
        <w:rPr>
          <w:lang w:val="en_US" w:bidi="en_US"/>
        </w:rPr>
        <w:t xml:space="preserve"> were Gentiles.</w:t>
      </w:r>
    </w:p>
    <w:p>
      <w:pPr>
        <w:pStyle w:val="Heading5"/>
      </w:pPr>
      <w:r>
        <w:rPr>
          <w:lang w:val="en_US" w:bidi="en_US"/>
        </w:rPr>
        <w:t>3:1e</w:t>
      </w:r>
    </w:p>
    <w:p>
      <w:pPr/>
      <w:r>
        <w:rPr>
          <w:lang w:val="en_US" w:bidi="en_US"/>
        </w:rPr>
      </w:r>
      <w:r>
        <w:rPr>
          <w:b/>
          <w:lang w:val="en_US" w:bidi="en_US"/>
        </w:rPr>
        <w:t>and Lysanias tetrarch of Abilene,</w:t>
      </w:r>
    </w:p>
    <w:p>
      <w:pPr>
        <w:pStyle w:val="ListBullet"/>
        <w:spacing w:line="240" w:lineRule="auto"/>
        <w:ind w:left="720"/>
      </w:pPr>
      <w:r>
        <w:rPr>
          <w:lang w:val="en_US" w:bidi="en_US"/>
        </w:rPr>
      </w:r>
      <w:r>
        <w:rPr>
          <w:lang w:val="en_US" w:bidi="en_US"/>
        </w:rPr>
        <w:t xml:space="preserve">and Lysanias was government leader of </w:t>
      </w:r>
      <w:r>
        <w:rPr>
          <w:lang w:val="en_US" w:bidi="en_US"/>
        </w:rPr>
        <w:t>the district/province of</w:t>
      </w:r>
      <w:r>
        <w:rPr>
          <w:lang w:val="en_US" w:bidi="en_US"/>
        </w:rPr>
        <w:t xml:space="preserve"> Abilene,</w:t>
      </w:r>
    </w:p>
    <w:p>
      <w:pPr>
        <w:pStyle w:val="ListBullet"/>
        <w:spacing w:line="240" w:lineRule="auto"/>
        <w:ind w:left="720"/>
      </w:pPr>
      <w:r>
        <w:rPr>
          <w:lang w:val="en_US" w:bidi="en_US"/>
        </w:rPr>
      </w:r>
      <w:r>
        <w:rPr>
          <w:lang w:val="en_US" w:bidi="en_US"/>
        </w:rPr>
        <w:t xml:space="preserve">and Lysanias ruled </w:t>
      </w:r>
      <w:r>
        <w:rPr>
          <w:lang w:val="en_US" w:bidi="en_US"/>
        </w:rPr>
        <w:t>the province/district of</w:t>
      </w:r>
      <w:r>
        <w:rPr>
          <w:lang w:val="en_US" w:bidi="en_US"/>
        </w:rPr>
        <w:t xml:space="preserve"> Abilene.</w:t>
      </w:r>
    </w:p>
    <w:p>
      <w:pPr/>
      <w:r>
        <w:rPr>
          <w:lang w:val="en_US" w:bidi="en_US"/>
        </w:rPr>
      </w:r>
      <w:r>
        <w:rPr>
          <w:lang w:val="en_US" w:bidi="en_US"/>
        </w:rPr>
        <w:t>As in 3:1c, you may need to translate this part of the verse as a complete clause. For example:</w:t>
      </w:r>
    </w:p>
    <w:p>
      <w:pPr/>
      <w:r>
        <w:rPr>
          <w:lang w:val="en_US" w:bidi="en_US"/>
        </w:rPr>
      </w:r>
      <w:r>
        <w:rPr>
          <w:lang w:val="en_US" w:bidi="en_US"/>
        </w:rPr>
        <w:t xml:space="preserve">Lysanias </w:t>
      </w:r>
      <w:r>
        <w:rPr>
          <w:lang w:val="en_US" w:bidi="en_US"/>
        </w:rPr>
        <w:t>was</w:t>
      </w:r>
      <w:r>
        <w:rPr>
          <w:lang w:val="en_US" w:bidi="en_US"/>
        </w:rPr>
        <w:t xml:space="preserve"> tetrarch of Abilene.</w:t>
      </w:r>
    </w:p>
    <w:p>
      <w:pPr/>
      <w:r>
        <w:rPr>
          <w:lang w:val="en_US" w:bidi="en_US"/>
        </w:rPr>
      </w:r>
      <w:r>
        <w:rPr>
          <w:b/>
          <w:lang w:val="en_US" w:bidi="en_US"/>
        </w:rPr>
        <w:t>Lysanias:</w:t>
      </w:r>
      <w:r>
        <w:rPr>
          <w:lang w:val="en_US" w:bidi="en_US"/>
        </w:rPr>
        <w:t xml:space="preserve"> </w:t>
      </w:r>
      <w:r>
        <w:rPr>
          <w:i/>
          <w:lang w:val="en_US" w:bidi="en_US"/>
        </w:rPr>
        <w:t>Lysanias</w:t>
      </w:r>
      <w:r>
        <w:rPr>
          <w:lang w:val="en_US" w:bidi="en_US"/>
        </w:rPr>
        <w:t xml:space="preserve"> is the name of the ruler of the district of Abilene. Scholars do not know whether he was related to Herod the Great.</w:t>
      </w:r>
    </w:p>
    <w:p>
      <w:pPr/>
      <w:r>
        <w:rPr>
          <w:lang w:val="en_US" w:bidi="en_US"/>
        </w:rPr>
      </w:r>
      <w:r>
        <w:rPr>
          <w:b/>
          <w:lang w:val="en_US" w:bidi="en_US"/>
        </w:rPr>
        <w:t>Abilene:</w:t>
      </w:r>
      <w:r>
        <w:rPr>
          <w:lang w:val="en_US" w:bidi="en_US"/>
        </w:rPr>
        <w:t xml:space="preserve"> </w:t>
      </w:r>
      <w:r>
        <w:rPr>
          <w:i/>
          <w:lang w:val="en_US" w:bidi="en_US"/>
        </w:rPr>
        <w:t>Abilene</w:t>
      </w:r>
      <w:r>
        <w:rPr>
          <w:lang w:val="en_US" w:bidi="en_US"/>
        </w:rPr>
        <w:t xml:space="preserve"> was a province/district to the north and east of Galilee.</w:t>
      </w:r>
      <w:r>
        <w:rPr>
          <w:lang w:val="en_US" w:bidi="en_US"/>
        </w:rPr>
      </w:r>
      <w:r>
        <w:rPr>
          <w:lang w:val="en_US" w:bidi="en_US"/>
        </w:rPr>
      </w:r>
    </w:p>
    <w:p>
      <w:pPr/>
      <w:r>
        <w:rPr>
          <w:lang w:val="en_US" w:bidi="en_US"/>
        </w:rPr>
      </w:r>
    </w:p>
    <w:p>
      <w:pPr>
        <w:pStyle w:val="Heading2"/>
      </w:pPr>
      <w:r>
        <w:rPr>
          <w:lang w:val="en_US" w:bidi="en_US"/>
        </w:rPr>
        <w:t>Luke 3:2</w:t>
      </w:r>
      <w:r>
        <w:rPr>
          <w:lang w:val="en_US" w:bidi="en_US"/>
        </w:rPr>
      </w:r>
    </w:p>
    <w:p>
      <w:pPr>
        <w:pStyle w:val="Heading4"/>
      </w:pPr>
      <w:r>
        <w:rPr>
          <w:lang w:val="en_US" w:bidi="en_US"/>
        </w:rPr>
        <w:t>Section 3:1–20: John the Baptizer prepared the way for Jesus</w:t>
      </w:r>
    </w:p>
    <w:p>
      <w:pPr/>
      <w:r>
        <w:rPr>
          <w:lang w:val="en_US" w:bidi="en_US"/>
        </w:rPr>
      </w:r>
      <w:r>
        <w:rPr>
          <w:lang w:val="en_US" w:bidi="en_US"/>
        </w:rP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Preaching of John (NCV)</w:t>
      </w:r>
    </w:p>
    <w:p>
      <w:pPr/>
      <w:r>
        <w:rPr>
          <w:lang w:val="en_US" w:bidi="en_US"/>
        </w:rPr>
      </w:r>
      <w:r>
        <w:rPr>
          <w:lang w:val="en_US" w:bidi="en_US"/>
        </w:rPr>
        <w:t>John the Baptist and Jesus (REB)</w:t>
      </w:r>
    </w:p>
    <w:p>
      <w:pPr/>
      <w:r>
        <w:rPr>
          <w:lang w:val="en_US" w:bidi="en_US"/>
        </w:rPr>
      </w:r>
      <w:r>
        <w:rPr>
          <w:lang w:val="en_US" w:bidi="en_US"/>
        </w:rPr>
        <w:t>John the Baptizer tells people to prepare themselves for the Messiah</w:t>
      </w:r>
    </w:p>
    <w:p>
      <w:pPr/>
      <w:r>
        <w:rPr>
          <w:lang w:val="en_US" w:bidi="en_US"/>
        </w:rPr>
      </w:r>
      <w:r>
        <w:rPr>
          <w:lang w:val="en_US" w:bidi="en_US"/>
        </w:rPr>
        <w:t>Parts of Luke 3:1–20 are basically the same as verses in Matthew 3:1–12. But Luke 3:1–2, 10–14, and 19–20 are not in Matthew.</w:t>
      </w:r>
    </w:p>
    <w:p>
      <w:pPr>
        <w:pStyle w:val="Heading4"/>
      </w:pPr>
      <w:r>
        <w:rPr>
          <w:lang w:val="en_US" w:bidi="en_US"/>
        </w:rPr>
        <w:t>Paragraph 3:1–3</w:t>
      </w:r>
    </w:p>
    <w:p>
      <w:pPr/>
      <w:r>
        <w:rPr>
          <w:lang w:val="en_US" w:bidi="en_US"/>
        </w:rPr>
      </w:r>
      <w:r>
        <w:rPr>
          <w:lang w:val="en_US" w:bidi="en_US"/>
        </w:rPr>
        <w:t>This paragraph introduces John the Baptizer and gives historical background. The information about the government and religious leaders in 3:1–2 shows the time period when John began his work. John is the main person in this section. In some languages it may be helpful to introduce John before giving the information about leaders in that time period. See the General Comment on 3:1–2 at the end of the notes on 3:2b for specific suggestions.</w:t>
      </w:r>
    </w:p>
    <w:p>
      <w:pPr/>
      <w:r>
        <w:rPr>
          <w:lang w:val="en_US" w:bidi="en_US"/>
        </w:rPr>
      </w:r>
      <w:r>
        <w:rPr>
          <w:lang w:val="en_US" w:bidi="en_US"/>
        </w:rPr>
        <w:t>In some languages, the difference between background information and the main part of a story is shown by using certain verbs or other markers. If this is true in your language, you should try to show these differences here in 3:1 and 3:2.</w:t>
      </w:r>
    </w:p>
    <w:p>
      <w:pPr>
        <w:pStyle w:val="Heading5"/>
      </w:pPr>
      <w:r>
        <w:rPr>
          <w:lang w:val="en_US" w:bidi="en_US"/>
        </w:rPr>
        <w:t>3:2a</w:t>
      </w:r>
    </w:p>
    <w:p>
      <w:pPr/>
      <w:r>
        <w:rPr>
          <w:lang w:val="en_US" w:bidi="en_US"/>
        </w:rPr>
      </w:r>
      <w:r>
        <w:rPr>
          <w:b/>
          <w:lang w:val="en_US" w:bidi="en_US"/>
        </w:rPr>
        <w:t>during the high priesthood of Annas and Caiaphas,</w:t>
      </w:r>
    </w:p>
    <w:p>
      <w:pPr>
        <w:pStyle w:val="ListBullet"/>
        <w:spacing w:line="240" w:lineRule="auto"/>
        <w:ind w:left="720"/>
      </w:pPr>
      <w:r>
        <w:rPr>
          <w:lang w:val="en_US" w:bidi="en_US"/>
        </w:rPr>
      </w:r>
      <w:r>
        <w:rPr>
          <w:lang w:val="en_US" w:bidi="en_US"/>
        </w:rPr>
        <w:t>while Annas and Caiaphas were high priests,</w:t>
      </w:r>
    </w:p>
    <w:p>
      <w:pPr>
        <w:pStyle w:val="ListBullet"/>
        <w:spacing w:line="240" w:lineRule="auto"/>
        <w:ind w:left="720"/>
      </w:pPr>
      <w:r>
        <w:rPr>
          <w:lang w:val="en_US" w:bidi="en_US"/>
        </w:rPr>
      </w:r>
      <w:r>
        <w:rPr>
          <w:lang w:val="en_US" w:bidi="en_US"/>
        </w:rPr>
        <w:t xml:space="preserve">During </w:t>
      </w:r>
      <w:r>
        <w:rPr>
          <w:lang w:val="en_US" w:bidi="en_US"/>
        </w:rPr>
        <w:t>that time</w:t>
      </w:r>
      <w:r>
        <w:rPr>
          <w:lang w:val="en_US" w:bidi="en_US"/>
        </w:rPr>
        <w:t xml:space="preserve"> Annas and Caiaphas held the position of high priest.</w:t>
      </w:r>
    </w:p>
    <w:p>
      <w:pPr/>
      <w:r>
        <w:rPr>
          <w:lang w:val="en_US" w:bidi="en_US"/>
        </w:rPr>
      </w:r>
      <w:r>
        <w:rPr>
          <w:b/>
          <w:lang w:val="en_US" w:bidi="en_US"/>
        </w:rPr>
        <w:t>during the high priesthood of Annas and Caiaphas:</w:t>
      </w:r>
      <w:r>
        <w:rPr>
          <w:lang w:val="en_US" w:bidi="en_US"/>
        </w:rPr>
        <w:t xml:space="preserve"> The Greek phrase that the BSB translates as </w:t>
      </w:r>
      <w:r>
        <w:rPr>
          <w:i/>
          <w:lang w:val="en_US" w:bidi="en_US"/>
        </w:rPr>
        <w:t>during the high priesthood of Annas and Caiaphas</w:t>
      </w:r>
      <w:r>
        <w:rPr>
          <w:lang w:val="en_US" w:bidi="en_US"/>
        </w:rPr>
        <w:t xml:space="preserve"> is literally “upon Annas [being] the high priest and Caiaphas.” It means “during the time when Annas was the high priest, and Caiaphas.” (See note below for why two men are named.) The high priest was the leader of all the Jewish priests. In New Testament times, he was also the leader of the Jewish supreme court. He was the chief judge and had great power and influence.</w:t>
      </w:r>
    </w:p>
    <w:p>
      <w:pPr/>
      <w:r>
        <w:rPr>
          <w:lang w:val="en_US" w:bidi="en_US"/>
        </w:rPr>
      </w:r>
      <w:r>
        <w:rPr>
          <w:lang w:val="en_US" w:bidi="en_US"/>
        </w:rPr>
        <w:t xml:space="preserve">The Greek noun that the BSB translates here as </w:t>
      </w:r>
      <w:r>
        <w:rPr>
          <w:i/>
          <w:lang w:val="en_US" w:bidi="en_US"/>
        </w:rPr>
        <w:t>high priesthood</w:t>
      </w:r>
      <w:r>
        <w:rPr>
          <w:lang w:val="en_US" w:bidi="en_US"/>
        </w:rPr>
        <w:t xml:space="preserve"> is singular, even though Luke mentioned two men. Use a form that is natural in your language. For example:</w:t>
      </w:r>
    </w:p>
    <w:p>
      <w:pPr/>
      <w:r>
        <w:rPr>
          <w:lang w:val="en_US" w:bidi="en_US"/>
        </w:rPr>
      </w:r>
      <w:r>
        <w:rPr>
          <w:lang w:val="en_US" w:bidi="en_US"/>
        </w:rPr>
        <w:t>when Annas and Caiaphas served as high priest(s)</w:t>
      </w:r>
    </w:p>
    <w:p>
      <w:pPr/>
      <w:r>
        <w:rPr>
          <w:lang w:val="en_US" w:bidi="en_US"/>
        </w:rPr>
      </w:r>
      <w:r>
        <w:rPr>
          <w:lang w:val="en_US" w:bidi="en_US"/>
        </w:rPr>
        <w:t>when Annas and Caiaphas led all the Jewish priests</w:t>
      </w:r>
    </w:p>
    <w:p>
      <w:pPr/>
      <w:r>
        <w:rPr>
          <w:lang w:val="en_US" w:bidi="en_US"/>
        </w:rPr>
      </w:r>
      <w:r>
        <w:rPr>
          <w:lang w:val="en_US" w:bidi="en_US"/>
        </w:rPr>
        <w:t>Annas and Caiaphas were the high priests (NLT)</w:t>
      </w:r>
    </w:p>
    <w:p>
      <w:pPr/>
      <w:r>
        <w:rPr>
          <w:lang w:val="en_US" w:bidi="en_US"/>
        </w:rPr>
      </w:r>
      <w:r>
        <w:rPr>
          <w:b/>
          <w:lang w:val="en_US" w:bidi="en_US"/>
        </w:rPr>
        <w:t>Annas and Caiaphas:</w:t>
      </w:r>
      <w:r>
        <w:rPr>
          <w:lang w:val="en_US" w:bidi="en_US"/>
        </w:rPr>
        <w:t xml:space="preserve"> </w:t>
      </w:r>
      <w:r>
        <w:rPr>
          <w:i/>
          <w:lang w:val="en_US" w:bidi="en_US"/>
        </w:rPr>
        <w:t>Annas</w:t>
      </w:r>
      <w:r>
        <w:rPr>
          <w:lang w:val="en_US" w:bidi="en_US"/>
        </w:rPr>
        <w:t xml:space="preserve"> and </w:t>
      </w:r>
      <w:r>
        <w:rPr>
          <w:i/>
          <w:lang w:val="en_US" w:bidi="en_US"/>
        </w:rPr>
        <w:t>Caiaphas</w:t>
      </w:r>
      <w:r>
        <w:rPr>
          <w:lang w:val="en_US" w:bidi="en_US"/>
        </w:rPr>
        <w:t xml:space="preserve"> are the names of two men. </w:t>
      </w:r>
      <w:r>
        <w:rPr>
          <w:i/>
          <w:lang w:val="en_US" w:bidi="en_US"/>
        </w:rPr>
        <w:t>Annas</w:t>
      </w:r>
      <w:r>
        <w:rPr>
          <w:lang w:val="en_US" w:bidi="en_US"/>
        </w:rPr>
        <w:t xml:space="preserve"> became high priest in A.D. 7. According to the Jewish custom, he was to be the high priest for as long as he lived. But the Roman governor removed Annas from his position as high priest. Later the governor appointed Annas’s son-in-law </w:t>
      </w:r>
      <w:r>
        <w:rPr>
          <w:i/>
          <w:lang w:val="en_US" w:bidi="en_US"/>
        </w:rPr>
        <w:t>Caiaphas</w:t>
      </w:r>
      <w:r>
        <w:rPr>
          <w:lang w:val="en_US" w:bidi="en_US"/>
        </w:rPr>
        <w:t xml:space="preserve"> to be the high priest. Apparently, Luke followed the Jewish custom. He still referred to </w:t>
      </w:r>
      <w:r>
        <w:rPr>
          <w:i/>
          <w:lang w:val="en_US" w:bidi="en_US"/>
        </w:rPr>
        <w:t>Annas</w:t>
      </w:r>
      <w:r>
        <w:rPr>
          <w:lang w:val="en_US" w:bidi="en_US"/>
        </w:rPr>
        <w:t xml:space="preserve"> as the priest, even though </w:t>
      </w:r>
      <w:r>
        <w:rPr>
          <w:i/>
          <w:lang w:val="en_US" w:bidi="en_US"/>
        </w:rPr>
        <w:t>Caiaphas</w:t>
      </w:r>
      <w:r>
        <w:rPr>
          <w:lang w:val="en_US" w:bidi="en_US"/>
        </w:rPr>
        <w:t xml:space="preserve"> was by then the official high priest.</w:t>
      </w:r>
    </w:p>
    <w:p>
      <w:pPr>
        <w:pStyle w:val="Heading5"/>
      </w:pPr>
      <w:r>
        <w:rPr>
          <w:lang w:val="en_US" w:bidi="en_US"/>
        </w:rPr>
        <w:t>3:2b</w:t>
      </w:r>
    </w:p>
    <w:p>
      <w:pPr/>
      <w:r>
        <w:rPr>
          <w:lang w:val="en_US" w:bidi="en_US"/>
        </w:rPr>
      </w:r>
      <w:r>
        <w:rPr>
          <w:b/>
          <w:lang w:val="en_US" w:bidi="en_US"/>
        </w:rPr>
        <w:t>the word of God came to John son of Zechariah in the wilderness.</w:t>
      </w:r>
    </w:p>
    <w:p>
      <w:pPr>
        <w:pStyle w:val="ListBullet"/>
        <w:spacing w:line="240" w:lineRule="auto"/>
        <w:ind w:left="720"/>
      </w:pPr>
      <w:r>
        <w:rPr>
          <w:lang w:val="en_US" w:bidi="en_US"/>
        </w:rPr>
      </w:r>
      <w:r>
        <w:rPr>
          <w:lang w:val="en_US" w:bidi="en_US"/>
        </w:rPr>
        <w:t xml:space="preserve">God spoke to Zechariah’s son, John, </w:t>
      </w:r>
      <w:r>
        <w:rPr>
          <w:lang w:val="en_US" w:bidi="en_US"/>
        </w:rPr>
        <w:t>while he was</w:t>
      </w:r>
      <w:r>
        <w:rPr>
          <w:lang w:val="en_US" w:bidi="en_US"/>
        </w:rPr>
        <w:t xml:space="preserve"> in the desert.</w:t>
      </w:r>
    </w:p>
    <w:p>
      <w:pPr>
        <w:pStyle w:val="ListBullet"/>
        <w:spacing w:line="240" w:lineRule="auto"/>
        <w:ind w:left="720"/>
      </w:pPr>
      <w:r>
        <w:rPr>
          <w:lang w:val="en_US" w:bidi="en_US"/>
        </w:rPr>
      </w:r>
      <w:r>
        <w:rPr>
          <w:lang w:val="en_US" w:bidi="en_US"/>
        </w:rPr>
        <w:t>Then</w:t>
      </w:r>
      <w:r>
        <w:rPr>
          <w:lang w:val="en_US" w:bidi="en_US"/>
        </w:rPr>
        <w:t xml:space="preserve"> God gave John, son of Zechariah, a message </w:t>
      </w:r>
      <w:r>
        <w:rPr>
          <w:lang w:val="en_US" w:bidi="en_US"/>
        </w:rPr>
        <w:t>while John was</w:t>
      </w:r>
      <w:r>
        <w:rPr>
          <w:lang w:val="en_US" w:bidi="en_US"/>
        </w:rPr>
        <w:t xml:space="preserve"> in the desert.</w:t>
      </w:r>
    </w:p>
    <w:p>
      <w:pPr>
        <w:pStyle w:val="ListBullet"/>
        <w:spacing w:line="240" w:lineRule="auto"/>
        <w:ind w:left="720"/>
      </w:pPr>
      <w:r>
        <w:rPr>
          <w:lang w:val="en_US" w:bidi="en_US"/>
        </w:rPr>
      </w:r>
      <w:r>
        <w:rPr>
          <w:lang w:val="en_US" w:bidi="en_US"/>
        </w:rPr>
        <w:t>At that time</w:t>
      </w:r>
      <w:r>
        <w:rPr>
          <w:lang w:val="en_US" w:bidi="en_US"/>
        </w:rPr>
        <w:t xml:space="preserve"> John the son of Zechariah </w:t>
      </w:r>
      <w:r>
        <w:rPr>
          <w:lang w:val="en_US" w:bidi="en_US"/>
        </w:rPr>
        <w:t>was living</w:t>
      </w:r>
      <w:r>
        <w:rPr>
          <w:lang w:val="en_US" w:bidi="en_US"/>
        </w:rPr>
        <w:t xml:space="preserve"> in the wilderness. There God gave him a message </w:t>
      </w:r>
      <w:r>
        <w:rPr>
          <w:lang w:val="en_US" w:bidi="en_US"/>
        </w:rPr>
        <w:t>for the people</w:t>
      </w:r>
      <w:r>
        <w:rPr>
          <w:lang w:val="en_US" w:bidi="en_US"/>
        </w:rPr>
        <w:t>.</w:t>
      </w:r>
    </w:p>
    <w:p>
      <w:pPr/>
      <w:r>
        <w:rPr>
          <w:lang w:val="en_US" w:bidi="en_US"/>
        </w:rPr>
      </w:r>
      <w:r>
        <w:rPr>
          <w:b/>
          <w:lang w:val="en_US" w:bidi="en_US"/>
        </w:rPr>
        <w:t>the word of God came to John:</w:t>
      </w:r>
      <w:r>
        <w:rPr>
          <w:lang w:val="en_US" w:bidi="en_US"/>
        </w:rPr>
        <w:t xml:space="preserve"> The phrase </w:t>
      </w:r>
      <w:r>
        <w:rPr>
          <w:i/>
          <w:lang w:val="en_US" w:bidi="en_US"/>
        </w:rPr>
        <w:t>the word of God came to John</w:t>
      </w:r>
      <w:r>
        <w:rPr>
          <w:lang w:val="en_US" w:bidi="en_US"/>
        </w:rPr>
        <w:t xml:space="preserve"> means “God spoke to John” or “God communicated a message to John.” God gave John the Baptizer the message he wanted him to preach.</w:t>
      </w:r>
    </w:p>
    <w:p>
      <w:pPr/>
      <w:r>
        <w:rPr>
          <w:lang w:val="en_US" w:bidi="en_US"/>
        </w:rPr>
      </w:r>
      <w:r>
        <w:rPr>
          <w:b/>
          <w:lang w:val="en_US" w:bidi="en_US"/>
        </w:rPr>
        <w:t>God:</w:t>
      </w:r>
      <w:r>
        <w:rPr>
          <w:lang w:val="en_US" w:bidi="en_US"/>
        </w:rPr>
        <w:t xml:space="preserve"> For help in translating the word </w:t>
      </w:r>
      <w:r>
        <w:rPr>
          <w:i/>
          <w:lang w:val="en_US" w:bidi="en_US"/>
        </w:rPr>
        <w:t>God</w:t>
      </w:r>
      <w:r>
        <w:rPr>
          <w:lang w:val="en_US" w:bidi="en_US"/>
        </w:rPr>
        <w:t>, see the note at 1:6a.</w:t>
      </w:r>
    </w:p>
    <w:p>
      <w:pPr/>
      <w:r>
        <w:rPr>
          <w:lang w:val="en_US" w:bidi="en_US"/>
        </w:rPr>
      </w:r>
      <w:r>
        <w:rPr>
          <w:b/>
          <w:lang w:val="en_US" w:bidi="en_US"/>
        </w:rPr>
        <w:t>son of Zechariah:</w:t>
      </w:r>
      <w:r>
        <w:rPr>
          <w:lang w:val="en_US" w:bidi="en_US"/>
        </w:rPr>
        <w:t xml:space="preserve"> </w:t>
      </w:r>
      <w:r>
        <w:rPr>
          <w:i/>
          <w:lang w:val="en_US" w:bidi="en_US"/>
        </w:rPr>
        <w:t>Zechariah</w:t>
      </w:r>
      <w:r>
        <w:rPr>
          <w:lang w:val="en_US" w:bidi="en_US"/>
        </w:rPr>
        <w:t xml:space="preserve"> was first mentioned in 1:5.</w:t>
      </w:r>
    </w:p>
    <w:p>
      <w:pPr/>
      <w:r>
        <w:rPr>
          <w:lang w:val="en_US" w:bidi="en_US"/>
        </w:rPr>
      </w:r>
      <w:r>
        <w:rPr>
          <w:b/>
          <w:lang w:val="en_US" w:bidi="en_US"/>
        </w:rPr>
        <w:t>wilderness:</w:t>
      </w:r>
      <w:r>
        <w:rPr>
          <w:lang w:val="en_US" w:bidi="en_US"/>
        </w:rPr>
        <w:t xml:space="preserve"> The Greek word that the BSB translates as </w:t>
      </w:r>
      <w:r>
        <w:rPr>
          <w:i/>
          <w:lang w:val="en_US" w:bidi="en_US"/>
        </w:rPr>
        <w:t>wilderness</w:t>
      </w:r>
      <w:r>
        <w:rPr>
          <w:lang w:val="en_US" w:bidi="en_US"/>
        </w:rPr>
        <w:t xml:space="preserve"> refers to a wild, desolate area where few people lived. Many English versions translate this term as “desert.” But although this kind of area was often very dry, it was not just barren sand and rock. Some wild grasses and bushes grew there. The focus here is not on how dry this place was, but rather that it was uninhabited. Translate </w:t>
      </w:r>
      <w:r>
        <w:rPr>
          <w:i/>
          <w:lang w:val="en_US" w:bidi="en_US"/>
        </w:rPr>
        <w:t>wilderness</w:t>
      </w:r>
      <w:r>
        <w:rPr>
          <w:lang w:val="en_US" w:bidi="en_US"/>
        </w:rPr>
        <w:t xml:space="preserve"> the same way here as you did in 1:80b.</w:t>
      </w:r>
    </w:p>
    <w:p>
      <w:pPr>
        <w:pStyle w:val="Heading6"/>
      </w:pPr>
      <w:r>
        <w:rPr>
          <w:b/>
          <w:lang w:val="en_US" w:bidi="en_US"/>
        </w:rPr>
        <w:t>General Comment on 3:1–2</w:t>
      </w:r>
    </w:p>
    <w:p>
      <w:pPr/>
      <w:r>
        <w:rPr>
          <w:lang w:val="en_US" w:bidi="en_US"/>
        </w:rPr>
      </w:r>
      <w:r>
        <w:rPr>
          <w:lang w:val="en_US" w:bidi="en_US"/>
        </w:rPr>
        <w:t>These verses introduce John as a major person in this section. In some languages, it may be more natural to introduce him before giving the information about the political situation at that time. To do this, it is necessary to change the order of information in these verses. There are different ways to do this. Here are two examples:</w:t>
      </w:r>
    </w:p>
    <w:p>
      <w:pPr/>
      <w:r>
        <w:rPr>
          <w:lang w:val="en_US" w:bidi="en_US"/>
        </w:rPr>
      </w:r>
      <w:r>
        <w:rPr>
          <w:vertAlign w:val="superscript"/>
          <w:lang w:val="en_US" w:bidi="en_US"/>
        </w:rPr>
        <w:t>2b</w:t>
      </w:r>
      <w:r>
        <w:rPr>
          <w:lang w:val="en_US" w:bidi="en_US"/>
        </w:rPr>
        <w:t xml:space="preserve">God gave a message to Zechariah’s son, John, while John was in the desert. </w:t>
      </w:r>
      <w:r>
        <w:rPr>
          <w:vertAlign w:val="superscript"/>
          <w:lang w:val="en_US" w:bidi="en_US"/>
        </w:rPr>
        <w:t>1a</w:t>
      </w:r>
      <w:r>
        <w:rPr>
          <w:lang w:val="en_US" w:bidi="en_US"/>
        </w:rPr>
        <w:t>This happened</w:t>
      </w:r>
      <w:r>
        <w:rPr>
          <w:lang w:val="en_US" w:bidi="en_US"/>
        </w:rPr>
        <w:t xml:space="preserve"> in the fifteenth year that Tiberius was emperor at Rome. </w:t>
      </w:r>
      <w:r>
        <w:rPr>
          <w:vertAlign w:val="superscript"/>
          <w:lang w:val="en_US" w:bidi="en_US"/>
        </w:rPr>
        <w:t>1b</w:t>
      </w:r>
      <w:r>
        <w:rPr>
          <w:lang w:val="en_US" w:bidi="en_US"/>
        </w:rPr>
        <w:t xml:space="preserve">At that time Pontius Pilate was governor of Judea, </w:t>
      </w:r>
      <w:r>
        <w:rPr>
          <w:vertAlign w:val="superscript"/>
          <w:lang w:val="en_US" w:bidi="en_US"/>
        </w:rPr>
        <w:t>1c</w:t>
      </w:r>
      <w:r>
        <w:rPr>
          <w:lang w:val="en_US" w:bidi="en_US"/>
        </w:rPr>
        <w:t xml:space="preserve">and Herod was tetrarch of Galilee. </w:t>
      </w:r>
      <w:r>
        <w:rPr>
          <w:vertAlign w:val="superscript"/>
          <w:lang w:val="en_US" w:bidi="en_US"/>
        </w:rPr>
        <w:t>1d</w:t>
      </w:r>
      <w:r>
        <w:rPr>
          <w:lang w:val="en_US" w:bidi="en_US"/>
        </w:rPr>
        <w:t>Herod’s</w:t>
      </w:r>
      <w:r>
        <w:rPr>
          <w:lang w:val="en_US" w:bidi="en_US"/>
        </w:rPr>
        <w:t xml:space="preserve"> brother Philip was tetrarch of Iturea and Traconitis, </w:t>
      </w:r>
      <w:r>
        <w:rPr>
          <w:vertAlign w:val="superscript"/>
          <w:lang w:val="en_US" w:bidi="en_US"/>
        </w:rPr>
        <w:t>1e</w:t>
      </w:r>
      <w:r>
        <w:rPr>
          <w:lang w:val="en_US" w:bidi="en_US"/>
        </w:rPr>
        <w:t xml:space="preserve">and Lysanias was tetrarch of Abilene. </w:t>
      </w:r>
      <w:r>
        <w:rPr>
          <w:vertAlign w:val="superscript"/>
          <w:lang w:val="en_US" w:bidi="en_US"/>
        </w:rPr>
        <w:t>2a</w:t>
      </w:r>
      <w:r>
        <w:rPr>
          <w:lang w:val="en_US" w:bidi="en_US"/>
        </w:rPr>
        <w:t>Annas and Caiaphas held the high priesthood.</w:t>
      </w:r>
    </w:p>
    <w:p>
      <w:pPr/>
      <w:r>
        <w:rPr>
          <w:lang w:val="en_US" w:bidi="en_US"/>
        </w:rPr>
      </w:r>
      <w:r>
        <w:rPr>
          <w:vertAlign w:val="superscript"/>
          <w:lang w:val="en_US" w:bidi="en_US"/>
        </w:rPr>
        <w:t>1a</w:t>
      </w:r>
      <w:r>
        <w:rPr>
          <w:lang w:val="en_US" w:bidi="en_US"/>
        </w:rPr>
        <w:t xml:space="preserve">In the fifteenth year that Tiberius was emperor at Rome, </w:t>
      </w:r>
      <w:r>
        <w:rPr>
          <w:vertAlign w:val="superscript"/>
          <w:lang w:val="en_US" w:bidi="en_US"/>
        </w:rPr>
        <w:t>2b</w:t>
      </w:r>
      <w:r>
        <w:rPr>
          <w:lang w:val="en_US" w:bidi="en_US"/>
        </w:rPr>
        <w:t xml:space="preserve">God spoke a message to John, son of Zechariah, while John was in the desert. </w:t>
      </w:r>
      <w:r>
        <w:rPr>
          <w:vertAlign w:val="superscript"/>
          <w:lang w:val="en_US" w:bidi="en_US"/>
        </w:rPr>
        <w:t>1b</w:t>
      </w:r>
      <w:r>
        <w:rPr>
          <w:lang w:val="en_US" w:bidi="en_US"/>
        </w:rPr>
        <w:t>At this time</w:t>
      </w:r>
      <w:r>
        <w:rPr>
          <w:lang w:val="en_US" w:bidi="en_US"/>
        </w:rPr>
        <w:t xml:space="preserve"> Pontius Pilate was governor of Judea. </w:t>
      </w:r>
      <w:r>
        <w:rPr>
          <w:vertAlign w:val="superscript"/>
          <w:lang w:val="en_US" w:bidi="en_US"/>
        </w:rPr>
        <w:t>1c</w:t>
      </w:r>
      <w:r>
        <w:rPr>
          <w:lang w:val="en_US" w:bidi="en_US"/>
        </w:rPr>
        <w:t xml:space="preserve">Herod was ruler of Galilee, </w:t>
      </w:r>
      <w:r>
        <w:rPr>
          <w:vertAlign w:val="superscript"/>
          <w:lang w:val="en_US" w:bidi="en_US"/>
        </w:rPr>
        <w:t>1d</w:t>
      </w:r>
      <w:r>
        <w:rPr>
          <w:lang w:val="en_US" w:bidi="en_US"/>
        </w:rPr>
        <w:t xml:space="preserve">his brother Philip was ruler of Iturea and Traconitis, and </w:t>
      </w:r>
      <w:r>
        <w:rPr>
          <w:vertAlign w:val="superscript"/>
          <w:lang w:val="en_US" w:bidi="en_US"/>
        </w:rPr>
        <w:t>1e</w:t>
      </w:r>
      <w:r>
        <w:rPr>
          <w:lang w:val="en_US" w:bidi="en_US"/>
        </w:rPr>
        <w:t xml:space="preserve">Lysanias was ruler of Abilene. </w:t>
      </w:r>
      <w:r>
        <w:rPr>
          <w:vertAlign w:val="superscript"/>
          <w:lang w:val="en_US" w:bidi="en_US"/>
        </w:rPr>
        <w:t>2a</w:t>
      </w:r>
      <w:r>
        <w:rPr>
          <w:lang w:val="en_US" w:bidi="en_US"/>
        </w:rPr>
        <w:t>The high priests were Annas and Caiaphas.</w:t>
      </w:r>
    </w:p>
    <w:p>
      <w:pPr/>
      <w:r>
        <w:rPr>
          <w:lang w:val="en_US" w:bidi="en_US"/>
        </w:rPr>
      </w:r>
      <w:r>
        <w:rPr>
          <w:lang w:val="en_US" w:bidi="en_US"/>
        </w:rPr>
        <w:t>Use a natural way in your language to present the information in these verses.</w:t>
      </w:r>
      <w:r>
        <w:rPr>
          <w:lang w:val="en_US" w:bidi="en_US"/>
        </w:rPr>
      </w:r>
      <w:r>
        <w:rPr>
          <w:lang w:val="en_US" w:bidi="en_US"/>
        </w:rPr>
      </w:r>
    </w:p>
    <w:p>
      <w:pPr/>
      <w:r>
        <w:rPr>
          <w:lang w:val="en_US" w:bidi="en_US"/>
        </w:rPr>
      </w:r>
    </w:p>
    <w:p>
      <w:pPr>
        <w:pStyle w:val="Heading2"/>
      </w:pPr>
      <w:r>
        <w:rPr>
          <w:lang w:val="en_US" w:bidi="en_US"/>
        </w:rPr>
        <w:t>Luke 3:3</w:t>
      </w:r>
      <w:r>
        <w:rPr>
          <w:lang w:val="en_US" w:bidi="en_US"/>
        </w:rPr>
      </w:r>
    </w:p>
    <w:p>
      <w:pPr>
        <w:pStyle w:val="Heading4"/>
      </w:pPr>
      <w:r>
        <w:rPr>
          <w:lang w:val="en_US" w:bidi="en_US"/>
        </w:rPr>
        <w:t>Section 3:1–20: John the Baptizer prepared the way for Jesus</w:t>
      </w:r>
    </w:p>
    <w:p>
      <w:pPr/>
      <w:r>
        <w:rPr>
          <w:lang w:val="en_US" w:bidi="en_US"/>
        </w:rPr>
      </w:r>
      <w:r>
        <w:rPr>
          <w:lang w:val="en_US" w:bidi="en_US"/>
        </w:rP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Preaching of John (NCV)</w:t>
      </w:r>
    </w:p>
    <w:p>
      <w:pPr/>
      <w:r>
        <w:rPr>
          <w:lang w:val="en_US" w:bidi="en_US"/>
        </w:rPr>
      </w:r>
      <w:r>
        <w:rPr>
          <w:lang w:val="en_US" w:bidi="en_US"/>
        </w:rPr>
        <w:t>John the Baptist and Jesus (REB)</w:t>
      </w:r>
    </w:p>
    <w:p>
      <w:pPr/>
      <w:r>
        <w:rPr>
          <w:lang w:val="en_US" w:bidi="en_US"/>
        </w:rPr>
      </w:r>
      <w:r>
        <w:rPr>
          <w:lang w:val="en_US" w:bidi="en_US"/>
        </w:rPr>
        <w:t>John the Baptizer tells people to prepare themselves for the Messiah</w:t>
      </w:r>
    </w:p>
    <w:p>
      <w:pPr/>
      <w:r>
        <w:rPr>
          <w:lang w:val="en_US" w:bidi="en_US"/>
        </w:rPr>
      </w:r>
      <w:r>
        <w:rPr>
          <w:lang w:val="en_US" w:bidi="en_US"/>
        </w:rPr>
        <w:t>Parts of Luke 3:1–20 are basically the same as verses in Matthew 3:1–12. But Luke 3:1–2, 10–14, and 19–20 are not in Matthew.</w:t>
      </w:r>
    </w:p>
    <w:p>
      <w:pPr>
        <w:pStyle w:val="Heading4"/>
      </w:pPr>
      <w:r>
        <w:rPr>
          <w:lang w:val="en_US" w:bidi="en_US"/>
        </w:rPr>
        <w:t>Paragraph 3:1–3</w:t>
      </w:r>
    </w:p>
    <w:p>
      <w:pPr/>
      <w:r>
        <w:rPr>
          <w:lang w:val="en_US" w:bidi="en_US"/>
        </w:rPr>
      </w:r>
      <w:r>
        <w:rPr>
          <w:lang w:val="en_US" w:bidi="en_US"/>
        </w:rPr>
        <w:t>This paragraph introduces John the Baptizer and gives historical background. The information about the government and religious leaders in 3:1–2 shows the time period when John began his work. John is the main person in this section. In some languages it may be helpful to introduce John before giving the information about leaders in that time period. See the General Comment on 3:1–2 at the end of the notes on 3:2b for specific suggestions.</w:t>
      </w:r>
    </w:p>
    <w:p>
      <w:pPr/>
      <w:r>
        <w:rPr>
          <w:lang w:val="en_US" w:bidi="en_US"/>
        </w:rPr>
      </w:r>
      <w:r>
        <w:rPr>
          <w:lang w:val="en_US" w:bidi="en_US"/>
        </w:rPr>
        <w:t>In some languages, the difference between background information and the main part of a story is shown by using certain verbs or other markers. If this is true in your language, you should try to show these differences here in 3:1 and 3:2.</w:t>
      </w:r>
    </w:p>
    <w:p>
      <w:pPr>
        <w:pStyle w:val="Heading5"/>
      </w:pPr>
      <w:r>
        <w:rPr>
          <w:lang w:val="en_US" w:bidi="en_US"/>
        </w:rPr>
        <w:t>3:3a</w:t>
      </w:r>
    </w:p>
    <w:p>
      <w:pPr/>
      <w:r>
        <w:rPr>
          <w:lang w:val="en_US" w:bidi="en_US"/>
        </w:rPr>
      </w:r>
      <w:r>
        <w:rPr>
          <w:b/>
          <w:lang w:val="en_US" w:bidi="en_US"/>
        </w:rPr>
        <w:t>He went into all the region around the Jordan,</w:t>
      </w:r>
    </w:p>
    <w:p>
      <w:pPr>
        <w:pStyle w:val="ListBullet"/>
        <w:spacing w:line="240" w:lineRule="auto"/>
        <w:ind w:left="720"/>
      </w:pPr>
      <w:r>
        <w:rPr>
          <w:lang w:val="en_US" w:bidi="en_US"/>
        </w:rPr>
      </w:r>
      <w:r>
        <w:rPr>
          <w:lang w:val="en_US" w:bidi="en_US"/>
        </w:rPr>
        <w:t>So</w:t>
      </w:r>
      <w:r>
        <w:rPr>
          <w:lang w:val="en_US" w:bidi="en_US"/>
        </w:rPr>
        <w:t xml:space="preserve"> John went all over the area around the Jordan </w:t>
      </w:r>
      <w:r>
        <w:rPr>
          <w:lang w:val="en_US" w:bidi="en_US"/>
        </w:rPr>
        <w:t>River</w:t>
      </w:r>
    </w:p>
    <w:p>
      <w:pPr>
        <w:pStyle w:val="ListBullet"/>
        <w:spacing w:line="240" w:lineRule="auto"/>
        <w:ind w:left="720"/>
      </w:pPr>
      <w:r>
        <w:rPr>
          <w:lang w:val="en_US" w:bidi="en_US"/>
        </w:rPr>
      </w:r>
      <w:r>
        <w:rPr>
          <w:lang w:val="en_US" w:bidi="en_US"/>
        </w:rPr>
        <w:t xml:space="preserve">And John went to all the places near/beside the Jordan </w:t>
      </w:r>
      <w:r>
        <w:rPr>
          <w:lang w:val="en_US" w:bidi="en_US"/>
        </w:rPr>
        <w:t>River</w:t>
      </w:r>
      <w:r>
        <w:rPr>
          <w:lang w:val="en_US" w:bidi="en_US"/>
        </w:rPr>
        <w:t>.</w:t>
      </w:r>
    </w:p>
    <w:p>
      <w:pPr/>
      <w:r>
        <w:rPr>
          <w:lang w:val="en_US" w:bidi="en_US"/>
        </w:rPr>
      </w:r>
      <w:r>
        <w:rPr>
          <w:lang w:val="en_US" w:bidi="en_US"/>
        </w:rPr>
        <w:t>In 3:3, Luke told what John did in response to God speaking to him in the previous verse (3:2). Some ways to connect these verses in English are:</w:t>
      </w:r>
    </w:p>
    <w:p>
      <w:pPr/>
      <w:r>
        <w:rPr>
          <w:lang w:val="en_US" w:bidi="en_US"/>
        </w:rPr>
      </w:r>
      <w:r>
        <w:rPr>
          <w:lang w:val="en_US" w:bidi="en_US"/>
        </w:rPr>
        <w:t>Then John went (NLT)</w:t>
      </w:r>
    </w:p>
    <w:p>
      <w:pPr/>
      <w:r>
        <w:rPr>
          <w:lang w:val="en_US" w:bidi="en_US"/>
        </w:rPr>
      </w:r>
      <w:r>
        <w:rPr>
          <w:lang w:val="en_US" w:bidi="en_US"/>
        </w:rPr>
        <w:t>So John went (GNT)</w:t>
      </w:r>
    </w:p>
    <w:p>
      <w:pPr/>
      <w:r>
        <w:rPr>
          <w:lang w:val="en_US" w:bidi="en_US"/>
        </w:rPr>
      </w:r>
      <w:r>
        <w:rPr>
          <w:lang w:val="en_US" w:bidi="en_US"/>
        </w:rPr>
        <w:t>And he went (REB)</w:t>
      </w:r>
    </w:p>
    <w:p>
      <w:pPr/>
      <w:r>
        <w:rPr>
          <w:lang w:val="en_US" w:bidi="en_US"/>
        </w:rPr>
      </w:r>
      <w:r>
        <w:rPr>
          <w:lang w:val="en_US" w:bidi="en_US"/>
        </w:rPr>
        <w:t>This verse begins with a conjunction in Greek that is often translated as “and.” Here it may indicate that John went into the region around the Jordan River in response to the “word” that “came” to him from God. To show this, some versions (such as the CEV) translate this conjunction as “So.” But in some languages, a conjunction may not be needed (as in the BSB). Introduce what John did in a way that is natural in your language.</w:t>
      </w:r>
    </w:p>
    <w:p>
      <w:pPr/>
      <w:r>
        <w:rPr>
          <w:lang w:val="en_US" w:bidi="en_US"/>
        </w:rPr>
      </w:r>
      <w:r>
        <w:rPr>
          <w:b/>
          <w:lang w:val="en_US" w:bidi="en_US"/>
        </w:rPr>
        <w:t>He went into all the region around the Jordan:</w:t>
      </w:r>
      <w:r>
        <w:rPr>
          <w:lang w:val="en_US" w:bidi="en_US"/>
        </w:rPr>
        <w:t xml:space="preserve"> Some English versions, such as the NIV, say “country” here instead of </w:t>
      </w:r>
      <w:r>
        <w:rPr>
          <w:i/>
          <w:lang w:val="en_US" w:bidi="en_US"/>
        </w:rPr>
        <w:t>region</w:t>
      </w:r>
      <w:r>
        <w:rPr>
          <w:lang w:val="en_US" w:bidi="en_US"/>
        </w:rPr>
        <w:t>. John was preaching in the general area around the Jordan River. Some other ways to say this are:</w:t>
      </w:r>
    </w:p>
    <w:p>
      <w:pPr/>
      <w:r>
        <w:rPr>
          <w:lang w:val="en_US" w:bidi="en_US"/>
        </w:rPr>
      </w:r>
      <w:r>
        <w:rPr>
          <w:lang w:val="en_US" w:bidi="en_US"/>
        </w:rPr>
        <w:t>He went all over the area around the Jordan River (NCV)</w:t>
      </w:r>
    </w:p>
    <w:p>
      <w:pPr/>
      <w:r>
        <w:rPr>
          <w:lang w:val="en_US" w:bidi="en_US"/>
        </w:rPr>
      </w:r>
      <w:r>
        <w:rPr>
          <w:lang w:val="en_US" w:bidi="en_US"/>
        </w:rPr>
        <w:t>John traveled throughout the region around the Jordan River. (GW)</w:t>
      </w:r>
    </w:p>
    <w:p>
      <w:pPr/>
      <w:r>
        <w:rPr>
          <w:lang w:val="en_US" w:bidi="en_US"/>
        </w:rPr>
      </w:r>
      <w:r>
        <w:rPr>
          <w:lang w:val="en_US" w:bidi="en_US"/>
        </w:rPr>
        <w:t>Then John went from place to place on both sides of the Jordan River (NLT)</w:t>
      </w:r>
    </w:p>
    <w:p>
      <w:pPr>
        <w:pStyle w:val="Heading5"/>
      </w:pPr>
      <w:r>
        <w:rPr>
          <w:lang w:val="en_US" w:bidi="en_US"/>
        </w:rPr>
        <w:t>3:3b</w:t>
      </w:r>
    </w:p>
    <w:p>
      <w:pPr/>
      <w:r>
        <w:rPr>
          <w:lang w:val="en_US" w:bidi="en_US"/>
        </w:rPr>
      </w:r>
      <w:r>
        <w:rPr>
          <w:b/>
          <w:lang w:val="en_US" w:bidi="en_US"/>
        </w:rPr>
        <w:t>preaching</w:t>
      </w:r>
    </w:p>
    <w:p>
      <w:pPr>
        <w:pStyle w:val="ListBullet"/>
        <w:spacing w:line="240" w:lineRule="auto"/>
        <w:ind w:left="720"/>
      </w:pPr>
      <w:r>
        <w:rPr>
          <w:lang w:val="en_US" w:bidi="en_US"/>
        </w:rPr>
      </w:r>
      <w:r>
        <w:rPr>
          <w:lang w:val="en_US" w:bidi="en_US"/>
        </w:rPr>
        <w:t>declaring/announcing that</w:t>
      </w:r>
    </w:p>
    <w:p>
      <w:pPr>
        <w:pStyle w:val="ListBullet"/>
        <w:spacing w:line="240" w:lineRule="auto"/>
        <w:ind w:left="720"/>
      </w:pPr>
      <w:r>
        <w:rPr>
          <w:lang w:val="en_US" w:bidi="en_US"/>
        </w:rPr>
      </w:r>
      <w:r>
        <w:rPr>
          <w:lang w:val="en_US" w:bidi="en_US"/>
        </w:rPr>
        <w:t xml:space="preserve">and preached </w:t>
      </w:r>
      <w:r>
        <w:rPr>
          <w:lang w:val="en_US" w:bidi="en_US"/>
        </w:rPr>
        <w:t>to the people</w:t>
      </w:r>
      <w:r>
        <w:rPr>
          <w:lang w:val="en_US" w:bidi="en_US"/>
        </w:rPr>
        <w:t>.</w:t>
      </w:r>
    </w:p>
    <w:p>
      <w:pPr>
        <w:pStyle w:val="ListBullet"/>
        <w:spacing w:line="240" w:lineRule="auto"/>
        <w:ind w:left="720"/>
      </w:pPr>
      <w:r>
        <w:rPr>
          <w:lang w:val="en_US" w:bidi="en_US"/>
        </w:rPr>
      </w:r>
      <w:r>
        <w:rPr>
          <w:lang w:val="en_US" w:bidi="en_US"/>
        </w:rPr>
        <w:t xml:space="preserve">He proclaimed </w:t>
      </w:r>
      <w:r>
        <w:rPr>
          <w:lang w:val="en_US" w:bidi="en_US"/>
        </w:rPr>
        <w:t>this message</w:t>
      </w:r>
      <w:r>
        <w:rPr>
          <w:lang w:val="en_US" w:bidi="en_US"/>
        </w:rPr>
        <w:t>:</w:t>
      </w:r>
    </w:p>
    <w:p>
      <w:pPr/>
      <w:r>
        <w:rPr>
          <w:lang w:val="en_US" w:bidi="en_US"/>
        </w:rPr>
      </w:r>
      <w:r>
        <w:rPr>
          <w:b/>
          <w:lang w:val="en_US" w:bidi="en_US"/>
        </w:rPr>
        <w:t>preaching:</w:t>
      </w:r>
      <w:r>
        <w:rPr>
          <w:lang w:val="en_US" w:bidi="en_US"/>
        </w:rPr>
        <w:t xml:space="preserve"> The Greek word that the BSB translates here as </w:t>
      </w:r>
      <w:r>
        <w:rPr>
          <w:i/>
          <w:lang w:val="en_US" w:bidi="en_US"/>
        </w:rPr>
        <w:t>preaching</w:t>
      </w:r>
      <w:r>
        <w:rPr>
          <w:lang w:val="en_US" w:bidi="en_US"/>
        </w:rPr>
        <w:t xml:space="preserve"> means to tell people something important publicly. John was proclaiming God’s message to the crowds who came to listen. Some other ways to translate </w:t>
      </w:r>
      <w:r>
        <w:rPr>
          <w:i/>
          <w:lang w:val="en_US" w:bidi="en_US"/>
        </w:rPr>
        <w:t>preaching</w:t>
      </w:r>
      <w:r>
        <w:rPr>
          <w:lang w:val="en_US" w:bidi="en_US"/>
        </w:rPr>
        <w:t xml:space="preserve"> in this context are:</w:t>
      </w:r>
    </w:p>
    <w:p>
      <w:pPr/>
      <w:r>
        <w:rPr>
          <w:lang w:val="en_US" w:bidi="en_US"/>
        </w:rPr>
      </w:r>
      <w:r>
        <w:rPr>
          <w:lang w:val="en_US" w:bidi="en_US"/>
        </w:rPr>
        <w:t>announcing</w:t>
      </w:r>
    </w:p>
    <w:p>
      <w:pPr/>
      <w:r>
        <w:rPr>
          <w:lang w:val="en_US" w:bidi="en_US"/>
        </w:rPr>
      </w:r>
      <w:r>
        <w:rPr>
          <w:lang w:val="en_US" w:bidi="en_US"/>
        </w:rPr>
        <w:t>proclaiming</w:t>
      </w:r>
    </w:p>
    <w:p>
      <w:pPr/>
      <w:r>
        <w:rPr>
          <w:lang w:val="en_US" w:bidi="en_US"/>
        </w:rPr>
      </w:r>
      <w:r>
        <w:rPr>
          <w:lang w:val="en_US" w:bidi="en_US"/>
        </w:rPr>
        <w:t>declaring</w:t>
      </w:r>
    </w:p>
    <w:p>
      <w:pPr/>
      <w:r>
        <w:rPr>
          <w:lang w:val="en_US" w:bidi="en_US"/>
        </w:rPr>
      </w:r>
      <w:r>
        <w:rPr>
          <w:lang w:val="en_US" w:bidi="en_US"/>
        </w:rPr>
        <w:t>telling people</w:t>
      </w:r>
    </w:p>
    <w:p>
      <w:pPr/>
      <w:r>
        <w:rPr>
          <w:lang w:val="en_US" w:bidi="en_US"/>
        </w:rPr>
      </w:r>
      <w:r>
        <w:rPr>
          <w:lang w:val="en_US" w:bidi="en_US"/>
        </w:rPr>
        <w:t>In some languages it may be natural to start a new clause or sentence here. For example:</w:t>
      </w:r>
    </w:p>
    <w:p>
      <w:pPr/>
      <w:r>
        <w:rPr>
          <w:lang w:val="en_US" w:bidi="en_US"/>
        </w:rPr>
      </w:r>
      <w:r>
        <w:rPr>
          <w:lang w:val="en_US" w:bidi="en_US"/>
        </w:rPr>
        <w:t>He told people about (GW)</w:t>
      </w:r>
    </w:p>
    <w:p>
      <w:pPr>
        <w:pStyle w:val="Heading5"/>
      </w:pPr>
      <w:r>
        <w:rPr>
          <w:lang w:val="en_US" w:bidi="en_US"/>
        </w:rPr>
        <w:t>3:3c</w:t>
      </w:r>
    </w:p>
    <w:p>
      <w:pPr/>
      <w:r>
        <w:rPr>
          <w:lang w:val="en_US" w:bidi="en_US"/>
        </w:rPr>
      </w:r>
      <w:r>
        <w:rPr>
          <w:b/>
          <w:lang w:val="en_US" w:bidi="en_US"/>
        </w:rPr>
        <w:t>a baptism of repentance for the forgiveness of sins,</w:t>
      </w:r>
    </w:p>
    <w:p>
      <w:pPr>
        <w:pStyle w:val="ListBullet"/>
        <w:spacing w:line="240" w:lineRule="auto"/>
        <w:ind w:left="720"/>
      </w:pPr>
      <w:r>
        <w:rPr>
          <w:lang w:val="en_US" w:bidi="en_US"/>
        </w:rPr>
      </w:r>
      <w:r>
        <w:rPr>
          <w:lang w:val="en_US" w:bidi="en_US"/>
        </w:rPr>
        <w:t>people</w:t>
      </w:r>
      <w:r>
        <w:rPr>
          <w:lang w:val="en_US" w:bidi="en_US"/>
        </w:rPr>
        <w:t xml:space="preserve"> should repent and be baptized in order for their sins to be forgiven.</w:t>
      </w:r>
    </w:p>
    <w:p>
      <w:pPr>
        <w:pStyle w:val="ListBullet"/>
        <w:spacing w:line="240" w:lineRule="auto"/>
        <w:ind w:left="720"/>
      </w:pPr>
      <w:r>
        <w:rPr>
          <w:lang w:val="en_US" w:bidi="en_US"/>
        </w:rPr>
      </w:r>
      <w:r>
        <w:rPr>
          <w:lang w:val="en_US" w:bidi="en_US"/>
        </w:rPr>
        <w:t>He told them to reject sin and have him baptize them, so that their guilt might be cancelled.</w:t>
      </w:r>
    </w:p>
    <w:p>
      <w:pPr>
        <w:pStyle w:val="ListBullet"/>
        <w:spacing w:line="240" w:lineRule="auto"/>
        <w:ind w:left="720"/>
      </w:pPr>
      <w:r>
        <w:rPr>
          <w:lang w:val="en_US" w:bidi="en_US"/>
        </w:rPr>
      </w:r>
      <w:r>
        <w:rPr>
          <w:lang w:val="en_US" w:bidi="en_US"/>
        </w:rPr>
        <w:t>“Turn away from your</w:t>
      </w:r>
      <w:r>
        <w:rPr>
          <w:vertAlign w:val="superscript"/>
          <w:lang w:val="en_US" w:bidi="en_US"/>
        </w:rPr>
        <w:t>(plur)</w:t>
      </w:r>
      <w:r>
        <w:rPr>
          <w:lang w:val="en_US" w:bidi="en_US"/>
        </w:rPr>
        <w:t xml:space="preserve"> sins and I will baptize you, so that </w:t>
      </w:r>
      <w:r>
        <w:rPr>
          <w:lang w:val="en_US" w:bidi="en_US"/>
        </w:rPr>
        <w:t>God</w:t>
      </w:r>
      <w:r>
        <w:rPr>
          <w:lang w:val="en_US" w:bidi="en_US"/>
        </w:rPr>
        <w:t xml:space="preserve"> will forgive your sins!”</w:t>
      </w:r>
    </w:p>
    <w:p>
      <w:pPr/>
      <w:r>
        <w:rPr>
          <w:lang w:val="en_US" w:bidi="en_US"/>
        </w:rPr>
      </w:r>
      <w:r>
        <w:rPr>
          <w:b/>
          <w:lang w:val="en_US" w:bidi="en_US"/>
        </w:rPr>
        <w:t>a baptism of repentance:</w:t>
      </w:r>
      <w:r>
        <w:rPr>
          <w:lang w:val="en_US" w:bidi="en_US"/>
        </w:rPr>
        <w:t xml:space="preserve"> The phrase </w:t>
      </w:r>
      <w:r>
        <w:rPr>
          <w:i/>
          <w:lang w:val="en_US" w:bidi="en_US"/>
        </w:rPr>
        <w:t>a baptism of repentance</w:t>
      </w:r>
      <w:r>
        <w:rPr>
          <w:lang w:val="en_US" w:bidi="en_US"/>
        </w:rPr>
        <w:t xml:space="preserve"> means “a baptism that shows repentance.” Baptism was a way for people to show that they were changing their sinful attitudes and actions.</w:t>
      </w:r>
    </w:p>
    <w:p>
      <w:pPr/>
      <w:r>
        <w:rPr>
          <w:lang w:val="en_US" w:bidi="en_US"/>
        </w:rPr>
      </w:r>
      <w:r>
        <w:rPr>
          <w:lang w:val="en_US" w:bidi="en_US"/>
        </w:rPr>
        <w:t>John was telling people to repent and be baptized. So in some languages it may be necessary to reverse the order of the actions. For example:</w:t>
      </w:r>
    </w:p>
    <w:p>
      <w:pPr/>
      <w:r>
        <w:rPr>
          <w:lang w:val="en_US" w:bidi="en_US"/>
        </w:rPr>
      </w:r>
      <w:r>
        <w:rPr>
          <w:lang w:val="en_US" w:bidi="en_US"/>
        </w:rPr>
        <w:t>repent and be baptized</w:t>
      </w:r>
    </w:p>
    <w:p>
      <w:pPr/>
      <w:r>
        <w:rPr>
          <w:lang w:val="en_US" w:bidi="en_US"/>
        </w:rPr>
      </w:r>
      <w:r>
        <w:rPr>
          <w:lang w:val="en_US" w:bidi="en_US"/>
        </w:rPr>
        <w:t xml:space="preserve">The phrase </w:t>
      </w:r>
      <w:r>
        <w:rPr>
          <w:i/>
          <w:lang w:val="en_US" w:bidi="en_US"/>
        </w:rPr>
        <w:t>a baptism of repentance</w:t>
      </w:r>
      <w:r>
        <w:rPr>
          <w:lang w:val="en_US" w:bidi="en_US"/>
        </w:rPr>
        <w:t xml:space="preserve"> expresses the content of John’s preaching (3:3b). In some languages it may be necessary to use direct speech here. For example:</w:t>
      </w:r>
    </w:p>
    <w:p>
      <w:pPr/>
      <w:r>
        <w:rPr>
          <w:lang w:val="en_US" w:bidi="en_US"/>
        </w:rPr>
      </w:r>
      <w:r>
        <w:rPr>
          <w:lang w:val="en_US" w:bidi="en_US"/>
        </w:rPr>
        <w:t>telling the people, “Turn back to God and be baptized…” (CEV)</w:t>
      </w:r>
    </w:p>
    <w:p>
      <w:pPr/>
      <w:r>
        <w:rPr>
          <w:lang w:val="en_US" w:bidi="en_US"/>
        </w:rPr>
      </w:r>
      <w:r>
        <w:rPr>
          <w:lang w:val="en_US" w:bidi="en_US"/>
        </w:rPr>
        <w:t>In some languages it may not be natural or even possible to use the passive verb “be baptized.” In those languages it may be possible to say:</w:t>
      </w:r>
    </w:p>
    <w:p>
      <w:pPr/>
      <w:r>
        <w:rPr>
          <w:lang w:val="en_US" w:bidi="en_US"/>
        </w:rPr>
      </w:r>
      <w:r>
        <w:rPr>
          <w:lang w:val="en_US" w:bidi="en_US"/>
        </w:rPr>
        <w:t>repent and I will baptize you</w:t>
      </w:r>
    </w:p>
    <w:p>
      <w:pPr/>
      <w:r>
        <w:rPr>
          <w:lang w:val="en_US" w:bidi="en_US"/>
        </w:rPr>
      </w:r>
      <w:r>
        <w:rPr>
          <w:b/>
          <w:lang w:val="en_US" w:bidi="en_US"/>
        </w:rPr>
        <w:t>baptism:</w:t>
      </w:r>
      <w:r>
        <w:rPr>
          <w:lang w:val="en_US" w:bidi="en_US"/>
        </w:rPr>
        <w:t xml:space="preserve"> The word </w:t>
      </w:r>
      <w:r>
        <w:rPr>
          <w:i/>
          <w:lang w:val="en_US" w:bidi="en_US"/>
        </w:rPr>
        <w:t>baptism</w:t>
      </w:r>
      <w:r>
        <w:rPr>
          <w:lang w:val="en_US" w:bidi="en_US"/>
        </w:rPr>
        <w:t xml:space="preserve">The English word </w:t>
      </w:r>
      <w:r>
        <w:rPr>
          <w:i/>
          <w:lang w:val="en_US" w:bidi="en_US"/>
        </w:rPr>
        <w:t>baptism</w:t>
      </w:r>
      <w:r>
        <w:rPr>
          <w:lang w:val="en_US" w:bidi="en_US"/>
        </w:rPr>
        <w:t xml:space="preserve"> comes from the Greek word </w:t>
      </w:r>
      <w:r>
        <w:rPr>
          <w:i/>
          <w:lang w:val="en_US" w:bidi="en_US"/>
        </w:rPr>
        <w:t>baptisma</w:t>
      </w:r>
      <w:r>
        <w:rPr>
          <w:lang w:val="en_US" w:bidi="en_US"/>
        </w:rPr>
        <w:t>.</w:t>
      </w:r>
      <w:r>
        <w:rPr>
          <w:lang w:val="en_US" w:bidi="en_US"/>
        </w:rPr>
        <w:t xml:space="preserve"> refers to a ceremonial washing</w:t>
      </w:r>
      <w:r>
        <w:rPr>
          <w:lang w:val="en_US" w:bidi="en_US"/>
        </w:rPr>
        <w:t xml:space="preserve">The verbs “to wash” and “to clean” are synonyms of the Greek verb for “baptize.” For example, in Luke 11:38, “But the Pharisee was surprised to see that Jesus did not first wash (baptize) before the meal.” (The Greek verb here is </w:t>
      </w:r>
      <w:r>
        <w:rPr>
          <w:i/>
          <w:lang w:val="en_US" w:bidi="en_US"/>
        </w:rPr>
        <w:t>baptizō</w:t>
      </w:r>
      <w:r>
        <w:rPr>
          <w:lang w:val="en_US" w:bidi="en_US"/>
        </w:rPr>
        <w:t xml:space="preserve">, but English versions translate it as “wash.”) Mark 7:4 and Matthew 23:25 both speak of washing/cleaning cups and other utensils. The verb in Mark is </w:t>
      </w:r>
      <w:r>
        <w:rPr>
          <w:i/>
          <w:lang w:val="en_US" w:bidi="en_US"/>
        </w:rPr>
        <w:t>baptizō</w:t>
      </w:r>
      <w:r>
        <w:rPr>
          <w:lang w:val="en_US" w:bidi="en_US"/>
        </w:rPr>
        <w:t xml:space="preserve"> while the verb in Matthew is </w:t>
      </w:r>
      <w:r>
        <w:rPr>
          <w:i/>
          <w:lang w:val="en_US" w:bidi="en_US"/>
        </w:rPr>
        <w:t>katharizō</w:t>
      </w:r>
      <w:r>
        <w:rPr>
          <w:lang w:val="en_US" w:bidi="en_US"/>
        </w:rPr>
        <w:t xml:space="preserve"> (clean). Mark 7:4 says, “And there are many other traditions for them to observe, including the washing (baptizing) of cups, pitchers, kettles, and couches for dining.” Matthew 23:25 says, “You clean (</w:t>
      </w:r>
      <w:r>
        <w:rPr>
          <w:i/>
          <w:lang w:val="en_US" w:bidi="en_US"/>
        </w:rPr>
        <w:t>katharizō</w:t>
      </w:r>
      <w:r>
        <w:rPr>
          <w:lang w:val="en_US" w:bidi="en_US"/>
        </w:rPr>
        <w:t>) the outside of the cup and dish.”</w:t>
      </w:r>
      <w:r>
        <w:rPr>
          <w:lang w:val="en_US" w:bidi="en_US"/>
        </w:rPr>
        <w:t xml:space="preserve"> to purify someone or something. In this context </w:t>
      </w:r>
      <w:r>
        <w:rPr>
          <w:i/>
          <w:lang w:val="en_US" w:bidi="en_US"/>
        </w:rPr>
        <w:t>baptism</w:t>
      </w:r>
      <w:r>
        <w:rPr>
          <w:lang w:val="en_US" w:bidi="en_US"/>
        </w:rPr>
        <w:t xml:space="preserve"> is connected to a person being purified from sin. It is an initiation into a new spiritual condition.</w:t>
      </w:r>
    </w:p>
    <w:p>
      <w:pPr/>
      <w:r>
        <w:rPr>
          <w:lang w:val="en_US" w:bidi="en_US"/>
        </w:rPr>
      </w:r>
      <w:r>
        <w:rPr>
          <w:lang w:val="en_US" w:bidi="en_US"/>
        </w:rPr>
        <w:t xml:space="preserve">You should translate the noun </w:t>
      </w:r>
      <w:r>
        <w:rPr>
          <w:i/>
          <w:lang w:val="en_US" w:bidi="en_US"/>
        </w:rPr>
        <w:t>baptism</w:t>
      </w:r>
      <w:r>
        <w:rPr>
          <w:lang w:val="en_US" w:bidi="en_US"/>
        </w:rPr>
        <w:t xml:space="preserve"> in a similar way as you translate the verb “baptize.” Here are some ways to translate </w:t>
      </w:r>
      <w:r>
        <w:rPr>
          <w:i/>
          <w:lang w:val="en_US" w:bidi="en_US"/>
        </w:rPr>
        <w:t>baptism</w:t>
      </w:r>
      <w:r>
        <w:rPr>
          <w:lang w:val="en_US" w:bidi="en_US"/>
        </w:rPr>
        <w:t>:</w:t>
      </w:r>
    </w:p>
    <w:p>
      <w:pPr>
        <w:pStyle w:val="ListBullet"/>
        <w:spacing w:line="240" w:lineRule="auto"/>
        <w:ind w:left="720"/>
      </w:pPr>
      <w:r>
        <w:rPr>
          <w:lang w:val="en_US" w:bidi="en_US"/>
        </w:rPr>
      </w:r>
      <w:r>
        <w:rPr>
          <w:lang w:val="en_US" w:bidi="en_US"/>
        </w:rPr>
        <w:t>Use a descriptive phrase:</w:t>
      </w:r>
      <w:r>
        <w:rPr>
          <w:lang w:val="en_US" w:bidi="en_US"/>
        </w:rPr>
        <w:t>sacred washing</w:t>
      </w:r>
      <w:r>
        <w:rPr>
          <w:lang w:val="en_US" w:bidi="en_US"/>
        </w:rPr>
        <w:t xml:space="preserve">purification/initiation </w:t>
      </w:r>
      <w:r>
        <w:rPr>
          <w:lang w:val="en_US" w:bidi="en_US"/>
        </w:rPr>
        <w:t>for God</w:t>
      </w:r>
      <w:r>
        <w:rPr>
          <w:lang w:val="en_US" w:bidi="en_US"/>
        </w:rPr>
        <w:t>entering water</w:t>
      </w:r>
    </w:p>
    <w:p>
      <w:pPr>
        <w:pStyle w:val="ListBullet"/>
        <w:spacing w:line="240" w:lineRule="auto"/>
        <w:ind w:left="720"/>
      </w:pPr>
      <w:r>
        <w:rPr>
          <w:lang w:val="en_US" w:bidi="en_US"/>
        </w:rPr>
      </w:r>
      <w:r>
        <w:rPr>
          <w:lang w:val="en_US" w:bidi="en_US"/>
        </w:rPr>
        <w:t>Use a term for a similar ritual that is already part of your culture. You may need to indicate that in this context it has a special connection with God. For example:</w:t>
      </w:r>
      <w:r>
        <w:rPr>
          <w:u w:val="single"/>
          <w:lang w:val="en_US" w:bidi="en_US"/>
        </w:rPr>
        <w:t>God’s</w:t>
      </w:r>
      <w:r>
        <w:rPr>
          <w:lang w:val="en_US" w:bidi="en_US"/>
        </w:rPr>
        <w:t xml:space="preserve"> ceremonial bath</w:t>
      </w:r>
      <w:r>
        <w:rPr>
          <w:lang w:val="en_US" w:bidi="en_US"/>
        </w:rPr>
        <w:t xml:space="preserve">initiation washing </w:t>
      </w:r>
      <w:r>
        <w:rPr>
          <w:u w:val="single"/>
          <w:lang w:val="en_US" w:bidi="en_US"/>
        </w:rPr>
        <w:t>for God</w:t>
      </w:r>
    </w:p>
    <w:p>
      <w:pPr>
        <w:pStyle w:val="ListBullet"/>
        <w:spacing w:line="240" w:lineRule="auto"/>
        <w:ind w:left="720"/>
      </w:pPr>
      <w:r>
        <w:rPr>
          <w:lang w:val="en_US" w:bidi="en_US"/>
        </w:rPr>
      </w:r>
      <w:r>
        <w:rPr>
          <w:lang w:val="en_US" w:bidi="en_US"/>
        </w:rPr>
        <w:t>Use a term that is already accepted by the local churches. In some areas this term may have been borrowed from the national language or transliterated from Greek or English.</w:t>
      </w:r>
    </w:p>
    <w:p>
      <w:pPr/>
      <w:r>
        <w:rPr>
          <w:lang w:val="en_US" w:bidi="en_US"/>
        </w:rPr>
      </w:r>
      <w:r>
        <w:rPr>
          <w:lang w:val="en_US" w:bidi="en_US"/>
        </w:rPr>
        <w:t xml:space="preserve">In some languages you may need to </w:t>
      </w:r>
      <w:r>
        <w:rPr>
          <w:u w:val="single"/>
          <w:lang w:val="en_US" w:bidi="en_US"/>
        </w:rPr>
        <w:t>use a verb</w:t>
      </w:r>
      <w:r>
        <w:rPr>
          <w:lang w:val="en_US" w:bidi="en_US"/>
        </w:rPr>
        <w:t xml:space="preserve"> to translate </w:t>
      </w:r>
      <w:r>
        <w:rPr>
          <w:i/>
          <w:lang w:val="en_US" w:bidi="en_US"/>
        </w:rPr>
        <w:t>baptism</w:t>
      </w:r>
      <w:r>
        <w:rPr>
          <w:lang w:val="en_US" w:bidi="en_US"/>
        </w:rPr>
        <w:t>. For example:</w:t>
      </w:r>
    </w:p>
    <w:p>
      <w:pPr/>
      <w:r>
        <w:rPr>
          <w:lang w:val="en_US" w:bidi="en_US"/>
        </w:rPr>
      </w:r>
      <w:r>
        <w:rPr>
          <w:lang w:val="en_US" w:bidi="en_US"/>
        </w:rPr>
        <w:t>ritually</w:t>
      </w:r>
      <w:r>
        <w:rPr>
          <w:lang w:val="en_US" w:bidi="en_US"/>
        </w:rPr>
        <w:t xml:space="preserve"> wash/clean</w:t>
      </w:r>
    </w:p>
    <w:p>
      <w:pPr/>
      <w:r>
        <w:rPr>
          <w:lang w:val="en_US" w:bidi="en_US"/>
        </w:rPr>
      </w:r>
      <w:r>
        <w:rPr>
          <w:lang w:val="en_US" w:bidi="en_US"/>
        </w:rPr>
        <w:t xml:space="preserve">initiate </w:t>
      </w:r>
      <w:r>
        <w:rPr>
          <w:lang w:val="en_US" w:bidi="en_US"/>
        </w:rPr>
        <w:t>people</w:t>
      </w:r>
      <w:r>
        <w:rPr>
          <w:lang w:val="en_US" w:bidi="en_US"/>
        </w:rPr>
        <w:t xml:space="preserve"> in/with water</w:t>
      </w:r>
    </w:p>
    <w:p>
      <w:pPr/>
      <w:r>
        <w:rPr>
          <w:lang w:val="en_US" w:bidi="en_US"/>
        </w:rPr>
      </w:r>
      <w:r>
        <w:rPr>
          <w:lang w:val="en_US" w:bidi="en_US"/>
        </w:rPr>
        <w:t>purify people in God’s ceremonial bath</w:t>
      </w:r>
    </w:p>
    <w:p>
      <w:pPr/>
      <w:r>
        <w:rPr>
          <w:lang w:val="en_US" w:bidi="en_US"/>
        </w:rPr>
      </w:r>
      <w:r>
        <w:rPr>
          <w:lang w:val="en_US" w:bidi="en_US"/>
        </w:rPr>
        <w:t>See baptize, Meaning 1, in the Glossary.</w:t>
      </w:r>
    </w:p>
    <w:p>
      <w:pPr/>
      <w:r>
        <w:rPr>
          <w:lang w:val="en_US" w:bidi="en_US"/>
        </w:rPr>
      </w:r>
      <w:r>
        <w:rPr>
          <w:b/>
          <w:lang w:val="en_US" w:bidi="en_US"/>
        </w:rPr>
        <w:t>repentance:</w:t>
      </w:r>
      <w:r>
        <w:rPr>
          <w:lang w:val="en_US" w:bidi="en_US"/>
        </w:rPr>
        <w:t xml:space="preserve"> The Greek word that the BSB translates as </w:t>
      </w:r>
      <w:r>
        <w:rPr>
          <w:i/>
          <w:lang w:val="en_US" w:bidi="en_US"/>
        </w:rPr>
        <w:t>repentance</w:t>
      </w:r>
      <w:r>
        <w:rPr>
          <w:lang w:val="en_US" w:bidi="en_US"/>
        </w:rPr>
        <w:t xml:space="preserve"> means “a change of a person’s mind, heart, or will.” In the Bible it refers specifically to a change of mind and heart about sin and about God. The person who repents is sorry for his past sins. He decides to stop sinning and to obey God.</w:t>
      </w:r>
    </w:p>
    <w:p>
      <w:pPr/>
      <w:r>
        <w:rPr>
          <w:lang w:val="en_US" w:bidi="en_US"/>
        </w:rPr>
      </w:r>
      <w:r>
        <w:rPr>
          <w:lang w:val="en_US" w:bidi="en_US"/>
        </w:rPr>
        <w:t xml:space="preserve">Some ways to translate </w:t>
      </w:r>
      <w:r>
        <w:rPr>
          <w:i/>
          <w:lang w:val="en_US" w:bidi="en_US"/>
        </w:rPr>
        <w:t>repentance</w:t>
      </w:r>
      <w:r>
        <w:rPr>
          <w:lang w:val="en_US" w:bidi="en_US"/>
        </w:rPr>
        <w:t xml:space="preserve"> are:</w:t>
      </w:r>
    </w:p>
    <w:p>
      <w:pPr/>
      <w:r>
        <w:rPr>
          <w:lang w:val="en_US" w:bidi="en_US"/>
        </w:rPr>
      </w:r>
      <w:r>
        <w:rPr>
          <w:lang w:val="en_US" w:bidi="en_US"/>
        </w:rPr>
        <w:t>changing heart/mind</w:t>
      </w:r>
    </w:p>
    <w:p>
      <w:pPr/>
      <w:r>
        <w:rPr>
          <w:lang w:val="en_US" w:bidi="en_US"/>
        </w:rPr>
      </w:r>
      <w:r>
        <w:rPr>
          <w:lang w:val="en_US" w:bidi="en_US"/>
        </w:rPr>
        <w:t>rejecting sin</w:t>
      </w:r>
    </w:p>
    <w:p>
      <w:pPr/>
      <w:r>
        <w:rPr>
          <w:lang w:val="en_US" w:bidi="en_US"/>
        </w:rPr>
      </w:r>
      <w:r>
        <w:rPr>
          <w:lang w:val="en_US" w:bidi="en_US"/>
        </w:rPr>
        <w:t>In some languages, you may have an idiom for this type of change. For example:</w:t>
      </w:r>
    </w:p>
    <w:p>
      <w:pPr/>
      <w:r>
        <w:rPr>
          <w:lang w:val="en_US" w:bidi="en_US"/>
        </w:rPr>
      </w:r>
      <w:r>
        <w:rPr>
          <w:lang w:val="en_US" w:bidi="en_US"/>
        </w:rPr>
        <w:t>turning from sin to God</w:t>
      </w:r>
    </w:p>
    <w:p>
      <w:pPr/>
      <w:r>
        <w:rPr>
          <w:lang w:val="en_US" w:bidi="en_US"/>
        </w:rPr>
      </w:r>
      <w:r>
        <w:rPr>
          <w:lang w:val="en_US" w:bidi="en_US"/>
        </w:rPr>
        <w:t>leaving sin behind</w:t>
      </w:r>
    </w:p>
    <w:p>
      <w:pPr/>
      <w:r>
        <w:rPr>
          <w:lang w:val="en_US" w:bidi="en_US"/>
        </w:rPr>
      </w:r>
      <w:r>
        <w:rPr>
          <w:lang w:val="en_US" w:bidi="en_US"/>
        </w:rPr>
        <w:t xml:space="preserve">In some languages it may be more natural to translate </w:t>
      </w:r>
      <w:r>
        <w:rPr>
          <w:i/>
          <w:lang w:val="en_US" w:bidi="en_US"/>
        </w:rPr>
        <w:t>repentance</w:t>
      </w:r>
      <w:r>
        <w:rPr>
          <w:lang w:val="en_US" w:bidi="en_US"/>
        </w:rPr>
        <w:t xml:space="preserve"> here with an independent verb or verb phrase. For example:</w:t>
      </w:r>
    </w:p>
    <w:p>
      <w:pPr/>
      <w:r>
        <w:rPr>
          <w:lang w:val="en_US" w:bidi="en_US"/>
        </w:rPr>
      </w:r>
      <w:r>
        <w:rPr>
          <w:lang w:val="en_US" w:bidi="en_US"/>
        </w:rPr>
        <w:t>turn from sin</w:t>
      </w:r>
    </w:p>
    <w:p>
      <w:pPr/>
      <w:r>
        <w:rPr>
          <w:lang w:val="en_US" w:bidi="en_US"/>
        </w:rPr>
      </w:r>
      <w:r>
        <w:rPr>
          <w:u w:val="single"/>
          <w:lang w:val="en_US" w:bidi="en_US"/>
        </w:rPr>
        <w:t>reject</w:t>
      </w:r>
      <w:r>
        <w:rPr>
          <w:lang w:val="en_US" w:bidi="en_US"/>
        </w:rPr>
        <w:t xml:space="preserve"> sin and </w:t>
      </w:r>
      <w:r>
        <w:rPr>
          <w:u w:val="single"/>
          <w:lang w:val="en_US" w:bidi="en_US"/>
        </w:rPr>
        <w:t>obey</w:t>
      </w:r>
      <w:r>
        <w:rPr>
          <w:lang w:val="en_US" w:bidi="en_US"/>
        </w:rPr>
        <w:t xml:space="preserve"> God</w:t>
      </w:r>
    </w:p>
    <w:p>
      <w:pPr/>
      <w:r>
        <w:rPr>
          <w:lang w:val="en_US" w:bidi="en_US"/>
        </w:rPr>
      </w:r>
      <w:r>
        <w:rPr>
          <w:b/>
          <w:lang w:val="en_US" w:bidi="en_US"/>
        </w:rPr>
        <w:t>for the forgiveness of sins:</w:t>
      </w:r>
      <w:r>
        <w:rPr>
          <w:lang w:val="en_US" w:bidi="en_US"/>
        </w:rPr>
        <w:t xml:space="preserve"> The phrase </w:t>
      </w:r>
      <w:r>
        <w:rPr>
          <w:i/>
          <w:lang w:val="en_US" w:bidi="en_US"/>
        </w:rPr>
        <w:t>for the forgiveness of sins</w:t>
      </w:r>
      <w:r>
        <w:rPr>
          <w:lang w:val="en_US" w:bidi="en_US"/>
        </w:rPr>
        <w:t xml:space="preserve"> indicates purpose. People needed to repent and be baptized so that they would receive forgiveness of sins. In some languages it may be necessary to translate the noun </w:t>
      </w:r>
      <w:r>
        <w:rPr>
          <w:i/>
          <w:lang w:val="en_US" w:bidi="en_US"/>
        </w:rPr>
        <w:t>forgiveness</w:t>
      </w:r>
      <w:r>
        <w:rPr>
          <w:lang w:val="en_US" w:bidi="en_US"/>
        </w:rPr>
        <w:t xml:space="preserve"> as a verb and provide a subject:</w:t>
      </w:r>
    </w:p>
    <w:p>
      <w:pPr/>
      <w:r>
        <w:rPr>
          <w:lang w:val="en_US" w:bidi="en_US"/>
        </w:rPr>
      </w:r>
      <w:r>
        <w:rPr>
          <w:lang w:val="en_US" w:bidi="en_US"/>
        </w:rPr>
        <w:t xml:space="preserve">so that </w:t>
      </w:r>
      <w:r>
        <w:rPr>
          <w:lang w:val="en_US" w:bidi="en_US"/>
        </w:rPr>
        <w:t>God</w:t>
      </w:r>
      <w:r>
        <w:rPr>
          <w:lang w:val="en_US" w:bidi="en_US"/>
        </w:rPr>
        <w:t xml:space="preserve"> will forgive </w:t>
      </w:r>
      <w:r>
        <w:rPr>
          <w:lang w:val="en_US" w:bidi="en_US"/>
        </w:rPr>
        <w:t>your</w:t>
      </w:r>
      <w:r>
        <w:rPr>
          <w:lang w:val="en_US" w:bidi="en_US"/>
        </w:rPr>
        <w:t xml:space="preserve"> sins</w:t>
      </w:r>
    </w:p>
    <w:p>
      <w:pPr/>
      <w:r>
        <w:rPr>
          <w:lang w:val="en_US" w:bidi="en_US"/>
        </w:rPr>
      </w:r>
      <w:r>
        <w:rPr>
          <w:lang w:val="en_US" w:bidi="en_US"/>
        </w:rPr>
        <w:t xml:space="preserve">so that </w:t>
      </w:r>
      <w:r>
        <w:rPr>
          <w:lang w:val="en_US" w:bidi="en_US"/>
        </w:rPr>
        <w:t>God</w:t>
      </w:r>
      <w:r>
        <w:rPr>
          <w:lang w:val="en_US" w:bidi="en_US"/>
        </w:rPr>
        <w:t xml:space="preserve"> will forgive </w:t>
      </w:r>
      <w:r>
        <w:rPr>
          <w:lang w:val="en_US" w:bidi="en_US"/>
        </w:rPr>
        <w:t>them for their</w:t>
      </w:r>
      <w:r>
        <w:rPr>
          <w:lang w:val="en_US" w:bidi="en_US"/>
        </w:rPr>
        <w:t xml:space="preserve"> sins</w:t>
      </w:r>
    </w:p>
    <w:p>
      <w:pPr/>
      <w:r>
        <w:rPr>
          <w:lang w:val="en_US" w:bidi="en_US"/>
        </w:rPr>
      </w:r>
      <w:r>
        <w:rPr>
          <w:b/>
          <w:lang w:val="en_US" w:bidi="en_US"/>
        </w:rPr>
        <w:t>forgiveness of sins:</w:t>
      </w:r>
      <w:r>
        <w:rPr>
          <w:lang w:val="en_US" w:bidi="en_US"/>
        </w:rPr>
        <w:t xml:space="preserve"> The phrase </w:t>
      </w:r>
      <w:r>
        <w:rPr>
          <w:i/>
          <w:lang w:val="en_US" w:bidi="en_US"/>
        </w:rPr>
        <w:t>forgiveness of sins</w:t>
      </w:r>
      <w:r>
        <w:rPr>
          <w:lang w:val="en_US" w:bidi="en_US"/>
        </w:rPr>
        <w:t xml:space="preserve"> means that God chooses not to punish a person for the evil things that he has done and thought. God cancels the guilt of the person and treats him as if he had never sinned. Some ways to translate </w:t>
      </w:r>
      <w:r>
        <w:rPr>
          <w:i/>
          <w:lang w:val="en_US" w:bidi="en_US"/>
        </w:rPr>
        <w:t>forgiveness of sins</w:t>
      </w:r>
      <w:r>
        <w:rPr>
          <w:lang w:val="en_US" w:bidi="en_US"/>
        </w:rPr>
        <w:t xml:space="preserve"> are:</w:t>
      </w:r>
    </w:p>
    <w:p>
      <w:pPr/>
      <w:r>
        <w:rPr>
          <w:lang w:val="en_US" w:bidi="en_US"/>
        </w:rPr>
      </w:r>
      <w:r>
        <w:rPr>
          <w:lang w:val="en_US" w:bidi="en_US"/>
        </w:rPr>
        <w:t>canceling sins</w:t>
      </w:r>
    </w:p>
    <w:p>
      <w:pPr/>
      <w:r>
        <w:rPr>
          <w:lang w:val="en_US" w:bidi="en_US"/>
        </w:rPr>
      </w:r>
      <w:r>
        <w:rPr>
          <w:lang w:val="en_US" w:bidi="en_US"/>
        </w:rPr>
        <w:t>erasing guilt</w:t>
      </w:r>
    </w:p>
    <w:p>
      <w:pPr/>
      <w:r>
        <w:rPr>
          <w:lang w:val="en_US" w:bidi="en_US"/>
        </w:rPr>
      </w:r>
      <w:r>
        <w:rPr>
          <w:lang w:val="en_US" w:bidi="en_US"/>
        </w:rPr>
        <w:t>releasing from punishment for sins</w:t>
      </w:r>
    </w:p>
    <w:p>
      <w:pPr/>
      <w:r>
        <w:rPr>
          <w:lang w:val="en_US" w:bidi="en_US"/>
        </w:rPr>
      </w:r>
      <w:r>
        <w:rPr>
          <w:lang w:val="en_US" w:bidi="en_US"/>
        </w:rPr>
        <w:t xml:space="preserve">In some languages it may be necessary to translate the noun </w:t>
      </w:r>
      <w:r>
        <w:rPr>
          <w:i/>
          <w:lang w:val="en_US" w:bidi="en_US"/>
        </w:rPr>
        <w:t>forgiveness</w:t>
      </w:r>
      <w:r>
        <w:rPr>
          <w:lang w:val="en_US" w:bidi="en_US"/>
        </w:rPr>
        <w:t xml:space="preserve"> with an independent verb. Some ways to do this are:</w:t>
      </w:r>
    </w:p>
    <w:p>
      <w:pPr/>
      <w:r>
        <w:rPr>
          <w:lang w:val="en_US" w:bidi="en_US"/>
        </w:rPr>
      </w:r>
      <w:r>
        <w:rPr>
          <w:lang w:val="en_US" w:bidi="en_US"/>
        </w:rPr>
        <w:t>erase guilt</w:t>
      </w:r>
    </w:p>
    <w:p>
      <w:pPr/>
      <w:r>
        <w:rPr>
          <w:lang w:val="en_US" w:bidi="en_US"/>
        </w:rPr>
      </w:r>
      <w:r>
        <w:rPr>
          <w:lang w:val="en_US" w:bidi="en_US"/>
        </w:rPr>
        <w:t>wipe away sins</w:t>
      </w:r>
    </w:p>
    <w:p>
      <w:pPr/>
      <w:r>
        <w:rPr>
          <w:lang w:val="en_US" w:bidi="en_US"/>
        </w:rPr>
      </w:r>
      <w:r>
        <w:rPr>
          <w:lang w:val="en_US" w:bidi="en_US"/>
        </w:rPr>
        <w:t xml:space="preserve">In some languages there may be an idiom for </w:t>
      </w:r>
      <w:r>
        <w:rPr>
          <w:i/>
          <w:lang w:val="en_US" w:bidi="en_US"/>
        </w:rPr>
        <w:t>forgiveness of sins</w:t>
      </w:r>
      <w:r>
        <w:rPr>
          <w:lang w:val="en_US" w:bidi="en_US"/>
        </w:rPr>
        <w:t>.</w:t>
      </w:r>
    </w:p>
    <w:p>
      <w:pPr/>
      <w:r>
        <w:rPr>
          <w:lang w:val="en_US" w:bidi="en_US"/>
        </w:rPr>
      </w:r>
      <w:r>
        <w:rPr>
          <w:lang w:val="en_US" w:bidi="en_US"/>
        </w:rPr>
        <w:t xml:space="preserve">In some languages, it is more natural to say “forgive </w:t>
      </w:r>
      <w:r>
        <w:rPr>
          <w:u w:val="single"/>
          <w:lang w:val="en_US" w:bidi="en_US"/>
        </w:rPr>
        <w:t>people</w:t>
      </w:r>
      <w:r>
        <w:rPr>
          <w:lang w:val="en_US" w:bidi="en_US"/>
        </w:rPr>
        <w:t xml:space="preserve">,” rather than to “forgive </w:t>
      </w:r>
      <w:r>
        <w:rPr>
          <w:u w:val="single"/>
          <w:lang w:val="en_US" w:bidi="en_US"/>
        </w:rPr>
        <w:t>sins</w:t>
      </w:r>
      <w:r>
        <w:rPr>
          <w:lang w:val="en_US" w:bidi="en_US"/>
        </w:rPr>
        <w:t>.” For example:</w:t>
      </w:r>
    </w:p>
    <w:p>
      <w:pPr/>
      <w:r>
        <w:rPr>
          <w:lang w:val="en_US" w:bidi="en_US"/>
        </w:rPr>
      </w:r>
      <w:r>
        <w:rPr>
          <w:lang w:val="en_US" w:bidi="en_US"/>
        </w:rPr>
        <w:t xml:space="preserve">forgive/pardon </w:t>
      </w:r>
      <w:r>
        <w:rPr>
          <w:lang w:val="en_US" w:bidi="en_US"/>
        </w:rPr>
        <w:t>people</w:t>
      </w:r>
      <w:r>
        <w:rPr>
          <w:lang w:val="en_US" w:bidi="en_US"/>
        </w:rPr>
        <w:t xml:space="preserve"> for their sins</w:t>
      </w:r>
    </w:p>
    <w:p>
      <w:pPr/>
      <w:r>
        <w:rPr>
          <w:lang w:val="en_US" w:bidi="en_US"/>
        </w:rPr>
      </w:r>
      <w:r>
        <w:rPr>
          <w:lang w:val="en_US" w:bidi="en_US"/>
        </w:rPr>
        <w:t xml:space="preserve">See </w:t>
      </w:r>
      <w:r>
        <w:rPr>
          <w:u w:val="single"/>
          <w:lang w:val="en_US" w:bidi="en_US"/>
        </w:rPr>
        <w:t>forgive</w:t>
      </w:r>
      <w:r>
        <w:rPr>
          <w:lang w:val="en_US" w:bidi="en_US"/>
        </w:rPr>
        <w:t xml:space="preserve"> in KBT.</w:t>
      </w:r>
    </w:p>
    <w:p>
      <w:pPr/>
      <w:r>
        <w:rPr>
          <w:lang w:val="en_US" w:bidi="en_US"/>
        </w:rPr>
      </w:r>
      <w:r>
        <w:rPr>
          <w:b/>
          <w:lang w:val="en_US" w:bidi="en_US"/>
        </w:rPr>
        <w:t>sins:</w:t>
      </w:r>
      <w:r>
        <w:rPr>
          <w:lang w:val="en_US" w:bidi="en_US"/>
        </w:rPr>
        <w:t xml:space="preserve"> The word </w:t>
      </w:r>
      <w:r>
        <w:rPr>
          <w:i/>
          <w:lang w:val="en_US" w:bidi="en_US"/>
        </w:rPr>
        <w:t>sins</w:t>
      </w:r>
      <w:r>
        <w:rPr>
          <w:lang w:val="en_US" w:bidi="en_US"/>
        </w:rPr>
        <w:t xml:space="preserve"> refers to offenses against God or another person. These </w:t>
      </w:r>
      <w:r>
        <w:rPr>
          <w:i/>
          <w:lang w:val="en_US" w:bidi="en_US"/>
        </w:rPr>
        <w:t>sins</w:t>
      </w:r>
      <w:r>
        <w:rPr>
          <w:lang w:val="en_US" w:bidi="en_US"/>
        </w:rPr>
        <w:t xml:space="preserve"> include acts, thoughts, and attitudes that are not what God wants or approves.</w:t>
      </w:r>
      <w:r>
        <w:rPr>
          <w:lang w:val="en_US" w:bidi="en_US"/>
        </w:rPr>
        <w:t xml:space="preserve">In Greek, the verb that English versions translate as </w:t>
      </w:r>
      <w:r>
        <w:rPr>
          <w:i/>
          <w:lang w:val="en_US" w:bidi="en_US"/>
        </w:rPr>
        <w:t>sins</w:t>
      </w:r>
      <w:r>
        <w:rPr>
          <w:lang w:val="en_US" w:bidi="en_US"/>
        </w:rPr>
        <w:t xml:space="preserve"> is also a term that is used in archery to mean “miss the target.” When a person sins, he “misses” the target, that is, he fails to reach God’s standard.</w:t>
      </w:r>
      <w:r>
        <w:rPr>
          <w:lang w:val="en_US" w:bidi="en_US"/>
        </w:rPr>
        <w:t xml:space="preserve"> A person can also offend God by not doing what God wants him to do.</w:t>
      </w:r>
    </w:p>
    <w:p>
      <w:pPr/>
      <w:r>
        <w:rPr>
          <w:lang w:val="en_US" w:bidi="en_US"/>
        </w:rPr>
      </w:r>
      <w:r>
        <w:rPr>
          <w:lang w:val="en_US" w:bidi="en_US"/>
        </w:rPr>
        <w:t xml:space="preserve">Try to translate </w:t>
      </w:r>
      <w:r>
        <w:rPr>
          <w:i/>
          <w:lang w:val="en_US" w:bidi="en_US"/>
        </w:rPr>
        <w:t>sins</w:t>
      </w:r>
      <w:r>
        <w:rPr>
          <w:lang w:val="en_US" w:bidi="en_US"/>
        </w:rPr>
        <w:t xml:space="preserve"> with a term that can include any wrongdoing against God. Here are problems to avoid:</w:t>
      </w:r>
    </w:p>
    <w:p>
      <w:pPr>
        <w:pStyle w:val="ListNumber"/>
        <w:numPr>
          <w:ilvl w:val="0"/>
          <w:numId w:val="78"/>
        </w:numPr>
        <w:spacing w:line="240" w:lineRule="auto"/>
        <w:ind w:left="720"/>
      </w:pPr>
      <w:r>
        <w:rPr>
          <w:lang w:val="en_US" w:bidi="en_US"/>
        </w:rPr>
      </w:r>
      <w:r>
        <w:rPr>
          <w:lang w:val="en_US" w:bidi="en_US"/>
        </w:rPr>
        <w:t>The term should not imply that only serious crimes like murder or stealing are sins. Other offenses like gossip and greed are also sins.</w:t>
      </w:r>
    </w:p>
    <w:p>
      <w:pPr>
        <w:pStyle w:val="ListNumber"/>
        <w:spacing w:line="240" w:lineRule="auto"/>
        <w:ind w:left="720"/>
      </w:pPr>
      <w:r>
        <w:rPr>
          <w:lang w:val="en_US" w:bidi="en_US"/>
        </w:rPr>
      </w:r>
      <w:r>
        <w:rPr>
          <w:lang w:val="en_US" w:bidi="en_US"/>
        </w:rPr>
        <w:t>The term should not include accidents or mistakes that are not against God’s will.</w:t>
      </w:r>
    </w:p>
    <w:p>
      <w:pPr/>
      <w:r>
        <w:rPr>
          <w:lang w:val="en_US" w:bidi="en_US"/>
        </w:rPr>
      </w:r>
      <w:r>
        <w:rPr>
          <w:lang w:val="en_US" w:bidi="en_US"/>
        </w:rPr>
        <w:t xml:space="preserve">Some ways to translate </w:t>
      </w:r>
      <w:r>
        <w:rPr>
          <w:i/>
          <w:lang w:val="en_US" w:bidi="en_US"/>
        </w:rPr>
        <w:t>sins</w:t>
      </w:r>
      <w:r>
        <w:rPr>
          <w:lang w:val="en_US" w:bidi="en_US"/>
        </w:rPr>
        <w:t xml:space="preserve"> are:</w:t>
      </w:r>
    </w:p>
    <w:p>
      <w:pPr/>
      <w:r>
        <w:rPr>
          <w:lang w:val="en_US" w:bidi="en_US"/>
        </w:rPr>
      </w:r>
      <w:r>
        <w:rPr>
          <w:lang w:val="en_US" w:bidi="en_US"/>
        </w:rPr>
        <w:t>wrong acts</w:t>
      </w:r>
    </w:p>
    <w:p>
      <w:pPr/>
      <w:r>
        <w:rPr>
          <w:lang w:val="en_US" w:bidi="en_US"/>
        </w:rPr>
      </w:r>
      <w:r>
        <w:rPr>
          <w:lang w:val="en_US" w:bidi="en_US"/>
        </w:rPr>
        <w:t xml:space="preserve">offenses </w:t>
      </w:r>
      <w:r>
        <w:rPr>
          <w:lang w:val="en_US" w:bidi="en_US"/>
        </w:rPr>
        <w:t>against God</w:t>
      </w:r>
    </w:p>
    <w:p>
      <w:pPr/>
      <w:r>
        <w:rPr>
          <w:lang w:val="en_US" w:bidi="en_US"/>
        </w:rPr>
      </w:r>
      <w:r>
        <w:rPr>
          <w:lang w:val="en_US" w:bidi="en_US"/>
        </w:rPr>
        <w:t>evil deeds</w:t>
      </w:r>
    </w:p>
    <w:p>
      <w:pPr/>
      <w:r>
        <w:rPr>
          <w:lang w:val="en_US" w:bidi="en_US"/>
        </w:rPr>
      </w:r>
      <w:r>
        <w:rPr>
          <w:lang w:val="en_US" w:bidi="en_US"/>
        </w:rPr>
        <w:t xml:space="preserve">In some languages it may be natural to translate </w:t>
      </w:r>
      <w:r>
        <w:rPr>
          <w:i/>
          <w:lang w:val="en_US" w:bidi="en_US"/>
        </w:rPr>
        <w:t>sins</w:t>
      </w:r>
      <w:r>
        <w:rPr>
          <w:lang w:val="en_US" w:bidi="en_US"/>
        </w:rPr>
        <w:t xml:space="preserve"> with a phrase that includes a verb. For example:</w:t>
      </w:r>
    </w:p>
    <w:p>
      <w:pPr/>
      <w:r>
        <w:rPr>
          <w:lang w:val="en_US" w:bidi="en_US"/>
        </w:rPr>
      </w:r>
      <w:r>
        <w:rPr>
          <w:lang w:val="en_US" w:bidi="en_US"/>
        </w:rPr>
        <w:t>wrong things that they have done</w:t>
      </w:r>
    </w:p>
    <w:p>
      <w:pPr>
        <w:pStyle w:val="Heading6"/>
      </w:pPr>
      <w:r>
        <w:rPr>
          <w:b/>
          <w:lang w:val="en_US" w:bidi="en_US"/>
        </w:rPr>
        <w:t>General Comment on 3:3a–c</w:t>
      </w:r>
    </w:p>
    <w:p>
      <w:pPr/>
      <w:r>
        <w:rPr>
          <w:lang w:val="en_US" w:bidi="en_US"/>
        </w:rPr>
      </w:r>
      <w:r>
        <w:rPr>
          <w:lang w:val="en_US" w:bidi="en_US"/>
        </w:rPr>
        <w:t>In some languages it may be more natural to use direct speech:</w:t>
      </w:r>
    </w:p>
    <w:p>
      <w:pPr/>
      <w:r>
        <w:rPr>
          <w:lang w:val="en_US" w:bidi="en_US"/>
        </w:rPr>
      </w:r>
      <w:r>
        <w:rPr>
          <w:lang w:val="en_US" w:bidi="en_US"/>
        </w:rPr>
        <w:t>John went preaching to people in all the country around the Jordan River. He said, “You must repent and be baptized so that God will forgive your sins.”</w:t>
      </w:r>
      <w:r>
        <w:rPr>
          <w:lang w:val="en_US" w:bidi="en_US"/>
        </w:rPr>
      </w:r>
      <w:r>
        <w:rPr>
          <w:lang w:val="en_US" w:bidi="en_US"/>
        </w:rPr>
      </w:r>
    </w:p>
    <w:p>
      <w:pPr/>
      <w:r>
        <w:rPr>
          <w:lang w:val="en_US" w:bidi="en_US"/>
        </w:rPr>
      </w:r>
    </w:p>
    <w:p>
      <w:pPr>
        <w:pStyle w:val="Heading2"/>
      </w:pPr>
      <w:r>
        <w:rPr>
          <w:lang w:val="en_US" w:bidi="en_US"/>
        </w:rPr>
        <w:t>Luke 3:4</w:t>
      </w:r>
      <w:r>
        <w:rPr>
          <w:lang w:val="en_US" w:bidi="en_US"/>
        </w:rPr>
      </w:r>
    </w:p>
    <w:p>
      <w:pPr>
        <w:pStyle w:val="Heading4"/>
      </w:pPr>
      <w:r>
        <w:rPr>
          <w:lang w:val="en_US" w:bidi="en_US"/>
        </w:rPr>
        <w:t>Section 3:1–20: John the Baptizer prepared the way for Jesus</w:t>
      </w:r>
    </w:p>
    <w:p>
      <w:pPr/>
      <w:r>
        <w:rPr>
          <w:lang w:val="en_US" w:bidi="en_US"/>
        </w:rPr>
      </w:r>
      <w:r>
        <w:rPr>
          <w:lang w:val="en_US" w:bidi="en_US"/>
        </w:rP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Preaching of John (NCV)</w:t>
      </w:r>
    </w:p>
    <w:p>
      <w:pPr/>
      <w:r>
        <w:rPr>
          <w:lang w:val="en_US" w:bidi="en_US"/>
        </w:rPr>
      </w:r>
      <w:r>
        <w:rPr>
          <w:lang w:val="en_US" w:bidi="en_US"/>
        </w:rPr>
        <w:t>John the Baptist and Jesus (REB)</w:t>
      </w:r>
    </w:p>
    <w:p>
      <w:pPr/>
      <w:r>
        <w:rPr>
          <w:lang w:val="en_US" w:bidi="en_US"/>
        </w:rPr>
      </w:r>
      <w:r>
        <w:rPr>
          <w:lang w:val="en_US" w:bidi="en_US"/>
        </w:rPr>
        <w:t>John the Baptizer tells people to prepare themselves for the Messiah</w:t>
      </w:r>
    </w:p>
    <w:p>
      <w:pPr/>
      <w:r>
        <w:rPr>
          <w:lang w:val="en_US" w:bidi="en_US"/>
        </w:rPr>
      </w:r>
      <w:r>
        <w:rPr>
          <w:lang w:val="en_US" w:bidi="en_US"/>
        </w:rPr>
        <w:t>Parts of Luke 3:1–20 are basically the same as verses in Matthew 3:1–12. But Luke 3:1–2, 10–14, and 19–20 are not in Matthew.</w:t>
      </w:r>
    </w:p>
    <w:p>
      <w:pPr>
        <w:pStyle w:val="Heading4"/>
      </w:pPr>
      <w:r>
        <w:rPr>
          <w:lang w:val="en_US" w:bidi="en_US"/>
        </w:rPr>
        <w:t>Paragraph 3:4–6</w:t>
      </w:r>
    </w:p>
    <w:p>
      <w:pPr/>
      <w:r>
        <w:rPr>
          <w:lang w:val="en_US" w:bidi="en_US"/>
        </w:rPr>
      </w:r>
      <w:r>
        <w:rPr>
          <w:lang w:val="en_US" w:bidi="en_US"/>
        </w:rPr>
        <w:t>About seven hundred years before John the Baptizer was born, the prophet Isaiah wrote about him. He wrote that someone would announce to people that the Lord was coming and that they should get ready for him (Isaiah 40:3–5). John the Baptizer fulfilled this prophecy.</w:t>
      </w:r>
    </w:p>
    <w:p>
      <w:pPr/>
      <w:r>
        <w:rPr>
          <w:lang w:val="en_US" w:bidi="en_US"/>
        </w:rPr>
      </w:r>
      <w:r>
        <w:rPr>
          <w:lang w:val="en_US" w:bidi="en_US"/>
        </w:rPr>
        <w:t>Isaiah wrote that people should prepare the way/road for the Lord. This is a metaphor. When the Jewish people expected a king to come through their village, they prepared the road for him. John was telling the people to prepare themselves to receive the Lord by repenting. The Lord was coming to them as the Messiah (Jesus). (See Christ in the Glossary.)</w:t>
      </w:r>
    </w:p>
    <w:p>
      <w:pPr>
        <w:pStyle w:val="Heading5"/>
      </w:pPr>
      <w:r>
        <w:rPr>
          <w:lang w:val="en_US" w:bidi="en_US"/>
        </w:rPr>
        <w:t>3:4a</w:t>
      </w:r>
    </w:p>
    <w:p>
      <w:pPr/>
      <w:r>
        <w:rPr>
          <w:lang w:val="en_US" w:bidi="en_US"/>
        </w:rPr>
      </w:r>
      <w:r>
        <w:rPr>
          <w:b/>
          <w:lang w:val="en_US" w:bidi="en_US"/>
        </w:rPr>
        <w:t>as it is written in the book of the words of Isaiah the prophet:</w:t>
      </w:r>
    </w:p>
    <w:p>
      <w:pPr>
        <w:pStyle w:val="ListBullet"/>
        <w:spacing w:line="240" w:lineRule="auto"/>
        <w:ind w:left="720"/>
      </w:pPr>
      <w:r>
        <w:rPr>
          <w:lang w:val="en_US" w:bidi="en_US"/>
        </w:rPr>
      </w:r>
      <w:r>
        <w:rPr>
          <w:lang w:val="en_US" w:bidi="en_US"/>
        </w:rPr>
        <w:t xml:space="preserve">¶ This </w:t>
      </w:r>
      <w:r>
        <w:rPr>
          <w:lang w:val="en_US" w:bidi="en_US"/>
        </w:rPr>
        <w:t>happened</w:t>
      </w:r>
      <w:r>
        <w:rPr>
          <w:lang w:val="en_US" w:bidi="en_US"/>
        </w:rPr>
        <w:t xml:space="preserve"> as the prophet Isaiah wrote </w:t>
      </w:r>
      <w:r>
        <w:rPr>
          <w:lang w:val="en_US" w:bidi="en_US"/>
        </w:rPr>
        <w:t>long ago</w:t>
      </w:r>
      <w:r>
        <w:rPr>
          <w:lang w:val="en_US" w:bidi="en_US"/>
        </w:rPr>
        <w:t xml:space="preserve"> in his book. He wrote:</w:t>
      </w:r>
    </w:p>
    <w:p>
      <w:pPr>
        <w:pStyle w:val="ListBullet"/>
        <w:spacing w:line="240" w:lineRule="auto"/>
        <w:ind w:left="720"/>
      </w:pPr>
      <w:r>
        <w:rPr>
          <w:lang w:val="en_US" w:bidi="en_US"/>
        </w:rPr>
      </w:r>
      <w:r>
        <w:rPr>
          <w:lang w:val="en_US" w:bidi="en_US"/>
        </w:rPr>
        <w:t xml:space="preserve">¶ This was foretold in the </w:t>
      </w:r>
      <w:r>
        <w:rPr>
          <w:lang w:val="en_US" w:bidi="en_US"/>
        </w:rPr>
        <w:t>holy</w:t>
      </w:r>
      <w:r>
        <w:rPr>
          <w:lang w:val="en_US" w:bidi="en_US"/>
        </w:rPr>
        <w:t xml:space="preserve"> writings by Isaiah the prophet. He wrote this </w:t>
      </w:r>
      <w:r>
        <w:rPr>
          <w:lang w:val="en_US" w:bidi="en_US"/>
        </w:rPr>
        <w:t>about John</w:t>
      </w:r>
      <w:r>
        <w:rPr>
          <w:lang w:val="en_US" w:bidi="en_US"/>
        </w:rPr>
        <w:t>:</w:t>
      </w:r>
    </w:p>
    <w:p>
      <w:pPr/>
      <w:r>
        <w:rPr>
          <w:lang w:val="en_US" w:bidi="en_US"/>
        </w:rPr>
      </w:r>
      <w:r>
        <w:rPr>
          <w:b/>
          <w:lang w:val="en_US" w:bidi="en_US"/>
        </w:rPr>
        <w:t>as it is written:</w:t>
      </w:r>
      <w:r>
        <w:rPr>
          <w:lang w:val="en_US" w:bidi="en_US"/>
        </w:rPr>
        <w:t xml:space="preserve"> The phrase </w:t>
      </w:r>
      <w:r>
        <w:rPr>
          <w:i/>
          <w:lang w:val="en_US" w:bidi="en_US"/>
        </w:rPr>
        <w:t>as it is written</w:t>
      </w:r>
      <w:r>
        <w:rPr>
          <w:lang w:val="en_US" w:bidi="en_US"/>
        </w:rPr>
        <w:t xml:space="preserve"> connects the facts about John in 3:3 to the prophecy about him in the book of Isaiah. The things that John did and said fulfilled what the prophet Isaiah foretold in the Scriptures.</w:t>
      </w:r>
    </w:p>
    <w:p>
      <w:pPr/>
      <w:r>
        <w:rPr>
          <w:lang w:val="en_US" w:bidi="en_US"/>
        </w:rPr>
      </w:r>
      <w:r>
        <w:rPr>
          <w:lang w:val="en_US" w:bidi="en_US"/>
        </w:rPr>
        <w:t>Some other ways to say this are:</w:t>
      </w:r>
    </w:p>
    <w:p>
      <w:pPr/>
      <w:r>
        <w:rPr>
          <w:lang w:val="en_US" w:bidi="en_US"/>
        </w:rPr>
      </w:r>
      <w:r>
        <w:rPr>
          <w:lang w:val="en_US" w:bidi="en_US"/>
        </w:rPr>
        <w:t>John did these things just</w:t>
      </w:r>
      <w:r>
        <w:rPr>
          <w:lang w:val="en_US" w:bidi="en_US"/>
        </w:rPr>
        <w:t xml:space="preserve"> as the Bible had said </w:t>
      </w:r>
      <w:r>
        <w:rPr>
          <w:lang w:val="en_US" w:bidi="en_US"/>
        </w:rPr>
        <w:t>he would</w:t>
      </w:r>
      <w:r>
        <w:rPr>
          <w:lang w:val="en_US" w:bidi="en_US"/>
        </w:rPr>
        <w:t>.</w:t>
      </w:r>
    </w:p>
    <w:p>
      <w:pPr/>
      <w:r>
        <w:rPr>
          <w:lang w:val="en_US" w:bidi="en_US"/>
        </w:rPr>
      </w:r>
      <w:r>
        <w:rPr>
          <w:lang w:val="en_US" w:bidi="en_US"/>
        </w:rPr>
        <w:t xml:space="preserve">This was foretold in the </w:t>
      </w:r>
      <w:r>
        <w:rPr>
          <w:lang w:val="en_US" w:bidi="en_US"/>
        </w:rPr>
        <w:t>Holy</w:t>
      </w:r>
      <w:r>
        <w:rPr>
          <w:lang w:val="en_US" w:bidi="en_US"/>
        </w:rPr>
        <w:t xml:space="preserve"> Writings.</w:t>
      </w:r>
    </w:p>
    <w:p>
      <w:pPr/>
      <w:r>
        <w:rPr>
          <w:lang w:val="en_US" w:bidi="en_US"/>
        </w:rPr>
      </w:r>
      <w:r>
        <w:rPr>
          <w:b/>
          <w:lang w:val="en_US" w:bidi="en_US"/>
        </w:rPr>
        <w:t>in the book of the words of Isaiah the prophet:</w:t>
      </w:r>
      <w:r>
        <w:rPr>
          <w:lang w:val="en_US" w:bidi="en_US"/>
        </w:rPr>
        <w:t xml:space="preserve"> The phrase </w:t>
      </w:r>
      <w:r>
        <w:rPr>
          <w:i/>
          <w:lang w:val="en_US" w:bidi="en_US"/>
        </w:rPr>
        <w:t>in the book of the words of Isaiah the prophet</w:t>
      </w:r>
      <w:r>
        <w:rPr>
          <w:lang w:val="en_US" w:bidi="en_US"/>
        </w:rPr>
        <w:t xml:space="preserve"> refers to the book of Isaiah in the Old Testament. This is the book where Isaiah the prophet wrote the messages that God gave him. Some ways to say this are:</w:t>
      </w:r>
    </w:p>
    <w:p>
      <w:pPr/>
      <w:r>
        <w:rPr>
          <w:lang w:val="en_US" w:bidi="en_US"/>
        </w:rPr>
      </w:r>
      <w:r>
        <w:rPr>
          <w:lang w:val="en_US" w:bidi="en_US"/>
        </w:rPr>
        <w:t>in the book of the prophecies of Isaiah (REB)</w:t>
      </w:r>
    </w:p>
    <w:p>
      <w:pPr/>
      <w:r>
        <w:rPr>
          <w:lang w:val="en_US" w:bidi="en_US"/>
        </w:rPr>
      </w:r>
      <w:r>
        <w:rPr>
          <w:lang w:val="en_US" w:bidi="en_US"/>
        </w:rPr>
        <w:t>in the book of Isaiah’s messages</w:t>
      </w:r>
    </w:p>
    <w:p>
      <w:pPr/>
      <w:r>
        <w:rPr>
          <w:lang w:val="en_US" w:bidi="en_US"/>
        </w:rPr>
      </w:r>
      <w:r>
        <w:rPr>
          <w:lang w:val="en_US" w:bidi="en_US"/>
        </w:rPr>
        <w:t>In some languages it may be more natural to translate 3:4a as a clause or sentence. For example:</w:t>
      </w:r>
    </w:p>
    <w:p>
      <w:pPr/>
      <w:r>
        <w:rPr>
          <w:lang w:val="en_US" w:bidi="en_US"/>
        </w:rPr>
      </w:r>
      <w:r>
        <w:rPr>
          <w:lang w:val="en_US" w:bidi="en_US"/>
        </w:rPr>
        <w:t>Isaiah wrote these things in his book. He said….</w:t>
      </w:r>
    </w:p>
    <w:p>
      <w:pPr/>
      <w:r>
        <w:rPr>
          <w:lang w:val="en_US" w:bidi="en_US"/>
        </w:rPr>
      </w:r>
      <w:r>
        <w:rPr>
          <w:lang w:val="en_US" w:bidi="en_US"/>
        </w:rPr>
        <w:t>Isaiah the prophet wrote about John when he said…. (CEV)</w:t>
      </w:r>
    </w:p>
    <w:p>
      <w:pPr/>
      <w:r>
        <w:rPr>
          <w:lang w:val="en_US" w:bidi="en_US"/>
        </w:rPr>
      </w:r>
      <w:r>
        <w:rPr>
          <w:b/>
          <w:lang w:val="en_US" w:bidi="en_US"/>
        </w:rPr>
        <w:t>prophet:</w:t>
      </w:r>
      <w:r>
        <w:rPr>
          <w:lang w:val="en_US" w:bidi="en_US"/>
        </w:rPr>
        <w:t xml:space="preserve"> A </w:t>
      </w:r>
      <w:r>
        <w:rPr>
          <w:i/>
          <w:lang w:val="en_US" w:bidi="en_US"/>
        </w:rPr>
        <w:t>prophet</w:t>
      </w:r>
      <w:r>
        <w:rPr>
          <w:lang w:val="en_US" w:bidi="en_US"/>
        </w:rPr>
        <w:t xml:space="preserve"> was a person who spoke on behalf of God. He told people what God revealed to him.</w:t>
      </w:r>
    </w:p>
    <w:p>
      <w:pPr/>
      <w:r>
        <w:rPr>
          <w:lang w:val="en_US" w:bidi="en_US"/>
        </w:rPr>
      </w:r>
      <w:r>
        <w:rPr>
          <w:lang w:val="en_US" w:bidi="en_US"/>
        </w:rPr>
        <w:t xml:space="preserve">Sometimes God told prophets about events that had not yet happened so that the prophets could tell people before the events happened. However, God gave the prophets many other messages that did not involve foretelling the future. Try to translate the word </w:t>
      </w:r>
      <w:r>
        <w:rPr>
          <w:i/>
          <w:lang w:val="en_US" w:bidi="en_US"/>
        </w:rPr>
        <w:t>prophet</w:t>
      </w:r>
      <w:r>
        <w:rPr>
          <w:lang w:val="en_US" w:bidi="en_US"/>
        </w:rPr>
        <w:t xml:space="preserve"> with a term that refers to a person who brings any type of message from God. For example:</w:t>
      </w:r>
    </w:p>
    <w:p>
      <w:pPr/>
      <w:r>
        <w:rPr>
          <w:lang w:val="en_US" w:bidi="en_US"/>
        </w:rPr>
      </w:r>
      <w:r>
        <w:rPr>
          <w:lang w:val="en_US" w:bidi="en_US"/>
        </w:rPr>
        <w:t>a spokesman for God</w:t>
      </w:r>
    </w:p>
    <w:p>
      <w:pPr/>
      <w:r>
        <w:rPr>
          <w:lang w:val="en_US" w:bidi="en_US"/>
        </w:rPr>
      </w:r>
      <w:r>
        <w:rPr>
          <w:lang w:val="en_US" w:bidi="en_US"/>
        </w:rPr>
        <w:t>a person who speaks God’s words</w:t>
      </w:r>
    </w:p>
    <w:p>
      <w:pPr/>
      <w:r>
        <w:rPr>
          <w:lang w:val="en_US" w:bidi="en_US"/>
        </w:rPr>
      </w:r>
      <w:r>
        <w:rPr>
          <w:lang w:val="en_US" w:bidi="en_US"/>
        </w:rPr>
        <w:t>God’s message-speaker</w:t>
      </w:r>
    </w:p>
    <w:p>
      <w:pPr/>
      <w:r>
        <w:rPr>
          <w:lang w:val="en_US" w:bidi="en_US"/>
        </w:rPr>
      </w:r>
      <w:r>
        <w:rPr>
          <w:lang w:val="en_US" w:bidi="en_US"/>
        </w:rPr>
        <w:t xml:space="preserve">When you choose a term for </w:t>
      </w:r>
      <w:r>
        <w:rPr>
          <w:i/>
          <w:lang w:val="en_US" w:bidi="en_US"/>
        </w:rPr>
        <w:t>prophet</w:t>
      </w:r>
      <w:r>
        <w:rPr>
          <w:lang w:val="en_US" w:bidi="en_US"/>
        </w:rPr>
        <w:t xml:space="preserve">, you will need to distinguish </w:t>
      </w:r>
      <w:r>
        <w:rPr>
          <w:i/>
          <w:lang w:val="en_US" w:bidi="en_US"/>
        </w:rPr>
        <w:t>prophet</w:t>
      </w:r>
      <w:r>
        <w:rPr>
          <w:lang w:val="en_US" w:bidi="en_US"/>
        </w:rPr>
        <w:t xml:space="preserve"> from other words with similar meaning such as “angel,” “apostle,” and “preacher.”</w:t>
      </w:r>
    </w:p>
    <w:p>
      <w:pPr/>
      <w:r>
        <w:rPr>
          <w:lang w:val="en_US" w:bidi="en_US"/>
        </w:rPr>
      </w:r>
      <w:r>
        <w:rPr>
          <w:lang w:val="en_US" w:bidi="en_US"/>
        </w:rPr>
        <w:t>This word also occurs in 1:76b. See also prophet in the Glossary.</w:t>
      </w:r>
    </w:p>
    <w:p>
      <w:pPr>
        <w:pStyle w:val="Heading5"/>
      </w:pPr>
      <w:r>
        <w:rPr>
          <w:lang w:val="en_US" w:bidi="en_US"/>
        </w:rPr>
        <w:t>3:4b</w:t>
      </w:r>
    </w:p>
    <w:p>
      <w:pPr/>
      <w:r>
        <w:rPr>
          <w:lang w:val="en_US" w:bidi="en_US"/>
        </w:rPr>
      </w:r>
      <w:r>
        <w:rPr>
          <w:b/>
          <w:lang w:val="en_US" w:bidi="en_US"/>
        </w:rPr>
        <w:t>“A voice of one calling in the wilderness,</w:t>
      </w:r>
    </w:p>
    <w:p>
      <w:pPr>
        <w:pStyle w:val="ListBullet"/>
        <w:spacing w:line="240" w:lineRule="auto"/>
        <w:ind w:left="720"/>
      </w:pPr>
      <w:r>
        <w:rPr>
          <w:lang w:val="en_US" w:bidi="en_US"/>
        </w:rPr>
      </w:r>
      <w:r>
        <w:rPr>
          <w:lang w:val="en_US" w:bidi="en_US"/>
        </w:rPr>
        <w:t>“Someone will announce in the desert,</w:t>
      </w:r>
    </w:p>
    <w:p>
      <w:pPr>
        <w:pStyle w:val="ListBullet"/>
        <w:spacing w:line="240" w:lineRule="auto"/>
        <w:ind w:left="720"/>
      </w:pPr>
      <w:r>
        <w:rPr>
          <w:lang w:val="en_US" w:bidi="en_US"/>
        </w:rPr>
      </w:r>
      <w:r>
        <w:rPr>
          <w:lang w:val="en_US" w:bidi="en_US"/>
        </w:rPr>
        <w:t xml:space="preserve">“Someone is shouting in the wilderness, </w:t>
      </w:r>
      <w:r>
        <w:rPr>
          <w:lang w:val="en_US" w:bidi="en_US"/>
        </w:rPr>
        <w:t>saying,</w:t>
      </w:r>
    </w:p>
    <w:p>
      <w:pPr/>
      <w:r>
        <w:rPr>
          <w:lang w:val="en_US" w:bidi="en_US"/>
        </w:rPr>
      </w:r>
      <w:r>
        <w:rPr>
          <w:lang w:val="en_US" w:bidi="en_US"/>
        </w:rPr>
        <w:t>Luke 3:4b–6 is a quote from Isaiah 40:3–5. You will probably want to include this information in a cross-reference or footnote in your translation.</w:t>
      </w:r>
    </w:p>
    <w:p>
      <w:pPr/>
      <w:r>
        <w:rPr>
          <w:lang w:val="en_US" w:bidi="en_US"/>
        </w:rPr>
      </w:r>
      <w:r>
        <w:rPr>
          <w:b/>
          <w:lang w:val="en_US" w:bidi="en_US"/>
        </w:rPr>
        <w:t>A voice of one calling in the wilderness:</w:t>
      </w:r>
      <w:r>
        <w:rPr>
          <w:lang w:val="en_US" w:bidi="en_US"/>
        </w:rPr>
        <w:t xml:space="preserve"> Isaiah was writing about something that would happen seven hundred years later. Use a verb form that is natural for a prophecy about the future. In English it is possible to use either the present or the future tense:</w:t>
      </w:r>
    </w:p>
    <w:p>
      <w:pPr/>
      <w:r>
        <w:rPr>
          <w:lang w:val="en_US" w:bidi="en_US"/>
        </w:rPr>
      </w:r>
      <w:r>
        <w:rPr>
          <w:lang w:val="en_US" w:bidi="en_US"/>
        </w:rPr>
        <w:t>A voice calls in the desert.</w:t>
      </w:r>
    </w:p>
    <w:p>
      <w:pPr/>
      <w:r>
        <w:rPr>
          <w:lang w:val="en_US" w:bidi="en_US"/>
        </w:rPr>
      </w:r>
      <w:r>
        <w:rPr>
          <w:lang w:val="en_US" w:bidi="en_US"/>
        </w:rPr>
        <w:t>A voice will call in the desert.</w:t>
      </w:r>
    </w:p>
    <w:p>
      <w:pPr/>
      <w:r>
        <w:rPr>
          <w:lang w:val="en_US" w:bidi="en_US"/>
        </w:rPr>
      </w:r>
      <w:r>
        <w:rPr>
          <w:b/>
          <w:lang w:val="en_US" w:bidi="en_US"/>
        </w:rPr>
        <w:t>A voice of one calling:</w:t>
      </w:r>
      <w:r>
        <w:rPr>
          <w:lang w:val="en_US" w:bidi="en_US"/>
        </w:rPr>
        <w:t xml:space="preserve"> The </w:t>
      </w:r>
      <w:r>
        <w:rPr>
          <w:i/>
          <w:lang w:val="en_US" w:bidi="en_US"/>
        </w:rPr>
        <w:t>voice</w:t>
      </w:r>
      <w:r>
        <w:rPr>
          <w:lang w:val="en_US" w:bidi="en_US"/>
        </w:rPr>
        <w:t xml:space="preserve"> is the voice of a person proclaiming a message. In some languages it may be natural to translate this as:</w:t>
      </w:r>
    </w:p>
    <w:p>
      <w:pPr/>
      <w:r>
        <w:rPr>
          <w:lang w:val="en_US" w:bidi="en_US"/>
        </w:rPr>
      </w:r>
      <w:r>
        <w:rPr>
          <w:lang w:val="en_US" w:bidi="en_US"/>
        </w:rPr>
        <w:t>A man is calling</w:t>
      </w:r>
    </w:p>
    <w:p>
      <w:pPr/>
      <w:r>
        <w:rPr>
          <w:lang w:val="en_US" w:bidi="en_US"/>
        </w:rPr>
      </w:r>
      <w:r>
        <w:rPr>
          <w:lang w:val="en_US" w:bidi="en_US"/>
        </w:rPr>
        <w:t>Someone will proclaim</w:t>
      </w:r>
    </w:p>
    <w:p>
      <w:pPr/>
      <w:r>
        <w:rPr>
          <w:lang w:val="en_US" w:bidi="en_US"/>
        </w:rPr>
      </w:r>
      <w:r>
        <w:rPr>
          <w:b/>
          <w:lang w:val="en_US" w:bidi="en_US"/>
        </w:rPr>
        <w:t>calling:</w:t>
      </w:r>
      <w:r>
        <w:rPr>
          <w:lang w:val="en_US" w:bidi="en_US"/>
        </w:rPr>
        <w:t xml:space="preserve"> The Greek word that the BSB translates as </w:t>
      </w:r>
      <w:r>
        <w:rPr>
          <w:i/>
          <w:lang w:val="en_US" w:bidi="en_US"/>
        </w:rPr>
        <w:t>calling</w:t>
      </w:r>
      <w:r>
        <w:rPr>
          <w:lang w:val="en_US" w:bidi="en_US"/>
        </w:rPr>
        <w:t xml:space="preserve"> means to shout or to speak loudly. Some ways to translate </w:t>
      </w:r>
      <w:r>
        <w:rPr>
          <w:i/>
          <w:lang w:val="en_US" w:bidi="en_US"/>
        </w:rPr>
        <w:t>calling</w:t>
      </w:r>
      <w:r>
        <w:rPr>
          <w:lang w:val="en_US" w:bidi="en_US"/>
        </w:rPr>
        <w:t xml:space="preserve"> in this context include:</w:t>
      </w:r>
    </w:p>
    <w:p>
      <w:pPr/>
      <w:r>
        <w:rPr>
          <w:lang w:val="en_US" w:bidi="en_US"/>
        </w:rPr>
      </w:r>
      <w:r>
        <w:rPr>
          <w:lang w:val="en_US" w:bidi="en_US"/>
        </w:rPr>
        <w:t>announce/announcing</w:t>
      </w:r>
    </w:p>
    <w:p>
      <w:pPr/>
      <w:r>
        <w:rPr>
          <w:lang w:val="en_US" w:bidi="en_US"/>
        </w:rPr>
      </w:r>
      <w:r>
        <w:rPr>
          <w:lang w:val="en_US" w:bidi="en_US"/>
        </w:rPr>
        <w:t>shout/shouting</w:t>
      </w:r>
    </w:p>
    <w:p>
      <w:pPr/>
      <w:r>
        <w:rPr>
          <w:lang w:val="en_US" w:bidi="en_US"/>
        </w:rPr>
      </w:r>
      <w:r>
        <w:rPr>
          <w:lang w:val="en_US" w:bidi="en_US"/>
        </w:rPr>
        <w:t>speaking/saying loudly</w:t>
      </w:r>
    </w:p>
    <w:p>
      <w:pPr/>
      <w:r>
        <w:rPr>
          <w:lang w:val="en_US" w:bidi="en_US"/>
        </w:rPr>
      </w:r>
      <w:r>
        <w:rPr>
          <w:b/>
          <w:lang w:val="en_US" w:bidi="en_US"/>
        </w:rPr>
        <w:t>wilderness:</w:t>
      </w:r>
      <w:r>
        <w:rPr>
          <w:lang w:val="en_US" w:bidi="en_US"/>
        </w:rPr>
        <w:t xml:space="preserve"> The Greek word that the BSB translates as </w:t>
      </w:r>
      <w:r>
        <w:rPr>
          <w:i/>
          <w:lang w:val="en_US" w:bidi="en_US"/>
        </w:rPr>
        <w:t>wilderness</w:t>
      </w:r>
      <w:r>
        <w:rPr>
          <w:lang w:val="en_US" w:bidi="en_US"/>
        </w:rPr>
        <w:t xml:space="preserve"> here was also used in 3:2. See the note on 3:2b.</w:t>
      </w:r>
    </w:p>
    <w:p>
      <w:pPr>
        <w:pStyle w:val="Heading5"/>
      </w:pPr>
      <w:r>
        <w:rPr>
          <w:lang w:val="en_US" w:bidi="en_US"/>
        </w:rPr>
        <w:t>3:4c–3:6</w:t>
      </w:r>
    </w:p>
    <w:p>
      <w:pPr/>
      <w:r>
        <w:rPr>
          <w:lang w:val="en_US" w:bidi="en_US"/>
        </w:rPr>
      </w:r>
      <w:r>
        <w:rPr>
          <w:lang w:val="en_US" w:bidi="en_US"/>
        </w:rPr>
        <w:t>In these verses Isaiah used a metaphor. The “voice” was not literally talking about making roads better. It was talking about people, implying that they needed to repent to prepare for the coming of the Lord. In some cultures, readers may not understand the meaning of this metaphor. If that is true for your culture, you may wish to include a footnote. For example:</w:t>
      </w:r>
    </w:p>
    <w:p>
      <w:pPr/>
      <w:r>
        <w:rPr>
          <w:lang w:val="en_US" w:bidi="en_US"/>
        </w:rPr>
      </w:r>
      <w:r>
        <w:rPr>
          <w:lang w:val="en_US" w:bidi="en_US"/>
        </w:rPr>
        <w:t>When Jewish people knew a king would come through their village, they would make the road good for him. Isaiah compared this action to John telling the people to prepare themselves for the coming of Jesus, the Messiah, by repenting from their sins.</w:t>
      </w:r>
    </w:p>
    <w:p>
      <w:pPr/>
      <w:r>
        <w:rPr>
          <w:lang w:val="en_US" w:bidi="en_US"/>
        </w:rPr>
      </w:r>
      <w:r>
        <w:rPr>
          <w:lang w:val="en_US" w:bidi="en_US"/>
        </w:rPr>
        <w:t>These verses are quotations of Hebrew poetry. You may wish to print them in a special way to distinguish them from other verses.</w:t>
      </w:r>
    </w:p>
    <w:p>
      <w:pPr>
        <w:pStyle w:val="Heading5"/>
      </w:pPr>
      <w:r>
        <w:rPr>
          <w:lang w:val="en_US" w:bidi="en_US"/>
        </w:rPr>
        <w:t>3:4c</w:t>
      </w:r>
    </w:p>
    <w:p>
      <w:pPr/>
      <w:r>
        <w:rPr>
          <w:lang w:val="en_US" w:bidi="en_US"/>
        </w:rPr>
      </w:r>
      <w:r>
        <w:rPr>
          <w:b/>
          <w:lang w:val="en_US" w:bidi="en_US"/>
        </w:rPr>
        <w:t>‘Prepare the way for the Lord,</w:t>
      </w:r>
    </w:p>
    <w:p>
      <w:pPr>
        <w:pStyle w:val="ListBullet"/>
        <w:spacing w:line="240" w:lineRule="auto"/>
        <w:ind w:left="720"/>
      </w:pPr>
      <w:r>
        <w:rPr>
          <w:lang w:val="en_US" w:bidi="en_US"/>
        </w:rPr>
      </w:r>
      <w:r>
        <w:rPr>
          <w:lang w:val="en_US" w:bidi="en_US"/>
        </w:rPr>
        <w:t>‘Prepare</w:t>
      </w:r>
      <w:r>
        <w:rPr>
          <w:vertAlign w:val="superscript"/>
          <w:lang w:val="en_US" w:bidi="en_US"/>
        </w:rPr>
        <w:t>(plur)</w:t>
      </w:r>
      <w:r>
        <w:rPr>
          <w:lang w:val="en_US" w:bidi="en_US"/>
        </w:rPr>
        <w:t xml:space="preserve"> a road for the Lord </w:t>
      </w:r>
      <w:r>
        <w:rPr>
          <w:lang w:val="en_US" w:bidi="en_US"/>
        </w:rPr>
        <w:t>to come/travel on</w:t>
      </w:r>
      <w:r>
        <w:rPr>
          <w:lang w:val="en_US" w:bidi="en_US"/>
        </w:rPr>
        <w:t>.</w:t>
      </w:r>
    </w:p>
    <w:p>
      <w:pPr>
        <w:pStyle w:val="ListBullet"/>
        <w:spacing w:line="240" w:lineRule="auto"/>
        <w:ind w:left="720"/>
      </w:pPr>
      <w:r>
        <w:rPr>
          <w:lang w:val="en_US" w:bidi="en_US"/>
        </w:rPr>
      </w:r>
      <w:r>
        <w:rPr>
          <w:lang w:val="en_US" w:bidi="en_US"/>
        </w:rPr>
        <w:t>‘Make</w:t>
      </w:r>
      <w:r>
        <w:rPr>
          <w:vertAlign w:val="superscript"/>
          <w:lang w:val="en_US" w:bidi="en_US"/>
        </w:rPr>
        <w:t>(plur)</w:t>
      </w:r>
      <w:r>
        <w:rPr>
          <w:lang w:val="en_US" w:bidi="en_US"/>
        </w:rPr>
        <w:t xml:space="preserve"> ready a path for the Lord </w:t>
      </w:r>
      <w:r>
        <w:rPr>
          <w:lang w:val="en_US" w:bidi="en_US"/>
        </w:rPr>
        <w:t>God</w:t>
      </w:r>
      <w:r>
        <w:rPr>
          <w:lang w:val="en_US" w:bidi="en_US"/>
        </w:rPr>
        <w:t>.</w:t>
      </w:r>
    </w:p>
    <w:p>
      <w:pPr/>
      <w:r>
        <w:rPr>
          <w:lang w:val="en_US" w:bidi="en_US"/>
        </w:rPr>
      </w:r>
      <w:r>
        <w:rPr>
          <w:b/>
          <w:lang w:val="en_US" w:bidi="en_US"/>
        </w:rPr>
        <w:t>Prepare the way for the Lord:</w:t>
      </w:r>
      <w:r>
        <w:rPr>
          <w:lang w:val="en_US" w:bidi="en_US"/>
        </w:rPr>
        <w:t xml:space="preserve"> Here Isaiah used the metaphor of preparing a road to urge people to prepare themselves morally for the Lord to come.</w:t>
      </w:r>
    </w:p>
    <w:p>
      <w:pPr/>
      <w:r>
        <w:rPr>
          <w:lang w:val="en_US" w:bidi="en_US"/>
        </w:rPr>
      </w:r>
      <w:r>
        <w:rPr>
          <w:lang w:val="en_US" w:bidi="en_US"/>
        </w:rPr>
        <w:t>In some cultures, readers may not understand the meaning of this metaphor. If that is true for your culture, you will have to indicate the meaning more explicitly. The note for 3:4c–6 has examples of using footnotes to do this. Some other ways to do this are:</w:t>
      </w:r>
    </w:p>
    <w:p>
      <w:pPr>
        <w:pStyle w:val="ListBullet"/>
        <w:spacing w:line="240" w:lineRule="auto"/>
        <w:ind w:left="720"/>
      </w:pPr>
      <w:r>
        <w:rPr>
          <w:lang w:val="en_US" w:bidi="en_US"/>
        </w:rPr>
      </w:r>
      <w:r>
        <w:rPr>
          <w:lang w:val="en_US" w:bidi="en_US"/>
        </w:rPr>
        <w:t>Use a simile. For example:</w:t>
      </w:r>
      <w:r>
        <w:rPr>
          <w:lang w:val="en_US" w:bidi="en_US"/>
        </w:rPr>
        <w:t>As you would</w:t>
      </w:r>
      <w:r>
        <w:rPr>
          <w:lang w:val="en_US" w:bidi="en_US"/>
        </w:rPr>
        <w:t xml:space="preserve"> prepare a road </w:t>
      </w:r>
      <w:r>
        <w:rPr>
          <w:lang w:val="en_US" w:bidi="en_US"/>
        </w:rPr>
        <w:t>for a king</w:t>
      </w:r>
      <w:r>
        <w:rPr>
          <w:lang w:val="en_US" w:bidi="en_US"/>
        </w:rPr>
        <w:t xml:space="preserve">, </w:t>
      </w:r>
      <w:r>
        <w:rPr>
          <w:lang w:val="en_US" w:bidi="en_US"/>
        </w:rPr>
        <w:t>prepare your hearts/minds/lives</w:t>
      </w:r>
      <w:r>
        <w:rPr>
          <w:lang w:val="en_US" w:bidi="en_US"/>
        </w:rPr>
        <w:t xml:space="preserve"> for the Lord</w:t>
      </w:r>
    </w:p>
    <w:p>
      <w:pPr>
        <w:pStyle w:val="ListBullet"/>
        <w:spacing w:line="240" w:lineRule="auto"/>
        <w:ind w:left="720"/>
      </w:pPr>
      <w:r>
        <w:rPr>
          <w:lang w:val="en_US" w:bidi="en_US"/>
        </w:rPr>
      </w:r>
      <w:r>
        <w:rPr>
          <w:lang w:val="en_US" w:bidi="en_US"/>
        </w:rPr>
        <w:t>Express the meaning without the metaphor. For example:</w:t>
      </w:r>
      <w:r>
        <w:rPr>
          <w:lang w:val="en_US" w:bidi="en_US"/>
        </w:rPr>
        <w:t xml:space="preserve">Prepare </w:t>
      </w:r>
      <w:r>
        <w:rPr>
          <w:lang w:val="en_US" w:bidi="en_US"/>
        </w:rPr>
        <w:t>yourselves</w:t>
      </w:r>
      <w:r>
        <w:rPr>
          <w:lang w:val="en_US" w:bidi="en_US"/>
        </w:rPr>
        <w:t xml:space="preserve"> to </w:t>
      </w:r>
      <w:r>
        <w:rPr>
          <w:lang w:val="en_US" w:bidi="en_US"/>
        </w:rPr>
        <w:t>receive</w:t>
      </w:r>
      <w:r>
        <w:rPr>
          <w:lang w:val="en_US" w:bidi="en_US"/>
        </w:rPr>
        <w:t xml:space="preserve"> the Lord </w:t>
      </w:r>
      <w:r>
        <w:rPr>
          <w:lang w:val="en_US" w:bidi="en_US"/>
        </w:rPr>
        <w:t>with integrity/honesty</w:t>
      </w:r>
    </w:p>
    <w:p>
      <w:pPr/>
      <w:r>
        <w:rPr>
          <w:lang w:val="en_US" w:bidi="en_US"/>
        </w:rPr>
      </w:r>
      <w:r>
        <w:rPr>
          <w:lang w:val="en_US" w:bidi="en_US"/>
        </w:rPr>
        <w:t>This verse refers to people preparing themselves in a moral and spiritual way. Your translation should not imply that they should prepare themselves only in a physical way, such as by cleaning their houses.</w:t>
      </w:r>
    </w:p>
    <w:p>
      <w:pPr/>
      <w:r>
        <w:rPr>
          <w:lang w:val="en_US" w:bidi="en_US"/>
        </w:rPr>
      </w:r>
      <w:r>
        <w:rPr>
          <w:b/>
          <w:lang w:val="en_US" w:bidi="en_US"/>
        </w:rPr>
        <w:t>way:</w:t>
      </w:r>
      <w:r>
        <w:rPr>
          <w:lang w:val="en_US" w:bidi="en_US"/>
        </w:rPr>
        <w:t xml:space="preserve"> The Greek word that the BSB translates as </w:t>
      </w:r>
      <w:r>
        <w:rPr>
          <w:i/>
          <w:lang w:val="en_US" w:bidi="en_US"/>
        </w:rPr>
        <w:t>way</w:t>
      </w:r>
      <w:r>
        <w:rPr>
          <w:lang w:val="en_US" w:bidi="en_US"/>
        </w:rPr>
        <w:t xml:space="preserve"> refers to a “road” or a “path.”</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“master, one who has authority over others.” The Jews used this word as one way to refer to God. Here it substitutes for God’s personal name that was used in the Hebrew Old Testament. In this context, the word </w:t>
      </w:r>
      <w:r>
        <w:rPr>
          <w:i/>
          <w:lang w:val="en_US" w:bidi="en_US"/>
        </w:rPr>
        <w:t>Lord</w:t>
      </w:r>
      <w:r>
        <w:rPr>
          <w:lang w:val="en_US" w:bidi="en_US"/>
        </w:rPr>
        <w:t xml:space="preserve"> indicates that God was coming to people as the Messiah.</w:t>
      </w:r>
    </w:p>
    <w:p>
      <w:pPr/>
      <w:r>
        <w:rPr>
          <w:lang w:val="en_US" w:bidi="en_US"/>
        </w:rPr>
      </w:r>
      <w:r>
        <w:rPr>
          <w:lang w:val="en_US" w:bidi="en_US"/>
        </w:rPr>
        <w:t>If speakers of your language do not understand that your word for “Lord” refers to God in this context, here are other ways to translate it:</w:t>
      </w:r>
    </w:p>
    <w:p>
      <w:pPr>
        <w:pStyle w:val="ListBullet"/>
        <w:spacing w:line="240" w:lineRule="auto"/>
        <w:ind w:left="720"/>
      </w:pPr>
      <w:r>
        <w:rPr>
          <w:lang w:val="en_US" w:bidi="en_US"/>
        </w:rPr>
      </w:r>
      <w:r>
        <w:rPr>
          <w:lang w:val="en_US" w:bidi="en_US"/>
        </w:rPr>
        <w:t>Use your word for God.</w:t>
      </w:r>
    </w:p>
    <w:p>
      <w:pPr>
        <w:pStyle w:val="ListBullet"/>
        <w:spacing w:line="240" w:lineRule="auto"/>
        <w:ind w:left="720"/>
      </w:pPr>
      <w:r>
        <w:rPr>
          <w:lang w:val="en_US" w:bidi="en_US"/>
        </w:rPr>
      </w:r>
      <w:r>
        <w:rPr>
          <w:lang w:val="en_US" w:bidi="en_US"/>
        </w:rPr>
        <w:t>Use your word for God and indicate that he is the Lord. For example:</w:t>
      </w:r>
      <w:r>
        <w:rPr>
          <w:lang w:val="en_US" w:bidi="en_US"/>
        </w:rPr>
        <w:t>God the Lord</w:t>
      </w:r>
      <w:r>
        <w:rPr>
          <w:lang w:val="en_US" w:bidi="en_US"/>
        </w:rPr>
        <w:t>Master God</w:t>
      </w:r>
    </w:p>
    <w:p>
      <w:pPr/>
      <w:r>
        <w:rPr>
          <w:lang w:val="en_US" w:bidi="en_US"/>
        </w:rPr>
      </w:r>
      <w:r>
        <w:rPr>
          <w:lang w:val="en_US" w:bidi="en_US"/>
        </w:rPr>
        <w:t xml:space="preserve">If you include the word for God in your translation of </w:t>
      </w:r>
      <w:r>
        <w:rPr>
          <w:i/>
          <w:lang w:val="en_US" w:bidi="en_US"/>
        </w:rPr>
        <w:t>Lord</w:t>
      </w:r>
      <w:r>
        <w:rPr>
          <w:lang w:val="en_US" w:bidi="en_US"/>
        </w:rPr>
        <w:t>, you may want to include a footnote to give the literal Greek meaning. For example:</w:t>
      </w:r>
    </w:p>
    <w:p>
      <w:pPr/>
      <w:r>
        <w:rPr>
          <w:lang w:val="en_US" w:bidi="en_US"/>
        </w:rPr>
      </w:r>
      <w:r>
        <w:rPr>
          <w:lang w:val="en_US" w:bidi="en_US"/>
        </w:rPr>
        <w:t>Here the Greek text is literally “Lord.”</w:t>
      </w:r>
    </w:p>
    <w:p>
      <w:pPr/>
      <w:r>
        <w:rPr>
          <w:lang w:val="en_US" w:bidi="en_US"/>
        </w:rPr>
      </w:r>
      <w:r>
        <w:rPr>
          <w:lang w:val="en_US" w:bidi="en_US"/>
        </w:rPr>
        <w:t>See Lord, Context 2, in the Glossary.</w:t>
      </w:r>
    </w:p>
    <w:p>
      <w:pPr>
        <w:pStyle w:val="Heading5"/>
      </w:pPr>
      <w:r>
        <w:rPr>
          <w:lang w:val="en_US" w:bidi="en_US"/>
        </w:rPr>
        <w:t>3:4d</w:t>
      </w:r>
    </w:p>
    <w:p>
      <w:pPr/>
      <w:r>
        <w:rPr>
          <w:lang w:val="en_US" w:bidi="en_US"/>
        </w:rPr>
      </w:r>
      <w:r>
        <w:rPr>
          <w:b/>
          <w:lang w:val="en_US" w:bidi="en_US"/>
        </w:rPr>
        <w:t>make straight paths for Him.</w:t>
      </w:r>
    </w:p>
    <w:p>
      <w:pPr>
        <w:pStyle w:val="ListBullet"/>
        <w:spacing w:line="240" w:lineRule="auto"/>
        <w:ind w:left="720"/>
      </w:pPr>
      <w:r>
        <w:rPr>
          <w:lang w:val="en_US" w:bidi="en_US"/>
        </w:rPr>
      </w:r>
      <w:r>
        <w:rPr>
          <w:lang w:val="en_US" w:bidi="en_US"/>
        </w:rPr>
        <w:t>Make</w:t>
      </w:r>
      <w:r>
        <w:rPr>
          <w:vertAlign w:val="superscript"/>
          <w:lang w:val="en_US" w:bidi="en_US"/>
        </w:rPr>
        <w:t>(plur)</w:t>
      </w:r>
      <w:r>
        <w:rPr>
          <w:lang w:val="en_US" w:bidi="en_US"/>
        </w:rPr>
        <w:t xml:space="preserve"> the paths straight for him.</w:t>
      </w:r>
    </w:p>
    <w:p>
      <w:pPr>
        <w:pStyle w:val="ListBullet"/>
        <w:spacing w:line="240" w:lineRule="auto"/>
        <w:ind w:left="720"/>
      </w:pPr>
      <w:r>
        <w:rPr>
          <w:lang w:val="en_US" w:bidi="en_US"/>
        </w:rPr>
      </w:r>
      <w:r>
        <w:rPr>
          <w:lang w:val="en_US" w:bidi="en_US"/>
        </w:rPr>
        <w:t>Make</w:t>
      </w:r>
      <w:r>
        <w:rPr>
          <w:vertAlign w:val="superscript"/>
          <w:lang w:val="en_US" w:bidi="en_US"/>
        </w:rPr>
        <w:t>(plur)</w:t>
      </w:r>
      <w:r>
        <w:rPr>
          <w:lang w:val="en_US" w:bidi="en_US"/>
        </w:rPr>
        <w:t xml:space="preserve"> them/it straight for him.</w:t>
      </w:r>
    </w:p>
    <w:p>
      <w:pPr/>
      <w:r>
        <w:rPr>
          <w:lang w:val="en_US" w:bidi="en_US"/>
        </w:rPr>
      </w:r>
      <w:r>
        <w:rPr>
          <w:lang w:val="en_US" w:bidi="en_US"/>
        </w:rPr>
        <w:t>This part of the verse is parallel to 3:5c and has a similar meaning. The difference is that 3:5c is slightly more specific. In Hebrew poetry, the same meaning was often repeated in different words.</w:t>
      </w:r>
    </w:p>
    <w:p>
      <w:pPr/>
      <w:r>
        <w:rPr>
          <w:lang w:val="en_US" w:bidi="en_US"/>
        </w:rPr>
      </w:r>
      <w:r>
        <w:rPr>
          <w:b/>
          <w:lang w:val="en_US" w:bidi="en_US"/>
        </w:rPr>
        <w:t>make straight paths for Him:</w:t>
      </w:r>
      <w:r>
        <w:rPr>
          <w:lang w:val="en_US" w:bidi="en_US"/>
        </w:rPr>
        <w:t xml:space="preserve"> The clause </w:t>
      </w:r>
      <w:r>
        <w:rPr>
          <w:i/>
          <w:lang w:val="en_US" w:bidi="en_US"/>
        </w:rPr>
        <w:t>make straight paths for Him</w:t>
      </w:r>
      <w:r>
        <w:rPr>
          <w:lang w:val="en_US" w:bidi="en_US"/>
        </w:rPr>
        <w:t xml:space="preserve"> may be expressed more fully as “make the paths straight for the Lord </w:t>
      </w:r>
      <w:r>
        <w:rPr>
          <w:lang w:val="en_US" w:bidi="en_US"/>
        </w:rPr>
        <w:t>to travel on</w:t>
      </w:r>
      <w:r>
        <w:rPr>
          <w:lang w:val="en_US" w:bidi="en_US"/>
        </w:rPr>
        <w:t>.”</w:t>
      </w:r>
    </w:p>
    <w:p>
      <w:pPr/>
      <w:r>
        <w:rPr>
          <w:lang w:val="en_US" w:bidi="en_US"/>
        </w:rPr>
      </w:r>
      <w:r>
        <w:rPr>
          <w:b/>
          <w:lang w:val="en_US" w:bidi="en_US"/>
        </w:rPr>
        <w:t>paths:</w:t>
      </w:r>
      <w:r>
        <w:rPr>
          <w:lang w:val="en_US" w:bidi="en_US"/>
        </w:rPr>
        <w:t xml:space="preserve"> The Greek word that the BSB translates as </w:t>
      </w:r>
      <w:r>
        <w:rPr>
          <w:i/>
          <w:lang w:val="en_US" w:bidi="en_US"/>
        </w:rPr>
        <w:t>paths</w:t>
      </w:r>
      <w:r>
        <w:rPr>
          <w:lang w:val="en_US" w:bidi="en_US"/>
        </w:rPr>
        <w:t xml:space="preserve"> has a similar meaning as the word “roads.” In some languages the same word may be used to translate both “road” and “path.” If that is true in your language, you may be able to translate </w:t>
      </w:r>
      <w:r>
        <w:rPr>
          <w:i/>
          <w:lang w:val="en_US" w:bidi="en_US"/>
        </w:rPr>
        <w:t>paths</w:t>
      </w:r>
      <w:r>
        <w:rPr>
          <w:lang w:val="en_US" w:bidi="en_US"/>
        </w:rPr>
        <w:t xml:space="preserve"> as “small/little roads,” or you may be able to use a pronoun such as “it.” For example:</w:t>
      </w:r>
    </w:p>
    <w:p>
      <w:pPr/>
      <w:r>
        <w:rPr>
          <w:lang w:val="en_US" w:bidi="en_US"/>
        </w:rPr>
      </w:r>
      <w:r>
        <w:rPr>
          <w:vertAlign w:val="superscript"/>
          <w:lang w:val="en_US" w:bidi="en_US"/>
        </w:rPr>
        <w:t>4c</w:t>
      </w:r>
      <w:r>
        <w:rPr>
          <w:lang w:val="en_US" w:bidi="en_US"/>
        </w:rPr>
        <w:t xml:space="preserve">Prepare the road for the Lord, </w:t>
      </w:r>
      <w:r>
        <w:rPr>
          <w:vertAlign w:val="superscript"/>
          <w:lang w:val="en_US" w:bidi="en_US"/>
        </w:rPr>
        <w:t>4d</w:t>
      </w:r>
      <w:r>
        <w:rPr>
          <w:lang w:val="en_US" w:bidi="en_US"/>
        </w:rPr>
        <w:t xml:space="preserve">make </w:t>
      </w:r>
      <w:r>
        <w:rPr>
          <w:u w:val="single"/>
          <w:lang w:val="en_US" w:bidi="en_US"/>
        </w:rPr>
        <w:t>it</w:t>
      </w:r>
      <w:r>
        <w:rPr>
          <w:lang w:val="en_US" w:bidi="en_US"/>
        </w:rPr>
        <w:t xml:space="preserve"> straight for him.</w:t>
      </w:r>
      <w:r>
        <w:rPr>
          <w:lang w:val="en_US" w:bidi="en_US"/>
        </w:rPr>
      </w:r>
      <w:r>
        <w:rPr>
          <w:lang w:val="en_US" w:bidi="en_US"/>
        </w:rPr>
      </w:r>
    </w:p>
    <w:p>
      <w:pPr/>
      <w:r>
        <w:rPr>
          <w:lang w:val="en_US" w:bidi="en_US"/>
        </w:rPr>
      </w:r>
    </w:p>
    <w:p>
      <w:pPr>
        <w:pStyle w:val="Heading2"/>
      </w:pPr>
      <w:r>
        <w:rPr>
          <w:lang w:val="en_US" w:bidi="en_US"/>
        </w:rPr>
        <w:t>Luke 3:5</w:t>
      </w:r>
      <w:r>
        <w:rPr>
          <w:lang w:val="en_US" w:bidi="en_US"/>
        </w:rPr>
      </w:r>
    </w:p>
    <w:p>
      <w:pPr>
        <w:pStyle w:val="Heading4"/>
      </w:pPr>
      <w:r>
        <w:rPr>
          <w:lang w:val="en_US" w:bidi="en_US"/>
        </w:rPr>
        <w:t>Section 3:1–20: John the Baptizer prepared the way for Jesus</w:t>
      </w:r>
    </w:p>
    <w:p>
      <w:pPr/>
      <w:r>
        <w:rPr>
          <w:lang w:val="en_US" w:bidi="en_US"/>
        </w:rPr>
      </w:r>
      <w:r>
        <w:rPr>
          <w:lang w:val="en_US" w:bidi="en_US"/>
        </w:rP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Preaching of John (NCV)</w:t>
      </w:r>
    </w:p>
    <w:p>
      <w:pPr/>
      <w:r>
        <w:rPr>
          <w:lang w:val="en_US" w:bidi="en_US"/>
        </w:rPr>
      </w:r>
      <w:r>
        <w:rPr>
          <w:lang w:val="en_US" w:bidi="en_US"/>
        </w:rPr>
        <w:t>John the Baptist and Jesus (REB)</w:t>
      </w:r>
    </w:p>
    <w:p>
      <w:pPr/>
      <w:r>
        <w:rPr>
          <w:lang w:val="en_US" w:bidi="en_US"/>
        </w:rPr>
      </w:r>
      <w:r>
        <w:rPr>
          <w:lang w:val="en_US" w:bidi="en_US"/>
        </w:rPr>
        <w:t>John the Baptizer tells people to prepare themselves for the Messiah</w:t>
      </w:r>
    </w:p>
    <w:p>
      <w:pPr/>
      <w:r>
        <w:rPr>
          <w:lang w:val="en_US" w:bidi="en_US"/>
        </w:rPr>
      </w:r>
      <w:r>
        <w:rPr>
          <w:lang w:val="en_US" w:bidi="en_US"/>
        </w:rPr>
        <w:t>Parts of Luke 3:1–20 are basically the same as verses in Matthew 3:1–12. But Luke 3:1–2, 10–14, and 19–20 are not in Matthew.</w:t>
      </w:r>
    </w:p>
    <w:p>
      <w:pPr>
        <w:pStyle w:val="Heading4"/>
      </w:pPr>
      <w:r>
        <w:rPr>
          <w:lang w:val="en_US" w:bidi="en_US"/>
        </w:rPr>
        <w:t>Paragraph 3:4–6</w:t>
      </w:r>
    </w:p>
    <w:p>
      <w:pPr/>
      <w:r>
        <w:rPr>
          <w:lang w:val="en_US" w:bidi="en_US"/>
        </w:rPr>
      </w:r>
      <w:r>
        <w:rPr>
          <w:lang w:val="en_US" w:bidi="en_US"/>
        </w:rPr>
        <w:t>About seven hundred years before John the Baptizer was born, the prophet Isaiah wrote about him. He wrote that someone would announce to people that the Lord was coming and that they should get ready for him (Isaiah 40:3–5). John the Baptizer fulfilled this prophecy.</w:t>
      </w:r>
    </w:p>
    <w:p>
      <w:pPr/>
      <w:r>
        <w:rPr>
          <w:lang w:val="en_US" w:bidi="en_US"/>
        </w:rPr>
      </w:r>
      <w:r>
        <w:rPr>
          <w:lang w:val="en_US" w:bidi="en_US"/>
        </w:rPr>
        <w:t>Isaiah wrote that people should prepare the way/road for the Lord. This is a metaphor. When the Jewish people expected a king to come through their village, they prepared the road for him. John was telling the people to prepare themselves to receive the Lord by repenting. The Lord was coming to them as the Messiah (Jesus). (See Christ in the Glossary.)</w:t>
      </w:r>
    </w:p>
    <w:p>
      <w:pPr>
        <w:pStyle w:val="Heading5"/>
      </w:pPr>
      <w:r>
        <w:rPr>
          <w:lang w:val="en_US" w:bidi="en_US"/>
        </w:rPr>
        <w:t>3:5</w:t>
      </w:r>
    </w:p>
    <w:p>
      <w:pPr/>
      <w:r>
        <w:rPr>
          <w:lang w:val="en_US" w:bidi="en_US"/>
        </w:rPr>
      </w:r>
      <w:r>
        <w:rPr>
          <w:lang w:val="en_US" w:bidi="en_US"/>
        </w:rPr>
        <w:t>There are two ways to interpret the clauses</w:t>
      </w:r>
      <w:r>
        <w:rPr>
          <w:lang w:val="en_US" w:bidi="en_US"/>
        </w:rPr>
        <w:t>The forms are future passive.</w:t>
      </w:r>
      <w:r>
        <w:rPr>
          <w:lang w:val="en_US" w:bidi="en_US"/>
        </w:rPr>
        <w:t xml:space="preserve"> in this verse:</w:t>
      </w:r>
    </w:p>
    <w:p>
      <w:pPr>
        <w:pStyle w:val="ListNumber"/>
        <w:numPr>
          <w:ilvl w:val="0"/>
          <w:numId w:val="79"/>
        </w:numPr>
        <w:spacing w:line="240" w:lineRule="auto"/>
        <w:ind w:left="720"/>
      </w:pPr>
      <w:r>
        <w:rPr>
          <w:lang w:val="en_US" w:bidi="en_US"/>
        </w:rPr>
      </w:r>
      <w:r>
        <w:rPr>
          <w:lang w:val="en_US" w:bidi="en_US"/>
        </w:rPr>
        <w:t xml:space="preserve">They describe things that </w:t>
      </w:r>
      <w:r>
        <w:rPr>
          <w:u w:val="single"/>
          <w:lang w:val="en_US" w:bidi="en_US"/>
        </w:rPr>
        <w:t>should</w:t>
      </w:r>
      <w:r>
        <w:rPr>
          <w:lang w:val="en_US" w:bidi="en_US"/>
        </w:rPr>
        <w:t xml:space="preserve"> or </w:t>
      </w:r>
      <w:r>
        <w:rPr>
          <w:u w:val="single"/>
          <w:lang w:val="en_US" w:bidi="en_US"/>
        </w:rPr>
        <w:t>must</w:t>
      </w:r>
      <w:r>
        <w:rPr>
          <w:lang w:val="en_US" w:bidi="en_US"/>
        </w:rPr>
        <w:t xml:space="preserve"> be done. For example:</w:t>
      </w:r>
      <w:r>
        <w:rPr>
          <w:lang w:val="en_US" w:bidi="en_US"/>
        </w:rPr>
        <w:t xml:space="preserve">Every valley </w:t>
      </w:r>
      <w:r>
        <w:rPr>
          <w:u w:val="single"/>
          <w:lang w:val="en_US" w:bidi="en_US"/>
        </w:rPr>
        <w:t>must</w:t>
      </w:r>
      <w:r>
        <w:rPr>
          <w:lang w:val="en_US" w:bidi="en_US"/>
        </w:rPr>
        <w:t xml:space="preserve"> be filled up (GNT) </w:t>
      </w:r>
      <w:r>
        <w:rPr>
          <w:i/>
          <w:lang w:val="en_US" w:bidi="en_US"/>
        </w:rPr>
        <w:t>(GNT, CEV, NCV, NJB, NLT96)</w:t>
      </w:r>
    </w:p>
    <w:p>
      <w:pPr>
        <w:pStyle w:val="ListNumber"/>
        <w:spacing w:line="240" w:lineRule="auto"/>
        <w:ind w:left="720"/>
      </w:pPr>
      <w:r>
        <w:rPr>
          <w:lang w:val="en_US" w:bidi="en_US"/>
        </w:rPr>
      </w:r>
      <w:r>
        <w:rPr>
          <w:lang w:val="en_US" w:bidi="en_US"/>
        </w:rPr>
        <w:t xml:space="preserve">They describe things that </w:t>
      </w:r>
      <w:r>
        <w:rPr>
          <w:u w:val="single"/>
          <w:lang w:val="en_US" w:bidi="en_US"/>
        </w:rPr>
        <w:t>will</w:t>
      </w:r>
      <w:r>
        <w:rPr>
          <w:lang w:val="en_US" w:bidi="en_US"/>
        </w:rPr>
        <w:t xml:space="preserve"> be done. For example:</w:t>
      </w:r>
      <w:r>
        <w:rPr>
          <w:lang w:val="en_US" w:bidi="en_US"/>
        </w:rPr>
        <w:t xml:space="preserve">Every valley </w:t>
      </w:r>
      <w:r>
        <w:rPr>
          <w:u w:val="single"/>
          <w:lang w:val="en_US" w:bidi="en_US"/>
        </w:rPr>
        <w:t>will</w:t>
      </w:r>
      <w:r>
        <w:rPr>
          <w:lang w:val="en_US" w:bidi="en_US"/>
        </w:rPr>
        <w:t xml:space="preserve"> be filled (GW) </w:t>
      </w:r>
      <w:r>
        <w:rPr>
          <w:i/>
          <w:lang w:val="en_US" w:bidi="en_US"/>
        </w:rPr>
        <w:t>(NASB, NET, GW, NLT)</w:t>
      </w:r>
    </w:p>
    <w:p>
      <w:pPr/>
      <w:r>
        <w:rPr>
          <w:lang w:val="en_US" w:bidi="en_US"/>
        </w:rPr>
      </w:r>
      <w:r>
        <w:rPr>
          <w:lang w:val="en_US" w:bidi="en_US"/>
        </w:rPr>
        <w:t>English versions that use “shall” are ambiguous (BSB, NIV, GNT, REB, KJV, JBP, ESV).</w:t>
      </w:r>
      <w:r>
        <w:rPr>
          <w:lang w:val="en_US" w:bidi="en_US"/>
        </w:rPr>
        <w:t xml:space="preserve">In this context the verb “shall” indicates either (1) that the action </w:t>
      </w:r>
      <w:r>
        <w:rPr>
          <w:u w:val="single"/>
          <w:lang w:val="en_US" w:bidi="en_US"/>
        </w:rPr>
        <w:t>must</w:t>
      </w:r>
      <w:r>
        <w:rPr>
          <w:lang w:val="en_US" w:bidi="en_US"/>
        </w:rPr>
        <w:t xml:space="preserve"> be done or (2) that it </w:t>
      </w:r>
      <w:r>
        <w:rPr>
          <w:u w:val="single"/>
          <w:lang w:val="en_US" w:bidi="en_US"/>
        </w:rPr>
        <w:t>will certainly</w:t>
      </w:r>
      <w:r>
        <w:rPr>
          <w:lang w:val="en_US" w:bidi="en_US"/>
        </w:rPr>
        <w:t xml:space="preserve"> be done. It is possible that both views are true in some sense, that is, that the actions must be done and they will certainly be done.</w:t>
      </w:r>
    </w:p>
    <w:p>
      <w:pPr/>
      <w:r>
        <w:rPr>
          <w:lang w:val="en_US" w:bidi="en_US"/>
        </w:rPr>
      </w:r>
      <w:r>
        <w:rPr>
          <w:lang w:val="en_US" w:bidi="en_US"/>
        </w:rPr>
        <w:t>It is recommended that you follow interpretation (1). It fits the context of John’s preaching that the people should repent and that their lives must show their repentance.</w:t>
      </w:r>
    </w:p>
    <w:p>
      <w:pPr>
        <w:pStyle w:val="Heading5"/>
      </w:pPr>
      <w:r>
        <w:rPr>
          <w:lang w:val="en_US" w:bidi="en_US"/>
        </w:rPr>
        <w:t>3:5a</w:t>
      </w:r>
    </w:p>
    <w:p>
      <w:pPr/>
      <w:r>
        <w:rPr>
          <w:lang w:val="en_US" w:bidi="en_US"/>
        </w:rPr>
      </w:r>
      <w:r>
        <w:rPr>
          <w:b/>
          <w:lang w:val="en_US" w:bidi="en_US"/>
        </w:rPr>
        <w:t>Every valley shall be filled in,</w:t>
      </w:r>
    </w:p>
    <w:p>
      <w:pPr>
        <w:pStyle w:val="ListBullet"/>
        <w:spacing w:line="240" w:lineRule="auto"/>
        <w:ind w:left="720"/>
      </w:pPr>
      <w:r>
        <w:rPr>
          <w:lang w:val="en_US" w:bidi="en_US"/>
        </w:rPr>
      </w:r>
      <w:r>
        <w:rPr>
          <w:lang w:val="en_US" w:bidi="en_US"/>
        </w:rPr>
        <w:t>Every valley must be filled,</w:t>
      </w:r>
    </w:p>
    <w:p>
      <w:pPr>
        <w:pStyle w:val="ListBullet"/>
        <w:spacing w:line="240" w:lineRule="auto"/>
        <w:ind w:left="720"/>
      </w:pPr>
      <w:r>
        <w:rPr>
          <w:lang w:val="en_US" w:bidi="en_US"/>
        </w:rPr>
      </w:r>
      <w:r>
        <w:rPr>
          <w:lang w:val="en_US" w:bidi="en_US"/>
        </w:rPr>
        <w:t>Fill</w:t>
      </w:r>
      <w:r>
        <w:rPr>
          <w:vertAlign w:val="superscript"/>
          <w:lang w:val="en_US" w:bidi="en_US"/>
        </w:rPr>
        <w:t>(plur)</w:t>
      </w:r>
      <w:r>
        <w:rPr>
          <w:lang w:val="en_US" w:bidi="en_US"/>
        </w:rPr>
        <w:t xml:space="preserve"> up all the low places between the hills,</w:t>
      </w:r>
    </w:p>
    <w:p>
      <w:pPr/>
      <w:r>
        <w:rPr>
          <w:lang w:val="en_US" w:bidi="en_US"/>
        </w:rPr>
      </w:r>
      <w:r>
        <w:rPr>
          <w:lang w:val="en_US" w:bidi="en_US"/>
        </w:rPr>
        <w:t>In this verse, Isaiah continued to use the metaphor about preparing the Lord’s way. In the metaphor, the valleys must be filled in so that the road would be level. There are several possible interpretations of this metaphor, so it is good to not be too specific about the meaning here.</w:t>
      </w:r>
    </w:p>
    <w:p>
      <w:pPr/>
      <w:r>
        <w:rPr>
          <w:lang w:val="en_US" w:bidi="en_US"/>
        </w:rPr>
      </w:r>
      <w:r>
        <w:rPr>
          <w:b/>
          <w:lang w:val="en_US" w:bidi="en_US"/>
        </w:rPr>
        <w:t>Every valley shall be filled in:</w:t>
      </w:r>
      <w:r>
        <w:rPr>
          <w:lang w:val="en_US" w:bidi="en_US"/>
        </w:rPr>
        <w:t xml:space="preserve"> The Greek verb that the BSB translates here as </w:t>
      </w:r>
      <w:r>
        <w:rPr>
          <w:i/>
          <w:lang w:val="en_US" w:bidi="en_US"/>
        </w:rPr>
        <w:t>shall be filled in</w:t>
      </w:r>
      <w:r>
        <w:rPr>
          <w:lang w:val="en_US" w:bidi="en_US"/>
        </w:rPr>
        <w:t xml:space="preserve"> is passive. In some languages it may be more natural to translate this clause without using a passive verb. For example:</w:t>
      </w:r>
    </w:p>
    <w:p>
      <w:pPr/>
      <w:r>
        <w:rPr>
          <w:lang w:val="en_US" w:bidi="en_US"/>
        </w:rPr>
      </w:r>
      <w:r>
        <w:rPr>
          <w:lang w:val="en_US" w:bidi="en_US"/>
        </w:rPr>
        <w:t>Every valley must become full</w:t>
      </w:r>
    </w:p>
    <w:p>
      <w:pPr/>
      <w:r>
        <w:rPr>
          <w:lang w:val="en_US" w:bidi="en_US"/>
        </w:rPr>
      </w:r>
      <w:r>
        <w:rPr>
          <w:lang w:val="en_US" w:bidi="en_US"/>
        </w:rPr>
        <w:t>All the valleys must no longer be deep</w:t>
      </w:r>
    </w:p>
    <w:p>
      <w:pPr/>
      <w:r>
        <w:rPr>
          <w:lang w:val="en_US" w:bidi="en_US"/>
        </w:rPr>
      </w:r>
      <w:r>
        <w:rPr>
          <w:lang w:val="en_US" w:bidi="en_US"/>
        </w:rPr>
        <w:t>In some languages it may be necessary to say who must or will fill up the valleys. Scholars have two main views about this:</w:t>
      </w:r>
    </w:p>
    <w:p>
      <w:pPr>
        <w:pStyle w:val="ListNumber"/>
        <w:numPr>
          <w:ilvl w:val="0"/>
          <w:numId w:val="80"/>
        </w:numPr>
        <w:spacing w:line="240" w:lineRule="auto"/>
        <w:ind w:left="720"/>
      </w:pPr>
      <w:r>
        <w:rPr>
          <w:lang w:val="en_US" w:bidi="en_US"/>
        </w:rPr>
      </w:r>
      <w:r>
        <w:rPr>
          <w:lang w:val="en_US" w:bidi="en_US"/>
        </w:rPr>
        <w:t>People must fill up the valleys. For example:</w:t>
      </w:r>
      <w:r>
        <w:rPr>
          <w:lang w:val="en_US" w:bidi="en_US"/>
        </w:rPr>
        <w:t>People/You</w:t>
      </w:r>
      <w:r>
        <w:rPr>
          <w:lang w:val="en_US" w:bidi="en_US"/>
        </w:rPr>
        <w:t xml:space="preserve"> must fill every valley</w:t>
      </w:r>
      <w:r>
        <w:rPr>
          <w:lang w:val="en_US" w:bidi="en_US"/>
        </w:rPr>
        <w:t>Fill up every valley (CEV)</w:t>
      </w:r>
    </w:p>
    <w:p>
      <w:pPr>
        <w:pStyle w:val="ListNumber"/>
        <w:spacing w:line="240" w:lineRule="auto"/>
        <w:ind w:left="720"/>
      </w:pPr>
      <w:r>
        <w:rPr>
          <w:lang w:val="en_US" w:bidi="en_US"/>
        </w:rPr>
      </w:r>
      <w:r>
        <w:rPr>
          <w:lang w:val="en_US" w:bidi="en_US"/>
        </w:rPr>
        <w:t>God will fill up the valleys. For example:</w:t>
      </w:r>
      <w:r>
        <w:rPr>
          <w:lang w:val="en_US" w:bidi="en_US"/>
        </w:rPr>
        <w:t>God</w:t>
      </w:r>
      <w:r>
        <w:rPr>
          <w:lang w:val="en_US" w:bidi="en_US"/>
        </w:rPr>
        <w:t xml:space="preserve"> will fill every valley</w:t>
      </w:r>
    </w:p>
    <w:p>
      <w:pPr/>
      <w:r>
        <w:rPr>
          <w:lang w:val="en_US" w:bidi="en_US"/>
        </w:rPr>
      </w:r>
      <w:r>
        <w:rPr>
          <w:lang w:val="en_US" w:bidi="en_US"/>
        </w:rPr>
        <w:t>In a sense, both interpretations are true. However, if you must choose, it is recommended that you follow interpretation (1). The context focuses on the people’s actions that prepare for the Lord and show their repentance.</w:t>
      </w:r>
    </w:p>
    <w:p>
      <w:pPr/>
      <w:r>
        <w:rPr>
          <w:lang w:val="en_US" w:bidi="en_US"/>
        </w:rPr>
      </w:r>
      <w:r>
        <w:rPr>
          <w:b/>
          <w:lang w:val="en_US" w:bidi="en_US"/>
        </w:rPr>
        <w:t>valley:</w:t>
      </w:r>
      <w:r>
        <w:rPr>
          <w:lang w:val="en_US" w:bidi="en_US"/>
        </w:rPr>
        <w:t xml:space="preserve"> A </w:t>
      </w:r>
      <w:r>
        <w:rPr>
          <w:i/>
          <w:lang w:val="en_US" w:bidi="en_US"/>
        </w:rPr>
        <w:t>valley</w:t>
      </w:r>
      <w:r>
        <w:rPr>
          <w:lang w:val="en_US" w:bidi="en_US"/>
        </w:rPr>
        <w:t xml:space="preserve"> refers to a low area of land between hills or mountains. In this context it is a low place that contrasts with the hills and mountains.</w:t>
      </w:r>
    </w:p>
    <w:p>
      <w:pPr/>
      <w:r>
        <w:rPr>
          <w:lang w:val="en_US" w:bidi="en_US"/>
        </w:rPr>
      </w:r>
      <w:r>
        <w:rPr>
          <w:b/>
          <w:lang w:val="en_US" w:bidi="en_US"/>
        </w:rPr>
        <w:t>filled in:</w:t>
      </w:r>
      <w:r>
        <w:rPr>
          <w:lang w:val="en_US" w:bidi="en_US"/>
        </w:rPr>
        <w:t xml:space="preserve"> The Greek verb that the BSB translates here as </w:t>
      </w:r>
      <w:r>
        <w:rPr>
          <w:i/>
          <w:lang w:val="en_US" w:bidi="en_US"/>
        </w:rPr>
        <w:t>filled in</w:t>
      </w:r>
      <w:r>
        <w:rPr>
          <w:lang w:val="en_US" w:bidi="en_US"/>
        </w:rPr>
        <w:t xml:space="preserve"> indicates that the valleys should be made level by filling them with dirt and stones.</w:t>
      </w:r>
    </w:p>
    <w:p>
      <w:pPr>
        <w:pStyle w:val="Heading5"/>
      </w:pPr>
      <w:r>
        <w:rPr>
          <w:lang w:val="en_US" w:bidi="en_US"/>
        </w:rPr>
        <w:t>3:5b</w:t>
      </w:r>
    </w:p>
    <w:p>
      <w:pPr/>
      <w:r>
        <w:rPr>
          <w:lang w:val="en_US" w:bidi="en_US"/>
        </w:rPr>
      </w:r>
      <w:r>
        <w:rPr>
          <w:b/>
          <w:lang w:val="en_US" w:bidi="en_US"/>
        </w:rPr>
        <w:t>and every mountain and hill made low.</w:t>
      </w:r>
    </w:p>
    <w:p>
      <w:pPr>
        <w:pStyle w:val="ListBullet"/>
        <w:spacing w:line="240" w:lineRule="auto"/>
        <w:ind w:left="720"/>
      </w:pPr>
      <w:r>
        <w:rPr>
          <w:lang w:val="en_US" w:bidi="en_US"/>
        </w:rPr>
      </w:r>
      <w:r>
        <w:rPr>
          <w:lang w:val="en_US" w:bidi="en_US"/>
        </w:rPr>
        <w:t>and every mountain and hill must be leveled.</w:t>
      </w:r>
    </w:p>
    <w:p>
      <w:pPr>
        <w:pStyle w:val="ListBullet"/>
        <w:spacing w:line="240" w:lineRule="auto"/>
        <w:ind w:left="720"/>
      </w:pPr>
      <w:r>
        <w:rPr>
          <w:lang w:val="en_US" w:bidi="en_US"/>
        </w:rPr>
      </w:r>
      <w:r>
        <w:rPr>
          <w:lang w:val="en_US" w:bidi="en_US"/>
        </w:rPr>
        <w:t>and make</w:t>
      </w:r>
      <w:r>
        <w:rPr>
          <w:vertAlign w:val="superscript"/>
          <w:lang w:val="en_US" w:bidi="en_US"/>
        </w:rPr>
        <w:t>(plur)</w:t>
      </w:r>
      <w:r>
        <w:rPr>
          <w:lang w:val="en_US" w:bidi="en_US"/>
        </w:rPr>
        <w:t xml:space="preserve"> every big hill and small hill flat.</w:t>
      </w:r>
    </w:p>
    <w:p>
      <w:pPr/>
      <w:r>
        <w:rPr>
          <w:lang w:val="en_US" w:bidi="en_US"/>
        </w:rPr>
      </w:r>
      <w:r>
        <w:rPr>
          <w:lang w:val="en_US" w:bidi="en_US"/>
        </w:rPr>
        <w:t>In this part of the verse Isaiah continued to use metaphors about preparing the road. He indicated that the mountains and hills on the path/road should be made low. The mountains should be lowered and the valleys be filled so that the road would be level. Translate this part of the verse in a way that fits well with 3:5a.</w:t>
      </w:r>
    </w:p>
    <w:p>
      <w:pPr/>
      <w:r>
        <w:rPr>
          <w:lang w:val="en_US" w:bidi="en_US"/>
        </w:rPr>
      </w:r>
      <w:r>
        <w:rPr>
          <w:b/>
          <w:lang w:val="en_US" w:bidi="en_US"/>
        </w:rPr>
        <w:t>and every mountain and hill made low:</w:t>
      </w:r>
      <w:r>
        <w:rPr>
          <w:lang w:val="en_US" w:bidi="en_US"/>
        </w:rPr>
        <w:t xml:space="preserve"> In this clause some words are implied before the phrase </w:t>
      </w:r>
      <w:r>
        <w:rPr>
          <w:i/>
          <w:lang w:val="en_US" w:bidi="en_US"/>
        </w:rPr>
        <w:t>made low</w:t>
      </w:r>
      <w:r>
        <w:rPr>
          <w:lang w:val="en_US" w:bidi="en_US"/>
        </w:rPr>
        <w:t>. For example:</w:t>
      </w:r>
    </w:p>
    <w:p>
      <w:pPr/>
      <w:r>
        <w:rPr>
          <w:lang w:val="en_US" w:bidi="en_US"/>
        </w:rPr>
      </w:r>
      <w:r>
        <w:rPr>
          <w:lang w:val="en_US" w:bidi="en_US"/>
        </w:rPr>
        <w:t xml:space="preserve">and every mountain and hill </w:t>
      </w:r>
      <w:r>
        <w:rPr>
          <w:u w:val="single"/>
          <w:lang w:val="en_US" w:bidi="en_US"/>
        </w:rPr>
        <w:t>should be</w:t>
      </w:r>
      <w:r>
        <w:rPr>
          <w:lang w:val="en_US" w:bidi="en_US"/>
        </w:rPr>
        <w:t xml:space="preserve"> made flat. (NCV)</w:t>
      </w:r>
    </w:p>
    <w:p>
      <w:pPr/>
      <w:r>
        <w:rPr>
          <w:lang w:val="en_US" w:bidi="en_US"/>
        </w:rPr>
      </w:r>
      <w:r>
        <w:rPr>
          <w:lang w:val="en_US" w:bidi="en_US"/>
        </w:rPr>
        <w:t>This clause refers to taking soil from a hill or mountain and putting it in a lower place so that the road will be level. Another way to say this are:</w:t>
      </w:r>
    </w:p>
    <w:p>
      <w:pPr/>
      <w:r>
        <w:rPr>
          <w:lang w:val="en_US" w:bidi="en_US"/>
        </w:rPr>
      </w:r>
      <w:r>
        <w:rPr>
          <w:lang w:val="en_US" w:bidi="en_US"/>
        </w:rPr>
        <w:t>and every mountain and hill must be leveled.</w:t>
      </w:r>
    </w:p>
    <w:p>
      <w:pPr/>
      <w:r>
        <w:rPr>
          <w:lang w:val="en_US" w:bidi="en_US"/>
        </w:rPr>
      </w:r>
      <w:r>
        <w:rPr>
          <w:lang w:val="en_US" w:bidi="en_US"/>
        </w:rPr>
        <w:t>As in 3:5a, it may be more natural in some languages to translate this without using a passive verb. For example:</w:t>
      </w:r>
    </w:p>
    <w:p>
      <w:pPr/>
      <w:r>
        <w:rPr>
          <w:lang w:val="en_US" w:bidi="en_US"/>
        </w:rPr>
      </w:r>
      <w:r>
        <w:rPr>
          <w:lang w:val="en_US" w:bidi="en_US"/>
        </w:rPr>
        <w:t>Every mountain and hill must become level/flat.</w:t>
      </w:r>
    </w:p>
    <w:p>
      <w:pPr/>
      <w:r>
        <w:rPr>
          <w:lang w:val="en_US" w:bidi="en_US"/>
        </w:rPr>
      </w:r>
      <w:r>
        <w:rPr>
          <w:lang w:val="en_US" w:bidi="en_US"/>
        </w:rPr>
        <w:t>and level the mountains and hills! (NLT96)</w:t>
      </w:r>
    </w:p>
    <w:p>
      <w:pPr/>
      <w:r>
        <w:rPr>
          <w:lang w:val="en_US" w:bidi="en_US"/>
        </w:rPr>
      </w:r>
      <w:r>
        <w:rPr>
          <w:b/>
          <w:lang w:val="en_US" w:bidi="en_US"/>
        </w:rPr>
        <w:t>made low:</w:t>
      </w:r>
      <w:r>
        <w:rPr>
          <w:lang w:val="en_US" w:bidi="en_US"/>
        </w:rPr>
        <w:t xml:space="preserve"> In this context the Greek verb that the BSB translates as </w:t>
      </w:r>
      <w:r>
        <w:rPr>
          <w:i/>
          <w:lang w:val="en_US" w:bidi="en_US"/>
        </w:rPr>
        <w:t>made low</w:t>
      </w:r>
      <w:r>
        <w:rPr>
          <w:lang w:val="en_US" w:bidi="en_US"/>
        </w:rPr>
        <w:t xml:space="preserve"> refers to making something level or flat. In other contexts this word can also refer to proud people being made humble or humbling themselves. If your language has a verb that can be used in both of these contexts, you may be able to use it here. In some languages it may be possible to express this idea figuratively. For example:</w:t>
      </w:r>
    </w:p>
    <w:p>
      <w:pPr/>
      <w:r>
        <w:rPr>
          <w:lang w:val="en_US" w:bidi="en_US"/>
        </w:rPr>
      </w:r>
      <w:r>
        <w:rPr>
          <w:lang w:val="en_US" w:bidi="en_US"/>
        </w:rPr>
        <w:t xml:space="preserve">Every </w:t>
      </w:r>
      <w:r>
        <w:rPr>
          <w:lang w:val="en_US" w:bidi="en_US"/>
        </w:rPr>
        <w:t>proud</w:t>
      </w:r>
      <w:r>
        <w:rPr>
          <w:lang w:val="en_US" w:bidi="en_US"/>
        </w:rPr>
        <w:t xml:space="preserve"> hill and mountain must be flattened/humbled.</w:t>
      </w:r>
    </w:p>
    <w:p>
      <w:pPr>
        <w:pStyle w:val="Heading5"/>
      </w:pPr>
      <w:r>
        <w:rPr>
          <w:lang w:val="en_US" w:bidi="en_US"/>
        </w:rPr>
        <w:t>3:5c</w:t>
      </w:r>
    </w:p>
    <w:p>
      <w:pPr/>
      <w:r>
        <w:rPr>
          <w:lang w:val="en_US" w:bidi="en_US"/>
        </w:rPr>
      </w:r>
      <w:r>
        <w:rPr>
          <w:b/>
          <w:lang w:val="en_US" w:bidi="en_US"/>
        </w:rPr>
        <w:t>The crooked ways shall be made straight,</w:t>
      </w:r>
    </w:p>
    <w:p>
      <w:pPr>
        <w:pStyle w:val="ListBullet"/>
        <w:spacing w:line="240" w:lineRule="auto"/>
        <w:ind w:left="720"/>
      </w:pPr>
      <w:r>
        <w:rPr>
          <w:lang w:val="en_US" w:bidi="en_US"/>
        </w:rPr>
      </w:r>
      <w:r>
        <w:rPr>
          <w:lang w:val="en_US" w:bidi="en_US"/>
        </w:rPr>
        <w:t>The roads/paths that are crooked must be straightened,</w:t>
      </w:r>
    </w:p>
    <w:p>
      <w:pPr>
        <w:pStyle w:val="ListBullet"/>
        <w:spacing w:line="240" w:lineRule="auto"/>
        <w:ind w:left="720"/>
      </w:pPr>
      <w:r>
        <w:rPr>
          <w:lang w:val="en_US" w:bidi="en_US"/>
        </w:rPr>
      </w:r>
      <w:r>
        <w:rPr>
          <w:lang w:val="en_US" w:bidi="en_US"/>
        </w:rPr>
        <w:t>Straighten</w:t>
      </w:r>
      <w:r>
        <w:rPr>
          <w:vertAlign w:val="superscript"/>
          <w:lang w:val="en_US" w:bidi="en_US"/>
        </w:rPr>
        <w:t>(plur)</w:t>
      </w:r>
      <w:r>
        <w:rPr>
          <w:lang w:val="en_US" w:bidi="en_US"/>
        </w:rPr>
        <w:t xml:space="preserve"> the curves in the paths,</w:t>
      </w:r>
    </w:p>
    <w:p>
      <w:pPr/>
      <w:r>
        <w:rPr>
          <w:lang w:val="en_US" w:bidi="en_US"/>
        </w:rPr>
      </w:r>
      <w:r>
        <w:rPr>
          <w:lang w:val="en_US" w:bidi="en_US"/>
        </w:rPr>
        <w:t>This part of the verse continues to use the metaphor of preparing a road to symbolize how people repent to prepare for the Lord. Isaiah mentioned other things that must be done to the road. You should connect 3:5c and 3:5b in a way that is natural in your language.</w:t>
      </w:r>
    </w:p>
    <w:p>
      <w:pPr/>
      <w:r>
        <w:rPr>
          <w:lang w:val="en_US" w:bidi="en_US"/>
        </w:rPr>
      </w:r>
      <w:r>
        <w:rPr>
          <w:b/>
          <w:lang w:val="en_US" w:bidi="en_US"/>
        </w:rPr>
        <w:t>The crooked ways shall be made straight:</w:t>
      </w:r>
      <w:r>
        <w:rPr>
          <w:lang w:val="en_US" w:bidi="en_US"/>
        </w:rPr>
        <w:t xml:space="preserve"> The Greek clause that the BSB translates as </w:t>
      </w:r>
      <w:r>
        <w:rPr>
          <w:i/>
          <w:lang w:val="en_US" w:bidi="en_US"/>
        </w:rPr>
        <w:t>The crooked ways shall be made straight</w:t>
      </w:r>
      <w:r>
        <w:rPr>
          <w:lang w:val="en_US" w:bidi="en_US"/>
        </w:rPr>
        <w:t xml:space="preserve"> is literally “and the crooked will be into straight.” The BSB has supplied the word </w:t>
      </w:r>
      <w:r>
        <w:rPr>
          <w:i/>
          <w:lang w:val="en_US" w:bidi="en_US"/>
        </w:rPr>
        <w:t>ways</w:t>
      </w:r>
      <w:r>
        <w:rPr>
          <w:lang w:val="en_US" w:bidi="en_US"/>
        </w:rPr>
        <w:t>. Other words such as “paths” or “roads” would also fit here. For example:</w:t>
      </w:r>
    </w:p>
    <w:p>
      <w:pPr/>
      <w:r>
        <w:rPr>
          <w:lang w:val="en_US" w:bidi="en_US"/>
        </w:rPr>
      </w:r>
      <w:r>
        <w:rPr>
          <w:lang w:val="en_US" w:bidi="en_US"/>
        </w:rPr>
        <w:t>Winding paths must be made straight</w:t>
      </w:r>
    </w:p>
    <w:p>
      <w:pPr/>
      <w:r>
        <w:rPr>
          <w:lang w:val="en_US" w:bidi="en_US"/>
        </w:rPr>
      </w:r>
      <w:r>
        <w:rPr>
          <w:lang w:val="en_US" w:bidi="en_US"/>
        </w:rPr>
        <w:t>The crooked roads should become straight</w:t>
      </w:r>
    </w:p>
    <w:p>
      <w:pPr/>
      <w:r>
        <w:rPr>
          <w:lang w:val="en_US" w:bidi="en_US"/>
        </w:rPr>
      </w:r>
      <w:r>
        <w:rPr>
          <w:lang w:val="en_US" w:bidi="en_US"/>
        </w:rPr>
        <w:t>Straighten the curves (NLT96)</w:t>
      </w:r>
    </w:p>
    <w:p>
      <w:pPr/>
      <w:r>
        <w:rPr>
          <w:lang w:val="en_US" w:bidi="en_US"/>
        </w:rPr>
      </w:r>
      <w:r>
        <w:rPr>
          <w:b/>
          <w:lang w:val="en_US" w:bidi="en_US"/>
        </w:rPr>
        <w:t>crooked…straight:</w:t>
      </w:r>
      <w:r>
        <w:rPr>
          <w:lang w:val="en_US" w:bidi="en_US"/>
        </w:rPr>
        <w:t xml:space="preserve"> The Greek word that the BSB translates as </w:t>
      </w:r>
      <w:r>
        <w:rPr>
          <w:i/>
          <w:lang w:val="en_US" w:bidi="en_US"/>
        </w:rPr>
        <w:t>crooked</w:t>
      </w:r>
      <w:r>
        <w:rPr>
          <w:lang w:val="en_US" w:bidi="en_US"/>
        </w:rPr>
        <w:t xml:space="preserve"> means “twisted, bent, curved.” The word that it translates as </w:t>
      </w:r>
      <w:r>
        <w:rPr>
          <w:i/>
          <w:lang w:val="en_US" w:bidi="en_US"/>
        </w:rPr>
        <w:t>straight</w:t>
      </w:r>
      <w:r>
        <w:rPr>
          <w:lang w:val="en_US" w:bidi="en_US"/>
        </w:rPr>
        <w:t xml:space="preserve"> means “being in a direct line, not bent or curved.”</w:t>
      </w:r>
    </w:p>
    <w:p>
      <w:pPr/>
      <w:r>
        <w:rPr>
          <w:lang w:val="en_US" w:bidi="en_US"/>
        </w:rPr>
      </w:r>
      <w:r>
        <w:rPr>
          <w:lang w:val="en_US" w:bidi="en_US"/>
        </w:rPr>
        <w:t xml:space="preserve">Both of these words can be used in a figurative way. The word </w:t>
      </w:r>
      <w:r>
        <w:rPr>
          <w:i/>
          <w:lang w:val="en_US" w:bidi="en_US"/>
        </w:rPr>
        <w:t>crooked</w:t>
      </w:r>
      <w:r>
        <w:rPr>
          <w:lang w:val="en_US" w:bidi="en_US"/>
        </w:rPr>
        <w:t xml:space="preserve"> can refer to being morally bent or twisted, that is, dishonest, unrighteous, or unjust. The word </w:t>
      </w:r>
      <w:r>
        <w:rPr>
          <w:i/>
          <w:lang w:val="en_US" w:bidi="en_US"/>
        </w:rPr>
        <w:t>straight</w:t>
      </w:r>
      <w:r>
        <w:rPr>
          <w:lang w:val="en_US" w:bidi="en_US"/>
        </w:rPr>
        <w:t xml:space="preserve"> can refer to being righteous and honest. If your language has words or idioms that could be used in either sense, you may be able to use them here.</w:t>
      </w:r>
    </w:p>
    <w:p>
      <w:pPr>
        <w:pStyle w:val="Heading5"/>
      </w:pPr>
      <w:r>
        <w:rPr>
          <w:lang w:val="en_US" w:bidi="en_US"/>
        </w:rPr>
        <w:t>3:5d</w:t>
      </w:r>
    </w:p>
    <w:p>
      <w:pPr/>
      <w:r>
        <w:rPr>
          <w:lang w:val="en_US" w:bidi="en_US"/>
        </w:rPr>
      </w:r>
      <w:r>
        <w:rPr>
          <w:b/>
          <w:lang w:val="en_US" w:bidi="en_US"/>
        </w:rPr>
        <w:t>and the rough ways smooth.</w:t>
      </w:r>
    </w:p>
    <w:p>
      <w:pPr>
        <w:pStyle w:val="ListBullet"/>
        <w:spacing w:line="240" w:lineRule="auto"/>
        <w:ind w:left="720"/>
      </w:pPr>
      <w:r>
        <w:rPr>
          <w:lang w:val="en_US" w:bidi="en_US"/>
        </w:rPr>
      </w:r>
      <w:r>
        <w:rPr>
          <w:lang w:val="en_US" w:bidi="en_US"/>
        </w:rPr>
        <w:t>and the paths that are rough must be made smooth/flat.</w:t>
      </w:r>
    </w:p>
    <w:p>
      <w:pPr>
        <w:pStyle w:val="ListBullet"/>
        <w:spacing w:line="240" w:lineRule="auto"/>
        <w:ind w:left="720"/>
      </w:pPr>
      <w:r>
        <w:rPr>
          <w:lang w:val="en_US" w:bidi="en_US"/>
        </w:rPr>
      </w:r>
      <w:r>
        <w:rPr>
          <w:lang w:val="en_US" w:bidi="en_US"/>
        </w:rPr>
        <w:t>and make</w:t>
      </w:r>
      <w:r>
        <w:rPr>
          <w:vertAlign w:val="superscript"/>
          <w:lang w:val="en_US" w:bidi="en_US"/>
        </w:rPr>
        <w:t>(plur)</w:t>
      </w:r>
      <w:r>
        <w:rPr>
          <w:lang w:val="en_US" w:bidi="en_US"/>
        </w:rPr>
        <w:t xml:space="preserve"> the uneven places level.</w:t>
      </w:r>
    </w:p>
    <w:p>
      <w:pPr/>
      <w:r>
        <w:rPr>
          <w:lang w:val="en_US" w:bidi="en_US"/>
        </w:rPr>
      </w:r>
      <w:r>
        <w:rPr>
          <w:lang w:val="en_US" w:bidi="en_US"/>
        </w:rPr>
        <w:t>This part of the verse continues to use the metaphor of preparing a road to symbolize how people repent to prepare for the Lord. Translate it in a way that fits this metaphor and connects in a natural way with 3:5c.</w:t>
      </w:r>
    </w:p>
    <w:p>
      <w:pPr/>
      <w:r>
        <w:rPr>
          <w:lang w:val="en_US" w:bidi="en_US"/>
        </w:rPr>
      </w:r>
      <w:r>
        <w:rPr>
          <w:b/>
          <w:lang w:val="en_US" w:bidi="en_US"/>
        </w:rPr>
        <w:t>and the rough ways smooth:</w:t>
      </w:r>
      <w:r>
        <w:rPr>
          <w:lang w:val="en_US" w:bidi="en_US"/>
        </w:rPr>
        <w:t xml:space="preserve"> The Greek phrase that the BSB translates as </w:t>
      </w:r>
      <w:r>
        <w:rPr>
          <w:i/>
          <w:lang w:val="en_US" w:bidi="en_US"/>
        </w:rPr>
        <w:t>the rough ways smooth</w:t>
      </w:r>
      <w:r>
        <w:rPr>
          <w:lang w:val="en_US" w:bidi="en_US"/>
        </w:rPr>
        <w:t xml:space="preserve"> is more literally “and the rough into smooth roads.” This is an ellipsis. The full meaning is “and the rough </w:t>
      </w:r>
      <w:r>
        <w:rPr>
          <w:lang w:val="en_US" w:bidi="en_US"/>
        </w:rPr>
        <w:t>roads</w:t>
      </w:r>
      <w:r>
        <w:rPr>
          <w:lang w:val="en_US" w:bidi="en_US"/>
        </w:rPr>
        <w:t xml:space="preserve"> </w:t>
      </w:r>
      <w:r>
        <w:rPr>
          <w:lang w:val="en_US" w:bidi="en_US"/>
        </w:rPr>
        <w:t>should be made</w:t>
      </w:r>
      <w:r>
        <w:rPr>
          <w:lang w:val="en_US" w:bidi="en_US"/>
        </w:rPr>
        <w:t xml:space="preserve"> into smooth roads.” It indicates that the rough, uneven paths must be made flat and smooth.</w:t>
      </w:r>
    </w:p>
    <w:p>
      <w:pPr/>
      <w:r>
        <w:rPr>
          <w:lang w:val="en_US" w:bidi="en_US"/>
        </w:rPr>
      </w:r>
      <w:r>
        <w:rPr>
          <w:lang w:val="en_US" w:bidi="en_US"/>
        </w:rPr>
        <w:t>Some other ways to say this are:</w:t>
      </w:r>
    </w:p>
    <w:p>
      <w:pPr/>
      <w:r>
        <w:rPr>
          <w:lang w:val="en_US" w:bidi="en_US"/>
        </w:rPr>
      </w:r>
      <w:r>
        <w:rPr>
          <w:lang w:val="en_US" w:bidi="en_US"/>
        </w:rPr>
        <w:t>and rough roads should be made smooth (NCV)</w:t>
      </w:r>
    </w:p>
    <w:p>
      <w:pPr/>
      <w:r>
        <w:rPr>
          <w:lang w:val="en_US" w:bidi="en_US"/>
        </w:rPr>
      </w:r>
      <w:r>
        <w:rPr>
          <w:lang w:val="en_US" w:bidi="en_US"/>
        </w:rPr>
        <w:t>and smooth out the rough roads (CEV)</w:t>
      </w:r>
    </w:p>
    <w:p>
      <w:pPr/>
      <w:r>
        <w:rPr>
          <w:lang w:val="en_US" w:bidi="en_US"/>
        </w:rPr>
      </w:r>
      <w:r>
        <w:rPr>
          <w:lang w:val="en_US" w:bidi="en_US"/>
        </w:rPr>
        <w:t xml:space="preserve">remove the uneven places from the roads to make them easy </w:t>
      </w:r>
      <w:r>
        <w:rPr>
          <w:lang w:val="en_US" w:bidi="en_US"/>
        </w:rPr>
        <w:t>to travel on</w:t>
      </w:r>
      <w:r>
        <w:rPr>
          <w:lang w:val="en_US" w:bidi="en_US"/>
        </w:rPr>
      </w:r>
      <w:r>
        <w:rPr>
          <w:lang w:val="en_US" w:bidi="en_US"/>
        </w:rPr>
      </w:r>
    </w:p>
    <w:p>
      <w:pPr/>
      <w:r>
        <w:rPr>
          <w:lang w:val="en_US" w:bidi="en_US"/>
        </w:rPr>
      </w:r>
    </w:p>
    <w:p>
      <w:pPr>
        <w:pStyle w:val="Heading2"/>
      </w:pPr>
      <w:r>
        <w:rPr>
          <w:lang w:val="en_US" w:bidi="en_US"/>
        </w:rPr>
        <w:t>Luke 3:6</w:t>
      </w:r>
      <w:r>
        <w:rPr>
          <w:lang w:val="en_US" w:bidi="en_US"/>
        </w:rPr>
      </w:r>
    </w:p>
    <w:p>
      <w:pPr>
        <w:pStyle w:val="Heading4"/>
      </w:pPr>
      <w:r>
        <w:rPr>
          <w:lang w:val="en_US" w:bidi="en_US"/>
        </w:rPr>
        <w:t>Section 3:1–20: John the Baptizer prepared the way for Jesus</w:t>
      </w:r>
    </w:p>
    <w:p>
      <w:pPr/>
      <w:r>
        <w:rPr>
          <w:lang w:val="en_US" w:bidi="en_US"/>
        </w:rPr>
      </w:r>
      <w:r>
        <w:rPr>
          <w:lang w:val="en_US" w:bidi="en_US"/>
        </w:rP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Preaching of John (NCV)</w:t>
      </w:r>
    </w:p>
    <w:p>
      <w:pPr/>
      <w:r>
        <w:rPr>
          <w:lang w:val="en_US" w:bidi="en_US"/>
        </w:rPr>
      </w:r>
      <w:r>
        <w:rPr>
          <w:lang w:val="en_US" w:bidi="en_US"/>
        </w:rPr>
        <w:t>John the Baptist and Jesus (REB)</w:t>
      </w:r>
    </w:p>
    <w:p>
      <w:pPr/>
      <w:r>
        <w:rPr>
          <w:lang w:val="en_US" w:bidi="en_US"/>
        </w:rPr>
      </w:r>
      <w:r>
        <w:rPr>
          <w:lang w:val="en_US" w:bidi="en_US"/>
        </w:rPr>
        <w:t>John the Baptizer tells people to prepare themselves for the Messiah</w:t>
      </w:r>
    </w:p>
    <w:p>
      <w:pPr/>
      <w:r>
        <w:rPr>
          <w:lang w:val="en_US" w:bidi="en_US"/>
        </w:rPr>
      </w:r>
      <w:r>
        <w:rPr>
          <w:lang w:val="en_US" w:bidi="en_US"/>
        </w:rPr>
        <w:t>Parts of Luke 3:1–20 are basically the same as verses in Matthew 3:1–12. But Luke 3:1–2, 10–14, and 19–20 are not in Matthew.</w:t>
      </w:r>
    </w:p>
    <w:p>
      <w:pPr>
        <w:pStyle w:val="Heading4"/>
      </w:pPr>
      <w:r>
        <w:rPr>
          <w:lang w:val="en_US" w:bidi="en_US"/>
        </w:rPr>
        <w:t>Paragraph 3:4–6</w:t>
      </w:r>
    </w:p>
    <w:p>
      <w:pPr/>
      <w:r>
        <w:rPr>
          <w:lang w:val="en_US" w:bidi="en_US"/>
        </w:rPr>
      </w:r>
      <w:r>
        <w:rPr>
          <w:lang w:val="en_US" w:bidi="en_US"/>
        </w:rPr>
        <w:t>About seven hundred years before John the Baptizer was born, the prophet Isaiah wrote about him. He wrote that someone would announce to people that the Lord was coming and that they should get ready for him (Isaiah 40:3–5). John the Baptizer fulfilled this prophecy.</w:t>
      </w:r>
    </w:p>
    <w:p>
      <w:pPr/>
      <w:r>
        <w:rPr>
          <w:lang w:val="en_US" w:bidi="en_US"/>
        </w:rPr>
      </w:r>
      <w:r>
        <w:rPr>
          <w:lang w:val="en_US" w:bidi="en_US"/>
        </w:rPr>
        <w:t>Isaiah wrote that people should prepare the way/road for the Lord. This is a metaphor. When the Jewish people expected a king to come through their village, they prepared the road for him. John was telling the people to prepare themselves to receive the Lord by repenting. The Lord was coming to them as the Messiah (Jesus). (See Christ in the Glossary.)</w:t>
      </w:r>
    </w:p>
    <w:p>
      <w:pPr>
        <w:pStyle w:val="Heading5"/>
      </w:pPr>
      <w:r>
        <w:rPr>
          <w:lang w:val="en_US" w:bidi="en_US"/>
        </w:rPr>
        <w:t>3:6</w:t>
      </w:r>
    </w:p>
    <w:p>
      <w:pPr/>
      <w:r>
        <w:rPr>
          <w:lang w:val="en_US" w:bidi="en_US"/>
        </w:rPr>
      </w:r>
      <w:r>
        <w:rPr>
          <w:b/>
          <w:lang w:val="en_US" w:bidi="en_US"/>
        </w:rPr>
        <w:t>And all humanity will see God’s salvation.’”</w:t>
      </w:r>
    </w:p>
    <w:p>
      <w:pPr>
        <w:pStyle w:val="ListBullet"/>
        <w:spacing w:line="240" w:lineRule="auto"/>
        <w:ind w:left="720"/>
      </w:pPr>
      <w:r>
        <w:rPr>
          <w:lang w:val="en_US" w:bidi="en_US"/>
        </w:rPr>
      </w:r>
      <w:r>
        <w:rPr>
          <w:lang w:val="en_US" w:bidi="en_US"/>
        </w:rPr>
        <w:t>And everyone will see the salvation that God will send'"</w:t>
      </w:r>
    </w:p>
    <w:p>
      <w:pPr>
        <w:pStyle w:val="ListBullet"/>
        <w:spacing w:line="240" w:lineRule="auto"/>
        <w:ind w:left="720"/>
      </w:pPr>
      <w:r>
        <w:rPr>
          <w:lang w:val="en_US" w:bidi="en_US"/>
        </w:rPr>
      </w:r>
      <w:r>
        <w:rPr>
          <w:lang w:val="en_US" w:bidi="en_US"/>
        </w:rPr>
        <w:t>And all people will see the Savior from God.'"</w:t>
      </w:r>
    </w:p>
    <w:p>
      <w:pPr/>
      <w:r>
        <w:rPr>
          <w:lang w:val="en_US" w:bidi="en_US"/>
        </w:rPr>
      </w:r>
      <w:r>
        <w:rPr>
          <w:b/>
          <w:lang w:val="en_US" w:bidi="en_US"/>
        </w:rPr>
        <w:t>all humanity will see God’s salvation:</w:t>
      </w:r>
      <w:r>
        <w:rPr>
          <w:lang w:val="en_US" w:bidi="en_US"/>
        </w:rPr>
        <w:t xml:space="preserve"> The word </w:t>
      </w:r>
      <w:r>
        <w:rPr>
          <w:i/>
          <w:lang w:val="en_US" w:bidi="en_US"/>
        </w:rPr>
        <w:t>salvation</w:t>
      </w:r>
      <w:r>
        <w:rPr>
          <w:lang w:val="en_US" w:bidi="en_US"/>
        </w:rPr>
        <w:t xml:space="preserve"> is used here in a similar way as in 2:30, where Simeon saw Jesus. Simeon realized that Jesus was “the Lord’s Christ” (2:26), and he said that he had seen God’s salvation. Jesus the Christ was the one whom God appointed to save/rescue people. Someday every person will </w:t>
      </w:r>
      <w:r>
        <w:rPr>
          <w:i/>
          <w:lang w:val="en_US" w:bidi="en_US"/>
        </w:rPr>
        <w:t>see God’s salvation</w:t>
      </w:r>
      <w:r>
        <w:rPr>
          <w:lang w:val="en_US" w:bidi="en_US"/>
        </w:rPr>
        <w:t xml:space="preserve"> because they will see the Savior and know about how he saves people.</w:t>
      </w:r>
      <w:r>
        <w:rPr>
          <w:lang w:val="en_US" w:bidi="en_US"/>
        </w:rPr>
        <w:t>Luke 3:6 reinforces the theme of this book. God has provided a salvation that is for all people: Jew and Gentile, man and woman, rich and poor, etc. While this prophecy speaks of the coming of Jesus as the Christ (Messiah) to save mankind, it also looks forward to when he returns in glory. At that time, all of humanity (flesh) will literally see God’s salvation in the person of Jesus the Christ (Matthew 16:27, Luke 21:27–28, Acts 1:11, 1 Thessalonians 4:16–17). So, the salvation of God was revealed through Jesus’ coming as Savior for all people, and God’s Salvation will be seen by everyone on the last day, when everyone will kneel and confess that Jesus Christ is Lord (Philippians 2:10–11).</w:t>
      </w:r>
      <w:r>
        <w:rPr>
          <w:lang w:val="en_US" w:bidi="en_US"/>
        </w:rPr>
        <w:t xml:space="preserve"> Other ways to say this include:</w:t>
      </w:r>
    </w:p>
    <w:p>
      <w:pPr/>
      <w:r>
        <w:rPr>
          <w:lang w:val="en_US" w:bidi="en_US"/>
        </w:rPr>
      </w:r>
      <w:r>
        <w:rPr>
          <w:lang w:val="en_US" w:bidi="en_US"/>
        </w:rPr>
        <w:t>all people will see the salvation sent from God. (NLT)</w:t>
      </w:r>
    </w:p>
    <w:p>
      <w:pPr/>
      <w:r>
        <w:rPr>
          <w:lang w:val="en_US" w:bidi="en_US"/>
        </w:rPr>
      </w:r>
      <w:r>
        <w:rPr>
          <w:lang w:val="en_US" w:bidi="en_US"/>
        </w:rPr>
        <w:t>All people will see the salvation that God gives. (GW)</w:t>
      </w:r>
    </w:p>
    <w:p>
      <w:pPr/>
      <w:r>
        <w:rPr>
          <w:lang w:val="en_US" w:bidi="en_US"/>
        </w:rPr>
      </w:r>
      <w:r>
        <w:rPr>
          <w:lang w:val="en_US" w:bidi="en_US"/>
        </w:rPr>
        <w:t>And all people will see the Savior from God.</w:t>
      </w:r>
    </w:p>
    <w:p>
      <w:pPr/>
      <w:r>
        <w:rPr>
          <w:lang w:val="en_US" w:bidi="en_US"/>
        </w:rPr>
      </w:r>
      <w:r>
        <w:rPr>
          <w:b/>
          <w:lang w:val="en_US" w:bidi="en_US"/>
        </w:rPr>
        <w:t>all humanity:</w:t>
      </w:r>
      <w:r>
        <w:rPr>
          <w:lang w:val="en_US" w:bidi="en_US"/>
        </w:rPr>
        <w:t xml:space="preserve"> The Greek word that the translates as </w:t>
      </w:r>
      <w:r>
        <w:rPr>
          <w:i/>
          <w:lang w:val="en_US" w:bidi="en_US"/>
        </w:rPr>
        <w:t>humanity</w:t>
      </w:r>
      <w:r>
        <w:rPr>
          <w:lang w:val="en_US" w:bidi="en_US"/>
        </w:rPr>
        <w:t xml:space="preserve"> is literally “flesh” (as in the RSV). Here it refers to humanity, that is, all people. Some other ways to say this are:</w:t>
      </w:r>
    </w:p>
    <w:p>
      <w:pPr/>
      <w:r>
        <w:rPr>
          <w:lang w:val="en_US" w:bidi="en_US"/>
        </w:rPr>
      </w:r>
      <w:r>
        <w:rPr>
          <w:lang w:val="en_US" w:bidi="en_US"/>
        </w:rPr>
        <w:t>everyone</w:t>
      </w:r>
    </w:p>
    <w:p>
      <w:pPr/>
      <w:r>
        <w:rPr>
          <w:lang w:val="en_US" w:bidi="en_US"/>
        </w:rPr>
      </w:r>
      <w:r>
        <w:rPr>
          <w:lang w:val="en_US" w:bidi="en_US"/>
        </w:rPr>
        <w:t>the whole human race (GNT)</w:t>
      </w:r>
    </w:p>
    <w:p>
      <w:pPr/>
      <w:r>
        <w:rPr>
          <w:lang w:val="en_US" w:bidi="en_US"/>
        </w:rPr>
      </w:r>
      <w:r>
        <w:rPr>
          <w:lang w:val="en_US" w:bidi="en_US"/>
        </w:rPr>
        <w:t>all people (GW)</w:t>
      </w:r>
    </w:p>
    <w:p>
      <w:pPr/>
      <w:r>
        <w:rPr>
          <w:lang w:val="en_US" w:bidi="en_US"/>
        </w:rPr>
      </w:r>
      <w:r>
        <w:rPr>
          <w:b/>
          <w:lang w:val="en_US" w:bidi="en_US"/>
        </w:rPr>
        <w:t>see:</w:t>
      </w:r>
      <w:r>
        <w:rPr>
          <w:lang w:val="en_US" w:bidi="en_US"/>
        </w:rPr>
        <w:t xml:space="preserve"> The Greek word that the BSB translates here as </w:t>
      </w:r>
      <w:r>
        <w:rPr>
          <w:i/>
          <w:lang w:val="en_US" w:bidi="en_US"/>
        </w:rPr>
        <w:t>see</w:t>
      </w:r>
      <w:r>
        <w:rPr>
          <w:lang w:val="en_US" w:bidi="en_US"/>
        </w:rPr>
        <w:t xml:space="preserve"> can also be translated as:</w:t>
      </w:r>
    </w:p>
    <w:p>
      <w:pPr/>
      <w:r>
        <w:rPr>
          <w:lang w:val="en_US" w:bidi="en_US"/>
        </w:rPr>
      </w:r>
      <w:r>
        <w:rPr>
          <w:lang w:val="en_US" w:bidi="en_US"/>
        </w:rPr>
        <w:t>view</w:t>
      </w:r>
    </w:p>
    <w:p>
      <w:pPr/>
      <w:r>
        <w:rPr>
          <w:lang w:val="en_US" w:bidi="en_US"/>
        </w:rPr>
      </w:r>
      <w:r>
        <w:rPr>
          <w:lang w:val="en_US" w:bidi="en_US"/>
        </w:rPr>
        <w:t>observe</w:t>
      </w:r>
    </w:p>
    <w:p>
      <w:pPr/>
      <w:r>
        <w:rPr>
          <w:lang w:val="en_US" w:bidi="en_US"/>
        </w:rPr>
      </w:r>
      <w:r>
        <w:rPr>
          <w:lang w:val="en_US" w:bidi="en_US"/>
        </w:rPr>
        <w:t>Choose the verb in your language that is most natural with your translation of “salvation” in this context.</w:t>
      </w:r>
    </w:p>
    <w:p>
      <w:pPr>
        <w:pStyle w:val="Heading6"/>
      </w:pPr>
      <w:r>
        <w:rPr>
          <w:b/>
          <w:lang w:val="en_US" w:bidi="en_US"/>
        </w:rPr>
        <w:t>General Comment on 3:6</w:t>
      </w:r>
    </w:p>
    <w:p>
      <w:pPr/>
      <w:r>
        <w:rPr>
          <w:lang w:val="en_US" w:bidi="en_US"/>
        </w:rPr>
      </w:r>
      <w:r>
        <w:rPr>
          <w:lang w:val="en_US" w:bidi="en_US"/>
        </w:rPr>
        <w:t>At the end of 3:6 Luke ended the quote from the book of Isaiah. In 3:7 Luke talked about John’s preaching to people. In some languages it may be necessary to indicate explicitly that the quote from Isaiah ends before 3:7. For example:</w:t>
      </w:r>
    </w:p>
    <w:p>
      <w:pPr/>
      <w:r>
        <w:rPr>
          <w:lang w:val="en_US" w:bidi="en_US"/>
        </w:rPr>
      </w:r>
      <w:r>
        <w:rPr>
          <w:lang w:val="en_US" w:bidi="en_US"/>
        </w:rPr>
        <w:t xml:space="preserve">“…‘…And all mankind will see God’s salvation.’” </w:t>
      </w:r>
      <w:r>
        <w:rPr>
          <w:lang w:val="en_US" w:bidi="en_US"/>
        </w:rPr>
        <w:t>This is what Isaiah said.</w:t>
      </w:r>
      <w:r>
        <w:rPr>
          <w:lang w:val="en_US" w:bidi="en_US"/>
        </w:rPr>
      </w:r>
      <w:r>
        <w:rPr>
          <w:lang w:val="en_US" w:bidi="en_US"/>
        </w:rPr>
      </w:r>
    </w:p>
    <w:p>
      <w:pPr/>
      <w:r>
        <w:rPr>
          <w:lang w:val="en_US" w:bidi="en_US"/>
        </w:rPr>
      </w:r>
    </w:p>
    <w:p>
      <w:pPr>
        <w:pStyle w:val="Heading2"/>
      </w:pPr>
      <w:r>
        <w:rPr>
          <w:lang w:val="en_US" w:bidi="en_US"/>
        </w:rPr>
        <w:t>Luke 3:7</w:t>
      </w:r>
      <w:r>
        <w:rPr>
          <w:lang w:val="en_US" w:bidi="en_US"/>
        </w:rPr>
      </w:r>
    </w:p>
    <w:p>
      <w:pPr>
        <w:pStyle w:val="Heading4"/>
      </w:pPr>
      <w:r>
        <w:rPr>
          <w:lang w:val="en_US" w:bidi="en_US"/>
        </w:rPr>
        <w:t>Section 3:1–20: John the Baptizer prepared the way for Jesus</w:t>
      </w:r>
    </w:p>
    <w:p>
      <w:pPr/>
      <w:r>
        <w:rPr>
          <w:lang w:val="en_US" w:bidi="en_US"/>
        </w:rPr>
      </w:r>
      <w:r>
        <w:rPr>
          <w:lang w:val="en_US" w:bidi="en_US"/>
        </w:rP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Preaching of John (NCV)</w:t>
      </w:r>
    </w:p>
    <w:p>
      <w:pPr/>
      <w:r>
        <w:rPr>
          <w:lang w:val="en_US" w:bidi="en_US"/>
        </w:rPr>
      </w:r>
      <w:r>
        <w:rPr>
          <w:lang w:val="en_US" w:bidi="en_US"/>
        </w:rPr>
        <w:t>John the Baptist and Jesus (REB)</w:t>
      </w:r>
    </w:p>
    <w:p>
      <w:pPr/>
      <w:r>
        <w:rPr>
          <w:lang w:val="en_US" w:bidi="en_US"/>
        </w:rPr>
      </w:r>
      <w:r>
        <w:rPr>
          <w:lang w:val="en_US" w:bidi="en_US"/>
        </w:rPr>
        <w:t>John the Baptizer tells people to prepare themselves for the Messiah</w:t>
      </w:r>
    </w:p>
    <w:p>
      <w:pPr/>
      <w:r>
        <w:rPr>
          <w:lang w:val="en_US" w:bidi="en_US"/>
        </w:rPr>
      </w:r>
      <w:r>
        <w:rPr>
          <w:lang w:val="en_US" w:bidi="en_US"/>
        </w:rPr>
        <w:t>Parts of Luke 3:1–20 are basically the same as verses in Matthew 3:1–12. But Luke 3:1–2, 10–14, and 19–20 are not in Matthew.</w:t>
      </w:r>
    </w:p>
    <w:p>
      <w:pPr>
        <w:pStyle w:val="Heading4"/>
      </w:pPr>
      <w:r>
        <w:rPr>
          <w:lang w:val="en_US" w:bidi="en_US"/>
        </w:rPr>
        <w:t>Paragraph 3:7–9</w:t>
      </w:r>
    </w:p>
    <w:p>
      <w:pPr/>
      <w:r>
        <w:rPr>
          <w:lang w:val="en_US" w:bidi="en_US"/>
        </w:rPr>
      </w:r>
      <w:r>
        <w:rPr>
          <w:lang w:val="en_US" w:bidi="en_US"/>
        </w:rPr>
        <w:t>These verses are similar to the text in Matthew 3:7–10.</w:t>
      </w:r>
    </w:p>
    <w:p>
      <w:pPr>
        <w:pStyle w:val="Heading5"/>
      </w:pPr>
      <w:r>
        <w:rPr>
          <w:lang w:val="en_US" w:bidi="en_US"/>
        </w:rPr>
        <w:t>3:7a</w:t>
      </w:r>
    </w:p>
    <w:p>
      <w:pPr/>
      <w:r>
        <w:rPr>
          <w:lang w:val="en_US" w:bidi="en_US"/>
        </w:rPr>
      </w:r>
      <w:r>
        <w:rPr>
          <w:b/>
          <w:lang w:val="en_US" w:bidi="en_US"/>
        </w:rPr>
        <w:t>Then John said to the crowds coming out to be baptized by him,</w:t>
      </w:r>
    </w:p>
    <w:p>
      <w:pPr>
        <w:pStyle w:val="ListBullet"/>
        <w:spacing w:line="240" w:lineRule="auto"/>
        <w:ind w:left="720"/>
      </w:pPr>
      <w:r>
        <w:rPr>
          <w:lang w:val="en_US" w:bidi="en_US"/>
        </w:rPr>
      </w:r>
      <w:r>
        <w:rPr>
          <w:lang w:val="en_US" w:bidi="en_US"/>
        </w:rPr>
        <w:t xml:space="preserve">¶ John said this to the crowd </w:t>
      </w:r>
      <w:r>
        <w:rPr>
          <w:lang w:val="en_US" w:bidi="en_US"/>
        </w:rPr>
        <w:t>of people</w:t>
      </w:r>
      <w:r>
        <w:rPr>
          <w:lang w:val="en_US" w:bidi="en_US"/>
        </w:rPr>
        <w:t xml:space="preserve"> who were coming to him to be baptized,</w:t>
      </w:r>
    </w:p>
    <w:p>
      <w:pPr>
        <w:pStyle w:val="ListBullet"/>
        <w:spacing w:line="240" w:lineRule="auto"/>
        <w:ind w:left="720"/>
      </w:pPr>
      <w:r>
        <w:rPr>
          <w:lang w:val="en_US" w:bidi="en_US"/>
        </w:rPr>
      </w:r>
      <w:r>
        <w:rPr>
          <w:lang w:val="en_US" w:bidi="en_US"/>
        </w:rPr>
        <w:t>¶ Many people were coming to John for him to baptize them. He said to them,</w:t>
      </w:r>
    </w:p>
    <w:p>
      <w:pPr/>
      <w:r>
        <w:rPr>
          <w:lang w:val="en_US" w:bidi="en_US"/>
        </w:rPr>
      </w:r>
      <w:r>
        <w:rPr>
          <w:b/>
          <w:lang w:val="en_US" w:bidi="en_US"/>
        </w:rPr>
        <w:t>Then John said to the crowds coming out to be baptized by him:</w:t>
      </w:r>
      <w:r>
        <w:rPr>
          <w:lang w:val="en_US" w:bidi="en_US"/>
        </w:rPr>
        <w:t xml:space="preserve"> In some languages, it may be helpful to change the order of information in this part of the verse. For example:</w:t>
      </w:r>
    </w:p>
    <w:p>
      <w:pPr/>
      <w:r>
        <w:rPr>
          <w:lang w:val="en_US" w:bidi="en_US"/>
        </w:rPr>
      </w:r>
      <w:r>
        <w:rPr>
          <w:lang w:val="en_US" w:bidi="en_US"/>
        </w:rPr>
        <w:t>Crowds of people were coming out to be baptized by John. So John said to them….</w:t>
      </w:r>
    </w:p>
    <w:p>
      <w:pPr/>
      <w:r>
        <w:rPr>
          <w:lang w:val="en_US" w:bidi="en_US"/>
        </w:rPr>
      </w:r>
      <w:r>
        <w:rPr>
          <w:b/>
          <w:lang w:val="en_US" w:bidi="en_US"/>
        </w:rPr>
        <w:t>Then</w:t>
      </w:r>
      <w:r>
        <w:rPr>
          <w:lang w:val="en_US" w:bidi="en_US"/>
        </w:rPr>
        <w:t xml:space="preserve"> At the end of 3:6, Luke ended his quote from the book of Isaiah. In 3:7, Luke began to tell how John fulfilled this prophecy by his preaching. In Greek, there is a conjunction at the beginning of 3:7 that indicates this connection. The BSB and some other versions (CSB, NKJV) translate this conjunction as “then,” introducing the next event that happened. Other versions (NASB, NET) translate this conjunction as “so,” indicating that what John did fulfilled Isaiah’s prophecy. Some other ways to express this connection are:</w:t>
      </w:r>
    </w:p>
    <w:p>
      <w:pPr/>
      <w:r>
        <w:rPr>
          <w:lang w:val="en_US" w:bidi="en_US"/>
        </w:rPr>
      </w:r>
      <w:r>
        <w:rPr>
          <w:lang w:val="en_US" w:bidi="en_US"/>
        </w:rPr>
        <w:t xml:space="preserve">John </w:t>
      </w:r>
      <w:r>
        <w:rPr>
          <w:lang w:val="en_US" w:bidi="en_US"/>
        </w:rPr>
        <w:t>did as the words from Isaiah’s book said</w:t>
      </w:r>
    </w:p>
    <w:p>
      <w:pPr/>
      <w:r>
        <w:rPr>
          <w:lang w:val="en_US" w:bidi="en_US"/>
        </w:rPr>
      </w:r>
      <w:r>
        <w:rPr>
          <w:lang w:val="en_US" w:bidi="en_US"/>
        </w:rPr>
        <w:t xml:space="preserve">In keeping with </w:t>
      </w:r>
      <w:r>
        <w:rPr>
          <w:lang w:val="en_US" w:bidi="en_US"/>
        </w:rPr>
        <w:t>the words of Isaiah’s book</w:t>
      </w:r>
    </w:p>
    <w:p>
      <w:pPr/>
      <w:r>
        <w:rPr>
          <w:lang w:val="en_US" w:bidi="en_US"/>
        </w:rPr>
      </w:r>
      <w:r>
        <w:rPr>
          <w:lang w:val="en_US" w:bidi="en_US"/>
        </w:rPr>
        <w:t>Connect these verses in a natural way in your language. In some languages a connector may not be needed.</w:t>
      </w:r>
    </w:p>
    <w:p>
      <w:pPr/>
      <w:r>
        <w:rPr>
          <w:lang w:val="en_US" w:bidi="en_US"/>
        </w:rPr>
      </w:r>
      <w:r>
        <w:rPr>
          <w:b/>
          <w:lang w:val="en_US" w:bidi="en_US"/>
        </w:rPr>
        <w:t>crowds:</w:t>
      </w:r>
      <w:r>
        <w:rPr>
          <w:lang w:val="en_US" w:bidi="en_US"/>
        </w:rPr>
        <w:t xml:space="preserve"> The word </w:t>
      </w:r>
      <w:r>
        <w:rPr>
          <w:i/>
          <w:lang w:val="en_US" w:bidi="en_US"/>
        </w:rPr>
        <w:t>crowds</w:t>
      </w:r>
      <w:r>
        <w:rPr>
          <w:lang w:val="en_US" w:bidi="en_US"/>
        </w:rPr>
        <w:t xml:space="preserve"> is a plural form. In this context it has the same meaning as the singular form “crowd.” It refers to many people. It does not focus on different groups that may have been included in the crowd.</w:t>
      </w:r>
    </w:p>
    <w:p>
      <w:pPr/>
      <w:r>
        <w:rPr>
          <w:lang w:val="en_US" w:bidi="en_US"/>
        </w:rPr>
      </w:r>
      <w:r>
        <w:rPr>
          <w:b/>
          <w:lang w:val="en_US" w:bidi="en_US"/>
        </w:rPr>
        <w:t>coming out:</w:t>
      </w:r>
      <w:r>
        <w:rPr>
          <w:lang w:val="en_US" w:bidi="en_US"/>
        </w:rPr>
        <w:t xml:space="preserve"> The crowds were </w:t>
      </w:r>
      <w:r>
        <w:rPr>
          <w:i/>
          <w:lang w:val="en_US" w:bidi="en_US"/>
        </w:rPr>
        <w:t>coming out</w:t>
      </w:r>
      <w:r>
        <w:rPr>
          <w:lang w:val="en_US" w:bidi="en_US"/>
        </w:rPr>
        <w:t xml:space="preserve"> of the towns and villages to where John was, in the desert.</w:t>
      </w:r>
    </w:p>
    <w:p>
      <w:pPr/>
      <w:r>
        <w:rPr>
          <w:lang w:val="en_US" w:bidi="en_US"/>
        </w:rPr>
      </w:r>
      <w:r>
        <w:rPr>
          <w:b/>
          <w:lang w:val="en_US" w:bidi="en_US"/>
        </w:rPr>
        <w:t>to be baptized by him:</w:t>
      </w:r>
      <w:r>
        <w:rPr>
          <w:lang w:val="en_US" w:bidi="en_US"/>
        </w:rPr>
        <w:t xml:space="preserve"> The phrase </w:t>
      </w:r>
      <w:r>
        <w:rPr>
          <w:i/>
          <w:lang w:val="en_US" w:bidi="en_US"/>
        </w:rPr>
        <w:t>to be baptized by him</w:t>
      </w:r>
      <w:r>
        <w:rPr>
          <w:lang w:val="en_US" w:bidi="en_US"/>
        </w:rPr>
        <w:t xml:space="preserve"> is passive. It also indicates the purpose for which the people came to John in the desert. They came out to John in order to be baptized by him.</w:t>
      </w:r>
    </w:p>
    <w:p>
      <w:pPr/>
      <w:r>
        <w:rPr>
          <w:lang w:val="en_US" w:bidi="en_US"/>
        </w:rPr>
      </w:r>
      <w:r>
        <w:rPr>
          <w:lang w:val="en_US" w:bidi="en_US"/>
        </w:rPr>
        <w:t>In some languages it may be more natural to use an active phrase here. For example:</w:t>
      </w:r>
    </w:p>
    <w:p>
      <w:pPr/>
      <w:r>
        <w:rPr>
          <w:lang w:val="en_US" w:bidi="en_US"/>
        </w:rPr>
      </w:r>
      <w:r>
        <w:rPr>
          <w:lang w:val="en_US" w:bidi="en_US"/>
        </w:rPr>
        <w:t>in order for John to baptize them</w:t>
      </w:r>
    </w:p>
    <w:p>
      <w:pPr/>
      <w:r>
        <w:rPr>
          <w:lang w:val="en_US" w:bidi="en_US"/>
        </w:rPr>
      </w:r>
      <w:r>
        <w:rPr>
          <w:b/>
          <w:lang w:val="en_US" w:bidi="en_US"/>
        </w:rPr>
        <w:t>be baptized:</w:t>
      </w:r>
      <w:r>
        <w:rPr>
          <w:lang w:val="en_US" w:bidi="en_US"/>
        </w:rPr>
        <w:t xml:space="preserve"> The Greek word that the BSB translates here as </w:t>
      </w:r>
      <w:r>
        <w:rPr>
          <w:i/>
          <w:lang w:val="en_US" w:bidi="en_US"/>
        </w:rPr>
        <w:t>be baptized</w:t>
      </w:r>
      <w:r>
        <w:rPr>
          <w:lang w:val="en_US" w:bidi="en_US"/>
        </w:rPr>
        <w:t xml:space="preserve"> means to be ceremonially washed/purified with a special ritual that uses water. In this context people were purified from their sins. They were not washed to remove dirt from their bodies. A person was baptized as an initiation into a new spiritual condition.</w:t>
      </w:r>
    </w:p>
    <w:p>
      <w:pPr/>
      <w:r>
        <w:rPr>
          <w:lang w:val="en_US" w:bidi="en_US"/>
        </w:rPr>
      </w:r>
      <w:r>
        <w:rPr>
          <w:lang w:val="en_US" w:bidi="en_US"/>
        </w:rPr>
        <w:t xml:space="preserve">The verb </w:t>
      </w:r>
      <w:r>
        <w:rPr>
          <w:i/>
          <w:lang w:val="en_US" w:bidi="en_US"/>
        </w:rPr>
        <w:t>be baptized</w:t>
      </w:r>
      <w:r>
        <w:rPr>
          <w:lang w:val="en_US" w:bidi="en_US"/>
        </w:rPr>
        <w:t xml:space="preserve"> is another form of the word that was translated as “baptism” in 3:3c. You should translate the verb </w:t>
      </w:r>
      <w:r>
        <w:rPr>
          <w:i/>
          <w:lang w:val="en_US" w:bidi="en_US"/>
        </w:rPr>
        <w:t>baptize</w:t>
      </w:r>
      <w:r>
        <w:rPr>
          <w:lang w:val="en_US" w:bidi="en_US"/>
        </w:rPr>
        <w:t xml:space="preserve"> in a similar way as you translate the noun “baptism.” See the note on “baptism” in 3:3c. Here are some ways to translate </w:t>
      </w:r>
      <w:r>
        <w:rPr>
          <w:i/>
          <w:lang w:val="en_US" w:bidi="en_US"/>
        </w:rPr>
        <w:t>baptize</w:t>
      </w:r>
      <w:r>
        <w:rPr>
          <w:lang w:val="en_US" w:bidi="en_US"/>
        </w:rPr>
        <w:t xml:space="preserve"> in this context:</w:t>
      </w:r>
    </w:p>
    <w:p>
      <w:pPr>
        <w:pStyle w:val="ListBullet"/>
        <w:spacing w:line="240" w:lineRule="auto"/>
        <w:ind w:left="720"/>
      </w:pPr>
      <w:r>
        <w:rPr>
          <w:lang w:val="en_US" w:bidi="en_US"/>
        </w:rPr>
      </w:r>
      <w:r>
        <w:rPr>
          <w:lang w:val="en_US" w:bidi="en_US"/>
        </w:rPr>
        <w:t>Use a descriptive term. For example:</w:t>
      </w:r>
      <w:r>
        <w:rPr>
          <w:lang w:val="en_US" w:bidi="en_US"/>
        </w:rPr>
        <w:t>ritually</w:t>
      </w:r>
      <w:r>
        <w:rPr>
          <w:lang w:val="en_US" w:bidi="en_US"/>
        </w:rPr>
        <w:t xml:space="preserve"> wash</w:t>
      </w:r>
      <w:r>
        <w:rPr>
          <w:lang w:val="en_US" w:bidi="en_US"/>
        </w:rPr>
        <w:t xml:space="preserve">initiate </w:t>
      </w:r>
      <w:r>
        <w:rPr>
          <w:lang w:val="en_US" w:bidi="en_US"/>
        </w:rPr>
        <w:t>people</w:t>
      </w:r>
      <w:r>
        <w:rPr>
          <w:lang w:val="en_US" w:bidi="en_US"/>
        </w:rPr>
        <w:t xml:space="preserve"> in/with water</w:t>
      </w:r>
      <w:r>
        <w:rPr>
          <w:lang w:val="en_US" w:bidi="en_US"/>
        </w:rPr>
        <w:t>enter water</w:t>
      </w:r>
    </w:p>
    <w:p>
      <w:pPr>
        <w:pStyle w:val="ListBullet"/>
        <w:spacing w:line="240" w:lineRule="auto"/>
        <w:ind w:left="720"/>
      </w:pPr>
      <w:r>
        <w:rPr>
          <w:lang w:val="en_US" w:bidi="en_US"/>
        </w:rPr>
      </w:r>
      <w:r>
        <w:rPr>
          <w:lang w:val="en_US" w:bidi="en_US"/>
        </w:rPr>
        <w:t>Use a term for a similar ritual that is already part of your culture. You may need to indicate that in this context it has a special connection with God. For example:</w:t>
      </w:r>
      <w:r>
        <w:rPr>
          <w:lang w:val="en_US" w:bidi="en_US"/>
        </w:rPr>
        <w:t xml:space="preserve">purify people with </w:t>
      </w:r>
      <w:r>
        <w:rPr>
          <w:u w:val="single"/>
          <w:lang w:val="en_US" w:bidi="en_US"/>
        </w:rPr>
        <w:t>God’s</w:t>
      </w:r>
      <w:r>
        <w:rPr>
          <w:lang w:val="en_US" w:bidi="en_US"/>
        </w:rPr>
        <w:t xml:space="preserve"> ceremonial bath</w:t>
      </w:r>
      <w:r>
        <w:rPr>
          <w:lang w:val="en_US" w:bidi="en_US"/>
        </w:rPr>
        <w:t xml:space="preserve">wash people in initiation water </w:t>
      </w:r>
      <w:r>
        <w:rPr>
          <w:u w:val="single"/>
          <w:lang w:val="en_US" w:bidi="en_US"/>
        </w:rPr>
        <w:t>for God</w:t>
      </w:r>
    </w:p>
    <w:p>
      <w:pPr>
        <w:pStyle w:val="ListBullet"/>
        <w:spacing w:line="240" w:lineRule="auto"/>
        <w:ind w:left="720"/>
      </w:pPr>
      <w:r>
        <w:rPr>
          <w:lang w:val="en_US" w:bidi="en_US"/>
        </w:rPr>
      </w:r>
      <w:r>
        <w:rPr>
          <w:lang w:val="en_US" w:bidi="en_US"/>
        </w:rPr>
        <w:t>Use a term that is already accepted by the local churches. In some areas this term may have been borrowed from the national language or transliterated from Greek or English.</w:t>
      </w:r>
    </w:p>
    <w:p>
      <w:pPr/>
      <w:r>
        <w:rPr>
          <w:lang w:val="en_US" w:bidi="en_US"/>
        </w:rPr>
      </w:r>
      <w:r>
        <w:rPr>
          <w:lang w:val="en_US" w:bidi="en_US"/>
        </w:rPr>
        <w:t>See baptize, Meaning 1, in the Glossary.</w:t>
      </w:r>
    </w:p>
    <w:p>
      <w:pPr>
        <w:pStyle w:val="Heading5"/>
      </w:pPr>
      <w:r>
        <w:rPr>
          <w:lang w:val="en_US" w:bidi="en_US"/>
        </w:rPr>
        <w:t>3:7b</w:t>
      </w:r>
    </w:p>
    <w:p>
      <w:pPr/>
      <w:r>
        <w:rPr>
          <w:lang w:val="en_US" w:bidi="en_US"/>
        </w:rPr>
      </w:r>
      <w:r>
        <w:rPr>
          <w:b/>
          <w:lang w:val="en_US" w:bidi="en_US"/>
        </w:rPr>
        <w:t>“You brood of vipers,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nest/family of poisonous snakes!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w:t>
      </w:r>
      <w:r>
        <w:rPr>
          <w:lang w:val="en_US" w:bidi="en_US"/>
        </w:rPr>
        <w:t>as treacherous/evil as</w:t>
      </w:r>
      <w:r>
        <w:rPr>
          <w:lang w:val="en_US" w:bidi="en_US"/>
        </w:rPr>
        <w:t xml:space="preserve"> poisonous snakes!</w:t>
      </w:r>
    </w:p>
    <w:p>
      <w:pPr>
        <w:pStyle w:val="ListBullet"/>
        <w:spacing w:line="240" w:lineRule="auto"/>
        <w:ind w:left="720"/>
      </w:pPr>
      <w:r>
        <w:rPr>
          <w:lang w:val="en_US" w:bidi="en_US"/>
        </w:rPr>
      </w:r>
      <w:r>
        <w:rPr>
          <w:lang w:val="en_US" w:bidi="en_US"/>
        </w:rPr>
        <w:t>“You evil/dangerous frauds!</w:t>
      </w:r>
    </w:p>
    <w:p>
      <w:pPr/>
      <w:r>
        <w:rPr>
          <w:lang w:val="en_US" w:bidi="en_US"/>
        </w:rPr>
      </w:r>
      <w:r>
        <w:rPr>
          <w:b/>
          <w:lang w:val="en_US" w:bidi="en_US"/>
        </w:rPr>
        <w:t>You brood of vipers:</w:t>
      </w:r>
      <w:r>
        <w:rPr>
          <w:lang w:val="en_US" w:bidi="en_US"/>
        </w:rPr>
        <w:t xml:space="preserve"> Many English versions punctuate the phrase </w:t>
      </w:r>
      <w:r>
        <w:rPr>
          <w:i/>
          <w:lang w:val="en_US" w:bidi="en_US"/>
        </w:rPr>
        <w:t>You brood of vipers</w:t>
      </w:r>
      <w:r>
        <w:rPr>
          <w:lang w:val="en_US" w:bidi="en_US"/>
        </w:rPr>
        <w:t xml:space="preserve"> as a separate sentence, as an exclamation. They begin a new sentence, a question, in 3:7c. Other versions, including the BSB, punctuate it as part of the same sentence as 3:7c. Connect 3:7b and 3:7c in the most natural way in your language.</w:t>
      </w:r>
    </w:p>
    <w:p>
      <w:pPr/>
      <w:r>
        <w:rPr>
          <w:lang w:val="en_US" w:bidi="en_US"/>
        </w:rPr>
      </w:r>
      <w:r>
        <w:rPr>
          <w:b/>
          <w:lang w:val="en_US" w:bidi="en_US"/>
        </w:rPr>
        <w:t>brood of vipers:</w:t>
      </w:r>
      <w:r>
        <w:rPr>
          <w:lang w:val="en_US" w:bidi="en_US"/>
        </w:rPr>
        <w:t xml:space="preserve"> The word </w:t>
      </w:r>
      <w:r>
        <w:rPr>
          <w:i/>
          <w:lang w:val="en_US" w:bidi="en_US"/>
        </w:rPr>
        <w:t>vipers</w:t>
      </w:r>
      <w:r>
        <w:rPr>
          <w:lang w:val="en_US" w:bidi="en_US"/>
        </w:rPr>
        <w:t xml:space="preserve"> refers to poisonous snakes. Another name for this type of snakes is “adders.” The phrase </w:t>
      </w:r>
      <w:r>
        <w:rPr>
          <w:i/>
          <w:lang w:val="en_US" w:bidi="en_US"/>
        </w:rPr>
        <w:t>brood of vipers</w:t>
      </w:r>
      <w:r>
        <w:rPr>
          <w:lang w:val="en_US" w:bidi="en_US"/>
        </w:rPr>
        <w:t xml:space="preserve"> means “children/offspring of poisonous snakes.”</w:t>
      </w:r>
    </w:p>
    <w:p>
      <w:pPr/>
      <w:r>
        <w:rPr>
          <w:lang w:val="en_US" w:bidi="en_US"/>
        </w:rPr>
      </w:r>
      <w:r>
        <w:rPr>
          <w:lang w:val="en_US" w:bidi="en_US"/>
        </w:rPr>
        <w:t>John used a metaphor here to criticize the people in the crowds. He called them a group of poisonous snakes. This phrase was an insult to the people. It meant that they were treacherous and evil, like deadly snakes.</w:t>
      </w:r>
    </w:p>
    <w:p>
      <w:pPr/>
      <w:r>
        <w:rPr>
          <w:lang w:val="en_US" w:bidi="en_US"/>
        </w:rPr>
      </w:r>
      <w:r>
        <w:rPr>
          <w:lang w:val="en_US" w:bidi="en_US"/>
        </w:rPr>
        <w:t>In some cultures people may not understand the meaning of this metaphor. In some languages it may not be considered an insult. If that is true in your language, some other ways to translate it are:</w:t>
      </w:r>
    </w:p>
    <w:p>
      <w:pPr>
        <w:pStyle w:val="ListBullet"/>
        <w:spacing w:line="240" w:lineRule="auto"/>
        <w:ind w:left="720"/>
      </w:pPr>
      <w:r>
        <w:rPr>
          <w:lang w:val="en_US" w:bidi="en_US"/>
        </w:rPr>
      </w:r>
      <w:r>
        <w:rPr>
          <w:lang w:val="en_US" w:bidi="en_US"/>
        </w:rPr>
        <w:t>Use a simile and make the point of comparison explicit. For example:</w:t>
      </w:r>
      <w:r>
        <w:rPr>
          <w:lang w:val="en_US" w:bidi="en_US"/>
        </w:rPr>
        <w:t xml:space="preserve">You are </w:t>
      </w:r>
      <w:r>
        <w:rPr>
          <w:lang w:val="en_US" w:bidi="en_US"/>
        </w:rPr>
        <w:t>as treacherous/dangerous as</w:t>
      </w:r>
      <w:r>
        <w:rPr>
          <w:lang w:val="en_US" w:bidi="en_US"/>
        </w:rPr>
        <w:t xml:space="preserve"> a group of vipers!</w:t>
      </w:r>
      <w:r>
        <w:rPr>
          <w:lang w:val="en_US" w:bidi="en_US"/>
        </w:rPr>
        <w:t xml:space="preserve">You are </w:t>
      </w:r>
      <w:r>
        <w:rPr>
          <w:lang w:val="en_US" w:bidi="en_US"/>
        </w:rPr>
        <w:t>dangerous, like</w:t>
      </w:r>
      <w:r>
        <w:rPr>
          <w:lang w:val="en_US" w:bidi="en_US"/>
        </w:rPr>
        <w:t xml:space="preserve"> a bunch of poisonous snakes!</w:t>
      </w:r>
    </w:p>
    <w:p>
      <w:pPr>
        <w:pStyle w:val="ListBullet"/>
        <w:spacing w:line="240" w:lineRule="auto"/>
        <w:ind w:left="720"/>
      </w:pPr>
      <w:r>
        <w:rPr>
          <w:lang w:val="en_US" w:bidi="en_US"/>
        </w:rPr>
      </w:r>
      <w:r>
        <w:rPr>
          <w:lang w:val="en_US" w:bidi="en_US"/>
        </w:rPr>
        <w:t>Use an idiom that has the same meaning in your culture. If you do this, you may want to include a footnote that gives the biblical metaphor. For example:</w:t>
      </w:r>
      <w:r>
        <w:rPr>
          <w:lang w:val="en_US" w:bidi="en_US"/>
        </w:rPr>
        <w:t>The Greek text literally says, “you brood of vipers.”</w:t>
      </w:r>
    </w:p>
    <w:p>
      <w:pPr>
        <w:pStyle w:val="ListBullet"/>
        <w:spacing w:line="240" w:lineRule="auto"/>
        <w:ind w:left="720"/>
      </w:pPr>
      <w:r>
        <w:rPr>
          <w:lang w:val="en_US" w:bidi="en_US"/>
        </w:rPr>
      </w:r>
      <w:r>
        <w:rPr>
          <w:lang w:val="en_US" w:bidi="en_US"/>
        </w:rPr>
        <w:t>Translate the meaning without the metaphor. For example:</w:t>
      </w:r>
      <w:r>
        <w:rPr>
          <w:lang w:val="en_US" w:bidi="en_US"/>
        </w:rPr>
        <w:t>You treacherous deceivers!</w:t>
      </w:r>
      <w:r>
        <w:rPr>
          <w:lang w:val="en_US" w:bidi="en_US"/>
        </w:rPr>
        <w:t>You deceitful people!</w:t>
      </w:r>
      <w:r>
        <w:rPr>
          <w:lang w:val="en_US" w:bidi="en_US"/>
        </w:rPr>
        <w:t>You evil frauds!</w:t>
      </w:r>
    </w:p>
    <w:p>
      <w:pPr/>
      <w:r>
        <w:rPr>
          <w:lang w:val="en_US" w:bidi="en_US"/>
        </w:rPr>
      </w:r>
      <w:r>
        <w:rPr>
          <w:b/>
          <w:lang w:val="en_US" w:bidi="en_US"/>
        </w:rPr>
        <w:t>brood:</w:t>
      </w:r>
      <w:r>
        <w:rPr>
          <w:lang w:val="en_US" w:bidi="en_US"/>
        </w:rPr>
        <w:t xml:space="preserve"> The Greek word that the BSB translates here as </w:t>
      </w:r>
      <w:r>
        <w:rPr>
          <w:i/>
          <w:lang w:val="en_US" w:bidi="en_US"/>
        </w:rPr>
        <w:t>brood</w:t>
      </w:r>
      <w:r>
        <w:rPr>
          <w:lang w:val="en_US" w:bidi="en_US"/>
        </w:rPr>
        <w:t xml:space="preserve"> means offspring. However, John was not saying that the people were young or childlike. Some English translations do not translate the word </w:t>
      </w:r>
      <w:r>
        <w:rPr>
          <w:i/>
          <w:lang w:val="en_US" w:bidi="en_US"/>
        </w:rPr>
        <w:t>brood</w:t>
      </w:r>
      <w:r>
        <w:rPr>
          <w:lang w:val="en_US" w:bidi="en_US"/>
        </w:rPr>
        <w:t>. For example:</w:t>
      </w:r>
    </w:p>
    <w:p>
      <w:pPr/>
      <w:r>
        <w:rPr>
          <w:lang w:val="en_US" w:bidi="en_US"/>
        </w:rPr>
      </w:r>
      <w:r>
        <w:rPr>
          <w:lang w:val="en_US" w:bidi="en_US"/>
        </w:rPr>
        <w:t>You snakes! (GNT)</w:t>
      </w:r>
    </w:p>
    <w:p>
      <w:pPr/>
      <w:r>
        <w:rPr>
          <w:lang w:val="en_US" w:bidi="en_US"/>
        </w:rPr>
      </w:r>
      <w:r>
        <w:rPr>
          <w:lang w:val="en_US" w:bidi="en_US"/>
        </w:rPr>
        <w:t>You poisonous snakes! (GW)</w:t>
      </w:r>
    </w:p>
    <w:p>
      <w:pPr>
        <w:pStyle w:val="Heading5"/>
      </w:pPr>
      <w:r>
        <w:rPr>
          <w:lang w:val="en_US" w:bidi="en_US"/>
        </w:rPr>
        <w:t>3:7c</w:t>
      </w:r>
    </w:p>
    <w:p>
      <w:pPr/>
      <w:r>
        <w:rPr>
          <w:lang w:val="en_US" w:bidi="en_US"/>
        </w:rPr>
      </w:r>
      <w:r>
        <w:rPr>
          <w:b/>
          <w:lang w:val="en_US" w:bidi="en_US"/>
        </w:rPr>
        <w:t>who warned you to flee from the coming wrath?</w:t>
      </w:r>
    </w:p>
    <w:p>
      <w:pPr>
        <w:pStyle w:val="ListBullet"/>
        <w:spacing w:line="240" w:lineRule="auto"/>
        <w:ind w:left="720"/>
      </w:pPr>
      <w:r>
        <w:rPr>
          <w:lang w:val="en_US" w:bidi="en_US"/>
        </w:rPr>
      </w:r>
      <w:r>
        <w:rPr>
          <w:lang w:val="en_US" w:bidi="en_US"/>
        </w:rPr>
        <w:t xml:space="preserve">Who has warned you to run from the wrath that God will show </w:t>
      </w:r>
      <w:r>
        <w:rPr>
          <w:lang w:val="en_US" w:bidi="en_US"/>
        </w:rPr>
        <w:t>on the day of judgment</w:t>
      </w:r>
      <w:r>
        <w:rPr>
          <w:lang w:val="en_US" w:bidi="en_US"/>
        </w:rPr>
        <w:t>?</w:t>
      </w:r>
    </w:p>
    <w:p>
      <w:pPr>
        <w:pStyle w:val="ListBullet"/>
        <w:spacing w:line="240" w:lineRule="auto"/>
        <w:ind w:left="720"/>
      </w:pPr>
      <w:r>
        <w:rPr>
          <w:lang w:val="en_US" w:bidi="en_US"/>
        </w:rPr>
      </w:r>
      <w:r>
        <w:rPr>
          <w:lang w:val="en_US" w:bidi="en_US"/>
        </w:rPr>
        <w:t>Apparently</w:t>
      </w:r>
      <w:r>
        <w:rPr>
          <w:lang w:val="en_US" w:bidi="en_US"/>
        </w:rPr>
        <w:t xml:space="preserve"> </w:t>
      </w:r>
      <w:r>
        <w:rPr>
          <w:lang w:val="en_US" w:bidi="en_US"/>
        </w:rPr>
        <w:t>someone</w:t>
      </w:r>
      <w:r>
        <w:rPr>
          <w:lang w:val="en_US" w:bidi="en_US"/>
        </w:rPr>
        <w:t xml:space="preserve"> warned you </w:t>
      </w:r>
      <w:r>
        <w:rPr>
          <w:lang w:val="en_US" w:bidi="en_US"/>
        </w:rPr>
        <w:t>to try</w:t>
      </w:r>
      <w:r>
        <w:rPr>
          <w:lang w:val="en_US" w:bidi="en_US"/>
        </w:rPr>
        <w:t xml:space="preserve"> to escape/avoid punishment when God will judge </w:t>
      </w:r>
      <w:r>
        <w:rPr>
          <w:lang w:val="en_US" w:bidi="en_US"/>
        </w:rPr>
        <w:t>sinners</w:t>
      </w:r>
      <w:r>
        <w:rPr>
          <w:lang w:val="en_US" w:bidi="en_US"/>
        </w:rPr>
        <w:t>!</w:t>
      </w:r>
    </w:p>
    <w:p>
      <w:pPr/>
      <w:r>
        <w:rPr>
          <w:lang w:val="en_US" w:bidi="en_US"/>
        </w:rPr>
      </w:r>
      <w:r>
        <w:rPr>
          <w:b/>
          <w:lang w:val="en_US" w:bidi="en_US"/>
        </w:rPr>
        <w:t>who warned you to flee from the coming wrath?:</w:t>
      </w:r>
      <w:r>
        <w:rPr>
          <w:lang w:val="en_US" w:bidi="en_US"/>
        </w:rPr>
        <w:t xml:space="preserve"> This is a rhetorical question. John asked the question to rebuke the people. He implied that the people were coming to be baptized so that God would not punish them in the future. John also implied that the people did not really intend to repent of their sins.</w:t>
      </w:r>
    </w:p>
    <w:p>
      <w:pPr/>
      <w:r>
        <w:rPr>
          <w:lang w:val="en_US" w:bidi="en_US"/>
        </w:rPr>
      </w:r>
      <w:r>
        <w:rPr>
          <w:lang w:val="en_US" w:bidi="en_US"/>
        </w:rPr>
        <w:t>Some ways to translate this rhetorical question include:</w:t>
      </w:r>
    </w:p>
    <w:p>
      <w:pPr>
        <w:pStyle w:val="ListBullet"/>
        <w:spacing w:line="240" w:lineRule="auto"/>
        <w:ind w:left="720"/>
      </w:pPr>
      <w:r>
        <w:rPr>
          <w:lang w:val="en_US" w:bidi="en_US"/>
        </w:rPr>
      </w:r>
      <w:r>
        <w:rPr>
          <w:lang w:val="en_US" w:bidi="en_US"/>
        </w:rPr>
        <w:t>As a rhetorical question. For example:</w:t>
      </w:r>
      <w:r>
        <w:rPr>
          <w:lang w:val="en_US" w:bidi="en_US"/>
        </w:rPr>
        <w:t>Who warned you to run away from God’s coming punishment? (NCV)</w:t>
      </w:r>
    </w:p>
    <w:p>
      <w:pPr>
        <w:pStyle w:val="ListBullet"/>
        <w:spacing w:line="240" w:lineRule="auto"/>
        <w:ind w:left="720"/>
      </w:pPr>
      <w:r>
        <w:rPr>
          <w:lang w:val="en_US" w:bidi="en_US"/>
        </w:rPr>
      </w:r>
      <w:r>
        <w:rPr>
          <w:lang w:val="en_US" w:bidi="en_US"/>
        </w:rPr>
        <w:t>As a statement. For example:</w:t>
      </w:r>
      <w:r>
        <w:rPr>
          <w:lang w:val="en_US" w:bidi="en_US"/>
        </w:rPr>
        <w:t>So,</w:t>
      </w:r>
      <w:r>
        <w:rPr>
          <w:lang w:val="en_US" w:bidi="en_US"/>
        </w:rPr>
        <w:t xml:space="preserve"> someone has told you to try to escape God’s wrath!</w:t>
      </w:r>
    </w:p>
    <w:p>
      <w:pPr/>
      <w:r>
        <w:rPr>
          <w:lang w:val="en_US" w:bidi="en_US"/>
        </w:rPr>
      </w:r>
      <w:r>
        <w:rPr>
          <w:lang w:val="en_US" w:bidi="en_US"/>
        </w:rPr>
        <w:t>If you translate this rebuke as a question, it may be necessary to have a transition to the next verse. For example:</w:t>
      </w:r>
    </w:p>
    <w:p>
      <w:pPr/>
      <w:r>
        <w:rPr>
          <w:lang w:val="en_US" w:bidi="en_US"/>
        </w:rPr>
      </w:r>
      <w:r>
        <w:rPr>
          <w:lang w:val="en_US" w:bidi="en_US"/>
        </w:rPr>
        <w:t>Who warned you to run away from God’s coming punishment? Now that you have been warned….</w:t>
      </w:r>
    </w:p>
    <w:p>
      <w:pPr/>
      <w:r>
        <w:rPr>
          <w:lang w:val="en_US" w:bidi="en_US"/>
        </w:rPr>
      </w:r>
      <w:r>
        <w:rPr>
          <w:lang w:val="en_US" w:bidi="en_US"/>
        </w:rPr>
        <w:t>See the note on the connection in 3:8a. Translate this rhetorical question in a natural way in your language.</w:t>
      </w:r>
    </w:p>
    <w:p>
      <w:pPr/>
      <w:r>
        <w:rPr>
          <w:lang w:val="en_US" w:bidi="en_US"/>
        </w:rPr>
      </w:r>
      <w:r>
        <w:rPr>
          <w:b/>
          <w:lang w:val="en_US" w:bidi="en_US"/>
        </w:rPr>
        <w:t>flee:</w:t>
      </w:r>
      <w:r>
        <w:rPr>
          <w:lang w:val="en_US" w:bidi="en_US"/>
        </w:rPr>
        <w:t xml:space="preserve"> The Greek word that the BSB translates as </w:t>
      </w:r>
      <w:r>
        <w:rPr>
          <w:i/>
          <w:lang w:val="en_US" w:bidi="en_US"/>
        </w:rPr>
        <w:t>flee</w:t>
      </w:r>
      <w:r>
        <w:rPr>
          <w:lang w:val="en_US" w:bidi="en_US"/>
        </w:rPr>
        <w:t xml:space="preserve"> means “to run away from (something)” or “avoid/escape danger.”</w:t>
      </w:r>
    </w:p>
    <w:p>
      <w:pPr/>
      <w:r>
        <w:rPr>
          <w:lang w:val="en_US" w:bidi="en_US"/>
        </w:rPr>
      </w:r>
      <w:r>
        <w:rPr>
          <w:b/>
          <w:lang w:val="en_US" w:bidi="en_US"/>
        </w:rPr>
        <w:t>the coming wrath:</w:t>
      </w:r>
      <w:r>
        <w:rPr>
          <w:lang w:val="en_US" w:bidi="en_US"/>
        </w:rPr>
        <w:t xml:space="preserve"> The word </w:t>
      </w:r>
      <w:r>
        <w:rPr>
          <w:i/>
          <w:lang w:val="en_US" w:bidi="en_US"/>
        </w:rPr>
        <w:t>wrath</w:t>
      </w:r>
      <w:r>
        <w:rPr>
          <w:lang w:val="en_US" w:bidi="en_US"/>
        </w:rPr>
        <w:t xml:space="preserve"> means “anger” or “the punishment that comes as a consequence of someone’s anger.” In this context the phrase </w:t>
      </w:r>
      <w:r>
        <w:rPr>
          <w:i/>
          <w:lang w:val="en_US" w:bidi="en_US"/>
        </w:rPr>
        <w:t>the coming wrath</w:t>
      </w:r>
      <w:r>
        <w:rPr>
          <w:lang w:val="en_US" w:bidi="en_US"/>
        </w:rPr>
        <w:t xml:space="preserve"> refers to the fact that God will judge and punish people because of their rebellious attitudes and their sins. Some other ways to translate </w:t>
      </w:r>
      <w:r>
        <w:rPr>
          <w:i/>
          <w:lang w:val="en_US" w:bidi="en_US"/>
        </w:rPr>
        <w:t>the coming wrath</w:t>
      </w:r>
      <w:r>
        <w:rPr>
          <w:lang w:val="en_US" w:bidi="en_US"/>
        </w:rPr>
        <w:t xml:space="preserve"> are:</w:t>
      </w:r>
    </w:p>
    <w:p>
      <w:pPr/>
      <w:r>
        <w:rPr>
          <w:lang w:val="en_US" w:bidi="en_US"/>
        </w:rPr>
      </w:r>
      <w:r>
        <w:rPr>
          <w:lang w:val="en_US" w:bidi="en_US"/>
        </w:rPr>
        <w:t>the punishment God is about to send (GNT)</w:t>
      </w:r>
    </w:p>
    <w:p>
      <w:pPr/>
      <w:r>
        <w:rPr>
          <w:lang w:val="en_US" w:bidi="en_US"/>
        </w:rPr>
      </w:r>
      <w:r>
        <w:rPr>
          <w:lang w:val="en_US" w:bidi="en_US"/>
        </w:rPr>
        <w:t>the coming judgment (CEV)</w:t>
      </w:r>
      <w:r>
        <w:rPr>
          <w:lang w:val="en_US" w:bidi="en_US"/>
        </w:rPr>
      </w:r>
      <w:r>
        <w:rPr>
          <w:lang w:val="en_US" w:bidi="en_US"/>
        </w:rPr>
      </w:r>
    </w:p>
    <w:p>
      <w:pPr/>
      <w:r>
        <w:rPr>
          <w:lang w:val="en_US" w:bidi="en_US"/>
        </w:rPr>
      </w:r>
    </w:p>
    <w:p>
      <w:pPr>
        <w:pStyle w:val="Heading2"/>
      </w:pPr>
      <w:r>
        <w:rPr>
          <w:lang w:val="en_US" w:bidi="en_US"/>
        </w:rPr>
        <w:t>Luke 3:8</w:t>
      </w:r>
      <w:r>
        <w:rPr>
          <w:lang w:val="en_US" w:bidi="en_US"/>
        </w:rPr>
      </w:r>
    </w:p>
    <w:p>
      <w:pPr>
        <w:pStyle w:val="Heading4"/>
      </w:pPr>
      <w:r>
        <w:rPr>
          <w:lang w:val="en_US" w:bidi="en_US"/>
        </w:rPr>
        <w:t>Section 3:1–20: John the Baptizer prepared the way for Jesus</w:t>
      </w:r>
    </w:p>
    <w:p>
      <w:pPr/>
      <w:r>
        <w:rPr>
          <w:lang w:val="en_US" w:bidi="en_US"/>
        </w:rPr>
      </w:r>
      <w:r>
        <w:rPr>
          <w:lang w:val="en_US" w:bidi="en_US"/>
        </w:rP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Preaching of John (NCV)</w:t>
      </w:r>
    </w:p>
    <w:p>
      <w:pPr/>
      <w:r>
        <w:rPr>
          <w:lang w:val="en_US" w:bidi="en_US"/>
        </w:rPr>
      </w:r>
      <w:r>
        <w:rPr>
          <w:lang w:val="en_US" w:bidi="en_US"/>
        </w:rPr>
        <w:t>John the Baptist and Jesus (REB)</w:t>
      </w:r>
    </w:p>
    <w:p>
      <w:pPr/>
      <w:r>
        <w:rPr>
          <w:lang w:val="en_US" w:bidi="en_US"/>
        </w:rPr>
      </w:r>
      <w:r>
        <w:rPr>
          <w:lang w:val="en_US" w:bidi="en_US"/>
        </w:rPr>
        <w:t>John the Baptizer tells people to prepare themselves for the Messiah</w:t>
      </w:r>
    </w:p>
    <w:p>
      <w:pPr/>
      <w:r>
        <w:rPr>
          <w:lang w:val="en_US" w:bidi="en_US"/>
        </w:rPr>
      </w:r>
      <w:r>
        <w:rPr>
          <w:lang w:val="en_US" w:bidi="en_US"/>
        </w:rPr>
        <w:t>Parts of Luke 3:1–20 are basically the same as verses in Matthew 3:1–12. But Luke 3:1–2, 10–14, and 19–20 are not in Matthew.</w:t>
      </w:r>
    </w:p>
    <w:p>
      <w:pPr>
        <w:pStyle w:val="Heading4"/>
      </w:pPr>
      <w:r>
        <w:rPr>
          <w:lang w:val="en_US" w:bidi="en_US"/>
        </w:rPr>
        <w:t>Paragraph 3:7–9</w:t>
      </w:r>
    </w:p>
    <w:p>
      <w:pPr/>
      <w:r>
        <w:rPr>
          <w:lang w:val="en_US" w:bidi="en_US"/>
        </w:rPr>
      </w:r>
      <w:r>
        <w:rPr>
          <w:lang w:val="en_US" w:bidi="en_US"/>
        </w:rPr>
        <w:t>These verses are similar to the text in Matthew 3:7–10.</w:t>
      </w:r>
    </w:p>
    <w:p>
      <w:pPr>
        <w:pStyle w:val="Heading5"/>
      </w:pPr>
      <w:r>
        <w:rPr>
          <w:lang w:val="en_US" w:bidi="en_US"/>
        </w:rPr>
        <w:t>3:8a</w:t>
      </w:r>
    </w:p>
    <w:p>
      <w:pPr/>
      <w:r>
        <w:rPr>
          <w:lang w:val="en_US" w:bidi="en_US"/>
        </w:rPr>
      </w:r>
      <w:r>
        <w:rPr>
          <w:b/>
          <w:lang w:val="en_US" w:bidi="en_US"/>
        </w:rPr>
        <w:t>Produce fruit, then, in keeping with repentance.</w:t>
      </w:r>
    </w:p>
    <w:p>
      <w:pPr>
        <w:pStyle w:val="ListBullet"/>
        <w:spacing w:line="240" w:lineRule="auto"/>
        <w:ind w:left="720"/>
      </w:pPr>
      <w:r>
        <w:rPr>
          <w:lang w:val="en_US" w:bidi="en_US"/>
        </w:rPr>
      </w:r>
      <w:r>
        <w:rPr>
          <w:lang w:val="en_US" w:bidi="en_US"/>
        </w:rPr>
        <w:t>Produce</w:t>
      </w:r>
      <w:r>
        <w:rPr>
          <w:vertAlign w:val="superscript"/>
          <w:lang w:val="en_US" w:bidi="en_US"/>
        </w:rPr>
        <w:t>(plur)</w:t>
      </w:r>
      <w:r>
        <w:rPr>
          <w:lang w:val="en_US" w:bidi="en_US"/>
        </w:rPr>
        <w:t xml:space="preserve"> fruit that shows that you</w:t>
      </w:r>
      <w:r>
        <w:rPr>
          <w:vertAlign w:val="superscript"/>
          <w:lang w:val="en_US" w:bidi="en_US"/>
        </w:rPr>
        <w:t>(plur)</w:t>
      </w:r>
      <w:r>
        <w:rPr>
          <w:lang w:val="en_US" w:bidi="en_US"/>
        </w:rPr>
        <w:t xml:space="preserve"> have repented.</w:t>
      </w:r>
    </w:p>
    <w:p>
      <w:pPr>
        <w:pStyle w:val="ListBullet"/>
        <w:spacing w:line="240" w:lineRule="auto"/>
        <w:ind w:left="720"/>
      </w:pPr>
      <w:r>
        <w:rPr>
          <w:lang w:val="en_US" w:bidi="en_US"/>
        </w:rPr>
      </w:r>
      <w:r>
        <w:rPr>
          <w:lang w:val="en_US" w:bidi="en_US"/>
        </w:rPr>
        <w:t>Just as trees bear fruit, so you</w:t>
      </w:r>
      <w:r>
        <w:rPr>
          <w:vertAlign w:val="superscript"/>
          <w:lang w:val="en_US" w:bidi="en_US"/>
        </w:rPr>
        <w:t>(plur)</w:t>
      </w:r>
      <w:r>
        <w:rPr>
          <w:lang w:val="en_US" w:bidi="en_US"/>
        </w:rPr>
        <w:t xml:space="preserve"> must do the things that show that you have really repented.</w:t>
      </w:r>
    </w:p>
    <w:p>
      <w:pPr>
        <w:pStyle w:val="ListBullet"/>
        <w:spacing w:line="240" w:lineRule="auto"/>
        <w:ind w:left="720"/>
      </w:pPr>
      <w:r>
        <w:rPr>
          <w:lang w:val="en_US" w:bidi="en_US"/>
        </w:rPr>
      </w:r>
      <w:r>
        <w:rPr>
          <w:lang w:val="en_US" w:bidi="en_US"/>
        </w:rPr>
        <w:t>Since you want to avoid punishment,</w:t>
      </w:r>
      <w:r>
        <w:rPr>
          <w:lang w:val="en_US" w:bidi="en_US"/>
        </w:rPr>
        <w:t xml:space="preserve"> do</w:t>
      </w:r>
      <w:r>
        <w:rPr>
          <w:vertAlign w:val="superscript"/>
          <w:lang w:val="en_US" w:bidi="en_US"/>
        </w:rPr>
        <w:t>(plur)</w:t>
      </w:r>
      <w:r>
        <w:rPr>
          <w:lang w:val="en_US" w:bidi="en_US"/>
        </w:rPr>
        <w:t xml:space="preserve"> good things that will show that you</w:t>
      </w:r>
      <w:r>
        <w:rPr>
          <w:vertAlign w:val="superscript"/>
          <w:lang w:val="en_US" w:bidi="en_US"/>
        </w:rPr>
        <w:t>(plur)</w:t>
      </w:r>
      <w:r>
        <w:rPr>
          <w:lang w:val="en_US" w:bidi="en_US"/>
        </w:rPr>
        <w:t xml:space="preserve"> have truly decided to stop sinning.</w:t>
      </w:r>
    </w:p>
    <w:p>
      <w:pPr/>
      <w:r>
        <w:rPr>
          <w:lang w:val="en_US" w:bidi="en_US"/>
        </w:rPr>
      </w:r>
      <w:r>
        <w:rPr>
          <w:lang w:val="en_US" w:bidi="en_US"/>
        </w:rPr>
        <w:t>In this verse John told the people what they should do in response to his warning in 3:7c. They should repent and show their repentance by thinking and acting in the way that God wanted them to.</w:t>
      </w:r>
    </w:p>
    <w:p>
      <w:pPr/>
      <w:r>
        <w:rPr>
          <w:lang w:val="en_US" w:bidi="en_US"/>
        </w:rPr>
      </w:r>
      <w:r>
        <w:rPr>
          <w:b/>
          <w:lang w:val="en_US" w:bidi="en_US"/>
        </w:rPr>
        <w:t>Produce fruit, then, in keeping with repentance:</w:t>
      </w:r>
      <w:r>
        <w:rPr>
          <w:lang w:val="en_US" w:bidi="en_US"/>
        </w:rPr>
        <w:t xml:space="preserve"> In Greek this verse is connected to 3:7 with a conjunction that is sometimes translated as “Therefore” (as in the NET). The BSB translates this conjunction as </w:t>
      </w:r>
      <w:r>
        <w:rPr>
          <w:i/>
          <w:lang w:val="en_US" w:bidi="en_US"/>
        </w:rPr>
        <w:t>then</w:t>
      </w:r>
      <w:r>
        <w:rPr>
          <w:lang w:val="en_US" w:bidi="en_US"/>
        </w:rPr>
        <w:t>. In this context many English versions do not translate it. Some other ways to translate the connection are:</w:t>
      </w:r>
    </w:p>
    <w:p>
      <w:pPr/>
      <w:r>
        <w:rPr>
          <w:lang w:val="en_US" w:bidi="en_US"/>
        </w:rPr>
      </w:r>
      <w:r>
        <w:rPr>
          <w:lang w:val="en_US" w:bidi="en_US"/>
        </w:rPr>
        <w:t>In order to escape judgment,</w:t>
      </w:r>
      <w:r>
        <w:rPr>
          <w:lang w:val="en_US" w:bidi="en_US"/>
        </w:rPr>
        <w:t xml:space="preserve"> you should…</w:t>
      </w:r>
    </w:p>
    <w:p>
      <w:pPr/>
      <w:r>
        <w:rPr>
          <w:lang w:val="en_US" w:bidi="en_US"/>
        </w:rPr>
      </w:r>
      <w:r>
        <w:rPr>
          <w:lang w:val="en_US" w:bidi="en_US"/>
        </w:rPr>
        <w:t>If you want to avoid God’s punishment,</w:t>
      </w:r>
      <w:r>
        <w:rPr>
          <w:lang w:val="en_US" w:bidi="en_US"/>
        </w:rPr>
        <w:t xml:space="preserve"> you must…</w:t>
      </w:r>
    </w:p>
    <w:p>
      <w:pPr/>
      <w:r>
        <w:rPr>
          <w:lang w:val="en_US" w:bidi="en_US"/>
        </w:rPr>
      </w:r>
      <w:r>
        <w:rPr>
          <w:lang w:val="en_US" w:bidi="en_US"/>
        </w:rPr>
        <w:t>Connect these two verses in a way that is natural in your language.</w:t>
      </w:r>
    </w:p>
    <w:p>
      <w:pPr/>
      <w:r>
        <w:rPr>
          <w:lang w:val="en_US" w:bidi="en_US"/>
        </w:rPr>
      </w:r>
      <w:r>
        <w:rPr>
          <w:b/>
          <w:lang w:val="en_US" w:bidi="en_US"/>
        </w:rPr>
        <w:t>Produce fruit:</w:t>
      </w:r>
      <w:r>
        <w:rPr>
          <w:lang w:val="en_US" w:bidi="en_US"/>
        </w:rPr>
        <w:t xml:space="preserve"> In this context the phrase </w:t>
      </w:r>
      <w:r>
        <w:rPr>
          <w:i/>
          <w:lang w:val="en_US" w:bidi="en_US"/>
        </w:rPr>
        <w:t>Produce fruit</w:t>
      </w:r>
      <w:r>
        <w:rPr>
          <w:lang w:val="en_US" w:bidi="en_US"/>
        </w:rPr>
        <w:t xml:space="preserve"> is a metaphor. It refers to the good things that people do to show that they have truly repented. This metaphor is also used in 3:9.</w:t>
      </w:r>
    </w:p>
    <w:p>
      <w:pPr/>
      <w:r>
        <w:rPr>
          <w:lang w:val="en_US" w:bidi="en_US"/>
        </w:rPr>
      </w:r>
      <w:r>
        <w:rPr>
          <w:lang w:val="en_US" w:bidi="en_US"/>
        </w:rPr>
        <w:t>In some languages, a literal translation may have a different meaning.</w:t>
      </w:r>
      <w:r>
        <w:rPr>
          <w:lang w:val="en_US" w:bidi="en_US"/>
        </w:rPr>
        <w:t>For example, in some languages producing fruit refers to bearing children.</w:t>
      </w:r>
      <w:r>
        <w:rPr>
          <w:lang w:val="en_US" w:bidi="en_US"/>
        </w:rPr>
        <w:t xml:space="preserve"> If that is true in your language, some other ways to translate the metaphor are:</w:t>
      </w:r>
    </w:p>
    <w:p>
      <w:pPr>
        <w:pStyle w:val="ListBullet"/>
        <w:spacing w:line="240" w:lineRule="auto"/>
        <w:ind w:left="720"/>
      </w:pPr>
      <w:r>
        <w:rPr>
          <w:lang w:val="en_US" w:bidi="en_US"/>
        </w:rPr>
      </w:r>
      <w:r>
        <w:rPr>
          <w:lang w:val="en_US" w:bidi="en_US"/>
        </w:rPr>
        <w:t>Make the comparison of people to fruit trees explicit. For example:</w:t>
      </w:r>
      <w:r>
        <w:rPr>
          <w:u w:val="single"/>
          <w:lang w:val="en_US" w:bidi="en_US"/>
        </w:rPr>
        <w:t>Just as</w:t>
      </w:r>
      <w:r>
        <w:rPr>
          <w:lang w:val="en_US" w:bidi="en_US"/>
        </w:rPr>
        <w:t xml:space="preserve"> trees bear fruit, </w:t>
      </w:r>
      <w:r>
        <w:rPr>
          <w:u w:val="single"/>
          <w:lang w:val="en_US" w:bidi="en_US"/>
        </w:rPr>
        <w:t>so you</w:t>
      </w:r>
      <w:r>
        <w:rPr>
          <w:lang w:val="en_US" w:bidi="en_US"/>
        </w:rPr>
        <w:t xml:space="preserve"> must do the things that show that you have really repented.</w:t>
      </w:r>
    </w:p>
    <w:p>
      <w:pPr>
        <w:pStyle w:val="ListBullet"/>
        <w:spacing w:line="240" w:lineRule="auto"/>
        <w:ind w:left="720"/>
      </w:pPr>
      <w:r>
        <w:rPr>
          <w:lang w:val="en_US" w:bidi="en_US"/>
        </w:rPr>
      </w:r>
      <w:r>
        <w:rPr>
          <w:lang w:val="en_US" w:bidi="en_US"/>
        </w:rPr>
        <w:t>Translate the meaning without the metaphor. For example:</w:t>
      </w:r>
      <w:r>
        <w:rPr>
          <w:lang w:val="en_US" w:bidi="en_US"/>
        </w:rPr>
        <w:t>Do those things that prove that you have turned to God and have changed the way you think and act. (GW)</w:t>
      </w:r>
      <w:r>
        <w:rPr>
          <w:lang w:val="en_US" w:bidi="en_US"/>
        </w:rPr>
        <w:t>Prove by the way you live that you have repented of your sins and turned to God. (NLT)</w:t>
      </w:r>
    </w:p>
    <w:p>
      <w:pPr/>
      <w:r>
        <w:rPr>
          <w:lang w:val="en_US" w:bidi="en_US"/>
        </w:rPr>
      </w:r>
      <w:r>
        <w:rPr>
          <w:b/>
          <w:lang w:val="en_US" w:bidi="en_US"/>
        </w:rPr>
        <w:t>fruit:</w:t>
      </w:r>
      <w:r>
        <w:rPr>
          <w:lang w:val="en_US" w:bidi="en_US"/>
        </w:rPr>
        <w:t xml:space="preserve"> The Greek word that the BSB translates here as </w:t>
      </w:r>
      <w:r>
        <w:rPr>
          <w:i/>
          <w:lang w:val="en_US" w:bidi="en_US"/>
        </w:rPr>
        <w:t>fruit</w:t>
      </w:r>
      <w:r>
        <w:rPr>
          <w:lang w:val="en_US" w:bidi="en_US"/>
        </w:rPr>
        <w:t xml:space="preserve"> is a plural form. Use the form that is most natural in your language for this context. In English either form is natural. For example:</w:t>
      </w:r>
    </w:p>
    <w:p>
      <w:pPr/>
      <w:r>
        <w:rPr>
          <w:lang w:val="en_US" w:bidi="en_US"/>
        </w:rPr>
      </w:r>
      <w:r>
        <w:rPr>
          <w:lang w:val="en_US" w:bidi="en_US"/>
        </w:rPr>
        <w:t>bear fruits (NASB)</w:t>
      </w:r>
    </w:p>
    <w:p>
      <w:pPr/>
      <w:r>
        <w:rPr>
          <w:lang w:val="en_US" w:bidi="en_US"/>
        </w:rPr>
      </w:r>
      <w:r>
        <w:rPr>
          <w:lang w:val="en_US" w:bidi="en_US"/>
        </w:rPr>
        <w:t>Do those things (GNT)</w:t>
      </w:r>
    </w:p>
    <w:p>
      <w:pPr/>
      <w:r>
        <w:rPr>
          <w:lang w:val="en_US" w:bidi="en_US"/>
        </w:rPr>
      </w:r>
      <w:r>
        <w:rPr>
          <w:lang w:val="en_US" w:bidi="en_US"/>
        </w:rPr>
        <w:t>Prove your repentance by the fruit you bear (REB)</w:t>
      </w:r>
    </w:p>
    <w:p>
      <w:pPr/>
      <w:r>
        <w:rPr>
          <w:lang w:val="en_US" w:bidi="en_US"/>
        </w:rPr>
      </w:r>
      <w:r>
        <w:rPr>
          <w:b/>
          <w:lang w:val="en_US" w:bidi="en_US"/>
        </w:rPr>
        <w:t>in keeping with:</w:t>
      </w:r>
      <w:r>
        <w:rPr>
          <w:lang w:val="en_US" w:bidi="en_US"/>
        </w:rPr>
        <w:t xml:space="preserve"> The Greek word that the BSB translates as </w:t>
      </w:r>
      <w:r>
        <w:rPr>
          <w:i/>
          <w:lang w:val="en_US" w:bidi="en_US"/>
        </w:rPr>
        <w:t>in keeping with</w:t>
      </w:r>
      <w:r>
        <w:rPr>
          <w:lang w:val="en_US" w:bidi="en_US"/>
        </w:rPr>
        <w:t xml:space="preserve"> is literally “worthy of.” Other ways to translate this include:</w:t>
      </w:r>
    </w:p>
    <w:p>
      <w:pPr/>
      <w:r>
        <w:rPr>
          <w:lang w:val="en_US" w:bidi="en_US"/>
        </w:rPr>
      </w:r>
      <w:r>
        <w:rPr>
          <w:lang w:val="en_US" w:bidi="en_US"/>
        </w:rPr>
        <w:t>that goes together with</w:t>
      </w:r>
    </w:p>
    <w:p>
      <w:pPr/>
      <w:r>
        <w:rPr>
          <w:lang w:val="en_US" w:bidi="en_US"/>
        </w:rPr>
      </w:r>
      <w:r>
        <w:rPr>
          <w:lang w:val="en_US" w:bidi="en_US"/>
        </w:rPr>
        <w:t>that shows/proves</w:t>
      </w:r>
    </w:p>
    <w:p>
      <w:pPr/>
      <w:r>
        <w:rPr>
          <w:lang w:val="en_US" w:bidi="en_US"/>
        </w:rPr>
      </w:r>
      <w:r>
        <w:rPr>
          <w:lang w:val="en_US" w:bidi="en_US"/>
        </w:rPr>
        <w:t>that accompanies</w:t>
      </w:r>
    </w:p>
    <w:p>
      <w:pPr/>
      <w:r>
        <w:rPr>
          <w:lang w:val="en_US" w:bidi="en_US"/>
        </w:rPr>
      </w:r>
      <w:r>
        <w:rPr>
          <w:lang w:val="en_US" w:bidi="en_US"/>
        </w:rPr>
        <w:t>that corresponds to</w:t>
      </w:r>
    </w:p>
    <w:p>
      <w:pPr/>
      <w:r>
        <w:rPr>
          <w:lang w:val="en_US" w:bidi="en_US"/>
        </w:rPr>
      </w:r>
      <w:r>
        <w:rPr>
          <w:b/>
          <w:lang w:val="en_US" w:bidi="en_US"/>
        </w:rPr>
        <w:t>repentance:</w:t>
      </w:r>
      <w:r>
        <w:rPr>
          <w:lang w:val="en_US" w:bidi="en_US"/>
        </w:rPr>
        <w:t xml:space="preserve"> The Greek word that the BSB translates as </w:t>
      </w:r>
      <w:r>
        <w:rPr>
          <w:i/>
          <w:lang w:val="en_US" w:bidi="en_US"/>
        </w:rPr>
        <w:t>repentance</w:t>
      </w:r>
      <w:r>
        <w:rPr>
          <w:lang w:val="en_US" w:bidi="en_US"/>
        </w:rPr>
        <w:t xml:space="preserve"> means “a change of a person’s mind, heart, or will.” In the Bible it refers specifically to a change of mind and heart about sin and about God. The person who repents is sorry for his past sins. He decides to stop sinning and to obey God.</w:t>
      </w:r>
    </w:p>
    <w:p>
      <w:pPr/>
      <w:r>
        <w:rPr>
          <w:lang w:val="en_US" w:bidi="en_US"/>
        </w:rPr>
      </w:r>
      <w:r>
        <w:rPr>
          <w:lang w:val="en_US" w:bidi="en_US"/>
        </w:rPr>
        <w:t>This same word occurs in 3:3c. See the note there for more details and translation advice.</w:t>
      </w:r>
    </w:p>
    <w:p>
      <w:pPr>
        <w:pStyle w:val="Heading5"/>
      </w:pPr>
      <w:r>
        <w:rPr>
          <w:lang w:val="en_US" w:bidi="en_US"/>
        </w:rPr>
        <w:t>3:8b</w:t>
      </w:r>
    </w:p>
    <w:p>
      <w:pPr/>
      <w:r>
        <w:rPr>
          <w:lang w:val="en_US" w:bidi="en_US"/>
        </w:rPr>
      </w:r>
      <w:r>
        <w:rPr>
          <w:b/>
          <w:lang w:val="en_US" w:bidi="en_US"/>
        </w:rPr>
        <w:t>And do not begin to say to yourselves,</w:t>
      </w:r>
    </w:p>
    <w:p>
      <w:pPr>
        <w:pStyle w:val="ListBullet"/>
        <w:spacing w:line="240" w:lineRule="auto"/>
        <w:ind w:left="720"/>
      </w:pPr>
      <w:r>
        <w:rPr>
          <w:lang w:val="en_US" w:bidi="en_US"/>
        </w:rPr>
      </w:r>
      <w:r>
        <w:rPr>
          <w:lang w:val="en_US" w:bidi="en_US"/>
        </w:rPr>
        <w:t>And do not start saying to yourselves,</w:t>
      </w:r>
    </w:p>
    <w:p>
      <w:pPr>
        <w:pStyle w:val="ListBullet"/>
        <w:spacing w:line="240" w:lineRule="auto"/>
        <w:ind w:left="720"/>
      </w:pPr>
      <w:r>
        <w:rPr>
          <w:lang w:val="en_US" w:bidi="en_US"/>
        </w:rPr>
      </w:r>
      <w:r>
        <w:rPr>
          <w:lang w:val="en_US" w:bidi="en_US"/>
        </w:rPr>
        <w:t>Do not begin</w:t>
      </w:r>
      <w:r>
        <w:rPr>
          <w:vertAlign w:val="superscript"/>
          <w:lang w:val="en_US" w:bidi="en_US"/>
        </w:rPr>
        <w:t>(plur)</w:t>
      </w:r>
      <w:r>
        <w:rPr>
          <w:lang w:val="en_US" w:bidi="en_US"/>
        </w:rPr>
        <w:t xml:space="preserve"> to think,</w:t>
      </w:r>
    </w:p>
    <w:p>
      <w:pPr>
        <w:pStyle w:val="ListBullet"/>
        <w:spacing w:line="240" w:lineRule="auto"/>
        <w:ind w:left="720"/>
      </w:pPr>
      <w:r>
        <w:rPr>
          <w:lang w:val="en_US" w:bidi="en_US"/>
        </w:rPr>
      </w:r>
      <w:r>
        <w:rPr>
          <w:lang w:val="en_US" w:bidi="en_US"/>
        </w:rPr>
        <w:t>Do not think</w:t>
      </w:r>
      <w:r>
        <w:rPr>
          <w:vertAlign w:val="superscript"/>
          <w:lang w:val="en_US" w:bidi="en_US"/>
        </w:rPr>
        <w:t>(plur)</w:t>
      </w:r>
      <w:r>
        <w:rPr>
          <w:lang w:val="en_US" w:bidi="en_US"/>
        </w:rPr>
        <w:t xml:space="preserve"> that</w:t>
      </w:r>
    </w:p>
    <w:p>
      <w:pPr>
        <w:pStyle w:val="Heading5"/>
      </w:pPr>
      <w:r>
        <w:rPr>
          <w:lang w:val="en_US" w:bidi="en_US"/>
        </w:rPr>
        <w:t>3:8b–c</w:t>
      </w:r>
    </w:p>
    <w:p>
      <w:pPr/>
      <w:r>
        <w:rPr>
          <w:lang w:val="en_US" w:bidi="en_US"/>
        </w:rPr>
      </w:r>
      <w:r>
        <w:rPr>
          <w:b/>
          <w:lang w:val="en_US" w:bidi="en_US"/>
        </w:rPr>
        <w:t>And do not begin to say to yourselves, ‘We have Abraham as our father.’:</w:t>
      </w:r>
      <w:r>
        <w:rPr>
          <w:lang w:val="en_US" w:bidi="en_US"/>
        </w:rPr>
        <w:t xml:space="preserve"> The people to whom John was speaking were descendants of Abraham. John did not want the people to think that because they were descendants of Abraham, God would not judge them for their sins. God would judge them for their sins if they did not repent and obey him.</w:t>
      </w:r>
    </w:p>
    <w:p>
      <w:pPr/>
      <w:r>
        <w:rPr>
          <w:lang w:val="en_US" w:bidi="en_US"/>
        </w:rPr>
      </w:r>
      <w:r>
        <w:rPr>
          <w:b/>
          <w:lang w:val="en_US" w:bidi="en_US"/>
        </w:rPr>
        <w:t>say to yourselves:</w:t>
      </w:r>
      <w:r>
        <w:rPr>
          <w:lang w:val="en_US" w:bidi="en_US"/>
        </w:rPr>
        <w:t xml:space="preserve"> There are two ways to interpret the Greek phrase that the BSB translates as </w:t>
      </w:r>
      <w:r>
        <w:rPr>
          <w:i/>
          <w:lang w:val="en_US" w:bidi="en_US"/>
        </w:rPr>
        <w:t>say to yourselves</w:t>
      </w:r>
      <w:r>
        <w:rPr>
          <w:lang w:val="en_US" w:bidi="en_US"/>
        </w:rPr>
        <w:t>:</w:t>
      </w:r>
    </w:p>
    <w:p>
      <w:pPr>
        <w:pStyle w:val="ListNumber"/>
        <w:numPr>
          <w:ilvl w:val="0"/>
          <w:numId w:val="81"/>
        </w:numPr>
        <w:spacing w:line="240" w:lineRule="auto"/>
        <w:ind w:left="720"/>
      </w:pPr>
      <w:r>
        <w:rPr>
          <w:lang w:val="en_US" w:bidi="en_US"/>
        </w:rPr>
      </w:r>
      <w:r>
        <w:rPr>
          <w:lang w:val="en_US" w:bidi="en_US"/>
        </w:rPr>
        <w:t xml:space="preserve">It means </w:t>
      </w:r>
      <w:r>
        <w:rPr>
          <w:u w:val="single"/>
          <w:lang w:val="en_US" w:bidi="en_US"/>
        </w:rPr>
        <w:t>say in your own minds</w:t>
      </w:r>
      <w:r>
        <w:rPr>
          <w:lang w:val="en_US" w:bidi="en_US"/>
        </w:rPr>
        <w:t xml:space="preserve">; that is, </w:t>
      </w:r>
      <w:r>
        <w:rPr>
          <w:u w:val="single"/>
          <w:lang w:val="en_US" w:bidi="en_US"/>
        </w:rPr>
        <w:t>think</w:t>
      </w:r>
      <w:r>
        <w:rPr>
          <w:lang w:val="en_US" w:bidi="en_US"/>
        </w:rPr>
        <w:t>. For example:</w:t>
      </w:r>
      <w:r>
        <w:rPr>
          <w:lang w:val="en_US" w:bidi="en_US"/>
        </w:rPr>
        <w:t xml:space="preserve">say within yourselves (KJV) </w:t>
      </w:r>
      <w:r>
        <w:rPr>
          <w:i/>
          <w:lang w:val="en_US" w:bidi="en_US"/>
        </w:rPr>
        <w:t>(BSB, KJV, NASB, NCV NET, NIV, NJB, REB, RSV)</w:t>
      </w:r>
    </w:p>
    <w:p>
      <w:pPr>
        <w:pStyle w:val="ListNumber"/>
        <w:spacing w:line="240" w:lineRule="auto"/>
        <w:ind w:left="720"/>
      </w:pPr>
      <w:r>
        <w:rPr>
          <w:lang w:val="en_US" w:bidi="en_US"/>
        </w:rPr>
      </w:r>
      <w:r>
        <w:rPr>
          <w:lang w:val="en_US" w:bidi="en_US"/>
        </w:rPr>
        <w:t xml:space="preserve">It means </w:t>
      </w:r>
      <w:r>
        <w:rPr>
          <w:u w:val="single"/>
          <w:lang w:val="en_US" w:bidi="en_US"/>
        </w:rPr>
        <w:t>tell one another</w:t>
      </w:r>
      <w:r>
        <w:rPr>
          <w:lang w:val="en_US" w:bidi="en_US"/>
        </w:rPr>
        <w:t>. For example:</w:t>
      </w:r>
      <w:r>
        <w:rPr>
          <w:lang w:val="en_US" w:bidi="en_US"/>
        </w:rPr>
        <w:t xml:space="preserve">saying among yourselves (GNT) </w:t>
      </w:r>
      <w:r>
        <w:rPr>
          <w:i/>
          <w:lang w:val="en_US" w:bidi="en_US"/>
        </w:rPr>
        <w:t>(NLT, GNT)</w:t>
      </w:r>
    </w:p>
    <w:p>
      <w:pPr/>
      <w:r>
        <w:rPr>
          <w:lang w:val="en_US" w:bidi="en_US"/>
        </w:rPr>
      </w:r>
      <w:r>
        <w:rPr>
          <w:lang w:val="en_US" w:bidi="en_US"/>
        </w:rPr>
        <w:t>It is recommended that you follow interpretation (1). John was saying that the people should not think the statement in 3:8c.</w:t>
      </w:r>
    </w:p>
    <w:p>
      <w:pPr/>
      <w:r>
        <w:rPr>
          <w:lang w:val="en_US" w:bidi="en_US"/>
        </w:rPr>
      </w:r>
      <w:r>
        <w:rPr>
          <w:lang w:val="en_US" w:bidi="en_US"/>
        </w:rPr>
        <w:t>In some languages you may have an idiom to express this. For example, one way to express this in English is:</w:t>
      </w:r>
    </w:p>
    <w:p>
      <w:pPr/>
      <w:r>
        <w:rPr>
          <w:lang w:val="en_US" w:bidi="en_US"/>
        </w:rPr>
      </w:r>
      <w:r>
        <w:rPr>
          <w:lang w:val="en_US" w:bidi="en_US"/>
        </w:rPr>
        <w:t>do not let this thought enter your minds</w:t>
      </w:r>
    </w:p>
    <w:p>
      <w:pPr/>
      <w:r>
        <w:rPr>
          <w:lang w:val="en_US" w:bidi="en_US"/>
        </w:rPr>
      </w:r>
      <w:r>
        <w:rPr>
          <w:lang w:val="en_US" w:bidi="en_US"/>
        </w:rPr>
        <w:t>See the General Comment on 3:8b–c at the end of the note for 3:8c for examples of using indirect speech.</w:t>
      </w:r>
    </w:p>
    <w:p>
      <w:pPr>
        <w:pStyle w:val="Heading5"/>
      </w:pPr>
      <w:r>
        <w:rPr>
          <w:lang w:val="en_US" w:bidi="en_US"/>
        </w:rPr>
        <w:t>3:8c</w:t>
      </w:r>
    </w:p>
    <w:p>
      <w:pPr/>
      <w:r>
        <w:rPr>
          <w:lang w:val="en_US" w:bidi="en_US"/>
        </w:rPr>
      </w:r>
      <w:r>
        <w:rPr>
          <w:b/>
          <w:lang w:val="en_US" w:bidi="en_US"/>
        </w:rPr>
        <w:t>‘We have Abraham as our father.’</w:t>
      </w:r>
    </w:p>
    <w:p>
      <w:pPr>
        <w:pStyle w:val="ListBullet"/>
        <w:spacing w:line="240" w:lineRule="auto"/>
        <w:ind w:left="720"/>
      </w:pPr>
      <w:r>
        <w:rPr>
          <w:lang w:val="en_US" w:bidi="en_US"/>
        </w:rPr>
      </w:r>
      <w:r>
        <w:rPr>
          <w:lang w:val="en_US" w:bidi="en_US"/>
        </w:rPr>
        <w:t xml:space="preserve">‘Abraham is our forefather/ancestor, </w:t>
      </w:r>
      <w:r>
        <w:rPr>
          <w:lang w:val="en_US" w:bidi="en_US"/>
        </w:rPr>
        <w:t>so God will not punish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‘Because we</w:t>
      </w:r>
      <w:r>
        <w:rPr>
          <w:vertAlign w:val="superscript"/>
          <w:lang w:val="en_US" w:bidi="en_US"/>
        </w:rPr>
        <w:t>(incl)</w:t>
      </w:r>
      <w:r>
        <w:rPr>
          <w:lang w:val="en_US" w:bidi="en_US"/>
        </w:rPr>
        <w:t xml:space="preserve"> are descendants of Abraham, </w:t>
      </w:r>
      <w:r>
        <w:rPr>
          <w:lang w:val="en_US" w:bidi="en_US"/>
        </w:rPr>
        <w:t>God will not judge us</w:t>
      </w:r>
      <w:r>
        <w:rPr>
          <w:lang w:val="en_US" w:bidi="en_US"/>
        </w:rPr>
        <w:t>.’</w:t>
      </w:r>
    </w:p>
    <w:p>
      <w:pPr>
        <w:pStyle w:val="ListBullet"/>
        <w:spacing w:line="240" w:lineRule="auto"/>
        <w:ind w:left="720"/>
      </w:pPr>
      <w:r>
        <w:rPr>
          <w:lang w:val="en_US" w:bidi="en_US"/>
        </w:rPr>
      </w:r>
      <w:r>
        <w:rPr>
          <w:lang w:val="en_US" w:bidi="en_US"/>
        </w:rPr>
        <w:t>Abraham being your</w:t>
      </w:r>
      <w:r>
        <w:rPr>
          <w:vertAlign w:val="superscript"/>
          <w:lang w:val="en_US" w:bidi="en_US"/>
        </w:rPr>
        <w:t>(plur)</w:t>
      </w:r>
      <w:r>
        <w:rPr>
          <w:lang w:val="en_US" w:bidi="en_US"/>
        </w:rPr>
        <w:t xml:space="preserve"> father </w:t>
      </w:r>
      <w:r>
        <w:rPr>
          <w:lang w:val="en_US" w:bidi="en_US"/>
        </w:rPr>
        <w:t>will protect you</w:t>
      </w:r>
      <w:r>
        <w:rPr>
          <w:lang w:val="en_US" w:bidi="en_US"/>
        </w:rPr>
        <w:t>.</w:t>
      </w:r>
    </w:p>
    <w:p>
      <w:pPr/>
      <w:r>
        <w:rPr>
          <w:lang w:val="en_US" w:bidi="en_US"/>
        </w:rPr>
      </w:r>
      <w:r>
        <w:rPr>
          <w:b/>
          <w:lang w:val="en_US" w:bidi="en_US"/>
        </w:rPr>
        <w:t>We have Abraham as our father:</w:t>
      </w:r>
      <w:r>
        <w:rPr>
          <w:lang w:val="en_US" w:bidi="en_US"/>
        </w:rPr>
        <w:t xml:space="preserve"> The Jews believed that God favored them and their nation more than he favored the Gentile nations. Abraham was the Jews’ greatest ancestor.</w:t>
      </w:r>
      <w:r>
        <w:rPr>
          <w:lang w:val="en_US" w:bidi="en_US"/>
        </w:rPr>
        <w:t>God chose Abraham to begin the nation and people through whom he would send the Messiah to save human beings. Abraham was the grandfather of Jacob, whom God named Israel. Another name for the Jewish people was “the children of Israel.”</w:t>
      </w:r>
      <w:r>
        <w:rPr>
          <w:lang w:val="en_US" w:bidi="en_US"/>
        </w:rPr>
        <w:t xml:space="preserve"> Some of them may have wrongly thought that just being a Jew gave them special status. They may have thought that because they were Jews, God would not judge and punish them on the day when he will judge all people.</w:t>
      </w:r>
    </w:p>
    <w:p>
      <w:pPr/>
      <w:r>
        <w:rPr>
          <w:lang w:val="en_US" w:bidi="en_US"/>
        </w:rPr>
      </w:r>
      <w:r>
        <w:rPr>
          <w:lang w:val="en_US" w:bidi="en_US"/>
        </w:rPr>
        <w:t>In some languages it may be necessary to make some of this information explicit. For example:</w:t>
      </w:r>
    </w:p>
    <w:p>
      <w:pPr/>
      <w:r>
        <w:rPr>
          <w:lang w:val="en_US" w:bidi="en_US"/>
        </w:rPr>
      </w:r>
      <w:r>
        <w:rPr>
          <w:lang w:val="en_US" w:bidi="en_US"/>
        </w:rPr>
        <w:t>Because</w:t>
      </w:r>
      <w:r>
        <w:rPr>
          <w:lang w:val="en_US" w:bidi="en_US"/>
        </w:rPr>
        <w:t xml:space="preserve"> Abraham is our father, </w:t>
      </w:r>
      <w:r>
        <w:rPr>
          <w:lang w:val="en_US" w:bidi="en_US"/>
        </w:rPr>
        <w:t>God will not punish us</w:t>
      </w:r>
      <w:r>
        <w:rPr>
          <w:lang w:val="en_US" w:bidi="en_US"/>
        </w:rPr>
        <w:t>.</w:t>
      </w:r>
    </w:p>
    <w:p>
      <w:pPr/>
      <w:r>
        <w:rPr>
          <w:lang w:val="en_US" w:bidi="en_US"/>
        </w:rPr>
      </w:r>
      <w:r>
        <w:rPr>
          <w:lang w:val="en_US" w:bidi="en_US"/>
        </w:rPr>
        <w:t xml:space="preserve">We are Abraham’s children, </w:t>
      </w:r>
      <w:r>
        <w:rPr>
          <w:lang w:val="en_US" w:bidi="en_US"/>
        </w:rPr>
        <w:t>God’s special people</w:t>
      </w:r>
    </w:p>
    <w:p>
      <w:pPr/>
      <w:r>
        <w:rPr>
          <w:lang w:val="en_US" w:bidi="en_US"/>
        </w:rPr>
      </w:r>
      <w:r>
        <w:rPr>
          <w:lang w:val="en_US" w:bidi="en_US"/>
        </w:rPr>
        <w:t>In other languages, it may be better to put this information in a footnote.</w:t>
      </w:r>
    </w:p>
    <w:p>
      <w:pPr/>
      <w:r>
        <w:rPr>
          <w:lang w:val="en_US" w:bidi="en_US"/>
        </w:rPr>
      </w:r>
      <w:r>
        <w:rPr>
          <w:b/>
          <w:lang w:val="en_US" w:bidi="en_US"/>
        </w:rPr>
        <w:t>father:</w:t>
      </w:r>
      <w:r>
        <w:rPr>
          <w:lang w:val="en_US" w:bidi="en_US"/>
        </w:rPr>
        <w:t xml:space="preserve"> The Greek word that the BSB translates as </w:t>
      </w:r>
      <w:r>
        <w:rPr>
          <w:i/>
          <w:lang w:val="en_US" w:bidi="en_US"/>
        </w:rPr>
        <w:t>father</w:t>
      </w:r>
      <w:r>
        <w:rPr>
          <w:lang w:val="en_US" w:bidi="en_US"/>
        </w:rPr>
        <w:t xml:space="preserve"> can also refer to an ancestor. Abraham lived many generations before the Jews to whom John was speaking. In some languages, you may need to indicate specifically that Abraham was their </w:t>
      </w:r>
      <w:r>
        <w:rPr>
          <w:u w:val="single"/>
          <w:lang w:val="en_US" w:bidi="en_US"/>
        </w:rPr>
        <w:t>ancestor</w:t>
      </w:r>
      <w:r>
        <w:rPr>
          <w:lang w:val="en_US" w:bidi="en_US"/>
        </w:rPr>
        <w:t>. For example:</w:t>
      </w:r>
    </w:p>
    <w:p>
      <w:pPr/>
      <w:r>
        <w:rPr>
          <w:lang w:val="en_US" w:bidi="en_US"/>
        </w:rPr>
      </w:r>
      <w:r>
        <w:rPr>
          <w:lang w:val="en_US" w:bidi="en_US"/>
        </w:rPr>
        <w:t>Abraham is our ancestor</w:t>
      </w:r>
    </w:p>
    <w:p>
      <w:pPr/>
      <w:r>
        <w:rPr>
          <w:lang w:val="en_US" w:bidi="en_US"/>
        </w:rPr>
      </w:r>
      <w:r>
        <w:rPr>
          <w:lang w:val="en_US" w:bidi="en_US"/>
        </w:rPr>
        <w:t>We are descendants of Abraham</w:t>
      </w:r>
    </w:p>
    <w:p>
      <w:pPr>
        <w:pStyle w:val="Heading6"/>
      </w:pPr>
      <w:r>
        <w:rPr>
          <w:b/>
          <w:lang w:val="en_US" w:bidi="en_US"/>
        </w:rPr>
        <w:t>General Comment on 3:8b–c</w:t>
      </w:r>
    </w:p>
    <w:p>
      <w:pPr/>
      <w:r>
        <w:rPr>
          <w:lang w:val="en_US" w:bidi="en_US"/>
        </w:rPr>
      </w:r>
      <w:r>
        <w:rPr>
          <w:lang w:val="en_US" w:bidi="en_US"/>
        </w:rPr>
        <w:t>In some languages it may be helpful to translate this part of the verse as indirect speech. Remember that it was true that Abraham was the ancestor of the Jews. However, this did not mean that God would not punish any Jews. Some ways to translate this include:</w:t>
      </w:r>
    </w:p>
    <w:p>
      <w:pPr/>
      <w:r>
        <w:rPr>
          <w:lang w:val="en_US" w:bidi="en_US"/>
        </w:rPr>
      </w:r>
      <w:r>
        <w:rPr>
          <w:lang w:val="en_US" w:bidi="en_US"/>
        </w:rPr>
        <w:t xml:space="preserve">Do not rely on </w:t>
      </w:r>
      <w:r>
        <w:rPr>
          <w:lang w:val="en_US" w:bidi="en_US"/>
        </w:rPr>
        <w:t>the fact</w:t>
      </w:r>
      <w:r>
        <w:rPr>
          <w:lang w:val="en_US" w:bidi="en_US"/>
        </w:rPr>
        <w:t xml:space="preserve"> that you are descendants of Abraham </w:t>
      </w:r>
      <w:r>
        <w:rPr>
          <w:lang w:val="en_US" w:bidi="en_US"/>
        </w:rPr>
        <w:t>to protect you</w:t>
      </w:r>
      <w:r>
        <w:rPr>
          <w:lang w:val="en_US" w:bidi="en_US"/>
        </w:rPr>
        <w:t>.</w:t>
      </w:r>
    </w:p>
    <w:p>
      <w:pPr/>
      <w:r>
        <w:rPr>
          <w:lang w:val="en_US" w:bidi="en_US"/>
        </w:rPr>
      </w:r>
      <w:r>
        <w:rPr>
          <w:lang w:val="en_US" w:bidi="en_US"/>
        </w:rPr>
        <w:t xml:space="preserve">Do not think that having Abraham as your ancestor </w:t>
      </w:r>
      <w:r>
        <w:rPr>
          <w:lang w:val="en_US" w:bidi="en_US"/>
        </w:rPr>
        <w:t>will help you</w:t>
      </w:r>
      <w:r>
        <w:rPr>
          <w:lang w:val="en_US" w:bidi="en_US"/>
        </w:rPr>
        <w:t>.</w:t>
      </w:r>
    </w:p>
    <w:p>
      <w:pPr>
        <w:pStyle w:val="Heading5"/>
      </w:pPr>
      <w:r>
        <w:rPr>
          <w:lang w:val="en_US" w:bidi="en_US"/>
        </w:rPr>
        <w:t>3:8d</w:t>
      </w:r>
    </w:p>
    <w:p>
      <w:pPr/>
      <w:r>
        <w:rPr>
          <w:lang w:val="en_US" w:bidi="en_US"/>
        </w:rPr>
      </w:r>
      <w:r>
        <w:rPr>
          <w:b/>
          <w:lang w:val="en_US" w:bidi="en_US"/>
        </w:rPr>
        <w:t>For I tell you that out of these stones God can raise up children for Abraham.</w:t>
      </w:r>
    </w:p>
    <w:p>
      <w:pPr>
        <w:pStyle w:val="ListBullet"/>
        <w:spacing w:line="240" w:lineRule="auto"/>
        <w:ind w:left="720"/>
      </w:pPr>
      <w:r>
        <w:rPr>
          <w:lang w:val="en_US" w:bidi="en_US"/>
        </w:rPr>
      </w:r>
      <w:r>
        <w:rPr>
          <w:lang w:val="en_US" w:bidi="en_US"/>
        </w:rPr>
        <w:t>For I assure you that God can make descendants for Abraham even out of these stones!</w:t>
      </w:r>
    </w:p>
    <w:p>
      <w:pPr>
        <w:pStyle w:val="ListBullet"/>
        <w:spacing w:line="240" w:lineRule="auto"/>
        <w:ind w:left="720"/>
      </w:pPr>
      <w:r>
        <w:rPr>
          <w:lang w:val="en_US" w:bidi="en_US"/>
        </w:rPr>
      </w:r>
      <w:r>
        <w:rPr>
          <w:lang w:val="en_US" w:bidi="en_US"/>
        </w:rPr>
        <w:t>You should not depend on that!</w:t>
      </w:r>
      <w:r>
        <w:rPr>
          <w:lang w:val="en_US" w:bidi="en_US"/>
        </w:rPr>
        <w:t xml:space="preserve"> I declare to you that God is able to change even these stones into descendants of Abraham!</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introduces the reason why the Jews should not depend on Abraham being their ancestor to save them. They should not expect the fact that they are descendants of Abraham to save them, </w:t>
      </w:r>
      <w:r>
        <w:rPr>
          <w:u w:val="single"/>
          <w:lang w:val="en_US" w:bidi="en_US"/>
        </w:rPr>
        <w:t>because</w:t>
      </w:r>
      <w:r>
        <w:rPr>
          <w:lang w:val="en_US" w:bidi="en_US"/>
        </w:rPr>
        <w:t xml:space="preserve"> God can create other children for Abraham. In some languages it may be helpful to make this connection more explicit. For example:</w:t>
      </w:r>
    </w:p>
    <w:p>
      <w:pPr/>
      <w:r>
        <w:rPr>
          <w:lang w:val="en_US" w:bidi="en_US"/>
        </w:rPr>
      </w:r>
      <w:r>
        <w:rPr>
          <w:lang w:val="en_US" w:bidi="en_US"/>
        </w:rPr>
        <w:t>You should not depend on that, because</w:t>
      </w:r>
      <w:r>
        <w:rPr>
          <w:lang w:val="en_US" w:bidi="en_US"/>
        </w:rPr>
        <w:t xml:space="preserve"> …</w:t>
      </w:r>
    </w:p>
    <w:p>
      <w:pPr/>
      <w:r>
        <w:rPr>
          <w:lang w:val="en_US" w:bidi="en_US"/>
        </w:rPr>
      </w:r>
      <w:r>
        <w:rPr>
          <w:b/>
          <w:lang w:val="en_US" w:bidi="en_US"/>
        </w:rPr>
        <w:t>I tell you:</w:t>
      </w:r>
      <w:r>
        <w:rPr>
          <w:lang w:val="en_US" w:bidi="en_US"/>
        </w:rPr>
        <w:t xml:space="preserve"> The Greek clause that the BSB translates as </w:t>
      </w:r>
      <w:r>
        <w:rPr>
          <w:i/>
          <w:lang w:val="en_US" w:bidi="en_US"/>
        </w:rPr>
        <w:t>I tell you</w:t>
      </w:r>
      <w:r>
        <w:rPr>
          <w:lang w:val="en_US" w:bidi="en_US"/>
        </w:rPr>
        <w:t xml:space="preserve"> emphasizes the following statement. Here John used it to introduce a fact that was amazing but true. He implied that people should listen carefully to his statement and think about it. Some other ways to translate this are:</w:t>
      </w:r>
    </w:p>
    <w:p>
      <w:pPr>
        <w:pStyle w:val="ListBullet"/>
        <w:spacing w:line="240" w:lineRule="auto"/>
        <w:ind w:left="720"/>
      </w:pPr>
      <w:r>
        <w:rPr>
          <w:lang w:val="en_US" w:bidi="en_US"/>
        </w:rPr>
      </w:r>
      <w:r>
        <w:rPr>
          <w:lang w:val="en_US" w:bidi="en_US"/>
        </w:rPr>
        <w:t>Use a phrase before John’s statement. For example:</w:t>
      </w:r>
      <w:r>
        <w:rPr>
          <w:lang w:val="en_US" w:bidi="en_US"/>
        </w:rPr>
        <w:t>I am telling you that</w:t>
      </w:r>
      <w:r>
        <w:rPr>
          <w:lang w:val="en_US" w:bidi="en_US"/>
        </w:rPr>
        <w:t>Listen</w:t>
      </w:r>
      <w:r>
        <w:rPr>
          <w:lang w:val="en_US" w:bidi="en_US"/>
        </w:rPr>
        <w:t>I assure you</w:t>
      </w:r>
    </w:p>
    <w:p>
      <w:pPr>
        <w:pStyle w:val="ListBullet"/>
        <w:spacing w:line="240" w:lineRule="auto"/>
        <w:ind w:left="720"/>
      </w:pPr>
      <w:r>
        <w:rPr>
          <w:lang w:val="en_US" w:bidi="en_US"/>
        </w:rPr>
      </w:r>
      <w:r>
        <w:rPr>
          <w:lang w:val="en_US" w:bidi="en_US"/>
        </w:rPr>
        <w:t>Use an emphatic word within John’s statement. For example:</w:t>
      </w:r>
      <w:r>
        <w:rPr>
          <w:lang w:val="en_US" w:bidi="en_US"/>
        </w:rPr>
        <w:t xml:space="preserve">For out of these stones God can </w:t>
      </w:r>
      <w:r>
        <w:rPr>
          <w:u w:val="single"/>
          <w:lang w:val="en_US" w:bidi="en_US"/>
        </w:rPr>
        <w:t>certainly</w:t>
      </w:r>
      <w:r>
        <w:rPr>
          <w:lang w:val="en_US" w:bidi="en_US"/>
        </w:rPr>
        <w:t xml:space="preserve"> raise up children for Abraham.</w:t>
      </w:r>
    </w:p>
    <w:p>
      <w:pPr/>
      <w:r>
        <w:rPr>
          <w:lang w:val="en_US" w:bidi="en_US"/>
        </w:rPr>
      </w:r>
      <w:r>
        <w:rPr>
          <w:lang w:val="en_US" w:bidi="en_US"/>
        </w:rPr>
        <w:t>If you have another way in your language to emphasize a fact that is amazing but true, consider using it here.</w:t>
      </w:r>
    </w:p>
    <w:p>
      <w:pPr/>
      <w:r>
        <w:rPr>
          <w:lang w:val="en_US" w:bidi="en_US"/>
        </w:rPr>
      </w:r>
      <w:r>
        <w:rPr>
          <w:b/>
          <w:lang w:val="en_US" w:bidi="en_US"/>
        </w:rPr>
        <w:t>out of these stones God can raise up children for Abraham:</w:t>
      </w:r>
      <w:r>
        <w:rPr>
          <w:lang w:val="en_US" w:bidi="en_US"/>
        </w:rPr>
        <w:t xml:space="preserve"> The clause </w:t>
      </w:r>
      <w:r>
        <w:rPr>
          <w:i/>
          <w:lang w:val="en_US" w:bidi="en_US"/>
        </w:rPr>
        <w:t>out of these stones God can raise up children for Abraham</w:t>
      </w:r>
      <w:r>
        <w:rPr>
          <w:lang w:val="en_US" w:bidi="en_US"/>
        </w:rPr>
        <w:t xml:space="preserve"> means “God can turn/make</w:t>
      </w:r>
      <w:r>
        <w:rPr>
          <w:lang w:val="en_US" w:bidi="en_US"/>
        </w:rPr>
        <w:t xml:space="preserve">This word </w:t>
      </w:r>
      <w:r>
        <w:rPr>
          <w:i/>
          <w:lang w:val="en_US" w:bidi="en_US"/>
        </w:rPr>
        <w:t>egeirai</w:t>
      </w:r>
      <w:r>
        <w:rPr>
          <w:lang w:val="en_US" w:bidi="en_US"/>
        </w:rPr>
        <w:t xml:space="preserve"> may have been used here to mean “to bring life out of something lifeless” or “to bring into existence.”</w:t>
      </w:r>
      <w:r>
        <w:rPr>
          <w:lang w:val="en_US" w:bidi="en_US"/>
        </w:rPr>
        <w:t xml:space="preserve"> these stones into Abraham’s descendants.” John was saying that the Jewish people should not expect that God would not punish or destroy them just because Abraham was their ancestor. God could replace them. If he desired, he could create descendants of Abraham even from useless, lifeless </w:t>
      </w:r>
      <w:r>
        <w:rPr>
          <w:i/>
          <w:lang w:val="en_US" w:bidi="en_US"/>
        </w:rPr>
        <w:t>stones</w:t>
      </w:r>
      <w:r>
        <w:rPr>
          <w:lang w:val="en_US" w:bidi="en_US"/>
        </w:rPr>
        <w:t>.</w:t>
      </w:r>
      <w:r>
        <w:rPr>
          <w:lang w:val="en_US" w:bidi="en_US"/>
        </w:rPr>
        <w:t>Some scholars understand the word “stones” to be a metaphor for spiritually insensitive people. Some think that “stones” may refer also to Gentiles, whom the Jews considered inferior. For example, see Lenski, p. 190.</w:t>
      </w:r>
      <w:r>
        <w:rPr>
          <w:lang w:val="en_US" w:bidi="en_US"/>
        </w:rPr>
        <w:t xml:space="preserve"> Some other ways to translate </w:t>
      </w:r>
      <w:r>
        <w:rPr>
          <w:i/>
          <w:lang w:val="en_US" w:bidi="en_US"/>
        </w:rPr>
        <w:t>out of these stones God can raise up children for Abraham</w:t>
      </w:r>
      <w:r>
        <w:rPr>
          <w:lang w:val="en_US" w:bidi="en_US"/>
        </w:rPr>
        <w:t xml:space="preserve"> are:</w:t>
      </w:r>
    </w:p>
    <w:p>
      <w:pPr/>
      <w:r>
        <w:rPr>
          <w:lang w:val="en_US" w:bidi="en_US"/>
        </w:rPr>
      </w:r>
      <w:r>
        <w:rPr>
          <w:lang w:val="en_US" w:bidi="en_US"/>
        </w:rPr>
        <w:t>God can turn these stones into children for Abraham (CEV)</w:t>
      </w:r>
    </w:p>
    <w:p>
      <w:pPr/>
      <w:r>
        <w:rPr>
          <w:lang w:val="en_US" w:bidi="en_US"/>
        </w:rPr>
      </w:r>
      <w:r>
        <w:rPr>
          <w:lang w:val="en_US" w:bidi="en_US"/>
        </w:rPr>
        <w:t>God can make children for Abraham out of these stones (REB)</w:t>
      </w:r>
    </w:p>
    <w:p>
      <w:pPr/>
      <w:r>
        <w:rPr>
          <w:lang w:val="en_US" w:bidi="en_US"/>
        </w:rPr>
      </w:r>
      <w:r>
        <w:rPr>
          <w:lang w:val="en_US" w:bidi="en_US"/>
        </w:rPr>
        <w:t>God can create children of Abraham from these very stones (NLT)</w:t>
      </w:r>
    </w:p>
    <w:p>
      <w:pPr/>
      <w:r>
        <w:rPr>
          <w:lang w:val="en_US" w:bidi="en_US"/>
        </w:rPr>
      </w:r>
      <w:r>
        <w:rPr>
          <w:lang w:val="en_US" w:bidi="en_US"/>
        </w:rPr>
        <w:t xml:space="preserve">God can give life to these stones and transform them into descendants of Abraham </w:t>
      </w:r>
      <w:r>
        <w:rPr>
          <w:lang w:val="en_US" w:bidi="en_US"/>
        </w:rPr>
        <w:t>to replace you</w:t>
      </w:r>
      <w:r>
        <w:rPr>
          <w:lang w:val="en_US" w:bidi="en_US"/>
        </w:rPr>
      </w:r>
      <w:r>
        <w:rPr>
          <w:lang w:val="en_US" w:bidi="en_US"/>
        </w:rPr>
      </w:r>
    </w:p>
    <w:p>
      <w:pPr/>
      <w:r>
        <w:rPr>
          <w:lang w:val="en_US" w:bidi="en_US"/>
        </w:rPr>
      </w:r>
    </w:p>
    <w:p>
      <w:pPr>
        <w:pStyle w:val="Heading2"/>
      </w:pPr>
      <w:r>
        <w:rPr>
          <w:lang w:val="en_US" w:bidi="en_US"/>
        </w:rPr>
        <w:t>Luke 3:9</w:t>
      </w:r>
      <w:r>
        <w:rPr>
          <w:lang w:val="en_US" w:bidi="en_US"/>
        </w:rPr>
      </w:r>
    </w:p>
    <w:p>
      <w:pPr>
        <w:pStyle w:val="Heading4"/>
      </w:pPr>
      <w:r>
        <w:rPr>
          <w:lang w:val="en_US" w:bidi="en_US"/>
        </w:rPr>
        <w:t>Section 3:1–20: John the Baptizer prepared the way for Jesus</w:t>
      </w:r>
    </w:p>
    <w:p>
      <w:pPr/>
      <w:r>
        <w:rPr>
          <w:lang w:val="en_US" w:bidi="en_US"/>
        </w:rPr>
      </w:r>
      <w:r>
        <w:rPr>
          <w:lang w:val="en_US" w:bidi="en_US"/>
        </w:rP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Preaching of John (NCV)</w:t>
      </w:r>
    </w:p>
    <w:p>
      <w:pPr/>
      <w:r>
        <w:rPr>
          <w:lang w:val="en_US" w:bidi="en_US"/>
        </w:rPr>
      </w:r>
      <w:r>
        <w:rPr>
          <w:lang w:val="en_US" w:bidi="en_US"/>
        </w:rPr>
        <w:t>John the Baptist and Jesus (REB)</w:t>
      </w:r>
    </w:p>
    <w:p>
      <w:pPr/>
      <w:r>
        <w:rPr>
          <w:lang w:val="en_US" w:bidi="en_US"/>
        </w:rPr>
      </w:r>
      <w:r>
        <w:rPr>
          <w:lang w:val="en_US" w:bidi="en_US"/>
        </w:rPr>
        <w:t>John the Baptizer tells people to prepare themselves for the Messiah</w:t>
      </w:r>
    </w:p>
    <w:p>
      <w:pPr/>
      <w:r>
        <w:rPr>
          <w:lang w:val="en_US" w:bidi="en_US"/>
        </w:rPr>
      </w:r>
      <w:r>
        <w:rPr>
          <w:lang w:val="en_US" w:bidi="en_US"/>
        </w:rPr>
        <w:t>Parts of Luke 3:1–20 are basically the same as verses in Matthew 3:1–12. But Luke 3:1–2, 10–14, and 19–20 are not in Matthew.</w:t>
      </w:r>
    </w:p>
    <w:p>
      <w:pPr>
        <w:pStyle w:val="Heading4"/>
      </w:pPr>
      <w:r>
        <w:rPr>
          <w:lang w:val="en_US" w:bidi="en_US"/>
        </w:rPr>
        <w:t>Paragraph 3:7–9</w:t>
      </w:r>
    </w:p>
    <w:p>
      <w:pPr/>
      <w:r>
        <w:rPr>
          <w:lang w:val="en_US" w:bidi="en_US"/>
        </w:rPr>
      </w:r>
      <w:r>
        <w:rPr>
          <w:lang w:val="en_US" w:bidi="en_US"/>
        </w:rPr>
        <w:t>These verses are similar to the text in Matthew 3:7–10.</w:t>
      </w:r>
    </w:p>
    <w:p>
      <w:pPr>
        <w:pStyle w:val="Heading5"/>
      </w:pPr>
      <w:r>
        <w:rPr>
          <w:lang w:val="en_US" w:bidi="en_US"/>
        </w:rPr>
        <w:t>3:9a</w:t>
      </w:r>
    </w:p>
    <w:p>
      <w:pPr/>
      <w:r>
        <w:rPr>
          <w:lang w:val="en_US" w:bidi="en_US"/>
        </w:rPr>
      </w:r>
      <w:r>
        <w:rPr>
          <w:b/>
          <w:lang w:val="en_US" w:bidi="en_US"/>
        </w:rPr>
        <w:t>The axe lies ready at the root of the trees,</w:t>
      </w:r>
    </w:p>
    <w:p>
      <w:pPr>
        <w:pStyle w:val="ListBullet"/>
        <w:spacing w:line="240" w:lineRule="auto"/>
        <w:ind w:left="720"/>
      </w:pPr>
      <w:r>
        <w:rPr>
          <w:lang w:val="en_US" w:bidi="en_US"/>
        </w:rPr>
      </w:r>
      <w:r>
        <w:rPr>
          <w:lang w:val="en_US" w:bidi="en_US"/>
        </w:rPr>
        <w:t>Look!</w:t>
      </w:r>
      <w:r>
        <w:rPr>
          <w:lang w:val="en_US" w:bidi="en_US"/>
        </w:rPr>
        <w:t xml:space="preserve"> Right now there is an ax </w:t>
      </w:r>
      <w:r>
        <w:rPr>
          <w:lang w:val="en_US" w:bidi="en_US"/>
        </w:rPr>
        <w:t>aimed toward</w:t>
      </w:r>
      <w:r>
        <w:rPr>
          <w:lang w:val="en_US" w:bidi="en_US"/>
        </w:rPr>
        <w:t xml:space="preserve"> the base/foot of the trees,</w:t>
      </w:r>
    </w:p>
    <w:p>
      <w:pPr>
        <w:pStyle w:val="ListBullet"/>
        <w:spacing w:line="240" w:lineRule="auto"/>
        <w:ind w:left="720"/>
      </w:pPr>
      <w:r>
        <w:rPr>
          <w:lang w:val="en_US" w:bidi="en_US"/>
        </w:rPr>
      </w:r>
      <w:r>
        <w:rPr>
          <w:lang w:val="en_US" w:bidi="en_US"/>
        </w:rPr>
        <w:t xml:space="preserve">Like an ax that a man holds ready to chop down trees at their roots, </w:t>
      </w:r>
      <w:r>
        <w:rPr>
          <w:lang w:val="en_US" w:bidi="en_US"/>
        </w:rPr>
        <w:t>God’s judgment is about to strike sinners</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is </w:t>
      </w:r>
      <w:r>
        <w:rPr>
          <w:lang w:val="en_US" w:bidi="en_US"/>
        </w:rPr>
        <w:t>ready to strike sinful people</w:t>
      </w:r>
      <w:r>
        <w:rPr>
          <w:lang w:val="en_US" w:bidi="en_US"/>
        </w:rPr>
        <w:t xml:space="preserve"> </w:t>
      </w:r>
      <w:r>
        <w:rPr>
          <w:lang w:val="en_US" w:bidi="en_US"/>
        </w:rPr>
        <w:t>like a man</w:t>
      </w:r>
      <w:r>
        <w:rPr>
          <w:lang w:val="en_US" w:bidi="en_US"/>
        </w:rPr>
        <w:t xml:space="preserve"> aiming his ax</w:t>
      </w:r>
    </w:p>
    <w:p>
      <w:pPr/>
      <w:r>
        <w:rPr>
          <w:lang w:val="en_US" w:bidi="en_US"/>
        </w:rPr>
      </w:r>
      <w:r>
        <w:rPr>
          <w:lang w:val="en_US" w:bidi="en_US"/>
        </w:rPr>
        <w:t>In Greek, 3:9a begins with a phrase</w:t>
      </w:r>
      <w:r>
        <w:rPr>
          <w:i/>
          <w:lang w:val="en_US" w:bidi="en_US"/>
        </w:rPr>
        <w:t>de kai</w:t>
      </w:r>
      <w:r>
        <w:rPr>
          <w:lang w:val="en_US" w:bidi="en_US"/>
        </w:rPr>
        <w:t>.</w:t>
      </w:r>
      <w:r>
        <w:rPr>
          <w:lang w:val="en_US" w:bidi="en_US"/>
        </w:rPr>
        <w:t xml:space="preserve"> that emphasizes what John was about to say. The BSB does not translate this phrase. Consider whether it is natural in your language to use such an expression here. Some ways to translate it in English are:</w:t>
      </w:r>
    </w:p>
    <w:p>
      <w:pPr/>
      <w:r>
        <w:rPr>
          <w:lang w:val="en_US" w:bidi="en_US"/>
        </w:rPr>
      </w:r>
      <w:r>
        <w:rPr>
          <w:lang w:val="en_US" w:bidi="en_US"/>
        </w:rPr>
        <w:t>Yes, even now (NJB)</w:t>
      </w:r>
    </w:p>
    <w:p>
      <w:pPr/>
      <w:r>
        <w:rPr>
          <w:lang w:val="en_US" w:bidi="en_US"/>
        </w:rPr>
      </w:r>
      <w:r>
        <w:rPr>
          <w:lang w:val="en_US" w:bidi="en_US"/>
        </w:rPr>
        <w:t>Indeed (NASB)</w:t>
      </w:r>
    </w:p>
    <w:p>
      <w:pPr/>
      <w:r>
        <w:rPr>
          <w:lang w:val="en_US" w:bidi="en_US"/>
        </w:rPr>
      </w:r>
      <w:r>
        <w:rPr>
          <w:b/>
          <w:lang w:val="en_US" w:bidi="en_US"/>
        </w:rPr>
        <w:t>The axe lies ready at the root of the trees:</w:t>
      </w:r>
      <w:r>
        <w:rPr>
          <w:lang w:val="en_US" w:bidi="en_US"/>
        </w:rPr>
        <w:t xml:space="preserve"> This clause is a metaphor. Its literal meaning is that </w:t>
      </w:r>
      <w:r>
        <w:rPr>
          <w:lang w:val="en_US" w:bidi="en_US"/>
        </w:rPr>
        <w:t>someone</w:t>
      </w:r>
      <w:r>
        <w:rPr>
          <w:lang w:val="en_US" w:bidi="en_US"/>
        </w:rPr>
        <w:t xml:space="preserve"> has already placed his ax on the ground next to the trees because he is ready to cut them down. This metaphor indicates that God is ready to punish people, just as a man brings his ax over to a tree is ready to cut it down.</w:t>
      </w:r>
    </w:p>
    <w:p>
      <w:pPr/>
      <w:r>
        <w:rPr>
          <w:lang w:val="en_US" w:bidi="en_US"/>
        </w:rPr>
      </w:r>
      <w:r>
        <w:rPr>
          <w:lang w:val="en_US" w:bidi="en_US"/>
        </w:rPr>
        <w:t>In some languages the meaning of this metaphor may not be clear. If this is true in your language, it may be necessary to indicate the meaning more explicitly. For example:</w:t>
      </w:r>
    </w:p>
    <w:p>
      <w:pPr/>
      <w:r>
        <w:rPr>
          <w:lang w:val="en_US" w:bidi="en_US"/>
        </w:rPr>
      </w:r>
      <w:r>
        <w:rPr>
          <w:lang w:val="en_US" w:bidi="en_US"/>
        </w:rPr>
        <w:t>Even now the ax of God’s judgment is poised, ready to sever the roots of the trees. (NLT)</w:t>
      </w:r>
    </w:p>
    <w:p>
      <w:pPr/>
      <w:r>
        <w:rPr>
          <w:lang w:val="en_US" w:bidi="en_US"/>
        </w:rPr>
      </w:r>
      <w:r>
        <w:rPr>
          <w:lang w:val="en_US" w:bidi="en_US"/>
        </w:rPr>
        <w:t>God</w:t>
      </w:r>
      <w:r>
        <w:rPr>
          <w:lang w:val="en_US" w:bidi="en_US"/>
        </w:rPr>
        <w:t xml:space="preserve"> is about to </w:t>
      </w:r>
      <w:r>
        <w:rPr>
          <w:lang w:val="en_US" w:bidi="en_US"/>
        </w:rPr>
        <w:t>punish people who do not repent</w:t>
      </w:r>
      <w:r>
        <w:rPr>
          <w:lang w:val="en_US" w:bidi="en_US"/>
        </w:rPr>
        <w:t>. He is like a man who is aiming his ax at the root of a tree, ready to cut it down.</w:t>
      </w:r>
    </w:p>
    <w:p>
      <w:pPr/>
      <w:r>
        <w:rPr>
          <w:lang w:val="en_US" w:bidi="en_US"/>
        </w:rPr>
      </w:r>
      <w:r>
        <w:rPr>
          <w:b/>
          <w:lang w:val="en_US" w:bidi="en_US"/>
        </w:rPr>
        <w:t>ready:</w:t>
      </w:r>
      <w:r>
        <w:rPr>
          <w:lang w:val="en_US" w:bidi="en_US"/>
        </w:rPr>
        <w:t xml:space="preserve"> The Greek phrase that the BSB translates as </w:t>
      </w:r>
      <w:r>
        <w:rPr>
          <w:i/>
          <w:lang w:val="en_US" w:bidi="en_US"/>
        </w:rPr>
        <w:t>ready</w:t>
      </w:r>
      <w:r>
        <w:rPr>
          <w:lang w:val="en_US" w:bidi="en_US"/>
        </w:rPr>
        <w:t xml:space="preserve"> emphasizes that the danger is immediate/imminent. The ax is right there, ready to strike. The tree is about to be cut down.</w:t>
      </w:r>
    </w:p>
    <w:p>
      <w:pPr/>
      <w:r>
        <w:rPr>
          <w:lang w:val="en_US" w:bidi="en_US"/>
        </w:rPr>
      </w:r>
      <w:r>
        <w:rPr>
          <w:b/>
          <w:lang w:val="en_US" w:bidi="en_US"/>
        </w:rPr>
        <w:t>the root:</w:t>
      </w:r>
      <w:r>
        <w:rPr>
          <w:lang w:val="en_US" w:bidi="en_US"/>
        </w:rPr>
        <w:t xml:space="preserve"> Here the phrase </w:t>
      </w:r>
      <w:r>
        <w:rPr>
          <w:i/>
          <w:lang w:val="en_US" w:bidi="en_US"/>
        </w:rPr>
        <w:t>the root</w:t>
      </w:r>
      <w:r>
        <w:rPr>
          <w:lang w:val="en_US" w:bidi="en_US"/>
        </w:rPr>
        <w:t xml:space="preserve"> refers to the part of the tree that is just above the ground. In this context, it does not mean the part that is below the ground. A person could cut the tree there and make the whole tree fall. In some languages this may be translated as something like:</w:t>
      </w:r>
    </w:p>
    <w:p>
      <w:pPr/>
      <w:r>
        <w:rPr>
          <w:lang w:val="en_US" w:bidi="en_US"/>
        </w:rPr>
      </w:r>
      <w:r>
        <w:rPr>
          <w:lang w:val="en_US" w:bidi="en_US"/>
        </w:rPr>
        <w:t>the base of the tree/trunk</w:t>
      </w:r>
    </w:p>
    <w:p>
      <w:pPr/>
      <w:r>
        <w:rPr>
          <w:lang w:val="en_US" w:bidi="en_US"/>
        </w:rPr>
      </w:r>
      <w:r>
        <w:rPr>
          <w:b/>
          <w:lang w:val="en_US" w:bidi="en_US"/>
        </w:rPr>
        <w:t>the trees:</w:t>
      </w:r>
      <w:r>
        <w:rPr>
          <w:lang w:val="en_US" w:bidi="en_US"/>
        </w:rPr>
        <w:t xml:space="preserve"> John did not name a specific type of tree. The context indicates that he was referring to fruit trees, such as fig trees.</w:t>
      </w:r>
    </w:p>
    <w:p>
      <w:pPr>
        <w:pStyle w:val="Heading5"/>
      </w:pPr>
      <w:r>
        <w:rPr>
          <w:lang w:val="en_US" w:bidi="en_US"/>
        </w:rPr>
        <w:t>3:9b</w:t>
      </w:r>
    </w:p>
    <w:p>
      <w:pPr/>
      <w:r>
        <w:rPr>
          <w:lang w:val="en_US" w:bidi="en_US"/>
        </w:rPr>
      </w:r>
      <w:r>
        <w:rPr>
          <w:b/>
          <w:lang w:val="en_US" w:bidi="en_US"/>
        </w:rPr>
        <w:t>and every tree that does not produce good fruit will be cut down</w:t>
      </w:r>
    </w:p>
    <w:p>
      <w:pPr>
        <w:pStyle w:val="ListBullet"/>
        <w:spacing w:line="240" w:lineRule="auto"/>
        <w:ind w:left="720"/>
      </w:pPr>
      <w:r>
        <w:rPr>
          <w:lang w:val="en_US" w:bidi="en_US"/>
        </w:rPr>
      </w:r>
      <w:r>
        <w:rPr>
          <w:lang w:val="en_US" w:bidi="en_US"/>
        </w:rPr>
        <w:t>and every tree that does not produce good fruit will be cut/chopped down,</w:t>
      </w:r>
    </w:p>
    <w:p>
      <w:pPr>
        <w:pStyle w:val="ListBullet"/>
        <w:spacing w:line="240" w:lineRule="auto"/>
        <w:ind w:left="720"/>
      </w:pPr>
      <w:r>
        <w:rPr>
          <w:lang w:val="en_US" w:bidi="en_US"/>
        </w:rPr>
      </w:r>
      <w:r>
        <w:rPr>
          <w:lang w:val="en_US" w:bidi="en_US"/>
        </w:rPr>
        <w:t xml:space="preserve">If </w:t>
      </w:r>
      <w:r>
        <w:rPr>
          <w:lang w:val="en_US" w:bidi="en_US"/>
        </w:rPr>
        <w:t>you do not do what is right/good,</w:t>
      </w:r>
      <w:r>
        <w:rPr>
          <w:lang w:val="en_US" w:bidi="en_US"/>
        </w:rPr>
        <w:t xml:space="preserve"> </w:t>
      </w:r>
      <w:r>
        <w:rPr>
          <w:lang w:val="en_US" w:bidi="en_US"/>
        </w:rPr>
        <w:t>you will be like</w:t>
      </w:r>
      <w:r>
        <w:rPr>
          <w:lang w:val="en_US" w:bidi="en_US"/>
        </w:rPr>
        <w:t xml:space="preserve"> a tree that does not produce good fruit. Such trees will all be cut down</w:t>
      </w:r>
    </w:p>
    <w:p>
      <w:pPr>
        <w:pStyle w:val="ListBullet"/>
        <w:spacing w:line="240" w:lineRule="auto"/>
        <w:ind w:left="720"/>
      </w:pPr>
      <w:r>
        <w:rPr>
          <w:lang w:val="en_US" w:bidi="en_US"/>
        </w:rPr>
      </w:r>
      <w:r>
        <w:rPr>
          <w:lang w:val="en_US" w:bidi="en_US"/>
        </w:rPr>
        <w:t xml:space="preserve">to chop down every tree that does not have the fruit </w:t>
      </w:r>
      <w:r>
        <w:rPr>
          <w:lang w:val="en_US" w:bidi="en_US"/>
        </w:rPr>
        <w:t>of good deeds</w:t>
      </w:r>
    </w:p>
    <w:p>
      <w:pPr>
        <w:pStyle w:val="Heading5"/>
      </w:pPr>
      <w:r>
        <w:rPr>
          <w:lang w:val="en_US" w:bidi="en_US"/>
        </w:rPr>
        <w:t>3:9c</w:t>
      </w:r>
    </w:p>
    <w:p>
      <w:pPr/>
      <w:r>
        <w:rPr>
          <w:lang w:val="en_US" w:bidi="en_US"/>
        </w:rPr>
      </w:r>
      <w:r>
        <w:rPr>
          <w:b/>
          <w:lang w:val="en_US" w:bidi="en_US"/>
        </w:rPr>
        <w:t>and thrown into the fire.”</w:t>
      </w:r>
    </w:p>
    <w:p>
      <w:pPr>
        <w:pStyle w:val="ListBullet"/>
        <w:spacing w:line="240" w:lineRule="auto"/>
        <w:ind w:left="720"/>
      </w:pPr>
      <w:r>
        <w:rPr>
          <w:lang w:val="en_US" w:bidi="en_US"/>
        </w:rPr>
      </w:r>
      <w:r>
        <w:rPr>
          <w:lang w:val="en_US" w:bidi="en_US"/>
        </w:rPr>
        <w:t xml:space="preserve">and </w:t>
      </w:r>
      <w:r>
        <w:rPr>
          <w:lang w:val="en_US" w:bidi="en_US"/>
        </w:rPr>
        <w:t>it will be</w:t>
      </w:r>
      <w:r>
        <w:rPr>
          <w:lang w:val="en_US" w:bidi="en_US"/>
        </w:rPr>
        <w:t xml:space="preserve"> thrown into the fire.”</w:t>
      </w:r>
    </w:p>
    <w:p>
      <w:pPr>
        <w:pStyle w:val="ListBullet"/>
        <w:spacing w:line="240" w:lineRule="auto"/>
        <w:ind w:left="720"/>
      </w:pPr>
      <w:r>
        <w:rPr>
          <w:lang w:val="en_US" w:bidi="en_US"/>
        </w:rPr>
      </w:r>
      <w:r>
        <w:rPr>
          <w:lang w:val="en_US" w:bidi="en_US"/>
        </w:rPr>
        <w:t xml:space="preserve">and thrown into fire </w:t>
      </w:r>
      <w:r>
        <w:rPr>
          <w:lang w:val="en_US" w:bidi="en_US"/>
        </w:rPr>
        <w:t>to burn</w:t>
      </w:r>
      <w:r>
        <w:rPr>
          <w:lang w:val="en_US" w:bidi="en_US"/>
        </w:rPr>
        <w:t>.”</w:t>
      </w:r>
    </w:p>
    <w:p>
      <w:pPr>
        <w:pStyle w:val="ListBullet"/>
        <w:spacing w:line="240" w:lineRule="auto"/>
        <w:ind w:left="720"/>
      </w:pPr>
      <w:r>
        <w:rPr>
          <w:lang w:val="en_US" w:bidi="en_US"/>
        </w:rPr>
      </w:r>
      <w:r>
        <w:rPr>
          <w:lang w:val="en_US" w:bidi="en_US"/>
        </w:rPr>
        <w:t xml:space="preserve">and throw it into a fire </w:t>
      </w:r>
      <w:r>
        <w:rPr>
          <w:lang w:val="en_US" w:bidi="en_US"/>
        </w:rPr>
        <w:t>to burn</w:t>
      </w:r>
      <w:r>
        <w:rPr>
          <w:lang w:val="en_US" w:bidi="en_US"/>
        </w:rPr>
        <w:t>.”</w:t>
      </w:r>
    </w:p>
    <w:p>
      <w:pPr>
        <w:pStyle w:val="Heading5"/>
      </w:pPr>
      <w:r>
        <w:rPr>
          <w:lang w:val="en_US" w:bidi="en_US"/>
        </w:rPr>
        <w:t>3:9b–c</w:t>
      </w:r>
    </w:p>
    <w:p>
      <w:pPr/>
      <w:r>
        <w:rPr>
          <w:lang w:val="en_US" w:bidi="en_US"/>
        </w:rPr>
      </w:r>
      <w:r>
        <w:rPr>
          <w:b/>
          <w:lang w:val="en_US" w:bidi="en_US"/>
        </w:rPr>
        <w:t>and</w:t>
      </w:r>
      <w:r>
        <w:rPr>
          <w:lang w:val="en_US" w:bidi="en_US"/>
        </w:rPr>
        <w:t xml:space="preserve"> In Greek, this part of the verse is connected to 3:9a with a conjunction that is sometimes translated as “therefore,” as in the ESV. Many English versions, including the BSB, translate it as </w:t>
      </w:r>
      <w:r>
        <w:rPr>
          <w:i/>
          <w:lang w:val="en_US" w:bidi="en_US"/>
        </w:rPr>
        <w:t>and</w:t>
      </w:r>
      <w:r>
        <w:rPr>
          <w:lang w:val="en_US" w:bidi="en_US"/>
        </w:rPr>
        <w:t>. Other versions start a new sentence here. For example:</w:t>
      </w:r>
    </w:p>
    <w:p>
      <w:pPr/>
      <w:r>
        <w:rPr>
          <w:lang w:val="en_US" w:bidi="en_US"/>
        </w:rPr>
      </w:r>
      <w:r>
        <w:rPr>
          <w:lang w:val="en_US" w:bidi="en_US"/>
        </w:rPr>
        <w:t>Any tree that doesn’t produce good fruit will be cut down and thrown into a fire. (GW)</w:t>
      </w:r>
    </w:p>
    <w:p>
      <w:pPr/>
      <w:r>
        <w:rPr>
          <w:lang w:val="en_US" w:bidi="en_US"/>
        </w:rPr>
      </w:r>
      <w:r>
        <w:rPr>
          <w:lang w:val="en_US" w:bidi="en_US"/>
        </w:rPr>
        <w:t>Connect 3:9b–c to 3:9a in a way that is natural in your language.</w:t>
      </w:r>
    </w:p>
    <w:p>
      <w:pPr/>
      <w:r>
        <w:rPr>
          <w:lang w:val="en_US" w:bidi="en_US"/>
        </w:rPr>
      </w:r>
      <w:r>
        <w:rPr>
          <w:b/>
          <w:lang w:val="en_US" w:bidi="en_US"/>
        </w:rPr>
        <w:t>every tree that does not produce good fruit will be cut down and thrown into the fire:</w:t>
      </w:r>
      <w:r>
        <w:rPr>
          <w:lang w:val="en_US" w:bidi="en_US"/>
        </w:rPr>
        <w:t xml:space="preserve"> The Greek verbs that the BSB translates as </w:t>
      </w:r>
      <w:r>
        <w:rPr>
          <w:i/>
          <w:lang w:val="en_US" w:bidi="en_US"/>
        </w:rPr>
        <w:t>will be cut down</w:t>
      </w:r>
      <w:r>
        <w:rPr>
          <w:lang w:val="en_US" w:bidi="en_US"/>
        </w:rPr>
        <w:t xml:space="preserve"> and </w:t>
      </w:r>
      <w:r>
        <w:rPr>
          <w:i/>
          <w:lang w:val="en_US" w:bidi="en_US"/>
        </w:rPr>
        <w:t>thrown</w:t>
      </w:r>
      <w:r>
        <w:rPr>
          <w:lang w:val="en_US" w:bidi="en_US"/>
        </w:rPr>
        <w:t xml:space="preserve"> are passive. In some languages it may be more natural to use an active clause here and supply a general subject such as “man” or “woodcutter.” For example:</w:t>
      </w:r>
    </w:p>
    <w:p>
      <w:pPr/>
      <w:r>
        <w:rPr>
          <w:lang w:val="en_US" w:bidi="en_US"/>
        </w:rPr>
      </w:r>
      <w:r>
        <w:rPr>
          <w:lang w:val="en_US" w:bidi="en_US"/>
        </w:rPr>
        <w:t>the man/woodcutter will cut down every tree that does not produce good fruit and throw it into the fire</w:t>
      </w:r>
    </w:p>
    <w:p>
      <w:pPr/>
      <w:r>
        <w:rPr>
          <w:lang w:val="en_US" w:bidi="en_US"/>
        </w:rPr>
      </w:r>
      <w:r>
        <w:rPr>
          <w:lang w:val="en_US" w:bidi="en_US"/>
        </w:rPr>
        <w:t>In this part of the verse John continued to use the metaphor about the fruit trees from 3:9a. The trees represent people. Fruit trees that do not produce good fruit represent people who do not do and say what is good. The man/woodcutter represents God ready to punish those people. In some languages it may be necessary to make the meaning of the metaphor more explicit here, as in 3:9a. For example:</w:t>
      </w:r>
    </w:p>
    <w:p>
      <w:pPr/>
      <w:r>
        <w:rPr>
          <w:lang w:val="en_US" w:bidi="en_US"/>
        </w:rPr>
      </w:r>
      <w:r>
        <w:rPr>
          <w:lang w:val="en_US" w:bidi="en_US"/>
        </w:rPr>
        <w:t xml:space="preserve">If anyone is like a tree that does not produce good fruit, </w:t>
      </w:r>
      <w:r>
        <w:rPr>
          <w:lang w:val="en_US" w:bidi="en_US"/>
        </w:rPr>
        <w:t>God will punish that person. That person will be like a tree</w:t>
      </w:r>
      <w:r>
        <w:rPr>
          <w:lang w:val="en_US" w:bidi="en_US"/>
        </w:rPr>
        <w:t xml:space="preserve"> that is cut down and burned up.</w:t>
      </w:r>
    </w:p>
    <w:p>
      <w:pPr/>
      <w:r>
        <w:rPr>
          <w:lang w:val="en_US" w:bidi="en_US"/>
        </w:rPr>
      </w:r>
      <w:r>
        <w:rPr>
          <w:lang w:val="en_US" w:bidi="en_US"/>
        </w:rPr>
        <w:t>If you do not repent and do what is good, you will be punished/destroyed</w:t>
      </w:r>
      <w:r>
        <w:rPr>
          <w:lang w:val="en_US" w:bidi="en_US"/>
        </w:rPr>
        <w:t xml:space="preserve"> like a useless/fruitless tree is cut down and thrown it into a fire.</w:t>
      </w:r>
    </w:p>
    <w:p>
      <w:pPr/>
      <w:r>
        <w:rPr>
          <w:lang w:val="en_US" w:bidi="en_US"/>
        </w:rPr>
      </w:r>
      <w:r>
        <w:rPr>
          <w:lang w:val="en_US" w:bidi="en_US"/>
        </w:rPr>
        <w:t>In some translations, it may be helpful to explain the meaning of the metaphor more fully in a footnote. For example:</w:t>
      </w:r>
    </w:p>
    <w:p>
      <w:pPr/>
      <w:r>
        <w:rPr>
          <w:lang w:val="en_US" w:bidi="en_US"/>
        </w:rPr>
      </w:r>
      <w:r>
        <w:rPr>
          <w:lang w:val="en_US" w:bidi="en_US"/>
        </w:rPr>
        <w:t>God is ready to condemn and severely punish all people who do not repent and do good things that show that they have repented. If the descendants of Abraham do not repent, God will punish them also.</w:t>
      </w:r>
      <w:r>
        <w:rPr>
          <w:lang w:val="en_US" w:bidi="en_US"/>
        </w:rPr>
      </w:r>
      <w:r>
        <w:rPr>
          <w:lang w:val="en_US" w:bidi="en_US"/>
        </w:rPr>
      </w:r>
    </w:p>
    <w:p>
      <w:pPr/>
      <w:r>
        <w:rPr>
          <w:lang w:val="en_US" w:bidi="en_US"/>
        </w:rPr>
      </w:r>
    </w:p>
    <w:p>
      <w:pPr>
        <w:pStyle w:val="Heading2"/>
      </w:pPr>
      <w:r>
        <w:rPr>
          <w:lang w:val="en_US" w:bidi="en_US"/>
        </w:rPr>
        <w:t>Luke 3:10</w:t>
      </w:r>
      <w:r>
        <w:rPr>
          <w:lang w:val="en_US" w:bidi="en_US"/>
        </w:rPr>
      </w:r>
    </w:p>
    <w:p>
      <w:pPr>
        <w:pStyle w:val="Heading4"/>
      </w:pPr>
      <w:r>
        <w:rPr>
          <w:lang w:val="en_US" w:bidi="en_US"/>
        </w:rPr>
        <w:t>Section 3:1–20: John the Baptizer prepared the way for Jesus</w:t>
      </w:r>
    </w:p>
    <w:p>
      <w:pPr/>
      <w:r>
        <w:rPr>
          <w:lang w:val="en_US" w:bidi="en_US"/>
        </w:rPr>
      </w:r>
      <w:r>
        <w:rPr>
          <w:lang w:val="en_US" w:bidi="en_US"/>
        </w:rP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Preaching of John (NCV)</w:t>
      </w:r>
    </w:p>
    <w:p>
      <w:pPr/>
      <w:r>
        <w:rPr>
          <w:lang w:val="en_US" w:bidi="en_US"/>
        </w:rPr>
      </w:r>
      <w:r>
        <w:rPr>
          <w:lang w:val="en_US" w:bidi="en_US"/>
        </w:rPr>
        <w:t>John the Baptist and Jesus (REB)</w:t>
      </w:r>
    </w:p>
    <w:p>
      <w:pPr/>
      <w:r>
        <w:rPr>
          <w:lang w:val="en_US" w:bidi="en_US"/>
        </w:rPr>
      </w:r>
      <w:r>
        <w:rPr>
          <w:lang w:val="en_US" w:bidi="en_US"/>
        </w:rPr>
        <w:t>John the Baptizer tells people to prepare themselves for the Messiah</w:t>
      </w:r>
    </w:p>
    <w:p>
      <w:pPr/>
      <w:r>
        <w:rPr>
          <w:lang w:val="en_US" w:bidi="en_US"/>
        </w:rPr>
      </w:r>
      <w:r>
        <w:rPr>
          <w:lang w:val="en_US" w:bidi="en_US"/>
        </w:rPr>
        <w:t>Parts of Luke 3:1–20 are basically the same as verses in Matthew 3:1–12. But Luke 3:1–2, 10–14, and 19–20 are not in Matthew.</w:t>
      </w:r>
    </w:p>
    <w:p>
      <w:pPr>
        <w:pStyle w:val="Heading4"/>
      </w:pPr>
      <w:r>
        <w:rPr>
          <w:lang w:val="en_US" w:bidi="en_US"/>
        </w:rPr>
        <w:t>Paragraph Group 3:10–14</w:t>
      </w:r>
    </w:p>
    <w:p>
      <w:pPr/>
      <w:r>
        <w:rPr>
          <w:lang w:val="en_US" w:bidi="en_US"/>
        </w:rPr>
      </w:r>
      <w:r>
        <w:rPr>
          <w:lang w:val="en_US" w:bidi="en_US"/>
        </w:rPr>
        <w:t>In 3:10–14, three groups of people asked John the same question. They asked him what they should do. The three groups are:</w:t>
      </w:r>
    </w:p>
    <w:p>
      <w:pPr>
        <w:pStyle w:val="ListNumber"/>
        <w:numPr>
          <w:ilvl w:val="0"/>
          <w:numId w:val="82"/>
        </w:numPr>
        <w:spacing w:line="240" w:lineRule="auto"/>
        <w:ind w:left="720"/>
      </w:pPr>
      <w:r>
        <w:rPr>
          <w:lang w:val="en_US" w:bidi="en_US"/>
        </w:rPr>
      </w:r>
      <w:r>
        <w:rPr>
          <w:lang w:val="en_US" w:bidi="en_US"/>
        </w:rPr>
        <w:t>the crowd (3:10);</w:t>
      </w:r>
    </w:p>
    <w:p>
      <w:pPr>
        <w:pStyle w:val="ListNumber"/>
        <w:spacing w:line="240" w:lineRule="auto"/>
        <w:ind w:left="720"/>
      </w:pPr>
      <w:r>
        <w:rPr>
          <w:lang w:val="en_US" w:bidi="en_US"/>
        </w:rPr>
      </w:r>
      <w:r>
        <w:rPr>
          <w:lang w:val="en_US" w:bidi="en_US"/>
        </w:rPr>
        <w:t>tax collectors (3:12);</w:t>
      </w:r>
    </w:p>
    <w:p>
      <w:pPr>
        <w:pStyle w:val="ListNumber"/>
        <w:spacing w:line="240" w:lineRule="auto"/>
        <w:ind w:left="720"/>
      </w:pPr>
      <w:r>
        <w:rPr>
          <w:lang w:val="en_US" w:bidi="en_US"/>
        </w:rPr>
      </w:r>
      <w:r>
        <w:rPr>
          <w:lang w:val="en_US" w:bidi="en_US"/>
        </w:rPr>
        <w:t>soldiers (3:14).</w:t>
      </w:r>
    </w:p>
    <w:p>
      <w:pPr>
        <w:pStyle w:val="Heading5"/>
      </w:pPr>
      <w:r>
        <w:rPr>
          <w:lang w:val="en_US" w:bidi="en_US"/>
        </w:rPr>
        <w:t>3:10</w:t>
      </w:r>
    </w:p>
    <w:p>
      <w:pPr/>
      <w:r>
        <w:rPr>
          <w:lang w:val="en_US" w:bidi="en_US"/>
        </w:rPr>
      </w:r>
      <w:r>
        <w:rPr>
          <w:b/>
          <w:lang w:val="en_US" w:bidi="en_US"/>
        </w:rPr>
        <w:t>The crowds asked him, “What then should we do?”</w:t>
      </w:r>
    </w:p>
    <w:p>
      <w:pPr>
        <w:pStyle w:val="ListBullet"/>
        <w:spacing w:line="240" w:lineRule="auto"/>
        <w:ind w:left="720"/>
      </w:pPr>
      <w:r>
        <w:rPr>
          <w:lang w:val="en_US" w:bidi="en_US"/>
        </w:rPr>
      </w:r>
      <w:r>
        <w:rPr>
          <w:lang w:val="en_US" w:bidi="en_US"/>
        </w:rPr>
        <w:t xml:space="preserve">¶ The crowd asked </w:t>
      </w:r>
      <w:r>
        <w:rPr>
          <w:lang w:val="en_US" w:bidi="en_US"/>
        </w:rPr>
        <w:t>John</w:t>
      </w:r>
      <w:r>
        <w:rPr>
          <w:lang w:val="en_US" w:bidi="en_US"/>
        </w:rPr>
        <w:t>, “Then what must we</w:t>
      </w:r>
      <w:r>
        <w:rPr>
          <w:vertAlign w:val="superscript"/>
          <w:lang w:val="en_US" w:bidi="en_US"/>
        </w:rPr>
        <w:t>(excl)</w:t>
      </w:r>
      <w:r>
        <w:rPr>
          <w:lang w:val="en_US" w:bidi="en_US"/>
        </w:rPr>
        <w:t xml:space="preserve"> do?”</w:t>
      </w:r>
    </w:p>
    <w:p>
      <w:pPr>
        <w:pStyle w:val="ListBullet"/>
        <w:spacing w:line="240" w:lineRule="auto"/>
        <w:ind w:left="720"/>
      </w:pPr>
      <w:r>
        <w:rPr>
          <w:lang w:val="en_US" w:bidi="en_US"/>
        </w:rPr>
      </w:r>
      <w:r>
        <w:rPr>
          <w:lang w:val="en_US" w:bidi="en_US"/>
        </w:rPr>
        <w:t xml:space="preserve">¶ Then </w:t>
      </w:r>
      <w:r>
        <w:rPr>
          <w:lang w:val="en_US" w:bidi="en_US"/>
        </w:rPr>
        <w:t>people in</w:t>
      </w:r>
      <w:r>
        <w:rPr>
          <w:lang w:val="en_US" w:bidi="en_US"/>
        </w:rPr>
        <w:t xml:space="preserve"> the crowd asked </w:t>
      </w:r>
      <w:r>
        <w:rPr>
          <w:lang w:val="en_US" w:bidi="en_US"/>
        </w:rPr>
        <w:t>John</w:t>
      </w:r>
      <w:r>
        <w:rPr>
          <w:lang w:val="en_US" w:bidi="en_US"/>
        </w:rPr>
        <w:t>, “So how should we</w:t>
      </w:r>
      <w:r>
        <w:rPr>
          <w:vertAlign w:val="superscript"/>
          <w:lang w:val="en_US" w:bidi="en_US"/>
        </w:rPr>
        <w:t>(excl)</w:t>
      </w:r>
      <w:r>
        <w:rPr>
          <w:lang w:val="en_US" w:bidi="en_US"/>
        </w:rPr>
        <w:t xml:space="preserve"> </w:t>
      </w:r>
      <w:r>
        <w:rPr>
          <w:lang w:val="en_US" w:bidi="en_US"/>
        </w:rPr>
        <w:t>change what we are</w:t>
      </w:r>
      <w:r>
        <w:rPr>
          <w:lang w:val="en_US" w:bidi="en_US"/>
        </w:rPr>
        <w:t xml:space="preserve"> doing </w:t>
      </w:r>
      <w:r>
        <w:rPr>
          <w:lang w:val="en_US" w:bidi="en_US"/>
        </w:rPr>
        <w:t>so that God will not punish us</w:t>
      </w:r>
      <w:r>
        <w:rPr>
          <w:lang w:val="en_US" w:bidi="en_US"/>
        </w:rPr>
        <w:t>?”</w:t>
      </w:r>
    </w:p>
    <w:p>
      <w:pPr>
        <w:pStyle w:val="ListBullet"/>
        <w:spacing w:line="240" w:lineRule="auto"/>
        <w:ind w:left="720"/>
      </w:pPr>
      <w:r>
        <w:rPr>
          <w:lang w:val="en_US" w:bidi="en_US"/>
        </w:rPr>
      </w:r>
      <w:r>
        <w:rPr>
          <w:lang w:val="en_US" w:bidi="en_US"/>
        </w:rPr>
        <w:t xml:space="preserve">¶ The crowd asked him, therefore, what they should do </w:t>
      </w:r>
      <w:r>
        <w:rPr>
          <w:lang w:val="en_US" w:bidi="en_US"/>
        </w:rPr>
        <w:t>to show that they had repented</w:t>
      </w:r>
      <w:r>
        <w:rPr>
          <w:lang w:val="en_US" w:bidi="en_US"/>
        </w:rPr>
        <w:t>.</w:t>
      </w:r>
    </w:p>
    <w:p>
      <w:pPr/>
      <w:r>
        <w:rPr>
          <w:lang w:val="en_US" w:bidi="en_US"/>
        </w:rPr>
      </w:r>
      <w:r>
        <w:rPr>
          <w:b/>
          <w:lang w:val="en_US" w:bidi="en_US"/>
        </w:rPr>
        <w:t>The crowds asked him:</w:t>
      </w:r>
      <w:r>
        <w:rPr>
          <w:lang w:val="en_US" w:bidi="en_US"/>
        </w:rPr>
        <w:t xml:space="preserve"> In the Greek text, the phrase that the BSB translates as </w:t>
      </w:r>
      <w:r>
        <w:rPr>
          <w:i/>
          <w:lang w:val="en_US" w:bidi="en_US"/>
        </w:rPr>
        <w:t>The crowds asked him</w:t>
      </w:r>
      <w:r>
        <w:rPr>
          <w:lang w:val="en_US" w:bidi="en_US"/>
        </w:rPr>
        <w:t xml:space="preserve"> comes at the beginning of this verse. Some versions, such as the NIV, put it at the end of the verse. Place this phrase where it is natural in your language.</w:t>
      </w:r>
    </w:p>
    <w:p>
      <w:pPr/>
      <w:r>
        <w:rPr>
          <w:lang w:val="en_US" w:bidi="en_US"/>
        </w:rPr>
      </w:r>
      <w:r>
        <w:rPr>
          <w:b/>
          <w:lang w:val="en_US" w:bidi="en_US"/>
        </w:rPr>
        <w:t>The crowds:</w:t>
      </w:r>
      <w:r>
        <w:rPr>
          <w:lang w:val="en_US" w:bidi="en_US"/>
        </w:rPr>
        <w:t xml:space="preserve"> The Greek phrase that the BSB translates literally as </w:t>
      </w:r>
      <w:r>
        <w:rPr>
          <w:i/>
          <w:lang w:val="en_US" w:bidi="en_US"/>
        </w:rPr>
        <w:t>The crowds</w:t>
      </w:r>
      <w:r>
        <w:rPr>
          <w:lang w:val="en_US" w:bidi="en_US"/>
        </w:rPr>
        <w:t xml:space="preserve"> is plural. (See 3:7a, where Luke also used the plural form.) In this context the phrase </w:t>
      </w:r>
      <w:r>
        <w:rPr>
          <w:i/>
          <w:lang w:val="en_US" w:bidi="en_US"/>
        </w:rPr>
        <w:t>The crowds</w:t>
      </w:r>
      <w:r>
        <w:rPr>
          <w:lang w:val="en_US" w:bidi="en_US"/>
        </w:rPr>
        <w:t xml:space="preserve"> refers to some people in the crowd. Apparently they were people who sincerely wanted to repent.</w:t>
      </w:r>
    </w:p>
    <w:p>
      <w:pPr/>
      <w:r>
        <w:rPr>
          <w:lang w:val="en_US" w:bidi="en_US"/>
        </w:rPr>
      </w:r>
      <w:r>
        <w:rPr>
          <w:b/>
          <w:lang w:val="en_US" w:bidi="en_US"/>
        </w:rPr>
        <w:t>What then should we do:</w:t>
      </w:r>
      <w:r>
        <w:rPr>
          <w:lang w:val="en_US" w:bidi="en_US"/>
        </w:rPr>
        <w:t xml:space="preserve"> In this verse the people responded to John’s warnings with a serious question. The Greek word that the BSB translates as </w:t>
      </w:r>
      <w:r>
        <w:rPr>
          <w:i/>
          <w:lang w:val="en_US" w:bidi="en_US"/>
        </w:rPr>
        <w:t>then</w:t>
      </w:r>
      <w:r>
        <w:rPr>
          <w:lang w:val="en_US" w:bidi="en_US"/>
        </w:rPr>
        <w:t xml:space="preserve"> is a conjunction that indicates result. The crowd asked what they should do as a result of what John said in 3:8–10. In 3:8a, John told the crowd to show that they had truly repented. Here they asked him what they needed to do in order to show that they had repented.</w:t>
      </w:r>
    </w:p>
    <w:p>
      <w:pPr/>
      <w:r>
        <w:rPr>
          <w:lang w:val="en_US" w:bidi="en_US"/>
        </w:rPr>
      </w:r>
      <w:r>
        <w:rPr>
          <w:lang w:val="en_US" w:bidi="en_US"/>
        </w:rPr>
        <w:t>Some other ways to translate this question are:</w:t>
      </w:r>
    </w:p>
    <w:p>
      <w:pPr/>
      <w:r>
        <w:rPr>
          <w:lang w:val="en_US" w:bidi="en_US"/>
        </w:rPr>
      </w:r>
      <w:r>
        <w:rPr>
          <w:lang w:val="en_US" w:bidi="en_US"/>
        </w:rPr>
        <w:t>Then what should we do? (NCV)</w:t>
      </w:r>
    </w:p>
    <w:p>
      <w:pPr/>
      <w:r>
        <w:rPr>
          <w:lang w:val="en_US" w:bidi="en_US"/>
        </w:rPr>
      </w:r>
      <w:r>
        <w:rPr>
          <w:lang w:val="en_US" w:bidi="en_US"/>
        </w:rPr>
        <w:t>So what must we do?</w:t>
      </w:r>
      <w:r>
        <w:rPr>
          <w:lang w:val="en_US" w:bidi="en_US"/>
        </w:rPr>
      </w:r>
      <w:r>
        <w:rPr>
          <w:lang w:val="en_US" w:bidi="en_US"/>
        </w:rPr>
      </w:r>
    </w:p>
    <w:p>
      <w:pPr/>
      <w:r>
        <w:rPr>
          <w:lang w:val="en_US" w:bidi="en_US"/>
        </w:rPr>
      </w:r>
    </w:p>
    <w:p>
      <w:pPr>
        <w:pStyle w:val="Heading2"/>
      </w:pPr>
      <w:r>
        <w:rPr>
          <w:lang w:val="en_US" w:bidi="en_US"/>
        </w:rPr>
        <w:t>Luke 3:11</w:t>
      </w:r>
      <w:r>
        <w:rPr>
          <w:lang w:val="en_US" w:bidi="en_US"/>
        </w:rPr>
      </w:r>
    </w:p>
    <w:p>
      <w:pPr>
        <w:pStyle w:val="Heading4"/>
      </w:pPr>
      <w:r>
        <w:rPr>
          <w:lang w:val="en_US" w:bidi="en_US"/>
        </w:rPr>
        <w:t>Section 3:1–20: John the Baptizer prepared the way for Jesus</w:t>
      </w:r>
    </w:p>
    <w:p>
      <w:pPr/>
      <w:r>
        <w:rPr>
          <w:lang w:val="en_US" w:bidi="en_US"/>
        </w:rPr>
      </w:r>
      <w:r>
        <w:rPr>
          <w:lang w:val="en_US" w:bidi="en_US"/>
        </w:rP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Preaching of John (NCV)</w:t>
      </w:r>
    </w:p>
    <w:p>
      <w:pPr/>
      <w:r>
        <w:rPr>
          <w:lang w:val="en_US" w:bidi="en_US"/>
        </w:rPr>
      </w:r>
      <w:r>
        <w:rPr>
          <w:lang w:val="en_US" w:bidi="en_US"/>
        </w:rPr>
        <w:t>John the Baptist and Jesus (REB)</w:t>
      </w:r>
    </w:p>
    <w:p>
      <w:pPr/>
      <w:r>
        <w:rPr>
          <w:lang w:val="en_US" w:bidi="en_US"/>
        </w:rPr>
      </w:r>
      <w:r>
        <w:rPr>
          <w:lang w:val="en_US" w:bidi="en_US"/>
        </w:rPr>
        <w:t>John the Baptizer tells people to prepare themselves for the Messiah</w:t>
      </w:r>
    </w:p>
    <w:p>
      <w:pPr/>
      <w:r>
        <w:rPr>
          <w:lang w:val="en_US" w:bidi="en_US"/>
        </w:rPr>
      </w:r>
      <w:r>
        <w:rPr>
          <w:lang w:val="en_US" w:bidi="en_US"/>
        </w:rPr>
        <w:t>Parts of Luke 3:1–20 are basically the same as verses in Matthew 3:1–12. But Luke 3:1–2, 10–14, and 19–20 are not in Matthew.</w:t>
      </w:r>
    </w:p>
    <w:p>
      <w:pPr>
        <w:pStyle w:val="Heading4"/>
      </w:pPr>
      <w:r>
        <w:rPr>
          <w:lang w:val="en_US" w:bidi="en_US"/>
        </w:rPr>
        <w:t>Paragraph Group 3:10–14</w:t>
      </w:r>
    </w:p>
    <w:p>
      <w:pPr/>
      <w:r>
        <w:rPr>
          <w:lang w:val="en_US" w:bidi="en_US"/>
        </w:rPr>
      </w:r>
      <w:r>
        <w:rPr>
          <w:lang w:val="en_US" w:bidi="en_US"/>
        </w:rPr>
        <w:t>In 3:10–14, three groups of people asked John the same question. They asked him what they should do. The three groups are:</w:t>
      </w:r>
    </w:p>
    <w:p>
      <w:pPr>
        <w:pStyle w:val="ListNumber"/>
        <w:numPr>
          <w:ilvl w:val="0"/>
          <w:numId w:val="83"/>
        </w:numPr>
        <w:spacing w:line="240" w:lineRule="auto"/>
        <w:ind w:left="720"/>
      </w:pPr>
      <w:r>
        <w:rPr>
          <w:lang w:val="en_US" w:bidi="en_US"/>
        </w:rPr>
      </w:r>
      <w:r>
        <w:rPr>
          <w:lang w:val="en_US" w:bidi="en_US"/>
        </w:rPr>
        <w:t>the crowd (3:10);</w:t>
      </w:r>
    </w:p>
    <w:p>
      <w:pPr>
        <w:pStyle w:val="ListNumber"/>
        <w:spacing w:line="240" w:lineRule="auto"/>
        <w:ind w:left="720"/>
      </w:pPr>
      <w:r>
        <w:rPr>
          <w:lang w:val="en_US" w:bidi="en_US"/>
        </w:rPr>
      </w:r>
      <w:r>
        <w:rPr>
          <w:lang w:val="en_US" w:bidi="en_US"/>
        </w:rPr>
        <w:t>tax collectors (3:12);</w:t>
      </w:r>
    </w:p>
    <w:p>
      <w:pPr>
        <w:pStyle w:val="ListNumber"/>
        <w:spacing w:line="240" w:lineRule="auto"/>
        <w:ind w:left="720"/>
      </w:pPr>
      <w:r>
        <w:rPr>
          <w:lang w:val="en_US" w:bidi="en_US"/>
        </w:rPr>
      </w:r>
      <w:r>
        <w:rPr>
          <w:lang w:val="en_US" w:bidi="en_US"/>
        </w:rPr>
        <w:t>soldiers (3:14).</w:t>
      </w:r>
    </w:p>
    <w:p>
      <w:pPr>
        <w:pStyle w:val="Heading5"/>
      </w:pPr>
      <w:r>
        <w:rPr>
          <w:lang w:val="en_US" w:bidi="en_US"/>
        </w:rPr>
        <w:t>3:11a</w:t>
      </w:r>
    </w:p>
    <w:p>
      <w:pPr/>
      <w:r>
        <w:rPr>
          <w:lang w:val="en_US" w:bidi="en_US"/>
        </w:rPr>
      </w:r>
      <w:r>
        <w:rPr>
          <w:b/>
          <w:lang w:val="en_US" w:bidi="en_US"/>
        </w:rPr>
        <w:t>John replied, “Whoever has two tunics should share with him who has none,</w:t>
      </w:r>
    </w:p>
    <w:p>
      <w:pPr>
        <w:pStyle w:val="ListBullet"/>
        <w:spacing w:line="240" w:lineRule="auto"/>
        <w:ind w:left="720"/>
      </w:pPr>
      <w:r>
        <w:rPr>
          <w:lang w:val="en_US" w:bidi="en_US"/>
        </w:rPr>
      </w:r>
      <w:r>
        <w:rPr>
          <w:lang w:val="en_US" w:bidi="en_US"/>
        </w:rPr>
        <w:t xml:space="preserve">John answered </w:t>
      </w:r>
      <w:r>
        <w:rPr>
          <w:lang w:val="en_US" w:bidi="en_US"/>
        </w:rPr>
        <w:t>them</w:t>
      </w:r>
      <w:r>
        <w:rPr>
          <w:lang w:val="en_US" w:bidi="en_US"/>
        </w:rPr>
        <w:t>, “Whoever has two shirts should give one to someone who has no shirt.</w:t>
      </w:r>
    </w:p>
    <w:p>
      <w:pPr>
        <w:pStyle w:val="ListBullet"/>
        <w:spacing w:line="240" w:lineRule="auto"/>
        <w:ind w:left="720"/>
      </w:pPr>
      <w:r>
        <w:rPr>
          <w:lang w:val="en_US" w:bidi="en_US"/>
        </w:rPr>
      </w:r>
      <w:r>
        <w:rPr>
          <w:lang w:val="en_US" w:bidi="en_US"/>
        </w:rPr>
        <w:t>John said to them, “If you</w:t>
      </w:r>
      <w:r>
        <w:rPr>
          <w:vertAlign w:val="superscript"/>
          <w:lang w:val="en_US" w:bidi="en_US"/>
        </w:rPr>
        <w:t>(plur)</w:t>
      </w:r>
      <w:r>
        <w:rPr>
          <w:lang w:val="en_US" w:bidi="en_US"/>
        </w:rPr>
        <w:t xml:space="preserve"> have two shirts, you should give one to someone who does not have </w:t>
      </w:r>
      <w:r>
        <w:rPr>
          <w:lang w:val="en_US" w:bidi="en_US"/>
        </w:rPr>
        <w:t>even</w:t>
      </w:r>
      <w:r>
        <w:rPr>
          <w:lang w:val="en_US" w:bidi="en_US"/>
        </w:rPr>
        <w:t xml:space="preserve"> one </w:t>
      </w:r>
      <w:r>
        <w:rPr>
          <w:lang w:val="en_US" w:bidi="en_US"/>
        </w:rPr>
        <w:t>shirt</w:t>
      </w:r>
      <w:r>
        <w:rPr>
          <w:lang w:val="en_US" w:bidi="en_US"/>
        </w:rPr>
        <w:t>..</w:t>
      </w:r>
    </w:p>
    <w:p>
      <w:pPr>
        <w:pStyle w:val="ListBullet"/>
        <w:spacing w:line="240" w:lineRule="auto"/>
        <w:ind w:left="720"/>
      </w:pPr>
      <w:r>
        <w:rPr>
          <w:lang w:val="en_US" w:bidi="en_US"/>
        </w:rPr>
      </w:r>
      <w:r>
        <w:rPr>
          <w:lang w:val="en_US" w:bidi="en_US"/>
        </w:rPr>
        <w:t>John told them that if they had two tunics, they should give one to someone who did not have one.</w:t>
      </w:r>
    </w:p>
    <w:p>
      <w:pPr/>
      <w:r>
        <w:rPr>
          <w:lang w:val="en_US" w:bidi="en_US"/>
        </w:rPr>
      </w:r>
      <w:r>
        <w:rPr>
          <w:b/>
          <w:lang w:val="en_US" w:bidi="en_US"/>
        </w:rPr>
        <w:t>John replied:</w:t>
      </w:r>
      <w:r>
        <w:rPr>
          <w:lang w:val="en_US" w:bidi="en_US"/>
        </w:rPr>
        <w:t xml:space="preserve"> John answered the crowd.</w:t>
      </w:r>
    </w:p>
    <w:p>
      <w:pPr/>
      <w:r>
        <w:rPr>
          <w:lang w:val="en_US" w:bidi="en_US"/>
        </w:rPr>
      </w:r>
      <w:r>
        <w:rPr>
          <w:b/>
          <w:lang w:val="en_US" w:bidi="en_US"/>
        </w:rPr>
        <w:t>Whoever has two tunics should share with him who has none:</w:t>
      </w:r>
      <w:r>
        <w:rPr>
          <w:lang w:val="en_US" w:bidi="en_US"/>
        </w:rPr>
        <w:t xml:space="preserve"> John meant that a person who had two tunics should give one of them to someone who does not have any tunic. John did not imply that the two people should share the tunics and wear them at different times. Another way to translate this is:</w:t>
      </w:r>
    </w:p>
    <w:p>
      <w:pPr/>
      <w:r>
        <w:rPr>
          <w:lang w:val="en_US" w:bidi="en_US"/>
        </w:rPr>
      </w:r>
      <w:r>
        <w:rPr>
          <w:lang w:val="en_US" w:bidi="en_US"/>
        </w:rPr>
        <w:t>The man who has two tunics should give one of them to a man who has none.</w:t>
      </w:r>
    </w:p>
    <w:p>
      <w:pPr/>
      <w:r>
        <w:rPr>
          <w:lang w:val="en_US" w:bidi="en_US"/>
        </w:rPr>
      </w:r>
      <w:r>
        <w:rPr>
          <w:b/>
          <w:lang w:val="en_US" w:bidi="en_US"/>
        </w:rPr>
        <w:t>Whoever has two tunics:</w:t>
      </w:r>
      <w:r>
        <w:rPr>
          <w:lang w:val="en_US" w:bidi="en_US"/>
        </w:rPr>
        <w:t xml:space="preserve"> The Greek phrase that the BSB translates as </w:t>
      </w:r>
      <w:r>
        <w:rPr>
          <w:i/>
          <w:lang w:val="en_US" w:bidi="en_US"/>
        </w:rPr>
        <w:t>Whoever has two tunics</w:t>
      </w:r>
      <w:r>
        <w:rPr>
          <w:lang w:val="en_US" w:bidi="en_US"/>
        </w:rPr>
        <w:t xml:space="preserve"> is more literally “the (one/person) having two tunics.” It can refer to any person, either male or female. Some other ways to translate this are:</w:t>
      </w:r>
    </w:p>
    <w:p>
      <w:pPr/>
      <w:r>
        <w:rPr>
          <w:lang w:val="en_US" w:bidi="en_US"/>
        </w:rPr>
      </w:r>
      <w:r>
        <w:rPr>
          <w:lang w:val="en_US" w:bidi="en_US"/>
        </w:rPr>
        <w:t>Whoever has two shirts (GW)</w:t>
      </w:r>
    </w:p>
    <w:p>
      <w:pPr/>
      <w:r>
        <w:rPr>
          <w:lang w:val="en_US" w:bidi="en_US"/>
        </w:rPr>
      </w:r>
      <w:r>
        <w:rPr>
          <w:lang w:val="en_US" w:bidi="en_US"/>
        </w:rPr>
        <w:t>If you have two shirts (NLT)</w:t>
      </w:r>
    </w:p>
    <w:p>
      <w:pPr/>
      <w:r>
        <w:rPr>
          <w:lang w:val="en_US" w:bidi="en_US"/>
        </w:rPr>
      </w:r>
      <w:r>
        <w:rPr>
          <w:b/>
          <w:lang w:val="en_US" w:bidi="en_US"/>
        </w:rPr>
        <w:t>tunics:</w:t>
      </w:r>
      <w:r>
        <w:rPr>
          <w:lang w:val="en_US" w:bidi="en_US"/>
        </w:rPr>
        <w:t xml:space="preserve"> The word </w:t>
      </w:r>
      <w:r>
        <w:rPr>
          <w:i/>
          <w:lang w:val="en_US" w:bidi="en_US"/>
        </w:rPr>
        <w:t>tunics</w:t>
      </w:r>
      <w:r>
        <w:rPr>
          <w:lang w:val="en_US" w:bidi="en_US"/>
        </w:rPr>
        <w:t xml:space="preserve"> describes an item of clothing that both men and women wore next to the skin. The closest modern English word may be “shirt.” Use a word in your language that refers to a basic item of clothing that everyone needs.</w:t>
      </w:r>
    </w:p>
    <w:p>
      <w:pPr/>
      <w:r>
        <w:rPr>
          <w:lang w:val="en_US" w:bidi="en_US"/>
        </w:rPr>
      </w:r>
      <w:r>
        <w:rPr>
          <w:b/>
          <w:lang w:val="en_US" w:bidi="en_US"/>
        </w:rPr>
        <w:t>him who has none:</w:t>
      </w:r>
      <w:r>
        <w:rPr>
          <w:lang w:val="en_US" w:bidi="en_US"/>
        </w:rPr>
        <w:t xml:space="preserve"> The phrase </w:t>
      </w:r>
      <w:r>
        <w:rPr>
          <w:i/>
          <w:lang w:val="en_US" w:bidi="en_US"/>
        </w:rPr>
        <w:t>him who has none</w:t>
      </w:r>
      <w:r>
        <w:rPr>
          <w:lang w:val="en_US" w:bidi="en_US"/>
        </w:rPr>
        <w:t xml:space="preserve"> refers to anyone who does not have a tunic. Another way to say this is:</w:t>
      </w:r>
    </w:p>
    <w:p>
      <w:pPr/>
      <w:r>
        <w:rPr>
          <w:lang w:val="en_US" w:bidi="en_US"/>
        </w:rPr>
      </w:r>
      <w:r>
        <w:rPr>
          <w:lang w:val="en_US" w:bidi="en_US"/>
        </w:rPr>
        <w:t xml:space="preserve">a person who does not have </w:t>
      </w:r>
      <w:r>
        <w:rPr>
          <w:lang w:val="en_US" w:bidi="en_US"/>
        </w:rPr>
        <w:t>even</w:t>
      </w:r>
      <w:r>
        <w:rPr>
          <w:lang w:val="en_US" w:bidi="en_US"/>
        </w:rPr>
        <w:t xml:space="preserve"> one tunic</w:t>
      </w:r>
    </w:p>
    <w:p>
      <w:pPr>
        <w:pStyle w:val="Heading5"/>
      </w:pPr>
      <w:r>
        <w:rPr>
          <w:lang w:val="en_US" w:bidi="en_US"/>
        </w:rPr>
        <w:t>3:11b</w:t>
      </w:r>
    </w:p>
    <w:p>
      <w:pPr/>
      <w:r>
        <w:rPr>
          <w:lang w:val="en_US" w:bidi="en_US"/>
        </w:rPr>
      </w:r>
      <w:r>
        <w:rPr>
          <w:b/>
          <w:lang w:val="en_US" w:bidi="en_US"/>
        </w:rPr>
        <w:t>and whoever has food should do the same.”</w:t>
      </w:r>
    </w:p>
    <w:p>
      <w:pPr>
        <w:pStyle w:val="ListBullet"/>
        <w:spacing w:line="240" w:lineRule="auto"/>
        <w:ind w:left="720"/>
      </w:pPr>
      <w:r>
        <w:rPr>
          <w:lang w:val="en_US" w:bidi="en_US"/>
        </w:rPr>
      </w:r>
      <w:r>
        <w:rPr>
          <w:lang w:val="en_US" w:bidi="en_US"/>
        </w:rPr>
        <w:t>And whoever has food should share it with someone who has none.”</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have enough food, you should give some </w:t>
      </w:r>
      <w:r>
        <w:rPr>
          <w:lang w:val="en_US" w:bidi="en_US"/>
        </w:rPr>
        <w:t>of it</w:t>
      </w:r>
      <w:r>
        <w:rPr>
          <w:lang w:val="en_US" w:bidi="en_US"/>
        </w:rPr>
        <w:t xml:space="preserve"> </w:t>
      </w:r>
      <w:r>
        <w:rPr>
          <w:lang w:val="en_US" w:bidi="en_US"/>
        </w:rPr>
        <w:t>to a person who does not have enough</w:t>
      </w:r>
      <w:r>
        <w:rPr>
          <w:lang w:val="en_US" w:bidi="en_US"/>
        </w:rPr>
        <w:t>.”</w:t>
      </w:r>
    </w:p>
    <w:p>
      <w:pPr>
        <w:pStyle w:val="ListBullet"/>
        <w:spacing w:line="240" w:lineRule="auto"/>
        <w:ind w:left="720"/>
      </w:pPr>
      <w:r>
        <w:rPr>
          <w:lang w:val="en_US" w:bidi="en_US"/>
        </w:rPr>
      </w:r>
      <w:r>
        <w:rPr>
          <w:lang w:val="en_US" w:bidi="en_US"/>
        </w:rPr>
        <w:t xml:space="preserve">He also said that if they had food, they should give some </w:t>
      </w:r>
      <w:r>
        <w:rPr>
          <w:lang w:val="en_US" w:bidi="en_US"/>
        </w:rPr>
        <w:t>of it</w:t>
      </w:r>
      <w:r>
        <w:rPr>
          <w:lang w:val="en_US" w:bidi="en_US"/>
        </w:rPr>
        <w:t xml:space="preserve"> </w:t>
      </w:r>
      <w:r>
        <w:rPr>
          <w:lang w:val="en_US" w:bidi="en_US"/>
        </w:rPr>
        <w:t>to a person who did not have any</w:t>
      </w:r>
      <w:r>
        <w:rPr>
          <w:lang w:val="en_US" w:bidi="en_US"/>
        </w:rPr>
        <w:t>.</w:t>
      </w:r>
    </w:p>
    <w:p>
      <w:pPr/>
      <w:r>
        <w:rPr>
          <w:lang w:val="en_US" w:bidi="en_US"/>
        </w:rPr>
      </w:r>
      <w:r>
        <w:rPr>
          <w:lang w:val="en_US" w:bidi="en_US"/>
        </w:rPr>
        <w:t>In some languages, it may be more natural to start a new sentence here. For example:</w:t>
      </w:r>
    </w:p>
    <w:p>
      <w:pPr/>
      <w:r>
        <w:rPr>
          <w:lang w:val="en_US" w:bidi="en_US"/>
        </w:rPr>
      </w:r>
      <w:r>
        <w:rPr>
          <w:lang w:val="en_US" w:bidi="en_US"/>
        </w:rPr>
        <w:t>If you have food</w:t>
      </w:r>
    </w:p>
    <w:p>
      <w:pPr/>
      <w:r>
        <w:rPr>
          <w:lang w:val="en_US" w:bidi="en_US"/>
        </w:rPr>
      </w:r>
      <w:r>
        <w:rPr>
          <w:lang w:val="en_US" w:bidi="en_US"/>
        </w:rPr>
        <w:t>Whoever has food (GW)</w:t>
      </w:r>
    </w:p>
    <w:p>
      <w:pPr/>
      <w:r>
        <w:rPr>
          <w:lang w:val="en_US" w:bidi="en_US"/>
        </w:rPr>
      </w:r>
      <w:r>
        <w:rPr>
          <w:b/>
          <w:lang w:val="en_US" w:bidi="en_US"/>
        </w:rPr>
        <w:t>and whoever has food:</w:t>
      </w:r>
      <w:r>
        <w:rPr>
          <w:lang w:val="en_US" w:bidi="en_US"/>
        </w:rPr>
        <w:t xml:space="preserve"> The phrase </w:t>
      </w:r>
      <w:r>
        <w:rPr>
          <w:i/>
          <w:lang w:val="en_US" w:bidi="en_US"/>
        </w:rPr>
        <w:t>whoever has food</w:t>
      </w:r>
      <w:r>
        <w:rPr>
          <w:lang w:val="en_US" w:bidi="en_US"/>
        </w:rPr>
        <w:t xml:space="preserve"> means “anyone who has food.” The phrase is parallel to “whoever has two tunics” in the previous verse. This suggests that John was talking about anyone who had more food than one person needed.</w:t>
      </w:r>
    </w:p>
    <w:p>
      <w:pPr/>
      <w:r>
        <w:rPr>
          <w:lang w:val="en_US" w:bidi="en_US"/>
        </w:rPr>
      </w:r>
      <w:r>
        <w:rPr>
          <w:lang w:val="en_US" w:bidi="en_US"/>
        </w:rPr>
        <w:t>Other ways to translate this are:</w:t>
      </w:r>
    </w:p>
    <w:p>
      <w:pPr/>
      <w:r>
        <w:rPr>
          <w:lang w:val="en_US" w:bidi="en_US"/>
        </w:rPr>
      </w:r>
      <w:r>
        <w:rPr>
          <w:lang w:val="en_US" w:bidi="en_US"/>
        </w:rPr>
        <w:t>If you have extra food (LB)</w:t>
      </w:r>
    </w:p>
    <w:p>
      <w:pPr/>
      <w:r>
        <w:rPr>
          <w:lang w:val="en_US" w:bidi="en_US"/>
        </w:rPr>
      </w:r>
      <w:r>
        <w:rPr>
          <w:lang w:val="en_US" w:bidi="en_US"/>
        </w:rPr>
        <w:t>and the person who has food</w:t>
      </w:r>
    </w:p>
    <w:p>
      <w:pPr/>
      <w:r>
        <w:rPr>
          <w:lang w:val="en_US" w:bidi="en_US"/>
        </w:rPr>
      </w:r>
      <w:r>
        <w:rPr>
          <w:lang w:val="en_US" w:bidi="en_US"/>
        </w:rPr>
        <w:t>and anyone with something to eat (NJB)</w:t>
      </w:r>
    </w:p>
    <w:p>
      <w:pPr/>
      <w:r>
        <w:rPr>
          <w:lang w:val="en_US" w:bidi="en_US"/>
        </w:rPr>
      </w:r>
      <w:r>
        <w:rPr>
          <w:b/>
          <w:lang w:val="en_US" w:bidi="en_US"/>
        </w:rPr>
        <w:t>should do the same:</w:t>
      </w:r>
      <w:r>
        <w:rPr>
          <w:lang w:val="en_US" w:bidi="en_US"/>
        </w:rPr>
        <w:t xml:space="preserve"> The phrase </w:t>
      </w:r>
      <w:r>
        <w:rPr>
          <w:i/>
          <w:lang w:val="en_US" w:bidi="en_US"/>
        </w:rPr>
        <w:t>should do the same</w:t>
      </w:r>
      <w:r>
        <w:rPr>
          <w:lang w:val="en_US" w:bidi="en_US"/>
        </w:rPr>
        <w:t xml:space="preserve"> refers to giving something to someone in need, as the person with two tunics did. That is, the person who has more food than he needs should give food to the person who does not have enough food.</w:t>
      </w:r>
    </w:p>
    <w:p>
      <w:pPr/>
      <w:r>
        <w:rPr>
          <w:lang w:val="en_US" w:bidi="en_US"/>
        </w:rPr>
      </w:r>
      <w:r>
        <w:rPr>
          <w:lang w:val="en_US" w:bidi="en_US"/>
        </w:rPr>
        <w:t>Other ways to say this are:</w:t>
      </w:r>
    </w:p>
    <w:p>
      <w:pPr/>
      <w:r>
        <w:rPr>
          <w:lang w:val="en_US" w:bidi="en_US"/>
        </w:rPr>
      </w:r>
      <w:r>
        <w:rPr>
          <w:lang w:val="en_US" w:bidi="en_US"/>
        </w:rPr>
        <w:t>should share his food with a person who has none</w:t>
      </w:r>
    </w:p>
    <w:p>
      <w:pPr/>
      <w:r>
        <w:rPr>
          <w:lang w:val="en_US" w:bidi="en_US"/>
        </w:rPr>
      </w:r>
      <w:r>
        <w:rPr>
          <w:lang w:val="en_US" w:bidi="en_US"/>
        </w:rPr>
        <w:t>should give some of it away to a hungry person</w:t>
      </w:r>
    </w:p>
    <w:p>
      <w:pPr>
        <w:pStyle w:val="Heading6"/>
      </w:pPr>
      <w:r>
        <w:rPr>
          <w:b/>
          <w:lang w:val="en_US" w:bidi="en_US"/>
        </w:rPr>
        <w:t>General Comment on 3:11a–b</w:t>
      </w:r>
    </w:p>
    <w:p>
      <w:pPr/>
      <w:r>
        <w:rPr>
          <w:lang w:val="en_US" w:bidi="en_US"/>
        </w:rPr>
      </w:r>
      <w:r>
        <w:rPr>
          <w:lang w:val="en_US" w:bidi="en_US"/>
        </w:rPr>
        <w:t>The people had asked John what they should do. Therefore it may be natural for John to answer them using a plural form such as “you.” For example:</w:t>
      </w:r>
    </w:p>
    <w:p>
      <w:pPr/>
      <w:r>
        <w:rPr>
          <w:lang w:val="en_US" w:bidi="en_US"/>
        </w:rPr>
      </w:r>
      <w:r>
        <w:rPr>
          <w:vertAlign w:val="superscript"/>
          <w:lang w:val="en_US" w:bidi="en_US"/>
        </w:rPr>
        <w:t>11a</w:t>
      </w:r>
      <w:r>
        <w:rPr>
          <w:lang w:val="en_US" w:bidi="en_US"/>
        </w:rPr>
        <w:t>If you</w:t>
      </w:r>
      <w:r>
        <w:rPr>
          <w:vertAlign w:val="superscript"/>
          <w:lang w:val="en_US" w:bidi="en_US"/>
        </w:rPr>
        <w:t>(plur)</w:t>
      </w:r>
      <w:r>
        <w:rPr>
          <w:lang w:val="en_US" w:bidi="en_US"/>
        </w:rPr>
        <w:t xml:space="preserve"> have two tunics, you</w:t>
      </w:r>
      <w:r>
        <w:rPr>
          <w:vertAlign w:val="superscript"/>
          <w:lang w:val="en_US" w:bidi="en_US"/>
        </w:rPr>
        <w:t>(plur)</w:t>
      </w:r>
      <w:r>
        <w:rPr>
          <w:lang w:val="en_US" w:bidi="en_US"/>
        </w:rPr>
        <w:t xml:space="preserve"> should give one of them to someone who does not have one. </w:t>
      </w:r>
      <w:r>
        <w:rPr>
          <w:vertAlign w:val="superscript"/>
          <w:lang w:val="en_US" w:bidi="en_US"/>
        </w:rPr>
        <w:t>11b</w:t>
      </w:r>
      <w:r>
        <w:rPr>
          <w:lang w:val="en_US" w:bidi="en_US"/>
        </w:rPr>
        <w:t>If you</w:t>
      </w:r>
      <w:r>
        <w:rPr>
          <w:vertAlign w:val="superscript"/>
          <w:lang w:val="en_US" w:bidi="en_US"/>
        </w:rPr>
        <w:t>(plur)</w:t>
      </w:r>
      <w:r>
        <w:rPr>
          <w:lang w:val="en_US" w:bidi="en_US"/>
        </w:rPr>
        <w:t xml:space="preserve"> have more than enough food, you should give some of that away too.</w:t>
      </w:r>
      <w:r>
        <w:rPr>
          <w:lang w:val="en_US" w:bidi="en_US"/>
        </w:rPr>
      </w:r>
      <w:r>
        <w:rPr>
          <w:lang w:val="en_US" w:bidi="en_US"/>
        </w:rPr>
      </w:r>
    </w:p>
    <w:p>
      <w:pPr/>
      <w:r>
        <w:rPr>
          <w:lang w:val="en_US" w:bidi="en_US"/>
        </w:rPr>
      </w:r>
    </w:p>
    <w:p>
      <w:pPr>
        <w:pStyle w:val="Heading2"/>
      </w:pPr>
      <w:r>
        <w:rPr>
          <w:lang w:val="en_US" w:bidi="en_US"/>
        </w:rPr>
        <w:t>Luke 3:12</w:t>
      </w:r>
      <w:r>
        <w:rPr>
          <w:lang w:val="en_US" w:bidi="en_US"/>
        </w:rPr>
      </w:r>
    </w:p>
    <w:p>
      <w:pPr>
        <w:pStyle w:val="Heading4"/>
      </w:pPr>
      <w:r>
        <w:rPr>
          <w:lang w:val="en_US" w:bidi="en_US"/>
        </w:rPr>
        <w:t>Section 3:1–20: John the Baptizer prepared the way for Jesus</w:t>
      </w:r>
    </w:p>
    <w:p>
      <w:pPr/>
      <w:r>
        <w:rPr>
          <w:lang w:val="en_US" w:bidi="en_US"/>
        </w:rPr>
      </w:r>
      <w:r>
        <w:rPr>
          <w:lang w:val="en_US" w:bidi="en_US"/>
        </w:rP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Preaching of John (NCV)</w:t>
      </w:r>
    </w:p>
    <w:p>
      <w:pPr/>
      <w:r>
        <w:rPr>
          <w:lang w:val="en_US" w:bidi="en_US"/>
        </w:rPr>
      </w:r>
      <w:r>
        <w:rPr>
          <w:lang w:val="en_US" w:bidi="en_US"/>
        </w:rPr>
        <w:t>John the Baptist and Jesus (REB)</w:t>
      </w:r>
    </w:p>
    <w:p>
      <w:pPr/>
      <w:r>
        <w:rPr>
          <w:lang w:val="en_US" w:bidi="en_US"/>
        </w:rPr>
      </w:r>
      <w:r>
        <w:rPr>
          <w:lang w:val="en_US" w:bidi="en_US"/>
        </w:rPr>
        <w:t>John the Baptizer tells people to prepare themselves for the Messiah</w:t>
      </w:r>
    </w:p>
    <w:p>
      <w:pPr/>
      <w:r>
        <w:rPr>
          <w:lang w:val="en_US" w:bidi="en_US"/>
        </w:rPr>
      </w:r>
      <w:r>
        <w:rPr>
          <w:lang w:val="en_US" w:bidi="en_US"/>
        </w:rPr>
        <w:t>Parts of Luke 3:1–20 are basically the same as verses in Matthew 3:1–12. But Luke 3:1–2, 10–14, and 19–20 are not in Matthew.</w:t>
      </w:r>
    </w:p>
    <w:p>
      <w:pPr>
        <w:pStyle w:val="Heading4"/>
      </w:pPr>
      <w:r>
        <w:rPr>
          <w:lang w:val="en_US" w:bidi="en_US"/>
        </w:rPr>
        <w:t>Paragraph Group 3:10–14</w:t>
      </w:r>
    </w:p>
    <w:p>
      <w:pPr/>
      <w:r>
        <w:rPr>
          <w:lang w:val="en_US" w:bidi="en_US"/>
        </w:rPr>
      </w:r>
      <w:r>
        <w:rPr>
          <w:lang w:val="en_US" w:bidi="en_US"/>
        </w:rPr>
        <w:t>In 3:10–14, three groups of people asked John the same question. They asked him what they should do. The three groups are:</w:t>
      </w:r>
    </w:p>
    <w:p>
      <w:pPr>
        <w:pStyle w:val="ListNumber"/>
        <w:numPr>
          <w:ilvl w:val="0"/>
          <w:numId w:val="84"/>
        </w:numPr>
        <w:spacing w:line="240" w:lineRule="auto"/>
        <w:ind w:left="720"/>
      </w:pPr>
      <w:r>
        <w:rPr>
          <w:lang w:val="en_US" w:bidi="en_US"/>
        </w:rPr>
      </w:r>
      <w:r>
        <w:rPr>
          <w:lang w:val="en_US" w:bidi="en_US"/>
        </w:rPr>
        <w:t>the crowd (3:10);</w:t>
      </w:r>
    </w:p>
    <w:p>
      <w:pPr>
        <w:pStyle w:val="ListNumber"/>
        <w:spacing w:line="240" w:lineRule="auto"/>
        <w:ind w:left="720"/>
      </w:pPr>
      <w:r>
        <w:rPr>
          <w:lang w:val="en_US" w:bidi="en_US"/>
        </w:rPr>
      </w:r>
      <w:r>
        <w:rPr>
          <w:lang w:val="en_US" w:bidi="en_US"/>
        </w:rPr>
        <w:t>tax collectors (3:12);</w:t>
      </w:r>
    </w:p>
    <w:p>
      <w:pPr>
        <w:pStyle w:val="ListNumber"/>
        <w:spacing w:line="240" w:lineRule="auto"/>
        <w:ind w:left="720"/>
      </w:pPr>
      <w:r>
        <w:rPr>
          <w:lang w:val="en_US" w:bidi="en_US"/>
        </w:rPr>
      </w:r>
      <w:r>
        <w:rPr>
          <w:lang w:val="en_US" w:bidi="en_US"/>
        </w:rPr>
        <w:t>soldiers (3:14).</w:t>
      </w:r>
    </w:p>
    <w:p>
      <w:pPr>
        <w:pStyle w:val="Heading5"/>
      </w:pPr>
      <w:r>
        <w:rPr>
          <w:lang w:val="en_US" w:bidi="en_US"/>
        </w:rPr>
        <w:t>3:12a</w:t>
      </w:r>
    </w:p>
    <w:p>
      <w:pPr/>
      <w:r>
        <w:rPr>
          <w:lang w:val="en_US" w:bidi="en_US"/>
        </w:rPr>
      </w:r>
      <w:r>
        <w:rPr>
          <w:b/>
          <w:lang w:val="en_US" w:bidi="en_US"/>
        </w:rPr>
        <w:t>Even tax collectors came to be baptized.</w:t>
      </w:r>
    </w:p>
    <w:p>
      <w:pPr>
        <w:pStyle w:val="ListBullet"/>
        <w:spacing w:line="240" w:lineRule="auto"/>
        <w:ind w:left="720"/>
      </w:pPr>
      <w:r>
        <w:rPr>
          <w:lang w:val="en_US" w:bidi="en_US"/>
        </w:rPr>
      </w:r>
      <w:r>
        <w:rPr>
          <w:lang w:val="en_US" w:bidi="en_US"/>
        </w:rPr>
        <w:t xml:space="preserve">¶ Some tax collectors also came </w:t>
      </w:r>
      <w:r>
        <w:rPr>
          <w:lang w:val="en_US" w:bidi="en_US"/>
        </w:rPr>
        <w:t>for John</w:t>
      </w:r>
      <w:r>
        <w:rPr>
          <w:lang w:val="en_US" w:bidi="en_US"/>
        </w:rPr>
        <w:t xml:space="preserve"> to baptize them.</w:t>
      </w:r>
    </w:p>
    <w:p>
      <w:pPr>
        <w:pStyle w:val="ListBullet"/>
        <w:spacing w:line="240" w:lineRule="auto"/>
        <w:ind w:left="720"/>
      </w:pPr>
      <w:r>
        <w:rPr>
          <w:lang w:val="en_US" w:bidi="en_US"/>
        </w:rPr>
      </w:r>
      <w:r>
        <w:rPr>
          <w:lang w:val="en_US" w:bidi="en_US"/>
        </w:rPr>
        <w:t xml:space="preserve">¶ Some men who collected money for the government also came </w:t>
      </w:r>
      <w:r>
        <w:rPr>
          <w:lang w:val="en_US" w:bidi="en_US"/>
        </w:rPr>
        <w:t>to John in order for him</w:t>
      </w:r>
      <w:r>
        <w:rPr>
          <w:lang w:val="en_US" w:bidi="en_US"/>
        </w:rPr>
        <w:t xml:space="preserve"> to baptize them.</w:t>
      </w:r>
    </w:p>
    <w:p>
      <w:pPr/>
      <w:r>
        <w:rPr>
          <w:lang w:val="en_US" w:bidi="en_US"/>
        </w:rPr>
      </w:r>
      <w:r>
        <w:rPr>
          <w:b/>
          <w:lang w:val="en_US" w:bidi="en_US"/>
        </w:rPr>
        <w:t>Even tax collectors:</w:t>
      </w:r>
      <w:r>
        <w:rPr>
          <w:lang w:val="en_US" w:bidi="en_US"/>
        </w:rPr>
        <w:t xml:space="preserve"> The Greek word that the BSB translates as </w:t>
      </w:r>
      <w:r>
        <w:rPr>
          <w:i/>
          <w:lang w:val="en_US" w:bidi="en_US"/>
        </w:rPr>
        <w:t>tax collectors</w:t>
      </w:r>
      <w:r>
        <w:rPr>
          <w:lang w:val="en_US" w:bidi="en_US"/>
        </w:rPr>
        <w:t xml:space="preserve"> refers to Jewish men who collected tax money from people for the government. Most people hated tax collectors because:</w:t>
      </w:r>
    </w:p>
    <w:p>
      <w:pPr>
        <w:pStyle w:val="ListNumber"/>
        <w:numPr>
          <w:ilvl w:val="0"/>
          <w:numId w:val="85"/>
        </w:numPr>
        <w:spacing w:line="240" w:lineRule="auto"/>
        <w:ind w:left="720"/>
      </w:pPr>
      <w:r>
        <w:rPr>
          <w:lang w:val="en_US" w:bidi="en_US"/>
        </w:rPr>
      </w:r>
      <w:r>
        <w:rPr>
          <w:lang w:val="en_US" w:bidi="en_US"/>
        </w:rPr>
        <w:t>the tax collectors worked for a government that oppressed the people;</w:t>
      </w:r>
    </w:p>
    <w:p>
      <w:pPr>
        <w:pStyle w:val="ListNumber"/>
        <w:spacing w:line="240" w:lineRule="auto"/>
        <w:ind w:left="720"/>
      </w:pPr>
      <w:r>
        <w:rPr>
          <w:lang w:val="en_US" w:bidi="en_US"/>
        </w:rPr>
      </w:r>
      <w:r>
        <w:rPr>
          <w:lang w:val="en_US" w:bidi="en_US"/>
        </w:rPr>
        <w:t>tax collectors often collected more money than the law required, and they kept the extra for themselves.</w:t>
      </w:r>
    </w:p>
    <w:p>
      <w:pPr/>
      <w:r>
        <w:rPr>
          <w:lang w:val="en_US" w:bidi="en_US"/>
        </w:rPr>
      </w:r>
      <w:r>
        <w:rPr>
          <w:lang w:val="en_US" w:bidi="en_US"/>
        </w:rPr>
        <w:t>If you do not have a word in your language for “tax collectors,” you could describe them as:</w:t>
      </w:r>
    </w:p>
    <w:p>
      <w:pPr/>
      <w:r>
        <w:rPr>
          <w:lang w:val="en_US" w:bidi="en_US"/>
        </w:rPr>
      </w:r>
      <w:r>
        <w:rPr>
          <w:lang w:val="en_US" w:bidi="en_US"/>
        </w:rPr>
        <w:t>men who collected tax money for the government</w:t>
      </w:r>
    </w:p>
    <w:p>
      <w:pPr/>
      <w:r>
        <w:rPr>
          <w:lang w:val="en_US" w:bidi="en_US"/>
        </w:rPr>
      </w:r>
      <w:r>
        <w:rPr>
          <w:b/>
          <w:lang w:val="en_US" w:bidi="en_US"/>
        </w:rPr>
        <w:t>came to be baptized:</w:t>
      </w:r>
      <w:r>
        <w:rPr>
          <w:lang w:val="en_US" w:bidi="en_US"/>
        </w:rPr>
        <w:t xml:space="preserve"> This indicates the purpose of these tax collectors for coming to where John was. They came out to John </w:t>
      </w:r>
      <w:r>
        <w:rPr>
          <w:u w:val="single"/>
          <w:lang w:val="en_US" w:bidi="en_US"/>
        </w:rPr>
        <w:t>in order to</w:t>
      </w:r>
      <w:r>
        <w:rPr>
          <w:lang w:val="en_US" w:bidi="en_US"/>
        </w:rPr>
        <w:t xml:space="preserve"> </w:t>
      </w:r>
      <w:r>
        <w:rPr>
          <w:i/>
          <w:lang w:val="en_US" w:bidi="en_US"/>
        </w:rPr>
        <w:t>be baptized</w:t>
      </w:r>
      <w:r>
        <w:rPr>
          <w:lang w:val="en_US" w:bidi="en_US"/>
        </w:rPr>
        <w:t>.</w:t>
      </w:r>
    </w:p>
    <w:p>
      <w:pPr/>
      <w:r>
        <w:rPr>
          <w:lang w:val="en_US" w:bidi="en_US"/>
        </w:rPr>
      </w:r>
      <w:r>
        <w:rPr>
          <w:lang w:val="en_US" w:bidi="en_US"/>
        </w:rPr>
        <w:t xml:space="preserve">This is similar to what Luke said about the crowds in 3:7a. There he said that the crowds came “to be baptized by him.” Here in 3:12a, “by him” is only implied. The phrase </w:t>
      </w:r>
      <w:r>
        <w:rPr>
          <w:i/>
          <w:lang w:val="en_US" w:bidi="en_US"/>
        </w:rPr>
        <w:t>to be baptized</w:t>
      </w:r>
      <w:r>
        <w:rPr>
          <w:lang w:val="en_US" w:bidi="en_US"/>
        </w:rPr>
        <w:t xml:space="preserve"> is passive. If it is more natural in your language to use an active verb here, you may indicate that they came for John to baptize them, as it says in 3:7a. For example:</w:t>
      </w:r>
    </w:p>
    <w:p>
      <w:pPr/>
      <w:r>
        <w:rPr>
          <w:lang w:val="en_US" w:bidi="en_US"/>
        </w:rPr>
      </w:r>
      <w:r>
        <w:rPr>
          <w:lang w:val="en_US" w:bidi="en_US"/>
        </w:rPr>
        <w:t xml:space="preserve">in order </w:t>
      </w:r>
      <w:r>
        <w:rPr>
          <w:lang w:val="en_US" w:bidi="en_US"/>
        </w:rPr>
        <w:t>for John to</w:t>
      </w:r>
      <w:r>
        <w:rPr>
          <w:lang w:val="en_US" w:bidi="en_US"/>
        </w:rPr>
        <w:t xml:space="preserve"> baptize them</w:t>
      </w:r>
    </w:p>
    <w:p>
      <w:pPr/>
      <w:r>
        <w:rPr>
          <w:lang w:val="en_US" w:bidi="en_US"/>
        </w:rPr>
      </w:r>
      <w:r>
        <w:rPr>
          <w:lang w:val="en_US" w:bidi="en_US"/>
        </w:rPr>
        <w:t>for him</w:t>
      </w:r>
      <w:r>
        <w:rPr>
          <w:lang w:val="en_US" w:bidi="en_US"/>
        </w:rPr>
        <w:t xml:space="preserve"> to baptize them</w:t>
      </w:r>
    </w:p>
    <w:p>
      <w:pPr/>
      <w:r>
        <w:rPr>
          <w:lang w:val="en_US" w:bidi="en_US"/>
        </w:rPr>
      </w:r>
      <w:r>
        <w:rPr>
          <w:lang w:val="en_US" w:bidi="en_US"/>
        </w:rPr>
        <w:t xml:space="preserve">The Greek word that the BSB translates as </w:t>
      </w:r>
      <w:r>
        <w:rPr>
          <w:i/>
          <w:lang w:val="en_US" w:bidi="en_US"/>
        </w:rPr>
        <w:t>to be baptized</w:t>
      </w:r>
      <w:r>
        <w:rPr>
          <w:lang w:val="en_US" w:bidi="en_US"/>
        </w:rPr>
        <w:t xml:space="preserve"> is a verb form of the Greek noun the BSB translates as “baptism” in 3:3c. See the note there.</w:t>
      </w:r>
    </w:p>
    <w:p>
      <w:pPr>
        <w:pStyle w:val="Heading5"/>
      </w:pPr>
      <w:r>
        <w:rPr>
          <w:lang w:val="en_US" w:bidi="en_US"/>
        </w:rPr>
        <w:t>3:12b</w:t>
      </w:r>
    </w:p>
    <w:p>
      <w:pPr/>
      <w:r>
        <w:rPr>
          <w:lang w:val="en_US" w:bidi="en_US"/>
        </w:rPr>
      </w:r>
      <w:r>
        <w:rPr>
          <w:b/>
          <w:lang w:val="en_US" w:bidi="en_US"/>
        </w:rPr>
        <w:t>“Teacher,” they asked, “what should we do?”</w:t>
      </w:r>
    </w:p>
    <w:p>
      <w:pPr>
        <w:pStyle w:val="ListBullet"/>
        <w:spacing w:line="240" w:lineRule="auto"/>
        <w:ind w:left="720"/>
      </w:pPr>
      <w:r>
        <w:rPr>
          <w:lang w:val="en_US" w:bidi="en_US"/>
        </w:rPr>
      </w:r>
      <w:r>
        <w:rPr>
          <w:lang w:val="en_US" w:bidi="en_US"/>
        </w:rPr>
        <w:t xml:space="preserve">They asked him, “Teacher, what </w:t>
      </w:r>
      <w:r>
        <w:rPr>
          <w:lang w:val="en_US" w:bidi="en_US"/>
        </w:rPr>
        <w:t>kinds of things</w:t>
      </w:r>
      <w:r>
        <w:rPr>
          <w:lang w:val="en_US" w:bidi="en_US"/>
        </w:rPr>
        <w:t xml:space="preserve"> must we</w:t>
      </w:r>
      <w:r>
        <w:rPr>
          <w:vertAlign w:val="superscript"/>
          <w:lang w:val="en_US" w:bidi="en_US"/>
        </w:rPr>
        <w:t>(excl)</w:t>
      </w:r>
      <w:r>
        <w:rPr>
          <w:lang w:val="en_US" w:bidi="en_US"/>
        </w:rPr>
        <w:t xml:space="preserve"> do?”</w:t>
      </w:r>
    </w:p>
    <w:p>
      <w:pPr>
        <w:pStyle w:val="ListBullet"/>
        <w:spacing w:line="240" w:lineRule="auto"/>
        <w:ind w:left="720"/>
      </w:pPr>
      <w:r>
        <w:rPr>
          <w:lang w:val="en_US" w:bidi="en_US"/>
        </w:rPr>
      </w:r>
      <w:r>
        <w:rPr>
          <w:lang w:val="en_US" w:bidi="en_US"/>
        </w:rPr>
        <w:t>They said, “Teacher/Sir, what should/must we</w:t>
      </w:r>
      <w:r>
        <w:rPr>
          <w:vertAlign w:val="superscript"/>
          <w:lang w:val="en_US" w:bidi="en_US"/>
        </w:rPr>
        <w:t>(excl)</w:t>
      </w:r>
      <w:r>
        <w:rPr>
          <w:lang w:val="en_US" w:bidi="en_US"/>
        </w:rPr>
        <w:t xml:space="preserve"> do </w:t>
      </w:r>
      <w:r>
        <w:rPr>
          <w:lang w:val="en_US" w:bidi="en_US"/>
        </w:rPr>
        <w:t>to show that we have repented</w:t>
      </w:r>
      <w:r>
        <w:rPr>
          <w:lang w:val="en_US" w:bidi="en_US"/>
        </w:rPr>
        <w:t>?”</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was a polite title for a Jewish religious leader. It was a title of respect for a Jewish man who had authority to teach the things about God. Use a title that is an appropriate way to address a religious teacher in your culture. It should not refer only to a school teacher. Some possible titles are:</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b/>
          <w:lang w:val="en_US" w:bidi="en_US"/>
        </w:rPr>
        <w:t>they asked:</w:t>
      </w:r>
      <w:r>
        <w:rPr>
          <w:lang w:val="en_US" w:bidi="en_US"/>
        </w:rPr>
        <w:t xml:space="preserve"> The BSB has placed the words </w:t>
      </w:r>
      <w:r>
        <w:rPr>
          <w:i/>
          <w:lang w:val="en_US" w:bidi="en_US"/>
        </w:rPr>
        <w:t>they asked</w:t>
      </w:r>
      <w:r>
        <w:rPr>
          <w:lang w:val="en_US" w:bidi="en_US"/>
        </w:rPr>
        <w:t xml:space="preserve"> in the middle of what the tax collectors said. Place these words where it is natural in your language.</w:t>
      </w:r>
    </w:p>
    <w:p>
      <w:pPr/>
      <w:r>
        <w:rPr>
          <w:lang w:val="en_US" w:bidi="en_US"/>
        </w:rPr>
      </w:r>
      <w:r>
        <w:rPr>
          <w:b/>
          <w:lang w:val="en_US" w:bidi="en_US"/>
        </w:rPr>
        <w:t>what should we do?:</w:t>
      </w:r>
      <w:r>
        <w:rPr>
          <w:lang w:val="en_US" w:bidi="en_US"/>
        </w:rPr>
        <w:t xml:space="preserve"> This is the same question as in 3:10. However, here it does not include the Greek word that the BSB translates in 3:10 as “then.”</w:t>
      </w:r>
      <w:r>
        <w:rPr>
          <w:lang w:val="en_US" w:bidi="en_US"/>
        </w:rPr>
      </w:r>
      <w:r>
        <w:rPr>
          <w:lang w:val="en_US" w:bidi="en_US"/>
        </w:rPr>
      </w:r>
    </w:p>
    <w:p>
      <w:pPr/>
      <w:r>
        <w:rPr>
          <w:lang w:val="en_US" w:bidi="en_US"/>
        </w:rPr>
      </w:r>
    </w:p>
    <w:p>
      <w:pPr>
        <w:pStyle w:val="Heading2"/>
      </w:pPr>
      <w:r>
        <w:rPr>
          <w:lang w:val="en_US" w:bidi="en_US"/>
        </w:rPr>
        <w:t>Luke 3:13</w:t>
      </w:r>
      <w:r>
        <w:rPr>
          <w:lang w:val="en_US" w:bidi="en_US"/>
        </w:rPr>
      </w:r>
    </w:p>
    <w:p>
      <w:pPr>
        <w:pStyle w:val="Heading4"/>
      </w:pPr>
      <w:r>
        <w:rPr>
          <w:lang w:val="en_US" w:bidi="en_US"/>
        </w:rPr>
        <w:t>Section 3:1–20: John the Baptizer prepared the way for Jesus</w:t>
      </w:r>
    </w:p>
    <w:p>
      <w:pPr/>
      <w:r>
        <w:rPr>
          <w:lang w:val="en_US" w:bidi="en_US"/>
        </w:rPr>
      </w:r>
      <w:r>
        <w:rPr>
          <w:lang w:val="en_US" w:bidi="en_US"/>
        </w:rP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Preaching of John (NCV)</w:t>
      </w:r>
    </w:p>
    <w:p>
      <w:pPr/>
      <w:r>
        <w:rPr>
          <w:lang w:val="en_US" w:bidi="en_US"/>
        </w:rPr>
      </w:r>
      <w:r>
        <w:rPr>
          <w:lang w:val="en_US" w:bidi="en_US"/>
        </w:rPr>
        <w:t>John the Baptist and Jesus (REB)</w:t>
      </w:r>
    </w:p>
    <w:p>
      <w:pPr/>
      <w:r>
        <w:rPr>
          <w:lang w:val="en_US" w:bidi="en_US"/>
        </w:rPr>
      </w:r>
      <w:r>
        <w:rPr>
          <w:lang w:val="en_US" w:bidi="en_US"/>
        </w:rPr>
        <w:t>John the Baptizer tells people to prepare themselves for the Messiah</w:t>
      </w:r>
    </w:p>
    <w:p>
      <w:pPr/>
      <w:r>
        <w:rPr>
          <w:lang w:val="en_US" w:bidi="en_US"/>
        </w:rPr>
      </w:r>
      <w:r>
        <w:rPr>
          <w:lang w:val="en_US" w:bidi="en_US"/>
        </w:rPr>
        <w:t>Parts of Luke 3:1–20 are basically the same as verses in Matthew 3:1–12. But Luke 3:1–2, 10–14, and 19–20 are not in Matthew.</w:t>
      </w:r>
    </w:p>
    <w:p>
      <w:pPr>
        <w:pStyle w:val="Heading4"/>
      </w:pPr>
      <w:r>
        <w:rPr>
          <w:lang w:val="en_US" w:bidi="en_US"/>
        </w:rPr>
        <w:t>Paragraph Group 3:10–14</w:t>
      </w:r>
    </w:p>
    <w:p>
      <w:pPr/>
      <w:r>
        <w:rPr>
          <w:lang w:val="en_US" w:bidi="en_US"/>
        </w:rPr>
      </w:r>
      <w:r>
        <w:rPr>
          <w:lang w:val="en_US" w:bidi="en_US"/>
        </w:rPr>
        <w:t>In 3:10–14, three groups of people asked John the same question. They asked him what they should do. The three groups are:</w:t>
      </w:r>
    </w:p>
    <w:p>
      <w:pPr>
        <w:pStyle w:val="ListNumber"/>
        <w:numPr>
          <w:ilvl w:val="0"/>
          <w:numId w:val="86"/>
        </w:numPr>
        <w:spacing w:line="240" w:lineRule="auto"/>
        <w:ind w:left="720"/>
      </w:pPr>
      <w:r>
        <w:rPr>
          <w:lang w:val="en_US" w:bidi="en_US"/>
        </w:rPr>
      </w:r>
      <w:r>
        <w:rPr>
          <w:lang w:val="en_US" w:bidi="en_US"/>
        </w:rPr>
        <w:t>the crowd (3:10);</w:t>
      </w:r>
    </w:p>
    <w:p>
      <w:pPr>
        <w:pStyle w:val="ListNumber"/>
        <w:spacing w:line="240" w:lineRule="auto"/>
        <w:ind w:left="720"/>
      </w:pPr>
      <w:r>
        <w:rPr>
          <w:lang w:val="en_US" w:bidi="en_US"/>
        </w:rPr>
      </w:r>
      <w:r>
        <w:rPr>
          <w:lang w:val="en_US" w:bidi="en_US"/>
        </w:rPr>
        <w:t>tax collectors (3:12);</w:t>
      </w:r>
    </w:p>
    <w:p>
      <w:pPr>
        <w:pStyle w:val="ListNumber"/>
        <w:spacing w:line="240" w:lineRule="auto"/>
        <w:ind w:left="720"/>
      </w:pPr>
      <w:r>
        <w:rPr>
          <w:lang w:val="en_US" w:bidi="en_US"/>
        </w:rPr>
      </w:r>
      <w:r>
        <w:rPr>
          <w:lang w:val="en_US" w:bidi="en_US"/>
        </w:rPr>
        <w:t>soldiers (3:14).</w:t>
      </w:r>
    </w:p>
    <w:p>
      <w:pPr>
        <w:pStyle w:val="Heading5"/>
      </w:pPr>
      <w:r>
        <w:rPr>
          <w:lang w:val="en_US" w:bidi="en_US"/>
        </w:rPr>
        <w:t>3:13</w:t>
      </w:r>
    </w:p>
    <w:p>
      <w:pPr/>
      <w:r>
        <w:rPr>
          <w:lang w:val="en_US" w:bidi="en_US"/>
        </w:rPr>
      </w:r>
      <w:r>
        <w:rPr>
          <w:b/>
          <w:lang w:val="en_US" w:bidi="en_US"/>
        </w:rPr>
        <w:t>“Collect no more than you are authorized,” he answered.</w:t>
      </w:r>
    </w:p>
    <w:p>
      <w:pPr>
        <w:pStyle w:val="ListBullet"/>
        <w:spacing w:line="240" w:lineRule="auto"/>
        <w:ind w:left="720"/>
      </w:pPr>
      <w:r>
        <w:rPr>
          <w:lang w:val="en_US" w:bidi="en_US"/>
        </w:rPr>
      </w:r>
      <w:r>
        <w:rPr>
          <w:lang w:val="en_US" w:bidi="en_US"/>
        </w:rPr>
        <w:t xml:space="preserve">John answered them, “Do not collect any more </w:t>
      </w:r>
      <w:r>
        <w:rPr>
          <w:lang w:val="en_US" w:bidi="en_US"/>
        </w:rPr>
        <w:t>tax</w:t>
      </w:r>
      <w:r>
        <w:rPr>
          <w:lang w:val="en_US" w:bidi="en_US"/>
        </w:rPr>
        <w:t xml:space="preserve"> than </w:t>
      </w:r>
      <w:r>
        <w:rPr>
          <w:lang w:val="en_US" w:bidi="en_US"/>
        </w:rPr>
        <w:t>the government</w:t>
      </w:r>
      <w:r>
        <w:rPr>
          <w:lang w:val="en_US" w:bidi="en_US"/>
        </w:rPr>
        <w:t xml:space="preserve"> says you must collect.”</w:t>
      </w:r>
    </w:p>
    <w:p>
      <w:pPr>
        <w:pStyle w:val="ListBullet"/>
        <w:spacing w:line="240" w:lineRule="auto"/>
        <w:ind w:left="720"/>
      </w:pPr>
      <w:r>
        <w:rPr>
          <w:lang w:val="en_US" w:bidi="en_US"/>
        </w:rPr>
      </w:r>
      <w:r>
        <w:rPr>
          <w:lang w:val="en_US" w:bidi="en_US"/>
        </w:rPr>
        <w:t xml:space="preserve">John said to them, “Do not take </w:t>
      </w:r>
      <w:r>
        <w:rPr>
          <w:lang w:val="en_US" w:bidi="en_US"/>
        </w:rPr>
        <w:t>from people</w:t>
      </w:r>
      <w:r>
        <w:rPr>
          <w:lang w:val="en_US" w:bidi="en_US"/>
        </w:rPr>
        <w:t xml:space="preserve"> any more </w:t>
      </w:r>
      <w:r>
        <w:rPr>
          <w:lang w:val="en_US" w:bidi="en_US"/>
        </w:rPr>
        <w:t>money</w:t>
      </w:r>
      <w:r>
        <w:rPr>
          <w:lang w:val="en_US" w:bidi="en_US"/>
        </w:rPr>
        <w:t xml:space="preserve"> than </w:t>
      </w:r>
      <w:r>
        <w:rPr>
          <w:lang w:val="en_US" w:bidi="en_US"/>
        </w:rPr>
        <w:t>the tax law</w:t>
      </w:r>
      <w:r>
        <w:rPr>
          <w:lang w:val="en_US" w:bidi="en_US"/>
        </w:rPr>
        <w:t xml:space="preserve"> orders you to take.”</w:t>
      </w:r>
    </w:p>
    <w:p>
      <w:pPr>
        <w:pStyle w:val="ListBullet"/>
        <w:spacing w:line="240" w:lineRule="auto"/>
        <w:ind w:left="720"/>
      </w:pPr>
      <w:r>
        <w:rPr>
          <w:lang w:val="en_US" w:bidi="en_US"/>
        </w:rPr>
      </w:r>
      <w:r>
        <w:rPr>
          <w:lang w:val="en_US" w:bidi="en_US"/>
        </w:rPr>
        <w:t xml:space="preserve">He/John told them not to collect any more </w:t>
      </w:r>
      <w:r>
        <w:rPr>
          <w:lang w:val="en_US" w:bidi="en_US"/>
        </w:rPr>
        <w:t>tax</w:t>
      </w:r>
      <w:r>
        <w:rPr>
          <w:lang w:val="en_US" w:bidi="en_US"/>
        </w:rPr>
        <w:t xml:space="preserve"> than the government required.</w:t>
      </w:r>
    </w:p>
    <w:p>
      <w:pPr/>
      <w:r>
        <w:rPr>
          <w:lang w:val="en_US" w:bidi="en_US"/>
        </w:rPr>
      </w:r>
      <w:r>
        <w:rPr>
          <w:b/>
          <w:lang w:val="en_US" w:bidi="en_US"/>
        </w:rPr>
        <w:t>Collect no more than you are authorized:</w:t>
      </w:r>
      <w:r>
        <w:rPr>
          <w:lang w:val="en_US" w:bidi="en_US"/>
        </w:rPr>
        <w:t xml:space="preserve"> The clause </w:t>
      </w:r>
      <w:r>
        <w:rPr>
          <w:i/>
          <w:lang w:val="en_US" w:bidi="en_US"/>
        </w:rPr>
        <w:t>Collect no more than you are authorized</w:t>
      </w:r>
      <w:r>
        <w:rPr>
          <w:lang w:val="en_US" w:bidi="en_US"/>
        </w:rPr>
        <w:t xml:space="preserve"> means “Do not take any more tax money from people than the law requires you to take.” The government rulers had made a law that the Jewish people must give them a certain amount of money. This was the amount that the tax collectors were required to collect.</w:t>
      </w:r>
    </w:p>
    <w:p>
      <w:pPr/>
      <w:r>
        <w:rPr>
          <w:lang w:val="en_US" w:bidi="en_US"/>
        </w:rPr>
      </w:r>
      <w:r>
        <w:rPr>
          <w:lang w:val="en_US" w:bidi="en_US"/>
        </w:rPr>
        <w:t>Some other ways to translate this are:</w:t>
      </w:r>
    </w:p>
    <w:p>
      <w:pPr/>
      <w:r>
        <w:rPr>
          <w:lang w:val="en_US" w:bidi="en_US"/>
        </w:rPr>
      </w:r>
      <w:r>
        <w:rPr>
          <w:lang w:val="en_US" w:bidi="en_US"/>
        </w:rPr>
        <w:t>Do not require/force people to pay more tax money than the law says they must pay.</w:t>
      </w:r>
    </w:p>
    <w:p>
      <w:pPr/>
      <w:r>
        <w:rPr>
          <w:lang w:val="en_US" w:bidi="en_US"/>
        </w:rPr>
      </w:r>
      <w:r>
        <w:rPr>
          <w:lang w:val="en_US" w:bidi="en_US"/>
        </w:rPr>
        <w:t>Do not charge people more money than they owe the government in order to get money for yourselves.</w:t>
      </w:r>
    </w:p>
    <w:p>
      <w:pPr/>
      <w:r>
        <w:rPr>
          <w:lang w:val="en_US" w:bidi="en_US"/>
        </w:rPr>
      </w:r>
      <w:r>
        <w:rPr>
          <w:b/>
          <w:lang w:val="en_US" w:bidi="en_US"/>
        </w:rPr>
        <w:t>he answered:</w:t>
      </w:r>
      <w:r>
        <w:rPr>
          <w:lang w:val="en_US" w:bidi="en_US"/>
        </w:rPr>
        <w:t xml:space="preserve"> The BSB places the phrase </w:t>
      </w:r>
      <w:r>
        <w:rPr>
          <w:i/>
          <w:lang w:val="en_US" w:bidi="en_US"/>
        </w:rPr>
        <w:t>he answered</w:t>
      </w:r>
      <w:r>
        <w:rPr>
          <w:lang w:val="en_US" w:bidi="en_US"/>
        </w:rPr>
        <w:t xml:space="preserve"> at the end of this verse. Some versions place it at the beginning of the verse, where it occurs in the Greek. Place this phrase where it is natural in your language.</w:t>
      </w:r>
      <w:r>
        <w:rPr>
          <w:lang w:val="en_US" w:bidi="en_US"/>
        </w:rPr>
      </w:r>
      <w:r>
        <w:rPr>
          <w:lang w:val="en_US" w:bidi="en_US"/>
        </w:rPr>
      </w:r>
    </w:p>
    <w:p>
      <w:pPr/>
      <w:r>
        <w:rPr>
          <w:lang w:val="en_US" w:bidi="en_US"/>
        </w:rPr>
      </w:r>
    </w:p>
    <w:p>
      <w:pPr>
        <w:pStyle w:val="Heading2"/>
      </w:pPr>
      <w:r>
        <w:rPr>
          <w:lang w:val="en_US" w:bidi="en_US"/>
        </w:rPr>
        <w:t>Luke 3:14</w:t>
      </w:r>
      <w:r>
        <w:rPr>
          <w:lang w:val="en_US" w:bidi="en_US"/>
        </w:rPr>
      </w:r>
    </w:p>
    <w:p>
      <w:pPr>
        <w:pStyle w:val="Heading4"/>
      </w:pPr>
      <w:r>
        <w:rPr>
          <w:lang w:val="en_US" w:bidi="en_US"/>
        </w:rPr>
        <w:t>Section 3:1–20: John the Baptizer prepared the way for Jesus</w:t>
      </w:r>
    </w:p>
    <w:p>
      <w:pPr/>
      <w:r>
        <w:rPr>
          <w:lang w:val="en_US" w:bidi="en_US"/>
        </w:rPr>
      </w:r>
      <w:r>
        <w:rPr>
          <w:lang w:val="en_US" w:bidi="en_US"/>
        </w:rP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Preaching of John (NCV)</w:t>
      </w:r>
    </w:p>
    <w:p>
      <w:pPr/>
      <w:r>
        <w:rPr>
          <w:lang w:val="en_US" w:bidi="en_US"/>
        </w:rPr>
      </w:r>
      <w:r>
        <w:rPr>
          <w:lang w:val="en_US" w:bidi="en_US"/>
        </w:rPr>
        <w:t>John the Baptist and Jesus (REB)</w:t>
      </w:r>
    </w:p>
    <w:p>
      <w:pPr/>
      <w:r>
        <w:rPr>
          <w:lang w:val="en_US" w:bidi="en_US"/>
        </w:rPr>
      </w:r>
      <w:r>
        <w:rPr>
          <w:lang w:val="en_US" w:bidi="en_US"/>
        </w:rPr>
        <w:t>John the Baptizer tells people to prepare themselves for the Messiah</w:t>
      </w:r>
    </w:p>
    <w:p>
      <w:pPr/>
      <w:r>
        <w:rPr>
          <w:lang w:val="en_US" w:bidi="en_US"/>
        </w:rPr>
      </w:r>
      <w:r>
        <w:rPr>
          <w:lang w:val="en_US" w:bidi="en_US"/>
        </w:rPr>
        <w:t>Parts of Luke 3:1–20 are basically the same as verses in Matthew 3:1–12. But Luke 3:1–2, 10–14, and 19–20 are not in Matthew.</w:t>
      </w:r>
    </w:p>
    <w:p>
      <w:pPr>
        <w:pStyle w:val="Heading4"/>
      </w:pPr>
      <w:r>
        <w:rPr>
          <w:lang w:val="en_US" w:bidi="en_US"/>
        </w:rPr>
        <w:t>Paragraph Group 3:10–14</w:t>
      </w:r>
    </w:p>
    <w:p>
      <w:pPr/>
      <w:r>
        <w:rPr>
          <w:lang w:val="en_US" w:bidi="en_US"/>
        </w:rPr>
      </w:r>
      <w:r>
        <w:rPr>
          <w:lang w:val="en_US" w:bidi="en_US"/>
        </w:rPr>
        <w:t>In 3:10–14, three groups of people asked John the same question. They asked him what they should do. The three groups are:</w:t>
      </w:r>
    </w:p>
    <w:p>
      <w:pPr>
        <w:pStyle w:val="ListNumber"/>
        <w:numPr>
          <w:ilvl w:val="0"/>
          <w:numId w:val="87"/>
        </w:numPr>
        <w:spacing w:line="240" w:lineRule="auto"/>
        <w:ind w:left="720"/>
      </w:pPr>
      <w:r>
        <w:rPr>
          <w:lang w:val="en_US" w:bidi="en_US"/>
        </w:rPr>
      </w:r>
      <w:r>
        <w:rPr>
          <w:lang w:val="en_US" w:bidi="en_US"/>
        </w:rPr>
        <w:t>the crowd (3:10);</w:t>
      </w:r>
    </w:p>
    <w:p>
      <w:pPr>
        <w:pStyle w:val="ListNumber"/>
        <w:spacing w:line="240" w:lineRule="auto"/>
        <w:ind w:left="720"/>
      </w:pPr>
      <w:r>
        <w:rPr>
          <w:lang w:val="en_US" w:bidi="en_US"/>
        </w:rPr>
      </w:r>
      <w:r>
        <w:rPr>
          <w:lang w:val="en_US" w:bidi="en_US"/>
        </w:rPr>
        <w:t>tax collectors (3:12);</w:t>
      </w:r>
    </w:p>
    <w:p>
      <w:pPr>
        <w:pStyle w:val="ListNumber"/>
        <w:spacing w:line="240" w:lineRule="auto"/>
        <w:ind w:left="720"/>
      </w:pPr>
      <w:r>
        <w:rPr>
          <w:lang w:val="en_US" w:bidi="en_US"/>
        </w:rPr>
      </w:r>
      <w:r>
        <w:rPr>
          <w:lang w:val="en_US" w:bidi="en_US"/>
        </w:rPr>
        <w:t>soldiers (3:14).</w:t>
      </w:r>
    </w:p>
    <w:p>
      <w:pPr>
        <w:pStyle w:val="Heading5"/>
      </w:pPr>
      <w:r>
        <w:rPr>
          <w:lang w:val="en_US" w:bidi="en_US"/>
        </w:rPr>
        <w:t>3:14a</w:t>
      </w:r>
    </w:p>
    <w:p>
      <w:pPr/>
      <w:r>
        <w:rPr>
          <w:lang w:val="en_US" w:bidi="en_US"/>
        </w:rPr>
      </w:r>
      <w:r>
        <w:rPr>
          <w:b/>
          <w:lang w:val="en_US" w:bidi="en_US"/>
        </w:rPr>
        <w:t>Then some soldiers asked him, “And what should we do?”</w:t>
      </w:r>
    </w:p>
    <w:p>
      <w:pPr>
        <w:pStyle w:val="ListBullet"/>
        <w:spacing w:line="240" w:lineRule="auto"/>
        <w:ind w:left="720"/>
      </w:pPr>
      <w:r>
        <w:rPr>
          <w:lang w:val="en_US" w:bidi="en_US"/>
        </w:rPr>
      </w:r>
      <w:r>
        <w:rPr>
          <w:lang w:val="en_US" w:bidi="en_US"/>
        </w:rPr>
        <w:t>¶ Some soldiers also asked him, “And us?</w:t>
      </w:r>
      <w:r>
        <w:rPr>
          <w:vertAlign w:val="superscript"/>
          <w:lang w:val="en_US" w:bidi="en_US"/>
        </w:rPr>
        <w:t>(excl)</w:t>
      </w:r>
      <w:r>
        <w:rPr>
          <w:lang w:val="en_US" w:bidi="en_US"/>
        </w:rPr>
        <w:t xml:space="preserve"> What </w:t>
      </w:r>
      <w:r>
        <w:rPr>
          <w:lang w:val="en_US" w:bidi="en_US"/>
        </w:rPr>
        <w:t>kinds of things</w:t>
      </w:r>
      <w:r>
        <w:rPr>
          <w:lang w:val="en_US" w:bidi="en_US"/>
        </w:rPr>
        <w:t xml:space="preserve"> must we</w:t>
      </w:r>
      <w:r>
        <w:rPr>
          <w:vertAlign w:val="superscript"/>
          <w:lang w:val="en_US" w:bidi="en_US"/>
        </w:rPr>
        <w:t>(excl)</w:t>
      </w:r>
      <w:r>
        <w:rPr>
          <w:lang w:val="en_US" w:bidi="en_US"/>
        </w:rPr>
        <w:t xml:space="preserve"> do?”</w:t>
      </w:r>
    </w:p>
    <w:p>
      <w:pPr>
        <w:pStyle w:val="ListBullet"/>
        <w:spacing w:line="240" w:lineRule="auto"/>
        <w:ind w:left="720"/>
      </w:pPr>
      <w:r>
        <w:rPr>
          <w:lang w:val="en_US" w:bidi="en_US"/>
        </w:rPr>
      </w:r>
      <w:r>
        <w:rPr>
          <w:lang w:val="en_US" w:bidi="en_US"/>
        </w:rPr>
        <w:t xml:space="preserve">¶ Then some </w:t>
      </w:r>
      <w:r>
        <w:rPr>
          <w:lang w:val="en_US" w:bidi="en_US"/>
        </w:rPr>
        <w:t>of the</w:t>
      </w:r>
      <w:r>
        <w:rPr>
          <w:lang w:val="en_US" w:bidi="en_US"/>
        </w:rPr>
        <w:t xml:space="preserve"> soldiers asked John, “And what should/must we</w:t>
      </w:r>
      <w:r>
        <w:rPr>
          <w:vertAlign w:val="superscript"/>
          <w:lang w:val="en_US" w:bidi="en_US"/>
        </w:rPr>
        <w:t>(excl)</w:t>
      </w:r>
      <w:r>
        <w:rPr>
          <w:lang w:val="en_US" w:bidi="en_US"/>
        </w:rPr>
        <w:t xml:space="preserve"> do </w:t>
      </w:r>
      <w:r>
        <w:rPr>
          <w:lang w:val="en_US" w:bidi="en_US"/>
        </w:rPr>
        <w:t>to show that we have repented</w:t>
      </w:r>
      <w:r>
        <w:rPr>
          <w:lang w:val="en_US" w:bidi="en_US"/>
        </w:rPr>
        <w:t>?”</w:t>
      </w:r>
    </w:p>
    <w:p>
      <w:pPr>
        <w:pStyle w:val="ListBullet"/>
        <w:spacing w:line="240" w:lineRule="auto"/>
        <w:ind w:left="720"/>
      </w:pPr>
      <w:r>
        <w:rPr>
          <w:lang w:val="en_US" w:bidi="en_US"/>
        </w:rPr>
      </w:r>
      <w:r>
        <w:rPr>
          <w:lang w:val="en_US" w:bidi="en_US"/>
        </w:rPr>
        <w:t>¶ Then some soldiers asked him what they should do.</w:t>
      </w:r>
    </w:p>
    <w:p>
      <w:pPr/>
      <w:r>
        <w:rPr>
          <w:lang w:val="en_US" w:bidi="en_US"/>
        </w:rPr>
      </w:r>
      <w:r>
        <w:rPr>
          <w:b/>
          <w:lang w:val="en_US" w:bidi="en_US"/>
        </w:rPr>
        <w:t>soldiers:</w:t>
      </w:r>
      <w:r>
        <w:rPr>
          <w:lang w:val="en_US" w:bidi="en_US"/>
        </w:rPr>
        <w:t xml:space="preserve"> It is not clear whether these soldiers were Jewish or Roman or Samaritan. But they were able to take money from people wrongly.</w:t>
      </w:r>
    </w:p>
    <w:p>
      <w:pPr/>
      <w:r>
        <w:rPr>
          <w:lang w:val="en_US" w:bidi="en_US"/>
        </w:rPr>
      </w:r>
      <w:r>
        <w:rPr>
          <w:b/>
          <w:lang w:val="en_US" w:bidi="en_US"/>
        </w:rPr>
        <w:t>And what should we do?:</w:t>
      </w:r>
      <w:r>
        <w:rPr>
          <w:lang w:val="en_US" w:bidi="en_US"/>
        </w:rPr>
        <w:t xml:space="preserve"> In the Greek text this question emphasizes the pronoun </w:t>
      </w:r>
      <w:r>
        <w:rPr>
          <w:i/>
          <w:lang w:val="en_US" w:bidi="en_US"/>
        </w:rPr>
        <w:t>we</w:t>
      </w:r>
      <w:r>
        <w:rPr>
          <w:lang w:val="en_US" w:bidi="en_US"/>
        </w:rPr>
        <w:t>. One way to show this in translation might be to say:</w:t>
      </w:r>
    </w:p>
    <w:p>
      <w:pPr/>
      <w:r>
        <w:rPr>
          <w:lang w:val="en_US" w:bidi="en_US"/>
        </w:rPr>
      </w:r>
      <w:r>
        <w:rPr>
          <w:lang w:val="en_US" w:bidi="en_US"/>
        </w:rPr>
        <w:t>And us—what should we do?</w:t>
      </w:r>
    </w:p>
    <w:p>
      <w:pPr>
        <w:pStyle w:val="Heading5"/>
      </w:pPr>
      <w:r>
        <w:rPr>
          <w:lang w:val="en_US" w:bidi="en_US"/>
        </w:rPr>
        <w:t>3:14b</w:t>
      </w:r>
    </w:p>
    <w:p>
      <w:pPr/>
      <w:r>
        <w:rPr>
          <w:lang w:val="en_US" w:bidi="en_US"/>
        </w:rPr>
      </w:r>
      <w:r>
        <w:rPr>
          <w:b/>
          <w:lang w:val="en_US" w:bidi="en_US"/>
        </w:rPr>
        <w:t>“Do not take money by force or false accusation,” he said.</w:t>
      </w:r>
    </w:p>
    <w:p>
      <w:pPr>
        <w:pStyle w:val="ListBullet"/>
        <w:spacing w:line="240" w:lineRule="auto"/>
        <w:ind w:left="720"/>
      </w:pPr>
      <w:r>
        <w:rPr>
          <w:lang w:val="en_US" w:bidi="en_US"/>
        </w:rPr>
      </w:r>
      <w:r>
        <w:rPr>
          <w:lang w:val="en_US" w:bidi="en_US"/>
        </w:rPr>
        <w:t>John answered, “Do not take</w:t>
      </w:r>
      <w:r>
        <w:rPr>
          <w:vertAlign w:val="superscript"/>
          <w:lang w:val="en_US" w:bidi="en_US"/>
        </w:rPr>
        <w:t>(plur)</w:t>
      </w:r>
      <w:r>
        <w:rPr>
          <w:lang w:val="en_US" w:bidi="en_US"/>
        </w:rPr>
        <w:t xml:space="preserve"> anyone’s money by force or by lying about him.</w:t>
      </w:r>
    </w:p>
    <w:p>
      <w:pPr>
        <w:pStyle w:val="ListBullet"/>
        <w:spacing w:line="240" w:lineRule="auto"/>
        <w:ind w:left="720"/>
      </w:pPr>
      <w:r>
        <w:rPr>
          <w:lang w:val="en_US" w:bidi="en_US"/>
        </w:rPr>
      </w:r>
      <w:r>
        <w:rPr>
          <w:lang w:val="en_US" w:bidi="en_US"/>
        </w:rPr>
        <w:t xml:space="preserve">John said, “Do not force a person to give you money, and do not </w:t>
      </w:r>
      <w:r>
        <w:rPr>
          <w:lang w:val="en_US" w:bidi="en_US"/>
        </w:rPr>
        <w:t>try to get money</w:t>
      </w:r>
      <w:r>
        <w:rPr>
          <w:lang w:val="en_US" w:bidi="en_US"/>
        </w:rPr>
        <w:t xml:space="preserve"> by charging someone with a crime that he did not commit.</w:t>
      </w:r>
    </w:p>
    <w:p>
      <w:pPr>
        <w:pStyle w:val="ListBullet"/>
        <w:spacing w:line="240" w:lineRule="auto"/>
        <w:ind w:left="720"/>
      </w:pPr>
      <w:r>
        <w:rPr>
          <w:lang w:val="en_US" w:bidi="en_US"/>
        </w:rPr>
      </w:r>
      <w:r>
        <w:rPr>
          <w:lang w:val="en_US" w:bidi="en_US"/>
        </w:rPr>
        <w:t>John told them not to intimidate people or accuse them falsely to get their money.</w:t>
      </w:r>
    </w:p>
    <w:p>
      <w:pPr/>
      <w:r>
        <w:rPr>
          <w:lang w:val="en_US" w:bidi="en_US"/>
        </w:rPr>
      </w:r>
      <w:r>
        <w:rPr>
          <w:b/>
          <w:lang w:val="en_US" w:bidi="en_US"/>
        </w:rPr>
        <w:t>Do not take money by force or false accusation:</w:t>
      </w:r>
      <w:r>
        <w:rPr>
          <w:lang w:val="en_US" w:bidi="en_US"/>
        </w:rPr>
        <w:t xml:space="preserve"> This part of the verse indicates that the soldiers should not get money from people by violence or by accusing them falsely.</w:t>
      </w:r>
      <w:r>
        <w:rPr>
          <w:lang w:val="en_US" w:bidi="en_US"/>
        </w:rPr>
        <w:t>Some English versions do not indicate that the soldiers falsely accused people in order to get money from them. However, it is better to indicate that relationship between the actions.</w:t>
      </w:r>
      <w:r>
        <w:rPr>
          <w:lang w:val="en_US" w:bidi="en_US"/>
        </w:rPr>
        <w:t xml:space="preserve"> Some ways to translate this are:</w:t>
      </w:r>
    </w:p>
    <w:p>
      <w:pPr/>
      <w:r>
        <w:rPr>
          <w:lang w:val="en_US" w:bidi="en_US"/>
        </w:rPr>
      </w:r>
      <w:r>
        <w:rPr>
          <w:lang w:val="en_US" w:bidi="en_US"/>
        </w:rPr>
        <w:t>Take money from no one by violence or by false accusation (NET)</w:t>
      </w:r>
    </w:p>
    <w:p>
      <w:pPr/>
      <w:r>
        <w:rPr>
          <w:lang w:val="en_US" w:bidi="en_US"/>
        </w:rPr>
      </w:r>
      <w:r>
        <w:rPr>
          <w:lang w:val="en_US" w:bidi="en_US"/>
        </w:rPr>
        <w:t>Do not extort money from anyone by threats or false accusation (NRSV)</w:t>
      </w:r>
    </w:p>
    <w:p>
      <w:pPr/>
      <w:r>
        <w:rPr>
          <w:lang w:val="en_US" w:bidi="en_US"/>
        </w:rPr>
      </w:r>
      <w:r>
        <w:rPr>
          <w:b/>
          <w:lang w:val="en_US" w:bidi="en_US"/>
        </w:rPr>
        <w:t>Do not take money by force:</w:t>
      </w:r>
      <w:r>
        <w:rPr>
          <w:lang w:val="en_US" w:bidi="en_US"/>
        </w:rPr>
        <w:t xml:space="preserve"> The Greek clause that the BSB translates as </w:t>
      </w:r>
      <w:r>
        <w:rPr>
          <w:i/>
          <w:lang w:val="en_US" w:bidi="en_US"/>
        </w:rPr>
        <w:t>Do not take money by force</w:t>
      </w:r>
      <w:r>
        <w:rPr>
          <w:lang w:val="en_US" w:bidi="en_US"/>
        </w:rPr>
        <w:t xml:space="preserve"> is literally “Do not shake violently.” John was telling the soldiers that they should not use violence or intimidate people in order to get money from them. Some ways to translate this are:</w:t>
      </w:r>
    </w:p>
    <w:p>
      <w:pPr/>
      <w:r>
        <w:rPr>
          <w:lang w:val="en_US" w:bidi="en_US"/>
        </w:rPr>
      </w:r>
      <w:r>
        <w:rPr>
          <w:lang w:val="en_US" w:bidi="en_US"/>
        </w:rPr>
        <w:t>Do not intimidate people to give you their money.</w:t>
      </w:r>
    </w:p>
    <w:p>
      <w:pPr/>
      <w:r>
        <w:rPr>
          <w:lang w:val="en_US" w:bidi="en_US"/>
        </w:rPr>
      </w:r>
      <w:r>
        <w:rPr>
          <w:lang w:val="en_US" w:bidi="en_US"/>
        </w:rPr>
        <w:t>Do not threaten people with violence so that they will give you money not to harm them.</w:t>
      </w:r>
    </w:p>
    <w:p>
      <w:pPr/>
      <w:r>
        <w:rPr>
          <w:lang w:val="en_US" w:bidi="en_US"/>
        </w:rPr>
      </w:r>
      <w:r>
        <w:rPr>
          <w:lang w:val="en_US" w:bidi="en_US"/>
        </w:rPr>
        <w:t>Don’t take money from anyone by force (GNT)</w:t>
      </w:r>
    </w:p>
    <w:p>
      <w:pPr/>
      <w:r>
        <w:rPr>
          <w:lang w:val="en_US" w:bidi="en_US"/>
        </w:rPr>
      </w:r>
      <w:r>
        <w:rPr>
          <w:b/>
          <w:lang w:val="en_US" w:bidi="en_US"/>
        </w:rPr>
        <w:t>or false accusation:</w:t>
      </w:r>
      <w:r>
        <w:rPr>
          <w:lang w:val="en_US" w:bidi="en_US"/>
        </w:rPr>
        <w:t xml:space="preserve"> In this context the phrase </w:t>
      </w:r>
      <w:r>
        <w:rPr>
          <w:i/>
          <w:lang w:val="en_US" w:bidi="en_US"/>
        </w:rPr>
        <w:t>or false accusation</w:t>
      </w:r>
      <w:r>
        <w:rPr>
          <w:lang w:val="en_US" w:bidi="en_US"/>
        </w:rPr>
        <w:t xml:space="preserve"> refers to trying to get money from someone by saying that he committed a crime that he did not commit. When the court charged the innocent person money for that crime, the soldier who accused him would get part of the money.</w:t>
      </w:r>
    </w:p>
    <w:p>
      <w:pPr/>
      <w:r>
        <w:rPr>
          <w:lang w:val="en_US" w:bidi="en_US"/>
        </w:rPr>
      </w:r>
      <w:r>
        <w:rPr>
          <w:lang w:val="en_US" w:bidi="en_US"/>
        </w:rPr>
        <w:t>Some ways to translate this are:</w:t>
      </w:r>
    </w:p>
    <w:p>
      <w:pPr/>
      <w:r>
        <w:rPr>
          <w:lang w:val="en_US" w:bidi="en_US"/>
        </w:rPr>
      </w:r>
      <w:r>
        <w:rPr>
          <w:lang w:val="en_US" w:bidi="en_US"/>
        </w:rPr>
        <w:t>and you must not try to get money by charging any person with a crime he did not commit</w:t>
      </w:r>
    </w:p>
    <w:p>
      <w:pPr/>
      <w:r>
        <w:rPr>
          <w:lang w:val="en_US" w:bidi="en_US"/>
        </w:rPr>
      </w:r>
      <w:r>
        <w:rPr>
          <w:lang w:val="en_US" w:bidi="en_US"/>
        </w:rPr>
        <w:t xml:space="preserve">Do not </w:t>
      </w:r>
      <w:r>
        <w:rPr>
          <w:lang w:val="en_US" w:bidi="en_US"/>
        </w:rPr>
        <w:t>try to get money by</w:t>
      </w:r>
      <w:r>
        <w:rPr>
          <w:lang w:val="en_US" w:bidi="en_US"/>
        </w:rPr>
        <w:t xml:space="preserve"> lying about people</w:t>
      </w:r>
    </w:p>
    <w:p>
      <w:pPr/>
      <w:r>
        <w:rPr>
          <w:lang w:val="en_US" w:bidi="en_US"/>
        </w:rPr>
      </w:r>
      <w:r>
        <w:rPr>
          <w:lang w:val="en_US" w:bidi="en_US"/>
        </w:rPr>
        <w:t>In some translations it may be helpful to include a footnote about this. For example, the NET has this note:</w:t>
      </w:r>
    </w:p>
    <w:p>
      <w:pPr/>
      <w:r>
        <w:rPr>
          <w:lang w:val="en_US" w:bidi="en_US"/>
        </w:rPr>
      </w:r>
      <w:r>
        <w:rPr>
          <w:lang w:val="en_US" w:bidi="en_US"/>
        </w:rPr>
        <w:t>…someone could bring charges against an individual and be paid a part of the fine imposed by the court. Soldiers could do this to supplement their pay, and would thus be tempted to make false accusations.</w:t>
      </w:r>
    </w:p>
    <w:p>
      <w:pPr/>
      <w:r>
        <w:rPr>
          <w:lang w:val="en_US" w:bidi="en_US"/>
        </w:rPr>
      </w:r>
      <w:r>
        <w:rPr>
          <w:b/>
          <w:lang w:val="en_US" w:bidi="en_US"/>
        </w:rPr>
        <w:t>he said:</w:t>
      </w:r>
      <w:r>
        <w:rPr>
          <w:lang w:val="en_US" w:bidi="en_US"/>
        </w:rPr>
        <w:t xml:space="preserve"> The BSB has placed the words </w:t>
      </w:r>
      <w:r>
        <w:rPr>
          <w:i/>
          <w:lang w:val="en_US" w:bidi="en_US"/>
        </w:rPr>
        <w:t>he said</w:t>
      </w:r>
      <w:r>
        <w:rPr>
          <w:lang w:val="en_US" w:bidi="en_US"/>
        </w:rPr>
        <w:t xml:space="preserve"> in the middle of what John told the soldiers. Place these words where it is natural in your language.</w:t>
      </w:r>
    </w:p>
    <w:p>
      <w:pPr>
        <w:pStyle w:val="Heading5"/>
      </w:pPr>
      <w:r>
        <w:rPr>
          <w:lang w:val="en_US" w:bidi="en_US"/>
        </w:rPr>
        <w:t>3:14c</w:t>
      </w:r>
    </w:p>
    <w:p>
      <w:pPr/>
      <w:r>
        <w:rPr>
          <w:lang w:val="en_US" w:bidi="en_US"/>
        </w:rPr>
      </w:r>
      <w:r>
        <w:rPr>
          <w:b/>
          <w:lang w:val="en_US" w:bidi="en_US"/>
        </w:rPr>
        <w:t>“Be content with your wages.”</w:t>
      </w:r>
    </w:p>
    <w:p>
      <w:pPr>
        <w:pStyle w:val="ListBullet"/>
        <w:spacing w:line="240" w:lineRule="auto"/>
        <w:ind w:left="720"/>
      </w:pPr>
      <w:r>
        <w:rPr>
          <w:lang w:val="en_US" w:bidi="en_US"/>
        </w:rPr>
      </w:r>
      <w:r>
        <w:rPr>
          <w:lang w:val="en_US" w:bidi="en_US"/>
        </w:rPr>
        <w:t>Instead,</w:t>
      </w:r>
      <w:r>
        <w:rPr>
          <w:lang w:val="en_US" w:bidi="en_US"/>
        </w:rPr>
        <w:t xml:space="preserve"> be satisfied with your pay/wages.”</w:t>
      </w:r>
    </w:p>
    <w:p>
      <w:pPr>
        <w:pStyle w:val="ListBullet"/>
        <w:spacing w:line="240" w:lineRule="auto"/>
        <w:ind w:left="720"/>
      </w:pPr>
      <w:r>
        <w:rPr>
          <w:lang w:val="en_US" w:bidi="en_US"/>
        </w:rPr>
      </w:r>
      <w:r>
        <w:rPr>
          <w:lang w:val="en_US" w:bidi="en_US"/>
        </w:rPr>
        <w:t>Rather,</w:t>
      </w:r>
      <w:r>
        <w:rPr>
          <w:lang w:val="en_US" w:bidi="en_US"/>
        </w:rPr>
        <w:t xml:space="preserve"> be content with the money that </w:t>
      </w:r>
      <w:r>
        <w:rPr>
          <w:lang w:val="en_US" w:bidi="en_US"/>
        </w:rPr>
        <w:t>the government</w:t>
      </w:r>
      <w:r>
        <w:rPr>
          <w:lang w:val="en_US" w:bidi="en_US"/>
        </w:rPr>
        <w:t xml:space="preserve"> pays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He told them that instead, they should be content with their wages.</w:t>
      </w:r>
    </w:p>
    <w:p>
      <w:pPr/>
      <w:r>
        <w:rPr>
          <w:lang w:val="en_US" w:bidi="en_US"/>
        </w:rPr>
      </w:r>
      <w:r>
        <w:rPr>
          <w:lang w:val="en_US" w:bidi="en_US"/>
        </w:rPr>
        <w:t>In this part of the verse John told soldiers what they should do, after telling them what not to do in 3:14b. Some versions start a new sentence or clause here, including the BSB. Other versions, such as the NIV, connect 3:14c to 3:14b with a dash. Do what is natural in your language for this context.</w:t>
      </w:r>
    </w:p>
    <w:p>
      <w:pPr/>
      <w:r>
        <w:rPr>
          <w:lang w:val="en_US" w:bidi="en_US"/>
        </w:rPr>
      </w:r>
      <w:r>
        <w:rPr>
          <w:b/>
          <w:lang w:val="en_US" w:bidi="en_US"/>
        </w:rPr>
        <w:t>Be content with your wages:</w:t>
      </w:r>
      <w:r>
        <w:rPr>
          <w:lang w:val="en_US" w:bidi="en_US"/>
        </w:rPr>
        <w:t xml:space="preserve"> The phrase </w:t>
      </w:r>
      <w:r>
        <w:rPr>
          <w:i/>
          <w:lang w:val="en_US" w:bidi="en_US"/>
        </w:rPr>
        <w:t>Be content with your wages</w:t>
      </w:r>
      <w:r>
        <w:rPr>
          <w:lang w:val="en_US" w:bidi="en_US"/>
        </w:rPr>
        <w:t xml:space="preserve"> means “be satisfied with what you are paid.” The word </w:t>
      </w:r>
      <w:r>
        <w:rPr>
          <w:i/>
          <w:lang w:val="en_US" w:bidi="en_US"/>
        </w:rPr>
        <w:t>wages</w:t>
      </w:r>
      <w:r>
        <w:rPr>
          <w:lang w:val="en_US" w:bidi="en_US"/>
        </w:rPr>
        <w:t xml:space="preserve"> refers to money that the government gave to a soldier to buy food and other necessities. Soldiers were not paid very much money. John told them to be content with that amount.</w:t>
      </w:r>
    </w:p>
    <w:p>
      <w:pPr/>
      <w:r>
        <w:rPr>
          <w:lang w:val="en_US" w:bidi="en_US"/>
        </w:rPr>
      </w:r>
      <w:r>
        <w:rPr>
          <w:lang w:val="en_US" w:bidi="en_US"/>
        </w:rPr>
        <w:t>Some other ways to translate this are:</w:t>
      </w:r>
    </w:p>
    <w:p>
      <w:pPr/>
      <w:r>
        <w:rPr>
          <w:lang w:val="en_US" w:bidi="en_US"/>
        </w:rPr>
      </w:r>
      <w:r>
        <w:rPr>
          <w:lang w:val="en_US" w:bidi="en_US"/>
        </w:rPr>
        <w:t>Be satisfied with your pay (GW)</w:t>
      </w:r>
    </w:p>
    <w:p>
      <w:pPr/>
      <w:r>
        <w:rPr>
          <w:lang w:val="en_US" w:bidi="en_US"/>
        </w:rPr>
      </w:r>
      <w:r>
        <w:rPr>
          <w:lang w:val="en_US" w:bidi="en_US"/>
        </w:rPr>
        <w:t>Consider your wages to be adequate</w:t>
      </w:r>
    </w:p>
    <w:p>
      <w:pPr/>
      <w:r>
        <w:rPr>
          <w:lang w:val="en_US" w:bidi="en_US"/>
        </w:rPr>
      </w:r>
      <w:r>
        <w:rPr>
          <w:lang w:val="en_US" w:bidi="en_US"/>
        </w:rPr>
        <w:t xml:space="preserve">Do not desire to be paid more than </w:t>
      </w:r>
      <w:r>
        <w:rPr>
          <w:lang w:val="en_US" w:bidi="en_US"/>
        </w:rPr>
        <w:t>the government</w:t>
      </w:r>
      <w:r>
        <w:rPr>
          <w:lang w:val="en_US" w:bidi="en_US"/>
        </w:rPr>
        <w:t xml:space="preserve"> pays you</w:t>
      </w:r>
      <w:r>
        <w:rPr>
          <w:lang w:val="en_US" w:bidi="en_US"/>
        </w:rPr>
      </w:r>
      <w:r>
        <w:rPr>
          <w:lang w:val="en_US" w:bidi="en_US"/>
        </w:rPr>
      </w:r>
    </w:p>
    <w:p>
      <w:pPr/>
      <w:r>
        <w:rPr>
          <w:lang w:val="en_US" w:bidi="en_US"/>
        </w:rPr>
      </w:r>
    </w:p>
    <w:p>
      <w:pPr>
        <w:pStyle w:val="Heading2"/>
      </w:pPr>
      <w:r>
        <w:rPr>
          <w:lang w:val="en_US" w:bidi="en_US"/>
        </w:rPr>
        <w:t>Luke 3:15</w:t>
      </w:r>
      <w:r>
        <w:rPr>
          <w:lang w:val="en_US" w:bidi="en_US"/>
        </w:rPr>
      </w:r>
    </w:p>
    <w:p>
      <w:pPr>
        <w:pStyle w:val="Heading4"/>
      </w:pPr>
      <w:r>
        <w:rPr>
          <w:lang w:val="en_US" w:bidi="en_US"/>
        </w:rPr>
        <w:t>Section 3:1–20: John the Baptizer prepared the way for Jesus</w:t>
      </w:r>
    </w:p>
    <w:p>
      <w:pPr/>
      <w:r>
        <w:rPr>
          <w:lang w:val="en_US" w:bidi="en_US"/>
        </w:rPr>
      </w:r>
      <w:r>
        <w:rPr>
          <w:lang w:val="en_US" w:bidi="en_US"/>
        </w:rP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Preaching of John (NCV)</w:t>
      </w:r>
    </w:p>
    <w:p>
      <w:pPr/>
      <w:r>
        <w:rPr>
          <w:lang w:val="en_US" w:bidi="en_US"/>
        </w:rPr>
      </w:r>
      <w:r>
        <w:rPr>
          <w:lang w:val="en_US" w:bidi="en_US"/>
        </w:rPr>
        <w:t>John the Baptist and Jesus (REB)</w:t>
      </w:r>
    </w:p>
    <w:p>
      <w:pPr/>
      <w:r>
        <w:rPr>
          <w:lang w:val="en_US" w:bidi="en_US"/>
        </w:rPr>
      </w:r>
      <w:r>
        <w:rPr>
          <w:lang w:val="en_US" w:bidi="en_US"/>
        </w:rPr>
        <w:t>John the Baptizer tells people to prepare themselves for the Messiah</w:t>
      </w:r>
    </w:p>
    <w:p>
      <w:pPr/>
      <w:r>
        <w:rPr>
          <w:lang w:val="en_US" w:bidi="en_US"/>
        </w:rPr>
      </w:r>
      <w:r>
        <w:rPr>
          <w:lang w:val="en_US" w:bidi="en_US"/>
        </w:rPr>
        <w:t>Parts of Luke 3:1–20 are basically the same as verses in Matthew 3:1–12. But Luke 3:1–2, 10–14, and 19–20 are not in Matthew.</w:t>
      </w:r>
    </w:p>
    <w:p>
      <w:pPr>
        <w:pStyle w:val="Heading4"/>
      </w:pPr>
      <w:r>
        <w:rPr>
          <w:lang w:val="en_US" w:bidi="en_US"/>
        </w:rPr>
        <w:t>Paragraph 3:15–18</w:t>
      </w:r>
    </w:p>
    <w:p>
      <w:pPr/>
      <w:r>
        <w:rPr>
          <w:lang w:val="en_US" w:bidi="en_US"/>
        </w:rPr>
      </w:r>
      <w:r>
        <w:rPr>
          <w:lang w:val="en_US" w:bidi="en_US"/>
        </w:rPr>
        <w:t>The people who listened to John began to think that John himself might be the Christ/Messiah. But John made it clear that the Messiah was a different person who would come after him. The Messiah would have much greater authority and power than John had.</w:t>
      </w:r>
    </w:p>
    <w:p>
      <w:pPr>
        <w:pStyle w:val="Heading5"/>
      </w:pPr>
      <w:r>
        <w:rPr>
          <w:lang w:val="en_US" w:bidi="en_US"/>
        </w:rPr>
        <w:t>3:15a</w:t>
      </w:r>
    </w:p>
    <w:p>
      <w:pPr/>
      <w:r>
        <w:rPr>
          <w:lang w:val="en_US" w:bidi="en_US"/>
        </w:rPr>
      </w:r>
      <w:r>
        <w:rPr>
          <w:b/>
          <w:lang w:val="en_US" w:bidi="en_US"/>
        </w:rPr>
        <w:t>The people were waiting expectantly</w:t>
      </w:r>
    </w:p>
    <w:p>
      <w:pPr>
        <w:pStyle w:val="ListBullet"/>
        <w:spacing w:line="240" w:lineRule="auto"/>
        <w:ind w:left="720"/>
      </w:pPr>
      <w:r>
        <w:rPr>
          <w:lang w:val="en_US" w:bidi="en_US"/>
        </w:rPr>
      </w:r>
      <w:r>
        <w:rPr>
          <w:lang w:val="en_US" w:bidi="en_US"/>
        </w:rPr>
        <w:t xml:space="preserve">¶ The people were hopefully expecting </w:t>
      </w:r>
      <w:r>
        <w:rPr>
          <w:lang w:val="en_US" w:bidi="en_US"/>
        </w:rPr>
        <w:t>the Christ/Messiah</w:t>
      </w:r>
      <w:r>
        <w:rPr>
          <w:lang w:val="en_US" w:bidi="en_US"/>
        </w:rPr>
        <w:t>.</w:t>
      </w:r>
    </w:p>
    <w:p>
      <w:pPr>
        <w:pStyle w:val="ListBullet"/>
        <w:spacing w:line="240" w:lineRule="auto"/>
        <w:ind w:left="720"/>
      </w:pPr>
      <w:r>
        <w:rPr>
          <w:lang w:val="en_US" w:bidi="en_US"/>
        </w:rPr>
      </w:r>
      <w:r>
        <w:rPr>
          <w:lang w:val="en_US" w:bidi="en_US"/>
        </w:rPr>
        <w:t xml:space="preserve">¶ Many people were anticipating </w:t>
      </w:r>
      <w:r>
        <w:rPr>
          <w:lang w:val="en_US" w:bidi="en_US"/>
        </w:rPr>
        <w:t>that the Christ was about to come</w:t>
      </w:r>
      <w:r>
        <w:rPr>
          <w:lang w:val="en_US" w:bidi="en_US"/>
        </w:rPr>
        <w:t>.</w:t>
      </w:r>
    </w:p>
    <w:p>
      <w:pPr/>
      <w:r>
        <w:rPr>
          <w:lang w:val="en_US" w:bidi="en_US"/>
        </w:rPr>
      </w:r>
      <w:r>
        <w:rPr>
          <w:b/>
          <w:lang w:val="en_US" w:bidi="en_US"/>
        </w:rPr>
        <w:t>The people were waiting expectantly:</w:t>
      </w:r>
      <w:r>
        <w:rPr>
          <w:lang w:val="en_US" w:bidi="en_US"/>
        </w:rPr>
        <w:t xml:space="preserve"> The Greek word that the BSB translates as </w:t>
      </w:r>
      <w:r>
        <w:rPr>
          <w:i/>
          <w:lang w:val="en_US" w:bidi="en_US"/>
        </w:rPr>
        <w:t>waiting expectantly</w:t>
      </w:r>
      <w:r>
        <w:rPr>
          <w:lang w:val="en_US" w:bidi="en_US"/>
        </w:rPr>
        <w:t xml:space="preserve"> means “to wait for,” “to look for,” or “to expect” something. The things that John had been saying had made the Jewish people excited. They expected that the Messiah would soon make his identity publicly known.</w:t>
      </w:r>
    </w:p>
    <w:p>
      <w:pPr/>
      <w:r>
        <w:rPr>
          <w:lang w:val="en_US" w:bidi="en_US"/>
        </w:rPr>
      </w:r>
      <w:r>
        <w:rPr>
          <w:lang w:val="en_US" w:bidi="en_US"/>
        </w:rPr>
        <w:t>In some languages it may be necessary to say what the people were waiting for. The next part of the verse indicates that they were waiting for the Christ. Here are some ways to translate this:</w:t>
      </w:r>
    </w:p>
    <w:p>
      <w:pPr/>
      <w:r>
        <w:rPr>
          <w:lang w:val="en_US" w:bidi="en_US"/>
        </w:rPr>
      </w:r>
      <w:r>
        <w:rPr>
          <w:lang w:val="en_US" w:bidi="en_US"/>
        </w:rPr>
        <w:t>Everyone was expecting the Messiah to come soon (NLT)</w:t>
      </w:r>
    </w:p>
    <w:p>
      <w:pPr/>
      <w:r>
        <w:rPr>
          <w:lang w:val="en_US" w:bidi="en_US"/>
        </w:rPr>
      </w:r>
      <w:r>
        <w:rPr>
          <w:lang w:val="en_US" w:bidi="en_US"/>
        </w:rPr>
        <w:t xml:space="preserve">The people were hoping to see </w:t>
      </w:r>
      <w:r>
        <w:rPr>
          <w:lang w:val="en_US" w:bidi="en_US"/>
        </w:rPr>
        <w:t>the Christ/Messiah</w:t>
      </w:r>
    </w:p>
    <w:p>
      <w:pPr>
        <w:pStyle w:val="Heading5"/>
      </w:pPr>
      <w:r>
        <w:rPr>
          <w:lang w:val="en_US" w:bidi="en_US"/>
        </w:rPr>
        <w:t>3:15b</w:t>
      </w:r>
    </w:p>
    <w:p>
      <w:pPr/>
      <w:r>
        <w:rPr>
          <w:lang w:val="en_US" w:bidi="en_US"/>
        </w:rPr>
      </w:r>
      <w:r>
        <w:rPr>
          <w:b/>
          <w:lang w:val="en_US" w:bidi="en_US"/>
        </w:rPr>
        <w:t>and were all wondering in their hearts if John could be the Christ.</w:t>
      </w:r>
    </w:p>
    <w:p>
      <w:pPr>
        <w:pStyle w:val="ListBullet"/>
        <w:spacing w:line="240" w:lineRule="auto"/>
        <w:ind w:left="720"/>
      </w:pPr>
      <w:r>
        <w:rPr>
          <w:lang w:val="en_US" w:bidi="en_US"/>
        </w:rPr>
      </w:r>
      <w:r>
        <w:rPr>
          <w:lang w:val="en_US" w:bidi="en_US"/>
        </w:rPr>
        <w:t>They were all wondering whether John himself might be the Christ/Messiah.</w:t>
      </w:r>
    </w:p>
    <w:p>
      <w:pPr>
        <w:pStyle w:val="ListBullet"/>
        <w:spacing w:line="240" w:lineRule="auto"/>
        <w:ind w:left="720"/>
      </w:pPr>
      <w:r>
        <w:rPr>
          <w:lang w:val="en_US" w:bidi="en_US"/>
        </w:rPr>
      </w:r>
      <w:r>
        <w:rPr>
          <w:lang w:val="en_US" w:bidi="en_US"/>
        </w:rPr>
        <w:t xml:space="preserve">They were all asking themselves, “Is John perhaps the Christ/Deliverer </w:t>
      </w:r>
      <w:r>
        <w:rPr>
          <w:lang w:val="en_US" w:bidi="en_US"/>
        </w:rPr>
        <w:t>whom God promised to send</w:t>
      </w:r>
      <w:r>
        <w:rPr>
          <w:lang w:val="en_US" w:bidi="en_US"/>
        </w:rPr>
        <w:t>?”</w:t>
      </w:r>
    </w:p>
    <w:p>
      <w:pPr/>
      <w:r>
        <w:rPr>
          <w:lang w:val="en_US" w:bidi="en_US"/>
        </w:rPr>
      </w:r>
      <w:r>
        <w:rPr>
          <w:b/>
          <w:lang w:val="en_US" w:bidi="en_US"/>
        </w:rPr>
        <w:t>and were all wondering in their hearts if John could be the Christ:</w:t>
      </w:r>
      <w:r>
        <w:rPr>
          <w:lang w:val="en_US" w:bidi="en_US"/>
        </w:rPr>
        <w:t xml:space="preserve"> In some languages it may be natural to start a new sentence here. It may also be natural to use direct speech. For example:</w:t>
      </w:r>
    </w:p>
    <w:p>
      <w:pPr/>
      <w:r>
        <w:rPr>
          <w:lang w:val="en_US" w:bidi="en_US"/>
        </w:rPr>
      </w:r>
      <w:r>
        <w:rPr>
          <w:lang w:val="en_US" w:bidi="en_US"/>
        </w:rPr>
        <w:t>They were all wondering, “Is John perhaps the Christ?”</w:t>
      </w:r>
    </w:p>
    <w:p>
      <w:pPr/>
      <w:r>
        <w:rPr>
          <w:lang w:val="en_US" w:bidi="en_US"/>
        </w:rPr>
      </w:r>
      <w:r>
        <w:rPr>
          <w:b/>
          <w:lang w:val="en_US" w:bidi="en_US"/>
        </w:rPr>
        <w:t>wondering in their hearts:</w:t>
      </w:r>
      <w:r>
        <w:rPr>
          <w:lang w:val="en_US" w:bidi="en_US"/>
        </w:rPr>
        <w:t xml:space="preserve"> The Greek phrase that the BSB translates as </w:t>
      </w:r>
      <w:r>
        <w:rPr>
          <w:i/>
          <w:lang w:val="en_US" w:bidi="en_US"/>
        </w:rPr>
        <w:t>wondering in their hearts</w:t>
      </w:r>
      <w:r>
        <w:rPr>
          <w:lang w:val="en_US" w:bidi="en_US"/>
        </w:rPr>
        <w:t xml:space="preserve"> is an idiom. It indicates here that they were “asking themselves” or simply “wondering.” The Jewish people were all thinking about John and trying to decide whether John was the Messiah. Other ways to translate this are:</w:t>
      </w:r>
    </w:p>
    <w:p>
      <w:pPr/>
      <w:r>
        <w:rPr>
          <w:lang w:val="en_US" w:bidi="en_US"/>
        </w:rPr>
      </w:r>
      <w:r>
        <w:rPr>
          <w:lang w:val="en_US" w:bidi="en_US"/>
        </w:rPr>
        <w:t>considering</w:t>
      </w:r>
    </w:p>
    <w:p>
      <w:pPr/>
      <w:r>
        <w:rPr>
          <w:lang w:val="en_US" w:bidi="en_US"/>
        </w:rPr>
      </w:r>
      <w:r>
        <w:rPr>
          <w:lang w:val="en_US" w:bidi="en_US"/>
        </w:rPr>
        <w:t>pondering</w:t>
      </w:r>
    </w:p>
    <w:p>
      <w:pPr/>
      <w:r>
        <w:rPr>
          <w:lang w:val="en_US" w:bidi="en_US"/>
        </w:rPr>
      </w:r>
      <w:r>
        <w:rPr>
          <w:lang w:val="en_US" w:bidi="en_US"/>
        </w:rPr>
        <w:t>thinking about</w:t>
      </w:r>
    </w:p>
    <w:p>
      <w:pPr/>
      <w:r>
        <w:rPr>
          <w:lang w:val="en_US" w:bidi="en_US"/>
        </w:rPr>
      </w:r>
      <w:r>
        <w:rPr>
          <w:b/>
          <w:lang w:val="en_US" w:bidi="en_US"/>
        </w:rPr>
        <w:t>the Christ:</w:t>
      </w:r>
      <w:r>
        <w:rPr>
          <w:lang w:val="en_US" w:bidi="en_US"/>
        </w:rPr>
        <w:t xml:space="preserve"> Here the word </w:t>
      </w:r>
      <w:r>
        <w:rPr>
          <w:i/>
          <w:lang w:val="en_US" w:bidi="en_US"/>
        </w:rPr>
        <w:t>Christ</w:t>
      </w:r>
      <w:r>
        <w:rPr>
          <w:lang w:val="en_US" w:bidi="en_US"/>
        </w:rPr>
        <w:t xml:space="preserve"> is used as a title. It is not just one of Jesus’ names. The Jews used this title to refer to the person whom God had appointed and promised to send as king and savior. The title </w:t>
      </w:r>
      <w:r>
        <w:rPr>
          <w:i/>
          <w:lang w:val="en_US" w:bidi="en_US"/>
        </w:rPr>
        <w:t>Christ</w:t>
      </w:r>
      <w:r>
        <w:rPr>
          <w:lang w:val="en_US" w:bidi="en_US"/>
        </w:rPr>
        <w:t xml:space="preserve"> is the Greek translation of the Hebrew word “Messiah,” and the two words have the same meaning.</w:t>
      </w:r>
    </w:p>
    <w:p>
      <w:pPr/>
      <w:r>
        <w:rPr>
          <w:lang w:val="en_US" w:bidi="en_US"/>
        </w:rPr>
      </w:r>
      <w:r>
        <w:rPr>
          <w:lang w:val="en_US" w:bidi="en_US"/>
        </w:rPr>
        <w:t xml:space="preserve">Some ways to translate </w:t>
      </w:r>
      <w:r>
        <w:rPr>
          <w:i/>
          <w:lang w:val="en_US" w:bidi="en_US"/>
        </w:rPr>
        <w:t>Christ</w:t>
      </w:r>
      <w:r>
        <w:rPr>
          <w:lang w:val="en_US" w:bidi="en_US"/>
        </w:rPr>
        <w:t xml:space="preserve"> are:</w:t>
      </w:r>
    </w:p>
    <w:p>
      <w:pPr>
        <w:pStyle w:val="ListBullet"/>
        <w:spacing w:line="240" w:lineRule="auto"/>
        <w:ind w:left="720"/>
      </w:pPr>
      <w:r>
        <w:rPr>
          <w:lang w:val="en_US" w:bidi="en_US"/>
        </w:rPr>
      </w:r>
      <w:r>
        <w:rPr>
          <w:lang w:val="en_US" w:bidi="en_US"/>
        </w:rPr>
        <w:t xml:space="preserve">Use a title or a descriptive phrase in your language that has the same meaning as </w:t>
      </w:r>
      <w:r>
        <w:rPr>
          <w:i/>
          <w:lang w:val="en_US" w:bidi="en_US"/>
        </w:rPr>
        <w:t>Christ</w:t>
      </w:r>
      <w:r>
        <w:rPr>
          <w:lang w:val="en_US" w:bidi="en_US"/>
        </w:rPr>
        <w:t>. For example:</w:t>
      </w:r>
      <w:r>
        <w:rPr>
          <w:lang w:val="en_US" w:bidi="en_US"/>
        </w:rPr>
        <w:t>Messiah</w:t>
      </w:r>
      <w:r>
        <w:rPr>
          <w:lang w:val="en_US" w:bidi="en_US"/>
        </w:rPr>
        <w:t>Promised Deliverer</w:t>
      </w:r>
      <w:r>
        <w:rPr>
          <w:lang w:val="en_US" w:bidi="en_US"/>
        </w:rPr>
        <w:t>the Rescuer-King whom God appointed</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include a phrase that explains the meaning. For example:</w:t>
      </w:r>
      <w:r>
        <w:rPr>
          <w:lang w:val="en_US" w:bidi="en_US"/>
        </w:rPr>
        <w:t>Christ, the appointed one</w:t>
      </w:r>
      <w:r>
        <w:rPr>
          <w:lang w:val="en_US" w:bidi="en_US"/>
        </w:rPr>
        <w:t>Cristo, the Savior whom God promised to send</w:t>
      </w:r>
      <w:r>
        <w:rPr>
          <w:lang w:val="en_US" w:bidi="en_US"/>
        </w:rPr>
        <w:t>the Christ who comes from God</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indicate in some way that it is a title. For example:</w:t>
      </w:r>
      <w:r>
        <w:rPr>
          <w:lang w:val="en_US" w:bidi="en_US"/>
        </w:rPr>
        <w:t>the Christ</w:t>
      </w:r>
      <w:r>
        <w:rPr>
          <w:lang w:val="en_US" w:bidi="en_US"/>
        </w:rPr>
        <w:t>the Kirisita</w:t>
      </w:r>
    </w:p>
    <w:p>
      <w:pPr/>
      <w:r>
        <w:rPr>
          <w:lang w:val="en_US" w:bidi="en_US"/>
        </w:rPr>
      </w:r>
      <w:r>
        <w:rPr>
          <w:lang w:val="en_US" w:bidi="en_US"/>
        </w:rPr>
        <w:t xml:space="preserve">If you do not indicate the meaning of </w:t>
      </w:r>
      <w:r>
        <w:rPr>
          <w:i/>
          <w:lang w:val="en_US" w:bidi="en_US"/>
        </w:rPr>
        <w:t>Christ</w:t>
      </w:r>
      <w:r>
        <w:rPr>
          <w:lang w:val="en_US" w:bidi="en_US"/>
        </w:rPr>
        <w:t xml:space="preserve"> in the text, you may want to include a footnote to explain it. Or you may want to explain the meaning in a glossary. For example:</w:t>
      </w:r>
    </w:p>
    <w:p>
      <w:pPr/>
      <w:r>
        <w:rPr>
          <w:lang w:val="en_US" w:bidi="en_US"/>
        </w:rPr>
      </w:r>
      <w:r>
        <w:rPr>
          <w:lang w:val="en_US" w:bidi="en_US"/>
        </w:rPr>
        <w:t>The word/title “Christ” refers to the king and savior whom God had promised to send.</w:t>
      </w:r>
    </w:p>
    <w:p>
      <w:pPr/>
      <w:r>
        <w:rPr>
          <w:lang w:val="en_US" w:bidi="en_US"/>
        </w:rPr>
      </w:r>
      <w:r>
        <w:rPr>
          <w:lang w:val="en_US" w:bidi="en_US"/>
        </w:rPr>
        <w:t xml:space="preserve">See also Christ in the Glossary. The word </w:t>
      </w:r>
      <w:r>
        <w:rPr>
          <w:i/>
          <w:lang w:val="en_US" w:bidi="en_US"/>
        </w:rPr>
        <w:t>Christ</w:t>
      </w:r>
      <w:r>
        <w:rPr>
          <w:lang w:val="en_US" w:bidi="en_US"/>
        </w:rPr>
        <w:t xml:space="preserve"> was also used in 2:11b.</w:t>
      </w:r>
    </w:p>
    <w:p>
      <w:pPr>
        <w:pStyle w:val="Heading6"/>
      </w:pPr>
      <w:r>
        <w:rPr>
          <w:b/>
          <w:lang w:val="en_US" w:bidi="en_US"/>
        </w:rPr>
        <w:t>General Comment on 3:15a–b</w:t>
      </w:r>
    </w:p>
    <w:p>
      <w:pPr/>
      <w:r>
        <w:rPr>
          <w:lang w:val="en_US" w:bidi="en_US"/>
        </w:rPr>
      </w:r>
      <w:r>
        <w:rPr>
          <w:lang w:val="en_US" w:bidi="en_US"/>
        </w:rPr>
        <w:t>In some languages it may be helpful to indicate the connection between the parts of this verse in a more explicit way. For example:</w:t>
      </w:r>
    </w:p>
    <w:p>
      <w:pPr/>
      <w:r>
        <w:rPr>
          <w:lang w:val="en_US" w:bidi="en_US"/>
        </w:rPr>
      </w:r>
      <w:r>
        <w:rPr>
          <w:vertAlign w:val="superscript"/>
          <w:lang w:val="en_US" w:bidi="en_US"/>
        </w:rPr>
        <w:t>15a</w:t>
      </w:r>
      <w:r>
        <w:rPr>
          <w:lang w:val="en_US" w:bidi="en_US"/>
        </w:rPr>
        <w:t xml:space="preserve">Since the people were hoping for the Christ to come, </w:t>
      </w:r>
      <w:r>
        <w:rPr>
          <w:vertAlign w:val="superscript"/>
          <w:lang w:val="en_US" w:bidi="en_US"/>
        </w:rPr>
        <w:t>15b</w:t>
      </w:r>
      <w:r>
        <w:rPr>
          <w:lang w:val="en_US" w:bidi="en_US"/>
        </w:rPr>
        <w:t>they wondered if John might be the one. (NCV)</w:t>
      </w:r>
      <w:r>
        <w:rPr>
          <w:lang w:val="en_US" w:bidi="en_US"/>
        </w:rPr>
      </w:r>
      <w:r>
        <w:rPr>
          <w:lang w:val="en_US" w:bidi="en_US"/>
        </w:rPr>
      </w:r>
    </w:p>
    <w:p>
      <w:pPr/>
      <w:r>
        <w:rPr>
          <w:lang w:val="en_US" w:bidi="en_US"/>
        </w:rPr>
      </w:r>
    </w:p>
    <w:p>
      <w:pPr>
        <w:pStyle w:val="Heading2"/>
      </w:pPr>
      <w:r>
        <w:rPr>
          <w:lang w:val="en_US" w:bidi="en_US"/>
        </w:rPr>
        <w:t>Luke 3:16</w:t>
      </w:r>
      <w:r>
        <w:rPr>
          <w:lang w:val="en_US" w:bidi="en_US"/>
        </w:rPr>
      </w:r>
    </w:p>
    <w:p>
      <w:pPr>
        <w:pStyle w:val="Heading4"/>
      </w:pPr>
      <w:r>
        <w:rPr>
          <w:lang w:val="en_US" w:bidi="en_US"/>
        </w:rPr>
        <w:t>Section 3:1–20: John the Baptizer prepared the way for Jesus</w:t>
      </w:r>
    </w:p>
    <w:p>
      <w:pPr/>
      <w:r>
        <w:rPr>
          <w:lang w:val="en_US" w:bidi="en_US"/>
        </w:rPr>
      </w:r>
      <w:r>
        <w:rPr>
          <w:lang w:val="en_US" w:bidi="en_US"/>
        </w:rP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Preaching of John (NCV)</w:t>
      </w:r>
    </w:p>
    <w:p>
      <w:pPr/>
      <w:r>
        <w:rPr>
          <w:lang w:val="en_US" w:bidi="en_US"/>
        </w:rPr>
      </w:r>
      <w:r>
        <w:rPr>
          <w:lang w:val="en_US" w:bidi="en_US"/>
        </w:rPr>
        <w:t>John the Baptist and Jesus (REB)</w:t>
      </w:r>
    </w:p>
    <w:p>
      <w:pPr/>
      <w:r>
        <w:rPr>
          <w:lang w:val="en_US" w:bidi="en_US"/>
        </w:rPr>
      </w:r>
      <w:r>
        <w:rPr>
          <w:lang w:val="en_US" w:bidi="en_US"/>
        </w:rPr>
        <w:t>John the Baptizer tells people to prepare themselves for the Messiah</w:t>
      </w:r>
    </w:p>
    <w:p>
      <w:pPr/>
      <w:r>
        <w:rPr>
          <w:lang w:val="en_US" w:bidi="en_US"/>
        </w:rPr>
      </w:r>
      <w:r>
        <w:rPr>
          <w:lang w:val="en_US" w:bidi="en_US"/>
        </w:rPr>
        <w:t>Parts of Luke 3:1–20 are basically the same as verses in Matthew 3:1–12. But Luke 3:1–2, 10–14, and 19–20 are not in Matthew.</w:t>
      </w:r>
    </w:p>
    <w:p>
      <w:pPr>
        <w:pStyle w:val="Heading4"/>
      </w:pPr>
      <w:r>
        <w:rPr>
          <w:lang w:val="en_US" w:bidi="en_US"/>
        </w:rPr>
        <w:t>Paragraph 3:15–18</w:t>
      </w:r>
    </w:p>
    <w:p>
      <w:pPr/>
      <w:r>
        <w:rPr>
          <w:lang w:val="en_US" w:bidi="en_US"/>
        </w:rPr>
      </w:r>
      <w:r>
        <w:rPr>
          <w:lang w:val="en_US" w:bidi="en_US"/>
        </w:rPr>
        <w:t>The people who listened to John began to think that John himself might be the Christ/Messiah. But John made it clear that the Messiah was a different person who would come after him. The Messiah would have much greater authority and power than John had.</w:t>
      </w:r>
    </w:p>
    <w:p>
      <w:pPr>
        <w:pStyle w:val="Heading5"/>
      </w:pPr>
      <w:r>
        <w:rPr>
          <w:lang w:val="en_US" w:bidi="en_US"/>
        </w:rPr>
        <w:t>3:16a</w:t>
      </w:r>
    </w:p>
    <w:p>
      <w:pPr/>
      <w:r>
        <w:rPr>
          <w:lang w:val="en_US" w:bidi="en_US"/>
        </w:rPr>
      </w:r>
      <w:r>
        <w:rPr>
          <w:b/>
          <w:lang w:val="en_US" w:bidi="en_US"/>
        </w:rPr>
        <w:t>John answered all of them: “I baptize you with water,</w:t>
      </w:r>
    </w:p>
    <w:p>
      <w:pPr>
        <w:pStyle w:val="ListBullet"/>
        <w:spacing w:line="240" w:lineRule="auto"/>
        <w:ind w:left="720"/>
      </w:pPr>
      <w:r>
        <w:rPr>
          <w:lang w:val="en_US" w:bidi="en_US"/>
        </w:rPr>
      </w:r>
      <w:r>
        <w:rPr>
          <w:lang w:val="en_US" w:bidi="en_US"/>
        </w:rPr>
        <w:t>John responded to everyone, “</w:t>
      </w:r>
      <w:r>
        <w:rPr>
          <w:lang w:val="en_US" w:bidi="en_US"/>
        </w:rPr>
        <w:t>As for me,</w:t>
      </w:r>
      <w:r>
        <w:rPr>
          <w:lang w:val="en_US" w:bidi="en_US"/>
        </w:rPr>
        <w:t xml:space="preserve"> I am baptizing you</w:t>
      </w:r>
      <w:r>
        <w:rPr>
          <w:vertAlign w:val="superscript"/>
          <w:lang w:val="en_US" w:bidi="en_US"/>
        </w:rPr>
        <w:t>(plur)</w:t>
      </w:r>
      <w:r>
        <w:rPr>
          <w:lang w:val="en_US" w:bidi="en_US"/>
        </w:rPr>
        <w:t xml:space="preserve"> using water.</w:t>
      </w:r>
    </w:p>
    <w:p>
      <w:pPr>
        <w:pStyle w:val="ListBullet"/>
        <w:spacing w:line="240" w:lineRule="auto"/>
        <w:ind w:left="720"/>
      </w:pPr>
      <w:r>
        <w:rPr>
          <w:lang w:val="en_US" w:bidi="en_US"/>
        </w:rPr>
      </w:r>
      <w:r>
        <w:rPr>
          <w:lang w:val="en_US" w:bidi="en_US"/>
        </w:rPr>
        <w:t xml:space="preserve">John said to everyone, “I, </w:t>
      </w:r>
      <w:r>
        <w:rPr>
          <w:lang w:val="en_US" w:bidi="en_US"/>
        </w:rPr>
        <w:t>for my part,</w:t>
      </w:r>
      <w:r>
        <w:rPr>
          <w:lang w:val="en_US" w:bidi="en_US"/>
        </w:rPr>
        <w:t xml:space="preserve"> baptize/wash people </w:t>
      </w:r>
      <w:r>
        <w:rPr>
          <w:lang w:val="en_US" w:bidi="en_US"/>
        </w:rPr>
        <w:t>just</w:t>
      </w:r>
      <w:r>
        <w:rPr>
          <w:lang w:val="en_US" w:bidi="en_US"/>
        </w:rPr>
        <w:t xml:space="preserve"> with water.</w:t>
      </w:r>
    </w:p>
    <w:p>
      <w:pPr/>
      <w:r>
        <w:rPr>
          <w:lang w:val="en_US" w:bidi="en_US"/>
        </w:rPr>
      </w:r>
      <w:r>
        <w:rPr>
          <w:b/>
          <w:lang w:val="en_US" w:bidi="en_US"/>
        </w:rPr>
        <w:t>John answered all of them:</w:t>
      </w:r>
      <w:r>
        <w:rPr>
          <w:lang w:val="en_US" w:bidi="en_US"/>
        </w:rPr>
        <w:t xml:space="preserve"> The Greek word that the BSB translates as </w:t>
      </w:r>
      <w:r>
        <w:rPr>
          <w:i/>
          <w:lang w:val="en_US" w:bidi="en_US"/>
        </w:rPr>
        <w:t>answered</w:t>
      </w:r>
      <w:r>
        <w:rPr>
          <w:lang w:val="en_US" w:bidi="en_US"/>
        </w:rPr>
        <w:t xml:space="preserve"> can also be translated as “replied” or “responded.” However, the text does not say that the people asked John a question. The word </w:t>
      </w:r>
      <w:r>
        <w:rPr>
          <w:i/>
          <w:lang w:val="en_US" w:bidi="en_US"/>
        </w:rPr>
        <w:t>answered</w:t>
      </w:r>
      <w:r>
        <w:rPr>
          <w:lang w:val="en_US" w:bidi="en_US"/>
        </w:rPr>
        <w:t xml:space="preserve"> may indicate here that John answered a question that the people were thinking about. John knew that the people were wondering if he might be the Christ.</w:t>
      </w:r>
      <w:r>
        <w:rPr>
          <w:lang w:val="en_US" w:bidi="en_US"/>
        </w:rPr>
        <w:t>John 1:19 says that some people asked him about this.</w:t>
      </w:r>
    </w:p>
    <w:p>
      <w:pPr/>
      <w:r>
        <w:rPr>
          <w:lang w:val="en_US" w:bidi="en_US"/>
        </w:rPr>
      </w:r>
      <w:r>
        <w:rPr>
          <w:lang w:val="en_US" w:bidi="en_US"/>
        </w:rPr>
        <w:t xml:space="preserve">In some languages it may not be natural to use a word like </w:t>
      </w:r>
      <w:r>
        <w:rPr>
          <w:i/>
          <w:lang w:val="en_US" w:bidi="en_US"/>
        </w:rPr>
        <w:t>answered</w:t>
      </w:r>
      <w:r>
        <w:rPr>
          <w:lang w:val="en_US" w:bidi="en_US"/>
        </w:rPr>
        <w:t xml:space="preserve"> unless the question has been mentioned. If that is true in your language, you may use a more general word like “said” (as in the CEV).</w:t>
      </w:r>
    </w:p>
    <w:p>
      <w:pPr/>
      <w:r>
        <w:rPr>
          <w:lang w:val="en_US" w:bidi="en_US"/>
        </w:rPr>
      </w:r>
      <w:r>
        <w:rPr>
          <w:b/>
          <w:lang w:val="en_US" w:bidi="en_US"/>
        </w:rPr>
        <w:t>I baptize you with water:</w:t>
      </w:r>
      <w:r>
        <w:rPr>
          <w:lang w:val="en_US" w:bidi="en_US"/>
        </w:rPr>
        <w:t xml:space="preserve"> The phrase </w:t>
      </w:r>
      <w:r>
        <w:rPr>
          <w:i/>
          <w:lang w:val="en_US" w:bidi="en_US"/>
        </w:rPr>
        <w:t>I baptize you with water</w:t>
      </w:r>
      <w:r>
        <w:rPr>
          <w:lang w:val="en_US" w:bidi="en_US"/>
        </w:rPr>
        <w:t xml:space="preserve"> means “I baptize you using water.” John used the water of the Jordan River to baptize people.</w:t>
      </w:r>
    </w:p>
    <w:p>
      <w:pPr/>
      <w:r>
        <w:rPr>
          <w:lang w:val="en_US" w:bidi="en_US"/>
        </w:rPr>
      </w:r>
      <w:r>
        <w:rPr>
          <w:b/>
          <w:lang w:val="en_US" w:bidi="en_US"/>
        </w:rPr>
        <w:t>I:</w:t>
      </w:r>
      <w:r>
        <w:rPr>
          <w:lang w:val="en_US" w:bidi="en_US"/>
        </w:rPr>
        <w:t xml:space="preserve"> The word </w:t>
      </w:r>
      <w:r>
        <w:rPr>
          <w:i/>
          <w:lang w:val="en_US" w:bidi="en_US"/>
        </w:rPr>
        <w:t>I</w:t>
      </w:r>
      <w:r>
        <w:rPr>
          <w:lang w:val="en_US" w:bidi="en_US"/>
        </w:rPr>
        <w:t xml:space="preserve"> is emphatic in Greek. In this context it emphasizes a contrast between John and the Messiah: “</w:t>
      </w:r>
      <w:r>
        <w:rPr>
          <w:u w:val="single"/>
          <w:lang w:val="en_US" w:bidi="en_US"/>
        </w:rPr>
        <w:t>I</w:t>
      </w:r>
      <w:r>
        <w:rPr>
          <w:lang w:val="en_US" w:bidi="en_US"/>
        </w:rPr>
        <w:t xml:space="preserve">, John, baptize with water, but </w:t>
      </w:r>
      <w:r>
        <w:rPr>
          <w:u w:val="single"/>
          <w:lang w:val="en_US" w:bidi="en_US"/>
        </w:rPr>
        <w:t>he</w:t>
      </w:r>
      <w:r>
        <w:rPr>
          <w:lang w:val="en_US" w:bidi="en_US"/>
        </w:rPr>
        <w:t>….”</w:t>
      </w:r>
    </w:p>
    <w:p>
      <w:pPr/>
      <w:r>
        <w:rPr>
          <w:lang w:val="en_US" w:bidi="en_US"/>
        </w:rPr>
      </w:r>
      <w:r>
        <w:rPr>
          <w:b/>
          <w:lang w:val="en_US" w:bidi="en_US"/>
        </w:rPr>
        <w:t>baptize:</w:t>
      </w:r>
      <w:r>
        <w:rPr>
          <w:lang w:val="en_US" w:bidi="en_US"/>
        </w:rPr>
        <w:t xml:space="preserve"> The verb </w:t>
      </w:r>
      <w:r>
        <w:rPr>
          <w:i/>
          <w:lang w:val="en_US" w:bidi="en_US"/>
        </w:rPr>
        <w:t>baptize</w:t>
      </w:r>
      <w:r>
        <w:rPr>
          <w:lang w:val="en_US" w:bidi="en_US"/>
        </w:rPr>
        <w:t xml:space="preserve"> means to purify/wash someone or something with a special ritual that uses water.</w:t>
      </w:r>
      <w:r>
        <w:rPr>
          <w:lang w:val="en_US" w:bidi="en_US"/>
        </w:rPr>
        <w:t xml:space="preserve">In English versions of Matthew, Mark, and Luke, some verses use the verbs “wash” and “clean” to translate the Greek verb </w:t>
      </w:r>
      <w:r>
        <w:rPr>
          <w:i/>
          <w:lang w:val="en_US" w:bidi="en_US"/>
        </w:rPr>
        <w:t>baptizō</w:t>
      </w:r>
      <w:r>
        <w:rPr>
          <w:lang w:val="en_US" w:bidi="en_US"/>
        </w:rPr>
        <w:t xml:space="preserve"> (“baptize”). For example, Luke 11:38 says, “But the Pharisee, noticing that Jesus did not first wash (baptize) before the meal, was surprised.” (The Greek verb here is </w:t>
      </w:r>
      <w:r>
        <w:rPr>
          <w:i/>
          <w:lang w:val="en_US" w:bidi="en_US"/>
        </w:rPr>
        <w:t>baptizō</w:t>
      </w:r>
      <w:r>
        <w:rPr>
          <w:lang w:val="en_US" w:bidi="en_US"/>
        </w:rPr>
        <w:t xml:space="preserve">, but English versions translate it as “wash.” The context refers to a ritual washing, not merely a removal of dirt.) Mark 7:4 and Matthew 23:25 both speak of washing/cleaning cups and other utensils. The verb in Mark is </w:t>
      </w:r>
      <w:r>
        <w:rPr>
          <w:i/>
          <w:lang w:val="en_US" w:bidi="en_US"/>
        </w:rPr>
        <w:t>baptizō</w:t>
      </w:r>
      <w:r>
        <w:rPr>
          <w:lang w:val="en_US" w:bidi="en_US"/>
        </w:rPr>
        <w:t xml:space="preserve">, while the verb in Matthew is </w:t>
      </w:r>
      <w:r>
        <w:rPr>
          <w:i/>
          <w:lang w:val="en_US" w:bidi="en_US"/>
        </w:rPr>
        <w:t>katharizō</w:t>
      </w:r>
      <w:r>
        <w:rPr>
          <w:lang w:val="en_US" w:bidi="en_US"/>
        </w:rPr>
        <w:t xml:space="preserve"> (clean). Again, a ritual cleansing is involved. John’s baptism and Christian baptism also involve a ritual washing, but they have spiritual purposes and results, as well as ritual ones.</w:t>
      </w:r>
      <w:r>
        <w:rPr>
          <w:lang w:val="en_US" w:bidi="en_US"/>
        </w:rPr>
        <w:t xml:space="preserve"> In this context the ritual was connected with people being purified from sin. The people were not being cleaned to remove dirt. Baptism was an initiation into a new spiritual condition.</w:t>
      </w:r>
    </w:p>
    <w:p>
      <w:pPr/>
      <w:r>
        <w:rPr>
          <w:lang w:val="en_US" w:bidi="en_US"/>
        </w:rPr>
      </w:r>
      <w:r>
        <w:rPr>
          <w:lang w:val="en_US" w:bidi="en_US"/>
        </w:rPr>
        <w:t>Here are some ways to translate “baptize”:</w:t>
      </w:r>
    </w:p>
    <w:p>
      <w:pPr>
        <w:pStyle w:val="ListBullet"/>
        <w:spacing w:line="240" w:lineRule="auto"/>
        <w:ind w:left="720"/>
      </w:pPr>
      <w:r>
        <w:rPr>
          <w:lang w:val="en_US" w:bidi="en_US"/>
        </w:rPr>
      </w:r>
      <w:r>
        <w:rPr>
          <w:lang w:val="en_US" w:bidi="en_US"/>
        </w:rPr>
        <w:t>Use a descriptive term. For example:</w:t>
      </w:r>
      <w:r>
        <w:rPr>
          <w:lang w:val="en_US" w:bidi="en_US"/>
        </w:rPr>
        <w:t>ritually</w:t>
      </w:r>
      <w:r>
        <w:rPr>
          <w:lang w:val="en_US" w:bidi="en_US"/>
        </w:rPr>
        <w:t xml:space="preserve"> wash</w:t>
      </w:r>
      <w:r>
        <w:rPr>
          <w:lang w:val="en_US" w:bidi="en_US"/>
        </w:rPr>
        <w:t xml:space="preserve">initiate </w:t>
      </w:r>
      <w:r>
        <w:rPr>
          <w:lang w:val="en_US" w:bidi="en_US"/>
        </w:rPr>
        <w:t>people</w:t>
      </w:r>
      <w:r>
        <w:rPr>
          <w:lang w:val="en_US" w:bidi="en_US"/>
        </w:rPr>
        <w:t xml:space="preserve"> in/with water</w:t>
      </w:r>
    </w:p>
    <w:p>
      <w:pPr>
        <w:pStyle w:val="ListBullet"/>
        <w:spacing w:line="240" w:lineRule="auto"/>
        <w:ind w:left="720"/>
      </w:pPr>
      <w:r>
        <w:rPr>
          <w:lang w:val="en_US" w:bidi="en_US"/>
        </w:rPr>
      </w:r>
      <w:r>
        <w:rPr>
          <w:lang w:val="en_US" w:bidi="en_US"/>
        </w:rPr>
        <w:t>Use a term for a similar ritual that is already part of your culture. You may need to indicate that it has a special connection with God here. For example:</w:t>
      </w:r>
      <w:r>
        <w:rPr>
          <w:lang w:val="en_US" w:bidi="en_US"/>
        </w:rPr>
        <w:t xml:space="preserve">purify people with </w:t>
      </w:r>
      <w:r>
        <w:rPr>
          <w:u w:val="single"/>
          <w:lang w:val="en_US" w:bidi="en_US"/>
        </w:rPr>
        <w:t>God’s</w:t>
      </w:r>
      <w:r>
        <w:rPr>
          <w:lang w:val="en_US" w:bidi="en_US"/>
        </w:rPr>
        <w:t xml:space="preserve"> ceremonial bath</w:t>
      </w:r>
      <w:r>
        <w:rPr>
          <w:lang w:val="en_US" w:bidi="en_US"/>
        </w:rPr>
        <w:t xml:space="preserve">wash people in initiation water </w:t>
      </w:r>
      <w:r>
        <w:rPr>
          <w:u w:val="single"/>
          <w:lang w:val="en_US" w:bidi="en_US"/>
        </w:rPr>
        <w:t>for God</w:t>
      </w:r>
    </w:p>
    <w:p>
      <w:pPr>
        <w:pStyle w:val="ListBullet"/>
        <w:spacing w:line="240" w:lineRule="auto"/>
        <w:ind w:left="720"/>
      </w:pPr>
      <w:r>
        <w:rPr>
          <w:lang w:val="en_US" w:bidi="en_US"/>
        </w:rPr>
      </w:r>
      <w:r>
        <w:rPr>
          <w:lang w:val="en_US" w:bidi="en_US"/>
        </w:rPr>
        <w:t>Use a term that is already accepted by the local churches. This term may be borrowed from the national language or transliterated from Greek or English.</w:t>
      </w:r>
    </w:p>
    <w:p>
      <w:pPr/>
      <w:r>
        <w:rPr>
          <w:lang w:val="en_US" w:bidi="en_US"/>
        </w:rPr>
      </w:r>
      <w:r>
        <w:rPr>
          <w:lang w:val="en_US" w:bidi="en_US"/>
        </w:rPr>
        <w:t xml:space="preserve">Luke used a form of the same Greek verb in 3:7a and 3:12a, and the noun form of this word at 3:3c. For more help in translating </w:t>
      </w:r>
      <w:r>
        <w:rPr>
          <w:i/>
          <w:lang w:val="en_US" w:bidi="en_US"/>
        </w:rPr>
        <w:t>baptize</w:t>
      </w:r>
      <w:r>
        <w:rPr>
          <w:lang w:val="en_US" w:bidi="en_US"/>
        </w:rPr>
        <w:t>, see the note for “baptism” in 3:3c and “to be baptized” in 3:7a. Also see baptize, Meaning 1, in the Glossary.</w:t>
      </w:r>
    </w:p>
    <w:p>
      <w:pPr/>
      <w:r>
        <w:rPr>
          <w:lang w:val="en_US" w:bidi="en_US"/>
        </w:rPr>
      </w:r>
      <w:r>
        <w:rPr>
          <w:b/>
          <w:lang w:val="en_US" w:bidi="en_US"/>
        </w:rPr>
        <w:t>you:</w:t>
      </w:r>
      <w:r>
        <w:rPr>
          <w:lang w:val="en_US" w:bidi="en_US"/>
        </w:rPr>
        <w:t xml:space="preserve"> John used the word </w:t>
      </w:r>
      <w:r>
        <w:rPr>
          <w:i/>
          <w:lang w:val="en_US" w:bidi="en_US"/>
        </w:rPr>
        <w:t>you</w:t>
      </w:r>
      <w:r>
        <w:rPr>
          <w:lang w:val="en_US" w:bidi="en_US"/>
        </w:rPr>
        <w:t xml:space="preserve"> to speak in general about all the people whom he baptized. This included the people who were listening to him at that time. It also included many other people who had come to him at other times. In some languages it may be more natural to translate the pronoun </w:t>
      </w:r>
      <w:r>
        <w:rPr>
          <w:i/>
          <w:lang w:val="en_US" w:bidi="en_US"/>
        </w:rPr>
        <w:t>you</w:t>
      </w:r>
      <w:r>
        <w:rPr>
          <w:lang w:val="en_US" w:bidi="en_US"/>
        </w:rPr>
        <w:t xml:space="preserve"> in a more general way. For example:</w:t>
      </w:r>
    </w:p>
    <w:p>
      <w:pPr/>
      <w:r>
        <w:rPr>
          <w:lang w:val="en_US" w:bidi="en_US"/>
        </w:rPr>
      </w:r>
      <w:r>
        <w:rPr>
          <w:lang w:val="en_US" w:bidi="en_US"/>
        </w:rPr>
        <w:t xml:space="preserve">I baptize </w:t>
      </w:r>
      <w:r>
        <w:rPr>
          <w:lang w:val="en_US" w:bidi="en_US"/>
        </w:rPr>
        <w:t>people</w:t>
      </w:r>
      <w:r>
        <w:rPr>
          <w:lang w:val="en_US" w:bidi="en_US"/>
        </w:rPr>
        <w:t xml:space="preserve"> with water</w:t>
      </w:r>
    </w:p>
    <w:p>
      <w:pPr/>
      <w:r>
        <w:rPr>
          <w:lang w:val="en_US" w:bidi="en_US"/>
        </w:rPr>
      </w:r>
      <w:r>
        <w:rPr>
          <w:lang w:val="en_US" w:bidi="en_US"/>
        </w:rPr>
        <w:t>I baptize with water (NLT96)</w:t>
      </w:r>
    </w:p>
    <w:p>
      <w:pPr>
        <w:pStyle w:val="Heading5"/>
      </w:pPr>
      <w:r>
        <w:rPr>
          <w:lang w:val="en_US" w:bidi="en_US"/>
        </w:rPr>
        <w:t>3:16b</w:t>
      </w:r>
    </w:p>
    <w:p>
      <w:pPr/>
      <w:r>
        <w:rPr>
          <w:lang w:val="en_US" w:bidi="en_US"/>
        </w:rPr>
      </w:r>
      <w:r>
        <w:rPr>
          <w:b/>
          <w:lang w:val="en_US" w:bidi="en_US"/>
        </w:rPr>
        <w:t>but One more powerful than I will come,</w:t>
      </w:r>
    </w:p>
    <w:p>
      <w:pPr>
        <w:pStyle w:val="ListBullet"/>
        <w:spacing w:line="240" w:lineRule="auto"/>
        <w:ind w:left="720"/>
      </w:pPr>
      <w:r>
        <w:rPr>
          <w:lang w:val="en_US" w:bidi="en_US"/>
        </w:rPr>
      </w:r>
      <w:r>
        <w:rPr>
          <w:lang w:val="en_US" w:bidi="en_US"/>
        </w:rPr>
        <w:t xml:space="preserve">But someone greater than I am is </w:t>
      </w:r>
      <w:r>
        <w:rPr>
          <w:lang w:val="en_US" w:bidi="en_US"/>
        </w:rPr>
        <w:t>soon</w:t>
      </w:r>
      <w:r>
        <w:rPr>
          <w:lang w:val="en_US" w:bidi="en_US"/>
        </w:rPr>
        <w:t xml:space="preserve"> coming.</w:t>
      </w:r>
    </w:p>
    <w:p>
      <w:pPr>
        <w:pStyle w:val="ListBullet"/>
        <w:spacing w:line="240" w:lineRule="auto"/>
        <w:ind w:left="720"/>
      </w:pPr>
      <w:r>
        <w:rPr>
          <w:lang w:val="en_US" w:bidi="en_US"/>
        </w:rPr>
      </w:r>
      <w:r>
        <w:rPr>
          <w:lang w:val="en_US" w:bidi="en_US"/>
        </w:rPr>
        <w:t>But someone is coming who is mightier than I am.</w:t>
      </w:r>
    </w:p>
    <w:p>
      <w:pPr/>
      <w:r>
        <w:rPr>
          <w:lang w:val="en_US" w:bidi="en_US"/>
        </w:rPr>
      </w:r>
      <w:r>
        <w:rPr>
          <w:b/>
          <w:lang w:val="en_US" w:bidi="en_US"/>
        </w:rPr>
        <w:t>but One more powerful than I will come:</w:t>
      </w:r>
      <w:r>
        <w:rPr>
          <w:lang w:val="en_US" w:bidi="en_US"/>
        </w:rPr>
        <w:t xml:space="preserve"> The clause </w:t>
      </w:r>
      <w:r>
        <w:rPr>
          <w:i/>
          <w:lang w:val="en_US" w:bidi="en_US"/>
        </w:rPr>
        <w:t>One more powerful than I</w:t>
      </w:r>
      <w:r>
        <w:rPr>
          <w:lang w:val="en_US" w:bidi="en_US"/>
        </w:rPr>
        <w:t xml:space="preserve"> refers to the Christ.</w:t>
      </w:r>
    </w:p>
    <w:p>
      <w:pPr/>
      <w:r>
        <w:rPr>
          <w:lang w:val="en_US" w:bidi="en_US"/>
        </w:rPr>
      </w:r>
      <w:r>
        <w:rPr>
          <w:b/>
          <w:lang w:val="en_US" w:bidi="en_US"/>
        </w:rPr>
        <w:t>more powerful:</w:t>
      </w:r>
      <w:r>
        <w:rPr>
          <w:lang w:val="en_US" w:bidi="en_US"/>
        </w:rPr>
        <w:t xml:space="preserve"> The phrase </w:t>
      </w:r>
      <w:r>
        <w:rPr>
          <w:i/>
          <w:lang w:val="en_US" w:bidi="en_US"/>
        </w:rPr>
        <w:t>more powerful</w:t>
      </w:r>
      <w:r>
        <w:rPr>
          <w:lang w:val="en_US" w:bidi="en_US"/>
        </w:rPr>
        <w:t xml:space="preserve"> in this context means “mightier,” “greater,” or “having more authority.” For example:</w:t>
      </w:r>
    </w:p>
    <w:p>
      <w:pPr/>
      <w:r>
        <w:rPr>
          <w:lang w:val="en_US" w:bidi="en_US"/>
        </w:rPr>
      </w:r>
      <w:r>
        <w:rPr>
          <w:lang w:val="en_US" w:bidi="en_US"/>
        </w:rPr>
        <w:t>there is one coming who is greater than I am (NCV)</w:t>
      </w:r>
    </w:p>
    <w:p>
      <w:pPr/>
      <w:r>
        <w:rPr>
          <w:lang w:val="en_US" w:bidi="en_US"/>
        </w:rPr>
      </w:r>
      <w:r>
        <w:rPr>
          <w:b/>
          <w:lang w:val="en_US" w:bidi="en_US"/>
        </w:rPr>
        <w:t>will come:</w:t>
      </w:r>
      <w:r>
        <w:rPr>
          <w:lang w:val="en_US" w:bidi="en_US"/>
        </w:rPr>
        <w:t xml:space="preserve"> The Greek verb that the BSB translates as </w:t>
      </w:r>
      <w:r>
        <w:rPr>
          <w:i/>
          <w:lang w:val="en_US" w:bidi="en_US"/>
        </w:rPr>
        <w:t>will come</w:t>
      </w:r>
      <w:r>
        <w:rPr>
          <w:lang w:val="en_US" w:bidi="en_US"/>
        </w:rPr>
        <w:t xml:space="preserve"> is literally “is coming.” It indicates here that the more powerful person would soon come.</w:t>
      </w:r>
    </w:p>
    <w:p>
      <w:pPr>
        <w:pStyle w:val="Heading5"/>
      </w:pPr>
      <w:r>
        <w:rPr>
          <w:lang w:val="en_US" w:bidi="en_US"/>
        </w:rPr>
        <w:t>3:16c</w:t>
      </w:r>
    </w:p>
    <w:p>
      <w:pPr/>
      <w:r>
        <w:rPr>
          <w:lang w:val="en_US" w:bidi="en_US"/>
        </w:rPr>
      </w:r>
      <w:r>
        <w:rPr>
          <w:b/>
          <w:lang w:val="en_US" w:bidi="en_US"/>
        </w:rPr>
        <w:t>the straps of whose sandals I am not worthy to untie.</w:t>
      </w:r>
    </w:p>
    <w:p>
      <w:pPr>
        <w:pStyle w:val="ListBullet"/>
        <w:spacing w:line="240" w:lineRule="auto"/>
        <w:ind w:left="720"/>
      </w:pPr>
      <w:r>
        <w:rPr>
          <w:lang w:val="en_US" w:bidi="en_US"/>
        </w:rPr>
      </w:r>
      <w:r>
        <w:rPr>
          <w:lang w:val="en_US" w:bidi="en_US"/>
        </w:rPr>
        <w:t>I am not worthy to even untie the thongs/laces of his sandals.</w:t>
      </w:r>
    </w:p>
    <w:p>
      <w:pPr>
        <w:pStyle w:val="ListBullet"/>
        <w:spacing w:line="240" w:lineRule="auto"/>
        <w:ind w:left="720"/>
      </w:pPr>
      <w:r>
        <w:rPr>
          <w:lang w:val="en_US" w:bidi="en_US"/>
        </w:rPr>
      </w:r>
      <w:r>
        <w:rPr>
          <w:lang w:val="en_US" w:bidi="en_US"/>
        </w:rPr>
        <w:t>I am not good enough to even undo the strings of his shoes.</w:t>
      </w:r>
    </w:p>
    <w:p>
      <w:pPr>
        <w:pStyle w:val="ListBullet"/>
        <w:spacing w:line="240" w:lineRule="auto"/>
        <w:ind w:left="720"/>
      </w:pPr>
      <w:r>
        <w:rPr>
          <w:lang w:val="en_US" w:bidi="en_US"/>
        </w:rPr>
      </w:r>
      <w:r>
        <w:rPr>
          <w:lang w:val="en_US" w:bidi="en_US"/>
        </w:rPr>
        <w:t>I am not even worthy to be his slave. (NLT96)</w:t>
      </w:r>
    </w:p>
    <w:p>
      <w:pPr/>
      <w:r>
        <w:rPr>
          <w:lang w:val="en_US" w:bidi="en_US"/>
        </w:rPr>
      </w:r>
      <w:r>
        <w:rPr>
          <w:b/>
          <w:lang w:val="en_US" w:bidi="en_US"/>
        </w:rPr>
        <w:t>the straps of whose sandals I am not worthy to untie:</w:t>
      </w:r>
      <w:r>
        <w:rPr>
          <w:lang w:val="en_US" w:bidi="en_US"/>
        </w:rPr>
        <w:t xml:space="preserve"> With this statement, John emphasized that the Christ was much greater than he was. In their culture, it was the work of a slave to untie the straps of his master’s sandals. John was saying that the Christ was so great that he, John, was not even worthy to be his slave.</w:t>
      </w:r>
    </w:p>
    <w:p>
      <w:pPr/>
      <w:r>
        <w:rPr>
          <w:lang w:val="en_US" w:bidi="en_US"/>
        </w:rPr>
      </w:r>
      <w:r>
        <w:rPr>
          <w:lang w:val="en_US" w:bidi="en_US"/>
        </w:rPr>
        <w:t>If the meaning of this action is not clear to your readers, here are some other ways to translate it:</w:t>
      </w:r>
    </w:p>
    <w:p>
      <w:pPr>
        <w:pStyle w:val="ListBullet"/>
        <w:spacing w:line="240" w:lineRule="auto"/>
        <w:ind w:left="720"/>
      </w:pPr>
      <w:r>
        <w:rPr>
          <w:lang w:val="en_US" w:bidi="en_US"/>
        </w:rPr>
      </w:r>
      <w:r>
        <w:rPr>
          <w:lang w:val="en_US" w:bidi="en_US"/>
        </w:rPr>
        <w:t>Translate both the action and its meaning. For example:</w:t>
      </w:r>
      <w:r>
        <w:rPr>
          <w:lang w:val="en_US" w:bidi="en_US"/>
        </w:rPr>
        <w:t xml:space="preserve">I feel inadequate to even </w:t>
      </w:r>
      <w:r>
        <w:rPr>
          <w:lang w:val="en_US" w:bidi="en_US"/>
        </w:rPr>
        <w:t>serve him like a slave by</w:t>
      </w:r>
      <w:r>
        <w:rPr>
          <w:lang w:val="en_US" w:bidi="en_US"/>
        </w:rPr>
        <w:t xml:space="preserve"> loosening the ties of his sandals.</w:t>
      </w:r>
    </w:p>
    <w:p>
      <w:pPr>
        <w:pStyle w:val="ListBullet"/>
        <w:spacing w:line="240" w:lineRule="auto"/>
        <w:ind w:left="720"/>
      </w:pPr>
      <w:r>
        <w:rPr>
          <w:lang w:val="en_US" w:bidi="en_US"/>
        </w:rPr>
      </w:r>
      <w:r>
        <w:rPr>
          <w:lang w:val="en_US" w:bidi="en_US"/>
        </w:rPr>
        <w:t>Translate the action in a more general way and also translate its meaning. For example:</w:t>
      </w:r>
      <w:r>
        <w:rPr>
          <w:lang w:val="en_US" w:bidi="en_US"/>
        </w:rPr>
        <w:t>I am not even qualified to take off his shoes.</w:t>
      </w:r>
      <w:r>
        <w:rPr>
          <w:lang w:val="en_US" w:bidi="en_US"/>
        </w:rPr>
        <w:t>Because of his greatness, I would be ashamed to even remove his shoes.</w:t>
      </w:r>
    </w:p>
    <w:p>
      <w:pPr>
        <w:pStyle w:val="ListBullet"/>
        <w:spacing w:line="240" w:lineRule="auto"/>
        <w:ind w:left="720"/>
      </w:pPr>
      <w:r>
        <w:rPr>
          <w:lang w:val="en_US" w:bidi="en_US"/>
        </w:rPr>
      </w:r>
      <w:r>
        <w:rPr>
          <w:lang w:val="en_US" w:bidi="en_US"/>
        </w:rPr>
        <w:t>Translate the meaning without the action. For example:</w:t>
      </w:r>
      <w:r>
        <w:rPr>
          <w:lang w:val="en_US" w:bidi="en_US"/>
        </w:rPr>
        <w:t>I am not even worthy to be his slave. (NLT96)</w:t>
      </w:r>
    </w:p>
    <w:p>
      <w:pPr/>
      <w:r>
        <w:rPr>
          <w:lang w:val="en_US" w:bidi="en_US"/>
        </w:rPr>
      </w:r>
      <w:r>
        <w:rPr>
          <w:lang w:val="en_US" w:bidi="en_US"/>
        </w:rPr>
        <w:t>In some translations it may be helpful to include a footnote to explain the meaning of untying someone’s sandals. For example, the CEV footnote says:</w:t>
      </w:r>
    </w:p>
    <w:p>
      <w:pPr/>
      <w:r>
        <w:rPr>
          <w:lang w:val="en_US" w:bidi="en_US"/>
        </w:rPr>
      </w:r>
      <w:r>
        <w:rPr>
          <w:i/>
          <w:lang w:val="en_US" w:bidi="en_US"/>
        </w:rPr>
        <w:t>untie his sandals:</w:t>
      </w:r>
      <w:r>
        <w:rPr>
          <w:lang w:val="en_US" w:bidi="en_US"/>
        </w:rPr>
        <w:t xml:space="preserve"> This was the duty of a slave.</w:t>
      </w:r>
    </w:p>
    <w:p>
      <w:pPr/>
      <w:r>
        <w:rPr>
          <w:lang w:val="en_US" w:bidi="en_US"/>
        </w:rPr>
      </w:r>
      <w:r>
        <w:rPr>
          <w:b/>
          <w:lang w:val="en_US" w:bidi="en_US"/>
        </w:rPr>
        <w:t>straps:</w:t>
      </w:r>
      <w:r>
        <w:rPr>
          <w:lang w:val="en_US" w:bidi="en_US"/>
        </w:rPr>
        <w:t xml:space="preserve"> The word </w:t>
      </w:r>
      <w:r>
        <w:rPr>
          <w:i/>
          <w:lang w:val="en_US" w:bidi="en_US"/>
        </w:rPr>
        <w:t>straps</w:t>
      </w:r>
      <w:r>
        <w:rPr>
          <w:lang w:val="en_US" w:bidi="en_US"/>
        </w:rPr>
        <w:t xml:space="preserve"> refers to thongs or strings that tied a sandal onto a person’s foot. The thongs were usually made of leather (animal skin).</w:t>
      </w:r>
    </w:p>
    <w:p>
      <w:pPr/>
      <w:r>
        <w:rPr>
          <w:lang w:val="en_US" w:bidi="en_US"/>
        </w:rPr>
      </w:r>
      <w:r>
        <w:rPr>
          <w:b/>
          <w:lang w:val="en_US" w:bidi="en_US"/>
        </w:rPr>
        <w:t>sandals:</w:t>
      </w:r>
      <w:r>
        <w:rPr>
          <w:lang w:val="en_US" w:bidi="en_US"/>
        </w:rPr>
        <w:t xml:space="preserve"> The word </w:t>
      </w:r>
      <w:r>
        <w:rPr>
          <w:i/>
          <w:lang w:val="en_US" w:bidi="en_US"/>
        </w:rPr>
        <w:t>sandals</w:t>
      </w:r>
      <w:r>
        <w:rPr>
          <w:lang w:val="en_US" w:bidi="en_US"/>
        </w:rPr>
        <w:t xml:space="preserve"> refers to a type of shoe. The sandals people wore in that time were usually made from a piece of leather that formed a bottom for the shoe. This leather bottom was tied onto the foot with leather straps or thongs.</w:t>
      </w:r>
    </w:p>
    <w:p>
      <w:pPr/>
      <w:r>
        <w:rPr>
          <w:lang w:val="en_US" w:bidi="en_US"/>
        </w:rPr>
      </w:r>
      <w:r>
        <w:rPr>
          <w:b/>
          <w:lang w:val="en_US" w:bidi="en_US"/>
        </w:rPr>
        <w:t>I am not worthy:</w:t>
      </w:r>
      <w:r>
        <w:rPr>
          <w:lang w:val="en_US" w:bidi="en_US"/>
        </w:rPr>
        <w:t xml:space="preserve"> The Greek word that the BSB translates as </w:t>
      </w:r>
      <w:r>
        <w:rPr>
          <w:i/>
          <w:lang w:val="en_US" w:bidi="en_US"/>
        </w:rPr>
        <w:t>worthy</w:t>
      </w:r>
      <w:r>
        <w:rPr>
          <w:lang w:val="en_US" w:bidi="en_US"/>
        </w:rPr>
        <w:t xml:space="preserve"> means “qualified” or “adequate” to do something. John felt that he was not important enough to act as Jesus’ slave. He felt he did not deserve the honor of serving him. He was emphasizing how great Jesus was.</w:t>
      </w:r>
    </w:p>
    <w:p>
      <w:pPr/>
      <w:r>
        <w:rPr>
          <w:lang w:val="en_US" w:bidi="en_US"/>
        </w:rPr>
      </w:r>
      <w:r>
        <w:rPr>
          <w:lang w:val="en_US" w:bidi="en_US"/>
        </w:rPr>
        <w:t xml:space="preserve">In this context, the focus of </w:t>
      </w:r>
      <w:r>
        <w:rPr>
          <w:i/>
          <w:lang w:val="en_US" w:bidi="en_US"/>
        </w:rPr>
        <w:t>worthy</w:t>
      </w:r>
      <w:r>
        <w:rPr>
          <w:lang w:val="en_US" w:bidi="en_US"/>
        </w:rPr>
        <w:t xml:space="preserve"> is on John’s status, not his character. Do not imply that John was a bad or evil person. Also do not imply that John was not physically able to do this task.</w:t>
      </w:r>
    </w:p>
    <w:p>
      <w:pPr/>
      <w:r>
        <w:rPr>
          <w:lang w:val="en_US" w:bidi="en_US"/>
        </w:rPr>
      </w:r>
      <w:r>
        <w:rPr>
          <w:lang w:val="en_US" w:bidi="en_US"/>
        </w:rPr>
        <w:t xml:space="preserve">Some other ways to translate the clause </w:t>
      </w:r>
      <w:r>
        <w:rPr>
          <w:i/>
          <w:lang w:val="en_US" w:bidi="en_US"/>
        </w:rPr>
        <w:t>I am not worthy</w:t>
      </w:r>
      <w:r>
        <w:rPr>
          <w:lang w:val="en_US" w:bidi="en_US"/>
        </w:rPr>
        <w:t xml:space="preserve"> are:</w:t>
      </w:r>
    </w:p>
    <w:p>
      <w:pPr/>
      <w:r>
        <w:rPr>
          <w:lang w:val="en_US" w:bidi="en_US"/>
        </w:rPr>
      </w:r>
      <w:r>
        <w:rPr>
          <w:lang w:val="en_US" w:bidi="en_US"/>
        </w:rPr>
        <w:t>I do not deserve the honor of</w:t>
      </w:r>
    </w:p>
    <w:p>
      <w:pPr/>
      <w:r>
        <w:rPr>
          <w:lang w:val="en_US" w:bidi="en_US"/>
        </w:rPr>
      </w:r>
      <w:r>
        <w:rPr>
          <w:lang w:val="en_US" w:bidi="en_US"/>
        </w:rPr>
        <w:t>I am not important/great enough</w:t>
      </w:r>
    </w:p>
    <w:p>
      <w:pPr>
        <w:pStyle w:val="Heading5"/>
      </w:pPr>
      <w:r>
        <w:rPr>
          <w:lang w:val="en_US" w:bidi="en_US"/>
        </w:rPr>
        <w:t>3:16d</w:t>
      </w:r>
    </w:p>
    <w:p>
      <w:pPr/>
      <w:r>
        <w:rPr>
          <w:lang w:val="en_US" w:bidi="en_US"/>
        </w:rPr>
      </w:r>
      <w:r>
        <w:rPr>
          <w:b/>
          <w:lang w:val="en_US" w:bidi="en_US"/>
        </w:rPr>
        <w:t>He will baptize you with the Holy Spirit and with fire.</w:t>
      </w:r>
    </w:p>
    <w:p>
      <w:pPr>
        <w:pStyle w:val="ListBullet"/>
        <w:spacing w:line="240" w:lineRule="auto"/>
        <w:ind w:left="720"/>
      </w:pPr>
      <w:r>
        <w:rPr>
          <w:lang w:val="en_US" w:bidi="en_US"/>
        </w:rPr>
      </w:r>
      <w:r>
        <w:rPr>
          <w:lang w:val="en_US" w:bidi="en_US"/>
        </w:rPr>
        <w:t>He will cause/send the Holy Spirit and fire to baptize you.</w:t>
      </w:r>
      <w:r>
        <w:rPr>
          <w:vertAlign w:val="superscript"/>
          <w:lang w:val="en_US" w:bidi="en_US"/>
        </w:rPr>
        <w:t>(plur)</w:t>
      </w:r>
    </w:p>
    <w:p>
      <w:pPr>
        <w:pStyle w:val="ListBullet"/>
        <w:spacing w:line="240" w:lineRule="auto"/>
        <w:ind w:left="720"/>
      </w:pPr>
      <w:r>
        <w:rPr>
          <w:lang w:val="en_US" w:bidi="en_US"/>
        </w:rPr>
      </w:r>
      <w:r>
        <w:rPr>
          <w:lang w:val="en_US" w:bidi="en_US"/>
        </w:rPr>
        <w:t>When he baptizes,</w:t>
      </w:r>
      <w:r>
        <w:rPr>
          <w:lang w:val="en_US" w:bidi="en_US"/>
        </w:rPr>
        <w:t xml:space="preserve"> he will wash/cleanse people with the Holy Spirit and purify people with fire.</w:t>
      </w:r>
    </w:p>
    <w:p>
      <w:pPr/>
      <w:r>
        <w:rPr>
          <w:lang w:val="en_US" w:bidi="en_US"/>
        </w:rPr>
      </w:r>
      <w:r>
        <w:rPr>
          <w:lang w:val="en_US" w:bidi="en_US"/>
        </w:rPr>
        <w:t>In 3:16d, John again illustrated that the Christ was greater than he was. The way that the Christ baptized people was greater than the way John baptized them. John baptized people with water, but the Christ would baptize people with the Holy Spirit and fire.</w:t>
      </w:r>
    </w:p>
    <w:p>
      <w:pPr/>
      <w:r>
        <w:rPr>
          <w:lang w:val="en_US" w:bidi="en_US"/>
        </w:rPr>
      </w:r>
      <w:r>
        <w:rPr>
          <w:lang w:val="en_US" w:bidi="en_US"/>
        </w:rPr>
        <w:t>As you translate 3:16d, remember that the word “baptize” has a meaning similar to the words “wash” and “cleanse.” In this part of the verse John used the word “baptize” in a figurative sense. The Christ would cleanse or purify people “with the Holy Spirit and with fire.”</w:t>
      </w:r>
      <w:r>
        <w:rPr>
          <w:lang w:val="en_US" w:bidi="en_US"/>
        </w:rPr>
        <w:t>Some scholars also interpret Luke’s use of fire here as figurative. Since it is recommended that your word for “fire” be used in the translation, these notes do not give an opinion as to whether the fire is purely figurative or in some sense real.</w:t>
      </w:r>
    </w:p>
    <w:p>
      <w:pPr/>
      <w:r>
        <w:rPr>
          <w:lang w:val="en_US" w:bidi="en_US"/>
        </w:rPr>
      </w:r>
      <w:r>
        <w:rPr>
          <w:b/>
          <w:lang w:val="en_US" w:bidi="en_US"/>
        </w:rPr>
        <w:t>He will baptize you with the Holy Spirit and with fire:</w:t>
      </w:r>
      <w:r>
        <w:rPr>
          <w:lang w:val="en_US" w:bidi="en_US"/>
        </w:rPr>
        <w:t xml:space="preserve"> Scholars interpret this sentence in many different ways. Two major views are:</w:t>
      </w:r>
    </w:p>
    <w:p>
      <w:pPr>
        <w:pStyle w:val="ListNumber"/>
        <w:numPr>
          <w:ilvl w:val="0"/>
          <w:numId w:val="88"/>
        </w:numPr>
        <w:spacing w:line="240" w:lineRule="auto"/>
        <w:ind w:left="720"/>
      </w:pPr>
      <w:r>
        <w:rPr>
          <w:lang w:val="en_US" w:bidi="en_US"/>
        </w:rPr>
      </w:r>
      <w:r>
        <w:rPr>
          <w:lang w:val="en_US" w:bidi="en_US"/>
        </w:rPr>
        <w:t>Jesus would baptize God’s people with the Holy Spirit and with fire.</w:t>
      </w:r>
    </w:p>
    <w:p>
      <w:pPr>
        <w:pStyle w:val="ListNumber"/>
        <w:spacing w:line="240" w:lineRule="auto"/>
        <w:ind w:left="720"/>
      </w:pPr>
      <w:r>
        <w:rPr>
          <w:lang w:val="en_US" w:bidi="en_US"/>
        </w:rPr>
      </w:r>
      <w:r>
        <w:rPr>
          <w:lang w:val="en_US" w:bidi="en_US"/>
        </w:rPr>
        <w:t>Jesus would baptize God’s people with the Holy Spirit and “baptize” others with the fire of God’s judgment.</w:t>
      </w:r>
    </w:p>
    <w:p>
      <w:pPr/>
      <w:r>
        <w:rPr>
          <w:lang w:val="en_US" w:bidi="en_US"/>
        </w:rPr>
      </w:r>
      <w:r>
        <w:rPr>
          <w:lang w:val="en_US" w:bidi="en_US"/>
        </w:rPr>
        <w:t>You should translate so that people can interpret this part of the verse in either of these ways.</w:t>
      </w:r>
    </w:p>
    <w:p>
      <w:pPr/>
      <w:r>
        <w:rPr>
          <w:lang w:val="en_US" w:bidi="en_US"/>
        </w:rPr>
      </w:r>
      <w:r>
        <w:rPr>
          <w:lang w:val="en_US" w:bidi="en_US"/>
        </w:rPr>
        <w:t xml:space="preserve">If your word for </w:t>
      </w:r>
      <w:r>
        <w:rPr>
          <w:i/>
          <w:lang w:val="en_US" w:bidi="en_US"/>
        </w:rPr>
        <w:t>baptize</w:t>
      </w:r>
      <w:r>
        <w:rPr>
          <w:lang w:val="en_US" w:bidi="en_US"/>
        </w:rPr>
        <w:t xml:space="preserve"> implies a physical washing that only makes a person’s body clean, then you may have to find another word. However, your translation should try to keep the contrast between John’s baptism and the Christ’s baptism. Some ways to do this are:</w:t>
      </w:r>
    </w:p>
    <w:p>
      <w:pPr/>
      <w:r>
        <w:rPr>
          <w:lang w:val="en_US" w:bidi="en_US"/>
        </w:rPr>
      </w:r>
      <w:r>
        <w:rPr>
          <w:lang w:val="en_US" w:bidi="en_US"/>
        </w:rPr>
        <w:t>When he baptizes you, he will cause the Holy Spirit and fire to initiate/purify you…</w:t>
      </w:r>
    </w:p>
    <w:p>
      <w:pPr/>
      <w:r>
        <w:rPr>
          <w:lang w:val="en_US" w:bidi="en_US"/>
        </w:rPr>
      </w:r>
      <w:r>
        <w:rPr>
          <w:lang w:val="en_US" w:bidi="en_US"/>
        </w:rPr>
        <w:t>As for his baptism, he will send the Holy Spirit and fire to purify you…</w:t>
      </w:r>
    </w:p>
    <w:p>
      <w:pPr/>
      <w:r>
        <w:rPr>
          <w:lang w:val="en_US" w:bidi="en_US"/>
        </w:rPr>
      </w:r>
      <w:r>
        <w:rPr>
          <w:lang w:val="en_US" w:bidi="en_US"/>
        </w:rPr>
        <w:t>If it is not possible to use your term for “baptize” with the word “fire,” you may need to use a different verb. Some examples are:</w:t>
      </w:r>
    </w:p>
    <w:p>
      <w:pPr/>
      <w:r>
        <w:rPr>
          <w:lang w:val="en_US" w:bidi="en_US"/>
        </w:rPr>
      </w:r>
      <w:r>
        <w:rPr>
          <w:lang w:val="en_US" w:bidi="en_US"/>
        </w:rPr>
        <w:t xml:space="preserve">He will baptize/cleanse people with the Holy Spirit, and he will also </w:t>
      </w:r>
      <w:r>
        <w:rPr>
          <w:lang w:val="en_US" w:bidi="en_US"/>
        </w:rPr>
        <w:t>purify/cleanse</w:t>
      </w:r>
      <w:r>
        <w:rPr>
          <w:lang w:val="en_US" w:bidi="en_US"/>
        </w:rPr>
        <w:t xml:space="preserve"> people with fire.</w:t>
      </w:r>
    </w:p>
    <w:p>
      <w:pPr/>
      <w:r>
        <w:rPr>
          <w:lang w:val="en_US" w:bidi="en_US"/>
        </w:rPr>
      </w:r>
      <w:r>
        <w:rPr>
          <w:lang w:val="en_US" w:bidi="en_US"/>
        </w:rPr>
        <w:t xml:space="preserve">He will wash/cleanse you with the Holy Spirit, and </w:t>
      </w:r>
      <w:r>
        <w:rPr>
          <w:lang w:val="en_US" w:bidi="en_US"/>
        </w:rPr>
        <w:t>purify you</w:t>
      </w:r>
      <w:r>
        <w:rPr>
          <w:lang w:val="en_US" w:bidi="en_US"/>
        </w:rPr>
        <w:t xml:space="preserve"> with fire.</w:t>
      </w:r>
    </w:p>
    <w:p>
      <w:pPr/>
      <w:r>
        <w:rPr>
          <w:lang w:val="en_US" w:bidi="en_US"/>
        </w:rPr>
      </w:r>
      <w:r>
        <w:rPr>
          <w:lang w:val="en_US" w:bidi="en_US"/>
        </w:rPr>
        <w:t>See baptize, Meaning 1, in the Glossary.</w:t>
      </w:r>
    </w:p>
    <w:p>
      <w:pPr/>
      <w:r>
        <w:rPr>
          <w:lang w:val="en_US" w:bidi="en_US"/>
        </w:rPr>
      </w:r>
      <w:r>
        <w:rPr>
          <w:b/>
          <w:lang w:val="en_US" w:bidi="en_US"/>
        </w:rPr>
        <w:t>He:</w:t>
      </w:r>
      <w:r>
        <w:rPr>
          <w:lang w:val="en_US" w:bidi="en_US"/>
        </w:rPr>
        <w:t xml:space="preserve"> In Greek, the pronoun </w:t>
      </w:r>
      <w:r>
        <w:rPr>
          <w:i/>
          <w:lang w:val="en_US" w:bidi="en_US"/>
        </w:rPr>
        <w:t>He</w:t>
      </w:r>
      <w:r>
        <w:rPr>
          <w:lang w:val="en_US" w:bidi="en_US"/>
        </w:rPr>
        <w:t xml:space="preserve"> is emphatic. It refers to the Christ,</w:t>
      </w:r>
      <w:r>
        <w:rPr>
          <w:lang w:val="en_US" w:bidi="en_US"/>
        </w:rPr>
        <w:t>In this Gospel, Luke has already identified Jesus as the Christ (2:11).</w:t>
      </w:r>
      <w:r>
        <w:rPr>
          <w:lang w:val="en_US" w:bidi="en_US"/>
        </w:rPr>
        <w:t xml:space="preserve"> and contrasts with the pronoun “I” in 3:16a.</w:t>
      </w:r>
    </w:p>
    <w:p>
      <w:pPr/>
      <w:r>
        <w:rPr>
          <w:lang w:val="en_US" w:bidi="en_US"/>
        </w:rPr>
      </w:r>
      <w:r>
        <w:rPr>
          <w:b/>
          <w:lang w:val="en_US" w:bidi="en_US"/>
        </w:rPr>
        <w:t>you:</w:t>
      </w:r>
      <w:r>
        <w:rPr>
          <w:lang w:val="en_US" w:bidi="en_US"/>
        </w:rPr>
        <w:t xml:space="preserve"> When John used the pronoun </w:t>
      </w:r>
      <w:r>
        <w:rPr>
          <w:i/>
          <w:lang w:val="en_US" w:bidi="en_US"/>
        </w:rPr>
        <w:t>you</w:t>
      </w:r>
      <w:r>
        <w:rPr>
          <w:lang w:val="en_US" w:bidi="en_US"/>
        </w:rPr>
        <w:t xml:space="preserve"> here, he was referring to people in general (as in 3:16a). In some languages it may be more natural to use a more general term. For example:</w:t>
      </w:r>
    </w:p>
    <w:p>
      <w:pPr/>
      <w:r>
        <w:rPr>
          <w:lang w:val="en_US" w:bidi="en_US"/>
        </w:rPr>
      </w:r>
      <w:r>
        <w:rPr>
          <w:lang w:val="en_US" w:bidi="en_US"/>
        </w:rPr>
        <w:t>He will baptize people</w:t>
      </w:r>
    </w:p>
    <w:p>
      <w:pPr/>
      <w:r>
        <w:rPr>
          <w:lang w:val="en_US" w:bidi="en_US"/>
        </w:rPr>
      </w:r>
      <w:r>
        <w:rPr>
          <w:b/>
          <w:lang w:val="en_US" w:bidi="en_US"/>
        </w:rPr>
        <w:t>with the Holy Spirit:</w:t>
      </w:r>
      <w:r>
        <w:rPr>
          <w:lang w:val="en_US" w:bidi="en_US"/>
        </w:rPr>
        <w:t xml:space="preserve"> The word </w:t>
      </w:r>
      <w:r>
        <w:rPr>
          <w:i/>
          <w:lang w:val="en_US" w:bidi="en_US"/>
        </w:rPr>
        <w:t>with</w:t>
      </w:r>
      <w:r>
        <w:rPr>
          <w:lang w:val="en_US" w:bidi="en_US"/>
        </w:rPr>
        <w:t xml:space="preserve"> indicates the means by which the Christ will baptize people. He will baptize them “with” the Holy Spirit. It does not mean that the Christ along with the Holy Spirit will baptize people.</w:t>
      </w:r>
    </w:p>
    <w:p>
      <w:pPr/>
      <w:r>
        <w:rPr>
          <w:lang w:val="en_US" w:bidi="en_US"/>
        </w:rPr>
      </w:r>
      <w:r>
        <w:rPr>
          <w:b/>
          <w:lang w:val="en_US" w:bidi="en_US"/>
        </w:rPr>
        <w:t>Holy Spirit:</w:t>
      </w:r>
      <w:r>
        <w:rPr>
          <w:lang w:val="en_US" w:bidi="en_US"/>
        </w:rPr>
        <w:t xml:space="preserve"> The Greek phrase that the BSB translates as </w:t>
      </w:r>
      <w:r>
        <w:rPr>
          <w:i/>
          <w:lang w:val="en_US" w:bidi="en_US"/>
        </w:rPr>
        <w:t>Holy Spirit</w:t>
      </w:r>
      <w:r>
        <w:rPr>
          <w:lang w:val="en_US" w:bidi="en_US"/>
        </w:rPr>
        <w:t xml:space="preserve"> refers to the Spirit of God. The </w:t>
      </w:r>
      <w:r>
        <w:rPr>
          <w:i/>
          <w:lang w:val="en_US" w:bidi="en_US"/>
        </w:rPr>
        <w:t>Holy Spirit</w:t>
      </w:r>
      <w:r>
        <w:rPr>
          <w:lang w:val="en_US" w:bidi="en_US"/>
        </w:rPr>
        <w:t xml:space="preserve"> is God, together with God the Father and God the Son. The </w:t>
      </w:r>
      <w:r>
        <w:rPr>
          <w:i/>
          <w:lang w:val="en_US" w:bidi="en_US"/>
        </w:rPr>
        <w:t>Holy Spirit</w:t>
      </w:r>
      <w:r>
        <w:rPr>
          <w:lang w:val="en_US" w:bidi="en_US"/>
        </w:rPr>
        <w:t xml:space="preserve"> is </w:t>
      </w:r>
      <w:r>
        <w:rPr>
          <w:i/>
          <w:lang w:val="en_US" w:bidi="en_US"/>
        </w:rPr>
        <w:t>Spirit</w:t>
      </w:r>
      <w:r>
        <w:rPr>
          <w:lang w:val="en_US" w:bidi="en_US"/>
        </w:rPr>
        <w:t xml:space="preserve"> in the sense that he is a living being who does not have a physical body. He is </w:t>
      </w:r>
      <w:r>
        <w:rPr>
          <w:i/>
          <w:lang w:val="en_US" w:bidi="en_US"/>
        </w:rPr>
        <w:t>Holy</w:t>
      </w:r>
      <w:r>
        <w:rPr>
          <w:lang w:val="en_US" w:bidi="en_US"/>
        </w:rPr>
        <w:t xml:space="preserve"> in the sense that he is God and unique from every other being. He is perfect in every way and is completely pure and sinless.</w:t>
      </w:r>
    </w:p>
    <w:p>
      <w:pPr/>
      <w:r>
        <w:rPr>
          <w:lang w:val="en_US" w:bidi="en_US"/>
        </w:rPr>
      </w:r>
      <w:r>
        <w:rPr>
          <w:lang w:val="en_US" w:bidi="en_US"/>
        </w:rPr>
        <w:t xml:space="preserve">Some ways to translate </w:t>
      </w:r>
      <w:r>
        <w:rPr>
          <w:i/>
          <w:lang w:val="en_US" w:bidi="en_US"/>
        </w:rPr>
        <w:t>Holy Spirit</w:t>
      </w:r>
      <w:r>
        <w:rPr>
          <w:lang w:val="en_US" w:bidi="en_US"/>
        </w:rPr>
        <w:t xml:space="preserve"> are:</w:t>
      </w:r>
    </w:p>
    <w:p>
      <w:pPr/>
      <w:r>
        <w:rPr>
          <w:lang w:val="en_US" w:bidi="en_US"/>
        </w:rPr>
      </w:r>
      <w:r>
        <w:rPr>
          <w:lang w:val="en_US" w:bidi="en_US"/>
        </w:rPr>
        <w:t>Spirit/Breath of God</w:t>
      </w:r>
    </w:p>
    <w:p>
      <w:pPr/>
      <w:r>
        <w:rPr>
          <w:lang w:val="en_US" w:bidi="en_US"/>
        </w:rPr>
      </w:r>
      <w:r>
        <w:rPr>
          <w:lang w:val="en_US" w:bidi="en_US"/>
        </w:rPr>
        <w:t>Holy/Sacred Spirit</w:t>
      </w:r>
    </w:p>
    <w:p>
      <w:pPr/>
      <w:r>
        <w:rPr>
          <w:lang w:val="en_US" w:bidi="en_US"/>
        </w:rPr>
      </w:r>
      <w:r>
        <w:rPr>
          <w:lang w:val="en_US" w:bidi="en_US"/>
        </w:rPr>
        <w:t xml:space="preserve">Do not imply that the </w:t>
      </w:r>
      <w:r>
        <w:rPr>
          <w:i/>
          <w:lang w:val="en_US" w:bidi="en_US"/>
        </w:rPr>
        <w:t>Holy Spirit</w:t>
      </w:r>
      <w:r>
        <w:rPr>
          <w:lang w:val="en_US" w:bidi="en_US"/>
        </w:rPr>
        <w:t xml:space="preserve"> is like the ghost of a dead person or that God has died.</w:t>
      </w:r>
    </w:p>
    <w:p>
      <w:pPr/>
      <w:r>
        <w:rPr>
          <w:lang w:val="en_US" w:bidi="en_US"/>
        </w:rPr>
      </w:r>
      <w:r>
        <w:rPr>
          <w:lang w:val="en_US" w:bidi="en_US"/>
        </w:rPr>
        <w:t xml:space="preserve">This term also occurs in 1:15c. Translate it here as you did there. See also </w:t>
      </w:r>
      <w:r>
        <w:rPr>
          <w:u w:val="single"/>
          <w:lang w:val="en_US" w:bidi="en_US"/>
        </w:rPr>
        <w:t>holy, sense A2</w:t>
      </w:r>
      <w:r>
        <w:rPr>
          <w:lang w:val="en_US" w:bidi="en_US"/>
        </w:rPr>
        <w:t>, in KBT.</w:t>
      </w:r>
      <w:r>
        <w:rPr>
          <w:lang w:val="en_US" w:bidi="en_US"/>
        </w:rPr>
        <w:t>The concept of fire purifying can be found in Isaiah 4:4, which predicts that the women of Jerusalem would be purified by “a spirit of judgment and a spirit of fire.” Another example is Isaiah 6:6–7.</w:t>
      </w:r>
      <w:r>
        <w:rPr>
          <w:lang w:val="en_US" w:bidi="en_US"/>
        </w:rPr>
      </w:r>
      <w:r>
        <w:rPr>
          <w:lang w:val="en_US" w:bidi="en_US"/>
        </w:rPr>
      </w:r>
    </w:p>
    <w:p>
      <w:pPr/>
      <w:r>
        <w:rPr>
          <w:lang w:val="en_US" w:bidi="en_US"/>
        </w:rPr>
      </w:r>
    </w:p>
    <w:p>
      <w:pPr>
        <w:pStyle w:val="Heading2"/>
      </w:pPr>
      <w:r>
        <w:rPr>
          <w:lang w:val="en_US" w:bidi="en_US"/>
        </w:rPr>
        <w:t>Luke 3:17</w:t>
      </w:r>
      <w:r>
        <w:rPr>
          <w:lang w:val="en_US" w:bidi="en_US"/>
        </w:rPr>
      </w:r>
    </w:p>
    <w:p>
      <w:pPr>
        <w:pStyle w:val="Heading4"/>
      </w:pPr>
      <w:r>
        <w:rPr>
          <w:lang w:val="en_US" w:bidi="en_US"/>
        </w:rPr>
        <w:t>Section 3:1–20: John the Baptizer prepared the way for Jesus</w:t>
      </w:r>
    </w:p>
    <w:p>
      <w:pPr/>
      <w:r>
        <w:rPr>
          <w:lang w:val="en_US" w:bidi="en_US"/>
        </w:rPr>
      </w:r>
      <w:r>
        <w:rPr>
          <w:lang w:val="en_US" w:bidi="en_US"/>
        </w:rP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Preaching of John (NCV)</w:t>
      </w:r>
    </w:p>
    <w:p>
      <w:pPr/>
      <w:r>
        <w:rPr>
          <w:lang w:val="en_US" w:bidi="en_US"/>
        </w:rPr>
      </w:r>
      <w:r>
        <w:rPr>
          <w:lang w:val="en_US" w:bidi="en_US"/>
        </w:rPr>
        <w:t>John the Baptist and Jesus (REB)</w:t>
      </w:r>
    </w:p>
    <w:p>
      <w:pPr/>
      <w:r>
        <w:rPr>
          <w:lang w:val="en_US" w:bidi="en_US"/>
        </w:rPr>
      </w:r>
      <w:r>
        <w:rPr>
          <w:lang w:val="en_US" w:bidi="en_US"/>
        </w:rPr>
        <w:t>John the Baptizer tells people to prepare themselves for the Messiah</w:t>
      </w:r>
    </w:p>
    <w:p>
      <w:pPr/>
      <w:r>
        <w:rPr>
          <w:lang w:val="en_US" w:bidi="en_US"/>
        </w:rPr>
      </w:r>
      <w:r>
        <w:rPr>
          <w:lang w:val="en_US" w:bidi="en_US"/>
        </w:rPr>
        <w:t>Parts of Luke 3:1–20 are basically the same as verses in Matthew 3:1–12. But Luke 3:1–2, 10–14, and 19–20 are not in Matthew.</w:t>
      </w:r>
    </w:p>
    <w:p>
      <w:pPr>
        <w:pStyle w:val="Heading4"/>
      </w:pPr>
      <w:r>
        <w:rPr>
          <w:lang w:val="en_US" w:bidi="en_US"/>
        </w:rPr>
        <w:t>Paragraph 3:15–18</w:t>
      </w:r>
    </w:p>
    <w:p>
      <w:pPr/>
      <w:r>
        <w:rPr>
          <w:lang w:val="en_US" w:bidi="en_US"/>
        </w:rPr>
      </w:r>
      <w:r>
        <w:rPr>
          <w:lang w:val="en_US" w:bidi="en_US"/>
        </w:rPr>
        <w:t>The people who listened to John began to think that John himself might be the Christ/Messiah. But John made it clear that the Messiah was a different person who would come after him. The Messiah would have much greater authority and power than John had.</w:t>
      </w:r>
    </w:p>
    <w:p>
      <w:pPr>
        <w:pStyle w:val="Heading5"/>
      </w:pPr>
      <w:r>
        <w:rPr>
          <w:lang w:val="en_US" w:bidi="en_US"/>
        </w:rPr>
        <w:t>3:17</w:t>
      </w:r>
    </w:p>
    <w:p>
      <w:pPr/>
      <w:r>
        <w:rPr>
          <w:lang w:val="en_US" w:bidi="en_US"/>
        </w:rPr>
      </w:r>
      <w:r>
        <w:rPr>
          <w:lang w:val="en_US" w:bidi="en_US"/>
        </w:rPr>
        <w:t>In this verse, John illustrated the actions of the Christ by talking about a farmer harvesting his grain. After farmers harvested grain in that culture, they “threshed” it by dragging or rolling something heavy over the grain. This caused the seeds to separate from the stalk and the husks.</w:t>
      </w:r>
    </w:p>
    <w:p>
      <w:pPr/>
      <w:r>
        <w:rPr>
          <w:lang w:val="en_US" w:bidi="en_US"/>
        </w:rPr>
      </w:r>
      <w:r>
        <w:rPr>
          <w:lang w:val="en_US" w:bidi="en_US"/>
        </w:rPr>
        <w:t>Then the farmer “winnowed” the grain by using a large fork to throw the whole grain into the air. The wind would blow away the lightweight straw and husks so that only the grain seed was left. The farmer would then put the grain seed into bags. He gathered the straw and husks to burn them.</w:t>
      </w:r>
    </w:p>
    <w:p>
      <w:pPr/>
      <w:r>
        <w:rPr>
          <w:lang w:val="en_US" w:bidi="en_US"/>
        </w:rPr>
      </w:r>
      <w:r>
        <w:rPr>
          <w:lang w:val="en_US" w:bidi="en_US"/>
        </w:rPr>
        <w:t>John used threshing and winnowing as metaphors to describe how the Christ would separate people who repented from people who did not repent. If the meaning of this metaphor is not clear in your language, you may need to use a simile. For example:</w:t>
      </w:r>
    </w:p>
    <w:p>
      <w:pPr/>
      <w:r>
        <w:rPr>
          <w:lang w:val="en_US" w:bidi="en_US"/>
        </w:rPr>
      </w:r>
      <w:r>
        <w:rPr>
          <w:lang w:val="en_US" w:bidi="en_US"/>
        </w:rPr>
        <w:t xml:space="preserve">He is </w:t>
      </w:r>
      <w:r>
        <w:rPr>
          <w:lang w:val="en_US" w:bidi="en_US"/>
        </w:rPr>
        <w:t>like a farmer who is</w:t>
      </w:r>
      <w:r>
        <w:rPr>
          <w:lang w:val="en_US" w:bidi="en_US"/>
        </w:rPr>
        <w:t xml:space="preserve"> </w:t>
      </w:r>
      <w:r>
        <w:rPr>
          <w:lang w:val="en_US" w:bidi="en_US"/>
        </w:rPr>
        <w:t>already</w:t>
      </w:r>
      <w:r>
        <w:rPr>
          <w:lang w:val="en_US" w:bidi="en_US"/>
        </w:rPr>
        <w:t xml:space="preserve"> holding his winnowing fork to separate the chaff from the wheat and </w:t>
      </w:r>
      <w:r>
        <w:rPr>
          <w:lang w:val="en_US" w:bidi="en_US"/>
        </w:rPr>
        <w:t>then</w:t>
      </w:r>
      <w:r>
        <w:rPr>
          <w:lang w:val="en_US" w:bidi="en_US"/>
        </w:rPr>
        <w:t xml:space="preserve"> clean up his threshing area. He will separate </w:t>
      </w:r>
      <w:r>
        <w:rPr>
          <w:lang w:val="en_US" w:bidi="en_US"/>
        </w:rPr>
        <w:t>people who repent from other people,</w:t>
      </w:r>
      <w:r>
        <w:rPr>
          <w:lang w:val="en_US" w:bidi="en_US"/>
        </w:rPr>
        <w:t xml:space="preserve"> </w:t>
      </w:r>
      <w:r>
        <w:rPr>
          <w:lang w:val="en_US" w:bidi="en_US"/>
        </w:rPr>
        <w:t>and he will value them like</w:t>
      </w:r>
      <w:r>
        <w:rPr>
          <w:lang w:val="en_US" w:bidi="en_US"/>
        </w:rPr>
        <w:t xml:space="preserve"> the wheat a farmer gathers into his barn. But he will </w:t>
      </w:r>
      <w:r>
        <w:rPr>
          <w:lang w:val="en_US" w:bidi="en_US"/>
        </w:rPr>
        <w:t>punish the other people</w:t>
      </w:r>
      <w:r>
        <w:rPr>
          <w:lang w:val="en_US" w:bidi="en_US"/>
        </w:rPr>
        <w:t xml:space="preserve"> with never-ending fire </w:t>
      </w:r>
      <w:r>
        <w:rPr>
          <w:lang w:val="en_US" w:bidi="en_US"/>
        </w:rPr>
        <w:t>like a farmer</w:t>
      </w:r>
      <w:r>
        <w:rPr>
          <w:lang w:val="en_US" w:bidi="en_US"/>
        </w:rPr>
        <w:t xml:space="preserve"> burns up the useless husks of the grain.</w:t>
      </w:r>
    </w:p>
    <w:p>
      <w:pPr>
        <w:pStyle w:val="Heading5"/>
      </w:pPr>
      <w:r>
        <w:rPr>
          <w:lang w:val="en_US" w:bidi="en_US"/>
        </w:rPr>
        <w:t>3:17a</w:t>
      </w:r>
    </w:p>
    <w:p>
      <w:pPr/>
      <w:r>
        <w:rPr>
          <w:lang w:val="en_US" w:bidi="en_US"/>
        </w:rPr>
      </w:r>
      <w:r>
        <w:rPr>
          <w:b/>
          <w:lang w:val="en_US" w:bidi="en_US"/>
        </w:rPr>
        <w:t>His winnowing fork is in His hand to clear His threshing floor</w:t>
      </w:r>
    </w:p>
    <w:p>
      <w:pPr>
        <w:pStyle w:val="ListBullet"/>
        <w:spacing w:line="240" w:lineRule="auto"/>
        <w:ind w:left="720"/>
      </w:pPr>
      <w:r>
        <w:rPr>
          <w:lang w:val="en_US" w:bidi="en_US"/>
        </w:rPr>
      </w:r>
      <w:r>
        <w:rPr>
          <w:lang w:val="en_US" w:bidi="en_US"/>
        </w:rPr>
        <w:t>He is holding a winnowing fork, ready to clear/clean out his threshing floor</w:t>
      </w:r>
    </w:p>
    <w:p>
      <w:pPr>
        <w:pStyle w:val="ListBullet"/>
        <w:spacing w:line="240" w:lineRule="auto"/>
        <w:ind w:left="720"/>
      </w:pPr>
      <w:r>
        <w:rPr>
          <w:lang w:val="en_US" w:bidi="en_US"/>
        </w:rPr>
      </w:r>
      <w:r>
        <w:rPr>
          <w:lang w:val="en_US" w:bidi="en_US"/>
        </w:rPr>
        <w:t xml:space="preserve">He has picked up his thing/implement for separating grain from straw, and is ready to clear the place where he threshes </w:t>
      </w:r>
      <w:r>
        <w:rPr>
          <w:lang w:val="en_US" w:bidi="en_US"/>
        </w:rPr>
        <w:t>the grain</w:t>
      </w:r>
      <w:r>
        <w:rPr>
          <w:lang w:val="en_US" w:bidi="en_US"/>
        </w:rPr>
        <w:t>.</w:t>
      </w:r>
    </w:p>
    <w:p>
      <w:pPr>
        <w:pStyle w:val="ListBullet"/>
        <w:spacing w:line="240" w:lineRule="auto"/>
        <w:ind w:left="720"/>
      </w:pPr>
      <w:r>
        <w:rPr>
          <w:lang w:val="en_US" w:bidi="en_US"/>
        </w:rPr>
      </w:r>
      <w:r>
        <w:rPr>
          <w:lang w:val="en_US" w:bidi="en_US"/>
        </w:rPr>
        <w:t xml:space="preserve">He is ready to </w:t>
      </w:r>
      <w:r>
        <w:rPr>
          <w:lang w:val="en_US" w:bidi="en_US"/>
        </w:rPr>
        <w:t>separate people who have repented from others, like a man</w:t>
      </w:r>
      <w:r>
        <w:rPr>
          <w:lang w:val="en_US" w:bidi="en_US"/>
        </w:rPr>
        <w:t xml:space="preserve"> separates wheat seeds from the useless husks and straw.</w:t>
      </w:r>
    </w:p>
    <w:p>
      <w:pPr/>
      <w:r>
        <w:rPr>
          <w:lang w:val="en_US" w:bidi="en_US"/>
        </w:rPr>
      </w:r>
      <w:r>
        <w:rPr>
          <w:b/>
          <w:lang w:val="en_US" w:bidi="en_US"/>
        </w:rPr>
        <w:t>His winnowing fork is in His hand:</w:t>
      </w:r>
      <w:r>
        <w:rPr>
          <w:lang w:val="en_US" w:bidi="en_US"/>
        </w:rPr>
        <w:t xml:space="preserve"> This part of the verse describes a person who is about to winnow grain. When he has his winnowing fork in his hand, he is ready to begin to winnow the grain. In this context, this illustration is a metaphor. It indicates that the Christ was ready to act quickly. Other ways to translate this are:</w:t>
      </w:r>
    </w:p>
    <w:p>
      <w:pPr/>
      <w:r>
        <w:rPr>
          <w:lang w:val="en_US" w:bidi="en_US"/>
        </w:rPr>
      </w:r>
      <w:r>
        <w:rPr>
          <w:lang w:val="en_US" w:bidi="en_US"/>
        </w:rPr>
        <w:t xml:space="preserve">He is </w:t>
      </w:r>
      <w:r>
        <w:rPr>
          <w:lang w:val="en_US" w:bidi="en_US"/>
        </w:rPr>
        <w:t>like a farmer</w:t>
      </w:r>
      <w:r>
        <w:rPr>
          <w:lang w:val="en_US" w:bidi="en_US"/>
        </w:rPr>
        <w:t xml:space="preserve"> holding a winnowing fork</w:t>
      </w:r>
    </w:p>
    <w:p>
      <w:pPr/>
      <w:r>
        <w:rPr>
          <w:lang w:val="en_US" w:bidi="en_US"/>
        </w:rPr>
      </w:r>
      <w:r>
        <w:rPr>
          <w:lang w:val="en_US" w:bidi="en_US"/>
        </w:rPr>
        <w:t>He has picked up his winnowing fork and is ready</w:t>
      </w:r>
    </w:p>
    <w:p>
      <w:pPr/>
      <w:r>
        <w:rPr>
          <w:lang w:val="en_US" w:bidi="en_US"/>
        </w:rPr>
      </w:r>
      <w:r>
        <w:rPr>
          <w:b/>
          <w:lang w:val="en_US" w:bidi="en_US"/>
        </w:rPr>
        <w:t>winnowing fork:</w:t>
      </w:r>
      <w:r>
        <w:rPr>
          <w:lang w:val="en_US" w:bidi="en_US"/>
        </w:rPr>
        <w:t xml:space="preserve"> The Greek word that the BSB translates as </w:t>
      </w:r>
      <w:r>
        <w:rPr>
          <w:i/>
          <w:lang w:val="en_US" w:bidi="en_US"/>
        </w:rPr>
        <w:t>winnowing fork</w:t>
      </w:r>
      <w:r>
        <w:rPr>
          <w:lang w:val="en_US" w:bidi="en_US"/>
        </w:rPr>
        <w:t xml:space="preserve"> refers to a big implement that looks something like a fork. People used it to throw grain into the air so that the wind would separate the grain from the chaff that is useless as food. The </w:t>
      </w:r>
      <w:r>
        <w:rPr>
          <w:i/>
          <w:lang w:val="en_US" w:bidi="en_US"/>
        </w:rPr>
        <w:t>winnowing fork</w:t>
      </w:r>
      <w:r>
        <w:rPr>
          <w:lang w:val="en_US" w:bidi="en_US"/>
        </w:rPr>
        <w:t xml:space="preserve"> represents the Messiah’s authority to separate people who repent from those who refuse to repent.</w:t>
      </w:r>
    </w:p>
    <w:p>
      <w:pPr/>
      <w:r>
        <w:rPr>
          <w:lang w:val="en_US" w:bidi="en_US"/>
        </w:rPr>
      </w:r>
      <w:r>
        <w:rPr>
          <w:lang w:val="en_US" w:bidi="en_US"/>
        </w:rPr>
        <w:t xml:space="preserve">If people in your area are not familiar with a </w:t>
      </w:r>
      <w:r>
        <w:rPr>
          <w:i/>
          <w:lang w:val="en_US" w:bidi="en_US"/>
        </w:rPr>
        <w:t>winnowing fork</w:t>
      </w:r>
      <w:r>
        <w:rPr>
          <w:lang w:val="en_US" w:bidi="en_US"/>
        </w:rPr>
        <w:t>, you can describe the action of winnowing and not mention the instrument. For example:</w:t>
      </w:r>
    </w:p>
    <w:p>
      <w:pPr/>
      <w:r>
        <w:rPr>
          <w:lang w:val="en_US" w:bidi="en_US"/>
        </w:rPr>
      </w:r>
      <w:r>
        <w:rPr>
          <w:lang w:val="en_US" w:bidi="en_US"/>
        </w:rPr>
        <w:t>He is ready to separate the grain from the chaff</w:t>
      </w:r>
    </w:p>
    <w:p>
      <w:pPr/>
      <w:r>
        <w:rPr>
          <w:lang w:val="en_US" w:bidi="en_US"/>
        </w:rPr>
      </w:r>
      <w:r>
        <w:rPr>
          <w:b/>
          <w:lang w:val="en_US" w:bidi="en_US"/>
        </w:rPr>
        <w:t>to clear His threshing floor:</w:t>
      </w:r>
      <w:r>
        <w:rPr>
          <w:lang w:val="en_US" w:bidi="en_US"/>
        </w:rPr>
        <w:t xml:space="preserve"> There are two ways to interpret the Greek phrase that the BSB translates as </w:t>
      </w:r>
      <w:r>
        <w:rPr>
          <w:i/>
          <w:lang w:val="en_US" w:bidi="en_US"/>
        </w:rPr>
        <w:t>to clear His threshing floor</w:t>
      </w:r>
      <w:r>
        <w:rPr>
          <w:lang w:val="en_US" w:bidi="en_US"/>
        </w:rPr>
        <w:t>:</w:t>
      </w:r>
    </w:p>
    <w:p>
      <w:pPr>
        <w:pStyle w:val="ListNumber"/>
        <w:numPr>
          <w:ilvl w:val="0"/>
          <w:numId w:val="89"/>
        </w:numPr>
        <w:spacing w:line="240" w:lineRule="auto"/>
        <w:ind w:left="720"/>
      </w:pPr>
      <w:r>
        <w:rPr>
          <w:lang w:val="en_US" w:bidi="en_US"/>
        </w:rPr>
      </w:r>
      <w:r>
        <w:rPr>
          <w:lang w:val="en_US" w:bidi="en_US"/>
        </w:rPr>
        <w:t xml:space="preserve">It means </w:t>
      </w:r>
      <w:r>
        <w:rPr>
          <w:u w:val="single"/>
          <w:lang w:val="en_US" w:bidi="en_US"/>
        </w:rPr>
        <w:t>to clear/clean the threshing floor</w:t>
      </w:r>
      <w:r>
        <w:rPr>
          <w:lang w:val="en_US" w:bidi="en_US"/>
        </w:rPr>
        <w:t>. For example:</w:t>
      </w:r>
      <w:r>
        <w:rPr>
          <w:lang w:val="en_US" w:bidi="en_US"/>
        </w:rPr>
        <w:t xml:space="preserve">to clean out his threshing floor (NET) </w:t>
      </w:r>
      <w:r>
        <w:rPr>
          <w:i/>
          <w:lang w:val="en_US" w:bidi="en_US"/>
        </w:rPr>
        <w:t>(BSB, NIV, REB, KJV, NASB, NJB, NET, GW, NLT)</w:t>
      </w:r>
    </w:p>
    <w:p>
      <w:pPr>
        <w:pStyle w:val="ListNumber"/>
        <w:spacing w:line="240" w:lineRule="auto"/>
        <w:ind w:left="720"/>
      </w:pPr>
      <w:r>
        <w:rPr>
          <w:lang w:val="en_US" w:bidi="en_US"/>
        </w:rPr>
      </w:r>
      <w:r>
        <w:rPr>
          <w:lang w:val="en_US" w:bidi="en_US"/>
        </w:rPr>
        <w:t xml:space="preserve">It means </w:t>
      </w:r>
      <w:r>
        <w:rPr>
          <w:u w:val="single"/>
          <w:lang w:val="en_US" w:bidi="en_US"/>
        </w:rPr>
        <w:t>to thresh out all the grain</w:t>
      </w:r>
      <w:r>
        <w:rPr>
          <w:lang w:val="en_US" w:bidi="en_US"/>
        </w:rPr>
        <w:t>. For example:</w:t>
      </w:r>
      <w:r>
        <w:rPr>
          <w:lang w:val="en_US" w:bidi="en_US"/>
        </w:rPr>
        <w:t xml:space="preserve">he is ready to separate the wheat from the husks (CEV) </w:t>
      </w:r>
      <w:r>
        <w:rPr>
          <w:i/>
          <w:lang w:val="en_US" w:bidi="en_US"/>
        </w:rPr>
        <w:t>(GNT, CEV, NCV)</w:t>
      </w:r>
    </w:p>
    <w:p>
      <w:pPr/>
      <w:r>
        <w:rPr>
          <w:lang w:val="en_US" w:bidi="en_US"/>
        </w:rPr>
      </w:r>
      <w:r>
        <w:rPr>
          <w:lang w:val="en_US" w:bidi="en_US"/>
        </w:rPr>
        <w:t>It is recommended that you follow interpretation (1). The farmer would clear/clean his threshing floor by letting the wind blow the chaff to the side and then gathering and storing the grain. The chaff would then be gathered and burned.</w:t>
      </w:r>
    </w:p>
    <w:p>
      <w:pPr/>
      <w:r>
        <w:rPr>
          <w:lang w:val="en_US" w:bidi="en_US"/>
        </w:rPr>
      </w:r>
      <w:r>
        <w:rPr>
          <w:b/>
          <w:lang w:val="en_US" w:bidi="en_US"/>
        </w:rPr>
        <w:t>threshing floor:</w:t>
      </w:r>
      <w:r>
        <w:rPr>
          <w:lang w:val="en_US" w:bidi="en_US"/>
        </w:rPr>
        <w:t xml:space="preserve"> A </w:t>
      </w:r>
      <w:r>
        <w:rPr>
          <w:i/>
          <w:lang w:val="en_US" w:bidi="en_US"/>
        </w:rPr>
        <w:t>threshing floor</w:t>
      </w:r>
      <w:r>
        <w:rPr>
          <w:lang w:val="en_US" w:bidi="en_US"/>
        </w:rPr>
        <w:t xml:space="preserve"> was a flat area outdoors where the grains of wheat were separated from the chaff.</w:t>
      </w:r>
    </w:p>
    <w:p>
      <w:pPr>
        <w:pStyle w:val="Heading5"/>
      </w:pPr>
      <w:r>
        <w:rPr>
          <w:lang w:val="en_US" w:bidi="en_US"/>
        </w:rPr>
        <w:t>3:17b</w:t>
      </w:r>
    </w:p>
    <w:p>
      <w:pPr/>
      <w:r>
        <w:rPr>
          <w:lang w:val="en_US" w:bidi="en_US"/>
        </w:rPr>
      </w:r>
      <w:r>
        <w:rPr>
          <w:b/>
          <w:lang w:val="en_US" w:bidi="en_US"/>
        </w:rPr>
        <w:t>and to gather the wheat into His barn;</w:t>
      </w:r>
    </w:p>
    <w:p>
      <w:pPr>
        <w:pStyle w:val="ListBullet"/>
        <w:spacing w:line="240" w:lineRule="auto"/>
        <w:ind w:left="720"/>
      </w:pPr>
      <w:r>
        <w:rPr>
          <w:lang w:val="en_US" w:bidi="en_US"/>
        </w:rPr>
      </w:r>
      <w:r>
        <w:rPr>
          <w:lang w:val="en_US" w:bidi="en_US"/>
        </w:rPr>
        <w:t>and collect the grain/wheat into his barn/granary.</w:t>
      </w:r>
    </w:p>
    <w:p>
      <w:pPr>
        <w:pStyle w:val="ListBullet"/>
        <w:spacing w:line="240" w:lineRule="auto"/>
        <w:ind w:left="720"/>
      </w:pPr>
      <w:r>
        <w:rPr>
          <w:lang w:val="en_US" w:bidi="en_US"/>
        </w:rPr>
      </w:r>
      <w:r>
        <w:rPr>
          <w:lang w:val="en_US" w:bidi="en_US"/>
        </w:rPr>
        <w:t xml:space="preserve">He </w:t>
      </w:r>
      <w:r>
        <w:rPr>
          <w:lang w:val="en_US" w:bidi="en_US"/>
        </w:rPr>
        <w:t>will be like a man who</w:t>
      </w:r>
      <w:r>
        <w:rPr>
          <w:lang w:val="en_US" w:bidi="en_US"/>
        </w:rPr>
        <w:t xml:space="preserve"> saves/puts the wheat into his storehouse,</w:t>
      </w:r>
    </w:p>
    <w:p>
      <w:pPr/>
      <w:r>
        <w:rPr>
          <w:lang w:val="en_US" w:bidi="en_US"/>
        </w:rPr>
      </w:r>
      <w:r>
        <w:rPr>
          <w:b/>
          <w:lang w:val="en_US" w:bidi="en_US"/>
        </w:rPr>
        <w:t>gather the wheat into His barn:</w:t>
      </w:r>
      <w:r>
        <w:rPr>
          <w:lang w:val="en_US" w:bidi="en_US"/>
        </w:rPr>
        <w:t xml:space="preserve"> The farmer put the grain in a safe place where he stored it. This represents the Christ/Messiah saving people who believe in him.</w:t>
      </w:r>
    </w:p>
    <w:p>
      <w:pPr/>
      <w:r>
        <w:rPr>
          <w:lang w:val="en_US" w:bidi="en_US"/>
        </w:rPr>
      </w:r>
      <w:r>
        <w:rPr>
          <w:b/>
          <w:lang w:val="en_US" w:bidi="en_US"/>
        </w:rPr>
        <w:t>wheat:</w:t>
      </w:r>
      <w:r>
        <w:rPr>
          <w:lang w:val="en_US" w:bidi="en_US"/>
        </w:rPr>
        <w:t xml:space="preserve"> The word </w:t>
      </w:r>
      <w:r>
        <w:rPr>
          <w:i/>
          <w:lang w:val="en_US" w:bidi="en_US"/>
        </w:rPr>
        <w:t>wheat</w:t>
      </w:r>
      <w:r>
        <w:rPr>
          <w:lang w:val="en_US" w:bidi="en_US"/>
        </w:rPr>
        <w:t xml:space="preserve"> refers to a certain type of grain plant and to the grain that the plant produces. Wheat plants have a stalk. On top of the stalk there are clusters of seeds, which are the wheat grains.</w:t>
      </w:r>
    </w:p>
    <w:p>
      <w:pPr/>
      <w:r>
        <w:rPr>
          <w:lang w:val="en_US" w:bidi="en_US"/>
        </w:rPr>
      </w:r>
      <w:r>
        <w:rPr>
          <w:lang w:val="en_US" w:bidi="en_US"/>
        </w:rPr>
        <w:t>In some areas wheat may not be known. If that is true in your area, other ways to translate it are:</w:t>
      </w:r>
    </w:p>
    <w:p>
      <w:pPr>
        <w:pStyle w:val="ListBullet"/>
        <w:spacing w:line="240" w:lineRule="auto"/>
        <w:ind w:left="720"/>
      </w:pPr>
      <w:r>
        <w:rPr>
          <w:lang w:val="en_US" w:bidi="en_US"/>
        </w:rPr>
      </w:r>
      <w:r>
        <w:rPr>
          <w:lang w:val="en_US" w:bidi="en_US"/>
        </w:rPr>
        <w:t>Use a more general term. For example:</w:t>
      </w:r>
      <w:r>
        <w:rPr>
          <w:lang w:val="en_US" w:bidi="en_US"/>
        </w:rPr>
        <w:t>grain</w:t>
      </w:r>
    </w:p>
    <w:p>
      <w:pPr>
        <w:pStyle w:val="ListBullet"/>
        <w:spacing w:line="240" w:lineRule="auto"/>
        <w:ind w:left="720"/>
      </w:pPr>
      <w:r>
        <w:rPr>
          <w:lang w:val="en_US" w:bidi="en_US"/>
        </w:rPr>
      </w:r>
      <w:r>
        <w:rPr>
          <w:lang w:val="en_US" w:bidi="en_US"/>
        </w:rPr>
        <w:t>Use a different type of grain that is grown in your area and is similar to wheat. For example:</w:t>
      </w:r>
      <w:r>
        <w:rPr>
          <w:lang w:val="en_US" w:bidi="en_US"/>
        </w:rPr>
        <w:t>barley</w:t>
      </w:r>
    </w:p>
    <w:p>
      <w:pPr/>
      <w:r>
        <w:rPr>
          <w:lang w:val="en_US" w:bidi="en_US"/>
        </w:rPr>
      </w:r>
      <w:r>
        <w:rPr>
          <w:lang w:val="en_US" w:bidi="en_US"/>
        </w:rPr>
        <w:t>You may want to include a footnote in your translation to give information about wheat.</w:t>
      </w:r>
    </w:p>
    <w:p>
      <w:pPr/>
      <w:r>
        <w:rPr>
          <w:lang w:val="en_US" w:bidi="en_US"/>
        </w:rPr>
      </w:r>
      <w:r>
        <w:rPr>
          <w:b/>
          <w:lang w:val="en_US" w:bidi="en_US"/>
        </w:rPr>
        <w:t>His barn:</w:t>
      </w:r>
      <w:r>
        <w:rPr>
          <w:lang w:val="en_US" w:bidi="en_US"/>
        </w:rPr>
        <w:t xml:space="preserve"> The Greek word that the BSB translates as </w:t>
      </w:r>
      <w:r>
        <w:rPr>
          <w:i/>
          <w:lang w:val="en_US" w:bidi="en_US"/>
        </w:rPr>
        <w:t>barn</w:t>
      </w:r>
      <w:r>
        <w:rPr>
          <w:lang w:val="en_US" w:bidi="en_US"/>
        </w:rPr>
        <w:t xml:space="preserve"> refers to a storage area for grain. It can also be translated as:</w:t>
      </w:r>
    </w:p>
    <w:p>
      <w:pPr/>
      <w:r>
        <w:rPr>
          <w:lang w:val="en_US" w:bidi="en_US"/>
        </w:rPr>
      </w:r>
      <w:r>
        <w:rPr>
          <w:lang w:val="en_US" w:bidi="en_US"/>
        </w:rPr>
        <w:t>storehouse (NET)</w:t>
      </w:r>
    </w:p>
    <w:p>
      <w:pPr/>
      <w:r>
        <w:rPr>
          <w:lang w:val="en_US" w:bidi="en_US"/>
        </w:rPr>
      </w:r>
      <w:r>
        <w:rPr>
          <w:lang w:val="en_US" w:bidi="en_US"/>
        </w:rPr>
        <w:t>granary (NRSV)</w:t>
      </w:r>
    </w:p>
    <w:p>
      <w:pPr>
        <w:pStyle w:val="Heading5"/>
      </w:pPr>
      <w:r>
        <w:rPr>
          <w:lang w:val="en_US" w:bidi="en_US"/>
        </w:rPr>
        <w:t>3:17c</w:t>
      </w:r>
    </w:p>
    <w:p>
      <w:pPr/>
      <w:r>
        <w:rPr>
          <w:lang w:val="en_US" w:bidi="en_US"/>
        </w:rPr>
      </w:r>
      <w:r>
        <w:rPr>
          <w:b/>
          <w:lang w:val="en_US" w:bidi="en_US"/>
        </w:rPr>
        <w:t>but He will burn up the chaff with unquenchable fire.”</w:t>
      </w:r>
    </w:p>
    <w:p>
      <w:pPr>
        <w:pStyle w:val="ListBullet"/>
        <w:spacing w:line="240" w:lineRule="auto"/>
        <w:ind w:left="720"/>
      </w:pPr>
      <w:r>
        <w:rPr>
          <w:lang w:val="en_US" w:bidi="en_US"/>
        </w:rPr>
      </w:r>
      <w:r>
        <w:rPr>
          <w:lang w:val="en_US" w:bidi="en_US"/>
        </w:rPr>
        <w:t xml:space="preserve">But the </w:t>
      </w:r>
      <w:r>
        <w:rPr>
          <w:lang w:val="en_US" w:bidi="en_US"/>
        </w:rPr>
        <w:t>useless</w:t>
      </w:r>
      <w:r>
        <w:rPr>
          <w:lang w:val="en_US" w:bidi="en_US"/>
        </w:rPr>
        <w:t xml:space="preserve"> chaff/husks/straw he will destroy/burn in the fire that never ends.”</w:t>
      </w:r>
    </w:p>
    <w:p>
      <w:pPr>
        <w:pStyle w:val="ListBullet"/>
        <w:spacing w:line="240" w:lineRule="auto"/>
        <w:ind w:left="720"/>
      </w:pPr>
      <w:r>
        <w:rPr>
          <w:lang w:val="en_US" w:bidi="en_US"/>
        </w:rPr>
      </w:r>
      <w:r>
        <w:rPr>
          <w:lang w:val="en_US" w:bidi="en_US"/>
        </w:rPr>
        <w:t xml:space="preserve">but throws the wheat husks and straw into a fire to burn. No one can put out the fire </w:t>
      </w:r>
      <w:r>
        <w:rPr>
          <w:lang w:val="en_US" w:bidi="en_US"/>
        </w:rPr>
        <w:t>that he will kindle/use</w:t>
      </w:r>
      <w:r>
        <w:rPr>
          <w:lang w:val="en_US" w:bidi="en_US"/>
        </w:rPr>
        <w:t>.”</w:t>
      </w:r>
    </w:p>
    <w:p>
      <w:pPr/>
      <w:r>
        <w:rPr>
          <w:lang w:val="en_US" w:bidi="en_US"/>
        </w:rPr>
      </w:r>
      <w:r>
        <w:rPr>
          <w:b/>
          <w:lang w:val="en_US" w:bidi="en_US"/>
        </w:rPr>
        <w:t>He will burn up the chaff with unquenchable fire:</w:t>
      </w:r>
      <w:r>
        <w:rPr>
          <w:lang w:val="en_US" w:bidi="en_US"/>
        </w:rPr>
        <w:t xml:space="preserve"> The </w:t>
      </w:r>
      <w:r>
        <w:rPr>
          <w:i/>
          <w:lang w:val="en_US" w:bidi="en_US"/>
        </w:rPr>
        <w:t>chaff</w:t>
      </w:r>
      <w:r>
        <w:rPr>
          <w:lang w:val="en_US" w:bidi="en_US"/>
        </w:rPr>
        <w:t xml:space="preserve"> was the husk and the stalk (or straw). A farmer burned the chaff because it was not good to eat. This illustrates the fact that the Christ will punish those who do not repent. The </w:t>
      </w:r>
      <w:r>
        <w:rPr>
          <w:i/>
          <w:lang w:val="en_US" w:bidi="en_US"/>
        </w:rPr>
        <w:t>unquenchable fire</w:t>
      </w:r>
      <w:r>
        <w:rPr>
          <w:lang w:val="en_US" w:bidi="en_US"/>
        </w:rPr>
        <w:t xml:space="preserve"> is a fire that people cannot put out and that never stops burning. The fire that a farmer uses to burn chaff does not burn forever, but the </w:t>
      </w:r>
      <w:r>
        <w:rPr>
          <w:i/>
          <w:lang w:val="en_US" w:bidi="en_US"/>
        </w:rPr>
        <w:t>unquenchable fire</w:t>
      </w:r>
      <w:r>
        <w:rPr>
          <w:lang w:val="en_US" w:bidi="en_US"/>
        </w:rPr>
        <w:t xml:space="preserve"> represents eternal punishment for people who do not repent.</w:t>
      </w:r>
      <w:r>
        <w:rPr>
          <w:lang w:val="en_US" w:bidi="en_US"/>
        </w:rPr>
      </w:r>
      <w:r>
        <w:rPr>
          <w:lang w:val="en_US" w:bidi="en_US"/>
        </w:rPr>
      </w:r>
    </w:p>
    <w:p>
      <w:pPr/>
      <w:r>
        <w:rPr>
          <w:lang w:val="en_US" w:bidi="en_US"/>
        </w:rPr>
      </w:r>
    </w:p>
    <w:p>
      <w:pPr>
        <w:pStyle w:val="Heading2"/>
      </w:pPr>
      <w:r>
        <w:rPr>
          <w:lang w:val="en_US" w:bidi="en_US"/>
        </w:rPr>
        <w:t>Luke 3:18</w:t>
      </w:r>
      <w:r>
        <w:rPr>
          <w:lang w:val="en_US" w:bidi="en_US"/>
        </w:rPr>
      </w:r>
    </w:p>
    <w:p>
      <w:pPr>
        <w:pStyle w:val="Heading4"/>
      </w:pPr>
      <w:r>
        <w:rPr>
          <w:lang w:val="en_US" w:bidi="en_US"/>
        </w:rPr>
        <w:t>Section 3:1–20: John the Baptizer prepared the way for Jesus</w:t>
      </w:r>
    </w:p>
    <w:p>
      <w:pPr/>
      <w:r>
        <w:rPr>
          <w:lang w:val="en_US" w:bidi="en_US"/>
        </w:rPr>
      </w:r>
      <w:r>
        <w:rPr>
          <w:lang w:val="en_US" w:bidi="en_US"/>
        </w:rP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Preaching of John (NCV)</w:t>
      </w:r>
    </w:p>
    <w:p>
      <w:pPr/>
      <w:r>
        <w:rPr>
          <w:lang w:val="en_US" w:bidi="en_US"/>
        </w:rPr>
      </w:r>
      <w:r>
        <w:rPr>
          <w:lang w:val="en_US" w:bidi="en_US"/>
        </w:rPr>
        <w:t>John the Baptist and Jesus (REB)</w:t>
      </w:r>
    </w:p>
    <w:p>
      <w:pPr/>
      <w:r>
        <w:rPr>
          <w:lang w:val="en_US" w:bidi="en_US"/>
        </w:rPr>
      </w:r>
      <w:r>
        <w:rPr>
          <w:lang w:val="en_US" w:bidi="en_US"/>
        </w:rPr>
        <w:t>John the Baptizer tells people to prepare themselves for the Messiah</w:t>
      </w:r>
    </w:p>
    <w:p>
      <w:pPr/>
      <w:r>
        <w:rPr>
          <w:lang w:val="en_US" w:bidi="en_US"/>
        </w:rPr>
      </w:r>
      <w:r>
        <w:rPr>
          <w:lang w:val="en_US" w:bidi="en_US"/>
        </w:rPr>
        <w:t>Parts of Luke 3:1–20 are basically the same as verses in Matthew 3:1–12. But Luke 3:1–2, 10–14, and 19–20 are not in Matthew.</w:t>
      </w:r>
    </w:p>
    <w:p>
      <w:pPr>
        <w:pStyle w:val="Heading4"/>
      </w:pPr>
      <w:r>
        <w:rPr>
          <w:lang w:val="en_US" w:bidi="en_US"/>
        </w:rPr>
        <w:t>Paragraph 3:15–18</w:t>
      </w:r>
    </w:p>
    <w:p>
      <w:pPr/>
      <w:r>
        <w:rPr>
          <w:lang w:val="en_US" w:bidi="en_US"/>
        </w:rPr>
      </w:r>
      <w:r>
        <w:rPr>
          <w:lang w:val="en_US" w:bidi="en_US"/>
        </w:rPr>
        <w:t>The people who listened to John began to think that John himself might be the Christ/Messiah. But John made it clear that the Messiah was a different person who would come after him. The Messiah would have much greater authority and power than John had.</w:t>
      </w:r>
    </w:p>
    <w:p>
      <w:pPr>
        <w:pStyle w:val="Heading5"/>
      </w:pPr>
      <w:r>
        <w:rPr>
          <w:lang w:val="en_US" w:bidi="en_US"/>
        </w:rPr>
        <w:t>3:18a</w:t>
      </w:r>
    </w:p>
    <w:p>
      <w:pPr/>
      <w:r>
        <w:rPr>
          <w:lang w:val="en_US" w:bidi="en_US"/>
        </w:rPr>
      </w:r>
      <w:r>
        <w:rPr>
          <w:b/>
          <w:lang w:val="en_US" w:bidi="en_US"/>
        </w:rPr>
        <w:t>With these and many other exhortations, John</w:t>
      </w:r>
    </w:p>
    <w:p>
      <w:pPr>
        <w:pStyle w:val="ListBullet"/>
        <w:spacing w:line="240" w:lineRule="auto"/>
        <w:ind w:left="720"/>
      </w:pPr>
      <w:r>
        <w:rPr>
          <w:lang w:val="en_US" w:bidi="en_US"/>
        </w:rPr>
      </w:r>
      <w:r>
        <w:rPr>
          <w:lang w:val="en_US" w:bidi="en_US"/>
        </w:rPr>
        <w:t>In this way,</w:t>
      </w:r>
      <w:r>
        <w:rPr>
          <w:lang w:val="en_US" w:bidi="en_US"/>
        </w:rPr>
        <w:t xml:space="preserve"> and with many other words, John encouraged/urged the people </w:t>
      </w:r>
      <w:r>
        <w:rPr>
          <w:lang w:val="en_US" w:bidi="en_US"/>
        </w:rPr>
        <w:t>to repent</w:t>
      </w:r>
      <w:r>
        <w:rPr>
          <w:lang w:val="en_US" w:bidi="en_US"/>
        </w:rPr>
        <w:t>,</w:t>
      </w:r>
    </w:p>
    <w:p>
      <w:pPr>
        <w:pStyle w:val="ListBullet"/>
        <w:spacing w:line="240" w:lineRule="auto"/>
        <w:ind w:left="720"/>
      </w:pPr>
      <w:r>
        <w:rPr>
          <w:lang w:val="en_US" w:bidi="en_US"/>
        </w:rPr>
      </w:r>
      <w:r>
        <w:rPr>
          <w:lang w:val="en_US" w:bidi="en_US"/>
        </w:rPr>
        <w:t xml:space="preserve">John said many other things to the people to exhort/encourage them </w:t>
      </w:r>
      <w:r>
        <w:rPr>
          <w:lang w:val="en_US" w:bidi="en_US"/>
        </w:rPr>
        <w:t>to repent</w:t>
      </w:r>
    </w:p>
    <w:p>
      <w:pPr>
        <w:pStyle w:val="Heading5"/>
      </w:pPr>
      <w:r>
        <w:rPr>
          <w:lang w:val="en_US" w:bidi="en_US"/>
        </w:rPr>
        <w:t>3:18b</w:t>
      </w:r>
    </w:p>
    <w:p>
      <w:pPr/>
      <w:r>
        <w:rPr>
          <w:lang w:val="en_US" w:bidi="en_US"/>
        </w:rPr>
      </w:r>
      <w:r>
        <w:rPr>
          <w:b/>
          <w:lang w:val="en_US" w:bidi="en_US"/>
        </w:rPr>
        <w:t>proclaimed the good news to the people.</w:t>
      </w:r>
    </w:p>
    <w:p>
      <w:pPr>
        <w:pStyle w:val="ListBullet"/>
        <w:spacing w:line="240" w:lineRule="auto"/>
        <w:ind w:left="720"/>
      </w:pPr>
      <w:r>
        <w:rPr>
          <w:lang w:val="en_US" w:bidi="en_US"/>
        </w:rPr>
      </w:r>
      <w:r>
        <w:rPr>
          <w:lang w:val="en_US" w:bidi="en_US"/>
        </w:rPr>
        <w:t>and he preached/declared the good news to them.</w:t>
      </w:r>
    </w:p>
    <w:p>
      <w:pPr>
        <w:pStyle w:val="ListBullet"/>
        <w:spacing w:line="240" w:lineRule="auto"/>
        <w:ind w:left="720"/>
      </w:pPr>
      <w:r>
        <w:rPr>
          <w:lang w:val="en_US" w:bidi="en_US"/>
        </w:rPr>
      </w:r>
      <w:r>
        <w:rPr>
          <w:lang w:val="en_US" w:bidi="en_US"/>
        </w:rPr>
        <w:t xml:space="preserve">as he preached/announced to them the good news </w:t>
      </w:r>
      <w:r>
        <w:rPr>
          <w:lang w:val="en_US" w:bidi="en_US"/>
        </w:rPr>
        <w:t>about the Christ</w:t>
      </w:r>
      <w:r>
        <w:rPr>
          <w:lang w:val="en_US" w:bidi="en_US"/>
        </w:rPr>
        <w:t>.</w:t>
      </w:r>
    </w:p>
    <w:p>
      <w:pPr>
        <w:pStyle w:val="Heading5"/>
      </w:pPr>
      <w:r>
        <w:rPr>
          <w:lang w:val="en_US" w:bidi="en_US"/>
        </w:rPr>
        <w:t>3:18a-b</w:t>
      </w:r>
    </w:p>
    <w:p>
      <w:pPr/>
      <w:r>
        <w:rPr>
          <w:lang w:val="en_US" w:bidi="en_US"/>
        </w:rPr>
      </w:r>
      <w:r>
        <w:rPr>
          <w:lang w:val="en_US" w:bidi="en_US"/>
        </w:rPr>
        <w:t>This verse is a summary and conclusion of Paragraph 3:15–18. In Greek it begins with a conjunction that is often translated as “therefore” or “thus.” The BSB does not translate this conjunction. Some other ways to introduce this conclusion in English are:</w:t>
      </w:r>
    </w:p>
    <w:p>
      <w:pPr/>
      <w:r>
        <w:rPr>
          <w:lang w:val="en_US" w:bidi="en_US"/>
        </w:rPr>
      </w:r>
      <w:r>
        <w:rPr>
          <w:lang w:val="en_US" w:bidi="en_US"/>
        </w:rPr>
        <w:t>In this way</w:t>
      </w:r>
    </w:p>
    <w:p>
      <w:pPr/>
      <w:r>
        <w:rPr>
          <w:lang w:val="en_US" w:bidi="en_US"/>
        </w:rPr>
      </w:r>
      <w:r>
        <w:rPr>
          <w:lang w:val="en_US" w:bidi="en_US"/>
        </w:rPr>
        <w:t>So (NASB)</w:t>
      </w:r>
    </w:p>
    <w:p>
      <w:pPr/>
      <w:r>
        <w:rPr>
          <w:lang w:val="en_US" w:bidi="en_US"/>
        </w:rPr>
      </w:r>
      <w:r>
        <w:rPr>
          <w:lang w:val="en_US" w:bidi="en_US"/>
        </w:rPr>
        <w:t>Then (CSB)</w:t>
      </w:r>
    </w:p>
    <w:p>
      <w:pPr/>
      <w:r>
        <w:rPr>
          <w:lang w:val="en_US" w:bidi="en_US"/>
        </w:rPr>
      </w:r>
      <w:r>
        <w:rPr>
          <w:lang w:val="en_US" w:bidi="en_US"/>
        </w:rPr>
        <w:t>In some languages there may be a special way to introduce such a conclusion. Introduce the summary or conclusion of this paragraph in a natural way in your language.</w:t>
      </w:r>
    </w:p>
    <w:p>
      <w:pPr/>
      <w:r>
        <w:rPr>
          <w:lang w:val="en_US" w:bidi="en_US"/>
        </w:rPr>
      </w:r>
      <w:r>
        <w:rPr>
          <w:b/>
          <w:lang w:val="en_US" w:bidi="en_US"/>
        </w:rPr>
        <w:t>With these and many other exhortations:</w:t>
      </w:r>
      <w:r>
        <w:rPr>
          <w:lang w:val="en_US" w:bidi="en_US"/>
        </w:rPr>
        <w:t xml:space="preserve"> There are two ways to interpret the Greek word that the BSB translates as </w:t>
      </w:r>
      <w:r>
        <w:rPr>
          <w:i/>
          <w:lang w:val="en_US" w:bidi="en_US"/>
        </w:rPr>
        <w:t>other</w:t>
      </w:r>
      <w:r>
        <w:rPr>
          <w:lang w:val="en_US" w:bidi="en_US"/>
        </w:rPr>
        <w:t>:</w:t>
      </w:r>
    </w:p>
    <w:p>
      <w:pPr>
        <w:pStyle w:val="ListNumber"/>
        <w:numPr>
          <w:ilvl w:val="0"/>
          <w:numId w:val="90"/>
        </w:numPr>
        <w:spacing w:line="240" w:lineRule="auto"/>
        <w:ind w:left="720"/>
      </w:pPr>
      <w:r>
        <w:rPr>
          <w:lang w:val="en_US" w:bidi="en_US"/>
        </w:rPr>
      </w:r>
      <w:r>
        <w:rPr>
          <w:lang w:val="en_US" w:bidi="en_US"/>
        </w:rPr>
        <w:t>It means “more of the same kind.” John used more exhortations like the one in the previous verses. For example:</w:t>
      </w:r>
      <w:r>
        <w:rPr>
          <w:lang w:val="en_US" w:bidi="en_US"/>
        </w:rPr>
        <w:t xml:space="preserve">with many other exhortations (NET) </w:t>
      </w:r>
      <w:r>
        <w:rPr>
          <w:i/>
          <w:lang w:val="en_US" w:bidi="en_US"/>
        </w:rPr>
        <w:t>(BSB, NIV, NJB, NASB, NET, REB, NCV, KJV, NLT, GW)</w:t>
      </w:r>
    </w:p>
    <w:p>
      <w:pPr>
        <w:pStyle w:val="ListNumber"/>
        <w:spacing w:line="240" w:lineRule="auto"/>
        <w:ind w:left="720"/>
      </w:pPr>
      <w:r>
        <w:rPr>
          <w:lang w:val="en_US" w:bidi="en_US"/>
        </w:rPr>
      </w:r>
      <w:r>
        <w:rPr>
          <w:lang w:val="en_US" w:bidi="en_US"/>
        </w:rPr>
        <w:t>It means “different.” This means that not all of John’s preaching was like the previous verses. For example:</w:t>
      </w:r>
      <w:r>
        <w:rPr>
          <w:lang w:val="en_US" w:bidi="en_US"/>
        </w:rPr>
        <w:t xml:space="preserve">In many different ways (GNT) </w:t>
      </w:r>
      <w:r>
        <w:rPr>
          <w:i/>
          <w:lang w:val="en_US" w:bidi="en_US"/>
        </w:rPr>
        <w:t>(GNT, CEV)</w:t>
      </w:r>
    </w:p>
    <w:p>
      <w:pPr/>
      <w:r>
        <w:rPr>
          <w:lang w:val="en_US" w:bidi="en_US"/>
        </w:rPr>
      </w:r>
      <w:r>
        <w:rPr>
          <w:lang w:val="en_US" w:bidi="en_US"/>
        </w:rPr>
        <w:t>It is recommended that you follow interpretation (1).</w:t>
      </w:r>
      <w:r>
        <w:rPr>
          <w:lang w:val="en_US" w:bidi="en_US"/>
        </w:rPr>
        <w:t xml:space="preserve">The word </w:t>
      </w:r>
      <w:r>
        <w:rPr>
          <w:i/>
          <w:lang w:val="en_US" w:bidi="en_US"/>
        </w:rPr>
        <w:t>ἕτερος</w:t>
      </w:r>
      <w:r>
        <w:rPr>
          <w:lang w:val="en_US" w:bidi="en_US"/>
        </w:rPr>
        <w:t xml:space="preserve"> had lost the sense of “different” and was used as a synonym for </w:t>
      </w:r>
      <w:r>
        <w:rPr>
          <w:i/>
          <w:lang w:val="en_US" w:bidi="en_US"/>
        </w:rPr>
        <w:t>ἄλλος</w:t>
      </w:r>
      <w:r>
        <w:rPr>
          <w:lang w:val="en_US" w:bidi="en_US"/>
        </w:rPr>
        <w:t>, “other” (Marshall).</w:t>
      </w:r>
    </w:p>
    <w:p>
      <w:pPr/>
      <w:r>
        <w:rPr>
          <w:lang w:val="en_US" w:bidi="en_US"/>
        </w:rPr>
      </w:r>
      <w:r>
        <w:rPr>
          <w:b/>
          <w:lang w:val="en_US" w:bidi="en_US"/>
        </w:rPr>
        <w:t>John proclaimed the good news:</w:t>
      </w:r>
      <w:r>
        <w:rPr>
          <w:lang w:val="en_US" w:bidi="en_US"/>
        </w:rPr>
        <w:t xml:space="preserve"> The Greek word that the BSB translates as </w:t>
      </w:r>
      <w:r>
        <w:rPr>
          <w:i/>
          <w:lang w:val="en_US" w:bidi="en_US"/>
        </w:rPr>
        <w:t>proclaimed</w:t>
      </w:r>
      <w:r>
        <w:rPr>
          <w:lang w:val="en_US" w:bidi="en_US"/>
        </w:rPr>
        <w:t xml:space="preserve"> here refers to the act of appealing to people to do something. John was urging or encouraging the people to repent (3:8a) by accepting the good news that he told them and obeying God. For example:</w:t>
      </w:r>
    </w:p>
    <w:p>
      <w:pPr/>
      <w:r>
        <w:rPr>
          <w:lang w:val="en_US" w:bidi="en_US"/>
        </w:rPr>
      </w:r>
      <w:r>
        <w:rPr>
          <w:lang w:val="en_US" w:bidi="en_US"/>
        </w:rPr>
        <w:t>urged them to change their ways (GNT)</w:t>
      </w:r>
    </w:p>
    <w:p>
      <w:pPr/>
      <w:r>
        <w:rPr>
          <w:lang w:val="en_US" w:bidi="en_US"/>
        </w:rPr>
      </w:r>
      <w:r>
        <w:rPr>
          <w:b/>
          <w:lang w:val="en_US" w:bidi="en_US"/>
        </w:rPr>
        <w:t>proclaimed the good news to the people:</w:t>
      </w:r>
      <w:r>
        <w:rPr>
          <w:lang w:val="en_US" w:bidi="en_US"/>
        </w:rPr>
        <w:t xml:space="preserve"> The phrase </w:t>
      </w:r>
      <w:r>
        <w:rPr>
          <w:i/>
          <w:lang w:val="en_US" w:bidi="en_US"/>
        </w:rPr>
        <w:t>proclaimed the good news</w:t>
      </w:r>
      <w:r>
        <w:rPr>
          <w:lang w:val="en_US" w:bidi="en_US"/>
        </w:rPr>
        <w:t xml:space="preserve"> is a translation of one Greek verb. This verb also occurs in 2:10b. In this context John proclaimed to the people the message that God would soon send the Christ to save them.</w:t>
      </w:r>
    </w:p>
    <w:p>
      <w:pPr/>
      <w:r>
        <w:rPr>
          <w:lang w:val="en_US" w:bidi="en_US"/>
        </w:rPr>
      </w:r>
      <w:r>
        <w:rPr>
          <w:lang w:val="en_US" w:bidi="en_US"/>
        </w:rPr>
        <w:t>Some other ways to translate this are:</w:t>
      </w:r>
    </w:p>
    <w:p>
      <w:pPr/>
      <w:r>
        <w:rPr>
          <w:lang w:val="en_US" w:bidi="en_US"/>
        </w:rPr>
      </w:r>
      <w:r>
        <w:rPr>
          <w:lang w:val="en_US" w:bidi="en_US"/>
        </w:rPr>
        <w:t>told the Good News to the people (GW)</w:t>
      </w:r>
    </w:p>
    <w:p>
      <w:pPr/>
      <w:r>
        <w:rPr>
          <w:lang w:val="en_US" w:bidi="en_US"/>
        </w:rPr>
      </w:r>
      <w:r>
        <w:rPr>
          <w:lang w:val="en_US" w:bidi="en_US"/>
        </w:rPr>
        <w:t>announced the good news (REB)</w:t>
      </w:r>
    </w:p>
    <w:p>
      <w:pPr/>
      <w:r>
        <w:rPr>
          <w:lang w:val="en_US" w:bidi="en_US"/>
        </w:rPr>
      </w:r>
      <w:r>
        <w:rPr>
          <w:lang w:val="en_US" w:bidi="en_US"/>
        </w:rPr>
        <w:t xml:space="preserve">told them good news </w:t>
      </w:r>
      <w:r>
        <w:rPr>
          <w:lang w:val="en_US" w:bidi="en_US"/>
        </w:rPr>
        <w:t>about the Christ</w:t>
      </w:r>
    </w:p>
    <w:p>
      <w:pPr/>
      <w:r>
        <w:rPr>
          <w:lang w:val="en_US" w:bidi="en_US"/>
        </w:rPr>
      </w:r>
      <w:r>
        <w:rPr>
          <w:lang w:val="en_US" w:bidi="en_US"/>
        </w:rPr>
        <w:t xml:space="preserve">told them good/sweet news </w:t>
      </w:r>
      <w:r>
        <w:rPr>
          <w:lang w:val="en_US" w:bidi="en_US"/>
        </w:rPr>
        <w:t>from God</w:t>
      </w:r>
      <w:r>
        <w:rPr>
          <w:lang w:val="en_US" w:bidi="en_US"/>
        </w:rPr>
      </w:r>
      <w:r>
        <w:rPr>
          <w:lang w:val="en_US" w:bidi="en_US"/>
        </w:rPr>
      </w:r>
    </w:p>
    <w:p>
      <w:pPr/>
      <w:r>
        <w:rPr>
          <w:lang w:val="en_US" w:bidi="en_US"/>
        </w:rPr>
      </w:r>
    </w:p>
    <w:p>
      <w:pPr>
        <w:pStyle w:val="Heading2"/>
      </w:pPr>
      <w:r>
        <w:rPr>
          <w:lang w:val="en_US" w:bidi="en_US"/>
        </w:rPr>
        <w:t>Luke 3:19</w:t>
      </w:r>
      <w:r>
        <w:rPr>
          <w:lang w:val="en_US" w:bidi="en_US"/>
        </w:rPr>
      </w:r>
    </w:p>
    <w:p>
      <w:pPr>
        <w:pStyle w:val="Heading4"/>
      </w:pPr>
      <w:r>
        <w:rPr>
          <w:lang w:val="en_US" w:bidi="en_US"/>
        </w:rPr>
        <w:t>Section 3:1–20: John the Baptizer prepared the way for Jesus</w:t>
      </w:r>
    </w:p>
    <w:p>
      <w:pPr/>
      <w:r>
        <w:rPr>
          <w:lang w:val="en_US" w:bidi="en_US"/>
        </w:rPr>
      </w:r>
      <w:r>
        <w:rPr>
          <w:lang w:val="en_US" w:bidi="en_US"/>
        </w:rP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Preaching of John (NCV)</w:t>
      </w:r>
    </w:p>
    <w:p>
      <w:pPr/>
      <w:r>
        <w:rPr>
          <w:lang w:val="en_US" w:bidi="en_US"/>
        </w:rPr>
      </w:r>
      <w:r>
        <w:rPr>
          <w:lang w:val="en_US" w:bidi="en_US"/>
        </w:rPr>
        <w:t>John the Baptist and Jesus (REB)</w:t>
      </w:r>
    </w:p>
    <w:p>
      <w:pPr/>
      <w:r>
        <w:rPr>
          <w:lang w:val="en_US" w:bidi="en_US"/>
        </w:rPr>
      </w:r>
      <w:r>
        <w:rPr>
          <w:lang w:val="en_US" w:bidi="en_US"/>
        </w:rPr>
        <w:t>John the Baptizer tells people to prepare themselves for the Messiah</w:t>
      </w:r>
    </w:p>
    <w:p>
      <w:pPr/>
      <w:r>
        <w:rPr>
          <w:lang w:val="en_US" w:bidi="en_US"/>
        </w:rPr>
      </w:r>
      <w:r>
        <w:rPr>
          <w:lang w:val="en_US" w:bidi="en_US"/>
        </w:rPr>
        <w:t>Parts of Luke 3:1–20 are basically the same as verses in Matthew 3:1–12. But Luke 3:1–2, 10–14, and 19–20 are not in Matthew.</w:t>
      </w:r>
    </w:p>
    <w:p>
      <w:pPr>
        <w:pStyle w:val="Heading4"/>
      </w:pPr>
      <w:r>
        <w:rPr>
          <w:lang w:val="en_US" w:bidi="en_US"/>
        </w:rPr>
        <w:t>Paragraph 3:19–20</w:t>
      </w:r>
    </w:p>
    <w:p>
      <w:pPr/>
      <w:r>
        <w:rPr>
          <w:lang w:val="en_US" w:bidi="en_US"/>
        </w:rPr>
      </w:r>
      <w:r>
        <w:rPr>
          <w:lang w:val="en_US" w:bidi="en_US"/>
        </w:rPr>
        <w:t>In the next two paragraphs Luke did not tell the events in the order in which they happened. Paragraph 3:19–20 tells about something that would happen after John baptized Jesus in 3:21–22.</w:t>
      </w:r>
      <w:r>
        <w:rPr>
          <w:lang w:val="en_US" w:bidi="en_US"/>
        </w:rPr>
        <w:t>Luke may have used this order because John’s imprisonment was the end of his public ministry (3:19–20) and the beginning of Jesus’ public ministry (3:21–22).</w:t>
      </w:r>
      <w:r>
        <w:rPr>
          <w:lang w:val="en_US" w:bidi="en_US"/>
        </w:rPr>
        <w:t xml:space="preserve"> In some languages, it will be more natural to put these events in the order in which they actually happened. For example:</w:t>
      </w:r>
    </w:p>
    <w:p>
      <w:pPr/>
      <w:r>
        <w:rPr>
          <w:lang w:val="en_US" w:bidi="en_US"/>
        </w:rPr>
      </w:r>
      <w:r>
        <w:rPr>
          <w:vertAlign w:val="superscript"/>
          <w:lang w:val="en_US" w:bidi="en_US"/>
        </w:rPr>
        <w:t>21</w:t>
      </w:r>
      <w:r>
        <w:rPr>
          <w:lang w:val="en_US" w:bidi="en_US"/>
        </w:rPr>
        <w:t xml:space="preserve">When all the people were being baptized, Jesus was baptized too. And as he was praying, heaven was opened </w:t>
      </w:r>
      <w:r>
        <w:rPr>
          <w:vertAlign w:val="superscript"/>
          <w:lang w:val="en_US" w:bidi="en_US"/>
        </w:rPr>
        <w:t>22</w:t>
      </w:r>
      <w:r>
        <w:rPr>
          <w:lang w:val="en_US" w:bidi="en_US"/>
        </w:rPr>
        <w:t>and the Holy Spirit descended on him in bodily form like a dove. And a voice came from heaven: “You are my Son, whom I love; with you I am well pleased.”</w:t>
      </w:r>
    </w:p>
    <w:p>
      <w:pPr/>
      <w:r>
        <w:rPr>
          <w:lang w:val="en_US" w:bidi="en_US"/>
        </w:rPr>
      </w:r>
      <w:r>
        <w:rPr>
          <w:vertAlign w:val="superscript"/>
          <w:lang w:val="en_US" w:bidi="en_US"/>
        </w:rPr>
        <w:t>19</w:t>
      </w:r>
      <w:r>
        <w:rPr>
          <w:lang w:val="en_US" w:bidi="en_US"/>
        </w:rPr>
        <w:t xml:space="preserve"> </w:t>
      </w:r>
      <w:r>
        <w:rPr>
          <w:lang w:val="en_US" w:bidi="en_US"/>
        </w:rPr>
        <w:t>Sometime after this</w:t>
      </w:r>
      <w:r>
        <w:rPr>
          <w:lang w:val="en_US" w:bidi="en_US"/>
        </w:rPr>
        <w:t xml:space="preserve"> John rebuked Herod the tetrarch because of Herodias, his brother’s wife, and all the other evil things he had done. </w:t>
      </w:r>
      <w:r>
        <w:rPr>
          <w:vertAlign w:val="superscript"/>
          <w:lang w:val="en_US" w:bidi="en_US"/>
        </w:rPr>
        <w:t>20</w:t>
      </w:r>
      <w:r>
        <w:rPr>
          <w:lang w:val="en_US" w:bidi="en_US"/>
        </w:rPr>
        <w:t>Then</w:t>
      </w:r>
      <w:r>
        <w:rPr>
          <w:lang w:val="en_US" w:bidi="en_US"/>
        </w:rPr>
        <w:t xml:space="preserve"> Herod added this to them all: He locked John up in prison.</w:t>
      </w:r>
    </w:p>
    <w:p>
      <w:pPr>
        <w:pStyle w:val="Heading5"/>
      </w:pPr>
      <w:r>
        <w:rPr>
          <w:lang w:val="en_US" w:bidi="en_US"/>
        </w:rPr>
        <w:t>3:19a</w:t>
      </w:r>
    </w:p>
    <w:p>
      <w:pPr/>
      <w:r>
        <w:rPr>
          <w:lang w:val="en_US" w:bidi="en_US"/>
        </w:rPr>
      </w:r>
      <w:r>
        <w:rPr>
          <w:b/>
          <w:lang w:val="en_US" w:bidi="en_US"/>
        </w:rPr>
        <w:t>But when he rebuked Herod the tetrarch</w:t>
      </w:r>
    </w:p>
    <w:p>
      <w:pPr>
        <w:pStyle w:val="ListBullet"/>
        <w:spacing w:line="240" w:lineRule="auto"/>
        <w:ind w:left="720"/>
      </w:pPr>
      <w:r>
        <w:rPr>
          <w:lang w:val="en_US" w:bidi="en_US"/>
        </w:rPr>
      </w:r>
      <w:r>
        <w:rPr>
          <w:lang w:val="en_US" w:bidi="en_US"/>
        </w:rPr>
        <w:t xml:space="preserve">¶ </w:t>
      </w:r>
      <w:r>
        <w:rPr>
          <w:lang w:val="en_US" w:bidi="en_US"/>
        </w:rPr>
        <w:t>During this time</w:t>
      </w:r>
      <w:r>
        <w:rPr>
          <w:lang w:val="en_US" w:bidi="en_US"/>
        </w:rPr>
        <w:t xml:space="preserve"> John denounced/criticized Governor Herod</w:t>
      </w:r>
    </w:p>
    <w:p>
      <w:pPr>
        <w:pStyle w:val="ListBullet"/>
        <w:spacing w:line="240" w:lineRule="auto"/>
        <w:ind w:left="720"/>
      </w:pPr>
      <w:r>
        <w:rPr>
          <w:lang w:val="en_US" w:bidi="en_US"/>
        </w:rPr>
      </w:r>
      <w:r>
        <w:rPr>
          <w:lang w:val="en_US" w:bidi="en_US"/>
        </w:rPr>
        <w:t xml:space="preserve">¶ But Herod the ruler </w:t>
      </w:r>
      <w:r>
        <w:rPr>
          <w:lang w:val="en_US" w:bidi="en_US"/>
        </w:rPr>
        <w:t>caused trouble for John</w:t>
      </w:r>
      <w:r>
        <w:rPr>
          <w:lang w:val="en_US" w:bidi="en_US"/>
        </w:rPr>
        <w:t xml:space="preserve"> because John said that Herod had sinned</w:t>
      </w:r>
    </w:p>
    <w:p>
      <w:pPr>
        <w:pStyle w:val="ListBullet"/>
        <w:spacing w:line="240" w:lineRule="auto"/>
        <w:ind w:left="720"/>
      </w:pPr>
      <w:r>
        <w:rPr>
          <w:lang w:val="en_US" w:bidi="en_US"/>
        </w:rPr>
      </w:r>
      <w:r>
        <w:rPr>
          <w:lang w:val="en_US" w:bidi="en_US"/>
        </w:rPr>
        <w:t xml:space="preserve">¶ </w:t>
      </w:r>
      <w:r>
        <w:rPr>
          <w:lang w:val="en_US" w:bidi="en_US"/>
        </w:rPr>
        <w:t>At a certain time</w:t>
      </w:r>
      <w:r>
        <w:rPr>
          <w:lang w:val="en_US" w:bidi="en_US"/>
        </w:rPr>
        <w:t xml:space="preserve"> John said, “Herod has sinned.”</w:t>
      </w:r>
    </w:p>
    <w:p>
      <w:pPr/>
      <w:r>
        <w:rPr>
          <w:lang w:val="en_US" w:bidi="en_US"/>
        </w:rPr>
      </w:r>
      <w:r>
        <w:rPr>
          <w:b/>
          <w:lang w:val="en_US" w:bidi="en_US"/>
        </w:rPr>
        <w:t>he rebuked Herod the tetrarch:</w:t>
      </w:r>
      <w:r>
        <w:rPr>
          <w:lang w:val="en_US" w:bidi="en_US"/>
        </w:rPr>
        <w:t xml:space="preserve"> The Greek word that the BSB translates as </w:t>
      </w:r>
      <w:r>
        <w:rPr>
          <w:i/>
          <w:lang w:val="en_US" w:bidi="en_US"/>
        </w:rPr>
        <w:t>rebuked</w:t>
      </w:r>
      <w:r>
        <w:rPr>
          <w:lang w:val="en_US" w:bidi="en_US"/>
        </w:rPr>
        <w:t xml:space="preserve"> here means “to say that what someone did was wrong.” John said that what Herod did was wrong. It was sinful. John could have said this directly to Herod or he could have said it about him to other people.</w:t>
      </w:r>
    </w:p>
    <w:p>
      <w:pPr/>
      <w:r>
        <w:rPr>
          <w:lang w:val="en_US" w:bidi="en_US"/>
        </w:rPr>
      </w:r>
      <w:r>
        <w:rPr>
          <w:lang w:val="en_US" w:bidi="en_US"/>
        </w:rPr>
        <w:t>In some languages it may be more natural to translate this as direct speech. In that case it is possible to say either:</w:t>
      </w:r>
    </w:p>
    <w:p>
      <w:pPr/>
      <w:r>
        <w:rPr>
          <w:lang w:val="en_US" w:bidi="en_US"/>
        </w:rPr>
      </w:r>
      <w:r>
        <w:rPr>
          <w:lang w:val="en_US" w:bidi="en_US"/>
        </w:rPr>
        <w:t>John said about Herod the tetrarch, “He has done wrong….”</w:t>
      </w:r>
    </w:p>
    <w:p>
      <w:pPr/>
      <w:r>
        <w:rPr>
          <w:lang w:val="en_US" w:bidi="en_US"/>
        </w:rPr>
      </w:r>
      <w:r>
        <w:rPr>
          <w:lang w:val="en_US" w:bidi="en_US"/>
        </w:rPr>
        <w:t>John told Herod the tetrarch, “You have done wrong….”</w:t>
      </w:r>
    </w:p>
    <w:p>
      <w:pPr/>
      <w:r>
        <w:rPr>
          <w:lang w:val="en_US" w:bidi="en_US"/>
        </w:rPr>
      </w:r>
      <w:r>
        <w:rPr>
          <w:b/>
          <w:lang w:val="en_US" w:bidi="en_US"/>
        </w:rPr>
        <w:t>Herod the tetrarch:</w:t>
      </w:r>
      <w:r>
        <w:rPr>
          <w:lang w:val="en_US" w:bidi="en_US"/>
        </w:rPr>
        <w:t xml:space="preserve"> </w:t>
      </w:r>
      <w:r>
        <w:rPr>
          <w:i/>
          <w:lang w:val="en_US" w:bidi="en_US"/>
        </w:rPr>
        <w:t>Herod</w:t>
      </w:r>
      <w:r>
        <w:rPr>
          <w:lang w:val="en_US" w:bidi="en_US"/>
        </w:rPr>
        <w:t xml:space="preserve"> was the name of the government leader of the district of Galilee.</w:t>
      </w:r>
    </w:p>
    <w:p>
      <w:pPr/>
      <w:r>
        <w:rPr>
          <w:lang w:val="en_US" w:bidi="en_US"/>
        </w:rPr>
      </w:r>
      <w:r>
        <w:rPr>
          <w:lang w:val="en_US" w:bidi="en_US"/>
        </w:rPr>
        <w:t xml:space="preserve">Some ways to translate </w:t>
      </w:r>
      <w:r>
        <w:rPr>
          <w:i/>
          <w:lang w:val="en_US" w:bidi="en_US"/>
        </w:rPr>
        <w:t>Herod the tetrarch</w:t>
      </w:r>
      <w:r>
        <w:rPr>
          <w:lang w:val="en_US" w:bidi="en_US"/>
        </w:rPr>
        <w:t xml:space="preserve"> are:</w:t>
      </w:r>
    </w:p>
    <w:p>
      <w:pPr/>
      <w:r>
        <w:rPr>
          <w:lang w:val="en_US" w:bidi="en_US"/>
        </w:rPr>
      </w:r>
      <w:r>
        <w:rPr>
          <w:lang w:val="en_US" w:bidi="en_US"/>
        </w:rPr>
        <w:t>Herod the ruler (CEV)</w:t>
      </w:r>
    </w:p>
    <w:p>
      <w:pPr/>
      <w:r>
        <w:rPr>
          <w:lang w:val="en_US" w:bidi="en_US"/>
        </w:rPr>
      </w:r>
      <w:r>
        <w:rPr>
          <w:lang w:val="en_US" w:bidi="en_US"/>
        </w:rPr>
        <w:t>the ruler Herod (GW)</w:t>
      </w:r>
    </w:p>
    <w:p>
      <w:pPr/>
      <w:r>
        <w:rPr>
          <w:lang w:val="en_US" w:bidi="en_US"/>
        </w:rPr>
      </w:r>
      <w:r>
        <w:rPr>
          <w:lang w:val="en_US" w:bidi="en_US"/>
        </w:rPr>
        <w:t>Herod the leader</w:t>
      </w:r>
    </w:p>
    <w:p>
      <w:pPr/>
      <w:r>
        <w:rPr>
          <w:lang w:val="en_US" w:bidi="en_US"/>
        </w:rPr>
      </w:r>
      <w:r>
        <w:rPr>
          <w:lang w:val="en_US" w:bidi="en_US"/>
        </w:rPr>
        <w:t xml:space="preserve">This same phrase also occurs in 3:1c. See 3:1c for more details about the meaning of </w:t>
      </w:r>
      <w:r>
        <w:rPr>
          <w:i/>
          <w:lang w:val="en_US" w:bidi="en_US"/>
        </w:rPr>
        <w:t>tetrarch</w:t>
      </w:r>
      <w:r>
        <w:rPr>
          <w:lang w:val="en_US" w:bidi="en_US"/>
        </w:rPr>
        <w:t>.</w:t>
      </w:r>
    </w:p>
    <w:p>
      <w:pPr>
        <w:pStyle w:val="Heading5"/>
      </w:pPr>
      <w:r>
        <w:rPr>
          <w:lang w:val="en_US" w:bidi="en_US"/>
        </w:rPr>
        <w:t>3:19b</w:t>
      </w:r>
    </w:p>
    <w:p>
      <w:pPr/>
      <w:r>
        <w:rPr>
          <w:lang w:val="en_US" w:bidi="en_US"/>
        </w:rPr>
      </w:r>
      <w:r>
        <w:rPr>
          <w:b/>
          <w:lang w:val="en_US" w:bidi="en_US"/>
        </w:rPr>
        <w:t>regarding his brother’s wife Herodias</w:t>
      </w:r>
    </w:p>
    <w:p>
      <w:pPr>
        <w:pStyle w:val="ListBullet"/>
        <w:spacing w:line="240" w:lineRule="auto"/>
        <w:ind w:left="720"/>
      </w:pPr>
      <w:r>
        <w:rPr>
          <w:lang w:val="en_US" w:bidi="en_US"/>
        </w:rPr>
      </w:r>
      <w:r>
        <w:rPr>
          <w:lang w:val="en_US" w:bidi="en_US"/>
        </w:rPr>
        <w:t xml:space="preserve">for </w:t>
      </w:r>
      <w:r>
        <w:rPr>
          <w:lang w:val="en_US" w:bidi="en_US"/>
        </w:rPr>
        <w:t>marrying</w:t>
      </w:r>
      <w:r>
        <w:rPr>
          <w:lang w:val="en_US" w:bidi="en_US"/>
        </w:rPr>
        <w:t xml:space="preserve"> his brother’s wife, whose name was Herodias.</w:t>
      </w:r>
    </w:p>
    <w:p>
      <w:pPr>
        <w:pStyle w:val="ListBullet"/>
        <w:spacing w:line="240" w:lineRule="auto"/>
        <w:ind w:left="720"/>
      </w:pPr>
      <w:r>
        <w:rPr>
          <w:lang w:val="en_US" w:bidi="en_US"/>
        </w:rPr>
      </w:r>
      <w:r>
        <w:rPr>
          <w:lang w:val="en_US" w:bidi="en_US"/>
        </w:rPr>
        <w:t xml:space="preserve">by marrying Herodias, who was the wife of his own </w:t>
      </w:r>
      <w:r>
        <w:rPr>
          <w:lang w:val="en_US" w:bidi="en_US"/>
        </w:rPr>
        <w:t>half-</w:t>
      </w:r>
      <w:r>
        <w:rPr>
          <w:lang w:val="en_US" w:bidi="en_US"/>
        </w:rPr>
        <w:t>brother.</w:t>
      </w:r>
    </w:p>
    <w:p>
      <w:pPr>
        <w:pStyle w:val="ListBullet"/>
        <w:spacing w:line="240" w:lineRule="auto"/>
        <w:ind w:left="720"/>
      </w:pPr>
      <w:r>
        <w:rPr>
          <w:lang w:val="en_US" w:bidi="en_US"/>
        </w:rPr>
      </w:r>
      <w:r>
        <w:rPr>
          <w:lang w:val="en_US" w:bidi="en_US"/>
        </w:rPr>
        <w:t>He said this</w:t>
      </w:r>
      <w:r>
        <w:rPr>
          <w:lang w:val="en_US" w:bidi="en_US"/>
        </w:rPr>
        <w:t xml:space="preserve"> because Herod had married the wife of his own brother.</w:t>
      </w:r>
    </w:p>
    <w:p>
      <w:pPr/>
      <w:r>
        <w:rPr>
          <w:lang w:val="en_US" w:bidi="en_US"/>
        </w:rPr>
      </w:r>
      <w:r>
        <w:rPr>
          <w:b/>
          <w:lang w:val="en_US" w:bidi="en_US"/>
        </w:rPr>
        <w:t>regarding his brother’s wife Herodias:</w:t>
      </w:r>
      <w:r>
        <w:rPr>
          <w:lang w:val="en_US" w:bidi="en_US"/>
        </w:rPr>
        <w:t xml:space="preserve"> </w:t>
      </w:r>
      <w:r>
        <w:rPr>
          <w:lang w:val="en_US" w:bidi="en_US"/>
        </w:rPr>
        <w:t xml:space="preserve">There is a textual issue here. Some manuscripts have “his brother Philip’s wife.” However, the earliest manuscripts have only “his brother’s wife.” It is recommended that you follow these earliest manuscripts, which do not include Philip’s name here. This recommendation based on Swanson, p. 42, and </w:t>
      </w:r>
      <w:r>
        <w:rPr>
          <w:i/>
          <w:lang w:val="en_US" w:bidi="en_US"/>
        </w:rPr>
        <w:t>Exegetical Summaries</w:t>
      </w:r>
      <w:r>
        <w:rPr>
          <w:lang w:val="en_US" w:bidi="en_US"/>
        </w:rPr>
        <w:t xml:space="preserve"> on </w:t>
      </w:r>
      <w:r>
        <w:rPr>
          <w:i/>
          <w:lang w:val="en_US" w:bidi="en_US"/>
        </w:rPr>
        <w:t>TW</w:t>
      </w:r>
      <w:r>
        <w:rPr>
          <w:lang w:val="en_US" w:bidi="en_US"/>
        </w:rPr>
        <w:t>.</w:t>
      </w:r>
      <w:r>
        <w:rPr>
          <w:lang w:val="en_US" w:bidi="en_US"/>
        </w:rPr>
        <w:t xml:space="preserve"> Herod had divorced his own wife and had married Herodias. Herodias had earlier been married to one of Herod’s half-brothers. It was against God’s law for Herod to marry her. Herod had sinned. For the whole story, see Mark 6:14–29.</w:t>
      </w:r>
    </w:p>
    <w:p>
      <w:pPr/>
      <w:r>
        <w:rPr>
          <w:lang w:val="en_US" w:bidi="en_US"/>
        </w:rPr>
      </w:r>
      <w:r>
        <w:rPr>
          <w:lang w:val="en_US" w:bidi="en_US"/>
        </w:rPr>
        <w:t>In some languages it may be necessary to make some of this information explicit. For example:</w:t>
      </w:r>
    </w:p>
    <w:p>
      <w:pPr/>
      <w:r>
        <w:rPr>
          <w:lang w:val="en_US" w:bidi="en_US"/>
        </w:rPr>
      </w:r>
      <w:r>
        <w:rPr>
          <w:lang w:val="en_US" w:bidi="en_US"/>
        </w:rPr>
        <w:t xml:space="preserve">because </w:t>
      </w:r>
      <w:r>
        <w:rPr>
          <w:lang w:val="en_US" w:bidi="en_US"/>
        </w:rPr>
        <w:t>he had married</w:t>
      </w:r>
      <w:r>
        <w:rPr>
          <w:lang w:val="en_US" w:bidi="en_US"/>
        </w:rPr>
        <w:t xml:space="preserve"> Herodias, his brother’s wife</w:t>
      </w:r>
    </w:p>
    <w:p>
      <w:pPr/>
      <w:r>
        <w:rPr>
          <w:lang w:val="en_US" w:bidi="en_US"/>
        </w:rPr>
      </w:r>
      <w:r>
        <w:rPr>
          <w:b/>
          <w:lang w:val="en_US" w:bidi="en_US"/>
        </w:rPr>
        <w:t>brother’s:</w:t>
      </w:r>
      <w:r>
        <w:rPr>
          <w:lang w:val="en_US" w:bidi="en_US"/>
        </w:rPr>
        <w:t xml:space="preserve"> In this context the word “brother” refers to an older half-brother. The two men had different mothers. (This half-brother, Herod Philip, is </w:t>
      </w:r>
      <w:r>
        <w:rPr>
          <w:u w:val="single"/>
          <w:lang w:val="en_US" w:bidi="en_US"/>
        </w:rPr>
        <w:t>not</w:t>
      </w:r>
      <w:r>
        <w:rPr>
          <w:lang w:val="en_US" w:bidi="en_US"/>
        </w:rPr>
        <w:t xml:space="preserve"> the same as the half-brother named Philip who was mentioned in 3:1.</w:t>
      </w:r>
      <w:r>
        <w:rPr>
          <w:lang w:val="en_US" w:bidi="en_US"/>
        </w:rPr>
        <w:t>The mother of Herod Philip (the husband of Herodias) was Mariamne.</w:t>
      </w:r>
      <w:r>
        <w:rPr>
          <w:lang w:val="en_US" w:bidi="en_US"/>
        </w:rPr>
        <w:t>)</w:t>
      </w:r>
    </w:p>
    <w:p>
      <w:pPr>
        <w:pStyle w:val="Heading5"/>
      </w:pPr>
      <w:r>
        <w:rPr>
          <w:lang w:val="en_US" w:bidi="en_US"/>
        </w:rPr>
        <w:t>3:19c</w:t>
      </w:r>
    </w:p>
    <w:p>
      <w:pPr/>
      <w:r>
        <w:rPr>
          <w:lang w:val="en_US" w:bidi="en_US"/>
        </w:rPr>
      </w:r>
      <w:r>
        <w:rPr>
          <w:b/>
          <w:lang w:val="en_US" w:bidi="en_US"/>
        </w:rPr>
        <w:t>and all the evils he had done,</w:t>
      </w:r>
    </w:p>
    <w:p>
      <w:pPr>
        <w:pStyle w:val="ListBullet"/>
        <w:spacing w:line="240" w:lineRule="auto"/>
        <w:ind w:left="720"/>
      </w:pPr>
      <w:r>
        <w:rPr>
          <w:lang w:val="en_US" w:bidi="en_US"/>
        </w:rPr>
      </w:r>
      <w:r>
        <w:rPr>
          <w:lang w:val="en_US" w:bidi="en_US"/>
        </w:rPr>
        <w:t>John</w:t>
      </w:r>
      <w:r>
        <w:rPr>
          <w:lang w:val="en_US" w:bidi="en_US"/>
        </w:rPr>
        <w:t xml:space="preserve"> also </w:t>
      </w:r>
      <w:r>
        <w:rPr>
          <w:lang w:val="en_US" w:bidi="en_US"/>
        </w:rPr>
        <w:t>rebuked Herod</w:t>
      </w:r>
      <w:r>
        <w:rPr>
          <w:lang w:val="en_US" w:bidi="en_US"/>
        </w:rPr>
        <w:t xml:space="preserve"> </w:t>
      </w:r>
      <w:r>
        <w:rPr>
          <w:lang w:val="en_US" w:bidi="en_US"/>
        </w:rPr>
        <w:t>for</w:t>
      </w:r>
      <w:r>
        <w:rPr>
          <w:lang w:val="en_US" w:bidi="en_US"/>
        </w:rPr>
        <w:t xml:space="preserve"> all the other sins that Herod had done.</w:t>
      </w:r>
    </w:p>
    <w:p>
      <w:pPr>
        <w:pStyle w:val="ListBullet"/>
        <w:spacing w:line="240" w:lineRule="auto"/>
        <w:ind w:left="720"/>
      </w:pPr>
      <w:r>
        <w:rPr>
          <w:lang w:val="en_US" w:bidi="en_US"/>
        </w:rPr>
      </w:r>
      <w:r>
        <w:rPr>
          <w:lang w:val="en_US" w:bidi="en_US"/>
        </w:rPr>
        <w:t xml:space="preserve">John </w:t>
      </w:r>
      <w:r>
        <w:rPr>
          <w:lang w:val="en_US" w:bidi="en_US"/>
        </w:rPr>
        <w:t xml:space="preserve">also </w:t>
      </w:r>
      <w:r>
        <w:rPr>
          <w:lang w:val="en_US" w:bidi="en_US"/>
        </w:rPr>
        <w:t>criticized Herod</w:t>
      </w:r>
      <w:r>
        <w:rPr>
          <w:lang w:val="en_US" w:bidi="en_US"/>
        </w:rPr>
        <w:t xml:space="preserve"> for all the other evil things that he had done.</w:t>
      </w:r>
    </w:p>
    <w:p>
      <w:pPr>
        <w:pStyle w:val="ListBullet"/>
        <w:spacing w:line="240" w:lineRule="auto"/>
        <w:ind w:left="720"/>
      </w:pPr>
      <w:r>
        <w:rPr>
          <w:lang w:val="en_US" w:bidi="en_US"/>
        </w:rPr>
      </w:r>
      <w:r>
        <w:rPr>
          <w:lang w:val="en_US" w:bidi="en_US"/>
        </w:rPr>
        <w:t>John</w:t>
      </w:r>
      <w:r>
        <w:rPr>
          <w:lang w:val="en_US" w:bidi="en_US"/>
        </w:rPr>
        <w:t xml:space="preserve"> also </w:t>
      </w:r>
      <w:r>
        <w:rPr>
          <w:lang w:val="en_US" w:bidi="en_US"/>
        </w:rPr>
        <w:t>said,</w:t>
      </w:r>
      <w:r>
        <w:rPr>
          <w:lang w:val="en_US" w:bidi="en_US"/>
        </w:rPr>
        <w:t xml:space="preserve"> “Herod has done many other evil things.”</w:t>
      </w:r>
    </w:p>
    <w:p>
      <w:pPr/>
      <w:r>
        <w:rPr>
          <w:lang w:val="en_US" w:bidi="en_US"/>
        </w:rPr>
      </w:r>
      <w:r>
        <w:rPr>
          <w:b/>
          <w:lang w:val="en_US" w:bidi="en_US"/>
        </w:rPr>
        <w:t>all the evils he had done:</w:t>
      </w:r>
      <w:r>
        <w:rPr>
          <w:lang w:val="en_US" w:bidi="en_US"/>
        </w:rPr>
        <w:t xml:space="preserve"> The phrase </w:t>
      </w:r>
      <w:r>
        <w:rPr>
          <w:i/>
          <w:lang w:val="en_US" w:bidi="en_US"/>
        </w:rPr>
        <w:t>all the evils he had done</w:t>
      </w:r>
      <w:r>
        <w:rPr>
          <w:lang w:val="en_US" w:bidi="en_US"/>
        </w:rPr>
        <w:t xml:space="preserve"> indicates that John also rebuked Herod because of other ways that Herod had sinned.</w:t>
      </w:r>
    </w:p>
    <w:p>
      <w:pPr>
        <w:pStyle w:val="Heading6"/>
      </w:pPr>
      <w:r>
        <w:rPr>
          <w:b/>
          <w:lang w:val="en_US" w:bidi="en_US"/>
        </w:rPr>
        <w:t>General Comment on 3:19a–c</w:t>
      </w:r>
    </w:p>
    <w:p>
      <w:pPr/>
      <w:r>
        <w:rPr>
          <w:lang w:val="en_US" w:bidi="en_US"/>
        </w:rPr>
      </w:r>
      <w:r>
        <w:rPr>
          <w:lang w:val="en_US" w:bidi="en_US"/>
        </w:rPr>
        <w:t>In some languages it may be natural to reorder this verse and put it in chronological order. For example:</w:t>
      </w:r>
    </w:p>
    <w:p>
      <w:pPr/>
      <w:r>
        <w:rPr>
          <w:lang w:val="en_US" w:bidi="en_US"/>
        </w:rPr>
      </w:r>
      <w:r>
        <w:rPr>
          <w:vertAlign w:val="superscript"/>
          <w:lang w:val="en_US" w:bidi="en_US"/>
        </w:rPr>
        <w:t>19b</w:t>
      </w:r>
      <w:r>
        <w:rPr>
          <w:lang w:val="en_US" w:bidi="en_US"/>
        </w:rPr>
        <w:t xml:space="preserve">Herod the tetrarch </w:t>
      </w:r>
      <w:r>
        <w:rPr>
          <w:lang w:val="en_US" w:bidi="en_US"/>
        </w:rPr>
        <w:t>had married</w:t>
      </w:r>
      <w:r>
        <w:rPr>
          <w:lang w:val="en_US" w:bidi="en_US"/>
        </w:rPr>
        <w:t xml:space="preserve"> his brother’s wife Herodias </w:t>
      </w:r>
      <w:r>
        <w:rPr>
          <w:vertAlign w:val="superscript"/>
          <w:lang w:val="en_US" w:bidi="en_US"/>
        </w:rPr>
        <w:t>19c</w:t>
      </w:r>
      <w:r>
        <w:rPr>
          <w:lang w:val="en_US" w:bidi="en_US"/>
        </w:rPr>
        <w:t xml:space="preserve">and had done many other evil things, </w:t>
      </w:r>
      <w:r>
        <w:rPr>
          <w:vertAlign w:val="superscript"/>
          <w:lang w:val="en_US" w:bidi="en_US"/>
        </w:rPr>
        <w:t>19a</w:t>
      </w:r>
      <w:r>
        <w:rPr>
          <w:lang w:val="en_US" w:bidi="en_US"/>
        </w:rPr>
        <w:t>so</w:t>
      </w:r>
      <w:r>
        <w:rPr>
          <w:lang w:val="en_US" w:bidi="en_US"/>
        </w:rPr>
        <w:t xml:space="preserve"> John rebuked him.</w:t>
      </w:r>
      <w:r>
        <w:rPr>
          <w:lang w:val="en_US" w:bidi="en_US"/>
        </w:rPr>
      </w:r>
      <w:r>
        <w:rPr>
          <w:lang w:val="en_US" w:bidi="en_US"/>
        </w:rPr>
      </w:r>
    </w:p>
    <w:p>
      <w:pPr/>
      <w:r>
        <w:rPr>
          <w:lang w:val="en_US" w:bidi="en_US"/>
        </w:rPr>
      </w:r>
    </w:p>
    <w:p>
      <w:pPr>
        <w:pStyle w:val="Heading2"/>
      </w:pPr>
      <w:r>
        <w:rPr>
          <w:lang w:val="en_US" w:bidi="en_US"/>
        </w:rPr>
        <w:t>Luke 3:20</w:t>
      </w:r>
      <w:r>
        <w:rPr>
          <w:lang w:val="en_US" w:bidi="en_US"/>
        </w:rPr>
      </w:r>
    </w:p>
    <w:p>
      <w:pPr>
        <w:pStyle w:val="Heading4"/>
      </w:pPr>
      <w:r>
        <w:rPr>
          <w:lang w:val="en_US" w:bidi="en_US"/>
        </w:rPr>
        <w:t>Section 3:1–20: John the Baptizer prepared the way for Jesus</w:t>
      </w:r>
    </w:p>
    <w:p>
      <w:pPr/>
      <w:r>
        <w:rPr>
          <w:lang w:val="en_US" w:bidi="en_US"/>
        </w:rPr>
      </w:r>
      <w:r>
        <w:rPr>
          <w:lang w:val="en_US" w:bidi="en_US"/>
        </w:rPr>
        <w:t>The last event in Luke 2 describes Jesus’ trip to Jerusalem when he was twelve years old. This section begins about eighteen years later. At the beginning of chapter 3, both Jesus and John the Baptizer were about thirty years old. Both men were ready to begin public ministry.</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The Preaching of John (NCV)</w:t>
      </w:r>
    </w:p>
    <w:p>
      <w:pPr/>
      <w:r>
        <w:rPr>
          <w:lang w:val="en_US" w:bidi="en_US"/>
        </w:rPr>
      </w:r>
      <w:r>
        <w:rPr>
          <w:lang w:val="en_US" w:bidi="en_US"/>
        </w:rPr>
        <w:t>John the Baptist and Jesus (REB)</w:t>
      </w:r>
    </w:p>
    <w:p>
      <w:pPr/>
      <w:r>
        <w:rPr>
          <w:lang w:val="en_US" w:bidi="en_US"/>
        </w:rPr>
      </w:r>
      <w:r>
        <w:rPr>
          <w:lang w:val="en_US" w:bidi="en_US"/>
        </w:rPr>
        <w:t>John the Baptizer tells people to prepare themselves for the Messiah</w:t>
      </w:r>
    </w:p>
    <w:p>
      <w:pPr/>
      <w:r>
        <w:rPr>
          <w:lang w:val="en_US" w:bidi="en_US"/>
        </w:rPr>
      </w:r>
      <w:r>
        <w:rPr>
          <w:lang w:val="en_US" w:bidi="en_US"/>
        </w:rPr>
        <w:t>Parts of Luke 3:1–20 are basically the same as verses in Matthew 3:1–12. But Luke 3:1–2, 10–14, and 19–20 are not in Matthew.</w:t>
      </w:r>
    </w:p>
    <w:p>
      <w:pPr>
        <w:pStyle w:val="Heading4"/>
      </w:pPr>
      <w:r>
        <w:rPr>
          <w:lang w:val="en_US" w:bidi="en_US"/>
        </w:rPr>
        <w:t>Paragraph 3:19–20</w:t>
      </w:r>
    </w:p>
    <w:p>
      <w:pPr/>
      <w:r>
        <w:rPr>
          <w:lang w:val="en_US" w:bidi="en_US"/>
        </w:rPr>
      </w:r>
      <w:r>
        <w:rPr>
          <w:lang w:val="en_US" w:bidi="en_US"/>
        </w:rPr>
        <w:t>In the next two paragraphs Luke did not tell the events in the order in which they happened. Paragraph 3:19–20 tells about something that would happen after John baptized Jesus in 3:21–22.</w:t>
      </w:r>
      <w:r>
        <w:rPr>
          <w:lang w:val="en_US" w:bidi="en_US"/>
        </w:rPr>
        <w:t>Luke may have used this order because John’s imprisonment was the end of his public ministry (3:19–20) and the beginning of Jesus’ public ministry (3:21–22).</w:t>
      </w:r>
      <w:r>
        <w:rPr>
          <w:lang w:val="en_US" w:bidi="en_US"/>
        </w:rPr>
        <w:t xml:space="preserve"> In some languages, it will be more natural to put these events in the order in which they actually happened. For example:</w:t>
      </w:r>
    </w:p>
    <w:p>
      <w:pPr/>
      <w:r>
        <w:rPr>
          <w:lang w:val="en_US" w:bidi="en_US"/>
        </w:rPr>
      </w:r>
      <w:r>
        <w:rPr>
          <w:vertAlign w:val="superscript"/>
          <w:lang w:val="en_US" w:bidi="en_US"/>
        </w:rPr>
        <w:t>21</w:t>
      </w:r>
      <w:r>
        <w:rPr>
          <w:lang w:val="en_US" w:bidi="en_US"/>
        </w:rPr>
        <w:t xml:space="preserve">When all the people were being baptized, Jesus was baptized too. And as he was praying, heaven was opened </w:t>
      </w:r>
      <w:r>
        <w:rPr>
          <w:vertAlign w:val="superscript"/>
          <w:lang w:val="en_US" w:bidi="en_US"/>
        </w:rPr>
        <w:t>22</w:t>
      </w:r>
      <w:r>
        <w:rPr>
          <w:lang w:val="en_US" w:bidi="en_US"/>
        </w:rPr>
        <w:t>and the Holy Spirit descended on him in bodily form like a dove. And a voice came from heaven: “You are my Son, whom I love; with you I am well pleased.”</w:t>
      </w:r>
    </w:p>
    <w:p>
      <w:pPr/>
      <w:r>
        <w:rPr>
          <w:lang w:val="en_US" w:bidi="en_US"/>
        </w:rPr>
      </w:r>
      <w:r>
        <w:rPr>
          <w:vertAlign w:val="superscript"/>
          <w:lang w:val="en_US" w:bidi="en_US"/>
        </w:rPr>
        <w:t>19</w:t>
      </w:r>
      <w:r>
        <w:rPr>
          <w:lang w:val="en_US" w:bidi="en_US"/>
        </w:rPr>
        <w:t xml:space="preserve"> </w:t>
      </w:r>
      <w:r>
        <w:rPr>
          <w:lang w:val="en_US" w:bidi="en_US"/>
        </w:rPr>
        <w:t>Sometime after this</w:t>
      </w:r>
      <w:r>
        <w:rPr>
          <w:lang w:val="en_US" w:bidi="en_US"/>
        </w:rPr>
        <w:t xml:space="preserve"> John rebuked Herod the tetrarch because of Herodias, his brother’s wife, and all the other evil things he had done. </w:t>
      </w:r>
      <w:r>
        <w:rPr>
          <w:vertAlign w:val="superscript"/>
          <w:lang w:val="en_US" w:bidi="en_US"/>
        </w:rPr>
        <w:t>20</w:t>
      </w:r>
      <w:r>
        <w:rPr>
          <w:lang w:val="en_US" w:bidi="en_US"/>
        </w:rPr>
        <w:t>Then</w:t>
      </w:r>
      <w:r>
        <w:rPr>
          <w:lang w:val="en_US" w:bidi="en_US"/>
        </w:rPr>
        <w:t xml:space="preserve"> Herod added this to them all: He locked John up in prison.</w:t>
      </w:r>
    </w:p>
    <w:p>
      <w:pPr>
        <w:pStyle w:val="Heading5"/>
      </w:pPr>
      <w:r>
        <w:rPr>
          <w:lang w:val="en_US" w:bidi="en_US"/>
        </w:rPr>
        <w:t>3:20a</w:t>
      </w:r>
    </w:p>
    <w:p>
      <w:pPr/>
      <w:r>
        <w:rPr>
          <w:lang w:val="en_US" w:bidi="en_US"/>
        </w:rPr>
      </w:r>
      <w:r>
        <w:rPr>
          <w:b/>
          <w:lang w:val="en_US" w:bidi="en_US"/>
        </w:rPr>
        <w:t>Herod added this to them all:</w:t>
      </w:r>
    </w:p>
    <w:p>
      <w:pPr>
        <w:pStyle w:val="ListBullet"/>
        <w:spacing w:line="240" w:lineRule="auto"/>
        <w:ind w:left="720"/>
      </w:pPr>
      <w:r>
        <w:rPr>
          <w:lang w:val="en_US" w:bidi="en_US"/>
        </w:rPr>
      </w:r>
      <w:r>
        <w:rPr>
          <w:lang w:val="en_US" w:bidi="en_US"/>
        </w:rPr>
        <w:t>Then</w:t>
      </w:r>
      <w:r>
        <w:rPr>
          <w:lang w:val="en_US" w:bidi="en_US"/>
        </w:rPr>
        <w:t xml:space="preserve"> Herod added to his many sins</w:t>
      </w:r>
    </w:p>
    <w:p>
      <w:pPr>
        <w:pStyle w:val="ListBullet"/>
        <w:spacing w:line="240" w:lineRule="auto"/>
        <w:ind w:left="720"/>
      </w:pPr>
      <w:r>
        <w:rPr>
          <w:lang w:val="en_US" w:bidi="en_US"/>
        </w:rPr>
      </w:r>
      <w:r>
        <w:rPr>
          <w:lang w:val="en_US" w:bidi="en_US"/>
        </w:rPr>
        <w:t>Then</w:t>
      </w:r>
      <w:r>
        <w:rPr>
          <w:lang w:val="en_US" w:bidi="en_US"/>
        </w:rPr>
        <w:t xml:space="preserve"> Herod did an even worse evil thing.</w:t>
      </w:r>
    </w:p>
    <w:p>
      <w:pPr>
        <w:pStyle w:val="Heading5"/>
      </w:pPr>
      <w:r>
        <w:rPr>
          <w:lang w:val="en_US" w:bidi="en_US"/>
        </w:rPr>
        <w:t>3:20b</w:t>
      </w:r>
    </w:p>
    <w:p>
      <w:pPr/>
      <w:r>
        <w:rPr>
          <w:lang w:val="en_US" w:bidi="en_US"/>
        </w:rPr>
      </w:r>
      <w:r>
        <w:rPr>
          <w:b/>
          <w:lang w:val="en_US" w:bidi="en_US"/>
        </w:rPr>
        <w:t>He locked John up in prison.</w:t>
      </w:r>
    </w:p>
    <w:p>
      <w:pPr>
        <w:pStyle w:val="ListBullet"/>
        <w:spacing w:line="240" w:lineRule="auto"/>
        <w:ind w:left="720"/>
      </w:pPr>
      <w:r>
        <w:rPr>
          <w:lang w:val="en_US" w:bidi="en_US"/>
        </w:rPr>
      </w:r>
      <w:r>
        <w:rPr>
          <w:lang w:val="en_US" w:bidi="en_US"/>
        </w:rPr>
        <w:t>by having John locked up inside a prison.</w:t>
      </w:r>
    </w:p>
    <w:p>
      <w:pPr>
        <w:pStyle w:val="ListBullet"/>
        <w:spacing w:line="240" w:lineRule="auto"/>
        <w:ind w:left="720"/>
      </w:pPr>
      <w:r>
        <w:rPr>
          <w:lang w:val="en_US" w:bidi="en_US"/>
        </w:rPr>
      </w:r>
      <w:r>
        <w:rPr>
          <w:lang w:val="en_US" w:bidi="en_US"/>
        </w:rPr>
        <w:t xml:space="preserve">He </w:t>
      </w:r>
      <w:r>
        <w:rPr>
          <w:lang w:val="en_US" w:bidi="en_US"/>
        </w:rPr>
        <w:t>ordered his men to</w:t>
      </w:r>
      <w:r>
        <w:rPr>
          <w:lang w:val="en_US" w:bidi="en_US"/>
        </w:rPr>
        <w:t xml:space="preserve"> lock John in prison, </w:t>
      </w:r>
      <w:r>
        <w:rPr>
          <w:lang w:val="en_US" w:bidi="en_US"/>
        </w:rPr>
        <w:t>and they did</w:t>
      </w:r>
      <w:r>
        <w:rPr>
          <w:lang w:val="en_US" w:bidi="en_US"/>
        </w:rPr>
        <w:t>.</w:t>
      </w:r>
    </w:p>
    <w:p>
      <w:pPr>
        <w:pStyle w:val="Heading5"/>
      </w:pPr>
      <w:r>
        <w:rPr>
          <w:lang w:val="en_US" w:bidi="en_US"/>
        </w:rPr>
        <w:t>3:20a–b</w:t>
      </w:r>
    </w:p>
    <w:p>
      <w:pPr/>
      <w:r>
        <w:rPr>
          <w:lang w:val="en_US" w:bidi="en_US"/>
        </w:rPr>
      </w:r>
      <w:r>
        <w:rPr>
          <w:b/>
          <w:lang w:val="en_US" w:bidi="en_US"/>
        </w:rPr>
        <w:t>Herod added this to them all:</w:t>
      </w:r>
      <w:r>
        <w:rPr>
          <w:lang w:val="en_US" w:bidi="en_US"/>
        </w:rPr>
        <w:t xml:space="preserve"> There are two ways to interpret this clause:</w:t>
      </w:r>
    </w:p>
    <w:p>
      <w:pPr>
        <w:pStyle w:val="ListNumber"/>
        <w:numPr>
          <w:ilvl w:val="0"/>
          <w:numId w:val="91"/>
        </w:numPr>
        <w:spacing w:line="240" w:lineRule="auto"/>
        <w:ind w:left="720"/>
      </w:pPr>
      <w:r>
        <w:rPr>
          <w:lang w:val="en_US" w:bidi="en_US"/>
        </w:rPr>
      </w:r>
      <w:r>
        <w:rPr>
          <w:lang w:val="en_US" w:bidi="en_US"/>
        </w:rPr>
        <w:t xml:space="preserve">Putting John in prison was </w:t>
      </w:r>
      <w:r>
        <w:rPr>
          <w:u w:val="single"/>
          <w:lang w:val="en_US" w:bidi="en_US"/>
        </w:rPr>
        <w:t>one more evil deed</w:t>
      </w:r>
      <w:r>
        <w:rPr>
          <w:lang w:val="en_US" w:bidi="en_US"/>
        </w:rPr>
        <w:t xml:space="preserve"> among many evil deeds that Herod had done. For example:</w:t>
      </w:r>
      <w:r>
        <w:rPr>
          <w:lang w:val="en_US" w:bidi="en_US"/>
        </w:rPr>
        <w:t xml:space="preserve">So Herod added one more evil to all the others; he locked John in prison. (GW) </w:t>
      </w:r>
      <w:r>
        <w:rPr>
          <w:i/>
          <w:lang w:val="en_US" w:bidi="en_US"/>
        </w:rPr>
        <w:t>(BSB, NIV, RSV, NJB, NET, NASB, GW, NLT)</w:t>
      </w:r>
    </w:p>
    <w:p>
      <w:pPr>
        <w:pStyle w:val="ListNumber"/>
        <w:spacing w:line="240" w:lineRule="auto"/>
        <w:ind w:left="720"/>
      </w:pPr>
      <w:r>
        <w:rPr>
          <w:lang w:val="en_US" w:bidi="en_US"/>
        </w:rPr>
      </w:r>
      <w:r>
        <w:rPr>
          <w:lang w:val="en_US" w:bidi="en_US"/>
        </w:rPr>
        <w:t xml:space="preserve">Putting John in prison was </w:t>
      </w:r>
      <w:r>
        <w:rPr>
          <w:u w:val="single"/>
          <w:lang w:val="en_US" w:bidi="en_US"/>
        </w:rPr>
        <w:t>the worst evil deed</w:t>
      </w:r>
      <w:r>
        <w:rPr>
          <w:lang w:val="en_US" w:bidi="en_US"/>
        </w:rPr>
        <w:t xml:space="preserve"> that Herod had done. He added to his sins by committing an even greater sin. For example:</w:t>
      </w:r>
      <w:r>
        <w:rPr>
          <w:lang w:val="en_US" w:bidi="en_US"/>
        </w:rPr>
        <w:t xml:space="preserve">Then Herod did an even worse thing by putting John in prison. (GNT) </w:t>
      </w:r>
      <w:r>
        <w:rPr>
          <w:i/>
          <w:lang w:val="en_US" w:bidi="en_US"/>
        </w:rPr>
        <w:t>(GNT, REB, CEV, NCV, KJV, JBP)</w:t>
      </w:r>
    </w:p>
    <w:p>
      <w:pPr/>
      <w:r>
        <w:rPr>
          <w:lang w:val="en_US" w:bidi="en_US"/>
        </w:rPr>
      </w:r>
      <w:r>
        <w:rPr>
          <w:lang w:val="en_US" w:bidi="en_US"/>
        </w:rPr>
        <w:t>It is recommended that you follow interpretation (1).</w:t>
      </w:r>
    </w:p>
    <w:p>
      <w:pPr/>
      <w:r>
        <w:rPr>
          <w:lang w:val="en_US" w:bidi="en_US"/>
        </w:rPr>
      </w:r>
      <w:r>
        <w:rPr>
          <w:b/>
          <w:lang w:val="en_US" w:bidi="en_US"/>
        </w:rPr>
        <w:t>He locked John up in prison:</w:t>
      </w:r>
      <w:r>
        <w:rPr>
          <w:lang w:val="en_US" w:bidi="en_US"/>
        </w:rPr>
        <w:t xml:space="preserve"> In some languages it may be necessary to say that Herod caused John to be put in prison. Herod ordered his soldiers to lock John inside a prison, and they did.</w:t>
      </w:r>
      <w:r>
        <w:rPr>
          <w:lang w:val="en_US" w:bidi="en_US"/>
        </w:rPr>
      </w:r>
      <w:r>
        <w:rPr>
          <w:lang w:val="en_US" w:bidi="en_US"/>
        </w:rPr>
      </w:r>
    </w:p>
    <w:p>
      <w:pPr/>
      <w:r>
        <w:rPr>
          <w:lang w:val="en_US" w:bidi="en_US"/>
        </w:rPr>
      </w:r>
    </w:p>
    <w:p>
      <w:pPr>
        <w:pStyle w:val="Heading2"/>
      </w:pPr>
      <w:r>
        <w:rPr>
          <w:lang w:val="en_US" w:bidi="en_US"/>
        </w:rPr>
        <w:t>Luke 3:21</w:t>
      </w:r>
      <w:r>
        <w:rPr>
          <w:lang w:val="en_US" w:bidi="en_US"/>
        </w:rPr>
      </w:r>
    </w:p>
    <w:p>
      <w:pPr>
        <w:pStyle w:val="Heading4"/>
      </w:pPr>
      <w:r>
        <w:rPr>
          <w:lang w:val="en_US" w:bidi="en_US"/>
        </w:rPr>
        <w:t>Section 3:21–22: John baptized Jesus</w:t>
      </w:r>
    </w:p>
    <w:p>
      <w:pPr/>
      <w:r>
        <w:rPr>
          <w:lang w:val="en_US" w:bidi="en_US"/>
        </w:rPr>
      </w:r>
      <w:r>
        <w:rPr>
          <w:lang w:val="en_US" w:bidi="en_US"/>
        </w:rPr>
        <w:t>In this section John baptized Jesus. John did this before Herod put him into prison, which Luke mentioned in 3:19–20. The events of this section happened before the events of the previous paragraph. So it may be necessary in some languages to change the order of the verses. See the introductory note on Paragraph 3:19–20 for possible ways to do this.</w:t>
      </w:r>
    </w:p>
    <w:p>
      <w:pPr/>
      <w:r>
        <w:rPr>
          <w:lang w:val="en_US" w:bidi="en_US"/>
        </w:rPr>
      </w:r>
      <w:r>
        <w:rPr>
          <w:lang w:val="en_US" w:bidi="en_US"/>
        </w:rPr>
        <w:t>Some other possible headings for this section are:</w:t>
      </w:r>
    </w:p>
    <w:p>
      <w:pPr/>
      <w:r>
        <w:rPr>
          <w:lang w:val="en_US" w:bidi="en_US"/>
        </w:rPr>
      </w:r>
      <w:r>
        <w:rPr>
          <w:lang w:val="en_US" w:bidi="en_US"/>
        </w:rPr>
        <w:t>The Baptism of Jesus (NRSV)</w:t>
      </w:r>
    </w:p>
    <w:p>
      <w:pPr/>
      <w:r>
        <w:rPr>
          <w:lang w:val="en_US" w:bidi="en_US"/>
        </w:rPr>
      </w:r>
      <w:r>
        <w:rPr>
          <w:lang w:val="en_US" w:bidi="en_US"/>
        </w:rPr>
        <w:t>Jesus is Baptized by John (NCV)</w:t>
      </w:r>
    </w:p>
    <w:p>
      <w:pPr/>
      <w:r>
        <w:rPr>
          <w:lang w:val="en_US" w:bidi="en_US"/>
        </w:rPr>
      </w:r>
      <w:r>
        <w:rPr>
          <w:lang w:val="en_US" w:bidi="en_US"/>
        </w:rPr>
        <w:t>There are parallel passages for this section in Matthew 3:13–17 and Mark 1:9–11.</w:t>
      </w:r>
    </w:p>
    <w:p>
      <w:pPr>
        <w:pStyle w:val="Heading5"/>
      </w:pPr>
      <w:r>
        <w:rPr>
          <w:lang w:val="en_US" w:bidi="en_US"/>
        </w:rPr>
        <w:t>3:21a</w:t>
      </w:r>
    </w:p>
    <w:p>
      <w:pPr/>
      <w:r>
        <w:rPr>
          <w:lang w:val="en_US" w:bidi="en_US"/>
        </w:rPr>
      </w:r>
      <w:r>
        <w:rPr>
          <w:b/>
          <w:lang w:val="en_US" w:bidi="en_US"/>
        </w:rPr>
        <w:t>When all the people were being baptized, Jesus was baptized too.</w:t>
      </w:r>
    </w:p>
    <w:p>
      <w:pPr>
        <w:pStyle w:val="ListBullet"/>
        <w:spacing w:line="240" w:lineRule="auto"/>
        <w:ind w:left="720"/>
      </w:pPr>
      <w:r>
        <w:rPr>
          <w:lang w:val="en_US" w:bidi="en_US"/>
        </w:rPr>
      </w:r>
      <w:r>
        <w:rPr>
          <w:lang w:val="en_US" w:bidi="en_US"/>
        </w:rPr>
        <w:t>¶ Jesus was baptized at the time when the rest of the people were being baptized.</w:t>
      </w:r>
    </w:p>
    <w:p>
      <w:pPr>
        <w:pStyle w:val="ListBullet"/>
        <w:spacing w:line="240" w:lineRule="auto"/>
        <w:ind w:left="720"/>
      </w:pPr>
      <w:r>
        <w:rPr>
          <w:lang w:val="en_US" w:bidi="en_US"/>
        </w:rPr>
      </w:r>
      <w:r>
        <w:rPr>
          <w:lang w:val="en_US" w:bidi="en_US"/>
        </w:rPr>
        <w:t>¶ John had baptized Jesus during the time when he was baptizing all the other people.</w:t>
      </w:r>
    </w:p>
    <w:p>
      <w:pPr>
        <w:pStyle w:val="ListBullet"/>
        <w:spacing w:line="240" w:lineRule="auto"/>
        <w:ind w:left="720"/>
      </w:pPr>
      <w:r>
        <w:rPr>
          <w:lang w:val="en_US" w:bidi="en_US"/>
        </w:rPr>
      </w:r>
      <w:r>
        <w:rPr>
          <w:lang w:val="en_US" w:bidi="en_US"/>
        </w:rPr>
        <w:t xml:space="preserve">¶ </w:t>
      </w:r>
      <w:r>
        <w:rPr>
          <w:lang w:val="en_US" w:bidi="en_US"/>
        </w:rPr>
        <w:t>But before that,</w:t>
      </w:r>
      <w:r>
        <w:rPr>
          <w:lang w:val="en_US" w:bidi="en_US"/>
        </w:rPr>
        <w:t xml:space="preserve"> while </w:t>
      </w:r>
      <w:r>
        <w:rPr>
          <w:lang w:val="en_US" w:bidi="en_US"/>
        </w:rPr>
        <w:t>John</w:t>
      </w:r>
      <w:r>
        <w:rPr>
          <w:lang w:val="en_US" w:bidi="en_US"/>
        </w:rPr>
        <w:t xml:space="preserve"> was still baptizing all the people </w:t>
      </w:r>
      <w:r>
        <w:rPr>
          <w:lang w:val="en_US" w:bidi="en_US"/>
        </w:rPr>
        <w:t>who repented</w:t>
      </w:r>
      <w:r>
        <w:rPr>
          <w:lang w:val="en_US" w:bidi="en_US"/>
        </w:rPr>
        <w:t>, he baptized Jesus too.</w:t>
      </w:r>
    </w:p>
    <w:p>
      <w:pPr/>
      <w:r>
        <w:rPr>
          <w:lang w:val="en_US" w:bidi="en_US"/>
        </w:rPr>
      </w:r>
      <w:r>
        <w:rPr>
          <w:lang w:val="en_US" w:bidi="en_US"/>
        </w:rPr>
        <w:t>In the Greek text this section begins with a phrase that can be translated literally as “And it happened.” The BSB and some other English versions have not translated it. Some other English versions</w:t>
      </w:r>
      <w:r>
        <w:rPr>
          <w:lang w:val="en_US" w:bidi="en_US"/>
        </w:rPr>
        <w:t>English versions that translate this phrase as “Now” include KJV, NASB, NET, NJB, NRSV, and RSV.</w:t>
      </w:r>
      <w:r>
        <w:rPr>
          <w:lang w:val="en_US" w:bidi="en_US"/>
        </w:rPr>
        <w:t xml:space="preserve"> translate it as “Now” to indicate that the following event happened before the event in the preceding paragraph. Use a way that is natural in your language to introduce a new incident that is not in chronological order.</w:t>
      </w:r>
    </w:p>
    <w:p>
      <w:pPr/>
      <w:r>
        <w:rPr>
          <w:lang w:val="en_US" w:bidi="en_US"/>
        </w:rPr>
      </w:r>
      <w:r>
        <w:rPr>
          <w:b/>
          <w:lang w:val="en_US" w:bidi="en_US"/>
        </w:rPr>
        <w:t>When all the people were being baptized, Jesus was baptized too:</w:t>
      </w:r>
      <w:r>
        <w:rPr>
          <w:lang w:val="en_US" w:bidi="en_US"/>
        </w:rPr>
        <w:t xml:space="preserve"> There are two ways to interpret the Greek expression that the BSB translates as </w:t>
      </w:r>
      <w:r>
        <w:rPr>
          <w:i/>
          <w:lang w:val="en_US" w:bidi="en_US"/>
        </w:rPr>
        <w:t>When all the people were being baptized, Jesus was baptized too</w:t>
      </w:r>
      <w:r>
        <w:rPr>
          <w:lang w:val="en_US" w:bidi="en_US"/>
        </w:rPr>
        <w:t>:</w:t>
      </w:r>
    </w:p>
    <w:p>
      <w:pPr>
        <w:pStyle w:val="ListNumber"/>
        <w:numPr>
          <w:ilvl w:val="0"/>
          <w:numId w:val="92"/>
        </w:numPr>
        <w:spacing w:line="240" w:lineRule="auto"/>
        <w:ind w:left="720"/>
      </w:pPr>
      <w:r>
        <w:rPr>
          <w:lang w:val="en_US" w:bidi="en_US"/>
        </w:rPr>
      </w:r>
      <w:r>
        <w:rPr>
          <w:lang w:val="en_US" w:bidi="en_US"/>
        </w:rPr>
        <w:t>John baptized Jesus during the time he was baptizing the other people. For example:</w:t>
      </w:r>
      <w:r>
        <w:rPr>
          <w:lang w:val="en_US" w:bidi="en_US"/>
        </w:rPr>
        <w:t xml:space="preserve">While everyone else was being baptized… (CEV) </w:t>
      </w:r>
      <w:r>
        <w:rPr>
          <w:i/>
          <w:lang w:val="en_US" w:bidi="en_US"/>
        </w:rPr>
        <w:t>(BSB, NIV, RSV, NLT, REB, NASB, KJV, NET, GW, CEV, NCV)</w:t>
      </w:r>
    </w:p>
    <w:p>
      <w:pPr>
        <w:pStyle w:val="ListNumber"/>
        <w:spacing w:line="240" w:lineRule="auto"/>
        <w:ind w:left="720"/>
      </w:pPr>
      <w:r>
        <w:rPr>
          <w:lang w:val="en_US" w:bidi="en_US"/>
        </w:rPr>
      </w:r>
      <w:r>
        <w:rPr>
          <w:lang w:val="en_US" w:bidi="en_US"/>
        </w:rPr>
        <w:t>John finished baptizing all the other people, and then he baptized Jesus. For example:</w:t>
      </w:r>
      <w:r>
        <w:rPr>
          <w:lang w:val="en_US" w:bidi="en_US"/>
        </w:rPr>
        <w:t xml:space="preserve">After all the people had been baptized… (GNT) </w:t>
      </w:r>
      <w:r>
        <w:rPr>
          <w:i/>
          <w:lang w:val="en_US" w:bidi="en_US"/>
        </w:rPr>
        <w:t>(GNT, NJB)</w:t>
      </w:r>
    </w:p>
    <w:p>
      <w:pPr/>
      <w:r>
        <w:rPr>
          <w:lang w:val="en_US" w:bidi="en_US"/>
        </w:rPr>
      </w:r>
      <w:r>
        <w:rPr>
          <w:lang w:val="en_US" w:bidi="en_US"/>
        </w:rPr>
        <w:t>It is recommended that you follow interpretation (1).</w:t>
      </w:r>
    </w:p>
    <w:p>
      <w:pPr/>
      <w:r>
        <w:rPr>
          <w:lang w:val="en_US" w:bidi="en_US"/>
        </w:rPr>
      </w:r>
      <w:r>
        <w:rPr>
          <w:lang w:val="en_US" w:bidi="en_US"/>
        </w:rPr>
        <w:t xml:space="preserve">The verbs </w:t>
      </w:r>
      <w:r>
        <w:rPr>
          <w:i/>
          <w:lang w:val="en_US" w:bidi="en_US"/>
        </w:rPr>
        <w:t>were being baptized</w:t>
      </w:r>
      <w:r>
        <w:rPr>
          <w:lang w:val="en_US" w:bidi="en_US"/>
        </w:rPr>
        <w:t xml:space="preserve"> and </w:t>
      </w:r>
      <w:r>
        <w:rPr>
          <w:i/>
          <w:lang w:val="en_US" w:bidi="en_US"/>
        </w:rPr>
        <w:t>was baptized</w:t>
      </w:r>
      <w:r>
        <w:rPr>
          <w:lang w:val="en_US" w:bidi="en_US"/>
        </w:rPr>
        <w:t xml:space="preserve"> are passive. In some languages it may be more natural to use active verbs and say who baptized the people and Jesus. For example:</w:t>
      </w:r>
    </w:p>
    <w:p>
      <w:pPr/>
      <w:r>
        <w:rPr>
          <w:lang w:val="en_US" w:bidi="en_US"/>
        </w:rPr>
      </w:r>
      <w:r>
        <w:rPr>
          <w:lang w:val="en_US" w:bidi="en_US"/>
        </w:rPr>
        <w:t xml:space="preserve">When </w:t>
      </w:r>
      <w:r>
        <w:rPr>
          <w:lang w:val="en_US" w:bidi="en_US"/>
        </w:rPr>
        <w:t>John</w:t>
      </w:r>
      <w:r>
        <w:rPr>
          <w:lang w:val="en_US" w:bidi="en_US"/>
        </w:rPr>
        <w:t xml:space="preserve"> was baptizing all the </w:t>
      </w:r>
      <w:r>
        <w:rPr>
          <w:lang w:val="en_US" w:bidi="en_US"/>
        </w:rPr>
        <w:t>other</w:t>
      </w:r>
      <w:r>
        <w:rPr>
          <w:lang w:val="en_US" w:bidi="en_US"/>
        </w:rPr>
        <w:t xml:space="preserve"> people, </w:t>
      </w:r>
      <w:r>
        <w:rPr>
          <w:lang w:val="en_US" w:bidi="en_US"/>
        </w:rPr>
        <w:t>he</w:t>
      </w:r>
      <w:r>
        <w:rPr>
          <w:lang w:val="en_US" w:bidi="en_US"/>
        </w:rPr>
        <w:t xml:space="preserve"> baptized Jesus also.</w:t>
      </w:r>
    </w:p>
    <w:p>
      <w:pPr/>
      <w:r>
        <w:rPr>
          <w:lang w:val="en_US" w:bidi="en_US"/>
        </w:rPr>
      </w:r>
      <w:r>
        <w:rPr>
          <w:b/>
          <w:lang w:val="en_US" w:bidi="en_US"/>
        </w:rPr>
        <w:t>all the people:</w:t>
      </w:r>
      <w:r>
        <w:rPr>
          <w:lang w:val="en_US" w:bidi="en_US"/>
        </w:rPr>
        <w:t xml:space="preserve"> The phrase </w:t>
      </w:r>
      <w:r>
        <w:rPr>
          <w:i/>
          <w:lang w:val="en_US" w:bidi="en_US"/>
        </w:rPr>
        <w:t>all the people</w:t>
      </w:r>
      <w:r>
        <w:rPr>
          <w:lang w:val="en_US" w:bidi="en_US"/>
        </w:rPr>
        <w:t xml:space="preserve"> refers to the large crowds of people who came to John so that he would baptize them.</w:t>
      </w:r>
    </w:p>
    <w:p>
      <w:pPr/>
      <w:r>
        <w:rPr>
          <w:lang w:val="en_US" w:bidi="en_US"/>
        </w:rPr>
      </w:r>
      <w:r>
        <w:rPr>
          <w:b/>
          <w:lang w:val="en_US" w:bidi="en_US"/>
        </w:rPr>
        <w:t>baptized, Jesus was baptized:</w:t>
      </w:r>
      <w:r>
        <w:rPr>
          <w:lang w:val="en_US" w:bidi="en_US"/>
        </w:rPr>
        <w:t xml:space="preserve"> See the note at 3:7a for suggestions about translating the word “baptize.” See also baptize, Meaning 1, in the Glossary.</w:t>
      </w:r>
    </w:p>
    <w:p>
      <w:pPr>
        <w:pStyle w:val="Heading5"/>
      </w:pPr>
      <w:r>
        <w:rPr>
          <w:lang w:val="en_US" w:bidi="en_US"/>
        </w:rPr>
        <w:t>3:21b</w:t>
      </w:r>
    </w:p>
    <w:p>
      <w:pPr/>
      <w:r>
        <w:rPr>
          <w:lang w:val="en_US" w:bidi="en_US"/>
        </w:rPr>
      </w:r>
      <w:r>
        <w:rPr>
          <w:b/>
          <w:lang w:val="en_US" w:bidi="en_US"/>
        </w:rPr>
        <w:t>And as He was praying, heaven was opened,</w:t>
      </w:r>
    </w:p>
    <w:p>
      <w:pPr>
        <w:pStyle w:val="ListBullet"/>
        <w:spacing w:line="240" w:lineRule="auto"/>
        <w:ind w:left="720"/>
      </w:pPr>
      <w:r>
        <w:rPr>
          <w:lang w:val="en_US" w:bidi="en_US"/>
        </w:rPr>
      </w:r>
      <w:r>
        <w:rPr>
          <w:lang w:val="en_US" w:bidi="en_US"/>
        </w:rPr>
        <w:t xml:space="preserve">While </w:t>
      </w:r>
      <w:r>
        <w:rPr>
          <w:lang w:val="en_US" w:bidi="en_US"/>
        </w:rPr>
        <w:t>Jesus</w:t>
      </w:r>
      <w:r>
        <w:rPr>
          <w:lang w:val="en_US" w:bidi="en_US"/>
        </w:rPr>
        <w:t xml:space="preserve"> prayed, heaven opened,</w:t>
      </w:r>
    </w:p>
    <w:p>
      <w:pPr>
        <w:pStyle w:val="ListBullet"/>
        <w:spacing w:line="240" w:lineRule="auto"/>
        <w:ind w:left="720"/>
      </w:pPr>
      <w:r>
        <w:rPr>
          <w:lang w:val="en_US" w:bidi="en_US"/>
        </w:rPr>
      </w:r>
      <w:r>
        <w:rPr>
          <w:lang w:val="en_US" w:bidi="en_US"/>
        </w:rPr>
        <w:t>God</w:t>
      </w:r>
      <w:r>
        <w:rPr>
          <w:lang w:val="en_US" w:bidi="en_US"/>
        </w:rPr>
        <w:t xml:space="preserve"> opened the heavens/sky while </w:t>
      </w:r>
      <w:r>
        <w:rPr>
          <w:lang w:val="en_US" w:bidi="en_US"/>
        </w:rPr>
        <w:t>Jesus</w:t>
      </w:r>
      <w:r>
        <w:rPr>
          <w:lang w:val="en_US" w:bidi="en_US"/>
        </w:rPr>
        <w:t xml:space="preserve"> was praying.</w:t>
      </w:r>
    </w:p>
    <w:p>
      <w:pPr/>
      <w:r>
        <w:rPr>
          <w:lang w:val="en_US" w:bidi="en_US"/>
        </w:rPr>
      </w:r>
      <w:r>
        <w:rPr>
          <w:b/>
          <w:lang w:val="en_US" w:bidi="en_US"/>
        </w:rPr>
        <w:t>as He was praying:</w:t>
      </w:r>
      <w:r>
        <w:rPr>
          <w:lang w:val="en_US" w:bidi="en_US"/>
        </w:rPr>
        <w:t xml:space="preserve"> The pronoun </w:t>
      </w:r>
      <w:r>
        <w:rPr>
          <w:i/>
          <w:lang w:val="en_US" w:bidi="en_US"/>
        </w:rPr>
        <w:t>He</w:t>
      </w:r>
      <w:r>
        <w:rPr>
          <w:lang w:val="en_US" w:bidi="en_US"/>
        </w:rPr>
        <w:t xml:space="preserve"> refers to Jesus. Jesus was praying to God at the time when he was being baptized. If you have made “John” the subject of the previous verse, you may need to use Jesus’ name here. For example:</w:t>
      </w:r>
    </w:p>
    <w:p>
      <w:pPr/>
      <w:r>
        <w:rPr>
          <w:lang w:val="en_US" w:bidi="en_US"/>
        </w:rPr>
      </w:r>
      <w:r>
        <w:rPr>
          <w:lang w:val="en_US" w:bidi="en_US"/>
        </w:rPr>
        <w:t xml:space="preserve">as </w:t>
      </w:r>
      <w:r>
        <w:rPr>
          <w:lang w:val="en_US" w:bidi="en_US"/>
        </w:rPr>
        <w:t>Jesus</w:t>
      </w:r>
      <w:r>
        <w:rPr>
          <w:lang w:val="en_US" w:bidi="en_US"/>
        </w:rPr>
        <w:t xml:space="preserve"> was praying </w:t>
      </w:r>
      <w:r>
        <w:rPr>
          <w:lang w:val="en_US" w:bidi="en_US"/>
        </w:rPr>
        <w:t>to God</w:t>
      </w:r>
    </w:p>
    <w:p>
      <w:pPr/>
      <w:r>
        <w:rPr>
          <w:lang w:val="en_US" w:bidi="en_US"/>
        </w:rPr>
      </w:r>
      <w:r>
        <w:rPr>
          <w:b/>
          <w:lang w:val="en_US" w:bidi="en_US"/>
        </w:rPr>
        <w:t>was praying:</w:t>
      </w:r>
      <w:r>
        <w:rPr>
          <w:lang w:val="en_US" w:bidi="en_US"/>
        </w:rPr>
        <w:t xml:space="preserve"> The Greek word that the BSB translates as </w:t>
      </w:r>
      <w:r>
        <w:rPr>
          <w:i/>
          <w:lang w:val="en_US" w:bidi="en_US"/>
        </w:rPr>
        <w:t>was praying</w:t>
      </w:r>
      <w:r>
        <w:rPr>
          <w:lang w:val="en_US" w:bidi="en_US"/>
        </w:rPr>
        <w:t xml:space="preserve"> indicates that Jesus was speaking or talking to God.</w:t>
      </w:r>
    </w:p>
    <w:p>
      <w:pPr/>
      <w:r>
        <w:rPr>
          <w:lang w:val="en_US" w:bidi="en_US"/>
        </w:rPr>
      </w:r>
      <w:r>
        <w:rPr>
          <w:lang w:val="en_US" w:bidi="en_US"/>
        </w:rPr>
        <w:t>Some languages may use different words to refer to specific kinds of prayer, such as requests, thanks, or praise. Use an appropriate word or expression in your language for this context. Avoid a term that may imply magical or meaningless words.</w:t>
      </w:r>
    </w:p>
    <w:p>
      <w:pPr/>
      <w:r>
        <w:rPr>
          <w:lang w:val="en_US" w:bidi="en_US"/>
        </w:rPr>
      </w:r>
      <w:r>
        <w:rPr>
          <w:lang w:val="en_US" w:bidi="en_US"/>
        </w:rPr>
        <w:t>Some other ways to translate this are:</w:t>
      </w:r>
    </w:p>
    <w:p>
      <w:pPr/>
      <w:r>
        <w:rPr>
          <w:lang w:val="en_US" w:bidi="en_US"/>
        </w:rPr>
      </w:r>
      <w:r>
        <w:rPr>
          <w:lang w:val="en_US" w:bidi="en_US"/>
        </w:rPr>
        <w:t>was talking to God</w:t>
      </w:r>
    </w:p>
    <w:p>
      <w:pPr/>
      <w:r>
        <w:rPr>
          <w:lang w:val="en_US" w:bidi="en_US"/>
        </w:rPr>
      </w:r>
      <w:r>
        <w:rPr>
          <w:lang w:val="en_US" w:bidi="en_US"/>
        </w:rPr>
        <w:t>was asking/begging God</w:t>
      </w:r>
    </w:p>
    <w:p>
      <w:pPr/>
      <w:r>
        <w:rPr>
          <w:lang w:val="en_US" w:bidi="en_US"/>
        </w:rPr>
      </w:r>
      <w:r>
        <w:rPr>
          <w:b/>
          <w:lang w:val="en_US" w:bidi="en_US"/>
        </w:rPr>
        <w:t>heaven was opened:</w:t>
      </w:r>
      <w:r>
        <w:rPr>
          <w:lang w:val="en_US" w:bidi="en_US"/>
        </w:rPr>
        <w:t xml:space="preserve"> The clause </w:t>
      </w:r>
      <w:r>
        <w:rPr>
          <w:i/>
          <w:lang w:val="en_US" w:bidi="en_US"/>
        </w:rPr>
        <w:t>heaven was opened</w:t>
      </w:r>
      <w:r>
        <w:rPr>
          <w:lang w:val="en_US" w:bidi="en_US"/>
        </w:rPr>
        <w:t xml:space="preserve"> is passive. It speaks of heaven opening in a similar way as a door or curtain opens. In some languages it may be more natural to translate this clause without a passive verb. For example:</w:t>
      </w:r>
    </w:p>
    <w:p>
      <w:pPr/>
      <w:r>
        <w:rPr>
          <w:lang w:val="en_US" w:bidi="en_US"/>
        </w:rPr>
      </w:r>
      <w:r>
        <w:rPr>
          <w:lang w:val="en_US" w:bidi="en_US"/>
        </w:rPr>
        <w:t>heaven opened (GW)</w:t>
      </w:r>
    </w:p>
    <w:p>
      <w:pPr/>
      <w:r>
        <w:rPr>
          <w:lang w:val="en_US" w:bidi="en_US"/>
        </w:rPr>
      </w:r>
      <w:r>
        <w:rPr>
          <w:lang w:val="en_US" w:bidi="en_US"/>
        </w:rPr>
        <w:t>the heavens opened (NLT)</w:t>
      </w:r>
    </w:p>
    <w:p>
      <w:pPr/>
      <w:r>
        <w:rPr>
          <w:lang w:val="en_US" w:bidi="en_US"/>
        </w:rPr>
      </w:r>
      <w:r>
        <w:rPr>
          <w:lang w:val="en_US" w:bidi="en_US"/>
        </w:rPr>
        <w:t>If you must say who opened heaven, you may supply God. For example:</w:t>
      </w:r>
    </w:p>
    <w:p>
      <w:pPr/>
      <w:r>
        <w:rPr>
          <w:lang w:val="en_US" w:bidi="en_US"/>
        </w:rPr>
      </w:r>
      <w:r>
        <w:rPr>
          <w:lang w:val="en_US" w:bidi="en_US"/>
        </w:rPr>
        <w:t>God</w:t>
      </w:r>
      <w:r>
        <w:rPr>
          <w:lang w:val="en_US" w:bidi="en_US"/>
        </w:rPr>
        <w:t xml:space="preserve"> opened heaven</w:t>
      </w:r>
    </w:p>
    <w:p>
      <w:pPr/>
      <w:r>
        <w:rPr>
          <w:lang w:val="en_US" w:bidi="en_US"/>
        </w:rPr>
      </w:r>
      <w:r>
        <w:rPr>
          <w:b/>
          <w:lang w:val="en_US" w:bidi="en_US"/>
        </w:rPr>
        <w:t>heaven:</w:t>
      </w:r>
      <w:r>
        <w:rPr>
          <w:lang w:val="en_US" w:bidi="en_US"/>
        </w:rPr>
        <w:t xml:space="preserve"> The Greek word that the BSB translates as </w:t>
      </w:r>
      <w:r>
        <w:rPr>
          <w:i/>
          <w:lang w:val="en_US" w:bidi="en_US"/>
        </w:rPr>
        <w:t>heaven</w:t>
      </w:r>
      <w:r>
        <w:rPr>
          <w:lang w:val="en_US" w:bidi="en_US"/>
        </w:rPr>
        <w:t xml:space="preserve"> is also used in 3:22b. It can have two different meanings, depending on the context:</w:t>
      </w:r>
    </w:p>
    <w:p>
      <w:pPr>
        <w:pStyle w:val="ListNumber"/>
        <w:numPr>
          <w:ilvl w:val="0"/>
          <w:numId w:val="93"/>
        </w:numPr>
        <w:spacing w:line="240" w:lineRule="auto"/>
        <w:ind w:left="720"/>
      </w:pPr>
      <w:r>
        <w:rPr>
          <w:lang w:val="en_US" w:bidi="en_US"/>
        </w:rPr>
      </w:r>
      <w:r>
        <w:rPr>
          <w:lang w:val="en_US" w:bidi="en_US"/>
        </w:rPr>
        <w:t>heaven, the place where God dwells;</w:t>
      </w:r>
    </w:p>
    <w:p>
      <w:pPr>
        <w:pStyle w:val="ListNumber"/>
        <w:spacing w:line="240" w:lineRule="auto"/>
        <w:ind w:left="720"/>
      </w:pPr>
      <w:r>
        <w:rPr>
          <w:lang w:val="en_US" w:bidi="en_US"/>
        </w:rPr>
      </w:r>
      <w:r>
        <w:rPr>
          <w:lang w:val="en_US" w:bidi="en_US"/>
        </w:rPr>
        <w:t>the sky.</w:t>
      </w:r>
    </w:p>
    <w:p>
      <w:pPr/>
      <w:r>
        <w:rPr>
          <w:lang w:val="en_US" w:bidi="en_US"/>
        </w:rPr>
      </w:r>
      <w:r>
        <w:rPr>
          <w:lang w:val="en_US" w:bidi="en_US"/>
        </w:rPr>
        <w:t>In the New Testament, God often showed supernatural signs from the sky, such as a voice, fire, or bright light. In this verse either “heaven” or “sky” would fit the context. The Holy Spirit came down like a dove and God’s voice came from heaven or from the sky. Here are some points to consider:</w:t>
      </w:r>
    </w:p>
    <w:p>
      <w:pPr>
        <w:pStyle w:val="ListBullet"/>
        <w:spacing w:line="240" w:lineRule="auto"/>
        <w:ind w:left="720"/>
      </w:pPr>
      <w:r>
        <w:rPr>
          <w:lang w:val="en_US" w:bidi="en_US"/>
        </w:rPr>
      </w:r>
      <w:r>
        <w:rPr>
          <w:lang w:val="en_US" w:bidi="en_US"/>
        </w:rPr>
        <w:t>If your language has a term that can mean either “heaven” or “sky,” use it both here and in 3:22b.</w:t>
      </w:r>
    </w:p>
    <w:p>
      <w:pPr>
        <w:pStyle w:val="ListBullet"/>
        <w:spacing w:line="240" w:lineRule="auto"/>
        <w:ind w:left="720"/>
      </w:pPr>
      <w:r>
        <w:rPr>
          <w:lang w:val="en_US" w:bidi="en_US"/>
        </w:rPr>
      </w:r>
      <w:r>
        <w:rPr>
          <w:lang w:val="en_US" w:bidi="en_US"/>
        </w:rPr>
        <w:t>If it is difficult to speak about heaven (God’s home) being opened in this way, then you may use “the sky” here and “heaven” in 3:22b.</w:t>
      </w:r>
    </w:p>
    <w:p>
      <w:pPr>
        <w:pStyle w:val="ListBullet"/>
        <w:spacing w:line="240" w:lineRule="auto"/>
        <w:ind w:left="720"/>
      </w:pPr>
      <w:r>
        <w:rPr>
          <w:lang w:val="en_US" w:bidi="en_US"/>
        </w:rPr>
      </w:r>
      <w:r>
        <w:rPr>
          <w:lang w:val="en_US" w:bidi="en_US"/>
        </w:rPr>
        <w:t xml:space="preserve">In languages that do not have a single word for </w:t>
      </w:r>
      <w:r>
        <w:rPr>
          <w:i/>
          <w:lang w:val="en_US" w:bidi="en_US"/>
        </w:rPr>
        <w:t>heaven</w:t>
      </w:r>
      <w:r>
        <w:rPr>
          <w:lang w:val="en_US" w:bidi="en_US"/>
        </w:rPr>
        <w:t>, you may need to use a descriptive phrase:</w:t>
      </w:r>
      <w:r>
        <w:rPr>
          <w:lang w:val="en_US" w:bidi="en_US"/>
        </w:rPr>
        <w:t>the place of God</w:t>
      </w:r>
      <w:r>
        <w:rPr>
          <w:lang w:val="en_US" w:bidi="en_US"/>
        </w:rPr>
        <w:t>the place where God lives</w:t>
      </w:r>
      <w:r>
        <w:rPr>
          <w:lang w:val="en_US" w:bidi="en_US"/>
        </w:rPr>
      </w:r>
      <w:r>
        <w:rPr>
          <w:lang w:val="en_US" w:bidi="en_US"/>
        </w:rPr>
      </w:r>
    </w:p>
    <w:p>
      <w:pPr/>
      <w:r>
        <w:rPr>
          <w:lang w:val="en_US" w:bidi="en_US"/>
        </w:rPr>
      </w:r>
    </w:p>
    <w:p>
      <w:pPr>
        <w:pStyle w:val="Heading2"/>
      </w:pPr>
      <w:r>
        <w:rPr>
          <w:lang w:val="en_US" w:bidi="en_US"/>
        </w:rPr>
        <w:t>Luke 3:22</w:t>
      </w:r>
      <w:r>
        <w:rPr>
          <w:lang w:val="en_US" w:bidi="en_US"/>
        </w:rPr>
      </w:r>
    </w:p>
    <w:p>
      <w:pPr>
        <w:pStyle w:val="Heading4"/>
      </w:pPr>
      <w:r>
        <w:rPr>
          <w:lang w:val="en_US" w:bidi="en_US"/>
        </w:rPr>
        <w:t>Section 3:21–22: John baptized Jesus</w:t>
      </w:r>
    </w:p>
    <w:p>
      <w:pPr/>
      <w:r>
        <w:rPr>
          <w:lang w:val="en_US" w:bidi="en_US"/>
        </w:rPr>
      </w:r>
      <w:r>
        <w:rPr>
          <w:lang w:val="en_US" w:bidi="en_US"/>
        </w:rPr>
        <w:t>In this section John baptized Jesus. John did this before Herod put him into prison, which Luke mentioned in 3:19–20. The events of this section happened before the events of the previous paragraph. So it may be necessary in some languages to change the order of the verses. See the introductory note on Paragraph 3:19–20 for possible ways to do this.</w:t>
      </w:r>
    </w:p>
    <w:p>
      <w:pPr/>
      <w:r>
        <w:rPr>
          <w:lang w:val="en_US" w:bidi="en_US"/>
        </w:rPr>
      </w:r>
      <w:r>
        <w:rPr>
          <w:lang w:val="en_US" w:bidi="en_US"/>
        </w:rPr>
        <w:t>Some other possible headings for this section are:</w:t>
      </w:r>
    </w:p>
    <w:p>
      <w:pPr/>
      <w:r>
        <w:rPr>
          <w:lang w:val="en_US" w:bidi="en_US"/>
        </w:rPr>
      </w:r>
      <w:r>
        <w:rPr>
          <w:lang w:val="en_US" w:bidi="en_US"/>
        </w:rPr>
        <w:t>The Baptism of Jesus (NRSV)</w:t>
      </w:r>
    </w:p>
    <w:p>
      <w:pPr/>
      <w:r>
        <w:rPr>
          <w:lang w:val="en_US" w:bidi="en_US"/>
        </w:rPr>
      </w:r>
      <w:r>
        <w:rPr>
          <w:lang w:val="en_US" w:bidi="en_US"/>
        </w:rPr>
        <w:t>Jesus is Baptized by John (NCV)</w:t>
      </w:r>
    </w:p>
    <w:p>
      <w:pPr/>
      <w:r>
        <w:rPr>
          <w:lang w:val="en_US" w:bidi="en_US"/>
        </w:rPr>
      </w:r>
      <w:r>
        <w:rPr>
          <w:lang w:val="en_US" w:bidi="en_US"/>
        </w:rPr>
        <w:t>There are parallel passages for this section in Matthew 3:13–17 and Mark 1:9–11.</w:t>
      </w:r>
    </w:p>
    <w:p>
      <w:pPr>
        <w:pStyle w:val="Heading5"/>
      </w:pPr>
      <w:r>
        <w:rPr>
          <w:lang w:val="en_US" w:bidi="en_US"/>
        </w:rPr>
        <w:t>3:22a</w:t>
      </w:r>
    </w:p>
    <w:p>
      <w:pPr/>
      <w:r>
        <w:rPr>
          <w:lang w:val="en_US" w:bidi="en_US"/>
        </w:rPr>
      </w:r>
      <w:r>
        <w:rPr>
          <w:b/>
          <w:lang w:val="en_US" w:bidi="en_US"/>
        </w:rPr>
        <w:t>and the Holy Spirit descended on Him in a bodily form like a dove.</w:t>
      </w:r>
    </w:p>
    <w:p>
      <w:pPr>
        <w:pStyle w:val="ListBullet"/>
        <w:spacing w:line="240" w:lineRule="auto"/>
        <w:ind w:left="720"/>
      </w:pPr>
      <w:r>
        <w:rPr>
          <w:lang w:val="en_US" w:bidi="en_US"/>
        </w:rPr>
      </w:r>
      <w:r>
        <w:rPr>
          <w:lang w:val="en_US" w:bidi="en_US"/>
        </w:rPr>
        <w:t xml:space="preserve">and the Holy Spirit </w:t>
      </w:r>
      <w:r>
        <w:rPr>
          <w:lang w:val="en_US" w:bidi="en_US"/>
        </w:rPr>
        <w:t>of God</w:t>
      </w:r>
      <w:r>
        <w:rPr>
          <w:lang w:val="en_US" w:bidi="en_US"/>
        </w:rPr>
        <w:t xml:space="preserve"> came down on Jesus in the form of a dove/pigeon.</w:t>
      </w:r>
    </w:p>
    <w:p>
      <w:pPr>
        <w:pStyle w:val="ListBullet"/>
        <w:spacing w:line="240" w:lineRule="auto"/>
        <w:ind w:left="720"/>
      </w:pPr>
      <w:r>
        <w:rPr>
          <w:lang w:val="en_US" w:bidi="en_US"/>
        </w:rPr>
      </w:r>
      <w:r>
        <w:rPr>
          <w:lang w:val="en_US" w:bidi="en_US"/>
        </w:rPr>
        <w:t xml:space="preserve">Then the Holy Spirit </w:t>
      </w:r>
      <w:r>
        <w:rPr>
          <w:lang w:val="en_US" w:bidi="en_US"/>
        </w:rPr>
        <w:t>took</w:t>
      </w:r>
      <w:r>
        <w:rPr>
          <w:lang w:val="en_US" w:bidi="en_US"/>
        </w:rPr>
        <w:t xml:space="preserve"> the form of a bird and came down </w:t>
      </w:r>
      <w:r>
        <w:rPr>
          <w:lang w:val="en_US" w:bidi="en_US"/>
        </w:rPr>
        <w:t>from heaven and perched</w:t>
      </w:r>
      <w:r>
        <w:rPr>
          <w:lang w:val="en_US" w:bidi="en_US"/>
        </w:rPr>
        <w:t xml:space="preserve"> on Jesus.</w:t>
      </w:r>
    </w:p>
    <w:p>
      <w:pPr/>
      <w:r>
        <w:rPr>
          <w:lang w:val="en_US" w:bidi="en_US"/>
        </w:rPr>
      </w:r>
      <w:r>
        <w:rPr>
          <w:b/>
          <w:lang w:val="en_US" w:bidi="en_US"/>
        </w:rPr>
        <w:t>the Holy Spirit descended on Him:</w:t>
      </w:r>
      <w:r>
        <w:rPr>
          <w:lang w:val="en_US" w:bidi="en_US"/>
        </w:rPr>
        <w:t xml:space="preserve"> The clause </w:t>
      </w:r>
      <w:r>
        <w:rPr>
          <w:i/>
          <w:lang w:val="en_US" w:bidi="en_US"/>
        </w:rPr>
        <w:t>the Holy Spirit descended on Him</w:t>
      </w:r>
      <w:r>
        <w:rPr>
          <w:lang w:val="en_US" w:bidi="en_US"/>
        </w:rPr>
        <w:t xml:space="preserve"> indicates that the Holy Spirit came down from heaven and perched/sat upon Jesus. The NCV has translated this is as:</w:t>
      </w:r>
    </w:p>
    <w:p>
      <w:pPr/>
      <w:r>
        <w:rPr>
          <w:lang w:val="en_US" w:bidi="en_US"/>
        </w:rPr>
      </w:r>
      <w:r>
        <w:rPr>
          <w:lang w:val="en_US" w:bidi="en_US"/>
        </w:rPr>
        <w:t>the Holy Spirit came down on him</w:t>
      </w:r>
    </w:p>
    <w:p>
      <w:pPr/>
      <w:r>
        <w:rPr>
          <w:lang w:val="en_US" w:bidi="en_US"/>
        </w:rPr>
      </w:r>
      <w:r>
        <w:rPr>
          <w:b/>
          <w:lang w:val="en_US" w:bidi="en_US"/>
        </w:rPr>
        <w:t>Holy Spirit:</w:t>
      </w:r>
      <w:r>
        <w:rPr>
          <w:lang w:val="en_US" w:bidi="en_US"/>
        </w:rPr>
        <w:t xml:space="preserve"> You should translate the term </w:t>
      </w:r>
      <w:r>
        <w:rPr>
          <w:i/>
          <w:lang w:val="en_US" w:bidi="en_US"/>
        </w:rPr>
        <w:t>Holy Spirit</w:t>
      </w:r>
      <w:r>
        <w:rPr>
          <w:lang w:val="en_US" w:bidi="en_US"/>
        </w:rPr>
        <w:t xml:space="preserve"> here in the same way as you did in 3:16d.</w:t>
      </w:r>
    </w:p>
    <w:p>
      <w:pPr/>
      <w:r>
        <w:rPr>
          <w:lang w:val="en_US" w:bidi="en_US"/>
        </w:rPr>
      </w:r>
      <w:r>
        <w:rPr>
          <w:b/>
          <w:lang w:val="en_US" w:bidi="en_US"/>
        </w:rPr>
        <w:t>in a bodily form like a dove:</w:t>
      </w:r>
      <w:r>
        <w:rPr>
          <w:lang w:val="en_US" w:bidi="en_US"/>
        </w:rPr>
        <w:t xml:space="preserve"> There are two ways to interpret the phrase that the BSB translates as </w:t>
      </w:r>
      <w:r>
        <w:rPr>
          <w:i/>
          <w:lang w:val="en_US" w:bidi="en_US"/>
        </w:rPr>
        <w:t>in a bodily form like a dove</w:t>
      </w:r>
      <w:r>
        <w:rPr>
          <w:lang w:val="en_US" w:bidi="en_US"/>
        </w:rPr>
        <w:t>:</w:t>
      </w:r>
    </w:p>
    <w:p>
      <w:pPr>
        <w:pStyle w:val="ListNumber"/>
        <w:numPr>
          <w:ilvl w:val="0"/>
          <w:numId w:val="94"/>
        </w:numPr>
        <w:spacing w:line="240" w:lineRule="auto"/>
        <w:ind w:left="720"/>
      </w:pPr>
      <w:r>
        <w:rPr>
          <w:lang w:val="en_US" w:bidi="en_US"/>
        </w:rPr>
      </w:r>
      <w:r>
        <w:rPr>
          <w:lang w:val="en_US" w:bidi="en_US"/>
        </w:rPr>
        <w:t>The Holy Spirit took the bodily form of a dove and came down on Jesus. This is why people often use a picture of a dove to represent the Holy Spirit. For example:</w:t>
      </w:r>
      <w:r>
        <w:rPr>
          <w:lang w:val="en_US" w:bidi="en_US"/>
        </w:rPr>
        <w:t xml:space="preserve">in the form of a dove (NCV) </w:t>
      </w:r>
      <w:r>
        <w:rPr>
          <w:i/>
          <w:lang w:val="en_US" w:bidi="en_US"/>
        </w:rPr>
        <w:t>(BSB, GW, NCV, NLT96; probably KJV, NASB, NRSV, NIV, GNT, REB)</w:t>
      </w:r>
    </w:p>
    <w:p>
      <w:pPr>
        <w:pStyle w:val="ListNumber"/>
        <w:spacing w:line="240" w:lineRule="auto"/>
        <w:ind w:left="720"/>
      </w:pPr>
      <w:r>
        <w:rPr>
          <w:lang w:val="en_US" w:bidi="en_US"/>
        </w:rPr>
      </w:r>
      <w:r>
        <w:rPr>
          <w:lang w:val="en_US" w:bidi="en_US"/>
        </w:rPr>
        <w:t>The Holy Spirit came down upon Jesus in the same way that a dove would come down. God’s Spirit took some bodily form, but it was not necessarily the form of a dove. For example:</w:t>
      </w:r>
      <w:r>
        <w:rPr>
          <w:lang w:val="en_US" w:bidi="en_US"/>
        </w:rPr>
        <w:t xml:space="preserve">in bodily form, descended on him like a dove (NLT) </w:t>
      </w:r>
      <w:r>
        <w:rPr>
          <w:i/>
          <w:lang w:val="en_US" w:bidi="en_US"/>
        </w:rPr>
        <w:t>(footnote in NET, NJB, NLT, probably RSV)</w:t>
      </w:r>
    </w:p>
    <w:p>
      <w:pPr/>
      <w:r>
        <w:rPr>
          <w:lang w:val="en_US" w:bidi="en_US"/>
        </w:rPr>
      </w:r>
      <w:r>
        <w:rPr>
          <w:lang w:val="en_US" w:bidi="en_US"/>
        </w:rPr>
        <w:t>It is recommended that you follow interpretation (1).</w:t>
      </w:r>
    </w:p>
    <w:p>
      <w:pPr/>
      <w:r>
        <w:rPr>
          <w:lang w:val="en_US" w:bidi="en_US"/>
        </w:rPr>
      </w:r>
      <w:r>
        <w:rPr>
          <w:b/>
          <w:lang w:val="en_US" w:bidi="en_US"/>
        </w:rPr>
        <w:t>dove:</w:t>
      </w:r>
      <w:r>
        <w:rPr>
          <w:lang w:val="en_US" w:bidi="en_US"/>
        </w:rPr>
        <w:t xml:space="preserve"> The Greek word that the BSB translates here as </w:t>
      </w:r>
      <w:r>
        <w:rPr>
          <w:i/>
          <w:lang w:val="en_US" w:bidi="en_US"/>
        </w:rPr>
        <w:t>dove</w:t>
      </w:r>
      <w:r>
        <w:rPr>
          <w:lang w:val="en_US" w:bidi="en_US"/>
        </w:rPr>
        <w:t xml:space="preserve"> refers to several different species of birds. In English, these birds are sometimes called “doves” and sometimes called “pigeons.” The </w:t>
      </w:r>
      <w:r>
        <w:rPr>
          <w:i/>
          <w:lang w:val="en_US" w:bidi="en_US"/>
        </w:rPr>
        <w:t>dove</w:t>
      </w:r>
      <w:r>
        <w:rPr>
          <w:lang w:val="en_US" w:bidi="en_US"/>
        </w:rPr>
        <w:t xml:space="preserve"> here refers to the same kind of bird that the BSB calls a “pigeon” in 2:24b. (See the note there.) It is recommended that you translate it in the same way here as you did there.</w:t>
      </w:r>
    </w:p>
    <w:p>
      <w:pPr/>
      <w:r>
        <w:rPr>
          <w:lang w:val="en_US" w:bidi="en_US"/>
        </w:rPr>
      </w:r>
      <w:r>
        <w:rPr>
          <w:lang w:val="en_US" w:bidi="en_US"/>
        </w:rPr>
        <w:t>For Jews, doves/pigeons were a symbol of something that is gentle and peaceful. Doves/pigeons that we know today are often not gentle. They can be aggressive and attack other birds. It is important to consider this here where the Holy Spirit is described like a dove.</w:t>
      </w:r>
    </w:p>
    <w:p>
      <w:pPr/>
      <w:r>
        <w:rPr>
          <w:lang w:val="en_US" w:bidi="en_US"/>
        </w:rPr>
      </w:r>
      <w:r>
        <w:rPr>
          <w:lang w:val="en_US" w:bidi="en_US"/>
        </w:rPr>
        <w:t>Here are some ways to translate this word:</w:t>
      </w:r>
    </w:p>
    <w:p>
      <w:pPr>
        <w:pStyle w:val="ListBullet"/>
        <w:spacing w:line="240" w:lineRule="auto"/>
        <w:ind w:left="720"/>
      </w:pPr>
      <w:r>
        <w:rPr>
          <w:lang w:val="en_US" w:bidi="en_US"/>
        </w:rPr>
      </w:r>
      <w:r>
        <w:rPr>
          <w:lang w:val="en_US" w:bidi="en_US"/>
        </w:rPr>
        <w:t>If your readers know doves/pigeons and they are considered good birds, you should use your word for a dove/pigeon.</w:t>
      </w:r>
    </w:p>
    <w:p>
      <w:pPr>
        <w:pStyle w:val="ListBullet"/>
        <w:spacing w:line="240" w:lineRule="auto"/>
        <w:ind w:left="720"/>
      </w:pPr>
      <w:r>
        <w:rPr>
          <w:lang w:val="en_US" w:bidi="en_US"/>
        </w:rPr>
      </w:r>
      <w:r>
        <w:rPr>
          <w:lang w:val="en_US" w:bidi="en_US"/>
        </w:rPr>
        <w:t>If doves/pigeons are unknown, or if they are considered bad, you may want to use the general word for “bird.”</w:t>
      </w:r>
    </w:p>
    <w:p>
      <w:pPr>
        <w:pStyle w:val="Heading5"/>
      </w:pPr>
      <w:r>
        <w:rPr>
          <w:lang w:val="en_US" w:bidi="en_US"/>
        </w:rPr>
        <w:t>3:22b</w:t>
      </w:r>
    </w:p>
    <w:p>
      <w:pPr/>
      <w:r>
        <w:rPr>
          <w:lang w:val="en_US" w:bidi="en_US"/>
        </w:rPr>
      </w:r>
      <w:r>
        <w:rPr>
          <w:b/>
          <w:lang w:val="en_US" w:bidi="en_US"/>
        </w:rPr>
        <w:t>And a voice came from heaven:</w:t>
      </w:r>
    </w:p>
    <w:p>
      <w:pPr>
        <w:pStyle w:val="ListBullet"/>
        <w:spacing w:line="240" w:lineRule="auto"/>
        <w:ind w:left="720"/>
      </w:pPr>
      <w:r>
        <w:rPr>
          <w:lang w:val="en_US" w:bidi="en_US"/>
        </w:rPr>
      </w:r>
      <w:r>
        <w:rPr>
          <w:lang w:val="en_US" w:bidi="en_US"/>
        </w:rPr>
        <w:t xml:space="preserve">A voice spoke from heaven </w:t>
      </w:r>
      <w:r>
        <w:rPr>
          <w:lang w:val="en_US" w:bidi="en_US"/>
        </w:rPr>
        <w:t>saying</w:t>
      </w:r>
      <w:r>
        <w:rPr>
          <w:lang w:val="en_US" w:bidi="en_US"/>
        </w:rPr>
        <w:t>,</w:t>
      </w:r>
    </w:p>
    <w:p>
      <w:pPr>
        <w:pStyle w:val="ListBullet"/>
        <w:spacing w:line="240" w:lineRule="auto"/>
        <w:ind w:left="720"/>
      </w:pPr>
      <w:r>
        <w:rPr>
          <w:lang w:val="en_US" w:bidi="en_US"/>
        </w:rPr>
      </w:r>
      <w:r>
        <w:rPr>
          <w:lang w:val="en_US" w:bidi="en_US"/>
        </w:rPr>
        <w:t>They heard</w:t>
      </w:r>
      <w:r>
        <w:rPr>
          <w:lang w:val="en_US" w:bidi="en_US"/>
        </w:rPr>
        <w:t xml:space="preserve"> a voice speaking from heaven </w:t>
      </w:r>
      <w:r>
        <w:rPr>
          <w:lang w:val="en_US" w:bidi="en_US"/>
        </w:rPr>
        <w:t>which said</w:t>
      </w:r>
      <w:r>
        <w:rPr>
          <w:lang w:val="en_US" w:bidi="en_US"/>
        </w:rPr>
        <w:t>,</w:t>
      </w:r>
    </w:p>
    <w:p>
      <w:pPr>
        <w:pStyle w:val="ListBullet"/>
        <w:spacing w:line="240" w:lineRule="auto"/>
        <w:ind w:left="720"/>
      </w:pPr>
      <w:r>
        <w:rPr>
          <w:lang w:val="en_US" w:bidi="en_US"/>
        </w:rPr>
      </w:r>
      <w:r>
        <w:rPr>
          <w:lang w:val="en_US" w:bidi="en_US"/>
        </w:rPr>
        <w:t>God the Father</w:t>
      </w:r>
      <w:r>
        <w:rPr>
          <w:lang w:val="en_US" w:bidi="en_US"/>
        </w:rPr>
        <w:t xml:space="preserve"> spoke from heaven </w:t>
      </w:r>
      <w:r>
        <w:rPr>
          <w:lang w:val="en_US" w:bidi="en_US"/>
        </w:rPr>
        <w:t>and said to Jesus</w:t>
      </w:r>
      <w:r>
        <w:rPr>
          <w:lang w:val="en_US" w:bidi="en_US"/>
        </w:rPr>
        <w:t>,</w:t>
      </w:r>
    </w:p>
    <w:p>
      <w:pPr/>
      <w:r>
        <w:rPr>
          <w:lang w:val="en_US" w:bidi="en_US"/>
        </w:rPr>
      </w:r>
      <w:r>
        <w:rPr>
          <w:b/>
          <w:lang w:val="en_US" w:bidi="en_US"/>
        </w:rPr>
        <w:t>a voice came from heaven:</w:t>
      </w:r>
      <w:r>
        <w:rPr>
          <w:lang w:val="en_US" w:bidi="en_US"/>
        </w:rPr>
        <w:t xml:space="preserve"> The </w:t>
      </w:r>
      <w:r>
        <w:rPr>
          <w:i/>
          <w:lang w:val="en_US" w:bidi="en_US"/>
        </w:rPr>
        <w:t>voice</w:t>
      </w:r>
      <w:r>
        <w:rPr>
          <w:lang w:val="en_US" w:bidi="en_US"/>
        </w:rPr>
        <w:t xml:space="preserve"> was the voice of God the Father. God spoke from heaven and talked to Jesus. The words in 3:22c are what God said to Jesus.</w:t>
      </w:r>
    </w:p>
    <w:p>
      <w:pPr/>
      <w:r>
        <w:rPr>
          <w:lang w:val="en_US" w:bidi="en_US"/>
        </w:rPr>
      </w:r>
      <w:r>
        <w:rPr>
          <w:lang w:val="en_US" w:bidi="en_US"/>
        </w:rPr>
        <w:t xml:space="preserve">Some other ways to say </w:t>
      </w:r>
      <w:r>
        <w:rPr>
          <w:i/>
          <w:lang w:val="en_US" w:bidi="en_US"/>
        </w:rPr>
        <w:t>a voice came from heaven</w:t>
      </w:r>
      <w:r>
        <w:rPr>
          <w:lang w:val="en_US" w:bidi="en_US"/>
        </w:rPr>
        <w:t xml:space="preserve"> are:</w:t>
      </w:r>
    </w:p>
    <w:p>
      <w:pPr/>
      <w:r>
        <w:rPr>
          <w:lang w:val="en_US" w:bidi="en_US"/>
        </w:rPr>
      </w:r>
      <w:r>
        <w:rPr>
          <w:lang w:val="en_US" w:bidi="en_US"/>
        </w:rPr>
        <w:t>a voice spoke from heaven</w:t>
      </w:r>
    </w:p>
    <w:p>
      <w:pPr/>
      <w:r>
        <w:rPr>
          <w:lang w:val="en_US" w:bidi="en_US"/>
        </w:rPr>
      </w:r>
      <w:r>
        <w:rPr>
          <w:lang w:val="en_US" w:bidi="en_US"/>
        </w:rPr>
        <w:t>they heard a voice speaking from heaven</w:t>
      </w:r>
    </w:p>
    <w:p>
      <w:pPr/>
      <w:r>
        <w:rPr>
          <w:lang w:val="en_US" w:bidi="en_US"/>
        </w:rPr>
      </w:r>
      <w:r>
        <w:rPr>
          <w:lang w:val="en_US" w:bidi="en_US"/>
        </w:rPr>
        <w:t>God spoke from heaven</w:t>
      </w:r>
    </w:p>
    <w:p>
      <w:pPr/>
      <w:r>
        <w:rPr>
          <w:lang w:val="en_US" w:bidi="en_US"/>
        </w:rPr>
      </w:r>
      <w:r>
        <w:rPr>
          <w:b/>
          <w:lang w:val="en_US" w:bidi="en_US"/>
        </w:rPr>
        <w:t>heaven:</w:t>
      </w:r>
      <w:r>
        <w:rPr>
          <w:lang w:val="en_US" w:bidi="en_US"/>
        </w:rPr>
        <w:t xml:space="preserve"> The Greek word that the BSB translates as </w:t>
      </w:r>
      <w:r>
        <w:rPr>
          <w:i/>
          <w:lang w:val="en_US" w:bidi="en_US"/>
        </w:rPr>
        <w:t>heaven</w:t>
      </w:r>
      <w:r>
        <w:rPr>
          <w:lang w:val="en_US" w:bidi="en_US"/>
        </w:rPr>
        <w:t xml:space="preserve"> is also used in 3:21b. It can have two different meanings, depending on the context:</w:t>
      </w:r>
    </w:p>
    <w:p>
      <w:pPr>
        <w:pStyle w:val="ListNumber"/>
        <w:numPr>
          <w:ilvl w:val="0"/>
          <w:numId w:val="95"/>
        </w:numPr>
        <w:spacing w:line="240" w:lineRule="auto"/>
        <w:ind w:left="720"/>
      </w:pPr>
      <w:r>
        <w:rPr>
          <w:lang w:val="en_US" w:bidi="en_US"/>
        </w:rPr>
      </w:r>
      <w:r>
        <w:rPr>
          <w:lang w:val="en_US" w:bidi="en_US"/>
        </w:rPr>
        <w:t>heaven, the place where God dwells;</w:t>
      </w:r>
    </w:p>
    <w:p>
      <w:pPr>
        <w:pStyle w:val="ListNumber"/>
        <w:spacing w:line="240" w:lineRule="auto"/>
        <w:ind w:left="720"/>
      </w:pPr>
      <w:r>
        <w:rPr>
          <w:lang w:val="en_US" w:bidi="en_US"/>
        </w:rPr>
      </w:r>
      <w:r>
        <w:rPr>
          <w:lang w:val="en_US" w:bidi="en_US"/>
        </w:rPr>
        <w:t>the sky.</w:t>
      </w:r>
    </w:p>
    <w:p>
      <w:pPr/>
      <w:r>
        <w:rPr>
          <w:lang w:val="en_US" w:bidi="en_US"/>
        </w:rPr>
      </w:r>
      <w:r>
        <w:rPr>
          <w:lang w:val="en_US" w:bidi="en_US"/>
        </w:rPr>
        <w:t xml:space="preserve">Here the word </w:t>
      </w:r>
      <w:r>
        <w:rPr>
          <w:i/>
          <w:lang w:val="en_US" w:bidi="en_US"/>
        </w:rPr>
        <w:t>heaven</w:t>
      </w:r>
      <w:r>
        <w:rPr>
          <w:lang w:val="en_US" w:bidi="en_US"/>
        </w:rPr>
        <w:t xml:space="preserve"> refers to the place where God dwells. In some languages, you may need to use a different word than the word you used for “heaven” in 3:21b.</w:t>
      </w:r>
    </w:p>
    <w:p>
      <w:pPr/>
      <w:r>
        <w:rPr>
          <w:lang w:val="en_US" w:bidi="en_US"/>
        </w:rPr>
      </w:r>
      <w:r>
        <w:rPr>
          <w:lang w:val="en_US" w:bidi="en_US"/>
        </w:rPr>
        <w:t>See heaven in the Glossary.</w:t>
      </w:r>
    </w:p>
    <w:p>
      <w:pPr>
        <w:pStyle w:val="Heading5"/>
      </w:pPr>
      <w:r>
        <w:rPr>
          <w:lang w:val="en_US" w:bidi="en_US"/>
        </w:rPr>
        <w:t>3:22c</w:t>
      </w:r>
    </w:p>
    <w:p>
      <w:pPr/>
      <w:r>
        <w:rPr>
          <w:lang w:val="en_US" w:bidi="en_US"/>
        </w:rPr>
      </w:r>
      <w:r>
        <w:rPr>
          <w:b/>
          <w:lang w:val="en_US" w:bidi="en_US"/>
        </w:rPr>
        <w:t>“You are My beloved Son;</w:t>
      </w:r>
    </w:p>
    <w:p>
      <w:pPr>
        <w:pStyle w:val="ListBullet"/>
        <w:spacing w:line="240" w:lineRule="auto"/>
        <w:ind w:left="720"/>
      </w:pPr>
      <w:r>
        <w:rPr>
          <w:lang w:val="en_US" w:bidi="en_US"/>
        </w:rPr>
      </w:r>
      <w:r>
        <w:rPr>
          <w:lang w:val="en_US" w:bidi="en_US"/>
        </w:rPr>
        <w:t>“You are my beloved son.</w:t>
      </w:r>
    </w:p>
    <w:p>
      <w:pPr>
        <w:pStyle w:val="ListBullet"/>
        <w:spacing w:line="240" w:lineRule="auto"/>
        <w:ind w:left="720"/>
      </w:pPr>
      <w:r>
        <w:rPr>
          <w:lang w:val="en_US" w:bidi="en_US"/>
        </w:rPr>
      </w:r>
      <w:r>
        <w:rPr>
          <w:lang w:val="en_US" w:bidi="en_US"/>
        </w:rPr>
        <w:t>“You are my son. I love you.</w:t>
      </w:r>
    </w:p>
    <w:p>
      <w:pPr>
        <w:pStyle w:val="ListBullet"/>
        <w:spacing w:line="240" w:lineRule="auto"/>
        <w:ind w:left="720"/>
      </w:pPr>
      <w:r>
        <w:rPr>
          <w:lang w:val="en_US" w:bidi="en_US"/>
        </w:rPr>
      </w:r>
      <w:r>
        <w:rPr>
          <w:lang w:val="en_US" w:bidi="en_US"/>
        </w:rPr>
        <w:t>“You are my own dear son,</w:t>
      </w:r>
    </w:p>
    <w:p>
      <w:pPr/>
      <w:r>
        <w:rPr>
          <w:lang w:val="en_US" w:bidi="en_US"/>
        </w:rPr>
      </w:r>
      <w:r>
        <w:rPr>
          <w:b/>
          <w:lang w:val="en_US" w:bidi="en_US"/>
        </w:rPr>
        <w:t>You are My beloved Son:</w:t>
      </w:r>
      <w:r>
        <w:rPr>
          <w:lang w:val="en_US" w:bidi="en_US"/>
        </w:rPr>
        <w:t xml:space="preserve"> The Greek clause that the BSB translates as </w:t>
      </w:r>
      <w:r>
        <w:rPr>
          <w:i/>
          <w:lang w:val="en_US" w:bidi="en_US"/>
        </w:rPr>
        <w:t>You are My beloved Son</w:t>
      </w:r>
      <w:r>
        <w:rPr>
          <w:lang w:val="en_US" w:bidi="en_US"/>
        </w:rPr>
        <w:t xml:space="preserve"> is literally “You are my son, the loved-one.” The words “the loved-one” indicate that Jesus was God the Father’s dear son. Be sure that it is clear in your translation that the word </w:t>
      </w:r>
      <w:r>
        <w:rPr>
          <w:i/>
          <w:lang w:val="en_US" w:bidi="en_US"/>
        </w:rPr>
        <w:t>You</w:t>
      </w:r>
      <w:r>
        <w:rPr>
          <w:lang w:val="en_US" w:bidi="en_US"/>
        </w:rPr>
        <w:t xml:space="preserve"> refers to Jesus. Other ways to translate this part of the verse are:</w:t>
      </w:r>
    </w:p>
    <w:p>
      <w:pPr/>
      <w:r>
        <w:rPr>
          <w:lang w:val="en_US" w:bidi="en_US"/>
        </w:rPr>
      </w:r>
      <w:r>
        <w:rPr>
          <w:lang w:val="en_US" w:bidi="en_US"/>
        </w:rPr>
        <w:t>You are my own dear Son. (GNT)</w:t>
      </w:r>
    </w:p>
    <w:p>
      <w:pPr/>
      <w:r>
        <w:rPr>
          <w:lang w:val="en_US" w:bidi="en_US"/>
        </w:rPr>
      </w:r>
      <w:r>
        <w:rPr>
          <w:lang w:val="en_US" w:bidi="en_US"/>
        </w:rPr>
        <w:t>You are my Son. I love you.</w:t>
      </w:r>
    </w:p>
    <w:p>
      <w:pPr/>
      <w:r>
        <w:rPr>
          <w:lang w:val="en_US" w:bidi="en_US"/>
        </w:rPr>
      </w:r>
      <w:r>
        <w:rPr>
          <w:b/>
          <w:lang w:val="en_US" w:bidi="en_US"/>
        </w:rPr>
        <w:t>beloved:</w:t>
      </w:r>
      <w:r>
        <w:rPr>
          <w:lang w:val="en_US" w:bidi="en_US"/>
        </w:rPr>
        <w:t xml:space="preserve"> The Greek word that the BSB translates here as </w:t>
      </w:r>
      <w:r>
        <w:rPr>
          <w:i/>
          <w:lang w:val="en_US" w:bidi="en_US"/>
        </w:rPr>
        <w:t>beloved</w:t>
      </w:r>
      <w:r>
        <w:rPr>
          <w:lang w:val="en_US" w:bidi="en_US"/>
        </w:rPr>
        <w:t xml:space="preserve"> refers to the concern and affection that God the Father has for God the Son, Jesus.</w:t>
      </w:r>
    </w:p>
    <w:p>
      <w:pPr/>
      <w:r>
        <w:rPr>
          <w:lang w:val="en_US" w:bidi="en_US"/>
        </w:rPr>
      </w:r>
      <w:r>
        <w:rPr>
          <w:lang w:val="en_US" w:bidi="en_US"/>
        </w:rPr>
        <w:t>Consider the most appropriate term to describe this type of love. In some languages there may be an idiom for it. It is possible that you may need to use different expressions to refer to God’s love and human love.</w:t>
      </w:r>
    </w:p>
    <w:p>
      <w:pPr>
        <w:pStyle w:val="Heading5"/>
      </w:pPr>
      <w:r>
        <w:rPr>
          <w:lang w:val="en_US" w:bidi="en_US"/>
        </w:rPr>
        <w:t>3:22d</w:t>
      </w:r>
    </w:p>
    <w:p>
      <w:pPr/>
      <w:r>
        <w:rPr>
          <w:lang w:val="en_US" w:bidi="en_US"/>
        </w:rPr>
      </w:r>
      <w:r>
        <w:rPr>
          <w:b/>
          <w:lang w:val="en_US" w:bidi="en_US"/>
        </w:rPr>
        <w:t>in You I am well pleased.”</w:t>
      </w:r>
    </w:p>
    <w:p>
      <w:pPr>
        <w:pStyle w:val="ListBullet"/>
        <w:spacing w:line="240" w:lineRule="auto"/>
        <w:ind w:left="720"/>
      </w:pPr>
      <w:r>
        <w:rPr>
          <w:lang w:val="en_US" w:bidi="en_US"/>
        </w:rPr>
      </w:r>
      <w:r>
        <w:rPr>
          <w:lang w:val="en_US" w:bidi="en_US"/>
        </w:rPr>
        <w:t>I am very pleased by you.”</w:t>
      </w:r>
    </w:p>
    <w:p>
      <w:pPr>
        <w:pStyle w:val="ListBullet"/>
        <w:spacing w:line="240" w:lineRule="auto"/>
        <w:ind w:left="720"/>
      </w:pPr>
      <w:r>
        <w:rPr>
          <w:lang w:val="en_US" w:bidi="en_US"/>
        </w:rPr>
      </w:r>
      <w:r>
        <w:rPr>
          <w:lang w:val="en_US" w:bidi="en_US"/>
        </w:rPr>
        <w:t>and</w:t>
      </w:r>
      <w:r>
        <w:rPr>
          <w:lang w:val="en_US" w:bidi="en_US"/>
        </w:rPr>
        <w:t xml:space="preserve"> I am very satisfied/happy with you.”</w:t>
      </w:r>
    </w:p>
    <w:p>
      <w:pPr/>
      <w:r>
        <w:rPr>
          <w:lang w:val="en_US" w:bidi="en_US"/>
        </w:rPr>
      </w:r>
      <w:r>
        <w:rPr>
          <w:b/>
          <w:lang w:val="en_US" w:bidi="en_US"/>
        </w:rPr>
        <w:t>in You I am well pleased:</w:t>
      </w:r>
      <w:r>
        <w:rPr>
          <w:lang w:val="en_US" w:bidi="en_US"/>
        </w:rPr>
        <w:t xml:space="preserve"> There is a textual issue here:</w:t>
      </w:r>
    </w:p>
    <w:p>
      <w:pPr>
        <w:pStyle w:val="ListNumber"/>
        <w:numPr>
          <w:ilvl w:val="0"/>
          <w:numId w:val="96"/>
        </w:numPr>
        <w:spacing w:line="240" w:lineRule="auto"/>
        <w:ind w:left="720"/>
      </w:pPr>
      <w:r>
        <w:rPr>
          <w:lang w:val="en_US" w:bidi="en_US"/>
        </w:rPr>
      </w:r>
      <w:r>
        <w:rPr>
          <w:lang w:val="en_US" w:bidi="en_US"/>
        </w:rPr>
        <w:t>Some Greek manuscripts have “with you I am well pleased.” Almost all English versions follow this reading. For example:</w:t>
      </w:r>
      <w:r>
        <w:rPr>
          <w:lang w:val="en_US" w:bidi="en_US"/>
        </w:rPr>
        <w:t>I am pleased with you (GNT)</w:t>
      </w:r>
    </w:p>
    <w:p>
      <w:pPr>
        <w:pStyle w:val="ListNumber"/>
        <w:spacing w:line="240" w:lineRule="auto"/>
        <w:ind w:left="720"/>
      </w:pPr>
      <w:r>
        <w:rPr>
          <w:lang w:val="en_US" w:bidi="en_US"/>
        </w:rPr>
      </w:r>
      <w:r>
        <w:rPr>
          <w:lang w:val="en_US" w:bidi="en_US"/>
        </w:rPr>
        <w:t>Other Greek manuscripts have “I today have fathered you.” For example:</w:t>
      </w:r>
      <w:r>
        <w:rPr>
          <w:lang w:val="en_US" w:bidi="en_US"/>
        </w:rPr>
        <w:t>today have I fathered you (NJB)</w:t>
      </w:r>
    </w:p>
    <w:p>
      <w:pPr/>
      <w:r>
        <w:rPr>
          <w:lang w:val="en_US" w:bidi="en_US"/>
        </w:rPr>
      </w:r>
      <w:r>
        <w:rPr>
          <w:lang w:val="en_US" w:bidi="en_US"/>
        </w:rPr>
        <w:t>It is recommended that you follow option (1). It has the earliest and most widespread manuscript support, and the majority of English versions follow these manuscripts.</w:t>
      </w:r>
      <w:r>
        <w:rPr>
          <w:lang w:val="en_US" w:bidi="en_US"/>
        </w:rPr>
        <w:t xml:space="preserve">The recommendation given above is based on by Swanson, p. 54; </w:t>
      </w:r>
      <w:r>
        <w:rPr>
          <w:i/>
          <w:lang w:val="en_US" w:bidi="en_US"/>
        </w:rPr>
        <w:t>Greek NT UBS 4th Edition</w:t>
      </w:r>
      <w:r>
        <w:rPr>
          <w:lang w:val="en_US" w:bidi="en_US"/>
        </w:rPr>
        <w:t>; and Metzger, pp.112–113.</w:t>
      </w:r>
    </w:p>
    <w:p>
      <w:pPr/>
      <w:r>
        <w:rPr>
          <w:lang w:val="en_US" w:bidi="en_US"/>
        </w:rPr>
      </w:r>
      <w:r>
        <w:rPr>
          <w:lang w:val="en_US" w:bidi="en_US"/>
        </w:rPr>
        <w:t xml:space="preserve">The phrase </w:t>
      </w:r>
      <w:r>
        <w:rPr>
          <w:i/>
          <w:lang w:val="en_US" w:bidi="en_US"/>
        </w:rPr>
        <w:t>in You I am well pleased</w:t>
      </w:r>
      <w:r>
        <w:rPr>
          <w:lang w:val="en_US" w:bidi="en_US"/>
        </w:rPr>
        <w:t xml:space="preserve"> means “I approve of you” and “I am very happy with you.” God the Father was expressing his joy that he receives from his Son. Many English versions say “with you” rather than “in you.” For example:</w:t>
      </w:r>
    </w:p>
    <w:p>
      <w:pPr/>
      <w:r>
        <w:rPr>
          <w:lang w:val="en_US" w:bidi="en_US"/>
        </w:rPr>
      </w:r>
      <w:r>
        <w:rPr>
          <w:lang w:val="en_US" w:bidi="en_US"/>
        </w:rPr>
        <w:t>I am pleased with you (GNT)</w:t>
      </w:r>
      <w:r>
        <w:rPr>
          <w:lang w:val="en_US" w:bidi="en_US"/>
        </w:rPr>
      </w:r>
      <w:r>
        <w:rPr>
          <w:lang w:val="en_US" w:bidi="en_US"/>
        </w:rPr>
      </w:r>
    </w:p>
    <w:p>
      <w:pPr/>
      <w:r>
        <w:rPr>
          <w:lang w:val="en_US" w:bidi="en_US"/>
        </w:rPr>
      </w:r>
    </w:p>
    <w:p>
      <w:pPr>
        <w:pStyle w:val="Heading2"/>
      </w:pPr>
      <w:r>
        <w:rPr>
          <w:lang w:val="en_US" w:bidi="en_US"/>
        </w:rPr>
        <w:t>Luke 3:23</w:t>
      </w:r>
      <w:r>
        <w:rPr>
          <w:lang w:val="en_US" w:bidi="en_US"/>
        </w:rPr>
      </w:r>
    </w:p>
    <w:p>
      <w:pPr>
        <w:pStyle w:val="Heading4"/>
      </w:pPr>
      <w:r>
        <w:rPr>
          <w:lang w:val="en_US" w:bidi="en_US"/>
        </w:rPr>
        <w:t>Section 3:23–38: A list of Jesus’ ancestors</w:t>
      </w:r>
    </w:p>
    <w:p>
      <w:pPr/>
      <w:r>
        <w:rPr>
          <w:lang w:val="en_US" w:bidi="en_US"/>
        </w:rPr>
      </w:r>
      <w:r>
        <w:rPr>
          <w:lang w:val="en_US" w:bidi="en_US"/>
        </w:rPr>
        <w:t>There are two lists of names of the ancestors of Jesus in the Gospels. One is here in Luke 3, and the other is in Matthew 1. The two lists are different in several ways.</w:t>
      </w:r>
      <w:r>
        <w:rPr>
          <w:lang w:val="en_US" w:bidi="en_US"/>
        </w:rPr>
        <w:t>For the lists of names in Matthew and Luke, most names from David to Jesus are different in the two lists. Also, Luke has fifty-seven names between Jesus and Abraham, while Matthew has forty-one. Matthew’s list goes back only to Abraham, but Luke also listed the names back to Adam and mentions that Adam was created by God. Matthew’s list counts forward in time—from ancestor to descendant. Luke’s list counts backward in time—from descendant to ancestor. Matthew’s list shows Jesus as a descendant of the kings in David’s line. Luke’s list shows that Jesus relates to all mankind, going back to Adam.</w:t>
      </w:r>
      <w:r>
        <w:rPr>
          <w:lang w:val="en_US" w:bidi="en_US"/>
        </w:rPr>
        <w:t xml:space="preserve"> These lists do not contradict each other. Bible scholars have many possible ways to explain these differences. There is not enough information to decide which of the different views of the scholars is correct. It is important to translate each list just as it is.</w:t>
      </w:r>
      <w:r>
        <w:rPr>
          <w:lang w:val="en_US" w:bidi="en_US"/>
        </w:rPr>
        <w:t>There are textual issues concerning some of the names in 3:24–38: In 3:26, it is recommended that you follow the manuscripts that have “Josech” instead of those that have “Joseph.” In 3:26, it is recommended that you follow the manuscripts that have “Joda” instead of those that have “Judah.” In 3:29 it is recommended that you follow the manuscripts that have “Joshua” instead of those that have “Jose.” In 3:32 there is a textual issue that is discussed in the note on 3:32. In 3:33 there is a textual issue that is discussed in the note on 3:33.</w:t>
      </w:r>
    </w:p>
    <w:p>
      <w:pPr/>
      <w:r>
        <w:rPr>
          <w:lang w:val="en_US" w:bidi="en_US"/>
        </w:rPr>
      </w:r>
      <w:r>
        <w:rPr>
          <w:lang w:val="en_US" w:bidi="en_US"/>
        </w:rPr>
        <w:t>Some other possible headings for this section are:</w:t>
      </w:r>
    </w:p>
    <w:p>
      <w:pPr/>
      <w:r>
        <w:rPr>
          <w:lang w:val="en_US" w:bidi="en_US"/>
        </w:rPr>
      </w:r>
      <w:r>
        <w:rPr>
          <w:lang w:val="en_US" w:bidi="en_US"/>
        </w:rPr>
        <w:t>The Ancestors of Jesus (GW)</w:t>
      </w:r>
    </w:p>
    <w:p>
      <w:pPr/>
      <w:r>
        <w:rPr>
          <w:lang w:val="en_US" w:bidi="en_US"/>
        </w:rPr>
      </w:r>
      <w:r>
        <w:rPr>
          <w:lang w:val="en_US" w:bidi="en_US"/>
        </w:rPr>
        <w:t>The Genealogy of Jesus (NET)</w:t>
      </w:r>
    </w:p>
    <w:p>
      <w:pPr>
        <w:pStyle w:val="Heading4"/>
      </w:pPr>
      <w:r>
        <w:rPr>
          <w:lang w:val="en_US" w:bidi="en_US"/>
        </w:rPr>
        <w:t>Paragraph 3:23–38</w:t>
      </w:r>
    </w:p>
    <w:p>
      <w:pPr/>
      <w:r>
        <w:rPr>
          <w:lang w:val="en_US" w:bidi="en_US"/>
        </w:rPr>
      </w:r>
      <w:r>
        <w:rPr>
          <w:lang w:val="en_US" w:bidi="en_US"/>
        </w:rPr>
        <w:t>This paragraph contains a list of names of the ancestors of Jesus. Consider how you want to present this list in your translation. In some translations the names of each ancestor may be on a separate line. Present the list in a way that is easy to read and understand.</w:t>
      </w:r>
    </w:p>
    <w:p>
      <w:pPr>
        <w:pStyle w:val="Heading5"/>
      </w:pPr>
      <w:r>
        <w:rPr>
          <w:lang w:val="en_US" w:bidi="en_US"/>
        </w:rPr>
        <w:t>3:23a-b</w:t>
      </w:r>
    </w:p>
    <w:p>
      <w:pPr/>
      <w:r>
        <w:rPr>
          <w:lang w:val="en_US" w:bidi="en_US"/>
        </w:rPr>
      </w:r>
      <w:r>
        <w:rPr>
          <w:b/>
          <w:lang w:val="en_US" w:bidi="en_US"/>
        </w:rPr>
        <w:t>Jesus Himself was about thirty years old when He began His ministry.</w:t>
      </w:r>
    </w:p>
    <w:p>
      <w:pPr>
        <w:pStyle w:val="ListBullet"/>
        <w:spacing w:line="240" w:lineRule="auto"/>
        <w:ind w:left="720"/>
      </w:pPr>
      <w:r>
        <w:rPr>
          <w:lang w:val="en_US" w:bidi="en_US"/>
        </w:rPr>
      </w:r>
      <w:r>
        <w:rPr>
          <w:lang w:val="en_US" w:bidi="en_US"/>
        </w:rPr>
        <w:t xml:space="preserve">¶ When Jesus was about thirty years old, he began his </w:t>
      </w:r>
      <w:r>
        <w:rPr>
          <w:lang w:val="en_US" w:bidi="en_US"/>
        </w:rPr>
        <w:t>public</w:t>
      </w:r>
      <w:r>
        <w:rPr>
          <w:lang w:val="en_US" w:bidi="en_US"/>
        </w:rPr>
        <w:t xml:space="preserve"> ministry.</w:t>
      </w:r>
    </w:p>
    <w:p>
      <w:pPr>
        <w:pStyle w:val="ListBullet"/>
        <w:spacing w:line="240" w:lineRule="auto"/>
        <w:ind w:left="720"/>
      </w:pPr>
      <w:r>
        <w:rPr>
          <w:lang w:val="en_US" w:bidi="en_US"/>
        </w:rPr>
      </w:r>
      <w:r>
        <w:rPr>
          <w:lang w:val="en_US" w:bidi="en_US"/>
        </w:rPr>
        <w:t>¶ When Jesus started to preach, he was about thirty years old.</w:t>
      </w:r>
    </w:p>
    <w:p>
      <w:pPr>
        <w:pStyle w:val="ListBullet"/>
        <w:spacing w:line="240" w:lineRule="auto"/>
        <w:ind w:left="720"/>
      </w:pPr>
      <w:r>
        <w:rPr>
          <w:lang w:val="en_US" w:bidi="en_US"/>
        </w:rPr>
      </w:r>
      <w:r>
        <w:rPr>
          <w:lang w:val="en_US" w:bidi="en_US"/>
        </w:rPr>
        <w:t xml:space="preserve">¶ Jesus began to teach </w:t>
      </w:r>
      <w:r>
        <w:rPr>
          <w:lang w:val="en_US" w:bidi="en_US"/>
        </w:rPr>
        <w:t>publicly about God</w:t>
      </w:r>
      <w:r>
        <w:rPr>
          <w:lang w:val="en_US" w:bidi="en_US"/>
        </w:rPr>
        <w:t xml:space="preserve"> when he was about thirty years old.</w:t>
      </w:r>
    </w:p>
    <w:p>
      <w:pPr/>
      <w:r>
        <w:rPr>
          <w:lang w:val="en_US" w:bidi="en_US"/>
        </w:rPr>
      </w:r>
      <w:r>
        <w:rPr>
          <w:lang w:val="en_US" w:bidi="en_US"/>
        </w:rPr>
        <w:t>This verse begins with a Greek conjunction that is often translated as “and.” It introduces background information about Jesus, and so some versions, such as the NIV, translate this conjunction as “now.” However, it does not refer to time. Some other versions, including the BSB, do not translate this word here. Several English versions begin this verse with an introductory clause. For example:</w:t>
      </w:r>
    </w:p>
    <w:p>
      <w:pPr/>
      <w:r>
        <w:rPr>
          <w:lang w:val="en_US" w:bidi="en_US"/>
        </w:rPr>
      </w:r>
      <w:r>
        <w:rPr>
          <w:lang w:val="en_US" w:bidi="en_US"/>
        </w:rPr>
        <w:t>When Jesus began his work (GNT)</w:t>
      </w:r>
    </w:p>
    <w:p>
      <w:pPr/>
      <w:r>
        <w:rPr>
          <w:lang w:val="en_US" w:bidi="en_US"/>
        </w:rPr>
      </w:r>
      <w:r>
        <w:rPr>
          <w:lang w:val="en_US" w:bidi="en_US"/>
        </w:rPr>
        <w:t>Introduce the information in a natural way in your language.</w:t>
      </w:r>
    </w:p>
    <w:p>
      <w:pPr/>
      <w:r>
        <w:rPr>
          <w:lang w:val="en_US" w:bidi="en_US"/>
        </w:rPr>
      </w:r>
      <w:r>
        <w:rPr>
          <w:b/>
          <w:lang w:val="en_US" w:bidi="en_US"/>
        </w:rPr>
        <w:t>Jesus Himself was about thirty years old:</w:t>
      </w:r>
      <w:r>
        <w:rPr>
          <w:lang w:val="en_US" w:bidi="en_US"/>
        </w:rPr>
        <w:t xml:space="preserve"> The phrase </w:t>
      </w:r>
      <w:r>
        <w:rPr>
          <w:i/>
          <w:lang w:val="en_US" w:bidi="en_US"/>
        </w:rPr>
        <w:t>about thirty years old</w:t>
      </w:r>
      <w:r>
        <w:rPr>
          <w:lang w:val="en_US" w:bidi="en_US"/>
        </w:rPr>
        <w:t xml:space="preserve"> indicates here that Jesus was approximately thirty years old. Thirty was an approximate number that represents maturity. According to the time period in 3:1–2, Jesus was between twenty-eight and thirty-two years old at that time. It is not clear whether Jesus was exactly thirty years old when he began he public ministry.</w:t>
      </w:r>
    </w:p>
    <w:p>
      <w:pPr/>
      <w:r>
        <w:rPr>
          <w:lang w:val="en_US" w:bidi="en_US"/>
        </w:rPr>
      </w:r>
      <w:r>
        <w:rPr>
          <w:b/>
          <w:lang w:val="en_US" w:bidi="en_US"/>
        </w:rPr>
        <w:t>when He began His ministry:</w:t>
      </w:r>
      <w:r>
        <w:rPr>
          <w:lang w:val="en_US" w:bidi="en_US"/>
        </w:rPr>
        <w:t xml:space="preserve"> The Greek phrase that the BSB translates as </w:t>
      </w:r>
      <w:r>
        <w:rPr>
          <w:i/>
          <w:lang w:val="en_US" w:bidi="en_US"/>
        </w:rPr>
        <w:t>when He began His ministry</w:t>
      </w:r>
      <w:r>
        <w:rPr>
          <w:lang w:val="en_US" w:bidi="en_US"/>
        </w:rPr>
        <w:t xml:space="preserve"> is literally “Jesus himself beginning.” The BSB has supplied the words “His ministry.” Commentators agree that the phrase refers to the time when Jesus began publicly teaching about God. Before that time, he had worked as a carpenter. When he was approximately thirty years old, he began preaching and teaching publicly.</w:t>
      </w:r>
    </w:p>
    <w:p>
      <w:pPr/>
      <w:r>
        <w:rPr>
          <w:lang w:val="en_US" w:bidi="en_US"/>
        </w:rPr>
      </w:r>
      <w:r>
        <w:rPr>
          <w:lang w:val="en_US" w:bidi="en_US"/>
        </w:rPr>
        <w:t>Some other ways to translate this are:</w:t>
      </w:r>
    </w:p>
    <w:p>
      <w:pPr/>
      <w:r>
        <w:rPr>
          <w:lang w:val="en_US" w:bidi="en_US"/>
        </w:rPr>
      </w:r>
      <w:r>
        <w:rPr>
          <w:lang w:val="en_US" w:bidi="en_US"/>
        </w:rPr>
        <w:t>when he began his public ministry (NLT)</w:t>
      </w:r>
    </w:p>
    <w:p>
      <w:pPr/>
      <w:r>
        <w:rPr>
          <w:lang w:val="en_US" w:bidi="en_US"/>
        </w:rPr>
      </w:r>
      <w:r>
        <w:rPr>
          <w:lang w:val="en_US" w:bidi="en_US"/>
        </w:rPr>
        <w:t>When Jesus began to preach (CEV)</w:t>
      </w:r>
    </w:p>
    <w:p>
      <w:pPr>
        <w:pStyle w:val="Heading5"/>
      </w:pPr>
      <w:r>
        <w:rPr>
          <w:lang w:val="en_US" w:bidi="en_US"/>
        </w:rPr>
        <w:t>3:23c</w:t>
      </w:r>
    </w:p>
    <w:p>
      <w:pPr/>
      <w:r>
        <w:rPr>
          <w:lang w:val="en_US" w:bidi="en_US"/>
        </w:rPr>
      </w:r>
      <w:r>
        <w:rPr>
          <w:b/>
          <w:lang w:val="en_US" w:bidi="en_US"/>
        </w:rPr>
        <w:t>He was regarded as the son of Joseph,</w:t>
      </w:r>
    </w:p>
    <w:p>
      <w:pPr>
        <w:pStyle w:val="ListBullet"/>
        <w:spacing w:line="240" w:lineRule="auto"/>
        <w:ind w:left="720"/>
      </w:pPr>
      <w:r>
        <w:rPr>
          <w:lang w:val="en_US" w:bidi="en_US"/>
        </w:rPr>
      </w:r>
      <w:r>
        <w:rPr>
          <w:lang w:val="en_US" w:bidi="en_US"/>
        </w:rPr>
        <w:t>People thought that Jesus was the son of Joseph.</w:t>
      </w:r>
    </w:p>
    <w:p>
      <w:pPr>
        <w:pStyle w:val="ListBullet"/>
        <w:spacing w:line="240" w:lineRule="auto"/>
        <w:ind w:left="720"/>
      </w:pPr>
      <w:r>
        <w:rPr>
          <w:lang w:val="en_US" w:bidi="en_US"/>
        </w:rPr>
      </w:r>
      <w:r>
        <w:rPr>
          <w:lang w:val="en_US" w:bidi="en_US"/>
        </w:rPr>
        <w:t>Jesus was known as the son of Joseph. (NLT)</w:t>
      </w:r>
    </w:p>
    <w:p>
      <w:pPr/>
      <w:r>
        <w:rPr>
          <w:lang w:val="en_US" w:bidi="en_US"/>
        </w:rPr>
      </w:r>
      <w:r>
        <w:rPr>
          <w:b/>
          <w:lang w:val="en_US" w:bidi="en_US"/>
        </w:rPr>
        <w:t>He was regarded as the son:</w:t>
      </w:r>
      <w:r>
        <w:rPr>
          <w:lang w:val="en_US" w:bidi="en_US"/>
        </w:rPr>
        <w:t xml:space="preserve"> In this list, the Greek word that the BSB translates as </w:t>
      </w:r>
      <w:r>
        <w:rPr>
          <w:i/>
          <w:lang w:val="en_US" w:bidi="en_US"/>
        </w:rPr>
        <w:t>son</w:t>
      </w:r>
      <w:r>
        <w:rPr>
          <w:lang w:val="en_US" w:bidi="en_US"/>
        </w:rPr>
        <w:t xml:space="preserve"> occurs explicitly only here. In the rest of the list, this word is only implied.</w:t>
      </w:r>
    </w:p>
    <w:p>
      <w:pPr/>
      <w:r>
        <w:rPr>
          <w:lang w:val="en_US" w:bidi="en_US"/>
        </w:rPr>
      </w:r>
      <w:r>
        <w:rPr>
          <w:lang w:val="en_US" w:bidi="en_US"/>
        </w:rPr>
        <w:t xml:space="preserve">Note that </w:t>
      </w:r>
      <w:r>
        <w:rPr>
          <w:i/>
          <w:lang w:val="en_US" w:bidi="en_US"/>
        </w:rPr>
        <w:t>son</w:t>
      </w:r>
      <w:r>
        <w:rPr>
          <w:lang w:val="en_US" w:bidi="en_US"/>
        </w:rPr>
        <w:t xml:space="preserve"> can mean </w:t>
      </w:r>
      <w:r>
        <w:rPr>
          <w:i/>
          <w:lang w:val="en_US" w:bidi="en_US"/>
        </w:rPr>
        <w:t>son</w:t>
      </w:r>
      <w:r>
        <w:rPr>
          <w:lang w:val="en_US" w:bidi="en_US"/>
        </w:rPr>
        <w:t xml:space="preserve">In this context, the meaning of </w:t>
      </w:r>
      <w:r>
        <w:rPr>
          <w:i/>
          <w:lang w:val="en_US" w:bidi="en_US"/>
        </w:rPr>
        <w:t>son</w:t>
      </w:r>
      <w:r>
        <w:rPr>
          <w:lang w:val="en_US" w:bidi="en_US"/>
        </w:rPr>
        <w:t xml:space="preserve">, in addition to physically a </w:t>
      </w:r>
      <w:r>
        <w:rPr>
          <w:i/>
          <w:lang w:val="en_US" w:bidi="en_US"/>
        </w:rPr>
        <w:t>son</w:t>
      </w:r>
      <w:r>
        <w:rPr>
          <w:lang w:val="en_US" w:bidi="en_US"/>
        </w:rPr>
        <w:t xml:space="preserve">, could also include a </w:t>
      </w:r>
      <w:r>
        <w:rPr>
          <w:i/>
          <w:lang w:val="en_US" w:bidi="en_US"/>
        </w:rPr>
        <w:t>son</w:t>
      </w:r>
      <w:r>
        <w:rPr>
          <w:lang w:val="en_US" w:bidi="en_US"/>
        </w:rPr>
        <w:t xml:space="preserve"> by adoption or by levirate marriage, which was a practice among the Israelites for providing an heir for a dead relative.</w:t>
      </w:r>
      <w:r>
        <w:rPr>
          <w:lang w:val="en_US" w:bidi="en_US"/>
        </w:rPr>
        <w:t xml:space="preserve"> or “grandson” or “descendant.” For some of the relationships in this list, scholars are not sure what the relationship is. It may be literally father and son or it may be ancestor and descendant.</w:t>
      </w:r>
      <w:r>
        <w:rPr>
          <w:lang w:val="en_US" w:bidi="en_US"/>
        </w:rPr>
        <w:t>Stated another way, scholars don’t know in every case if the relationship spans just one generation or more than one generation.</w:t>
      </w:r>
    </w:p>
    <w:p>
      <w:pPr/>
      <w:r>
        <w:rPr>
          <w:lang w:val="en_US" w:bidi="en_US"/>
        </w:rPr>
      </w:r>
      <w:r>
        <w:rPr>
          <w:b/>
          <w:lang w:val="en_US" w:bidi="en_US"/>
        </w:rPr>
        <w:t>regarded as the son of Joseph:</w:t>
      </w:r>
      <w:r>
        <w:rPr>
          <w:lang w:val="en_US" w:bidi="en_US"/>
        </w:rPr>
        <w:t xml:space="preserve"> Luke has already explained that Joseph was not Jesus’ biological father, but that Mary was a virgin when Jesus was born. However, Joseph was the legal father of Jesus. The phrase </w:t>
      </w:r>
      <w:r>
        <w:rPr>
          <w:i/>
          <w:lang w:val="en_US" w:bidi="en_US"/>
        </w:rPr>
        <w:t>regarded as</w:t>
      </w:r>
      <w:r>
        <w:rPr>
          <w:lang w:val="en_US" w:bidi="en_US"/>
        </w:rPr>
        <w:t>, literally “as it was thought,” means that people thought of Jesus as Joseph’s son. Some people who knew the family may have known that Jesus was conceived in Mary by the Holy Spirit. Others who knew them may not have known. Either way, people thought of Joseph as his legal father. Some other ways to say this are:</w:t>
      </w:r>
    </w:p>
    <w:p>
      <w:pPr/>
      <w:r>
        <w:rPr>
          <w:lang w:val="en_US" w:bidi="en_US"/>
        </w:rPr>
      </w:r>
      <w:r>
        <w:rPr>
          <w:lang w:val="en_US" w:bidi="en_US"/>
        </w:rPr>
        <w:t>Jesus was known as the son of Joseph. (NLT)</w:t>
      </w:r>
    </w:p>
    <w:p>
      <w:pPr/>
      <w:r>
        <w:rPr>
          <w:lang w:val="en_US" w:bidi="en_US"/>
        </w:rPr>
      </w:r>
      <w:r>
        <w:rPr>
          <w:lang w:val="en_US" w:bidi="en_US"/>
        </w:rPr>
        <w:t>Everyone thought he was the son of Joseph. (CEV)</w:t>
      </w:r>
    </w:p>
    <w:p>
      <w:pPr/>
      <w:r>
        <w:rPr>
          <w:lang w:val="en_US" w:bidi="en_US"/>
        </w:rPr>
      </w:r>
      <w:r>
        <w:rPr>
          <w:lang w:val="en_US" w:bidi="en_US"/>
        </w:rPr>
        <w:t>People thought that Jesus was Joseph’s son. (NCV)</w:t>
      </w:r>
    </w:p>
    <w:p>
      <w:pPr/>
      <w:r>
        <w:rPr>
          <w:lang w:val="en_US" w:bidi="en_US"/>
        </w:rPr>
      </w:r>
      <w:r>
        <w:rPr>
          <w:b/>
          <w:lang w:val="en_US" w:bidi="en_US"/>
        </w:rPr>
        <w:t>the son of Heli:</w:t>
      </w:r>
      <w:r>
        <w:rPr>
          <w:lang w:val="en_US" w:bidi="en_US"/>
        </w:rPr>
        <w:t xml:space="preserve"> The BSB has supplied the phrase </w:t>
      </w:r>
      <w:r>
        <w:rPr>
          <w:i/>
          <w:lang w:val="en_US" w:bidi="en_US"/>
        </w:rPr>
        <w:t>the son</w:t>
      </w:r>
      <w:r>
        <w:rPr>
          <w:lang w:val="en_US" w:bidi="en_US"/>
        </w:rPr>
        <w:t xml:space="preserve"> here and throughout the rest of the list. Consider the natural way to express a list of ancestor’s names in your language.</w:t>
      </w:r>
    </w:p>
    <w:p>
      <w:pPr/>
      <w:r>
        <w:rPr>
          <w:lang w:val="en_US" w:bidi="en_US"/>
        </w:rPr>
      </w:r>
      <w:r>
        <w:rPr>
          <w:lang w:val="en_US" w:bidi="en_US"/>
        </w:rPr>
        <w:t>Scholars have different opinions concerning how Luke ties this genealogy to Jesus. Some think this is Mary’s line, and some think it represents Joseph’s.</w:t>
      </w:r>
      <w:r>
        <w:rPr>
          <w:lang w:val="en_US" w:bidi="en_US"/>
        </w:rPr>
        <w:t>It is beyond the scope of these Notes to outline the thinking that goes into each interpretation.</w:t>
      </w:r>
    </w:p>
    <w:p>
      <w:pPr/>
      <w:r>
        <w:rPr>
          <w:lang w:val="en_US" w:bidi="en_US"/>
        </w:rPr>
      </w:r>
      <w:r>
        <w:rPr>
          <w:lang w:val="en_US" w:bidi="en_US"/>
        </w:rPr>
        <w:t>In some languages it may be necessary to translate it as one or the other. Mary is not explicitly mentioned here. So if you must choose, it is recommended that you translate this with Joseph as the son of Heli. For example:</w:t>
      </w:r>
    </w:p>
    <w:p>
      <w:pPr/>
      <w:r>
        <w:rPr>
          <w:lang w:val="en_US" w:bidi="en_US"/>
        </w:rPr>
      </w:r>
      <w:r>
        <w:rPr>
          <w:lang w:val="en_US" w:bidi="en_US"/>
        </w:rPr>
        <w:t>was the son of Joseph, son of Eli</w:t>
      </w:r>
      <w:r>
        <w:rPr>
          <w:lang w:val="en_US" w:bidi="en_US"/>
        </w:rPr>
        <w:t>Heli and Eli are the same person. These are different ways of spelling the same name.</w:t>
      </w:r>
      <w:r>
        <w:rPr>
          <w:lang w:val="en_US" w:bidi="en_US"/>
        </w:rPr>
        <w:t xml:space="preserve"> (GW)</w:t>
      </w:r>
    </w:p>
    <w:p>
      <w:pPr/>
      <w:r>
        <w:rPr>
          <w:lang w:val="en_US" w:bidi="en_US"/>
        </w:rPr>
      </w:r>
      <w:r>
        <w:rPr>
          <w:lang w:val="en_US" w:bidi="en_US"/>
        </w:rPr>
        <w:t>Joseph was the son of Heli. (NCV)</w:t>
      </w:r>
    </w:p>
    <w:p>
      <w:pPr>
        <w:pStyle w:val="Heading5"/>
      </w:pPr>
      <w:r>
        <w:rPr>
          <w:lang w:val="en_US" w:bidi="en_US"/>
        </w:rPr>
        <w:t>3:23d</w:t>
      </w:r>
    </w:p>
    <w:p>
      <w:pPr/>
      <w:r>
        <w:rPr>
          <w:lang w:val="en_US" w:bidi="en_US"/>
        </w:rPr>
      </w:r>
      <w:r>
        <w:rPr>
          <w:b/>
          <w:lang w:val="en_US" w:bidi="en_US"/>
        </w:rPr>
        <w:t>the son of Heli,</w:t>
      </w:r>
    </w:p>
    <w:p>
      <w:pPr>
        <w:pStyle w:val="ListBullet"/>
        <w:spacing w:line="240" w:lineRule="auto"/>
        <w:ind w:left="720"/>
      </w:pPr>
      <w:r>
        <w:rPr>
          <w:lang w:val="en_US" w:bidi="en_US"/>
        </w:rPr>
      </w:r>
      <w:r>
        <w:rPr>
          <w:lang w:val="en_US" w:bidi="en_US"/>
        </w:rPr>
        <w:t>Joseph was</w:t>
      </w:r>
      <w:r>
        <w:rPr>
          <w:lang w:val="en_US" w:bidi="en_US"/>
        </w:rPr>
        <w:t xml:space="preserve"> the son of Heli.</w:t>
      </w:r>
    </w:p>
    <w:p>
      <w:pPr>
        <w:pStyle w:val="ListBullet"/>
        <w:spacing w:line="240" w:lineRule="auto"/>
        <w:ind w:left="720"/>
      </w:pPr>
      <w:r>
        <w:rPr>
          <w:lang w:val="en_US" w:bidi="en_US"/>
        </w:rPr>
      </w:r>
      <w:r>
        <w:rPr>
          <w:lang w:val="en_US" w:bidi="en_US"/>
        </w:rPr>
        <w:t xml:space="preserve">Joseph’s </w:t>
      </w:r>
      <w:r>
        <w:rPr>
          <w:lang w:val="en_US" w:bidi="en_US"/>
        </w:rPr>
        <w:t>father was Heli.</w:t>
      </w:r>
    </w:p>
    <w:p>
      <w:pPr>
        <w:pStyle w:val="ListBullet"/>
        <w:spacing w:line="240" w:lineRule="auto"/>
        <w:ind w:left="720"/>
      </w:pPr>
      <w:r>
        <w:rPr>
          <w:lang w:val="en_US" w:bidi="en_US"/>
        </w:rPr>
      </w:r>
      <w:r>
        <w:rPr>
          <w:lang w:val="en_US" w:bidi="en_US"/>
        </w:rPr>
        <w:t xml:space="preserve">Joseph </w:t>
      </w:r>
      <w:r>
        <w:rPr>
          <w:lang w:val="en_US" w:bidi="en_US"/>
        </w:rPr>
        <w:t>had descended from Heli.</w:t>
      </w:r>
      <w:r>
        <w:rPr>
          <w:lang w:val="en_US" w:bidi="en_US"/>
        </w:rPr>
      </w:r>
      <w:r>
        <w:rPr>
          <w:lang w:val="en_US" w:bidi="en_US"/>
        </w:rPr>
      </w:r>
    </w:p>
    <w:p>
      <w:pPr/>
      <w:r>
        <w:rPr>
          <w:lang w:val="en_US" w:bidi="en_US"/>
        </w:rPr>
      </w:r>
    </w:p>
    <w:p>
      <w:pPr>
        <w:pStyle w:val="Heading2"/>
      </w:pPr>
      <w:r>
        <w:rPr>
          <w:lang w:val="en_US" w:bidi="en_US"/>
        </w:rPr>
        <w:t>Luke 3:24</w:t>
      </w:r>
      <w:r>
        <w:rPr>
          <w:lang w:val="en_US" w:bidi="en_US"/>
        </w:rPr>
      </w:r>
    </w:p>
    <w:p>
      <w:pPr>
        <w:pStyle w:val="Heading4"/>
      </w:pPr>
      <w:r>
        <w:rPr>
          <w:lang w:val="en_US" w:bidi="en_US"/>
        </w:rPr>
        <w:t>Section 3:23–38: A list of Jesus’ ancestors</w:t>
      </w:r>
    </w:p>
    <w:p>
      <w:pPr/>
      <w:r>
        <w:rPr>
          <w:lang w:val="en_US" w:bidi="en_US"/>
        </w:rPr>
      </w:r>
      <w:r>
        <w:rPr>
          <w:lang w:val="en_US" w:bidi="en_US"/>
        </w:rPr>
        <w:t>There are two lists of names of the ancestors of Jesus in the Gospels. One is here in Luke 3, and the other is in Matthew 1. The two lists are different in several ways.</w:t>
      </w:r>
      <w:r>
        <w:rPr>
          <w:lang w:val="en_US" w:bidi="en_US"/>
        </w:rPr>
        <w:t>For the lists of names in Matthew and Luke, most names from David to Jesus are different in the two lists. Also, Luke has fifty-seven names between Jesus and Abraham, while Matthew has forty-one. Matthew’s list goes back only to Abraham, but Luke also listed the names back to Adam and mentions that Adam was created by God. Matthew’s list counts forward in time—from ancestor to descendant. Luke’s list counts backward in time—from descendant to ancestor. Matthew’s list shows Jesus as a descendant of the kings in David’s line. Luke’s list shows that Jesus relates to all mankind, going back to Adam.</w:t>
      </w:r>
      <w:r>
        <w:rPr>
          <w:lang w:val="en_US" w:bidi="en_US"/>
        </w:rPr>
        <w:t xml:space="preserve"> These lists do not contradict each other. Bible scholars have many possible ways to explain these differences. There is not enough information to decide which of the different views of the scholars is correct. It is important to translate each list just as it is.</w:t>
      </w:r>
      <w:r>
        <w:rPr>
          <w:lang w:val="en_US" w:bidi="en_US"/>
        </w:rPr>
        <w:t>There are textual issues concerning some of the names in 3:24–38: In 3:26, it is recommended that you follow the manuscripts that have “Josech” instead of those that have “Joseph.” In 3:26, it is recommended that you follow the manuscripts that have “Joda” instead of those that have “Judah.” In 3:29 it is recommended that you follow the manuscripts that have “Joshua” instead of those that have “Jose.” In 3:32 there is a textual issue that is discussed in the note on 3:32. In 3:33 there is a textual issue that is discussed in the note on 3:33.</w:t>
      </w:r>
    </w:p>
    <w:p>
      <w:pPr/>
      <w:r>
        <w:rPr>
          <w:lang w:val="en_US" w:bidi="en_US"/>
        </w:rPr>
      </w:r>
      <w:r>
        <w:rPr>
          <w:lang w:val="en_US" w:bidi="en_US"/>
        </w:rPr>
        <w:t>Some other possible headings for this section are:</w:t>
      </w:r>
    </w:p>
    <w:p>
      <w:pPr/>
      <w:r>
        <w:rPr>
          <w:lang w:val="en_US" w:bidi="en_US"/>
        </w:rPr>
      </w:r>
      <w:r>
        <w:rPr>
          <w:lang w:val="en_US" w:bidi="en_US"/>
        </w:rPr>
        <w:t>The Ancestors of Jesus (GW)</w:t>
      </w:r>
    </w:p>
    <w:p>
      <w:pPr/>
      <w:r>
        <w:rPr>
          <w:lang w:val="en_US" w:bidi="en_US"/>
        </w:rPr>
      </w:r>
      <w:r>
        <w:rPr>
          <w:lang w:val="en_US" w:bidi="en_US"/>
        </w:rPr>
        <w:t>The Genealogy of Jesus (NET)</w:t>
      </w:r>
    </w:p>
    <w:p>
      <w:pPr>
        <w:pStyle w:val="Heading4"/>
      </w:pPr>
      <w:r>
        <w:rPr>
          <w:lang w:val="en_US" w:bidi="en_US"/>
        </w:rPr>
        <w:t>Paragraph 3:23–38</w:t>
      </w:r>
    </w:p>
    <w:p>
      <w:pPr/>
      <w:r>
        <w:rPr>
          <w:lang w:val="en_US" w:bidi="en_US"/>
        </w:rPr>
      </w:r>
      <w:r>
        <w:rPr>
          <w:lang w:val="en_US" w:bidi="en_US"/>
        </w:rPr>
        <w:t>This paragraph contains a list of names of the ancestors of Jesus. Consider how you want to present this list in your translation. In some translations the names of each ancestor may be on a separate line. Present the list in a way that is easy to read and understand.</w:t>
      </w:r>
    </w:p>
    <w:p>
      <w:pPr>
        <w:pStyle w:val="Heading5"/>
      </w:pPr>
      <w:r>
        <w:rPr>
          <w:lang w:val="en_US" w:bidi="en_US"/>
        </w:rPr>
        <w:t>3:24a</w:t>
      </w:r>
    </w:p>
    <w:p>
      <w:pPr/>
      <w:r>
        <w:rPr>
          <w:lang w:val="en_US" w:bidi="en_US"/>
        </w:rPr>
      </w:r>
      <w:r>
        <w:rPr>
          <w:b/>
          <w:lang w:val="en_US" w:bidi="en_US"/>
        </w:rPr>
        <w:t>the son of Matthat, the son of Levi, the son of Melchi,</w:t>
      </w:r>
    </w:p>
    <w:p>
      <w:pPr>
        <w:pStyle w:val="ListBullet"/>
        <w:spacing w:line="240" w:lineRule="auto"/>
        <w:ind w:left="720"/>
      </w:pPr>
      <w:r>
        <w:rPr>
          <w:lang w:val="en_US" w:bidi="en_US"/>
        </w:rPr>
      </w:r>
      <w:r>
        <w:rPr>
          <w:lang w:val="en_US" w:bidi="en_US"/>
        </w:rPr>
        <w:t>Heli was</w:t>
      </w:r>
      <w:r>
        <w:rPr>
          <w:lang w:val="en_US" w:bidi="en_US"/>
        </w:rPr>
        <w:t xml:space="preserve"> the son of Matthat, </w:t>
      </w:r>
      <w:r>
        <w:rPr>
          <w:lang w:val="en_US" w:bidi="en_US"/>
        </w:rPr>
        <w:t>who was</w:t>
      </w:r>
      <w:r>
        <w:rPr>
          <w:lang w:val="en_US" w:bidi="en_US"/>
        </w:rPr>
        <w:t xml:space="preserve"> the son of Levi, </w:t>
      </w:r>
      <w:r>
        <w:rPr>
          <w:lang w:val="en_US" w:bidi="en_US"/>
        </w:rPr>
        <w:t>who was</w:t>
      </w:r>
      <w:r>
        <w:rPr>
          <w:lang w:val="en_US" w:bidi="en_US"/>
        </w:rPr>
        <w:t xml:space="preserve"> the son of Melki.</w:t>
      </w:r>
    </w:p>
    <w:p>
      <w:pPr>
        <w:pStyle w:val="ListBullet"/>
        <w:spacing w:line="240" w:lineRule="auto"/>
        <w:ind w:left="720"/>
      </w:pPr>
      <w:r>
        <w:rPr>
          <w:lang w:val="en_US" w:bidi="en_US"/>
        </w:rPr>
      </w:r>
      <w:r>
        <w:rPr>
          <w:lang w:val="en_US" w:bidi="en_US"/>
        </w:rPr>
        <w:t>Heli’s</w:t>
      </w:r>
      <w:r>
        <w:rPr>
          <w:lang w:val="en_US" w:bidi="en_US"/>
        </w:rPr>
        <w:t xml:space="preserve"> father was Matthat. Matthat’s father was Levi. Levi’s father was Melki.</w:t>
      </w:r>
    </w:p>
    <w:p>
      <w:pPr>
        <w:pStyle w:val="ListBullet"/>
        <w:spacing w:line="240" w:lineRule="auto"/>
        <w:ind w:left="720"/>
      </w:pPr>
      <w:r>
        <w:rPr>
          <w:lang w:val="en_US" w:bidi="en_US"/>
        </w:rPr>
      </w:r>
      <w:r>
        <w:rPr>
          <w:lang w:val="en_US" w:bidi="en_US"/>
        </w:rPr>
        <w:t>Heli</w:t>
      </w:r>
      <w:r>
        <w:rPr>
          <w:lang w:val="en_US" w:bidi="en_US"/>
        </w:rPr>
        <w:t xml:space="preserve"> had descended from Matthat, who had descended from Levi, who had descended from Melki.</w:t>
      </w:r>
    </w:p>
    <w:p>
      <w:pPr/>
      <w:r>
        <w:rPr>
          <w:lang w:val="en_US" w:bidi="en_US"/>
        </w:rPr>
      </w:r>
      <w:r>
        <w:rPr>
          <w:b/>
          <w:lang w:val="en_US" w:bidi="en_US"/>
        </w:rPr>
        <w:t>the son of Matthat, the son of Levi, the son of Melchi:</w:t>
      </w:r>
      <w:r>
        <w:rPr>
          <w:lang w:val="en_US" w:bidi="en_US"/>
        </w:rPr>
        <w:t xml:space="preserve"> This verse part literally says “of Matthat, of Levi, of Melki.” Consider if it is natural in your language to continue to supply the phrase “the son,” as the BSB has done.</w:t>
      </w:r>
    </w:p>
    <w:p>
      <w:pPr/>
      <w:r>
        <w:rPr>
          <w:lang w:val="en_US" w:bidi="en_US"/>
        </w:rPr>
      </w:r>
      <w:r>
        <w:rPr>
          <w:lang w:val="en_US" w:bidi="en_US"/>
        </w:rPr>
        <w:t>In some languages it may be necessary to use each name twice, once as the father, and once as the son. For example:</w:t>
      </w:r>
    </w:p>
    <w:p>
      <w:pPr/>
      <w:r>
        <w:rPr>
          <w:lang w:val="en_US" w:bidi="en_US"/>
        </w:rPr>
      </w:r>
      <w:r>
        <w:rPr>
          <w:lang w:val="en_US" w:bidi="en_US"/>
        </w:rPr>
        <w:t>Heli was</w:t>
      </w:r>
      <w:r>
        <w:rPr>
          <w:lang w:val="en_US" w:bidi="en_US"/>
        </w:rPr>
        <w:t xml:space="preserve"> the son of Matthat, </w:t>
      </w:r>
      <w:r>
        <w:rPr>
          <w:lang w:val="en_US" w:bidi="en_US"/>
        </w:rPr>
        <w:t>and</w:t>
      </w:r>
      <w:r>
        <w:rPr>
          <w:lang w:val="en_US" w:bidi="en_US"/>
        </w:rPr>
        <w:t xml:space="preserve"> </w:t>
      </w:r>
      <w:r>
        <w:rPr>
          <w:lang w:val="en_US" w:bidi="en_US"/>
        </w:rPr>
        <w:t>Matthat was</w:t>
      </w:r>
      <w:r>
        <w:rPr>
          <w:lang w:val="en_US" w:bidi="en_US"/>
        </w:rPr>
        <w:t xml:space="preserve"> the son of Levi, </w:t>
      </w:r>
      <w:r>
        <w:rPr>
          <w:lang w:val="en_US" w:bidi="en_US"/>
        </w:rPr>
        <w:t>and</w:t>
      </w:r>
      <w:r>
        <w:rPr>
          <w:lang w:val="en_US" w:bidi="en_US"/>
        </w:rPr>
        <w:t xml:space="preserve"> </w:t>
      </w:r>
      <w:r>
        <w:rPr>
          <w:lang w:val="en_US" w:bidi="en_US"/>
        </w:rPr>
        <w:t>Levi was</w:t>
      </w:r>
      <w:r>
        <w:rPr>
          <w:lang w:val="en_US" w:bidi="en_US"/>
        </w:rPr>
        <w:t xml:space="preserve"> the son of Melki.</w:t>
      </w:r>
    </w:p>
    <w:p>
      <w:pPr>
        <w:pStyle w:val="Heading5"/>
      </w:pPr>
      <w:r>
        <w:rPr>
          <w:lang w:val="en_US" w:bidi="en_US"/>
        </w:rPr>
        <w:t>3:24b–38</w:t>
      </w:r>
    </w:p>
    <w:p>
      <w:pPr/>
      <w:r>
        <w:rPr>
          <w:lang w:val="en_US" w:bidi="en_US"/>
        </w:rPr>
      </w:r>
      <w:r>
        <w:rPr>
          <w:lang w:val="en_US" w:bidi="en_US"/>
        </w:rPr>
        <w:t>The rest of the list of names continues in this same way through 3:38. For this reason, the Display meaning lines show a sample translation only for 3:23d, 3:24a, and 3:24b. Continue your translation to the end of the chapter, using the model that is natural for your language.</w:t>
      </w:r>
    </w:p>
    <w:p>
      <w:pPr/>
      <w:r>
        <w:rPr>
          <w:lang w:val="en_US" w:bidi="en_US"/>
        </w:rPr>
      </w:r>
      <w:r>
        <w:rPr>
          <w:lang w:val="en_US" w:bidi="en_US"/>
        </w:rPr>
        <w:t>There are no notes for the rest of this list of ancestors except where names are different between the BSB and GNT or the RSV.</w:t>
      </w:r>
    </w:p>
    <w:p>
      <w:pPr>
        <w:pStyle w:val="Heading5"/>
      </w:pPr>
      <w:r>
        <w:rPr>
          <w:lang w:val="en_US" w:bidi="en_US"/>
        </w:rPr>
        <w:t>3:24b</w:t>
      </w:r>
    </w:p>
    <w:p>
      <w:pPr/>
      <w:r>
        <w:rPr>
          <w:lang w:val="en_US" w:bidi="en_US"/>
        </w:rPr>
      </w:r>
      <w:r>
        <w:rPr>
          <w:b/>
          <w:lang w:val="en_US" w:bidi="en_US"/>
        </w:rPr>
        <w:t>the son of Jannai, the son of Joseph,</w:t>
      </w:r>
    </w:p>
    <w:p>
      <w:pPr>
        <w:pStyle w:val="ListBullet"/>
        <w:spacing w:line="240" w:lineRule="auto"/>
        <w:ind w:left="720"/>
      </w:pPr>
      <w:r>
        <w:rPr>
          <w:lang w:val="en_US" w:bidi="en_US"/>
        </w:rPr>
      </w:r>
      <w:r>
        <w:rPr>
          <w:lang w:val="en_US" w:bidi="en_US"/>
        </w:rPr>
        <w:t>Melki was</w:t>
      </w:r>
      <w:r>
        <w:rPr>
          <w:lang w:val="en_US" w:bidi="en_US"/>
        </w:rPr>
        <w:t xml:space="preserve"> the son of Jannai, </w:t>
      </w:r>
      <w:r>
        <w:rPr>
          <w:lang w:val="en_US" w:bidi="en_US"/>
        </w:rPr>
        <w:t>who was</w:t>
      </w:r>
      <w:r>
        <w:rPr>
          <w:lang w:val="en_US" w:bidi="en_US"/>
        </w:rPr>
        <w:t xml:space="preserve"> the son of Joseph.</w:t>
      </w:r>
    </w:p>
    <w:p>
      <w:pPr>
        <w:pStyle w:val="ListBullet"/>
        <w:spacing w:line="240" w:lineRule="auto"/>
        <w:ind w:left="720"/>
      </w:pPr>
      <w:r>
        <w:rPr>
          <w:lang w:val="en_US" w:bidi="en_US"/>
        </w:rPr>
      </w:r>
      <w:r>
        <w:rPr>
          <w:lang w:val="en_US" w:bidi="en_US"/>
        </w:rPr>
        <w:t>Melki’s</w:t>
      </w:r>
      <w:r>
        <w:rPr>
          <w:lang w:val="en_US" w:bidi="en_US"/>
        </w:rPr>
        <w:t xml:space="preserve"> father was Jannai. Jannai’s father was Joseph.</w:t>
      </w:r>
    </w:p>
    <w:p>
      <w:pPr>
        <w:pStyle w:val="ListBullet"/>
        <w:spacing w:line="240" w:lineRule="auto"/>
        <w:ind w:left="720"/>
      </w:pPr>
      <w:r>
        <w:rPr>
          <w:lang w:val="en_US" w:bidi="en_US"/>
        </w:rPr>
      </w:r>
      <w:r>
        <w:rPr>
          <w:lang w:val="en_US" w:bidi="en_US"/>
        </w:rPr>
        <w:t>Melki</w:t>
      </w:r>
      <w:r>
        <w:rPr>
          <w:lang w:val="en_US" w:bidi="en_US"/>
        </w:rPr>
        <w:t xml:space="preserve"> had descended from Jannai, who had descended from Joseph.</w:t>
      </w:r>
      <w:r>
        <w:rPr>
          <w:lang w:val="en_US" w:bidi="en_US"/>
        </w:rPr>
      </w:r>
      <w:r>
        <w:rPr>
          <w:lang w:val="en_US" w:bidi="en_US"/>
        </w:rPr>
      </w:r>
    </w:p>
    <w:p>
      <w:pPr/>
      <w:r>
        <w:rPr>
          <w:lang w:val="en_US" w:bidi="en_US"/>
        </w:rPr>
      </w:r>
    </w:p>
    <w:p>
      <w:pPr>
        <w:pStyle w:val="Heading2"/>
      </w:pPr>
      <w:r>
        <w:rPr>
          <w:lang w:val="en_US" w:bidi="en_US"/>
        </w:rPr>
        <w:t>Luke 3:32</w:t>
      </w:r>
      <w:r>
        <w:rPr>
          <w:lang w:val="en_US" w:bidi="en_US"/>
        </w:rPr>
      </w:r>
    </w:p>
    <w:p>
      <w:pPr>
        <w:pStyle w:val="Heading4"/>
      </w:pPr>
      <w:r>
        <w:rPr>
          <w:lang w:val="en_US" w:bidi="en_US"/>
        </w:rPr>
        <w:t>Section 3:23–38: A list of Jesus’ ancestors</w:t>
      </w:r>
    </w:p>
    <w:p>
      <w:pPr/>
      <w:r>
        <w:rPr>
          <w:lang w:val="en_US" w:bidi="en_US"/>
        </w:rPr>
      </w:r>
      <w:r>
        <w:rPr>
          <w:lang w:val="en_US" w:bidi="en_US"/>
        </w:rPr>
        <w:t>There are two lists of names of the ancestors of Jesus in the Gospels. One is here in Luke 3, and the other is in Matthew 1. The two lists are different in several ways.</w:t>
      </w:r>
      <w:r>
        <w:rPr>
          <w:lang w:val="en_US" w:bidi="en_US"/>
        </w:rPr>
        <w:t>For the lists of names in Matthew and Luke, most names from David to Jesus are different in the two lists. Also, Luke has fifty-seven names between Jesus and Abraham, while Matthew has forty-one. Matthew’s list goes back only to Abraham, but Luke also listed the names back to Adam and mentions that Adam was created by God. Matthew’s list counts forward in time—from ancestor to descendant. Luke’s list counts backward in time—from descendant to ancestor. Matthew’s list shows Jesus as a descendant of the kings in David’s line. Luke’s list shows that Jesus relates to all mankind, going back to Adam.</w:t>
      </w:r>
      <w:r>
        <w:rPr>
          <w:lang w:val="en_US" w:bidi="en_US"/>
        </w:rPr>
        <w:t xml:space="preserve"> These lists do not contradict each other. Bible scholars have many possible ways to explain these differences. There is not enough information to decide which of the different views of the scholars is correct. It is important to translate each list just as it is.</w:t>
      </w:r>
      <w:r>
        <w:rPr>
          <w:lang w:val="en_US" w:bidi="en_US"/>
        </w:rPr>
        <w:t>There are textual issues concerning some of the names in 3:24–38: In 3:26, it is recommended that you follow the manuscripts that have “Josech” instead of those that have “Joseph.” In 3:26, it is recommended that you follow the manuscripts that have “Joda” instead of those that have “Judah.” In 3:29 it is recommended that you follow the manuscripts that have “Joshua” instead of those that have “Jose.” In 3:32 there is a textual issue that is discussed in the note on 3:32. In 3:33 there is a textual issue that is discussed in the note on 3:33.</w:t>
      </w:r>
    </w:p>
    <w:p>
      <w:pPr/>
      <w:r>
        <w:rPr>
          <w:lang w:val="en_US" w:bidi="en_US"/>
        </w:rPr>
      </w:r>
      <w:r>
        <w:rPr>
          <w:lang w:val="en_US" w:bidi="en_US"/>
        </w:rPr>
        <w:t>Some other possible headings for this section are:</w:t>
      </w:r>
    </w:p>
    <w:p>
      <w:pPr/>
      <w:r>
        <w:rPr>
          <w:lang w:val="en_US" w:bidi="en_US"/>
        </w:rPr>
      </w:r>
      <w:r>
        <w:rPr>
          <w:lang w:val="en_US" w:bidi="en_US"/>
        </w:rPr>
        <w:t>The Ancestors of Jesus (GW)</w:t>
      </w:r>
    </w:p>
    <w:p>
      <w:pPr/>
      <w:r>
        <w:rPr>
          <w:lang w:val="en_US" w:bidi="en_US"/>
        </w:rPr>
      </w:r>
      <w:r>
        <w:rPr>
          <w:lang w:val="en_US" w:bidi="en_US"/>
        </w:rPr>
        <w:t>The Genealogy of Jesus (NET)</w:t>
      </w:r>
    </w:p>
    <w:p>
      <w:pPr>
        <w:pStyle w:val="Heading4"/>
      </w:pPr>
      <w:r>
        <w:rPr>
          <w:lang w:val="en_US" w:bidi="en_US"/>
        </w:rPr>
        <w:t>Paragraph 3:23–38</w:t>
      </w:r>
    </w:p>
    <w:p>
      <w:pPr/>
      <w:r>
        <w:rPr>
          <w:lang w:val="en_US" w:bidi="en_US"/>
        </w:rPr>
      </w:r>
      <w:r>
        <w:rPr>
          <w:lang w:val="en_US" w:bidi="en_US"/>
        </w:rPr>
        <w:t>This paragraph contains a list of names of the ancestors of Jesus. Consider how you want to present this list in your translation. In some translations the names of each ancestor may be on a separate line. Present the list in a way that is easy to read and understand.</w:t>
      </w:r>
    </w:p>
    <w:p>
      <w:pPr>
        <w:pStyle w:val="Heading5"/>
      </w:pPr>
      <w:r>
        <w:rPr>
          <w:lang w:val="en_US" w:bidi="en_US"/>
        </w:rPr>
        <w:t>3:32</w:t>
      </w:r>
    </w:p>
    <w:p>
      <w:pPr/>
      <w:r>
        <w:rPr>
          <w:lang w:val="en_US" w:bidi="en_US"/>
        </w:rPr>
      </w:r>
      <w:r>
        <w:rPr>
          <w:b/>
          <w:lang w:val="en_US" w:bidi="en_US"/>
        </w:rPr>
        <w:t>the son of Jesse, the son of Obed, the son of Boaz, the son of Sala, the son of Nahshon,</w:t>
      </w:r>
    </w:p>
    <w:p>
      <w:pPr/>
      <w:r>
        <w:rPr>
          <w:lang w:val="en_US" w:bidi="en_US"/>
        </w:rPr>
      </w:r>
      <w:r>
        <w:rPr>
          <w:b/>
          <w:lang w:val="en_US" w:bidi="en_US"/>
        </w:rPr>
        <w:t>Sala:</w:t>
      </w:r>
      <w:r>
        <w:rPr>
          <w:lang w:val="en_US" w:bidi="en_US"/>
        </w:rPr>
        <w:t xml:space="preserve"> There is a textual issue here:</w:t>
      </w:r>
    </w:p>
    <w:p>
      <w:pPr>
        <w:pStyle w:val="ListNumber"/>
        <w:numPr>
          <w:ilvl w:val="0"/>
          <w:numId w:val="97"/>
        </w:numPr>
        <w:spacing w:line="240" w:lineRule="auto"/>
        <w:ind w:left="720"/>
      </w:pPr>
      <w:r>
        <w:rPr>
          <w:lang w:val="en_US" w:bidi="en_US"/>
        </w:rPr>
      </w:r>
      <w:r>
        <w:rPr>
          <w:lang w:val="en_US" w:bidi="en_US"/>
        </w:rPr>
        <w:t xml:space="preserve">Many Greek manuscripts have </w:t>
      </w:r>
      <w:r>
        <w:rPr>
          <w:u w:val="single"/>
          <w:lang w:val="en_US" w:bidi="en_US"/>
        </w:rPr>
        <w:t>Salmon</w:t>
      </w:r>
      <w:r>
        <w:rPr>
          <w:lang w:val="en_US" w:bidi="en_US"/>
        </w:rPr>
        <w:t xml:space="preserve">. </w:t>
      </w:r>
      <w:r>
        <w:rPr>
          <w:i/>
          <w:lang w:val="en_US" w:bidi="en_US"/>
        </w:rPr>
        <w:t>(NIV, GNT, GW, CEV, NLT, NASB, NCV, KJV, JBP)</w:t>
      </w:r>
    </w:p>
    <w:p>
      <w:pPr>
        <w:pStyle w:val="ListNumber"/>
        <w:spacing w:line="240" w:lineRule="auto"/>
        <w:ind w:left="720"/>
      </w:pPr>
      <w:r>
        <w:rPr>
          <w:lang w:val="en_US" w:bidi="en_US"/>
        </w:rPr>
      </w:r>
      <w:r>
        <w:rPr>
          <w:lang w:val="en_US" w:bidi="en_US"/>
        </w:rPr>
        <w:t xml:space="preserve">Some early Greek manuscripts have </w:t>
      </w:r>
      <w:r>
        <w:rPr>
          <w:u w:val="single"/>
          <w:lang w:val="en_US" w:bidi="en_US"/>
        </w:rPr>
        <w:t>Sala</w:t>
      </w:r>
      <w:r>
        <w:rPr>
          <w:lang w:val="en_US" w:bidi="en_US"/>
        </w:rPr>
        <w:t xml:space="preserve">. </w:t>
      </w:r>
      <w:r>
        <w:rPr>
          <w:i/>
          <w:lang w:val="en_US" w:bidi="en_US"/>
        </w:rPr>
        <w:t>(BSB, RSV, NJB, NET, ESV)</w:t>
      </w:r>
    </w:p>
    <w:p>
      <w:pPr/>
      <w:r>
        <w:rPr>
          <w:lang w:val="en_US" w:bidi="en_US"/>
        </w:rPr>
      </w:r>
      <w:r>
        <w:rPr>
          <w:lang w:val="en_US" w:bidi="en_US"/>
        </w:rPr>
        <w:t>It is recommended that you follow option (1). This is the same form of the name Salmon that is used in the Hebrew text of the Old Testament. See Ruth 4:21. You may want to include the other option in a footnote. For example:</w:t>
      </w:r>
    </w:p>
    <w:p>
      <w:pPr/>
      <w:r>
        <w:rPr>
          <w:lang w:val="en_US" w:bidi="en_US"/>
        </w:rPr>
      </w:r>
      <w:r>
        <w:rPr>
          <w:lang w:val="en_US" w:bidi="en_US"/>
        </w:rPr>
        <w:t>Some early Greek manuscripts have “Sala.”</w:t>
      </w:r>
      <w:r>
        <w:rPr>
          <w:lang w:val="en_US" w:bidi="en_US"/>
        </w:rPr>
      </w:r>
      <w:r>
        <w:rPr>
          <w:lang w:val="en_US" w:bidi="en_US"/>
        </w:rPr>
      </w:r>
    </w:p>
    <w:p>
      <w:pPr/>
      <w:r>
        <w:rPr>
          <w:lang w:val="en_US" w:bidi="en_US"/>
        </w:rPr>
      </w:r>
    </w:p>
    <w:p>
      <w:pPr>
        <w:pStyle w:val="Heading2"/>
      </w:pPr>
      <w:r>
        <w:rPr>
          <w:lang w:val="en_US" w:bidi="en_US"/>
        </w:rPr>
        <w:t>Luke 3:33</w:t>
      </w:r>
      <w:r>
        <w:rPr>
          <w:lang w:val="en_US" w:bidi="en_US"/>
        </w:rPr>
      </w:r>
    </w:p>
    <w:p>
      <w:pPr>
        <w:pStyle w:val="Heading4"/>
      </w:pPr>
      <w:r>
        <w:rPr>
          <w:lang w:val="en_US" w:bidi="en_US"/>
        </w:rPr>
        <w:t>Section 3:23–38: A list of Jesus’ ancestors</w:t>
      </w:r>
    </w:p>
    <w:p>
      <w:pPr/>
      <w:r>
        <w:rPr>
          <w:lang w:val="en_US" w:bidi="en_US"/>
        </w:rPr>
      </w:r>
      <w:r>
        <w:rPr>
          <w:lang w:val="en_US" w:bidi="en_US"/>
        </w:rPr>
        <w:t>There are two lists of names of the ancestors of Jesus in the Gospels. One is here in Luke 3, and the other is in Matthew 1. The two lists are different in several ways.</w:t>
      </w:r>
      <w:r>
        <w:rPr>
          <w:lang w:val="en_US" w:bidi="en_US"/>
        </w:rPr>
        <w:t>For the lists of names in Matthew and Luke, most names from David to Jesus are different in the two lists. Also, Luke has fifty-seven names between Jesus and Abraham, while Matthew has forty-one. Matthew’s list goes back only to Abraham, but Luke also listed the names back to Adam and mentions that Adam was created by God. Matthew’s list counts forward in time—from ancestor to descendant. Luke’s list counts backward in time—from descendant to ancestor. Matthew’s list shows Jesus as a descendant of the kings in David’s line. Luke’s list shows that Jesus relates to all mankind, going back to Adam.</w:t>
      </w:r>
      <w:r>
        <w:rPr>
          <w:lang w:val="en_US" w:bidi="en_US"/>
        </w:rPr>
        <w:t xml:space="preserve"> These lists do not contradict each other. Bible scholars have many possible ways to explain these differences. There is not enough information to decide which of the different views of the scholars is correct. It is important to translate each list just as it is.</w:t>
      </w:r>
      <w:r>
        <w:rPr>
          <w:lang w:val="en_US" w:bidi="en_US"/>
        </w:rPr>
        <w:t>There are textual issues concerning some of the names in 3:24–38: In 3:26, it is recommended that you follow the manuscripts that have “Josech” instead of those that have “Joseph.” In 3:26, it is recommended that you follow the manuscripts that have “Joda” instead of those that have “Judah.” In 3:29 it is recommended that you follow the manuscripts that have “Joshua” instead of those that have “Jose.” In 3:32 there is a textual issue that is discussed in the note on 3:32. In 3:33 there is a textual issue that is discussed in the note on 3:33.</w:t>
      </w:r>
    </w:p>
    <w:p>
      <w:pPr/>
      <w:r>
        <w:rPr>
          <w:lang w:val="en_US" w:bidi="en_US"/>
        </w:rPr>
      </w:r>
      <w:r>
        <w:rPr>
          <w:lang w:val="en_US" w:bidi="en_US"/>
        </w:rPr>
        <w:t>Some other possible headings for this section are:</w:t>
      </w:r>
    </w:p>
    <w:p>
      <w:pPr/>
      <w:r>
        <w:rPr>
          <w:lang w:val="en_US" w:bidi="en_US"/>
        </w:rPr>
      </w:r>
      <w:r>
        <w:rPr>
          <w:lang w:val="en_US" w:bidi="en_US"/>
        </w:rPr>
        <w:t>The Ancestors of Jesus (GW)</w:t>
      </w:r>
    </w:p>
    <w:p>
      <w:pPr/>
      <w:r>
        <w:rPr>
          <w:lang w:val="en_US" w:bidi="en_US"/>
        </w:rPr>
      </w:r>
      <w:r>
        <w:rPr>
          <w:lang w:val="en_US" w:bidi="en_US"/>
        </w:rPr>
        <w:t>The Genealogy of Jesus (NET)</w:t>
      </w:r>
    </w:p>
    <w:p>
      <w:pPr>
        <w:pStyle w:val="Heading4"/>
      </w:pPr>
      <w:r>
        <w:rPr>
          <w:lang w:val="en_US" w:bidi="en_US"/>
        </w:rPr>
        <w:t>Paragraph 3:23–38</w:t>
      </w:r>
    </w:p>
    <w:p>
      <w:pPr/>
      <w:r>
        <w:rPr>
          <w:lang w:val="en_US" w:bidi="en_US"/>
        </w:rPr>
      </w:r>
      <w:r>
        <w:rPr>
          <w:lang w:val="en_US" w:bidi="en_US"/>
        </w:rPr>
        <w:t>This paragraph contains a list of names of the ancestors of Jesus. Consider how you want to present this list in your translation. In some translations the names of each ancestor may be on a separate line. Present the list in a way that is easy to read and understand.</w:t>
      </w:r>
    </w:p>
    <w:p>
      <w:pPr>
        <w:pStyle w:val="Heading5"/>
      </w:pPr>
      <w:r>
        <w:rPr>
          <w:lang w:val="en_US" w:bidi="en_US"/>
        </w:rPr>
        <w:t>3:33a</w:t>
      </w:r>
    </w:p>
    <w:p>
      <w:pPr/>
      <w:r>
        <w:rPr>
          <w:lang w:val="en_US" w:bidi="en_US"/>
        </w:rPr>
      </w:r>
      <w:r>
        <w:rPr>
          <w:b/>
          <w:lang w:val="en_US" w:bidi="en_US"/>
        </w:rPr>
        <w:t>the son of Amminadab, the son of Admin, the son of Arni,</w:t>
      </w:r>
    </w:p>
    <w:p>
      <w:pPr>
        <w:pStyle w:val="Heading5"/>
      </w:pPr>
      <w:r>
        <w:rPr>
          <w:lang w:val="en_US" w:bidi="en_US"/>
        </w:rPr>
        <w:t>3:33b</w:t>
      </w:r>
    </w:p>
    <w:p>
      <w:pPr/>
      <w:r>
        <w:rPr>
          <w:lang w:val="en_US" w:bidi="en_US"/>
        </w:rPr>
      </w:r>
      <w:r>
        <w:rPr>
          <w:b/>
          <w:lang w:val="en_US" w:bidi="en_US"/>
        </w:rPr>
        <w:t>the son of Hezron, the son of Perez, the son of Judah,</w:t>
      </w:r>
    </w:p>
    <w:p>
      <w:pPr>
        <w:pStyle w:val="Heading5"/>
      </w:pPr>
      <w:r>
        <w:rPr>
          <w:lang w:val="en_US" w:bidi="en_US"/>
        </w:rPr>
        <w:t>3:33</w:t>
      </w:r>
    </w:p>
    <w:p>
      <w:pPr/>
      <w:r>
        <w:rPr>
          <w:lang w:val="en_US" w:bidi="en_US"/>
        </w:rPr>
      </w:r>
      <w:r>
        <w:rPr>
          <w:b/>
          <w:lang w:val="en_US" w:bidi="en_US"/>
        </w:rPr>
        <w:t>the son of Admin, the son of Arni:</w:t>
      </w:r>
      <w:r>
        <w:rPr>
          <w:lang w:val="en_US" w:bidi="en_US"/>
        </w:rPr>
        <w:t xml:space="preserve"> There is a textual issue here:</w:t>
      </w:r>
    </w:p>
    <w:p>
      <w:pPr>
        <w:pStyle w:val="ListNumber"/>
        <w:numPr>
          <w:ilvl w:val="0"/>
          <w:numId w:val="98"/>
        </w:numPr>
        <w:spacing w:line="240" w:lineRule="auto"/>
        <w:ind w:left="720"/>
      </w:pPr>
      <w:r>
        <w:rPr>
          <w:lang w:val="en_US" w:bidi="en_US"/>
        </w:rPr>
      </w:r>
      <w:r>
        <w:rPr>
          <w:lang w:val="en_US" w:bidi="en_US"/>
        </w:rPr>
        <w:t>Some Greek manuscripts have two generations here. The names vary in the English versions. For example:</w:t>
      </w:r>
      <w:r>
        <w:rPr>
          <w:lang w:val="en_US" w:bidi="en_US"/>
        </w:rPr>
        <w:t>the son of Admin, the son of Arni</w:t>
      </w:r>
      <w:r>
        <w:rPr>
          <w:lang w:val="en_US" w:bidi="en_US"/>
        </w:rPr>
        <w:t>There are three spellings of this name: Arni, Ram, and Aram.</w:t>
      </w:r>
      <w:r>
        <w:rPr>
          <w:lang w:val="en_US" w:bidi="en_US"/>
        </w:rPr>
        <w:t xml:space="preserve"> (GNT) </w:t>
      </w:r>
      <w:r>
        <w:rPr>
          <w:i/>
          <w:lang w:val="en_US" w:bidi="en_US"/>
        </w:rPr>
        <w:t>(BSB, GNT, RSV, GW, NJB, NLT, CEV, NCV, NET, NASB)</w:t>
      </w:r>
    </w:p>
    <w:p>
      <w:pPr>
        <w:pStyle w:val="ListNumber"/>
        <w:spacing w:line="240" w:lineRule="auto"/>
        <w:ind w:left="720"/>
      </w:pPr>
      <w:r>
        <w:rPr>
          <w:lang w:val="en_US" w:bidi="en_US"/>
        </w:rPr>
      </w:r>
      <w:r>
        <w:rPr>
          <w:lang w:val="en_US" w:bidi="en_US"/>
        </w:rPr>
        <w:t>Some Greek manuscripts have one generation here. For example:</w:t>
      </w:r>
      <w:r>
        <w:rPr>
          <w:lang w:val="en_US" w:bidi="en_US"/>
        </w:rPr>
        <w:t xml:space="preserve">the son of Ram (NIV) </w:t>
      </w:r>
      <w:r>
        <w:rPr>
          <w:i/>
          <w:lang w:val="en_US" w:bidi="en_US"/>
        </w:rPr>
        <w:t>(NIV, KJV)</w:t>
      </w:r>
    </w:p>
    <w:p>
      <w:pPr/>
      <w:r>
        <w:rPr>
          <w:lang w:val="en_US" w:bidi="en_US"/>
        </w:rPr>
      </w:r>
      <w:r>
        <w:rPr>
          <w:lang w:val="en_US" w:bidi="en_US"/>
        </w:rPr>
        <w:t>It is recommended that you follow option (1). However, if the major national language version in use in your area follows option (2), you may also wish to follow that option.</w:t>
      </w:r>
      <w:r>
        <w:rPr>
          <w:lang w:val="en_US" w:bidi="en_US"/>
        </w:rPr>
      </w:r>
      <w:r>
        <w:rPr>
          <w:lang w:val="en_US" w:bidi="en_US"/>
        </w:rPr>
      </w:r>
    </w:p>
    <w:p>
      <w:pPr/>
      <w:r>
        <w:rPr>
          <w:lang w:val="en_US" w:bidi="en_US"/>
        </w:rPr>
      </w:r>
    </w:p>
    <w:p>
      <w:pPr>
        <w:pStyle w:val="Heading2"/>
      </w:pPr>
      <w:r>
        <w:rPr>
          <w:lang w:val="en_US" w:bidi="en_US"/>
        </w:rPr>
        <w:t>Luke 3:38</w:t>
      </w:r>
      <w:r>
        <w:rPr>
          <w:lang w:val="en_US" w:bidi="en_US"/>
        </w:rPr>
      </w:r>
    </w:p>
    <w:p>
      <w:pPr>
        <w:pStyle w:val="Heading4"/>
      </w:pPr>
      <w:r>
        <w:rPr>
          <w:lang w:val="en_US" w:bidi="en_US"/>
        </w:rPr>
        <w:t>Section 3:23–38: A list of Jesus’ ancestors</w:t>
      </w:r>
    </w:p>
    <w:p>
      <w:pPr/>
      <w:r>
        <w:rPr>
          <w:lang w:val="en_US" w:bidi="en_US"/>
        </w:rPr>
      </w:r>
      <w:r>
        <w:rPr>
          <w:lang w:val="en_US" w:bidi="en_US"/>
        </w:rPr>
        <w:t>There are two lists of names of the ancestors of Jesus in the Gospels. One is here in Luke 3, and the other is in Matthew 1. The two lists are different in several ways.</w:t>
      </w:r>
      <w:r>
        <w:rPr>
          <w:lang w:val="en_US" w:bidi="en_US"/>
        </w:rPr>
        <w:t>For the lists of names in Matthew and Luke, most names from David to Jesus are different in the two lists. Also, Luke has fifty-seven names between Jesus and Abraham, while Matthew has forty-one. Matthew’s list goes back only to Abraham, but Luke also listed the names back to Adam and mentions that Adam was created by God. Matthew’s list counts forward in time—from ancestor to descendant. Luke’s list counts backward in time—from descendant to ancestor. Matthew’s list shows Jesus as a descendant of the kings in David’s line. Luke’s list shows that Jesus relates to all mankind, going back to Adam.</w:t>
      </w:r>
      <w:r>
        <w:rPr>
          <w:lang w:val="en_US" w:bidi="en_US"/>
        </w:rPr>
        <w:t xml:space="preserve"> These lists do not contradict each other. Bible scholars have many possible ways to explain these differences. There is not enough information to decide which of the different views of the scholars is correct. It is important to translate each list just as it is.</w:t>
      </w:r>
      <w:r>
        <w:rPr>
          <w:lang w:val="en_US" w:bidi="en_US"/>
        </w:rPr>
        <w:t>There are textual issues concerning some of the names in 3:24–38: In 3:26, it is recommended that you follow the manuscripts that have “Josech” instead of those that have “Joseph.” In 3:26, it is recommended that you follow the manuscripts that have “Joda” instead of those that have “Judah.” In 3:29 it is recommended that you follow the manuscripts that have “Joshua” instead of those that have “Jose.” In 3:32 there is a textual issue that is discussed in the note on 3:32. In 3:33 there is a textual issue that is discussed in the note on 3:33.</w:t>
      </w:r>
    </w:p>
    <w:p>
      <w:pPr/>
      <w:r>
        <w:rPr>
          <w:lang w:val="en_US" w:bidi="en_US"/>
        </w:rPr>
      </w:r>
      <w:r>
        <w:rPr>
          <w:lang w:val="en_US" w:bidi="en_US"/>
        </w:rPr>
        <w:t>Some other possible headings for this section are:</w:t>
      </w:r>
    </w:p>
    <w:p>
      <w:pPr/>
      <w:r>
        <w:rPr>
          <w:lang w:val="en_US" w:bidi="en_US"/>
        </w:rPr>
      </w:r>
      <w:r>
        <w:rPr>
          <w:lang w:val="en_US" w:bidi="en_US"/>
        </w:rPr>
        <w:t>The Ancestors of Jesus (GW)</w:t>
      </w:r>
    </w:p>
    <w:p>
      <w:pPr/>
      <w:r>
        <w:rPr>
          <w:lang w:val="en_US" w:bidi="en_US"/>
        </w:rPr>
      </w:r>
      <w:r>
        <w:rPr>
          <w:lang w:val="en_US" w:bidi="en_US"/>
        </w:rPr>
        <w:t>The Genealogy of Jesus (NET)</w:t>
      </w:r>
    </w:p>
    <w:p>
      <w:pPr>
        <w:pStyle w:val="Heading4"/>
      </w:pPr>
      <w:r>
        <w:rPr>
          <w:lang w:val="en_US" w:bidi="en_US"/>
        </w:rPr>
        <w:t>Paragraph 3:23–38</w:t>
      </w:r>
    </w:p>
    <w:p>
      <w:pPr/>
      <w:r>
        <w:rPr>
          <w:lang w:val="en_US" w:bidi="en_US"/>
        </w:rPr>
      </w:r>
      <w:r>
        <w:rPr>
          <w:lang w:val="en_US" w:bidi="en_US"/>
        </w:rPr>
        <w:t>This paragraph contains a list of names of the ancestors of Jesus. Consider how you want to present this list in your translation. In some translations the names of each ancestor may be on a separate line. Present the list in a way that is easy to read and understand.</w:t>
      </w:r>
    </w:p>
    <w:p>
      <w:pPr>
        <w:pStyle w:val="Heading5"/>
      </w:pPr>
      <w:r>
        <w:rPr>
          <w:lang w:val="en_US" w:bidi="en_US"/>
        </w:rPr>
        <w:t>3:38</w:t>
      </w:r>
    </w:p>
    <w:p>
      <w:pPr/>
      <w:r>
        <w:rPr>
          <w:lang w:val="en_US" w:bidi="en_US"/>
        </w:rPr>
      </w:r>
      <w:r>
        <w:rPr>
          <w:b/>
          <w:lang w:val="en_US" w:bidi="en_US"/>
        </w:rPr>
        <w:t>the son of Enosh, the son of Seth, the son of Adam, the son of God.</w:t>
      </w:r>
    </w:p>
    <w:p>
      <w:pPr/>
      <w:r>
        <w:rPr>
          <w:lang w:val="en_US" w:bidi="en_US"/>
        </w:rPr>
      </w:r>
      <w:r>
        <w:rPr>
          <w:b/>
          <w:lang w:val="en_US" w:bidi="en_US"/>
        </w:rPr>
        <w:t>the son of Adam, the son of God:</w:t>
      </w:r>
      <w:r>
        <w:rPr>
          <w:lang w:val="en_US" w:bidi="en_US"/>
        </w:rPr>
        <w:t xml:space="preserve"> </w:t>
      </w:r>
      <w:r>
        <w:rPr>
          <w:i/>
          <w:lang w:val="en_US" w:bidi="en_US"/>
        </w:rPr>
        <w:t>Adam</w:t>
      </w:r>
      <w:r>
        <w:rPr>
          <w:lang w:val="en_US" w:bidi="en_US"/>
        </w:rPr>
        <w:t xml:space="preserve"> was not the </w:t>
      </w:r>
      <w:r>
        <w:rPr>
          <w:i/>
          <w:lang w:val="en_US" w:bidi="en_US"/>
        </w:rPr>
        <w:t>son of God</w:t>
      </w:r>
      <w:r>
        <w:rPr>
          <w:lang w:val="en_US" w:bidi="en_US"/>
        </w:rPr>
        <w:t xml:space="preserve"> in the same sense that each of the other people in the list was a son of his father. Adam was God’s son in the sense that God created him directly.</w:t>
      </w:r>
      <w:r>
        <w:rPr>
          <w:lang w:val="en_US" w:bidi="en_US"/>
        </w:rPr>
      </w:r>
      <w:r>
        <w:rPr>
          <w:lang w:val="en_US" w:bidi="en_US"/>
        </w:rPr>
      </w:r>
    </w:p>
    <w:p>
      <w:pPr/>
      <w:r>
        <w:rPr>
          <w:lang w:val="en_US" w:bidi="en_US"/>
        </w:rPr>
      </w:r>
    </w:p>
    <w:p>
      <w:pPr>
        <w:pStyle w:val="Heading2"/>
      </w:pPr>
      <w:r>
        <w:rPr>
          <w:lang w:val="en_US" w:bidi="en_US"/>
        </w:rPr>
        <w:t>Luke 4:1</w:t>
      </w:r>
      <w:r>
        <w:rPr>
          <w:lang w:val="en_US" w:bidi="en_US"/>
        </w:rPr>
      </w:r>
    </w:p>
    <w:p>
      <w:pPr>
        <w:pStyle w:val="Heading4"/>
      </w:pPr>
      <w:r>
        <w:rPr>
          <w:lang w:val="en_US" w:bidi="en_US"/>
        </w:rPr>
        <w:t>Section 4:1–13: Satan tempted Jesus</w:t>
      </w:r>
    </w:p>
    <w:p>
      <w:pPr/>
      <w:r>
        <w:rPr>
          <w:lang w:val="en_US" w:bidi="en_US"/>
        </w:rPr>
      </w:r>
      <w:r>
        <w:rPr>
          <w:lang w:val="en_US" w:bidi="en_US"/>
        </w:rP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pPr/>
      <w:r>
        <w:rPr>
          <w:lang w:val="en_US" w:bidi="en_US"/>
        </w:rPr>
      </w:r>
      <w:r>
        <w:rPr>
          <w:lang w:val="en_US" w:bidi="en_US"/>
        </w:rPr>
        <w:t>Some other possible headings for this section are:</w:t>
      </w:r>
    </w:p>
    <w:p>
      <w:pPr/>
      <w:r>
        <w:rPr>
          <w:lang w:val="en_US" w:bidi="en_US"/>
        </w:rPr>
      </w:r>
      <w:r>
        <w:rPr>
          <w:lang w:val="en_US" w:bidi="en_US"/>
        </w:rPr>
        <w:t>The Temptation of Jesus</w:t>
      </w:r>
    </w:p>
    <w:p>
      <w:pPr/>
      <w:r>
        <w:rPr>
          <w:lang w:val="en_US" w:bidi="en_US"/>
        </w:rPr>
      </w:r>
      <w:r>
        <w:rPr>
          <w:lang w:val="en_US" w:bidi="en_US"/>
        </w:rPr>
        <w:t>Jesus Is Tempted by the Devil (NCV)</w:t>
      </w:r>
    </w:p>
    <w:p>
      <w:pPr/>
      <w:r>
        <w:rPr>
          <w:lang w:val="en_US" w:bidi="en_US"/>
        </w:rPr>
      </w:r>
      <w:r>
        <w:rPr>
          <w:lang w:val="en_US" w:bidi="en_US"/>
        </w:rPr>
        <w:t>There is a parallel passage for this section in Matthew 4:1–11, and a shorter version occurs in Mark 1:12–13.</w:t>
      </w:r>
    </w:p>
    <w:p>
      <w:pPr>
        <w:pStyle w:val="Heading5"/>
      </w:pPr>
      <w:r>
        <w:rPr>
          <w:lang w:val="en_US" w:bidi="en_US"/>
        </w:rPr>
        <w:t>4:1a</w:t>
      </w:r>
    </w:p>
    <w:p>
      <w:pPr/>
      <w:r>
        <w:rPr>
          <w:lang w:val="en_US" w:bidi="en_US"/>
        </w:rPr>
      </w:r>
      <w:r>
        <w:rPr>
          <w:b/>
          <w:lang w:val="en_US" w:bidi="en_US"/>
        </w:rPr>
        <w:t>Then Jesus, full of the Holy Spirit, returned from the Jordan</w:t>
      </w:r>
    </w:p>
    <w:p>
      <w:pPr>
        <w:pStyle w:val="ListBullet"/>
        <w:spacing w:line="240" w:lineRule="auto"/>
        <w:ind w:left="720"/>
      </w:pPr>
      <w:r>
        <w:rPr>
          <w:lang w:val="en_US" w:bidi="en_US"/>
        </w:rPr>
      </w:r>
      <w:r>
        <w:rPr>
          <w:lang w:val="en_US" w:bidi="en_US"/>
        </w:rPr>
        <w:t xml:space="preserve">¶ </w:t>
      </w:r>
      <w:r>
        <w:rPr>
          <w:lang w:val="en_US" w:bidi="en_US"/>
        </w:rPr>
        <w:t>After</w:t>
      </w:r>
      <w:r>
        <w:rPr>
          <w:lang w:val="en_US" w:bidi="en_US"/>
        </w:rPr>
        <w:t xml:space="preserve"> Jesus was filled with the Holy Spirit, he/Jesus went away from the Jordan,</w:t>
      </w:r>
    </w:p>
    <w:p>
      <w:pPr>
        <w:pStyle w:val="ListBullet"/>
        <w:spacing w:line="240" w:lineRule="auto"/>
        <w:ind w:left="720"/>
      </w:pPr>
      <w:r>
        <w:rPr>
          <w:lang w:val="en_US" w:bidi="en_US"/>
        </w:rPr>
      </w:r>
      <w:r>
        <w:rPr>
          <w:lang w:val="en_US" w:bidi="en_US"/>
        </w:rPr>
        <w:t xml:space="preserve">¶ </w:t>
      </w:r>
      <w:r>
        <w:rPr>
          <w:lang w:val="en_US" w:bidi="en_US"/>
        </w:rPr>
        <w:t>When</w:t>
      </w:r>
      <w:r>
        <w:rPr>
          <w:lang w:val="en_US" w:bidi="en_US"/>
        </w:rPr>
        <w:t xml:space="preserve"> the Holy Spirit </w:t>
      </w:r>
      <w:r>
        <w:rPr>
          <w:lang w:val="en_US" w:bidi="en_US"/>
        </w:rPr>
        <w:t>descended on</w:t>
      </w:r>
      <w:r>
        <w:rPr>
          <w:lang w:val="en_US" w:bidi="en_US"/>
        </w:rPr>
        <w:t xml:space="preserve"> Jesus, </w:t>
      </w:r>
      <w:r>
        <w:rPr>
          <w:lang w:val="en_US" w:bidi="en_US"/>
        </w:rPr>
        <w:t>it</w:t>
      </w:r>
      <w:r>
        <w:rPr>
          <w:lang w:val="en_US" w:bidi="en_US"/>
        </w:rPr>
        <w:t xml:space="preserve"> guided/directed him. </w:t>
      </w:r>
      <w:r>
        <w:rPr>
          <w:lang w:val="en_US" w:bidi="en_US"/>
        </w:rPr>
        <w:t>Then</w:t>
      </w:r>
      <w:r>
        <w:rPr>
          <w:lang w:val="en_US" w:bidi="en_US"/>
        </w:rPr>
        <w:t xml:space="preserve"> he/Jesus left the Jordan </w:t>
      </w:r>
      <w:r>
        <w:rPr>
          <w:lang w:val="en_US" w:bidi="en_US"/>
        </w:rPr>
        <w:t>River</w:t>
      </w:r>
      <w:r>
        <w:rPr>
          <w:lang w:val="en_US" w:bidi="en_US"/>
        </w:rPr>
        <w:t>,</w:t>
      </w:r>
    </w:p>
    <w:p>
      <w:pPr>
        <w:pStyle w:val="ListBullet"/>
        <w:spacing w:line="240" w:lineRule="auto"/>
        <w:ind w:left="720"/>
      </w:pPr>
      <w:r>
        <w:rPr>
          <w:lang w:val="en_US" w:bidi="en_US"/>
        </w:rPr>
      </w:r>
      <w:r>
        <w:rPr>
          <w:lang w:val="en_US" w:bidi="en_US"/>
        </w:rPr>
        <w:t>¶ When Jesus returned from the Jordan River, the power of the Holy Spirit was with him (CEV)</w:t>
      </w:r>
    </w:p>
    <w:p>
      <w:pPr/>
      <w:r>
        <w:rPr>
          <w:lang w:val="en_US" w:bidi="en_US"/>
        </w:rPr>
      </w:r>
      <w:r>
        <w:rPr>
          <w:b/>
          <w:lang w:val="en_US" w:bidi="en_US"/>
        </w:rPr>
        <w:t>Then:</w:t>
      </w:r>
      <w:r>
        <w:rPr>
          <w:lang w:val="en_US" w:bidi="en_US"/>
        </w:rPr>
        <w:t xml:space="preserve"> After the baptism of Jesus in 3:21–22, Luke gave a list of Jesus’ ancestors in 3:23–38. This was background information about Jesus. Here in this paragraph, Luke continued the story of Jesus’ life by telling what happened after Jesus was baptized. In some languages, it may be natural to show that this story continues from 3:22 by repeating part of the information in that verse. For example:</w:t>
      </w:r>
    </w:p>
    <w:p>
      <w:pPr/>
      <w:r>
        <w:rPr>
          <w:lang w:val="en_US" w:bidi="en_US"/>
        </w:rPr>
      </w:r>
      <w:r>
        <w:rPr>
          <w:lang w:val="en_US" w:bidi="en_US"/>
        </w:rPr>
        <w:t>After John baptized him, Jesus,</w:t>
      </w:r>
    </w:p>
    <w:p>
      <w:pPr/>
      <w:r>
        <w:rPr>
          <w:lang w:val="en_US" w:bidi="en_US"/>
        </w:rPr>
      </w:r>
      <w:r>
        <w:rPr>
          <w:lang w:val="en_US" w:bidi="en_US"/>
        </w:rPr>
        <w:t xml:space="preserve">In other languages, it may be natural to begin this paragraph with a time word or phrase, as the BSB and some other English versions do by saying </w:t>
      </w:r>
      <w:r>
        <w:rPr>
          <w:i/>
          <w:lang w:val="en_US" w:bidi="en_US"/>
        </w:rPr>
        <w:t>Then</w:t>
      </w:r>
      <w:r>
        <w:rPr>
          <w:lang w:val="en_US" w:bidi="en_US"/>
        </w:rPr>
        <w:t>. This reflects a connecting word that is in the Greek.</w:t>
      </w:r>
    </w:p>
    <w:p>
      <w:pPr/>
      <w:r>
        <w:rPr>
          <w:lang w:val="en_US" w:bidi="en_US"/>
        </w:rPr>
      </w:r>
      <w:r>
        <w:rPr>
          <w:b/>
          <w:lang w:val="en_US" w:bidi="en_US"/>
        </w:rPr>
        <w:t>Jesus, full of the Holy Spirit:</w:t>
      </w:r>
      <w:r>
        <w:rPr>
          <w:lang w:val="en_US" w:bidi="en_US"/>
        </w:rPr>
        <w:t xml:space="preserve"> The phrase </w:t>
      </w:r>
      <w:r>
        <w:rPr>
          <w:i/>
          <w:lang w:val="en_US" w:bidi="en_US"/>
        </w:rPr>
        <w:t>Jesus, full of the Holy Spirit</w:t>
      </w:r>
      <w:r>
        <w:rPr>
          <w:lang w:val="en_US" w:bidi="en_US"/>
        </w:rPr>
        <w:t xml:space="preserve"> means that the Holy Spirit came to be with Jesus. The Holy Spirit guided Jesus and gave him power to do all that God wanted him to do. Another way to translate this is:</w:t>
      </w:r>
    </w:p>
    <w:p>
      <w:pPr/>
      <w:r>
        <w:rPr>
          <w:lang w:val="en_US" w:bidi="en_US"/>
        </w:rPr>
      </w:r>
      <w:r>
        <w:rPr>
          <w:lang w:val="en_US" w:bidi="en_US"/>
        </w:rPr>
        <w:t>the power of the Holy Spirit was with him (CEV)</w:t>
      </w:r>
    </w:p>
    <w:p>
      <w:pPr/>
      <w:r>
        <w:rPr>
          <w:lang w:val="en_US" w:bidi="en_US"/>
        </w:rPr>
      </w:r>
      <w:r>
        <w:rPr>
          <w:lang w:val="en_US" w:bidi="en_US"/>
        </w:rPr>
        <w:t>A similar expression occurs in 1:15c.</w:t>
      </w:r>
    </w:p>
    <w:p>
      <w:pPr/>
      <w:r>
        <w:rPr>
          <w:lang w:val="en_US" w:bidi="en_US"/>
        </w:rPr>
      </w:r>
      <w:r>
        <w:rPr>
          <w:b/>
          <w:lang w:val="en_US" w:bidi="en_US"/>
        </w:rPr>
        <w:t>the Holy Spirit:</w:t>
      </w:r>
      <w:r>
        <w:rPr>
          <w:lang w:val="en_US" w:bidi="en_US"/>
        </w:rPr>
        <w:t xml:space="preserve"> The Greek phrase that the BSB translates as </w:t>
      </w:r>
      <w:r>
        <w:rPr>
          <w:i/>
          <w:lang w:val="en_US" w:bidi="en_US"/>
        </w:rPr>
        <w:t>Holy Spirit</w:t>
      </w:r>
      <w:r>
        <w:rPr>
          <w:lang w:val="en_US" w:bidi="en_US"/>
        </w:rPr>
        <w:t xml:space="preserve"> refers to the Spirit of God. The </w:t>
      </w:r>
      <w:r>
        <w:rPr>
          <w:i/>
          <w:lang w:val="en_US" w:bidi="en_US"/>
        </w:rPr>
        <w:t>Holy Spirit</w:t>
      </w:r>
      <w:r>
        <w:rPr>
          <w:lang w:val="en_US" w:bidi="en_US"/>
        </w:rPr>
        <w:t xml:space="preserve"> is God, together with God the Father and God the Son. The </w:t>
      </w:r>
      <w:r>
        <w:rPr>
          <w:i/>
          <w:lang w:val="en_US" w:bidi="en_US"/>
        </w:rPr>
        <w:t>Holy Spirit</w:t>
      </w:r>
      <w:r>
        <w:rPr>
          <w:lang w:val="en_US" w:bidi="en_US"/>
        </w:rPr>
        <w:t xml:space="preserve"> is </w:t>
      </w:r>
      <w:r>
        <w:rPr>
          <w:i/>
          <w:lang w:val="en_US" w:bidi="en_US"/>
        </w:rPr>
        <w:t>Spirit</w:t>
      </w:r>
      <w:r>
        <w:rPr>
          <w:lang w:val="en_US" w:bidi="en_US"/>
        </w:rPr>
        <w:t xml:space="preserve"> in the sense that he is a living being who does not have a physical body. He is </w:t>
      </w:r>
      <w:r>
        <w:rPr>
          <w:i/>
          <w:lang w:val="en_US" w:bidi="en_US"/>
        </w:rPr>
        <w:t>Holy</w:t>
      </w:r>
      <w:r>
        <w:rPr>
          <w:lang w:val="en_US" w:bidi="en_US"/>
        </w:rPr>
        <w:t xml:space="preserve"> in the sense that he is divine. He is perfect in every way and is completely pure and sinless. Because of these qualities, he is worthy of awe.</w:t>
      </w:r>
    </w:p>
    <w:p>
      <w:pPr/>
      <w:r>
        <w:rPr>
          <w:lang w:val="en_US" w:bidi="en_US"/>
        </w:rPr>
      </w:r>
      <w:r>
        <w:rPr>
          <w:lang w:val="en_US" w:bidi="en_US"/>
        </w:rPr>
        <w:t xml:space="preserve">Some other ways to translate </w:t>
      </w:r>
      <w:r>
        <w:rPr>
          <w:i/>
          <w:lang w:val="en_US" w:bidi="en_US"/>
        </w:rPr>
        <w:t>Holy Spirit</w:t>
      </w:r>
      <w:r>
        <w:rPr>
          <w:lang w:val="en_US" w:bidi="en_US"/>
        </w:rPr>
        <w:t xml:space="preserve"> are:</w:t>
      </w:r>
    </w:p>
    <w:p>
      <w:pPr/>
      <w:r>
        <w:rPr>
          <w:lang w:val="en_US" w:bidi="en_US"/>
        </w:rPr>
      </w:r>
      <w:r>
        <w:rPr>
          <w:lang w:val="en_US" w:bidi="en_US"/>
        </w:rPr>
        <w:t>Spirit/Breath of God</w:t>
      </w:r>
    </w:p>
    <w:p>
      <w:pPr/>
      <w:r>
        <w:rPr>
          <w:lang w:val="en_US" w:bidi="en_US"/>
        </w:rPr>
      </w:r>
      <w:r>
        <w:rPr>
          <w:lang w:val="en_US" w:bidi="en_US"/>
        </w:rPr>
        <w:t>God’s Spirit</w:t>
      </w:r>
    </w:p>
    <w:p>
      <w:pPr/>
      <w:r>
        <w:rPr>
          <w:lang w:val="en_US" w:bidi="en_US"/>
        </w:rPr>
      </w:r>
      <w:r>
        <w:rPr>
          <w:lang w:val="en_US" w:bidi="en_US"/>
        </w:rPr>
        <w:t>Sacred Spirit</w:t>
      </w:r>
    </w:p>
    <w:p>
      <w:pPr/>
      <w:r>
        <w:rPr>
          <w:lang w:val="en_US" w:bidi="en_US"/>
        </w:rPr>
      </w:r>
      <w:r>
        <w:rPr>
          <w:lang w:val="en_US" w:bidi="en_US"/>
        </w:rPr>
        <w:t xml:space="preserve">The </w:t>
      </w:r>
      <w:r>
        <w:rPr>
          <w:i/>
          <w:lang w:val="en_US" w:bidi="en_US"/>
        </w:rPr>
        <w:t>Holy Spirit</w:t>
      </w:r>
      <w:r>
        <w:rPr>
          <w:lang w:val="en_US" w:bidi="en_US"/>
        </w:rPr>
        <w:t xml:space="preserve"> is not a ghost of a dead person. Your translation should not imply this or that God has died.</w:t>
      </w:r>
    </w:p>
    <w:p>
      <w:pPr/>
      <w:r>
        <w:rPr>
          <w:lang w:val="en_US" w:bidi="en_US"/>
        </w:rPr>
      </w:r>
      <w:r>
        <w:rPr>
          <w:lang w:val="en_US" w:bidi="en_US"/>
        </w:rPr>
        <w:t xml:space="preserve">This term also occurs in 3:16d. Translate it the same way in both places. See also </w:t>
      </w:r>
      <w:r>
        <w:rPr>
          <w:u w:val="single"/>
          <w:lang w:val="en_US" w:bidi="en_US"/>
        </w:rPr>
        <w:t>holy, sense A2</w:t>
      </w:r>
      <w:r>
        <w:rPr>
          <w:lang w:val="en_US" w:bidi="en_US"/>
        </w:rPr>
        <w:t>, in KBT.</w:t>
      </w:r>
    </w:p>
    <w:p>
      <w:pPr/>
      <w:r>
        <w:rPr>
          <w:lang w:val="en_US" w:bidi="en_US"/>
        </w:rPr>
      </w:r>
      <w:r>
        <w:rPr>
          <w:b/>
          <w:lang w:val="en_US" w:bidi="en_US"/>
        </w:rPr>
        <w:t>returned from:</w:t>
      </w:r>
      <w:r>
        <w:rPr>
          <w:lang w:val="en_US" w:bidi="en_US"/>
        </w:rPr>
        <w:t xml:space="preserve"> In this context, the phrase </w:t>
      </w:r>
      <w:r>
        <w:rPr>
          <w:i/>
          <w:lang w:val="en_US" w:bidi="en_US"/>
        </w:rPr>
        <w:t>returned from</w:t>
      </w:r>
      <w:r>
        <w:rPr>
          <w:lang w:val="en_US" w:bidi="en_US"/>
        </w:rPr>
        <w:t xml:space="preserve"> means “left.” Jesus left the Jordan River where John had baptized him and went into the desert. For example:</w:t>
      </w:r>
    </w:p>
    <w:p>
      <w:pPr/>
      <w:r>
        <w:rPr>
          <w:lang w:val="en_US" w:bidi="en_US"/>
        </w:rPr>
      </w:r>
      <w:r>
        <w:rPr>
          <w:lang w:val="en_US" w:bidi="en_US"/>
        </w:rPr>
        <w:t>he left the Jordan River (GW)</w:t>
      </w:r>
    </w:p>
    <w:p>
      <w:pPr/>
      <w:r>
        <w:rPr>
          <w:lang w:val="en_US" w:bidi="en_US"/>
        </w:rPr>
      </w:r>
      <w:r>
        <w:rPr>
          <w:b/>
          <w:lang w:val="en_US" w:bidi="en_US"/>
        </w:rPr>
        <w:t>the Jordan:</w:t>
      </w:r>
      <w:r>
        <w:rPr>
          <w:lang w:val="en_US" w:bidi="en_US"/>
        </w:rPr>
        <w:t xml:space="preserve"> The phrase </w:t>
      </w:r>
      <w:r>
        <w:rPr>
          <w:i/>
          <w:lang w:val="en_US" w:bidi="en_US"/>
        </w:rPr>
        <w:t>the Jordan</w:t>
      </w:r>
      <w:r>
        <w:rPr>
          <w:lang w:val="en_US" w:bidi="en_US"/>
        </w:rPr>
        <w:t xml:space="preserve"> here means the Jordan </w:t>
      </w:r>
      <w:r>
        <w:rPr>
          <w:u w:val="single"/>
          <w:lang w:val="en_US" w:bidi="en_US"/>
        </w:rPr>
        <w:t>River</w:t>
      </w:r>
      <w:r>
        <w:rPr>
          <w:lang w:val="en_US" w:bidi="en_US"/>
        </w:rPr>
        <w:t>.</w:t>
      </w:r>
    </w:p>
    <w:p>
      <w:pPr>
        <w:pStyle w:val="Heading5"/>
      </w:pPr>
      <w:r>
        <w:rPr>
          <w:lang w:val="en_US" w:bidi="en_US"/>
        </w:rPr>
        <w:t>4:1b</w:t>
      </w:r>
    </w:p>
    <w:p>
      <w:pPr/>
      <w:r>
        <w:rPr>
          <w:lang w:val="en_US" w:bidi="en_US"/>
        </w:rPr>
      </w:r>
      <w:r>
        <w:rPr>
          <w:b/>
          <w:lang w:val="en_US" w:bidi="en_US"/>
        </w:rPr>
        <w:t>and was led by the Spirit into the wilderness,</w:t>
      </w:r>
    </w:p>
    <w:p>
      <w:pPr>
        <w:pStyle w:val="ListBullet"/>
        <w:spacing w:line="240" w:lineRule="auto"/>
        <w:ind w:left="720"/>
      </w:pPr>
      <w:r>
        <w:rPr>
          <w:lang w:val="en_US" w:bidi="en_US"/>
        </w:rPr>
      </w:r>
      <w:r>
        <w:rPr>
          <w:lang w:val="en_US" w:bidi="en_US"/>
        </w:rPr>
        <w:t>and the Spirit led him to the desert.</w:t>
      </w:r>
    </w:p>
    <w:p>
      <w:pPr>
        <w:pStyle w:val="ListBullet"/>
        <w:spacing w:line="240" w:lineRule="auto"/>
        <w:ind w:left="720"/>
      </w:pPr>
      <w:r>
        <w:rPr>
          <w:lang w:val="en_US" w:bidi="en_US"/>
        </w:rPr>
      </w:r>
      <w:r>
        <w:rPr>
          <w:lang w:val="en_US" w:bidi="en_US"/>
        </w:rPr>
        <w:t xml:space="preserve">and the </w:t>
      </w:r>
      <w:r>
        <w:rPr>
          <w:lang w:val="en_US" w:bidi="en_US"/>
        </w:rPr>
        <w:t>Holy</w:t>
      </w:r>
      <w:r>
        <w:rPr>
          <w:lang w:val="en_US" w:bidi="en_US"/>
        </w:rPr>
        <w:t xml:space="preserve"> Spirit led him into the wilderness.</w:t>
      </w:r>
    </w:p>
    <w:p>
      <w:pPr>
        <w:pStyle w:val="ListBullet"/>
        <w:spacing w:line="240" w:lineRule="auto"/>
        <w:ind w:left="720"/>
      </w:pPr>
      <w:r>
        <w:rPr>
          <w:lang w:val="en_US" w:bidi="en_US"/>
        </w:rPr>
      </w:r>
      <w:r>
        <w:rPr>
          <w:lang w:val="en_US" w:bidi="en_US"/>
        </w:rPr>
        <w:t>and led/guided him into the bush/steppes.</w:t>
      </w:r>
    </w:p>
    <w:p>
      <w:pPr/>
      <w:r>
        <w:rPr>
          <w:lang w:val="en_US" w:bidi="en_US"/>
        </w:rPr>
      </w:r>
      <w:r>
        <w:rPr>
          <w:b/>
          <w:lang w:val="en_US" w:bidi="en_US"/>
        </w:rPr>
        <w:t>and was led by the Spirit:</w:t>
      </w:r>
      <w:r>
        <w:rPr>
          <w:lang w:val="en_US" w:bidi="en_US"/>
        </w:rPr>
        <w:t xml:space="preserve"> The verb </w:t>
      </w:r>
      <w:r>
        <w:rPr>
          <w:i/>
          <w:lang w:val="en_US" w:bidi="en_US"/>
        </w:rPr>
        <w:t>was led</w:t>
      </w:r>
      <w:r>
        <w:rPr>
          <w:lang w:val="en_US" w:bidi="en_US"/>
        </w:rPr>
        <w:t xml:space="preserve"> is passive. If it is more natural in your language to use an active verb here, you can say:</w:t>
      </w:r>
    </w:p>
    <w:p>
      <w:pPr/>
      <w:r>
        <w:rPr>
          <w:lang w:val="en_US" w:bidi="en_US"/>
        </w:rPr>
      </w:r>
      <w:r>
        <w:rPr>
          <w:lang w:val="en_US" w:bidi="en_US"/>
        </w:rPr>
        <w:t>the Spirit led him</w:t>
      </w:r>
    </w:p>
    <w:p>
      <w:pPr/>
      <w:r>
        <w:rPr>
          <w:lang w:val="en_US" w:bidi="en_US"/>
        </w:rPr>
      </w:r>
      <w:r>
        <w:rPr>
          <w:b/>
          <w:lang w:val="en_US" w:bidi="en_US"/>
        </w:rPr>
        <w:t>led:</w:t>
      </w:r>
      <w:r>
        <w:rPr>
          <w:lang w:val="en_US" w:bidi="en_US"/>
        </w:rPr>
        <w:t xml:space="preserve"> The word </w:t>
      </w:r>
      <w:r>
        <w:rPr>
          <w:i/>
          <w:lang w:val="en_US" w:bidi="en_US"/>
        </w:rPr>
        <w:t>led</w:t>
      </w:r>
      <w:r>
        <w:rPr>
          <w:lang w:val="en_US" w:bidi="en_US"/>
        </w:rPr>
        <w:t xml:space="preserve"> here means “guided” or “directed.”</w:t>
      </w:r>
    </w:p>
    <w:p>
      <w:pPr/>
      <w:r>
        <w:rPr>
          <w:lang w:val="en_US" w:bidi="en_US"/>
        </w:rPr>
      </w:r>
      <w:r>
        <w:rPr>
          <w:b/>
          <w:lang w:val="en_US" w:bidi="en_US"/>
        </w:rPr>
        <w:t>the Spirit:</w:t>
      </w:r>
      <w:r>
        <w:rPr>
          <w:lang w:val="en_US" w:bidi="en_US"/>
        </w:rPr>
        <w:t xml:space="preserve"> The word </w:t>
      </w:r>
      <w:r>
        <w:rPr>
          <w:i/>
          <w:lang w:val="en_US" w:bidi="en_US"/>
        </w:rPr>
        <w:t>Spirit</w:t>
      </w:r>
      <w:r>
        <w:rPr>
          <w:lang w:val="en_US" w:bidi="en_US"/>
        </w:rPr>
        <w:t xml:space="preserve"> here refers to the Holy Spirit. This is the same Spirit as in 4:1a.</w:t>
      </w:r>
    </w:p>
    <w:p>
      <w:pPr/>
      <w:r>
        <w:rPr>
          <w:lang w:val="en_US" w:bidi="en_US"/>
        </w:rPr>
      </w:r>
      <w:r>
        <w:rPr>
          <w:b/>
          <w:lang w:val="en_US" w:bidi="en_US"/>
        </w:rPr>
        <w:t>into the wilderness:</w:t>
      </w:r>
      <w:r>
        <w:rPr>
          <w:lang w:val="en_US" w:bidi="en_US"/>
        </w:rPr>
        <w:t xml:space="preserve"> The Greek word that the BSB translates as </w:t>
      </w:r>
      <w:r>
        <w:rPr>
          <w:i/>
          <w:lang w:val="en_US" w:bidi="en_US"/>
        </w:rPr>
        <w:t>wilderness</w:t>
      </w:r>
      <w:r>
        <w:rPr>
          <w:lang w:val="en_US" w:bidi="en_US"/>
        </w:rPr>
        <w:t xml:space="preserve"> refers to a wild or desolate area where few people lived. It was often a dry area, and so some English versions translate the word as “desert.” However, it was not just barren sand and rock. Some wild grasses and bushes grew there.</w:t>
      </w:r>
    </w:p>
    <w:p>
      <w:pPr/>
      <w:r>
        <w:rPr>
          <w:lang w:val="en_US" w:bidi="en_US"/>
        </w:rPr>
      </w:r>
      <w:r>
        <w:rPr>
          <w:lang w:val="en_US" w:bidi="en_US"/>
        </w:rPr>
        <w:t>Some languages have a special word to refer to such an area, such as “the bush” (Africa) or “steppes” (Asia). It may be appropriate to use such a word if it does not have wrong cultural connotations in this context.</w:t>
      </w:r>
    </w:p>
    <w:p>
      <w:pPr/>
      <w:r>
        <w:rPr>
          <w:lang w:val="en_US" w:bidi="en_US"/>
        </w:rPr>
      </w:r>
      <w:r>
        <w:rPr>
          <w:lang w:val="en_US" w:bidi="en_US"/>
        </w:rPr>
        <w:t>This same word occurs in 1:80b and 3:2b.</w:t>
      </w:r>
      <w:r>
        <w:rPr>
          <w:lang w:val="en_US" w:bidi="en_US"/>
        </w:rPr>
      </w:r>
      <w:r>
        <w:rPr>
          <w:lang w:val="en_US" w:bidi="en_US"/>
        </w:rPr>
      </w:r>
    </w:p>
    <w:p>
      <w:pPr/>
      <w:r>
        <w:rPr>
          <w:lang w:val="en_US" w:bidi="en_US"/>
        </w:rPr>
      </w:r>
    </w:p>
    <w:p>
      <w:pPr>
        <w:pStyle w:val="Heading2"/>
      </w:pPr>
      <w:r>
        <w:rPr>
          <w:lang w:val="en_US" w:bidi="en_US"/>
        </w:rPr>
        <w:t>Luke 4:2</w:t>
      </w:r>
      <w:r>
        <w:rPr>
          <w:lang w:val="en_US" w:bidi="en_US"/>
        </w:rPr>
      </w:r>
    </w:p>
    <w:p>
      <w:pPr>
        <w:pStyle w:val="Heading4"/>
      </w:pPr>
      <w:r>
        <w:rPr>
          <w:lang w:val="en_US" w:bidi="en_US"/>
        </w:rPr>
        <w:t>Section 4:1–13: Satan tempted Jesus</w:t>
      </w:r>
    </w:p>
    <w:p>
      <w:pPr/>
      <w:r>
        <w:rPr>
          <w:lang w:val="en_US" w:bidi="en_US"/>
        </w:rPr>
      </w:r>
      <w:r>
        <w:rPr>
          <w:lang w:val="en_US" w:bidi="en_US"/>
        </w:rP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pPr/>
      <w:r>
        <w:rPr>
          <w:lang w:val="en_US" w:bidi="en_US"/>
        </w:rPr>
      </w:r>
      <w:r>
        <w:rPr>
          <w:lang w:val="en_US" w:bidi="en_US"/>
        </w:rPr>
        <w:t>Some other possible headings for this section are:</w:t>
      </w:r>
    </w:p>
    <w:p>
      <w:pPr/>
      <w:r>
        <w:rPr>
          <w:lang w:val="en_US" w:bidi="en_US"/>
        </w:rPr>
      </w:r>
      <w:r>
        <w:rPr>
          <w:lang w:val="en_US" w:bidi="en_US"/>
        </w:rPr>
        <w:t>The Temptation of Jesus</w:t>
      </w:r>
    </w:p>
    <w:p>
      <w:pPr/>
      <w:r>
        <w:rPr>
          <w:lang w:val="en_US" w:bidi="en_US"/>
        </w:rPr>
      </w:r>
      <w:r>
        <w:rPr>
          <w:lang w:val="en_US" w:bidi="en_US"/>
        </w:rPr>
        <w:t>Jesus Is Tempted by the Devil (NCV)</w:t>
      </w:r>
    </w:p>
    <w:p>
      <w:pPr/>
      <w:r>
        <w:rPr>
          <w:lang w:val="en_US" w:bidi="en_US"/>
        </w:rPr>
      </w:r>
      <w:r>
        <w:rPr>
          <w:lang w:val="en_US" w:bidi="en_US"/>
        </w:rPr>
        <w:t>There is a parallel passage for this section in Matthew 4:1–11, and a shorter version occurs in Mark 1:12–13.</w:t>
      </w:r>
    </w:p>
    <w:p>
      <w:pPr>
        <w:pStyle w:val="Heading5"/>
      </w:pPr>
      <w:r>
        <w:rPr>
          <w:lang w:val="en_US" w:bidi="en_US"/>
        </w:rPr>
        <w:t>4:2a</w:t>
      </w:r>
    </w:p>
    <w:p>
      <w:pPr/>
      <w:r>
        <w:rPr>
          <w:lang w:val="en_US" w:bidi="en_US"/>
        </w:rPr>
      </w:r>
      <w:r>
        <w:rPr>
          <w:b/>
          <w:lang w:val="en_US" w:bidi="en_US"/>
        </w:rPr>
        <w:t>where for forty days He was tempted by the devil.</w:t>
      </w:r>
    </w:p>
    <w:p>
      <w:pPr>
        <w:pStyle w:val="ListBullet"/>
        <w:spacing w:line="240" w:lineRule="auto"/>
        <w:ind w:left="720"/>
      </w:pPr>
      <w:r>
        <w:rPr>
          <w:lang w:val="en_US" w:bidi="en_US"/>
        </w:rPr>
      </w:r>
      <w:r>
        <w:rPr>
          <w:lang w:val="en_US" w:bidi="en_US"/>
        </w:rPr>
        <w:t>There the devil tempted him for forty days.</w:t>
      </w:r>
    </w:p>
    <w:p>
      <w:pPr>
        <w:pStyle w:val="ListBullet"/>
        <w:spacing w:line="240" w:lineRule="auto"/>
        <w:ind w:left="720"/>
      </w:pPr>
      <w:r>
        <w:rPr>
          <w:lang w:val="en_US" w:bidi="en_US"/>
        </w:rPr>
      </w:r>
      <w:r>
        <w:rPr>
          <w:lang w:val="en_US" w:bidi="en_US"/>
        </w:rPr>
        <w:t xml:space="preserve">During the forty days </w:t>
      </w:r>
      <w:r>
        <w:rPr>
          <w:lang w:val="en_US" w:bidi="en_US"/>
        </w:rPr>
        <w:t>that Jesus was in the desert</w:t>
      </w:r>
      <w:r>
        <w:rPr>
          <w:lang w:val="en_US" w:bidi="en_US"/>
        </w:rPr>
        <w:t>, the devil tried to trick/entice him to sin.</w:t>
      </w:r>
    </w:p>
    <w:p>
      <w:pPr>
        <w:pStyle w:val="ListBullet"/>
        <w:spacing w:line="240" w:lineRule="auto"/>
        <w:ind w:left="720"/>
      </w:pPr>
      <w:r>
        <w:rPr>
          <w:lang w:val="en_US" w:bidi="en_US"/>
        </w:rPr>
      </w:r>
      <w:r>
        <w:rPr>
          <w:lang w:val="en_US" w:bidi="en_US"/>
        </w:rPr>
        <w:t>While Jesus was</w:t>
      </w:r>
      <w:r>
        <w:rPr>
          <w:lang w:val="en_US" w:bidi="en_US"/>
        </w:rPr>
        <w:t xml:space="preserve"> there, Satan tried for forty days to cause him to sin.</w:t>
      </w:r>
    </w:p>
    <w:p>
      <w:pPr/>
      <w:r>
        <w:rPr>
          <w:lang w:val="en_US" w:bidi="en_US"/>
        </w:rPr>
      </w:r>
      <w:r>
        <w:rPr>
          <w:b/>
          <w:lang w:val="en_US" w:bidi="en_US"/>
        </w:rPr>
        <w:t>where:</w:t>
      </w:r>
      <w:r>
        <w:rPr>
          <w:lang w:val="en_US" w:bidi="en_US"/>
        </w:rPr>
        <w:t xml:space="preserve"> The word </w:t>
      </w:r>
      <w:r>
        <w:rPr>
          <w:i/>
          <w:lang w:val="en_US" w:bidi="en_US"/>
        </w:rPr>
        <w:t>where</w:t>
      </w:r>
      <w:r>
        <w:rPr>
          <w:lang w:val="en_US" w:bidi="en_US"/>
        </w:rPr>
        <w:t xml:space="preserve"> refers again to the desert.” This word does not occur in Greek. The BSB uses it to connect 4:1 and 4:2. Connect these verses in a natural way in your language.</w:t>
      </w:r>
    </w:p>
    <w:p>
      <w:pPr/>
      <w:r>
        <w:rPr>
          <w:lang w:val="en_US" w:bidi="en_US"/>
        </w:rPr>
      </w:r>
      <w:r>
        <w:rPr>
          <w:b/>
          <w:lang w:val="en_US" w:bidi="en_US"/>
        </w:rPr>
        <w:t>for forty days:</w:t>
      </w:r>
      <w:r>
        <w:rPr>
          <w:lang w:val="en_US" w:bidi="en_US"/>
        </w:rPr>
        <w:t xml:space="preserve"> There are several ways to interpret the Greek phrase that the BSB translates as </w:t>
      </w:r>
      <w:r>
        <w:rPr>
          <w:i/>
          <w:lang w:val="en_US" w:bidi="en_US"/>
        </w:rPr>
        <w:t>for forty days</w:t>
      </w:r>
      <w:r>
        <w:rPr>
          <w:lang w:val="en_US" w:bidi="en_US"/>
        </w:rPr>
        <w:t>:</w:t>
      </w:r>
    </w:p>
    <w:p>
      <w:pPr>
        <w:pStyle w:val="ListNumber"/>
        <w:numPr>
          <w:ilvl w:val="0"/>
          <w:numId w:val="99"/>
        </w:numPr>
        <w:spacing w:line="240" w:lineRule="auto"/>
        <w:ind w:left="720"/>
      </w:pPr>
      <w:r>
        <w:rPr>
          <w:lang w:val="en_US" w:bidi="en_US"/>
        </w:rPr>
      </w:r>
      <w:r>
        <w:rPr>
          <w:lang w:val="en_US" w:bidi="en_US"/>
        </w:rPr>
        <w:t xml:space="preserve">It refers to the length of time that the </w:t>
      </w:r>
      <w:r>
        <w:rPr>
          <w:u w:val="single"/>
          <w:lang w:val="en_US" w:bidi="en_US"/>
        </w:rPr>
        <w:t>devil tempted Jesus</w:t>
      </w:r>
      <w:r>
        <w:rPr>
          <w:lang w:val="en_US" w:bidi="en_US"/>
        </w:rPr>
        <w:t>. For example:</w:t>
      </w:r>
      <w:r>
        <w:rPr>
          <w:lang w:val="en_US" w:bidi="en_US"/>
        </w:rPr>
        <w:t xml:space="preserve">and was led by the Spirit in the wilderness, where for forty days he was tempted by the devil (NRSV) </w:t>
      </w:r>
      <w:r>
        <w:rPr>
          <w:i/>
          <w:lang w:val="en_US" w:bidi="en_US"/>
        </w:rPr>
        <w:t>(BSB NIV, GNT, NRSV, NET, GW, NLT, CEV, NCV)</w:t>
      </w:r>
    </w:p>
    <w:p>
      <w:pPr>
        <w:pStyle w:val="ListNumber"/>
        <w:spacing w:line="240" w:lineRule="auto"/>
        <w:ind w:left="720"/>
      </w:pPr>
      <w:r>
        <w:rPr>
          <w:lang w:val="en_US" w:bidi="en_US"/>
        </w:rPr>
      </w:r>
      <w:r>
        <w:rPr>
          <w:lang w:val="en_US" w:bidi="en_US"/>
        </w:rPr>
        <w:t xml:space="preserve">It refers to the length of time that the </w:t>
      </w:r>
      <w:r>
        <w:rPr>
          <w:u w:val="single"/>
          <w:lang w:val="en_US" w:bidi="en_US"/>
        </w:rPr>
        <w:t>Spirit led Jesus</w:t>
      </w:r>
      <w:r>
        <w:rPr>
          <w:lang w:val="en_US" w:bidi="en_US"/>
        </w:rPr>
        <w:t xml:space="preserve"> and that the </w:t>
      </w:r>
      <w:r>
        <w:rPr>
          <w:u w:val="single"/>
          <w:lang w:val="en_US" w:bidi="en_US"/>
        </w:rPr>
        <w:t>devil tempted him</w:t>
      </w:r>
      <w:r>
        <w:rPr>
          <w:lang w:val="en_US" w:bidi="en_US"/>
        </w:rPr>
        <w:t>. For example:</w:t>
      </w:r>
      <w:r>
        <w:rPr>
          <w:lang w:val="en_US" w:bidi="en_US"/>
        </w:rPr>
        <w:t xml:space="preserve">for forty days he wandered in the wilderness, led by the Spirit and tempted by the devil (REB) </w:t>
      </w:r>
      <w:r>
        <w:rPr>
          <w:i/>
          <w:lang w:val="en_US" w:bidi="en_US"/>
        </w:rPr>
        <w:t>(REB, RSV, NASB, ESV)</w:t>
      </w:r>
    </w:p>
    <w:p>
      <w:pPr>
        <w:pStyle w:val="ListNumber"/>
        <w:spacing w:line="240" w:lineRule="auto"/>
        <w:ind w:left="720"/>
      </w:pPr>
      <w:r>
        <w:rPr>
          <w:lang w:val="en_US" w:bidi="en_US"/>
        </w:rPr>
      </w:r>
      <w:r>
        <w:rPr>
          <w:lang w:val="en_US" w:bidi="en_US"/>
        </w:rPr>
        <w:t xml:space="preserve">It refers to the length of time that the </w:t>
      </w:r>
      <w:r>
        <w:rPr>
          <w:u w:val="single"/>
          <w:lang w:val="en_US" w:bidi="en_US"/>
        </w:rPr>
        <w:t>Spirit led Jesus</w:t>
      </w:r>
      <w:r>
        <w:rPr>
          <w:lang w:val="en_US" w:bidi="en_US"/>
        </w:rPr>
        <w:t>.</w:t>
      </w:r>
    </w:p>
    <w:p>
      <w:pPr/>
      <w:r>
        <w:rPr>
          <w:lang w:val="en_US" w:bidi="en_US"/>
        </w:rPr>
      </w:r>
      <w:r>
        <w:rPr>
          <w:lang w:val="en_US" w:bidi="en_US"/>
        </w:rPr>
        <w:t>It is recommended that you follow interpretation (1).</w:t>
      </w:r>
    </w:p>
    <w:p>
      <w:pPr/>
      <w:r>
        <w:rPr>
          <w:lang w:val="en_US" w:bidi="en_US"/>
        </w:rPr>
      </w:r>
      <w:r>
        <w:rPr>
          <w:b/>
          <w:lang w:val="en_US" w:bidi="en_US"/>
        </w:rPr>
        <w:t>forty days:</w:t>
      </w:r>
      <w:r>
        <w:rPr>
          <w:lang w:val="en_US" w:bidi="en_US"/>
        </w:rPr>
        <w:t xml:space="preserve"> The phrase </w:t>
      </w:r>
      <w:r>
        <w:rPr>
          <w:i/>
          <w:lang w:val="en_US" w:bidi="en_US"/>
        </w:rPr>
        <w:t>forty days</w:t>
      </w:r>
      <w:r>
        <w:rPr>
          <w:lang w:val="en_US" w:bidi="en_US"/>
        </w:rPr>
        <w:t xml:space="preserve"> means “forty days and nights.” It does not refer only to the daylight hours.</w:t>
      </w:r>
    </w:p>
    <w:p>
      <w:pPr/>
      <w:r>
        <w:rPr>
          <w:lang w:val="en_US" w:bidi="en_US"/>
        </w:rPr>
      </w:r>
      <w:r>
        <w:rPr>
          <w:b/>
          <w:lang w:val="en_US" w:bidi="en_US"/>
        </w:rPr>
        <w:t>He was tempted by the devil:</w:t>
      </w:r>
      <w:r>
        <w:rPr>
          <w:lang w:val="en_US" w:bidi="en_US"/>
        </w:rPr>
        <w:t xml:space="preserve"> This is a passive clause. Some ways to translate this clause are:</w:t>
      </w:r>
    </w:p>
    <w:p>
      <w:pPr>
        <w:pStyle w:val="ListBullet"/>
        <w:spacing w:line="240" w:lineRule="auto"/>
        <w:ind w:left="720"/>
      </w:pPr>
      <w:r>
        <w:rPr>
          <w:lang w:val="en_US" w:bidi="en_US"/>
        </w:rPr>
      </w:r>
      <w:r>
        <w:rPr>
          <w:lang w:val="en_US" w:bidi="en_US"/>
        </w:rPr>
        <w:t>As a passive clause. For example:</w:t>
      </w:r>
      <w:r>
        <w:rPr>
          <w:lang w:val="en_US" w:bidi="en_US"/>
        </w:rPr>
        <w:t>Jesus was tested by the devil (CEV)</w:t>
      </w:r>
    </w:p>
    <w:p>
      <w:pPr>
        <w:pStyle w:val="ListBullet"/>
        <w:spacing w:line="240" w:lineRule="auto"/>
        <w:ind w:left="720"/>
      </w:pPr>
      <w:r>
        <w:rPr>
          <w:lang w:val="en_US" w:bidi="en_US"/>
        </w:rPr>
      </w:r>
      <w:r>
        <w:rPr>
          <w:lang w:val="en_US" w:bidi="en_US"/>
        </w:rPr>
        <w:t>As an active clause. For example:</w:t>
      </w:r>
      <w:r>
        <w:rPr>
          <w:lang w:val="en_US" w:bidi="en_US"/>
        </w:rPr>
        <w:t>the devil tempted Jesus (NCV)</w:t>
      </w:r>
    </w:p>
    <w:p>
      <w:pPr/>
      <w:r>
        <w:rPr>
          <w:lang w:val="en_US" w:bidi="en_US"/>
        </w:rPr>
      </w:r>
      <w:r>
        <w:rPr>
          <w:b/>
          <w:lang w:val="en_US" w:bidi="en_US"/>
        </w:rPr>
        <w:t>tempted:</w:t>
      </w:r>
      <w:r>
        <w:rPr>
          <w:lang w:val="en_US" w:bidi="en_US"/>
        </w:rPr>
        <w:t xml:space="preserve"> The word </w:t>
      </w:r>
      <w:r>
        <w:rPr>
          <w:i/>
          <w:lang w:val="en_US" w:bidi="en_US"/>
        </w:rPr>
        <w:t>tempted</w:t>
      </w:r>
      <w:r>
        <w:rPr>
          <w:lang w:val="en_US" w:bidi="en_US"/>
        </w:rPr>
        <w:t xml:space="preserve"> means to try to cause/entice someone to sin. The devil encouraged Jesus to sin by telling him to do what was wrong. The devil told him that he would obtain some benefit by doing certain things that were wrong. The devil lied to Jesus in order to trap him to sin. Another way to translate this is:</w:t>
      </w:r>
    </w:p>
    <w:p>
      <w:pPr/>
      <w:r>
        <w:rPr>
          <w:lang w:val="en_US" w:bidi="en_US"/>
        </w:rPr>
      </w:r>
      <w:r>
        <w:rPr>
          <w:lang w:val="en_US" w:bidi="en_US"/>
        </w:rPr>
        <w:t>tested (CEV)</w:t>
      </w:r>
    </w:p>
    <w:p>
      <w:pPr/>
      <w:r>
        <w:rPr>
          <w:lang w:val="en_US" w:bidi="en_US"/>
        </w:rPr>
      </w:r>
      <w:r>
        <w:rPr>
          <w:b/>
          <w:lang w:val="en_US" w:bidi="en_US"/>
        </w:rPr>
        <w:t>the devil:</w:t>
      </w:r>
      <w:r>
        <w:rPr>
          <w:lang w:val="en_US" w:bidi="en_US"/>
        </w:rPr>
        <w:t xml:space="preserve"> The phrase </w:t>
      </w:r>
      <w:r>
        <w:rPr>
          <w:i/>
          <w:lang w:val="en_US" w:bidi="en_US"/>
        </w:rPr>
        <w:t>the devil</w:t>
      </w:r>
      <w:r>
        <w:rPr>
          <w:lang w:val="en_US" w:bidi="en_US"/>
        </w:rPr>
        <w:t xml:space="preserve"> refers to the chief of all evil spirits. His name is Satan. In Hebrew this name means “enemy.” He is the enemy of God and God’s people. Here are some ways to translate </w:t>
      </w:r>
      <w:r>
        <w:rPr>
          <w:i/>
          <w:lang w:val="en_US" w:bidi="en_US"/>
        </w:rPr>
        <w:t>the devil</w:t>
      </w:r>
      <w:r>
        <w:rPr>
          <w:lang w:val="en_US" w:bidi="en_US"/>
        </w:rPr>
        <w:t>:</w:t>
      </w:r>
    </w:p>
    <w:p>
      <w:pPr>
        <w:pStyle w:val="ListBullet"/>
        <w:spacing w:line="240" w:lineRule="auto"/>
        <w:ind w:left="720"/>
      </w:pPr>
      <w:r>
        <w:rPr>
          <w:lang w:val="en_US" w:bidi="en_US"/>
        </w:rPr>
      </w:r>
      <w:r>
        <w:rPr>
          <w:lang w:val="en_US" w:bidi="en_US"/>
        </w:rPr>
        <w:t>Use a local name or idiom that refers to the chief of all demons.</w:t>
      </w:r>
    </w:p>
    <w:p>
      <w:pPr>
        <w:pStyle w:val="ListBullet"/>
        <w:spacing w:line="240" w:lineRule="auto"/>
        <w:ind w:left="720"/>
      </w:pPr>
      <w:r>
        <w:rPr>
          <w:lang w:val="en_US" w:bidi="en_US"/>
        </w:rPr>
      </w:r>
      <w:r>
        <w:rPr>
          <w:lang w:val="en_US" w:bidi="en_US"/>
        </w:rPr>
        <w:t>Use a descriptive phrase such as</w:t>
      </w:r>
      <w:r>
        <w:rPr>
          <w:lang w:val="en_US" w:bidi="en_US"/>
        </w:rPr>
        <w:t>the leader of the evil spirits</w:t>
      </w:r>
      <w:r>
        <w:rPr>
          <w:lang w:val="en_US" w:bidi="en_US"/>
        </w:rPr>
        <w:t>the spirit enemy of God</w:t>
      </w:r>
    </w:p>
    <w:p>
      <w:pPr>
        <w:pStyle w:val="ListBullet"/>
        <w:spacing w:line="240" w:lineRule="auto"/>
        <w:ind w:left="720"/>
      </w:pPr>
      <w:r>
        <w:rPr>
          <w:lang w:val="en_US" w:bidi="en_US"/>
        </w:rPr>
      </w:r>
      <w:r>
        <w:rPr>
          <w:lang w:val="en_US" w:bidi="en_US"/>
        </w:rPr>
        <w:t>Transliterate the name “Satan.” If this word is not already known in your area, you may also want to add a descriptive phrase. For example:</w:t>
      </w:r>
      <w:r>
        <w:rPr>
          <w:lang w:val="en_US" w:bidi="en_US"/>
        </w:rPr>
        <w:t>Satanas, the ruler of demons</w:t>
      </w:r>
      <w:r>
        <w:rPr>
          <w:lang w:val="en_US" w:bidi="en_US"/>
        </w:rPr>
        <w:t>Shaitan</w:t>
      </w:r>
    </w:p>
    <w:p>
      <w:pPr/>
      <w:r>
        <w:rPr>
          <w:lang w:val="en_US" w:bidi="en_US"/>
        </w:rPr>
      </w:r>
      <w:r>
        <w:rPr>
          <w:lang w:val="en_US" w:bidi="en_US"/>
        </w:rPr>
        <w:t>If you transliterate “Satan” or borrow a word from another language, be sure that it communicates the biblical meaning to people in your culture. It is important to check this in each biblical context.</w:t>
      </w:r>
    </w:p>
    <w:p>
      <w:pPr/>
      <w:r>
        <w:rPr>
          <w:lang w:val="en_US" w:bidi="en_US"/>
        </w:rPr>
      </w:r>
      <w:r>
        <w:rPr>
          <w:lang w:val="en_US" w:bidi="en_US"/>
        </w:rPr>
        <w:t>Try to use a term that will be acceptable to churches in the area. It is suggested that you also add a footnote or glossary entry that further explains who the devil is. For example:</w:t>
      </w:r>
    </w:p>
    <w:p>
      <w:pPr/>
      <w:r>
        <w:rPr>
          <w:lang w:val="en_US" w:bidi="en_US"/>
        </w:rPr>
      </w:r>
      <w:r>
        <w:rPr>
          <w:lang w:val="en_US" w:bidi="en_US"/>
        </w:rPr>
        <w:t>The devil is the leader of all evil spirits or demons. Once he was an angel in heaven, but he rebelled against God. God expelled him from heaven, and now he tempts people on earth. Here are other names for Satan that are used in the Bible: “Beelzebul,” “Satan,” “the Evil One,” “the Enemy,” and “the Tempter.”</w:t>
      </w:r>
    </w:p>
    <w:p>
      <w:pPr>
        <w:pStyle w:val="Heading5"/>
      </w:pPr>
      <w:r>
        <w:rPr>
          <w:lang w:val="en_US" w:bidi="en_US"/>
        </w:rPr>
        <w:t>4:2b</w:t>
      </w:r>
    </w:p>
    <w:p>
      <w:pPr/>
      <w:r>
        <w:rPr>
          <w:lang w:val="en_US" w:bidi="en_US"/>
        </w:rPr>
      </w:r>
      <w:r>
        <w:rPr>
          <w:b/>
          <w:lang w:val="en_US" w:bidi="en_US"/>
        </w:rPr>
        <w:t>He ate nothing during those days,</w:t>
      </w:r>
    </w:p>
    <w:p>
      <w:pPr>
        <w:pStyle w:val="ListBullet"/>
        <w:spacing w:line="240" w:lineRule="auto"/>
        <w:ind w:left="720"/>
      </w:pPr>
      <w:r>
        <w:rPr>
          <w:lang w:val="en_US" w:bidi="en_US"/>
        </w:rPr>
      </w:r>
      <w:r>
        <w:rPr>
          <w:lang w:val="en_US" w:bidi="en_US"/>
        </w:rPr>
        <w:t>During that time he ate nothing,</w:t>
      </w:r>
    </w:p>
    <w:p>
      <w:pPr>
        <w:pStyle w:val="ListBullet"/>
        <w:spacing w:line="240" w:lineRule="auto"/>
        <w:ind w:left="720"/>
      </w:pPr>
      <w:r>
        <w:rPr>
          <w:lang w:val="en_US" w:bidi="en_US"/>
        </w:rPr>
      </w:r>
      <w:r>
        <w:rPr>
          <w:lang w:val="en_US" w:bidi="en_US"/>
        </w:rPr>
        <w:t>In all that time, Jesus did not eat any food,</w:t>
      </w:r>
    </w:p>
    <w:p>
      <w:pPr/>
      <w:r>
        <w:rPr>
          <w:lang w:val="en_US" w:bidi="en_US"/>
        </w:rPr>
      </w:r>
      <w:r>
        <w:rPr>
          <w:b/>
          <w:lang w:val="en_US" w:bidi="en_US"/>
        </w:rPr>
        <w:t>He ate nothing during those days:</w:t>
      </w:r>
      <w:r>
        <w:rPr>
          <w:lang w:val="en_US" w:bidi="en_US"/>
        </w:rPr>
        <w:t xml:space="preserve"> The clause </w:t>
      </w:r>
      <w:r>
        <w:rPr>
          <w:i/>
          <w:lang w:val="en_US" w:bidi="en_US"/>
        </w:rPr>
        <w:t>He ate nothing during those days</w:t>
      </w:r>
      <w:r>
        <w:rPr>
          <w:lang w:val="en_US" w:bidi="en_US"/>
        </w:rPr>
        <w:t xml:space="preserve"> indicates that Jesus chose not to eat any food during the forty days that he was in the wilderness. Some other ways to translate this are:</w:t>
      </w:r>
    </w:p>
    <w:p>
      <w:pPr/>
      <w:r>
        <w:rPr>
          <w:lang w:val="en_US" w:bidi="en_US"/>
        </w:rPr>
      </w:r>
      <w:r>
        <w:rPr>
          <w:lang w:val="en_US" w:bidi="en_US"/>
        </w:rPr>
        <w:t>Jesus ate nothing during that time (NCV)</w:t>
      </w:r>
    </w:p>
    <w:p>
      <w:pPr/>
      <w:r>
        <w:rPr>
          <w:lang w:val="en_US" w:bidi="en_US"/>
        </w:rPr>
      </w:r>
      <w:r>
        <w:rPr>
          <w:lang w:val="en_US" w:bidi="en_US"/>
        </w:rPr>
        <w:t>during that time he did not eat any food</w:t>
      </w:r>
    </w:p>
    <w:p>
      <w:pPr/>
      <w:r>
        <w:rPr>
          <w:lang w:val="en_US" w:bidi="en_US"/>
        </w:rPr>
      </w:r>
      <w:r>
        <w:rPr>
          <w:lang w:val="en_US" w:bidi="en_US"/>
        </w:rPr>
        <w:t>Luke does not say whether Jesus drank anything during this time. In your translation, you should avoid saying that Jesus did not drink anything during the forty days.</w:t>
      </w:r>
    </w:p>
    <w:p>
      <w:pPr>
        <w:pStyle w:val="Heading5"/>
      </w:pPr>
      <w:r>
        <w:rPr>
          <w:lang w:val="en_US" w:bidi="en_US"/>
        </w:rPr>
        <w:t>4:2c</w:t>
      </w:r>
    </w:p>
    <w:p>
      <w:pPr/>
      <w:r>
        <w:rPr>
          <w:lang w:val="en_US" w:bidi="en_US"/>
        </w:rPr>
      </w:r>
      <w:r>
        <w:rPr>
          <w:b/>
          <w:lang w:val="en_US" w:bidi="en_US"/>
        </w:rPr>
        <w:t>and when they had ended, He was hungry.</w:t>
      </w:r>
    </w:p>
    <w:p>
      <w:pPr>
        <w:pStyle w:val="ListBullet"/>
        <w:spacing w:line="240" w:lineRule="auto"/>
        <w:ind w:left="720"/>
      </w:pPr>
      <w:r>
        <w:rPr>
          <w:lang w:val="en_US" w:bidi="en_US"/>
        </w:rPr>
      </w:r>
      <w:r>
        <w:rPr>
          <w:lang w:val="en_US" w:bidi="en_US"/>
        </w:rPr>
        <w:t>and when those days were ended, he was very hungry. (NCV)</w:t>
      </w:r>
    </w:p>
    <w:p>
      <w:pPr>
        <w:pStyle w:val="ListBullet"/>
        <w:spacing w:line="240" w:lineRule="auto"/>
        <w:ind w:left="720"/>
      </w:pPr>
      <w:r>
        <w:rPr>
          <w:lang w:val="en_US" w:bidi="en_US"/>
        </w:rPr>
      </w:r>
      <w:r>
        <w:rPr>
          <w:lang w:val="en_US" w:bidi="en_US"/>
        </w:rPr>
        <w:t>and when that time was over, he was famished.</w:t>
      </w:r>
    </w:p>
    <w:p>
      <w:pPr/>
      <w:r>
        <w:rPr>
          <w:lang w:val="en_US" w:bidi="en_US"/>
        </w:rPr>
      </w:r>
      <w:r>
        <w:rPr>
          <w:b/>
          <w:lang w:val="en_US" w:bidi="en_US"/>
        </w:rPr>
        <w:t>when they had ended:</w:t>
      </w:r>
      <w:r>
        <w:rPr>
          <w:lang w:val="en_US" w:bidi="en_US"/>
        </w:rPr>
        <w:t xml:space="preserve"> The phrase </w:t>
      </w:r>
      <w:r>
        <w:rPr>
          <w:i/>
          <w:lang w:val="en_US" w:bidi="en_US"/>
        </w:rPr>
        <w:t>when they had ended</w:t>
      </w:r>
      <w:r>
        <w:rPr>
          <w:lang w:val="en_US" w:bidi="en_US"/>
        </w:rPr>
        <w:t xml:space="preserve"> means “when/after the forty days were over.”</w:t>
      </w:r>
    </w:p>
    <w:p>
      <w:pPr/>
      <w:r>
        <w:rPr>
          <w:lang w:val="en_US" w:bidi="en_US"/>
        </w:rPr>
      </w:r>
      <w:r>
        <w:rPr>
          <w:b/>
          <w:lang w:val="en_US" w:bidi="en_US"/>
        </w:rPr>
        <w:t>He was hungry:</w:t>
      </w:r>
      <w:r>
        <w:rPr>
          <w:lang w:val="en_US" w:bidi="en_US"/>
        </w:rPr>
        <w:t xml:space="preserve"> Jesus did not eat for forty days, so he was hungrier than someone who had not eaten one or two meals. In some languages, it may be more natural to translate this as:</w:t>
      </w:r>
    </w:p>
    <w:p>
      <w:pPr/>
      <w:r>
        <w:rPr>
          <w:lang w:val="en_US" w:bidi="en_US"/>
        </w:rPr>
      </w:r>
      <w:r>
        <w:rPr>
          <w:lang w:val="en_US" w:bidi="en_US"/>
        </w:rPr>
        <w:t>very hungry (NCV)</w:t>
      </w:r>
    </w:p>
    <w:p>
      <w:pPr/>
      <w:r>
        <w:rPr>
          <w:lang w:val="en_US" w:bidi="en_US"/>
        </w:rPr>
      </w:r>
      <w:r>
        <w:rPr>
          <w:lang w:val="en_US" w:bidi="en_US"/>
        </w:rPr>
        <w:t>famished (NET)</w:t>
      </w:r>
      <w:r>
        <w:rPr>
          <w:lang w:val="en_US" w:bidi="en_US"/>
        </w:rPr>
      </w:r>
      <w:r>
        <w:rPr>
          <w:lang w:val="en_US" w:bidi="en_US"/>
        </w:rPr>
      </w:r>
    </w:p>
    <w:p>
      <w:pPr/>
      <w:r>
        <w:rPr>
          <w:lang w:val="en_US" w:bidi="en_US"/>
        </w:rPr>
      </w:r>
    </w:p>
    <w:p>
      <w:pPr>
        <w:pStyle w:val="Heading2"/>
      </w:pPr>
      <w:r>
        <w:rPr>
          <w:lang w:val="en_US" w:bidi="en_US"/>
        </w:rPr>
        <w:t>Luke 4:3</w:t>
      </w:r>
      <w:r>
        <w:rPr>
          <w:lang w:val="en_US" w:bidi="en_US"/>
        </w:rPr>
      </w:r>
    </w:p>
    <w:p>
      <w:pPr>
        <w:pStyle w:val="Heading4"/>
      </w:pPr>
      <w:r>
        <w:rPr>
          <w:lang w:val="en_US" w:bidi="en_US"/>
        </w:rPr>
        <w:t>Section 4:1–13: Satan tempted Jesus</w:t>
      </w:r>
    </w:p>
    <w:p>
      <w:pPr/>
      <w:r>
        <w:rPr>
          <w:lang w:val="en_US" w:bidi="en_US"/>
        </w:rPr>
      </w:r>
      <w:r>
        <w:rPr>
          <w:lang w:val="en_US" w:bidi="en_US"/>
        </w:rP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pPr/>
      <w:r>
        <w:rPr>
          <w:lang w:val="en_US" w:bidi="en_US"/>
        </w:rPr>
      </w:r>
      <w:r>
        <w:rPr>
          <w:lang w:val="en_US" w:bidi="en_US"/>
        </w:rPr>
        <w:t>Some other possible headings for this section are:</w:t>
      </w:r>
    </w:p>
    <w:p>
      <w:pPr/>
      <w:r>
        <w:rPr>
          <w:lang w:val="en_US" w:bidi="en_US"/>
        </w:rPr>
      </w:r>
      <w:r>
        <w:rPr>
          <w:lang w:val="en_US" w:bidi="en_US"/>
        </w:rPr>
        <w:t>The Temptation of Jesus</w:t>
      </w:r>
    </w:p>
    <w:p>
      <w:pPr/>
      <w:r>
        <w:rPr>
          <w:lang w:val="en_US" w:bidi="en_US"/>
        </w:rPr>
      </w:r>
      <w:r>
        <w:rPr>
          <w:lang w:val="en_US" w:bidi="en_US"/>
        </w:rPr>
        <w:t>Jesus Is Tempted by the Devil (NCV)</w:t>
      </w:r>
    </w:p>
    <w:p>
      <w:pPr/>
      <w:r>
        <w:rPr>
          <w:lang w:val="en_US" w:bidi="en_US"/>
        </w:rPr>
      </w:r>
      <w:r>
        <w:rPr>
          <w:lang w:val="en_US" w:bidi="en_US"/>
        </w:rPr>
        <w:t>There is a parallel passage for this section in Matthew 4:1–11, and a shorter version occurs in Mark 1:12–13.</w:t>
      </w:r>
    </w:p>
    <w:p>
      <w:pPr>
        <w:pStyle w:val="Heading4"/>
      </w:pPr>
      <w:r>
        <w:rPr>
          <w:lang w:val="en_US" w:bidi="en_US"/>
        </w:rPr>
        <w:t>Paragraph 4:3–4</w:t>
      </w:r>
    </w:p>
    <w:p>
      <w:pPr/>
      <w:r>
        <w:rPr>
          <w:lang w:val="en_US" w:bidi="en_US"/>
        </w:rPr>
      </w:r>
      <w:r>
        <w:rPr>
          <w:lang w:val="en_US" w:bidi="en_US"/>
        </w:rPr>
        <w:t>This paragraph is about one way that the devil tempted Jesus. The devil tempted him to show that he was the Son of God by performing a miracle in order to feed himself.</w:t>
      </w:r>
    </w:p>
    <w:p>
      <w:pPr/>
      <w:r>
        <w:rPr>
          <w:lang w:val="en_US" w:bidi="en_US"/>
        </w:rPr>
      </w:r>
      <w:r>
        <w:rPr>
          <w:lang w:val="en_US" w:bidi="en_US"/>
        </w:rPr>
        <w:t>The events in this paragraph occur after the events in 4:1–2. In some languages, it may be natural to begin this paragraph with a time word or phrase. That would reflect a connecting word that is in the Greek. For example:</w:t>
      </w:r>
    </w:p>
    <w:p>
      <w:pPr/>
      <w:r>
        <w:rPr>
          <w:lang w:val="en_US" w:bidi="en_US"/>
        </w:rPr>
      </w:r>
      <w:r>
        <w:rPr>
          <w:lang w:val="en_US" w:bidi="en_US"/>
        </w:rPr>
        <w:t>Then (NLT)</w:t>
      </w:r>
    </w:p>
    <w:p>
      <w:pPr/>
      <w:r>
        <w:rPr>
          <w:lang w:val="en_US" w:bidi="en_US"/>
        </w:rPr>
      </w:r>
      <w:r>
        <w:rPr>
          <w:lang w:val="en_US" w:bidi="en_US"/>
        </w:rPr>
        <w:t>After this</w:t>
      </w:r>
    </w:p>
    <w:p>
      <w:pPr>
        <w:pStyle w:val="Heading5"/>
      </w:pPr>
      <w:r>
        <w:rPr>
          <w:lang w:val="en_US" w:bidi="en_US"/>
        </w:rPr>
        <w:t>4:3a</w:t>
      </w:r>
    </w:p>
    <w:p>
      <w:pPr/>
      <w:r>
        <w:rPr>
          <w:lang w:val="en_US" w:bidi="en_US"/>
        </w:rPr>
      </w:r>
      <w:r>
        <w:rPr>
          <w:b/>
          <w:lang w:val="en_US" w:bidi="en_US"/>
        </w:rPr>
        <w:t>The devil said to Him, “If You are the Son of God,</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the devil said to Jesus, “If you </w:t>
      </w:r>
      <w:r>
        <w:rPr>
          <w:lang w:val="en_US" w:bidi="en_US"/>
        </w:rPr>
        <w:t>really</w:t>
      </w:r>
      <w:r>
        <w:rPr>
          <w:lang w:val="en_US" w:bidi="en_US"/>
        </w:rPr>
        <w:t xml:space="preserve"> are the Son of God,</w:t>
      </w:r>
    </w:p>
    <w:p>
      <w:pPr>
        <w:pStyle w:val="ListBullet"/>
        <w:spacing w:line="240" w:lineRule="auto"/>
        <w:ind w:left="720"/>
      </w:pPr>
      <w:r>
        <w:rPr>
          <w:lang w:val="en_US" w:bidi="en_US"/>
        </w:rPr>
      </w:r>
      <w:r>
        <w:rPr>
          <w:lang w:val="en_US" w:bidi="en_US"/>
        </w:rPr>
        <w:t xml:space="preserve">¶ Then Satan </w:t>
      </w:r>
      <w:r>
        <w:rPr>
          <w:lang w:val="en_US" w:bidi="en_US"/>
        </w:rPr>
        <w:t>tried to tempt</w:t>
      </w:r>
      <w:r>
        <w:rPr>
          <w:lang w:val="en_US" w:bidi="en_US"/>
        </w:rPr>
        <w:t xml:space="preserve"> Jesus by saying, “</w:t>
      </w:r>
      <w:r>
        <w:rPr>
          <w:lang w:val="en_US" w:bidi="en_US"/>
        </w:rPr>
        <w:t>Show</w:t>
      </w:r>
      <w:r>
        <w:rPr>
          <w:lang w:val="en_US" w:bidi="en_US"/>
        </w:rPr>
        <w:t xml:space="preserve"> that you are really God’s Son.</w:t>
      </w:r>
    </w:p>
    <w:p>
      <w:pPr>
        <w:pStyle w:val="ListBullet"/>
        <w:spacing w:line="240" w:lineRule="auto"/>
        <w:ind w:left="720"/>
      </w:pPr>
      <w:r>
        <w:rPr>
          <w:lang w:val="en_US" w:bidi="en_US"/>
        </w:rPr>
      </w:r>
      <w:r>
        <w:rPr>
          <w:lang w:val="en_US" w:bidi="en_US"/>
        </w:rPr>
        <w:t xml:space="preserve">¶ Then the devil told Jesus to </w:t>
      </w:r>
      <w:r>
        <w:rPr>
          <w:lang w:val="en_US" w:bidi="en_US"/>
        </w:rPr>
        <w:t>prove</w:t>
      </w:r>
      <w:r>
        <w:rPr>
          <w:lang w:val="en_US" w:bidi="en_US"/>
        </w:rPr>
        <w:t xml:space="preserve"> that he was the Son of God</w:t>
      </w:r>
    </w:p>
    <w:p>
      <w:pPr/>
      <w:r>
        <w:rPr>
          <w:lang w:val="en_US" w:bidi="en_US"/>
        </w:rPr>
      </w:r>
      <w:r>
        <w:rPr>
          <w:b/>
          <w:lang w:val="en_US" w:bidi="en_US"/>
        </w:rPr>
        <w:t>If You are the Son of God:</w:t>
      </w:r>
      <w:r>
        <w:rPr>
          <w:lang w:val="en_US" w:bidi="en_US"/>
        </w:rPr>
        <w:t xml:space="preserve"> Satan said the words </w:t>
      </w:r>
      <w:r>
        <w:rPr>
          <w:i/>
          <w:lang w:val="en_US" w:bidi="en_US"/>
        </w:rPr>
        <w:t>If You are the Son of God</w:t>
      </w:r>
      <w:r>
        <w:rPr>
          <w:lang w:val="en_US" w:bidi="en_US"/>
        </w:rPr>
        <w:t xml:space="preserve"> to challenge Jesus to prove that he really was the Son of God. Another way to translate this is:</w:t>
      </w:r>
    </w:p>
    <w:p>
      <w:pPr/>
      <w:r>
        <w:rPr>
          <w:lang w:val="en_US" w:bidi="en_US"/>
        </w:rPr>
      </w:r>
      <w:r>
        <w:rPr>
          <w:lang w:val="en_US" w:bidi="en_US"/>
        </w:rPr>
        <w:t>If you really are the Son of God (JBP)</w:t>
      </w:r>
    </w:p>
    <w:p>
      <w:pPr/>
      <w:r>
        <w:rPr>
          <w:lang w:val="en_US" w:bidi="en_US"/>
        </w:rPr>
      </w:r>
      <w:r>
        <w:rPr>
          <w:b/>
          <w:lang w:val="en_US" w:bidi="en_US"/>
        </w:rPr>
        <w:t>the Son of God:</w:t>
      </w:r>
      <w:r>
        <w:rPr>
          <w:lang w:val="en_US" w:bidi="en_US"/>
        </w:rPr>
        <w:t xml:space="preserve"> This is the second time that the phrase </w:t>
      </w:r>
      <w:r>
        <w:rPr>
          <w:i/>
          <w:lang w:val="en_US" w:bidi="en_US"/>
        </w:rPr>
        <w:t>the Son of God</w:t>
      </w:r>
      <w:r>
        <w:rPr>
          <w:lang w:val="en_US" w:bidi="en_US"/>
        </w:rPr>
        <w:t xml:space="preserve"> occurs in Luke. It also occurs in 1:35c. Translate it the same way in both places.</w:t>
      </w:r>
    </w:p>
    <w:p>
      <w:pPr/>
      <w:r>
        <w:rPr>
          <w:lang w:val="en_US" w:bidi="en_US"/>
        </w:rPr>
      </w:r>
      <w:r>
        <w:rPr>
          <w:lang w:val="en_US" w:bidi="en_US"/>
        </w:rPr>
        <w:t xml:space="preserve">The Bible uses the title </w:t>
      </w:r>
      <w:r>
        <w:rPr>
          <w:i/>
          <w:lang w:val="en_US" w:bidi="en_US"/>
        </w:rPr>
        <w:t>Son of God</w:t>
      </w:r>
      <w:r>
        <w:rPr>
          <w:lang w:val="en_US" w:bidi="en_US"/>
        </w:rPr>
        <w:t xml:space="preserve"> to express the fact that Jesus has the same nature as God. This title also indicates that the relationship between God and Jesus, his Son, is similar in some way to the relationship of human fathers and sons. God does not have a physical body, and he did not create/produce Jesus the way a human father produces a son. Before Jesus was born, he already existed from eternity as the Son with his Father.</w:t>
      </w:r>
    </w:p>
    <w:p>
      <w:pPr/>
      <w:r>
        <w:rPr>
          <w:lang w:val="en_US" w:bidi="en_US"/>
        </w:rPr>
      </w:r>
      <w:r>
        <w:rPr>
          <w:lang w:val="en_US" w:bidi="en_US"/>
        </w:rPr>
        <w:t xml:space="preserve">In areas where people do not understand the term </w:t>
      </w:r>
      <w:r>
        <w:rPr>
          <w:i/>
          <w:lang w:val="en_US" w:bidi="en_US"/>
        </w:rPr>
        <w:t>Son of God</w:t>
      </w:r>
      <w:r>
        <w:rPr>
          <w:lang w:val="en_US" w:bidi="en_US"/>
        </w:rPr>
        <w:t xml:space="preserve"> in this way, you may wish to include a footnote. For example:</w:t>
      </w:r>
    </w:p>
    <w:p>
      <w:pPr/>
      <w:r>
        <w:rPr>
          <w:lang w:val="en_US" w:bidi="en_US"/>
        </w:rPr>
      </w:r>
      <w:r>
        <w:rPr>
          <w:lang w:val="en_US" w:bidi="en_US"/>
        </w:rPr>
        <w:t xml:space="preserve">God the Father is the Father of his </w:t>
      </w:r>
      <w:r>
        <w:rPr>
          <w:i/>
          <w:lang w:val="en_US" w:bidi="en_US"/>
        </w:rPr>
        <w:t>Son</w:t>
      </w:r>
      <w:r>
        <w:rPr>
          <w:lang w:val="en_US" w:bidi="en_US"/>
        </w:rPr>
        <w:t xml:space="preserve">, Jesus Christ, in a different way than human males are fathers of their sons. The Bible gives Jesus Christ the title </w:t>
      </w:r>
      <w:r>
        <w:rPr>
          <w:i/>
          <w:lang w:val="en_US" w:bidi="en_US"/>
        </w:rPr>
        <w:t>Son of God</w:t>
      </w:r>
      <w:r>
        <w:rPr>
          <w:lang w:val="en_US" w:bidi="en_US"/>
        </w:rPr>
        <w:t xml:space="preserve"> to express the fact that Jesus has the same nature as his Father. It also indicates that the relationship between the Father and Jesus Christ, his Son, is similar in some ways to the relationship between a human father and son.</w:t>
      </w:r>
    </w:p>
    <w:p>
      <w:pPr/>
      <w:r>
        <w:rPr>
          <w:lang w:val="en_US" w:bidi="en_US"/>
        </w:rPr>
      </w:r>
      <w:r>
        <w:rPr>
          <w:lang w:val="en_US" w:bidi="en_US"/>
        </w:rPr>
        <w:t xml:space="preserve">In some languages, it is natural to speak of a </w:t>
      </w:r>
      <w:r>
        <w:rPr>
          <w:i/>
          <w:lang w:val="en_US" w:bidi="en_US"/>
        </w:rPr>
        <w:t>Son</w:t>
      </w:r>
      <w:r>
        <w:rPr>
          <w:lang w:val="en_US" w:bidi="en_US"/>
        </w:rPr>
        <w:t xml:space="preserve"> as a “child,” without specifying male or female. If that is true in your language, you may translate </w:t>
      </w:r>
      <w:r>
        <w:rPr>
          <w:i/>
          <w:lang w:val="en_US" w:bidi="en_US"/>
        </w:rPr>
        <w:t>Son of God</w:t>
      </w:r>
      <w:r>
        <w:rPr>
          <w:lang w:val="en_US" w:bidi="en_US"/>
        </w:rPr>
        <w:t xml:space="preserve"> as:</w:t>
      </w:r>
    </w:p>
    <w:p>
      <w:pPr/>
      <w:r>
        <w:rPr>
          <w:lang w:val="en_US" w:bidi="en_US"/>
        </w:rPr>
      </w:r>
      <w:r>
        <w:rPr>
          <w:lang w:val="en_US" w:bidi="en_US"/>
        </w:rPr>
        <w:t>Child of God</w:t>
      </w:r>
    </w:p>
    <w:p>
      <w:pPr/>
      <w:r>
        <w:rPr>
          <w:lang w:val="en_US" w:bidi="en_US"/>
        </w:rPr>
      </w:r>
      <w:r>
        <w:rPr>
          <w:lang w:val="en_US" w:bidi="en_US"/>
        </w:rPr>
        <w:t>The context will usually make it clear that “Child of God,” when speaking of Jesus, refers to a male child. If you decide to use a phrase such as “male Child of God,” be sure that it does not imply there might also be a “female Child of God.”</w:t>
      </w:r>
    </w:p>
    <w:p>
      <w:pPr/>
      <w:r>
        <w:rPr>
          <w:lang w:val="en_US" w:bidi="en_US"/>
        </w:rPr>
      </w:r>
      <w:r>
        <w:rPr>
          <w:b/>
          <w:lang w:val="en_US" w:bidi="en_US"/>
        </w:rPr>
        <w:t>God:</w:t>
      </w:r>
      <w:r>
        <w:rPr>
          <w:lang w:val="en_US" w:bidi="en_US"/>
        </w:rPr>
        <w:t xml:space="preserve"> For help in translating the word </w:t>
      </w:r>
      <w:r>
        <w:rPr>
          <w:i/>
          <w:lang w:val="en_US" w:bidi="en_US"/>
        </w:rPr>
        <w:t>God</w:t>
      </w:r>
      <w:r>
        <w:rPr>
          <w:lang w:val="en_US" w:bidi="en_US"/>
        </w:rPr>
        <w:t>, see the note at 1:6b.</w:t>
      </w:r>
    </w:p>
    <w:p>
      <w:pPr>
        <w:pStyle w:val="Heading5"/>
      </w:pPr>
      <w:r>
        <w:rPr>
          <w:lang w:val="en_US" w:bidi="en_US"/>
        </w:rPr>
        <w:t>4:3b</w:t>
      </w:r>
    </w:p>
    <w:p>
      <w:pPr/>
      <w:r>
        <w:rPr>
          <w:lang w:val="en_US" w:bidi="en_US"/>
        </w:rPr>
      </w:r>
      <w:r>
        <w:rPr>
          <w:b/>
          <w:lang w:val="en_US" w:bidi="en_US"/>
        </w:rPr>
        <w:t>tell this stone to become bread.”</w:t>
      </w:r>
    </w:p>
    <w:p>
      <w:pPr>
        <w:pStyle w:val="ListBullet"/>
        <w:spacing w:line="240" w:lineRule="auto"/>
        <w:ind w:left="720"/>
      </w:pPr>
      <w:r>
        <w:rPr>
          <w:lang w:val="en_US" w:bidi="en_US"/>
        </w:rPr>
      </w:r>
      <w:r>
        <w:rPr>
          <w:lang w:val="en_US" w:bidi="en_US"/>
        </w:rPr>
        <w:t>order this stone to turn into bread.”</w:t>
      </w:r>
    </w:p>
    <w:p>
      <w:pPr>
        <w:pStyle w:val="ListBullet"/>
        <w:spacing w:line="240" w:lineRule="auto"/>
        <w:ind w:left="720"/>
      </w:pPr>
      <w:r>
        <w:rPr>
          <w:lang w:val="en_US" w:bidi="en_US"/>
        </w:rPr>
      </w:r>
      <w:r>
        <w:rPr>
          <w:lang w:val="en_US" w:bidi="en_US"/>
        </w:rPr>
        <w:t xml:space="preserve">Speak to this stone and make it become food </w:t>
      </w:r>
      <w:r>
        <w:rPr>
          <w:lang w:val="en_US" w:bidi="en_US"/>
        </w:rPr>
        <w:t>for you</w:t>
      </w:r>
      <w:r>
        <w:rPr>
          <w:lang w:val="en_US" w:bidi="en_US"/>
        </w:rPr>
        <w:t>!”</w:t>
      </w:r>
    </w:p>
    <w:p>
      <w:pPr>
        <w:pStyle w:val="ListBullet"/>
        <w:spacing w:line="240" w:lineRule="auto"/>
        <w:ind w:left="720"/>
      </w:pPr>
      <w:r>
        <w:rPr>
          <w:lang w:val="en_US" w:bidi="en_US"/>
        </w:rPr>
      </w:r>
      <w:r>
        <w:rPr>
          <w:lang w:val="en_US" w:bidi="en_US"/>
        </w:rPr>
        <w:t xml:space="preserve">by telling a stone there to become bread </w:t>
      </w:r>
      <w:r>
        <w:rPr>
          <w:lang w:val="en_US" w:bidi="en_US"/>
        </w:rPr>
        <w:t>for him to eat</w:t>
      </w:r>
      <w:r>
        <w:rPr>
          <w:lang w:val="en_US" w:bidi="en_US"/>
        </w:rPr>
        <w:t>.</w:t>
      </w:r>
    </w:p>
    <w:p>
      <w:pPr/>
      <w:r>
        <w:rPr>
          <w:lang w:val="en_US" w:bidi="en_US"/>
        </w:rPr>
      </w:r>
      <w:r>
        <w:rPr>
          <w:b/>
          <w:lang w:val="en_US" w:bidi="en_US"/>
        </w:rPr>
        <w:t>tell this stone to become bread:</w:t>
      </w:r>
      <w:r>
        <w:rPr>
          <w:lang w:val="en_US" w:bidi="en_US"/>
        </w:rPr>
        <w:t xml:space="preserve"> There is some implied information here. Satan did not simply want Jesus to tell the stone to become bread. Satan wanted Jesus actually to cause it to become bread for Jesus to eat. So you could translate this as:</w:t>
      </w:r>
    </w:p>
    <w:p>
      <w:pPr/>
      <w:r>
        <w:rPr>
          <w:lang w:val="en_US" w:bidi="en_US"/>
        </w:rPr>
      </w:r>
      <w:r>
        <w:rPr>
          <w:lang w:val="en_US" w:bidi="en_US"/>
        </w:rPr>
        <w:t xml:space="preserve">speak to this stone and cause it to become bread </w:t>
      </w:r>
      <w:r>
        <w:rPr>
          <w:lang w:val="en_US" w:bidi="en_US"/>
        </w:rPr>
        <w:t>for you</w:t>
      </w:r>
    </w:p>
    <w:p>
      <w:pPr/>
      <w:r>
        <w:rPr>
          <w:lang w:val="en_US" w:bidi="en_US"/>
        </w:rPr>
      </w:r>
      <w:r>
        <w:rPr>
          <w:lang w:val="en_US" w:bidi="en_US"/>
        </w:rPr>
        <w:t xml:space="preserve">change this stone into </w:t>
      </w:r>
      <w:r>
        <w:rPr>
          <w:lang w:val="en_US" w:bidi="en_US"/>
        </w:rPr>
        <w:t>a loaf of</w:t>
      </w:r>
      <w:r>
        <w:rPr>
          <w:lang w:val="en_US" w:bidi="en_US"/>
        </w:rPr>
        <w:t xml:space="preserve"> bread </w:t>
      </w:r>
      <w:r>
        <w:rPr>
          <w:lang w:val="en_US" w:bidi="en_US"/>
        </w:rPr>
        <w:t>that you can eat</w:t>
      </w:r>
    </w:p>
    <w:p>
      <w:pPr/>
      <w:r>
        <w:rPr>
          <w:lang w:val="en_US" w:bidi="en_US"/>
        </w:rPr>
      </w:r>
      <w:r>
        <w:rPr>
          <w:b/>
          <w:lang w:val="en_US" w:bidi="en_US"/>
        </w:rPr>
        <w:t>this stone:</w:t>
      </w:r>
      <w:r>
        <w:rPr>
          <w:lang w:val="en_US" w:bidi="en_US"/>
        </w:rPr>
        <w:t xml:space="preserve"> Satan probably pointed at one of the stones or perhaps picked up one of them.</w:t>
      </w:r>
    </w:p>
    <w:p>
      <w:pPr/>
      <w:r>
        <w:rPr>
          <w:lang w:val="en_US" w:bidi="en_US"/>
        </w:rPr>
      </w:r>
      <w:r>
        <w:rPr>
          <w:b/>
          <w:lang w:val="en_US" w:bidi="en_US"/>
        </w:rPr>
        <w:t>bread:</w:t>
      </w:r>
      <w:r>
        <w:rPr>
          <w:lang w:val="en_US" w:bidi="en_US"/>
        </w:rPr>
        <w:t xml:space="preserve"> In Jesus’ time, </w:t>
      </w:r>
      <w:r>
        <w:rPr>
          <w:i/>
          <w:lang w:val="en_US" w:bidi="en_US"/>
        </w:rPr>
        <w:t>bread</w:t>
      </w:r>
      <w:r>
        <w:rPr>
          <w:lang w:val="en_US" w:bidi="en_US"/>
        </w:rPr>
        <w:t xml:space="preserve"> was the most common and basic food. The bread that the Jews ate was made of wheat flour. It was round and flat.</w:t>
      </w:r>
    </w:p>
    <w:p>
      <w:pPr/>
      <w:r>
        <w:rPr>
          <w:lang w:val="en_US" w:bidi="en_US"/>
        </w:rPr>
      </w:r>
      <w:r>
        <w:rPr>
          <w:lang w:val="en_US" w:bidi="en_US"/>
        </w:rPr>
        <w:t>If you do not already have a word for bread in your language, some ways to translate bread are:</w:t>
      </w:r>
    </w:p>
    <w:p>
      <w:pPr>
        <w:pStyle w:val="ListBullet"/>
        <w:spacing w:line="240" w:lineRule="auto"/>
        <w:ind w:left="720"/>
      </w:pPr>
      <w:r>
        <w:rPr>
          <w:lang w:val="en_US" w:bidi="en_US"/>
        </w:rPr>
      </w:r>
      <w:r>
        <w:rPr>
          <w:lang w:val="en_US" w:bidi="en_US"/>
        </w:rPr>
        <w:t>Use a generic term such as “food.”</w:t>
      </w:r>
    </w:p>
    <w:p>
      <w:pPr>
        <w:pStyle w:val="ListBullet"/>
        <w:spacing w:line="240" w:lineRule="auto"/>
        <w:ind w:left="720"/>
      </w:pPr>
      <w:r>
        <w:rPr>
          <w:lang w:val="en_US" w:bidi="en_US"/>
        </w:rPr>
      </w:r>
      <w:r>
        <w:rPr>
          <w:lang w:val="en_US" w:bidi="en_US"/>
        </w:rPr>
        <w:t>Borrow the word for bread from the national language or major language in your area.</w:t>
      </w:r>
      <w:r>
        <w:rPr>
          <w:lang w:val="en_US" w:bidi="en_US"/>
        </w:rPr>
      </w:r>
      <w:r>
        <w:rPr>
          <w:lang w:val="en_US" w:bidi="en_US"/>
        </w:rPr>
      </w:r>
    </w:p>
    <w:p>
      <w:pPr/>
      <w:r>
        <w:rPr>
          <w:lang w:val="en_US" w:bidi="en_US"/>
        </w:rPr>
      </w:r>
    </w:p>
    <w:p>
      <w:pPr>
        <w:pStyle w:val="Heading2"/>
      </w:pPr>
      <w:r>
        <w:rPr>
          <w:lang w:val="en_US" w:bidi="en_US"/>
        </w:rPr>
        <w:t>Luke 4:4</w:t>
      </w:r>
      <w:r>
        <w:rPr>
          <w:lang w:val="en_US" w:bidi="en_US"/>
        </w:rPr>
      </w:r>
    </w:p>
    <w:p>
      <w:pPr>
        <w:pStyle w:val="Heading4"/>
      </w:pPr>
      <w:r>
        <w:rPr>
          <w:lang w:val="en_US" w:bidi="en_US"/>
        </w:rPr>
        <w:t>Section 4:1–13: Satan tempted Jesus</w:t>
      </w:r>
    </w:p>
    <w:p>
      <w:pPr/>
      <w:r>
        <w:rPr>
          <w:lang w:val="en_US" w:bidi="en_US"/>
        </w:rPr>
      </w:r>
      <w:r>
        <w:rPr>
          <w:lang w:val="en_US" w:bidi="en_US"/>
        </w:rP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pPr/>
      <w:r>
        <w:rPr>
          <w:lang w:val="en_US" w:bidi="en_US"/>
        </w:rPr>
      </w:r>
      <w:r>
        <w:rPr>
          <w:lang w:val="en_US" w:bidi="en_US"/>
        </w:rPr>
        <w:t>Some other possible headings for this section are:</w:t>
      </w:r>
    </w:p>
    <w:p>
      <w:pPr/>
      <w:r>
        <w:rPr>
          <w:lang w:val="en_US" w:bidi="en_US"/>
        </w:rPr>
      </w:r>
      <w:r>
        <w:rPr>
          <w:lang w:val="en_US" w:bidi="en_US"/>
        </w:rPr>
        <w:t>The Temptation of Jesus</w:t>
      </w:r>
    </w:p>
    <w:p>
      <w:pPr/>
      <w:r>
        <w:rPr>
          <w:lang w:val="en_US" w:bidi="en_US"/>
        </w:rPr>
      </w:r>
      <w:r>
        <w:rPr>
          <w:lang w:val="en_US" w:bidi="en_US"/>
        </w:rPr>
        <w:t>Jesus Is Tempted by the Devil (NCV)</w:t>
      </w:r>
    </w:p>
    <w:p>
      <w:pPr/>
      <w:r>
        <w:rPr>
          <w:lang w:val="en_US" w:bidi="en_US"/>
        </w:rPr>
      </w:r>
      <w:r>
        <w:rPr>
          <w:lang w:val="en_US" w:bidi="en_US"/>
        </w:rPr>
        <w:t>There is a parallel passage for this section in Matthew 4:1–11, and a shorter version occurs in Mark 1:12–13.</w:t>
      </w:r>
    </w:p>
    <w:p>
      <w:pPr>
        <w:pStyle w:val="Heading4"/>
      </w:pPr>
      <w:r>
        <w:rPr>
          <w:lang w:val="en_US" w:bidi="en_US"/>
        </w:rPr>
        <w:t>Paragraph 4:3–4</w:t>
      </w:r>
    </w:p>
    <w:p>
      <w:pPr/>
      <w:r>
        <w:rPr>
          <w:lang w:val="en_US" w:bidi="en_US"/>
        </w:rPr>
      </w:r>
      <w:r>
        <w:rPr>
          <w:lang w:val="en_US" w:bidi="en_US"/>
        </w:rPr>
        <w:t>This paragraph is about one way that the devil tempted Jesus. The devil tempted him to show that he was the Son of God by performing a miracle in order to feed himself.</w:t>
      </w:r>
    </w:p>
    <w:p>
      <w:pPr/>
      <w:r>
        <w:rPr>
          <w:lang w:val="en_US" w:bidi="en_US"/>
        </w:rPr>
      </w:r>
      <w:r>
        <w:rPr>
          <w:lang w:val="en_US" w:bidi="en_US"/>
        </w:rPr>
        <w:t>The events in this paragraph occur after the events in 4:1–2. In some languages, it may be natural to begin this paragraph with a time word or phrase. That would reflect a connecting word that is in the Greek. For example:</w:t>
      </w:r>
    </w:p>
    <w:p>
      <w:pPr/>
      <w:r>
        <w:rPr>
          <w:lang w:val="en_US" w:bidi="en_US"/>
        </w:rPr>
      </w:r>
      <w:r>
        <w:rPr>
          <w:lang w:val="en_US" w:bidi="en_US"/>
        </w:rPr>
        <w:t>Then (NLT)</w:t>
      </w:r>
    </w:p>
    <w:p>
      <w:pPr/>
      <w:r>
        <w:rPr>
          <w:lang w:val="en_US" w:bidi="en_US"/>
        </w:rPr>
      </w:r>
      <w:r>
        <w:rPr>
          <w:lang w:val="en_US" w:bidi="en_US"/>
        </w:rPr>
        <w:t>After this</w:t>
      </w:r>
    </w:p>
    <w:p>
      <w:pPr>
        <w:pStyle w:val="Heading5"/>
      </w:pPr>
      <w:r>
        <w:rPr>
          <w:lang w:val="en_US" w:bidi="en_US"/>
        </w:rPr>
        <w:t>4:4a</w:t>
      </w:r>
    </w:p>
    <w:p>
      <w:pPr/>
      <w:r>
        <w:rPr>
          <w:lang w:val="en_US" w:bidi="en_US"/>
        </w:rPr>
      </w:r>
      <w:r>
        <w:rPr>
          <w:b/>
          <w:lang w:val="en_US" w:bidi="en_US"/>
        </w:rPr>
        <w:t>But Jesus answered, “It is written:</w:t>
      </w:r>
    </w:p>
    <w:p>
      <w:pPr>
        <w:pStyle w:val="ListBullet"/>
        <w:spacing w:line="240" w:lineRule="auto"/>
        <w:ind w:left="720"/>
      </w:pPr>
      <w:r>
        <w:rPr>
          <w:lang w:val="en_US" w:bidi="en_US"/>
        </w:rPr>
      </w:r>
      <w:r>
        <w:rPr>
          <w:lang w:val="en_US" w:bidi="en_US"/>
        </w:rPr>
        <w:t>Jesus said, “It is written in the Scriptures,</w:t>
      </w:r>
    </w:p>
    <w:p>
      <w:pPr>
        <w:pStyle w:val="ListBullet"/>
        <w:spacing w:line="240" w:lineRule="auto"/>
        <w:ind w:left="720"/>
      </w:pPr>
      <w:r>
        <w:rPr>
          <w:lang w:val="en_US" w:bidi="en_US"/>
        </w:rPr>
      </w:r>
      <w:r>
        <w:rPr>
          <w:lang w:val="en_US" w:bidi="en_US"/>
        </w:rPr>
        <w:t>Jesus told him, “The Scriptures say,</w:t>
      </w:r>
    </w:p>
    <w:p>
      <w:pPr>
        <w:pStyle w:val="ListBullet"/>
        <w:spacing w:line="240" w:lineRule="auto"/>
        <w:ind w:left="720"/>
      </w:pPr>
      <w:r>
        <w:rPr>
          <w:lang w:val="en_US" w:bidi="en_US"/>
        </w:rPr>
      </w:r>
      <w:r>
        <w:rPr>
          <w:lang w:val="en_US" w:bidi="en_US"/>
        </w:rPr>
        <w:t xml:space="preserve">Jesus told </w:t>
      </w:r>
      <w:r>
        <w:rPr>
          <w:lang w:val="en_US" w:bidi="en_US"/>
        </w:rPr>
        <w:t>the devil</w:t>
      </w:r>
      <w:r>
        <w:rPr>
          <w:lang w:val="en_US" w:bidi="en_US"/>
        </w:rPr>
        <w:t xml:space="preserve"> that in the </w:t>
      </w:r>
      <w:r>
        <w:rPr>
          <w:lang w:val="en_US" w:bidi="en_US"/>
        </w:rPr>
        <w:t>holy</w:t>
      </w:r>
      <w:r>
        <w:rPr>
          <w:lang w:val="en_US" w:bidi="en_US"/>
        </w:rPr>
        <w:t xml:space="preserve"> writings, it says,</w:t>
      </w:r>
    </w:p>
    <w:p>
      <w:pPr/>
      <w:r>
        <w:rPr>
          <w:lang w:val="en_US" w:bidi="en_US"/>
        </w:rPr>
      </w:r>
      <w:r>
        <w:rPr>
          <w:b/>
          <w:lang w:val="en_US" w:bidi="en_US"/>
        </w:rPr>
        <w:t>But Jesus answered:</w:t>
      </w:r>
      <w:r>
        <w:rPr>
          <w:lang w:val="en_US" w:bidi="en_US"/>
        </w:rPr>
        <w:t xml:space="preserve"> The Greek verb that the BSB literally translates as </w:t>
      </w:r>
      <w:r>
        <w:rPr>
          <w:i/>
          <w:lang w:val="en_US" w:bidi="en_US"/>
        </w:rPr>
        <w:t>answered</w:t>
      </w:r>
      <w:r>
        <w:rPr>
          <w:lang w:val="en_US" w:bidi="en_US"/>
        </w:rPr>
        <w:t xml:space="preserve"> can also be translated as “replied” or “responded.” Jesus did not answer a question. He responded to what the devil suggested. Use a word from your language that matches this context. For example:</w:t>
      </w:r>
    </w:p>
    <w:p>
      <w:pPr/>
      <w:r>
        <w:rPr>
          <w:lang w:val="en_US" w:bidi="en_US"/>
        </w:rPr>
      </w:r>
      <w:r>
        <w:rPr>
          <w:lang w:val="en_US" w:bidi="en_US"/>
        </w:rPr>
        <w:t>But Jesus told him (NLT)</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is a conjunction that may also be translated as “and.” Some English versions, such as the ESV, translate it that way. Other versions, such as the NIV and NET, do not translate this conjunction here. Connect 4:4a to 4:3b in a way that is natural in your language.</w:t>
      </w:r>
    </w:p>
    <w:p>
      <w:pPr/>
      <w:r>
        <w:rPr>
          <w:lang w:val="en_US" w:bidi="en_US"/>
        </w:rPr>
      </w:r>
      <w:r>
        <w:rPr>
          <w:b/>
          <w:lang w:val="en_US" w:bidi="en_US"/>
        </w:rPr>
        <w:t>It is written:</w:t>
      </w:r>
      <w:r>
        <w:rPr>
          <w:lang w:val="en_US" w:bidi="en_US"/>
        </w:rPr>
        <w:t xml:space="preserve"> Jesus used the phrase </w:t>
      </w:r>
      <w:r>
        <w:rPr>
          <w:i/>
          <w:lang w:val="en_US" w:bidi="en_US"/>
        </w:rPr>
        <w:t>It is written</w:t>
      </w:r>
      <w:r>
        <w:rPr>
          <w:lang w:val="en_US" w:bidi="en_US"/>
        </w:rPr>
        <w:t xml:space="preserve"> to introduce words that were written in the Hebrew Scriptures (Deuteronomy 8:3). Some other ways to translate this are:</w:t>
      </w:r>
    </w:p>
    <w:p>
      <w:pPr/>
      <w:r>
        <w:rPr>
          <w:lang w:val="en_US" w:bidi="en_US"/>
        </w:rPr>
      </w:r>
      <w:r>
        <w:rPr>
          <w:lang w:val="en_US" w:bidi="en_US"/>
        </w:rPr>
        <w:t>It is written in the Scriptures (NCV)</w:t>
      </w:r>
    </w:p>
    <w:p>
      <w:pPr/>
      <w:r>
        <w:rPr>
          <w:lang w:val="en_US" w:bidi="en_US"/>
        </w:rPr>
      </w:r>
      <w:r>
        <w:rPr>
          <w:lang w:val="en_US" w:bidi="en_US"/>
        </w:rPr>
        <w:t>The scripture says (GNT)</w:t>
      </w:r>
    </w:p>
    <w:p>
      <w:pPr>
        <w:pStyle w:val="Heading5"/>
      </w:pPr>
      <w:r>
        <w:rPr>
          <w:lang w:val="en_US" w:bidi="en_US"/>
        </w:rPr>
        <w:t>4:4b</w:t>
      </w:r>
    </w:p>
    <w:p>
      <w:pPr/>
      <w:r>
        <w:rPr>
          <w:lang w:val="en_US" w:bidi="en_US"/>
        </w:rPr>
      </w:r>
      <w:r>
        <w:rPr>
          <w:b/>
          <w:lang w:val="en_US" w:bidi="en_US"/>
        </w:rPr>
        <w:t>‘Man shall not live on bread alone.’”</w:t>
      </w:r>
    </w:p>
    <w:p>
      <w:pPr>
        <w:pStyle w:val="ListBullet"/>
        <w:spacing w:line="240" w:lineRule="auto"/>
        <w:ind w:left="720"/>
      </w:pPr>
      <w:r>
        <w:rPr>
          <w:lang w:val="en_US" w:bidi="en_US"/>
        </w:rPr>
      </w:r>
      <w:r>
        <w:rPr>
          <w:lang w:val="en_US" w:bidi="en_US"/>
        </w:rPr>
        <w:t xml:space="preserve">‘A person does not live only by </w:t>
      </w:r>
      <w:r>
        <w:rPr>
          <w:lang w:val="en_US" w:bidi="en_US"/>
        </w:rPr>
        <w:t>eating</w:t>
      </w:r>
      <w:r>
        <w:rPr>
          <w:lang w:val="en_US" w:bidi="en_US"/>
        </w:rPr>
        <w:t xml:space="preserve"> bread/food.'"</w:t>
      </w:r>
    </w:p>
    <w:p>
      <w:pPr>
        <w:pStyle w:val="ListBullet"/>
        <w:spacing w:line="240" w:lineRule="auto"/>
        <w:ind w:left="720"/>
      </w:pPr>
      <w:r>
        <w:rPr>
          <w:lang w:val="en_US" w:bidi="en_US"/>
        </w:rPr>
      </w:r>
      <w:r>
        <w:rPr>
          <w:lang w:val="en_US" w:bidi="en_US"/>
        </w:rPr>
        <w:t xml:space="preserve">‘People need more than food to </w:t>
      </w:r>
      <w:r>
        <w:rPr>
          <w:lang w:val="en_US" w:bidi="en_US"/>
        </w:rPr>
        <w:t>truly</w:t>
      </w:r>
      <w:r>
        <w:rPr>
          <w:lang w:val="en_US" w:bidi="en_US"/>
        </w:rPr>
        <w:t xml:space="preserve"> live.'"</w:t>
      </w:r>
    </w:p>
    <w:p>
      <w:pPr>
        <w:pStyle w:val="ListBullet"/>
        <w:spacing w:line="240" w:lineRule="auto"/>
        <w:ind w:left="720"/>
      </w:pPr>
      <w:r>
        <w:rPr>
          <w:lang w:val="en_US" w:bidi="en_US"/>
        </w:rPr>
      </w:r>
      <w:r>
        <w:rPr>
          <w:lang w:val="en_US" w:bidi="en_US"/>
        </w:rPr>
        <w:t>‘No one can live only on food.'" (CEV)</w:t>
      </w:r>
    </w:p>
    <w:p>
      <w:pPr>
        <w:pStyle w:val="ListBullet"/>
        <w:spacing w:line="240" w:lineRule="auto"/>
        <w:ind w:left="720"/>
      </w:pPr>
      <w:r>
        <w:rPr>
          <w:lang w:val="en_US" w:bidi="en_US"/>
        </w:rPr>
      </w:r>
      <w:r>
        <w:rPr>
          <w:lang w:val="en_US" w:bidi="en_US"/>
        </w:rPr>
        <w:t xml:space="preserve">that no one can live by </w:t>
      </w:r>
      <w:r>
        <w:rPr>
          <w:lang w:val="en_US" w:bidi="en_US"/>
        </w:rPr>
        <w:t>eating</w:t>
      </w:r>
      <w:r>
        <w:rPr>
          <w:lang w:val="en_US" w:bidi="en_US"/>
        </w:rPr>
        <w:t xml:space="preserve"> only food.</w:t>
      </w:r>
    </w:p>
    <w:p>
      <w:pPr/>
      <w:r>
        <w:rPr>
          <w:lang w:val="en_US" w:bidi="en_US"/>
        </w:rPr>
      </w:r>
      <w:r>
        <w:rPr>
          <w:b/>
          <w:lang w:val="en_US" w:bidi="en_US"/>
        </w:rPr>
        <w:t>Man shall not live on bread alone:</w:t>
      </w:r>
      <w:r>
        <w:rPr>
          <w:lang w:val="en_US" w:bidi="en_US"/>
        </w:rPr>
        <w:t xml:space="preserve"> </w:t>
      </w:r>
      <w:r>
        <w:rPr>
          <w:lang w:val="en_US" w:bidi="en_US"/>
        </w:rPr>
        <w:t xml:space="preserve">There is a textual issue here: (1) The earliest Greek manuscripts say, “Man will not live on bread alone.” Nearly every major English version follows these manuscripts (BSB, RSV, NIV, GNT, NJB, ESV, NASB, NLT, NLT, GW, CEV, NET, JBP, REB, NCV). (2) Other Greek manuscripts say, “man will not live by bread alone, but by every word of God.” The KJV follows these manuscripts. (3) A few manuscripts say, “man will not live by bread alone, but by every word that proceeds through the mouth of God.” No major English version follows these manuscripts. It is recommended that you follow option (1). It has early and strong manuscript support. Also, it is evident that copyists at an early date added “but by every word of God” or “but by every word that proceeds from the mouth of God” to harmonize with the parallel account in Matthew or to the Septuagint version of Deuteronomy 8:3. If any of the longer versions of the text had been original, its omission from some of the earliest and most significant manuscripts would be unaccountable. (Based on Swanson, p. 63; the </w:t>
      </w:r>
      <w:r>
        <w:rPr>
          <w:i/>
          <w:lang w:val="en_US" w:bidi="en_US"/>
        </w:rPr>
        <w:t>Greek NT UBS 4th ed.</w:t>
      </w:r>
      <w:r>
        <w:rPr>
          <w:lang w:val="en_US" w:bidi="en_US"/>
        </w:rPr>
        <w:t>; and Metzger, p. 113.) You may want to give the longer reading in a footnote. A sample footnote is: “Some Greek manuscripts have ‘man will not live by bread alone, but by every word of God.’”</w:t>
      </w:r>
      <w:r>
        <w:rPr>
          <w:lang w:val="en_US" w:bidi="en_US"/>
        </w:rPr>
        <w:t xml:space="preserve"> The clause </w:t>
      </w:r>
      <w:r>
        <w:rPr>
          <w:i/>
          <w:lang w:val="en_US" w:bidi="en_US"/>
        </w:rPr>
        <w:t>Man shall not live on bread alone</w:t>
      </w:r>
      <w:r>
        <w:rPr>
          <w:lang w:val="en_US" w:bidi="en_US"/>
        </w:rPr>
        <w:t xml:space="preserve"> is a quotation from Deuteronomy 8:3. Jesus was saying that bread (food) alone does not give true life. There is something more important than food.</w:t>
      </w:r>
    </w:p>
    <w:p>
      <w:pPr/>
      <w:r>
        <w:rPr>
          <w:lang w:val="en_US" w:bidi="en_US"/>
        </w:rPr>
      </w:r>
      <w:r>
        <w:rPr>
          <w:lang w:val="en_US" w:bidi="en_US"/>
        </w:rPr>
        <w:t>Be careful not to translate this clause in a way that implies that Jesus was saying that people need a variety of foods in addition to bread. He was not saying that bread is not nutritious enough to sustain life. He was saying that food alone does not give true life.</w:t>
      </w:r>
    </w:p>
    <w:p>
      <w:pPr/>
      <w:r>
        <w:rPr>
          <w:lang w:val="en_US" w:bidi="en_US"/>
        </w:rPr>
      </w:r>
      <w:r>
        <w:rPr>
          <w:lang w:val="en_US" w:bidi="en_US"/>
        </w:rPr>
        <w:t>Some other ways to translate this are:</w:t>
      </w:r>
    </w:p>
    <w:p>
      <w:pPr/>
      <w:r>
        <w:rPr>
          <w:lang w:val="en_US" w:bidi="en_US"/>
        </w:rPr>
      </w:r>
      <w:r>
        <w:rPr>
          <w:lang w:val="en_US" w:bidi="en_US"/>
        </w:rPr>
        <w:t>It takes more than bread for man to live.</w:t>
      </w:r>
    </w:p>
    <w:p>
      <w:pPr/>
      <w:r>
        <w:rPr>
          <w:lang w:val="en_US" w:bidi="en_US"/>
        </w:rPr>
      </w:r>
      <w:r>
        <w:rPr>
          <w:lang w:val="en_US" w:bidi="en_US"/>
        </w:rPr>
        <w:t>Food by itself is not enough to keep people alive.</w:t>
      </w:r>
    </w:p>
    <w:p>
      <w:pPr/>
      <w:r>
        <w:rPr>
          <w:lang w:val="en_US" w:bidi="en_US"/>
        </w:rPr>
      </w:r>
      <w:r>
        <w:rPr>
          <w:lang w:val="en_US" w:bidi="en_US"/>
        </w:rPr>
        <w:t>No one can live only on food. (CEV)</w:t>
      </w:r>
    </w:p>
    <w:p>
      <w:pPr/>
      <w:r>
        <w:rPr>
          <w:lang w:val="en_US" w:bidi="en_US"/>
        </w:rPr>
      </w:r>
      <w:r>
        <w:rPr>
          <w:b/>
          <w:lang w:val="en_US" w:bidi="en_US"/>
        </w:rPr>
        <w:t>Man:</w:t>
      </w:r>
      <w:r>
        <w:rPr>
          <w:lang w:val="en_US" w:bidi="en_US"/>
        </w:rPr>
        <w:t xml:space="preserve"> The word </w:t>
      </w:r>
      <w:r>
        <w:rPr>
          <w:i/>
          <w:lang w:val="en_US" w:bidi="en_US"/>
        </w:rPr>
        <w:t>Man</w:t>
      </w:r>
      <w:r>
        <w:rPr>
          <w:lang w:val="en_US" w:bidi="en_US"/>
        </w:rPr>
        <w:t xml:space="preserve"> here refers to human beings. It refers to both males and females.</w:t>
      </w:r>
    </w:p>
    <w:p>
      <w:pPr/>
      <w:r>
        <w:rPr>
          <w:lang w:val="en_US" w:bidi="en_US"/>
        </w:rPr>
      </w:r>
      <w:r>
        <w:rPr>
          <w:b/>
          <w:lang w:val="en_US" w:bidi="en_US"/>
        </w:rPr>
        <w:t>bread:</w:t>
      </w:r>
      <w:r>
        <w:rPr>
          <w:lang w:val="en_US" w:bidi="en_US"/>
        </w:rPr>
        <w:t xml:space="preserve"> In this context </w:t>
      </w:r>
      <w:r>
        <w:rPr>
          <w:i/>
          <w:lang w:val="en_US" w:bidi="en_US"/>
        </w:rPr>
        <w:t>bread</w:t>
      </w:r>
      <w:r>
        <w:rPr>
          <w:lang w:val="en_US" w:bidi="en_US"/>
        </w:rPr>
        <w:t xml:space="preserve"> represents food in general. This is the same word as in 4:3b.</w:t>
      </w:r>
      <w:r>
        <w:rPr>
          <w:lang w:val="en_US" w:bidi="en_US"/>
        </w:rPr>
      </w:r>
      <w:r>
        <w:rPr>
          <w:lang w:val="en_US" w:bidi="en_US"/>
        </w:rPr>
      </w:r>
    </w:p>
    <w:p>
      <w:pPr/>
      <w:r>
        <w:rPr>
          <w:lang w:val="en_US" w:bidi="en_US"/>
        </w:rPr>
      </w:r>
    </w:p>
    <w:p>
      <w:pPr>
        <w:pStyle w:val="Heading2"/>
      </w:pPr>
      <w:r>
        <w:rPr>
          <w:lang w:val="en_US" w:bidi="en_US"/>
        </w:rPr>
        <w:t>Luke 4:5</w:t>
      </w:r>
      <w:r>
        <w:rPr>
          <w:lang w:val="en_US" w:bidi="en_US"/>
        </w:rPr>
      </w:r>
    </w:p>
    <w:p>
      <w:pPr>
        <w:pStyle w:val="Heading4"/>
      </w:pPr>
      <w:r>
        <w:rPr>
          <w:lang w:val="en_US" w:bidi="en_US"/>
        </w:rPr>
        <w:t>Section 4:1–13: Satan tempted Jesus</w:t>
      </w:r>
    </w:p>
    <w:p>
      <w:pPr/>
      <w:r>
        <w:rPr>
          <w:lang w:val="en_US" w:bidi="en_US"/>
        </w:rPr>
      </w:r>
      <w:r>
        <w:rPr>
          <w:lang w:val="en_US" w:bidi="en_US"/>
        </w:rP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pPr/>
      <w:r>
        <w:rPr>
          <w:lang w:val="en_US" w:bidi="en_US"/>
        </w:rPr>
      </w:r>
      <w:r>
        <w:rPr>
          <w:lang w:val="en_US" w:bidi="en_US"/>
        </w:rPr>
        <w:t>Some other possible headings for this section are:</w:t>
      </w:r>
    </w:p>
    <w:p>
      <w:pPr/>
      <w:r>
        <w:rPr>
          <w:lang w:val="en_US" w:bidi="en_US"/>
        </w:rPr>
      </w:r>
      <w:r>
        <w:rPr>
          <w:lang w:val="en_US" w:bidi="en_US"/>
        </w:rPr>
        <w:t>The Temptation of Jesus</w:t>
      </w:r>
    </w:p>
    <w:p>
      <w:pPr/>
      <w:r>
        <w:rPr>
          <w:lang w:val="en_US" w:bidi="en_US"/>
        </w:rPr>
      </w:r>
      <w:r>
        <w:rPr>
          <w:lang w:val="en_US" w:bidi="en_US"/>
        </w:rPr>
        <w:t>Jesus Is Tempted by the Devil (NCV)</w:t>
      </w:r>
    </w:p>
    <w:p>
      <w:pPr/>
      <w:r>
        <w:rPr>
          <w:lang w:val="en_US" w:bidi="en_US"/>
        </w:rPr>
      </w:r>
      <w:r>
        <w:rPr>
          <w:lang w:val="en_US" w:bidi="en_US"/>
        </w:rPr>
        <w:t>There is a parallel passage for this section in Matthew 4:1–11, and a shorter version occurs in Mark 1:12–13.</w:t>
      </w:r>
    </w:p>
    <w:p>
      <w:pPr>
        <w:pStyle w:val="Heading4"/>
      </w:pPr>
      <w:r>
        <w:rPr>
          <w:lang w:val="en_US" w:bidi="en_US"/>
        </w:rPr>
        <w:t>Paragraph 4:5–8</w:t>
      </w:r>
    </w:p>
    <w:p>
      <w:pPr/>
      <w:r>
        <w:rPr>
          <w:lang w:val="en_US" w:bidi="en_US"/>
        </w:rPr>
      </w:r>
      <w:r>
        <w:rPr>
          <w:lang w:val="en_US" w:bidi="en_US"/>
        </w:rPr>
        <w:t>In this paragraph, Luke reported another way that the devil tempted Jesus.</w:t>
      </w:r>
      <w:r>
        <w:rPr>
          <w:lang w:val="en_US" w:bidi="en_US"/>
        </w:rPr>
        <w:t>Luke reports this temptation as the second temptation of the three. In Matthew 4 this temptation is reported third. The first two temptations that Luke reported happened in the desert, and the third temptation happened at the temple in Jerusalem.</w:t>
      </w:r>
      <w:r>
        <w:rPr>
          <w:lang w:val="en_US" w:bidi="en_US"/>
        </w:rPr>
        <w:t xml:space="preserve"> The devil tempted Jesus to make an agreement with him.</w:t>
      </w:r>
    </w:p>
    <w:p>
      <w:pPr>
        <w:pStyle w:val="Heading5"/>
      </w:pPr>
      <w:r>
        <w:rPr>
          <w:lang w:val="en_US" w:bidi="en_US"/>
        </w:rPr>
        <w:t>4:5a</w:t>
      </w:r>
    </w:p>
    <w:p>
      <w:pPr/>
      <w:r>
        <w:rPr>
          <w:lang w:val="en_US" w:bidi="en_US"/>
        </w:rPr>
      </w:r>
      <w:r>
        <w:rPr>
          <w:b/>
          <w:lang w:val="en_US" w:bidi="en_US"/>
        </w:rPr>
        <w:t>Then the devil led Him up to a high place</w:t>
      </w:r>
    </w:p>
    <w:p>
      <w:pPr>
        <w:pStyle w:val="ListBullet"/>
        <w:spacing w:line="240" w:lineRule="auto"/>
        <w:ind w:left="720"/>
      </w:pPr>
      <w:r>
        <w:rPr>
          <w:lang w:val="en_US" w:bidi="en_US"/>
        </w:rPr>
      </w:r>
      <w:r>
        <w:rPr>
          <w:lang w:val="en_US" w:bidi="en_US"/>
        </w:rPr>
        <w:t xml:space="preserve">¶ The devil led Jesus up to a </w:t>
      </w:r>
      <w:r>
        <w:rPr>
          <w:lang w:val="en_US" w:bidi="en_US"/>
        </w:rPr>
        <w:t>very</w:t>
      </w:r>
      <w:r>
        <w:rPr>
          <w:lang w:val="en_US" w:bidi="en_US"/>
        </w:rPr>
        <w:t xml:space="preserve"> high place,</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the devil took Jesus up,</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is a conjunction that is often translated as “and.” Some English versions, such as the ESV, translate it that way. Other versions, such as the NIV and NET, do not translate this conjunction here. But since the events in this paragraph occur after the events in 4:3–4, in some languages, it may be natural to begin this paragraph with a time word or phrase. That is why the BSB and other translations (NET, GNT, etc.) translate the conjunction as “then.” Connect 4:4a to 4:3b in a way that is natural in your language.</w:t>
      </w:r>
    </w:p>
    <w:p>
      <w:pPr/>
      <w:r>
        <w:rPr>
          <w:lang w:val="en_US" w:bidi="en_US"/>
        </w:rPr>
      </w:r>
      <w:r>
        <w:rPr>
          <w:b/>
          <w:lang w:val="en_US" w:bidi="en_US"/>
        </w:rPr>
        <w:t>the devil led Him up:</w:t>
      </w:r>
      <w:r>
        <w:rPr>
          <w:lang w:val="en_US" w:bidi="en_US"/>
        </w:rPr>
        <w:t xml:space="preserve"> The Greek phrase that the BSB translates as </w:t>
      </w:r>
      <w:r>
        <w:rPr>
          <w:i/>
          <w:lang w:val="en_US" w:bidi="en_US"/>
        </w:rPr>
        <w:t>led Him up</w:t>
      </w:r>
      <w:r>
        <w:rPr>
          <w:lang w:val="en_US" w:bidi="en_US"/>
        </w:rPr>
        <w:t xml:space="preserve"> can also be translated as “took him up,” as in the GNT. Another way to translate this is:</w:t>
      </w:r>
    </w:p>
    <w:p>
      <w:pPr/>
      <w:r>
        <w:rPr>
          <w:lang w:val="en_US" w:bidi="en_US"/>
        </w:rPr>
      </w:r>
      <w:r>
        <w:rPr>
          <w:lang w:val="en_US" w:bidi="en_US"/>
        </w:rPr>
        <w:t>brought him up</w:t>
      </w:r>
    </w:p>
    <w:p>
      <w:pPr/>
      <w:r>
        <w:rPr>
          <w:lang w:val="en_US" w:bidi="en_US"/>
        </w:rPr>
      </w:r>
      <w:r>
        <w:rPr>
          <w:b/>
          <w:lang w:val="en_US" w:bidi="en_US"/>
        </w:rPr>
        <w:t>up to a high place:</w:t>
      </w:r>
      <w:r>
        <w:rPr>
          <w:lang w:val="en_US" w:bidi="en_US"/>
        </w:rPr>
        <w:t xml:space="preserve"> The phrase </w:t>
      </w:r>
      <w:r>
        <w:rPr>
          <w:i/>
          <w:lang w:val="en_US" w:bidi="en_US"/>
        </w:rPr>
        <w:t>to a high place</w:t>
      </w:r>
      <w:r>
        <w:rPr>
          <w:lang w:val="en_US" w:bidi="en_US"/>
        </w:rPr>
        <w:t xml:space="preserve"> is not in Greek. Some English versions add a phrase to explain the specific meaning of the word </w:t>
      </w:r>
      <w:r>
        <w:rPr>
          <w:i/>
          <w:lang w:val="en_US" w:bidi="en_US"/>
        </w:rPr>
        <w:t>up</w:t>
      </w:r>
      <w:r>
        <w:rPr>
          <w:lang w:val="en_US" w:bidi="en_US"/>
        </w:rPr>
        <w:t xml:space="preserve"> in this context.</w:t>
      </w:r>
    </w:p>
    <w:p>
      <w:pPr/>
      <w:r>
        <w:rPr>
          <w:lang w:val="en_US" w:bidi="en_US"/>
        </w:rPr>
      </w:r>
      <w:r>
        <w:rPr>
          <w:lang w:val="en_US" w:bidi="en_US"/>
        </w:rPr>
        <w:t>The parallel passage in Matthew 4:8 says that the devil took Jesus to “a very high mountain.”</w:t>
      </w:r>
      <w:r>
        <w:rPr>
          <w:lang w:val="en_US" w:bidi="en_US"/>
        </w:rPr>
        <w:t>Luke 4:5 in the KJV also says “an high mountain,” but the KJV follows a different Greek text than most modern versions use.</w:t>
      </w:r>
      <w:r>
        <w:rPr>
          <w:lang w:val="en_US" w:bidi="en_US"/>
        </w:rPr>
        <w:t xml:space="preserve"> In some languages a word such as </w:t>
      </w:r>
      <w:r>
        <w:rPr>
          <w:i/>
          <w:lang w:val="en_US" w:bidi="en_US"/>
        </w:rPr>
        <w:t>up</w:t>
      </w:r>
      <w:r>
        <w:rPr>
          <w:lang w:val="en_US" w:bidi="en_US"/>
        </w:rPr>
        <w:t xml:space="preserve"> alone may imply a wrong meaning. If that is true in your language, you may want to use a more specific phrase, as the BSB has done. However, since Luke did not include the phrase </w:t>
      </w:r>
      <w:r>
        <w:rPr>
          <w:i/>
          <w:lang w:val="en_US" w:bidi="en_US"/>
        </w:rPr>
        <w:t>to a high place</w:t>
      </w:r>
      <w:r>
        <w:rPr>
          <w:lang w:val="en_US" w:bidi="en_US"/>
        </w:rPr>
        <w:t>, you do not have to translate it here unless your language requires it.</w:t>
      </w:r>
    </w:p>
    <w:p>
      <w:pPr>
        <w:pStyle w:val="Heading5"/>
      </w:pPr>
      <w:r>
        <w:rPr>
          <w:lang w:val="en_US" w:bidi="en_US"/>
        </w:rPr>
        <w:t>4:5b</w:t>
      </w:r>
    </w:p>
    <w:p>
      <w:pPr/>
      <w:r>
        <w:rPr>
          <w:lang w:val="en_US" w:bidi="en_US"/>
        </w:rPr>
      </w:r>
      <w:r>
        <w:rPr>
          <w:b/>
          <w:lang w:val="en_US" w:bidi="en_US"/>
        </w:rPr>
        <w:t>and showed Him in an instant all the kingdoms of the world.</w:t>
      </w:r>
    </w:p>
    <w:p>
      <w:pPr>
        <w:pStyle w:val="ListBullet"/>
        <w:spacing w:line="240" w:lineRule="auto"/>
        <w:ind w:left="720"/>
      </w:pPr>
      <w:r>
        <w:rPr>
          <w:lang w:val="en_US" w:bidi="en_US"/>
        </w:rPr>
      </w:r>
      <w:r>
        <w:rPr>
          <w:lang w:val="en_US" w:bidi="en_US"/>
        </w:rPr>
        <w:t>and in one moment he showed him/Jesus all the nations in the world.</w:t>
      </w:r>
    </w:p>
    <w:p>
      <w:pPr>
        <w:pStyle w:val="ListBullet"/>
        <w:spacing w:line="240" w:lineRule="auto"/>
        <w:ind w:left="720"/>
      </w:pPr>
      <w:r>
        <w:rPr>
          <w:lang w:val="en_US" w:bidi="en_US"/>
        </w:rPr>
      </w:r>
      <w:r>
        <w:rPr>
          <w:lang w:val="en_US" w:bidi="en_US"/>
        </w:rPr>
        <w:t>and he showed Jesus all the countries on earth at once.</w:t>
      </w:r>
    </w:p>
    <w:p>
      <w:pPr/>
      <w:r>
        <w:rPr>
          <w:lang w:val="en_US" w:bidi="en_US"/>
        </w:rPr>
      </w:r>
      <w:r>
        <w:rPr>
          <w:b/>
          <w:lang w:val="en_US" w:bidi="en_US"/>
        </w:rPr>
        <w:t>and showed Him:</w:t>
      </w:r>
      <w:r>
        <w:rPr>
          <w:lang w:val="en_US" w:bidi="en_US"/>
        </w:rPr>
        <w:t xml:space="preserve"> The devil showed Jesus all the kingdoms of the world. This was a supernatural showing.</w:t>
      </w:r>
      <w:r>
        <w:rPr>
          <w:lang w:val="en_US" w:bidi="en_US"/>
        </w:rPr>
        <w:t>It is impossible for the unaided human eye to see this, even from the highest mountain. The wording of the parallel account in Matthew 4:8 echoes the supernatural visions that God showed to Ezekiel on “a very high mountain” (Ezekiel 40:2).</w:t>
      </w:r>
    </w:p>
    <w:p>
      <w:pPr/>
      <w:r>
        <w:rPr>
          <w:lang w:val="en_US" w:bidi="en_US"/>
        </w:rPr>
      </w:r>
      <w:r>
        <w:rPr>
          <w:b/>
          <w:lang w:val="en_US" w:bidi="en_US"/>
        </w:rPr>
        <w:t>in an instant:</w:t>
      </w:r>
      <w:r>
        <w:rPr>
          <w:lang w:val="en_US" w:bidi="en_US"/>
        </w:rPr>
        <w:t xml:space="preserve"> The phrase </w:t>
      </w:r>
      <w:r>
        <w:rPr>
          <w:i/>
          <w:lang w:val="en_US" w:bidi="en_US"/>
        </w:rPr>
        <w:t>in an instant</w:t>
      </w:r>
      <w:r>
        <w:rPr>
          <w:lang w:val="en_US" w:bidi="en_US"/>
        </w:rPr>
        <w:t xml:space="preserve"> means that Jesus saw all the countries at once. Some other ways to translate this are:</w:t>
      </w:r>
    </w:p>
    <w:p>
      <w:pPr/>
      <w:r>
        <w:rPr>
          <w:lang w:val="en_US" w:bidi="en_US"/>
        </w:rPr>
      </w:r>
      <w:r>
        <w:rPr>
          <w:lang w:val="en_US" w:bidi="en_US"/>
        </w:rPr>
        <w:t>in a moment</w:t>
      </w:r>
    </w:p>
    <w:p>
      <w:pPr/>
      <w:r>
        <w:rPr>
          <w:lang w:val="en_US" w:bidi="en_US"/>
        </w:rPr>
      </w:r>
      <w:r>
        <w:rPr>
          <w:lang w:val="en_US" w:bidi="en_US"/>
        </w:rPr>
        <w:t>in single/brief moment of time</w:t>
      </w:r>
    </w:p>
    <w:p>
      <w:pPr/>
      <w:r>
        <w:rPr>
          <w:lang w:val="en_US" w:bidi="en_US"/>
        </w:rPr>
      </w:r>
      <w:r>
        <w:rPr>
          <w:b/>
          <w:lang w:val="en_US" w:bidi="en_US"/>
        </w:rPr>
        <w:t>all the kingdoms of the world:</w:t>
      </w:r>
      <w:r>
        <w:rPr>
          <w:lang w:val="en_US" w:bidi="en_US"/>
        </w:rPr>
        <w:t xml:space="preserve"> The phrase </w:t>
      </w:r>
      <w:r>
        <w:rPr>
          <w:i/>
          <w:lang w:val="en_US" w:bidi="en_US"/>
        </w:rPr>
        <w:t>all the kingdoms of the world</w:t>
      </w:r>
      <w:r>
        <w:rPr>
          <w:lang w:val="en_US" w:bidi="en_US"/>
        </w:rPr>
        <w:t xml:space="preserve"> means “all the countries/nations on the earth.” For example:</w:t>
      </w:r>
    </w:p>
    <w:p>
      <w:pPr/>
      <w:r>
        <w:rPr>
          <w:lang w:val="en_US" w:bidi="en_US"/>
        </w:rPr>
      </w:r>
      <w:r>
        <w:rPr>
          <w:lang w:val="en_US" w:bidi="en_US"/>
        </w:rPr>
        <w:t>all the nations on earth (CEV)</w:t>
      </w:r>
      <w:r>
        <w:rPr>
          <w:lang w:val="en_US" w:bidi="en_US"/>
        </w:rPr>
      </w:r>
      <w:r>
        <w:rPr>
          <w:lang w:val="en_US" w:bidi="en_US"/>
        </w:rPr>
      </w:r>
    </w:p>
    <w:p>
      <w:pPr/>
      <w:r>
        <w:rPr>
          <w:lang w:val="en_US" w:bidi="en_US"/>
        </w:rPr>
      </w:r>
    </w:p>
    <w:p>
      <w:pPr>
        <w:pStyle w:val="Heading2"/>
      </w:pPr>
      <w:r>
        <w:rPr>
          <w:lang w:val="en_US" w:bidi="en_US"/>
        </w:rPr>
        <w:t>Luke 4:6</w:t>
      </w:r>
      <w:r>
        <w:rPr>
          <w:lang w:val="en_US" w:bidi="en_US"/>
        </w:rPr>
      </w:r>
    </w:p>
    <w:p>
      <w:pPr>
        <w:pStyle w:val="Heading4"/>
      </w:pPr>
      <w:r>
        <w:rPr>
          <w:lang w:val="en_US" w:bidi="en_US"/>
        </w:rPr>
        <w:t>Section 4:1–13: Satan tempted Jesus</w:t>
      </w:r>
    </w:p>
    <w:p>
      <w:pPr/>
      <w:r>
        <w:rPr>
          <w:lang w:val="en_US" w:bidi="en_US"/>
        </w:rPr>
      </w:r>
      <w:r>
        <w:rPr>
          <w:lang w:val="en_US" w:bidi="en_US"/>
        </w:rP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pPr/>
      <w:r>
        <w:rPr>
          <w:lang w:val="en_US" w:bidi="en_US"/>
        </w:rPr>
      </w:r>
      <w:r>
        <w:rPr>
          <w:lang w:val="en_US" w:bidi="en_US"/>
        </w:rPr>
        <w:t>Some other possible headings for this section are:</w:t>
      </w:r>
    </w:p>
    <w:p>
      <w:pPr/>
      <w:r>
        <w:rPr>
          <w:lang w:val="en_US" w:bidi="en_US"/>
        </w:rPr>
      </w:r>
      <w:r>
        <w:rPr>
          <w:lang w:val="en_US" w:bidi="en_US"/>
        </w:rPr>
        <w:t>The Temptation of Jesus</w:t>
      </w:r>
    </w:p>
    <w:p>
      <w:pPr/>
      <w:r>
        <w:rPr>
          <w:lang w:val="en_US" w:bidi="en_US"/>
        </w:rPr>
      </w:r>
      <w:r>
        <w:rPr>
          <w:lang w:val="en_US" w:bidi="en_US"/>
        </w:rPr>
        <w:t>Jesus Is Tempted by the Devil (NCV)</w:t>
      </w:r>
    </w:p>
    <w:p>
      <w:pPr/>
      <w:r>
        <w:rPr>
          <w:lang w:val="en_US" w:bidi="en_US"/>
        </w:rPr>
      </w:r>
      <w:r>
        <w:rPr>
          <w:lang w:val="en_US" w:bidi="en_US"/>
        </w:rPr>
        <w:t>There is a parallel passage for this section in Matthew 4:1–11, and a shorter version occurs in Mark 1:12–13.</w:t>
      </w:r>
    </w:p>
    <w:p>
      <w:pPr>
        <w:pStyle w:val="Heading4"/>
      </w:pPr>
      <w:r>
        <w:rPr>
          <w:lang w:val="en_US" w:bidi="en_US"/>
        </w:rPr>
        <w:t>Paragraph 4:5–8</w:t>
      </w:r>
    </w:p>
    <w:p>
      <w:pPr/>
      <w:r>
        <w:rPr>
          <w:lang w:val="en_US" w:bidi="en_US"/>
        </w:rPr>
      </w:r>
      <w:r>
        <w:rPr>
          <w:lang w:val="en_US" w:bidi="en_US"/>
        </w:rPr>
        <w:t>In this paragraph, Luke reported another way that the devil tempted Jesus.</w:t>
      </w:r>
      <w:r>
        <w:rPr>
          <w:lang w:val="en_US" w:bidi="en_US"/>
        </w:rPr>
        <w:t>Luke reports this temptation as the second temptation of the three. In Matthew 4 this temptation is reported third. The first two temptations that Luke reported happened in the desert, and the third temptation happened at the temple in Jerusalem.</w:t>
      </w:r>
      <w:r>
        <w:rPr>
          <w:lang w:val="en_US" w:bidi="en_US"/>
        </w:rPr>
        <w:t xml:space="preserve"> The devil tempted Jesus to make an agreement with him.</w:t>
      </w:r>
    </w:p>
    <w:p>
      <w:pPr>
        <w:pStyle w:val="Heading5"/>
      </w:pPr>
      <w:r>
        <w:rPr>
          <w:lang w:val="en_US" w:bidi="en_US"/>
        </w:rPr>
        <w:t>4:6a</w:t>
      </w:r>
    </w:p>
    <w:p>
      <w:pPr/>
      <w:r>
        <w:rPr>
          <w:lang w:val="en_US" w:bidi="en_US"/>
        </w:rPr>
      </w:r>
      <w:r>
        <w:rPr>
          <w:b/>
          <w:lang w:val="en_US" w:bidi="en_US"/>
        </w:rPr>
        <w:t>“I will give You authority over all these kingdoms and all their glory,” he said.</w:t>
      </w:r>
    </w:p>
    <w:p>
      <w:pPr>
        <w:pStyle w:val="ListBullet"/>
        <w:spacing w:line="240" w:lineRule="auto"/>
        <w:ind w:left="720"/>
      </w:pPr>
      <w:r>
        <w:rPr>
          <w:lang w:val="en_US" w:bidi="en_US"/>
        </w:rPr>
      </w:r>
      <w:r>
        <w:rPr>
          <w:lang w:val="en_US" w:bidi="en_US"/>
        </w:rPr>
        <w:t xml:space="preserve">Then </w:t>
      </w:r>
      <w:r>
        <w:rPr>
          <w:lang w:val="en_US" w:bidi="en_US"/>
        </w:rPr>
        <w:t>the devil</w:t>
      </w:r>
      <w:r>
        <w:rPr>
          <w:lang w:val="en_US" w:bidi="en_US"/>
        </w:rPr>
        <w:t xml:space="preserve"> said to Jesus, “I will give you all the power and glory of these nations.</w:t>
      </w:r>
    </w:p>
    <w:p>
      <w:pPr>
        <w:pStyle w:val="ListBullet"/>
        <w:spacing w:line="240" w:lineRule="auto"/>
        <w:ind w:left="720"/>
      </w:pPr>
      <w:r>
        <w:rPr>
          <w:lang w:val="en_US" w:bidi="en_US"/>
        </w:rPr>
      </w:r>
      <w:r>
        <w:rPr>
          <w:lang w:val="en_US" w:bidi="en_US"/>
        </w:rPr>
        <w:t>The devil</w:t>
      </w:r>
      <w:r>
        <w:rPr>
          <w:lang w:val="en_US" w:bidi="en_US"/>
        </w:rPr>
        <w:t xml:space="preserve"> told him, “I will cause you to rule over them all and will give you all their greatness.</w:t>
      </w:r>
    </w:p>
    <w:p>
      <w:pPr/>
      <w:r>
        <w:rPr>
          <w:lang w:val="en_US" w:bidi="en_US"/>
        </w:rPr>
      </w:r>
      <w:r>
        <w:rPr>
          <w:lang w:val="en_US" w:bidi="en_US"/>
        </w:rPr>
        <w:t>There is a Greek conjunction at the beginning of this verse that is often translated as “and.” Many English versions, including the NIV, NET, and ESV, translate it that way. In some languages, no conjunction is necessary here. For example:</w:t>
      </w:r>
    </w:p>
    <w:p>
      <w:pPr/>
      <w:r>
        <w:rPr>
          <w:lang w:val="en_US" w:bidi="en_US"/>
        </w:rPr>
      </w:r>
      <w:r>
        <w:rPr>
          <w:lang w:val="en_US" w:bidi="en_US"/>
        </w:rPr>
        <w:t>The devil said to Jesus (NCV)</w:t>
      </w:r>
    </w:p>
    <w:p>
      <w:pPr/>
      <w:r>
        <w:rPr>
          <w:lang w:val="en_US" w:bidi="en_US"/>
        </w:rPr>
      </w:r>
      <w:r>
        <w:rPr>
          <w:lang w:val="en_US" w:bidi="en_US"/>
        </w:rPr>
        <w:t>Connect 4:5 to 4:6 in a way that is natural in your language.</w:t>
      </w:r>
    </w:p>
    <w:p>
      <w:pPr/>
      <w:r>
        <w:rPr>
          <w:lang w:val="en_US" w:bidi="en_US"/>
        </w:rPr>
      </w:r>
      <w:r>
        <w:rPr>
          <w:b/>
          <w:lang w:val="en_US" w:bidi="en_US"/>
        </w:rPr>
        <w:t>I will give You authority over all these kingdoms and all their glory:</w:t>
      </w:r>
      <w:r>
        <w:rPr>
          <w:lang w:val="en_US" w:bidi="en_US"/>
        </w:rPr>
        <w:t xml:space="preserve"> The phrase </w:t>
      </w:r>
      <w:r>
        <w:rPr>
          <w:i/>
          <w:lang w:val="en_US" w:bidi="en_US"/>
        </w:rPr>
        <w:t>I will give You authority over all these kingdoms and all their glory</w:t>
      </w:r>
      <w:r>
        <w:rPr>
          <w:lang w:val="en_US" w:bidi="en_US"/>
        </w:rPr>
        <w:t xml:space="preserve"> means “I will cause you to rule over all these nations and receive their glory and greatness.” The devil promised to make Jesus the leader of the whole world.</w:t>
      </w:r>
    </w:p>
    <w:p>
      <w:pPr/>
      <w:r>
        <w:rPr>
          <w:lang w:val="en_US" w:bidi="en_US"/>
        </w:rPr>
      </w:r>
      <w:r>
        <w:rPr>
          <w:b/>
          <w:lang w:val="en_US" w:bidi="en_US"/>
        </w:rPr>
        <w:t>authority:</w:t>
      </w:r>
      <w:r>
        <w:rPr>
          <w:lang w:val="en_US" w:bidi="en_US"/>
        </w:rPr>
        <w:t xml:space="preserve"> The word </w:t>
      </w:r>
      <w:r>
        <w:rPr>
          <w:i/>
          <w:lang w:val="en_US" w:bidi="en_US"/>
        </w:rPr>
        <w:t>authority</w:t>
      </w:r>
      <w:r>
        <w:rPr>
          <w:lang w:val="en_US" w:bidi="en_US"/>
        </w:rPr>
        <w:t xml:space="preserve"> here means “the right to rule people and the power to control them.” It is the power to tell everyone else what to do. The GNT translates this word as:</w:t>
      </w:r>
    </w:p>
    <w:p>
      <w:pPr/>
      <w:r>
        <w:rPr>
          <w:lang w:val="en_US" w:bidi="en_US"/>
        </w:rPr>
      </w:r>
      <w:r>
        <w:rPr>
          <w:lang w:val="en_US" w:bidi="en_US"/>
        </w:rPr>
        <w:t>power</w:t>
      </w:r>
    </w:p>
    <w:p>
      <w:pPr/>
      <w:r>
        <w:rPr>
          <w:lang w:val="en_US" w:bidi="en_US"/>
        </w:rPr>
      </w:r>
      <w:r>
        <w:rPr>
          <w:b/>
          <w:lang w:val="en_US" w:bidi="en_US"/>
        </w:rPr>
        <w:t>glory:</w:t>
      </w:r>
      <w:r>
        <w:rPr>
          <w:lang w:val="en_US" w:bidi="en_US"/>
        </w:rPr>
        <w:t xml:space="preserve"> The Greek word that the BSB here translates as </w:t>
      </w:r>
      <w:r>
        <w:rPr>
          <w:i/>
          <w:lang w:val="en_US" w:bidi="en_US"/>
        </w:rPr>
        <w:t>glory</w:t>
      </w:r>
      <w:r>
        <w:rPr>
          <w:lang w:val="en_US" w:bidi="en_US"/>
        </w:rPr>
        <w:t xml:space="preserve"> expresses the idea of the greatness, magnificence, and beauty of the nations. The devil promised Jesus the glory/greatness that accompanies being the ruler of a nation. Here the glory would be even greater because he would be ruler of all the nations. See </w:t>
      </w:r>
      <w:r>
        <w:rPr>
          <w:u w:val="single"/>
          <w:lang w:val="en_US" w:bidi="en_US"/>
        </w:rPr>
        <w:t>glory, sense A1(a)</w:t>
      </w:r>
      <w:r>
        <w:rPr>
          <w:lang w:val="en_US" w:bidi="en_US"/>
        </w:rPr>
        <w:t>, in KBT.</w:t>
      </w:r>
    </w:p>
    <w:p>
      <w:pPr/>
      <w:r>
        <w:rPr>
          <w:lang w:val="en_US" w:bidi="en_US"/>
        </w:rPr>
      </w:r>
      <w:r>
        <w:rPr>
          <w:lang w:val="en_US" w:bidi="en_US"/>
        </w:rPr>
        <w:t>You could translate 4:6a as:</w:t>
      </w:r>
    </w:p>
    <w:p>
      <w:pPr/>
      <w:r>
        <w:rPr>
          <w:lang w:val="en_US" w:bidi="en_US"/>
        </w:rPr>
      </w:r>
      <w:r>
        <w:rPr>
          <w:lang w:val="en_US" w:bidi="en_US"/>
        </w:rPr>
        <w:t>The devil said to Jesus, “I will give you power/authority over the leaders of all these countries and all their glory.”</w:t>
      </w:r>
    </w:p>
    <w:p>
      <w:pPr/>
      <w:r>
        <w:rPr>
          <w:lang w:val="en_US" w:bidi="en_US"/>
        </w:rPr>
      </w:r>
      <w:r>
        <w:rPr>
          <w:b/>
          <w:lang w:val="en_US" w:bidi="en_US"/>
        </w:rPr>
        <w:t>he said:</w:t>
      </w:r>
      <w:r>
        <w:rPr>
          <w:lang w:val="en_US" w:bidi="en_US"/>
        </w:rPr>
        <w:t xml:space="preserve"> In Greek, the phrase that the BSB translates as </w:t>
      </w:r>
      <w:r>
        <w:rPr>
          <w:i/>
          <w:lang w:val="en_US" w:bidi="en_US"/>
        </w:rPr>
        <w:t>he said</w:t>
      </w:r>
      <w:r>
        <w:rPr>
          <w:lang w:val="en_US" w:bidi="en_US"/>
        </w:rPr>
        <w:t xml:space="preserve"> is literally “he said to him.” The phrase comes at the beginning of the verse in Greek. You should place these words where it is natural in your language to identify the speaker of this quotation.</w:t>
      </w:r>
    </w:p>
    <w:p>
      <w:pPr>
        <w:pStyle w:val="Heading5"/>
      </w:pPr>
      <w:r>
        <w:rPr>
          <w:lang w:val="en_US" w:bidi="en_US"/>
        </w:rPr>
        <w:t>4:6b</w:t>
      </w:r>
    </w:p>
    <w:p>
      <w:pPr/>
      <w:r>
        <w:rPr>
          <w:lang w:val="en_US" w:bidi="en_US"/>
        </w:rPr>
      </w:r>
      <w:r>
        <w:rPr>
          <w:b/>
          <w:lang w:val="en_US" w:bidi="en_US"/>
        </w:rPr>
        <w:t>“For it has been relinquished to me,</w:t>
      </w:r>
    </w:p>
    <w:p>
      <w:pPr>
        <w:pStyle w:val="ListBullet"/>
        <w:spacing w:line="240" w:lineRule="auto"/>
        <w:ind w:left="720"/>
      </w:pPr>
      <w:r>
        <w:rPr>
          <w:lang w:val="en_US" w:bidi="en_US"/>
        </w:rPr>
      </w:r>
      <w:r>
        <w:rPr>
          <w:lang w:val="en_US" w:bidi="en_US"/>
        </w:rPr>
        <w:t>I can do this</w:t>
      </w:r>
      <w:r>
        <w:rPr>
          <w:lang w:val="en_US" w:bidi="en_US"/>
        </w:rPr>
        <w:t xml:space="preserve"> because this authority has been given to me,</w:t>
      </w:r>
    </w:p>
    <w:p>
      <w:pPr>
        <w:pStyle w:val="ListBullet"/>
        <w:spacing w:line="240" w:lineRule="auto"/>
        <w:ind w:left="720"/>
      </w:pPr>
      <w:r>
        <w:rPr>
          <w:lang w:val="en_US" w:bidi="en_US"/>
        </w:rPr>
      </w:r>
      <w:r>
        <w:rPr>
          <w:lang w:val="en_US" w:bidi="en_US"/>
        </w:rPr>
        <w:t>I have been given this authority,</w:t>
      </w:r>
    </w:p>
    <w:p>
      <w:pPr>
        <w:pStyle w:val="ListBullet"/>
        <w:spacing w:line="240" w:lineRule="auto"/>
        <w:ind w:left="720"/>
      </w:pPr>
      <w:r>
        <w:rPr>
          <w:lang w:val="en_US" w:bidi="en_US"/>
        </w:rPr>
      </w:r>
      <w:r>
        <w:rPr>
          <w:lang w:val="en_US" w:bidi="en_US"/>
        </w:rPr>
        <w:t>I have the authority/power over all these nations,</w:t>
      </w:r>
    </w:p>
    <w:p>
      <w:pPr/>
      <w:r>
        <w:rPr>
          <w:lang w:val="en_US" w:bidi="en_US"/>
        </w:rPr>
      </w:r>
      <w:r>
        <w:rPr>
          <w:b/>
          <w:lang w:val="en_US" w:bidi="en_US"/>
        </w:rPr>
        <w:t>For it has been relinquished to me:</w:t>
      </w:r>
      <w:r>
        <w:rPr>
          <w:lang w:val="en_US" w:bidi="en_US"/>
        </w:rPr>
        <w:t xml:space="preserve"> The Greek conjunction that the BSB translates as </w:t>
      </w:r>
      <w:r>
        <w:rPr>
          <w:i/>
          <w:lang w:val="en_US" w:bidi="en_US"/>
        </w:rPr>
        <w:t>For</w:t>
      </w:r>
      <w:r>
        <w:rPr>
          <w:lang w:val="en_US" w:bidi="en_US"/>
        </w:rPr>
        <w:t xml:space="preserve"> introduces the reason clause (4:6b) of a reason-result statement. The result is implied. The implied information is “I can do this” or “I can give you this authority.”</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Result (implied)</w:t>
            </w:r>
          </w:p>
        </w:tc>
        <w:tc>
          <w:tcPr>
            <w:tcW w:type="dxa" w:w="4680"/>
          </w:tcPr>
          <w:p>
            <w:pPr/>
            <w:r>
              <w:rPr>
                <w:lang w:val="en_US" w:bidi="en_US"/>
              </w:rPr>
            </w:r>
            <w:r>
              <w:rPr>
                <w:lang w:val="en_US" w:bidi="en_US"/>
              </w:rPr>
              <w:t>I can give you this authority,</w:t>
            </w:r>
          </w:p>
        </w:tc>
      </w:tr>
      <w:tr>
        <w:tc>
          <w:tcPr>
            <w:tcW w:type="dxa" w:w="4680"/>
          </w:tcPr>
          <w:p>
            <w:pPr/>
            <w:r>
              <w:rPr>
                <w:lang w:val="en_US" w:bidi="en_US"/>
              </w:rPr>
            </w:r>
            <w:r>
              <w:rPr>
                <w:lang w:val="en_US" w:bidi="en_US"/>
              </w:rPr>
              <w:t>reason (4:6b)</w:t>
            </w:r>
          </w:p>
        </w:tc>
        <w:tc>
          <w:tcPr>
            <w:tcW w:type="dxa" w:w="4680"/>
          </w:tcPr>
          <w:p>
            <w:pPr/>
            <w:r>
              <w:rPr>
                <w:lang w:val="en_US" w:bidi="en_US"/>
              </w:rPr>
            </w:r>
            <w:r>
              <w:rPr>
                <w:u w:val="single"/>
                <w:lang w:val="en_US" w:bidi="en_US"/>
              </w:rPr>
              <w:t>for/because</w:t>
            </w:r>
            <w:r>
              <w:rPr>
                <w:lang w:val="en_US" w:bidi="en_US"/>
              </w:rPr>
              <w:t xml:space="preserve"> it has been given to me.</w:t>
            </w:r>
          </w:p>
        </w:tc>
      </w:tr>
    </w:tbl>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Include the implied information and the with 4:6b. For example:</w:t>
      </w:r>
      <w:r>
        <w:rPr>
          <w:lang w:val="en_US" w:bidi="en_US"/>
        </w:rPr>
        <w:t>I can give you this authority,</w:t>
      </w:r>
      <w:r>
        <w:rPr>
          <w:lang w:val="en_US" w:bidi="en_US"/>
        </w:rPr>
        <w:t xml:space="preserve"> </w:t>
      </w:r>
      <w:r>
        <w:rPr>
          <w:u w:val="single"/>
          <w:lang w:val="en_US" w:bidi="en_US"/>
        </w:rPr>
        <w:t>for/because</w:t>
      </w:r>
      <w:r>
        <w:rPr>
          <w:lang w:val="en_US" w:bidi="en_US"/>
        </w:rPr>
        <w:t xml:space="preserve"> it has been given to me.</w:t>
      </w:r>
      <w:r>
        <w:rPr>
          <w:lang w:val="en_US" w:bidi="en_US"/>
        </w:rPr>
        <w:t xml:space="preserve">This authority has been given to me. </w:t>
      </w:r>
      <w:r>
        <w:rPr>
          <w:u w:val="single"/>
          <w:lang w:val="en_US" w:bidi="en_US"/>
        </w:rPr>
        <w:t>Therefore</w:t>
      </w:r>
      <w:r>
        <w:rPr>
          <w:lang w:val="en_US" w:bidi="en_US"/>
        </w:rPr>
        <w:t>/</w:t>
      </w:r>
      <w:r>
        <w:rPr>
          <w:u w:val="single"/>
          <w:lang w:val="en_US" w:bidi="en_US"/>
        </w:rPr>
        <w:t>So</w:t>
      </w:r>
      <w:r>
        <w:rPr>
          <w:lang w:val="en_US" w:bidi="en_US"/>
        </w:rPr>
        <w:t xml:space="preserve"> </w:t>
      </w:r>
      <w:r>
        <w:rPr>
          <w:lang w:val="en_US" w:bidi="en_US"/>
        </w:rPr>
        <w:t>I can give it to you</w:t>
      </w:r>
      <w:r>
        <w:rPr>
          <w:lang w:val="en_US" w:bidi="en_US"/>
        </w:rPr>
        <w:t>.</w:t>
      </w:r>
    </w:p>
    <w:p>
      <w:pPr>
        <w:pStyle w:val="ListBullet"/>
        <w:spacing w:line="240" w:lineRule="auto"/>
        <w:ind w:left="720"/>
      </w:pPr>
      <w:r>
        <w:rPr>
          <w:lang w:val="en_US" w:bidi="en_US"/>
        </w:rPr>
      </w:r>
      <w:r>
        <w:rPr>
          <w:lang w:val="en_US" w:bidi="en_US"/>
        </w:rPr>
        <w:t>Translate 4:6b–c as a separate sentence and leave the relationship implied. For example:</w:t>
      </w:r>
      <w:r>
        <w:rPr>
          <w:vertAlign w:val="superscript"/>
          <w:lang w:val="en_US" w:bidi="en_US"/>
        </w:rPr>
        <w:t>6a</w:t>
      </w:r>
      <w:r>
        <w:rPr>
          <w:lang w:val="en_US" w:bidi="en_US"/>
        </w:rPr>
        <w:t xml:space="preserve">I will give you all the power and glory of these kingdoms. </w:t>
      </w:r>
      <w:r>
        <w:rPr>
          <w:vertAlign w:val="superscript"/>
          <w:lang w:val="en_US" w:bidi="en_US"/>
        </w:rPr>
        <w:t>6b</w:t>
      </w:r>
      <w:r>
        <w:rPr>
          <w:lang w:val="en_US" w:bidi="en_US"/>
        </w:rPr>
        <w:t xml:space="preserve">All of it has been given to me, </w:t>
      </w:r>
      <w:r>
        <w:rPr>
          <w:vertAlign w:val="superscript"/>
          <w:lang w:val="en_US" w:bidi="en_US"/>
        </w:rPr>
        <w:t>6c</w:t>
      </w:r>
      <w:r>
        <w:rPr>
          <w:lang w:val="en_US" w:bidi="en_US"/>
        </w:rPr>
        <w:t>and I give it to anyone I please. (GW)</w:t>
      </w:r>
    </w:p>
    <w:p>
      <w:pPr/>
      <w:r>
        <w:rPr>
          <w:lang w:val="en_US" w:bidi="en_US"/>
        </w:rPr>
      </w:r>
      <w:r>
        <w:rPr>
          <w:b/>
          <w:lang w:val="en_US" w:bidi="en_US"/>
        </w:rPr>
        <w:t>it has been relinquished to me:</w:t>
      </w:r>
      <w:r>
        <w:rPr>
          <w:lang w:val="en_US" w:bidi="en_US"/>
        </w:rPr>
        <w:t xml:space="preserve"> The phrase </w:t>
      </w:r>
      <w:r>
        <w:rPr>
          <w:i/>
          <w:lang w:val="en_US" w:bidi="en_US"/>
        </w:rPr>
        <w:t>it has been relinquished to me</w:t>
      </w:r>
      <w:r>
        <w:rPr>
          <w:lang w:val="en_US" w:bidi="en_US"/>
        </w:rPr>
        <w:t xml:space="preserve"> means “this authority has been given to me.” The verb is passive. Some ways to translate this are:</w:t>
      </w:r>
    </w:p>
    <w:p>
      <w:pPr>
        <w:pStyle w:val="ListBullet"/>
        <w:spacing w:line="240" w:lineRule="auto"/>
        <w:ind w:left="720"/>
      </w:pPr>
      <w:r>
        <w:rPr>
          <w:lang w:val="en_US" w:bidi="en_US"/>
        </w:rPr>
      </w:r>
      <w:r>
        <w:rPr>
          <w:lang w:val="en_US" w:bidi="en_US"/>
        </w:rPr>
        <w:t>Use a passive clause. For example:</w:t>
      </w:r>
      <w:r>
        <w:rPr>
          <w:lang w:val="en_US" w:bidi="en_US"/>
        </w:rPr>
        <w:t>this authority has been given to me</w:t>
      </w:r>
    </w:p>
    <w:p>
      <w:pPr>
        <w:pStyle w:val="ListBullet"/>
        <w:spacing w:line="240" w:lineRule="auto"/>
        <w:ind w:left="720"/>
      </w:pPr>
      <w:r>
        <w:rPr>
          <w:lang w:val="en_US" w:bidi="en_US"/>
        </w:rPr>
      </w:r>
      <w:r>
        <w:rPr>
          <w:lang w:val="en_US" w:bidi="en_US"/>
        </w:rPr>
        <w:t>Use an active clause. For example:</w:t>
      </w:r>
      <w:r>
        <w:rPr>
          <w:lang w:val="en_US" w:bidi="en_US"/>
        </w:rPr>
        <w:t>I have obtained this authority</w:t>
      </w:r>
      <w:r>
        <w:rPr>
          <w:lang w:val="en_US" w:bidi="en_US"/>
        </w:rPr>
        <w:t>I have received the power over these nations</w:t>
      </w:r>
    </w:p>
    <w:p>
      <w:pPr/>
      <w:r>
        <w:rPr>
          <w:lang w:val="en_US" w:bidi="en_US"/>
        </w:rPr>
      </w:r>
      <w:r>
        <w:rPr>
          <w:lang w:val="en_US" w:bidi="en_US"/>
        </w:rPr>
        <w:t>Satan did not say from whom he received this authority</w:t>
      </w:r>
      <w:r>
        <w:rPr>
          <w:lang w:val="en_US" w:bidi="en_US"/>
        </w:rPr>
        <w:t>It should come as no surprise that Satan was lying. If God were to have ever given Satan this authority, Satan certainly no longer had it. Jesus did not bother to debate with Satan over his claim of authority, other than to quote Scripture saying that only God is to be worshiped. The translator need not address whether the devil really had the authority he claimed. However, the translator should avoid choosing words that say or imply that Satan did indeed have this authority.</w:t>
      </w:r>
      <w:r>
        <w:rPr>
          <w:lang w:val="en_US" w:bidi="en_US"/>
        </w:rPr>
        <w:t>. Because it is unlikely that Satan would credit God with this, you should avoid something like, “God gave me this authority.”</w:t>
      </w:r>
    </w:p>
    <w:p>
      <w:pPr>
        <w:pStyle w:val="Heading5"/>
      </w:pPr>
      <w:r>
        <w:rPr>
          <w:lang w:val="en_US" w:bidi="en_US"/>
        </w:rPr>
        <w:t>4:6c</w:t>
      </w:r>
    </w:p>
    <w:p>
      <w:pPr/>
      <w:r>
        <w:rPr>
          <w:lang w:val="en_US" w:bidi="en_US"/>
        </w:rPr>
      </w:r>
      <w:r>
        <w:rPr>
          <w:b/>
          <w:lang w:val="en_US" w:bidi="en_US"/>
        </w:rPr>
        <w:t>and I can give it to anyone I wish.</w:t>
      </w:r>
    </w:p>
    <w:p>
      <w:pPr>
        <w:pStyle w:val="ListBullet"/>
        <w:spacing w:line="240" w:lineRule="auto"/>
        <w:ind w:left="720"/>
      </w:pPr>
      <w:r>
        <w:rPr>
          <w:lang w:val="en_US" w:bidi="en_US"/>
        </w:rPr>
      </w:r>
      <w:r>
        <w:rPr>
          <w:lang w:val="en_US" w:bidi="en_US"/>
        </w:rPr>
        <w:t>and I can give all this authority/power to anyone I choose.</w:t>
      </w:r>
    </w:p>
    <w:p>
      <w:pPr>
        <w:pStyle w:val="ListBullet"/>
        <w:spacing w:line="240" w:lineRule="auto"/>
        <w:ind w:left="720"/>
      </w:pPr>
      <w:r>
        <w:rPr>
          <w:lang w:val="en_US" w:bidi="en_US"/>
        </w:rPr>
      </w:r>
      <w:r>
        <w:rPr>
          <w:lang w:val="en_US" w:bidi="en_US"/>
        </w:rPr>
        <w:t xml:space="preserve">and </w:t>
      </w:r>
      <w:r>
        <w:rPr>
          <w:lang w:val="en_US" w:bidi="en_US"/>
        </w:rPr>
        <w:t>so</w:t>
      </w:r>
      <w:r>
        <w:rPr>
          <w:lang w:val="en_US" w:bidi="en_US"/>
        </w:rPr>
        <w:t xml:space="preserve"> if I want to give this power to anyone, I can.</w:t>
      </w:r>
    </w:p>
    <w:p>
      <w:pPr>
        <w:pStyle w:val="ListBullet"/>
        <w:spacing w:line="240" w:lineRule="auto"/>
        <w:ind w:left="720"/>
      </w:pPr>
      <w:r>
        <w:rPr>
          <w:lang w:val="en_US" w:bidi="en_US"/>
        </w:rPr>
      </w:r>
      <w:r>
        <w:rPr>
          <w:lang w:val="en_US" w:bidi="en_US"/>
        </w:rPr>
        <w:t>and I can give it to anyone I choose. (GNT)</w:t>
      </w:r>
    </w:p>
    <w:p>
      <w:pPr/>
      <w:r>
        <w:rPr>
          <w:lang w:val="en_US" w:bidi="en_US"/>
        </w:rPr>
      </w:r>
      <w:r>
        <w:rPr>
          <w:b/>
          <w:lang w:val="en_US" w:bidi="en_US"/>
        </w:rPr>
        <w:t>and I can give it to anyone I wish:</w:t>
      </w:r>
      <w:r>
        <w:rPr>
          <w:lang w:val="en_US" w:bidi="en_US"/>
        </w:rPr>
        <w:t xml:space="preserve"> In Greek this part of the verse is more literally “and to whomever I want I give it.” The devil claimed that he could give the authority over all nations (4:6a) to anyone he chose. (Of course, he did not really have this authority.)</w:t>
      </w:r>
    </w:p>
    <w:p>
      <w:pPr/>
      <w:r>
        <w:rPr>
          <w:lang w:val="en_US" w:bidi="en_US"/>
        </w:rPr>
      </w:r>
      <w:r>
        <w:rPr>
          <w:lang w:val="en_US" w:bidi="en_US"/>
        </w:rPr>
        <w:t>Some other ways to translate this are:</w:t>
      </w:r>
    </w:p>
    <w:p>
      <w:pPr/>
      <w:r>
        <w:rPr>
          <w:lang w:val="en_US" w:bidi="en_US"/>
        </w:rPr>
      </w:r>
      <w:r>
        <w:rPr>
          <w:lang w:val="en_US" w:bidi="en_US"/>
        </w:rPr>
        <w:t>and I can give it to anyone I choose (GNT)</w:t>
      </w:r>
    </w:p>
    <w:p>
      <w:pPr/>
      <w:r>
        <w:rPr>
          <w:lang w:val="en_US" w:bidi="en_US"/>
        </w:rPr>
      </w:r>
      <w:r>
        <w:rPr>
          <w:lang w:val="en_US" w:bidi="en_US"/>
        </w:rPr>
        <w:t>and I can give it to anyone I wish (NET)</w:t>
      </w:r>
      <w:r>
        <w:rPr>
          <w:lang w:val="en_US" w:bidi="en_US"/>
        </w:rPr>
      </w:r>
      <w:r>
        <w:rPr>
          <w:lang w:val="en_US" w:bidi="en_US"/>
        </w:rPr>
      </w:r>
    </w:p>
    <w:p>
      <w:pPr/>
      <w:r>
        <w:rPr>
          <w:lang w:val="en_US" w:bidi="en_US"/>
        </w:rPr>
      </w:r>
    </w:p>
    <w:p>
      <w:pPr>
        <w:pStyle w:val="Heading2"/>
      </w:pPr>
      <w:r>
        <w:rPr>
          <w:lang w:val="en_US" w:bidi="en_US"/>
        </w:rPr>
        <w:t>Luke 4:7</w:t>
      </w:r>
      <w:r>
        <w:rPr>
          <w:lang w:val="en_US" w:bidi="en_US"/>
        </w:rPr>
      </w:r>
    </w:p>
    <w:p>
      <w:pPr>
        <w:pStyle w:val="Heading4"/>
      </w:pPr>
      <w:r>
        <w:rPr>
          <w:lang w:val="en_US" w:bidi="en_US"/>
        </w:rPr>
        <w:t>Section 4:1–13: Satan tempted Jesus</w:t>
      </w:r>
    </w:p>
    <w:p>
      <w:pPr/>
      <w:r>
        <w:rPr>
          <w:lang w:val="en_US" w:bidi="en_US"/>
        </w:rPr>
      </w:r>
      <w:r>
        <w:rPr>
          <w:lang w:val="en_US" w:bidi="en_US"/>
        </w:rP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pPr/>
      <w:r>
        <w:rPr>
          <w:lang w:val="en_US" w:bidi="en_US"/>
        </w:rPr>
      </w:r>
      <w:r>
        <w:rPr>
          <w:lang w:val="en_US" w:bidi="en_US"/>
        </w:rPr>
        <w:t>Some other possible headings for this section are:</w:t>
      </w:r>
    </w:p>
    <w:p>
      <w:pPr/>
      <w:r>
        <w:rPr>
          <w:lang w:val="en_US" w:bidi="en_US"/>
        </w:rPr>
      </w:r>
      <w:r>
        <w:rPr>
          <w:lang w:val="en_US" w:bidi="en_US"/>
        </w:rPr>
        <w:t>The Temptation of Jesus</w:t>
      </w:r>
    </w:p>
    <w:p>
      <w:pPr/>
      <w:r>
        <w:rPr>
          <w:lang w:val="en_US" w:bidi="en_US"/>
        </w:rPr>
      </w:r>
      <w:r>
        <w:rPr>
          <w:lang w:val="en_US" w:bidi="en_US"/>
        </w:rPr>
        <w:t>Jesus Is Tempted by the Devil (NCV)</w:t>
      </w:r>
    </w:p>
    <w:p>
      <w:pPr/>
      <w:r>
        <w:rPr>
          <w:lang w:val="en_US" w:bidi="en_US"/>
        </w:rPr>
      </w:r>
      <w:r>
        <w:rPr>
          <w:lang w:val="en_US" w:bidi="en_US"/>
        </w:rPr>
        <w:t>There is a parallel passage for this section in Matthew 4:1–11, and a shorter version occurs in Mark 1:12–13.</w:t>
      </w:r>
    </w:p>
    <w:p>
      <w:pPr>
        <w:pStyle w:val="Heading4"/>
      </w:pPr>
      <w:r>
        <w:rPr>
          <w:lang w:val="en_US" w:bidi="en_US"/>
        </w:rPr>
        <w:t>Paragraph 4:5–8</w:t>
      </w:r>
    </w:p>
    <w:p>
      <w:pPr/>
      <w:r>
        <w:rPr>
          <w:lang w:val="en_US" w:bidi="en_US"/>
        </w:rPr>
      </w:r>
      <w:r>
        <w:rPr>
          <w:lang w:val="en_US" w:bidi="en_US"/>
        </w:rPr>
        <w:t>In this paragraph, Luke reported another way that the devil tempted Jesus.</w:t>
      </w:r>
      <w:r>
        <w:rPr>
          <w:lang w:val="en_US" w:bidi="en_US"/>
        </w:rPr>
        <w:t>Luke reports this temptation as the second temptation of the three. In Matthew 4 this temptation is reported third. The first two temptations that Luke reported happened in the desert, and the third temptation happened at the temple in Jerusalem.</w:t>
      </w:r>
      <w:r>
        <w:rPr>
          <w:lang w:val="en_US" w:bidi="en_US"/>
        </w:rPr>
        <w:t xml:space="preserve"> The devil tempted Jesus to make an agreement with him.</w:t>
      </w:r>
    </w:p>
    <w:p>
      <w:pPr>
        <w:pStyle w:val="Heading5"/>
      </w:pPr>
      <w:r>
        <w:rPr>
          <w:lang w:val="en_US" w:bidi="en_US"/>
        </w:rPr>
        <w:t>4:7a</w:t>
      </w:r>
    </w:p>
    <w:p>
      <w:pPr/>
      <w:r>
        <w:rPr>
          <w:lang w:val="en_US" w:bidi="en_US"/>
        </w:rPr>
      </w:r>
      <w:r>
        <w:rPr>
          <w:b/>
          <w:lang w:val="en_US" w:bidi="en_US"/>
        </w:rPr>
        <w:t>So if You worship me,</w:t>
      </w:r>
    </w:p>
    <w:p>
      <w:pPr>
        <w:pStyle w:val="ListBullet"/>
        <w:spacing w:line="240" w:lineRule="auto"/>
        <w:ind w:left="720"/>
      </w:pPr>
      <w:r>
        <w:rPr>
          <w:lang w:val="en_US" w:bidi="en_US"/>
        </w:rPr>
      </w:r>
      <w:r>
        <w:rPr>
          <w:lang w:val="en_US" w:bidi="en_US"/>
        </w:rPr>
        <w:t>So if you bow down to worship me,</w:t>
      </w:r>
    </w:p>
    <w:p>
      <w:pPr>
        <w:pStyle w:val="ListBullet"/>
        <w:spacing w:line="240" w:lineRule="auto"/>
        <w:ind w:left="720"/>
      </w:pPr>
      <w:r>
        <w:rPr>
          <w:lang w:val="en_US" w:bidi="en_US"/>
        </w:rPr>
      </w:r>
      <w:r>
        <w:rPr>
          <w:lang w:val="en_US" w:bidi="en_US"/>
        </w:rPr>
        <w:t>Therefore, if you kneel before me,</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introduces the conclusion to all that Satan said in 4:6. The NASB translates this conjunction as:</w:t>
      </w:r>
    </w:p>
    <w:p>
      <w:pPr/>
      <w:r>
        <w:rPr>
          <w:lang w:val="en_US" w:bidi="en_US"/>
        </w:rPr>
      </w:r>
      <w:r>
        <w:rPr>
          <w:lang w:val="en_US" w:bidi="en_US"/>
        </w:rPr>
        <w:t>Therefore</w:t>
      </w:r>
    </w:p>
    <w:p>
      <w:pPr/>
      <w:r>
        <w:rPr>
          <w:lang w:val="en_US" w:bidi="en_US"/>
        </w:rPr>
      </w:r>
      <w:r>
        <w:rPr>
          <w:b/>
          <w:lang w:val="en_US" w:bidi="en_US"/>
        </w:rPr>
        <w:t>if You worship me:</w:t>
      </w:r>
      <w:r>
        <w:rPr>
          <w:lang w:val="en_US" w:bidi="en_US"/>
        </w:rPr>
        <w:t xml:space="preserve"> The phrase </w:t>
      </w:r>
      <w:r>
        <w:rPr>
          <w:i/>
          <w:lang w:val="en_US" w:bidi="en_US"/>
        </w:rPr>
        <w:t>if You worship me</w:t>
      </w:r>
      <w:r>
        <w:rPr>
          <w:lang w:val="en_US" w:bidi="en_US"/>
        </w:rPr>
        <w:t xml:space="preserve"> is the sin that the devil was tempting Jesus to commit. The devil promised to give Jesus authority over the nations, but only if Jesus worshiped him. The devil wanted Jesus to acknowledge him to be his leader. He wanted to gain control over Jesus.</w:t>
      </w:r>
    </w:p>
    <w:p>
      <w:pPr/>
      <w:r>
        <w:rPr>
          <w:lang w:val="en_US" w:bidi="en_US"/>
        </w:rPr>
      </w:r>
      <w:r>
        <w:rPr>
          <w:b/>
          <w:lang w:val="en_US" w:bidi="en_US"/>
        </w:rPr>
        <w:t>worship me:</w:t>
      </w:r>
      <w:r>
        <w:rPr>
          <w:lang w:val="en_US" w:bidi="en_US"/>
        </w:rPr>
        <w:t xml:space="preserve"> The Greek word that the BSB translates as </w:t>
      </w:r>
      <w:r>
        <w:rPr>
          <w:i/>
          <w:lang w:val="en_US" w:bidi="en_US"/>
        </w:rPr>
        <w:t>worship</w:t>
      </w:r>
      <w:r>
        <w:rPr>
          <w:lang w:val="en_US" w:bidi="en_US"/>
        </w:rPr>
        <w:t xml:space="preserve"> refers to bowing down before someone or something. In biblical times, people bowed down, knelt, or lay on the ground before their kings and their idols. In this way, they showed respect, reverence, and humility.</w:t>
      </w:r>
    </w:p>
    <w:p>
      <w:pPr/>
      <w:r>
        <w:rPr>
          <w:lang w:val="en_US" w:bidi="en_US"/>
        </w:rPr>
      </w:r>
      <w:r>
        <w:rPr>
          <w:lang w:val="en_US" w:bidi="en_US"/>
        </w:rPr>
        <w:t>Some other ways to translate this are:</w:t>
      </w:r>
    </w:p>
    <w:p>
      <w:pPr/>
      <w:r>
        <w:rPr>
          <w:lang w:val="en_US" w:bidi="en_US"/>
        </w:rPr>
      </w:r>
      <w:r>
        <w:rPr>
          <w:lang w:val="en_US" w:bidi="en_US"/>
        </w:rPr>
        <w:t>bow down and worship me (NLT96)</w:t>
      </w:r>
    </w:p>
    <w:p>
      <w:pPr/>
      <w:r>
        <w:rPr>
          <w:lang w:val="en_US" w:bidi="en_US"/>
        </w:rPr>
      </w:r>
      <w:r>
        <w:rPr>
          <w:lang w:val="en_US" w:bidi="en_US"/>
        </w:rPr>
        <w:t>kneel down before me</w:t>
      </w:r>
    </w:p>
    <w:p>
      <w:pPr>
        <w:pStyle w:val="Heading5"/>
      </w:pPr>
      <w:r>
        <w:rPr>
          <w:lang w:val="en_US" w:bidi="en_US"/>
        </w:rPr>
        <w:t>4:7b</w:t>
      </w:r>
    </w:p>
    <w:p>
      <w:pPr/>
      <w:r>
        <w:rPr>
          <w:lang w:val="en_US" w:bidi="en_US"/>
        </w:rPr>
      </w:r>
      <w:r>
        <w:rPr>
          <w:b/>
          <w:lang w:val="en_US" w:bidi="en_US"/>
        </w:rPr>
        <w:t>it will all be Yours.”</w:t>
      </w:r>
    </w:p>
    <w:p>
      <w:pPr>
        <w:pStyle w:val="ListBullet"/>
        <w:spacing w:line="240" w:lineRule="auto"/>
        <w:ind w:left="720"/>
      </w:pPr>
      <w:r>
        <w:rPr>
          <w:lang w:val="en_US" w:bidi="en_US"/>
        </w:rPr>
      </w:r>
      <w:r>
        <w:rPr>
          <w:lang w:val="en_US" w:bidi="en_US"/>
        </w:rPr>
        <w:t>all this authority/power will be yours.”</w:t>
      </w:r>
    </w:p>
    <w:p>
      <w:pPr>
        <w:pStyle w:val="ListBullet"/>
        <w:spacing w:line="240" w:lineRule="auto"/>
        <w:ind w:left="720"/>
      </w:pPr>
      <w:r>
        <w:rPr>
          <w:lang w:val="en_US" w:bidi="en_US"/>
        </w:rPr>
      </w:r>
      <w:r>
        <w:rPr>
          <w:lang w:val="en_US" w:bidi="en_US"/>
        </w:rPr>
        <w:t>you will have all authority/power over the nations.”</w:t>
      </w:r>
    </w:p>
    <w:p>
      <w:pPr>
        <w:pStyle w:val="ListBullet"/>
        <w:spacing w:line="240" w:lineRule="auto"/>
        <w:ind w:left="720"/>
      </w:pPr>
      <w:r>
        <w:rPr>
          <w:lang w:val="en_US" w:bidi="en_US"/>
        </w:rPr>
      </w:r>
      <w:r>
        <w:rPr>
          <w:lang w:val="en_US" w:bidi="en_US"/>
        </w:rPr>
        <w:t>I will give it all to you.” (NLT)</w:t>
      </w:r>
    </w:p>
    <w:p>
      <w:pPr/>
      <w:r>
        <w:rPr>
          <w:lang w:val="en_US" w:bidi="en_US"/>
        </w:rPr>
      </w:r>
      <w:r>
        <w:rPr>
          <w:b/>
          <w:lang w:val="en_US" w:bidi="en_US"/>
        </w:rPr>
        <w:t>it will all be Yours:</w:t>
      </w:r>
      <w:r>
        <w:rPr>
          <w:lang w:val="en_US" w:bidi="en_US"/>
        </w:rPr>
        <w:t xml:space="preserve"> The phrase </w:t>
      </w:r>
      <w:r>
        <w:rPr>
          <w:i/>
          <w:lang w:val="en_US" w:bidi="en_US"/>
        </w:rPr>
        <w:t>it will all be Yours</w:t>
      </w:r>
      <w:r>
        <w:rPr>
          <w:lang w:val="en_US" w:bidi="en_US"/>
        </w:rPr>
        <w:t xml:space="preserve"> means “all the authority over the nations will be yours.” Satan was telling Jesus that if Jesus would worship him, then Satan would cause Jesus to control the world. Some other ways to translate this are:</w:t>
      </w:r>
    </w:p>
    <w:p>
      <w:pPr/>
      <w:r>
        <w:rPr>
          <w:lang w:val="en_US" w:bidi="en_US"/>
        </w:rPr>
      </w:r>
      <w:r>
        <w:rPr>
          <w:lang w:val="en_US" w:bidi="en_US"/>
        </w:rPr>
        <w:t>I will give it all to you (NLT)</w:t>
      </w:r>
    </w:p>
    <w:p>
      <w:pPr/>
      <w:r>
        <w:rPr>
          <w:lang w:val="en_US" w:bidi="en_US"/>
        </w:rPr>
      </w:r>
      <w:r>
        <w:rPr>
          <w:lang w:val="en_US" w:bidi="en_US"/>
        </w:rPr>
        <w:t>you can control the whole world</w:t>
      </w:r>
    </w:p>
    <w:p>
      <w:pPr/>
      <w:r>
        <w:rPr>
          <w:lang w:val="en_US" w:bidi="en_US"/>
        </w:rPr>
      </w:r>
      <w:r>
        <w:rPr>
          <w:lang w:val="en_US" w:bidi="en_US"/>
        </w:rPr>
        <w:t>you will rule every nation</w:t>
      </w:r>
    </w:p>
    <w:p>
      <w:pPr/>
      <w:r>
        <w:rPr>
          <w:lang w:val="en_US" w:bidi="en_US"/>
        </w:rPr>
      </w:r>
      <w:r>
        <w:rPr>
          <w:lang w:val="en_US" w:bidi="en_US"/>
        </w:rPr>
        <w:t>Satan was lying. Luke did not imply that the devil was telling the truth. He simply reported what the devil said.</w:t>
      </w:r>
    </w:p>
    <w:p>
      <w:pPr>
        <w:pStyle w:val="Heading6"/>
      </w:pPr>
      <w:r>
        <w:rPr>
          <w:b/>
          <w:lang w:val="en_US" w:bidi="en_US"/>
        </w:rPr>
        <w:t>General Comment on 4:7a–b</w:t>
      </w:r>
    </w:p>
    <w:p>
      <w:pPr/>
      <w:r>
        <w:rPr>
          <w:lang w:val="en_US" w:bidi="en_US"/>
        </w:rPr>
      </w:r>
      <w:r>
        <w:rPr>
          <w:lang w:val="en_US" w:bidi="en_US"/>
        </w:rPr>
        <w:t>In some languages, it may be more natural to change the order of 4:7a and 4:7b. For example:</w:t>
      </w:r>
    </w:p>
    <w:p>
      <w:pPr/>
      <w:r>
        <w:rPr>
          <w:lang w:val="en_US" w:bidi="en_US"/>
        </w:rPr>
      </w:r>
      <w:r>
        <w:rPr>
          <w:vertAlign w:val="superscript"/>
          <w:lang w:val="en_US" w:bidi="en_US"/>
        </w:rPr>
        <w:t>7b</w:t>
      </w:r>
      <w:r>
        <w:rPr>
          <w:lang w:val="en_US" w:bidi="en_US"/>
        </w:rPr>
        <w:t xml:space="preserve">I will give it all to you </w:t>
      </w:r>
      <w:r>
        <w:rPr>
          <w:vertAlign w:val="superscript"/>
          <w:lang w:val="en_US" w:bidi="en_US"/>
        </w:rPr>
        <w:t>7a</w:t>
      </w:r>
      <w:r>
        <w:rPr>
          <w:lang w:val="en_US" w:bidi="en_US"/>
        </w:rPr>
        <w:t>if you will bow down and worship me. (NLT96)</w:t>
      </w:r>
      <w:r>
        <w:rPr>
          <w:lang w:val="en_US" w:bidi="en_US"/>
        </w:rPr>
      </w:r>
      <w:r>
        <w:rPr>
          <w:lang w:val="en_US" w:bidi="en_US"/>
        </w:rPr>
      </w:r>
    </w:p>
    <w:p>
      <w:pPr/>
      <w:r>
        <w:rPr>
          <w:lang w:val="en_US" w:bidi="en_US"/>
        </w:rPr>
      </w:r>
    </w:p>
    <w:p>
      <w:pPr>
        <w:pStyle w:val="Heading2"/>
      </w:pPr>
      <w:r>
        <w:rPr>
          <w:lang w:val="en_US" w:bidi="en_US"/>
        </w:rPr>
        <w:t>Luke 4:8</w:t>
      </w:r>
      <w:r>
        <w:rPr>
          <w:lang w:val="en_US" w:bidi="en_US"/>
        </w:rPr>
      </w:r>
    </w:p>
    <w:p>
      <w:pPr>
        <w:pStyle w:val="Heading4"/>
      </w:pPr>
      <w:r>
        <w:rPr>
          <w:lang w:val="en_US" w:bidi="en_US"/>
        </w:rPr>
        <w:t>Section 4:1–13: Satan tempted Jesus</w:t>
      </w:r>
    </w:p>
    <w:p>
      <w:pPr/>
      <w:r>
        <w:rPr>
          <w:lang w:val="en_US" w:bidi="en_US"/>
        </w:rPr>
      </w:r>
      <w:r>
        <w:rPr>
          <w:lang w:val="en_US" w:bidi="en_US"/>
        </w:rP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pPr/>
      <w:r>
        <w:rPr>
          <w:lang w:val="en_US" w:bidi="en_US"/>
        </w:rPr>
      </w:r>
      <w:r>
        <w:rPr>
          <w:lang w:val="en_US" w:bidi="en_US"/>
        </w:rPr>
        <w:t>Some other possible headings for this section are:</w:t>
      </w:r>
    </w:p>
    <w:p>
      <w:pPr/>
      <w:r>
        <w:rPr>
          <w:lang w:val="en_US" w:bidi="en_US"/>
        </w:rPr>
      </w:r>
      <w:r>
        <w:rPr>
          <w:lang w:val="en_US" w:bidi="en_US"/>
        </w:rPr>
        <w:t>The Temptation of Jesus</w:t>
      </w:r>
    </w:p>
    <w:p>
      <w:pPr/>
      <w:r>
        <w:rPr>
          <w:lang w:val="en_US" w:bidi="en_US"/>
        </w:rPr>
      </w:r>
      <w:r>
        <w:rPr>
          <w:lang w:val="en_US" w:bidi="en_US"/>
        </w:rPr>
        <w:t>Jesus Is Tempted by the Devil (NCV)</w:t>
      </w:r>
    </w:p>
    <w:p>
      <w:pPr/>
      <w:r>
        <w:rPr>
          <w:lang w:val="en_US" w:bidi="en_US"/>
        </w:rPr>
      </w:r>
      <w:r>
        <w:rPr>
          <w:lang w:val="en_US" w:bidi="en_US"/>
        </w:rPr>
        <w:t>There is a parallel passage for this section in Matthew 4:1–11, and a shorter version occurs in Mark 1:12–13.</w:t>
      </w:r>
    </w:p>
    <w:p>
      <w:pPr>
        <w:pStyle w:val="Heading4"/>
      </w:pPr>
      <w:r>
        <w:rPr>
          <w:lang w:val="en_US" w:bidi="en_US"/>
        </w:rPr>
        <w:t>Paragraph 4:5–8</w:t>
      </w:r>
    </w:p>
    <w:p>
      <w:pPr/>
      <w:r>
        <w:rPr>
          <w:lang w:val="en_US" w:bidi="en_US"/>
        </w:rPr>
      </w:r>
      <w:r>
        <w:rPr>
          <w:lang w:val="en_US" w:bidi="en_US"/>
        </w:rPr>
        <w:t>In this paragraph, Luke reported another way that the devil tempted Jesus.</w:t>
      </w:r>
      <w:r>
        <w:rPr>
          <w:lang w:val="en_US" w:bidi="en_US"/>
        </w:rPr>
        <w:t>Luke reports this temptation as the second temptation of the three. In Matthew 4 this temptation is reported third. The first two temptations that Luke reported happened in the desert, and the third temptation happened at the temple in Jerusalem.</w:t>
      </w:r>
      <w:r>
        <w:rPr>
          <w:lang w:val="en_US" w:bidi="en_US"/>
        </w:rPr>
        <w:t xml:space="preserve"> The devil tempted Jesus to make an agreement with him.</w:t>
      </w:r>
    </w:p>
    <w:p>
      <w:pPr>
        <w:pStyle w:val="Heading5"/>
      </w:pPr>
      <w:r>
        <w:rPr>
          <w:lang w:val="en_US" w:bidi="en_US"/>
        </w:rPr>
        <w:t>4:8a</w:t>
      </w:r>
    </w:p>
    <w:p>
      <w:pPr/>
      <w:r>
        <w:rPr>
          <w:lang w:val="en_US" w:bidi="en_US"/>
        </w:rPr>
      </w:r>
      <w:r>
        <w:rPr>
          <w:b/>
          <w:lang w:val="en_US" w:bidi="en_US"/>
        </w:rPr>
        <w:t>But Jesus answered, “It is written:</w:t>
      </w:r>
    </w:p>
    <w:p>
      <w:pPr>
        <w:pStyle w:val="ListBullet"/>
        <w:spacing w:line="240" w:lineRule="auto"/>
        <w:ind w:left="720"/>
      </w:pPr>
      <w:r>
        <w:rPr>
          <w:lang w:val="en_US" w:bidi="en_US"/>
        </w:rPr>
      </w:r>
      <w:r>
        <w:rPr>
          <w:lang w:val="en_US" w:bidi="en_US"/>
        </w:rPr>
        <w:t>Jesus said, “It is written in the Scriptures:</w:t>
      </w:r>
    </w:p>
    <w:p>
      <w:pPr>
        <w:pStyle w:val="ListBullet"/>
        <w:spacing w:line="240" w:lineRule="auto"/>
        <w:ind w:left="720"/>
      </w:pPr>
      <w:r>
        <w:rPr>
          <w:lang w:val="en_US" w:bidi="en_US"/>
        </w:rPr>
      </w:r>
      <w:r>
        <w:rPr>
          <w:lang w:val="en_US" w:bidi="en_US"/>
        </w:rPr>
        <w:t>But</w:t>
      </w:r>
      <w:r>
        <w:rPr>
          <w:lang w:val="en_US" w:bidi="en_US"/>
        </w:rPr>
        <w:t xml:space="preserve"> Jesus </w:t>
      </w:r>
      <w:r>
        <w:rPr>
          <w:lang w:val="en_US" w:bidi="en_US"/>
        </w:rPr>
        <w:t>refused. He</w:t>
      </w:r>
      <w:r>
        <w:rPr>
          <w:lang w:val="en_US" w:bidi="en_US"/>
        </w:rPr>
        <w:t xml:space="preserve"> said, “The Scriptures say,</w:t>
      </w:r>
    </w:p>
    <w:p>
      <w:pPr>
        <w:pStyle w:val="ListBullet"/>
        <w:spacing w:line="240" w:lineRule="auto"/>
        <w:ind w:left="720"/>
      </w:pPr>
      <w:r>
        <w:rPr>
          <w:lang w:val="en_US" w:bidi="en_US"/>
        </w:rPr>
      </w:r>
      <w:r>
        <w:rPr>
          <w:lang w:val="en_US" w:bidi="en_US"/>
        </w:rPr>
        <w:t xml:space="preserve">Jesus told </w:t>
      </w:r>
      <w:r>
        <w:rPr>
          <w:lang w:val="en_US" w:bidi="en_US"/>
        </w:rPr>
        <w:t>the devil</w:t>
      </w:r>
      <w:r>
        <w:rPr>
          <w:lang w:val="en_US" w:bidi="en_US"/>
        </w:rPr>
        <w:t xml:space="preserve"> that in the </w:t>
      </w:r>
      <w:r>
        <w:rPr>
          <w:lang w:val="en_US" w:bidi="en_US"/>
        </w:rPr>
        <w:t>holy</w:t>
      </w:r>
      <w:r>
        <w:rPr>
          <w:lang w:val="en_US" w:bidi="en_US"/>
        </w:rPr>
        <w:t xml:space="preserve"> writings, it says,</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is a conjunction that is often translated as “and.” Some English versions, such as the ESV, translate it that way. Other versions, such as the NIV, GNT, and NET, do not translate this conjunction here. Connect 4:8a to 4:7b in a way that is natural in your language.</w:t>
      </w:r>
    </w:p>
    <w:p>
      <w:pPr/>
      <w:r>
        <w:rPr>
          <w:lang w:val="en_US" w:bidi="en_US"/>
        </w:rPr>
      </w:r>
      <w:r>
        <w:rPr>
          <w:b/>
          <w:lang w:val="en_US" w:bidi="en_US"/>
        </w:rPr>
        <w:t>Jesus answered:</w:t>
      </w:r>
      <w:r>
        <w:rPr>
          <w:lang w:val="en_US" w:bidi="en_US"/>
        </w:rPr>
        <w:t xml:space="preserve"> As in 4:4a, the Greek word that the BSB literally translates as </w:t>
      </w:r>
      <w:r>
        <w:rPr>
          <w:i/>
          <w:lang w:val="en_US" w:bidi="en_US"/>
        </w:rPr>
        <w:t>answered</w:t>
      </w:r>
      <w:r>
        <w:rPr>
          <w:lang w:val="en_US" w:bidi="en_US"/>
        </w:rPr>
        <w:t xml:space="preserve"> here means “replied” or “responded.” Jesus was not answering a question. He was responding to the devil as the devil tried to tempt him to sin.</w:t>
      </w:r>
    </w:p>
    <w:p>
      <w:pPr/>
      <w:r>
        <w:rPr>
          <w:lang w:val="en_US" w:bidi="en_US"/>
        </w:rPr>
      </w:r>
      <w:r>
        <w:rPr>
          <w:lang w:val="en_US" w:bidi="en_US"/>
        </w:rPr>
        <w:t>Jesus’ response implied that he was refusing to do what Satan had wanted. You may need to make this clear in your translation. For example:</w:t>
      </w:r>
    </w:p>
    <w:p>
      <w:pPr/>
      <w:r>
        <w:rPr>
          <w:lang w:val="en_US" w:bidi="en_US"/>
        </w:rPr>
      </w:r>
      <w:r>
        <w:rPr>
          <w:lang w:val="en_US" w:bidi="en_US"/>
        </w:rPr>
        <w:t xml:space="preserve">Jesus </w:t>
      </w:r>
      <w:r>
        <w:rPr>
          <w:lang w:val="en_US" w:bidi="en_US"/>
        </w:rPr>
        <w:t>refused. He</w:t>
      </w:r>
      <w:r>
        <w:rPr>
          <w:lang w:val="en_US" w:bidi="en_US"/>
        </w:rPr>
        <w:t xml:space="preserve"> said</w:t>
      </w:r>
    </w:p>
    <w:p>
      <w:pPr/>
      <w:r>
        <w:rPr>
          <w:lang w:val="en_US" w:bidi="en_US"/>
        </w:rPr>
      </w:r>
      <w:r>
        <w:rPr>
          <w:b/>
          <w:lang w:val="en_US" w:bidi="en_US"/>
        </w:rPr>
        <w:t>It is written:</w:t>
      </w:r>
      <w:r>
        <w:rPr>
          <w:lang w:val="en_US" w:bidi="en_US"/>
        </w:rPr>
        <w:t xml:space="preserve"> As in 4:4a, Jesus used the phrase </w:t>
      </w:r>
      <w:r>
        <w:rPr>
          <w:i/>
          <w:lang w:val="en_US" w:bidi="en_US"/>
        </w:rPr>
        <w:t>It is written</w:t>
      </w:r>
      <w:r>
        <w:rPr>
          <w:lang w:val="en_US" w:bidi="en_US"/>
        </w:rPr>
        <w:t xml:space="preserve"> to introduce words from the Old Testament Scriptures. Some other ways to translate this are:</w:t>
      </w:r>
    </w:p>
    <w:p>
      <w:pPr/>
      <w:r>
        <w:rPr>
          <w:lang w:val="en_US" w:bidi="en_US"/>
        </w:rPr>
      </w:r>
      <w:r>
        <w:rPr>
          <w:lang w:val="en_US" w:bidi="en_US"/>
        </w:rPr>
        <w:t>Scripture says (REB)</w:t>
      </w:r>
    </w:p>
    <w:p>
      <w:pPr/>
      <w:r>
        <w:rPr>
          <w:lang w:val="en_US" w:bidi="en_US"/>
        </w:rPr>
      </w:r>
      <w:r>
        <w:rPr>
          <w:lang w:val="en_US" w:bidi="en_US"/>
        </w:rPr>
        <w:t>It is written in the Scriptures (NCV)</w:t>
      </w:r>
    </w:p>
    <w:p>
      <w:pPr>
        <w:pStyle w:val="Heading5"/>
      </w:pPr>
      <w:r>
        <w:rPr>
          <w:lang w:val="en_US" w:bidi="en_US"/>
        </w:rPr>
        <w:t>4:8b</w:t>
      </w:r>
    </w:p>
    <w:p>
      <w:pPr/>
      <w:r>
        <w:rPr>
          <w:lang w:val="en_US" w:bidi="en_US"/>
        </w:rPr>
      </w:r>
      <w:r>
        <w:rPr>
          <w:b/>
          <w:lang w:val="en_US" w:bidi="en_US"/>
        </w:rPr>
        <w:t>‘Worship the Lord your God and serve Him only.’”</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must worship the Lord, who is your</w:t>
      </w:r>
      <w:r>
        <w:rPr>
          <w:vertAlign w:val="superscript"/>
          <w:lang w:val="en_US" w:bidi="en_US"/>
        </w:rPr>
        <w:t>(sing)</w:t>
      </w:r>
      <w:r>
        <w:rPr>
          <w:lang w:val="en_US" w:bidi="en_US"/>
        </w:rPr>
        <w:t xml:space="preserve"> God, and serve/obey only him.'"</w:t>
      </w:r>
    </w:p>
    <w:p>
      <w:pPr>
        <w:pStyle w:val="ListBullet"/>
        <w:spacing w:line="240" w:lineRule="auto"/>
        <w:ind w:left="720"/>
      </w:pPr>
      <w:r>
        <w:rPr>
          <w:lang w:val="en_US" w:bidi="en_US"/>
        </w:rPr>
      </w:r>
      <w:r>
        <w:rPr>
          <w:lang w:val="en_US" w:bidi="en_US"/>
        </w:rPr>
        <w:t>‘The Lord your</w:t>
      </w:r>
      <w:r>
        <w:rPr>
          <w:vertAlign w:val="superscript"/>
          <w:lang w:val="en_US" w:bidi="en_US"/>
        </w:rPr>
        <w:t>(sing)</w:t>
      </w:r>
      <w:r>
        <w:rPr>
          <w:lang w:val="en_US" w:bidi="en_US"/>
        </w:rPr>
        <w:t xml:space="preserve"> God is the one before whom you</w:t>
      </w:r>
      <w:r>
        <w:rPr>
          <w:vertAlign w:val="superscript"/>
          <w:lang w:val="en_US" w:bidi="en_US"/>
        </w:rPr>
        <w:t>(sing)</w:t>
      </w:r>
      <w:r>
        <w:rPr>
          <w:lang w:val="en_US" w:bidi="en_US"/>
        </w:rPr>
        <w:t xml:space="preserve"> should bow. He is the only one you</w:t>
      </w:r>
      <w:r>
        <w:rPr>
          <w:vertAlign w:val="superscript"/>
          <w:lang w:val="en_US" w:bidi="en_US"/>
        </w:rPr>
        <w:t>(sing)</w:t>
      </w:r>
      <w:r>
        <w:rPr>
          <w:lang w:val="en_US" w:bidi="en_US"/>
        </w:rPr>
        <w:t xml:space="preserve"> should honor.'"</w:t>
      </w:r>
    </w:p>
    <w:p>
      <w:pPr/>
      <w:r>
        <w:rPr>
          <w:lang w:val="en_US" w:bidi="en_US"/>
        </w:rPr>
      </w:r>
      <w:r>
        <w:rPr>
          <w:b/>
          <w:lang w:val="en_US" w:bidi="en_US"/>
        </w:rPr>
        <w:t>Worship the Lord your God and serve Him only:</w:t>
      </w:r>
      <w:r>
        <w:rPr>
          <w:lang w:val="en_US" w:bidi="en_US"/>
        </w:rPr>
        <w:t xml:space="preserve"> The clause </w:t>
      </w:r>
      <w:r>
        <w:rPr>
          <w:i/>
          <w:lang w:val="en_US" w:bidi="en_US"/>
        </w:rPr>
        <w:t>Worship the Lord your God and serve Him only</w:t>
      </w:r>
      <w:r>
        <w:rPr>
          <w:lang w:val="en_US" w:bidi="en_US"/>
        </w:rPr>
        <w:t xml:space="preserve"> is a quotation from Deuteronomy 6:13. These words were a command to each of the people of Israel. In Greek, the verbs </w:t>
      </w:r>
      <w:r>
        <w:rPr>
          <w:i/>
          <w:lang w:val="en_US" w:bidi="en_US"/>
        </w:rPr>
        <w:t>Worship</w:t>
      </w:r>
      <w:r>
        <w:rPr>
          <w:lang w:val="en_US" w:bidi="en_US"/>
        </w:rPr>
        <w:t xml:space="preserve"> and </w:t>
      </w:r>
      <w:r>
        <w:rPr>
          <w:i/>
          <w:lang w:val="en_US" w:bidi="en_US"/>
        </w:rPr>
        <w:t>serve</w:t>
      </w:r>
      <w:r>
        <w:rPr>
          <w:lang w:val="en_US" w:bidi="en_US"/>
        </w:rPr>
        <w:t xml:space="preserve"> and the pronoun </w:t>
      </w:r>
      <w:r>
        <w:rPr>
          <w:i/>
          <w:lang w:val="en_US" w:bidi="en_US"/>
        </w:rPr>
        <w:t>your</w:t>
      </w:r>
      <w:r>
        <w:rPr>
          <w:lang w:val="en_US" w:bidi="en_US"/>
        </w:rPr>
        <w:t xml:space="preserve"> are singular. However, since the command is given to everyone, in some languages it may be more natural to use the plural forms:</w:t>
      </w:r>
    </w:p>
    <w:p>
      <w:pPr/>
      <w:r>
        <w:rPr>
          <w:lang w:val="en_US" w:bidi="en_US"/>
        </w:rPr>
      </w:r>
      <w:r>
        <w:rPr>
          <w:lang w:val="en_US" w:bidi="en_US"/>
        </w:rPr>
        <w:t>You</w:t>
      </w:r>
      <w:r>
        <w:rPr>
          <w:vertAlign w:val="superscript"/>
          <w:lang w:val="en_US" w:bidi="en_US"/>
        </w:rPr>
        <w:t>(plur)</w:t>
      </w:r>
      <w:r>
        <w:rPr>
          <w:lang w:val="en_US" w:bidi="en_US"/>
        </w:rPr>
        <w:t xml:space="preserve"> must worship the Lord, who is your</w:t>
      </w:r>
      <w:r>
        <w:rPr>
          <w:vertAlign w:val="superscript"/>
          <w:lang w:val="en_US" w:bidi="en_US"/>
        </w:rPr>
        <w:t>(plur)</w:t>
      </w:r>
      <w:r>
        <w:rPr>
          <w:lang w:val="en_US" w:bidi="en_US"/>
        </w:rPr>
        <w:t xml:space="preserve"> God, and obey only him.</w:t>
      </w:r>
    </w:p>
    <w:p>
      <w:pPr/>
      <w:r>
        <w:rPr>
          <w:lang w:val="en_US" w:bidi="en_US"/>
        </w:rPr>
      </w:r>
      <w:r>
        <w:rPr>
          <w:lang w:val="en_US" w:bidi="en_US"/>
        </w:rPr>
        <w:t>Jesus quoted this command in order to tell Satan that he would never worship Satan. Jesus was declaring that he himself would obey the Scriptures and worship only the true God. See Lord, Context 2, in the Glossary.</w:t>
      </w:r>
    </w:p>
    <w:p>
      <w:pPr/>
      <w:r>
        <w:rPr>
          <w:lang w:val="en_US" w:bidi="en_US"/>
        </w:rPr>
      </w:r>
      <w:r>
        <w:rPr>
          <w:b/>
          <w:lang w:val="en_US" w:bidi="en_US"/>
        </w:rPr>
        <w:t>Worship…serve:</w:t>
      </w:r>
      <w:r>
        <w:rPr>
          <w:lang w:val="en_US" w:bidi="en_US"/>
        </w:rPr>
        <w:t xml:space="preserve"> The two Greek verbs that most English versions translate here as </w:t>
      </w:r>
      <w:r>
        <w:rPr>
          <w:i/>
          <w:lang w:val="en_US" w:bidi="en_US"/>
        </w:rPr>
        <w:t>Worship</w:t>
      </w:r>
      <w:r>
        <w:rPr>
          <w:lang w:val="en_US" w:bidi="en_US"/>
        </w:rPr>
        <w:t xml:space="preserve"> and </w:t>
      </w:r>
      <w:r>
        <w:rPr>
          <w:i/>
          <w:lang w:val="en_US" w:bidi="en_US"/>
        </w:rPr>
        <w:t>serve</w:t>
      </w:r>
      <w:r>
        <w:rPr>
          <w:lang w:val="en_US" w:bidi="en_US"/>
        </w:rPr>
        <w:t xml:space="preserve"> have similar meanings. To </w:t>
      </w:r>
      <w:r>
        <w:rPr>
          <w:i/>
          <w:lang w:val="en_US" w:bidi="en_US"/>
        </w:rPr>
        <w:t>Worship</w:t>
      </w:r>
      <w:r>
        <w:rPr>
          <w:lang w:val="en_US" w:bidi="en_US"/>
        </w:rPr>
        <w:t xml:space="preserve"> God means to bow before him and revere/respect him. (See the note on “worship me” in 4:7a). To </w:t>
      </w:r>
      <w:r>
        <w:rPr>
          <w:i/>
          <w:lang w:val="en_US" w:bidi="en_US"/>
        </w:rPr>
        <w:t>serve</w:t>
      </w:r>
      <w:r>
        <w:rPr>
          <w:lang w:val="en_US" w:bidi="en_US"/>
        </w:rPr>
        <w:t xml:space="preserve"> God refers here to doing acts of worship to honor him.</w:t>
      </w:r>
    </w:p>
    <w:p>
      <w:pPr/>
      <w:r>
        <w:rPr>
          <w:lang w:val="en_US" w:bidi="en_US"/>
        </w:rPr>
      </w:r>
      <w:r>
        <w:rPr>
          <w:lang w:val="en_US" w:bidi="en_US"/>
        </w:rPr>
        <w:t>These two verbs work together to describe how people should act toward God. Some ways to translate these verbs are:</w:t>
      </w:r>
    </w:p>
    <w:p>
      <w:pPr/>
      <w:r>
        <w:rPr>
          <w:lang w:val="en_US" w:bidi="en_US"/>
        </w:rPr>
      </w:r>
      <w:r>
        <w:rPr>
          <w:lang w:val="en_US" w:bidi="en_US"/>
        </w:rPr>
        <w:t xml:space="preserve">You shall </w:t>
      </w:r>
      <w:r>
        <w:rPr>
          <w:u w:val="single"/>
          <w:lang w:val="en_US" w:bidi="en_US"/>
        </w:rPr>
        <w:t>do homage</w:t>
      </w:r>
      <w:r>
        <w:rPr>
          <w:lang w:val="en_US" w:bidi="en_US"/>
        </w:rPr>
        <w:t xml:space="preserve"> to the Lord your God and </w:t>
      </w:r>
      <w:r>
        <w:rPr>
          <w:u w:val="single"/>
          <w:lang w:val="en_US" w:bidi="en_US"/>
        </w:rPr>
        <w:t>worship</w:t>
      </w:r>
      <w:r>
        <w:rPr>
          <w:lang w:val="en_US" w:bidi="en_US"/>
        </w:rPr>
        <w:t xml:space="preserve"> him alone. (REB)</w:t>
      </w:r>
    </w:p>
    <w:p>
      <w:pPr/>
      <w:r>
        <w:rPr>
          <w:lang w:val="en_US" w:bidi="en_US"/>
        </w:rPr>
      </w:r>
      <w:r>
        <w:rPr>
          <w:u w:val="single"/>
          <w:lang w:val="en_US" w:bidi="en_US"/>
        </w:rPr>
        <w:t>Revere/Respect</w:t>
      </w:r>
      <w:r>
        <w:rPr>
          <w:lang w:val="en_US" w:bidi="en_US"/>
        </w:rPr>
        <w:t xml:space="preserve"> the Lord your God and </w:t>
      </w:r>
      <w:r>
        <w:rPr>
          <w:u w:val="single"/>
          <w:lang w:val="en_US" w:bidi="en_US"/>
        </w:rPr>
        <w:t>worship</w:t>
      </w:r>
      <w:r>
        <w:rPr>
          <w:lang w:val="en_US" w:bidi="en_US"/>
        </w:rPr>
        <w:t xml:space="preserve"> only him.</w:t>
      </w:r>
    </w:p>
    <w:p>
      <w:pPr/>
      <w:r>
        <w:rPr>
          <w:lang w:val="en_US" w:bidi="en_US"/>
        </w:rPr>
      </w:r>
      <w:r>
        <w:rPr>
          <w:lang w:val="en_US" w:bidi="en_US"/>
        </w:rPr>
        <w:t xml:space="preserve">You must </w:t>
      </w:r>
      <w:r>
        <w:rPr>
          <w:u w:val="single"/>
          <w:lang w:val="en_US" w:bidi="en_US"/>
        </w:rPr>
        <w:t>esteem</w:t>
      </w:r>
      <w:r>
        <w:rPr>
          <w:lang w:val="en_US" w:bidi="en_US"/>
        </w:rPr>
        <w:t xml:space="preserve"> God…</w:t>
      </w:r>
      <w:r>
        <w:rPr>
          <w:u w:val="single"/>
          <w:lang w:val="en_US" w:bidi="en_US"/>
        </w:rPr>
        <w:t>honoring</w:t>
      </w:r>
      <w:r>
        <w:rPr>
          <w:lang w:val="en_US" w:bidi="en_US"/>
        </w:rPr>
        <w:t xml:space="preserve"> him alone </w:t>
      </w:r>
      <w:r>
        <w:rPr>
          <w:u w:val="single"/>
          <w:lang w:val="en_US" w:bidi="en_US"/>
        </w:rPr>
        <w:t>in all you do</w:t>
      </w:r>
      <w:r>
        <w:rPr>
          <w:lang w:val="en_US" w:bidi="en_US"/>
        </w:rPr>
        <w:t>.</w:t>
      </w:r>
      <w:r>
        <w:rPr>
          <w:lang w:val="en_US" w:bidi="en_US"/>
        </w:rPr>
      </w:r>
      <w:r>
        <w:rPr>
          <w:lang w:val="en_US" w:bidi="en_US"/>
        </w:rPr>
      </w:r>
    </w:p>
    <w:p>
      <w:pPr/>
      <w:r>
        <w:rPr>
          <w:lang w:val="en_US" w:bidi="en_US"/>
        </w:rPr>
      </w:r>
    </w:p>
    <w:p>
      <w:pPr>
        <w:pStyle w:val="Heading2"/>
      </w:pPr>
      <w:r>
        <w:rPr>
          <w:lang w:val="en_US" w:bidi="en_US"/>
        </w:rPr>
        <w:t>Luke 4:9</w:t>
      </w:r>
      <w:r>
        <w:rPr>
          <w:lang w:val="en_US" w:bidi="en_US"/>
        </w:rPr>
      </w:r>
    </w:p>
    <w:p>
      <w:pPr>
        <w:pStyle w:val="Heading4"/>
      </w:pPr>
      <w:r>
        <w:rPr>
          <w:lang w:val="en_US" w:bidi="en_US"/>
        </w:rPr>
        <w:t>Section 4:1–13: Satan tempted Jesus</w:t>
      </w:r>
    </w:p>
    <w:p>
      <w:pPr/>
      <w:r>
        <w:rPr>
          <w:lang w:val="en_US" w:bidi="en_US"/>
        </w:rPr>
      </w:r>
      <w:r>
        <w:rPr>
          <w:lang w:val="en_US" w:bidi="en_US"/>
        </w:rP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pPr/>
      <w:r>
        <w:rPr>
          <w:lang w:val="en_US" w:bidi="en_US"/>
        </w:rPr>
      </w:r>
      <w:r>
        <w:rPr>
          <w:lang w:val="en_US" w:bidi="en_US"/>
        </w:rPr>
        <w:t>Some other possible headings for this section are:</w:t>
      </w:r>
    </w:p>
    <w:p>
      <w:pPr/>
      <w:r>
        <w:rPr>
          <w:lang w:val="en_US" w:bidi="en_US"/>
        </w:rPr>
      </w:r>
      <w:r>
        <w:rPr>
          <w:lang w:val="en_US" w:bidi="en_US"/>
        </w:rPr>
        <w:t>The Temptation of Jesus</w:t>
      </w:r>
    </w:p>
    <w:p>
      <w:pPr/>
      <w:r>
        <w:rPr>
          <w:lang w:val="en_US" w:bidi="en_US"/>
        </w:rPr>
      </w:r>
      <w:r>
        <w:rPr>
          <w:lang w:val="en_US" w:bidi="en_US"/>
        </w:rPr>
        <w:t>Jesus Is Tempted by the Devil (NCV)</w:t>
      </w:r>
    </w:p>
    <w:p>
      <w:pPr/>
      <w:r>
        <w:rPr>
          <w:lang w:val="en_US" w:bidi="en_US"/>
        </w:rPr>
      </w:r>
      <w:r>
        <w:rPr>
          <w:lang w:val="en_US" w:bidi="en_US"/>
        </w:rPr>
        <w:t>There is a parallel passage for this section in Matthew 4:1–11, and a shorter version occurs in Mark 1:12–13.</w:t>
      </w:r>
    </w:p>
    <w:p>
      <w:pPr>
        <w:pStyle w:val="Heading4"/>
      </w:pPr>
      <w:r>
        <w:rPr>
          <w:lang w:val="en_US" w:bidi="en_US"/>
        </w:rPr>
        <w:t>Paragraph 4:9–12</w:t>
      </w:r>
    </w:p>
    <w:p>
      <w:pPr/>
      <w:r>
        <w:rPr>
          <w:lang w:val="en_US" w:bidi="en_US"/>
        </w:rPr>
      </w:r>
      <w:r>
        <w:rPr>
          <w:lang w:val="en_US" w:bidi="en_US"/>
        </w:rPr>
        <w:t>In this paragraph, Luke reported another way that the devil tempted Jesus.</w:t>
      </w:r>
      <w:r>
        <w:rPr>
          <w:lang w:val="en_US" w:bidi="en_US"/>
        </w:rPr>
        <w:t>Luke chose to report this temptation last in the series of three, but Matthew reports it second. The order in which Matthew reported these three temptations is probably the order in which they actually occurred.</w:t>
      </w:r>
      <w:r>
        <w:rPr>
          <w:lang w:val="en_US" w:bidi="en_US"/>
        </w:rPr>
        <w:t xml:space="preserve"> In this paragraph, the devil tempted Jesus to put himself in danger. If Jesus had put himself in danger, he would have sinned, because he would have tested God.</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is a common connecting word. It does not necessarily imply a time reference, and so some English versions, such as the ESV, translate it as “and.” Other versions, such as the NIV, do not translate this conjunction.</w:t>
      </w:r>
    </w:p>
    <w:p>
      <w:pPr/>
      <w:r>
        <w:rPr>
          <w:lang w:val="en_US" w:bidi="en_US"/>
        </w:rPr>
      </w:r>
      <w:r>
        <w:rPr>
          <w:lang w:val="en_US" w:bidi="en_US"/>
        </w:rPr>
        <w:t>The events in this paragraph may have occurred before the temptation in 4:5–8. So if it is natural in your language to begin this paragraph with a connecting word or phrase, you should be as general as possible. For example:</w:t>
      </w:r>
    </w:p>
    <w:p>
      <w:pPr/>
      <w:r>
        <w:rPr>
          <w:lang w:val="en_US" w:bidi="en_US"/>
        </w:rPr>
      </w:r>
      <w:r>
        <w:rPr>
          <w:lang w:val="en_US" w:bidi="en_US"/>
        </w:rPr>
        <w:t>Also</w:t>
      </w:r>
    </w:p>
    <w:p>
      <w:pPr/>
      <w:r>
        <w:rPr>
          <w:lang w:val="en_US" w:bidi="en_US"/>
        </w:rPr>
      </w:r>
      <w:r>
        <w:rPr>
          <w:lang w:val="en_US" w:bidi="en_US"/>
        </w:rPr>
        <w:t>Another time</w:t>
      </w:r>
    </w:p>
    <w:p>
      <w:pPr/>
      <w:r>
        <w:rPr>
          <w:lang w:val="en_US" w:bidi="en_US"/>
        </w:rPr>
      </w:r>
      <w:r>
        <w:rPr>
          <w:lang w:val="en_US" w:bidi="en_US"/>
        </w:rPr>
        <w:t xml:space="preserve">In some languages, certain time words may not necessarily indicate that this paragraph occurred immediately after 4:5–8. If that is true in your language, a word such as </w:t>
      </w:r>
      <w:r>
        <w:rPr>
          <w:i/>
          <w:lang w:val="en_US" w:bidi="en_US"/>
        </w:rPr>
        <w:t>Then</w:t>
      </w:r>
      <w:r>
        <w:rPr>
          <w:lang w:val="en_US" w:bidi="en_US"/>
        </w:rPr>
        <w:t xml:space="preserve"> may be appropriate. Connect 4:4a to 4:3b in a way that is natural in your language.</w:t>
      </w:r>
    </w:p>
    <w:p>
      <w:pPr>
        <w:pStyle w:val="Heading5"/>
      </w:pPr>
      <w:r>
        <w:rPr>
          <w:lang w:val="en_US" w:bidi="en_US"/>
        </w:rPr>
        <w:t>4:9a</w:t>
      </w:r>
    </w:p>
    <w:p>
      <w:pPr/>
      <w:r>
        <w:rPr>
          <w:lang w:val="en_US" w:bidi="en_US"/>
        </w:rPr>
      </w:r>
      <w:r>
        <w:rPr>
          <w:b/>
          <w:lang w:val="en_US" w:bidi="en_US"/>
        </w:rPr>
        <w:t>Then the devil led Him to Jerusalem</w:t>
      </w:r>
    </w:p>
    <w:p>
      <w:pPr>
        <w:pStyle w:val="ListBullet"/>
        <w:spacing w:line="240" w:lineRule="auto"/>
        <w:ind w:left="720"/>
      </w:pPr>
      <w:r>
        <w:rPr>
          <w:lang w:val="en_US" w:bidi="en_US"/>
        </w:rPr>
      </w:r>
      <w:r>
        <w:rPr>
          <w:lang w:val="en_US" w:bidi="en_US"/>
        </w:rPr>
        <w:t xml:space="preserve">¶ The devil </w:t>
      </w:r>
      <w:r>
        <w:rPr>
          <w:lang w:val="en_US" w:bidi="en_US"/>
        </w:rPr>
        <w:t>also</w:t>
      </w:r>
      <w:r>
        <w:rPr>
          <w:lang w:val="en_US" w:bidi="en_US"/>
        </w:rPr>
        <w:t xml:space="preserve"> led Jesus into Jerusalem,</w:t>
      </w:r>
    </w:p>
    <w:p>
      <w:pPr>
        <w:pStyle w:val="ListBullet"/>
        <w:spacing w:line="240" w:lineRule="auto"/>
        <w:ind w:left="720"/>
      </w:pPr>
      <w:r>
        <w:rPr>
          <w:lang w:val="en_US" w:bidi="en_US"/>
        </w:rPr>
      </w:r>
      <w:r>
        <w:rPr>
          <w:lang w:val="en_US" w:bidi="en_US"/>
        </w:rPr>
        <w:t xml:space="preserve">¶ </w:t>
      </w:r>
      <w:r>
        <w:rPr>
          <w:lang w:val="en_US" w:bidi="en_US"/>
        </w:rPr>
        <w:t>Another time,</w:t>
      </w:r>
      <w:r>
        <w:rPr>
          <w:lang w:val="en_US" w:bidi="en_US"/>
        </w:rPr>
        <w:t xml:space="preserve"> the devil took Jesus to </w:t>
      </w:r>
      <w:r>
        <w:rPr>
          <w:lang w:val="en_US" w:bidi="en_US"/>
        </w:rPr>
        <w:t>the city of</w:t>
      </w:r>
      <w:r>
        <w:rPr>
          <w:lang w:val="en_US" w:bidi="en_US"/>
        </w:rPr>
        <w:t xml:space="preserve"> Jerusalem.</w:t>
      </w:r>
    </w:p>
    <w:p>
      <w:pPr/>
      <w:r>
        <w:rPr>
          <w:lang w:val="en_US" w:bidi="en_US"/>
        </w:rPr>
      </w:r>
      <w:r>
        <w:rPr>
          <w:b/>
          <w:lang w:val="en_US" w:bidi="en_US"/>
        </w:rPr>
        <w:t>the devil led Him to Jerusalem:</w:t>
      </w:r>
      <w:r>
        <w:rPr>
          <w:lang w:val="en_US" w:bidi="en_US"/>
        </w:rPr>
        <w:t xml:space="preserve"> In this context, the Greek verb that the BSB translated here as </w:t>
      </w:r>
      <w:r>
        <w:rPr>
          <w:i/>
          <w:lang w:val="en_US" w:bidi="en_US"/>
        </w:rPr>
        <w:t>led</w:t>
      </w:r>
      <w:r>
        <w:rPr>
          <w:lang w:val="en_US" w:bidi="en_US"/>
        </w:rPr>
        <w:t xml:space="preserve"> can also be translated as “took, brought, or guided.” For example:</w:t>
      </w:r>
    </w:p>
    <w:p>
      <w:pPr/>
      <w:r>
        <w:rPr>
          <w:lang w:val="en_US" w:bidi="en_US"/>
        </w:rPr>
      </w:r>
      <w:r>
        <w:rPr>
          <w:lang w:val="en_US" w:bidi="en_US"/>
        </w:rPr>
        <w:t>the Devil took him to Jerusalem (GNT)</w:t>
      </w:r>
    </w:p>
    <w:p>
      <w:pPr/>
      <w:r>
        <w:rPr>
          <w:lang w:val="en_US" w:bidi="en_US"/>
        </w:rPr>
      </w:r>
      <w:r>
        <w:rPr>
          <w:lang w:val="en_US" w:bidi="en_US"/>
        </w:rPr>
        <w:t>the devil brought him to Jerusalem (NET)</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refers to Jesus. Since this is the beginning of a new paragraph, it may be necessary to make this explicit. For example:</w:t>
      </w:r>
    </w:p>
    <w:p>
      <w:pPr/>
      <w:r>
        <w:rPr>
          <w:lang w:val="en_US" w:bidi="en_US"/>
        </w:rPr>
      </w:r>
      <w:r>
        <w:rPr>
          <w:lang w:val="en_US" w:bidi="en_US"/>
        </w:rPr>
        <w:t>the devil brought Jesus to Jerusalem</w:t>
      </w:r>
    </w:p>
    <w:p>
      <w:pPr/>
      <w:r>
        <w:rPr>
          <w:lang w:val="en_US" w:bidi="en_US"/>
        </w:rPr>
      </w:r>
      <w:r>
        <w:rPr>
          <w:b/>
          <w:lang w:val="en_US" w:bidi="en_US"/>
        </w:rPr>
        <w:t>to Jerusalem:</w:t>
      </w:r>
      <w:r>
        <w:rPr>
          <w:lang w:val="en_US" w:bidi="en_US"/>
        </w:rPr>
        <w:t xml:space="preserve"> The Greek preposition that the BSB translates here as </w:t>
      </w:r>
      <w:r>
        <w:rPr>
          <w:i/>
          <w:lang w:val="en_US" w:bidi="en_US"/>
        </w:rPr>
        <w:t>to</w:t>
      </w:r>
      <w:r>
        <w:rPr>
          <w:lang w:val="en_US" w:bidi="en_US"/>
        </w:rPr>
        <w:t xml:space="preserve"> may also be translated as “into.” The temple was inside the city of Jerusalem, so the devil took Jesus into the city. For example:</w:t>
      </w:r>
    </w:p>
    <w:p>
      <w:pPr/>
      <w:r>
        <w:rPr>
          <w:lang w:val="en_US" w:bidi="en_US"/>
        </w:rPr>
      </w:r>
      <w:r>
        <w:rPr>
          <w:lang w:val="en_US" w:bidi="en_US"/>
        </w:rPr>
        <w:t>the devil took him into Jerusalem (GW)</w:t>
      </w:r>
    </w:p>
    <w:p>
      <w:pPr>
        <w:pStyle w:val="Heading5"/>
      </w:pPr>
      <w:r>
        <w:rPr>
          <w:lang w:val="en_US" w:bidi="en_US"/>
        </w:rPr>
        <w:t>4:9b</w:t>
      </w:r>
    </w:p>
    <w:p>
      <w:pPr/>
      <w:r>
        <w:rPr>
          <w:lang w:val="en_US" w:bidi="en_US"/>
        </w:rPr>
      </w:r>
      <w:r>
        <w:rPr>
          <w:b/>
          <w:lang w:val="en_US" w:bidi="en_US"/>
        </w:rPr>
        <w:t>and set Him on the pinnacle of the temple.</w:t>
      </w:r>
    </w:p>
    <w:p>
      <w:pPr>
        <w:pStyle w:val="ListBullet"/>
        <w:spacing w:line="240" w:lineRule="auto"/>
        <w:ind w:left="720"/>
      </w:pPr>
      <w:r>
        <w:rPr>
          <w:lang w:val="en_US" w:bidi="en_US"/>
        </w:rPr>
      </w:r>
      <w:r>
        <w:rPr>
          <w:lang w:val="en_US" w:bidi="en_US"/>
        </w:rPr>
        <w:t>and he caused him to stand on the top/pinnacle of the temple.</w:t>
      </w:r>
    </w:p>
    <w:p>
      <w:pPr>
        <w:pStyle w:val="ListBullet"/>
        <w:spacing w:line="240" w:lineRule="auto"/>
        <w:ind w:left="720"/>
      </w:pPr>
      <w:r>
        <w:rPr>
          <w:lang w:val="en_US" w:bidi="en_US"/>
        </w:rPr>
      </w:r>
      <w:r>
        <w:rPr>
          <w:lang w:val="en_US" w:bidi="en_US"/>
        </w:rPr>
        <w:t xml:space="preserve">There he set/stood him on the top </w:t>
      </w:r>
      <w:r>
        <w:rPr>
          <w:lang w:val="en_US" w:bidi="en_US"/>
        </w:rPr>
        <w:t>of one of the towers</w:t>
      </w:r>
      <w:r>
        <w:rPr>
          <w:lang w:val="en_US" w:bidi="en_US"/>
        </w:rPr>
        <w:t xml:space="preserve"> of the temple.</w:t>
      </w:r>
    </w:p>
    <w:p>
      <w:pPr/>
      <w:r>
        <w:rPr>
          <w:lang w:val="en_US" w:bidi="en_US"/>
        </w:rPr>
      </w:r>
      <w:r>
        <w:rPr>
          <w:b/>
          <w:lang w:val="en_US" w:bidi="en_US"/>
        </w:rPr>
        <w:t>set Him:</w:t>
      </w:r>
      <w:r>
        <w:rPr>
          <w:lang w:val="en_US" w:bidi="en_US"/>
        </w:rPr>
        <w:t xml:space="preserve"> The Greek phrase that the BSB translates as </w:t>
      </w:r>
      <w:r>
        <w:rPr>
          <w:i/>
          <w:lang w:val="en_US" w:bidi="en_US"/>
        </w:rPr>
        <w:t>set Him</w:t>
      </w:r>
      <w:r>
        <w:rPr>
          <w:lang w:val="en_US" w:bidi="en_US"/>
        </w:rPr>
        <w:t xml:space="preserve"> is literally “placed him.” It means “caused him to stand.” Some other ways to translate this are:</w:t>
      </w:r>
    </w:p>
    <w:p>
      <w:pPr/>
      <w:r>
        <w:rPr>
          <w:lang w:val="en_US" w:bidi="en_US"/>
        </w:rPr>
      </w:r>
      <w:r>
        <w:rPr>
          <w:lang w:val="en_US" w:bidi="en_US"/>
        </w:rPr>
        <w:t>had him stand (NIV)</w:t>
      </w:r>
    </w:p>
    <w:p>
      <w:pPr/>
      <w:r>
        <w:rPr>
          <w:lang w:val="en_US" w:bidi="en_US"/>
        </w:rPr>
      </w:r>
      <w:r>
        <w:rPr>
          <w:lang w:val="en_US" w:bidi="en_US"/>
        </w:rPr>
        <w:t>put him (NCV)</w:t>
      </w:r>
    </w:p>
    <w:p>
      <w:pPr/>
      <w:r>
        <w:rPr>
          <w:lang w:val="en_US" w:bidi="en_US"/>
        </w:rPr>
      </w:r>
      <w:r>
        <w:rPr>
          <w:b/>
          <w:lang w:val="en_US" w:bidi="en_US"/>
        </w:rPr>
        <w:t>the pinnacle of the temple:</w:t>
      </w:r>
      <w:r>
        <w:rPr>
          <w:lang w:val="en_US" w:bidi="en_US"/>
        </w:rPr>
        <w:t xml:space="preserve"> The </w:t>
      </w:r>
      <w:r>
        <w:rPr>
          <w:i/>
          <w:lang w:val="en_US" w:bidi="en_US"/>
        </w:rPr>
        <w:t>pinnacle of the temple</w:t>
      </w:r>
      <w:r>
        <w:rPr>
          <w:lang w:val="en_US" w:bidi="en_US"/>
        </w:rPr>
        <w:t xml:space="preserve"> probably refers to the top of one of the temple towers. Towers were built into the outer wall of the temple complex. Below this particular tower was a valley. If a person jumped from there, he would fall approximately 150 meters (450 feet).</w:t>
      </w:r>
    </w:p>
    <w:p>
      <w:pPr/>
      <w:r>
        <w:rPr>
          <w:lang w:val="en_US" w:bidi="en_US"/>
        </w:rPr>
      </w:r>
      <w:r>
        <w:rPr>
          <w:lang w:val="en_US" w:bidi="en_US"/>
        </w:rPr>
        <w:t>Another way to translate this is:</w:t>
      </w:r>
    </w:p>
    <w:p>
      <w:pPr/>
      <w:r>
        <w:rPr>
          <w:lang w:val="en_US" w:bidi="en_US"/>
        </w:rPr>
      </w:r>
      <w:r>
        <w:rPr>
          <w:lang w:val="en_US" w:bidi="en_US"/>
        </w:rPr>
        <w:t>the highest point of the temple (NIV)</w:t>
      </w:r>
    </w:p>
    <w:p>
      <w:pPr/>
      <w:r>
        <w:rPr>
          <w:lang w:val="en_US" w:bidi="en_US"/>
        </w:rPr>
      </w:r>
      <w:r>
        <w:rPr>
          <w:b/>
          <w:lang w:val="en_US" w:bidi="en_US"/>
        </w:rPr>
        <w:t>temple:</w:t>
      </w:r>
      <w:r>
        <w:rPr>
          <w:lang w:val="en_US" w:bidi="en_US"/>
        </w:rPr>
        <w:t xml:space="preserve"> The Greek word that the BSB translates as </w:t>
      </w:r>
      <w:r>
        <w:rPr>
          <w:i/>
          <w:lang w:val="en_US" w:bidi="en_US"/>
        </w:rPr>
        <w:t>temple</w:t>
      </w:r>
      <w:r>
        <w:rPr>
          <w:lang w:val="en_US" w:bidi="en_US"/>
        </w:rPr>
        <w:t xml:space="preserve"> refers to the temple building and the walls and courtyards that surrounded it. The </w:t>
      </w:r>
      <w:r>
        <w:rPr>
          <w:i/>
          <w:lang w:val="en_US" w:bidi="en_US"/>
        </w:rPr>
        <w:t>temple</w:t>
      </w:r>
      <w:r>
        <w:rPr>
          <w:lang w:val="en_US" w:bidi="en_US"/>
        </w:rPr>
        <w:t xml:space="preserve"> was in Jerusalem and was the most important place where Jews worshiped God.</w:t>
      </w:r>
    </w:p>
    <w:p>
      <w:pPr/>
      <w:r>
        <w:rPr>
          <w:lang w:val="en_US" w:bidi="en_US"/>
        </w:rPr>
      </w:r>
      <w:r>
        <w:rPr>
          <w:lang w:val="en_US" w:bidi="en_US"/>
        </w:rPr>
        <w:t xml:space="preserve">Some ways to translate the word </w:t>
      </w:r>
      <w:r>
        <w:rPr>
          <w:i/>
          <w:lang w:val="en_US" w:bidi="en_US"/>
        </w:rPr>
        <w:t>temple</w:t>
      </w:r>
      <w:r>
        <w:rPr>
          <w:lang w:val="en_US" w:bidi="en_US"/>
        </w:rPr>
        <w:t xml:space="preserve"> are:</w:t>
      </w:r>
    </w:p>
    <w:p>
      <w:pPr>
        <w:pStyle w:val="ListBullet"/>
        <w:spacing w:line="240" w:lineRule="auto"/>
        <w:ind w:left="720"/>
      </w:pPr>
      <w:r>
        <w:rPr>
          <w:lang w:val="en_US" w:bidi="en_US"/>
        </w:rPr>
      </w:r>
      <w:r>
        <w:rPr>
          <w:lang w:val="en_US" w:bidi="en_US"/>
        </w:rPr>
        <w:t>Use a descriptive phrase. For example:</w:t>
      </w:r>
      <w:r>
        <w:rPr>
          <w:lang w:val="en_US" w:bidi="en_US"/>
        </w:rPr>
        <w:t>house/building of God</w:t>
      </w:r>
      <w:r>
        <w:rPr>
          <w:lang w:val="en_US" w:bidi="en_US"/>
        </w:rPr>
        <w:t>place of sacrifice</w:t>
      </w:r>
      <w:r>
        <w:rPr>
          <w:lang w:val="en_US" w:bidi="en_US"/>
        </w:rPr>
        <w:t>house/place of worship</w:t>
      </w:r>
      <w:r>
        <w:rPr>
          <w:lang w:val="en_US" w:bidi="en_US"/>
        </w:rPr>
        <w:t>holy/sacred house</w:t>
      </w:r>
    </w:p>
    <w:p>
      <w:pPr>
        <w:pStyle w:val="ListBullet"/>
        <w:spacing w:line="240" w:lineRule="auto"/>
        <w:ind w:left="720"/>
      </w:pPr>
      <w:r>
        <w:rPr>
          <w:lang w:val="en_US" w:bidi="en_US"/>
        </w:rPr>
      </w:r>
      <w:r>
        <w:rPr>
          <w:lang w:val="en_US" w:bidi="en_US"/>
        </w:rPr>
        <w:t>If your language has a word for “temple,” consider using it. But you may need to modify it by saying:</w:t>
      </w:r>
      <w:r>
        <w:rPr>
          <w:lang w:val="en_US" w:bidi="en_US"/>
        </w:rPr>
        <w:t xml:space="preserve">temple </w:t>
      </w:r>
      <w:r>
        <w:rPr>
          <w:u w:val="single"/>
          <w:lang w:val="en_US" w:bidi="en_US"/>
        </w:rPr>
        <w:t>of the Jews/Lord</w:t>
      </w:r>
    </w:p>
    <w:p>
      <w:pPr/>
      <w:r>
        <w:rPr>
          <w:lang w:val="en_US" w:bidi="en_US"/>
        </w:rPr>
      </w:r>
      <w:r>
        <w:rPr>
          <w:lang w:val="en_US" w:bidi="en_US"/>
        </w:rPr>
        <w:t>Be sure to use a different term from the one you have chosen for “synagogue.” There was only one temple, but there were many synagogues where the Jews met regularly for worship.</w:t>
      </w:r>
    </w:p>
    <w:p>
      <w:pPr/>
      <w:r>
        <w:rPr>
          <w:lang w:val="en_US" w:bidi="en_US"/>
        </w:rPr>
      </w:r>
      <w:r>
        <w:rPr>
          <w:lang w:val="en_US" w:bidi="en_US"/>
        </w:rPr>
        <w:t xml:space="preserve">See temple, Meaning 1 in the Glossary for more information about the </w:t>
      </w:r>
      <w:r>
        <w:rPr>
          <w:i/>
          <w:lang w:val="en_US" w:bidi="en_US"/>
        </w:rPr>
        <w:t>temple</w:t>
      </w:r>
      <w:r>
        <w:rPr>
          <w:lang w:val="en_US" w:bidi="en_US"/>
        </w:rPr>
        <w:t xml:space="preserve"> and how to translate it.</w:t>
      </w:r>
    </w:p>
    <w:p>
      <w:pPr>
        <w:pStyle w:val="Heading5"/>
      </w:pPr>
      <w:r>
        <w:rPr>
          <w:lang w:val="en_US" w:bidi="en_US"/>
        </w:rPr>
        <w:t>4:9c</w:t>
      </w:r>
    </w:p>
    <w:p>
      <w:pPr/>
      <w:r>
        <w:rPr>
          <w:lang w:val="en_US" w:bidi="en_US"/>
        </w:rPr>
      </w:r>
      <w:r>
        <w:rPr>
          <w:b/>
          <w:lang w:val="en_US" w:bidi="en_US"/>
        </w:rPr>
        <w:t>“If You are the Son of God,” he said,</w:t>
      </w:r>
    </w:p>
    <w:p>
      <w:pPr>
        <w:pStyle w:val="ListBullet"/>
        <w:spacing w:line="240" w:lineRule="auto"/>
        <w:ind w:left="720"/>
      </w:pPr>
      <w:r>
        <w:rPr>
          <w:lang w:val="en_US" w:bidi="en_US"/>
        </w:rPr>
      </w:r>
      <w:r>
        <w:rPr>
          <w:lang w:val="en_US" w:bidi="en_US"/>
        </w:rPr>
        <w:t xml:space="preserve">And he said to Jesus, “If you </w:t>
      </w:r>
      <w:r>
        <w:rPr>
          <w:lang w:val="en_US" w:bidi="en_US"/>
        </w:rPr>
        <w:t>really</w:t>
      </w:r>
      <w:r>
        <w:rPr>
          <w:lang w:val="en_US" w:bidi="en_US"/>
        </w:rPr>
        <w:t xml:space="preserve"> are the Son of God,</w:t>
      </w:r>
    </w:p>
    <w:p>
      <w:pPr/>
      <w:r>
        <w:rPr>
          <w:lang w:val="en_US" w:bidi="en_US"/>
        </w:rPr>
      </w:r>
      <w:r>
        <w:rPr>
          <w:b/>
          <w:lang w:val="en_US" w:bidi="en_US"/>
        </w:rPr>
        <w:t>If You are the Son of God:</w:t>
      </w:r>
      <w:r>
        <w:rPr>
          <w:lang w:val="en_US" w:bidi="en_US"/>
        </w:rPr>
        <w:t xml:space="preserve"> The words </w:t>
      </w:r>
      <w:r>
        <w:rPr>
          <w:i/>
          <w:lang w:val="en_US" w:bidi="en_US"/>
        </w:rPr>
        <w:t>If You are the Son of God</w:t>
      </w:r>
      <w:r>
        <w:rPr>
          <w:lang w:val="en_US" w:bidi="en_US"/>
        </w:rPr>
        <w:t xml:space="preserve"> are the same words as in 4:3a.</w:t>
      </w:r>
    </w:p>
    <w:p>
      <w:pPr/>
      <w:r>
        <w:rPr>
          <w:lang w:val="en_US" w:bidi="en_US"/>
        </w:rPr>
      </w:r>
      <w:r>
        <w:rPr>
          <w:b/>
          <w:lang w:val="en_US" w:bidi="en_US"/>
        </w:rPr>
        <w:t>he said:</w:t>
      </w:r>
      <w:r>
        <w:rPr>
          <w:lang w:val="en_US" w:bidi="en_US"/>
        </w:rPr>
        <w:t xml:space="preserve"> The Greek clause that the BSB has translated as </w:t>
      </w:r>
      <w:r>
        <w:rPr>
          <w:i/>
          <w:lang w:val="en_US" w:bidi="en_US"/>
        </w:rPr>
        <w:t>he said</w:t>
      </w:r>
      <w:r>
        <w:rPr>
          <w:lang w:val="en_US" w:bidi="en_US"/>
        </w:rPr>
        <w:t xml:space="preserve"> is literally “and he said to him.” In Greek, these words come before “If you are the Son of God.” You should place these words where it is natural in your language to identify the speaker of this quotation.</w:t>
      </w:r>
    </w:p>
    <w:p>
      <w:pPr>
        <w:pStyle w:val="Heading5"/>
      </w:pPr>
      <w:r>
        <w:rPr>
          <w:lang w:val="en_US" w:bidi="en_US"/>
        </w:rPr>
        <w:t>4:9d</w:t>
      </w:r>
    </w:p>
    <w:p>
      <w:pPr/>
      <w:r>
        <w:rPr>
          <w:lang w:val="en_US" w:bidi="en_US"/>
        </w:rPr>
      </w:r>
      <w:r>
        <w:rPr>
          <w:b/>
          <w:lang w:val="en_US" w:bidi="en_US"/>
        </w:rPr>
        <w:t>“throw Yourself down from here.</w:t>
      </w:r>
    </w:p>
    <w:p>
      <w:pPr>
        <w:pStyle w:val="ListBullet"/>
        <w:spacing w:line="240" w:lineRule="auto"/>
        <w:ind w:left="720"/>
      </w:pPr>
      <w:r>
        <w:rPr>
          <w:lang w:val="en_US" w:bidi="en_US"/>
        </w:rPr>
      </w:r>
      <w:r>
        <w:rPr>
          <w:lang w:val="en_US" w:bidi="en_US"/>
        </w:rPr>
        <w:t>jump down from here.</w:t>
      </w:r>
    </w:p>
    <w:p>
      <w:pPr>
        <w:pStyle w:val="ListBullet"/>
        <w:spacing w:line="240" w:lineRule="auto"/>
        <w:ind w:left="720"/>
      </w:pPr>
      <w:r>
        <w:rPr>
          <w:lang w:val="en_US" w:bidi="en_US"/>
        </w:rPr>
      </w:r>
      <w:r>
        <w:rPr>
          <w:lang w:val="en_US" w:bidi="en_US"/>
        </w:rPr>
        <w:t xml:space="preserve">jump off of this </w:t>
      </w:r>
      <w:r>
        <w:rPr>
          <w:lang w:val="en_US" w:bidi="en_US"/>
        </w:rPr>
        <w:t>roof</w:t>
      </w:r>
      <w:r>
        <w:rPr>
          <w:lang w:val="en_US" w:bidi="en_US"/>
        </w:rPr>
        <w:t>!</w:t>
      </w:r>
    </w:p>
    <w:p>
      <w:pPr/>
      <w:r>
        <w:rPr>
          <w:lang w:val="en_US" w:bidi="en_US"/>
        </w:rPr>
      </w:r>
      <w:r>
        <w:rPr>
          <w:b/>
          <w:lang w:val="en_US" w:bidi="en_US"/>
        </w:rPr>
        <w:t>throw Yourself down from here:</w:t>
      </w:r>
      <w:r>
        <w:rPr>
          <w:lang w:val="en_US" w:bidi="en_US"/>
        </w:rPr>
        <w:t xml:space="preserve"> The phrase </w:t>
      </w:r>
      <w:r>
        <w:rPr>
          <w:i/>
          <w:lang w:val="en_US" w:bidi="en_US"/>
        </w:rPr>
        <w:t>throw Yourself down</w:t>
      </w:r>
      <w:r>
        <w:rPr>
          <w:lang w:val="en_US" w:bidi="en_US"/>
        </w:rPr>
        <w:t xml:space="preserve"> means “leap off,” “jump down,” or “make yourself fall down.” For example:</w:t>
      </w:r>
    </w:p>
    <w:p>
      <w:pPr/>
      <w:r>
        <w:rPr>
          <w:lang w:val="en_US" w:bidi="en_US"/>
        </w:rPr>
      </w:r>
      <w:r>
        <w:rPr>
          <w:lang w:val="en_US" w:bidi="en_US"/>
        </w:rPr>
        <w:t>jump from here (GW)</w:t>
      </w:r>
    </w:p>
    <w:p>
      <w:pPr/>
      <w:r>
        <w:rPr>
          <w:lang w:val="en_US" w:bidi="en_US"/>
        </w:rPr>
      </w:r>
      <w:r>
        <w:rPr>
          <w:lang w:val="en_US" w:bidi="en_US"/>
        </w:rPr>
        <w:t>jump down (NCV)</w:t>
      </w:r>
    </w:p>
    <w:p>
      <w:pPr/>
      <w:r>
        <w:rPr>
          <w:lang w:val="en_US" w:bidi="en_US"/>
        </w:rPr>
      </w:r>
      <w:r>
        <w:rPr>
          <w:lang w:val="en_US" w:bidi="en_US"/>
        </w:rPr>
        <w:t>Normally someone who jumped from such a great height would die. If Jesus had jumped, he would have sinned, because he would have tested God to prove that God would protect him.</w:t>
      </w:r>
      <w:r>
        <w:rPr>
          <w:lang w:val="en_US" w:bidi="en_US"/>
        </w:rPr>
      </w:r>
      <w:r>
        <w:rPr>
          <w:lang w:val="en_US" w:bidi="en_US"/>
        </w:rPr>
      </w:r>
    </w:p>
    <w:p>
      <w:pPr/>
      <w:r>
        <w:rPr>
          <w:lang w:val="en_US" w:bidi="en_US"/>
        </w:rPr>
      </w:r>
    </w:p>
    <w:p>
      <w:pPr>
        <w:pStyle w:val="Heading2"/>
      </w:pPr>
      <w:r>
        <w:rPr>
          <w:lang w:val="en_US" w:bidi="en_US"/>
        </w:rPr>
        <w:t>Luke 4:10</w:t>
      </w:r>
      <w:r>
        <w:rPr>
          <w:lang w:val="en_US" w:bidi="en_US"/>
        </w:rPr>
      </w:r>
    </w:p>
    <w:p>
      <w:pPr>
        <w:pStyle w:val="Heading4"/>
      </w:pPr>
      <w:r>
        <w:rPr>
          <w:lang w:val="en_US" w:bidi="en_US"/>
        </w:rPr>
        <w:t>Section 4:1–13: Satan tempted Jesus</w:t>
      </w:r>
    </w:p>
    <w:p>
      <w:pPr/>
      <w:r>
        <w:rPr>
          <w:lang w:val="en_US" w:bidi="en_US"/>
        </w:rPr>
      </w:r>
      <w:r>
        <w:rPr>
          <w:lang w:val="en_US" w:bidi="en_US"/>
        </w:rP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pPr/>
      <w:r>
        <w:rPr>
          <w:lang w:val="en_US" w:bidi="en_US"/>
        </w:rPr>
      </w:r>
      <w:r>
        <w:rPr>
          <w:lang w:val="en_US" w:bidi="en_US"/>
        </w:rPr>
        <w:t>Some other possible headings for this section are:</w:t>
      </w:r>
    </w:p>
    <w:p>
      <w:pPr/>
      <w:r>
        <w:rPr>
          <w:lang w:val="en_US" w:bidi="en_US"/>
        </w:rPr>
      </w:r>
      <w:r>
        <w:rPr>
          <w:lang w:val="en_US" w:bidi="en_US"/>
        </w:rPr>
        <w:t>The Temptation of Jesus</w:t>
      </w:r>
    </w:p>
    <w:p>
      <w:pPr/>
      <w:r>
        <w:rPr>
          <w:lang w:val="en_US" w:bidi="en_US"/>
        </w:rPr>
      </w:r>
      <w:r>
        <w:rPr>
          <w:lang w:val="en_US" w:bidi="en_US"/>
        </w:rPr>
        <w:t>Jesus Is Tempted by the Devil (NCV)</w:t>
      </w:r>
    </w:p>
    <w:p>
      <w:pPr/>
      <w:r>
        <w:rPr>
          <w:lang w:val="en_US" w:bidi="en_US"/>
        </w:rPr>
      </w:r>
      <w:r>
        <w:rPr>
          <w:lang w:val="en_US" w:bidi="en_US"/>
        </w:rPr>
        <w:t>There is a parallel passage for this section in Matthew 4:1–11, and a shorter version occurs in Mark 1:12–13.</w:t>
      </w:r>
    </w:p>
    <w:p>
      <w:pPr>
        <w:pStyle w:val="Heading4"/>
      </w:pPr>
      <w:r>
        <w:rPr>
          <w:lang w:val="en_US" w:bidi="en_US"/>
        </w:rPr>
        <w:t>Paragraph 4:9–12</w:t>
      </w:r>
    </w:p>
    <w:p>
      <w:pPr/>
      <w:r>
        <w:rPr>
          <w:lang w:val="en_US" w:bidi="en_US"/>
        </w:rPr>
      </w:r>
      <w:r>
        <w:rPr>
          <w:lang w:val="en_US" w:bidi="en_US"/>
        </w:rPr>
        <w:t>In this paragraph, Luke reported another way that the devil tempted Jesus.</w:t>
      </w:r>
      <w:r>
        <w:rPr>
          <w:lang w:val="en_US" w:bidi="en_US"/>
        </w:rPr>
        <w:t>Luke chose to report this temptation last in the series of three, but Matthew reports it second. The order in which Matthew reported these three temptations is probably the order in which they actually occurred.</w:t>
      </w:r>
      <w:r>
        <w:rPr>
          <w:lang w:val="en_US" w:bidi="en_US"/>
        </w:rPr>
        <w:t xml:space="preserve"> In this paragraph, the devil tempted Jesus to put himself in danger. If Jesus had put himself in danger, he would have sinned, because he would have tested God.</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is a common connecting word. It does not necessarily imply a time reference, and so some English versions, such as the ESV, translate it as “and.” Other versions, such as the NIV, do not translate this conjunction.</w:t>
      </w:r>
    </w:p>
    <w:p>
      <w:pPr/>
      <w:r>
        <w:rPr>
          <w:lang w:val="en_US" w:bidi="en_US"/>
        </w:rPr>
      </w:r>
      <w:r>
        <w:rPr>
          <w:lang w:val="en_US" w:bidi="en_US"/>
        </w:rPr>
        <w:t>The events in this paragraph may have occurred before the temptation in 4:5–8. So if it is natural in your language to begin this paragraph with a connecting word or phrase, you should be as general as possible. For example:</w:t>
      </w:r>
    </w:p>
    <w:p>
      <w:pPr/>
      <w:r>
        <w:rPr>
          <w:lang w:val="en_US" w:bidi="en_US"/>
        </w:rPr>
      </w:r>
      <w:r>
        <w:rPr>
          <w:lang w:val="en_US" w:bidi="en_US"/>
        </w:rPr>
        <w:t>Also</w:t>
      </w:r>
    </w:p>
    <w:p>
      <w:pPr/>
      <w:r>
        <w:rPr>
          <w:lang w:val="en_US" w:bidi="en_US"/>
        </w:rPr>
      </w:r>
      <w:r>
        <w:rPr>
          <w:lang w:val="en_US" w:bidi="en_US"/>
        </w:rPr>
        <w:t>Another time</w:t>
      </w:r>
    </w:p>
    <w:p>
      <w:pPr/>
      <w:r>
        <w:rPr>
          <w:lang w:val="en_US" w:bidi="en_US"/>
        </w:rPr>
      </w:r>
      <w:r>
        <w:rPr>
          <w:lang w:val="en_US" w:bidi="en_US"/>
        </w:rPr>
        <w:t xml:space="preserve">In some languages, certain time words may not necessarily indicate that this paragraph occurred immediately after 4:5–8. If that is true in your language, a word such as </w:t>
      </w:r>
      <w:r>
        <w:rPr>
          <w:i/>
          <w:lang w:val="en_US" w:bidi="en_US"/>
        </w:rPr>
        <w:t>Then</w:t>
      </w:r>
      <w:r>
        <w:rPr>
          <w:lang w:val="en_US" w:bidi="en_US"/>
        </w:rPr>
        <w:t xml:space="preserve"> may be appropriate. Connect 4:4a to 4:3b in a way that is natural in your language.</w:t>
      </w:r>
    </w:p>
    <w:p>
      <w:pPr>
        <w:pStyle w:val="Heading5"/>
      </w:pPr>
      <w:r>
        <w:rPr>
          <w:lang w:val="en_US" w:bidi="en_US"/>
        </w:rPr>
        <w:t>4:10a</w:t>
      </w:r>
    </w:p>
    <w:p>
      <w:pPr/>
      <w:r>
        <w:rPr>
          <w:lang w:val="en_US" w:bidi="en_US"/>
        </w:rPr>
      </w:r>
      <w:r>
        <w:rPr>
          <w:b/>
          <w:lang w:val="en_US" w:bidi="en_US"/>
        </w:rPr>
        <w:t>For it is written:</w:t>
      </w:r>
    </w:p>
    <w:p>
      <w:pPr>
        <w:pStyle w:val="ListBullet"/>
        <w:spacing w:line="240" w:lineRule="auto"/>
        <w:ind w:left="720"/>
      </w:pPr>
      <w:r>
        <w:rPr>
          <w:lang w:val="en_US" w:bidi="en_US"/>
        </w:rPr>
      </w:r>
      <w:r>
        <w:rPr>
          <w:lang w:val="en_US" w:bidi="en_US"/>
        </w:rPr>
        <w:t>Because it is written in the Scriptures:</w:t>
      </w:r>
    </w:p>
    <w:p>
      <w:pPr>
        <w:pStyle w:val="ListBullet"/>
        <w:spacing w:line="240" w:lineRule="auto"/>
        <w:ind w:left="720"/>
      </w:pPr>
      <w:r>
        <w:rPr>
          <w:lang w:val="en_US" w:bidi="en_US"/>
        </w:rPr>
      </w:r>
      <w:r>
        <w:rPr>
          <w:lang w:val="en_US" w:bidi="en_US"/>
        </w:rPr>
        <w:t>For the Scriptures say:</w:t>
      </w:r>
    </w:p>
    <w:p>
      <w:pPr>
        <w:pStyle w:val="ListBullet"/>
        <w:spacing w:line="240" w:lineRule="auto"/>
        <w:ind w:left="720"/>
      </w:pPr>
      <w:r>
        <w:rPr>
          <w:lang w:val="en_US" w:bidi="en_US"/>
        </w:rPr>
      </w:r>
      <w:r>
        <w:rPr>
          <w:lang w:val="en_US" w:bidi="en_US"/>
        </w:rPr>
        <w:t>You will not be hurt,</w:t>
      </w:r>
      <w:r>
        <w:rPr>
          <w:lang w:val="en_US" w:bidi="en_US"/>
        </w:rPr>
        <w:t xml:space="preserve"> because in the </w:t>
      </w:r>
      <w:r>
        <w:rPr>
          <w:lang w:val="en_US" w:bidi="en_US"/>
        </w:rPr>
        <w:t>holy</w:t>
      </w:r>
      <w:r>
        <w:rPr>
          <w:lang w:val="en_US" w:bidi="en_US"/>
        </w:rPr>
        <w:t xml:space="preserve"> writings, it says,</w:t>
      </w:r>
    </w:p>
    <w:p>
      <w:pPr/>
      <w:r>
        <w:rPr>
          <w:lang w:val="en_US" w:bidi="en_US"/>
        </w:rPr>
      </w:r>
      <w:r>
        <w:rPr>
          <w:b/>
          <w:lang w:val="en_US" w:bidi="en_US"/>
        </w:rPr>
        <w:t>For:</w:t>
      </w:r>
      <w:r>
        <w:rPr>
          <w:lang w:val="en_US" w:bidi="en_US"/>
        </w:rPr>
        <w:t xml:space="preserve"> The Greek conjunction that the BSB here translates as </w:t>
      </w:r>
      <w:r>
        <w:rPr>
          <w:i/>
          <w:lang w:val="en_US" w:bidi="en_US"/>
        </w:rPr>
        <w:t>For</w:t>
      </w:r>
      <w:r>
        <w:rPr>
          <w:lang w:val="en_US" w:bidi="en_US"/>
        </w:rPr>
        <w:t xml:space="preserve"> also means “because.” This conjunction introduces the reason clause (4:10a) of a reason-result statement. The result is implied. The implied information is: </w:t>
      </w:r>
      <w:r>
        <w:rPr>
          <w:lang w:val="en_US" w:bidi="en_US"/>
        </w:rPr>
        <w:t>You will not be hurt</w:t>
      </w:r>
      <w:r>
        <w:rPr>
          <w:lang w:val="en_US" w:bidi="en_US"/>
        </w:rPr>
        <w:t xml:space="preserve"> or </w:t>
      </w:r>
      <w:r>
        <w:rPr>
          <w:lang w:val="en_US" w:bidi="en_US"/>
        </w:rPr>
        <w:t>it will not harm you</w:t>
      </w:r>
      <w:r>
        <w:rPr>
          <w:lang w:val="en_US" w:bidi="en_US"/>
        </w:rPr>
        <w:t>.</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result (implied)</w:t>
            </w:r>
          </w:p>
        </w:tc>
        <w:tc>
          <w:tcPr>
            <w:tcW w:type="dxa" w:w="4680"/>
          </w:tcPr>
          <w:p>
            <w:pPr/>
            <w:r>
              <w:rPr>
                <w:lang w:val="en_US" w:bidi="en_US"/>
              </w:rPr>
            </w:r>
            <w:r>
              <w:rPr>
                <w:lang w:val="en_US" w:bidi="en_US"/>
              </w:rPr>
              <w:t>You will not be hurt,</w:t>
            </w:r>
          </w:p>
        </w:tc>
      </w:tr>
      <w:tr>
        <w:tc>
          <w:tcPr>
            <w:tcW w:type="dxa" w:w="4680"/>
          </w:tcPr>
          <w:p>
            <w:pPr/>
            <w:r>
              <w:rPr>
                <w:lang w:val="en_US" w:bidi="en_US"/>
              </w:rPr>
            </w:r>
            <w:r>
              <w:rPr>
                <w:lang w:val="en_US" w:bidi="en_US"/>
              </w:rPr>
              <w:t>reason (4:10b)</w:t>
            </w:r>
          </w:p>
        </w:tc>
        <w:tc>
          <w:tcPr>
            <w:tcW w:type="dxa" w:w="4680"/>
          </w:tcPr>
          <w:p>
            <w:pPr/>
            <w:r>
              <w:rPr>
                <w:lang w:val="en_US" w:bidi="en_US"/>
              </w:rPr>
            </w:r>
            <w:r>
              <w:rPr>
                <w:u w:val="single"/>
                <w:lang w:val="en_US" w:bidi="en_US"/>
              </w:rPr>
              <w:t>for/because</w:t>
            </w:r>
            <w:r>
              <w:rPr>
                <w:lang w:val="en_US" w:bidi="en_US"/>
              </w:rPr>
              <w:t xml:space="preserve"> God will tell his angels to protect you.</w:t>
            </w:r>
          </w:p>
        </w:tc>
      </w:tr>
    </w:tbl>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Include the implied information and indicate the relationship with 4:10b. For example:</w:t>
      </w:r>
      <w:r>
        <w:rPr>
          <w:lang w:val="en_US" w:bidi="en_US"/>
        </w:rPr>
        <w:t>You will not be hurt</w:t>
      </w:r>
      <w:r>
        <w:rPr>
          <w:lang w:val="en_US" w:bidi="en_US"/>
        </w:rPr>
        <w:t xml:space="preserve"> </w:t>
      </w:r>
      <w:r>
        <w:rPr>
          <w:u w:val="single"/>
          <w:lang w:val="en_US" w:bidi="en_US"/>
        </w:rPr>
        <w:t>because</w:t>
      </w:r>
      <w:r>
        <w:rPr>
          <w:lang w:val="en_US" w:bidi="en_US"/>
        </w:rPr>
        <w:t xml:space="preserve"> it is written…</w:t>
      </w:r>
      <w:r>
        <w:rPr>
          <w:lang w:val="en_US" w:bidi="en_US"/>
        </w:rPr>
        <w:t xml:space="preserve">It is written…, </w:t>
      </w:r>
      <w:r>
        <w:rPr>
          <w:u w:val="single"/>
          <w:lang w:val="en_US" w:bidi="en_US"/>
        </w:rPr>
        <w:t>so</w:t>
      </w:r>
      <w:r>
        <w:rPr>
          <w:lang w:val="en_US" w:bidi="en_US"/>
        </w:rPr>
        <w:t xml:space="preserve"> </w:t>
      </w:r>
      <w:r>
        <w:rPr>
          <w:lang w:val="en_US" w:bidi="en_US"/>
        </w:rPr>
        <w:t>you will not be hurt</w:t>
      </w:r>
    </w:p>
    <w:p>
      <w:pPr>
        <w:pStyle w:val="ListBullet"/>
        <w:spacing w:line="240" w:lineRule="auto"/>
        <w:ind w:left="720"/>
      </w:pPr>
      <w:r>
        <w:rPr>
          <w:lang w:val="en_US" w:bidi="en_US"/>
        </w:rPr>
      </w:r>
      <w:r>
        <w:rPr>
          <w:lang w:val="en_US" w:bidi="en_US"/>
        </w:rPr>
        <w:t>Do not translate the conjunction, and leave the relationship implied. For example:</w:t>
      </w:r>
      <w:r>
        <w:rPr>
          <w:lang w:val="en_US" w:bidi="en_US"/>
        </w:rPr>
        <w:t>It is written in the Scriptures (NCV)</w:t>
      </w:r>
      <w:r>
        <w:rPr>
          <w:lang w:val="en_US" w:bidi="en_US"/>
        </w:rPr>
        <w:t>Scripture says</w:t>
      </w:r>
    </w:p>
    <w:p>
      <w:pPr/>
      <w:r>
        <w:rPr>
          <w:lang w:val="en_US" w:bidi="en_US"/>
        </w:rPr>
      </w:r>
      <w:r>
        <w:rPr>
          <w:b/>
          <w:lang w:val="en_US" w:bidi="en_US"/>
        </w:rPr>
        <w:t>it is written:</w:t>
      </w:r>
      <w:r>
        <w:rPr>
          <w:lang w:val="en_US" w:bidi="en_US"/>
        </w:rPr>
        <w:t xml:space="preserve"> The phrase </w:t>
      </w:r>
      <w:r>
        <w:rPr>
          <w:i/>
          <w:lang w:val="en_US" w:bidi="en_US"/>
        </w:rPr>
        <w:t>it is written</w:t>
      </w:r>
      <w:r>
        <w:rPr>
          <w:lang w:val="en_US" w:bidi="en_US"/>
        </w:rPr>
        <w:t xml:space="preserve"> again introduces a quotation from the OT Scriptures. The quotation is in 4:10b–4:11b. The quotation is from Psalm 91:11–12. (See also the note on “It is written” at 4:8a.)</w:t>
      </w:r>
    </w:p>
    <w:p>
      <w:pPr>
        <w:pStyle w:val="Heading5"/>
      </w:pPr>
      <w:r>
        <w:rPr>
          <w:lang w:val="en_US" w:bidi="en_US"/>
        </w:rPr>
        <w:t>4:10b</w:t>
      </w:r>
    </w:p>
    <w:p>
      <w:pPr/>
      <w:r>
        <w:rPr>
          <w:lang w:val="en_US" w:bidi="en_US"/>
        </w:rPr>
      </w:r>
      <w:r>
        <w:rPr>
          <w:b/>
          <w:lang w:val="en_US" w:bidi="en_US"/>
        </w:rPr>
        <w:t>‘He will command His angels concerning You to guard You carefully;</w:t>
      </w:r>
    </w:p>
    <w:p>
      <w:pPr>
        <w:pStyle w:val="ListBullet"/>
        <w:spacing w:line="240" w:lineRule="auto"/>
        <w:ind w:left="720"/>
      </w:pPr>
      <w:r>
        <w:rPr>
          <w:lang w:val="en_US" w:bidi="en_US"/>
        </w:rPr>
      </w:r>
      <w:r>
        <w:rPr>
          <w:lang w:val="en_US" w:bidi="en_US"/>
        </w:rPr>
        <w:t>‘God will tell his angels to protect you.</w:t>
      </w:r>
      <w:r>
        <w:rPr>
          <w:vertAlign w:val="superscript"/>
          <w:lang w:val="en_US" w:bidi="en_US"/>
        </w:rPr>
        <w:t>(sing)</w:t>
      </w:r>
    </w:p>
    <w:p>
      <w:pPr>
        <w:pStyle w:val="ListBullet"/>
        <w:spacing w:line="240" w:lineRule="auto"/>
        <w:ind w:left="720"/>
      </w:pPr>
      <w:r>
        <w:rPr>
          <w:lang w:val="en_US" w:bidi="en_US"/>
        </w:rPr>
      </w:r>
      <w:r>
        <w:rPr>
          <w:lang w:val="en_US" w:bidi="en_US"/>
        </w:rPr>
        <w:t>‘God will order his angels to keep you</w:t>
      </w:r>
      <w:r>
        <w:rPr>
          <w:vertAlign w:val="superscript"/>
          <w:lang w:val="en_US" w:bidi="en_US"/>
        </w:rPr>
        <w:t>(sing)</w:t>
      </w:r>
      <w:r>
        <w:rPr>
          <w:lang w:val="en_US" w:bidi="en_US"/>
        </w:rPr>
        <w:t xml:space="preserve"> safe.</w:t>
      </w:r>
    </w:p>
    <w:p>
      <w:pPr>
        <w:pStyle w:val="ListBullet"/>
        <w:spacing w:line="240" w:lineRule="auto"/>
        <w:ind w:left="720"/>
      </w:pPr>
      <w:r>
        <w:rPr>
          <w:lang w:val="en_US" w:bidi="en_US"/>
        </w:rPr>
      </w:r>
      <w:r>
        <w:rPr>
          <w:lang w:val="en_US" w:bidi="en_US"/>
        </w:rPr>
        <w:t>‘God will order his angels, “Keep him from any harm.”</w:t>
      </w:r>
    </w:p>
    <w:p>
      <w:pPr/>
      <w:r>
        <w:rPr>
          <w:lang w:val="en_US" w:bidi="en_US"/>
        </w:rPr>
      </w:r>
      <w:r>
        <w:rPr>
          <w:b/>
          <w:lang w:val="en_US" w:bidi="en_US"/>
        </w:rPr>
        <w:t>He will command His angels concerning You to guard You carefully:</w:t>
      </w:r>
      <w:r>
        <w:rPr>
          <w:lang w:val="en_US" w:bidi="en_US"/>
        </w:rPr>
        <w:t xml:space="preserve"> This quotation is the first part of Psalm 91:11.</w:t>
      </w:r>
    </w:p>
    <w:p>
      <w:pPr/>
      <w:r>
        <w:rPr>
          <w:lang w:val="en_US" w:bidi="en_US"/>
        </w:rPr>
      </w:r>
      <w:r>
        <w:rPr>
          <w:lang w:val="en_US" w:bidi="en_US"/>
        </w:rPr>
        <w:t xml:space="preserve">The pronoun </w:t>
      </w:r>
      <w:r>
        <w:rPr>
          <w:i/>
          <w:lang w:val="en_US" w:bidi="en_US"/>
        </w:rPr>
        <w:t>You</w:t>
      </w:r>
      <w:r>
        <w:rPr>
          <w:lang w:val="en_US" w:bidi="en_US"/>
        </w:rPr>
        <w:t xml:space="preserve"> occurs twice in 4:10b. In some languages, this is not natural. If this is the case in your language, consider making </w:t>
      </w:r>
      <w:r>
        <w:rPr>
          <w:i/>
          <w:lang w:val="en_US" w:bidi="en_US"/>
        </w:rPr>
        <w:t>concerning You</w:t>
      </w:r>
      <w:r>
        <w:rPr>
          <w:lang w:val="en_US" w:bidi="en_US"/>
        </w:rPr>
        <w:t xml:space="preserve"> implicit. For example:</w:t>
      </w:r>
    </w:p>
    <w:p>
      <w:pPr/>
      <w:r>
        <w:rPr>
          <w:lang w:val="en_US" w:bidi="en_US"/>
        </w:rPr>
      </w:r>
      <w:r>
        <w:rPr>
          <w:lang w:val="en_US" w:bidi="en_US"/>
        </w:rPr>
        <w:t>God will order his angels to protect you from harm.</w:t>
      </w:r>
    </w:p>
    <w:p>
      <w:pPr/>
      <w:r>
        <w:rPr>
          <w:lang w:val="en_US" w:bidi="en_US"/>
        </w:rPr>
      </w:r>
      <w:r>
        <w:rPr>
          <w:lang w:val="en_US" w:bidi="en_US"/>
        </w:rPr>
        <w:t>In some languages, it may be natural to use a direct quotation:</w:t>
      </w:r>
    </w:p>
    <w:p>
      <w:pPr/>
      <w:r>
        <w:rPr>
          <w:lang w:val="en_US" w:bidi="en_US"/>
        </w:rPr>
      </w:r>
      <w:r>
        <w:rPr>
          <w:lang w:val="en_US" w:bidi="en_US"/>
        </w:rPr>
        <w:t>God</w:t>
      </w:r>
      <w:r>
        <w:rPr>
          <w:lang w:val="en_US" w:bidi="en_US"/>
        </w:rPr>
        <w:t xml:space="preserve"> will give his angels orders about you, </w:t>
      </w:r>
      <w:r>
        <w:rPr>
          <w:lang w:val="en_US" w:bidi="en_US"/>
        </w:rPr>
        <w:t>saying,</w:t>
      </w:r>
      <w:r>
        <w:rPr>
          <w:lang w:val="en_US" w:bidi="en_US"/>
        </w:rPr>
        <w:t xml:space="preserve"> “Keep him safe.”</w:t>
      </w:r>
    </w:p>
    <w:p>
      <w:pPr/>
      <w:r>
        <w:rPr>
          <w:lang w:val="en_US" w:bidi="en_US"/>
        </w:rPr>
      </w:r>
      <w:r>
        <w:rPr>
          <w:b/>
          <w:lang w:val="en_US" w:bidi="en_US"/>
        </w:rPr>
        <w:t>‘He:</w:t>
      </w:r>
      <w:r>
        <w:rPr>
          <w:lang w:val="en_US" w:bidi="en_US"/>
        </w:rPr>
        <w:t xml:space="preserve"> In this quotation the pronoun </w:t>
      </w:r>
      <w:r>
        <w:rPr>
          <w:i/>
          <w:lang w:val="en_US" w:bidi="en_US"/>
        </w:rPr>
        <w:t>He</w:t>
      </w:r>
      <w:r>
        <w:rPr>
          <w:lang w:val="en_US" w:bidi="en_US"/>
        </w:rPr>
        <w:t xml:space="preserve"> refers to God.</w:t>
      </w:r>
    </w:p>
    <w:p>
      <w:pPr/>
      <w:r>
        <w:rPr>
          <w:lang w:val="en_US" w:bidi="en_US"/>
        </w:rPr>
      </w:r>
      <w:r>
        <w:rPr>
          <w:b/>
          <w:lang w:val="en_US" w:bidi="en_US"/>
        </w:rPr>
        <w:t>angels:</w:t>
      </w:r>
      <w:r>
        <w:rPr>
          <w:lang w:val="en_US" w:bidi="en_US"/>
        </w:rPr>
        <w:t xml:space="preserve"> The word </w:t>
      </w:r>
      <w:r>
        <w:rPr>
          <w:i/>
          <w:lang w:val="en_US" w:bidi="en_US"/>
        </w:rPr>
        <w:t>angels</w:t>
      </w:r>
      <w:r>
        <w:rPr>
          <w:lang w:val="en_US" w:bidi="en_US"/>
        </w:rPr>
        <w:t xml:space="preserve"> also occurred in 2:15a. See angel, Meaning 1, in the Glossary.</w:t>
      </w:r>
    </w:p>
    <w:p>
      <w:pPr/>
      <w:r>
        <w:rPr>
          <w:lang w:val="en_US" w:bidi="en_US"/>
        </w:rPr>
      </w:r>
      <w:r>
        <w:rPr>
          <w:b/>
          <w:lang w:val="en_US" w:bidi="en_US"/>
        </w:rPr>
        <w:t>You:</w:t>
      </w:r>
      <w:r>
        <w:rPr>
          <w:lang w:val="en_US" w:bidi="en_US"/>
        </w:rPr>
        <w:t xml:space="preserve"> This is the second person </w:t>
      </w:r>
      <w:r>
        <w:rPr>
          <w:u w:val="single"/>
          <w:lang w:val="en_US" w:bidi="en_US"/>
        </w:rPr>
        <w:t>singular</w:t>
      </w:r>
      <w:r>
        <w:rPr>
          <w:lang w:val="en_US" w:bidi="en_US"/>
        </w:rPr>
        <w:t xml:space="preserve"> pronoun. In Psalm 91, this pronoun refers to anyone who trusts God to protect him. The devil was applying it specifically to Jesus.</w:t>
      </w:r>
      <w:r>
        <w:rPr>
          <w:lang w:val="en_US" w:bidi="en_US"/>
        </w:rPr>
      </w:r>
      <w:r>
        <w:rPr>
          <w:lang w:val="en_US" w:bidi="en_US"/>
        </w:rPr>
      </w:r>
    </w:p>
    <w:p>
      <w:pPr/>
      <w:r>
        <w:rPr>
          <w:lang w:val="en_US" w:bidi="en_US"/>
        </w:rPr>
      </w:r>
    </w:p>
    <w:p>
      <w:pPr>
        <w:pStyle w:val="Heading2"/>
      </w:pPr>
      <w:r>
        <w:rPr>
          <w:lang w:val="en_US" w:bidi="en_US"/>
        </w:rPr>
        <w:t>Luke 4:11</w:t>
      </w:r>
      <w:r>
        <w:rPr>
          <w:lang w:val="en_US" w:bidi="en_US"/>
        </w:rPr>
      </w:r>
    </w:p>
    <w:p>
      <w:pPr>
        <w:pStyle w:val="Heading4"/>
      </w:pPr>
      <w:r>
        <w:rPr>
          <w:lang w:val="en_US" w:bidi="en_US"/>
        </w:rPr>
        <w:t>Section 4:1–13: Satan tempted Jesus</w:t>
      </w:r>
    </w:p>
    <w:p>
      <w:pPr/>
      <w:r>
        <w:rPr>
          <w:lang w:val="en_US" w:bidi="en_US"/>
        </w:rPr>
      </w:r>
      <w:r>
        <w:rPr>
          <w:lang w:val="en_US" w:bidi="en_US"/>
        </w:rP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pPr/>
      <w:r>
        <w:rPr>
          <w:lang w:val="en_US" w:bidi="en_US"/>
        </w:rPr>
      </w:r>
      <w:r>
        <w:rPr>
          <w:lang w:val="en_US" w:bidi="en_US"/>
        </w:rPr>
        <w:t>Some other possible headings for this section are:</w:t>
      </w:r>
    </w:p>
    <w:p>
      <w:pPr/>
      <w:r>
        <w:rPr>
          <w:lang w:val="en_US" w:bidi="en_US"/>
        </w:rPr>
      </w:r>
      <w:r>
        <w:rPr>
          <w:lang w:val="en_US" w:bidi="en_US"/>
        </w:rPr>
        <w:t>The Temptation of Jesus</w:t>
      </w:r>
    </w:p>
    <w:p>
      <w:pPr/>
      <w:r>
        <w:rPr>
          <w:lang w:val="en_US" w:bidi="en_US"/>
        </w:rPr>
      </w:r>
      <w:r>
        <w:rPr>
          <w:lang w:val="en_US" w:bidi="en_US"/>
        </w:rPr>
        <w:t>Jesus Is Tempted by the Devil (NCV)</w:t>
      </w:r>
    </w:p>
    <w:p>
      <w:pPr/>
      <w:r>
        <w:rPr>
          <w:lang w:val="en_US" w:bidi="en_US"/>
        </w:rPr>
      </w:r>
      <w:r>
        <w:rPr>
          <w:lang w:val="en_US" w:bidi="en_US"/>
        </w:rPr>
        <w:t>There is a parallel passage for this section in Matthew 4:1–11, and a shorter version occurs in Mark 1:12–13.</w:t>
      </w:r>
    </w:p>
    <w:p>
      <w:pPr>
        <w:pStyle w:val="Heading4"/>
      </w:pPr>
      <w:r>
        <w:rPr>
          <w:lang w:val="en_US" w:bidi="en_US"/>
        </w:rPr>
        <w:t>Paragraph 4:9–12</w:t>
      </w:r>
    </w:p>
    <w:p>
      <w:pPr/>
      <w:r>
        <w:rPr>
          <w:lang w:val="en_US" w:bidi="en_US"/>
        </w:rPr>
      </w:r>
      <w:r>
        <w:rPr>
          <w:lang w:val="en_US" w:bidi="en_US"/>
        </w:rPr>
        <w:t>In this paragraph, Luke reported another way that the devil tempted Jesus.</w:t>
      </w:r>
      <w:r>
        <w:rPr>
          <w:lang w:val="en_US" w:bidi="en_US"/>
        </w:rPr>
        <w:t>Luke chose to report this temptation last in the series of three, but Matthew reports it second. The order in which Matthew reported these three temptations is probably the order in which they actually occurred.</w:t>
      </w:r>
      <w:r>
        <w:rPr>
          <w:lang w:val="en_US" w:bidi="en_US"/>
        </w:rPr>
        <w:t xml:space="preserve"> In this paragraph, the devil tempted Jesus to put himself in danger. If Jesus had put himself in danger, he would have sinned, because he would have tested God.</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is a common connecting word. It does not necessarily imply a time reference, and so some English versions, such as the ESV, translate it as “and.” Other versions, such as the NIV, do not translate this conjunction.</w:t>
      </w:r>
    </w:p>
    <w:p>
      <w:pPr/>
      <w:r>
        <w:rPr>
          <w:lang w:val="en_US" w:bidi="en_US"/>
        </w:rPr>
      </w:r>
      <w:r>
        <w:rPr>
          <w:lang w:val="en_US" w:bidi="en_US"/>
        </w:rPr>
        <w:t>The events in this paragraph may have occurred before the temptation in 4:5–8. So if it is natural in your language to begin this paragraph with a connecting word or phrase, you should be as general as possible. For example:</w:t>
      </w:r>
    </w:p>
    <w:p>
      <w:pPr/>
      <w:r>
        <w:rPr>
          <w:lang w:val="en_US" w:bidi="en_US"/>
        </w:rPr>
      </w:r>
      <w:r>
        <w:rPr>
          <w:lang w:val="en_US" w:bidi="en_US"/>
        </w:rPr>
        <w:t>Also</w:t>
      </w:r>
    </w:p>
    <w:p>
      <w:pPr/>
      <w:r>
        <w:rPr>
          <w:lang w:val="en_US" w:bidi="en_US"/>
        </w:rPr>
      </w:r>
      <w:r>
        <w:rPr>
          <w:lang w:val="en_US" w:bidi="en_US"/>
        </w:rPr>
        <w:t>Another time</w:t>
      </w:r>
    </w:p>
    <w:p>
      <w:pPr/>
      <w:r>
        <w:rPr>
          <w:lang w:val="en_US" w:bidi="en_US"/>
        </w:rPr>
      </w:r>
      <w:r>
        <w:rPr>
          <w:lang w:val="en_US" w:bidi="en_US"/>
        </w:rPr>
        <w:t xml:space="preserve">In some languages, certain time words may not necessarily indicate that this paragraph occurred immediately after 4:5–8. If that is true in your language, a word such as </w:t>
      </w:r>
      <w:r>
        <w:rPr>
          <w:i/>
          <w:lang w:val="en_US" w:bidi="en_US"/>
        </w:rPr>
        <w:t>Then</w:t>
      </w:r>
      <w:r>
        <w:rPr>
          <w:lang w:val="en_US" w:bidi="en_US"/>
        </w:rPr>
        <w:t xml:space="preserve"> may be appropriate. Connect 4:4a to 4:3b in a way that is natural in your language.</w:t>
      </w:r>
    </w:p>
    <w:p>
      <w:pPr>
        <w:pStyle w:val="Heading5"/>
      </w:pPr>
      <w:r>
        <w:rPr>
          <w:lang w:val="en_US" w:bidi="en_US"/>
        </w:rPr>
        <w:t>4:11a</w:t>
      </w:r>
    </w:p>
    <w:p>
      <w:pPr/>
      <w:r>
        <w:rPr>
          <w:lang w:val="en_US" w:bidi="en_US"/>
        </w:rPr>
      </w:r>
      <w:r>
        <w:rPr>
          <w:b/>
          <w:lang w:val="en_US" w:bidi="en_US"/>
        </w:rPr>
        <w:t>and they will lift You up in their hands,</w:t>
      </w:r>
    </w:p>
    <w:p>
      <w:pPr>
        <w:pStyle w:val="ListBullet"/>
        <w:spacing w:line="240" w:lineRule="auto"/>
        <w:ind w:left="720"/>
      </w:pPr>
      <w:r>
        <w:rPr>
          <w:lang w:val="en_US" w:bidi="en_US"/>
        </w:rPr>
      </w:r>
      <w:r>
        <w:rPr>
          <w:lang w:val="en_US" w:bidi="en_US"/>
        </w:rPr>
        <w:t>They will hold you</w:t>
      </w:r>
      <w:r>
        <w:rPr>
          <w:vertAlign w:val="superscript"/>
          <w:lang w:val="en_US" w:bidi="en_US"/>
        </w:rPr>
        <w:t>(sing)</w:t>
      </w:r>
      <w:r>
        <w:rPr>
          <w:lang w:val="en_US" w:bidi="en_US"/>
        </w:rPr>
        <w:t xml:space="preserve"> up with their hands,</w:t>
      </w:r>
    </w:p>
    <w:p>
      <w:pPr>
        <w:pStyle w:val="ListBullet"/>
        <w:spacing w:line="240" w:lineRule="auto"/>
        <w:ind w:left="720"/>
      </w:pPr>
      <w:r>
        <w:rPr>
          <w:lang w:val="en_US" w:bidi="en_US"/>
        </w:rPr>
      </w:r>
      <w:r>
        <w:rPr>
          <w:lang w:val="en_US" w:bidi="en_US"/>
        </w:rPr>
        <w:t>The/His angels will support you</w:t>
      </w:r>
      <w:r>
        <w:rPr>
          <w:vertAlign w:val="superscript"/>
          <w:lang w:val="en_US" w:bidi="en_US"/>
        </w:rPr>
        <w:t>(sing)</w:t>
      </w:r>
    </w:p>
    <w:p>
      <w:pPr/>
      <w:r>
        <w:rPr>
          <w:lang w:val="en_US" w:bidi="en_US"/>
        </w:rPr>
      </w:r>
      <w:r>
        <w:rPr>
          <w:lang w:val="en_US" w:bidi="en_US"/>
        </w:rPr>
        <w:t>In Greek, there is a word at the beginning of this verse part that introduces a quotation. The devil started quoting from Psalm 91 in 4:10b, and this word shows that he broke off his quotation and resumed it here after leaving out some words. Specifically, the devil left out the phrase “to guard you in all your ways” from Psalm 91:11 and continued the quotation with Psalm 91:12.</w:t>
      </w:r>
    </w:p>
    <w:p>
      <w:pPr/>
      <w:r>
        <w:rPr>
          <w:lang w:val="en_US" w:bidi="en_US"/>
        </w:rPr>
      </w:r>
      <w:r>
        <w:rPr>
          <w:lang w:val="en_US" w:bidi="en_US"/>
        </w:rPr>
        <w:t>The words that the devil left out would have shown that the purpose of angels’ protection is to help people keep obeying God. That would have defeated his efforts to tempt Jesus. Several English translations, such as the ESV and NET, use quotation marks to show that the quotation from Psalm 91 breaks at the end of 4:10b and resumes in 4:11a. You may wish to indicate this in a way that is natural in your language.</w:t>
      </w:r>
    </w:p>
    <w:p>
      <w:pPr/>
      <w:r>
        <w:rPr>
          <w:lang w:val="en_US" w:bidi="en_US"/>
        </w:rPr>
      </w:r>
      <w:r>
        <w:rPr>
          <w:b/>
          <w:lang w:val="en_US" w:bidi="en_US"/>
        </w:rPr>
        <w:t>they will lift You up in their hands:</w:t>
      </w:r>
      <w:r>
        <w:rPr>
          <w:lang w:val="en_US" w:bidi="en_US"/>
        </w:rPr>
        <w:t xml:space="preserve"> The clause </w:t>
      </w:r>
      <w:r>
        <w:rPr>
          <w:i/>
          <w:lang w:val="en_US" w:bidi="en_US"/>
        </w:rPr>
        <w:t>they will lift You up in their hands</w:t>
      </w:r>
      <w:r>
        <w:rPr>
          <w:lang w:val="en_US" w:bidi="en_US"/>
        </w:rPr>
        <w:t xml:space="preserve"> means “the angels will carry/support you.”</w:t>
      </w:r>
    </w:p>
    <w:p>
      <w:pPr/>
      <w:r>
        <w:rPr>
          <w:lang w:val="en_US" w:bidi="en_US"/>
        </w:rPr>
      </w:r>
      <w:r>
        <w:rPr>
          <w:lang w:val="en_US" w:bidi="en_US"/>
        </w:rPr>
        <w:t xml:space="preserve">The devil was quoting Psalm 91:12. In that verse, angels lift up someone so that he will not stumble on the stones as he walks. Here the devil applied this verse to mean that the angels would catch Jesus if he jumped. Since the devil was quoting from Psalm 91:12, you should use a verb from your language that fits the context of the psalm. Use a verb that means </w:t>
      </w:r>
      <w:r>
        <w:rPr>
          <w:u w:val="single"/>
          <w:lang w:val="en_US" w:bidi="en_US"/>
        </w:rPr>
        <w:t>carry</w:t>
      </w:r>
      <w:r>
        <w:rPr>
          <w:lang w:val="en_US" w:bidi="en_US"/>
        </w:rPr>
        <w:t xml:space="preserve"> or </w:t>
      </w:r>
      <w:r>
        <w:rPr>
          <w:u w:val="single"/>
          <w:lang w:val="en_US" w:bidi="en_US"/>
        </w:rPr>
        <w:t>support</w:t>
      </w:r>
      <w:r>
        <w:rPr>
          <w:lang w:val="en_US" w:bidi="en_US"/>
        </w:rPr>
        <w:t>. Do not use a verb such as “catch.” For example:</w:t>
      </w:r>
    </w:p>
    <w:p>
      <w:pPr/>
      <w:r>
        <w:rPr>
          <w:lang w:val="en_US" w:bidi="en_US"/>
        </w:rPr>
      </w:r>
      <w:r>
        <w:rPr>
          <w:lang w:val="en_US" w:bidi="en_US"/>
        </w:rPr>
        <w:t>They will support you in their arms (REB)</w:t>
      </w:r>
    </w:p>
    <w:p>
      <w:pPr/>
      <w:r>
        <w:rPr>
          <w:lang w:val="en_US" w:bidi="en_US"/>
        </w:rPr>
      </w:r>
      <w:r>
        <w:rPr>
          <w:lang w:val="en_US" w:bidi="en_US"/>
        </w:rPr>
        <w:t>They will carry you in their arms (NJB)</w:t>
      </w:r>
    </w:p>
    <w:p>
      <w:pPr/>
      <w:r>
        <w:rPr>
          <w:lang w:val="en_US" w:bidi="en_US"/>
        </w:rPr>
      </w:r>
      <w:r>
        <w:rPr>
          <w:lang w:val="en_US" w:bidi="en_US"/>
        </w:rPr>
        <w:t>with their hands they will lift you up (NET)</w:t>
      </w:r>
    </w:p>
    <w:p>
      <w:pPr/>
      <w:r>
        <w:rPr>
          <w:lang w:val="en_US" w:bidi="en_US"/>
        </w:rPr>
      </w:r>
      <w:r>
        <w:rPr>
          <w:b/>
          <w:lang w:val="en_US" w:bidi="en_US"/>
        </w:rPr>
        <w:t>in their hands:</w:t>
      </w:r>
      <w:r>
        <w:rPr>
          <w:lang w:val="en_US" w:bidi="en_US"/>
        </w:rPr>
        <w:t xml:space="preserve"> In some languages, the phrase </w:t>
      </w:r>
      <w:r>
        <w:rPr>
          <w:i/>
          <w:lang w:val="en_US" w:bidi="en_US"/>
        </w:rPr>
        <w:t>in their hands</w:t>
      </w:r>
      <w:r>
        <w:rPr>
          <w:lang w:val="en_US" w:bidi="en_US"/>
        </w:rPr>
        <w:t xml:space="preserve"> is implied by the verb used to translate “lift You up.” If that is true in your language, you do not need to translate it explicitly.</w:t>
      </w:r>
    </w:p>
    <w:p>
      <w:pPr>
        <w:pStyle w:val="Heading5"/>
      </w:pPr>
      <w:r>
        <w:rPr>
          <w:lang w:val="en_US" w:bidi="en_US"/>
        </w:rPr>
        <w:t>4:11b</w:t>
      </w:r>
    </w:p>
    <w:p>
      <w:pPr/>
      <w:r>
        <w:rPr>
          <w:lang w:val="en_US" w:bidi="en_US"/>
        </w:rPr>
      </w:r>
      <w:r>
        <w:rPr>
          <w:b/>
          <w:lang w:val="en_US" w:bidi="en_US"/>
        </w:rPr>
        <w:t>so that You will not strike Your foot against a stone.’”</w:t>
      </w:r>
    </w:p>
    <w:p>
      <w:pPr>
        <w:pStyle w:val="ListBullet"/>
        <w:spacing w:line="240" w:lineRule="auto"/>
        <w:ind w:left="720"/>
      </w:pPr>
      <w:r>
        <w:rPr>
          <w:lang w:val="en_US" w:bidi="en_US"/>
        </w:rPr>
      </w:r>
      <w:r>
        <w:rPr>
          <w:lang w:val="en_US" w:bidi="en_US"/>
        </w:rPr>
        <w:t>so that you</w:t>
      </w:r>
      <w:r>
        <w:rPr>
          <w:vertAlign w:val="superscript"/>
          <w:lang w:val="en_US" w:bidi="en_US"/>
        </w:rPr>
        <w:t>(sing)</w:t>
      </w:r>
      <w:r>
        <w:rPr>
          <w:lang w:val="en_US" w:bidi="en_US"/>
        </w:rPr>
        <w:t xml:space="preserve"> will not hit your</w:t>
      </w:r>
      <w:r>
        <w:rPr>
          <w:vertAlign w:val="superscript"/>
          <w:lang w:val="en_US" w:bidi="en_US"/>
        </w:rPr>
        <w:t>(sing)</w:t>
      </w:r>
      <w:r>
        <w:rPr>
          <w:lang w:val="en_US" w:bidi="en_US"/>
        </w:rPr>
        <w:t xml:space="preserve"> foot on a stone!'"</w:t>
      </w:r>
    </w:p>
    <w:p>
      <w:pPr>
        <w:pStyle w:val="ListBullet"/>
        <w:spacing w:line="240" w:lineRule="auto"/>
        <w:ind w:left="720"/>
      </w:pPr>
      <w:r>
        <w:rPr>
          <w:lang w:val="en_US" w:bidi="en_US"/>
        </w:rPr>
      </w:r>
      <w:r>
        <w:rPr>
          <w:lang w:val="en_US" w:bidi="en_US"/>
        </w:rPr>
        <w:t>so you won’t even hurt your foot on a stone. '" (NLT)</w:t>
      </w:r>
    </w:p>
    <w:p>
      <w:pPr>
        <w:pStyle w:val="ListBullet"/>
        <w:spacing w:line="240" w:lineRule="auto"/>
        <w:ind w:left="720"/>
      </w:pPr>
      <w:r>
        <w:rPr>
          <w:lang w:val="en_US" w:bidi="en_US"/>
        </w:rPr>
      </w:r>
      <w:r>
        <w:rPr>
          <w:lang w:val="en_US" w:bidi="en_US"/>
        </w:rPr>
        <w:t>to prevent/protect you from hitting your foot on a stone.'"</w:t>
      </w:r>
    </w:p>
    <w:p>
      <w:pPr/>
      <w:r>
        <w:rPr>
          <w:lang w:val="en_US" w:bidi="en_US"/>
        </w:rPr>
      </w:r>
      <w:r>
        <w:rPr>
          <w:b/>
          <w:lang w:val="en_US" w:bidi="en_US"/>
        </w:rPr>
        <w:t>so that You will not strike Your foot against a stone:</w:t>
      </w:r>
      <w:r>
        <w:rPr>
          <w:lang w:val="en_US" w:bidi="en_US"/>
        </w:rPr>
        <w:t xml:space="preserve"> The phrase </w:t>
      </w:r>
      <w:r>
        <w:rPr>
          <w:i/>
          <w:lang w:val="en_US" w:bidi="en_US"/>
        </w:rPr>
        <w:t>strike Your foot against a stone</w:t>
      </w:r>
      <w:r>
        <w:rPr>
          <w:lang w:val="en_US" w:bidi="en_US"/>
        </w:rPr>
        <w:t xml:space="preserve"> means “hit your foot on a stone” or “stumble over a stone.” Psalm 91:12 describes someone who is walking along a path. As he walks, God’s angels protect him from stumbling on a rock, falling down, and hurting himself.</w:t>
      </w:r>
    </w:p>
    <w:p>
      <w:pPr/>
      <w:r>
        <w:rPr>
          <w:lang w:val="en_US" w:bidi="en_US"/>
        </w:rPr>
      </w:r>
      <w:r>
        <w:rPr>
          <w:lang w:val="en_US" w:bidi="en_US"/>
        </w:rPr>
        <w:t xml:space="preserve">Satan quoted this verse and applied it to Jesus. He meant that if Jesus jumped from the top of the temple, he would not be hurt on the rocks/stones below. So here a literal translation of the phrase </w:t>
      </w:r>
      <w:r>
        <w:rPr>
          <w:i/>
          <w:lang w:val="en_US" w:bidi="en_US"/>
        </w:rPr>
        <w:t>strike Your foot against a stone</w:t>
      </w:r>
      <w:r>
        <w:rPr>
          <w:lang w:val="en_US" w:bidi="en_US"/>
        </w:rPr>
        <w:t xml:space="preserve"> may be better than translating it as “stumble.”</w:t>
      </w:r>
    </w:p>
    <w:p>
      <w:pPr/>
      <w:r>
        <w:rPr>
          <w:lang w:val="en_US" w:bidi="en_US"/>
        </w:rPr>
      </w:r>
      <w:r>
        <w:rPr>
          <w:lang w:val="en_US" w:bidi="en_US"/>
        </w:rPr>
        <w:t>Some other ways to translate this are:</w:t>
      </w:r>
    </w:p>
    <w:p>
      <w:pPr/>
      <w:r>
        <w:rPr>
          <w:lang w:val="en_US" w:bidi="en_US"/>
        </w:rPr>
      </w:r>
      <w:r>
        <w:rPr>
          <w:lang w:val="en_US" w:bidi="en_US"/>
        </w:rPr>
        <w:t>so that you never hit your foot against a rock (GW)</w:t>
      </w:r>
    </w:p>
    <w:p>
      <w:pPr/>
      <w:r>
        <w:rPr>
          <w:lang w:val="en_US" w:bidi="en_US"/>
        </w:rPr>
      </w:r>
      <w:r>
        <w:rPr>
          <w:lang w:val="en_US" w:bidi="en_US"/>
        </w:rPr>
        <w:t>so you won’t even hurt your foot on a stone (NLT)</w:t>
      </w:r>
    </w:p>
    <w:p>
      <w:pPr/>
      <w:r>
        <w:rPr>
          <w:lang w:val="en_US" w:bidi="en_US"/>
        </w:rPr>
      </w:r>
      <w:r>
        <w:rPr>
          <w:b/>
          <w:lang w:val="en_US" w:bidi="en_US"/>
        </w:rPr>
        <w:t>so that…not:</w:t>
      </w:r>
      <w:r>
        <w:rPr>
          <w:lang w:val="en_US" w:bidi="en_US"/>
        </w:rPr>
        <w:t xml:space="preserve"> The Greek conjunction that the BSB translates as </w:t>
      </w:r>
      <w:r>
        <w:rPr>
          <w:i/>
          <w:lang w:val="en_US" w:bidi="en_US"/>
        </w:rPr>
        <w:t>so that…not</w:t>
      </w:r>
      <w:r>
        <w:rPr>
          <w:lang w:val="en_US" w:bidi="en_US"/>
        </w:rPr>
        <w:t xml:space="preserve"> links two actions.</w:t>
      </w:r>
      <w:r>
        <w:rPr>
          <w:lang w:val="en_US" w:bidi="en_US"/>
        </w:rPr>
        <w:t xml:space="preserve">This Greek conjunction </w:t>
      </w:r>
      <w:r>
        <w:rPr>
          <w:i/>
          <w:lang w:val="en_US" w:bidi="en_US"/>
        </w:rPr>
        <w:t>mēpote</w:t>
      </w:r>
      <w:r>
        <w:rPr>
          <w:lang w:val="en_US" w:bidi="en_US"/>
        </w:rPr>
        <w:t xml:space="preserve"> marks negative purpose. The English conjunction that literally translates this Greek conjunction is “lest.”</w:t>
      </w:r>
      <w:r>
        <w:rPr>
          <w:lang w:val="en_US" w:bidi="en_US"/>
        </w:rPr>
        <w:t xml:space="preserve"> One action prevents the other action from happening. The purpose for which the angels carried someone (4:11a) was </w:t>
      </w:r>
      <w:r>
        <w:rPr>
          <w:u w:val="single"/>
          <w:lang w:val="en_US" w:bidi="en_US"/>
        </w:rPr>
        <w:t>to prevent</w:t>
      </w:r>
      <w:r>
        <w:rPr>
          <w:lang w:val="en_US" w:bidi="en_US"/>
        </w:rPr>
        <w:t xml:space="preserve"> that person from being harmed (4:11b).</w:t>
      </w:r>
    </w:p>
    <w:p>
      <w:pPr/>
      <w:r>
        <w:rPr>
          <w:lang w:val="en_US" w:bidi="en_US"/>
        </w:rPr>
      </w:r>
      <w:r>
        <w:rPr>
          <w:lang w:val="en_US" w:bidi="en_US"/>
        </w:rPr>
        <w:t xml:space="preserve">In this context, the devil quoted the psalm to say that angels would protect Jesus. They would protect him </w:t>
      </w:r>
      <w:r>
        <w:rPr>
          <w:u w:val="single"/>
          <w:lang w:val="en_US" w:bidi="en_US"/>
        </w:rPr>
        <w:t>so that</w:t>
      </w:r>
      <w:r>
        <w:rPr>
          <w:lang w:val="en_US" w:bidi="en_US"/>
        </w:rPr>
        <w:t xml:space="preserve"> he would </w:t>
      </w:r>
      <w:r>
        <w:rPr>
          <w:u w:val="single"/>
          <w:lang w:val="en_US" w:bidi="en_US"/>
        </w:rPr>
        <w:t>not</w:t>
      </w:r>
      <w:r>
        <w:rPr>
          <w:lang w:val="en_US" w:bidi="en_US"/>
        </w:rPr>
        <w:t xml:space="preserve"> be harmed if he jumped from the temple.</w:t>
      </w:r>
    </w:p>
    <w:p>
      <w:pPr/>
      <w:r>
        <w:rPr>
          <w:lang w:val="en_US" w:bidi="en_US"/>
        </w:rPr>
      </w:r>
      <w:r>
        <w:rPr>
          <w:lang w:val="en_US" w:bidi="en_US"/>
        </w:rPr>
        <w:t>Some other ways to translate this are:</w:t>
      </w:r>
    </w:p>
    <w:p>
      <w:pPr/>
      <w:r>
        <w:rPr>
          <w:lang w:val="en_US" w:bidi="en_US"/>
        </w:rPr>
      </w:r>
      <w:r>
        <w:rPr>
          <w:u w:val="single"/>
          <w:lang w:val="en_US" w:bidi="en_US"/>
        </w:rPr>
        <w:t>in order that</w:t>
      </w:r>
      <w:r>
        <w:rPr>
          <w:lang w:val="en_US" w:bidi="en_US"/>
        </w:rPr>
        <w:t xml:space="preserve"> you </w:t>
      </w:r>
      <w:r>
        <w:rPr>
          <w:u w:val="single"/>
          <w:lang w:val="en_US" w:bidi="en_US"/>
        </w:rPr>
        <w:t>not</w:t>
      </w:r>
      <w:r>
        <w:rPr>
          <w:lang w:val="en_US" w:bidi="en_US"/>
        </w:rPr>
        <w:t xml:space="preserve"> injure your foot</w:t>
      </w:r>
    </w:p>
    <w:p>
      <w:pPr/>
      <w:r>
        <w:rPr>
          <w:lang w:val="en_US" w:bidi="en_US"/>
        </w:rPr>
      </w:r>
      <w:r>
        <w:rPr>
          <w:u w:val="single"/>
          <w:lang w:val="en_US" w:bidi="en_US"/>
        </w:rPr>
        <w:t>to prevent</w:t>
      </w:r>
      <w:r>
        <w:rPr>
          <w:lang w:val="en_US" w:bidi="en_US"/>
        </w:rPr>
        <w:t xml:space="preserve"> your foot from striking</w:t>
      </w:r>
      <w:r>
        <w:rPr>
          <w:lang w:val="en_US" w:bidi="en_US"/>
        </w:rPr>
      </w:r>
      <w:r>
        <w:rPr>
          <w:lang w:val="en_US" w:bidi="en_US"/>
        </w:rPr>
      </w:r>
    </w:p>
    <w:p>
      <w:pPr/>
      <w:r>
        <w:rPr>
          <w:lang w:val="en_US" w:bidi="en_US"/>
        </w:rPr>
      </w:r>
    </w:p>
    <w:p>
      <w:pPr>
        <w:pStyle w:val="Heading2"/>
      </w:pPr>
      <w:r>
        <w:rPr>
          <w:lang w:val="en_US" w:bidi="en_US"/>
        </w:rPr>
        <w:t>Luke 4:12</w:t>
      </w:r>
      <w:r>
        <w:rPr>
          <w:lang w:val="en_US" w:bidi="en_US"/>
        </w:rPr>
      </w:r>
    </w:p>
    <w:p>
      <w:pPr>
        <w:pStyle w:val="Heading4"/>
      </w:pPr>
      <w:r>
        <w:rPr>
          <w:lang w:val="en_US" w:bidi="en_US"/>
        </w:rPr>
        <w:t>Section 4:1–13: Satan tempted Jesus</w:t>
      </w:r>
    </w:p>
    <w:p>
      <w:pPr/>
      <w:r>
        <w:rPr>
          <w:lang w:val="en_US" w:bidi="en_US"/>
        </w:rPr>
      </w:r>
      <w:r>
        <w:rPr>
          <w:lang w:val="en_US" w:bidi="en_US"/>
        </w:rP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pPr/>
      <w:r>
        <w:rPr>
          <w:lang w:val="en_US" w:bidi="en_US"/>
        </w:rPr>
      </w:r>
      <w:r>
        <w:rPr>
          <w:lang w:val="en_US" w:bidi="en_US"/>
        </w:rPr>
        <w:t>Some other possible headings for this section are:</w:t>
      </w:r>
    </w:p>
    <w:p>
      <w:pPr/>
      <w:r>
        <w:rPr>
          <w:lang w:val="en_US" w:bidi="en_US"/>
        </w:rPr>
      </w:r>
      <w:r>
        <w:rPr>
          <w:lang w:val="en_US" w:bidi="en_US"/>
        </w:rPr>
        <w:t>The Temptation of Jesus</w:t>
      </w:r>
    </w:p>
    <w:p>
      <w:pPr/>
      <w:r>
        <w:rPr>
          <w:lang w:val="en_US" w:bidi="en_US"/>
        </w:rPr>
      </w:r>
      <w:r>
        <w:rPr>
          <w:lang w:val="en_US" w:bidi="en_US"/>
        </w:rPr>
        <w:t>Jesus Is Tempted by the Devil (NCV)</w:t>
      </w:r>
    </w:p>
    <w:p>
      <w:pPr/>
      <w:r>
        <w:rPr>
          <w:lang w:val="en_US" w:bidi="en_US"/>
        </w:rPr>
      </w:r>
      <w:r>
        <w:rPr>
          <w:lang w:val="en_US" w:bidi="en_US"/>
        </w:rPr>
        <w:t>There is a parallel passage for this section in Matthew 4:1–11, and a shorter version occurs in Mark 1:12–13.</w:t>
      </w:r>
    </w:p>
    <w:p>
      <w:pPr>
        <w:pStyle w:val="Heading4"/>
      </w:pPr>
      <w:r>
        <w:rPr>
          <w:lang w:val="en_US" w:bidi="en_US"/>
        </w:rPr>
        <w:t>Paragraph 4:9–12</w:t>
      </w:r>
    </w:p>
    <w:p>
      <w:pPr/>
      <w:r>
        <w:rPr>
          <w:lang w:val="en_US" w:bidi="en_US"/>
        </w:rPr>
      </w:r>
      <w:r>
        <w:rPr>
          <w:lang w:val="en_US" w:bidi="en_US"/>
        </w:rPr>
        <w:t>In this paragraph, Luke reported another way that the devil tempted Jesus.</w:t>
      </w:r>
      <w:r>
        <w:rPr>
          <w:lang w:val="en_US" w:bidi="en_US"/>
        </w:rPr>
        <w:t>Luke chose to report this temptation last in the series of three, but Matthew reports it second. The order in which Matthew reported these three temptations is probably the order in which they actually occurred.</w:t>
      </w:r>
      <w:r>
        <w:rPr>
          <w:lang w:val="en_US" w:bidi="en_US"/>
        </w:rPr>
        <w:t xml:space="preserve"> In this paragraph, the devil tempted Jesus to put himself in danger. If Jesus had put himself in danger, he would have sinned, because he would have tested God.</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is a common connecting word. It does not necessarily imply a time reference, and so some English versions, such as the ESV, translate it as “and.” Other versions, such as the NIV, do not translate this conjunction.</w:t>
      </w:r>
    </w:p>
    <w:p>
      <w:pPr/>
      <w:r>
        <w:rPr>
          <w:lang w:val="en_US" w:bidi="en_US"/>
        </w:rPr>
      </w:r>
      <w:r>
        <w:rPr>
          <w:lang w:val="en_US" w:bidi="en_US"/>
        </w:rPr>
        <w:t>The events in this paragraph may have occurred before the temptation in 4:5–8. So if it is natural in your language to begin this paragraph with a connecting word or phrase, you should be as general as possible. For example:</w:t>
      </w:r>
    </w:p>
    <w:p>
      <w:pPr/>
      <w:r>
        <w:rPr>
          <w:lang w:val="en_US" w:bidi="en_US"/>
        </w:rPr>
      </w:r>
      <w:r>
        <w:rPr>
          <w:lang w:val="en_US" w:bidi="en_US"/>
        </w:rPr>
        <w:t>Also</w:t>
      </w:r>
    </w:p>
    <w:p>
      <w:pPr/>
      <w:r>
        <w:rPr>
          <w:lang w:val="en_US" w:bidi="en_US"/>
        </w:rPr>
      </w:r>
      <w:r>
        <w:rPr>
          <w:lang w:val="en_US" w:bidi="en_US"/>
        </w:rPr>
        <w:t>Another time</w:t>
      </w:r>
    </w:p>
    <w:p>
      <w:pPr/>
      <w:r>
        <w:rPr>
          <w:lang w:val="en_US" w:bidi="en_US"/>
        </w:rPr>
      </w:r>
      <w:r>
        <w:rPr>
          <w:lang w:val="en_US" w:bidi="en_US"/>
        </w:rPr>
        <w:t xml:space="preserve">In some languages, certain time words may not necessarily indicate that this paragraph occurred immediately after 4:5–8. If that is true in your language, a word such as </w:t>
      </w:r>
      <w:r>
        <w:rPr>
          <w:i/>
          <w:lang w:val="en_US" w:bidi="en_US"/>
        </w:rPr>
        <w:t>Then</w:t>
      </w:r>
      <w:r>
        <w:rPr>
          <w:lang w:val="en_US" w:bidi="en_US"/>
        </w:rPr>
        <w:t xml:space="preserve"> may be appropriate. Connect 4:4a to 4:3b in a way that is natural in your language.</w:t>
      </w:r>
    </w:p>
    <w:p>
      <w:pPr>
        <w:pStyle w:val="Heading5"/>
      </w:pPr>
      <w:r>
        <w:rPr>
          <w:lang w:val="en_US" w:bidi="en_US"/>
        </w:rPr>
        <w:t>4:12a</w:t>
      </w:r>
    </w:p>
    <w:p>
      <w:pPr/>
      <w:r>
        <w:rPr>
          <w:lang w:val="en_US" w:bidi="en_US"/>
        </w:rPr>
      </w:r>
      <w:r>
        <w:rPr>
          <w:b/>
          <w:lang w:val="en_US" w:bidi="en_US"/>
        </w:rPr>
        <w:t>But Jesus answered, “It also says,</w:t>
      </w:r>
    </w:p>
    <w:p>
      <w:pPr>
        <w:pStyle w:val="ListBullet"/>
        <w:spacing w:line="240" w:lineRule="auto"/>
        <w:ind w:left="720"/>
      </w:pPr>
      <w:r>
        <w:rPr>
          <w:lang w:val="en_US" w:bidi="en_US"/>
        </w:rPr>
      </w:r>
      <w:r>
        <w:rPr>
          <w:lang w:val="en_US" w:bidi="en_US"/>
        </w:rPr>
        <w:t xml:space="preserve">Jesus said, “It says </w:t>
      </w:r>
      <w:r>
        <w:rPr>
          <w:lang w:val="en_US" w:bidi="en_US"/>
        </w:rPr>
        <w:t>in the Scriptures</w:t>
      </w:r>
      <w:r>
        <w:rPr>
          <w:lang w:val="en_US" w:bidi="en_US"/>
        </w:rPr>
        <w:t>:</w:t>
      </w:r>
    </w:p>
    <w:p>
      <w:pPr>
        <w:pStyle w:val="ListBullet"/>
        <w:spacing w:line="240" w:lineRule="auto"/>
        <w:ind w:left="720"/>
      </w:pPr>
      <w:r>
        <w:rPr>
          <w:lang w:val="en_US" w:bidi="en_US"/>
        </w:rPr>
      </w:r>
      <w:r>
        <w:rPr>
          <w:lang w:val="en_US" w:bidi="en_US"/>
        </w:rPr>
        <w:t>But</w:t>
      </w:r>
      <w:r>
        <w:rPr>
          <w:lang w:val="en_US" w:bidi="en_US"/>
        </w:rPr>
        <w:t xml:space="preserve"> Jesus </w:t>
      </w:r>
      <w:r>
        <w:rPr>
          <w:lang w:val="en_US" w:bidi="en_US"/>
        </w:rPr>
        <w:t>refused. He</w:t>
      </w:r>
      <w:r>
        <w:rPr>
          <w:lang w:val="en_US" w:bidi="en_US"/>
        </w:rPr>
        <w:t xml:space="preserve"> said </w:t>
      </w:r>
      <w:r>
        <w:rPr>
          <w:lang w:val="en_US" w:bidi="en_US"/>
        </w:rPr>
        <w:t>to the devil</w:t>
      </w:r>
      <w:r>
        <w:rPr>
          <w:lang w:val="en_US" w:bidi="en_US"/>
        </w:rPr>
        <w:t xml:space="preserve">, “The Scriptures </w:t>
      </w:r>
      <w:r>
        <w:rPr>
          <w:lang w:val="en_US" w:bidi="en_US"/>
        </w:rPr>
        <w:t>also</w:t>
      </w:r>
      <w:r>
        <w:rPr>
          <w:lang w:val="en_US" w:bidi="en_US"/>
        </w:rPr>
        <w:t xml:space="preserve"> say,</w:t>
      </w:r>
    </w:p>
    <w:p>
      <w:pPr>
        <w:pStyle w:val="ListBullet"/>
        <w:spacing w:line="240" w:lineRule="auto"/>
        <w:ind w:left="720"/>
      </w:pPr>
      <w:r>
        <w:rPr>
          <w:lang w:val="en_US" w:bidi="en_US"/>
        </w:rPr>
      </w:r>
      <w:r>
        <w:rPr>
          <w:lang w:val="en_US" w:bidi="en_US"/>
        </w:rPr>
        <w:t xml:space="preserve">Jesus told </w:t>
      </w:r>
      <w:r>
        <w:rPr>
          <w:lang w:val="en_US" w:bidi="en_US"/>
        </w:rPr>
        <w:t>him</w:t>
      </w:r>
      <w:r>
        <w:rPr>
          <w:lang w:val="en_US" w:bidi="en_US"/>
        </w:rPr>
        <w:t xml:space="preserve"> that it says</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is a conjunction that is often translated as “and.” Some English versions, such as the ESV, translate it that way. Other versions, such as the NIV and NET, do not translate this conjunction here. Connect 4:12a to 4:11b in a way that is natural in your language.</w:t>
      </w:r>
    </w:p>
    <w:p>
      <w:pPr/>
      <w:r>
        <w:rPr>
          <w:lang w:val="en_US" w:bidi="en_US"/>
        </w:rPr>
      </w:r>
      <w:r>
        <w:rPr>
          <w:b/>
          <w:lang w:val="en_US" w:bidi="en_US"/>
        </w:rPr>
        <w:t>Jesus answered:</w:t>
      </w:r>
      <w:r>
        <w:rPr>
          <w:lang w:val="en_US" w:bidi="en_US"/>
        </w:rPr>
        <w:t xml:space="preserve"> As in 4:4a and 4:8a, the Greek word that the BSB literally translates as </w:t>
      </w:r>
      <w:r>
        <w:rPr>
          <w:i/>
          <w:lang w:val="en_US" w:bidi="en_US"/>
        </w:rPr>
        <w:t>answered</w:t>
      </w:r>
      <w:r>
        <w:rPr>
          <w:lang w:val="en_US" w:bidi="en_US"/>
        </w:rPr>
        <w:t xml:space="preserve"> here means “replied” or “responded.” Jesus was not answering a question. He was responding to an attempt by the devil to tempt him to sin.</w:t>
      </w:r>
    </w:p>
    <w:p>
      <w:pPr/>
      <w:r>
        <w:rPr>
          <w:lang w:val="en_US" w:bidi="en_US"/>
        </w:rPr>
      </w:r>
      <w:r>
        <w:rPr>
          <w:lang w:val="en_US" w:bidi="en_US"/>
        </w:rPr>
        <w:t>Jesus was refusing to do what Satan had wanted. You may need to make this clear in your translation. For example:</w:t>
      </w:r>
    </w:p>
    <w:p>
      <w:pPr/>
      <w:r>
        <w:rPr>
          <w:lang w:val="en_US" w:bidi="en_US"/>
        </w:rPr>
      </w:r>
      <w:r>
        <w:rPr>
          <w:lang w:val="en_US" w:bidi="en_US"/>
        </w:rPr>
        <w:t xml:space="preserve">Jesus </w:t>
      </w:r>
      <w:r>
        <w:rPr>
          <w:lang w:val="en_US" w:bidi="en_US"/>
        </w:rPr>
        <w:t>refused. He</w:t>
      </w:r>
      <w:r>
        <w:rPr>
          <w:lang w:val="en_US" w:bidi="en_US"/>
        </w:rPr>
        <w:t xml:space="preserve"> said…</w:t>
      </w:r>
    </w:p>
    <w:p>
      <w:pPr/>
      <w:r>
        <w:rPr>
          <w:lang w:val="en_US" w:bidi="en_US"/>
        </w:rPr>
      </w:r>
      <w:r>
        <w:rPr>
          <w:b/>
          <w:lang w:val="en_US" w:bidi="en_US"/>
        </w:rPr>
        <w:t>It also says:</w:t>
      </w:r>
      <w:r>
        <w:rPr>
          <w:lang w:val="en_US" w:bidi="en_US"/>
        </w:rPr>
        <w:t xml:space="preserve"> The phrase that the BSB translates here as </w:t>
      </w:r>
      <w:r>
        <w:rPr>
          <w:i/>
          <w:lang w:val="en_US" w:bidi="en_US"/>
        </w:rPr>
        <w:t>It also says</w:t>
      </w:r>
      <w:r>
        <w:rPr>
          <w:lang w:val="en_US" w:bidi="en_US"/>
        </w:rPr>
        <w:t>, which is literally “it is said,” refers to the Scriptures. It has the same meaning as “It is written” in 4:4a and 4:8a. Some English versions have made this explicit, using an active verb. For example:</w:t>
      </w:r>
    </w:p>
    <w:p>
      <w:pPr/>
      <w:r>
        <w:rPr>
          <w:lang w:val="en_US" w:bidi="en_US"/>
        </w:rPr>
      </w:r>
      <w:r>
        <w:rPr>
          <w:lang w:val="en_US" w:bidi="en_US"/>
        </w:rPr>
        <w:t>Scripture says (NJB)</w:t>
      </w:r>
    </w:p>
    <w:p>
      <w:pPr/>
      <w:r>
        <w:rPr>
          <w:lang w:val="en_US" w:bidi="en_US"/>
        </w:rPr>
      </w:r>
      <w:r>
        <w:rPr>
          <w:lang w:val="en_US" w:bidi="en_US"/>
        </w:rPr>
        <w:t>The Scriptures also say (CEV)</w:t>
      </w:r>
    </w:p>
    <w:p>
      <w:pPr>
        <w:pStyle w:val="Heading5"/>
      </w:pPr>
      <w:r>
        <w:rPr>
          <w:lang w:val="en_US" w:bidi="en_US"/>
        </w:rPr>
        <w:t>4:12b</w:t>
      </w:r>
    </w:p>
    <w:p>
      <w:pPr/>
      <w:r>
        <w:rPr>
          <w:lang w:val="en_US" w:bidi="en_US"/>
        </w:rPr>
      </w:r>
      <w:r>
        <w:rPr>
          <w:b/>
          <w:lang w:val="en_US" w:bidi="en_US"/>
        </w:rPr>
        <w:t>‘Do not put the Lord your God to the test.’”</w:t>
      </w:r>
    </w:p>
    <w:p>
      <w:pPr>
        <w:pStyle w:val="ListBullet"/>
        <w:spacing w:line="240" w:lineRule="auto"/>
        <w:ind w:left="720"/>
      </w:pPr>
      <w:r>
        <w:rPr>
          <w:lang w:val="en_US" w:bidi="en_US"/>
        </w:rPr>
      </w:r>
      <w:r>
        <w:rPr>
          <w:lang w:val="en_US" w:bidi="en_US"/>
        </w:rPr>
        <w:t>‘Do not test the Lord your God.'" (NCV)</w:t>
      </w:r>
    </w:p>
    <w:p>
      <w:pPr>
        <w:pStyle w:val="ListBullet"/>
        <w:spacing w:line="240" w:lineRule="auto"/>
        <w:ind w:left="720"/>
      </w:pPr>
      <w:r>
        <w:rPr>
          <w:lang w:val="en_US" w:bidi="en_US"/>
        </w:rPr>
      </w:r>
      <w:r>
        <w:rPr>
          <w:lang w:val="en_US" w:bidi="en_US"/>
        </w:rPr>
        <w:t>‘Never tempt the Lord your God.'" (GW)</w:t>
      </w:r>
    </w:p>
    <w:p>
      <w:pPr>
        <w:pStyle w:val="ListBullet"/>
        <w:spacing w:line="240" w:lineRule="auto"/>
        <w:ind w:left="720"/>
      </w:pPr>
      <w:r>
        <w:rPr>
          <w:lang w:val="en_US" w:bidi="en_US"/>
        </w:rPr>
      </w:r>
      <w:r>
        <w:rPr>
          <w:lang w:val="en_US" w:bidi="en_US"/>
        </w:rPr>
        <w:t>that no one should test the Lord our</w:t>
      </w:r>
      <w:r>
        <w:rPr>
          <w:vertAlign w:val="superscript"/>
          <w:lang w:val="en_US" w:bidi="en_US"/>
        </w:rPr>
        <w:t>(incl)</w:t>
      </w:r>
      <w:r>
        <w:rPr>
          <w:lang w:val="en_US" w:bidi="en_US"/>
        </w:rPr>
        <w:t xml:space="preserve"> God.”</w:t>
      </w:r>
    </w:p>
    <w:p>
      <w:pPr/>
      <w:r>
        <w:rPr>
          <w:lang w:val="en_US" w:bidi="en_US"/>
        </w:rPr>
      </w:r>
      <w:r>
        <w:rPr>
          <w:b/>
          <w:lang w:val="en_US" w:bidi="en_US"/>
        </w:rPr>
        <w:t>Do not put the Lord your God to the test:</w:t>
      </w:r>
      <w:r>
        <w:rPr>
          <w:lang w:val="en_US" w:bidi="en_US"/>
        </w:rPr>
        <w:t xml:space="preserve"> Other ways to translate the Greek clause that the BSB translates as </w:t>
      </w:r>
      <w:r>
        <w:rPr>
          <w:i/>
          <w:lang w:val="en_US" w:bidi="en_US"/>
        </w:rPr>
        <w:t>Do not put the Lord your God to the test</w:t>
      </w:r>
      <w:r>
        <w:rPr>
          <w:lang w:val="en_US" w:bidi="en_US"/>
        </w:rPr>
        <w:t xml:space="preserve"> are:</w:t>
      </w:r>
    </w:p>
    <w:p>
      <w:pPr/>
      <w:r>
        <w:rPr>
          <w:lang w:val="en_US" w:bidi="en_US"/>
        </w:rPr>
      </w:r>
      <w:r>
        <w:rPr>
          <w:lang w:val="en_US" w:bidi="en_US"/>
        </w:rPr>
        <w:t>Do not test the Lord your God (NCV)</w:t>
      </w:r>
    </w:p>
    <w:p>
      <w:pPr/>
      <w:r>
        <w:rPr>
          <w:lang w:val="en_US" w:bidi="en_US"/>
        </w:rPr>
      </w:r>
      <w:r>
        <w:rPr>
          <w:lang w:val="en_US" w:bidi="en_US"/>
        </w:rPr>
        <w:t>Never tempt the Lord your God (GW)</w:t>
      </w:r>
    </w:p>
    <w:p>
      <w:pPr/>
      <w:r>
        <w:rPr>
          <w:lang w:val="en_US" w:bidi="en_US"/>
        </w:rPr>
      </w:r>
      <w:r>
        <w:rPr>
          <w:lang w:val="en_US" w:bidi="en_US"/>
        </w:rPr>
        <w:t>Here in 4:12b, Jesus quoted from Deuteronomy 6:16. God had forbidden people to test him. In this context, Jesus meant that jumping down from the temple would be testing God. It would have been a sin. He would have tested God to prove that God would save him.</w:t>
      </w:r>
    </w:p>
    <w:p>
      <w:pPr>
        <w:pStyle w:val="Heading6"/>
      </w:pPr>
      <w:r>
        <w:rPr>
          <w:b/>
          <w:lang w:val="en_US" w:bidi="en_US"/>
        </w:rPr>
        <w:t>General Comment on 4:12a–b</w:t>
      </w:r>
    </w:p>
    <w:p>
      <w:pPr/>
      <w:r>
        <w:rPr>
          <w:lang w:val="en_US" w:bidi="en_US"/>
        </w:rPr>
      </w:r>
      <w:r>
        <w:rPr>
          <w:lang w:val="en_US" w:bidi="en_US"/>
        </w:rPr>
        <w:t>In some languages, it may be more natural to translate the quotation from the Scriptures as indirect speech. For example:</w:t>
      </w:r>
    </w:p>
    <w:p>
      <w:pPr/>
      <w:r>
        <w:rPr>
          <w:lang w:val="en_US" w:bidi="en_US"/>
        </w:rPr>
      </w:r>
      <w:r>
        <w:rPr>
          <w:lang w:val="en_US" w:bidi="en_US"/>
        </w:rPr>
        <w:t>The Scriptures say that no one should test the Lord our</w:t>
      </w:r>
      <w:r>
        <w:rPr>
          <w:vertAlign w:val="superscript"/>
          <w:lang w:val="en_US" w:bidi="en_US"/>
        </w:rPr>
        <w:t>(excl)</w:t>
      </w:r>
      <w:r>
        <w:rPr>
          <w:lang w:val="en_US" w:bidi="en_US"/>
        </w:rPr>
        <w:t xml:space="preserve"> God.</w:t>
      </w:r>
      <w:r>
        <w:rPr>
          <w:lang w:val="en_US" w:bidi="en_US"/>
        </w:rPr>
      </w:r>
      <w:r>
        <w:rPr>
          <w:lang w:val="en_US" w:bidi="en_US"/>
        </w:rPr>
      </w:r>
    </w:p>
    <w:p>
      <w:pPr/>
      <w:r>
        <w:rPr>
          <w:lang w:val="en_US" w:bidi="en_US"/>
        </w:rPr>
      </w:r>
    </w:p>
    <w:p>
      <w:pPr>
        <w:pStyle w:val="Heading2"/>
      </w:pPr>
      <w:r>
        <w:rPr>
          <w:lang w:val="en_US" w:bidi="en_US"/>
        </w:rPr>
        <w:t>Luke 4:13</w:t>
      </w:r>
      <w:r>
        <w:rPr>
          <w:lang w:val="en_US" w:bidi="en_US"/>
        </w:rPr>
      </w:r>
    </w:p>
    <w:p>
      <w:pPr>
        <w:pStyle w:val="Heading4"/>
      </w:pPr>
      <w:r>
        <w:rPr>
          <w:lang w:val="en_US" w:bidi="en_US"/>
        </w:rPr>
        <w:t>Section 4:1–13: Satan tempted Jesus</w:t>
      </w:r>
    </w:p>
    <w:p>
      <w:pPr/>
      <w:r>
        <w:rPr>
          <w:lang w:val="en_US" w:bidi="en_US"/>
        </w:rPr>
      </w:r>
      <w:r>
        <w:rPr>
          <w:lang w:val="en_US" w:bidi="en_US"/>
        </w:rPr>
        <w:t>In this section, Luke wrote that the devil (Satan) tempted Jesus, that is, the devil tried to persuade Jesus to do things that God did not want Jesus to do. Luke told about three of those things. Jesus did not do any of the things that the devil suggested. He refused the devil and his temptations by quoting the word of God from the book of Deuteronomy.</w:t>
      </w:r>
    </w:p>
    <w:p>
      <w:pPr/>
      <w:r>
        <w:rPr>
          <w:lang w:val="en_US" w:bidi="en_US"/>
        </w:rPr>
      </w:r>
      <w:r>
        <w:rPr>
          <w:lang w:val="en_US" w:bidi="en_US"/>
        </w:rPr>
        <w:t>Some other possible headings for this section are:</w:t>
      </w:r>
    </w:p>
    <w:p>
      <w:pPr/>
      <w:r>
        <w:rPr>
          <w:lang w:val="en_US" w:bidi="en_US"/>
        </w:rPr>
      </w:r>
      <w:r>
        <w:rPr>
          <w:lang w:val="en_US" w:bidi="en_US"/>
        </w:rPr>
        <w:t>The Temptation of Jesus</w:t>
      </w:r>
    </w:p>
    <w:p>
      <w:pPr/>
      <w:r>
        <w:rPr>
          <w:lang w:val="en_US" w:bidi="en_US"/>
        </w:rPr>
      </w:r>
      <w:r>
        <w:rPr>
          <w:lang w:val="en_US" w:bidi="en_US"/>
        </w:rPr>
        <w:t>Jesus Is Tempted by the Devil (NCV)</w:t>
      </w:r>
    </w:p>
    <w:p>
      <w:pPr/>
      <w:r>
        <w:rPr>
          <w:lang w:val="en_US" w:bidi="en_US"/>
        </w:rPr>
      </w:r>
      <w:r>
        <w:rPr>
          <w:lang w:val="en_US" w:bidi="en_US"/>
        </w:rPr>
        <w:t>There is a parallel passage for this section in Matthew 4:1–11, and a shorter version occurs in Mark 1:12–13.</w:t>
      </w:r>
    </w:p>
    <w:p>
      <w:pPr>
        <w:pStyle w:val="Heading5"/>
      </w:pPr>
      <w:r>
        <w:rPr>
          <w:lang w:val="en_US" w:bidi="en_US"/>
        </w:rPr>
        <w:t>4:13a</w:t>
      </w:r>
    </w:p>
    <w:p>
      <w:pPr/>
      <w:r>
        <w:rPr>
          <w:lang w:val="en_US" w:bidi="en_US"/>
        </w:rPr>
      </w:r>
      <w:r>
        <w:rPr>
          <w:b/>
          <w:lang w:val="en_US" w:bidi="en_US"/>
        </w:rPr>
        <w:t>When the devil had finished every temptation,</w:t>
      </w:r>
    </w:p>
    <w:p>
      <w:pPr>
        <w:pStyle w:val="ListBullet"/>
        <w:spacing w:line="240" w:lineRule="auto"/>
        <w:ind w:left="720"/>
      </w:pPr>
      <w:r>
        <w:rPr>
          <w:lang w:val="en_US" w:bidi="en_US"/>
        </w:rPr>
      </w:r>
      <w:r>
        <w:rPr>
          <w:lang w:val="en_US" w:bidi="en_US"/>
        </w:rPr>
        <w:t>¶ After the devil had finished tempting Jesus in every possible way, (GW)</w:t>
      </w:r>
    </w:p>
    <w:p>
      <w:pPr>
        <w:pStyle w:val="ListBullet"/>
        <w:spacing w:line="240" w:lineRule="auto"/>
        <w:ind w:left="720"/>
      </w:pPr>
      <w:r>
        <w:rPr>
          <w:lang w:val="en_US" w:bidi="en_US"/>
        </w:rPr>
      </w:r>
      <w:r>
        <w:rPr>
          <w:lang w:val="en_US" w:bidi="en_US"/>
        </w:rPr>
        <w:t>¶ After Satan had completed/finished all these temptations,</w:t>
      </w:r>
    </w:p>
    <w:p>
      <w:pPr>
        <w:pStyle w:val="ListBullet"/>
        <w:spacing w:line="240" w:lineRule="auto"/>
        <w:ind w:left="720"/>
      </w:pPr>
      <w:r>
        <w:rPr>
          <w:lang w:val="en_US" w:bidi="en_US"/>
        </w:rPr>
      </w:r>
      <w:r>
        <w:rPr>
          <w:lang w:val="en_US" w:bidi="en_US"/>
        </w:rPr>
        <w:t>¶ After the devil had finished testing Jesus in every way possible, (CEV)</w:t>
      </w:r>
    </w:p>
    <w:p>
      <w:pPr/>
      <w:r>
        <w:rPr>
          <w:lang w:val="en_US" w:bidi="en_US"/>
        </w:rPr>
      </w:r>
      <w:r>
        <w:rPr>
          <w:b/>
          <w:lang w:val="en_US" w:bidi="en_US"/>
        </w:rPr>
        <w:t>When the devil had finished every temptation:</w:t>
      </w:r>
      <w:r>
        <w:rPr>
          <w:lang w:val="en_US" w:bidi="en_US"/>
        </w:rPr>
        <w:t xml:space="preserve"> The Greek phrase that the BSB translates literally as </w:t>
      </w:r>
      <w:r>
        <w:rPr>
          <w:i/>
          <w:lang w:val="en_US" w:bidi="en_US"/>
        </w:rPr>
        <w:t>every temptation</w:t>
      </w:r>
      <w:r>
        <w:rPr>
          <w:lang w:val="en_US" w:bidi="en_US"/>
        </w:rPr>
        <w:t xml:space="preserve"> means that the devil had tried every kind of temptation during Jesus’ forty days in the wilderness. He had probably tried more than the three temptations Luke listed here.</w:t>
      </w:r>
    </w:p>
    <w:p>
      <w:pPr/>
      <w:r>
        <w:rPr>
          <w:lang w:val="en_US" w:bidi="en_US"/>
        </w:rPr>
      </w:r>
      <w:r>
        <w:rPr>
          <w:lang w:val="en_US" w:bidi="en_US"/>
        </w:rPr>
        <w:t>Some other ways to translate this are:</w:t>
      </w:r>
    </w:p>
    <w:p>
      <w:pPr/>
      <w:r>
        <w:rPr>
          <w:lang w:val="en_US" w:bidi="en_US"/>
        </w:rPr>
      </w:r>
      <w:r>
        <w:rPr>
          <w:lang w:val="en_US" w:bidi="en_US"/>
        </w:rPr>
        <w:t>After the devil had finished tempting Jesus in every possible way (GW)</w:t>
      </w:r>
    </w:p>
    <w:p>
      <w:pPr/>
      <w:r>
        <w:rPr>
          <w:lang w:val="en_US" w:bidi="en_US"/>
        </w:rPr>
      </w:r>
      <w:r>
        <w:rPr>
          <w:lang w:val="en_US" w:bidi="en_US"/>
        </w:rPr>
        <w:t>After the devil had finished testing Jesus in every way possible (CEV)</w:t>
      </w:r>
    </w:p>
    <w:p>
      <w:pPr/>
      <w:r>
        <w:rPr>
          <w:lang w:val="en_US" w:bidi="en_US"/>
        </w:rPr>
      </w:r>
      <w:r>
        <w:rPr>
          <w:b/>
          <w:lang w:val="en_US" w:bidi="en_US"/>
        </w:rPr>
        <w:t>temptation:</w:t>
      </w:r>
      <w:r>
        <w:rPr>
          <w:lang w:val="en_US" w:bidi="en_US"/>
        </w:rPr>
        <w:t xml:space="preserve"> The Greek word that the BSB translates as </w:t>
      </w:r>
      <w:r>
        <w:rPr>
          <w:i/>
          <w:lang w:val="en_US" w:bidi="en_US"/>
        </w:rPr>
        <w:t>temptation</w:t>
      </w:r>
      <w:r>
        <w:rPr>
          <w:lang w:val="en_US" w:bidi="en_US"/>
        </w:rPr>
        <w:t xml:space="preserve"> is the noun form of the verb that the BSB translates as “put to the test” in 4:12b. Some other ways to translate this word are:</w:t>
      </w:r>
    </w:p>
    <w:p>
      <w:pPr/>
      <w:r>
        <w:rPr>
          <w:lang w:val="en_US" w:bidi="en_US"/>
        </w:rPr>
      </w:r>
      <w:r>
        <w:rPr>
          <w:lang w:val="en_US" w:bidi="en_US"/>
        </w:rPr>
        <w:t>tempting (NIV)</w:t>
      </w:r>
    </w:p>
    <w:p>
      <w:pPr/>
      <w:r>
        <w:rPr>
          <w:lang w:val="en_US" w:bidi="en_US"/>
        </w:rPr>
      </w:r>
      <w:r>
        <w:rPr>
          <w:lang w:val="en_US" w:bidi="en_US"/>
        </w:rPr>
        <w:t>tests</w:t>
      </w:r>
    </w:p>
    <w:p>
      <w:pPr/>
      <w:r>
        <w:rPr>
          <w:lang w:val="en_US" w:bidi="en_US"/>
        </w:rPr>
      </w:r>
      <w:r>
        <w:rPr>
          <w:lang w:val="en_US" w:bidi="en_US"/>
        </w:rPr>
        <w:t>testing</w:t>
      </w:r>
    </w:p>
    <w:p>
      <w:pPr>
        <w:pStyle w:val="Heading5"/>
      </w:pPr>
      <w:r>
        <w:rPr>
          <w:lang w:val="en_US" w:bidi="en_US"/>
        </w:rPr>
        <w:t>4:13b</w:t>
      </w:r>
    </w:p>
    <w:p>
      <w:pPr/>
      <w:r>
        <w:rPr>
          <w:lang w:val="en_US" w:bidi="en_US"/>
        </w:rPr>
      </w:r>
      <w:r>
        <w:rPr>
          <w:b/>
          <w:lang w:val="en_US" w:bidi="en_US"/>
        </w:rPr>
        <w:t>he left Him until an opportune time.</w:t>
      </w:r>
    </w:p>
    <w:p>
      <w:pPr>
        <w:pStyle w:val="ListBullet"/>
        <w:spacing w:line="240" w:lineRule="auto"/>
        <w:ind w:left="720"/>
      </w:pPr>
      <w:r>
        <w:rPr>
          <w:lang w:val="en_US" w:bidi="en_US"/>
        </w:rPr>
      </w:r>
      <w:r>
        <w:rPr>
          <w:lang w:val="en_US" w:bidi="en_US"/>
        </w:rPr>
        <w:t xml:space="preserve">he left him until </w:t>
      </w:r>
      <w:r>
        <w:rPr>
          <w:lang w:val="en_US" w:bidi="en_US"/>
        </w:rPr>
        <w:t>he had</w:t>
      </w:r>
      <w:r>
        <w:rPr>
          <w:lang w:val="en_US" w:bidi="en_US"/>
        </w:rPr>
        <w:t xml:space="preserve"> another chance/opportunity.</w:t>
      </w:r>
    </w:p>
    <w:p>
      <w:pPr>
        <w:pStyle w:val="ListBullet"/>
        <w:spacing w:line="240" w:lineRule="auto"/>
        <w:ind w:left="720"/>
      </w:pPr>
      <w:r>
        <w:rPr>
          <w:lang w:val="en_US" w:bidi="en_US"/>
        </w:rPr>
      </w:r>
      <w:r>
        <w:rPr>
          <w:lang w:val="en_US" w:bidi="en_US"/>
        </w:rPr>
        <w:t xml:space="preserve">he went away from </w:t>
      </w:r>
      <w:r>
        <w:rPr>
          <w:lang w:val="en_US" w:bidi="en_US"/>
        </w:rPr>
        <w:t>Jesus</w:t>
      </w:r>
      <w:r>
        <w:rPr>
          <w:lang w:val="en_US" w:bidi="en_US"/>
        </w:rPr>
        <w:t xml:space="preserve"> </w:t>
      </w:r>
      <w:r>
        <w:rPr>
          <w:lang w:val="en_US" w:bidi="en_US"/>
        </w:rPr>
        <w:t>to wait</w:t>
      </w:r>
      <w:r>
        <w:rPr>
          <w:lang w:val="en_US" w:bidi="en_US"/>
        </w:rPr>
        <w:t xml:space="preserve"> until a better time </w:t>
      </w:r>
      <w:r>
        <w:rPr>
          <w:lang w:val="en_US" w:bidi="en_US"/>
        </w:rPr>
        <w:t>to tempt him again</w:t>
      </w:r>
      <w:r>
        <w:rPr>
          <w:lang w:val="en_US" w:bidi="en_US"/>
        </w:rPr>
        <w:t>.</w:t>
      </w:r>
    </w:p>
    <w:p>
      <w:pPr/>
      <w:r>
        <w:rPr>
          <w:lang w:val="en_US" w:bidi="en_US"/>
        </w:rPr>
      </w:r>
      <w:r>
        <w:rPr>
          <w:b/>
          <w:lang w:val="en_US" w:bidi="en_US"/>
        </w:rPr>
        <w:t>he left Him:</w:t>
      </w:r>
      <w:r>
        <w:rPr>
          <w:lang w:val="en_US" w:bidi="en_US"/>
        </w:rPr>
        <w:t xml:space="preserve"> The phrase </w:t>
      </w:r>
      <w:r>
        <w:rPr>
          <w:i/>
          <w:lang w:val="en_US" w:bidi="en_US"/>
        </w:rPr>
        <w:t>he left Him</w:t>
      </w:r>
      <w:r>
        <w:rPr>
          <w:lang w:val="en_US" w:bidi="en_US"/>
        </w:rPr>
        <w:t xml:space="preserve"> means “the devil left Jesus.” The devil went away and stopped bothering Jesus for a while.</w:t>
      </w:r>
    </w:p>
    <w:p>
      <w:pPr/>
      <w:r>
        <w:rPr>
          <w:lang w:val="en_US" w:bidi="en_US"/>
        </w:rPr>
      </w:r>
      <w:r>
        <w:rPr>
          <w:b/>
          <w:lang w:val="en_US" w:bidi="en_US"/>
        </w:rPr>
        <w:t>until an opportune time:</w:t>
      </w:r>
      <w:r>
        <w:rPr>
          <w:lang w:val="en_US" w:bidi="en_US"/>
        </w:rPr>
        <w:t xml:space="preserve"> The Greek phrase that the BSB translates as </w:t>
      </w:r>
      <w:r>
        <w:rPr>
          <w:i/>
          <w:lang w:val="en_US" w:bidi="en_US"/>
        </w:rPr>
        <w:t>until an opportune time</w:t>
      </w:r>
      <w:r>
        <w:rPr>
          <w:lang w:val="en_US" w:bidi="en_US"/>
        </w:rPr>
        <w:t xml:space="preserve"> is literally “until a time/season.” There are two ways to interpret this phrase:</w:t>
      </w:r>
    </w:p>
    <w:p>
      <w:pPr>
        <w:pStyle w:val="ListNumber"/>
        <w:numPr>
          <w:ilvl w:val="0"/>
          <w:numId w:val="100"/>
        </w:numPr>
        <w:spacing w:line="240" w:lineRule="auto"/>
        <w:ind w:left="720"/>
      </w:pPr>
      <w:r>
        <w:rPr>
          <w:lang w:val="en_US" w:bidi="en_US"/>
        </w:rPr>
      </w:r>
      <w:r>
        <w:rPr>
          <w:lang w:val="en_US" w:bidi="en_US"/>
        </w:rPr>
        <w:t xml:space="preserve">It means </w:t>
      </w:r>
      <w:r>
        <w:rPr>
          <w:u w:val="single"/>
          <w:lang w:val="en_US" w:bidi="en_US"/>
        </w:rPr>
        <w:t>until Satan found a good/suitable time</w:t>
      </w:r>
      <w:r>
        <w:rPr>
          <w:lang w:val="en_US" w:bidi="en_US"/>
        </w:rPr>
        <w:t>. For example:</w:t>
      </w:r>
      <w:r>
        <w:rPr>
          <w:lang w:val="en_US" w:bidi="en_US"/>
        </w:rPr>
        <w:t xml:space="preserve">until a better time (NCV) </w:t>
      </w:r>
      <w:r>
        <w:rPr>
          <w:i/>
          <w:lang w:val="en_US" w:bidi="en_US"/>
        </w:rPr>
        <w:t>(BSB, NIV, RSV, NET, NJB, NASB, ESV, NLT, NCV)</w:t>
      </w:r>
    </w:p>
    <w:p>
      <w:pPr>
        <w:pStyle w:val="ListNumber"/>
        <w:spacing w:line="240" w:lineRule="auto"/>
        <w:ind w:left="720"/>
      </w:pPr>
      <w:r>
        <w:rPr>
          <w:lang w:val="en_US" w:bidi="en_US"/>
        </w:rPr>
      </w:r>
      <w:r>
        <w:rPr>
          <w:lang w:val="en_US" w:bidi="en_US"/>
        </w:rPr>
        <w:t xml:space="preserve">It means </w:t>
      </w:r>
      <w:r>
        <w:rPr>
          <w:u w:val="single"/>
          <w:lang w:val="en_US" w:bidi="en_US"/>
        </w:rPr>
        <w:t>for a short time</w:t>
      </w:r>
      <w:r>
        <w:rPr>
          <w:lang w:val="en_US" w:bidi="en_US"/>
        </w:rPr>
        <w:t>. For example:</w:t>
      </w:r>
      <w:r>
        <w:rPr>
          <w:lang w:val="en_US" w:bidi="en_US"/>
        </w:rPr>
        <w:t xml:space="preserve">for a while (GNT) </w:t>
      </w:r>
      <w:r>
        <w:rPr>
          <w:i/>
          <w:lang w:val="en_US" w:bidi="en_US"/>
        </w:rPr>
        <w:t>(CEV, GNT, KJV)</w:t>
      </w:r>
    </w:p>
    <w:p>
      <w:pPr/>
      <w:r>
        <w:rPr>
          <w:lang w:val="en_US" w:bidi="en_US"/>
        </w:rPr>
      </w:r>
      <w:r>
        <w:rPr>
          <w:lang w:val="en_US" w:bidi="en_US"/>
        </w:rPr>
        <w:t>It is recommended that you follow interpretation (1).</w:t>
      </w:r>
    </w:p>
    <w:p>
      <w:pPr/>
      <w:r>
        <w:rPr>
          <w:lang w:val="en_US" w:bidi="en_US"/>
        </w:rPr>
      </w:r>
      <w:r>
        <w:rPr>
          <w:lang w:val="en_US" w:bidi="en_US"/>
        </w:rPr>
        <w:t>Much of Jesus’ public ministry took place in the province of Galilee. Luke described this part of Jesus’ ministry in 4:14–9:50. Jesus began his work in Nazareth, went on to the town of Capernaum, and then spread his message throughout the region. He did many miracles and taught many things. Jesus often used parables when he taught the people. He showed clearly that God had given him power and authority. Even though Jesus so amazed the people that they praised God, many of the religious leaders began to oppose him. As Jesus was ending his ministry in Galilee, he foretold that he would be killed and come back to life.</w:t>
      </w:r>
      <w:r>
        <w:rPr>
          <w:lang w:val="en_US" w:bidi="en_US"/>
        </w:rPr>
      </w:r>
      <w:r>
        <w:rPr>
          <w:lang w:val="en_US" w:bidi="en_US"/>
        </w:rPr>
      </w:r>
    </w:p>
    <w:p>
      <w:pPr/>
      <w:r>
        <w:rPr>
          <w:lang w:val="en_US" w:bidi="en_US"/>
        </w:rPr>
      </w:r>
    </w:p>
    <w:p>
      <w:pPr>
        <w:pStyle w:val="Heading2"/>
      </w:pPr>
      <w:r>
        <w:rPr>
          <w:lang w:val="en_US" w:bidi="en_US"/>
        </w:rPr>
        <w:t>Luke 4:14</w:t>
      </w:r>
      <w:r>
        <w:rPr>
          <w:lang w:val="en_US" w:bidi="en_US"/>
        </w:rPr>
      </w:r>
    </w:p>
    <w:p>
      <w:pPr>
        <w:pStyle w:val="Heading4"/>
      </w:pPr>
      <w:r>
        <w:rPr>
          <w:lang w:val="en_US" w:bidi="en_US"/>
        </w:rPr>
        <w:t>Section 4:14–30: The people rejected Jesus at Nazareth</w:t>
      </w:r>
    </w:p>
    <w:p>
      <w:pPr/>
      <w:r>
        <w:rPr>
          <w:lang w:val="en_US" w:bidi="en_US"/>
        </w:rPr>
      </w:r>
      <w:r>
        <w:rPr>
          <w:lang w:val="en_US" w:bidi="en_US"/>
        </w:rP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pPr/>
      <w:r>
        <w:rPr>
          <w:lang w:val="en_US" w:bidi="en_US"/>
        </w:rPr>
      </w:r>
      <w:r>
        <w:rPr>
          <w:lang w:val="en_US" w:bidi="en_US"/>
        </w:rPr>
        <w:t>Some other possible headings for this section are:</w:t>
      </w:r>
    </w:p>
    <w:p>
      <w:pPr/>
      <w:r>
        <w:rPr>
          <w:lang w:val="en_US" w:bidi="en_US"/>
        </w:rPr>
      </w:r>
      <w:r>
        <w:rPr>
          <w:lang w:val="en_US" w:bidi="en_US"/>
        </w:rPr>
        <w:t>The People of Nazareth Turn against Jesus (CEV)</w:t>
      </w:r>
    </w:p>
    <w:p>
      <w:pPr/>
      <w:r>
        <w:rPr>
          <w:lang w:val="en_US" w:bidi="en_US"/>
        </w:rPr>
      </w:r>
      <w:r>
        <w:rPr>
          <w:lang w:val="en_US" w:bidi="en_US"/>
        </w:rPr>
        <w:t>Jesus Rejected at Nazareth (ESV)</w:t>
      </w:r>
    </w:p>
    <w:p>
      <w:pPr/>
      <w:r>
        <w:rPr>
          <w:lang w:val="en_US" w:bidi="en_US"/>
        </w:rPr>
      </w:r>
      <w:r>
        <w:rPr>
          <w:lang w:val="en_US" w:bidi="en_US"/>
        </w:rPr>
        <w:t>There is a parallel passage for this section in Mark 6:1–6.</w:t>
      </w:r>
    </w:p>
    <w:p>
      <w:pPr>
        <w:pStyle w:val="Heading4"/>
      </w:pPr>
      <w:r>
        <w:rPr>
          <w:lang w:val="en_US" w:bidi="en_US"/>
        </w:rPr>
        <w:t>Paragraph 4:14–15</w:t>
      </w:r>
    </w:p>
    <w:p>
      <w:pPr/>
      <w:r>
        <w:rPr>
          <w:lang w:val="en_US" w:bidi="en_US"/>
        </w:rPr>
      </w:r>
    </w:p>
    <w:p>
      <w:pPr/>
      <w:r>
        <w:rPr>
          <w:lang w:val="en_US" w:bidi="en_US"/>
        </w:rPr>
      </w:r>
      <w:r>
        <w:rPr>
          <w:lang w:val="en_US" w:bidi="en_US"/>
        </w:rPr>
        <w:t>This verse begins with a Greek conjunction that is often translated as “and.” Some English versions, such as the ESV, translate it that way. The BSB has not translated this conjunction, and some other versions such as the NIV and NET also do not translate it here.</w:t>
      </w:r>
    </w:p>
    <w:p>
      <w:pPr/>
      <w:r>
        <w:rPr>
          <w:lang w:val="en_US" w:bidi="en_US"/>
        </w:rPr>
      </w:r>
      <w:r>
        <w:rPr>
          <w:lang w:val="en_US" w:bidi="en_US"/>
        </w:rPr>
        <w:t>However, the events in this paragraph occurred soon after the events in 4:13. In some languages, it may be natural to begin this paragraph by using a time word or phrase to translate this conjunction. For example:</w:t>
      </w:r>
    </w:p>
    <w:p>
      <w:pPr/>
      <w:r>
        <w:rPr>
          <w:lang w:val="en_US" w:bidi="en_US"/>
        </w:rPr>
      </w:r>
      <w:r>
        <w:rPr>
          <w:lang w:val="en_US" w:bidi="en_US"/>
        </w:rPr>
        <w:t>Then (GNT)</w:t>
      </w:r>
    </w:p>
    <w:p>
      <w:pPr/>
      <w:r>
        <w:rPr>
          <w:lang w:val="en_US" w:bidi="en_US"/>
        </w:rPr>
      </w:r>
      <w:r>
        <w:rPr>
          <w:lang w:val="en_US" w:bidi="en_US"/>
        </w:rPr>
        <w:t>After that</w:t>
      </w:r>
    </w:p>
    <w:p>
      <w:pPr/>
      <w:r>
        <w:rPr>
          <w:lang w:val="en_US" w:bidi="en_US"/>
        </w:rPr>
      </w:r>
      <w:r>
        <w:rPr>
          <w:lang w:val="en_US" w:bidi="en_US"/>
        </w:rPr>
        <w:t>Connect 4:14a to 4:13b in a way that is natural in your language.</w:t>
      </w:r>
    </w:p>
    <w:p>
      <w:pPr>
        <w:pStyle w:val="Heading5"/>
      </w:pPr>
      <w:r>
        <w:rPr>
          <w:lang w:val="en_US" w:bidi="en_US"/>
        </w:rPr>
        <w:t>4:14a</w:t>
      </w:r>
    </w:p>
    <w:p>
      <w:pPr/>
      <w:r>
        <w:rPr>
          <w:lang w:val="en_US" w:bidi="en_US"/>
        </w:rPr>
      </w:r>
      <w:r>
        <w:rPr>
          <w:b/>
          <w:lang w:val="en_US" w:bidi="en_US"/>
        </w:rPr>
        <w:t>Jesus returned to Galilee in the power of the Spirit,</w:t>
      </w:r>
    </w:p>
    <w:p>
      <w:pPr>
        <w:pStyle w:val="ListBullet"/>
        <w:spacing w:line="240" w:lineRule="auto"/>
        <w:ind w:left="720"/>
      </w:pPr>
      <w:r>
        <w:rPr>
          <w:lang w:val="en_US" w:bidi="en_US"/>
        </w:rPr>
      </w:r>
      <w:r>
        <w:rPr>
          <w:lang w:val="en_US" w:bidi="en_US"/>
        </w:rPr>
        <w:t xml:space="preserve">¶ </w:t>
      </w:r>
      <w:r>
        <w:rPr>
          <w:lang w:val="en_US" w:bidi="en_US"/>
        </w:rPr>
        <w:t>When</w:t>
      </w:r>
      <w:r>
        <w:rPr>
          <w:lang w:val="en_US" w:bidi="en_US"/>
        </w:rPr>
        <w:t xml:space="preserve"> Jesus returned to </w:t>
      </w:r>
      <w:r>
        <w:rPr>
          <w:lang w:val="en_US" w:bidi="en_US"/>
        </w:rPr>
        <w:t>the region of</w:t>
      </w:r>
      <w:r>
        <w:rPr>
          <w:lang w:val="en_US" w:bidi="en_US"/>
        </w:rPr>
        <w:t xml:space="preserve"> Galilee, </w:t>
      </w:r>
      <w:r>
        <w:rPr>
          <w:lang w:val="en_US" w:bidi="en_US"/>
        </w:rPr>
        <w:t>God’s</w:t>
      </w:r>
      <w:r>
        <w:rPr>
          <w:lang w:val="en_US" w:bidi="en_US"/>
        </w:rPr>
        <w:t xml:space="preserve"> Spirit was giving him power.</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went back to </w:t>
      </w:r>
      <w:r>
        <w:rPr>
          <w:lang w:val="en_US" w:bidi="en_US"/>
        </w:rPr>
        <w:t>the province of</w:t>
      </w:r>
      <w:r>
        <w:rPr>
          <w:lang w:val="en_US" w:bidi="en_US"/>
        </w:rPr>
        <w:t xml:space="preserve"> Galilee, and the </w:t>
      </w:r>
      <w:r>
        <w:rPr>
          <w:lang w:val="en_US" w:bidi="en_US"/>
        </w:rPr>
        <w:t>Holy</w:t>
      </w:r>
      <w:r>
        <w:rPr>
          <w:lang w:val="en_US" w:bidi="en_US"/>
        </w:rPr>
        <w:t xml:space="preserve"> Spirit was guiding/empowering him.</w:t>
      </w:r>
    </w:p>
    <w:p>
      <w:pPr/>
      <w:r>
        <w:rPr>
          <w:lang w:val="en_US" w:bidi="en_US"/>
        </w:rPr>
      </w:r>
      <w:r>
        <w:rPr>
          <w:b/>
          <w:lang w:val="en_US" w:bidi="en_US"/>
        </w:rPr>
        <w:t>Jesus returned to Galilee:</w:t>
      </w:r>
      <w:r>
        <w:rPr>
          <w:lang w:val="en_US" w:bidi="en_US"/>
        </w:rPr>
        <w:t xml:space="preserve"> </w:t>
      </w:r>
      <w:r>
        <w:rPr>
          <w:i/>
          <w:lang w:val="en_US" w:bidi="en_US"/>
        </w:rPr>
        <w:t>Galilee</w:t>
      </w:r>
      <w:r>
        <w:rPr>
          <w:lang w:val="en_US" w:bidi="en_US"/>
        </w:rPr>
        <w:t xml:space="preserve"> was the name of a province in the northern part of the land of Israel. Galilee was where Jesus had lived when he was a boy. In this passage, Jesus left the province of Judea and went north to return to Galilee.</w:t>
      </w:r>
    </w:p>
    <w:p>
      <w:pPr/>
      <w:r>
        <w:rPr>
          <w:lang w:val="en_US" w:bidi="en_US"/>
        </w:rPr>
      </w:r>
      <w:r>
        <w:rPr>
          <w:b/>
          <w:lang w:val="en_US" w:bidi="en_US"/>
        </w:rPr>
        <w:t>in the power of the Spirit:</w:t>
      </w:r>
      <w:r>
        <w:rPr>
          <w:lang w:val="en_US" w:bidi="en_US"/>
        </w:rPr>
        <w:t xml:space="preserve"> The phrase </w:t>
      </w:r>
      <w:r>
        <w:rPr>
          <w:i/>
          <w:lang w:val="en_US" w:bidi="en_US"/>
        </w:rPr>
        <w:t>in the power of the Spirit</w:t>
      </w:r>
      <w:r>
        <w:rPr>
          <w:lang w:val="en_US" w:bidi="en_US"/>
        </w:rPr>
        <w:t xml:space="preserve"> means “guided by the Spirit” or “with the Holy Spirit’s power.” God’s Holy Spirit guided Jesus and gave him the power to do all that God wanted him to do. (The phrase “full of the Holy Spirit” in 4:1a has a similar meaning.)</w:t>
      </w:r>
    </w:p>
    <w:p>
      <w:pPr/>
      <w:r>
        <w:rPr>
          <w:lang w:val="en_US" w:bidi="en_US"/>
        </w:rPr>
      </w:r>
      <w:r>
        <w:rPr>
          <w:lang w:val="en_US" w:bidi="en_US"/>
        </w:rPr>
        <w:t>Some other ways to translate this are:</w:t>
      </w:r>
    </w:p>
    <w:p>
      <w:pPr/>
      <w:r>
        <w:rPr>
          <w:lang w:val="en_US" w:bidi="en_US"/>
        </w:rPr>
      </w:r>
      <w:r>
        <w:rPr>
          <w:lang w:val="en_US" w:bidi="en_US"/>
        </w:rPr>
        <w:t>and the power of the Holy Spirit was with him (GNT)</w:t>
      </w:r>
    </w:p>
    <w:p>
      <w:pPr/>
      <w:r>
        <w:rPr>
          <w:lang w:val="en_US" w:bidi="en_US"/>
        </w:rPr>
      </w:r>
      <w:r>
        <w:rPr>
          <w:lang w:val="en_US" w:bidi="en_US"/>
        </w:rPr>
        <w:t>filled with the Holy Spirit’s power (NLT)</w:t>
      </w:r>
    </w:p>
    <w:p>
      <w:pPr>
        <w:pStyle w:val="Heading5"/>
      </w:pPr>
      <w:r>
        <w:rPr>
          <w:lang w:val="en_US" w:bidi="en_US"/>
        </w:rPr>
        <w:t>4:14b</w:t>
      </w:r>
    </w:p>
    <w:p>
      <w:pPr/>
      <w:r>
        <w:rPr>
          <w:lang w:val="en_US" w:bidi="en_US"/>
        </w:rPr>
      </w:r>
      <w:r>
        <w:rPr>
          <w:b/>
          <w:lang w:val="en_US" w:bidi="en_US"/>
        </w:rPr>
        <w:t>and the news about Him spread throughout the surrounding region.</w:t>
      </w:r>
    </w:p>
    <w:p>
      <w:pPr>
        <w:pStyle w:val="ListBullet"/>
        <w:spacing w:line="240" w:lineRule="auto"/>
        <w:ind w:left="720"/>
      </w:pPr>
      <w:r>
        <w:rPr>
          <w:lang w:val="en_US" w:bidi="en_US"/>
        </w:rPr>
      </w:r>
      <w:r>
        <w:rPr>
          <w:lang w:val="en_US" w:bidi="en_US"/>
        </w:rPr>
        <w:t>News about him spread throughout the entire area.</w:t>
      </w:r>
    </w:p>
    <w:p>
      <w:pPr>
        <w:pStyle w:val="ListBullet"/>
        <w:spacing w:line="240" w:lineRule="auto"/>
        <w:ind w:left="720"/>
      </w:pPr>
      <w:r>
        <w:rPr>
          <w:lang w:val="en_US" w:bidi="en_US"/>
        </w:rPr>
      </w:r>
      <w:r>
        <w:rPr>
          <w:lang w:val="en_US" w:bidi="en_US"/>
        </w:rPr>
        <w:t xml:space="preserve">People told </w:t>
      </w:r>
      <w:r>
        <w:rPr>
          <w:lang w:val="en_US" w:bidi="en_US"/>
        </w:rPr>
        <w:t>other people</w:t>
      </w:r>
      <w:r>
        <w:rPr>
          <w:lang w:val="en_US" w:bidi="en_US"/>
        </w:rPr>
        <w:t xml:space="preserve"> about Jesus all through that region/district.</w:t>
      </w:r>
    </w:p>
    <w:p>
      <w:pPr/>
      <w:r>
        <w:rPr>
          <w:lang w:val="en_US" w:bidi="en_US"/>
        </w:rPr>
      </w:r>
      <w:r>
        <w:rPr>
          <w:b/>
          <w:lang w:val="en_US" w:bidi="en_US"/>
        </w:rPr>
        <w:t>the news about Him spread throughout the surrounding region:</w:t>
      </w:r>
      <w:r>
        <w:rPr>
          <w:lang w:val="en_US" w:bidi="en_US"/>
        </w:rPr>
        <w:t xml:space="preserve"> Here are some other ways to translate the phrase that the BSB translates as </w:t>
      </w:r>
      <w:r>
        <w:rPr>
          <w:i/>
          <w:lang w:val="en_US" w:bidi="en_US"/>
        </w:rPr>
        <w:t>the news about Him spread throughout the surrounding region</w:t>
      </w:r>
      <w:r>
        <w:rPr>
          <w:lang w:val="en_US" w:bidi="en_US"/>
        </w:rPr>
        <w:t>:</w:t>
      </w:r>
    </w:p>
    <w:p>
      <w:pPr/>
      <w:r>
        <w:rPr>
          <w:lang w:val="en_US" w:bidi="en_US"/>
        </w:rPr>
      </w:r>
      <w:r>
        <w:rPr>
          <w:lang w:val="en_US" w:bidi="en_US"/>
        </w:rPr>
        <w:t>people told other people about Jesus all over the province of Galilee</w:t>
      </w:r>
    </w:p>
    <w:p>
      <w:pPr/>
      <w:r>
        <w:rPr>
          <w:lang w:val="en_US" w:bidi="en_US"/>
        </w:rPr>
      </w:r>
      <w:r>
        <w:rPr>
          <w:lang w:val="en_US" w:bidi="en_US"/>
        </w:rPr>
        <w:t>Soon he became well known throughout the surrounding country. (NLT96)</w:t>
      </w:r>
    </w:p>
    <w:p>
      <w:pPr/>
      <w:r>
        <w:rPr>
          <w:lang w:val="en_US" w:bidi="en_US"/>
        </w:rPr>
      </w:r>
      <w:r>
        <w:rPr>
          <w:b/>
          <w:lang w:val="en_US" w:bidi="en_US"/>
        </w:rPr>
        <w:t>surrounding region:</w:t>
      </w:r>
      <w:r>
        <w:rPr>
          <w:lang w:val="en_US" w:bidi="en_US"/>
        </w:rPr>
        <w:t xml:space="preserve"> The Greek word that the BSB translates as </w:t>
      </w:r>
      <w:r>
        <w:rPr>
          <w:i/>
          <w:lang w:val="en_US" w:bidi="en_US"/>
        </w:rPr>
        <w:t>surrounding region</w:t>
      </w:r>
      <w:r>
        <w:rPr>
          <w:lang w:val="en_US" w:bidi="en_US"/>
        </w:rPr>
        <w:t xml:space="preserve"> can also be translated as “countryside” (NIV) or simply “area” (NCV). It is a general term that here refers to the towns and villages throughout Galilee.</w:t>
      </w:r>
      <w:r>
        <w:rPr>
          <w:lang w:val="en_US" w:bidi="en_US"/>
        </w:rPr>
      </w:r>
      <w:r>
        <w:rPr>
          <w:lang w:val="en_US" w:bidi="en_US"/>
        </w:rPr>
      </w:r>
    </w:p>
    <w:p>
      <w:pPr/>
      <w:r>
        <w:rPr>
          <w:lang w:val="en_US" w:bidi="en_US"/>
        </w:rPr>
      </w:r>
    </w:p>
    <w:p>
      <w:pPr>
        <w:pStyle w:val="Heading2"/>
      </w:pPr>
      <w:r>
        <w:rPr>
          <w:lang w:val="en_US" w:bidi="en_US"/>
        </w:rPr>
        <w:t>Luke 4:15</w:t>
      </w:r>
      <w:r>
        <w:rPr>
          <w:lang w:val="en_US" w:bidi="en_US"/>
        </w:rPr>
      </w:r>
    </w:p>
    <w:p>
      <w:pPr>
        <w:pStyle w:val="Heading4"/>
      </w:pPr>
      <w:r>
        <w:rPr>
          <w:lang w:val="en_US" w:bidi="en_US"/>
        </w:rPr>
        <w:t>Section 4:14–30: The people rejected Jesus at Nazareth</w:t>
      </w:r>
    </w:p>
    <w:p>
      <w:pPr/>
      <w:r>
        <w:rPr>
          <w:lang w:val="en_US" w:bidi="en_US"/>
        </w:rPr>
      </w:r>
      <w:r>
        <w:rPr>
          <w:lang w:val="en_US" w:bidi="en_US"/>
        </w:rP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pPr/>
      <w:r>
        <w:rPr>
          <w:lang w:val="en_US" w:bidi="en_US"/>
        </w:rPr>
      </w:r>
      <w:r>
        <w:rPr>
          <w:lang w:val="en_US" w:bidi="en_US"/>
        </w:rPr>
        <w:t>Some other possible headings for this section are:</w:t>
      </w:r>
    </w:p>
    <w:p>
      <w:pPr/>
      <w:r>
        <w:rPr>
          <w:lang w:val="en_US" w:bidi="en_US"/>
        </w:rPr>
      </w:r>
      <w:r>
        <w:rPr>
          <w:lang w:val="en_US" w:bidi="en_US"/>
        </w:rPr>
        <w:t>The People of Nazareth Turn against Jesus (CEV)</w:t>
      </w:r>
    </w:p>
    <w:p>
      <w:pPr/>
      <w:r>
        <w:rPr>
          <w:lang w:val="en_US" w:bidi="en_US"/>
        </w:rPr>
      </w:r>
      <w:r>
        <w:rPr>
          <w:lang w:val="en_US" w:bidi="en_US"/>
        </w:rPr>
        <w:t>Jesus Rejected at Nazareth (ESV)</w:t>
      </w:r>
    </w:p>
    <w:p>
      <w:pPr/>
      <w:r>
        <w:rPr>
          <w:lang w:val="en_US" w:bidi="en_US"/>
        </w:rPr>
      </w:r>
      <w:r>
        <w:rPr>
          <w:lang w:val="en_US" w:bidi="en_US"/>
        </w:rPr>
        <w:t>There is a parallel passage for this section in Mark 6:1–6.</w:t>
      </w:r>
    </w:p>
    <w:p>
      <w:pPr>
        <w:pStyle w:val="Heading4"/>
      </w:pPr>
      <w:r>
        <w:rPr>
          <w:lang w:val="en_US" w:bidi="en_US"/>
        </w:rPr>
        <w:t>Paragraph 4:14–15</w:t>
      </w:r>
    </w:p>
    <w:p>
      <w:pPr/>
      <w:r>
        <w:rPr>
          <w:lang w:val="en_US" w:bidi="en_US"/>
        </w:rPr>
      </w:r>
    </w:p>
    <w:p>
      <w:pPr/>
      <w:r>
        <w:rPr>
          <w:lang w:val="en_US" w:bidi="en_US"/>
        </w:rPr>
      </w:r>
      <w:r>
        <w:rPr>
          <w:lang w:val="en_US" w:bidi="en_US"/>
        </w:rPr>
        <w:t>This verse begins with a Greek conjunction that is often translated as “and.” Some English versions, such as the ESV, translate it that way. The BSB has not translated this conjunction, and some other versions such as the NIV and NET also do not translate it here.</w:t>
      </w:r>
    </w:p>
    <w:p>
      <w:pPr/>
      <w:r>
        <w:rPr>
          <w:lang w:val="en_US" w:bidi="en_US"/>
        </w:rPr>
      </w:r>
      <w:r>
        <w:rPr>
          <w:lang w:val="en_US" w:bidi="en_US"/>
        </w:rPr>
        <w:t>However, the events in this paragraph occurred soon after the events in 4:13. In some languages, it may be natural to begin this paragraph by using a time word or phrase to translate this conjunction. For example:</w:t>
      </w:r>
    </w:p>
    <w:p>
      <w:pPr/>
      <w:r>
        <w:rPr>
          <w:lang w:val="en_US" w:bidi="en_US"/>
        </w:rPr>
      </w:r>
      <w:r>
        <w:rPr>
          <w:lang w:val="en_US" w:bidi="en_US"/>
        </w:rPr>
        <w:t>Then (GNT)</w:t>
      </w:r>
    </w:p>
    <w:p>
      <w:pPr/>
      <w:r>
        <w:rPr>
          <w:lang w:val="en_US" w:bidi="en_US"/>
        </w:rPr>
      </w:r>
      <w:r>
        <w:rPr>
          <w:lang w:val="en_US" w:bidi="en_US"/>
        </w:rPr>
        <w:t>After that</w:t>
      </w:r>
    </w:p>
    <w:p>
      <w:pPr/>
      <w:r>
        <w:rPr>
          <w:lang w:val="en_US" w:bidi="en_US"/>
        </w:rPr>
      </w:r>
      <w:r>
        <w:rPr>
          <w:lang w:val="en_US" w:bidi="en_US"/>
        </w:rPr>
        <w:t>Connect 4:14a to 4:13b in a way that is natural in your language.</w:t>
      </w:r>
    </w:p>
    <w:p>
      <w:pPr>
        <w:pStyle w:val="Heading5"/>
      </w:pPr>
      <w:r>
        <w:rPr>
          <w:lang w:val="en_US" w:bidi="en_US"/>
        </w:rPr>
        <w:t>4:15a</w:t>
      </w:r>
    </w:p>
    <w:p>
      <w:pPr/>
      <w:r>
        <w:rPr>
          <w:lang w:val="en_US" w:bidi="en_US"/>
        </w:rPr>
      </w:r>
      <w:r>
        <w:rPr>
          <w:b/>
          <w:lang w:val="en_US" w:bidi="en_US"/>
        </w:rPr>
        <w:t>He taught in their synagogues</w:t>
      </w:r>
    </w:p>
    <w:p>
      <w:pPr>
        <w:pStyle w:val="ListBullet"/>
        <w:spacing w:line="240" w:lineRule="auto"/>
        <w:ind w:left="720"/>
      </w:pPr>
      <w:r>
        <w:rPr>
          <w:lang w:val="en_US" w:bidi="en_US"/>
        </w:rPr>
      </w:r>
      <w:r>
        <w:rPr>
          <w:lang w:val="en_US" w:bidi="en_US"/>
        </w:rPr>
        <w:t>He was teaching in their synagogues,</w:t>
      </w:r>
    </w:p>
    <w:p>
      <w:pPr>
        <w:pStyle w:val="ListBullet"/>
        <w:spacing w:line="240" w:lineRule="auto"/>
        <w:ind w:left="720"/>
      </w:pPr>
      <w:r>
        <w:rPr>
          <w:lang w:val="en_US" w:bidi="en_US"/>
        </w:rPr>
      </w:r>
      <w:r>
        <w:rPr>
          <w:lang w:val="en_US" w:bidi="en_US"/>
        </w:rPr>
        <w:t xml:space="preserve">Jesus </w:t>
      </w:r>
      <w:r>
        <w:rPr>
          <w:lang w:val="en_US" w:bidi="en_US"/>
        </w:rPr>
        <w:t>went around that area and</w:t>
      </w:r>
      <w:r>
        <w:rPr>
          <w:lang w:val="en_US" w:bidi="en_US"/>
        </w:rPr>
        <w:t xml:space="preserve"> taught </w:t>
      </w:r>
      <w:r>
        <w:rPr>
          <w:lang w:val="en_US" w:bidi="en_US"/>
        </w:rPr>
        <w:t>the people</w:t>
      </w:r>
      <w:r>
        <w:rPr>
          <w:lang w:val="en_US" w:bidi="en_US"/>
        </w:rPr>
        <w:t xml:space="preserve"> </w:t>
      </w:r>
      <w:r>
        <w:rPr>
          <w:lang w:val="en_US" w:bidi="en_US"/>
        </w:rPr>
        <w:t>about God</w:t>
      </w:r>
      <w:r>
        <w:rPr>
          <w:lang w:val="en_US" w:bidi="en_US"/>
        </w:rPr>
        <w:t xml:space="preserve"> in their meeting places,</w:t>
      </w:r>
    </w:p>
    <w:p>
      <w:pPr/>
      <w:r>
        <w:rPr>
          <w:lang w:val="en_US" w:bidi="en_US"/>
        </w:rPr>
      </w:r>
      <w:r>
        <w:rPr>
          <w:b/>
          <w:lang w:val="en_US" w:bidi="en_US"/>
        </w:rPr>
        <w:t>He taught:</w:t>
      </w:r>
      <w:r>
        <w:rPr>
          <w:lang w:val="en_US" w:bidi="en_US"/>
        </w:rPr>
        <w:t xml:space="preserve"> The Greek verb that the BSB translates as </w:t>
      </w:r>
      <w:r>
        <w:rPr>
          <w:i/>
          <w:lang w:val="en_US" w:bidi="en_US"/>
        </w:rPr>
        <w:t>taught</w:t>
      </w:r>
      <w:r>
        <w:rPr>
          <w:lang w:val="en_US" w:bidi="en_US"/>
        </w:rPr>
        <w:t xml:space="preserve"> indicates that Jesus was teaching regularly or habitually. Some other ways to say this are:</w:t>
      </w:r>
    </w:p>
    <w:p>
      <w:pPr/>
      <w:r>
        <w:rPr>
          <w:lang w:val="en_US" w:bidi="en_US"/>
        </w:rPr>
      </w:r>
      <w:r>
        <w:rPr>
          <w:lang w:val="en_US" w:bidi="en_US"/>
        </w:rPr>
        <w:t>He was teaching</w:t>
      </w:r>
    </w:p>
    <w:p>
      <w:pPr/>
      <w:r>
        <w:rPr>
          <w:lang w:val="en_US" w:bidi="en_US"/>
        </w:rPr>
      </w:r>
      <w:r>
        <w:rPr>
          <w:lang w:val="en_US" w:bidi="en_US"/>
        </w:rPr>
        <w:t>He went around teaching</w:t>
      </w:r>
    </w:p>
    <w:p>
      <w:pPr/>
      <w:r>
        <w:rPr>
          <w:lang w:val="en_US" w:bidi="en_US"/>
        </w:rPr>
      </w:r>
      <w:r>
        <w:rPr>
          <w:lang w:val="en_US" w:bidi="en_US"/>
        </w:rPr>
        <w:t>He began to teach (NET)</w:t>
      </w:r>
    </w:p>
    <w:p>
      <w:pPr/>
      <w:r>
        <w:rPr>
          <w:lang w:val="en_US" w:bidi="en_US"/>
        </w:rPr>
      </w:r>
      <w:r>
        <w:rPr>
          <w:b/>
          <w:lang w:val="en_US" w:bidi="en_US"/>
        </w:rPr>
        <w:t>in their synagogues:</w:t>
      </w:r>
      <w:r>
        <w:rPr>
          <w:lang w:val="en_US" w:bidi="en_US"/>
        </w:rPr>
        <w:t xml:space="preserve"> In this context, the phrase </w:t>
      </w:r>
      <w:r>
        <w:rPr>
          <w:i/>
          <w:lang w:val="en_US" w:bidi="en_US"/>
        </w:rPr>
        <w:t>their synagogues</w:t>
      </w:r>
      <w:r>
        <w:rPr>
          <w:lang w:val="en_US" w:bidi="en_US"/>
        </w:rPr>
        <w:t xml:space="preserve"> means “the synagogues of the people of Galilee.”</w:t>
      </w:r>
    </w:p>
    <w:p>
      <w:pPr/>
      <w:r>
        <w:rPr>
          <w:lang w:val="en_US" w:bidi="en_US"/>
        </w:rPr>
      </w:r>
      <w:r>
        <w:rPr>
          <w:b/>
          <w:lang w:val="en_US" w:bidi="en_US"/>
        </w:rPr>
        <w:t>synagogues:</w:t>
      </w:r>
      <w:r>
        <w:rPr>
          <w:lang w:val="en_US" w:bidi="en_US"/>
        </w:rPr>
        <w:t xml:space="preserve"> The word </w:t>
      </w:r>
      <w:r>
        <w:rPr>
          <w:i/>
          <w:lang w:val="en_US" w:bidi="en_US"/>
        </w:rPr>
        <w:t>synagogues</w:t>
      </w:r>
      <w:r>
        <w:rPr>
          <w:lang w:val="en_US" w:bidi="en_US"/>
        </w:rPr>
        <w:t xml:space="preserve"> refers to buildings where Jews gathered to pray, read Scripture, teach their beliefs, and worship God. The Jews also gathered in synagogues for cultural activities. Most Jewish communities had a synagogue.</w:t>
      </w:r>
    </w:p>
    <w:p>
      <w:pPr/>
      <w:r>
        <w:rPr>
          <w:lang w:val="en_US" w:bidi="en_US"/>
        </w:rPr>
      </w:r>
      <w:r>
        <w:rPr>
          <w:lang w:val="en_US" w:bidi="en_US"/>
        </w:rPr>
        <w:t xml:space="preserve">Some ways to translate </w:t>
      </w:r>
      <w:r>
        <w:rPr>
          <w:i/>
          <w:lang w:val="en_US" w:bidi="en_US"/>
        </w:rPr>
        <w:t>synagogues</w:t>
      </w:r>
      <w:r>
        <w:rPr>
          <w:lang w:val="en_US" w:bidi="en_US"/>
        </w:rPr>
        <w:t xml:space="preserve"> are:</w:t>
      </w:r>
    </w:p>
    <w:p>
      <w:pPr/>
      <w:r>
        <w:rPr>
          <w:lang w:val="en_US" w:bidi="en_US"/>
        </w:rPr>
      </w:r>
      <w:r>
        <w:rPr>
          <w:lang w:val="en_US" w:bidi="en_US"/>
        </w:rPr>
        <w:t xml:space="preserve">prayer-houses </w:t>
      </w:r>
      <w:r>
        <w:rPr>
          <w:lang w:val="en_US" w:bidi="en_US"/>
        </w:rPr>
        <w:t>of the Jews</w:t>
      </w:r>
    </w:p>
    <w:p>
      <w:pPr/>
      <w:r>
        <w:rPr>
          <w:lang w:val="en_US" w:bidi="en_US"/>
        </w:rPr>
      </w:r>
      <w:r>
        <w:rPr>
          <w:lang w:val="en_US" w:bidi="en_US"/>
        </w:rPr>
        <w:t xml:space="preserve">meeting-places </w:t>
      </w:r>
      <w:r>
        <w:rPr>
          <w:lang w:val="en_US" w:bidi="en_US"/>
        </w:rPr>
        <w:t>of the Jews</w:t>
      </w:r>
    </w:p>
    <w:p>
      <w:pPr/>
      <w:r>
        <w:rPr>
          <w:lang w:val="en_US" w:bidi="en_US"/>
        </w:rPr>
      </w:r>
      <w:r>
        <w:rPr>
          <w:lang w:val="en_US" w:bidi="en_US"/>
        </w:rPr>
        <w:t>buildings for worship</w:t>
      </w:r>
    </w:p>
    <w:p>
      <w:pPr/>
      <w:r>
        <w:rPr>
          <w:lang w:val="en_US" w:bidi="en_US"/>
        </w:rPr>
      </w:r>
      <w:r>
        <w:rPr>
          <w:lang w:val="en_US" w:bidi="en_US"/>
        </w:rPr>
        <w:t>houses for gathering together</w:t>
      </w:r>
    </w:p>
    <w:p>
      <w:pPr/>
      <w:r>
        <w:rPr>
          <w:lang w:val="en_US" w:bidi="en_US"/>
        </w:rPr>
      </w:r>
      <w:r>
        <w:rPr>
          <w:lang w:val="en_US" w:bidi="en_US"/>
        </w:rPr>
        <w:t>You will need a different term to translate “synagogue” than you use for “temple.” There was only one temple, and it was in the city of Jerusalem.</w:t>
      </w:r>
    </w:p>
    <w:p>
      <w:pPr/>
      <w:r>
        <w:rPr>
          <w:lang w:val="en_US" w:bidi="en_US"/>
        </w:rPr>
      </w:r>
      <w:r>
        <w:rPr>
          <w:lang w:val="en_US" w:bidi="en_US"/>
        </w:rPr>
        <w:t>If the word “synagogue” is already known in your area, you may write it according to the sounds of your language. You may want to include a word or phrase to explain the meaning. For example:</w:t>
      </w:r>
    </w:p>
    <w:p>
      <w:pPr/>
      <w:r>
        <w:rPr>
          <w:lang w:val="en_US" w:bidi="en_US"/>
        </w:rPr>
      </w:r>
      <w:r>
        <w:rPr>
          <w:lang w:val="en_US" w:bidi="en_US"/>
        </w:rPr>
        <w:t>sinagog house/building</w:t>
      </w:r>
    </w:p>
    <w:p>
      <w:pPr/>
      <w:r>
        <w:rPr>
          <w:lang w:val="en_US" w:bidi="en_US"/>
        </w:rPr>
      </w:r>
      <w:r>
        <w:rPr>
          <w:lang w:val="en_US" w:bidi="en_US"/>
        </w:rPr>
        <w:t>Consider using a footnote that contains some of the information above. Such a footnote may help people who read or hear your translation.</w:t>
      </w:r>
    </w:p>
    <w:p>
      <w:pPr/>
      <w:r>
        <w:rPr>
          <w:lang w:val="en_US" w:bidi="en_US"/>
        </w:rPr>
      </w:r>
      <w:r>
        <w:rPr>
          <w:lang w:val="en_US" w:bidi="en_US"/>
        </w:rPr>
        <w:t>See synagogue in the Glossary.</w:t>
      </w:r>
    </w:p>
    <w:p>
      <w:pPr>
        <w:pStyle w:val="Heading5"/>
      </w:pPr>
      <w:r>
        <w:rPr>
          <w:lang w:val="en_US" w:bidi="en_US"/>
        </w:rPr>
        <w:t>4:15b</w:t>
      </w:r>
    </w:p>
    <w:p>
      <w:pPr/>
      <w:r>
        <w:rPr>
          <w:lang w:val="en_US" w:bidi="en_US"/>
        </w:rPr>
      </w:r>
      <w:r>
        <w:rPr>
          <w:b/>
          <w:lang w:val="en_US" w:bidi="en_US"/>
        </w:rPr>
        <w:t>and was glorified by everyone.</w:t>
      </w:r>
    </w:p>
    <w:p>
      <w:pPr>
        <w:pStyle w:val="ListBullet"/>
        <w:spacing w:line="240" w:lineRule="auto"/>
        <w:ind w:left="720"/>
      </w:pPr>
      <w:r>
        <w:rPr>
          <w:lang w:val="en_US" w:bidi="en_US"/>
        </w:rPr>
      </w:r>
      <w:r>
        <w:rPr>
          <w:lang w:val="en_US" w:bidi="en_US"/>
        </w:rPr>
        <w:t>and everyone said good things about him.</w:t>
      </w:r>
    </w:p>
    <w:p>
      <w:pPr>
        <w:pStyle w:val="ListBullet"/>
        <w:spacing w:line="240" w:lineRule="auto"/>
        <w:ind w:left="720"/>
      </w:pPr>
      <w:r>
        <w:rPr>
          <w:lang w:val="en_US" w:bidi="en_US"/>
        </w:rPr>
      </w:r>
      <w:r>
        <w:rPr>
          <w:lang w:val="en_US" w:bidi="en_US"/>
        </w:rPr>
        <w:t xml:space="preserve">and everyone </w:t>
      </w:r>
      <w:r>
        <w:rPr>
          <w:lang w:val="en_US" w:bidi="en_US"/>
        </w:rPr>
        <w:t>who heard him</w:t>
      </w:r>
      <w:r>
        <w:rPr>
          <w:lang w:val="en_US" w:bidi="en_US"/>
        </w:rPr>
        <w:t xml:space="preserve"> spoke well of him.</w:t>
      </w:r>
    </w:p>
    <w:p>
      <w:pPr/>
      <w:r>
        <w:rPr>
          <w:lang w:val="en_US" w:bidi="en_US"/>
        </w:rPr>
      </w:r>
      <w:r>
        <w:rPr>
          <w:b/>
          <w:lang w:val="en_US" w:bidi="en_US"/>
        </w:rPr>
        <w:t>was glorified:</w:t>
      </w:r>
      <w:r>
        <w:rPr>
          <w:lang w:val="en_US" w:bidi="en_US"/>
        </w:rPr>
        <w:t xml:space="preserve"> The Greek word that the BSB translates here as </w:t>
      </w:r>
      <w:r>
        <w:rPr>
          <w:i/>
          <w:lang w:val="en_US" w:bidi="en_US"/>
        </w:rPr>
        <w:t>glorified</w:t>
      </w:r>
      <w:r>
        <w:rPr>
          <w:lang w:val="en_US" w:bidi="en_US"/>
        </w:rPr>
        <w:t xml:space="preserve"> is from the same Greek word that the BSB translates as “glorifying” in 2:20a–b. Here in 4:15b, the word means “praised” or “spoke well of.” This verb is passive in Greek. You may find it natural to translate it with an active verb. For example:</w:t>
      </w:r>
    </w:p>
    <w:p>
      <w:pPr/>
      <w:r>
        <w:rPr>
          <w:lang w:val="en_US" w:bidi="en_US"/>
        </w:rPr>
      </w:r>
      <w:r>
        <w:rPr>
          <w:lang w:val="en_US" w:bidi="en_US"/>
        </w:rPr>
        <w:t>everyone glorified him</w:t>
      </w:r>
    </w:p>
    <w:p>
      <w:pPr/>
      <w:r>
        <w:rPr>
          <w:lang w:val="en_US" w:bidi="en_US"/>
        </w:rPr>
      </w:r>
      <w:r>
        <w:rPr>
          <w:b/>
          <w:lang w:val="en_US" w:bidi="en_US"/>
        </w:rPr>
        <w:t>by everyone:</w:t>
      </w:r>
      <w:r>
        <w:rPr>
          <w:lang w:val="en_US" w:bidi="en_US"/>
        </w:rPr>
        <w:t xml:space="preserve"> The word </w:t>
      </w:r>
      <w:r>
        <w:rPr>
          <w:i/>
          <w:lang w:val="en_US" w:bidi="en_US"/>
        </w:rPr>
        <w:t>everyone</w:t>
      </w:r>
      <w:r>
        <w:rPr>
          <w:lang w:val="en_US" w:bidi="en_US"/>
        </w:rPr>
        <w:t xml:space="preserve"> refers to all the people who heard Jesus teach.</w:t>
      </w:r>
      <w:r>
        <w:rPr>
          <w:lang w:val="en_US" w:bidi="en_US"/>
        </w:rPr>
      </w:r>
      <w:r>
        <w:rPr>
          <w:lang w:val="en_US" w:bidi="en_US"/>
        </w:rPr>
      </w:r>
    </w:p>
    <w:p>
      <w:pPr/>
      <w:r>
        <w:rPr>
          <w:lang w:val="en_US" w:bidi="en_US"/>
        </w:rPr>
      </w:r>
    </w:p>
    <w:p>
      <w:pPr>
        <w:pStyle w:val="Heading2"/>
      </w:pPr>
      <w:r>
        <w:rPr>
          <w:lang w:val="en_US" w:bidi="en_US"/>
        </w:rPr>
        <w:t>Luke 4:16</w:t>
      </w:r>
      <w:r>
        <w:rPr>
          <w:lang w:val="en_US" w:bidi="en_US"/>
        </w:rPr>
      </w:r>
    </w:p>
    <w:p>
      <w:pPr>
        <w:pStyle w:val="Heading4"/>
      </w:pPr>
      <w:r>
        <w:rPr>
          <w:lang w:val="en_US" w:bidi="en_US"/>
        </w:rPr>
        <w:t>Section 4:14–30: The people rejected Jesus at Nazareth</w:t>
      </w:r>
    </w:p>
    <w:p>
      <w:pPr/>
      <w:r>
        <w:rPr>
          <w:lang w:val="en_US" w:bidi="en_US"/>
        </w:rPr>
      </w:r>
      <w:r>
        <w:rPr>
          <w:lang w:val="en_US" w:bidi="en_US"/>
        </w:rP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pPr/>
      <w:r>
        <w:rPr>
          <w:lang w:val="en_US" w:bidi="en_US"/>
        </w:rPr>
      </w:r>
      <w:r>
        <w:rPr>
          <w:lang w:val="en_US" w:bidi="en_US"/>
        </w:rPr>
        <w:t>Some other possible headings for this section are:</w:t>
      </w:r>
    </w:p>
    <w:p>
      <w:pPr/>
      <w:r>
        <w:rPr>
          <w:lang w:val="en_US" w:bidi="en_US"/>
        </w:rPr>
      </w:r>
      <w:r>
        <w:rPr>
          <w:lang w:val="en_US" w:bidi="en_US"/>
        </w:rPr>
        <w:t>The People of Nazareth Turn against Jesus (CEV)</w:t>
      </w:r>
    </w:p>
    <w:p>
      <w:pPr/>
      <w:r>
        <w:rPr>
          <w:lang w:val="en_US" w:bidi="en_US"/>
        </w:rPr>
      </w:r>
      <w:r>
        <w:rPr>
          <w:lang w:val="en_US" w:bidi="en_US"/>
        </w:rPr>
        <w:t>Jesus Rejected at Nazareth (ESV)</w:t>
      </w:r>
    </w:p>
    <w:p>
      <w:pPr/>
      <w:r>
        <w:rPr>
          <w:lang w:val="en_US" w:bidi="en_US"/>
        </w:rPr>
      </w:r>
      <w:r>
        <w:rPr>
          <w:lang w:val="en_US" w:bidi="en_US"/>
        </w:rPr>
        <w:t>There is a parallel passage for this section in Mark 6:1–6.</w:t>
      </w:r>
    </w:p>
    <w:p>
      <w:pPr>
        <w:pStyle w:val="Heading5"/>
      </w:pPr>
      <w:r>
        <w:rPr>
          <w:lang w:val="en_US" w:bidi="en_US"/>
        </w:rPr>
        <w:t>4:16a</w:t>
      </w:r>
    </w:p>
    <w:p>
      <w:pPr/>
      <w:r>
        <w:rPr>
          <w:lang w:val="en_US" w:bidi="en_US"/>
        </w:rPr>
      </w:r>
      <w:r>
        <w:rPr>
          <w:b/>
          <w:lang w:val="en_US" w:bidi="en_US"/>
        </w:rPr>
        <w:t>Then Jesus came to Nazareth, where He had been brought up.</w:t>
      </w:r>
    </w:p>
    <w:p>
      <w:pPr>
        <w:pStyle w:val="ListBullet"/>
        <w:spacing w:line="240" w:lineRule="auto"/>
        <w:ind w:left="720"/>
      </w:pPr>
      <w:r>
        <w:rPr>
          <w:lang w:val="en_US" w:bidi="en_US"/>
        </w:rPr>
      </w:r>
      <w:r>
        <w:rPr>
          <w:lang w:val="en_US" w:bidi="en_US"/>
        </w:rPr>
        <w:t>¶ He went to Nazareth, where he had been raised/reared.</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went to </w:t>
      </w:r>
      <w:r>
        <w:rPr>
          <w:lang w:val="en_US" w:bidi="en_US"/>
        </w:rPr>
        <w:t>the town of</w:t>
      </w:r>
      <w:r>
        <w:rPr>
          <w:lang w:val="en_US" w:bidi="en_US"/>
        </w:rPr>
        <w:t xml:space="preserve"> Nazareth, where he had grown up.</w:t>
      </w:r>
    </w:p>
    <w:p>
      <w:pPr/>
      <w:r>
        <w:rPr>
          <w:lang w:val="en_US" w:bidi="en_US"/>
        </w:rPr>
      </w:r>
      <w:r>
        <w:rPr>
          <w:b/>
          <w:lang w:val="en_US" w:bidi="en_US"/>
        </w:rPr>
        <w:t>Then:</w:t>
      </w:r>
      <w:r>
        <w:rPr>
          <w:lang w:val="en_US" w:bidi="en_US"/>
        </w:rPr>
        <w:t xml:space="preserve"> This verse begins with a Greek conjunction that is often translated as “and.” Some English versions, such as the ESV and NASB, translate it that way. Other versions, such as the NIV and GW, do not translate this conjunction here.</w:t>
      </w:r>
    </w:p>
    <w:p>
      <w:pPr/>
      <w:r>
        <w:rPr>
          <w:lang w:val="en_US" w:bidi="en_US"/>
        </w:rPr>
      </w:r>
      <w:r>
        <w:rPr>
          <w:lang w:val="en_US" w:bidi="en_US"/>
        </w:rPr>
        <w:t xml:space="preserve">However, since the events in this paragraph occurred after the events in 4:14–15, in some languages, it may be natural to begin this paragraph with a time word or phrase. That is why the BSB says </w:t>
      </w:r>
      <w:r>
        <w:rPr>
          <w:i/>
          <w:lang w:val="en_US" w:bidi="en_US"/>
        </w:rPr>
        <w:t>Then</w:t>
      </w:r>
      <w:r>
        <w:rPr>
          <w:lang w:val="en_US" w:bidi="en_US"/>
        </w:rPr>
        <w:t>, as do several other English versions (NET, GNT). Connect 4:16a to 4:15b in a way that is natural in your language.</w:t>
      </w:r>
    </w:p>
    <w:p>
      <w:pPr/>
      <w:r>
        <w:rPr>
          <w:lang w:val="en_US" w:bidi="en_US"/>
        </w:rPr>
      </w:r>
      <w:r>
        <w:rPr>
          <w:b/>
          <w:lang w:val="en_US" w:bidi="en_US"/>
        </w:rPr>
        <w:t>Jesus:</w:t>
      </w:r>
      <w:r>
        <w:rPr>
          <w:lang w:val="en_US" w:bidi="en_US"/>
        </w:rPr>
        <w:t xml:space="preserve"> The Greek literally says “he came,” but if you are beginning a new paragraph here, it may be helpful to translate “he” as </w:t>
      </w:r>
      <w:r>
        <w:rPr>
          <w:i/>
          <w:lang w:val="en_US" w:bidi="en_US"/>
        </w:rPr>
        <w:t>Jesus</w:t>
      </w:r>
      <w:r>
        <w:rPr>
          <w:lang w:val="en_US" w:bidi="en_US"/>
        </w:rPr>
        <w:t>.</w:t>
      </w:r>
    </w:p>
    <w:p>
      <w:pPr/>
      <w:r>
        <w:rPr>
          <w:lang w:val="en_US" w:bidi="en_US"/>
        </w:rPr>
      </w:r>
      <w:r>
        <w:rPr>
          <w:b/>
          <w:lang w:val="en_US" w:bidi="en_US"/>
        </w:rPr>
        <w:t>Nazareth:</w:t>
      </w:r>
      <w:r>
        <w:rPr>
          <w:lang w:val="en_US" w:bidi="en_US"/>
        </w:rPr>
        <w:t xml:space="preserve"> </w:t>
      </w:r>
      <w:r>
        <w:rPr>
          <w:i/>
          <w:lang w:val="en_US" w:bidi="en_US"/>
        </w:rPr>
        <w:t>Nazareth</w:t>
      </w:r>
      <w:r>
        <w:rPr>
          <w:lang w:val="en_US" w:bidi="en_US"/>
        </w:rPr>
        <w:t xml:space="preserve"> was the name of the town in Galilee where Jesus had lived when he was a child.</w:t>
      </w:r>
    </w:p>
    <w:p>
      <w:pPr/>
      <w:r>
        <w:rPr>
          <w:lang w:val="en_US" w:bidi="en_US"/>
        </w:rPr>
      </w:r>
      <w:r>
        <w:rPr>
          <w:b/>
          <w:lang w:val="en_US" w:bidi="en_US"/>
        </w:rPr>
        <w:t>where He had been brought up:</w:t>
      </w:r>
      <w:r>
        <w:rPr>
          <w:lang w:val="en_US" w:bidi="en_US"/>
        </w:rPr>
        <w:t xml:space="preserve"> The Greek verb that the BSB translates with the English idiom </w:t>
      </w:r>
      <w:r>
        <w:rPr>
          <w:i/>
          <w:lang w:val="en_US" w:bidi="en_US"/>
        </w:rPr>
        <w:t>brought up</w:t>
      </w:r>
      <w:r>
        <w:rPr>
          <w:lang w:val="en_US" w:bidi="en_US"/>
        </w:rPr>
        <w:t xml:space="preserve"> means “reared” or “raised.” It means to take care of a child until he reaches adulthood.</w:t>
      </w:r>
    </w:p>
    <w:p>
      <w:pPr/>
      <w:r>
        <w:rPr>
          <w:lang w:val="en_US" w:bidi="en_US"/>
        </w:rPr>
      </w:r>
      <w:r>
        <w:rPr>
          <w:lang w:val="en_US" w:bidi="en_US"/>
        </w:rPr>
        <w:t>This verb is passive. In some languages it may be more natural to translate without using a passive verb here. For example:</w:t>
      </w:r>
    </w:p>
    <w:p>
      <w:pPr/>
      <w:r>
        <w:rPr>
          <w:lang w:val="en_US" w:bidi="en_US"/>
        </w:rPr>
      </w:r>
      <w:r>
        <w:rPr>
          <w:lang w:val="en_US" w:bidi="en_US"/>
        </w:rPr>
        <w:t xml:space="preserve">where </w:t>
      </w:r>
      <w:r>
        <w:rPr>
          <w:lang w:val="en_US" w:bidi="en_US"/>
        </w:rPr>
        <w:t>his parents</w:t>
      </w:r>
      <w:r>
        <w:rPr>
          <w:lang w:val="en_US" w:bidi="en_US"/>
        </w:rPr>
        <w:t xml:space="preserve"> had raised him</w:t>
      </w:r>
    </w:p>
    <w:p>
      <w:pPr/>
      <w:r>
        <w:rPr>
          <w:lang w:val="en_US" w:bidi="en_US"/>
        </w:rPr>
      </w:r>
      <w:r>
        <w:rPr>
          <w:lang w:val="en_US" w:bidi="en_US"/>
        </w:rPr>
        <w:t>where he had grown up (NCV)</w:t>
      </w:r>
    </w:p>
    <w:p>
      <w:pPr/>
      <w:r>
        <w:rPr>
          <w:lang w:val="en_US" w:bidi="en_US"/>
        </w:rPr>
      </w:r>
      <w:r>
        <w:rPr>
          <w:lang w:val="en_US" w:bidi="en_US"/>
        </w:rPr>
        <w:t>his boyhood home (NLT)</w:t>
      </w:r>
    </w:p>
    <w:p>
      <w:pPr>
        <w:pStyle w:val="Heading5"/>
      </w:pPr>
      <w:r>
        <w:rPr>
          <w:lang w:val="en_US" w:bidi="en_US"/>
        </w:rPr>
        <w:t>4:16b</w:t>
      </w:r>
    </w:p>
    <w:p>
      <w:pPr/>
      <w:r>
        <w:rPr>
          <w:lang w:val="en_US" w:bidi="en_US"/>
        </w:rPr>
      </w:r>
      <w:r>
        <w:rPr>
          <w:b/>
          <w:lang w:val="en_US" w:bidi="en_US"/>
        </w:rPr>
        <w:t>As was His custom, He entered the synagogue on the Sabbath.</w:t>
      </w:r>
    </w:p>
    <w:p>
      <w:pPr>
        <w:pStyle w:val="ListBullet"/>
        <w:spacing w:line="240" w:lineRule="auto"/>
        <w:ind w:left="720"/>
      </w:pPr>
      <w:r>
        <w:rPr>
          <w:lang w:val="en_US" w:bidi="en_US"/>
        </w:rPr>
      </w:r>
      <w:r>
        <w:rPr>
          <w:lang w:val="en_US" w:bidi="en_US"/>
        </w:rPr>
        <w:t>On the Sabbath day, he went into the synagogue, as he usually did.</w:t>
      </w:r>
    </w:p>
    <w:p>
      <w:pPr>
        <w:pStyle w:val="ListBullet"/>
        <w:spacing w:line="240" w:lineRule="auto"/>
        <w:ind w:left="720"/>
      </w:pPr>
      <w:r>
        <w:rPr>
          <w:lang w:val="en_US" w:bidi="en_US"/>
        </w:rPr>
      </w:r>
      <w:r>
        <w:rPr>
          <w:lang w:val="en_US" w:bidi="en_US"/>
        </w:rPr>
        <w:t>As was his habit on the rest day, he went into the meeting place of the Jews,</w:t>
      </w:r>
    </w:p>
    <w:p>
      <w:pPr/>
      <w:r>
        <w:rPr>
          <w:lang w:val="en_US" w:bidi="en_US"/>
        </w:rPr>
      </w:r>
      <w:r>
        <w:rPr>
          <w:b/>
          <w:lang w:val="en_US" w:bidi="en_US"/>
        </w:rPr>
        <w:t>As was His custom:</w:t>
      </w:r>
      <w:r>
        <w:rPr>
          <w:lang w:val="en_US" w:bidi="en_US"/>
        </w:rPr>
        <w:t xml:space="preserve"> The phrase </w:t>
      </w:r>
      <w:r>
        <w:rPr>
          <w:i/>
          <w:lang w:val="en_US" w:bidi="en_US"/>
        </w:rPr>
        <w:t>As was His custom</w:t>
      </w:r>
      <w:r>
        <w:rPr>
          <w:lang w:val="en_US" w:bidi="en_US"/>
        </w:rPr>
        <w:t xml:space="preserve"> means “as he generally did.” Jesus regularly went to a synagogue to worship God on the Sabbath day. This was his habit. Some other ways to translate this are:</w:t>
      </w:r>
    </w:p>
    <w:p>
      <w:pPr/>
      <w:r>
        <w:rPr>
          <w:lang w:val="en_US" w:bidi="en_US"/>
        </w:rPr>
      </w:r>
      <w:r>
        <w:rPr>
          <w:lang w:val="en_US" w:bidi="en_US"/>
        </w:rPr>
        <w:t>as usual (GNT)</w:t>
      </w:r>
    </w:p>
    <w:p>
      <w:pPr/>
      <w:r>
        <w:rPr>
          <w:lang w:val="en_US" w:bidi="en_US"/>
        </w:rPr>
      </w:r>
      <w:r>
        <w:rPr>
          <w:lang w:val="en_US" w:bidi="en_US"/>
        </w:rPr>
        <w:t>as he regularly did (REB)</w:t>
      </w:r>
    </w:p>
    <w:p>
      <w:pPr/>
      <w:r>
        <w:rPr>
          <w:lang w:val="en_US" w:bidi="en_US"/>
        </w:rPr>
      </w:r>
      <w:r>
        <w:rPr>
          <w:b/>
          <w:lang w:val="en_US" w:bidi="en_US"/>
        </w:rPr>
        <w:t>the synagogue:</w:t>
      </w:r>
      <w:r>
        <w:rPr>
          <w:lang w:val="en_US" w:bidi="en_US"/>
        </w:rPr>
        <w:t xml:space="preserve"> The </w:t>
      </w:r>
      <w:r>
        <w:rPr>
          <w:i/>
          <w:lang w:val="en_US" w:bidi="en_US"/>
        </w:rPr>
        <w:t>synagogue</w:t>
      </w:r>
      <w:r>
        <w:rPr>
          <w:lang w:val="en_US" w:bidi="en_US"/>
        </w:rPr>
        <w:t xml:space="preserve"> refers to the building in Nazareth where Jews gathered to pray, read Scripture, teach their beliefs, and worship God. For more information, see the note on “synagogues” at 4:15a and synagogue in the Glossary.</w:t>
      </w:r>
    </w:p>
    <w:p>
      <w:pPr/>
      <w:r>
        <w:rPr>
          <w:lang w:val="en_US" w:bidi="en_US"/>
        </w:rPr>
      </w:r>
      <w:r>
        <w:rPr>
          <w:b/>
          <w:lang w:val="en_US" w:bidi="en_US"/>
        </w:rPr>
        <w:t>the Sabbath:</w:t>
      </w:r>
      <w:r>
        <w:rPr>
          <w:lang w:val="en_US" w:bidi="en_US"/>
        </w:rPr>
        <w:t xml:space="preserve"> The word </w:t>
      </w:r>
      <w:r>
        <w:rPr>
          <w:i/>
          <w:lang w:val="en_US" w:bidi="en_US"/>
        </w:rPr>
        <w:t>Sabbath</w:t>
      </w:r>
      <w:r>
        <w:rPr>
          <w:lang w:val="en_US" w:bidi="en_US"/>
        </w:rPr>
        <w:t xml:space="preserve"> is the name of the seventh and last day of the week for the Jews. The Sabbath was the special day of the week when the Jews rested and worshiped God. The Law of Moses said that the Jews must not do any work on that day (Deuteronomy 5:12–15).</w:t>
      </w:r>
    </w:p>
    <w:p>
      <w:pPr/>
      <w:r>
        <w:rPr>
          <w:lang w:val="en_US" w:bidi="en_US"/>
        </w:rPr>
      </w:r>
      <w:r>
        <w:rPr>
          <w:lang w:val="en_US" w:bidi="en_US"/>
        </w:rPr>
        <w:t xml:space="preserve">Some ways to translate </w:t>
      </w:r>
      <w:r>
        <w:rPr>
          <w:i/>
          <w:lang w:val="en_US" w:bidi="en_US"/>
        </w:rPr>
        <w:t>Sabbath</w:t>
      </w:r>
      <w:r>
        <w:rPr>
          <w:lang w:val="en_US" w:bidi="en_US"/>
        </w:rPr>
        <w:t xml:space="preserve"> are:</w:t>
      </w:r>
    </w:p>
    <w:p>
      <w:pPr/>
      <w:r>
        <w:rPr>
          <w:lang w:val="en_US" w:bidi="en_US"/>
        </w:rPr>
      </w:r>
      <w:r>
        <w:rPr>
          <w:lang w:val="en_US" w:bidi="en_US"/>
        </w:rPr>
        <w:t xml:space="preserve">the </w:t>
      </w:r>
      <w:r>
        <w:rPr>
          <w:lang w:val="en_US" w:bidi="en_US"/>
        </w:rPr>
        <w:t>Jewish</w:t>
      </w:r>
      <w:r>
        <w:rPr>
          <w:lang w:val="en_US" w:bidi="en_US"/>
        </w:rPr>
        <w:t xml:space="preserve"> rest day</w:t>
      </w:r>
    </w:p>
    <w:p>
      <w:pPr/>
      <w:r>
        <w:rPr>
          <w:lang w:val="en_US" w:bidi="en_US"/>
        </w:rPr>
      </w:r>
      <w:r>
        <w:rPr>
          <w:lang w:val="en_US" w:bidi="en_US"/>
        </w:rPr>
        <w:t>the day for resting</w:t>
      </w:r>
    </w:p>
    <w:p>
      <w:pPr/>
      <w:r>
        <w:rPr>
          <w:lang w:val="en_US" w:bidi="en_US"/>
        </w:rPr>
      </w:r>
      <w:r>
        <w:rPr>
          <w:lang w:val="en_US" w:bidi="en_US"/>
        </w:rPr>
        <w:t>the day to rest and worship God</w:t>
      </w:r>
    </w:p>
    <w:p>
      <w:pPr/>
      <w:r>
        <w:rPr>
          <w:lang w:val="en_US" w:bidi="en_US"/>
        </w:rPr>
      </w:r>
      <w:r>
        <w:rPr>
          <w:lang w:val="en_US" w:bidi="en_US"/>
        </w:rPr>
        <w:t xml:space="preserve">If the word </w:t>
      </w:r>
      <w:r>
        <w:rPr>
          <w:i/>
          <w:lang w:val="en_US" w:bidi="en_US"/>
        </w:rPr>
        <w:t>Sabbath</w:t>
      </w:r>
      <w:r>
        <w:rPr>
          <w:lang w:val="en_US" w:bidi="en_US"/>
        </w:rPr>
        <w:t xml:space="preserve"> is already known in your area, you may write it according to the sounds of your language. You may also want to include a phrase to explain the meaning. For example:</w:t>
      </w:r>
    </w:p>
    <w:p>
      <w:pPr/>
      <w:r>
        <w:rPr>
          <w:lang w:val="en_US" w:bidi="en_US"/>
        </w:rPr>
      </w:r>
      <w:r>
        <w:rPr>
          <w:lang w:val="en_US" w:bidi="en_US"/>
        </w:rPr>
        <w:t xml:space="preserve">the Sabat, the </w:t>
      </w:r>
      <w:r>
        <w:rPr>
          <w:lang w:val="en_US" w:bidi="en_US"/>
        </w:rPr>
        <w:t>Jews’</w:t>
      </w:r>
      <w:r>
        <w:rPr>
          <w:lang w:val="en_US" w:bidi="en_US"/>
        </w:rPr>
        <w:t xml:space="preserve"> day for resting</w:t>
      </w:r>
    </w:p>
    <w:p>
      <w:pPr/>
      <w:r>
        <w:rPr>
          <w:lang w:val="en_US" w:bidi="en_US"/>
        </w:rPr>
      </w:r>
      <w:r>
        <w:rPr>
          <w:lang w:val="en_US" w:bidi="en_US"/>
        </w:rPr>
        <w:t>The term you choose should not make people think the Sabbath is on Sunday, the day when Christians worship. The Sabbath for the Jews began at sundown on Friday and ended at sundown on Saturday. You may want to include a footnote to give more information. For example:</w:t>
      </w:r>
    </w:p>
    <w:p>
      <w:pPr/>
      <w:r>
        <w:rPr>
          <w:lang w:val="en_US" w:bidi="en_US"/>
        </w:rPr>
      </w:r>
      <w:r>
        <w:rPr>
          <w:lang w:val="en_US" w:bidi="en_US"/>
        </w:rPr>
        <w:t>“Sabbath” is the name for the seventh day of the Jews’ week. God told them to rest from work and worship him every week on that day.</w:t>
      </w:r>
    </w:p>
    <w:p>
      <w:pPr>
        <w:pStyle w:val="Heading5"/>
      </w:pPr>
      <w:r>
        <w:rPr>
          <w:lang w:val="en_US" w:bidi="en_US"/>
        </w:rPr>
        <w:t>4:16c</w:t>
      </w:r>
    </w:p>
    <w:p>
      <w:pPr/>
      <w:r>
        <w:rPr>
          <w:lang w:val="en_US" w:bidi="en_US"/>
        </w:rPr>
      </w:r>
      <w:r>
        <w:rPr>
          <w:b/>
          <w:lang w:val="en_US" w:bidi="en_US"/>
        </w:rPr>
        <w:t>And when He stood up to read,</w:t>
      </w:r>
    </w:p>
    <w:p>
      <w:pPr>
        <w:pStyle w:val="ListBullet"/>
        <w:spacing w:line="240" w:lineRule="auto"/>
        <w:ind w:left="720"/>
      </w:pPr>
      <w:r>
        <w:rPr>
          <w:lang w:val="en_US" w:bidi="en_US"/>
        </w:rPr>
      </w:r>
      <w:r>
        <w:rPr>
          <w:lang w:val="en_US" w:bidi="en_US"/>
        </w:rPr>
        <w:t>He/Jesus stood up to read.</w:t>
      </w:r>
    </w:p>
    <w:p>
      <w:pPr>
        <w:pStyle w:val="ListBullet"/>
        <w:spacing w:line="240" w:lineRule="auto"/>
        <w:ind w:left="720"/>
      </w:pPr>
      <w:r>
        <w:rPr>
          <w:lang w:val="en_US" w:bidi="en_US"/>
        </w:rPr>
      </w:r>
      <w:r>
        <w:rPr>
          <w:lang w:val="en_US" w:bidi="en_US"/>
        </w:rPr>
        <w:t xml:space="preserve">and he stood up to read </w:t>
      </w:r>
      <w:r>
        <w:rPr>
          <w:lang w:val="en_US" w:bidi="en_US"/>
        </w:rPr>
        <w:t>from the Scriptures</w:t>
      </w:r>
      <w:r>
        <w:rPr>
          <w:lang w:val="en_US" w:bidi="en_US"/>
        </w:rPr>
        <w:t>.</w:t>
      </w:r>
    </w:p>
    <w:p>
      <w:pPr/>
      <w:r>
        <w:rPr>
          <w:lang w:val="en_US" w:bidi="en_US"/>
        </w:rPr>
      </w:r>
      <w:r>
        <w:rPr>
          <w:b/>
          <w:lang w:val="en_US" w:bidi="en_US"/>
        </w:rPr>
        <w:t>He stood up to read:</w:t>
      </w:r>
      <w:r>
        <w:rPr>
          <w:lang w:val="en_US" w:bidi="en_US"/>
        </w:rPr>
        <w:t xml:space="preserve"> The clause </w:t>
      </w:r>
      <w:r>
        <w:rPr>
          <w:i/>
          <w:lang w:val="en_US" w:bidi="en_US"/>
        </w:rPr>
        <w:t>He stood up to read</w:t>
      </w:r>
      <w:r>
        <w:rPr>
          <w:lang w:val="en_US" w:bidi="en_US"/>
        </w:rPr>
        <w:t xml:space="preserve"> implies that Jesus had been sitting. Then he stood up and came forward. This indicated that he was ready to read. In synagogue worship services, the man who read the Scriptures to the people stood at the front of the congregation.</w:t>
      </w:r>
      <w:r>
        <w:rPr>
          <w:lang w:val="en_US" w:bidi="en_US"/>
        </w:rPr>
      </w:r>
      <w:r>
        <w:rPr>
          <w:lang w:val="en_US" w:bidi="en_US"/>
        </w:rPr>
      </w:r>
    </w:p>
    <w:p>
      <w:pPr/>
      <w:r>
        <w:rPr>
          <w:lang w:val="en_US" w:bidi="en_US"/>
        </w:rPr>
      </w:r>
    </w:p>
    <w:p>
      <w:pPr>
        <w:pStyle w:val="Heading2"/>
      </w:pPr>
      <w:r>
        <w:rPr>
          <w:lang w:val="en_US" w:bidi="en_US"/>
        </w:rPr>
        <w:t>Luke 4:17</w:t>
      </w:r>
      <w:r>
        <w:rPr>
          <w:lang w:val="en_US" w:bidi="en_US"/>
        </w:rPr>
      </w:r>
    </w:p>
    <w:p>
      <w:pPr>
        <w:pStyle w:val="Heading4"/>
      </w:pPr>
      <w:r>
        <w:rPr>
          <w:lang w:val="en_US" w:bidi="en_US"/>
        </w:rPr>
        <w:t>Section 4:14–30: The people rejected Jesus at Nazareth</w:t>
      </w:r>
    </w:p>
    <w:p>
      <w:pPr/>
      <w:r>
        <w:rPr>
          <w:lang w:val="en_US" w:bidi="en_US"/>
        </w:rPr>
      </w:r>
      <w:r>
        <w:rPr>
          <w:lang w:val="en_US" w:bidi="en_US"/>
        </w:rP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pPr/>
      <w:r>
        <w:rPr>
          <w:lang w:val="en_US" w:bidi="en_US"/>
        </w:rPr>
      </w:r>
      <w:r>
        <w:rPr>
          <w:lang w:val="en_US" w:bidi="en_US"/>
        </w:rPr>
        <w:t>Some other possible headings for this section are:</w:t>
      </w:r>
    </w:p>
    <w:p>
      <w:pPr/>
      <w:r>
        <w:rPr>
          <w:lang w:val="en_US" w:bidi="en_US"/>
        </w:rPr>
      </w:r>
      <w:r>
        <w:rPr>
          <w:lang w:val="en_US" w:bidi="en_US"/>
        </w:rPr>
        <w:t>The People of Nazareth Turn against Jesus (CEV)</w:t>
      </w:r>
    </w:p>
    <w:p>
      <w:pPr/>
      <w:r>
        <w:rPr>
          <w:lang w:val="en_US" w:bidi="en_US"/>
        </w:rPr>
      </w:r>
      <w:r>
        <w:rPr>
          <w:lang w:val="en_US" w:bidi="en_US"/>
        </w:rPr>
        <w:t>Jesus Rejected at Nazareth (ESV)</w:t>
      </w:r>
    </w:p>
    <w:p>
      <w:pPr/>
      <w:r>
        <w:rPr>
          <w:lang w:val="en_US" w:bidi="en_US"/>
        </w:rPr>
      </w:r>
      <w:r>
        <w:rPr>
          <w:lang w:val="en_US" w:bidi="en_US"/>
        </w:rPr>
        <w:t>There is a parallel passage for this section in Mark 6:1–6.</w:t>
      </w:r>
    </w:p>
    <w:p>
      <w:pPr>
        <w:pStyle w:val="Heading5"/>
      </w:pPr>
      <w:r>
        <w:rPr>
          <w:lang w:val="en_US" w:bidi="en_US"/>
        </w:rPr>
        <w:t>4:17a</w:t>
      </w:r>
    </w:p>
    <w:p>
      <w:pPr/>
      <w:r>
        <w:rPr>
          <w:lang w:val="en_US" w:bidi="en_US"/>
        </w:rPr>
      </w:r>
      <w:r>
        <w:rPr>
          <w:b/>
          <w:lang w:val="en_US" w:bidi="en_US"/>
        </w:rPr>
        <w:t>the scroll of the prophet Isaiah was handed to Him.</w:t>
      </w:r>
    </w:p>
    <w:p>
      <w:pPr>
        <w:pStyle w:val="ListBullet"/>
        <w:spacing w:line="240" w:lineRule="auto"/>
        <w:ind w:left="720"/>
      </w:pPr>
      <w:r>
        <w:rPr>
          <w:lang w:val="en_US" w:bidi="en_US"/>
        </w:rPr>
      </w:r>
      <w:r>
        <w:rPr>
          <w:lang w:val="en_US" w:bidi="en_US"/>
        </w:rPr>
        <w:t>He was handed/given the scroll of the prophet Isaiah.</w:t>
      </w:r>
    </w:p>
    <w:p>
      <w:pPr>
        <w:pStyle w:val="ListBullet"/>
        <w:spacing w:line="240" w:lineRule="auto"/>
        <w:ind w:left="720"/>
      </w:pPr>
      <w:r>
        <w:rPr>
          <w:lang w:val="en_US" w:bidi="en_US"/>
        </w:rPr>
      </w:r>
      <w:r>
        <w:rPr>
          <w:lang w:val="en_US" w:bidi="en_US"/>
        </w:rPr>
        <w:t>Someone</w:t>
      </w:r>
      <w:r>
        <w:rPr>
          <w:lang w:val="en_US" w:bidi="en_US"/>
        </w:rPr>
        <w:t xml:space="preserve"> gave him the book of </w:t>
      </w:r>
      <w:r>
        <w:rPr>
          <w:lang w:val="en_US" w:bidi="en_US"/>
        </w:rPr>
        <w:t>the words of</w:t>
      </w:r>
      <w:r>
        <w:rPr>
          <w:lang w:val="en_US" w:bidi="en_US"/>
        </w:rPr>
        <w:t xml:space="preserve"> the prophet Isaiah.</w:t>
      </w:r>
    </w:p>
    <w:p>
      <w:pPr/>
      <w:r>
        <w:rPr>
          <w:lang w:val="en_US" w:bidi="en_US"/>
        </w:rPr>
      </w:r>
      <w:r>
        <w:rPr>
          <w:b/>
          <w:lang w:val="en_US" w:bidi="en_US"/>
        </w:rPr>
        <w:t>the scroll of the prophet Isaiah:</w:t>
      </w:r>
      <w:r>
        <w:rPr>
          <w:lang w:val="en_US" w:bidi="en_US"/>
        </w:rPr>
        <w:t xml:space="preserve"> The phrase </w:t>
      </w:r>
      <w:r>
        <w:rPr>
          <w:i/>
          <w:lang w:val="en_US" w:bidi="en_US"/>
        </w:rPr>
        <w:t>the scroll of the prophet Isaiah</w:t>
      </w:r>
      <w:r>
        <w:rPr>
          <w:lang w:val="en_US" w:bidi="en_US"/>
        </w:rPr>
        <w:t xml:space="preserve"> means “the scroll containing the words of the prophet Isaiah.” Isaiah himself had not personally written this particular scroll. This was a copy of the prophecies that he received from God. Isaiah had prophesied about six hundred years earlier.</w:t>
      </w:r>
    </w:p>
    <w:p>
      <w:pPr/>
      <w:r>
        <w:rPr>
          <w:lang w:val="en_US" w:bidi="en_US"/>
        </w:rPr>
      </w:r>
      <w:r>
        <w:rPr>
          <w:b/>
          <w:lang w:val="en_US" w:bidi="en_US"/>
        </w:rPr>
        <w:t>scroll:</w:t>
      </w:r>
      <w:r>
        <w:rPr>
          <w:lang w:val="en_US" w:bidi="en_US"/>
        </w:rPr>
        <w:t xml:space="preserve"> In Jesus’ time people used scrolls, not books like the ones people use today. A </w:t>
      </w:r>
      <w:r>
        <w:rPr>
          <w:i/>
          <w:lang w:val="en_US" w:bidi="en_US"/>
        </w:rPr>
        <w:t>scroll</w:t>
      </w:r>
      <w:r>
        <w:rPr>
          <w:lang w:val="en_US" w:bidi="en_US"/>
        </w:rPr>
        <w:t xml:space="preserve"> was a roll of specially prepared animal skins (called parchment) or papyrus paper</w:t>
      </w:r>
      <w:r>
        <w:rPr>
          <w:lang w:val="en_US" w:bidi="en_US"/>
        </w:rPr>
        <w:t>Parchment was a kind of paper made from animal skins. Papyrus was a kind of paper made from reeds. The scroll in Luke 4:17a was probably sheets of parchment or papyrus that people had sewn together into a long sheet and then rolled up.</w:t>
      </w:r>
      <w:r>
        <w:rPr>
          <w:lang w:val="en_US" w:bidi="en_US"/>
        </w:rPr>
        <w:t xml:space="preserve"> with writing on it. People wrapped the two ends of the scroll around wooden handles. In order to read from it, a person used these handles to unroll the scroll. People rolled up the scroll and kept it that way when no one was using it. Another way to translate </w:t>
      </w:r>
      <w:r>
        <w:rPr>
          <w:i/>
          <w:lang w:val="en_US" w:bidi="en_US"/>
        </w:rPr>
        <w:t>scroll</w:t>
      </w:r>
      <w:r>
        <w:rPr>
          <w:lang w:val="en_US" w:bidi="en_US"/>
        </w:rPr>
        <w:t xml:space="preserve"> is:</w:t>
      </w:r>
    </w:p>
    <w:p>
      <w:pPr/>
      <w:r>
        <w:rPr>
          <w:lang w:val="en_US" w:bidi="en_US"/>
        </w:rPr>
      </w:r>
      <w:r>
        <w:rPr>
          <w:lang w:val="en_US" w:bidi="en_US"/>
        </w:rPr>
        <w:t>book (GNT)</w:t>
      </w:r>
    </w:p>
    <w:p>
      <w:pPr/>
      <w:r>
        <w:rPr>
          <w:lang w:val="en_US" w:bidi="en_US"/>
        </w:rPr>
      </w:r>
      <w:r>
        <w:rPr>
          <w:b/>
          <w:lang w:val="en_US" w:bidi="en_US"/>
        </w:rPr>
        <w:t>the prophet Isaiah:</w:t>
      </w:r>
      <w:r>
        <w:rPr>
          <w:lang w:val="en_US" w:bidi="en_US"/>
        </w:rPr>
        <w:t xml:space="preserve"> The phrase </w:t>
      </w:r>
      <w:r>
        <w:rPr>
          <w:i/>
          <w:lang w:val="en_US" w:bidi="en_US"/>
        </w:rPr>
        <w:t>the prophet Isaiah</w:t>
      </w:r>
      <w:r>
        <w:rPr>
          <w:lang w:val="en_US" w:bidi="en_US"/>
        </w:rPr>
        <w:t xml:space="preserve"> means the same thing as “Isaiah the prophet” in 3:4a. You should translate it the same way in both places.</w:t>
      </w:r>
    </w:p>
    <w:p>
      <w:pPr/>
      <w:r>
        <w:rPr>
          <w:lang w:val="en_US" w:bidi="en_US"/>
        </w:rPr>
      </w:r>
      <w:r>
        <w:rPr>
          <w:b/>
          <w:lang w:val="en_US" w:bidi="en_US"/>
        </w:rPr>
        <w:t>prophet:</w:t>
      </w:r>
      <w:r>
        <w:rPr>
          <w:lang w:val="en_US" w:bidi="en_US"/>
        </w:rPr>
        <w:t xml:space="preserve"> A </w:t>
      </w:r>
      <w:r>
        <w:rPr>
          <w:i/>
          <w:lang w:val="en_US" w:bidi="en_US"/>
        </w:rPr>
        <w:t>prophet</w:t>
      </w:r>
      <w:r>
        <w:rPr>
          <w:lang w:val="en_US" w:bidi="en_US"/>
        </w:rPr>
        <w:t xml:space="preserve"> was a person who spoke on behalf of God. He told people what God revealed to him. God gave some prophets power to work miracles. These miracles helped people realize that God sent the prophet. Some ways to translate </w:t>
      </w:r>
      <w:r>
        <w:rPr>
          <w:i/>
          <w:lang w:val="en_US" w:bidi="en_US"/>
        </w:rPr>
        <w:t>prophet</w:t>
      </w:r>
      <w:r>
        <w:rPr>
          <w:lang w:val="en_US" w:bidi="en_US"/>
        </w:rPr>
        <w:t xml:space="preserve"> are:</w:t>
      </w:r>
    </w:p>
    <w:p>
      <w:pPr/>
      <w:r>
        <w:rPr>
          <w:lang w:val="en_US" w:bidi="en_US"/>
        </w:rPr>
      </w:r>
      <w:r>
        <w:rPr>
          <w:lang w:val="en_US" w:bidi="en_US"/>
        </w:rPr>
        <w:t>a spokesman for God</w:t>
      </w:r>
    </w:p>
    <w:p>
      <w:pPr/>
      <w:r>
        <w:rPr>
          <w:lang w:val="en_US" w:bidi="en_US"/>
        </w:rPr>
      </w:r>
      <w:r>
        <w:rPr>
          <w:lang w:val="en_US" w:bidi="en_US"/>
        </w:rPr>
        <w:t>a person who speaks God’s words</w:t>
      </w:r>
    </w:p>
    <w:p>
      <w:pPr/>
      <w:r>
        <w:rPr>
          <w:lang w:val="en_US" w:bidi="en_US"/>
        </w:rPr>
      </w:r>
      <w:r>
        <w:rPr>
          <w:lang w:val="en_US" w:bidi="en_US"/>
        </w:rPr>
        <w:t>God’s message-speaker</w:t>
      </w:r>
    </w:p>
    <w:p>
      <w:pPr/>
      <w:r>
        <w:rPr>
          <w:lang w:val="en_US" w:bidi="en_US"/>
        </w:rPr>
      </w:r>
      <w:r>
        <w:rPr>
          <w:lang w:val="en_US" w:bidi="en_US"/>
        </w:rPr>
        <w:t>It is good to use a general term that does not focus only on foretelling the future. Although prophets did foretell the future, they also gave people other messages from God. They especially told them to stop sinning and to obey God.</w:t>
      </w:r>
    </w:p>
    <w:p>
      <w:pPr/>
      <w:r>
        <w:rPr>
          <w:lang w:val="en_US" w:bidi="en_US"/>
        </w:rPr>
      </w:r>
      <w:r>
        <w:rPr>
          <w:lang w:val="en_US" w:bidi="en_US"/>
        </w:rPr>
        <w:t xml:space="preserve">Be sure that your term for </w:t>
      </w:r>
      <w:r>
        <w:rPr>
          <w:i/>
          <w:lang w:val="en_US" w:bidi="en_US"/>
        </w:rPr>
        <w:t>prophet</w:t>
      </w:r>
      <w:r>
        <w:rPr>
          <w:lang w:val="en_US" w:bidi="en_US"/>
        </w:rPr>
        <w:t xml:space="preserve"> is different from other words which are similar in meaning such as “angel,” “apostle,” and “preacher.”</w:t>
      </w:r>
    </w:p>
    <w:p>
      <w:pPr/>
      <w:r>
        <w:rPr>
          <w:lang w:val="en_US" w:bidi="en_US"/>
        </w:rPr>
      </w:r>
      <w:r>
        <w:rPr>
          <w:lang w:val="en_US" w:bidi="en_US"/>
        </w:rPr>
        <w:t>This word also occurs in 3:4a. See also prophet in the Glossary.</w:t>
      </w:r>
    </w:p>
    <w:p>
      <w:pPr/>
      <w:r>
        <w:rPr>
          <w:lang w:val="en_US" w:bidi="en_US"/>
        </w:rPr>
      </w:r>
      <w:r>
        <w:rPr>
          <w:b/>
          <w:lang w:val="en_US" w:bidi="en_US"/>
        </w:rPr>
        <w:t>was handed to Him:</w:t>
      </w:r>
      <w:r>
        <w:rPr>
          <w:lang w:val="en_US" w:bidi="en_US"/>
        </w:rPr>
        <w:t xml:space="preserve"> The Greek verb that the BSB translates as </w:t>
      </w:r>
      <w:r>
        <w:rPr>
          <w:i/>
          <w:lang w:val="en_US" w:bidi="en_US"/>
        </w:rPr>
        <w:t>was handed</w:t>
      </w:r>
      <w:r>
        <w:rPr>
          <w:lang w:val="en_US" w:bidi="en_US"/>
        </w:rPr>
        <w:t xml:space="preserve"> is literally “was given” (as in the RSV). This verb is passive. Some ways to translate this verb are:</w:t>
      </w:r>
    </w:p>
    <w:p>
      <w:pPr>
        <w:pStyle w:val="ListBullet"/>
        <w:spacing w:line="240" w:lineRule="auto"/>
        <w:ind w:left="720"/>
      </w:pPr>
      <w:r>
        <w:rPr>
          <w:lang w:val="en_US" w:bidi="en_US"/>
        </w:rPr>
      </w:r>
      <w:r>
        <w:rPr>
          <w:lang w:val="en_US" w:bidi="en_US"/>
        </w:rPr>
        <w:t>As a passive verb. For example:</w:t>
      </w:r>
      <w:r>
        <w:rPr>
          <w:lang w:val="en_US" w:bidi="en_US"/>
        </w:rPr>
        <w:t>was given to him (NET)</w:t>
      </w:r>
      <w:r>
        <w:rPr>
          <w:lang w:val="en_US" w:bidi="en_US"/>
        </w:rPr>
        <w:t>was delivered unto him (KJV)</w:t>
      </w:r>
    </w:p>
    <w:p>
      <w:pPr>
        <w:pStyle w:val="ListBullet"/>
        <w:spacing w:line="240" w:lineRule="auto"/>
        <w:ind w:left="720"/>
      </w:pPr>
      <w:r>
        <w:rPr>
          <w:lang w:val="en_US" w:bidi="en_US"/>
        </w:rPr>
      </w:r>
      <w:r>
        <w:rPr>
          <w:lang w:val="en_US" w:bidi="en_US"/>
        </w:rPr>
        <w:t>As an active verb. In some languages it may be more natural to say who gave the scroll to Jesus. It was probably the same attendant who is mentioned in 4:20b. You may also be able to use a general subject. For example:</w:t>
      </w:r>
      <w:r>
        <w:rPr>
          <w:lang w:val="en_US" w:bidi="en_US"/>
        </w:rPr>
        <w:t>Someone</w:t>
      </w:r>
      <w:r>
        <w:rPr>
          <w:lang w:val="en_US" w:bidi="en_US"/>
        </w:rPr>
        <w:t xml:space="preserve"> gave him</w:t>
      </w:r>
      <w:r>
        <w:rPr>
          <w:lang w:val="en_US" w:bidi="en_US"/>
        </w:rPr>
        <w:t>The attendant gave him (GW)</w:t>
      </w:r>
    </w:p>
    <w:p>
      <w:pPr>
        <w:pStyle w:val="Heading5"/>
      </w:pPr>
      <w:r>
        <w:rPr>
          <w:lang w:val="en_US" w:bidi="en_US"/>
        </w:rPr>
        <w:t>4:17b</w:t>
      </w:r>
    </w:p>
    <w:p>
      <w:pPr/>
      <w:r>
        <w:rPr>
          <w:lang w:val="en_US" w:bidi="en_US"/>
        </w:rPr>
      </w:r>
      <w:r>
        <w:rPr>
          <w:b/>
          <w:lang w:val="en_US" w:bidi="en_US"/>
        </w:rPr>
        <w:t>Unrolling it,</w:t>
      </w:r>
    </w:p>
    <w:p>
      <w:pPr>
        <w:pStyle w:val="ListBullet"/>
        <w:spacing w:line="240" w:lineRule="auto"/>
        <w:ind w:left="720"/>
      </w:pPr>
      <w:r>
        <w:rPr>
          <w:lang w:val="en_US" w:bidi="en_US"/>
        </w:rPr>
      </w:r>
      <w:r>
        <w:rPr>
          <w:lang w:val="en_US" w:bidi="en_US"/>
        </w:rPr>
        <w:t>He unrolled the scroll</w:t>
      </w:r>
    </w:p>
    <w:p>
      <w:pPr>
        <w:pStyle w:val="ListBullet"/>
        <w:spacing w:line="240" w:lineRule="auto"/>
        <w:ind w:left="720"/>
      </w:pPr>
      <w:r>
        <w:rPr>
          <w:lang w:val="en_US" w:bidi="en_US"/>
        </w:rPr>
      </w:r>
      <w:r>
        <w:rPr>
          <w:lang w:val="en_US" w:bidi="en_US"/>
        </w:rPr>
        <w:t>He opened the book (NCV)</w:t>
      </w:r>
    </w:p>
    <w:p>
      <w:pPr/>
      <w:r>
        <w:rPr>
          <w:lang w:val="en_US" w:bidi="en_US"/>
        </w:rPr>
      </w:r>
      <w:r>
        <w:rPr>
          <w:b/>
          <w:lang w:val="en_US" w:bidi="en_US"/>
        </w:rPr>
        <w:t>Unrolling it:</w:t>
      </w:r>
      <w:r>
        <w:rPr>
          <w:lang w:val="en_US" w:bidi="en_US"/>
        </w:rPr>
        <w:t xml:space="preserve"> The word </w:t>
      </w:r>
      <w:r>
        <w:rPr>
          <w:i/>
          <w:lang w:val="en_US" w:bidi="en_US"/>
        </w:rPr>
        <w:t>Unrolling</w:t>
      </w:r>
      <w:r>
        <w:rPr>
          <w:lang w:val="en_US" w:bidi="en_US"/>
        </w:rPr>
        <w:t xml:space="preserve"> refers to what is done to open a scroll. Jesus opened the scroll in order to read what was written on it. Another way to translate this is:</w:t>
      </w:r>
    </w:p>
    <w:p>
      <w:pPr/>
      <w:r>
        <w:rPr>
          <w:lang w:val="en_US" w:bidi="en_US"/>
        </w:rPr>
      </w:r>
      <w:r>
        <w:rPr>
          <w:lang w:val="en_US" w:bidi="en_US"/>
        </w:rPr>
        <w:t>He opened the book (NCV)</w:t>
      </w:r>
    </w:p>
    <w:p>
      <w:pPr>
        <w:pStyle w:val="Heading5"/>
      </w:pPr>
      <w:r>
        <w:rPr>
          <w:lang w:val="en_US" w:bidi="en_US"/>
        </w:rPr>
        <w:t>4:17c</w:t>
      </w:r>
    </w:p>
    <w:p>
      <w:pPr/>
      <w:r>
        <w:rPr>
          <w:lang w:val="en_US" w:bidi="en_US"/>
        </w:rPr>
      </w:r>
      <w:r>
        <w:rPr>
          <w:b/>
          <w:lang w:val="en_US" w:bidi="en_US"/>
        </w:rPr>
        <w:t>He found the place where it was written:</w:t>
      </w:r>
    </w:p>
    <w:p>
      <w:pPr>
        <w:pStyle w:val="ListBullet"/>
        <w:spacing w:line="240" w:lineRule="auto"/>
        <w:ind w:left="720"/>
      </w:pPr>
      <w:r>
        <w:rPr>
          <w:lang w:val="en_US" w:bidi="en_US"/>
        </w:rPr>
      </w:r>
      <w:r>
        <w:rPr>
          <w:lang w:val="en_US" w:bidi="en_US"/>
        </w:rPr>
        <w:t>and found the place where these words are written— (JBP)</w:t>
      </w:r>
    </w:p>
    <w:p>
      <w:pPr>
        <w:pStyle w:val="ListBullet"/>
        <w:spacing w:line="240" w:lineRule="auto"/>
        <w:ind w:left="720"/>
      </w:pPr>
      <w:r>
        <w:rPr>
          <w:lang w:val="en_US" w:bidi="en_US"/>
        </w:rPr>
      </w:r>
      <w:r>
        <w:rPr>
          <w:lang w:val="en_US" w:bidi="en_US"/>
        </w:rPr>
        <w:t>to the place where it says: (NLT96)</w:t>
      </w:r>
    </w:p>
    <w:p>
      <w:pPr>
        <w:pStyle w:val="ListBullet"/>
        <w:spacing w:line="240" w:lineRule="auto"/>
        <w:ind w:left="720"/>
      </w:pPr>
      <w:r>
        <w:rPr>
          <w:lang w:val="en_US" w:bidi="en_US"/>
        </w:rPr>
      </w:r>
      <w:r>
        <w:rPr>
          <w:lang w:val="en_US" w:bidi="en_US"/>
        </w:rPr>
        <w:t>and looked for a certain passage</w:t>
      </w:r>
      <w:r>
        <w:rPr>
          <w:lang w:val="en_US" w:bidi="en_US"/>
        </w:rPr>
        <w:t xml:space="preserve">. He found that passage </w:t>
      </w:r>
      <w:r>
        <w:rPr>
          <w:lang w:val="en_US" w:bidi="en_US"/>
        </w:rPr>
        <w:t>and read</w:t>
      </w:r>
      <w:r>
        <w:rPr>
          <w:lang w:val="en_US" w:bidi="en_US"/>
        </w:rPr>
        <w:t xml:space="preserve"> what was written </w:t>
      </w:r>
      <w:r>
        <w:rPr>
          <w:lang w:val="en_US" w:bidi="en_US"/>
        </w:rPr>
        <w:t>there</w:t>
      </w:r>
      <w:r>
        <w:rPr>
          <w:lang w:val="en_US" w:bidi="en_US"/>
        </w:rPr>
        <w:t>. It said:</w:t>
      </w:r>
    </w:p>
    <w:p>
      <w:pPr/>
      <w:r>
        <w:rPr>
          <w:lang w:val="en_US" w:bidi="en_US"/>
        </w:rPr>
      </w:r>
      <w:r>
        <w:rPr>
          <w:b/>
          <w:lang w:val="en_US" w:bidi="en_US"/>
        </w:rPr>
        <w:t>He found the place:</w:t>
      </w:r>
      <w:r>
        <w:rPr>
          <w:lang w:val="en_US" w:bidi="en_US"/>
        </w:rPr>
        <w:t xml:space="preserve"> The phrase </w:t>
      </w:r>
      <w:r>
        <w:rPr>
          <w:i/>
          <w:lang w:val="en_US" w:bidi="en_US"/>
        </w:rPr>
        <w:t>He found the place</w:t>
      </w:r>
      <w:r>
        <w:rPr>
          <w:lang w:val="en_US" w:bidi="en_US"/>
        </w:rPr>
        <w:t xml:space="preserve"> indicates that Jesus located a specific Scripture passage that he intended to read. He unrolled the scroll until he came to the correct place. Another way to translate this is:</w:t>
      </w:r>
    </w:p>
    <w:p>
      <w:pPr/>
      <w:r>
        <w:rPr>
          <w:lang w:val="en_US" w:bidi="en_US"/>
        </w:rPr>
      </w:r>
      <w:r>
        <w:rPr>
          <w:lang w:val="en_US" w:bidi="en_US"/>
        </w:rPr>
        <w:t>to the place (NLT96)</w:t>
      </w:r>
    </w:p>
    <w:p>
      <w:pPr/>
      <w:r>
        <w:rPr>
          <w:lang w:val="en_US" w:bidi="en_US"/>
        </w:rPr>
      </w:r>
      <w:r>
        <w:rPr>
          <w:lang w:val="en_US" w:bidi="en_US"/>
        </w:rPr>
        <w:t xml:space="preserve">This </w:t>
      </w:r>
      <w:r>
        <w:rPr>
          <w:i/>
          <w:lang w:val="en_US" w:bidi="en_US"/>
        </w:rPr>
        <w:t>place</w:t>
      </w:r>
      <w:r>
        <w:rPr>
          <w:lang w:val="en_US" w:bidi="en_US"/>
        </w:rPr>
        <w:t xml:space="preserve"> is the Scripture passage that is now known as Isaiah 61:1–2. In Jesus’ time, the books of the Bible were not divided into chapters and verses as they are today.</w:t>
      </w:r>
    </w:p>
    <w:p>
      <w:pPr/>
      <w:r>
        <w:rPr>
          <w:lang w:val="en_US" w:bidi="en_US"/>
        </w:rPr>
      </w:r>
      <w:r>
        <w:rPr>
          <w:lang w:val="en_US" w:bidi="en_US"/>
        </w:rPr>
        <w:t>Luke did not explicitly say that Jesus read that passage aloud. However, that is implied, and it may be necessary to make that explicit. For example:</w:t>
      </w:r>
    </w:p>
    <w:p>
      <w:pPr/>
      <w:r>
        <w:rPr>
          <w:lang w:val="en_US" w:bidi="en_US"/>
        </w:rPr>
      </w:r>
      <w:r>
        <w:rPr>
          <w:lang w:val="en_US" w:bidi="en_US"/>
        </w:rPr>
        <w:t xml:space="preserve">Jesus found </w:t>
      </w:r>
      <w:r>
        <w:rPr>
          <w:lang w:val="en_US" w:bidi="en_US"/>
        </w:rPr>
        <w:t>and read aloud</w:t>
      </w:r>
      <w:r>
        <w:rPr>
          <w:lang w:val="en_US" w:bidi="en_US"/>
        </w:rPr>
        <w:t xml:space="preserve"> the passage</w:t>
      </w:r>
    </w:p>
    <w:p>
      <w:pPr/>
      <w:r>
        <w:rPr>
          <w:lang w:val="en_US" w:bidi="en_US"/>
        </w:rPr>
      </w:r>
      <w:r>
        <w:rPr>
          <w:b/>
          <w:lang w:val="en_US" w:bidi="en_US"/>
        </w:rPr>
        <w:t>where it was written:</w:t>
      </w:r>
      <w:r>
        <w:rPr>
          <w:lang w:val="en_US" w:bidi="en_US"/>
        </w:rPr>
        <w:t xml:space="preserve"> The phrase </w:t>
      </w:r>
      <w:r>
        <w:rPr>
          <w:i/>
          <w:lang w:val="en_US" w:bidi="en_US"/>
        </w:rPr>
        <w:t>where it was written</w:t>
      </w:r>
      <w:r>
        <w:rPr>
          <w:lang w:val="en_US" w:bidi="en_US"/>
        </w:rPr>
        <w:t xml:space="preserve"> is similar to the phrase “it is written” in 4:4a and 4:8a. Some other ways to translate this phrase are:</w:t>
      </w:r>
    </w:p>
    <w:p>
      <w:pPr/>
      <w:r>
        <w:rPr>
          <w:lang w:val="en_US" w:bidi="en_US"/>
        </w:rPr>
      </w:r>
      <w:r>
        <w:rPr>
          <w:lang w:val="en_US" w:bidi="en_US"/>
        </w:rPr>
        <w:t>where it says (NLT96)</w:t>
      </w:r>
    </w:p>
    <w:p>
      <w:pPr/>
      <w:r>
        <w:rPr>
          <w:lang w:val="en_US" w:bidi="en_US"/>
        </w:rPr>
      </w:r>
      <w:r>
        <w:rPr>
          <w:lang w:val="en_US" w:bidi="en_US"/>
        </w:rPr>
        <w:t>where this is written (NCV)</w:t>
      </w:r>
    </w:p>
    <w:p>
      <w:pPr/>
      <w:r>
        <w:rPr>
          <w:lang w:val="en_US" w:bidi="en_US"/>
        </w:rPr>
      </w:r>
      <w:r>
        <w:rPr>
          <w:lang w:val="en_US" w:bidi="en_US"/>
        </w:rPr>
        <w:t>where these words are written (JBP)</w:t>
      </w:r>
    </w:p>
    <w:p>
      <w:pPr/>
      <w:r>
        <w:rPr>
          <w:lang w:val="en_US" w:bidi="en_US"/>
        </w:rPr>
      </w:r>
      <w:r>
        <w:rPr>
          <w:lang w:val="en_US" w:bidi="en_US"/>
        </w:rPr>
        <w:t>In some languages it may be more natural to leave the passive verb “was written” implied. For example:</w:t>
      </w:r>
    </w:p>
    <w:p>
      <w:pPr/>
      <w:r>
        <w:rPr>
          <w:lang w:val="en_US" w:bidi="en_US"/>
        </w:rPr>
      </w:r>
      <w:r>
        <w:rPr>
          <w:lang w:val="en_US" w:bidi="en_US"/>
        </w:rPr>
        <w:t>and found the passage which says (REB)</w:t>
      </w:r>
    </w:p>
    <w:p>
      <w:pPr/>
      <w:r>
        <w:rPr>
          <w:lang w:val="en_US" w:bidi="en_US"/>
        </w:rPr>
      </w:r>
      <w:r>
        <w:rPr>
          <w:lang w:val="en_US" w:bidi="en_US"/>
        </w:rPr>
        <w:t xml:space="preserve">Jesus found </w:t>
      </w:r>
      <w:r>
        <w:rPr>
          <w:lang w:val="en_US" w:bidi="en_US"/>
        </w:rPr>
        <w:t>and read aloud</w:t>
      </w:r>
      <w:r>
        <w:rPr>
          <w:lang w:val="en_US" w:bidi="en_US"/>
        </w:rPr>
        <w:t xml:space="preserve"> this writing/prophecy</w:t>
      </w:r>
      <w:r>
        <w:rPr>
          <w:lang w:val="en_US" w:bidi="en_US"/>
        </w:rPr>
      </w:r>
      <w:r>
        <w:rPr>
          <w:lang w:val="en_US" w:bidi="en_US"/>
        </w:rPr>
      </w:r>
    </w:p>
    <w:p>
      <w:pPr/>
      <w:r>
        <w:rPr>
          <w:lang w:val="en_US" w:bidi="en_US"/>
        </w:rPr>
      </w:r>
    </w:p>
    <w:p>
      <w:pPr>
        <w:pStyle w:val="Heading2"/>
      </w:pPr>
      <w:r>
        <w:rPr>
          <w:lang w:val="en_US" w:bidi="en_US"/>
        </w:rPr>
        <w:t>Luke 4:18</w:t>
      </w:r>
      <w:r>
        <w:rPr>
          <w:lang w:val="en_US" w:bidi="en_US"/>
        </w:rPr>
      </w:r>
    </w:p>
    <w:p>
      <w:pPr>
        <w:pStyle w:val="Heading4"/>
      </w:pPr>
      <w:r>
        <w:rPr>
          <w:lang w:val="en_US" w:bidi="en_US"/>
        </w:rPr>
        <w:t>Section 4:14–30: The people rejected Jesus at Nazareth</w:t>
      </w:r>
    </w:p>
    <w:p>
      <w:pPr/>
      <w:r>
        <w:rPr>
          <w:lang w:val="en_US" w:bidi="en_US"/>
        </w:rPr>
      </w:r>
      <w:r>
        <w:rPr>
          <w:lang w:val="en_US" w:bidi="en_US"/>
        </w:rP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pPr/>
      <w:r>
        <w:rPr>
          <w:lang w:val="en_US" w:bidi="en_US"/>
        </w:rPr>
      </w:r>
      <w:r>
        <w:rPr>
          <w:lang w:val="en_US" w:bidi="en_US"/>
        </w:rPr>
        <w:t>Some other possible headings for this section are:</w:t>
      </w:r>
    </w:p>
    <w:p>
      <w:pPr/>
      <w:r>
        <w:rPr>
          <w:lang w:val="en_US" w:bidi="en_US"/>
        </w:rPr>
      </w:r>
      <w:r>
        <w:rPr>
          <w:lang w:val="en_US" w:bidi="en_US"/>
        </w:rPr>
        <w:t>The People of Nazareth Turn against Jesus (CEV)</w:t>
      </w:r>
    </w:p>
    <w:p>
      <w:pPr/>
      <w:r>
        <w:rPr>
          <w:lang w:val="en_US" w:bidi="en_US"/>
        </w:rPr>
      </w:r>
      <w:r>
        <w:rPr>
          <w:lang w:val="en_US" w:bidi="en_US"/>
        </w:rPr>
        <w:t>Jesus Rejected at Nazareth (ESV)</w:t>
      </w:r>
    </w:p>
    <w:p>
      <w:pPr/>
      <w:r>
        <w:rPr>
          <w:lang w:val="en_US" w:bidi="en_US"/>
        </w:rPr>
      </w:r>
      <w:r>
        <w:rPr>
          <w:lang w:val="en_US" w:bidi="en_US"/>
        </w:rPr>
        <w:t>There is a parallel passage for this section in Mark 6:1–6.</w:t>
      </w:r>
    </w:p>
    <w:p>
      <w:pPr>
        <w:pStyle w:val="Heading5"/>
      </w:pPr>
      <w:r>
        <w:rPr>
          <w:lang w:val="en_US" w:bidi="en_US"/>
        </w:rPr>
        <w:t>4:18–19</w:t>
      </w:r>
    </w:p>
    <w:p>
      <w:pPr/>
      <w:r>
        <w:rPr>
          <w:lang w:val="en_US" w:bidi="en_US"/>
        </w:rPr>
      </w:r>
      <w:r>
        <w:rPr>
          <w:lang w:val="en_US" w:bidi="en_US"/>
        </w:rPr>
        <w:t>These verses are from the ancient Greek translation of Isaiah 61:1–2. They contain a prophecy concerning the Messiah. In it, the Messiah is speaking about himself, so the word “me” refers to the Messiah.</w:t>
      </w:r>
    </w:p>
    <w:p>
      <w:pPr/>
      <w:r>
        <w:rPr>
          <w:lang w:val="en_US" w:bidi="en_US"/>
        </w:rPr>
      </w:r>
      <w:r>
        <w:rPr>
          <w:lang w:val="en_US" w:bidi="en_US"/>
        </w:rPr>
        <w:t>In this passage, there are four groups of people:</w:t>
      </w:r>
    </w:p>
    <w:p>
      <w:pPr>
        <w:pStyle w:val="ListNumber"/>
        <w:numPr>
          <w:ilvl w:val="0"/>
          <w:numId w:val="101"/>
        </w:numPr>
        <w:spacing w:line="240" w:lineRule="auto"/>
        <w:ind w:left="720"/>
      </w:pPr>
      <w:r>
        <w:rPr>
          <w:lang w:val="en_US" w:bidi="en_US"/>
        </w:rPr>
      </w:r>
      <w:r>
        <w:rPr>
          <w:lang w:val="en_US" w:bidi="en_US"/>
        </w:rPr>
        <w:t>poor people</w:t>
      </w:r>
    </w:p>
    <w:p>
      <w:pPr>
        <w:pStyle w:val="ListNumber"/>
        <w:spacing w:line="240" w:lineRule="auto"/>
        <w:ind w:left="720"/>
      </w:pPr>
      <w:r>
        <w:rPr>
          <w:lang w:val="en_US" w:bidi="en_US"/>
        </w:rPr>
      </w:r>
      <w:r>
        <w:rPr>
          <w:lang w:val="en_US" w:bidi="en_US"/>
        </w:rPr>
        <w:t>prisoners</w:t>
      </w:r>
    </w:p>
    <w:p>
      <w:pPr>
        <w:pStyle w:val="ListNumber"/>
        <w:spacing w:line="240" w:lineRule="auto"/>
        <w:ind w:left="720"/>
      </w:pPr>
      <w:r>
        <w:rPr>
          <w:lang w:val="en_US" w:bidi="en_US"/>
        </w:rPr>
      </w:r>
      <w:r>
        <w:rPr>
          <w:lang w:val="en_US" w:bidi="en_US"/>
        </w:rPr>
        <w:t>blind people</w:t>
      </w:r>
    </w:p>
    <w:p>
      <w:pPr>
        <w:pStyle w:val="ListNumber"/>
        <w:spacing w:line="240" w:lineRule="auto"/>
        <w:ind w:left="720"/>
      </w:pPr>
      <w:r>
        <w:rPr>
          <w:lang w:val="en_US" w:bidi="en_US"/>
        </w:rPr>
      </w:r>
      <w:r>
        <w:rPr>
          <w:lang w:val="en_US" w:bidi="en_US"/>
        </w:rPr>
        <w:t>oppressed people</w:t>
      </w:r>
    </w:p>
    <w:p>
      <w:pPr/>
      <w:r>
        <w:rPr>
          <w:lang w:val="en_US" w:bidi="en_US"/>
        </w:rPr>
      </w:r>
      <w:r>
        <w:rPr>
          <w:lang w:val="en_US" w:bidi="en_US"/>
        </w:rPr>
        <w:t>Some, and perhaps all, of these groups of people have both a literal and a spiritual meaning. It is good to refer to these groups of people in a literal way that can also be interpreted in a spiritual sense.</w:t>
      </w:r>
    </w:p>
    <w:p>
      <w:pPr>
        <w:pStyle w:val="Heading5"/>
      </w:pPr>
      <w:r>
        <w:rPr>
          <w:lang w:val="en_US" w:bidi="en_US"/>
        </w:rPr>
        <w:t>4:18a</w:t>
      </w:r>
    </w:p>
    <w:p>
      <w:pPr/>
      <w:r>
        <w:rPr>
          <w:lang w:val="en_US" w:bidi="en_US"/>
        </w:rPr>
      </w:r>
      <w:r>
        <w:rPr>
          <w:b/>
          <w:lang w:val="en_US" w:bidi="en_US"/>
        </w:rPr>
        <w:t>“The Spirit of the Lord is on Me,</w:t>
      </w:r>
    </w:p>
    <w:p>
      <w:pPr>
        <w:pStyle w:val="ListBullet"/>
        <w:spacing w:line="240" w:lineRule="auto"/>
        <w:ind w:left="720"/>
      </w:pPr>
      <w:r>
        <w:rPr>
          <w:lang w:val="en_US" w:bidi="en_US"/>
        </w:rPr>
      </w:r>
      <w:r>
        <w:rPr>
          <w:lang w:val="en_US" w:bidi="en_US"/>
        </w:rPr>
        <w:t>“The Spirit of the Lord is with me,</w:t>
      </w:r>
    </w:p>
    <w:p>
      <w:pPr>
        <w:pStyle w:val="ListBullet"/>
        <w:spacing w:line="240" w:lineRule="auto"/>
        <w:ind w:left="720"/>
      </w:pPr>
      <w:r>
        <w:rPr>
          <w:lang w:val="en_US" w:bidi="en_US"/>
        </w:rPr>
      </w:r>
      <w:r>
        <w:rPr>
          <w:lang w:val="en_US" w:bidi="en_US"/>
        </w:rPr>
        <w:t xml:space="preserve">“The Lord’s Spirit has come to me </w:t>
      </w:r>
      <w:r>
        <w:rPr>
          <w:lang w:val="en_US" w:bidi="en_US"/>
        </w:rPr>
        <w:t>to help me</w:t>
      </w:r>
      <w:r>
        <w:rPr>
          <w:lang w:val="en_US" w:bidi="en_US"/>
        </w:rPr>
        <w:t>.</w:t>
      </w:r>
    </w:p>
    <w:p>
      <w:pPr/>
      <w:r>
        <w:rPr>
          <w:lang w:val="en_US" w:bidi="en_US"/>
        </w:rPr>
      </w:r>
      <w:r>
        <w:rPr>
          <w:b/>
          <w:lang w:val="en_US" w:bidi="en_US"/>
        </w:rPr>
        <w:t>The Spirit of the Lord is on Me:</w:t>
      </w:r>
      <w:r>
        <w:rPr>
          <w:lang w:val="en_US" w:bidi="en_US"/>
        </w:rPr>
        <w:t xml:space="preserve"> The phrase </w:t>
      </w:r>
      <w:r>
        <w:rPr>
          <w:i/>
          <w:lang w:val="en_US" w:bidi="en_US"/>
        </w:rPr>
        <w:t>The Spirit of the Lord is on Me</w:t>
      </w:r>
      <w:r>
        <w:rPr>
          <w:lang w:val="en_US" w:bidi="en_US"/>
        </w:rPr>
        <w:t xml:space="preserve"> means, “The Spirit of God is with me to give me power.” It indicates that the Lord’s Spirit was with the Messiah. Some other ways to translate this are:</w:t>
      </w:r>
    </w:p>
    <w:p>
      <w:pPr/>
      <w:r>
        <w:rPr>
          <w:lang w:val="en_US" w:bidi="en_US"/>
        </w:rPr>
      </w:r>
      <w:r>
        <w:rPr>
          <w:lang w:val="en_US" w:bidi="en_US"/>
        </w:rPr>
        <w:t>The Lord’s Spirit has come to me (CEV)</w:t>
      </w:r>
    </w:p>
    <w:p>
      <w:pPr/>
      <w:r>
        <w:rPr>
          <w:lang w:val="en_US" w:bidi="en_US"/>
        </w:rPr>
      </w:r>
      <w:r>
        <w:rPr>
          <w:lang w:val="en_US" w:bidi="en_US"/>
        </w:rPr>
        <w:t>The Lord has put his Spirit in me (NCV)</w:t>
      </w:r>
    </w:p>
    <w:p>
      <w:pPr/>
      <w:r>
        <w:rPr>
          <w:lang w:val="en_US" w:bidi="en_US"/>
        </w:rPr>
      </w:r>
      <w:r>
        <w:rPr>
          <w:lang w:val="en_US" w:bidi="en_US"/>
        </w:rPr>
        <w:t xml:space="preserve">The Spirit of God is with me </w:t>
      </w:r>
      <w:r>
        <w:rPr>
          <w:lang w:val="en_US" w:bidi="en_US"/>
        </w:rPr>
        <w:t>to help me</w:t>
      </w:r>
    </w:p>
    <w:p>
      <w:pPr/>
      <w:r>
        <w:rPr>
          <w:lang w:val="en_US" w:bidi="en_US"/>
        </w:rPr>
      </w:r>
      <w:r>
        <w:rPr>
          <w:lang w:val="en_US" w:bidi="en_US"/>
        </w:rPr>
        <w:t>This phrase is similar to one in 2:25d.</w:t>
      </w:r>
    </w:p>
    <w:p>
      <w:pPr/>
      <w:r>
        <w:rPr>
          <w:lang w:val="en_US" w:bidi="en_US"/>
        </w:rPr>
      </w:r>
      <w:r>
        <w:rPr>
          <w:b/>
          <w:lang w:val="en_US" w:bidi="en_US"/>
        </w:rPr>
        <w:t>The Spirit of the Lord:</w:t>
      </w:r>
      <w:r>
        <w:rPr>
          <w:lang w:val="en_US" w:bidi="en_US"/>
        </w:rPr>
        <w:t xml:space="preserve"> The word </w:t>
      </w:r>
      <w:r>
        <w:rPr>
          <w:i/>
          <w:lang w:val="en_US" w:bidi="en_US"/>
        </w:rPr>
        <w:t>Lord</w:t>
      </w:r>
      <w:r>
        <w:rPr>
          <w:lang w:val="en_US" w:bidi="en_US"/>
        </w:rPr>
        <w:t xml:space="preserve"> here refers to God. If this is not clear in your language, you can translate this as:</w:t>
      </w:r>
    </w:p>
    <w:p>
      <w:pPr/>
      <w:r>
        <w:rPr>
          <w:lang w:val="en_US" w:bidi="en_US"/>
        </w:rPr>
      </w:r>
      <w:r>
        <w:rPr>
          <w:lang w:val="en_US" w:bidi="en_US"/>
        </w:rPr>
        <w:t>the Spirit of God</w:t>
      </w:r>
    </w:p>
    <w:p>
      <w:pPr/>
      <w:r>
        <w:rPr>
          <w:lang w:val="en_US" w:bidi="en_US"/>
        </w:rPr>
      </w:r>
      <w:r>
        <w:rPr>
          <w:lang w:val="en_US" w:bidi="en_US"/>
        </w:rPr>
        <w:t>God’s Spirit</w:t>
      </w:r>
    </w:p>
    <w:p>
      <w:pPr/>
      <w:r>
        <w:rPr>
          <w:lang w:val="en_US" w:bidi="en_US"/>
        </w:rPr>
      </w:r>
      <w:r>
        <w:rPr>
          <w:lang w:val="en_US" w:bidi="en_US"/>
        </w:rPr>
        <w:t>the Spirit of the Lord God</w:t>
      </w:r>
    </w:p>
    <w:p>
      <w:pPr/>
      <w:r>
        <w:rPr>
          <w:lang w:val="en_US" w:bidi="en_US"/>
        </w:rPr>
      </w:r>
      <w:r>
        <w:rPr>
          <w:lang w:val="en_US" w:bidi="en_US"/>
        </w:rPr>
        <w:t>See Lord, Context 2, in the Glossary.</w:t>
      </w:r>
    </w:p>
    <w:p>
      <w:pPr/>
      <w:r>
        <w:rPr>
          <w:lang w:val="en_US" w:bidi="en_US"/>
        </w:rPr>
      </w:r>
      <w:r>
        <w:rPr>
          <w:b/>
          <w:lang w:val="en_US" w:bidi="en_US"/>
        </w:rPr>
        <w:t>Spirit:</w:t>
      </w:r>
      <w:r>
        <w:rPr>
          <w:lang w:val="en_US" w:bidi="en_US"/>
        </w:rPr>
        <w:t xml:space="preserve"> You should use the same word for </w:t>
      </w:r>
      <w:r>
        <w:rPr>
          <w:i/>
          <w:lang w:val="en_US" w:bidi="en_US"/>
        </w:rPr>
        <w:t>Spirit</w:t>
      </w:r>
      <w:r>
        <w:rPr>
          <w:lang w:val="en_US" w:bidi="en_US"/>
        </w:rPr>
        <w:t xml:space="preserve"> here as in the term Holy Spirit in 4:1a. Be careful to use a word that does not refer to a ghost or spirit of a dead person.</w:t>
      </w:r>
    </w:p>
    <w:p>
      <w:pPr>
        <w:pStyle w:val="Heading5"/>
      </w:pPr>
      <w:r>
        <w:rPr>
          <w:lang w:val="en_US" w:bidi="en_US"/>
        </w:rPr>
        <w:t>4:18b</w:t>
      </w:r>
    </w:p>
    <w:p>
      <w:pPr/>
      <w:r>
        <w:rPr>
          <w:lang w:val="en_US" w:bidi="en_US"/>
        </w:rPr>
      </w:r>
      <w:r>
        <w:rPr>
          <w:b/>
          <w:lang w:val="en_US" w:bidi="en_US"/>
        </w:rPr>
        <w:t>because He has anointed Me to preach good news to the poor.</w:t>
      </w:r>
    </w:p>
    <w:p>
      <w:pPr>
        <w:pStyle w:val="ListBullet"/>
        <w:spacing w:line="240" w:lineRule="auto"/>
        <w:ind w:left="720"/>
      </w:pPr>
      <w:r>
        <w:rPr>
          <w:lang w:val="en_US" w:bidi="en_US"/>
        </w:rPr>
      </w:r>
      <w:r>
        <w:rPr>
          <w:lang w:val="en_US" w:bidi="en_US"/>
        </w:rPr>
        <w:t xml:space="preserve">because he has anointed me to preach/proclaim good news to poor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He has appointed me to tell his joyful message to the </w:t>
      </w:r>
      <w:r>
        <w:rPr>
          <w:lang w:val="en_US" w:bidi="en_US"/>
        </w:rPr>
        <w:t>people who are</w:t>
      </w:r>
      <w:r>
        <w:rPr>
          <w:lang w:val="en_US" w:bidi="en_US"/>
        </w:rPr>
        <w:t xml:space="preserve"> poor.</w:t>
      </w:r>
    </w:p>
    <w:p>
      <w:pPr/>
      <w:r>
        <w:rPr>
          <w:lang w:val="en_US" w:bidi="en_US"/>
        </w:rPr>
      </w:r>
      <w:r>
        <w:rPr>
          <w:b/>
          <w:lang w:val="en_US" w:bidi="en_US"/>
        </w:rPr>
        <w:t>because He has anointed Me:</w:t>
      </w:r>
      <w:r>
        <w:rPr>
          <w:lang w:val="en_US" w:bidi="en_US"/>
        </w:rPr>
        <w:t xml:space="preserve"> The clause </w:t>
      </w:r>
      <w:r>
        <w:rPr>
          <w:i/>
          <w:lang w:val="en_US" w:bidi="en_US"/>
        </w:rPr>
        <w:t>because He has anointed Me</w:t>
      </w:r>
      <w:r>
        <w:rPr>
          <w:lang w:val="en_US" w:bidi="en_US"/>
        </w:rPr>
        <w:t xml:space="preserve"> refers back to 4:18a. The reason why the Lord’s Spirit was with the Messiah was that the Lord had anointed him. The Lord’s Spirit was with him to enable him to do the ministry described in 4:18–19.</w:t>
      </w:r>
    </w:p>
    <w:p>
      <w:pPr/>
      <w:r>
        <w:rPr>
          <w:lang w:val="en_US" w:bidi="en_US"/>
        </w:rPr>
      </w:r>
      <w:r>
        <w:rPr>
          <w:lang w:val="en_US" w:bidi="en_US"/>
        </w:rPr>
        <w:t>It is also possible to leave the connection between 4:18a and 4:18b implied. For example:</w:t>
      </w:r>
    </w:p>
    <w:p>
      <w:pPr/>
      <w:r>
        <w:rPr>
          <w:lang w:val="en_US" w:bidi="en_US"/>
        </w:rPr>
      </w:r>
      <w:r>
        <w:rPr>
          <w:vertAlign w:val="superscript"/>
          <w:lang w:val="en_US" w:bidi="en_US"/>
        </w:rPr>
        <w:t>18a</w:t>
      </w:r>
      <w:r>
        <w:rPr>
          <w:lang w:val="en_US" w:bidi="en_US"/>
        </w:rPr>
        <w:t xml:space="preserve">The Spirit of the Lord is with me. </w:t>
      </w:r>
      <w:r>
        <w:rPr>
          <w:vertAlign w:val="superscript"/>
          <w:lang w:val="en_US" w:bidi="en_US"/>
        </w:rPr>
        <w:t>18b</w:t>
      </w:r>
      <w:r>
        <w:rPr>
          <w:lang w:val="en_US" w:bidi="en_US"/>
        </w:rPr>
        <w:t>He has anointed me… (GW)</w:t>
      </w:r>
    </w:p>
    <w:p>
      <w:pPr/>
      <w:r>
        <w:rPr>
          <w:lang w:val="en_US" w:bidi="en_US"/>
        </w:rPr>
      </w:r>
      <w:r>
        <w:rPr>
          <w:b/>
          <w:lang w:val="en_US" w:bidi="en_US"/>
        </w:rPr>
        <w:t>He has anointed Me:</w:t>
      </w:r>
      <w:r>
        <w:rPr>
          <w:lang w:val="en_US" w:bidi="en_US"/>
        </w:rPr>
        <w:t xml:space="preserve"> The Greek verb that the BSB translates as </w:t>
      </w:r>
      <w:r>
        <w:rPr>
          <w:i/>
          <w:lang w:val="en_US" w:bidi="en_US"/>
        </w:rPr>
        <w:t>anointed</w:t>
      </w:r>
      <w:r>
        <w:rPr>
          <w:lang w:val="en_US" w:bidi="en_US"/>
        </w:rPr>
        <w:t xml:space="preserve"> means “poured oil on the head.” In Old Testament times, people poured oil on the head of someone to appoint him to a special task or role.</w:t>
      </w:r>
    </w:p>
    <w:p>
      <w:pPr/>
      <w:r>
        <w:rPr>
          <w:lang w:val="en_US" w:bidi="en_US"/>
        </w:rPr>
      </w:r>
      <w:r>
        <w:rPr>
          <w:lang w:val="en_US" w:bidi="en_US"/>
        </w:rPr>
        <w:t xml:space="preserve">Here the word </w:t>
      </w:r>
      <w:r>
        <w:rPr>
          <w:i/>
          <w:lang w:val="en_US" w:bidi="en_US"/>
        </w:rPr>
        <w:t>anointed</w:t>
      </w:r>
      <w:r>
        <w:rPr>
          <w:lang w:val="en_US" w:bidi="en_US"/>
        </w:rPr>
        <w:t xml:space="preserve"> has a figurative sense. It indicates that God had appointed the Messiah to do the things that are listed in 4:18–19. It does not indicate that God literally poured oil on the Messiah’s head. Some other ways to translate this clause are:</w:t>
      </w:r>
    </w:p>
    <w:p>
      <w:pPr/>
      <w:r>
        <w:rPr>
          <w:lang w:val="en_US" w:bidi="en_US"/>
        </w:rPr>
      </w:r>
      <w:r>
        <w:rPr>
          <w:lang w:val="en_US" w:bidi="en_US"/>
        </w:rPr>
        <w:t>he has appointed me (NLT96)</w:t>
      </w:r>
    </w:p>
    <w:p>
      <w:pPr/>
      <w:r>
        <w:rPr>
          <w:lang w:val="en_US" w:bidi="en_US"/>
        </w:rPr>
      </w:r>
      <w:r>
        <w:rPr>
          <w:lang w:val="en_US" w:bidi="en_US"/>
        </w:rPr>
        <w:t>he has chosen me (CEV)</w:t>
      </w:r>
    </w:p>
    <w:p>
      <w:pPr/>
      <w:r>
        <w:rPr>
          <w:lang w:val="en_US" w:bidi="en_US"/>
        </w:rPr>
      </w:r>
      <w:r>
        <w:rPr>
          <w:b/>
          <w:lang w:val="en_US" w:bidi="en_US"/>
        </w:rPr>
        <w:t>to preach good news to the poor:</w:t>
      </w:r>
      <w:r>
        <w:rPr>
          <w:lang w:val="en_US" w:bidi="en_US"/>
        </w:rPr>
        <w:t xml:space="preserve"> The expression </w:t>
      </w:r>
      <w:r>
        <w:rPr>
          <w:i/>
          <w:lang w:val="en_US" w:bidi="en_US"/>
        </w:rPr>
        <w:t>to preach good news</w:t>
      </w:r>
      <w:r>
        <w:rPr>
          <w:lang w:val="en_US" w:bidi="en_US"/>
        </w:rPr>
        <w:t xml:space="preserve"> is the translation of one Greek word. The Spirit of God had appointed the Messiah to tell poor people about the good things that God would do to help them.</w:t>
      </w:r>
    </w:p>
    <w:p>
      <w:pPr/>
      <w:r>
        <w:rPr>
          <w:lang w:val="en_US" w:bidi="en_US"/>
        </w:rPr>
      </w:r>
      <w:r>
        <w:rPr>
          <w:lang w:val="en_US" w:bidi="en_US"/>
        </w:rPr>
        <w:t>Some other ways to translate this phrase are:</w:t>
      </w:r>
    </w:p>
    <w:p>
      <w:pPr/>
      <w:r>
        <w:rPr>
          <w:lang w:val="en_US" w:bidi="en_US"/>
        </w:rPr>
      </w:r>
      <w:r>
        <w:rPr>
          <w:lang w:val="en_US" w:bidi="en_US"/>
        </w:rPr>
        <w:t>to tell the Good News to the poor (GW)</w:t>
      </w:r>
    </w:p>
    <w:p>
      <w:pPr/>
      <w:r>
        <w:rPr>
          <w:lang w:val="en_US" w:bidi="en_US"/>
        </w:rPr>
      </w:r>
      <w:r>
        <w:rPr>
          <w:lang w:val="en_US" w:bidi="en_US"/>
        </w:rPr>
        <w:t>to bring Good News to the poor (NLT)</w:t>
      </w:r>
    </w:p>
    <w:p>
      <w:pPr/>
      <w:r>
        <w:rPr>
          <w:lang w:val="en_US" w:bidi="en_US"/>
        </w:rPr>
      </w:r>
      <w:r>
        <w:rPr>
          <w:lang w:val="en_US" w:bidi="en_US"/>
        </w:rPr>
        <w:t xml:space="preserve">to announce to poor people the message </w:t>
      </w:r>
      <w:r>
        <w:rPr>
          <w:lang w:val="en_US" w:bidi="en_US"/>
        </w:rPr>
        <w:t>from God</w:t>
      </w:r>
      <w:r>
        <w:rPr>
          <w:lang w:val="en_US" w:bidi="en_US"/>
        </w:rPr>
        <w:t xml:space="preserve"> that causes joy</w:t>
      </w:r>
    </w:p>
    <w:p>
      <w:pPr/>
      <w:r>
        <w:rPr>
          <w:lang w:val="en_US" w:bidi="en_US"/>
        </w:rPr>
      </w:r>
      <w:r>
        <w:rPr>
          <w:lang w:val="en_US" w:bidi="en_US"/>
        </w:rPr>
        <w:t>Be sure that the term you choose does not refer only to a news report or to a story that is not true.</w:t>
      </w:r>
    </w:p>
    <w:p>
      <w:pPr/>
      <w:r>
        <w:rPr>
          <w:lang w:val="en_US" w:bidi="en_US"/>
        </w:rPr>
      </w:r>
      <w:r>
        <w:rPr>
          <w:lang w:val="en_US" w:bidi="en_US"/>
        </w:rPr>
        <w:t>This word also occurs in 1:19b, 2:10b, and 3:18b.</w:t>
      </w:r>
    </w:p>
    <w:p>
      <w:pPr/>
      <w:r>
        <w:rPr>
          <w:lang w:val="en_US" w:bidi="en_US"/>
        </w:rPr>
      </w:r>
      <w:r>
        <w:rPr>
          <w:b/>
          <w:lang w:val="en_US" w:bidi="en_US"/>
        </w:rPr>
        <w:t>the poor:</w:t>
      </w:r>
      <w:r>
        <w:rPr>
          <w:lang w:val="en_US" w:bidi="en_US"/>
        </w:rPr>
        <w:t xml:space="preserve"> The Greek phrase that the BSB translates as </w:t>
      </w:r>
      <w:r>
        <w:rPr>
          <w:i/>
          <w:lang w:val="en_US" w:bidi="en_US"/>
        </w:rPr>
        <w:t>the poor</w:t>
      </w:r>
      <w:r>
        <w:rPr>
          <w:lang w:val="en_US" w:bidi="en_US"/>
        </w:rPr>
        <w:t xml:space="preserve"> refers to people who do not have enough food or other things that they need, such as clothing or shelter.</w:t>
      </w:r>
    </w:p>
    <w:p>
      <w:pPr>
        <w:pStyle w:val="Heading5"/>
      </w:pPr>
      <w:r>
        <w:rPr>
          <w:lang w:val="en_US" w:bidi="en_US"/>
        </w:rPr>
        <w:t>4:18c</w:t>
      </w:r>
    </w:p>
    <w:p>
      <w:pPr/>
      <w:r>
        <w:rPr>
          <w:lang w:val="en_US" w:bidi="en_US"/>
        </w:rPr>
      </w:r>
      <w:r>
        <w:rPr>
          <w:b/>
          <w:lang w:val="en_US" w:bidi="en_US"/>
        </w:rPr>
        <w:t>He has sent Me to proclaim liberty to the captives</w:t>
      </w:r>
    </w:p>
    <w:p>
      <w:pPr>
        <w:pStyle w:val="ListBullet"/>
        <w:spacing w:line="240" w:lineRule="auto"/>
        <w:ind w:left="720"/>
      </w:pPr>
      <w:r>
        <w:rPr>
          <w:lang w:val="en_US" w:bidi="en_US"/>
        </w:rPr>
      </w:r>
      <w:r>
        <w:rPr>
          <w:lang w:val="en_US" w:bidi="en_US"/>
        </w:rPr>
        <w:t>He has sent me to declare freedom to prisoners/captives</w:t>
      </w:r>
    </w:p>
    <w:p>
      <w:pPr>
        <w:pStyle w:val="ListBullet"/>
        <w:spacing w:line="240" w:lineRule="auto"/>
        <w:ind w:left="720"/>
      </w:pPr>
      <w:r>
        <w:rPr>
          <w:lang w:val="en_US" w:bidi="en_US"/>
        </w:rPr>
      </w:r>
      <w:r>
        <w:rPr>
          <w:lang w:val="en_US" w:bidi="en_US"/>
        </w:rPr>
        <w:t>He has sent me to tell the captives that they will be freed</w:t>
      </w:r>
    </w:p>
    <w:p>
      <w:pPr/>
      <w:r>
        <w:rPr>
          <w:lang w:val="en_US" w:bidi="en_US"/>
        </w:rPr>
      </w:r>
      <w:r>
        <w:rPr>
          <w:b/>
          <w:lang w:val="en_US" w:bidi="en_US"/>
        </w:rPr>
        <w:t>He has sent Me to proclaim liberty to the captives:</w:t>
      </w:r>
      <w:r>
        <w:rPr>
          <w:lang w:val="en_US" w:bidi="en_US"/>
        </w:rPr>
        <w:t xml:space="preserve"> The clause </w:t>
      </w:r>
      <w:r>
        <w:rPr>
          <w:i/>
          <w:lang w:val="en_US" w:bidi="en_US"/>
        </w:rPr>
        <w:t>He has sent Me to proclaim liberty to the captives</w:t>
      </w:r>
      <w:r>
        <w:rPr>
          <w:lang w:val="en_US" w:bidi="en_US"/>
        </w:rPr>
        <w:t xml:space="preserve"> means that God had sent the Messiah to announce to people who were captives that they would be set free. Another way to translate this is:</w:t>
      </w:r>
    </w:p>
    <w:p>
      <w:pPr/>
      <w:r>
        <w:rPr>
          <w:lang w:val="en_US" w:bidi="en_US"/>
        </w:rPr>
      </w:r>
      <w:r>
        <w:rPr>
          <w:lang w:val="en_US" w:bidi="en_US"/>
        </w:rPr>
        <w:t>He has sent me to proclaim that captives will be released (NLT)</w:t>
      </w:r>
    </w:p>
    <w:p>
      <w:pPr/>
      <w:r>
        <w:rPr>
          <w:lang w:val="en_US" w:bidi="en_US"/>
        </w:rPr>
      </w:r>
      <w:r>
        <w:rPr>
          <w:b/>
          <w:lang w:val="en_US" w:bidi="en_US"/>
        </w:rPr>
        <w:t>proclaim liberty to the captives:</w:t>
      </w:r>
      <w:r>
        <w:rPr>
          <w:lang w:val="en_US" w:bidi="en_US"/>
        </w:rPr>
        <w:t xml:space="preserve"> The word </w:t>
      </w:r>
      <w:r>
        <w:rPr>
          <w:i/>
          <w:lang w:val="en_US" w:bidi="en_US"/>
        </w:rPr>
        <w:t>proclaim</w:t>
      </w:r>
      <w:r>
        <w:rPr>
          <w:lang w:val="en_US" w:bidi="en_US"/>
        </w:rPr>
        <w:t xml:space="preserve"> means “to announce, to tell, to send out news about something.” The phrase </w:t>
      </w:r>
      <w:r>
        <w:rPr>
          <w:i/>
          <w:lang w:val="en_US" w:bidi="en_US"/>
        </w:rPr>
        <w:t>proclaim liberty to the captives</w:t>
      </w:r>
      <w:r>
        <w:rPr>
          <w:lang w:val="en_US" w:bidi="en_US"/>
        </w:rPr>
        <w:t xml:space="preserve"> means to tell prisoners/captives that there is freedom for them. The captives will be released and liberated.</w:t>
      </w:r>
    </w:p>
    <w:p>
      <w:pPr/>
      <w:r>
        <w:rPr>
          <w:lang w:val="en_US" w:bidi="en_US"/>
        </w:rPr>
      </w:r>
      <w:r>
        <w:rPr>
          <w:lang w:val="en_US" w:bidi="en_US"/>
        </w:rPr>
        <w:t xml:space="preserve">In some languages, it may be necessary to translate </w:t>
      </w:r>
      <w:r>
        <w:rPr>
          <w:i/>
          <w:lang w:val="en_US" w:bidi="en_US"/>
        </w:rPr>
        <w:t>liberty</w:t>
      </w:r>
      <w:r>
        <w:rPr>
          <w:lang w:val="en_US" w:bidi="en_US"/>
        </w:rPr>
        <w:t xml:space="preserve"> as a verb or adjective. For example:</w:t>
      </w:r>
    </w:p>
    <w:p>
      <w:pPr/>
      <w:r>
        <w:rPr>
          <w:lang w:val="en_US" w:bidi="en_US"/>
        </w:rPr>
      </w:r>
      <w:r>
        <w:rPr>
          <w:lang w:val="en_US" w:bidi="en_US"/>
        </w:rPr>
        <w:t>to tell the captives that they are free (NCV)</w:t>
      </w:r>
    </w:p>
    <w:p>
      <w:pPr/>
      <w:r>
        <w:rPr>
          <w:lang w:val="en_US" w:bidi="en_US"/>
        </w:rPr>
      </w:r>
      <w:r>
        <w:rPr>
          <w:lang w:val="en_US" w:bidi="en_US"/>
        </w:rPr>
        <w:t xml:space="preserve">The Greek word that the BSB here translates as </w:t>
      </w:r>
      <w:r>
        <w:rPr>
          <w:i/>
          <w:lang w:val="en_US" w:bidi="en_US"/>
        </w:rPr>
        <w:t>liberty</w:t>
      </w:r>
      <w:r>
        <w:rPr>
          <w:lang w:val="en_US" w:bidi="en_US"/>
        </w:rPr>
        <w:t xml:space="preserve"> often means “forgiveness.” So here </w:t>
      </w:r>
      <w:r>
        <w:rPr>
          <w:i/>
          <w:lang w:val="en_US" w:bidi="en_US"/>
        </w:rPr>
        <w:t>liberty</w:t>
      </w:r>
      <w:r>
        <w:rPr>
          <w:lang w:val="en_US" w:bidi="en_US"/>
        </w:rPr>
        <w:t xml:space="preserve"> could also have a spiritual sense. It could mean that the Messiah/Christ will proclaim that he offers forgiveness to those who are captive to sin. For example:</w:t>
      </w:r>
    </w:p>
    <w:p>
      <w:pPr/>
      <w:r>
        <w:rPr>
          <w:lang w:val="en_US" w:bidi="en_US"/>
        </w:rPr>
      </w:r>
      <w:r>
        <w:rPr>
          <w:lang w:val="en_US" w:bidi="en_US"/>
        </w:rPr>
        <w:t>to announce forgiveness to the prisoners of sin (GW)</w:t>
      </w:r>
    </w:p>
    <w:p>
      <w:pPr/>
      <w:r>
        <w:rPr>
          <w:lang w:val="en_US" w:bidi="en_US"/>
        </w:rPr>
      </w:r>
      <w:r>
        <w:rPr>
          <w:b/>
          <w:lang w:val="en_US" w:bidi="en_US"/>
        </w:rPr>
        <w:t>the captives:</w:t>
      </w:r>
      <w:r>
        <w:rPr>
          <w:lang w:val="en_US" w:bidi="en_US"/>
        </w:rPr>
        <w:t xml:space="preserve"> The word that the BSB translates as </w:t>
      </w:r>
      <w:r>
        <w:rPr>
          <w:i/>
          <w:lang w:val="en_US" w:bidi="en_US"/>
        </w:rPr>
        <w:t>captives</w:t>
      </w:r>
      <w:r>
        <w:rPr>
          <w:lang w:val="en_US" w:bidi="en_US"/>
        </w:rPr>
        <w:t xml:space="preserve"> refers to people who are “prisoners of war.” They are captured during a war and taken to another country. For this reason, while many English versions translate this word as “prisoners,” many others, like the BSB, translate it as “captives.” This word does not refer to people who are in prison because they have committed a crime. Another way to translate this is:</w:t>
      </w:r>
    </w:p>
    <w:p>
      <w:pPr/>
      <w:r>
        <w:rPr>
          <w:lang w:val="en_US" w:bidi="en_US"/>
        </w:rPr>
      </w:r>
      <w:r>
        <w:rPr>
          <w:lang w:val="en_US" w:bidi="en_US"/>
        </w:rPr>
        <w:t>people who are being held captive</w:t>
      </w:r>
    </w:p>
    <w:p>
      <w:pPr/>
      <w:r>
        <w:rPr>
          <w:lang w:val="en_US" w:bidi="en_US"/>
        </w:rPr>
      </w:r>
      <w:r>
        <w:rPr>
          <w:lang w:val="en_US" w:bidi="en_US"/>
        </w:rPr>
        <w:t xml:space="preserve">The word </w:t>
      </w:r>
      <w:r>
        <w:rPr>
          <w:i/>
          <w:lang w:val="en_US" w:bidi="en_US"/>
        </w:rPr>
        <w:t>captives</w:t>
      </w:r>
      <w:r>
        <w:rPr>
          <w:lang w:val="en_US" w:bidi="en_US"/>
        </w:rPr>
        <w:t xml:space="preserve"> can also refer to people who are “prisoners to sin.” See the example above from the GW.</w:t>
      </w:r>
    </w:p>
    <w:p>
      <w:pPr/>
      <w:r>
        <w:rPr>
          <w:lang w:val="en_US" w:bidi="en_US"/>
        </w:rPr>
      </w:r>
      <w:r>
        <w:rPr>
          <w:lang w:val="en_US" w:bidi="en_US"/>
        </w:rPr>
        <w:t>If you have several words for “prisoner,” try to choose a term that can refer to captives of both types: prisoners of war and prisoners of sin.</w:t>
      </w:r>
    </w:p>
    <w:p>
      <w:pPr>
        <w:pStyle w:val="Heading5"/>
      </w:pPr>
      <w:r>
        <w:rPr>
          <w:lang w:val="en_US" w:bidi="en_US"/>
        </w:rPr>
        <w:t>4:18d</w:t>
      </w:r>
    </w:p>
    <w:p>
      <w:pPr/>
      <w:r>
        <w:rPr>
          <w:lang w:val="en_US" w:bidi="en_US"/>
        </w:rPr>
      </w:r>
      <w:r>
        <w:rPr>
          <w:b/>
          <w:lang w:val="en_US" w:bidi="en_US"/>
        </w:rPr>
        <w:t>and recovery of sight to the blind,</w:t>
      </w:r>
    </w:p>
    <w:p>
      <w:pPr>
        <w:pStyle w:val="ListBullet"/>
        <w:spacing w:line="240" w:lineRule="auto"/>
        <w:ind w:left="720"/>
      </w:pPr>
      <w:r>
        <w:rPr>
          <w:lang w:val="en_US" w:bidi="en_US"/>
        </w:rPr>
      </w:r>
      <w:r>
        <w:rPr>
          <w:lang w:val="en_US" w:bidi="en_US"/>
        </w:rPr>
        <w:t xml:space="preserve">and restoring of sight to blind </w:t>
      </w:r>
      <w:r>
        <w:rPr>
          <w:lang w:val="en_US" w:bidi="en_US"/>
        </w:rPr>
        <w:t>people</w:t>
      </w:r>
      <w:r>
        <w:rPr>
          <w:lang w:val="en_US" w:bidi="en_US"/>
        </w:rPr>
        <w:t>,</w:t>
      </w:r>
    </w:p>
    <w:p>
      <w:pPr>
        <w:pStyle w:val="ListBullet"/>
        <w:spacing w:line="240" w:lineRule="auto"/>
        <w:ind w:left="720"/>
      </w:pPr>
      <w:r>
        <w:rPr>
          <w:lang w:val="en_US" w:bidi="en_US"/>
        </w:rPr>
      </w:r>
      <w:r>
        <w:rPr>
          <w:lang w:val="en_US" w:bidi="en_US"/>
        </w:rPr>
        <w:t>and to tell the blind that they will be able to see again.</w:t>
      </w:r>
    </w:p>
    <w:p>
      <w:pPr/>
      <w:r>
        <w:rPr>
          <w:lang w:val="en_US" w:bidi="en_US"/>
        </w:rPr>
      </w:r>
      <w:r>
        <w:rPr>
          <w:lang w:val="en_US" w:bidi="en_US"/>
        </w:rPr>
        <w:t>This verse tells the second thing that God had sent the Messiah to proclaim. In some languages it may be necessary to repeat the verb “sent” from 4:18c. For example:</w:t>
      </w:r>
    </w:p>
    <w:p>
      <w:pPr/>
      <w:r>
        <w:rPr>
          <w:lang w:val="en_US" w:bidi="en_US"/>
        </w:rPr>
      </w:r>
      <w:r>
        <w:rPr>
          <w:lang w:val="en_US" w:bidi="en_US"/>
        </w:rPr>
        <w:t xml:space="preserve">and </w:t>
      </w:r>
      <w:r>
        <w:rPr>
          <w:lang w:val="en_US" w:bidi="en_US"/>
        </w:rPr>
        <w:t>he sent me</w:t>
      </w:r>
      <w:r>
        <w:rPr>
          <w:lang w:val="en_US" w:bidi="en_US"/>
        </w:rPr>
        <w:t xml:space="preserve"> </w:t>
      </w:r>
      <w:r>
        <w:rPr>
          <w:lang w:val="en_US" w:bidi="en_US"/>
        </w:rPr>
        <w:t>to declare/announce</w:t>
      </w:r>
      <w:r>
        <w:rPr>
          <w:lang w:val="en_US" w:bidi="en_US"/>
        </w:rPr>
        <w:t xml:space="preserve"> recovery of sight for the blind</w:t>
      </w:r>
    </w:p>
    <w:p>
      <w:pPr/>
      <w:r>
        <w:rPr>
          <w:lang w:val="en_US" w:bidi="en_US"/>
        </w:rPr>
      </w:r>
      <w:r>
        <w:rPr>
          <w:b/>
          <w:lang w:val="en_US" w:bidi="en_US"/>
        </w:rPr>
        <w:t>and recovery of sight to the blind:</w:t>
      </w:r>
      <w:r>
        <w:rPr>
          <w:lang w:val="en_US" w:bidi="en_US"/>
        </w:rPr>
        <w:t xml:space="preserve"> The clause </w:t>
      </w:r>
      <w:r>
        <w:rPr>
          <w:i/>
          <w:lang w:val="en_US" w:bidi="en_US"/>
        </w:rPr>
        <w:t>recovery of sight to the blind</w:t>
      </w:r>
      <w:r>
        <w:rPr>
          <w:lang w:val="en_US" w:bidi="en_US"/>
        </w:rPr>
        <w:t xml:space="preserve"> indicates here that the Messiah would cause blind people to see again.</w:t>
      </w:r>
    </w:p>
    <w:p>
      <w:pPr/>
      <w:r>
        <w:rPr>
          <w:lang w:val="en_US" w:bidi="en_US"/>
        </w:rPr>
      </w:r>
      <w:r>
        <w:rPr>
          <w:lang w:val="en_US" w:bidi="en_US"/>
        </w:rPr>
        <w:t xml:space="preserve">In some languages, it may be natural to use verbs instead of the nouns </w:t>
      </w:r>
      <w:r>
        <w:rPr>
          <w:i/>
          <w:lang w:val="en_US" w:bidi="en_US"/>
        </w:rPr>
        <w:t>recovery</w:t>
      </w:r>
      <w:r>
        <w:rPr>
          <w:lang w:val="en_US" w:bidi="en_US"/>
        </w:rPr>
        <w:t xml:space="preserve"> and </w:t>
      </w:r>
      <w:r>
        <w:rPr>
          <w:i/>
          <w:lang w:val="en_US" w:bidi="en_US"/>
        </w:rPr>
        <w:t>sight</w:t>
      </w:r>
      <w:r>
        <w:rPr>
          <w:lang w:val="en_US" w:bidi="en_US"/>
        </w:rPr>
        <w:t>. For example:</w:t>
      </w:r>
    </w:p>
    <w:p>
      <w:pPr/>
      <w:r>
        <w:rPr>
          <w:lang w:val="en_US" w:bidi="en_US"/>
        </w:rPr>
      </w:r>
      <w:r>
        <w:rPr>
          <w:lang w:val="en_US" w:bidi="en_US"/>
        </w:rPr>
        <w:t>and to tell the blind that they can see again (NCV)</w:t>
      </w:r>
    </w:p>
    <w:p>
      <w:pPr/>
      <w:r>
        <w:rPr>
          <w:lang w:val="en_US" w:bidi="en_US"/>
        </w:rPr>
      </w:r>
      <w:r>
        <w:rPr>
          <w:b/>
          <w:lang w:val="en_US" w:bidi="en_US"/>
        </w:rPr>
        <w:t>recovery of sight:</w:t>
      </w:r>
      <w:r>
        <w:rPr>
          <w:lang w:val="en_US" w:bidi="en_US"/>
        </w:rPr>
        <w:t xml:space="preserve"> The Greek phrase that the BSB translates as </w:t>
      </w:r>
      <w:r>
        <w:rPr>
          <w:i/>
          <w:lang w:val="en_US" w:bidi="en_US"/>
        </w:rPr>
        <w:t>recovery of sight</w:t>
      </w:r>
      <w:r>
        <w:rPr>
          <w:lang w:val="en_US" w:bidi="en_US"/>
        </w:rPr>
        <w:t xml:space="preserve"> implies that these blind people had once been able to see and had become blind. Now the Messiah would cause them to see again.</w:t>
      </w:r>
    </w:p>
    <w:p>
      <w:pPr>
        <w:pStyle w:val="Heading5"/>
      </w:pPr>
      <w:r>
        <w:rPr>
          <w:lang w:val="en_US" w:bidi="en_US"/>
        </w:rPr>
        <w:t>4:18e</w:t>
      </w:r>
    </w:p>
    <w:p>
      <w:pPr/>
      <w:r>
        <w:rPr>
          <w:lang w:val="en_US" w:bidi="en_US"/>
        </w:rPr>
      </w:r>
      <w:r>
        <w:rPr>
          <w:b/>
          <w:lang w:val="en_US" w:bidi="en_US"/>
        </w:rPr>
        <w:t>to release the oppressed,</w:t>
      </w:r>
    </w:p>
    <w:p>
      <w:pPr>
        <w:pStyle w:val="ListBullet"/>
        <w:spacing w:line="240" w:lineRule="auto"/>
        <w:ind w:left="720"/>
      </w:pPr>
      <w:r>
        <w:rPr>
          <w:lang w:val="en_US" w:bidi="en_US"/>
        </w:rPr>
      </w:r>
      <w:r>
        <w:rPr>
          <w:lang w:val="en_US" w:bidi="en_US"/>
        </w:rPr>
        <w:t>and</w:t>
      </w:r>
      <w:r>
        <w:rPr>
          <w:lang w:val="en_US" w:bidi="en_US"/>
        </w:rPr>
        <w:t xml:space="preserve"> to release people who are crushed/broken,</w:t>
      </w:r>
    </w:p>
    <w:p>
      <w:pPr>
        <w:pStyle w:val="ListBullet"/>
        <w:spacing w:line="240" w:lineRule="auto"/>
        <w:ind w:left="720"/>
      </w:pPr>
      <w:r>
        <w:rPr>
          <w:lang w:val="en_US" w:bidi="en_US"/>
        </w:rPr>
      </w:r>
      <w:r>
        <w:rPr>
          <w:lang w:val="en_US" w:bidi="en_US"/>
        </w:rPr>
        <w:t>The Lord has also sent me</w:t>
      </w:r>
      <w:r>
        <w:rPr>
          <w:lang w:val="en_US" w:bidi="en_US"/>
        </w:rPr>
        <w:t xml:space="preserve"> to free the people who are suffering oppression.</w:t>
      </w:r>
    </w:p>
    <w:p>
      <w:pPr>
        <w:pStyle w:val="ListBullet"/>
        <w:spacing w:line="240" w:lineRule="auto"/>
        <w:ind w:left="720"/>
      </w:pPr>
      <w:r>
        <w:rPr>
          <w:lang w:val="en_US" w:bidi="en_US"/>
        </w:rPr>
      </w:r>
      <w:r>
        <w:rPr>
          <w:lang w:val="en_US" w:bidi="en_US"/>
        </w:rPr>
        <w:t>God sent me to free those who have been treated unfairly (NCV)</w:t>
      </w:r>
    </w:p>
    <w:p>
      <w:pPr/>
      <w:r>
        <w:rPr>
          <w:lang w:val="en_US" w:bidi="en_US"/>
        </w:rPr>
      </w:r>
      <w:r>
        <w:rPr>
          <w:lang w:val="en_US" w:bidi="en_US"/>
        </w:rPr>
        <w:t>This verse tells the third thing that God had sent the Messiah to proclaim. In some languages it may be necessary to repeat the verb “sent” from 4:18c. For example:</w:t>
      </w:r>
    </w:p>
    <w:p>
      <w:pPr/>
      <w:r>
        <w:rPr>
          <w:lang w:val="en_US" w:bidi="en_US"/>
        </w:rPr>
      </w:r>
      <w:r>
        <w:rPr>
          <w:lang w:val="en_US" w:bidi="en_US"/>
        </w:rPr>
        <w:t>He has sent me</w:t>
      </w:r>
      <w:r>
        <w:rPr>
          <w:lang w:val="en_US" w:bidi="en_US"/>
        </w:rPr>
        <w:t xml:space="preserve"> to release the oppressed</w:t>
      </w:r>
    </w:p>
    <w:p>
      <w:pPr/>
      <w:r>
        <w:rPr>
          <w:lang w:val="en_US" w:bidi="en_US"/>
        </w:rPr>
      </w:r>
      <w:r>
        <w:rPr>
          <w:b/>
          <w:lang w:val="en_US" w:bidi="en_US"/>
        </w:rPr>
        <w:t>to release:</w:t>
      </w:r>
      <w:r>
        <w:rPr>
          <w:lang w:val="en_US" w:bidi="en_US"/>
        </w:rPr>
        <w:t xml:space="preserve"> The Greek phrase that the BSB translates as </w:t>
      </w:r>
      <w:r>
        <w:rPr>
          <w:i/>
          <w:lang w:val="en_US" w:bidi="en_US"/>
        </w:rPr>
        <w:t>to release</w:t>
      </w:r>
      <w:r>
        <w:rPr>
          <w:lang w:val="en_US" w:bidi="en_US"/>
        </w:rPr>
        <w:t xml:space="preserve"> is literally “send into freedom.” So it is possible to translate this phrase as “to free.” For example:</w:t>
      </w:r>
    </w:p>
    <w:p>
      <w:pPr/>
      <w:r>
        <w:rPr>
          <w:lang w:val="en_US" w:bidi="en_US"/>
        </w:rPr>
      </w:r>
      <w:r>
        <w:rPr>
          <w:lang w:val="en_US" w:bidi="en_US"/>
        </w:rPr>
        <w:t>to free (NCV)</w:t>
      </w:r>
    </w:p>
    <w:p>
      <w:pPr/>
      <w:r>
        <w:rPr>
          <w:lang w:val="en_US" w:bidi="en_US"/>
        </w:rPr>
      </w:r>
      <w:r>
        <w:rPr>
          <w:b/>
          <w:lang w:val="en_US" w:bidi="en_US"/>
        </w:rPr>
        <w:t>the oppressed:</w:t>
      </w:r>
      <w:r>
        <w:rPr>
          <w:lang w:val="en_US" w:bidi="en_US"/>
        </w:rPr>
        <w:t xml:space="preserve"> The Greek word that the BSB translates as </w:t>
      </w:r>
      <w:r>
        <w:rPr>
          <w:i/>
          <w:lang w:val="en_US" w:bidi="en_US"/>
        </w:rPr>
        <w:t>oppressed</w:t>
      </w:r>
      <w:r>
        <w:rPr>
          <w:lang w:val="en_US" w:bidi="en_US"/>
        </w:rPr>
        <w:t xml:space="preserve"> is literally “crushed” or “broken.” This refers to people whom others had mistreated and hurt. Some other ways to translate this are:</w:t>
      </w:r>
    </w:p>
    <w:p>
      <w:pPr/>
      <w:r>
        <w:rPr>
          <w:lang w:val="en_US" w:bidi="en_US"/>
        </w:rPr>
      </w:r>
      <w:r>
        <w:rPr>
          <w:lang w:val="en_US" w:bidi="en_US"/>
        </w:rPr>
        <w:t>broken victims (REB)</w:t>
      </w:r>
    </w:p>
    <w:p>
      <w:pPr/>
      <w:r>
        <w:rPr>
          <w:lang w:val="en_US" w:bidi="en_US"/>
        </w:rPr>
      </w:r>
      <w:r>
        <w:rPr>
          <w:lang w:val="en_US" w:bidi="en_US"/>
        </w:rPr>
        <w:t>those who have been treated unfairly (NCV)</w:t>
      </w:r>
    </w:p>
    <w:p>
      <w:pPr/>
      <w:r>
        <w:rPr>
          <w:lang w:val="en_US" w:bidi="en_US"/>
        </w:rPr>
      </w:r>
      <w:r>
        <w:rPr>
          <w:lang w:val="en_US" w:bidi="en_US"/>
        </w:rPr>
        <w:t>everyone who suffers (CEV)</w:t>
      </w:r>
      <w:r>
        <w:rPr>
          <w:lang w:val="en_US" w:bidi="en_US"/>
        </w:rPr>
      </w:r>
      <w:r>
        <w:rPr>
          <w:lang w:val="en_US" w:bidi="en_US"/>
        </w:rPr>
      </w:r>
    </w:p>
    <w:p>
      <w:pPr/>
      <w:r>
        <w:rPr>
          <w:lang w:val="en_US" w:bidi="en_US"/>
        </w:rPr>
      </w:r>
    </w:p>
    <w:p>
      <w:pPr>
        <w:pStyle w:val="Heading2"/>
      </w:pPr>
      <w:r>
        <w:rPr>
          <w:lang w:val="en_US" w:bidi="en_US"/>
        </w:rPr>
        <w:t>Luke 4:19</w:t>
      </w:r>
      <w:r>
        <w:rPr>
          <w:lang w:val="en_US" w:bidi="en_US"/>
        </w:rPr>
      </w:r>
    </w:p>
    <w:p>
      <w:pPr>
        <w:pStyle w:val="Heading4"/>
      </w:pPr>
      <w:r>
        <w:rPr>
          <w:lang w:val="en_US" w:bidi="en_US"/>
        </w:rPr>
        <w:t>Section 4:14–30: The people rejected Jesus at Nazareth</w:t>
      </w:r>
    </w:p>
    <w:p>
      <w:pPr/>
      <w:r>
        <w:rPr>
          <w:lang w:val="en_US" w:bidi="en_US"/>
        </w:rPr>
      </w:r>
      <w:r>
        <w:rPr>
          <w:lang w:val="en_US" w:bidi="en_US"/>
        </w:rP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pPr/>
      <w:r>
        <w:rPr>
          <w:lang w:val="en_US" w:bidi="en_US"/>
        </w:rPr>
      </w:r>
      <w:r>
        <w:rPr>
          <w:lang w:val="en_US" w:bidi="en_US"/>
        </w:rPr>
        <w:t>Some other possible headings for this section are:</w:t>
      </w:r>
    </w:p>
    <w:p>
      <w:pPr/>
      <w:r>
        <w:rPr>
          <w:lang w:val="en_US" w:bidi="en_US"/>
        </w:rPr>
      </w:r>
      <w:r>
        <w:rPr>
          <w:lang w:val="en_US" w:bidi="en_US"/>
        </w:rPr>
        <w:t>The People of Nazareth Turn against Jesus (CEV)</w:t>
      </w:r>
    </w:p>
    <w:p>
      <w:pPr/>
      <w:r>
        <w:rPr>
          <w:lang w:val="en_US" w:bidi="en_US"/>
        </w:rPr>
      </w:r>
      <w:r>
        <w:rPr>
          <w:lang w:val="en_US" w:bidi="en_US"/>
        </w:rPr>
        <w:t>Jesus Rejected at Nazareth (ESV)</w:t>
      </w:r>
    </w:p>
    <w:p>
      <w:pPr/>
      <w:r>
        <w:rPr>
          <w:lang w:val="en_US" w:bidi="en_US"/>
        </w:rPr>
      </w:r>
      <w:r>
        <w:rPr>
          <w:lang w:val="en_US" w:bidi="en_US"/>
        </w:rPr>
        <w:t>There is a parallel passage for this section in Mark 6:1–6.</w:t>
      </w:r>
    </w:p>
    <w:p>
      <w:pPr>
        <w:pStyle w:val="Heading5"/>
      </w:pPr>
      <w:r>
        <w:rPr>
          <w:lang w:val="en_US" w:bidi="en_US"/>
        </w:rPr>
        <w:t>4:19</w:t>
      </w:r>
    </w:p>
    <w:p>
      <w:pPr/>
      <w:r>
        <w:rPr>
          <w:lang w:val="en_US" w:bidi="en_US"/>
        </w:rPr>
      </w:r>
      <w:r>
        <w:rPr>
          <w:b/>
          <w:lang w:val="en_US" w:bidi="en_US"/>
        </w:rPr>
        <w:t>to proclaim the year of the Lord’s favor.”</w:t>
      </w:r>
    </w:p>
    <w:p>
      <w:pPr>
        <w:pStyle w:val="ListBullet"/>
        <w:spacing w:line="240" w:lineRule="auto"/>
        <w:ind w:left="720"/>
      </w:pPr>
      <w:r>
        <w:rPr>
          <w:lang w:val="en_US" w:bidi="en_US"/>
        </w:rPr>
      </w:r>
      <w:r>
        <w:rPr>
          <w:lang w:val="en_US" w:bidi="en_US"/>
        </w:rPr>
        <w:t xml:space="preserve">and to announce </w:t>
      </w:r>
      <w:r>
        <w:rPr>
          <w:lang w:val="en_US" w:bidi="en_US"/>
        </w:rPr>
        <w:t>that this is</w:t>
      </w:r>
      <w:r>
        <w:rPr>
          <w:lang w:val="en_US" w:bidi="en_US"/>
        </w:rPr>
        <w:t xml:space="preserve"> the time when the Lord will be gracious/kind </w:t>
      </w:r>
      <w:r>
        <w:rPr>
          <w:lang w:val="en_US" w:bidi="en_US"/>
        </w:rPr>
        <w:t>to his people</w:t>
      </w:r>
      <w:r>
        <w:rPr>
          <w:lang w:val="en_US" w:bidi="en_US"/>
        </w:rPr>
        <w:t>.”</w:t>
      </w:r>
    </w:p>
    <w:p>
      <w:pPr>
        <w:pStyle w:val="ListBullet"/>
        <w:spacing w:line="240" w:lineRule="auto"/>
        <w:ind w:left="720"/>
      </w:pPr>
      <w:r>
        <w:rPr>
          <w:lang w:val="en_US" w:bidi="en_US"/>
        </w:rPr>
      </w:r>
      <w:r>
        <w:rPr>
          <w:lang w:val="en_US" w:bidi="en_US"/>
        </w:rPr>
        <w:t>He has sent me</w:t>
      </w:r>
      <w:r>
        <w:rPr>
          <w:lang w:val="en_US" w:bidi="en_US"/>
        </w:rPr>
        <w:t xml:space="preserve"> to announce that now is the time when he will show favor/kindness </w:t>
      </w:r>
      <w:r>
        <w:rPr>
          <w:lang w:val="en_US" w:bidi="en_US"/>
        </w:rPr>
        <w:t>to people</w:t>
      </w:r>
      <w:r>
        <w:rPr>
          <w:lang w:val="en_US" w:bidi="en_US"/>
        </w:rPr>
        <w:t>.”</w:t>
      </w:r>
    </w:p>
    <w:p>
      <w:pPr>
        <w:pStyle w:val="ListBullet"/>
        <w:spacing w:line="240" w:lineRule="auto"/>
        <w:ind w:left="720"/>
      </w:pPr>
      <w:r>
        <w:rPr>
          <w:lang w:val="en_US" w:bidi="en_US"/>
        </w:rPr>
      </w:r>
      <w:r>
        <w:rPr>
          <w:lang w:val="en_US" w:bidi="en_US"/>
        </w:rPr>
        <w:t xml:space="preserve">and to announce that this is the year that the Lord </w:t>
      </w:r>
      <w:r>
        <w:rPr>
          <w:lang w:val="en_US" w:bidi="en_US"/>
        </w:rPr>
        <w:t>has planned</w:t>
      </w:r>
      <w:r>
        <w:rPr>
          <w:lang w:val="en_US" w:bidi="en_US"/>
        </w:rPr>
        <w:t xml:space="preserve"> to show his gracious </w:t>
      </w:r>
      <w:r>
        <w:rPr>
          <w:lang w:val="en_US" w:bidi="en_US"/>
        </w:rPr>
        <w:t>salvation</w:t>
      </w:r>
      <w:r>
        <w:rPr>
          <w:lang w:val="en_US" w:bidi="en_US"/>
        </w:rPr>
        <w:t>.”</w:t>
      </w:r>
    </w:p>
    <w:p>
      <w:pPr/>
      <w:r>
        <w:rPr>
          <w:lang w:val="en_US" w:bidi="en_US"/>
        </w:rPr>
      </w:r>
      <w:r>
        <w:rPr>
          <w:lang w:val="en_US" w:bidi="en_US"/>
        </w:rPr>
        <w:t>This verse tells the fourth thing that God had sent the Messiah to proclaim. In some languages it may be necessary to repeat the verb “sent” from 4:18c. For example:</w:t>
      </w:r>
    </w:p>
    <w:p>
      <w:pPr/>
      <w:r>
        <w:rPr>
          <w:lang w:val="en_US" w:bidi="en_US"/>
        </w:rPr>
      </w:r>
      <w:r>
        <w:rPr>
          <w:lang w:val="en_US" w:bidi="en_US"/>
        </w:rPr>
        <w:t>He has sent me</w:t>
      </w:r>
      <w:r>
        <w:rPr>
          <w:lang w:val="en_US" w:bidi="en_US"/>
        </w:rPr>
        <w:t xml:space="preserve"> to proclaim the year of the Lord’s favor</w:t>
      </w:r>
    </w:p>
    <w:p>
      <w:pPr/>
      <w:r>
        <w:rPr>
          <w:lang w:val="en_US" w:bidi="en_US"/>
        </w:rPr>
      </w:r>
      <w:r>
        <w:rPr>
          <w:b/>
          <w:lang w:val="en_US" w:bidi="en_US"/>
        </w:rPr>
        <w:t>to proclaim the year of the Lord’s favor:</w:t>
      </w:r>
      <w:r>
        <w:rPr>
          <w:lang w:val="en_US" w:bidi="en_US"/>
        </w:rPr>
        <w:t xml:space="preserve"> The phrase </w:t>
      </w:r>
      <w:r>
        <w:rPr>
          <w:i/>
          <w:lang w:val="en_US" w:bidi="en_US"/>
        </w:rPr>
        <w:t>to proclaim the year of the Lord’s favor</w:t>
      </w:r>
      <w:r>
        <w:rPr>
          <w:lang w:val="en_US" w:bidi="en_US"/>
        </w:rPr>
        <w:t xml:space="preserve"> means “to announce that this is the year of the Lord’s favor.”</w:t>
      </w:r>
    </w:p>
    <w:p>
      <w:pPr/>
      <w:r>
        <w:rPr>
          <w:lang w:val="en_US" w:bidi="en_US"/>
        </w:rPr>
      </w:r>
      <w:r>
        <w:rPr>
          <w:lang w:val="en_US" w:bidi="en_US"/>
        </w:rPr>
        <w:t>This phrase certainly reminded people of the Old Testament year of Jubilee (Leviticus 25:10). This was a special year of freedom and forgiveness for Israelites. The year of Jubilee foreshadowed the time when the Messiah would proclaim God’s forgiveness of people.</w:t>
      </w:r>
    </w:p>
    <w:p>
      <w:pPr/>
      <w:r>
        <w:rPr>
          <w:lang w:val="en_US" w:bidi="en_US"/>
        </w:rPr>
      </w:r>
      <w:r>
        <w:rPr>
          <w:b/>
          <w:lang w:val="en_US" w:bidi="en_US"/>
        </w:rPr>
        <w:t>to proclaim:</w:t>
      </w:r>
      <w:r>
        <w:rPr>
          <w:lang w:val="en_US" w:bidi="en_US"/>
        </w:rPr>
        <w:t xml:space="preserve"> The Greek verb that the BSB translates as </w:t>
      </w:r>
      <w:r>
        <w:rPr>
          <w:i/>
          <w:lang w:val="en_US" w:bidi="en_US"/>
        </w:rPr>
        <w:t>proclaim</w:t>
      </w:r>
      <w:r>
        <w:rPr>
          <w:lang w:val="en_US" w:bidi="en_US"/>
        </w:rPr>
        <w:t xml:space="preserve"> is the same verb as in 4:18c. It means “to announce, to tell, to send out news about something.”</w:t>
      </w:r>
    </w:p>
    <w:p>
      <w:pPr/>
      <w:r>
        <w:rPr>
          <w:lang w:val="en_US" w:bidi="en_US"/>
        </w:rPr>
      </w:r>
      <w:r>
        <w:rPr>
          <w:b/>
          <w:lang w:val="en_US" w:bidi="en_US"/>
        </w:rPr>
        <w:t>the year of the Lord’s favor:</w:t>
      </w:r>
      <w:r>
        <w:rPr>
          <w:lang w:val="en_US" w:bidi="en_US"/>
        </w:rPr>
        <w:t xml:space="preserve"> There are two ways to interpret the phrase that the BSB translates as </w:t>
      </w:r>
      <w:r>
        <w:rPr>
          <w:i/>
          <w:lang w:val="en_US" w:bidi="en_US"/>
        </w:rPr>
        <w:t>the year of the Lord’s favor</w:t>
      </w:r>
      <w:r>
        <w:rPr>
          <w:lang w:val="en_US" w:bidi="en_US"/>
        </w:rPr>
        <w:t>:</w:t>
      </w:r>
    </w:p>
    <w:p>
      <w:pPr>
        <w:pStyle w:val="ListNumber"/>
        <w:numPr>
          <w:ilvl w:val="0"/>
          <w:numId w:val="102"/>
        </w:numPr>
        <w:spacing w:line="240" w:lineRule="auto"/>
        <w:ind w:left="720"/>
      </w:pPr>
      <w:r>
        <w:rPr>
          <w:lang w:val="en_US" w:bidi="en_US"/>
        </w:rPr>
      </w:r>
      <w:r>
        <w:rPr>
          <w:lang w:val="en_US" w:bidi="en_US"/>
        </w:rPr>
        <w:t xml:space="preserve">It means </w:t>
      </w:r>
      <w:r>
        <w:rPr>
          <w:u w:val="single"/>
          <w:lang w:val="en_US" w:bidi="en_US"/>
        </w:rPr>
        <w:t>the year when the Lord will show his favor</w:t>
      </w:r>
      <w:r>
        <w:rPr>
          <w:lang w:val="en_US" w:bidi="en_US"/>
        </w:rPr>
        <w:t xml:space="preserve"> to people. For example:</w:t>
      </w:r>
      <w:r>
        <w:rPr>
          <w:lang w:val="en_US" w:bidi="en_US"/>
        </w:rPr>
        <w:t xml:space="preserve">the time when the Lord will show his kindness (NCV) </w:t>
      </w:r>
      <w:r>
        <w:rPr>
          <w:i/>
          <w:lang w:val="en_US" w:bidi="en_US"/>
        </w:rPr>
        <w:t>(NJB, GNT, NCV; and probably BSB, NIV, NRSV, NLT, GW, REB)</w:t>
      </w:r>
    </w:p>
    <w:p>
      <w:pPr>
        <w:pStyle w:val="ListNumber"/>
        <w:spacing w:line="240" w:lineRule="auto"/>
        <w:ind w:left="720"/>
      </w:pPr>
      <w:r>
        <w:rPr>
          <w:lang w:val="en_US" w:bidi="en_US"/>
        </w:rPr>
      </w:r>
      <w:r>
        <w:rPr>
          <w:lang w:val="en_US" w:bidi="en_US"/>
        </w:rPr>
        <w:t xml:space="preserve">It means the year that the Lord has favored, that is, </w:t>
      </w:r>
      <w:r>
        <w:rPr>
          <w:u w:val="single"/>
          <w:lang w:val="en_US" w:bidi="en_US"/>
        </w:rPr>
        <w:t>the year that the Lord has chosen</w:t>
      </w:r>
      <w:r>
        <w:rPr>
          <w:lang w:val="en_US" w:bidi="en_US"/>
        </w:rPr>
        <w:t>, or the year that is acceptable to him. For example:</w:t>
      </w:r>
      <w:r>
        <w:rPr>
          <w:lang w:val="en_US" w:bidi="en_US"/>
        </w:rPr>
        <w:t xml:space="preserve">This is the year the Lord has chosen (CEV) </w:t>
      </w:r>
      <w:r>
        <w:rPr>
          <w:i/>
          <w:lang w:val="en_US" w:bidi="en_US"/>
        </w:rPr>
        <w:t>(KJV, CEV, JBP, RSV)</w:t>
      </w:r>
    </w:p>
    <w:p>
      <w:pPr/>
      <w:r>
        <w:rPr>
          <w:lang w:val="en_US" w:bidi="en_US"/>
        </w:rPr>
      </w:r>
      <w:r>
        <w:rPr>
          <w:lang w:val="en_US" w:bidi="en_US"/>
        </w:rPr>
        <w:t>It is recommended that you follow interpretation (1).</w:t>
      </w:r>
    </w:p>
    <w:p>
      <w:pPr/>
      <w:r>
        <w:rPr>
          <w:lang w:val="en_US" w:bidi="en_US"/>
        </w:rPr>
      </w:r>
      <w:r>
        <w:rPr>
          <w:b/>
          <w:lang w:val="en_US" w:bidi="en_US"/>
        </w:rPr>
        <w:t>year:</w:t>
      </w:r>
      <w:r>
        <w:rPr>
          <w:lang w:val="en_US" w:bidi="en_US"/>
        </w:rPr>
        <w:t xml:space="preserve"> The Greek word that the BSB translates as </w:t>
      </w:r>
      <w:r>
        <w:rPr>
          <w:i/>
          <w:lang w:val="en_US" w:bidi="en_US"/>
        </w:rPr>
        <w:t>year</w:t>
      </w:r>
      <w:r>
        <w:rPr>
          <w:lang w:val="en_US" w:bidi="en_US"/>
        </w:rPr>
        <w:t xml:space="preserve"> has a general meaning here. It refers to a period of time. In this context it refers to the time of the Messiah’s ministry when the Lord will show his favor. It probably does not refer specifically to a literal calendar year. For this reason, it is good to translate the word in a general way. For example:</w:t>
      </w:r>
    </w:p>
    <w:p>
      <w:pPr/>
      <w:r>
        <w:rPr>
          <w:lang w:val="en_US" w:bidi="en_US"/>
        </w:rPr>
      </w:r>
      <w:r>
        <w:rPr>
          <w:lang w:val="en_US" w:bidi="en_US"/>
        </w:rPr>
        <w:t>to announce the time when the Lord will show his kindness (NCV)</w:t>
      </w:r>
    </w:p>
    <w:p>
      <w:pPr/>
      <w:r>
        <w:rPr>
          <w:lang w:val="en_US" w:bidi="en_US"/>
        </w:rPr>
      </w:r>
      <w:r>
        <w:rPr>
          <w:b/>
          <w:lang w:val="en_US" w:bidi="en_US"/>
        </w:rPr>
        <w:t>the Lord’s favor:</w:t>
      </w:r>
      <w:r>
        <w:rPr>
          <w:lang w:val="en_US" w:bidi="en_US"/>
        </w:rPr>
        <w:t xml:space="preserve"> The phrase that the BSB translates as </w:t>
      </w:r>
      <w:r>
        <w:rPr>
          <w:i/>
          <w:lang w:val="en_US" w:bidi="en_US"/>
        </w:rPr>
        <w:t>the Lord’s favor</w:t>
      </w:r>
      <w:r>
        <w:rPr>
          <w:lang w:val="en_US" w:bidi="en_US"/>
        </w:rPr>
        <w:t xml:space="preserve"> refers to the Lord’s kindness. God will show his kindness or show that he is kind. For example:</w:t>
      </w:r>
    </w:p>
    <w:p>
      <w:pPr/>
      <w:r>
        <w:rPr>
          <w:lang w:val="en_US" w:bidi="en_US"/>
        </w:rPr>
      </w:r>
      <w:r>
        <w:rPr>
          <w:lang w:val="en_US" w:bidi="en_US"/>
        </w:rPr>
        <w:t>the Lord will show his kindness (NCV)</w:t>
      </w:r>
      <w:r>
        <w:rPr>
          <w:lang w:val="en_US" w:bidi="en_US"/>
        </w:rPr>
      </w:r>
      <w:r>
        <w:rPr>
          <w:lang w:val="en_US" w:bidi="en_US"/>
        </w:rPr>
      </w:r>
    </w:p>
    <w:p>
      <w:pPr/>
      <w:r>
        <w:rPr>
          <w:lang w:val="en_US" w:bidi="en_US"/>
        </w:rPr>
      </w:r>
    </w:p>
    <w:p>
      <w:pPr>
        <w:pStyle w:val="Heading2"/>
      </w:pPr>
      <w:r>
        <w:rPr>
          <w:lang w:val="en_US" w:bidi="en_US"/>
        </w:rPr>
        <w:t>Luke 4:20</w:t>
      </w:r>
      <w:r>
        <w:rPr>
          <w:lang w:val="en_US" w:bidi="en_US"/>
        </w:rPr>
      </w:r>
    </w:p>
    <w:p>
      <w:pPr>
        <w:pStyle w:val="Heading4"/>
      </w:pPr>
      <w:r>
        <w:rPr>
          <w:lang w:val="en_US" w:bidi="en_US"/>
        </w:rPr>
        <w:t>Section 4:14–30: The people rejected Jesus at Nazareth</w:t>
      </w:r>
    </w:p>
    <w:p>
      <w:pPr/>
      <w:r>
        <w:rPr>
          <w:lang w:val="en_US" w:bidi="en_US"/>
        </w:rPr>
      </w:r>
      <w:r>
        <w:rPr>
          <w:lang w:val="en_US" w:bidi="en_US"/>
        </w:rP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pPr/>
      <w:r>
        <w:rPr>
          <w:lang w:val="en_US" w:bidi="en_US"/>
        </w:rPr>
      </w:r>
      <w:r>
        <w:rPr>
          <w:lang w:val="en_US" w:bidi="en_US"/>
        </w:rPr>
        <w:t>Some other possible headings for this section are:</w:t>
      </w:r>
    </w:p>
    <w:p>
      <w:pPr/>
      <w:r>
        <w:rPr>
          <w:lang w:val="en_US" w:bidi="en_US"/>
        </w:rPr>
      </w:r>
      <w:r>
        <w:rPr>
          <w:lang w:val="en_US" w:bidi="en_US"/>
        </w:rPr>
        <w:t>The People of Nazareth Turn against Jesus (CEV)</w:t>
      </w:r>
    </w:p>
    <w:p>
      <w:pPr/>
      <w:r>
        <w:rPr>
          <w:lang w:val="en_US" w:bidi="en_US"/>
        </w:rPr>
      </w:r>
      <w:r>
        <w:rPr>
          <w:lang w:val="en_US" w:bidi="en_US"/>
        </w:rPr>
        <w:t>Jesus Rejected at Nazareth (ESV)</w:t>
      </w:r>
    </w:p>
    <w:p>
      <w:pPr/>
      <w:r>
        <w:rPr>
          <w:lang w:val="en_US" w:bidi="en_US"/>
        </w:rPr>
      </w:r>
      <w:r>
        <w:rPr>
          <w:lang w:val="en_US" w:bidi="en_US"/>
        </w:rPr>
        <w:t>There is a parallel passage for this section in Mark 6:1–6.</w:t>
      </w:r>
    </w:p>
    <w:p>
      <w:pPr>
        <w:pStyle w:val="Heading5"/>
      </w:pPr>
      <w:r>
        <w:rPr>
          <w:lang w:val="en_US" w:bidi="en_US"/>
        </w:rPr>
        <w:t>4:20a</w:t>
      </w:r>
    </w:p>
    <w:p>
      <w:pPr/>
      <w:r>
        <w:rPr>
          <w:lang w:val="en_US" w:bidi="en_US"/>
        </w:rPr>
      </w:r>
      <w:r>
        <w:rPr>
          <w:b/>
          <w:lang w:val="en_US" w:bidi="en_US"/>
        </w:rPr>
        <w:t>Then He rolled up the scroll,</w:t>
      </w:r>
    </w:p>
    <w:p>
      <w:pPr>
        <w:pStyle w:val="ListBullet"/>
        <w:spacing w:line="240" w:lineRule="auto"/>
        <w:ind w:left="720"/>
      </w:pPr>
      <w:r>
        <w:rPr>
          <w:lang w:val="en_US" w:bidi="en_US"/>
        </w:rPr>
      </w:r>
      <w:r>
        <w:rPr>
          <w:lang w:val="en_US" w:bidi="en_US"/>
        </w:rPr>
        <w:t>¶ Then he/Jesus rolled up the scroll,</w:t>
      </w:r>
    </w:p>
    <w:p>
      <w:pPr>
        <w:pStyle w:val="ListBullet"/>
        <w:spacing w:line="240" w:lineRule="auto"/>
        <w:ind w:left="720"/>
      </w:pPr>
      <w:r>
        <w:rPr>
          <w:lang w:val="en_US" w:bidi="en_US"/>
        </w:rPr>
      </w:r>
      <w:r>
        <w:rPr>
          <w:lang w:val="en_US" w:bidi="en_US"/>
        </w:rPr>
        <w:t>¶ Then Jesus closed the book,</w:t>
      </w:r>
    </w:p>
    <w:p>
      <w:pPr/>
      <w:r>
        <w:rPr>
          <w:lang w:val="en_US" w:bidi="en_US"/>
        </w:rPr>
      </w:r>
      <w:r>
        <w:rPr>
          <w:b/>
          <w:lang w:val="en_US" w:bidi="en_US"/>
        </w:rPr>
        <w:t>Then:</w:t>
      </w:r>
      <w:r>
        <w:rPr>
          <w:lang w:val="en_US" w:bidi="en_US"/>
        </w:rPr>
        <w:t xml:space="preserve"> This verse begins with a Greek conjunction that is often translated as “and.” Some English versions, such as the ESV, translate it that way. Other versions, such as the NLT and GNT, do not translate this conjunction here. However, since the events in this paragraph occurred immediately after the events in 4:16–19, in some languages, it may be natural to begin this paragraph with a time word or phrase. The BSB and several other English versions (NIV, NET) use the word “then.” Another way to translate this is:</w:t>
      </w:r>
    </w:p>
    <w:p>
      <w:pPr/>
      <w:r>
        <w:rPr>
          <w:lang w:val="en_US" w:bidi="en_US"/>
        </w:rPr>
      </w:r>
      <w:r>
        <w:rPr>
          <w:lang w:val="en_US" w:bidi="en_US"/>
        </w:rPr>
        <w:t>After that</w:t>
      </w:r>
    </w:p>
    <w:p>
      <w:pPr/>
      <w:r>
        <w:rPr>
          <w:lang w:val="en_US" w:bidi="en_US"/>
        </w:rPr>
      </w:r>
      <w:r>
        <w:rPr>
          <w:lang w:val="en_US" w:bidi="en_US"/>
        </w:rPr>
        <w:t>Begin this paragraph in a way that is natural in your language.</w:t>
      </w:r>
    </w:p>
    <w:p>
      <w:pPr/>
      <w:r>
        <w:rPr>
          <w:lang w:val="en_US" w:bidi="en_US"/>
        </w:rPr>
      </w:r>
      <w:r>
        <w:rPr>
          <w:b/>
          <w:lang w:val="en_US" w:bidi="en_US"/>
        </w:rPr>
        <w:t>He rolled up the scroll:</w:t>
      </w:r>
      <w:r>
        <w:rPr>
          <w:lang w:val="en_US" w:bidi="en_US"/>
        </w:rPr>
        <w:t xml:space="preserve"> When Jesus had finished reading the passage from Isaiah, he rolled up the scroll on which it was written. He did this so that he could give the scroll to someone to put in the place where they kept it.</w:t>
      </w:r>
    </w:p>
    <w:p>
      <w:pPr/>
      <w:r>
        <w:rPr>
          <w:lang w:val="en_US" w:bidi="en_US"/>
        </w:rPr>
      </w:r>
      <w:r>
        <w:rPr>
          <w:lang w:val="en_US" w:bidi="en_US"/>
        </w:rPr>
        <w:t xml:space="preserve">Make sure that the verb you choose matches the way you translate “scroll.” If you translated </w:t>
      </w:r>
      <w:r>
        <w:rPr>
          <w:i/>
          <w:lang w:val="en_US" w:bidi="en_US"/>
        </w:rPr>
        <w:t>scroll</w:t>
      </w:r>
      <w:r>
        <w:rPr>
          <w:lang w:val="en_US" w:bidi="en_US"/>
        </w:rPr>
        <w:t xml:space="preserve"> as “book” in 4:17a, use an appropriate verb in your language. For example:</w:t>
      </w:r>
    </w:p>
    <w:p>
      <w:pPr/>
      <w:r>
        <w:rPr>
          <w:lang w:val="en_US" w:bidi="en_US"/>
        </w:rPr>
      </w:r>
      <w:r>
        <w:rPr>
          <w:lang w:val="en_US" w:bidi="en_US"/>
        </w:rPr>
        <w:t>He shut/closed the book</w:t>
      </w:r>
    </w:p>
    <w:p>
      <w:pPr>
        <w:pStyle w:val="Heading5"/>
      </w:pPr>
      <w:r>
        <w:rPr>
          <w:lang w:val="en_US" w:bidi="en_US"/>
        </w:rPr>
        <w:t>4:20b</w:t>
      </w:r>
    </w:p>
    <w:p>
      <w:pPr/>
      <w:r>
        <w:rPr>
          <w:lang w:val="en_US" w:bidi="en_US"/>
        </w:rPr>
      </w:r>
      <w:r>
        <w:rPr>
          <w:b/>
          <w:lang w:val="en_US" w:bidi="en_US"/>
        </w:rPr>
        <w:t>returned it to the attendant,</w:t>
      </w:r>
    </w:p>
    <w:p>
      <w:pPr>
        <w:pStyle w:val="ListBullet"/>
        <w:spacing w:line="240" w:lineRule="auto"/>
        <w:ind w:left="720"/>
      </w:pPr>
      <w:r>
        <w:rPr>
          <w:lang w:val="en_US" w:bidi="en_US"/>
        </w:rPr>
      </w:r>
      <w:r>
        <w:rPr>
          <w:lang w:val="en_US" w:bidi="en_US"/>
        </w:rPr>
        <w:t xml:space="preserve">gave it to the </w:t>
      </w:r>
      <w:r>
        <w:rPr>
          <w:lang w:val="en_US" w:bidi="en_US"/>
        </w:rPr>
        <w:t>synagogue</w:t>
      </w:r>
      <w:r>
        <w:rPr>
          <w:lang w:val="en_US" w:bidi="en_US"/>
        </w:rPr>
        <w:t xml:space="preserve"> worker,</w:t>
      </w:r>
    </w:p>
    <w:p>
      <w:pPr>
        <w:pStyle w:val="ListBullet"/>
        <w:spacing w:line="240" w:lineRule="auto"/>
        <w:ind w:left="720"/>
      </w:pPr>
      <w:r>
        <w:rPr>
          <w:lang w:val="en_US" w:bidi="en_US"/>
        </w:rPr>
      </w:r>
      <w:r>
        <w:rPr>
          <w:lang w:val="en_US" w:bidi="en_US"/>
        </w:rPr>
        <w:t xml:space="preserve">and returned it to the assistant </w:t>
      </w:r>
      <w:r>
        <w:rPr>
          <w:lang w:val="en_US" w:bidi="en_US"/>
        </w:rPr>
        <w:t>for the meeting</w:t>
      </w:r>
      <w:r>
        <w:rPr>
          <w:lang w:val="en_US" w:bidi="en_US"/>
        </w:rPr>
        <w:t>.</w:t>
      </w:r>
    </w:p>
    <w:p>
      <w:pPr/>
      <w:r>
        <w:rPr>
          <w:lang w:val="en_US" w:bidi="en_US"/>
        </w:rPr>
      </w:r>
      <w:r>
        <w:rPr>
          <w:b/>
          <w:lang w:val="en_US" w:bidi="en_US"/>
        </w:rPr>
        <w:t>attendant:</w:t>
      </w:r>
      <w:r>
        <w:rPr>
          <w:lang w:val="en_US" w:bidi="en_US"/>
        </w:rPr>
        <w:t xml:space="preserve"> The Greek word that the BSB translates as </w:t>
      </w:r>
      <w:r>
        <w:rPr>
          <w:i/>
          <w:lang w:val="en_US" w:bidi="en_US"/>
        </w:rPr>
        <w:t>attendant</w:t>
      </w:r>
      <w:r>
        <w:rPr>
          <w:lang w:val="en_US" w:bidi="en_US"/>
        </w:rPr>
        <w:t xml:space="preserve"> refers to the man serving at the synagogue during this Sabbath meeting. This attendant was probably the same person who handed Jesus the scroll in 4:17a.</w:t>
      </w:r>
    </w:p>
    <w:p>
      <w:pPr/>
      <w:r>
        <w:rPr>
          <w:lang w:val="en_US" w:bidi="en_US"/>
        </w:rPr>
      </w:r>
      <w:r>
        <w:rPr>
          <w:lang w:val="en_US" w:bidi="en_US"/>
        </w:rPr>
        <w:t xml:space="preserve">Some other ways to translate </w:t>
      </w:r>
      <w:r>
        <w:rPr>
          <w:i/>
          <w:lang w:val="en_US" w:bidi="en_US"/>
        </w:rPr>
        <w:t>attendant</w:t>
      </w:r>
      <w:r>
        <w:rPr>
          <w:lang w:val="en_US" w:bidi="en_US"/>
        </w:rPr>
        <w:t xml:space="preserve"> are:</w:t>
      </w:r>
    </w:p>
    <w:p>
      <w:pPr/>
      <w:r>
        <w:rPr>
          <w:lang w:val="en_US" w:bidi="en_US"/>
        </w:rPr>
      </w:r>
      <w:r>
        <w:rPr>
          <w:lang w:val="en_US" w:bidi="en_US"/>
        </w:rPr>
        <w:t>assistant (NCV)</w:t>
      </w:r>
    </w:p>
    <w:p>
      <w:pPr/>
      <w:r>
        <w:rPr>
          <w:lang w:val="en_US" w:bidi="en_US"/>
        </w:rPr>
      </w:r>
      <w:r>
        <w:rPr>
          <w:lang w:val="en_US" w:bidi="en_US"/>
        </w:rPr>
        <w:t>helper</w:t>
      </w:r>
    </w:p>
    <w:p>
      <w:pPr/>
      <w:r>
        <w:rPr>
          <w:lang w:val="en_US" w:bidi="en_US"/>
        </w:rPr>
      </w:r>
      <w:r>
        <w:rPr>
          <w:lang w:val="en_US" w:bidi="en_US"/>
        </w:rPr>
        <w:t xml:space="preserve">man serving </w:t>
      </w:r>
      <w:r>
        <w:rPr>
          <w:lang w:val="en_US" w:bidi="en_US"/>
        </w:rPr>
        <w:t>at the synagogue</w:t>
      </w:r>
    </w:p>
    <w:p>
      <w:pPr>
        <w:pStyle w:val="Heading5"/>
      </w:pPr>
      <w:r>
        <w:rPr>
          <w:lang w:val="en_US" w:bidi="en_US"/>
        </w:rPr>
        <w:t>4:20c</w:t>
      </w:r>
    </w:p>
    <w:p>
      <w:pPr/>
      <w:r>
        <w:rPr>
          <w:lang w:val="en_US" w:bidi="en_US"/>
        </w:rPr>
      </w:r>
      <w:r>
        <w:rPr>
          <w:b/>
          <w:lang w:val="en_US" w:bidi="en_US"/>
        </w:rPr>
        <w:t>and sat down.</w:t>
      </w:r>
    </w:p>
    <w:p>
      <w:pPr>
        <w:pStyle w:val="ListBullet"/>
        <w:spacing w:line="240" w:lineRule="auto"/>
        <w:ind w:left="720"/>
      </w:pPr>
      <w:r>
        <w:rPr>
          <w:lang w:val="en_US" w:bidi="en_US"/>
        </w:rPr>
      </w:r>
      <w:r>
        <w:rPr>
          <w:lang w:val="en_US" w:bidi="en_US"/>
        </w:rPr>
        <w:t>and sat down.</w:t>
      </w:r>
    </w:p>
    <w:p>
      <w:pPr>
        <w:pStyle w:val="ListBullet"/>
        <w:spacing w:line="240" w:lineRule="auto"/>
        <w:ind w:left="720"/>
      </w:pPr>
      <w:r>
        <w:rPr>
          <w:lang w:val="en_US" w:bidi="en_US"/>
        </w:rPr>
      </w:r>
      <w:r>
        <w:rPr>
          <w:lang w:val="en_US" w:bidi="en_US"/>
        </w:rPr>
        <w:t>Then</w:t>
      </w:r>
      <w:r>
        <w:rPr>
          <w:lang w:val="en_US" w:bidi="en_US"/>
        </w:rPr>
        <w:t xml:space="preserve"> he sat down </w:t>
      </w:r>
      <w:r>
        <w:rPr>
          <w:lang w:val="en_US" w:bidi="en_US"/>
        </w:rPr>
        <w:t>to start teaching</w:t>
      </w:r>
      <w:r>
        <w:rPr>
          <w:lang w:val="en_US" w:bidi="en_US"/>
        </w:rPr>
        <w:t>.</w:t>
      </w:r>
    </w:p>
    <w:p>
      <w:pPr/>
      <w:r>
        <w:rPr>
          <w:lang w:val="en_US" w:bidi="en_US"/>
        </w:rPr>
      </w:r>
      <w:r>
        <w:rPr>
          <w:b/>
          <w:lang w:val="en_US" w:bidi="en_US"/>
        </w:rPr>
        <w:t>and sat down:</w:t>
      </w:r>
      <w:r>
        <w:rPr>
          <w:lang w:val="en_US" w:bidi="en_US"/>
        </w:rPr>
        <w:t xml:space="preserve"> It was the Jewish custom for a teacher to sit down while he taught. So the words </w:t>
      </w:r>
      <w:r>
        <w:rPr>
          <w:i/>
          <w:lang w:val="en_US" w:bidi="en_US"/>
        </w:rPr>
        <w:t>sat down</w:t>
      </w:r>
      <w:r>
        <w:rPr>
          <w:lang w:val="en_US" w:bidi="en_US"/>
        </w:rPr>
        <w:t xml:space="preserve"> imply that Jesus was ready to start teaching. They do not imply that he was finished with what he wanted to do.</w:t>
      </w:r>
    </w:p>
    <w:p>
      <w:pPr/>
      <w:r>
        <w:rPr>
          <w:lang w:val="en_US" w:bidi="en_US"/>
        </w:rPr>
      </w:r>
      <w:r>
        <w:rPr>
          <w:lang w:val="en_US" w:bidi="en_US"/>
        </w:rPr>
        <w:t>In some languages, it may be necessary to make this explicit. For example:</w:t>
      </w:r>
    </w:p>
    <w:p>
      <w:pPr/>
      <w:r>
        <w:rPr>
          <w:lang w:val="en_US" w:bidi="en_US"/>
        </w:rPr>
      </w:r>
      <w:r>
        <w:rPr>
          <w:lang w:val="en_US" w:bidi="en_US"/>
        </w:rPr>
        <w:t xml:space="preserve">sat down </w:t>
      </w:r>
      <w:r>
        <w:rPr>
          <w:lang w:val="en_US" w:bidi="en_US"/>
        </w:rPr>
        <w:t>to begin teaching</w:t>
      </w:r>
    </w:p>
    <w:p>
      <w:pPr>
        <w:pStyle w:val="Heading5"/>
      </w:pPr>
      <w:r>
        <w:rPr>
          <w:lang w:val="en_US" w:bidi="en_US"/>
        </w:rPr>
        <w:t>4:20d</w:t>
      </w:r>
    </w:p>
    <w:p>
      <w:pPr/>
      <w:r>
        <w:rPr>
          <w:lang w:val="en_US" w:bidi="en_US"/>
        </w:rPr>
      </w:r>
      <w:r>
        <w:rPr>
          <w:b/>
          <w:lang w:val="en_US" w:bidi="en_US"/>
        </w:rPr>
        <w:t>The eyes of everyone in the synagogue were fixed on Him,</w:t>
      </w:r>
    </w:p>
    <w:p>
      <w:pPr>
        <w:pStyle w:val="ListBullet"/>
        <w:spacing w:line="240" w:lineRule="auto"/>
        <w:ind w:left="720"/>
      </w:pPr>
      <w:r>
        <w:rPr>
          <w:lang w:val="en_US" w:bidi="en_US"/>
        </w:rPr>
      </w:r>
      <w:r>
        <w:rPr>
          <w:lang w:val="en_US" w:bidi="en_US"/>
        </w:rPr>
        <w:t>Everyone in the synagogue was looking carefully/intently at him.</w:t>
      </w:r>
    </w:p>
    <w:p>
      <w:pPr>
        <w:pStyle w:val="ListBullet"/>
        <w:spacing w:line="240" w:lineRule="auto"/>
        <w:ind w:left="720"/>
      </w:pPr>
      <w:r>
        <w:rPr>
          <w:lang w:val="en_US" w:bidi="en_US"/>
        </w:rPr>
      </w:r>
      <w:r>
        <w:rPr>
          <w:lang w:val="en_US" w:bidi="en_US"/>
        </w:rPr>
        <w:t>All the people in the meeting place were watching Jesus closely.</w:t>
      </w:r>
    </w:p>
    <w:p>
      <w:pPr/>
      <w:r>
        <w:rPr>
          <w:lang w:val="en_US" w:bidi="en_US"/>
        </w:rPr>
      </w:r>
      <w:r>
        <w:rPr>
          <w:b/>
          <w:lang w:val="en_US" w:bidi="en_US"/>
        </w:rPr>
        <w:t>The eyes of everyone…were fixed on Him:</w:t>
      </w:r>
      <w:r>
        <w:rPr>
          <w:lang w:val="en_US" w:bidi="en_US"/>
        </w:rPr>
        <w:t xml:space="preserve"> The clause </w:t>
      </w:r>
      <w:r>
        <w:rPr>
          <w:i/>
          <w:lang w:val="en_US" w:bidi="en_US"/>
        </w:rPr>
        <w:t>The eyes of everyone…were fixed on Him</w:t>
      </w:r>
      <w:r>
        <w:rPr>
          <w:lang w:val="en_US" w:bidi="en_US"/>
        </w:rPr>
        <w:t xml:space="preserve"> is an idiom. It means that everyone was concentrating on Jesus. The people in the synagogue were all giving Jesus their full attention. They wanted to hear what he would say next.</w:t>
      </w:r>
    </w:p>
    <w:p>
      <w:pPr/>
      <w:r>
        <w:rPr>
          <w:lang w:val="en_US" w:bidi="en_US"/>
        </w:rPr>
      </w:r>
      <w:r>
        <w:rPr>
          <w:lang w:val="en_US" w:bidi="en_US"/>
        </w:rPr>
        <w:t>Some other ways to translate this are:</w:t>
      </w:r>
    </w:p>
    <w:p>
      <w:pPr/>
      <w:r>
        <w:rPr>
          <w:lang w:val="en_US" w:bidi="en_US"/>
        </w:rPr>
      </w:r>
      <w:r>
        <w:rPr>
          <w:lang w:val="en_US" w:bidi="en_US"/>
        </w:rPr>
        <w:t>Everyone…watched him closely. (GW)</w:t>
      </w:r>
    </w:p>
    <w:p>
      <w:pPr/>
      <w:r>
        <w:rPr>
          <w:lang w:val="en_US" w:bidi="en_US"/>
        </w:rPr>
      </w:r>
      <w:r>
        <w:rPr>
          <w:lang w:val="en_US" w:bidi="en_US"/>
        </w:rPr>
        <w:t>Everyone…stared at him intently. (NLT96)</w:t>
      </w:r>
    </w:p>
    <w:p>
      <w:pPr/>
      <w:r>
        <w:rPr>
          <w:lang w:val="en_US" w:bidi="en_US"/>
        </w:rPr>
      </w:r>
      <w:r>
        <w:rPr>
          <w:b/>
          <w:lang w:val="en_US" w:bidi="en_US"/>
        </w:rPr>
        <w:t>in the synagogue:</w:t>
      </w:r>
      <w:r>
        <w:rPr>
          <w:lang w:val="en_US" w:bidi="en_US"/>
        </w:rPr>
        <w:t xml:space="preserve"> The word </w:t>
      </w:r>
      <w:r>
        <w:rPr>
          <w:i/>
          <w:lang w:val="en_US" w:bidi="en_US"/>
        </w:rPr>
        <w:t>synagogue</w:t>
      </w:r>
      <w:r>
        <w:rPr>
          <w:lang w:val="en_US" w:bidi="en_US"/>
        </w:rPr>
        <w:t xml:space="preserve"> refers to the same building in Nazareth as is mentioned in 4:16b. It was the place where the people gathered to pray, read Scripture, teach their beliefs, and worship God. For more information, see the note on “synagogues” at 4:15a and synagogue in the Glossary.</w:t>
      </w:r>
      <w:r>
        <w:rPr>
          <w:lang w:val="en_US" w:bidi="en_US"/>
        </w:rPr>
      </w:r>
      <w:r>
        <w:rPr>
          <w:lang w:val="en_US" w:bidi="en_US"/>
        </w:rPr>
      </w:r>
    </w:p>
    <w:p>
      <w:pPr/>
      <w:r>
        <w:rPr>
          <w:lang w:val="en_US" w:bidi="en_US"/>
        </w:rPr>
      </w:r>
    </w:p>
    <w:p>
      <w:pPr>
        <w:pStyle w:val="Heading2"/>
      </w:pPr>
      <w:r>
        <w:rPr>
          <w:lang w:val="en_US" w:bidi="en_US"/>
        </w:rPr>
        <w:t>Luke 4:21</w:t>
      </w:r>
      <w:r>
        <w:rPr>
          <w:lang w:val="en_US" w:bidi="en_US"/>
        </w:rPr>
      </w:r>
    </w:p>
    <w:p>
      <w:pPr>
        <w:pStyle w:val="Heading4"/>
      </w:pPr>
      <w:r>
        <w:rPr>
          <w:lang w:val="en_US" w:bidi="en_US"/>
        </w:rPr>
        <w:t>Section 4:14–30: The people rejected Jesus at Nazareth</w:t>
      </w:r>
    </w:p>
    <w:p>
      <w:pPr/>
      <w:r>
        <w:rPr>
          <w:lang w:val="en_US" w:bidi="en_US"/>
        </w:rPr>
      </w:r>
      <w:r>
        <w:rPr>
          <w:lang w:val="en_US" w:bidi="en_US"/>
        </w:rP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pPr/>
      <w:r>
        <w:rPr>
          <w:lang w:val="en_US" w:bidi="en_US"/>
        </w:rPr>
      </w:r>
      <w:r>
        <w:rPr>
          <w:lang w:val="en_US" w:bidi="en_US"/>
        </w:rPr>
        <w:t>Some other possible headings for this section are:</w:t>
      </w:r>
    </w:p>
    <w:p>
      <w:pPr/>
      <w:r>
        <w:rPr>
          <w:lang w:val="en_US" w:bidi="en_US"/>
        </w:rPr>
      </w:r>
      <w:r>
        <w:rPr>
          <w:lang w:val="en_US" w:bidi="en_US"/>
        </w:rPr>
        <w:t>The People of Nazareth Turn against Jesus (CEV)</w:t>
      </w:r>
    </w:p>
    <w:p>
      <w:pPr/>
      <w:r>
        <w:rPr>
          <w:lang w:val="en_US" w:bidi="en_US"/>
        </w:rPr>
      </w:r>
      <w:r>
        <w:rPr>
          <w:lang w:val="en_US" w:bidi="en_US"/>
        </w:rPr>
        <w:t>Jesus Rejected at Nazareth (ESV)</w:t>
      </w:r>
    </w:p>
    <w:p>
      <w:pPr/>
      <w:r>
        <w:rPr>
          <w:lang w:val="en_US" w:bidi="en_US"/>
        </w:rPr>
      </w:r>
      <w:r>
        <w:rPr>
          <w:lang w:val="en_US" w:bidi="en_US"/>
        </w:rPr>
        <w:t>There is a parallel passage for this section in Mark 6:1–6.</w:t>
      </w:r>
    </w:p>
    <w:p>
      <w:pPr>
        <w:pStyle w:val="Heading5"/>
      </w:pPr>
      <w:r>
        <w:rPr>
          <w:lang w:val="en_US" w:bidi="en_US"/>
        </w:rPr>
        <w:t>4:21a</w:t>
      </w:r>
    </w:p>
    <w:p>
      <w:pPr/>
      <w:r>
        <w:rPr>
          <w:lang w:val="en_US" w:bidi="en_US"/>
        </w:rPr>
      </w:r>
      <w:r>
        <w:rPr>
          <w:b/>
          <w:lang w:val="en_US" w:bidi="en_US"/>
        </w:rPr>
        <w:t>and He began by saying,</w:t>
      </w:r>
    </w:p>
    <w:p>
      <w:pPr>
        <w:pStyle w:val="ListBullet"/>
        <w:spacing w:line="240" w:lineRule="auto"/>
        <w:ind w:left="720"/>
      </w:pPr>
      <w:r>
        <w:rPr>
          <w:lang w:val="en_US" w:bidi="en_US"/>
        </w:rPr>
      </w:r>
      <w:r>
        <w:rPr>
          <w:lang w:val="en_US" w:bidi="en_US"/>
        </w:rPr>
        <w:t>Then he began to teach them. He said,</w:t>
      </w:r>
    </w:p>
    <w:p>
      <w:pPr>
        <w:pStyle w:val="ListBullet"/>
        <w:spacing w:line="240" w:lineRule="auto"/>
        <w:ind w:left="720"/>
      </w:pPr>
      <w:r>
        <w:rPr>
          <w:lang w:val="en_US" w:bidi="en_US"/>
        </w:rPr>
      </w:r>
      <w:r>
        <w:rPr>
          <w:lang w:val="en_US" w:bidi="en_US"/>
        </w:rPr>
        <w:t>Then Jesus began to explain the words that he had read. He said,</w:t>
      </w:r>
    </w:p>
    <w:p>
      <w:pPr/>
      <w:r>
        <w:rPr>
          <w:lang w:val="en_US" w:bidi="en_US"/>
        </w:rPr>
      </w:r>
      <w:r>
        <w:rPr>
          <w:b/>
          <w:lang w:val="en_US" w:bidi="en_US"/>
        </w:rPr>
        <w:t>and He began by saying:</w:t>
      </w:r>
      <w:r>
        <w:rPr>
          <w:lang w:val="en_US" w:bidi="en_US"/>
        </w:rPr>
        <w:t xml:space="preserve"> The clause that the BSB translates as </w:t>
      </w:r>
      <w:r>
        <w:rPr>
          <w:i/>
          <w:lang w:val="en_US" w:bidi="en_US"/>
        </w:rPr>
        <w:t>He began by saying</w:t>
      </w:r>
      <w:r>
        <w:rPr>
          <w:lang w:val="en_US" w:bidi="en_US"/>
        </w:rPr>
        <w:t xml:space="preserve"> is literally “and He began to say/speak to them.” It indicates here that Jesus began to teach them. He began to explain the scripture that he had just read to them. This scripture was about him, and it was being fulfilled.</w:t>
      </w:r>
    </w:p>
    <w:p>
      <w:pPr/>
      <w:r>
        <w:rPr>
          <w:lang w:val="en_US" w:bidi="en_US"/>
        </w:rPr>
      </w:r>
      <w:r>
        <w:rPr>
          <w:lang w:val="en_US" w:bidi="en_US"/>
        </w:rPr>
        <w:t xml:space="preserve">In your translation, you may want to use a more specific word or phrase than </w:t>
      </w:r>
      <w:r>
        <w:rPr>
          <w:i/>
          <w:lang w:val="en_US" w:bidi="en_US"/>
        </w:rPr>
        <w:t>by saying</w:t>
      </w:r>
      <w:r>
        <w:rPr>
          <w:lang w:val="en_US" w:bidi="en_US"/>
        </w:rPr>
        <w:t xml:space="preserve"> or “to speak.” For example:</w:t>
      </w:r>
    </w:p>
    <w:p>
      <w:pPr/>
      <w:r>
        <w:rPr>
          <w:lang w:val="en_US" w:bidi="en_US"/>
        </w:rPr>
      </w:r>
      <w:r>
        <w:rPr>
          <w:lang w:val="en_US" w:bidi="en_US"/>
        </w:rPr>
        <w:t xml:space="preserve">Then Jesus began to </w:t>
      </w:r>
      <w:r>
        <w:rPr>
          <w:u w:val="single"/>
          <w:lang w:val="en_US" w:bidi="en_US"/>
        </w:rPr>
        <w:t>teach</w:t>
      </w:r>
      <w:r>
        <w:rPr>
          <w:lang w:val="en_US" w:bidi="en_US"/>
        </w:rPr>
        <w:t xml:space="preserve"> them. He said…</w:t>
      </w:r>
    </w:p>
    <w:p>
      <w:pPr/>
      <w:r>
        <w:rPr>
          <w:lang w:val="en_US" w:bidi="en_US"/>
        </w:rPr>
      </w:r>
      <w:r>
        <w:rPr>
          <w:lang w:val="en_US" w:bidi="en_US"/>
        </w:rPr>
        <w:t xml:space="preserve">Then Jesus began to </w:t>
      </w:r>
      <w:r>
        <w:rPr>
          <w:u w:val="single"/>
          <w:lang w:val="en_US" w:bidi="en_US"/>
        </w:rPr>
        <w:t>explain the words that he had read</w:t>
      </w:r>
      <w:r>
        <w:rPr>
          <w:lang w:val="en_US" w:bidi="en_US"/>
        </w:rPr>
        <w:t>, saying…</w:t>
      </w:r>
    </w:p>
    <w:p>
      <w:pPr>
        <w:pStyle w:val="Heading5"/>
      </w:pPr>
      <w:r>
        <w:rPr>
          <w:lang w:val="en_US" w:bidi="en_US"/>
        </w:rPr>
        <w:t>4:21b</w:t>
      </w:r>
    </w:p>
    <w:p>
      <w:pPr/>
      <w:r>
        <w:rPr>
          <w:lang w:val="en_US" w:bidi="en_US"/>
        </w:rPr>
      </w:r>
      <w:r>
        <w:rPr>
          <w:b/>
          <w:lang w:val="en_US" w:bidi="en_US"/>
        </w:rPr>
        <w:t>“Today this Scripture is fulfilled in your hearing.”</w:t>
      </w:r>
    </w:p>
    <w:p>
      <w:pPr>
        <w:pStyle w:val="ListBullet"/>
        <w:spacing w:line="240" w:lineRule="auto"/>
        <w:ind w:left="720"/>
      </w:pPr>
      <w:r>
        <w:rPr>
          <w:lang w:val="en_US" w:bidi="en_US"/>
        </w:rPr>
      </w:r>
      <w:r>
        <w:rPr>
          <w:lang w:val="en_US" w:bidi="en_US"/>
        </w:rPr>
        <w:t xml:space="preserve">“Today, </w:t>
      </w:r>
      <w:r>
        <w:rPr>
          <w:lang w:val="en_US" w:bidi="en_US"/>
        </w:rPr>
        <w:t>that which</w:t>
      </w:r>
      <w:r>
        <w:rPr>
          <w:lang w:val="en_US" w:bidi="en_US"/>
        </w:rPr>
        <w:t xml:space="preserve"> this Scripture </w:t>
      </w:r>
      <w:r>
        <w:rPr>
          <w:lang w:val="en_US" w:bidi="en_US"/>
        </w:rPr>
        <w:t>talked about</w:t>
      </w:r>
      <w:r>
        <w:rPr>
          <w:lang w:val="en_US" w:bidi="en_US"/>
        </w:rPr>
        <w:t xml:space="preserve"> is happening, </w:t>
      </w:r>
      <w:r>
        <w:rPr>
          <w:lang w:val="en_US" w:bidi="en_US"/>
        </w:rPr>
        <w:t>even</w:t>
      </w:r>
      <w:r>
        <w:rPr>
          <w:lang w:val="en_US" w:bidi="en_US"/>
        </w:rPr>
        <w:t xml:space="preserve"> as you</w:t>
      </w:r>
      <w:r>
        <w:rPr>
          <w:vertAlign w:val="superscript"/>
          <w:lang w:val="en_US" w:bidi="en_US"/>
        </w:rPr>
        <w:t>(plur)</w:t>
      </w:r>
      <w:r>
        <w:rPr>
          <w:lang w:val="en_US" w:bidi="en_US"/>
        </w:rPr>
        <w:t xml:space="preserve"> listen!”</w:t>
      </w:r>
    </w:p>
    <w:p>
      <w:pPr>
        <w:pStyle w:val="ListBullet"/>
        <w:spacing w:line="240" w:lineRule="auto"/>
        <w:ind w:left="720"/>
      </w:pPr>
      <w:r>
        <w:rPr>
          <w:lang w:val="en_US" w:bidi="en_US"/>
        </w:rPr>
      </w:r>
      <w:r>
        <w:rPr>
          <w:lang w:val="en_US" w:bidi="en_US"/>
        </w:rPr>
        <w:t>“On this day, while you</w:t>
      </w:r>
      <w:r>
        <w:rPr>
          <w:vertAlign w:val="superscript"/>
          <w:lang w:val="en_US" w:bidi="en_US"/>
        </w:rPr>
        <w:t>(plur)</w:t>
      </w:r>
      <w:r>
        <w:rPr>
          <w:lang w:val="en_US" w:bidi="en_US"/>
        </w:rPr>
        <w:t xml:space="preserve"> heard me read these words, they were coming true!”</w:t>
      </w:r>
    </w:p>
    <w:p>
      <w:pPr>
        <w:pStyle w:val="ListBullet"/>
        <w:spacing w:line="240" w:lineRule="auto"/>
        <w:ind w:left="720"/>
      </w:pPr>
      <w:r>
        <w:rPr>
          <w:lang w:val="en_US" w:bidi="en_US"/>
        </w:rPr>
      </w:r>
      <w:r>
        <w:rPr>
          <w:lang w:val="en_US" w:bidi="en_US"/>
        </w:rPr>
        <w:t>“The scripture you have just heard me read has come true today.”</w:t>
      </w:r>
    </w:p>
    <w:p>
      <w:pPr/>
      <w:r>
        <w:rPr>
          <w:lang w:val="en_US" w:bidi="en_US"/>
        </w:rPr>
      </w:r>
      <w:r>
        <w:rPr>
          <w:b/>
          <w:lang w:val="en_US" w:bidi="en_US"/>
        </w:rPr>
        <w:t>Today this Scripture is fulfilled:</w:t>
      </w:r>
      <w:r>
        <w:rPr>
          <w:lang w:val="en_US" w:bidi="en_US"/>
        </w:rPr>
        <w:t xml:space="preserve"> The phrase </w:t>
      </w:r>
      <w:r>
        <w:rPr>
          <w:i/>
          <w:lang w:val="en_US" w:bidi="en_US"/>
        </w:rPr>
        <w:t>Today this Scripture is fulfilled</w:t>
      </w:r>
      <w:r>
        <w:rPr>
          <w:lang w:val="en_US" w:bidi="en_US"/>
        </w:rPr>
        <w:t xml:space="preserve"> means “That which this scripture talked about is happening today.” With these words, Jesus told them that he was the person whom the prophet Isaiah had written about. He was the one who fulfilled this scripture. God had appointed him to be the Messiah, and the Holy Spirit had empowered him to do all the things in 4:18–19.</w:t>
      </w:r>
    </w:p>
    <w:p>
      <w:pPr/>
      <w:r>
        <w:rPr>
          <w:lang w:val="en_US" w:bidi="en_US"/>
        </w:rPr>
      </w:r>
      <w:r>
        <w:rPr>
          <w:lang w:val="en_US" w:bidi="en_US"/>
        </w:rPr>
        <w:t>Some other ways to translate this are:</w:t>
      </w:r>
    </w:p>
    <w:p>
      <w:pPr/>
      <w:r>
        <w:rPr>
          <w:lang w:val="en_US" w:bidi="en_US"/>
        </w:rPr>
      </w:r>
      <w:r>
        <w:rPr>
          <w:lang w:val="en_US" w:bidi="en_US"/>
        </w:rPr>
        <w:t>Today this scripture has been fulfilled (NET)</w:t>
      </w:r>
    </w:p>
    <w:p>
      <w:pPr/>
      <w:r>
        <w:rPr>
          <w:lang w:val="en_US" w:bidi="en_US"/>
        </w:rPr>
      </w:r>
      <w:r>
        <w:rPr>
          <w:lang w:val="en_US" w:bidi="en_US"/>
        </w:rPr>
        <w:t>Today…this text has come true. (REB)</w:t>
      </w:r>
    </w:p>
    <w:p>
      <w:pPr/>
      <w:r>
        <w:rPr>
          <w:lang w:val="en_US" w:bidi="en_US"/>
        </w:rPr>
      </w:r>
      <w:r>
        <w:rPr>
          <w:lang w:val="en_US" w:bidi="en_US"/>
        </w:rPr>
        <w:t>This passage came true today (GW)</w:t>
      </w:r>
    </w:p>
    <w:p>
      <w:pPr/>
      <w:r>
        <w:rPr>
          <w:lang w:val="en_US" w:bidi="en_US"/>
        </w:rPr>
      </w:r>
      <w:r>
        <w:rPr>
          <w:lang w:val="en_US" w:bidi="en_US"/>
        </w:rPr>
        <w:t>Jesus was not saying that all the prisoners had been released, that all the blind people cured, or that the other things that he had read about had already happened.</w:t>
      </w:r>
    </w:p>
    <w:p>
      <w:pPr/>
      <w:r>
        <w:rPr>
          <w:lang w:val="en_US" w:bidi="en_US"/>
        </w:rPr>
      </w:r>
      <w:r>
        <w:rPr>
          <w:b/>
          <w:lang w:val="en_US" w:bidi="en_US"/>
        </w:rPr>
        <w:t>in your hearing:</w:t>
      </w:r>
      <w:r>
        <w:rPr>
          <w:lang w:val="en_US" w:bidi="en_US"/>
        </w:rPr>
        <w:t xml:space="preserve"> The phrase </w:t>
      </w:r>
      <w:r>
        <w:rPr>
          <w:i/>
          <w:lang w:val="en_US" w:bidi="en_US"/>
        </w:rPr>
        <w:t>in your hearing</w:t>
      </w:r>
      <w:r>
        <w:rPr>
          <w:lang w:val="en_US" w:bidi="en_US"/>
        </w:rPr>
        <w:t xml:space="preserve"> means “while you have been listening.” Some other ways to translate this are:</w:t>
      </w:r>
    </w:p>
    <w:p>
      <w:pPr/>
      <w:r>
        <w:rPr>
          <w:lang w:val="en_US" w:bidi="en_US"/>
        </w:rPr>
      </w:r>
      <w:r>
        <w:rPr>
          <w:lang w:val="en_US" w:bidi="en_US"/>
        </w:rPr>
        <w:t>when you heard me read it. (GW)</w:t>
      </w:r>
    </w:p>
    <w:p>
      <w:pPr/>
      <w:r>
        <w:rPr>
          <w:lang w:val="en_US" w:bidi="en_US"/>
        </w:rPr>
      </w:r>
      <w:r>
        <w:rPr>
          <w:lang w:val="en_US" w:bidi="en_US"/>
        </w:rPr>
        <w:t>While you heard these words just now (NCV)</w:t>
      </w:r>
    </w:p>
    <w:p>
      <w:pPr>
        <w:pStyle w:val="Heading6"/>
      </w:pPr>
      <w:r>
        <w:rPr>
          <w:b/>
          <w:lang w:val="en_US" w:bidi="en_US"/>
        </w:rPr>
        <w:t>General Comment on 4:21b</w:t>
      </w:r>
    </w:p>
    <w:p>
      <w:pPr/>
      <w:r>
        <w:rPr>
          <w:lang w:val="en_US" w:bidi="en_US"/>
        </w:rPr>
      </w:r>
      <w:r>
        <w:rPr>
          <w:lang w:val="en_US" w:bidi="en_US"/>
        </w:rPr>
        <w:t>In some languages, it may be more natural to change the order of some of the parts of 4:21b. For example:</w:t>
      </w:r>
    </w:p>
    <w:p>
      <w:pPr/>
      <w:r>
        <w:rPr>
          <w:lang w:val="en_US" w:bidi="en_US"/>
        </w:rPr>
      </w:r>
      <w:r>
        <w:rPr>
          <w:lang w:val="en_US" w:bidi="en_US"/>
        </w:rPr>
        <w:t>What you have just heard me read has come true today. (CEV)</w:t>
      </w:r>
      <w:r>
        <w:rPr>
          <w:lang w:val="en_US" w:bidi="en_US"/>
        </w:rPr>
      </w:r>
      <w:r>
        <w:rPr>
          <w:lang w:val="en_US" w:bidi="en_US"/>
        </w:rPr>
      </w:r>
    </w:p>
    <w:p>
      <w:pPr/>
      <w:r>
        <w:rPr>
          <w:lang w:val="en_US" w:bidi="en_US"/>
        </w:rPr>
      </w:r>
    </w:p>
    <w:p>
      <w:pPr>
        <w:pStyle w:val="Heading2"/>
      </w:pPr>
      <w:r>
        <w:rPr>
          <w:lang w:val="en_US" w:bidi="en_US"/>
        </w:rPr>
        <w:t>Luke 4:22</w:t>
      </w:r>
      <w:r>
        <w:rPr>
          <w:lang w:val="en_US" w:bidi="en_US"/>
        </w:rPr>
      </w:r>
    </w:p>
    <w:p>
      <w:pPr>
        <w:pStyle w:val="Heading4"/>
      </w:pPr>
      <w:r>
        <w:rPr>
          <w:lang w:val="en_US" w:bidi="en_US"/>
        </w:rPr>
        <w:t>Section 4:14–30: The people rejected Jesus at Nazareth</w:t>
      </w:r>
    </w:p>
    <w:p>
      <w:pPr/>
      <w:r>
        <w:rPr>
          <w:lang w:val="en_US" w:bidi="en_US"/>
        </w:rPr>
      </w:r>
      <w:r>
        <w:rPr>
          <w:lang w:val="en_US" w:bidi="en_US"/>
        </w:rP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pPr/>
      <w:r>
        <w:rPr>
          <w:lang w:val="en_US" w:bidi="en_US"/>
        </w:rPr>
      </w:r>
      <w:r>
        <w:rPr>
          <w:lang w:val="en_US" w:bidi="en_US"/>
        </w:rPr>
        <w:t>Some other possible headings for this section are:</w:t>
      </w:r>
    </w:p>
    <w:p>
      <w:pPr/>
      <w:r>
        <w:rPr>
          <w:lang w:val="en_US" w:bidi="en_US"/>
        </w:rPr>
      </w:r>
      <w:r>
        <w:rPr>
          <w:lang w:val="en_US" w:bidi="en_US"/>
        </w:rPr>
        <w:t>The People of Nazareth Turn against Jesus (CEV)</w:t>
      </w:r>
    </w:p>
    <w:p>
      <w:pPr/>
      <w:r>
        <w:rPr>
          <w:lang w:val="en_US" w:bidi="en_US"/>
        </w:rPr>
      </w:r>
      <w:r>
        <w:rPr>
          <w:lang w:val="en_US" w:bidi="en_US"/>
        </w:rPr>
        <w:t>Jesus Rejected at Nazareth (ESV)</w:t>
      </w:r>
    </w:p>
    <w:p>
      <w:pPr/>
      <w:r>
        <w:rPr>
          <w:lang w:val="en_US" w:bidi="en_US"/>
        </w:rPr>
      </w:r>
      <w:r>
        <w:rPr>
          <w:lang w:val="en_US" w:bidi="en_US"/>
        </w:rPr>
        <w:t>There is a parallel passage for this section in Mark 6:1–6.</w:t>
      </w:r>
    </w:p>
    <w:p>
      <w:pPr>
        <w:pStyle w:val="Heading5"/>
      </w:pPr>
      <w:r>
        <w:rPr>
          <w:lang w:val="en_US" w:bidi="en_US"/>
        </w:rPr>
        <w:t>4:22a</w:t>
      </w:r>
    </w:p>
    <w:p>
      <w:pPr/>
      <w:r>
        <w:rPr>
          <w:lang w:val="en_US" w:bidi="en_US"/>
        </w:rPr>
      </w:r>
      <w:r>
        <w:rPr>
          <w:b/>
          <w:lang w:val="en_US" w:bidi="en_US"/>
        </w:rPr>
        <w:t>All spoke well of Him</w:t>
      </w:r>
    </w:p>
    <w:p>
      <w:pPr>
        <w:pStyle w:val="ListBullet"/>
        <w:spacing w:line="240" w:lineRule="auto"/>
        <w:ind w:left="720"/>
      </w:pPr>
      <w:r>
        <w:rPr>
          <w:lang w:val="en_US" w:bidi="en_US"/>
        </w:rPr>
      </w:r>
      <w:r>
        <w:rPr>
          <w:lang w:val="en_US" w:bidi="en_US"/>
        </w:rPr>
        <w:t>Everyone said good things about him.</w:t>
      </w:r>
    </w:p>
    <w:p>
      <w:pPr>
        <w:pStyle w:val="ListBullet"/>
        <w:spacing w:line="240" w:lineRule="auto"/>
        <w:ind w:left="720"/>
      </w:pPr>
      <w:r>
        <w:rPr>
          <w:lang w:val="en_US" w:bidi="en_US"/>
        </w:rPr>
      </w:r>
      <w:r>
        <w:rPr>
          <w:lang w:val="en_US" w:bidi="en_US"/>
        </w:rPr>
        <w:t xml:space="preserve">Everyone </w:t>
      </w:r>
      <w:r>
        <w:rPr>
          <w:lang w:val="en_US" w:bidi="en_US"/>
        </w:rPr>
        <w:t>who heard him</w:t>
      </w:r>
      <w:r>
        <w:rPr>
          <w:lang w:val="en_US" w:bidi="en_US"/>
        </w:rPr>
        <w:t xml:space="preserve"> said that his teaching was good.</w:t>
      </w:r>
    </w:p>
    <w:p>
      <w:pPr/>
      <w:r>
        <w:rPr>
          <w:lang w:val="en_US" w:bidi="en_US"/>
        </w:rPr>
      </w:r>
      <w:r>
        <w:rPr>
          <w:b/>
          <w:lang w:val="en_US" w:bidi="en_US"/>
        </w:rPr>
        <w:t>All spoke well of Him:</w:t>
      </w:r>
      <w:r>
        <w:rPr>
          <w:lang w:val="en_US" w:bidi="en_US"/>
        </w:rPr>
        <w:t xml:space="preserve"> The Greek verb that the BSB translates as </w:t>
      </w:r>
      <w:r>
        <w:rPr>
          <w:i/>
          <w:lang w:val="en_US" w:bidi="en_US"/>
        </w:rPr>
        <w:t>spoke well</w:t>
      </w:r>
      <w:r>
        <w:rPr>
          <w:lang w:val="en_US" w:bidi="en_US"/>
        </w:rPr>
        <w:t xml:space="preserve"> indicates here that the people expressed approval of Jesus. They were impressed by what he said. All the people in the synagogue said good things about his teaching.</w:t>
      </w:r>
      <w:r>
        <w:rPr>
          <w:lang w:val="en_US" w:bidi="en_US"/>
        </w:rPr>
        <w:t>This appears to have been their initial response. Later, they would resent what he said and oppose him.</w:t>
      </w:r>
      <w:r>
        <w:rPr>
          <w:lang w:val="en_US" w:bidi="en_US"/>
        </w:rPr>
        <w:t xml:space="preserve"> Another way to translate this is:</w:t>
      </w:r>
    </w:p>
    <w:p>
      <w:pPr/>
      <w:r>
        <w:rPr>
          <w:lang w:val="en_US" w:bidi="en_US"/>
        </w:rPr>
      </w:r>
      <w:r>
        <w:rPr>
          <w:lang w:val="en_US" w:bidi="en_US"/>
        </w:rPr>
        <w:t>They were all well impressed with him (GNT)</w:t>
      </w:r>
    </w:p>
    <w:p>
      <w:pPr>
        <w:pStyle w:val="Heading5"/>
      </w:pPr>
      <w:r>
        <w:rPr>
          <w:lang w:val="en_US" w:bidi="en_US"/>
        </w:rPr>
        <w:t>4:22b</w:t>
      </w:r>
    </w:p>
    <w:p>
      <w:pPr/>
      <w:r>
        <w:rPr>
          <w:lang w:val="en_US" w:bidi="en_US"/>
        </w:rPr>
      </w:r>
      <w:r>
        <w:rPr>
          <w:b/>
          <w:lang w:val="en_US" w:bidi="en_US"/>
        </w:rPr>
        <w:t>and marveled at the gracious words that came from His lips.</w:t>
      </w:r>
    </w:p>
    <w:p>
      <w:pPr>
        <w:pStyle w:val="ListBullet"/>
        <w:spacing w:line="240" w:lineRule="auto"/>
        <w:ind w:left="720"/>
      </w:pPr>
      <w:r>
        <w:rPr>
          <w:lang w:val="en_US" w:bidi="en_US"/>
        </w:rPr>
      </w:r>
      <w:r>
        <w:rPr>
          <w:lang w:val="en_US" w:bidi="en_US"/>
        </w:rPr>
        <w:t>They were amazed at the wonderful things that came from his mouth.</w:t>
      </w:r>
    </w:p>
    <w:p>
      <w:pPr>
        <w:pStyle w:val="ListBullet"/>
        <w:spacing w:line="240" w:lineRule="auto"/>
        <w:ind w:left="720"/>
      </w:pPr>
      <w:r>
        <w:rPr>
          <w:lang w:val="en_US" w:bidi="en_US"/>
        </w:rPr>
      </w:r>
      <w:r>
        <w:rPr>
          <w:lang w:val="en_US" w:bidi="en_US"/>
        </w:rPr>
        <w:t>They marveled at the beautiful words that he said.</w:t>
      </w:r>
    </w:p>
    <w:p>
      <w:pPr/>
      <w:r>
        <w:rPr>
          <w:lang w:val="en_US" w:bidi="en_US"/>
        </w:rPr>
      </w:r>
      <w:r>
        <w:rPr>
          <w:b/>
          <w:lang w:val="en_US" w:bidi="en_US"/>
        </w:rPr>
        <w:t>marveled:</w:t>
      </w:r>
      <w:r>
        <w:rPr>
          <w:lang w:val="en_US" w:bidi="en_US"/>
        </w:rPr>
        <w:t xml:space="preserve"> The Greek verb that the BSB translates as </w:t>
      </w:r>
      <w:r>
        <w:rPr>
          <w:i/>
          <w:lang w:val="en_US" w:bidi="en_US"/>
        </w:rPr>
        <w:t>marveled</w:t>
      </w:r>
      <w:r>
        <w:rPr>
          <w:lang w:val="en_US" w:bidi="en_US"/>
        </w:rPr>
        <w:t xml:space="preserve"> also means “were amazed” or “admired.” Another way to translate this is:</w:t>
      </w:r>
    </w:p>
    <w:p>
      <w:pPr/>
      <w:r>
        <w:rPr>
          <w:lang w:val="en_US" w:bidi="en_US"/>
        </w:rPr>
      </w:r>
      <w:r>
        <w:rPr>
          <w:lang w:val="en_US" w:bidi="en_US"/>
        </w:rPr>
        <w:t>wondered (RSV)</w:t>
      </w:r>
    </w:p>
    <w:p>
      <w:pPr/>
      <w:r>
        <w:rPr>
          <w:lang w:val="en_US" w:bidi="en_US"/>
        </w:rPr>
      </w:r>
      <w:r>
        <w:rPr>
          <w:lang w:val="en_US" w:bidi="en_US"/>
        </w:rPr>
        <w:t>This word also occurs at 2:18.</w:t>
      </w:r>
    </w:p>
    <w:p>
      <w:pPr/>
      <w:r>
        <w:rPr>
          <w:lang w:val="en_US" w:bidi="en_US"/>
        </w:rPr>
      </w:r>
      <w:r>
        <w:rPr>
          <w:b/>
          <w:lang w:val="en_US" w:bidi="en_US"/>
        </w:rPr>
        <w:t>the gracious words that came from His lips:</w:t>
      </w:r>
      <w:r>
        <w:rPr>
          <w:lang w:val="en_US" w:bidi="en_US"/>
        </w:rPr>
        <w:t xml:space="preserve"> Here are some other ways to translate the phrase that the BSB translates as </w:t>
      </w:r>
      <w:r>
        <w:rPr>
          <w:i/>
          <w:lang w:val="en_US" w:bidi="en_US"/>
        </w:rPr>
        <w:t>the gracious words that came from His lips</w:t>
      </w:r>
      <w:r>
        <w:rPr>
          <w:lang w:val="en_US" w:bidi="en_US"/>
        </w:rPr>
        <w:t>:</w:t>
      </w:r>
    </w:p>
    <w:p>
      <w:pPr/>
      <w:r>
        <w:rPr>
          <w:lang w:val="en_US" w:bidi="en_US"/>
        </w:rPr>
      </w:r>
      <w:r>
        <w:rPr>
          <w:lang w:val="en_US" w:bidi="en_US"/>
        </w:rPr>
        <w:t>the wonderful things he said (CEV)</w:t>
      </w:r>
    </w:p>
    <w:p>
      <w:pPr/>
      <w:r>
        <w:rPr>
          <w:lang w:val="en_US" w:bidi="en_US"/>
        </w:rPr>
      </w:r>
      <w:r>
        <w:rPr>
          <w:lang w:val="en_US" w:bidi="en_US"/>
        </w:rPr>
        <w:t>the eloquent words that he spoke (GNT)</w:t>
      </w:r>
    </w:p>
    <w:p>
      <w:pPr/>
      <w:r>
        <w:rPr>
          <w:lang w:val="en_US" w:bidi="en_US"/>
        </w:rPr>
      </w:r>
      <w:r>
        <w:rPr>
          <w:b/>
          <w:lang w:val="en_US" w:bidi="en_US"/>
        </w:rPr>
        <w:t>gracious:</w:t>
      </w:r>
      <w:r>
        <w:rPr>
          <w:lang w:val="en_US" w:bidi="en_US"/>
        </w:rPr>
        <w:t xml:space="preserve"> The Greek word that the BSB translates as </w:t>
      </w:r>
      <w:r>
        <w:rPr>
          <w:i/>
          <w:lang w:val="en_US" w:bidi="en_US"/>
        </w:rPr>
        <w:t>gracious</w:t>
      </w:r>
      <w:r>
        <w:rPr>
          <w:lang w:val="en_US" w:bidi="en_US"/>
        </w:rPr>
        <w:t xml:space="preserve"> means “appealing, attractive, wonderful, beautiful.”</w:t>
      </w:r>
    </w:p>
    <w:p>
      <w:pPr/>
      <w:r>
        <w:rPr>
          <w:lang w:val="en_US" w:bidi="en_US"/>
        </w:rPr>
      </w:r>
      <w:r>
        <w:rPr>
          <w:b/>
          <w:lang w:val="en_US" w:bidi="en_US"/>
        </w:rPr>
        <w:t>came from His lips:</w:t>
      </w:r>
      <w:r>
        <w:rPr>
          <w:lang w:val="en_US" w:bidi="en_US"/>
        </w:rPr>
        <w:t xml:space="preserve"> The phrase </w:t>
      </w:r>
      <w:r>
        <w:rPr>
          <w:i/>
          <w:lang w:val="en_US" w:bidi="en_US"/>
        </w:rPr>
        <w:t>came from His lips</w:t>
      </w:r>
      <w:r>
        <w:rPr>
          <w:lang w:val="en_US" w:bidi="en_US"/>
        </w:rPr>
        <w:t xml:space="preserve"> is literally “coming out from his mouth.” This is an idiom. It simply means “he said/spoke.” Unless you have a similar idiom in your language, you should not use the word for “mouth” or “lips” in your translation.</w:t>
      </w:r>
    </w:p>
    <w:p>
      <w:pPr>
        <w:pStyle w:val="Heading5"/>
      </w:pPr>
      <w:r>
        <w:rPr>
          <w:lang w:val="en_US" w:bidi="en_US"/>
        </w:rPr>
        <w:t>4:22c</w:t>
      </w:r>
    </w:p>
    <w:p>
      <w:pPr/>
      <w:r>
        <w:rPr>
          <w:lang w:val="en_US" w:bidi="en_US"/>
        </w:rPr>
      </w:r>
      <w:r>
        <w:rPr>
          <w:b/>
          <w:lang w:val="en_US" w:bidi="en_US"/>
        </w:rPr>
        <w:t>“Isn’t this the son of Joseph?” they asked.</w:t>
      </w:r>
    </w:p>
    <w:p>
      <w:pPr>
        <w:pStyle w:val="ListBullet"/>
        <w:spacing w:line="240" w:lineRule="auto"/>
        <w:ind w:left="720"/>
      </w:pPr>
      <w:r>
        <w:rPr>
          <w:lang w:val="en_US" w:bidi="en_US"/>
        </w:rPr>
      </w:r>
      <w:r>
        <w:rPr>
          <w:lang w:val="en_US" w:bidi="en_US"/>
        </w:rPr>
        <w:t>They asked, “Isn’t he Joseph’s son?”</w:t>
      </w:r>
    </w:p>
    <w:p>
      <w:pPr>
        <w:pStyle w:val="ListBullet"/>
        <w:spacing w:line="240" w:lineRule="auto"/>
        <w:ind w:left="720"/>
      </w:pPr>
      <w:r>
        <w:rPr>
          <w:lang w:val="en_US" w:bidi="en_US"/>
        </w:rPr>
      </w:r>
      <w:r>
        <w:rPr>
          <w:lang w:val="en_US" w:bidi="en_US"/>
        </w:rPr>
        <w:t>Then</w:t>
      </w:r>
      <w:r>
        <w:rPr>
          <w:lang w:val="en_US" w:bidi="en_US"/>
        </w:rPr>
        <w:t xml:space="preserve"> they said, “This is </w:t>
      </w:r>
      <w:r>
        <w:rPr>
          <w:lang w:val="en_US" w:bidi="en_US"/>
        </w:rPr>
        <w:t>just</w:t>
      </w:r>
      <w:r>
        <w:rPr>
          <w:lang w:val="en_US" w:bidi="en_US"/>
        </w:rPr>
        <w:t xml:space="preserve"> Joseph’s son!”</w:t>
      </w:r>
    </w:p>
    <w:p>
      <w:pPr/>
      <w:r>
        <w:rPr>
          <w:lang w:val="en_US" w:bidi="en_US"/>
        </w:rPr>
      </w:r>
      <w:r>
        <w:rPr>
          <w:b/>
          <w:lang w:val="en_US" w:bidi="en_US"/>
        </w:rPr>
        <w:t>Isn’t this the son of Joseph?:</w:t>
      </w:r>
      <w:r>
        <w:rPr>
          <w:lang w:val="en_US" w:bidi="en_US"/>
        </w:rPr>
        <w:t xml:space="preserve"> This is a rhetorical question. It expresses surprise and amazement. The people were incredulous. This was Jesus’ hometown, and people there had known him for many years. The rhetorical question reflects their incredulity. He was so familiar to them that they were not willing to accept that he could be the fulfillment of this prophecy. You may want to express this in a footnote in your translation.</w:t>
      </w:r>
    </w:p>
    <w:p>
      <w:pPr/>
      <w:r>
        <w:rPr>
          <w:lang w:val="en_US" w:bidi="en_US"/>
        </w:rPr>
      </w:r>
      <w:r>
        <w:rPr>
          <w:lang w:val="en_US" w:bidi="en_US"/>
        </w:rPr>
        <w:t>The people assumed that the answer to their question was “yes.” The people in the synagogue had seen Jesus grow up in their town. They found it difficult to accept that Jesus, whom they thought they knew well, spoke as well he did.</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As a rhetorical question. For example:</w:t>
      </w:r>
      <w:r>
        <w:rPr>
          <w:lang w:val="en_US" w:bidi="en_US"/>
        </w:rPr>
        <w:t>Isn’t he Joseph’s son?</w:t>
      </w:r>
      <w:r>
        <w:rPr>
          <w:lang w:val="en_US" w:bidi="en_US"/>
        </w:rPr>
        <w:t>This is Joseph’s son?</w:t>
      </w:r>
    </w:p>
    <w:p>
      <w:pPr>
        <w:pStyle w:val="ListBullet"/>
        <w:spacing w:line="240" w:lineRule="auto"/>
        <w:ind w:left="720"/>
      </w:pPr>
      <w:r>
        <w:rPr>
          <w:lang w:val="en_US" w:bidi="en_US"/>
        </w:rPr>
      </w:r>
      <w:r>
        <w:rPr>
          <w:lang w:val="en_US" w:bidi="en_US"/>
        </w:rPr>
        <w:t>As a statement. For example:</w:t>
      </w:r>
      <w:r>
        <w:rPr>
          <w:lang w:val="en_US" w:bidi="en_US"/>
        </w:rPr>
        <w:t xml:space="preserve">This is </w:t>
      </w:r>
      <w:r>
        <w:rPr>
          <w:lang w:val="en_US" w:bidi="en_US"/>
        </w:rPr>
        <w:t>just</w:t>
      </w:r>
      <w:r>
        <w:rPr>
          <w:lang w:val="en_US" w:bidi="en_US"/>
        </w:rPr>
        <w:t xml:space="preserve"> Joseph’s son.</w:t>
      </w:r>
      <w:r>
        <w:rPr>
          <w:lang w:val="en_US" w:bidi="en_US"/>
        </w:rPr>
        <w:t xml:space="preserve">This is Joseph’s son! </w:t>
      </w:r>
      <w:r>
        <w:rPr>
          <w:lang w:val="en_US" w:bidi="en_US"/>
        </w:rPr>
        <w:t>We have known him for years</w:t>
      </w:r>
      <w:r>
        <w:rPr>
          <w:lang w:val="en_US" w:bidi="en_US"/>
        </w:rPr>
        <w:t>.</w:t>
      </w:r>
    </w:p>
    <w:p>
      <w:pPr/>
      <w:r>
        <w:rPr>
          <w:lang w:val="en_US" w:bidi="en_US"/>
        </w:rPr>
      </w:r>
      <w:r>
        <w:rPr>
          <w:lang w:val="en_US" w:bidi="en_US"/>
        </w:rPr>
        <w:t>Use the form that is most natural in your language for this kind of amazement.</w:t>
      </w:r>
    </w:p>
    <w:p>
      <w:pPr/>
      <w:r>
        <w:rPr>
          <w:lang w:val="en_US" w:bidi="en_US"/>
        </w:rPr>
      </w:r>
      <w:r>
        <w:rPr>
          <w:b/>
          <w:lang w:val="en_US" w:bidi="en_US"/>
        </w:rPr>
        <w:t>they asked:</w:t>
      </w:r>
      <w:r>
        <w:rPr>
          <w:lang w:val="en_US" w:bidi="en_US"/>
        </w:rPr>
        <w:t xml:space="preserve"> In Greek, the verb that the BSB translates as </w:t>
      </w:r>
      <w:r>
        <w:rPr>
          <w:i/>
          <w:lang w:val="en_US" w:bidi="en_US"/>
        </w:rPr>
        <w:t>they asked</w:t>
      </w:r>
      <w:r>
        <w:rPr>
          <w:lang w:val="en_US" w:bidi="en_US"/>
        </w:rPr>
        <w:t xml:space="preserve"> occurs before the rhetorical question. The BSB has placed the words </w:t>
      </w:r>
      <w:r>
        <w:rPr>
          <w:i/>
          <w:lang w:val="en_US" w:bidi="en_US"/>
        </w:rPr>
        <w:t>they asked</w:t>
      </w:r>
      <w:r>
        <w:rPr>
          <w:lang w:val="en_US" w:bidi="en_US"/>
        </w:rPr>
        <w:t xml:space="preserve"> after the question. Place them where it is natural in your language.</w:t>
      </w:r>
    </w:p>
    <w:p>
      <w:pPr/>
      <w:r>
        <w:rPr>
          <w:lang w:val="en_US" w:bidi="en_US"/>
        </w:rPr>
      </w:r>
      <w:r>
        <w:rPr>
          <w:b/>
          <w:lang w:val="en_US" w:bidi="en_US"/>
        </w:rPr>
        <w:t>asked:</w:t>
      </w:r>
      <w:r>
        <w:rPr>
          <w:lang w:val="en_US" w:bidi="en_US"/>
        </w:rPr>
        <w:t xml:space="preserve"> In some languages, it may be more natural to use a verb other than </w:t>
      </w:r>
      <w:r>
        <w:rPr>
          <w:i/>
          <w:lang w:val="en_US" w:bidi="en_US"/>
        </w:rPr>
        <w:t>asked</w:t>
      </w:r>
      <w:r>
        <w:rPr>
          <w:lang w:val="en_US" w:bidi="en_US"/>
        </w:rPr>
        <w:t xml:space="preserve"> to introduce a rhetorical question. Do not use a word that only introduces questions that require an answer.</w:t>
      </w:r>
      <w:r>
        <w:rPr>
          <w:lang w:val="en_US" w:bidi="en_US"/>
        </w:rPr>
      </w:r>
      <w:r>
        <w:rPr>
          <w:lang w:val="en_US" w:bidi="en_US"/>
        </w:rPr>
      </w:r>
    </w:p>
    <w:p>
      <w:pPr/>
      <w:r>
        <w:rPr>
          <w:lang w:val="en_US" w:bidi="en_US"/>
        </w:rPr>
      </w:r>
    </w:p>
    <w:p>
      <w:pPr>
        <w:pStyle w:val="Heading2"/>
      </w:pPr>
      <w:r>
        <w:rPr>
          <w:lang w:val="en_US" w:bidi="en_US"/>
        </w:rPr>
        <w:t>Luke 4:23</w:t>
      </w:r>
      <w:r>
        <w:rPr>
          <w:lang w:val="en_US" w:bidi="en_US"/>
        </w:rPr>
      </w:r>
    </w:p>
    <w:p>
      <w:pPr>
        <w:pStyle w:val="Heading4"/>
      </w:pPr>
      <w:r>
        <w:rPr>
          <w:lang w:val="en_US" w:bidi="en_US"/>
        </w:rPr>
        <w:t>Section 4:14–30: The people rejected Jesus at Nazareth</w:t>
      </w:r>
    </w:p>
    <w:p>
      <w:pPr/>
      <w:r>
        <w:rPr>
          <w:lang w:val="en_US" w:bidi="en_US"/>
        </w:rPr>
      </w:r>
      <w:r>
        <w:rPr>
          <w:lang w:val="en_US" w:bidi="en_US"/>
        </w:rP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pPr/>
      <w:r>
        <w:rPr>
          <w:lang w:val="en_US" w:bidi="en_US"/>
        </w:rPr>
      </w:r>
      <w:r>
        <w:rPr>
          <w:lang w:val="en_US" w:bidi="en_US"/>
        </w:rPr>
        <w:t>Some other possible headings for this section are:</w:t>
      </w:r>
    </w:p>
    <w:p>
      <w:pPr/>
      <w:r>
        <w:rPr>
          <w:lang w:val="en_US" w:bidi="en_US"/>
        </w:rPr>
      </w:r>
      <w:r>
        <w:rPr>
          <w:lang w:val="en_US" w:bidi="en_US"/>
        </w:rPr>
        <w:t>The People of Nazareth Turn against Jesus (CEV)</w:t>
      </w:r>
    </w:p>
    <w:p>
      <w:pPr/>
      <w:r>
        <w:rPr>
          <w:lang w:val="en_US" w:bidi="en_US"/>
        </w:rPr>
      </w:r>
      <w:r>
        <w:rPr>
          <w:lang w:val="en_US" w:bidi="en_US"/>
        </w:rPr>
        <w:t>Jesus Rejected at Nazareth (ESV)</w:t>
      </w:r>
    </w:p>
    <w:p>
      <w:pPr/>
      <w:r>
        <w:rPr>
          <w:lang w:val="en_US" w:bidi="en_US"/>
        </w:rPr>
      </w:r>
      <w:r>
        <w:rPr>
          <w:lang w:val="en_US" w:bidi="en_US"/>
        </w:rPr>
        <w:t>There is a parallel passage for this section in Mark 6:1–6.</w:t>
      </w:r>
    </w:p>
    <w:p>
      <w:pPr>
        <w:pStyle w:val="Heading5"/>
      </w:pPr>
      <w:r>
        <w:rPr>
          <w:lang w:val="en_US" w:bidi="en_US"/>
        </w:rPr>
        <w:t>4:23a</w:t>
      </w:r>
    </w:p>
    <w:p>
      <w:pPr/>
      <w:r>
        <w:rPr>
          <w:lang w:val="en_US" w:bidi="en_US"/>
        </w:rPr>
      </w:r>
      <w:r>
        <w:rPr>
          <w:b/>
          <w:lang w:val="en_US" w:bidi="en_US"/>
        </w:rPr>
        <w:t>Jesus said to them, “Surely you will quote this proverb to Me:</w:t>
      </w:r>
    </w:p>
    <w:p>
      <w:pPr>
        <w:pStyle w:val="ListBullet"/>
        <w:spacing w:line="240" w:lineRule="auto"/>
        <w:ind w:left="720"/>
      </w:pPr>
      <w:r>
        <w:rPr>
          <w:lang w:val="en_US" w:bidi="en_US"/>
        </w:rPr>
      </w:r>
      <w:r>
        <w:rPr>
          <w:lang w:val="en_US" w:bidi="en_US"/>
        </w:rPr>
        <w:t>¶ Jesus said to them, “You</w:t>
      </w:r>
      <w:r>
        <w:rPr>
          <w:vertAlign w:val="superscript"/>
          <w:lang w:val="en_US" w:bidi="en_US"/>
        </w:rPr>
        <w:t>(plur)</w:t>
      </w:r>
      <w:r>
        <w:rPr>
          <w:lang w:val="en_US" w:bidi="en_US"/>
        </w:rPr>
        <w:t xml:space="preserve"> will certainly tell me this proverb,</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he said to the people, “I am sure that you</w:t>
      </w:r>
      <w:r>
        <w:rPr>
          <w:vertAlign w:val="superscript"/>
          <w:lang w:val="en_US" w:bidi="en_US"/>
        </w:rPr>
        <w:t>(plur)</w:t>
      </w:r>
      <w:r>
        <w:rPr>
          <w:lang w:val="en_US" w:bidi="en_US"/>
        </w:rPr>
        <w:t xml:space="preserve"> </w:t>
      </w:r>
      <w:r>
        <w:rPr>
          <w:lang w:val="en_US" w:bidi="en_US"/>
        </w:rPr>
        <w:t>want to</w:t>
      </w:r>
      <w:r>
        <w:rPr>
          <w:lang w:val="en_US" w:bidi="en_US"/>
        </w:rPr>
        <w:t xml:space="preserve"> tell me the saying:</w:t>
      </w:r>
    </w:p>
    <w:p>
      <w:pPr/>
      <w:r>
        <w:rPr>
          <w:lang w:val="en_US" w:bidi="en_US"/>
        </w:rPr>
      </w:r>
      <w:r>
        <w:rPr>
          <w:lang w:val="en_US" w:bidi="en_US"/>
        </w:rPr>
        <w:t>This verse begins with a Greek conjunction that is often translated as “and.” Some English versions, such as the ESV, translate it that way. The BSB has not translated this conjunction here, and some other versions such as the NIV and NET also do not translate it. However, since the events in this paragraph occurred after the events in 4:20–22, in some languages, it may be natural to begin this paragraph with a time word or phrase. For example:</w:t>
      </w:r>
    </w:p>
    <w:p>
      <w:pPr/>
      <w:r>
        <w:rPr>
          <w:lang w:val="en_US" w:bidi="en_US"/>
        </w:rPr>
      </w:r>
      <w:r>
        <w:rPr>
          <w:lang w:val="en_US" w:bidi="en_US"/>
        </w:rPr>
        <w:t>Then he said (NLT)</w:t>
      </w:r>
    </w:p>
    <w:p>
      <w:pPr/>
      <w:r>
        <w:rPr>
          <w:lang w:val="en_US" w:bidi="en_US"/>
        </w:rPr>
      </w:r>
      <w:r>
        <w:rPr>
          <w:lang w:val="en_US" w:bidi="en_US"/>
        </w:rPr>
        <w:t>Connect 4:23a to 4:22c in a way that is natural in your language.</w:t>
      </w:r>
    </w:p>
    <w:p>
      <w:pPr/>
      <w:r>
        <w:rPr>
          <w:lang w:val="en_US" w:bidi="en_US"/>
        </w:rPr>
      </w:r>
      <w:r>
        <w:rPr>
          <w:b/>
          <w:lang w:val="en_US" w:bidi="en_US"/>
        </w:rPr>
        <w:t>Surely:</w:t>
      </w:r>
      <w:r>
        <w:rPr>
          <w:lang w:val="en_US" w:bidi="en_US"/>
        </w:rPr>
        <w:t xml:space="preserve"> The Greek word that the BSB translates as </w:t>
      </w:r>
      <w:r>
        <w:rPr>
          <w:i/>
          <w:lang w:val="en_US" w:bidi="en_US"/>
        </w:rPr>
        <w:t>Surely</w:t>
      </w:r>
      <w:r>
        <w:rPr>
          <w:lang w:val="en_US" w:bidi="en_US"/>
        </w:rPr>
        <w:t xml:space="preserve"> means “it is sure that,” “certainly,” or “without a doubt.” Some other ways to translate this are:</w:t>
      </w:r>
    </w:p>
    <w:p>
      <w:pPr/>
      <w:r>
        <w:rPr>
          <w:lang w:val="en_US" w:bidi="en_US"/>
        </w:rPr>
      </w:r>
      <w:r>
        <w:rPr>
          <w:lang w:val="en_US" w:bidi="en_US"/>
        </w:rPr>
        <w:t>I know that (NCV)</w:t>
      </w:r>
    </w:p>
    <w:p>
      <w:pPr/>
      <w:r>
        <w:rPr>
          <w:lang w:val="en_US" w:bidi="en_US"/>
        </w:rPr>
      </w:r>
      <w:r>
        <w:rPr>
          <w:lang w:val="en_US" w:bidi="en_US"/>
        </w:rPr>
        <w:t>certainly (CEV)</w:t>
      </w:r>
    </w:p>
    <w:p>
      <w:pPr/>
      <w:r>
        <w:rPr>
          <w:lang w:val="en_US" w:bidi="en_US"/>
        </w:rPr>
      </w:r>
      <w:r>
        <w:rPr>
          <w:b/>
          <w:lang w:val="en_US" w:bidi="en_US"/>
        </w:rPr>
        <w:t>quote:</w:t>
      </w:r>
      <w:r>
        <w:rPr>
          <w:lang w:val="en_US" w:bidi="en_US"/>
        </w:rPr>
        <w:t xml:space="preserve"> The Greek word that the BSB translates as </w:t>
      </w:r>
      <w:r>
        <w:rPr>
          <w:i/>
          <w:lang w:val="en_US" w:bidi="en_US"/>
        </w:rPr>
        <w:t>quote</w:t>
      </w:r>
      <w:r>
        <w:rPr>
          <w:lang w:val="en_US" w:bidi="en_US"/>
        </w:rPr>
        <w:t xml:space="preserve"> is literally “say” (as in the KJV). The word </w:t>
      </w:r>
      <w:r>
        <w:rPr>
          <w:i/>
          <w:lang w:val="en_US" w:bidi="en_US"/>
        </w:rPr>
        <w:t>quote</w:t>
      </w:r>
      <w:r>
        <w:rPr>
          <w:lang w:val="en_US" w:bidi="en_US"/>
        </w:rPr>
        <w:t xml:space="preserve"> is the natural English expression for repeating words that someone else has already said or written.</w:t>
      </w:r>
    </w:p>
    <w:p>
      <w:pPr/>
      <w:r>
        <w:rPr>
          <w:lang w:val="en_US" w:bidi="en_US"/>
        </w:rPr>
      </w:r>
      <w:r>
        <w:rPr>
          <w:b/>
          <w:lang w:val="en_US" w:bidi="en_US"/>
        </w:rPr>
        <w:t>this:</w:t>
      </w:r>
      <w:r>
        <w:rPr>
          <w:lang w:val="en_US" w:bidi="en_US"/>
        </w:rPr>
        <w:t xml:space="preserve"> In this context, the word </w:t>
      </w:r>
      <w:r>
        <w:rPr>
          <w:i/>
          <w:lang w:val="en_US" w:bidi="en_US"/>
        </w:rPr>
        <w:t>this</w:t>
      </w:r>
      <w:r>
        <w:rPr>
          <w:lang w:val="en_US" w:bidi="en_US"/>
        </w:rPr>
        <w:t xml:space="preserve"> refers to the proverb which follows in 4:23b. It does not refer to something that came before this verse.</w:t>
      </w:r>
    </w:p>
    <w:p>
      <w:pPr/>
      <w:r>
        <w:rPr>
          <w:lang w:val="en_US" w:bidi="en_US"/>
        </w:rPr>
      </w:r>
      <w:r>
        <w:rPr>
          <w:lang w:val="en_US" w:bidi="en_US"/>
        </w:rPr>
        <w:t>If the word “this” in your language refers only to something that precedes it, you should say:</w:t>
      </w:r>
    </w:p>
    <w:p>
      <w:pPr/>
      <w:r>
        <w:rPr>
          <w:lang w:val="en_US" w:bidi="en_US"/>
        </w:rPr>
      </w:r>
      <w:r>
        <w:rPr>
          <w:lang w:val="en_US" w:bidi="en_US"/>
        </w:rPr>
        <w:t>the proverb</w:t>
      </w:r>
    </w:p>
    <w:p>
      <w:pPr/>
      <w:r>
        <w:rPr>
          <w:lang w:val="en_US" w:bidi="en_US"/>
        </w:rPr>
      </w:r>
      <w:r>
        <w:rPr>
          <w:lang w:val="en_US" w:bidi="en_US"/>
        </w:rPr>
        <w:t>the following proverb</w:t>
      </w:r>
    </w:p>
    <w:p>
      <w:pPr/>
      <w:r>
        <w:rPr>
          <w:lang w:val="en_US" w:bidi="en_US"/>
        </w:rPr>
      </w:r>
      <w:r>
        <w:rPr>
          <w:b/>
          <w:lang w:val="en_US" w:bidi="en_US"/>
        </w:rPr>
        <w:t>proverb:</w:t>
      </w:r>
      <w:r>
        <w:rPr>
          <w:lang w:val="en_US" w:bidi="en_US"/>
        </w:rPr>
        <w:t xml:space="preserve"> The Greek word that the BSB translates here as </w:t>
      </w:r>
      <w:r>
        <w:rPr>
          <w:i/>
          <w:lang w:val="en_US" w:bidi="en_US"/>
        </w:rPr>
        <w:t>proverb</w:t>
      </w:r>
      <w:r>
        <w:rPr>
          <w:lang w:val="en_US" w:bidi="en_US"/>
        </w:rPr>
        <w:t xml:space="preserve"> refers to a saying or expression that many people have heard.</w:t>
      </w:r>
      <w:r>
        <w:rPr>
          <w:lang w:val="en_US" w:bidi="en_US"/>
        </w:rPr>
        <w:t>This Greek word is used to describe different types of wise speech, such as proverbs, illustrations, and metaphors. In 5:36a many English versions translate this word as “parable.”</w:t>
      </w:r>
      <w:r>
        <w:rPr>
          <w:lang w:val="en_US" w:bidi="en_US"/>
        </w:rPr>
        <w:t xml:space="preserve"> The well-known saying that Jesus was referring to is in 4:23b. See also parable, Type 1, in the Glossary.</w:t>
      </w:r>
    </w:p>
    <w:p>
      <w:pPr>
        <w:pStyle w:val="Heading5"/>
      </w:pPr>
      <w:r>
        <w:rPr>
          <w:lang w:val="en_US" w:bidi="en_US"/>
        </w:rPr>
        <w:t>4:23b</w:t>
      </w:r>
    </w:p>
    <w:p>
      <w:pPr/>
      <w:r>
        <w:rPr>
          <w:lang w:val="en_US" w:bidi="en_US"/>
        </w:rPr>
      </w:r>
      <w:r>
        <w:rPr>
          <w:b/>
          <w:lang w:val="en_US" w:bidi="en_US"/>
        </w:rPr>
        <w:t>‘Physician, heal yourself!</w:t>
      </w:r>
    </w:p>
    <w:p>
      <w:pPr>
        <w:pStyle w:val="ListBullet"/>
        <w:spacing w:line="240" w:lineRule="auto"/>
        <w:ind w:left="720"/>
      </w:pPr>
      <w:r>
        <w:rPr>
          <w:lang w:val="en_US" w:bidi="en_US"/>
        </w:rPr>
      </w:r>
      <w:r>
        <w:rPr>
          <w:lang w:val="en_US" w:bidi="en_US"/>
        </w:rPr>
        <w:t>‘Doctor, heal/cure yourself!’</w:t>
      </w:r>
    </w:p>
    <w:p>
      <w:pPr>
        <w:pStyle w:val="ListBullet"/>
        <w:spacing w:line="240" w:lineRule="auto"/>
        <w:ind w:left="720"/>
      </w:pPr>
      <w:r>
        <w:rPr>
          <w:lang w:val="en_US" w:bidi="en_US"/>
        </w:rPr>
      </w:r>
      <w:r>
        <w:rPr>
          <w:lang w:val="en_US" w:bidi="en_US"/>
        </w:rPr>
        <w:t>‘Doctor, make your</w:t>
      </w:r>
      <w:r>
        <w:rPr>
          <w:vertAlign w:val="superscript"/>
          <w:lang w:val="en_US" w:bidi="en_US"/>
        </w:rPr>
        <w:t>(sing)</w:t>
      </w:r>
      <w:r>
        <w:rPr>
          <w:lang w:val="en_US" w:bidi="en_US"/>
        </w:rPr>
        <w:t xml:space="preserve"> own self well!’</w:t>
      </w:r>
    </w:p>
    <w:p>
      <w:pPr>
        <w:pStyle w:val="Heading5"/>
      </w:pPr>
      <w:r>
        <w:rPr>
          <w:lang w:val="en_US" w:bidi="en_US"/>
        </w:rPr>
        <w:t>4:23b–d</w:t>
      </w:r>
    </w:p>
    <w:p>
      <w:pPr/>
      <w:r>
        <w:rPr>
          <w:lang w:val="en_US" w:bidi="en_US"/>
        </w:rPr>
      </w:r>
      <w:r>
        <w:rPr>
          <w:lang w:val="en_US" w:bidi="en_US"/>
        </w:rPr>
        <w:t>Jesus gave two quotations in 4:23b–d. In 4:23b he quoted the proverb. Then in 4:23c–d he quoted the words that the people wanted to say to him about the proverb. You may want to use separate sets of quotation marks for the proverb and for what the people say about it. If you decide to do that, you should close the quote for the proverb at the end of 4:23b. Then, after a word or phrase introducing the second quotation, you can use a separate set of quotation marks in 4:23c–d. For example:</w:t>
      </w:r>
    </w:p>
    <w:p>
      <w:pPr/>
      <w:r>
        <w:rPr>
          <w:lang w:val="en_US" w:bidi="en_US"/>
        </w:rPr>
      </w:r>
      <w:r>
        <w:rPr>
          <w:vertAlign w:val="superscript"/>
          <w:lang w:val="en_US" w:bidi="en_US"/>
        </w:rPr>
        <w:t>23</w:t>
      </w:r>
      <w:r>
        <w:rPr>
          <w:lang w:val="en_US" w:bidi="en_US"/>
        </w:rPr>
        <w:t xml:space="preserve">Then he said, “You will undoubtedly quote me this proverb: ‘Physician, heal yourself’—meaning, ‘Do miracles here in your hometown like those you did in Capernaum.’ </w:t>
      </w:r>
      <w:r>
        <w:rPr>
          <w:vertAlign w:val="superscript"/>
          <w:lang w:val="en_US" w:bidi="en_US"/>
        </w:rPr>
        <w:t>24a</w:t>
      </w:r>
      <w:r>
        <w:rPr>
          <w:lang w:val="en_US" w:bidi="en_US"/>
        </w:rPr>
        <w:t>But I tell you the truth…” (NLT)</w:t>
      </w:r>
    </w:p>
    <w:p>
      <w:pPr/>
      <w:r>
        <w:rPr>
          <w:lang w:val="en_US" w:bidi="en_US"/>
        </w:rPr>
      </w:r>
      <w:r>
        <w:rPr>
          <w:b/>
          <w:lang w:val="en_US" w:bidi="en_US"/>
        </w:rPr>
        <w:t>Physician, heal yourself!:</w:t>
      </w:r>
      <w:r>
        <w:rPr>
          <w:lang w:val="en_US" w:bidi="en_US"/>
        </w:rPr>
        <w:t xml:space="preserve"> The expression </w:t>
      </w:r>
      <w:r>
        <w:rPr>
          <w:i/>
          <w:lang w:val="en_US" w:bidi="en_US"/>
        </w:rPr>
        <w:t>Physician, heal yourself</w:t>
      </w:r>
      <w:r>
        <w:rPr>
          <w:lang w:val="en_US" w:bidi="en_US"/>
        </w:rPr>
        <w:t xml:space="preserve"> was a proverb in Jesus’ time. It meant that someone who claimed to have special abilities should use them to help himself and his own people, as well as to help others. Some other ways to translate this are:</w:t>
      </w:r>
    </w:p>
    <w:p>
      <w:pPr/>
      <w:r>
        <w:rPr>
          <w:lang w:val="en_US" w:bidi="en_US"/>
        </w:rPr>
      </w:r>
      <w:r>
        <w:rPr>
          <w:lang w:val="en_US" w:bidi="en_US"/>
        </w:rPr>
        <w:t>Doctor, cure yourself! (GW)</w:t>
      </w:r>
    </w:p>
    <w:p>
      <w:pPr/>
      <w:r>
        <w:rPr>
          <w:lang w:val="en_US" w:bidi="en_US"/>
        </w:rPr>
      </w:r>
      <w:r>
        <w:rPr>
          <w:lang w:val="en_US" w:bidi="en_US"/>
        </w:rPr>
        <w:t>Doctor, first make yourself well. (CEV)</w:t>
      </w:r>
    </w:p>
    <w:p>
      <w:pPr/>
      <w:r>
        <w:rPr>
          <w:lang w:val="en_US" w:bidi="en_US"/>
        </w:rPr>
      </w:r>
      <w:r>
        <w:rPr>
          <w:lang w:val="en_US" w:bidi="en_US"/>
        </w:rPr>
        <w:t>The people did not mean Jesus was a physician or that Jesus was sick.</w:t>
      </w:r>
    </w:p>
    <w:p>
      <w:pPr/>
      <w:r>
        <w:rPr>
          <w:lang w:val="en_US" w:bidi="en_US"/>
        </w:rPr>
      </w:r>
      <w:r>
        <w:rPr>
          <w:b/>
          <w:lang w:val="en_US" w:bidi="en_US"/>
        </w:rPr>
        <w:t>Physician:</w:t>
      </w:r>
      <w:r>
        <w:rPr>
          <w:lang w:val="en_US" w:bidi="en_US"/>
        </w:rPr>
        <w:t xml:space="preserve"> The Greek word that the BSB translates as </w:t>
      </w:r>
      <w:r>
        <w:rPr>
          <w:i/>
          <w:lang w:val="en_US" w:bidi="en_US"/>
        </w:rPr>
        <w:t>Physician</w:t>
      </w:r>
      <w:r>
        <w:rPr>
          <w:lang w:val="en_US" w:bidi="en_US"/>
        </w:rPr>
        <w:t xml:space="preserve"> refers to a doctor who heals or cures sick people.</w:t>
      </w:r>
    </w:p>
    <w:p>
      <w:pPr/>
      <w:r>
        <w:rPr>
          <w:lang w:val="en_US" w:bidi="en_US"/>
        </w:rPr>
      </w:r>
      <w:r>
        <w:rPr>
          <w:b/>
          <w:lang w:val="en_US" w:bidi="en_US"/>
        </w:rPr>
        <w:t>heal:</w:t>
      </w:r>
      <w:r>
        <w:rPr>
          <w:lang w:val="en_US" w:bidi="en_US"/>
        </w:rPr>
        <w:t xml:space="preserve"> The word </w:t>
      </w:r>
      <w:r>
        <w:rPr>
          <w:i/>
          <w:lang w:val="en_US" w:bidi="en_US"/>
        </w:rPr>
        <w:t>heal</w:t>
      </w:r>
      <w:r>
        <w:rPr>
          <w:lang w:val="en_US" w:bidi="en_US"/>
        </w:rPr>
        <w:t xml:space="preserve"> means “to cure, to make well.”</w:t>
      </w:r>
    </w:p>
    <w:p>
      <w:pPr>
        <w:pStyle w:val="Heading5"/>
      </w:pPr>
      <w:r>
        <w:rPr>
          <w:lang w:val="en_US" w:bidi="en_US"/>
        </w:rPr>
        <w:t>4:23c–d</w:t>
      </w:r>
    </w:p>
    <w:p>
      <w:pPr/>
      <w:r>
        <w:rPr>
          <w:lang w:val="en_US" w:bidi="en_US"/>
        </w:rPr>
      </w:r>
      <w:r>
        <w:rPr>
          <w:lang w:val="en_US" w:bidi="en_US"/>
        </w:rPr>
        <w:t>Luke 4:23c–d tells why Jesus used this proverb to describe what the people of Nazareth were thinking about him. They had heard that Jesus had performed miracles in the town of Capernaum. Now they wanted Jesus to do miracles for them in Nazareth also. They thought that he ought to benefit them, the people in his own hometown.</w:t>
      </w:r>
    </w:p>
    <w:p>
      <w:pPr/>
      <w:r>
        <w:rPr>
          <w:lang w:val="en_US" w:bidi="en_US"/>
        </w:rPr>
      </w:r>
      <w:r>
        <w:rPr>
          <w:lang w:val="en_US" w:bidi="en_US"/>
        </w:rPr>
        <w:t>In some languages it may be necessary to make it explicit that Jesus was saying what the people thought. He was no longer quoting the proverb. One way to do this is to introduce 4:23c–d with a phrase such as:</w:t>
      </w:r>
    </w:p>
    <w:p>
      <w:pPr/>
      <w:r>
        <w:rPr>
          <w:lang w:val="en_US" w:bidi="en_US"/>
        </w:rPr>
      </w:r>
      <w:r>
        <w:rPr>
          <w:lang w:val="en_US" w:bidi="en_US"/>
        </w:rPr>
        <w:t>You will also say</w:t>
      </w:r>
    </w:p>
    <w:p>
      <w:pPr/>
      <w:r>
        <w:rPr>
          <w:lang w:val="en_US" w:bidi="en_US"/>
        </w:rPr>
      </w:r>
      <w:r>
        <w:rPr>
          <w:lang w:val="en_US" w:bidi="en_US"/>
        </w:rPr>
        <w:t>You will tell me (CEV)</w:t>
      </w:r>
    </w:p>
    <w:p>
      <w:pPr/>
      <w:r>
        <w:rPr>
          <w:lang w:val="en_US" w:bidi="en_US"/>
        </w:rPr>
      </w:r>
      <w:r>
        <w:rPr>
          <w:lang w:val="en_US" w:bidi="en_US"/>
        </w:rPr>
        <w:t>You want to say (NCV)</w:t>
      </w:r>
    </w:p>
    <w:p>
      <w:pPr/>
      <w:r>
        <w:rPr>
          <w:lang w:val="en_US" w:bidi="en_US"/>
        </w:rPr>
      </w:r>
      <w:r>
        <w:rPr>
          <w:lang w:val="en_US" w:bidi="en_US"/>
        </w:rPr>
        <w:t>Another possibility is to translate 4:23c–d into indirect speech. If you do this, you can use an introductory phrase such as:</w:t>
      </w:r>
    </w:p>
    <w:p>
      <w:pPr/>
      <w:r>
        <w:rPr>
          <w:lang w:val="en_US" w:bidi="en_US"/>
        </w:rPr>
      </w:r>
      <w:r>
        <w:rPr>
          <w:lang w:val="en_US" w:bidi="en_US"/>
        </w:rPr>
        <w:t>You will tell me to</w:t>
      </w:r>
    </w:p>
    <w:p>
      <w:pPr/>
      <w:r>
        <w:rPr>
          <w:lang w:val="en_US" w:bidi="en_US"/>
        </w:rPr>
      </w:r>
      <w:r>
        <w:rPr>
          <w:lang w:val="en_US" w:bidi="en_US"/>
        </w:rPr>
        <w:t>See the General Comment on 4:23a–d at the end of 4:23d for an example of using indirect speech.</w:t>
      </w:r>
    </w:p>
    <w:p>
      <w:pPr>
        <w:pStyle w:val="Heading5"/>
      </w:pPr>
      <w:r>
        <w:rPr>
          <w:lang w:val="en_US" w:bidi="en_US"/>
        </w:rPr>
        <w:t>4:23c</w:t>
      </w:r>
    </w:p>
    <w:p>
      <w:pPr/>
      <w:r>
        <w:rPr>
          <w:lang w:val="en_US" w:bidi="en_US"/>
        </w:rPr>
      </w:r>
      <w:r>
        <w:rPr>
          <w:b/>
          <w:lang w:val="en_US" w:bidi="en_US"/>
        </w:rPr>
        <w:t>Do here in Your hometown</w:t>
      </w:r>
    </w:p>
    <w:p>
      <w:pPr>
        <w:pStyle w:val="ListBullet"/>
        <w:spacing w:line="240" w:lineRule="auto"/>
        <w:ind w:left="720"/>
      </w:pPr>
      <w:r>
        <w:rPr>
          <w:lang w:val="en_US" w:bidi="en_US"/>
        </w:rPr>
      </w:r>
      <w:r>
        <w:rPr>
          <w:lang w:val="en_US" w:bidi="en_US"/>
        </w:rPr>
        <w:t>implying/meaning</w:t>
      </w:r>
      <w:r>
        <w:rPr>
          <w:lang w:val="en_US" w:bidi="en_US"/>
        </w:rPr>
        <w:t xml:space="preserve"> ‘Do </w:t>
      </w:r>
      <w:r>
        <w:rPr>
          <w:lang w:val="en_US" w:bidi="en_US"/>
        </w:rPr>
        <w:t>the things</w:t>
      </w:r>
      <w:r>
        <w:rPr>
          <w:lang w:val="en_US" w:bidi="en_US"/>
        </w:rPr>
        <w:t xml:space="preserve"> here in your</w:t>
      </w:r>
      <w:r>
        <w:rPr>
          <w:vertAlign w:val="superscript"/>
          <w:lang w:val="en_US" w:bidi="en_US"/>
        </w:rPr>
        <w:t>(sing)</w:t>
      </w:r>
      <w:r>
        <w:rPr>
          <w:lang w:val="en_US" w:bidi="en_US"/>
        </w:rPr>
        <w:t xml:space="preserve"> hometown</w:t>
      </w:r>
    </w:p>
    <w:p>
      <w:pPr>
        <w:pStyle w:val="ListBullet"/>
        <w:spacing w:line="240" w:lineRule="auto"/>
        <w:ind w:left="720"/>
      </w:pPr>
      <w:r>
        <w:rPr>
          <w:lang w:val="en_US" w:bidi="en_US"/>
        </w:rPr>
      </w:r>
      <w:r>
        <w:rPr>
          <w:lang w:val="en_US" w:bidi="en_US"/>
        </w:rPr>
        <w:t>You will want me to</w:t>
      </w:r>
      <w:r>
        <w:rPr>
          <w:lang w:val="en_US" w:bidi="en_US"/>
        </w:rPr>
        <w:t xml:space="preserve"> do </w:t>
      </w:r>
      <w:r>
        <w:rPr>
          <w:lang w:val="en_US" w:bidi="en_US"/>
        </w:rPr>
        <w:t>miracles</w:t>
      </w:r>
      <w:r>
        <w:rPr>
          <w:lang w:val="en_US" w:bidi="en_US"/>
        </w:rPr>
        <w:t xml:space="preserve"> here in my/our</w:t>
      </w:r>
      <w:r>
        <w:rPr>
          <w:vertAlign w:val="superscript"/>
          <w:lang w:val="en_US" w:bidi="en_US"/>
        </w:rPr>
        <w:t>(incl)</w:t>
      </w:r>
      <w:r>
        <w:rPr>
          <w:lang w:val="en_US" w:bidi="en_US"/>
        </w:rPr>
        <w:t xml:space="preserve"> own town</w:t>
      </w:r>
    </w:p>
    <w:p>
      <w:pPr>
        <w:pStyle w:val="ListBullet"/>
        <w:spacing w:line="240" w:lineRule="auto"/>
        <w:ind w:left="720"/>
      </w:pPr>
      <w:r>
        <w:rPr>
          <w:lang w:val="en_US" w:bidi="en_US"/>
        </w:rPr>
      </w:r>
      <w:r>
        <w:rPr>
          <w:lang w:val="en_US" w:bidi="en_US"/>
        </w:rPr>
        <w:t>and then say to me, ‘Do all the things in your hometown (GW)</w:t>
      </w:r>
    </w:p>
    <w:p>
      <w:pPr/>
      <w:r>
        <w:rPr>
          <w:lang w:val="en_US" w:bidi="en_US"/>
        </w:rPr>
      </w:r>
      <w:r>
        <w:rPr>
          <w:b/>
          <w:lang w:val="en_US" w:bidi="en_US"/>
        </w:rPr>
        <w:t>Do here in Your hometown:</w:t>
      </w:r>
      <w:r>
        <w:rPr>
          <w:lang w:val="en_US" w:bidi="en_US"/>
        </w:rPr>
        <w:t xml:space="preserve"> The word </w:t>
      </w:r>
      <w:r>
        <w:rPr>
          <w:i/>
          <w:lang w:val="en_US" w:bidi="en_US"/>
        </w:rPr>
        <w:t>hometown</w:t>
      </w:r>
      <w:r>
        <w:rPr>
          <w:lang w:val="en_US" w:bidi="en_US"/>
        </w:rPr>
        <w:t xml:space="preserve"> refers to the town where Jesus had lived when he was a boy. Jesus’ hometown was the town of Nazareth (4:16a).</w:t>
      </w:r>
    </w:p>
    <w:p>
      <w:pPr/>
      <w:r>
        <w:rPr>
          <w:lang w:val="en_US" w:bidi="en_US"/>
        </w:rPr>
      </w:r>
      <w:r>
        <w:rPr>
          <w:lang w:val="en_US" w:bidi="en_US"/>
        </w:rPr>
        <w:t>In some languages, it may be necessary to make explicit that the people wanted Jesus to do some miracles. For example:</w:t>
      </w:r>
    </w:p>
    <w:p>
      <w:pPr/>
      <w:r>
        <w:rPr>
          <w:lang w:val="en_US" w:bidi="en_US"/>
        </w:rPr>
      </w:r>
      <w:r>
        <w:rPr>
          <w:lang w:val="en_US" w:bidi="en_US"/>
        </w:rPr>
        <w:t>Do all the things in your hometown (GW)</w:t>
      </w:r>
    </w:p>
    <w:p>
      <w:pPr/>
      <w:r>
        <w:rPr>
          <w:lang w:val="en_US" w:bidi="en_US"/>
        </w:rPr>
      </w:r>
      <w:r>
        <w:rPr>
          <w:lang w:val="en_US" w:bidi="en_US"/>
        </w:rPr>
        <w:t xml:space="preserve">Do </w:t>
      </w:r>
      <w:r>
        <w:rPr>
          <w:lang w:val="en_US" w:bidi="en_US"/>
        </w:rPr>
        <w:t>miracles</w:t>
      </w:r>
      <w:r>
        <w:rPr>
          <w:lang w:val="en_US" w:bidi="en_US"/>
        </w:rPr>
        <w:t xml:space="preserve"> here in your</w:t>
      </w:r>
      <w:r>
        <w:rPr>
          <w:vertAlign w:val="superscript"/>
          <w:lang w:val="en_US" w:bidi="en_US"/>
        </w:rPr>
        <w:t>(sing)</w:t>
      </w:r>
      <w:r>
        <w:rPr>
          <w:lang w:val="en_US" w:bidi="en_US"/>
        </w:rPr>
        <w:t xml:space="preserve"> own town</w:t>
      </w:r>
    </w:p>
    <w:p>
      <w:pPr/>
      <w:r>
        <w:rPr>
          <w:lang w:val="en_US" w:bidi="en_US"/>
        </w:rPr>
      </w:r>
      <w:r>
        <w:rPr>
          <w:b/>
          <w:lang w:val="en_US" w:bidi="en_US"/>
        </w:rPr>
        <w:t>Your hometown:</w:t>
      </w:r>
      <w:r>
        <w:rPr>
          <w:lang w:val="en_US" w:bidi="en_US"/>
        </w:rPr>
        <w:t xml:space="preserve"> In Greek, the pronoun </w:t>
      </w:r>
      <w:r>
        <w:rPr>
          <w:i/>
          <w:lang w:val="en_US" w:bidi="en_US"/>
        </w:rPr>
        <w:t>Your</w:t>
      </w:r>
      <w:r>
        <w:rPr>
          <w:lang w:val="en_US" w:bidi="en_US"/>
        </w:rPr>
        <w:t xml:space="preserve"> is singular. In some languages, it may be more natural to make explicit that it was also the </w:t>
      </w:r>
      <w:r>
        <w:rPr>
          <w:i/>
          <w:lang w:val="en_US" w:bidi="en_US"/>
        </w:rPr>
        <w:t>hometown</w:t>
      </w:r>
      <w:r>
        <w:rPr>
          <w:lang w:val="en_US" w:bidi="en_US"/>
        </w:rPr>
        <w:t xml:space="preserve"> of many of the people to whom Jesus was speaking. For example:</w:t>
      </w:r>
    </w:p>
    <w:p>
      <w:pPr/>
      <w:r>
        <w:rPr>
          <w:lang w:val="en_US" w:bidi="en_US"/>
        </w:rPr>
      </w:r>
      <w:r>
        <w:rPr>
          <w:lang w:val="en_US" w:bidi="en_US"/>
        </w:rPr>
        <w:t>our</w:t>
      </w:r>
      <w:r>
        <w:rPr>
          <w:vertAlign w:val="superscript"/>
          <w:lang w:val="en_US" w:bidi="en_US"/>
        </w:rPr>
        <w:t>(incl)</w:t>
      </w:r>
      <w:r>
        <w:rPr>
          <w:lang w:val="en_US" w:bidi="en_US"/>
        </w:rPr>
        <w:t xml:space="preserve"> hometown</w:t>
      </w:r>
    </w:p>
    <w:p>
      <w:pPr>
        <w:pStyle w:val="Heading5"/>
      </w:pPr>
      <w:r>
        <w:rPr>
          <w:lang w:val="en_US" w:bidi="en_US"/>
        </w:rPr>
        <w:t>4:23d</w:t>
      </w:r>
    </w:p>
    <w:p>
      <w:pPr/>
      <w:r>
        <w:rPr>
          <w:lang w:val="en_US" w:bidi="en_US"/>
        </w:rPr>
      </w:r>
      <w:r>
        <w:rPr>
          <w:b/>
          <w:lang w:val="en_US" w:bidi="en_US"/>
        </w:rPr>
        <w:t>what we have heard that You did in Capernaum.’”</w:t>
      </w:r>
    </w:p>
    <w:p>
      <w:pPr>
        <w:pStyle w:val="ListBullet"/>
        <w:spacing w:line="240" w:lineRule="auto"/>
        <w:ind w:left="720"/>
      </w:pPr>
      <w:r>
        <w:rPr>
          <w:lang w:val="en_US" w:bidi="en_US"/>
        </w:rPr>
      </w:r>
      <w:r>
        <w:rPr>
          <w:lang w:val="en_US" w:bidi="en_US"/>
        </w:rPr>
        <w:t>that we</w:t>
      </w:r>
      <w:r>
        <w:rPr>
          <w:vertAlign w:val="superscript"/>
          <w:lang w:val="en_US" w:bidi="en_US"/>
        </w:rPr>
        <w:t>(excl)</w:t>
      </w:r>
      <w:r>
        <w:rPr>
          <w:lang w:val="en_US" w:bidi="en_US"/>
        </w:rPr>
        <w:t xml:space="preserve"> heard that you</w:t>
      </w:r>
      <w:r>
        <w:rPr>
          <w:vertAlign w:val="superscript"/>
          <w:lang w:val="en_US" w:bidi="en_US"/>
        </w:rPr>
        <w:t>(sing)</w:t>
      </w:r>
      <w:r>
        <w:rPr>
          <w:lang w:val="en_US" w:bidi="en_US"/>
        </w:rPr>
        <w:t xml:space="preserve"> did in Capernaum.'"</w:t>
      </w:r>
    </w:p>
    <w:p>
      <w:pPr>
        <w:pStyle w:val="ListBullet"/>
        <w:spacing w:line="240" w:lineRule="auto"/>
        <w:ind w:left="720"/>
      </w:pPr>
      <w:r>
        <w:rPr>
          <w:lang w:val="en_US" w:bidi="en_US"/>
        </w:rPr>
      </w:r>
      <w:r>
        <w:rPr>
          <w:lang w:val="en_US" w:bidi="en_US"/>
        </w:rPr>
        <w:t>like the ones that you</w:t>
      </w:r>
      <w:r>
        <w:rPr>
          <w:vertAlign w:val="superscript"/>
          <w:lang w:val="en_US" w:bidi="en_US"/>
        </w:rPr>
        <w:t>(plur)</w:t>
      </w:r>
      <w:r>
        <w:rPr>
          <w:lang w:val="en_US" w:bidi="en_US"/>
        </w:rPr>
        <w:t xml:space="preserve"> heard I did in </w:t>
      </w:r>
      <w:r>
        <w:rPr>
          <w:lang w:val="en_US" w:bidi="en_US"/>
        </w:rPr>
        <w:t>the town of</w:t>
      </w:r>
      <w:r>
        <w:rPr>
          <w:lang w:val="en_US" w:bidi="en_US"/>
        </w:rPr>
        <w:t xml:space="preserve"> Capernaum.”</w:t>
      </w:r>
    </w:p>
    <w:p>
      <w:pPr>
        <w:pStyle w:val="ListBullet"/>
        <w:spacing w:line="240" w:lineRule="auto"/>
        <w:ind w:left="720"/>
      </w:pPr>
      <w:r>
        <w:rPr>
          <w:lang w:val="en_US" w:bidi="en_US"/>
        </w:rPr>
      </w:r>
      <w:r>
        <w:rPr>
          <w:lang w:val="en_US" w:bidi="en_US"/>
        </w:rPr>
        <w:t>that we’ve heard you’ve done in Capernaum.'" (GW)</w:t>
      </w:r>
    </w:p>
    <w:p>
      <w:pPr/>
      <w:r>
        <w:rPr>
          <w:lang w:val="en_US" w:bidi="en_US"/>
        </w:rPr>
      </w:r>
      <w:r>
        <w:rPr>
          <w:b/>
          <w:lang w:val="en_US" w:bidi="en_US"/>
        </w:rPr>
        <w:t>what we have heard that You did in Capernaum:</w:t>
      </w:r>
      <w:r>
        <w:rPr>
          <w:lang w:val="en_US" w:bidi="en_US"/>
        </w:rPr>
        <w:t xml:space="preserve"> This refers to the miracles that the people of Nazareth had heard about. Jesus knew that they wanted to see similar things. It may be necessary to make this explicit in either 4:23c or here in 4:23d. An example of making this explicit here in 4:23d is:</w:t>
      </w:r>
    </w:p>
    <w:p>
      <w:pPr/>
      <w:r>
        <w:rPr>
          <w:lang w:val="en_US" w:bidi="en_US"/>
        </w:rPr>
      </w:r>
      <w:r>
        <w:rPr>
          <w:lang w:val="en_US" w:bidi="en_US"/>
        </w:rPr>
        <w:t>the things/miracles</w:t>
      </w:r>
      <w:r>
        <w:rPr>
          <w:lang w:val="en_US" w:bidi="en_US"/>
        </w:rPr>
        <w:t xml:space="preserve"> we have heard that you</w:t>
      </w:r>
      <w:r>
        <w:rPr>
          <w:vertAlign w:val="superscript"/>
          <w:lang w:val="en_US" w:bidi="en_US"/>
        </w:rPr>
        <w:t>(sing)</w:t>
      </w:r>
      <w:r>
        <w:rPr>
          <w:lang w:val="en_US" w:bidi="en_US"/>
        </w:rPr>
        <w:t xml:space="preserve"> did in Capernaum</w:t>
      </w:r>
    </w:p>
    <w:p>
      <w:pPr>
        <w:pStyle w:val="Heading6"/>
      </w:pPr>
      <w:r>
        <w:rPr>
          <w:b/>
          <w:lang w:val="en_US" w:bidi="en_US"/>
        </w:rPr>
        <w:t>General Comment on 4:23a–d</w:t>
      </w:r>
    </w:p>
    <w:p>
      <w:pPr/>
      <w:r>
        <w:rPr>
          <w:lang w:val="en_US" w:bidi="en_US"/>
        </w:rPr>
      </w:r>
      <w:r>
        <w:rPr>
          <w:lang w:val="en_US" w:bidi="en_US"/>
        </w:rPr>
        <w:t>This verse contains a quotation within a quotation. In some languages, this may not be natural, or it may be difficult to understand. If that is true in your language, you may be able to use indirect speech here. For example:</w:t>
      </w:r>
    </w:p>
    <w:p>
      <w:pPr/>
      <w:r>
        <w:rPr>
          <w:lang w:val="en_US" w:bidi="en_US"/>
        </w:rPr>
      </w:r>
      <w:r>
        <w:rPr>
          <w:vertAlign w:val="superscript"/>
          <w:lang w:val="en_US" w:bidi="en_US"/>
        </w:rPr>
        <w:t>23a</w:t>
      </w:r>
      <w:r>
        <w:rPr>
          <w:lang w:val="en_US" w:bidi="en_US"/>
        </w:rPr>
        <w:t>Jesus said to them, “I am sure that you</w:t>
      </w:r>
      <w:r>
        <w:rPr>
          <w:vertAlign w:val="superscript"/>
          <w:lang w:val="en_US" w:bidi="en_US"/>
        </w:rPr>
        <w:t>(plur)</w:t>
      </w:r>
      <w:r>
        <w:rPr>
          <w:lang w:val="en_US" w:bidi="en_US"/>
        </w:rPr>
        <w:t xml:space="preserve"> are wanting to apply this proverb to me: </w:t>
      </w:r>
      <w:r>
        <w:rPr>
          <w:vertAlign w:val="superscript"/>
          <w:lang w:val="en_US" w:bidi="en_US"/>
        </w:rPr>
        <w:t>23b</w:t>
      </w:r>
      <w:r>
        <w:rPr>
          <w:lang w:val="en_US" w:bidi="en_US"/>
        </w:rPr>
        <w:t xml:space="preserve">‘Physician, heal yourself.’ </w:t>
      </w:r>
      <w:r>
        <w:rPr>
          <w:vertAlign w:val="superscript"/>
          <w:lang w:val="en_US" w:bidi="en_US"/>
        </w:rPr>
        <w:t>23c</w:t>
      </w:r>
      <w:r>
        <w:rPr>
          <w:lang w:val="en_US" w:bidi="en_US"/>
        </w:rPr>
        <w:t>You</w:t>
      </w:r>
      <w:r>
        <w:rPr>
          <w:vertAlign w:val="superscript"/>
          <w:lang w:val="en_US" w:bidi="en_US"/>
        </w:rPr>
        <w:t>(plur)</w:t>
      </w:r>
      <w:r>
        <w:rPr>
          <w:lang w:val="en_US" w:bidi="en_US"/>
        </w:rPr>
        <w:t xml:space="preserve"> </w:t>
      </w:r>
      <w:r>
        <w:rPr>
          <w:lang w:val="en_US" w:bidi="en_US"/>
        </w:rPr>
        <w:t>are going to tell me to</w:t>
      </w:r>
      <w:r>
        <w:rPr>
          <w:lang w:val="en_US" w:bidi="en_US"/>
        </w:rPr>
        <w:t xml:space="preserve"> do here in my hometown the miracles </w:t>
      </w:r>
      <w:r>
        <w:rPr>
          <w:vertAlign w:val="superscript"/>
          <w:lang w:val="en_US" w:bidi="en_US"/>
        </w:rPr>
        <w:t>23d</w:t>
      </w:r>
      <w:r>
        <w:rPr>
          <w:lang w:val="en_US" w:bidi="en_US"/>
        </w:rPr>
        <w:t>that you</w:t>
      </w:r>
      <w:r>
        <w:rPr>
          <w:vertAlign w:val="superscript"/>
          <w:lang w:val="en_US" w:bidi="en_US"/>
        </w:rPr>
        <w:t>(plur)</w:t>
      </w:r>
      <w:r>
        <w:rPr>
          <w:lang w:val="en_US" w:bidi="en_US"/>
        </w:rPr>
        <w:t xml:space="preserve"> heard that I did in Capernaum.”</w:t>
      </w:r>
      <w:r>
        <w:rPr>
          <w:lang w:val="en_US" w:bidi="en_US"/>
        </w:rPr>
      </w:r>
      <w:r>
        <w:rPr>
          <w:lang w:val="en_US" w:bidi="en_US"/>
        </w:rPr>
      </w:r>
    </w:p>
    <w:p>
      <w:pPr/>
      <w:r>
        <w:rPr>
          <w:lang w:val="en_US" w:bidi="en_US"/>
        </w:rPr>
      </w:r>
    </w:p>
    <w:p>
      <w:pPr>
        <w:pStyle w:val="Heading2"/>
      </w:pPr>
      <w:r>
        <w:rPr>
          <w:lang w:val="en_US" w:bidi="en_US"/>
        </w:rPr>
        <w:t>Luke 4:24</w:t>
      </w:r>
      <w:r>
        <w:rPr>
          <w:lang w:val="en_US" w:bidi="en_US"/>
        </w:rPr>
      </w:r>
    </w:p>
    <w:p>
      <w:pPr>
        <w:pStyle w:val="Heading4"/>
      </w:pPr>
      <w:r>
        <w:rPr>
          <w:lang w:val="en_US" w:bidi="en_US"/>
        </w:rPr>
        <w:t>Section 4:14–30: The people rejected Jesus at Nazareth</w:t>
      </w:r>
    </w:p>
    <w:p>
      <w:pPr/>
      <w:r>
        <w:rPr>
          <w:lang w:val="en_US" w:bidi="en_US"/>
        </w:rPr>
      </w:r>
      <w:r>
        <w:rPr>
          <w:lang w:val="en_US" w:bidi="en_US"/>
        </w:rP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pPr/>
      <w:r>
        <w:rPr>
          <w:lang w:val="en_US" w:bidi="en_US"/>
        </w:rPr>
      </w:r>
      <w:r>
        <w:rPr>
          <w:lang w:val="en_US" w:bidi="en_US"/>
        </w:rPr>
        <w:t>Some other possible headings for this section are:</w:t>
      </w:r>
    </w:p>
    <w:p>
      <w:pPr/>
      <w:r>
        <w:rPr>
          <w:lang w:val="en_US" w:bidi="en_US"/>
        </w:rPr>
      </w:r>
      <w:r>
        <w:rPr>
          <w:lang w:val="en_US" w:bidi="en_US"/>
        </w:rPr>
        <w:t>The People of Nazareth Turn against Jesus (CEV)</w:t>
      </w:r>
    </w:p>
    <w:p>
      <w:pPr/>
      <w:r>
        <w:rPr>
          <w:lang w:val="en_US" w:bidi="en_US"/>
        </w:rPr>
      </w:r>
      <w:r>
        <w:rPr>
          <w:lang w:val="en_US" w:bidi="en_US"/>
        </w:rPr>
        <w:t>Jesus Rejected at Nazareth (ESV)</w:t>
      </w:r>
    </w:p>
    <w:p>
      <w:pPr/>
      <w:r>
        <w:rPr>
          <w:lang w:val="en_US" w:bidi="en_US"/>
        </w:rPr>
      </w:r>
      <w:r>
        <w:rPr>
          <w:lang w:val="en_US" w:bidi="en_US"/>
        </w:rPr>
        <w:t>There is a parallel passage for this section in Mark 6:1–6.</w:t>
      </w:r>
    </w:p>
    <w:p>
      <w:pPr>
        <w:pStyle w:val="Heading5"/>
      </w:pPr>
      <w:r>
        <w:rPr>
          <w:lang w:val="en_US" w:bidi="en_US"/>
        </w:rPr>
        <w:t>4:24a</w:t>
      </w:r>
    </w:p>
    <w:p>
      <w:pPr/>
      <w:r>
        <w:rPr>
          <w:lang w:val="en_US" w:bidi="en_US"/>
        </w:rPr>
      </w:r>
      <w:r>
        <w:rPr>
          <w:b/>
          <w:lang w:val="en_US" w:bidi="en_US"/>
        </w:rPr>
        <w:t>Then He added, “Truly I tell you,</w:t>
      </w:r>
    </w:p>
    <w:p>
      <w:pPr>
        <w:pStyle w:val="ListBullet"/>
        <w:spacing w:line="240" w:lineRule="auto"/>
        <w:ind w:left="720"/>
      </w:pPr>
      <w:r>
        <w:rPr>
          <w:lang w:val="en_US" w:bidi="en_US"/>
        </w:rPr>
      </w:r>
      <w:r>
        <w:rPr>
          <w:lang w:val="en_US" w:bidi="en_US"/>
        </w:rPr>
        <w:t>Jesus said, “I assure you that</w:t>
      </w:r>
    </w:p>
    <w:p>
      <w:pPr>
        <w:pStyle w:val="ListBullet"/>
        <w:spacing w:line="240" w:lineRule="auto"/>
        <w:ind w:left="720"/>
      </w:pPr>
      <w:r>
        <w:rPr>
          <w:lang w:val="en_US" w:bidi="en_US"/>
        </w:rPr>
      </w:r>
      <w:r>
        <w:rPr>
          <w:lang w:val="en_US" w:bidi="en_US"/>
        </w:rPr>
        <w:t>Then</w:t>
      </w:r>
      <w:r>
        <w:rPr>
          <w:lang w:val="en_US" w:bidi="en_US"/>
        </w:rPr>
        <w:t xml:space="preserve"> Jesus added, “I tell you</w:t>
      </w:r>
      <w:r>
        <w:rPr>
          <w:vertAlign w:val="superscript"/>
          <w:lang w:val="en_US" w:bidi="en_US"/>
        </w:rPr>
        <w:t>(plur)</w:t>
      </w:r>
      <w:r>
        <w:rPr>
          <w:lang w:val="en_US" w:bidi="en_US"/>
        </w:rPr>
        <w:t xml:space="preserve"> this,</w:t>
      </w:r>
    </w:p>
    <w:p>
      <w:pPr/>
      <w:r>
        <w:rPr>
          <w:lang w:val="en_US" w:bidi="en_US"/>
        </w:rPr>
      </w:r>
      <w:r>
        <w:rPr>
          <w:b/>
          <w:lang w:val="en_US" w:bidi="en_US"/>
        </w:rPr>
        <w:t>He added:</w:t>
      </w:r>
      <w:r>
        <w:rPr>
          <w:lang w:val="en_US" w:bidi="en_US"/>
        </w:rPr>
        <w:t xml:space="preserve"> The Greek word that the BSB translates as </w:t>
      </w:r>
      <w:r>
        <w:rPr>
          <w:i/>
          <w:lang w:val="en_US" w:bidi="en_US"/>
        </w:rPr>
        <w:t>He added</w:t>
      </w:r>
      <w:r>
        <w:rPr>
          <w:lang w:val="en_US" w:bidi="en_US"/>
        </w:rPr>
        <w:t xml:space="preserve"> is literally “he said” (as in the RSV). In 4:23 Jesus said what the people were thinking. In 4:24a, he began to express his response to their thoughts. Because of this, the BSB has translated the Greek word as </w:t>
      </w:r>
      <w:r>
        <w:rPr>
          <w:i/>
          <w:lang w:val="en_US" w:bidi="en_US"/>
        </w:rPr>
        <w:t>He added</w:t>
      </w:r>
      <w:r>
        <w:rPr>
          <w:lang w:val="en_US" w:bidi="en_US"/>
        </w:rPr>
        <w:t>. In some languages, it may be more natural to use a different speech clause. For example:</w:t>
      </w:r>
    </w:p>
    <w:p>
      <w:pPr/>
      <w:r>
        <w:rPr>
          <w:lang w:val="en_US" w:bidi="en_US"/>
        </w:rPr>
      </w:r>
      <w:r>
        <w:rPr>
          <w:lang w:val="en_US" w:bidi="en_US"/>
        </w:rPr>
        <w:t>he continued (NIV)</w:t>
      </w:r>
    </w:p>
    <w:p>
      <w:pPr/>
      <w:r>
        <w:rPr>
          <w:lang w:val="en_US" w:bidi="en_US"/>
        </w:rPr>
      </w:r>
      <w:r>
        <w:rPr>
          <w:lang w:val="en_US" w:bidi="en_US"/>
        </w:rPr>
        <w:t>Then Jesus said (NCV)</w:t>
      </w:r>
    </w:p>
    <w:p>
      <w:pPr/>
      <w:r>
        <w:rPr>
          <w:lang w:val="en_US" w:bidi="en_US"/>
        </w:rPr>
      </w:r>
      <w:r>
        <w:rPr>
          <w:b/>
          <w:lang w:val="en_US" w:bidi="en_US"/>
        </w:rPr>
        <w:t>Truly I tell you:</w:t>
      </w:r>
      <w:r>
        <w:rPr>
          <w:lang w:val="en_US" w:bidi="en_US"/>
        </w:rPr>
        <w:t xml:space="preserve"> Jesus often used the words </w:t>
      </w:r>
      <w:r>
        <w:rPr>
          <w:i/>
          <w:lang w:val="en_US" w:bidi="en_US"/>
        </w:rPr>
        <w:t>Truly I tell you</w:t>
      </w:r>
      <w:r>
        <w:rPr>
          <w:lang w:val="en_US" w:bidi="en_US"/>
        </w:rPr>
        <w:t xml:space="preserve"> to introduce a statement that he wanted to emphasize. He wanted people to listen with extra attention. Some other ways to show this emphasis are:</w:t>
      </w:r>
    </w:p>
    <w:p>
      <w:pPr/>
      <w:r>
        <w:rPr>
          <w:lang w:val="en_US" w:bidi="en_US"/>
        </w:rPr>
      </w:r>
      <w:r>
        <w:rPr>
          <w:lang w:val="en_US" w:bidi="en_US"/>
        </w:rPr>
        <w:t>I assure you that (JBP)</w:t>
      </w:r>
    </w:p>
    <w:p>
      <w:pPr/>
      <w:r>
        <w:rPr>
          <w:lang w:val="en_US" w:bidi="en_US"/>
        </w:rPr>
      </w:r>
      <w:r>
        <w:rPr>
          <w:lang w:val="en_US" w:bidi="en_US"/>
        </w:rPr>
        <w:t>I can guarantee this truth (GW)</w:t>
      </w:r>
    </w:p>
    <w:p>
      <w:pPr>
        <w:pStyle w:val="Heading5"/>
      </w:pPr>
      <w:r>
        <w:rPr>
          <w:lang w:val="en_US" w:bidi="en_US"/>
        </w:rPr>
        <w:t>4:24b</w:t>
      </w:r>
    </w:p>
    <w:p>
      <w:pPr/>
      <w:r>
        <w:rPr>
          <w:lang w:val="en_US" w:bidi="en_US"/>
        </w:rPr>
      </w:r>
      <w:r>
        <w:rPr>
          <w:b/>
          <w:lang w:val="en_US" w:bidi="en_US"/>
        </w:rPr>
        <w:t>no prophet is accepted in his hometown.</w:t>
      </w:r>
    </w:p>
    <w:p>
      <w:pPr>
        <w:pStyle w:val="ListBullet"/>
        <w:spacing w:line="240" w:lineRule="auto"/>
        <w:ind w:left="720"/>
      </w:pPr>
      <w:r>
        <w:rPr>
          <w:lang w:val="en_US" w:bidi="en_US"/>
        </w:rPr>
      </w:r>
      <w:r>
        <w:rPr>
          <w:lang w:val="en_US" w:bidi="en_US"/>
        </w:rPr>
        <w:t>prophets are not accepted/welcomed in their own town.</w:t>
      </w:r>
    </w:p>
    <w:p>
      <w:pPr>
        <w:pStyle w:val="ListBullet"/>
        <w:spacing w:line="240" w:lineRule="auto"/>
        <w:ind w:left="720"/>
      </w:pPr>
      <w:r>
        <w:rPr>
          <w:lang w:val="en_US" w:bidi="en_US"/>
        </w:rPr>
      </w:r>
      <w:r>
        <w:rPr>
          <w:lang w:val="en_US" w:bidi="en_US"/>
        </w:rPr>
        <w:t>people do not honor a prophet in the town where he grew up.</w:t>
      </w:r>
    </w:p>
    <w:p>
      <w:pPr/>
      <w:r>
        <w:rPr>
          <w:lang w:val="en_US" w:bidi="en_US"/>
        </w:rPr>
      </w:r>
      <w:r>
        <w:rPr>
          <w:b/>
          <w:lang w:val="en_US" w:bidi="en_US"/>
        </w:rPr>
        <w:t>no prophet is accepted in his hometown:</w:t>
      </w:r>
      <w:r>
        <w:rPr>
          <w:lang w:val="en_US" w:bidi="en_US"/>
        </w:rPr>
        <w:t xml:space="preserve"> The Greek phrase that the BSB translates as </w:t>
      </w:r>
      <w:r>
        <w:rPr>
          <w:i/>
          <w:lang w:val="en_US" w:bidi="en_US"/>
        </w:rPr>
        <w:t>is accepted</w:t>
      </w:r>
      <w:r>
        <w:rPr>
          <w:lang w:val="en_US" w:bidi="en_US"/>
        </w:rPr>
        <w:t xml:space="preserve"> means “is welcomed” or “is honored.” The clause </w:t>
      </w:r>
      <w:r>
        <w:rPr>
          <w:i/>
          <w:lang w:val="en_US" w:bidi="en_US"/>
        </w:rPr>
        <w:t>no prophet is accepted in his hometown</w:t>
      </w:r>
      <w:r>
        <w:rPr>
          <w:lang w:val="en_US" w:bidi="en_US"/>
        </w:rPr>
        <w:t xml:space="preserve"> means that people in the town where a prophet grew up generally do not honor him. People find it hard to believe that someone whom they know personally is a prophet from God. Some other ways to translate this are:</w:t>
      </w:r>
    </w:p>
    <w:p>
      <w:pPr/>
      <w:r>
        <w:rPr>
          <w:lang w:val="en_US" w:bidi="en_US"/>
        </w:rPr>
      </w:r>
      <w:r>
        <w:rPr>
          <w:lang w:val="en_US" w:bidi="en_US"/>
        </w:rPr>
        <w:t>prophets are never welcomed in their hometown (GNT)</w:t>
      </w:r>
    </w:p>
    <w:p>
      <w:pPr/>
      <w:r>
        <w:rPr>
          <w:lang w:val="en_US" w:bidi="en_US"/>
        </w:rPr>
      </w:r>
      <w:r>
        <w:rPr>
          <w:lang w:val="en_US" w:bidi="en_US"/>
        </w:rPr>
        <w:t>no prophet is acceptable in his hometown (NET)</w:t>
      </w:r>
    </w:p>
    <w:p>
      <w:pPr/>
      <w:r>
        <w:rPr>
          <w:lang w:val="en_US" w:bidi="en_US"/>
        </w:rPr>
      </w:r>
      <w:r>
        <w:rPr>
          <w:lang w:val="en_US" w:bidi="en_US"/>
        </w:rPr>
        <w:t>no prophets are liked by the people of their own hometown (CEV)</w:t>
      </w:r>
    </w:p>
    <w:p>
      <w:pPr/>
      <w:r>
        <w:rPr>
          <w:lang w:val="en_US" w:bidi="en_US"/>
        </w:rPr>
      </w:r>
      <w:r>
        <w:rPr>
          <w:lang w:val="en_US" w:bidi="en_US"/>
        </w:rPr>
        <w:t>Like the proverb “Physician, heal yourself!” (4:23b), this clause also appears to be a proverb.</w:t>
      </w:r>
    </w:p>
    <w:p>
      <w:pPr/>
      <w:r>
        <w:rPr>
          <w:lang w:val="en_US" w:bidi="en_US"/>
        </w:rPr>
      </w:r>
      <w:r>
        <w:rPr>
          <w:b/>
          <w:lang w:val="en_US" w:bidi="en_US"/>
        </w:rPr>
        <w:t>no prophet is accepted:</w:t>
      </w:r>
      <w:r>
        <w:rPr>
          <w:lang w:val="en_US" w:bidi="en_US"/>
        </w:rPr>
        <w:t xml:space="preserve"> This clause is passive. Some ways to translate this are:</w:t>
      </w:r>
    </w:p>
    <w:p>
      <w:pPr>
        <w:pStyle w:val="ListBullet"/>
        <w:spacing w:line="240" w:lineRule="auto"/>
        <w:ind w:left="720"/>
      </w:pPr>
      <w:r>
        <w:rPr>
          <w:lang w:val="en_US" w:bidi="en_US"/>
        </w:rPr>
      </w:r>
      <w:r>
        <w:rPr>
          <w:lang w:val="en_US" w:bidi="en_US"/>
        </w:rPr>
        <w:t>Use a passive clause. For example:</w:t>
      </w:r>
      <w:r>
        <w:rPr>
          <w:lang w:val="en_US" w:bidi="en_US"/>
        </w:rPr>
        <w:t>a prophet is not accepted (NCV)</w:t>
      </w:r>
    </w:p>
    <w:p>
      <w:pPr>
        <w:pStyle w:val="ListBullet"/>
        <w:spacing w:line="240" w:lineRule="auto"/>
        <w:ind w:left="720"/>
      </w:pPr>
      <w:r>
        <w:rPr>
          <w:lang w:val="en_US" w:bidi="en_US"/>
        </w:rPr>
      </w:r>
      <w:r>
        <w:rPr>
          <w:lang w:val="en_US" w:bidi="en_US"/>
        </w:rPr>
        <w:t>Use an active clause and supply a subject. For example:</w:t>
      </w:r>
      <w:r>
        <w:rPr>
          <w:lang w:val="en_US" w:bidi="en_US"/>
        </w:rPr>
        <w:t>People</w:t>
      </w:r>
      <w:r>
        <w:rPr>
          <w:lang w:val="en_US" w:bidi="en_US"/>
        </w:rPr>
        <w:t xml:space="preserve"> do not accept a prophet</w:t>
      </w:r>
    </w:p>
    <w:p>
      <w:pPr/>
      <w:r>
        <w:rPr>
          <w:lang w:val="en_US" w:bidi="en_US"/>
        </w:rPr>
      </w:r>
      <w:r>
        <w:rPr>
          <w:b/>
          <w:lang w:val="en_US" w:bidi="en_US"/>
        </w:rPr>
        <w:t>prophet:</w:t>
      </w:r>
      <w:r>
        <w:rPr>
          <w:lang w:val="en_US" w:bidi="en_US"/>
        </w:rPr>
        <w:t xml:space="preserve"> The word </w:t>
      </w:r>
      <w:r>
        <w:rPr>
          <w:i/>
          <w:lang w:val="en_US" w:bidi="en_US"/>
        </w:rPr>
        <w:t>prophet</w:t>
      </w:r>
      <w:r>
        <w:rPr>
          <w:lang w:val="en_US" w:bidi="en_US"/>
        </w:rPr>
        <w:t xml:space="preserve"> also occurs in 4:17a. Translate it the same way in both verses.</w:t>
      </w:r>
      <w:r>
        <w:rPr>
          <w:lang w:val="en_US" w:bidi="en_US"/>
        </w:rPr>
      </w:r>
      <w:r>
        <w:rPr>
          <w:lang w:val="en_US" w:bidi="en_US"/>
        </w:rPr>
      </w:r>
    </w:p>
    <w:p>
      <w:pPr/>
      <w:r>
        <w:rPr>
          <w:lang w:val="en_US" w:bidi="en_US"/>
        </w:rPr>
      </w:r>
    </w:p>
    <w:p>
      <w:pPr>
        <w:pStyle w:val="Heading2"/>
      </w:pPr>
      <w:r>
        <w:rPr>
          <w:lang w:val="en_US" w:bidi="en_US"/>
        </w:rPr>
        <w:t>Luke 4:25</w:t>
      </w:r>
      <w:r>
        <w:rPr>
          <w:lang w:val="en_US" w:bidi="en_US"/>
        </w:rPr>
      </w:r>
    </w:p>
    <w:p>
      <w:pPr>
        <w:pStyle w:val="Heading4"/>
      </w:pPr>
      <w:r>
        <w:rPr>
          <w:lang w:val="en_US" w:bidi="en_US"/>
        </w:rPr>
        <w:t>Section 4:14–30: The people rejected Jesus at Nazareth</w:t>
      </w:r>
    </w:p>
    <w:p>
      <w:pPr/>
      <w:r>
        <w:rPr>
          <w:lang w:val="en_US" w:bidi="en_US"/>
        </w:rPr>
      </w:r>
      <w:r>
        <w:rPr>
          <w:lang w:val="en_US" w:bidi="en_US"/>
        </w:rP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pPr/>
      <w:r>
        <w:rPr>
          <w:lang w:val="en_US" w:bidi="en_US"/>
        </w:rPr>
      </w:r>
      <w:r>
        <w:rPr>
          <w:lang w:val="en_US" w:bidi="en_US"/>
        </w:rPr>
        <w:t>Some other possible headings for this section are:</w:t>
      </w:r>
    </w:p>
    <w:p>
      <w:pPr/>
      <w:r>
        <w:rPr>
          <w:lang w:val="en_US" w:bidi="en_US"/>
        </w:rPr>
      </w:r>
      <w:r>
        <w:rPr>
          <w:lang w:val="en_US" w:bidi="en_US"/>
        </w:rPr>
        <w:t>The People of Nazareth Turn against Jesus (CEV)</w:t>
      </w:r>
    </w:p>
    <w:p>
      <w:pPr/>
      <w:r>
        <w:rPr>
          <w:lang w:val="en_US" w:bidi="en_US"/>
        </w:rPr>
      </w:r>
      <w:r>
        <w:rPr>
          <w:lang w:val="en_US" w:bidi="en_US"/>
        </w:rPr>
        <w:t>Jesus Rejected at Nazareth (ESV)</w:t>
      </w:r>
    </w:p>
    <w:p>
      <w:pPr/>
      <w:r>
        <w:rPr>
          <w:lang w:val="en_US" w:bidi="en_US"/>
        </w:rPr>
      </w:r>
      <w:r>
        <w:rPr>
          <w:lang w:val="en_US" w:bidi="en_US"/>
        </w:rPr>
        <w:t>There is a parallel passage for this section in Mark 6:1–6.</w:t>
      </w:r>
    </w:p>
    <w:p>
      <w:pPr>
        <w:pStyle w:val="Heading5"/>
      </w:pPr>
      <w:r>
        <w:rPr>
          <w:lang w:val="en_US" w:bidi="en_US"/>
        </w:rPr>
        <w:t>4:25</w:t>
      </w:r>
    </w:p>
    <w:p>
      <w:pPr/>
      <w:r>
        <w:rPr>
          <w:lang w:val="en_US" w:bidi="en_US"/>
        </w:rPr>
      </w:r>
      <w:r>
        <w:rPr>
          <w:lang w:val="en_US" w:bidi="en_US"/>
        </w:rPr>
        <w:t>In 4:25–27, Jesus gave two examples to illustrate a prophet helping people in other towns or areas instead of his own people.</w:t>
      </w:r>
    </w:p>
    <w:p>
      <w:pPr>
        <w:pStyle w:val="Heading5"/>
      </w:pPr>
      <w:r>
        <w:rPr>
          <w:lang w:val="en_US" w:bidi="en_US"/>
        </w:rPr>
        <w:t>4:25a</w:t>
      </w:r>
    </w:p>
    <w:p>
      <w:pPr/>
      <w:r>
        <w:rPr>
          <w:lang w:val="en_US" w:bidi="en_US"/>
        </w:rPr>
      </w:r>
      <w:r>
        <w:rPr>
          <w:b/>
          <w:lang w:val="en_US" w:bidi="en_US"/>
        </w:rPr>
        <w:t>But I tell you truthfully that there were many widows in Israel in the time of Elijah,</w:t>
      </w:r>
    </w:p>
    <w:p>
      <w:pPr>
        <w:pStyle w:val="ListBullet"/>
        <w:spacing w:line="240" w:lineRule="auto"/>
        <w:ind w:left="720"/>
      </w:pPr>
      <w:r>
        <w:rPr>
          <w:lang w:val="en_US" w:bidi="en_US"/>
        </w:rPr>
      </w:r>
      <w:r>
        <w:rPr>
          <w:lang w:val="en_US" w:bidi="en_US"/>
        </w:rPr>
        <w:t>Listen to this, in the time of Elijah there were many widows in Israel.</w:t>
      </w:r>
    </w:p>
    <w:p>
      <w:pPr>
        <w:pStyle w:val="ListBullet"/>
        <w:spacing w:line="240" w:lineRule="auto"/>
        <w:ind w:left="720"/>
      </w:pPr>
      <w:r>
        <w:rPr>
          <w:lang w:val="en_US" w:bidi="en_US"/>
        </w:rPr>
      </w:r>
      <w:r>
        <w:rPr>
          <w:lang w:val="en_US" w:bidi="en_US"/>
        </w:rPr>
        <w:t xml:space="preserve">During Elijah </w:t>
      </w:r>
      <w:r>
        <w:rPr>
          <w:lang w:val="en_US" w:bidi="en_US"/>
        </w:rPr>
        <w:t>the prophet</w:t>
      </w:r>
      <w:r>
        <w:rPr>
          <w:lang w:val="en_US" w:bidi="en_US"/>
        </w:rPr>
        <w:t xml:space="preserve">’s time, certainly there were </w:t>
      </w:r>
      <w:r>
        <w:rPr>
          <w:lang w:val="en_US" w:bidi="en_US"/>
        </w:rPr>
        <w:t>living</w:t>
      </w:r>
      <w:r>
        <w:rPr>
          <w:lang w:val="en_US" w:bidi="en_US"/>
        </w:rPr>
        <w:t xml:space="preserve"> in </w:t>
      </w:r>
      <w:r>
        <w:rPr>
          <w:lang w:val="en_US" w:bidi="en_US"/>
        </w:rPr>
        <w:t>our</w:t>
      </w:r>
      <w:r>
        <w:rPr>
          <w:vertAlign w:val="superscript"/>
          <w:lang w:val="en_US" w:bidi="en_US"/>
        </w:rPr>
        <w:t>(incl)</w:t>
      </w:r>
      <w:r>
        <w:rPr>
          <w:lang w:val="en_US" w:bidi="en_US"/>
        </w:rPr>
        <w:t xml:space="preserve"> </w:t>
      </w:r>
      <w:r>
        <w:rPr>
          <w:lang w:val="en_US" w:bidi="en_US"/>
        </w:rPr>
        <w:t>country</w:t>
      </w:r>
      <w:r>
        <w:rPr>
          <w:lang w:val="en_US" w:bidi="en_US"/>
        </w:rPr>
        <w:t xml:space="preserve"> Israel many women whose husbands had died.</w:t>
      </w:r>
    </w:p>
    <w:p>
      <w:pPr/>
      <w:r>
        <w:rPr>
          <w:lang w:val="en_US" w:bidi="en_US"/>
        </w:rPr>
      </w:r>
      <w:r>
        <w:rPr>
          <w:b/>
          <w:lang w:val="en_US" w:bidi="en_US"/>
        </w:rPr>
        <w:t>I tell you truthfully:</w:t>
      </w:r>
      <w:r>
        <w:rPr>
          <w:lang w:val="en_US" w:bidi="en_US"/>
        </w:rPr>
        <w:t xml:space="preserve"> The Greek clause that the BSB translates as </w:t>
      </w:r>
      <w:r>
        <w:rPr>
          <w:i/>
          <w:lang w:val="en_US" w:bidi="en_US"/>
        </w:rPr>
        <w:t>I tell you truthfully</w:t>
      </w:r>
      <w:r>
        <w:rPr>
          <w:lang w:val="en_US" w:bidi="en_US"/>
        </w:rPr>
        <w:t xml:space="preserve"> is literally “in truth I tell you.” Jesus was emphasizing that what he was about to say was important and people must think about it. He was asking people to listen with extra attention.</w:t>
      </w:r>
    </w:p>
    <w:p>
      <w:pPr/>
      <w:r>
        <w:rPr>
          <w:lang w:val="en_US" w:bidi="en_US"/>
        </w:rPr>
      </w:r>
      <w:r>
        <w:rPr>
          <w:lang w:val="en_US" w:bidi="en_US"/>
        </w:rPr>
        <w:t>Some other ways to translate this are:</w:t>
      </w:r>
    </w:p>
    <w:p>
      <w:pPr/>
      <w:r>
        <w:rPr>
          <w:lang w:val="en_US" w:bidi="en_US"/>
        </w:rPr>
      </w:r>
      <w:r>
        <w:rPr>
          <w:lang w:val="en_US" w:bidi="en_US"/>
        </w:rPr>
        <w:t>I tell you the truth that</w:t>
      </w:r>
    </w:p>
    <w:p>
      <w:pPr/>
      <w:r>
        <w:rPr>
          <w:lang w:val="en_US" w:bidi="en_US"/>
        </w:rPr>
      </w:r>
      <w:r>
        <w:rPr>
          <w:lang w:val="en_US" w:bidi="en_US"/>
        </w:rPr>
        <w:t>Listen to me: it is true (GNT)</w:t>
      </w:r>
    </w:p>
    <w:p>
      <w:pPr/>
      <w:r>
        <w:rPr>
          <w:lang w:val="en_US" w:bidi="en_US"/>
        </w:rPr>
      </w:r>
      <w:r>
        <w:rPr>
          <w:lang w:val="en_US" w:bidi="en_US"/>
        </w:rPr>
        <w:t>Listen to this</w:t>
      </w:r>
    </w:p>
    <w:p>
      <w:pPr/>
      <w:r>
        <w:rPr>
          <w:lang w:val="en_US" w:bidi="en_US"/>
        </w:rPr>
      </w:r>
      <w:r>
        <w:rPr>
          <w:lang w:val="en_US" w:bidi="en_US"/>
        </w:rPr>
        <w:t>You may also translate this phrase with an emphatic word or phrase such as “indeed” or “certainly.” For example:</w:t>
      </w:r>
    </w:p>
    <w:p>
      <w:pPr/>
      <w:r>
        <w:rPr>
          <w:lang w:val="en_US" w:bidi="en_US"/>
        </w:rPr>
      </w:r>
      <w:r>
        <w:rPr>
          <w:lang w:val="en_US" w:bidi="en_US"/>
        </w:rPr>
        <w:t xml:space="preserve">There were </w:t>
      </w:r>
      <w:r>
        <w:rPr>
          <w:u w:val="single"/>
          <w:lang w:val="en_US" w:bidi="en_US"/>
        </w:rPr>
        <w:t>indeed</w:t>
      </w:r>
      <w:r>
        <w:rPr>
          <w:lang w:val="en_US" w:bidi="en_US"/>
        </w:rPr>
        <w:t xml:space="preserve"> many widows in Israel in Elijah’s time (REB)</w:t>
      </w:r>
    </w:p>
    <w:p>
      <w:pPr/>
      <w:r>
        <w:rPr>
          <w:lang w:val="en_US" w:bidi="en_US"/>
        </w:rPr>
      </w:r>
      <w:r>
        <w:rPr>
          <w:u w:val="single"/>
          <w:lang w:val="en_US" w:bidi="en_US"/>
        </w:rPr>
        <w:t>Certainly</w:t>
      </w:r>
      <w:r>
        <w:rPr>
          <w:lang w:val="en_US" w:bidi="en_US"/>
        </w:rPr>
        <w:t xml:space="preserve"> there were many needy widows in Israel in Elijah’s time (NLT)</w:t>
      </w:r>
    </w:p>
    <w:p>
      <w:pPr/>
      <w:r>
        <w:rPr>
          <w:lang w:val="en_US" w:bidi="en_US"/>
        </w:rPr>
      </w:r>
      <w:r>
        <w:rPr>
          <w:lang w:val="en_US" w:bidi="en_US"/>
        </w:rPr>
        <w:t>This phrase is similar to the phrase in 4:24a, and you may translate it in a similar way.</w:t>
      </w:r>
    </w:p>
    <w:p>
      <w:pPr/>
      <w:r>
        <w:rPr>
          <w:lang w:val="en_US" w:bidi="en_US"/>
        </w:rPr>
      </w:r>
      <w:r>
        <w:rPr>
          <w:b/>
          <w:lang w:val="en_US" w:bidi="en_US"/>
        </w:rPr>
        <w:t>there were many widows in Israel in the time of Elijah:</w:t>
      </w:r>
      <w:r>
        <w:rPr>
          <w:lang w:val="en_US" w:bidi="en_US"/>
        </w:rPr>
        <w:t xml:space="preserve"> Elijah, the widows, Jesus, and Jesus’ listeners were all Israelites. Israel was their country. In some languages, it may be helpful to make this clear. For example:</w:t>
      </w:r>
    </w:p>
    <w:p>
      <w:pPr/>
      <w:r>
        <w:rPr>
          <w:lang w:val="en_US" w:bidi="en_US"/>
        </w:rPr>
      </w:r>
      <w:r>
        <w:rPr>
          <w:lang w:val="en_US" w:bidi="en_US"/>
        </w:rPr>
        <w:t xml:space="preserve">In the time of Elijah there were many widows in </w:t>
      </w:r>
      <w:r>
        <w:rPr>
          <w:lang w:val="en_US" w:bidi="en_US"/>
        </w:rPr>
        <w:t>his own land/ country of</w:t>
      </w:r>
      <w:r>
        <w:rPr>
          <w:lang w:val="en_US" w:bidi="en_US"/>
        </w:rPr>
        <w:t xml:space="preserve"> Israel.</w:t>
      </w:r>
    </w:p>
    <w:p>
      <w:pPr/>
      <w:r>
        <w:rPr>
          <w:lang w:val="en_US" w:bidi="en_US"/>
        </w:rPr>
      </w:r>
      <w:r>
        <w:rPr>
          <w:lang w:val="en_US" w:bidi="en_US"/>
        </w:rPr>
        <w:t xml:space="preserve">During the time of Elijah, there were many widows in </w:t>
      </w:r>
      <w:r>
        <w:rPr>
          <w:lang w:val="en_US" w:bidi="en_US"/>
        </w:rPr>
        <w:t>our country</w:t>
      </w:r>
      <w:r>
        <w:rPr>
          <w:lang w:val="en_US" w:bidi="en_US"/>
        </w:rPr>
        <w:t xml:space="preserve"> Israel.</w:t>
      </w:r>
    </w:p>
    <w:p>
      <w:pPr/>
      <w:r>
        <w:rPr>
          <w:lang w:val="en_US" w:bidi="en_US"/>
        </w:rPr>
      </w:r>
      <w:r>
        <w:rPr>
          <w:b/>
          <w:lang w:val="en_US" w:bidi="en_US"/>
        </w:rPr>
        <w:t>widows:</w:t>
      </w:r>
      <w:r>
        <w:rPr>
          <w:lang w:val="en_US" w:bidi="en_US"/>
        </w:rPr>
        <w:t xml:space="preserve"> A </w:t>
      </w:r>
      <w:r>
        <w:rPr>
          <w:i/>
          <w:lang w:val="en_US" w:bidi="en_US"/>
        </w:rPr>
        <w:t>widow</w:t>
      </w:r>
      <w:r>
        <w:rPr>
          <w:lang w:val="en_US" w:bidi="en_US"/>
        </w:rPr>
        <w:t xml:space="preserve"> is a woman whose husband has died. If she remarries, she is no longer a widow. In Bible times, widows were generally very poor.</w:t>
      </w:r>
    </w:p>
    <w:p>
      <w:pPr/>
      <w:r>
        <w:rPr>
          <w:lang w:val="en_US" w:bidi="en_US"/>
        </w:rPr>
      </w:r>
      <w:r>
        <w:rPr>
          <w:b/>
          <w:lang w:val="en_US" w:bidi="en_US"/>
        </w:rPr>
        <w:t>in the time of Elijah:</w:t>
      </w:r>
      <w:r>
        <w:rPr>
          <w:lang w:val="en_US" w:bidi="en_US"/>
        </w:rPr>
        <w:t xml:space="preserve"> The Greek phrase that the BSB translates as </w:t>
      </w:r>
      <w:r>
        <w:rPr>
          <w:i/>
          <w:lang w:val="en_US" w:bidi="en_US"/>
        </w:rPr>
        <w:t>in the time of Elijah</w:t>
      </w:r>
      <w:r>
        <w:rPr>
          <w:lang w:val="en_US" w:bidi="en_US"/>
        </w:rPr>
        <w:t xml:space="preserve"> is literally “in the days of Elijah.” It refers to the time almost 900 years earlier when Elijah was a prophet in Israel. The story is found in 1 Kings chapter 17.</w:t>
      </w:r>
    </w:p>
    <w:p>
      <w:pPr>
        <w:pStyle w:val="Heading5"/>
      </w:pPr>
      <w:r>
        <w:rPr>
          <w:lang w:val="en_US" w:bidi="en_US"/>
        </w:rPr>
        <w:t>4:25b</w:t>
      </w:r>
    </w:p>
    <w:p>
      <w:pPr/>
      <w:r>
        <w:rPr>
          <w:lang w:val="en_US" w:bidi="en_US"/>
        </w:rPr>
      </w:r>
      <w:r>
        <w:rPr>
          <w:b/>
          <w:lang w:val="en_US" w:bidi="en_US"/>
        </w:rPr>
        <w:t>when the sky was shut for three and a half years</w:t>
      </w:r>
    </w:p>
    <w:p>
      <w:pPr>
        <w:pStyle w:val="ListBullet"/>
        <w:spacing w:line="240" w:lineRule="auto"/>
        <w:ind w:left="720"/>
      </w:pPr>
      <w:r>
        <w:rPr>
          <w:lang w:val="en_US" w:bidi="en_US"/>
        </w:rPr>
      </w:r>
      <w:r>
        <w:rPr>
          <w:lang w:val="en_US" w:bidi="en_US"/>
        </w:rPr>
        <w:t>During that time there was no rain for three and one half years,</w:t>
      </w:r>
    </w:p>
    <w:p>
      <w:pPr>
        <w:pStyle w:val="ListBullet"/>
        <w:spacing w:line="240" w:lineRule="auto"/>
        <w:ind w:left="720"/>
      </w:pPr>
      <w:r>
        <w:rPr>
          <w:lang w:val="en_US" w:bidi="en_US"/>
        </w:rPr>
      </w:r>
      <w:r>
        <w:rPr>
          <w:lang w:val="en_US" w:bidi="en_US"/>
        </w:rPr>
        <w:t>At that time God caused it not to rain for three and a half years,</w:t>
      </w:r>
    </w:p>
    <w:p>
      <w:pPr/>
      <w:r>
        <w:rPr>
          <w:lang w:val="en_US" w:bidi="en_US"/>
        </w:rPr>
      </w:r>
      <w:r>
        <w:rPr>
          <w:b/>
          <w:lang w:val="en_US" w:bidi="en_US"/>
        </w:rPr>
        <w:t>the sky was shut:</w:t>
      </w:r>
      <w:r>
        <w:rPr>
          <w:lang w:val="en_US" w:bidi="en_US"/>
        </w:rPr>
        <w:t xml:space="preserve"> The phrase </w:t>
      </w:r>
      <w:r>
        <w:rPr>
          <w:i/>
          <w:lang w:val="en_US" w:bidi="en_US"/>
        </w:rPr>
        <w:t>the sky was shut</w:t>
      </w:r>
      <w:r>
        <w:rPr>
          <w:lang w:val="en_US" w:bidi="en_US"/>
        </w:rPr>
        <w:t xml:space="preserve"> is an idiom. Other ways to translate it are:</w:t>
      </w:r>
    </w:p>
    <w:p>
      <w:pPr/>
      <w:r>
        <w:rPr>
          <w:lang w:val="en_US" w:bidi="en_US"/>
        </w:rPr>
      </w:r>
      <w:r>
        <w:rPr>
          <w:lang w:val="en_US" w:bidi="en_US"/>
        </w:rPr>
        <w:t>no rain fell from the sky</w:t>
      </w:r>
    </w:p>
    <w:p>
      <w:pPr/>
      <w:r>
        <w:rPr>
          <w:lang w:val="en_US" w:bidi="en_US"/>
        </w:rPr>
      </w:r>
      <w:r>
        <w:rPr>
          <w:lang w:val="en_US" w:bidi="en_US"/>
        </w:rPr>
        <w:t>it did not rain</w:t>
      </w:r>
    </w:p>
    <w:p>
      <w:pPr/>
      <w:r>
        <w:rPr>
          <w:lang w:val="en_US" w:bidi="en_US"/>
        </w:rPr>
      </w:r>
      <w:r>
        <w:rPr>
          <w:lang w:val="en_US" w:bidi="en_US"/>
        </w:rPr>
        <w:t>God caused</w:t>
      </w:r>
      <w:r>
        <w:rPr>
          <w:lang w:val="en_US" w:bidi="en_US"/>
        </w:rPr>
        <w:t xml:space="preserve"> it not to rain</w:t>
      </w:r>
    </w:p>
    <w:p>
      <w:pPr/>
      <w:r>
        <w:rPr>
          <w:lang w:val="en_US" w:bidi="en_US"/>
        </w:rPr>
      </w:r>
      <w:r>
        <w:rPr>
          <w:lang w:val="en_US" w:bidi="en_US"/>
        </w:rPr>
        <w:t>See heaven, Meaning 1, in the Glossary.</w:t>
      </w:r>
    </w:p>
    <w:p>
      <w:pPr>
        <w:pStyle w:val="Heading5"/>
      </w:pPr>
      <w:r>
        <w:rPr>
          <w:lang w:val="en_US" w:bidi="en_US"/>
        </w:rPr>
        <w:t>4:25c</w:t>
      </w:r>
    </w:p>
    <w:p>
      <w:pPr/>
      <w:r>
        <w:rPr>
          <w:lang w:val="en_US" w:bidi="en_US"/>
        </w:rPr>
      </w:r>
      <w:r>
        <w:rPr>
          <w:b/>
          <w:lang w:val="en_US" w:bidi="en_US"/>
        </w:rPr>
        <w:t>and great famine swept over all the land.</w:t>
      </w:r>
    </w:p>
    <w:p>
      <w:pPr>
        <w:pStyle w:val="ListBullet"/>
        <w:spacing w:line="240" w:lineRule="auto"/>
        <w:ind w:left="720"/>
      </w:pPr>
      <w:r>
        <w:rPr>
          <w:lang w:val="en_US" w:bidi="en_US"/>
        </w:rPr>
      </w:r>
      <w:r>
        <w:rPr>
          <w:lang w:val="en_US" w:bidi="en_US"/>
        </w:rPr>
        <w:t xml:space="preserve">and the food in the land </w:t>
      </w:r>
      <w:r>
        <w:rPr>
          <w:lang w:val="en_US" w:bidi="en_US"/>
        </w:rPr>
        <w:t>of Israel</w:t>
      </w:r>
      <w:r>
        <w:rPr>
          <w:lang w:val="en_US" w:bidi="en_US"/>
        </w:rPr>
        <w:t xml:space="preserve"> was almost gone.</w:t>
      </w:r>
    </w:p>
    <w:p>
      <w:pPr>
        <w:pStyle w:val="ListBullet"/>
        <w:spacing w:line="240" w:lineRule="auto"/>
        <w:ind w:left="720"/>
      </w:pPr>
      <w:r>
        <w:rPr>
          <w:lang w:val="en_US" w:bidi="en_US"/>
        </w:rPr>
      </w:r>
      <w:r>
        <w:rPr>
          <w:lang w:val="en_US" w:bidi="en_US"/>
        </w:rPr>
        <w:t xml:space="preserve">and </w:t>
      </w:r>
      <w:r>
        <w:rPr>
          <w:lang w:val="en_US" w:bidi="en_US"/>
        </w:rPr>
        <w:t>as a result</w:t>
      </w:r>
      <w:r>
        <w:rPr>
          <w:lang w:val="en_US" w:bidi="en_US"/>
        </w:rPr>
        <w:t xml:space="preserve"> people everywhere in the country did not have enough to eat.</w:t>
      </w:r>
    </w:p>
    <w:p>
      <w:pPr/>
      <w:r>
        <w:rPr>
          <w:lang w:val="en_US" w:bidi="en_US"/>
        </w:rPr>
      </w:r>
      <w:r>
        <w:rPr>
          <w:b/>
          <w:lang w:val="en_US" w:bidi="en_US"/>
        </w:rPr>
        <w:t>and great famine swept over all the land:</w:t>
      </w:r>
      <w:r>
        <w:rPr>
          <w:lang w:val="en_US" w:bidi="en_US"/>
        </w:rPr>
        <w:t xml:space="preserve"> A </w:t>
      </w:r>
      <w:r>
        <w:rPr>
          <w:i/>
          <w:lang w:val="en_US" w:bidi="en_US"/>
        </w:rPr>
        <w:t>famine</w:t>
      </w:r>
      <w:r>
        <w:rPr>
          <w:lang w:val="en_US" w:bidi="en_US"/>
        </w:rPr>
        <w:t xml:space="preserve"> is an extreme lack of food that lasts for a long time and covers a large region or area. It results in many people being hungry. In the famine that Jesus referred to, there was no rain for three and a half years. The crops did not grow, so people did not have enough food to eat.</w:t>
      </w:r>
    </w:p>
    <w:p>
      <w:pPr/>
      <w:r>
        <w:rPr>
          <w:lang w:val="en_US" w:bidi="en_US"/>
        </w:rPr>
      </w:r>
      <w:r>
        <w:rPr>
          <w:b/>
          <w:lang w:val="en_US" w:bidi="en_US"/>
        </w:rPr>
        <w:t>over all the land:</w:t>
      </w:r>
      <w:r>
        <w:rPr>
          <w:lang w:val="en_US" w:bidi="en_US"/>
        </w:rPr>
        <w:t xml:space="preserve"> The phrase </w:t>
      </w:r>
      <w:r>
        <w:rPr>
          <w:i/>
          <w:lang w:val="en_US" w:bidi="en_US"/>
        </w:rPr>
        <w:t>over all the land</w:t>
      </w:r>
      <w:r>
        <w:rPr>
          <w:lang w:val="en_US" w:bidi="en_US"/>
        </w:rPr>
        <w:t xml:space="preserve"> means “throughout the entire country of Israel.”</w:t>
      </w:r>
      <w:r>
        <w:rPr>
          <w:lang w:val="en_US" w:bidi="en_US"/>
        </w:rPr>
      </w:r>
      <w:r>
        <w:rPr>
          <w:lang w:val="en_US" w:bidi="en_US"/>
        </w:rPr>
      </w:r>
    </w:p>
    <w:p>
      <w:pPr/>
      <w:r>
        <w:rPr>
          <w:lang w:val="en_US" w:bidi="en_US"/>
        </w:rPr>
      </w:r>
    </w:p>
    <w:p>
      <w:pPr>
        <w:pStyle w:val="Heading2"/>
      </w:pPr>
      <w:r>
        <w:rPr>
          <w:lang w:val="en_US" w:bidi="en_US"/>
        </w:rPr>
        <w:t>Luke 4:26</w:t>
      </w:r>
      <w:r>
        <w:rPr>
          <w:lang w:val="en_US" w:bidi="en_US"/>
        </w:rPr>
      </w:r>
    </w:p>
    <w:p>
      <w:pPr>
        <w:pStyle w:val="Heading4"/>
      </w:pPr>
      <w:r>
        <w:rPr>
          <w:lang w:val="en_US" w:bidi="en_US"/>
        </w:rPr>
        <w:t>Section 4:14–30: The people rejected Jesus at Nazareth</w:t>
      </w:r>
    </w:p>
    <w:p>
      <w:pPr/>
      <w:r>
        <w:rPr>
          <w:lang w:val="en_US" w:bidi="en_US"/>
        </w:rPr>
      </w:r>
      <w:r>
        <w:rPr>
          <w:lang w:val="en_US" w:bidi="en_US"/>
        </w:rP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pPr/>
      <w:r>
        <w:rPr>
          <w:lang w:val="en_US" w:bidi="en_US"/>
        </w:rPr>
      </w:r>
      <w:r>
        <w:rPr>
          <w:lang w:val="en_US" w:bidi="en_US"/>
        </w:rPr>
        <w:t>Some other possible headings for this section are:</w:t>
      </w:r>
    </w:p>
    <w:p>
      <w:pPr/>
      <w:r>
        <w:rPr>
          <w:lang w:val="en_US" w:bidi="en_US"/>
        </w:rPr>
      </w:r>
      <w:r>
        <w:rPr>
          <w:lang w:val="en_US" w:bidi="en_US"/>
        </w:rPr>
        <w:t>The People of Nazareth Turn against Jesus (CEV)</w:t>
      </w:r>
    </w:p>
    <w:p>
      <w:pPr/>
      <w:r>
        <w:rPr>
          <w:lang w:val="en_US" w:bidi="en_US"/>
        </w:rPr>
      </w:r>
      <w:r>
        <w:rPr>
          <w:lang w:val="en_US" w:bidi="en_US"/>
        </w:rPr>
        <w:t>Jesus Rejected at Nazareth (ESV)</w:t>
      </w:r>
    </w:p>
    <w:p>
      <w:pPr/>
      <w:r>
        <w:rPr>
          <w:lang w:val="en_US" w:bidi="en_US"/>
        </w:rPr>
      </w:r>
      <w:r>
        <w:rPr>
          <w:lang w:val="en_US" w:bidi="en_US"/>
        </w:rPr>
        <w:t>There is a parallel passage for this section in Mark 6:1–6.</w:t>
      </w:r>
    </w:p>
    <w:p>
      <w:pPr>
        <w:pStyle w:val="Heading5"/>
      </w:pPr>
      <w:r>
        <w:rPr>
          <w:lang w:val="en_US" w:bidi="en_US"/>
        </w:rPr>
        <w:t>4:26a</w:t>
      </w:r>
    </w:p>
    <w:p>
      <w:pPr/>
      <w:r>
        <w:rPr>
          <w:lang w:val="en_US" w:bidi="en_US"/>
        </w:rPr>
      </w:r>
      <w:r>
        <w:rPr>
          <w:b/>
          <w:lang w:val="en_US" w:bidi="en_US"/>
        </w:rPr>
        <w:t>Yet Elijah was not sent to any of them,</w:t>
      </w:r>
    </w:p>
    <w:p>
      <w:pPr>
        <w:pStyle w:val="ListBullet"/>
        <w:spacing w:line="240" w:lineRule="auto"/>
        <w:ind w:left="720"/>
      </w:pPr>
      <w:r>
        <w:rPr>
          <w:lang w:val="en_US" w:bidi="en_US"/>
        </w:rPr>
      </w:r>
      <w:r>
        <w:rPr>
          <w:lang w:val="en_US" w:bidi="en_US"/>
        </w:rPr>
        <w:t xml:space="preserve">Yet Elijah was not sent to any of those </w:t>
      </w:r>
      <w:r>
        <w:rPr>
          <w:lang w:val="en_US" w:bidi="en_US"/>
        </w:rPr>
        <w:t>Israelite widows</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God</w:t>
      </w:r>
      <w:r>
        <w:rPr>
          <w:lang w:val="en_US" w:bidi="en_US"/>
        </w:rPr>
        <w:t xml:space="preserve"> did not send/tell/order </w:t>
      </w:r>
      <w:r>
        <w:rPr>
          <w:lang w:val="en_US" w:bidi="en_US"/>
        </w:rPr>
        <w:t>the prophet</w:t>
      </w:r>
      <w:r>
        <w:rPr>
          <w:lang w:val="en_US" w:bidi="en_US"/>
        </w:rPr>
        <w:t xml:space="preserve"> Elijah to go to </w:t>
      </w:r>
      <w:r>
        <w:rPr>
          <w:lang w:val="en_US" w:bidi="en_US"/>
        </w:rPr>
        <w:t>help</w:t>
      </w:r>
      <w:r>
        <w:rPr>
          <w:lang w:val="en_US" w:bidi="en_US"/>
        </w:rPr>
        <w:t xml:space="preserve"> one of these </w:t>
      </w:r>
      <w:r>
        <w:rPr>
          <w:lang w:val="en_US" w:bidi="en_US"/>
        </w:rPr>
        <w:t>widows in Israel</w:t>
      </w:r>
      <w:r>
        <w:rPr>
          <w:lang w:val="en_US" w:bidi="en_US"/>
        </w:rPr>
        <w:t>.</w:t>
      </w:r>
    </w:p>
    <w:p>
      <w:pPr/>
      <w:r>
        <w:rPr>
          <w:lang w:val="en_US" w:bidi="en_US"/>
        </w:rPr>
      </w:r>
      <w:r>
        <w:rPr>
          <w:b/>
          <w:lang w:val="en_US" w:bidi="en_US"/>
        </w:rPr>
        <w:t>Yet:</w:t>
      </w:r>
      <w:r>
        <w:rPr>
          <w:lang w:val="en_US" w:bidi="en_US"/>
        </w:rPr>
        <w:t xml:space="preserve"> This verse begins with a Greek conjunction that is often translated as “and.” Some English versions, such as the ESV, translate it that way. However, the events in 4:26 are the opposite of what one might expect would happen to the widows in Israel. For this reason, many English versions, like the BSB, translate this conjunction as “but” or “yet.” For example:</w:t>
      </w:r>
    </w:p>
    <w:p>
      <w:pPr/>
      <w:r>
        <w:rPr>
          <w:lang w:val="en_US" w:bidi="en_US"/>
        </w:rPr>
      </w:r>
      <w:r>
        <w:rPr>
          <w:lang w:val="en_US" w:bidi="en_US"/>
        </w:rPr>
        <w:t>But (NCV)</w:t>
      </w:r>
    </w:p>
    <w:p>
      <w:pPr/>
      <w:r>
        <w:rPr>
          <w:lang w:val="en_US" w:bidi="en_US"/>
        </w:rPr>
      </w:r>
      <w:r>
        <w:rPr>
          <w:lang w:val="en_US" w:bidi="en_US"/>
        </w:rPr>
        <w:t>and yet (NASB)</w:t>
      </w:r>
    </w:p>
    <w:p>
      <w:pPr/>
      <w:r>
        <w:rPr>
          <w:lang w:val="en_US" w:bidi="en_US"/>
        </w:rPr>
      </w:r>
      <w:r>
        <w:rPr>
          <w:b/>
          <w:lang w:val="en_US" w:bidi="en_US"/>
        </w:rPr>
        <w:t>Elijah was not sent to any of them:</w:t>
      </w:r>
      <w:r>
        <w:rPr>
          <w:lang w:val="en_US" w:bidi="en_US"/>
        </w:rPr>
        <w:t xml:space="preserve"> The verb phrase </w:t>
      </w:r>
      <w:r>
        <w:rPr>
          <w:i/>
          <w:lang w:val="en_US" w:bidi="en_US"/>
        </w:rPr>
        <w:t>was not sent</w:t>
      </w:r>
      <w:r>
        <w:rPr>
          <w:lang w:val="en_US" w:bidi="en_US"/>
        </w:rPr>
        <w:t xml:space="preserve"> is passive. Some ways to translate this are:</w:t>
      </w:r>
    </w:p>
    <w:p>
      <w:pPr>
        <w:pStyle w:val="ListBullet"/>
        <w:spacing w:line="240" w:lineRule="auto"/>
        <w:ind w:left="720"/>
      </w:pPr>
      <w:r>
        <w:rPr>
          <w:lang w:val="en_US" w:bidi="en_US"/>
        </w:rPr>
      </w:r>
      <w:r>
        <w:rPr>
          <w:lang w:val="en_US" w:bidi="en_US"/>
        </w:rPr>
        <w:t>Use a passive clause. For example:</w:t>
      </w:r>
      <w:r>
        <w:rPr>
          <w:lang w:val="en_US" w:bidi="en_US"/>
        </w:rPr>
        <w:t>Elijah was sent to none of those widows (NCV)</w:t>
      </w:r>
    </w:p>
    <w:p>
      <w:pPr>
        <w:pStyle w:val="ListBullet"/>
        <w:spacing w:line="240" w:lineRule="auto"/>
        <w:ind w:left="720"/>
      </w:pPr>
      <w:r>
        <w:rPr>
          <w:lang w:val="en_US" w:bidi="en_US"/>
        </w:rPr>
      </w:r>
      <w:r>
        <w:rPr>
          <w:lang w:val="en_US" w:bidi="en_US"/>
        </w:rPr>
        <w:t>Use an active clause. God is the implied subject. For example:</w:t>
      </w:r>
      <w:r>
        <w:rPr>
          <w:lang w:val="en_US" w:bidi="en_US"/>
        </w:rPr>
        <w:t>God</w:t>
      </w:r>
      <w:r>
        <w:rPr>
          <w:lang w:val="en_US" w:bidi="en_US"/>
        </w:rPr>
        <w:t xml:space="preserve"> did not send him to any of them</w:t>
      </w:r>
    </w:p>
    <w:p>
      <w:pPr/>
      <w:r>
        <w:rPr>
          <w:lang w:val="en_US" w:bidi="en_US"/>
        </w:rPr>
      </w:r>
      <w:r>
        <w:rPr>
          <w:b/>
          <w:lang w:val="en_US" w:bidi="en_US"/>
        </w:rPr>
        <w:t>Elijah:</w:t>
      </w:r>
      <w:r>
        <w:rPr>
          <w:lang w:val="en_US" w:bidi="en_US"/>
        </w:rPr>
        <w:t xml:space="preserve"> </w:t>
      </w:r>
      <w:r>
        <w:rPr>
          <w:i/>
          <w:lang w:val="en_US" w:bidi="en_US"/>
        </w:rPr>
        <w:t>Elijah</w:t>
      </w:r>
      <w:r>
        <w:rPr>
          <w:lang w:val="en_US" w:bidi="en_US"/>
        </w:rPr>
        <w:t xml:space="preserve"> is the name of man who was a well-known prophet. Jesus did not explicitly call him a prophet. But Jesus did call Elisha a prophet in 4:27a. For this reason, you may also translate the name </w:t>
      </w:r>
      <w:r>
        <w:rPr>
          <w:i/>
          <w:lang w:val="en_US" w:bidi="en_US"/>
        </w:rPr>
        <w:t>Elijah</w:t>
      </w:r>
      <w:r>
        <w:rPr>
          <w:lang w:val="en_US" w:bidi="en_US"/>
        </w:rPr>
        <w:t xml:space="preserve"> as “the prophet Elijah.”</w:t>
      </w:r>
    </w:p>
    <w:p>
      <w:pPr/>
      <w:r>
        <w:rPr>
          <w:lang w:val="en_US" w:bidi="en_US"/>
        </w:rPr>
      </w:r>
      <w:r>
        <w:rPr>
          <w:b/>
          <w:lang w:val="en_US" w:bidi="en_US"/>
        </w:rPr>
        <w:t>not…any of them:</w:t>
      </w:r>
      <w:r>
        <w:rPr>
          <w:lang w:val="en_US" w:bidi="en_US"/>
        </w:rPr>
        <w:t xml:space="preserve"> The Greek phrase that the BSB translates as </w:t>
      </w:r>
      <w:r>
        <w:rPr>
          <w:i/>
          <w:lang w:val="en_US" w:bidi="en_US"/>
        </w:rPr>
        <w:t>not…any of them</w:t>
      </w:r>
      <w:r>
        <w:rPr>
          <w:lang w:val="en_US" w:bidi="en_US"/>
        </w:rPr>
        <w:t xml:space="preserve"> is literally “none of them.” The word </w:t>
      </w:r>
      <w:r>
        <w:rPr>
          <w:i/>
          <w:lang w:val="en_US" w:bidi="en_US"/>
        </w:rPr>
        <w:t>them</w:t>
      </w:r>
      <w:r>
        <w:rPr>
          <w:lang w:val="en_US" w:bidi="en_US"/>
        </w:rPr>
        <w:t xml:space="preserve"> refers to the many widows in Israel (in 4:25a). Another way to translate this is:</w:t>
      </w:r>
    </w:p>
    <w:p>
      <w:pPr/>
      <w:r>
        <w:rPr>
          <w:lang w:val="en_US" w:bidi="en_US"/>
        </w:rPr>
      </w:r>
      <w:r>
        <w:rPr>
          <w:lang w:val="en_US" w:bidi="en_US"/>
        </w:rPr>
        <w:t>none of those widows (NCV)</w:t>
      </w:r>
    </w:p>
    <w:p>
      <w:pPr>
        <w:pStyle w:val="Heading5"/>
      </w:pPr>
      <w:r>
        <w:rPr>
          <w:lang w:val="en_US" w:bidi="en_US"/>
        </w:rPr>
        <w:t>4:26b</w:t>
      </w:r>
    </w:p>
    <w:p>
      <w:pPr/>
      <w:r>
        <w:rPr>
          <w:lang w:val="en_US" w:bidi="en_US"/>
        </w:rPr>
      </w:r>
      <w:r>
        <w:rPr>
          <w:b/>
          <w:lang w:val="en_US" w:bidi="en_US"/>
        </w:rPr>
        <w:t>but to the widow of Zarephath in Sidon.</w:t>
      </w:r>
    </w:p>
    <w:p>
      <w:pPr>
        <w:pStyle w:val="ListBullet"/>
        <w:spacing w:line="240" w:lineRule="auto"/>
        <w:ind w:left="720"/>
      </w:pPr>
      <w:r>
        <w:rPr>
          <w:lang w:val="en_US" w:bidi="en_US"/>
        </w:rPr>
      </w:r>
      <w:r>
        <w:rPr>
          <w:lang w:val="en_US" w:bidi="en_US"/>
        </w:rPr>
        <w:t xml:space="preserve">but </w:t>
      </w:r>
      <w:r>
        <w:rPr>
          <w:lang w:val="en_US" w:bidi="en_US"/>
        </w:rPr>
        <w:t>only</w:t>
      </w:r>
      <w:r>
        <w:rPr>
          <w:lang w:val="en_US" w:bidi="en_US"/>
        </w:rPr>
        <w:t xml:space="preserve"> to a widow who lived in the </w:t>
      </w:r>
      <w:r>
        <w:rPr>
          <w:lang w:val="en_US" w:bidi="en_US"/>
        </w:rPr>
        <w:t>Gentile</w:t>
      </w:r>
      <w:r>
        <w:rPr>
          <w:lang w:val="en_US" w:bidi="en_US"/>
        </w:rPr>
        <w:t xml:space="preserve"> </w:t>
      </w:r>
      <w:r>
        <w:rPr>
          <w:lang w:val="en_US" w:bidi="en_US"/>
        </w:rPr>
        <w:t>town of</w:t>
      </w:r>
      <w:r>
        <w:rPr>
          <w:lang w:val="en_US" w:bidi="en_US"/>
        </w:rPr>
        <w:t xml:space="preserve"> Zarephath in the area of Sidon.</w:t>
      </w:r>
    </w:p>
    <w:p>
      <w:pPr>
        <w:pStyle w:val="ListBullet"/>
        <w:spacing w:line="240" w:lineRule="auto"/>
        <w:ind w:left="720"/>
      </w:pPr>
      <w:r>
        <w:rPr>
          <w:lang w:val="en_US" w:bidi="en_US"/>
        </w:rPr>
      </w:r>
      <w:r>
        <w:rPr>
          <w:lang w:val="en_US" w:bidi="en_US"/>
        </w:rPr>
        <w:t xml:space="preserve">Instead, </w:t>
      </w:r>
      <w:r>
        <w:rPr>
          <w:lang w:val="en_US" w:bidi="en_US"/>
        </w:rPr>
        <w:t>God sent/told him</w:t>
      </w:r>
      <w:r>
        <w:rPr>
          <w:lang w:val="en_US" w:bidi="en_US"/>
        </w:rPr>
        <w:t xml:space="preserve"> to </w:t>
      </w:r>
      <w:r>
        <w:rPr>
          <w:lang w:val="en_US" w:bidi="en_US"/>
        </w:rPr>
        <w:t>go to</w:t>
      </w:r>
      <w:r>
        <w:rPr>
          <w:lang w:val="en_US" w:bidi="en_US"/>
        </w:rPr>
        <w:t xml:space="preserve"> a </w:t>
      </w:r>
      <w:r>
        <w:rPr>
          <w:lang w:val="en_US" w:bidi="en_US"/>
        </w:rPr>
        <w:t>Gentile</w:t>
      </w:r>
      <w:r>
        <w:rPr>
          <w:lang w:val="en_US" w:bidi="en_US"/>
        </w:rPr>
        <w:t xml:space="preserve"> widow in Zarephath, near </w:t>
      </w:r>
      <w:r>
        <w:rPr>
          <w:lang w:val="en_US" w:bidi="en_US"/>
        </w:rPr>
        <w:t>the city of</w:t>
      </w:r>
      <w:r>
        <w:rPr>
          <w:lang w:val="en_US" w:bidi="en_US"/>
        </w:rPr>
        <w:t xml:space="preserve"> Sidon.</w:t>
      </w:r>
    </w:p>
    <w:p>
      <w:pPr/>
      <w:r>
        <w:rPr>
          <w:lang w:val="en_US" w:bidi="en_US"/>
        </w:rPr>
      </w:r>
      <w:r>
        <w:rPr>
          <w:b/>
          <w:lang w:val="en_US" w:bidi="en_US"/>
        </w:rPr>
        <w:t>but:</w:t>
      </w:r>
      <w:r>
        <w:rPr>
          <w:lang w:val="en_US" w:bidi="en_US"/>
        </w:rPr>
        <w:t xml:space="preserve"> The Greek phrase that the BSB translates as </w:t>
      </w:r>
      <w:r>
        <w:rPr>
          <w:i/>
          <w:lang w:val="en_US" w:bidi="en_US"/>
        </w:rPr>
        <w:t>but</w:t>
      </w:r>
      <w:r>
        <w:rPr>
          <w:lang w:val="en_US" w:bidi="en_US"/>
        </w:rPr>
        <w:t xml:space="preserve"> is translated in some versions as “except” (GW, NKJV, NRSV). It indicates a contrast between the widows to whom Elijah was not sent (in 4:26a) and the one widow to whom he was sent (in 4:26b).</w:t>
      </w:r>
    </w:p>
    <w:p>
      <w:pPr/>
      <w:r>
        <w:rPr>
          <w:lang w:val="en_US" w:bidi="en_US"/>
        </w:rPr>
      </w:r>
      <w:r>
        <w:rPr>
          <w:lang w:val="en_US" w:bidi="en_US"/>
        </w:rPr>
        <w:t>If you began 4:26a with the conjunction “but,” it may not be natural to also begin 4:26b with the same conjunction. Some other ways to begin 4:26b are:</w:t>
      </w:r>
    </w:p>
    <w:p>
      <w:pPr/>
      <w:r>
        <w:rPr>
          <w:lang w:val="en_US" w:bidi="en_US"/>
        </w:rPr>
      </w:r>
      <w:r>
        <w:rPr>
          <w:lang w:val="en_US" w:bidi="en_US"/>
        </w:rPr>
        <w:t>He was sent instead (NLT)</w:t>
      </w:r>
    </w:p>
    <w:p>
      <w:pPr/>
      <w:r>
        <w:rPr>
          <w:lang w:val="en_US" w:bidi="en_US"/>
        </w:rPr>
      </w:r>
      <w:r>
        <w:rPr>
          <w:lang w:val="en_US" w:bidi="en_US"/>
        </w:rPr>
        <w:t>Rather</w:t>
      </w:r>
    </w:p>
    <w:p>
      <w:pPr/>
      <w:r>
        <w:rPr>
          <w:lang w:val="en_US" w:bidi="en_US"/>
        </w:rPr>
      </w:r>
      <w:r>
        <w:rPr>
          <w:b/>
          <w:lang w:val="en_US" w:bidi="en_US"/>
        </w:rPr>
        <w:t>to the widow:</w:t>
      </w:r>
      <w:r>
        <w:rPr>
          <w:lang w:val="en_US" w:bidi="en_US"/>
        </w:rPr>
        <w:t xml:space="preserve"> The phrase </w:t>
      </w:r>
      <w:r>
        <w:rPr>
          <w:i/>
          <w:lang w:val="en_US" w:bidi="en_US"/>
        </w:rPr>
        <w:t>to the widow</w:t>
      </w:r>
      <w:r>
        <w:rPr>
          <w:lang w:val="en_US" w:bidi="en_US"/>
        </w:rPr>
        <w:t xml:space="preserve"> is an ellipsis. In this context it means:</w:t>
      </w:r>
    </w:p>
    <w:p>
      <w:pPr/>
      <w:r>
        <w:rPr>
          <w:lang w:val="en_US" w:bidi="en_US"/>
        </w:rPr>
      </w:r>
      <w:r>
        <w:rPr>
          <w:lang w:val="en_US" w:bidi="en_US"/>
        </w:rPr>
        <w:t>Elijah was sent</w:t>
      </w:r>
      <w:r>
        <w:rPr>
          <w:lang w:val="en_US" w:bidi="en_US"/>
        </w:rPr>
        <w:t xml:space="preserve"> to a widow</w:t>
      </w:r>
    </w:p>
    <w:p>
      <w:pPr/>
      <w:r>
        <w:rPr>
          <w:lang w:val="en_US" w:bidi="en_US"/>
        </w:rPr>
      </w:r>
      <w:r>
        <w:rPr>
          <w:lang w:val="en_US" w:bidi="en_US"/>
        </w:rPr>
        <w:t>God sent Elijah</w:t>
      </w:r>
      <w:r>
        <w:rPr>
          <w:lang w:val="en_US" w:bidi="en_US"/>
        </w:rPr>
        <w:t xml:space="preserve"> to a widow</w:t>
      </w:r>
    </w:p>
    <w:p>
      <w:pPr/>
      <w:r>
        <w:rPr>
          <w:lang w:val="en_US" w:bidi="en_US"/>
        </w:rPr>
      </w:r>
      <w:r>
        <w:rPr>
          <w:b/>
          <w:lang w:val="en_US" w:bidi="en_US"/>
        </w:rPr>
        <w:t>of Zarephath in Sidon:</w:t>
      </w:r>
      <w:r>
        <w:rPr>
          <w:lang w:val="en_US" w:bidi="en_US"/>
        </w:rPr>
        <w:t xml:space="preserve"> The word </w:t>
      </w:r>
      <w:r>
        <w:rPr>
          <w:i/>
          <w:lang w:val="en_US" w:bidi="en_US"/>
        </w:rPr>
        <w:t>Zarephath</w:t>
      </w:r>
      <w:r>
        <w:rPr>
          <w:lang w:val="en_US" w:bidi="en_US"/>
        </w:rPr>
        <w:t xml:space="preserve"> is the name of the town where the widow lived. This town was a Gentile town in another country north of Israel. It was near the city of </w:t>
      </w:r>
      <w:r>
        <w:rPr>
          <w:i/>
          <w:lang w:val="en_US" w:bidi="en_US"/>
        </w:rPr>
        <w:t>Sidon</w:t>
      </w:r>
      <w:r>
        <w:rPr>
          <w:lang w:val="en_US" w:bidi="en_US"/>
        </w:rPr>
        <w:t>.</w:t>
      </w:r>
    </w:p>
    <w:p>
      <w:pPr/>
      <w:r>
        <w:rPr>
          <w:lang w:val="en_US" w:bidi="en_US"/>
        </w:rPr>
      </w:r>
      <w:r>
        <w:rPr>
          <w:lang w:val="en_US" w:bidi="en_US"/>
        </w:rPr>
        <w:t>It may be important to make it clear in your translation that Zarephath was not a town in the country of Israel. For example:</w:t>
      </w:r>
    </w:p>
    <w:p>
      <w:pPr/>
      <w:r>
        <w:rPr>
          <w:lang w:val="en_US" w:bidi="en_US"/>
        </w:rPr>
      </w:r>
      <w:r>
        <w:rPr>
          <w:lang w:val="en_US" w:bidi="en_US"/>
        </w:rPr>
        <w:t>who lived outside Israel</w:t>
      </w:r>
      <w:r>
        <w:rPr>
          <w:lang w:val="en_US" w:bidi="en_US"/>
        </w:rPr>
        <w:t xml:space="preserve"> in Zarephath near Sidon</w:t>
      </w:r>
    </w:p>
    <w:p>
      <w:pPr>
        <w:pStyle w:val="Heading6"/>
      </w:pPr>
      <w:r>
        <w:rPr>
          <w:b/>
          <w:lang w:val="en_US" w:bidi="en_US"/>
        </w:rPr>
        <w:t>General Comment on 4:26a–b</w:t>
      </w:r>
    </w:p>
    <w:p>
      <w:pPr/>
      <w:r>
        <w:rPr>
          <w:lang w:val="en_US" w:bidi="en_US"/>
        </w:rPr>
      </w:r>
      <w:r>
        <w:rPr>
          <w:lang w:val="en_US" w:bidi="en_US"/>
        </w:rPr>
        <w:t>Luke 4:26a tells what did not happen and 4:26b tells what did happen. In some languages it may be more natural to change the order of 4:26a 4:26b in order to say first what did happen. For example:</w:t>
      </w:r>
    </w:p>
    <w:p>
      <w:pPr/>
      <w:r>
        <w:rPr>
          <w:lang w:val="en_US" w:bidi="en_US"/>
        </w:rPr>
      </w:r>
      <w:r>
        <w:rPr>
          <w:vertAlign w:val="superscript"/>
          <w:lang w:val="en_US" w:bidi="en_US"/>
        </w:rPr>
        <w:t>26b</w:t>
      </w:r>
      <w:r>
        <w:rPr>
          <w:lang w:val="en_US" w:bidi="en_US"/>
        </w:rPr>
        <w:t xml:space="preserve">But </w:t>
      </w:r>
      <w:r>
        <w:rPr>
          <w:lang w:val="en_US" w:bidi="en_US"/>
        </w:rPr>
        <w:t>God</w:t>
      </w:r>
      <w:r>
        <w:rPr>
          <w:lang w:val="en_US" w:bidi="en_US"/>
        </w:rPr>
        <w:t xml:space="preserve"> sent Elijah to a </w:t>
      </w:r>
      <w:r>
        <w:rPr>
          <w:lang w:val="en_US" w:bidi="en_US"/>
        </w:rPr>
        <w:t>Gentile</w:t>
      </w:r>
      <w:r>
        <w:rPr>
          <w:lang w:val="en_US" w:bidi="en_US"/>
        </w:rPr>
        <w:t xml:space="preserve"> widow in Zarephath, in the region of Sidon, </w:t>
      </w:r>
      <w:r>
        <w:rPr>
          <w:vertAlign w:val="superscript"/>
          <w:lang w:val="en_US" w:bidi="en_US"/>
        </w:rPr>
        <w:t>26a</w:t>
      </w:r>
      <w:r>
        <w:rPr>
          <w:lang w:val="en_US" w:bidi="en_US"/>
        </w:rPr>
        <w:t>and not to one of the widows in Israel.</w:t>
      </w:r>
      <w:r>
        <w:rPr>
          <w:lang w:val="en_US" w:bidi="en_US"/>
        </w:rPr>
      </w:r>
      <w:r>
        <w:rPr>
          <w:lang w:val="en_US" w:bidi="en_US"/>
        </w:rPr>
      </w:r>
    </w:p>
    <w:p>
      <w:pPr/>
      <w:r>
        <w:rPr>
          <w:lang w:val="en_US" w:bidi="en_US"/>
        </w:rPr>
      </w:r>
    </w:p>
    <w:p>
      <w:pPr>
        <w:pStyle w:val="Heading2"/>
      </w:pPr>
      <w:r>
        <w:rPr>
          <w:lang w:val="en_US" w:bidi="en_US"/>
        </w:rPr>
        <w:t>Luke 4:27</w:t>
      </w:r>
      <w:r>
        <w:rPr>
          <w:lang w:val="en_US" w:bidi="en_US"/>
        </w:rPr>
      </w:r>
    </w:p>
    <w:p>
      <w:pPr>
        <w:pStyle w:val="Heading4"/>
      </w:pPr>
      <w:r>
        <w:rPr>
          <w:lang w:val="en_US" w:bidi="en_US"/>
        </w:rPr>
        <w:t>Section 4:14–30: The people rejected Jesus at Nazareth</w:t>
      </w:r>
    </w:p>
    <w:p>
      <w:pPr/>
      <w:r>
        <w:rPr>
          <w:lang w:val="en_US" w:bidi="en_US"/>
        </w:rPr>
      </w:r>
      <w:r>
        <w:rPr>
          <w:lang w:val="en_US" w:bidi="en_US"/>
        </w:rP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pPr/>
      <w:r>
        <w:rPr>
          <w:lang w:val="en_US" w:bidi="en_US"/>
        </w:rPr>
      </w:r>
      <w:r>
        <w:rPr>
          <w:lang w:val="en_US" w:bidi="en_US"/>
        </w:rPr>
        <w:t>Some other possible headings for this section are:</w:t>
      </w:r>
    </w:p>
    <w:p>
      <w:pPr/>
      <w:r>
        <w:rPr>
          <w:lang w:val="en_US" w:bidi="en_US"/>
        </w:rPr>
      </w:r>
      <w:r>
        <w:rPr>
          <w:lang w:val="en_US" w:bidi="en_US"/>
        </w:rPr>
        <w:t>The People of Nazareth Turn against Jesus (CEV)</w:t>
      </w:r>
    </w:p>
    <w:p>
      <w:pPr/>
      <w:r>
        <w:rPr>
          <w:lang w:val="en_US" w:bidi="en_US"/>
        </w:rPr>
      </w:r>
      <w:r>
        <w:rPr>
          <w:lang w:val="en_US" w:bidi="en_US"/>
        </w:rPr>
        <w:t>Jesus Rejected at Nazareth (ESV)</w:t>
      </w:r>
    </w:p>
    <w:p>
      <w:pPr/>
      <w:r>
        <w:rPr>
          <w:lang w:val="en_US" w:bidi="en_US"/>
        </w:rPr>
      </w:r>
      <w:r>
        <w:rPr>
          <w:lang w:val="en_US" w:bidi="en_US"/>
        </w:rPr>
        <w:t>There is a parallel passage for this section in Mark 6:1–6.</w:t>
      </w:r>
    </w:p>
    <w:p>
      <w:pPr>
        <w:pStyle w:val="Heading5"/>
      </w:pPr>
      <w:r>
        <w:rPr>
          <w:lang w:val="en_US" w:bidi="en_US"/>
        </w:rPr>
        <w:t>4:27a</w:t>
      </w:r>
    </w:p>
    <w:p>
      <w:pPr/>
      <w:r>
        <w:rPr>
          <w:lang w:val="en_US" w:bidi="en_US"/>
        </w:rPr>
      </w:r>
      <w:r>
        <w:rPr>
          <w:b/>
          <w:lang w:val="en_US" w:bidi="en_US"/>
        </w:rPr>
        <w:t>And there were many lepers in Israel in the time of Elisha the prophet.</w:t>
      </w:r>
    </w:p>
    <w:p>
      <w:pPr>
        <w:pStyle w:val="ListBullet"/>
        <w:spacing w:line="240" w:lineRule="auto"/>
        <w:ind w:left="720"/>
      </w:pPr>
      <w:r>
        <w:rPr>
          <w:lang w:val="en_US" w:bidi="en_US"/>
        </w:rPr>
      </w:r>
      <w:r>
        <w:rPr>
          <w:lang w:val="en_US" w:bidi="en_US"/>
        </w:rPr>
        <w:t xml:space="preserve">And again/also, many people in Israel had </w:t>
      </w:r>
      <w:r>
        <w:rPr>
          <w:lang w:val="en_US" w:bidi="en_US"/>
        </w:rPr>
        <w:t>the disease of</w:t>
      </w:r>
      <w:r>
        <w:rPr>
          <w:lang w:val="en_US" w:bidi="en_US"/>
        </w:rPr>
        <w:t xml:space="preserve"> leprosy during the time of the prophet Elisha,</w:t>
      </w:r>
    </w:p>
    <w:p>
      <w:pPr>
        <w:pStyle w:val="ListBullet"/>
        <w:spacing w:line="240" w:lineRule="auto"/>
        <w:ind w:left="720"/>
      </w:pPr>
      <w:r>
        <w:rPr>
          <w:lang w:val="en_US" w:bidi="en_US"/>
        </w:rPr>
      </w:r>
      <w:r>
        <w:rPr>
          <w:lang w:val="en_US" w:bidi="en_US"/>
        </w:rPr>
        <w:t xml:space="preserve">And </w:t>
      </w:r>
      <w:r>
        <w:rPr>
          <w:lang w:val="en_US" w:bidi="en_US"/>
        </w:rPr>
        <w:t>later</w:t>
      </w:r>
      <w:r>
        <w:rPr>
          <w:lang w:val="en_US" w:bidi="en_US"/>
        </w:rPr>
        <w:t xml:space="preserve">, in the time of the prophet Elisha there were many lepers in </w:t>
      </w:r>
      <w:r>
        <w:rPr>
          <w:lang w:val="en_US" w:bidi="en_US"/>
        </w:rPr>
        <w:t>the country of</w:t>
      </w:r>
      <w:r>
        <w:rPr>
          <w:lang w:val="en_US" w:bidi="en_US"/>
        </w:rPr>
        <w:t xml:space="preserve"> Israel.</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 second example of a prophet helping people in other places instead of his own people. This example illustrates the same idea as the example in 4:25–26. Some other ways to begin this verse are:</w:t>
      </w:r>
    </w:p>
    <w:p>
      <w:pPr/>
      <w:r>
        <w:rPr>
          <w:lang w:val="en_US" w:bidi="en_US"/>
        </w:rPr>
      </w:r>
      <w:r>
        <w:rPr>
          <w:lang w:val="en_US" w:bidi="en_US"/>
        </w:rPr>
        <w:t>Again (REB)</w:t>
      </w:r>
    </w:p>
    <w:p>
      <w:pPr/>
      <w:r>
        <w:rPr>
          <w:lang w:val="en_US" w:bidi="en_US"/>
        </w:rPr>
      </w:r>
      <w:r>
        <w:rPr>
          <w:lang w:val="en_US" w:bidi="en_US"/>
        </w:rPr>
        <w:t>also (NRSV)</w:t>
      </w:r>
    </w:p>
    <w:p>
      <w:pPr/>
      <w:r>
        <w:rPr>
          <w:lang w:val="en_US" w:bidi="en_US"/>
        </w:rPr>
      </w:r>
      <w:r>
        <w:rPr>
          <w:b/>
          <w:lang w:val="en_US" w:bidi="en_US"/>
        </w:rPr>
        <w:t>there were many lepers in Israel:</w:t>
      </w:r>
      <w:r>
        <w:rPr>
          <w:lang w:val="en_US" w:bidi="en_US"/>
        </w:rPr>
        <w:t xml:space="preserve"> The phrase </w:t>
      </w:r>
      <w:r>
        <w:rPr>
          <w:i/>
          <w:lang w:val="en_US" w:bidi="en_US"/>
        </w:rPr>
        <w:t>there were many lepers in Israel</w:t>
      </w:r>
      <w:r>
        <w:rPr>
          <w:lang w:val="en_US" w:bidi="en_US"/>
        </w:rPr>
        <w:t xml:space="preserve"> means “there were many Israelites who had the disease called leprosy.”</w:t>
      </w:r>
    </w:p>
    <w:p>
      <w:pPr/>
      <w:r>
        <w:rPr>
          <w:lang w:val="en_US" w:bidi="en_US"/>
        </w:rPr>
      </w:r>
      <w:r>
        <w:rPr>
          <w:b/>
          <w:lang w:val="en_US" w:bidi="en_US"/>
        </w:rPr>
        <w:t>lepers:</w:t>
      </w:r>
      <w:r>
        <w:rPr>
          <w:lang w:val="en_US" w:bidi="en_US"/>
        </w:rPr>
        <w:t xml:space="preserve"> The Greek word that the BSB translates as </w:t>
      </w:r>
      <w:r>
        <w:rPr>
          <w:i/>
          <w:lang w:val="en_US" w:bidi="en_US"/>
        </w:rPr>
        <w:t>lepers</w:t>
      </w:r>
      <w:r>
        <w:rPr>
          <w:lang w:val="en_US" w:bidi="en_US"/>
        </w:rPr>
        <w:t xml:space="preserve"> referred to people who had a variety of skin diseases. Scholars disagree as to whether these diseases included modern-day leprosy (Hansen’s disease). They agree that the Greek word referred to dreaded skin diseases. People believed that these diseases were spread by contact with someone who had the disease.</w:t>
      </w:r>
    </w:p>
    <w:p>
      <w:pPr/>
      <w:r>
        <w:rPr>
          <w:lang w:val="en_US" w:bidi="en_US"/>
        </w:rPr>
      </w:r>
      <w:r>
        <w:rPr>
          <w:lang w:val="en_US" w:bidi="en_US"/>
        </w:rPr>
        <w:t>Some ways to translate this word are:</w:t>
      </w:r>
    </w:p>
    <w:p>
      <w:pPr>
        <w:pStyle w:val="ListBullet"/>
        <w:spacing w:line="240" w:lineRule="auto"/>
        <w:ind w:left="720"/>
      </w:pPr>
      <w:r>
        <w:rPr>
          <w:lang w:val="en_US" w:bidi="en_US"/>
        </w:rPr>
      </w:r>
      <w:r>
        <w:rPr>
          <w:lang w:val="en_US" w:bidi="en_US"/>
        </w:rPr>
        <w:t>Use a general phrase that describes the nature or significance of the disease. For example:</w:t>
      </w:r>
      <w:r>
        <w:rPr>
          <w:lang w:val="en_US" w:bidi="en_US"/>
        </w:rPr>
        <w:t>skin diseases (NCV)</w:t>
      </w:r>
      <w:r>
        <w:rPr>
          <w:lang w:val="en_US" w:bidi="en_US"/>
        </w:rPr>
        <w:t>dreaded/serious skin diseases</w:t>
      </w:r>
    </w:p>
    <w:p>
      <w:pPr>
        <w:pStyle w:val="ListBullet"/>
        <w:spacing w:line="240" w:lineRule="auto"/>
        <w:ind w:left="720"/>
      </w:pPr>
      <w:r>
        <w:rPr>
          <w:lang w:val="en_US" w:bidi="en_US"/>
        </w:rPr>
      </w:r>
      <w:r>
        <w:rPr>
          <w:lang w:val="en_US" w:bidi="en_US"/>
        </w:rPr>
        <w:t>Use a term that refers specifically to leprosy. For example:</w:t>
      </w:r>
      <w:r>
        <w:rPr>
          <w:lang w:val="en_US" w:bidi="en_US"/>
        </w:rPr>
        <w:t>leprosy</w:t>
      </w:r>
      <w:r>
        <w:rPr>
          <w:lang w:val="en_US" w:bidi="en_US"/>
        </w:rPr>
        <w:t>something like leprosy</w:t>
      </w:r>
    </w:p>
    <w:p>
      <w:pPr/>
      <w:r>
        <w:rPr>
          <w:lang w:val="en_US" w:bidi="en_US"/>
        </w:rPr>
      </w:r>
      <w:r>
        <w:rPr>
          <w:b/>
          <w:lang w:val="en_US" w:bidi="en_US"/>
        </w:rPr>
        <w:t>in the time of Elisha the prophet:</w:t>
      </w:r>
      <w:r>
        <w:rPr>
          <w:lang w:val="en_US" w:bidi="en_US"/>
        </w:rPr>
        <w:t xml:space="preserve"> The phrase </w:t>
      </w:r>
      <w:r>
        <w:rPr>
          <w:i/>
          <w:lang w:val="en_US" w:bidi="en_US"/>
        </w:rPr>
        <w:t>in the time of Elisha</w:t>
      </w:r>
      <w:r>
        <w:rPr>
          <w:lang w:val="en_US" w:bidi="en_US"/>
        </w:rPr>
        <w:t xml:space="preserve"> refers to the period of time when Elisha was alive. Like Elijah, </w:t>
      </w:r>
      <w:r>
        <w:rPr>
          <w:i/>
          <w:lang w:val="en_US" w:bidi="en_US"/>
        </w:rPr>
        <w:t>Elisha</w:t>
      </w:r>
      <w:r>
        <w:rPr>
          <w:lang w:val="en_US" w:bidi="en_US"/>
        </w:rPr>
        <w:t xml:space="preserve"> was also a prophet. Both prophets lived several hundred years before Jesus was born.</w:t>
      </w:r>
    </w:p>
    <w:p>
      <w:pPr/>
      <w:r>
        <w:rPr>
          <w:lang w:val="en_US" w:bidi="en_US"/>
        </w:rPr>
      </w:r>
      <w:r>
        <w:rPr>
          <w:lang w:val="en_US" w:bidi="en_US"/>
        </w:rPr>
        <w:t>Some other ways to translate this are:</w:t>
      </w:r>
    </w:p>
    <w:p>
      <w:pPr/>
      <w:r>
        <w:rPr>
          <w:lang w:val="en_US" w:bidi="en_US"/>
        </w:rPr>
      </w:r>
      <w:r>
        <w:rPr>
          <w:lang w:val="en_US" w:bidi="en_US"/>
        </w:rPr>
        <w:t>during the time of Elisha the prophet</w:t>
      </w:r>
    </w:p>
    <w:p>
      <w:pPr/>
      <w:r>
        <w:rPr>
          <w:lang w:val="en_US" w:bidi="en_US"/>
        </w:rPr>
      </w:r>
      <w:r>
        <w:rPr>
          <w:lang w:val="en_US" w:bidi="en_US"/>
        </w:rPr>
        <w:t>in the days of the prophet Elisha</w:t>
      </w:r>
    </w:p>
    <w:p>
      <w:pPr/>
      <w:r>
        <w:rPr>
          <w:lang w:val="en_US" w:bidi="en_US"/>
        </w:rPr>
      </w:r>
      <w:r>
        <w:rPr>
          <w:b/>
          <w:lang w:val="en_US" w:bidi="en_US"/>
        </w:rPr>
        <w:t>Elisha the prophet:</w:t>
      </w:r>
      <w:r>
        <w:rPr>
          <w:lang w:val="en_US" w:bidi="en_US"/>
        </w:rPr>
        <w:t xml:space="preserve"> The phrase </w:t>
      </w:r>
      <w:r>
        <w:rPr>
          <w:i/>
          <w:lang w:val="en_US" w:bidi="en_US"/>
        </w:rPr>
        <w:t>Elisha the prophet</w:t>
      </w:r>
      <w:r>
        <w:rPr>
          <w:lang w:val="en_US" w:bidi="en_US"/>
        </w:rPr>
        <w:t xml:space="preserve"> is similar to 3:4a, which says “Isaiah the prophet.” You should translate the word </w:t>
      </w:r>
      <w:r>
        <w:rPr>
          <w:i/>
          <w:lang w:val="en_US" w:bidi="en_US"/>
        </w:rPr>
        <w:t>prophet</w:t>
      </w:r>
      <w:r>
        <w:rPr>
          <w:lang w:val="en_US" w:bidi="en_US"/>
        </w:rPr>
        <w:t xml:space="preserve"> the same way in both places. For more information on translating prophet, see note 4:17a and prophet in the Glossary.</w:t>
      </w:r>
    </w:p>
    <w:p>
      <w:pPr>
        <w:pStyle w:val="Heading5"/>
      </w:pPr>
      <w:r>
        <w:rPr>
          <w:lang w:val="en_US" w:bidi="en_US"/>
        </w:rPr>
        <w:t>4:27b</w:t>
      </w:r>
    </w:p>
    <w:p>
      <w:pPr/>
      <w:r>
        <w:rPr>
          <w:lang w:val="en_US" w:bidi="en_US"/>
        </w:rPr>
      </w:r>
      <w:r>
        <w:rPr>
          <w:b/>
          <w:lang w:val="en_US" w:bidi="en_US"/>
        </w:rPr>
        <w:t>Yet not one of them was cleansed—</w:t>
      </w:r>
    </w:p>
    <w:p>
      <w:pPr>
        <w:pStyle w:val="ListBullet"/>
        <w:spacing w:line="240" w:lineRule="auto"/>
        <w:ind w:left="720"/>
      </w:pPr>
      <w:r>
        <w:rPr>
          <w:lang w:val="en_US" w:bidi="en_US"/>
        </w:rPr>
      </w:r>
      <w:r>
        <w:rPr>
          <w:lang w:val="en_US" w:bidi="en_US"/>
        </w:rPr>
        <w:t>yet none of them was cleansed/healed.</w:t>
      </w:r>
    </w:p>
    <w:p>
      <w:pPr>
        <w:pStyle w:val="ListBullet"/>
        <w:spacing w:line="240" w:lineRule="auto"/>
        <w:ind w:left="720"/>
      </w:pPr>
      <w:r>
        <w:rPr>
          <w:lang w:val="en_US" w:bidi="en_US"/>
        </w:rPr>
      </w:r>
      <w:r>
        <w:rPr>
          <w:lang w:val="en_US" w:bidi="en_US"/>
        </w:rPr>
        <w:t xml:space="preserve">But </w:t>
      </w:r>
      <w:r>
        <w:rPr>
          <w:lang w:val="en_US" w:bidi="en_US"/>
        </w:rPr>
        <w:t>God</w:t>
      </w:r>
      <w:r>
        <w:rPr>
          <w:lang w:val="en_US" w:bidi="en_US"/>
        </w:rPr>
        <w:t xml:space="preserve"> did not heal any of them.</w:t>
      </w:r>
    </w:p>
    <w:p>
      <w:pPr/>
      <w:r>
        <w:rPr>
          <w:lang w:val="en_US" w:bidi="en_US"/>
        </w:rPr>
      </w:r>
      <w:r>
        <w:rPr>
          <w:b/>
          <w:lang w:val="en_US" w:bidi="en_US"/>
        </w:rPr>
        <w:t>Yet:</w:t>
      </w:r>
      <w:r>
        <w:rPr>
          <w:lang w:val="en_US" w:bidi="en_US"/>
        </w:rPr>
        <w:t xml:space="preserve"> This verse begins with a Greek conjunction that is often translated as “and.” Some English versions, such as the ESV, translate it that way. However, the events in 4:27b are the opposite of what one might expect would happen to the lepers in Israel. For this reason, some English versions, like the BSB, begin this verse with “but” or “yet.” For example:</w:t>
      </w:r>
    </w:p>
    <w:p>
      <w:pPr/>
      <w:r>
        <w:rPr>
          <w:lang w:val="en_US" w:bidi="en_US"/>
        </w:rPr>
      </w:r>
      <w:r>
        <w:rPr>
          <w:lang w:val="en_US" w:bidi="en_US"/>
        </w:rPr>
        <w:t>But (NCV)</w:t>
      </w:r>
    </w:p>
    <w:p>
      <w:pPr/>
      <w:r>
        <w:rPr>
          <w:lang w:val="en_US" w:bidi="en_US"/>
        </w:rPr>
      </w:r>
      <w:r>
        <w:rPr>
          <w:lang w:val="en_US" w:bidi="en_US"/>
        </w:rPr>
        <w:t>and yet (CSB)</w:t>
      </w:r>
    </w:p>
    <w:p>
      <w:pPr/>
      <w:r>
        <w:rPr>
          <w:lang w:val="en_US" w:bidi="en_US"/>
        </w:rPr>
      </w:r>
      <w:r>
        <w:rPr>
          <w:b/>
          <w:lang w:val="en_US" w:bidi="en_US"/>
        </w:rPr>
        <w:t>not one of them was cleansed:</w:t>
      </w:r>
      <w:r>
        <w:rPr>
          <w:lang w:val="en_US" w:bidi="en_US"/>
        </w:rPr>
        <w:t xml:space="preserve"> The Greek verb that the BSB translates as </w:t>
      </w:r>
      <w:r>
        <w:rPr>
          <w:i/>
          <w:lang w:val="en_US" w:bidi="en_US"/>
        </w:rPr>
        <w:t>was cleansed</w:t>
      </w:r>
      <w:r>
        <w:rPr>
          <w:lang w:val="en_US" w:bidi="en_US"/>
        </w:rPr>
        <w:t xml:space="preserve"> is passive. Some ways to translate this are:</w:t>
      </w:r>
    </w:p>
    <w:p>
      <w:pPr>
        <w:pStyle w:val="ListBullet"/>
        <w:spacing w:line="240" w:lineRule="auto"/>
        <w:ind w:left="720"/>
      </w:pPr>
      <w:r>
        <w:rPr>
          <w:lang w:val="en_US" w:bidi="en_US"/>
        </w:rPr>
      </w:r>
      <w:r>
        <w:rPr>
          <w:lang w:val="en_US" w:bidi="en_US"/>
        </w:rPr>
        <w:t>Use a passive clause. For example:</w:t>
      </w:r>
      <w:r>
        <w:rPr>
          <w:lang w:val="en_US" w:bidi="en_US"/>
        </w:rPr>
        <w:t>none of them was cleansed (NET)</w:t>
      </w:r>
    </w:p>
    <w:p>
      <w:pPr>
        <w:pStyle w:val="ListBullet"/>
        <w:spacing w:line="240" w:lineRule="auto"/>
        <w:ind w:left="720"/>
      </w:pPr>
      <w:r>
        <w:rPr>
          <w:lang w:val="en_US" w:bidi="en_US"/>
        </w:rPr>
      </w:r>
      <w:r>
        <w:rPr>
          <w:lang w:val="en_US" w:bidi="en_US"/>
        </w:rPr>
        <w:t>Use an active clause. God is the implied subject. For example:</w:t>
      </w:r>
      <w:r>
        <w:rPr>
          <w:lang w:val="en_US" w:bidi="en_US"/>
        </w:rPr>
        <w:t>God cured no one (GW)</w:t>
      </w:r>
      <w:r>
        <w:rPr>
          <w:lang w:val="en_US" w:bidi="en_US"/>
        </w:rPr>
        <w:t>God did not cleanse any of them</w:t>
      </w:r>
    </w:p>
    <w:p>
      <w:pPr/>
      <w:r>
        <w:rPr>
          <w:lang w:val="en_US" w:bidi="en_US"/>
        </w:rPr>
      </w:r>
      <w:r>
        <w:rPr>
          <w:b/>
          <w:lang w:val="en_US" w:bidi="en_US"/>
        </w:rPr>
        <w:t>cleansed:</w:t>
      </w:r>
      <w:r>
        <w:rPr>
          <w:lang w:val="en_US" w:bidi="en_US"/>
        </w:rPr>
        <w:t xml:space="preserve"> When the Greek verb that the BSB translates as </w:t>
      </w:r>
      <w:r>
        <w:rPr>
          <w:i/>
          <w:lang w:val="en_US" w:bidi="en_US"/>
        </w:rPr>
        <w:t>cleansed</w:t>
      </w:r>
      <w:r>
        <w:rPr>
          <w:lang w:val="en_US" w:bidi="en_US"/>
        </w:rPr>
        <w:t xml:space="preserve"> refers to leprosy, it includes two ideas:</w:t>
      </w:r>
    </w:p>
    <w:p>
      <w:pPr>
        <w:pStyle w:val="ListNumber"/>
        <w:numPr>
          <w:ilvl w:val="0"/>
          <w:numId w:val="103"/>
        </w:numPr>
        <w:spacing w:line="240" w:lineRule="auto"/>
        <w:ind w:left="720"/>
      </w:pPr>
      <w:r>
        <w:rPr>
          <w:lang w:val="en_US" w:bidi="en_US"/>
        </w:rPr>
      </w:r>
      <w:r>
        <w:rPr>
          <w:lang w:val="en_US" w:bidi="en_US"/>
        </w:rPr>
        <w:t>being healed</w:t>
      </w:r>
    </w:p>
    <w:p>
      <w:pPr>
        <w:pStyle w:val="ListNumber"/>
        <w:spacing w:line="240" w:lineRule="auto"/>
        <w:ind w:left="720"/>
      </w:pPr>
      <w:r>
        <w:rPr>
          <w:lang w:val="en_US" w:bidi="en_US"/>
        </w:rPr>
      </w:r>
      <w:r>
        <w:rPr>
          <w:lang w:val="en_US" w:bidi="en_US"/>
        </w:rPr>
        <w:t>being allowed to worship God with the community, as a result of being healed.</w:t>
      </w:r>
    </w:p>
    <w:p>
      <w:pPr/>
      <w:r>
        <w:rPr>
          <w:lang w:val="en_US" w:bidi="en_US"/>
        </w:rPr>
      </w:r>
      <w:r>
        <w:rPr>
          <w:lang w:val="en_US" w:bidi="en_US"/>
        </w:rPr>
        <w:t>Some ways to translate the phrase “not one of them was cleansed” are:</w:t>
      </w:r>
    </w:p>
    <w:p>
      <w:pPr>
        <w:pStyle w:val="ListBullet"/>
        <w:spacing w:line="240" w:lineRule="auto"/>
        <w:ind w:left="720"/>
      </w:pPr>
      <w:r>
        <w:rPr>
          <w:lang w:val="en_US" w:bidi="en_US"/>
        </w:rPr>
      </w:r>
      <w:r>
        <w:rPr>
          <w:lang w:val="en_US" w:bidi="en_US"/>
        </w:rPr>
        <w:t>Translate both the idea of healing and the idea of causing the person to become ritually clean. For example:</w:t>
      </w:r>
      <w:r>
        <w:rPr>
          <w:lang w:val="en_US" w:bidi="en_US"/>
        </w:rPr>
        <w:t xml:space="preserve">not one of them was </w:t>
      </w:r>
      <w:r>
        <w:rPr>
          <w:lang w:val="en_US" w:bidi="en_US"/>
        </w:rPr>
        <w:t>healed and</w:t>
      </w:r>
      <w:r>
        <w:rPr>
          <w:lang w:val="en_US" w:bidi="en_US"/>
        </w:rPr>
        <w:t xml:space="preserve"> made </w:t>
      </w:r>
      <w:r>
        <w:rPr>
          <w:lang w:val="en_US" w:bidi="en_US"/>
        </w:rPr>
        <w:t>ritually</w:t>
      </w:r>
      <w:r>
        <w:rPr>
          <w:lang w:val="en_US" w:bidi="en_US"/>
        </w:rPr>
        <w:t xml:space="preserve"> clean</w:t>
      </w:r>
    </w:p>
    <w:p>
      <w:pPr>
        <w:pStyle w:val="ListBullet"/>
        <w:spacing w:line="240" w:lineRule="auto"/>
        <w:ind w:left="720"/>
      </w:pPr>
      <w:r>
        <w:rPr>
          <w:lang w:val="en_US" w:bidi="en_US"/>
        </w:rPr>
      </w:r>
      <w:r>
        <w:rPr>
          <w:lang w:val="en_US" w:bidi="en_US"/>
        </w:rPr>
        <w:t>Translate only the idea of healing here. For example:</w:t>
      </w:r>
      <w:r>
        <w:rPr>
          <w:lang w:val="en_US" w:bidi="en_US"/>
        </w:rPr>
        <w:t>no one was healed (CEV)</w:t>
      </w:r>
    </w:p>
    <w:p>
      <w:pPr>
        <w:pStyle w:val="Heading5"/>
      </w:pPr>
      <w:r>
        <w:rPr>
          <w:lang w:val="en_US" w:bidi="en_US"/>
        </w:rPr>
        <w:t>4:27c</w:t>
      </w:r>
    </w:p>
    <w:p>
      <w:pPr/>
      <w:r>
        <w:rPr>
          <w:lang w:val="en_US" w:bidi="en_US"/>
        </w:rPr>
      </w:r>
      <w:r>
        <w:rPr>
          <w:b/>
          <w:lang w:val="en_US" w:bidi="en_US"/>
        </w:rPr>
        <w:t>only Naaman the Syrian.”</w:t>
      </w:r>
    </w:p>
    <w:p>
      <w:pPr>
        <w:pStyle w:val="ListBullet"/>
        <w:spacing w:line="240" w:lineRule="auto"/>
        <w:ind w:left="720"/>
      </w:pPr>
      <w:r>
        <w:rPr>
          <w:lang w:val="en_US" w:bidi="en_US"/>
        </w:rPr>
      </w:r>
      <w:r>
        <w:rPr>
          <w:lang w:val="en_US" w:bidi="en_US"/>
        </w:rPr>
        <w:t>The</w:t>
      </w:r>
      <w:r>
        <w:rPr>
          <w:lang w:val="en_US" w:bidi="en_US"/>
        </w:rPr>
        <w:t xml:space="preserve"> only </w:t>
      </w:r>
      <w:r>
        <w:rPr>
          <w:lang w:val="en_US" w:bidi="en_US"/>
        </w:rPr>
        <w:t>person healed was</w:t>
      </w:r>
      <w:r>
        <w:rPr>
          <w:lang w:val="en_US" w:bidi="en_US"/>
        </w:rPr>
        <w:t xml:space="preserve"> Naaman, </w:t>
      </w:r>
      <w:r>
        <w:rPr>
          <w:lang w:val="en_US" w:bidi="en_US"/>
        </w:rPr>
        <w:t>a man</w:t>
      </w:r>
      <w:r>
        <w:rPr>
          <w:lang w:val="en_US" w:bidi="en_US"/>
        </w:rPr>
        <w:t xml:space="preserve"> from Syria.”</w:t>
      </w:r>
    </w:p>
    <w:p>
      <w:pPr>
        <w:pStyle w:val="ListBullet"/>
        <w:spacing w:line="240" w:lineRule="auto"/>
        <w:ind w:left="720"/>
      </w:pPr>
      <w:r>
        <w:rPr>
          <w:lang w:val="en_US" w:bidi="en_US"/>
        </w:rPr>
      </w:r>
      <w:r>
        <w:rPr>
          <w:lang w:val="en_US" w:bidi="en_US"/>
        </w:rPr>
        <w:t>The</w:t>
      </w:r>
      <w:r>
        <w:rPr>
          <w:lang w:val="en_US" w:bidi="en_US"/>
        </w:rPr>
        <w:t xml:space="preserve"> only </w:t>
      </w:r>
      <w:r>
        <w:rPr>
          <w:lang w:val="en_US" w:bidi="en_US"/>
        </w:rPr>
        <w:t>leper he/God healed was</w:t>
      </w:r>
      <w:r>
        <w:rPr>
          <w:lang w:val="en_US" w:bidi="en_US"/>
        </w:rPr>
        <w:t xml:space="preserve"> Naaman, </w:t>
      </w:r>
      <w:r>
        <w:rPr>
          <w:lang w:val="en_US" w:bidi="en_US"/>
        </w:rPr>
        <w:t>and he was</w:t>
      </w:r>
      <w:r>
        <w:rPr>
          <w:lang w:val="en_US" w:bidi="en_US"/>
        </w:rPr>
        <w:t xml:space="preserve"> </w:t>
      </w:r>
      <w:r>
        <w:rPr>
          <w:lang w:val="en_US" w:bidi="en_US"/>
        </w:rPr>
        <w:t>a Gentile</w:t>
      </w:r>
      <w:r>
        <w:rPr>
          <w:lang w:val="en_US" w:bidi="en_US"/>
        </w:rPr>
        <w:t xml:space="preserve"> from </w:t>
      </w:r>
      <w:r>
        <w:rPr>
          <w:lang w:val="en_US" w:bidi="en_US"/>
        </w:rPr>
        <w:t>the country of</w:t>
      </w:r>
      <w:r>
        <w:rPr>
          <w:lang w:val="en_US" w:bidi="en_US"/>
        </w:rPr>
        <w:t xml:space="preserve"> Syria.”</w:t>
      </w:r>
    </w:p>
    <w:p>
      <w:pPr/>
      <w:r>
        <w:rPr>
          <w:lang w:val="en_US" w:bidi="en_US"/>
        </w:rPr>
      </w:r>
      <w:r>
        <w:rPr>
          <w:b/>
          <w:lang w:val="en_US" w:bidi="en_US"/>
        </w:rPr>
        <w:t>only Naaman the Syrian:</w:t>
      </w:r>
      <w:r>
        <w:rPr>
          <w:lang w:val="en_US" w:bidi="en_US"/>
        </w:rPr>
        <w:t xml:space="preserve"> </w:t>
      </w:r>
      <w:r>
        <w:rPr>
          <w:i/>
          <w:lang w:val="en_US" w:bidi="en_US"/>
        </w:rPr>
        <w:t>Naaman</w:t>
      </w:r>
      <w:r>
        <w:rPr>
          <w:lang w:val="en_US" w:bidi="en_US"/>
        </w:rPr>
        <w:t xml:space="preserve"> is the name of a man. He was from the country of Syria. He is the only person whom God healed from his skin disease through Elisha.</w:t>
      </w:r>
    </w:p>
    <w:p>
      <w:pPr/>
      <w:r>
        <w:rPr>
          <w:lang w:val="en_US" w:bidi="en_US"/>
        </w:rPr>
      </w:r>
      <w:r>
        <w:rPr>
          <w:lang w:val="en_US" w:bidi="en_US"/>
        </w:rPr>
        <w:t xml:space="preserve">The phrase </w:t>
      </w:r>
      <w:r>
        <w:rPr>
          <w:i/>
          <w:lang w:val="en_US" w:bidi="en_US"/>
        </w:rPr>
        <w:t>only Naaman the Syrian</w:t>
      </w:r>
      <w:r>
        <w:rPr>
          <w:lang w:val="en_US" w:bidi="en_US"/>
        </w:rPr>
        <w:t xml:space="preserve"> is an ellipsis. In this context it means:</w:t>
      </w:r>
    </w:p>
    <w:p>
      <w:pPr/>
      <w:r>
        <w:rPr>
          <w:lang w:val="en_US" w:bidi="en_US"/>
        </w:rPr>
      </w:r>
      <w:r>
        <w:rPr>
          <w:lang w:val="en_US" w:bidi="en_US"/>
        </w:rPr>
        <w:t xml:space="preserve">Only Naaman the Syrian </w:t>
      </w:r>
      <w:r>
        <w:rPr>
          <w:lang w:val="en_US" w:bidi="en_US"/>
        </w:rPr>
        <w:t>was cleansed</w:t>
      </w:r>
    </w:p>
    <w:p>
      <w:pPr/>
      <w:r>
        <w:rPr>
          <w:lang w:val="en_US" w:bidi="en_US"/>
        </w:rPr>
      </w:r>
      <w:r>
        <w:rPr>
          <w:lang w:val="en_US" w:bidi="en_US"/>
        </w:rPr>
        <w:t>God healed</w:t>
      </w:r>
      <w:r>
        <w:rPr>
          <w:lang w:val="en_US" w:bidi="en_US"/>
        </w:rPr>
        <w:t xml:space="preserve"> only Naaman from Syria</w:t>
      </w:r>
    </w:p>
    <w:p>
      <w:pPr/>
      <w:r>
        <w:rPr>
          <w:lang w:val="en_US" w:bidi="en_US"/>
        </w:rPr>
      </w:r>
      <w:r>
        <w:rPr>
          <w:b/>
          <w:lang w:val="en_US" w:bidi="en_US"/>
        </w:rPr>
        <w:t>Naaman the Syrian:</w:t>
      </w:r>
      <w:r>
        <w:rPr>
          <w:lang w:val="en_US" w:bidi="en_US"/>
        </w:rPr>
        <w:t xml:space="preserve"> All the Jews knew the story of Naaman (2 Kings 5:1–14). Naaman had been a leper whose home was in the country of Syria. He went to Israel, where God healed him through the prophet Elisha.</w:t>
      </w:r>
    </w:p>
    <w:p>
      <w:pPr/>
      <w:r>
        <w:rPr>
          <w:lang w:val="en_US" w:bidi="en_US"/>
        </w:rPr>
      </w:r>
      <w:r>
        <w:rPr>
          <w:lang w:val="en_US" w:bidi="en_US"/>
        </w:rPr>
        <w:t>Try to make it clear in your translation or in a footnote that Naaman was a Gentile.</w:t>
      </w:r>
    </w:p>
    <w:p>
      <w:pPr>
        <w:pStyle w:val="Heading6"/>
      </w:pPr>
      <w:r>
        <w:rPr>
          <w:b/>
          <w:lang w:val="en_US" w:bidi="en_US"/>
        </w:rPr>
        <w:t>General Comments on 4:27a–c</w:t>
      </w:r>
    </w:p>
    <w:p>
      <w:pPr/>
      <w:r>
        <w:rPr>
          <w:lang w:val="en_US" w:bidi="en_US"/>
        </w:rPr>
      </w:r>
      <w:r>
        <w:rPr>
          <w:lang w:val="en_US" w:bidi="en_US"/>
        </w:rPr>
        <w:t>In some languages, it may be natural to say what Elisha did do before saying what he did not do. For example:</w:t>
      </w:r>
    </w:p>
    <w:p>
      <w:pPr/>
      <w:r>
        <w:rPr>
          <w:lang w:val="en_US" w:bidi="en_US"/>
        </w:rPr>
      </w:r>
      <w:r>
        <w:rPr>
          <w:vertAlign w:val="superscript"/>
          <w:lang w:val="en_US" w:bidi="en_US"/>
        </w:rPr>
        <w:t>27a</w:t>
      </w:r>
      <w:r>
        <w:rPr>
          <w:lang w:val="en_US" w:bidi="en_US"/>
        </w:rPr>
        <w:t xml:space="preserve">And in the time of Elisha the prophet, there were many people with leprosy in Israel. </w:t>
      </w:r>
      <w:r>
        <w:rPr>
          <w:vertAlign w:val="superscript"/>
          <w:lang w:val="en_US" w:bidi="en_US"/>
        </w:rPr>
        <w:t>27c</w:t>
      </w:r>
      <w:r>
        <w:rPr>
          <w:lang w:val="en_US" w:bidi="en_US"/>
        </w:rPr>
        <w:t xml:space="preserve">But God cleansed only Naaman from Syria, </w:t>
      </w:r>
      <w:r>
        <w:rPr>
          <w:vertAlign w:val="superscript"/>
          <w:lang w:val="en_US" w:bidi="en_US"/>
        </w:rPr>
        <w:t>27b</w:t>
      </w:r>
      <w:r>
        <w:rPr>
          <w:lang w:val="en_US" w:bidi="en_US"/>
        </w:rPr>
        <w:t>and none of those Israelites.</w:t>
      </w:r>
    </w:p>
    <w:p>
      <w:pPr/>
      <w:r>
        <w:rPr>
          <w:lang w:val="en_US" w:bidi="en_US"/>
        </w:rPr>
      </w:r>
      <w:r>
        <w:rPr>
          <w:vertAlign w:val="superscript"/>
          <w:lang w:val="en_US" w:bidi="en_US"/>
        </w:rPr>
        <w:t>27a</w:t>
      </w:r>
      <w:r>
        <w:rPr>
          <w:lang w:val="en_US" w:bidi="en_US"/>
        </w:rPr>
        <w:t xml:space="preserve">Or think of the prophet Elisha, </w:t>
      </w:r>
      <w:r>
        <w:rPr>
          <w:vertAlign w:val="superscript"/>
          <w:lang w:val="en_US" w:bidi="en_US"/>
        </w:rPr>
        <w:t>27b</w:t>
      </w:r>
      <w:r>
        <w:rPr>
          <w:lang w:val="en_US" w:bidi="en_US"/>
        </w:rPr>
        <w:t xml:space="preserve">who healed </w:t>
      </w:r>
      <w:r>
        <w:rPr>
          <w:vertAlign w:val="superscript"/>
          <w:lang w:val="en_US" w:bidi="en_US"/>
        </w:rPr>
        <w:t>27c</w:t>
      </w:r>
      <w:r>
        <w:rPr>
          <w:lang w:val="en_US" w:bidi="en_US"/>
        </w:rPr>
        <w:t xml:space="preserve">Naaman, a Syrian, </w:t>
      </w:r>
      <w:r>
        <w:rPr>
          <w:vertAlign w:val="superscript"/>
          <w:lang w:val="en_US" w:bidi="en_US"/>
        </w:rPr>
        <w:t>27a</w:t>
      </w:r>
      <w:r>
        <w:rPr>
          <w:lang w:val="en_US" w:bidi="en_US"/>
        </w:rPr>
        <w:t>rather than the many lepers in Israel who needed help. (NLT96)</w:t>
      </w:r>
      <w:r>
        <w:rPr>
          <w:lang w:val="en_US" w:bidi="en_US"/>
        </w:rPr>
      </w:r>
      <w:r>
        <w:rPr>
          <w:lang w:val="en_US" w:bidi="en_US"/>
        </w:rPr>
      </w:r>
    </w:p>
    <w:p>
      <w:pPr/>
      <w:r>
        <w:rPr>
          <w:lang w:val="en_US" w:bidi="en_US"/>
        </w:rPr>
      </w:r>
    </w:p>
    <w:p>
      <w:pPr>
        <w:pStyle w:val="Heading2"/>
      </w:pPr>
      <w:r>
        <w:rPr>
          <w:lang w:val="en_US" w:bidi="en_US"/>
        </w:rPr>
        <w:t>Luke 4:28</w:t>
      </w:r>
      <w:r>
        <w:rPr>
          <w:lang w:val="en_US" w:bidi="en_US"/>
        </w:rPr>
      </w:r>
    </w:p>
    <w:p>
      <w:pPr>
        <w:pStyle w:val="Heading4"/>
      </w:pPr>
      <w:r>
        <w:rPr>
          <w:lang w:val="en_US" w:bidi="en_US"/>
        </w:rPr>
        <w:t>Section 4:14–30: The people rejected Jesus at Nazareth</w:t>
      </w:r>
    </w:p>
    <w:p>
      <w:pPr/>
      <w:r>
        <w:rPr>
          <w:lang w:val="en_US" w:bidi="en_US"/>
        </w:rPr>
      </w:r>
      <w:r>
        <w:rPr>
          <w:lang w:val="en_US" w:bidi="en_US"/>
        </w:rP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pPr/>
      <w:r>
        <w:rPr>
          <w:lang w:val="en_US" w:bidi="en_US"/>
        </w:rPr>
      </w:r>
      <w:r>
        <w:rPr>
          <w:lang w:val="en_US" w:bidi="en_US"/>
        </w:rPr>
        <w:t>Some other possible headings for this section are:</w:t>
      </w:r>
    </w:p>
    <w:p>
      <w:pPr/>
      <w:r>
        <w:rPr>
          <w:lang w:val="en_US" w:bidi="en_US"/>
        </w:rPr>
      </w:r>
      <w:r>
        <w:rPr>
          <w:lang w:val="en_US" w:bidi="en_US"/>
        </w:rPr>
        <w:t>The People of Nazareth Turn against Jesus (CEV)</w:t>
      </w:r>
    </w:p>
    <w:p>
      <w:pPr/>
      <w:r>
        <w:rPr>
          <w:lang w:val="en_US" w:bidi="en_US"/>
        </w:rPr>
      </w:r>
      <w:r>
        <w:rPr>
          <w:lang w:val="en_US" w:bidi="en_US"/>
        </w:rPr>
        <w:t>Jesus Rejected at Nazareth (ESV)</w:t>
      </w:r>
    </w:p>
    <w:p>
      <w:pPr/>
      <w:r>
        <w:rPr>
          <w:lang w:val="en_US" w:bidi="en_US"/>
        </w:rPr>
      </w:r>
      <w:r>
        <w:rPr>
          <w:lang w:val="en_US" w:bidi="en_US"/>
        </w:rPr>
        <w:t>There is a parallel passage for this section in Mark 6:1–6.</w:t>
      </w:r>
    </w:p>
    <w:p>
      <w:pPr>
        <w:pStyle w:val="Heading5"/>
      </w:pPr>
      <w:r>
        <w:rPr>
          <w:lang w:val="en_US" w:bidi="en_US"/>
        </w:rPr>
        <w:t>4:28</w:t>
      </w:r>
    </w:p>
    <w:p>
      <w:pPr/>
      <w:r>
        <w:rPr>
          <w:lang w:val="en_US" w:bidi="en_US"/>
        </w:rPr>
      </w:r>
      <w:r>
        <w:rPr>
          <w:b/>
          <w:lang w:val="en_US" w:bidi="en_US"/>
        </w:rPr>
        <w:t>On hearing this, all the people in the synagogue were enraged.</w:t>
      </w:r>
    </w:p>
    <w:p>
      <w:pPr>
        <w:pStyle w:val="ListBullet"/>
        <w:spacing w:line="240" w:lineRule="auto"/>
        <w:ind w:left="720"/>
      </w:pPr>
      <w:r>
        <w:rPr>
          <w:lang w:val="en_US" w:bidi="en_US"/>
        </w:rPr>
      </w:r>
      <w:r>
        <w:rPr>
          <w:lang w:val="en_US" w:bidi="en_US"/>
        </w:rPr>
        <w:t>¶ Everyone in the synagogue became extremely angry when they heard Jesus’ words.</w:t>
      </w:r>
    </w:p>
    <w:p>
      <w:pPr>
        <w:pStyle w:val="ListBullet"/>
        <w:spacing w:line="240" w:lineRule="auto"/>
        <w:ind w:left="720"/>
      </w:pPr>
      <w:r>
        <w:rPr>
          <w:lang w:val="en_US" w:bidi="en_US"/>
        </w:rPr>
      </w:r>
      <w:r>
        <w:rPr>
          <w:lang w:val="en_US" w:bidi="en_US"/>
        </w:rPr>
        <w:t>¶ When they heard these words, everyone in the meeting place got so angry</w:t>
      </w:r>
    </w:p>
    <w:p>
      <w:pPr/>
      <w:r>
        <w:rPr>
          <w:lang w:val="en_US" w:bidi="en_US"/>
        </w:rPr>
      </w:r>
      <w:r>
        <w:rPr>
          <w:b/>
          <w:lang w:val="en_US" w:bidi="en_US"/>
        </w:rPr>
        <w:t>On hearing this, all the people in the synagogue were enraged:</w:t>
      </w:r>
      <w:r>
        <w:rPr>
          <w:lang w:val="en_US" w:bidi="en_US"/>
        </w:rPr>
        <w:t xml:space="preserve"> When the people in the synagogue heard Jesus’ examples, they understood what he meant. Jesus was saying that he was not going to perform miracles for them in Nazareth like the ones he had done in Capernaum.</w:t>
      </w:r>
    </w:p>
    <w:p>
      <w:pPr/>
      <w:r>
        <w:rPr>
          <w:lang w:val="en_US" w:bidi="en_US"/>
        </w:rPr>
      </w:r>
      <w:r>
        <w:rPr>
          <w:lang w:val="en_US" w:bidi="en_US"/>
        </w:rPr>
        <w:t>Some other ways to translate this are:</w:t>
      </w:r>
    </w:p>
    <w:p>
      <w:pPr/>
      <w:r>
        <w:rPr>
          <w:lang w:val="en_US" w:bidi="en_US"/>
        </w:rPr>
      </w:r>
      <w:r>
        <w:rPr>
          <w:lang w:val="en_US" w:bidi="en_US"/>
        </w:rPr>
        <w:t>When they heard this, all the people in the synagogue were filled with rage (NET)</w:t>
      </w:r>
    </w:p>
    <w:p>
      <w:pPr/>
      <w:r>
        <w:rPr>
          <w:lang w:val="en_US" w:bidi="en_US"/>
        </w:rPr>
      </w:r>
      <w:r>
        <w:rPr>
          <w:lang w:val="en_US" w:bidi="en_US"/>
        </w:rPr>
        <w:t>Everyone there in the synagogue became very angry when they heard what Jesus said</w:t>
      </w:r>
    </w:p>
    <w:p>
      <w:pPr/>
      <w:r>
        <w:rPr>
          <w:lang w:val="en_US" w:bidi="en_US"/>
        </w:rPr>
      </w:r>
      <w:r>
        <w:rPr>
          <w:b/>
          <w:lang w:val="en_US" w:bidi="en_US"/>
        </w:rPr>
        <w:t>synagogue:</w:t>
      </w:r>
      <w:r>
        <w:rPr>
          <w:lang w:val="en_US" w:bidi="en_US"/>
        </w:rPr>
        <w:t xml:space="preserve"> The </w:t>
      </w:r>
      <w:r>
        <w:rPr>
          <w:i/>
          <w:lang w:val="en_US" w:bidi="en_US"/>
        </w:rPr>
        <w:t>synagogue</w:t>
      </w:r>
      <w:r>
        <w:rPr>
          <w:lang w:val="en_US" w:bidi="en_US"/>
        </w:rPr>
        <w:t xml:space="preserve"> refers to the same building in Nazareth as is mentioned in 4:16b. It was where the people gathered to pray, read Scripture, teach their beliefs, and worship God. For more information, see the notes at 4:15a and 4:20d. See also synagogue in the Glossary.</w:t>
      </w:r>
    </w:p>
    <w:p>
      <w:pPr/>
      <w:r>
        <w:rPr>
          <w:lang w:val="en_US" w:bidi="en_US"/>
        </w:rPr>
      </w:r>
      <w:r>
        <w:rPr>
          <w:b/>
          <w:lang w:val="en_US" w:bidi="en_US"/>
        </w:rPr>
        <w:t>enraged:</w:t>
      </w:r>
      <w:r>
        <w:rPr>
          <w:lang w:val="en_US" w:bidi="en_US"/>
        </w:rPr>
        <w:t xml:space="preserve"> The Greek word that the BSB translates as </w:t>
      </w:r>
      <w:r>
        <w:rPr>
          <w:i/>
          <w:lang w:val="en_US" w:bidi="en_US"/>
        </w:rPr>
        <w:t>enraged</w:t>
      </w:r>
      <w:r>
        <w:rPr>
          <w:lang w:val="en_US" w:bidi="en_US"/>
        </w:rPr>
        <w:t xml:space="preserve"> indicates extreme anger. Some other ways to translate this are:</w:t>
      </w:r>
    </w:p>
    <w:p>
      <w:pPr/>
      <w:r>
        <w:rPr>
          <w:lang w:val="en_US" w:bidi="en_US"/>
        </w:rPr>
      </w:r>
      <w:r>
        <w:rPr>
          <w:lang w:val="en_US" w:bidi="en_US"/>
        </w:rPr>
        <w:t>very angry (NCV)</w:t>
      </w:r>
    </w:p>
    <w:p>
      <w:pPr/>
      <w:r>
        <w:rPr>
          <w:lang w:val="en_US" w:bidi="en_US"/>
        </w:rPr>
      </w:r>
      <w:r>
        <w:rPr>
          <w:lang w:val="en_US" w:bidi="en_US"/>
        </w:rPr>
        <w:t>furious (NIV)</w:t>
      </w:r>
      <w:r>
        <w:rPr>
          <w:lang w:val="en_US" w:bidi="en_US"/>
        </w:rPr>
      </w:r>
      <w:r>
        <w:rPr>
          <w:lang w:val="en_US" w:bidi="en_US"/>
        </w:rPr>
      </w:r>
    </w:p>
    <w:p>
      <w:pPr/>
      <w:r>
        <w:rPr>
          <w:lang w:val="en_US" w:bidi="en_US"/>
        </w:rPr>
      </w:r>
    </w:p>
    <w:p>
      <w:pPr>
        <w:pStyle w:val="Heading2"/>
      </w:pPr>
      <w:r>
        <w:rPr>
          <w:lang w:val="en_US" w:bidi="en_US"/>
        </w:rPr>
        <w:t>Luke 4:29</w:t>
      </w:r>
      <w:r>
        <w:rPr>
          <w:lang w:val="en_US" w:bidi="en_US"/>
        </w:rPr>
      </w:r>
    </w:p>
    <w:p>
      <w:pPr>
        <w:pStyle w:val="Heading4"/>
      </w:pPr>
      <w:r>
        <w:rPr>
          <w:lang w:val="en_US" w:bidi="en_US"/>
        </w:rPr>
        <w:t>Section 4:14–30: The people rejected Jesus at Nazareth</w:t>
      </w:r>
    </w:p>
    <w:p>
      <w:pPr/>
      <w:r>
        <w:rPr>
          <w:lang w:val="en_US" w:bidi="en_US"/>
        </w:rPr>
      </w:r>
      <w:r>
        <w:rPr>
          <w:lang w:val="en_US" w:bidi="en_US"/>
        </w:rP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pPr/>
      <w:r>
        <w:rPr>
          <w:lang w:val="en_US" w:bidi="en_US"/>
        </w:rPr>
      </w:r>
      <w:r>
        <w:rPr>
          <w:lang w:val="en_US" w:bidi="en_US"/>
        </w:rPr>
        <w:t>Some other possible headings for this section are:</w:t>
      </w:r>
    </w:p>
    <w:p>
      <w:pPr/>
      <w:r>
        <w:rPr>
          <w:lang w:val="en_US" w:bidi="en_US"/>
        </w:rPr>
      </w:r>
      <w:r>
        <w:rPr>
          <w:lang w:val="en_US" w:bidi="en_US"/>
        </w:rPr>
        <w:t>The People of Nazareth Turn against Jesus (CEV)</w:t>
      </w:r>
    </w:p>
    <w:p>
      <w:pPr/>
      <w:r>
        <w:rPr>
          <w:lang w:val="en_US" w:bidi="en_US"/>
        </w:rPr>
      </w:r>
      <w:r>
        <w:rPr>
          <w:lang w:val="en_US" w:bidi="en_US"/>
        </w:rPr>
        <w:t>Jesus Rejected at Nazareth (ESV)</w:t>
      </w:r>
    </w:p>
    <w:p>
      <w:pPr/>
      <w:r>
        <w:rPr>
          <w:lang w:val="en_US" w:bidi="en_US"/>
        </w:rPr>
      </w:r>
      <w:r>
        <w:rPr>
          <w:lang w:val="en_US" w:bidi="en_US"/>
        </w:rPr>
        <w:t>There is a parallel passage for this section in Mark 6:1–6.</w:t>
      </w:r>
    </w:p>
    <w:p>
      <w:pPr>
        <w:pStyle w:val="Heading5"/>
      </w:pPr>
      <w:r>
        <w:rPr>
          <w:lang w:val="en_US" w:bidi="en_US"/>
        </w:rPr>
        <w:t>4:29a</w:t>
      </w:r>
    </w:p>
    <w:p>
      <w:pPr/>
      <w:r>
        <w:rPr>
          <w:lang w:val="en_US" w:bidi="en_US"/>
        </w:rPr>
      </w:r>
      <w:r>
        <w:rPr>
          <w:b/>
          <w:lang w:val="en_US" w:bidi="en_US"/>
        </w:rPr>
        <w:t>They got up, drove Him out of the town,</w:t>
      </w:r>
    </w:p>
    <w:p>
      <w:pPr>
        <w:pStyle w:val="ListBullet"/>
        <w:spacing w:line="240" w:lineRule="auto"/>
        <w:ind w:left="720"/>
      </w:pPr>
      <w:r>
        <w:rPr>
          <w:lang w:val="en_US" w:bidi="en_US"/>
        </w:rPr>
      </w:r>
      <w:r>
        <w:rPr>
          <w:lang w:val="en_US" w:bidi="en_US"/>
        </w:rPr>
        <w:t xml:space="preserve">They rose up and pushed/threw </w:t>
      </w:r>
      <w:r>
        <w:rPr>
          <w:lang w:val="en_US" w:bidi="en_US"/>
        </w:rPr>
        <w:t>Jesus</w:t>
      </w:r>
      <w:r>
        <w:rPr>
          <w:lang w:val="en_US" w:bidi="en_US"/>
        </w:rPr>
        <w:t xml:space="preserve"> out of the town.</w:t>
      </w:r>
    </w:p>
    <w:p>
      <w:pPr>
        <w:pStyle w:val="ListBullet"/>
        <w:spacing w:line="240" w:lineRule="auto"/>
        <w:ind w:left="720"/>
      </w:pPr>
      <w:r>
        <w:rPr>
          <w:lang w:val="en_US" w:bidi="en_US"/>
        </w:rPr>
      </w:r>
      <w:r>
        <w:rPr>
          <w:lang w:val="en_US" w:bidi="en_US"/>
        </w:rPr>
        <w:t>that</w:t>
      </w:r>
      <w:r>
        <w:rPr>
          <w:lang w:val="en_US" w:bidi="en_US"/>
        </w:rPr>
        <w:t xml:space="preserve"> they started forcing him out of the town,</w:t>
      </w:r>
    </w:p>
    <w:p>
      <w:pPr/>
      <w:r>
        <w:rPr>
          <w:lang w:val="en_US" w:bidi="en_US"/>
        </w:rPr>
      </w:r>
      <w:r>
        <w:rPr>
          <w:b/>
          <w:lang w:val="en_US" w:bidi="en_US"/>
        </w:rPr>
        <w:t>They got up:</w:t>
      </w:r>
      <w:r>
        <w:rPr>
          <w:lang w:val="en_US" w:bidi="en_US"/>
        </w:rPr>
        <w:t xml:space="preserve"> The Greek verb that the BSB translates here as </w:t>
      </w:r>
      <w:r>
        <w:rPr>
          <w:i/>
          <w:lang w:val="en_US" w:bidi="en_US"/>
        </w:rPr>
        <w:t>got up</w:t>
      </w:r>
      <w:r>
        <w:rPr>
          <w:lang w:val="en_US" w:bidi="en_US"/>
        </w:rPr>
        <w:t xml:space="preserve"> has several senses. It can mean simply “stand up.” It can also refer to beginning an action or preparing for the action. In this context the people in the synagogue stood up, and they also began a hostile action against Jesus. Translate this in a natural way in your language for this context. See also the note on 1:39a where this verb is used of Mary preparing for her trip to see Elizabeth.</w:t>
      </w:r>
    </w:p>
    <w:p>
      <w:pPr/>
      <w:r>
        <w:rPr>
          <w:lang w:val="en_US" w:bidi="en_US"/>
        </w:rPr>
      </w:r>
      <w:r>
        <w:rPr>
          <w:b/>
          <w:lang w:val="en_US" w:bidi="en_US"/>
        </w:rPr>
        <w:t>drove Him out of the town:</w:t>
      </w:r>
      <w:r>
        <w:rPr>
          <w:lang w:val="en_US" w:bidi="en_US"/>
        </w:rPr>
        <w:t xml:space="preserve"> The Greek clause that the BSB translates as </w:t>
      </w:r>
      <w:r>
        <w:rPr>
          <w:i/>
          <w:lang w:val="en_US" w:bidi="en_US"/>
        </w:rPr>
        <w:t>drove Him out of the town</w:t>
      </w:r>
      <w:r>
        <w:rPr>
          <w:lang w:val="en_US" w:bidi="en_US"/>
        </w:rPr>
        <w:t xml:space="preserve"> is literally they “threw/cast him out of town.” This means that they “forced him to leave the town.” A crowd of people surrounded Jesus and forcibly took him with them out of the town.</w:t>
      </w:r>
    </w:p>
    <w:p>
      <w:pPr/>
      <w:r>
        <w:rPr>
          <w:lang w:val="en_US" w:bidi="en_US"/>
        </w:rPr>
      </w:r>
      <w:r>
        <w:rPr>
          <w:lang w:val="en_US" w:bidi="en_US"/>
        </w:rPr>
        <w:t>Some other ways to translate this are:</w:t>
      </w:r>
    </w:p>
    <w:p>
      <w:pPr/>
      <w:r>
        <w:rPr>
          <w:lang w:val="en_US" w:bidi="en_US"/>
        </w:rPr>
      </w:r>
      <w:r>
        <w:rPr>
          <w:lang w:val="en_US" w:bidi="en_US"/>
        </w:rPr>
        <w:t>forced him out of the town (NET)</w:t>
      </w:r>
    </w:p>
    <w:p>
      <w:pPr/>
      <w:r>
        <w:rPr>
          <w:lang w:val="en_US" w:bidi="en_US"/>
        </w:rPr>
      </w:r>
      <w:r>
        <w:rPr>
          <w:lang w:val="en_US" w:bidi="en_US"/>
        </w:rPr>
        <w:t>threw him out of town (CEV)</w:t>
      </w:r>
    </w:p>
    <w:p>
      <w:pPr>
        <w:pStyle w:val="Heading5"/>
      </w:pPr>
      <w:r>
        <w:rPr>
          <w:lang w:val="en_US" w:bidi="en_US"/>
        </w:rPr>
        <w:t>4:29b</w:t>
      </w:r>
    </w:p>
    <w:p>
      <w:pPr/>
      <w:r>
        <w:rPr>
          <w:lang w:val="en_US" w:bidi="en_US"/>
        </w:rPr>
      </w:r>
      <w:r>
        <w:rPr>
          <w:b/>
          <w:lang w:val="en_US" w:bidi="en_US"/>
        </w:rPr>
        <w:t>and led Him to the brow of the hill on which the town was built,</w:t>
      </w:r>
    </w:p>
    <w:p>
      <w:pPr>
        <w:pStyle w:val="ListBullet"/>
        <w:spacing w:line="240" w:lineRule="auto"/>
        <w:ind w:left="720"/>
      </w:pPr>
      <w:r>
        <w:rPr>
          <w:lang w:val="en_US" w:bidi="en_US"/>
        </w:rPr>
      </w:r>
      <w:r>
        <w:rPr>
          <w:lang w:val="en_US" w:bidi="en_US"/>
        </w:rPr>
        <w:t>They led/took him to the top of the hill on which the town was built,</w:t>
      </w:r>
    </w:p>
    <w:p>
      <w:pPr>
        <w:pStyle w:val="ListBullet"/>
        <w:spacing w:line="240" w:lineRule="auto"/>
        <w:ind w:left="720"/>
      </w:pPr>
      <w:r>
        <w:rPr>
          <w:lang w:val="en_US" w:bidi="en_US"/>
        </w:rPr>
      </w:r>
      <w:r>
        <w:rPr>
          <w:lang w:val="en_US" w:bidi="en_US"/>
        </w:rPr>
        <w:t xml:space="preserve">pushing him to the edge of the cliff on which the town </w:t>
      </w:r>
      <w:r>
        <w:rPr>
          <w:lang w:val="en_US" w:bidi="en_US"/>
        </w:rPr>
        <w:t>of Nazareth</w:t>
      </w:r>
      <w:r>
        <w:rPr>
          <w:lang w:val="en_US" w:bidi="en_US"/>
        </w:rPr>
        <w:t xml:space="preserve"> was built/located.</w:t>
      </w:r>
    </w:p>
    <w:p>
      <w:pPr/>
      <w:r>
        <w:rPr>
          <w:lang w:val="en_US" w:bidi="en_US"/>
        </w:rPr>
      </w:r>
      <w:r>
        <w:rPr>
          <w:b/>
          <w:lang w:val="en_US" w:bidi="en_US"/>
        </w:rPr>
        <w:t>led Him:</w:t>
      </w:r>
      <w:r>
        <w:rPr>
          <w:lang w:val="en_US" w:bidi="en_US"/>
        </w:rPr>
        <w:t xml:space="preserve"> The Greek phrase that the BSB translates as </w:t>
      </w:r>
      <w:r>
        <w:rPr>
          <w:i/>
          <w:lang w:val="en_US" w:bidi="en_US"/>
        </w:rPr>
        <w:t xml:space="preserve">led Him </w:t>
      </w:r>
      <w:r>
        <w:rPr>
          <w:lang w:val="en_US" w:bidi="en_US"/>
        </w:rPr>
        <w:t>here uses the same verb that it translates as “led” in 4:9a.</w:t>
      </w:r>
    </w:p>
    <w:p>
      <w:pPr/>
      <w:r>
        <w:rPr>
          <w:lang w:val="en_US" w:bidi="en_US"/>
        </w:rPr>
      </w:r>
      <w:r>
        <w:rPr>
          <w:lang w:val="en_US" w:bidi="en_US"/>
        </w:rPr>
        <w:t>Some other ways to translate this phrase are:</w:t>
      </w:r>
    </w:p>
    <w:p>
      <w:pPr/>
      <w:r>
        <w:rPr>
          <w:lang w:val="en_US" w:bidi="en_US"/>
        </w:rPr>
      </w:r>
      <w:r>
        <w:rPr>
          <w:lang w:val="en_US" w:bidi="en_US"/>
        </w:rPr>
        <w:t xml:space="preserve">forced Jesus </w:t>
      </w:r>
      <w:r>
        <w:rPr>
          <w:lang w:val="en_US" w:bidi="en_US"/>
        </w:rPr>
        <w:t>to go with them</w:t>
      </w:r>
    </w:p>
    <w:p>
      <w:pPr/>
      <w:r>
        <w:rPr>
          <w:lang w:val="en_US" w:bidi="en_US"/>
        </w:rPr>
      </w:r>
      <w:r>
        <w:rPr>
          <w:lang w:val="en_US" w:bidi="en_US"/>
        </w:rPr>
        <w:t>pushed him</w:t>
      </w:r>
    </w:p>
    <w:p>
      <w:pPr/>
      <w:r>
        <w:rPr>
          <w:lang w:val="en_US" w:bidi="en_US"/>
        </w:rPr>
      </w:r>
      <w:r>
        <w:rPr>
          <w:b/>
          <w:lang w:val="en_US" w:bidi="en_US"/>
        </w:rPr>
        <w:t>to the brow of the hill on which the town was built:</w:t>
      </w:r>
      <w:r>
        <w:rPr>
          <w:lang w:val="en_US" w:bidi="en_US"/>
        </w:rPr>
        <w:t xml:space="preserve"> The Greek word that the BSB translates as </w:t>
      </w:r>
      <w:r>
        <w:rPr>
          <w:i/>
          <w:lang w:val="en_US" w:bidi="en_US"/>
        </w:rPr>
        <w:t>brow</w:t>
      </w:r>
      <w:r>
        <w:rPr>
          <w:lang w:val="en_US" w:bidi="en_US"/>
        </w:rPr>
        <w:t xml:space="preserve"> refers to the edge or top of a cliff. The town of Nazareth had been built on a hill. For example:</w:t>
      </w:r>
    </w:p>
    <w:p>
      <w:pPr/>
      <w:r>
        <w:rPr>
          <w:lang w:val="en_US" w:bidi="en_US"/>
        </w:rPr>
      </w:r>
      <w:r>
        <w:rPr>
          <w:lang w:val="en_US" w:bidi="en_US"/>
        </w:rPr>
        <w:t>to the edge of the cliff on which the town was built (NCV)</w:t>
      </w:r>
    </w:p>
    <w:p>
      <w:pPr>
        <w:pStyle w:val="Heading5"/>
      </w:pPr>
      <w:r>
        <w:rPr>
          <w:lang w:val="en_US" w:bidi="en_US"/>
        </w:rPr>
        <w:t>4:29c</w:t>
      </w:r>
    </w:p>
    <w:p>
      <w:pPr/>
      <w:r>
        <w:rPr>
          <w:lang w:val="en_US" w:bidi="en_US"/>
        </w:rPr>
      </w:r>
      <w:r>
        <w:rPr>
          <w:b/>
          <w:lang w:val="en_US" w:bidi="en_US"/>
        </w:rPr>
        <w:t>in order to throw Him over the cliff.</w:t>
      </w:r>
    </w:p>
    <w:p>
      <w:pPr>
        <w:pStyle w:val="ListBullet"/>
        <w:spacing w:line="240" w:lineRule="auto"/>
        <w:ind w:left="720"/>
      </w:pPr>
      <w:r>
        <w:rPr>
          <w:lang w:val="en_US" w:bidi="en_US"/>
        </w:rPr>
      </w:r>
      <w:r>
        <w:rPr>
          <w:lang w:val="en_US" w:bidi="en_US"/>
        </w:rPr>
        <w:t xml:space="preserve">so </w:t>
      </w:r>
      <w:r>
        <w:rPr>
          <w:lang w:val="en_US" w:bidi="en_US"/>
        </w:rPr>
        <w:t>they could</w:t>
      </w:r>
      <w:r>
        <w:rPr>
          <w:lang w:val="en_US" w:bidi="en_US"/>
        </w:rPr>
        <w:t xml:space="preserve"> throw him down the cliff.</w:t>
      </w:r>
    </w:p>
    <w:p>
      <w:pPr>
        <w:pStyle w:val="ListBullet"/>
        <w:spacing w:line="240" w:lineRule="auto"/>
        <w:ind w:left="720"/>
      </w:pPr>
      <w:r>
        <w:rPr>
          <w:lang w:val="en_US" w:bidi="en_US"/>
        </w:rPr>
      </w:r>
      <w:r>
        <w:rPr>
          <w:lang w:val="en_US" w:bidi="en_US"/>
        </w:rPr>
        <w:t>They wanted to push him over the steep edge,</w:t>
      </w:r>
    </w:p>
    <w:p>
      <w:pPr/>
      <w:r>
        <w:rPr>
          <w:lang w:val="en_US" w:bidi="en_US"/>
        </w:rPr>
      </w:r>
      <w:r>
        <w:rPr>
          <w:b/>
          <w:lang w:val="en_US" w:bidi="en_US"/>
        </w:rPr>
        <w:t>in order to throw Him over the cliff:</w:t>
      </w:r>
      <w:r>
        <w:rPr>
          <w:lang w:val="en_US" w:bidi="en_US"/>
        </w:rPr>
        <w:t xml:space="preserve"> The Greek word that the BSB translates as </w:t>
      </w:r>
      <w:r>
        <w:rPr>
          <w:i/>
          <w:lang w:val="en_US" w:bidi="en_US"/>
        </w:rPr>
        <w:t>throw…over the cliff</w:t>
      </w:r>
      <w:r>
        <w:rPr>
          <w:lang w:val="en_US" w:bidi="en_US"/>
        </w:rPr>
        <w:t xml:space="preserve"> implies that the people of Nazareth intended to kill Jesus. They intended to kill him by pushing him off the cliff. Some other ways to translate this are:</w:t>
      </w:r>
    </w:p>
    <w:p>
      <w:pPr/>
      <w:r>
        <w:rPr>
          <w:lang w:val="en_US" w:bidi="en_US"/>
        </w:rPr>
      </w:r>
      <w:r>
        <w:rPr>
          <w:lang w:val="en_US" w:bidi="en_US"/>
        </w:rPr>
        <w:t>They meant to throw him over the cliff (GNT)</w:t>
      </w:r>
    </w:p>
    <w:p>
      <w:pPr/>
      <w:r>
        <w:rPr>
          <w:lang w:val="en_US" w:bidi="en_US"/>
        </w:rPr>
      </w:r>
      <w:r>
        <w:rPr>
          <w:lang w:val="en_US" w:bidi="en_US"/>
        </w:rPr>
        <w:t>They intended to push him over the cliff (NLT)</w:t>
      </w:r>
      <w:r>
        <w:rPr>
          <w:lang w:val="en_US" w:bidi="en_US"/>
        </w:rPr>
      </w:r>
      <w:r>
        <w:rPr>
          <w:lang w:val="en_US" w:bidi="en_US"/>
        </w:rPr>
      </w:r>
    </w:p>
    <w:p>
      <w:pPr/>
      <w:r>
        <w:rPr>
          <w:lang w:val="en_US" w:bidi="en_US"/>
        </w:rPr>
      </w:r>
    </w:p>
    <w:p>
      <w:pPr>
        <w:pStyle w:val="Heading2"/>
      </w:pPr>
      <w:r>
        <w:rPr>
          <w:lang w:val="en_US" w:bidi="en_US"/>
        </w:rPr>
        <w:t>Luke 4:30</w:t>
      </w:r>
      <w:r>
        <w:rPr>
          <w:lang w:val="en_US" w:bidi="en_US"/>
        </w:rPr>
      </w:r>
    </w:p>
    <w:p>
      <w:pPr>
        <w:pStyle w:val="Heading4"/>
      </w:pPr>
      <w:r>
        <w:rPr>
          <w:lang w:val="en_US" w:bidi="en_US"/>
        </w:rPr>
        <w:t>Section 4:14–30: The people rejected Jesus at Nazareth</w:t>
      </w:r>
    </w:p>
    <w:p>
      <w:pPr/>
      <w:r>
        <w:rPr>
          <w:lang w:val="en_US" w:bidi="en_US"/>
        </w:rPr>
      </w:r>
      <w:r>
        <w:rPr>
          <w:lang w:val="en_US" w:bidi="en_US"/>
        </w:rPr>
        <w:t>In the synagogue in Nazareth, Jesus read a text from Isaiah that refers to the Messiah. Jesus said that what this scripture talked about was happening as he read it. By saying this, Jesus was claiming to be the Messiah. He used examples from the history of Israel to show that the Israelites did not believe and obey God well. He implied that people from other countries were ready to believe and obey God more than the people of Israel were. So the people of Nazareth tried to kill Jesus, but they could not.</w:t>
      </w:r>
    </w:p>
    <w:p>
      <w:pPr/>
      <w:r>
        <w:rPr>
          <w:lang w:val="en_US" w:bidi="en_US"/>
        </w:rPr>
      </w:r>
      <w:r>
        <w:rPr>
          <w:lang w:val="en_US" w:bidi="en_US"/>
        </w:rPr>
        <w:t>Some other possible headings for this section are:</w:t>
      </w:r>
    </w:p>
    <w:p>
      <w:pPr/>
      <w:r>
        <w:rPr>
          <w:lang w:val="en_US" w:bidi="en_US"/>
        </w:rPr>
      </w:r>
      <w:r>
        <w:rPr>
          <w:lang w:val="en_US" w:bidi="en_US"/>
        </w:rPr>
        <w:t>The People of Nazareth Turn against Jesus (CEV)</w:t>
      </w:r>
    </w:p>
    <w:p>
      <w:pPr/>
      <w:r>
        <w:rPr>
          <w:lang w:val="en_US" w:bidi="en_US"/>
        </w:rPr>
      </w:r>
      <w:r>
        <w:rPr>
          <w:lang w:val="en_US" w:bidi="en_US"/>
        </w:rPr>
        <w:t>Jesus Rejected at Nazareth (ESV)</w:t>
      </w:r>
    </w:p>
    <w:p>
      <w:pPr/>
      <w:r>
        <w:rPr>
          <w:lang w:val="en_US" w:bidi="en_US"/>
        </w:rPr>
      </w:r>
      <w:r>
        <w:rPr>
          <w:lang w:val="en_US" w:bidi="en_US"/>
        </w:rPr>
        <w:t>There is a parallel passage for this section in Mark 6:1–6.</w:t>
      </w:r>
    </w:p>
    <w:p>
      <w:pPr>
        <w:pStyle w:val="Heading5"/>
      </w:pPr>
      <w:r>
        <w:rPr>
          <w:lang w:val="en_US" w:bidi="en_US"/>
        </w:rPr>
        <w:t>4:30</w:t>
      </w:r>
    </w:p>
    <w:p>
      <w:pPr/>
      <w:r>
        <w:rPr>
          <w:lang w:val="en_US" w:bidi="en_US"/>
        </w:rPr>
      </w:r>
      <w:r>
        <w:rPr>
          <w:b/>
          <w:lang w:val="en_US" w:bidi="en_US"/>
        </w:rPr>
        <w:t>But Jesus passed through the crowd and went on His way.</w:t>
      </w:r>
    </w:p>
    <w:p>
      <w:pPr>
        <w:pStyle w:val="ListBullet"/>
        <w:spacing w:line="240" w:lineRule="auto"/>
        <w:ind w:left="720"/>
      </w:pPr>
      <w:r>
        <w:rPr>
          <w:lang w:val="en_US" w:bidi="en_US"/>
        </w:rPr>
      </w:r>
      <w:r>
        <w:rPr>
          <w:lang w:val="en_US" w:bidi="en_US"/>
        </w:rPr>
        <w:t>But he walked through/among the people and went away.</w:t>
      </w:r>
    </w:p>
    <w:p>
      <w:pPr>
        <w:pStyle w:val="ListBullet"/>
        <w:spacing w:line="240" w:lineRule="auto"/>
        <w:ind w:left="720"/>
      </w:pPr>
      <w:r>
        <w:rPr>
          <w:lang w:val="en_US" w:bidi="en_US"/>
        </w:rPr>
      </w:r>
      <w:r>
        <w:rPr>
          <w:lang w:val="en_US" w:bidi="en_US"/>
        </w:rPr>
        <w:t xml:space="preserve">but Jesus </w:t>
      </w:r>
      <w:r>
        <w:rPr>
          <w:lang w:val="en_US" w:bidi="en_US"/>
        </w:rPr>
        <w:t>turned around and</w:t>
      </w:r>
      <w:r>
        <w:rPr>
          <w:lang w:val="en_US" w:bidi="en_US"/>
        </w:rPr>
        <w:t xml:space="preserve"> passed through the crowd and walked away.</w:t>
      </w:r>
    </w:p>
    <w:p>
      <w:pPr/>
      <w:r>
        <w:rPr>
          <w:lang w:val="en_US" w:bidi="en_US"/>
        </w:rPr>
      </w:r>
      <w:r>
        <w:rPr>
          <w:b/>
          <w:lang w:val="en_US" w:bidi="en_US"/>
        </w:rPr>
        <w:t>But:</w:t>
      </w:r>
      <w:r>
        <w:rPr>
          <w:lang w:val="en_US" w:bidi="en_US"/>
        </w:rPr>
        <w:t xml:space="preserve"> There is a contrast between 4:29 and 4:30. In 4:29, the people of Nazareth tried to kill Jesus, but 4:30 explains that they did not succeed. English versions indicate this contrast by translating the Greek conjunction at the beginning of the verse as </w:t>
      </w:r>
      <w:r>
        <w:rPr>
          <w:i/>
          <w:lang w:val="en_US" w:bidi="en_US"/>
        </w:rPr>
        <w:t>But</w:t>
      </w:r>
      <w:r>
        <w:rPr>
          <w:lang w:val="en_US" w:bidi="en_US"/>
        </w:rPr>
        <w:t>.</w:t>
      </w:r>
    </w:p>
    <w:p>
      <w:pPr/>
      <w:r>
        <w:rPr>
          <w:lang w:val="en_US" w:bidi="en_US"/>
        </w:rPr>
      </w:r>
      <w:r>
        <w:rPr>
          <w:lang w:val="en_US" w:bidi="en_US"/>
        </w:rPr>
        <w:t>In your translation, indicate the contrast between these two verses in the way that is natural in your language.</w:t>
      </w:r>
    </w:p>
    <w:p>
      <w:pPr/>
      <w:r>
        <w:rPr>
          <w:lang w:val="en_US" w:bidi="en_US"/>
        </w:rPr>
      </w:r>
      <w:r>
        <w:rPr>
          <w:b/>
          <w:lang w:val="en_US" w:bidi="en_US"/>
        </w:rPr>
        <w:t>Jesus passed through the crowd:</w:t>
      </w:r>
      <w:r>
        <w:rPr>
          <w:lang w:val="en_US" w:bidi="en_US"/>
        </w:rPr>
        <w:t xml:space="preserve"> The Greek phrase that the BSB translates as </w:t>
      </w:r>
      <w:r>
        <w:rPr>
          <w:i/>
          <w:lang w:val="en_US" w:bidi="en_US"/>
        </w:rPr>
        <w:t>Jesus passed through the crowd</w:t>
      </w:r>
      <w:r>
        <w:rPr>
          <w:lang w:val="en_US" w:bidi="en_US"/>
        </w:rPr>
        <w:t xml:space="preserve"> is literally “having gone through the middle of them.” Jesus passed through the middle of the crowd of people who were trying to push him over the cliff. The people did not hurt him as he moved through the crowd and then went away.</w:t>
      </w:r>
    </w:p>
    <w:p>
      <w:pPr/>
      <w:r>
        <w:rPr>
          <w:lang w:val="en_US" w:bidi="en_US"/>
        </w:rPr>
      </w:r>
      <w:r>
        <w:rPr>
          <w:lang w:val="en_US" w:bidi="en_US"/>
        </w:rPr>
        <w:t>Some other ways to translate this are:</w:t>
      </w:r>
    </w:p>
    <w:p>
      <w:pPr/>
      <w:r>
        <w:rPr>
          <w:lang w:val="en_US" w:bidi="en_US"/>
        </w:rPr>
      </w:r>
      <w:r>
        <w:rPr>
          <w:lang w:val="en_US" w:bidi="en_US"/>
        </w:rPr>
        <w:t>he walked through the middle of the crowd (GNT)</w:t>
      </w:r>
    </w:p>
    <w:p>
      <w:pPr/>
      <w:r>
        <w:rPr>
          <w:lang w:val="en_US" w:bidi="en_US"/>
        </w:rPr>
      </w:r>
      <w:r>
        <w:rPr>
          <w:lang w:val="en_US" w:bidi="en_US"/>
        </w:rPr>
        <w:t>he passed right through the crowd (NLT)</w:t>
      </w:r>
    </w:p>
    <w:p>
      <w:pPr/>
      <w:r>
        <w:rPr>
          <w:lang w:val="en_US" w:bidi="en_US"/>
        </w:rPr>
      </w:r>
      <w:r>
        <w:rPr>
          <w:lang w:val="en_US" w:bidi="en_US"/>
        </w:rPr>
        <w:t>Jesus slipped through the crowd (CEV)</w:t>
      </w:r>
    </w:p>
    <w:p>
      <w:pPr/>
      <w:r>
        <w:rPr>
          <w:lang w:val="en_US" w:bidi="en_US"/>
        </w:rPr>
      </w:r>
      <w:r>
        <w:rPr>
          <w:lang w:val="en_US" w:bidi="en_US"/>
        </w:rPr>
        <w:t>Some scholars think that this was a miracle. Others think that Jesus was simply able to “slip away” or “escape” from the people. Luke did not say how Jesus was able to do this or why the people were unable to harm him.</w:t>
      </w:r>
    </w:p>
    <w:p>
      <w:pPr/>
      <w:r>
        <w:rPr>
          <w:lang w:val="en_US" w:bidi="en_US"/>
        </w:rPr>
      </w:r>
      <w:r>
        <w:rPr>
          <w:lang w:val="en_US" w:bidi="en_US"/>
        </w:rPr>
        <w:t>In your translation, you may need to say first that “He/Jesus turned around,” so that the readers will know that he walked away from the cliff (see 4:30 in the Display).</w:t>
      </w:r>
    </w:p>
    <w:p>
      <w:pPr/>
      <w:r>
        <w:rPr>
          <w:lang w:val="en_US" w:bidi="en_US"/>
        </w:rPr>
      </w:r>
      <w:r>
        <w:rPr>
          <w:b/>
          <w:lang w:val="en_US" w:bidi="en_US"/>
        </w:rPr>
        <w:t>went on His way:</w:t>
      </w:r>
      <w:r>
        <w:rPr>
          <w:lang w:val="en_US" w:bidi="en_US"/>
        </w:rPr>
        <w:t xml:space="preserve"> The Greek word that the BSB translates here as </w:t>
      </w:r>
      <w:r>
        <w:rPr>
          <w:i/>
          <w:lang w:val="en_US" w:bidi="en_US"/>
        </w:rPr>
        <w:t>went on His way</w:t>
      </w:r>
      <w:r>
        <w:rPr>
          <w:lang w:val="en_US" w:bidi="en_US"/>
        </w:rPr>
        <w:t xml:space="preserve"> may also be translated as:</w:t>
      </w:r>
    </w:p>
    <w:p>
      <w:pPr/>
      <w:r>
        <w:rPr>
          <w:lang w:val="en_US" w:bidi="en_US"/>
        </w:rPr>
      </w:r>
      <w:r>
        <w:rPr>
          <w:lang w:val="en_US" w:bidi="en_US"/>
        </w:rPr>
        <w:t>walked away (NJB)</w:t>
      </w:r>
    </w:p>
    <w:p>
      <w:pPr/>
      <w:r>
        <w:rPr>
          <w:lang w:val="en_US" w:bidi="en_US"/>
        </w:rPr>
      </w:r>
      <w:r>
        <w:rPr>
          <w:lang w:val="en_US" w:bidi="en_US"/>
        </w:rPr>
        <w:t>went away (GW)</w:t>
      </w:r>
    </w:p>
    <w:p>
      <w:pPr/>
      <w:r>
        <w:rPr>
          <w:lang w:val="en_US" w:bidi="en_US"/>
        </w:rPr>
      </w:r>
      <w:r>
        <w:rPr>
          <w:lang w:val="en_US" w:bidi="en_US"/>
        </w:rPr>
        <w:t>got away (CEV)</w:t>
      </w:r>
    </w:p>
    <w:p>
      <w:pPr/>
      <w:r>
        <w:rPr>
          <w:lang w:val="en_US" w:bidi="en_US"/>
        </w:rPr>
      </w:r>
      <w:r>
        <w:rPr>
          <w:lang w:val="en_US" w:bidi="en_US"/>
        </w:rPr>
        <w:t>escaped</w:t>
      </w:r>
      <w:r>
        <w:rPr>
          <w:lang w:val="en_US" w:bidi="en_US"/>
        </w:rPr>
      </w:r>
      <w:r>
        <w:rPr>
          <w:lang w:val="en_US" w:bidi="en_US"/>
        </w:rPr>
      </w:r>
    </w:p>
    <w:p>
      <w:pPr/>
      <w:r>
        <w:rPr>
          <w:lang w:val="en_US" w:bidi="en_US"/>
        </w:rPr>
      </w:r>
    </w:p>
    <w:p>
      <w:pPr>
        <w:pStyle w:val="Heading2"/>
      </w:pPr>
      <w:r>
        <w:rPr>
          <w:lang w:val="en_US" w:bidi="en_US"/>
        </w:rPr>
        <w:t>Luke 4:31</w:t>
      </w:r>
      <w:r>
        <w:rPr>
          <w:lang w:val="en_US" w:bidi="en_US"/>
        </w:rPr>
      </w:r>
    </w:p>
    <w:p>
      <w:pPr>
        <w:pStyle w:val="Heading4"/>
      </w:pPr>
      <w:r>
        <w:rPr>
          <w:lang w:val="en_US" w:bidi="en_US"/>
        </w:rPr>
        <w:t>Section 4:31–37: Jesus cast out an evil spirit</w:t>
      </w:r>
    </w:p>
    <w:p>
      <w:pPr/>
      <w:r>
        <w:rPr>
          <w:lang w:val="en_US" w:bidi="en_US"/>
        </w:rPr>
      </w:r>
      <w:r>
        <w:rPr>
          <w:lang w:val="en_US" w:bidi="en_US"/>
        </w:rPr>
        <w:t>In Nazareth, people did not believe that Jesus was sent by God. In this section, Jesus went back to Capernaum (4:23d). Apparently, the people in Capernaum accepted him. There he commanded a demon to come out of a man. The people were amazed at both the authority and the power with which Jesus spoke.</w:t>
      </w:r>
    </w:p>
    <w:p>
      <w:pPr/>
      <w:r>
        <w:rPr>
          <w:lang w:val="en_US" w:bidi="en_US"/>
        </w:rPr>
      </w:r>
      <w:r>
        <w:rPr>
          <w:lang w:val="en_US" w:bidi="en_US"/>
        </w:rPr>
        <w:t>Some other possible headings for this section are:</w:t>
      </w:r>
    </w:p>
    <w:p>
      <w:pPr/>
      <w:r>
        <w:rPr>
          <w:lang w:val="en_US" w:bidi="en_US"/>
        </w:rPr>
      </w:r>
      <w:r>
        <w:rPr>
          <w:lang w:val="en_US" w:bidi="en_US"/>
        </w:rPr>
        <w:t>Jesus Forces an Evil Spirit out of a Man (GW)</w:t>
      </w:r>
    </w:p>
    <w:p>
      <w:pPr/>
      <w:r>
        <w:rPr>
          <w:lang w:val="en_US" w:bidi="en_US"/>
        </w:rPr>
      </w:r>
      <w:r>
        <w:rPr>
          <w:lang w:val="en_US" w:bidi="en_US"/>
        </w:rPr>
        <w:t>Jesus exorcises an evil spirit</w:t>
      </w:r>
    </w:p>
    <w:p>
      <w:pPr/>
      <w:r>
        <w:rPr>
          <w:lang w:val="en_US" w:bidi="en_US"/>
        </w:rPr>
      </w:r>
      <w:r>
        <w:rPr>
          <w:lang w:val="en_US" w:bidi="en_US"/>
        </w:rPr>
        <w:t>There is a parallel passage for this section in Mark 1:21–28.</w:t>
      </w:r>
    </w:p>
    <w:p>
      <w:pPr>
        <w:pStyle w:val="Heading5"/>
      </w:pPr>
      <w:r>
        <w:rPr>
          <w:lang w:val="en_US" w:bidi="en_US"/>
        </w:rPr>
        <w:t>4:31a</w:t>
      </w:r>
    </w:p>
    <w:p>
      <w:pPr/>
      <w:r>
        <w:rPr>
          <w:lang w:val="en_US" w:bidi="en_US"/>
        </w:rPr>
      </w:r>
      <w:r>
        <w:rPr>
          <w:b/>
          <w:lang w:val="en_US" w:bidi="en_US"/>
        </w:rPr>
        <w:t>Then He went down to Capernaum, a town in Galilee,</w:t>
      </w:r>
    </w:p>
    <w:p>
      <w:pPr>
        <w:pStyle w:val="ListBullet"/>
        <w:spacing w:line="240" w:lineRule="auto"/>
        <w:ind w:left="720"/>
      </w:pPr>
      <w:r>
        <w:rPr>
          <w:lang w:val="en_US" w:bidi="en_US"/>
        </w:rPr>
      </w:r>
      <w:r>
        <w:rPr>
          <w:lang w:val="en_US" w:bidi="en_US"/>
        </w:rPr>
        <w:t>¶ Later Jesus descended to the town of Capernaum in Galilee,</w:t>
      </w:r>
    </w:p>
    <w:p>
      <w:pPr>
        <w:pStyle w:val="ListBullet"/>
        <w:spacing w:line="240" w:lineRule="auto"/>
        <w:ind w:left="720"/>
      </w:pPr>
      <w:r>
        <w:rPr>
          <w:lang w:val="en_US" w:bidi="en_US"/>
        </w:rPr>
      </w:r>
      <w:r>
        <w:rPr>
          <w:lang w:val="en_US" w:bidi="en_US"/>
        </w:rPr>
        <w:t xml:space="preserve">¶ One day, Jesus traveled to Capernaum. </w:t>
      </w:r>
      <w:r>
        <w:rPr>
          <w:lang w:val="en_US" w:bidi="en_US"/>
        </w:rPr>
        <w:t>It was another</w:t>
      </w:r>
      <w:r>
        <w:rPr>
          <w:lang w:val="en_US" w:bidi="en_US"/>
        </w:rPr>
        <w:t xml:space="preserve"> town in </w:t>
      </w:r>
      <w:r>
        <w:rPr>
          <w:lang w:val="en_US" w:bidi="en_US"/>
        </w:rPr>
        <w:t>the province/region of</w:t>
      </w:r>
      <w:r>
        <w:rPr>
          <w:lang w:val="en_US" w:bidi="en_US"/>
        </w:rPr>
        <w:t xml:space="preserve"> Galilee.</w:t>
      </w:r>
    </w:p>
    <w:p>
      <w:pPr/>
      <w:r>
        <w:rPr>
          <w:lang w:val="en_US" w:bidi="en_US"/>
        </w:rPr>
      </w:r>
      <w:r>
        <w:rPr>
          <w:b/>
          <w:lang w:val="en_US" w:bidi="en_US"/>
        </w:rPr>
        <w:t>Then:</w:t>
      </w:r>
      <w:r>
        <w:rPr>
          <w:lang w:val="en_US" w:bidi="en_US"/>
        </w:rPr>
        <w:t xml:space="preserve"> This verse begins with a Greek conjunction that is often translated as “and.” Some English versions, such as the ESV, translate it that way. However, since this verse is the beginning of a new story, other versions, like the BSB, translate this conjunction with a time word. In some languages, it will also be natural to begin this paragraph with a time word or phrase. For example:</w:t>
      </w:r>
    </w:p>
    <w:p>
      <w:pPr/>
      <w:r>
        <w:rPr>
          <w:lang w:val="en_US" w:bidi="en_US"/>
        </w:rPr>
      </w:r>
      <w:r>
        <w:rPr>
          <w:lang w:val="en_US" w:bidi="en_US"/>
        </w:rPr>
        <w:t>After that</w:t>
      </w:r>
    </w:p>
    <w:p>
      <w:pPr/>
      <w:r>
        <w:rPr>
          <w:lang w:val="en_US" w:bidi="en_US"/>
        </w:rPr>
      </w:r>
      <w:r>
        <w:rPr>
          <w:lang w:val="en_US" w:bidi="en_US"/>
        </w:rPr>
        <w:t>One day</w:t>
      </w:r>
    </w:p>
    <w:p>
      <w:pPr/>
      <w:r>
        <w:rPr>
          <w:lang w:val="en_US" w:bidi="en_US"/>
        </w:rPr>
      </w:r>
      <w:r>
        <w:rPr>
          <w:b/>
          <w:lang w:val="en_US" w:bidi="en_US"/>
        </w:rPr>
        <w:t>He went down to Capernaum:</w:t>
      </w:r>
      <w:r>
        <w:rPr>
          <w:lang w:val="en_US" w:bidi="en_US"/>
        </w:rPr>
        <w:t xml:space="preserve"> </w:t>
      </w:r>
      <w:r>
        <w:rPr>
          <w:i/>
          <w:lang w:val="en_US" w:bidi="en_US"/>
        </w:rPr>
        <w:t>Capernaum</w:t>
      </w:r>
      <w:r>
        <w:rPr>
          <w:lang w:val="en_US" w:bidi="en_US"/>
        </w:rPr>
        <w:t xml:space="preserve"> is the name of a town. Jesus </w:t>
      </w:r>
      <w:r>
        <w:rPr>
          <w:i/>
          <w:lang w:val="en_US" w:bidi="en_US"/>
        </w:rPr>
        <w:t>went down</w:t>
      </w:r>
      <w:r>
        <w:rPr>
          <w:lang w:val="en_US" w:bidi="en_US"/>
        </w:rPr>
        <w:t xml:space="preserve"> from the town of Nazareth (a higher place) to Capernaum (a lower place). Capernaum was about 580 meters lower in elevation than Nazareth was. It was nearly thirty kilometers away.</w:t>
      </w:r>
    </w:p>
    <w:p>
      <w:pPr/>
      <w:r>
        <w:rPr>
          <w:lang w:val="en_US" w:bidi="en_US"/>
        </w:rPr>
      </w:r>
      <w:r>
        <w:rPr>
          <w:lang w:val="en_US" w:bidi="en_US"/>
        </w:rPr>
        <w:t>In some languages, it is important to say whether people go up or down when they travel. In other languages, this would be unusual and might be confusing. If it is confusing in your language, you should not translate “down.” For example:</w:t>
      </w:r>
    </w:p>
    <w:p>
      <w:pPr/>
      <w:r>
        <w:rPr>
          <w:lang w:val="en_US" w:bidi="en_US"/>
        </w:rPr>
      </w:r>
      <w:r>
        <w:rPr>
          <w:lang w:val="en_US" w:bidi="en_US"/>
        </w:rPr>
        <w:t>Jesus went to Capernaum</w:t>
      </w:r>
    </w:p>
    <w:p>
      <w:pPr/>
      <w:r>
        <w:rPr>
          <w:lang w:val="en_US" w:bidi="en_US"/>
        </w:rPr>
      </w:r>
      <w:r>
        <w:rPr>
          <w:lang w:val="en_US" w:bidi="en_US"/>
        </w:rPr>
        <w:t>Jesus traveled to Capernaum</w:t>
      </w:r>
    </w:p>
    <w:p>
      <w:pPr/>
      <w:r>
        <w:rPr>
          <w:lang w:val="en_US" w:bidi="en_US"/>
        </w:rPr>
      </w:r>
      <w:r>
        <w:rPr>
          <w:b/>
          <w:lang w:val="en_US" w:bidi="en_US"/>
        </w:rPr>
        <w:t>a town in Galilee:</w:t>
      </w:r>
      <w:r>
        <w:rPr>
          <w:lang w:val="en_US" w:bidi="en_US"/>
        </w:rPr>
        <w:t xml:space="preserve"> Capernaum was a town in the province of Galilee. It was on or near the northwest shore of Lake Galilee.</w:t>
      </w:r>
    </w:p>
    <w:p>
      <w:pPr/>
      <w:r>
        <w:rPr>
          <w:lang w:val="en_US" w:bidi="en_US"/>
        </w:rPr>
      </w:r>
      <w:r>
        <w:rPr>
          <w:lang w:val="en_US" w:bidi="en_US"/>
        </w:rPr>
        <w:t>Since Nazareth was also a town in Galilee, it may be necessary to translate this as:</w:t>
      </w:r>
    </w:p>
    <w:p>
      <w:pPr/>
      <w:r>
        <w:rPr>
          <w:lang w:val="en_US" w:bidi="en_US"/>
        </w:rPr>
      </w:r>
      <w:r>
        <w:rPr>
          <w:lang w:val="en_US" w:bidi="en_US"/>
        </w:rPr>
        <w:t>another</w:t>
      </w:r>
      <w:r>
        <w:rPr>
          <w:lang w:val="en_US" w:bidi="en_US"/>
        </w:rPr>
        <w:t xml:space="preserve"> town in Galilee</w:t>
      </w:r>
    </w:p>
    <w:p>
      <w:pPr>
        <w:pStyle w:val="Heading5"/>
      </w:pPr>
      <w:r>
        <w:rPr>
          <w:lang w:val="en_US" w:bidi="en_US"/>
        </w:rPr>
        <w:t>4:31b</w:t>
      </w:r>
    </w:p>
    <w:p>
      <w:pPr/>
      <w:r>
        <w:rPr>
          <w:lang w:val="en_US" w:bidi="en_US"/>
        </w:rPr>
      </w:r>
      <w:r>
        <w:rPr>
          <w:b/>
          <w:lang w:val="en_US" w:bidi="en_US"/>
        </w:rPr>
        <w:t>and on the Sabbath He began to teach the people.</w:t>
      </w:r>
    </w:p>
    <w:p>
      <w:pPr>
        <w:pStyle w:val="ListBullet"/>
        <w:spacing w:line="240" w:lineRule="auto"/>
        <w:ind w:left="720"/>
      </w:pPr>
      <w:r>
        <w:rPr>
          <w:lang w:val="en_US" w:bidi="en_US"/>
        </w:rPr>
      </w:r>
      <w:r>
        <w:rPr>
          <w:lang w:val="en_US" w:bidi="en_US"/>
        </w:rPr>
        <w:t>and he taught the people there on the Sabbath day.</w:t>
      </w:r>
    </w:p>
    <w:p>
      <w:pPr>
        <w:pStyle w:val="ListBullet"/>
        <w:spacing w:line="240" w:lineRule="auto"/>
        <w:ind w:left="720"/>
      </w:pPr>
      <w:r>
        <w:rPr>
          <w:lang w:val="en_US" w:bidi="en_US"/>
        </w:rPr>
      </w:r>
      <w:r>
        <w:rPr>
          <w:lang w:val="en_US" w:bidi="en_US"/>
        </w:rPr>
        <w:t>When</w:t>
      </w:r>
      <w:r>
        <w:rPr>
          <w:lang w:val="en_US" w:bidi="en_US"/>
        </w:rPr>
        <w:t xml:space="preserve"> the rest day </w:t>
      </w:r>
      <w:r>
        <w:rPr>
          <w:lang w:val="en_US" w:bidi="en_US"/>
        </w:rPr>
        <w:t>arrived</w:t>
      </w:r>
      <w:r>
        <w:rPr>
          <w:lang w:val="en_US" w:bidi="en_US"/>
        </w:rPr>
        <w:t xml:space="preserve">, he taught the people </w:t>
      </w:r>
      <w:r>
        <w:rPr>
          <w:lang w:val="en_US" w:bidi="en_US"/>
        </w:rPr>
        <w:t>God’s message</w:t>
      </w:r>
      <w:r>
        <w:rPr>
          <w:lang w:val="en_US" w:bidi="en_US"/>
        </w:rPr>
        <w:t>.</w:t>
      </w:r>
    </w:p>
    <w:p>
      <w:pPr/>
      <w:r>
        <w:rPr>
          <w:lang w:val="en_US" w:bidi="en_US"/>
        </w:rPr>
      </w:r>
      <w:r>
        <w:rPr>
          <w:b/>
          <w:lang w:val="en_US" w:bidi="en_US"/>
        </w:rPr>
        <w:t>and on the Sabbath He began to teach the people:</w:t>
      </w:r>
      <w:r>
        <w:rPr>
          <w:lang w:val="en_US" w:bidi="en_US"/>
        </w:rPr>
        <w:t xml:space="preserve"> On one particular Sabbath day, Jesus went to the synagogue in Capernaum and began to teach there. While he was teaching, the incident in 4:33–37 happened.</w:t>
      </w:r>
    </w:p>
    <w:p>
      <w:pPr/>
      <w:r>
        <w:rPr>
          <w:lang w:val="en_US" w:bidi="en_US"/>
        </w:rPr>
      </w:r>
      <w:r>
        <w:rPr>
          <w:b/>
          <w:lang w:val="en_US" w:bidi="en_US"/>
        </w:rPr>
        <w:t>the Sabbath:</w:t>
      </w:r>
      <w:r>
        <w:rPr>
          <w:lang w:val="en_US" w:bidi="en_US"/>
        </w:rPr>
        <w:t xml:space="preserve"> </w:t>
      </w:r>
      <w:r>
        <w:rPr>
          <w:lang w:val="en_US" w:bidi="en_US"/>
        </w:rPr>
        <w:t>In Greek, the word Sabbath here is plural. This plural has led to two interpretations: (1) The plural form of Sabbath is singular in meaning. According to this interpretation, this verse refers to the particular Sabbath on which Jesus healed the demon-possessed man (BSB, NIV, GNT, RSV, NJB, NET, NASB, REB, GW, CEV, JBP, NCV). (2) It refers to several Sabbath days. According to this interpretation, this verse indicates that Jesus was in Capernaum for several weeks, and each Sabbath day he taught the people. For example, the NLT says, “and taught there in the synagogue every Sabbath day” (NLT, KJV).</w:t>
      </w:r>
      <w:r>
        <w:rPr>
          <w:lang w:val="en_US" w:bidi="en_US"/>
        </w:rPr>
        <w:t xml:space="preserve"> The </w:t>
      </w:r>
      <w:r>
        <w:rPr>
          <w:i/>
          <w:lang w:val="en_US" w:bidi="en_US"/>
        </w:rPr>
        <w:t>Sabbath</w:t>
      </w:r>
      <w:r>
        <w:rPr>
          <w:lang w:val="en_US" w:bidi="en_US"/>
        </w:rPr>
        <w:t xml:space="preserve"> day was the name of the seventh and last day of the week for the Jews. See the note on </w:t>
      </w:r>
      <w:r>
        <w:rPr>
          <w:i/>
          <w:lang w:val="en_US" w:bidi="en_US"/>
        </w:rPr>
        <w:t>Sabbath</w:t>
      </w:r>
      <w:r>
        <w:rPr>
          <w:lang w:val="en_US" w:bidi="en_US"/>
        </w:rPr>
        <w:t xml:space="preserve"> at 4:16b for a more complete description.</w:t>
      </w:r>
    </w:p>
    <w:p>
      <w:pPr/>
      <w:r>
        <w:rPr>
          <w:lang w:val="en_US" w:bidi="en_US"/>
        </w:rPr>
      </w:r>
      <w:r>
        <w:rPr>
          <w:b/>
          <w:lang w:val="en_US" w:bidi="en_US"/>
        </w:rPr>
        <w:t>He began to teach the people:</w:t>
      </w:r>
      <w:r>
        <w:rPr>
          <w:lang w:val="en_US" w:bidi="en_US"/>
        </w:rPr>
        <w:t xml:space="preserve"> The Greek phrase that the BSB translates as </w:t>
      </w:r>
      <w:r>
        <w:rPr>
          <w:i/>
          <w:lang w:val="en_US" w:bidi="en_US"/>
        </w:rPr>
        <w:t>began to teach</w:t>
      </w:r>
      <w:r>
        <w:rPr>
          <w:lang w:val="en_US" w:bidi="en_US"/>
        </w:rPr>
        <w:t xml:space="preserve"> is literally “he was teaching” (as in the RSV). It can also be translated as “taught.” For example:</w:t>
      </w:r>
    </w:p>
    <w:p>
      <w:pPr/>
      <w:r>
        <w:rPr>
          <w:lang w:val="en_US" w:bidi="en_US"/>
        </w:rPr>
      </w:r>
      <w:r>
        <w:rPr>
          <w:lang w:val="en_US" w:bidi="en_US"/>
        </w:rPr>
        <w:t>he taught the people (GNT)</w:t>
      </w:r>
    </w:p>
    <w:p>
      <w:pPr/>
      <w:r>
        <w:rPr>
          <w:lang w:val="en_US" w:bidi="en_US"/>
        </w:rPr>
      </w:r>
      <w:r>
        <w:rPr>
          <w:lang w:val="en_US" w:bidi="en_US"/>
        </w:rPr>
        <w:t>In some languages, it may be necessary to say explicitly what Jesus taught the people. For example:</w:t>
      </w:r>
    </w:p>
    <w:p>
      <w:pPr/>
      <w:r>
        <w:rPr>
          <w:lang w:val="en_US" w:bidi="en_US"/>
        </w:rPr>
      </w:r>
      <w:r>
        <w:rPr>
          <w:lang w:val="en_US" w:bidi="en_US"/>
        </w:rPr>
        <w:t xml:space="preserve">taught </w:t>
      </w:r>
      <w:r>
        <w:rPr>
          <w:lang w:val="en_US" w:bidi="en_US"/>
        </w:rPr>
        <w:t>God’s word to</w:t>
      </w:r>
      <w:r>
        <w:rPr>
          <w:lang w:val="en_US" w:bidi="en_US"/>
        </w:rPr>
        <w:t xml:space="preserve"> the people</w:t>
      </w:r>
    </w:p>
    <w:p>
      <w:pPr/>
      <w:r>
        <w:rPr>
          <w:lang w:val="en_US" w:bidi="en_US"/>
        </w:rPr>
      </w:r>
      <w:r>
        <w:rPr>
          <w:b/>
          <w:lang w:val="en_US" w:bidi="en_US"/>
        </w:rPr>
        <w:t>the people:</w:t>
      </w:r>
      <w:r>
        <w:rPr>
          <w:lang w:val="en_US" w:bidi="en_US"/>
        </w:rPr>
        <w:t xml:space="preserve"> The Greek word that the BSB translates as </w:t>
      </w:r>
      <w:r>
        <w:rPr>
          <w:i/>
          <w:lang w:val="en_US" w:bidi="en_US"/>
        </w:rPr>
        <w:t>the people</w:t>
      </w:r>
      <w:r>
        <w:rPr>
          <w:lang w:val="en_US" w:bidi="en_US"/>
        </w:rPr>
        <w:t xml:space="preserve"> is literally “them.” It refers to the people of Capernaum who were in the synagogue that Sabbath day.</w:t>
      </w:r>
      <w:r>
        <w:rPr>
          <w:lang w:val="en_US" w:bidi="en_US"/>
        </w:rPr>
      </w:r>
      <w:r>
        <w:rPr>
          <w:lang w:val="en_US" w:bidi="en_US"/>
        </w:rPr>
      </w:r>
    </w:p>
    <w:p>
      <w:pPr/>
      <w:r>
        <w:rPr>
          <w:lang w:val="en_US" w:bidi="en_US"/>
        </w:rPr>
      </w:r>
    </w:p>
    <w:p>
      <w:pPr>
        <w:pStyle w:val="Heading2"/>
      </w:pPr>
      <w:r>
        <w:rPr>
          <w:lang w:val="en_US" w:bidi="en_US"/>
        </w:rPr>
        <w:t>Luke 4:32</w:t>
      </w:r>
      <w:r>
        <w:rPr>
          <w:lang w:val="en_US" w:bidi="en_US"/>
        </w:rPr>
      </w:r>
    </w:p>
    <w:p>
      <w:pPr>
        <w:pStyle w:val="Heading4"/>
      </w:pPr>
      <w:r>
        <w:rPr>
          <w:lang w:val="en_US" w:bidi="en_US"/>
        </w:rPr>
        <w:t>Section 4:31–37: Jesus cast out an evil spirit</w:t>
      </w:r>
    </w:p>
    <w:p>
      <w:pPr/>
      <w:r>
        <w:rPr>
          <w:lang w:val="en_US" w:bidi="en_US"/>
        </w:rPr>
      </w:r>
      <w:r>
        <w:rPr>
          <w:lang w:val="en_US" w:bidi="en_US"/>
        </w:rPr>
        <w:t>In Nazareth, people did not believe that Jesus was sent by God. In this section, Jesus went back to Capernaum (4:23d). Apparently, the people in Capernaum accepted him. There he commanded a demon to come out of a man. The people were amazed at both the authority and the power with which Jesus spoke.</w:t>
      </w:r>
    </w:p>
    <w:p>
      <w:pPr/>
      <w:r>
        <w:rPr>
          <w:lang w:val="en_US" w:bidi="en_US"/>
        </w:rPr>
      </w:r>
      <w:r>
        <w:rPr>
          <w:lang w:val="en_US" w:bidi="en_US"/>
        </w:rPr>
        <w:t>Some other possible headings for this section are:</w:t>
      </w:r>
    </w:p>
    <w:p>
      <w:pPr/>
      <w:r>
        <w:rPr>
          <w:lang w:val="en_US" w:bidi="en_US"/>
        </w:rPr>
      </w:r>
      <w:r>
        <w:rPr>
          <w:lang w:val="en_US" w:bidi="en_US"/>
        </w:rPr>
        <w:t>Jesus Forces an Evil Spirit out of a Man (GW)</w:t>
      </w:r>
    </w:p>
    <w:p>
      <w:pPr/>
      <w:r>
        <w:rPr>
          <w:lang w:val="en_US" w:bidi="en_US"/>
        </w:rPr>
      </w:r>
      <w:r>
        <w:rPr>
          <w:lang w:val="en_US" w:bidi="en_US"/>
        </w:rPr>
        <w:t>Jesus exorcises an evil spirit</w:t>
      </w:r>
    </w:p>
    <w:p>
      <w:pPr/>
      <w:r>
        <w:rPr>
          <w:lang w:val="en_US" w:bidi="en_US"/>
        </w:rPr>
      </w:r>
      <w:r>
        <w:rPr>
          <w:lang w:val="en_US" w:bidi="en_US"/>
        </w:rPr>
        <w:t>There is a parallel passage for this section in Mark 1:21–28.</w:t>
      </w:r>
    </w:p>
    <w:p>
      <w:pPr>
        <w:pStyle w:val="Heading5"/>
      </w:pPr>
      <w:r>
        <w:rPr>
          <w:lang w:val="en_US" w:bidi="en_US"/>
        </w:rPr>
        <w:t>4:32a</w:t>
      </w:r>
    </w:p>
    <w:p>
      <w:pPr/>
      <w:r>
        <w:rPr>
          <w:lang w:val="en_US" w:bidi="en_US"/>
        </w:rPr>
      </w:r>
      <w:r>
        <w:rPr>
          <w:b/>
          <w:lang w:val="en_US" w:bidi="en_US"/>
        </w:rPr>
        <w:t>They were astonished at His teaching,</w:t>
      </w:r>
    </w:p>
    <w:p>
      <w:pPr>
        <w:pStyle w:val="ListBullet"/>
        <w:spacing w:line="240" w:lineRule="auto"/>
        <w:ind w:left="720"/>
      </w:pPr>
      <w:r>
        <w:rPr>
          <w:lang w:val="en_US" w:bidi="en_US"/>
        </w:rPr>
      </w:r>
      <w:r>
        <w:rPr>
          <w:lang w:val="en_US" w:bidi="en_US"/>
        </w:rPr>
        <w:t>They were very surprised when they heard him teach,</w:t>
      </w:r>
    </w:p>
    <w:p>
      <w:pPr>
        <w:pStyle w:val="ListBullet"/>
        <w:spacing w:line="240" w:lineRule="auto"/>
        <w:ind w:left="720"/>
      </w:pPr>
      <w:r>
        <w:rPr>
          <w:lang w:val="en_US" w:bidi="en_US"/>
        </w:rPr>
      </w:r>
      <w:r>
        <w:rPr>
          <w:lang w:val="en_US" w:bidi="en_US"/>
        </w:rPr>
        <w:t>His teaching astonished them,</w:t>
      </w:r>
    </w:p>
    <w:p>
      <w:pPr/>
      <w:r>
        <w:rPr>
          <w:lang w:val="en_US" w:bidi="en_US"/>
        </w:rPr>
      </w:r>
      <w:r>
        <w:rPr>
          <w:b/>
          <w:lang w:val="en_US" w:bidi="en_US"/>
        </w:rPr>
        <w:t>They were astonished:</w:t>
      </w:r>
      <w:r>
        <w:rPr>
          <w:lang w:val="en_US" w:bidi="en_US"/>
        </w:rPr>
        <w:t xml:space="preserve"> The Greek word that the BSB translates as </w:t>
      </w:r>
      <w:r>
        <w:rPr>
          <w:i/>
          <w:lang w:val="en_US" w:bidi="en_US"/>
        </w:rPr>
        <w:t>They were astonished</w:t>
      </w:r>
      <w:r>
        <w:rPr>
          <w:lang w:val="en_US" w:bidi="en_US"/>
        </w:rPr>
        <w:t xml:space="preserve"> means “they were overwhelmed” or “they were astounded.” Another way to translate this is:</w:t>
      </w:r>
    </w:p>
    <w:p>
      <w:pPr/>
      <w:r>
        <w:rPr>
          <w:lang w:val="en_US" w:bidi="en_US"/>
        </w:rPr>
      </w:r>
      <w:r>
        <w:rPr>
          <w:lang w:val="en_US" w:bidi="en_US"/>
        </w:rPr>
        <w:t>they were amazed (NIV)</w:t>
      </w:r>
    </w:p>
    <w:p>
      <w:pPr/>
      <w:r>
        <w:rPr>
          <w:lang w:val="en_US" w:bidi="en_US"/>
        </w:rPr>
      </w:r>
      <w:r>
        <w:rPr>
          <w:b/>
          <w:lang w:val="en_US" w:bidi="en_US"/>
        </w:rPr>
        <w:t>at His teaching:</w:t>
      </w:r>
      <w:r>
        <w:rPr>
          <w:lang w:val="en_US" w:bidi="en_US"/>
        </w:rPr>
        <w:t xml:space="preserve"> The Greek phrase that the BSB translates as </w:t>
      </w:r>
      <w:r>
        <w:rPr>
          <w:i/>
          <w:lang w:val="en_US" w:bidi="en_US"/>
        </w:rPr>
        <w:t>His teaching</w:t>
      </w:r>
      <w:r>
        <w:rPr>
          <w:lang w:val="en_US" w:bidi="en_US"/>
        </w:rPr>
        <w:t xml:space="preserve"> probably refers primarily to Jesus’ </w:t>
      </w:r>
      <w:r>
        <w:rPr>
          <w:u w:val="single"/>
          <w:lang w:val="en_US" w:bidi="en_US"/>
        </w:rPr>
        <w:t>manner or style</w:t>
      </w:r>
      <w:r>
        <w:rPr>
          <w:lang w:val="en_US" w:bidi="en_US"/>
        </w:rPr>
        <w:t xml:space="preserve"> of teaching (See also the note for 4:32b). For example:</w:t>
      </w:r>
    </w:p>
    <w:p>
      <w:pPr/>
      <w:r>
        <w:rPr>
          <w:lang w:val="en_US" w:bidi="en_US"/>
        </w:rPr>
      </w:r>
      <w:r>
        <w:rPr>
          <w:lang w:val="en_US" w:bidi="en_US"/>
        </w:rPr>
        <w:t>at the way he taught (GNT)</w:t>
      </w:r>
    </w:p>
    <w:p>
      <w:pPr/>
      <w:r>
        <w:rPr>
          <w:lang w:val="en_US" w:bidi="en_US"/>
        </w:rPr>
      </w:r>
      <w:r>
        <w:rPr>
          <w:lang w:val="en_US" w:bidi="en_US"/>
        </w:rPr>
        <w:t xml:space="preserve">The phrase </w:t>
      </w:r>
      <w:r>
        <w:rPr>
          <w:i/>
          <w:lang w:val="en_US" w:bidi="en_US"/>
        </w:rPr>
        <w:t>His teaching</w:t>
      </w:r>
      <w:r>
        <w:rPr>
          <w:lang w:val="en_US" w:bidi="en_US"/>
        </w:rPr>
        <w:t xml:space="preserve"> may also include the content and </w:t>
      </w:r>
      <w:r>
        <w:rPr>
          <w:u w:val="single"/>
          <w:lang w:val="en_US" w:bidi="en_US"/>
        </w:rPr>
        <w:t>power</w:t>
      </w:r>
      <w:r>
        <w:rPr>
          <w:lang w:val="en_US" w:bidi="en_US"/>
        </w:rPr>
        <w:t xml:space="preserve"> of what Jesus taught.</w:t>
      </w:r>
    </w:p>
    <w:p>
      <w:pPr>
        <w:pStyle w:val="Heading5"/>
      </w:pPr>
      <w:r>
        <w:rPr>
          <w:lang w:val="en_US" w:bidi="en_US"/>
        </w:rPr>
        <w:t>4:32b</w:t>
      </w:r>
    </w:p>
    <w:p>
      <w:pPr/>
      <w:r>
        <w:rPr>
          <w:lang w:val="en_US" w:bidi="en_US"/>
        </w:rPr>
      </w:r>
      <w:r>
        <w:rPr>
          <w:b/>
          <w:lang w:val="en_US" w:bidi="en_US"/>
        </w:rPr>
        <w:t>because His message had authority.</w:t>
      </w:r>
    </w:p>
    <w:p>
      <w:pPr>
        <w:pStyle w:val="ListBullet"/>
        <w:spacing w:line="240" w:lineRule="auto"/>
        <w:ind w:left="720"/>
      </w:pPr>
      <w:r>
        <w:rPr>
          <w:lang w:val="en_US" w:bidi="en_US"/>
        </w:rPr>
      </w:r>
      <w:r>
        <w:rPr>
          <w:lang w:val="en_US" w:bidi="en_US"/>
        </w:rPr>
        <w:t>because he spoke with authority.</w:t>
      </w:r>
    </w:p>
    <w:p>
      <w:pPr>
        <w:pStyle w:val="ListBullet"/>
        <w:spacing w:line="240" w:lineRule="auto"/>
        <w:ind w:left="720"/>
      </w:pPr>
      <w:r>
        <w:rPr>
          <w:lang w:val="en_US" w:bidi="en_US"/>
        </w:rPr>
      </w:r>
      <w:r>
        <w:rPr>
          <w:lang w:val="en_US" w:bidi="en_US"/>
        </w:rPr>
        <w:t xml:space="preserve">because he spoke with </w:t>
      </w:r>
      <w:r>
        <w:rPr>
          <w:lang w:val="en_US" w:bidi="en_US"/>
        </w:rPr>
        <w:t>great</w:t>
      </w:r>
      <w:r>
        <w:rPr>
          <w:lang w:val="en_US" w:bidi="en_US"/>
        </w:rPr>
        <w:t xml:space="preserve"> confidence/certainty.</w:t>
      </w:r>
    </w:p>
    <w:p>
      <w:pPr/>
      <w:r>
        <w:rPr>
          <w:lang w:val="en_US" w:bidi="en_US"/>
        </w:rPr>
      </w:r>
      <w:r>
        <w:rPr>
          <w:b/>
          <w:lang w:val="en_US" w:bidi="en_US"/>
        </w:rPr>
        <w:t>His message had authority:</w:t>
      </w:r>
      <w:r>
        <w:rPr>
          <w:lang w:val="en_US" w:bidi="en_US"/>
        </w:rPr>
        <w:t xml:space="preserve"> The Greek clause that the BSB translates as </w:t>
      </w:r>
      <w:r>
        <w:rPr>
          <w:i/>
          <w:lang w:val="en_US" w:bidi="en_US"/>
        </w:rPr>
        <w:t>His message had authority</w:t>
      </w:r>
      <w:r>
        <w:rPr>
          <w:lang w:val="en_US" w:bidi="en_US"/>
        </w:rPr>
        <w:t xml:space="preserve"> is literally “his word was with authority.” Jesus spoke as someone who knew that what he said was true. He spoke with confidence and certainty. Another way to translate this is:</w:t>
      </w:r>
    </w:p>
    <w:p>
      <w:pPr/>
      <w:r>
        <w:rPr>
          <w:lang w:val="en_US" w:bidi="en_US"/>
        </w:rPr>
      </w:r>
      <w:r>
        <w:rPr>
          <w:lang w:val="en_US" w:bidi="en_US"/>
        </w:rPr>
        <w:t>he spoke with authority</w:t>
      </w:r>
    </w:p>
    <w:p>
      <w:pPr>
        <w:pStyle w:val="Heading6"/>
      </w:pPr>
      <w:r>
        <w:rPr>
          <w:b/>
          <w:lang w:val="en_US" w:bidi="en_US"/>
        </w:rPr>
        <w:t>General Comment on 4:32a–b</w:t>
      </w:r>
    </w:p>
    <w:p>
      <w:pPr/>
      <w:r>
        <w:rPr>
          <w:lang w:val="en_US" w:bidi="en_US"/>
        </w:rPr>
      </w:r>
      <w:r>
        <w:rPr>
          <w:lang w:val="en_US" w:bidi="en_US"/>
        </w:rPr>
        <w:t>In some languages it may be natural to change the order of 4:32a and 4:32b. For example:</w:t>
      </w:r>
    </w:p>
    <w:p>
      <w:pPr/>
      <w:r>
        <w:rPr>
          <w:lang w:val="en_US" w:bidi="en_US"/>
        </w:rPr>
      </w:r>
      <w:r>
        <w:rPr>
          <w:vertAlign w:val="superscript"/>
          <w:lang w:val="en_US" w:bidi="en_US"/>
        </w:rPr>
        <w:t>32b</w:t>
      </w:r>
      <w:r>
        <w:rPr>
          <w:lang w:val="en_US" w:bidi="en_US"/>
        </w:rPr>
        <w:t xml:space="preserve">His message had authority, </w:t>
      </w:r>
      <w:r>
        <w:rPr>
          <w:vertAlign w:val="superscript"/>
          <w:lang w:val="en_US" w:bidi="en_US"/>
        </w:rPr>
        <w:t>32a</w:t>
      </w:r>
      <w:r>
        <w:rPr>
          <w:lang w:val="en_US" w:bidi="en_US"/>
        </w:rPr>
        <w:t>that’s why the people were amazed at his teaching.</w:t>
      </w:r>
    </w:p>
    <w:p>
      <w:pPr/>
      <w:r>
        <w:rPr>
          <w:lang w:val="en_US" w:bidi="en_US"/>
        </w:rPr>
      </w:r>
      <w:r>
        <w:rPr>
          <w:vertAlign w:val="superscript"/>
          <w:lang w:val="en_US" w:bidi="en_US"/>
        </w:rPr>
        <w:t>32b</w:t>
      </w:r>
      <w:r>
        <w:rPr>
          <w:lang w:val="en_US" w:bidi="en_US"/>
        </w:rPr>
        <w:t xml:space="preserve">He delivered his message with such authority </w:t>
      </w:r>
      <w:r>
        <w:rPr>
          <w:vertAlign w:val="superscript"/>
          <w:lang w:val="en_US" w:bidi="en_US"/>
        </w:rPr>
        <w:t>32a</w:t>
      </w:r>
      <w:r>
        <w:rPr>
          <w:lang w:val="en_US" w:bidi="en_US"/>
        </w:rPr>
        <w:t>that the people were astounded.</w:t>
      </w:r>
    </w:p>
    <w:p>
      <w:pPr/>
      <w:r>
        <w:rPr>
          <w:lang w:val="en_US" w:bidi="en_US"/>
        </w:rPr>
      </w:r>
      <w:r>
        <w:rPr>
          <w:lang w:val="en_US" w:bidi="en_US"/>
        </w:rPr>
        <w:t>Another possibility is to combine 32a–b and say:</w:t>
      </w:r>
    </w:p>
    <w:p>
      <w:pPr/>
      <w:r>
        <w:rPr>
          <w:lang w:val="en_US" w:bidi="en_US"/>
        </w:rPr>
      </w:r>
      <w:r>
        <w:rPr>
          <w:lang w:val="en_US" w:bidi="en_US"/>
        </w:rPr>
        <w:t>When Jesus taught the people, they were astonished at the authority with which he spoke.</w:t>
      </w:r>
      <w:r>
        <w:rPr>
          <w:lang w:val="en_US" w:bidi="en_US"/>
        </w:rPr>
      </w:r>
      <w:r>
        <w:rPr>
          <w:lang w:val="en_US" w:bidi="en_US"/>
        </w:rPr>
      </w:r>
    </w:p>
    <w:p>
      <w:pPr/>
      <w:r>
        <w:rPr>
          <w:lang w:val="en_US" w:bidi="en_US"/>
        </w:rPr>
      </w:r>
    </w:p>
    <w:p>
      <w:pPr>
        <w:pStyle w:val="Heading2"/>
      </w:pPr>
      <w:r>
        <w:rPr>
          <w:lang w:val="en_US" w:bidi="en_US"/>
        </w:rPr>
        <w:t>Luke 4:33</w:t>
      </w:r>
      <w:r>
        <w:rPr>
          <w:lang w:val="en_US" w:bidi="en_US"/>
        </w:rPr>
      </w:r>
    </w:p>
    <w:p>
      <w:pPr>
        <w:pStyle w:val="Heading4"/>
      </w:pPr>
      <w:r>
        <w:rPr>
          <w:lang w:val="en_US" w:bidi="en_US"/>
        </w:rPr>
        <w:t>Section 4:31–37: Jesus cast out an evil spirit</w:t>
      </w:r>
    </w:p>
    <w:p>
      <w:pPr/>
      <w:r>
        <w:rPr>
          <w:lang w:val="en_US" w:bidi="en_US"/>
        </w:rPr>
      </w:r>
      <w:r>
        <w:rPr>
          <w:lang w:val="en_US" w:bidi="en_US"/>
        </w:rPr>
        <w:t>In Nazareth, people did not believe that Jesus was sent by God. In this section, Jesus went back to Capernaum (4:23d). Apparently, the people in Capernaum accepted him. There he commanded a demon to come out of a man. The people were amazed at both the authority and the power with which Jesus spoke.</w:t>
      </w:r>
    </w:p>
    <w:p>
      <w:pPr/>
      <w:r>
        <w:rPr>
          <w:lang w:val="en_US" w:bidi="en_US"/>
        </w:rPr>
      </w:r>
      <w:r>
        <w:rPr>
          <w:lang w:val="en_US" w:bidi="en_US"/>
        </w:rPr>
        <w:t>Some other possible headings for this section are:</w:t>
      </w:r>
    </w:p>
    <w:p>
      <w:pPr/>
      <w:r>
        <w:rPr>
          <w:lang w:val="en_US" w:bidi="en_US"/>
        </w:rPr>
      </w:r>
      <w:r>
        <w:rPr>
          <w:lang w:val="en_US" w:bidi="en_US"/>
        </w:rPr>
        <w:t>Jesus Forces an Evil Spirit out of a Man (GW)</w:t>
      </w:r>
    </w:p>
    <w:p>
      <w:pPr/>
      <w:r>
        <w:rPr>
          <w:lang w:val="en_US" w:bidi="en_US"/>
        </w:rPr>
      </w:r>
      <w:r>
        <w:rPr>
          <w:lang w:val="en_US" w:bidi="en_US"/>
        </w:rPr>
        <w:t>Jesus exorcises an evil spirit</w:t>
      </w:r>
    </w:p>
    <w:p>
      <w:pPr/>
      <w:r>
        <w:rPr>
          <w:lang w:val="en_US" w:bidi="en_US"/>
        </w:rPr>
      </w:r>
      <w:r>
        <w:rPr>
          <w:lang w:val="en_US" w:bidi="en_US"/>
        </w:rPr>
        <w:t>There is a parallel passage for this section in Mark 1:21–28.</w:t>
      </w:r>
    </w:p>
    <w:p>
      <w:pPr>
        <w:pStyle w:val="Heading5"/>
      </w:pPr>
      <w:r>
        <w:rPr>
          <w:lang w:val="en_US" w:bidi="en_US"/>
        </w:rPr>
        <w:t>4:33a</w:t>
      </w:r>
    </w:p>
    <w:p>
      <w:pPr/>
      <w:r>
        <w:rPr>
          <w:lang w:val="en_US" w:bidi="en_US"/>
        </w:rPr>
      </w:r>
      <w:r>
        <w:rPr>
          <w:b/>
          <w:lang w:val="en_US" w:bidi="en_US"/>
        </w:rPr>
        <w:t>In the synagogue there was a man possessed by the spirit of an unclean demon.</w:t>
      </w:r>
    </w:p>
    <w:p>
      <w:pPr>
        <w:pStyle w:val="ListBullet"/>
        <w:spacing w:line="240" w:lineRule="auto"/>
        <w:ind w:left="720"/>
      </w:pPr>
      <w:r>
        <w:rPr>
          <w:lang w:val="en_US" w:bidi="en_US"/>
        </w:rPr>
      </w:r>
      <w:r>
        <w:rPr>
          <w:lang w:val="en_US" w:bidi="en_US"/>
        </w:rPr>
        <w:t>¶ There was a man in the synagogue who had a demon within him.</w:t>
      </w:r>
    </w:p>
    <w:p>
      <w:pPr>
        <w:pStyle w:val="ListBullet"/>
        <w:spacing w:line="240" w:lineRule="auto"/>
        <w:ind w:left="720"/>
      </w:pPr>
      <w:r>
        <w:rPr>
          <w:lang w:val="en_US" w:bidi="en_US"/>
        </w:rPr>
      </w:r>
      <w:r>
        <w:rPr>
          <w:lang w:val="en_US" w:bidi="en_US"/>
        </w:rPr>
        <w:t xml:space="preserve">¶ In the meeting house </w:t>
      </w:r>
      <w:r>
        <w:rPr>
          <w:lang w:val="en_US" w:bidi="en_US"/>
        </w:rPr>
        <w:t>where Jesus was teaching</w:t>
      </w:r>
      <w:r>
        <w:rPr>
          <w:lang w:val="en_US" w:bidi="en_US"/>
        </w:rPr>
        <w:t xml:space="preserve"> there was a </w:t>
      </w:r>
      <w:r>
        <w:rPr>
          <w:lang w:val="en_US" w:bidi="en_US"/>
        </w:rPr>
        <w:t>certain</w:t>
      </w:r>
      <w:r>
        <w:rPr>
          <w:lang w:val="en_US" w:bidi="en_US"/>
        </w:rPr>
        <w:t xml:space="preserve"> man. An evil spirit was controlling this man.</w:t>
      </w:r>
    </w:p>
    <w:p>
      <w:pPr/>
      <w:r>
        <w:rPr>
          <w:lang w:val="en_US" w:bidi="en_US"/>
        </w:rPr>
      </w:r>
      <w:r>
        <w:rPr>
          <w:b/>
          <w:lang w:val="en_US" w:bidi="en_US"/>
        </w:rPr>
        <w:t>In the synagogue:</w:t>
      </w:r>
      <w:r>
        <w:rPr>
          <w:lang w:val="en_US" w:bidi="en_US"/>
        </w:rPr>
        <w:t xml:space="preserve"> The phrase </w:t>
      </w:r>
      <w:r>
        <w:rPr>
          <w:i/>
          <w:lang w:val="en_US" w:bidi="en_US"/>
        </w:rPr>
        <w:t>the synagogue</w:t>
      </w:r>
      <w:r>
        <w:rPr>
          <w:lang w:val="en_US" w:bidi="en_US"/>
        </w:rPr>
        <w:t xml:space="preserve"> refers to the building in Capernaum where Jews gathered to pray, read Scripture, teach their beliefs, and worship God. For more information, see the note on “synagogues” at 4:15a and synagogue in the Glossary.</w:t>
      </w:r>
    </w:p>
    <w:p>
      <w:pPr/>
      <w:r>
        <w:rPr>
          <w:lang w:val="en_US" w:bidi="en_US"/>
        </w:rPr>
      </w:r>
      <w:r>
        <w:rPr>
          <w:lang w:val="en_US" w:bidi="en_US"/>
        </w:rPr>
        <w:t xml:space="preserve">This is the first time in this section that Luke has explicitly mentioned this </w:t>
      </w:r>
      <w:r>
        <w:rPr>
          <w:i/>
          <w:lang w:val="en_US" w:bidi="en_US"/>
        </w:rPr>
        <w:t>synagogue</w:t>
      </w:r>
      <w:r>
        <w:rPr>
          <w:lang w:val="en_US" w:bidi="en_US"/>
        </w:rPr>
        <w:t xml:space="preserve"> at Capernaum. So in some languages, it may be necessary to link the synagogue to this story by saying something like:</w:t>
      </w:r>
    </w:p>
    <w:p>
      <w:pPr/>
      <w:r>
        <w:rPr>
          <w:lang w:val="en_US" w:bidi="en_US"/>
        </w:rPr>
      </w:r>
      <w:r>
        <w:rPr>
          <w:lang w:val="en_US" w:bidi="en_US"/>
        </w:rPr>
        <w:t xml:space="preserve">In the synagogue </w:t>
      </w:r>
      <w:r>
        <w:rPr>
          <w:lang w:val="en_US" w:bidi="en_US"/>
        </w:rPr>
        <w:t>at Capernaum</w:t>
      </w:r>
    </w:p>
    <w:p>
      <w:pPr/>
      <w:r>
        <w:rPr>
          <w:lang w:val="en_US" w:bidi="en_US"/>
        </w:rPr>
      </w:r>
      <w:r>
        <w:rPr>
          <w:lang w:val="en_US" w:bidi="en_US"/>
        </w:rPr>
        <w:t xml:space="preserve">In that synagogue </w:t>
      </w:r>
      <w:r>
        <w:rPr>
          <w:lang w:val="en_US" w:bidi="en_US"/>
        </w:rPr>
        <w:t>where Jesus was teaching</w:t>
      </w:r>
    </w:p>
    <w:p>
      <w:pPr/>
      <w:r>
        <w:rPr>
          <w:lang w:val="en_US" w:bidi="en_US"/>
        </w:rPr>
      </w:r>
      <w:r>
        <w:rPr>
          <w:b/>
          <w:lang w:val="en_US" w:bidi="en_US"/>
        </w:rPr>
        <w:t>a man possessed by the spirit of an unclean demon:</w:t>
      </w:r>
      <w:r>
        <w:rPr>
          <w:lang w:val="en_US" w:bidi="en_US"/>
        </w:rPr>
        <w:t xml:space="preserve"> The phrase </w:t>
      </w:r>
      <w:r>
        <w:rPr>
          <w:i/>
          <w:lang w:val="en_US" w:bidi="en_US"/>
        </w:rPr>
        <w:t>a man possessed by the spirit of an unclean demon</w:t>
      </w:r>
      <w:r>
        <w:rPr>
          <w:lang w:val="en_US" w:bidi="en_US"/>
        </w:rPr>
        <w:t xml:space="preserve"> indicates that an evil spirit controlled the man’s thoughts and actions. For example:</w:t>
      </w:r>
    </w:p>
    <w:p>
      <w:pPr/>
      <w:r>
        <w:rPr>
          <w:lang w:val="en_US" w:bidi="en_US"/>
        </w:rPr>
      </w:r>
      <w:r>
        <w:rPr>
          <w:lang w:val="en_US" w:bidi="en_US"/>
        </w:rPr>
        <w:t>There was a man…under the influence of some evil spirit (JBP)</w:t>
      </w:r>
    </w:p>
    <w:p>
      <w:pPr/>
      <w:r>
        <w:rPr>
          <w:lang w:val="en_US" w:bidi="en_US"/>
        </w:rPr>
      </w:r>
      <w:r>
        <w:rPr>
          <w:lang w:val="en_US" w:bidi="en_US"/>
        </w:rPr>
        <w:t xml:space="preserve">The Greek word that the BSB translates as </w:t>
      </w:r>
      <w:r>
        <w:rPr>
          <w:i/>
          <w:lang w:val="en_US" w:bidi="en_US"/>
        </w:rPr>
        <w:t>possessed</w:t>
      </w:r>
      <w:r>
        <w:rPr>
          <w:lang w:val="en_US" w:bidi="en_US"/>
        </w:rPr>
        <w:t xml:space="preserve"> is literally the verb “having.” For example:</w:t>
      </w:r>
    </w:p>
    <w:p>
      <w:pPr/>
      <w:r>
        <w:rPr>
          <w:lang w:val="en_US" w:bidi="en_US"/>
        </w:rPr>
      </w:r>
      <w:r>
        <w:rPr>
          <w:lang w:val="en_US" w:bidi="en_US"/>
        </w:rPr>
        <w:t xml:space="preserve">In the synagogue a man who </w:t>
      </w:r>
      <w:r>
        <w:rPr>
          <w:u w:val="single"/>
          <w:lang w:val="en_US" w:bidi="en_US"/>
        </w:rPr>
        <w:t>had within him</w:t>
      </w:r>
      <w:r>
        <w:rPr>
          <w:lang w:val="en_US" w:bidi="en_US"/>
        </w:rPr>
        <w:t xml:space="preserve"> an evil spirit (NCV)</w:t>
      </w:r>
    </w:p>
    <w:p>
      <w:pPr/>
      <w:r>
        <w:rPr>
          <w:lang w:val="en_US" w:bidi="en_US"/>
        </w:rPr>
      </w:r>
      <w:r>
        <w:rPr>
          <w:lang w:val="en_US" w:bidi="en_US"/>
        </w:rPr>
        <w:t>Languages have different ways to refer to possession by evil spirits. Some other ways to translate this are:</w:t>
      </w:r>
    </w:p>
    <w:p>
      <w:pPr/>
      <w:r>
        <w:rPr>
          <w:lang w:val="en_US" w:bidi="en_US"/>
        </w:rPr>
      </w:r>
      <w:r>
        <w:rPr>
          <w:lang w:val="en_US" w:bidi="en_US"/>
        </w:rPr>
        <w:t>a man who had the spirit of an evil demon in him (GNT)</w:t>
      </w:r>
    </w:p>
    <w:p>
      <w:pPr/>
      <w:r>
        <w:rPr>
          <w:lang w:val="en_US" w:bidi="en_US"/>
        </w:rPr>
      </w:r>
      <w:r>
        <w:rPr>
          <w:lang w:val="en_US" w:bidi="en_US"/>
        </w:rPr>
        <w:t>a man controlled by an evil spirit</w:t>
      </w:r>
    </w:p>
    <w:p>
      <w:pPr/>
      <w:r>
        <w:rPr>
          <w:lang w:val="en_US" w:bidi="en_US"/>
        </w:rPr>
      </w:r>
      <w:r>
        <w:rPr>
          <w:lang w:val="en_US" w:bidi="en_US"/>
        </w:rPr>
        <w:t>a man on whom an evil spirit had fastened</w:t>
      </w:r>
    </w:p>
    <w:p>
      <w:pPr/>
      <w:r>
        <w:rPr>
          <w:lang w:val="en_US" w:bidi="en_US"/>
        </w:rPr>
      </w:r>
      <w:r>
        <w:rPr>
          <w:lang w:val="en_US" w:bidi="en_US"/>
        </w:rPr>
        <w:t>Use an expression that is natural in your language to refer to an evil spirit controlling a person.</w:t>
      </w:r>
    </w:p>
    <w:p>
      <w:pPr/>
      <w:r>
        <w:rPr>
          <w:lang w:val="en_US" w:bidi="en_US"/>
        </w:rPr>
      </w:r>
      <w:r>
        <w:rPr>
          <w:b/>
          <w:lang w:val="en_US" w:bidi="en_US"/>
        </w:rPr>
        <w:t>the spirit of an unclean demon:</w:t>
      </w:r>
      <w:r>
        <w:rPr>
          <w:lang w:val="en_US" w:bidi="en_US"/>
        </w:rPr>
        <w:t xml:space="preserve"> This is the only time that Luke used the long and unusual Greek phrase that the BSB translates as </w:t>
      </w:r>
      <w:r>
        <w:rPr>
          <w:i/>
          <w:lang w:val="en_US" w:bidi="en_US"/>
        </w:rPr>
        <w:t>spirit of an unclean demon</w:t>
      </w:r>
      <w:r>
        <w:rPr>
          <w:lang w:val="en_US" w:bidi="en_US"/>
        </w:rPr>
        <w:t>. Luke referred to this same being as a “demon” in 4:35b, and the people of Capernaum speak of such beings as “unclean spirits” in 4:36d.</w:t>
      </w:r>
    </w:p>
    <w:p>
      <w:pPr/>
      <w:r>
        <w:rPr>
          <w:lang w:val="en_US" w:bidi="en_US"/>
        </w:rPr>
      </w:r>
      <w:r>
        <w:rPr>
          <w:lang w:val="en_US" w:bidi="en_US"/>
        </w:rPr>
        <w:t>Throughout the rest of the Gospel of Luke, Luke often referred to demons and evil spirits. Because this is the first time he referred to such a being, he gave a more complete description. The terms “demon,” “evil spirit,” and “spirit of an unclean demon” all refer to the same type of being. They are not different types of beings. All these terms refer to a spirit that is evil and can control people’s actions.</w:t>
      </w:r>
    </w:p>
    <w:p>
      <w:pPr/>
      <w:r>
        <w:rPr>
          <w:lang w:val="en_US" w:bidi="en_US"/>
        </w:rPr>
      </w:r>
      <w:r>
        <w:rPr>
          <w:lang w:val="en_US" w:bidi="en_US"/>
        </w:rPr>
        <w:t xml:space="preserve">Some ways to translate </w:t>
      </w:r>
      <w:r>
        <w:rPr>
          <w:i/>
          <w:lang w:val="en_US" w:bidi="en_US"/>
        </w:rPr>
        <w:t>the spirit of an unclean demon</w:t>
      </w:r>
      <w:r>
        <w:rPr>
          <w:lang w:val="en_US" w:bidi="en_US"/>
        </w:rPr>
        <w:t xml:space="preserve"> are:</w:t>
      </w:r>
    </w:p>
    <w:p>
      <w:pPr>
        <w:pStyle w:val="ListBullet"/>
        <w:spacing w:line="240" w:lineRule="auto"/>
        <w:ind w:left="720"/>
      </w:pPr>
      <w:r>
        <w:rPr>
          <w:lang w:val="en_US" w:bidi="en_US"/>
        </w:rPr>
      </w:r>
      <w:r>
        <w:rPr>
          <w:lang w:val="en_US" w:bidi="en_US"/>
        </w:rPr>
        <w:t xml:space="preserve">Use </w:t>
      </w:r>
      <w:r>
        <w:rPr>
          <w:u w:val="single"/>
          <w:lang w:val="en_US" w:bidi="en_US"/>
        </w:rPr>
        <w:t>a general term in your language</w:t>
      </w:r>
      <w:r>
        <w:rPr>
          <w:lang w:val="en_US" w:bidi="en_US"/>
        </w:rPr>
        <w:t xml:space="preserve"> that refers to a spirit that is evil and can control people. For example:</w:t>
      </w:r>
      <w:r>
        <w:rPr>
          <w:lang w:val="en_US" w:bidi="en_US"/>
        </w:rPr>
        <w:t>a demon</w:t>
      </w:r>
      <w:r>
        <w:rPr>
          <w:lang w:val="en_US" w:bidi="en_US"/>
        </w:rPr>
        <w:t>a devil</w:t>
      </w:r>
    </w:p>
    <w:p>
      <w:pPr>
        <w:pStyle w:val="ListBullet"/>
        <w:spacing w:line="240" w:lineRule="auto"/>
        <w:ind w:left="720"/>
      </w:pPr>
      <w:r>
        <w:rPr>
          <w:lang w:val="en_US" w:bidi="en_US"/>
        </w:rPr>
      </w:r>
      <w:r>
        <w:rPr>
          <w:lang w:val="en_US" w:bidi="en_US"/>
        </w:rPr>
        <w:t xml:space="preserve">Use </w:t>
      </w:r>
      <w:r>
        <w:rPr>
          <w:u w:val="single"/>
          <w:lang w:val="en_US" w:bidi="en_US"/>
        </w:rPr>
        <w:t>a specific term in your language</w:t>
      </w:r>
      <w:r>
        <w:rPr>
          <w:lang w:val="en_US" w:bidi="en_US"/>
        </w:rPr>
        <w:t xml:space="preserve"> that refers to a certain type of spirit. This spirit should be able to do what is described in this context. Do not use a term that refers to the spirit of a dead person.</w:t>
      </w:r>
    </w:p>
    <w:p>
      <w:pPr>
        <w:pStyle w:val="ListBullet"/>
        <w:spacing w:line="240" w:lineRule="auto"/>
        <w:ind w:left="720"/>
      </w:pPr>
      <w:r>
        <w:rPr>
          <w:lang w:val="en_US" w:bidi="en_US"/>
        </w:rPr>
      </w:r>
      <w:r>
        <w:rPr>
          <w:lang w:val="en_US" w:bidi="en_US"/>
        </w:rPr>
        <w:t xml:space="preserve">Use </w:t>
      </w:r>
      <w:r>
        <w:rPr>
          <w:u w:val="single"/>
          <w:lang w:val="en_US" w:bidi="en_US"/>
        </w:rPr>
        <w:t>a descriptive phrase</w:t>
      </w:r>
      <w:r>
        <w:rPr>
          <w:lang w:val="en_US" w:bidi="en_US"/>
        </w:rPr>
        <w:t>. For example:</w:t>
      </w:r>
      <w:r>
        <w:rPr>
          <w:lang w:val="en_US" w:bidi="en_US"/>
        </w:rPr>
        <w:t>an evil spirit (CEV)</w:t>
      </w:r>
      <w:r>
        <w:rPr>
          <w:lang w:val="en_US" w:bidi="en_US"/>
        </w:rPr>
        <w:t>an unclean spirit</w:t>
      </w:r>
    </w:p>
    <w:p>
      <w:pPr/>
      <w:r>
        <w:rPr>
          <w:lang w:val="en_US" w:bidi="en_US"/>
        </w:rPr>
      </w:r>
      <w:r>
        <w:rPr>
          <w:lang w:val="en_US" w:bidi="en_US"/>
        </w:rPr>
        <w:t>Be sure that an expression like “unclean spirit” does not imply that the spirit is physically dirty.</w:t>
      </w:r>
    </w:p>
    <w:p>
      <w:pPr/>
      <w:r>
        <w:rPr>
          <w:lang w:val="en_US" w:bidi="en_US"/>
        </w:rPr>
      </w:r>
      <w:r>
        <w:rPr>
          <w:lang w:val="en_US" w:bidi="en_US"/>
        </w:rPr>
        <w:t>See demon in the Glossary for more information.</w:t>
      </w:r>
    </w:p>
    <w:p>
      <w:pPr/>
      <w:r>
        <w:rPr>
          <w:lang w:val="en_US" w:bidi="en_US"/>
        </w:rPr>
      </w:r>
      <w:r>
        <w:rPr>
          <w:b/>
          <w:lang w:val="en_US" w:bidi="en_US"/>
        </w:rPr>
        <w:t>unclean:</w:t>
      </w:r>
      <w:r>
        <w:rPr>
          <w:lang w:val="en_US" w:bidi="en_US"/>
        </w:rPr>
        <w:t xml:space="preserve"> The Greek word that the BSB translates as </w:t>
      </w:r>
      <w:r>
        <w:rPr>
          <w:i/>
          <w:lang w:val="en_US" w:bidi="en_US"/>
        </w:rPr>
        <w:t>unclean</w:t>
      </w:r>
      <w:r>
        <w:rPr>
          <w:lang w:val="en_US" w:bidi="en_US"/>
        </w:rPr>
        <w:t xml:space="preserve"> means that the demon was morally “unclean” in the sense that it was sinful.</w:t>
      </w:r>
    </w:p>
    <w:p>
      <w:pPr/>
      <w:r>
        <w:rPr>
          <w:lang w:val="en_US" w:bidi="en_US"/>
        </w:rPr>
      </w:r>
      <w:r>
        <w:rPr>
          <w:lang w:val="en_US" w:bidi="en_US"/>
        </w:rPr>
        <w:t>If the idea of “evil/impure” is already implicit in your word for demon, you do not have to explicitly translate this term.</w:t>
      </w:r>
    </w:p>
    <w:p>
      <w:pPr>
        <w:pStyle w:val="Heading5"/>
      </w:pPr>
      <w:r>
        <w:rPr>
          <w:lang w:val="en_US" w:bidi="en_US"/>
        </w:rPr>
        <w:t>4:33b</w:t>
      </w:r>
    </w:p>
    <w:p>
      <w:pPr/>
      <w:r>
        <w:rPr>
          <w:lang w:val="en_US" w:bidi="en_US"/>
        </w:rPr>
      </w:r>
      <w:r>
        <w:rPr>
          <w:b/>
          <w:lang w:val="en_US" w:bidi="en_US"/>
        </w:rPr>
        <w:t>He cried out in a loud voice,</w:t>
      </w:r>
    </w:p>
    <w:p>
      <w:pPr>
        <w:pStyle w:val="ListBullet"/>
        <w:spacing w:line="240" w:lineRule="auto"/>
        <w:ind w:left="720"/>
      </w:pPr>
      <w:r>
        <w:rPr>
          <w:lang w:val="en_US" w:bidi="en_US"/>
        </w:rPr>
      </w:r>
      <w:r>
        <w:rPr>
          <w:lang w:val="en_US" w:bidi="en_US"/>
        </w:rPr>
        <w:t>He shouted very loudly, (GW)</w:t>
      </w:r>
    </w:p>
    <w:p>
      <w:pPr>
        <w:pStyle w:val="ListBullet"/>
        <w:spacing w:line="240" w:lineRule="auto"/>
        <w:ind w:left="720"/>
      </w:pPr>
      <w:r>
        <w:rPr>
          <w:lang w:val="en_US" w:bidi="en_US"/>
        </w:rPr>
      </w:r>
      <w:r>
        <w:rPr>
          <w:lang w:val="en_US" w:bidi="en_US"/>
        </w:rPr>
        <w:t>The man screamed,</w:t>
      </w:r>
    </w:p>
    <w:p>
      <w:pPr/>
      <w:r>
        <w:rPr>
          <w:lang w:val="en_US" w:bidi="en_US"/>
        </w:rPr>
      </w:r>
      <w:r>
        <w:rPr>
          <w:b/>
          <w:lang w:val="en_US" w:bidi="en_US"/>
        </w:rPr>
        <w:t>He cried out in a loud voice:</w:t>
      </w:r>
      <w:r>
        <w:rPr>
          <w:lang w:val="en_US" w:bidi="en_US"/>
        </w:rPr>
        <w:t xml:space="preserve"> The clause that the BSB translates as </w:t>
      </w:r>
      <w:r>
        <w:rPr>
          <w:i/>
          <w:lang w:val="en_US" w:bidi="en_US"/>
        </w:rPr>
        <w:t>He cried out in a loud voice</w:t>
      </w:r>
      <w:r>
        <w:rPr>
          <w:lang w:val="en_US" w:bidi="en_US"/>
        </w:rPr>
        <w:t xml:space="preserve"> is literally “he shouted in a great/large voice.” Some other ways to translate this are:</w:t>
      </w:r>
    </w:p>
    <w:p>
      <w:pPr/>
      <w:r>
        <w:rPr>
          <w:lang w:val="en_US" w:bidi="en_US"/>
        </w:rPr>
      </w:r>
      <w:r>
        <w:rPr>
          <w:lang w:val="en_US" w:bidi="en_US"/>
        </w:rPr>
        <w:t>He shouted very loudly (GW)</w:t>
      </w:r>
    </w:p>
    <w:p>
      <w:pPr/>
      <w:r>
        <w:rPr>
          <w:lang w:val="en_US" w:bidi="en_US"/>
        </w:rPr>
      </w:r>
      <w:r>
        <w:rPr>
          <w:lang w:val="en_US" w:bidi="en_US"/>
        </w:rPr>
        <w:t>he screamed out in a loud voice (GNT)</w:t>
      </w:r>
    </w:p>
    <w:p>
      <w:pPr/>
      <w:r>
        <w:rPr>
          <w:lang w:val="en_US" w:bidi="en_US"/>
        </w:rPr>
      </w:r>
      <w:r>
        <w:rPr>
          <w:lang w:val="en_US" w:bidi="en_US"/>
        </w:rPr>
        <w:t>He cried out at the top of his voice (NIV)</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the man. But actually, the demon was speaking through the man’s mouth. The demon was causing the man to say what he (the demon) wanted him to say. Use whatever subject is natural in your language to refer to a person speaking under the influence of an evil spirit.</w:t>
      </w:r>
      <w:r>
        <w:rPr>
          <w:lang w:val="en_US" w:bidi="en_US"/>
        </w:rPr>
      </w:r>
      <w:r>
        <w:rPr>
          <w:lang w:val="en_US" w:bidi="en_US"/>
        </w:rPr>
      </w:r>
    </w:p>
    <w:p>
      <w:pPr/>
      <w:r>
        <w:rPr>
          <w:lang w:val="en_US" w:bidi="en_US"/>
        </w:rPr>
      </w:r>
    </w:p>
    <w:p>
      <w:pPr>
        <w:pStyle w:val="Heading2"/>
      </w:pPr>
      <w:r>
        <w:rPr>
          <w:lang w:val="en_US" w:bidi="en_US"/>
        </w:rPr>
        <w:t>Luke 4:34</w:t>
      </w:r>
      <w:r>
        <w:rPr>
          <w:lang w:val="en_US" w:bidi="en_US"/>
        </w:rPr>
      </w:r>
    </w:p>
    <w:p>
      <w:pPr>
        <w:pStyle w:val="Heading4"/>
      </w:pPr>
      <w:r>
        <w:rPr>
          <w:lang w:val="en_US" w:bidi="en_US"/>
        </w:rPr>
        <w:t>Section 4:31–37: Jesus cast out an evil spirit</w:t>
      </w:r>
    </w:p>
    <w:p>
      <w:pPr/>
      <w:r>
        <w:rPr>
          <w:lang w:val="en_US" w:bidi="en_US"/>
        </w:rPr>
      </w:r>
      <w:r>
        <w:rPr>
          <w:lang w:val="en_US" w:bidi="en_US"/>
        </w:rPr>
        <w:t>In Nazareth, people did not believe that Jesus was sent by God. In this section, Jesus went back to Capernaum (4:23d). Apparently, the people in Capernaum accepted him. There he commanded a demon to come out of a man. The people were amazed at both the authority and the power with which Jesus spoke.</w:t>
      </w:r>
    </w:p>
    <w:p>
      <w:pPr/>
      <w:r>
        <w:rPr>
          <w:lang w:val="en_US" w:bidi="en_US"/>
        </w:rPr>
      </w:r>
      <w:r>
        <w:rPr>
          <w:lang w:val="en_US" w:bidi="en_US"/>
        </w:rPr>
        <w:t>Some other possible headings for this section are:</w:t>
      </w:r>
    </w:p>
    <w:p>
      <w:pPr/>
      <w:r>
        <w:rPr>
          <w:lang w:val="en_US" w:bidi="en_US"/>
        </w:rPr>
      </w:r>
      <w:r>
        <w:rPr>
          <w:lang w:val="en_US" w:bidi="en_US"/>
        </w:rPr>
        <w:t>Jesus Forces an Evil Spirit out of a Man (GW)</w:t>
      </w:r>
    </w:p>
    <w:p>
      <w:pPr/>
      <w:r>
        <w:rPr>
          <w:lang w:val="en_US" w:bidi="en_US"/>
        </w:rPr>
      </w:r>
      <w:r>
        <w:rPr>
          <w:lang w:val="en_US" w:bidi="en_US"/>
        </w:rPr>
        <w:t>Jesus exorcises an evil spirit</w:t>
      </w:r>
    </w:p>
    <w:p>
      <w:pPr/>
      <w:r>
        <w:rPr>
          <w:lang w:val="en_US" w:bidi="en_US"/>
        </w:rPr>
      </w:r>
      <w:r>
        <w:rPr>
          <w:lang w:val="en_US" w:bidi="en_US"/>
        </w:rPr>
        <w:t>There is a parallel passage for this section in Mark 1:21–28.</w:t>
      </w:r>
    </w:p>
    <w:p>
      <w:pPr>
        <w:pStyle w:val="Heading5"/>
      </w:pPr>
      <w:r>
        <w:rPr>
          <w:lang w:val="en_US" w:bidi="en_US"/>
        </w:rPr>
        <w:t>4:34a</w:t>
      </w:r>
    </w:p>
    <w:p>
      <w:pPr/>
      <w:r>
        <w:rPr>
          <w:lang w:val="en_US" w:bidi="en_US"/>
        </w:rPr>
      </w:r>
      <w:r>
        <w:rPr>
          <w:b/>
          <w:lang w:val="en_US" w:bidi="en_US"/>
        </w:rPr>
        <w:t>“Ha! What do You want with us, Jesus of Nazareth?</w:t>
      </w:r>
    </w:p>
    <w:p>
      <w:pPr>
        <w:pStyle w:val="ListBullet"/>
        <w:spacing w:line="240" w:lineRule="auto"/>
        <w:ind w:left="720"/>
      </w:pPr>
      <w:r>
        <w:rPr>
          <w:lang w:val="en_US" w:bidi="en_US"/>
        </w:rPr>
      </w:r>
      <w:r>
        <w:rPr>
          <w:lang w:val="en_US" w:bidi="en_US"/>
        </w:rPr>
        <w:t>“Hey, Jesus of Nazareth, what do you want with us? (CEV)</w:t>
      </w:r>
    </w:p>
    <w:p>
      <w:pPr>
        <w:pStyle w:val="ListBullet"/>
        <w:spacing w:line="240" w:lineRule="auto"/>
        <w:ind w:left="720"/>
      </w:pPr>
      <w:r>
        <w:rPr>
          <w:lang w:val="en_US" w:bidi="en_US"/>
        </w:rPr>
      </w:r>
      <w:r>
        <w:rPr>
          <w:lang w:val="en_US" w:bidi="en_US"/>
        </w:rPr>
        <w:t>“Hey, Jesus of Nazareth! Why are you bothering/disturbing us?</w:t>
      </w:r>
    </w:p>
    <w:p>
      <w:pPr>
        <w:pStyle w:val="ListBullet"/>
        <w:spacing w:line="240" w:lineRule="auto"/>
        <w:ind w:left="720"/>
      </w:pPr>
      <w:r>
        <w:rPr>
          <w:lang w:val="en_US" w:bidi="en_US"/>
        </w:rPr>
      </w:r>
      <w:r>
        <w:rPr>
          <w:lang w:val="en_US" w:bidi="en_US"/>
        </w:rPr>
        <w:t>“Ha! Leave us alone, Jesus the Nazarene! (NET)</w:t>
      </w:r>
    </w:p>
    <w:p>
      <w:pPr/>
      <w:r>
        <w:rPr>
          <w:lang w:val="en_US" w:bidi="en_US"/>
        </w:rPr>
      </w:r>
      <w:r>
        <w:rPr>
          <w:b/>
          <w:lang w:val="en_US" w:bidi="en_US"/>
        </w:rPr>
        <w:t>Ha!:</w:t>
      </w:r>
      <w:r>
        <w:rPr>
          <w:lang w:val="en_US" w:bidi="en_US"/>
        </w:rPr>
        <w:t xml:space="preserve"> Scholars have different interpretations for the Greek word that the BSB and some other English versions (ESV, NET, NIV) translate as </w:t>
      </w:r>
      <w:r>
        <w:rPr>
          <w:i/>
          <w:lang w:val="en_US" w:bidi="en_US"/>
        </w:rPr>
        <w:t>Ha!</w:t>
      </w:r>
      <w:r>
        <w:rPr>
          <w:lang w:val="en_US" w:bidi="en_US"/>
        </w:rPr>
        <w:t>:</w:t>
      </w:r>
    </w:p>
    <w:p>
      <w:pPr>
        <w:pStyle w:val="ListNumber"/>
        <w:numPr>
          <w:ilvl w:val="0"/>
          <w:numId w:val="104"/>
        </w:numPr>
        <w:spacing w:line="240" w:lineRule="auto"/>
        <w:ind w:left="720"/>
      </w:pPr>
      <w:r>
        <w:rPr>
          <w:lang w:val="en_US" w:bidi="en_US"/>
        </w:rPr>
      </w:r>
      <w:r>
        <w:rPr>
          <w:lang w:val="en_US" w:bidi="en_US"/>
        </w:rPr>
        <w:t xml:space="preserve">It is an </w:t>
      </w:r>
      <w:r>
        <w:rPr>
          <w:u w:val="single"/>
          <w:lang w:val="en_US" w:bidi="en_US"/>
        </w:rPr>
        <w:t>interjection</w:t>
      </w:r>
      <w:r>
        <w:rPr>
          <w:lang w:val="en_US" w:bidi="en_US"/>
        </w:rPr>
        <w:t>. It expresses alarm, fear, dismay, or indignation. For example:</w:t>
      </w:r>
      <w:r>
        <w:rPr>
          <w:lang w:val="en_US" w:bidi="en_US"/>
        </w:rPr>
        <w:t xml:space="preserve">Oh, no! (GW) </w:t>
      </w:r>
      <w:r>
        <w:rPr>
          <w:i/>
          <w:lang w:val="en_US" w:bidi="en_US"/>
        </w:rPr>
        <w:t>(BSB, NIV, GNT, RSV, NJB, NET, GW, CEV, JBP)</w:t>
      </w:r>
    </w:p>
    <w:p>
      <w:pPr>
        <w:pStyle w:val="ListNumber"/>
        <w:spacing w:line="240" w:lineRule="auto"/>
        <w:ind w:left="720"/>
      </w:pPr>
      <w:r>
        <w:rPr>
          <w:lang w:val="en_US" w:bidi="en_US"/>
        </w:rPr>
      </w:r>
      <w:r>
        <w:rPr>
          <w:lang w:val="en_US" w:bidi="en_US"/>
        </w:rPr>
        <w:t xml:space="preserve">It is a </w:t>
      </w:r>
      <w:r>
        <w:rPr>
          <w:u w:val="single"/>
          <w:lang w:val="en_US" w:bidi="en_US"/>
        </w:rPr>
        <w:t>command</w:t>
      </w:r>
      <w:r>
        <w:rPr>
          <w:lang w:val="en_US" w:bidi="en_US"/>
        </w:rPr>
        <w:t>. It is the imperative form of a verb that means “to not trouble or disturb.” Some translations say things such as:</w:t>
      </w:r>
      <w:r>
        <w:rPr>
          <w:lang w:val="en_US" w:bidi="en_US"/>
        </w:rPr>
        <w:t>Let us alone! (NRSV)</w:t>
      </w:r>
      <w:r>
        <w:rPr>
          <w:lang w:val="en_US" w:bidi="en_US"/>
        </w:rPr>
        <w:t xml:space="preserve">Go away! (NIV11) </w:t>
      </w:r>
      <w:r>
        <w:rPr>
          <w:i/>
          <w:lang w:val="en_US" w:bidi="en_US"/>
        </w:rPr>
        <w:t>(NIV11, NRSV, NASB, KJV, NLT)</w:t>
      </w:r>
    </w:p>
    <w:p>
      <w:pPr/>
      <w:r>
        <w:rPr>
          <w:lang w:val="en_US" w:bidi="en_US"/>
        </w:rPr>
      </w:r>
      <w:r>
        <w:rPr>
          <w:lang w:val="en_US" w:bidi="en_US"/>
        </w:rPr>
        <w:t>It is recommended that you follow interpretation (1).</w:t>
      </w:r>
    </w:p>
    <w:p>
      <w:pPr/>
      <w:r>
        <w:rPr>
          <w:lang w:val="en_US" w:bidi="en_US"/>
        </w:rPr>
      </w:r>
      <w:r>
        <w:rPr>
          <w:lang w:val="en_US" w:bidi="en_US"/>
        </w:rPr>
        <w:t>In your translation, try to find a word or phrase that people use to express alarm, dismay, or indignation.</w:t>
      </w:r>
    </w:p>
    <w:p>
      <w:pPr/>
      <w:r>
        <w:rPr>
          <w:lang w:val="en_US" w:bidi="en_US"/>
        </w:rPr>
      </w:r>
      <w:r>
        <w:rPr>
          <w:b/>
          <w:lang w:val="en_US" w:bidi="en_US"/>
        </w:rPr>
        <w:t>What do You want with us…?:</w:t>
      </w:r>
      <w:r>
        <w:rPr>
          <w:lang w:val="en_US" w:bidi="en_US"/>
        </w:rPr>
        <w:t xml:space="preserve"> The Greek clause that the BSB translates as </w:t>
      </w:r>
      <w:r>
        <w:rPr>
          <w:i/>
          <w:lang w:val="en_US" w:bidi="en_US"/>
        </w:rPr>
        <w:t>What do You want with us</w:t>
      </w:r>
      <w:r>
        <w:rPr>
          <w:lang w:val="en_US" w:bidi="en_US"/>
        </w:rPr>
        <w:t xml:space="preserve"> is an idiom. It literally says, “What to us and to you?” It means “What relationship do we</w:t>
      </w:r>
      <w:r>
        <w:rPr>
          <w:vertAlign w:val="superscript"/>
          <w:lang w:val="en_US" w:bidi="en_US"/>
        </w:rPr>
        <w:t>(excl)</w:t>
      </w:r>
      <w:r>
        <w:rPr>
          <w:lang w:val="en_US" w:bidi="en_US"/>
        </w:rPr>
        <w:t xml:space="preserve"> have with you?” The evil spirit meant that Jesus had nothing in common with evil spirits. He implied that Jesus should not interfere with them.</w:t>
      </w:r>
    </w:p>
    <w:p>
      <w:pPr/>
      <w:r>
        <w:rPr>
          <w:lang w:val="en_US" w:bidi="en_US"/>
        </w:rPr>
      </w:r>
      <w:r>
        <w:rPr>
          <w:lang w:val="en_US" w:bidi="en_US"/>
        </w:rPr>
        <w:t>This idiom is a rhetorical question that expresses the evil spirit’s fear, dread, and hostility. Some ways to translate this fear and hostility are:</w:t>
      </w:r>
    </w:p>
    <w:p>
      <w:pPr>
        <w:pStyle w:val="ListBullet"/>
        <w:spacing w:line="240" w:lineRule="auto"/>
        <w:ind w:left="720"/>
      </w:pPr>
      <w:r>
        <w:rPr>
          <w:lang w:val="en_US" w:bidi="en_US"/>
        </w:rPr>
      </w:r>
      <w:r>
        <w:rPr>
          <w:lang w:val="en_US" w:bidi="en_US"/>
        </w:rPr>
        <w:t>As a rhetorical question. For example:</w:t>
      </w:r>
      <w:r>
        <w:rPr>
          <w:lang w:val="en_US" w:bidi="en_US"/>
        </w:rPr>
        <w:t>Why are you bothering us…? (NLT96)</w:t>
      </w:r>
      <w:r>
        <w:rPr>
          <w:lang w:val="en_US" w:bidi="en_US"/>
        </w:rPr>
        <w:t>What business do we have with each other…? (NASB)</w:t>
      </w:r>
      <w:r>
        <w:rPr>
          <w:lang w:val="en_US" w:bidi="en_US"/>
        </w:rPr>
        <w:t>Why are you interfering with us?</w:t>
      </w:r>
    </w:p>
    <w:p>
      <w:pPr>
        <w:pStyle w:val="ListBullet"/>
        <w:spacing w:line="240" w:lineRule="auto"/>
        <w:ind w:left="720"/>
      </w:pPr>
      <w:r>
        <w:rPr>
          <w:lang w:val="en_US" w:bidi="en_US"/>
        </w:rPr>
      </w:r>
      <w:r>
        <w:rPr>
          <w:lang w:val="en_US" w:bidi="en_US"/>
        </w:rPr>
        <w:t>As a statement or command. For example:</w:t>
      </w:r>
      <w:r>
        <w:rPr>
          <w:lang w:val="en_US" w:bidi="en_US"/>
        </w:rPr>
        <w:t>We have nothing to do with one another!</w:t>
      </w:r>
      <w:r>
        <w:rPr>
          <w:lang w:val="en_US" w:bidi="en_US"/>
        </w:rPr>
        <w:t>Do not bother/disturb us!</w:t>
      </w:r>
      <w:r>
        <w:rPr>
          <w:lang w:val="en_US" w:bidi="en_US"/>
        </w:rPr>
        <w:t>Leave us alone…! (NET)</w:t>
      </w:r>
    </w:p>
    <w:p>
      <w:pPr/>
      <w:r>
        <w:rPr>
          <w:lang w:val="en_US" w:bidi="en_US"/>
        </w:rPr>
      </w:r>
      <w:r>
        <w:rPr>
          <w:b/>
          <w:lang w:val="en_US" w:bidi="en_US"/>
        </w:rPr>
        <w:t>us:</w:t>
      </w:r>
      <w:r>
        <w:rPr>
          <w:lang w:val="en_US" w:bidi="en_US"/>
        </w:rPr>
        <w:t xml:space="preserve"> The pronoun </w:t>
      </w:r>
      <w:r>
        <w:rPr>
          <w:i/>
          <w:lang w:val="en_US" w:bidi="en_US"/>
        </w:rPr>
        <w:t>us</w:t>
      </w:r>
      <w:r>
        <w:rPr>
          <w:lang w:val="en_US" w:bidi="en_US"/>
        </w:rPr>
        <w:t xml:space="preserve"> probably refers to the demon in the man and other demons like him.</w:t>
      </w:r>
      <w:r>
        <w:rPr>
          <w:lang w:val="en_US" w:bidi="en_US"/>
        </w:rPr>
        <w:t xml:space="preserve">There are several ways to interpret the pronoun </w:t>
      </w:r>
      <w:r>
        <w:rPr>
          <w:i/>
          <w:lang w:val="en_US" w:bidi="en_US"/>
        </w:rPr>
        <w:t>us</w:t>
      </w:r>
      <w:r>
        <w:rPr>
          <w:lang w:val="en_US" w:bidi="en_US"/>
        </w:rPr>
        <w:t xml:space="preserve"> here: (1) It refers to the demon who was speaking and other demons like him, but not with this man. (2) It refers to several demons who were all possessing the man. (3) It refers to the demon and the man he was possessing. It is recommended that you follow interpretation (1). This is the view of the majority of scholars.</w:t>
      </w:r>
      <w:r>
        <w:rPr>
          <w:lang w:val="en_US" w:bidi="en_US"/>
        </w:rPr>
        <w:t xml:space="preserve"> The demon in the man was speaking on behalf of other demons too.</w:t>
      </w:r>
    </w:p>
    <w:p>
      <w:pPr/>
      <w:r>
        <w:rPr>
          <w:lang w:val="en_US" w:bidi="en_US"/>
        </w:rPr>
      </w:r>
      <w:r>
        <w:rPr>
          <w:lang w:val="en_US" w:bidi="en_US"/>
        </w:rPr>
        <w:t xml:space="preserve">If it is not clear whom the pronoun </w:t>
      </w:r>
      <w:r>
        <w:rPr>
          <w:i/>
          <w:lang w:val="en_US" w:bidi="en_US"/>
        </w:rPr>
        <w:t>us</w:t>
      </w:r>
      <w:r>
        <w:rPr>
          <w:lang w:val="en_US" w:bidi="en_US"/>
        </w:rPr>
        <w:t xml:space="preserve"> refers to, you may need to make this more specific. For example:</w:t>
      </w:r>
    </w:p>
    <w:p>
      <w:pPr/>
      <w:r>
        <w:rPr>
          <w:lang w:val="en_US" w:bidi="en_US"/>
        </w:rPr>
      </w:r>
      <w:r>
        <w:rPr>
          <w:lang w:val="en_US" w:bidi="en_US"/>
        </w:rPr>
        <w:t xml:space="preserve">us </w:t>
      </w:r>
      <w:r>
        <w:rPr>
          <w:lang w:val="en_US" w:bidi="en_US"/>
        </w:rPr>
        <w:t>demons</w:t>
      </w:r>
    </w:p>
    <w:p>
      <w:pPr/>
      <w:r>
        <w:rPr>
          <w:lang w:val="en_US" w:bidi="en_US"/>
        </w:rPr>
      </w:r>
      <w:r>
        <w:rPr>
          <w:lang w:val="en_US" w:bidi="en_US"/>
        </w:rPr>
        <w:t xml:space="preserve">us </w:t>
      </w:r>
      <w:r>
        <w:rPr>
          <w:lang w:val="en_US" w:bidi="en_US"/>
        </w:rPr>
        <w:t>evil spirits</w:t>
      </w:r>
    </w:p>
    <w:p>
      <w:pPr/>
      <w:r>
        <w:rPr>
          <w:lang w:val="en_US" w:bidi="en_US"/>
        </w:rPr>
      </w:r>
      <w:r>
        <w:rPr>
          <w:b/>
          <w:lang w:val="en_US" w:bidi="en_US"/>
        </w:rPr>
        <w:t>Jesus of Nazareth:</w:t>
      </w:r>
      <w:r>
        <w:rPr>
          <w:lang w:val="en_US" w:bidi="en_US"/>
        </w:rPr>
        <w:t xml:space="preserve"> The phrase </w:t>
      </w:r>
      <w:r>
        <w:rPr>
          <w:i/>
          <w:lang w:val="en_US" w:bidi="en_US"/>
        </w:rPr>
        <w:t>Jesus of Nazareth</w:t>
      </w:r>
      <w:r>
        <w:rPr>
          <w:lang w:val="en_US" w:bidi="en_US"/>
        </w:rPr>
        <w:t xml:space="preserve"> means “Jesus from the town of Nazareth.” In those days Jewish people generally had only one personal name. They were further identified by their hometown. Use the way that is natural in your language to indicate that a person is from a particular town.</w:t>
      </w:r>
    </w:p>
    <w:p>
      <w:pPr/>
      <w:r>
        <w:rPr>
          <w:lang w:val="en_US" w:bidi="en_US"/>
        </w:rPr>
      </w:r>
      <w:r>
        <w:rPr>
          <w:lang w:val="en_US" w:bidi="en_US"/>
        </w:rPr>
        <w:t>The evil spirit used this phrase to get Jesus’ attention and to indicate that he was speaking to Jesus. Following the Greek word order, the BSB puts this phrase at the end of the question. In some languages, it may be more natural to put Jesus of Nazareth before “What do you want with us?” For example:</w:t>
      </w:r>
    </w:p>
    <w:p>
      <w:pPr/>
      <w:r>
        <w:rPr>
          <w:lang w:val="en_US" w:bidi="en_US"/>
        </w:rPr>
      </w:r>
      <w:r>
        <w:rPr>
          <w:lang w:val="en_US" w:bidi="en_US"/>
        </w:rPr>
        <w:t>Hey, Jesus of Nazareth, what do you want with us? (CEV)</w:t>
      </w:r>
    </w:p>
    <w:p>
      <w:pPr>
        <w:pStyle w:val="Heading5"/>
      </w:pPr>
      <w:r>
        <w:rPr>
          <w:lang w:val="en_US" w:bidi="en_US"/>
        </w:rPr>
        <w:t>4:34b</w:t>
      </w:r>
    </w:p>
    <w:p>
      <w:pPr/>
      <w:r>
        <w:rPr>
          <w:lang w:val="en_US" w:bidi="en_US"/>
        </w:rPr>
      </w:r>
      <w:r>
        <w:rPr>
          <w:b/>
          <w:lang w:val="en_US" w:bidi="en_US"/>
        </w:rPr>
        <w:t>Have You come to destroy us?</w:t>
      </w:r>
    </w:p>
    <w:p>
      <w:pPr>
        <w:pStyle w:val="ListBullet"/>
        <w:spacing w:line="240" w:lineRule="auto"/>
        <w:ind w:left="720"/>
      </w:pPr>
      <w:r>
        <w:rPr>
          <w:lang w:val="en_US" w:bidi="en_US"/>
        </w:rPr>
      </w:r>
      <w:r>
        <w:rPr>
          <w:lang w:val="en_US" w:bidi="en_US"/>
        </w:rPr>
        <w:t>Did you</w:t>
      </w:r>
      <w:r>
        <w:rPr>
          <w:vertAlign w:val="superscript"/>
          <w:lang w:val="en_US" w:bidi="en_US"/>
        </w:rPr>
        <w:t>(sing)</w:t>
      </w:r>
      <w:r>
        <w:rPr>
          <w:lang w:val="en_US" w:bidi="en_US"/>
        </w:rPr>
        <w:t xml:space="preserve"> come to destroy/ruin us?</w:t>
      </w:r>
      <w:r>
        <w:rPr>
          <w:vertAlign w:val="superscript"/>
          <w:lang w:val="en_US" w:bidi="en_US"/>
        </w:rPr>
        <w:t>(excl)</w:t>
      </w:r>
    </w:p>
    <w:p>
      <w:pPr>
        <w:pStyle w:val="ListBullet"/>
        <w:spacing w:line="240" w:lineRule="auto"/>
        <w:ind w:left="720"/>
      </w:pPr>
      <w:r>
        <w:rPr>
          <w:lang w:val="en_US" w:bidi="en_US"/>
        </w:rPr>
      </w:r>
      <w:r>
        <w:rPr>
          <w:lang w:val="en_US" w:bidi="en_US"/>
        </w:rPr>
        <w:t>Are you here to destroy us? (GNT)</w:t>
      </w:r>
    </w:p>
    <w:p>
      <w:pPr/>
      <w:r>
        <w:rPr>
          <w:lang w:val="en_US" w:bidi="en_US"/>
        </w:rPr>
      </w:r>
      <w:r>
        <w:rPr>
          <w:b/>
          <w:lang w:val="en_US" w:bidi="en_US"/>
        </w:rPr>
        <w:t>Have You come to destroy us?:</w:t>
      </w:r>
      <w:r>
        <w:rPr>
          <w:lang w:val="en_US" w:bidi="en_US"/>
        </w:rPr>
        <w:t xml:space="preserve"> This is a real question. The demon knew that Jesus was the Messiah and had the power to destroy demons. He may have feared that Jesus might destroy him right then.</w:t>
      </w:r>
    </w:p>
    <w:p>
      <w:pPr/>
      <w:r>
        <w:rPr>
          <w:lang w:val="en_US" w:bidi="en_US"/>
        </w:rPr>
      </w:r>
      <w:r>
        <w:rPr>
          <w:b/>
          <w:lang w:val="en_US" w:bidi="en_US"/>
        </w:rPr>
        <w:t>come:</w:t>
      </w:r>
      <w:r>
        <w:rPr>
          <w:lang w:val="en_US" w:bidi="en_US"/>
        </w:rPr>
        <w:t xml:space="preserve"> The demon did not say from where Jesus came or where he arrived because that is not in focus. In some languages, a word like </w:t>
      </w:r>
      <w:r>
        <w:rPr>
          <w:i/>
          <w:lang w:val="en_US" w:bidi="en_US"/>
        </w:rPr>
        <w:t>come</w:t>
      </w:r>
      <w:r>
        <w:rPr>
          <w:lang w:val="en_US" w:bidi="en_US"/>
        </w:rPr>
        <w:t xml:space="preserve"> may cause people to question where Jesus had come from. If that is true in your language, you may need to translate in a different way. For example:</w:t>
      </w:r>
    </w:p>
    <w:p>
      <w:pPr/>
      <w:r>
        <w:rPr>
          <w:lang w:val="en_US" w:bidi="en_US"/>
        </w:rPr>
      </w:r>
      <w:r>
        <w:rPr>
          <w:lang w:val="en_US" w:bidi="en_US"/>
        </w:rPr>
        <w:t>Are you here to destroy us? (GNT)</w:t>
      </w:r>
    </w:p>
    <w:p>
      <w:pPr/>
      <w:r>
        <w:rPr>
          <w:lang w:val="en_US" w:bidi="en_US"/>
        </w:rPr>
      </w:r>
      <w:r>
        <w:rPr>
          <w:b/>
          <w:lang w:val="en_US" w:bidi="en_US"/>
        </w:rPr>
        <w:t>destroy:</w:t>
      </w:r>
      <w:r>
        <w:rPr>
          <w:lang w:val="en_US" w:bidi="en_US"/>
        </w:rPr>
        <w:t xml:space="preserve"> In this context the Greek word that the BSB translates as </w:t>
      </w:r>
      <w:r>
        <w:rPr>
          <w:i/>
          <w:lang w:val="en_US" w:bidi="en_US"/>
        </w:rPr>
        <w:t>destroy</w:t>
      </w:r>
      <w:r>
        <w:rPr>
          <w:lang w:val="en_US" w:bidi="en_US"/>
        </w:rPr>
        <w:t xml:space="preserve"> means “ruin.” It refers to Jesus forcing the demon to leave the man and sending him away to wait for final judgment.</w:t>
      </w:r>
    </w:p>
    <w:p>
      <w:pPr/>
      <w:r>
        <w:rPr>
          <w:lang w:val="en_US" w:bidi="en_US"/>
        </w:rPr>
      </w:r>
      <w:r>
        <w:rPr>
          <w:lang w:val="en_US" w:bidi="en_US"/>
        </w:rPr>
        <w:t>The evil spirit was afraid that Jesus would destroy its power. The spirit was probably also afraid that Jesus would send it and the other evil spirits to a place where they would be imprisoned. They would have to wait there for God’s final judgment.</w:t>
      </w:r>
    </w:p>
    <w:p>
      <w:pPr/>
      <w:r>
        <w:rPr>
          <w:lang w:val="en_US" w:bidi="en_US"/>
        </w:rPr>
      </w:r>
      <w:r>
        <w:rPr>
          <w:lang w:val="en_US" w:bidi="en_US"/>
        </w:rPr>
        <w:t xml:space="preserve">In many languages, a word such as </w:t>
      </w:r>
      <w:r>
        <w:rPr>
          <w:i/>
          <w:lang w:val="en_US" w:bidi="en_US"/>
        </w:rPr>
        <w:t>destroy</w:t>
      </w:r>
      <w:r>
        <w:rPr>
          <w:lang w:val="en_US" w:bidi="en_US"/>
        </w:rPr>
        <w:t xml:space="preserve"> may refer to smashing or breaking something. You may need to use a different expression. For example:</w:t>
      </w:r>
    </w:p>
    <w:p>
      <w:pPr/>
      <w:r>
        <w:rPr>
          <w:lang w:val="en_US" w:bidi="en_US"/>
        </w:rPr>
      </w:r>
      <w:r>
        <w:rPr>
          <w:lang w:val="en_US" w:bidi="en_US"/>
        </w:rPr>
        <w:t>end our power</w:t>
      </w:r>
    </w:p>
    <w:p>
      <w:pPr/>
      <w:r>
        <w:rPr>
          <w:lang w:val="en_US" w:bidi="en_US"/>
        </w:rPr>
      </w:r>
      <w:r>
        <w:rPr>
          <w:lang w:val="en_US" w:bidi="en_US"/>
        </w:rPr>
        <w:t>punish us</w:t>
      </w:r>
    </w:p>
    <w:p>
      <w:pPr>
        <w:pStyle w:val="Heading5"/>
      </w:pPr>
      <w:r>
        <w:rPr>
          <w:lang w:val="en_US" w:bidi="en_US"/>
        </w:rPr>
        <w:t>4:34c</w:t>
      </w:r>
    </w:p>
    <w:p>
      <w:pPr/>
      <w:r>
        <w:rPr>
          <w:lang w:val="en_US" w:bidi="en_US"/>
        </w:rPr>
      </w:r>
      <w:r>
        <w:rPr>
          <w:b/>
          <w:lang w:val="en_US" w:bidi="en_US"/>
        </w:rPr>
        <w:t>I know who You are—the Holy One of God!”</w:t>
      </w:r>
    </w:p>
    <w:p>
      <w:pPr>
        <w:pStyle w:val="ListBullet"/>
        <w:spacing w:line="240" w:lineRule="auto"/>
        <w:ind w:left="720"/>
      </w:pPr>
      <w:r>
        <w:rPr>
          <w:lang w:val="en_US" w:bidi="en_US"/>
        </w:rPr>
      </w:r>
      <w:r>
        <w:rPr>
          <w:lang w:val="en_US" w:bidi="en_US"/>
        </w:rPr>
        <w:t>I know who you</w:t>
      </w:r>
      <w:r>
        <w:rPr>
          <w:vertAlign w:val="superscript"/>
          <w:lang w:val="en_US" w:bidi="en_US"/>
        </w:rPr>
        <w:t>(sing)</w:t>
      </w:r>
      <w:r>
        <w:rPr>
          <w:lang w:val="en_US" w:bidi="en_US"/>
        </w:rPr>
        <w:t xml:space="preserve"> are. </w:t>
      </w:r>
      <w:r>
        <w:rPr>
          <w:lang w:val="en_US" w:bidi="en_US"/>
        </w:rPr>
        <w:t>You</w:t>
      </w:r>
      <w:r>
        <w:rPr>
          <w:vertAlign w:val="superscript"/>
          <w:lang w:val="en_US" w:bidi="en_US"/>
        </w:rPr>
        <w:t>(sing)</w:t>
      </w:r>
      <w:r>
        <w:rPr>
          <w:lang w:val="en_US" w:bidi="en_US"/>
        </w:rPr>
        <w:t xml:space="preserve"> </w:t>
      </w:r>
      <w:r>
        <w:rPr>
          <w:lang w:val="en_US" w:bidi="en_US"/>
        </w:rPr>
        <w:t>are</w:t>
      </w:r>
      <w:r>
        <w:rPr>
          <w:lang w:val="en_US" w:bidi="en_US"/>
        </w:rPr>
        <w:t xml:space="preserve"> the Holy One whom God </w:t>
      </w:r>
      <w:r>
        <w:rPr>
          <w:lang w:val="en_US" w:bidi="en_US"/>
        </w:rPr>
        <w:t>has sent</w:t>
      </w:r>
      <w:r>
        <w:rPr>
          <w:lang w:val="en_US" w:bidi="en_US"/>
        </w:rPr>
        <w:t>!”</w:t>
      </w:r>
    </w:p>
    <w:p>
      <w:pPr>
        <w:pStyle w:val="ListBullet"/>
        <w:spacing w:line="240" w:lineRule="auto"/>
        <w:ind w:left="720"/>
      </w:pPr>
      <w:r>
        <w:rPr>
          <w:lang w:val="en_US" w:bidi="en_US"/>
        </w:rPr>
      </w:r>
      <w:r>
        <w:rPr>
          <w:lang w:val="en_US" w:bidi="en_US"/>
        </w:rPr>
        <w:t>I know that you</w:t>
      </w:r>
      <w:r>
        <w:rPr>
          <w:vertAlign w:val="superscript"/>
          <w:lang w:val="en_US" w:bidi="en_US"/>
        </w:rPr>
        <w:t>(sing)</w:t>
      </w:r>
      <w:r>
        <w:rPr>
          <w:lang w:val="en_US" w:bidi="en_US"/>
        </w:rPr>
        <w:t xml:space="preserve"> are the Holy One/Person </w:t>
      </w:r>
      <w:r>
        <w:rPr>
          <w:lang w:val="en_US" w:bidi="en_US"/>
        </w:rPr>
        <w:t>who came</w:t>
      </w:r>
      <w:r>
        <w:rPr>
          <w:lang w:val="en_US" w:bidi="en_US"/>
        </w:rPr>
        <w:t xml:space="preserve"> from God!”</w:t>
      </w:r>
    </w:p>
    <w:p>
      <w:pPr/>
      <w:r>
        <w:rPr>
          <w:lang w:val="en_US" w:bidi="en_US"/>
        </w:rPr>
      </w:r>
      <w:r>
        <w:rPr>
          <w:lang w:val="en_US" w:bidi="en_US"/>
        </w:rPr>
        <w:t>In Greek, there is no word between the clause “I know who you are” and the phrase “the Holy One of God.” The BSB connects these with a dash. In some languages, it may be more natural to connect them in a different way. For example:</w:t>
      </w:r>
    </w:p>
    <w:p>
      <w:pPr/>
      <w:r>
        <w:rPr>
          <w:lang w:val="en_US" w:bidi="en_US"/>
        </w:rPr>
      </w:r>
      <w:r>
        <w:rPr>
          <w:lang w:val="en_US" w:bidi="en_US"/>
        </w:rPr>
        <w:t>I know who you are: you are God's holy messenger! (GNT)</w:t>
      </w:r>
    </w:p>
    <w:p>
      <w:pPr/>
      <w:r>
        <w:rPr>
          <w:lang w:val="en_US" w:bidi="en_US"/>
        </w:rPr>
      </w:r>
      <w:r>
        <w:rPr>
          <w:b/>
          <w:lang w:val="en_US" w:bidi="en_US"/>
        </w:rPr>
        <w:t>I know who You are:</w:t>
      </w:r>
      <w:r>
        <w:rPr>
          <w:lang w:val="en_US" w:bidi="en_US"/>
        </w:rPr>
        <w:t xml:space="preserve"> The pronoun </w:t>
      </w:r>
      <w:r>
        <w:rPr>
          <w:i/>
          <w:lang w:val="en_US" w:bidi="en_US"/>
        </w:rPr>
        <w:t>I</w:t>
      </w:r>
      <w:r>
        <w:rPr>
          <w:lang w:val="en_US" w:bidi="en_US"/>
        </w:rPr>
        <w:t xml:space="preserve"> refers to the demon, who was speaking through the man. The demon knew that Jesus was the Son of God. He knew that Jesus was the Messiah whom God had sent to earth.</w:t>
      </w:r>
    </w:p>
    <w:p>
      <w:pPr/>
      <w:r>
        <w:rPr>
          <w:lang w:val="en_US" w:bidi="en_US"/>
        </w:rPr>
      </w:r>
      <w:r>
        <w:rPr>
          <w:b/>
          <w:lang w:val="en_US" w:bidi="en_US"/>
        </w:rPr>
        <w:t>the Holy One of God:</w:t>
      </w:r>
      <w:r>
        <w:rPr>
          <w:lang w:val="en_US" w:bidi="en_US"/>
        </w:rPr>
        <w:t xml:space="preserve"> The evil spirit referred to Jesus as </w:t>
      </w:r>
      <w:r>
        <w:rPr>
          <w:i/>
          <w:lang w:val="en_US" w:bidi="en_US"/>
        </w:rPr>
        <w:t>the Holy One of God</w:t>
      </w:r>
      <w:r>
        <w:rPr>
          <w:lang w:val="en_US" w:bidi="en_US"/>
        </w:rPr>
        <w:t>. Some other ways to translate this are:</w:t>
      </w:r>
    </w:p>
    <w:p>
      <w:pPr/>
      <w:r>
        <w:rPr>
          <w:lang w:val="en_US" w:bidi="en_US"/>
        </w:rPr>
      </w:r>
      <w:r>
        <w:rPr>
          <w:lang w:val="en_US" w:bidi="en_US"/>
        </w:rPr>
        <w:t>You are God’s Holy One (CEV)</w:t>
      </w:r>
    </w:p>
    <w:p>
      <w:pPr/>
      <w:r>
        <w:rPr>
          <w:lang w:val="en_US" w:bidi="en_US"/>
        </w:rPr>
      </w:r>
      <w:r>
        <w:rPr>
          <w:lang w:val="en_US" w:bidi="en_US"/>
        </w:rPr>
        <w:t>the Holy One sent from God (NLT)</w:t>
      </w:r>
    </w:p>
    <w:p>
      <w:pPr/>
      <w:r>
        <w:rPr>
          <w:lang w:val="en_US" w:bidi="en_US"/>
        </w:rPr>
      </w:r>
      <w:r>
        <w:rPr>
          <w:lang w:val="en_US" w:bidi="en_US"/>
        </w:rPr>
        <w:t>The evil spirit is not the only one to use this term. In John 6:69 the apostle Peter also used this term to identify Jesus.</w:t>
      </w:r>
    </w:p>
    <w:p>
      <w:pPr/>
      <w:r>
        <w:rPr>
          <w:lang w:val="en_US" w:bidi="en_US"/>
        </w:rPr>
      </w:r>
      <w:r>
        <w:rPr>
          <w:lang w:val="en_US" w:bidi="en_US"/>
        </w:rPr>
        <w:t xml:space="preserve">In some languages, it may not be possible to use the word </w:t>
      </w:r>
      <w:r>
        <w:rPr>
          <w:i/>
          <w:lang w:val="en_US" w:bidi="en_US"/>
        </w:rPr>
        <w:t>One</w:t>
      </w:r>
      <w:r>
        <w:rPr>
          <w:lang w:val="en_US" w:bidi="en_US"/>
        </w:rPr>
        <w:t xml:space="preserve"> to refer to a person. It may be necessary to use a more specific term. For example:</w:t>
      </w:r>
    </w:p>
    <w:p>
      <w:pPr/>
      <w:r>
        <w:rPr>
          <w:lang w:val="en_US" w:bidi="en_US"/>
        </w:rPr>
      </w:r>
      <w:r>
        <w:rPr>
          <w:lang w:val="en_US" w:bidi="en_US"/>
        </w:rPr>
        <w:t>You are the Holy Person/Man from God.</w:t>
      </w:r>
    </w:p>
    <w:p>
      <w:pPr/>
      <w:r>
        <w:rPr>
          <w:lang w:val="en_US" w:bidi="en_US"/>
        </w:rPr>
      </w:r>
      <w:r>
        <w:rPr>
          <w:lang w:val="en_US" w:bidi="en_US"/>
        </w:rPr>
        <w:t>You are the Holy Son of God.</w:t>
      </w:r>
    </w:p>
    <w:p>
      <w:pPr/>
      <w:r>
        <w:rPr>
          <w:lang w:val="en_US" w:bidi="en_US"/>
        </w:rPr>
      </w:r>
      <w:r>
        <w:rPr>
          <w:lang w:val="en_US" w:bidi="en_US"/>
        </w:rPr>
        <w:t>You are holy and God sent you.</w:t>
      </w:r>
    </w:p>
    <w:p>
      <w:pPr/>
      <w:r>
        <w:rPr>
          <w:lang w:val="en_US" w:bidi="en_US"/>
        </w:rPr>
      </w:r>
      <w:r>
        <w:rPr>
          <w:b/>
          <w:lang w:val="en_US" w:bidi="en_US"/>
        </w:rPr>
        <w:t>Holy:</w:t>
      </w:r>
      <w:r>
        <w:rPr>
          <w:lang w:val="en_US" w:bidi="en_US"/>
        </w:rPr>
        <w:t xml:space="preserve"> The word </w:t>
      </w:r>
      <w:r>
        <w:rPr>
          <w:i/>
          <w:lang w:val="en_US" w:bidi="en_US"/>
        </w:rPr>
        <w:t>Holy</w:t>
      </w:r>
      <w:r>
        <w:rPr>
          <w:lang w:val="en_US" w:bidi="en_US"/>
        </w:rPr>
        <w:t xml:space="preserve"> has the basic meaning of “dedicated to God,” “reserved for God,” or “set apart for God.” It also means “to be pure” and “free from sin.”</w:t>
      </w:r>
    </w:p>
    <w:p>
      <w:pPr/>
      <w:r>
        <w:rPr>
          <w:lang w:val="en_US" w:bidi="en_US"/>
        </w:rPr>
      </w:r>
      <w:r>
        <w:rPr>
          <w:lang w:val="en_US" w:bidi="en_US"/>
        </w:rPr>
        <w:t>Another way to translate this word is:</w:t>
      </w:r>
    </w:p>
    <w:p>
      <w:pPr/>
      <w:r>
        <w:rPr>
          <w:lang w:val="en_US" w:bidi="en_US"/>
        </w:rPr>
      </w:r>
      <w:r>
        <w:rPr>
          <w:lang w:val="en_US" w:bidi="en_US"/>
        </w:rPr>
        <w:t>sacred</w:t>
      </w:r>
    </w:p>
    <w:p>
      <w:pPr/>
      <w:r>
        <w:rPr>
          <w:lang w:val="en_US" w:bidi="en_US"/>
        </w:rPr>
      </w:r>
      <w:r>
        <w:rPr>
          <w:lang w:val="en_US" w:bidi="en_US"/>
        </w:rPr>
        <w:t xml:space="preserve">See also </w:t>
      </w:r>
      <w:r>
        <w:rPr>
          <w:u w:val="single"/>
          <w:lang w:val="en_US" w:bidi="en_US"/>
        </w:rPr>
        <w:t>holy, sense A2</w:t>
      </w:r>
      <w:r>
        <w:rPr>
          <w:lang w:val="en_US" w:bidi="en_US"/>
        </w:rPr>
        <w:t>, in KBT.</w:t>
      </w:r>
      <w:r>
        <w:rPr>
          <w:lang w:val="en_US" w:bidi="en_US"/>
        </w:rPr>
      </w:r>
      <w:r>
        <w:rPr>
          <w:lang w:val="en_US" w:bidi="en_US"/>
        </w:rPr>
      </w:r>
    </w:p>
    <w:p>
      <w:pPr/>
      <w:r>
        <w:rPr>
          <w:lang w:val="en_US" w:bidi="en_US"/>
        </w:rPr>
      </w:r>
    </w:p>
    <w:p>
      <w:pPr>
        <w:pStyle w:val="Heading2"/>
      </w:pPr>
      <w:r>
        <w:rPr>
          <w:lang w:val="en_US" w:bidi="en_US"/>
        </w:rPr>
        <w:t>Luke 4:35</w:t>
      </w:r>
      <w:r>
        <w:rPr>
          <w:lang w:val="en_US" w:bidi="en_US"/>
        </w:rPr>
      </w:r>
    </w:p>
    <w:p>
      <w:pPr>
        <w:pStyle w:val="Heading4"/>
      </w:pPr>
      <w:r>
        <w:rPr>
          <w:lang w:val="en_US" w:bidi="en_US"/>
        </w:rPr>
        <w:t>Section 4:31–37: Jesus cast out an evil spirit</w:t>
      </w:r>
    </w:p>
    <w:p>
      <w:pPr/>
      <w:r>
        <w:rPr>
          <w:lang w:val="en_US" w:bidi="en_US"/>
        </w:rPr>
      </w:r>
      <w:r>
        <w:rPr>
          <w:lang w:val="en_US" w:bidi="en_US"/>
        </w:rPr>
        <w:t>In Nazareth, people did not believe that Jesus was sent by God. In this section, Jesus went back to Capernaum (4:23d). Apparently, the people in Capernaum accepted him. There he commanded a demon to come out of a man. The people were amazed at both the authority and the power with which Jesus spoke.</w:t>
      </w:r>
    </w:p>
    <w:p>
      <w:pPr/>
      <w:r>
        <w:rPr>
          <w:lang w:val="en_US" w:bidi="en_US"/>
        </w:rPr>
      </w:r>
      <w:r>
        <w:rPr>
          <w:lang w:val="en_US" w:bidi="en_US"/>
        </w:rPr>
        <w:t>Some other possible headings for this section are:</w:t>
      </w:r>
    </w:p>
    <w:p>
      <w:pPr/>
      <w:r>
        <w:rPr>
          <w:lang w:val="en_US" w:bidi="en_US"/>
        </w:rPr>
      </w:r>
      <w:r>
        <w:rPr>
          <w:lang w:val="en_US" w:bidi="en_US"/>
        </w:rPr>
        <w:t>Jesus Forces an Evil Spirit out of a Man (GW)</w:t>
      </w:r>
    </w:p>
    <w:p>
      <w:pPr/>
      <w:r>
        <w:rPr>
          <w:lang w:val="en_US" w:bidi="en_US"/>
        </w:rPr>
      </w:r>
      <w:r>
        <w:rPr>
          <w:lang w:val="en_US" w:bidi="en_US"/>
        </w:rPr>
        <w:t>Jesus exorcises an evil spirit</w:t>
      </w:r>
    </w:p>
    <w:p>
      <w:pPr/>
      <w:r>
        <w:rPr>
          <w:lang w:val="en_US" w:bidi="en_US"/>
        </w:rPr>
      </w:r>
      <w:r>
        <w:rPr>
          <w:lang w:val="en_US" w:bidi="en_US"/>
        </w:rPr>
        <w:t>There is a parallel passage for this section in Mark 1:21–28.</w:t>
      </w:r>
    </w:p>
    <w:p>
      <w:pPr>
        <w:pStyle w:val="Heading5"/>
      </w:pPr>
      <w:r>
        <w:rPr>
          <w:lang w:val="en_US" w:bidi="en_US"/>
        </w:rPr>
        <w:t>4:35a</w:t>
      </w:r>
    </w:p>
    <w:p>
      <w:pPr/>
      <w:r>
        <w:rPr>
          <w:lang w:val="en_US" w:bidi="en_US"/>
        </w:rPr>
      </w:r>
      <w:r>
        <w:rPr>
          <w:b/>
          <w:lang w:val="en_US" w:bidi="en_US"/>
        </w:rPr>
        <w:t>But Jesus rebuked the demon. “Be silent!” He said. “Come out of him!”</w:t>
      </w:r>
    </w:p>
    <w:p>
      <w:pPr>
        <w:pStyle w:val="ListBullet"/>
        <w:spacing w:line="240" w:lineRule="auto"/>
        <w:ind w:left="720"/>
      </w:pPr>
      <w:r>
        <w:rPr>
          <w:lang w:val="en_US" w:bidi="en_US"/>
        </w:rPr>
      </w:r>
      <w:r>
        <w:rPr>
          <w:lang w:val="en_US" w:bidi="en_US"/>
        </w:rPr>
        <w:t xml:space="preserve">¶ Jesus ordered </w:t>
      </w:r>
      <w:r>
        <w:rPr>
          <w:lang w:val="en_US" w:bidi="en_US"/>
        </w:rPr>
        <w:t>the demon</w:t>
      </w:r>
      <w:r>
        <w:rPr>
          <w:lang w:val="en_US" w:bidi="en_US"/>
        </w:rPr>
        <w:t>, “Quiet/Silence! Come out of the man!”</w:t>
      </w:r>
    </w:p>
    <w:p>
      <w:pPr>
        <w:pStyle w:val="ListBullet"/>
        <w:spacing w:line="240" w:lineRule="auto"/>
        <w:ind w:left="720"/>
      </w:pPr>
      <w:r>
        <w:rPr>
          <w:lang w:val="en_US" w:bidi="en_US"/>
        </w:rPr>
      </w:r>
      <w:r>
        <w:rPr>
          <w:lang w:val="en_US" w:bidi="en_US"/>
        </w:rPr>
        <w:t xml:space="preserve">¶ Jesus commanded </w:t>
      </w:r>
      <w:r>
        <w:rPr>
          <w:lang w:val="en_US" w:bidi="en_US"/>
        </w:rPr>
        <w:t>the demon</w:t>
      </w:r>
      <w:r>
        <w:rPr>
          <w:lang w:val="en_US" w:bidi="en_US"/>
        </w:rPr>
        <w:t xml:space="preserve"> to stop talking and leave the man.</w:t>
      </w:r>
    </w:p>
    <w:p>
      <w:pPr/>
      <w:r>
        <w:rPr>
          <w:lang w:val="en_US" w:bidi="en_US"/>
        </w:rPr>
      </w:r>
      <w:r>
        <w:rPr>
          <w:b/>
          <w:lang w:val="en_US" w:bidi="en_US"/>
        </w:rPr>
        <w:t>But Jesus rebuked the demon:</w:t>
      </w:r>
      <w:r>
        <w:rPr>
          <w:lang w:val="en_US" w:bidi="en_US"/>
        </w:rPr>
        <w:t xml:space="preserve"> The Greek verb that the BSB translates as </w:t>
      </w:r>
      <w:r>
        <w:rPr>
          <w:i/>
          <w:lang w:val="en_US" w:bidi="en_US"/>
        </w:rPr>
        <w:t>rebuked</w:t>
      </w:r>
      <w:r>
        <w:rPr>
          <w:lang w:val="en_US" w:bidi="en_US"/>
        </w:rPr>
        <w:t xml:space="preserve"> may also be translated as:</w:t>
      </w:r>
    </w:p>
    <w:p>
      <w:pPr/>
      <w:r>
        <w:rPr>
          <w:lang w:val="en_US" w:bidi="en_US"/>
        </w:rPr>
      </w:r>
      <w:r>
        <w:rPr>
          <w:lang w:val="en_US" w:bidi="en_US"/>
        </w:rPr>
        <w:t>commanded (NCV)</w:t>
      </w:r>
    </w:p>
    <w:p>
      <w:pPr/>
      <w:r>
        <w:rPr>
          <w:lang w:val="en_US" w:bidi="en_US"/>
        </w:rPr>
      </w:r>
      <w:r>
        <w:rPr>
          <w:lang w:val="en_US" w:bidi="en_US"/>
        </w:rPr>
        <w:t>ordered (CEV)</w:t>
      </w:r>
    </w:p>
    <w:p>
      <w:pPr/>
      <w:r>
        <w:rPr>
          <w:lang w:val="en_US" w:bidi="en_US"/>
        </w:rPr>
      </w:r>
      <w:r>
        <w:rPr>
          <w:b/>
          <w:lang w:val="en_US" w:bidi="en_US"/>
        </w:rPr>
        <w:t>Be silent!:</w:t>
      </w:r>
      <w:r>
        <w:rPr>
          <w:lang w:val="en_US" w:bidi="en_US"/>
        </w:rPr>
        <w:t xml:space="preserve"> This is the first of two commands that Jesus gave to the evil spirit. Some other ways to translate this are:</w:t>
      </w:r>
    </w:p>
    <w:p>
      <w:pPr/>
      <w:r>
        <w:rPr>
          <w:lang w:val="en_US" w:bidi="en_US"/>
        </w:rPr>
      </w:r>
      <w:r>
        <w:rPr>
          <w:lang w:val="en_US" w:bidi="en_US"/>
        </w:rPr>
        <w:t>Be quiet! (NIV)</w:t>
      </w:r>
    </w:p>
    <w:p>
      <w:pPr/>
      <w:r>
        <w:rPr>
          <w:lang w:val="en_US" w:bidi="en_US"/>
        </w:rPr>
      </w:r>
      <w:r>
        <w:rPr>
          <w:lang w:val="en_US" w:bidi="en_US"/>
        </w:rPr>
        <w:t>Silence! (NET)</w:t>
      </w:r>
    </w:p>
    <w:p>
      <w:pPr/>
      <w:r>
        <w:rPr>
          <w:lang w:val="en_US" w:bidi="en_US"/>
        </w:rPr>
      </w:r>
      <w:r>
        <w:rPr>
          <w:lang w:val="en_US" w:bidi="en_US"/>
        </w:rPr>
        <w:t>Translate this in the way that is natural in your language to order another person to stop speaking.</w:t>
      </w:r>
    </w:p>
    <w:p>
      <w:pPr/>
      <w:r>
        <w:rPr>
          <w:lang w:val="en_US" w:bidi="en_US"/>
        </w:rPr>
      </w:r>
      <w:r>
        <w:rPr>
          <w:b/>
          <w:lang w:val="en_US" w:bidi="en_US"/>
        </w:rPr>
        <w:t>He said:</w:t>
      </w:r>
      <w:r>
        <w:rPr>
          <w:lang w:val="en_US" w:bidi="en_US"/>
        </w:rPr>
        <w:t xml:space="preserve"> The BSB has placed the words </w:t>
      </w:r>
      <w:r>
        <w:rPr>
          <w:i/>
          <w:lang w:val="en_US" w:bidi="en_US"/>
        </w:rPr>
        <w:t>He said</w:t>
      </w:r>
      <w:r>
        <w:rPr>
          <w:lang w:val="en_US" w:bidi="en_US"/>
        </w:rPr>
        <w:t xml:space="preserve"> after “Be silent!” In Greek, these words occur before the quotation of what Jesus said. Put these words where they are natural in your language.</w:t>
      </w:r>
    </w:p>
    <w:p>
      <w:pPr/>
      <w:r>
        <w:rPr>
          <w:lang w:val="en_US" w:bidi="en_US"/>
        </w:rPr>
      </w:r>
      <w:r>
        <w:rPr>
          <w:b/>
          <w:lang w:val="en_US" w:bidi="en_US"/>
        </w:rPr>
        <w:t>Come out:</w:t>
      </w:r>
      <w:r>
        <w:rPr>
          <w:lang w:val="en_US" w:bidi="en_US"/>
        </w:rPr>
        <w:t xml:space="preserve"> The Greek verb that the BSB translates as </w:t>
      </w:r>
      <w:r>
        <w:rPr>
          <w:i/>
          <w:lang w:val="en_US" w:bidi="en_US"/>
        </w:rPr>
        <w:t>Come out</w:t>
      </w:r>
      <w:r>
        <w:rPr>
          <w:lang w:val="en_US" w:bidi="en_US"/>
        </w:rPr>
        <w:t xml:space="preserve"> means that the demon should come out from inside the man and leave him. In some languages, it may sound more natural to say “</w:t>
      </w:r>
      <w:r>
        <w:rPr>
          <w:u w:val="single"/>
          <w:lang w:val="en_US" w:bidi="en_US"/>
        </w:rPr>
        <w:t>Go</w:t>
      </w:r>
      <w:r>
        <w:rPr>
          <w:lang w:val="en_US" w:bidi="en_US"/>
        </w:rPr>
        <w:t xml:space="preserve"> out.”</w:t>
      </w:r>
    </w:p>
    <w:p>
      <w:pPr/>
      <w:r>
        <w:rPr>
          <w:lang w:val="en_US" w:bidi="en_US"/>
        </w:rPr>
      </w:r>
      <w:r>
        <w:rPr>
          <w:lang w:val="en_US" w:bidi="en_US"/>
        </w:rPr>
        <w:t>Your translation of this verb should be consistent with the way you translated “possessed by a demon” in 4:33a.</w:t>
      </w:r>
    </w:p>
    <w:p>
      <w:pPr>
        <w:pStyle w:val="Heading6"/>
      </w:pPr>
      <w:r>
        <w:rPr>
          <w:b/>
          <w:lang w:val="en_US" w:bidi="en_US"/>
        </w:rPr>
        <w:t>General Comment on 4:35a</w:t>
      </w:r>
    </w:p>
    <w:p>
      <w:pPr/>
      <w:r>
        <w:rPr>
          <w:lang w:val="en_US" w:bidi="en_US"/>
        </w:rPr>
      </w:r>
      <w:r>
        <w:rPr>
          <w:lang w:val="en_US" w:bidi="en_US"/>
        </w:rPr>
        <w:t>In some languages, it may be more natural to translate Jesus’ command to the demon using indirect speech. For example:</w:t>
      </w:r>
    </w:p>
    <w:p>
      <w:pPr/>
      <w:r>
        <w:rPr>
          <w:lang w:val="en_US" w:bidi="en_US"/>
        </w:rPr>
      </w:r>
      <w:r>
        <w:rPr>
          <w:lang w:val="en_US" w:bidi="en_US"/>
        </w:rPr>
        <w:t>Jesus ordered the evil spirit to be quiet and come out. (CEV)</w:t>
      </w:r>
    </w:p>
    <w:p>
      <w:pPr/>
      <w:r>
        <w:rPr>
          <w:lang w:val="en_US" w:bidi="en_US"/>
        </w:rPr>
      </w:r>
      <w:r>
        <w:rPr>
          <w:lang w:val="en_US" w:bidi="en_US"/>
        </w:rPr>
        <w:t>Jesus commanded the demon to be silent and to leave the man.</w:t>
      </w:r>
    </w:p>
    <w:p>
      <w:pPr>
        <w:pStyle w:val="Heading5"/>
      </w:pPr>
      <w:r>
        <w:rPr>
          <w:lang w:val="en_US" w:bidi="en_US"/>
        </w:rPr>
        <w:t>4:35b</w:t>
      </w:r>
    </w:p>
    <w:p>
      <w:pPr/>
      <w:r>
        <w:rPr>
          <w:lang w:val="en_US" w:bidi="en_US"/>
        </w:rPr>
      </w:r>
      <w:r>
        <w:rPr>
          <w:b/>
          <w:lang w:val="en_US" w:bidi="en_US"/>
        </w:rPr>
        <w:t>At this, the demon threw the man down before them all</w:t>
      </w:r>
    </w:p>
    <w:p>
      <w:pPr>
        <w:pStyle w:val="ListBullet"/>
        <w:spacing w:line="240" w:lineRule="auto"/>
        <w:ind w:left="720"/>
      </w:pPr>
      <w:r>
        <w:rPr>
          <w:lang w:val="en_US" w:bidi="en_US"/>
        </w:rPr>
      </w:r>
      <w:r>
        <w:rPr>
          <w:lang w:val="en_US" w:bidi="en_US"/>
        </w:rPr>
        <w:t xml:space="preserve">Then the demon threw the man down in front of everyone </w:t>
      </w:r>
      <w:r>
        <w:rPr>
          <w:lang w:val="en_US" w:bidi="en_US"/>
        </w:rPr>
        <w:t>there</w:t>
      </w:r>
      <w:r>
        <w:rPr>
          <w:lang w:val="en_US" w:bidi="en_US"/>
        </w:rPr>
        <w:t>,</w:t>
      </w:r>
    </w:p>
    <w:p>
      <w:pPr>
        <w:pStyle w:val="ListBullet"/>
        <w:spacing w:line="240" w:lineRule="auto"/>
        <w:ind w:left="720"/>
      </w:pPr>
      <w:r>
        <w:rPr>
          <w:lang w:val="en_US" w:bidi="en_US"/>
        </w:rPr>
      </w:r>
      <w:r>
        <w:rPr>
          <w:lang w:val="en_US" w:bidi="en_US"/>
        </w:rPr>
        <w:t xml:space="preserve">In front of all the people </w:t>
      </w:r>
      <w:r>
        <w:rPr>
          <w:lang w:val="en_US" w:bidi="en_US"/>
        </w:rPr>
        <w:t>there</w:t>
      </w:r>
      <w:r>
        <w:rPr>
          <w:lang w:val="en_US" w:bidi="en_US"/>
        </w:rPr>
        <w:t xml:space="preserve">, the demon caused the man to fall down </w:t>
      </w:r>
      <w:r>
        <w:rPr>
          <w:lang w:val="en_US" w:bidi="en_US"/>
        </w:rPr>
        <w:t>to the ground/floor</w:t>
      </w:r>
      <w:r>
        <w:rPr>
          <w:lang w:val="en_US" w:bidi="en_US"/>
        </w:rPr>
        <w:t>.</w:t>
      </w:r>
    </w:p>
    <w:p>
      <w:pPr/>
      <w:r>
        <w:rPr>
          <w:lang w:val="en_US" w:bidi="en_US"/>
        </w:rPr>
      </w:r>
      <w:r>
        <w:rPr>
          <w:b/>
          <w:lang w:val="en_US" w:bidi="en_US"/>
        </w:rPr>
        <w:t>At this:</w:t>
      </w:r>
      <w:r>
        <w:rPr>
          <w:lang w:val="en_US" w:bidi="en_US"/>
        </w:rPr>
        <w:t xml:space="preserve"> This verse begins with a Greek conjunction that is often translated as “and.” Some English versions, such as the ESV and the NASB, translate it that way. Many English versions do not translate this conjunction. However, since the events in 4:36b occurred immediately after the events in 4:35a, some versions connect these events with a word that describes a time sequence. The NIV, for example, says “Then,” and the BSB says </w:t>
      </w:r>
      <w:r>
        <w:rPr>
          <w:i/>
          <w:lang w:val="en_US" w:bidi="en_US"/>
        </w:rPr>
        <w:t>At this</w:t>
      </w:r>
      <w:r>
        <w:rPr>
          <w:lang w:val="en_US" w:bidi="en_US"/>
        </w:rPr>
        <w:t>. Connect 4:35b to 4:35a in a way that is natural in your language.</w:t>
      </w:r>
    </w:p>
    <w:p>
      <w:pPr/>
      <w:r>
        <w:rPr>
          <w:lang w:val="en_US" w:bidi="en_US"/>
        </w:rPr>
      </w:r>
      <w:r>
        <w:rPr>
          <w:b/>
          <w:lang w:val="en_US" w:bidi="en_US"/>
        </w:rPr>
        <w:t>the demon threw the man down:</w:t>
      </w:r>
      <w:r>
        <w:rPr>
          <w:lang w:val="en_US" w:bidi="en_US"/>
        </w:rPr>
        <w:t xml:space="preserve"> The phrase </w:t>
      </w:r>
      <w:r>
        <w:rPr>
          <w:i/>
          <w:lang w:val="en_US" w:bidi="en_US"/>
        </w:rPr>
        <w:t>the demon threw the man down</w:t>
      </w:r>
      <w:r>
        <w:rPr>
          <w:lang w:val="en_US" w:bidi="en_US"/>
        </w:rPr>
        <w:t xml:space="preserve"> means “the demon caused the man to fall to the ground.” For example:</w:t>
      </w:r>
    </w:p>
    <w:p>
      <w:pPr/>
      <w:r>
        <w:rPr>
          <w:lang w:val="en_US" w:bidi="en_US"/>
        </w:rPr>
      </w:r>
      <w:r>
        <w:rPr>
          <w:lang w:val="en_US" w:bidi="en_US"/>
        </w:rPr>
        <w:t>The evil spirit threw the man down to the ground (NCV)</w:t>
      </w:r>
    </w:p>
    <w:p>
      <w:pPr/>
      <w:r>
        <w:rPr>
          <w:lang w:val="en_US" w:bidi="en_US"/>
        </w:rPr>
      </w:r>
      <w:r>
        <w:rPr>
          <w:lang w:val="en_US" w:bidi="en_US"/>
        </w:rPr>
        <w:t xml:space="preserve">This event happened in the synagogue. So it may be more natural to say that the demon caused the man to fall to the </w:t>
      </w:r>
      <w:r>
        <w:rPr>
          <w:u w:val="single"/>
          <w:lang w:val="en_US" w:bidi="en_US"/>
        </w:rPr>
        <w:t>floor</w:t>
      </w:r>
      <w:r>
        <w:rPr>
          <w:lang w:val="en_US" w:bidi="en_US"/>
        </w:rPr>
        <w:t>. For example:</w:t>
      </w:r>
    </w:p>
    <w:p>
      <w:pPr/>
      <w:r>
        <w:rPr>
          <w:lang w:val="en_US" w:bidi="en_US"/>
        </w:rPr>
      </w:r>
      <w:r>
        <w:rPr>
          <w:lang w:val="en_US" w:bidi="en_US"/>
        </w:rPr>
        <w:t>the demon threw the man to the floor (NLT)</w:t>
      </w:r>
    </w:p>
    <w:p>
      <w:pPr/>
      <w:r>
        <w:rPr>
          <w:lang w:val="en_US" w:bidi="en_US"/>
        </w:rPr>
      </w:r>
      <w:r>
        <w:rPr>
          <w:b/>
          <w:lang w:val="en_US" w:bidi="en_US"/>
        </w:rPr>
        <w:t>demon:</w:t>
      </w:r>
      <w:r>
        <w:rPr>
          <w:lang w:val="en_US" w:bidi="en_US"/>
        </w:rPr>
        <w:t xml:space="preserve"> The Greek word that the BSB translates as </w:t>
      </w:r>
      <w:r>
        <w:rPr>
          <w:i/>
          <w:lang w:val="en_US" w:bidi="en_US"/>
        </w:rPr>
        <w:t>demon</w:t>
      </w:r>
      <w:r>
        <w:rPr>
          <w:lang w:val="en_US" w:bidi="en_US"/>
        </w:rPr>
        <w:t xml:space="preserve"> is the same word as in 4:33a. You may translate it the same way in both places.</w:t>
      </w:r>
    </w:p>
    <w:p>
      <w:pPr/>
      <w:r>
        <w:rPr>
          <w:lang w:val="en_US" w:bidi="en_US"/>
        </w:rPr>
      </w:r>
      <w:r>
        <w:rPr>
          <w:b/>
          <w:lang w:val="en_US" w:bidi="en_US"/>
        </w:rPr>
        <w:t>before them all:</w:t>
      </w:r>
      <w:r>
        <w:rPr>
          <w:lang w:val="en_US" w:bidi="en_US"/>
        </w:rPr>
        <w:t xml:space="preserve"> The Greek phrase that the BSB translates as </w:t>
      </w:r>
      <w:r>
        <w:rPr>
          <w:i/>
          <w:lang w:val="en_US" w:bidi="en_US"/>
        </w:rPr>
        <w:t>before them all</w:t>
      </w:r>
      <w:r>
        <w:rPr>
          <w:lang w:val="en_US" w:bidi="en_US"/>
        </w:rPr>
        <w:t xml:space="preserve"> is literally “in the middle/midst” (as in the RSV). This means “in the middle of all the people.” The demon caused the man to fall where all the people in the synagogue could see what was happening. Some other ways to translate this are:</w:t>
      </w:r>
    </w:p>
    <w:p>
      <w:pPr/>
      <w:r>
        <w:rPr>
          <w:lang w:val="en_US" w:bidi="en_US"/>
        </w:rPr>
      </w:r>
      <w:r>
        <w:rPr>
          <w:lang w:val="en_US" w:bidi="en_US"/>
        </w:rPr>
        <w:t>before all the people (NCV)</w:t>
      </w:r>
    </w:p>
    <w:p>
      <w:pPr/>
      <w:r>
        <w:rPr>
          <w:lang w:val="en_US" w:bidi="en_US"/>
        </w:rPr>
      </w:r>
      <w:r>
        <w:rPr>
          <w:lang w:val="en_US" w:bidi="en_US"/>
        </w:rPr>
        <w:t>in front of everyone (CEV)</w:t>
      </w:r>
    </w:p>
    <w:p>
      <w:pPr>
        <w:pStyle w:val="Heading5"/>
      </w:pPr>
      <w:r>
        <w:rPr>
          <w:lang w:val="en_US" w:bidi="en_US"/>
        </w:rPr>
        <w:t>4:35c</w:t>
      </w:r>
    </w:p>
    <w:p>
      <w:pPr/>
      <w:r>
        <w:rPr>
          <w:lang w:val="en_US" w:bidi="en_US"/>
        </w:rPr>
      </w:r>
      <w:r>
        <w:rPr>
          <w:b/>
          <w:lang w:val="en_US" w:bidi="en_US"/>
        </w:rPr>
        <w:t>and came out without harming him.</w:t>
      </w:r>
    </w:p>
    <w:p>
      <w:pPr>
        <w:pStyle w:val="ListBullet"/>
        <w:spacing w:line="240" w:lineRule="auto"/>
        <w:ind w:left="720"/>
      </w:pPr>
      <w:r>
        <w:rPr>
          <w:lang w:val="en_US" w:bidi="en_US"/>
        </w:rPr>
      </w:r>
      <w:r>
        <w:rPr>
          <w:lang w:val="en_US" w:bidi="en_US"/>
        </w:rPr>
        <w:t>and it came out of the man without harming him.</w:t>
      </w:r>
    </w:p>
    <w:p>
      <w:pPr>
        <w:pStyle w:val="ListBullet"/>
        <w:spacing w:line="240" w:lineRule="auto"/>
        <w:ind w:left="720"/>
      </w:pPr>
      <w:r>
        <w:rPr>
          <w:lang w:val="en_US" w:bidi="en_US"/>
        </w:rPr>
      </w:r>
      <w:r>
        <w:rPr>
          <w:lang w:val="en_US" w:bidi="en_US"/>
        </w:rPr>
        <w:t>and then left the man without hurting him. (NCV)</w:t>
      </w:r>
    </w:p>
    <w:p>
      <w:pPr>
        <w:pStyle w:val="ListBullet"/>
        <w:spacing w:line="240" w:lineRule="auto"/>
        <w:ind w:left="720"/>
      </w:pPr>
      <w:r>
        <w:rPr>
          <w:lang w:val="en_US" w:bidi="en_US"/>
        </w:rPr>
      </w:r>
      <w:r>
        <w:rPr>
          <w:lang w:val="en_US" w:bidi="en_US"/>
        </w:rPr>
        <w:t>But</w:t>
      </w:r>
      <w:r>
        <w:rPr>
          <w:lang w:val="en_US" w:bidi="en_US"/>
        </w:rPr>
        <w:t xml:space="preserve"> the demon left and was not </w:t>
      </w:r>
      <w:r>
        <w:rPr>
          <w:lang w:val="en_US" w:bidi="en_US"/>
        </w:rPr>
        <w:t>able to</w:t>
      </w:r>
      <w:r>
        <w:rPr>
          <w:lang w:val="en_US" w:bidi="en_US"/>
        </w:rPr>
        <w:t xml:space="preserve"> harm/injure the man.</w:t>
      </w:r>
    </w:p>
    <w:p>
      <w:pPr/>
      <w:r>
        <w:rPr>
          <w:lang w:val="en_US" w:bidi="en_US"/>
        </w:rPr>
      </w:r>
      <w:r>
        <w:rPr>
          <w:b/>
          <w:lang w:val="en_US" w:bidi="en_US"/>
        </w:rPr>
        <w:t>came out:</w:t>
      </w:r>
      <w:r>
        <w:rPr>
          <w:lang w:val="en_US" w:bidi="en_US"/>
        </w:rPr>
        <w:t xml:space="preserve"> The Greek verb that the BSB translates as </w:t>
      </w:r>
      <w:r>
        <w:rPr>
          <w:i/>
          <w:lang w:val="en_US" w:bidi="en_US"/>
        </w:rPr>
        <w:t>came out</w:t>
      </w:r>
      <w:r>
        <w:rPr>
          <w:lang w:val="en_US" w:bidi="en_US"/>
        </w:rPr>
        <w:t xml:space="preserve"> is the same verb as in 4:35a. It means that the demon left the man. In some languages, this may need to be explicit. For example:</w:t>
      </w:r>
    </w:p>
    <w:p>
      <w:pPr/>
      <w:r>
        <w:rPr>
          <w:lang w:val="en_US" w:bidi="en_US"/>
        </w:rPr>
      </w:r>
      <w:r>
        <w:rPr>
          <w:lang w:val="en_US" w:bidi="en_US"/>
        </w:rPr>
        <w:t>left the man (NCV)</w:t>
      </w:r>
    </w:p>
    <w:p>
      <w:pPr/>
      <w:r>
        <w:rPr>
          <w:lang w:val="en_US" w:bidi="en_US"/>
        </w:rPr>
      </w:r>
      <w:r>
        <w:rPr>
          <w:lang w:val="en_US" w:bidi="en_US"/>
        </w:rPr>
        <w:t>came out of him (NASB)</w:t>
      </w:r>
    </w:p>
    <w:p>
      <w:pPr/>
      <w:r>
        <w:rPr>
          <w:lang w:val="en_US" w:bidi="en_US"/>
        </w:rPr>
      </w:r>
      <w:r>
        <w:rPr>
          <w:b/>
          <w:lang w:val="en_US" w:bidi="en_US"/>
        </w:rPr>
        <w:t>without harming him:</w:t>
      </w:r>
      <w:r>
        <w:rPr>
          <w:lang w:val="en_US" w:bidi="en_US"/>
        </w:rPr>
        <w:t xml:space="preserve"> The phrase </w:t>
      </w:r>
      <w:r>
        <w:rPr>
          <w:i/>
          <w:lang w:val="en_US" w:bidi="en_US"/>
        </w:rPr>
        <w:t>without harming him</w:t>
      </w:r>
      <w:r>
        <w:rPr>
          <w:lang w:val="en_US" w:bidi="en_US"/>
        </w:rPr>
        <w:t xml:space="preserve"> means that the demon did not hurt the man. The demon probably tried to hurt the man when he threw him to the ground. But because Jesus had ordered the demon to leave, he left the man without harming him.</w:t>
      </w:r>
    </w:p>
    <w:p>
      <w:pPr/>
      <w:r>
        <w:rPr>
          <w:lang w:val="en_US" w:bidi="en_US"/>
        </w:rPr>
      </w:r>
      <w:r>
        <w:rPr>
          <w:lang w:val="en_US" w:bidi="en_US"/>
        </w:rPr>
        <w:t>Avoid translating this in a way that might suggest that the demon was being kind to the man. It may be necessary to translate this as:</w:t>
      </w:r>
    </w:p>
    <w:p>
      <w:pPr/>
      <w:r>
        <w:rPr>
          <w:lang w:val="en_US" w:bidi="en_US"/>
        </w:rPr>
      </w:r>
      <w:r>
        <w:rPr>
          <w:lang w:val="en_US" w:bidi="en_US"/>
        </w:rPr>
        <w:t xml:space="preserve">The demon was not </w:t>
      </w:r>
      <w:r>
        <w:rPr>
          <w:lang w:val="en_US" w:bidi="en_US"/>
        </w:rPr>
        <w:t>able to</w:t>
      </w:r>
      <w:r>
        <w:rPr>
          <w:lang w:val="en_US" w:bidi="en_US"/>
        </w:rPr>
        <w:t xml:space="preserve"> hurt/injure the man.</w:t>
      </w:r>
      <w:r>
        <w:rPr>
          <w:lang w:val="en_US" w:bidi="en_US"/>
        </w:rPr>
      </w:r>
      <w:r>
        <w:rPr>
          <w:lang w:val="en_US" w:bidi="en_US"/>
        </w:rPr>
      </w:r>
    </w:p>
    <w:p>
      <w:pPr/>
      <w:r>
        <w:rPr>
          <w:lang w:val="en_US" w:bidi="en_US"/>
        </w:rPr>
      </w:r>
    </w:p>
    <w:p>
      <w:pPr>
        <w:pStyle w:val="Heading2"/>
      </w:pPr>
      <w:r>
        <w:rPr>
          <w:lang w:val="en_US" w:bidi="en_US"/>
        </w:rPr>
        <w:t>Luke 4:36</w:t>
      </w:r>
      <w:r>
        <w:rPr>
          <w:lang w:val="en_US" w:bidi="en_US"/>
        </w:rPr>
      </w:r>
    </w:p>
    <w:p>
      <w:pPr>
        <w:pStyle w:val="Heading4"/>
      </w:pPr>
      <w:r>
        <w:rPr>
          <w:lang w:val="en_US" w:bidi="en_US"/>
        </w:rPr>
        <w:t>Section 4:31–37: Jesus cast out an evil spirit</w:t>
      </w:r>
    </w:p>
    <w:p>
      <w:pPr/>
      <w:r>
        <w:rPr>
          <w:lang w:val="en_US" w:bidi="en_US"/>
        </w:rPr>
      </w:r>
      <w:r>
        <w:rPr>
          <w:lang w:val="en_US" w:bidi="en_US"/>
        </w:rPr>
        <w:t>In Nazareth, people did not believe that Jesus was sent by God. In this section, Jesus went back to Capernaum (4:23d). Apparently, the people in Capernaum accepted him. There he commanded a demon to come out of a man. The people were amazed at both the authority and the power with which Jesus spoke.</w:t>
      </w:r>
    </w:p>
    <w:p>
      <w:pPr/>
      <w:r>
        <w:rPr>
          <w:lang w:val="en_US" w:bidi="en_US"/>
        </w:rPr>
      </w:r>
      <w:r>
        <w:rPr>
          <w:lang w:val="en_US" w:bidi="en_US"/>
        </w:rPr>
        <w:t>Some other possible headings for this section are:</w:t>
      </w:r>
    </w:p>
    <w:p>
      <w:pPr/>
      <w:r>
        <w:rPr>
          <w:lang w:val="en_US" w:bidi="en_US"/>
        </w:rPr>
      </w:r>
      <w:r>
        <w:rPr>
          <w:lang w:val="en_US" w:bidi="en_US"/>
        </w:rPr>
        <w:t>Jesus Forces an Evil Spirit out of a Man (GW)</w:t>
      </w:r>
    </w:p>
    <w:p>
      <w:pPr/>
      <w:r>
        <w:rPr>
          <w:lang w:val="en_US" w:bidi="en_US"/>
        </w:rPr>
      </w:r>
      <w:r>
        <w:rPr>
          <w:lang w:val="en_US" w:bidi="en_US"/>
        </w:rPr>
        <w:t>Jesus exorcises an evil spirit</w:t>
      </w:r>
    </w:p>
    <w:p>
      <w:pPr/>
      <w:r>
        <w:rPr>
          <w:lang w:val="en_US" w:bidi="en_US"/>
        </w:rPr>
      </w:r>
      <w:r>
        <w:rPr>
          <w:lang w:val="en_US" w:bidi="en_US"/>
        </w:rPr>
        <w:t>There is a parallel passage for this section in Mark 1:21–28.</w:t>
      </w:r>
    </w:p>
    <w:p>
      <w:pPr>
        <w:pStyle w:val="Heading5"/>
      </w:pPr>
      <w:r>
        <w:rPr>
          <w:lang w:val="en_US" w:bidi="en_US"/>
        </w:rPr>
        <w:t>4:36a</w:t>
      </w:r>
    </w:p>
    <w:p>
      <w:pPr/>
      <w:r>
        <w:rPr>
          <w:lang w:val="en_US" w:bidi="en_US"/>
        </w:rPr>
      </w:r>
      <w:r>
        <w:rPr>
          <w:b/>
          <w:lang w:val="en_US" w:bidi="en_US"/>
        </w:rPr>
        <w:t>All the people were overcome with amazement</w:t>
      </w:r>
    </w:p>
    <w:p>
      <w:pPr>
        <w:pStyle w:val="ListBullet"/>
        <w:spacing w:line="240" w:lineRule="auto"/>
        <w:ind w:left="720"/>
      </w:pPr>
      <w:r>
        <w:rPr>
          <w:lang w:val="en_US" w:bidi="en_US"/>
        </w:rPr>
      </w:r>
      <w:r>
        <w:rPr>
          <w:lang w:val="en_US" w:bidi="en_US"/>
        </w:rPr>
        <w:t xml:space="preserve">All the people </w:t>
      </w:r>
      <w:r>
        <w:rPr>
          <w:lang w:val="en_US" w:bidi="en_US"/>
        </w:rPr>
        <w:t>there</w:t>
      </w:r>
      <w:r>
        <w:rPr>
          <w:lang w:val="en_US" w:bidi="en_US"/>
        </w:rPr>
        <w:t xml:space="preserve"> were amazed/astonished,</w:t>
      </w:r>
    </w:p>
    <w:p>
      <w:pPr>
        <w:pStyle w:val="ListBullet"/>
        <w:spacing w:line="240" w:lineRule="auto"/>
        <w:ind w:left="720"/>
      </w:pPr>
      <w:r>
        <w:rPr>
          <w:lang w:val="en_US" w:bidi="en_US"/>
        </w:rPr>
      </w:r>
      <w:r>
        <w:rPr>
          <w:lang w:val="en_US" w:bidi="en_US"/>
        </w:rPr>
        <w:t>This miracle</w:t>
      </w:r>
      <w:r>
        <w:rPr>
          <w:lang w:val="en_US" w:bidi="en_US"/>
        </w:rPr>
        <w:t xml:space="preserve"> amazed all the people.</w:t>
      </w:r>
    </w:p>
    <w:p>
      <w:pPr/>
      <w:r>
        <w:rPr>
          <w:lang w:val="en_US" w:bidi="en_US"/>
        </w:rPr>
      </w:r>
      <w:r>
        <w:rPr>
          <w:b/>
          <w:lang w:val="en_US" w:bidi="en_US"/>
        </w:rPr>
        <w:t>All the people:</w:t>
      </w:r>
      <w:r>
        <w:rPr>
          <w:lang w:val="en_US" w:bidi="en_US"/>
        </w:rPr>
        <w:t xml:space="preserve"> The Greek word that the BSB translates as </w:t>
      </w:r>
      <w:r>
        <w:rPr>
          <w:i/>
          <w:lang w:val="en_US" w:bidi="en_US"/>
        </w:rPr>
        <w:t>All the people</w:t>
      </w:r>
      <w:r>
        <w:rPr>
          <w:lang w:val="en_US" w:bidi="en_US"/>
        </w:rPr>
        <w:t xml:space="preserve"> is literally “all.” It refers to all the people in the synagogue who had just seen this miracle.</w:t>
      </w:r>
    </w:p>
    <w:p>
      <w:pPr/>
      <w:r>
        <w:rPr>
          <w:lang w:val="en_US" w:bidi="en_US"/>
        </w:rPr>
      </w:r>
      <w:r>
        <w:rPr>
          <w:b/>
          <w:lang w:val="en_US" w:bidi="en_US"/>
        </w:rPr>
        <w:t>were overcome with amazement:</w:t>
      </w:r>
      <w:r>
        <w:rPr>
          <w:lang w:val="en_US" w:bidi="en_US"/>
        </w:rPr>
        <w:t xml:space="preserve"> The Greek word that the BSB translates as </w:t>
      </w:r>
      <w:r>
        <w:rPr>
          <w:i/>
          <w:lang w:val="en_US" w:bidi="en_US"/>
        </w:rPr>
        <w:t>with amazement</w:t>
      </w:r>
      <w:r>
        <w:rPr>
          <w:lang w:val="en_US" w:bidi="en_US"/>
        </w:rPr>
        <w:t xml:space="preserve"> also means “astonished.” The people were amazed and astonished that the demon came out of the man without injuring him. They were also amazed that Jesus had the authority and power to command demons and make them leave.</w:t>
      </w:r>
    </w:p>
    <w:p>
      <w:pPr/>
      <w:r>
        <w:rPr>
          <w:lang w:val="en_US" w:bidi="en_US"/>
        </w:rPr>
      </w:r>
      <w:r>
        <w:rPr>
          <w:lang w:val="en_US" w:bidi="en_US"/>
        </w:rPr>
        <w:t>In some languages, it may be necessary to say what had caused the people to be amazed. For example:</w:t>
      </w:r>
    </w:p>
    <w:p>
      <w:pPr/>
      <w:r>
        <w:rPr>
          <w:lang w:val="en_US" w:bidi="en_US"/>
        </w:rPr>
      </w:r>
      <w:r>
        <w:rPr>
          <w:lang w:val="en_US" w:bidi="en_US"/>
        </w:rPr>
        <w:t xml:space="preserve">All the people were amazed </w:t>
      </w:r>
      <w:r>
        <w:rPr>
          <w:lang w:val="en_US" w:bidi="en_US"/>
        </w:rPr>
        <w:t>at this</w:t>
      </w:r>
    </w:p>
    <w:p>
      <w:pPr/>
      <w:r>
        <w:rPr>
          <w:lang w:val="en_US" w:bidi="en_US"/>
        </w:rPr>
      </w:r>
      <w:r>
        <w:rPr>
          <w:lang w:val="en_US" w:bidi="en_US"/>
        </w:rPr>
        <w:t>This miracle</w:t>
      </w:r>
      <w:r>
        <w:rPr>
          <w:lang w:val="en_US" w:bidi="en_US"/>
        </w:rPr>
        <w:t xml:space="preserve"> amazed all the people</w:t>
      </w:r>
    </w:p>
    <w:p>
      <w:pPr>
        <w:pStyle w:val="Heading5"/>
      </w:pPr>
      <w:r>
        <w:rPr>
          <w:lang w:val="en_US" w:bidi="en_US"/>
        </w:rPr>
        <w:t>4:36b</w:t>
      </w:r>
    </w:p>
    <w:p>
      <w:pPr/>
      <w:r>
        <w:rPr>
          <w:lang w:val="en_US" w:bidi="en_US"/>
        </w:rPr>
      </w:r>
      <w:r>
        <w:rPr>
          <w:b/>
          <w:lang w:val="en_US" w:bidi="en_US"/>
        </w:rPr>
        <w:t>and asked one another,</w:t>
      </w:r>
    </w:p>
    <w:p>
      <w:pPr>
        <w:pStyle w:val="ListBullet"/>
        <w:spacing w:line="240" w:lineRule="auto"/>
        <w:ind w:left="720"/>
      </w:pPr>
      <w:r>
        <w:rPr>
          <w:lang w:val="en_US" w:bidi="en_US"/>
        </w:rPr>
      </w:r>
      <w:r>
        <w:rPr>
          <w:lang w:val="en_US" w:bidi="en_US"/>
        </w:rPr>
        <w:t>and they asked each other,</w:t>
      </w:r>
    </w:p>
    <w:p>
      <w:pPr>
        <w:pStyle w:val="ListBullet"/>
        <w:spacing w:line="240" w:lineRule="auto"/>
        <w:ind w:left="720"/>
      </w:pPr>
      <w:r>
        <w:rPr>
          <w:lang w:val="en_US" w:bidi="en_US"/>
        </w:rPr>
      </w:r>
      <w:r>
        <w:rPr>
          <w:lang w:val="en_US" w:bidi="en_US"/>
        </w:rPr>
        <w:t>They talked to each other and said,</w:t>
      </w:r>
    </w:p>
    <w:p>
      <w:pPr/>
      <w:r>
        <w:rPr>
          <w:lang w:val="en_US" w:bidi="en_US"/>
        </w:rPr>
      </w:r>
      <w:r>
        <w:rPr>
          <w:b/>
          <w:lang w:val="en_US" w:bidi="en_US"/>
        </w:rPr>
        <w:t>and asked one another:</w:t>
      </w:r>
      <w:r>
        <w:rPr>
          <w:lang w:val="en_US" w:bidi="en_US"/>
        </w:rPr>
        <w:t xml:space="preserve"> The Greek clause that the BSB translates as </w:t>
      </w:r>
      <w:r>
        <w:rPr>
          <w:i/>
          <w:lang w:val="en_US" w:bidi="en_US"/>
        </w:rPr>
        <w:t>and asked one another</w:t>
      </w:r>
      <w:r>
        <w:rPr>
          <w:lang w:val="en_US" w:bidi="en_US"/>
        </w:rPr>
        <w:t xml:space="preserve"> is literally “and they were talking to one another saying.” Some other ways to translate this are:</w:t>
      </w:r>
    </w:p>
    <w:p>
      <w:pPr/>
      <w:r>
        <w:rPr>
          <w:lang w:val="en_US" w:bidi="en_US"/>
        </w:rPr>
      </w:r>
      <w:r>
        <w:rPr>
          <w:lang w:val="en_US" w:bidi="en_US"/>
        </w:rPr>
        <w:t>They talked to each other and said</w:t>
      </w:r>
    </w:p>
    <w:p>
      <w:pPr/>
      <w:r>
        <w:rPr>
          <w:lang w:val="en_US" w:bidi="en_US"/>
        </w:rPr>
      </w:r>
      <w:r>
        <w:rPr>
          <w:lang w:val="en_US" w:bidi="en_US"/>
        </w:rPr>
        <w:t>They discussed this among themselves and said</w:t>
      </w:r>
    </w:p>
    <w:p>
      <w:pPr/>
      <w:r>
        <w:rPr>
          <w:lang w:val="en_US" w:bidi="en_US"/>
        </w:rPr>
      </w:r>
      <w:r>
        <w:rPr>
          <w:lang w:val="en_US" w:bidi="en_US"/>
        </w:rPr>
        <w:t xml:space="preserve">If you translate 4:36c as a question, it may be necessary to translate the Greek word “saying” as </w:t>
      </w:r>
      <w:r>
        <w:rPr>
          <w:i/>
          <w:lang w:val="en_US" w:bidi="en_US"/>
        </w:rPr>
        <w:t>asked</w:t>
      </w:r>
      <w:r>
        <w:rPr>
          <w:lang w:val="en_US" w:bidi="en_US"/>
        </w:rPr>
        <w:t>, as the BSB does. For example:</w:t>
      </w:r>
    </w:p>
    <w:p>
      <w:pPr/>
      <w:r>
        <w:rPr>
          <w:lang w:val="en_US" w:bidi="en_US"/>
        </w:rPr>
      </w:r>
      <w:r>
        <w:rPr>
          <w:lang w:val="en_US" w:bidi="en_US"/>
        </w:rPr>
        <w:t>and asked one another</w:t>
      </w:r>
    </w:p>
    <w:p>
      <w:pPr>
        <w:pStyle w:val="Heading5"/>
      </w:pPr>
      <w:r>
        <w:rPr>
          <w:lang w:val="en_US" w:bidi="en_US"/>
        </w:rPr>
        <w:t>4:36c</w:t>
      </w:r>
    </w:p>
    <w:p>
      <w:pPr/>
      <w:r>
        <w:rPr>
          <w:lang w:val="en_US" w:bidi="en_US"/>
        </w:rPr>
      </w:r>
      <w:r>
        <w:rPr>
          <w:b/>
          <w:lang w:val="en_US" w:bidi="en_US"/>
        </w:rPr>
        <w:t>“What is this message?</w:t>
      </w:r>
    </w:p>
    <w:p>
      <w:pPr>
        <w:pStyle w:val="ListBullet"/>
        <w:spacing w:line="240" w:lineRule="auto"/>
        <w:ind w:left="720"/>
      </w:pPr>
      <w:r>
        <w:rPr>
          <w:lang w:val="en_US" w:bidi="en_US"/>
        </w:rPr>
      </w:r>
      <w:r>
        <w:rPr>
          <w:lang w:val="en_US" w:bidi="en_US"/>
        </w:rPr>
        <w:t>“What are these words?</w:t>
      </w:r>
    </w:p>
    <w:p>
      <w:pPr>
        <w:pStyle w:val="ListBullet"/>
        <w:spacing w:line="240" w:lineRule="auto"/>
        <w:ind w:left="720"/>
      </w:pPr>
      <w:r>
        <w:rPr>
          <w:lang w:val="en_US" w:bidi="en_US"/>
        </w:rPr>
      </w:r>
      <w:r>
        <w:rPr>
          <w:lang w:val="en_US" w:bidi="en_US"/>
        </w:rPr>
        <w:t>“What’s happening here? (NET)</w:t>
      </w:r>
    </w:p>
    <w:p>
      <w:pPr>
        <w:pStyle w:val="ListBullet"/>
        <w:spacing w:line="240" w:lineRule="auto"/>
        <w:ind w:left="720"/>
      </w:pPr>
      <w:r>
        <w:rPr>
          <w:lang w:val="en_US" w:bidi="en_US"/>
        </w:rPr>
      </w:r>
      <w:r>
        <w:rPr>
          <w:lang w:val="en_US" w:bidi="en_US"/>
        </w:rPr>
        <w:t>“These are surprising words!</w:t>
      </w:r>
    </w:p>
    <w:p>
      <w:pPr/>
      <w:r>
        <w:rPr>
          <w:lang w:val="en_US" w:bidi="en_US"/>
        </w:rPr>
      </w:r>
      <w:r>
        <w:rPr>
          <w:b/>
          <w:lang w:val="en_US" w:bidi="en_US"/>
        </w:rPr>
        <w:t>What is this message?:</w:t>
      </w:r>
      <w:r>
        <w:rPr>
          <w:lang w:val="en_US" w:bidi="en_US"/>
        </w:rPr>
        <w:t xml:space="preserve"> When you translate this clause, there are two issues to consider.</w:t>
      </w:r>
    </w:p>
    <w:p>
      <w:pPr/>
      <w:r>
        <w:rPr>
          <w:lang w:val="en_US" w:bidi="en_US"/>
        </w:rPr>
      </w:r>
      <w:r>
        <w:rPr>
          <w:u w:val="single"/>
          <w:lang w:val="en_US" w:bidi="en_US"/>
        </w:rPr>
        <w:t>Interpretation issue</w:t>
      </w:r>
      <w:r>
        <w:rPr>
          <w:lang w:val="en_US" w:bidi="en_US"/>
        </w:rPr>
        <w:t xml:space="preserve">: The Greek clause that the BSB translates as </w:t>
      </w:r>
      <w:r>
        <w:rPr>
          <w:i/>
          <w:lang w:val="en_US" w:bidi="en_US"/>
        </w:rPr>
        <w:t>What is this message?</w:t>
      </w:r>
      <w:r>
        <w:rPr>
          <w:lang w:val="en_US" w:bidi="en_US"/>
        </w:rPr>
        <w:t xml:space="preserve"> is literally “What is this word?” In this context, there are several ways to interpret the word “word”:</w:t>
      </w:r>
    </w:p>
    <w:p>
      <w:pPr>
        <w:pStyle w:val="ListNumber"/>
        <w:numPr>
          <w:ilvl w:val="0"/>
          <w:numId w:val="105"/>
        </w:numPr>
        <w:spacing w:line="240" w:lineRule="auto"/>
        <w:ind w:left="720"/>
      </w:pPr>
      <w:r>
        <w:rPr>
          <w:lang w:val="en_US" w:bidi="en_US"/>
        </w:rPr>
      </w:r>
      <w:r>
        <w:rPr>
          <w:lang w:val="en_US" w:bidi="en_US"/>
        </w:rPr>
        <w:t xml:space="preserve">It refers to </w:t>
      </w:r>
      <w:r>
        <w:rPr>
          <w:u w:val="single"/>
          <w:lang w:val="en_US" w:bidi="en_US"/>
        </w:rPr>
        <w:t>all Jesus’ words</w:t>
      </w:r>
      <w:r>
        <w:rPr>
          <w:lang w:val="en_US" w:bidi="en_US"/>
        </w:rPr>
        <w:t>. This includes both his command (in 4:35a) and his teaching (in 4:32b). For example:</w:t>
      </w:r>
      <w:r>
        <w:rPr>
          <w:lang w:val="en_US" w:bidi="en_US"/>
        </w:rPr>
        <w:t xml:space="preserve">What is there in this man’s words? (REB) </w:t>
      </w:r>
      <w:r>
        <w:rPr>
          <w:i/>
          <w:lang w:val="en_US" w:bidi="en_US"/>
        </w:rPr>
        <w:t>(NET, NCV, REB)</w:t>
      </w:r>
    </w:p>
    <w:p>
      <w:pPr>
        <w:pStyle w:val="ListNumber"/>
        <w:spacing w:line="240" w:lineRule="auto"/>
        <w:ind w:left="720"/>
      </w:pPr>
      <w:r>
        <w:rPr>
          <w:lang w:val="en_US" w:bidi="en_US"/>
        </w:rPr>
      </w:r>
      <w:r>
        <w:rPr>
          <w:lang w:val="en_US" w:bidi="en_US"/>
        </w:rPr>
        <w:t xml:space="preserve">It refers primarily to Jesus’ </w:t>
      </w:r>
      <w:r>
        <w:rPr>
          <w:u w:val="single"/>
          <w:lang w:val="en_US" w:bidi="en_US"/>
        </w:rPr>
        <w:t>word/command in 4:35a</w:t>
      </w:r>
      <w:r>
        <w:rPr>
          <w:lang w:val="en_US" w:bidi="en_US"/>
        </w:rPr>
        <w:t xml:space="preserve"> that forced the demon to leave the man. For example:</w:t>
      </w:r>
      <w:r>
        <w:rPr>
          <w:lang w:val="en_US" w:bidi="en_US"/>
        </w:rPr>
        <w:t xml:space="preserve">What kind of command is this? (GW) </w:t>
      </w:r>
      <w:r>
        <w:rPr>
          <w:i/>
          <w:lang w:val="en_US" w:bidi="en_US"/>
        </w:rPr>
        <w:t>(GW)</w:t>
      </w:r>
    </w:p>
    <w:p>
      <w:pPr>
        <w:pStyle w:val="ListNumber"/>
        <w:spacing w:line="240" w:lineRule="auto"/>
        <w:ind w:left="720"/>
      </w:pPr>
      <w:r>
        <w:rPr>
          <w:lang w:val="en_US" w:bidi="en_US"/>
        </w:rPr>
      </w:r>
      <w:r>
        <w:rPr>
          <w:lang w:val="en_US" w:bidi="en_US"/>
        </w:rPr>
        <w:t xml:space="preserve">It refers primarily to the </w:t>
      </w:r>
      <w:r>
        <w:rPr>
          <w:u w:val="single"/>
          <w:lang w:val="en_US" w:bidi="en_US"/>
        </w:rPr>
        <w:t>word/teaching in 4:32b</w:t>
      </w:r>
      <w:r>
        <w:rPr>
          <w:lang w:val="en_US" w:bidi="en_US"/>
        </w:rPr>
        <w:t>, or his teaching in general. For example:</w:t>
      </w:r>
      <w:r>
        <w:rPr>
          <w:lang w:val="en_US" w:bidi="en_US"/>
        </w:rPr>
        <w:t xml:space="preserve">What kind of teaching is this? (CEV) </w:t>
      </w:r>
      <w:r>
        <w:rPr>
          <w:i/>
          <w:lang w:val="en_US" w:bidi="en_US"/>
        </w:rPr>
        <w:t>(BSB, CEV, NIV)</w:t>
      </w:r>
    </w:p>
    <w:p>
      <w:pPr/>
      <w:r>
        <w:rPr>
          <w:lang w:val="en_US" w:bidi="en_US"/>
        </w:rPr>
      </w:r>
      <w:r>
        <w:rPr>
          <w:lang w:val="en_US" w:bidi="en_US"/>
        </w:rPr>
        <w:t>It is recommended that you follow interpretation (1).</w:t>
      </w:r>
    </w:p>
    <w:p>
      <w:pPr/>
      <w:r>
        <w:rPr>
          <w:lang w:val="en_US" w:bidi="en_US"/>
        </w:rPr>
      </w:r>
      <w:r>
        <w:rPr>
          <w:u w:val="single"/>
          <w:lang w:val="en_US" w:bidi="en_US"/>
        </w:rPr>
        <w:t>Rhetorical question</w:t>
      </w:r>
      <w:r>
        <w:rPr>
          <w:lang w:val="en_US" w:bidi="en_US"/>
        </w:rPr>
        <w:t>: This clause is a rhetorical question. It expresses surprise. It does not mean that the people did not understand what Jesus said.</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As a rhetorical question. For example:</w:t>
      </w:r>
      <w:r>
        <w:rPr>
          <w:lang w:val="en_US" w:bidi="en_US"/>
        </w:rPr>
        <w:t>What is there in this man’s words? (REB)</w:t>
      </w:r>
      <w:r>
        <w:rPr>
          <w:lang w:val="en_US" w:bidi="en_US"/>
        </w:rPr>
        <w:t>What’s happening here? (NET)</w:t>
      </w:r>
    </w:p>
    <w:p>
      <w:pPr>
        <w:pStyle w:val="ListBullet"/>
        <w:spacing w:line="240" w:lineRule="auto"/>
        <w:ind w:left="720"/>
      </w:pPr>
      <w:r>
        <w:rPr>
          <w:lang w:val="en_US" w:bidi="en_US"/>
        </w:rPr>
      </w:r>
      <w:r>
        <w:rPr>
          <w:lang w:val="en_US" w:bidi="en_US"/>
        </w:rPr>
        <w:t>As a statement. For example:</w:t>
      </w:r>
      <w:r>
        <w:rPr>
          <w:lang w:val="en_US" w:bidi="en_US"/>
        </w:rPr>
        <w:t>These are surprising/amazing words!</w:t>
      </w:r>
    </w:p>
    <w:p>
      <w:pPr/>
      <w:r>
        <w:rPr>
          <w:lang w:val="en_US" w:bidi="en_US"/>
        </w:rPr>
      </w:r>
      <w:r>
        <w:rPr>
          <w:lang w:val="en_US" w:bidi="en_US"/>
        </w:rPr>
        <w:t>Use whichever form is most natural in your language to express surprise of this type.</w:t>
      </w:r>
    </w:p>
    <w:p>
      <w:pPr>
        <w:pStyle w:val="Heading5"/>
      </w:pPr>
      <w:r>
        <w:rPr>
          <w:lang w:val="en_US" w:bidi="en_US"/>
        </w:rPr>
        <w:t>4:36d</w:t>
      </w:r>
    </w:p>
    <w:p>
      <w:pPr/>
      <w:r>
        <w:rPr>
          <w:lang w:val="en_US" w:bidi="en_US"/>
        </w:rPr>
      </w:r>
      <w:r>
        <w:rPr>
          <w:b/>
          <w:lang w:val="en_US" w:bidi="en_US"/>
        </w:rPr>
        <w:t>With authority and power He commands the unclean spirits,</w:t>
      </w:r>
    </w:p>
    <w:p>
      <w:pPr>
        <w:pStyle w:val="ListBullet"/>
        <w:spacing w:line="240" w:lineRule="auto"/>
        <w:ind w:left="720"/>
      </w:pPr>
      <w:r>
        <w:rPr>
          <w:lang w:val="en_US" w:bidi="en_US"/>
        </w:rPr>
      </w:r>
      <w:r>
        <w:rPr>
          <w:lang w:val="en_US" w:bidi="en_US"/>
        </w:rPr>
        <w:t xml:space="preserve">He orders/commands the evil spirits </w:t>
      </w:r>
      <w:r>
        <w:rPr>
          <w:lang w:val="en_US" w:bidi="en_US"/>
        </w:rPr>
        <w:t>to come out</w:t>
      </w:r>
      <w:r>
        <w:rPr>
          <w:lang w:val="en_US" w:bidi="en_US"/>
        </w:rPr>
        <w:t xml:space="preserve"> with authority and power,</w:t>
      </w:r>
    </w:p>
    <w:p>
      <w:pPr>
        <w:pStyle w:val="ListBullet"/>
        <w:spacing w:line="240" w:lineRule="auto"/>
        <w:ind w:left="720"/>
      </w:pPr>
      <w:r>
        <w:rPr>
          <w:lang w:val="en_US" w:bidi="en_US"/>
        </w:rPr>
      </w:r>
      <w:r>
        <w:rPr>
          <w:lang w:val="en_US" w:bidi="en_US"/>
        </w:rPr>
        <w:t xml:space="preserve">He has </w:t>
      </w:r>
      <w:r>
        <w:rPr>
          <w:lang w:val="en_US" w:bidi="en_US"/>
        </w:rPr>
        <w:t>so much</w:t>
      </w:r>
      <w:r>
        <w:rPr>
          <w:lang w:val="en_US" w:bidi="en_US"/>
        </w:rPr>
        <w:t xml:space="preserve"> power and authority that </w:t>
      </w:r>
      <w:r>
        <w:rPr>
          <w:lang w:val="en_US" w:bidi="en_US"/>
        </w:rPr>
        <w:t>when</w:t>
      </w:r>
      <w:r>
        <w:rPr>
          <w:lang w:val="en_US" w:bidi="en_US"/>
        </w:rPr>
        <w:t xml:space="preserve"> he orders evil spirits </w:t>
      </w:r>
      <w:r>
        <w:rPr>
          <w:lang w:val="en_US" w:bidi="en_US"/>
        </w:rPr>
        <w:t>to come out</w:t>
      </w:r>
      <w:r>
        <w:rPr>
          <w:lang w:val="en_US" w:bidi="en_US"/>
        </w:rPr>
        <w:t>,</w:t>
      </w:r>
    </w:p>
    <w:p>
      <w:pPr/>
      <w:r>
        <w:rPr>
          <w:lang w:val="en_US" w:bidi="en_US"/>
        </w:rPr>
      </w:r>
      <w:r>
        <w:rPr>
          <w:lang w:val="en_US" w:bidi="en_US"/>
        </w:rPr>
        <w:t>In Greek, 4:36d begins with a conjunction that Luke used to introduce the reason for the people’s surprised question in 4:36c. Some English versions, such as the RSV, translate this conjunction as “for.” The BSB and many other English versions do not translate this conjunction. You should introduce 4:36d in a way that is natural in your language.</w:t>
      </w:r>
    </w:p>
    <w:p>
      <w:pPr/>
      <w:r>
        <w:rPr>
          <w:lang w:val="en_US" w:bidi="en_US"/>
        </w:rPr>
      </w:r>
      <w:r>
        <w:rPr>
          <w:b/>
          <w:lang w:val="en_US" w:bidi="en_US"/>
        </w:rPr>
        <w:t>With authority and power He commands the unclean spirits:</w:t>
      </w:r>
      <w:r>
        <w:rPr>
          <w:lang w:val="en_US" w:bidi="en_US"/>
        </w:rPr>
        <w:t xml:space="preserve"> The two Greek words that the BSB translates as </w:t>
      </w:r>
      <w:r>
        <w:rPr>
          <w:i/>
          <w:lang w:val="en_US" w:bidi="en_US"/>
        </w:rPr>
        <w:t>authority</w:t>
      </w:r>
      <w:r>
        <w:rPr>
          <w:lang w:val="en_US" w:bidi="en_US"/>
        </w:rPr>
        <w:t xml:space="preserve"> and </w:t>
      </w:r>
      <w:r>
        <w:rPr>
          <w:i/>
          <w:lang w:val="en_US" w:bidi="en_US"/>
        </w:rPr>
        <w:t>power</w:t>
      </w:r>
      <w:r>
        <w:rPr>
          <w:lang w:val="en_US" w:bidi="en_US"/>
        </w:rPr>
        <w:t xml:space="preserve"> are similar in meaning. The word </w:t>
      </w:r>
      <w:r>
        <w:rPr>
          <w:i/>
          <w:lang w:val="en_US" w:bidi="en_US"/>
        </w:rPr>
        <w:t>authority</w:t>
      </w:r>
      <w:r>
        <w:rPr>
          <w:lang w:val="en_US" w:bidi="en_US"/>
        </w:rPr>
        <w:t xml:space="preserve"> refers to the right or privilege to say or do something. The word </w:t>
      </w:r>
      <w:r>
        <w:rPr>
          <w:i/>
          <w:lang w:val="en_US" w:bidi="en_US"/>
        </w:rPr>
        <w:t>power</w:t>
      </w:r>
      <w:r>
        <w:rPr>
          <w:lang w:val="en_US" w:bidi="en_US"/>
        </w:rPr>
        <w:t xml:space="preserve"> refers to being able to do something. The people saw that Jesus had both authority to command the demon and power to force him to obey his command.</w:t>
      </w:r>
    </w:p>
    <w:p>
      <w:pPr/>
      <w:r>
        <w:rPr>
          <w:lang w:val="en_US" w:bidi="en_US"/>
        </w:rPr>
      </w:r>
      <w:r>
        <w:rPr>
          <w:lang w:val="en_US" w:bidi="en_US"/>
        </w:rPr>
        <w:t>Some other ways to translate this are:</w:t>
      </w:r>
    </w:p>
    <w:p>
      <w:pPr/>
      <w:r>
        <w:rPr>
          <w:lang w:val="en_US" w:bidi="en_US"/>
        </w:rPr>
      </w:r>
      <w:r>
        <w:rPr>
          <w:lang w:val="en_US" w:bidi="en_US"/>
        </w:rPr>
        <w:t>He has the right and the strength to command evil spirits to leave</w:t>
      </w:r>
    </w:p>
    <w:p>
      <w:pPr/>
      <w:r>
        <w:rPr>
          <w:lang w:val="en_US" w:bidi="en_US"/>
        </w:rPr>
      </w:r>
      <w:r>
        <w:rPr>
          <w:lang w:val="en_US" w:bidi="en_US"/>
        </w:rPr>
        <w:t>He is stronger than evil spirits, and he has the right to order them to come out</w:t>
      </w:r>
    </w:p>
    <w:p>
      <w:pPr/>
      <w:r>
        <w:rPr>
          <w:lang w:val="en_US" w:bidi="en_US"/>
        </w:rPr>
      </w:r>
      <w:r>
        <w:rPr>
          <w:lang w:val="en_US" w:bidi="en_US"/>
        </w:rPr>
        <w:t xml:space="preserve">If your language would not use nouns like </w:t>
      </w:r>
      <w:r>
        <w:rPr>
          <w:i/>
          <w:lang w:val="en_US" w:bidi="en_US"/>
        </w:rPr>
        <w:t>authority</w:t>
      </w:r>
      <w:r>
        <w:rPr>
          <w:lang w:val="en_US" w:bidi="en_US"/>
        </w:rPr>
        <w:t xml:space="preserve"> and </w:t>
      </w:r>
      <w:r>
        <w:rPr>
          <w:i/>
          <w:lang w:val="en_US" w:bidi="en_US"/>
        </w:rPr>
        <w:t>power</w:t>
      </w:r>
      <w:r>
        <w:rPr>
          <w:lang w:val="en_US" w:bidi="en_US"/>
        </w:rPr>
        <w:t xml:space="preserve"> here, you can say:</w:t>
      </w:r>
    </w:p>
    <w:p>
      <w:pPr/>
      <w:r>
        <w:rPr>
          <w:lang w:val="en_US" w:bidi="en_US"/>
        </w:rPr>
      </w:r>
      <w:r>
        <w:rPr>
          <w:lang w:val="en_US" w:bidi="en_US"/>
        </w:rPr>
        <w:t>The evil spirits must obey him because he is greater and stronger than they are.</w:t>
      </w:r>
    </w:p>
    <w:p>
      <w:pPr/>
      <w:r>
        <w:rPr>
          <w:lang w:val="en_US" w:bidi="en_US"/>
        </w:rPr>
      </w:r>
      <w:r>
        <w:rPr>
          <w:b/>
          <w:lang w:val="en_US" w:bidi="en_US"/>
        </w:rPr>
        <w:t>He commands the unclean spirits:</w:t>
      </w:r>
      <w:r>
        <w:rPr>
          <w:lang w:val="en_US" w:bidi="en_US"/>
        </w:rPr>
        <w:t xml:space="preserve"> The phrase </w:t>
      </w:r>
      <w:r>
        <w:rPr>
          <w:i/>
          <w:lang w:val="en_US" w:bidi="en_US"/>
        </w:rPr>
        <w:t>He commands the unclean spirits</w:t>
      </w:r>
      <w:r>
        <w:rPr>
          <w:lang w:val="en_US" w:bidi="en_US"/>
        </w:rPr>
        <w:t xml:space="preserve"> means that Jesus commanded evil spirits to leave the people whom they were possessing. In some languages, it may be necessary to make this explicit. For example:</w:t>
      </w:r>
    </w:p>
    <w:p>
      <w:pPr/>
      <w:r>
        <w:rPr>
          <w:lang w:val="en_US" w:bidi="en_US"/>
        </w:rPr>
      </w:r>
      <w:r>
        <w:rPr>
          <w:lang w:val="en_US" w:bidi="en_US"/>
        </w:rPr>
        <w:t xml:space="preserve">he orders evil spirits </w:t>
      </w:r>
      <w:r>
        <w:rPr>
          <w:lang w:val="en_US" w:bidi="en_US"/>
        </w:rPr>
        <w:t>to come out of people</w:t>
      </w:r>
    </w:p>
    <w:p>
      <w:pPr/>
      <w:r>
        <w:rPr>
          <w:lang w:val="en_US" w:bidi="en_US"/>
        </w:rPr>
      </w:r>
      <w:r>
        <w:rPr>
          <w:b/>
          <w:lang w:val="en_US" w:bidi="en_US"/>
        </w:rPr>
        <w:t>the unclean spirits:</w:t>
      </w:r>
      <w:r>
        <w:rPr>
          <w:lang w:val="en_US" w:bidi="en_US"/>
        </w:rPr>
        <w:t xml:space="preserve"> The Greek word that the BSB here translates as </w:t>
      </w:r>
      <w:r>
        <w:rPr>
          <w:i/>
          <w:lang w:val="en_US" w:bidi="en_US"/>
        </w:rPr>
        <w:t>unclean spirits</w:t>
      </w:r>
      <w:r>
        <w:rPr>
          <w:lang w:val="en_US" w:bidi="en_US"/>
        </w:rPr>
        <w:t xml:space="preserve"> is sometimes translated as “evil spirits” (GW, GNT, NLT). The terms unclean spirits, evil spirits, and demons all refer to the same beings. You may use the same term here as in 4:33a. See also demon in the Glossary.</w:t>
      </w:r>
    </w:p>
    <w:p>
      <w:pPr>
        <w:pStyle w:val="Heading5"/>
      </w:pPr>
      <w:r>
        <w:rPr>
          <w:lang w:val="en_US" w:bidi="en_US"/>
        </w:rPr>
        <w:t>4:36e</w:t>
      </w:r>
    </w:p>
    <w:p>
      <w:pPr/>
      <w:r>
        <w:rPr>
          <w:lang w:val="en_US" w:bidi="en_US"/>
        </w:rPr>
      </w:r>
      <w:r>
        <w:rPr>
          <w:b/>
          <w:lang w:val="en_US" w:bidi="en_US"/>
        </w:rPr>
        <w:t>and they come out!”</w:t>
      </w:r>
    </w:p>
    <w:p>
      <w:pPr>
        <w:pStyle w:val="ListBullet"/>
        <w:spacing w:line="240" w:lineRule="auto"/>
        <w:ind w:left="720"/>
      </w:pPr>
      <w:r>
        <w:rPr>
          <w:lang w:val="en_US" w:bidi="en_US"/>
        </w:rPr>
      </w:r>
      <w:r>
        <w:rPr>
          <w:lang w:val="en_US" w:bidi="en_US"/>
        </w:rPr>
        <w:t xml:space="preserve">and they come out </w:t>
      </w:r>
      <w:r>
        <w:rPr>
          <w:lang w:val="en_US" w:bidi="en_US"/>
        </w:rPr>
        <w:t>of people</w:t>
      </w:r>
      <w:r>
        <w:rPr>
          <w:lang w:val="en_US" w:bidi="en_US"/>
        </w:rPr>
        <w:t>!”</w:t>
      </w:r>
    </w:p>
    <w:p>
      <w:pPr>
        <w:pStyle w:val="ListBullet"/>
        <w:spacing w:line="240" w:lineRule="auto"/>
        <w:ind w:left="720"/>
      </w:pPr>
      <w:r>
        <w:rPr>
          <w:lang w:val="en_US" w:bidi="en_US"/>
        </w:rPr>
      </w:r>
      <w:r>
        <w:rPr>
          <w:lang w:val="en_US" w:bidi="en_US"/>
        </w:rPr>
        <w:t xml:space="preserve">they </w:t>
      </w:r>
      <w:r>
        <w:rPr>
          <w:lang w:val="en_US" w:bidi="en_US"/>
        </w:rPr>
        <w:t>obey him and</w:t>
      </w:r>
      <w:r>
        <w:rPr>
          <w:lang w:val="en_US" w:bidi="en_US"/>
        </w:rPr>
        <w:t xml:space="preserve"> leave </w:t>
      </w:r>
      <w:r>
        <w:rPr>
          <w:lang w:val="en_US" w:bidi="en_US"/>
        </w:rPr>
        <w:t>people</w:t>
      </w:r>
      <w:r>
        <w:rPr>
          <w:lang w:val="en_US" w:bidi="en_US"/>
        </w:rPr>
        <w:t>!”</w:t>
      </w:r>
    </w:p>
    <w:p>
      <w:pPr/>
      <w:r>
        <w:rPr>
          <w:lang w:val="en_US" w:bidi="en_US"/>
        </w:rPr>
      </w:r>
      <w:r>
        <w:rPr>
          <w:b/>
          <w:lang w:val="en_US" w:bidi="en_US"/>
        </w:rPr>
        <w:t>and they come out:</w:t>
      </w:r>
      <w:r>
        <w:rPr>
          <w:lang w:val="en_US" w:bidi="en_US"/>
        </w:rPr>
        <w:t xml:space="preserve"> The evil spirits had to come out of people when Jesus commanded them. They did not want to, but they had to obey Jesus. In some languages, it may be necessary to make it explicit that the evil spirits came out because Jesus told them to. For example:</w:t>
      </w:r>
    </w:p>
    <w:p>
      <w:pPr/>
      <w:r>
        <w:rPr>
          <w:lang w:val="en_US" w:bidi="en_US"/>
        </w:rPr>
      </w:r>
      <w:r>
        <w:rPr>
          <w:lang w:val="en_US" w:bidi="en_US"/>
        </w:rPr>
        <w:t xml:space="preserve">and they </w:t>
      </w:r>
      <w:r>
        <w:rPr>
          <w:lang w:val="en_US" w:bidi="en_US"/>
        </w:rPr>
        <w:t>obey him and</w:t>
      </w:r>
      <w:r>
        <w:rPr>
          <w:lang w:val="en_US" w:bidi="en_US"/>
        </w:rPr>
        <w:t xml:space="preserve"> come out </w:t>
      </w:r>
      <w:r>
        <w:rPr>
          <w:lang w:val="en_US" w:bidi="en_US"/>
        </w:rPr>
        <w:t>of people</w:t>
      </w:r>
    </w:p>
    <w:p>
      <w:pPr>
        <w:pStyle w:val="Heading6"/>
      </w:pPr>
      <w:r>
        <w:rPr>
          <w:b/>
          <w:lang w:val="en_US" w:bidi="en_US"/>
        </w:rPr>
        <w:t>General Comment on 4:36d–e</w:t>
      </w:r>
    </w:p>
    <w:p>
      <w:pPr/>
      <w:r>
        <w:rPr>
          <w:lang w:val="en_US" w:bidi="en_US"/>
        </w:rPr>
      </w:r>
      <w:r>
        <w:rPr>
          <w:lang w:val="en_US" w:bidi="en_US"/>
        </w:rPr>
        <w:t>Another way to connect the information in 4:36d–e is:</w:t>
      </w:r>
    </w:p>
    <w:p>
      <w:pPr/>
      <w:r>
        <w:rPr>
          <w:lang w:val="en_US" w:bidi="en_US"/>
        </w:rPr>
      </w:r>
      <w:r>
        <w:rPr>
          <w:lang w:val="en_US" w:bidi="en_US"/>
        </w:rPr>
        <w:t>He speaks with such authority and power that even evil spirits obey him and leave when he orders them!</w:t>
      </w:r>
      <w:r>
        <w:rPr>
          <w:lang w:val="en_US" w:bidi="en_US"/>
        </w:rPr>
      </w:r>
      <w:r>
        <w:rPr>
          <w:lang w:val="en_US" w:bidi="en_US"/>
        </w:rPr>
      </w:r>
    </w:p>
    <w:p>
      <w:pPr/>
      <w:r>
        <w:rPr>
          <w:lang w:val="en_US" w:bidi="en_US"/>
        </w:rPr>
      </w:r>
    </w:p>
    <w:p>
      <w:pPr>
        <w:pStyle w:val="Heading2"/>
      </w:pPr>
      <w:r>
        <w:rPr>
          <w:lang w:val="en_US" w:bidi="en_US"/>
        </w:rPr>
        <w:t>Luke 4:37</w:t>
      </w:r>
      <w:r>
        <w:rPr>
          <w:lang w:val="en_US" w:bidi="en_US"/>
        </w:rPr>
      </w:r>
    </w:p>
    <w:p>
      <w:pPr>
        <w:pStyle w:val="Heading4"/>
      </w:pPr>
      <w:r>
        <w:rPr>
          <w:lang w:val="en_US" w:bidi="en_US"/>
        </w:rPr>
        <w:t>Section 4:31–37: Jesus cast out an evil spirit</w:t>
      </w:r>
    </w:p>
    <w:p>
      <w:pPr/>
      <w:r>
        <w:rPr>
          <w:lang w:val="en_US" w:bidi="en_US"/>
        </w:rPr>
      </w:r>
      <w:r>
        <w:rPr>
          <w:lang w:val="en_US" w:bidi="en_US"/>
        </w:rPr>
        <w:t>In Nazareth, people did not believe that Jesus was sent by God. In this section, Jesus went back to Capernaum (4:23d). Apparently, the people in Capernaum accepted him. There he commanded a demon to come out of a man. The people were amazed at both the authority and the power with which Jesus spoke.</w:t>
      </w:r>
    </w:p>
    <w:p>
      <w:pPr/>
      <w:r>
        <w:rPr>
          <w:lang w:val="en_US" w:bidi="en_US"/>
        </w:rPr>
      </w:r>
      <w:r>
        <w:rPr>
          <w:lang w:val="en_US" w:bidi="en_US"/>
        </w:rPr>
        <w:t>Some other possible headings for this section are:</w:t>
      </w:r>
    </w:p>
    <w:p>
      <w:pPr/>
      <w:r>
        <w:rPr>
          <w:lang w:val="en_US" w:bidi="en_US"/>
        </w:rPr>
      </w:r>
      <w:r>
        <w:rPr>
          <w:lang w:val="en_US" w:bidi="en_US"/>
        </w:rPr>
        <w:t>Jesus Forces an Evil Spirit out of a Man (GW)</w:t>
      </w:r>
    </w:p>
    <w:p>
      <w:pPr/>
      <w:r>
        <w:rPr>
          <w:lang w:val="en_US" w:bidi="en_US"/>
        </w:rPr>
      </w:r>
      <w:r>
        <w:rPr>
          <w:lang w:val="en_US" w:bidi="en_US"/>
        </w:rPr>
        <w:t>Jesus exorcises an evil spirit</w:t>
      </w:r>
    </w:p>
    <w:p>
      <w:pPr/>
      <w:r>
        <w:rPr>
          <w:lang w:val="en_US" w:bidi="en_US"/>
        </w:rPr>
      </w:r>
      <w:r>
        <w:rPr>
          <w:lang w:val="en_US" w:bidi="en_US"/>
        </w:rPr>
        <w:t>There is a parallel passage for this section in Mark 1:21–28.</w:t>
      </w:r>
    </w:p>
    <w:p>
      <w:pPr>
        <w:pStyle w:val="Heading5"/>
      </w:pPr>
      <w:r>
        <w:rPr>
          <w:lang w:val="en_US" w:bidi="en_US"/>
        </w:rPr>
        <w:t>4:37</w:t>
      </w:r>
    </w:p>
    <w:p>
      <w:pPr/>
      <w:r>
        <w:rPr>
          <w:lang w:val="en_US" w:bidi="en_US"/>
        </w:rPr>
      </w:r>
      <w:r>
        <w:rPr>
          <w:b/>
          <w:lang w:val="en_US" w:bidi="en_US"/>
        </w:rPr>
        <w:t>And the news about Jesus spread throughout the surrounding region.</w:t>
      </w:r>
    </w:p>
    <w:p>
      <w:pPr>
        <w:pStyle w:val="ListBullet"/>
        <w:spacing w:line="240" w:lineRule="auto"/>
        <w:ind w:left="720"/>
      </w:pPr>
      <w:r>
        <w:rPr>
          <w:lang w:val="en_US" w:bidi="en_US"/>
        </w:rPr>
      </w:r>
      <w:r>
        <w:rPr>
          <w:lang w:val="en_US" w:bidi="en_US"/>
        </w:rPr>
        <w:t>The news about Jesus spread through that whole region.</w:t>
      </w:r>
    </w:p>
    <w:p>
      <w:pPr>
        <w:pStyle w:val="ListBullet"/>
        <w:spacing w:line="240" w:lineRule="auto"/>
        <w:ind w:left="720"/>
      </w:pPr>
      <w:r>
        <w:rPr>
          <w:lang w:val="en_US" w:bidi="en_US"/>
        </w:rPr>
      </w:r>
      <w:r>
        <w:rPr>
          <w:lang w:val="en_US" w:bidi="en_US"/>
        </w:rPr>
        <w:t>Then people spread the news about Jesus throughout that entire area.</w:t>
      </w:r>
    </w:p>
    <w:p>
      <w:pPr>
        <w:pStyle w:val="ListBullet"/>
        <w:spacing w:line="240" w:lineRule="auto"/>
        <w:ind w:left="720"/>
      </w:pPr>
      <w:r>
        <w:rPr>
          <w:lang w:val="en_US" w:bidi="en_US"/>
        </w:rPr>
      </w:r>
      <w:r>
        <w:rPr>
          <w:lang w:val="en_US" w:bidi="en_US"/>
        </w:rPr>
        <w:t xml:space="preserve">So all through the nearby </w:t>
      </w:r>
      <w:r>
        <w:rPr>
          <w:lang w:val="en_US" w:bidi="en_US"/>
        </w:rPr>
        <w:t>villages and towns</w:t>
      </w:r>
      <w:r>
        <w:rPr>
          <w:lang w:val="en_US" w:bidi="en_US"/>
        </w:rPr>
        <w:t xml:space="preserve">, people told others about the things that Jesus </w:t>
      </w:r>
      <w:r>
        <w:rPr>
          <w:lang w:val="en_US" w:bidi="en_US"/>
        </w:rPr>
        <w:t>had done</w:t>
      </w:r>
      <w:r>
        <w:rPr>
          <w:lang w:val="en_US" w:bidi="en_US"/>
        </w:rPr>
        <w:t>.</w:t>
      </w:r>
    </w:p>
    <w:p>
      <w:pPr/>
      <w:r>
        <w:rPr>
          <w:lang w:val="en_US" w:bidi="en_US"/>
        </w:rPr>
      </w:r>
      <w:r>
        <w:rPr>
          <w:b/>
          <w:lang w:val="en_US" w:bidi="en_US"/>
        </w:rPr>
        <w:t>And:</w:t>
      </w:r>
      <w:r>
        <w:rPr>
          <w:lang w:val="en_US" w:bidi="en_US"/>
        </w:rPr>
        <w:t xml:space="preserve"> This verse begins with a Greek conjunction that is often translated as “and.” Since the events in 4:37 happened as a result of the events in 4:31–36, some versions indicate that 4:37 is the result by translating this conjunction as “So.” For example:</w:t>
      </w:r>
    </w:p>
    <w:p>
      <w:pPr/>
      <w:r>
        <w:rPr>
          <w:lang w:val="en_US" w:bidi="en_US"/>
        </w:rPr>
      </w:r>
      <w:r>
        <w:rPr>
          <w:lang w:val="en_US" w:bidi="en_US"/>
        </w:rPr>
        <w:t>So the news about him (NET)</w:t>
      </w:r>
    </w:p>
    <w:p>
      <w:pPr/>
      <w:r>
        <w:rPr>
          <w:lang w:val="en_US" w:bidi="en_US"/>
        </w:rPr>
      </w:r>
      <w:r>
        <w:rPr>
          <w:lang w:val="en_US" w:bidi="en_US"/>
        </w:rPr>
        <w:t>Other versions begin this verse without a conjunction.</w:t>
      </w:r>
    </w:p>
    <w:p>
      <w:pPr/>
      <w:r>
        <w:rPr>
          <w:lang w:val="en_US" w:bidi="en_US"/>
        </w:rPr>
      </w:r>
      <w:r>
        <w:rPr>
          <w:b/>
          <w:lang w:val="en_US" w:bidi="en_US"/>
        </w:rPr>
        <w:t>the news about Jesus spread:</w:t>
      </w:r>
      <w:r>
        <w:rPr>
          <w:lang w:val="en_US" w:bidi="en_US"/>
        </w:rPr>
        <w:t xml:space="preserve"> The phrase </w:t>
      </w:r>
      <w:r>
        <w:rPr>
          <w:i/>
          <w:lang w:val="en_US" w:bidi="en_US"/>
        </w:rPr>
        <w:t>the news about Jesus spread</w:t>
      </w:r>
      <w:r>
        <w:rPr>
          <w:lang w:val="en_US" w:bidi="en_US"/>
        </w:rPr>
        <w:t xml:space="preserve"> means that people told other people what Jesus had said and done. A similar phrase occurs in 4:14b.</w:t>
      </w:r>
    </w:p>
    <w:p>
      <w:pPr/>
      <w:r>
        <w:rPr>
          <w:lang w:val="en_US" w:bidi="en_US"/>
        </w:rPr>
      </w:r>
      <w:r>
        <w:rPr>
          <w:b/>
          <w:lang w:val="en_US" w:bidi="en_US"/>
        </w:rPr>
        <w:t>throughout the surrounding region:</w:t>
      </w:r>
      <w:r>
        <w:rPr>
          <w:lang w:val="en_US" w:bidi="en_US"/>
        </w:rPr>
        <w:t xml:space="preserve"> The Greek phrase that the BSB translates as </w:t>
      </w:r>
      <w:r>
        <w:rPr>
          <w:i/>
          <w:lang w:val="en_US" w:bidi="en_US"/>
        </w:rPr>
        <w:t>throughout the surrounding region</w:t>
      </w:r>
      <w:r>
        <w:rPr>
          <w:lang w:val="en_US" w:bidi="en_US"/>
        </w:rPr>
        <w:t xml:space="preserve"> is literally “into every place of the surrounding region.” This included the towns and the more rural areas.</w:t>
      </w:r>
    </w:p>
    <w:p>
      <w:pPr/>
      <w:r>
        <w:rPr>
          <w:lang w:val="en_US" w:bidi="en_US"/>
        </w:rPr>
      </w:r>
      <w:r>
        <w:rPr>
          <w:lang w:val="en_US" w:bidi="en_US"/>
        </w:rPr>
        <w:t>Some other ways to translate this phrase are:</w:t>
      </w:r>
    </w:p>
    <w:p>
      <w:pPr/>
      <w:r>
        <w:rPr>
          <w:lang w:val="en_US" w:bidi="en_US"/>
        </w:rPr>
      </w:r>
      <w:r>
        <w:rPr>
          <w:lang w:val="en_US" w:bidi="en_US"/>
        </w:rPr>
        <w:t>to every place in the whole area (NCV)</w:t>
      </w:r>
    </w:p>
    <w:p>
      <w:pPr/>
      <w:r>
        <w:rPr>
          <w:lang w:val="en_US" w:bidi="en_US"/>
        </w:rPr>
      </w:r>
      <w:r>
        <w:rPr>
          <w:lang w:val="en_US" w:bidi="en_US"/>
        </w:rPr>
        <w:t>all over that part of the country (CEV)</w:t>
      </w:r>
    </w:p>
    <w:p>
      <w:pPr/>
      <w:r>
        <w:rPr>
          <w:lang w:val="en_US" w:bidi="en_US"/>
        </w:rPr>
      </w:r>
      <w:r>
        <w:rPr>
          <w:lang w:val="en_US" w:bidi="en_US"/>
        </w:rPr>
        <w:t>through every village in the entire region (NLT)</w:t>
      </w:r>
      <w:r>
        <w:rPr>
          <w:lang w:val="en_US" w:bidi="en_US"/>
        </w:rPr>
      </w:r>
      <w:r>
        <w:rPr>
          <w:lang w:val="en_US" w:bidi="en_US"/>
        </w:rPr>
      </w:r>
    </w:p>
    <w:p>
      <w:pPr/>
      <w:r>
        <w:rPr>
          <w:lang w:val="en_US" w:bidi="en_US"/>
        </w:rPr>
      </w:r>
    </w:p>
    <w:p>
      <w:pPr>
        <w:pStyle w:val="Heading2"/>
      </w:pPr>
      <w:r>
        <w:rPr>
          <w:lang w:val="en_US" w:bidi="en_US"/>
        </w:rPr>
        <w:t>Luke 4:38</w:t>
      </w:r>
      <w:r>
        <w:rPr>
          <w:lang w:val="en_US" w:bidi="en_US"/>
        </w:rPr>
      </w:r>
    </w:p>
    <w:p>
      <w:pPr>
        <w:pStyle w:val="Heading4"/>
      </w:pPr>
      <w:r>
        <w:rPr>
          <w:lang w:val="en_US" w:bidi="en_US"/>
        </w:rPr>
        <w:t>Section 4:38–44: Jesus helped many people</w:t>
      </w:r>
    </w:p>
    <w:p>
      <w:pPr/>
      <w:r>
        <w:rPr>
          <w:lang w:val="en_US" w:bidi="en_US"/>
        </w:rPr>
      </w:r>
      <w:r>
        <w:rPr>
          <w:lang w:val="en_US" w:bidi="en_US"/>
        </w:rPr>
        <w:t>Jesus continued healing people, casting out demons, and preaching the good news about the kingdom of God. The people of Capernaum tried to stop him from leaving (4:42), but Jesus continued going from place to place, helping many people.</w:t>
      </w:r>
    </w:p>
    <w:p>
      <w:pPr/>
      <w:r>
        <w:rPr>
          <w:lang w:val="en_US" w:bidi="en_US"/>
        </w:rPr>
      </w:r>
      <w:r>
        <w:rPr>
          <w:lang w:val="en_US" w:bidi="en_US"/>
        </w:rPr>
        <w:t>Some other possible headings for this section are:</w:t>
      </w:r>
    </w:p>
    <w:p>
      <w:pPr/>
      <w:r>
        <w:rPr>
          <w:lang w:val="en_US" w:bidi="en_US"/>
        </w:rPr>
      </w:r>
      <w:r>
        <w:rPr>
          <w:lang w:val="en_US" w:bidi="en_US"/>
        </w:rPr>
        <w:t>Jesus Heals Many People</w:t>
      </w:r>
    </w:p>
    <w:p>
      <w:pPr/>
      <w:r>
        <w:rPr>
          <w:lang w:val="en_US" w:bidi="en_US"/>
        </w:rPr>
      </w:r>
      <w:r>
        <w:rPr>
          <w:lang w:val="en_US" w:bidi="en_US"/>
        </w:rPr>
        <w:t>Jesus Cures Simon’s Mother-in-Law and Many Others (GW)</w:t>
      </w:r>
    </w:p>
    <w:p>
      <w:pPr/>
      <w:r>
        <w:rPr>
          <w:lang w:val="en_US" w:bidi="en_US"/>
        </w:rPr>
      </w:r>
      <w:r>
        <w:rPr>
          <w:lang w:val="en_US" w:bidi="en_US"/>
        </w:rPr>
        <w:t>There are parallel passages for this section in Matthew 8:14–17 and Mark 1:29–34.</w:t>
      </w:r>
    </w:p>
    <w:p>
      <w:pPr>
        <w:pStyle w:val="Heading4"/>
      </w:pPr>
      <w:r>
        <w:rPr>
          <w:lang w:val="en_US" w:bidi="en_US"/>
        </w:rPr>
        <w:t>Paragraph 4:38–39</w:t>
      </w:r>
    </w:p>
    <w:p>
      <w:pPr/>
      <w:r>
        <w:rPr>
          <w:lang w:val="en_US" w:bidi="en_US"/>
        </w:rPr>
      </w:r>
      <w:r>
        <w:rPr>
          <w:lang w:val="en_US" w:bidi="en_US"/>
        </w:rPr>
        <w:t>After Jesus commanded the demon to come out of the man, he left the synagogue and went to Simon’s house. There he healed Simon’s mother-in-law who was sick with a high fever. The events in this paragraph occurred after the events in the previous section. For that reason, many English translations translate the conjunction at the start of 4:38 with a time word. In some languages, it may also be natural to begin this paragraph with a time word or phrase. For example:</w:t>
      </w:r>
    </w:p>
    <w:p>
      <w:pPr/>
      <w:r>
        <w:rPr>
          <w:lang w:val="en_US" w:bidi="en_US"/>
        </w:rPr>
      </w:r>
      <w:r>
        <w:rPr>
          <w:lang w:val="en_US" w:bidi="en_US"/>
        </w:rPr>
        <w:t>Then (NASB)</w:t>
      </w:r>
    </w:p>
    <w:p>
      <w:pPr/>
      <w:r>
        <w:rPr>
          <w:lang w:val="en_US" w:bidi="en_US"/>
        </w:rPr>
      </w:r>
      <w:r>
        <w:rPr>
          <w:lang w:val="en_US" w:bidi="en_US"/>
        </w:rPr>
        <w:t>After that</w:t>
      </w:r>
    </w:p>
    <w:p>
      <w:pPr>
        <w:pStyle w:val="Heading5"/>
      </w:pPr>
      <w:r>
        <w:rPr>
          <w:lang w:val="en_US" w:bidi="en_US"/>
        </w:rPr>
        <w:t>4:38a</w:t>
      </w:r>
    </w:p>
    <w:p>
      <w:pPr/>
      <w:r>
        <w:rPr>
          <w:lang w:val="en_US" w:bidi="en_US"/>
        </w:rPr>
      </w:r>
      <w:r>
        <w:rPr>
          <w:b/>
          <w:lang w:val="en_US" w:bidi="en_US"/>
        </w:rPr>
        <w:t>After Jesus had left the synagogue, He went to the home of Simon,</w:t>
      </w:r>
    </w:p>
    <w:p>
      <w:pPr>
        <w:pStyle w:val="ListBullet"/>
        <w:spacing w:line="240" w:lineRule="auto"/>
        <w:ind w:left="720"/>
      </w:pPr>
      <w:r>
        <w:rPr>
          <w:lang w:val="en_US" w:bidi="en_US"/>
        </w:rPr>
      </w:r>
      <w:r>
        <w:rPr>
          <w:lang w:val="en_US" w:bidi="en_US"/>
        </w:rPr>
        <w:t>¶ Then Jesus left the synagogue and went to Simon’s house.</w:t>
      </w:r>
    </w:p>
    <w:p>
      <w:pPr>
        <w:pStyle w:val="ListBullet"/>
        <w:spacing w:line="240" w:lineRule="auto"/>
        <w:ind w:left="720"/>
      </w:pPr>
      <w:r>
        <w:rPr>
          <w:lang w:val="en_US" w:bidi="en_US"/>
        </w:rPr>
      </w:r>
      <w:r>
        <w:rPr>
          <w:lang w:val="en_US" w:bidi="en_US"/>
        </w:rPr>
        <w:t>¶ After Jesus left the meeting place, he went to the house belonging to Simon.</w:t>
      </w:r>
    </w:p>
    <w:p>
      <w:pPr/>
      <w:r>
        <w:rPr>
          <w:lang w:val="en_US" w:bidi="en_US"/>
        </w:rPr>
      </w:r>
      <w:r>
        <w:rPr>
          <w:b/>
          <w:lang w:val="en_US" w:bidi="en_US"/>
        </w:rPr>
        <w:t>After Jesus had left the synagogue:</w:t>
      </w:r>
      <w:r>
        <w:rPr>
          <w:lang w:val="en_US" w:bidi="en_US"/>
        </w:rPr>
        <w:t xml:space="preserve"> The </w:t>
      </w:r>
      <w:r>
        <w:rPr>
          <w:i/>
          <w:lang w:val="en_US" w:bidi="en_US"/>
        </w:rPr>
        <w:t>synagogue</w:t>
      </w:r>
      <w:r>
        <w:rPr>
          <w:lang w:val="en_US" w:bidi="en_US"/>
        </w:rPr>
        <w:t xml:space="preserve"> refers here to the building in Capernaum where Jews gathered to pray, read Scripture, teach their beliefs, and worship God. This is the synagogue where Jesus had caused the demon to come out of the man (4:33a).</w:t>
      </w:r>
    </w:p>
    <w:p>
      <w:pPr/>
      <w:r>
        <w:rPr>
          <w:lang w:val="en_US" w:bidi="en_US"/>
        </w:rPr>
      </w:r>
      <w:r>
        <w:rPr>
          <w:lang w:val="en_US" w:bidi="en_US"/>
        </w:rPr>
        <w:t>For more information, see the note on “synagogues” at 4:15a and synagogue in the Glossary.</w:t>
      </w:r>
    </w:p>
    <w:p>
      <w:pPr/>
      <w:r>
        <w:rPr>
          <w:lang w:val="en_US" w:bidi="en_US"/>
        </w:rPr>
      </w:r>
      <w:r>
        <w:rPr>
          <w:b/>
          <w:lang w:val="en_US" w:bidi="en_US"/>
        </w:rPr>
        <w:t>the home of Simon:</w:t>
      </w:r>
      <w:r>
        <w:rPr>
          <w:lang w:val="en_US" w:bidi="en_US"/>
        </w:rPr>
        <w:t xml:space="preserve"> The phrase </w:t>
      </w:r>
      <w:r>
        <w:rPr>
          <w:i/>
          <w:lang w:val="en_US" w:bidi="en_US"/>
        </w:rPr>
        <w:t>the home of Simon</w:t>
      </w:r>
      <w:r>
        <w:rPr>
          <w:lang w:val="en_US" w:bidi="en_US"/>
        </w:rPr>
        <w:t xml:space="preserve"> means “the house where Simon’s family lived.” Simon was married, and he probably owned this house himself. It appears that his mother-in-law lived in his home.</w:t>
      </w:r>
    </w:p>
    <w:p>
      <w:pPr/>
      <w:r>
        <w:rPr>
          <w:lang w:val="en_US" w:bidi="en_US"/>
        </w:rPr>
      </w:r>
      <w:r>
        <w:rPr>
          <w:b/>
          <w:lang w:val="en_US" w:bidi="en_US"/>
        </w:rPr>
        <w:t>Simon:</w:t>
      </w:r>
      <w:r>
        <w:rPr>
          <w:lang w:val="en_US" w:bidi="en_US"/>
        </w:rPr>
        <w:t xml:space="preserve"> This is the first time that </w:t>
      </w:r>
      <w:r>
        <w:rPr>
          <w:i/>
          <w:lang w:val="en_US" w:bidi="en_US"/>
        </w:rPr>
        <w:t>Simon</w:t>
      </w:r>
      <w:r>
        <w:rPr>
          <w:lang w:val="en_US" w:bidi="en_US"/>
        </w:rPr>
        <w:t xml:space="preserve"> is mentioned in the book of Luke. Jesus later gave him an additional name, “Peter” (5:8, 6:14). But at this time, people just referred to him as </w:t>
      </w:r>
      <w:r>
        <w:rPr>
          <w:i/>
          <w:lang w:val="en_US" w:bidi="en_US"/>
        </w:rPr>
        <w:t>Simon</w:t>
      </w:r>
      <w:r>
        <w:rPr>
          <w:lang w:val="en_US" w:bidi="en_US"/>
        </w:rPr>
        <w:t>. You may wish to include a footnote here, saying something like:</w:t>
      </w:r>
    </w:p>
    <w:p>
      <w:pPr/>
      <w:r>
        <w:rPr>
          <w:lang w:val="en_US" w:bidi="en_US"/>
        </w:rPr>
      </w:r>
      <w:r>
        <w:rPr>
          <w:lang w:val="en_US" w:bidi="en_US"/>
        </w:rPr>
        <w:t>He was also called Peter.</w:t>
      </w:r>
    </w:p>
    <w:p>
      <w:pPr/>
      <w:r>
        <w:rPr>
          <w:lang w:val="en_US" w:bidi="en_US"/>
        </w:rPr>
      </w:r>
      <w:r>
        <w:rPr>
          <w:lang w:val="en_US" w:bidi="en_US"/>
        </w:rPr>
        <w:t>Jesus later gives Simon another name, Peter.</w:t>
      </w:r>
    </w:p>
    <w:p>
      <w:pPr>
        <w:pStyle w:val="Heading5"/>
      </w:pPr>
      <w:r>
        <w:rPr>
          <w:lang w:val="en_US" w:bidi="en_US"/>
        </w:rPr>
        <w:t>4:38b</w:t>
      </w:r>
    </w:p>
    <w:p>
      <w:pPr/>
      <w:r>
        <w:rPr>
          <w:lang w:val="en_US" w:bidi="en_US"/>
        </w:rPr>
      </w:r>
      <w:r>
        <w:rPr>
          <w:b/>
          <w:lang w:val="en_US" w:bidi="en_US"/>
        </w:rPr>
        <w:t>whose mother-in-law was suffering from a high fever.</w:t>
      </w:r>
    </w:p>
    <w:p>
      <w:pPr>
        <w:pStyle w:val="ListBullet"/>
        <w:spacing w:line="240" w:lineRule="auto"/>
        <w:ind w:left="720"/>
      </w:pPr>
      <w:r>
        <w:rPr>
          <w:lang w:val="en_US" w:bidi="en_US"/>
        </w:rPr>
      </w:r>
      <w:r>
        <w:rPr>
          <w:lang w:val="en_US" w:bidi="en_US"/>
        </w:rPr>
        <w:t xml:space="preserve">The mother of Simon’s wife </w:t>
      </w:r>
      <w:r>
        <w:rPr>
          <w:lang w:val="en_US" w:bidi="en_US"/>
        </w:rPr>
        <w:t>was there</w:t>
      </w:r>
      <w:r>
        <w:rPr>
          <w:lang w:val="en_US" w:bidi="en_US"/>
        </w:rPr>
        <w:t>. She was very sick with a high fever,</w:t>
      </w:r>
    </w:p>
    <w:p>
      <w:pPr>
        <w:pStyle w:val="ListBullet"/>
        <w:spacing w:line="240" w:lineRule="auto"/>
        <w:ind w:left="720"/>
      </w:pPr>
      <w:r>
        <w:rPr>
          <w:lang w:val="en_US" w:bidi="en_US"/>
        </w:rPr>
      </w:r>
      <w:r>
        <w:rPr>
          <w:lang w:val="en_US" w:bidi="en_US"/>
        </w:rPr>
        <w:t>When he arrived, he saw</w:t>
      </w:r>
      <w:r>
        <w:rPr>
          <w:lang w:val="en_US" w:bidi="en_US"/>
        </w:rPr>
        <w:t xml:space="preserve"> Simon’s mother-in-law </w:t>
      </w:r>
      <w:r>
        <w:rPr>
          <w:lang w:val="en_US" w:bidi="en_US"/>
        </w:rPr>
        <w:t>there</w:t>
      </w:r>
      <w:r>
        <w:rPr>
          <w:lang w:val="en_US" w:bidi="en_US"/>
        </w:rPr>
        <w:t>, sick with a high fever.</w:t>
      </w:r>
    </w:p>
    <w:p>
      <w:pPr/>
      <w:r>
        <w:rPr>
          <w:lang w:val="en_US" w:bidi="en_US"/>
        </w:rPr>
      </w:r>
      <w:r>
        <w:rPr>
          <w:b/>
          <w:lang w:val="en_US" w:bidi="en_US"/>
        </w:rPr>
        <w:t>whose mother-in-law:</w:t>
      </w:r>
      <w:r>
        <w:rPr>
          <w:lang w:val="en_US" w:bidi="en_US"/>
        </w:rPr>
        <w:t xml:space="preserve"> Another way to say </w:t>
      </w:r>
      <w:r>
        <w:rPr>
          <w:i/>
          <w:lang w:val="en_US" w:bidi="en_US"/>
        </w:rPr>
        <w:t>whose mother-in-law</w:t>
      </w:r>
      <w:r>
        <w:rPr>
          <w:lang w:val="en_US" w:bidi="en_US"/>
        </w:rPr>
        <w:t xml:space="preserve"> is “the mother of Simon’s wife.”</w:t>
      </w:r>
    </w:p>
    <w:p>
      <w:pPr/>
      <w:r>
        <w:rPr>
          <w:lang w:val="en_US" w:bidi="en_US"/>
        </w:rPr>
      </w:r>
      <w:r>
        <w:rPr>
          <w:lang w:val="en_US" w:bidi="en_US"/>
        </w:rPr>
        <w:t>In some cultures, it would be unusual for Simon’s mother-in-law to be living (or staying) in the same house as Simon. If your readers might think that Jesus had gone to a different house to see her, you may need to say explicitly that she was in Simon’s house. For example:</w:t>
      </w:r>
    </w:p>
    <w:p>
      <w:pPr/>
      <w:r>
        <w:rPr>
          <w:lang w:val="en_US" w:bidi="en_US"/>
        </w:rPr>
      </w:r>
      <w:r>
        <w:rPr>
          <w:lang w:val="en_US" w:bidi="en_US"/>
        </w:rPr>
        <w:t>There he found</w:t>
      </w:r>
      <w:r>
        <w:rPr>
          <w:lang w:val="en_US" w:bidi="en_US"/>
        </w:rPr>
        <w:t xml:space="preserve"> Simon’s mother-in-law, sick with a high fever.</w:t>
      </w:r>
    </w:p>
    <w:p>
      <w:pPr/>
      <w:r>
        <w:rPr>
          <w:lang w:val="en_US" w:bidi="en_US"/>
        </w:rPr>
      </w:r>
      <w:r>
        <w:rPr>
          <w:lang w:val="en_US" w:bidi="en_US"/>
        </w:rPr>
        <w:t xml:space="preserve">Simon’s mother-in-law </w:t>
      </w:r>
      <w:r>
        <w:rPr>
          <w:lang w:val="en_US" w:bidi="en_US"/>
        </w:rPr>
        <w:t>was in his house</w:t>
      </w:r>
      <w:r>
        <w:rPr>
          <w:lang w:val="en_US" w:bidi="en_US"/>
        </w:rPr>
        <w:t xml:space="preserve">. </w:t>
      </w:r>
      <w:r>
        <w:rPr>
          <w:lang w:val="en_US" w:bidi="en_US"/>
        </w:rPr>
        <w:t>She</w:t>
      </w:r>
      <w:r>
        <w:rPr>
          <w:lang w:val="en_US" w:bidi="en_US"/>
        </w:rPr>
        <w:t xml:space="preserve"> was suffering from a high fever.</w:t>
      </w:r>
    </w:p>
    <w:p>
      <w:pPr/>
      <w:r>
        <w:rPr>
          <w:lang w:val="en_US" w:bidi="en_US"/>
        </w:rPr>
      </w:r>
      <w:r>
        <w:rPr>
          <w:b/>
          <w:lang w:val="en_US" w:bidi="en_US"/>
        </w:rPr>
        <w:t>was suffering from a high fever:</w:t>
      </w:r>
      <w:r>
        <w:rPr>
          <w:lang w:val="en_US" w:bidi="en_US"/>
        </w:rPr>
        <w:t xml:space="preserve"> The phrase </w:t>
      </w:r>
      <w:r>
        <w:rPr>
          <w:i/>
          <w:lang w:val="en_US" w:bidi="en_US"/>
        </w:rPr>
        <w:t>suffering from a high fever</w:t>
      </w:r>
      <w:r>
        <w:rPr>
          <w:lang w:val="en_US" w:bidi="en_US"/>
        </w:rPr>
        <w:t xml:space="preserve"> means that Simon’s mother-in-law was sick with a high fever. Her body was very hot from this sickness. For example:</w:t>
      </w:r>
    </w:p>
    <w:p>
      <w:pPr/>
      <w:r>
        <w:rPr>
          <w:lang w:val="en_US" w:bidi="en_US"/>
        </w:rPr>
      </w:r>
      <w:r>
        <w:rPr>
          <w:lang w:val="en_US" w:bidi="en_US"/>
        </w:rPr>
        <w:t>was sick with a high fever (GNT)</w:t>
      </w:r>
    </w:p>
    <w:p>
      <w:pPr>
        <w:pStyle w:val="Heading5"/>
      </w:pPr>
      <w:r>
        <w:rPr>
          <w:lang w:val="en_US" w:bidi="en_US"/>
        </w:rPr>
        <w:t>4:38c</w:t>
      </w:r>
    </w:p>
    <w:p>
      <w:pPr/>
      <w:r>
        <w:rPr>
          <w:lang w:val="en_US" w:bidi="en_US"/>
        </w:rPr>
      </w:r>
      <w:r>
        <w:rPr>
          <w:b/>
          <w:lang w:val="en_US" w:bidi="en_US"/>
        </w:rPr>
        <w:t>So they appealed to Jesus on her behalf,</w:t>
      </w:r>
    </w:p>
    <w:p>
      <w:pPr>
        <w:pStyle w:val="ListBullet"/>
        <w:spacing w:line="240" w:lineRule="auto"/>
        <w:ind w:left="720"/>
      </w:pPr>
      <w:r>
        <w:rPr>
          <w:lang w:val="en_US" w:bidi="en_US"/>
        </w:rPr>
      </w:r>
      <w:r>
        <w:rPr>
          <w:lang w:val="en_US" w:bidi="en_US"/>
        </w:rPr>
        <w:t>and they asked him to help her.</w:t>
      </w:r>
    </w:p>
    <w:p>
      <w:pPr>
        <w:pStyle w:val="ListBullet"/>
        <w:spacing w:line="240" w:lineRule="auto"/>
        <w:ind w:left="720"/>
      </w:pPr>
      <w:r>
        <w:rPr>
          <w:lang w:val="en_US" w:bidi="en_US"/>
        </w:rPr>
      </w:r>
      <w:r>
        <w:rPr>
          <w:lang w:val="en_US" w:bidi="en_US"/>
        </w:rPr>
        <w:t>and they asked him to heal her.</w:t>
      </w:r>
    </w:p>
    <w:p>
      <w:pPr>
        <w:pStyle w:val="ListBullet"/>
        <w:spacing w:line="240" w:lineRule="auto"/>
        <w:ind w:left="720"/>
      </w:pPr>
      <w:r>
        <w:rPr>
          <w:lang w:val="en_US" w:bidi="en_US"/>
        </w:rPr>
      </w:r>
      <w:r>
        <w:rPr>
          <w:lang w:val="en_US" w:bidi="en_US"/>
        </w:rPr>
        <w:t xml:space="preserve">The people </w:t>
      </w:r>
      <w:r>
        <w:rPr>
          <w:lang w:val="en_US" w:bidi="en_US"/>
        </w:rPr>
        <w:t>there</w:t>
      </w:r>
      <w:r>
        <w:rPr>
          <w:lang w:val="en_US" w:bidi="en_US"/>
        </w:rPr>
        <w:t xml:space="preserve"> asked Jesus, “Please help her.”</w:t>
      </w:r>
    </w:p>
    <w:p>
      <w:pPr/>
      <w:r>
        <w:rPr>
          <w:lang w:val="en_US" w:bidi="en_US"/>
        </w:rPr>
      </w:r>
      <w:r>
        <w:rPr>
          <w:b/>
          <w:lang w:val="en_US" w:bidi="en_US"/>
        </w:rPr>
        <w:t>So they appealed to Jesus on her behalf:</w:t>
      </w:r>
      <w:r>
        <w:rPr>
          <w:lang w:val="en_US" w:bidi="en_US"/>
        </w:rPr>
        <w:t xml:space="preserve"> The Greek clause that the BSB translates as </w:t>
      </w:r>
      <w:r>
        <w:rPr>
          <w:i/>
          <w:lang w:val="en_US" w:bidi="en_US"/>
        </w:rPr>
        <w:t>they appealed to Jesus on her behalf</w:t>
      </w:r>
      <w:r>
        <w:rPr>
          <w:lang w:val="en_US" w:bidi="en_US"/>
        </w:rPr>
        <w:t xml:space="preserve"> is literally “they asked him about her” (as in the NRSV). The NIV and several other English versions have made it explicit that they asked Jesus </w:t>
      </w:r>
      <w:r>
        <w:rPr>
          <w:u w:val="single"/>
          <w:lang w:val="en_US" w:bidi="en_US"/>
        </w:rPr>
        <w:t>to help her</w:t>
      </w:r>
      <w:r>
        <w:rPr>
          <w:lang w:val="en_US" w:bidi="en_US"/>
        </w:rPr>
        <w:t>. They wanted Jesus to heal her. Another way to translate this is:</w:t>
      </w:r>
    </w:p>
    <w:p>
      <w:pPr/>
      <w:r>
        <w:rPr>
          <w:lang w:val="en_US" w:bidi="en_US"/>
        </w:rPr>
      </w:r>
      <w:r>
        <w:rPr>
          <w:lang w:val="en_US" w:bidi="en_US"/>
        </w:rPr>
        <w:t>they asked Jesus to heal her</w:t>
      </w:r>
    </w:p>
    <w:p>
      <w:pPr/>
      <w:r>
        <w:rPr>
          <w:lang w:val="en_US" w:bidi="en_US"/>
        </w:rPr>
      </w:r>
      <w:r>
        <w:rPr>
          <w:b/>
          <w:lang w:val="en_US" w:bidi="en_US"/>
        </w:rPr>
        <w:t>they:</w:t>
      </w:r>
      <w:r>
        <w:rPr>
          <w:lang w:val="en_US" w:bidi="en_US"/>
        </w:rPr>
        <w:t xml:space="preserve"> The Greek text does not say to whom the pronoun </w:t>
      </w:r>
      <w:r>
        <w:rPr>
          <w:i/>
          <w:lang w:val="en_US" w:bidi="en_US"/>
        </w:rPr>
        <w:t>they</w:t>
      </w:r>
      <w:r>
        <w:rPr>
          <w:lang w:val="en_US" w:bidi="en_US"/>
        </w:rPr>
        <w:t xml:space="preserve"> refers. It probably refers to the people in the house. Another way to translate this is:</w:t>
      </w:r>
    </w:p>
    <w:p>
      <w:pPr/>
      <w:r>
        <w:rPr>
          <w:lang w:val="en_US" w:bidi="en_US"/>
        </w:rPr>
      </w:r>
      <w:r>
        <w:rPr>
          <w:lang w:val="en_US" w:bidi="en_US"/>
        </w:rPr>
        <w:t>the people there</w:t>
      </w:r>
    </w:p>
    <w:p>
      <w:pPr/>
      <w:r>
        <w:rPr>
          <w:lang w:val="en_US" w:bidi="en_US"/>
        </w:rPr>
      </w:r>
      <w:r>
        <w:rPr>
          <w:lang w:val="en_US" w:bidi="en_US"/>
        </w:rPr>
        <w:t>Another way to translate this is to use a passive verb. For example:</w:t>
      </w:r>
    </w:p>
    <w:p>
      <w:pPr/>
      <w:r>
        <w:rPr>
          <w:lang w:val="en_US" w:bidi="en_US"/>
        </w:rPr>
      </w:r>
      <w:r>
        <w:rPr>
          <w:lang w:val="en_US" w:bidi="en_US"/>
        </w:rPr>
        <w:t>Jesus was asked to help her</w:t>
      </w:r>
      <w:r>
        <w:rPr>
          <w:lang w:val="en_US" w:bidi="en_US"/>
        </w:rPr>
      </w:r>
      <w:r>
        <w:rPr>
          <w:lang w:val="en_US" w:bidi="en_US"/>
        </w:rPr>
      </w:r>
    </w:p>
    <w:p>
      <w:pPr/>
      <w:r>
        <w:rPr>
          <w:lang w:val="en_US" w:bidi="en_US"/>
        </w:rPr>
      </w:r>
    </w:p>
    <w:p>
      <w:pPr>
        <w:pStyle w:val="Heading2"/>
      </w:pPr>
      <w:r>
        <w:rPr>
          <w:lang w:val="en_US" w:bidi="en_US"/>
        </w:rPr>
        <w:t>Luke 4:39</w:t>
      </w:r>
      <w:r>
        <w:rPr>
          <w:lang w:val="en_US" w:bidi="en_US"/>
        </w:rPr>
      </w:r>
    </w:p>
    <w:p>
      <w:pPr>
        <w:pStyle w:val="Heading4"/>
      </w:pPr>
      <w:r>
        <w:rPr>
          <w:lang w:val="en_US" w:bidi="en_US"/>
        </w:rPr>
        <w:t>Section 4:38–44: Jesus helped many people</w:t>
      </w:r>
    </w:p>
    <w:p>
      <w:pPr/>
      <w:r>
        <w:rPr>
          <w:lang w:val="en_US" w:bidi="en_US"/>
        </w:rPr>
      </w:r>
      <w:r>
        <w:rPr>
          <w:lang w:val="en_US" w:bidi="en_US"/>
        </w:rPr>
        <w:t>Jesus continued healing people, casting out demons, and preaching the good news about the kingdom of God. The people of Capernaum tried to stop him from leaving (4:42), but Jesus continued going from place to place, helping many people.</w:t>
      </w:r>
    </w:p>
    <w:p>
      <w:pPr/>
      <w:r>
        <w:rPr>
          <w:lang w:val="en_US" w:bidi="en_US"/>
        </w:rPr>
      </w:r>
      <w:r>
        <w:rPr>
          <w:lang w:val="en_US" w:bidi="en_US"/>
        </w:rPr>
        <w:t>Some other possible headings for this section are:</w:t>
      </w:r>
    </w:p>
    <w:p>
      <w:pPr/>
      <w:r>
        <w:rPr>
          <w:lang w:val="en_US" w:bidi="en_US"/>
        </w:rPr>
      </w:r>
      <w:r>
        <w:rPr>
          <w:lang w:val="en_US" w:bidi="en_US"/>
        </w:rPr>
        <w:t>Jesus Heals Many People</w:t>
      </w:r>
    </w:p>
    <w:p>
      <w:pPr/>
      <w:r>
        <w:rPr>
          <w:lang w:val="en_US" w:bidi="en_US"/>
        </w:rPr>
      </w:r>
      <w:r>
        <w:rPr>
          <w:lang w:val="en_US" w:bidi="en_US"/>
        </w:rPr>
        <w:t>Jesus Cures Simon’s Mother-in-Law and Many Others (GW)</w:t>
      </w:r>
    </w:p>
    <w:p>
      <w:pPr/>
      <w:r>
        <w:rPr>
          <w:lang w:val="en_US" w:bidi="en_US"/>
        </w:rPr>
      </w:r>
      <w:r>
        <w:rPr>
          <w:lang w:val="en_US" w:bidi="en_US"/>
        </w:rPr>
        <w:t>There are parallel passages for this section in Matthew 8:14–17 and Mark 1:29–34.</w:t>
      </w:r>
    </w:p>
    <w:p>
      <w:pPr>
        <w:pStyle w:val="Heading4"/>
      </w:pPr>
      <w:r>
        <w:rPr>
          <w:lang w:val="en_US" w:bidi="en_US"/>
        </w:rPr>
        <w:t>Paragraph 4:38–39</w:t>
      </w:r>
    </w:p>
    <w:p>
      <w:pPr/>
      <w:r>
        <w:rPr>
          <w:lang w:val="en_US" w:bidi="en_US"/>
        </w:rPr>
      </w:r>
      <w:r>
        <w:rPr>
          <w:lang w:val="en_US" w:bidi="en_US"/>
        </w:rPr>
        <w:t>After Jesus commanded the demon to come out of the man, he left the synagogue and went to Simon’s house. There he healed Simon’s mother-in-law who was sick with a high fever. The events in this paragraph occurred after the events in the previous section. For that reason, many English translations translate the conjunction at the start of 4:38 with a time word. In some languages, it may also be natural to begin this paragraph with a time word or phrase. For example:</w:t>
      </w:r>
    </w:p>
    <w:p>
      <w:pPr/>
      <w:r>
        <w:rPr>
          <w:lang w:val="en_US" w:bidi="en_US"/>
        </w:rPr>
      </w:r>
      <w:r>
        <w:rPr>
          <w:lang w:val="en_US" w:bidi="en_US"/>
        </w:rPr>
        <w:t>Then (NASB)</w:t>
      </w:r>
    </w:p>
    <w:p>
      <w:pPr/>
      <w:r>
        <w:rPr>
          <w:lang w:val="en_US" w:bidi="en_US"/>
        </w:rPr>
      </w:r>
      <w:r>
        <w:rPr>
          <w:lang w:val="en_US" w:bidi="en_US"/>
        </w:rPr>
        <w:t>After that</w:t>
      </w:r>
    </w:p>
    <w:p>
      <w:pPr>
        <w:pStyle w:val="Heading5"/>
      </w:pPr>
      <w:r>
        <w:rPr>
          <w:lang w:val="en_US" w:bidi="en_US"/>
        </w:rPr>
        <w:t>4:39a</w:t>
      </w:r>
    </w:p>
    <w:p>
      <w:pPr/>
      <w:r>
        <w:rPr>
          <w:lang w:val="en_US" w:bidi="en_US"/>
        </w:rPr>
      </w:r>
      <w:r>
        <w:rPr>
          <w:b/>
          <w:lang w:val="en_US" w:bidi="en_US"/>
        </w:rPr>
        <w:t>and He stood over her and rebuked the fever,</w:t>
      </w:r>
    </w:p>
    <w:p>
      <w:pPr>
        <w:pStyle w:val="ListBullet"/>
        <w:spacing w:line="240" w:lineRule="auto"/>
        <w:ind w:left="720"/>
      </w:pPr>
      <w:r>
        <w:rPr>
          <w:lang w:val="en_US" w:bidi="en_US"/>
        </w:rPr>
      </w:r>
      <w:r>
        <w:rPr>
          <w:lang w:val="en_US" w:bidi="en_US"/>
        </w:rPr>
        <w:t xml:space="preserve">So he </w:t>
      </w:r>
      <w:r>
        <w:rPr>
          <w:lang w:val="en_US" w:bidi="en_US"/>
        </w:rPr>
        <w:t>went and</w:t>
      </w:r>
      <w:r>
        <w:rPr>
          <w:lang w:val="en_US" w:bidi="en_US"/>
        </w:rPr>
        <w:t xml:space="preserve"> bent over her and commanded the fever to leave,</w:t>
      </w:r>
    </w:p>
    <w:p>
      <w:pPr>
        <w:pStyle w:val="ListBullet"/>
        <w:spacing w:line="240" w:lineRule="auto"/>
        <w:ind w:left="720"/>
      </w:pPr>
      <w:r>
        <w:rPr>
          <w:lang w:val="en_US" w:bidi="en_US"/>
        </w:rPr>
      </w:r>
      <w:r>
        <w:rPr>
          <w:lang w:val="en_US" w:bidi="en_US"/>
        </w:rPr>
        <w:t xml:space="preserve">So Jesus </w:t>
      </w:r>
      <w:r>
        <w:rPr>
          <w:lang w:val="en_US" w:bidi="en_US"/>
        </w:rPr>
        <w:t>went to her and</w:t>
      </w:r>
      <w:r>
        <w:rPr>
          <w:lang w:val="en_US" w:bidi="en_US"/>
        </w:rPr>
        <w:t xml:space="preserve"> leaned over and ordered the fever to leave.</w:t>
      </w:r>
    </w:p>
    <w:p>
      <w:pPr>
        <w:pStyle w:val="ListBullet"/>
        <w:spacing w:line="240" w:lineRule="auto"/>
        <w:ind w:left="720"/>
      </w:pPr>
      <w:r>
        <w:rPr>
          <w:lang w:val="en_US" w:bidi="en_US"/>
        </w:rPr>
      </w:r>
      <w:r>
        <w:rPr>
          <w:lang w:val="en_US" w:bidi="en_US"/>
        </w:rPr>
        <w:t xml:space="preserve">So Jesus </w:t>
      </w:r>
      <w:r>
        <w:rPr>
          <w:lang w:val="en_US" w:bidi="en_US"/>
        </w:rPr>
        <w:t>went to her and</w:t>
      </w:r>
      <w:r>
        <w:rPr>
          <w:lang w:val="en_US" w:bidi="en_US"/>
        </w:rPr>
        <w:t xml:space="preserve"> leaned over her and caused the fever to cool,</w:t>
      </w:r>
    </w:p>
    <w:p>
      <w:pPr/>
      <w:r>
        <w:rPr>
          <w:lang w:val="en_US" w:bidi="en_US"/>
        </w:rPr>
      </w:r>
      <w:r>
        <w:rPr>
          <w:b/>
          <w:lang w:val="en_US" w:bidi="en_US"/>
        </w:rPr>
        <w:t>He stood over her:</w:t>
      </w:r>
      <w:r>
        <w:rPr>
          <w:lang w:val="en_US" w:bidi="en_US"/>
        </w:rPr>
        <w:t xml:space="preserve"> There are at least two ways to interpret the clause that the BSB translates as </w:t>
      </w:r>
      <w:r>
        <w:rPr>
          <w:i/>
          <w:lang w:val="en_US" w:bidi="en_US"/>
        </w:rPr>
        <w:t>He stood over her</w:t>
      </w:r>
      <w:r>
        <w:rPr>
          <w:lang w:val="en_US" w:bidi="en_US"/>
        </w:rPr>
        <w:t>:</w:t>
      </w:r>
    </w:p>
    <w:p>
      <w:pPr>
        <w:pStyle w:val="ListNumber"/>
        <w:numPr>
          <w:ilvl w:val="0"/>
          <w:numId w:val="106"/>
        </w:numPr>
        <w:spacing w:line="240" w:lineRule="auto"/>
        <w:ind w:left="720"/>
      </w:pPr>
      <w:r>
        <w:rPr>
          <w:lang w:val="en_US" w:bidi="en_US"/>
        </w:rPr>
      </w:r>
      <w:r>
        <w:rPr>
          <w:lang w:val="en_US" w:bidi="en_US"/>
        </w:rPr>
        <w:t xml:space="preserve">It means that Jesus </w:t>
      </w:r>
      <w:r>
        <w:rPr>
          <w:u w:val="single"/>
          <w:lang w:val="en_US" w:bidi="en_US"/>
        </w:rPr>
        <w:t>leaned or bent over</w:t>
      </w:r>
      <w:r>
        <w:rPr>
          <w:lang w:val="en_US" w:bidi="en_US"/>
        </w:rPr>
        <w:t xml:space="preserve"> her. For example:</w:t>
      </w:r>
      <w:r>
        <w:rPr>
          <w:lang w:val="en_US" w:bidi="en_US"/>
        </w:rPr>
        <w:t xml:space="preserve">He bent over her (GW) </w:t>
      </w:r>
      <w:r>
        <w:rPr>
          <w:i/>
          <w:lang w:val="en_US" w:bidi="en_US"/>
        </w:rPr>
        <w:t>(BSB, NIV, RSV, NJB, NET, NASB, REB, KJV, GW, JBP)</w:t>
      </w:r>
    </w:p>
    <w:p>
      <w:pPr>
        <w:pStyle w:val="ListNumber"/>
        <w:spacing w:line="240" w:lineRule="auto"/>
        <w:ind w:left="720"/>
      </w:pPr>
      <w:r>
        <w:rPr>
          <w:lang w:val="en_US" w:bidi="en_US"/>
        </w:rPr>
      </w:r>
      <w:r>
        <w:rPr>
          <w:lang w:val="en_US" w:bidi="en_US"/>
        </w:rPr>
        <w:t xml:space="preserve">It means that Jesus </w:t>
      </w:r>
      <w:r>
        <w:rPr>
          <w:u w:val="single"/>
          <w:lang w:val="en_US" w:bidi="en_US"/>
        </w:rPr>
        <w:t>stood by her side</w:t>
      </w:r>
      <w:r>
        <w:rPr>
          <w:lang w:val="en_US" w:bidi="en_US"/>
        </w:rPr>
        <w:t>. For example:</w:t>
      </w:r>
      <w:r>
        <w:rPr>
          <w:lang w:val="en_US" w:bidi="en_US"/>
        </w:rPr>
        <w:t xml:space="preserve">stood at her bedside (GNT) </w:t>
      </w:r>
      <w:r>
        <w:rPr>
          <w:i/>
          <w:lang w:val="en_US" w:bidi="en_US"/>
        </w:rPr>
        <w:t>(GNT, NLT, NCV)</w:t>
      </w:r>
    </w:p>
    <w:p>
      <w:pPr/>
      <w:r>
        <w:rPr>
          <w:lang w:val="en_US" w:bidi="en_US"/>
        </w:rPr>
      </w:r>
      <w:r>
        <w:rPr>
          <w:lang w:val="en_US" w:bidi="en_US"/>
        </w:rPr>
        <w:t>It is recommended that you follow interpretation (1).</w:t>
      </w:r>
    </w:p>
    <w:p>
      <w:pPr/>
      <w:r>
        <w:rPr>
          <w:lang w:val="en_US" w:bidi="en_US"/>
        </w:rPr>
      </w:r>
      <w:r>
        <w:rPr>
          <w:lang w:val="en_US" w:bidi="en_US"/>
        </w:rPr>
        <w:t>This clause implies that Jesus walked over to the woman who was lying down.</w:t>
      </w:r>
    </w:p>
    <w:p>
      <w:pPr/>
      <w:r>
        <w:rPr>
          <w:lang w:val="en_US" w:bidi="en_US"/>
        </w:rPr>
      </w:r>
      <w:r>
        <w:rPr>
          <w:b/>
          <w:lang w:val="en_US" w:bidi="en_US"/>
        </w:rPr>
        <w:t>rebuked the fever:</w:t>
      </w:r>
      <w:r>
        <w:rPr>
          <w:lang w:val="en_US" w:bidi="en_US"/>
        </w:rPr>
        <w:t xml:space="preserve"> The verb </w:t>
      </w:r>
      <w:r>
        <w:rPr>
          <w:i/>
          <w:lang w:val="en_US" w:bidi="en_US"/>
        </w:rPr>
        <w:t>rebuked</w:t>
      </w:r>
      <w:r>
        <w:rPr>
          <w:lang w:val="en_US" w:bidi="en_US"/>
        </w:rPr>
        <w:t xml:space="preserve"> means “spoke forcefully to.” In this context, it means that Jesus commanded the fever to leave the woman. For example:</w:t>
      </w:r>
    </w:p>
    <w:p>
      <w:pPr/>
      <w:r>
        <w:rPr>
          <w:lang w:val="en_US" w:bidi="en_US"/>
        </w:rPr>
      </w:r>
      <w:r>
        <w:rPr>
          <w:lang w:val="en_US" w:bidi="en_US"/>
        </w:rPr>
        <w:t>ordered the fever to leave (GW)</w:t>
      </w:r>
    </w:p>
    <w:p>
      <w:pPr/>
      <w:r>
        <w:rPr>
          <w:lang w:val="en_US" w:bidi="en_US"/>
        </w:rPr>
      </w:r>
      <w:r>
        <w:rPr>
          <w:lang w:val="en_US" w:bidi="en_US"/>
        </w:rPr>
        <w:t xml:space="preserve">In some languages, a person cannot speak to a sickness. If that is true in your language, you should find another way to translate </w:t>
      </w:r>
      <w:r>
        <w:rPr>
          <w:i/>
          <w:lang w:val="en_US" w:bidi="en_US"/>
        </w:rPr>
        <w:t>rebuked the fever</w:t>
      </w:r>
      <w:r>
        <w:rPr>
          <w:lang w:val="en_US" w:bidi="en_US"/>
        </w:rPr>
        <w:t>. For example:</w:t>
      </w:r>
    </w:p>
    <w:p>
      <w:pPr/>
      <w:r>
        <w:rPr>
          <w:lang w:val="en_US" w:bidi="en_US"/>
        </w:rPr>
      </w:r>
      <w:r>
        <w:rPr>
          <w:lang w:val="en_US" w:bidi="en_US"/>
        </w:rPr>
        <w:t>Jesus caused the fever to leave her.</w:t>
      </w:r>
    </w:p>
    <w:p>
      <w:pPr/>
      <w:r>
        <w:rPr>
          <w:lang w:val="en_US" w:bidi="en_US"/>
        </w:rPr>
      </w:r>
      <w:r>
        <w:rPr>
          <w:lang w:val="en_US" w:bidi="en_US"/>
        </w:rPr>
        <w:t>Jesus caused the fever to cool/diminish.</w:t>
      </w:r>
    </w:p>
    <w:p>
      <w:pPr/>
      <w:r>
        <w:rPr>
          <w:lang w:val="en_US" w:bidi="en_US"/>
        </w:rPr>
      </w:r>
      <w:r>
        <w:rPr>
          <w:lang w:val="en_US" w:bidi="en_US"/>
        </w:rPr>
        <w:t>Jesus said that the sickness must end.</w:t>
      </w:r>
    </w:p>
    <w:p>
      <w:pPr/>
      <w:r>
        <w:rPr>
          <w:lang w:val="en_US" w:bidi="en_US"/>
        </w:rPr>
      </w:r>
      <w:r>
        <w:rPr>
          <w:lang w:val="en_US" w:bidi="en_US"/>
        </w:rPr>
        <w:t>Jesus spoke words to heal her.</w:t>
      </w:r>
    </w:p>
    <w:p>
      <w:pPr>
        <w:pStyle w:val="Heading5"/>
      </w:pPr>
      <w:r>
        <w:rPr>
          <w:lang w:val="en_US" w:bidi="en_US"/>
        </w:rPr>
        <w:t>4:39b</w:t>
      </w:r>
    </w:p>
    <w:p>
      <w:pPr/>
      <w:r>
        <w:rPr>
          <w:lang w:val="en_US" w:bidi="en_US"/>
        </w:rPr>
      </w:r>
      <w:r>
        <w:rPr>
          <w:b/>
          <w:lang w:val="en_US" w:bidi="en_US"/>
        </w:rPr>
        <w:t>and it left her.</w:t>
      </w:r>
    </w:p>
    <w:p>
      <w:pPr>
        <w:pStyle w:val="ListBullet"/>
        <w:spacing w:line="240" w:lineRule="auto"/>
        <w:ind w:left="720"/>
      </w:pPr>
      <w:r>
        <w:rPr>
          <w:lang w:val="en_US" w:bidi="en_US"/>
        </w:rPr>
      </w:r>
      <w:r>
        <w:rPr>
          <w:lang w:val="en_US" w:bidi="en_US"/>
        </w:rPr>
        <w:t>and it went away.</w:t>
      </w:r>
    </w:p>
    <w:p>
      <w:pPr>
        <w:pStyle w:val="ListBullet"/>
        <w:spacing w:line="240" w:lineRule="auto"/>
        <w:ind w:left="720"/>
      </w:pPr>
      <w:r>
        <w:rPr>
          <w:lang w:val="en_US" w:bidi="en_US"/>
        </w:rPr>
      </w:r>
      <w:r>
        <w:rPr>
          <w:lang w:val="en_US" w:bidi="en_US"/>
        </w:rPr>
        <w:t>The fever stopped/ended.</w:t>
      </w:r>
    </w:p>
    <w:p>
      <w:pPr>
        <w:pStyle w:val="ListBullet"/>
        <w:spacing w:line="240" w:lineRule="auto"/>
        <w:ind w:left="720"/>
      </w:pPr>
      <w:r>
        <w:rPr>
          <w:lang w:val="en_US" w:bidi="en_US"/>
        </w:rPr>
      </w:r>
      <w:r>
        <w:rPr>
          <w:lang w:val="en_US" w:bidi="en_US"/>
        </w:rPr>
        <w:t>and she was healed.</w:t>
      </w:r>
    </w:p>
    <w:p>
      <w:pPr/>
      <w:r>
        <w:rPr>
          <w:lang w:val="en_US" w:bidi="en_US"/>
        </w:rPr>
      </w:r>
      <w:r>
        <w:rPr>
          <w:b/>
          <w:lang w:val="en_US" w:bidi="en_US"/>
        </w:rPr>
        <w:t>and it left her:</w:t>
      </w:r>
      <w:r>
        <w:rPr>
          <w:lang w:val="en_US" w:bidi="en_US"/>
        </w:rPr>
        <w:t xml:space="preserve"> The phrase </w:t>
      </w:r>
      <w:r>
        <w:rPr>
          <w:i/>
          <w:lang w:val="en_US" w:bidi="en_US"/>
        </w:rPr>
        <w:t>and it left her</w:t>
      </w:r>
      <w:r>
        <w:rPr>
          <w:lang w:val="en_US" w:bidi="en_US"/>
        </w:rPr>
        <w:t xml:space="preserve"> means “the fever left her.” This means that the woman’s temperature went back to normal again. Some other ways to translate this are:</w:t>
      </w:r>
    </w:p>
    <w:p>
      <w:pPr/>
      <w:r>
        <w:rPr>
          <w:lang w:val="en_US" w:bidi="en_US"/>
        </w:rPr>
      </w:r>
      <w:r>
        <w:rPr>
          <w:lang w:val="en_US" w:bidi="en_US"/>
        </w:rPr>
        <w:t>The fever left her (GNT)</w:t>
      </w:r>
    </w:p>
    <w:p>
      <w:pPr/>
      <w:r>
        <w:rPr>
          <w:lang w:val="en_US" w:bidi="en_US"/>
        </w:rPr>
      </w:r>
      <w:r>
        <w:rPr>
          <w:lang w:val="en_US" w:bidi="en_US"/>
        </w:rPr>
        <w:t>and immediately her temperature returned to normal (NLT96)</w:t>
      </w:r>
    </w:p>
    <w:p>
      <w:pPr/>
      <w:r>
        <w:rPr>
          <w:lang w:val="en_US" w:bidi="en_US"/>
        </w:rPr>
      </w:r>
      <w:r>
        <w:rPr>
          <w:lang w:val="en_US" w:bidi="en_US"/>
        </w:rPr>
        <w:t>she was healed</w:t>
      </w:r>
    </w:p>
    <w:p>
      <w:pPr/>
      <w:r>
        <w:rPr>
          <w:lang w:val="en_US" w:bidi="en_US"/>
        </w:rPr>
      </w:r>
      <w:r>
        <w:rPr>
          <w:lang w:val="en_US" w:bidi="en_US"/>
        </w:rPr>
        <w:t>she became healthy</w:t>
      </w:r>
    </w:p>
    <w:p>
      <w:pPr>
        <w:pStyle w:val="Heading5"/>
      </w:pPr>
      <w:r>
        <w:rPr>
          <w:lang w:val="en_US" w:bidi="en_US"/>
        </w:rPr>
        <w:t>4:39c</w:t>
      </w:r>
    </w:p>
    <w:p>
      <w:pPr/>
      <w:r>
        <w:rPr>
          <w:lang w:val="en_US" w:bidi="en_US"/>
        </w:rPr>
      </w:r>
      <w:r>
        <w:rPr>
          <w:b/>
          <w:lang w:val="en_US" w:bidi="en_US"/>
        </w:rPr>
        <w:t>And she got up at once and began to serve them.</w:t>
      </w:r>
    </w:p>
    <w:p>
      <w:pPr>
        <w:pStyle w:val="ListBullet"/>
        <w:spacing w:line="240" w:lineRule="auto"/>
        <w:ind w:left="720"/>
      </w:pPr>
      <w:r>
        <w:rPr>
          <w:lang w:val="en_US" w:bidi="en_US"/>
        </w:rPr>
      </w:r>
      <w:r>
        <w:rPr>
          <w:lang w:val="en_US" w:bidi="en_US"/>
        </w:rPr>
        <w:t xml:space="preserve">Right away she got up and started to </w:t>
      </w:r>
      <w:r>
        <w:rPr>
          <w:lang w:val="en_US" w:bidi="en_US"/>
        </w:rPr>
        <w:t>prepare food</w:t>
      </w:r>
      <w:r>
        <w:rPr>
          <w:lang w:val="en_US" w:bidi="en_US"/>
        </w:rPr>
        <w:t xml:space="preserve"> for them.</w:t>
      </w:r>
    </w:p>
    <w:p>
      <w:pPr>
        <w:pStyle w:val="ListBullet"/>
        <w:spacing w:line="240" w:lineRule="auto"/>
        <w:ind w:left="720"/>
      </w:pPr>
      <w:r>
        <w:rPr>
          <w:lang w:val="en_US" w:bidi="en_US"/>
        </w:rPr>
      </w:r>
      <w:r>
        <w:rPr>
          <w:lang w:val="en_US" w:bidi="en_US"/>
        </w:rPr>
        <w:t xml:space="preserve">The woman stood up immediately and began to </w:t>
      </w:r>
      <w:r>
        <w:rPr>
          <w:lang w:val="en_US" w:bidi="en_US"/>
        </w:rPr>
        <w:t>cook and</w:t>
      </w:r>
      <w:r>
        <w:rPr>
          <w:lang w:val="en_US" w:bidi="en_US"/>
        </w:rPr>
        <w:t xml:space="preserve"> serve them </w:t>
      </w:r>
      <w:r>
        <w:rPr>
          <w:lang w:val="en_US" w:bidi="en_US"/>
        </w:rPr>
        <w:t>a meal</w:t>
      </w:r>
      <w:r>
        <w:rPr>
          <w:lang w:val="en_US" w:bidi="en_US"/>
        </w:rPr>
        <w:t>.</w:t>
      </w:r>
    </w:p>
    <w:p>
      <w:pPr/>
      <w:r>
        <w:rPr>
          <w:lang w:val="en_US" w:bidi="en_US"/>
        </w:rPr>
      </w:r>
      <w:r>
        <w:rPr>
          <w:b/>
          <w:lang w:val="en_US" w:bidi="en_US"/>
        </w:rPr>
        <w:t>And she got up at once:</w:t>
      </w:r>
      <w:r>
        <w:rPr>
          <w:lang w:val="en_US" w:bidi="en_US"/>
        </w:rPr>
        <w:t xml:space="preserve"> The phrase </w:t>
      </w:r>
      <w:r>
        <w:rPr>
          <w:i/>
          <w:lang w:val="en_US" w:bidi="en_US"/>
        </w:rPr>
        <w:t>she got up at once</w:t>
      </w:r>
      <w:r>
        <w:rPr>
          <w:lang w:val="en_US" w:bidi="en_US"/>
        </w:rPr>
        <w:t xml:space="preserve"> means that the woman was able to get out of bed immediately. She was not weak, as a person recovering from a fever usually is. For example:</w:t>
      </w:r>
    </w:p>
    <w:p>
      <w:pPr/>
      <w:r>
        <w:rPr>
          <w:lang w:val="en_US" w:bidi="en_US"/>
        </w:rPr>
      </w:r>
      <w:r>
        <w:rPr>
          <w:lang w:val="en_US" w:bidi="en_US"/>
        </w:rPr>
        <w:t>Right then she was able to get up (CEV)</w:t>
      </w:r>
    </w:p>
    <w:p>
      <w:pPr/>
      <w:r>
        <w:rPr>
          <w:lang w:val="en_US" w:bidi="en_US"/>
        </w:rPr>
      </w:r>
      <w:r>
        <w:rPr>
          <w:b/>
          <w:lang w:val="en_US" w:bidi="en_US"/>
        </w:rPr>
        <w:t>and began to serve them:</w:t>
      </w:r>
      <w:r>
        <w:rPr>
          <w:lang w:val="en_US" w:bidi="en_US"/>
        </w:rPr>
        <w:t xml:space="preserve"> The Greek clause that the BSB translates as </w:t>
      </w:r>
      <w:r>
        <w:rPr>
          <w:i/>
          <w:lang w:val="en_US" w:bidi="en_US"/>
        </w:rPr>
        <w:t>began to serve them</w:t>
      </w:r>
      <w:r>
        <w:rPr>
          <w:lang w:val="en_US" w:bidi="en_US"/>
        </w:rPr>
        <w:t xml:space="preserve"> is literally “she was serving them.” It means that as soon as the woman got up, she started</w:t>
      </w:r>
      <w:r>
        <w:rPr>
          <w:lang w:val="en_US" w:bidi="en_US"/>
        </w:rPr>
        <w:t>Some English versions have translated the imperfect form of the verb inceptively, i.e., “began to serve/wait.”</w:t>
      </w:r>
      <w:r>
        <w:rPr>
          <w:lang w:val="en_US" w:bidi="en_US"/>
        </w:rPr>
        <w:t xml:space="preserve"> to prepare a meal for Jesus and his disciples. For example:</w:t>
      </w:r>
    </w:p>
    <w:p>
      <w:pPr/>
      <w:r>
        <w:rPr>
          <w:lang w:val="en_US" w:bidi="en_US"/>
        </w:rPr>
      </w:r>
      <w:r>
        <w:rPr>
          <w:lang w:val="en_US" w:bidi="en_US"/>
        </w:rPr>
        <w:t>She got up immediately and prepared a meal for them. (GW)</w:t>
      </w:r>
    </w:p>
    <w:p>
      <w:pPr/>
      <w:r>
        <w:rPr>
          <w:lang w:val="en_US" w:bidi="en_US"/>
        </w:rPr>
      </w:r>
      <w:r>
        <w:rPr>
          <w:lang w:val="en_US" w:bidi="en_US"/>
        </w:rPr>
        <w:t>This shows that as soon as Jesus had healed Simon’s mother-in-law, she was strong enough to serve the food.</w:t>
      </w:r>
      <w:r>
        <w:rPr>
          <w:lang w:val="en_US" w:bidi="en_US"/>
        </w:rPr>
      </w:r>
      <w:r>
        <w:rPr>
          <w:lang w:val="en_US" w:bidi="en_US"/>
        </w:rPr>
      </w:r>
    </w:p>
    <w:p>
      <w:pPr/>
      <w:r>
        <w:rPr>
          <w:lang w:val="en_US" w:bidi="en_US"/>
        </w:rPr>
      </w:r>
    </w:p>
    <w:p>
      <w:pPr>
        <w:pStyle w:val="Heading2"/>
      </w:pPr>
      <w:r>
        <w:rPr>
          <w:lang w:val="en_US" w:bidi="en_US"/>
        </w:rPr>
        <w:t>Luke 4:40</w:t>
      </w:r>
      <w:r>
        <w:rPr>
          <w:lang w:val="en_US" w:bidi="en_US"/>
        </w:rPr>
      </w:r>
    </w:p>
    <w:p>
      <w:pPr>
        <w:pStyle w:val="Heading4"/>
      </w:pPr>
      <w:r>
        <w:rPr>
          <w:lang w:val="en_US" w:bidi="en_US"/>
        </w:rPr>
        <w:t>Section 4:38–44: Jesus helped many people</w:t>
      </w:r>
    </w:p>
    <w:p>
      <w:pPr/>
      <w:r>
        <w:rPr>
          <w:lang w:val="en_US" w:bidi="en_US"/>
        </w:rPr>
      </w:r>
      <w:r>
        <w:rPr>
          <w:lang w:val="en_US" w:bidi="en_US"/>
        </w:rPr>
        <w:t>Jesus continued healing people, casting out demons, and preaching the good news about the kingdom of God. The people of Capernaum tried to stop him from leaving (4:42), but Jesus continued going from place to place, helping many people.</w:t>
      </w:r>
    </w:p>
    <w:p>
      <w:pPr/>
      <w:r>
        <w:rPr>
          <w:lang w:val="en_US" w:bidi="en_US"/>
        </w:rPr>
      </w:r>
      <w:r>
        <w:rPr>
          <w:lang w:val="en_US" w:bidi="en_US"/>
        </w:rPr>
        <w:t>Some other possible headings for this section are:</w:t>
      </w:r>
    </w:p>
    <w:p>
      <w:pPr/>
      <w:r>
        <w:rPr>
          <w:lang w:val="en_US" w:bidi="en_US"/>
        </w:rPr>
      </w:r>
      <w:r>
        <w:rPr>
          <w:lang w:val="en_US" w:bidi="en_US"/>
        </w:rPr>
        <w:t>Jesus Heals Many People</w:t>
      </w:r>
    </w:p>
    <w:p>
      <w:pPr/>
      <w:r>
        <w:rPr>
          <w:lang w:val="en_US" w:bidi="en_US"/>
        </w:rPr>
      </w:r>
      <w:r>
        <w:rPr>
          <w:lang w:val="en_US" w:bidi="en_US"/>
        </w:rPr>
        <w:t>Jesus Cures Simon’s Mother-in-Law and Many Others (GW)</w:t>
      </w:r>
    </w:p>
    <w:p>
      <w:pPr/>
      <w:r>
        <w:rPr>
          <w:lang w:val="en_US" w:bidi="en_US"/>
        </w:rPr>
      </w:r>
      <w:r>
        <w:rPr>
          <w:lang w:val="en_US" w:bidi="en_US"/>
        </w:rPr>
        <w:t>There are parallel passages for this section in Matthew 8:14–17 and Mark 1:29–34.</w:t>
      </w:r>
    </w:p>
    <w:p>
      <w:pPr>
        <w:pStyle w:val="Heading5"/>
      </w:pPr>
      <w:r>
        <w:rPr>
          <w:lang w:val="en_US" w:bidi="en_US"/>
        </w:rPr>
        <w:t>4:40a</w:t>
      </w:r>
    </w:p>
    <w:p>
      <w:pPr/>
      <w:r>
        <w:rPr>
          <w:lang w:val="en_US" w:bidi="en_US"/>
        </w:rPr>
      </w:r>
      <w:r>
        <w:rPr>
          <w:b/>
          <w:lang w:val="en_US" w:bidi="en_US"/>
        </w:rPr>
        <w:t>At sunset,</w:t>
      </w:r>
    </w:p>
    <w:p>
      <w:pPr>
        <w:pStyle w:val="ListBullet"/>
        <w:spacing w:line="240" w:lineRule="auto"/>
        <w:ind w:left="720"/>
      </w:pPr>
      <w:r>
        <w:rPr>
          <w:lang w:val="en_US" w:bidi="en_US"/>
        </w:rPr>
      </w:r>
      <w:r>
        <w:rPr>
          <w:lang w:val="en_US" w:bidi="en_US"/>
        </w:rPr>
        <w:t>¶ At sundown,</w:t>
      </w:r>
    </w:p>
    <w:p>
      <w:pPr>
        <w:pStyle w:val="ListBullet"/>
        <w:spacing w:line="240" w:lineRule="auto"/>
        <w:ind w:left="720"/>
      </w:pPr>
      <w:r>
        <w:rPr>
          <w:lang w:val="en_US" w:bidi="en_US"/>
        </w:rPr>
      </w:r>
      <w:r>
        <w:rPr>
          <w:lang w:val="en_US" w:bidi="en_US"/>
        </w:rPr>
        <w:t>¶ At the end of the day,</w:t>
      </w:r>
    </w:p>
    <w:p>
      <w:pPr/>
      <w:r>
        <w:rPr>
          <w:lang w:val="en_US" w:bidi="en_US"/>
        </w:rPr>
      </w:r>
      <w:r>
        <w:rPr>
          <w:b/>
          <w:lang w:val="en_US" w:bidi="en_US"/>
        </w:rPr>
        <w:t>At sunset:</w:t>
      </w:r>
      <w:r>
        <w:rPr>
          <w:lang w:val="en_US" w:bidi="en_US"/>
        </w:rPr>
        <w:t xml:space="preserve"> The phrase </w:t>
      </w:r>
      <w:r>
        <w:rPr>
          <w:i/>
          <w:lang w:val="en_US" w:bidi="en_US"/>
        </w:rPr>
        <w:t>At sunset</w:t>
      </w:r>
      <w:r>
        <w:rPr>
          <w:lang w:val="en_US" w:bidi="en_US"/>
        </w:rPr>
        <w:t xml:space="preserve"> refers to sundown. It was about six o’clock in the evening. This was the time when the Sabbath day ended and the first day of the week began. Some other ways to translate this are:</w:t>
      </w:r>
    </w:p>
    <w:p>
      <w:pPr/>
      <w:r>
        <w:rPr>
          <w:lang w:val="en_US" w:bidi="en_US"/>
        </w:rPr>
      </w:r>
      <w:r>
        <w:rPr>
          <w:lang w:val="en_US" w:bidi="en_US"/>
        </w:rPr>
        <w:t>When the sun went down (NCV)</w:t>
      </w:r>
    </w:p>
    <w:p>
      <w:pPr/>
      <w:r>
        <w:rPr>
          <w:lang w:val="en_US" w:bidi="en_US"/>
        </w:rPr>
      </w:r>
      <w:r>
        <w:rPr>
          <w:lang w:val="en_US" w:bidi="en_US"/>
        </w:rPr>
        <w:t>After sunset (GNT)</w:t>
      </w:r>
    </w:p>
    <w:p>
      <w:pPr/>
      <w:r>
        <w:rPr>
          <w:lang w:val="en_US" w:bidi="en_US"/>
        </w:rPr>
      </w:r>
      <w:r>
        <w:rPr>
          <w:lang w:val="en_US" w:bidi="en_US"/>
        </w:rPr>
        <w:t>The Jewish law did not allow people to work on the Sabbath, and Jews considered carrying a sick person to be work. So they waited until the Sabbath ended to do this.</w:t>
      </w:r>
    </w:p>
    <w:p>
      <w:pPr/>
      <w:r>
        <w:rPr>
          <w:lang w:val="en_US" w:bidi="en_US"/>
        </w:rPr>
      </w:r>
      <w:r>
        <w:rPr>
          <w:lang w:val="en_US" w:bidi="en_US"/>
        </w:rPr>
        <w:t>You may want to make explicit that this was the end of the Jewish Sabbath. For example:</w:t>
      </w:r>
    </w:p>
    <w:p>
      <w:pPr/>
      <w:r>
        <w:rPr>
          <w:lang w:val="en_US" w:bidi="en_US"/>
        </w:rPr>
      </w:r>
      <w:r>
        <w:rPr>
          <w:lang w:val="en_US" w:bidi="en_US"/>
        </w:rPr>
        <w:t>As the Sabbath day was ending</w:t>
      </w:r>
      <w:r>
        <w:rPr>
          <w:lang w:val="en_US" w:bidi="en_US"/>
        </w:rPr>
        <w:t xml:space="preserve"> at sunset</w:t>
      </w:r>
    </w:p>
    <w:p>
      <w:pPr/>
      <w:r>
        <w:rPr>
          <w:lang w:val="en_US" w:bidi="en_US"/>
        </w:rPr>
      </w:r>
      <w:r>
        <w:rPr>
          <w:lang w:val="en_US" w:bidi="en_US"/>
        </w:rPr>
        <w:t>You may instead decide to make this clearer by including a footnote here. For example:</w:t>
      </w:r>
    </w:p>
    <w:p>
      <w:pPr/>
      <w:r>
        <w:rPr>
          <w:lang w:val="en_US" w:bidi="en_US"/>
        </w:rPr>
      </w:r>
      <w:r>
        <w:rPr>
          <w:lang w:val="en_US" w:bidi="en_US"/>
        </w:rPr>
        <w:t>At sunset, the Jews considered the day to end and another day to begin.</w:t>
      </w:r>
    </w:p>
    <w:p>
      <w:pPr/>
      <w:r>
        <w:rPr>
          <w:lang w:val="en_US" w:bidi="en_US"/>
        </w:rPr>
      </w:r>
      <w:r>
        <w:rPr>
          <w:lang w:val="en_US" w:bidi="en_US"/>
        </w:rPr>
        <w:t>At sunset, the Sabbath Day ended. These people had not brought their sick relatives/friends to Jesus earlier, because they did not want to break Jewish rules. These rules prohibited work on the Sabbath, and they considered carrying sick people to Jesus to be work.</w:t>
      </w:r>
    </w:p>
    <w:p>
      <w:pPr>
        <w:pStyle w:val="Heading5"/>
      </w:pPr>
      <w:r>
        <w:rPr>
          <w:lang w:val="en_US" w:bidi="en_US"/>
        </w:rPr>
        <w:t>4:40b</w:t>
      </w:r>
    </w:p>
    <w:p>
      <w:pPr/>
      <w:r>
        <w:rPr>
          <w:lang w:val="en_US" w:bidi="en_US"/>
        </w:rPr>
      </w:r>
      <w:r>
        <w:rPr>
          <w:b/>
          <w:lang w:val="en_US" w:bidi="en_US"/>
        </w:rPr>
        <w:t>all who were ill with various diseases were brought to Jesus,</w:t>
      </w:r>
    </w:p>
    <w:p>
      <w:pPr>
        <w:pStyle w:val="ListBullet"/>
        <w:spacing w:line="240" w:lineRule="auto"/>
        <w:ind w:left="720"/>
      </w:pPr>
      <w:r>
        <w:rPr>
          <w:lang w:val="en_US" w:bidi="en_US"/>
        </w:rPr>
      </w:r>
      <w:r>
        <w:rPr>
          <w:lang w:val="en_US" w:bidi="en_US"/>
        </w:rPr>
        <w:t xml:space="preserve">all those who had </w:t>
      </w:r>
      <w:r>
        <w:rPr>
          <w:lang w:val="en_US" w:bidi="en_US"/>
        </w:rPr>
        <w:t>relatives/friends</w:t>
      </w:r>
      <w:r>
        <w:rPr>
          <w:lang w:val="en_US" w:bidi="en_US"/>
        </w:rPr>
        <w:t xml:space="preserve"> who were sick with different kinds of diseases brought them to Jesus.</w:t>
      </w:r>
    </w:p>
    <w:p>
      <w:pPr>
        <w:pStyle w:val="ListBullet"/>
        <w:spacing w:line="240" w:lineRule="auto"/>
        <w:ind w:left="720"/>
      </w:pPr>
      <w:r>
        <w:rPr>
          <w:lang w:val="en_US" w:bidi="en_US"/>
        </w:rPr>
      </w:r>
      <w:r>
        <w:rPr>
          <w:lang w:val="en_US" w:bidi="en_US"/>
        </w:rPr>
        <w:t xml:space="preserve">everyone brought their sick </w:t>
      </w:r>
      <w:r>
        <w:rPr>
          <w:lang w:val="en_US" w:bidi="en_US"/>
        </w:rPr>
        <w:t>relatives/friends</w:t>
      </w:r>
      <w:r>
        <w:rPr>
          <w:lang w:val="en_US" w:bidi="en_US"/>
        </w:rPr>
        <w:t xml:space="preserve"> to Jesus.</w:t>
      </w:r>
    </w:p>
    <w:p>
      <w:pPr/>
      <w:r>
        <w:rPr>
          <w:lang w:val="en_US" w:bidi="en_US"/>
        </w:rPr>
      </w:r>
      <w:r>
        <w:rPr>
          <w:b/>
          <w:lang w:val="en_US" w:bidi="en_US"/>
        </w:rPr>
        <w:t>all who were ill with various diseases were brought to Jesus:</w:t>
      </w:r>
      <w:r>
        <w:rPr>
          <w:lang w:val="en_US" w:bidi="en_US"/>
        </w:rPr>
        <w:t xml:space="preserve"> This clause is active in Greek. It says literally “All who had sick ones with various diseases brought them to him.” For example:</w:t>
      </w:r>
    </w:p>
    <w:p>
      <w:pPr/>
      <w:r>
        <w:rPr>
          <w:lang w:val="en_US" w:bidi="en_US"/>
        </w:rPr>
      </w:r>
      <w:r>
        <w:rPr>
          <w:lang w:val="en_US" w:bidi="en_US"/>
        </w:rPr>
        <w:t>all those who had any that were sick with various diseases brought them to him (RSV)</w:t>
      </w:r>
    </w:p>
    <w:p>
      <w:pPr/>
      <w:r>
        <w:rPr>
          <w:lang w:val="en_US" w:bidi="en_US"/>
        </w:rPr>
      </w:r>
      <w:r>
        <w:rPr>
          <w:lang w:val="en_US" w:bidi="en_US"/>
        </w:rPr>
        <w:t xml:space="preserve">The Greek text does not explicitly state the relationship between the “sick ones” and those who brought them to Jesus. It says literally, “All who </w:t>
      </w:r>
      <w:r>
        <w:rPr>
          <w:u w:val="single"/>
          <w:lang w:val="en_US" w:bidi="en_US"/>
        </w:rPr>
        <w:t>had</w:t>
      </w:r>
      <w:r>
        <w:rPr>
          <w:lang w:val="en_US" w:bidi="en_US"/>
        </w:rPr>
        <w:t xml:space="preserve"> sick ones….” Here, the word “had” probably refers to the fact that they took care of these sick people. So these “sick ones” were probably </w:t>
      </w:r>
      <w:r>
        <w:rPr>
          <w:u w:val="single"/>
          <w:lang w:val="en_US" w:bidi="en_US"/>
        </w:rPr>
        <w:t>relatives</w:t>
      </w:r>
      <w:r>
        <w:rPr>
          <w:lang w:val="en_US" w:bidi="en_US"/>
        </w:rPr>
        <w:t xml:space="preserve"> or close </w:t>
      </w:r>
      <w:r>
        <w:rPr>
          <w:u w:val="single"/>
          <w:lang w:val="en_US" w:bidi="en_US"/>
        </w:rPr>
        <w:t>friends</w:t>
      </w:r>
      <w:r>
        <w:rPr>
          <w:lang w:val="en_US" w:bidi="en_US"/>
        </w:rPr>
        <w:t xml:space="preserve"> who were sick.</w:t>
      </w:r>
    </w:p>
    <w:p>
      <w:pPr/>
      <w:r>
        <w:rPr>
          <w:lang w:val="en_US" w:bidi="en_US"/>
        </w:rPr>
      </w:r>
      <w:r>
        <w:rPr>
          <w:lang w:val="en_US" w:bidi="en_US"/>
        </w:rPr>
        <w:t>Some ways to translate this are:</w:t>
      </w:r>
    </w:p>
    <w:p>
      <w:pPr/>
      <w:r>
        <w:rPr>
          <w:lang w:val="en_US" w:bidi="en_US"/>
        </w:rPr>
      </w:r>
      <w:r>
        <w:rPr>
          <w:lang w:val="en_US" w:bidi="en_US"/>
        </w:rPr>
        <w:t xml:space="preserve">all who had </w:t>
      </w:r>
      <w:r>
        <w:rPr>
          <w:u w:val="single"/>
          <w:lang w:val="en_US" w:bidi="en_US"/>
        </w:rPr>
        <w:t>friends who were sick</w:t>
      </w:r>
      <w:r>
        <w:rPr>
          <w:lang w:val="en_US" w:bidi="en_US"/>
        </w:rPr>
        <w:t xml:space="preserve"> with various diseases brought them to Jesus (GNT)</w:t>
      </w:r>
    </w:p>
    <w:p>
      <w:pPr/>
      <w:r>
        <w:rPr>
          <w:lang w:val="en_US" w:bidi="en_US"/>
        </w:rPr>
      </w:r>
      <w:r>
        <w:rPr>
          <w:lang w:val="en_US" w:bidi="en_US"/>
        </w:rPr>
        <w:t xml:space="preserve">people throughout the village brought </w:t>
      </w:r>
      <w:r>
        <w:rPr>
          <w:u w:val="single"/>
          <w:lang w:val="en_US" w:bidi="en_US"/>
        </w:rPr>
        <w:t>sick family members</w:t>
      </w:r>
      <w:r>
        <w:rPr>
          <w:lang w:val="en_US" w:bidi="en_US"/>
        </w:rPr>
        <w:t xml:space="preserve"> to Jesus (NLT)</w:t>
      </w:r>
    </w:p>
    <w:p>
      <w:pPr/>
      <w:r>
        <w:rPr>
          <w:lang w:val="en_US" w:bidi="en_US"/>
        </w:rPr>
      </w:r>
      <w:r>
        <w:rPr>
          <w:lang w:val="en_US" w:bidi="en_US"/>
        </w:rPr>
        <w:t xml:space="preserve">people brought </w:t>
      </w:r>
      <w:r>
        <w:rPr>
          <w:u w:val="single"/>
          <w:lang w:val="en_US" w:bidi="en_US"/>
        </w:rPr>
        <w:t>those who were sick</w:t>
      </w:r>
      <w:r>
        <w:rPr>
          <w:lang w:val="en_US" w:bidi="en_US"/>
        </w:rPr>
        <w:t xml:space="preserve"> to Jesus (NCV)</w:t>
      </w:r>
    </w:p>
    <w:p>
      <w:pPr/>
      <w:r>
        <w:rPr>
          <w:lang w:val="en_US" w:bidi="en_US"/>
        </w:rPr>
      </w:r>
      <w:r>
        <w:rPr>
          <w:b/>
          <w:lang w:val="en_US" w:bidi="en_US"/>
        </w:rPr>
        <w:t>all:</w:t>
      </w:r>
      <w:r>
        <w:rPr>
          <w:lang w:val="en_US" w:bidi="en_US"/>
        </w:rPr>
        <w:t xml:space="preserve"> In Greek, the word </w:t>
      </w:r>
      <w:r>
        <w:rPr>
          <w:i/>
          <w:lang w:val="en_US" w:bidi="en_US"/>
        </w:rPr>
        <w:t>all</w:t>
      </w:r>
      <w:r>
        <w:rPr>
          <w:lang w:val="en_US" w:bidi="en_US"/>
        </w:rPr>
        <w:t xml:space="preserve"> actually refers to all the people who were well and who had sick relatives or friends. For example:</w:t>
      </w:r>
    </w:p>
    <w:p>
      <w:pPr/>
      <w:r>
        <w:rPr>
          <w:lang w:val="en_US" w:bidi="en_US"/>
        </w:rPr>
      </w:r>
      <w:r>
        <w:rPr>
          <w:lang w:val="en_US" w:bidi="en_US"/>
        </w:rPr>
        <w:t>all those who had any relatives sick with various diseases (NET)</w:t>
      </w:r>
    </w:p>
    <w:p>
      <w:pPr/>
      <w:r>
        <w:rPr>
          <w:lang w:val="en_US" w:bidi="en_US"/>
        </w:rPr>
      </w:r>
      <w:r>
        <w:rPr>
          <w:lang w:val="en_US" w:bidi="en_US"/>
        </w:rPr>
        <w:t xml:space="preserve">The BSB has used the word </w:t>
      </w:r>
      <w:r>
        <w:rPr>
          <w:i/>
          <w:lang w:val="en_US" w:bidi="en_US"/>
        </w:rPr>
        <w:t>all</w:t>
      </w:r>
      <w:r>
        <w:rPr>
          <w:lang w:val="en_US" w:bidi="en_US"/>
        </w:rPr>
        <w:t xml:space="preserve"> to refer to those who were sick. This is a different way to express the same meaning. Translate this in the way that is most natural in your language.</w:t>
      </w:r>
    </w:p>
    <w:p>
      <w:pPr/>
      <w:r>
        <w:rPr>
          <w:lang w:val="en_US" w:bidi="en_US"/>
        </w:rPr>
      </w:r>
      <w:r>
        <w:rPr>
          <w:b/>
          <w:lang w:val="en_US" w:bidi="en_US"/>
        </w:rPr>
        <w:t>who were ill with various diseases:</w:t>
      </w:r>
      <w:r>
        <w:rPr>
          <w:lang w:val="en_US" w:bidi="en_US"/>
        </w:rPr>
        <w:t xml:space="preserve"> The Greek phrase that the BSB translates as </w:t>
      </w:r>
      <w:r>
        <w:rPr>
          <w:i/>
          <w:lang w:val="en_US" w:bidi="en_US"/>
        </w:rPr>
        <w:t>ill with various diseases</w:t>
      </w:r>
      <w:r>
        <w:rPr>
          <w:lang w:val="en_US" w:bidi="en_US"/>
        </w:rPr>
        <w:t xml:space="preserve"> does not mean that each sick person had many diseases. It means that among them, the sick people had different types of disease. Some English versions combine “sick ones” and “various diseases” into one phrase. Some other ways to translate this are:</w:t>
      </w:r>
    </w:p>
    <w:p>
      <w:pPr/>
      <w:r>
        <w:rPr>
          <w:lang w:val="en_US" w:bidi="en_US"/>
        </w:rPr>
      </w:r>
      <w:r>
        <w:rPr>
          <w:lang w:val="en_US" w:bidi="en_US"/>
        </w:rPr>
        <w:t>people with all kinds of diseases (CEV)</w:t>
      </w:r>
    </w:p>
    <w:p>
      <w:pPr/>
      <w:r>
        <w:rPr>
          <w:lang w:val="en_US" w:bidi="en_US"/>
        </w:rPr>
      </w:r>
      <w:r>
        <w:rPr>
          <w:lang w:val="en_US" w:bidi="en_US"/>
        </w:rPr>
        <w:t>friends ill with diseases of one kind or another (REB)</w:t>
      </w:r>
    </w:p>
    <w:p>
      <w:pPr/>
      <w:r>
        <w:rPr>
          <w:lang w:val="en_US" w:bidi="en_US"/>
        </w:rPr>
      </w:r>
      <w:r>
        <w:rPr>
          <w:lang w:val="en_US" w:bidi="en_US"/>
        </w:rPr>
        <w:t>friends suffering from diseases of one kind or another (NJB)</w:t>
      </w:r>
    </w:p>
    <w:p>
      <w:pPr>
        <w:pStyle w:val="Heading5"/>
      </w:pPr>
      <w:r>
        <w:rPr>
          <w:lang w:val="en_US" w:bidi="en_US"/>
        </w:rPr>
        <w:t>4:40c</w:t>
      </w:r>
    </w:p>
    <w:p>
      <w:pPr/>
      <w:r>
        <w:rPr>
          <w:lang w:val="en_US" w:bidi="en_US"/>
        </w:rPr>
      </w:r>
      <w:r>
        <w:rPr>
          <w:b/>
          <w:lang w:val="en_US" w:bidi="en_US"/>
        </w:rPr>
        <w:t>and laying His hands on each one, He healed them.</w:t>
      </w:r>
    </w:p>
    <w:p>
      <w:pPr>
        <w:pStyle w:val="ListBullet"/>
        <w:spacing w:line="240" w:lineRule="auto"/>
        <w:ind w:left="720"/>
      </w:pPr>
      <w:r>
        <w:rPr>
          <w:lang w:val="en_US" w:bidi="en_US"/>
        </w:rPr>
      </w:r>
      <w:r>
        <w:rPr>
          <w:lang w:val="en_US" w:bidi="en_US"/>
        </w:rPr>
        <w:t xml:space="preserve">He put his hands on every one of them and healed them </w:t>
      </w:r>
      <w:r>
        <w:rPr>
          <w:lang w:val="en_US" w:bidi="en_US"/>
        </w:rPr>
        <w:t>all</w:t>
      </w:r>
      <w:r>
        <w:rPr>
          <w:lang w:val="en_US" w:bidi="en_US"/>
        </w:rPr>
        <w:t>.</w:t>
      </w:r>
    </w:p>
    <w:p>
      <w:pPr>
        <w:pStyle w:val="ListBullet"/>
        <w:spacing w:line="240" w:lineRule="auto"/>
        <w:ind w:left="720"/>
      </w:pPr>
      <w:r>
        <w:rPr>
          <w:lang w:val="en_US" w:bidi="en_US"/>
        </w:rPr>
      </w:r>
      <w:r>
        <w:rPr>
          <w:lang w:val="en_US" w:bidi="en_US"/>
        </w:rPr>
        <w:t>He/Jesus touched each one of them and healed them.</w:t>
      </w:r>
    </w:p>
    <w:p>
      <w:pPr/>
      <w:r>
        <w:rPr>
          <w:lang w:val="en_US" w:bidi="en_US"/>
        </w:rPr>
      </w:r>
      <w:r>
        <w:rPr>
          <w:b/>
          <w:lang w:val="en_US" w:bidi="en_US"/>
        </w:rPr>
        <w:t>laying His hands on each one, He healed them:</w:t>
      </w:r>
      <w:r>
        <w:rPr>
          <w:lang w:val="en_US" w:bidi="en_US"/>
        </w:rPr>
        <w:t xml:space="preserve"> The clause </w:t>
      </w:r>
      <w:r>
        <w:rPr>
          <w:i/>
          <w:lang w:val="en_US" w:bidi="en_US"/>
        </w:rPr>
        <w:t>laying His hands on each one</w:t>
      </w:r>
      <w:r>
        <w:rPr>
          <w:lang w:val="en_US" w:bidi="en_US"/>
        </w:rPr>
        <w:t xml:space="preserve"> means that Jesus touched each person as he healed them. He often touched people when he healed them.</w:t>
      </w:r>
    </w:p>
    <w:p>
      <w:pPr/>
      <w:r>
        <w:rPr>
          <w:lang w:val="en_US" w:bidi="en_US"/>
        </w:rPr>
      </w:r>
      <w:r>
        <w:rPr>
          <w:lang w:val="en_US" w:bidi="en_US"/>
        </w:rPr>
        <w:t xml:space="preserve">The text does not say that they were healed </w:t>
      </w:r>
      <w:r>
        <w:rPr>
          <w:u w:val="single"/>
          <w:lang w:val="en_US" w:bidi="en_US"/>
        </w:rPr>
        <w:t>because</w:t>
      </w:r>
      <w:r>
        <w:rPr>
          <w:lang w:val="en_US" w:bidi="en_US"/>
        </w:rPr>
        <w:t xml:space="preserve"> he touched them or </w:t>
      </w:r>
      <w:r>
        <w:rPr>
          <w:u w:val="single"/>
          <w:lang w:val="en_US" w:bidi="en_US"/>
        </w:rPr>
        <w:t>by</w:t>
      </w:r>
      <w:r>
        <w:rPr>
          <w:lang w:val="en_US" w:bidi="en_US"/>
        </w:rPr>
        <w:t xml:space="preserve"> him touching them. So it is recommended that you say that “he laid his hands on each one </w:t>
      </w:r>
      <w:r>
        <w:rPr>
          <w:u w:val="single"/>
          <w:lang w:val="en_US" w:bidi="en_US"/>
        </w:rPr>
        <w:t>and</w:t>
      </w:r>
      <w:r>
        <w:rPr>
          <w:lang w:val="en_US" w:bidi="en_US"/>
        </w:rPr>
        <w:t xml:space="preserve"> healed them.” For example:</w:t>
      </w:r>
    </w:p>
    <w:p>
      <w:pPr/>
      <w:r>
        <w:rPr>
          <w:lang w:val="en_US" w:bidi="en_US"/>
        </w:rPr>
      </w:r>
      <w:r>
        <w:rPr>
          <w:lang w:val="en_US" w:bidi="en_US"/>
        </w:rPr>
        <w:t>he placed his hands on every one of them and healed them all (GNT)</w:t>
      </w:r>
      <w:r>
        <w:rPr>
          <w:lang w:val="en_US" w:bidi="en_US"/>
        </w:rPr>
      </w:r>
      <w:r>
        <w:rPr>
          <w:lang w:val="en_US" w:bidi="en_US"/>
        </w:rPr>
      </w:r>
    </w:p>
    <w:p>
      <w:pPr/>
      <w:r>
        <w:rPr>
          <w:lang w:val="en_US" w:bidi="en_US"/>
        </w:rPr>
      </w:r>
    </w:p>
    <w:p>
      <w:pPr>
        <w:pStyle w:val="Heading2"/>
      </w:pPr>
      <w:r>
        <w:rPr>
          <w:lang w:val="en_US" w:bidi="en_US"/>
        </w:rPr>
        <w:t>Luke 4:41</w:t>
      </w:r>
      <w:r>
        <w:rPr>
          <w:lang w:val="en_US" w:bidi="en_US"/>
        </w:rPr>
      </w:r>
    </w:p>
    <w:p>
      <w:pPr>
        <w:pStyle w:val="Heading4"/>
      </w:pPr>
      <w:r>
        <w:rPr>
          <w:lang w:val="en_US" w:bidi="en_US"/>
        </w:rPr>
        <w:t>Section 4:38–44: Jesus helped many people</w:t>
      </w:r>
    </w:p>
    <w:p>
      <w:pPr/>
      <w:r>
        <w:rPr>
          <w:lang w:val="en_US" w:bidi="en_US"/>
        </w:rPr>
      </w:r>
      <w:r>
        <w:rPr>
          <w:lang w:val="en_US" w:bidi="en_US"/>
        </w:rPr>
        <w:t>Jesus continued healing people, casting out demons, and preaching the good news about the kingdom of God. The people of Capernaum tried to stop him from leaving (4:42), but Jesus continued going from place to place, helping many people.</w:t>
      </w:r>
    </w:p>
    <w:p>
      <w:pPr/>
      <w:r>
        <w:rPr>
          <w:lang w:val="en_US" w:bidi="en_US"/>
        </w:rPr>
      </w:r>
      <w:r>
        <w:rPr>
          <w:lang w:val="en_US" w:bidi="en_US"/>
        </w:rPr>
        <w:t>Some other possible headings for this section are:</w:t>
      </w:r>
    </w:p>
    <w:p>
      <w:pPr/>
      <w:r>
        <w:rPr>
          <w:lang w:val="en_US" w:bidi="en_US"/>
        </w:rPr>
      </w:r>
      <w:r>
        <w:rPr>
          <w:lang w:val="en_US" w:bidi="en_US"/>
        </w:rPr>
        <w:t>Jesus Heals Many People</w:t>
      </w:r>
    </w:p>
    <w:p>
      <w:pPr/>
      <w:r>
        <w:rPr>
          <w:lang w:val="en_US" w:bidi="en_US"/>
        </w:rPr>
      </w:r>
      <w:r>
        <w:rPr>
          <w:lang w:val="en_US" w:bidi="en_US"/>
        </w:rPr>
        <w:t>Jesus Cures Simon’s Mother-in-Law and Many Others (GW)</w:t>
      </w:r>
    </w:p>
    <w:p>
      <w:pPr/>
      <w:r>
        <w:rPr>
          <w:lang w:val="en_US" w:bidi="en_US"/>
        </w:rPr>
      </w:r>
      <w:r>
        <w:rPr>
          <w:lang w:val="en_US" w:bidi="en_US"/>
        </w:rPr>
        <w:t>There are parallel passages for this section in Matthew 8:14–17 and Mark 1:29–34.</w:t>
      </w:r>
    </w:p>
    <w:p>
      <w:pPr>
        <w:pStyle w:val="Heading5"/>
      </w:pPr>
      <w:r>
        <w:rPr>
          <w:lang w:val="en_US" w:bidi="en_US"/>
        </w:rPr>
        <w:t>4:41a</w:t>
      </w:r>
    </w:p>
    <w:p>
      <w:pPr/>
      <w:r>
        <w:rPr>
          <w:lang w:val="en_US" w:bidi="en_US"/>
        </w:rPr>
      </w:r>
      <w:r>
        <w:rPr>
          <w:b/>
          <w:lang w:val="en_US" w:bidi="en_US"/>
        </w:rPr>
        <w:t>Demons also came out of many people,</w:t>
      </w:r>
    </w:p>
    <w:p>
      <w:pPr>
        <w:pStyle w:val="ListBullet"/>
        <w:spacing w:line="240" w:lineRule="auto"/>
        <w:ind w:left="720"/>
      </w:pPr>
      <w:r>
        <w:rPr>
          <w:lang w:val="en_US" w:bidi="en_US"/>
        </w:rPr>
      </w:r>
      <w:r>
        <w:rPr>
          <w:lang w:val="en_US" w:bidi="en_US"/>
        </w:rPr>
        <w:t xml:space="preserve">Also </w:t>
      </w:r>
      <w:r>
        <w:rPr>
          <w:lang w:val="en_US" w:bidi="en_US"/>
        </w:rPr>
        <w:t>Jesus caused</w:t>
      </w:r>
      <w:r>
        <w:rPr>
          <w:lang w:val="en_US" w:bidi="en_US"/>
        </w:rPr>
        <w:t xml:space="preserve"> demons </w:t>
      </w:r>
      <w:r>
        <w:rPr>
          <w:lang w:val="en_US" w:bidi="en_US"/>
        </w:rPr>
        <w:t>to</w:t>
      </w:r>
      <w:r>
        <w:rPr>
          <w:lang w:val="en_US" w:bidi="en_US"/>
        </w:rPr>
        <w:t xml:space="preserve"> come out of many people.</w:t>
      </w:r>
    </w:p>
    <w:p>
      <w:pPr>
        <w:pStyle w:val="ListBullet"/>
        <w:spacing w:line="240" w:lineRule="auto"/>
        <w:ind w:left="720"/>
      </w:pPr>
      <w:r>
        <w:rPr>
          <w:lang w:val="en_US" w:bidi="en_US"/>
        </w:rPr>
      </w:r>
      <w:r>
        <w:rPr>
          <w:lang w:val="en_US" w:bidi="en_US"/>
        </w:rPr>
        <w:t xml:space="preserve">Also, many people </w:t>
      </w:r>
      <w:r>
        <w:rPr>
          <w:lang w:val="en_US" w:bidi="en_US"/>
        </w:rPr>
        <w:t>there</w:t>
      </w:r>
      <w:r>
        <w:rPr>
          <w:lang w:val="en_US" w:bidi="en_US"/>
        </w:rPr>
        <w:t xml:space="preserve"> had demons in them. </w:t>
      </w:r>
      <w:r>
        <w:rPr>
          <w:lang w:val="en_US" w:bidi="en_US"/>
        </w:rPr>
        <w:t>Jesus caused all</w:t>
      </w:r>
      <w:r>
        <w:rPr>
          <w:lang w:val="en_US" w:bidi="en_US"/>
        </w:rPr>
        <w:t xml:space="preserve"> these demons to leave.</w:t>
      </w:r>
    </w:p>
    <w:p>
      <w:pPr>
        <w:pStyle w:val="ListBullet"/>
        <w:spacing w:line="240" w:lineRule="auto"/>
        <w:ind w:left="720"/>
      </w:pPr>
      <w:r>
        <w:rPr>
          <w:lang w:val="en_US" w:bidi="en_US"/>
        </w:rPr>
      </w:r>
      <w:r>
        <w:rPr>
          <w:lang w:val="en_US" w:bidi="en_US"/>
        </w:rPr>
        <w:t>Many were possessed by demons; and the demons came out at his command. (NLT)</w:t>
      </w:r>
    </w:p>
    <w:p>
      <w:pPr/>
      <w:r>
        <w:rPr>
          <w:lang w:val="en_US" w:bidi="en_US"/>
        </w:rPr>
      </w:r>
      <w:r>
        <w:rPr>
          <w:b/>
          <w:lang w:val="en_US" w:bidi="en_US"/>
        </w:rPr>
        <w:t>Demons … came out of many people:</w:t>
      </w:r>
      <w:r>
        <w:rPr>
          <w:lang w:val="en_US" w:bidi="en_US"/>
        </w:rPr>
        <w:t xml:space="preserve"> These demons came out of the people against their will. Jesus forced them to leave by telling them to come out. In some languages, it may be helpful to make this explicit. For example:</w:t>
      </w:r>
    </w:p>
    <w:p>
      <w:pPr/>
      <w:r>
        <w:rPr>
          <w:lang w:val="en_US" w:bidi="en_US"/>
        </w:rPr>
      </w:r>
      <w:r>
        <w:rPr>
          <w:lang w:val="en_US" w:bidi="en_US"/>
        </w:rPr>
        <w:t xml:space="preserve">demons came out of many people </w:t>
      </w:r>
      <w:r>
        <w:rPr>
          <w:lang w:val="en_US" w:bidi="en_US"/>
        </w:rPr>
        <w:t>at Jesus’ word/command</w:t>
      </w:r>
    </w:p>
    <w:p>
      <w:pPr/>
      <w:r>
        <w:rPr>
          <w:lang w:val="en_US" w:bidi="en_US"/>
        </w:rPr>
      </w:r>
      <w:r>
        <w:rPr>
          <w:b/>
          <w:lang w:val="en_US" w:bidi="en_US"/>
        </w:rPr>
        <w:t>Demons:</w:t>
      </w:r>
      <w:r>
        <w:rPr>
          <w:lang w:val="en_US" w:bidi="en_US"/>
        </w:rPr>
        <w:t xml:space="preserve"> The Greek word that the BSB translates as </w:t>
      </w:r>
      <w:r>
        <w:rPr>
          <w:i/>
          <w:lang w:val="en_US" w:bidi="en_US"/>
        </w:rPr>
        <w:t>Demons</w:t>
      </w:r>
      <w:r>
        <w:rPr>
          <w:lang w:val="en_US" w:bidi="en_US"/>
        </w:rPr>
        <w:t xml:space="preserve"> is the same word as in 4:33a and 4:35b. Here it is plural.</w:t>
      </w:r>
    </w:p>
    <w:p>
      <w:pPr/>
      <w:r>
        <w:rPr>
          <w:lang w:val="en_US" w:bidi="en_US"/>
        </w:rPr>
      </w:r>
      <w:r>
        <w:rPr>
          <w:b/>
          <w:lang w:val="en_US" w:bidi="en_US"/>
        </w:rPr>
        <w:t>many people:</w:t>
      </w:r>
      <w:r>
        <w:rPr>
          <w:lang w:val="en_US" w:bidi="en_US"/>
        </w:rPr>
        <w:t xml:space="preserve"> Many of the people there were possessed by demons. For each person there with a demon or demons, Jesus commanded the demons to come out, and all the demons came out.</w:t>
      </w:r>
    </w:p>
    <w:p>
      <w:pPr/>
      <w:r>
        <w:rPr>
          <w:lang w:val="en_US" w:bidi="en_US"/>
        </w:rPr>
      </w:r>
      <w:r>
        <w:rPr>
          <w:lang w:val="en_US" w:bidi="en_US"/>
        </w:rPr>
        <w:t xml:space="preserve">Check that your translation does </w:t>
      </w:r>
      <w:r>
        <w:rPr>
          <w:u w:val="single"/>
          <w:lang w:val="en_US" w:bidi="en_US"/>
        </w:rPr>
        <w:t>not</w:t>
      </w:r>
      <w:r>
        <w:rPr>
          <w:lang w:val="en_US" w:bidi="en_US"/>
        </w:rPr>
        <w:t xml:space="preserve"> imply that Jesus was able to cast out demons from “many” but not “all” people.</w:t>
      </w:r>
    </w:p>
    <w:p>
      <w:pPr/>
      <w:r>
        <w:rPr>
          <w:lang w:val="en_US" w:bidi="en_US"/>
        </w:rPr>
      </w:r>
      <w:r>
        <w:rPr>
          <w:b/>
          <w:lang w:val="en_US" w:bidi="en_US"/>
        </w:rPr>
        <w:t>also:</w:t>
      </w:r>
      <w:r>
        <w:rPr>
          <w:lang w:val="en_US" w:bidi="en_US"/>
        </w:rPr>
        <w:t xml:space="preserve"> The Greek word that the BSB translates as </w:t>
      </w:r>
      <w:r>
        <w:rPr>
          <w:i/>
          <w:lang w:val="en_US" w:bidi="en_US"/>
        </w:rPr>
        <w:t>also</w:t>
      </w:r>
      <w:r>
        <w:rPr>
          <w:lang w:val="en_US" w:bidi="en_US"/>
        </w:rPr>
        <w:t xml:space="preserve"> introduces what happened to a different group of people. Another way to translate this is word:</w:t>
      </w:r>
    </w:p>
    <w:p>
      <w:pPr/>
      <w:r>
        <w:rPr>
          <w:lang w:val="en_US" w:bidi="en_US"/>
        </w:rPr>
      </w:r>
      <w:r>
        <w:rPr>
          <w:u w:val="single"/>
          <w:lang w:val="en_US" w:bidi="en_US"/>
        </w:rPr>
        <w:t>Moreover</w:t>
      </w:r>
      <w:r>
        <w:rPr>
          <w:lang w:val="en_US" w:bidi="en_US"/>
        </w:rPr>
        <w:t>, demons came out of many people (NIV)</w:t>
      </w:r>
    </w:p>
    <w:p>
      <w:pPr>
        <w:pStyle w:val="Heading5"/>
      </w:pPr>
      <w:r>
        <w:rPr>
          <w:lang w:val="en_US" w:bidi="en_US"/>
        </w:rPr>
        <w:t>4:41b</w:t>
      </w:r>
    </w:p>
    <w:p>
      <w:pPr/>
      <w:r>
        <w:rPr>
          <w:lang w:val="en_US" w:bidi="en_US"/>
        </w:rPr>
      </w:r>
      <w:r>
        <w:rPr>
          <w:b/>
          <w:lang w:val="en_US" w:bidi="en_US"/>
        </w:rPr>
        <w:t>shouting, “You are the Son of God!”</w:t>
      </w:r>
    </w:p>
    <w:p>
      <w:pPr>
        <w:pStyle w:val="ListBullet"/>
        <w:spacing w:line="240" w:lineRule="auto"/>
        <w:ind w:left="720"/>
      </w:pPr>
      <w:r>
        <w:rPr>
          <w:lang w:val="en_US" w:bidi="en_US"/>
        </w:rPr>
      </w:r>
      <w:r>
        <w:rPr>
          <w:lang w:val="en_US" w:bidi="en_US"/>
        </w:rPr>
        <w:t>They shouted, “You are the Son of God!”</w:t>
      </w:r>
    </w:p>
    <w:p>
      <w:pPr>
        <w:pStyle w:val="ListBullet"/>
        <w:spacing w:line="240" w:lineRule="auto"/>
        <w:ind w:left="720"/>
      </w:pPr>
      <w:r>
        <w:rPr>
          <w:lang w:val="en_US" w:bidi="en_US"/>
        </w:rPr>
      </w:r>
      <w:r>
        <w:rPr>
          <w:lang w:val="en_US" w:bidi="en_US"/>
        </w:rPr>
        <w:t>The demons</w:t>
      </w:r>
      <w:r>
        <w:rPr>
          <w:lang w:val="en_US" w:bidi="en_US"/>
        </w:rPr>
        <w:t xml:space="preserve"> screamed at Jesus, “You are God’s Son!”</w:t>
      </w:r>
    </w:p>
    <w:p>
      <w:pPr/>
      <w:r>
        <w:rPr>
          <w:lang w:val="en_US" w:bidi="en_US"/>
        </w:rPr>
      </w:r>
      <w:r>
        <w:rPr>
          <w:b/>
          <w:lang w:val="en_US" w:bidi="en_US"/>
        </w:rPr>
        <w:t>shouting:</w:t>
      </w:r>
      <w:r>
        <w:rPr>
          <w:lang w:val="en_US" w:bidi="en_US"/>
        </w:rPr>
        <w:t xml:space="preserve"> The Greek phrase that the BSB translates as </w:t>
      </w:r>
      <w:r>
        <w:rPr>
          <w:i/>
          <w:lang w:val="en_US" w:bidi="en_US"/>
        </w:rPr>
        <w:t>shouting</w:t>
      </w:r>
      <w:r>
        <w:rPr>
          <w:lang w:val="en_US" w:bidi="en_US"/>
        </w:rPr>
        <w:t xml:space="preserve"> is literally “crying-out and saying.” The sound was a loud shout or scream. It was also understandable speech. For example:</w:t>
      </w:r>
    </w:p>
    <w:p>
      <w:pPr/>
      <w:r>
        <w:rPr>
          <w:lang w:val="en_US" w:bidi="en_US"/>
        </w:rPr>
      </w:r>
      <w:r>
        <w:rPr>
          <w:lang w:val="en_US" w:bidi="en_US"/>
        </w:rPr>
        <w:t>screaming (GNT)</w:t>
      </w:r>
    </w:p>
    <w:p>
      <w:pPr/>
      <w:r>
        <w:rPr>
          <w:lang w:val="en_US" w:bidi="en_US"/>
        </w:rPr>
      </w:r>
      <w:r>
        <w:rPr>
          <w:lang w:val="en_US" w:bidi="en_US"/>
        </w:rPr>
        <w:t>It was the demons who were shouting.</w:t>
      </w:r>
    </w:p>
    <w:p>
      <w:pPr/>
      <w:r>
        <w:rPr>
          <w:lang w:val="en_US" w:bidi="en_US"/>
        </w:rPr>
      </w:r>
      <w:r>
        <w:rPr>
          <w:b/>
          <w:lang w:val="en_US" w:bidi="en_US"/>
        </w:rPr>
        <w:t>You are the Son of God!:</w:t>
      </w:r>
      <w:r>
        <w:rPr>
          <w:lang w:val="en_US" w:bidi="en_US"/>
        </w:rPr>
        <w:t xml:space="preserve"> The demons shouted to Jesus that he was </w:t>
      </w:r>
      <w:r>
        <w:rPr>
          <w:i/>
          <w:lang w:val="en_US" w:bidi="en_US"/>
        </w:rPr>
        <w:t>the Son of God</w:t>
      </w:r>
      <w:r>
        <w:rPr>
          <w:lang w:val="en_US" w:bidi="en_US"/>
        </w:rPr>
        <w:t>. The way in which they shouted these words shows that they were not praising or worshiping Jesus.</w:t>
      </w:r>
    </w:p>
    <w:p>
      <w:pPr/>
      <w:r>
        <w:rPr>
          <w:lang w:val="en_US" w:bidi="en_US"/>
        </w:rPr>
      </w:r>
      <w:r>
        <w:rPr>
          <w:b/>
          <w:lang w:val="en_US" w:bidi="en_US"/>
        </w:rPr>
        <w:t>the Son of God:</w:t>
      </w:r>
      <w:r>
        <w:rPr>
          <w:lang w:val="en_US" w:bidi="en_US"/>
        </w:rPr>
        <w:t xml:space="preserve"> See the note on </w:t>
      </w:r>
      <w:r>
        <w:rPr>
          <w:i/>
          <w:lang w:val="en_US" w:bidi="en_US"/>
        </w:rPr>
        <w:t>the Son of God</w:t>
      </w:r>
      <w:r>
        <w:rPr>
          <w:lang w:val="en_US" w:bidi="en_US"/>
        </w:rPr>
        <w:t xml:space="preserve"> in 4:3a for more information on this title for Jesus. Translate it the same way in both places.</w:t>
      </w:r>
    </w:p>
    <w:p>
      <w:pPr>
        <w:pStyle w:val="Heading5"/>
      </w:pPr>
      <w:r>
        <w:rPr>
          <w:lang w:val="en_US" w:bidi="en_US"/>
        </w:rPr>
        <w:t>4:41c</w:t>
      </w:r>
    </w:p>
    <w:p>
      <w:pPr/>
      <w:r>
        <w:rPr>
          <w:lang w:val="en_US" w:bidi="en_US"/>
        </w:rPr>
      </w:r>
      <w:r>
        <w:rPr>
          <w:b/>
          <w:lang w:val="en_US" w:bidi="en_US"/>
        </w:rPr>
        <w:t>But He rebuked the demons and would not allow them to speak,</w:t>
      </w:r>
    </w:p>
    <w:p>
      <w:pPr>
        <w:pStyle w:val="ListBullet"/>
        <w:spacing w:line="240" w:lineRule="auto"/>
        <w:ind w:left="720"/>
      </w:pPr>
      <w:r>
        <w:rPr>
          <w:lang w:val="en_US" w:bidi="en_US"/>
        </w:rPr>
      </w:r>
      <w:r>
        <w:rPr>
          <w:lang w:val="en_US" w:bidi="en_US"/>
        </w:rPr>
        <w:t>But he spoke strongly to them and would not allow them to speak,</w:t>
      </w:r>
    </w:p>
    <w:p>
      <w:pPr>
        <w:pStyle w:val="ListBullet"/>
        <w:spacing w:line="240" w:lineRule="auto"/>
        <w:ind w:left="720"/>
      </w:pPr>
      <w:r>
        <w:rPr>
          <w:lang w:val="en_US" w:bidi="en_US"/>
        </w:rPr>
      </w:r>
      <w:r>
        <w:rPr>
          <w:lang w:val="en_US" w:bidi="en_US"/>
        </w:rPr>
        <w:t xml:space="preserve">But Jesus commanded the demons not to speak </w:t>
      </w:r>
      <w:r>
        <w:rPr>
          <w:lang w:val="en_US" w:bidi="en_US"/>
        </w:rPr>
        <w:t>any more</w:t>
      </w:r>
      <w:r>
        <w:rPr>
          <w:lang w:val="en_US" w:bidi="en_US"/>
        </w:rPr>
        <w:t>,</w:t>
      </w:r>
    </w:p>
    <w:p>
      <w:pPr>
        <w:pStyle w:val="ListBullet"/>
        <w:spacing w:line="240" w:lineRule="auto"/>
        <w:ind w:left="720"/>
      </w:pPr>
      <w:r>
        <w:rPr>
          <w:lang w:val="en_US" w:bidi="en_US"/>
        </w:rPr>
      </w:r>
      <w:r>
        <w:rPr>
          <w:lang w:val="en_US" w:bidi="en_US"/>
        </w:rPr>
        <w:t xml:space="preserve">Jesus rebuked the demons, “Do not speak </w:t>
      </w:r>
      <w:r>
        <w:rPr>
          <w:lang w:val="en_US" w:bidi="en_US"/>
        </w:rPr>
        <w:t>any more</w:t>
      </w:r>
      <w:r>
        <w:rPr>
          <w:lang w:val="en_US" w:bidi="en_US"/>
        </w:rPr>
        <w:t>!”</w:t>
      </w:r>
    </w:p>
    <w:p>
      <w:pPr/>
      <w:r>
        <w:rPr>
          <w:lang w:val="en_US" w:bidi="en_US"/>
        </w:rPr>
      </w:r>
      <w:r>
        <w:rPr>
          <w:b/>
          <w:lang w:val="en_US" w:bidi="en_US"/>
        </w:rPr>
        <w:t>But:</w:t>
      </w:r>
      <w:r>
        <w:rPr>
          <w:lang w:val="en_US" w:bidi="en_US"/>
        </w:rPr>
        <w:t xml:space="preserve"> There is a contrast between 4:41b and 4:41c. The contrast is that the demons wanted to speak but Jesus would not allow them. Most English versions are like the BSB and indicate this contrast by translating the Greek conjunction at the beginning of this verse part as </w:t>
      </w:r>
      <w:r>
        <w:rPr>
          <w:i/>
          <w:lang w:val="en_US" w:bidi="en_US"/>
        </w:rPr>
        <w:t>But</w:t>
      </w:r>
      <w:r>
        <w:rPr>
          <w:lang w:val="en_US" w:bidi="en_US"/>
        </w:rPr>
        <w:t>.</w:t>
      </w:r>
    </w:p>
    <w:p>
      <w:pPr/>
      <w:r>
        <w:rPr>
          <w:lang w:val="en_US" w:bidi="en_US"/>
        </w:rPr>
      </w:r>
      <w:r>
        <w:rPr>
          <w:lang w:val="en_US" w:bidi="en_US"/>
        </w:rPr>
        <w:t>In some languages, it may not be necessary to translate this conjunction explicitly. For example:</w:t>
      </w:r>
    </w:p>
    <w:p>
      <w:pPr/>
      <w:r>
        <w:rPr>
          <w:lang w:val="en_US" w:bidi="en_US"/>
        </w:rPr>
      </w:r>
      <w:r>
        <w:rPr>
          <w:lang w:val="en_US" w:bidi="en_US"/>
        </w:rPr>
        <w:t>Jesus gave the demons an order and would not let them speak (GNT)</w:t>
      </w:r>
    </w:p>
    <w:p>
      <w:pPr/>
      <w:r>
        <w:rPr>
          <w:lang w:val="en_US" w:bidi="en_US"/>
        </w:rPr>
      </w:r>
      <w:r>
        <w:rPr>
          <w:b/>
          <w:lang w:val="en_US" w:bidi="en_US"/>
        </w:rPr>
        <w:t>He rebuked the demons and would not allow them to speak:</w:t>
      </w:r>
      <w:r>
        <w:rPr>
          <w:lang w:val="en_US" w:bidi="en_US"/>
        </w:rPr>
        <w:t xml:space="preserve"> Another way to translate this is:</w:t>
      </w:r>
    </w:p>
    <w:p>
      <w:pPr/>
      <w:r>
        <w:rPr>
          <w:lang w:val="en_US" w:bidi="en_US"/>
        </w:rPr>
      </w:r>
      <w:r>
        <w:rPr>
          <w:lang w:val="en_US" w:bidi="en_US"/>
        </w:rPr>
        <w:t>Jesus ordered the demons not to speak (CEV)</w:t>
      </w:r>
    </w:p>
    <w:p>
      <w:pPr/>
      <w:r>
        <w:rPr>
          <w:lang w:val="en_US" w:bidi="en_US"/>
        </w:rPr>
      </w:r>
      <w:r>
        <w:rPr>
          <w:b/>
          <w:lang w:val="en_US" w:bidi="en_US"/>
        </w:rPr>
        <w:t>He rebuked the demons:</w:t>
      </w:r>
      <w:r>
        <w:rPr>
          <w:lang w:val="en_US" w:bidi="en_US"/>
        </w:rPr>
        <w:t xml:space="preserve"> The Greek word that the BSB translates as </w:t>
      </w:r>
      <w:r>
        <w:rPr>
          <w:i/>
          <w:lang w:val="en_US" w:bidi="en_US"/>
        </w:rPr>
        <w:t>rebuked</w:t>
      </w:r>
      <w:r>
        <w:rPr>
          <w:lang w:val="en_US" w:bidi="en_US"/>
        </w:rPr>
        <w:t xml:space="preserve"> here is the same word as in4:35a and 4:39a. It means “spoke forcefully to.” Some other ways to translate this word are:</w:t>
      </w:r>
    </w:p>
    <w:p>
      <w:pPr/>
      <w:r>
        <w:rPr>
          <w:lang w:val="en_US" w:bidi="en_US"/>
        </w:rPr>
      </w:r>
      <w:r>
        <w:rPr>
          <w:lang w:val="en_US" w:bidi="en_US"/>
        </w:rPr>
        <w:t>ordered (CEV)</w:t>
      </w:r>
    </w:p>
    <w:p>
      <w:pPr/>
      <w:r>
        <w:rPr>
          <w:lang w:val="en_US" w:bidi="en_US"/>
        </w:rPr>
      </w:r>
      <w:r>
        <w:rPr>
          <w:lang w:val="en_US" w:bidi="en_US"/>
        </w:rPr>
        <w:t>commanded (NCV)</w:t>
      </w:r>
    </w:p>
    <w:p>
      <w:pPr/>
      <w:r>
        <w:rPr>
          <w:lang w:val="en_US" w:bidi="en_US"/>
        </w:rPr>
      </w:r>
      <w:r>
        <w:rPr>
          <w:lang w:val="en_US" w:bidi="en_US"/>
        </w:rPr>
        <w:t>said sternly (NIV)</w:t>
      </w:r>
    </w:p>
    <w:p>
      <w:pPr/>
      <w:r>
        <w:rPr>
          <w:lang w:val="en_US" w:bidi="en_US"/>
        </w:rPr>
      </w:r>
      <w:r>
        <w:rPr>
          <w:b/>
          <w:lang w:val="en_US" w:bidi="en_US"/>
        </w:rPr>
        <w:t>and would not allow them to speak:</w:t>
      </w:r>
      <w:r>
        <w:rPr>
          <w:lang w:val="en_US" w:bidi="en_US"/>
        </w:rPr>
        <w:t xml:space="preserve"> The phrase </w:t>
      </w:r>
      <w:r>
        <w:rPr>
          <w:i/>
          <w:lang w:val="en_US" w:bidi="en_US"/>
        </w:rPr>
        <w:t>would not allow them to speak</w:t>
      </w:r>
      <w:r>
        <w:rPr>
          <w:lang w:val="en_US" w:bidi="en_US"/>
        </w:rPr>
        <w:t xml:space="preserve"> means that Jesus did not permit the demons to talk any more at that time.</w:t>
      </w:r>
    </w:p>
    <w:p>
      <w:pPr/>
      <w:r>
        <w:rPr>
          <w:lang w:val="en_US" w:bidi="en_US"/>
        </w:rPr>
      </w:r>
      <w:r>
        <w:rPr>
          <w:lang w:val="en_US" w:bidi="en_US"/>
        </w:rPr>
        <w:t>In your translation, avoid implying that Jesus stopped the demons because what the demons had said was not true. It was true. Jesus stopped them because he did not yet want people to know that he was the Son of God, the Christ/Messiah (4:41d).</w:t>
      </w:r>
    </w:p>
    <w:p>
      <w:pPr>
        <w:pStyle w:val="Heading5"/>
      </w:pPr>
      <w:r>
        <w:rPr>
          <w:lang w:val="en_US" w:bidi="en_US"/>
        </w:rPr>
        <w:t>4:41d</w:t>
      </w:r>
    </w:p>
    <w:p>
      <w:pPr/>
      <w:r>
        <w:rPr>
          <w:lang w:val="en_US" w:bidi="en_US"/>
        </w:rPr>
      </w:r>
      <w:r>
        <w:rPr>
          <w:b/>
          <w:lang w:val="en_US" w:bidi="en_US"/>
        </w:rPr>
        <w:t>because they knew He was the Christ.</w:t>
      </w:r>
    </w:p>
    <w:p>
      <w:pPr>
        <w:pStyle w:val="ListBullet"/>
        <w:spacing w:line="240" w:lineRule="auto"/>
        <w:ind w:left="720"/>
      </w:pPr>
      <w:r>
        <w:rPr>
          <w:lang w:val="en_US" w:bidi="en_US"/>
        </w:rPr>
      </w:r>
      <w:r>
        <w:rPr>
          <w:lang w:val="en_US" w:bidi="en_US"/>
        </w:rPr>
        <w:t>because they knew that he was the Christ/Messiah.</w:t>
      </w:r>
    </w:p>
    <w:p>
      <w:pPr>
        <w:pStyle w:val="ListBullet"/>
        <w:spacing w:line="240" w:lineRule="auto"/>
        <w:ind w:left="720"/>
      </w:pPr>
      <w:r>
        <w:rPr>
          <w:lang w:val="en_US" w:bidi="en_US"/>
        </w:rPr>
      </w:r>
      <w:r>
        <w:rPr>
          <w:lang w:val="en_US" w:bidi="en_US"/>
        </w:rPr>
        <w:t xml:space="preserve">For they knew that Jesus was the Christ/Deliverer </w:t>
      </w:r>
      <w:r>
        <w:rPr>
          <w:lang w:val="en_US" w:bidi="en_US"/>
        </w:rPr>
        <w:t>whom God sent</w:t>
      </w:r>
      <w:r>
        <w:rPr>
          <w:lang w:val="en_US" w:bidi="en_US"/>
        </w:rPr>
        <w:t>.</w:t>
      </w:r>
    </w:p>
    <w:p>
      <w:pPr/>
      <w:r>
        <w:rPr>
          <w:lang w:val="en_US" w:bidi="en_US"/>
        </w:rPr>
      </w:r>
      <w:r>
        <w:rPr>
          <w:b/>
          <w:lang w:val="en_US" w:bidi="en_US"/>
        </w:rPr>
        <w:t>because they knew He was the Christ:</w:t>
      </w:r>
      <w:r>
        <w:rPr>
          <w:lang w:val="en_US" w:bidi="en_US"/>
        </w:rPr>
        <w:t xml:space="preserve"> Verse 4:41d gives the reason why Jesus stopped the demons from speaking in 4:41c. It leaves implied the fact that Jesus did not want the demons to declare to the people that he was the Christ.</w:t>
      </w:r>
    </w:p>
    <w:p>
      <w:pPr/>
      <w:r>
        <w:rPr>
          <w:lang w:val="en_US" w:bidi="en_US"/>
        </w:rPr>
      </w:r>
      <w:r>
        <w:rPr>
          <w:lang w:val="en_US" w:bidi="en_US"/>
        </w:rPr>
        <w:t>In some languages, it is more natural to put 4:41d before 4:41c. See the General Comment on 4:41c–d below.</w:t>
      </w:r>
    </w:p>
    <w:p>
      <w:pPr/>
      <w:r>
        <w:rPr>
          <w:lang w:val="en_US" w:bidi="en_US"/>
        </w:rPr>
      </w:r>
      <w:r>
        <w:rPr>
          <w:b/>
          <w:lang w:val="en_US" w:bidi="en_US"/>
        </w:rPr>
        <w:t>the Christ:</w:t>
      </w:r>
      <w:r>
        <w:rPr>
          <w:lang w:val="en_US" w:bidi="en_US"/>
        </w:rPr>
        <w:t xml:space="preserve"> In Luke the word </w:t>
      </w:r>
      <w:r>
        <w:rPr>
          <w:i/>
          <w:lang w:val="en_US" w:bidi="en_US"/>
        </w:rPr>
        <w:t>Christ</w:t>
      </w:r>
      <w:r>
        <w:rPr>
          <w:lang w:val="en_US" w:bidi="en_US"/>
        </w:rPr>
        <w:t xml:space="preserve"> is a title. It is not just one of Jesus’ names. The Jews used this title to refer to the person whom God had appointed and promised to send as king and savior. The title </w:t>
      </w:r>
      <w:r>
        <w:rPr>
          <w:i/>
          <w:lang w:val="en_US" w:bidi="en_US"/>
        </w:rPr>
        <w:t>Christ</w:t>
      </w:r>
      <w:r>
        <w:rPr>
          <w:lang w:val="en_US" w:bidi="en_US"/>
        </w:rPr>
        <w:t xml:space="preserve"> is the Greek translation of the Hebrew word “Messiah,” and the two words have the same meaning.</w:t>
      </w:r>
    </w:p>
    <w:p>
      <w:pPr/>
      <w:r>
        <w:rPr>
          <w:lang w:val="en_US" w:bidi="en_US"/>
        </w:rPr>
      </w:r>
      <w:r>
        <w:rPr>
          <w:lang w:val="en_US" w:bidi="en_US"/>
        </w:rPr>
        <w:t xml:space="preserve">Some ways to translate </w:t>
      </w:r>
      <w:r>
        <w:rPr>
          <w:i/>
          <w:lang w:val="en_US" w:bidi="en_US"/>
        </w:rPr>
        <w:t>Christ</w:t>
      </w:r>
      <w:r>
        <w:rPr>
          <w:lang w:val="en_US" w:bidi="en_US"/>
        </w:rPr>
        <w:t xml:space="preserve"> are:</w:t>
      </w:r>
    </w:p>
    <w:p>
      <w:pPr>
        <w:pStyle w:val="ListBullet"/>
        <w:spacing w:line="240" w:lineRule="auto"/>
        <w:ind w:left="720"/>
      </w:pPr>
      <w:r>
        <w:rPr>
          <w:lang w:val="en_US" w:bidi="en_US"/>
        </w:rPr>
      </w:r>
      <w:r>
        <w:rPr>
          <w:lang w:val="en_US" w:bidi="en_US"/>
        </w:rPr>
        <w:t xml:space="preserve">Use a title or a descriptive phrase in your language that has the same meaning as </w:t>
      </w:r>
      <w:r>
        <w:rPr>
          <w:i/>
          <w:lang w:val="en_US" w:bidi="en_US"/>
        </w:rPr>
        <w:t>Christ</w:t>
      </w:r>
      <w:r>
        <w:rPr>
          <w:lang w:val="en_US" w:bidi="en_US"/>
        </w:rPr>
        <w:t>. For example:</w:t>
      </w:r>
      <w:r>
        <w:rPr>
          <w:lang w:val="en_US" w:bidi="en_US"/>
        </w:rPr>
        <w:t>Messiah</w:t>
      </w:r>
      <w:r>
        <w:rPr>
          <w:lang w:val="en_US" w:bidi="en_US"/>
        </w:rPr>
        <w:t>Promised Deliverer</w:t>
      </w:r>
      <w:r>
        <w:rPr>
          <w:lang w:val="en_US" w:bidi="en_US"/>
        </w:rPr>
        <w:t>the Rescuer-King whom God appointed</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include a phrase that explains the meaning. For example:</w:t>
      </w:r>
      <w:r>
        <w:rPr>
          <w:lang w:val="en_US" w:bidi="en_US"/>
        </w:rPr>
        <w:t>Christ, the appointed one</w:t>
      </w:r>
      <w:r>
        <w:rPr>
          <w:lang w:val="en_US" w:bidi="en_US"/>
        </w:rPr>
        <w:t>Cristo, the Savior whom God promised to send</w:t>
      </w:r>
      <w:r>
        <w:rPr>
          <w:lang w:val="en_US" w:bidi="en_US"/>
        </w:rPr>
        <w:t>the Christ who comes from God</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indicate in some way that it is a title. For example:</w:t>
      </w:r>
      <w:r>
        <w:rPr>
          <w:lang w:val="en_US" w:bidi="en_US"/>
        </w:rPr>
        <w:t>the Christ</w:t>
      </w:r>
      <w:r>
        <w:rPr>
          <w:lang w:val="en_US" w:bidi="en_US"/>
        </w:rPr>
        <w:t>the Kirisita</w:t>
      </w:r>
    </w:p>
    <w:p>
      <w:pPr/>
      <w:r>
        <w:rPr>
          <w:lang w:val="en_US" w:bidi="en_US"/>
        </w:rPr>
      </w:r>
      <w:r>
        <w:rPr>
          <w:lang w:val="en_US" w:bidi="en_US"/>
        </w:rPr>
        <w:t xml:space="preserve">If you do not indicate the meaning of </w:t>
      </w:r>
      <w:r>
        <w:rPr>
          <w:i/>
          <w:lang w:val="en_US" w:bidi="en_US"/>
        </w:rPr>
        <w:t>Christ</w:t>
      </w:r>
      <w:r>
        <w:rPr>
          <w:lang w:val="en_US" w:bidi="en_US"/>
        </w:rPr>
        <w:t xml:space="preserve"> in the text, you may want to include a footnote to explain it. Or you may want to explain the meaning in a glossary. For example:</w:t>
      </w:r>
    </w:p>
    <w:p>
      <w:pPr/>
      <w:r>
        <w:rPr>
          <w:lang w:val="en_US" w:bidi="en_US"/>
        </w:rPr>
      </w:r>
      <w:r>
        <w:rPr>
          <w:lang w:val="en_US" w:bidi="en_US"/>
        </w:rPr>
        <w:t>The word/title “Christ” refers to the king and savior whom God had promised to send.</w:t>
      </w:r>
    </w:p>
    <w:p>
      <w:pPr/>
      <w:r>
        <w:rPr>
          <w:lang w:val="en_US" w:bidi="en_US"/>
        </w:rPr>
      </w:r>
      <w:r>
        <w:rPr>
          <w:lang w:val="en_US" w:bidi="en_US"/>
        </w:rPr>
        <w:t>See also Christ in the Glossary.</w:t>
      </w:r>
    </w:p>
    <w:p>
      <w:pPr>
        <w:pStyle w:val="Heading6"/>
      </w:pPr>
      <w:r>
        <w:rPr>
          <w:b/>
          <w:lang w:val="en_US" w:bidi="en_US"/>
        </w:rPr>
        <w:t>General Comment on 4:41c–d</w:t>
      </w:r>
    </w:p>
    <w:p>
      <w:pPr/>
      <w:r>
        <w:rPr>
          <w:lang w:val="en_US" w:bidi="en_US"/>
        </w:rPr>
      </w:r>
      <w:r>
        <w:rPr>
          <w:lang w:val="en_US" w:bidi="en_US"/>
        </w:rPr>
        <w:t>In this verse, 4:41d expresses the reason for the result in 4:41c. In some languages, it may be more natural to change the order of these clauses. For example:</w:t>
      </w:r>
    </w:p>
    <w:p>
      <w:pPr/>
      <w:r>
        <w:rPr>
          <w:lang w:val="en_US" w:bidi="en_US"/>
        </w:rPr>
      </w:r>
      <w:r>
        <w:rPr>
          <w:lang w:val="en_US" w:bidi="en_US"/>
        </w:rPr>
        <w:t xml:space="preserve">But </w:t>
      </w:r>
      <w:r>
        <w:rPr>
          <w:vertAlign w:val="superscript"/>
          <w:lang w:val="en_US" w:bidi="en_US"/>
        </w:rPr>
        <w:t>41d</w:t>
      </w:r>
      <w:r>
        <w:rPr>
          <w:lang w:val="en_US" w:bidi="en_US"/>
        </w:rPr>
        <w:t xml:space="preserve">because they knew that he was the Christ, </w:t>
      </w:r>
      <w:r>
        <w:rPr>
          <w:vertAlign w:val="superscript"/>
          <w:lang w:val="en_US" w:bidi="en_US"/>
        </w:rPr>
        <w:t>41c</w:t>
      </w:r>
      <w:r>
        <w:rPr>
          <w:lang w:val="en_US" w:bidi="en_US"/>
        </w:rPr>
        <w:t xml:space="preserve">he spoke strongly to them and stopped them from speaking </w:t>
      </w:r>
      <w:r>
        <w:rPr>
          <w:lang w:val="en_US" w:bidi="en_US"/>
        </w:rPr>
        <w:t>about him</w:t>
      </w:r>
      <w:r>
        <w:rPr>
          <w:lang w:val="en_US" w:bidi="en_US"/>
        </w:rPr>
        <w:t>.</w:t>
      </w:r>
    </w:p>
    <w:p>
      <w:pPr/>
      <w:r>
        <w:rPr>
          <w:lang w:val="en_US" w:bidi="en_US"/>
        </w:rPr>
      </w:r>
      <w:r>
        <w:rPr>
          <w:lang w:val="en_US" w:bidi="en_US"/>
        </w:rPr>
        <w:t xml:space="preserve">But </w:t>
      </w:r>
      <w:r>
        <w:rPr>
          <w:vertAlign w:val="superscript"/>
          <w:lang w:val="en_US" w:bidi="en_US"/>
        </w:rPr>
        <w:t>41d</w:t>
      </w:r>
      <w:r>
        <w:rPr>
          <w:lang w:val="en_US" w:bidi="en_US"/>
        </w:rPr>
        <w:t xml:space="preserve">they knew that he was the Christ, </w:t>
      </w:r>
      <w:r>
        <w:rPr>
          <w:vertAlign w:val="superscript"/>
          <w:lang w:val="en_US" w:bidi="en_US"/>
        </w:rPr>
        <w:t>41c</w:t>
      </w:r>
      <w:r>
        <w:rPr>
          <w:lang w:val="en_US" w:bidi="en_US"/>
        </w:rPr>
        <w:t xml:space="preserve">that is why he spoke strongly to them and stopped them from speaking </w:t>
      </w:r>
      <w:r>
        <w:rPr>
          <w:lang w:val="en_US" w:bidi="en_US"/>
        </w:rPr>
        <w:t>about him</w:t>
      </w:r>
      <w:r>
        <w:rPr>
          <w:lang w:val="en_US" w:bidi="en_US"/>
        </w:rPr>
        <w:t>.</w:t>
      </w:r>
      <w:r>
        <w:rPr>
          <w:lang w:val="en_US" w:bidi="en_US"/>
        </w:rPr>
      </w:r>
      <w:r>
        <w:rPr>
          <w:lang w:val="en_US" w:bidi="en_US"/>
        </w:rPr>
      </w:r>
    </w:p>
    <w:p>
      <w:pPr/>
      <w:r>
        <w:rPr>
          <w:lang w:val="en_US" w:bidi="en_US"/>
        </w:rPr>
      </w:r>
    </w:p>
    <w:p>
      <w:pPr>
        <w:pStyle w:val="Heading2"/>
      </w:pPr>
      <w:r>
        <w:rPr>
          <w:lang w:val="en_US" w:bidi="en_US"/>
        </w:rPr>
        <w:t>Luke 4:42</w:t>
      </w:r>
      <w:r>
        <w:rPr>
          <w:lang w:val="en_US" w:bidi="en_US"/>
        </w:rPr>
      </w:r>
    </w:p>
    <w:p>
      <w:pPr>
        <w:pStyle w:val="Heading4"/>
      </w:pPr>
      <w:r>
        <w:rPr>
          <w:lang w:val="en_US" w:bidi="en_US"/>
        </w:rPr>
        <w:t>Section 4:38–44: Jesus helped many people</w:t>
      </w:r>
    </w:p>
    <w:p>
      <w:pPr/>
      <w:r>
        <w:rPr>
          <w:lang w:val="en_US" w:bidi="en_US"/>
        </w:rPr>
      </w:r>
      <w:r>
        <w:rPr>
          <w:lang w:val="en_US" w:bidi="en_US"/>
        </w:rPr>
        <w:t>Jesus continued healing people, casting out demons, and preaching the good news about the kingdom of God. The people of Capernaum tried to stop him from leaving (4:42), but Jesus continued going from place to place, helping many people.</w:t>
      </w:r>
    </w:p>
    <w:p>
      <w:pPr/>
      <w:r>
        <w:rPr>
          <w:lang w:val="en_US" w:bidi="en_US"/>
        </w:rPr>
      </w:r>
      <w:r>
        <w:rPr>
          <w:lang w:val="en_US" w:bidi="en_US"/>
        </w:rPr>
        <w:t>Some other possible headings for this section are:</w:t>
      </w:r>
    </w:p>
    <w:p>
      <w:pPr/>
      <w:r>
        <w:rPr>
          <w:lang w:val="en_US" w:bidi="en_US"/>
        </w:rPr>
      </w:r>
      <w:r>
        <w:rPr>
          <w:lang w:val="en_US" w:bidi="en_US"/>
        </w:rPr>
        <w:t>Jesus Heals Many People</w:t>
      </w:r>
    </w:p>
    <w:p>
      <w:pPr/>
      <w:r>
        <w:rPr>
          <w:lang w:val="en_US" w:bidi="en_US"/>
        </w:rPr>
      </w:r>
      <w:r>
        <w:rPr>
          <w:lang w:val="en_US" w:bidi="en_US"/>
        </w:rPr>
        <w:t>Jesus Cures Simon’s Mother-in-Law and Many Others (GW)</w:t>
      </w:r>
    </w:p>
    <w:p>
      <w:pPr/>
      <w:r>
        <w:rPr>
          <w:lang w:val="en_US" w:bidi="en_US"/>
        </w:rPr>
      </w:r>
      <w:r>
        <w:rPr>
          <w:lang w:val="en_US" w:bidi="en_US"/>
        </w:rPr>
        <w:t>There are parallel passages for this section in Matthew 8:14–17 and Mark 1:29–34.</w:t>
      </w:r>
    </w:p>
    <w:p>
      <w:pPr>
        <w:pStyle w:val="Heading4"/>
      </w:pPr>
      <w:r>
        <w:rPr>
          <w:lang w:val="en_US" w:bidi="en_US"/>
        </w:rPr>
        <w:t>Paragraph 4:42–44</w:t>
      </w:r>
    </w:p>
    <w:p>
      <w:pPr/>
      <w:r>
        <w:rPr>
          <w:lang w:val="en_US" w:bidi="en_US"/>
        </w:rPr>
      </w:r>
      <w:r>
        <w:rPr>
          <w:lang w:val="en_US" w:bidi="en_US"/>
        </w:rPr>
        <w:t>Verses 4:42–44 tell the same story that is in Mark 1:35–39. Jesus wanted to get away from all the people in order to pray.</w:t>
      </w:r>
    </w:p>
    <w:p>
      <w:pPr>
        <w:pStyle w:val="Heading5"/>
      </w:pPr>
      <w:r>
        <w:rPr>
          <w:lang w:val="en_US" w:bidi="en_US"/>
        </w:rPr>
        <w:t>4:42a</w:t>
      </w:r>
    </w:p>
    <w:p>
      <w:pPr/>
      <w:r>
        <w:rPr>
          <w:lang w:val="en_US" w:bidi="en_US"/>
        </w:rPr>
      </w:r>
      <w:r>
        <w:rPr>
          <w:b/>
          <w:lang w:val="en_US" w:bidi="en_US"/>
        </w:rPr>
        <w:t>At daybreak, Jesus went out to a solitary place,</w:t>
      </w:r>
    </w:p>
    <w:p>
      <w:pPr>
        <w:pStyle w:val="ListBullet"/>
        <w:spacing w:line="240" w:lineRule="auto"/>
        <w:ind w:left="720"/>
      </w:pPr>
      <w:r>
        <w:rPr>
          <w:lang w:val="en_US" w:bidi="en_US"/>
        </w:rPr>
      </w:r>
      <w:r>
        <w:rPr>
          <w:lang w:val="en_US" w:bidi="en_US"/>
        </w:rPr>
        <w:t>¶ Very early the next morning, Jesus went out to an isolated place.</w:t>
      </w:r>
    </w:p>
    <w:p>
      <w:pPr>
        <w:pStyle w:val="ListBullet"/>
        <w:spacing w:line="240" w:lineRule="auto"/>
        <w:ind w:left="720"/>
      </w:pPr>
      <w:r>
        <w:rPr>
          <w:lang w:val="en_US" w:bidi="en_US"/>
        </w:rPr>
      </w:r>
      <w:r>
        <w:rPr>
          <w:lang w:val="en_US" w:bidi="en_US"/>
        </w:rPr>
        <w:t xml:space="preserve">¶ In the morning, Jesus </w:t>
      </w:r>
      <w:r>
        <w:rPr>
          <w:lang w:val="en_US" w:bidi="en_US"/>
        </w:rPr>
        <w:t>left the town and</w:t>
      </w:r>
      <w:r>
        <w:rPr>
          <w:lang w:val="en_US" w:bidi="en_US"/>
        </w:rPr>
        <w:t xml:space="preserve"> went out to a place where he could be alone.</w:t>
      </w:r>
    </w:p>
    <w:p>
      <w:pPr/>
      <w:r>
        <w:rPr>
          <w:lang w:val="en_US" w:bidi="en_US"/>
        </w:rPr>
      </w:r>
      <w:r>
        <w:rPr>
          <w:b/>
          <w:lang w:val="en_US" w:bidi="en_US"/>
        </w:rPr>
        <w:t>At daybreak:</w:t>
      </w:r>
      <w:r>
        <w:rPr>
          <w:lang w:val="en_US" w:bidi="en_US"/>
        </w:rPr>
        <w:t xml:space="preserve"> The Greek phrase that the BSB translates as </w:t>
      </w:r>
      <w:r>
        <w:rPr>
          <w:i/>
          <w:lang w:val="en_US" w:bidi="en_US"/>
        </w:rPr>
        <w:t>At daybreak</w:t>
      </w:r>
      <w:r>
        <w:rPr>
          <w:lang w:val="en_US" w:bidi="en_US"/>
        </w:rPr>
        <w:t xml:space="preserve"> is more literally “when day came.” This is a general way to refer to the next morning before the sun came up. Some other ways to translate this are:</w:t>
      </w:r>
    </w:p>
    <w:p>
      <w:pPr/>
      <w:r>
        <w:rPr>
          <w:lang w:val="en_US" w:bidi="en_US"/>
        </w:rPr>
      </w:r>
      <w:r>
        <w:rPr>
          <w:lang w:val="en_US" w:bidi="en_US"/>
        </w:rPr>
        <w:t>The next morning (NET)</w:t>
      </w:r>
    </w:p>
    <w:p>
      <w:pPr/>
      <w:r>
        <w:rPr>
          <w:lang w:val="en_US" w:bidi="en_US"/>
        </w:rPr>
      </w:r>
      <w:r>
        <w:rPr>
          <w:lang w:val="en_US" w:bidi="en_US"/>
        </w:rPr>
        <w:t>Early the next morning (NLT)</w:t>
      </w:r>
    </w:p>
    <w:p>
      <w:pPr/>
      <w:r>
        <w:rPr>
          <w:lang w:val="en_US" w:bidi="en_US"/>
        </w:rPr>
      </w:r>
      <w:r>
        <w:rPr>
          <w:b/>
          <w:lang w:val="en_US" w:bidi="en_US"/>
        </w:rPr>
        <w:t>Jesus went out:</w:t>
      </w:r>
      <w:r>
        <w:rPr>
          <w:lang w:val="en_US" w:bidi="en_US"/>
        </w:rPr>
        <w:t xml:space="preserve"> The Greek phrase that the BSB translates as </w:t>
      </w:r>
      <w:r>
        <w:rPr>
          <w:i/>
          <w:lang w:val="en_US" w:bidi="en_US"/>
        </w:rPr>
        <w:t>went out</w:t>
      </w:r>
      <w:r>
        <w:rPr>
          <w:lang w:val="en_US" w:bidi="en_US"/>
        </w:rPr>
        <w:t xml:space="preserve"> is literally “having-gone-out he went.” This phrase may imply that Jesus went out of </w:t>
      </w:r>
      <w:r>
        <w:rPr>
          <w:u w:val="single"/>
          <w:lang w:val="en_US" w:bidi="en_US"/>
        </w:rPr>
        <w:t>the house</w:t>
      </w:r>
      <w:r>
        <w:rPr>
          <w:lang w:val="en_US" w:bidi="en_US"/>
        </w:rPr>
        <w:t xml:space="preserve"> or that he went out of </w:t>
      </w:r>
      <w:r>
        <w:rPr>
          <w:u w:val="single"/>
          <w:lang w:val="en_US" w:bidi="en_US"/>
        </w:rPr>
        <w:t>the town</w:t>
      </w:r>
      <w:r>
        <w:rPr>
          <w:lang w:val="en_US" w:bidi="en_US"/>
        </w:rPr>
        <w:t>. Both possibilities may be implied by the next phrase, which says that he went to a solitary place. Consider whether it is necessary in your language to make explicit that Jesus left the house or left the town. For example:</w:t>
      </w:r>
    </w:p>
    <w:p>
      <w:pPr/>
      <w:r>
        <w:rPr>
          <w:lang w:val="en_US" w:bidi="en_US"/>
        </w:rPr>
      </w:r>
      <w:r>
        <w:rPr>
          <w:lang w:val="en_US" w:bidi="en_US"/>
        </w:rPr>
        <w:t>he left the house (NJB)</w:t>
      </w:r>
    </w:p>
    <w:p>
      <w:pPr/>
      <w:r>
        <w:rPr>
          <w:lang w:val="en_US" w:bidi="en_US"/>
        </w:rPr>
      </w:r>
      <w:r>
        <w:rPr>
          <w:b/>
          <w:lang w:val="en_US" w:bidi="en_US"/>
        </w:rPr>
        <w:t>to a solitary place:</w:t>
      </w:r>
      <w:r>
        <w:rPr>
          <w:lang w:val="en_US" w:bidi="en_US"/>
        </w:rPr>
        <w:t xml:space="preserve"> The Greek phrase that the BSB translates as </w:t>
      </w:r>
      <w:r>
        <w:rPr>
          <w:i/>
          <w:lang w:val="en_US" w:bidi="en_US"/>
        </w:rPr>
        <w:t>to a solitary place</w:t>
      </w:r>
      <w:r>
        <w:rPr>
          <w:lang w:val="en_US" w:bidi="en_US"/>
        </w:rPr>
        <w:t xml:space="preserve"> refers to a desolate area where few people lived. This was a place where Jesus could be alone to pray. For example:</w:t>
      </w:r>
    </w:p>
    <w:p>
      <w:pPr/>
      <w:r>
        <w:rPr>
          <w:lang w:val="en_US" w:bidi="en_US"/>
        </w:rPr>
      </w:r>
      <w:r>
        <w:rPr>
          <w:lang w:val="en_US" w:bidi="en_US"/>
        </w:rPr>
        <w:t>a place where he could be alone (CEV)</w:t>
      </w:r>
    </w:p>
    <w:p>
      <w:pPr/>
      <w:r>
        <w:rPr>
          <w:lang w:val="en_US" w:bidi="en_US"/>
        </w:rPr>
      </w:r>
      <w:r>
        <w:rPr>
          <w:lang w:val="en_US" w:bidi="en_US"/>
        </w:rPr>
        <w:t>This Greek word has the same root as the word that the BSB translates as “wilderness” in 4:1b.</w:t>
      </w:r>
    </w:p>
    <w:p>
      <w:pPr/>
      <w:r>
        <w:rPr>
          <w:lang w:val="en_US" w:bidi="en_US"/>
        </w:rPr>
      </w:r>
      <w:r>
        <w:rPr>
          <w:lang w:val="en_US" w:bidi="en_US"/>
        </w:rPr>
        <w:t>You could also translate this as:</w:t>
      </w:r>
    </w:p>
    <w:p>
      <w:pPr/>
      <w:r>
        <w:rPr>
          <w:lang w:val="en_US" w:bidi="en_US"/>
        </w:rPr>
      </w:r>
      <w:r>
        <w:rPr>
          <w:lang w:val="en_US" w:bidi="en_US"/>
        </w:rPr>
        <w:t>isolated place (NLT)</w:t>
      </w:r>
    </w:p>
    <w:p>
      <w:pPr/>
      <w:r>
        <w:rPr>
          <w:lang w:val="en_US" w:bidi="en_US"/>
        </w:rPr>
      </w:r>
      <w:r>
        <w:rPr>
          <w:lang w:val="en_US" w:bidi="en_US"/>
        </w:rPr>
        <w:t>secluded place (NASB)</w:t>
      </w:r>
    </w:p>
    <w:p>
      <w:pPr/>
      <w:r>
        <w:rPr>
          <w:lang w:val="en_US" w:bidi="en_US"/>
        </w:rPr>
      </w:r>
      <w:r>
        <w:rPr>
          <w:lang w:val="en_US" w:bidi="en_US"/>
        </w:rPr>
        <w:t>a remote spot (REB)</w:t>
      </w:r>
    </w:p>
    <w:p>
      <w:pPr/>
      <w:r>
        <w:rPr>
          <w:lang w:val="en_US" w:bidi="en_US"/>
        </w:rPr>
      </w:r>
      <w:r>
        <w:rPr>
          <w:lang w:val="en_US" w:bidi="en_US"/>
        </w:rPr>
        <w:t>Some languages have a special word to refer to such areas, such as “the bush” (Africa) or “steppes” (Asia). It may be appropriate to use such a word if it does not have wrong cultural connotations in this context.</w:t>
      </w:r>
    </w:p>
    <w:p>
      <w:pPr>
        <w:pStyle w:val="Heading5"/>
      </w:pPr>
      <w:r>
        <w:rPr>
          <w:lang w:val="en_US" w:bidi="en_US"/>
        </w:rPr>
        <w:t>4:42b</w:t>
      </w:r>
    </w:p>
    <w:p>
      <w:pPr/>
      <w:r>
        <w:rPr>
          <w:lang w:val="en_US" w:bidi="en_US"/>
        </w:rPr>
      </w:r>
      <w:r>
        <w:rPr>
          <w:b/>
          <w:lang w:val="en_US" w:bidi="en_US"/>
        </w:rPr>
        <w:t>and the crowds were looking for Him.</w:t>
      </w:r>
    </w:p>
    <w:p>
      <w:pPr>
        <w:pStyle w:val="ListBullet"/>
        <w:spacing w:line="240" w:lineRule="auto"/>
        <w:ind w:left="720"/>
      </w:pPr>
      <w:r>
        <w:rPr>
          <w:lang w:val="en_US" w:bidi="en_US"/>
        </w:rPr>
      </w:r>
      <w:r>
        <w:rPr>
          <w:lang w:val="en_US" w:bidi="en_US"/>
        </w:rPr>
        <w:t>The people started to look for him,</w:t>
      </w:r>
    </w:p>
    <w:p>
      <w:pPr>
        <w:pStyle w:val="ListBullet"/>
        <w:spacing w:line="240" w:lineRule="auto"/>
        <w:ind w:left="720"/>
      </w:pPr>
      <w:r>
        <w:rPr>
          <w:lang w:val="en_US" w:bidi="en_US"/>
        </w:rPr>
      </w:r>
      <w:r>
        <w:rPr>
          <w:lang w:val="en_US" w:bidi="en_US"/>
        </w:rPr>
        <w:t>When the crowds realized that Jesus had gone,</w:t>
      </w:r>
      <w:r>
        <w:rPr>
          <w:lang w:val="en_US" w:bidi="en_US"/>
        </w:rPr>
        <w:t xml:space="preserve"> they began to search for him.</w:t>
      </w:r>
    </w:p>
    <w:p>
      <w:pPr/>
      <w:r>
        <w:rPr>
          <w:lang w:val="en_US" w:bidi="en_US"/>
        </w:rPr>
      </w:r>
      <w:r>
        <w:rPr>
          <w:b/>
          <w:lang w:val="en_US" w:bidi="en_US"/>
        </w:rPr>
        <w:t>and the crowds were looking for Him:</w:t>
      </w:r>
      <w:r>
        <w:rPr>
          <w:lang w:val="en_US" w:bidi="en_US"/>
        </w:rPr>
        <w:t xml:space="preserve"> Some English versions say “the people” for the Greek phrase that the BSB translates literally as </w:t>
      </w:r>
      <w:r>
        <w:rPr>
          <w:i/>
          <w:lang w:val="en_US" w:bidi="en_US"/>
        </w:rPr>
        <w:t>the crowds</w:t>
      </w:r>
      <w:r>
        <w:rPr>
          <w:lang w:val="en_US" w:bidi="en_US"/>
        </w:rPr>
        <w:t>. When the crowds of people realized that Jesus had left their town, many of them started to search for him. Some other ways to translate this are:</w:t>
      </w:r>
    </w:p>
    <w:p>
      <w:pPr/>
      <w:r>
        <w:rPr>
          <w:lang w:val="en_US" w:bidi="en_US"/>
        </w:rPr>
      </w:r>
      <w:r>
        <w:rPr>
          <w:lang w:val="en_US" w:bidi="en_US"/>
        </w:rPr>
        <w:t>The crowds searched for him (GW)</w:t>
      </w:r>
    </w:p>
    <w:p>
      <w:pPr/>
      <w:r>
        <w:rPr>
          <w:lang w:val="en_US" w:bidi="en_US"/>
        </w:rPr>
      </w:r>
      <w:r>
        <w:rPr>
          <w:lang w:val="en_US" w:bidi="en_US"/>
        </w:rPr>
        <w:t>The people started looking for him (GNT)</w:t>
      </w:r>
    </w:p>
    <w:p>
      <w:pPr/>
      <w:r>
        <w:rPr>
          <w:lang w:val="en_US" w:bidi="en_US"/>
        </w:rPr>
      </w:r>
      <w:r>
        <w:rPr>
          <w:b/>
          <w:lang w:val="en_US" w:bidi="en_US"/>
        </w:rPr>
        <w:t>the crowds:</w:t>
      </w:r>
      <w:r>
        <w:rPr>
          <w:lang w:val="en_US" w:bidi="en_US"/>
        </w:rPr>
        <w:t xml:space="preserve"> In some languages it may be necessary to identify </w:t>
      </w:r>
      <w:r>
        <w:rPr>
          <w:i/>
          <w:lang w:val="en_US" w:bidi="en_US"/>
        </w:rPr>
        <w:t>the crowds</w:t>
      </w:r>
      <w:r>
        <w:rPr>
          <w:lang w:val="en_US" w:bidi="en_US"/>
        </w:rPr>
        <w:t>. The people who looked for Jesus were people from the town of Capernaum.</w:t>
      </w:r>
    </w:p>
    <w:p>
      <w:pPr>
        <w:pStyle w:val="Heading5"/>
      </w:pPr>
      <w:r>
        <w:rPr>
          <w:lang w:val="en_US" w:bidi="en_US"/>
        </w:rPr>
        <w:t>4:42c</w:t>
      </w:r>
    </w:p>
    <w:p>
      <w:pPr/>
      <w:r>
        <w:rPr>
          <w:lang w:val="en_US" w:bidi="en_US"/>
        </w:rPr>
      </w:r>
      <w:r>
        <w:rPr>
          <w:b/>
          <w:lang w:val="en_US" w:bidi="en_US"/>
        </w:rPr>
        <w:t>They came to Him</w:t>
      </w:r>
    </w:p>
    <w:p>
      <w:pPr>
        <w:pStyle w:val="ListBullet"/>
        <w:spacing w:line="240" w:lineRule="auto"/>
        <w:ind w:left="720"/>
      </w:pPr>
      <w:r>
        <w:rPr>
          <w:lang w:val="en_US" w:bidi="en_US"/>
        </w:rPr>
      </w:r>
      <w:r>
        <w:rPr>
          <w:lang w:val="en_US" w:bidi="en_US"/>
        </w:rPr>
        <w:t>and when they found him,</w:t>
      </w:r>
    </w:p>
    <w:p>
      <w:pPr>
        <w:pStyle w:val="ListBullet"/>
        <w:spacing w:line="240" w:lineRule="auto"/>
        <w:ind w:left="720"/>
      </w:pPr>
      <w:r>
        <w:rPr>
          <w:lang w:val="en_US" w:bidi="en_US"/>
        </w:rPr>
      </w:r>
      <w:r>
        <w:rPr>
          <w:lang w:val="en_US" w:bidi="en_US"/>
        </w:rPr>
        <w:t>When they found him,</w:t>
      </w:r>
    </w:p>
    <w:p>
      <w:pPr/>
      <w:r>
        <w:rPr>
          <w:lang w:val="en_US" w:bidi="en_US"/>
        </w:rPr>
      </w:r>
      <w:r>
        <w:rPr>
          <w:b/>
          <w:lang w:val="en_US" w:bidi="en_US"/>
        </w:rPr>
        <w:t>They came to Him:</w:t>
      </w:r>
      <w:r>
        <w:rPr>
          <w:lang w:val="en_US" w:bidi="en_US"/>
        </w:rPr>
        <w:t xml:space="preserve"> The phrase </w:t>
      </w:r>
      <w:r>
        <w:rPr>
          <w:i/>
          <w:lang w:val="en_US" w:bidi="en_US"/>
        </w:rPr>
        <w:t>They came to Him</w:t>
      </w:r>
      <w:r>
        <w:rPr>
          <w:lang w:val="en_US" w:bidi="en_US"/>
        </w:rPr>
        <w:t xml:space="preserve"> means that the people found Jesus and approached him. For example:</w:t>
      </w:r>
    </w:p>
    <w:p>
      <w:pPr/>
      <w:r>
        <w:rPr>
          <w:lang w:val="en_US" w:bidi="en_US"/>
        </w:rPr>
      </w:r>
      <w:r>
        <w:rPr>
          <w:lang w:val="en_US" w:bidi="en_US"/>
        </w:rPr>
        <w:t>when they found him (GNT)</w:t>
      </w:r>
    </w:p>
    <w:p>
      <w:pPr/>
      <w:r>
        <w:rPr>
          <w:lang w:val="en_US" w:bidi="en_US"/>
        </w:rPr>
      </w:r>
      <w:r>
        <w:rPr>
          <w:lang w:val="en_US" w:bidi="en_US"/>
        </w:rPr>
        <w:t>when they finally found him (NLT)</w:t>
      </w:r>
    </w:p>
    <w:p>
      <w:pPr>
        <w:pStyle w:val="Heading5"/>
      </w:pPr>
      <w:r>
        <w:rPr>
          <w:lang w:val="en_US" w:bidi="en_US"/>
        </w:rPr>
        <w:t>4:42d</w:t>
      </w:r>
    </w:p>
    <w:p>
      <w:pPr/>
      <w:r>
        <w:rPr>
          <w:lang w:val="en_US" w:bidi="en_US"/>
        </w:rPr>
      </w:r>
      <w:r>
        <w:rPr>
          <w:b/>
          <w:lang w:val="en_US" w:bidi="en_US"/>
        </w:rPr>
        <w:t>and tried to keep Him from leaving.</w:t>
      </w:r>
    </w:p>
    <w:p>
      <w:pPr>
        <w:pStyle w:val="ListBullet"/>
        <w:spacing w:line="240" w:lineRule="auto"/>
        <w:ind w:left="720"/>
      </w:pPr>
      <w:r>
        <w:rPr>
          <w:lang w:val="en_US" w:bidi="en_US"/>
        </w:rPr>
      </w:r>
      <w:r>
        <w:rPr>
          <w:lang w:val="en_US" w:bidi="en_US"/>
        </w:rPr>
        <w:t xml:space="preserve">they tried to stop him from going away from </w:t>
      </w:r>
      <w:r>
        <w:rPr>
          <w:lang w:val="en_US" w:bidi="en_US"/>
        </w:rPr>
        <w:t>their town</w:t>
      </w:r>
      <w:r>
        <w:rPr>
          <w:lang w:val="en_US" w:bidi="en_US"/>
        </w:rPr>
        <w:t>.</w:t>
      </w:r>
    </w:p>
    <w:p>
      <w:pPr>
        <w:pStyle w:val="ListBullet"/>
        <w:spacing w:line="240" w:lineRule="auto"/>
        <w:ind w:left="720"/>
      </w:pPr>
      <w:r>
        <w:rPr>
          <w:lang w:val="en_US" w:bidi="en_US"/>
        </w:rPr>
      </w:r>
      <w:r>
        <w:rPr>
          <w:lang w:val="en_US" w:bidi="en_US"/>
        </w:rPr>
        <w:t>they begged him not to leave them. (NLT)</w:t>
      </w:r>
    </w:p>
    <w:p>
      <w:pPr/>
      <w:r>
        <w:rPr>
          <w:lang w:val="en_US" w:bidi="en_US"/>
        </w:rPr>
      </w:r>
      <w:r>
        <w:rPr>
          <w:b/>
          <w:lang w:val="en_US" w:bidi="en_US"/>
        </w:rPr>
        <w:t>and tried to keep Him from leaving:</w:t>
      </w:r>
      <w:r>
        <w:rPr>
          <w:lang w:val="en_US" w:bidi="en_US"/>
        </w:rPr>
        <w:t xml:space="preserve"> The Greek clause that the BSB translates as </w:t>
      </w:r>
      <w:r>
        <w:rPr>
          <w:i/>
          <w:lang w:val="en_US" w:bidi="en_US"/>
        </w:rPr>
        <w:t>and tried to keep Him from leaving</w:t>
      </w:r>
      <w:r>
        <w:rPr>
          <w:lang w:val="en_US" w:bidi="en_US"/>
        </w:rPr>
        <w:t xml:space="preserve"> means that the people tried to stop Jesus from leaving their town (Capernaum). They tried to prevent him from going to another place. They wanted him to stay with them.</w:t>
      </w:r>
    </w:p>
    <w:p>
      <w:pPr/>
      <w:r>
        <w:rPr>
          <w:lang w:val="en_US" w:bidi="en_US"/>
        </w:rPr>
      </w:r>
      <w:r>
        <w:rPr>
          <w:lang w:val="en_US" w:bidi="en_US"/>
        </w:rPr>
        <w:t>Some other ways to translate this are:</w:t>
      </w:r>
    </w:p>
    <w:p>
      <w:pPr/>
      <w:r>
        <w:rPr>
          <w:lang w:val="en_US" w:bidi="en_US"/>
        </w:rPr>
      </w:r>
      <w:r>
        <w:rPr>
          <w:lang w:val="en_US" w:bidi="en_US"/>
        </w:rPr>
        <w:t>they tried to stop him from leaving (CEV)</w:t>
      </w:r>
    </w:p>
    <w:p>
      <w:pPr/>
      <w:r>
        <w:rPr>
          <w:lang w:val="en_US" w:bidi="en_US"/>
        </w:rPr>
      </w:r>
      <w:r>
        <w:rPr>
          <w:lang w:val="en_US" w:bidi="en_US"/>
        </w:rPr>
        <w:t>they begged him not to leave them (NLT)</w:t>
      </w:r>
      <w:r>
        <w:rPr>
          <w:lang w:val="en_US" w:bidi="en_US"/>
        </w:rPr>
      </w:r>
      <w:r>
        <w:rPr>
          <w:lang w:val="en_US" w:bidi="en_US"/>
        </w:rPr>
      </w:r>
    </w:p>
    <w:p>
      <w:pPr/>
      <w:r>
        <w:rPr>
          <w:lang w:val="en_US" w:bidi="en_US"/>
        </w:rPr>
      </w:r>
    </w:p>
    <w:p>
      <w:pPr>
        <w:pStyle w:val="Heading2"/>
      </w:pPr>
      <w:r>
        <w:rPr>
          <w:lang w:val="en_US" w:bidi="en_US"/>
        </w:rPr>
        <w:t>Luke 4:43</w:t>
      </w:r>
      <w:r>
        <w:rPr>
          <w:lang w:val="en_US" w:bidi="en_US"/>
        </w:rPr>
      </w:r>
    </w:p>
    <w:p>
      <w:pPr>
        <w:pStyle w:val="Heading4"/>
      </w:pPr>
      <w:r>
        <w:rPr>
          <w:lang w:val="en_US" w:bidi="en_US"/>
        </w:rPr>
        <w:t>Section 4:38–44: Jesus helped many people</w:t>
      </w:r>
    </w:p>
    <w:p>
      <w:pPr/>
      <w:r>
        <w:rPr>
          <w:lang w:val="en_US" w:bidi="en_US"/>
        </w:rPr>
      </w:r>
      <w:r>
        <w:rPr>
          <w:lang w:val="en_US" w:bidi="en_US"/>
        </w:rPr>
        <w:t>Jesus continued healing people, casting out demons, and preaching the good news about the kingdom of God. The people of Capernaum tried to stop him from leaving (4:42), but Jesus continued going from place to place, helping many people.</w:t>
      </w:r>
    </w:p>
    <w:p>
      <w:pPr/>
      <w:r>
        <w:rPr>
          <w:lang w:val="en_US" w:bidi="en_US"/>
        </w:rPr>
      </w:r>
      <w:r>
        <w:rPr>
          <w:lang w:val="en_US" w:bidi="en_US"/>
        </w:rPr>
        <w:t>Some other possible headings for this section are:</w:t>
      </w:r>
    </w:p>
    <w:p>
      <w:pPr/>
      <w:r>
        <w:rPr>
          <w:lang w:val="en_US" w:bidi="en_US"/>
        </w:rPr>
      </w:r>
      <w:r>
        <w:rPr>
          <w:lang w:val="en_US" w:bidi="en_US"/>
        </w:rPr>
        <w:t>Jesus Heals Many People</w:t>
      </w:r>
    </w:p>
    <w:p>
      <w:pPr/>
      <w:r>
        <w:rPr>
          <w:lang w:val="en_US" w:bidi="en_US"/>
        </w:rPr>
      </w:r>
      <w:r>
        <w:rPr>
          <w:lang w:val="en_US" w:bidi="en_US"/>
        </w:rPr>
        <w:t>Jesus Cures Simon’s Mother-in-Law and Many Others (GW)</w:t>
      </w:r>
    </w:p>
    <w:p>
      <w:pPr/>
      <w:r>
        <w:rPr>
          <w:lang w:val="en_US" w:bidi="en_US"/>
        </w:rPr>
      </w:r>
      <w:r>
        <w:rPr>
          <w:lang w:val="en_US" w:bidi="en_US"/>
        </w:rPr>
        <w:t>There are parallel passages for this section in Matthew 8:14–17 and Mark 1:29–34.</w:t>
      </w:r>
    </w:p>
    <w:p>
      <w:pPr>
        <w:pStyle w:val="Heading4"/>
      </w:pPr>
      <w:r>
        <w:rPr>
          <w:lang w:val="en_US" w:bidi="en_US"/>
        </w:rPr>
        <w:t>Paragraph 4:42–44</w:t>
      </w:r>
    </w:p>
    <w:p>
      <w:pPr/>
      <w:r>
        <w:rPr>
          <w:lang w:val="en_US" w:bidi="en_US"/>
        </w:rPr>
      </w:r>
      <w:r>
        <w:rPr>
          <w:lang w:val="en_US" w:bidi="en_US"/>
        </w:rPr>
        <w:t>Verses 4:42–44 tell the same story that is in Mark 1:35–39. Jesus wanted to get away from all the people in order to pray.</w:t>
      </w:r>
    </w:p>
    <w:p>
      <w:pPr>
        <w:pStyle w:val="Heading5"/>
      </w:pPr>
      <w:r>
        <w:rPr>
          <w:lang w:val="en_US" w:bidi="en_US"/>
        </w:rPr>
        <w:t>4:43a</w:t>
      </w:r>
    </w:p>
    <w:p>
      <w:pPr/>
      <w:r>
        <w:rPr>
          <w:lang w:val="en_US" w:bidi="en_US"/>
        </w:rPr>
      </w:r>
      <w:r>
        <w:rPr>
          <w:b/>
          <w:lang w:val="en_US" w:bidi="en_US"/>
        </w:rPr>
        <w:t>But Jesus told them, “I must preach the good news of the kingdom of God to the other towns as well,</w:t>
      </w:r>
    </w:p>
    <w:p>
      <w:pPr>
        <w:pStyle w:val="ListBullet"/>
        <w:spacing w:line="240" w:lineRule="auto"/>
        <w:ind w:left="720"/>
      </w:pPr>
      <w:r>
        <w:rPr>
          <w:lang w:val="en_US" w:bidi="en_US"/>
        </w:rPr>
      </w:r>
      <w:r>
        <w:rPr>
          <w:lang w:val="en_US" w:bidi="en_US"/>
        </w:rPr>
        <w:t>But Jesus said, “It is necessary for me to proclaim the good news about God’s reign/kingship to the other towns as well,</w:t>
      </w:r>
    </w:p>
    <w:p>
      <w:pPr>
        <w:pStyle w:val="ListBullet"/>
        <w:spacing w:line="240" w:lineRule="auto"/>
        <w:ind w:left="720"/>
      </w:pPr>
      <w:r>
        <w:rPr>
          <w:lang w:val="en_US" w:bidi="en_US"/>
        </w:rPr>
      </w:r>
      <w:r>
        <w:rPr>
          <w:lang w:val="en_US" w:bidi="en_US"/>
        </w:rPr>
        <w:t xml:space="preserve">But he </w:t>
      </w:r>
      <w:r>
        <w:rPr>
          <w:lang w:val="en_US" w:bidi="en_US"/>
        </w:rPr>
        <w:t>refused. He</w:t>
      </w:r>
      <w:r>
        <w:rPr>
          <w:lang w:val="en_US" w:bidi="en_US"/>
        </w:rPr>
        <w:t xml:space="preserve"> said, “I must go to the </w:t>
      </w:r>
      <w:r>
        <w:rPr>
          <w:lang w:val="en_US" w:bidi="en_US"/>
        </w:rPr>
        <w:t>people in</w:t>
      </w:r>
      <w:r>
        <w:rPr>
          <w:lang w:val="en_US" w:bidi="en_US"/>
        </w:rPr>
        <w:t xml:space="preserve"> other towns too and tell them the good news about God ruling his people,</w:t>
      </w:r>
    </w:p>
    <w:p>
      <w:pPr/>
      <w:r>
        <w:rPr>
          <w:lang w:val="en_US" w:bidi="en_US"/>
        </w:rPr>
      </w:r>
      <w:r>
        <w:rPr>
          <w:b/>
          <w:lang w:val="en_US" w:bidi="en_US"/>
        </w:rPr>
        <w:t>But Jesus told them:</w:t>
      </w:r>
      <w:r>
        <w:rPr>
          <w:lang w:val="en_US" w:bidi="en_US"/>
        </w:rPr>
        <w:t xml:space="preserve"> The phrase </w:t>
      </w:r>
      <w:r>
        <w:rPr>
          <w:i/>
          <w:lang w:val="en_US" w:bidi="en_US"/>
        </w:rPr>
        <w:t>But Jesus told them</w:t>
      </w:r>
      <w:r>
        <w:rPr>
          <w:lang w:val="en_US" w:bidi="en_US"/>
        </w:rPr>
        <w:t xml:space="preserve"> introduces the reason Jesus gave for not agreeing to stay with the people of Capernaum. In some languages, it may be necessary to make this explicit:</w:t>
      </w:r>
    </w:p>
    <w:p>
      <w:pPr/>
      <w:r>
        <w:rPr>
          <w:lang w:val="en_US" w:bidi="en_US"/>
        </w:rPr>
      </w:r>
      <w:r>
        <w:rPr>
          <w:lang w:val="en_US" w:bidi="en_US"/>
        </w:rPr>
        <w:t xml:space="preserve">But he </w:t>
      </w:r>
      <w:r>
        <w:rPr>
          <w:lang w:val="en_US" w:bidi="en_US"/>
        </w:rPr>
        <w:t>refused</w:t>
      </w:r>
      <w:r>
        <w:rPr>
          <w:lang w:val="en_US" w:bidi="en_US"/>
        </w:rPr>
        <w:t>, saying…</w:t>
      </w:r>
    </w:p>
    <w:p>
      <w:pPr/>
      <w:r>
        <w:rPr>
          <w:lang w:val="en_US" w:bidi="en_US"/>
        </w:rPr>
      </w:r>
      <w:r>
        <w:rPr>
          <w:b/>
          <w:lang w:val="en_US" w:bidi="en_US"/>
        </w:rPr>
        <w:t>I must preach the good news:</w:t>
      </w:r>
      <w:r>
        <w:rPr>
          <w:lang w:val="en_US" w:bidi="en_US"/>
        </w:rPr>
        <w:t xml:space="preserve"> The Greek clause that the BSB translates as </w:t>
      </w:r>
      <w:r>
        <w:rPr>
          <w:i/>
          <w:lang w:val="en_US" w:bidi="en_US"/>
        </w:rPr>
        <w:t>I must preach the good news</w:t>
      </w:r>
      <w:r>
        <w:rPr>
          <w:lang w:val="en_US" w:bidi="en_US"/>
        </w:rPr>
        <w:t xml:space="preserve"> is literally “it is necessary for me to-preach-the-good-news.” This indicates that it was Jesus’ obligation or duty to preach the good news. This is what Jesus was supposed to do, because this is what God had sent him to do.</w:t>
      </w:r>
    </w:p>
    <w:p>
      <w:pPr/>
      <w:r>
        <w:rPr>
          <w:lang w:val="en_US" w:bidi="en_US"/>
        </w:rPr>
      </w:r>
      <w:r>
        <w:rPr>
          <w:b/>
          <w:lang w:val="en_US" w:bidi="en_US"/>
        </w:rPr>
        <w:t>preach the good news:</w:t>
      </w:r>
      <w:r>
        <w:rPr>
          <w:lang w:val="en_US" w:bidi="en_US"/>
        </w:rPr>
        <w:t xml:space="preserve"> The phrase </w:t>
      </w:r>
      <w:r>
        <w:rPr>
          <w:i/>
          <w:lang w:val="en_US" w:bidi="en_US"/>
        </w:rPr>
        <w:t>preach the good news</w:t>
      </w:r>
      <w:r>
        <w:rPr>
          <w:lang w:val="en_US" w:bidi="en_US"/>
        </w:rPr>
        <w:t xml:space="preserve"> is the translation of one Greek word. Some other ways to translate this are:</w:t>
      </w:r>
    </w:p>
    <w:p>
      <w:pPr/>
      <w:r>
        <w:rPr>
          <w:lang w:val="en_US" w:bidi="en_US"/>
        </w:rPr>
      </w:r>
      <w:r>
        <w:rPr>
          <w:lang w:val="en_US" w:bidi="en_US"/>
        </w:rPr>
        <w:t xml:space="preserve">tell the good/sweet news </w:t>
      </w:r>
      <w:r>
        <w:rPr>
          <w:lang w:val="en_US" w:bidi="en_US"/>
        </w:rPr>
        <w:t>from God</w:t>
      </w:r>
    </w:p>
    <w:p>
      <w:pPr/>
      <w:r>
        <w:rPr>
          <w:lang w:val="en_US" w:bidi="en_US"/>
        </w:rPr>
      </w:r>
      <w:r>
        <w:rPr>
          <w:lang w:val="en_US" w:bidi="en_US"/>
        </w:rPr>
        <w:t>announce the message/word that causes joy</w:t>
      </w:r>
    </w:p>
    <w:p>
      <w:pPr/>
      <w:r>
        <w:rPr>
          <w:lang w:val="en_US" w:bidi="en_US"/>
        </w:rPr>
      </w:r>
      <w:r>
        <w:rPr>
          <w:lang w:val="en_US" w:bidi="en_US"/>
        </w:rPr>
        <w:t>Be sure that the term you choose does not refer only to a news report or to a story that is not true.</w:t>
      </w:r>
    </w:p>
    <w:p>
      <w:pPr/>
      <w:r>
        <w:rPr>
          <w:lang w:val="en_US" w:bidi="en_US"/>
        </w:rPr>
      </w:r>
      <w:r>
        <w:rPr>
          <w:lang w:val="en_US" w:bidi="en_US"/>
        </w:rPr>
        <w:t>This word also occurs in 4:18b.</w:t>
      </w:r>
    </w:p>
    <w:p>
      <w:pPr/>
      <w:r>
        <w:rPr>
          <w:lang w:val="en_US" w:bidi="en_US"/>
        </w:rPr>
      </w:r>
      <w:r>
        <w:rPr>
          <w:b/>
          <w:lang w:val="en_US" w:bidi="en_US"/>
        </w:rPr>
        <w:t>preach:</w:t>
      </w:r>
      <w:r>
        <w:rPr>
          <w:lang w:val="en_US" w:bidi="en_US"/>
        </w:rPr>
        <w:t xml:space="preserve"> The type of preaching Jesus did involved more than just formally preaching messages in the synagogues of the Jews. If the word for “preach” in your language is limited to giving a formal message in church, then you should consider using a more general word. For example:</w:t>
      </w:r>
    </w:p>
    <w:p>
      <w:pPr/>
      <w:r>
        <w:rPr>
          <w:lang w:val="en_US" w:bidi="en_US"/>
        </w:rPr>
      </w:r>
      <w:r>
        <w:rPr>
          <w:lang w:val="en_US" w:bidi="en_US"/>
        </w:rPr>
        <w:t>proclaim (NET)</w:t>
      </w:r>
    </w:p>
    <w:p>
      <w:pPr/>
      <w:r>
        <w:rPr>
          <w:lang w:val="en_US" w:bidi="en_US"/>
        </w:rPr>
      </w:r>
      <w:r>
        <w:rPr>
          <w:lang w:val="en_US" w:bidi="en_US"/>
        </w:rPr>
        <w:t>tell (GW)</w:t>
      </w:r>
    </w:p>
    <w:p>
      <w:pPr/>
      <w:r>
        <w:rPr>
          <w:lang w:val="en_US" w:bidi="en_US"/>
        </w:rPr>
      </w:r>
      <w:r>
        <w:rPr>
          <w:lang w:val="en_US" w:bidi="en_US"/>
        </w:rPr>
        <w:t>give (REB)</w:t>
      </w:r>
    </w:p>
    <w:p>
      <w:pPr/>
      <w:r>
        <w:rPr>
          <w:lang w:val="en_US" w:bidi="en_US"/>
        </w:rPr>
      </w:r>
      <w:r>
        <w:rPr>
          <w:lang w:val="en_US" w:bidi="en_US"/>
        </w:rPr>
        <w:t>announce</w:t>
      </w:r>
    </w:p>
    <w:p>
      <w:pPr/>
      <w:r>
        <w:rPr>
          <w:lang w:val="en_US" w:bidi="en_US"/>
        </w:rPr>
      </w:r>
      <w:r>
        <w:rPr>
          <w:b/>
          <w:lang w:val="en_US" w:bidi="en_US"/>
        </w:rPr>
        <w:t>of the kingdom of God:</w:t>
      </w:r>
      <w:r>
        <w:rPr>
          <w:lang w:val="en_US" w:bidi="en_US"/>
        </w:rPr>
        <w:t xml:space="preserve"> The phrase </w:t>
      </w:r>
      <w:r>
        <w:rPr>
          <w:i/>
          <w:lang w:val="en_US" w:bidi="en_US"/>
        </w:rPr>
        <w:t>of the kingdom of God</w:t>
      </w:r>
      <w:r>
        <w:rPr>
          <w:lang w:val="en_US" w:bidi="en_US"/>
        </w:rPr>
        <w:t xml:space="preserve"> means “about/ concerning the kingdom of God.” The good news that Jesus came to preach was about God’s kingdom.</w:t>
      </w:r>
    </w:p>
    <w:p>
      <w:pPr/>
      <w:r>
        <w:rPr>
          <w:lang w:val="en_US" w:bidi="en_US"/>
        </w:rPr>
      </w:r>
      <w:r>
        <w:rPr>
          <w:b/>
          <w:lang w:val="en_US" w:bidi="en_US"/>
        </w:rPr>
        <w:t>kingdom of God:</w:t>
      </w:r>
      <w:r>
        <w:rPr>
          <w:lang w:val="en_US" w:bidi="en_US"/>
        </w:rPr>
        <w:t xml:space="preserve"> The phrase </w:t>
      </w:r>
      <w:r>
        <w:rPr>
          <w:i/>
          <w:lang w:val="en_US" w:bidi="en_US"/>
        </w:rPr>
        <w:t>kingdom of God</w:t>
      </w:r>
      <w:r>
        <w:rPr>
          <w:lang w:val="en_US" w:bidi="en_US"/>
        </w:rPr>
        <w:t xml:space="preserve"> refers to God’s rule. It does not refer to a land or country that he rules over. Instead, it refers to God ruling in the hearts and lives of people through faith in the Messiah, Jesus Christ. It refers to the relationship that he has with his people. He leads, protects, and cares for them. They trust him and obey him as their king.</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As a noun. For example:</w:t>
      </w:r>
      <w:r>
        <w:rPr>
          <w:lang w:val="en_US" w:bidi="en_US"/>
        </w:rPr>
        <w:t>God’s rule/reign</w:t>
      </w:r>
      <w:r>
        <w:rPr>
          <w:lang w:val="en_US" w:bidi="en_US"/>
        </w:rPr>
        <w:t>God’s kingship</w:t>
      </w:r>
      <w:r>
        <w:rPr>
          <w:lang w:val="en_US" w:bidi="en_US"/>
        </w:rPr>
        <w:t>God’s chieftaincy</w:t>
      </w:r>
      <w:r>
        <w:rPr>
          <w:lang w:val="en_US" w:bidi="en_US"/>
        </w:rPr>
        <w:t>God’s government</w:t>
      </w:r>
    </w:p>
    <w:p>
      <w:pPr>
        <w:pStyle w:val="ListBullet"/>
        <w:spacing w:line="240" w:lineRule="auto"/>
        <w:ind w:left="720"/>
      </w:pPr>
      <w:r>
        <w:rPr>
          <w:lang w:val="en_US" w:bidi="en_US"/>
        </w:rPr>
      </w:r>
      <w:r>
        <w:rPr>
          <w:lang w:val="en_US" w:bidi="en_US"/>
        </w:rPr>
        <w:t>As a verbal expression:</w:t>
      </w:r>
      <w:r>
        <w:rPr>
          <w:lang w:val="en_US" w:bidi="en_US"/>
        </w:rPr>
        <w:t>the way God rules his people</w:t>
      </w:r>
      <w:r>
        <w:rPr>
          <w:lang w:val="en_US" w:bidi="en_US"/>
        </w:rPr>
        <w:t>the way God cares for his people as their king</w:t>
      </w:r>
    </w:p>
    <w:p>
      <w:pPr/>
      <w:r>
        <w:rPr>
          <w:lang w:val="en_US" w:bidi="en_US"/>
        </w:rPr>
      </w:r>
      <w:r>
        <w:rPr>
          <w:lang w:val="en_US" w:bidi="en_US"/>
        </w:rPr>
        <w:t>See also kingdom of God, Context 4, in the Glossary.</w:t>
      </w:r>
    </w:p>
    <w:p>
      <w:pPr/>
      <w:r>
        <w:rPr>
          <w:lang w:val="en_US" w:bidi="en_US"/>
        </w:rPr>
      </w:r>
      <w:r>
        <w:rPr>
          <w:b/>
          <w:lang w:val="en_US" w:bidi="en_US"/>
        </w:rPr>
        <w:t>to the other towns as well:</w:t>
      </w:r>
      <w:r>
        <w:rPr>
          <w:lang w:val="en_US" w:bidi="en_US"/>
        </w:rPr>
        <w:t xml:space="preserve"> The phrase </w:t>
      </w:r>
      <w:r>
        <w:rPr>
          <w:i/>
          <w:lang w:val="en_US" w:bidi="en_US"/>
        </w:rPr>
        <w:t>other towns</w:t>
      </w:r>
      <w:r>
        <w:rPr>
          <w:lang w:val="en_US" w:bidi="en_US"/>
        </w:rPr>
        <w:t xml:space="preserve"> represents the people who lived in these other towns. In some languages, it may be more natural to make this explicit. For example:</w:t>
      </w:r>
    </w:p>
    <w:p>
      <w:pPr/>
      <w:r>
        <w:rPr>
          <w:lang w:val="en_US" w:bidi="en_US"/>
        </w:rPr>
      </w:r>
      <w:r>
        <w:rPr>
          <w:lang w:val="en_US" w:bidi="en_US"/>
        </w:rPr>
        <w:t xml:space="preserve">to the </w:t>
      </w:r>
      <w:r>
        <w:rPr>
          <w:lang w:val="en_US" w:bidi="en_US"/>
        </w:rPr>
        <w:t>people who live in</w:t>
      </w:r>
      <w:r>
        <w:rPr>
          <w:lang w:val="en_US" w:bidi="en_US"/>
        </w:rPr>
        <w:t xml:space="preserve"> other towns also</w:t>
      </w:r>
    </w:p>
    <w:p>
      <w:pPr/>
      <w:r>
        <w:rPr>
          <w:lang w:val="en_US" w:bidi="en_US"/>
        </w:rPr>
      </w:r>
      <w:r>
        <w:rPr>
          <w:lang w:val="en_US" w:bidi="en_US"/>
        </w:rPr>
        <w:t xml:space="preserve">to the </w:t>
      </w:r>
      <w:r>
        <w:rPr>
          <w:lang w:val="en_US" w:bidi="en_US"/>
        </w:rPr>
        <w:t>inhabitants of</w:t>
      </w:r>
      <w:r>
        <w:rPr>
          <w:lang w:val="en_US" w:bidi="en_US"/>
        </w:rPr>
        <w:t xml:space="preserve"> other towns too</w:t>
      </w:r>
    </w:p>
    <w:p>
      <w:pPr/>
      <w:r>
        <w:rPr>
          <w:lang w:val="en_US" w:bidi="en_US"/>
        </w:rPr>
      </w:r>
      <w:r>
        <w:rPr>
          <w:lang w:val="en_US" w:bidi="en_US"/>
        </w:rPr>
        <w:t>Jesus had already told the people of Capernaum about God’s kingdom. He had healed their people and commanded demons to come out of people. He needed to do this in other towns as well.</w:t>
      </w:r>
    </w:p>
    <w:p>
      <w:pPr>
        <w:pStyle w:val="Heading5"/>
      </w:pPr>
      <w:r>
        <w:rPr>
          <w:lang w:val="en_US" w:bidi="en_US"/>
        </w:rPr>
        <w:t>4:43b</w:t>
      </w:r>
    </w:p>
    <w:p>
      <w:pPr/>
      <w:r>
        <w:rPr>
          <w:lang w:val="en_US" w:bidi="en_US"/>
        </w:rPr>
      </w:r>
      <w:r>
        <w:rPr>
          <w:b/>
          <w:lang w:val="en_US" w:bidi="en_US"/>
        </w:rPr>
        <w:t>because that is why I was sent.”</w:t>
      </w:r>
    </w:p>
    <w:p>
      <w:pPr>
        <w:pStyle w:val="ListBullet"/>
        <w:spacing w:line="240" w:lineRule="auto"/>
        <w:ind w:left="720"/>
      </w:pPr>
      <w:r>
        <w:rPr>
          <w:lang w:val="en_US" w:bidi="en_US"/>
        </w:rPr>
      </w:r>
      <w:r>
        <w:rPr>
          <w:lang w:val="en_US" w:bidi="en_US"/>
        </w:rPr>
        <w:t>because that is the reason that I was sent.”</w:t>
      </w:r>
    </w:p>
    <w:p>
      <w:pPr>
        <w:pStyle w:val="ListBullet"/>
        <w:spacing w:line="240" w:lineRule="auto"/>
        <w:ind w:left="720"/>
      </w:pPr>
      <w:r>
        <w:rPr>
          <w:lang w:val="en_US" w:bidi="en_US"/>
        </w:rPr>
      </w:r>
      <w:r>
        <w:rPr>
          <w:lang w:val="en_US" w:bidi="en_US"/>
        </w:rPr>
        <w:t xml:space="preserve">because that is the reason that </w:t>
      </w:r>
      <w:r>
        <w:rPr>
          <w:lang w:val="en_US" w:bidi="en_US"/>
        </w:rPr>
        <w:t>God</w:t>
      </w:r>
      <w:r>
        <w:rPr>
          <w:lang w:val="en_US" w:bidi="en_US"/>
        </w:rPr>
        <w:t xml:space="preserve"> sent me </w:t>
      </w:r>
      <w:r>
        <w:rPr>
          <w:lang w:val="en_US" w:bidi="en_US"/>
        </w:rPr>
        <w:t>here</w:t>
      </w:r>
      <w:r>
        <w:rPr>
          <w:lang w:val="en_US" w:bidi="en_US"/>
        </w:rPr>
        <w:t>.”</w:t>
      </w:r>
    </w:p>
    <w:p>
      <w:pPr>
        <w:pStyle w:val="ListBullet"/>
        <w:spacing w:line="240" w:lineRule="auto"/>
        <w:ind w:left="720"/>
      </w:pPr>
      <w:r>
        <w:rPr>
          <w:lang w:val="en_US" w:bidi="en_US"/>
        </w:rPr>
      </w:r>
      <w:r>
        <w:rPr>
          <w:lang w:val="en_US" w:bidi="en_US"/>
        </w:rPr>
        <w:t xml:space="preserve">because that is </w:t>
      </w:r>
      <w:r>
        <w:rPr>
          <w:lang w:val="en_US" w:bidi="en_US"/>
        </w:rPr>
        <w:t>God’s</w:t>
      </w:r>
      <w:r>
        <w:rPr>
          <w:lang w:val="en_US" w:bidi="en_US"/>
        </w:rPr>
        <w:t xml:space="preserve"> purpose in sending me </w:t>
      </w:r>
      <w:r>
        <w:rPr>
          <w:lang w:val="en_US" w:bidi="en_US"/>
        </w:rPr>
        <w:t>to the earth</w:t>
      </w:r>
      <w:r>
        <w:rPr>
          <w:lang w:val="en_US" w:bidi="en_US"/>
        </w:rPr>
        <w:t>.”</w:t>
      </w:r>
    </w:p>
    <w:p>
      <w:pPr/>
      <w:r>
        <w:rPr>
          <w:lang w:val="en_US" w:bidi="en_US"/>
        </w:rPr>
      </w:r>
      <w:r>
        <w:rPr>
          <w:b/>
          <w:lang w:val="en_US" w:bidi="en_US"/>
        </w:rPr>
        <w:t>because that is why I was sent:</w:t>
      </w:r>
      <w:r>
        <w:rPr>
          <w:lang w:val="en_US" w:bidi="en_US"/>
        </w:rPr>
        <w:t xml:space="preserve"> The clause </w:t>
      </w:r>
      <w:r>
        <w:rPr>
          <w:i/>
          <w:lang w:val="en_US" w:bidi="en_US"/>
        </w:rPr>
        <w:t>because that is why I was sent</w:t>
      </w:r>
      <w:r>
        <w:rPr>
          <w:lang w:val="en_US" w:bidi="en_US"/>
        </w:rPr>
        <w:t xml:space="preserve"> gives the reason why Jesus had to preach in other towns. In some languages, it may be more natural to put 4:43b before 4:43a. See the General Comment on 4:43a–b below for an example.</w:t>
      </w:r>
    </w:p>
    <w:p>
      <w:pPr/>
      <w:r>
        <w:rPr>
          <w:lang w:val="en_US" w:bidi="en_US"/>
        </w:rPr>
      </w:r>
      <w:r>
        <w:rPr>
          <w:b/>
          <w:lang w:val="en_US" w:bidi="en_US"/>
        </w:rPr>
        <w:t>I was sent:</w:t>
      </w:r>
      <w:r>
        <w:rPr>
          <w:lang w:val="en_US" w:bidi="en_US"/>
        </w:rPr>
        <w:t xml:space="preserve"> The clause </w:t>
      </w:r>
      <w:r>
        <w:rPr>
          <w:i/>
          <w:lang w:val="en_US" w:bidi="en_US"/>
        </w:rPr>
        <w:t>I was sent</w:t>
      </w:r>
      <w:r>
        <w:rPr>
          <w:lang w:val="en_US" w:bidi="en_US"/>
        </w:rPr>
        <w:t xml:space="preserve"> is a passive clause. If it is more natural in your language to use an active verb, you can say:</w:t>
      </w:r>
    </w:p>
    <w:p>
      <w:pPr/>
      <w:r>
        <w:rPr>
          <w:lang w:val="en_US" w:bidi="en_US"/>
        </w:rPr>
      </w:r>
      <w:r>
        <w:rPr>
          <w:lang w:val="en_US" w:bidi="en_US"/>
        </w:rPr>
        <w:t>God</w:t>
      </w:r>
      <w:r>
        <w:rPr>
          <w:lang w:val="en_US" w:bidi="en_US"/>
        </w:rPr>
        <w:t xml:space="preserve"> sent me</w:t>
      </w:r>
    </w:p>
    <w:p>
      <w:pPr/>
      <w:r>
        <w:rPr>
          <w:lang w:val="en_US" w:bidi="en_US"/>
        </w:rPr>
      </w:r>
      <w:r>
        <w:rPr>
          <w:lang w:val="en_US" w:bidi="en_US"/>
        </w:rPr>
        <w:t>Also, it may be necessary in some languages to say where Jesus was sent. For example:</w:t>
      </w:r>
    </w:p>
    <w:p>
      <w:pPr/>
      <w:r>
        <w:rPr>
          <w:lang w:val="en_US" w:bidi="en_US"/>
        </w:rPr>
      </w:r>
      <w:r>
        <w:rPr>
          <w:lang w:val="en_US" w:bidi="en_US"/>
        </w:rPr>
        <w:t>God</w:t>
      </w:r>
      <w:r>
        <w:rPr>
          <w:lang w:val="en_US" w:bidi="en_US"/>
        </w:rPr>
        <w:t xml:space="preserve"> sent me </w:t>
      </w:r>
      <w:r>
        <w:rPr>
          <w:lang w:val="en_US" w:bidi="en_US"/>
        </w:rPr>
        <w:t>here</w:t>
      </w:r>
    </w:p>
    <w:p>
      <w:pPr/>
      <w:r>
        <w:rPr>
          <w:lang w:val="en_US" w:bidi="en_US"/>
        </w:rPr>
      </w:r>
      <w:r>
        <w:rPr>
          <w:lang w:val="en_US" w:bidi="en_US"/>
        </w:rPr>
        <w:t>God</w:t>
      </w:r>
      <w:r>
        <w:rPr>
          <w:lang w:val="en_US" w:bidi="en_US"/>
        </w:rPr>
        <w:t xml:space="preserve"> sent me </w:t>
      </w:r>
      <w:r>
        <w:rPr>
          <w:lang w:val="en_US" w:bidi="en_US"/>
        </w:rPr>
        <w:t>to the earth</w:t>
      </w:r>
    </w:p>
    <w:p>
      <w:pPr>
        <w:pStyle w:val="Heading6"/>
      </w:pPr>
      <w:r>
        <w:rPr>
          <w:b/>
          <w:lang w:val="en_US" w:bidi="en_US"/>
        </w:rPr>
        <w:t>General Comment on 4:43a–b</w:t>
      </w:r>
    </w:p>
    <w:p>
      <w:pPr/>
      <w:r>
        <w:rPr>
          <w:lang w:val="en_US" w:bidi="en_US"/>
        </w:rPr>
      </w:r>
      <w:r>
        <w:rPr>
          <w:lang w:val="en_US" w:bidi="en_US"/>
        </w:rPr>
        <w:t>In some languages, it may be more natural to change the order of the clauses in 4:43a–b. For example:</w:t>
      </w:r>
    </w:p>
    <w:p>
      <w:pPr/>
      <w:r>
        <w:rPr>
          <w:lang w:val="en_US" w:bidi="en_US"/>
        </w:rPr>
      </w:r>
      <w:r>
        <w:rPr>
          <w:vertAlign w:val="superscript"/>
          <w:lang w:val="en_US" w:bidi="en_US"/>
        </w:rPr>
        <w:t>43b</w:t>
      </w:r>
      <w:r>
        <w:rPr>
          <w:lang w:val="en_US" w:bidi="en_US"/>
        </w:rPr>
        <w:t xml:space="preserve">I was sent </w:t>
      </w:r>
      <w:r>
        <w:rPr>
          <w:vertAlign w:val="superscript"/>
          <w:lang w:val="en_US" w:bidi="en_US"/>
        </w:rPr>
        <w:t>43a</w:t>
      </w:r>
      <w:r>
        <w:rPr>
          <w:lang w:val="en_US" w:bidi="en_US"/>
        </w:rPr>
        <w:t xml:space="preserve">to preach the good news of the kingdom of God. </w:t>
      </w:r>
      <w:r>
        <w:rPr>
          <w:lang w:val="en_US" w:bidi="en_US"/>
        </w:rPr>
        <w:t>So</w:t>
      </w:r>
      <w:r>
        <w:rPr>
          <w:lang w:val="en_US" w:bidi="en_US"/>
        </w:rPr>
        <w:t xml:space="preserve"> I must also go to other towns.</w:t>
      </w:r>
      <w:r>
        <w:rPr>
          <w:lang w:val="en_US" w:bidi="en_US"/>
        </w:rPr>
      </w:r>
      <w:r>
        <w:rPr>
          <w:lang w:val="en_US" w:bidi="en_US"/>
        </w:rPr>
      </w:r>
    </w:p>
    <w:p>
      <w:pPr/>
      <w:r>
        <w:rPr>
          <w:lang w:val="en_US" w:bidi="en_US"/>
        </w:rPr>
      </w:r>
    </w:p>
    <w:p>
      <w:pPr>
        <w:pStyle w:val="Heading2"/>
      </w:pPr>
      <w:r>
        <w:rPr>
          <w:lang w:val="en_US" w:bidi="en_US"/>
        </w:rPr>
        <w:t>Luke 4:44</w:t>
      </w:r>
      <w:r>
        <w:rPr>
          <w:lang w:val="en_US" w:bidi="en_US"/>
        </w:rPr>
      </w:r>
    </w:p>
    <w:p>
      <w:pPr>
        <w:pStyle w:val="Heading4"/>
      </w:pPr>
      <w:r>
        <w:rPr>
          <w:lang w:val="en_US" w:bidi="en_US"/>
        </w:rPr>
        <w:t>Section 4:38–44: Jesus helped many people</w:t>
      </w:r>
    </w:p>
    <w:p>
      <w:pPr/>
      <w:r>
        <w:rPr>
          <w:lang w:val="en_US" w:bidi="en_US"/>
        </w:rPr>
      </w:r>
      <w:r>
        <w:rPr>
          <w:lang w:val="en_US" w:bidi="en_US"/>
        </w:rPr>
        <w:t>Jesus continued healing people, casting out demons, and preaching the good news about the kingdom of God. The people of Capernaum tried to stop him from leaving (4:42), but Jesus continued going from place to place, helping many people.</w:t>
      </w:r>
    </w:p>
    <w:p>
      <w:pPr/>
      <w:r>
        <w:rPr>
          <w:lang w:val="en_US" w:bidi="en_US"/>
        </w:rPr>
      </w:r>
      <w:r>
        <w:rPr>
          <w:lang w:val="en_US" w:bidi="en_US"/>
        </w:rPr>
        <w:t>Some other possible headings for this section are:</w:t>
      </w:r>
    </w:p>
    <w:p>
      <w:pPr/>
      <w:r>
        <w:rPr>
          <w:lang w:val="en_US" w:bidi="en_US"/>
        </w:rPr>
      </w:r>
      <w:r>
        <w:rPr>
          <w:lang w:val="en_US" w:bidi="en_US"/>
        </w:rPr>
        <w:t>Jesus Heals Many People</w:t>
      </w:r>
    </w:p>
    <w:p>
      <w:pPr/>
      <w:r>
        <w:rPr>
          <w:lang w:val="en_US" w:bidi="en_US"/>
        </w:rPr>
      </w:r>
      <w:r>
        <w:rPr>
          <w:lang w:val="en_US" w:bidi="en_US"/>
        </w:rPr>
        <w:t>Jesus Cures Simon’s Mother-in-Law and Many Others (GW)</w:t>
      </w:r>
    </w:p>
    <w:p>
      <w:pPr/>
      <w:r>
        <w:rPr>
          <w:lang w:val="en_US" w:bidi="en_US"/>
        </w:rPr>
      </w:r>
      <w:r>
        <w:rPr>
          <w:lang w:val="en_US" w:bidi="en_US"/>
        </w:rPr>
        <w:t>There are parallel passages for this section in Matthew 8:14–17 and Mark 1:29–34.</w:t>
      </w:r>
    </w:p>
    <w:p>
      <w:pPr>
        <w:pStyle w:val="Heading4"/>
      </w:pPr>
      <w:r>
        <w:rPr>
          <w:lang w:val="en_US" w:bidi="en_US"/>
        </w:rPr>
        <w:t>Paragraph 4:42–44</w:t>
      </w:r>
    </w:p>
    <w:p>
      <w:pPr/>
      <w:r>
        <w:rPr>
          <w:lang w:val="en_US" w:bidi="en_US"/>
        </w:rPr>
      </w:r>
      <w:r>
        <w:rPr>
          <w:lang w:val="en_US" w:bidi="en_US"/>
        </w:rPr>
        <w:t>Verses 4:42–44 tell the same story that is in Mark 1:35–39. Jesus wanted to get away from all the people in order to pray.</w:t>
      </w:r>
    </w:p>
    <w:p>
      <w:pPr>
        <w:pStyle w:val="Heading5"/>
      </w:pPr>
      <w:r>
        <w:rPr>
          <w:lang w:val="en_US" w:bidi="en_US"/>
        </w:rPr>
        <w:t>4:44</w:t>
      </w:r>
    </w:p>
    <w:p>
      <w:pPr/>
      <w:r>
        <w:rPr>
          <w:lang w:val="en_US" w:bidi="en_US"/>
        </w:rPr>
      </w:r>
      <w:r>
        <w:rPr>
          <w:b/>
          <w:lang w:val="en_US" w:bidi="en_US"/>
        </w:rPr>
        <w:t>And He continued to preach in the synagogues of Judea.</w:t>
      </w:r>
    </w:p>
    <w:p>
      <w:pPr>
        <w:pStyle w:val="ListBullet"/>
        <w:spacing w:line="240" w:lineRule="auto"/>
        <w:ind w:left="720"/>
      </w:pPr>
      <w:r>
        <w:rPr>
          <w:lang w:val="en_US" w:bidi="en_US"/>
        </w:rPr>
      </w:r>
      <w:r>
        <w:rPr>
          <w:lang w:val="en_US" w:bidi="en_US"/>
        </w:rPr>
        <w:t>Then Jesus left,</w:t>
      </w:r>
      <w:r>
        <w:rPr>
          <w:lang w:val="en_US" w:bidi="en_US"/>
        </w:rPr>
        <w:t xml:space="preserve"> and he continued preaching in the synagogues in Judea.</w:t>
      </w:r>
    </w:p>
    <w:p>
      <w:pPr>
        <w:pStyle w:val="ListBullet"/>
        <w:spacing w:line="240" w:lineRule="auto"/>
        <w:ind w:left="720"/>
      </w:pPr>
      <w:r>
        <w:rPr>
          <w:lang w:val="en_US" w:bidi="en_US"/>
        </w:rPr>
      </w:r>
      <w:r>
        <w:rPr>
          <w:lang w:val="en_US" w:bidi="en_US"/>
        </w:rPr>
        <w:t xml:space="preserve">So </w:t>
      </w:r>
      <w:r>
        <w:rPr>
          <w:lang w:val="en_US" w:bidi="en_US"/>
        </w:rPr>
        <w:t>Jesus went to other towns</w:t>
      </w:r>
      <w:r>
        <w:rPr>
          <w:lang w:val="en_US" w:bidi="en_US"/>
        </w:rPr>
        <w:t xml:space="preserve"> in </w:t>
      </w:r>
      <w:r>
        <w:rPr>
          <w:lang w:val="en_US" w:bidi="en_US"/>
        </w:rPr>
        <w:t>the area/land of</w:t>
      </w:r>
      <w:r>
        <w:rPr>
          <w:lang w:val="en_US" w:bidi="en_US"/>
        </w:rPr>
        <w:t xml:space="preserve"> Judea and told </w:t>
      </w:r>
      <w:r>
        <w:rPr>
          <w:lang w:val="en_US" w:bidi="en_US"/>
        </w:rPr>
        <w:t>his message</w:t>
      </w:r>
      <w:r>
        <w:rPr>
          <w:lang w:val="en_US" w:bidi="en_US"/>
        </w:rPr>
        <w:t xml:space="preserve"> in their meeting places.</w:t>
      </w:r>
    </w:p>
    <w:p>
      <w:pPr/>
      <w:r>
        <w:rPr>
          <w:lang w:val="en_US" w:bidi="en_US"/>
        </w:rPr>
      </w:r>
      <w:r>
        <w:rPr>
          <w:b/>
          <w:lang w:val="en_US" w:bidi="en_US"/>
        </w:rPr>
        <w:t>And:</w:t>
      </w:r>
      <w:r>
        <w:rPr>
          <w:lang w:val="en_US" w:bidi="en_US"/>
        </w:rPr>
        <w:t xml:space="preserve"> This verse begins with a Greek conjunction that is often translated as “and.” Many English versions, including the BSB, translate it that way. However, since 4:44 tells what happened as a result of Jesus’ words in 4:43, many other versions translate it as “so.” Connect 4:44a to 4:43b in a way that is natural in your language.</w:t>
      </w:r>
    </w:p>
    <w:p>
      <w:pPr/>
      <w:r>
        <w:rPr>
          <w:lang w:val="en_US" w:bidi="en_US"/>
        </w:rPr>
      </w:r>
      <w:r>
        <w:rPr>
          <w:lang w:val="en_US" w:bidi="en_US"/>
        </w:rPr>
        <w:t>Jesus did not remain with the people of Capernaum. Instead, he moved on to different towns to preach. In some languages, it may be necessary to make this explicit. For example:</w:t>
      </w:r>
    </w:p>
    <w:p>
      <w:pPr/>
      <w:r>
        <w:rPr>
          <w:lang w:val="en_US" w:bidi="en_US"/>
        </w:rPr>
      </w:r>
      <w:r>
        <w:rPr>
          <w:lang w:val="en_US" w:bidi="en_US"/>
        </w:rPr>
        <w:t>Then he left there</w:t>
      </w:r>
      <w:r>
        <w:rPr>
          <w:lang w:val="en_US" w:bidi="en_US"/>
        </w:rPr>
        <w:t xml:space="preserve"> and</w:t>
      </w:r>
    </w:p>
    <w:p>
      <w:pPr/>
      <w:r>
        <w:rPr>
          <w:lang w:val="en_US" w:bidi="en_US"/>
        </w:rPr>
      </w:r>
      <w:r>
        <w:rPr>
          <w:b/>
          <w:lang w:val="en_US" w:bidi="en_US"/>
        </w:rPr>
        <w:t>He continued to preach in the synagogues of Judea:</w:t>
      </w:r>
      <w:r>
        <w:rPr>
          <w:lang w:val="en_US" w:bidi="en_US"/>
        </w:rPr>
        <w:t xml:space="preserve"> The form of the Greek verb that the BSB translates as </w:t>
      </w:r>
      <w:r>
        <w:rPr>
          <w:i/>
          <w:lang w:val="en_US" w:bidi="en_US"/>
        </w:rPr>
        <w:t>He continued to preach</w:t>
      </w:r>
      <w:r>
        <w:rPr>
          <w:lang w:val="en_US" w:bidi="en_US"/>
        </w:rPr>
        <w:t xml:space="preserve"> shows continuous, repeated, or habitual activity. Preaching in the synagogues was a regular activity for Jesus. He continued to go to different Jewish towns and preach in their synagogues on the Sabbath days.</w:t>
      </w:r>
    </w:p>
    <w:p>
      <w:pPr/>
      <w:r>
        <w:rPr>
          <w:lang w:val="en_US" w:bidi="en_US"/>
        </w:rPr>
      </w:r>
      <w:r>
        <w:rPr>
          <w:lang w:val="en_US" w:bidi="en_US"/>
        </w:rPr>
        <w:t>Some other ways to translate this are:</w:t>
      </w:r>
    </w:p>
    <w:p>
      <w:pPr/>
      <w:r>
        <w:rPr>
          <w:lang w:val="en_US" w:bidi="en_US"/>
        </w:rPr>
      </w:r>
      <w:r>
        <w:rPr>
          <w:lang w:val="en_US" w:bidi="en_US"/>
        </w:rPr>
        <w:t>he kept on preaching in the synagogues of Judea (NIV)</w:t>
      </w:r>
    </w:p>
    <w:p>
      <w:pPr/>
      <w:r>
        <w:rPr>
          <w:lang w:val="en_US" w:bidi="en_US"/>
        </w:rPr>
      </w:r>
      <w:r>
        <w:rPr>
          <w:lang w:val="en_US" w:bidi="en_US"/>
        </w:rPr>
        <w:t>he continued to travel around, preaching in synagogues throughout Judea. (NLT)</w:t>
      </w:r>
    </w:p>
    <w:p>
      <w:pPr/>
      <w:r>
        <w:rPr>
          <w:lang w:val="en_US" w:bidi="en_US"/>
        </w:rPr>
      </w:r>
      <w:r>
        <w:rPr>
          <w:b/>
          <w:lang w:val="en_US" w:bidi="en_US"/>
        </w:rPr>
        <w:t>preach:</w:t>
      </w:r>
      <w:r>
        <w:rPr>
          <w:lang w:val="en_US" w:bidi="en_US"/>
        </w:rPr>
        <w:t xml:space="preserve"> The Greek word that the BSB translates as </w:t>
      </w:r>
      <w:r>
        <w:rPr>
          <w:i/>
          <w:lang w:val="en_US" w:bidi="en_US"/>
        </w:rPr>
        <w:t>preach</w:t>
      </w:r>
      <w:r>
        <w:rPr>
          <w:lang w:val="en_US" w:bidi="en_US"/>
        </w:rPr>
        <w:t xml:space="preserve"> means “announce, tell, or send out news about something.” For example:</w:t>
      </w:r>
    </w:p>
    <w:p>
      <w:pPr/>
      <w:r>
        <w:rPr>
          <w:lang w:val="en_US" w:bidi="en_US"/>
        </w:rPr>
      </w:r>
      <w:r>
        <w:rPr>
          <w:lang w:val="en_US" w:bidi="en_US"/>
        </w:rPr>
        <w:t>proclaiming his message (JBP)</w:t>
      </w:r>
    </w:p>
    <w:p>
      <w:pPr/>
      <w:r>
        <w:rPr>
          <w:lang w:val="en_US" w:bidi="en_US"/>
        </w:rPr>
      </w:r>
      <w:r>
        <w:rPr>
          <w:lang w:val="en_US" w:bidi="en_US"/>
        </w:rPr>
        <w:t>The BSB translates this same word as “proclaim” in 4:18c.</w:t>
      </w:r>
    </w:p>
    <w:p>
      <w:pPr/>
      <w:r>
        <w:rPr>
          <w:lang w:val="en_US" w:bidi="en_US"/>
        </w:rPr>
      </w:r>
      <w:r>
        <w:rPr>
          <w:b/>
          <w:lang w:val="en_US" w:bidi="en_US"/>
        </w:rPr>
        <w:t>synagogues:</w:t>
      </w:r>
      <w:r>
        <w:rPr>
          <w:lang w:val="en_US" w:bidi="en_US"/>
        </w:rPr>
        <w:t xml:space="preserve"> The word </w:t>
      </w:r>
      <w:r>
        <w:rPr>
          <w:i/>
          <w:lang w:val="en_US" w:bidi="en_US"/>
        </w:rPr>
        <w:t>synagogue</w:t>
      </w:r>
      <w:r>
        <w:rPr>
          <w:lang w:val="en_US" w:bidi="en_US"/>
        </w:rPr>
        <w:t xml:space="preserve"> also occurs in 4:38a. See the note on </w:t>
      </w:r>
      <w:r>
        <w:rPr>
          <w:i/>
          <w:lang w:val="en_US" w:bidi="en_US"/>
        </w:rPr>
        <w:t>synagogue</w:t>
      </w:r>
      <w:r>
        <w:rPr>
          <w:lang w:val="en_US" w:bidi="en_US"/>
        </w:rPr>
        <w:t xml:space="preserve"> at 4:20d for a more complete discussion.</w:t>
      </w:r>
    </w:p>
    <w:p>
      <w:pPr/>
      <w:r>
        <w:rPr>
          <w:lang w:val="en_US" w:bidi="en_US"/>
        </w:rPr>
      </w:r>
      <w:r>
        <w:rPr>
          <w:b/>
          <w:lang w:val="en_US" w:bidi="en_US"/>
        </w:rPr>
        <w:t>Judea:</w:t>
      </w:r>
      <w:r>
        <w:rPr>
          <w:lang w:val="en_US" w:bidi="en_US"/>
        </w:rPr>
        <w:t xml:space="preserve"> </w:t>
      </w:r>
      <w:r>
        <w:rPr>
          <w:lang w:val="en_US" w:bidi="en_US"/>
        </w:rPr>
        <w:t>There is a textual issue here. Some Greek manuscripts read “synagogues of Judea.” Most English versions follow these manuscripts. Other Greek manuscripts read “synagogues of Galilee.” The KJV follows these manuscripts.</w:t>
      </w:r>
      <w:r>
        <w:rPr>
          <w:lang w:val="en_US" w:bidi="en_US"/>
        </w:rPr>
        <w:t xml:space="preserve"> The word </w:t>
      </w:r>
      <w:r>
        <w:rPr>
          <w:i/>
          <w:lang w:val="en_US" w:bidi="en_US"/>
        </w:rPr>
        <w:t>Judea</w:t>
      </w:r>
      <w:r>
        <w:rPr>
          <w:lang w:val="en_US" w:bidi="en_US"/>
        </w:rPr>
        <w:t xml:space="preserve"> is the name of a province where the Jews lived.</w:t>
      </w:r>
    </w:p>
    <w:p>
      <w:pPr/>
      <w:r>
        <w:rPr>
          <w:lang w:val="en_US" w:bidi="en_US"/>
        </w:rPr>
      </w:r>
      <w:r>
        <w:rPr>
          <w:lang w:val="en_US" w:bidi="en_US"/>
        </w:rPr>
        <w:t xml:space="preserve">The word </w:t>
      </w:r>
      <w:r>
        <w:rPr>
          <w:i/>
          <w:lang w:val="en_US" w:bidi="en_US"/>
        </w:rPr>
        <w:t>Judea</w:t>
      </w:r>
      <w:r>
        <w:rPr>
          <w:lang w:val="en_US" w:bidi="en_US"/>
        </w:rPr>
        <w:t xml:space="preserve"> presents a problem here. The parallel passage in Mark 1:39 says that Jesus preached throughout Galilee. Galilee and Judea were the two provinces where the Jews lived. Some ways to explain this are:</w:t>
      </w:r>
    </w:p>
    <w:p>
      <w:pPr>
        <w:pStyle w:val="ListNumber"/>
        <w:numPr>
          <w:ilvl w:val="0"/>
          <w:numId w:val="107"/>
        </w:numPr>
        <w:spacing w:line="240" w:lineRule="auto"/>
        <w:ind w:left="720"/>
      </w:pPr>
      <w:r>
        <w:rPr>
          <w:lang w:val="en_US" w:bidi="en_US"/>
        </w:rPr>
      </w:r>
      <w:r>
        <w:rPr>
          <w:lang w:val="en_US" w:bidi="en_US"/>
        </w:rPr>
        <w:t xml:space="preserve">In this context, </w:t>
      </w:r>
      <w:r>
        <w:rPr>
          <w:i/>
          <w:lang w:val="en_US" w:bidi="en_US"/>
        </w:rPr>
        <w:t>Judea</w:t>
      </w:r>
      <w:r>
        <w:rPr>
          <w:lang w:val="en_US" w:bidi="en_US"/>
        </w:rPr>
        <w:t xml:space="preserve"> may refer generally to the country where the Jews lived. This would include the provinces of both Judea and Galilee. Another way to translate this is:</w:t>
      </w:r>
      <w:r>
        <w:rPr>
          <w:lang w:val="en_US" w:bidi="en_US"/>
        </w:rPr>
        <w:t>throughout the country (GNT)</w:t>
      </w:r>
    </w:p>
    <w:p>
      <w:pPr>
        <w:pStyle w:val="ListNumber"/>
        <w:spacing w:line="240" w:lineRule="auto"/>
        <w:ind w:left="720"/>
      </w:pPr>
      <w:r>
        <w:rPr>
          <w:lang w:val="en_US" w:bidi="en_US"/>
        </w:rPr>
      </w:r>
      <w:r>
        <w:rPr>
          <w:lang w:val="en_US" w:bidi="en_US"/>
        </w:rPr>
        <w:t>Here Luke gave a summary statement of Jesus’ ministry. He extended Jesus’ preaching of the gospel past Galilee to Judea. But he did not exclude Galilee.</w:t>
      </w:r>
    </w:p>
    <w:p>
      <w:pPr/>
      <w:r>
        <w:rPr>
          <w:lang w:val="en_US" w:bidi="en_US"/>
        </w:rPr>
      </w:r>
      <w:r>
        <w:rPr>
          <w:lang w:val="en_US" w:bidi="en_US"/>
        </w:rPr>
        <w:t>It is recommended that you translate this as:</w:t>
      </w:r>
    </w:p>
    <w:p>
      <w:pPr/>
      <w:r>
        <w:rPr>
          <w:lang w:val="en_US" w:bidi="en_US"/>
        </w:rPr>
      </w:r>
      <w:r>
        <w:rPr>
          <w:lang w:val="en_US" w:bidi="en_US"/>
        </w:rPr>
        <w:t>the area/land of Judea</w:t>
      </w:r>
      <w:r>
        <w:rPr>
          <w:lang w:val="en_US" w:bidi="en_US"/>
        </w:rPr>
      </w:r>
      <w:r>
        <w:rPr>
          <w:lang w:val="en_US" w:bidi="en_US"/>
        </w:rPr>
      </w:r>
    </w:p>
    <w:p>
      <w:pPr/>
      <w:r>
        <w:rPr>
          <w:lang w:val="en_US" w:bidi="en_US"/>
        </w:rPr>
      </w:r>
    </w:p>
    <w:p>
      <w:pPr>
        <w:pStyle w:val="Heading2"/>
      </w:pPr>
      <w:r>
        <w:rPr>
          <w:lang w:val="en_US" w:bidi="en_US"/>
        </w:rPr>
        <w:t>Luke 5:1</w:t>
      </w:r>
      <w:r>
        <w:rPr>
          <w:lang w:val="en_US" w:bidi="en_US"/>
        </w:rPr>
      </w:r>
    </w:p>
    <w:p>
      <w:pPr>
        <w:pStyle w:val="Heading4"/>
      </w:pPr>
      <w:r>
        <w:rPr>
          <w:lang w:val="en_US" w:bidi="en_US"/>
        </w:rPr>
        <w:t>Section 5:1–11: Simon and some other fishermen became disciples of Jesus</w:t>
      </w:r>
    </w:p>
    <w:p>
      <w:pPr/>
      <w:r>
        <w:rPr>
          <w:lang w:val="en_US" w:bidi="en_US"/>
        </w:rPr>
      </w:r>
      <w:r>
        <w:rPr>
          <w:lang w:val="en_US" w:bidi="en_US"/>
        </w:rPr>
        <w:t>In this section, Simon Peter and some of his fishing companions heard Jesus teach. They saw his power revealed through a miraculous catch of fish. As a result, they left their fishing work and began following Jesus as his disciples.</w:t>
      </w:r>
    </w:p>
    <w:p>
      <w:pPr/>
      <w:r>
        <w:rPr>
          <w:lang w:val="en_US" w:bidi="en_US"/>
        </w:rPr>
      </w:r>
      <w:r>
        <w:rPr>
          <w:lang w:val="en_US" w:bidi="en_US"/>
        </w:rPr>
        <w:t>Some other possible headings for this section are:</w:t>
      </w:r>
    </w:p>
    <w:p>
      <w:pPr/>
      <w:r>
        <w:rPr>
          <w:lang w:val="en_US" w:bidi="en_US"/>
        </w:rPr>
      </w:r>
      <w:r>
        <w:rPr>
          <w:lang w:val="en_US" w:bidi="en_US"/>
        </w:rPr>
        <w:t>Jesus called Simon and other fishermen to become his disciples</w:t>
      </w:r>
    </w:p>
    <w:p>
      <w:pPr/>
      <w:r>
        <w:rPr>
          <w:lang w:val="en_US" w:bidi="en_US"/>
        </w:rPr>
      </w:r>
      <w:r>
        <w:rPr>
          <w:lang w:val="en_US" w:bidi="en_US"/>
        </w:rPr>
        <w:t>Jesus’ first disciples</w:t>
      </w:r>
    </w:p>
    <w:p>
      <w:pPr/>
      <w:r>
        <w:rPr>
          <w:lang w:val="en_US" w:bidi="en_US"/>
        </w:rPr>
      </w:r>
      <w:r>
        <w:rPr>
          <w:lang w:val="en_US" w:bidi="en_US"/>
        </w:rPr>
        <w:t>There are parallel passages for this section in Matthew 4:18–22 and Mark 1:16–20.</w:t>
      </w:r>
    </w:p>
    <w:p>
      <w:pPr>
        <w:pStyle w:val="Heading5"/>
      </w:pPr>
      <w:r>
        <w:rPr>
          <w:lang w:val="en_US" w:bidi="en_US"/>
        </w:rPr>
        <w:t>5:1a</w:t>
      </w:r>
    </w:p>
    <w:p>
      <w:pPr/>
      <w:r>
        <w:rPr>
          <w:lang w:val="en_US" w:bidi="en_US"/>
        </w:rPr>
      </w:r>
      <w:r>
        <w:rPr>
          <w:b/>
          <w:lang w:val="en_US" w:bidi="en_US"/>
        </w:rPr>
        <w:t>On one occasion, while Jesus was standing by the Lake of Gennesaret</w:t>
      </w:r>
    </w:p>
    <w:p>
      <w:pPr>
        <w:pStyle w:val="ListBullet"/>
        <w:spacing w:line="240" w:lineRule="auto"/>
        <w:ind w:left="720"/>
      </w:pPr>
      <w:r>
        <w:rPr>
          <w:lang w:val="en_US" w:bidi="en_US"/>
        </w:rPr>
      </w:r>
      <w:r>
        <w:rPr>
          <w:lang w:val="en_US" w:bidi="en_US"/>
        </w:rPr>
        <w:t>¶ One day as Jesus stood next to Lake Gennesaret,</w:t>
      </w:r>
    </w:p>
    <w:p>
      <w:pPr>
        <w:pStyle w:val="ListBullet"/>
        <w:spacing w:line="240" w:lineRule="auto"/>
        <w:ind w:left="720"/>
      </w:pPr>
      <w:r>
        <w:rPr>
          <w:lang w:val="en_US" w:bidi="en_US"/>
        </w:rPr>
      </w:r>
      <w:r>
        <w:rPr>
          <w:lang w:val="en_US" w:bidi="en_US"/>
        </w:rPr>
        <w:t xml:space="preserve">¶ One time Jesus was standing </w:t>
      </w:r>
      <w:r>
        <w:rPr>
          <w:lang w:val="en_US" w:bidi="en_US"/>
        </w:rPr>
        <w:t>on the shore</w:t>
      </w:r>
      <w:r>
        <w:rPr>
          <w:lang w:val="en_US" w:bidi="en_US"/>
        </w:rPr>
        <w:t xml:space="preserve"> of Lake Galilee.</w:t>
      </w:r>
    </w:p>
    <w:p>
      <w:pPr/>
      <w:r>
        <w:rPr>
          <w:lang w:val="en_US" w:bidi="en_US"/>
        </w:rPr>
      </w:r>
      <w:r>
        <w:rPr>
          <w:b/>
          <w:lang w:val="en_US" w:bidi="en_US"/>
        </w:rPr>
        <w:t>On one occasion:</w:t>
      </w:r>
      <w:r>
        <w:rPr>
          <w:lang w:val="en_US" w:bidi="en_US"/>
        </w:rPr>
        <w:t xml:space="preserve"> The Greek phrase that the BSB translates as </w:t>
      </w:r>
      <w:r>
        <w:rPr>
          <w:i/>
          <w:lang w:val="en_US" w:bidi="en_US"/>
        </w:rPr>
        <w:t>On one occasion</w:t>
      </w:r>
      <w:r>
        <w:rPr>
          <w:lang w:val="en_US" w:bidi="en_US"/>
        </w:rPr>
        <w:t xml:space="preserve"> is literally “And it happened.” This phrase introduces the beginning of a new story. Many English versions translate this by “one day.” Other English versions (such as the RSV) do not translate this phrase. Introduce this story in a way that is natural in your language.</w:t>
      </w:r>
    </w:p>
    <w:p>
      <w:pPr/>
      <w:r>
        <w:rPr>
          <w:lang w:val="en_US" w:bidi="en_US"/>
        </w:rPr>
      </w:r>
      <w:r>
        <w:rPr>
          <w:b/>
          <w:lang w:val="en_US" w:bidi="en_US"/>
        </w:rPr>
        <w:t>while Jesus was standing by the Lake of Gennesaret:</w:t>
      </w:r>
      <w:r>
        <w:rPr>
          <w:lang w:val="en_US" w:bidi="en_US"/>
        </w:rPr>
        <w:t xml:space="preserve"> This clause gives some background information. It tells where Jesus was. When this story happened, Jesus was by Lake Gennesaret.</w:t>
      </w:r>
    </w:p>
    <w:p>
      <w:pPr/>
      <w:r>
        <w:rPr>
          <w:lang w:val="en_US" w:bidi="en_US"/>
        </w:rPr>
      </w:r>
      <w:r>
        <w:rPr>
          <w:b/>
          <w:lang w:val="en_US" w:bidi="en_US"/>
        </w:rPr>
        <w:t>was standing:</w:t>
      </w:r>
      <w:r>
        <w:rPr>
          <w:lang w:val="en_US" w:bidi="en_US"/>
        </w:rPr>
        <w:t xml:space="preserve"> The Greek verb that the BSB translates as </w:t>
      </w:r>
      <w:r>
        <w:rPr>
          <w:i/>
          <w:lang w:val="en_US" w:bidi="en_US"/>
        </w:rPr>
        <w:t>was standing</w:t>
      </w:r>
      <w:r>
        <w:rPr>
          <w:lang w:val="en_US" w:bidi="en_US"/>
        </w:rPr>
        <w:t xml:space="preserve"> can also simply mean “was.”</w:t>
      </w:r>
      <w:r>
        <w:rPr>
          <w:lang w:val="en_US" w:bidi="en_US"/>
        </w:rPr>
        <w:t>BDAG says: “</w:t>
      </w:r>
      <w:r>
        <w:rPr>
          <w:i/>
          <w:lang w:val="en_US" w:bidi="en_US"/>
        </w:rPr>
        <w:t>ἵστημι</w:t>
      </w:r>
      <w:r>
        <w:rPr>
          <w:lang w:val="en_US" w:bidi="en_US"/>
        </w:rPr>
        <w:t xml:space="preserve"> to be at a place, stand (there), be (there), w. the emphasis less on ‘standing’ than on ‘being, existing’” (pp. 482–483).</w:t>
      </w:r>
      <w:r>
        <w:rPr>
          <w:lang w:val="en_US" w:bidi="en_US"/>
        </w:rPr>
        <w:t xml:space="preserve"> Here the focus is probably on Jesus’ location. He was by Lake Gennesaret. His posture is probably not in focus. Other ways to translate this are:</w:t>
      </w:r>
    </w:p>
    <w:p>
      <w:pPr/>
      <w:r>
        <w:rPr>
          <w:lang w:val="en_US" w:bidi="en_US"/>
        </w:rPr>
      </w:r>
      <w:r>
        <w:rPr>
          <w:lang w:val="en_US" w:bidi="en_US"/>
        </w:rPr>
        <w:t>Jesus was near Lake Gennesaret</w:t>
      </w:r>
    </w:p>
    <w:p>
      <w:pPr/>
      <w:r>
        <w:rPr>
          <w:lang w:val="en_US" w:bidi="en_US"/>
        </w:rPr>
      </w:r>
      <w:r>
        <w:rPr>
          <w:lang w:val="en_US" w:bidi="en_US"/>
        </w:rPr>
        <w:t>Jesus was by Lake Gennesaret</w:t>
      </w:r>
    </w:p>
    <w:p>
      <w:pPr/>
      <w:r>
        <w:rPr>
          <w:lang w:val="en_US" w:bidi="en_US"/>
        </w:rPr>
      </w:r>
      <w:r>
        <w:rPr>
          <w:b/>
          <w:lang w:val="en_US" w:bidi="en_US"/>
        </w:rPr>
        <w:t>the Lake of Gennesaret:</w:t>
      </w:r>
      <w:r>
        <w:rPr>
          <w:lang w:val="en_US" w:bidi="en_US"/>
        </w:rPr>
        <w:t xml:space="preserve"> The </w:t>
      </w:r>
      <w:r>
        <w:rPr>
          <w:i/>
          <w:lang w:val="en_US" w:bidi="en_US"/>
        </w:rPr>
        <w:t>Lake of Gennesaret</w:t>
      </w:r>
      <w:r>
        <w:rPr>
          <w:lang w:val="en_US" w:bidi="en_US"/>
        </w:rPr>
        <w:t xml:space="preserve"> is another name for the lake that is also called the “Sea of Galilee” or “Lake Galilee.”</w:t>
      </w:r>
      <w:r>
        <w:rPr>
          <w:lang w:val="en_US" w:bidi="en_US"/>
        </w:rPr>
        <w:t>This lake had three different names. Matthew, Mark, and John called it the “Sea of Galilee.” In John, this lake is also called the “Sea of Tiberias” (John 6:1, 21:1). Luke never called this lake the “Sea/Lake of Galilee.” He called it the “Lake of Gennesaret” or simply “the lake” (Luke 8:22–23).</w:t>
      </w:r>
      <w:r>
        <w:rPr>
          <w:lang w:val="en_US" w:bidi="en_US"/>
        </w:rPr>
        <w:t xml:space="preserve"> It was a large inland body of fresh water (about 21 kilometers long and 11 kilometers wide). This is the only text in the Bible that refers to this lake by this name.</w:t>
      </w:r>
    </w:p>
    <w:p>
      <w:pPr/>
      <w:r>
        <w:rPr>
          <w:lang w:val="en_US" w:bidi="en_US"/>
        </w:rPr>
      </w:r>
      <w:r>
        <w:rPr>
          <w:lang w:val="en_US" w:bidi="en_US"/>
        </w:rPr>
        <w:t>Here are other ways to translate the name of this lake:</w:t>
      </w:r>
    </w:p>
    <w:p>
      <w:pPr>
        <w:pStyle w:val="ListBullet"/>
        <w:spacing w:line="240" w:lineRule="auto"/>
        <w:ind w:left="720"/>
      </w:pPr>
      <w:r>
        <w:rPr>
          <w:lang w:val="en_US" w:bidi="en_US"/>
        </w:rPr>
      </w:r>
      <w:r>
        <w:rPr>
          <w:lang w:val="en_US" w:bidi="en_US"/>
        </w:rPr>
        <w:t>Transliterate the Greek word here. For example:</w:t>
      </w:r>
      <w:r>
        <w:rPr>
          <w:lang w:val="en_US" w:bidi="en_US"/>
        </w:rPr>
        <w:t>Lake Gennesaret (GNT)</w:t>
      </w:r>
    </w:p>
    <w:p>
      <w:pPr/>
      <w:r>
        <w:rPr>
          <w:lang w:val="en_US" w:bidi="en_US"/>
        </w:rPr>
      </w:r>
      <w:r>
        <w:rPr>
          <w:lang w:val="en_US" w:bidi="en_US"/>
        </w:rPr>
        <w:t>If you translate this as Lake Gennesaret, you may wish to add a footnote saying something like:</w:t>
      </w:r>
    </w:p>
    <w:p>
      <w:pPr/>
      <w:r>
        <w:rPr>
          <w:lang w:val="en_US" w:bidi="en_US"/>
        </w:rPr>
      </w:r>
      <w:r>
        <w:rPr>
          <w:lang w:val="en_US" w:bidi="en_US"/>
        </w:rPr>
        <w:t>Lake Gennesaret is another name for Lake Galilee.</w:t>
      </w:r>
    </w:p>
    <w:p>
      <w:pPr>
        <w:pStyle w:val="ListBullet"/>
        <w:spacing w:line="240" w:lineRule="auto"/>
        <w:ind w:left="720"/>
      </w:pPr>
      <w:r>
        <w:rPr>
          <w:lang w:val="en_US" w:bidi="en_US"/>
        </w:rPr>
      </w:r>
      <w:r>
        <w:rPr>
          <w:lang w:val="en_US" w:bidi="en_US"/>
        </w:rPr>
        <w:t>Use the name that Matthew, Mark, and John used for this lake. For example:</w:t>
      </w:r>
      <w:r>
        <w:rPr>
          <w:lang w:val="en_US" w:bidi="en_US"/>
        </w:rPr>
        <w:t>Lake Galilee (NCV)</w:t>
      </w:r>
    </w:p>
    <w:p>
      <w:pPr/>
      <w:r>
        <w:rPr>
          <w:lang w:val="en_US" w:bidi="en_US"/>
        </w:rPr>
      </w:r>
      <w:r>
        <w:rPr>
          <w:lang w:val="en_US" w:bidi="en_US"/>
        </w:rPr>
        <w:t>If you translate this as Lake Galilee, you may wish to add a footnote saying:</w:t>
      </w:r>
    </w:p>
    <w:p>
      <w:pPr/>
      <w:r>
        <w:rPr>
          <w:lang w:val="en_US" w:bidi="en_US"/>
        </w:rPr>
      </w:r>
      <w:r>
        <w:rPr>
          <w:lang w:val="en_US" w:bidi="en_US"/>
        </w:rPr>
        <w:t>The Greek text literally says “the Lake of Gennesaret.” This was another name for Lake Galilee.</w:t>
      </w:r>
    </w:p>
    <w:p>
      <w:pPr>
        <w:pStyle w:val="Heading5"/>
      </w:pPr>
      <w:r>
        <w:rPr>
          <w:lang w:val="en_US" w:bidi="en_US"/>
        </w:rPr>
        <w:t>5:1b</w:t>
      </w:r>
    </w:p>
    <w:p>
      <w:pPr/>
      <w:r>
        <w:rPr>
          <w:lang w:val="en_US" w:bidi="en_US"/>
        </w:rPr>
      </w:r>
      <w:r>
        <w:rPr>
          <w:b/>
          <w:lang w:val="en_US" w:bidi="en_US"/>
        </w:rPr>
        <w:t>with the crowd pressing in on Him to hear the word of God,</w:t>
      </w:r>
    </w:p>
    <w:p>
      <w:pPr>
        <w:pStyle w:val="ListBullet"/>
        <w:spacing w:line="240" w:lineRule="auto"/>
        <w:ind w:left="720"/>
      </w:pPr>
      <w:r>
        <w:rPr>
          <w:lang w:val="en_US" w:bidi="en_US"/>
        </w:rPr>
      </w:r>
      <w:r>
        <w:rPr>
          <w:lang w:val="en_US" w:bidi="en_US"/>
        </w:rPr>
        <w:t>people were crowding close around him to hear God’s message.</w:t>
      </w:r>
    </w:p>
    <w:p>
      <w:pPr>
        <w:pStyle w:val="ListBullet"/>
        <w:spacing w:line="240" w:lineRule="auto"/>
        <w:ind w:left="720"/>
      </w:pPr>
      <w:r>
        <w:rPr>
          <w:lang w:val="en_US" w:bidi="en_US"/>
        </w:rPr>
      </w:r>
      <w:r>
        <w:rPr>
          <w:lang w:val="en_US" w:bidi="en_US"/>
        </w:rPr>
        <w:t xml:space="preserve">A crowd of people </w:t>
      </w:r>
      <w:r>
        <w:rPr>
          <w:lang w:val="en_US" w:bidi="en_US"/>
        </w:rPr>
        <w:t>came and</w:t>
      </w:r>
      <w:r>
        <w:rPr>
          <w:lang w:val="en_US" w:bidi="en_US"/>
        </w:rPr>
        <w:t xml:space="preserve"> pushed close around him. They were listening </w:t>
      </w:r>
      <w:r>
        <w:rPr>
          <w:lang w:val="en_US" w:bidi="en_US"/>
        </w:rPr>
        <w:t>to him as he taught</w:t>
      </w:r>
      <w:r>
        <w:rPr>
          <w:lang w:val="en_US" w:bidi="en_US"/>
        </w:rPr>
        <w:t xml:space="preserve"> the word from God.</w:t>
      </w:r>
    </w:p>
    <w:p>
      <w:pPr/>
      <w:r>
        <w:rPr>
          <w:lang w:val="en_US" w:bidi="en_US"/>
        </w:rPr>
      </w:r>
      <w:r>
        <w:rPr>
          <w:b/>
          <w:lang w:val="en_US" w:bidi="en_US"/>
        </w:rPr>
        <w:t>with the crowd pressing in on Him to hear the word of God:</w:t>
      </w:r>
      <w:r>
        <w:rPr>
          <w:lang w:val="en_US" w:bidi="en_US"/>
        </w:rPr>
        <w:t xml:space="preserve"> This part of the verse gives further background information. It sets the scene for the story that follows.</w:t>
      </w:r>
    </w:p>
    <w:p>
      <w:pPr/>
      <w:r>
        <w:rPr>
          <w:lang w:val="en_US" w:bidi="en_US"/>
        </w:rPr>
      </w:r>
      <w:r>
        <w:rPr>
          <w:b/>
          <w:lang w:val="en_US" w:bidi="en_US"/>
        </w:rPr>
        <w:t>with the crowd pressing in on Him:</w:t>
      </w:r>
      <w:r>
        <w:rPr>
          <w:lang w:val="en_US" w:bidi="en_US"/>
        </w:rPr>
        <w:t xml:space="preserve"> The Greek phrase that the BSB translates as </w:t>
      </w:r>
      <w:r>
        <w:rPr>
          <w:i/>
          <w:lang w:val="en_US" w:bidi="en_US"/>
        </w:rPr>
        <w:t>with the crowd pressing in on Him</w:t>
      </w:r>
      <w:r>
        <w:rPr>
          <w:lang w:val="en_US" w:bidi="en_US"/>
        </w:rPr>
        <w:t xml:space="preserve"> is literally “while the crowd pressed upon him.” All the people wanted to hear what Jesus said. They pushed in as close to him as they could. This made it hard for him to teach.</w:t>
      </w:r>
    </w:p>
    <w:p>
      <w:pPr/>
      <w:r>
        <w:rPr>
          <w:lang w:val="en_US" w:bidi="en_US"/>
        </w:rPr>
      </w:r>
      <w:r>
        <w:rPr>
          <w:lang w:val="en_US" w:bidi="en_US"/>
        </w:rPr>
        <w:t>Some other ways to translate this are:</w:t>
      </w:r>
    </w:p>
    <w:p>
      <w:pPr/>
      <w:r>
        <w:rPr>
          <w:lang w:val="en_US" w:bidi="en_US"/>
        </w:rPr>
      </w:r>
      <w:r>
        <w:rPr>
          <w:lang w:val="en_US" w:bidi="en_US"/>
        </w:rPr>
        <w:t>the people pushed their way up to him (GNT)</w:t>
      </w:r>
    </w:p>
    <w:p>
      <w:pPr/>
      <w:r>
        <w:rPr>
          <w:lang w:val="en_US" w:bidi="en_US"/>
        </w:rPr>
      </w:r>
      <w:r>
        <w:rPr>
          <w:lang w:val="en_US" w:bidi="en_US"/>
        </w:rPr>
        <w:t>great crowds pressed in on him (NLT)</w:t>
      </w:r>
    </w:p>
    <w:p>
      <w:pPr/>
      <w:r>
        <w:rPr>
          <w:lang w:val="en_US" w:bidi="en_US"/>
        </w:rPr>
      </w:r>
      <w:r>
        <w:rPr>
          <w:b/>
          <w:lang w:val="en_US" w:bidi="en_US"/>
        </w:rPr>
        <w:t>to hear the word of God:</w:t>
      </w:r>
      <w:r>
        <w:rPr>
          <w:lang w:val="en_US" w:bidi="en_US"/>
        </w:rPr>
        <w:t xml:space="preserve"> The phrase </w:t>
      </w:r>
      <w:r>
        <w:rPr>
          <w:i/>
          <w:lang w:val="en_US" w:bidi="en_US"/>
        </w:rPr>
        <w:t>to hear the word of God</w:t>
      </w:r>
      <w:r>
        <w:rPr>
          <w:lang w:val="en_US" w:bidi="en_US"/>
        </w:rPr>
        <w:t xml:space="preserve"> implies that the people listened to Jesus teach the word/that message God gave him. In some languages, it may be necessary to say “teach” explicitly. For example:</w:t>
      </w:r>
    </w:p>
    <w:p>
      <w:pPr/>
      <w:r>
        <w:rPr>
          <w:lang w:val="en_US" w:bidi="en_US"/>
        </w:rPr>
      </w:r>
      <w:r>
        <w:rPr>
          <w:u w:val="single"/>
          <w:lang w:val="en_US" w:bidi="en_US"/>
        </w:rPr>
        <w:t>teaching the people</w:t>
      </w:r>
      <w:r>
        <w:rPr>
          <w:lang w:val="en_US" w:bidi="en_US"/>
        </w:rPr>
        <w:t xml:space="preserve"> as they crowded around him to hear God’s message (CEV)</w:t>
      </w:r>
    </w:p>
    <w:p>
      <w:pPr/>
      <w:r>
        <w:rPr>
          <w:lang w:val="en_US" w:bidi="en_US"/>
        </w:rPr>
      </w:r>
      <w:r>
        <w:rPr>
          <w:b/>
          <w:lang w:val="en_US" w:bidi="en_US"/>
        </w:rPr>
        <w:t>God:</w:t>
      </w:r>
      <w:r>
        <w:rPr>
          <w:lang w:val="en_US" w:bidi="en_US"/>
        </w:rPr>
        <w:t xml:space="preserve"> For help in translating the word </w:t>
      </w:r>
      <w:r>
        <w:rPr>
          <w:i/>
          <w:lang w:val="en_US" w:bidi="en_US"/>
        </w:rPr>
        <w:t>God</w:t>
      </w:r>
      <w:r>
        <w:rPr>
          <w:lang w:val="en_US" w:bidi="en_US"/>
        </w:rPr>
        <w:t>, see the note at 1:6b.</w:t>
      </w:r>
    </w:p>
    <w:p>
      <w:pPr>
        <w:pStyle w:val="Heading6"/>
      </w:pPr>
      <w:r>
        <w:rPr>
          <w:b/>
          <w:lang w:val="en_US" w:bidi="en_US"/>
        </w:rPr>
        <w:t>General Comment on 5:1a–b</w:t>
      </w:r>
    </w:p>
    <w:p>
      <w:pPr/>
      <w:r>
        <w:rPr>
          <w:lang w:val="en_US" w:bidi="en_US"/>
        </w:rPr>
      </w:r>
      <w:r>
        <w:rPr>
          <w:lang w:val="en_US" w:bidi="en_US"/>
        </w:rPr>
        <w:t>Some English versions follow the Greek word order more closely than the BSB. For example:</w:t>
      </w:r>
    </w:p>
    <w:p>
      <w:pPr/>
      <w:r>
        <w:rPr>
          <w:lang w:val="en_US" w:bidi="en_US"/>
        </w:rPr>
      </w:r>
      <w:r>
        <w:rPr>
          <w:vertAlign w:val="superscript"/>
          <w:lang w:val="en_US" w:bidi="en_US"/>
        </w:rPr>
        <w:t>1b</w:t>
      </w:r>
      <w:r>
        <w:rPr>
          <w:lang w:val="en_US" w:bidi="en_US"/>
        </w:rPr>
        <w:t xml:space="preserve">While the people pressed upon him to hear the word of God, </w:t>
      </w:r>
      <w:r>
        <w:rPr>
          <w:vertAlign w:val="superscript"/>
          <w:lang w:val="en_US" w:bidi="en_US"/>
        </w:rPr>
        <w:t>1a</w:t>
      </w:r>
      <w:r>
        <w:rPr>
          <w:lang w:val="en_US" w:bidi="en_US"/>
        </w:rPr>
        <w:t>he was standing by the lake of Gennesaret. (RSV)</w:t>
      </w:r>
    </w:p>
    <w:p>
      <w:pPr/>
      <w:r>
        <w:rPr>
          <w:lang w:val="en_US" w:bidi="en_US"/>
        </w:rPr>
      </w:r>
      <w:r>
        <w:rPr>
          <w:lang w:val="en_US" w:bidi="en_US"/>
        </w:rPr>
        <w:t>Use the most natural order in your language to introduce background information.</w:t>
      </w:r>
    </w:p>
    <w:p>
      <w:pPr/>
      <w:r>
        <w:rPr>
          <w:lang w:val="en_US" w:bidi="en_US"/>
        </w:rPr>
      </w:r>
      <w:r>
        <w:rPr>
          <w:lang w:val="en_US" w:bidi="en_US"/>
        </w:rPr>
        <w:t>See the General Comment on 5:1–2 at the end of the notes on 5:2c for a suggestion about how to shorten the length of this sentence.</w:t>
      </w:r>
      <w:r>
        <w:rPr>
          <w:lang w:val="en_US" w:bidi="en_US"/>
        </w:rPr>
      </w:r>
      <w:r>
        <w:rPr>
          <w:lang w:val="en_US" w:bidi="en_US"/>
        </w:rPr>
      </w:r>
    </w:p>
    <w:p>
      <w:pPr/>
      <w:r>
        <w:rPr>
          <w:lang w:val="en_US" w:bidi="en_US"/>
        </w:rPr>
      </w:r>
    </w:p>
    <w:p>
      <w:pPr>
        <w:pStyle w:val="Heading2"/>
      </w:pPr>
      <w:r>
        <w:rPr>
          <w:lang w:val="en_US" w:bidi="en_US"/>
        </w:rPr>
        <w:t>Luke 5:2</w:t>
      </w:r>
      <w:r>
        <w:rPr>
          <w:lang w:val="en_US" w:bidi="en_US"/>
        </w:rPr>
      </w:r>
    </w:p>
    <w:p>
      <w:pPr>
        <w:pStyle w:val="Heading4"/>
      </w:pPr>
      <w:r>
        <w:rPr>
          <w:lang w:val="en_US" w:bidi="en_US"/>
        </w:rPr>
        <w:t>Section 5:1–11: Simon and some other fishermen became disciples of Jesus</w:t>
      </w:r>
    </w:p>
    <w:p>
      <w:pPr/>
      <w:r>
        <w:rPr>
          <w:lang w:val="en_US" w:bidi="en_US"/>
        </w:rPr>
      </w:r>
      <w:r>
        <w:rPr>
          <w:lang w:val="en_US" w:bidi="en_US"/>
        </w:rPr>
        <w:t>In this section, Simon Peter and some of his fishing companions heard Jesus teach. They saw his power revealed through a miraculous catch of fish. As a result, they left their fishing work and began following Jesus as his disciples.</w:t>
      </w:r>
    </w:p>
    <w:p>
      <w:pPr/>
      <w:r>
        <w:rPr>
          <w:lang w:val="en_US" w:bidi="en_US"/>
        </w:rPr>
      </w:r>
      <w:r>
        <w:rPr>
          <w:lang w:val="en_US" w:bidi="en_US"/>
        </w:rPr>
        <w:t>Some other possible headings for this section are:</w:t>
      </w:r>
    </w:p>
    <w:p>
      <w:pPr/>
      <w:r>
        <w:rPr>
          <w:lang w:val="en_US" w:bidi="en_US"/>
        </w:rPr>
      </w:r>
      <w:r>
        <w:rPr>
          <w:lang w:val="en_US" w:bidi="en_US"/>
        </w:rPr>
        <w:t>Jesus called Simon and other fishermen to become his disciples</w:t>
      </w:r>
    </w:p>
    <w:p>
      <w:pPr/>
      <w:r>
        <w:rPr>
          <w:lang w:val="en_US" w:bidi="en_US"/>
        </w:rPr>
      </w:r>
      <w:r>
        <w:rPr>
          <w:lang w:val="en_US" w:bidi="en_US"/>
        </w:rPr>
        <w:t>Jesus’ first disciples</w:t>
      </w:r>
    </w:p>
    <w:p>
      <w:pPr/>
      <w:r>
        <w:rPr>
          <w:lang w:val="en_US" w:bidi="en_US"/>
        </w:rPr>
      </w:r>
      <w:r>
        <w:rPr>
          <w:lang w:val="en_US" w:bidi="en_US"/>
        </w:rPr>
        <w:t>There are parallel passages for this section in Matthew 4:18–22 and Mark 1:16–20.</w:t>
      </w:r>
    </w:p>
    <w:p>
      <w:pPr>
        <w:pStyle w:val="Heading5"/>
      </w:pPr>
      <w:r>
        <w:rPr>
          <w:lang w:val="en_US" w:bidi="en_US"/>
        </w:rPr>
        <w:t>5:2a</w:t>
      </w:r>
    </w:p>
    <w:p>
      <w:pPr/>
      <w:r>
        <w:rPr>
          <w:lang w:val="en_US" w:bidi="en_US"/>
        </w:rPr>
      </w:r>
      <w:r>
        <w:rPr>
          <w:b/>
          <w:lang w:val="en_US" w:bidi="en_US"/>
        </w:rPr>
        <w:t>He saw two boats at the edge of the lake.</w:t>
      </w:r>
    </w:p>
    <w:p>
      <w:pPr>
        <w:pStyle w:val="ListBullet"/>
        <w:spacing w:line="240" w:lineRule="auto"/>
        <w:ind w:left="720"/>
      </w:pPr>
      <w:r>
        <w:rPr>
          <w:lang w:val="en_US" w:bidi="en_US"/>
        </w:rPr>
      </w:r>
      <w:r>
        <w:rPr>
          <w:lang w:val="en_US" w:bidi="en_US"/>
        </w:rPr>
        <w:t>He/Jesus saw two boats on the shore</w:t>
      </w:r>
    </w:p>
    <w:p>
      <w:pPr>
        <w:pStyle w:val="ListBullet"/>
        <w:spacing w:line="240" w:lineRule="auto"/>
        <w:ind w:left="720"/>
      </w:pPr>
      <w:r>
        <w:rPr>
          <w:lang w:val="en_US" w:bidi="en_US"/>
        </w:rPr>
      </w:r>
      <w:r>
        <w:rPr>
          <w:lang w:val="en_US" w:bidi="en_US"/>
        </w:rPr>
        <w:t xml:space="preserve">Jesus noticed two </w:t>
      </w:r>
      <w:r>
        <w:rPr>
          <w:lang w:val="en_US" w:bidi="en_US"/>
        </w:rPr>
        <w:t>fishing</w:t>
      </w:r>
      <w:r>
        <w:rPr>
          <w:lang w:val="en_US" w:bidi="en_US"/>
        </w:rPr>
        <w:t xml:space="preserve"> boats pulled up on the shore/edge </w:t>
      </w:r>
      <w:r>
        <w:rPr>
          <w:lang w:val="en_US" w:bidi="en_US"/>
        </w:rPr>
        <w:t>of the lake</w:t>
      </w:r>
      <w:r>
        <w:rPr>
          <w:lang w:val="en_US" w:bidi="en_US"/>
        </w:rPr>
        <w:t>.</w:t>
      </w:r>
    </w:p>
    <w:p>
      <w:pPr/>
      <w:r>
        <w:rPr>
          <w:lang w:val="en_US" w:bidi="en_US"/>
        </w:rPr>
      </w:r>
      <w:r>
        <w:rPr>
          <w:b/>
          <w:lang w:val="en_US" w:bidi="en_US"/>
        </w:rPr>
        <w:t>He saw two boats at the edge of the lake:</w:t>
      </w:r>
      <w:r>
        <w:rPr>
          <w:lang w:val="en_US" w:bidi="en_US"/>
        </w:rPr>
        <w:t xml:space="preserve"> The Greek phrase that the BSB translates as </w:t>
      </w:r>
      <w:r>
        <w:rPr>
          <w:i/>
          <w:lang w:val="en_US" w:bidi="en_US"/>
        </w:rPr>
        <w:t>at the edge of the lake</w:t>
      </w:r>
      <w:r>
        <w:rPr>
          <w:lang w:val="en_US" w:bidi="en_US"/>
        </w:rPr>
        <w:t xml:space="preserve"> indicates the location of the boats. The fishermen had pulled the boats up out of the water. They did this so that the boats would not drift away. These boats may have been partly on dry land and partly in shallow water.</w:t>
      </w:r>
    </w:p>
    <w:p>
      <w:pPr/>
      <w:r>
        <w:rPr>
          <w:lang w:val="en_US" w:bidi="en_US"/>
        </w:rPr>
      </w:r>
      <w:r>
        <w:rPr>
          <w:lang w:val="en_US" w:bidi="en_US"/>
        </w:rPr>
        <w:t>Some other ways to translate this are:</w:t>
      </w:r>
    </w:p>
    <w:p>
      <w:pPr/>
      <w:r>
        <w:rPr>
          <w:lang w:val="en_US" w:bidi="en_US"/>
        </w:rPr>
      </w:r>
      <w:r>
        <w:rPr>
          <w:lang w:val="en_US" w:bidi="en_US"/>
        </w:rPr>
        <w:t>He saw two boats pulled up on the beach (GNT)</w:t>
      </w:r>
    </w:p>
    <w:p>
      <w:pPr/>
      <w:r>
        <w:rPr>
          <w:lang w:val="en_US" w:bidi="en_US"/>
        </w:rPr>
      </w:r>
      <w:r>
        <w:rPr>
          <w:lang w:val="en_US" w:bidi="en_US"/>
        </w:rPr>
        <w:t>Jesus saw two boats on the shore (GW)</w:t>
      </w:r>
    </w:p>
    <w:p>
      <w:pPr/>
      <w:r>
        <w:rPr>
          <w:lang w:val="en_US" w:bidi="en_US"/>
        </w:rPr>
      </w:r>
      <w:r>
        <w:rPr>
          <w:b/>
          <w:lang w:val="en_US" w:bidi="en_US"/>
        </w:rPr>
        <w:t>boats:</w:t>
      </w:r>
      <w:r>
        <w:rPr>
          <w:lang w:val="en_US" w:bidi="en_US"/>
        </w:rPr>
        <w:t xml:space="preserve"> The </w:t>
      </w:r>
      <w:r>
        <w:rPr>
          <w:i/>
          <w:lang w:val="en_US" w:bidi="en_US"/>
        </w:rPr>
        <w:t>boats</w:t>
      </w:r>
      <w:r>
        <w:rPr>
          <w:lang w:val="en_US" w:bidi="en_US"/>
        </w:rPr>
        <w:t xml:space="preserve"> were wooden boats used for fishing. They were probably big enough for four to fifteen people to sit inside.</w:t>
      </w:r>
    </w:p>
    <w:p>
      <w:pPr/>
      <w:r>
        <w:rPr>
          <w:lang w:val="en_US" w:bidi="en_US"/>
        </w:rPr>
      </w:r>
      <w:r>
        <w:rPr>
          <w:lang w:val="en_US" w:bidi="en_US"/>
        </w:rPr>
        <w:t xml:space="preserve">If you do not have a word for </w:t>
      </w:r>
      <w:r>
        <w:rPr>
          <w:i/>
          <w:lang w:val="en_US" w:bidi="en_US"/>
        </w:rPr>
        <w:t>boats</w:t>
      </w:r>
      <w:r>
        <w:rPr>
          <w:lang w:val="en_US" w:bidi="en_US"/>
        </w:rPr>
        <w:t xml:space="preserve"> in your language, some ways to translate it are:</w:t>
      </w:r>
    </w:p>
    <w:p>
      <w:pPr>
        <w:pStyle w:val="ListBullet"/>
        <w:spacing w:line="240" w:lineRule="auto"/>
        <w:ind w:left="720"/>
      </w:pPr>
      <w:r>
        <w:rPr>
          <w:lang w:val="en_US" w:bidi="en_US"/>
        </w:rPr>
      </w:r>
      <w:r>
        <w:rPr>
          <w:lang w:val="en_US" w:bidi="en_US"/>
        </w:rPr>
        <w:t>Use a phrase that describes the function of boats. For example:</w:t>
      </w:r>
      <w:r>
        <w:rPr>
          <w:lang w:val="en_US" w:bidi="en_US"/>
        </w:rPr>
        <w:t>vehicles for crossing water</w:t>
      </w:r>
      <w:r>
        <w:rPr>
          <w:lang w:val="en_US" w:bidi="en_US"/>
        </w:rPr>
        <w:t>something/vehicles for carrying people on top of water</w:t>
      </w:r>
    </w:p>
    <w:p>
      <w:pPr>
        <w:pStyle w:val="ListBullet"/>
        <w:spacing w:line="240" w:lineRule="auto"/>
        <w:ind w:left="720"/>
      </w:pPr>
      <w:r>
        <w:rPr>
          <w:lang w:val="en_US" w:bidi="en_US"/>
        </w:rPr>
      </w:r>
      <w:r>
        <w:rPr>
          <w:lang w:val="en_US" w:bidi="en_US"/>
        </w:rPr>
        <w:t>Use the word for a specific kind of boats in your culture. For example:</w:t>
      </w:r>
      <w:r>
        <w:rPr>
          <w:lang w:val="en_US" w:bidi="en_US"/>
        </w:rPr>
        <w:t>canoes</w:t>
      </w:r>
      <w:r>
        <w:rPr>
          <w:lang w:val="en_US" w:bidi="en_US"/>
        </w:rPr>
        <w:t>fishing boats</w:t>
      </w:r>
    </w:p>
    <w:p>
      <w:pPr>
        <w:pStyle w:val="Heading5"/>
      </w:pPr>
      <w:r>
        <w:rPr>
          <w:lang w:val="en_US" w:bidi="en_US"/>
        </w:rPr>
        <w:t>5:2b</w:t>
      </w:r>
    </w:p>
    <w:p>
      <w:pPr/>
      <w:r>
        <w:rPr>
          <w:lang w:val="en_US" w:bidi="en_US"/>
        </w:rPr>
      </w:r>
      <w:r>
        <w:rPr>
          <w:b/>
          <w:lang w:val="en_US" w:bidi="en_US"/>
        </w:rPr>
        <w:t>The fishermen had left them</w:t>
      </w:r>
    </w:p>
    <w:p>
      <w:pPr>
        <w:pStyle w:val="ListBullet"/>
        <w:spacing w:line="240" w:lineRule="auto"/>
        <w:ind w:left="720"/>
      </w:pPr>
      <w:r>
        <w:rPr>
          <w:lang w:val="en_US" w:bidi="en_US"/>
        </w:rPr>
      </w:r>
      <w:r>
        <w:rPr>
          <w:lang w:val="en_US" w:bidi="en_US"/>
        </w:rPr>
        <w:t>that the/some fishermen had left there.</w:t>
      </w:r>
    </w:p>
    <w:p>
      <w:pPr>
        <w:pStyle w:val="ListBullet"/>
        <w:spacing w:line="240" w:lineRule="auto"/>
        <w:ind w:left="720"/>
      </w:pPr>
      <w:r>
        <w:rPr>
          <w:lang w:val="en_US" w:bidi="en_US"/>
        </w:rPr>
      </w:r>
      <w:r>
        <w:rPr>
          <w:lang w:val="en_US" w:bidi="en_US"/>
        </w:rPr>
        <w:t>Some fishermen had put them there,</w:t>
      </w:r>
    </w:p>
    <w:p>
      <w:pPr/>
      <w:r>
        <w:rPr>
          <w:lang w:val="en_US" w:bidi="en_US"/>
        </w:rPr>
      </w:r>
      <w:r>
        <w:rPr>
          <w:b/>
          <w:lang w:val="en_US" w:bidi="en_US"/>
        </w:rPr>
        <w:t>The fishermen had left them:</w:t>
      </w:r>
      <w:r>
        <w:rPr>
          <w:lang w:val="en_US" w:bidi="en_US"/>
        </w:rPr>
        <w:t xml:space="preserve"> The Greek phrase that the BSB translates as </w:t>
      </w:r>
      <w:r>
        <w:rPr>
          <w:i/>
          <w:lang w:val="en_US" w:bidi="en_US"/>
        </w:rPr>
        <w:t>The fishermen had left them</w:t>
      </w:r>
      <w:r>
        <w:rPr>
          <w:lang w:val="en_US" w:bidi="en_US"/>
        </w:rPr>
        <w:t xml:space="preserve"> is literally: “the fishermen having gone away from them.” This phrase indicates that the fishermen were not in the boats but that they had gone a short distance away from them. They had done this some time earlier, before Jesus saw the boats.</w:t>
      </w:r>
    </w:p>
    <w:p>
      <w:pPr/>
      <w:r>
        <w:rPr>
          <w:lang w:val="en_US" w:bidi="en_US"/>
        </w:rPr>
      </w:r>
      <w:r>
        <w:rPr>
          <w:lang w:val="en_US" w:bidi="en_US"/>
        </w:rPr>
        <w:t>Some other ways to translate this are:</w:t>
      </w:r>
    </w:p>
    <w:p>
      <w:pPr/>
      <w:r>
        <w:rPr>
          <w:lang w:val="en_US" w:bidi="en_US"/>
        </w:rPr>
      </w:r>
      <w:r>
        <w:rPr>
          <w:lang w:val="en_US" w:bidi="en_US"/>
        </w:rPr>
        <w:t>the fishermen were not in them</w:t>
      </w:r>
    </w:p>
    <w:p>
      <w:pPr/>
      <w:r>
        <w:rPr>
          <w:lang w:val="en_US" w:bidi="en_US"/>
        </w:rPr>
      </w:r>
      <w:r>
        <w:rPr>
          <w:lang w:val="en_US" w:bidi="en_US"/>
        </w:rPr>
        <w:t>the fishermen had left them there</w:t>
      </w:r>
    </w:p>
    <w:p>
      <w:pPr/>
      <w:r>
        <w:rPr>
          <w:lang w:val="en_US" w:bidi="en_US"/>
        </w:rPr>
      </w:r>
      <w:r>
        <w:rPr>
          <w:b/>
          <w:lang w:val="en_US" w:bidi="en_US"/>
        </w:rPr>
        <w:t>fishermen:</w:t>
      </w:r>
      <w:r>
        <w:rPr>
          <w:lang w:val="en_US" w:bidi="en_US"/>
        </w:rPr>
        <w:t xml:space="preserve"> The word </w:t>
      </w:r>
      <w:r>
        <w:rPr>
          <w:i/>
          <w:lang w:val="en_US" w:bidi="en_US"/>
        </w:rPr>
        <w:t>fishermen</w:t>
      </w:r>
      <w:r>
        <w:rPr>
          <w:lang w:val="en_US" w:bidi="en_US"/>
        </w:rPr>
        <w:t xml:space="preserve"> refers to men who catch fish and sell them as their job.</w:t>
      </w:r>
    </w:p>
    <w:p>
      <w:pPr>
        <w:pStyle w:val="Heading5"/>
      </w:pPr>
      <w:r>
        <w:rPr>
          <w:lang w:val="en_US" w:bidi="en_US"/>
        </w:rPr>
        <w:t>5:2c</w:t>
      </w:r>
    </w:p>
    <w:p>
      <w:pPr/>
      <w:r>
        <w:rPr>
          <w:lang w:val="en_US" w:bidi="en_US"/>
        </w:rPr>
      </w:r>
      <w:r>
        <w:rPr>
          <w:b/>
          <w:lang w:val="en_US" w:bidi="en_US"/>
        </w:rPr>
        <w:t>and were washing their nets.</w:t>
      </w:r>
    </w:p>
    <w:p>
      <w:pPr>
        <w:pStyle w:val="ListBullet"/>
        <w:spacing w:line="240" w:lineRule="auto"/>
        <w:ind w:left="720"/>
      </w:pPr>
      <w:r>
        <w:rPr>
          <w:lang w:val="en_US" w:bidi="en_US"/>
        </w:rPr>
      </w:r>
      <w:r>
        <w:rPr>
          <w:lang w:val="en_US" w:bidi="en_US"/>
        </w:rPr>
        <w:t>These men were cleaning/washing their nets.</w:t>
      </w:r>
    </w:p>
    <w:p>
      <w:pPr>
        <w:pStyle w:val="ListBullet"/>
        <w:spacing w:line="240" w:lineRule="auto"/>
        <w:ind w:left="720"/>
      </w:pPr>
      <w:r>
        <w:rPr>
          <w:lang w:val="en_US" w:bidi="en_US"/>
        </w:rPr>
      </w:r>
      <w:r>
        <w:rPr>
          <w:lang w:val="en_US" w:bidi="en_US"/>
        </w:rPr>
        <w:t xml:space="preserve">and they were </w:t>
      </w:r>
      <w:r>
        <w:rPr>
          <w:lang w:val="en_US" w:bidi="en_US"/>
        </w:rPr>
        <w:t>now</w:t>
      </w:r>
      <w:r>
        <w:rPr>
          <w:lang w:val="en_US" w:bidi="en_US"/>
        </w:rPr>
        <w:t xml:space="preserve"> washing their </w:t>
      </w:r>
      <w:r>
        <w:rPr>
          <w:lang w:val="en_US" w:bidi="en_US"/>
        </w:rPr>
        <w:t>fishing</w:t>
      </w:r>
      <w:r>
        <w:rPr>
          <w:lang w:val="en_US" w:bidi="en_US"/>
        </w:rPr>
        <w:t xml:space="preserve"> nets.</w:t>
      </w:r>
    </w:p>
    <w:p>
      <w:pPr/>
      <w:r>
        <w:rPr>
          <w:lang w:val="en_US" w:bidi="en_US"/>
        </w:rPr>
      </w:r>
      <w:r>
        <w:rPr>
          <w:b/>
          <w:lang w:val="en_US" w:bidi="en_US"/>
        </w:rPr>
        <w:t>were washing their nets:</w:t>
      </w:r>
      <w:r>
        <w:rPr>
          <w:lang w:val="en_US" w:bidi="en_US"/>
        </w:rPr>
        <w:t xml:space="preserve"> The fishermen were standing by the lake cleaning the nets that they used for catching fish.</w:t>
      </w:r>
    </w:p>
    <w:p>
      <w:pPr/>
      <w:r>
        <w:rPr>
          <w:lang w:val="en_US" w:bidi="en_US"/>
        </w:rPr>
      </w:r>
      <w:r>
        <w:rPr>
          <w:b/>
          <w:lang w:val="en_US" w:bidi="en_US"/>
        </w:rPr>
        <w:t>nets:</w:t>
      </w:r>
      <w:r>
        <w:rPr>
          <w:lang w:val="en_US" w:bidi="en_US"/>
        </w:rPr>
        <w:t xml:space="preserve"> The </w:t>
      </w:r>
      <w:r>
        <w:rPr>
          <w:i/>
          <w:lang w:val="en_US" w:bidi="en_US"/>
        </w:rPr>
        <w:t>nets</w:t>
      </w:r>
      <w:r>
        <w:rPr>
          <w:lang w:val="en_US" w:bidi="en_US"/>
        </w:rPr>
        <w:t xml:space="preserve"> were probably large fishing nets. The fishermen dragged them through the water to catch fish.</w:t>
      </w:r>
    </w:p>
    <w:p>
      <w:pPr>
        <w:pStyle w:val="Heading6"/>
      </w:pPr>
      <w:r>
        <w:rPr>
          <w:b/>
          <w:lang w:val="en_US" w:bidi="en_US"/>
        </w:rPr>
        <w:t>General Comment on 5:1–2</w:t>
      </w:r>
    </w:p>
    <w:p>
      <w:pPr/>
      <w:r>
        <w:rPr>
          <w:lang w:val="en_US" w:bidi="en_US"/>
        </w:rPr>
      </w:r>
      <w:r>
        <w:rPr>
          <w:lang w:val="en_US" w:bidi="en_US"/>
        </w:rPr>
        <w:t>In the Greek, 5:1–2 is one long sentence. The BSB divides it into two sentences. You may want to divide this sentence into several sentences. For example:</w:t>
      </w:r>
    </w:p>
    <w:p>
      <w:pPr/>
      <w:r>
        <w:rPr>
          <w:lang w:val="en_US" w:bidi="en_US"/>
        </w:rPr>
      </w:r>
      <w:r>
        <w:rPr>
          <w:vertAlign w:val="superscript"/>
          <w:lang w:val="en_US" w:bidi="en_US"/>
        </w:rPr>
        <w:t>1a</w:t>
      </w:r>
      <w:r>
        <w:rPr>
          <w:lang w:val="en_US" w:bidi="en_US"/>
        </w:rPr>
        <w:t xml:space="preserve">One day Jesus was standing by the sea of Galilee. </w:t>
      </w:r>
      <w:r>
        <w:rPr>
          <w:vertAlign w:val="superscript"/>
          <w:lang w:val="en_US" w:bidi="en_US"/>
        </w:rPr>
        <w:t>1b</w:t>
      </w:r>
      <w:r>
        <w:rPr>
          <w:lang w:val="en_US" w:bidi="en_US"/>
        </w:rPr>
        <w:t xml:space="preserve">The people crowded around him as they listened to God’s word. </w:t>
      </w:r>
      <w:r>
        <w:rPr>
          <w:vertAlign w:val="superscript"/>
          <w:lang w:val="en_US" w:bidi="en_US"/>
        </w:rPr>
        <w:t>2a</w:t>
      </w:r>
      <w:r>
        <w:rPr>
          <w:lang w:val="en_US" w:bidi="en_US"/>
        </w:rPr>
        <w:t xml:space="preserve">Jesus saw two boats on the shore. </w:t>
      </w:r>
      <w:r>
        <w:rPr>
          <w:vertAlign w:val="superscript"/>
          <w:lang w:val="en_US" w:bidi="en_US"/>
        </w:rPr>
        <w:t>2b</w:t>
      </w:r>
      <w:r>
        <w:rPr>
          <w:lang w:val="en_US" w:bidi="en_US"/>
        </w:rPr>
        <w:t xml:space="preserve">The fishermen had stepped out of them </w:t>
      </w:r>
      <w:r>
        <w:rPr>
          <w:vertAlign w:val="superscript"/>
          <w:lang w:val="en_US" w:bidi="en_US"/>
        </w:rPr>
        <w:t>2c</w:t>
      </w:r>
      <w:r>
        <w:rPr>
          <w:lang w:val="en_US" w:bidi="en_US"/>
        </w:rPr>
        <w:t>and were washing their nets. (GW)</w:t>
      </w:r>
      <w:r>
        <w:rPr>
          <w:lang w:val="en_US" w:bidi="en_US"/>
        </w:rPr>
      </w:r>
      <w:r>
        <w:rPr>
          <w:lang w:val="en_US" w:bidi="en_US"/>
        </w:rPr>
      </w:r>
    </w:p>
    <w:p>
      <w:pPr/>
      <w:r>
        <w:rPr>
          <w:lang w:val="en_US" w:bidi="en_US"/>
        </w:rPr>
      </w:r>
    </w:p>
    <w:p>
      <w:pPr>
        <w:pStyle w:val="Heading2"/>
      </w:pPr>
      <w:r>
        <w:rPr>
          <w:lang w:val="en_US" w:bidi="en_US"/>
        </w:rPr>
        <w:t>Luke 5:3</w:t>
      </w:r>
      <w:r>
        <w:rPr>
          <w:lang w:val="en_US" w:bidi="en_US"/>
        </w:rPr>
      </w:r>
    </w:p>
    <w:p>
      <w:pPr>
        <w:pStyle w:val="Heading4"/>
      </w:pPr>
      <w:r>
        <w:rPr>
          <w:lang w:val="en_US" w:bidi="en_US"/>
        </w:rPr>
        <w:t>Section 5:1–11: Simon and some other fishermen became disciples of Jesus</w:t>
      </w:r>
    </w:p>
    <w:p>
      <w:pPr/>
      <w:r>
        <w:rPr>
          <w:lang w:val="en_US" w:bidi="en_US"/>
        </w:rPr>
      </w:r>
      <w:r>
        <w:rPr>
          <w:lang w:val="en_US" w:bidi="en_US"/>
        </w:rPr>
        <w:t>In this section, Simon Peter and some of his fishing companions heard Jesus teach. They saw his power revealed through a miraculous catch of fish. As a result, they left their fishing work and began following Jesus as his disciples.</w:t>
      </w:r>
    </w:p>
    <w:p>
      <w:pPr/>
      <w:r>
        <w:rPr>
          <w:lang w:val="en_US" w:bidi="en_US"/>
        </w:rPr>
      </w:r>
      <w:r>
        <w:rPr>
          <w:lang w:val="en_US" w:bidi="en_US"/>
        </w:rPr>
        <w:t>Some other possible headings for this section are:</w:t>
      </w:r>
    </w:p>
    <w:p>
      <w:pPr/>
      <w:r>
        <w:rPr>
          <w:lang w:val="en_US" w:bidi="en_US"/>
        </w:rPr>
      </w:r>
      <w:r>
        <w:rPr>
          <w:lang w:val="en_US" w:bidi="en_US"/>
        </w:rPr>
        <w:t>Jesus called Simon and other fishermen to become his disciples</w:t>
      </w:r>
    </w:p>
    <w:p>
      <w:pPr/>
      <w:r>
        <w:rPr>
          <w:lang w:val="en_US" w:bidi="en_US"/>
        </w:rPr>
      </w:r>
      <w:r>
        <w:rPr>
          <w:lang w:val="en_US" w:bidi="en_US"/>
        </w:rPr>
        <w:t>Jesus’ first disciples</w:t>
      </w:r>
    </w:p>
    <w:p>
      <w:pPr/>
      <w:r>
        <w:rPr>
          <w:lang w:val="en_US" w:bidi="en_US"/>
        </w:rPr>
      </w:r>
      <w:r>
        <w:rPr>
          <w:lang w:val="en_US" w:bidi="en_US"/>
        </w:rPr>
        <w:t>There are parallel passages for this section in Matthew 4:18–22 and Mark 1:16–20.</w:t>
      </w:r>
    </w:p>
    <w:p>
      <w:pPr>
        <w:pStyle w:val="Heading5"/>
      </w:pPr>
      <w:r>
        <w:rPr>
          <w:lang w:val="en_US" w:bidi="en_US"/>
        </w:rPr>
        <w:t>5:3a</w:t>
      </w:r>
    </w:p>
    <w:p>
      <w:pPr/>
      <w:r>
        <w:rPr>
          <w:lang w:val="en_US" w:bidi="en_US"/>
        </w:rPr>
      </w:r>
      <w:r>
        <w:rPr>
          <w:b/>
          <w:lang w:val="en_US" w:bidi="en_US"/>
        </w:rPr>
        <w:t>Jesus got into the boat belonging to Simon</w:t>
      </w:r>
    </w:p>
    <w:p>
      <w:pPr>
        <w:pStyle w:val="ListBullet"/>
        <w:spacing w:line="240" w:lineRule="auto"/>
        <w:ind w:left="720"/>
      </w:pPr>
      <w:r>
        <w:rPr>
          <w:lang w:val="en_US" w:bidi="en_US"/>
        </w:rPr>
      </w:r>
      <w:r>
        <w:rPr>
          <w:lang w:val="en_US" w:bidi="en_US"/>
        </w:rPr>
        <w:t>One of the boats belonged to Simon. Jesus got into that boat</w:t>
      </w:r>
    </w:p>
    <w:p>
      <w:pPr>
        <w:pStyle w:val="ListBullet"/>
        <w:spacing w:line="240" w:lineRule="auto"/>
        <w:ind w:left="720"/>
      </w:pPr>
      <w:r>
        <w:rPr>
          <w:lang w:val="en_US" w:bidi="en_US"/>
        </w:rPr>
      </w:r>
      <w:r>
        <w:rPr>
          <w:lang w:val="en_US" w:bidi="en_US"/>
        </w:rPr>
        <w:t>One of the fishermen was</w:t>
      </w:r>
      <w:r>
        <w:rPr>
          <w:lang w:val="en_US" w:bidi="en_US"/>
        </w:rPr>
        <w:t xml:space="preserve"> Simon. Jesus climbed into Simon’s boat.</w:t>
      </w:r>
    </w:p>
    <w:p>
      <w:pPr/>
      <w:r>
        <w:rPr>
          <w:lang w:val="en_US" w:bidi="en_US"/>
        </w:rPr>
      </w:r>
      <w:r>
        <w:rPr>
          <w:b/>
          <w:lang w:val="en_US" w:bidi="en_US"/>
        </w:rPr>
        <w:t>Jesus got into the boat:</w:t>
      </w:r>
      <w:r>
        <w:rPr>
          <w:lang w:val="en_US" w:bidi="en_US"/>
        </w:rPr>
        <w:t xml:space="preserve"> The Greek verb that the BSB translates as </w:t>
      </w:r>
      <w:r>
        <w:rPr>
          <w:i/>
          <w:lang w:val="en_US" w:bidi="en_US"/>
        </w:rPr>
        <w:t>got</w:t>
      </w:r>
      <w:r>
        <w:rPr>
          <w:lang w:val="en_US" w:bidi="en_US"/>
        </w:rPr>
        <w:t xml:space="preserve"> is a specific verb for entering a boat. Some other ways to translate this are:</w:t>
      </w:r>
    </w:p>
    <w:p>
      <w:pPr/>
      <w:r>
        <w:rPr>
          <w:lang w:val="en_US" w:bidi="en_US"/>
        </w:rPr>
      </w:r>
      <w:r>
        <w:rPr>
          <w:lang w:val="en_US" w:bidi="en_US"/>
        </w:rPr>
        <w:t>he climbed aboard the boat</w:t>
      </w:r>
    </w:p>
    <w:p>
      <w:pPr/>
      <w:r>
        <w:rPr>
          <w:lang w:val="en_US" w:bidi="en_US"/>
        </w:rPr>
      </w:r>
      <w:r>
        <w:rPr>
          <w:lang w:val="en_US" w:bidi="en_US"/>
        </w:rPr>
        <w:t>he stepped into the boat</w:t>
      </w:r>
    </w:p>
    <w:p>
      <w:pPr/>
      <w:r>
        <w:rPr>
          <w:lang w:val="en_US" w:bidi="en_US"/>
        </w:rPr>
      </w:r>
      <w:r>
        <w:rPr>
          <w:lang w:val="en_US" w:bidi="en_US"/>
        </w:rPr>
        <w:t>he descended into the boat</w:t>
      </w:r>
    </w:p>
    <w:p>
      <w:pPr/>
      <w:r>
        <w:rPr>
          <w:lang w:val="en_US" w:bidi="en_US"/>
        </w:rPr>
      </w:r>
      <w:r>
        <w:rPr>
          <w:lang w:val="en_US" w:bidi="en_US"/>
        </w:rPr>
        <w:t>You should use a word or phrase that is appropriate in your language for entering a boat.</w:t>
      </w:r>
    </w:p>
    <w:p>
      <w:pPr/>
      <w:r>
        <w:rPr>
          <w:lang w:val="en_US" w:bidi="en_US"/>
        </w:rPr>
      </w:r>
      <w:r>
        <w:rPr>
          <w:b/>
          <w:lang w:val="en_US" w:bidi="en_US"/>
        </w:rPr>
        <w:t>Simon:</w:t>
      </w:r>
      <w:r>
        <w:rPr>
          <w:lang w:val="en_US" w:bidi="en_US"/>
        </w:rPr>
        <w:t xml:space="preserve"> Luke mentioned </w:t>
      </w:r>
      <w:r>
        <w:rPr>
          <w:i/>
          <w:lang w:val="en_US" w:bidi="en_US"/>
        </w:rPr>
        <w:t>Simon</w:t>
      </w:r>
      <w:r>
        <w:rPr>
          <w:lang w:val="en_US" w:bidi="en_US"/>
        </w:rPr>
        <w:t xml:space="preserve"> in 4:38, so he is not a new person in the story of Jesus’ life. However, it may be necessary to make it explicit that he was one of the fishermen. For example:</w:t>
      </w:r>
    </w:p>
    <w:p>
      <w:pPr/>
      <w:r>
        <w:rPr>
          <w:lang w:val="en_US" w:bidi="en_US"/>
        </w:rPr>
      </w:r>
      <w:r>
        <w:rPr>
          <w:lang w:val="en_US" w:bidi="en_US"/>
        </w:rPr>
        <w:t xml:space="preserve">Simon, </w:t>
      </w:r>
      <w:r>
        <w:rPr>
          <w:lang w:val="en_US" w:bidi="en_US"/>
        </w:rPr>
        <w:t>who was one of the fishermen</w:t>
      </w:r>
    </w:p>
    <w:p>
      <w:pPr/>
      <w:r>
        <w:rPr>
          <w:lang w:val="en_US" w:bidi="en_US"/>
        </w:rPr>
      </w:r>
      <w:r>
        <w:rPr>
          <w:lang w:val="en_US" w:bidi="en_US"/>
        </w:rPr>
        <w:t>Simon was also called Peter. Sometimes both names were used together, as in 5:8.</w:t>
      </w:r>
    </w:p>
    <w:p>
      <w:pPr>
        <w:pStyle w:val="Heading5"/>
      </w:pPr>
      <w:r>
        <w:rPr>
          <w:lang w:val="en_US" w:bidi="en_US"/>
        </w:rPr>
        <w:t>5:3b</w:t>
      </w:r>
    </w:p>
    <w:p>
      <w:pPr/>
      <w:r>
        <w:rPr>
          <w:lang w:val="en_US" w:bidi="en_US"/>
        </w:rPr>
      </w:r>
      <w:r>
        <w:rPr>
          <w:b/>
          <w:lang w:val="en_US" w:bidi="en_US"/>
        </w:rPr>
        <w:t>and asked him to put out a little from shore.</w:t>
      </w:r>
    </w:p>
    <w:p>
      <w:pPr>
        <w:pStyle w:val="ListBullet"/>
        <w:spacing w:line="240" w:lineRule="auto"/>
        <w:ind w:left="720"/>
      </w:pPr>
      <w:r>
        <w:rPr>
          <w:lang w:val="en_US" w:bidi="en_US"/>
        </w:rPr>
      </w:r>
      <w:r>
        <w:rPr>
          <w:lang w:val="en_US" w:bidi="en_US"/>
        </w:rPr>
        <w:t>and asked him/Simon to move the boat a short distance from the shore.</w:t>
      </w:r>
    </w:p>
    <w:p>
      <w:pPr>
        <w:pStyle w:val="ListBullet"/>
        <w:spacing w:line="240" w:lineRule="auto"/>
        <w:ind w:left="720"/>
      </w:pPr>
      <w:r>
        <w:rPr>
          <w:lang w:val="en_US" w:bidi="en_US"/>
        </w:rPr>
      </w:r>
      <w:r>
        <w:rPr>
          <w:lang w:val="en_US" w:bidi="en_US"/>
        </w:rPr>
        <w:t>Then he said to Simon, “</w:t>
      </w:r>
      <w:r>
        <w:rPr>
          <w:lang w:val="en_US" w:bidi="en_US"/>
        </w:rPr>
        <w:t>Come and</w:t>
      </w:r>
      <w:r>
        <w:rPr>
          <w:lang w:val="en_US" w:bidi="en_US"/>
        </w:rPr>
        <w:t xml:space="preserve"> take/row the boat out into the water a little bit.”</w:t>
      </w:r>
    </w:p>
    <w:p>
      <w:pPr/>
      <w:r>
        <w:rPr>
          <w:lang w:val="en_US" w:bidi="en_US"/>
        </w:rPr>
      </w:r>
      <w:r>
        <w:rPr>
          <w:b/>
          <w:lang w:val="en_US" w:bidi="en_US"/>
        </w:rPr>
        <w:t>asked him to put out a little from shore:</w:t>
      </w:r>
      <w:r>
        <w:rPr>
          <w:lang w:val="en_US" w:bidi="en_US"/>
        </w:rPr>
        <w:t xml:space="preserve"> The clause </w:t>
      </w:r>
      <w:r>
        <w:rPr>
          <w:i/>
          <w:lang w:val="en_US" w:bidi="en_US"/>
        </w:rPr>
        <w:t>asked him to put out a little from shore</w:t>
      </w:r>
      <w:r>
        <w:rPr>
          <w:lang w:val="en_US" w:bidi="en_US"/>
        </w:rPr>
        <w:t xml:space="preserve"> means that Jesus asked Simon to come and put his boat completely into the water. Then Jesus wanted Simon to move it out into the lake a short distance from the beach. Simon could have moved the boat either by pushing it or by using the oars.</w:t>
      </w:r>
    </w:p>
    <w:p>
      <w:pPr/>
      <w:r>
        <w:rPr>
          <w:lang w:val="en_US" w:bidi="en_US"/>
        </w:rPr>
      </w:r>
      <w:r>
        <w:rPr>
          <w:lang w:val="en_US" w:bidi="en_US"/>
        </w:rPr>
        <w:t>Some other ways to translate this are:</w:t>
      </w:r>
    </w:p>
    <w:p>
      <w:pPr/>
      <w:r>
        <w:rPr>
          <w:lang w:val="en_US" w:bidi="en_US"/>
        </w:rPr>
      </w:r>
      <w:r>
        <w:rPr>
          <w:lang w:val="en_US" w:bidi="en_US"/>
        </w:rPr>
        <w:t>asked him to row it out a little way from the shore (CEV)</w:t>
      </w:r>
    </w:p>
    <w:p>
      <w:pPr/>
      <w:r>
        <w:rPr>
          <w:lang w:val="en_US" w:bidi="en_US"/>
        </w:rPr>
      </w:r>
      <w:r>
        <w:rPr>
          <w:lang w:val="en_US" w:bidi="en_US"/>
        </w:rPr>
        <w:t>asked Simon, its owner, to push it out into the water (NLT)</w:t>
      </w:r>
    </w:p>
    <w:p>
      <w:pPr/>
      <w:r>
        <w:rPr>
          <w:lang w:val="en_US" w:bidi="en_US"/>
        </w:rPr>
      </w:r>
      <w:r>
        <w:rPr>
          <w:lang w:val="en_US" w:bidi="en_US"/>
        </w:rPr>
        <w:t>The reason why Jesus asked Simon to do this was so that he could teach the people from the boat. The people would be able to see and hear him better.</w:t>
      </w:r>
      <w:r>
        <w:rPr>
          <w:lang w:val="en_US" w:bidi="en_US"/>
        </w:rPr>
        <w:t xml:space="preserve">The </w:t>
      </w:r>
      <w:r>
        <w:rPr>
          <w:i/>
          <w:lang w:val="en_US" w:bidi="en_US"/>
        </w:rPr>
        <w:t>IVP Bible Background Commentary</w:t>
      </w:r>
      <w:r>
        <w:rPr>
          <w:lang w:val="en_US" w:bidi="en_US"/>
        </w:rPr>
        <w:t xml:space="preserve"> notes: “The shore of the lake functioned acoustically like an amphitheater; withdrawing a little from the crowd and addressing them from the boat thus would have made Jesus much easier to hear” (p. 201).</w:t>
      </w:r>
      <w:r>
        <w:rPr>
          <w:lang w:val="en_US" w:bidi="en_US"/>
        </w:rPr>
        <w:t xml:space="preserve"> You may need to make this reason explicit in your translation. For example, you could say:</w:t>
      </w:r>
    </w:p>
    <w:p>
      <w:pPr/>
      <w:r>
        <w:rPr>
          <w:lang w:val="en_US" w:bidi="en_US"/>
        </w:rPr>
      </w:r>
      <w:r>
        <w:rPr>
          <w:lang w:val="en_US" w:bidi="en_US"/>
        </w:rPr>
        <w:t xml:space="preserve">he asked him to put out a little from shore </w:t>
      </w:r>
      <w:r>
        <w:rPr>
          <w:lang w:val="en_US" w:bidi="en_US"/>
        </w:rPr>
        <w:t>so that the crowd could hear him better</w:t>
      </w:r>
    </w:p>
    <w:p>
      <w:pPr/>
      <w:r>
        <w:rPr>
          <w:lang w:val="en_US" w:bidi="en_US"/>
        </w:rPr>
      </w:r>
      <w:r>
        <w:rPr>
          <w:lang w:val="en_US" w:bidi="en_US"/>
        </w:rPr>
        <w:t>Jesus did not get into the boat to flee from the people. But he may have wanted to escape from the people “pressing in on him.”</w:t>
      </w:r>
    </w:p>
    <w:p>
      <w:pPr/>
      <w:r>
        <w:rPr>
          <w:lang w:val="en_US" w:bidi="en_US"/>
        </w:rPr>
      </w:r>
      <w:r>
        <w:rPr>
          <w:lang w:val="en_US" w:bidi="en_US"/>
        </w:rPr>
        <w:t>In some languages it may be natural to translate this using direct speech. For example:</w:t>
      </w:r>
    </w:p>
    <w:p>
      <w:pPr/>
      <w:r>
        <w:rPr>
          <w:lang w:val="en_US" w:bidi="en_US"/>
        </w:rPr>
      </w:r>
      <w:r>
        <w:rPr>
          <w:lang w:val="en_US" w:bidi="en_US"/>
        </w:rPr>
        <w:t>Jesus told Simon, “Push the boat out a little away from the land.”</w:t>
      </w:r>
    </w:p>
    <w:p>
      <w:pPr>
        <w:pStyle w:val="Heading5"/>
      </w:pPr>
      <w:r>
        <w:rPr>
          <w:lang w:val="en_US" w:bidi="en_US"/>
        </w:rPr>
        <w:t>5:3c</w:t>
      </w:r>
    </w:p>
    <w:p>
      <w:pPr/>
      <w:r>
        <w:rPr>
          <w:lang w:val="en_US" w:bidi="en_US"/>
        </w:rPr>
      </w:r>
      <w:r>
        <w:rPr>
          <w:b/>
          <w:lang w:val="en_US" w:bidi="en_US"/>
        </w:rPr>
        <w:t>And sitting down, He taught the people from the boat.</w:t>
      </w:r>
    </w:p>
    <w:p>
      <w:pPr>
        <w:pStyle w:val="ListBullet"/>
        <w:spacing w:line="240" w:lineRule="auto"/>
        <w:ind w:left="720"/>
      </w:pPr>
      <w:r>
        <w:rPr>
          <w:lang w:val="en_US" w:bidi="en_US"/>
        </w:rPr>
      </w:r>
      <w:r>
        <w:rPr>
          <w:lang w:val="en_US" w:bidi="en_US"/>
        </w:rPr>
        <w:t xml:space="preserve">Then Jesus sat down and </w:t>
      </w:r>
      <w:r>
        <w:rPr>
          <w:lang w:val="en_US" w:bidi="en_US"/>
        </w:rPr>
        <w:t>started</w:t>
      </w:r>
      <w:r>
        <w:rPr>
          <w:lang w:val="en_US" w:bidi="en_US"/>
        </w:rPr>
        <w:t xml:space="preserve"> teaching the people from the boat.</w:t>
      </w:r>
    </w:p>
    <w:p>
      <w:pPr>
        <w:pStyle w:val="ListBullet"/>
        <w:spacing w:line="240" w:lineRule="auto"/>
        <w:ind w:left="720"/>
      </w:pPr>
      <w:r>
        <w:rPr>
          <w:lang w:val="en_US" w:bidi="en_US"/>
        </w:rPr>
      </w:r>
      <w:r>
        <w:rPr>
          <w:lang w:val="en_US" w:bidi="en_US"/>
        </w:rPr>
        <w:t>Simon did this,</w:t>
      </w:r>
      <w:r>
        <w:rPr>
          <w:lang w:val="en_US" w:bidi="en_US"/>
        </w:rPr>
        <w:t xml:space="preserve"> and Jesus sat down in the boat and taught the people.</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what happens next in the story. For this reason, some versions, such as the NIV and NET, translate it as “then.”</w:t>
      </w:r>
    </w:p>
    <w:p>
      <w:pPr/>
      <w:r>
        <w:rPr>
          <w:lang w:val="en_US" w:bidi="en_US"/>
        </w:rPr>
      </w:r>
      <w:r>
        <w:rPr>
          <w:b/>
          <w:lang w:val="en_US" w:bidi="en_US"/>
        </w:rPr>
        <w:t>sitting down, He taught the people from the boat:</w:t>
      </w:r>
      <w:r>
        <w:rPr>
          <w:lang w:val="en_US" w:bidi="en_US"/>
        </w:rPr>
        <w:t xml:space="preserve"> The text implies that Simon obeyed Jesus and pushed the boat into the water. In some languages it may be necessary to include this implied information. For example:</w:t>
      </w:r>
    </w:p>
    <w:p>
      <w:pPr/>
      <w:r>
        <w:rPr>
          <w:lang w:val="en_US" w:bidi="en_US"/>
        </w:rPr>
      </w:r>
      <w:r>
        <w:rPr>
          <w:lang w:val="en_US" w:bidi="en_US"/>
        </w:rPr>
        <w:t>Simon obeyed and pushed the boat away from the land.</w:t>
      </w:r>
      <w:r>
        <w:rPr>
          <w:lang w:val="en_US" w:bidi="en_US"/>
        </w:rPr>
        <w:t xml:space="preserve"> Jesus sat down and taught the people from the boat.</w:t>
      </w:r>
      <w:r>
        <w:rPr>
          <w:lang w:val="en_US" w:bidi="en_US"/>
        </w:rPr>
      </w:r>
      <w:r>
        <w:rPr>
          <w:lang w:val="en_US" w:bidi="en_US"/>
        </w:rPr>
      </w:r>
    </w:p>
    <w:p>
      <w:pPr/>
      <w:r>
        <w:rPr>
          <w:lang w:val="en_US" w:bidi="en_US"/>
        </w:rPr>
      </w:r>
    </w:p>
    <w:p>
      <w:pPr>
        <w:pStyle w:val="Heading2"/>
      </w:pPr>
      <w:r>
        <w:rPr>
          <w:lang w:val="en_US" w:bidi="en_US"/>
        </w:rPr>
        <w:t>Luke 5:4</w:t>
      </w:r>
      <w:r>
        <w:rPr>
          <w:lang w:val="en_US" w:bidi="en_US"/>
        </w:rPr>
      </w:r>
    </w:p>
    <w:p>
      <w:pPr>
        <w:pStyle w:val="Heading4"/>
      </w:pPr>
      <w:r>
        <w:rPr>
          <w:lang w:val="en_US" w:bidi="en_US"/>
        </w:rPr>
        <w:t>Section 5:1–11: Simon and some other fishermen became disciples of Jesus</w:t>
      </w:r>
    </w:p>
    <w:p>
      <w:pPr/>
      <w:r>
        <w:rPr>
          <w:lang w:val="en_US" w:bidi="en_US"/>
        </w:rPr>
      </w:r>
      <w:r>
        <w:rPr>
          <w:lang w:val="en_US" w:bidi="en_US"/>
        </w:rPr>
        <w:t>In this section, Simon Peter and some of his fishing companions heard Jesus teach. They saw his power revealed through a miraculous catch of fish. As a result, they left their fishing work and began following Jesus as his disciples.</w:t>
      </w:r>
    </w:p>
    <w:p>
      <w:pPr/>
      <w:r>
        <w:rPr>
          <w:lang w:val="en_US" w:bidi="en_US"/>
        </w:rPr>
      </w:r>
      <w:r>
        <w:rPr>
          <w:lang w:val="en_US" w:bidi="en_US"/>
        </w:rPr>
        <w:t>Some other possible headings for this section are:</w:t>
      </w:r>
    </w:p>
    <w:p>
      <w:pPr/>
      <w:r>
        <w:rPr>
          <w:lang w:val="en_US" w:bidi="en_US"/>
        </w:rPr>
      </w:r>
      <w:r>
        <w:rPr>
          <w:lang w:val="en_US" w:bidi="en_US"/>
        </w:rPr>
        <w:t>Jesus called Simon and other fishermen to become his disciples</w:t>
      </w:r>
    </w:p>
    <w:p>
      <w:pPr/>
      <w:r>
        <w:rPr>
          <w:lang w:val="en_US" w:bidi="en_US"/>
        </w:rPr>
      </w:r>
      <w:r>
        <w:rPr>
          <w:lang w:val="en_US" w:bidi="en_US"/>
        </w:rPr>
        <w:t>Jesus’ first disciples</w:t>
      </w:r>
    </w:p>
    <w:p>
      <w:pPr/>
      <w:r>
        <w:rPr>
          <w:lang w:val="en_US" w:bidi="en_US"/>
        </w:rPr>
      </w:r>
      <w:r>
        <w:rPr>
          <w:lang w:val="en_US" w:bidi="en_US"/>
        </w:rPr>
        <w:t>There are parallel passages for this section in Matthew 4:18–22 and Mark 1:16–20.</w:t>
      </w:r>
    </w:p>
    <w:p>
      <w:pPr>
        <w:pStyle w:val="Heading5"/>
      </w:pPr>
      <w:r>
        <w:rPr>
          <w:lang w:val="en_US" w:bidi="en_US"/>
        </w:rPr>
        <w:t>5:4a</w:t>
      </w:r>
    </w:p>
    <w:p>
      <w:pPr/>
      <w:r>
        <w:rPr>
          <w:lang w:val="en_US" w:bidi="en_US"/>
        </w:rPr>
      </w:r>
      <w:r>
        <w:rPr>
          <w:b/>
          <w:lang w:val="en_US" w:bidi="en_US"/>
        </w:rPr>
        <w:t>When Jesus had finished speaking, He said to Simon,</w:t>
      </w:r>
    </w:p>
    <w:p>
      <w:pPr>
        <w:pStyle w:val="ListBullet"/>
        <w:spacing w:line="240" w:lineRule="auto"/>
        <w:ind w:left="720"/>
      </w:pPr>
      <w:r>
        <w:rPr>
          <w:lang w:val="en_US" w:bidi="en_US"/>
        </w:rPr>
      </w:r>
      <w:r>
        <w:rPr>
          <w:lang w:val="en_US" w:bidi="en_US"/>
        </w:rPr>
        <w:t>¶ After finishing his message, he/Jesus said to Simon,</w:t>
      </w:r>
    </w:p>
    <w:p>
      <w:pPr>
        <w:pStyle w:val="ListBullet"/>
        <w:spacing w:line="240" w:lineRule="auto"/>
        <w:ind w:left="720"/>
      </w:pPr>
      <w:r>
        <w:rPr>
          <w:lang w:val="en_US" w:bidi="en_US"/>
        </w:rPr>
      </w:r>
      <w:r>
        <w:rPr>
          <w:lang w:val="en_US" w:bidi="en_US"/>
        </w:rPr>
        <w:t xml:space="preserve">¶ He/Jesus finished teaching the people, and then he </w:t>
      </w:r>
      <w:r>
        <w:rPr>
          <w:lang w:val="en_US" w:bidi="en_US"/>
        </w:rPr>
        <w:t>turned</w:t>
      </w:r>
      <w:r>
        <w:rPr>
          <w:lang w:val="en_US" w:bidi="en_US"/>
        </w:rPr>
        <w:t xml:space="preserve"> to Simon and said,</w:t>
      </w:r>
    </w:p>
    <w:p>
      <w:pPr>
        <w:pStyle w:val="ListBullet"/>
        <w:spacing w:line="240" w:lineRule="auto"/>
        <w:ind w:left="720"/>
      </w:pPr>
      <w:r>
        <w:rPr>
          <w:lang w:val="en_US" w:bidi="en_US"/>
        </w:rPr>
      </w:r>
      <w:r>
        <w:rPr>
          <w:lang w:val="en_US" w:bidi="en_US"/>
        </w:rPr>
        <w:t xml:space="preserve">¶ After he had finished speaking </w:t>
      </w:r>
      <w:r>
        <w:rPr>
          <w:lang w:val="en_US" w:bidi="en_US"/>
        </w:rPr>
        <w:t>to the people</w:t>
      </w:r>
      <w:r>
        <w:rPr>
          <w:lang w:val="en_US" w:bidi="en_US"/>
        </w:rPr>
        <w:t>, he told Simon</w:t>
      </w:r>
    </w:p>
    <w:p>
      <w:pPr>
        <w:pStyle w:val="Heading5"/>
      </w:pPr>
      <w:r>
        <w:rPr>
          <w:lang w:val="en_US" w:bidi="en_US"/>
        </w:rPr>
        <w:t>5:4b</w:t>
      </w:r>
    </w:p>
    <w:p>
      <w:pPr/>
      <w:r>
        <w:rPr>
          <w:lang w:val="en_US" w:bidi="en_US"/>
        </w:rPr>
      </w:r>
      <w:r>
        <w:rPr>
          <w:b/>
          <w:lang w:val="en_US" w:bidi="en_US"/>
        </w:rPr>
        <w:t>“Put out into deep water</w:t>
      </w:r>
    </w:p>
    <w:p>
      <w:pPr>
        <w:pStyle w:val="ListBullet"/>
        <w:spacing w:line="240" w:lineRule="auto"/>
        <w:ind w:left="720"/>
      </w:pPr>
      <w:r>
        <w:rPr>
          <w:lang w:val="en_US" w:bidi="en_US"/>
        </w:rPr>
      </w:r>
      <w:r>
        <w:rPr>
          <w:lang w:val="en_US" w:bidi="en_US"/>
        </w:rPr>
        <w:t>“Sail/Row</w:t>
      </w:r>
      <w:r>
        <w:rPr>
          <w:vertAlign w:val="superscript"/>
          <w:lang w:val="en_US" w:bidi="en_US"/>
        </w:rPr>
        <w:t>(sing)</w:t>
      </w:r>
      <w:r>
        <w:rPr>
          <w:lang w:val="en_US" w:bidi="en_US"/>
        </w:rPr>
        <w:t xml:space="preserve"> </w:t>
      </w:r>
      <w:r>
        <w:rPr>
          <w:lang w:val="en_US" w:bidi="en_US"/>
        </w:rPr>
        <w:t>the boat</w:t>
      </w:r>
      <w:r>
        <w:rPr>
          <w:lang w:val="en_US" w:bidi="en_US"/>
        </w:rPr>
        <w:t xml:space="preserve"> into deeper water.</w:t>
      </w:r>
    </w:p>
    <w:p>
      <w:pPr>
        <w:pStyle w:val="ListBullet"/>
        <w:spacing w:line="240" w:lineRule="auto"/>
        <w:ind w:left="720"/>
      </w:pPr>
      <w:r>
        <w:rPr>
          <w:lang w:val="en_US" w:bidi="en_US"/>
        </w:rPr>
      </w:r>
      <w:r>
        <w:rPr>
          <w:lang w:val="en_US" w:bidi="en_US"/>
        </w:rPr>
        <w:t>“Go</w:t>
      </w:r>
      <w:r>
        <w:rPr>
          <w:vertAlign w:val="superscript"/>
          <w:lang w:val="en_US" w:bidi="en_US"/>
        </w:rPr>
        <w:t>(sing)</w:t>
      </w:r>
      <w:r>
        <w:rPr>
          <w:lang w:val="en_US" w:bidi="en_US"/>
        </w:rPr>
        <w:t xml:space="preserve"> further from the shore to where the water is deep,</w:t>
      </w:r>
    </w:p>
    <w:p>
      <w:pPr>
        <w:pStyle w:val="ListBullet"/>
        <w:spacing w:line="240" w:lineRule="auto"/>
        <w:ind w:left="720"/>
      </w:pPr>
      <w:r>
        <w:rPr>
          <w:lang w:val="en_US" w:bidi="en_US"/>
        </w:rPr>
      </w:r>
      <w:r>
        <w:rPr>
          <w:lang w:val="en_US" w:bidi="en_US"/>
        </w:rPr>
        <w:t>to make the boat go out into the deep water</w:t>
      </w:r>
    </w:p>
    <w:p>
      <w:pPr>
        <w:pStyle w:val="Heading5"/>
      </w:pPr>
      <w:r>
        <w:rPr>
          <w:lang w:val="en_US" w:bidi="en_US"/>
        </w:rPr>
        <w:t>5:4a–b</w:t>
      </w:r>
    </w:p>
    <w:p>
      <w:pPr/>
      <w:r>
        <w:rPr>
          <w:lang w:val="en_US" w:bidi="en_US"/>
        </w:rPr>
      </w:r>
      <w:r>
        <w:rPr>
          <w:b/>
          <w:lang w:val="en_US" w:bidi="en_US"/>
        </w:rPr>
        <w:t>Put out into deep water:</w:t>
      </w:r>
      <w:r>
        <w:rPr>
          <w:lang w:val="en_US" w:bidi="en_US"/>
        </w:rPr>
        <w:t xml:space="preserve"> The phrase </w:t>
      </w:r>
      <w:r>
        <w:rPr>
          <w:i/>
          <w:lang w:val="en_US" w:bidi="en_US"/>
        </w:rPr>
        <w:t>Put out into deep water</w:t>
      </w:r>
      <w:r>
        <w:rPr>
          <w:lang w:val="en_US" w:bidi="en_US"/>
        </w:rPr>
        <w:t xml:space="preserve"> here means “Move (either by sailing or rowing) your boat into deep water.” That is, Jesus told Simon to move the boat farther away from the shore.</w:t>
      </w:r>
    </w:p>
    <w:p>
      <w:pPr/>
      <w:r>
        <w:rPr>
          <w:lang w:val="en_US" w:bidi="en_US"/>
        </w:rPr>
      </w:r>
      <w:r>
        <w:rPr>
          <w:lang w:val="en_US" w:bidi="en_US"/>
        </w:rPr>
        <w:t>Some other ways to translate this are:</w:t>
      </w:r>
    </w:p>
    <w:p>
      <w:pPr/>
      <w:r>
        <w:rPr>
          <w:lang w:val="en_US" w:bidi="en_US"/>
        </w:rPr>
      </w:r>
      <w:r>
        <w:rPr>
          <w:lang w:val="en_US" w:bidi="en_US"/>
        </w:rPr>
        <w:t>Sail/Row</w:t>
      </w:r>
      <w:r>
        <w:rPr>
          <w:vertAlign w:val="superscript"/>
          <w:lang w:val="en_US" w:bidi="en_US"/>
        </w:rPr>
        <w:t>(sing)</w:t>
      </w:r>
      <w:r>
        <w:rPr>
          <w:lang w:val="en_US" w:bidi="en_US"/>
        </w:rPr>
        <w:t xml:space="preserve"> out to where the water is deeper</w:t>
      </w:r>
    </w:p>
    <w:p>
      <w:pPr/>
      <w:r>
        <w:rPr>
          <w:lang w:val="en_US" w:bidi="en_US"/>
        </w:rPr>
      </w:r>
      <w:r>
        <w:rPr>
          <w:lang w:val="en_US" w:bidi="en_US"/>
        </w:rPr>
        <w:t>Go</w:t>
      </w:r>
      <w:r>
        <w:rPr>
          <w:vertAlign w:val="superscript"/>
          <w:lang w:val="en_US" w:bidi="en_US"/>
        </w:rPr>
        <w:t>(sing)</w:t>
      </w:r>
      <w:r>
        <w:rPr>
          <w:lang w:val="en_US" w:bidi="en_US"/>
        </w:rPr>
        <w:t xml:space="preserve"> farther away from the shore into the deeper wate</w:t>
      </w:r>
    </w:p>
    <w:p>
      <w:pPr/>
      <w:r>
        <w:rPr>
          <w:lang w:val="en_US" w:bidi="en_US"/>
        </w:rPr>
      </w:r>
      <w:r>
        <w:rPr>
          <w:lang w:val="en_US" w:bidi="en_US"/>
        </w:rPr>
        <w:t>Simon, cause/make</w:t>
      </w:r>
      <w:r>
        <w:rPr>
          <w:vertAlign w:val="superscript"/>
          <w:lang w:val="en_US" w:bidi="en_US"/>
        </w:rPr>
        <w:t>(sing)</w:t>
      </w:r>
      <w:r>
        <w:rPr>
          <w:lang w:val="en_US" w:bidi="en_US"/>
        </w:rPr>
        <w:t xml:space="preserve"> the boat to go to the deep water</w:t>
      </w:r>
    </w:p>
    <w:p>
      <w:pPr>
        <w:pStyle w:val="Heading5"/>
      </w:pPr>
      <w:r>
        <w:rPr>
          <w:lang w:val="en_US" w:bidi="en_US"/>
        </w:rPr>
        <w:t>5:4c</w:t>
      </w:r>
    </w:p>
    <w:p>
      <w:pPr/>
      <w:r>
        <w:rPr>
          <w:lang w:val="en_US" w:bidi="en_US"/>
        </w:rPr>
      </w:r>
      <w:r>
        <w:rPr>
          <w:b/>
          <w:lang w:val="en_US" w:bidi="en_US"/>
        </w:rPr>
        <w:t>and let down your nets for a catch.”</w:t>
      </w:r>
    </w:p>
    <w:p>
      <w:pPr>
        <w:pStyle w:val="ListBullet"/>
        <w:spacing w:line="240" w:lineRule="auto"/>
        <w:ind w:left="720"/>
      </w:pPr>
      <w:r>
        <w:rPr>
          <w:lang w:val="en_US" w:bidi="en_US"/>
        </w:rPr>
      </w:r>
      <w:r>
        <w:rPr>
          <w:lang w:val="en_US" w:bidi="en_US"/>
        </w:rPr>
        <w:t>Then let</w:t>
      </w:r>
      <w:r>
        <w:rPr>
          <w:vertAlign w:val="superscript"/>
          <w:lang w:val="en_US" w:bidi="en_US"/>
        </w:rPr>
        <w:t>(plur)</w:t>
      </w:r>
      <w:r>
        <w:rPr>
          <w:lang w:val="en_US" w:bidi="en_US"/>
        </w:rPr>
        <w:t xml:space="preserve"> your</w:t>
      </w:r>
      <w:r>
        <w:rPr>
          <w:vertAlign w:val="superscript"/>
          <w:lang w:val="en_US" w:bidi="en_US"/>
        </w:rPr>
        <w:t>(plur)</w:t>
      </w:r>
      <w:r>
        <w:rPr>
          <w:lang w:val="en_US" w:bidi="en_US"/>
        </w:rPr>
        <w:t xml:space="preserve"> nets down </w:t>
      </w:r>
      <w:r>
        <w:rPr>
          <w:lang w:val="en_US" w:bidi="en_US"/>
        </w:rPr>
        <w:t>into the water</w:t>
      </w:r>
      <w:r>
        <w:rPr>
          <w:lang w:val="en_US" w:bidi="en_US"/>
        </w:rPr>
        <w:t xml:space="preserve"> in order to catch </w:t>
      </w:r>
      <w:r>
        <w:rPr>
          <w:lang w:val="en_US" w:bidi="en_US"/>
        </w:rPr>
        <w:t>some fish</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there</w:t>
      </w:r>
      <w:r>
        <w:rPr>
          <w:lang w:val="en_US" w:bidi="en_US"/>
        </w:rPr>
        <w:t>, you</w:t>
      </w:r>
      <w:r>
        <w:rPr>
          <w:vertAlign w:val="superscript"/>
          <w:lang w:val="en_US" w:bidi="en_US"/>
        </w:rPr>
        <w:t>(sing)</w:t>
      </w:r>
      <w:r>
        <w:rPr>
          <w:lang w:val="en_US" w:bidi="en_US"/>
        </w:rPr>
        <w:t xml:space="preserve"> </w:t>
      </w:r>
      <w:r>
        <w:rPr>
          <w:lang w:val="en_US" w:bidi="en_US"/>
        </w:rPr>
        <w:t>and your</w:t>
      </w:r>
      <w:r>
        <w:rPr>
          <w:vertAlign w:val="superscript"/>
          <w:lang w:val="en_US" w:bidi="en_US"/>
        </w:rPr>
        <w:t>(sing)</w:t>
      </w:r>
      <w:r>
        <w:rPr>
          <w:lang w:val="en_US" w:bidi="en_US"/>
        </w:rPr>
        <w:t xml:space="preserve"> </w:t>
      </w:r>
      <w:r>
        <w:rPr>
          <w:lang w:val="en_US" w:bidi="en_US"/>
        </w:rPr>
        <w:t>fellow fishermen</w:t>
      </w:r>
      <w:r>
        <w:rPr>
          <w:lang w:val="en_US" w:bidi="en_US"/>
        </w:rPr>
        <w:t>, should put/throw</w:t>
      </w:r>
      <w:r>
        <w:rPr>
          <w:vertAlign w:val="superscript"/>
          <w:lang w:val="en_US" w:bidi="en_US"/>
        </w:rPr>
        <w:t>(plur)</w:t>
      </w:r>
      <w:r>
        <w:rPr>
          <w:lang w:val="en_US" w:bidi="en_US"/>
        </w:rPr>
        <w:t xml:space="preserve"> your</w:t>
      </w:r>
      <w:r>
        <w:rPr>
          <w:vertAlign w:val="superscript"/>
          <w:lang w:val="en_US" w:bidi="en_US"/>
        </w:rPr>
        <w:t>(plur)</w:t>
      </w:r>
      <w:r>
        <w:rPr>
          <w:lang w:val="en_US" w:bidi="en_US"/>
        </w:rPr>
        <w:t xml:space="preserve"> nets </w:t>
      </w:r>
      <w:r>
        <w:rPr>
          <w:lang w:val="en_US" w:bidi="en_US"/>
        </w:rPr>
        <w:t>into the water</w:t>
      </w:r>
      <w:r>
        <w:rPr>
          <w:lang w:val="en_US" w:bidi="en_US"/>
        </w:rPr>
        <w:t xml:space="preserve"> to get </w:t>
      </w:r>
      <w:r>
        <w:rPr>
          <w:lang w:val="en_US" w:bidi="en_US"/>
        </w:rPr>
        <w:t>some fish</w:t>
      </w:r>
      <w:r>
        <w:rPr>
          <w:lang w:val="en_US" w:bidi="en_US"/>
        </w:rPr>
        <w:t>.”</w:t>
      </w:r>
    </w:p>
    <w:p>
      <w:pPr>
        <w:pStyle w:val="ListBullet"/>
        <w:spacing w:line="240" w:lineRule="auto"/>
        <w:ind w:left="720"/>
      </w:pPr>
      <w:r>
        <w:rPr>
          <w:lang w:val="en_US" w:bidi="en_US"/>
        </w:rPr>
      </w:r>
      <w:r>
        <w:rPr>
          <w:lang w:val="en_US" w:bidi="en_US"/>
        </w:rPr>
        <w:t xml:space="preserve">and to lower the nets </w:t>
      </w:r>
      <w:r>
        <w:rPr>
          <w:lang w:val="en_US" w:bidi="en_US"/>
        </w:rPr>
        <w:t>into the water</w:t>
      </w:r>
      <w:r>
        <w:rPr>
          <w:lang w:val="en_US" w:bidi="en_US"/>
        </w:rPr>
        <w:t xml:space="preserve"> to catch </w:t>
      </w:r>
      <w:r>
        <w:rPr>
          <w:lang w:val="en_US" w:bidi="en_US"/>
        </w:rPr>
        <w:t>some fish</w:t>
      </w:r>
      <w:r>
        <w:rPr>
          <w:lang w:val="en_US" w:bidi="en_US"/>
        </w:rPr>
        <w:t>.</w:t>
      </w:r>
    </w:p>
    <w:p>
      <w:pPr/>
      <w:r>
        <w:rPr>
          <w:lang w:val="en_US" w:bidi="en_US"/>
        </w:rPr>
      </w:r>
      <w:r>
        <w:rPr>
          <w:b/>
          <w:lang w:val="en_US" w:bidi="en_US"/>
        </w:rPr>
        <w:t>let down your nets:</w:t>
      </w:r>
      <w:r>
        <w:rPr>
          <w:lang w:val="en_US" w:bidi="en_US"/>
        </w:rPr>
        <w:t xml:space="preserve"> The verb </w:t>
      </w:r>
      <w:r>
        <w:rPr>
          <w:i/>
          <w:lang w:val="en_US" w:bidi="en_US"/>
        </w:rPr>
        <w:t>let down</w:t>
      </w:r>
      <w:r>
        <w:rPr>
          <w:lang w:val="en_US" w:bidi="en_US"/>
        </w:rPr>
        <w:t xml:space="preserve"> describes the action of putting nets into the water. In some cultures, fishermen “throw” or “cast” their nets into the water. Use the most natural verb in your language for this action.</w:t>
      </w:r>
    </w:p>
    <w:p>
      <w:pPr/>
      <w:r>
        <w:rPr>
          <w:lang w:val="en_US" w:bidi="en_US"/>
        </w:rPr>
      </w:r>
      <w:r>
        <w:rPr>
          <w:lang w:val="en_US" w:bidi="en_US"/>
        </w:rPr>
        <w:t xml:space="preserve">The command </w:t>
      </w:r>
      <w:r>
        <w:rPr>
          <w:i/>
          <w:lang w:val="en_US" w:bidi="en_US"/>
        </w:rPr>
        <w:t>let down</w:t>
      </w:r>
      <w:r>
        <w:rPr>
          <w:lang w:val="en_US" w:bidi="en_US"/>
        </w:rPr>
        <w:t xml:space="preserve"> is a plural form. It shows that there were other men in the boat helping Simon Peter.</w:t>
      </w:r>
    </w:p>
    <w:p>
      <w:pPr/>
      <w:r>
        <w:rPr>
          <w:lang w:val="en_US" w:bidi="en_US"/>
        </w:rPr>
      </w:r>
      <w:r>
        <w:rPr>
          <w:b/>
          <w:lang w:val="en_US" w:bidi="en_US"/>
        </w:rPr>
        <w:t>for a catch:</w:t>
      </w:r>
      <w:r>
        <w:rPr>
          <w:lang w:val="en_US" w:bidi="en_US"/>
        </w:rPr>
        <w:t xml:space="preserve"> The Greek phrase that the BSB translates as </w:t>
      </w:r>
      <w:r>
        <w:rPr>
          <w:i/>
          <w:lang w:val="en_US" w:bidi="en_US"/>
        </w:rPr>
        <w:t>for a catch</w:t>
      </w:r>
      <w:r>
        <w:rPr>
          <w:lang w:val="en_US" w:bidi="en_US"/>
        </w:rPr>
        <w:t xml:space="preserve"> here means “in order to catch some fish.”</w:t>
      </w:r>
    </w:p>
    <w:p>
      <w:pPr/>
      <w:r>
        <w:rPr>
          <w:lang w:val="en_US" w:bidi="en_US"/>
        </w:rPr>
      </w:r>
      <w:r>
        <w:rPr>
          <w:lang w:val="en_US" w:bidi="en_US"/>
        </w:rPr>
        <w:t>Different languages have different expressions for “catching” fish. For example:</w:t>
      </w:r>
    </w:p>
    <w:p>
      <w:pPr/>
      <w:r>
        <w:rPr>
          <w:lang w:val="en_US" w:bidi="en_US"/>
        </w:rPr>
      </w:r>
      <w:r>
        <w:rPr>
          <w:lang w:val="en_US" w:bidi="en_US"/>
        </w:rPr>
        <w:t>take/get fish</w:t>
      </w:r>
    </w:p>
    <w:p>
      <w:pPr/>
      <w:r>
        <w:rPr>
          <w:lang w:val="en_US" w:bidi="en_US"/>
        </w:rPr>
      </w:r>
      <w:r>
        <w:rPr>
          <w:lang w:val="en_US" w:bidi="en_US"/>
        </w:rPr>
        <w:t>kill fish</w:t>
      </w:r>
    </w:p>
    <w:p>
      <w:pPr/>
      <w:r>
        <w:rPr>
          <w:lang w:val="en_US" w:bidi="en_US"/>
        </w:rPr>
      </w:r>
      <w:r>
        <w:rPr>
          <w:lang w:val="en_US" w:bidi="en_US"/>
        </w:rPr>
        <w:t>hunt fish</w:t>
      </w:r>
    </w:p>
    <w:p>
      <w:pPr/>
      <w:r>
        <w:rPr>
          <w:lang w:val="en_US" w:bidi="en_US"/>
        </w:rPr>
      </w:r>
      <w:r>
        <w:rPr>
          <w:lang w:val="en_US" w:bidi="en_US"/>
        </w:rPr>
        <w:t>trap fish</w:t>
      </w:r>
    </w:p>
    <w:p>
      <w:pPr/>
      <w:r>
        <w:rPr>
          <w:lang w:val="en_US" w:bidi="en_US"/>
        </w:rPr>
      </w:r>
      <w:r>
        <w:rPr>
          <w:lang w:val="en_US" w:bidi="en_US"/>
        </w:rPr>
        <w:t>Use the most natural expression in your language for fishing.</w:t>
      </w:r>
      <w:r>
        <w:rPr>
          <w:lang w:val="en_US" w:bidi="en_US"/>
        </w:rPr>
      </w:r>
      <w:r>
        <w:rPr>
          <w:lang w:val="en_US" w:bidi="en_US"/>
        </w:rPr>
      </w:r>
    </w:p>
    <w:p>
      <w:pPr/>
      <w:r>
        <w:rPr>
          <w:lang w:val="en_US" w:bidi="en_US"/>
        </w:rPr>
      </w:r>
    </w:p>
    <w:p>
      <w:pPr>
        <w:pStyle w:val="Heading2"/>
      </w:pPr>
      <w:r>
        <w:rPr>
          <w:lang w:val="en_US" w:bidi="en_US"/>
        </w:rPr>
        <w:t>Luke 5:5</w:t>
      </w:r>
      <w:r>
        <w:rPr>
          <w:lang w:val="en_US" w:bidi="en_US"/>
        </w:rPr>
      </w:r>
    </w:p>
    <w:p>
      <w:pPr>
        <w:pStyle w:val="Heading4"/>
      </w:pPr>
      <w:r>
        <w:rPr>
          <w:lang w:val="en_US" w:bidi="en_US"/>
        </w:rPr>
        <w:t>Section 5:1–11: Simon and some other fishermen became disciples of Jesus</w:t>
      </w:r>
    </w:p>
    <w:p>
      <w:pPr/>
      <w:r>
        <w:rPr>
          <w:lang w:val="en_US" w:bidi="en_US"/>
        </w:rPr>
      </w:r>
      <w:r>
        <w:rPr>
          <w:lang w:val="en_US" w:bidi="en_US"/>
        </w:rPr>
        <w:t>In this section, Simon Peter and some of his fishing companions heard Jesus teach. They saw his power revealed through a miraculous catch of fish. As a result, they left their fishing work and began following Jesus as his disciples.</w:t>
      </w:r>
    </w:p>
    <w:p>
      <w:pPr/>
      <w:r>
        <w:rPr>
          <w:lang w:val="en_US" w:bidi="en_US"/>
        </w:rPr>
      </w:r>
      <w:r>
        <w:rPr>
          <w:lang w:val="en_US" w:bidi="en_US"/>
        </w:rPr>
        <w:t>Some other possible headings for this section are:</w:t>
      </w:r>
    </w:p>
    <w:p>
      <w:pPr/>
      <w:r>
        <w:rPr>
          <w:lang w:val="en_US" w:bidi="en_US"/>
        </w:rPr>
      </w:r>
      <w:r>
        <w:rPr>
          <w:lang w:val="en_US" w:bidi="en_US"/>
        </w:rPr>
        <w:t>Jesus called Simon and other fishermen to become his disciples</w:t>
      </w:r>
    </w:p>
    <w:p>
      <w:pPr/>
      <w:r>
        <w:rPr>
          <w:lang w:val="en_US" w:bidi="en_US"/>
        </w:rPr>
      </w:r>
      <w:r>
        <w:rPr>
          <w:lang w:val="en_US" w:bidi="en_US"/>
        </w:rPr>
        <w:t>Jesus’ first disciples</w:t>
      </w:r>
    </w:p>
    <w:p>
      <w:pPr/>
      <w:r>
        <w:rPr>
          <w:lang w:val="en_US" w:bidi="en_US"/>
        </w:rPr>
      </w:r>
      <w:r>
        <w:rPr>
          <w:lang w:val="en_US" w:bidi="en_US"/>
        </w:rPr>
        <w:t>There are parallel passages for this section in Matthew 4:18–22 and Mark 1:16–20.</w:t>
      </w:r>
    </w:p>
    <w:p>
      <w:pPr>
        <w:pStyle w:val="Heading5"/>
      </w:pPr>
      <w:r>
        <w:rPr>
          <w:lang w:val="en_US" w:bidi="en_US"/>
        </w:rPr>
        <w:t>5:5a</w:t>
      </w:r>
    </w:p>
    <w:p>
      <w:pPr/>
      <w:r>
        <w:rPr>
          <w:lang w:val="en_US" w:bidi="en_US"/>
        </w:rPr>
      </w:r>
      <w:r>
        <w:rPr>
          <w:b/>
          <w:lang w:val="en_US" w:bidi="en_US"/>
        </w:rPr>
        <w:t>“Master,” Simon replied, “we have worked hard all night</w:t>
      </w:r>
    </w:p>
    <w:p>
      <w:pPr>
        <w:pStyle w:val="ListBullet"/>
        <w:spacing w:line="240" w:lineRule="auto"/>
        <w:ind w:left="720"/>
      </w:pPr>
      <w:r>
        <w:rPr>
          <w:lang w:val="en_US" w:bidi="en_US"/>
        </w:rPr>
      </w:r>
      <w:r>
        <w:rPr>
          <w:lang w:val="en_US" w:bidi="en_US"/>
        </w:rPr>
        <w:t>Simon responded, “Master, we</w:t>
      </w:r>
      <w:r>
        <w:rPr>
          <w:vertAlign w:val="superscript"/>
          <w:lang w:val="en_US" w:bidi="en_US"/>
        </w:rPr>
        <w:t>(excl)</w:t>
      </w:r>
      <w:r>
        <w:rPr>
          <w:lang w:val="en_US" w:bidi="en_US"/>
        </w:rPr>
        <w:t xml:space="preserve"> worked/tried hard all night </w:t>
      </w:r>
      <w:r>
        <w:rPr>
          <w:lang w:val="en_US" w:bidi="en_US"/>
        </w:rPr>
        <w:t>to catch fish</w:t>
      </w:r>
      <w:r>
        <w:rPr>
          <w:lang w:val="en_US" w:bidi="en_US"/>
        </w:rPr>
        <w:t>,</w:t>
      </w:r>
    </w:p>
    <w:p>
      <w:pPr>
        <w:pStyle w:val="ListBullet"/>
        <w:spacing w:line="240" w:lineRule="auto"/>
        <w:ind w:left="720"/>
      </w:pPr>
      <w:r>
        <w:rPr>
          <w:lang w:val="en_US" w:bidi="en_US"/>
        </w:rPr>
      </w:r>
      <w:r>
        <w:rPr>
          <w:lang w:val="en_US" w:bidi="en_US"/>
        </w:rPr>
        <w:t xml:space="preserve">Simon said/protested, “Master, all </w:t>
      </w:r>
      <w:r>
        <w:rPr>
          <w:lang w:val="en_US" w:bidi="en_US"/>
        </w:rPr>
        <w:t>last</w:t>
      </w:r>
      <w:r>
        <w:rPr>
          <w:lang w:val="en_US" w:bidi="en_US"/>
        </w:rPr>
        <w:t xml:space="preserve"> night we</w:t>
      </w:r>
      <w:r>
        <w:rPr>
          <w:vertAlign w:val="superscript"/>
          <w:lang w:val="en_US" w:bidi="en_US"/>
        </w:rPr>
        <w:t>(excl)</w:t>
      </w:r>
      <w:r>
        <w:rPr>
          <w:lang w:val="en_US" w:bidi="en_US"/>
        </w:rPr>
        <w:t xml:space="preserve"> worked hard </w:t>
      </w:r>
      <w:r>
        <w:rPr>
          <w:lang w:val="en_US" w:bidi="en_US"/>
        </w:rPr>
        <w:t>at fishing</w:t>
      </w:r>
      <w:r>
        <w:rPr>
          <w:lang w:val="en_US" w:bidi="en_US"/>
        </w:rPr>
        <w:t>,</w:t>
      </w:r>
    </w:p>
    <w:p>
      <w:pPr/>
      <w:r>
        <w:rPr>
          <w:lang w:val="en_US" w:bidi="en_US"/>
        </w:rPr>
      </w:r>
      <w:r>
        <w:rPr>
          <w:lang w:val="en_US" w:bidi="en_US"/>
        </w:rPr>
        <w:t>Simon was a skilled and experienced fisherman. He did not believe that he and the others with him in the boat would catch any fish if they let down the nets at this time. His words to Jesus imply this.</w:t>
      </w:r>
    </w:p>
    <w:p>
      <w:pPr/>
      <w:r>
        <w:rPr>
          <w:lang w:val="en_US" w:bidi="en_US"/>
        </w:rPr>
      </w:r>
      <w:r>
        <w:rPr>
          <w:b/>
          <w:lang w:val="en_US" w:bidi="en_US"/>
        </w:rPr>
        <w:t>Master:</w:t>
      </w:r>
      <w:r>
        <w:rPr>
          <w:lang w:val="en_US" w:bidi="en_US"/>
        </w:rPr>
        <w:t xml:space="preserve"> The Greek word that the BSB translates as </w:t>
      </w:r>
      <w:r>
        <w:rPr>
          <w:i/>
          <w:lang w:val="en_US" w:bidi="en_US"/>
        </w:rPr>
        <w:t>Master</w:t>
      </w:r>
      <w:r>
        <w:rPr>
          <w:lang w:val="en_US" w:bidi="en_US"/>
        </w:rPr>
        <w:t xml:space="preserve"> is a word that shows respect. People used this word to address a person who had high position or status.</w:t>
      </w:r>
      <w:r>
        <w:rPr>
          <w:lang w:val="en_US" w:bidi="en_US"/>
        </w:rPr>
        <w:t xml:space="preserve">The Greek word here is </w:t>
      </w:r>
      <w:r>
        <w:rPr>
          <w:i/>
          <w:lang w:val="en_US" w:bidi="en_US"/>
        </w:rPr>
        <w:t>Ἐπιστάτα</w:t>
      </w:r>
      <w:r>
        <w:rPr>
          <w:lang w:val="en_US" w:bidi="en_US"/>
        </w:rPr>
        <w:t xml:space="preserve">, which is unique to Luke in the Gospels. Parallel passages in Matthew use </w:t>
      </w:r>
      <w:r>
        <w:rPr>
          <w:i/>
          <w:lang w:val="en_US" w:bidi="en_US"/>
        </w:rPr>
        <w:t>κύριε</w:t>
      </w:r>
      <w:r>
        <w:rPr>
          <w:lang w:val="en_US" w:bidi="en_US"/>
        </w:rPr>
        <w:t xml:space="preserve">, while parallels in Mark use either </w:t>
      </w:r>
      <w:r>
        <w:rPr>
          <w:i/>
          <w:lang w:val="en_US" w:bidi="en_US"/>
        </w:rPr>
        <w:t>διδασκαλε</w:t>
      </w:r>
      <w:r>
        <w:rPr>
          <w:lang w:val="en_US" w:bidi="en_US"/>
        </w:rPr>
        <w:t xml:space="preserve"> or </w:t>
      </w:r>
      <w:r>
        <w:rPr>
          <w:i/>
          <w:lang w:val="en_US" w:bidi="en_US"/>
        </w:rPr>
        <w:t>ραββι</w:t>
      </w:r>
      <w:r>
        <w:rPr>
          <w:lang w:val="en_US" w:bidi="en_US"/>
        </w:rPr>
        <w:t>.</w:t>
      </w:r>
      <w:r>
        <w:rPr>
          <w:lang w:val="en_US" w:bidi="en_US"/>
        </w:rPr>
        <w:t xml:space="preserve"> It showed that Simon respected Jesus.</w:t>
      </w:r>
    </w:p>
    <w:p>
      <w:pPr/>
      <w:r>
        <w:rPr>
          <w:lang w:val="en_US" w:bidi="en_US"/>
        </w:rPr>
      </w:r>
      <w:r>
        <w:rPr>
          <w:lang w:val="en_US" w:bidi="en_US"/>
        </w:rPr>
        <w:t xml:space="preserve">The word </w:t>
      </w:r>
      <w:r>
        <w:rPr>
          <w:i/>
          <w:lang w:val="en_US" w:bidi="en_US"/>
        </w:rPr>
        <w:t>Master</w:t>
      </w:r>
      <w:r>
        <w:rPr>
          <w:lang w:val="en_US" w:bidi="en_US"/>
        </w:rPr>
        <w:t xml:space="preserve"> is similar in meaning to “Lord” at 5:8c. But when someone used the word “Lord,” as Simon did later in 5:8c, he was showing greater respect. Your language may have more than one word to show respect. Use the word that shows lesser respect here. Use the word that shows greater respect in 5:8c.</w:t>
      </w:r>
    </w:p>
    <w:p>
      <w:pPr/>
      <w:r>
        <w:rPr>
          <w:lang w:val="en_US" w:bidi="en_US"/>
        </w:rPr>
      </w:r>
      <w:r>
        <w:rPr>
          <w:lang w:val="en_US" w:bidi="en_US"/>
        </w:rPr>
        <w:t>(See the note on “Lord” at 5:8c, where Simon changed the word that he used to address Jesus.)</w:t>
      </w:r>
    </w:p>
    <w:p>
      <w:pPr/>
      <w:r>
        <w:rPr>
          <w:lang w:val="en_US" w:bidi="en_US"/>
        </w:rPr>
      </w:r>
      <w:r>
        <w:rPr>
          <w:b/>
          <w:lang w:val="en_US" w:bidi="en_US"/>
        </w:rPr>
        <w:t>Simon replied:</w:t>
      </w:r>
      <w:r>
        <w:rPr>
          <w:lang w:val="en_US" w:bidi="en_US"/>
        </w:rPr>
        <w:t xml:space="preserve"> Jesus had given Simon a command. Usually a person responds to a command by doing the action. However, Simon responded by protesting to Jesus. Use the most natural way in your language to introduce this protest. For example:</w:t>
      </w:r>
    </w:p>
    <w:p>
      <w:pPr/>
      <w:r>
        <w:rPr>
          <w:lang w:val="en_US" w:bidi="en_US"/>
        </w:rPr>
      </w:r>
      <w:r>
        <w:rPr>
          <w:lang w:val="en_US" w:bidi="en_US"/>
        </w:rPr>
        <w:t>Simon responded</w:t>
      </w:r>
    </w:p>
    <w:p>
      <w:pPr/>
      <w:r>
        <w:rPr>
          <w:lang w:val="en_US" w:bidi="en_US"/>
        </w:rPr>
      </w:r>
      <w:r>
        <w:rPr>
          <w:lang w:val="en_US" w:bidi="en_US"/>
        </w:rPr>
        <w:t>Simon protested</w:t>
      </w:r>
    </w:p>
    <w:p>
      <w:pPr/>
      <w:r>
        <w:rPr>
          <w:lang w:val="en_US" w:bidi="en_US"/>
        </w:rPr>
      </w:r>
      <w:r>
        <w:rPr>
          <w:b/>
          <w:lang w:val="en_US" w:bidi="en_US"/>
        </w:rPr>
        <w:t>we have worked hard:</w:t>
      </w:r>
      <w:r>
        <w:rPr>
          <w:lang w:val="en_US" w:bidi="en_US"/>
        </w:rPr>
        <w:t xml:space="preserve"> The phrase </w:t>
      </w:r>
      <w:r>
        <w:rPr>
          <w:i/>
          <w:lang w:val="en_US" w:bidi="en_US"/>
        </w:rPr>
        <w:t>we have worked hard</w:t>
      </w:r>
      <w:r>
        <w:rPr>
          <w:lang w:val="en_US" w:bidi="en_US"/>
        </w:rPr>
        <w:t xml:space="preserve"> refers to working hard at fishing. Simon and the other fishermen had fished throughout the night. In your language, you may need to say that “fishing” was the work that they had done. For example:</w:t>
      </w:r>
    </w:p>
    <w:p>
      <w:pPr/>
      <w:r>
        <w:rPr>
          <w:lang w:val="en_US" w:bidi="en_US"/>
        </w:rPr>
      </w:r>
      <w:r>
        <w:rPr>
          <w:lang w:val="en_US" w:bidi="en_US"/>
        </w:rPr>
        <w:t>we worked hard…trying to catch fish (NCV)</w:t>
      </w:r>
    </w:p>
    <w:p>
      <w:pPr/>
      <w:r>
        <w:rPr>
          <w:lang w:val="en_US" w:bidi="en_US"/>
        </w:rPr>
      </w:r>
      <w:r>
        <w:rPr>
          <w:lang w:val="en_US" w:bidi="en_US"/>
        </w:rPr>
        <w:t>we have labored at our fishing</w:t>
      </w:r>
    </w:p>
    <w:p>
      <w:pPr/>
      <w:r>
        <w:rPr>
          <w:lang w:val="en_US" w:bidi="en_US"/>
        </w:rPr>
      </w:r>
      <w:r>
        <w:rPr>
          <w:lang w:val="en_US" w:bidi="en_US"/>
        </w:rPr>
        <w:t>we fished as well/hard as we could</w:t>
      </w:r>
    </w:p>
    <w:p>
      <w:pPr/>
      <w:r>
        <w:rPr>
          <w:lang w:val="en_US" w:bidi="en_US"/>
        </w:rPr>
      </w:r>
      <w:r>
        <w:rPr>
          <w:b/>
          <w:lang w:val="en_US" w:bidi="en_US"/>
        </w:rPr>
        <w:t>all night:</w:t>
      </w:r>
      <w:r>
        <w:rPr>
          <w:lang w:val="en_US" w:bidi="en_US"/>
        </w:rPr>
        <w:t xml:space="preserve"> The best time to fish in this lake was at night.</w:t>
      </w:r>
      <w:r>
        <w:rPr>
          <w:lang w:val="en_US" w:bidi="en_US"/>
        </w:rPr>
        <w:t xml:space="preserve">Fishing in deep water, such as in Lake Galilee, is unlikely to produce a good catch in the daytime. These nets were typically only used for night fishing. The catch was normally sold in the morning (Marshall, </w:t>
      </w:r>
      <w:r>
        <w:rPr>
          <w:i/>
          <w:lang w:val="en_US" w:bidi="en_US"/>
        </w:rPr>
        <w:t>IVP Bible Background Commentary</w:t>
      </w:r>
      <w:r>
        <w:rPr>
          <w:lang w:val="en_US" w:bidi="en_US"/>
        </w:rPr>
        <w:t>, Green). In John 21:1–6, the disciples were also up all night fishing and at Jesus’ word they had a fabulous catch during the day.</w:t>
      </w:r>
      <w:r>
        <w:rPr>
          <w:lang w:val="en_US" w:bidi="en_US"/>
        </w:rPr>
        <w:t xml:space="preserve"> This conversation was taking place during the day. Simon and his companions had been fishing during the previous night.</w:t>
      </w:r>
    </w:p>
    <w:p>
      <w:pPr/>
      <w:r>
        <w:rPr>
          <w:lang w:val="en_US" w:bidi="en_US"/>
        </w:rPr>
      </w:r>
      <w:r>
        <w:rPr>
          <w:lang w:val="en_US" w:bidi="en_US"/>
        </w:rPr>
        <w:t>If necessary, use a footnote to provide background information. For example, you could say:</w:t>
      </w:r>
    </w:p>
    <w:p>
      <w:pPr/>
      <w:r>
        <w:rPr>
          <w:lang w:val="en_US" w:bidi="en_US"/>
        </w:rPr>
      </w:r>
      <w:r>
        <w:rPr>
          <w:lang w:val="en_US" w:bidi="en_US"/>
        </w:rPr>
        <w:t>Fishermen on Lake Galilee knew from experience that they would catch more fish at night than during the daytime.</w:t>
      </w:r>
    </w:p>
    <w:p>
      <w:pPr>
        <w:pStyle w:val="Heading5"/>
      </w:pPr>
      <w:r>
        <w:rPr>
          <w:lang w:val="en_US" w:bidi="en_US"/>
        </w:rPr>
        <w:t>5:5b</w:t>
      </w:r>
    </w:p>
    <w:p>
      <w:pPr/>
      <w:r>
        <w:rPr>
          <w:lang w:val="en_US" w:bidi="en_US"/>
        </w:rPr>
      </w:r>
      <w:r>
        <w:rPr>
          <w:b/>
          <w:lang w:val="en_US" w:bidi="en_US"/>
        </w:rPr>
        <w:t>without catching anything.</w:t>
      </w:r>
    </w:p>
    <w:p>
      <w:pPr>
        <w:pStyle w:val="ListBullet"/>
        <w:spacing w:line="240" w:lineRule="auto"/>
        <w:ind w:left="720"/>
      </w:pPr>
      <w:r>
        <w:rPr>
          <w:lang w:val="en_US" w:bidi="en_US"/>
        </w:rPr>
      </w:r>
      <w:r>
        <w:rPr>
          <w:lang w:val="en_US" w:bidi="en_US"/>
        </w:rPr>
        <w:t>and we did not catch any fish.</w:t>
      </w:r>
    </w:p>
    <w:p>
      <w:pPr>
        <w:pStyle w:val="ListBullet"/>
        <w:spacing w:line="240" w:lineRule="auto"/>
        <w:ind w:left="720"/>
      </w:pPr>
      <w:r>
        <w:rPr>
          <w:lang w:val="en_US" w:bidi="en_US"/>
        </w:rPr>
      </w:r>
      <w:r>
        <w:rPr>
          <w:lang w:val="en_US" w:bidi="en_US"/>
        </w:rPr>
        <w:t xml:space="preserve">but we did not take/get anything. </w:t>
      </w:r>
      <w:r>
        <w:rPr>
          <w:lang w:val="en_US" w:bidi="en_US"/>
        </w:rPr>
        <w:t>So it is not likely that we will catch anything now.</w:t>
      </w:r>
    </w:p>
    <w:p>
      <w:pPr/>
      <w:r>
        <w:rPr>
          <w:lang w:val="en_US" w:bidi="en_US"/>
        </w:rPr>
      </w:r>
      <w:r>
        <w:rPr>
          <w:b/>
          <w:lang w:val="en_US" w:bidi="en_US"/>
        </w:rPr>
        <w:t>without catching anything:</w:t>
      </w:r>
      <w:r>
        <w:rPr>
          <w:lang w:val="en_US" w:bidi="en_US"/>
        </w:rPr>
        <w:t xml:space="preserve"> The fishermen did not catch anything during the previous night. Therefore they believed that it would be useless to fish during the day. If your readers do not understand this, you may need to make this explicit. For example:</w:t>
      </w:r>
    </w:p>
    <w:p>
      <w:pPr/>
      <w:r>
        <w:rPr>
          <w:lang w:val="en_US" w:bidi="en_US"/>
        </w:rPr>
      </w:r>
      <w:r>
        <w:rPr>
          <w:lang w:val="en_US" w:bidi="en_US"/>
        </w:rPr>
        <w:t xml:space="preserve">We have caught nothing during the night, </w:t>
      </w:r>
      <w:r>
        <w:rPr>
          <w:lang w:val="en_US" w:bidi="en_US"/>
        </w:rPr>
        <w:t>so it is certainly not likely that we will catch anything now</w:t>
      </w:r>
      <w:r>
        <w:rPr>
          <w:lang w:val="en_US" w:bidi="en_US"/>
        </w:rPr>
        <w:t>.</w:t>
      </w:r>
    </w:p>
    <w:p>
      <w:pPr>
        <w:pStyle w:val="Heading5"/>
      </w:pPr>
      <w:r>
        <w:rPr>
          <w:lang w:val="en_US" w:bidi="en_US"/>
        </w:rPr>
        <w:t>5:5c</w:t>
      </w:r>
    </w:p>
    <w:p>
      <w:pPr/>
      <w:r>
        <w:rPr>
          <w:lang w:val="en_US" w:bidi="en_US"/>
        </w:rPr>
      </w:r>
      <w:r>
        <w:rPr>
          <w:b/>
          <w:lang w:val="en_US" w:bidi="en_US"/>
        </w:rPr>
        <w:t>But because You say so, I will let down the nets.”</w:t>
      </w:r>
    </w:p>
    <w:p>
      <w:pPr>
        <w:pStyle w:val="ListBullet"/>
        <w:spacing w:line="240" w:lineRule="auto"/>
        <w:ind w:left="720"/>
      </w:pPr>
      <w:r>
        <w:rPr>
          <w:lang w:val="en_US" w:bidi="en_US"/>
        </w:rPr>
      </w:r>
      <w:r>
        <w:rPr>
          <w:lang w:val="en_US" w:bidi="en_US"/>
        </w:rPr>
        <w:t>But because of your</w:t>
      </w:r>
      <w:r>
        <w:rPr>
          <w:vertAlign w:val="superscript"/>
          <w:lang w:val="en_US" w:bidi="en_US"/>
        </w:rPr>
        <w:t>(sing)</w:t>
      </w:r>
      <w:r>
        <w:rPr>
          <w:lang w:val="en_US" w:bidi="en_US"/>
        </w:rPr>
        <w:t xml:space="preserve"> word/command, I will lower the nets.”</w:t>
      </w:r>
    </w:p>
    <w:p>
      <w:pPr>
        <w:pStyle w:val="ListBullet"/>
        <w:spacing w:line="240" w:lineRule="auto"/>
        <w:ind w:left="720"/>
      </w:pPr>
      <w:r>
        <w:rPr>
          <w:lang w:val="en_US" w:bidi="en_US"/>
        </w:rPr>
      </w:r>
      <w:r>
        <w:rPr>
          <w:lang w:val="en_US" w:bidi="en_US"/>
        </w:rPr>
        <w:t>But you say to put the nets in the water, so I will.” (NCV)</w:t>
      </w:r>
    </w:p>
    <w:p>
      <w:pPr>
        <w:pStyle w:val="ListBullet"/>
        <w:spacing w:line="240" w:lineRule="auto"/>
        <w:ind w:left="720"/>
      </w:pPr>
      <w:r>
        <w:rPr>
          <w:lang w:val="en_US" w:bidi="en_US"/>
        </w:rPr>
      </w:r>
      <w:r>
        <w:rPr>
          <w:lang w:val="en_US" w:bidi="en_US"/>
        </w:rPr>
        <w:t xml:space="preserve">However, we will lower/throw the nets </w:t>
      </w:r>
      <w:r>
        <w:rPr>
          <w:lang w:val="en_US" w:bidi="en_US"/>
        </w:rPr>
        <w:t>into the water</w:t>
      </w:r>
      <w:r>
        <w:rPr>
          <w:lang w:val="en_US" w:bidi="en_US"/>
        </w:rPr>
        <w:t xml:space="preserve"> because you say/command it.”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indicates a contrast with what was implied in 5:5b. Simon did not believe that putting his net into the water one more time would help him to catch anything. But he was willing to try it because Jesus had asked him.</w:t>
      </w:r>
    </w:p>
    <w:p>
      <w:pPr/>
      <w:r>
        <w:rPr>
          <w:lang w:val="en_US" w:bidi="en_US"/>
        </w:rPr>
      </w:r>
      <w:r>
        <w:rPr>
          <w:lang w:val="en_US" w:bidi="en_US"/>
        </w:rPr>
        <w:t>Use a conjunction in your language that naturally introduces a contrast. For example:</w:t>
      </w:r>
    </w:p>
    <w:p>
      <w:pPr/>
      <w:r>
        <w:rPr>
          <w:lang w:val="en_US" w:bidi="en_US"/>
        </w:rPr>
      </w:r>
      <w:r>
        <w:rPr>
          <w:lang w:val="en_US" w:bidi="en_US"/>
        </w:rPr>
        <w:t>nevertheless (KJV)</w:t>
      </w:r>
    </w:p>
    <w:p>
      <w:pPr/>
      <w:r>
        <w:rPr>
          <w:lang w:val="en_US" w:bidi="en_US"/>
        </w:rPr>
      </w:r>
      <w:r>
        <w:rPr>
          <w:lang w:val="en_US" w:bidi="en_US"/>
        </w:rPr>
        <w:t>However</w:t>
      </w:r>
    </w:p>
    <w:p>
      <w:pPr/>
      <w:r>
        <w:rPr>
          <w:lang w:val="en_US" w:bidi="en_US"/>
        </w:rPr>
      </w:r>
      <w:r>
        <w:rPr>
          <w:b/>
          <w:lang w:val="en_US" w:bidi="en_US"/>
        </w:rPr>
        <w:t>because You say so:</w:t>
      </w:r>
      <w:r>
        <w:rPr>
          <w:lang w:val="en_US" w:bidi="en_US"/>
        </w:rPr>
        <w:t xml:space="preserve"> The Greek phrase that the BSB translates as </w:t>
      </w:r>
      <w:r>
        <w:rPr>
          <w:i/>
          <w:lang w:val="en_US" w:bidi="en_US"/>
        </w:rPr>
        <w:t>because You say so</w:t>
      </w:r>
      <w:r>
        <w:rPr>
          <w:lang w:val="en_US" w:bidi="en_US"/>
        </w:rPr>
        <w:t xml:space="preserve"> is literally “at Your word” (as in the RSV).</w:t>
      </w:r>
    </w:p>
    <w:p>
      <w:pPr/>
      <w:r>
        <w:rPr>
          <w:lang w:val="en_US" w:bidi="en_US"/>
        </w:rPr>
      </w:r>
      <w:r>
        <w:rPr>
          <w:lang w:val="en_US" w:bidi="en_US"/>
        </w:rPr>
        <w:t>Some other ways to say this are:</w:t>
      </w:r>
    </w:p>
    <w:p>
      <w:pPr/>
      <w:r>
        <w:rPr>
          <w:lang w:val="en_US" w:bidi="en_US"/>
        </w:rPr>
      </w:r>
      <w:r>
        <w:rPr>
          <w:lang w:val="en_US" w:bidi="en_US"/>
        </w:rPr>
        <w:t>I will do as You say (NASB)</w:t>
      </w:r>
    </w:p>
    <w:p>
      <w:pPr/>
      <w:r>
        <w:rPr>
          <w:lang w:val="en_US" w:bidi="en_US"/>
        </w:rPr>
      </w:r>
      <w:r>
        <w:rPr>
          <w:lang w:val="en_US" w:bidi="en_US"/>
        </w:rPr>
        <w:t>because you say/command it</w:t>
      </w:r>
    </w:p>
    <w:p>
      <w:pPr/>
      <w:r>
        <w:rPr>
          <w:lang w:val="en_US" w:bidi="en_US"/>
        </w:rPr>
      </w:r>
      <w:r>
        <w:rPr>
          <w:b/>
          <w:lang w:val="en_US" w:bidi="en_US"/>
        </w:rPr>
        <w:t>I will let down the nets:</w:t>
      </w:r>
      <w:r>
        <w:rPr>
          <w:lang w:val="en_US" w:bidi="en_US"/>
        </w:rPr>
        <w:t xml:space="preserve"> Simon Peter was in charge of the boat. But he did not let down the nets all by himself. So it may be necessary to translate this as:</w:t>
      </w:r>
    </w:p>
    <w:p>
      <w:pPr/>
      <w:r>
        <w:rPr>
          <w:lang w:val="en_US" w:bidi="en_US"/>
        </w:rPr>
      </w:r>
      <w:r>
        <w:rPr>
          <w:lang w:val="en_US" w:bidi="en_US"/>
        </w:rPr>
        <w:t>I will cause the nets to be let down.</w:t>
      </w:r>
    </w:p>
    <w:p>
      <w:pPr/>
      <w:r>
        <w:rPr>
          <w:lang w:val="en_US" w:bidi="en_US"/>
        </w:rPr>
      </w:r>
      <w:r>
        <w:rPr>
          <w:lang w:val="en_US" w:bidi="en_US"/>
        </w:rPr>
        <w:t>I will have the men let down the nets</w:t>
      </w:r>
    </w:p>
    <w:p>
      <w:pPr/>
      <w:r>
        <w:rPr>
          <w:lang w:val="en_US" w:bidi="en_US"/>
        </w:rPr>
      </w:r>
      <w:r>
        <w:rPr>
          <w:lang w:val="en_US" w:bidi="en_US"/>
        </w:rPr>
        <w:t>We</w:t>
      </w:r>
      <w:r>
        <w:rPr>
          <w:vertAlign w:val="superscript"/>
          <w:lang w:val="en_US" w:bidi="en_US"/>
        </w:rPr>
        <w:t>(excl)</w:t>
      </w:r>
      <w:r>
        <w:rPr>
          <w:lang w:val="en_US" w:bidi="en_US"/>
        </w:rPr>
        <w:t xml:space="preserve"> will throw/cast the nets into the water</w:t>
      </w:r>
    </w:p>
    <w:p>
      <w:pPr/>
      <w:r>
        <w:rPr>
          <w:lang w:val="en_US" w:bidi="en_US"/>
        </w:rPr>
      </w:r>
      <w:r>
        <w:rPr>
          <w:lang w:val="en_US" w:bidi="en_US"/>
        </w:rPr>
        <w:t>The text implies here that Simon Peter would first move the boat into deeper water. If your readers think that Simon Peter would let down the nets where he was, you may make this explicit. For example:</w:t>
      </w:r>
    </w:p>
    <w:p>
      <w:pPr/>
      <w:r>
        <w:rPr>
          <w:lang w:val="en_US" w:bidi="en_US"/>
        </w:rPr>
      </w:r>
      <w:r>
        <w:rPr>
          <w:lang w:val="en_US" w:bidi="en_US"/>
        </w:rPr>
        <w:t xml:space="preserve">because you say so, I will </w:t>
      </w:r>
      <w:r>
        <w:rPr>
          <w:lang w:val="en_US" w:bidi="en_US"/>
        </w:rPr>
        <w:t>move the boat out into deeper water</w:t>
      </w:r>
      <w:r>
        <w:rPr>
          <w:lang w:val="en_US" w:bidi="en_US"/>
        </w:rPr>
        <w:t xml:space="preserve"> and let down the nets</w:t>
      </w:r>
    </w:p>
    <w:p>
      <w:pPr>
        <w:pStyle w:val="Heading6"/>
      </w:pPr>
      <w:r>
        <w:rPr>
          <w:b/>
          <w:lang w:val="en_US" w:bidi="en_US"/>
        </w:rPr>
        <w:t>General Comment on 5:5c</w:t>
      </w:r>
    </w:p>
    <w:p>
      <w:pPr/>
      <w:r>
        <w:rPr>
          <w:lang w:val="en_US" w:bidi="en_US"/>
        </w:rPr>
      </w:r>
      <w:r>
        <w:rPr>
          <w:lang w:val="en_US" w:bidi="en_US"/>
        </w:rPr>
        <w:t>In some languages, it may be more natural to change the order of the two clauses in 5:5c. For example:</w:t>
      </w:r>
    </w:p>
    <w:p>
      <w:pPr/>
      <w:r>
        <w:rPr>
          <w:lang w:val="en_US" w:bidi="en_US"/>
        </w:rPr>
      </w:r>
      <w:r>
        <w:rPr>
          <w:lang w:val="en_US" w:bidi="en_US"/>
        </w:rPr>
        <w:t>But I will let down the nets because you say so.</w:t>
      </w:r>
    </w:p>
    <w:p>
      <w:pPr/>
      <w:r>
        <w:rPr>
          <w:lang w:val="en_US" w:bidi="en_US"/>
        </w:rPr>
      </w:r>
      <w:r>
        <w:rPr>
          <w:lang w:val="en_US" w:bidi="en_US"/>
        </w:rPr>
        <w:t>In other languages, it may be necessary to use a different conjunction. For example:</w:t>
      </w:r>
    </w:p>
    <w:p>
      <w:pPr/>
      <w:r>
        <w:rPr>
          <w:lang w:val="en_US" w:bidi="en_US"/>
        </w:rPr>
      </w:r>
      <w:r>
        <w:rPr>
          <w:lang w:val="en_US" w:bidi="en_US"/>
        </w:rPr>
        <w:t xml:space="preserve">You said to lower the nets, </w:t>
      </w:r>
      <w:r>
        <w:rPr>
          <w:u w:val="single"/>
          <w:lang w:val="en_US" w:bidi="en_US"/>
        </w:rPr>
        <w:t>so</w:t>
      </w:r>
      <w:r>
        <w:rPr>
          <w:lang w:val="en_US" w:bidi="en_US"/>
        </w:rPr>
        <w:t xml:space="preserve"> I will.</w:t>
      </w:r>
      <w:r>
        <w:rPr>
          <w:lang w:val="en_US" w:bidi="en_US"/>
        </w:rPr>
      </w:r>
      <w:r>
        <w:rPr>
          <w:lang w:val="en_US" w:bidi="en_US"/>
        </w:rPr>
      </w:r>
    </w:p>
    <w:p>
      <w:pPr/>
      <w:r>
        <w:rPr>
          <w:lang w:val="en_US" w:bidi="en_US"/>
        </w:rPr>
      </w:r>
    </w:p>
    <w:p>
      <w:pPr>
        <w:pStyle w:val="Heading2"/>
      </w:pPr>
      <w:r>
        <w:rPr>
          <w:lang w:val="en_US" w:bidi="en_US"/>
        </w:rPr>
        <w:t>Luke 5:6</w:t>
      </w:r>
      <w:r>
        <w:rPr>
          <w:lang w:val="en_US" w:bidi="en_US"/>
        </w:rPr>
      </w:r>
    </w:p>
    <w:p>
      <w:pPr>
        <w:pStyle w:val="Heading4"/>
      </w:pPr>
      <w:r>
        <w:rPr>
          <w:lang w:val="en_US" w:bidi="en_US"/>
        </w:rPr>
        <w:t>Section 5:1–11: Simon and some other fishermen became disciples of Jesus</w:t>
      </w:r>
    </w:p>
    <w:p>
      <w:pPr/>
      <w:r>
        <w:rPr>
          <w:lang w:val="en_US" w:bidi="en_US"/>
        </w:rPr>
      </w:r>
      <w:r>
        <w:rPr>
          <w:lang w:val="en_US" w:bidi="en_US"/>
        </w:rPr>
        <w:t>In this section, Simon Peter and some of his fishing companions heard Jesus teach. They saw his power revealed through a miraculous catch of fish. As a result, they left their fishing work and began following Jesus as his disciples.</w:t>
      </w:r>
    </w:p>
    <w:p>
      <w:pPr/>
      <w:r>
        <w:rPr>
          <w:lang w:val="en_US" w:bidi="en_US"/>
        </w:rPr>
      </w:r>
      <w:r>
        <w:rPr>
          <w:lang w:val="en_US" w:bidi="en_US"/>
        </w:rPr>
        <w:t>Some other possible headings for this section are:</w:t>
      </w:r>
    </w:p>
    <w:p>
      <w:pPr/>
      <w:r>
        <w:rPr>
          <w:lang w:val="en_US" w:bidi="en_US"/>
        </w:rPr>
      </w:r>
      <w:r>
        <w:rPr>
          <w:lang w:val="en_US" w:bidi="en_US"/>
        </w:rPr>
        <w:t>Jesus called Simon and other fishermen to become his disciples</w:t>
      </w:r>
    </w:p>
    <w:p>
      <w:pPr/>
      <w:r>
        <w:rPr>
          <w:lang w:val="en_US" w:bidi="en_US"/>
        </w:rPr>
      </w:r>
      <w:r>
        <w:rPr>
          <w:lang w:val="en_US" w:bidi="en_US"/>
        </w:rPr>
        <w:t>Jesus’ first disciples</w:t>
      </w:r>
    </w:p>
    <w:p>
      <w:pPr/>
      <w:r>
        <w:rPr>
          <w:lang w:val="en_US" w:bidi="en_US"/>
        </w:rPr>
      </w:r>
      <w:r>
        <w:rPr>
          <w:lang w:val="en_US" w:bidi="en_US"/>
        </w:rPr>
        <w:t>There are parallel passages for this section in Matthew 4:18–22 and Mark 1:16–20.</w:t>
      </w:r>
    </w:p>
    <w:p>
      <w:pPr>
        <w:pStyle w:val="Heading5"/>
      </w:pPr>
      <w:r>
        <w:rPr>
          <w:lang w:val="en_US" w:bidi="en_US"/>
        </w:rPr>
        <w:t>5:6a</w:t>
      </w:r>
    </w:p>
    <w:p>
      <w:pPr/>
      <w:r>
        <w:rPr>
          <w:lang w:val="en_US" w:bidi="en_US"/>
        </w:rPr>
      </w:r>
      <w:r>
        <w:rPr>
          <w:b/>
          <w:lang w:val="en_US" w:bidi="en_US"/>
        </w:rPr>
        <w:t>When they had done so,</w:t>
      </w:r>
    </w:p>
    <w:p>
      <w:pPr>
        <w:pStyle w:val="ListBullet"/>
        <w:spacing w:line="240" w:lineRule="auto"/>
        <w:ind w:left="720"/>
      </w:pPr>
      <w:r>
        <w:rPr>
          <w:lang w:val="en_US" w:bidi="en_US"/>
        </w:rPr>
      </w:r>
      <w:r>
        <w:rPr>
          <w:lang w:val="en_US" w:bidi="en_US"/>
        </w:rPr>
        <w:t>They did this,</w:t>
      </w:r>
    </w:p>
    <w:p>
      <w:pPr>
        <w:pStyle w:val="ListBullet"/>
        <w:spacing w:line="240" w:lineRule="auto"/>
        <w:ind w:left="720"/>
      </w:pPr>
      <w:r>
        <w:rPr>
          <w:lang w:val="en_US" w:bidi="en_US"/>
        </w:rPr>
      </w:r>
      <w:r>
        <w:rPr>
          <w:lang w:val="en_US" w:bidi="en_US"/>
        </w:rPr>
        <w:t xml:space="preserve">When the men lowered/threw the nets </w:t>
      </w:r>
      <w:r>
        <w:rPr>
          <w:lang w:val="en_US" w:bidi="en_US"/>
        </w:rPr>
        <w:t>into the water</w:t>
      </w:r>
      <w:r>
        <w:rPr>
          <w:lang w:val="en_US" w:bidi="en_US"/>
        </w:rPr>
        <w:t>,</w:t>
      </w:r>
    </w:p>
    <w:p>
      <w:pPr/>
      <w:r>
        <w:rPr>
          <w:lang w:val="en_US" w:bidi="en_US"/>
        </w:rPr>
      </w:r>
      <w:r>
        <w:rPr>
          <w:b/>
          <w:lang w:val="en_US" w:bidi="en_US"/>
        </w:rPr>
        <w:t>When they had done so:</w:t>
      </w:r>
      <w:r>
        <w:rPr>
          <w:lang w:val="en_US" w:bidi="en_US"/>
        </w:rPr>
        <w:t xml:space="preserve"> The clause </w:t>
      </w:r>
      <w:r>
        <w:rPr>
          <w:i/>
          <w:lang w:val="en_US" w:bidi="en_US"/>
        </w:rPr>
        <w:t>When they had done so</w:t>
      </w:r>
      <w:r>
        <w:rPr>
          <w:lang w:val="en_US" w:bidi="en_US"/>
        </w:rPr>
        <w:t xml:space="preserve"> means “Once the fishermen had lowered/cast their nets into the water.” It connects Jesus’ command with what happened next. Some other ways to translate this are:</w:t>
      </w:r>
    </w:p>
    <w:p>
      <w:pPr/>
      <w:r>
        <w:rPr>
          <w:lang w:val="en_US" w:bidi="en_US"/>
        </w:rPr>
      </w:r>
      <w:r>
        <w:rPr>
          <w:lang w:val="en_US" w:bidi="en_US"/>
        </w:rPr>
        <w:t>When the fishermen did as Jesus told them (NCV)</w:t>
      </w:r>
    </w:p>
    <w:p>
      <w:pPr/>
      <w:r>
        <w:rPr>
          <w:lang w:val="en_US" w:bidi="en_US"/>
        </w:rPr>
      </w:r>
      <w:r>
        <w:rPr>
          <w:lang w:val="en_US" w:bidi="en_US"/>
        </w:rPr>
        <w:t>They let them down (GNT)</w:t>
      </w:r>
    </w:p>
    <w:p>
      <w:pPr>
        <w:pStyle w:val="Heading5"/>
      </w:pPr>
      <w:r>
        <w:rPr>
          <w:lang w:val="en_US" w:bidi="en_US"/>
        </w:rPr>
        <w:t>5:6b</w:t>
      </w:r>
    </w:p>
    <w:p>
      <w:pPr/>
      <w:r>
        <w:rPr>
          <w:lang w:val="en_US" w:bidi="en_US"/>
        </w:rPr>
      </w:r>
      <w:r>
        <w:rPr>
          <w:b/>
          <w:lang w:val="en_US" w:bidi="en_US"/>
        </w:rPr>
        <w:t>they caught such a large number of fish that their nets began to tear.</w:t>
      </w:r>
    </w:p>
    <w:p>
      <w:pPr>
        <w:pStyle w:val="ListBullet"/>
        <w:spacing w:line="240" w:lineRule="auto"/>
        <w:ind w:left="720"/>
      </w:pPr>
      <w:r>
        <w:rPr>
          <w:lang w:val="en_US" w:bidi="en_US"/>
        </w:rPr>
      </w:r>
      <w:r>
        <w:rPr>
          <w:lang w:val="en_US" w:bidi="en_US"/>
        </w:rPr>
        <w:t>and they caught so many fish that their nets were breaking.</w:t>
      </w:r>
    </w:p>
    <w:p>
      <w:pPr>
        <w:pStyle w:val="ListBullet"/>
        <w:spacing w:line="240" w:lineRule="auto"/>
        <w:ind w:left="720"/>
      </w:pPr>
      <w:r>
        <w:rPr>
          <w:lang w:val="en_US" w:bidi="en_US"/>
        </w:rPr>
      </w:r>
      <w:r>
        <w:rPr>
          <w:lang w:val="en_US" w:bidi="en_US"/>
        </w:rPr>
        <w:t>they caught so many fish with their nets that the nets began to tear.</w:t>
      </w:r>
    </w:p>
    <w:p>
      <w:pPr>
        <w:pStyle w:val="ListBullet"/>
        <w:spacing w:line="240" w:lineRule="auto"/>
        <w:ind w:left="720"/>
      </w:pPr>
      <w:r>
        <w:rPr>
          <w:lang w:val="en_US" w:bidi="en_US"/>
        </w:rPr>
      </w:r>
      <w:r>
        <w:rPr>
          <w:lang w:val="en_US" w:bidi="en_US"/>
        </w:rPr>
        <w:t xml:space="preserve">the </w:t>
      </w:r>
      <w:r>
        <w:rPr>
          <w:lang w:val="en_US" w:bidi="en_US"/>
        </w:rPr>
        <w:t>nets</w:t>
      </w:r>
      <w:r>
        <w:rPr>
          <w:lang w:val="en_US" w:bidi="en_US"/>
        </w:rPr>
        <w:t xml:space="preserve"> trapped such a large group of fish that they started to tear apart.</w:t>
      </w:r>
    </w:p>
    <w:p>
      <w:pPr/>
      <w:r>
        <w:rPr>
          <w:lang w:val="en_US" w:bidi="en_US"/>
        </w:rPr>
      </w:r>
      <w:r>
        <w:rPr>
          <w:b/>
          <w:lang w:val="en_US" w:bidi="en_US"/>
        </w:rPr>
        <w:t>they caught such a large number of fish:</w:t>
      </w:r>
      <w:r>
        <w:rPr>
          <w:lang w:val="en_US" w:bidi="en_US"/>
        </w:rPr>
        <w:t xml:space="preserve"> The pronoun </w:t>
      </w:r>
      <w:r>
        <w:rPr>
          <w:i/>
          <w:lang w:val="en_US" w:bidi="en_US"/>
        </w:rPr>
        <w:t>they</w:t>
      </w:r>
      <w:r>
        <w:rPr>
          <w:lang w:val="en_US" w:bidi="en_US"/>
        </w:rPr>
        <w:t xml:space="preserve"> refers to the fishermen.</w:t>
      </w:r>
    </w:p>
    <w:p>
      <w:pPr/>
      <w:r>
        <w:rPr>
          <w:lang w:val="en_US" w:bidi="en_US"/>
        </w:rPr>
      </w:r>
      <w:r>
        <w:rPr>
          <w:lang w:val="en_US" w:bidi="en_US"/>
        </w:rPr>
        <w:t>In some languages it may be more natural to make the nets the subject. For example:</w:t>
      </w:r>
    </w:p>
    <w:p>
      <w:pPr/>
      <w:r>
        <w:rPr>
          <w:lang w:val="en_US" w:bidi="en_US"/>
        </w:rPr>
      </w:r>
      <w:r>
        <w:rPr>
          <w:lang w:val="en_US" w:bidi="en_US"/>
        </w:rPr>
        <w:t xml:space="preserve">their </w:t>
      </w:r>
      <w:r>
        <w:rPr>
          <w:lang w:val="en_US" w:bidi="en_US"/>
        </w:rPr>
        <w:t>nets</w:t>
      </w:r>
      <w:r>
        <w:rPr>
          <w:lang w:val="en_US" w:bidi="en_US"/>
        </w:rPr>
        <w:t xml:space="preserve"> trapped such a large number of fish</w:t>
      </w:r>
    </w:p>
    <w:p>
      <w:pPr/>
      <w:r>
        <w:rPr>
          <w:lang w:val="en_US" w:bidi="en_US"/>
        </w:rPr>
      </w:r>
      <w:r>
        <w:rPr>
          <w:lang w:val="en_US" w:bidi="en_US"/>
        </w:rPr>
        <w:t>their nets were so full of fish (NLT)</w:t>
      </w:r>
    </w:p>
    <w:p>
      <w:pPr/>
      <w:r>
        <w:rPr>
          <w:lang w:val="en_US" w:bidi="en_US"/>
        </w:rPr>
      </w:r>
      <w:r>
        <w:rPr>
          <w:b/>
          <w:lang w:val="en_US" w:bidi="en_US"/>
        </w:rPr>
        <w:t>caught:</w:t>
      </w:r>
      <w:r>
        <w:rPr>
          <w:lang w:val="en_US" w:bidi="en_US"/>
        </w:rPr>
        <w:t xml:space="preserve"> The Greek word that the BSB translates as </w:t>
      </w:r>
      <w:r>
        <w:rPr>
          <w:i/>
          <w:lang w:val="en_US" w:bidi="en_US"/>
        </w:rPr>
        <w:t>caught</w:t>
      </w:r>
      <w:r>
        <w:rPr>
          <w:lang w:val="en_US" w:bidi="en_US"/>
        </w:rPr>
        <w:t xml:space="preserve"> has the basic meaning “to enclose.” Different languages have different expressions for “catching” fish. See 5:4c for some examples.</w:t>
      </w:r>
    </w:p>
    <w:p>
      <w:pPr/>
      <w:r>
        <w:rPr>
          <w:lang w:val="en_US" w:bidi="en_US"/>
        </w:rPr>
      </w:r>
      <w:r>
        <w:rPr>
          <w:b/>
          <w:lang w:val="en_US" w:bidi="en_US"/>
        </w:rPr>
        <w:t>a large number of fish:</w:t>
      </w:r>
      <w:r>
        <w:rPr>
          <w:lang w:val="en_US" w:bidi="en_US"/>
        </w:rPr>
        <w:t xml:space="preserve"> The Greek word that the BSB translates as </w:t>
      </w:r>
      <w:r>
        <w:rPr>
          <w:i/>
          <w:lang w:val="en_US" w:bidi="en_US"/>
        </w:rPr>
        <w:t>a large number of</w:t>
      </w:r>
      <w:r>
        <w:rPr>
          <w:lang w:val="en_US" w:bidi="en_US"/>
        </w:rPr>
        <w:t xml:space="preserve"> is the same word that is often used to describe a large crowd of people. It describes a large number of something.</w:t>
      </w:r>
    </w:p>
    <w:p>
      <w:pPr/>
      <w:r>
        <w:rPr>
          <w:lang w:val="en_US" w:bidi="en_US"/>
        </w:rPr>
      </w:r>
      <w:r>
        <w:rPr>
          <w:lang w:val="en_US" w:bidi="en_US"/>
        </w:rPr>
        <w:t>If your language has a specific word for a large group of fish, use it here. For example:</w:t>
      </w:r>
    </w:p>
    <w:p>
      <w:pPr/>
      <w:r>
        <w:rPr>
          <w:lang w:val="en_US" w:bidi="en_US"/>
        </w:rPr>
      </w:r>
      <w:r>
        <w:rPr>
          <w:lang w:val="en_US" w:bidi="en_US"/>
        </w:rPr>
        <w:t>a great shoal of fish (RSV)</w:t>
      </w:r>
    </w:p>
    <w:p>
      <w:pPr/>
      <w:r>
        <w:rPr>
          <w:lang w:val="en_US" w:bidi="en_US"/>
        </w:rPr>
      </w:r>
      <w:r>
        <w:rPr>
          <w:lang w:val="en_US" w:bidi="en_US"/>
        </w:rPr>
        <w:t>(The word “shoal” is a specific English term that is used only for a group of fish.)</w:t>
      </w:r>
    </w:p>
    <w:p>
      <w:pPr/>
      <w:r>
        <w:rPr>
          <w:lang w:val="en_US" w:bidi="en_US"/>
        </w:rPr>
      </w:r>
      <w:r>
        <w:rPr>
          <w:b/>
          <w:lang w:val="en_US" w:bidi="en_US"/>
        </w:rPr>
        <w:t>their nets began to tear:</w:t>
      </w:r>
      <w:r>
        <w:rPr>
          <w:lang w:val="en_US" w:bidi="en_US"/>
        </w:rPr>
        <w:t xml:space="preserve"> The Greek verb that the BSB translates as </w:t>
      </w:r>
      <w:r>
        <w:rPr>
          <w:i/>
          <w:lang w:val="en_US" w:bidi="en_US"/>
        </w:rPr>
        <w:t>tear</w:t>
      </w:r>
      <w:r>
        <w:rPr>
          <w:lang w:val="en_US" w:bidi="en_US"/>
        </w:rPr>
        <w:t xml:space="preserve"> also means “break.” For example:</w:t>
      </w:r>
    </w:p>
    <w:p>
      <w:pPr/>
      <w:r>
        <w:rPr>
          <w:lang w:val="en_US" w:bidi="en_US"/>
        </w:rPr>
      </w:r>
      <w:r>
        <w:rPr>
          <w:lang w:val="en_US" w:bidi="en_US"/>
        </w:rPr>
        <w:t>their nets began to break (NIV)</w:t>
      </w:r>
    </w:p>
    <w:p>
      <w:pPr/>
      <w:r>
        <w:rPr>
          <w:lang w:val="en_US" w:bidi="en_US"/>
        </w:rPr>
      </w:r>
      <w:r>
        <w:rPr>
          <w:lang w:val="en_US" w:bidi="en_US"/>
        </w:rPr>
        <w:t>Use a term in your language that refers to nets breaking or tearing.</w:t>
      </w:r>
      <w:r>
        <w:rPr>
          <w:lang w:val="en_US" w:bidi="en_US"/>
        </w:rPr>
      </w:r>
      <w:r>
        <w:rPr>
          <w:lang w:val="en_US" w:bidi="en_US"/>
        </w:rPr>
      </w:r>
    </w:p>
    <w:p>
      <w:pPr/>
      <w:r>
        <w:rPr>
          <w:lang w:val="en_US" w:bidi="en_US"/>
        </w:rPr>
      </w:r>
    </w:p>
    <w:p>
      <w:pPr>
        <w:pStyle w:val="Heading2"/>
      </w:pPr>
      <w:r>
        <w:rPr>
          <w:lang w:val="en_US" w:bidi="en_US"/>
        </w:rPr>
        <w:t>Luke 5:7</w:t>
      </w:r>
      <w:r>
        <w:rPr>
          <w:lang w:val="en_US" w:bidi="en_US"/>
        </w:rPr>
      </w:r>
    </w:p>
    <w:p>
      <w:pPr>
        <w:pStyle w:val="Heading4"/>
      </w:pPr>
      <w:r>
        <w:rPr>
          <w:lang w:val="en_US" w:bidi="en_US"/>
        </w:rPr>
        <w:t>Section 5:1–11: Simon and some other fishermen became disciples of Jesus</w:t>
      </w:r>
    </w:p>
    <w:p>
      <w:pPr/>
      <w:r>
        <w:rPr>
          <w:lang w:val="en_US" w:bidi="en_US"/>
        </w:rPr>
      </w:r>
      <w:r>
        <w:rPr>
          <w:lang w:val="en_US" w:bidi="en_US"/>
        </w:rPr>
        <w:t>In this section, Simon Peter and some of his fishing companions heard Jesus teach. They saw his power revealed through a miraculous catch of fish. As a result, they left their fishing work and began following Jesus as his disciples.</w:t>
      </w:r>
    </w:p>
    <w:p>
      <w:pPr/>
      <w:r>
        <w:rPr>
          <w:lang w:val="en_US" w:bidi="en_US"/>
        </w:rPr>
      </w:r>
      <w:r>
        <w:rPr>
          <w:lang w:val="en_US" w:bidi="en_US"/>
        </w:rPr>
        <w:t>Some other possible headings for this section are:</w:t>
      </w:r>
    </w:p>
    <w:p>
      <w:pPr/>
      <w:r>
        <w:rPr>
          <w:lang w:val="en_US" w:bidi="en_US"/>
        </w:rPr>
      </w:r>
      <w:r>
        <w:rPr>
          <w:lang w:val="en_US" w:bidi="en_US"/>
        </w:rPr>
        <w:t>Jesus called Simon and other fishermen to become his disciples</w:t>
      </w:r>
    </w:p>
    <w:p>
      <w:pPr/>
      <w:r>
        <w:rPr>
          <w:lang w:val="en_US" w:bidi="en_US"/>
        </w:rPr>
      </w:r>
      <w:r>
        <w:rPr>
          <w:lang w:val="en_US" w:bidi="en_US"/>
        </w:rPr>
        <w:t>Jesus’ first disciples</w:t>
      </w:r>
    </w:p>
    <w:p>
      <w:pPr/>
      <w:r>
        <w:rPr>
          <w:lang w:val="en_US" w:bidi="en_US"/>
        </w:rPr>
      </w:r>
      <w:r>
        <w:rPr>
          <w:lang w:val="en_US" w:bidi="en_US"/>
        </w:rPr>
        <w:t>There are parallel passages for this section in Matthew 4:18–22 and Mark 1:16–20.</w:t>
      </w:r>
    </w:p>
    <w:p>
      <w:pPr>
        <w:pStyle w:val="Heading5"/>
      </w:pPr>
      <w:r>
        <w:rPr>
          <w:lang w:val="en_US" w:bidi="en_US"/>
        </w:rPr>
        <w:t>5:7a</w:t>
      </w:r>
    </w:p>
    <w:p>
      <w:pPr/>
      <w:r>
        <w:rPr>
          <w:lang w:val="en_US" w:bidi="en_US"/>
        </w:rPr>
      </w:r>
      <w:r>
        <w:rPr>
          <w:b/>
          <w:lang w:val="en_US" w:bidi="en_US"/>
        </w:rPr>
        <w:t>So they signaled to their partners in the other boat to come and help them,</w:t>
      </w:r>
    </w:p>
    <w:p>
      <w:pPr>
        <w:pStyle w:val="ListBullet"/>
        <w:spacing w:line="240" w:lineRule="auto"/>
        <w:ind w:left="720"/>
      </w:pPr>
      <w:r>
        <w:rPr>
          <w:lang w:val="en_US" w:bidi="en_US"/>
        </w:rPr>
      </w:r>
      <w:r>
        <w:rPr>
          <w:lang w:val="en_US" w:bidi="en_US"/>
        </w:rPr>
        <w:t>So they motioned to their fellow fishermen in the other boat to come and help them.</w:t>
      </w:r>
    </w:p>
    <w:p>
      <w:pPr>
        <w:pStyle w:val="ListBullet"/>
        <w:spacing w:line="240" w:lineRule="auto"/>
        <w:ind w:left="720"/>
      </w:pPr>
      <w:r>
        <w:rPr>
          <w:lang w:val="en_US" w:bidi="en_US"/>
        </w:rPr>
      </w:r>
      <w:r>
        <w:rPr>
          <w:lang w:val="en_US" w:bidi="en_US"/>
        </w:rPr>
        <w:t>Then the men waved to their companions in the other fishing boat to come help them.</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introduces what the fishermen did next. Because 5:7a describes the result of the miracle that had just happened, some English versions, including the BSB, translate this Greek word as “so.” Because this is also what happened next, other versions, such as the CEV, translate this word as “Then.” Other versions do not translate this word. Connect 5:7a to 5:6 in a way that is natural in your language.</w:t>
      </w:r>
    </w:p>
    <w:p>
      <w:pPr/>
      <w:r>
        <w:rPr>
          <w:lang w:val="en_US" w:bidi="en_US"/>
        </w:rPr>
      </w:r>
      <w:r>
        <w:rPr>
          <w:b/>
          <w:lang w:val="en_US" w:bidi="en_US"/>
        </w:rPr>
        <w:t>they signaled:</w:t>
      </w:r>
      <w:r>
        <w:rPr>
          <w:lang w:val="en_US" w:bidi="en_US"/>
        </w:rPr>
        <w:t xml:space="preserve"> The words </w:t>
      </w:r>
      <w:r>
        <w:rPr>
          <w:i/>
          <w:lang w:val="en_US" w:bidi="en_US"/>
        </w:rPr>
        <w:t>they signaled</w:t>
      </w:r>
      <w:r>
        <w:rPr>
          <w:lang w:val="en_US" w:bidi="en_US"/>
        </w:rPr>
        <w:t xml:space="preserve"> means that Simon and the men in the boat with him motioned to men who were in another boat. They probably motioned by waving their arms for those in the other boat to come and help them. The fishermen in the other boat were probably too far away to hear their shouting.</w:t>
      </w:r>
    </w:p>
    <w:p>
      <w:pPr/>
      <w:r>
        <w:rPr>
          <w:lang w:val="en_US" w:bidi="en_US"/>
        </w:rPr>
      </w:r>
      <w:r>
        <w:rPr>
          <w:lang w:val="en_US" w:bidi="en_US"/>
        </w:rPr>
        <w:t>Some other ways to translate this are:</w:t>
      </w:r>
    </w:p>
    <w:p>
      <w:pPr/>
      <w:r>
        <w:rPr>
          <w:lang w:val="en_US" w:bidi="en_US"/>
        </w:rPr>
      </w:r>
      <w:r>
        <w:rPr>
          <w:lang w:val="en_US" w:bidi="en_US"/>
        </w:rPr>
        <w:t>they motioned with their arms</w:t>
      </w:r>
    </w:p>
    <w:p>
      <w:pPr/>
      <w:r>
        <w:rPr>
          <w:lang w:val="en_US" w:bidi="en_US"/>
        </w:rPr>
      </w:r>
      <w:r>
        <w:rPr>
          <w:lang w:val="en_US" w:bidi="en_US"/>
        </w:rPr>
        <w:t>they waved their arms/hands</w:t>
      </w:r>
    </w:p>
    <w:p>
      <w:pPr/>
      <w:r>
        <w:rPr>
          <w:lang w:val="en_US" w:bidi="en_US"/>
        </w:rPr>
      </w:r>
      <w:r>
        <w:rPr>
          <w:lang w:val="en_US" w:bidi="en_US"/>
        </w:rPr>
        <w:t>they called by waving their arms</w:t>
      </w:r>
    </w:p>
    <w:p>
      <w:pPr/>
      <w:r>
        <w:rPr>
          <w:lang w:val="en_US" w:bidi="en_US"/>
        </w:rPr>
      </w:r>
      <w:r>
        <w:rPr>
          <w:b/>
          <w:lang w:val="en_US" w:bidi="en_US"/>
        </w:rPr>
        <w:t>partners:</w:t>
      </w:r>
      <w:r>
        <w:rPr>
          <w:lang w:val="en_US" w:bidi="en_US"/>
        </w:rPr>
        <w:t xml:space="preserve"> The word </w:t>
      </w:r>
      <w:r>
        <w:rPr>
          <w:i/>
          <w:lang w:val="en_US" w:bidi="en_US"/>
        </w:rPr>
        <w:t>partners</w:t>
      </w:r>
      <w:r>
        <w:rPr>
          <w:lang w:val="en_US" w:bidi="en_US"/>
        </w:rPr>
        <w:t xml:space="preserve"> here refers to James and John. They were in the other boat, and they were Simon’s companions and fellow fishermen. These men may have been Simon’s business partners, or they may have been merely friends with the same job.</w:t>
      </w:r>
    </w:p>
    <w:p>
      <w:pPr/>
      <w:r>
        <w:rPr>
          <w:lang w:val="en_US" w:bidi="en_US"/>
        </w:rPr>
      </w:r>
      <w:r>
        <w:rPr>
          <w:lang w:val="en_US" w:bidi="en_US"/>
        </w:rPr>
        <w:t>Some other ways to translate this word are:</w:t>
      </w:r>
    </w:p>
    <w:p>
      <w:pPr/>
      <w:r>
        <w:rPr>
          <w:lang w:val="en_US" w:bidi="en_US"/>
        </w:rPr>
      </w:r>
      <w:r>
        <w:rPr>
          <w:lang w:val="en_US" w:bidi="en_US"/>
        </w:rPr>
        <w:t>fellow fisherman</w:t>
      </w:r>
    </w:p>
    <w:p>
      <w:pPr/>
      <w:r>
        <w:rPr>
          <w:lang w:val="en_US" w:bidi="en_US"/>
        </w:rPr>
      </w:r>
      <w:r>
        <w:rPr>
          <w:lang w:val="en_US" w:bidi="en_US"/>
        </w:rPr>
        <w:t>companions</w:t>
      </w:r>
    </w:p>
    <w:p>
      <w:pPr>
        <w:pStyle w:val="Heading5"/>
      </w:pPr>
      <w:r>
        <w:rPr>
          <w:lang w:val="en_US" w:bidi="en_US"/>
        </w:rPr>
        <w:t>5:7b–c</w:t>
      </w:r>
    </w:p>
    <w:p>
      <w:pPr/>
      <w:r>
        <w:rPr>
          <w:lang w:val="en_US" w:bidi="en_US"/>
        </w:rPr>
      </w:r>
      <w:r>
        <w:rPr>
          <w:b/>
          <w:lang w:val="en_US" w:bidi="en_US"/>
        </w:rPr>
        <w:t>they came and filled both boats so full that they began to sink:</w:t>
      </w:r>
      <w:r>
        <w:rPr>
          <w:lang w:val="en_US" w:bidi="en_US"/>
        </w:rPr>
        <w:t xml:space="preserve"> The Greek clause that the BSB translates as </w:t>
      </w:r>
      <w:r>
        <w:rPr>
          <w:i/>
          <w:lang w:val="en_US" w:bidi="en_US"/>
        </w:rPr>
        <w:t>they came and filled both boats so full that they began to sink</w:t>
      </w:r>
      <w:r>
        <w:rPr>
          <w:lang w:val="en_US" w:bidi="en_US"/>
        </w:rPr>
        <w:t xml:space="preserve"> is literally “they came and filled both boats so as to be sinking them.”</w:t>
      </w:r>
    </w:p>
    <w:p>
      <w:pPr/>
      <w:r>
        <w:rPr>
          <w:lang w:val="en_US" w:bidi="en_US"/>
        </w:rPr>
      </w:r>
      <w:r>
        <w:rPr>
          <w:lang w:val="en_US" w:bidi="en_US"/>
        </w:rPr>
        <w:t>Some other ways to translate this clause are:</w:t>
      </w:r>
    </w:p>
    <w:p>
      <w:pPr/>
      <w:r>
        <w:rPr>
          <w:lang w:val="en_US" w:bidi="en_US"/>
        </w:rPr>
      </w:r>
      <w:r>
        <w:rPr>
          <w:lang w:val="en_US" w:bidi="en_US"/>
        </w:rPr>
        <w:t>Their partners came and filled both boats until the boats nearly sank. (GW)</w:t>
      </w:r>
    </w:p>
    <w:p>
      <w:pPr/>
      <w:r>
        <w:rPr>
          <w:lang w:val="en_US" w:bidi="en_US"/>
        </w:rPr>
      </w:r>
      <w:r>
        <w:rPr>
          <w:lang w:val="en_US" w:bidi="en_US"/>
        </w:rPr>
        <w:t>A shout for help brought their partners in the other boat, and soon both boats were filled with fish and on the verge of sinking. (NLT)</w:t>
      </w:r>
    </w:p>
    <w:p>
      <w:pPr/>
      <w:r>
        <w:rPr>
          <w:lang w:val="en_US" w:bidi="en_US"/>
        </w:rPr>
      </w:r>
      <w:r>
        <w:rPr>
          <w:lang w:val="en_US" w:bidi="en_US"/>
        </w:rPr>
        <w:t>They came and filled both the boats to sinking point. (JBP)</w:t>
      </w:r>
    </w:p>
    <w:p>
      <w:pPr>
        <w:pStyle w:val="Heading5"/>
      </w:pPr>
      <w:r>
        <w:rPr>
          <w:lang w:val="en_US" w:bidi="en_US"/>
        </w:rPr>
        <w:t>5:7b</w:t>
      </w:r>
    </w:p>
    <w:p>
      <w:pPr/>
      <w:r>
        <w:rPr>
          <w:lang w:val="en_US" w:bidi="en_US"/>
        </w:rPr>
      </w:r>
      <w:r>
        <w:rPr>
          <w:b/>
          <w:lang w:val="en_US" w:bidi="en_US"/>
        </w:rPr>
        <w:t>and they came and filled both boats so full</w:t>
      </w:r>
    </w:p>
    <w:p>
      <w:pPr>
        <w:pStyle w:val="ListBullet"/>
        <w:spacing w:line="240" w:lineRule="auto"/>
        <w:ind w:left="720"/>
      </w:pPr>
      <w:r>
        <w:rPr>
          <w:lang w:val="en_US" w:bidi="en_US"/>
        </w:rPr>
      </w:r>
      <w:r>
        <w:rPr>
          <w:lang w:val="en_US" w:bidi="en_US"/>
        </w:rPr>
        <w:t xml:space="preserve">They came, and </w:t>
      </w:r>
      <w:r>
        <w:rPr>
          <w:lang w:val="en_US" w:bidi="en_US"/>
        </w:rPr>
        <w:t>they all</w:t>
      </w:r>
      <w:r>
        <w:rPr>
          <w:lang w:val="en_US" w:bidi="en_US"/>
        </w:rPr>
        <w:t xml:space="preserve"> filled both boats so full </w:t>
      </w:r>
      <w:r>
        <w:rPr>
          <w:lang w:val="en_US" w:bidi="en_US"/>
        </w:rPr>
        <w:t>of fish</w:t>
      </w:r>
    </w:p>
    <w:p>
      <w:pPr>
        <w:pStyle w:val="ListBullet"/>
        <w:spacing w:line="240" w:lineRule="auto"/>
        <w:ind w:left="720"/>
      </w:pPr>
      <w:r>
        <w:rPr>
          <w:lang w:val="en_US" w:bidi="en_US"/>
        </w:rPr>
      </w:r>
      <w:r>
        <w:rPr>
          <w:lang w:val="en_US" w:bidi="en_US"/>
        </w:rPr>
        <w:t xml:space="preserve">Their companions rowed/sailed to them, and </w:t>
      </w:r>
      <w:r>
        <w:rPr>
          <w:lang w:val="en_US" w:bidi="en_US"/>
        </w:rPr>
        <w:t>together</w:t>
      </w:r>
      <w:r>
        <w:rPr>
          <w:lang w:val="en_US" w:bidi="en_US"/>
        </w:rPr>
        <w:t xml:space="preserve"> they filled the two boats </w:t>
      </w:r>
      <w:r>
        <w:rPr>
          <w:lang w:val="en_US" w:bidi="en_US"/>
        </w:rPr>
        <w:t>with fish</w:t>
      </w:r>
    </w:p>
    <w:p>
      <w:pPr/>
      <w:r>
        <w:rPr>
          <w:lang w:val="en_US" w:bidi="en_US"/>
        </w:rPr>
      </w:r>
      <w:r>
        <w:rPr>
          <w:b/>
          <w:lang w:val="en_US" w:bidi="en_US"/>
        </w:rPr>
        <w:t>they came and filled both boats:</w:t>
      </w:r>
      <w:r>
        <w:rPr>
          <w:lang w:val="en_US" w:bidi="en_US"/>
        </w:rPr>
        <w:t xml:space="preserve"> The subject of the verb </w:t>
      </w:r>
      <w:r>
        <w:rPr>
          <w:i/>
          <w:lang w:val="en_US" w:bidi="en_US"/>
        </w:rPr>
        <w:t>came</w:t>
      </w:r>
      <w:r>
        <w:rPr>
          <w:lang w:val="en_US" w:bidi="en_US"/>
        </w:rPr>
        <w:t xml:space="preserve"> is different from the subject of the verb </w:t>
      </w:r>
      <w:r>
        <w:rPr>
          <w:i/>
          <w:lang w:val="en_US" w:bidi="en_US"/>
        </w:rPr>
        <w:t>filled</w:t>
      </w:r>
      <w:r>
        <w:rPr>
          <w:lang w:val="en_US" w:bidi="en_US"/>
        </w:rPr>
        <w:t xml:space="preserve">. The subject of </w:t>
      </w:r>
      <w:r>
        <w:rPr>
          <w:i/>
          <w:lang w:val="en_US" w:bidi="en_US"/>
        </w:rPr>
        <w:t>came</w:t>
      </w:r>
      <w:r>
        <w:rPr>
          <w:lang w:val="en_US" w:bidi="en_US"/>
        </w:rPr>
        <w:t xml:space="preserve"> refers to the fishermen in the second boat. The subject of </w:t>
      </w:r>
      <w:r>
        <w:rPr>
          <w:i/>
          <w:lang w:val="en_US" w:bidi="en_US"/>
        </w:rPr>
        <w:t>filled</w:t>
      </w:r>
      <w:r>
        <w:rPr>
          <w:lang w:val="en_US" w:bidi="en_US"/>
        </w:rPr>
        <w:t xml:space="preserve"> refers to the fishermen working in both boats.</w:t>
      </w:r>
    </w:p>
    <w:p>
      <w:pPr/>
      <w:r>
        <w:rPr>
          <w:lang w:val="en_US" w:bidi="en_US"/>
        </w:rPr>
      </w:r>
      <w:r>
        <w:rPr>
          <w:lang w:val="en_US" w:bidi="en_US"/>
        </w:rPr>
        <w:t>You may need to make the change of subject clear. For example:</w:t>
      </w:r>
    </w:p>
    <w:p>
      <w:pPr/>
      <w:r>
        <w:rPr>
          <w:lang w:val="en_US" w:bidi="en_US"/>
        </w:rPr>
      </w:r>
      <w:r>
        <w:rPr>
          <w:lang w:val="en_US" w:bidi="en_US"/>
        </w:rPr>
        <w:t xml:space="preserve">The men came, and </w:t>
      </w:r>
      <w:r>
        <w:rPr>
          <w:u w:val="single"/>
          <w:lang w:val="en_US" w:bidi="en_US"/>
        </w:rPr>
        <w:t>together</w:t>
      </w:r>
      <w:r>
        <w:rPr>
          <w:lang w:val="en_US" w:bidi="en_US"/>
        </w:rPr>
        <w:t xml:space="preserve"> they filled the two boats (CEV)</w:t>
      </w:r>
    </w:p>
    <w:p>
      <w:pPr/>
      <w:r>
        <w:rPr>
          <w:lang w:val="en_US" w:bidi="en_US"/>
        </w:rPr>
      </w:r>
      <w:r>
        <w:rPr>
          <w:lang w:val="en_US" w:bidi="en_US"/>
        </w:rPr>
        <w:t xml:space="preserve">they came and they </w:t>
      </w:r>
      <w:r>
        <w:rPr>
          <w:u w:val="single"/>
          <w:lang w:val="en_US" w:bidi="en_US"/>
        </w:rPr>
        <w:t>all</w:t>
      </w:r>
      <w:r>
        <w:rPr>
          <w:lang w:val="en_US" w:bidi="en_US"/>
        </w:rPr>
        <w:t xml:space="preserve"> filled both boats</w:t>
      </w:r>
    </w:p>
    <w:p>
      <w:pPr>
        <w:pStyle w:val="Heading5"/>
      </w:pPr>
      <w:r>
        <w:rPr>
          <w:lang w:val="en_US" w:bidi="en_US"/>
        </w:rPr>
        <w:t>5:7c</w:t>
      </w:r>
    </w:p>
    <w:p>
      <w:pPr/>
      <w:r>
        <w:rPr>
          <w:lang w:val="en_US" w:bidi="en_US"/>
        </w:rPr>
      </w:r>
      <w:r>
        <w:rPr>
          <w:b/>
          <w:lang w:val="en_US" w:bidi="en_US"/>
        </w:rPr>
        <w:t>that they began to sink.</w:t>
      </w:r>
    </w:p>
    <w:p>
      <w:pPr>
        <w:pStyle w:val="ListBullet"/>
        <w:spacing w:line="240" w:lineRule="auto"/>
        <w:ind w:left="720"/>
      </w:pPr>
      <w:r>
        <w:rPr>
          <w:lang w:val="en_US" w:bidi="en_US"/>
        </w:rPr>
      </w:r>
      <w:r>
        <w:rPr>
          <w:lang w:val="en_US" w:bidi="en_US"/>
        </w:rPr>
        <w:t>that they started to sink.</w:t>
      </w:r>
    </w:p>
    <w:p>
      <w:pPr>
        <w:pStyle w:val="ListBullet"/>
        <w:spacing w:line="240" w:lineRule="auto"/>
        <w:ind w:left="720"/>
      </w:pPr>
      <w:r>
        <w:rPr>
          <w:lang w:val="en_US" w:bidi="en_US"/>
        </w:rPr>
      </w:r>
      <w:r>
        <w:rPr>
          <w:lang w:val="en_US" w:bidi="en_US"/>
        </w:rPr>
        <w:t xml:space="preserve">until </w:t>
      </w:r>
      <w:r>
        <w:rPr>
          <w:lang w:val="en_US" w:bidi="en_US"/>
        </w:rPr>
        <w:t>the boats</w:t>
      </w:r>
      <w:r>
        <w:rPr>
          <w:lang w:val="en_US" w:bidi="en_US"/>
        </w:rPr>
        <w:t xml:space="preserve"> started to fill with water.</w:t>
      </w:r>
    </w:p>
    <w:p>
      <w:pPr/>
      <w:r>
        <w:rPr>
          <w:lang w:val="en_US" w:bidi="en_US"/>
        </w:rPr>
      </w:r>
      <w:r>
        <w:rPr>
          <w:b/>
          <w:lang w:val="en_US" w:bidi="en_US"/>
        </w:rPr>
        <w:t>they began to sink:</w:t>
      </w:r>
      <w:r>
        <w:rPr>
          <w:lang w:val="en_US" w:bidi="en_US"/>
        </w:rPr>
        <w:t xml:space="preserve"> The clause </w:t>
      </w:r>
      <w:r>
        <w:rPr>
          <w:i/>
          <w:lang w:val="en_US" w:bidi="en_US"/>
        </w:rPr>
        <w:t>they began to sink</w:t>
      </w:r>
      <w:r>
        <w:rPr>
          <w:lang w:val="en_US" w:bidi="en_US"/>
        </w:rPr>
        <w:t xml:space="preserve"> means that the boats started to fill with water. This happened because the fishermen put so many fish in the boats. Luke 5:11a shows that the boats did not completely sink.</w:t>
      </w:r>
      <w:r>
        <w:rPr>
          <w:lang w:val="en_US" w:bidi="en_US"/>
        </w:rPr>
      </w:r>
      <w:r>
        <w:rPr>
          <w:lang w:val="en_US" w:bidi="en_US"/>
        </w:rPr>
      </w:r>
    </w:p>
    <w:p>
      <w:pPr/>
      <w:r>
        <w:rPr>
          <w:lang w:val="en_US" w:bidi="en_US"/>
        </w:rPr>
      </w:r>
    </w:p>
    <w:p>
      <w:pPr>
        <w:pStyle w:val="Heading2"/>
      </w:pPr>
      <w:r>
        <w:rPr>
          <w:lang w:val="en_US" w:bidi="en_US"/>
        </w:rPr>
        <w:t>Luke 5:8</w:t>
      </w:r>
      <w:r>
        <w:rPr>
          <w:lang w:val="en_US" w:bidi="en_US"/>
        </w:rPr>
      </w:r>
    </w:p>
    <w:p>
      <w:pPr>
        <w:pStyle w:val="Heading4"/>
      </w:pPr>
      <w:r>
        <w:rPr>
          <w:lang w:val="en_US" w:bidi="en_US"/>
        </w:rPr>
        <w:t>Section 5:1–11: Simon and some other fishermen became disciples of Jesus</w:t>
      </w:r>
    </w:p>
    <w:p>
      <w:pPr/>
      <w:r>
        <w:rPr>
          <w:lang w:val="en_US" w:bidi="en_US"/>
        </w:rPr>
      </w:r>
      <w:r>
        <w:rPr>
          <w:lang w:val="en_US" w:bidi="en_US"/>
        </w:rPr>
        <w:t>In this section, Simon Peter and some of his fishing companions heard Jesus teach. They saw his power revealed through a miraculous catch of fish. As a result, they left their fishing work and began following Jesus as his disciples.</w:t>
      </w:r>
    </w:p>
    <w:p>
      <w:pPr/>
      <w:r>
        <w:rPr>
          <w:lang w:val="en_US" w:bidi="en_US"/>
        </w:rPr>
      </w:r>
      <w:r>
        <w:rPr>
          <w:lang w:val="en_US" w:bidi="en_US"/>
        </w:rPr>
        <w:t>Some other possible headings for this section are:</w:t>
      </w:r>
    </w:p>
    <w:p>
      <w:pPr/>
      <w:r>
        <w:rPr>
          <w:lang w:val="en_US" w:bidi="en_US"/>
        </w:rPr>
      </w:r>
      <w:r>
        <w:rPr>
          <w:lang w:val="en_US" w:bidi="en_US"/>
        </w:rPr>
        <w:t>Jesus called Simon and other fishermen to become his disciples</w:t>
      </w:r>
    </w:p>
    <w:p>
      <w:pPr/>
      <w:r>
        <w:rPr>
          <w:lang w:val="en_US" w:bidi="en_US"/>
        </w:rPr>
      </w:r>
      <w:r>
        <w:rPr>
          <w:lang w:val="en_US" w:bidi="en_US"/>
        </w:rPr>
        <w:t>Jesus’ first disciples</w:t>
      </w:r>
    </w:p>
    <w:p>
      <w:pPr/>
      <w:r>
        <w:rPr>
          <w:lang w:val="en_US" w:bidi="en_US"/>
        </w:rPr>
      </w:r>
      <w:r>
        <w:rPr>
          <w:lang w:val="en_US" w:bidi="en_US"/>
        </w:rPr>
        <w:t>There are parallel passages for this section in Matthew 4:18–22 and Mark 1:16–20.</w:t>
      </w:r>
    </w:p>
    <w:p>
      <w:pPr>
        <w:pStyle w:val="Heading5"/>
      </w:pPr>
      <w:r>
        <w:rPr>
          <w:lang w:val="en_US" w:bidi="en_US"/>
        </w:rPr>
        <w:t>5:8a</w:t>
      </w:r>
    </w:p>
    <w:p>
      <w:pPr/>
      <w:r>
        <w:rPr>
          <w:lang w:val="en_US" w:bidi="en_US"/>
        </w:rPr>
      </w:r>
      <w:r>
        <w:rPr>
          <w:b/>
          <w:lang w:val="en_US" w:bidi="en_US"/>
        </w:rPr>
        <w:t>When Simon Peter saw this,</w:t>
      </w:r>
    </w:p>
    <w:p>
      <w:pPr>
        <w:pStyle w:val="ListBullet"/>
        <w:spacing w:line="240" w:lineRule="auto"/>
        <w:ind w:left="720"/>
      </w:pPr>
      <w:r>
        <w:rPr>
          <w:lang w:val="en_US" w:bidi="en_US"/>
        </w:rPr>
      </w:r>
      <w:r>
        <w:rPr>
          <w:lang w:val="en_US" w:bidi="en_US"/>
        </w:rPr>
        <w:t>¶ When Simon Peter realized what had happened,</w:t>
      </w:r>
    </w:p>
    <w:p>
      <w:pPr>
        <w:pStyle w:val="ListBullet"/>
        <w:spacing w:line="240" w:lineRule="auto"/>
        <w:ind w:left="720"/>
      </w:pPr>
      <w:r>
        <w:rPr>
          <w:lang w:val="en_US" w:bidi="en_US"/>
        </w:rPr>
      </w:r>
      <w:r>
        <w:rPr>
          <w:lang w:val="en_US" w:bidi="en_US"/>
        </w:rPr>
        <w:t xml:space="preserve">¶ Simon </w:t>
      </w:r>
      <w:r>
        <w:rPr>
          <w:lang w:val="en_US" w:bidi="en_US"/>
        </w:rPr>
        <w:t>who is also called</w:t>
      </w:r>
      <w:r>
        <w:rPr>
          <w:lang w:val="en_US" w:bidi="en_US"/>
        </w:rPr>
        <w:t xml:space="preserve"> Peter saw what Jesus had done,</w:t>
      </w:r>
    </w:p>
    <w:p>
      <w:pPr/>
      <w:r>
        <w:rPr>
          <w:lang w:val="en_US" w:bidi="en_US"/>
        </w:rPr>
      </w:r>
      <w:r>
        <w:rPr>
          <w:b/>
          <w:lang w:val="en_US" w:bidi="en_US"/>
        </w:rPr>
        <w:t>Simon Peter:</w:t>
      </w:r>
      <w:r>
        <w:rPr>
          <w:lang w:val="en_US" w:bidi="en_US"/>
        </w:rPr>
        <w:t xml:space="preserve"> Here Luke also used Simon’s other name, </w:t>
      </w:r>
      <w:r>
        <w:rPr>
          <w:i/>
          <w:lang w:val="en_US" w:bidi="en_US"/>
        </w:rPr>
        <w:t>Peter</w:t>
      </w:r>
      <w:r>
        <w:rPr>
          <w:lang w:val="en_US" w:bidi="en_US"/>
        </w:rPr>
        <w:t>. This was a name that Jesus gave to him, as described in Luke 6:14 and John 1:42.</w:t>
      </w:r>
    </w:p>
    <w:p>
      <w:pPr/>
      <w:r>
        <w:rPr>
          <w:lang w:val="en_US" w:bidi="en_US"/>
        </w:rPr>
      </w:r>
      <w:r>
        <w:rPr>
          <w:lang w:val="en_US" w:bidi="en_US"/>
        </w:rPr>
        <w:t>Using two names together may imply that one was a family name or father’s name. If this is true in your language, you may need to translate this as:</w:t>
      </w:r>
    </w:p>
    <w:p>
      <w:pPr/>
      <w:r>
        <w:rPr>
          <w:lang w:val="en_US" w:bidi="en_US"/>
        </w:rPr>
      </w:r>
      <w:r>
        <w:rPr>
          <w:lang w:val="en_US" w:bidi="en_US"/>
        </w:rPr>
        <w:t xml:space="preserve">Simon, </w:t>
      </w:r>
      <w:r>
        <w:rPr>
          <w:lang w:val="en_US" w:bidi="en_US"/>
        </w:rPr>
        <w:t>who was also called</w:t>
      </w:r>
      <w:r>
        <w:rPr>
          <w:lang w:val="en_US" w:bidi="en_US"/>
        </w:rPr>
        <w:t xml:space="preserve"> Peter</w:t>
      </w:r>
    </w:p>
    <w:p>
      <w:pPr/>
      <w:r>
        <w:rPr>
          <w:lang w:val="en_US" w:bidi="en_US"/>
        </w:rPr>
      </w:r>
      <w:r>
        <w:rPr>
          <w:b/>
          <w:lang w:val="en_US" w:bidi="en_US"/>
        </w:rPr>
        <w:t>saw this:</w:t>
      </w:r>
      <w:r>
        <w:rPr>
          <w:lang w:val="en_US" w:bidi="en_US"/>
        </w:rPr>
        <w:t xml:space="preserve"> The Greek verb that the BSB translates as </w:t>
      </w:r>
      <w:r>
        <w:rPr>
          <w:i/>
          <w:lang w:val="en_US" w:bidi="en_US"/>
        </w:rPr>
        <w:t>saw this</w:t>
      </w:r>
      <w:r>
        <w:rPr>
          <w:lang w:val="en_US" w:bidi="en_US"/>
        </w:rPr>
        <w:t xml:space="preserve"> refers to Simon Peter seeing the large number of fish in the nets. He understood that Jesus had done a miracle. He also understood that Jesus was the Lord.</w:t>
      </w:r>
    </w:p>
    <w:p>
      <w:pPr/>
      <w:r>
        <w:rPr>
          <w:lang w:val="en_US" w:bidi="en_US"/>
        </w:rPr>
      </w:r>
      <w:r>
        <w:rPr>
          <w:lang w:val="en_US" w:bidi="en_US"/>
        </w:rPr>
        <w:t xml:space="preserve">The words </w:t>
      </w:r>
      <w:r>
        <w:rPr>
          <w:i/>
          <w:lang w:val="en_US" w:bidi="en_US"/>
        </w:rPr>
        <w:t>saw this</w:t>
      </w:r>
      <w:r>
        <w:rPr>
          <w:lang w:val="en_US" w:bidi="en_US"/>
        </w:rPr>
        <w:t xml:space="preserve"> do not refer to the boat beginning to sink.</w:t>
      </w:r>
    </w:p>
    <w:p>
      <w:pPr>
        <w:pStyle w:val="Heading5"/>
      </w:pPr>
      <w:r>
        <w:rPr>
          <w:lang w:val="en_US" w:bidi="en_US"/>
        </w:rPr>
        <w:t>5:8b</w:t>
      </w:r>
    </w:p>
    <w:p>
      <w:pPr/>
      <w:r>
        <w:rPr>
          <w:lang w:val="en_US" w:bidi="en_US"/>
        </w:rPr>
      </w:r>
      <w:r>
        <w:rPr>
          <w:b/>
          <w:lang w:val="en_US" w:bidi="en_US"/>
        </w:rPr>
        <w:t>he fell at Jesus’ knees.</w:t>
      </w:r>
    </w:p>
    <w:p>
      <w:pPr>
        <w:pStyle w:val="ListBullet"/>
        <w:spacing w:line="240" w:lineRule="auto"/>
        <w:ind w:left="720"/>
      </w:pPr>
      <w:r>
        <w:rPr>
          <w:lang w:val="en_US" w:bidi="en_US"/>
        </w:rPr>
      </w:r>
      <w:r>
        <w:rPr>
          <w:lang w:val="en_US" w:bidi="en_US"/>
        </w:rPr>
        <w:t>he bowed/knelt down in front of Jesus and said,</w:t>
      </w:r>
    </w:p>
    <w:p>
      <w:pPr>
        <w:pStyle w:val="ListBullet"/>
        <w:spacing w:line="240" w:lineRule="auto"/>
        <w:ind w:left="720"/>
      </w:pPr>
      <w:r>
        <w:rPr>
          <w:lang w:val="en_US" w:bidi="en_US"/>
        </w:rPr>
      </w:r>
      <w:r>
        <w:rPr>
          <w:lang w:val="en_US" w:bidi="en_US"/>
        </w:rPr>
        <w:t xml:space="preserve">and then/so he bowed down at Jesus’ feet/knees </w:t>
      </w:r>
      <w:r>
        <w:rPr>
          <w:lang w:val="en_US" w:bidi="en_US"/>
        </w:rPr>
        <w:t>as a sign of humility/respect</w:t>
      </w:r>
      <w:r>
        <w:rPr>
          <w:lang w:val="en_US" w:bidi="en_US"/>
        </w:rPr>
        <w:t>. He said:</w:t>
      </w:r>
    </w:p>
    <w:p>
      <w:pPr/>
      <w:r>
        <w:rPr>
          <w:lang w:val="en_US" w:bidi="en_US"/>
        </w:rPr>
      </w:r>
      <w:r>
        <w:rPr>
          <w:b/>
          <w:lang w:val="en_US" w:bidi="en_US"/>
        </w:rPr>
        <w:t>he fell at Jesus’ knees:</w:t>
      </w:r>
      <w:r>
        <w:rPr>
          <w:lang w:val="en_US" w:bidi="en_US"/>
        </w:rPr>
        <w:t xml:space="preserve"> There are two ways to interpret the Greek phrase that the BSB translates as </w:t>
      </w:r>
      <w:r>
        <w:rPr>
          <w:i/>
          <w:lang w:val="en_US" w:bidi="en_US"/>
        </w:rPr>
        <w:t>he fell at Jesus’ knees</w:t>
      </w:r>
      <w:r>
        <w:rPr>
          <w:lang w:val="en_US" w:bidi="en_US"/>
        </w:rPr>
        <w:t>:</w:t>
      </w:r>
    </w:p>
    <w:p>
      <w:pPr>
        <w:pStyle w:val="ListNumber"/>
        <w:numPr>
          <w:ilvl w:val="0"/>
          <w:numId w:val="108"/>
        </w:numPr>
        <w:spacing w:line="240" w:lineRule="auto"/>
        <w:ind w:left="720"/>
      </w:pPr>
      <w:r>
        <w:rPr>
          <w:lang w:val="en_US" w:bidi="en_US"/>
        </w:rPr>
      </w:r>
      <w:r>
        <w:rPr>
          <w:lang w:val="en_US" w:bidi="en_US"/>
        </w:rPr>
        <w:t>Peter bowed down in front of Jesus. When he did this, he was at the level of Jesus’ knees. For example:</w:t>
      </w:r>
      <w:r>
        <w:rPr>
          <w:lang w:val="en_US" w:bidi="en_US"/>
        </w:rPr>
        <w:t xml:space="preserve">he fell down </w:t>
      </w:r>
      <w:r>
        <w:rPr>
          <w:u w:val="single"/>
          <w:lang w:val="en_US" w:bidi="en_US"/>
        </w:rPr>
        <w:t>at Jesus’ knees</w:t>
      </w:r>
      <w:r>
        <w:rPr>
          <w:lang w:val="en_US" w:bidi="en_US"/>
        </w:rPr>
        <w:t xml:space="preserve"> (NET) </w:t>
      </w:r>
      <w:r>
        <w:rPr>
          <w:i/>
          <w:lang w:val="en_US" w:bidi="en_US"/>
        </w:rPr>
        <w:t>(BSB, NIV, RSV, NJB, KJV, NASB, REB, NET)</w:t>
      </w:r>
    </w:p>
    <w:p>
      <w:pPr>
        <w:pStyle w:val="ListNumber"/>
        <w:spacing w:line="240" w:lineRule="auto"/>
        <w:ind w:left="720"/>
      </w:pPr>
      <w:r>
        <w:rPr>
          <w:lang w:val="en_US" w:bidi="en_US"/>
        </w:rPr>
      </w:r>
      <w:r>
        <w:rPr>
          <w:lang w:val="en_US" w:bidi="en_US"/>
        </w:rPr>
        <w:t>Peter got down on his own knees in front of Jesus. For example:</w:t>
      </w:r>
      <w:r>
        <w:rPr>
          <w:lang w:val="en_US" w:bidi="en_US"/>
        </w:rPr>
        <w:t xml:space="preserve">he fell </w:t>
      </w:r>
      <w:r>
        <w:rPr>
          <w:u w:val="single"/>
          <w:lang w:val="en_US" w:bidi="en_US"/>
        </w:rPr>
        <w:t>on his knees</w:t>
      </w:r>
      <w:r>
        <w:rPr>
          <w:lang w:val="en_US" w:bidi="en_US"/>
        </w:rPr>
        <w:t xml:space="preserve"> before Jesus (GNT) </w:t>
      </w:r>
      <w:r>
        <w:rPr>
          <w:i/>
          <w:lang w:val="en_US" w:bidi="en_US"/>
        </w:rPr>
        <w:t>(GNT, NLT, CEV, GW, JBP, NCV)</w:t>
      </w:r>
    </w:p>
    <w:p>
      <w:pPr/>
      <w:r>
        <w:rPr>
          <w:lang w:val="en_US" w:bidi="en_US"/>
        </w:rPr>
      </w:r>
      <w:r>
        <w:rPr>
          <w:lang w:val="en_US" w:bidi="en_US"/>
        </w:rPr>
        <w:t xml:space="preserve">It is recommended that you follow interpretation (1) However, there is little practical difference between the two interpretations. If Simon fell </w:t>
      </w:r>
      <w:r>
        <w:rPr>
          <w:u w:val="single"/>
          <w:lang w:val="en_US" w:bidi="en_US"/>
        </w:rPr>
        <w:t>at Jesus</w:t>
      </w:r>
      <w:r>
        <w:rPr>
          <w:lang w:val="en_US" w:bidi="en_US"/>
        </w:rPr>
        <w:t xml:space="preserve">’ knees, he was probably </w:t>
      </w:r>
      <w:r>
        <w:rPr>
          <w:u w:val="single"/>
          <w:lang w:val="en_US" w:bidi="en_US"/>
        </w:rPr>
        <w:t>kneeling</w:t>
      </w:r>
      <w:r>
        <w:rPr>
          <w:lang w:val="en_US" w:bidi="en_US"/>
        </w:rPr>
        <w:t xml:space="preserve"> himself.</w:t>
      </w:r>
    </w:p>
    <w:p>
      <w:pPr/>
      <w:r>
        <w:rPr>
          <w:lang w:val="en_US" w:bidi="en_US"/>
        </w:rPr>
      </w:r>
      <w:r>
        <w:rPr>
          <w:lang w:val="en_US" w:bidi="en_US"/>
        </w:rPr>
        <w:t>In Jewish culture, a person bows down before another to show that person respect. Sometimes he bows down before another person to show that he is worshiping that person. Simon’s action was showing respect for Jesus. He may have been worshiping Jesus, but this is not clear.</w:t>
      </w:r>
    </w:p>
    <w:p>
      <w:pPr/>
      <w:r>
        <w:rPr>
          <w:lang w:val="en_US" w:bidi="en_US"/>
        </w:rPr>
      </w:r>
      <w:r>
        <w:rPr>
          <w:b/>
          <w:lang w:val="en_US" w:bidi="en_US"/>
        </w:rPr>
        <w:t>fell:</w:t>
      </w:r>
      <w:r>
        <w:rPr>
          <w:lang w:val="en_US" w:bidi="en_US"/>
        </w:rPr>
        <w:t xml:space="preserve"> Here the word </w:t>
      </w:r>
      <w:r>
        <w:rPr>
          <w:i/>
          <w:lang w:val="en_US" w:bidi="en_US"/>
        </w:rPr>
        <w:t>fell</w:t>
      </w:r>
      <w:r>
        <w:rPr>
          <w:lang w:val="en_US" w:bidi="en_US"/>
        </w:rPr>
        <w:t xml:space="preserve"> is used in a figurative sense. It means “lower oneself.” It does not mean that Simon Peter stumbled and fell.</w:t>
      </w:r>
    </w:p>
    <w:p>
      <w:pPr>
        <w:pStyle w:val="Heading5"/>
      </w:pPr>
      <w:r>
        <w:rPr>
          <w:lang w:val="en_US" w:bidi="en_US"/>
        </w:rPr>
        <w:t>5:8c–d</w:t>
      </w:r>
    </w:p>
    <w:p>
      <w:pPr/>
      <w:r>
        <w:rPr>
          <w:lang w:val="en_US" w:bidi="en_US"/>
        </w:rPr>
      </w:r>
      <w:r>
        <w:rPr>
          <w:b/>
          <w:lang w:val="en_US" w:bidi="en_US"/>
        </w:rPr>
        <w:t>“Go away from me, Lord,” he said, “for I am a sinful man.”:</w:t>
      </w:r>
      <w:r>
        <w:rPr>
          <w:lang w:val="en_US" w:bidi="en_US"/>
        </w:rPr>
        <w:t xml:space="preserve"> Peter understood that men who do miracles do them through power that comes from God. God gives this power only to men who are holy, that is, pure and dedicated to him. So Peter understood that Jesus was holy. Peter felt unworthy and too sinful to be in the presence of such a holy man.</w:t>
      </w:r>
    </w:p>
    <w:p>
      <w:pPr/>
      <w:r>
        <w:rPr>
          <w:lang w:val="en_US" w:bidi="en_US"/>
        </w:rPr>
      </w:r>
      <w:r>
        <w:rPr>
          <w:lang w:val="en_US" w:bidi="en_US"/>
        </w:rPr>
        <w:t>It may be necessary in some languages to make some of this information explicit. For example:</w:t>
      </w:r>
    </w:p>
    <w:p>
      <w:pPr/>
      <w:r>
        <w:rPr>
          <w:lang w:val="en_US" w:bidi="en_US"/>
        </w:rPr>
      </w:r>
      <w:r>
        <w:rPr>
          <w:lang w:val="en_US" w:bidi="en_US"/>
        </w:rPr>
        <w:t xml:space="preserve">Lord, </w:t>
      </w:r>
      <w:r>
        <w:rPr>
          <w:lang w:val="en_US" w:bidi="en_US"/>
        </w:rPr>
        <w:t>I know that you are holy.</w:t>
      </w:r>
      <w:r>
        <w:rPr>
          <w:lang w:val="en_US" w:bidi="en_US"/>
        </w:rPr>
        <w:t xml:space="preserve"> Go away from me. I am a sinful man!</w:t>
      </w:r>
    </w:p>
    <w:p>
      <w:pPr>
        <w:pStyle w:val="Heading5"/>
      </w:pPr>
      <w:r>
        <w:rPr>
          <w:lang w:val="en_US" w:bidi="en_US"/>
        </w:rPr>
        <w:t>5:8c</w:t>
      </w:r>
    </w:p>
    <w:p>
      <w:pPr/>
      <w:r>
        <w:rPr>
          <w:lang w:val="en_US" w:bidi="en_US"/>
        </w:rPr>
      </w:r>
      <w:r>
        <w:rPr>
          <w:b/>
          <w:lang w:val="en_US" w:bidi="en_US"/>
        </w:rPr>
        <w:t>“Go away from me, Lord,” he said,</w:t>
      </w:r>
    </w:p>
    <w:p>
      <w:pPr>
        <w:pStyle w:val="ListBullet"/>
        <w:spacing w:line="240" w:lineRule="auto"/>
        <w:ind w:left="720"/>
      </w:pPr>
      <w:r>
        <w:rPr>
          <w:lang w:val="en_US" w:bidi="en_US"/>
        </w:rPr>
      </w:r>
      <w:r>
        <w:rPr>
          <w:lang w:val="en_US" w:bidi="en_US"/>
        </w:rPr>
        <w:t xml:space="preserve">“Lord, </w:t>
      </w:r>
      <w:r>
        <w:rPr>
          <w:lang w:val="en_US" w:bidi="en_US"/>
        </w:rPr>
        <w:t>please</w:t>
      </w:r>
      <w:r>
        <w:rPr>
          <w:lang w:val="en_US" w:bidi="en_US"/>
        </w:rPr>
        <w:t xml:space="preserve"> go away from me</w:t>
      </w:r>
    </w:p>
    <w:p>
      <w:pPr>
        <w:pStyle w:val="ListBullet"/>
        <w:spacing w:line="240" w:lineRule="auto"/>
        <w:ind w:left="720"/>
      </w:pPr>
      <w:r>
        <w:rPr>
          <w:lang w:val="en_US" w:bidi="en_US"/>
        </w:rPr>
      </w:r>
      <w:r>
        <w:rPr>
          <w:lang w:val="en_US" w:bidi="en_US"/>
        </w:rPr>
        <w:t>“Oh, Lord, please leave me— (NLT)</w:t>
      </w:r>
    </w:p>
    <w:p>
      <w:pPr/>
      <w:r>
        <w:rPr>
          <w:lang w:val="en_US" w:bidi="en_US"/>
        </w:rPr>
      </w:r>
      <w:r>
        <w:rPr>
          <w:b/>
          <w:lang w:val="en_US" w:bidi="en_US"/>
        </w:rPr>
        <w:t>“Go away from me, Lord,”:</w:t>
      </w:r>
      <w:r>
        <w:rPr>
          <w:lang w:val="en_US" w:bidi="en_US"/>
        </w:rPr>
        <w:t xml:space="preserve"> In some languages, it will be more natural to begin this sentence with the word </w:t>
      </w:r>
      <w:r>
        <w:rPr>
          <w:i/>
          <w:lang w:val="en_US" w:bidi="en_US"/>
        </w:rPr>
        <w:t>Lord</w:t>
      </w:r>
      <w:r>
        <w:rPr>
          <w:lang w:val="en_US" w:bidi="en_US"/>
        </w:rPr>
        <w:t>. For example:</w:t>
      </w:r>
    </w:p>
    <w:p>
      <w:pPr/>
      <w:r>
        <w:rPr>
          <w:lang w:val="en_US" w:bidi="en_US"/>
        </w:rPr>
      </w:r>
      <w:r>
        <w:rPr>
          <w:lang w:val="en_US" w:bidi="en_US"/>
        </w:rPr>
        <w:t>Lord, go away from me.</w:t>
      </w:r>
    </w:p>
    <w:p>
      <w:pPr/>
      <w:r>
        <w:rPr>
          <w:lang w:val="en_US" w:bidi="en_US"/>
        </w:rPr>
      </w:r>
      <w:r>
        <w:rPr>
          <w:b/>
          <w:lang w:val="en_US" w:bidi="en_US"/>
        </w:rPr>
        <w:t>Go away from me:</w:t>
      </w:r>
      <w:r>
        <w:rPr>
          <w:lang w:val="en_US" w:bidi="en_US"/>
        </w:rPr>
        <w:t xml:space="preserve"> Grammatically, the words </w:t>
      </w:r>
      <w:r>
        <w:rPr>
          <w:i/>
          <w:lang w:val="en_US" w:bidi="en_US"/>
        </w:rPr>
        <w:t>Go away from me</w:t>
      </w:r>
      <w:r>
        <w:rPr>
          <w:lang w:val="en_US" w:bidi="en_US"/>
        </w:rPr>
        <w:t xml:space="preserve"> are in the form of a command, but they function as a request. Simon felt unworthy and too sinful to be near Jesus. So he requested that Jesus go away from him. Be sure that the way you translate this phrase does not imply that Simon was rejecting Jesus or speaking disrespectfully to Jesus.</w:t>
      </w:r>
    </w:p>
    <w:p>
      <w:pPr/>
      <w:r>
        <w:rPr>
          <w:lang w:val="en_US" w:bidi="en_US"/>
        </w:rPr>
      </w:r>
      <w:r>
        <w:rPr>
          <w:lang w:val="en_US" w:bidi="en_US"/>
        </w:rPr>
        <w:t xml:space="preserve">If the words </w:t>
      </w:r>
      <w:r>
        <w:rPr>
          <w:i/>
          <w:lang w:val="en_US" w:bidi="en_US"/>
        </w:rPr>
        <w:t>Go away from me</w:t>
      </w:r>
      <w:r>
        <w:rPr>
          <w:lang w:val="en_US" w:bidi="en_US"/>
        </w:rPr>
        <w:t xml:space="preserve"> might be misunderstood here, you could say:</w:t>
      </w:r>
    </w:p>
    <w:p>
      <w:pPr/>
      <w:r>
        <w:rPr>
          <w:lang w:val="en_US" w:bidi="en_US"/>
        </w:rPr>
      </w:r>
      <w:r>
        <w:rPr>
          <w:lang w:val="en_US" w:bidi="en_US"/>
        </w:rPr>
        <w:t>I am unworthy to be near you</w:t>
      </w:r>
    </w:p>
    <w:p>
      <w:pPr/>
      <w:r>
        <w:rPr>
          <w:lang w:val="en_US" w:bidi="en_US"/>
        </w:rPr>
      </w:r>
      <w:r>
        <w:rPr>
          <w:lang w:val="en_US" w:bidi="en_US"/>
        </w:rPr>
        <w:t>Oh, Lord, please leave me (NLT)</w:t>
      </w:r>
    </w:p>
    <w:p>
      <w:pPr/>
      <w:r>
        <w:rPr>
          <w:lang w:val="en_US" w:bidi="en_US"/>
        </w:rPr>
      </w:r>
      <w:r>
        <w:rPr>
          <w:b/>
          <w:lang w:val="en_US" w:bidi="en_US"/>
        </w:rPr>
        <w:t>Lord:</w:t>
      </w:r>
      <w:r>
        <w:rPr>
          <w:lang w:val="en_US" w:bidi="en_US"/>
        </w:rPr>
        <w:t xml:space="preserve"> In Greek, the word that the BSB translates as </w:t>
      </w:r>
      <w:r>
        <w:rPr>
          <w:i/>
          <w:lang w:val="en_US" w:bidi="en_US"/>
        </w:rPr>
        <w:t>Lord</w:t>
      </w:r>
      <w:r>
        <w:rPr>
          <w:lang w:val="en_US" w:bidi="en_US"/>
        </w:rPr>
        <w:t xml:space="preserve"> is a more important title than the word that the BSB translates as “Master” in 5:5a. People used both words as polite titles when they spoke to an elder or someone in authority. The Jews also used the title “Lord” to refer to God. When Simon saw the miracle of the catch of fish, he realized that Jesus had more authority than he had expressed by the term “Master.”</w:t>
      </w:r>
    </w:p>
    <w:p>
      <w:pPr/>
      <w:r>
        <w:rPr>
          <w:lang w:val="en_US" w:bidi="en_US"/>
        </w:rPr>
      </w:r>
      <w:r>
        <w:rPr>
          <w:lang w:val="en_US" w:bidi="en_US"/>
        </w:rPr>
        <w:t xml:space="preserve">Your language may have different words to show respect. Use the word that shows greater respect here. Some ways to translate </w:t>
      </w:r>
      <w:r>
        <w:rPr>
          <w:i/>
          <w:lang w:val="en_US" w:bidi="en_US"/>
        </w:rPr>
        <w:t>Lord</w:t>
      </w:r>
      <w:r>
        <w:rPr>
          <w:lang w:val="en_US" w:bidi="en_US"/>
        </w:rPr>
        <w:t xml:space="preserve"> are:</w:t>
      </w:r>
    </w:p>
    <w:p>
      <w:pPr/>
      <w:r>
        <w:rPr>
          <w:lang w:val="en_US" w:bidi="en_US"/>
        </w:rPr>
      </w:r>
      <w:r>
        <w:rPr>
          <w:lang w:val="en_US" w:bidi="en_US"/>
        </w:rPr>
        <w:t>Chief</w:t>
      </w:r>
    </w:p>
    <w:p>
      <w:pPr/>
      <w:r>
        <w:rPr>
          <w:lang w:val="en_US" w:bidi="en_US"/>
        </w:rPr>
      </w:r>
      <w:r>
        <w:rPr>
          <w:lang w:val="en_US" w:bidi="en_US"/>
        </w:rPr>
        <w:t>Master/Owner</w:t>
      </w:r>
    </w:p>
    <w:p>
      <w:pPr/>
      <w:r>
        <w:rPr>
          <w:lang w:val="en_US" w:bidi="en_US"/>
        </w:rPr>
      </w:r>
      <w:r>
        <w:rPr>
          <w:lang w:val="en_US" w:bidi="en_US"/>
        </w:rPr>
        <w:t>Sovereign</w:t>
      </w:r>
    </w:p>
    <w:p>
      <w:pPr/>
      <w:r>
        <w:rPr>
          <w:lang w:val="en_US" w:bidi="en_US"/>
        </w:rPr>
      </w:r>
      <w:r>
        <w:rPr>
          <w:lang w:val="en_US" w:bidi="en_US"/>
        </w:rPr>
        <w:t>In some languages it may be necessary to add a word such as “my” before such a term of address. For example:</w:t>
      </w:r>
    </w:p>
    <w:p>
      <w:pPr/>
      <w:r>
        <w:rPr>
          <w:lang w:val="en_US" w:bidi="en_US"/>
        </w:rPr>
      </w:r>
      <w:r>
        <w:rPr>
          <w:lang w:val="en_US" w:bidi="en_US"/>
        </w:rPr>
        <w:t>my</w:t>
      </w:r>
      <w:r>
        <w:rPr>
          <w:lang w:val="en_US" w:bidi="en_US"/>
        </w:rPr>
        <w:t xml:space="preserve"> Chief/Sovereign</w:t>
      </w:r>
    </w:p>
    <w:p>
      <w:pPr/>
      <w:r>
        <w:rPr>
          <w:lang w:val="en_US" w:bidi="en_US"/>
        </w:rPr>
      </w:r>
      <w:r>
        <w:rPr>
          <w:lang w:val="en_US" w:bidi="en_US"/>
        </w:rPr>
        <w:t>See Lord, Meaning 3, in the Glossary for more information and translation suggestions.</w:t>
      </w:r>
    </w:p>
    <w:p>
      <w:pPr>
        <w:pStyle w:val="Heading5"/>
      </w:pPr>
      <w:r>
        <w:rPr>
          <w:lang w:val="en_US" w:bidi="en_US"/>
        </w:rPr>
        <w:t>5:8d</w:t>
      </w:r>
    </w:p>
    <w:p>
      <w:pPr/>
      <w:r>
        <w:rPr>
          <w:lang w:val="en_US" w:bidi="en_US"/>
        </w:rPr>
      </w:r>
      <w:r>
        <w:rPr>
          <w:b/>
          <w:lang w:val="en_US" w:bidi="en_US"/>
        </w:rPr>
        <w:t>“for I am a sinful man.”</w:t>
      </w:r>
    </w:p>
    <w:p>
      <w:pPr>
        <w:pStyle w:val="ListBullet"/>
        <w:spacing w:line="240" w:lineRule="auto"/>
        <w:ind w:left="720"/>
      </w:pPr>
      <w:r>
        <w:rPr>
          <w:lang w:val="en_US" w:bidi="en_US"/>
        </w:rPr>
      </w:r>
      <w:r>
        <w:rPr>
          <w:lang w:val="en_US" w:bidi="en_US"/>
        </w:rPr>
        <w:t>because I am a sinner!”</w:t>
      </w:r>
    </w:p>
    <w:p>
      <w:pPr>
        <w:pStyle w:val="ListBullet"/>
        <w:spacing w:line="240" w:lineRule="auto"/>
        <w:ind w:left="720"/>
      </w:pPr>
      <w:r>
        <w:rPr>
          <w:lang w:val="en_US" w:bidi="en_US"/>
        </w:rPr>
      </w:r>
      <w:r>
        <w:rPr>
          <w:lang w:val="en_US" w:bidi="en_US"/>
        </w:rPr>
        <w:t>I’m too much of a sinner to be around you.” (NLT)</w:t>
      </w:r>
    </w:p>
    <w:p>
      <w:pPr/>
      <w:r>
        <w:rPr>
          <w:lang w:val="en_US" w:bidi="en_US"/>
        </w:rPr>
      </w:r>
      <w:r>
        <w:rPr>
          <w:lang w:val="en_US" w:bidi="en_US"/>
        </w:rPr>
        <w:t>In Greek, 5:8d begins with the conjunction that means “because.” It introduces the reason why Simon felt unworthy and afraid to be near Jesus. Many English versions translate it that way. For example:</w:t>
      </w:r>
    </w:p>
    <w:p>
      <w:pPr/>
      <w:r>
        <w:rPr>
          <w:lang w:val="en_US" w:bidi="en_US"/>
        </w:rPr>
      </w:r>
      <w:r>
        <w:rPr>
          <w:lang w:val="en_US" w:bidi="en_US"/>
        </w:rPr>
        <w:t>for I am a sinful man (NET)</w:t>
      </w:r>
    </w:p>
    <w:p>
      <w:pPr/>
      <w:r>
        <w:rPr>
          <w:lang w:val="en_US" w:bidi="en_US"/>
        </w:rPr>
      </w:r>
      <w:r>
        <w:rPr>
          <w:lang w:val="en_US" w:bidi="en_US"/>
        </w:rPr>
        <w:t>because I’m a sinful man (CSB)</w:t>
      </w:r>
    </w:p>
    <w:p>
      <w:pPr/>
      <w:r>
        <w:rPr>
          <w:lang w:val="en_US" w:bidi="en_US"/>
        </w:rPr>
      </w:r>
      <w:r>
        <w:rPr>
          <w:lang w:val="en_US" w:bidi="en_US"/>
        </w:rPr>
        <w:t>Some English versions do not translate this conjunction. See the General Comment below for another way to connect 5:8c and 5:8d.</w:t>
      </w:r>
    </w:p>
    <w:p>
      <w:pPr/>
      <w:r>
        <w:rPr>
          <w:lang w:val="en_US" w:bidi="en_US"/>
        </w:rPr>
      </w:r>
      <w:r>
        <w:rPr>
          <w:b/>
          <w:lang w:val="en_US" w:bidi="en_US"/>
        </w:rPr>
        <w:t>I am a sinful man:</w:t>
      </w:r>
      <w:r>
        <w:rPr>
          <w:lang w:val="en_US" w:bidi="en_US"/>
        </w:rPr>
        <w:t xml:space="preserve"> A </w:t>
      </w:r>
      <w:r>
        <w:rPr>
          <w:i/>
          <w:lang w:val="en_US" w:bidi="en_US"/>
        </w:rPr>
        <w:t>sinful man</w:t>
      </w:r>
      <w:r>
        <w:rPr>
          <w:lang w:val="en_US" w:bidi="en_US"/>
        </w:rPr>
        <w:t xml:space="preserve"> is someone who habitually offends God. His acts, thoughts, and attitudes are not what God wants. God does not approve of them. A person can also be sinful by not doing what God wants him to do.</w:t>
      </w:r>
    </w:p>
    <w:p>
      <w:pPr/>
      <w:r>
        <w:rPr>
          <w:lang w:val="en_US" w:bidi="en_US"/>
        </w:rPr>
      </w:r>
      <w:r>
        <w:rPr>
          <w:lang w:val="en_US" w:bidi="en_US"/>
        </w:rPr>
        <w:t>Some other ways to translate this are:</w:t>
      </w:r>
    </w:p>
    <w:p>
      <w:pPr/>
      <w:r>
        <w:rPr>
          <w:lang w:val="en_US" w:bidi="en_US"/>
        </w:rPr>
      </w:r>
      <w:r>
        <w:rPr>
          <w:lang w:val="en_US" w:bidi="en_US"/>
        </w:rPr>
        <w:t>I am a sinner (CEV)</w:t>
      </w:r>
    </w:p>
    <w:p>
      <w:pPr/>
      <w:r>
        <w:rPr>
          <w:lang w:val="en_US" w:bidi="en_US"/>
        </w:rPr>
      </w:r>
      <w:r>
        <w:rPr>
          <w:lang w:val="en_US" w:bidi="en_US"/>
        </w:rPr>
        <w:t>I have broken God’s laws</w:t>
      </w:r>
    </w:p>
    <w:p>
      <w:pPr/>
      <w:r>
        <w:rPr>
          <w:lang w:val="en_US" w:bidi="en_US"/>
        </w:rPr>
      </w:r>
      <w:r>
        <w:rPr>
          <w:lang w:val="en_US" w:bidi="en_US"/>
        </w:rPr>
        <w:t xml:space="preserve">See </w:t>
      </w:r>
      <w:r>
        <w:rPr>
          <w:u w:val="single"/>
          <w:lang w:val="en_US" w:bidi="en_US"/>
        </w:rPr>
        <w:t>sin, sense C</w:t>
      </w:r>
      <w:r>
        <w:rPr>
          <w:lang w:val="en_US" w:bidi="en_US"/>
        </w:rPr>
        <w:t>, in KBT for more information.</w:t>
      </w:r>
    </w:p>
    <w:p>
      <w:pPr>
        <w:pStyle w:val="Heading6"/>
      </w:pPr>
      <w:r>
        <w:rPr>
          <w:b/>
          <w:lang w:val="en_US" w:bidi="en_US"/>
        </w:rPr>
        <w:t>General Comment on 5:8c–d</w:t>
      </w:r>
    </w:p>
    <w:p>
      <w:pPr/>
      <w:r>
        <w:rPr>
          <w:lang w:val="en_US" w:bidi="en_US"/>
        </w:rPr>
      </w:r>
      <w:r>
        <w:rPr>
          <w:lang w:val="en_US" w:bidi="en_US"/>
        </w:rPr>
        <w:t>In some languages, it may be more natural to change the order of 5:8c and 5:8d. For example:</w:t>
      </w:r>
    </w:p>
    <w:p>
      <w:pPr/>
      <w:r>
        <w:rPr>
          <w:lang w:val="en_US" w:bidi="en_US"/>
        </w:rPr>
      </w:r>
      <w:r>
        <w:rPr>
          <w:lang w:val="en_US" w:bidi="en_US"/>
        </w:rPr>
        <w:t xml:space="preserve">Lord, </w:t>
      </w:r>
      <w:r>
        <w:rPr>
          <w:vertAlign w:val="superscript"/>
          <w:lang w:val="en_US" w:bidi="en_US"/>
        </w:rPr>
        <w:t>8d</w:t>
      </w:r>
      <w:r>
        <w:rPr>
          <w:lang w:val="en_US" w:bidi="en_US"/>
        </w:rPr>
        <w:t xml:space="preserve">I am a sinful man, so </w:t>
      </w:r>
      <w:r>
        <w:rPr>
          <w:vertAlign w:val="superscript"/>
          <w:lang w:val="en_US" w:bidi="en_US"/>
        </w:rPr>
        <w:t>8c</w:t>
      </w:r>
      <w:r>
        <w:rPr>
          <w:lang w:val="en_US" w:bidi="en_US"/>
        </w:rPr>
        <w:t>go away from me!</w:t>
      </w:r>
      <w:r>
        <w:rPr>
          <w:lang w:val="en_US" w:bidi="en_US"/>
        </w:rPr>
      </w:r>
      <w:r>
        <w:rPr>
          <w:lang w:val="en_US" w:bidi="en_US"/>
        </w:rPr>
      </w:r>
    </w:p>
    <w:p>
      <w:pPr/>
      <w:r>
        <w:rPr>
          <w:lang w:val="en_US" w:bidi="en_US"/>
        </w:rPr>
      </w:r>
    </w:p>
    <w:p>
      <w:pPr>
        <w:pStyle w:val="Heading2"/>
      </w:pPr>
      <w:r>
        <w:rPr>
          <w:lang w:val="en_US" w:bidi="en_US"/>
        </w:rPr>
        <w:t>Luke 5:9</w:t>
      </w:r>
      <w:r>
        <w:rPr>
          <w:lang w:val="en_US" w:bidi="en_US"/>
        </w:rPr>
      </w:r>
    </w:p>
    <w:p>
      <w:pPr>
        <w:pStyle w:val="Heading4"/>
      </w:pPr>
      <w:r>
        <w:rPr>
          <w:lang w:val="en_US" w:bidi="en_US"/>
        </w:rPr>
        <w:t>Section 5:1–11: Simon and some other fishermen became disciples of Jesus</w:t>
      </w:r>
    </w:p>
    <w:p>
      <w:pPr/>
      <w:r>
        <w:rPr>
          <w:lang w:val="en_US" w:bidi="en_US"/>
        </w:rPr>
      </w:r>
      <w:r>
        <w:rPr>
          <w:lang w:val="en_US" w:bidi="en_US"/>
        </w:rPr>
        <w:t>In this section, Simon Peter and some of his fishing companions heard Jesus teach. They saw his power revealed through a miraculous catch of fish. As a result, they left their fishing work and began following Jesus as his disciples.</w:t>
      </w:r>
    </w:p>
    <w:p>
      <w:pPr/>
      <w:r>
        <w:rPr>
          <w:lang w:val="en_US" w:bidi="en_US"/>
        </w:rPr>
      </w:r>
      <w:r>
        <w:rPr>
          <w:lang w:val="en_US" w:bidi="en_US"/>
        </w:rPr>
        <w:t>Some other possible headings for this section are:</w:t>
      </w:r>
    </w:p>
    <w:p>
      <w:pPr/>
      <w:r>
        <w:rPr>
          <w:lang w:val="en_US" w:bidi="en_US"/>
        </w:rPr>
      </w:r>
      <w:r>
        <w:rPr>
          <w:lang w:val="en_US" w:bidi="en_US"/>
        </w:rPr>
        <w:t>Jesus called Simon and other fishermen to become his disciples</w:t>
      </w:r>
    </w:p>
    <w:p>
      <w:pPr/>
      <w:r>
        <w:rPr>
          <w:lang w:val="en_US" w:bidi="en_US"/>
        </w:rPr>
      </w:r>
      <w:r>
        <w:rPr>
          <w:lang w:val="en_US" w:bidi="en_US"/>
        </w:rPr>
        <w:t>Jesus’ first disciples</w:t>
      </w:r>
    </w:p>
    <w:p>
      <w:pPr/>
      <w:r>
        <w:rPr>
          <w:lang w:val="en_US" w:bidi="en_US"/>
        </w:rPr>
      </w:r>
      <w:r>
        <w:rPr>
          <w:lang w:val="en_US" w:bidi="en_US"/>
        </w:rPr>
        <w:t>There are parallel passages for this section in Matthew 4:18–22 and Mark 1:16–20.</w:t>
      </w:r>
    </w:p>
    <w:p>
      <w:pPr>
        <w:pStyle w:val="Heading5"/>
      </w:pPr>
      <w:r>
        <w:rPr>
          <w:lang w:val="en_US" w:bidi="en_US"/>
        </w:rPr>
        <w:t>5:9</w:t>
      </w:r>
    </w:p>
    <w:p>
      <w:pPr/>
      <w:r>
        <w:rPr>
          <w:lang w:val="en_US" w:bidi="en_US"/>
        </w:rPr>
      </w:r>
      <w:r>
        <w:rPr>
          <w:b/>
          <w:lang w:val="en_US" w:bidi="en_US"/>
        </w:rPr>
        <w:t>For he and his companions were astonished at the catch of fish they had taken,</w:t>
      </w:r>
    </w:p>
    <w:p>
      <w:pPr>
        <w:pStyle w:val="ListBullet"/>
        <w:spacing w:line="240" w:lineRule="auto"/>
        <w:ind w:left="720"/>
      </w:pPr>
      <w:r>
        <w:rPr>
          <w:lang w:val="en_US" w:bidi="en_US"/>
        </w:rPr>
      </w:r>
      <w:r>
        <w:rPr>
          <w:lang w:val="en_US" w:bidi="en_US"/>
        </w:rPr>
        <w:t>He said this</w:t>
      </w:r>
      <w:r>
        <w:rPr>
          <w:lang w:val="en_US" w:bidi="en_US"/>
        </w:rPr>
        <w:t xml:space="preserve"> because he and all the men with him were amazed at the </w:t>
      </w:r>
      <w:r>
        <w:rPr>
          <w:lang w:val="en_US" w:bidi="en_US"/>
        </w:rPr>
        <w:t>large number of</w:t>
      </w:r>
      <w:r>
        <w:rPr>
          <w:lang w:val="en_US" w:bidi="en_US"/>
        </w:rPr>
        <w:t xml:space="preserve"> fish they had caught.</w:t>
      </w:r>
    </w:p>
    <w:p>
      <w:pPr>
        <w:pStyle w:val="ListBullet"/>
        <w:spacing w:line="240" w:lineRule="auto"/>
        <w:ind w:left="720"/>
      </w:pPr>
      <w:r>
        <w:rPr>
          <w:lang w:val="en_US" w:bidi="en_US"/>
        </w:rPr>
      </w:r>
      <w:r>
        <w:rPr>
          <w:lang w:val="en_US" w:bidi="en_US"/>
        </w:rPr>
        <w:t>Peter and everyone with him were completely surprised at all the fish they had caught. (CEV)</w:t>
      </w:r>
    </w:p>
    <w:p>
      <w:pPr/>
      <w:r>
        <w:rPr>
          <w:lang w:val="en_US" w:bidi="en_US"/>
        </w:rPr>
      </w:r>
      <w:r>
        <w:rPr>
          <w:b/>
          <w:lang w:val="en_US" w:bidi="en_US"/>
        </w:rPr>
        <w:t>For:</w:t>
      </w:r>
      <w:r>
        <w:rPr>
          <w:lang w:val="en_US" w:bidi="en_US"/>
        </w:rPr>
        <w:t xml:space="preserve"> The Greek conjunction that the BSB and most English versions translate as </w:t>
      </w:r>
      <w:r>
        <w:rPr>
          <w:i/>
          <w:lang w:val="en_US" w:bidi="en_US"/>
        </w:rPr>
        <w:t>For</w:t>
      </w:r>
      <w:r>
        <w:rPr>
          <w:lang w:val="en_US" w:bidi="en_US"/>
        </w:rPr>
        <w:t xml:space="preserve"> introduces the reason why Simon said what he did in 5:8. The miracle of the large catch of fish showed Simon that he was with a holy, powerful man from God.</w:t>
      </w:r>
    </w:p>
    <w:p>
      <w:pPr/>
      <w:r>
        <w:rPr>
          <w:lang w:val="en_US" w:bidi="en_US"/>
        </w:rPr>
      </w:r>
      <w:r>
        <w:rPr>
          <w:b/>
          <w:lang w:val="en_US" w:bidi="en_US"/>
        </w:rPr>
        <w:t>his companions:</w:t>
      </w:r>
      <w:r>
        <w:rPr>
          <w:lang w:val="en_US" w:bidi="en_US"/>
        </w:rPr>
        <w:t xml:space="preserve"> The Greek phrase that the BSB translates as </w:t>
      </w:r>
      <w:r>
        <w:rPr>
          <w:i/>
          <w:lang w:val="en_US" w:bidi="en_US"/>
        </w:rPr>
        <w:t>his companions</w:t>
      </w:r>
      <w:r>
        <w:rPr>
          <w:lang w:val="en_US" w:bidi="en_US"/>
        </w:rPr>
        <w:t xml:space="preserve"> is literally “all the ones with him.” This refers to his fellow fishermen who were in his boat with him.</w:t>
      </w:r>
    </w:p>
    <w:p>
      <w:pPr/>
      <w:r>
        <w:rPr>
          <w:lang w:val="en_US" w:bidi="en_US"/>
        </w:rPr>
      </w:r>
      <w:r>
        <w:rPr>
          <w:lang w:val="en_US" w:bidi="en_US"/>
        </w:rPr>
        <w:t>Some other ways to translate this are:</w:t>
      </w:r>
    </w:p>
    <w:p>
      <w:pPr/>
      <w:r>
        <w:rPr>
          <w:lang w:val="en_US" w:bidi="en_US"/>
        </w:rPr>
      </w:r>
      <w:r>
        <w:rPr>
          <w:lang w:val="en_US" w:bidi="en_US"/>
        </w:rPr>
        <w:t>everyone who was with him (GW)</w:t>
      </w:r>
    </w:p>
    <w:p>
      <w:pPr/>
      <w:r>
        <w:rPr>
          <w:lang w:val="en_US" w:bidi="en_US"/>
        </w:rPr>
      </w:r>
      <w:r>
        <w:rPr>
          <w:lang w:val="en_US" w:bidi="en_US"/>
        </w:rPr>
        <w:t>the other fishermen (NCV)</w:t>
      </w:r>
    </w:p>
    <w:p>
      <w:pPr/>
      <w:r>
        <w:rPr>
          <w:lang w:val="en_US" w:bidi="en_US"/>
        </w:rPr>
      </w:r>
      <w:r>
        <w:rPr>
          <w:b/>
          <w:lang w:val="en_US" w:bidi="en_US"/>
        </w:rPr>
        <w:t>astonished:</w:t>
      </w:r>
      <w:r>
        <w:rPr>
          <w:lang w:val="en_US" w:bidi="en_US"/>
        </w:rPr>
        <w:t xml:space="preserve"> The Greek word that the BSB translates as </w:t>
      </w:r>
      <w:r>
        <w:rPr>
          <w:i/>
          <w:lang w:val="en_US" w:bidi="en_US"/>
        </w:rPr>
        <w:t>astonished</w:t>
      </w:r>
      <w:r>
        <w:rPr>
          <w:lang w:val="en_US" w:bidi="en_US"/>
        </w:rPr>
        <w:t xml:space="preserve"> usually describes amazement and awe. It is used to describe someone who sees or experiences something very unusual. This unusual thing is often caused by divine power. The fishermen were very surprised, amazed, and even afraid. There was no way to explain the number of fish they had caught apart from a miracle.</w:t>
      </w:r>
    </w:p>
    <w:p>
      <w:pPr/>
      <w:r>
        <w:rPr>
          <w:lang w:val="en_US" w:bidi="en_US"/>
        </w:rPr>
      </w:r>
      <w:r>
        <w:rPr>
          <w:lang w:val="en_US" w:bidi="en_US"/>
        </w:rPr>
        <w:t>Some other ways to translate this are:</w:t>
      </w:r>
    </w:p>
    <w:p>
      <w:pPr/>
      <w:r>
        <w:rPr>
          <w:lang w:val="en_US" w:bidi="en_US"/>
        </w:rPr>
      </w:r>
      <w:r>
        <w:rPr>
          <w:lang w:val="en_US" w:bidi="en_US"/>
        </w:rPr>
        <w:t>amazed (GW)</w:t>
      </w:r>
    </w:p>
    <w:p>
      <w:pPr/>
      <w:r>
        <w:rPr>
          <w:lang w:val="en_US" w:bidi="en_US"/>
        </w:rPr>
      </w:r>
      <w:r>
        <w:rPr>
          <w:lang w:val="en_US" w:bidi="en_US"/>
        </w:rPr>
        <w:t>completely surprised (CEV)</w:t>
      </w:r>
    </w:p>
    <w:p>
      <w:pPr/>
      <w:r>
        <w:rPr>
          <w:lang w:val="en_US" w:bidi="en_US"/>
        </w:rPr>
      </w:r>
      <w:r>
        <w:rPr>
          <w:b/>
          <w:lang w:val="en_US" w:bidi="en_US"/>
        </w:rPr>
        <w:t>at the catch of fish they had taken:</w:t>
      </w:r>
      <w:r>
        <w:rPr>
          <w:lang w:val="en_US" w:bidi="en_US"/>
        </w:rPr>
        <w:t xml:space="preserve"> The fishermen were astonished that they had caught fish during the day. They were especially astonished that they had caught so many fish. You may want to make this explicit in your translation. For example:</w:t>
      </w:r>
    </w:p>
    <w:p>
      <w:pPr/>
      <w:r>
        <w:rPr>
          <w:lang w:val="en_US" w:bidi="en_US"/>
        </w:rPr>
      </w:r>
      <w:r>
        <w:rPr>
          <w:lang w:val="en_US" w:bidi="en_US"/>
        </w:rPr>
        <w:t xml:space="preserve">at the </w:t>
      </w:r>
      <w:r>
        <w:rPr>
          <w:u w:val="single"/>
          <w:lang w:val="en_US" w:bidi="en_US"/>
        </w:rPr>
        <w:t>large number</w:t>
      </w:r>
      <w:r>
        <w:rPr>
          <w:lang w:val="en_US" w:bidi="en_US"/>
        </w:rPr>
        <w:t xml:space="preserve"> of fish they had caught (GNT)</w:t>
      </w:r>
    </w:p>
    <w:p>
      <w:pPr/>
      <w:r>
        <w:rPr>
          <w:lang w:val="en_US" w:bidi="en_US"/>
        </w:rPr>
      </w:r>
      <w:r>
        <w:rPr>
          <w:lang w:val="en_US" w:bidi="en_US"/>
        </w:rPr>
        <w:t xml:space="preserve">at the catch of </w:t>
      </w:r>
      <w:r>
        <w:rPr>
          <w:u w:val="single"/>
          <w:lang w:val="en_US" w:bidi="en_US"/>
        </w:rPr>
        <w:t>so many</w:t>
      </w:r>
      <w:r>
        <w:rPr>
          <w:lang w:val="en_US" w:bidi="en_US"/>
        </w:rPr>
        <w:t xml:space="preserve"> fish</w:t>
      </w:r>
    </w:p>
    <w:p>
      <w:pPr/>
      <w:r>
        <w:rPr>
          <w:lang w:val="en_US" w:bidi="en_US"/>
        </w:rPr>
      </w:r>
      <w:r>
        <w:rPr>
          <w:b/>
          <w:lang w:val="en_US" w:bidi="en_US"/>
        </w:rPr>
        <w:t>at:</w:t>
      </w:r>
      <w:r>
        <w:rPr>
          <w:lang w:val="en_US" w:bidi="en_US"/>
        </w:rPr>
        <w:t xml:space="preserve"> The Greek word that the BSB translates as </w:t>
      </w:r>
      <w:r>
        <w:rPr>
          <w:i/>
          <w:lang w:val="en_US" w:bidi="en_US"/>
        </w:rPr>
        <w:t>at</w:t>
      </w:r>
      <w:r>
        <w:rPr>
          <w:lang w:val="en_US" w:bidi="en_US"/>
        </w:rPr>
        <w:t xml:space="preserve"> here means “because of” or “on the basis/account of.” It introduces the reason why Simon Peter and his companions were astonished.</w:t>
      </w:r>
    </w:p>
    <w:p>
      <w:pPr/>
      <w:r>
        <w:rPr>
          <w:lang w:val="en_US" w:bidi="en_US"/>
        </w:rPr>
      </w:r>
      <w:r>
        <w:rPr>
          <w:b/>
          <w:lang w:val="en_US" w:bidi="en_US"/>
        </w:rPr>
        <w:t>the catch of fish they had taken:</w:t>
      </w:r>
      <w:r>
        <w:rPr>
          <w:lang w:val="en_US" w:bidi="en_US"/>
        </w:rPr>
        <w:t xml:space="preserve"> Here the word </w:t>
      </w:r>
      <w:r>
        <w:rPr>
          <w:i/>
          <w:lang w:val="en_US" w:bidi="en_US"/>
        </w:rPr>
        <w:t>catch</w:t>
      </w:r>
      <w:r>
        <w:rPr>
          <w:lang w:val="en_US" w:bidi="en_US"/>
        </w:rPr>
        <w:t xml:space="preserve"> is a noun. This word means something that is caught or taken. So it may be redundant in some languages to translate explicitly the clause </w:t>
      </w:r>
      <w:r>
        <w:rPr>
          <w:i/>
          <w:lang w:val="en_US" w:bidi="en_US"/>
        </w:rPr>
        <w:t>they had taken</w:t>
      </w:r>
      <w:r>
        <w:rPr>
          <w:lang w:val="en_US" w:bidi="en_US"/>
        </w:rPr>
        <w:t>. If that is the true of your language, you could consider translating this simply as:</w:t>
      </w:r>
    </w:p>
    <w:p>
      <w:pPr/>
      <w:r>
        <w:rPr>
          <w:lang w:val="en_US" w:bidi="en_US"/>
        </w:rPr>
      </w:r>
      <w:r>
        <w:rPr>
          <w:lang w:val="en_US" w:bidi="en_US"/>
        </w:rPr>
        <w:t>at their enormous catch of fish</w:t>
      </w:r>
    </w:p>
    <w:p>
      <w:pPr/>
      <w:r>
        <w:rPr>
          <w:lang w:val="en_US" w:bidi="en_US"/>
        </w:rPr>
      </w:r>
      <w:r>
        <w:rPr>
          <w:lang w:val="en_US" w:bidi="en_US"/>
        </w:rPr>
        <w:t xml:space="preserve">that they had caught </w:t>
      </w:r>
      <w:r>
        <w:rPr>
          <w:lang w:val="en_US" w:bidi="en_US"/>
        </w:rPr>
        <w:t>so many</w:t>
      </w:r>
      <w:r>
        <w:rPr>
          <w:lang w:val="en_US" w:bidi="en_US"/>
        </w:rPr>
        <w:t xml:space="preserve"> fish</w:t>
      </w:r>
      <w:r>
        <w:rPr>
          <w:lang w:val="en_US" w:bidi="en_US"/>
        </w:rPr>
      </w:r>
      <w:r>
        <w:rPr>
          <w:lang w:val="en_US" w:bidi="en_US"/>
        </w:rPr>
      </w:r>
    </w:p>
    <w:p>
      <w:pPr/>
      <w:r>
        <w:rPr>
          <w:lang w:val="en_US" w:bidi="en_US"/>
        </w:rPr>
      </w:r>
    </w:p>
    <w:p>
      <w:pPr>
        <w:pStyle w:val="Heading2"/>
      </w:pPr>
      <w:r>
        <w:rPr>
          <w:lang w:val="en_US" w:bidi="en_US"/>
        </w:rPr>
        <w:t>Luke 5:10</w:t>
      </w:r>
      <w:r>
        <w:rPr>
          <w:lang w:val="en_US" w:bidi="en_US"/>
        </w:rPr>
      </w:r>
    </w:p>
    <w:p>
      <w:pPr>
        <w:pStyle w:val="Heading4"/>
      </w:pPr>
      <w:r>
        <w:rPr>
          <w:lang w:val="en_US" w:bidi="en_US"/>
        </w:rPr>
        <w:t>Section 5:1–11: Simon and some other fishermen became disciples of Jesus</w:t>
      </w:r>
    </w:p>
    <w:p>
      <w:pPr/>
      <w:r>
        <w:rPr>
          <w:lang w:val="en_US" w:bidi="en_US"/>
        </w:rPr>
      </w:r>
      <w:r>
        <w:rPr>
          <w:lang w:val="en_US" w:bidi="en_US"/>
        </w:rPr>
        <w:t>In this section, Simon Peter and some of his fishing companions heard Jesus teach. They saw his power revealed through a miraculous catch of fish. As a result, they left their fishing work and began following Jesus as his disciples.</w:t>
      </w:r>
    </w:p>
    <w:p>
      <w:pPr/>
      <w:r>
        <w:rPr>
          <w:lang w:val="en_US" w:bidi="en_US"/>
        </w:rPr>
      </w:r>
      <w:r>
        <w:rPr>
          <w:lang w:val="en_US" w:bidi="en_US"/>
        </w:rPr>
        <w:t>Some other possible headings for this section are:</w:t>
      </w:r>
    </w:p>
    <w:p>
      <w:pPr/>
      <w:r>
        <w:rPr>
          <w:lang w:val="en_US" w:bidi="en_US"/>
        </w:rPr>
      </w:r>
      <w:r>
        <w:rPr>
          <w:lang w:val="en_US" w:bidi="en_US"/>
        </w:rPr>
        <w:t>Jesus called Simon and other fishermen to become his disciples</w:t>
      </w:r>
    </w:p>
    <w:p>
      <w:pPr/>
      <w:r>
        <w:rPr>
          <w:lang w:val="en_US" w:bidi="en_US"/>
        </w:rPr>
      </w:r>
      <w:r>
        <w:rPr>
          <w:lang w:val="en_US" w:bidi="en_US"/>
        </w:rPr>
        <w:t>Jesus’ first disciples</w:t>
      </w:r>
    </w:p>
    <w:p>
      <w:pPr/>
      <w:r>
        <w:rPr>
          <w:lang w:val="en_US" w:bidi="en_US"/>
        </w:rPr>
      </w:r>
      <w:r>
        <w:rPr>
          <w:lang w:val="en_US" w:bidi="en_US"/>
        </w:rPr>
        <w:t>There are parallel passages for this section in Matthew 4:18–22 and Mark 1:16–20.</w:t>
      </w:r>
    </w:p>
    <w:p>
      <w:pPr>
        <w:pStyle w:val="Heading5"/>
      </w:pPr>
      <w:r>
        <w:rPr>
          <w:lang w:val="en_US" w:bidi="en_US"/>
        </w:rPr>
        <w:t>5:10a</w:t>
      </w:r>
    </w:p>
    <w:p>
      <w:pPr/>
      <w:r>
        <w:rPr>
          <w:lang w:val="en_US" w:bidi="en_US"/>
        </w:rPr>
      </w:r>
      <w:r>
        <w:rPr>
          <w:b/>
          <w:lang w:val="en_US" w:bidi="en_US"/>
        </w:rPr>
        <w:t>and so were his partners James and John, the sons of Zebedee.</w:t>
      </w:r>
    </w:p>
    <w:p>
      <w:pPr>
        <w:pStyle w:val="ListBullet"/>
        <w:spacing w:line="240" w:lineRule="auto"/>
        <w:ind w:left="720"/>
      </w:pPr>
      <w:r>
        <w:rPr>
          <w:lang w:val="en_US" w:bidi="en_US"/>
        </w:rPr>
      </w:r>
      <w:r>
        <w:rPr>
          <w:lang w:val="en_US" w:bidi="en_US"/>
        </w:rPr>
        <w:t>Simon’s fellow partners/fishermen, James and John, Zebedee’s sons, were also amazed.</w:t>
      </w:r>
    </w:p>
    <w:p>
      <w:pPr>
        <w:pStyle w:val="ListBullet"/>
        <w:spacing w:line="240" w:lineRule="auto"/>
        <w:ind w:left="720"/>
      </w:pPr>
      <w:r>
        <w:rPr>
          <w:lang w:val="en_US" w:bidi="en_US"/>
        </w:rPr>
      </w:r>
      <w:r>
        <w:rPr>
          <w:lang w:val="en_US" w:bidi="en_US"/>
        </w:rPr>
        <w:t>Two of the men</w:t>
      </w:r>
      <w:r>
        <w:rPr>
          <w:lang w:val="en_US" w:bidi="en_US"/>
        </w:rPr>
        <w:t xml:space="preserve"> who fished with Simon were </w:t>
      </w:r>
      <w:r>
        <w:rPr>
          <w:lang w:val="en_US" w:bidi="en_US"/>
        </w:rPr>
        <w:t>named</w:t>
      </w:r>
      <w:r>
        <w:rPr>
          <w:lang w:val="en_US" w:bidi="en_US"/>
        </w:rPr>
        <w:t xml:space="preserve"> James and John. Their father was Zebedee. They too were amazed </w:t>
      </w:r>
      <w:r>
        <w:rPr>
          <w:lang w:val="en_US" w:bidi="en_US"/>
        </w:rPr>
        <w:t>at what had happened</w:t>
      </w:r>
      <w:r>
        <w:rPr>
          <w:lang w:val="en_US" w:bidi="en_US"/>
        </w:rPr>
        <w:t>.</w:t>
      </w:r>
    </w:p>
    <w:p>
      <w:pPr/>
      <w:r>
        <w:rPr>
          <w:lang w:val="en_US" w:bidi="en_US"/>
        </w:rPr>
      </w:r>
      <w:r>
        <w:rPr>
          <w:b/>
          <w:lang w:val="en_US" w:bidi="en_US"/>
        </w:rPr>
        <w:t>his partners James and John, the sons of Zebedee:</w:t>
      </w:r>
      <w:r>
        <w:rPr>
          <w:lang w:val="en_US" w:bidi="en_US"/>
        </w:rPr>
        <w:t xml:space="preserve"> This is the first time that Luke specifically mentioned the names of some of Simon’s partners. (James and John were among the “partners” mentioned in 5:7.) He told us three things about them: their names, the name of their father, and their relationship to Simon (see the note below on </w:t>
      </w:r>
      <w:r>
        <w:rPr>
          <w:i/>
          <w:lang w:val="en_US" w:bidi="en_US"/>
        </w:rPr>
        <w:t>his partners</w:t>
      </w:r>
      <w:r>
        <w:rPr>
          <w:lang w:val="en_US" w:bidi="en_US"/>
        </w:rPr>
        <w:t>).</w:t>
      </w:r>
    </w:p>
    <w:p>
      <w:pPr/>
      <w:r>
        <w:rPr>
          <w:lang w:val="en_US" w:bidi="en_US"/>
        </w:rPr>
      </w:r>
      <w:r>
        <w:rPr>
          <w:lang w:val="en_US" w:bidi="en_US"/>
        </w:rPr>
        <w:t>As you translate this verse, you will need to think about these questions:</w:t>
      </w:r>
    </w:p>
    <w:p>
      <w:pPr>
        <w:pStyle w:val="ListNumber"/>
        <w:numPr>
          <w:ilvl w:val="0"/>
          <w:numId w:val="109"/>
        </w:numPr>
        <w:spacing w:line="240" w:lineRule="auto"/>
        <w:ind w:left="720"/>
      </w:pPr>
      <w:r>
        <w:rPr>
          <w:lang w:val="en_US" w:bidi="en_US"/>
        </w:rPr>
      </w:r>
      <w:r>
        <w:rPr>
          <w:lang w:val="en_US" w:bidi="en_US"/>
        </w:rPr>
        <w:t>How are new characters introduced in a way that is natural in your language?</w:t>
      </w:r>
    </w:p>
    <w:p>
      <w:pPr>
        <w:pStyle w:val="ListNumber"/>
        <w:spacing w:line="240" w:lineRule="auto"/>
        <w:ind w:left="720"/>
      </w:pPr>
      <w:r>
        <w:rPr>
          <w:lang w:val="en_US" w:bidi="en_US"/>
        </w:rPr>
      </w:r>
      <w:r>
        <w:rPr>
          <w:lang w:val="en_US" w:bidi="en_US"/>
        </w:rPr>
        <w:t>What is the most natural order in your language for this information?</w:t>
      </w:r>
    </w:p>
    <w:p>
      <w:pPr/>
      <w:r>
        <w:rPr>
          <w:lang w:val="en_US" w:bidi="en_US"/>
        </w:rPr>
      </w:r>
      <w:r>
        <w:rPr>
          <w:lang w:val="en_US" w:bidi="en_US"/>
        </w:rPr>
        <w:t>Another way to translate this part of the verse is:</w:t>
      </w:r>
    </w:p>
    <w:p>
      <w:pPr/>
      <w:r>
        <w:rPr>
          <w:lang w:val="en_US" w:bidi="en_US"/>
        </w:rPr>
      </w:r>
      <w:r>
        <w:rPr>
          <w:lang w:val="en_US" w:bidi="en_US"/>
        </w:rPr>
        <w:t>Simon had two partners whose names were James and John. Their father was Zebedee. They too were amazed at what had happened.</w:t>
      </w:r>
    </w:p>
    <w:p>
      <w:pPr/>
      <w:r>
        <w:rPr>
          <w:lang w:val="en_US" w:bidi="en_US"/>
        </w:rPr>
      </w:r>
      <w:r>
        <w:rPr>
          <w:b/>
          <w:lang w:val="en_US" w:bidi="en_US"/>
        </w:rPr>
        <w:t>his partners:</w:t>
      </w:r>
      <w:r>
        <w:rPr>
          <w:lang w:val="en_US" w:bidi="en_US"/>
        </w:rPr>
        <w:t xml:space="preserve"> The Greek word that the BSB translates as </w:t>
      </w:r>
      <w:r>
        <w:rPr>
          <w:i/>
          <w:lang w:val="en_US" w:bidi="en_US"/>
        </w:rPr>
        <w:t>partners</w:t>
      </w:r>
      <w:r>
        <w:rPr>
          <w:lang w:val="en_US" w:bidi="en_US"/>
        </w:rPr>
        <w:t xml:space="preserve"> indicates that James and John worked together with Simon as fishermen. It may indicate even more specifically that they were business partners. James and John may have owned the fishing business along with Simon.</w:t>
      </w:r>
    </w:p>
    <w:p>
      <w:pPr/>
      <w:r>
        <w:rPr>
          <w:lang w:val="en_US" w:bidi="en_US"/>
        </w:rPr>
      </w:r>
      <w:r>
        <w:rPr>
          <w:lang w:val="en_US" w:bidi="en_US"/>
        </w:rPr>
        <w:t>This Greek word is different from the word that was translated as “partners” in 5:7a. However, the two words have very similar meanings. You can use the same word in your language for both Greek words. Or you could use a more specific word here that means “business partners.”</w:t>
      </w:r>
    </w:p>
    <w:p>
      <w:pPr/>
      <w:r>
        <w:rPr>
          <w:lang w:val="en_US" w:bidi="en_US"/>
        </w:rPr>
      </w:r>
      <w:r>
        <w:rPr>
          <w:b/>
          <w:lang w:val="en_US" w:bidi="en_US"/>
        </w:rPr>
        <w:t>the sons of Zebedee:</w:t>
      </w:r>
      <w:r>
        <w:rPr>
          <w:lang w:val="en_US" w:bidi="en_US"/>
        </w:rPr>
        <w:t xml:space="preserve"> James and John were brothers, and Zebedee was their father.</w:t>
      </w:r>
    </w:p>
    <w:p>
      <w:pPr>
        <w:pStyle w:val="Heading6"/>
      </w:pPr>
      <w:r>
        <w:rPr>
          <w:b/>
          <w:lang w:val="en_US" w:bidi="en_US"/>
        </w:rPr>
        <w:t>General Comment on 5:8a–10a</w:t>
      </w:r>
    </w:p>
    <w:p>
      <w:pPr/>
      <w:r>
        <w:rPr>
          <w:lang w:val="en_US" w:bidi="en_US"/>
        </w:rPr>
      </w:r>
      <w:r>
        <w:rPr>
          <w:lang w:val="en_US" w:bidi="en_US"/>
        </w:rPr>
        <w:t>Simon’s reaction in 5:8 was based on the miraculous catch of fish described in 5:6–7. The feelings behind his reaction are then explained in 5:9. In some languages, it may be a more natural order to first give Simon’s feelings, and then the reaction that resulted from his feelings. If this is true in your language, you might consider reordering these verses. For example:</w:t>
      </w:r>
    </w:p>
    <w:p>
      <w:pPr/>
      <w:r>
        <w:rPr>
          <w:lang w:val="en_US" w:bidi="en_US"/>
        </w:rPr>
      </w:r>
      <w:r>
        <w:rPr>
          <w:vertAlign w:val="superscript"/>
          <w:lang w:val="en_US" w:bidi="en_US"/>
        </w:rPr>
        <w:t>8a</w:t>
      </w:r>
      <w:r>
        <w:rPr>
          <w:lang w:val="en_US" w:bidi="en_US"/>
        </w:rPr>
        <w:t xml:space="preserve">When Simon Peter saw what had happened, </w:t>
      </w:r>
      <w:r>
        <w:rPr>
          <w:vertAlign w:val="superscript"/>
          <w:lang w:val="en_US" w:bidi="en_US"/>
        </w:rPr>
        <w:t>9</w:t>
      </w:r>
      <w:r>
        <w:rPr>
          <w:lang w:val="en_US" w:bidi="en_US"/>
        </w:rPr>
        <w:t xml:space="preserve">he was astonished. </w:t>
      </w:r>
      <w:r>
        <w:rPr>
          <w:vertAlign w:val="superscript"/>
          <w:lang w:val="en_US" w:bidi="en_US"/>
        </w:rPr>
        <w:t>8b</w:t>
      </w:r>
      <w:r>
        <w:rPr>
          <w:lang w:val="en_US" w:bidi="en_US"/>
        </w:rPr>
        <w:t xml:space="preserve">He fell at Jesus’ knees and said, “Go away from me, Lord; I am a sinful man!” </w:t>
      </w:r>
      <w:r>
        <w:rPr>
          <w:vertAlign w:val="superscript"/>
          <w:lang w:val="en_US" w:bidi="en_US"/>
        </w:rPr>
        <w:t>9</w:t>
      </w:r>
      <w:r>
        <w:rPr>
          <w:lang w:val="en_US" w:bidi="en_US"/>
        </w:rPr>
        <w:t xml:space="preserve">All the men with Simon, </w:t>
      </w:r>
      <w:r>
        <w:rPr>
          <w:vertAlign w:val="superscript"/>
          <w:lang w:val="en_US" w:bidi="en_US"/>
        </w:rPr>
        <w:t>10a</w:t>
      </w:r>
      <w:r>
        <w:rPr>
          <w:lang w:val="en_US" w:bidi="en_US"/>
        </w:rPr>
        <w:t xml:space="preserve">including James and John, the sons of Zebedee, who were Simon’s partners, </w:t>
      </w:r>
      <w:r>
        <w:rPr>
          <w:vertAlign w:val="superscript"/>
          <w:lang w:val="en_US" w:bidi="en_US"/>
        </w:rPr>
        <w:t>9</w:t>
      </w:r>
      <w:r>
        <w:rPr>
          <w:lang w:val="en_US" w:bidi="en_US"/>
        </w:rPr>
        <w:t>were likewise astonished.</w:t>
      </w:r>
    </w:p>
    <w:p>
      <w:pPr>
        <w:pStyle w:val="Heading5"/>
      </w:pPr>
      <w:r>
        <w:rPr>
          <w:lang w:val="en_US" w:bidi="en_US"/>
        </w:rPr>
        <w:t>5:10b</w:t>
      </w:r>
    </w:p>
    <w:p>
      <w:pPr/>
      <w:r>
        <w:rPr>
          <w:lang w:val="en_US" w:bidi="en_US"/>
        </w:rPr>
      </w:r>
      <w:r>
        <w:rPr>
          <w:b/>
          <w:lang w:val="en_US" w:bidi="en_US"/>
        </w:rPr>
        <w:t>“Do not be afraid,” Jesus said to Simon.</w:t>
      </w:r>
    </w:p>
    <w:p>
      <w:pPr>
        <w:pStyle w:val="ListBullet"/>
        <w:spacing w:line="240" w:lineRule="auto"/>
        <w:ind w:left="720"/>
      </w:pPr>
      <w:r>
        <w:rPr>
          <w:lang w:val="en_US" w:bidi="en_US"/>
        </w:rPr>
      </w:r>
      <w:r>
        <w:rPr>
          <w:lang w:val="en_US" w:bidi="en_US"/>
        </w:rPr>
        <w:t>Then Jesus told Simon, “Do not be afraid.</w:t>
      </w:r>
    </w:p>
    <w:p>
      <w:pPr>
        <w:pStyle w:val="ListBullet"/>
        <w:spacing w:line="240" w:lineRule="auto"/>
        <w:ind w:left="720"/>
      </w:pPr>
      <w:r>
        <w:rPr>
          <w:lang w:val="en_US" w:bidi="en_US"/>
        </w:rPr>
      </w:r>
      <w:r>
        <w:rPr>
          <w:lang w:val="en_US" w:bidi="en_US"/>
        </w:rPr>
        <w:t>Jesus told Simon, “Do not fear.</w:t>
      </w:r>
      <w:r>
        <w:rPr>
          <w:vertAlign w:val="superscript"/>
          <w:lang w:val="en_US" w:bidi="en_US"/>
        </w:rPr>
        <w:t>(sing)</w:t>
      </w:r>
    </w:p>
    <w:p>
      <w:pPr>
        <w:pStyle w:val="ListBullet"/>
        <w:spacing w:line="240" w:lineRule="auto"/>
        <w:ind w:left="720"/>
      </w:pPr>
      <w:r>
        <w:rPr>
          <w:lang w:val="en_US" w:bidi="en_US"/>
        </w:rPr>
      </w:r>
      <w:r>
        <w:rPr>
          <w:lang w:val="en_US" w:bidi="en_US"/>
        </w:rPr>
        <w:t>Then Jesus told Simon not to fear.</w:t>
      </w:r>
    </w:p>
    <w:p>
      <w:pPr>
        <w:pStyle w:val="Heading5"/>
      </w:pPr>
      <w:r>
        <w:rPr>
          <w:lang w:val="en_US" w:bidi="en_US"/>
        </w:rPr>
        <w:t>5:10c</w:t>
      </w:r>
    </w:p>
    <w:p>
      <w:pPr/>
      <w:r>
        <w:rPr>
          <w:lang w:val="en_US" w:bidi="en_US"/>
        </w:rPr>
      </w:r>
      <w:r>
        <w:rPr>
          <w:b/>
          <w:lang w:val="en_US" w:bidi="en_US"/>
        </w:rPr>
        <w:t>“From now on you will catch men.”</w:t>
      </w:r>
    </w:p>
    <w:p>
      <w:pPr>
        <w:pStyle w:val="ListBullet"/>
        <w:spacing w:line="240" w:lineRule="auto"/>
        <w:ind w:left="720"/>
      </w:pPr>
      <w:r>
        <w:rPr>
          <w:lang w:val="en_US" w:bidi="en_US"/>
        </w:rPr>
      </w:r>
      <w:r>
        <w:rPr>
          <w:lang w:val="en_US" w:bidi="en_US"/>
        </w:rPr>
        <w:t>From now on it is people you</w:t>
      </w:r>
      <w:r>
        <w:rPr>
          <w:vertAlign w:val="superscript"/>
          <w:lang w:val="en_US" w:bidi="en_US"/>
        </w:rPr>
        <w:t>(sing)</w:t>
      </w:r>
      <w:r>
        <w:rPr>
          <w:lang w:val="en_US" w:bidi="en_US"/>
        </w:rPr>
        <w:t xml:space="preserve"> will catch.”</w:t>
      </w:r>
    </w:p>
    <w:p>
      <w:pPr>
        <w:pStyle w:val="ListBullet"/>
        <w:spacing w:line="240" w:lineRule="auto"/>
        <w:ind w:left="720"/>
      </w:pPr>
      <w:r>
        <w:rPr>
          <w:lang w:val="en_US" w:bidi="en_US"/>
        </w:rPr>
      </w:r>
      <w:r>
        <w:rPr>
          <w:lang w:val="en_US" w:bidi="en_US"/>
        </w:rPr>
        <w:t xml:space="preserve">Starting from now, it is people, </w:t>
      </w:r>
      <w:r>
        <w:rPr>
          <w:lang w:val="en_US" w:bidi="en_US"/>
        </w:rPr>
        <w:t>not fish,</w:t>
      </w:r>
      <w:r>
        <w:rPr>
          <w:lang w:val="en_US" w:bidi="en_US"/>
        </w:rPr>
        <w:t xml:space="preserve"> you</w:t>
      </w:r>
      <w:r>
        <w:rPr>
          <w:vertAlign w:val="superscript"/>
          <w:lang w:val="en_US" w:bidi="en_US"/>
        </w:rPr>
        <w:t>(sing)</w:t>
      </w:r>
      <w:r>
        <w:rPr>
          <w:lang w:val="en_US" w:bidi="en_US"/>
        </w:rPr>
        <w:t xml:space="preserve"> will be gathering.”</w:t>
      </w:r>
    </w:p>
    <w:p>
      <w:pPr>
        <w:pStyle w:val="ListBullet"/>
        <w:spacing w:line="240" w:lineRule="auto"/>
        <w:ind w:left="720"/>
      </w:pPr>
      <w:r>
        <w:rPr>
          <w:lang w:val="en_US" w:bidi="en_US"/>
        </w:rPr>
      </w:r>
      <w:r>
        <w:rPr>
          <w:lang w:val="en_US" w:bidi="en_US"/>
        </w:rPr>
        <w:t xml:space="preserve">He told him that from that day onward he would be catching/gathering people </w:t>
      </w:r>
      <w:r>
        <w:rPr>
          <w:lang w:val="en_US" w:bidi="en_US"/>
        </w:rPr>
        <w:t>not fish</w:t>
      </w:r>
      <w:r>
        <w:rPr>
          <w:lang w:val="en_US" w:bidi="en_US"/>
        </w:rPr>
        <w:t>.</w:t>
      </w:r>
    </w:p>
    <w:p>
      <w:pPr>
        <w:pStyle w:val="Heading5"/>
      </w:pPr>
      <w:r>
        <w:rPr>
          <w:lang w:val="en_US" w:bidi="en_US"/>
        </w:rPr>
        <w:t>5:10b–c</w:t>
      </w:r>
    </w:p>
    <w:p>
      <w:pPr/>
      <w:r>
        <w:rPr>
          <w:lang w:val="en_US" w:bidi="en_US"/>
        </w:rPr>
      </w:r>
      <w:r>
        <w:rPr>
          <w:b/>
          <w:lang w:val="en_US" w:bidi="en_US"/>
        </w:rPr>
        <w:t>From now on:</w:t>
      </w:r>
      <w:r>
        <w:rPr>
          <w:lang w:val="en_US" w:bidi="en_US"/>
        </w:rPr>
        <w:t xml:space="preserve"> Other ways to translate the phrase </w:t>
      </w:r>
      <w:r>
        <w:rPr>
          <w:i/>
          <w:lang w:val="en_US" w:bidi="en_US"/>
        </w:rPr>
        <w:t>From now on</w:t>
      </w:r>
      <w:r>
        <w:rPr>
          <w:lang w:val="en_US" w:bidi="en_US"/>
        </w:rPr>
        <w:t xml:space="preserve"> are:</w:t>
      </w:r>
    </w:p>
    <w:p>
      <w:pPr/>
      <w:r>
        <w:rPr>
          <w:lang w:val="en_US" w:bidi="en_US"/>
        </w:rPr>
      </w:r>
      <w:r>
        <w:rPr>
          <w:lang w:val="en_US" w:bidi="en_US"/>
        </w:rPr>
        <w:t>starting from this time</w:t>
      </w:r>
    </w:p>
    <w:p>
      <w:pPr/>
      <w:r>
        <w:rPr>
          <w:lang w:val="en_US" w:bidi="en_US"/>
        </w:rPr>
      </w:r>
      <w:r>
        <w:rPr>
          <w:lang w:val="en_US" w:bidi="en_US"/>
        </w:rPr>
        <w:t>from this day forward</w:t>
      </w:r>
    </w:p>
    <w:p>
      <w:pPr/>
      <w:r>
        <w:rPr>
          <w:lang w:val="en_US" w:bidi="en_US"/>
        </w:rPr>
      </w:r>
      <w:r>
        <w:rPr>
          <w:b/>
          <w:lang w:val="en_US" w:bidi="en_US"/>
        </w:rPr>
        <w:t>you will catch men:</w:t>
      </w:r>
      <w:r>
        <w:rPr>
          <w:lang w:val="en_US" w:bidi="en_US"/>
        </w:rPr>
        <w:t xml:space="preserve"> The clause </w:t>
      </w:r>
      <w:r>
        <w:rPr>
          <w:i/>
          <w:lang w:val="en_US" w:bidi="en_US"/>
        </w:rPr>
        <w:t>you will catch men</w:t>
      </w:r>
      <w:r>
        <w:rPr>
          <w:lang w:val="en_US" w:bidi="en_US"/>
        </w:rPr>
        <w:t xml:space="preserve"> is a figure of speech. It relates the ideas of fishing and “catching men.” Jesus was saying that Peter would leave his normal work of fishing. He would start bringing people into God’s kingdom.</w:t>
      </w:r>
    </w:p>
    <w:p>
      <w:pPr/>
      <w:r>
        <w:rPr>
          <w:lang w:val="en_US" w:bidi="en_US"/>
        </w:rPr>
      </w:r>
      <w:r>
        <w:rPr>
          <w:lang w:val="en_US" w:bidi="en_US"/>
        </w:rPr>
        <w:t>Do not imply that Peter was going to “catch men” to do forced labor. Do not imply that he was going to catch criminals.</w:t>
      </w:r>
    </w:p>
    <w:p>
      <w:pPr/>
      <w:r>
        <w:rPr>
          <w:lang w:val="en_US" w:bidi="en_US"/>
        </w:rPr>
      </w:r>
      <w:r>
        <w:rPr>
          <w:lang w:val="en_US" w:bidi="en_US"/>
        </w:rPr>
        <w:t>You may need to make the connection to fishing explicit in your translation. For example:</w:t>
      </w:r>
    </w:p>
    <w:p>
      <w:pPr/>
      <w:r>
        <w:rPr>
          <w:lang w:val="en_US" w:bidi="en_US"/>
        </w:rPr>
      </w:r>
      <w:r>
        <w:rPr>
          <w:lang w:val="en_US" w:bidi="en_US"/>
        </w:rPr>
        <w:t>You used to catch fish.</w:t>
      </w:r>
      <w:r>
        <w:rPr>
          <w:lang w:val="en_US" w:bidi="en_US"/>
        </w:rPr>
        <w:t xml:space="preserve"> From now on you will catch men.</w:t>
      </w:r>
    </w:p>
    <w:p>
      <w:pPr/>
      <w:r>
        <w:rPr>
          <w:lang w:val="en_US" w:bidi="en_US"/>
        </w:rPr>
      </w:r>
      <w:r>
        <w:rPr>
          <w:lang w:val="en_US" w:bidi="en_US"/>
        </w:rPr>
        <w:t xml:space="preserve">If possible, use a word for </w:t>
      </w:r>
      <w:r>
        <w:rPr>
          <w:i/>
          <w:lang w:val="en_US" w:bidi="en_US"/>
        </w:rPr>
        <w:t>catch</w:t>
      </w:r>
      <w:r>
        <w:rPr>
          <w:lang w:val="en_US" w:bidi="en_US"/>
        </w:rPr>
        <w:t xml:space="preserve"> in your language that could apply to both men and fish.</w:t>
      </w:r>
      <w:r>
        <w:rPr>
          <w:lang w:val="en_US" w:bidi="en_US"/>
        </w:rPr>
        <w:t>The Greek word used here was not, however, used for fishing. Rather it was a military word that meant “to capture and take alive” as opposed to killing. A different word is used in the parallel accounts in Matthew and Mark (Matthew 4:19, Mark 1:17) where Jesus says literally: “I will make you fishermen of men.”</w:t>
      </w:r>
      <w:r>
        <w:rPr>
          <w:lang w:val="en_US" w:bidi="en_US"/>
        </w:rPr>
        <w:t xml:space="preserve"> In many languages the word normally used for catching fish will have a negative connotation such as “kill” or “capture.” This will not be appropriate for Jesus’ meaning in connection with men. In those languages you may need to say something like:</w:t>
      </w:r>
    </w:p>
    <w:p>
      <w:pPr/>
      <w:r>
        <w:rPr>
          <w:lang w:val="en_US" w:bidi="en_US"/>
        </w:rPr>
      </w:r>
      <w:r>
        <w:rPr>
          <w:lang w:val="en_US" w:bidi="en_US"/>
        </w:rPr>
        <w:t xml:space="preserve">you will gather people </w:t>
      </w:r>
      <w:r>
        <w:rPr>
          <w:lang w:val="en_US" w:bidi="en_US"/>
        </w:rPr>
        <w:t>to follow me</w:t>
      </w:r>
      <w:r>
        <w:rPr>
          <w:lang w:val="en_US" w:bidi="en_US"/>
        </w:rPr>
        <w:t xml:space="preserve"> </w:t>
      </w:r>
      <w:r>
        <w:rPr>
          <w:lang w:val="en_US" w:bidi="en_US"/>
        </w:rPr>
        <w:t>instead of gathering fish to sell</w:t>
      </w:r>
    </w:p>
    <w:p>
      <w:pPr/>
      <w:r>
        <w:rPr>
          <w:lang w:val="en_US" w:bidi="en_US"/>
        </w:rPr>
      </w:r>
      <w:r>
        <w:rPr>
          <w:lang w:val="en_US" w:bidi="en_US"/>
        </w:rPr>
        <w:t>you will bring in people instead of fish (CEV)</w:t>
      </w:r>
    </w:p>
    <w:p>
      <w:pPr/>
      <w:r>
        <w:rPr>
          <w:lang w:val="en_US" w:bidi="en_US"/>
        </w:rPr>
      </w:r>
      <w:r>
        <w:rPr>
          <w:lang w:val="en_US" w:bidi="en_US"/>
        </w:rPr>
        <w:t xml:space="preserve">you will be bringing people to me </w:t>
      </w:r>
      <w:r>
        <w:rPr>
          <w:lang w:val="en_US" w:bidi="en_US"/>
        </w:rPr>
        <w:t>instead of fishing for fish</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singular. Jesus was talking specifically to Simon. However, other men who also wanted to be Jesus’ disciples heard these words.</w:t>
      </w:r>
    </w:p>
    <w:p>
      <w:pPr/>
      <w:r>
        <w:rPr>
          <w:lang w:val="en_US" w:bidi="en_US"/>
        </w:rPr>
      </w:r>
      <w:r>
        <w:rPr>
          <w:b/>
          <w:lang w:val="en_US" w:bidi="en_US"/>
        </w:rPr>
        <w:t>will catch:</w:t>
      </w:r>
      <w:r>
        <w:rPr>
          <w:lang w:val="en_US" w:bidi="en_US"/>
        </w:rPr>
        <w:t xml:space="preserve"> The verb that the BSB translates as </w:t>
      </w:r>
      <w:r>
        <w:rPr>
          <w:i/>
          <w:lang w:val="en_US" w:bidi="en_US"/>
        </w:rPr>
        <w:t>will catch</w:t>
      </w:r>
      <w:r>
        <w:rPr>
          <w:lang w:val="en_US" w:bidi="en_US"/>
        </w:rPr>
        <w:t xml:space="preserve"> is literally “will be catching” in Greek. Jesus is using the future tense to imply a gentle command. Jesus told Simon what Simon </w:t>
      </w:r>
      <w:r>
        <w:rPr>
          <w:u w:val="single"/>
          <w:lang w:val="en_US" w:bidi="en_US"/>
        </w:rPr>
        <w:t>would</w:t>
      </w:r>
      <w:r>
        <w:rPr>
          <w:lang w:val="en_US" w:bidi="en_US"/>
        </w:rPr>
        <w:t xml:space="preserve"> do. He implied that this is what he </w:t>
      </w:r>
      <w:r>
        <w:rPr>
          <w:u w:val="single"/>
          <w:lang w:val="en_US" w:bidi="en_US"/>
        </w:rPr>
        <w:t>should</w:t>
      </w:r>
      <w:r>
        <w:rPr>
          <w:lang w:val="en_US" w:bidi="en_US"/>
        </w:rPr>
        <w:t xml:space="preserve"> or </w:t>
      </w:r>
      <w:r>
        <w:rPr>
          <w:u w:val="single"/>
          <w:lang w:val="en_US" w:bidi="en_US"/>
        </w:rPr>
        <w:t>must</w:t>
      </w:r>
      <w:r>
        <w:rPr>
          <w:lang w:val="en_US" w:bidi="en_US"/>
        </w:rPr>
        <w:t xml:space="preserve"> do. Use a form in your language that implies a similar meaning.</w:t>
      </w:r>
    </w:p>
    <w:p>
      <w:pPr/>
      <w:r>
        <w:rPr>
          <w:lang w:val="en_US" w:bidi="en_US"/>
        </w:rPr>
      </w:r>
      <w:r>
        <w:rPr>
          <w:lang w:val="en_US" w:bidi="en_US"/>
        </w:rPr>
        <w:t>The verb form used in Greek implies doing something repeatedly or habitually. It implies that catching men is something that Simon would do many times. This idea is already present in the phrase “From now on.” Some ways to make this meaning clear in English are:</w:t>
      </w:r>
    </w:p>
    <w:p>
      <w:pPr/>
      <w:r>
        <w:rPr>
          <w:lang w:val="en_US" w:bidi="en_US"/>
        </w:rPr>
      </w:r>
      <w:r>
        <w:rPr>
          <w:lang w:val="en_US" w:bidi="en_US"/>
        </w:rPr>
        <w:t xml:space="preserve">you </w:t>
      </w:r>
      <w:r>
        <w:rPr>
          <w:u w:val="single"/>
          <w:lang w:val="en_US" w:bidi="en_US"/>
        </w:rPr>
        <w:t>will be</w:t>
      </w:r>
      <w:r>
        <w:rPr>
          <w:lang w:val="en_US" w:bidi="en_US"/>
        </w:rPr>
        <w:t xml:space="preserve"> catch</w:t>
      </w:r>
      <w:r>
        <w:rPr>
          <w:u w:val="single"/>
          <w:lang w:val="en_US" w:bidi="en_US"/>
        </w:rPr>
        <w:t>ing</w:t>
      </w:r>
      <w:r>
        <w:rPr>
          <w:lang w:val="en_US" w:bidi="en_US"/>
        </w:rPr>
        <w:t xml:space="preserve"> men (RSV)</w:t>
      </w:r>
    </w:p>
    <w:p>
      <w:pPr/>
      <w:r>
        <w:rPr>
          <w:lang w:val="en_US" w:bidi="en_US"/>
        </w:rPr>
      </w:r>
      <w:r>
        <w:rPr>
          <w:lang w:val="en_US" w:bidi="en_US"/>
        </w:rPr>
        <w:t>your occupation will be to catch men</w:t>
      </w:r>
    </w:p>
    <w:p>
      <w:pPr/>
      <w:r>
        <w:rPr>
          <w:lang w:val="en_US" w:bidi="en_US"/>
        </w:rPr>
      </w:r>
      <w:r>
        <w:rPr>
          <w:b/>
          <w:lang w:val="en_US" w:bidi="en_US"/>
        </w:rPr>
        <w:t>men:</w:t>
      </w:r>
      <w:r>
        <w:rPr>
          <w:lang w:val="en_US" w:bidi="en_US"/>
        </w:rPr>
        <w:t xml:space="preserve"> In this context the Greek word that the BSB translates as </w:t>
      </w:r>
      <w:r>
        <w:rPr>
          <w:i/>
          <w:lang w:val="en_US" w:bidi="en_US"/>
        </w:rPr>
        <w:t>men</w:t>
      </w:r>
      <w:r>
        <w:rPr>
          <w:lang w:val="en_US" w:bidi="en_US"/>
        </w:rPr>
        <w:t xml:space="preserve"> means people. It does not refer only to males. There is a contrast here between people and fish. Be sure to make this contrast clear in your translation. Another way to translate this is:</w:t>
      </w:r>
    </w:p>
    <w:p>
      <w:pPr/>
      <w:r>
        <w:rPr>
          <w:lang w:val="en_US" w:bidi="en_US"/>
        </w:rPr>
      </w:r>
      <w:r>
        <w:rPr>
          <w:lang w:val="en_US" w:bidi="en_US"/>
        </w:rPr>
        <w:t>you will catch people instead of fish (GW)</w:t>
      </w:r>
      <w:r>
        <w:rPr>
          <w:lang w:val="en_US" w:bidi="en_US"/>
        </w:rPr>
      </w:r>
      <w:r>
        <w:rPr>
          <w:lang w:val="en_US" w:bidi="en_US"/>
        </w:rPr>
      </w:r>
    </w:p>
    <w:p>
      <w:pPr/>
      <w:r>
        <w:rPr>
          <w:lang w:val="en_US" w:bidi="en_US"/>
        </w:rPr>
      </w:r>
    </w:p>
    <w:p>
      <w:pPr>
        <w:pStyle w:val="Heading2"/>
      </w:pPr>
      <w:r>
        <w:rPr>
          <w:lang w:val="en_US" w:bidi="en_US"/>
        </w:rPr>
        <w:t>Luke 5:11</w:t>
      </w:r>
      <w:r>
        <w:rPr>
          <w:lang w:val="en_US" w:bidi="en_US"/>
        </w:rPr>
      </w:r>
    </w:p>
    <w:p>
      <w:pPr>
        <w:pStyle w:val="Heading4"/>
      </w:pPr>
      <w:r>
        <w:rPr>
          <w:lang w:val="en_US" w:bidi="en_US"/>
        </w:rPr>
        <w:t>Section 5:1–11: Simon and some other fishermen became disciples of Jesus</w:t>
      </w:r>
    </w:p>
    <w:p>
      <w:pPr/>
      <w:r>
        <w:rPr>
          <w:lang w:val="en_US" w:bidi="en_US"/>
        </w:rPr>
      </w:r>
      <w:r>
        <w:rPr>
          <w:lang w:val="en_US" w:bidi="en_US"/>
        </w:rPr>
        <w:t>In this section, Simon Peter and some of his fishing companions heard Jesus teach. They saw his power revealed through a miraculous catch of fish. As a result, they left their fishing work and began following Jesus as his disciples.</w:t>
      </w:r>
    </w:p>
    <w:p>
      <w:pPr/>
      <w:r>
        <w:rPr>
          <w:lang w:val="en_US" w:bidi="en_US"/>
        </w:rPr>
      </w:r>
      <w:r>
        <w:rPr>
          <w:lang w:val="en_US" w:bidi="en_US"/>
        </w:rPr>
        <w:t>Some other possible headings for this section are:</w:t>
      </w:r>
    </w:p>
    <w:p>
      <w:pPr/>
      <w:r>
        <w:rPr>
          <w:lang w:val="en_US" w:bidi="en_US"/>
        </w:rPr>
      </w:r>
      <w:r>
        <w:rPr>
          <w:lang w:val="en_US" w:bidi="en_US"/>
        </w:rPr>
        <w:t>Jesus called Simon and other fishermen to become his disciples</w:t>
      </w:r>
    </w:p>
    <w:p>
      <w:pPr/>
      <w:r>
        <w:rPr>
          <w:lang w:val="en_US" w:bidi="en_US"/>
        </w:rPr>
      </w:r>
      <w:r>
        <w:rPr>
          <w:lang w:val="en_US" w:bidi="en_US"/>
        </w:rPr>
        <w:t>Jesus’ first disciples</w:t>
      </w:r>
    </w:p>
    <w:p>
      <w:pPr/>
      <w:r>
        <w:rPr>
          <w:lang w:val="en_US" w:bidi="en_US"/>
        </w:rPr>
      </w:r>
      <w:r>
        <w:rPr>
          <w:lang w:val="en_US" w:bidi="en_US"/>
        </w:rPr>
        <w:t>There are parallel passages for this section in Matthew 4:18–22 and Mark 1:16–20.</w:t>
      </w:r>
    </w:p>
    <w:p>
      <w:pPr>
        <w:pStyle w:val="Heading5"/>
      </w:pPr>
      <w:r>
        <w:rPr>
          <w:lang w:val="en_US" w:bidi="en_US"/>
        </w:rPr>
        <w:t>5:11a</w:t>
      </w:r>
    </w:p>
    <w:p>
      <w:pPr/>
      <w:r>
        <w:rPr>
          <w:lang w:val="en_US" w:bidi="en_US"/>
        </w:rPr>
      </w:r>
      <w:r>
        <w:rPr>
          <w:b/>
          <w:lang w:val="en_US" w:bidi="en_US"/>
        </w:rPr>
        <w:t>And when they had brought their boats ashore,</w:t>
      </w:r>
    </w:p>
    <w:p>
      <w:pPr>
        <w:pStyle w:val="ListBullet"/>
        <w:spacing w:line="240" w:lineRule="auto"/>
        <w:ind w:left="720"/>
      </w:pPr>
      <w:r>
        <w:rPr>
          <w:lang w:val="en_US" w:bidi="en_US"/>
        </w:rPr>
      </w:r>
      <w:r>
        <w:rPr>
          <w:lang w:val="en_US" w:bidi="en_US"/>
        </w:rPr>
        <w:t>So after they brought their boats to the shore,</w:t>
      </w:r>
    </w:p>
    <w:p>
      <w:pPr>
        <w:pStyle w:val="ListBullet"/>
        <w:spacing w:line="240" w:lineRule="auto"/>
        <w:ind w:left="720"/>
      </w:pPr>
      <w:r>
        <w:rPr>
          <w:lang w:val="en_US" w:bidi="en_US"/>
        </w:rPr>
      </w:r>
      <w:r>
        <w:rPr>
          <w:lang w:val="en_US" w:bidi="en_US"/>
        </w:rPr>
        <w:t>Then Simon and his companions brought their boats onto dry land.</w:t>
      </w:r>
    </w:p>
    <w:p>
      <w:pPr/>
      <w:r>
        <w:rPr>
          <w:lang w:val="en_US" w:bidi="en_US"/>
        </w:rPr>
      </w:r>
      <w:r>
        <w:rPr>
          <w:b/>
          <w:lang w:val="en_US" w:bidi="en_US"/>
        </w:rPr>
        <w:t>And:</w:t>
      </w:r>
      <w:r>
        <w:rPr>
          <w:lang w:val="en_US" w:bidi="en_US"/>
        </w:rPr>
        <w:t xml:space="preserve"> This verse begins with a Greek conjunction that is often translated as “and.” Some English versions, including the BSB and the ESV, translate it that way. This verse concludes this event and tells what the fishermen did as a </w:t>
      </w:r>
      <w:r>
        <w:rPr>
          <w:u w:val="single"/>
          <w:lang w:val="en_US" w:bidi="en_US"/>
        </w:rPr>
        <w:t>result</w:t>
      </w:r>
      <w:r>
        <w:rPr>
          <w:lang w:val="en_US" w:bidi="en_US"/>
        </w:rPr>
        <w:t xml:space="preserve"> of what happened. Some other ways to translate this word are:</w:t>
      </w:r>
    </w:p>
    <w:p>
      <w:pPr/>
      <w:r>
        <w:rPr>
          <w:lang w:val="en_US" w:bidi="en_US"/>
        </w:rPr>
      </w:r>
      <w:r>
        <w:rPr>
          <w:lang w:val="en_US" w:bidi="en_US"/>
        </w:rPr>
        <w:t>Then (NJB)</w:t>
      </w:r>
    </w:p>
    <w:p>
      <w:pPr/>
      <w:r>
        <w:rPr>
          <w:lang w:val="en_US" w:bidi="en_US"/>
        </w:rPr>
      </w:r>
      <w:r>
        <w:rPr>
          <w:lang w:val="en_US" w:bidi="en_US"/>
        </w:rPr>
        <w:t>So (NIV)</w:t>
      </w:r>
    </w:p>
    <w:p>
      <w:pPr/>
      <w:r>
        <w:rPr>
          <w:lang w:val="en_US" w:bidi="en_US"/>
        </w:rPr>
      </w:r>
      <w:r>
        <w:rPr>
          <w:lang w:val="en_US" w:bidi="en_US"/>
        </w:rPr>
        <w:t>Some versions do not translate this word. Connect this verse with the previous verses in a way that is natural in your language.</w:t>
      </w:r>
    </w:p>
    <w:p>
      <w:pPr/>
      <w:r>
        <w:rPr>
          <w:lang w:val="en_US" w:bidi="en_US"/>
        </w:rPr>
      </w:r>
      <w:r>
        <w:rPr>
          <w:b/>
          <w:lang w:val="en_US" w:bidi="en_US"/>
        </w:rPr>
        <w:t>they:</w:t>
      </w:r>
      <w:r>
        <w:rPr>
          <w:lang w:val="en_US" w:bidi="en_US"/>
        </w:rPr>
        <w:t xml:space="preserve"> Jesus had been talking specifically to Simon in the previous verse. However, the pronoun here is plural. It may refer to all the fishermen who were with Simon, to some of them, or specifically to Simon, James, and John.</w:t>
      </w:r>
      <w:r>
        <w:rPr>
          <w:lang w:val="en_US" w:bidi="en_US"/>
        </w:rPr>
        <w:t xml:space="preserve">Some commentators (Lenski and Plummer, for example) favor the interpretation that specifically James and John are intended together with Peter. Interestingly, following Stephen Levinsohn’s understanding of the function of </w:t>
      </w:r>
      <w:r>
        <w:rPr>
          <w:i/>
          <w:lang w:val="en_US" w:bidi="en_US"/>
        </w:rPr>
        <w:t>δε</w:t>
      </w:r>
      <w:r>
        <w:rPr>
          <w:lang w:val="en_US" w:bidi="en_US"/>
        </w:rPr>
        <w:t xml:space="preserve"> and </w:t>
      </w:r>
      <w:r>
        <w:rPr>
          <w:i/>
          <w:lang w:val="en_US" w:bidi="en_US"/>
        </w:rPr>
        <w:t>και</w:t>
      </w:r>
      <w:r>
        <w:rPr>
          <w:lang w:val="en_US" w:bidi="en_US"/>
        </w:rPr>
        <w:t xml:space="preserve"> in Luke, the conjunctions used lend further support for this view. Luke 5:10–11 would be identified as one “developmental unit” (5:10 opens with </w:t>
      </w:r>
      <w:r>
        <w:rPr>
          <w:i/>
          <w:lang w:val="en_US" w:bidi="en_US"/>
        </w:rPr>
        <w:t>δε</w:t>
      </w:r>
      <w:r>
        <w:rPr>
          <w:lang w:val="en_US" w:bidi="en_US"/>
        </w:rPr>
        <w:t xml:space="preserve"> and the following two clauses are connected by </w:t>
      </w:r>
      <w:r>
        <w:rPr>
          <w:i/>
          <w:lang w:val="en_US" w:bidi="en_US"/>
        </w:rPr>
        <w:t>και</w:t>
      </w:r>
      <w:r>
        <w:rPr>
          <w:lang w:val="en_US" w:bidi="en_US"/>
        </w:rPr>
        <w:t>) focused on James, John, and Simon.</w:t>
      </w:r>
      <w:r>
        <w:rPr>
          <w:lang w:val="en_US" w:bidi="en_US"/>
        </w:rPr>
        <w:t xml:space="preserve"> So it is recommended that you leave this general if possible. Some ways to do this are:</w:t>
      </w:r>
    </w:p>
    <w:p>
      <w:pPr>
        <w:pStyle w:val="ListBullet"/>
        <w:spacing w:line="240" w:lineRule="auto"/>
        <w:ind w:left="720"/>
      </w:pPr>
      <w:r>
        <w:rPr>
          <w:lang w:val="en_US" w:bidi="en_US"/>
        </w:rPr>
      </w:r>
      <w:r>
        <w:rPr>
          <w:lang w:val="en_US" w:bidi="en_US"/>
        </w:rPr>
        <w:t>Use a plural pronoun. For example:</w:t>
      </w:r>
      <w:r>
        <w:rPr>
          <w:lang w:val="en_US" w:bidi="en_US"/>
        </w:rPr>
        <w:t>they</w:t>
      </w:r>
    </w:p>
    <w:p>
      <w:pPr>
        <w:pStyle w:val="ListBullet"/>
        <w:spacing w:line="240" w:lineRule="auto"/>
        <w:ind w:left="720"/>
      </w:pPr>
      <w:r>
        <w:rPr>
          <w:lang w:val="en_US" w:bidi="en_US"/>
        </w:rPr>
      </w:r>
      <w:r>
        <w:rPr>
          <w:lang w:val="en_US" w:bidi="en_US"/>
        </w:rPr>
        <w:t>Use a phrase. For example:</w:t>
      </w:r>
      <w:r>
        <w:rPr>
          <w:lang w:val="en_US" w:bidi="en_US"/>
        </w:rPr>
        <w:t>Simon and his companions</w:t>
      </w:r>
    </w:p>
    <w:p>
      <w:pPr/>
      <w:r>
        <w:rPr>
          <w:lang w:val="en_US" w:bidi="en_US"/>
        </w:rPr>
      </w:r>
      <w:r>
        <w:rPr>
          <w:b/>
          <w:lang w:val="en_US" w:bidi="en_US"/>
        </w:rPr>
        <w:t>had brought their boats ashore:</w:t>
      </w:r>
      <w:r>
        <w:rPr>
          <w:lang w:val="en_US" w:bidi="en_US"/>
        </w:rPr>
        <w:t xml:space="preserve"> The Greek phrase that the BSB translates as </w:t>
      </w:r>
      <w:r>
        <w:rPr>
          <w:i/>
          <w:lang w:val="en_US" w:bidi="en_US"/>
        </w:rPr>
        <w:t>had brought their boats ashore</w:t>
      </w:r>
      <w:r>
        <w:rPr>
          <w:lang w:val="en_US" w:bidi="en_US"/>
        </w:rPr>
        <w:t xml:space="preserve"> is literally “brought the boats on the land.” The fishermen pushed or pulled their boats up on dry land where it would be safe to leave them.</w:t>
      </w:r>
    </w:p>
    <w:p>
      <w:pPr>
        <w:pStyle w:val="Heading5"/>
      </w:pPr>
      <w:r>
        <w:rPr>
          <w:lang w:val="en_US" w:bidi="en_US"/>
        </w:rPr>
        <w:t>5:11b</w:t>
      </w:r>
    </w:p>
    <w:p>
      <w:pPr/>
      <w:r>
        <w:rPr>
          <w:lang w:val="en_US" w:bidi="en_US"/>
        </w:rPr>
      </w:r>
      <w:r>
        <w:rPr>
          <w:b/>
          <w:lang w:val="en_US" w:bidi="en_US"/>
        </w:rPr>
        <w:t>they left everything and followed Him.</w:t>
      </w:r>
    </w:p>
    <w:p>
      <w:pPr>
        <w:pStyle w:val="ListBullet"/>
        <w:spacing w:line="240" w:lineRule="auto"/>
        <w:ind w:left="720"/>
      </w:pPr>
      <w:r>
        <w:rPr>
          <w:lang w:val="en_US" w:bidi="en_US"/>
        </w:rPr>
      </w:r>
      <w:r>
        <w:rPr>
          <w:lang w:val="en_US" w:bidi="en_US"/>
        </w:rPr>
        <w:t>they abandoned everything and became followers of Jesus.</w:t>
      </w:r>
    </w:p>
    <w:p>
      <w:pPr>
        <w:pStyle w:val="ListBullet"/>
        <w:spacing w:line="240" w:lineRule="auto"/>
        <w:ind w:left="720"/>
      </w:pPr>
      <w:r>
        <w:rPr>
          <w:lang w:val="en_US" w:bidi="en_US"/>
        </w:rPr>
      </w:r>
      <w:r>
        <w:rPr>
          <w:lang w:val="en_US" w:bidi="en_US"/>
        </w:rPr>
        <w:t>Then they left everything and went with Jesus. (CEV)</w:t>
      </w:r>
    </w:p>
    <w:p>
      <w:pPr/>
      <w:r>
        <w:rPr>
          <w:lang w:val="en_US" w:bidi="en_US"/>
        </w:rPr>
      </w:r>
      <w:r>
        <w:rPr>
          <w:b/>
          <w:lang w:val="en_US" w:bidi="en_US"/>
        </w:rPr>
        <w:t>left everything:</w:t>
      </w:r>
      <w:r>
        <w:rPr>
          <w:lang w:val="en_US" w:bidi="en_US"/>
        </w:rPr>
        <w:t xml:space="preserve"> The phrase </w:t>
      </w:r>
      <w:r>
        <w:rPr>
          <w:i/>
          <w:lang w:val="en_US" w:bidi="en_US"/>
        </w:rPr>
        <w:t>left everything</w:t>
      </w:r>
      <w:r>
        <w:rPr>
          <w:lang w:val="en_US" w:bidi="en_US"/>
        </w:rPr>
        <w:t xml:space="preserve"> means “abandoned everything.” The word </w:t>
      </w:r>
      <w:r>
        <w:rPr>
          <w:i/>
          <w:lang w:val="en_US" w:bidi="en_US"/>
        </w:rPr>
        <w:t>everything</w:t>
      </w:r>
      <w:r>
        <w:rPr>
          <w:lang w:val="en_US" w:bidi="en_US"/>
        </w:rPr>
        <w:t xml:space="preserve"> here probably refers to their fishing equipment. The fishermen left their boats. They left the fishing business. They even left the fish they had just caught.</w:t>
      </w:r>
    </w:p>
    <w:p>
      <w:pPr/>
      <w:r>
        <w:rPr>
          <w:lang w:val="en_US" w:bidi="en_US"/>
        </w:rPr>
      </w:r>
      <w:r>
        <w:rPr>
          <w:lang w:val="en_US" w:bidi="en_US"/>
        </w:rPr>
        <w:t>They might have given or sold their equipment to other fisherman or just left it sitting on the shore. These details are not in focus in the story.</w:t>
      </w:r>
    </w:p>
    <w:p>
      <w:pPr/>
      <w:r>
        <w:rPr>
          <w:lang w:val="en_US" w:bidi="en_US"/>
        </w:rPr>
      </w:r>
      <w:r>
        <w:rPr>
          <w:b/>
          <w:lang w:val="en_US" w:bidi="en_US"/>
        </w:rPr>
        <w:t>followed Him:</w:t>
      </w:r>
      <w:r>
        <w:rPr>
          <w:lang w:val="en_US" w:bidi="en_US"/>
        </w:rPr>
        <w:t xml:space="preserve"> The phrase </w:t>
      </w:r>
      <w:r>
        <w:rPr>
          <w:i/>
          <w:lang w:val="en_US" w:bidi="en_US"/>
        </w:rPr>
        <w:t>followed Him</w:t>
      </w:r>
      <w:r>
        <w:rPr>
          <w:lang w:val="en_US" w:bidi="en_US"/>
        </w:rPr>
        <w:t xml:space="preserve"> here means “became Jesus’ disciples/ followers.” The fishermen decided to go with Jesus wherever he went in order to learn from him.</w:t>
      </w:r>
    </w:p>
    <w:p>
      <w:pPr/>
      <w:r>
        <w:rPr>
          <w:lang w:val="en_US" w:bidi="en_US"/>
        </w:rPr>
      </w:r>
      <w:r>
        <w:rPr>
          <w:lang w:val="en_US" w:bidi="en_US"/>
        </w:rPr>
        <w:t>Another way to translate this is:</w:t>
      </w:r>
    </w:p>
    <w:p>
      <w:pPr/>
      <w:r>
        <w:rPr>
          <w:lang w:val="en_US" w:bidi="en_US"/>
        </w:rPr>
      </w:r>
      <w:r>
        <w:rPr>
          <w:lang w:val="en_US" w:bidi="en_US"/>
        </w:rPr>
        <w:t>went with Jesus as his disciples/followers</w:t>
      </w:r>
    </w:p>
    <w:p>
      <w:pPr/>
      <w:r>
        <w:rPr>
          <w:lang w:val="en_US" w:bidi="en_US"/>
        </w:rPr>
      </w:r>
      <w:r>
        <w:rPr>
          <w:lang w:val="en_US" w:bidi="en_US"/>
        </w:rPr>
        <w:t>became Jesus’ disciples/followers</w:t>
      </w:r>
    </w:p>
    <w:p>
      <w:pPr>
        <w:pStyle w:val="Heading6"/>
      </w:pPr>
      <w:r>
        <w:rPr>
          <w:b/>
          <w:lang w:val="en_US" w:bidi="en_US"/>
        </w:rPr>
        <w:t>General Comment on 5:11a–b</w:t>
      </w:r>
    </w:p>
    <w:p>
      <w:pPr/>
      <w:r>
        <w:rPr>
          <w:lang w:val="en_US" w:bidi="en_US"/>
        </w:rPr>
      </w:r>
      <w:r>
        <w:rPr>
          <w:lang w:val="en_US" w:bidi="en_US"/>
        </w:rPr>
        <w:t>There are three verbs in 5:11a–b (“</w:t>
      </w:r>
      <w:r>
        <w:rPr>
          <w:u w:val="single"/>
          <w:lang w:val="en_US" w:bidi="en_US"/>
        </w:rPr>
        <w:t>brought</w:t>
      </w:r>
      <w:r>
        <w:rPr>
          <w:lang w:val="en_US" w:bidi="en_US"/>
        </w:rPr>
        <w:t xml:space="preserve"> the boats,” “</w:t>
      </w:r>
      <w:r>
        <w:rPr>
          <w:u w:val="single"/>
          <w:lang w:val="en_US" w:bidi="en_US"/>
        </w:rPr>
        <w:t>left</w:t>
      </w:r>
      <w:r>
        <w:rPr>
          <w:lang w:val="en_US" w:bidi="en_US"/>
        </w:rPr>
        <w:t xml:space="preserve"> everything,” and “</w:t>
      </w:r>
      <w:r>
        <w:rPr>
          <w:u w:val="single"/>
          <w:lang w:val="en_US" w:bidi="en_US"/>
        </w:rPr>
        <w:t>followed</w:t>
      </w:r>
      <w:r>
        <w:rPr>
          <w:lang w:val="en_US" w:bidi="en_US"/>
        </w:rPr>
        <w:t xml:space="preserve"> him”). In the Greek text, the main verb is “followed.” Express the actions in a natural way in your language.</w:t>
      </w:r>
      <w:r>
        <w:rPr>
          <w:lang w:val="en_US" w:bidi="en_US"/>
        </w:rPr>
      </w:r>
      <w:r>
        <w:rPr>
          <w:lang w:val="en_US" w:bidi="en_US"/>
        </w:rPr>
      </w:r>
    </w:p>
    <w:p>
      <w:pPr/>
      <w:r>
        <w:rPr>
          <w:lang w:val="en_US" w:bidi="en_US"/>
        </w:rPr>
      </w:r>
    </w:p>
    <w:p>
      <w:pPr>
        <w:pStyle w:val="Heading2"/>
      </w:pPr>
      <w:r>
        <w:rPr>
          <w:lang w:val="en_US" w:bidi="en_US"/>
        </w:rPr>
        <w:t>Luke 5:12</w:t>
      </w:r>
      <w:r>
        <w:rPr>
          <w:lang w:val="en_US" w:bidi="en_US"/>
        </w:rPr>
      </w:r>
    </w:p>
    <w:p>
      <w:pPr>
        <w:pStyle w:val="Heading4"/>
      </w:pPr>
      <w:r>
        <w:rPr>
          <w:lang w:val="en_US" w:bidi="en_US"/>
        </w:rPr>
        <w:t>Section 5:12–16: Jesus healed a man with a dreaded skin disease</w:t>
      </w:r>
    </w:p>
    <w:p>
      <w:pPr/>
      <w:r>
        <w:rPr>
          <w:lang w:val="en_US" w:bidi="en_US"/>
        </w:rPr>
      </w:r>
      <w:r>
        <w:rPr>
          <w:lang w:val="en_US" w:bidi="en_US"/>
        </w:rPr>
        <w:t>In this section, Jesus healed a man with a skin disease, and so Jesus’ fame spread in that region. As a result, crowds of people came to hear him teach and to be healed of diseases.</w:t>
      </w:r>
    </w:p>
    <w:p>
      <w:pPr/>
      <w:r>
        <w:rPr>
          <w:lang w:val="en_US" w:bidi="en_US"/>
        </w:rPr>
      </w:r>
      <w:r>
        <w:rPr>
          <w:lang w:val="en_US" w:bidi="en_US"/>
        </w:rPr>
        <w:t>In Jesus’ time, having a skin disease made a person ceremonially or ritually “unclean.” This meant that a person with such a disease was not allowed to worship God with other people. This person had to live apart from healthy people, including his family.</w:t>
      </w:r>
    </w:p>
    <w:p>
      <w:pPr/>
      <w:r>
        <w:rPr>
          <w:lang w:val="en_US" w:bidi="en_US"/>
        </w:rPr>
      </w:r>
      <w:r>
        <w:rPr>
          <w:lang w:val="en_US" w:bidi="en_US"/>
        </w:rPr>
        <w:t>Some other possible headings for this section are:</w:t>
      </w:r>
    </w:p>
    <w:p>
      <w:pPr/>
      <w:r>
        <w:rPr>
          <w:lang w:val="en_US" w:bidi="en_US"/>
        </w:rPr>
      </w:r>
      <w:r>
        <w:rPr>
          <w:lang w:val="en_US" w:bidi="en_US"/>
        </w:rPr>
        <w:t>Jesus made a man with a skin disease pure/clean</w:t>
      </w:r>
    </w:p>
    <w:p>
      <w:pPr/>
      <w:r>
        <w:rPr>
          <w:lang w:val="en_US" w:bidi="en_US"/>
        </w:rPr>
      </w:r>
      <w:r>
        <w:rPr>
          <w:lang w:val="en_US" w:bidi="en_US"/>
        </w:rPr>
        <w:t>The Man With Leprosy (NIV)</w:t>
      </w:r>
    </w:p>
    <w:p>
      <w:pPr/>
      <w:r>
        <w:rPr>
          <w:lang w:val="en_US" w:bidi="en_US"/>
        </w:rPr>
      </w:r>
      <w:r>
        <w:rPr>
          <w:lang w:val="en_US" w:bidi="en_US"/>
        </w:rPr>
        <w:t>Jesus Heals a Man with Leprosy (NLT)</w:t>
      </w:r>
    </w:p>
    <w:p>
      <w:pPr/>
      <w:r>
        <w:rPr>
          <w:lang w:val="en_US" w:bidi="en_US"/>
        </w:rPr>
      </w:r>
      <w:r>
        <w:rPr>
          <w:lang w:val="en_US" w:bidi="en_US"/>
        </w:rPr>
        <w:t>Jesus showed his power over a skin disease</w:t>
      </w:r>
    </w:p>
    <w:p>
      <w:pPr/>
      <w:r>
        <w:rPr>
          <w:lang w:val="en_US" w:bidi="en_US"/>
        </w:rPr>
      </w:r>
      <w:r>
        <w:rPr>
          <w:lang w:val="en_US" w:bidi="en_US"/>
        </w:rPr>
        <w:t>There are parallel passages for this section in Matthew 8:1–4 and Mark 1:40–45.</w:t>
      </w:r>
    </w:p>
    <w:p>
      <w:pPr>
        <w:pStyle w:val="Heading5"/>
      </w:pPr>
      <w:r>
        <w:rPr>
          <w:lang w:val="en_US" w:bidi="en_US"/>
        </w:rPr>
        <w:t>5:12a</w:t>
      </w:r>
    </w:p>
    <w:p>
      <w:pPr/>
      <w:r>
        <w:rPr>
          <w:lang w:val="en_US" w:bidi="en_US"/>
        </w:rPr>
      </w:r>
      <w:r>
        <w:rPr>
          <w:b/>
          <w:lang w:val="en_US" w:bidi="en_US"/>
        </w:rPr>
        <w:t>While Jesus was in one of the towns,</w:t>
      </w:r>
    </w:p>
    <w:p>
      <w:pPr>
        <w:pStyle w:val="ListBullet"/>
        <w:spacing w:line="240" w:lineRule="auto"/>
        <w:ind w:left="720"/>
      </w:pPr>
      <w:r>
        <w:rPr>
          <w:lang w:val="en_US" w:bidi="en_US"/>
        </w:rPr>
      </w:r>
      <w:r>
        <w:rPr>
          <w:lang w:val="en_US" w:bidi="en_US"/>
        </w:rPr>
        <w:t xml:space="preserve">¶ It happened one time that Jesus was in one of the towns </w:t>
      </w:r>
      <w:r>
        <w:rPr>
          <w:lang w:val="en_US" w:bidi="en_US"/>
        </w:rPr>
        <w:t>in Galilee</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Once</w:t>
      </w:r>
      <w:r>
        <w:rPr>
          <w:lang w:val="en_US" w:bidi="en_US"/>
        </w:rPr>
        <w:t xml:space="preserve"> Jesus was </w:t>
      </w:r>
      <w:r>
        <w:rPr>
          <w:lang w:val="en_US" w:bidi="en_US"/>
        </w:rPr>
        <w:t>visiting</w:t>
      </w:r>
      <w:r>
        <w:rPr>
          <w:lang w:val="en_US" w:bidi="en_US"/>
        </w:rPr>
        <w:t xml:space="preserve"> a certain town </w:t>
      </w:r>
      <w:r>
        <w:rPr>
          <w:lang w:val="en_US" w:bidi="en_US"/>
        </w:rPr>
        <w:t>in that region/province</w:t>
      </w:r>
      <w:r>
        <w:rPr>
          <w:lang w:val="en_US" w:bidi="en_US"/>
        </w:rPr>
        <w:t>,</w:t>
      </w:r>
    </w:p>
    <w:p>
      <w:pPr/>
      <w:r>
        <w:rPr>
          <w:lang w:val="en_US" w:bidi="en_US"/>
        </w:rPr>
      </w:r>
      <w:r>
        <w:rPr>
          <w:b/>
          <w:lang w:val="en_US" w:bidi="en_US"/>
        </w:rPr>
        <w:t>While:</w:t>
      </w:r>
      <w:r>
        <w:rPr>
          <w:lang w:val="en_US" w:bidi="en_US"/>
        </w:rPr>
        <w:t xml:space="preserve"> The Greek phrase that the BSB translates as </w:t>
      </w:r>
      <w:r>
        <w:rPr>
          <w:i/>
          <w:lang w:val="en_US" w:bidi="en_US"/>
        </w:rPr>
        <w:t>While</w:t>
      </w:r>
      <w:r>
        <w:rPr>
          <w:lang w:val="en_US" w:bidi="en_US"/>
        </w:rPr>
        <w:t xml:space="preserve"> is literally “and it happened.” This phrase introduces the beginning of a new story. Luke did not indicate when this story occurred. Introduce this event in a natural way in your language. For example:</w:t>
      </w:r>
    </w:p>
    <w:p>
      <w:pPr/>
      <w:r>
        <w:rPr>
          <w:lang w:val="en_US" w:bidi="en_US"/>
        </w:rPr>
      </w:r>
      <w:r>
        <w:rPr>
          <w:lang w:val="en_US" w:bidi="en_US"/>
        </w:rPr>
        <w:t>One day (GW)</w:t>
      </w:r>
    </w:p>
    <w:p>
      <w:pPr/>
      <w:r>
        <w:rPr>
          <w:lang w:val="en_US" w:bidi="en_US"/>
        </w:rPr>
      </w:r>
      <w:r>
        <w:rPr>
          <w:lang w:val="en_US" w:bidi="en_US"/>
        </w:rPr>
        <w:t>When (NCV)</w:t>
      </w:r>
    </w:p>
    <w:p>
      <w:pPr/>
      <w:r>
        <w:rPr>
          <w:lang w:val="en_US" w:bidi="en_US"/>
        </w:rPr>
      </w:r>
      <w:r>
        <w:rPr>
          <w:lang w:val="en_US" w:bidi="en_US"/>
        </w:rPr>
        <w:t>Once (GNT)</w:t>
      </w:r>
    </w:p>
    <w:p>
      <w:pPr/>
      <w:r>
        <w:rPr>
          <w:lang w:val="en_US" w:bidi="en_US"/>
        </w:rPr>
      </w:r>
      <w:r>
        <w:rPr>
          <w:b/>
          <w:lang w:val="en_US" w:bidi="en_US"/>
        </w:rPr>
        <w:t>Jesus was in one of the towns:</w:t>
      </w:r>
      <w:r>
        <w:rPr>
          <w:lang w:val="en_US" w:bidi="en_US"/>
        </w:rPr>
        <w:t xml:space="preserve"> The phrase </w:t>
      </w:r>
      <w:r>
        <w:rPr>
          <w:i/>
          <w:lang w:val="en_US" w:bidi="en_US"/>
        </w:rPr>
        <w:t>one of the towns</w:t>
      </w:r>
      <w:r>
        <w:rPr>
          <w:lang w:val="en_US" w:bidi="en_US"/>
        </w:rPr>
        <w:t xml:space="preserve"> does not indicate the exact location of the town. Mark 1:38–40 indicates that it was one of the towns in Galilee. In some languages, it may be necessary to say something more precise. For example:</w:t>
      </w:r>
    </w:p>
    <w:p>
      <w:pPr/>
      <w:r>
        <w:rPr>
          <w:lang w:val="en_US" w:bidi="en_US"/>
        </w:rPr>
      </w:r>
      <w:r>
        <w:rPr>
          <w:lang w:val="en_US" w:bidi="en_US"/>
        </w:rPr>
        <w:t xml:space="preserve">While Jesus was in one of the towns </w:t>
      </w:r>
      <w:r>
        <w:rPr>
          <w:lang w:val="en_US" w:bidi="en_US"/>
        </w:rPr>
        <w:t>of/in that region</w:t>
      </w:r>
    </w:p>
    <w:p>
      <w:pPr/>
      <w:r>
        <w:rPr>
          <w:lang w:val="en_US" w:bidi="en_US"/>
        </w:rPr>
      </w:r>
      <w:r>
        <w:rPr>
          <w:lang w:val="en_US" w:bidi="en_US"/>
        </w:rPr>
        <w:t xml:space="preserve">While Jesus was in one of the towns </w:t>
      </w:r>
      <w:r>
        <w:rPr>
          <w:lang w:val="en_US" w:bidi="en_US"/>
        </w:rPr>
        <w:t>of Galilee</w:t>
      </w:r>
    </w:p>
    <w:p>
      <w:pPr>
        <w:pStyle w:val="Heading5"/>
      </w:pPr>
      <w:r>
        <w:rPr>
          <w:lang w:val="en_US" w:bidi="en_US"/>
        </w:rPr>
        <w:t>5:12b</w:t>
      </w:r>
    </w:p>
    <w:p>
      <w:pPr/>
      <w:r>
        <w:rPr>
          <w:lang w:val="en_US" w:bidi="en_US"/>
        </w:rPr>
      </w:r>
      <w:r>
        <w:rPr>
          <w:b/>
          <w:lang w:val="en_US" w:bidi="en_US"/>
        </w:rPr>
        <w:t>a man came along who was covered with leprosy.</w:t>
      </w:r>
    </w:p>
    <w:p>
      <w:pPr>
        <w:pStyle w:val="ListBullet"/>
        <w:spacing w:line="240" w:lineRule="auto"/>
        <w:ind w:left="720"/>
      </w:pPr>
      <w:r>
        <w:rPr>
          <w:lang w:val="en_US" w:bidi="en_US"/>
        </w:rPr>
      </w:r>
      <w:r>
        <w:rPr>
          <w:lang w:val="en_US" w:bidi="en_US"/>
        </w:rPr>
        <w:t xml:space="preserve">There was a </w:t>
      </w:r>
      <w:r>
        <w:rPr>
          <w:lang w:val="en_US" w:bidi="en_US"/>
        </w:rPr>
        <w:t>certain</w:t>
      </w:r>
      <w:r>
        <w:rPr>
          <w:lang w:val="en_US" w:bidi="en_US"/>
        </w:rPr>
        <w:t xml:space="preserve"> man there. He had leprosy all over his body.</w:t>
      </w:r>
    </w:p>
    <w:p>
      <w:pPr>
        <w:pStyle w:val="ListBullet"/>
        <w:spacing w:line="240" w:lineRule="auto"/>
        <w:ind w:left="720"/>
      </w:pPr>
      <w:r>
        <w:rPr>
          <w:lang w:val="en_US" w:bidi="en_US"/>
        </w:rPr>
      </w:r>
      <w:r>
        <w:rPr>
          <w:lang w:val="en_US" w:bidi="en_US"/>
        </w:rPr>
        <w:t>and there was a man there who had a very serious case of a dreaded skin disease.</w:t>
      </w:r>
    </w:p>
    <w:p>
      <w:pPr/>
      <w:r>
        <w:rPr>
          <w:lang w:val="en_US" w:bidi="en_US"/>
        </w:rPr>
      </w:r>
      <w:r>
        <w:rPr>
          <w:b/>
          <w:lang w:val="en_US" w:bidi="en_US"/>
        </w:rPr>
        <w:t>a man came along who was covered with leprosy:</w:t>
      </w:r>
      <w:r>
        <w:rPr>
          <w:lang w:val="en_US" w:bidi="en_US"/>
        </w:rPr>
        <w:t xml:space="preserve"> The phrase that the BSB translates as </w:t>
      </w:r>
      <w:r>
        <w:rPr>
          <w:i/>
          <w:lang w:val="en_US" w:bidi="en_US"/>
        </w:rPr>
        <w:t>a man came along who was covered with leprosy</w:t>
      </w:r>
      <w:r>
        <w:rPr>
          <w:lang w:val="en_US" w:bidi="en_US"/>
        </w:rPr>
        <w:t xml:space="preserve"> is literally “and look, a man full of leprosy.” The phrase “and look” introduces the man with leprosy. It also draws attention to him as a person who will be important in the story. (“Look” is the same word that the BSB translates elsewhere as “behold” or “look” or “now.”) Introduce this man in a way that is natural in your language. For example:</w:t>
      </w:r>
    </w:p>
    <w:p>
      <w:pPr/>
      <w:r>
        <w:rPr>
          <w:lang w:val="en_US" w:bidi="en_US"/>
        </w:rPr>
      </w:r>
      <w:r>
        <w:rPr>
          <w:lang w:val="en_US" w:bidi="en_US"/>
        </w:rPr>
        <w:t>There was a certain man there. He had leprosy over his whole body</w:t>
      </w:r>
    </w:p>
    <w:p>
      <w:pPr/>
      <w:r>
        <w:rPr>
          <w:lang w:val="en_US" w:bidi="en_US"/>
        </w:rPr>
      </w:r>
      <w:r>
        <w:rPr>
          <w:lang w:val="en_US" w:bidi="en_US"/>
        </w:rPr>
        <w:t>there was a man covered with a serious skin disease (GW)</w:t>
      </w:r>
    </w:p>
    <w:p>
      <w:pPr/>
      <w:r>
        <w:rPr>
          <w:lang w:val="en_US" w:bidi="en_US"/>
        </w:rPr>
      </w:r>
      <w:r>
        <w:rPr>
          <w:lang w:val="en_US" w:bidi="en_US"/>
        </w:rPr>
        <w:t>Jesus met a man with an advanced case of leprosy (NLT)</w:t>
      </w:r>
    </w:p>
    <w:p>
      <w:pPr/>
      <w:r>
        <w:rPr>
          <w:lang w:val="en_US" w:bidi="en_US"/>
        </w:rPr>
      </w:r>
      <w:r>
        <w:rPr>
          <w:b/>
          <w:lang w:val="en_US" w:bidi="en_US"/>
        </w:rPr>
        <w:t>covered with leprosy:</w:t>
      </w:r>
      <w:r>
        <w:rPr>
          <w:lang w:val="en_US" w:bidi="en_US"/>
        </w:rPr>
        <w:t xml:space="preserve"> The phrase that the BSB translates as </w:t>
      </w:r>
      <w:r>
        <w:rPr>
          <w:i/>
          <w:lang w:val="en_US" w:bidi="en_US"/>
        </w:rPr>
        <w:t>covered with leprosy</w:t>
      </w:r>
      <w:r>
        <w:rPr>
          <w:lang w:val="en_US" w:bidi="en_US"/>
        </w:rPr>
        <w:t xml:space="preserve"> is literally “full of leprosy.” This means that the disease was all over the man’s skin. He had probably had the disease for a long time. The disease was in an advanced and serious state.</w:t>
      </w:r>
    </w:p>
    <w:p>
      <w:pPr/>
      <w:r>
        <w:rPr>
          <w:lang w:val="en_US" w:bidi="en_US"/>
        </w:rPr>
      </w:r>
      <w:r>
        <w:rPr>
          <w:b/>
          <w:lang w:val="en_US" w:bidi="en_US"/>
        </w:rPr>
        <w:t>leprosy:</w:t>
      </w:r>
      <w:r>
        <w:rPr>
          <w:lang w:val="en_US" w:bidi="en_US"/>
        </w:rPr>
        <w:t xml:space="preserve"> The Greek word that the BSB translates as </w:t>
      </w:r>
      <w:r>
        <w:rPr>
          <w:i/>
          <w:lang w:val="en_US" w:bidi="en_US"/>
        </w:rPr>
        <w:t>leprosy</w:t>
      </w:r>
      <w:r>
        <w:rPr>
          <w:lang w:val="en_US" w:bidi="en_US"/>
        </w:rPr>
        <w:t xml:space="preserve"> refers to several different skin diseases. Scholars disagree as to whether these diseases included modern-day leprosy (Hansen’s disease). They agree that in New Testament times the Greek word referred to dreaded skin diseases. People believed that these diseases were spread by contact with someone who had the disease. A person who had one of these diseases was also considered ritually unclean.</w:t>
      </w:r>
    </w:p>
    <w:p>
      <w:pPr/>
      <w:r>
        <w:rPr>
          <w:lang w:val="en_US" w:bidi="en_US"/>
        </w:rPr>
      </w:r>
      <w:r>
        <w:rPr>
          <w:lang w:val="en_US" w:bidi="en_US"/>
        </w:rPr>
        <w:t>Some ways to translate this word are:</w:t>
      </w:r>
    </w:p>
    <w:p>
      <w:pPr>
        <w:pStyle w:val="ListBullet"/>
        <w:spacing w:line="240" w:lineRule="auto"/>
        <w:ind w:left="720"/>
      </w:pPr>
      <w:r>
        <w:rPr>
          <w:lang w:val="en_US" w:bidi="en_US"/>
        </w:rPr>
      </w:r>
      <w:r>
        <w:rPr>
          <w:lang w:val="en_US" w:bidi="en_US"/>
        </w:rPr>
        <w:t>Use a general phrase that describes the nature or significance of the disease. For example:</w:t>
      </w:r>
      <w:r>
        <w:rPr>
          <w:lang w:val="en_US" w:bidi="en_US"/>
        </w:rPr>
        <w:t>a dreaded skin disease (GNT)</w:t>
      </w:r>
      <w:r>
        <w:rPr>
          <w:lang w:val="en_US" w:bidi="en_US"/>
        </w:rPr>
        <w:t>a serious skin disease (GW)</w:t>
      </w:r>
      <w:r>
        <w:rPr>
          <w:lang w:val="en_US" w:bidi="en_US"/>
        </w:rPr>
        <w:t>a contagious skin disease</w:t>
      </w:r>
    </w:p>
    <w:p>
      <w:pPr>
        <w:pStyle w:val="ListBullet"/>
        <w:spacing w:line="240" w:lineRule="auto"/>
        <w:ind w:left="720"/>
      </w:pPr>
      <w:r>
        <w:rPr>
          <w:lang w:val="en_US" w:bidi="en_US"/>
        </w:rPr>
      </w:r>
      <w:r>
        <w:rPr>
          <w:lang w:val="en_US" w:bidi="en_US"/>
        </w:rPr>
        <w:t>Use a term that refers specifically to leprosy. For example:</w:t>
      </w:r>
      <w:r>
        <w:rPr>
          <w:lang w:val="en_US" w:bidi="en_US"/>
        </w:rPr>
        <w:t>leprosy</w:t>
      </w:r>
      <w:r>
        <w:rPr>
          <w:lang w:val="en_US" w:bidi="en_US"/>
        </w:rPr>
        <w:t>something like leprosy</w:t>
      </w:r>
    </w:p>
    <w:p>
      <w:pPr/>
      <w:r>
        <w:rPr>
          <w:lang w:val="en_US" w:bidi="en_US"/>
        </w:rPr>
      </w:r>
      <w:r>
        <w:rPr>
          <w:lang w:val="en_US" w:bidi="en_US"/>
        </w:rPr>
        <w:t>A term that refers specifically to leprosy may be appropriate in areas where people are already familiar with the term “leprosy.”</w:t>
      </w:r>
    </w:p>
    <w:p>
      <w:pPr>
        <w:pStyle w:val="Heading5"/>
      </w:pPr>
      <w:r>
        <w:rPr>
          <w:lang w:val="en_US" w:bidi="en_US"/>
        </w:rPr>
        <w:t>5:12c</w:t>
      </w:r>
    </w:p>
    <w:p>
      <w:pPr/>
      <w:r>
        <w:rPr>
          <w:lang w:val="en_US" w:bidi="en_US"/>
        </w:rPr>
      </w:r>
      <w:r>
        <w:rPr>
          <w:b/>
          <w:lang w:val="en_US" w:bidi="en_US"/>
        </w:rPr>
        <w:t>When he saw Jesus, he fell facedown</w:t>
      </w:r>
    </w:p>
    <w:p>
      <w:pPr>
        <w:pStyle w:val="ListBullet"/>
        <w:spacing w:line="240" w:lineRule="auto"/>
        <w:ind w:left="720"/>
      </w:pPr>
      <w:r>
        <w:rPr>
          <w:lang w:val="en_US" w:bidi="en_US"/>
        </w:rPr>
      </w:r>
      <w:r>
        <w:rPr>
          <w:lang w:val="en_US" w:bidi="en_US"/>
        </w:rPr>
        <w:t xml:space="preserve">Seeing Jesus, he dropped down </w:t>
      </w:r>
      <w:r>
        <w:rPr>
          <w:lang w:val="en_US" w:bidi="en_US"/>
        </w:rPr>
        <w:t>on his knees</w:t>
      </w:r>
      <w:r>
        <w:rPr>
          <w:lang w:val="en_US" w:bidi="en_US"/>
        </w:rPr>
        <w:t xml:space="preserve"> and lowered his face to the ground.</w:t>
      </w:r>
    </w:p>
    <w:p>
      <w:pPr>
        <w:pStyle w:val="ListBullet"/>
        <w:spacing w:line="240" w:lineRule="auto"/>
        <w:ind w:left="720"/>
      </w:pPr>
      <w:r>
        <w:rPr>
          <w:lang w:val="en_US" w:bidi="en_US"/>
        </w:rPr>
      </w:r>
      <w:r>
        <w:rPr>
          <w:lang w:val="en_US" w:bidi="en_US"/>
        </w:rPr>
        <w:t xml:space="preserve">When he saw Jesus, he </w:t>
      </w:r>
      <w:r>
        <w:rPr>
          <w:lang w:val="en_US" w:bidi="en_US"/>
        </w:rPr>
        <w:t>humbly</w:t>
      </w:r>
      <w:r>
        <w:rPr>
          <w:lang w:val="en_US" w:bidi="en_US"/>
        </w:rPr>
        <w:t xml:space="preserve"> prostrated himself before him</w:t>
      </w:r>
    </w:p>
    <w:p>
      <w:pPr/>
      <w:r>
        <w:rPr>
          <w:lang w:val="en_US" w:bidi="en_US"/>
        </w:rPr>
      </w:r>
      <w:r>
        <w:rPr>
          <w:b/>
          <w:lang w:val="en_US" w:bidi="en_US"/>
        </w:rPr>
        <w:t>When he saw Jesus:</w:t>
      </w:r>
      <w:r>
        <w:rPr>
          <w:lang w:val="en_US" w:bidi="en_US"/>
        </w:rPr>
        <w:t xml:space="preserve"> This clause introduces the actions of this event. Use a natural way in your language to begin the main actions of an event. Some ways to translate this clause are:</w:t>
      </w:r>
    </w:p>
    <w:p>
      <w:pPr/>
      <w:r>
        <w:rPr>
          <w:lang w:val="en_US" w:bidi="en_US"/>
        </w:rPr>
      </w:r>
      <w:r>
        <w:rPr>
          <w:lang w:val="en_US" w:bidi="en_US"/>
        </w:rPr>
        <w:t>When the man saw Jesus (CEV)</w:t>
      </w:r>
    </w:p>
    <w:p>
      <w:pPr/>
      <w:r>
        <w:rPr>
          <w:lang w:val="en_US" w:bidi="en_US"/>
        </w:rPr>
      </w:r>
      <w:r>
        <w:rPr>
          <w:lang w:val="en_US" w:bidi="en_US"/>
        </w:rPr>
        <w:t>As soon as he saw Jesus</w:t>
      </w:r>
    </w:p>
    <w:p>
      <w:pPr/>
      <w:r>
        <w:rPr>
          <w:lang w:val="en_US" w:bidi="en_US"/>
        </w:rPr>
      </w:r>
      <w:r>
        <w:rPr>
          <w:lang w:val="en_US" w:bidi="en_US"/>
        </w:rPr>
        <w:t>Seeing Jesus</w:t>
      </w:r>
    </w:p>
    <w:p>
      <w:pPr/>
      <w:r>
        <w:rPr>
          <w:lang w:val="en_US" w:bidi="en_US"/>
        </w:rPr>
      </w:r>
      <w:r>
        <w:rPr>
          <w:b/>
          <w:lang w:val="en_US" w:bidi="en_US"/>
        </w:rPr>
        <w:t>he fell facedown:</w:t>
      </w:r>
      <w:r>
        <w:rPr>
          <w:lang w:val="en_US" w:bidi="en_US"/>
        </w:rPr>
        <w:t xml:space="preserve"> The phrase </w:t>
      </w:r>
      <w:r>
        <w:rPr>
          <w:i/>
          <w:lang w:val="en_US" w:bidi="en_US"/>
        </w:rPr>
        <w:t>he fell facedown</w:t>
      </w:r>
      <w:r>
        <w:rPr>
          <w:lang w:val="en_US" w:bidi="en_US"/>
        </w:rPr>
        <w:t xml:space="preserve"> means that the man knelt down and then lowered his face to the ground. He did this deliberately in order to show his humility and his great respect for Jesus. He did not fall by accident.</w:t>
      </w:r>
    </w:p>
    <w:p>
      <w:pPr/>
      <w:r>
        <w:rPr>
          <w:lang w:val="en_US" w:bidi="en_US"/>
        </w:rPr>
      </w:r>
      <w:r>
        <w:rPr>
          <w:lang w:val="en_US" w:bidi="en_US"/>
        </w:rPr>
        <w:t>Some ways to translate this are:</w:t>
      </w:r>
    </w:p>
    <w:p>
      <w:pPr/>
      <w:r>
        <w:rPr>
          <w:lang w:val="en_US" w:bidi="en_US"/>
        </w:rPr>
      </w:r>
      <w:r>
        <w:rPr>
          <w:lang w:val="en_US" w:bidi="en_US"/>
        </w:rPr>
        <w:t>he bowed with his face to the ground (NLT)</w:t>
      </w:r>
    </w:p>
    <w:p>
      <w:pPr/>
      <w:r>
        <w:rPr>
          <w:lang w:val="en_US" w:bidi="en_US"/>
        </w:rPr>
      </w:r>
      <w:r>
        <w:rPr>
          <w:lang w:val="en_US" w:bidi="en_US"/>
        </w:rPr>
        <w:t>he knelt down to the ground in front of Jesus (CEV)</w:t>
      </w:r>
    </w:p>
    <w:p>
      <w:pPr/>
      <w:r>
        <w:rPr>
          <w:lang w:val="en_US" w:bidi="en_US"/>
        </w:rPr>
      </w:r>
      <w:r>
        <w:rPr>
          <w:lang w:val="en_US" w:bidi="en_US"/>
        </w:rPr>
        <w:t xml:space="preserve">he </w:t>
      </w:r>
      <w:r>
        <w:rPr>
          <w:lang w:val="en_US" w:bidi="en_US"/>
        </w:rPr>
        <w:t>got on his knees and</w:t>
      </w:r>
      <w:r>
        <w:rPr>
          <w:lang w:val="en_US" w:bidi="en_US"/>
        </w:rPr>
        <w:t xml:space="preserve"> bowed/prostrated himself with his face on the ground</w:t>
      </w:r>
    </w:p>
    <w:p>
      <w:pPr>
        <w:pStyle w:val="Heading5"/>
      </w:pPr>
      <w:r>
        <w:rPr>
          <w:lang w:val="en_US" w:bidi="en_US"/>
        </w:rPr>
        <w:t>5:12d</w:t>
      </w:r>
    </w:p>
    <w:p>
      <w:pPr/>
      <w:r>
        <w:rPr>
          <w:lang w:val="en_US" w:bidi="en_US"/>
        </w:rPr>
      </w:r>
      <w:r>
        <w:rPr>
          <w:b/>
          <w:lang w:val="en_US" w:bidi="en_US"/>
        </w:rPr>
        <w:t>and begged Him, “Lord, if You are willing, You can make me clean.”</w:t>
      </w:r>
    </w:p>
    <w:p>
      <w:pPr>
        <w:pStyle w:val="ListBullet"/>
        <w:spacing w:line="240" w:lineRule="auto"/>
        <w:ind w:left="720"/>
      </w:pPr>
      <w:r>
        <w:rPr>
          <w:lang w:val="en_US" w:bidi="en_US"/>
        </w:rPr>
      </w:r>
      <w:r>
        <w:rPr>
          <w:lang w:val="en_US" w:bidi="en_US"/>
        </w:rPr>
        <w:t xml:space="preserve">Then he pleaded with him: “Lord/Sir, if you want to, you can </w:t>
      </w:r>
      <w:r>
        <w:rPr>
          <w:lang w:val="en_US" w:bidi="en_US"/>
        </w:rPr>
        <w:t>heal</w:t>
      </w:r>
      <w:r>
        <w:rPr>
          <w:lang w:val="en_US" w:bidi="en_US"/>
        </w:rPr>
        <w:t xml:space="preserve"> me so I will be clean/pure.”</w:t>
      </w:r>
    </w:p>
    <w:p>
      <w:pPr>
        <w:pStyle w:val="ListBullet"/>
        <w:spacing w:line="240" w:lineRule="auto"/>
        <w:ind w:left="720"/>
      </w:pPr>
      <w:r>
        <w:rPr>
          <w:lang w:val="en_US" w:bidi="en_US"/>
        </w:rPr>
      </w:r>
      <w:r>
        <w:rPr>
          <w:lang w:val="en_US" w:bidi="en_US"/>
        </w:rPr>
        <w:t xml:space="preserve">and requested of </w:t>
      </w:r>
      <w:r>
        <w:rPr>
          <w:lang w:val="en_US" w:bidi="en_US"/>
        </w:rPr>
        <w:t>Jesus</w:t>
      </w:r>
      <w:r>
        <w:rPr>
          <w:lang w:val="en_US" w:bidi="en_US"/>
        </w:rPr>
        <w:t xml:space="preserve">, “Lord/Sir, please make me </w:t>
      </w:r>
      <w:r>
        <w:rPr>
          <w:lang w:val="en_US" w:bidi="en_US"/>
        </w:rPr>
        <w:t>ritually</w:t>
      </w:r>
      <w:r>
        <w:rPr>
          <w:lang w:val="en_US" w:bidi="en_US"/>
        </w:rPr>
        <w:t xml:space="preserve"> clean </w:t>
      </w:r>
      <w:r>
        <w:rPr>
          <w:lang w:val="en_US" w:bidi="en_US"/>
        </w:rPr>
        <w:t>by healing me</w:t>
      </w:r>
      <w:r>
        <w:rPr>
          <w:lang w:val="en_US" w:bidi="en_US"/>
        </w:rPr>
        <w:t xml:space="preserve">. </w:t>
      </w:r>
      <w:r>
        <w:rPr>
          <w:lang w:val="en_US" w:bidi="en_US"/>
        </w:rPr>
        <w:t>I believe</w:t>
      </w:r>
      <w:r>
        <w:rPr>
          <w:lang w:val="en_US" w:bidi="en_US"/>
        </w:rPr>
        <w:t xml:space="preserve"> you can do it if you are willing!”</w:t>
      </w:r>
    </w:p>
    <w:p>
      <w:pPr>
        <w:pStyle w:val="ListBullet"/>
        <w:spacing w:line="240" w:lineRule="auto"/>
        <w:ind w:left="720"/>
      </w:pPr>
      <w:r>
        <w:rPr>
          <w:lang w:val="en_US" w:bidi="en_US"/>
        </w:rPr>
      </w:r>
      <w:r>
        <w:rPr>
          <w:lang w:val="en_US" w:bidi="en_US"/>
        </w:rPr>
        <w:t>and begged him, “Lord, you can heal me if you will.” (NCV)</w:t>
      </w:r>
    </w:p>
    <w:p>
      <w:pPr/>
      <w:r>
        <w:rPr>
          <w:lang w:val="en_US" w:bidi="en_US"/>
        </w:rPr>
      </w:r>
      <w:r>
        <w:rPr>
          <w:b/>
          <w:lang w:val="en_US" w:bidi="en_US"/>
        </w:rPr>
        <w:t>and begged Him:</w:t>
      </w:r>
      <w:r>
        <w:rPr>
          <w:lang w:val="en_US" w:bidi="en_US"/>
        </w:rPr>
        <w:t xml:space="preserve"> The Greek word that the BSB translates as </w:t>
      </w:r>
      <w:r>
        <w:rPr>
          <w:i/>
          <w:lang w:val="en_US" w:bidi="en_US"/>
        </w:rPr>
        <w:t>begged</w:t>
      </w:r>
      <w:r>
        <w:rPr>
          <w:lang w:val="en_US" w:bidi="en_US"/>
        </w:rPr>
        <w:t xml:space="preserve"> means “to plead for” something. It emphasizes how much the speaker desires what he is asking for. The man with leprosy made an earnest request in a humble way.</w:t>
      </w:r>
    </w:p>
    <w:p>
      <w:pPr/>
      <w:r>
        <w:rPr>
          <w:lang w:val="en_US" w:bidi="en_US"/>
        </w:rPr>
      </w:r>
      <w:r>
        <w:rPr>
          <w:lang w:val="en_US" w:bidi="en_US"/>
        </w:rPr>
        <w:t>Use the most natural way in your language to introduce what the man asked for. For example:</w:t>
      </w:r>
    </w:p>
    <w:p>
      <w:pPr/>
      <w:r>
        <w:rPr>
          <w:lang w:val="en_US" w:bidi="en_US"/>
        </w:rPr>
      </w:r>
      <w:r>
        <w:rPr>
          <w:lang w:val="en_US" w:bidi="en_US"/>
        </w:rPr>
        <w:t>He begged Jesus (GW)</w:t>
      </w:r>
    </w:p>
    <w:p>
      <w:pPr/>
      <w:r>
        <w:rPr>
          <w:lang w:val="en_US" w:bidi="en_US"/>
        </w:rPr>
      </w:r>
      <w:r>
        <w:rPr>
          <w:lang w:val="en_US" w:bidi="en_US"/>
        </w:rPr>
        <w:t>begging to be healed (NLT)</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is the same word that Simon used in 5:8c. Translate the word in the same way here.</w:t>
      </w:r>
    </w:p>
    <w:p>
      <w:pPr/>
      <w:r>
        <w:rPr>
          <w:lang w:val="en_US" w:bidi="en_US"/>
        </w:rPr>
      </w:r>
      <w:r>
        <w:rPr>
          <w:lang w:val="en_US" w:bidi="en_US"/>
        </w:rPr>
        <w:t>See Lord, Context 3, in the Glossary for more information.</w:t>
      </w:r>
    </w:p>
    <w:p>
      <w:pPr/>
      <w:r>
        <w:rPr>
          <w:lang w:val="en_US" w:bidi="en_US"/>
        </w:rPr>
      </w:r>
      <w:r>
        <w:rPr>
          <w:b/>
          <w:lang w:val="en_US" w:bidi="en_US"/>
        </w:rPr>
        <w:t>if You are willing, You can make me clean:</w:t>
      </w:r>
      <w:r>
        <w:rPr>
          <w:lang w:val="en_US" w:bidi="en_US"/>
        </w:rPr>
        <w:t xml:space="preserve"> When he said this, the man with leprosy showed that he believed that Jesus had the power to heal him. However, he did not know whether Jesus was willing to do it. This statement was a polite way for the man to ask Jesus to heal him.</w:t>
      </w:r>
    </w:p>
    <w:p>
      <w:pPr/>
      <w:r>
        <w:rPr>
          <w:lang w:val="en_US" w:bidi="en_US"/>
        </w:rPr>
      </w:r>
      <w:r>
        <w:rPr>
          <w:lang w:val="en_US" w:bidi="en_US"/>
        </w:rPr>
        <w:t>In some languages, it may be necessary to make that request explicit. In some languages, it is more polite to request something by using a question form.</w:t>
      </w:r>
    </w:p>
    <w:p>
      <w:pPr/>
      <w:r>
        <w:rPr>
          <w:lang w:val="en_US" w:bidi="en_US"/>
        </w:rPr>
      </w:r>
      <w:r>
        <w:rPr>
          <w:lang w:val="en_US" w:bidi="en_US"/>
        </w:rPr>
        <w:t>Some ways to translate this are:</w:t>
      </w:r>
    </w:p>
    <w:p>
      <w:pPr/>
      <w:r>
        <w:rPr>
          <w:lang w:val="en_US" w:bidi="en_US"/>
        </w:rPr>
      </w:r>
      <w:r>
        <w:rPr>
          <w:lang w:val="en_US" w:bidi="en_US"/>
        </w:rPr>
        <w:t xml:space="preserve">If you are willing, you can make me clean, </w:t>
      </w:r>
      <w:r>
        <w:rPr>
          <w:lang w:val="en_US" w:bidi="en_US"/>
        </w:rPr>
        <w:t>so will you please heal me?</w:t>
      </w:r>
    </w:p>
    <w:p>
      <w:pPr/>
      <w:r>
        <w:rPr>
          <w:lang w:val="en_US" w:bidi="en_US"/>
        </w:rPr>
      </w:r>
      <w:r>
        <w:rPr>
          <w:lang w:val="en_US" w:bidi="en_US"/>
        </w:rPr>
        <w:t xml:space="preserve">Please make me clean! </w:t>
      </w:r>
      <w:r>
        <w:rPr>
          <w:lang w:val="en_US" w:bidi="en_US"/>
        </w:rPr>
        <w:t>I know</w:t>
      </w:r>
      <w:r>
        <w:rPr>
          <w:lang w:val="en_US" w:bidi="en_US"/>
        </w:rPr>
        <w:t xml:space="preserve"> you are able to do this if you want to!</w:t>
      </w:r>
    </w:p>
    <w:p>
      <w:pPr/>
      <w:r>
        <w:rPr>
          <w:lang w:val="en_US" w:bidi="en_US"/>
        </w:rPr>
      </w:r>
      <w:r>
        <w:rPr>
          <w:b/>
          <w:lang w:val="en_US" w:bidi="en_US"/>
        </w:rPr>
        <w:t>You can make me clean:</w:t>
      </w:r>
      <w:r>
        <w:rPr>
          <w:lang w:val="en_US" w:bidi="en_US"/>
        </w:rPr>
        <w:t xml:space="preserve"> The phrase </w:t>
      </w:r>
      <w:r>
        <w:rPr>
          <w:i/>
          <w:lang w:val="en_US" w:bidi="en_US"/>
        </w:rPr>
        <w:t>make me clean</w:t>
      </w:r>
      <w:r>
        <w:rPr>
          <w:lang w:val="en_US" w:bidi="en_US"/>
        </w:rPr>
        <w:t xml:space="preserve"> in this context means “make me ritually clean by healing me.” It does not refer to cleansing from physical dirt.</w:t>
      </w:r>
    </w:p>
    <w:p>
      <w:pPr/>
      <w:r>
        <w:rPr>
          <w:lang w:val="en_US" w:bidi="en_US"/>
        </w:rPr>
      </w:r>
      <w:r>
        <w:rPr>
          <w:lang w:val="en_US" w:bidi="en_US"/>
        </w:rPr>
        <w:t>According to Jewish law, people with the skin disease called “leprosy” were ritually unclean or impure. They were not allowed to participate in public religious ceremonies or to worship God at the temple. They had to live away from other people who did not have this disease. When they were healed, they became ritually clean. Then they were allowed to come to the temple again and participate in community activities.</w:t>
      </w:r>
    </w:p>
    <w:p>
      <w:pPr/>
      <w:r>
        <w:rPr>
          <w:lang w:val="en_US" w:bidi="en_US"/>
        </w:rPr>
      </w:r>
      <w:r>
        <w:rPr>
          <w:lang w:val="en_US" w:bidi="en_US"/>
        </w:rPr>
        <w:t xml:space="preserve">Here are several ways to translate the phrase </w:t>
      </w:r>
      <w:r>
        <w:rPr>
          <w:i/>
          <w:lang w:val="en_US" w:bidi="en_US"/>
        </w:rPr>
        <w:t>make me clean</w:t>
      </w:r>
      <w:r>
        <w:rPr>
          <w:lang w:val="en_US" w:bidi="en_US"/>
        </w:rPr>
        <w:t>:</w:t>
      </w:r>
    </w:p>
    <w:p>
      <w:pPr>
        <w:pStyle w:val="ListBullet"/>
        <w:spacing w:line="240" w:lineRule="auto"/>
        <w:ind w:left="720"/>
      </w:pPr>
      <w:r>
        <w:rPr>
          <w:lang w:val="en_US" w:bidi="en_US"/>
        </w:rPr>
      </w:r>
      <w:r>
        <w:rPr>
          <w:lang w:val="en_US" w:bidi="en_US"/>
        </w:rPr>
        <w:t>Translate both the idea of healing and the idea of causing the man to become ritually clean. Translate the ideas in a natural order in your language. For example:</w:t>
      </w:r>
      <w:r>
        <w:rPr>
          <w:lang w:val="en_US" w:bidi="en_US"/>
        </w:rPr>
        <w:t xml:space="preserve">you can heal me and make me </w:t>
      </w:r>
      <w:r>
        <w:rPr>
          <w:lang w:val="en_US" w:bidi="en_US"/>
        </w:rPr>
        <w:t>ritually</w:t>
      </w:r>
      <w:r>
        <w:rPr>
          <w:lang w:val="en_US" w:bidi="en_US"/>
        </w:rPr>
        <w:t xml:space="preserve"> clean</w:t>
      </w:r>
      <w:r>
        <w:rPr>
          <w:lang w:val="en_US" w:bidi="en_US"/>
        </w:rPr>
        <w:t xml:space="preserve">you can heal me </w:t>
      </w:r>
      <w:r>
        <w:rPr>
          <w:lang w:val="en_US" w:bidi="en_US"/>
        </w:rPr>
        <w:t>so that I will be</w:t>
      </w:r>
      <w:r>
        <w:rPr>
          <w:lang w:val="en_US" w:bidi="en_US"/>
        </w:rPr>
        <w:t xml:space="preserve"> </w:t>
      </w:r>
      <w:r>
        <w:rPr>
          <w:lang w:val="en_US" w:bidi="en_US"/>
        </w:rPr>
        <w:t>ritually</w:t>
      </w:r>
      <w:r>
        <w:rPr>
          <w:lang w:val="en_US" w:bidi="en_US"/>
        </w:rPr>
        <w:t xml:space="preserve"> pure</w:t>
      </w:r>
    </w:p>
    <w:p>
      <w:pPr>
        <w:pStyle w:val="ListBullet"/>
        <w:spacing w:line="240" w:lineRule="auto"/>
        <w:ind w:left="720"/>
      </w:pPr>
      <w:r>
        <w:rPr>
          <w:lang w:val="en_US" w:bidi="en_US"/>
        </w:rPr>
      </w:r>
      <w:r>
        <w:rPr>
          <w:lang w:val="en_US" w:bidi="en_US"/>
        </w:rPr>
        <w:t>Translate only the idea of healing here. For example:</w:t>
      </w:r>
      <w:r>
        <w:rPr>
          <w:lang w:val="en_US" w:bidi="en_US"/>
        </w:rPr>
        <w:t>you have the power to make me well (CEV)</w:t>
      </w:r>
      <w:r>
        <w:rPr>
          <w:lang w:val="en_US" w:bidi="en_US"/>
        </w:rPr>
        <w:t>you can heal me if you will (NCV)</w:t>
      </w:r>
    </w:p>
    <w:p>
      <w:pPr>
        <w:pStyle w:val="ListBullet"/>
        <w:spacing w:line="240" w:lineRule="auto"/>
        <w:ind w:left="720"/>
      </w:pPr>
      <w:r>
        <w:rPr>
          <w:lang w:val="en_US" w:bidi="en_US"/>
        </w:rPr>
      </w:r>
      <w:r>
        <w:rPr>
          <w:lang w:val="en_US" w:bidi="en_US"/>
        </w:rPr>
        <w:t>Translate only the idea of causing the man to be ritually clean. For example:</w:t>
      </w:r>
      <w:r>
        <w:rPr>
          <w:lang w:val="en_US" w:bidi="en_US"/>
        </w:rPr>
        <w:t xml:space="preserve">you can make me </w:t>
      </w:r>
      <w:r>
        <w:rPr>
          <w:lang w:val="en_US" w:bidi="en_US"/>
        </w:rPr>
        <w:t>ritually</w:t>
      </w:r>
      <w:r>
        <w:rPr>
          <w:lang w:val="en_US" w:bidi="en_US"/>
        </w:rPr>
        <w:t xml:space="preserve"> clean</w:t>
      </w:r>
      <w:r>
        <w:rPr>
          <w:lang w:val="en_US" w:bidi="en_US"/>
        </w:rPr>
      </w:r>
      <w:r>
        <w:rPr>
          <w:lang w:val="en_US" w:bidi="en_US"/>
        </w:rPr>
      </w:r>
    </w:p>
    <w:p>
      <w:pPr/>
      <w:r>
        <w:rPr>
          <w:lang w:val="en_US" w:bidi="en_US"/>
        </w:rPr>
      </w:r>
    </w:p>
    <w:p>
      <w:pPr>
        <w:pStyle w:val="Heading2"/>
      </w:pPr>
      <w:r>
        <w:rPr>
          <w:lang w:val="en_US" w:bidi="en_US"/>
        </w:rPr>
        <w:t>Luke 5:13</w:t>
      </w:r>
      <w:r>
        <w:rPr>
          <w:lang w:val="en_US" w:bidi="en_US"/>
        </w:rPr>
      </w:r>
    </w:p>
    <w:p>
      <w:pPr>
        <w:pStyle w:val="Heading4"/>
      </w:pPr>
      <w:r>
        <w:rPr>
          <w:lang w:val="en_US" w:bidi="en_US"/>
        </w:rPr>
        <w:t>Section 5:12–16: Jesus healed a man with a dreaded skin disease</w:t>
      </w:r>
    </w:p>
    <w:p>
      <w:pPr/>
      <w:r>
        <w:rPr>
          <w:lang w:val="en_US" w:bidi="en_US"/>
        </w:rPr>
      </w:r>
      <w:r>
        <w:rPr>
          <w:lang w:val="en_US" w:bidi="en_US"/>
        </w:rPr>
        <w:t>In this section, Jesus healed a man with a skin disease, and so Jesus’ fame spread in that region. As a result, crowds of people came to hear him teach and to be healed of diseases.</w:t>
      </w:r>
    </w:p>
    <w:p>
      <w:pPr/>
      <w:r>
        <w:rPr>
          <w:lang w:val="en_US" w:bidi="en_US"/>
        </w:rPr>
      </w:r>
      <w:r>
        <w:rPr>
          <w:lang w:val="en_US" w:bidi="en_US"/>
        </w:rPr>
        <w:t>In Jesus’ time, having a skin disease made a person ceremonially or ritually “unclean.” This meant that a person with such a disease was not allowed to worship God with other people. This person had to live apart from healthy people, including his family.</w:t>
      </w:r>
    </w:p>
    <w:p>
      <w:pPr/>
      <w:r>
        <w:rPr>
          <w:lang w:val="en_US" w:bidi="en_US"/>
        </w:rPr>
      </w:r>
      <w:r>
        <w:rPr>
          <w:lang w:val="en_US" w:bidi="en_US"/>
        </w:rPr>
        <w:t>Some other possible headings for this section are:</w:t>
      </w:r>
    </w:p>
    <w:p>
      <w:pPr/>
      <w:r>
        <w:rPr>
          <w:lang w:val="en_US" w:bidi="en_US"/>
        </w:rPr>
      </w:r>
      <w:r>
        <w:rPr>
          <w:lang w:val="en_US" w:bidi="en_US"/>
        </w:rPr>
        <w:t>Jesus made a man with a skin disease pure/clean</w:t>
      </w:r>
    </w:p>
    <w:p>
      <w:pPr/>
      <w:r>
        <w:rPr>
          <w:lang w:val="en_US" w:bidi="en_US"/>
        </w:rPr>
      </w:r>
      <w:r>
        <w:rPr>
          <w:lang w:val="en_US" w:bidi="en_US"/>
        </w:rPr>
        <w:t>The Man With Leprosy (NIV)</w:t>
      </w:r>
    </w:p>
    <w:p>
      <w:pPr/>
      <w:r>
        <w:rPr>
          <w:lang w:val="en_US" w:bidi="en_US"/>
        </w:rPr>
      </w:r>
      <w:r>
        <w:rPr>
          <w:lang w:val="en_US" w:bidi="en_US"/>
        </w:rPr>
        <w:t>Jesus Heals a Man with Leprosy (NLT)</w:t>
      </w:r>
    </w:p>
    <w:p>
      <w:pPr/>
      <w:r>
        <w:rPr>
          <w:lang w:val="en_US" w:bidi="en_US"/>
        </w:rPr>
      </w:r>
      <w:r>
        <w:rPr>
          <w:lang w:val="en_US" w:bidi="en_US"/>
        </w:rPr>
        <w:t>Jesus showed his power over a skin disease</w:t>
      </w:r>
    </w:p>
    <w:p>
      <w:pPr/>
      <w:r>
        <w:rPr>
          <w:lang w:val="en_US" w:bidi="en_US"/>
        </w:rPr>
      </w:r>
      <w:r>
        <w:rPr>
          <w:lang w:val="en_US" w:bidi="en_US"/>
        </w:rPr>
        <w:t>There are parallel passages for this section in Matthew 8:1–4 and Mark 1:40–45.</w:t>
      </w:r>
    </w:p>
    <w:p>
      <w:pPr>
        <w:pStyle w:val="Heading5"/>
      </w:pPr>
      <w:r>
        <w:rPr>
          <w:lang w:val="en_US" w:bidi="en_US"/>
        </w:rPr>
        <w:t>5:13a</w:t>
      </w:r>
    </w:p>
    <w:p>
      <w:pPr/>
      <w:r>
        <w:rPr>
          <w:lang w:val="en_US" w:bidi="en_US"/>
        </w:rPr>
      </w:r>
      <w:r>
        <w:rPr>
          <w:b/>
          <w:lang w:val="en_US" w:bidi="en_US"/>
        </w:rPr>
        <w:t>Jesus reached out His hand and touched the man.</w:t>
      </w:r>
    </w:p>
    <w:p>
      <w:pPr>
        <w:pStyle w:val="ListBullet"/>
        <w:spacing w:line="240" w:lineRule="auto"/>
        <w:ind w:left="720"/>
      </w:pPr>
      <w:r>
        <w:rPr>
          <w:lang w:val="en_US" w:bidi="en_US"/>
        </w:rPr>
      </w:r>
      <w:r>
        <w:rPr>
          <w:lang w:val="en_US" w:bidi="en_US"/>
        </w:rPr>
        <w:t>Then Jesus stretched out his hand, touched him, (NRSV)</w:t>
      </w:r>
    </w:p>
    <w:p>
      <w:pPr>
        <w:pStyle w:val="ListBullet"/>
        <w:spacing w:line="240" w:lineRule="auto"/>
        <w:ind w:left="720"/>
      </w:pPr>
      <w:r>
        <w:rPr>
          <w:lang w:val="en_US" w:bidi="en_US"/>
        </w:rPr>
      </w:r>
      <w:r>
        <w:rPr>
          <w:lang w:val="en_US" w:bidi="en_US"/>
        </w:rPr>
        <w:t>Jesus put his hand on him (CEV)</w:t>
      </w:r>
    </w:p>
    <w:p>
      <w:pPr/>
      <w:r>
        <w:rPr>
          <w:lang w:val="en_US" w:bidi="en_US"/>
        </w:rPr>
      </w:r>
      <w:r>
        <w:rPr>
          <w:lang w:val="en_US" w:bidi="en_US"/>
        </w:rPr>
        <w:t>This verse begins with a Greek conjunction that is often translated as “and.” Some English versions, such as the ESV, translate it that way. Other English translations do not translate this conjunction. Introduce what Jesus did in response to the man’s request in a natural way in your language. You may state directly what Jesus did without using a conjunction, or you may use a conjunction such as “then.” For example:</w:t>
      </w:r>
    </w:p>
    <w:p>
      <w:pPr/>
      <w:r>
        <w:rPr>
          <w:lang w:val="en_US" w:bidi="en_US"/>
        </w:rPr>
      </w:r>
      <w:r>
        <w:rPr>
          <w:lang w:val="en_US" w:bidi="en_US"/>
        </w:rPr>
        <w:t>Then Jesus stretched out his hand (NRSV)</w:t>
      </w:r>
    </w:p>
    <w:p>
      <w:pPr/>
      <w:r>
        <w:rPr>
          <w:lang w:val="en_US" w:bidi="en_US"/>
        </w:rPr>
      </w:r>
      <w:r>
        <w:rPr>
          <w:b/>
          <w:lang w:val="en_US" w:bidi="en_US"/>
        </w:rPr>
        <w:t>Jesus reached out His hand and touched the man:</w:t>
      </w:r>
      <w:r>
        <w:rPr>
          <w:lang w:val="en_US" w:bidi="en_US"/>
        </w:rPr>
        <w:t xml:space="preserve"> In some languages, it may sound unnatural to say “his hand” in the phrase </w:t>
      </w:r>
      <w:r>
        <w:rPr>
          <w:i/>
          <w:lang w:val="en_US" w:bidi="en_US"/>
        </w:rPr>
        <w:t>reached out His hand and touched the man</w:t>
      </w:r>
      <w:r>
        <w:rPr>
          <w:lang w:val="en_US" w:bidi="en_US"/>
        </w:rPr>
        <w:t xml:space="preserve">. This is because “his hand” is implied in the verb </w:t>
      </w:r>
      <w:r>
        <w:rPr>
          <w:i/>
          <w:lang w:val="en_US" w:bidi="en_US"/>
        </w:rPr>
        <w:t>touched</w:t>
      </w:r>
      <w:r>
        <w:rPr>
          <w:lang w:val="en_US" w:bidi="en_US"/>
        </w:rPr>
        <w:t>. If this is true in your language, use a natural way to express the action in your language. Some ways to translate this are:</w:t>
      </w:r>
    </w:p>
    <w:p>
      <w:pPr/>
      <w:r>
        <w:rPr>
          <w:lang w:val="en_US" w:bidi="en_US"/>
        </w:rPr>
      </w:r>
      <w:r>
        <w:rPr>
          <w:lang w:val="en_US" w:bidi="en_US"/>
        </w:rPr>
        <w:t>Jesus reached out and touched him (NLT)</w:t>
      </w:r>
    </w:p>
    <w:p>
      <w:pPr/>
      <w:r>
        <w:rPr>
          <w:lang w:val="en_US" w:bidi="en_US"/>
        </w:rPr>
      </w:r>
      <w:r>
        <w:rPr>
          <w:lang w:val="en_US" w:bidi="en_US"/>
        </w:rPr>
        <w:t>Jesus put his hand on him (CEV)</w:t>
      </w:r>
    </w:p>
    <w:p>
      <w:pPr>
        <w:pStyle w:val="Heading5"/>
      </w:pPr>
      <w:r>
        <w:rPr>
          <w:lang w:val="en_US" w:bidi="en_US"/>
        </w:rPr>
        <w:t>5:13b</w:t>
      </w:r>
    </w:p>
    <w:p>
      <w:pPr/>
      <w:r>
        <w:rPr>
          <w:lang w:val="en_US" w:bidi="en_US"/>
        </w:rPr>
      </w:r>
      <w:r>
        <w:rPr>
          <w:b/>
          <w:lang w:val="en_US" w:bidi="en_US"/>
        </w:rPr>
        <w:t>“I am willing,” He said.</w:t>
      </w:r>
    </w:p>
    <w:p>
      <w:pPr>
        <w:pStyle w:val="ListBullet"/>
        <w:spacing w:line="240" w:lineRule="auto"/>
        <w:ind w:left="720"/>
      </w:pPr>
      <w:r>
        <w:rPr>
          <w:lang w:val="en_US" w:bidi="en_US"/>
        </w:rPr>
      </w:r>
      <w:r>
        <w:rPr>
          <w:lang w:val="en_US" w:bidi="en_US"/>
        </w:rPr>
        <w:t>and said, “I want to.</w:t>
      </w:r>
    </w:p>
    <w:p>
      <w:pPr>
        <w:pStyle w:val="ListBullet"/>
        <w:spacing w:line="240" w:lineRule="auto"/>
        <w:ind w:left="720"/>
      </w:pPr>
      <w:r>
        <w:rPr>
          <w:lang w:val="en_US" w:bidi="en_US"/>
        </w:rPr>
      </w:r>
      <w:r>
        <w:rPr>
          <w:lang w:val="en_US" w:bidi="en_US"/>
        </w:rPr>
        <w:t xml:space="preserve">and said, “I want </w:t>
      </w:r>
      <w:r>
        <w:rPr>
          <w:lang w:val="en_US" w:bidi="en_US"/>
        </w:rPr>
        <w:t>to do this</w:t>
      </w:r>
      <w:r>
        <w:rPr>
          <w:lang w:val="en_US" w:bidi="en_US"/>
        </w:rPr>
        <w:t>.</w:t>
      </w:r>
    </w:p>
    <w:p>
      <w:pPr/>
      <w:r>
        <w:rPr>
          <w:lang w:val="en_US" w:bidi="en_US"/>
        </w:rPr>
      </w:r>
      <w:r>
        <w:rPr>
          <w:b/>
          <w:lang w:val="en_US" w:bidi="en_US"/>
        </w:rPr>
        <w:t>“I am willing,” He said:</w:t>
      </w:r>
      <w:r>
        <w:rPr>
          <w:lang w:val="en_US" w:bidi="en_US"/>
        </w:rPr>
        <w:t xml:space="preserve"> In Greek, the phrase that the BSB translates as </w:t>
      </w:r>
      <w:r>
        <w:rPr>
          <w:i/>
          <w:lang w:val="en_US" w:bidi="en_US"/>
        </w:rPr>
        <w:t>He said</w:t>
      </w:r>
      <w:r>
        <w:rPr>
          <w:lang w:val="en_US" w:bidi="en_US"/>
        </w:rPr>
        <w:t xml:space="preserve"> occurs at the beginning Jesus’ words. The BSB has placed it in the middle of Jesus’ words. Place the phrase where it is most natural in your language. For example:</w:t>
      </w:r>
    </w:p>
    <w:p>
      <w:pPr/>
      <w:r>
        <w:rPr>
          <w:lang w:val="en_US" w:bidi="en_US"/>
        </w:rPr>
      </w:r>
      <w:r>
        <w:rPr>
          <w:lang w:val="en_US" w:bidi="en_US"/>
        </w:rPr>
        <w:t xml:space="preserve">Jesus reached out, touched him, and </w:t>
      </w:r>
      <w:r>
        <w:rPr>
          <w:u w:val="single"/>
          <w:lang w:val="en_US" w:bidi="en_US"/>
        </w:rPr>
        <w:t>said</w:t>
      </w:r>
      <w:r>
        <w:rPr>
          <w:lang w:val="en_US" w:bidi="en_US"/>
        </w:rPr>
        <w:t xml:space="preserve"> (GW)</w:t>
      </w:r>
    </w:p>
    <w:p>
      <w:pPr/>
      <w:r>
        <w:rPr>
          <w:lang w:val="en_US" w:bidi="en_US"/>
        </w:rPr>
      </w:r>
      <w:r>
        <w:rPr>
          <w:lang w:val="en_US" w:bidi="en_US"/>
        </w:rPr>
        <w:t xml:space="preserve">Jesus stretched out his hand, placed it on the leper, </w:t>
      </w:r>
      <w:r>
        <w:rPr>
          <w:u w:val="single"/>
          <w:lang w:val="en_US" w:bidi="en_US"/>
        </w:rPr>
        <w:t>saying</w:t>
      </w:r>
      <w:r>
        <w:rPr>
          <w:lang w:val="en_US" w:bidi="en_US"/>
        </w:rPr>
        <w:t xml:space="preserve"> (JBP)</w:t>
      </w:r>
    </w:p>
    <w:p>
      <w:pPr/>
      <w:r>
        <w:rPr>
          <w:lang w:val="en_US" w:bidi="en_US"/>
        </w:rPr>
      </w:r>
      <w:r>
        <w:rPr>
          <w:b/>
          <w:lang w:val="en_US" w:bidi="en_US"/>
        </w:rPr>
        <w:t>I am willing:</w:t>
      </w:r>
      <w:r>
        <w:rPr>
          <w:lang w:val="en_US" w:bidi="en_US"/>
        </w:rPr>
        <w:t xml:space="preserve"> The phrase </w:t>
      </w:r>
      <w:r>
        <w:rPr>
          <w:i/>
          <w:lang w:val="en_US" w:bidi="en_US"/>
        </w:rPr>
        <w:t>I am willing</w:t>
      </w:r>
      <w:r>
        <w:rPr>
          <w:lang w:val="en_US" w:bidi="en_US"/>
        </w:rPr>
        <w:t xml:space="preserve"> here means “I am willing to do as you ask” or “I do want to heal you.”</w:t>
      </w:r>
    </w:p>
    <w:p>
      <w:pPr>
        <w:pStyle w:val="Heading5"/>
      </w:pPr>
      <w:r>
        <w:rPr>
          <w:lang w:val="en_US" w:bidi="en_US"/>
        </w:rPr>
        <w:t>5:13c</w:t>
      </w:r>
    </w:p>
    <w:p>
      <w:pPr/>
      <w:r>
        <w:rPr>
          <w:lang w:val="en_US" w:bidi="en_US"/>
        </w:rPr>
      </w:r>
      <w:r>
        <w:rPr>
          <w:b/>
          <w:lang w:val="en_US" w:bidi="en_US"/>
        </w:rPr>
        <w:t>“Be clean!”</w:t>
      </w:r>
    </w:p>
    <w:p>
      <w:pPr>
        <w:pStyle w:val="ListBullet"/>
        <w:spacing w:line="240" w:lineRule="auto"/>
        <w:ind w:left="720"/>
      </w:pPr>
      <w:r>
        <w:rPr>
          <w:lang w:val="en_US" w:bidi="en_US"/>
        </w:rPr>
      </w:r>
      <w:r>
        <w:rPr>
          <w:lang w:val="en_US" w:bidi="en_US"/>
        </w:rPr>
        <w:t>Be well/healed!”</w:t>
      </w:r>
    </w:p>
    <w:p>
      <w:pPr>
        <w:pStyle w:val="ListBullet"/>
        <w:spacing w:line="240" w:lineRule="auto"/>
        <w:ind w:left="720"/>
      </w:pPr>
      <w:r>
        <w:rPr>
          <w:lang w:val="en_US" w:bidi="en_US"/>
        </w:rPr>
      </w:r>
      <w:r>
        <w:rPr>
          <w:lang w:val="en_US" w:bidi="en_US"/>
        </w:rPr>
        <w:t>You are now clean/pure.”</w:t>
      </w:r>
    </w:p>
    <w:p>
      <w:pPr>
        <w:pStyle w:val="ListBullet"/>
        <w:spacing w:line="240" w:lineRule="auto"/>
        <w:ind w:left="720"/>
      </w:pPr>
      <w:r>
        <w:rPr>
          <w:lang w:val="en_US" w:bidi="en_US"/>
        </w:rPr>
      </w:r>
      <w:r>
        <w:rPr>
          <w:lang w:val="en_US" w:bidi="en_US"/>
        </w:rPr>
        <w:t xml:space="preserve">I </w:t>
      </w:r>
      <w:r>
        <w:rPr>
          <w:lang w:val="en_US" w:bidi="en_US"/>
        </w:rPr>
        <w:t>now heal you and</w:t>
      </w:r>
      <w:r>
        <w:rPr>
          <w:lang w:val="en_US" w:bidi="en_US"/>
        </w:rPr>
        <w:t xml:space="preserve"> make you clean!”</w:t>
      </w:r>
    </w:p>
    <w:p>
      <w:pPr/>
      <w:r>
        <w:rPr>
          <w:lang w:val="en_US" w:bidi="en_US"/>
        </w:rPr>
      </w:r>
      <w:r>
        <w:rPr>
          <w:b/>
          <w:lang w:val="en_US" w:bidi="en_US"/>
        </w:rPr>
        <w:t>Be clean!:</w:t>
      </w:r>
      <w:r>
        <w:rPr>
          <w:lang w:val="en_US" w:bidi="en_US"/>
        </w:rPr>
        <w:t xml:space="preserve"> The command </w:t>
      </w:r>
      <w:r>
        <w:rPr>
          <w:i/>
          <w:lang w:val="en_US" w:bidi="en_US"/>
        </w:rPr>
        <w:t>Be clean!</w:t>
      </w:r>
      <w:r>
        <w:rPr>
          <w:lang w:val="en_US" w:bidi="en_US"/>
        </w:rPr>
        <w:t xml:space="preserve"> indicates here that Jesus was healing the man and that he was also making him ritually pure. In some languages, it may not be natural to use a command to express this idea. It may be necessary to indicate that Jesus himself was doing these actions. For example:</w:t>
      </w:r>
    </w:p>
    <w:p>
      <w:pPr/>
      <w:r>
        <w:rPr>
          <w:lang w:val="en_US" w:bidi="en_US"/>
        </w:rPr>
      </w:r>
      <w:r>
        <w:rPr>
          <w:lang w:val="en_US" w:bidi="en_US"/>
        </w:rPr>
        <w:t>You are now pure. I heal you.</w:t>
      </w:r>
    </w:p>
    <w:p>
      <w:pPr/>
      <w:r>
        <w:rPr>
          <w:lang w:val="en_US" w:bidi="en_US"/>
        </w:rPr>
      </w:r>
      <w:r>
        <w:rPr>
          <w:lang w:val="en_US" w:bidi="en_US"/>
        </w:rPr>
        <w:t>I take away your leprosy and make you ritually clean.</w:t>
      </w:r>
    </w:p>
    <w:p>
      <w:pPr/>
      <w:r>
        <w:rPr>
          <w:lang w:val="en_US" w:bidi="en_US"/>
        </w:rPr>
      </w:r>
      <w:r>
        <w:rPr>
          <w:lang w:val="en_US" w:bidi="en_US"/>
        </w:rPr>
        <w:t>Now you are well. (CEV)</w:t>
      </w:r>
    </w:p>
    <w:p>
      <w:pPr/>
      <w:r>
        <w:rPr>
          <w:lang w:val="en_US" w:bidi="en_US"/>
        </w:rPr>
      </w:r>
      <w:r>
        <w:rPr>
          <w:lang w:val="en_US" w:bidi="en_US"/>
        </w:rPr>
        <w:t>If you have healers in your culture, they may use a special expression to pronounce someone well. Consider whether an expression like that would be appropriate for Jesus to say here.</w:t>
      </w:r>
    </w:p>
    <w:p>
      <w:pPr/>
      <w:r>
        <w:rPr>
          <w:lang w:val="en_US" w:bidi="en_US"/>
        </w:rPr>
      </w:r>
      <w:r>
        <w:rPr>
          <w:b/>
          <w:lang w:val="en_US" w:bidi="en_US"/>
        </w:rPr>
        <w:t>clean:</w:t>
      </w:r>
      <w:r>
        <w:rPr>
          <w:lang w:val="en_US" w:bidi="en_US"/>
        </w:rPr>
        <w:t xml:space="preserve"> The word here for </w:t>
      </w:r>
      <w:r>
        <w:rPr>
          <w:i/>
          <w:lang w:val="en_US" w:bidi="en_US"/>
        </w:rPr>
        <w:t>clean</w:t>
      </w:r>
      <w:r>
        <w:rPr>
          <w:lang w:val="en_US" w:bidi="en_US"/>
        </w:rPr>
        <w:t xml:space="preserve"> is the same word as in the clause “you can make me clean” at 5:12d. See the note there.</w:t>
      </w:r>
    </w:p>
    <w:p>
      <w:pPr>
        <w:pStyle w:val="Heading5"/>
      </w:pPr>
      <w:r>
        <w:rPr>
          <w:lang w:val="en_US" w:bidi="en_US"/>
        </w:rPr>
        <w:t>5:13d</w:t>
      </w:r>
    </w:p>
    <w:p>
      <w:pPr/>
      <w:r>
        <w:rPr>
          <w:lang w:val="en_US" w:bidi="en_US"/>
        </w:rPr>
      </w:r>
      <w:r>
        <w:rPr>
          <w:b/>
          <w:lang w:val="en_US" w:bidi="en_US"/>
        </w:rPr>
        <w:t>And immediately the leprosy left him.</w:t>
      </w:r>
    </w:p>
    <w:p>
      <w:pPr>
        <w:pStyle w:val="ListBullet"/>
        <w:spacing w:line="240" w:lineRule="auto"/>
        <w:ind w:left="720"/>
      </w:pPr>
      <w:r>
        <w:rPr>
          <w:lang w:val="en_US" w:bidi="en_US"/>
        </w:rPr>
      </w:r>
      <w:r>
        <w:rPr>
          <w:lang w:val="en_US" w:bidi="en_US"/>
        </w:rPr>
        <w:t>Right then the disease was gone.</w:t>
      </w:r>
    </w:p>
    <w:p>
      <w:pPr>
        <w:pStyle w:val="ListBullet"/>
        <w:spacing w:line="240" w:lineRule="auto"/>
        <w:ind w:left="720"/>
      </w:pPr>
      <w:r>
        <w:rPr>
          <w:lang w:val="en_US" w:bidi="en_US"/>
        </w:rPr>
      </w:r>
      <w:r>
        <w:rPr>
          <w:lang w:val="en_US" w:bidi="en_US"/>
        </w:rPr>
        <w:t>And at once the man was well/healed.</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what happened when Jesus spoke to the man. Some English versions do not translate this conjunction. Connect this part of the verse to 5:13c in a natural way in your language.</w:t>
      </w:r>
    </w:p>
    <w:p>
      <w:pPr/>
      <w:r>
        <w:rPr>
          <w:lang w:val="en_US" w:bidi="en_US"/>
        </w:rPr>
      </w:r>
      <w:r>
        <w:rPr>
          <w:b/>
          <w:lang w:val="en_US" w:bidi="en_US"/>
        </w:rPr>
        <w:t>the leprosy left him:</w:t>
      </w:r>
      <w:r>
        <w:rPr>
          <w:lang w:val="en_US" w:bidi="en_US"/>
        </w:rPr>
        <w:t xml:space="preserve"> In some languages, it may not be possible to speak of leprosy leaving someone. If that is true in your language, use a natural way to express that the man no longer had leprosy. For example:</w:t>
      </w:r>
    </w:p>
    <w:p>
      <w:pPr/>
      <w:r>
        <w:rPr>
          <w:lang w:val="en_US" w:bidi="en_US"/>
        </w:rPr>
      </w:r>
      <w:r>
        <w:rPr>
          <w:lang w:val="en_US" w:bidi="en_US"/>
        </w:rPr>
        <w:t>his skin disease disappeared and he was well again</w:t>
      </w:r>
    </w:p>
    <w:p>
      <w:pPr/>
      <w:r>
        <w:rPr>
          <w:lang w:val="en_US" w:bidi="en_US"/>
        </w:rPr>
      </w:r>
      <w:r>
        <w:rPr>
          <w:lang w:val="en_US" w:bidi="en_US"/>
        </w:rPr>
        <w:t>he was completely healed/cured of his leprosy</w:t>
      </w:r>
      <w:r>
        <w:rPr>
          <w:lang w:val="en_US" w:bidi="en_US"/>
        </w:rPr>
      </w:r>
      <w:r>
        <w:rPr>
          <w:lang w:val="en_US" w:bidi="en_US"/>
        </w:rPr>
      </w:r>
    </w:p>
    <w:p>
      <w:pPr/>
      <w:r>
        <w:rPr>
          <w:lang w:val="en_US" w:bidi="en_US"/>
        </w:rPr>
      </w:r>
    </w:p>
    <w:p>
      <w:pPr>
        <w:pStyle w:val="Heading2"/>
      </w:pPr>
      <w:r>
        <w:rPr>
          <w:lang w:val="en_US" w:bidi="en_US"/>
        </w:rPr>
        <w:t>Luke 5:14</w:t>
      </w:r>
      <w:r>
        <w:rPr>
          <w:lang w:val="en_US" w:bidi="en_US"/>
        </w:rPr>
      </w:r>
    </w:p>
    <w:p>
      <w:pPr>
        <w:pStyle w:val="Heading4"/>
      </w:pPr>
      <w:r>
        <w:rPr>
          <w:lang w:val="en_US" w:bidi="en_US"/>
        </w:rPr>
        <w:t>Section 5:12–16: Jesus healed a man with a dreaded skin disease</w:t>
      </w:r>
    </w:p>
    <w:p>
      <w:pPr/>
      <w:r>
        <w:rPr>
          <w:lang w:val="en_US" w:bidi="en_US"/>
        </w:rPr>
      </w:r>
      <w:r>
        <w:rPr>
          <w:lang w:val="en_US" w:bidi="en_US"/>
        </w:rPr>
        <w:t>In this section, Jesus healed a man with a skin disease, and so Jesus’ fame spread in that region. As a result, crowds of people came to hear him teach and to be healed of diseases.</w:t>
      </w:r>
    </w:p>
    <w:p>
      <w:pPr/>
      <w:r>
        <w:rPr>
          <w:lang w:val="en_US" w:bidi="en_US"/>
        </w:rPr>
      </w:r>
      <w:r>
        <w:rPr>
          <w:lang w:val="en_US" w:bidi="en_US"/>
        </w:rPr>
        <w:t>In Jesus’ time, having a skin disease made a person ceremonially or ritually “unclean.” This meant that a person with such a disease was not allowed to worship God with other people. This person had to live apart from healthy people, including his family.</w:t>
      </w:r>
    </w:p>
    <w:p>
      <w:pPr/>
      <w:r>
        <w:rPr>
          <w:lang w:val="en_US" w:bidi="en_US"/>
        </w:rPr>
      </w:r>
      <w:r>
        <w:rPr>
          <w:lang w:val="en_US" w:bidi="en_US"/>
        </w:rPr>
        <w:t>Some other possible headings for this section are:</w:t>
      </w:r>
    </w:p>
    <w:p>
      <w:pPr/>
      <w:r>
        <w:rPr>
          <w:lang w:val="en_US" w:bidi="en_US"/>
        </w:rPr>
      </w:r>
      <w:r>
        <w:rPr>
          <w:lang w:val="en_US" w:bidi="en_US"/>
        </w:rPr>
        <w:t>Jesus made a man with a skin disease pure/clean</w:t>
      </w:r>
    </w:p>
    <w:p>
      <w:pPr/>
      <w:r>
        <w:rPr>
          <w:lang w:val="en_US" w:bidi="en_US"/>
        </w:rPr>
      </w:r>
      <w:r>
        <w:rPr>
          <w:lang w:val="en_US" w:bidi="en_US"/>
        </w:rPr>
        <w:t>The Man With Leprosy (NIV)</w:t>
      </w:r>
    </w:p>
    <w:p>
      <w:pPr/>
      <w:r>
        <w:rPr>
          <w:lang w:val="en_US" w:bidi="en_US"/>
        </w:rPr>
      </w:r>
      <w:r>
        <w:rPr>
          <w:lang w:val="en_US" w:bidi="en_US"/>
        </w:rPr>
        <w:t>Jesus Heals a Man with Leprosy (NLT)</w:t>
      </w:r>
    </w:p>
    <w:p>
      <w:pPr/>
      <w:r>
        <w:rPr>
          <w:lang w:val="en_US" w:bidi="en_US"/>
        </w:rPr>
      </w:r>
      <w:r>
        <w:rPr>
          <w:lang w:val="en_US" w:bidi="en_US"/>
        </w:rPr>
        <w:t>Jesus showed his power over a skin disease</w:t>
      </w:r>
    </w:p>
    <w:p>
      <w:pPr/>
      <w:r>
        <w:rPr>
          <w:lang w:val="en_US" w:bidi="en_US"/>
        </w:rPr>
      </w:r>
      <w:r>
        <w:rPr>
          <w:lang w:val="en_US" w:bidi="en_US"/>
        </w:rPr>
        <w:t>There are parallel passages for this section in Matthew 8:1–4 and Mark 1:40–45.</w:t>
      </w:r>
    </w:p>
    <w:p>
      <w:pPr>
        <w:pStyle w:val="Heading5"/>
      </w:pPr>
      <w:r>
        <w:rPr>
          <w:lang w:val="en_US" w:bidi="en_US"/>
        </w:rPr>
        <w:t>5:14a</w:t>
      </w:r>
    </w:p>
    <w:p>
      <w:pPr/>
      <w:r>
        <w:rPr>
          <w:lang w:val="en_US" w:bidi="en_US"/>
        </w:rPr>
      </w:r>
      <w:r>
        <w:rPr>
          <w:b/>
          <w:lang w:val="en_US" w:bidi="en_US"/>
        </w:rPr>
        <w:t>“Do not tell anyone,” Jesus instructed him.</w:t>
      </w:r>
    </w:p>
    <w:p>
      <w:pPr>
        <w:pStyle w:val="ListBullet"/>
        <w:spacing w:line="240" w:lineRule="auto"/>
        <w:ind w:left="720"/>
      </w:pPr>
      <w:r>
        <w:rPr>
          <w:lang w:val="en_US" w:bidi="en_US"/>
        </w:rPr>
      </w:r>
      <w:r>
        <w:rPr>
          <w:lang w:val="en_US" w:bidi="en_US"/>
        </w:rPr>
        <w:t>¶ Then Jesus commanded him: “Do not tell</w:t>
      </w:r>
      <w:r>
        <w:rPr>
          <w:vertAlign w:val="superscript"/>
          <w:lang w:val="en_US" w:bidi="en_US"/>
        </w:rPr>
        <w:t>(sing)</w:t>
      </w:r>
      <w:r>
        <w:rPr>
          <w:lang w:val="en_US" w:bidi="en_US"/>
        </w:rPr>
        <w:t xml:space="preserve"> anyone </w:t>
      </w:r>
      <w:r>
        <w:rPr>
          <w:lang w:val="en_US" w:bidi="en_US"/>
        </w:rPr>
        <w:t>about your</w:t>
      </w:r>
      <w:r>
        <w:rPr>
          <w:vertAlign w:val="superscript"/>
          <w:lang w:val="en_US" w:bidi="en_US"/>
        </w:rPr>
        <w:t>(sing)</w:t>
      </w:r>
      <w:r>
        <w:rPr>
          <w:lang w:val="en_US" w:bidi="en_US"/>
        </w:rPr>
        <w:t xml:space="preserve"> </w:t>
      </w:r>
      <w:r>
        <w:rPr>
          <w:lang w:val="en_US" w:bidi="en_US"/>
        </w:rPr>
        <w:t>healing</w:t>
      </w:r>
      <w:r>
        <w:rPr>
          <w:lang w:val="en_US" w:bidi="en_US"/>
        </w:rPr>
        <w:t>,</w:t>
      </w:r>
    </w:p>
    <w:p>
      <w:pPr>
        <w:pStyle w:val="ListBullet"/>
        <w:spacing w:line="240" w:lineRule="auto"/>
        <w:ind w:left="720"/>
      </w:pPr>
      <w:r>
        <w:rPr>
          <w:lang w:val="en_US" w:bidi="en_US"/>
        </w:rPr>
      </w:r>
      <w:r>
        <w:rPr>
          <w:lang w:val="en_US" w:bidi="en_US"/>
        </w:rPr>
        <w:t>¶ Then Jesus instructed him not to tell anyone what had happened. (NLT)</w:t>
      </w:r>
    </w:p>
    <w:p>
      <w:pPr/>
      <w:r>
        <w:rPr>
          <w:lang w:val="en_US" w:bidi="en_US"/>
        </w:rPr>
      </w:r>
      <w:r>
        <w:rPr>
          <w:b/>
          <w:lang w:val="en_US" w:bidi="en_US"/>
        </w:rPr>
        <w:t>“Do not tell anyone,” Jesus instructed him:</w:t>
      </w:r>
      <w:r>
        <w:rPr>
          <w:lang w:val="en_US" w:bidi="en_US"/>
        </w:rPr>
        <w:t xml:space="preserve"> In Greek, the phrase that the BSB translates as </w:t>
      </w:r>
      <w:r>
        <w:rPr>
          <w:i/>
          <w:lang w:val="en_US" w:bidi="en_US"/>
        </w:rPr>
        <w:t>Jesus instructed him</w:t>
      </w:r>
      <w:r>
        <w:rPr>
          <w:lang w:val="en_US" w:bidi="en_US"/>
        </w:rPr>
        <w:t xml:space="preserve"> occurs at the beginning Jesus’ words. The BSB has placed it in the middle of Jesus’ words. Place the phrase where it is most natural in your language. For example:</w:t>
      </w:r>
    </w:p>
    <w:p>
      <w:pPr/>
      <w:r>
        <w:rPr>
          <w:lang w:val="en_US" w:bidi="en_US"/>
        </w:rPr>
      </w:r>
      <w:r>
        <w:rPr>
          <w:lang w:val="en_US" w:bidi="en_US"/>
        </w:rPr>
        <w:t>Then Jesus ordered him, “Don’t tell anyone…” (NIV)</w:t>
      </w:r>
    </w:p>
    <w:p>
      <w:pPr/>
      <w:r>
        <w:rPr>
          <w:lang w:val="en_US" w:bidi="en_US"/>
        </w:rPr>
      </w:r>
      <w:r>
        <w:rPr>
          <w:b/>
          <w:lang w:val="en_US" w:bidi="en_US"/>
        </w:rPr>
        <w:t>Do not tell anyone:</w:t>
      </w:r>
      <w:r>
        <w:rPr>
          <w:lang w:val="en_US" w:bidi="en_US"/>
        </w:rPr>
        <w:t xml:space="preserve"> The phrase </w:t>
      </w:r>
      <w:r>
        <w:rPr>
          <w:i/>
          <w:lang w:val="en_US" w:bidi="en_US"/>
        </w:rPr>
        <w:t>Do not tell anyone</w:t>
      </w:r>
      <w:r>
        <w:rPr>
          <w:lang w:val="en_US" w:bidi="en_US"/>
        </w:rPr>
        <w:t xml:space="preserve"> here probably means “Do not </w:t>
      </w:r>
      <w:r>
        <w:rPr>
          <w:lang w:val="en_US" w:bidi="en_US"/>
        </w:rPr>
        <w:t>yet</w:t>
      </w:r>
      <w:r>
        <w:rPr>
          <w:lang w:val="en_US" w:bidi="en_US"/>
        </w:rPr>
        <w:t xml:space="preserve"> tell anyone </w:t>
      </w:r>
      <w:r>
        <w:rPr>
          <w:u w:val="single"/>
          <w:lang w:val="en_US" w:bidi="en_US"/>
        </w:rPr>
        <w:t>about your healing</w:t>
      </w:r>
      <w:r>
        <w:rPr>
          <w:lang w:val="en_US" w:bidi="en_US"/>
        </w:rPr>
        <w:t>.” It probably implies “until you have seen the priest.” Jesus did not mean that the man could never tell anyone.</w:t>
      </w:r>
    </w:p>
    <w:p>
      <w:pPr/>
      <w:r>
        <w:rPr>
          <w:lang w:val="en_US" w:bidi="en_US"/>
        </w:rPr>
      </w:r>
      <w:r>
        <w:rPr>
          <w:b/>
          <w:lang w:val="en_US" w:bidi="en_US"/>
        </w:rPr>
        <w:t>Jesus instructed him:</w:t>
      </w:r>
      <w:r>
        <w:rPr>
          <w:lang w:val="en_US" w:bidi="en_US"/>
        </w:rPr>
        <w:t xml:space="preserve"> The Greek clause that the BSB translates as </w:t>
      </w:r>
      <w:r>
        <w:rPr>
          <w:i/>
          <w:lang w:val="en_US" w:bidi="en_US"/>
        </w:rPr>
        <w:t>Jesus instructed him</w:t>
      </w:r>
      <w:r>
        <w:rPr>
          <w:lang w:val="en_US" w:bidi="en_US"/>
        </w:rPr>
        <w:t xml:space="preserve"> introduces what Jesus said to the man after he was healed. Introduce this in a natural way in your language. Other ways to do this in English are:</w:t>
      </w:r>
    </w:p>
    <w:p>
      <w:pPr/>
      <w:r>
        <w:rPr>
          <w:lang w:val="en_US" w:bidi="en_US"/>
        </w:rPr>
      </w:r>
      <w:r>
        <w:rPr>
          <w:lang w:val="en_US" w:bidi="en_US"/>
        </w:rPr>
        <w:t>And he charged him (ESV)</w:t>
      </w:r>
    </w:p>
    <w:p>
      <w:pPr/>
      <w:r>
        <w:rPr>
          <w:lang w:val="en_US" w:bidi="en_US"/>
        </w:rPr>
      </w:r>
      <w:r>
        <w:rPr>
          <w:lang w:val="en_US" w:bidi="en_US"/>
        </w:rPr>
        <w:t>Jesus ordered him (GW)</w:t>
      </w:r>
    </w:p>
    <w:p>
      <w:pPr>
        <w:pStyle w:val="Heading5"/>
      </w:pPr>
      <w:r>
        <w:rPr>
          <w:lang w:val="en_US" w:bidi="en_US"/>
        </w:rPr>
        <w:t>5:14b</w:t>
      </w:r>
    </w:p>
    <w:p>
      <w:pPr/>
      <w:r>
        <w:rPr>
          <w:lang w:val="en_US" w:bidi="en_US"/>
        </w:rPr>
      </w:r>
      <w:r>
        <w:rPr>
          <w:b/>
          <w:lang w:val="en_US" w:bidi="en_US"/>
        </w:rPr>
        <w:t>“But go, show yourself to the priest</w:t>
      </w:r>
    </w:p>
    <w:p>
      <w:pPr>
        <w:pStyle w:val="ListBullet"/>
        <w:spacing w:line="240" w:lineRule="auto"/>
        <w:ind w:left="720"/>
      </w:pPr>
      <w:r>
        <w:rPr>
          <w:lang w:val="en_US" w:bidi="en_US"/>
        </w:rPr>
      </w:r>
      <w:r>
        <w:rPr>
          <w:lang w:val="en_US" w:bidi="en_US"/>
        </w:rPr>
        <w:t xml:space="preserve">but go and show the priest </w:t>
      </w:r>
      <w:r>
        <w:rPr>
          <w:lang w:val="en_US" w:bidi="en_US"/>
        </w:rPr>
        <w:t>that you are healed</w:t>
      </w:r>
      <w:r>
        <w:rPr>
          <w:lang w:val="en_US" w:bidi="en_US"/>
        </w:rPr>
        <w:t>.</w:t>
      </w:r>
    </w:p>
    <w:p>
      <w:pPr>
        <w:pStyle w:val="ListBullet"/>
        <w:spacing w:line="240" w:lineRule="auto"/>
        <w:ind w:left="720"/>
      </w:pPr>
      <w:r>
        <w:rPr>
          <w:lang w:val="en_US" w:bidi="en_US"/>
        </w:rPr>
      </w:r>
      <w:r>
        <w:rPr>
          <w:lang w:val="en_US" w:bidi="en_US"/>
        </w:rPr>
        <w:t xml:space="preserve">He said, “Go to the priest and let him examine you </w:t>
      </w:r>
      <w:r>
        <w:rPr>
          <w:lang w:val="en_US" w:bidi="en_US"/>
        </w:rPr>
        <w:t>and confirm that you no longer have the disease</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what Jesus told the man to do. It contrasts with what he should not do. Use a natural way in your language to connect this command with the previous instruction. For example:</w:t>
      </w:r>
    </w:p>
    <w:p>
      <w:pPr/>
      <w:r>
        <w:rPr>
          <w:lang w:val="en_US" w:bidi="en_US"/>
        </w:rPr>
      </w:r>
      <w:r>
        <w:rPr>
          <w:lang w:val="en_US" w:bidi="en_US"/>
        </w:rPr>
        <w:t xml:space="preserve">Jesus ordered him, “Don’t tell anyone. </w:t>
      </w:r>
      <w:r>
        <w:rPr>
          <w:u w:val="single"/>
          <w:lang w:val="en_US" w:bidi="en_US"/>
        </w:rPr>
        <w:t>Instead</w:t>
      </w:r>
      <w:r>
        <w:rPr>
          <w:lang w:val="en_US" w:bidi="en_US"/>
        </w:rPr>
        <w:t>, show yourself to the priest….” (GW)</w:t>
      </w:r>
    </w:p>
    <w:p>
      <w:pPr/>
      <w:r>
        <w:rPr>
          <w:lang w:val="en_US" w:bidi="en_US"/>
        </w:rPr>
      </w:r>
      <w:r>
        <w:rPr>
          <w:lang w:val="en_US" w:bidi="en_US"/>
        </w:rPr>
        <w:t>In some languages, a conjunction is not necessary here. For example:</w:t>
      </w:r>
    </w:p>
    <w:p>
      <w:pPr/>
      <w:r>
        <w:rPr>
          <w:lang w:val="en_US" w:bidi="en_US"/>
        </w:rPr>
      </w:r>
      <w:r>
        <w:rPr>
          <w:lang w:val="en_US" w:bidi="en_US"/>
        </w:rPr>
        <w:t>And he ordered him to tell no one. “Go,” he said, “and show yourself to the priest….” (NRSV)</w:t>
      </w:r>
    </w:p>
    <w:p>
      <w:pPr/>
      <w:r>
        <w:rPr>
          <w:lang w:val="en_US" w:bidi="en_US"/>
        </w:rPr>
      </w:r>
      <w:r>
        <w:rPr>
          <w:lang w:val="en_US" w:bidi="en_US"/>
        </w:rPr>
        <w:t>Then Jesus instructed him not to tell anyone what had happened. He said, “Go to the priest….” (NLT)</w:t>
      </w:r>
    </w:p>
    <w:p>
      <w:pPr/>
      <w:r>
        <w:rPr>
          <w:lang w:val="en_US" w:bidi="en_US"/>
        </w:rPr>
      </w:r>
      <w:r>
        <w:rPr>
          <w:b/>
          <w:lang w:val="en_US" w:bidi="en_US"/>
        </w:rPr>
        <w:t>go, show yourself to the priest:</w:t>
      </w:r>
      <w:r>
        <w:rPr>
          <w:lang w:val="en_US" w:bidi="en_US"/>
        </w:rPr>
        <w:t xml:space="preserve"> The commands </w:t>
      </w:r>
      <w:r>
        <w:rPr>
          <w:i/>
          <w:lang w:val="en_US" w:bidi="en_US"/>
        </w:rPr>
        <w:t>go</w:t>
      </w:r>
      <w:r>
        <w:rPr>
          <w:lang w:val="en_US" w:bidi="en_US"/>
        </w:rPr>
        <w:t xml:space="preserve"> and </w:t>
      </w:r>
      <w:r>
        <w:rPr>
          <w:i/>
          <w:lang w:val="en_US" w:bidi="en_US"/>
        </w:rPr>
        <w:t>show</w:t>
      </w:r>
      <w:r>
        <w:rPr>
          <w:lang w:val="en_US" w:bidi="en_US"/>
        </w:rPr>
        <w:t xml:space="preserve"> contain implied information that was understood by Luke’s readers. Luke’s readers understood that the man was to go to the temple at Jerusalem. They also understood who “the priest” was. It was not just any priest. It was the priest who was on duty at the temple in Jerusalem at that time. They also understood why the man should do this.</w:t>
      </w:r>
    </w:p>
    <w:p>
      <w:pPr/>
      <w:r>
        <w:rPr>
          <w:lang w:val="en_US" w:bidi="en_US"/>
        </w:rPr>
      </w:r>
      <w:r>
        <w:rPr>
          <w:lang w:val="en_US" w:bidi="en_US"/>
        </w:rPr>
        <w:t xml:space="preserve">In some languages the verb </w:t>
      </w:r>
      <w:r>
        <w:rPr>
          <w:i/>
          <w:lang w:val="en_US" w:bidi="en_US"/>
        </w:rPr>
        <w:t>go</w:t>
      </w:r>
      <w:r>
        <w:rPr>
          <w:lang w:val="en_US" w:bidi="en_US"/>
        </w:rPr>
        <w:t xml:space="preserve"> may require a location. A definite noun such as </w:t>
      </w:r>
      <w:r>
        <w:rPr>
          <w:i/>
          <w:lang w:val="en_US" w:bidi="en_US"/>
        </w:rPr>
        <w:t>the priest</w:t>
      </w:r>
      <w:r>
        <w:rPr>
          <w:lang w:val="en_US" w:bidi="en_US"/>
        </w:rPr>
        <w:t xml:space="preserve"> may require more information. You may also need to say why Jesus told the man to show himself to the priest. If this is true in your language, you may need to make some or all of the implied information explicit. For example:</w:t>
      </w:r>
    </w:p>
    <w:p>
      <w:pPr/>
      <w:r>
        <w:rPr>
          <w:lang w:val="en_US" w:bidi="en_US"/>
        </w:rPr>
      </w:r>
      <w:r>
        <w:rPr>
          <w:lang w:val="en_US" w:bidi="en_US"/>
        </w:rPr>
        <w:t xml:space="preserve">Go </w:t>
      </w:r>
      <w:r>
        <w:rPr>
          <w:lang w:val="en_US" w:bidi="en_US"/>
        </w:rPr>
        <w:t>to Jerusalem</w:t>
      </w:r>
      <w:r>
        <w:rPr>
          <w:lang w:val="en_US" w:bidi="en_US"/>
        </w:rPr>
        <w:t xml:space="preserve">, ask the priest </w:t>
      </w:r>
      <w:r>
        <w:rPr>
          <w:lang w:val="en_US" w:bidi="en_US"/>
        </w:rPr>
        <w:t>who is performing his duties in the temple</w:t>
      </w:r>
      <w:r>
        <w:rPr>
          <w:lang w:val="en_US" w:bidi="en_US"/>
        </w:rPr>
        <w:t xml:space="preserve"> to examine you </w:t>
      </w:r>
      <w:r>
        <w:rPr>
          <w:lang w:val="en_US" w:bidi="en_US"/>
        </w:rPr>
        <w:t>and confirm that you are healed</w:t>
      </w:r>
    </w:p>
    <w:p>
      <w:pPr/>
      <w:r>
        <w:rPr>
          <w:lang w:val="en_US" w:bidi="en_US"/>
        </w:rPr>
      </w:r>
      <w:r>
        <w:rPr>
          <w:b/>
          <w:lang w:val="en_US" w:bidi="en_US"/>
        </w:rPr>
        <w:t>show yourself to the priest:</w:t>
      </w:r>
      <w:r>
        <w:rPr>
          <w:lang w:val="en_US" w:bidi="en_US"/>
        </w:rPr>
        <w:t xml:space="preserve"> Only a priest could examine this man and confirm that he no longer had leprosy. After examining him, the priest would declare him to be ritually clean. This process is described in Leviticus 14:1–32. Some ways to translate this are:</w:t>
      </w:r>
    </w:p>
    <w:p>
      <w:pPr/>
      <w:r>
        <w:rPr>
          <w:lang w:val="en_US" w:bidi="en_US"/>
        </w:rPr>
      </w:r>
      <w:r>
        <w:rPr>
          <w:lang w:val="en_US" w:bidi="en_US"/>
        </w:rPr>
        <w:t>go straight to the priest and let him examine you (GNT)</w:t>
      </w:r>
    </w:p>
    <w:p>
      <w:pPr/>
      <w:r>
        <w:rPr>
          <w:lang w:val="en_US" w:bidi="en_US"/>
        </w:rPr>
      </w:r>
      <w:r>
        <w:rPr>
          <w:lang w:val="en_US" w:bidi="en_US"/>
        </w:rPr>
        <w:t>Just quietly present your healed self to the priest</w:t>
      </w:r>
      <w:r>
        <w:rPr>
          <w:lang w:val="en_US" w:bidi="en_US"/>
        </w:rPr>
        <w:t xml:space="preserve">Eugene H. Peterson, </w:t>
      </w:r>
      <w:r>
        <w:rPr>
          <w:i/>
          <w:lang w:val="en_US" w:bidi="en_US"/>
        </w:rPr>
        <w:t>The Message: The Bible in Contemporary Language</w:t>
      </w:r>
      <w:r>
        <w:rPr>
          <w:lang w:val="en_US" w:bidi="en_US"/>
        </w:rPr>
        <w:t xml:space="preserve"> (Colorado Springs, Colo.: NavPress, 2003).</w:t>
      </w:r>
    </w:p>
    <w:p>
      <w:pPr/>
      <w:r>
        <w:rPr>
          <w:lang w:val="en_US" w:bidi="en_US"/>
        </w:rPr>
      </w:r>
      <w:r>
        <w:rPr>
          <w:b/>
          <w:lang w:val="en_US" w:bidi="en_US"/>
        </w:rPr>
        <w:t>priest:</w:t>
      </w:r>
      <w:r>
        <w:rPr>
          <w:lang w:val="en_US" w:bidi="en_US"/>
        </w:rPr>
        <w:t xml:space="preserve"> A Jewish </w:t>
      </w:r>
      <w:r>
        <w:rPr>
          <w:i/>
          <w:lang w:val="en_US" w:bidi="en_US"/>
        </w:rPr>
        <w:t>priest</w:t>
      </w:r>
      <w:r>
        <w:rPr>
          <w:lang w:val="en_US" w:bidi="en_US"/>
        </w:rPr>
        <w:t xml:space="preserve"> was a man who offered sacrifices to God on behalf of the people. He also performed other rituals for them.</w:t>
      </w:r>
    </w:p>
    <w:p>
      <w:pPr/>
      <w:r>
        <w:rPr>
          <w:lang w:val="en_US" w:bidi="en_US"/>
        </w:rPr>
      </w:r>
      <w:r>
        <w:rPr>
          <w:lang w:val="en_US" w:bidi="en_US"/>
        </w:rPr>
        <w:t xml:space="preserve">Some ways to translate </w:t>
      </w:r>
      <w:r>
        <w:rPr>
          <w:i/>
          <w:lang w:val="en_US" w:bidi="en_US"/>
        </w:rPr>
        <w:t>priest</w:t>
      </w:r>
      <w:r>
        <w:rPr>
          <w:lang w:val="en_US" w:bidi="en_US"/>
        </w:rPr>
        <w:t xml:space="preserve"> are:</w:t>
      </w:r>
    </w:p>
    <w:p>
      <w:pPr>
        <w:pStyle w:val="ListBullet"/>
        <w:spacing w:line="240" w:lineRule="auto"/>
        <w:ind w:left="720"/>
      </w:pPr>
      <w:r>
        <w:rPr>
          <w:lang w:val="en_US" w:bidi="en_US"/>
        </w:rPr>
      </w:r>
      <w:r>
        <w:rPr>
          <w:lang w:val="en_US" w:bidi="en_US"/>
        </w:rPr>
        <w:t>Use a descriptive term that focuses on the function of a priest. For example:</w:t>
      </w:r>
      <w:r>
        <w:rPr>
          <w:lang w:val="en_US" w:bidi="en_US"/>
        </w:rPr>
        <w:t>sacrificer</w:t>
      </w:r>
      <w:r>
        <w:rPr>
          <w:lang w:val="en_US" w:bidi="en_US"/>
        </w:rPr>
        <w:t>man/person who offers sacrifices to God</w:t>
      </w:r>
      <w:r>
        <w:rPr>
          <w:lang w:val="en_US" w:bidi="en_US"/>
        </w:rPr>
        <w:t>one who represents people to God</w:t>
      </w:r>
    </w:p>
    <w:p>
      <w:pPr>
        <w:pStyle w:val="ListBullet"/>
        <w:spacing w:line="240" w:lineRule="auto"/>
        <w:ind w:left="720"/>
      </w:pPr>
      <w:r>
        <w:rPr>
          <w:lang w:val="en_US" w:bidi="en_US"/>
        </w:rPr>
      </w:r>
      <w:r>
        <w:rPr>
          <w:lang w:val="en_US" w:bidi="en_US"/>
        </w:rPr>
        <w:t>Use a local word for priest. This option may be acceptable if the duties of a local priest are similar to those of a Jewish priest. You may need to indicate that the word refers to a Jewish priest. For example:</w:t>
      </w:r>
      <w:r>
        <w:rPr>
          <w:lang w:val="en_US" w:bidi="en_US"/>
        </w:rPr>
        <w:t>Jewish people’s priest/sacrificer</w:t>
      </w:r>
    </w:p>
    <w:p>
      <w:pPr/>
      <w:r>
        <w:rPr>
          <w:lang w:val="en_US" w:bidi="en_US"/>
        </w:rPr>
      </w:r>
      <w:r>
        <w:rPr>
          <w:lang w:val="en_US" w:bidi="en_US"/>
        </w:rPr>
        <w:t>If possible, you should choose a term that can be used in both Old Testament and New Testament contexts. Remember that in the book of Hebrews believers are called priests and Christ is called our high priest.</w:t>
      </w:r>
    </w:p>
    <w:p>
      <w:pPr/>
      <w:r>
        <w:rPr>
          <w:lang w:val="en_US" w:bidi="en_US"/>
        </w:rPr>
      </w:r>
      <w:r>
        <w:rPr>
          <w:lang w:val="en_US" w:bidi="en_US"/>
        </w:rPr>
        <w:t>See priest in the Glossary.</w:t>
      </w:r>
    </w:p>
    <w:p>
      <w:pPr>
        <w:pStyle w:val="Heading6"/>
      </w:pPr>
      <w:r>
        <w:rPr>
          <w:b/>
          <w:lang w:val="en_US" w:bidi="en_US"/>
        </w:rPr>
        <w:t>General Comment on 5:14a–b</w:t>
      </w:r>
    </w:p>
    <w:p>
      <w:pPr/>
      <w:r>
        <w:rPr>
          <w:lang w:val="en_US" w:bidi="en_US"/>
        </w:rPr>
      </w:r>
      <w:r>
        <w:rPr>
          <w:lang w:val="en_US" w:bidi="en_US"/>
        </w:rPr>
        <w:t>In Greek the command that the BSB translates as “Do not tell anyone” (5:14a) is in indirect speech. It is literally “he instructed him not to tell anyone.” However, the commands “go, show yourself to the priest” (5:14b) are in direct speech.</w:t>
      </w:r>
    </w:p>
    <w:p>
      <w:pPr/>
      <w:r>
        <w:rPr>
          <w:lang w:val="en_US" w:bidi="en_US"/>
        </w:rPr>
      </w:r>
      <w:r>
        <w:rPr>
          <w:lang w:val="en_US" w:bidi="en_US"/>
        </w:rPr>
        <w:t>Translate Jesus’ commands to the man in a way that is natural in your language. Some other ways to translate this are:</w:t>
      </w:r>
    </w:p>
    <w:p>
      <w:pPr/>
      <w:r>
        <w:rPr>
          <w:lang w:val="en_US" w:bidi="en_US"/>
        </w:rPr>
      </w:r>
      <w:r>
        <w:rPr>
          <w:vertAlign w:val="superscript"/>
          <w:lang w:val="en_US" w:bidi="en_US"/>
        </w:rPr>
        <w:t>14a</w:t>
      </w:r>
      <w:r>
        <w:rPr>
          <w:lang w:val="en_US" w:bidi="en_US"/>
        </w:rPr>
        <w:t xml:space="preserve">Then Jesus instructed him not to tell anyone what had happened. </w:t>
      </w:r>
      <w:r>
        <w:rPr>
          <w:vertAlign w:val="superscript"/>
          <w:lang w:val="en_US" w:bidi="en_US"/>
        </w:rPr>
        <w:t>14b</w:t>
      </w:r>
      <w:r>
        <w:rPr>
          <w:lang w:val="en_US" w:bidi="en_US"/>
        </w:rPr>
        <w:t>He said, “Go to the priest…” (NLT)</w:t>
      </w:r>
    </w:p>
    <w:p>
      <w:pPr/>
      <w:r>
        <w:rPr>
          <w:lang w:val="en_US" w:bidi="en_US"/>
        </w:rPr>
      </w:r>
      <w:r>
        <w:rPr>
          <w:vertAlign w:val="superscript"/>
          <w:lang w:val="en_US" w:bidi="en_US"/>
        </w:rPr>
        <w:t>14a</w:t>
      </w:r>
      <w:r>
        <w:rPr>
          <w:lang w:val="en_US" w:bidi="en_US"/>
        </w:rPr>
        <w:t xml:space="preserve">Jesus told him, “Don’t tell anyone about this, </w:t>
      </w:r>
      <w:r>
        <w:rPr>
          <w:vertAlign w:val="superscript"/>
          <w:lang w:val="en_US" w:bidi="en_US"/>
        </w:rPr>
        <w:t>14b</w:t>
      </w:r>
      <w:r>
        <w:rPr>
          <w:lang w:val="en_US" w:bidi="en_US"/>
        </w:rPr>
        <w:t>but go and show yourself to the priest…” (CEV)</w:t>
      </w:r>
    </w:p>
    <w:p>
      <w:pPr>
        <w:pStyle w:val="Heading5"/>
      </w:pPr>
      <w:r>
        <w:rPr>
          <w:lang w:val="en_US" w:bidi="en_US"/>
        </w:rPr>
        <w:t>5:14c</w:t>
      </w:r>
    </w:p>
    <w:p>
      <w:pPr/>
      <w:r>
        <w:rPr>
          <w:lang w:val="en_US" w:bidi="en_US"/>
        </w:rPr>
      </w:r>
      <w:r>
        <w:rPr>
          <w:b/>
          <w:lang w:val="en_US" w:bidi="en_US"/>
        </w:rPr>
        <w:t>and present the offering Moses prescribed for your cleansing,</w:t>
      </w:r>
    </w:p>
    <w:p>
      <w:pPr>
        <w:pStyle w:val="ListBullet"/>
        <w:spacing w:line="240" w:lineRule="auto"/>
        <w:ind w:left="720"/>
      </w:pPr>
      <w:r>
        <w:rPr>
          <w:lang w:val="en_US" w:bidi="en_US"/>
        </w:rPr>
      </w:r>
      <w:r>
        <w:rPr>
          <w:lang w:val="en_US" w:bidi="en_US"/>
        </w:rPr>
        <w:t xml:space="preserve">Then offer the sacrifices that the </w:t>
      </w:r>
      <w:r>
        <w:rPr>
          <w:lang w:val="en_US" w:bidi="en_US"/>
        </w:rPr>
        <w:t>Law of</w:t>
      </w:r>
      <w:r>
        <w:rPr>
          <w:lang w:val="en_US" w:bidi="en_US"/>
        </w:rPr>
        <w:t xml:space="preserve"> Moses commands/requires for you to become clean.</w:t>
      </w:r>
    </w:p>
    <w:p>
      <w:pPr>
        <w:pStyle w:val="ListBullet"/>
        <w:spacing w:line="240" w:lineRule="auto"/>
        <w:ind w:left="720"/>
      </w:pPr>
      <w:r>
        <w:rPr>
          <w:lang w:val="en_US" w:bidi="en_US"/>
        </w:rPr>
      </w:r>
      <w:r>
        <w:rPr>
          <w:lang w:val="en_US" w:bidi="en_US"/>
        </w:rPr>
        <w:t xml:space="preserve">Then give </w:t>
      </w:r>
      <w:r>
        <w:rPr>
          <w:lang w:val="en_US" w:bidi="en_US"/>
        </w:rPr>
        <w:t>to God</w:t>
      </w:r>
      <w:r>
        <w:rPr>
          <w:lang w:val="en_US" w:bidi="en_US"/>
        </w:rPr>
        <w:t xml:space="preserve"> the sacrifices that Moses commanded </w:t>
      </w:r>
      <w:r>
        <w:rPr>
          <w:lang w:val="en_US" w:bidi="en_US"/>
        </w:rPr>
        <w:t>you to give</w:t>
      </w:r>
      <w:r>
        <w:rPr>
          <w:lang w:val="en_US" w:bidi="en_US"/>
        </w:rPr>
        <w:t xml:space="preserve"> in order to be </w:t>
      </w:r>
      <w:r>
        <w:rPr>
          <w:lang w:val="en_US" w:bidi="en_US"/>
        </w:rPr>
        <w:t>declared ritually</w:t>
      </w:r>
      <w:r>
        <w:rPr>
          <w:lang w:val="en_US" w:bidi="en_US"/>
        </w:rPr>
        <w:t xml:space="preserve"> clean/pure.</w:t>
      </w:r>
    </w:p>
    <w:p>
      <w:pPr/>
      <w:r>
        <w:rPr>
          <w:lang w:val="en_US" w:bidi="en_US"/>
        </w:rPr>
      </w:r>
      <w:r>
        <w:rPr>
          <w:b/>
          <w:lang w:val="en_US" w:bidi="en_US"/>
        </w:rPr>
        <w:t>present the offering Moses prescribed for your cleansing:</w:t>
      </w:r>
      <w:r>
        <w:rPr>
          <w:lang w:val="en_US" w:bidi="en_US"/>
        </w:rPr>
        <w:t xml:space="preserve"> In the Old Testament, God gave laws to Moses for the Jewish people. These laws included detailed instructions about what a person should do after he had been healed from leprosy. These commands for purification are found in Leviticus 14:2–31.</w:t>
      </w:r>
    </w:p>
    <w:p>
      <w:pPr/>
      <w:r>
        <w:rPr>
          <w:lang w:val="en_US" w:bidi="en_US"/>
        </w:rPr>
      </w:r>
      <w:r>
        <w:rPr>
          <w:b/>
          <w:lang w:val="en_US" w:bidi="en_US"/>
        </w:rPr>
        <w:t>present the offering:</w:t>
      </w:r>
      <w:r>
        <w:rPr>
          <w:lang w:val="en_US" w:bidi="en_US"/>
        </w:rPr>
        <w:t xml:space="preserve"> In this context the phrase </w:t>
      </w:r>
      <w:r>
        <w:rPr>
          <w:i/>
          <w:lang w:val="en_US" w:bidi="en_US"/>
        </w:rPr>
        <w:t>present the offering</w:t>
      </w:r>
      <w:r>
        <w:rPr>
          <w:lang w:val="en_US" w:bidi="en_US"/>
        </w:rPr>
        <w:t xml:space="preserve"> means that the healed man should bring the sacrifices to the priest. The priest would offer these sacrifices to God on his behalf. Another way to translate this is:</w:t>
      </w:r>
    </w:p>
    <w:p>
      <w:pPr/>
      <w:r>
        <w:rPr>
          <w:lang w:val="en_US" w:bidi="en_US"/>
        </w:rPr>
      </w:r>
      <w:r>
        <w:rPr>
          <w:lang w:val="en_US" w:bidi="en_US"/>
        </w:rPr>
        <w:t xml:space="preserve">have him present the sacrifices </w:t>
      </w:r>
      <w:r>
        <w:rPr>
          <w:lang w:val="en_US" w:bidi="en_US"/>
        </w:rPr>
        <w:t>to God on your behalf</w:t>
      </w:r>
    </w:p>
    <w:p>
      <w:pPr/>
      <w:r>
        <w:rPr>
          <w:lang w:val="en_US" w:bidi="en_US"/>
        </w:rPr>
      </w:r>
      <w:r>
        <w:rPr>
          <w:b/>
          <w:lang w:val="en_US" w:bidi="en_US"/>
        </w:rPr>
        <w:t>Moses prescribed:</w:t>
      </w:r>
      <w:r>
        <w:rPr>
          <w:lang w:val="en_US" w:bidi="en_US"/>
        </w:rPr>
        <w:t xml:space="preserve"> </w:t>
      </w:r>
      <w:r>
        <w:rPr>
          <w:i/>
          <w:lang w:val="en_US" w:bidi="en_US"/>
        </w:rPr>
        <w:t>Moses</w:t>
      </w:r>
      <w:r>
        <w:rPr>
          <w:lang w:val="en_US" w:bidi="en_US"/>
        </w:rPr>
        <w:t xml:space="preserve"> wrote down God’s laws about leprosy long before Jesus was born. Your translation should not imply that Moses was living at the same time as Jesus.</w:t>
      </w:r>
    </w:p>
    <w:p>
      <w:pPr/>
      <w:r>
        <w:rPr>
          <w:lang w:val="en_US" w:bidi="en_US"/>
        </w:rPr>
      </w:r>
      <w:r>
        <w:rPr>
          <w:b/>
          <w:lang w:val="en_US" w:bidi="en_US"/>
        </w:rPr>
        <w:t>for your cleansing:</w:t>
      </w:r>
      <w:r>
        <w:rPr>
          <w:lang w:val="en_US" w:bidi="en_US"/>
        </w:rPr>
        <w:t xml:space="preserve"> The phrase </w:t>
      </w:r>
      <w:r>
        <w:rPr>
          <w:i/>
          <w:lang w:val="en_US" w:bidi="en_US"/>
        </w:rPr>
        <w:t>for your cleansing</w:t>
      </w:r>
      <w:r>
        <w:rPr>
          <w:lang w:val="en_US" w:bidi="en_US"/>
        </w:rPr>
        <w:t xml:space="preserve"> explains the purpose for which the man had to bring sacrifices to the priest. After offering the sacrifices, the priest would declare that the man was ritually clean. He would be able to worship again at the temple and associate with others in the community. Jesus had already healed the man, but the man remained ritually unclean until the priest declared him to be clean. Another way to translate </w:t>
      </w:r>
      <w:r>
        <w:rPr>
          <w:i/>
          <w:lang w:val="en_US" w:bidi="en_US"/>
        </w:rPr>
        <w:t>for your cleansing</w:t>
      </w:r>
      <w:r>
        <w:rPr>
          <w:lang w:val="en_US" w:bidi="en_US"/>
        </w:rPr>
        <w:t xml:space="preserve"> is:</w:t>
      </w:r>
    </w:p>
    <w:p>
      <w:pPr/>
      <w:r>
        <w:rPr>
          <w:lang w:val="en_US" w:bidi="en_US"/>
        </w:rPr>
      </w:r>
      <w:r>
        <w:rPr>
          <w:lang w:val="en_US" w:bidi="en_US"/>
        </w:rPr>
        <w:t>so that you will become ritually clean</w:t>
      </w:r>
    </w:p>
    <w:p>
      <w:pPr>
        <w:pStyle w:val="Heading5"/>
      </w:pPr>
      <w:r>
        <w:rPr>
          <w:lang w:val="en_US" w:bidi="en_US"/>
        </w:rPr>
        <w:t>5:14d</w:t>
      </w:r>
    </w:p>
    <w:p>
      <w:pPr/>
      <w:r>
        <w:rPr>
          <w:lang w:val="en_US" w:bidi="en_US"/>
        </w:rPr>
      </w:r>
      <w:r>
        <w:rPr>
          <w:b/>
          <w:lang w:val="en_US" w:bidi="en_US"/>
        </w:rPr>
        <w:t>as a testimony to them.”</w:t>
      </w:r>
    </w:p>
    <w:p>
      <w:pPr>
        <w:pStyle w:val="ListBullet"/>
        <w:spacing w:line="240" w:lineRule="auto"/>
        <w:ind w:left="720"/>
      </w:pPr>
      <w:r>
        <w:rPr>
          <w:lang w:val="en_US" w:bidi="en_US"/>
        </w:rPr>
      </w:r>
      <w:r>
        <w:rPr>
          <w:lang w:val="en_US" w:bidi="en_US"/>
        </w:rPr>
        <w:t>This will show the people that you are clean/well.”</w:t>
      </w:r>
    </w:p>
    <w:p>
      <w:pPr>
        <w:pStyle w:val="ListBullet"/>
        <w:spacing w:line="240" w:lineRule="auto"/>
        <w:ind w:left="720"/>
      </w:pPr>
      <w:r>
        <w:rPr>
          <w:lang w:val="en_US" w:bidi="en_US"/>
        </w:rPr>
      </w:r>
      <w:r>
        <w:rPr>
          <w:lang w:val="en_US" w:bidi="en_US"/>
        </w:rPr>
        <w:t>Then</w:t>
      </w:r>
      <w:r>
        <w:rPr>
          <w:lang w:val="en_US" w:bidi="en_US"/>
        </w:rPr>
        <w:t xml:space="preserve"> everyone will know that you are clean/healed.”</w:t>
      </w:r>
    </w:p>
    <w:p>
      <w:pPr/>
      <w:r>
        <w:rPr>
          <w:lang w:val="en_US" w:bidi="en_US"/>
        </w:rPr>
      </w:r>
      <w:r>
        <w:rPr>
          <w:b/>
          <w:lang w:val="en_US" w:bidi="en_US"/>
        </w:rPr>
        <w:t>as a testimony to them:</w:t>
      </w:r>
      <w:r>
        <w:rPr>
          <w:lang w:val="en_US" w:bidi="en_US"/>
        </w:rPr>
        <w:t xml:space="preserve"> The phrase </w:t>
      </w:r>
      <w:r>
        <w:rPr>
          <w:i/>
          <w:lang w:val="en_US" w:bidi="en_US"/>
        </w:rPr>
        <w:t>as a testimony to them</w:t>
      </w:r>
      <w:r>
        <w:rPr>
          <w:lang w:val="en_US" w:bidi="en_US"/>
        </w:rPr>
        <w:t xml:space="preserve"> means “to prove to the people that you are well.” After the priest had declared the man to be clean/well, he could participate in public worship. He could live with his family again. People would believe that he was healthy because the priest had declared that he was clean. Other ways to translate this are:</w:t>
      </w:r>
    </w:p>
    <w:p>
      <w:pPr/>
      <w:r>
        <w:rPr>
          <w:lang w:val="en_US" w:bidi="en_US"/>
        </w:rPr>
      </w:r>
      <w:r>
        <w:rPr>
          <w:lang w:val="en_US" w:bidi="en_US"/>
        </w:rPr>
        <w:t>everyone will know that you have been healed (CEV)</w:t>
      </w:r>
    </w:p>
    <w:p>
      <w:pPr/>
      <w:r>
        <w:rPr>
          <w:lang w:val="en_US" w:bidi="en_US"/>
        </w:rPr>
      </w:r>
      <w:r>
        <w:rPr>
          <w:lang w:val="en_US" w:bidi="en_US"/>
        </w:rPr>
        <w:t>as proof to people that you are clean (GW)</w:t>
      </w:r>
    </w:p>
    <w:p>
      <w:pPr/>
      <w:r>
        <w:rPr>
          <w:lang w:val="en_US" w:bidi="en_US"/>
        </w:rPr>
      </w:r>
      <w:r>
        <w:rPr>
          <w:lang w:val="en_US" w:bidi="en_US"/>
        </w:rPr>
        <w:t>This will show the people what I have done. (NCV)</w:t>
      </w:r>
    </w:p>
    <w:p>
      <w:pPr/>
      <w:r>
        <w:rPr>
          <w:lang w:val="en_US" w:bidi="en_US"/>
        </w:rPr>
      </w:r>
      <w:r>
        <w:rPr>
          <w:b/>
          <w:lang w:val="en_US" w:bidi="en_US"/>
        </w:rPr>
        <w:t>to them:</w:t>
      </w:r>
      <w:r>
        <w:rPr>
          <w:lang w:val="en_US" w:bidi="en_US"/>
        </w:rPr>
        <w:t xml:space="preserve"> The Greek pronoun </w:t>
      </w:r>
      <w:r>
        <w:rPr>
          <w:i/>
          <w:lang w:val="en_US" w:bidi="en_US"/>
        </w:rPr>
        <w:t>them</w:t>
      </w:r>
      <w:r>
        <w:rPr>
          <w:lang w:val="en_US" w:bidi="en_US"/>
        </w:rPr>
        <w:t xml:space="preserve"> probably refers to people in general. Many English translations make this explicit. For example:</w:t>
      </w:r>
    </w:p>
    <w:p>
      <w:pPr/>
      <w:r>
        <w:rPr>
          <w:lang w:val="en_US" w:bidi="en_US"/>
        </w:rPr>
      </w:r>
      <w:r>
        <w:rPr>
          <w:lang w:val="en_US" w:bidi="en_US"/>
        </w:rPr>
        <w:t>to everyone (GNT)</w:t>
      </w:r>
    </w:p>
    <w:p>
      <w:pPr/>
      <w:r>
        <w:rPr>
          <w:lang w:val="en_US" w:bidi="en_US"/>
        </w:rPr>
      </w:r>
      <w:r>
        <w:rPr>
          <w:lang w:val="en_US" w:bidi="en_US"/>
        </w:rPr>
        <w:t>to people (GW)</w:t>
      </w:r>
    </w:p>
    <w:p>
      <w:pPr>
        <w:pStyle w:val="Heading6"/>
      </w:pPr>
      <w:r>
        <w:rPr>
          <w:b/>
          <w:lang w:val="en_US" w:bidi="en_US"/>
        </w:rPr>
        <w:t>General Comment on 5:14c–d</w:t>
      </w:r>
    </w:p>
    <w:p>
      <w:pPr/>
      <w:r>
        <w:rPr>
          <w:lang w:val="en_US" w:bidi="en_US"/>
        </w:rPr>
      </w:r>
      <w:r>
        <w:rPr>
          <w:lang w:val="en_US" w:bidi="en_US"/>
        </w:rPr>
        <w:t>In some languages it is more natural to give a reason first, then state the command. If your language prefers this order, change the order of 5:14c and 5:14d. For example:</w:t>
      </w:r>
    </w:p>
    <w:p>
      <w:pPr/>
      <w:r>
        <w:rPr>
          <w:lang w:val="en_US" w:bidi="en_US"/>
        </w:rPr>
      </w:r>
      <w:r>
        <w:rPr>
          <w:vertAlign w:val="superscript"/>
          <w:lang w:val="en_US" w:bidi="en_US"/>
        </w:rPr>
        <w:t>14d</w:t>
      </w:r>
      <w:r>
        <w:rPr>
          <w:lang w:val="en_US" w:bidi="en_US"/>
        </w:rPr>
        <w:t xml:space="preserve">…then to prove to everyone </w:t>
      </w:r>
      <w:r>
        <w:rPr>
          <w:vertAlign w:val="superscript"/>
          <w:lang w:val="en_US" w:bidi="en_US"/>
        </w:rPr>
        <w:t>14c</w:t>
      </w:r>
      <w:r>
        <w:rPr>
          <w:lang w:val="en_US" w:bidi="en_US"/>
        </w:rPr>
        <w:t>that you are cured, offer the sacrifice as Moses ordered. (GNT)</w:t>
      </w:r>
      <w:r>
        <w:rPr>
          <w:lang w:val="en_US" w:bidi="en_US"/>
        </w:rPr>
      </w:r>
      <w:r>
        <w:rPr>
          <w:lang w:val="en_US" w:bidi="en_US"/>
        </w:rPr>
      </w:r>
    </w:p>
    <w:p>
      <w:pPr/>
      <w:r>
        <w:rPr>
          <w:lang w:val="en_US" w:bidi="en_US"/>
        </w:rPr>
      </w:r>
    </w:p>
    <w:p>
      <w:pPr>
        <w:pStyle w:val="Heading2"/>
      </w:pPr>
      <w:r>
        <w:rPr>
          <w:lang w:val="en_US" w:bidi="en_US"/>
        </w:rPr>
        <w:t>Luke 5:15</w:t>
      </w:r>
      <w:r>
        <w:rPr>
          <w:lang w:val="en_US" w:bidi="en_US"/>
        </w:rPr>
      </w:r>
    </w:p>
    <w:p>
      <w:pPr>
        <w:pStyle w:val="Heading4"/>
      </w:pPr>
      <w:r>
        <w:rPr>
          <w:lang w:val="en_US" w:bidi="en_US"/>
        </w:rPr>
        <w:t>Section 5:12–16: Jesus healed a man with a dreaded skin disease</w:t>
      </w:r>
    </w:p>
    <w:p>
      <w:pPr/>
      <w:r>
        <w:rPr>
          <w:lang w:val="en_US" w:bidi="en_US"/>
        </w:rPr>
      </w:r>
      <w:r>
        <w:rPr>
          <w:lang w:val="en_US" w:bidi="en_US"/>
        </w:rPr>
        <w:t>In this section, Jesus healed a man with a skin disease, and so Jesus’ fame spread in that region. As a result, crowds of people came to hear him teach and to be healed of diseases.</w:t>
      </w:r>
    </w:p>
    <w:p>
      <w:pPr/>
      <w:r>
        <w:rPr>
          <w:lang w:val="en_US" w:bidi="en_US"/>
        </w:rPr>
      </w:r>
      <w:r>
        <w:rPr>
          <w:lang w:val="en_US" w:bidi="en_US"/>
        </w:rPr>
        <w:t>In Jesus’ time, having a skin disease made a person ceremonially or ritually “unclean.” This meant that a person with such a disease was not allowed to worship God with other people. This person had to live apart from healthy people, including his family.</w:t>
      </w:r>
    </w:p>
    <w:p>
      <w:pPr/>
      <w:r>
        <w:rPr>
          <w:lang w:val="en_US" w:bidi="en_US"/>
        </w:rPr>
      </w:r>
      <w:r>
        <w:rPr>
          <w:lang w:val="en_US" w:bidi="en_US"/>
        </w:rPr>
        <w:t>Some other possible headings for this section are:</w:t>
      </w:r>
    </w:p>
    <w:p>
      <w:pPr/>
      <w:r>
        <w:rPr>
          <w:lang w:val="en_US" w:bidi="en_US"/>
        </w:rPr>
      </w:r>
      <w:r>
        <w:rPr>
          <w:lang w:val="en_US" w:bidi="en_US"/>
        </w:rPr>
        <w:t>Jesus made a man with a skin disease pure/clean</w:t>
      </w:r>
    </w:p>
    <w:p>
      <w:pPr/>
      <w:r>
        <w:rPr>
          <w:lang w:val="en_US" w:bidi="en_US"/>
        </w:rPr>
      </w:r>
      <w:r>
        <w:rPr>
          <w:lang w:val="en_US" w:bidi="en_US"/>
        </w:rPr>
        <w:t>The Man With Leprosy (NIV)</w:t>
      </w:r>
    </w:p>
    <w:p>
      <w:pPr/>
      <w:r>
        <w:rPr>
          <w:lang w:val="en_US" w:bidi="en_US"/>
        </w:rPr>
      </w:r>
      <w:r>
        <w:rPr>
          <w:lang w:val="en_US" w:bidi="en_US"/>
        </w:rPr>
        <w:t>Jesus Heals a Man with Leprosy (NLT)</w:t>
      </w:r>
    </w:p>
    <w:p>
      <w:pPr/>
      <w:r>
        <w:rPr>
          <w:lang w:val="en_US" w:bidi="en_US"/>
        </w:rPr>
      </w:r>
      <w:r>
        <w:rPr>
          <w:lang w:val="en_US" w:bidi="en_US"/>
        </w:rPr>
        <w:t>Jesus showed his power over a skin disease</w:t>
      </w:r>
    </w:p>
    <w:p>
      <w:pPr/>
      <w:r>
        <w:rPr>
          <w:lang w:val="en_US" w:bidi="en_US"/>
        </w:rPr>
      </w:r>
      <w:r>
        <w:rPr>
          <w:lang w:val="en_US" w:bidi="en_US"/>
        </w:rPr>
        <w:t>There are parallel passages for this section in Matthew 8:1–4 and Mark 1:40–45.</w:t>
      </w:r>
    </w:p>
    <w:p>
      <w:pPr>
        <w:pStyle w:val="Heading5"/>
      </w:pPr>
      <w:r>
        <w:rPr>
          <w:lang w:val="en_US" w:bidi="en_US"/>
        </w:rPr>
        <w:t>5:15a</w:t>
      </w:r>
    </w:p>
    <w:p>
      <w:pPr/>
      <w:r>
        <w:rPr>
          <w:lang w:val="en_US" w:bidi="en_US"/>
        </w:rPr>
      </w:r>
      <w:r>
        <w:rPr>
          <w:b/>
          <w:lang w:val="en_US" w:bidi="en_US"/>
        </w:rPr>
        <w:t>But the news about Jesus spread all the more,</w:t>
      </w:r>
    </w:p>
    <w:p>
      <w:pPr>
        <w:pStyle w:val="ListBullet"/>
        <w:spacing w:line="240" w:lineRule="auto"/>
        <w:ind w:left="720"/>
      </w:pPr>
      <w:r>
        <w:rPr>
          <w:lang w:val="en_US" w:bidi="en_US"/>
        </w:rPr>
      </w:r>
      <w:r>
        <w:rPr>
          <w:lang w:val="en_US" w:bidi="en_US"/>
        </w:rPr>
        <w:t>But the news about Jesus spread even more. (NCV)</w:t>
      </w:r>
    </w:p>
    <w:p>
      <w:pPr>
        <w:pStyle w:val="ListBullet"/>
        <w:spacing w:line="240" w:lineRule="auto"/>
        <w:ind w:left="720"/>
      </w:pPr>
      <w:r>
        <w:rPr>
          <w:lang w:val="en_US" w:bidi="en_US"/>
        </w:rPr>
      </w:r>
      <w:r>
        <w:rPr>
          <w:lang w:val="en_US" w:bidi="en_US"/>
        </w:rPr>
        <w:t>But despite Jesus’ instructions, the report of his power spread even faster. (NLT)</w:t>
      </w:r>
    </w:p>
    <w:p>
      <w:pPr>
        <w:pStyle w:val="ListBullet"/>
        <w:spacing w:line="240" w:lineRule="auto"/>
        <w:ind w:left="720"/>
      </w:pPr>
      <w:r>
        <w:rPr>
          <w:lang w:val="en_US" w:bidi="en_US"/>
        </w:rPr>
      </w:r>
      <w:r>
        <w:rPr>
          <w:lang w:val="en_US" w:bidi="en_US"/>
        </w:rPr>
        <w:t xml:space="preserve">But </w:t>
      </w:r>
      <w:r>
        <w:rPr>
          <w:lang w:val="en_US" w:bidi="en_US"/>
        </w:rPr>
        <w:t>the man told others what had happened, and</w:t>
      </w:r>
      <w:r>
        <w:rPr>
          <w:lang w:val="en_US" w:bidi="en_US"/>
        </w:rPr>
        <w:t xml:space="preserve"> people told this news to even more people.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means “in spite of this.” Even though Jesus had told the man not to tell other people (5:14a), the news about Jesus still spread.</w:t>
      </w:r>
    </w:p>
    <w:p>
      <w:pPr/>
      <w:r>
        <w:rPr>
          <w:lang w:val="en_US" w:bidi="en_US"/>
        </w:rPr>
      </w:r>
      <w:r>
        <w:rPr>
          <w:lang w:val="en_US" w:bidi="en_US"/>
        </w:rPr>
        <w:t>It is implicit here that the man did not obey Jesus’ command to tell no one what had happened. (This is explicit in Mark 1:45.) The man told other people and the news about Jesus spread even further than before. If you think that people will not understand this, you might consider making this explicit. For example:</w:t>
      </w:r>
    </w:p>
    <w:p>
      <w:pPr/>
      <w:r>
        <w:rPr>
          <w:lang w:val="en_US" w:bidi="en_US"/>
        </w:rPr>
      </w:r>
      <w:r>
        <w:rPr>
          <w:lang w:val="en_US" w:bidi="en_US"/>
        </w:rPr>
        <w:t xml:space="preserve">but </w:t>
      </w:r>
      <w:r>
        <w:rPr>
          <w:lang w:val="en_US" w:bidi="en_US"/>
        </w:rPr>
        <w:t>the man did tell other people what Jesus had done, and so</w:t>
      </w:r>
      <w:r>
        <w:rPr>
          <w:lang w:val="en_US" w:bidi="en_US"/>
        </w:rPr>
        <w:t xml:space="preserve"> the news about him spread</w:t>
      </w:r>
    </w:p>
    <w:p>
      <w:pPr/>
      <w:r>
        <w:rPr>
          <w:lang w:val="en_US" w:bidi="en_US"/>
        </w:rPr>
      </w:r>
      <w:r>
        <w:rPr>
          <w:lang w:val="en_US" w:bidi="en_US"/>
        </w:rPr>
        <w:t>But despite Jesus’ instructions, the report of his power spread even faster (NLT)</w:t>
      </w:r>
    </w:p>
    <w:p>
      <w:pPr/>
      <w:r>
        <w:rPr>
          <w:lang w:val="en_US" w:bidi="en_US"/>
        </w:rPr>
      </w:r>
      <w:r>
        <w:rPr>
          <w:b/>
          <w:lang w:val="en_US" w:bidi="en_US"/>
        </w:rPr>
        <w:t>the news about Jesus:</w:t>
      </w:r>
      <w:r>
        <w:rPr>
          <w:lang w:val="en_US" w:bidi="en_US"/>
        </w:rPr>
        <w:t xml:space="preserve"> The Greek word that the BSB translates as </w:t>
      </w:r>
      <w:r>
        <w:rPr>
          <w:i/>
          <w:lang w:val="en_US" w:bidi="en_US"/>
        </w:rPr>
        <w:t>news</w:t>
      </w:r>
      <w:r>
        <w:rPr>
          <w:lang w:val="en_US" w:bidi="en_US"/>
        </w:rPr>
        <w:t xml:space="preserve"> literally means “word” or “message.” Here it refers to the report about Jesus’ power to heal leprosy. Some ways to translate this are:</w:t>
      </w:r>
    </w:p>
    <w:p>
      <w:pPr/>
      <w:r>
        <w:rPr>
          <w:lang w:val="en_US" w:bidi="en_US"/>
        </w:rPr>
      </w:r>
      <w:r>
        <w:rPr>
          <w:lang w:val="en_US" w:bidi="en_US"/>
        </w:rPr>
        <w:t xml:space="preserve">the news/report about </w:t>
      </w:r>
      <w:r>
        <w:rPr>
          <w:lang w:val="en_US" w:bidi="en_US"/>
        </w:rPr>
        <w:t>what</w:t>
      </w:r>
      <w:r>
        <w:rPr>
          <w:lang w:val="en_US" w:bidi="en_US"/>
        </w:rPr>
        <w:t xml:space="preserve"> Jesus </w:t>
      </w:r>
      <w:r>
        <w:rPr>
          <w:lang w:val="en_US" w:bidi="en_US"/>
        </w:rPr>
        <w:t>had done</w:t>
      </w:r>
    </w:p>
    <w:p>
      <w:pPr/>
      <w:r>
        <w:rPr>
          <w:lang w:val="en_US" w:bidi="en_US"/>
        </w:rPr>
      </w:r>
      <w:r>
        <w:rPr>
          <w:lang w:val="en_US" w:bidi="en_US"/>
        </w:rPr>
        <w:t xml:space="preserve">the news/report that Jesus </w:t>
      </w:r>
      <w:r>
        <w:rPr>
          <w:lang w:val="en_US" w:bidi="en_US"/>
        </w:rPr>
        <w:t>could heal sick people</w:t>
      </w:r>
    </w:p>
    <w:p>
      <w:pPr/>
      <w:r>
        <w:rPr>
          <w:lang w:val="en_US" w:bidi="en_US"/>
        </w:rPr>
      </w:r>
      <w:r>
        <w:rPr>
          <w:b/>
          <w:lang w:val="en_US" w:bidi="en_US"/>
        </w:rPr>
        <w:t>spread all the more:</w:t>
      </w:r>
      <w:r>
        <w:rPr>
          <w:lang w:val="en_US" w:bidi="en_US"/>
        </w:rPr>
        <w:t xml:space="preserve"> The tense of the Greek verb for </w:t>
      </w:r>
      <w:r>
        <w:rPr>
          <w:i/>
          <w:lang w:val="en_US" w:bidi="en_US"/>
        </w:rPr>
        <w:t>spread</w:t>
      </w:r>
      <w:r>
        <w:rPr>
          <w:lang w:val="en_US" w:bidi="en_US"/>
        </w:rPr>
        <w:t xml:space="preserve"> indicates that the report about Jesus was </w:t>
      </w:r>
      <w:r>
        <w:rPr>
          <w:u w:val="single"/>
          <w:lang w:val="en_US" w:bidi="en_US"/>
        </w:rPr>
        <w:t>continuing</w:t>
      </w:r>
      <w:r>
        <w:rPr>
          <w:lang w:val="en_US" w:bidi="en_US"/>
        </w:rPr>
        <w:t xml:space="preserve"> to spread. The phrase </w:t>
      </w:r>
      <w:r>
        <w:rPr>
          <w:i/>
          <w:lang w:val="en_US" w:bidi="en_US"/>
        </w:rPr>
        <w:t>all the more</w:t>
      </w:r>
      <w:r>
        <w:rPr>
          <w:lang w:val="en_US" w:bidi="en_US"/>
        </w:rPr>
        <w:t xml:space="preserve"> here means “to a greater degree.” People kept telling other people about Jesus so that more and more people heard about him.</w:t>
      </w:r>
    </w:p>
    <w:p>
      <w:pPr/>
      <w:r>
        <w:rPr>
          <w:lang w:val="en_US" w:bidi="en_US"/>
        </w:rPr>
      </w:r>
      <w:r>
        <w:rPr>
          <w:lang w:val="en_US" w:bidi="en_US"/>
        </w:rPr>
        <w:t>Some other ways to translate this are:</w:t>
      </w:r>
    </w:p>
    <w:p>
      <w:pPr/>
      <w:r>
        <w:rPr>
          <w:lang w:val="en_US" w:bidi="en_US"/>
        </w:rPr>
      </w:r>
      <w:r>
        <w:rPr>
          <w:lang w:val="en_US" w:bidi="en_US"/>
        </w:rPr>
        <w:t>spread even further than before</w:t>
      </w:r>
    </w:p>
    <w:p>
      <w:pPr/>
      <w:r>
        <w:rPr>
          <w:lang w:val="en_US" w:bidi="en_US"/>
        </w:rPr>
      </w:r>
      <w:r>
        <w:rPr>
          <w:lang w:val="en_US" w:bidi="en_US"/>
        </w:rPr>
        <w:t>went to even more people than before</w:t>
      </w:r>
    </w:p>
    <w:p>
      <w:pPr>
        <w:pStyle w:val="Heading5"/>
      </w:pPr>
      <w:r>
        <w:rPr>
          <w:lang w:val="en_US" w:bidi="en_US"/>
        </w:rPr>
        <w:t>5:15b</w:t>
      </w:r>
    </w:p>
    <w:p>
      <w:pPr/>
      <w:r>
        <w:rPr>
          <w:lang w:val="en_US" w:bidi="en_US"/>
        </w:rPr>
      </w:r>
      <w:r>
        <w:rPr>
          <w:b/>
          <w:lang w:val="en_US" w:bidi="en_US"/>
        </w:rPr>
        <w:t>and great crowds came to hear Him and to be healed of their sicknesses.</w:t>
      </w:r>
    </w:p>
    <w:p>
      <w:pPr>
        <w:pStyle w:val="ListBullet"/>
        <w:spacing w:line="240" w:lineRule="auto"/>
        <w:ind w:left="720"/>
      </w:pPr>
      <w:r>
        <w:rPr>
          <w:lang w:val="en_US" w:bidi="en_US"/>
        </w:rPr>
      </w:r>
      <w:r>
        <w:rPr>
          <w:lang w:val="en_US" w:bidi="en_US"/>
        </w:rPr>
        <w:t xml:space="preserve">As a result, great/large crowds were gathering to listen to him </w:t>
      </w:r>
      <w:r>
        <w:rPr>
          <w:lang w:val="en_US" w:bidi="en_US"/>
        </w:rPr>
        <w:t>teach</w:t>
      </w:r>
      <w:r>
        <w:rPr>
          <w:lang w:val="en_US" w:bidi="en_US"/>
        </w:rPr>
        <w:t xml:space="preserve"> and to be healed from their diseases.</w:t>
      </w:r>
    </w:p>
    <w:p>
      <w:pPr>
        <w:pStyle w:val="ListBullet"/>
        <w:spacing w:line="240" w:lineRule="auto"/>
        <w:ind w:left="720"/>
      </w:pPr>
      <w:r>
        <w:rPr>
          <w:lang w:val="en_US" w:bidi="en_US"/>
        </w:rPr>
      </w:r>
      <w:r>
        <w:rPr>
          <w:lang w:val="en_US" w:bidi="en_US"/>
        </w:rPr>
        <w:t xml:space="preserve">The result was that very many people kept coming together to hear his message, and </w:t>
      </w:r>
      <w:r>
        <w:rPr>
          <w:lang w:val="en_US" w:bidi="en_US"/>
        </w:rPr>
        <w:t>those who were sick among them</w:t>
      </w:r>
      <w:r>
        <w:rPr>
          <w:lang w:val="en_US" w:bidi="en_US"/>
        </w:rPr>
        <w:t xml:space="preserve"> came for him to heal them.</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 result. The news of Jesus’ power was spreading, so people wanted to see him. They wanted to hear him teach. People who were sick wanted him to heal them.</w:t>
      </w:r>
    </w:p>
    <w:p>
      <w:pPr/>
      <w:r>
        <w:rPr>
          <w:lang w:val="en_US" w:bidi="en_US"/>
        </w:rPr>
      </w:r>
      <w:r>
        <w:rPr>
          <w:lang w:val="en_US" w:bidi="en_US"/>
        </w:rPr>
        <w:t>Use a natural way in your language to connect the fact that Jesus was becoming well-known with the result of people coming to hear him. Some other ways to express this connection are:</w:t>
      </w:r>
    </w:p>
    <w:p>
      <w:pPr/>
      <w:r>
        <w:rPr>
          <w:lang w:val="en_US" w:bidi="en_US"/>
        </w:rPr>
      </w:r>
      <w:r>
        <w:rPr>
          <w:lang w:val="en_US" w:bidi="en_US"/>
        </w:rPr>
        <w:t>consequently</w:t>
      </w:r>
    </w:p>
    <w:p>
      <w:pPr/>
      <w:r>
        <w:rPr>
          <w:lang w:val="en_US" w:bidi="en_US"/>
        </w:rPr>
      </w:r>
      <w:r>
        <w:rPr>
          <w:lang w:val="en_US" w:bidi="en_US"/>
        </w:rPr>
        <w:t>The result was that</w:t>
      </w:r>
    </w:p>
    <w:p>
      <w:pPr/>
      <w:r>
        <w:rPr>
          <w:lang w:val="en_US" w:bidi="en_US"/>
        </w:rPr>
      </w:r>
      <w:r>
        <w:rPr>
          <w:b/>
          <w:lang w:val="en_US" w:bidi="en_US"/>
        </w:rPr>
        <w:t>great crowds came to hear Him and to be healed of their sicknesses:</w:t>
      </w:r>
      <w:r>
        <w:rPr>
          <w:lang w:val="en_US" w:bidi="en_US"/>
        </w:rPr>
        <w:t xml:space="preserve"> This part of the verse has two verbs: </w:t>
      </w:r>
      <w:r>
        <w:rPr>
          <w:i/>
          <w:lang w:val="en_US" w:bidi="en_US"/>
        </w:rPr>
        <w:t>hear</w:t>
      </w:r>
      <w:r>
        <w:rPr>
          <w:lang w:val="en_US" w:bidi="en_US"/>
        </w:rPr>
        <w:t xml:space="preserve"> and </w:t>
      </w:r>
      <w:r>
        <w:rPr>
          <w:i/>
          <w:lang w:val="en_US" w:bidi="en_US"/>
        </w:rPr>
        <w:t>be healed</w:t>
      </w:r>
      <w:r>
        <w:rPr>
          <w:lang w:val="en_US" w:bidi="en_US"/>
        </w:rPr>
        <w:t xml:space="preserve">. The subject of both verbs is </w:t>
      </w:r>
      <w:r>
        <w:rPr>
          <w:i/>
          <w:lang w:val="en_US" w:bidi="en_US"/>
        </w:rPr>
        <w:t>great crowds</w:t>
      </w:r>
      <w:r>
        <w:rPr>
          <w:lang w:val="en_US" w:bidi="en_US"/>
        </w:rPr>
        <w:t>. Everyone came to listen to Jesus. Some of those who came to listen were also sick and wanted to be healed.</w:t>
      </w:r>
    </w:p>
    <w:p>
      <w:pPr/>
      <w:r>
        <w:rPr>
          <w:lang w:val="en_US" w:bidi="en_US"/>
        </w:rPr>
      </w:r>
      <w:r>
        <w:rPr>
          <w:lang w:val="en_US" w:bidi="en_US"/>
        </w:rPr>
        <w:t>Some other ways to translate this are:</w:t>
      </w:r>
    </w:p>
    <w:p>
      <w:pPr/>
      <w:r>
        <w:rPr>
          <w:lang w:val="en_US" w:bidi="en_US"/>
        </w:rPr>
      </w:r>
      <w:r>
        <w:rPr>
          <w:lang w:val="en_US" w:bidi="en_US"/>
        </w:rPr>
        <w:t xml:space="preserve">crowds of people came to Jesus. </w:t>
      </w:r>
      <w:r>
        <w:rPr>
          <w:u w:val="single"/>
          <w:lang w:val="en_US" w:bidi="en_US"/>
        </w:rPr>
        <w:t>Many/some</w:t>
      </w:r>
      <w:r>
        <w:rPr>
          <w:lang w:val="en_US" w:bidi="en_US"/>
        </w:rPr>
        <w:t xml:space="preserve"> came to listen to him </w:t>
      </w:r>
      <w:r>
        <w:rPr>
          <w:lang w:val="en_US" w:bidi="en_US"/>
        </w:rPr>
        <w:t>teach</w:t>
      </w:r>
      <w:r>
        <w:rPr>
          <w:lang w:val="en_US" w:bidi="en_US"/>
        </w:rPr>
        <w:t xml:space="preserve">, and </w:t>
      </w:r>
      <w:r>
        <w:rPr>
          <w:u w:val="single"/>
          <w:lang w:val="en_US" w:bidi="en_US"/>
        </w:rPr>
        <w:t>many/some</w:t>
      </w:r>
      <w:r>
        <w:rPr>
          <w:lang w:val="en_US" w:bidi="en_US"/>
        </w:rPr>
        <w:t xml:space="preserve"> came to be healed from their sicknesses</w:t>
      </w:r>
    </w:p>
    <w:p>
      <w:pPr/>
      <w:r>
        <w:rPr>
          <w:lang w:val="en_US" w:bidi="en_US"/>
        </w:rPr>
      </w:r>
      <w:r>
        <w:rPr>
          <w:lang w:val="en_US" w:bidi="en_US"/>
        </w:rPr>
        <w:t xml:space="preserve">crowds of people came to hear Jesus, and </w:t>
      </w:r>
      <w:r>
        <w:rPr>
          <w:u w:val="single"/>
          <w:lang w:val="en_US" w:bidi="en_US"/>
        </w:rPr>
        <w:t>those who were sick among them</w:t>
      </w:r>
      <w:r>
        <w:rPr>
          <w:lang w:val="en_US" w:bidi="en_US"/>
        </w:rPr>
        <w:t xml:space="preserve"> came to be healed of their sicknesses</w:t>
      </w:r>
    </w:p>
    <w:p>
      <w:pPr/>
      <w:r>
        <w:rPr>
          <w:lang w:val="en_US" w:bidi="en_US"/>
        </w:rPr>
      </w:r>
      <w:r>
        <w:rPr>
          <w:b/>
          <w:lang w:val="en_US" w:bidi="en_US"/>
        </w:rPr>
        <w:t>great crowds:</w:t>
      </w:r>
      <w:r>
        <w:rPr>
          <w:lang w:val="en_US" w:bidi="en_US"/>
        </w:rPr>
        <w:t xml:space="preserve"> The Greek phrase that the BSB translates as </w:t>
      </w:r>
      <w:r>
        <w:rPr>
          <w:i/>
          <w:lang w:val="en_US" w:bidi="en_US"/>
        </w:rPr>
        <w:t>great crowds</w:t>
      </w:r>
      <w:r>
        <w:rPr>
          <w:lang w:val="en_US" w:bidi="en_US"/>
        </w:rPr>
        <w:t xml:space="preserve"> is literally “many crowds.” This phrase emphasizes the great size of the crowd. It does not mean that there were separate groups of people. Use a natural way in your language to refer to a very large crowd. For example:</w:t>
      </w:r>
    </w:p>
    <w:p>
      <w:pPr/>
      <w:r>
        <w:rPr>
          <w:lang w:val="en_US" w:bidi="en_US"/>
        </w:rPr>
      </w:r>
      <w:r>
        <w:rPr>
          <w:lang w:val="en_US" w:bidi="en_US"/>
        </w:rPr>
        <w:t>Large crowds (CEV)</w:t>
      </w:r>
    </w:p>
    <w:p>
      <w:pPr/>
      <w:r>
        <w:rPr>
          <w:lang w:val="en_US" w:bidi="en_US"/>
        </w:rPr>
      </w:r>
      <w:r>
        <w:rPr>
          <w:lang w:val="en_US" w:bidi="en_US"/>
        </w:rPr>
        <w:t>Many people (NCV)</w:t>
      </w:r>
    </w:p>
    <w:p>
      <w:pPr/>
      <w:r>
        <w:rPr>
          <w:lang w:val="en_US" w:bidi="en_US"/>
        </w:rPr>
      </w:r>
      <w:r>
        <w:rPr>
          <w:b/>
          <w:lang w:val="en_US" w:bidi="en_US"/>
        </w:rPr>
        <w:t>came:</w:t>
      </w:r>
      <w:r>
        <w:rPr>
          <w:lang w:val="en_US" w:bidi="en_US"/>
        </w:rPr>
        <w:t xml:space="preserve"> The Greek word that the BSB translates as </w:t>
      </w:r>
      <w:r>
        <w:rPr>
          <w:i/>
          <w:lang w:val="en_US" w:bidi="en_US"/>
        </w:rPr>
        <w:t>came</w:t>
      </w:r>
      <w:r>
        <w:rPr>
          <w:lang w:val="en_US" w:bidi="en_US"/>
        </w:rPr>
        <w:t xml:space="preserve"> means to “come together,” “gather,” or “assemble.” Luke used a Greek verb form that suggests a repeated event. It did not happen just once. Some ways to translate this are:</w:t>
      </w:r>
    </w:p>
    <w:p>
      <w:pPr/>
      <w:r>
        <w:rPr>
          <w:lang w:val="en_US" w:bidi="en_US"/>
        </w:rPr>
      </w:r>
      <w:r>
        <w:rPr>
          <w:lang w:val="en_US" w:bidi="en_US"/>
        </w:rPr>
        <w:t>were gathering (NET)</w:t>
      </w:r>
    </w:p>
    <w:p>
      <w:pPr/>
      <w:r>
        <w:rPr>
          <w:lang w:val="en_US" w:bidi="en_US"/>
        </w:rPr>
      </w:r>
      <w:r>
        <w:rPr>
          <w:lang w:val="en_US" w:bidi="en_US"/>
        </w:rPr>
        <w:t>frequently gathered</w:t>
      </w:r>
    </w:p>
    <w:p>
      <w:pPr/>
      <w:r>
        <w:rPr>
          <w:lang w:val="en_US" w:bidi="en_US"/>
        </w:rPr>
      </w:r>
      <w:r>
        <w:rPr>
          <w:b/>
          <w:lang w:val="en_US" w:bidi="en_US"/>
        </w:rPr>
        <w:t>healed of their sicknesses:</w:t>
      </w:r>
      <w:r>
        <w:rPr>
          <w:lang w:val="en_US" w:bidi="en_US"/>
        </w:rPr>
        <w:t xml:space="preserve"> In some languages the verb </w:t>
      </w:r>
      <w:r>
        <w:rPr>
          <w:i/>
          <w:lang w:val="en_US" w:bidi="en_US"/>
        </w:rPr>
        <w:t>healed</w:t>
      </w:r>
      <w:r>
        <w:rPr>
          <w:lang w:val="en_US" w:bidi="en_US"/>
        </w:rPr>
        <w:t xml:space="preserve"> implies sickness. For such languages, including the phrase </w:t>
      </w:r>
      <w:r>
        <w:rPr>
          <w:i/>
          <w:lang w:val="en_US" w:bidi="en_US"/>
        </w:rPr>
        <w:t>of their sicknesses</w:t>
      </w:r>
      <w:r>
        <w:rPr>
          <w:lang w:val="en_US" w:bidi="en_US"/>
        </w:rPr>
        <w:t xml:space="preserve"> is not necessary. If that is true in your language, you could simply say:</w:t>
      </w:r>
    </w:p>
    <w:p>
      <w:pPr/>
      <w:r>
        <w:rPr>
          <w:lang w:val="en_US" w:bidi="en_US"/>
        </w:rPr>
      </w:r>
      <w:r>
        <w:rPr>
          <w:lang w:val="en_US" w:bidi="en_US"/>
        </w:rPr>
        <w:t>came to be healed</w:t>
      </w:r>
      <w:r>
        <w:rPr>
          <w:lang w:val="en_US" w:bidi="en_US"/>
        </w:rPr>
      </w:r>
      <w:r>
        <w:rPr>
          <w:lang w:val="en_US" w:bidi="en_US"/>
        </w:rPr>
      </w:r>
    </w:p>
    <w:p>
      <w:pPr/>
      <w:r>
        <w:rPr>
          <w:lang w:val="en_US" w:bidi="en_US"/>
        </w:rPr>
      </w:r>
    </w:p>
    <w:p>
      <w:pPr>
        <w:pStyle w:val="Heading2"/>
      </w:pPr>
      <w:r>
        <w:rPr>
          <w:lang w:val="en_US" w:bidi="en_US"/>
        </w:rPr>
        <w:t>Luke 5:16</w:t>
      </w:r>
      <w:r>
        <w:rPr>
          <w:lang w:val="en_US" w:bidi="en_US"/>
        </w:rPr>
      </w:r>
    </w:p>
    <w:p>
      <w:pPr>
        <w:pStyle w:val="Heading4"/>
      </w:pPr>
      <w:r>
        <w:rPr>
          <w:lang w:val="en_US" w:bidi="en_US"/>
        </w:rPr>
        <w:t>Section 5:12–16: Jesus healed a man with a dreaded skin disease</w:t>
      </w:r>
    </w:p>
    <w:p>
      <w:pPr/>
      <w:r>
        <w:rPr>
          <w:lang w:val="en_US" w:bidi="en_US"/>
        </w:rPr>
      </w:r>
      <w:r>
        <w:rPr>
          <w:lang w:val="en_US" w:bidi="en_US"/>
        </w:rPr>
        <w:t>In this section, Jesus healed a man with a skin disease, and so Jesus’ fame spread in that region. As a result, crowds of people came to hear him teach and to be healed of diseases.</w:t>
      </w:r>
    </w:p>
    <w:p>
      <w:pPr/>
      <w:r>
        <w:rPr>
          <w:lang w:val="en_US" w:bidi="en_US"/>
        </w:rPr>
      </w:r>
      <w:r>
        <w:rPr>
          <w:lang w:val="en_US" w:bidi="en_US"/>
        </w:rPr>
        <w:t>In Jesus’ time, having a skin disease made a person ceremonially or ritually “unclean.” This meant that a person with such a disease was not allowed to worship God with other people. This person had to live apart from healthy people, including his family.</w:t>
      </w:r>
    </w:p>
    <w:p>
      <w:pPr/>
      <w:r>
        <w:rPr>
          <w:lang w:val="en_US" w:bidi="en_US"/>
        </w:rPr>
      </w:r>
      <w:r>
        <w:rPr>
          <w:lang w:val="en_US" w:bidi="en_US"/>
        </w:rPr>
        <w:t>Some other possible headings for this section are:</w:t>
      </w:r>
    </w:p>
    <w:p>
      <w:pPr/>
      <w:r>
        <w:rPr>
          <w:lang w:val="en_US" w:bidi="en_US"/>
        </w:rPr>
      </w:r>
      <w:r>
        <w:rPr>
          <w:lang w:val="en_US" w:bidi="en_US"/>
        </w:rPr>
        <w:t>Jesus made a man with a skin disease pure/clean</w:t>
      </w:r>
    </w:p>
    <w:p>
      <w:pPr/>
      <w:r>
        <w:rPr>
          <w:lang w:val="en_US" w:bidi="en_US"/>
        </w:rPr>
      </w:r>
      <w:r>
        <w:rPr>
          <w:lang w:val="en_US" w:bidi="en_US"/>
        </w:rPr>
        <w:t>The Man With Leprosy (NIV)</w:t>
      </w:r>
    </w:p>
    <w:p>
      <w:pPr/>
      <w:r>
        <w:rPr>
          <w:lang w:val="en_US" w:bidi="en_US"/>
        </w:rPr>
      </w:r>
      <w:r>
        <w:rPr>
          <w:lang w:val="en_US" w:bidi="en_US"/>
        </w:rPr>
        <w:t>Jesus Heals a Man with Leprosy (NLT)</w:t>
      </w:r>
    </w:p>
    <w:p>
      <w:pPr/>
      <w:r>
        <w:rPr>
          <w:lang w:val="en_US" w:bidi="en_US"/>
        </w:rPr>
      </w:r>
      <w:r>
        <w:rPr>
          <w:lang w:val="en_US" w:bidi="en_US"/>
        </w:rPr>
        <w:t>Jesus showed his power over a skin disease</w:t>
      </w:r>
    </w:p>
    <w:p>
      <w:pPr/>
      <w:r>
        <w:rPr>
          <w:lang w:val="en_US" w:bidi="en_US"/>
        </w:rPr>
      </w:r>
      <w:r>
        <w:rPr>
          <w:lang w:val="en_US" w:bidi="en_US"/>
        </w:rPr>
        <w:t>There are parallel passages for this section in Matthew 8:1–4 and Mark 1:40–45.</w:t>
      </w:r>
    </w:p>
    <w:p>
      <w:pPr>
        <w:pStyle w:val="Heading5"/>
      </w:pPr>
      <w:r>
        <w:rPr>
          <w:lang w:val="en_US" w:bidi="en_US"/>
        </w:rPr>
        <w:t>5:16</w:t>
      </w:r>
    </w:p>
    <w:p>
      <w:pPr/>
      <w:r>
        <w:rPr>
          <w:lang w:val="en_US" w:bidi="en_US"/>
        </w:rPr>
      </w:r>
      <w:r>
        <w:rPr>
          <w:b/>
          <w:lang w:val="en_US" w:bidi="en_US"/>
        </w:rPr>
        <w:t>Yet He frequently withdrew to the wilderness to pray.</w:t>
      </w:r>
    </w:p>
    <w:p>
      <w:pPr>
        <w:pStyle w:val="ListBullet"/>
        <w:spacing w:line="240" w:lineRule="auto"/>
        <w:ind w:left="720"/>
      </w:pPr>
      <w:r>
        <w:rPr>
          <w:lang w:val="en_US" w:bidi="en_US"/>
        </w:rPr>
      </w:r>
      <w:r>
        <w:rPr>
          <w:lang w:val="en_US" w:bidi="en_US"/>
        </w:rPr>
        <w:t xml:space="preserve">But Jesus often left </w:t>
      </w:r>
      <w:r>
        <w:rPr>
          <w:lang w:val="en_US" w:bidi="en_US"/>
        </w:rPr>
        <w:t>everyone</w:t>
      </w:r>
      <w:r>
        <w:rPr>
          <w:lang w:val="en_US" w:bidi="en_US"/>
        </w:rPr>
        <w:t xml:space="preserve"> and went to a quiet/isolated place </w:t>
      </w:r>
      <w:r>
        <w:rPr>
          <w:lang w:val="en_US" w:bidi="en_US"/>
        </w:rPr>
        <w:t>in order to</w:t>
      </w:r>
      <w:r>
        <w:rPr>
          <w:lang w:val="en_US" w:bidi="en_US"/>
        </w:rPr>
        <w:t xml:space="preserve"> pray.</w:t>
      </w:r>
    </w:p>
    <w:p>
      <w:pPr>
        <w:pStyle w:val="ListBullet"/>
        <w:spacing w:line="240" w:lineRule="auto"/>
        <w:ind w:left="720"/>
      </w:pPr>
      <w:r>
        <w:rPr>
          <w:lang w:val="en_US" w:bidi="en_US"/>
        </w:rPr>
      </w:r>
      <w:r>
        <w:rPr>
          <w:lang w:val="en_US" w:bidi="en_US"/>
        </w:rPr>
        <w:t xml:space="preserve">But Jesus often went away to places where there were no people and prayed </w:t>
      </w:r>
      <w:r>
        <w:rPr>
          <w:lang w:val="en_US" w:bidi="en_US"/>
        </w:rPr>
        <w:t>to God</w:t>
      </w:r>
      <w:r>
        <w:rPr>
          <w:lang w:val="en_US" w:bidi="en_US"/>
        </w:rPr>
        <w:t>.</w:t>
      </w:r>
    </w:p>
    <w:p>
      <w:pPr/>
      <w:r>
        <w:rPr>
          <w:lang w:val="en_US" w:bidi="en_US"/>
        </w:rPr>
      </w:r>
      <w:r>
        <w:rPr>
          <w:b/>
          <w:lang w:val="en_US" w:bidi="en_US"/>
        </w:rPr>
        <w:t>Yet:</w:t>
      </w:r>
      <w:r>
        <w:rPr>
          <w:lang w:val="en_US" w:bidi="en_US"/>
        </w:rPr>
        <w:t xml:space="preserve"> There is a Greek conjunction at the start of this verse that almost all English versions translate, and most of them translate it as “But” or </w:t>
      </w:r>
      <w:r>
        <w:rPr>
          <w:i/>
          <w:lang w:val="en_US" w:bidi="en_US"/>
        </w:rPr>
        <w:t>Yet</w:t>
      </w:r>
      <w:r>
        <w:rPr>
          <w:lang w:val="en_US" w:bidi="en_US"/>
        </w:rPr>
        <w:t xml:space="preserve"> in order to show contrast. Great crowds of people frequently came to Jesus, but Jesus continued his practice of regularly going off alone to pray.</w:t>
      </w:r>
    </w:p>
    <w:p>
      <w:pPr/>
      <w:r>
        <w:rPr>
          <w:lang w:val="en_US" w:bidi="en_US"/>
        </w:rPr>
      </w:r>
      <w:r>
        <w:rPr>
          <w:lang w:val="en_US" w:bidi="en_US"/>
        </w:rPr>
        <w:t>Connect 5:15 and 5:16 in the way that is most natural in your language.</w:t>
      </w:r>
    </w:p>
    <w:p>
      <w:pPr/>
      <w:r>
        <w:rPr>
          <w:lang w:val="en_US" w:bidi="en_US"/>
        </w:rPr>
      </w:r>
      <w:r>
        <w:rPr>
          <w:b/>
          <w:lang w:val="en_US" w:bidi="en_US"/>
        </w:rPr>
        <w:t>He frequently withdrew to the wilderness to pray:</w:t>
      </w:r>
      <w:r>
        <w:rPr>
          <w:lang w:val="en_US" w:bidi="en_US"/>
        </w:rPr>
        <w:t xml:space="preserve"> The form of the Greek verbs that the BSB translates as </w:t>
      </w:r>
      <w:r>
        <w:rPr>
          <w:i/>
          <w:lang w:val="en_US" w:bidi="en_US"/>
        </w:rPr>
        <w:t>withdrew</w:t>
      </w:r>
      <w:r>
        <w:rPr>
          <w:lang w:val="en_US" w:bidi="en_US"/>
        </w:rPr>
        <w:t xml:space="preserve"> and </w:t>
      </w:r>
      <w:r>
        <w:rPr>
          <w:i/>
          <w:lang w:val="en_US" w:bidi="en_US"/>
        </w:rPr>
        <w:t>pray</w:t>
      </w:r>
      <w:r>
        <w:rPr>
          <w:lang w:val="en_US" w:bidi="en_US"/>
        </w:rPr>
        <w:t xml:space="preserve"> indicates that Jesus did this regularly or repeatedly. He was </w:t>
      </w:r>
      <w:r>
        <w:rPr>
          <w:u w:val="single"/>
          <w:lang w:val="en_US" w:bidi="en_US"/>
        </w:rPr>
        <w:t>in the habit of</w:t>
      </w:r>
      <w:r>
        <w:rPr>
          <w:lang w:val="en_US" w:bidi="en_US"/>
        </w:rPr>
        <w:t xml:space="preserve"> going away from the crowds and praying alone to God. The BSB has supplied the word </w:t>
      </w:r>
      <w:r>
        <w:rPr>
          <w:i/>
          <w:lang w:val="en_US" w:bidi="en_US"/>
        </w:rPr>
        <w:t>frequently</w:t>
      </w:r>
      <w:r>
        <w:rPr>
          <w:lang w:val="en_US" w:bidi="en_US"/>
        </w:rPr>
        <w:t xml:space="preserve"> in order to make this clear.</w:t>
      </w:r>
    </w:p>
    <w:p>
      <w:pPr/>
      <w:r>
        <w:rPr>
          <w:lang w:val="en_US" w:bidi="en_US"/>
        </w:rPr>
      </w:r>
      <w:r>
        <w:rPr>
          <w:b/>
          <w:lang w:val="en_US" w:bidi="en_US"/>
        </w:rPr>
        <w:t>withdrew to the wilderness to pray:</w:t>
      </w:r>
      <w:r>
        <w:rPr>
          <w:lang w:val="en_US" w:bidi="en_US"/>
        </w:rPr>
        <w:t xml:space="preserve"> The reason why Jesus withdrew was in order to pray. For example:</w:t>
      </w:r>
    </w:p>
    <w:p>
      <w:pPr/>
      <w:r>
        <w:rPr>
          <w:lang w:val="en_US" w:bidi="en_US"/>
        </w:rPr>
      </w:r>
      <w:r>
        <w:rPr>
          <w:lang w:val="en_US" w:bidi="en_US"/>
        </w:rPr>
        <w:t>Jesus often withdrew to the wilderness for prayer (NLT)</w:t>
      </w:r>
    </w:p>
    <w:p>
      <w:pPr/>
      <w:r>
        <w:rPr>
          <w:lang w:val="en_US" w:bidi="en_US"/>
        </w:rPr>
      </w:r>
      <w:r>
        <w:rPr>
          <w:lang w:val="en_US" w:bidi="en_US"/>
        </w:rPr>
        <w:t>Jesus often slipped away to be alone so he could pray (NCV)</w:t>
      </w:r>
    </w:p>
    <w:p>
      <w:pPr/>
      <w:r>
        <w:rPr>
          <w:lang w:val="en_US" w:bidi="en_US"/>
        </w:rPr>
      </w:r>
      <w:r>
        <w:rPr>
          <w:b/>
          <w:lang w:val="en_US" w:bidi="en_US"/>
        </w:rPr>
        <w:t>the wilderness:</w:t>
      </w:r>
      <w:r>
        <w:rPr>
          <w:lang w:val="en_US" w:bidi="en_US"/>
        </w:rPr>
        <w:t xml:space="preserve"> The Greek word that the BSB translates as </w:t>
      </w:r>
      <w:r>
        <w:rPr>
          <w:i/>
          <w:lang w:val="en_US" w:bidi="en_US"/>
        </w:rPr>
        <w:t>the wilderness</w:t>
      </w:r>
      <w:r>
        <w:rPr>
          <w:lang w:val="en_US" w:bidi="en_US"/>
        </w:rPr>
        <w:t xml:space="preserve"> refers to wild or desolate areas where few people lived. This is the same Greek word that the BSB translates as “wilderness” in 1:80b, 3:2b, and 4:1b and as “solitary place” in 4:42a.</w:t>
      </w:r>
    </w:p>
    <w:p>
      <w:pPr/>
      <w:r>
        <w:rPr>
          <w:lang w:val="en_US" w:bidi="en_US"/>
        </w:rPr>
      </w:r>
      <w:r>
        <w:rPr>
          <w:lang w:val="en_US" w:bidi="en_US"/>
        </w:rPr>
        <w:t>Some languages have a special word to refer to such areas such as “the bush” (Africa) or “steppes” (Asia).</w:t>
      </w:r>
    </w:p>
    <w:p>
      <w:pPr/>
      <w:r>
        <w:rPr>
          <w:lang w:val="en_US" w:bidi="en_US"/>
        </w:rPr>
      </w:r>
      <w:r>
        <w:rPr>
          <w:lang w:val="en_US" w:bidi="en_US"/>
        </w:rPr>
        <w:t>Some other ways to translate this are:</w:t>
      </w:r>
    </w:p>
    <w:p>
      <w:pPr/>
      <w:r>
        <w:rPr>
          <w:lang w:val="en_US" w:bidi="en_US"/>
        </w:rPr>
      </w:r>
      <w:r>
        <w:rPr>
          <w:lang w:val="en_US" w:bidi="en_US"/>
        </w:rPr>
        <w:t>deserted places (NRSV)</w:t>
      </w:r>
    </w:p>
    <w:p>
      <w:pPr/>
      <w:r>
        <w:rPr>
          <w:lang w:val="en_US" w:bidi="en_US"/>
        </w:rPr>
      </w:r>
      <w:r>
        <w:rPr>
          <w:lang w:val="en_US" w:bidi="en_US"/>
        </w:rPr>
        <w:t>places where he could be alone (GW)</w:t>
      </w:r>
    </w:p>
    <w:p>
      <w:pPr/>
      <w:r>
        <w:rPr>
          <w:lang w:val="en_US" w:bidi="en_US"/>
        </w:rPr>
      </w:r>
      <w:r>
        <w:rPr>
          <w:lang w:val="en_US" w:bidi="en_US"/>
        </w:rPr>
        <w:t>places where there were few/no people</w:t>
      </w:r>
    </w:p>
    <w:p>
      <w:pPr/>
      <w:r>
        <w:rPr>
          <w:lang w:val="en_US" w:bidi="en_US"/>
        </w:rPr>
      </w:r>
      <w:r>
        <w:rPr>
          <w:lang w:val="en_US" w:bidi="en_US"/>
        </w:rPr>
        <w:t>Jesus went to such places so that he could be alone with God.</w:t>
      </w:r>
    </w:p>
    <w:p>
      <w:pPr/>
      <w:r>
        <w:rPr>
          <w:lang w:val="en_US" w:bidi="en_US"/>
        </w:rPr>
      </w:r>
      <w:r>
        <w:rPr>
          <w:b/>
          <w:lang w:val="en_US" w:bidi="en_US"/>
        </w:rPr>
        <w:t>pray:</w:t>
      </w:r>
      <w:r>
        <w:rPr>
          <w:lang w:val="en_US" w:bidi="en_US"/>
        </w:rPr>
        <w:t xml:space="preserve"> The Greek word that the BSB translates as </w:t>
      </w:r>
      <w:r>
        <w:rPr>
          <w:i/>
          <w:lang w:val="en_US" w:bidi="en_US"/>
        </w:rPr>
        <w:t>pray</w:t>
      </w:r>
      <w:r>
        <w:rPr>
          <w:lang w:val="en_US" w:bidi="en_US"/>
        </w:rPr>
        <w:t xml:space="preserve"> indicates that Jesus spoke or talked to God.</w:t>
      </w:r>
    </w:p>
    <w:p>
      <w:pPr/>
      <w:r>
        <w:rPr>
          <w:lang w:val="en_US" w:bidi="en_US"/>
        </w:rPr>
      </w:r>
      <w:r>
        <w:rPr>
          <w:lang w:val="en_US" w:bidi="en_US"/>
        </w:rPr>
        <w:t>Some languages may use different words to refer to specific kinds of prayer, such as requests, thanks, or praise. Here you should use a word or expression in your language that describes prayer in general.</w:t>
      </w:r>
    </w:p>
    <w:p>
      <w:pPr/>
      <w:r>
        <w:rPr>
          <w:lang w:val="en_US" w:bidi="en_US"/>
        </w:rPr>
      </w:r>
      <w:r>
        <w:rPr>
          <w:lang w:val="en_US" w:bidi="en_US"/>
        </w:rPr>
        <w:t>Some other ways to translate this are:</w:t>
      </w:r>
    </w:p>
    <w:p>
      <w:pPr/>
      <w:r>
        <w:rPr>
          <w:lang w:val="en_US" w:bidi="en_US"/>
        </w:rPr>
      </w:r>
      <w:r>
        <w:rPr>
          <w:lang w:val="en_US" w:bidi="en_US"/>
        </w:rPr>
        <w:t>talked to God</w:t>
      </w:r>
    </w:p>
    <w:p>
      <w:pPr/>
      <w:r>
        <w:rPr>
          <w:lang w:val="en_US" w:bidi="en_US"/>
        </w:rPr>
      </w:r>
      <w:r>
        <w:rPr>
          <w:lang w:val="en_US" w:bidi="en_US"/>
        </w:rPr>
        <w:t>asked/begged God</w:t>
      </w:r>
      <w:r>
        <w:rPr>
          <w:lang w:val="en_US" w:bidi="en_US"/>
        </w:rPr>
      </w:r>
      <w:r>
        <w:rPr>
          <w:lang w:val="en_US" w:bidi="en_US"/>
        </w:rPr>
      </w:r>
    </w:p>
    <w:p>
      <w:pPr/>
      <w:r>
        <w:rPr>
          <w:lang w:val="en_US" w:bidi="en_US"/>
        </w:rPr>
      </w:r>
    </w:p>
    <w:p>
      <w:pPr>
        <w:pStyle w:val="Heading2"/>
      </w:pPr>
      <w:r>
        <w:rPr>
          <w:lang w:val="en_US" w:bidi="en_US"/>
        </w:rPr>
        <w:t>Luke 5:17</w:t>
      </w:r>
      <w:r>
        <w:rPr>
          <w:lang w:val="en_US" w:bidi="en_US"/>
        </w:rPr>
      </w:r>
    </w:p>
    <w:p>
      <w:pPr>
        <w:pStyle w:val="Heading4"/>
      </w:pPr>
      <w:r>
        <w:rPr>
          <w:lang w:val="en_US" w:bidi="en_US"/>
        </w:rPr>
        <w:t>Section 5:17–26: Jesus healed a paralyzed man</w:t>
      </w:r>
    </w:p>
    <w:p>
      <w:pPr/>
      <w:r>
        <w:rPr>
          <w:lang w:val="en_US" w:bidi="en_US"/>
        </w:rPr>
      </w:r>
      <w:r>
        <w:rPr>
          <w:lang w:val="en_US" w:bidi="en_US"/>
        </w:rPr>
        <w:t>In this section, Luke focused on Jesus’ authority. Jesus used his authority from God to forgive the paralyzed man’s sins. The religious leaders questioned that authority. Jesus proved his authority to forgive sin when he healed the paralyzed man.</w:t>
      </w:r>
    </w:p>
    <w:p>
      <w:pPr/>
      <w:r>
        <w:rPr>
          <w:lang w:val="en_US" w:bidi="en_US"/>
        </w:rPr>
      </w:r>
      <w:r>
        <w:rPr>
          <w:lang w:val="en_US" w:bidi="en_US"/>
        </w:rPr>
        <w:t>Some other possible headings for this section are:</w:t>
      </w:r>
    </w:p>
    <w:p>
      <w:pPr/>
      <w:r>
        <w:rPr>
          <w:lang w:val="en_US" w:bidi="en_US"/>
        </w:rPr>
      </w:r>
      <w:r>
        <w:rPr>
          <w:lang w:val="en_US" w:bidi="en_US"/>
        </w:rPr>
        <w:t>Jesus showed that he had authority to forgive sins</w:t>
      </w:r>
    </w:p>
    <w:p>
      <w:pPr/>
      <w:r>
        <w:rPr>
          <w:lang w:val="en_US" w:bidi="en_US"/>
        </w:rPr>
      </w:r>
      <w:r>
        <w:rPr>
          <w:lang w:val="en_US" w:bidi="en_US"/>
        </w:rPr>
        <w:t>Jesus forgave the sins of a paralyzed man and healed him</w:t>
      </w:r>
    </w:p>
    <w:p>
      <w:pPr/>
      <w:r>
        <w:rPr>
          <w:lang w:val="en_US" w:bidi="en_US"/>
        </w:rPr>
      </w:r>
      <w:r>
        <w:rPr>
          <w:lang w:val="en_US" w:bidi="en_US"/>
        </w:rPr>
        <w:t>There are parallel passages for this section in Matthew 9:1–8 and Mark 2:1–12.</w:t>
      </w:r>
    </w:p>
    <w:p>
      <w:pPr>
        <w:pStyle w:val="Heading5"/>
      </w:pPr>
      <w:r>
        <w:rPr>
          <w:lang w:val="en_US" w:bidi="en_US"/>
        </w:rPr>
        <w:t>5:17a</w:t>
      </w:r>
    </w:p>
    <w:p>
      <w:pPr/>
      <w:r>
        <w:rPr>
          <w:lang w:val="en_US" w:bidi="en_US"/>
        </w:rPr>
      </w:r>
      <w:r>
        <w:rPr>
          <w:b/>
          <w:lang w:val="en_US" w:bidi="en_US"/>
        </w:rPr>
        <w:t>One day Jesus was teaching,</w:t>
      </w:r>
    </w:p>
    <w:p>
      <w:pPr>
        <w:pStyle w:val="ListBullet"/>
        <w:spacing w:line="240" w:lineRule="auto"/>
        <w:ind w:left="720"/>
      </w:pPr>
      <w:r>
        <w:rPr>
          <w:lang w:val="en_US" w:bidi="en_US"/>
        </w:rPr>
      </w:r>
      <w:r>
        <w:rPr>
          <w:lang w:val="en_US" w:bidi="en_US"/>
        </w:rPr>
        <w:t xml:space="preserve">¶ One day about that time Jesus was teaching </w:t>
      </w:r>
      <w:r>
        <w:rPr>
          <w:lang w:val="en_US" w:bidi="en_US"/>
        </w:rPr>
        <w:t>the people</w:t>
      </w:r>
      <w:r>
        <w:rPr>
          <w:lang w:val="en_US" w:bidi="en_US"/>
        </w:rPr>
        <w:t>.</w:t>
      </w:r>
    </w:p>
    <w:p>
      <w:pPr>
        <w:pStyle w:val="ListBullet"/>
        <w:spacing w:line="240" w:lineRule="auto"/>
        <w:ind w:left="720"/>
      </w:pPr>
      <w:r>
        <w:rPr>
          <w:lang w:val="en_US" w:bidi="en_US"/>
        </w:rPr>
      </w:r>
      <w:r>
        <w:rPr>
          <w:lang w:val="en_US" w:bidi="en_US"/>
        </w:rPr>
        <w:t xml:space="preserve">¶ On one occasion during that time Jesus was </w:t>
      </w:r>
      <w:r>
        <w:rPr>
          <w:lang w:val="en_US" w:bidi="en_US"/>
        </w:rPr>
        <w:t>in a house</w:t>
      </w:r>
      <w:r>
        <w:rPr>
          <w:lang w:val="en_US" w:bidi="en_US"/>
        </w:rPr>
        <w:t xml:space="preserve"> teaching </w:t>
      </w:r>
      <w:r>
        <w:rPr>
          <w:lang w:val="en_US" w:bidi="en_US"/>
        </w:rPr>
        <w:t>the word/message from God</w:t>
      </w:r>
      <w:r>
        <w:rPr>
          <w:lang w:val="en_US" w:bidi="en_US"/>
        </w:rPr>
        <w:t>.</w:t>
      </w:r>
    </w:p>
    <w:p>
      <w:pPr/>
      <w:r>
        <w:rPr>
          <w:lang w:val="en_US" w:bidi="en_US"/>
        </w:rPr>
      </w:r>
      <w:r>
        <w:rPr>
          <w:b/>
          <w:lang w:val="en_US" w:bidi="en_US"/>
        </w:rPr>
        <w:t>One day:</w:t>
      </w:r>
      <w:r>
        <w:rPr>
          <w:lang w:val="en_US" w:bidi="en_US"/>
        </w:rPr>
        <w:t xml:space="preserve"> The Greek phrase that the BSB translates as </w:t>
      </w:r>
      <w:r>
        <w:rPr>
          <w:i/>
          <w:lang w:val="en_US" w:bidi="en_US"/>
        </w:rPr>
        <w:t>One day</w:t>
      </w:r>
      <w:r>
        <w:rPr>
          <w:lang w:val="en_US" w:bidi="en_US"/>
        </w:rPr>
        <w:t xml:space="preserve"> is literally: “On one of the days.” It introduces a new event and indicates that it happened sometime during the same period of time as the preceding events.</w:t>
      </w:r>
      <w:r>
        <w:rPr>
          <w:lang w:val="en_US" w:bidi="en_US"/>
        </w:rPr>
        <w:t>We have chosen to go against the majority of English versions, which translate this merely as “one day.” “One day” would indicate no necessary connection between this event and the previous events. But in Mark we have basically the same ordering of events: the healing of Simon’s mother-in-law, the healing of the leper, the healing of the paralytic (which Mark identifies as taking place “a few days after” the healing of the leper; Mark 2:1), the call of Levi, and the question about fasting. Matthew’s order of events differs considerably from Mark and Luke. Yet even in Matthew the healing of the Simon’s mother-in-law and the healing of the leper precede the healing of the paralytic in close proximity. And the call of Levi (Matthew) and the question about fasting immediately follow. It seems right to understand Luke’s expression to indicate a connection of the events, even if a vague one. (The same expression and same relationship of events also occur at 8:22 and 20:1.)</w:t>
      </w:r>
      <w:r>
        <w:rPr>
          <w:lang w:val="en_US" w:bidi="en_US"/>
        </w:rPr>
        <w:t xml:space="preserve"> Some ways to translate this are:</w:t>
      </w:r>
    </w:p>
    <w:p>
      <w:pPr/>
      <w:r>
        <w:rPr>
          <w:lang w:val="en_US" w:bidi="en_US"/>
        </w:rPr>
      </w:r>
      <w:r>
        <w:rPr>
          <w:lang w:val="en_US" w:bidi="en_US"/>
        </w:rPr>
        <w:t>At about that time</w:t>
      </w:r>
    </w:p>
    <w:p>
      <w:pPr/>
      <w:r>
        <w:rPr>
          <w:lang w:val="en_US" w:bidi="en_US"/>
        </w:rPr>
      </w:r>
      <w:r>
        <w:rPr>
          <w:lang w:val="en_US" w:bidi="en_US"/>
        </w:rPr>
        <w:t>One day around that time</w:t>
      </w:r>
    </w:p>
    <w:p>
      <w:pPr/>
      <w:r>
        <w:rPr>
          <w:lang w:val="en_US" w:bidi="en_US"/>
        </w:rPr>
      </w:r>
      <w:r>
        <w:rPr>
          <w:lang w:val="en_US" w:bidi="en_US"/>
        </w:rPr>
        <w:t>On one of those days (RSV)</w:t>
      </w:r>
    </w:p>
    <w:p>
      <w:pPr/>
      <w:r>
        <w:rPr>
          <w:lang w:val="en_US" w:bidi="en_US"/>
        </w:rPr>
      </w:r>
      <w:r>
        <w:rPr>
          <w:b/>
          <w:lang w:val="en_US" w:bidi="en_US"/>
        </w:rPr>
        <w:t>Jesus was teaching:</w:t>
      </w:r>
      <w:r>
        <w:rPr>
          <w:lang w:val="en_US" w:bidi="en_US"/>
        </w:rPr>
        <w:t xml:space="preserve"> The Greek word that the BSB translates as </w:t>
      </w:r>
      <w:r>
        <w:rPr>
          <w:i/>
          <w:lang w:val="en_US" w:bidi="en_US"/>
        </w:rPr>
        <w:t>Jesus</w:t>
      </w:r>
      <w:r>
        <w:rPr>
          <w:lang w:val="en_US" w:bidi="en_US"/>
        </w:rPr>
        <w:t xml:space="preserve"> here is the pronoun “he.” It refers to Jesus. Introduce him in this section in a natural way in your language.</w:t>
      </w:r>
    </w:p>
    <w:p>
      <w:pPr/>
      <w:r>
        <w:rPr>
          <w:lang w:val="en_US" w:bidi="en_US"/>
        </w:rPr>
      </w:r>
      <w:r>
        <w:rPr>
          <w:b/>
          <w:lang w:val="en_US" w:bidi="en_US"/>
        </w:rPr>
        <w:t>was teaching:</w:t>
      </w:r>
      <w:r>
        <w:rPr>
          <w:lang w:val="en_US" w:bidi="en_US"/>
        </w:rPr>
        <w:t xml:space="preserve"> It may be necessary to make explicit what Jesus was teaching and to whom he was speaking. For example:</w:t>
      </w:r>
    </w:p>
    <w:p>
      <w:pPr/>
      <w:r>
        <w:rPr>
          <w:lang w:val="en_US" w:bidi="en_US"/>
        </w:rPr>
      </w:r>
      <w:r>
        <w:rPr>
          <w:lang w:val="en_US" w:bidi="en_US"/>
        </w:rPr>
        <w:t xml:space="preserve">as Jesus was teaching </w:t>
      </w:r>
      <w:r>
        <w:rPr>
          <w:lang w:val="en_US" w:bidi="en_US"/>
        </w:rPr>
        <w:t>the word of God</w:t>
      </w:r>
      <w:r>
        <w:rPr>
          <w:lang w:val="en_US" w:bidi="en_US"/>
        </w:rPr>
        <w:t xml:space="preserve"> </w:t>
      </w:r>
      <w:r>
        <w:rPr>
          <w:lang w:val="en_US" w:bidi="en_US"/>
        </w:rPr>
        <w:t>to the people</w:t>
      </w:r>
    </w:p>
    <w:p>
      <w:pPr/>
      <w:r>
        <w:rPr>
          <w:lang w:val="en_US" w:bidi="en_US"/>
        </w:rPr>
      </w:r>
      <w:r>
        <w:rPr>
          <w:lang w:val="en_US" w:bidi="en_US"/>
        </w:rPr>
        <w:t>It is clear from the verses that follow that Jesus was teaching inside a house. In some languages it may be more natural to include where Jesus was in this verse. For example, you could say:</w:t>
      </w:r>
    </w:p>
    <w:p>
      <w:pPr/>
      <w:r>
        <w:rPr>
          <w:lang w:val="en_US" w:bidi="en_US"/>
        </w:rPr>
      </w:r>
      <w:r>
        <w:rPr>
          <w:lang w:val="en_US" w:bidi="en_US"/>
        </w:rPr>
        <w:t xml:space="preserve">as he was teaching </w:t>
      </w:r>
      <w:r>
        <w:rPr>
          <w:lang w:val="en_US" w:bidi="en_US"/>
        </w:rPr>
        <w:t>in a house</w:t>
      </w:r>
    </w:p>
    <w:p>
      <w:pPr>
        <w:pStyle w:val="Heading5"/>
      </w:pPr>
      <w:r>
        <w:rPr>
          <w:lang w:val="en_US" w:bidi="en_US"/>
        </w:rPr>
        <w:t>5:17b</w:t>
      </w:r>
    </w:p>
    <w:p>
      <w:pPr/>
      <w:r>
        <w:rPr>
          <w:lang w:val="en_US" w:bidi="en_US"/>
        </w:rPr>
      </w:r>
      <w:r>
        <w:rPr>
          <w:b/>
          <w:lang w:val="en_US" w:bidi="en_US"/>
        </w:rPr>
        <w:t>and the Pharisees and teachers of the law were sitting there. People had come from Jerusalem and from every village of Galilee and Judea,</w:t>
      </w:r>
    </w:p>
    <w:p>
      <w:pPr>
        <w:pStyle w:val="ListBullet"/>
        <w:spacing w:line="240" w:lineRule="auto"/>
        <w:ind w:left="720"/>
      </w:pPr>
      <w:r>
        <w:rPr>
          <w:lang w:val="en_US" w:bidi="en_US"/>
        </w:rPr>
      </w:r>
      <w:r>
        <w:rPr>
          <w:lang w:val="en_US" w:bidi="en_US"/>
        </w:rPr>
        <w:t>Some Pharisees and teachers of the Law had come from every town in Galilee and Judea and from Jerusalem. They were sitting there.</w:t>
      </w:r>
    </w:p>
    <w:p>
      <w:pPr>
        <w:pStyle w:val="ListBullet"/>
        <w:spacing w:line="240" w:lineRule="auto"/>
        <w:ind w:left="720"/>
      </w:pPr>
      <w:r>
        <w:rPr>
          <w:lang w:val="en_US" w:bidi="en_US"/>
        </w:rPr>
      </w:r>
      <w:r>
        <w:rPr>
          <w:lang w:val="en_US" w:bidi="en_US"/>
        </w:rPr>
        <w:t xml:space="preserve">Some Pharisees and some experts in the law were there </w:t>
      </w:r>
      <w:r>
        <w:rPr>
          <w:lang w:val="en_US" w:bidi="en_US"/>
        </w:rPr>
        <w:t>listening</w:t>
      </w:r>
      <w:r>
        <w:rPr>
          <w:lang w:val="en_US" w:bidi="en_US"/>
        </w:rPr>
        <w:t xml:space="preserve">. They had come from villages all over </w:t>
      </w:r>
      <w:r>
        <w:rPr>
          <w:lang w:val="en_US" w:bidi="en_US"/>
        </w:rPr>
        <w:t>the regions of</w:t>
      </w:r>
      <w:r>
        <w:rPr>
          <w:lang w:val="en_US" w:bidi="en_US"/>
        </w:rPr>
        <w:t xml:space="preserve"> Galilee and Judea, and </w:t>
      </w:r>
      <w:r>
        <w:rPr>
          <w:lang w:val="en_US" w:bidi="en_US"/>
        </w:rPr>
        <w:t>also from</w:t>
      </w:r>
      <w:r>
        <w:rPr>
          <w:lang w:val="en_US" w:bidi="en_US"/>
        </w:rPr>
        <w:t xml:space="preserve"> </w:t>
      </w:r>
      <w:r>
        <w:rPr>
          <w:lang w:val="en_US" w:bidi="en_US"/>
        </w:rPr>
        <w:t>the city of</w:t>
      </w:r>
      <w:r>
        <w:rPr>
          <w:lang w:val="en_US" w:bidi="en_US"/>
        </w:rPr>
        <w:t xml:space="preserve"> Jerusalem.</w:t>
      </w:r>
    </w:p>
    <w:p>
      <w:pPr/>
      <w:r>
        <w:rPr>
          <w:lang w:val="en_US" w:bidi="en_US"/>
        </w:rPr>
      </w:r>
      <w:r>
        <w:rPr>
          <w:b/>
          <w:lang w:val="en_US" w:bidi="en_US"/>
        </w:rPr>
        <w:t>the Pharisees:</w:t>
      </w:r>
      <w:r>
        <w:rPr>
          <w:lang w:val="en_US" w:bidi="en_US"/>
        </w:rPr>
        <w:t xml:space="preserve"> The </w:t>
      </w:r>
      <w:r>
        <w:rPr>
          <w:i/>
          <w:lang w:val="en_US" w:bidi="en_US"/>
        </w:rPr>
        <w:t>Pharisees</w:t>
      </w:r>
      <w:r>
        <w:rPr>
          <w:lang w:val="en_US" w:bidi="en_US"/>
        </w:rPr>
        <w:t xml:space="preserve"> were a Jewish religious group or party. It was very important to them to obey all of the Jewish religious laws carefully and in detail. Here are some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according to the sounds of your language and indicate that it refers to a group of people. For example:</w:t>
      </w:r>
      <w:r>
        <w:rPr>
          <w:lang w:val="en_US" w:bidi="en_US"/>
        </w:rPr>
        <w:t>Farisi members</w:t>
      </w:r>
      <w:r>
        <w:rPr>
          <w:lang w:val="en_US" w:bidi="en_US"/>
        </w:rPr>
        <w:t>Parise adherents</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Farise religious sect/group</w:t>
      </w:r>
      <w:r>
        <w:rPr>
          <w:lang w:val="en_US" w:bidi="en_US"/>
        </w:rPr>
        <w:t>members of the Jewish group called the Farasi</w:t>
      </w:r>
    </w:p>
    <w:p>
      <w:pPr/>
      <w:r>
        <w:rPr>
          <w:lang w:val="en_US" w:bidi="en_US"/>
        </w:rPr>
      </w:r>
      <w:r>
        <w:rPr>
          <w:lang w:val="en_US" w:bidi="en_US"/>
        </w:rPr>
        <w:t xml:space="preserve">See </w:t>
      </w:r>
      <w:r>
        <w:rPr>
          <w:u w:val="single"/>
          <w:lang w:val="en_US" w:bidi="en_US"/>
        </w:rPr>
        <w:t>Pharisee, sense A</w:t>
      </w:r>
      <w:r>
        <w:rPr>
          <w:lang w:val="en_US" w:bidi="en_US"/>
        </w:rPr>
        <w:t xml:space="preserve">, in KBT. You may also want to include an explanation of </w:t>
      </w:r>
      <w:r>
        <w:rPr>
          <w:i/>
          <w:lang w:val="en_US" w:bidi="en_US"/>
        </w:rPr>
        <w:t>Pharisees</w:t>
      </w:r>
      <w:r>
        <w:rPr>
          <w:lang w:val="en_US" w:bidi="en_US"/>
        </w:rPr>
        <w:t xml:space="preserve"> in the glossary of your translation.</w:t>
      </w:r>
    </w:p>
    <w:p>
      <w:pPr/>
      <w:r>
        <w:rPr>
          <w:lang w:val="en_US" w:bidi="en_US"/>
        </w:rPr>
      </w:r>
      <w:r>
        <w:rPr>
          <w:b/>
          <w:lang w:val="en_US" w:bidi="en_US"/>
        </w:rPr>
        <w:t>teachers of the law:</w:t>
      </w:r>
      <w:r>
        <w:rPr>
          <w:lang w:val="en_US" w:bidi="en_US"/>
        </w:rPr>
        <w:t xml:space="preserve"> The </w:t>
      </w:r>
      <w:r>
        <w:rPr>
          <w:i/>
          <w:lang w:val="en_US" w:bidi="en_US"/>
        </w:rPr>
        <w:t>teachers of the law</w:t>
      </w:r>
      <w:r>
        <w:rPr>
          <w:lang w:val="en_US" w:bidi="en_US"/>
        </w:rPr>
        <w:t xml:space="preserve"> were scholars who studied, taught, and interpreted the law of Moses, as well as related Jewish laws and traditions. Most teachers of the law were Pharisees, but not all Pharisees were teachers of the law. Some ways to translate this term are:</w:t>
      </w:r>
    </w:p>
    <w:p>
      <w:pPr/>
      <w:r>
        <w:rPr>
          <w:lang w:val="en_US" w:bidi="en_US"/>
        </w:rPr>
      </w:r>
      <w:r>
        <w:rPr>
          <w:lang w:val="en_US" w:bidi="en_US"/>
        </w:rPr>
        <w:t>experts in the Law of Moses (CEV)</w:t>
      </w:r>
    </w:p>
    <w:p>
      <w:pPr/>
      <w:r>
        <w:rPr>
          <w:lang w:val="en_US" w:bidi="en_US"/>
        </w:rPr>
      </w:r>
      <w:r>
        <w:rPr>
          <w:lang w:val="en_US" w:bidi="en_US"/>
        </w:rPr>
        <w:t>teachers of religious law (NLT)</w:t>
      </w:r>
    </w:p>
    <w:p>
      <w:pPr/>
      <w:r>
        <w:rPr>
          <w:lang w:val="en_US" w:bidi="en_US"/>
        </w:rPr>
      </w:r>
      <w:r>
        <w:rPr>
          <w:lang w:val="en_US" w:bidi="en_US"/>
        </w:rPr>
        <w:t>experts on the law</w:t>
      </w:r>
    </w:p>
    <w:p>
      <w:pPr/>
      <w:r>
        <w:rPr>
          <w:lang w:val="en_US" w:bidi="en_US"/>
        </w:rPr>
      </w:r>
      <w:r>
        <w:rPr>
          <w:lang w:val="en_US" w:bidi="en_US"/>
        </w:rPr>
        <w:t>See teacher of the law in the Glossary.</w:t>
      </w:r>
    </w:p>
    <w:p>
      <w:pPr/>
      <w:r>
        <w:rPr>
          <w:lang w:val="en_US" w:bidi="en_US"/>
        </w:rPr>
      </w:r>
      <w:r>
        <w:rPr>
          <w:b/>
          <w:lang w:val="en_US" w:bidi="en_US"/>
        </w:rPr>
        <w:t>were sitting there:</w:t>
      </w:r>
      <w:r>
        <w:rPr>
          <w:lang w:val="en_US" w:bidi="en_US"/>
        </w:rPr>
        <w:t xml:space="preserve"> The phrase </w:t>
      </w:r>
      <w:r>
        <w:rPr>
          <w:i/>
          <w:lang w:val="en_US" w:bidi="en_US"/>
        </w:rPr>
        <w:t>were sitting there</w:t>
      </w:r>
      <w:r>
        <w:rPr>
          <w:lang w:val="en_US" w:bidi="en_US"/>
        </w:rPr>
        <w:t xml:space="preserve"> means “were present.” The emphasis is on the fact that the religious leaders were there listening rather than on their posture. For example:</w:t>
      </w:r>
    </w:p>
    <w:p>
      <w:pPr/>
      <w:r>
        <w:rPr>
          <w:lang w:val="en_US" w:bidi="en_US"/>
        </w:rPr>
      </w:r>
      <w:r>
        <w:rPr>
          <w:lang w:val="en_US" w:bidi="en_US"/>
        </w:rPr>
        <w:t>were present (GW)</w:t>
      </w:r>
    </w:p>
    <w:p>
      <w:pPr/>
      <w:r>
        <w:rPr>
          <w:lang w:val="en_US" w:bidi="en_US"/>
        </w:rPr>
      </w:r>
      <w:r>
        <w:rPr>
          <w:lang w:val="en_US" w:bidi="en_US"/>
        </w:rPr>
        <w:t>were there (NCV)</w:t>
      </w:r>
    </w:p>
    <w:p>
      <w:pPr/>
      <w:r>
        <w:rPr>
          <w:lang w:val="en_US" w:bidi="en_US"/>
        </w:rPr>
      </w:r>
      <w:r>
        <w:rPr>
          <w:b/>
          <w:lang w:val="en_US" w:bidi="en_US"/>
        </w:rPr>
        <w:t>from Jerusalem and from every village of Galilee and Judea:</w:t>
      </w:r>
      <w:r>
        <w:rPr>
          <w:lang w:val="en_US" w:bidi="en_US"/>
        </w:rPr>
        <w:t xml:space="preserve"> </w:t>
      </w:r>
      <w:r>
        <w:rPr>
          <w:i/>
          <w:lang w:val="en_US" w:bidi="en_US"/>
        </w:rPr>
        <w:t>Galilee</w:t>
      </w:r>
      <w:r>
        <w:rPr>
          <w:lang w:val="en_US" w:bidi="en_US"/>
        </w:rPr>
        <w:t xml:space="preserve"> and </w:t>
      </w:r>
      <w:r>
        <w:rPr>
          <w:i/>
          <w:lang w:val="en_US" w:bidi="en_US"/>
        </w:rPr>
        <w:t>Judea</w:t>
      </w:r>
      <w:r>
        <w:rPr>
          <w:lang w:val="en_US" w:bidi="en_US"/>
        </w:rPr>
        <w:t xml:space="preserve"> are regions or provinces. </w:t>
      </w:r>
      <w:r>
        <w:rPr>
          <w:i/>
          <w:lang w:val="en_US" w:bidi="en_US"/>
        </w:rPr>
        <w:t>Jerusalem</w:t>
      </w:r>
      <w:r>
        <w:rPr>
          <w:lang w:val="en_US" w:bidi="en_US"/>
        </w:rPr>
        <w:t xml:space="preserve"> is a city in Judea. Some ways to translate this are:</w:t>
      </w:r>
    </w:p>
    <w:p>
      <w:pPr/>
      <w:r>
        <w:rPr>
          <w:lang w:val="en_US" w:bidi="en_US"/>
        </w:rPr>
      </w:r>
      <w:r>
        <w:rPr>
          <w:lang w:val="en_US" w:bidi="en_US"/>
        </w:rPr>
        <w:t>from every village in Galilee and Judea and from Jerusalem (CEV)</w:t>
      </w:r>
    </w:p>
    <w:p>
      <w:pPr/>
      <w:r>
        <w:rPr>
          <w:lang w:val="en_US" w:bidi="en_US"/>
        </w:rPr>
      </w:r>
      <w:r>
        <w:rPr>
          <w:lang w:val="en_US" w:bidi="en_US"/>
        </w:rPr>
        <w:t>from every village in all Galilee and Judea, as well as from Jerusalem (NLT)</w:t>
      </w:r>
    </w:p>
    <w:p>
      <w:pPr/>
      <w:r>
        <w:rPr>
          <w:lang w:val="en_US" w:bidi="en_US"/>
        </w:rPr>
      </w:r>
      <w:r>
        <w:rPr>
          <w:b/>
          <w:lang w:val="en_US" w:bidi="en_US"/>
        </w:rPr>
        <w:t>from every village of Galilee and Judea:</w:t>
      </w:r>
      <w:r>
        <w:rPr>
          <w:lang w:val="en_US" w:bidi="en_US"/>
        </w:rPr>
        <w:t xml:space="preserve"> The phrase </w:t>
      </w:r>
      <w:r>
        <w:rPr>
          <w:i/>
          <w:lang w:val="en_US" w:bidi="en_US"/>
        </w:rPr>
        <w:t>from every village of Galilee and Judea</w:t>
      </w:r>
      <w:r>
        <w:rPr>
          <w:lang w:val="en_US" w:bidi="en_US"/>
        </w:rPr>
        <w:t xml:space="preserve"> is a figure of speech called a hyperbole. Luke did not literally mean every single village. He meant that these religious leaders had come from many different villages in Israel. If your readers would tend to understand </w:t>
      </w:r>
      <w:r>
        <w:rPr>
          <w:i/>
          <w:lang w:val="en_US" w:bidi="en_US"/>
        </w:rPr>
        <w:t>every village</w:t>
      </w:r>
      <w:r>
        <w:rPr>
          <w:lang w:val="en_US" w:bidi="en_US"/>
        </w:rPr>
        <w:t xml:space="preserve"> literally, some ways to translate this are:</w:t>
      </w:r>
    </w:p>
    <w:p>
      <w:pPr/>
      <w:r>
        <w:rPr>
          <w:lang w:val="en_US" w:bidi="en_US"/>
        </w:rPr>
      </w:r>
      <w:r>
        <w:rPr>
          <w:lang w:val="en_US" w:bidi="en_US"/>
        </w:rPr>
        <w:t xml:space="preserve">from </w:t>
      </w:r>
      <w:r>
        <w:rPr>
          <w:u w:val="single"/>
          <w:lang w:val="en_US" w:bidi="en_US"/>
        </w:rPr>
        <w:t>many</w:t>
      </w:r>
      <w:r>
        <w:rPr>
          <w:lang w:val="en_US" w:bidi="en_US"/>
        </w:rPr>
        <w:t xml:space="preserve"> villages of Galilee and Judea</w:t>
      </w:r>
    </w:p>
    <w:p>
      <w:pPr/>
      <w:r>
        <w:rPr>
          <w:lang w:val="en_US" w:bidi="en_US"/>
        </w:rPr>
      </w:r>
      <w:r>
        <w:rPr>
          <w:lang w:val="en_US" w:bidi="en_US"/>
        </w:rPr>
        <w:t xml:space="preserve">from villages </w:t>
      </w:r>
      <w:r>
        <w:rPr>
          <w:u w:val="single"/>
          <w:lang w:val="en_US" w:bidi="en_US"/>
        </w:rPr>
        <w:t>all over</w:t>
      </w:r>
      <w:r>
        <w:rPr>
          <w:lang w:val="en_US" w:bidi="en_US"/>
        </w:rPr>
        <w:t xml:space="preserve"> Galilee and Judea</w:t>
      </w:r>
    </w:p>
    <w:p>
      <w:pPr>
        <w:pStyle w:val="Heading5"/>
      </w:pPr>
      <w:r>
        <w:rPr>
          <w:lang w:val="en_US" w:bidi="en_US"/>
        </w:rPr>
        <w:t>5:17c</w:t>
      </w:r>
    </w:p>
    <w:p>
      <w:pPr/>
      <w:r>
        <w:rPr>
          <w:lang w:val="en_US" w:bidi="en_US"/>
        </w:rPr>
      </w:r>
      <w:r>
        <w:rPr>
          <w:b/>
          <w:lang w:val="en_US" w:bidi="en_US"/>
        </w:rPr>
        <w:t>and the power of the Lord was present for Him to heal the sick.</w:t>
      </w:r>
    </w:p>
    <w:p>
      <w:pPr>
        <w:pStyle w:val="ListBullet"/>
        <w:spacing w:line="240" w:lineRule="auto"/>
        <w:ind w:left="720"/>
      </w:pPr>
      <w:r>
        <w:rPr>
          <w:lang w:val="en_US" w:bidi="en_US"/>
        </w:rPr>
      </w:r>
      <w:r>
        <w:rPr>
          <w:lang w:val="en_US" w:bidi="en_US"/>
        </w:rPr>
        <w:t>The power of the Lord was with him to heal sick people.</w:t>
      </w:r>
    </w:p>
    <w:p>
      <w:pPr>
        <w:pStyle w:val="ListBullet"/>
        <w:spacing w:line="240" w:lineRule="auto"/>
        <w:ind w:left="720"/>
      </w:pPr>
      <w:r>
        <w:rPr>
          <w:lang w:val="en_US" w:bidi="en_US"/>
        </w:rPr>
      </w:r>
      <w:r>
        <w:rPr>
          <w:lang w:val="en_US" w:bidi="en_US"/>
        </w:rPr>
        <w:t>God had given Jesus the power to heal the sick. (CEV)</w:t>
      </w:r>
    </w:p>
    <w:p>
      <w:pPr/>
      <w:r>
        <w:rPr>
          <w:lang w:val="en_US" w:bidi="en_US"/>
        </w:rPr>
      </w:r>
      <w:r>
        <w:rPr>
          <w:b/>
          <w:lang w:val="en_US" w:bidi="en_US"/>
        </w:rPr>
        <w:t>and the power of the Lord was present for Him to heal the sick:</w:t>
      </w:r>
      <w:r>
        <w:rPr>
          <w:lang w:val="en_US" w:bidi="en_US"/>
        </w:rPr>
        <w:t xml:space="preserve"> The clause </w:t>
      </w:r>
      <w:r>
        <w:rPr>
          <w:i/>
          <w:lang w:val="en_US" w:bidi="en_US"/>
        </w:rPr>
        <w:t>and the power of the Lord was present for Him to heal the sick</w:t>
      </w:r>
      <w:r>
        <w:rPr>
          <w:lang w:val="en_US" w:bidi="en_US"/>
        </w:rPr>
        <w:t xml:space="preserve"> indicates that God’s power was with Jesus. This power enabled Jesus to prove that he was God by healing sick people.</w:t>
      </w:r>
    </w:p>
    <w:p>
      <w:pPr/>
      <w:r>
        <w:rPr>
          <w:lang w:val="en_US" w:bidi="en_US"/>
        </w:rPr>
      </w:r>
      <w:r>
        <w:rPr>
          <w:lang w:val="en_US" w:bidi="en_US"/>
        </w:rPr>
        <w:t>Some ways to translate this are:</w:t>
      </w:r>
    </w:p>
    <w:p>
      <w:pPr/>
      <w:r>
        <w:rPr>
          <w:lang w:val="en_US" w:bidi="en_US"/>
        </w:rPr>
      </w:r>
      <w:r>
        <w:rPr>
          <w:lang w:val="en_US" w:bidi="en_US"/>
        </w:rPr>
        <w:t>The Lord was giving Jesus the power to heal people. (NCV)</w:t>
      </w:r>
    </w:p>
    <w:p>
      <w:pPr/>
      <w:r>
        <w:rPr>
          <w:lang w:val="en_US" w:bidi="en_US"/>
        </w:rPr>
      </w:r>
      <w:r>
        <w:rPr>
          <w:lang w:val="en_US" w:bidi="en_US"/>
        </w:rPr>
        <w:t>God had given Jesus the power to heal the sick (CEV)</w:t>
      </w:r>
    </w:p>
    <w:p>
      <w:pPr/>
      <w:r>
        <w:rPr>
          <w:lang w:val="en_US" w:bidi="en_US"/>
        </w:rPr>
      </w:r>
      <w:r>
        <w:rPr>
          <w:b/>
          <w:lang w:val="en_US" w:bidi="en_US"/>
        </w:rPr>
        <w:t>the Lord:</w:t>
      </w:r>
      <w:r>
        <w:rPr>
          <w:lang w:val="en_US" w:bidi="en_US"/>
        </w:rPr>
        <w:t xml:space="preserve"> The Greek word that the BSB translates as </w:t>
      </w:r>
      <w:r>
        <w:rPr>
          <w:i/>
          <w:lang w:val="en_US" w:bidi="en_US"/>
        </w:rPr>
        <w:t>Lord</w:t>
      </w:r>
      <w:r>
        <w:rPr>
          <w:lang w:val="en_US" w:bidi="en_US"/>
        </w:rPr>
        <w:t xml:space="preserve"> means “master” or “one who has authority over others.” In this context </w:t>
      </w:r>
      <w:r>
        <w:rPr>
          <w:i/>
          <w:lang w:val="en_US" w:bidi="en_US"/>
        </w:rPr>
        <w:t>the Lord</w:t>
      </w:r>
      <w:r>
        <w:rPr>
          <w:lang w:val="en_US" w:bidi="en_US"/>
        </w:rPr>
        <w:t xml:space="preserve"> refers to God. Other ways to translate </w:t>
      </w:r>
      <w:r>
        <w:rPr>
          <w:i/>
          <w:lang w:val="en_US" w:bidi="en_US"/>
        </w:rPr>
        <w:t>Lord</w:t>
      </w:r>
      <w:r>
        <w:rPr>
          <w:lang w:val="en_US" w:bidi="en_US"/>
        </w:rPr>
        <w:t xml:space="preserve"> are:</w:t>
      </w:r>
    </w:p>
    <w:p>
      <w:pPr/>
      <w:r>
        <w:rPr>
          <w:lang w:val="en_US" w:bidi="en_US"/>
        </w:rPr>
      </w:r>
      <w:r>
        <w:rPr>
          <w:lang w:val="en_US" w:bidi="en_US"/>
        </w:rPr>
        <w:t>Master/Chief</w:t>
      </w:r>
    </w:p>
    <w:p>
      <w:pPr/>
      <w:r>
        <w:rPr>
          <w:lang w:val="en_US" w:bidi="en_US"/>
        </w:rPr>
      </w:r>
      <w:r>
        <w:rPr>
          <w:lang w:val="en_US" w:bidi="en_US"/>
        </w:rPr>
        <w:t>Ruler</w:t>
      </w:r>
    </w:p>
    <w:p>
      <w:pPr/>
      <w:r>
        <w:rPr>
          <w:lang w:val="en_US" w:bidi="en_US"/>
        </w:rPr>
      </w:r>
      <w:r>
        <w:rPr>
          <w:lang w:val="en_US" w:bidi="en_US"/>
        </w:rPr>
        <w:t>In some languages, people may not naturally use a word that means “master” to refer to God. If speakers of your language do not understand that your word for “Lord” refers to God in this context, here are other ways to translate it:</w:t>
      </w:r>
    </w:p>
    <w:p>
      <w:pPr>
        <w:pStyle w:val="ListBullet"/>
        <w:spacing w:line="240" w:lineRule="auto"/>
        <w:ind w:left="720"/>
      </w:pPr>
      <w:r>
        <w:rPr>
          <w:lang w:val="en_US" w:bidi="en_US"/>
        </w:rPr>
      </w:r>
      <w:r>
        <w:rPr>
          <w:lang w:val="en_US" w:bidi="en_US"/>
        </w:rPr>
        <w:t>Use your word for God.</w:t>
      </w:r>
    </w:p>
    <w:p>
      <w:pPr>
        <w:pStyle w:val="ListBullet"/>
        <w:spacing w:line="240" w:lineRule="auto"/>
        <w:ind w:left="720"/>
      </w:pPr>
      <w:r>
        <w:rPr>
          <w:lang w:val="en_US" w:bidi="en_US"/>
        </w:rPr>
      </w:r>
      <w:r>
        <w:rPr>
          <w:lang w:val="en_US" w:bidi="en_US"/>
        </w:rPr>
        <w:t>Use your word for God and indicate that he is the Lord. For example:</w:t>
      </w:r>
      <w:r>
        <w:rPr>
          <w:lang w:val="en_US" w:bidi="en_US"/>
        </w:rPr>
        <w:t>God the Lord</w:t>
      </w:r>
      <w:r>
        <w:rPr>
          <w:lang w:val="en_US" w:bidi="en_US"/>
        </w:rPr>
        <w:t>Master God</w:t>
      </w:r>
    </w:p>
    <w:p>
      <w:pPr/>
      <w:r>
        <w:rPr>
          <w:lang w:val="en_US" w:bidi="en_US"/>
        </w:rPr>
      </w:r>
      <w:r>
        <w:rPr>
          <w:lang w:val="en_US" w:bidi="en_US"/>
        </w:rPr>
        <w:t xml:space="preserve">If you include the word for God in your translation of </w:t>
      </w:r>
      <w:r>
        <w:rPr>
          <w:i/>
          <w:lang w:val="en_US" w:bidi="en_US"/>
        </w:rPr>
        <w:t>Lord</w:t>
      </w:r>
      <w:r>
        <w:rPr>
          <w:lang w:val="en_US" w:bidi="en_US"/>
        </w:rPr>
        <w:t>, you may want to include a footnote to give the literal Greek meaning. For example:</w:t>
      </w:r>
    </w:p>
    <w:p>
      <w:pPr/>
      <w:r>
        <w:rPr>
          <w:lang w:val="en_US" w:bidi="en_US"/>
        </w:rPr>
      </w:r>
      <w:r>
        <w:rPr>
          <w:lang w:val="en_US" w:bidi="en_US"/>
        </w:rPr>
        <w:t>Here the Greek text is literally “Lord.”</w:t>
      </w:r>
    </w:p>
    <w:p>
      <w:pPr/>
      <w:r>
        <w:rPr>
          <w:lang w:val="en_US" w:bidi="en_US"/>
        </w:rPr>
      </w:r>
      <w:r>
        <w:rPr>
          <w:lang w:val="en_US" w:bidi="en_US"/>
        </w:rPr>
        <w:t>See Lord, Context 2, in the Glossary.</w:t>
      </w:r>
      <w:r>
        <w:rPr>
          <w:lang w:val="en_US" w:bidi="en_US"/>
        </w:rPr>
      </w:r>
      <w:r>
        <w:rPr>
          <w:lang w:val="en_US" w:bidi="en_US"/>
        </w:rPr>
      </w:r>
    </w:p>
    <w:p>
      <w:pPr/>
      <w:r>
        <w:rPr>
          <w:lang w:val="en_US" w:bidi="en_US"/>
        </w:rPr>
      </w:r>
    </w:p>
    <w:p>
      <w:pPr>
        <w:pStyle w:val="Heading2"/>
      </w:pPr>
      <w:r>
        <w:rPr>
          <w:lang w:val="en_US" w:bidi="en_US"/>
        </w:rPr>
        <w:t>Luke 5:18</w:t>
      </w:r>
      <w:r>
        <w:rPr>
          <w:lang w:val="en_US" w:bidi="en_US"/>
        </w:rPr>
      </w:r>
    </w:p>
    <w:p>
      <w:pPr>
        <w:pStyle w:val="Heading4"/>
      </w:pPr>
      <w:r>
        <w:rPr>
          <w:lang w:val="en_US" w:bidi="en_US"/>
        </w:rPr>
        <w:t>Section 5:17–26: Jesus healed a paralyzed man</w:t>
      </w:r>
    </w:p>
    <w:p>
      <w:pPr/>
      <w:r>
        <w:rPr>
          <w:lang w:val="en_US" w:bidi="en_US"/>
        </w:rPr>
      </w:r>
      <w:r>
        <w:rPr>
          <w:lang w:val="en_US" w:bidi="en_US"/>
        </w:rPr>
        <w:t>In this section, Luke focused on Jesus’ authority. Jesus used his authority from God to forgive the paralyzed man’s sins. The religious leaders questioned that authority. Jesus proved his authority to forgive sin when he healed the paralyzed man.</w:t>
      </w:r>
    </w:p>
    <w:p>
      <w:pPr/>
      <w:r>
        <w:rPr>
          <w:lang w:val="en_US" w:bidi="en_US"/>
        </w:rPr>
      </w:r>
      <w:r>
        <w:rPr>
          <w:lang w:val="en_US" w:bidi="en_US"/>
        </w:rPr>
        <w:t>Some other possible headings for this section are:</w:t>
      </w:r>
    </w:p>
    <w:p>
      <w:pPr/>
      <w:r>
        <w:rPr>
          <w:lang w:val="en_US" w:bidi="en_US"/>
        </w:rPr>
      </w:r>
      <w:r>
        <w:rPr>
          <w:lang w:val="en_US" w:bidi="en_US"/>
        </w:rPr>
        <w:t>Jesus showed that he had authority to forgive sins</w:t>
      </w:r>
    </w:p>
    <w:p>
      <w:pPr/>
      <w:r>
        <w:rPr>
          <w:lang w:val="en_US" w:bidi="en_US"/>
        </w:rPr>
      </w:r>
      <w:r>
        <w:rPr>
          <w:lang w:val="en_US" w:bidi="en_US"/>
        </w:rPr>
        <w:t>Jesus forgave the sins of a paralyzed man and healed him</w:t>
      </w:r>
    </w:p>
    <w:p>
      <w:pPr/>
      <w:r>
        <w:rPr>
          <w:lang w:val="en_US" w:bidi="en_US"/>
        </w:rPr>
      </w:r>
      <w:r>
        <w:rPr>
          <w:lang w:val="en_US" w:bidi="en_US"/>
        </w:rPr>
        <w:t>There are parallel passages for this section in Matthew 9:1–8 and Mark 2:1–12.</w:t>
      </w:r>
    </w:p>
    <w:p>
      <w:pPr>
        <w:pStyle w:val="Heading5"/>
      </w:pPr>
      <w:r>
        <w:rPr>
          <w:lang w:val="en_US" w:bidi="en_US"/>
        </w:rPr>
        <w:t>5:18a</w:t>
      </w:r>
    </w:p>
    <w:p>
      <w:pPr/>
      <w:r>
        <w:rPr>
          <w:lang w:val="en_US" w:bidi="en_US"/>
        </w:rPr>
      </w:r>
      <w:r>
        <w:rPr>
          <w:b/>
          <w:lang w:val="en_US" w:bidi="en_US"/>
        </w:rPr>
        <w:t>Just then some men came carrying a paralyzed man on a mat.</w:t>
      </w:r>
    </w:p>
    <w:p>
      <w:pPr>
        <w:pStyle w:val="ListBullet"/>
        <w:spacing w:line="240" w:lineRule="auto"/>
        <w:ind w:left="720"/>
      </w:pPr>
      <w:r>
        <w:rPr>
          <w:lang w:val="en_US" w:bidi="en_US"/>
        </w:rPr>
      </w:r>
      <w:r>
        <w:rPr>
          <w:lang w:val="en_US" w:bidi="en_US"/>
        </w:rPr>
        <w:t>Some men arrived who were carrying a paralyzed man on a bed/stretcher.</w:t>
      </w:r>
    </w:p>
    <w:p>
      <w:pPr>
        <w:pStyle w:val="ListBullet"/>
        <w:spacing w:line="240" w:lineRule="auto"/>
        <w:ind w:left="720"/>
      </w:pPr>
      <w:r>
        <w:rPr>
          <w:lang w:val="en_US" w:bidi="en_US"/>
        </w:rPr>
      </w:r>
      <w:r>
        <w:rPr>
          <w:lang w:val="en_US" w:bidi="en_US"/>
        </w:rPr>
        <w:t>Just then, some men were carrying on a mat a man who was paralyzed. (NCV)</w:t>
      </w:r>
    </w:p>
    <w:p>
      <w:pPr/>
      <w:r>
        <w:rPr>
          <w:lang w:val="en_US" w:bidi="en_US"/>
        </w:rPr>
      </w:r>
      <w:r>
        <w:rPr>
          <w:b/>
          <w:lang w:val="en_US" w:bidi="en_US"/>
        </w:rPr>
        <w:t>Just then:</w:t>
      </w:r>
      <w:r>
        <w:rPr>
          <w:lang w:val="en_US" w:bidi="en_US"/>
        </w:rPr>
        <w:t xml:space="preserve"> The Greek phrase that the BSB translates here as </w:t>
      </w:r>
      <w:r>
        <w:rPr>
          <w:i/>
          <w:lang w:val="en_US" w:bidi="en_US"/>
        </w:rPr>
        <w:t>Just then</w:t>
      </w:r>
      <w:r>
        <w:rPr>
          <w:lang w:val="en_US" w:bidi="en_US"/>
        </w:rPr>
        <w:t xml:space="preserve"> is literally “And behold,” as in the RSV. Luke used these words to introduce the action of the event. He also wanted to draw attention to the action. Some ways to translate this phrase in this context are:</w:t>
      </w:r>
    </w:p>
    <w:p>
      <w:pPr/>
      <w:r>
        <w:rPr>
          <w:lang w:val="en_US" w:bidi="en_US"/>
        </w:rPr>
      </w:r>
      <w:r>
        <w:rPr>
          <w:lang w:val="en_US" w:bidi="en_US"/>
        </w:rPr>
        <w:t>Then</w:t>
      </w:r>
    </w:p>
    <w:p>
      <w:pPr/>
      <w:r>
        <w:rPr>
          <w:lang w:val="en_US" w:bidi="en_US"/>
        </w:rPr>
      </w:r>
      <w:r>
        <w:rPr>
          <w:lang w:val="en_US" w:bidi="en_US"/>
        </w:rPr>
        <w:t>And while he was teaching</w:t>
      </w:r>
    </w:p>
    <w:p>
      <w:pPr/>
      <w:r>
        <w:rPr>
          <w:lang w:val="en_US" w:bidi="en_US"/>
        </w:rPr>
      </w:r>
      <w:r>
        <w:rPr>
          <w:lang w:val="en_US" w:bidi="en_US"/>
        </w:rPr>
        <w:t>Some English versions, such as the NIV and NLT, do not translate this phrase. Connect 5:18a to 5:17b in a way that is natural in your language.</w:t>
      </w:r>
    </w:p>
    <w:p>
      <w:pPr/>
      <w:r>
        <w:rPr>
          <w:lang w:val="en_US" w:bidi="en_US"/>
        </w:rPr>
      </w:r>
      <w:r>
        <w:rPr>
          <w:b/>
          <w:lang w:val="en_US" w:bidi="en_US"/>
        </w:rPr>
        <w:t>some men came carrying a paralyzed man on a mat:</w:t>
      </w:r>
      <w:r>
        <w:rPr>
          <w:lang w:val="en_US" w:bidi="en_US"/>
        </w:rPr>
        <w:t xml:space="preserve"> The Greek phrase that the BSB translates as </w:t>
      </w:r>
      <w:r>
        <w:rPr>
          <w:i/>
          <w:lang w:val="en_US" w:bidi="en_US"/>
        </w:rPr>
        <w:t>some men came carrying a paralyzed man on a mat</w:t>
      </w:r>
      <w:r>
        <w:rPr>
          <w:lang w:val="en_US" w:bidi="en_US"/>
        </w:rPr>
        <w:t xml:space="preserve"> is literally “men carrying on a pallet a man who was paralyzed.” The phrase introduces the paralyzed man and his friends. Introduce the friends and the paralyzed man in a way that is natural in your language. For example:</w:t>
      </w:r>
    </w:p>
    <w:p>
      <w:pPr/>
      <w:r>
        <w:rPr>
          <w:lang w:val="en_US" w:bidi="en_US"/>
        </w:rPr>
      </w:r>
      <w:r>
        <w:rPr>
          <w:lang w:val="en_US" w:bidi="en_US"/>
        </w:rPr>
        <w:t>some men were carrying on a mat a man who was paralyzed (NCV)</w:t>
      </w:r>
    </w:p>
    <w:p>
      <w:pPr/>
      <w:r>
        <w:rPr>
          <w:lang w:val="en_US" w:bidi="en_US"/>
        </w:rPr>
      </w:r>
      <w:r>
        <w:rPr>
          <w:lang w:val="en_US" w:bidi="en_US"/>
        </w:rPr>
        <w:t>Some men brought a paralyzed man on a stretcher. (GW)</w:t>
      </w:r>
    </w:p>
    <w:p>
      <w:pPr/>
      <w:r>
        <w:rPr>
          <w:lang w:val="en_US" w:bidi="en_US"/>
        </w:rPr>
      </w:r>
      <w:r>
        <w:rPr>
          <w:b/>
          <w:lang w:val="en_US" w:bidi="en_US"/>
        </w:rPr>
        <w:t>paralyzed man:</w:t>
      </w:r>
      <w:r>
        <w:rPr>
          <w:lang w:val="en_US" w:bidi="en_US"/>
        </w:rPr>
        <w:t xml:space="preserve"> A </w:t>
      </w:r>
      <w:r>
        <w:rPr>
          <w:i/>
          <w:lang w:val="en_US" w:bidi="en_US"/>
        </w:rPr>
        <w:t>paralyzed man</w:t>
      </w:r>
      <w:r>
        <w:rPr>
          <w:lang w:val="en_US" w:bidi="en_US"/>
        </w:rPr>
        <w:t xml:space="preserve"> is a person who is unable to move some part or all of his body. In this context the paralytic could not walk. His legs were paralyzed.</w:t>
      </w:r>
    </w:p>
    <w:p>
      <w:pPr/>
      <w:r>
        <w:rPr>
          <w:lang w:val="en_US" w:bidi="en_US"/>
        </w:rPr>
      </w:r>
      <w:r>
        <w:rPr>
          <w:b/>
          <w:lang w:val="en_US" w:bidi="en_US"/>
        </w:rPr>
        <w:t>mat:</w:t>
      </w:r>
      <w:r>
        <w:rPr>
          <w:lang w:val="en_US" w:bidi="en_US"/>
        </w:rPr>
        <w:t xml:space="preserve"> The Greek word that the BSB translates as </w:t>
      </w:r>
      <w:r>
        <w:rPr>
          <w:i/>
          <w:lang w:val="en_US" w:bidi="en_US"/>
        </w:rPr>
        <w:t>mat</w:t>
      </w:r>
      <w:r>
        <w:rPr>
          <w:lang w:val="en_US" w:bidi="en_US"/>
        </w:rPr>
        <w:t xml:space="preserve"> means “bed, couch, cot, or stretcher.” It can refer to any piece of furniture that is used for reclining or lying on. In this context it refers to something light that could be used to carry someone. Since most people in Israel who were not rich slept on woven mats, it could have been a woven mat.</w:t>
      </w:r>
    </w:p>
    <w:p>
      <w:pPr/>
      <w:r>
        <w:rPr>
          <w:lang w:val="en_US" w:bidi="en_US"/>
        </w:rPr>
      </w:r>
      <w:r>
        <w:rPr>
          <w:lang w:val="en_US" w:bidi="en_US"/>
        </w:rPr>
        <w:t xml:space="preserve">Be careful not to translate the word </w:t>
      </w:r>
      <w:r>
        <w:rPr>
          <w:i/>
          <w:lang w:val="en_US" w:bidi="en_US"/>
        </w:rPr>
        <w:t>mat</w:t>
      </w:r>
      <w:r>
        <w:rPr>
          <w:lang w:val="en_US" w:bidi="en_US"/>
        </w:rPr>
        <w:t xml:space="preserve"> with a word that would imply something heavy and not easily carried.</w:t>
      </w:r>
    </w:p>
    <w:p>
      <w:pPr>
        <w:pStyle w:val="Heading5"/>
      </w:pPr>
      <w:r>
        <w:rPr>
          <w:lang w:val="en_US" w:bidi="en_US"/>
        </w:rPr>
        <w:t>5:18b</w:t>
      </w:r>
    </w:p>
    <w:p>
      <w:pPr/>
      <w:r>
        <w:rPr>
          <w:lang w:val="en_US" w:bidi="en_US"/>
        </w:rPr>
      </w:r>
      <w:r>
        <w:rPr>
          <w:b/>
          <w:lang w:val="en_US" w:bidi="en_US"/>
        </w:rPr>
        <w:t>They tried to bring him inside to set him before Jesus,</w:t>
      </w:r>
    </w:p>
    <w:p>
      <w:pPr>
        <w:pStyle w:val="ListBullet"/>
        <w:spacing w:line="240" w:lineRule="auto"/>
        <w:ind w:left="720"/>
      </w:pPr>
      <w:r>
        <w:rPr>
          <w:lang w:val="en_US" w:bidi="en_US"/>
        </w:rPr>
      </w:r>
      <w:r>
        <w:rPr>
          <w:lang w:val="en_US" w:bidi="en_US"/>
        </w:rPr>
        <w:t>They were trying to take/bring him into the house and put him in front of Jesus.</w:t>
      </w:r>
    </w:p>
    <w:p>
      <w:pPr>
        <w:pStyle w:val="ListBullet"/>
        <w:spacing w:line="240" w:lineRule="auto"/>
        <w:ind w:left="720"/>
      </w:pPr>
      <w:r>
        <w:rPr>
          <w:lang w:val="en_US" w:bidi="en_US"/>
        </w:rPr>
      </w:r>
      <w:r>
        <w:rPr>
          <w:lang w:val="en_US" w:bidi="en_US"/>
        </w:rPr>
        <w:t xml:space="preserve">They attempted </w:t>
      </w:r>
      <w:r>
        <w:rPr>
          <w:lang w:val="en_US" w:bidi="en_US"/>
        </w:rPr>
        <w:t>numerous times</w:t>
      </w:r>
      <w:r>
        <w:rPr>
          <w:lang w:val="en_US" w:bidi="en_US"/>
        </w:rPr>
        <w:t xml:space="preserve"> to enter the house in order to bring the man to Jesus,</w:t>
      </w:r>
    </w:p>
    <w:p>
      <w:pPr/>
      <w:r>
        <w:rPr>
          <w:lang w:val="en_US" w:bidi="en_US"/>
        </w:rPr>
      </w:r>
      <w:r>
        <w:rPr>
          <w:b/>
          <w:lang w:val="en_US" w:bidi="en_US"/>
        </w:rPr>
        <w:t>They tried to bring him inside:</w:t>
      </w:r>
      <w:r>
        <w:rPr>
          <w:lang w:val="en_US" w:bidi="en_US"/>
        </w:rPr>
        <w:t xml:space="preserve"> The Greek phrase that the BSB translates as </w:t>
      </w:r>
      <w:r>
        <w:rPr>
          <w:i/>
          <w:lang w:val="en_US" w:bidi="en_US"/>
        </w:rPr>
        <w:t>tried to bring him inside</w:t>
      </w:r>
      <w:r>
        <w:rPr>
          <w:lang w:val="en_US" w:bidi="en_US"/>
        </w:rPr>
        <w:t xml:space="preserve"> is literally “were seeking to carry him in.” The men wanted to carry the paralyzed man through the door into the house. They attempted to do this but could not. Verse 5:19a explains that they could not do this because there were too many people in the house or around the door to the house.</w:t>
      </w:r>
    </w:p>
    <w:p>
      <w:pPr/>
      <w:r>
        <w:rPr>
          <w:lang w:val="en_US" w:bidi="en_US"/>
        </w:rPr>
      </w:r>
      <w:r>
        <w:rPr>
          <w:lang w:val="en_US" w:bidi="en_US"/>
        </w:rPr>
        <w:t xml:space="preserve">The tense of the Greek verb for </w:t>
      </w:r>
      <w:r>
        <w:rPr>
          <w:i/>
          <w:lang w:val="en_US" w:bidi="en_US"/>
        </w:rPr>
        <w:t>tried</w:t>
      </w:r>
      <w:r>
        <w:rPr>
          <w:lang w:val="en_US" w:bidi="en_US"/>
        </w:rPr>
        <w:t xml:space="preserve"> indicates that they tried to do this more than once. Some ways to express this in English are:</w:t>
      </w:r>
    </w:p>
    <w:p>
      <w:pPr/>
      <w:r>
        <w:rPr>
          <w:lang w:val="en_US" w:bidi="en_US"/>
        </w:rPr>
      </w:r>
      <w:r>
        <w:rPr>
          <w:u w:val="single"/>
          <w:lang w:val="en_US" w:bidi="en_US"/>
        </w:rPr>
        <w:t>were</w:t>
      </w:r>
      <w:r>
        <w:rPr>
          <w:lang w:val="en_US" w:bidi="en_US"/>
        </w:rPr>
        <w:t xml:space="preserve"> try</w:t>
      </w:r>
      <w:r>
        <w:rPr>
          <w:u w:val="single"/>
          <w:lang w:val="en_US" w:bidi="en_US"/>
        </w:rPr>
        <w:t>ing</w:t>
      </w:r>
      <w:r>
        <w:rPr>
          <w:lang w:val="en_US" w:bidi="en_US"/>
        </w:rPr>
        <w:t xml:space="preserve"> to bring him in (NET)</w:t>
      </w:r>
    </w:p>
    <w:p>
      <w:pPr/>
      <w:r>
        <w:rPr>
          <w:lang w:val="en_US" w:bidi="en_US"/>
        </w:rPr>
      </w:r>
      <w:r>
        <w:rPr>
          <w:u w:val="single"/>
          <w:lang w:val="en_US" w:bidi="en_US"/>
        </w:rPr>
        <w:t>kept</w:t>
      </w:r>
      <w:r>
        <w:rPr>
          <w:lang w:val="en_US" w:bidi="en_US"/>
        </w:rPr>
        <w:t xml:space="preserve"> try</w:t>
      </w:r>
      <w:r>
        <w:rPr>
          <w:u w:val="single"/>
          <w:lang w:val="en_US" w:bidi="en_US"/>
        </w:rPr>
        <w:t>ing</w:t>
      </w:r>
      <w:r>
        <w:rPr>
          <w:lang w:val="en_US" w:bidi="en_US"/>
        </w:rPr>
        <w:t xml:space="preserve"> to carry him in (JBP)</w:t>
      </w:r>
    </w:p>
    <w:p>
      <w:pPr/>
      <w:r>
        <w:rPr>
          <w:lang w:val="en_US" w:bidi="en_US"/>
        </w:rPr>
      </w:r>
      <w:r>
        <w:rPr>
          <w:b/>
          <w:lang w:val="en_US" w:bidi="en_US"/>
        </w:rPr>
        <w:t>to set him before Jesus:</w:t>
      </w:r>
      <w:r>
        <w:rPr>
          <w:lang w:val="en_US" w:bidi="en_US"/>
        </w:rPr>
        <w:t xml:space="preserve"> The men wanted to take the man into the house and lay him in front of Jesus so that Jesus would heal him. Be sure that the readers of your translation understand this. If the reason for taking this man to Jesus is unclear, you may have to make this explicit. For example:</w:t>
      </w:r>
    </w:p>
    <w:p>
      <w:pPr/>
      <w:r>
        <w:rPr>
          <w:lang w:val="en_US" w:bidi="en_US"/>
        </w:rPr>
      </w:r>
      <w:r>
        <w:rPr>
          <w:lang w:val="en_US" w:bidi="en_US"/>
        </w:rPr>
        <w:t xml:space="preserve">in order to lay him before Jesus </w:t>
      </w:r>
      <w:r>
        <w:rPr>
          <w:lang w:val="en_US" w:bidi="en_US"/>
        </w:rPr>
        <w:t>so that Jesus would heal him</w:t>
      </w:r>
      <w:r>
        <w:rPr>
          <w:lang w:val="en_US" w:bidi="en_US"/>
        </w:rPr>
      </w:r>
      <w:r>
        <w:rPr>
          <w:lang w:val="en_US" w:bidi="en_US"/>
        </w:rPr>
      </w:r>
    </w:p>
    <w:p>
      <w:pPr/>
      <w:r>
        <w:rPr>
          <w:lang w:val="en_US" w:bidi="en_US"/>
        </w:rPr>
      </w:r>
    </w:p>
    <w:p>
      <w:pPr>
        <w:pStyle w:val="Heading2"/>
      </w:pPr>
      <w:r>
        <w:rPr>
          <w:lang w:val="en_US" w:bidi="en_US"/>
        </w:rPr>
        <w:t>Luke 5:19</w:t>
      </w:r>
      <w:r>
        <w:rPr>
          <w:lang w:val="en_US" w:bidi="en_US"/>
        </w:rPr>
      </w:r>
    </w:p>
    <w:p>
      <w:pPr>
        <w:pStyle w:val="Heading4"/>
      </w:pPr>
      <w:r>
        <w:rPr>
          <w:lang w:val="en_US" w:bidi="en_US"/>
        </w:rPr>
        <w:t>Section 5:17–26: Jesus healed a paralyzed man</w:t>
      </w:r>
    </w:p>
    <w:p>
      <w:pPr/>
      <w:r>
        <w:rPr>
          <w:lang w:val="en_US" w:bidi="en_US"/>
        </w:rPr>
      </w:r>
      <w:r>
        <w:rPr>
          <w:lang w:val="en_US" w:bidi="en_US"/>
        </w:rPr>
        <w:t>In this section, Luke focused on Jesus’ authority. Jesus used his authority from God to forgive the paralyzed man’s sins. The religious leaders questioned that authority. Jesus proved his authority to forgive sin when he healed the paralyzed man.</w:t>
      </w:r>
    </w:p>
    <w:p>
      <w:pPr/>
      <w:r>
        <w:rPr>
          <w:lang w:val="en_US" w:bidi="en_US"/>
        </w:rPr>
      </w:r>
      <w:r>
        <w:rPr>
          <w:lang w:val="en_US" w:bidi="en_US"/>
        </w:rPr>
        <w:t>Some other possible headings for this section are:</w:t>
      </w:r>
    </w:p>
    <w:p>
      <w:pPr/>
      <w:r>
        <w:rPr>
          <w:lang w:val="en_US" w:bidi="en_US"/>
        </w:rPr>
      </w:r>
      <w:r>
        <w:rPr>
          <w:lang w:val="en_US" w:bidi="en_US"/>
        </w:rPr>
        <w:t>Jesus showed that he had authority to forgive sins</w:t>
      </w:r>
    </w:p>
    <w:p>
      <w:pPr/>
      <w:r>
        <w:rPr>
          <w:lang w:val="en_US" w:bidi="en_US"/>
        </w:rPr>
      </w:r>
      <w:r>
        <w:rPr>
          <w:lang w:val="en_US" w:bidi="en_US"/>
        </w:rPr>
        <w:t>Jesus forgave the sins of a paralyzed man and healed him</w:t>
      </w:r>
    </w:p>
    <w:p>
      <w:pPr/>
      <w:r>
        <w:rPr>
          <w:lang w:val="en_US" w:bidi="en_US"/>
        </w:rPr>
      </w:r>
      <w:r>
        <w:rPr>
          <w:lang w:val="en_US" w:bidi="en_US"/>
        </w:rPr>
        <w:t>There are parallel passages for this section in Matthew 9:1–8 and Mark 2:1–12.</w:t>
      </w:r>
    </w:p>
    <w:p>
      <w:pPr>
        <w:pStyle w:val="Heading5"/>
      </w:pPr>
      <w:r>
        <w:rPr>
          <w:lang w:val="en_US" w:bidi="en_US"/>
        </w:rPr>
        <w:t>5:19a</w:t>
      </w:r>
    </w:p>
    <w:p>
      <w:pPr/>
      <w:r>
        <w:rPr>
          <w:lang w:val="en_US" w:bidi="en_US"/>
        </w:rPr>
      </w:r>
      <w:r>
        <w:rPr>
          <w:b/>
          <w:lang w:val="en_US" w:bidi="en_US"/>
        </w:rPr>
        <w:t>but they could not find a way through the crowd.</w:t>
      </w:r>
    </w:p>
    <w:p>
      <w:pPr>
        <w:pStyle w:val="ListBullet"/>
        <w:spacing w:line="240" w:lineRule="auto"/>
        <w:ind w:left="720"/>
      </w:pPr>
      <w:r>
        <w:rPr>
          <w:lang w:val="en_US" w:bidi="en_US"/>
        </w:rPr>
      </w:r>
      <w:r>
        <w:rPr>
          <w:lang w:val="en_US" w:bidi="en_US"/>
        </w:rPr>
        <w:t>However,</w:t>
      </w:r>
      <w:r>
        <w:rPr>
          <w:lang w:val="en_US" w:bidi="en_US"/>
        </w:rPr>
        <w:t xml:space="preserve"> they could not enter </w:t>
      </w:r>
      <w:r>
        <w:rPr>
          <w:lang w:val="en_US" w:bidi="en_US"/>
        </w:rPr>
        <w:t>the house</w:t>
      </w:r>
      <w:r>
        <w:rPr>
          <w:lang w:val="en_US" w:bidi="en_US"/>
        </w:rPr>
        <w:t xml:space="preserve"> because there were too many people.</w:t>
      </w:r>
    </w:p>
    <w:p>
      <w:pPr>
        <w:pStyle w:val="ListBullet"/>
        <w:spacing w:line="240" w:lineRule="auto"/>
        <w:ind w:left="720"/>
      </w:pPr>
      <w:r>
        <w:rPr>
          <w:lang w:val="en_US" w:bidi="en_US"/>
        </w:rPr>
      </w:r>
      <w:r>
        <w:rPr>
          <w:lang w:val="en_US" w:bidi="en_US"/>
        </w:rPr>
        <w:t>but</w:t>
      </w:r>
      <w:r>
        <w:rPr>
          <w:lang w:val="en_US" w:bidi="en_US"/>
        </w:rPr>
        <w:t xml:space="preserve"> there was </w:t>
      </w:r>
      <w:r>
        <w:rPr>
          <w:lang w:val="en_US" w:bidi="en_US"/>
        </w:rPr>
        <w:t>such a great</w:t>
      </w:r>
      <w:r>
        <w:rPr>
          <w:lang w:val="en_US" w:bidi="en_US"/>
        </w:rPr>
        <w:t xml:space="preserve"> crowd </w:t>
      </w:r>
      <w:r>
        <w:rPr>
          <w:lang w:val="en_US" w:bidi="en_US"/>
        </w:rPr>
        <w:t>around the house</w:t>
      </w:r>
      <w:r>
        <w:rPr>
          <w:lang w:val="en_US" w:bidi="en_US"/>
        </w:rPr>
        <w:t xml:space="preserve"> that they could not </w:t>
      </w:r>
      <w:r>
        <w:rPr>
          <w:lang w:val="en_US" w:bidi="en_US"/>
        </w:rPr>
        <w:t>get through the door</w:t>
      </w:r>
      <w:r>
        <w:rPr>
          <w:lang w:val="en_US" w:bidi="en_US"/>
        </w:rPr>
        <w:t>.</w:t>
      </w:r>
    </w:p>
    <w:p>
      <w:pPr/>
      <w:r>
        <w:rPr>
          <w:lang w:val="en_US" w:bidi="en_US"/>
        </w:rPr>
      </w:r>
      <w:r>
        <w:rPr>
          <w:lang w:val="en_US" w:bidi="en_US"/>
        </w:rPr>
        <w:t>This part of the verse tells the problem that the men had as they tried to get their friend to Jesus. Connect 5:19a to 5:18b in a natural way in your language.</w:t>
      </w:r>
    </w:p>
    <w:p>
      <w:pPr/>
      <w:r>
        <w:rPr>
          <w:lang w:val="en_US" w:bidi="en_US"/>
        </w:rPr>
      </w:r>
      <w:r>
        <w:rPr>
          <w:b/>
          <w:lang w:val="en_US" w:bidi="en_US"/>
        </w:rPr>
        <w:t>but they could not find a way through the crowd:</w:t>
      </w:r>
      <w:r>
        <w:rPr>
          <w:lang w:val="en_US" w:bidi="en_US"/>
        </w:rPr>
        <w:t xml:space="preserve"> This part of the verse explains the reason for the action in 5:19b. Because the men could not get near Jesus by going through the crowd, they brought the paralyzed man to him in a different way. Another way to translate this is:</w:t>
      </w:r>
    </w:p>
    <w:p>
      <w:pPr/>
      <w:r>
        <w:rPr>
          <w:lang w:val="en_US" w:bidi="en_US"/>
        </w:rPr>
      </w:r>
      <w:r>
        <w:rPr>
          <w:lang w:val="en_US" w:bidi="en_US"/>
        </w:rPr>
        <w:t>They could not get him to Jesus because of the crowd. So….</w:t>
      </w:r>
    </w:p>
    <w:p>
      <w:pPr/>
      <w:r>
        <w:rPr>
          <w:lang w:val="en_US" w:bidi="en_US"/>
        </w:rPr>
      </w:r>
      <w:r>
        <w:rPr>
          <w:lang w:val="en_US" w:bidi="en_US"/>
        </w:rPr>
        <w:t>It may be more natural in your language to state the reason why they were unable to get to Jesus first. If so, reorder the two parts of this phrase. For example:</w:t>
      </w:r>
    </w:p>
    <w:p>
      <w:pPr/>
      <w:r>
        <w:rPr>
          <w:lang w:val="en_US" w:bidi="en_US"/>
        </w:rPr>
      </w:r>
      <w:r>
        <w:rPr>
          <w:lang w:val="en_US" w:bidi="en_US"/>
        </w:rPr>
        <w:t>Because of the crowd, however, they could find no way to take him in. (GNT)</w:t>
      </w:r>
    </w:p>
    <w:p>
      <w:pPr/>
      <w:r>
        <w:rPr>
          <w:lang w:val="en_US" w:bidi="en_US"/>
        </w:rPr>
      </w:r>
      <w:r>
        <w:rPr>
          <w:lang w:val="en_US" w:bidi="en_US"/>
        </w:rPr>
        <w:t>But because of the crowd, they could not get him to Jesus. (CEV)</w:t>
      </w:r>
    </w:p>
    <w:p>
      <w:pPr/>
      <w:r>
        <w:rPr>
          <w:lang w:val="en_US" w:bidi="en_US"/>
        </w:rPr>
      </w:r>
      <w:r>
        <w:rPr>
          <w:b/>
          <w:lang w:val="en_US" w:bidi="en_US"/>
        </w:rPr>
        <w:t>through the crowd:</w:t>
      </w:r>
      <w:r>
        <w:rPr>
          <w:lang w:val="en_US" w:bidi="en_US"/>
        </w:rPr>
        <w:t xml:space="preserve"> The phrase </w:t>
      </w:r>
      <w:r>
        <w:rPr>
          <w:i/>
          <w:lang w:val="en_US" w:bidi="en_US"/>
        </w:rPr>
        <w:t>through the crowd</w:t>
      </w:r>
      <w:r>
        <w:rPr>
          <w:lang w:val="en_US" w:bidi="en_US"/>
        </w:rPr>
        <w:t xml:space="preserve"> indicates that the men could not enter because so many people were at the door. The phrase does not imply that the men were afraid that the people would criticize them or forbid them to bring the paralyzed man to Jesus.</w:t>
      </w:r>
    </w:p>
    <w:p>
      <w:pPr/>
      <w:r>
        <w:rPr>
          <w:lang w:val="en_US" w:bidi="en_US"/>
        </w:rPr>
      </w:r>
      <w:r>
        <w:rPr>
          <w:lang w:val="en_US" w:bidi="en_US"/>
        </w:rPr>
        <w:t>In some languages you may need to use a more specific phrase. For example:</w:t>
      </w:r>
    </w:p>
    <w:p>
      <w:pPr/>
      <w:r>
        <w:rPr>
          <w:lang w:val="en_US" w:bidi="en_US"/>
        </w:rPr>
      </w:r>
      <w:r>
        <w:rPr>
          <w:lang w:val="en_US" w:bidi="en_US"/>
        </w:rPr>
        <w:t>because it was full of people</w:t>
      </w:r>
    </w:p>
    <w:p>
      <w:pPr/>
      <w:r>
        <w:rPr>
          <w:lang w:val="en_US" w:bidi="en_US"/>
        </w:rPr>
      </w:r>
      <w:r>
        <w:rPr>
          <w:lang w:val="en_US" w:bidi="en_US"/>
        </w:rPr>
        <w:t>since the people were so tightly packed there at the house</w:t>
      </w:r>
    </w:p>
    <w:p>
      <w:pPr>
        <w:pStyle w:val="Heading5"/>
      </w:pPr>
      <w:r>
        <w:rPr>
          <w:lang w:val="en_US" w:bidi="en_US"/>
        </w:rPr>
        <w:t>5:19b</w:t>
      </w:r>
    </w:p>
    <w:p>
      <w:pPr/>
      <w:r>
        <w:rPr>
          <w:lang w:val="en_US" w:bidi="en_US"/>
        </w:rPr>
      </w:r>
      <w:r>
        <w:rPr>
          <w:b/>
          <w:lang w:val="en_US" w:bidi="en_US"/>
        </w:rPr>
        <w:t>So they went up on the roof</w:t>
      </w:r>
    </w:p>
    <w:p>
      <w:pPr>
        <w:pStyle w:val="ListBullet"/>
        <w:spacing w:line="240" w:lineRule="auto"/>
        <w:ind w:left="720"/>
      </w:pPr>
      <w:r>
        <w:rPr>
          <w:lang w:val="en_US" w:bidi="en_US"/>
        </w:rPr>
      </w:r>
      <w:r>
        <w:rPr>
          <w:lang w:val="en_US" w:bidi="en_US"/>
        </w:rPr>
        <w:t>So</w:t>
      </w:r>
      <w:r>
        <w:rPr>
          <w:lang w:val="en_US" w:bidi="en_US"/>
        </w:rPr>
        <w:t xml:space="preserve"> they went up on the roof.</w:t>
      </w:r>
    </w:p>
    <w:p>
      <w:pPr>
        <w:pStyle w:val="ListBullet"/>
        <w:spacing w:line="240" w:lineRule="auto"/>
        <w:ind w:left="720"/>
      </w:pPr>
      <w:r>
        <w:rPr>
          <w:lang w:val="en_US" w:bidi="en_US"/>
        </w:rPr>
      </w:r>
      <w:r>
        <w:rPr>
          <w:lang w:val="en_US" w:bidi="en_US"/>
        </w:rPr>
        <w:t>So instead</w:t>
      </w:r>
      <w:r>
        <w:rPr>
          <w:lang w:val="en_US" w:bidi="en_US"/>
        </w:rPr>
        <w:t xml:space="preserve"> they climbed </w:t>
      </w:r>
      <w:r>
        <w:rPr>
          <w:lang w:val="en_US" w:bidi="en_US"/>
        </w:rPr>
        <w:t>the stairs</w:t>
      </w:r>
      <w:r>
        <w:rPr>
          <w:lang w:val="en_US" w:bidi="en_US"/>
        </w:rPr>
        <w:t xml:space="preserve"> onto the </w:t>
      </w:r>
      <w:r>
        <w:rPr>
          <w:lang w:val="en_US" w:bidi="en_US"/>
        </w:rPr>
        <w:t>flat</w:t>
      </w:r>
      <w:r>
        <w:rPr>
          <w:lang w:val="en_US" w:bidi="en_US"/>
        </w:rPr>
        <w:t xml:space="preserve"> roof.</w:t>
      </w:r>
    </w:p>
    <w:p>
      <w:pPr/>
      <w:r>
        <w:rPr>
          <w:lang w:val="en_US" w:bidi="en_US"/>
        </w:rPr>
      </w:r>
      <w:r>
        <w:rPr>
          <w:b/>
          <w:lang w:val="en_US" w:bidi="en_US"/>
        </w:rPr>
        <w:t>So:</w:t>
      </w:r>
      <w:r>
        <w:rPr>
          <w:lang w:val="en_US" w:bidi="en_US"/>
        </w:rPr>
        <w:t xml:space="preserve"> Verse 5:19b explains what the men did because they could not get into the house through the door. In some languages it may be natural to express this as a result, as the BSB does by saying </w:t>
      </w:r>
      <w:r>
        <w:rPr>
          <w:i/>
          <w:lang w:val="en_US" w:bidi="en_US"/>
        </w:rPr>
        <w:t>So</w:t>
      </w:r>
      <w:r>
        <w:rPr>
          <w:lang w:val="en_US" w:bidi="en_US"/>
        </w:rPr>
        <w:t>. There is actually no conjunction in Greek. Another way to translate this is:</w:t>
      </w:r>
    </w:p>
    <w:p>
      <w:pPr/>
      <w:r>
        <w:rPr>
          <w:lang w:val="en_US" w:bidi="en_US"/>
        </w:rPr>
      </w:r>
      <w:r>
        <w:rPr>
          <w:lang w:val="en_US" w:bidi="en_US"/>
        </w:rPr>
        <w:t>When they could not find a way to do this…, they went up (NIV)</w:t>
      </w:r>
    </w:p>
    <w:p>
      <w:pPr/>
      <w:r>
        <w:rPr>
          <w:lang w:val="en_US" w:bidi="en_US"/>
        </w:rPr>
      </w:r>
      <w:r>
        <w:rPr>
          <w:b/>
          <w:lang w:val="en_US" w:bidi="en_US"/>
        </w:rPr>
        <w:t>they went up on the roof:</w:t>
      </w:r>
      <w:r>
        <w:rPr>
          <w:lang w:val="en_US" w:bidi="en_US"/>
        </w:rPr>
        <w:t xml:space="preserve"> The original readers of the Gospel of Luke understood that the men climbed stairs to get onto the roof. They also knew that the roof was flat and the men could walk across it. In some languages, it may be necessary to communicate some of this implied information. Some ways to do this are:</w:t>
      </w:r>
    </w:p>
    <w:p>
      <w:pPr>
        <w:pStyle w:val="ListBullet"/>
        <w:spacing w:line="240" w:lineRule="auto"/>
        <w:ind w:left="720"/>
      </w:pPr>
      <w:r>
        <w:rPr>
          <w:lang w:val="en_US" w:bidi="en_US"/>
        </w:rPr>
      </w:r>
      <w:r>
        <w:rPr>
          <w:lang w:val="en_US" w:bidi="en_US"/>
        </w:rPr>
        <w:t>Make some of the details explicit in the text. For example:</w:t>
      </w:r>
      <w:r>
        <w:rPr>
          <w:lang w:val="en_US" w:bidi="en_US"/>
        </w:rPr>
        <w:t xml:space="preserve">they went up on the </w:t>
      </w:r>
      <w:r>
        <w:rPr>
          <w:lang w:val="en_US" w:bidi="en_US"/>
        </w:rPr>
        <w:t>flat</w:t>
      </w:r>
      <w:r>
        <w:rPr>
          <w:lang w:val="en_US" w:bidi="en_US"/>
        </w:rPr>
        <w:t xml:space="preserve"> roof of the house</w:t>
      </w:r>
      <w:r>
        <w:rPr>
          <w:lang w:val="en_US" w:bidi="en_US"/>
        </w:rPr>
        <w:t xml:space="preserve">they </w:t>
      </w:r>
      <w:r>
        <w:rPr>
          <w:lang w:val="en_US" w:bidi="en_US"/>
        </w:rPr>
        <w:t>climbed the stairs</w:t>
      </w:r>
      <w:r>
        <w:rPr>
          <w:lang w:val="en_US" w:bidi="en_US"/>
        </w:rPr>
        <w:t xml:space="preserve"> </w:t>
      </w:r>
      <w:r>
        <w:rPr>
          <w:lang w:val="en_US" w:bidi="en_US"/>
        </w:rPr>
        <w:t>carrying their companion</w:t>
      </w:r>
      <w:r>
        <w:rPr>
          <w:lang w:val="en_US" w:bidi="en_US"/>
        </w:rPr>
        <w:t xml:space="preserve"> to the top of the house</w:t>
      </w:r>
    </w:p>
    <w:p>
      <w:pPr>
        <w:pStyle w:val="ListBullet"/>
        <w:spacing w:line="240" w:lineRule="auto"/>
        <w:ind w:left="720"/>
      </w:pPr>
      <w:r>
        <w:rPr>
          <w:lang w:val="en_US" w:bidi="en_US"/>
        </w:rPr>
      </w:r>
      <w:r>
        <w:rPr>
          <w:lang w:val="en_US" w:bidi="en_US"/>
        </w:rPr>
        <w:t>Use a footnote to explain how the men got onto the roof.</w:t>
      </w:r>
    </w:p>
    <w:p>
      <w:pPr>
        <w:pStyle w:val="ListBullet"/>
        <w:spacing w:line="240" w:lineRule="auto"/>
        <w:ind w:left="720"/>
      </w:pPr>
      <w:r>
        <w:rPr>
          <w:lang w:val="en_US" w:bidi="en_US"/>
        </w:rPr>
      </w:r>
      <w:r>
        <w:rPr>
          <w:lang w:val="en_US" w:bidi="en_US"/>
        </w:rPr>
        <w:t>Include a drawing of a Galilean home with a ladder or stairs</w:t>
      </w:r>
    </w:p>
    <w:p>
      <w:pPr>
        <w:pStyle w:val="Heading5"/>
      </w:pPr>
      <w:r>
        <w:rPr>
          <w:lang w:val="en_US" w:bidi="en_US"/>
        </w:rPr>
        <w:t>5:19c</w:t>
      </w:r>
    </w:p>
    <w:p>
      <w:pPr/>
      <w:r>
        <w:rPr>
          <w:lang w:val="en_US" w:bidi="en_US"/>
        </w:rPr>
      </w:r>
      <w:r>
        <w:rPr>
          <w:b/>
          <w:lang w:val="en_US" w:bidi="en_US"/>
        </w:rPr>
        <w:t>and lowered him on his mat through the tiles</w:t>
      </w:r>
    </w:p>
    <w:p>
      <w:pPr>
        <w:pStyle w:val="ListBullet"/>
        <w:spacing w:line="240" w:lineRule="auto"/>
        <w:ind w:left="720"/>
      </w:pPr>
      <w:r>
        <w:rPr>
          <w:lang w:val="en_US" w:bidi="en_US"/>
        </w:rPr>
      </w:r>
      <w:r>
        <w:rPr>
          <w:lang w:val="en_US" w:bidi="en_US"/>
        </w:rPr>
        <w:t xml:space="preserve">They </w:t>
      </w:r>
      <w:r>
        <w:rPr>
          <w:lang w:val="en_US" w:bidi="en_US"/>
        </w:rPr>
        <w:t>made a hole in the roof</w:t>
      </w:r>
      <w:r>
        <w:rPr>
          <w:lang w:val="en_US" w:bidi="en_US"/>
        </w:rPr>
        <w:t xml:space="preserve"> and let down the man on his mat through the tiles</w:t>
      </w:r>
    </w:p>
    <w:p>
      <w:pPr>
        <w:pStyle w:val="ListBullet"/>
        <w:spacing w:line="240" w:lineRule="auto"/>
        <w:ind w:left="720"/>
      </w:pPr>
      <w:r>
        <w:rPr>
          <w:lang w:val="en_US" w:bidi="en_US"/>
        </w:rPr>
      </w:r>
      <w:r>
        <w:rPr>
          <w:lang w:val="en_US" w:bidi="en_US"/>
        </w:rPr>
        <w:t xml:space="preserve">Then they </w:t>
      </w:r>
      <w:r>
        <w:rPr>
          <w:lang w:val="en_US" w:bidi="en_US"/>
        </w:rPr>
        <w:t>removed some of</w:t>
      </w:r>
      <w:r>
        <w:rPr>
          <w:lang w:val="en_US" w:bidi="en_US"/>
        </w:rPr>
        <w:t xml:space="preserve"> the </w:t>
      </w:r>
      <w:r>
        <w:rPr>
          <w:lang w:val="en_US" w:bidi="en_US"/>
        </w:rPr>
        <w:t>roof</w:t>
      </w:r>
      <w:r>
        <w:rPr>
          <w:lang w:val="en_US" w:bidi="en_US"/>
        </w:rPr>
        <w:t xml:space="preserve"> tiles and </w:t>
      </w:r>
      <w:r>
        <w:rPr>
          <w:lang w:val="en_US" w:bidi="en_US"/>
        </w:rPr>
        <w:t>tied ropes to the mat and</w:t>
      </w:r>
      <w:r>
        <w:rPr>
          <w:lang w:val="en_US" w:bidi="en_US"/>
        </w:rPr>
        <w:t xml:space="preserve"> lowered the man on the mat down through the hole </w:t>
      </w:r>
      <w:r>
        <w:rPr>
          <w:lang w:val="en_US" w:bidi="en_US"/>
        </w:rPr>
        <w:t>into the house</w:t>
      </w:r>
      <w:r>
        <w:rPr>
          <w:lang w:val="en_US" w:bidi="en_US"/>
        </w:rPr>
        <w:t>.</w:t>
      </w:r>
    </w:p>
    <w:p>
      <w:pPr/>
      <w:r>
        <w:rPr>
          <w:lang w:val="en_US" w:bidi="en_US"/>
        </w:rPr>
      </w:r>
      <w:r>
        <w:rPr>
          <w:b/>
          <w:lang w:val="en_US" w:bidi="en_US"/>
        </w:rPr>
        <w:t>and lowered him on his mat through the tiles:</w:t>
      </w:r>
      <w:r>
        <w:rPr>
          <w:lang w:val="en_US" w:bidi="en_US"/>
        </w:rPr>
        <w:t xml:space="preserve"> These words imply that the men first made a hole in the roof by removing some of the tiles. In some languages it may be necessary to make this explicit. For example:</w:t>
      </w:r>
    </w:p>
    <w:p>
      <w:pPr/>
      <w:r>
        <w:rPr>
          <w:lang w:val="en_US" w:bidi="en_US"/>
        </w:rPr>
      </w:r>
      <w:r>
        <w:rPr>
          <w:lang w:val="en_US" w:bidi="en_US"/>
        </w:rPr>
        <w:t>They made an opening in the tiles and let the man down on his stretcher (GW)</w:t>
      </w:r>
    </w:p>
    <w:p>
      <w:pPr/>
      <w:r>
        <w:rPr>
          <w:lang w:val="en_US" w:bidi="en_US"/>
        </w:rPr>
      </w:r>
      <w:r>
        <w:rPr>
          <w:lang w:val="en_US" w:bidi="en_US"/>
        </w:rPr>
        <w:t>and took off some tiles. Then they lowered the sick man on his mat (NLT)</w:t>
      </w:r>
    </w:p>
    <w:p>
      <w:pPr/>
      <w:r>
        <w:rPr>
          <w:lang w:val="en_US" w:bidi="en_US"/>
        </w:rPr>
      </w:r>
      <w:r>
        <w:rPr>
          <w:lang w:val="en_US" w:bidi="en_US"/>
        </w:rPr>
        <w:t xml:space="preserve">and then they removed some of the tiles </w:t>
      </w:r>
      <w:r>
        <w:rPr>
          <w:lang w:val="en_US" w:bidi="en_US"/>
        </w:rPr>
        <w:t>to make a hole in the roof</w:t>
      </w:r>
      <w:r>
        <w:rPr>
          <w:lang w:val="en_US" w:bidi="en_US"/>
        </w:rPr>
        <w:t xml:space="preserve"> and lowered him on his mat down through the hole</w:t>
      </w:r>
    </w:p>
    <w:p>
      <w:pPr/>
      <w:r>
        <w:rPr>
          <w:lang w:val="en_US" w:bidi="en_US"/>
        </w:rPr>
      </w:r>
      <w:r>
        <w:rPr>
          <w:lang w:val="en_US" w:bidi="en_US"/>
        </w:rPr>
        <w:t>Before the men lowered the paralyzed man through the hole, they probably attached ropes to the four corners of the mat. Then men on the roof could hold onto the ropes and slowly let the man down.</w:t>
      </w:r>
    </w:p>
    <w:p>
      <w:pPr/>
      <w:r>
        <w:rPr>
          <w:lang w:val="en_US" w:bidi="en_US"/>
        </w:rPr>
      </w:r>
      <w:r>
        <w:rPr>
          <w:b/>
          <w:lang w:val="en_US" w:bidi="en_US"/>
        </w:rPr>
        <w:t>through the tiles:</w:t>
      </w:r>
      <w:r>
        <w:rPr>
          <w:lang w:val="en_US" w:bidi="en_US"/>
        </w:rPr>
        <w:t xml:space="preserve"> The tiles were pieces of baked clay or brick. Builders arranged these tiles in rows on top of a house to make a roof. People could easily remove a group of these tiles and thus make a hole in the roof.</w:t>
      </w:r>
    </w:p>
    <w:p>
      <w:pPr/>
      <w:r>
        <w:rPr>
          <w:lang w:val="en_US" w:bidi="en_US"/>
        </w:rPr>
      </w:r>
      <w:r>
        <w:rPr>
          <w:lang w:val="en_US" w:bidi="en_US"/>
        </w:rPr>
        <w:t>If people in your culture do not use roof tiles, translate this more generally, for example:</w:t>
      </w:r>
    </w:p>
    <w:p>
      <w:pPr/>
      <w:r>
        <w:rPr>
          <w:lang w:val="en_US" w:bidi="en_US"/>
        </w:rPr>
      </w:r>
      <w:r>
        <w:rPr>
          <w:lang w:val="en_US" w:bidi="en_US"/>
        </w:rPr>
        <w:t xml:space="preserve">through </w:t>
      </w:r>
      <w:r>
        <w:rPr>
          <w:u w:val="single"/>
          <w:lang w:val="en_US" w:bidi="en_US"/>
        </w:rPr>
        <w:t>a/the hole</w:t>
      </w:r>
      <w:r>
        <w:rPr>
          <w:lang w:val="en_US" w:bidi="en_US"/>
        </w:rPr>
        <w:t xml:space="preserve"> in the roof</w:t>
      </w:r>
    </w:p>
    <w:p>
      <w:pPr>
        <w:pStyle w:val="Heading5"/>
      </w:pPr>
      <w:r>
        <w:rPr>
          <w:lang w:val="en_US" w:bidi="en_US"/>
        </w:rPr>
        <w:t>5:19d</w:t>
      </w:r>
    </w:p>
    <w:p>
      <w:pPr/>
      <w:r>
        <w:rPr>
          <w:lang w:val="en_US" w:bidi="en_US"/>
        </w:rPr>
      </w:r>
      <w:r>
        <w:rPr>
          <w:b/>
          <w:lang w:val="en_US" w:bidi="en_US"/>
        </w:rPr>
        <w:t>into the middle of the crowd, right in front of Jesus.</w:t>
      </w:r>
    </w:p>
    <w:p>
      <w:pPr>
        <w:pStyle w:val="ListBullet"/>
        <w:spacing w:line="240" w:lineRule="auto"/>
        <w:ind w:left="720"/>
      </w:pPr>
      <w:r>
        <w:rPr>
          <w:lang w:val="en_US" w:bidi="en_US"/>
        </w:rPr>
      </w:r>
      <w:r>
        <w:rPr>
          <w:lang w:val="en_US" w:bidi="en_US"/>
        </w:rPr>
        <w:t>right where Jesus was surrounded by the people.</w:t>
      </w:r>
    </w:p>
    <w:p>
      <w:pPr>
        <w:pStyle w:val="ListBullet"/>
        <w:spacing w:line="240" w:lineRule="auto"/>
        <w:ind w:left="720"/>
      </w:pPr>
      <w:r>
        <w:rPr>
          <w:lang w:val="en_US" w:bidi="en_US"/>
        </w:rPr>
      </w:r>
      <w:r>
        <w:rPr>
          <w:lang w:val="en_US" w:bidi="en_US"/>
        </w:rPr>
        <w:t>They lowered him</w:t>
      </w:r>
      <w:r>
        <w:rPr>
          <w:lang w:val="en_US" w:bidi="en_US"/>
        </w:rPr>
        <w:t xml:space="preserve"> down into the crowd of people near where Jesus was.</w:t>
      </w:r>
    </w:p>
    <w:p>
      <w:pPr/>
      <w:r>
        <w:rPr>
          <w:lang w:val="en_US" w:bidi="en_US"/>
        </w:rPr>
      </w:r>
      <w:r>
        <w:rPr>
          <w:b/>
          <w:lang w:val="en_US" w:bidi="en_US"/>
        </w:rPr>
        <w:t>into the middle of the crowd:</w:t>
      </w:r>
      <w:r>
        <w:rPr>
          <w:lang w:val="en_US" w:bidi="en_US"/>
        </w:rPr>
        <w:t xml:space="preserve"> The Greek phrase that the BSB translates as </w:t>
      </w:r>
      <w:r>
        <w:rPr>
          <w:i/>
          <w:lang w:val="en_US" w:bidi="en_US"/>
        </w:rPr>
        <w:t>into the middle of the crowd</w:t>
      </w:r>
      <w:r>
        <w:rPr>
          <w:lang w:val="en_US" w:bidi="en_US"/>
        </w:rPr>
        <w:t xml:space="preserve"> is literally “into the middle/center.” The BSB has supplied the words </w:t>
      </w:r>
      <w:r>
        <w:rPr>
          <w:i/>
          <w:lang w:val="en_US" w:bidi="en_US"/>
        </w:rPr>
        <w:t>of the crowd</w:t>
      </w:r>
      <w:r>
        <w:rPr>
          <w:lang w:val="en_US" w:bidi="en_US"/>
        </w:rPr>
        <w:t xml:space="preserve">. The </w:t>
      </w:r>
      <w:r>
        <w:rPr>
          <w:i/>
          <w:lang w:val="en_US" w:bidi="en_US"/>
        </w:rPr>
        <w:t>middle</w:t>
      </w:r>
      <w:r>
        <w:rPr>
          <w:lang w:val="en_US" w:bidi="en_US"/>
        </w:rPr>
        <w:t xml:space="preserve"> could also refer to the middle of the room.</w:t>
      </w:r>
    </w:p>
    <w:p>
      <w:pPr/>
      <w:r>
        <w:rPr>
          <w:lang w:val="en_US" w:bidi="en_US"/>
        </w:rPr>
      </w:r>
      <w:r>
        <w:rPr>
          <w:lang w:val="en_US" w:bidi="en_US"/>
        </w:rPr>
        <w:t>Some other ways to translate this are:</w:t>
      </w:r>
    </w:p>
    <w:p>
      <w:pPr/>
      <w:r>
        <w:rPr>
          <w:lang w:val="en_US" w:bidi="en_US"/>
        </w:rPr>
      </w:r>
      <w:r>
        <w:rPr>
          <w:lang w:val="en_US" w:bidi="en_US"/>
        </w:rPr>
        <w:t>in the middle of the room (CEV)</w:t>
      </w:r>
    </w:p>
    <w:p>
      <w:pPr/>
      <w:r>
        <w:rPr>
          <w:lang w:val="en_US" w:bidi="en_US"/>
        </w:rPr>
      </w:r>
      <w:r>
        <w:rPr>
          <w:lang w:val="en_US" w:bidi="en_US"/>
        </w:rPr>
        <w:t>among the people (GW)</w:t>
      </w:r>
    </w:p>
    <w:p>
      <w:pPr/>
      <w:r>
        <w:rPr>
          <w:lang w:val="en_US" w:bidi="en_US"/>
        </w:rPr>
      </w:r>
      <w:r>
        <w:rPr>
          <w:lang w:val="en_US" w:bidi="en_US"/>
        </w:rPr>
        <w:t>into the crowd (NLT)</w:t>
      </w:r>
    </w:p>
    <w:p>
      <w:pPr/>
      <w:r>
        <w:rPr>
          <w:lang w:val="en_US" w:bidi="en_US"/>
        </w:rPr>
      </w:r>
      <w:r>
        <w:rPr>
          <w:lang w:val="en_US" w:bidi="en_US"/>
        </w:rPr>
        <w:t>Luke did not say whether the men lowered the paralyzed man all the way to the ground.</w:t>
      </w:r>
    </w:p>
    <w:p>
      <w:pPr/>
      <w:r>
        <w:rPr>
          <w:lang w:val="en_US" w:bidi="en_US"/>
        </w:rPr>
      </w:r>
      <w:r>
        <w:rPr>
          <w:b/>
          <w:lang w:val="en_US" w:bidi="en_US"/>
        </w:rPr>
        <w:t>right in front of Jesus:</w:t>
      </w:r>
      <w:r>
        <w:rPr>
          <w:lang w:val="en_US" w:bidi="en_US"/>
        </w:rPr>
        <w:t xml:space="preserve"> The Greek phrase that the BSB translates as </w:t>
      </w:r>
      <w:r>
        <w:rPr>
          <w:i/>
          <w:lang w:val="en_US" w:bidi="en_US"/>
        </w:rPr>
        <w:t>right in front of Jesus</w:t>
      </w:r>
      <w:r>
        <w:rPr>
          <w:lang w:val="en_US" w:bidi="en_US"/>
        </w:rPr>
        <w:t xml:space="preserve"> is literally “before Jesus.”</w:t>
      </w:r>
    </w:p>
    <w:p>
      <w:pPr>
        <w:pStyle w:val="Heading6"/>
      </w:pPr>
      <w:r>
        <w:rPr>
          <w:b/>
          <w:lang w:val="en_US" w:bidi="en_US"/>
        </w:rPr>
        <w:t>General Comment on 5:19a–d</w:t>
      </w:r>
    </w:p>
    <w:p>
      <w:pPr/>
      <w:r>
        <w:rPr>
          <w:lang w:val="en_US" w:bidi="en_US"/>
        </w:rPr>
      </w:r>
      <w:r>
        <w:rPr>
          <w:lang w:val="en_US" w:bidi="en_US"/>
        </w:rPr>
        <w:t>The main verbs in this verse are “went up” (5:19b) and “lowered” (5:19c). The men did these actions because they could not find a way to enter the house (5:19a). The reason they could not enter the house is explained as “because of the crowd” (5:19a). Consider if your language has a natural order for giving the reason for an action and then the results. Here is one way of giving the reason first:</w:t>
      </w:r>
    </w:p>
    <w:p>
      <w:pPr/>
      <w:r>
        <w:rPr>
          <w:lang w:val="en_US" w:bidi="en_US"/>
        </w:rPr>
      </w:r>
      <w:r>
        <w:rPr>
          <w:vertAlign w:val="superscript"/>
          <w:lang w:val="en_US" w:bidi="en_US"/>
        </w:rPr>
        <w:t>19a</w:t>
      </w:r>
      <w:r>
        <w:rPr>
          <w:lang w:val="en_US" w:bidi="en_US"/>
        </w:rPr>
        <w:t xml:space="preserve">But because there were so many people there, they could not find a way in. </w:t>
      </w:r>
      <w:r>
        <w:rPr>
          <w:vertAlign w:val="superscript"/>
          <w:lang w:val="en_US" w:bidi="en_US"/>
        </w:rPr>
        <w:t>19b</w:t>
      </w:r>
      <w:r>
        <w:rPr>
          <w:lang w:val="en_US" w:bidi="en_US"/>
        </w:rPr>
        <w:t xml:space="preserve">So they went up on the roof and </w:t>
      </w:r>
      <w:r>
        <w:rPr>
          <w:vertAlign w:val="superscript"/>
          <w:lang w:val="en_US" w:bidi="en_US"/>
        </w:rPr>
        <w:t>19c</w:t>
      </w:r>
      <w:r>
        <w:rPr>
          <w:lang w:val="en_US" w:bidi="en_US"/>
        </w:rPr>
        <w:t>lowered the man (NCV)</w:t>
      </w:r>
    </w:p>
    <w:p>
      <w:pPr/>
      <w:r>
        <w:rPr>
          <w:lang w:val="en_US" w:bidi="en_US"/>
        </w:rPr>
      </w:r>
      <w:r>
        <w:rPr>
          <w:lang w:val="en_US" w:bidi="en_US"/>
        </w:rPr>
        <w:t>Here is an example of giving the results first:</w:t>
      </w:r>
    </w:p>
    <w:p>
      <w:pPr/>
      <w:r>
        <w:rPr>
          <w:lang w:val="en_US" w:bidi="en_US"/>
        </w:rPr>
      </w:r>
      <w:r>
        <w:rPr>
          <w:vertAlign w:val="superscript"/>
          <w:lang w:val="en_US" w:bidi="en_US"/>
        </w:rPr>
        <w:t>19b</w:t>
      </w:r>
      <w:r>
        <w:rPr>
          <w:lang w:val="en_US" w:bidi="en_US"/>
        </w:rPr>
        <w:t xml:space="preserve">They went up on the roof and </w:t>
      </w:r>
      <w:r>
        <w:rPr>
          <w:vertAlign w:val="superscript"/>
          <w:lang w:val="en_US" w:bidi="en_US"/>
        </w:rPr>
        <w:t>19c</w:t>
      </w:r>
      <w:r>
        <w:rPr>
          <w:lang w:val="en_US" w:bidi="en_US"/>
        </w:rPr>
        <w:t xml:space="preserve">lowered him on his mat into the presence of Jesus. </w:t>
      </w:r>
      <w:r>
        <w:rPr>
          <w:vertAlign w:val="superscript"/>
          <w:lang w:val="en_US" w:bidi="en_US"/>
        </w:rPr>
        <w:t>19a</w:t>
      </w:r>
      <w:r>
        <w:rPr>
          <w:lang w:val="en_US" w:bidi="en_US"/>
        </w:rPr>
        <w:t>They did this</w:t>
      </w:r>
      <w:r>
        <w:rPr>
          <w:lang w:val="en_US" w:bidi="en_US"/>
        </w:rPr>
        <w:t xml:space="preserve"> because the crowd of people </w:t>
      </w:r>
      <w:r>
        <w:rPr>
          <w:lang w:val="en_US" w:bidi="en_US"/>
        </w:rPr>
        <w:t>in/around the doorway</w:t>
      </w:r>
      <w:r>
        <w:rPr>
          <w:lang w:val="en_US" w:bidi="en_US"/>
        </w:rPr>
        <w:t xml:space="preserve"> made it impossible to enter the house.</w:t>
      </w:r>
      <w:r>
        <w:rPr>
          <w:lang w:val="en_US" w:bidi="en_US"/>
        </w:rPr>
      </w:r>
      <w:r>
        <w:rPr>
          <w:lang w:val="en_US" w:bidi="en_US"/>
        </w:rPr>
      </w:r>
    </w:p>
    <w:p>
      <w:pPr/>
      <w:r>
        <w:rPr>
          <w:lang w:val="en_US" w:bidi="en_US"/>
        </w:rPr>
      </w:r>
    </w:p>
    <w:p>
      <w:pPr>
        <w:pStyle w:val="Heading2"/>
      </w:pPr>
      <w:r>
        <w:rPr>
          <w:lang w:val="en_US" w:bidi="en_US"/>
        </w:rPr>
        <w:t>Luke 5:20</w:t>
      </w:r>
      <w:r>
        <w:rPr>
          <w:lang w:val="en_US" w:bidi="en_US"/>
        </w:rPr>
      </w:r>
    </w:p>
    <w:p>
      <w:pPr>
        <w:pStyle w:val="Heading4"/>
      </w:pPr>
      <w:r>
        <w:rPr>
          <w:lang w:val="en_US" w:bidi="en_US"/>
        </w:rPr>
        <w:t>Section 5:17–26: Jesus healed a paralyzed man</w:t>
      </w:r>
    </w:p>
    <w:p>
      <w:pPr/>
      <w:r>
        <w:rPr>
          <w:lang w:val="en_US" w:bidi="en_US"/>
        </w:rPr>
      </w:r>
      <w:r>
        <w:rPr>
          <w:lang w:val="en_US" w:bidi="en_US"/>
        </w:rPr>
        <w:t>In this section, Luke focused on Jesus’ authority. Jesus used his authority from God to forgive the paralyzed man’s sins. The religious leaders questioned that authority. Jesus proved his authority to forgive sin when he healed the paralyzed man.</w:t>
      </w:r>
    </w:p>
    <w:p>
      <w:pPr/>
      <w:r>
        <w:rPr>
          <w:lang w:val="en_US" w:bidi="en_US"/>
        </w:rPr>
      </w:r>
      <w:r>
        <w:rPr>
          <w:lang w:val="en_US" w:bidi="en_US"/>
        </w:rPr>
        <w:t>Some other possible headings for this section are:</w:t>
      </w:r>
    </w:p>
    <w:p>
      <w:pPr/>
      <w:r>
        <w:rPr>
          <w:lang w:val="en_US" w:bidi="en_US"/>
        </w:rPr>
      </w:r>
      <w:r>
        <w:rPr>
          <w:lang w:val="en_US" w:bidi="en_US"/>
        </w:rPr>
        <w:t>Jesus showed that he had authority to forgive sins</w:t>
      </w:r>
    </w:p>
    <w:p>
      <w:pPr/>
      <w:r>
        <w:rPr>
          <w:lang w:val="en_US" w:bidi="en_US"/>
        </w:rPr>
      </w:r>
      <w:r>
        <w:rPr>
          <w:lang w:val="en_US" w:bidi="en_US"/>
        </w:rPr>
        <w:t>Jesus forgave the sins of a paralyzed man and healed him</w:t>
      </w:r>
    </w:p>
    <w:p>
      <w:pPr/>
      <w:r>
        <w:rPr>
          <w:lang w:val="en_US" w:bidi="en_US"/>
        </w:rPr>
      </w:r>
      <w:r>
        <w:rPr>
          <w:lang w:val="en_US" w:bidi="en_US"/>
        </w:rPr>
        <w:t>There are parallel passages for this section in Matthew 9:1–8 and Mark 2:1–12.</w:t>
      </w:r>
    </w:p>
    <w:p>
      <w:pPr>
        <w:pStyle w:val="Heading5"/>
      </w:pPr>
      <w:r>
        <w:rPr>
          <w:lang w:val="en_US" w:bidi="en_US"/>
        </w:rPr>
        <w:t>5:20a</w:t>
      </w:r>
    </w:p>
    <w:p>
      <w:pPr/>
      <w:r>
        <w:rPr>
          <w:lang w:val="en_US" w:bidi="en_US"/>
        </w:rPr>
      </w:r>
      <w:r>
        <w:rPr>
          <w:b/>
          <w:lang w:val="en_US" w:bidi="en_US"/>
        </w:rPr>
        <w:t>When Jesus saw their faith,</w:t>
      </w:r>
    </w:p>
    <w:p>
      <w:pPr>
        <w:pStyle w:val="ListBullet"/>
        <w:spacing w:line="240" w:lineRule="auto"/>
        <w:ind w:left="720"/>
      </w:pPr>
      <w:r>
        <w:rPr>
          <w:lang w:val="en_US" w:bidi="en_US"/>
        </w:rPr>
      </w:r>
      <w:r>
        <w:rPr>
          <w:lang w:val="en_US" w:bidi="en_US"/>
        </w:rPr>
        <w:t>¶ Jesus saw/realized that they trusted him,</w:t>
      </w:r>
    </w:p>
    <w:p>
      <w:pPr>
        <w:pStyle w:val="ListBullet"/>
        <w:spacing w:line="240" w:lineRule="auto"/>
        <w:ind w:left="720"/>
      </w:pPr>
      <w:r>
        <w:rPr>
          <w:lang w:val="en_US" w:bidi="en_US"/>
        </w:rPr>
      </w:r>
      <w:r>
        <w:rPr>
          <w:lang w:val="en_US" w:bidi="en_US"/>
        </w:rPr>
        <w:t xml:space="preserve">¶ When Jesus knew/understood that they believed </w:t>
      </w:r>
      <w:r>
        <w:rPr>
          <w:lang w:val="en_US" w:bidi="en_US"/>
        </w:rPr>
        <w:t>that he could heal the man</w:t>
      </w:r>
      <w:r>
        <w:rPr>
          <w:lang w:val="en_US" w:bidi="en_US"/>
        </w:rPr>
        <w:t>,</w:t>
      </w:r>
    </w:p>
    <w:p>
      <w:pPr/>
      <w:r>
        <w:rPr>
          <w:lang w:val="en_US" w:bidi="en_US"/>
        </w:rPr>
      </w:r>
      <w:r>
        <w:rPr>
          <w:b/>
          <w:lang w:val="en_US" w:bidi="en_US"/>
        </w:rPr>
        <w:t>When Jesus saw their faith:</w:t>
      </w:r>
      <w:r>
        <w:rPr>
          <w:lang w:val="en_US" w:bidi="en_US"/>
        </w:rPr>
        <w:t xml:space="preserve"> The phrase </w:t>
      </w:r>
      <w:r>
        <w:rPr>
          <w:i/>
          <w:lang w:val="en_US" w:bidi="en_US"/>
        </w:rPr>
        <w:t>Jesus saw their faith</w:t>
      </w:r>
      <w:r>
        <w:rPr>
          <w:lang w:val="en_US" w:bidi="en_US"/>
        </w:rPr>
        <w:t xml:space="preserve"> means “Jesus realized that they had faith.” Jesus saw what the men did and understood from it that they had confidence in him. They trusted him to heal the paralyzed man.</w:t>
      </w:r>
    </w:p>
    <w:p>
      <w:pPr/>
      <w:r>
        <w:rPr>
          <w:lang w:val="en_US" w:bidi="en_US"/>
        </w:rPr>
      </w:r>
      <w:r>
        <w:rPr>
          <w:b/>
          <w:lang w:val="en_US" w:bidi="en_US"/>
        </w:rPr>
        <w:t>their faith:</w:t>
      </w:r>
      <w:r>
        <w:rPr>
          <w:lang w:val="en_US" w:bidi="en_US"/>
        </w:rPr>
        <w:t xml:space="preserve"> The phrase </w:t>
      </w:r>
      <w:r>
        <w:rPr>
          <w:i/>
          <w:lang w:val="en_US" w:bidi="en_US"/>
        </w:rPr>
        <w:t>their faith</w:t>
      </w:r>
      <w:r>
        <w:rPr>
          <w:lang w:val="en_US" w:bidi="en_US"/>
        </w:rPr>
        <w:t xml:space="preserve"> probably refers to the faith of the whole group who had come to Jesus. It probably includes both the faith of the man on the mat and the faith of his friends who had brought him.</w:t>
      </w:r>
    </w:p>
    <w:p>
      <w:pPr/>
      <w:r>
        <w:rPr>
          <w:lang w:val="en_US" w:bidi="en_US"/>
        </w:rPr>
      </w:r>
      <w:r>
        <w:rPr>
          <w:b/>
          <w:lang w:val="en_US" w:bidi="en_US"/>
        </w:rPr>
        <w:t>faith:</w:t>
      </w:r>
      <w:r>
        <w:rPr>
          <w:lang w:val="en_US" w:bidi="en_US"/>
        </w:rPr>
        <w:t xml:space="preserve"> The Greek word that the BSB translates as </w:t>
      </w:r>
      <w:r>
        <w:rPr>
          <w:i/>
          <w:lang w:val="en_US" w:bidi="en_US"/>
        </w:rPr>
        <w:t>faith</w:t>
      </w:r>
      <w:r>
        <w:rPr>
          <w:lang w:val="en_US" w:bidi="en_US"/>
        </w:rPr>
        <w:t xml:space="preserve"> refers here to the action of believing and trusting Jesus. The men believed that Jesus would heal the paralyzed man. In some languages, it may be more natural to translate </w:t>
      </w:r>
      <w:r>
        <w:rPr>
          <w:i/>
          <w:lang w:val="en_US" w:bidi="en_US"/>
        </w:rPr>
        <w:t>faith</w:t>
      </w:r>
      <w:r>
        <w:rPr>
          <w:lang w:val="en_US" w:bidi="en_US"/>
        </w:rPr>
        <w:t xml:space="preserve"> as a verb. If that is true in your language, you may also need to say what they believed. For example:</w:t>
      </w:r>
    </w:p>
    <w:p>
      <w:pPr/>
      <w:r>
        <w:rPr>
          <w:lang w:val="en_US" w:bidi="en_US"/>
        </w:rPr>
      </w:r>
      <w:r>
        <w:rPr>
          <w:lang w:val="en_US" w:bidi="en_US"/>
        </w:rPr>
        <w:t xml:space="preserve">Jesus realized that the paralytic and those who brought him believed </w:t>
      </w:r>
      <w:r>
        <w:rPr>
          <w:lang w:val="en_US" w:bidi="en_US"/>
        </w:rPr>
        <w:t>that he could heal the paralytic</w:t>
      </w:r>
    </w:p>
    <w:p>
      <w:pPr/>
      <w:r>
        <w:rPr>
          <w:lang w:val="en_US" w:bidi="en_US"/>
        </w:rPr>
      </w:r>
      <w:r>
        <w:rPr>
          <w:lang w:val="en_US" w:bidi="en_US"/>
        </w:rPr>
        <w:t xml:space="preserve">When Jesus understood that they trusted in him </w:t>
      </w:r>
      <w:r>
        <w:rPr>
          <w:lang w:val="en_US" w:bidi="en_US"/>
        </w:rPr>
        <w:t>to heal the paralyzed man</w:t>
      </w:r>
    </w:p>
    <w:p>
      <w:pPr/>
      <w:r>
        <w:rPr>
          <w:lang w:val="en_US" w:bidi="en_US"/>
        </w:rPr>
      </w:r>
      <w:r>
        <w:rPr>
          <w:lang w:val="en_US" w:bidi="en_US"/>
        </w:rPr>
        <w:t>See believe, Meaning 2, in the Glossary.</w:t>
      </w:r>
    </w:p>
    <w:p>
      <w:pPr>
        <w:pStyle w:val="Heading5"/>
      </w:pPr>
      <w:r>
        <w:rPr>
          <w:lang w:val="en_US" w:bidi="en_US"/>
        </w:rPr>
        <w:t>5:20b</w:t>
      </w:r>
    </w:p>
    <w:p>
      <w:pPr/>
      <w:r>
        <w:rPr>
          <w:lang w:val="en_US" w:bidi="en_US"/>
        </w:rPr>
      </w:r>
      <w:r>
        <w:rPr>
          <w:b/>
          <w:lang w:val="en_US" w:bidi="en_US"/>
        </w:rPr>
        <w:t>He said, “Friend, your sins are forgiven.”</w:t>
      </w:r>
    </w:p>
    <w:p>
      <w:pPr>
        <w:pStyle w:val="ListBullet"/>
        <w:spacing w:line="240" w:lineRule="auto"/>
        <w:ind w:left="720"/>
      </w:pPr>
      <w:r>
        <w:rPr>
          <w:lang w:val="en_US" w:bidi="en_US"/>
        </w:rPr>
      </w:r>
      <w:r>
        <w:rPr>
          <w:lang w:val="en_US" w:bidi="en_US"/>
        </w:rPr>
        <w:t>and he said, “Man, you</w:t>
      </w:r>
      <w:r>
        <w:rPr>
          <w:vertAlign w:val="superscript"/>
          <w:lang w:val="en_US" w:bidi="en_US"/>
        </w:rPr>
        <w:t>(sing)</w:t>
      </w:r>
      <w:r>
        <w:rPr>
          <w:lang w:val="en_US" w:bidi="en_US"/>
        </w:rPr>
        <w:t xml:space="preserve"> are forgiven for your sins.”</w:t>
      </w:r>
    </w:p>
    <w:p>
      <w:pPr>
        <w:pStyle w:val="ListBullet"/>
        <w:spacing w:line="240" w:lineRule="auto"/>
        <w:ind w:left="720"/>
      </w:pPr>
      <w:r>
        <w:rPr>
          <w:lang w:val="en_US" w:bidi="en_US"/>
        </w:rPr>
      </w:r>
      <w:r>
        <w:rPr>
          <w:lang w:val="en_US" w:bidi="en_US"/>
        </w:rPr>
        <w:t xml:space="preserve">he said </w:t>
      </w:r>
      <w:r>
        <w:rPr>
          <w:lang w:val="en_US" w:bidi="en_US"/>
        </w:rPr>
        <w:t>to the paralyzed man</w:t>
      </w:r>
      <w:r>
        <w:rPr>
          <w:lang w:val="en_US" w:bidi="en_US"/>
        </w:rPr>
        <w:t xml:space="preserve">, “Friend/Brother, </w:t>
      </w:r>
      <w:r>
        <w:rPr>
          <w:lang w:val="en_US" w:bidi="en_US"/>
        </w:rPr>
        <w:t>I</w:t>
      </w:r>
      <w:r>
        <w:rPr>
          <w:lang w:val="en_US" w:bidi="en_US"/>
        </w:rPr>
        <w:t xml:space="preserve"> forgive your</w:t>
      </w:r>
      <w:r>
        <w:rPr>
          <w:vertAlign w:val="superscript"/>
          <w:lang w:val="en_US" w:bidi="en_US"/>
        </w:rPr>
        <w:t>(sing)</w:t>
      </w:r>
      <w:r>
        <w:rPr>
          <w:lang w:val="en_US" w:bidi="en_US"/>
        </w:rPr>
        <w:t xml:space="preserve"> sins.”</w:t>
      </w:r>
    </w:p>
    <w:p>
      <w:pPr>
        <w:pStyle w:val="ListBullet"/>
        <w:spacing w:line="240" w:lineRule="auto"/>
        <w:ind w:left="720"/>
      </w:pPr>
      <w:r>
        <w:rPr>
          <w:lang w:val="en_US" w:bidi="en_US"/>
        </w:rPr>
      </w:r>
      <w:r>
        <w:rPr>
          <w:lang w:val="en_US" w:bidi="en_US"/>
        </w:rPr>
        <w:t>he told the man that his sins were forgiven.</w:t>
      </w:r>
    </w:p>
    <w:p>
      <w:pPr/>
      <w:r>
        <w:rPr>
          <w:lang w:val="en_US" w:bidi="en_US"/>
        </w:rPr>
      </w:r>
      <w:r>
        <w:rPr>
          <w:b/>
          <w:lang w:val="en_US" w:bidi="en_US"/>
        </w:rPr>
        <w:t>Friend:</w:t>
      </w:r>
      <w:r>
        <w:rPr>
          <w:lang w:val="en_US" w:bidi="en_US"/>
        </w:rPr>
        <w:t xml:space="preserve"> The Greek word that the BSB translates as </w:t>
      </w:r>
      <w:r>
        <w:rPr>
          <w:i/>
          <w:lang w:val="en_US" w:bidi="en_US"/>
        </w:rPr>
        <w:t>Friend</w:t>
      </w:r>
      <w:r>
        <w:rPr>
          <w:lang w:val="en_US" w:bidi="en_US"/>
        </w:rPr>
        <w:t xml:space="preserve"> is literally “man.” It was a general term that one man might use to address another. It does not mean that the paralyzed man was already a friend of Jesus. Some other ways to translate it are:</w:t>
      </w:r>
    </w:p>
    <w:p>
      <w:pPr>
        <w:pStyle w:val="ListBullet"/>
        <w:spacing w:line="240" w:lineRule="auto"/>
        <w:ind w:left="720"/>
      </w:pPr>
      <w:r>
        <w:rPr>
          <w:lang w:val="en_US" w:bidi="en_US"/>
        </w:rPr>
      </w:r>
      <w:r>
        <w:rPr>
          <w:lang w:val="en_US" w:bidi="en_US"/>
        </w:rPr>
        <w:t>Use a term of address in your language that is fairly neutral in terms of status, familiarity, and politeness.</w:t>
      </w:r>
    </w:p>
    <w:p>
      <w:pPr>
        <w:pStyle w:val="ListBullet"/>
        <w:spacing w:line="240" w:lineRule="auto"/>
        <w:ind w:left="720"/>
      </w:pPr>
      <w:r>
        <w:rPr>
          <w:lang w:val="en_US" w:bidi="en_US"/>
        </w:rPr>
      </w:r>
      <w:r>
        <w:rPr>
          <w:lang w:val="en_US" w:bidi="en_US"/>
        </w:rPr>
        <w:t>Use a term that is polite and indicates a good relationship between the speakers, if you do not have a neutral term.</w:t>
      </w:r>
    </w:p>
    <w:p>
      <w:pPr/>
      <w:r>
        <w:rPr>
          <w:lang w:val="en_US" w:bidi="en_US"/>
        </w:rPr>
      </w:r>
      <w:r>
        <w:rPr>
          <w:lang w:val="en_US" w:bidi="en_US"/>
        </w:rPr>
        <w:t>Some other ways to translate this word are:</w:t>
      </w:r>
    </w:p>
    <w:p>
      <w:pPr/>
      <w:r>
        <w:rPr>
          <w:lang w:val="en_US" w:bidi="en_US"/>
        </w:rPr>
      </w:r>
      <w:r>
        <w:rPr>
          <w:lang w:val="en_US" w:bidi="en_US"/>
        </w:rPr>
        <w:t>Young man (NLT)</w:t>
      </w:r>
    </w:p>
    <w:p>
      <w:pPr/>
      <w:r>
        <w:rPr>
          <w:lang w:val="en_US" w:bidi="en_US"/>
        </w:rPr>
      </w:r>
      <w:r>
        <w:rPr>
          <w:lang w:val="en_US" w:bidi="en_US"/>
        </w:rPr>
        <w:t>My friend (CEV)</w:t>
      </w:r>
    </w:p>
    <w:p>
      <w:pPr/>
      <w:r>
        <w:rPr>
          <w:lang w:val="en_US" w:bidi="en_US"/>
        </w:rPr>
      </w:r>
      <w:r>
        <w:rPr>
          <w:b/>
          <w:lang w:val="en_US" w:bidi="en_US"/>
        </w:rPr>
        <w:t>your sins are forgiven:</w:t>
      </w:r>
      <w:r>
        <w:rPr>
          <w:lang w:val="en_US" w:bidi="en_US"/>
        </w:rPr>
        <w:t xml:space="preserve"> The clause that the BSB translates as </w:t>
      </w:r>
      <w:r>
        <w:rPr>
          <w:i/>
          <w:lang w:val="en_US" w:bidi="en_US"/>
        </w:rPr>
        <w:t>your sins are forgiven</w:t>
      </w:r>
      <w:r>
        <w:rPr>
          <w:lang w:val="en_US" w:bidi="en_US"/>
        </w:rPr>
        <w:t xml:space="preserve"> is literally “your sins have been forgiven to you.” This clause is a passive clause. Jesus was implying that he had authority from God to forgive the paralyzed man’s sins. If it is more natural in your language to use an active verb you can say:</w:t>
      </w:r>
    </w:p>
    <w:p>
      <w:pPr/>
      <w:r>
        <w:rPr>
          <w:lang w:val="en_US" w:bidi="en_US"/>
        </w:rPr>
      </w:r>
      <w:r>
        <w:rPr>
          <w:lang w:val="en_US" w:bidi="en_US"/>
        </w:rPr>
        <w:t>I forgive your sins</w:t>
      </w:r>
      <w:r>
        <w:rPr>
          <w:lang w:val="en_US" w:bidi="en_US"/>
        </w:rPr>
        <w:t xml:space="preserve">Eugene H. Peterson, </w:t>
      </w:r>
      <w:r>
        <w:rPr>
          <w:i/>
          <w:lang w:val="en_US" w:bidi="en_US"/>
        </w:rPr>
        <w:t>The Message</w:t>
      </w:r>
      <w:r>
        <w:rPr>
          <w:lang w:val="en_US" w:bidi="en_US"/>
        </w:rPr>
        <w:t>.</w:t>
      </w:r>
    </w:p>
    <w:p>
      <w:pPr/>
      <w:r>
        <w:rPr>
          <w:lang w:val="en_US" w:bidi="en_US"/>
        </w:rPr>
      </w:r>
      <w:r>
        <w:rPr>
          <w:lang w:val="en_US" w:bidi="en_US"/>
        </w:rPr>
        <w:t xml:space="preserve">In some languages, it is more natural to say that a </w:t>
      </w:r>
      <w:r>
        <w:rPr>
          <w:u w:val="single"/>
          <w:lang w:val="en_US" w:bidi="en_US"/>
        </w:rPr>
        <w:t>person</w:t>
      </w:r>
      <w:r>
        <w:rPr>
          <w:lang w:val="en_US" w:bidi="en_US"/>
        </w:rPr>
        <w:t xml:space="preserve"> is forgiven, rather than that his </w:t>
      </w:r>
      <w:r>
        <w:rPr>
          <w:u w:val="single"/>
          <w:lang w:val="en_US" w:bidi="en_US"/>
        </w:rPr>
        <w:t>sins</w:t>
      </w:r>
      <w:r>
        <w:rPr>
          <w:lang w:val="en_US" w:bidi="en_US"/>
        </w:rPr>
        <w:t xml:space="preserve"> are forgiven. If this is the case in your language, you may need to say:</w:t>
      </w:r>
    </w:p>
    <w:p>
      <w:pPr/>
      <w:r>
        <w:rPr>
          <w:lang w:val="en_US" w:bidi="en_US"/>
        </w:rPr>
      </w:r>
      <w:r>
        <w:rPr>
          <w:u w:val="single"/>
          <w:lang w:val="en_US" w:bidi="en_US"/>
        </w:rPr>
        <w:t>you</w:t>
      </w:r>
      <w:r>
        <w:rPr>
          <w:lang w:val="en_US" w:bidi="en_US"/>
        </w:rPr>
        <w:t xml:space="preserve"> are forgiven for/of all your sins</w:t>
      </w:r>
    </w:p>
    <w:p>
      <w:pPr/>
      <w:r>
        <w:rPr>
          <w:lang w:val="en_US" w:bidi="en_US"/>
        </w:rPr>
      </w:r>
      <w:r>
        <w:rPr>
          <w:lang w:val="en_US" w:bidi="en_US"/>
        </w:rPr>
        <w:t xml:space="preserve">I forgive </w:t>
      </w:r>
      <w:r>
        <w:rPr>
          <w:u w:val="single"/>
          <w:lang w:val="en_US" w:bidi="en_US"/>
        </w:rPr>
        <w:t>you</w:t>
      </w:r>
      <w:r>
        <w:rPr>
          <w:lang w:val="en_US" w:bidi="en_US"/>
        </w:rPr>
        <w:t xml:space="preserve"> for the sins you have committed</w:t>
      </w:r>
    </w:p>
    <w:p>
      <w:pPr/>
      <w:r>
        <w:rPr>
          <w:lang w:val="en_US" w:bidi="en_US"/>
        </w:rPr>
      </w:r>
      <w:r>
        <w:rPr>
          <w:b/>
          <w:lang w:val="en_US" w:bidi="en_US"/>
        </w:rPr>
        <w:t>your sins:</w:t>
      </w:r>
      <w:r>
        <w:rPr>
          <w:lang w:val="en_US" w:bidi="en_US"/>
        </w:rPr>
        <w:t xml:space="preserve"> In this context the phrase </w:t>
      </w:r>
      <w:r>
        <w:rPr>
          <w:i/>
          <w:lang w:val="en_US" w:bidi="en_US"/>
        </w:rPr>
        <w:t>your sins</w:t>
      </w:r>
      <w:r>
        <w:rPr>
          <w:lang w:val="en_US" w:bidi="en_US"/>
        </w:rPr>
        <w:t xml:space="preserve"> refers to the paralyzed man’s offenses against God. Jesus used the word in a general way. He was not implying that the paralyzed man had offended him personally.</w:t>
      </w:r>
    </w:p>
    <w:p>
      <w:pPr/>
      <w:r>
        <w:rPr>
          <w:lang w:val="en_US" w:bidi="en_US"/>
        </w:rPr>
      </w:r>
      <w:r>
        <w:rPr>
          <w:lang w:val="en_US" w:bidi="en_US"/>
        </w:rPr>
        <w:t>If this is not clear in your language, it may be necessary to make it explicit. For example:</w:t>
      </w:r>
    </w:p>
    <w:p>
      <w:pPr/>
      <w:r>
        <w:rPr>
          <w:lang w:val="en_US" w:bidi="en_US"/>
        </w:rPr>
      </w:r>
      <w:r>
        <w:rPr>
          <w:lang w:val="en_US" w:bidi="en_US"/>
        </w:rPr>
        <w:t xml:space="preserve">your sins </w:t>
      </w:r>
      <w:r>
        <w:rPr>
          <w:lang w:val="en_US" w:bidi="en_US"/>
        </w:rPr>
        <w:t>against God</w:t>
      </w:r>
    </w:p>
    <w:p>
      <w:pPr/>
      <w:r>
        <w:rPr>
          <w:lang w:val="en_US" w:bidi="en_US"/>
        </w:rPr>
      </w:r>
      <w:r>
        <w:rPr>
          <w:b/>
          <w:lang w:val="en_US" w:bidi="en_US"/>
        </w:rPr>
        <w:t>sins:</w:t>
      </w:r>
      <w:r>
        <w:rPr>
          <w:lang w:val="en_US" w:bidi="en_US"/>
        </w:rPr>
        <w:t xml:space="preserve"> The word </w:t>
      </w:r>
      <w:r>
        <w:rPr>
          <w:i/>
          <w:lang w:val="en_US" w:bidi="en_US"/>
        </w:rPr>
        <w:t>sins</w:t>
      </w:r>
      <w:r>
        <w:rPr>
          <w:lang w:val="en_US" w:bidi="en_US"/>
        </w:rPr>
        <w:t xml:space="preserve"> refers to offenses against God or another person. Sins include acts, thoughts, and attitudes that are not what God wants or approves.</w:t>
      </w:r>
      <w:r>
        <w:rPr>
          <w:lang w:val="en_US" w:bidi="en_US"/>
        </w:rPr>
        <w:t xml:space="preserve">In Greek, the verb that English versions translate as </w:t>
      </w:r>
      <w:r>
        <w:rPr>
          <w:i/>
          <w:lang w:val="en_US" w:bidi="en_US"/>
        </w:rPr>
        <w:t>sin</w:t>
      </w:r>
      <w:r>
        <w:rPr>
          <w:lang w:val="en_US" w:bidi="en_US"/>
        </w:rPr>
        <w:t xml:space="preserve"> is also a term that is used in archery to mean “miss the target.” When a person sins, he “misses” the target, that is, he fails to reach God’s standard.</w:t>
      </w:r>
      <w:r>
        <w:rPr>
          <w:lang w:val="en_US" w:bidi="en_US"/>
        </w:rPr>
        <w:t xml:space="preserve"> A person can also offend God by not doing what God wants him to do.</w:t>
      </w:r>
    </w:p>
    <w:p>
      <w:pPr/>
      <w:r>
        <w:rPr>
          <w:lang w:val="en_US" w:bidi="en_US"/>
        </w:rPr>
      </w:r>
      <w:r>
        <w:rPr>
          <w:lang w:val="en_US" w:bidi="en_US"/>
        </w:rPr>
        <w:t xml:space="preserve">Translate </w:t>
      </w:r>
      <w:r>
        <w:rPr>
          <w:i/>
          <w:lang w:val="en_US" w:bidi="en_US"/>
        </w:rPr>
        <w:t>sins</w:t>
      </w:r>
      <w:r>
        <w:rPr>
          <w:lang w:val="en_US" w:bidi="en_US"/>
        </w:rPr>
        <w:t xml:space="preserve"> with a general term that can include any offense against God. Here are problems to avoid:</w:t>
      </w:r>
    </w:p>
    <w:p>
      <w:pPr>
        <w:pStyle w:val="ListNumber"/>
        <w:numPr>
          <w:ilvl w:val="0"/>
          <w:numId w:val="110"/>
        </w:numPr>
        <w:spacing w:line="240" w:lineRule="auto"/>
        <w:ind w:left="720"/>
      </w:pPr>
      <w:r>
        <w:rPr>
          <w:lang w:val="en_US" w:bidi="en_US"/>
        </w:rPr>
      </w:r>
      <w:r>
        <w:rPr>
          <w:lang w:val="en_US" w:bidi="en_US"/>
        </w:rPr>
        <w:t>The term should not imply that only serious crimes like murder or stealing are sins. Other offenses like gossip and greed are also sins.</w:t>
      </w:r>
    </w:p>
    <w:p>
      <w:pPr>
        <w:pStyle w:val="ListNumber"/>
        <w:spacing w:line="240" w:lineRule="auto"/>
        <w:ind w:left="720"/>
      </w:pPr>
      <w:r>
        <w:rPr>
          <w:lang w:val="en_US" w:bidi="en_US"/>
        </w:rPr>
      </w:r>
      <w:r>
        <w:rPr>
          <w:lang w:val="en_US" w:bidi="en_US"/>
        </w:rPr>
        <w:t>The term should not include accidents or mistakes that are not against God’s will.</w:t>
      </w:r>
    </w:p>
    <w:p>
      <w:pPr/>
      <w:r>
        <w:rPr>
          <w:lang w:val="en_US" w:bidi="en_US"/>
        </w:rPr>
      </w:r>
      <w:r>
        <w:rPr>
          <w:lang w:val="en_US" w:bidi="en_US"/>
        </w:rPr>
        <w:t xml:space="preserve">Some ways to translate </w:t>
      </w:r>
      <w:r>
        <w:rPr>
          <w:i/>
          <w:lang w:val="en_US" w:bidi="en_US"/>
        </w:rPr>
        <w:t>sins</w:t>
      </w:r>
      <w:r>
        <w:rPr>
          <w:lang w:val="en_US" w:bidi="en_US"/>
        </w:rPr>
        <w:t xml:space="preserve"> are:</w:t>
      </w:r>
    </w:p>
    <w:p>
      <w:pPr/>
      <w:r>
        <w:rPr>
          <w:lang w:val="en_US" w:bidi="en_US"/>
        </w:rPr>
      </w:r>
      <w:r>
        <w:rPr>
          <w:lang w:val="en_US" w:bidi="en_US"/>
        </w:rPr>
        <w:t>wrong acts</w:t>
      </w:r>
    </w:p>
    <w:p>
      <w:pPr/>
      <w:r>
        <w:rPr>
          <w:lang w:val="en_US" w:bidi="en_US"/>
        </w:rPr>
      </w:r>
      <w:r>
        <w:rPr>
          <w:lang w:val="en_US" w:bidi="en_US"/>
        </w:rPr>
        <w:t xml:space="preserve">offenses </w:t>
      </w:r>
      <w:r>
        <w:rPr>
          <w:lang w:val="en_US" w:bidi="en_US"/>
        </w:rPr>
        <w:t>against God</w:t>
      </w:r>
    </w:p>
    <w:p>
      <w:pPr/>
      <w:r>
        <w:rPr>
          <w:lang w:val="en_US" w:bidi="en_US"/>
        </w:rPr>
      </w:r>
      <w:r>
        <w:rPr>
          <w:lang w:val="en_US" w:bidi="en_US"/>
        </w:rPr>
        <w:t>evil deeds</w:t>
      </w:r>
    </w:p>
    <w:p>
      <w:pPr/>
      <w:r>
        <w:rPr>
          <w:lang w:val="en_US" w:bidi="en_US"/>
        </w:rPr>
      </w:r>
      <w:r>
        <w:rPr>
          <w:lang w:val="en_US" w:bidi="en_US"/>
        </w:rPr>
        <w:t xml:space="preserve">In some languages it may be natural to translate </w:t>
      </w:r>
      <w:r>
        <w:rPr>
          <w:i/>
          <w:lang w:val="en_US" w:bidi="en_US"/>
        </w:rPr>
        <w:t>sins</w:t>
      </w:r>
      <w:r>
        <w:rPr>
          <w:lang w:val="en_US" w:bidi="en_US"/>
        </w:rPr>
        <w:t xml:space="preserve"> with a phrase that includes a verb. For example:</w:t>
      </w:r>
    </w:p>
    <w:p>
      <w:pPr/>
      <w:r>
        <w:rPr>
          <w:lang w:val="en_US" w:bidi="en_US"/>
        </w:rPr>
      </w:r>
      <w:r>
        <w:rPr>
          <w:lang w:val="en_US" w:bidi="en_US"/>
        </w:rPr>
        <w:t xml:space="preserve">wrong things that </w:t>
      </w:r>
      <w:r>
        <w:rPr>
          <w:lang w:val="en_US" w:bidi="en_US"/>
        </w:rPr>
        <w:t>you</w:t>
      </w:r>
      <w:r>
        <w:rPr>
          <w:lang w:val="en_US" w:bidi="en_US"/>
        </w:rPr>
        <w:t xml:space="preserve"> have done</w:t>
      </w:r>
    </w:p>
    <w:p>
      <w:pPr/>
      <w:r>
        <w:rPr>
          <w:lang w:val="en_US" w:bidi="en_US"/>
        </w:rPr>
      </w:r>
      <w:r>
        <w:rPr>
          <w:b/>
          <w:lang w:val="en_US" w:bidi="en_US"/>
        </w:rPr>
        <w:t>are forgiven:</w:t>
      </w:r>
      <w:r>
        <w:rPr>
          <w:lang w:val="en_US" w:bidi="en_US"/>
        </w:rPr>
        <w:t xml:space="preserve"> In this context the verb </w:t>
      </w:r>
      <w:r>
        <w:rPr>
          <w:i/>
          <w:lang w:val="en_US" w:bidi="en_US"/>
        </w:rPr>
        <w:t>are forgiven</w:t>
      </w:r>
      <w:r>
        <w:rPr>
          <w:lang w:val="en_US" w:bidi="en_US"/>
        </w:rPr>
        <w:t xml:space="preserve"> indicates that as Jesus spoke, he canceled the paralyzed man’s sins. The verb form emphasizes a state of being forgiven. God would not punish the man for his sins. God would treat him as though he had not offended him in any way.</w:t>
      </w:r>
    </w:p>
    <w:p>
      <w:pPr/>
      <w:r>
        <w:rPr>
          <w:lang w:val="en_US" w:bidi="en_US"/>
        </w:rPr>
      </w:r>
      <w:r>
        <w:rPr>
          <w:lang w:val="en_US" w:bidi="en_US"/>
        </w:rPr>
        <w:t>Some other ways to translate this phrase are:</w:t>
      </w:r>
    </w:p>
    <w:p>
      <w:pPr/>
      <w:r>
        <w:rPr>
          <w:lang w:val="en_US" w:bidi="en_US"/>
        </w:rPr>
      </w:r>
      <w:r>
        <w:rPr>
          <w:lang w:val="en_US" w:bidi="en_US"/>
        </w:rPr>
        <w:t>are taken away</w:t>
      </w:r>
    </w:p>
    <w:p>
      <w:pPr/>
      <w:r>
        <w:rPr>
          <w:lang w:val="en_US" w:bidi="en_US"/>
        </w:rPr>
      </w:r>
      <w:r>
        <w:rPr>
          <w:lang w:val="en_US" w:bidi="en_US"/>
        </w:rPr>
        <w:t>are canceled</w:t>
      </w:r>
    </w:p>
    <w:p>
      <w:pPr/>
      <w:r>
        <w:rPr>
          <w:lang w:val="en_US" w:bidi="en_US"/>
        </w:rPr>
      </w:r>
      <w:r>
        <w:rPr>
          <w:lang w:val="en_US" w:bidi="en_US"/>
        </w:rPr>
        <w:t>are pardoned</w:t>
      </w:r>
    </w:p>
    <w:p>
      <w:pPr/>
      <w:r>
        <w:rPr>
          <w:lang w:val="en_US" w:bidi="en_US"/>
        </w:rPr>
      </w:r>
      <w:r>
        <w:rPr>
          <w:lang w:val="en_US" w:bidi="en_US"/>
        </w:rPr>
        <w:t>In many languages there may be an idiom for this. For example:</w:t>
      </w:r>
    </w:p>
    <w:p>
      <w:pPr/>
      <w:r>
        <w:rPr>
          <w:lang w:val="en_US" w:bidi="en_US"/>
        </w:rPr>
      </w:r>
      <w:r>
        <w:rPr>
          <w:lang w:val="en_US" w:bidi="en_US"/>
        </w:rPr>
        <w:t>are erased</w:t>
      </w:r>
    </w:p>
    <w:p>
      <w:pPr/>
      <w:r>
        <w:rPr>
          <w:lang w:val="en_US" w:bidi="en_US"/>
        </w:rPr>
      </w:r>
      <w:r>
        <w:rPr>
          <w:lang w:val="en_US" w:bidi="en_US"/>
        </w:rPr>
        <w:t>are wiped away</w:t>
      </w:r>
    </w:p>
    <w:p>
      <w:pPr/>
      <w:r>
        <w:rPr>
          <w:lang w:val="en_US" w:bidi="en_US"/>
        </w:rPr>
      </w:r>
      <w:r>
        <w:rPr>
          <w:lang w:val="en_US" w:bidi="en_US"/>
        </w:rPr>
        <w:t xml:space="preserve">For more information, see </w:t>
      </w:r>
      <w:r>
        <w:rPr>
          <w:u w:val="single"/>
          <w:lang w:val="en_US" w:bidi="en_US"/>
        </w:rPr>
        <w:t>forgive</w:t>
      </w:r>
      <w:r>
        <w:rPr>
          <w:lang w:val="en_US" w:bidi="en_US"/>
        </w:rPr>
        <w:t xml:space="preserve"> in KBT.</w:t>
      </w:r>
      <w:r>
        <w:rPr>
          <w:lang w:val="en_US" w:bidi="en_US"/>
        </w:rPr>
      </w:r>
      <w:r>
        <w:rPr>
          <w:lang w:val="en_US" w:bidi="en_US"/>
        </w:rPr>
      </w:r>
    </w:p>
    <w:p>
      <w:pPr/>
      <w:r>
        <w:rPr>
          <w:lang w:val="en_US" w:bidi="en_US"/>
        </w:rPr>
      </w:r>
    </w:p>
    <w:p>
      <w:pPr>
        <w:pStyle w:val="Heading2"/>
      </w:pPr>
      <w:r>
        <w:rPr>
          <w:lang w:val="en_US" w:bidi="en_US"/>
        </w:rPr>
        <w:t>Luke 5:21</w:t>
      </w:r>
      <w:r>
        <w:rPr>
          <w:lang w:val="en_US" w:bidi="en_US"/>
        </w:rPr>
      </w:r>
    </w:p>
    <w:p>
      <w:pPr>
        <w:pStyle w:val="Heading4"/>
      </w:pPr>
      <w:r>
        <w:rPr>
          <w:lang w:val="en_US" w:bidi="en_US"/>
        </w:rPr>
        <w:t>Section 5:17–26: Jesus healed a paralyzed man</w:t>
      </w:r>
    </w:p>
    <w:p>
      <w:pPr/>
      <w:r>
        <w:rPr>
          <w:lang w:val="en_US" w:bidi="en_US"/>
        </w:rPr>
      </w:r>
      <w:r>
        <w:rPr>
          <w:lang w:val="en_US" w:bidi="en_US"/>
        </w:rPr>
        <w:t>In this section, Luke focused on Jesus’ authority. Jesus used his authority from God to forgive the paralyzed man’s sins. The religious leaders questioned that authority. Jesus proved his authority to forgive sin when he healed the paralyzed man.</w:t>
      </w:r>
    </w:p>
    <w:p>
      <w:pPr/>
      <w:r>
        <w:rPr>
          <w:lang w:val="en_US" w:bidi="en_US"/>
        </w:rPr>
      </w:r>
      <w:r>
        <w:rPr>
          <w:lang w:val="en_US" w:bidi="en_US"/>
        </w:rPr>
        <w:t>Some other possible headings for this section are:</w:t>
      </w:r>
    </w:p>
    <w:p>
      <w:pPr/>
      <w:r>
        <w:rPr>
          <w:lang w:val="en_US" w:bidi="en_US"/>
        </w:rPr>
      </w:r>
      <w:r>
        <w:rPr>
          <w:lang w:val="en_US" w:bidi="en_US"/>
        </w:rPr>
        <w:t>Jesus showed that he had authority to forgive sins</w:t>
      </w:r>
    </w:p>
    <w:p>
      <w:pPr/>
      <w:r>
        <w:rPr>
          <w:lang w:val="en_US" w:bidi="en_US"/>
        </w:rPr>
      </w:r>
      <w:r>
        <w:rPr>
          <w:lang w:val="en_US" w:bidi="en_US"/>
        </w:rPr>
        <w:t>Jesus forgave the sins of a paralyzed man and healed him</w:t>
      </w:r>
    </w:p>
    <w:p>
      <w:pPr/>
      <w:r>
        <w:rPr>
          <w:lang w:val="en_US" w:bidi="en_US"/>
        </w:rPr>
      </w:r>
      <w:r>
        <w:rPr>
          <w:lang w:val="en_US" w:bidi="en_US"/>
        </w:rPr>
        <w:t>There are parallel passages for this section in Matthew 9:1–8 and Mark 2:1–12.</w:t>
      </w:r>
    </w:p>
    <w:p>
      <w:pPr>
        <w:pStyle w:val="Heading5"/>
      </w:pPr>
      <w:r>
        <w:rPr>
          <w:lang w:val="en_US" w:bidi="en_US"/>
        </w:rPr>
        <w:t>5:21a</w:t>
      </w:r>
    </w:p>
    <w:p>
      <w:pPr/>
      <w:r>
        <w:rPr>
          <w:lang w:val="en_US" w:bidi="en_US"/>
        </w:rPr>
      </w:r>
      <w:r>
        <w:rPr>
          <w:b/>
          <w:lang w:val="en_US" w:bidi="en_US"/>
        </w:rPr>
        <w:t>But the scribes and Pharisees began thinking to themselves,</w:t>
      </w:r>
    </w:p>
    <w:p>
      <w:pPr>
        <w:pStyle w:val="ListBullet"/>
        <w:spacing w:line="240" w:lineRule="auto"/>
        <w:ind w:left="720"/>
      </w:pPr>
      <w:r>
        <w:rPr>
          <w:lang w:val="en_US" w:bidi="en_US"/>
        </w:rPr>
      </w:r>
      <w:r>
        <w:rPr>
          <w:lang w:val="en_US" w:bidi="en_US"/>
        </w:rPr>
        <w:t xml:space="preserve">The Pharisees and the teachers of the law thought/reasoned </w:t>
      </w:r>
      <w:r>
        <w:rPr>
          <w:lang w:val="en_US" w:bidi="en_US"/>
        </w:rPr>
        <w:t>in their minds/hearts</w:t>
      </w:r>
      <w:r>
        <w:rPr>
          <w:lang w:val="en_US" w:bidi="en_US"/>
        </w:rPr>
        <w:t>:</w:t>
      </w:r>
    </w:p>
    <w:p>
      <w:pPr>
        <w:pStyle w:val="ListBullet"/>
        <w:spacing w:line="240" w:lineRule="auto"/>
        <w:ind w:left="720"/>
      </w:pPr>
      <w:r>
        <w:rPr>
          <w:lang w:val="en_US" w:bidi="en_US"/>
        </w:rPr>
      </w:r>
      <w:r>
        <w:rPr>
          <w:lang w:val="en_US" w:bidi="en_US"/>
        </w:rPr>
        <w:t>The experts in the law and the Pharisees thought to themselves,</w:t>
      </w:r>
    </w:p>
    <w:p>
      <w:pPr/>
      <w:r>
        <w:rPr>
          <w:lang w:val="en_US" w:bidi="en_US"/>
        </w:rPr>
      </w:r>
      <w:r>
        <w:rPr>
          <w:b/>
          <w:lang w:val="en_US" w:bidi="en_US"/>
        </w:rPr>
        <w:t>the scribes:</w:t>
      </w:r>
      <w:r>
        <w:rPr>
          <w:lang w:val="en_US" w:bidi="en_US"/>
        </w:rPr>
        <w:t xml:space="preserve"> The Greek word that the BSB translates literally as </w:t>
      </w:r>
      <w:r>
        <w:rPr>
          <w:i/>
          <w:lang w:val="en_US" w:bidi="en_US"/>
        </w:rPr>
        <w:t>the scribes</w:t>
      </w:r>
      <w:r>
        <w:rPr>
          <w:lang w:val="en_US" w:bidi="en_US"/>
        </w:rPr>
        <w:t xml:space="preserve"> is not the same word that is used in 5:17b, but it refers to the same people. The original work of these men was to write copies of the laws of Moses. In Jesus’ time, their main task was to study, interpret, and teach the laws of Moses as well as related Jewish laws and traditions.</w:t>
      </w:r>
    </w:p>
    <w:p>
      <w:pPr/>
      <w:r>
        <w:rPr>
          <w:lang w:val="en_US" w:bidi="en_US"/>
        </w:rPr>
      </w:r>
      <w:r>
        <w:rPr>
          <w:lang w:val="en_US" w:bidi="en_US"/>
        </w:rPr>
        <w:t>Translate this word in the same way as you did in 5:17b. See teacher of the law in the Glossary.</w:t>
      </w:r>
    </w:p>
    <w:p>
      <w:pPr/>
      <w:r>
        <w:rPr>
          <w:lang w:val="en_US" w:bidi="en_US"/>
        </w:rPr>
      </w:r>
      <w:r>
        <w:rPr>
          <w:b/>
          <w:lang w:val="en_US" w:bidi="en_US"/>
        </w:rPr>
        <w:t>Pharisees:</w:t>
      </w:r>
      <w:r>
        <w:rPr>
          <w:lang w:val="en_US" w:bidi="en_US"/>
        </w:rPr>
        <w:t xml:space="preserve"> The word </w:t>
      </w:r>
      <w:r>
        <w:rPr>
          <w:i/>
          <w:lang w:val="en_US" w:bidi="en_US"/>
        </w:rPr>
        <w:t>Pharisees</w:t>
      </w:r>
      <w:r>
        <w:rPr>
          <w:lang w:val="en_US" w:bidi="en_US"/>
        </w:rPr>
        <w:t xml:space="preserve"> also occurs in 5:17b. Translate here as you did there.</w:t>
      </w:r>
    </w:p>
    <w:p>
      <w:pPr/>
      <w:r>
        <w:rPr>
          <w:lang w:val="en_US" w:bidi="en_US"/>
        </w:rPr>
      </w:r>
      <w:r>
        <w:rPr>
          <w:b/>
          <w:lang w:val="en_US" w:bidi="en_US"/>
        </w:rPr>
        <w:t>began thinking to themselves:</w:t>
      </w:r>
      <w:r>
        <w:rPr>
          <w:lang w:val="en_US" w:bidi="en_US"/>
        </w:rPr>
        <w:t xml:space="preserve"> The Greek word that the BSB translates as </w:t>
      </w:r>
      <w:r>
        <w:rPr>
          <w:i/>
          <w:lang w:val="en_US" w:bidi="en_US"/>
        </w:rPr>
        <w:t>thinking to themselves</w:t>
      </w:r>
      <w:r>
        <w:rPr>
          <w:lang w:val="en_US" w:bidi="en_US"/>
        </w:rPr>
        <w:t xml:space="preserve"> means “to think, reason, or discuss something thoroughly.” There are two ways to interpret the meaning of the word in this context:</w:t>
      </w:r>
    </w:p>
    <w:p>
      <w:pPr>
        <w:pStyle w:val="ListNumber"/>
        <w:numPr>
          <w:ilvl w:val="0"/>
          <w:numId w:val="111"/>
        </w:numPr>
        <w:spacing w:line="240" w:lineRule="auto"/>
        <w:ind w:left="720"/>
      </w:pPr>
      <w:r>
        <w:rPr>
          <w:lang w:val="en_US" w:bidi="en_US"/>
        </w:rPr>
      </w:r>
      <w:r>
        <w:rPr>
          <w:lang w:val="en_US" w:bidi="en_US"/>
        </w:rPr>
        <w:t xml:space="preserve">It means that the religious leaders were reasoning and questioning </w:t>
      </w:r>
      <w:r>
        <w:rPr>
          <w:u w:val="single"/>
          <w:lang w:val="en_US" w:bidi="en_US"/>
        </w:rPr>
        <w:t>within themselves</w:t>
      </w:r>
      <w:r>
        <w:rPr>
          <w:lang w:val="en_US" w:bidi="en_US"/>
        </w:rPr>
        <w:t xml:space="preserve"> (in their thoughts). For example:</w:t>
      </w:r>
      <w:r>
        <w:rPr>
          <w:lang w:val="en_US" w:bidi="en_US"/>
        </w:rPr>
        <w:t xml:space="preserve">began to think this over (NJB) </w:t>
      </w:r>
      <w:r>
        <w:rPr>
          <w:i/>
          <w:lang w:val="en_US" w:bidi="en_US"/>
        </w:rPr>
        <w:t>(BSB, NIV, NET, NJB, GW, NCV, GNT, NCV)</w:t>
      </w:r>
    </w:p>
    <w:p>
      <w:pPr>
        <w:pStyle w:val="ListNumber"/>
        <w:spacing w:line="240" w:lineRule="auto"/>
        <w:ind w:left="720"/>
      </w:pPr>
      <w:r>
        <w:rPr>
          <w:lang w:val="en_US" w:bidi="en_US"/>
        </w:rPr>
      </w:r>
      <w:r>
        <w:rPr>
          <w:lang w:val="en_US" w:bidi="en_US"/>
        </w:rPr>
        <w:t xml:space="preserve">It means that the religious leaders were questioning one another </w:t>
      </w:r>
      <w:r>
        <w:rPr>
          <w:u w:val="single"/>
          <w:lang w:val="en_US" w:bidi="en_US"/>
        </w:rPr>
        <w:t>out loud</w:t>
      </w:r>
      <w:r>
        <w:rPr>
          <w:lang w:val="en_US" w:bidi="en_US"/>
        </w:rPr>
        <w:t>. For example:</w:t>
      </w:r>
      <w:r>
        <w:rPr>
          <w:lang w:val="en_US" w:bidi="en_US"/>
        </w:rPr>
        <w:t xml:space="preserve">began to question, saying (RSV) </w:t>
      </w:r>
      <w:r>
        <w:rPr>
          <w:i/>
          <w:lang w:val="en_US" w:bidi="en_US"/>
        </w:rPr>
        <w:t>(KJV, NASB, RSV, REB, NLT, CEV)</w:t>
      </w:r>
    </w:p>
    <w:p>
      <w:pPr/>
      <w:r>
        <w:rPr>
          <w:lang w:val="en_US" w:bidi="en_US"/>
        </w:rPr>
      </w:r>
      <w:r>
        <w:rPr>
          <w:lang w:val="en_US" w:bidi="en_US"/>
        </w:rPr>
        <w:t>It is recommended that you follow interpretation (1). This is implied by 5:22a. Mark 2:6 also implies that the religious leaders did not discuss this out loud but only thought these things about Jesus.</w:t>
      </w:r>
    </w:p>
    <w:p>
      <w:pPr>
        <w:pStyle w:val="Heading5"/>
      </w:pPr>
      <w:r>
        <w:rPr>
          <w:lang w:val="en_US" w:bidi="en_US"/>
        </w:rPr>
        <w:t>5:21b</w:t>
      </w:r>
    </w:p>
    <w:p>
      <w:pPr/>
      <w:r>
        <w:rPr>
          <w:lang w:val="en_US" w:bidi="en_US"/>
        </w:rPr>
      </w:r>
      <w:r>
        <w:rPr>
          <w:b/>
          <w:lang w:val="en_US" w:bidi="en_US"/>
        </w:rPr>
        <w:t>“Who is this man who speaks blasphemy?</w:t>
      </w:r>
    </w:p>
    <w:p>
      <w:pPr>
        <w:pStyle w:val="ListBullet"/>
        <w:spacing w:line="240" w:lineRule="auto"/>
        <w:ind w:left="720"/>
      </w:pPr>
      <w:r>
        <w:rPr>
          <w:lang w:val="en_US" w:bidi="en_US"/>
        </w:rPr>
      </w:r>
      <w:r>
        <w:rPr>
          <w:lang w:val="en_US" w:bidi="en_US"/>
        </w:rPr>
        <w:t>“Who is this man who dishonors/insults God?</w:t>
      </w:r>
    </w:p>
    <w:p>
      <w:pPr>
        <w:pStyle w:val="ListBullet"/>
        <w:spacing w:line="240" w:lineRule="auto"/>
        <w:ind w:left="720"/>
      </w:pPr>
      <w:r>
        <w:rPr>
          <w:lang w:val="en_US" w:bidi="en_US"/>
        </w:rPr>
      </w:r>
      <w:r>
        <w:rPr>
          <w:lang w:val="en_US" w:bidi="en_US"/>
        </w:rPr>
        <w:t>“Who is this man who is speaking as if he were God? (NCV)</w:t>
      </w:r>
    </w:p>
    <w:p>
      <w:pPr>
        <w:pStyle w:val="ListBullet"/>
        <w:spacing w:line="240" w:lineRule="auto"/>
        <w:ind w:left="720"/>
      </w:pPr>
      <w:r>
        <w:rPr>
          <w:lang w:val="en_US" w:bidi="en_US"/>
        </w:rPr>
      </w:r>
      <w:r>
        <w:rPr>
          <w:lang w:val="en_US" w:bidi="en_US"/>
        </w:rPr>
        <w:t>“This man has no authority to talk like that! He does not honor God.</w:t>
      </w:r>
    </w:p>
    <w:p>
      <w:pPr/>
      <w:r>
        <w:rPr>
          <w:lang w:val="en_US" w:bidi="en_US"/>
        </w:rPr>
      </w:r>
      <w:r>
        <w:rPr>
          <w:b/>
          <w:lang w:val="en_US" w:bidi="en_US"/>
        </w:rPr>
        <w:t>Who is this man who speaks blasphemy?:</w:t>
      </w:r>
      <w:r>
        <w:rPr>
          <w:lang w:val="en_US" w:bidi="en_US"/>
        </w:rPr>
        <w:t xml:space="preserve"> This is a rhetorical question. Luke wrote the thoughts of the religious leaders using the form of a rhetorical question. They thought that when Jesus told the man that his sins were forgiven, he was blaspheming God. In their minds, they were criticizing Jesus.</w:t>
      </w:r>
    </w:p>
    <w:p>
      <w:pPr/>
      <w:r>
        <w:rPr>
          <w:lang w:val="en_US" w:bidi="en_US"/>
        </w:rPr>
      </w:r>
      <w:r>
        <w:rPr>
          <w:lang w:val="en_US" w:bidi="en_US"/>
        </w:rPr>
        <w:t>Some ways to translate this criticism are:</w:t>
      </w:r>
    </w:p>
    <w:p>
      <w:pPr>
        <w:pStyle w:val="ListBullet"/>
        <w:spacing w:line="240" w:lineRule="auto"/>
        <w:ind w:left="720"/>
      </w:pPr>
      <w:r>
        <w:rPr>
          <w:lang w:val="en_US" w:bidi="en_US"/>
        </w:rPr>
      </w:r>
      <w:r>
        <w:rPr>
          <w:lang w:val="en_US" w:bidi="en_US"/>
        </w:rPr>
        <w:t>As a rhetorical question. For example:</w:t>
      </w:r>
      <w:r>
        <w:rPr>
          <w:lang w:val="en_US" w:bidi="en_US"/>
        </w:rPr>
        <w:t>Who does he think he is? That’s blasphemy! (NLT)</w:t>
      </w:r>
      <w:r>
        <w:rPr>
          <w:lang w:val="en_US" w:bidi="en_US"/>
        </w:rPr>
        <w:t>Who is this man who is speaking as if he were God? (NCV)</w:t>
      </w:r>
      <w:r>
        <w:rPr>
          <w:lang w:val="en_US" w:bidi="en_US"/>
        </w:rPr>
        <w:t>This person is dishonoring/spoiling God’s name. Who is he?</w:t>
      </w:r>
    </w:p>
    <w:p>
      <w:pPr>
        <w:pStyle w:val="ListBullet"/>
        <w:spacing w:line="240" w:lineRule="auto"/>
        <w:ind w:left="720"/>
      </w:pPr>
      <w:r>
        <w:rPr>
          <w:lang w:val="en_US" w:bidi="en_US"/>
        </w:rPr>
      </w:r>
      <w:r>
        <w:rPr>
          <w:lang w:val="en_US" w:bidi="en_US"/>
        </w:rPr>
        <w:t>As an exclamation. For example:</w:t>
      </w:r>
      <w:r>
        <w:rPr>
          <w:lang w:val="en_US" w:bidi="en_US"/>
        </w:rPr>
        <w:t>This man dishonors/insults God!</w:t>
      </w:r>
      <w:r>
        <w:rPr>
          <w:lang w:val="en_US" w:bidi="en_US"/>
        </w:rPr>
        <w:t>Jesus must think he is God! (CEV)</w:t>
      </w:r>
      <w:r>
        <w:rPr>
          <w:lang w:val="en_US" w:bidi="en_US"/>
        </w:rPr>
        <w:t>This man has no authority to act like he is God!</w:t>
      </w:r>
    </w:p>
    <w:p>
      <w:pPr/>
      <w:r>
        <w:rPr>
          <w:lang w:val="en_US" w:bidi="en_US"/>
        </w:rPr>
      </w:r>
      <w:r>
        <w:rPr>
          <w:lang w:val="en_US" w:bidi="en_US"/>
        </w:rPr>
        <w:t>Translate these thoughts of criticism in a way that is natural in your language.</w:t>
      </w:r>
    </w:p>
    <w:p>
      <w:pPr/>
      <w:r>
        <w:rPr>
          <w:lang w:val="en_US" w:bidi="en_US"/>
        </w:rPr>
      </w:r>
      <w:r>
        <w:rPr>
          <w:b/>
          <w:lang w:val="en_US" w:bidi="en_US"/>
        </w:rPr>
        <w:t>speaks blasphemy:</w:t>
      </w:r>
      <w:r>
        <w:rPr>
          <w:lang w:val="en_US" w:bidi="en_US"/>
        </w:rPr>
        <w:t xml:space="preserve"> The Greek words that the BSB translates as </w:t>
      </w:r>
      <w:r>
        <w:rPr>
          <w:i/>
          <w:lang w:val="en_US" w:bidi="en_US"/>
        </w:rPr>
        <w:t>speaks blasphemy</w:t>
      </w:r>
      <w:r>
        <w:rPr>
          <w:lang w:val="en_US" w:bidi="en_US"/>
        </w:rPr>
        <w:t xml:space="preserve"> here mean to speak against God or to dishonor him in a serious way. In this context the Pharisees and the teachers of the law accused Jesus of dishonoring God. They thought that he was dishonoring God by trying to do something that only God had the authority and ability to do. Some other ways to translate this are:</w:t>
      </w:r>
    </w:p>
    <w:p>
      <w:pPr/>
      <w:r>
        <w:rPr>
          <w:lang w:val="en_US" w:bidi="en_US"/>
        </w:rPr>
      </w:r>
      <w:r>
        <w:rPr>
          <w:lang w:val="en_US" w:bidi="en_US"/>
        </w:rPr>
        <w:t>speaks irreverently</w:t>
      </w:r>
    </w:p>
    <w:p>
      <w:pPr/>
      <w:r>
        <w:rPr>
          <w:lang w:val="en_US" w:bidi="en_US"/>
        </w:rPr>
      </w:r>
      <w:r>
        <w:rPr>
          <w:lang w:val="en_US" w:bidi="en_US"/>
        </w:rPr>
        <w:t>dishonors/insults God</w:t>
      </w:r>
    </w:p>
    <w:p>
      <w:pPr/>
      <w:r>
        <w:rPr>
          <w:lang w:val="en_US" w:bidi="en_US"/>
        </w:rPr>
      </w:r>
      <w:r>
        <w:rPr>
          <w:lang w:val="en_US" w:bidi="en_US"/>
        </w:rPr>
        <w:t>dishonors/insults God by speaking as if he were God</w:t>
      </w:r>
    </w:p>
    <w:p>
      <w:pPr>
        <w:pStyle w:val="Heading5"/>
      </w:pPr>
      <w:r>
        <w:rPr>
          <w:lang w:val="en_US" w:bidi="en_US"/>
        </w:rPr>
        <w:t>5:21c</w:t>
      </w:r>
    </w:p>
    <w:p>
      <w:pPr/>
      <w:r>
        <w:rPr>
          <w:lang w:val="en_US" w:bidi="en_US"/>
        </w:rPr>
      </w:r>
      <w:r>
        <w:rPr>
          <w:b/>
          <w:lang w:val="en_US" w:bidi="en_US"/>
        </w:rPr>
        <w:t>Who can forgive sins but God alone?”</w:t>
      </w:r>
    </w:p>
    <w:p>
      <w:pPr>
        <w:pStyle w:val="ListBullet"/>
        <w:spacing w:line="240" w:lineRule="auto"/>
        <w:ind w:left="720"/>
      </w:pPr>
      <w:r>
        <w:rPr>
          <w:lang w:val="en_US" w:bidi="en_US"/>
        </w:rPr>
      </w:r>
      <w:r>
        <w:rPr>
          <w:lang w:val="en_US" w:bidi="en_US"/>
        </w:rPr>
        <w:t>Who besides God can forgive sins?” (GW)</w:t>
      </w:r>
    </w:p>
    <w:p>
      <w:pPr>
        <w:pStyle w:val="ListBullet"/>
        <w:spacing w:line="240" w:lineRule="auto"/>
        <w:ind w:left="720"/>
      </w:pPr>
      <w:r>
        <w:rPr>
          <w:lang w:val="en_US" w:bidi="en_US"/>
        </w:rPr>
      </w:r>
      <w:r>
        <w:rPr>
          <w:lang w:val="en_US" w:bidi="en_US"/>
        </w:rPr>
        <w:t>God is the only one who can forgive sins!” (GNT)</w:t>
      </w:r>
    </w:p>
    <w:p>
      <w:pPr/>
      <w:r>
        <w:rPr>
          <w:lang w:val="en_US" w:bidi="en_US"/>
        </w:rPr>
      </w:r>
      <w:r>
        <w:rPr>
          <w:b/>
          <w:lang w:val="en_US" w:bidi="en_US"/>
        </w:rPr>
        <w:t>Who can forgive sins but God alone?:</w:t>
      </w:r>
      <w:r>
        <w:rPr>
          <w:lang w:val="en_US" w:bidi="en_US"/>
        </w:rPr>
        <w:t xml:space="preserve"> This is another rhetorical question. It expresses another part of what the religious leaders thought. The religious leaders were very angry at Jesus. They were shocked that Jesus was claiming to be God and to have God’s authority. The rhetorical question emphasized that God is the only one who has authority to forgive sins.</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Who but God can forgive sins? (NLT96)</w:t>
      </w:r>
    </w:p>
    <w:p>
      <w:pPr>
        <w:pStyle w:val="ListBullet"/>
        <w:spacing w:line="240" w:lineRule="auto"/>
        <w:ind w:left="720"/>
      </w:pPr>
      <w:r>
        <w:rPr>
          <w:lang w:val="en_US" w:bidi="en_US"/>
        </w:rPr>
      </w:r>
      <w:r>
        <w:rPr>
          <w:lang w:val="en_US" w:bidi="en_US"/>
        </w:rPr>
        <w:t>As an exclamation. For example:</w:t>
      </w:r>
      <w:r>
        <w:rPr>
          <w:lang w:val="en_US" w:bidi="en_US"/>
        </w:rPr>
        <w:t>No one except God can forgive sins!</w:t>
      </w:r>
      <w:r>
        <w:rPr>
          <w:lang w:val="en_US" w:bidi="en_US"/>
        </w:rPr>
        <w:t>Only God can forgive sins. (NCV)</w:t>
      </w:r>
    </w:p>
    <w:p>
      <w:pPr/>
      <w:r>
        <w:rPr>
          <w:lang w:val="en_US" w:bidi="en_US"/>
        </w:rPr>
      </w:r>
      <w:r>
        <w:rPr>
          <w:lang w:val="en_US" w:bidi="en_US"/>
        </w:rPr>
        <w:t>Translate this emphasis in a way that is natural in your language.</w:t>
      </w:r>
    </w:p>
    <w:p>
      <w:pPr/>
      <w:r>
        <w:rPr>
          <w:lang w:val="en_US" w:bidi="en_US"/>
        </w:rPr>
      </w:r>
      <w:r>
        <w:rPr>
          <w:b/>
          <w:lang w:val="en_US" w:bidi="en_US"/>
        </w:rPr>
        <w:t>forgive sins:</w:t>
      </w:r>
      <w:r>
        <w:rPr>
          <w:lang w:val="en_US" w:bidi="en_US"/>
        </w:rPr>
        <w:t xml:space="preserve"> See the note at 5:20b.</w:t>
      </w:r>
    </w:p>
    <w:p>
      <w:pPr>
        <w:pStyle w:val="Heading6"/>
      </w:pPr>
      <w:r>
        <w:rPr>
          <w:b/>
          <w:lang w:val="en_US" w:bidi="en_US"/>
        </w:rPr>
        <w:t>General Comment on 5:21b–c</w:t>
      </w:r>
    </w:p>
    <w:p>
      <w:pPr/>
      <w:r>
        <w:rPr>
          <w:lang w:val="en_US" w:bidi="en_US"/>
        </w:rPr>
      </w:r>
      <w:r>
        <w:rPr>
          <w:lang w:val="en_US" w:bidi="en_US"/>
        </w:rPr>
        <w:t>The reason the religious leaders criticized Jesus is stated after the criticism. You may need to reorder this in your language to state the reason first. For example:</w:t>
      </w:r>
    </w:p>
    <w:p>
      <w:pPr/>
      <w:r>
        <w:rPr>
          <w:lang w:val="en_US" w:bidi="en_US"/>
        </w:rPr>
      </w:r>
      <w:r>
        <w:rPr>
          <w:lang w:val="en_US" w:bidi="en_US"/>
        </w:rPr>
        <w:t>No one except God can forgive sins! He is speaking blasphemy!</w:t>
      </w:r>
    </w:p>
    <w:p>
      <w:pPr/>
      <w:r>
        <w:rPr>
          <w:lang w:val="en_US" w:bidi="en_US"/>
        </w:rPr>
      </w:r>
      <w:r>
        <w:rPr>
          <w:lang w:val="en_US" w:bidi="en_US"/>
        </w:rPr>
        <w:t>Who does he think he is? God? That’s blasphemy!</w:t>
      </w:r>
    </w:p>
    <w:p>
      <w:pPr/>
      <w:r>
        <w:rPr>
          <w:lang w:val="en_US" w:bidi="en_US"/>
        </w:rPr>
      </w:r>
      <w:r>
        <w:rPr>
          <w:lang w:val="en_US" w:bidi="en_US"/>
        </w:rPr>
        <w:t>You could also combine parts of 5:21b–c to make the relationship between speaking blasphemy and forgiving sins clear. For example:</w:t>
      </w:r>
    </w:p>
    <w:p>
      <w:pPr/>
      <w:r>
        <w:rPr>
          <w:lang w:val="en_US" w:bidi="en_US"/>
        </w:rPr>
      </w:r>
      <w:r>
        <w:rPr>
          <w:lang w:val="en_US" w:bidi="en_US"/>
        </w:rPr>
        <w:t xml:space="preserve">Who is this man who dishonors God by </w:t>
      </w:r>
      <w:r>
        <w:rPr>
          <w:lang w:val="en_US" w:bidi="en_US"/>
        </w:rPr>
        <w:t>claiming to</w:t>
      </w:r>
      <w:r>
        <w:rPr>
          <w:lang w:val="en_US" w:bidi="en_US"/>
        </w:rPr>
        <w:t xml:space="preserve"> forgive sins? Only God can do that.</w:t>
      </w:r>
    </w:p>
    <w:p>
      <w:pPr/>
      <w:r>
        <w:rPr>
          <w:lang w:val="en_US" w:bidi="en_US"/>
        </w:rPr>
      </w:r>
      <w:r>
        <w:rPr>
          <w:lang w:val="en_US" w:bidi="en_US"/>
        </w:rPr>
        <w:t xml:space="preserve">This man insults God </w:t>
      </w:r>
      <w:r>
        <w:rPr>
          <w:lang w:val="en_US" w:bidi="en_US"/>
        </w:rPr>
        <w:t>by claiming to do something that only God can do</w:t>
      </w:r>
      <w:r>
        <w:rPr>
          <w:lang w:val="en_US" w:bidi="en_US"/>
        </w:rPr>
        <w:t xml:space="preserve">. </w:t>
      </w:r>
      <w:r>
        <w:rPr>
          <w:lang w:val="en_US" w:bidi="en_US"/>
        </w:rPr>
        <w:t>We all know that</w:t>
      </w:r>
      <w:r>
        <w:rPr>
          <w:lang w:val="en_US" w:bidi="en_US"/>
        </w:rPr>
        <w:t xml:space="preserve"> only God can forgive sins.</w:t>
      </w:r>
      <w:r>
        <w:rPr>
          <w:lang w:val="en_US" w:bidi="en_US"/>
        </w:rPr>
      </w:r>
      <w:r>
        <w:rPr>
          <w:lang w:val="en_US" w:bidi="en_US"/>
        </w:rPr>
      </w:r>
    </w:p>
    <w:p>
      <w:pPr/>
      <w:r>
        <w:rPr>
          <w:lang w:val="en_US" w:bidi="en_US"/>
        </w:rPr>
      </w:r>
    </w:p>
    <w:p>
      <w:pPr>
        <w:pStyle w:val="Heading2"/>
      </w:pPr>
      <w:r>
        <w:rPr>
          <w:lang w:val="en_US" w:bidi="en_US"/>
        </w:rPr>
        <w:t>Luke 5:22</w:t>
      </w:r>
      <w:r>
        <w:rPr>
          <w:lang w:val="en_US" w:bidi="en_US"/>
        </w:rPr>
      </w:r>
    </w:p>
    <w:p>
      <w:pPr>
        <w:pStyle w:val="Heading4"/>
      </w:pPr>
      <w:r>
        <w:rPr>
          <w:lang w:val="en_US" w:bidi="en_US"/>
        </w:rPr>
        <w:t>Section 5:17–26: Jesus healed a paralyzed man</w:t>
      </w:r>
    </w:p>
    <w:p>
      <w:pPr/>
      <w:r>
        <w:rPr>
          <w:lang w:val="en_US" w:bidi="en_US"/>
        </w:rPr>
      </w:r>
      <w:r>
        <w:rPr>
          <w:lang w:val="en_US" w:bidi="en_US"/>
        </w:rPr>
        <w:t>In this section, Luke focused on Jesus’ authority. Jesus used his authority from God to forgive the paralyzed man’s sins. The religious leaders questioned that authority. Jesus proved his authority to forgive sin when he healed the paralyzed man.</w:t>
      </w:r>
    </w:p>
    <w:p>
      <w:pPr/>
      <w:r>
        <w:rPr>
          <w:lang w:val="en_US" w:bidi="en_US"/>
        </w:rPr>
      </w:r>
      <w:r>
        <w:rPr>
          <w:lang w:val="en_US" w:bidi="en_US"/>
        </w:rPr>
        <w:t>Some other possible headings for this section are:</w:t>
      </w:r>
    </w:p>
    <w:p>
      <w:pPr/>
      <w:r>
        <w:rPr>
          <w:lang w:val="en_US" w:bidi="en_US"/>
        </w:rPr>
      </w:r>
      <w:r>
        <w:rPr>
          <w:lang w:val="en_US" w:bidi="en_US"/>
        </w:rPr>
        <w:t>Jesus showed that he had authority to forgive sins</w:t>
      </w:r>
    </w:p>
    <w:p>
      <w:pPr/>
      <w:r>
        <w:rPr>
          <w:lang w:val="en_US" w:bidi="en_US"/>
        </w:rPr>
      </w:r>
      <w:r>
        <w:rPr>
          <w:lang w:val="en_US" w:bidi="en_US"/>
        </w:rPr>
        <w:t>Jesus forgave the sins of a paralyzed man and healed him</w:t>
      </w:r>
    </w:p>
    <w:p>
      <w:pPr/>
      <w:r>
        <w:rPr>
          <w:lang w:val="en_US" w:bidi="en_US"/>
        </w:rPr>
      </w:r>
      <w:r>
        <w:rPr>
          <w:lang w:val="en_US" w:bidi="en_US"/>
        </w:rPr>
        <w:t>There are parallel passages for this section in Matthew 9:1–8 and Mark 2:1–12.</w:t>
      </w:r>
    </w:p>
    <w:p>
      <w:pPr>
        <w:pStyle w:val="Heading5"/>
      </w:pPr>
      <w:r>
        <w:rPr>
          <w:lang w:val="en_US" w:bidi="en_US"/>
        </w:rPr>
        <w:t>5:22a</w:t>
      </w:r>
    </w:p>
    <w:p>
      <w:pPr/>
      <w:r>
        <w:rPr>
          <w:lang w:val="en_US" w:bidi="en_US"/>
        </w:rPr>
      </w:r>
      <w:r>
        <w:rPr>
          <w:b/>
          <w:lang w:val="en_US" w:bidi="en_US"/>
        </w:rPr>
        <w:t>Knowing what they were thinking, Jesus replied,</w:t>
      </w:r>
    </w:p>
    <w:p>
      <w:pPr>
        <w:pStyle w:val="ListBullet"/>
        <w:spacing w:line="240" w:lineRule="auto"/>
        <w:ind w:left="720"/>
      </w:pPr>
      <w:r>
        <w:rPr>
          <w:lang w:val="en_US" w:bidi="en_US"/>
        </w:rPr>
      </w:r>
      <w:r>
        <w:rPr>
          <w:lang w:val="en_US" w:bidi="en_US"/>
        </w:rPr>
        <w:t xml:space="preserve">Jesus knew what they were thinking, </w:t>
      </w:r>
      <w:r>
        <w:rPr>
          <w:lang w:val="en_US" w:bidi="en_US"/>
        </w:rPr>
        <w:t>so</w:t>
      </w:r>
      <w:r>
        <w:rPr>
          <w:lang w:val="en_US" w:bidi="en_US"/>
        </w:rPr>
        <w:t xml:space="preserve"> he asked,</w:t>
      </w:r>
    </w:p>
    <w:p>
      <w:pPr>
        <w:pStyle w:val="ListBullet"/>
        <w:spacing w:line="240" w:lineRule="auto"/>
        <w:ind w:left="720"/>
      </w:pPr>
      <w:r>
        <w:rPr>
          <w:lang w:val="en_US" w:bidi="en_US"/>
        </w:rPr>
      </w:r>
      <w:r>
        <w:rPr>
          <w:lang w:val="en_US" w:bidi="en_US"/>
        </w:rPr>
        <w:t>But Jesus understood what they were thinking, and he said,</w:t>
      </w:r>
    </w:p>
    <w:p>
      <w:pPr/>
      <w:r>
        <w:rPr>
          <w:lang w:val="en_US" w:bidi="en_US"/>
        </w:rPr>
      </w:r>
      <w:r>
        <w:rPr>
          <w:b/>
          <w:lang w:val="en_US" w:bidi="en_US"/>
        </w:rPr>
        <w:t>Knowing what they were thinking, Jesus replied:</w:t>
      </w:r>
      <w:r>
        <w:rPr>
          <w:lang w:val="en_US" w:bidi="en_US"/>
        </w:rPr>
        <w:t xml:space="preserve"> In Greek, this clause begins with a conjunction that indicates a contrast. This contrast is between what the teachers of the law thought about Jesus and what Jesus knew about himself and his authority.</w:t>
      </w:r>
    </w:p>
    <w:p>
      <w:pPr/>
      <w:r>
        <w:rPr>
          <w:lang w:val="en_US" w:bidi="en_US"/>
        </w:rPr>
      </w:r>
      <w:r>
        <w:rPr>
          <w:lang w:val="en_US" w:bidi="en_US"/>
        </w:rPr>
        <w:t>Some English versions translate this conjunction as “but.” For example:</w:t>
      </w:r>
    </w:p>
    <w:p>
      <w:pPr/>
      <w:r>
        <w:rPr>
          <w:lang w:val="en_US" w:bidi="en_US"/>
        </w:rPr>
      </w:r>
      <w:r>
        <w:rPr>
          <w:lang w:val="en_US" w:bidi="en_US"/>
        </w:rPr>
        <w:t>But Jesus knew what they were thinking and said (NCV)</w:t>
      </w:r>
    </w:p>
    <w:p>
      <w:pPr/>
      <w:r>
        <w:rPr>
          <w:lang w:val="en_US" w:bidi="en_US"/>
        </w:rPr>
      </w:r>
      <w:r>
        <w:rPr>
          <w:lang w:val="en_US" w:bidi="en_US"/>
        </w:rPr>
        <w:t>Other English versions do not use a conjunction here (BSB, NIV, GNT). Connect these verses in a way that is natural in your language.</w:t>
      </w:r>
    </w:p>
    <w:p>
      <w:pPr>
        <w:pStyle w:val="Heading5"/>
      </w:pPr>
      <w:r>
        <w:rPr>
          <w:lang w:val="en_US" w:bidi="en_US"/>
        </w:rPr>
        <w:t>5:22b</w:t>
      </w:r>
    </w:p>
    <w:p>
      <w:pPr/>
      <w:r>
        <w:rPr>
          <w:lang w:val="en_US" w:bidi="en_US"/>
        </w:rPr>
      </w:r>
      <w:r>
        <w:rPr>
          <w:b/>
          <w:lang w:val="en_US" w:bidi="en_US"/>
        </w:rPr>
        <w:t>“Why are you thinking these things in your hearts?</w:t>
      </w:r>
    </w:p>
    <w:p>
      <w:pPr>
        <w:pStyle w:val="ListBullet"/>
        <w:spacing w:line="240" w:lineRule="auto"/>
        <w:ind w:left="720"/>
      </w:pPr>
      <w:r>
        <w:rPr>
          <w:lang w:val="en_US" w:bidi="en_US"/>
        </w:rPr>
      </w:r>
      <w:r>
        <w:rPr>
          <w:lang w:val="en_US" w:bidi="en_US"/>
        </w:rPr>
        <w:t>“Why are you</w:t>
      </w:r>
      <w:r>
        <w:rPr>
          <w:vertAlign w:val="superscript"/>
          <w:lang w:val="en_US" w:bidi="en_US"/>
        </w:rPr>
        <w:t>(plur)</w:t>
      </w:r>
      <w:r>
        <w:rPr>
          <w:lang w:val="en_US" w:bidi="en_US"/>
        </w:rPr>
        <w:t xml:space="preserve"> thinking like that?</w:t>
      </w:r>
    </w:p>
    <w:p>
      <w:pPr>
        <w:pStyle w:val="ListBullet"/>
        <w:spacing w:line="240" w:lineRule="auto"/>
        <w:ind w:left="720"/>
      </w:pPr>
      <w:r>
        <w:rPr>
          <w:lang w:val="en_US" w:bidi="en_US"/>
        </w:rPr>
      </w:r>
      <w:r>
        <w:rPr>
          <w:lang w:val="en_US" w:bidi="en_US"/>
        </w:rPr>
        <w:t>“You are wrong to think these things!</w:t>
      </w:r>
    </w:p>
    <w:p>
      <w:pPr/>
      <w:r>
        <w:rPr>
          <w:lang w:val="en_US" w:bidi="en_US"/>
        </w:rPr>
      </w:r>
      <w:r>
        <w:rPr>
          <w:b/>
          <w:lang w:val="en_US" w:bidi="en_US"/>
        </w:rPr>
        <w:t>Why are you thinking these things in your hearts?:</w:t>
      </w:r>
      <w:r>
        <w:rPr>
          <w:lang w:val="en_US" w:bidi="en_US"/>
        </w:rPr>
        <w:t xml:space="preserve"> This is a rhetorical question. Jesus used this rhetorical question to rebuke the religious leaders. Jesus did have authority to forgive sins. So he told them that they were wrong to think that he was blaspheming.</w:t>
      </w:r>
    </w:p>
    <w:p>
      <w:pPr/>
      <w:r>
        <w:rPr>
          <w:lang w:val="en_US" w:bidi="en_US"/>
        </w:rPr>
      </w:r>
      <w:r>
        <w:rPr>
          <w:lang w:val="en_US" w:bidi="en_US"/>
        </w:rPr>
        <w:t>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Why are you thinking these things? (NCV)</w:t>
      </w:r>
      <w:r>
        <w:rPr>
          <w:lang w:val="en_US" w:bidi="en_US"/>
        </w:rPr>
        <w:t>Why do you think this is blasphemy? (NLT96)</w:t>
      </w:r>
    </w:p>
    <w:p>
      <w:pPr>
        <w:pStyle w:val="ListBullet"/>
        <w:spacing w:line="240" w:lineRule="auto"/>
        <w:ind w:left="720"/>
      </w:pPr>
      <w:r>
        <w:rPr>
          <w:lang w:val="en_US" w:bidi="en_US"/>
        </w:rPr>
      </w:r>
      <w:r>
        <w:rPr>
          <w:lang w:val="en_US" w:bidi="en_US"/>
        </w:rPr>
        <w:t>As a statement or command. For example:</w:t>
      </w:r>
      <w:r>
        <w:rPr>
          <w:lang w:val="en_US" w:bidi="en_US"/>
        </w:rPr>
        <w:t>You are mistaken/wrong to think these things.</w:t>
      </w:r>
      <w:r>
        <w:rPr>
          <w:lang w:val="en_US" w:bidi="en_US"/>
        </w:rPr>
        <w:t>Do not think like that!</w:t>
      </w:r>
    </w:p>
    <w:p>
      <w:pPr/>
      <w:r>
        <w:rPr>
          <w:lang w:val="en_US" w:bidi="en_US"/>
        </w:rPr>
      </w:r>
      <w:r>
        <w:rPr>
          <w:b/>
          <w:lang w:val="en_US" w:bidi="en_US"/>
        </w:rPr>
        <w:t>thinking these things in your hearts:</w:t>
      </w:r>
      <w:r>
        <w:rPr>
          <w:lang w:val="en_US" w:bidi="en_US"/>
        </w:rPr>
        <w:t xml:space="preserve"> In some languages it may sound unnatural to say that people are thinking in their </w:t>
      </w:r>
      <w:r>
        <w:rPr>
          <w:i/>
          <w:lang w:val="en_US" w:bidi="en_US"/>
        </w:rPr>
        <w:t>hearts</w:t>
      </w:r>
      <w:r>
        <w:rPr>
          <w:lang w:val="en_US" w:bidi="en_US"/>
        </w:rPr>
        <w:t xml:space="preserve">. You may have a different body part or expression to describe where someone thinks. Or the word you use for </w:t>
      </w:r>
      <w:r>
        <w:rPr>
          <w:i/>
          <w:lang w:val="en_US" w:bidi="en_US"/>
        </w:rPr>
        <w:t>thinking</w:t>
      </w:r>
      <w:r>
        <w:rPr>
          <w:lang w:val="en_US" w:bidi="en_US"/>
        </w:rPr>
        <w:t xml:space="preserve"> may already imply that this takes place within a person. In this case you could just say:</w:t>
      </w:r>
    </w:p>
    <w:p>
      <w:pPr/>
      <w:r>
        <w:rPr>
          <w:lang w:val="en_US" w:bidi="en_US"/>
        </w:rPr>
      </w:r>
      <w:r>
        <w:rPr>
          <w:lang w:val="en_US" w:bidi="en_US"/>
        </w:rPr>
        <w:t>Why are you thinking these things? (NCV)</w:t>
      </w:r>
      <w:r>
        <w:rPr>
          <w:lang w:val="en_US" w:bidi="en_US"/>
        </w:rPr>
      </w:r>
      <w:r>
        <w:rPr>
          <w:lang w:val="en_US" w:bidi="en_US"/>
        </w:rPr>
      </w:r>
    </w:p>
    <w:p>
      <w:pPr/>
      <w:r>
        <w:rPr>
          <w:lang w:val="en_US" w:bidi="en_US"/>
        </w:rPr>
      </w:r>
    </w:p>
    <w:p>
      <w:pPr>
        <w:pStyle w:val="Heading2"/>
      </w:pPr>
      <w:r>
        <w:rPr>
          <w:lang w:val="en_US" w:bidi="en_US"/>
        </w:rPr>
        <w:t>Luke 5:23</w:t>
      </w:r>
      <w:r>
        <w:rPr>
          <w:lang w:val="en_US" w:bidi="en_US"/>
        </w:rPr>
      </w:r>
    </w:p>
    <w:p>
      <w:pPr>
        <w:pStyle w:val="Heading4"/>
      </w:pPr>
      <w:r>
        <w:rPr>
          <w:lang w:val="en_US" w:bidi="en_US"/>
        </w:rPr>
        <w:t>Section 5:17–26: Jesus healed a paralyzed man</w:t>
      </w:r>
    </w:p>
    <w:p>
      <w:pPr/>
      <w:r>
        <w:rPr>
          <w:lang w:val="en_US" w:bidi="en_US"/>
        </w:rPr>
      </w:r>
      <w:r>
        <w:rPr>
          <w:lang w:val="en_US" w:bidi="en_US"/>
        </w:rPr>
        <w:t>In this section, Luke focused on Jesus’ authority. Jesus used his authority from God to forgive the paralyzed man’s sins. The religious leaders questioned that authority. Jesus proved his authority to forgive sin when he healed the paralyzed man.</w:t>
      </w:r>
    </w:p>
    <w:p>
      <w:pPr/>
      <w:r>
        <w:rPr>
          <w:lang w:val="en_US" w:bidi="en_US"/>
        </w:rPr>
      </w:r>
      <w:r>
        <w:rPr>
          <w:lang w:val="en_US" w:bidi="en_US"/>
        </w:rPr>
        <w:t>Some other possible headings for this section are:</w:t>
      </w:r>
    </w:p>
    <w:p>
      <w:pPr/>
      <w:r>
        <w:rPr>
          <w:lang w:val="en_US" w:bidi="en_US"/>
        </w:rPr>
      </w:r>
      <w:r>
        <w:rPr>
          <w:lang w:val="en_US" w:bidi="en_US"/>
        </w:rPr>
        <w:t>Jesus showed that he had authority to forgive sins</w:t>
      </w:r>
    </w:p>
    <w:p>
      <w:pPr/>
      <w:r>
        <w:rPr>
          <w:lang w:val="en_US" w:bidi="en_US"/>
        </w:rPr>
      </w:r>
      <w:r>
        <w:rPr>
          <w:lang w:val="en_US" w:bidi="en_US"/>
        </w:rPr>
        <w:t>Jesus forgave the sins of a paralyzed man and healed him</w:t>
      </w:r>
    </w:p>
    <w:p>
      <w:pPr/>
      <w:r>
        <w:rPr>
          <w:lang w:val="en_US" w:bidi="en_US"/>
        </w:rPr>
      </w:r>
      <w:r>
        <w:rPr>
          <w:lang w:val="en_US" w:bidi="en_US"/>
        </w:rPr>
        <w:t>There are parallel passages for this section in Matthew 9:1–8 and Mark 2:1–12.</w:t>
      </w:r>
    </w:p>
    <w:p>
      <w:pPr>
        <w:pStyle w:val="Heading5"/>
      </w:pPr>
      <w:r>
        <w:rPr>
          <w:lang w:val="en_US" w:bidi="en_US"/>
        </w:rPr>
        <w:t>5:23a</w:t>
      </w:r>
    </w:p>
    <w:p>
      <w:pPr/>
      <w:r>
        <w:rPr>
          <w:lang w:val="en_US" w:bidi="en_US"/>
        </w:rPr>
      </w:r>
      <w:r>
        <w:rPr>
          <w:b/>
          <w:lang w:val="en_US" w:bidi="en_US"/>
        </w:rPr>
        <w:t>Which is easier:</w:t>
      </w:r>
    </w:p>
    <w:p>
      <w:pPr>
        <w:pStyle w:val="ListBullet"/>
        <w:spacing w:line="240" w:lineRule="auto"/>
        <w:ind w:left="720"/>
      </w:pPr>
      <w:r>
        <w:rPr>
          <w:lang w:val="en_US" w:bidi="en_US"/>
        </w:rPr>
      </w:r>
      <w:r>
        <w:rPr>
          <w:lang w:val="en_US" w:bidi="en_US"/>
        </w:rPr>
        <w:t>Tell me which is easier:</w:t>
      </w:r>
    </w:p>
    <w:p>
      <w:pPr>
        <w:pStyle w:val="ListBullet"/>
        <w:spacing w:line="240" w:lineRule="auto"/>
        <w:ind w:left="720"/>
      </w:pPr>
      <w:r>
        <w:rPr>
          <w:lang w:val="en_US" w:bidi="en_US"/>
        </w:rPr>
      </w:r>
      <w:r>
        <w:rPr>
          <w:lang w:val="en_US" w:bidi="en_US"/>
        </w:rPr>
        <w:t>Is it easier (CEV)</w:t>
      </w:r>
    </w:p>
    <w:p>
      <w:pPr>
        <w:pStyle w:val="ListBullet"/>
        <w:spacing w:line="240" w:lineRule="auto"/>
        <w:ind w:left="720"/>
      </w:pPr>
      <w:r>
        <w:rPr>
          <w:lang w:val="en_US" w:bidi="en_US"/>
        </w:rPr>
      </w:r>
      <w:r>
        <w:rPr>
          <w:lang w:val="en_US" w:bidi="en_US"/>
        </w:rPr>
        <w:t>Consider whether it is easier</w:t>
      </w:r>
    </w:p>
    <w:p>
      <w:pPr>
        <w:pStyle w:val="Heading5"/>
      </w:pPr>
      <w:r>
        <w:rPr>
          <w:lang w:val="en_US" w:bidi="en_US"/>
        </w:rPr>
        <w:t>5:23</w:t>
      </w:r>
    </w:p>
    <w:p>
      <w:pPr/>
      <w:r>
        <w:rPr>
          <w:lang w:val="en_US" w:bidi="en_US"/>
        </w:rPr>
      </w:r>
      <w:r>
        <w:rPr>
          <w:b/>
          <w:lang w:val="en_US" w:bidi="en_US"/>
        </w:rPr>
        <w:t>Which is easier: to say, ‘Your sins are forgiven,’ or to say, ‘Get up and walk?’:</w:t>
      </w:r>
      <w:r>
        <w:rPr>
          <w:lang w:val="en_US" w:bidi="en_US"/>
        </w:rPr>
        <w:t xml:space="preserve"> This is a rhetorical question. Jesus asked this question because he wanted the religious leaders to think carefully about his authority. He did not ask it to get information from them.</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As a rhetorical question. For example:</w:t>
      </w:r>
      <w:r>
        <w:rPr>
          <w:lang w:val="en_US" w:bidi="en_US"/>
        </w:rPr>
        <w:t>Is it easier to say ‘Your sins are forgiven,’ or ‘Stand up and walk’? (NLT)</w:t>
      </w:r>
      <w:r>
        <w:rPr>
          <w:lang w:val="en_US" w:bidi="en_US"/>
        </w:rPr>
        <w:t>Is it easier for me to tell this crippled man that his sins are forgiven or to tell him to get up and walk? (CEV)</w:t>
      </w:r>
    </w:p>
    <w:p>
      <w:pPr>
        <w:pStyle w:val="ListBullet"/>
        <w:spacing w:line="240" w:lineRule="auto"/>
        <w:ind w:left="720"/>
      </w:pPr>
      <w:r>
        <w:rPr>
          <w:lang w:val="en_US" w:bidi="en_US"/>
        </w:rPr>
      </w:r>
      <w:r>
        <w:rPr>
          <w:lang w:val="en_US" w:bidi="en_US"/>
        </w:rPr>
        <w:t>As a statement. For example:</w:t>
      </w:r>
      <w:r>
        <w:rPr>
          <w:lang w:val="en_US" w:bidi="en_US"/>
        </w:rPr>
        <w:t>Consider whether it would be easier to say, ‘Your sins are forgiven,’ or to say, ‘Get up and walk.’</w:t>
      </w:r>
    </w:p>
    <w:p>
      <w:pPr/>
      <w:r>
        <w:rPr>
          <w:lang w:val="en_US" w:bidi="en_US"/>
        </w:rPr>
      </w:r>
      <w:r>
        <w:rPr>
          <w:lang w:val="en_US" w:bidi="en_US"/>
        </w:rPr>
        <w:t>Use a form that will express the meaning most clearly in your language.</w:t>
      </w:r>
    </w:p>
    <w:p>
      <w:pPr/>
      <w:r>
        <w:rPr>
          <w:lang w:val="en_US" w:bidi="en_US"/>
        </w:rPr>
      </w:r>
      <w:r>
        <w:rPr>
          <w:b/>
          <w:lang w:val="en_US" w:bidi="en_US"/>
        </w:rPr>
        <w:t>Which is easier:</w:t>
      </w:r>
      <w:r>
        <w:rPr>
          <w:lang w:val="en_US" w:bidi="en_US"/>
        </w:rPr>
        <w:t xml:space="preserve"> The phrase </w:t>
      </w:r>
      <w:r>
        <w:rPr>
          <w:i/>
          <w:lang w:val="en_US" w:bidi="en_US"/>
        </w:rPr>
        <w:t>Which is easier</w:t>
      </w:r>
      <w:r>
        <w:rPr>
          <w:lang w:val="en_US" w:bidi="en_US"/>
        </w:rPr>
        <w:t xml:space="preserve"> introduces a question that compares two things. Jesus compared these two ideas: forgiving sins and healing a paralyzed man.</w:t>
      </w:r>
      <w:r>
        <w:rPr>
          <w:lang w:val="en_US" w:bidi="en_US"/>
        </w:rPr>
        <w:t>Many Jews believed that when a person was sick, it was because he or someone in his family had sinned (see John 5:8, 5:14, 9:1–2). They believed that he could not become well until God forgave his sins.</w:t>
      </w:r>
      <w:r>
        <w:rPr>
          <w:lang w:val="en_US" w:bidi="en_US"/>
        </w:rPr>
        <w:t xml:space="preserve"> He did not say that either one of these things was easy. They are both impossible for man to do by himself. Only someone with God’s power and authority can do either one of them.</w:t>
      </w:r>
    </w:p>
    <w:p>
      <w:pPr/>
      <w:r>
        <w:rPr>
          <w:lang w:val="en_US" w:bidi="en_US"/>
        </w:rPr>
      </w:r>
      <w:r>
        <w:rPr>
          <w:lang w:val="en_US" w:bidi="en_US"/>
        </w:rPr>
        <w:t xml:space="preserve">Consider how people in your language would ask such a question. If they do not use comparatives such as </w:t>
      </w:r>
      <w:r>
        <w:rPr>
          <w:i/>
          <w:lang w:val="en_US" w:bidi="en_US"/>
        </w:rPr>
        <w:t>easier</w:t>
      </w:r>
      <w:r>
        <w:rPr>
          <w:lang w:val="en_US" w:bidi="en_US"/>
        </w:rPr>
        <w:t>, you may be able to say:</w:t>
      </w:r>
    </w:p>
    <w:p>
      <w:pPr/>
      <w:r>
        <w:rPr>
          <w:lang w:val="en_US" w:bidi="en_US"/>
        </w:rPr>
      </w:r>
      <w:r>
        <w:rPr>
          <w:lang w:val="en_US" w:bidi="en_US"/>
        </w:rPr>
        <w:t>Which is easy and which is difficult…?</w:t>
      </w:r>
    </w:p>
    <w:p>
      <w:pPr/>
      <w:r>
        <w:rPr>
          <w:lang w:val="en_US" w:bidi="en_US"/>
        </w:rPr>
      </w:r>
      <w:r>
        <w:rPr>
          <w:lang w:val="en_US" w:bidi="en_US"/>
        </w:rPr>
        <w:t>Is this easy to say…or is this easy to say…?</w:t>
      </w:r>
    </w:p>
    <w:p>
      <w:pPr/>
      <w:r>
        <w:rPr>
          <w:lang w:val="en_US" w:bidi="en_US"/>
        </w:rPr>
      </w:r>
      <w:r>
        <w:rPr>
          <w:lang w:val="en_US" w:bidi="en_US"/>
        </w:rPr>
        <w:t>Saying to the man your sins are forgiven or get up and go, between these two things, which one is easy?</w:t>
      </w:r>
    </w:p>
    <w:p>
      <w:pPr/>
      <w:r>
        <w:rPr>
          <w:lang w:val="en_US" w:bidi="en_US"/>
        </w:rPr>
      </w:r>
      <w:r>
        <w:rPr>
          <w:lang w:val="en_US" w:bidi="en_US"/>
        </w:rPr>
        <w:t xml:space="preserve">Jesus wanted the religious leaders to think about the answer to this question. He implied that it was easier to </w:t>
      </w:r>
      <w:r>
        <w:rPr>
          <w:u w:val="single"/>
          <w:lang w:val="en_US" w:bidi="en_US"/>
        </w:rPr>
        <w:t>say</w:t>
      </w:r>
      <w:r>
        <w:rPr>
          <w:lang w:val="en_US" w:bidi="en_US"/>
        </w:rPr>
        <w:t xml:space="preserve"> “your sins are forgiven,” because there would be no way to prove whether this had happened.</w:t>
      </w:r>
      <w:r>
        <w:rPr>
          <w:lang w:val="en_US" w:bidi="en_US"/>
        </w:rPr>
        <w:t>The majority view about the answer seems to be that saying “your sins are forgiven” is easier because there was no way for people to prove whether it had happened. However, there are other opinions. Some believe that Jesus’ question was a trick question because both actions that he mentioned were equally difficult. The question made the teachers of the law think and realize that both these things were impossible for men to do in their own power or authority. A third opinion is that Jesus and his audience would understand healing the man to be the easier of the two actions, since people who had power (from God) to heal were known, but God alone could forgive sins. Following the majority view, Deibler fills out the implied information in the argument in this way: “It is easier to say ‘Your sins are forgiven’ [because people won’t be able to tell if you are a fake or not]. [It is far more risky] to say ‘Rise up and walk’ [because people can see if it happens]. [I will do something that you consider to be God’s prerogative, but which can be easily verified], so that you may know that the Son of Man has the authority on earth to forgive sins, [which you consider to be God’s prerogative, but which cannot be visibly verified].”</w:t>
      </w:r>
      <w:r>
        <w:rPr>
          <w:lang w:val="en_US" w:bidi="en_US"/>
        </w:rPr>
        <w:t xml:space="preserve"> However, both actions are impossible for anyone to do by himself. They are only possible by the power and authority of God.</w:t>
      </w:r>
    </w:p>
    <w:p>
      <w:pPr>
        <w:pStyle w:val="Heading5"/>
      </w:pPr>
      <w:r>
        <w:rPr>
          <w:lang w:val="en_US" w:bidi="en_US"/>
        </w:rPr>
        <w:t>5:23b</w:t>
      </w:r>
    </w:p>
    <w:p>
      <w:pPr/>
      <w:r>
        <w:rPr>
          <w:lang w:val="en_US" w:bidi="en_US"/>
        </w:rPr>
      </w:r>
      <w:r>
        <w:rPr>
          <w:b/>
          <w:lang w:val="en_US" w:bidi="en_US"/>
        </w:rPr>
        <w:t>to say, ‘Your sins are forgiven,’</w:t>
      </w:r>
    </w:p>
    <w:p>
      <w:pPr>
        <w:pStyle w:val="ListBullet"/>
        <w:spacing w:line="240" w:lineRule="auto"/>
        <w:ind w:left="720"/>
      </w:pPr>
      <w:r>
        <w:rPr>
          <w:lang w:val="en_US" w:bidi="en_US"/>
        </w:rPr>
      </w:r>
      <w:r>
        <w:rPr>
          <w:lang w:val="en_US" w:bidi="en_US"/>
        </w:rPr>
        <w:t>to say: ‘I forgive your sins’</w:t>
      </w:r>
    </w:p>
    <w:p>
      <w:pPr>
        <w:pStyle w:val="ListBullet"/>
        <w:spacing w:line="240" w:lineRule="auto"/>
        <w:ind w:left="720"/>
      </w:pPr>
      <w:r>
        <w:rPr>
          <w:lang w:val="en_US" w:bidi="en_US"/>
        </w:rPr>
      </w:r>
      <w:r>
        <w:rPr>
          <w:lang w:val="en_US" w:bidi="en_US"/>
        </w:rPr>
        <w:t>for me to tell this crippled man that his sins are forgiven (CEV)</w:t>
      </w:r>
    </w:p>
    <w:p>
      <w:pPr>
        <w:pStyle w:val="ListBullet"/>
        <w:spacing w:line="240" w:lineRule="auto"/>
        <w:ind w:left="720"/>
      </w:pPr>
      <w:r>
        <w:rPr>
          <w:lang w:val="en_US" w:bidi="en_US"/>
        </w:rPr>
      </w:r>
      <w:r>
        <w:rPr>
          <w:lang w:val="en_US" w:bidi="en_US"/>
        </w:rPr>
        <w:t>for me</w:t>
      </w:r>
      <w:r>
        <w:rPr>
          <w:lang w:val="en_US" w:bidi="en_US"/>
        </w:rPr>
        <w:t xml:space="preserve"> to say </w:t>
      </w:r>
      <w:r>
        <w:rPr>
          <w:lang w:val="en_US" w:bidi="en_US"/>
        </w:rPr>
        <w:t>to the paralyzed man</w:t>
      </w:r>
      <w:r>
        <w:rPr>
          <w:lang w:val="en_US" w:bidi="en_US"/>
        </w:rPr>
        <w:t>, ‘You are forgiven for your sins,’</w:t>
      </w:r>
    </w:p>
    <w:p>
      <w:pPr/>
      <w:r>
        <w:rPr>
          <w:lang w:val="en_US" w:bidi="en_US"/>
        </w:rPr>
      </w:r>
      <w:r>
        <w:rPr>
          <w:b/>
          <w:lang w:val="en_US" w:bidi="en_US"/>
        </w:rPr>
        <w:t>to say, ‘Your sins are forgiven,’:</w:t>
      </w:r>
      <w:r>
        <w:rPr>
          <w:lang w:val="en_US" w:bidi="en_US"/>
        </w:rPr>
        <w:t xml:space="preserve"> The sentence </w:t>
      </w:r>
      <w:r>
        <w:rPr>
          <w:i/>
          <w:lang w:val="en_US" w:bidi="en_US"/>
        </w:rPr>
        <w:t>‘Your sins are forgiven’</w:t>
      </w:r>
      <w:r>
        <w:rPr>
          <w:lang w:val="en_US" w:bidi="en_US"/>
        </w:rPr>
        <w:t xml:space="preserve"> is a quotation within a quotation. In some languages it may be difficult to understand such an embedded quotation. It may be more natural to translate the embedded quotation as indirect speech. For example:</w:t>
      </w:r>
    </w:p>
    <w:p>
      <w:pPr/>
      <w:r>
        <w:rPr>
          <w:lang w:val="en_US" w:bidi="en_US"/>
        </w:rPr>
      </w:r>
      <w:r>
        <w:rPr>
          <w:lang w:val="en_US" w:bidi="en_US"/>
        </w:rPr>
        <w:t xml:space="preserve">Is it easier for </w:t>
      </w:r>
      <w:r>
        <w:rPr>
          <w:lang w:val="en_US" w:bidi="en_US"/>
        </w:rPr>
        <w:t>a man</w:t>
      </w:r>
      <w:r>
        <w:rPr>
          <w:lang w:val="en_US" w:bidi="en_US"/>
        </w:rPr>
        <w:t xml:space="preserve"> to say that </w:t>
      </w:r>
      <w:r>
        <w:rPr>
          <w:lang w:val="en_US" w:bidi="en_US"/>
        </w:rPr>
        <w:t>he</w:t>
      </w:r>
      <w:r>
        <w:rPr>
          <w:lang w:val="en_US" w:bidi="en_US"/>
        </w:rPr>
        <w:t xml:space="preserve"> forgives </w:t>
      </w:r>
      <w:r>
        <w:rPr>
          <w:lang w:val="en_US" w:bidi="en_US"/>
        </w:rPr>
        <w:t>someone’s</w:t>
      </w:r>
      <w:r>
        <w:rPr>
          <w:lang w:val="en_US" w:bidi="en_US"/>
        </w:rPr>
        <w:t xml:space="preserve"> sins…?</w:t>
      </w:r>
    </w:p>
    <w:p>
      <w:pPr/>
      <w:r>
        <w:rPr>
          <w:lang w:val="en_US" w:bidi="en_US"/>
        </w:rPr>
      </w:r>
      <w:r>
        <w:rPr>
          <w:lang w:val="en_US" w:bidi="en_US"/>
        </w:rPr>
        <w:t>Is it easier for me to tell this crippled man that his sins are forgiven…? (CEV)</w:t>
      </w:r>
    </w:p>
    <w:p>
      <w:pPr/>
      <w:r>
        <w:rPr>
          <w:lang w:val="en_US" w:bidi="en_US"/>
        </w:rPr>
      </w:r>
      <w:r>
        <w:rPr>
          <w:b/>
          <w:lang w:val="en_US" w:bidi="en_US"/>
        </w:rPr>
        <w:t>Your sins are forgiven:</w:t>
      </w:r>
      <w:r>
        <w:rPr>
          <w:lang w:val="en_US" w:bidi="en_US"/>
        </w:rPr>
        <w:t xml:space="preserve"> Use the same expression that you used in 5:20b.</w:t>
      </w:r>
    </w:p>
    <w:p>
      <w:pPr>
        <w:pStyle w:val="Heading5"/>
      </w:pPr>
      <w:r>
        <w:rPr>
          <w:lang w:val="en_US" w:bidi="en_US"/>
        </w:rPr>
        <w:t>5:23c</w:t>
      </w:r>
    </w:p>
    <w:p>
      <w:pPr/>
      <w:r>
        <w:rPr>
          <w:lang w:val="en_US" w:bidi="en_US"/>
        </w:rPr>
      </w:r>
      <w:r>
        <w:rPr>
          <w:b/>
          <w:lang w:val="en_US" w:bidi="en_US"/>
        </w:rPr>
        <w:t>or to say, ‘Get up and walk?’</w:t>
      </w:r>
    </w:p>
    <w:p>
      <w:pPr>
        <w:pStyle w:val="ListBullet"/>
        <w:spacing w:line="240" w:lineRule="auto"/>
        <w:ind w:left="720"/>
      </w:pPr>
      <w:r>
        <w:rPr>
          <w:lang w:val="en_US" w:bidi="en_US"/>
        </w:rPr>
      </w:r>
      <w:r>
        <w:rPr>
          <w:lang w:val="en_US" w:bidi="en_US"/>
        </w:rPr>
        <w:t>or to say ‘Stand up and walk.’</w:t>
      </w:r>
    </w:p>
    <w:p>
      <w:pPr>
        <w:pStyle w:val="ListBullet"/>
        <w:spacing w:line="240" w:lineRule="auto"/>
        <w:ind w:left="720"/>
      </w:pPr>
      <w:r>
        <w:rPr>
          <w:lang w:val="en_US" w:bidi="en_US"/>
        </w:rPr>
      </w:r>
      <w:r>
        <w:rPr>
          <w:lang w:val="en_US" w:bidi="en_US"/>
        </w:rPr>
        <w:t>or to tell him to get up and walk? (CEV)</w:t>
      </w:r>
    </w:p>
    <w:p>
      <w:pPr>
        <w:pStyle w:val="ListBullet"/>
        <w:spacing w:line="240" w:lineRule="auto"/>
        <w:ind w:left="720"/>
      </w:pPr>
      <w:r>
        <w:rPr>
          <w:lang w:val="en_US" w:bidi="en_US"/>
        </w:rPr>
      </w:r>
      <w:r>
        <w:rPr>
          <w:lang w:val="en_US" w:bidi="en_US"/>
        </w:rPr>
        <w:t xml:space="preserve">or </w:t>
      </w:r>
      <w:r>
        <w:rPr>
          <w:lang w:val="en_US" w:bidi="en_US"/>
        </w:rPr>
        <w:t>for me</w:t>
      </w:r>
      <w:r>
        <w:rPr>
          <w:lang w:val="en_US" w:bidi="en_US"/>
        </w:rPr>
        <w:t xml:space="preserve"> to say </w:t>
      </w:r>
      <w:r>
        <w:rPr>
          <w:lang w:val="en_US" w:bidi="en_US"/>
        </w:rPr>
        <w:t>to him</w:t>
      </w:r>
      <w:r>
        <w:rPr>
          <w:lang w:val="en_US" w:bidi="en_US"/>
        </w:rPr>
        <w:t>, ‘Get</w:t>
      </w:r>
      <w:r>
        <w:rPr>
          <w:vertAlign w:val="superscript"/>
          <w:lang w:val="en_US" w:bidi="en_US"/>
        </w:rPr>
        <w:t>(sing)</w:t>
      </w:r>
      <w:r>
        <w:rPr>
          <w:lang w:val="en_US" w:bidi="en_US"/>
        </w:rPr>
        <w:t xml:space="preserve"> up and walk</w:t>
      </w:r>
      <w:r>
        <w:rPr>
          <w:vertAlign w:val="superscript"/>
          <w:lang w:val="en_US" w:bidi="en_US"/>
        </w:rPr>
        <w:t>(sing)</w:t>
      </w:r>
      <w:r>
        <w:rPr>
          <w:lang w:val="en_US" w:bidi="en_US"/>
        </w:rPr>
        <w:t>’?</w:t>
      </w:r>
    </w:p>
    <w:p>
      <w:pPr/>
      <w:r>
        <w:rPr>
          <w:lang w:val="en_US" w:bidi="en_US"/>
        </w:rPr>
      </w:r>
      <w:r>
        <w:rPr>
          <w:b/>
          <w:lang w:val="en_US" w:bidi="en_US"/>
        </w:rPr>
        <w:t>or to say, ‘Get up and walk?’:</w:t>
      </w:r>
      <w:r>
        <w:rPr>
          <w:lang w:val="en_US" w:bidi="en_US"/>
        </w:rPr>
        <w:t xml:space="preserve"> The sentence </w:t>
      </w:r>
      <w:r>
        <w:rPr>
          <w:i/>
          <w:lang w:val="en_US" w:bidi="en_US"/>
        </w:rPr>
        <w:t>‘Get up and walk’</w:t>
      </w:r>
      <w:r>
        <w:rPr>
          <w:lang w:val="en_US" w:bidi="en_US"/>
        </w:rPr>
        <w:t xml:space="preserve"> is also an embedded quotation. As with “Your sins are forgiven,” some languages may prefer to use indirect speech here. For example:</w:t>
      </w:r>
    </w:p>
    <w:p>
      <w:pPr/>
      <w:r>
        <w:rPr>
          <w:lang w:val="en_US" w:bidi="en_US"/>
        </w:rPr>
      </w:r>
      <w:r>
        <w:rPr>
          <w:lang w:val="en_US" w:bidi="en_US"/>
        </w:rPr>
        <w:t xml:space="preserve">…or for </w:t>
      </w:r>
      <w:r>
        <w:rPr>
          <w:lang w:val="en_US" w:bidi="en_US"/>
        </w:rPr>
        <w:t>a man</w:t>
      </w:r>
      <w:r>
        <w:rPr>
          <w:lang w:val="en_US" w:bidi="en_US"/>
        </w:rPr>
        <w:t xml:space="preserve"> to tell </w:t>
      </w:r>
      <w:r>
        <w:rPr>
          <w:lang w:val="en_US" w:bidi="en_US"/>
        </w:rPr>
        <w:t>a paralyzed person</w:t>
      </w:r>
      <w:r>
        <w:rPr>
          <w:lang w:val="en_US" w:bidi="en_US"/>
        </w:rPr>
        <w:t xml:space="preserve"> to get up and walk?</w:t>
      </w:r>
    </w:p>
    <w:p>
      <w:pPr/>
      <w:r>
        <w:rPr>
          <w:lang w:val="en_US" w:bidi="en_US"/>
        </w:rPr>
      </w:r>
      <w:r>
        <w:rPr>
          <w:lang w:val="en_US" w:bidi="en_US"/>
        </w:rPr>
        <w:t>…or to tell him to get up and walk? (CEV)</w:t>
      </w:r>
    </w:p>
    <w:p>
      <w:pPr>
        <w:pStyle w:val="Heading6"/>
      </w:pPr>
      <w:r>
        <w:rPr>
          <w:b/>
          <w:lang w:val="en_US" w:bidi="en_US"/>
        </w:rPr>
        <w:t>General Comment on 5:23a–c</w:t>
      </w:r>
    </w:p>
    <w:p>
      <w:pPr/>
      <w:r>
        <w:rPr>
          <w:lang w:val="en_US" w:bidi="en_US"/>
        </w:rPr>
      </w:r>
      <w:r>
        <w:rPr>
          <w:lang w:val="en_US" w:bidi="en_US"/>
        </w:rPr>
        <w:t>It may be clearer to change the order in this verse. Here are two examples:</w:t>
      </w:r>
    </w:p>
    <w:p>
      <w:pPr/>
      <w:r>
        <w:rPr>
          <w:lang w:val="en_US" w:bidi="en_US"/>
        </w:rPr>
      </w:r>
      <w:r>
        <w:rPr>
          <w:vertAlign w:val="superscript"/>
          <w:lang w:val="en_US" w:bidi="en_US"/>
        </w:rPr>
        <w:t>23b</w:t>
      </w:r>
      <w:r>
        <w:rPr>
          <w:lang w:val="en_US" w:bidi="en_US"/>
        </w:rPr>
        <w:t xml:space="preserve">There are two things I could say to this man: “Your sins are forgiven” </w:t>
      </w:r>
      <w:r>
        <w:rPr>
          <w:vertAlign w:val="superscript"/>
          <w:lang w:val="en_US" w:bidi="en_US"/>
        </w:rPr>
        <w:t>23c</w:t>
      </w:r>
      <w:r>
        <w:rPr>
          <w:lang w:val="en_US" w:bidi="en_US"/>
        </w:rPr>
        <w:t xml:space="preserve">and “Get up and walk.” </w:t>
      </w:r>
      <w:r>
        <w:rPr>
          <w:vertAlign w:val="superscript"/>
          <w:lang w:val="en_US" w:bidi="en_US"/>
        </w:rPr>
        <w:t>23a</w:t>
      </w:r>
      <w:r>
        <w:rPr>
          <w:lang w:val="en_US" w:bidi="en_US"/>
        </w:rPr>
        <w:t>Which one is easier?</w:t>
      </w:r>
    </w:p>
    <w:p>
      <w:pPr/>
      <w:r>
        <w:rPr>
          <w:lang w:val="en_US" w:bidi="en_US"/>
        </w:rPr>
      </w:r>
      <w:r>
        <w:rPr>
          <w:vertAlign w:val="superscript"/>
          <w:lang w:val="en_US" w:bidi="en_US"/>
        </w:rPr>
        <w:t>23b</w:t>
      </w:r>
      <w:r>
        <w:rPr>
          <w:lang w:val="en_US" w:bidi="en_US"/>
        </w:rPr>
        <w:t xml:space="preserve">I can say to the paralyzed man, “Your sins are forgiven.” </w:t>
      </w:r>
      <w:r>
        <w:rPr>
          <w:vertAlign w:val="superscript"/>
          <w:lang w:val="en_US" w:bidi="en_US"/>
        </w:rPr>
        <w:t>23c</w:t>
      </w:r>
      <w:r>
        <w:rPr>
          <w:lang w:val="en_US" w:bidi="en_US"/>
        </w:rPr>
        <w:t xml:space="preserve">Or I can say, “Get up and walk.” </w:t>
      </w:r>
      <w:r>
        <w:rPr>
          <w:vertAlign w:val="superscript"/>
          <w:lang w:val="en_US" w:bidi="en_US"/>
        </w:rPr>
        <w:t>23a</w:t>
      </w:r>
      <w:r>
        <w:rPr>
          <w:lang w:val="en_US" w:bidi="en_US"/>
        </w:rPr>
        <w:t xml:space="preserve">Which one is easy </w:t>
      </w:r>
      <w:r>
        <w:rPr>
          <w:lang w:val="en_US" w:bidi="en_US"/>
        </w:rPr>
        <w:t>and which one is difficult</w:t>
      </w:r>
      <w:r>
        <w:rPr>
          <w:lang w:val="en_US" w:bidi="en_US"/>
        </w:rPr>
        <w:t>?</w:t>
      </w:r>
      <w:r>
        <w:rPr>
          <w:lang w:val="en_US" w:bidi="en_US"/>
        </w:rPr>
      </w:r>
      <w:r>
        <w:rPr>
          <w:lang w:val="en_US" w:bidi="en_US"/>
        </w:rPr>
      </w:r>
    </w:p>
    <w:p>
      <w:pPr/>
      <w:r>
        <w:rPr>
          <w:lang w:val="en_US" w:bidi="en_US"/>
        </w:rPr>
      </w:r>
    </w:p>
    <w:p>
      <w:pPr>
        <w:pStyle w:val="Heading2"/>
      </w:pPr>
      <w:r>
        <w:rPr>
          <w:lang w:val="en_US" w:bidi="en_US"/>
        </w:rPr>
        <w:t>Luke 5:24</w:t>
      </w:r>
      <w:r>
        <w:rPr>
          <w:lang w:val="en_US" w:bidi="en_US"/>
        </w:rPr>
      </w:r>
    </w:p>
    <w:p>
      <w:pPr>
        <w:pStyle w:val="Heading4"/>
      </w:pPr>
      <w:r>
        <w:rPr>
          <w:lang w:val="en_US" w:bidi="en_US"/>
        </w:rPr>
        <w:t>Section 5:17–26: Jesus healed a paralyzed man</w:t>
      </w:r>
    </w:p>
    <w:p>
      <w:pPr/>
      <w:r>
        <w:rPr>
          <w:lang w:val="en_US" w:bidi="en_US"/>
        </w:rPr>
      </w:r>
      <w:r>
        <w:rPr>
          <w:lang w:val="en_US" w:bidi="en_US"/>
        </w:rPr>
        <w:t>In this section, Luke focused on Jesus’ authority. Jesus used his authority from God to forgive the paralyzed man’s sins. The religious leaders questioned that authority. Jesus proved his authority to forgive sin when he healed the paralyzed man.</w:t>
      </w:r>
    </w:p>
    <w:p>
      <w:pPr/>
      <w:r>
        <w:rPr>
          <w:lang w:val="en_US" w:bidi="en_US"/>
        </w:rPr>
      </w:r>
      <w:r>
        <w:rPr>
          <w:lang w:val="en_US" w:bidi="en_US"/>
        </w:rPr>
        <w:t>Some other possible headings for this section are:</w:t>
      </w:r>
    </w:p>
    <w:p>
      <w:pPr/>
      <w:r>
        <w:rPr>
          <w:lang w:val="en_US" w:bidi="en_US"/>
        </w:rPr>
      </w:r>
      <w:r>
        <w:rPr>
          <w:lang w:val="en_US" w:bidi="en_US"/>
        </w:rPr>
        <w:t>Jesus showed that he had authority to forgive sins</w:t>
      </w:r>
    </w:p>
    <w:p>
      <w:pPr/>
      <w:r>
        <w:rPr>
          <w:lang w:val="en_US" w:bidi="en_US"/>
        </w:rPr>
      </w:r>
      <w:r>
        <w:rPr>
          <w:lang w:val="en_US" w:bidi="en_US"/>
        </w:rPr>
        <w:t>Jesus forgave the sins of a paralyzed man and healed him</w:t>
      </w:r>
    </w:p>
    <w:p>
      <w:pPr/>
      <w:r>
        <w:rPr>
          <w:lang w:val="en_US" w:bidi="en_US"/>
        </w:rPr>
      </w:r>
      <w:r>
        <w:rPr>
          <w:lang w:val="en_US" w:bidi="en_US"/>
        </w:rPr>
        <w:t>There are parallel passages for this section in Matthew 9:1–8 and Mark 2:1–12.</w:t>
      </w:r>
    </w:p>
    <w:p>
      <w:pPr>
        <w:pStyle w:val="Heading5"/>
      </w:pPr>
      <w:r>
        <w:rPr>
          <w:lang w:val="en_US" w:bidi="en_US"/>
        </w:rPr>
        <w:t>5:24a</w:t>
      </w:r>
    </w:p>
    <w:p>
      <w:pPr/>
      <w:r>
        <w:rPr>
          <w:lang w:val="en_US" w:bidi="en_US"/>
        </w:rPr>
      </w:r>
      <w:r>
        <w:rPr>
          <w:b/>
          <w:lang w:val="en_US" w:bidi="en_US"/>
        </w:rPr>
        <w:t>But so that you may know that the Son of Man has authority on the earth to forgive sins...”</w:t>
      </w:r>
    </w:p>
    <w:p>
      <w:pPr>
        <w:pStyle w:val="ListBullet"/>
        <w:spacing w:line="240" w:lineRule="auto"/>
        <w:ind w:left="720"/>
      </w:pPr>
      <w:r>
        <w:rPr>
          <w:lang w:val="en_US" w:bidi="en_US"/>
        </w:rPr>
      </w:r>
      <w:r>
        <w:rPr>
          <w:lang w:val="en_US" w:bidi="en_US"/>
        </w:rPr>
        <w:t xml:space="preserve">In order that you may know that the Son of Man has authority on earth to forgive sins, </w:t>
      </w:r>
      <w:r>
        <w:rPr>
          <w:lang w:val="en_US" w:bidi="en_US"/>
        </w:rPr>
        <w:t>I am now going to do this</w:t>
      </w:r>
      <w:r>
        <w:rPr>
          <w:lang w:val="en_US" w:bidi="en_US"/>
        </w:rPr>
        <w:t>.”</w:t>
      </w:r>
    </w:p>
    <w:p>
      <w:pPr>
        <w:pStyle w:val="ListBullet"/>
        <w:spacing w:line="240" w:lineRule="auto"/>
        <w:ind w:left="720"/>
      </w:pPr>
      <w:r>
        <w:rPr>
          <w:lang w:val="en_US" w:bidi="en_US"/>
        </w:rPr>
      </w:r>
      <w:r>
        <w:rPr>
          <w:lang w:val="en_US" w:bidi="en_US"/>
        </w:rPr>
        <w:t xml:space="preserve">I will prove to you that </w:t>
      </w:r>
      <w:r>
        <w:rPr>
          <w:lang w:val="en_US" w:bidi="en_US"/>
        </w:rPr>
        <w:t>I,</w:t>
      </w:r>
      <w:r>
        <w:rPr>
          <w:lang w:val="en_US" w:bidi="en_US"/>
        </w:rPr>
        <w:t xml:space="preserve"> the Son of Man, have the power/right in this world to forgive </w:t>
      </w:r>
      <w:r>
        <w:rPr>
          <w:lang w:val="en_US" w:bidi="en_US"/>
        </w:rPr>
        <w:t>people for</w:t>
      </w:r>
      <w:r>
        <w:rPr>
          <w:lang w:val="en_US" w:bidi="en_US"/>
        </w:rPr>
        <w:t xml:space="preserve"> sinning.”</w:t>
      </w:r>
    </w:p>
    <w:p>
      <w:pPr/>
      <w:r>
        <w:rPr>
          <w:lang w:val="en_US" w:bidi="en_US"/>
        </w:rPr>
      </w:r>
      <w:r>
        <w:rPr>
          <w:b/>
          <w:lang w:val="en_US" w:bidi="en_US"/>
        </w:rPr>
        <w:t>But so that you may know that the Son of Man has authority on the earth to forgive sins…:</w:t>
      </w:r>
      <w:r>
        <w:rPr>
          <w:lang w:val="en_US" w:bidi="en_US"/>
        </w:rPr>
        <w:t xml:space="preserve"> This clause expresses Jesus’ purpose for healing the paralyzed man. He wanted the teachers of the law and everyone else to know that he had the power or authority to forgive sins.</w:t>
      </w:r>
    </w:p>
    <w:p>
      <w:pPr/>
      <w:r>
        <w:rPr>
          <w:lang w:val="en_US" w:bidi="en_US"/>
        </w:rPr>
      </w:r>
      <w:r>
        <w:rPr>
          <w:lang w:val="en_US" w:bidi="en_US"/>
        </w:rPr>
        <w:t>In the Greek text, as in the BSB, this is not a complete sentence. The BSB uses an ellipsis mark (…) to show that this is not a complete sentence. Other translations, such as the ESV and the NET, use a dash. In your language, it may be necessary to express this purpose as a complete sentence. For example:</w:t>
      </w:r>
    </w:p>
    <w:p>
      <w:pPr/>
      <w:r>
        <w:rPr>
          <w:lang w:val="en_US" w:bidi="en_US"/>
        </w:rPr>
      </w:r>
      <w:r>
        <w:rPr>
          <w:u w:val="single"/>
          <w:lang w:val="en_US" w:bidi="en_US"/>
        </w:rPr>
        <w:t>I will prove to you, then</w:t>
      </w:r>
      <w:r>
        <w:rPr>
          <w:lang w:val="en_US" w:bidi="en_US"/>
        </w:rPr>
        <w:t>, that the Son of Man has authority on earth to forgive sins. (GNT)</w:t>
      </w:r>
    </w:p>
    <w:p>
      <w:pPr/>
      <w:r>
        <w:rPr>
          <w:lang w:val="en_US" w:bidi="en_US"/>
        </w:rPr>
      </w:r>
      <w:r>
        <w:rPr>
          <w:lang w:val="en_US" w:bidi="en_US"/>
        </w:rPr>
        <w:t xml:space="preserve">In order that you may know that the Son of Man has authority on earth to forgive sins, </w:t>
      </w:r>
      <w:r>
        <w:rPr>
          <w:lang w:val="en_US" w:bidi="en_US"/>
        </w:rPr>
        <w:t>I do this</w:t>
      </w:r>
      <w:r>
        <w:rPr>
          <w:lang w:val="en_US" w:bidi="en_US"/>
        </w:rPr>
        <w:t>.</w:t>
      </w:r>
    </w:p>
    <w:p>
      <w:pPr/>
      <w:r>
        <w:rPr>
          <w:lang w:val="en_US" w:bidi="en_US"/>
        </w:rPr>
      </w:r>
      <w:r>
        <w:rPr>
          <w:u w:val="single"/>
          <w:lang w:val="en_US" w:bidi="en_US"/>
        </w:rPr>
        <w:t>I want</w:t>
      </w:r>
      <w:r>
        <w:rPr>
          <w:lang w:val="en_US" w:bidi="en_US"/>
        </w:rPr>
        <w:t xml:space="preserve"> you to know that the Son of Man has authority on earth to forgive sins. (GW)</w:t>
      </w:r>
    </w:p>
    <w:p>
      <w:pPr/>
      <w:r>
        <w:rPr>
          <w:lang w:val="en_US" w:bidi="en_US"/>
        </w:rPr>
      </w:r>
      <w:r>
        <w:rPr>
          <w:b/>
          <w:lang w:val="en_US" w:bidi="en_US"/>
        </w:rPr>
        <w:t>But so that:</w:t>
      </w:r>
      <w:r>
        <w:rPr>
          <w:lang w:val="en_US" w:bidi="en_US"/>
        </w:rPr>
        <w:t xml:space="preserve"> The Greek phrase that the BSB translates as </w:t>
      </w:r>
      <w:r>
        <w:rPr>
          <w:i/>
          <w:lang w:val="en_US" w:bidi="en_US"/>
        </w:rPr>
        <w:t>But so that</w:t>
      </w:r>
      <w:r>
        <w:rPr>
          <w:lang w:val="en_US" w:bidi="en_US"/>
        </w:rPr>
        <w:t xml:space="preserve"> introduces a purpose clause. There are several ways to translate this phrase. For example:</w:t>
      </w:r>
    </w:p>
    <w:p>
      <w:pPr/>
      <w:r>
        <w:rPr>
          <w:lang w:val="en_US" w:bidi="en_US"/>
        </w:rPr>
      </w:r>
      <w:r>
        <w:rPr>
          <w:lang w:val="en_US" w:bidi="en_US"/>
        </w:rPr>
        <w:t>But now you will see that (CEV)</w:t>
      </w:r>
    </w:p>
    <w:p>
      <w:pPr/>
      <w:r>
        <w:rPr>
          <w:lang w:val="en_US" w:bidi="en_US"/>
        </w:rPr>
      </w:r>
      <w:r>
        <w:rPr>
          <w:lang w:val="en_US" w:bidi="en_US"/>
        </w:rPr>
        <w:t>So I will prove to you that (NLT)</w:t>
      </w:r>
    </w:p>
    <w:p>
      <w:pPr/>
      <w:r>
        <w:rPr>
          <w:lang w:val="en_US" w:bidi="en_US"/>
        </w:rPr>
      </w:r>
      <w:r>
        <w:rPr>
          <w:lang w:val="en_US" w:bidi="en_US"/>
        </w:rPr>
        <w:t>I want you to know that (GW)</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literally “the Son of the human/person.” Jesus used this title to imply that:</w:t>
      </w:r>
    </w:p>
    <w:p>
      <w:pPr>
        <w:pStyle w:val="ListNumber"/>
        <w:numPr>
          <w:ilvl w:val="0"/>
          <w:numId w:val="112"/>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 Some expressions that translators have used are:</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In some cases, an unusual title may correctly suggest a deeper meaning. For example:</w:t>
      </w:r>
    </w:p>
    <w:p>
      <w:pPr/>
      <w:r>
        <w:rPr>
          <w:lang w:val="en_US" w:bidi="en_US"/>
        </w:rPr>
      </w:r>
      <w:r>
        <w:rPr>
          <w:lang w:val="en_US" w:bidi="en_US"/>
        </w:rPr>
        <w:t>the Child of a Person</w:t>
      </w:r>
    </w:p>
    <w:p>
      <w:pPr/>
      <w:r>
        <w:rPr>
          <w:lang w:val="en_US" w:bidi="en_US"/>
        </w:rPr>
      </w:r>
      <w:r>
        <w:rPr>
          <w:lang w:val="en_US" w:bidi="en_US"/>
        </w:rPr>
        <w:t>the One who was Born as a Human</w:t>
      </w:r>
    </w:p>
    <w:p>
      <w:pPr/>
      <w:r>
        <w:rPr>
          <w:lang w:val="en_US" w:bidi="en_US"/>
        </w:rPr>
      </w:r>
      <w:r>
        <w:rPr>
          <w:lang w:val="en_US" w:bidi="en_US"/>
        </w:rPr>
        <w:t>Translators have also used expressions that are more literal. These more literal expressions may be appropriate where readers are familiar with a literal title in another version.</w:t>
      </w:r>
    </w:p>
    <w:p>
      <w:pPr/>
      <w:r>
        <w:rPr>
          <w:lang w:val="en_US" w:bidi="en_US"/>
        </w:rPr>
      </w:r>
      <w:r>
        <w:rPr>
          <w:lang w:val="en_US" w:bidi="en_US"/>
        </w:rPr>
        <w:t>In some languages it may be necessary to use a form like “I” or “me” to indicate that Jesus was referring to himself. For example:</w:t>
      </w:r>
    </w:p>
    <w:p>
      <w:pPr/>
      <w:r>
        <w:rPr>
          <w:lang w:val="en_US" w:bidi="en_US"/>
        </w:rPr>
      </w:r>
      <w:r>
        <w:rPr>
          <w:u w:val="single"/>
          <w:lang w:val="en_US" w:bidi="en_US"/>
        </w:rPr>
        <w:t>I</w:t>
      </w:r>
      <w:r>
        <w:rPr>
          <w:lang w:val="en_US" w:bidi="en_US"/>
        </w:rPr>
        <w:t>, the Son of Man</w:t>
      </w:r>
    </w:p>
    <w:p>
      <w:pPr/>
      <w:r>
        <w:rPr>
          <w:lang w:val="en_US" w:bidi="en_US"/>
        </w:rPr>
      </w:r>
      <w:r>
        <w:rPr>
          <w:u w:val="single"/>
          <w:lang w:val="en_US" w:bidi="en_US"/>
        </w:rPr>
        <w:t>I</w:t>
      </w:r>
      <w:r>
        <w:rPr>
          <w:lang w:val="en_US" w:bidi="en_US"/>
        </w:rPr>
        <w:t xml:space="preserve"> who became man/human</w:t>
      </w:r>
    </w:p>
    <w:p>
      <w:pPr/>
      <w:r>
        <w:rPr>
          <w:lang w:val="en_US" w:bidi="en_US"/>
        </w:rPr>
      </w:r>
      <w:r>
        <w:rPr>
          <w:lang w:val="en_US" w:bidi="en_US"/>
        </w:rPr>
        <w:t xml:space="preserve">See </w:t>
      </w:r>
      <w:r>
        <w:rPr>
          <w:u w:val="single"/>
          <w:lang w:val="en_US" w:bidi="en_US"/>
        </w:rPr>
        <w:t>Son of Man</w:t>
      </w:r>
      <w:r>
        <w:rPr>
          <w:lang w:val="en_US" w:bidi="en_US"/>
        </w:rPr>
        <w:t xml:space="preserve"> in KBT.</w:t>
      </w:r>
    </w:p>
    <w:p>
      <w:pPr/>
      <w:r>
        <w:rPr>
          <w:lang w:val="en_US" w:bidi="en_US"/>
        </w:rPr>
      </w:r>
      <w:r>
        <w:rPr>
          <w:b/>
          <w:lang w:val="en_US" w:bidi="en_US"/>
        </w:rPr>
        <w:t>has authority on the earth:</w:t>
      </w:r>
      <w:r>
        <w:rPr>
          <w:lang w:val="en_US" w:bidi="en_US"/>
        </w:rPr>
        <w:t xml:space="preserve"> The term </w:t>
      </w:r>
      <w:r>
        <w:rPr>
          <w:i/>
          <w:lang w:val="en_US" w:bidi="en_US"/>
        </w:rPr>
        <w:t>authority</w:t>
      </w:r>
      <w:r>
        <w:rPr>
          <w:lang w:val="en_US" w:bidi="en_US"/>
        </w:rPr>
        <w:t xml:space="preserve"> means that Jesus has the “power,” “ability,” or “right” to forgive sins here on earth. The people listening to Jesus already knew that God had this authority in heaven. The term </w:t>
      </w:r>
      <w:r>
        <w:rPr>
          <w:i/>
          <w:lang w:val="en_US" w:bidi="en_US"/>
        </w:rPr>
        <w:t>earth</w:t>
      </w:r>
      <w:r>
        <w:rPr>
          <w:lang w:val="en_US" w:bidi="en_US"/>
        </w:rPr>
        <w:t>, for the place where people live, contrasts with heaven, the place where God dwells. Some other ways to translate this are:</w:t>
      </w:r>
    </w:p>
    <w:p>
      <w:pPr/>
      <w:r>
        <w:rPr>
          <w:lang w:val="en_US" w:bidi="en_US"/>
        </w:rPr>
      </w:r>
      <w:r>
        <w:rPr>
          <w:lang w:val="en_US" w:bidi="en_US"/>
        </w:rPr>
        <w:t>has the power here on earth</w:t>
      </w:r>
    </w:p>
    <w:p>
      <w:pPr/>
      <w:r>
        <w:rPr>
          <w:lang w:val="en_US" w:bidi="en_US"/>
        </w:rPr>
      </w:r>
      <w:r>
        <w:rPr>
          <w:lang w:val="en_US" w:bidi="en_US"/>
        </w:rPr>
        <w:t xml:space="preserve">has authority in the world </w:t>
      </w:r>
      <w:r>
        <w:rPr>
          <w:lang w:val="en_US" w:bidi="en_US"/>
        </w:rPr>
        <w:t>of men</w:t>
      </w:r>
    </w:p>
    <w:p>
      <w:pPr/>
      <w:r>
        <w:rPr>
          <w:lang w:val="en_US" w:bidi="en_US"/>
        </w:rPr>
      </w:r>
      <w:r>
        <w:rPr>
          <w:lang w:val="en_US" w:bidi="en_US"/>
        </w:rPr>
        <w:t>has the right…here on earth (CEV)</w:t>
      </w:r>
    </w:p>
    <w:p>
      <w:pPr/>
      <w:r>
        <w:rPr>
          <w:lang w:val="en_US" w:bidi="en_US"/>
        </w:rPr>
      </w:r>
      <w:r>
        <w:rPr>
          <w:b/>
          <w:lang w:val="en_US" w:bidi="en_US"/>
        </w:rPr>
        <w:t>to forgive sins:</w:t>
      </w:r>
      <w:r>
        <w:rPr>
          <w:lang w:val="en_US" w:bidi="en_US"/>
        </w:rPr>
        <w:t xml:space="preserve"> Use the same expression that you used in 5:21c.</w:t>
      </w:r>
    </w:p>
    <w:p>
      <w:pPr>
        <w:pStyle w:val="Heading5"/>
      </w:pPr>
      <w:r>
        <w:rPr>
          <w:lang w:val="en_US" w:bidi="en_US"/>
        </w:rPr>
        <w:t>5:24b</w:t>
      </w:r>
    </w:p>
    <w:p>
      <w:pPr/>
      <w:r>
        <w:rPr>
          <w:lang w:val="en_US" w:bidi="en_US"/>
        </w:rPr>
      </w:r>
      <w:r>
        <w:rPr>
          <w:b/>
          <w:lang w:val="en_US" w:bidi="en_US"/>
        </w:rPr>
        <w:t>He said to the paralytic,</w:t>
      </w:r>
    </w:p>
    <w:p>
      <w:pPr>
        <w:pStyle w:val="ListBullet"/>
        <w:spacing w:line="240" w:lineRule="auto"/>
        <w:ind w:left="720"/>
      </w:pPr>
      <w:r>
        <w:rPr>
          <w:lang w:val="en_US" w:bidi="en_US"/>
        </w:rPr>
      </w:r>
      <w:r>
        <w:rPr>
          <w:lang w:val="en_US" w:bidi="en_US"/>
        </w:rPr>
        <w:t>Then</w:t>
      </w:r>
      <w:r>
        <w:rPr>
          <w:lang w:val="en_US" w:bidi="en_US"/>
        </w:rPr>
        <w:t xml:space="preserve"> he told/ordered the paralyzed man,</w:t>
      </w:r>
    </w:p>
    <w:p>
      <w:pPr>
        <w:pStyle w:val="ListBullet"/>
        <w:spacing w:line="240" w:lineRule="auto"/>
        <w:ind w:left="720"/>
      </w:pPr>
      <w:r>
        <w:rPr>
          <w:lang w:val="en_US" w:bidi="en_US"/>
        </w:rPr>
      </w:r>
      <w:r>
        <w:rPr>
          <w:lang w:val="en_US" w:bidi="en_US"/>
        </w:rPr>
        <w:t>Then Jesus turned to the paralyzed man and said, (NLT)</w:t>
      </w:r>
    </w:p>
    <w:p>
      <w:pPr/>
      <w:r>
        <w:rPr>
          <w:lang w:val="en_US" w:bidi="en_US"/>
        </w:rPr>
      </w:r>
      <w:r>
        <w:rPr>
          <w:b/>
          <w:lang w:val="en_US" w:bidi="en_US"/>
        </w:rPr>
        <w:t>He said to the paralytic:</w:t>
      </w:r>
      <w:r>
        <w:rPr>
          <w:lang w:val="en_US" w:bidi="en_US"/>
        </w:rPr>
        <w:t xml:space="preserve"> Jesus stopped talking to the religious leaders and turned to give a command to the paralyzed man. In some languages it may be more natural to note explicitly that Jesus changed whom he was addressing. For example:</w:t>
      </w:r>
    </w:p>
    <w:p>
      <w:pPr/>
      <w:r>
        <w:rPr>
          <w:lang w:val="en_US" w:bidi="en_US"/>
        </w:rPr>
      </w:r>
      <w:r>
        <w:rPr>
          <w:u w:val="single"/>
          <w:lang w:val="en_US" w:bidi="en_US"/>
        </w:rPr>
        <w:t>Then</w:t>
      </w:r>
      <w:r>
        <w:rPr>
          <w:lang w:val="en_US" w:bidi="en_US"/>
        </w:rPr>
        <w:t xml:space="preserve"> he said to the paralyzed man (GW)</w:t>
      </w:r>
    </w:p>
    <w:p>
      <w:pPr/>
      <w:r>
        <w:rPr>
          <w:lang w:val="en_US" w:bidi="en_US"/>
        </w:rPr>
      </w:r>
      <w:r>
        <w:rPr>
          <w:u w:val="single"/>
          <w:lang w:val="en_US" w:bidi="en_US"/>
        </w:rPr>
        <w:t>So</w:t>
      </w:r>
      <w:r>
        <w:rPr>
          <w:lang w:val="en_US" w:bidi="en_US"/>
        </w:rPr>
        <w:t xml:space="preserve"> he said to the paralyzed man (GNT)</w:t>
      </w:r>
    </w:p>
    <w:p>
      <w:pPr/>
      <w:r>
        <w:rPr>
          <w:lang w:val="en_US" w:bidi="en_US"/>
        </w:rPr>
      </w:r>
      <w:r>
        <w:rPr>
          <w:lang w:val="en_US" w:bidi="en_US"/>
        </w:rPr>
        <w:t xml:space="preserve">Then Jesus </w:t>
      </w:r>
      <w:r>
        <w:rPr>
          <w:u w:val="single"/>
          <w:lang w:val="en_US" w:bidi="en_US"/>
        </w:rPr>
        <w:t>turned</w:t>
      </w:r>
      <w:r>
        <w:rPr>
          <w:lang w:val="en_US" w:bidi="en_US"/>
        </w:rPr>
        <w:t xml:space="preserve"> to the paralyzed man and said (NLT)</w:t>
      </w:r>
    </w:p>
    <w:p>
      <w:pPr/>
      <w:r>
        <w:rPr>
          <w:lang w:val="en_US" w:bidi="en_US"/>
        </w:rPr>
      </w:r>
      <w:r>
        <w:rPr>
          <w:lang w:val="en_US" w:bidi="en_US"/>
        </w:rPr>
        <w:t xml:space="preserve">The verb </w:t>
      </w:r>
      <w:r>
        <w:rPr>
          <w:i/>
          <w:lang w:val="en_US" w:bidi="en_US"/>
        </w:rPr>
        <w:t>said</w:t>
      </w:r>
      <w:r>
        <w:rPr>
          <w:lang w:val="en_US" w:bidi="en_US"/>
        </w:rPr>
        <w:t xml:space="preserve"> here introduces a command. In some languages it may be necessary to make this explicit:</w:t>
      </w:r>
    </w:p>
    <w:p>
      <w:pPr/>
      <w:r>
        <w:rPr>
          <w:lang w:val="en_US" w:bidi="en_US"/>
        </w:rPr>
      </w:r>
      <w:r>
        <w:rPr>
          <w:lang w:val="en_US" w:bidi="en_US"/>
        </w:rPr>
        <w:t xml:space="preserve">Jesus </w:t>
      </w:r>
      <w:r>
        <w:rPr>
          <w:u w:val="single"/>
          <w:lang w:val="en_US" w:bidi="en_US"/>
        </w:rPr>
        <w:t>ordered</w:t>
      </w:r>
      <w:r>
        <w:rPr>
          <w:lang w:val="en_US" w:bidi="en_US"/>
        </w:rPr>
        <w:t xml:space="preserve"> the paralyzed man</w:t>
      </w:r>
    </w:p>
    <w:p>
      <w:pPr>
        <w:pStyle w:val="Heading5"/>
      </w:pPr>
      <w:r>
        <w:rPr>
          <w:lang w:val="en_US" w:bidi="en_US"/>
        </w:rPr>
        <w:t>5:24c</w:t>
      </w:r>
    </w:p>
    <w:p>
      <w:pPr/>
      <w:r>
        <w:rPr>
          <w:lang w:val="en_US" w:bidi="en_US"/>
        </w:rPr>
      </w:r>
      <w:r>
        <w:rPr>
          <w:b/>
          <w:lang w:val="en_US" w:bidi="en_US"/>
        </w:rPr>
        <w:t>“I tell you, get up, pick up your mat, and go home.”</w:t>
      </w:r>
    </w:p>
    <w:p>
      <w:pPr>
        <w:pStyle w:val="ListBullet"/>
        <w:spacing w:line="240" w:lineRule="auto"/>
        <w:ind w:left="720"/>
      </w:pPr>
      <w:r>
        <w:rPr>
          <w:lang w:val="en_US" w:bidi="en_US"/>
        </w:rPr>
      </w:r>
      <w:r>
        <w:rPr>
          <w:lang w:val="en_US" w:bidi="en_US"/>
        </w:rPr>
        <w:t>“Listen</w:t>
      </w:r>
      <w:r>
        <w:rPr>
          <w:vertAlign w:val="superscript"/>
          <w:lang w:val="en_US" w:bidi="en_US"/>
        </w:rPr>
        <w:t>(sing)</w:t>
      </w:r>
      <w:r>
        <w:rPr>
          <w:lang w:val="en_US" w:bidi="en_US"/>
        </w:rPr>
        <w:t xml:space="preserve"> to me. Stand up,</w:t>
      </w:r>
      <w:r>
        <w:rPr>
          <w:vertAlign w:val="superscript"/>
          <w:lang w:val="en_US" w:bidi="en_US"/>
        </w:rPr>
        <w:t>(sing)</w:t>
      </w:r>
      <w:r>
        <w:rPr>
          <w:lang w:val="en_US" w:bidi="en_US"/>
        </w:rPr>
        <w:t xml:space="preserve"> pick up your mat, and go home!”</w:t>
      </w:r>
    </w:p>
    <w:p>
      <w:pPr>
        <w:pStyle w:val="ListBullet"/>
        <w:spacing w:line="240" w:lineRule="auto"/>
        <w:ind w:left="720"/>
      </w:pPr>
      <w:r>
        <w:rPr>
          <w:lang w:val="en_US" w:bidi="en_US"/>
        </w:rPr>
      </w:r>
      <w:r>
        <w:rPr>
          <w:lang w:val="en_US" w:bidi="en_US"/>
        </w:rPr>
        <w:t>“Get up! Pick up your mat and walk home.” (CEV)</w:t>
      </w:r>
    </w:p>
    <w:p>
      <w:pPr/>
      <w:r>
        <w:rPr>
          <w:lang w:val="en_US" w:bidi="en_US"/>
        </w:rPr>
      </w:r>
      <w:r>
        <w:rPr>
          <w:b/>
          <w:lang w:val="en_US" w:bidi="en_US"/>
        </w:rPr>
        <w:t>I tell you:</w:t>
      </w:r>
      <w:r>
        <w:rPr>
          <w:lang w:val="en_US" w:bidi="en_US"/>
        </w:rPr>
        <w:t xml:space="preserve"> The pronoun </w:t>
      </w:r>
      <w:r>
        <w:rPr>
          <w:i/>
          <w:lang w:val="en_US" w:bidi="en_US"/>
        </w:rPr>
        <w:t>you</w:t>
      </w:r>
      <w:r>
        <w:rPr>
          <w:lang w:val="en_US" w:bidi="en_US"/>
        </w:rPr>
        <w:t xml:space="preserve"> is singular and refers to the paralyzed man. The phrase </w:t>
      </w:r>
      <w:r>
        <w:rPr>
          <w:i/>
          <w:lang w:val="en_US" w:bidi="en_US"/>
        </w:rPr>
        <w:t>I tell you</w:t>
      </w:r>
      <w:r>
        <w:rPr>
          <w:lang w:val="en_US" w:bidi="en_US"/>
        </w:rPr>
        <w:t xml:space="preserve"> emphasizes that Jesus was now speaking to the paralyzed man. Some other ways to translate this are:</w:t>
      </w:r>
    </w:p>
    <w:p>
      <w:pPr/>
      <w:r>
        <w:rPr>
          <w:lang w:val="en_US" w:bidi="en_US"/>
        </w:rPr>
      </w:r>
      <w:r>
        <w:rPr>
          <w:lang w:val="en_US" w:bidi="en_US"/>
        </w:rPr>
        <w:t>I say to you (RSV)</w:t>
      </w:r>
    </w:p>
    <w:p>
      <w:pPr/>
      <w:r>
        <w:rPr>
          <w:lang w:val="en_US" w:bidi="en_US"/>
        </w:rPr>
      </w:r>
      <w:r>
        <w:rPr>
          <w:lang w:val="en_US" w:bidi="en_US"/>
        </w:rPr>
        <w:t>Listen to me</w:t>
      </w:r>
    </w:p>
    <w:p>
      <w:pPr/>
      <w:r>
        <w:rPr>
          <w:lang w:val="en_US" w:bidi="en_US"/>
        </w:rPr>
      </w:r>
      <w:r>
        <w:rPr>
          <w:lang w:val="en_US" w:bidi="en_US"/>
        </w:rPr>
        <w:t>I order you</w:t>
      </w:r>
    </w:p>
    <w:p>
      <w:pPr/>
      <w:r>
        <w:rPr>
          <w:lang w:val="en_US" w:bidi="en_US"/>
        </w:rPr>
      </w:r>
      <w:r>
        <w:rPr>
          <w:b/>
          <w:lang w:val="en_US" w:bidi="en_US"/>
        </w:rPr>
        <w:t>get up:</w:t>
      </w:r>
      <w:r>
        <w:rPr>
          <w:lang w:val="en_US" w:bidi="en_US"/>
        </w:rPr>
        <w:t xml:space="preserve"> The phrase </w:t>
      </w:r>
      <w:r>
        <w:rPr>
          <w:i/>
          <w:lang w:val="en_US" w:bidi="en_US"/>
        </w:rPr>
        <w:t>get up</w:t>
      </w:r>
      <w:r>
        <w:rPr>
          <w:lang w:val="en_US" w:bidi="en_US"/>
        </w:rPr>
        <w:t xml:space="preserve"> here means “stand up.” By his words Jesus gave the man the ability to do as he was commanded. He caused the man to become well and able to stand up.</w:t>
      </w:r>
    </w:p>
    <w:p>
      <w:pPr/>
      <w:r>
        <w:rPr>
          <w:lang w:val="en_US" w:bidi="en_US"/>
        </w:rPr>
      </w:r>
      <w:r>
        <w:rPr>
          <w:b/>
          <w:lang w:val="en_US" w:bidi="en_US"/>
        </w:rPr>
        <w:t>pick up your mat, and go home:</w:t>
      </w:r>
      <w:r>
        <w:rPr>
          <w:lang w:val="en_US" w:bidi="en_US"/>
        </w:rPr>
        <w:t xml:space="preserve"> The phrase </w:t>
      </w:r>
      <w:r>
        <w:rPr>
          <w:i/>
          <w:lang w:val="en_US" w:bidi="en_US"/>
        </w:rPr>
        <w:t>pick up your mat, and go home</w:t>
      </w:r>
      <w:r>
        <w:rPr>
          <w:lang w:val="en_US" w:bidi="en_US"/>
        </w:rPr>
        <w:t xml:space="preserve"> here means “pick up your mat, </w:t>
      </w:r>
      <w:r>
        <w:rPr>
          <w:u w:val="single"/>
          <w:lang w:val="en_US" w:bidi="en_US"/>
        </w:rPr>
        <w:t>carry it</w:t>
      </w:r>
      <w:r>
        <w:rPr>
          <w:lang w:val="en_US" w:bidi="en_US"/>
        </w:rPr>
        <w:t>, and return to your house/home.”</w:t>
      </w:r>
      <w:r>
        <w:rPr>
          <w:lang w:val="en_US" w:bidi="en_US"/>
        </w:rPr>
      </w:r>
      <w:r>
        <w:rPr>
          <w:lang w:val="en_US" w:bidi="en_US"/>
        </w:rPr>
      </w:r>
    </w:p>
    <w:p>
      <w:pPr/>
      <w:r>
        <w:rPr>
          <w:lang w:val="en_US" w:bidi="en_US"/>
        </w:rPr>
      </w:r>
    </w:p>
    <w:p>
      <w:pPr>
        <w:pStyle w:val="Heading2"/>
      </w:pPr>
      <w:r>
        <w:rPr>
          <w:lang w:val="en_US" w:bidi="en_US"/>
        </w:rPr>
        <w:t>Luke 5:25</w:t>
      </w:r>
      <w:r>
        <w:rPr>
          <w:lang w:val="en_US" w:bidi="en_US"/>
        </w:rPr>
      </w:r>
    </w:p>
    <w:p>
      <w:pPr>
        <w:pStyle w:val="Heading4"/>
      </w:pPr>
      <w:r>
        <w:rPr>
          <w:lang w:val="en_US" w:bidi="en_US"/>
        </w:rPr>
        <w:t>Section 5:17–26: Jesus healed a paralyzed man</w:t>
      </w:r>
    </w:p>
    <w:p>
      <w:pPr/>
      <w:r>
        <w:rPr>
          <w:lang w:val="en_US" w:bidi="en_US"/>
        </w:rPr>
      </w:r>
      <w:r>
        <w:rPr>
          <w:lang w:val="en_US" w:bidi="en_US"/>
        </w:rPr>
        <w:t>In this section, Luke focused on Jesus’ authority. Jesus used his authority from God to forgive the paralyzed man’s sins. The religious leaders questioned that authority. Jesus proved his authority to forgive sin when he healed the paralyzed man.</w:t>
      </w:r>
    </w:p>
    <w:p>
      <w:pPr/>
      <w:r>
        <w:rPr>
          <w:lang w:val="en_US" w:bidi="en_US"/>
        </w:rPr>
      </w:r>
      <w:r>
        <w:rPr>
          <w:lang w:val="en_US" w:bidi="en_US"/>
        </w:rPr>
        <w:t>Some other possible headings for this section are:</w:t>
      </w:r>
    </w:p>
    <w:p>
      <w:pPr/>
      <w:r>
        <w:rPr>
          <w:lang w:val="en_US" w:bidi="en_US"/>
        </w:rPr>
      </w:r>
      <w:r>
        <w:rPr>
          <w:lang w:val="en_US" w:bidi="en_US"/>
        </w:rPr>
        <w:t>Jesus showed that he had authority to forgive sins</w:t>
      </w:r>
    </w:p>
    <w:p>
      <w:pPr/>
      <w:r>
        <w:rPr>
          <w:lang w:val="en_US" w:bidi="en_US"/>
        </w:rPr>
      </w:r>
      <w:r>
        <w:rPr>
          <w:lang w:val="en_US" w:bidi="en_US"/>
        </w:rPr>
        <w:t>Jesus forgave the sins of a paralyzed man and healed him</w:t>
      </w:r>
    </w:p>
    <w:p>
      <w:pPr/>
      <w:r>
        <w:rPr>
          <w:lang w:val="en_US" w:bidi="en_US"/>
        </w:rPr>
      </w:r>
      <w:r>
        <w:rPr>
          <w:lang w:val="en_US" w:bidi="en_US"/>
        </w:rPr>
        <w:t>There are parallel passages for this section in Matthew 9:1–8 and Mark 2:1–12.</w:t>
      </w:r>
    </w:p>
    <w:p>
      <w:pPr>
        <w:pStyle w:val="Heading5"/>
      </w:pPr>
      <w:r>
        <w:rPr>
          <w:lang w:val="en_US" w:bidi="en_US"/>
        </w:rPr>
        <w:t>5:25a</w:t>
      </w:r>
    </w:p>
    <w:p>
      <w:pPr/>
      <w:r>
        <w:rPr>
          <w:lang w:val="en_US" w:bidi="en_US"/>
        </w:rPr>
      </w:r>
      <w:r>
        <w:rPr>
          <w:b/>
          <w:lang w:val="en_US" w:bidi="en_US"/>
        </w:rPr>
        <w:t>And immediately the man stood up before them,</w:t>
      </w:r>
    </w:p>
    <w:p>
      <w:pPr>
        <w:pStyle w:val="ListBullet"/>
        <w:spacing w:line="240" w:lineRule="auto"/>
        <w:ind w:left="720"/>
      </w:pPr>
      <w:r>
        <w:rPr>
          <w:lang w:val="en_US" w:bidi="en_US"/>
        </w:rPr>
      </w:r>
      <w:r>
        <w:rPr>
          <w:lang w:val="en_US" w:bidi="en_US"/>
        </w:rPr>
        <w:t>¶ And immediately, as everyone watched, the man jumped up, (NLT)</w:t>
      </w:r>
    </w:p>
    <w:p>
      <w:pPr>
        <w:pStyle w:val="ListBullet"/>
        <w:spacing w:line="240" w:lineRule="auto"/>
        <w:ind w:left="720"/>
      </w:pPr>
      <w:r>
        <w:rPr>
          <w:lang w:val="en_US" w:bidi="en_US"/>
        </w:rPr>
      </w:r>
      <w:r>
        <w:rPr>
          <w:lang w:val="en_US" w:bidi="en_US"/>
        </w:rPr>
        <w:t>¶ At once the man stood up before them, (NCV)</w:t>
      </w:r>
    </w:p>
    <w:p>
      <w:pPr>
        <w:pStyle w:val="ListBullet"/>
        <w:spacing w:line="240" w:lineRule="auto"/>
        <w:ind w:left="720"/>
      </w:pPr>
      <w:r>
        <w:rPr>
          <w:lang w:val="en_US" w:bidi="en_US"/>
        </w:rPr>
      </w:r>
      <w:r>
        <w:rPr>
          <w:lang w:val="en_US" w:bidi="en_US"/>
        </w:rPr>
        <w:t>¶ At once the man stood up in front of everyone. (CEV)</w:t>
      </w:r>
    </w:p>
    <w:p>
      <w:pPr/>
      <w:r>
        <w:rPr>
          <w:lang w:val="en_US" w:bidi="en_US"/>
        </w:rPr>
      </w:r>
      <w:r>
        <w:rPr>
          <w:b/>
          <w:lang w:val="en_US" w:bidi="en_US"/>
        </w:rPr>
        <w:t>And immediately:</w:t>
      </w:r>
      <w:r>
        <w:rPr>
          <w:lang w:val="en_US" w:bidi="en_US"/>
        </w:rPr>
        <w:t xml:space="preserve"> The Greek phrase that the BSB translates as </w:t>
      </w:r>
      <w:r>
        <w:rPr>
          <w:i/>
          <w:lang w:val="en_US" w:bidi="en_US"/>
        </w:rPr>
        <w:t>And immediately</w:t>
      </w:r>
      <w:r>
        <w:rPr>
          <w:lang w:val="en_US" w:bidi="en_US"/>
        </w:rPr>
        <w:t xml:space="preserve"> is literally “And at once.” It introduces what happened when Jesus spoke to the man. As soon as Jesus spoke, the man was healed. This was proof of Jesus’ authority to forgive sins. Use a natural way in your language to begin this verse.</w:t>
      </w:r>
    </w:p>
    <w:p>
      <w:pPr/>
      <w:r>
        <w:rPr>
          <w:lang w:val="en_US" w:bidi="en_US"/>
        </w:rPr>
      </w:r>
      <w:r>
        <w:rPr>
          <w:b/>
          <w:lang w:val="en_US" w:bidi="en_US"/>
        </w:rPr>
        <w:t>the man stood up before them:</w:t>
      </w:r>
      <w:r>
        <w:rPr>
          <w:lang w:val="en_US" w:bidi="en_US"/>
        </w:rPr>
        <w:t xml:space="preserve"> The phrase </w:t>
      </w:r>
      <w:r>
        <w:rPr>
          <w:i/>
          <w:lang w:val="en_US" w:bidi="en_US"/>
        </w:rPr>
        <w:t>before them</w:t>
      </w:r>
      <w:r>
        <w:rPr>
          <w:lang w:val="en_US" w:bidi="en_US"/>
        </w:rPr>
        <w:t xml:space="preserve"> means “in the sight/presence of the crowd” or “while everyone was watching.” Some other ways to translate this are:</w:t>
      </w:r>
    </w:p>
    <w:p>
      <w:pPr/>
      <w:r>
        <w:rPr>
          <w:lang w:val="en_US" w:bidi="en_US"/>
        </w:rPr>
      </w:r>
      <w:r>
        <w:rPr>
          <w:lang w:val="en_US" w:bidi="en_US"/>
        </w:rPr>
        <w:t>the man stood up in front of everyone (CEV)</w:t>
      </w:r>
    </w:p>
    <w:p>
      <w:pPr/>
      <w:r>
        <w:rPr>
          <w:lang w:val="en_US" w:bidi="en_US"/>
        </w:rPr>
      </w:r>
      <w:r>
        <w:rPr>
          <w:lang w:val="en_US" w:bidi="en_US"/>
        </w:rPr>
        <w:t>as everyone watched, the man jumped up (NLT)</w:t>
      </w:r>
    </w:p>
    <w:p>
      <w:pPr>
        <w:pStyle w:val="Heading5"/>
      </w:pPr>
      <w:r>
        <w:rPr>
          <w:lang w:val="en_US" w:bidi="en_US"/>
        </w:rPr>
        <w:t>5:25b</w:t>
      </w:r>
    </w:p>
    <w:p>
      <w:pPr/>
      <w:r>
        <w:rPr>
          <w:lang w:val="en_US" w:bidi="en_US"/>
        </w:rPr>
      </w:r>
      <w:r>
        <w:rPr>
          <w:b/>
          <w:lang w:val="en_US" w:bidi="en_US"/>
        </w:rPr>
        <w:t>took what he had been lying on, and went home glorifying God.</w:t>
      </w:r>
    </w:p>
    <w:p>
      <w:pPr>
        <w:pStyle w:val="ListBullet"/>
        <w:spacing w:line="240" w:lineRule="auto"/>
        <w:ind w:left="720"/>
      </w:pPr>
      <w:r>
        <w:rPr>
          <w:lang w:val="en_US" w:bidi="en_US"/>
        </w:rPr>
      </w:r>
      <w:r>
        <w:rPr>
          <w:lang w:val="en_US" w:bidi="en_US"/>
        </w:rPr>
        <w:t>picked up his mat, and went home praising God. (NLT)</w:t>
      </w:r>
    </w:p>
    <w:p>
      <w:pPr>
        <w:pStyle w:val="ListBullet"/>
        <w:spacing w:line="240" w:lineRule="auto"/>
        <w:ind w:left="720"/>
      </w:pPr>
      <w:r>
        <w:rPr>
          <w:lang w:val="en_US" w:bidi="en_US"/>
        </w:rPr>
      </w:r>
      <w:r>
        <w:rPr>
          <w:lang w:val="en_US" w:bidi="en_US"/>
        </w:rPr>
        <w:t>He picked up his mat and went home, giving thanks to God. (CEV)</w:t>
      </w:r>
    </w:p>
    <w:p>
      <w:pPr/>
      <w:r>
        <w:rPr>
          <w:lang w:val="en_US" w:bidi="en_US"/>
        </w:rPr>
      </w:r>
      <w:r>
        <w:rPr>
          <w:b/>
          <w:lang w:val="en_US" w:bidi="en_US"/>
        </w:rPr>
        <w:t>took what he had been lying on:</w:t>
      </w:r>
      <w:r>
        <w:rPr>
          <w:lang w:val="en_US" w:bidi="en_US"/>
        </w:rPr>
        <w:t xml:space="preserve"> The phrase </w:t>
      </w:r>
      <w:r>
        <w:rPr>
          <w:i/>
          <w:lang w:val="en_US" w:bidi="en_US"/>
        </w:rPr>
        <w:t>took what he had been lying on</w:t>
      </w:r>
      <w:r>
        <w:rPr>
          <w:lang w:val="en_US" w:bidi="en_US"/>
        </w:rPr>
        <w:t xml:space="preserve"> means “picked up his mat.” For example:</w:t>
      </w:r>
    </w:p>
    <w:p>
      <w:pPr/>
      <w:r>
        <w:rPr>
          <w:lang w:val="en_US" w:bidi="en_US"/>
        </w:rPr>
      </w:r>
      <w:r>
        <w:rPr>
          <w:lang w:val="en_US" w:bidi="en_US"/>
        </w:rPr>
        <w:t>He picked up his mat (CEV)</w:t>
      </w:r>
    </w:p>
    <w:p>
      <w:pPr/>
      <w:r>
        <w:rPr>
          <w:lang w:val="en_US" w:bidi="en_US"/>
        </w:rPr>
      </w:r>
      <w:r>
        <w:rPr>
          <w:lang w:val="en_US" w:bidi="en_US"/>
        </w:rPr>
        <w:t>You may use the same word as you used in 5:24c for “mat.” The reader should understand that it is referring to the same item.</w:t>
      </w:r>
    </w:p>
    <w:p>
      <w:pPr/>
      <w:r>
        <w:rPr>
          <w:lang w:val="en_US" w:bidi="en_US"/>
        </w:rPr>
      </w:r>
      <w:r>
        <w:rPr>
          <w:b/>
          <w:lang w:val="en_US" w:bidi="en_US"/>
        </w:rPr>
        <w:t>glorifying God:</w:t>
      </w:r>
      <w:r>
        <w:rPr>
          <w:lang w:val="en_US" w:bidi="en_US"/>
        </w:rPr>
        <w:t xml:space="preserve"> The Greek phrase that the BSB translates as </w:t>
      </w:r>
      <w:r>
        <w:rPr>
          <w:i/>
          <w:lang w:val="en_US" w:bidi="en_US"/>
        </w:rPr>
        <w:t>glorifying God</w:t>
      </w:r>
      <w:r>
        <w:rPr>
          <w:lang w:val="en_US" w:bidi="en_US"/>
        </w:rPr>
        <w:t xml:space="preserve"> means to speak about how wonderful and excellent someone or something is. The man thanked and praised God that he could now walk. Other ways to translate this are:</w:t>
      </w:r>
    </w:p>
    <w:p>
      <w:pPr/>
      <w:r>
        <w:rPr>
          <w:lang w:val="en_US" w:bidi="en_US"/>
        </w:rPr>
      </w:r>
      <w:r>
        <w:rPr>
          <w:lang w:val="en_US" w:bidi="en_US"/>
        </w:rPr>
        <w:t>praising God (NIV)</w:t>
      </w:r>
    </w:p>
    <w:p>
      <w:pPr/>
      <w:r>
        <w:rPr>
          <w:lang w:val="en_US" w:bidi="en_US"/>
        </w:rPr>
      </w:r>
      <w:r>
        <w:rPr>
          <w:lang w:val="en_US" w:bidi="en_US"/>
        </w:rPr>
        <w:t>giving thanks to God (CEV)</w:t>
      </w:r>
      <w:r>
        <w:rPr>
          <w:lang w:val="en_US" w:bidi="en_US"/>
        </w:rPr>
      </w:r>
      <w:r>
        <w:rPr>
          <w:lang w:val="en_US" w:bidi="en_US"/>
        </w:rPr>
      </w:r>
    </w:p>
    <w:p>
      <w:pPr/>
      <w:r>
        <w:rPr>
          <w:lang w:val="en_US" w:bidi="en_US"/>
        </w:rPr>
      </w:r>
    </w:p>
    <w:p>
      <w:pPr>
        <w:pStyle w:val="Heading2"/>
      </w:pPr>
      <w:r>
        <w:rPr>
          <w:lang w:val="en_US" w:bidi="en_US"/>
        </w:rPr>
        <w:t>Luke 5:26</w:t>
      </w:r>
      <w:r>
        <w:rPr>
          <w:lang w:val="en_US" w:bidi="en_US"/>
        </w:rPr>
      </w:r>
    </w:p>
    <w:p>
      <w:pPr>
        <w:pStyle w:val="Heading4"/>
      </w:pPr>
      <w:r>
        <w:rPr>
          <w:lang w:val="en_US" w:bidi="en_US"/>
        </w:rPr>
        <w:t>Section 5:17–26: Jesus healed a paralyzed man</w:t>
      </w:r>
    </w:p>
    <w:p>
      <w:pPr/>
      <w:r>
        <w:rPr>
          <w:lang w:val="en_US" w:bidi="en_US"/>
        </w:rPr>
      </w:r>
      <w:r>
        <w:rPr>
          <w:lang w:val="en_US" w:bidi="en_US"/>
        </w:rPr>
        <w:t>In this section, Luke focused on Jesus’ authority. Jesus used his authority from God to forgive the paralyzed man’s sins. The religious leaders questioned that authority. Jesus proved his authority to forgive sin when he healed the paralyzed man.</w:t>
      </w:r>
    </w:p>
    <w:p>
      <w:pPr/>
      <w:r>
        <w:rPr>
          <w:lang w:val="en_US" w:bidi="en_US"/>
        </w:rPr>
      </w:r>
      <w:r>
        <w:rPr>
          <w:lang w:val="en_US" w:bidi="en_US"/>
        </w:rPr>
        <w:t>Some other possible headings for this section are:</w:t>
      </w:r>
    </w:p>
    <w:p>
      <w:pPr/>
      <w:r>
        <w:rPr>
          <w:lang w:val="en_US" w:bidi="en_US"/>
        </w:rPr>
      </w:r>
      <w:r>
        <w:rPr>
          <w:lang w:val="en_US" w:bidi="en_US"/>
        </w:rPr>
        <w:t>Jesus showed that he had authority to forgive sins</w:t>
      </w:r>
    </w:p>
    <w:p>
      <w:pPr/>
      <w:r>
        <w:rPr>
          <w:lang w:val="en_US" w:bidi="en_US"/>
        </w:rPr>
      </w:r>
      <w:r>
        <w:rPr>
          <w:lang w:val="en_US" w:bidi="en_US"/>
        </w:rPr>
        <w:t>Jesus forgave the sins of a paralyzed man and healed him</w:t>
      </w:r>
    </w:p>
    <w:p>
      <w:pPr/>
      <w:r>
        <w:rPr>
          <w:lang w:val="en_US" w:bidi="en_US"/>
        </w:rPr>
      </w:r>
      <w:r>
        <w:rPr>
          <w:lang w:val="en_US" w:bidi="en_US"/>
        </w:rPr>
        <w:t>There are parallel passages for this section in Matthew 9:1–8 and Mark 2:1–12.</w:t>
      </w:r>
    </w:p>
    <w:p>
      <w:pPr>
        <w:pStyle w:val="Heading5"/>
      </w:pPr>
      <w:r>
        <w:rPr>
          <w:lang w:val="en_US" w:bidi="en_US"/>
        </w:rPr>
        <w:t>5:26d</w:t>
      </w:r>
    </w:p>
    <w:p>
      <w:pPr/>
      <w:r>
        <w:rPr>
          <w:lang w:val="en_US" w:bidi="en_US"/>
        </w:rPr>
      </w:r>
      <w:r>
        <w:rPr>
          <w:b/>
          <w:lang w:val="en_US" w:bidi="en_US"/>
        </w:rPr>
        <w:t>and said, “We have seen remarkable things today.”</w:t>
      </w:r>
    </w:p>
    <w:p>
      <w:pPr>
        <w:pStyle w:val="ListBullet"/>
        <w:spacing w:line="240" w:lineRule="auto"/>
        <w:ind w:left="720"/>
      </w:pPr>
      <w:r>
        <w:rPr>
          <w:lang w:val="en_US" w:bidi="en_US"/>
        </w:rPr>
      </w:r>
      <w:r>
        <w:rPr>
          <w:lang w:val="en_US" w:bidi="en_US"/>
        </w:rPr>
        <w:t>and they said, “We</w:t>
      </w:r>
      <w:r>
        <w:rPr>
          <w:vertAlign w:val="superscript"/>
          <w:lang w:val="en_US" w:bidi="en_US"/>
        </w:rPr>
        <w:t>(incl)</w:t>
      </w:r>
      <w:r>
        <w:rPr>
          <w:lang w:val="en_US" w:bidi="en_US"/>
        </w:rPr>
        <w:t xml:space="preserve"> have seen wonderful/marvelous things today!”</w:t>
      </w:r>
    </w:p>
    <w:p>
      <w:pPr>
        <w:pStyle w:val="ListBullet"/>
        <w:spacing w:line="240" w:lineRule="auto"/>
        <w:ind w:left="720"/>
      </w:pPr>
      <w:r>
        <w:rPr>
          <w:lang w:val="en_US" w:bidi="en_US"/>
        </w:rPr>
      </w:r>
      <w:r>
        <w:rPr>
          <w:lang w:val="en_US" w:bidi="en_US"/>
        </w:rPr>
        <w:t xml:space="preserve">and said </w:t>
      </w:r>
      <w:r>
        <w:rPr>
          <w:lang w:val="en_US" w:bidi="en_US"/>
        </w:rPr>
        <w:t>to one another</w:t>
      </w:r>
      <w:r>
        <w:rPr>
          <w:lang w:val="en_US" w:bidi="en_US"/>
        </w:rPr>
        <w:t>, “We</w:t>
      </w:r>
      <w:r>
        <w:rPr>
          <w:vertAlign w:val="superscript"/>
          <w:lang w:val="en_US" w:bidi="en_US"/>
        </w:rPr>
        <w:t>(incl)</w:t>
      </w:r>
      <w:r>
        <w:rPr>
          <w:lang w:val="en_US" w:bidi="en_US"/>
        </w:rPr>
        <w:t xml:space="preserve"> have seen an unusual event today!”</w:t>
      </w:r>
    </w:p>
    <w:p>
      <w:pPr>
        <w:pStyle w:val="ListBullet"/>
        <w:spacing w:line="240" w:lineRule="auto"/>
        <w:ind w:left="720"/>
      </w:pPr>
      <w:r>
        <w:rPr>
          <w:lang w:val="en_US" w:bidi="en_US"/>
        </w:rPr>
      </w:r>
      <w:r>
        <w:rPr>
          <w:lang w:val="en_US" w:bidi="en_US"/>
        </w:rPr>
        <w:t xml:space="preserve">and said </w:t>
      </w:r>
      <w:r>
        <w:rPr>
          <w:lang w:val="en_US" w:bidi="en_US"/>
        </w:rPr>
        <w:t>to one another</w:t>
      </w:r>
      <w:r>
        <w:rPr>
          <w:lang w:val="en_US" w:bidi="en_US"/>
        </w:rPr>
        <w:t xml:space="preserve"> that they had seen incredible things that day.</w:t>
      </w:r>
    </w:p>
    <w:p>
      <w:pPr>
        <w:pStyle w:val="Heading5"/>
      </w:pPr>
      <w:r>
        <w:rPr>
          <w:lang w:val="en_US" w:bidi="en_US"/>
        </w:rPr>
        <w:t>5:26</w:t>
      </w:r>
    </w:p>
    <w:p>
      <w:pPr/>
      <w:r>
        <w:rPr>
          <w:lang w:val="en_US" w:bidi="en_US"/>
        </w:rPr>
      </w:r>
      <w:r>
        <w:rPr>
          <w:lang w:val="en_US" w:bidi="en_US"/>
        </w:rPr>
        <w:t>In Greek, the conjunction that is often translated as “and” occurs three times in 5:26:</w:t>
      </w:r>
    </w:p>
    <w:p>
      <w:pPr/>
      <w:r>
        <w:rPr>
          <w:lang w:val="en_US" w:bidi="en_US"/>
        </w:rPr>
      </w:r>
      <w:r>
        <w:rPr>
          <w:u w:val="single"/>
          <w:lang w:val="en_US" w:bidi="en_US"/>
        </w:rPr>
        <w:t>And</w:t>
      </w:r>
      <w:r>
        <w:rPr>
          <w:lang w:val="en_US" w:bidi="en_US"/>
        </w:rPr>
        <w:t xml:space="preserve"> everyone was amazed</w:t>
      </w:r>
    </w:p>
    <w:p>
      <w:pPr/>
      <w:r>
        <w:rPr>
          <w:lang w:val="en_US" w:bidi="en_US"/>
        </w:rPr>
      </w:r>
      <w:r>
        <w:rPr>
          <w:u w:val="single"/>
          <w:lang w:val="en_US" w:bidi="en_US"/>
        </w:rPr>
        <w:t>and</w:t>
      </w:r>
      <w:r>
        <w:rPr>
          <w:lang w:val="en_US" w:bidi="en_US"/>
        </w:rPr>
        <w:t xml:space="preserve"> gave praise to God</w:t>
      </w:r>
    </w:p>
    <w:p>
      <w:pPr/>
      <w:r>
        <w:rPr>
          <w:lang w:val="en_US" w:bidi="en_US"/>
        </w:rPr>
      </w:r>
      <w:r>
        <w:rPr>
          <w:u w:val="single"/>
          <w:lang w:val="en_US" w:bidi="en_US"/>
        </w:rPr>
        <w:t>and</w:t>
      </w:r>
      <w:r>
        <w:rPr>
          <w:lang w:val="en_US" w:bidi="en_US"/>
        </w:rPr>
        <w:t xml:space="preserve"> they were filled with awe</w:t>
      </w:r>
    </w:p>
    <w:p>
      <w:pPr/>
      <w:r>
        <w:rPr>
          <w:lang w:val="en_US" w:bidi="en_US"/>
        </w:rPr>
      </w:r>
      <w:r>
        <w:rPr>
          <w:lang w:val="en_US" w:bidi="en_US"/>
        </w:rPr>
        <w:t>Each time, it introduces a different aspect of the people’s reaction to what had just happened. The BSB only translates this conjunction the second time. Use a natural way in your language to introduce each reaction.</w:t>
      </w:r>
    </w:p>
    <w:p>
      <w:pPr>
        <w:pStyle w:val="Heading5"/>
      </w:pPr>
      <w:r>
        <w:rPr>
          <w:lang w:val="en_US" w:bidi="en_US"/>
        </w:rPr>
        <w:t>5:26a</w:t>
      </w:r>
    </w:p>
    <w:p>
      <w:pPr/>
      <w:r>
        <w:rPr>
          <w:lang w:val="en_US" w:bidi="en_US"/>
        </w:rPr>
      </w:r>
      <w:r>
        <w:rPr>
          <w:b/>
          <w:lang w:val="en_US" w:bidi="en_US"/>
        </w:rPr>
        <w:t>Everyone was taken with amazement</w:t>
      </w:r>
    </w:p>
    <w:p>
      <w:pPr>
        <w:pStyle w:val="ListBullet"/>
        <w:spacing w:line="240" w:lineRule="auto"/>
        <w:ind w:left="720"/>
      </w:pPr>
      <w:r>
        <w:rPr>
          <w:lang w:val="en_US" w:bidi="en_US"/>
        </w:rPr>
      </w:r>
      <w:r>
        <w:rPr>
          <w:lang w:val="en_US" w:bidi="en_US"/>
        </w:rPr>
        <w:t xml:space="preserve">All the people </w:t>
      </w:r>
      <w:r>
        <w:rPr>
          <w:lang w:val="en_US" w:bidi="en_US"/>
        </w:rPr>
        <w:t>who saw this</w:t>
      </w:r>
      <w:r>
        <w:rPr>
          <w:lang w:val="en_US" w:bidi="en_US"/>
        </w:rPr>
        <w:t xml:space="preserve"> were amazed</w:t>
      </w:r>
    </w:p>
    <w:p>
      <w:pPr>
        <w:pStyle w:val="ListBullet"/>
        <w:spacing w:line="240" w:lineRule="auto"/>
        <w:ind w:left="720"/>
      </w:pPr>
      <w:r>
        <w:rPr>
          <w:lang w:val="en_US" w:bidi="en_US"/>
        </w:rPr>
      </w:r>
      <w:r>
        <w:rPr>
          <w:lang w:val="en_US" w:bidi="en_US"/>
        </w:rPr>
        <w:t>All the people were fully amazed</w:t>
      </w:r>
    </w:p>
    <w:p>
      <w:pPr/>
      <w:r>
        <w:rPr>
          <w:lang w:val="en_US" w:bidi="en_US"/>
        </w:rPr>
      </w:r>
      <w:r>
        <w:rPr>
          <w:b/>
          <w:lang w:val="en_US" w:bidi="en_US"/>
        </w:rPr>
        <w:t>Everyone was taken with amazement:</w:t>
      </w:r>
      <w:r>
        <w:rPr>
          <w:lang w:val="en_US" w:bidi="en_US"/>
        </w:rPr>
        <w:t xml:space="preserve"> The Greek phrase that the BSB translates as </w:t>
      </w:r>
      <w:r>
        <w:rPr>
          <w:i/>
          <w:lang w:val="en_US" w:bidi="en_US"/>
        </w:rPr>
        <w:t>Everyone was taken with amazement</w:t>
      </w:r>
      <w:r>
        <w:rPr>
          <w:lang w:val="en_US" w:bidi="en_US"/>
        </w:rPr>
        <w:t xml:space="preserve"> is literally, “And wonder/terror took/seized everyone.” It implies fear mixed with astonishment. This is the first reaction. The phrase is active is Greek, but some English versions, like the BSB, translate it as passive. Some other ways to translate this are:</w:t>
      </w:r>
    </w:p>
    <w:p>
      <w:pPr/>
      <w:r>
        <w:rPr>
          <w:lang w:val="en_US" w:bidi="en_US"/>
        </w:rPr>
      </w:r>
      <w:r>
        <w:rPr>
          <w:lang w:val="en_US" w:bidi="en_US"/>
        </w:rPr>
        <w:t>Everyone was gripped with great wonder and awe (NLT)</w:t>
      </w:r>
    </w:p>
    <w:p>
      <w:pPr/>
      <w:r>
        <w:rPr>
          <w:lang w:val="en_US" w:bidi="en_US"/>
        </w:rPr>
      </w:r>
      <w:r>
        <w:rPr>
          <w:lang w:val="en_US" w:bidi="en_US"/>
        </w:rPr>
        <w:t>They were all completely amazed! (GNT)</w:t>
      </w:r>
    </w:p>
    <w:p>
      <w:pPr/>
      <w:r>
        <w:rPr>
          <w:lang w:val="en_US" w:bidi="en_US"/>
        </w:rPr>
      </w:r>
      <w:r>
        <w:rPr>
          <w:b/>
          <w:lang w:val="en_US" w:bidi="en_US"/>
        </w:rPr>
        <w:t>and glorified God:</w:t>
      </w:r>
      <w:r>
        <w:rPr>
          <w:lang w:val="en_US" w:bidi="en_US"/>
        </w:rPr>
        <w:t xml:space="preserve"> The Greek word that the BSB translates as </w:t>
      </w:r>
      <w:r>
        <w:rPr>
          <w:i/>
          <w:lang w:val="en_US" w:bidi="en_US"/>
        </w:rPr>
        <w:t>glorified</w:t>
      </w:r>
      <w:r>
        <w:rPr>
          <w:lang w:val="en_US" w:bidi="en_US"/>
        </w:rPr>
        <w:t xml:space="preserve"> means to speak about how wonderful and excellent someone or something is. It is the same word that was used in 5:25b. The people spoke in honor of God and glorified him. What they said showed that they believed that God had done a wonderful thing for this man. This is the second reaction.</w:t>
      </w:r>
    </w:p>
    <w:p>
      <w:pPr>
        <w:pStyle w:val="Heading5"/>
      </w:pPr>
      <w:r>
        <w:rPr>
          <w:lang w:val="en_US" w:bidi="en_US"/>
        </w:rPr>
        <w:t>5:26b</w:t>
      </w:r>
    </w:p>
    <w:p>
      <w:pPr/>
      <w:r>
        <w:rPr>
          <w:lang w:val="en_US" w:bidi="en_US"/>
        </w:rPr>
      </w:r>
      <w:r>
        <w:rPr>
          <w:b/>
          <w:lang w:val="en_US" w:bidi="en_US"/>
        </w:rPr>
        <w:t>and glorified God.</w:t>
      </w:r>
    </w:p>
    <w:p>
      <w:pPr>
        <w:pStyle w:val="ListBullet"/>
        <w:spacing w:line="240" w:lineRule="auto"/>
        <w:ind w:left="720"/>
      </w:pPr>
      <w:r>
        <w:rPr>
          <w:lang w:val="en_US" w:bidi="en_US"/>
        </w:rPr>
      </w:r>
      <w:r>
        <w:rPr>
          <w:lang w:val="en_US" w:bidi="en_US"/>
        </w:rPr>
        <w:t xml:space="preserve">and they praised God </w:t>
      </w:r>
      <w:r>
        <w:rPr>
          <w:lang w:val="en_US" w:bidi="en_US"/>
        </w:rPr>
        <w:t>too</w:t>
      </w:r>
      <w:r>
        <w:rPr>
          <w:lang w:val="en_US" w:bidi="en_US"/>
        </w:rPr>
        <w:t>.</w:t>
      </w:r>
    </w:p>
    <w:p>
      <w:pPr>
        <w:pStyle w:val="ListBullet"/>
        <w:spacing w:line="240" w:lineRule="auto"/>
        <w:ind w:left="720"/>
      </w:pPr>
      <w:r>
        <w:rPr>
          <w:lang w:val="en_US" w:bidi="en_US"/>
        </w:rPr>
      </w:r>
      <w:r>
        <w:rPr>
          <w:lang w:val="en_US" w:bidi="en_US"/>
        </w:rPr>
        <w:t>and began to praise God. (NCV)</w:t>
      </w:r>
    </w:p>
    <w:p>
      <w:pPr/>
      <w:r>
        <w:rPr>
          <w:lang w:val="en_US" w:bidi="en_US"/>
        </w:rPr>
      </w:r>
      <w:r>
        <w:rPr>
          <w:b/>
          <w:lang w:val="en_US" w:bidi="en_US"/>
        </w:rPr>
        <w:t>They were filled with awe:</w:t>
      </w:r>
      <w:r>
        <w:rPr>
          <w:lang w:val="en_US" w:bidi="en_US"/>
        </w:rPr>
        <w:t xml:space="preserve"> The Greek word that the BSB translates as </w:t>
      </w:r>
      <w:r>
        <w:rPr>
          <w:i/>
          <w:lang w:val="en_US" w:bidi="en_US"/>
        </w:rPr>
        <w:t>awe</w:t>
      </w:r>
      <w:r>
        <w:rPr>
          <w:lang w:val="en_US" w:bidi="en_US"/>
        </w:rPr>
        <w:t xml:space="preserve"> is literally “fear.” The people were afraid because of what they had seen. This word also means “respect” and “awe.” This is the third reaction.</w:t>
      </w:r>
    </w:p>
    <w:p>
      <w:pPr/>
      <w:r>
        <w:rPr>
          <w:lang w:val="en_US" w:bidi="en_US"/>
        </w:rPr>
      </w:r>
      <w:r>
        <w:rPr>
          <w:lang w:val="en_US" w:bidi="en_US"/>
        </w:rPr>
        <w:t>Some ways to translate this are:</w:t>
      </w:r>
    </w:p>
    <w:p>
      <w:pPr/>
      <w:r>
        <w:rPr>
          <w:lang w:val="en_US" w:bidi="en_US"/>
        </w:rPr>
      </w:r>
      <w:r>
        <w:rPr>
          <w:lang w:val="en_US" w:bidi="en_US"/>
        </w:rPr>
        <w:t>Full of fear (GNT)</w:t>
      </w:r>
    </w:p>
    <w:p>
      <w:pPr/>
      <w:r>
        <w:rPr>
          <w:lang w:val="en_US" w:bidi="en_US"/>
        </w:rPr>
      </w:r>
      <w:r>
        <w:rPr>
          <w:lang w:val="en_US" w:bidi="en_US"/>
        </w:rPr>
        <w:t>They were filled with much respect (NCV)</w:t>
      </w:r>
    </w:p>
    <w:p>
      <w:pPr>
        <w:pStyle w:val="Heading6"/>
      </w:pPr>
      <w:r>
        <w:rPr>
          <w:b/>
          <w:lang w:val="en_US" w:bidi="en_US"/>
        </w:rPr>
        <w:t>General Comment on 5:26a–b</w:t>
      </w:r>
    </w:p>
    <w:p>
      <w:pPr/>
      <w:r>
        <w:rPr>
          <w:lang w:val="en_US" w:bidi="en_US"/>
        </w:rPr>
      </w:r>
      <w:r>
        <w:rPr>
          <w:lang w:val="en_US" w:bidi="en_US"/>
        </w:rPr>
        <w:t>The people’s reactions in 5:26a and 5:26c are similar. The reaction of awe in 5:26c adds intensity to the amazement in 5:26a. So in some languages, it may be more natural to change the order of the parts of 5:26. For example:</w:t>
      </w:r>
    </w:p>
    <w:p>
      <w:pPr/>
      <w:r>
        <w:rPr>
          <w:lang w:val="en_US" w:bidi="en_US"/>
        </w:rPr>
      </w:r>
      <w:r>
        <w:rPr>
          <w:vertAlign w:val="superscript"/>
          <w:lang w:val="en_US" w:bidi="en_US"/>
        </w:rPr>
        <w:t>26a</w:t>
      </w:r>
      <w:r>
        <w:rPr>
          <w:lang w:val="en_US" w:bidi="en_US"/>
        </w:rPr>
        <w:t xml:space="preserve">And all who were there were extremely amazed </w:t>
      </w:r>
      <w:r>
        <w:rPr>
          <w:vertAlign w:val="superscript"/>
          <w:lang w:val="en_US" w:bidi="en_US"/>
        </w:rPr>
        <w:t>26c</w:t>
      </w:r>
      <w:r>
        <w:rPr>
          <w:lang w:val="en_US" w:bidi="en_US"/>
        </w:rPr>
        <w:t xml:space="preserve">and afraid, </w:t>
      </w:r>
      <w:r>
        <w:rPr>
          <w:vertAlign w:val="superscript"/>
          <w:lang w:val="en_US" w:bidi="en_US"/>
        </w:rPr>
        <w:t>26b</w:t>
      </w:r>
      <w:r>
        <w:rPr>
          <w:lang w:val="en_US" w:bidi="en_US"/>
        </w:rPr>
        <w:t>and they praised God</w:t>
      </w:r>
    </w:p>
    <w:p>
      <w:pPr/>
      <w:r>
        <w:rPr>
          <w:lang w:val="en_US" w:bidi="en_US"/>
        </w:rPr>
      </w:r>
      <w:r>
        <w:rPr>
          <w:vertAlign w:val="superscript"/>
          <w:lang w:val="en_US" w:bidi="en_US"/>
        </w:rPr>
        <w:t>26a</w:t>
      </w:r>
      <w:r>
        <w:rPr>
          <w:lang w:val="en_US" w:bidi="en_US"/>
        </w:rPr>
        <w:t xml:space="preserve">Everyone was gripped with great wonder </w:t>
      </w:r>
      <w:r>
        <w:rPr>
          <w:vertAlign w:val="superscript"/>
          <w:lang w:val="en_US" w:bidi="en_US"/>
        </w:rPr>
        <w:t>26c</w:t>
      </w:r>
      <w:r>
        <w:rPr>
          <w:lang w:val="en_US" w:bidi="en_US"/>
        </w:rPr>
        <w:t xml:space="preserve">and awe, </w:t>
      </w:r>
      <w:r>
        <w:rPr>
          <w:vertAlign w:val="superscript"/>
          <w:lang w:val="en_US" w:bidi="en_US"/>
        </w:rPr>
        <w:t>26b</w:t>
      </w:r>
      <w:r>
        <w:rPr>
          <w:lang w:val="en_US" w:bidi="en_US"/>
        </w:rPr>
        <w:t>and they praised God (NLT)</w:t>
      </w:r>
    </w:p>
    <w:p>
      <w:pPr>
        <w:pStyle w:val="Heading5"/>
      </w:pPr>
      <w:r>
        <w:rPr>
          <w:lang w:val="en_US" w:bidi="en_US"/>
        </w:rPr>
        <w:t>5:26c</w:t>
      </w:r>
    </w:p>
    <w:p>
      <w:pPr/>
      <w:r>
        <w:rPr>
          <w:lang w:val="en_US" w:bidi="en_US"/>
        </w:rPr>
      </w:r>
      <w:r>
        <w:rPr>
          <w:b/>
          <w:lang w:val="en_US" w:bidi="en_US"/>
        </w:rPr>
        <w:t>They were filled with awe</w:t>
      </w:r>
    </w:p>
    <w:p>
      <w:pPr>
        <w:pStyle w:val="ListBullet"/>
        <w:spacing w:line="240" w:lineRule="auto"/>
        <w:ind w:left="720"/>
      </w:pPr>
      <w:r>
        <w:rPr>
          <w:lang w:val="en_US" w:bidi="en_US"/>
        </w:rPr>
      </w:r>
      <w:r>
        <w:rPr>
          <w:lang w:val="en_US" w:bidi="en_US"/>
        </w:rPr>
        <w:t xml:space="preserve">They were afraid </w:t>
      </w:r>
      <w:r>
        <w:rPr>
          <w:lang w:val="en_US" w:bidi="en_US"/>
        </w:rPr>
        <w:t>of God’s power</w:t>
      </w:r>
      <w:r>
        <w:rPr>
          <w:lang w:val="en_US" w:bidi="en_US"/>
        </w:rPr>
        <w:t>,</w:t>
      </w:r>
    </w:p>
    <w:p>
      <w:pPr>
        <w:pStyle w:val="ListBullet"/>
        <w:spacing w:line="240" w:lineRule="auto"/>
        <w:ind w:left="720"/>
      </w:pPr>
      <w:r>
        <w:rPr>
          <w:lang w:val="en_US" w:bidi="en_US"/>
        </w:rPr>
      </w:r>
      <w:r>
        <w:rPr>
          <w:lang w:val="en_US" w:bidi="en_US"/>
        </w:rPr>
        <w:t xml:space="preserve">They greatly respected </w:t>
      </w:r>
      <w:r>
        <w:rPr>
          <w:lang w:val="en_US" w:bidi="en_US"/>
        </w:rPr>
        <w:t>God</w:t>
      </w:r>
    </w:p>
    <w:p>
      <w:pPr/>
      <w:r>
        <w:rPr>
          <w:lang w:val="en_US" w:bidi="en_US"/>
        </w:rPr>
      </w:r>
      <w:r>
        <w:rPr>
          <w:b/>
          <w:lang w:val="en_US" w:bidi="en_US"/>
        </w:rPr>
        <w:t>We have seen remarkable things today:</w:t>
      </w:r>
      <w:r>
        <w:rPr>
          <w:lang w:val="en_US" w:bidi="en_US"/>
        </w:rPr>
        <w:t xml:space="preserve"> The Greek word that the BSB translates as </w:t>
      </w:r>
      <w:r>
        <w:rPr>
          <w:i/>
          <w:lang w:val="en_US" w:bidi="en_US"/>
        </w:rPr>
        <w:t>remarkable things</w:t>
      </w:r>
      <w:r>
        <w:rPr>
          <w:lang w:val="en_US" w:bidi="en_US"/>
        </w:rPr>
        <w:t xml:space="preserve"> also means “strange things,” “wonderful things,” “unusual events,” or “incredible events.” The people were amazed at what they had just witnessed. They had seen Jesus heal a paralyzed man. They had also seen Jesus confront the religious leaders.</w:t>
      </w:r>
    </w:p>
    <w:p>
      <w:pPr/>
      <w:r>
        <w:rPr>
          <w:lang w:val="en_US" w:bidi="en_US"/>
        </w:rPr>
      </w:r>
      <w:r>
        <w:rPr>
          <w:lang w:val="en_US" w:bidi="en_US"/>
        </w:rPr>
        <w:t xml:space="preserve">In some languages, it may be more natural to refer to these things as one event rather than using a plural word such as </w:t>
      </w:r>
      <w:r>
        <w:rPr>
          <w:i/>
          <w:lang w:val="en_US" w:bidi="en_US"/>
        </w:rPr>
        <w:t>things</w:t>
      </w:r>
      <w:r>
        <w:rPr>
          <w:lang w:val="en_US" w:bidi="en_US"/>
        </w:rPr>
        <w:t>. For example:</w:t>
      </w:r>
    </w:p>
    <w:p>
      <w:pPr/>
      <w:r>
        <w:rPr>
          <w:lang w:val="en_US" w:bidi="en_US"/>
        </w:rPr>
      </w:r>
      <w:r>
        <w:rPr>
          <w:lang w:val="en_US" w:bidi="en_US"/>
        </w:rPr>
        <w:t>Today we have seen an incredible event!</w:t>
      </w:r>
    </w:p>
    <w:p>
      <w:pPr/>
      <w:r>
        <w:rPr>
          <w:lang w:val="en_US" w:bidi="en_US"/>
        </w:rPr>
      </w:r>
      <w:r>
        <w:rPr>
          <w:lang w:val="en_US" w:bidi="en_US"/>
        </w:rPr>
        <w:t>We have seen a great miracle today! (CEV)</w:t>
      </w:r>
      <w:r>
        <w:rPr>
          <w:lang w:val="en_US" w:bidi="en_US"/>
        </w:rPr>
      </w:r>
      <w:r>
        <w:rPr>
          <w:lang w:val="en_US" w:bidi="en_US"/>
        </w:rPr>
      </w:r>
    </w:p>
    <w:p>
      <w:pPr/>
      <w:r>
        <w:rPr>
          <w:lang w:val="en_US" w:bidi="en_US"/>
        </w:rPr>
      </w:r>
    </w:p>
    <w:p>
      <w:pPr>
        <w:pStyle w:val="Heading2"/>
      </w:pPr>
      <w:r>
        <w:rPr>
          <w:lang w:val="en_US" w:bidi="en_US"/>
        </w:rPr>
        <w:t>Luke 5:27</w:t>
      </w:r>
      <w:r>
        <w:rPr>
          <w:lang w:val="en_US" w:bidi="en_US"/>
        </w:rPr>
      </w:r>
    </w:p>
    <w:p>
      <w:pPr>
        <w:pStyle w:val="Heading4"/>
      </w:pPr>
      <w:r>
        <w:rPr>
          <w:lang w:val="en_US" w:bidi="en_US"/>
        </w:rPr>
        <w:t>Section 5:27–32: Jesus chose Levi to become one of his disciples</w:t>
      </w:r>
    </w:p>
    <w:p>
      <w:pPr/>
      <w:r>
        <w:rPr>
          <w:lang w:val="en_US" w:bidi="en_US"/>
        </w:rPr>
      </w:r>
      <w:r>
        <w:rPr>
          <w:lang w:val="en_US" w:bidi="en_US"/>
        </w:rPr>
        <w:t>In this section, Jesus asked a man named Levi to be his disciple. For the meaning of “disciple,” see the note at 5:30a.</w:t>
      </w:r>
    </w:p>
    <w:p>
      <w:pPr/>
      <w:r>
        <w:rPr>
          <w:lang w:val="en_US" w:bidi="en_US"/>
        </w:rPr>
      </w:r>
      <w:r>
        <w:rPr>
          <w:lang w:val="en_US" w:bidi="en_US"/>
        </w:rPr>
        <w:t>Levi was a tax collector. Jews hated tax collectors for at least two reasons:</w:t>
      </w:r>
    </w:p>
    <w:p>
      <w:pPr>
        <w:pStyle w:val="ListNumber"/>
        <w:numPr>
          <w:ilvl w:val="0"/>
          <w:numId w:val="113"/>
        </w:numPr>
        <w:spacing w:line="240" w:lineRule="auto"/>
        <w:ind w:left="720"/>
      </w:pPr>
      <w:r>
        <w:rPr>
          <w:lang w:val="en_US" w:bidi="en_US"/>
        </w:rPr>
      </w:r>
      <w:r>
        <w:rPr>
          <w:lang w:val="en_US" w:bidi="en_US"/>
        </w:rPr>
        <w:t>Tax collectors worked for the Roman government or for Herod’s government. These were foreign governments that ruled the Jews.</w:t>
      </w:r>
    </w:p>
    <w:p>
      <w:pPr>
        <w:pStyle w:val="ListNumber"/>
        <w:spacing w:line="240" w:lineRule="auto"/>
        <w:ind w:left="720"/>
      </w:pPr>
      <w:r>
        <w:rPr>
          <w:lang w:val="en_US" w:bidi="en_US"/>
        </w:rPr>
      </w:r>
      <w:r>
        <w:rPr>
          <w:lang w:val="en_US" w:bidi="en_US"/>
        </w:rPr>
        <w:t>Tax collectors sometimes collected more money than necessary. Then they kept the extra money and became rich.</w:t>
      </w:r>
    </w:p>
    <w:p>
      <w:pPr/>
      <w:r>
        <w:rPr>
          <w:lang w:val="en_US" w:bidi="en_US"/>
        </w:rPr>
      </w:r>
      <w:r>
        <w:rPr>
          <w:lang w:val="en_US" w:bidi="en_US"/>
        </w:rP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people who believe themselves to be righteous.</w:t>
      </w:r>
    </w:p>
    <w:p>
      <w:pPr/>
      <w:r>
        <w:rPr>
          <w:lang w:val="en_US" w:bidi="en_US"/>
        </w:rPr>
      </w:r>
      <w:r>
        <w:rPr>
          <w:lang w:val="en_US" w:bidi="en_US"/>
        </w:rPr>
        <w:t>Some other possible headings for this section are:</w:t>
      </w:r>
    </w:p>
    <w:p>
      <w:pPr/>
      <w:r>
        <w:rPr>
          <w:lang w:val="en_US" w:bidi="en_US"/>
        </w:rPr>
      </w:r>
      <w:r>
        <w:rPr>
          <w:lang w:val="en_US" w:bidi="en_US"/>
        </w:rPr>
        <w:t>Jesus called Levi to be his disciple and ate with sinners</w:t>
      </w:r>
    </w:p>
    <w:p>
      <w:pPr/>
      <w:r>
        <w:rPr>
          <w:lang w:val="en_US" w:bidi="en_US"/>
        </w:rPr>
      </w:r>
      <w:r>
        <w:rPr>
          <w:lang w:val="en_US" w:bidi="en_US"/>
        </w:rPr>
        <w:t>Jesus loves sinners</w:t>
      </w:r>
    </w:p>
    <w:p>
      <w:pPr/>
      <w:r>
        <w:rPr>
          <w:lang w:val="en_US" w:bidi="en_US"/>
        </w:rPr>
      </w:r>
      <w:r>
        <w:rPr>
          <w:lang w:val="en_US" w:bidi="en_US"/>
        </w:rPr>
        <w:t>There are parallel passages for this section in Matthew 9:9–13 and Mark 2:13–17.</w:t>
      </w:r>
    </w:p>
    <w:p>
      <w:pPr>
        <w:pStyle w:val="Heading5"/>
      </w:pPr>
      <w:r>
        <w:rPr>
          <w:lang w:val="en_US" w:bidi="en_US"/>
        </w:rPr>
        <w:t>5:27a</w:t>
      </w:r>
    </w:p>
    <w:p>
      <w:pPr/>
      <w:r>
        <w:rPr>
          <w:lang w:val="en_US" w:bidi="en_US"/>
        </w:rPr>
      </w:r>
      <w:r>
        <w:rPr>
          <w:b/>
          <w:lang w:val="en_US" w:bidi="en_US"/>
        </w:rPr>
        <w:t>After this, Jesus went out</w:t>
      </w:r>
    </w:p>
    <w:p>
      <w:pPr>
        <w:pStyle w:val="ListBullet"/>
        <w:spacing w:line="240" w:lineRule="auto"/>
        <w:ind w:left="720"/>
      </w:pPr>
      <w:r>
        <w:rPr>
          <w:lang w:val="en_US" w:bidi="en_US"/>
        </w:rPr>
      </w:r>
      <w:r>
        <w:rPr>
          <w:lang w:val="en_US" w:bidi="en_US"/>
        </w:rPr>
        <w:t xml:space="preserve">¶ Later on, Jesus went out </w:t>
      </w:r>
      <w:r>
        <w:rPr>
          <w:lang w:val="en_US" w:bidi="en_US"/>
        </w:rPr>
        <w:t>of the house</w:t>
      </w:r>
      <w:r>
        <w:rPr>
          <w:lang w:val="en_US" w:bidi="en_US"/>
        </w:rPr>
        <w:t>,</w:t>
      </w:r>
    </w:p>
    <w:p>
      <w:pPr>
        <w:pStyle w:val="ListBullet"/>
        <w:spacing w:line="240" w:lineRule="auto"/>
        <w:ind w:left="720"/>
      </w:pPr>
      <w:r>
        <w:rPr>
          <w:lang w:val="en_US" w:bidi="en_US"/>
        </w:rPr>
      </w:r>
      <w:r>
        <w:rPr>
          <w:lang w:val="en_US" w:bidi="en_US"/>
        </w:rPr>
        <w:t xml:space="preserve">¶ Afterwards, Jesus left </w:t>
      </w:r>
      <w:r>
        <w:rPr>
          <w:lang w:val="en_US" w:bidi="en_US"/>
        </w:rPr>
        <w:t>the town</w:t>
      </w:r>
      <w:r>
        <w:rPr>
          <w:lang w:val="en_US" w:bidi="en_US"/>
        </w:rPr>
        <w:t>.</w:t>
      </w:r>
    </w:p>
    <w:p>
      <w:pPr/>
      <w:r>
        <w:rPr>
          <w:lang w:val="en_US" w:bidi="en_US"/>
        </w:rPr>
      </w:r>
      <w:r>
        <w:rPr>
          <w:b/>
          <w:lang w:val="en_US" w:bidi="en_US"/>
        </w:rPr>
        <w:t>After this:</w:t>
      </w:r>
      <w:r>
        <w:rPr>
          <w:lang w:val="en_US" w:bidi="en_US"/>
        </w:rPr>
        <w:t xml:space="preserve"> The Greek phrase that the BSB translates as </w:t>
      </w:r>
      <w:r>
        <w:rPr>
          <w:i/>
          <w:lang w:val="en_US" w:bidi="en_US"/>
        </w:rPr>
        <w:t>After this</w:t>
      </w:r>
      <w:r>
        <w:rPr>
          <w:lang w:val="en_US" w:bidi="en_US"/>
        </w:rPr>
        <w:t xml:space="preserve"> is literally “After these things” (as in the KJV). This means “after the events in the previous section occurred.” Some other ways to translate this phrase are:</w:t>
      </w:r>
    </w:p>
    <w:p>
      <w:pPr/>
      <w:r>
        <w:rPr>
          <w:lang w:val="en_US" w:bidi="en_US"/>
        </w:rPr>
      </w:r>
      <w:r>
        <w:rPr>
          <w:lang w:val="en_US" w:bidi="en_US"/>
        </w:rPr>
        <w:t>After these things happened</w:t>
      </w:r>
    </w:p>
    <w:p>
      <w:pPr/>
      <w:r>
        <w:rPr>
          <w:lang w:val="en_US" w:bidi="en_US"/>
        </w:rPr>
      </w:r>
      <w:r>
        <w:rPr>
          <w:lang w:val="en_US" w:bidi="en_US"/>
        </w:rPr>
        <w:t>Later (CEV)</w:t>
      </w:r>
    </w:p>
    <w:p>
      <w:pPr/>
      <w:r>
        <w:rPr>
          <w:lang w:val="en_US" w:bidi="en_US"/>
        </w:rPr>
      </w:r>
      <w:r>
        <w:rPr>
          <w:b/>
          <w:lang w:val="en_US" w:bidi="en_US"/>
        </w:rPr>
        <w:t>Jesus went out:</w:t>
      </w:r>
      <w:r>
        <w:rPr>
          <w:lang w:val="en_US" w:bidi="en_US"/>
        </w:rPr>
        <w:t xml:space="preserve"> The Greek text does not say from where Jesus </w:t>
      </w:r>
      <w:r>
        <w:rPr>
          <w:i/>
          <w:lang w:val="en_US" w:bidi="en_US"/>
        </w:rPr>
        <w:t>went out</w:t>
      </w:r>
      <w:r>
        <w:rPr>
          <w:lang w:val="en_US" w:bidi="en_US"/>
        </w:rPr>
        <w:t>. The meaning may be that he went out of the house where he had healed the paralyzed man. It may also be that he went out of the town. (Mark 2:13 indicates that Jesus went out of the town.) Tax booths were often located just outside of a town or city.</w:t>
      </w:r>
    </w:p>
    <w:p>
      <w:pPr/>
      <w:r>
        <w:rPr>
          <w:lang w:val="en_US" w:bidi="en_US"/>
        </w:rPr>
      </w:r>
      <w:r>
        <w:rPr>
          <w:lang w:val="en_US" w:bidi="en_US"/>
        </w:rPr>
        <w:t>If it is necessary in your language, make explicit from where Jesus went out. For example:</w:t>
      </w:r>
    </w:p>
    <w:p>
      <w:pPr/>
      <w:r>
        <w:rPr>
          <w:lang w:val="en_US" w:bidi="en_US"/>
        </w:rPr>
      </w:r>
      <w:r>
        <w:rPr>
          <w:lang w:val="en_US" w:bidi="en_US"/>
        </w:rPr>
        <w:t xml:space="preserve">Jesus left </w:t>
      </w:r>
      <w:r>
        <w:rPr>
          <w:lang w:val="en_US" w:bidi="en_US"/>
        </w:rPr>
        <w:t>the house</w:t>
      </w:r>
    </w:p>
    <w:p>
      <w:pPr/>
      <w:r>
        <w:rPr>
          <w:lang w:val="en_US" w:bidi="en_US"/>
        </w:rPr>
      </w:r>
      <w:r>
        <w:rPr>
          <w:lang w:val="en_US" w:bidi="en_US"/>
        </w:rPr>
        <w:t xml:space="preserve">Jesus went out </w:t>
      </w:r>
      <w:r>
        <w:rPr>
          <w:lang w:val="en_US" w:bidi="en_US"/>
        </w:rPr>
        <w:t>from the town</w:t>
      </w:r>
    </w:p>
    <w:p>
      <w:pPr>
        <w:pStyle w:val="Heading5"/>
      </w:pPr>
      <w:r>
        <w:rPr>
          <w:lang w:val="en_US" w:bidi="en_US"/>
        </w:rPr>
        <w:t>5:27b</w:t>
      </w:r>
    </w:p>
    <w:p>
      <w:pPr/>
      <w:r>
        <w:rPr>
          <w:lang w:val="en_US" w:bidi="en_US"/>
        </w:rPr>
      </w:r>
      <w:r>
        <w:rPr>
          <w:b/>
          <w:lang w:val="en_US" w:bidi="en_US"/>
        </w:rPr>
        <w:t>and saw a tax collector named Levi sitting at the tax booth.</w:t>
      </w:r>
    </w:p>
    <w:p>
      <w:pPr>
        <w:pStyle w:val="ListBullet"/>
        <w:spacing w:line="240" w:lineRule="auto"/>
        <w:ind w:left="720"/>
      </w:pPr>
      <w:r>
        <w:rPr>
          <w:lang w:val="en_US" w:bidi="en_US"/>
        </w:rPr>
      </w:r>
      <w:r>
        <w:rPr>
          <w:lang w:val="en_US" w:bidi="en_US"/>
        </w:rPr>
        <w:t xml:space="preserve">and he saw a tax collector whose name was Levi. </w:t>
      </w:r>
      <w:r>
        <w:rPr>
          <w:lang w:val="en_US" w:bidi="en_US"/>
        </w:rPr>
        <w:t>Levi</w:t>
      </w:r>
      <w:r>
        <w:rPr>
          <w:lang w:val="en_US" w:bidi="en_US"/>
        </w:rPr>
        <w:t xml:space="preserve"> was sitting at his tax office/table.</w:t>
      </w:r>
    </w:p>
    <w:p>
      <w:pPr>
        <w:pStyle w:val="ListBullet"/>
        <w:spacing w:line="240" w:lineRule="auto"/>
        <w:ind w:left="720"/>
      </w:pPr>
      <w:r>
        <w:rPr>
          <w:lang w:val="en_US" w:bidi="en_US"/>
        </w:rPr>
      </w:r>
      <w:r>
        <w:rPr>
          <w:lang w:val="en_US" w:bidi="en_US"/>
        </w:rPr>
        <w:t xml:space="preserve">There was a man there called Levi who collected money for the government. He was seated </w:t>
      </w:r>
      <w:r>
        <w:rPr>
          <w:lang w:val="en_US" w:bidi="en_US"/>
        </w:rPr>
        <w:t>working</w:t>
      </w:r>
      <w:r>
        <w:rPr>
          <w:lang w:val="en_US" w:bidi="en_US"/>
        </w:rPr>
        <w:t xml:space="preserve"> at the place for paying/receiving taxes. Jesus looked right at him</w:t>
      </w:r>
    </w:p>
    <w:p>
      <w:pPr/>
      <w:r>
        <w:rPr>
          <w:lang w:val="en_US" w:bidi="en_US"/>
        </w:rPr>
      </w:r>
      <w:r>
        <w:rPr>
          <w:b/>
          <w:lang w:val="en_US" w:bidi="en_US"/>
        </w:rPr>
        <w:t>saw a tax collector named Levi:</w:t>
      </w:r>
      <w:r>
        <w:rPr>
          <w:lang w:val="en_US" w:bidi="en_US"/>
        </w:rPr>
        <w:t xml:space="preserve"> This part of the verse introduces Levi and says that Jesus saw him. In some languages it may be more natural to use more than one statement to do this. For example:</w:t>
      </w:r>
    </w:p>
    <w:p>
      <w:pPr/>
      <w:r>
        <w:rPr>
          <w:lang w:val="en_US" w:bidi="en_US"/>
        </w:rPr>
      </w:r>
      <w:r>
        <w:rPr>
          <w:lang w:val="en_US" w:bidi="en_US"/>
        </w:rPr>
        <w:t>There was a man there named Levi who was a tax collector…. Jesus saw him…</w:t>
      </w:r>
    </w:p>
    <w:p>
      <w:pPr/>
      <w:r>
        <w:rPr>
          <w:lang w:val="en_US" w:bidi="en_US"/>
        </w:rPr>
      </w:r>
      <w:r>
        <w:rPr>
          <w:b/>
          <w:lang w:val="en_US" w:bidi="en_US"/>
        </w:rPr>
        <w:t>saw:</w:t>
      </w:r>
      <w:r>
        <w:rPr>
          <w:lang w:val="en_US" w:bidi="en_US"/>
        </w:rPr>
        <w:t xml:space="preserve"> The Greek word that the BSB translates as </w:t>
      </w:r>
      <w:r>
        <w:rPr>
          <w:i/>
          <w:lang w:val="en_US" w:bidi="en_US"/>
        </w:rPr>
        <w:t>saw</w:t>
      </w:r>
      <w:r>
        <w:rPr>
          <w:lang w:val="en_US" w:bidi="en_US"/>
        </w:rPr>
        <w:t xml:space="preserve"> means to “look at intently or pointedly.” It implies that Jesus did not just look at Levi briefly. He continued to observe him. Here is one way to express this in English:</w:t>
      </w:r>
    </w:p>
    <w:p>
      <w:pPr/>
      <w:r>
        <w:rPr>
          <w:lang w:val="en_US" w:bidi="en_US"/>
        </w:rPr>
      </w:r>
      <w:r>
        <w:rPr>
          <w:lang w:val="en_US" w:bidi="en_US"/>
        </w:rPr>
        <w:t>looked straight at (JBP)</w:t>
      </w:r>
    </w:p>
    <w:p>
      <w:pPr/>
      <w:r>
        <w:rPr>
          <w:lang w:val="en_US" w:bidi="en_US"/>
        </w:rPr>
      </w:r>
      <w:r>
        <w:rPr>
          <w:b/>
          <w:lang w:val="en_US" w:bidi="en_US"/>
        </w:rPr>
        <w:t>tax collector:</w:t>
      </w:r>
      <w:r>
        <w:rPr>
          <w:lang w:val="en_US" w:bidi="en_US"/>
        </w:rPr>
        <w:t xml:space="preserve"> The Greek word that the BSB translates as </w:t>
      </w:r>
      <w:r>
        <w:rPr>
          <w:i/>
          <w:lang w:val="en_US" w:bidi="en_US"/>
        </w:rPr>
        <w:t>tax collector</w:t>
      </w:r>
      <w:r>
        <w:rPr>
          <w:lang w:val="en_US" w:bidi="en_US"/>
        </w:rPr>
        <w:t xml:space="preserve"> refers to a man whose job was to gather money from people. This money was called a tax. Then he gave this money to the government. People paid different types of taxes. For instance, people had to pay taxes based on their wealth and property. They also had to pay a tax for using certain roads and to bring goods into the country.</w:t>
      </w:r>
    </w:p>
    <w:p>
      <w:pPr/>
      <w:r>
        <w:rPr>
          <w:lang w:val="en_US" w:bidi="en_US"/>
        </w:rPr>
      </w:r>
      <w:r>
        <w:rPr>
          <w:lang w:val="en_US" w:bidi="en_US"/>
        </w:rPr>
        <w:t>Levi probably collected fees on goods and produce that people brought into Herod’s kingdom. He possibly also collected fees for using the road.</w:t>
      </w:r>
      <w:r>
        <w:rPr>
          <w:lang w:val="en_US" w:bidi="en_US"/>
        </w:rPr>
        <w:t>The ancient road running from Damascus to Ptolemais (Acre) passed right by Capernaum and would have been the entrance point into Herod’s kingdom (or tetrarchy). Some of these taxes or fees would go to Herod Antipas. Others would be collected for the local municipality.</w:t>
      </w:r>
    </w:p>
    <w:p>
      <w:pPr/>
      <w:r>
        <w:rPr>
          <w:lang w:val="en_US" w:bidi="en_US"/>
        </w:rPr>
      </w:r>
      <w:r>
        <w:rPr>
          <w:lang w:val="en_US" w:bidi="en_US"/>
        </w:rPr>
        <w:t xml:space="preserve">If you do not have a word in your language for </w:t>
      </w:r>
      <w:r>
        <w:rPr>
          <w:i/>
          <w:lang w:val="en_US" w:bidi="en_US"/>
        </w:rPr>
        <w:t>tax collector</w:t>
      </w:r>
      <w:r>
        <w:rPr>
          <w:lang w:val="en_US" w:bidi="en_US"/>
        </w:rPr>
        <w:t>, you may need to use a descriptive phrase. For example:</w:t>
      </w:r>
    </w:p>
    <w:p>
      <w:pPr/>
      <w:r>
        <w:rPr>
          <w:lang w:val="en_US" w:bidi="en_US"/>
        </w:rPr>
      </w:r>
      <w:r>
        <w:rPr>
          <w:lang w:val="en_US" w:bidi="en_US"/>
        </w:rPr>
        <w:t>someone who collects money</w:t>
      </w:r>
    </w:p>
    <w:p>
      <w:pPr/>
      <w:r>
        <w:rPr>
          <w:lang w:val="en_US" w:bidi="en_US"/>
        </w:rPr>
      </w:r>
      <w:r>
        <w:rPr>
          <w:lang w:val="en_US" w:bidi="en_US"/>
        </w:rPr>
        <w:t>a money collector for the government</w:t>
      </w:r>
    </w:p>
    <w:p>
      <w:pPr/>
      <w:r>
        <w:rPr>
          <w:lang w:val="en_US" w:bidi="en_US"/>
        </w:rPr>
      </w:r>
      <w:r>
        <w:rPr>
          <w:lang w:val="en_US" w:bidi="en_US"/>
        </w:rPr>
        <w:t>You may want to include a footnote to explain the meaning of this word. You may also want to explain it in a glossary. For example:</w:t>
      </w:r>
    </w:p>
    <w:p>
      <w:pPr/>
      <w:r>
        <w:rPr>
          <w:lang w:val="en_US" w:bidi="en_US"/>
        </w:rPr>
      </w:r>
      <w:r>
        <w:rPr>
          <w:lang w:val="en_US" w:bidi="en_US"/>
        </w:rPr>
        <w:t>Tax collectors worked for the Romans or King Herod. Tax collectors often cheated people by forcing them to pay more money than they owed. As a result, many Jews hated tax collectors.</w:t>
      </w:r>
    </w:p>
    <w:p>
      <w:pPr/>
      <w:r>
        <w:rPr>
          <w:lang w:val="en_US" w:bidi="en_US"/>
        </w:rPr>
      </w:r>
      <w:r>
        <w:rPr>
          <w:b/>
          <w:lang w:val="en_US" w:bidi="en_US"/>
        </w:rPr>
        <w:t>sitting at the tax booth:</w:t>
      </w:r>
      <w:r>
        <w:rPr>
          <w:lang w:val="en_US" w:bidi="en_US"/>
        </w:rPr>
        <w:t xml:space="preserve"> The phrase </w:t>
      </w:r>
      <w:r>
        <w:rPr>
          <w:i/>
          <w:lang w:val="en_US" w:bidi="en_US"/>
        </w:rPr>
        <w:t>sitting at the tax booth</w:t>
      </w:r>
      <w:r>
        <w:rPr>
          <w:lang w:val="en_US" w:bidi="en_US"/>
        </w:rPr>
        <w:t xml:space="preserve"> implies that Levi was doing his work. He was collecting taxes for the government. See the discussion about this in the introduction to Section 5:27–32.</w:t>
      </w:r>
    </w:p>
    <w:p>
      <w:pPr/>
      <w:r>
        <w:rPr>
          <w:lang w:val="en_US" w:bidi="en_US"/>
        </w:rPr>
      </w:r>
      <w:r>
        <w:rPr>
          <w:b/>
          <w:lang w:val="en_US" w:bidi="en_US"/>
        </w:rPr>
        <w:t>tax booth:</w:t>
      </w:r>
      <w:r>
        <w:rPr>
          <w:lang w:val="en_US" w:bidi="en_US"/>
        </w:rPr>
        <w:t xml:space="preserve"> The </w:t>
      </w:r>
      <w:r>
        <w:rPr>
          <w:i/>
          <w:lang w:val="en_US" w:bidi="en_US"/>
        </w:rPr>
        <w:t>tax booth</w:t>
      </w:r>
      <w:r>
        <w:rPr>
          <w:lang w:val="en_US" w:bidi="en_US"/>
        </w:rPr>
        <w:t xml:space="preserve"> was probably some sort of small table under a shelter where Levi sat to receive taxes from the people. Some other ways to translate the phrase </w:t>
      </w:r>
      <w:r>
        <w:rPr>
          <w:i/>
          <w:lang w:val="en_US" w:bidi="en_US"/>
        </w:rPr>
        <w:t>tax booth</w:t>
      </w:r>
      <w:r>
        <w:rPr>
          <w:lang w:val="en_US" w:bidi="en_US"/>
        </w:rPr>
        <w:t xml:space="preserve"> are:</w:t>
      </w:r>
    </w:p>
    <w:p>
      <w:pPr/>
      <w:r>
        <w:rPr>
          <w:lang w:val="en_US" w:bidi="en_US"/>
        </w:rPr>
      </w:r>
      <w:r>
        <w:rPr>
          <w:lang w:val="en_US" w:bidi="en_US"/>
        </w:rPr>
        <w:t>the place where taxes are collected</w:t>
      </w:r>
    </w:p>
    <w:p>
      <w:pPr/>
      <w:r>
        <w:rPr>
          <w:lang w:val="en_US" w:bidi="en_US"/>
        </w:rPr>
      </w:r>
      <w:r>
        <w:rPr>
          <w:lang w:val="en_US" w:bidi="en_US"/>
        </w:rPr>
        <w:t>the place for paying taxes (CEV)</w:t>
      </w:r>
    </w:p>
    <w:p>
      <w:pPr>
        <w:pStyle w:val="Heading5"/>
      </w:pPr>
      <w:r>
        <w:rPr>
          <w:lang w:val="en_US" w:bidi="en_US"/>
        </w:rPr>
        <w:t>5:27c</w:t>
      </w:r>
    </w:p>
    <w:p>
      <w:pPr/>
      <w:r>
        <w:rPr>
          <w:lang w:val="en_US" w:bidi="en_US"/>
        </w:rPr>
      </w:r>
      <w:r>
        <w:rPr>
          <w:b/>
          <w:lang w:val="en_US" w:bidi="en_US"/>
        </w:rPr>
        <w:t>“Follow Me,” He told him,</w:t>
      </w:r>
    </w:p>
    <w:p>
      <w:pPr>
        <w:pStyle w:val="ListBullet"/>
        <w:spacing w:line="240" w:lineRule="auto"/>
        <w:ind w:left="720"/>
      </w:pPr>
      <w:r>
        <w:rPr>
          <w:lang w:val="en_US" w:bidi="en_US"/>
        </w:rPr>
      </w:r>
      <w:r>
        <w:rPr>
          <w:lang w:val="en_US" w:bidi="en_US"/>
        </w:rPr>
        <w:t>And Jesus told/invited him, “Follow me.”</w:t>
      </w:r>
    </w:p>
    <w:p>
      <w:pPr>
        <w:pStyle w:val="ListBullet"/>
        <w:spacing w:line="240" w:lineRule="auto"/>
        <w:ind w:left="720"/>
      </w:pPr>
      <w:r>
        <w:rPr>
          <w:lang w:val="en_US" w:bidi="en_US"/>
        </w:rPr>
      </w:r>
      <w:r>
        <w:rPr>
          <w:lang w:val="en_US" w:bidi="en_US"/>
        </w:rPr>
        <w:t>and said, “Come, be my disciple.”</w:t>
      </w:r>
    </w:p>
    <w:p>
      <w:pPr>
        <w:pStyle w:val="ListBullet"/>
        <w:spacing w:line="240" w:lineRule="auto"/>
        <w:ind w:left="720"/>
      </w:pPr>
      <w:r>
        <w:rPr>
          <w:lang w:val="en_US" w:bidi="en_US"/>
        </w:rPr>
      </w:r>
      <w:r>
        <w:rPr>
          <w:lang w:val="en_US" w:bidi="en_US"/>
        </w:rPr>
        <w:t xml:space="preserve">and told Levi to follow him </w:t>
      </w:r>
      <w:r>
        <w:rPr>
          <w:lang w:val="en_US" w:bidi="en_US"/>
        </w:rPr>
        <w:t>and be his disciple</w:t>
      </w:r>
      <w:r>
        <w:rPr>
          <w:lang w:val="en_US" w:bidi="en_US"/>
        </w:rPr>
        <w:t>.</w:t>
      </w:r>
    </w:p>
    <w:p>
      <w:pPr/>
      <w:r>
        <w:rPr>
          <w:lang w:val="en_US" w:bidi="en_US"/>
        </w:rPr>
      </w:r>
      <w:r>
        <w:rPr>
          <w:b/>
          <w:lang w:val="en_US" w:bidi="en_US"/>
        </w:rPr>
        <w:t>“Follow Me,” He told him:</w:t>
      </w:r>
      <w:r>
        <w:rPr>
          <w:lang w:val="en_US" w:bidi="en_US"/>
        </w:rPr>
        <w:t xml:space="preserve"> In Greek this part of the verse begins with the words that the BSB translates as </w:t>
      </w:r>
      <w:r>
        <w:rPr>
          <w:i/>
          <w:lang w:val="en_US" w:bidi="en_US"/>
        </w:rPr>
        <w:t>He told him</w:t>
      </w:r>
      <w:r>
        <w:rPr>
          <w:lang w:val="en_US" w:bidi="en_US"/>
        </w:rPr>
        <w:t xml:space="preserve">. The BSB places these words after the phrase </w:t>
      </w:r>
      <w:r>
        <w:rPr>
          <w:i/>
          <w:lang w:val="en_US" w:bidi="en_US"/>
        </w:rPr>
        <w:t>Follow Me</w:t>
      </w:r>
      <w:r>
        <w:rPr>
          <w:lang w:val="en_US" w:bidi="en_US"/>
        </w:rPr>
        <w:t>. Put these phrases in a natural order in your language.</w:t>
      </w:r>
    </w:p>
    <w:p>
      <w:pPr/>
      <w:r>
        <w:rPr>
          <w:lang w:val="en_US" w:bidi="en_US"/>
        </w:rPr>
      </w:r>
      <w:r>
        <w:rPr>
          <w:b/>
          <w:lang w:val="en_US" w:bidi="en_US"/>
        </w:rPr>
        <w:t>Follow Me:</w:t>
      </w:r>
      <w:r>
        <w:rPr>
          <w:lang w:val="en_US" w:bidi="en_US"/>
        </w:rPr>
        <w:t xml:space="preserve"> In this context the phrase </w:t>
      </w:r>
      <w:r>
        <w:rPr>
          <w:i/>
          <w:lang w:val="en_US" w:bidi="en_US"/>
        </w:rPr>
        <w:t>Follow Me</w:t>
      </w:r>
      <w:r>
        <w:rPr>
          <w:lang w:val="en_US" w:bidi="en_US"/>
        </w:rPr>
        <w:t xml:space="preserve"> means “Become my disciple.” Jesus was inviting Levi to be with him every day, listen to his teaching, observe his actions, and learn from him.</w:t>
      </w:r>
    </w:p>
    <w:p>
      <w:pPr/>
      <w:r>
        <w:rPr>
          <w:lang w:val="en_US" w:bidi="en_US"/>
        </w:rPr>
      </w:r>
      <w:r>
        <w:rPr>
          <w:lang w:val="en_US" w:bidi="en_US"/>
        </w:rPr>
        <w:t>Some ways to translate this are:</w:t>
      </w:r>
    </w:p>
    <w:p>
      <w:pPr/>
      <w:r>
        <w:rPr>
          <w:lang w:val="en_US" w:bidi="en_US"/>
        </w:rPr>
      </w:r>
      <w:r>
        <w:rPr>
          <w:lang w:val="en_US" w:bidi="en_US"/>
        </w:rPr>
        <w:t>Be/become my disciple</w:t>
      </w:r>
    </w:p>
    <w:p>
      <w:pPr/>
      <w:r>
        <w:rPr>
          <w:lang w:val="en_US" w:bidi="en_US"/>
        </w:rPr>
      </w:r>
      <w:r>
        <w:rPr>
          <w:lang w:val="en_US" w:bidi="en_US"/>
        </w:rPr>
        <w:t>Come, follow me wherever I go, and learn from me</w:t>
      </w:r>
    </w:p>
    <w:p>
      <w:pPr/>
      <w:r>
        <w:rPr>
          <w:lang w:val="en_US" w:bidi="en_US"/>
        </w:rPr>
      </w:r>
      <w:r>
        <w:rPr>
          <w:lang w:val="en_US" w:bidi="en_US"/>
        </w:rPr>
        <w:t xml:space="preserve">You may choose to translate this as </w:t>
      </w:r>
      <w:r>
        <w:rPr>
          <w:i/>
          <w:lang w:val="en_US" w:bidi="en_US"/>
        </w:rPr>
        <w:t>Follow Me</w:t>
      </w:r>
      <w:r>
        <w:rPr>
          <w:lang w:val="en_US" w:bidi="en_US"/>
        </w:rPr>
        <w:t xml:space="preserve"> but include a footnote to explain the idea of a disciple. For example:</w:t>
      </w:r>
    </w:p>
    <w:p>
      <w:pPr/>
      <w:r>
        <w:rPr>
          <w:lang w:val="en_US" w:bidi="en_US"/>
        </w:rPr>
      </w:r>
      <w:r>
        <w:rPr>
          <w:lang w:val="en_US" w:bidi="en_US"/>
        </w:rPr>
        <w:t>Jesus was inviting Levi to become a disciple. A disciple was someone who was always with a teacher and learned from him constantly, both from his teaching and from his actions.</w:t>
      </w:r>
      <w:r>
        <w:rPr>
          <w:lang w:val="en_US" w:bidi="en_US"/>
        </w:rPr>
      </w:r>
      <w:r>
        <w:rPr>
          <w:lang w:val="en_US" w:bidi="en_US"/>
        </w:rPr>
      </w:r>
    </w:p>
    <w:p>
      <w:pPr/>
      <w:r>
        <w:rPr>
          <w:lang w:val="en_US" w:bidi="en_US"/>
        </w:rPr>
      </w:r>
    </w:p>
    <w:p>
      <w:pPr>
        <w:pStyle w:val="Heading2"/>
      </w:pPr>
      <w:r>
        <w:rPr>
          <w:lang w:val="en_US" w:bidi="en_US"/>
        </w:rPr>
        <w:t>Luke 5:28</w:t>
      </w:r>
      <w:r>
        <w:rPr>
          <w:lang w:val="en_US" w:bidi="en_US"/>
        </w:rPr>
      </w:r>
    </w:p>
    <w:p>
      <w:pPr>
        <w:pStyle w:val="Heading4"/>
      </w:pPr>
      <w:r>
        <w:rPr>
          <w:lang w:val="en_US" w:bidi="en_US"/>
        </w:rPr>
        <w:t>Section 5:27–32: Jesus chose Levi to become one of his disciples</w:t>
      </w:r>
    </w:p>
    <w:p>
      <w:pPr/>
      <w:r>
        <w:rPr>
          <w:lang w:val="en_US" w:bidi="en_US"/>
        </w:rPr>
      </w:r>
      <w:r>
        <w:rPr>
          <w:lang w:val="en_US" w:bidi="en_US"/>
        </w:rPr>
        <w:t>In this section, Jesus asked a man named Levi to be his disciple. For the meaning of “disciple,” see the note at 5:30a.</w:t>
      </w:r>
    </w:p>
    <w:p>
      <w:pPr/>
      <w:r>
        <w:rPr>
          <w:lang w:val="en_US" w:bidi="en_US"/>
        </w:rPr>
      </w:r>
      <w:r>
        <w:rPr>
          <w:lang w:val="en_US" w:bidi="en_US"/>
        </w:rPr>
        <w:t>Levi was a tax collector. Jews hated tax collectors for at least two reasons:</w:t>
      </w:r>
    </w:p>
    <w:p>
      <w:pPr>
        <w:pStyle w:val="ListNumber"/>
        <w:numPr>
          <w:ilvl w:val="0"/>
          <w:numId w:val="114"/>
        </w:numPr>
        <w:spacing w:line="240" w:lineRule="auto"/>
        <w:ind w:left="720"/>
      </w:pPr>
      <w:r>
        <w:rPr>
          <w:lang w:val="en_US" w:bidi="en_US"/>
        </w:rPr>
      </w:r>
      <w:r>
        <w:rPr>
          <w:lang w:val="en_US" w:bidi="en_US"/>
        </w:rPr>
        <w:t>Tax collectors worked for the Roman government or for Herod’s government. These were foreign governments that ruled the Jews.</w:t>
      </w:r>
    </w:p>
    <w:p>
      <w:pPr>
        <w:pStyle w:val="ListNumber"/>
        <w:spacing w:line="240" w:lineRule="auto"/>
        <w:ind w:left="720"/>
      </w:pPr>
      <w:r>
        <w:rPr>
          <w:lang w:val="en_US" w:bidi="en_US"/>
        </w:rPr>
      </w:r>
      <w:r>
        <w:rPr>
          <w:lang w:val="en_US" w:bidi="en_US"/>
        </w:rPr>
        <w:t>Tax collectors sometimes collected more money than necessary. Then they kept the extra money and became rich.</w:t>
      </w:r>
    </w:p>
    <w:p>
      <w:pPr/>
      <w:r>
        <w:rPr>
          <w:lang w:val="en_US" w:bidi="en_US"/>
        </w:rPr>
      </w:r>
      <w:r>
        <w:rPr>
          <w:lang w:val="en_US" w:bidi="en_US"/>
        </w:rP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people who believe themselves to be righteous.</w:t>
      </w:r>
    </w:p>
    <w:p>
      <w:pPr/>
      <w:r>
        <w:rPr>
          <w:lang w:val="en_US" w:bidi="en_US"/>
        </w:rPr>
      </w:r>
      <w:r>
        <w:rPr>
          <w:lang w:val="en_US" w:bidi="en_US"/>
        </w:rPr>
        <w:t>Some other possible headings for this section are:</w:t>
      </w:r>
    </w:p>
    <w:p>
      <w:pPr/>
      <w:r>
        <w:rPr>
          <w:lang w:val="en_US" w:bidi="en_US"/>
        </w:rPr>
      </w:r>
      <w:r>
        <w:rPr>
          <w:lang w:val="en_US" w:bidi="en_US"/>
        </w:rPr>
        <w:t>Jesus called Levi to be his disciple and ate with sinners</w:t>
      </w:r>
    </w:p>
    <w:p>
      <w:pPr/>
      <w:r>
        <w:rPr>
          <w:lang w:val="en_US" w:bidi="en_US"/>
        </w:rPr>
      </w:r>
      <w:r>
        <w:rPr>
          <w:lang w:val="en_US" w:bidi="en_US"/>
        </w:rPr>
        <w:t>Jesus loves sinners</w:t>
      </w:r>
    </w:p>
    <w:p>
      <w:pPr/>
      <w:r>
        <w:rPr>
          <w:lang w:val="en_US" w:bidi="en_US"/>
        </w:rPr>
      </w:r>
      <w:r>
        <w:rPr>
          <w:lang w:val="en_US" w:bidi="en_US"/>
        </w:rPr>
        <w:t>There are parallel passages for this section in Matthew 9:9–13 and Mark 2:13–17.</w:t>
      </w:r>
    </w:p>
    <w:p>
      <w:pPr>
        <w:pStyle w:val="Heading5"/>
      </w:pPr>
      <w:r>
        <w:rPr>
          <w:lang w:val="en_US" w:bidi="en_US"/>
        </w:rPr>
        <w:t>5:28</w:t>
      </w:r>
    </w:p>
    <w:p>
      <w:pPr/>
      <w:r>
        <w:rPr>
          <w:lang w:val="en_US" w:bidi="en_US"/>
        </w:rPr>
      </w:r>
      <w:r>
        <w:rPr>
          <w:b/>
          <w:lang w:val="en_US" w:bidi="en_US"/>
        </w:rPr>
        <w:t>and Levi got up, left everything, and followed Him.</w:t>
      </w:r>
    </w:p>
    <w:p>
      <w:pPr>
        <w:pStyle w:val="ListBullet"/>
        <w:spacing w:line="240" w:lineRule="auto"/>
        <w:ind w:left="720"/>
      </w:pPr>
      <w:r>
        <w:rPr>
          <w:lang w:val="en_US" w:bidi="en_US"/>
        </w:rPr>
      </w:r>
      <w:r>
        <w:rPr>
          <w:lang w:val="en_US" w:bidi="en_US"/>
        </w:rPr>
        <w:t xml:space="preserve">And Levi stood up, left everything </w:t>
      </w:r>
      <w:r>
        <w:rPr>
          <w:lang w:val="en_US" w:bidi="en_US"/>
        </w:rPr>
        <w:t>behind</w:t>
      </w:r>
      <w:r>
        <w:rPr>
          <w:lang w:val="en_US" w:bidi="en_US"/>
        </w:rPr>
        <w:t>, and began following him.</w:t>
      </w:r>
    </w:p>
    <w:p>
      <w:pPr>
        <w:pStyle w:val="ListBullet"/>
        <w:spacing w:line="240" w:lineRule="auto"/>
        <w:ind w:left="720"/>
      </w:pPr>
      <w:r>
        <w:rPr>
          <w:lang w:val="en_US" w:bidi="en_US"/>
        </w:rPr>
      </w:r>
      <w:r>
        <w:rPr>
          <w:lang w:val="en_US" w:bidi="en_US"/>
        </w:rPr>
        <w:t>So/Then</w:t>
      </w:r>
      <w:r>
        <w:rPr>
          <w:lang w:val="en_US" w:bidi="en_US"/>
        </w:rPr>
        <w:t xml:space="preserve"> Levi stood up, left/abandoned </w:t>
      </w:r>
      <w:r>
        <w:rPr>
          <w:lang w:val="en_US" w:bidi="en_US"/>
        </w:rPr>
        <w:t>his way of life as a tax collector</w:t>
      </w:r>
      <w:r>
        <w:rPr>
          <w:lang w:val="en_US" w:bidi="en_US"/>
        </w:rPr>
        <w:t>, and he became Jesus’ disciple.</w:t>
      </w:r>
    </w:p>
    <w:p>
      <w:pPr/>
      <w:r>
        <w:rPr>
          <w:lang w:val="en_US" w:bidi="en_US"/>
        </w:rPr>
      </w:r>
      <w:r>
        <w:rPr>
          <w:b/>
          <w:lang w:val="en_US" w:bidi="en_US"/>
        </w:rPr>
        <w:t>and:</w:t>
      </w:r>
      <w:r>
        <w:rPr>
          <w:lang w:val="en_US" w:bidi="en_US"/>
        </w:rPr>
        <w:t xml:space="preserve"> In Greek, a conjunction that the BSB literally translates as </w:t>
      </w:r>
      <w:r>
        <w:rPr>
          <w:i/>
          <w:lang w:val="en_US" w:bidi="en_US"/>
        </w:rPr>
        <w:t>and</w:t>
      </w:r>
      <w:r>
        <w:rPr>
          <w:lang w:val="en_US" w:bidi="en_US"/>
        </w:rPr>
        <w:t xml:space="preserve"> connects 5:27c and 5:28. However, 5:28 is the result of Jesus’ command in 5:27c. So in some languages, it may more natural to introduce this result with a different conjunction. For example:</w:t>
      </w:r>
    </w:p>
    <w:p>
      <w:pPr/>
      <w:r>
        <w:rPr>
          <w:lang w:val="en_US" w:bidi="en_US"/>
        </w:rPr>
      </w:r>
      <w:r>
        <w:rPr>
          <w:lang w:val="en_US" w:bidi="en_US"/>
        </w:rPr>
        <w:t>So (NLT)</w:t>
      </w:r>
    </w:p>
    <w:p>
      <w:pPr/>
      <w:r>
        <w:rPr>
          <w:lang w:val="en_US" w:bidi="en_US"/>
        </w:rPr>
      </w:r>
      <w:r>
        <w:rPr>
          <w:lang w:val="en_US" w:bidi="en_US"/>
        </w:rPr>
        <w:t>Another way to connect these verses is:</w:t>
      </w:r>
    </w:p>
    <w:p>
      <w:pPr/>
      <w:r>
        <w:rPr>
          <w:lang w:val="en_US" w:bidi="en_US"/>
        </w:rPr>
      </w:r>
      <w:r>
        <w:rPr>
          <w:lang w:val="en_US" w:bidi="en_US"/>
        </w:rPr>
        <w:t>Then</w:t>
      </w:r>
    </w:p>
    <w:p>
      <w:pPr/>
      <w:r>
        <w:rPr>
          <w:lang w:val="en_US" w:bidi="en_US"/>
        </w:rPr>
      </w:r>
      <w:r>
        <w:rPr>
          <w:lang w:val="en_US" w:bidi="en_US"/>
        </w:rPr>
        <w:t>In other languages, no conjunction may be necessary here.</w:t>
      </w:r>
    </w:p>
    <w:p>
      <w:pPr/>
      <w:r>
        <w:rPr>
          <w:lang w:val="en_US" w:bidi="en_US"/>
        </w:rPr>
      </w:r>
      <w:r>
        <w:rPr>
          <w:b/>
          <w:lang w:val="en_US" w:bidi="en_US"/>
        </w:rPr>
        <w:t>Levi got up, left everything, and followed Him:</w:t>
      </w:r>
      <w:r>
        <w:rPr>
          <w:lang w:val="en_US" w:bidi="en_US"/>
        </w:rPr>
        <w:t xml:space="preserve"> In Greek, the phrase that the BSB translates as </w:t>
      </w:r>
      <w:r>
        <w:rPr>
          <w:i/>
          <w:lang w:val="en_US" w:bidi="en_US"/>
        </w:rPr>
        <w:t>got up, left everything, and followed Him</w:t>
      </w:r>
      <w:r>
        <w:rPr>
          <w:lang w:val="en_US" w:bidi="en_US"/>
        </w:rPr>
        <w:t xml:space="preserve"> is literally “abandoning all things, rising up, he followed him.”</w:t>
      </w:r>
    </w:p>
    <w:p>
      <w:pPr/>
      <w:r>
        <w:rPr>
          <w:lang w:val="en_US" w:bidi="en_US"/>
        </w:rPr>
      </w:r>
      <w:r>
        <w:rPr>
          <w:lang w:val="en_US" w:bidi="en_US"/>
        </w:rPr>
        <w:t>In English, it is not natural to say “he abandoned everything” before saying “he got up.” For this reason, a number of English versions, including the BSB, have changed the order.</w:t>
      </w:r>
    </w:p>
    <w:p>
      <w:pPr/>
      <w:r>
        <w:rPr>
          <w:lang w:val="en_US" w:bidi="en_US"/>
        </w:rPr>
      </w:r>
      <w:r>
        <w:rPr>
          <w:b/>
          <w:lang w:val="en_US" w:bidi="en_US"/>
        </w:rPr>
        <w:t>left everything:</w:t>
      </w:r>
      <w:r>
        <w:rPr>
          <w:lang w:val="en_US" w:bidi="en_US"/>
        </w:rPr>
        <w:t xml:space="preserve"> The phrase </w:t>
      </w:r>
      <w:r>
        <w:rPr>
          <w:i/>
          <w:lang w:val="en_US" w:bidi="en_US"/>
        </w:rPr>
        <w:t>left everything</w:t>
      </w:r>
      <w:r>
        <w:rPr>
          <w:lang w:val="en_US" w:bidi="en_US"/>
        </w:rPr>
        <w:t xml:space="preserve"> in this context means “left/abandoned his work as a tax collector.” It appears from the following verses that Levi still had his own house and personal money.</w:t>
      </w:r>
    </w:p>
    <w:p>
      <w:pPr/>
      <w:r>
        <w:rPr>
          <w:lang w:val="en_US" w:bidi="en_US"/>
        </w:rPr>
      </w:r>
      <w:r>
        <w:rPr>
          <w:lang w:val="en_US" w:bidi="en_US"/>
        </w:rPr>
        <w:t>This phrase emphasizes Levi’s commitment to follow Jesus. See also the note on “left everything” at 5:11b.</w:t>
      </w:r>
    </w:p>
    <w:p>
      <w:pPr/>
      <w:r>
        <w:rPr>
          <w:lang w:val="en_US" w:bidi="en_US"/>
        </w:rPr>
      </w:r>
      <w:r>
        <w:rPr>
          <w:b/>
          <w:lang w:val="en_US" w:bidi="en_US"/>
        </w:rPr>
        <w:t>followed Him:</w:t>
      </w:r>
      <w:r>
        <w:rPr>
          <w:lang w:val="en_US" w:bidi="en_US"/>
        </w:rPr>
        <w:t xml:space="preserve"> In this context the phrase </w:t>
      </w:r>
      <w:r>
        <w:rPr>
          <w:i/>
          <w:lang w:val="en_US" w:bidi="en_US"/>
        </w:rPr>
        <w:t>followed Him</w:t>
      </w:r>
      <w:r>
        <w:rPr>
          <w:lang w:val="en_US" w:bidi="en_US"/>
        </w:rPr>
        <w:t xml:space="preserve"> indicates that Levi became a disciple of Jesus. See the note on “Follow me” at 5:27c.</w:t>
      </w:r>
      <w:r>
        <w:rPr>
          <w:lang w:val="en_US" w:bidi="en_US"/>
        </w:rPr>
      </w:r>
      <w:r>
        <w:rPr>
          <w:lang w:val="en_US" w:bidi="en_US"/>
        </w:rPr>
      </w:r>
    </w:p>
    <w:p>
      <w:pPr/>
      <w:r>
        <w:rPr>
          <w:lang w:val="en_US" w:bidi="en_US"/>
        </w:rPr>
      </w:r>
    </w:p>
    <w:p>
      <w:pPr>
        <w:pStyle w:val="Heading2"/>
      </w:pPr>
      <w:r>
        <w:rPr>
          <w:lang w:val="en_US" w:bidi="en_US"/>
        </w:rPr>
        <w:t>Luke 5:29</w:t>
      </w:r>
      <w:r>
        <w:rPr>
          <w:lang w:val="en_US" w:bidi="en_US"/>
        </w:rPr>
      </w:r>
    </w:p>
    <w:p>
      <w:pPr>
        <w:pStyle w:val="Heading4"/>
      </w:pPr>
      <w:r>
        <w:rPr>
          <w:lang w:val="en_US" w:bidi="en_US"/>
        </w:rPr>
        <w:t>Section 5:27–32: Jesus chose Levi to become one of his disciples</w:t>
      </w:r>
    </w:p>
    <w:p>
      <w:pPr/>
      <w:r>
        <w:rPr>
          <w:lang w:val="en_US" w:bidi="en_US"/>
        </w:rPr>
      </w:r>
      <w:r>
        <w:rPr>
          <w:lang w:val="en_US" w:bidi="en_US"/>
        </w:rPr>
        <w:t>In this section, Jesus asked a man named Levi to be his disciple. For the meaning of “disciple,” see the note at 5:30a.</w:t>
      </w:r>
    </w:p>
    <w:p>
      <w:pPr/>
      <w:r>
        <w:rPr>
          <w:lang w:val="en_US" w:bidi="en_US"/>
        </w:rPr>
      </w:r>
      <w:r>
        <w:rPr>
          <w:lang w:val="en_US" w:bidi="en_US"/>
        </w:rPr>
        <w:t>Levi was a tax collector. Jews hated tax collectors for at least two reasons:</w:t>
      </w:r>
    </w:p>
    <w:p>
      <w:pPr>
        <w:pStyle w:val="ListNumber"/>
        <w:numPr>
          <w:ilvl w:val="0"/>
          <w:numId w:val="115"/>
        </w:numPr>
        <w:spacing w:line="240" w:lineRule="auto"/>
        <w:ind w:left="720"/>
      </w:pPr>
      <w:r>
        <w:rPr>
          <w:lang w:val="en_US" w:bidi="en_US"/>
        </w:rPr>
      </w:r>
      <w:r>
        <w:rPr>
          <w:lang w:val="en_US" w:bidi="en_US"/>
        </w:rPr>
        <w:t>Tax collectors worked for the Roman government or for Herod’s government. These were foreign governments that ruled the Jews.</w:t>
      </w:r>
    </w:p>
    <w:p>
      <w:pPr>
        <w:pStyle w:val="ListNumber"/>
        <w:spacing w:line="240" w:lineRule="auto"/>
        <w:ind w:left="720"/>
      </w:pPr>
      <w:r>
        <w:rPr>
          <w:lang w:val="en_US" w:bidi="en_US"/>
        </w:rPr>
      </w:r>
      <w:r>
        <w:rPr>
          <w:lang w:val="en_US" w:bidi="en_US"/>
        </w:rPr>
        <w:t>Tax collectors sometimes collected more money than necessary. Then they kept the extra money and became rich.</w:t>
      </w:r>
    </w:p>
    <w:p>
      <w:pPr/>
      <w:r>
        <w:rPr>
          <w:lang w:val="en_US" w:bidi="en_US"/>
        </w:rPr>
      </w:r>
      <w:r>
        <w:rPr>
          <w:lang w:val="en_US" w:bidi="en_US"/>
        </w:rP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people who believe themselves to be righteous.</w:t>
      </w:r>
    </w:p>
    <w:p>
      <w:pPr/>
      <w:r>
        <w:rPr>
          <w:lang w:val="en_US" w:bidi="en_US"/>
        </w:rPr>
      </w:r>
      <w:r>
        <w:rPr>
          <w:lang w:val="en_US" w:bidi="en_US"/>
        </w:rPr>
        <w:t>Some other possible headings for this section are:</w:t>
      </w:r>
    </w:p>
    <w:p>
      <w:pPr/>
      <w:r>
        <w:rPr>
          <w:lang w:val="en_US" w:bidi="en_US"/>
        </w:rPr>
      </w:r>
      <w:r>
        <w:rPr>
          <w:lang w:val="en_US" w:bidi="en_US"/>
        </w:rPr>
        <w:t>Jesus called Levi to be his disciple and ate with sinners</w:t>
      </w:r>
    </w:p>
    <w:p>
      <w:pPr/>
      <w:r>
        <w:rPr>
          <w:lang w:val="en_US" w:bidi="en_US"/>
        </w:rPr>
      </w:r>
      <w:r>
        <w:rPr>
          <w:lang w:val="en_US" w:bidi="en_US"/>
        </w:rPr>
        <w:t>Jesus loves sinners</w:t>
      </w:r>
    </w:p>
    <w:p>
      <w:pPr/>
      <w:r>
        <w:rPr>
          <w:lang w:val="en_US" w:bidi="en_US"/>
        </w:rPr>
      </w:r>
      <w:r>
        <w:rPr>
          <w:lang w:val="en_US" w:bidi="en_US"/>
        </w:rPr>
        <w:t>There are parallel passages for this section in Matthew 9:9–13 and Mark 2:13–17.</w:t>
      </w:r>
    </w:p>
    <w:p>
      <w:pPr>
        <w:pStyle w:val="Heading5"/>
      </w:pPr>
      <w:r>
        <w:rPr>
          <w:lang w:val="en_US" w:bidi="en_US"/>
        </w:rPr>
        <w:t>5:29a</w:t>
      </w:r>
    </w:p>
    <w:p>
      <w:pPr/>
      <w:r>
        <w:rPr>
          <w:lang w:val="en_US" w:bidi="en_US"/>
        </w:rPr>
      </w:r>
      <w:r>
        <w:rPr>
          <w:b/>
          <w:lang w:val="en_US" w:bidi="en_US"/>
        </w:rPr>
        <w:t>Then Levi hosted a great banquet for Jesus at his house.</w:t>
      </w:r>
    </w:p>
    <w:p>
      <w:pPr>
        <w:pStyle w:val="ListBullet"/>
        <w:spacing w:line="240" w:lineRule="auto"/>
        <w:ind w:left="720"/>
      </w:pPr>
      <w:r>
        <w:rPr>
          <w:lang w:val="en_US" w:bidi="en_US"/>
        </w:rPr>
      </w:r>
      <w:r>
        <w:rPr>
          <w:lang w:val="en_US" w:bidi="en_US"/>
        </w:rPr>
        <w:t xml:space="preserve">¶ </w:t>
      </w:r>
      <w:r>
        <w:rPr>
          <w:lang w:val="en_US" w:bidi="en_US"/>
        </w:rPr>
        <w:t>Later</w:t>
      </w:r>
      <w:r>
        <w:rPr>
          <w:lang w:val="en_US" w:bidi="en_US"/>
        </w:rPr>
        <w:t xml:space="preserve"> Levi had a big feast in his house </w:t>
      </w:r>
      <w:r>
        <w:rPr>
          <w:lang w:val="en_US" w:bidi="en_US"/>
        </w:rPr>
        <w:t>to honor</w:t>
      </w:r>
      <w:r>
        <w:rPr>
          <w:lang w:val="en_US" w:bidi="en_US"/>
        </w:rPr>
        <w:t xml:space="preserve"> Jesus.</w:t>
      </w:r>
    </w:p>
    <w:p>
      <w:pPr>
        <w:pStyle w:val="ListBullet"/>
        <w:spacing w:line="240" w:lineRule="auto"/>
        <w:ind w:left="720"/>
      </w:pPr>
      <w:r>
        <w:rPr>
          <w:lang w:val="en_US" w:bidi="en_US"/>
        </w:rPr>
      </w:r>
      <w:r>
        <w:rPr>
          <w:lang w:val="en_US" w:bidi="en_US"/>
        </w:rPr>
        <w:t xml:space="preserve">¶ </w:t>
      </w:r>
      <w:r>
        <w:rPr>
          <w:lang w:val="en_US" w:bidi="en_US"/>
        </w:rPr>
        <w:t>Afterwards</w:t>
      </w:r>
      <w:r>
        <w:rPr>
          <w:lang w:val="en_US" w:bidi="en_US"/>
        </w:rPr>
        <w:t xml:space="preserve"> Levi invited Jesus to his house as the chief/honored guest at a big dinner.</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is literally “And.” It introduces what happened next in the story. Some other ways to connect this paragraph to 5:28 are:</w:t>
      </w:r>
    </w:p>
    <w:p>
      <w:pPr/>
      <w:r>
        <w:rPr>
          <w:lang w:val="en_US" w:bidi="en_US"/>
        </w:rPr>
      </w:r>
      <w:r>
        <w:rPr>
          <w:lang w:val="en_US" w:bidi="en_US"/>
        </w:rPr>
        <w:t>Later (NLT)</w:t>
      </w:r>
    </w:p>
    <w:p>
      <w:pPr/>
      <w:r>
        <w:rPr>
          <w:lang w:val="en_US" w:bidi="en_US"/>
        </w:rPr>
      </w:r>
      <w:r>
        <w:rPr>
          <w:lang w:val="en_US" w:bidi="en_US"/>
        </w:rPr>
        <w:t>Afterwards (REB)</w:t>
      </w:r>
    </w:p>
    <w:p>
      <w:pPr/>
      <w:r>
        <w:rPr>
          <w:lang w:val="en_US" w:bidi="en_US"/>
        </w:rPr>
      </w:r>
      <w:r>
        <w:rPr>
          <w:b/>
          <w:lang w:val="en_US" w:bidi="en_US"/>
        </w:rPr>
        <w:t>Levi hosted a great banquet for Jesus:</w:t>
      </w:r>
      <w:r>
        <w:rPr>
          <w:lang w:val="en_US" w:bidi="en_US"/>
        </w:rPr>
        <w:t xml:space="preserve"> The phrase </w:t>
      </w:r>
      <w:r>
        <w:rPr>
          <w:i/>
          <w:lang w:val="en_US" w:bidi="en_US"/>
        </w:rPr>
        <w:t>Levi hosted a great banquet for Jesus</w:t>
      </w:r>
      <w:r>
        <w:rPr>
          <w:lang w:val="en_US" w:bidi="en_US"/>
        </w:rPr>
        <w:t xml:space="preserve"> means “Levi invited many people to come and eat a meal to honor Jesus.” Levi was the host of the banquet.</w:t>
      </w:r>
    </w:p>
    <w:p>
      <w:pPr/>
      <w:r>
        <w:rPr>
          <w:lang w:val="en_US" w:bidi="en_US"/>
        </w:rPr>
      </w:r>
      <w:r>
        <w:rPr>
          <w:b/>
          <w:lang w:val="en_US" w:bidi="en_US"/>
        </w:rPr>
        <w:t>banquet:</w:t>
      </w:r>
      <w:r>
        <w:rPr>
          <w:lang w:val="en_US" w:bidi="en_US"/>
        </w:rPr>
        <w:t xml:space="preserve"> The Greek word that the BSB translates as </w:t>
      </w:r>
      <w:r>
        <w:rPr>
          <w:i/>
          <w:lang w:val="en_US" w:bidi="en_US"/>
        </w:rPr>
        <w:t>banquet</w:t>
      </w:r>
      <w:r>
        <w:rPr>
          <w:lang w:val="en_US" w:bidi="en_US"/>
        </w:rPr>
        <w:t xml:space="preserve"> refers to a large meal. Some other ways to translate this word are:</w:t>
      </w:r>
    </w:p>
    <w:p>
      <w:pPr/>
      <w:r>
        <w:rPr>
          <w:lang w:val="en_US" w:bidi="en_US"/>
        </w:rPr>
      </w:r>
      <w:r>
        <w:rPr>
          <w:lang w:val="en_US" w:bidi="en_US"/>
        </w:rPr>
        <w:t>big dinner (CEV)</w:t>
      </w:r>
    </w:p>
    <w:p>
      <w:pPr/>
      <w:r>
        <w:rPr>
          <w:lang w:val="en_US" w:bidi="en_US"/>
        </w:rPr>
      </w:r>
      <w:r>
        <w:rPr>
          <w:lang w:val="en_US" w:bidi="en_US"/>
        </w:rPr>
        <w:t>big feast (GNT)</w:t>
      </w:r>
    </w:p>
    <w:p>
      <w:pPr/>
      <w:r>
        <w:rPr>
          <w:lang w:val="en_US" w:bidi="en_US"/>
        </w:rPr>
      </w:r>
      <w:r>
        <w:rPr>
          <w:lang w:val="en_US" w:bidi="en_US"/>
        </w:rPr>
        <w:t>big reception (REB)</w:t>
      </w:r>
    </w:p>
    <w:p>
      <w:pPr/>
      <w:r>
        <w:rPr>
          <w:lang w:val="en_US" w:bidi="en_US"/>
        </w:rPr>
      </w:r>
      <w:r>
        <w:rPr>
          <w:b/>
          <w:lang w:val="en_US" w:bidi="en_US"/>
        </w:rPr>
        <w:t>for Jesus:</w:t>
      </w:r>
      <w:r>
        <w:rPr>
          <w:lang w:val="en_US" w:bidi="en_US"/>
        </w:rPr>
        <w:t xml:space="preserve"> The phrase </w:t>
      </w:r>
      <w:r>
        <w:rPr>
          <w:i/>
          <w:lang w:val="en_US" w:bidi="en_US"/>
        </w:rPr>
        <w:t>for Jesus</w:t>
      </w:r>
      <w:r>
        <w:rPr>
          <w:lang w:val="en_US" w:bidi="en_US"/>
        </w:rPr>
        <w:t xml:space="preserve"> here means that Jesus was invited to the banquet as the guest of honor. Levi had the feast in order to honor Jesus in the presence of all the other guests. For example:</w:t>
      </w:r>
    </w:p>
    <w:p>
      <w:pPr/>
      <w:r>
        <w:rPr>
          <w:lang w:val="en_US" w:bidi="en_US"/>
        </w:rPr>
      </w:r>
      <w:r>
        <w:rPr>
          <w:lang w:val="en_US" w:bidi="en_US"/>
        </w:rPr>
        <w:t>with Jesus as the guest of honor (NLT)</w:t>
      </w:r>
    </w:p>
    <w:p>
      <w:pPr>
        <w:pStyle w:val="Heading5"/>
      </w:pPr>
      <w:r>
        <w:rPr>
          <w:lang w:val="en_US" w:bidi="en_US"/>
        </w:rPr>
        <w:t>5:29b</w:t>
      </w:r>
    </w:p>
    <w:p>
      <w:pPr/>
      <w:r>
        <w:rPr>
          <w:lang w:val="en_US" w:bidi="en_US"/>
        </w:rPr>
      </w:r>
      <w:r>
        <w:rPr>
          <w:b/>
          <w:lang w:val="en_US" w:bidi="en_US"/>
        </w:rPr>
        <w:t>A large crowd of tax collectors was there, along with others who were eating with them.</w:t>
      </w:r>
    </w:p>
    <w:p>
      <w:pPr>
        <w:pStyle w:val="ListBullet"/>
        <w:spacing w:line="240" w:lineRule="auto"/>
        <w:ind w:left="720"/>
      </w:pPr>
      <w:r>
        <w:rPr>
          <w:lang w:val="en_US" w:bidi="en_US"/>
        </w:rPr>
      </w:r>
      <w:r>
        <w:rPr>
          <w:lang w:val="en_US" w:bidi="en_US"/>
        </w:rPr>
        <w:t xml:space="preserve">A large number of tax collectors and other people ate </w:t>
      </w:r>
      <w:r>
        <w:rPr>
          <w:lang w:val="en_US" w:bidi="en_US"/>
        </w:rPr>
        <w:t>there</w:t>
      </w:r>
      <w:r>
        <w:rPr>
          <w:lang w:val="en_US" w:bidi="en_US"/>
        </w:rPr>
        <w:t xml:space="preserve"> with Levi and Jesus.</w:t>
      </w:r>
    </w:p>
    <w:p>
      <w:pPr>
        <w:pStyle w:val="ListBullet"/>
        <w:spacing w:line="240" w:lineRule="auto"/>
        <w:ind w:left="720"/>
      </w:pPr>
      <w:r>
        <w:rPr>
          <w:lang w:val="en_US" w:bidi="en_US"/>
        </w:rPr>
      </w:r>
      <w:r>
        <w:rPr>
          <w:lang w:val="en_US" w:bidi="en_US"/>
        </w:rPr>
        <w:t>Many tax collectors and other guests were also there. (CEV)</w:t>
      </w:r>
    </w:p>
    <w:p>
      <w:pPr/>
      <w:r>
        <w:rPr>
          <w:lang w:val="en_US" w:bidi="en_US"/>
        </w:rPr>
      </w:r>
      <w:r>
        <w:rPr>
          <w:b/>
          <w:lang w:val="en_US" w:bidi="en_US"/>
        </w:rPr>
        <w:t>tax collectors:</w:t>
      </w:r>
      <w:r>
        <w:rPr>
          <w:lang w:val="en_US" w:bidi="en_US"/>
        </w:rPr>
        <w:t xml:space="preserve"> The term </w:t>
      </w:r>
      <w:r>
        <w:rPr>
          <w:i/>
          <w:lang w:val="en_US" w:bidi="en_US"/>
        </w:rPr>
        <w:t>tax collectors</w:t>
      </w:r>
      <w:r>
        <w:rPr>
          <w:lang w:val="en_US" w:bidi="en_US"/>
        </w:rPr>
        <w:t xml:space="preserve"> also occurs in 5:27b. See the note there.</w:t>
      </w:r>
    </w:p>
    <w:p>
      <w:pPr/>
      <w:r>
        <w:rPr>
          <w:lang w:val="en_US" w:bidi="en_US"/>
        </w:rPr>
      </w:r>
      <w:r>
        <w:rPr>
          <w:b/>
          <w:lang w:val="en_US" w:bidi="en_US"/>
        </w:rPr>
        <w:t>along with others:</w:t>
      </w:r>
      <w:r>
        <w:rPr>
          <w:lang w:val="en_US" w:bidi="en_US"/>
        </w:rPr>
        <w:t xml:space="preserve"> The Greek word the BSB translates as </w:t>
      </w:r>
      <w:r>
        <w:rPr>
          <w:i/>
          <w:lang w:val="en_US" w:bidi="en_US"/>
        </w:rPr>
        <w:t>others</w:t>
      </w:r>
      <w:r>
        <w:rPr>
          <w:lang w:val="en_US" w:bidi="en_US"/>
        </w:rPr>
        <w:t xml:space="preserve"> refers to “other people.” It refers generally to other people whom Levi knew. It includes Jesus’ disciples. Translate this word in a general way.</w:t>
      </w:r>
      <w:r>
        <w:rPr>
          <w:lang w:val="en_US" w:bidi="en_US"/>
        </w:rPr>
        <w:t>Matthew (Matthew 9:10) and Mark (Mark 2:15) refer to these “others” as “sinners.” But because Jesus’ disciples were also included in this group, it is best to translate the word “others” in a generic way.</w:t>
      </w:r>
      <w:r>
        <w:rPr>
          <w:lang w:val="en_US" w:bidi="en_US"/>
        </w:rPr>
        <w:t xml:space="preserve"> For example:</w:t>
      </w:r>
    </w:p>
    <w:p>
      <w:pPr/>
      <w:r>
        <w:rPr>
          <w:lang w:val="en_US" w:bidi="en_US"/>
        </w:rPr>
      </w:r>
      <w:r>
        <w:rPr>
          <w:lang w:val="en_US" w:bidi="en_US"/>
        </w:rPr>
        <w:t>other people (GNT)</w:t>
      </w:r>
    </w:p>
    <w:p>
      <w:pPr/>
      <w:r>
        <w:rPr>
          <w:lang w:val="en_US" w:bidi="en_US"/>
        </w:rPr>
      </w:r>
      <w:r>
        <w:rPr>
          <w:lang w:val="en_US" w:bidi="en_US"/>
        </w:rPr>
        <w:t>other guests (NLT)</w:t>
      </w:r>
    </w:p>
    <w:p>
      <w:pPr/>
      <w:r>
        <w:rPr>
          <w:lang w:val="en_US" w:bidi="en_US"/>
        </w:rPr>
      </w:r>
      <w:r>
        <w:rPr>
          <w:b/>
          <w:lang w:val="en_US" w:bidi="en_US"/>
        </w:rPr>
        <w:t>were eating:</w:t>
      </w:r>
      <w:r>
        <w:rPr>
          <w:lang w:val="en_US" w:bidi="en_US"/>
        </w:rPr>
        <w:t xml:space="preserve"> The Greek word that the BSB translates as </w:t>
      </w:r>
      <w:r>
        <w:rPr>
          <w:i/>
          <w:lang w:val="en_US" w:bidi="en_US"/>
        </w:rPr>
        <w:t>were eating</w:t>
      </w:r>
      <w:r>
        <w:rPr>
          <w:lang w:val="en_US" w:bidi="en_US"/>
        </w:rPr>
        <w:t xml:space="preserve"> is literally “were reclining” (as in the NASB). The Jews usually ate at low tables while reclining on the floor (on cushions). This is not the custom in many parts of the world, and the posture is not in focus here. So most English versions translate this with more general expressions. For example:</w:t>
      </w:r>
    </w:p>
    <w:p>
      <w:pPr/>
      <w:r>
        <w:rPr>
          <w:lang w:val="en_US" w:bidi="en_US"/>
        </w:rPr>
      </w:r>
      <w:r>
        <w:rPr>
          <w:lang w:val="en_US" w:bidi="en_US"/>
        </w:rPr>
        <w:t>sitting at table (RSV)</w:t>
      </w:r>
    </w:p>
    <w:p>
      <w:pPr/>
      <w:r>
        <w:rPr>
          <w:lang w:val="en_US" w:bidi="en_US"/>
        </w:rPr>
      </w:r>
      <w:r>
        <w:rPr>
          <w:lang w:val="en_US" w:bidi="en_US"/>
        </w:rPr>
        <w:t>were eating (NCV)</w:t>
      </w:r>
    </w:p>
    <w:p>
      <w:pPr/>
      <w:r>
        <w:rPr>
          <w:lang w:val="en_US" w:bidi="en_US"/>
        </w:rPr>
      </w:r>
      <w:r>
        <w:rPr>
          <w:lang w:val="en_US" w:bidi="en_US"/>
        </w:rPr>
        <w:t>ate (NLT)</w:t>
      </w:r>
    </w:p>
    <w:p>
      <w:pPr/>
      <w:r>
        <w:rPr>
          <w:lang w:val="en_US" w:bidi="en_US"/>
        </w:rPr>
      </w:r>
      <w:r>
        <w:rPr>
          <w:b/>
          <w:lang w:val="en_US" w:bidi="en_US"/>
        </w:rPr>
        <w:t>with them:</w:t>
      </w:r>
      <w:r>
        <w:rPr>
          <w:lang w:val="en_US" w:bidi="en_US"/>
        </w:rPr>
        <w:t xml:space="preserve"> The word </w:t>
      </w:r>
      <w:r>
        <w:rPr>
          <w:i/>
          <w:lang w:val="en_US" w:bidi="en_US"/>
        </w:rPr>
        <w:t>them</w:t>
      </w:r>
      <w:r>
        <w:rPr>
          <w:lang w:val="en_US" w:bidi="en_US"/>
        </w:rPr>
        <w:t xml:space="preserve"> probably refers to Levi, the host, and to Jesus, the honored guest.</w:t>
      </w:r>
      <w:r>
        <w:rPr>
          <w:lang w:val="en_US" w:bidi="en_US"/>
        </w:rPr>
      </w:r>
      <w:r>
        <w:rPr>
          <w:lang w:val="en_US" w:bidi="en_US"/>
        </w:rPr>
      </w:r>
    </w:p>
    <w:p>
      <w:pPr/>
      <w:r>
        <w:rPr>
          <w:lang w:val="en_US" w:bidi="en_US"/>
        </w:rPr>
      </w:r>
    </w:p>
    <w:p>
      <w:pPr>
        <w:pStyle w:val="Heading2"/>
      </w:pPr>
      <w:r>
        <w:rPr>
          <w:lang w:val="en_US" w:bidi="en_US"/>
        </w:rPr>
        <w:t>Luke 5:30</w:t>
      </w:r>
      <w:r>
        <w:rPr>
          <w:lang w:val="en_US" w:bidi="en_US"/>
        </w:rPr>
      </w:r>
    </w:p>
    <w:p>
      <w:pPr>
        <w:pStyle w:val="Heading4"/>
      </w:pPr>
      <w:r>
        <w:rPr>
          <w:lang w:val="en_US" w:bidi="en_US"/>
        </w:rPr>
        <w:t>Section 5:27–32: Jesus chose Levi to become one of his disciples</w:t>
      </w:r>
    </w:p>
    <w:p>
      <w:pPr/>
      <w:r>
        <w:rPr>
          <w:lang w:val="en_US" w:bidi="en_US"/>
        </w:rPr>
      </w:r>
      <w:r>
        <w:rPr>
          <w:lang w:val="en_US" w:bidi="en_US"/>
        </w:rPr>
        <w:t>In this section, Jesus asked a man named Levi to be his disciple. For the meaning of “disciple,” see the note at 5:30a.</w:t>
      </w:r>
    </w:p>
    <w:p>
      <w:pPr/>
      <w:r>
        <w:rPr>
          <w:lang w:val="en_US" w:bidi="en_US"/>
        </w:rPr>
      </w:r>
      <w:r>
        <w:rPr>
          <w:lang w:val="en_US" w:bidi="en_US"/>
        </w:rPr>
        <w:t>Levi was a tax collector. Jews hated tax collectors for at least two reasons:</w:t>
      </w:r>
    </w:p>
    <w:p>
      <w:pPr>
        <w:pStyle w:val="ListNumber"/>
        <w:numPr>
          <w:ilvl w:val="0"/>
          <w:numId w:val="116"/>
        </w:numPr>
        <w:spacing w:line="240" w:lineRule="auto"/>
        <w:ind w:left="720"/>
      </w:pPr>
      <w:r>
        <w:rPr>
          <w:lang w:val="en_US" w:bidi="en_US"/>
        </w:rPr>
      </w:r>
      <w:r>
        <w:rPr>
          <w:lang w:val="en_US" w:bidi="en_US"/>
        </w:rPr>
        <w:t>Tax collectors worked for the Roman government or for Herod’s government. These were foreign governments that ruled the Jews.</w:t>
      </w:r>
    </w:p>
    <w:p>
      <w:pPr>
        <w:pStyle w:val="ListNumber"/>
        <w:spacing w:line="240" w:lineRule="auto"/>
        <w:ind w:left="720"/>
      </w:pPr>
      <w:r>
        <w:rPr>
          <w:lang w:val="en_US" w:bidi="en_US"/>
        </w:rPr>
      </w:r>
      <w:r>
        <w:rPr>
          <w:lang w:val="en_US" w:bidi="en_US"/>
        </w:rPr>
        <w:t>Tax collectors sometimes collected more money than necessary. Then they kept the extra money and became rich.</w:t>
      </w:r>
    </w:p>
    <w:p>
      <w:pPr/>
      <w:r>
        <w:rPr>
          <w:lang w:val="en_US" w:bidi="en_US"/>
        </w:rPr>
      </w:r>
      <w:r>
        <w:rPr>
          <w:lang w:val="en_US" w:bidi="en_US"/>
        </w:rP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people who believe themselves to be righteous.</w:t>
      </w:r>
    </w:p>
    <w:p>
      <w:pPr/>
      <w:r>
        <w:rPr>
          <w:lang w:val="en_US" w:bidi="en_US"/>
        </w:rPr>
      </w:r>
      <w:r>
        <w:rPr>
          <w:lang w:val="en_US" w:bidi="en_US"/>
        </w:rPr>
        <w:t>Some other possible headings for this section are:</w:t>
      </w:r>
    </w:p>
    <w:p>
      <w:pPr/>
      <w:r>
        <w:rPr>
          <w:lang w:val="en_US" w:bidi="en_US"/>
        </w:rPr>
      </w:r>
      <w:r>
        <w:rPr>
          <w:lang w:val="en_US" w:bidi="en_US"/>
        </w:rPr>
        <w:t>Jesus called Levi to be his disciple and ate with sinners</w:t>
      </w:r>
    </w:p>
    <w:p>
      <w:pPr/>
      <w:r>
        <w:rPr>
          <w:lang w:val="en_US" w:bidi="en_US"/>
        </w:rPr>
      </w:r>
      <w:r>
        <w:rPr>
          <w:lang w:val="en_US" w:bidi="en_US"/>
        </w:rPr>
        <w:t>Jesus loves sinners</w:t>
      </w:r>
    </w:p>
    <w:p>
      <w:pPr/>
      <w:r>
        <w:rPr>
          <w:lang w:val="en_US" w:bidi="en_US"/>
        </w:rPr>
      </w:r>
      <w:r>
        <w:rPr>
          <w:lang w:val="en_US" w:bidi="en_US"/>
        </w:rPr>
        <w:t>There are parallel passages for this section in Matthew 9:9–13 and Mark 2:13–17.</w:t>
      </w:r>
    </w:p>
    <w:p>
      <w:pPr>
        <w:pStyle w:val="Heading5"/>
      </w:pPr>
      <w:r>
        <w:rPr>
          <w:lang w:val="en_US" w:bidi="en_US"/>
        </w:rPr>
        <w:t>5:30a</w:t>
      </w:r>
    </w:p>
    <w:p>
      <w:pPr/>
      <w:r>
        <w:rPr>
          <w:lang w:val="en_US" w:bidi="en_US"/>
        </w:rPr>
      </w:r>
      <w:r>
        <w:rPr>
          <w:b/>
          <w:lang w:val="en_US" w:bidi="en_US"/>
        </w:rPr>
        <w:t>But the Pharisees and their scribes complained to Jesus’ disciples,</w:t>
      </w:r>
    </w:p>
    <w:p>
      <w:pPr>
        <w:pStyle w:val="ListBullet"/>
        <w:spacing w:line="240" w:lineRule="auto"/>
        <w:ind w:left="720"/>
      </w:pPr>
      <w:r>
        <w:rPr>
          <w:lang w:val="en_US" w:bidi="en_US"/>
        </w:rPr>
      </w:r>
      <w:r>
        <w:rPr>
          <w:lang w:val="en_US" w:bidi="en_US"/>
        </w:rPr>
        <w:t xml:space="preserve">And </w:t>
      </w:r>
      <w:r>
        <w:rPr>
          <w:lang w:val="en_US" w:bidi="en_US"/>
        </w:rPr>
        <w:t>some</w:t>
      </w:r>
      <w:r>
        <w:rPr>
          <w:lang w:val="en_US" w:bidi="en_US"/>
        </w:rPr>
        <w:t xml:space="preserve"> Pharisees and teachers of the law who were part of their group criticized this. They said to Jesus’ disciples,</w:t>
      </w:r>
    </w:p>
    <w:p>
      <w:pPr>
        <w:pStyle w:val="ListBullet"/>
        <w:spacing w:line="240" w:lineRule="auto"/>
        <w:ind w:left="720"/>
      </w:pPr>
      <w:r>
        <w:rPr>
          <w:lang w:val="en_US" w:bidi="en_US"/>
        </w:rPr>
      </w:r>
      <w:r>
        <w:rPr>
          <w:lang w:val="en_US" w:bidi="en_US"/>
        </w:rPr>
        <w:t>Some of</w:t>
      </w:r>
      <w:r>
        <w:rPr>
          <w:lang w:val="en_US" w:bidi="en_US"/>
        </w:rPr>
        <w:t xml:space="preserve"> the Pharisees and the experts in the law among them complained to/against Jesus’ followers. They said,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is literally “And.” It introduces what happened next in the story. This next event happened after the meal. Connect this verse in a way that is natural in your language. For example:</w:t>
      </w:r>
    </w:p>
    <w:p>
      <w:pPr/>
      <w:r>
        <w:rPr>
          <w:lang w:val="en_US" w:bidi="en_US"/>
        </w:rPr>
      </w:r>
      <w:r>
        <w:rPr>
          <w:lang w:val="en_US" w:bidi="en_US"/>
        </w:rPr>
        <w:t>Then</w:t>
      </w:r>
    </w:p>
    <w:p>
      <w:pPr/>
      <w:r>
        <w:rPr>
          <w:lang w:val="en_US" w:bidi="en_US"/>
        </w:rPr>
      </w:r>
      <w:r>
        <w:rPr>
          <w:lang w:val="en_US" w:bidi="en_US"/>
        </w:rPr>
        <w:t>However</w:t>
      </w:r>
    </w:p>
    <w:p>
      <w:pPr/>
      <w:r>
        <w:rPr>
          <w:lang w:val="en_US" w:bidi="en_US"/>
        </w:rPr>
      </w:r>
      <w:r>
        <w:rPr>
          <w:lang w:val="en_US" w:bidi="en_US"/>
        </w:rPr>
        <w:t>In some languages, a conjunction is not necessary here.</w:t>
      </w:r>
    </w:p>
    <w:p>
      <w:pPr/>
      <w:r>
        <w:rPr>
          <w:lang w:val="en_US" w:bidi="en_US"/>
        </w:rPr>
      </w:r>
      <w:r>
        <w:rPr>
          <w:b/>
          <w:lang w:val="en_US" w:bidi="en_US"/>
        </w:rPr>
        <w:t>the Pharisees and their scribes:</w:t>
      </w:r>
      <w:r>
        <w:rPr>
          <w:lang w:val="en_US" w:bidi="en_US"/>
        </w:rPr>
        <w:t xml:space="preserve"> The phrase </w:t>
      </w:r>
      <w:r>
        <w:rPr>
          <w:i/>
          <w:lang w:val="en_US" w:bidi="en_US"/>
        </w:rPr>
        <w:t>the Pharisees and their scribes</w:t>
      </w:r>
      <w:r>
        <w:rPr>
          <w:lang w:val="en_US" w:bidi="en_US"/>
        </w:rPr>
        <w:t xml:space="preserve"> indicates that only the scribes who were Pharisees joined other Pharisees in the complaining (see Mark 2:16). Some of the scribes at this banquet belonged to the Pharisee party and others did not. Some other ways to translate this are:</w:t>
      </w:r>
    </w:p>
    <w:p>
      <w:pPr/>
      <w:r>
        <w:rPr>
          <w:lang w:val="en_US" w:bidi="en_US"/>
        </w:rPr>
      </w:r>
      <w:r>
        <w:rPr>
          <w:lang w:val="en_US" w:bidi="en_US"/>
        </w:rPr>
        <w:t>the Pharisees, including the teachers of the law among them</w:t>
      </w:r>
    </w:p>
    <w:p>
      <w:pPr/>
      <w:r>
        <w:rPr>
          <w:lang w:val="en_US" w:bidi="en_US"/>
        </w:rPr>
      </w:r>
      <w:r>
        <w:rPr>
          <w:lang w:val="en_US" w:bidi="en_US"/>
        </w:rPr>
        <w:t>the Pharisees and the teachers of the law who belonged to their sect (NIV)</w:t>
      </w:r>
    </w:p>
    <w:p>
      <w:pPr/>
      <w:r>
        <w:rPr>
          <w:lang w:val="en_US" w:bidi="en_US"/>
        </w:rPr>
      </w:r>
      <w:r>
        <w:rPr>
          <w:lang w:val="en_US" w:bidi="en_US"/>
        </w:rPr>
        <w:t>Some Pharisees and some teachers of the Law who belonged to their group (GNT)</w:t>
      </w:r>
    </w:p>
    <w:p>
      <w:pPr/>
      <w:r>
        <w:rPr>
          <w:lang w:val="en_US" w:bidi="en_US"/>
        </w:rPr>
      </w:r>
      <w:r>
        <w:rPr>
          <w:b/>
          <w:lang w:val="en_US" w:bidi="en_US"/>
        </w:rPr>
        <w:t>the Pharisees:</w:t>
      </w:r>
      <w:r>
        <w:rPr>
          <w:lang w:val="en_US" w:bidi="en_US"/>
        </w:rPr>
        <w:t xml:space="preserve"> See the note on </w:t>
      </w:r>
      <w:r>
        <w:rPr>
          <w:i/>
          <w:lang w:val="en_US" w:bidi="en_US"/>
        </w:rPr>
        <w:t>Pharisees</w:t>
      </w:r>
      <w:r>
        <w:rPr>
          <w:lang w:val="en_US" w:bidi="en_US"/>
        </w:rPr>
        <w:t xml:space="preserve"> at 5:17a.</w:t>
      </w:r>
    </w:p>
    <w:p>
      <w:pPr/>
      <w:r>
        <w:rPr>
          <w:lang w:val="en_US" w:bidi="en_US"/>
        </w:rPr>
      </w:r>
      <w:r>
        <w:rPr>
          <w:b/>
          <w:lang w:val="en_US" w:bidi="en_US"/>
        </w:rPr>
        <w:t>their scribes:</w:t>
      </w:r>
      <w:r>
        <w:rPr>
          <w:lang w:val="en_US" w:bidi="en_US"/>
        </w:rPr>
        <w:t xml:space="preserve"> See the note on </w:t>
      </w:r>
      <w:r>
        <w:rPr>
          <w:i/>
          <w:lang w:val="en_US" w:bidi="en_US"/>
        </w:rPr>
        <w:t>scribes</w:t>
      </w:r>
      <w:r>
        <w:rPr>
          <w:lang w:val="en_US" w:bidi="en_US"/>
        </w:rPr>
        <w:t xml:space="preserve"> at 5:17a. See teacher of the law in the Glossary.</w:t>
      </w:r>
    </w:p>
    <w:p>
      <w:pPr/>
      <w:r>
        <w:rPr>
          <w:lang w:val="en_US" w:bidi="en_US"/>
        </w:rPr>
      </w:r>
      <w:r>
        <w:rPr>
          <w:b/>
          <w:lang w:val="en_US" w:bidi="en_US"/>
        </w:rPr>
        <w:t>complained:</w:t>
      </w:r>
      <w:r>
        <w:rPr>
          <w:lang w:val="en_US" w:bidi="en_US"/>
        </w:rPr>
        <w:t xml:space="preserve"> The verb </w:t>
      </w:r>
      <w:r>
        <w:rPr>
          <w:i/>
          <w:lang w:val="en_US" w:bidi="en_US"/>
        </w:rPr>
        <w:t>complained</w:t>
      </w:r>
      <w:r>
        <w:rPr>
          <w:lang w:val="en_US" w:bidi="en_US"/>
        </w:rPr>
        <w:t xml:space="preserve"> here means “grumbled” or “protested.” These religious leaders were disturbed that Jesus and his disciples were eating with tax collectors.</w:t>
      </w:r>
    </w:p>
    <w:p>
      <w:pPr/>
      <w:r>
        <w:rPr>
          <w:lang w:val="en_US" w:bidi="en_US"/>
        </w:rPr>
      </w:r>
      <w:r>
        <w:rPr>
          <w:lang w:val="en_US" w:bidi="en_US"/>
        </w:rPr>
        <w:t>The form of the Greek verb may indicate that they continued complaining for a period of time, rather than that they complained just once. It may also indicate the beginning of such a period. Some English versions therefore translate this as:</w:t>
      </w:r>
    </w:p>
    <w:p>
      <w:pPr/>
      <w:r>
        <w:rPr>
          <w:lang w:val="en_US" w:bidi="en_US"/>
        </w:rPr>
      </w:r>
      <w:r>
        <w:rPr>
          <w:lang w:val="en_US" w:bidi="en_US"/>
        </w:rPr>
        <w:t>began grumbling (NASB)</w:t>
      </w:r>
    </w:p>
    <w:p>
      <w:pPr/>
      <w:r>
        <w:rPr>
          <w:lang w:val="en_US" w:bidi="en_US"/>
        </w:rPr>
      </w:r>
      <w:r>
        <w:rPr>
          <w:lang w:val="en_US" w:bidi="en_US"/>
        </w:rPr>
        <w:t>began to complain (NCV)</w:t>
      </w:r>
    </w:p>
    <w:p>
      <w:pPr/>
      <w:r>
        <w:rPr>
          <w:lang w:val="en_US" w:bidi="en_US"/>
        </w:rPr>
      </w:r>
      <w:r>
        <w:rPr>
          <w:b/>
          <w:lang w:val="en_US" w:bidi="en_US"/>
        </w:rPr>
        <w:t>to Jesus’ disciples:</w:t>
      </w:r>
      <w:r>
        <w:rPr>
          <w:lang w:val="en_US" w:bidi="en_US"/>
        </w:rPr>
        <w:t xml:space="preserve"> The Pharisees addressed their complaints to Jesus’ disciples. They did not speak to Jesus. However, their complaints concerned Jesus. In some languages it may be more natural to say they “complained </w:t>
      </w:r>
      <w:r>
        <w:rPr>
          <w:u w:val="single"/>
          <w:lang w:val="en_US" w:bidi="en_US"/>
        </w:rPr>
        <w:t>against</w:t>
      </w:r>
      <w:r>
        <w:rPr>
          <w:lang w:val="en_US" w:bidi="en_US"/>
        </w:rPr>
        <w:t xml:space="preserve">” rather than “complained </w:t>
      </w:r>
      <w:r>
        <w:rPr>
          <w:u w:val="single"/>
          <w:lang w:val="en_US" w:bidi="en_US"/>
        </w:rPr>
        <w:t>to</w:t>
      </w:r>
      <w:r>
        <w:rPr>
          <w:lang w:val="en_US" w:bidi="en_US"/>
        </w:rPr>
        <w:t>.” This is because the disciples were included in the group they complained about.</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 xml:space="preserve">Some ways to translate </w:t>
      </w:r>
      <w:r>
        <w:rPr>
          <w:i/>
          <w:lang w:val="en_US" w:bidi="en_US"/>
        </w:rPr>
        <w:t>disciples</w:t>
      </w:r>
      <w:r>
        <w:rPr>
          <w:lang w:val="en_US" w:bidi="en_US"/>
        </w:rPr>
        <w:t xml:space="preserve"> are:</w:t>
      </w:r>
    </w:p>
    <w:p>
      <w:pPr>
        <w:pStyle w:val="ListBullet"/>
        <w:spacing w:line="240" w:lineRule="auto"/>
        <w:ind w:left="720"/>
      </w:pPr>
      <w:r>
        <w:rPr>
          <w:lang w:val="en_US" w:bidi="en_US"/>
        </w:rPr>
      </w:r>
      <w:r>
        <w:rPr>
          <w:lang w:val="en_US" w:bidi="en_US"/>
        </w:rPr>
        <w:t xml:space="preserve">Use a term that refers to people who </w:t>
      </w:r>
      <w:r>
        <w:rPr>
          <w:u w:val="single"/>
          <w:lang w:val="en_US" w:bidi="en_US"/>
        </w:rPr>
        <w:t>learn</w:t>
      </w:r>
      <w:r>
        <w:rPr>
          <w:lang w:val="en_US" w:bidi="en_US"/>
        </w:rPr>
        <w:t xml:space="preserve"> from a teacher or an expert. It is helpful if the term also implies that the learners are often with his teacher. For example:</w:t>
      </w:r>
      <w:r>
        <w:rPr>
          <w:lang w:val="en_US" w:bidi="en_US"/>
        </w:rPr>
        <w:t>learners/students</w:t>
      </w:r>
      <w:r>
        <w:rPr>
          <w:lang w:val="en_US" w:bidi="en_US"/>
        </w:rPr>
        <w:t>apprentices</w:t>
      </w:r>
    </w:p>
    <w:p>
      <w:pPr/>
      <w:r>
        <w:rPr>
          <w:lang w:val="en_US" w:bidi="en_US"/>
        </w:rPr>
      </w:r>
      <w:r>
        <w:rPr>
          <w:lang w:val="en_US" w:bidi="en_US"/>
        </w:rPr>
        <w:t>Be careful not to use a term that would refer only to a student in a school or classroom.</w:t>
      </w:r>
    </w:p>
    <w:p>
      <w:pPr>
        <w:pStyle w:val="ListBullet"/>
        <w:spacing w:line="240" w:lineRule="auto"/>
        <w:ind w:left="720"/>
      </w:pPr>
      <w:r>
        <w:rPr>
          <w:lang w:val="en_US" w:bidi="en_US"/>
        </w:rPr>
      </w:r>
      <w:r>
        <w:rPr>
          <w:lang w:val="en_US" w:bidi="en_US"/>
        </w:rPr>
        <w:t xml:space="preserve">Use a term that refers to people who </w:t>
      </w:r>
      <w:r>
        <w:rPr>
          <w:u w:val="single"/>
          <w:lang w:val="en_US" w:bidi="en_US"/>
        </w:rPr>
        <w:t>follow</w:t>
      </w:r>
      <w:r>
        <w:rPr>
          <w:lang w:val="en_US" w:bidi="en_US"/>
        </w:rPr>
        <w:t xml:space="preserve"> a teacher or leader by obeying his teaching. It is helpful if this term also implies learning from the teacher and actually following the teacher wherever he goes. For example:</w:t>
      </w:r>
      <w:r>
        <w:rPr>
          <w:lang w:val="en_US" w:bidi="en_US"/>
        </w:rPr>
        <w:t>followers</w:t>
      </w:r>
      <w:r>
        <w:rPr>
          <w:lang w:val="en_US" w:bidi="en_US"/>
        </w:rPr>
        <w:t>those who are committed/faithful (to a teacher/leader)</w:t>
      </w:r>
    </w:p>
    <w:p>
      <w:pPr/>
      <w:r>
        <w:rPr>
          <w:lang w:val="en_US" w:bidi="en_US"/>
        </w:rPr>
      </w:r>
      <w:r>
        <w:rPr>
          <w:lang w:val="en_US" w:bidi="en_US"/>
        </w:rPr>
        <w:t>See disciple in the Glossary for more information.</w:t>
      </w:r>
    </w:p>
    <w:p>
      <w:pPr>
        <w:pStyle w:val="Heading5"/>
      </w:pPr>
      <w:r>
        <w:rPr>
          <w:lang w:val="en_US" w:bidi="en_US"/>
        </w:rPr>
        <w:t>5:30b</w:t>
      </w:r>
    </w:p>
    <w:p>
      <w:pPr/>
      <w:r>
        <w:rPr>
          <w:lang w:val="en_US" w:bidi="en_US"/>
        </w:rPr>
      </w:r>
      <w:r>
        <w:rPr>
          <w:b/>
          <w:lang w:val="en_US" w:bidi="en_US"/>
        </w:rPr>
        <w:t>“Why do you eat and drink with tax collectors and sinners?”</w:t>
      </w:r>
    </w:p>
    <w:p>
      <w:pPr>
        <w:pStyle w:val="ListBullet"/>
        <w:spacing w:line="240" w:lineRule="auto"/>
        <w:ind w:left="720"/>
      </w:pPr>
      <w:r>
        <w:rPr>
          <w:lang w:val="en_US" w:bidi="en_US"/>
        </w:rPr>
      </w:r>
      <w:r>
        <w:rPr>
          <w:lang w:val="en_US" w:bidi="en_US"/>
        </w:rPr>
        <w:t>“Why do you</w:t>
      </w:r>
      <w:r>
        <w:rPr>
          <w:vertAlign w:val="superscript"/>
          <w:lang w:val="en_US" w:bidi="en_US"/>
        </w:rPr>
        <w:t>(plur)</w:t>
      </w:r>
      <w:r>
        <w:rPr>
          <w:lang w:val="en_US" w:bidi="en_US"/>
        </w:rPr>
        <w:t xml:space="preserve"> eat and drink with tax collectors and </w:t>
      </w:r>
      <w:r>
        <w:rPr>
          <w:lang w:val="en_US" w:bidi="en_US"/>
        </w:rPr>
        <w:t>other</w:t>
      </w:r>
      <w:r>
        <w:rPr>
          <w:lang w:val="en_US" w:bidi="en_US"/>
        </w:rPr>
        <w:t xml:space="preserve"> sinners?”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not be eating and drinking with tax collectors and </w:t>
      </w:r>
      <w:r>
        <w:rPr>
          <w:lang w:val="en_US" w:bidi="en_US"/>
        </w:rPr>
        <w:t>these other</w:t>
      </w:r>
      <w:r>
        <w:rPr>
          <w:lang w:val="en_US" w:bidi="en_US"/>
        </w:rPr>
        <w:t xml:space="preserve"> sinners!”</w:t>
      </w:r>
    </w:p>
    <w:p>
      <w:pPr>
        <w:pStyle w:val="ListBullet"/>
        <w:spacing w:line="240" w:lineRule="auto"/>
        <w:ind w:left="720"/>
      </w:pPr>
      <w:r>
        <w:rPr>
          <w:lang w:val="en_US" w:bidi="en_US"/>
        </w:rPr>
      </w:r>
      <w:r>
        <w:rPr>
          <w:lang w:val="en_US" w:bidi="en_US"/>
        </w:rPr>
        <w:t xml:space="preserve">that it was wrong for Jesus and his disciples to eat and drink with tax collectors and </w:t>
      </w:r>
      <w:r>
        <w:rPr>
          <w:lang w:val="en_US" w:bidi="en_US"/>
        </w:rPr>
        <w:t>other</w:t>
      </w:r>
      <w:r>
        <w:rPr>
          <w:lang w:val="en_US" w:bidi="en_US"/>
        </w:rPr>
        <w:t xml:space="preserve"> sinners.</w:t>
      </w:r>
    </w:p>
    <w:p>
      <w:pPr/>
      <w:r>
        <w:rPr>
          <w:lang w:val="en_US" w:bidi="en_US"/>
        </w:rPr>
      </w:r>
      <w:r>
        <w:rPr>
          <w:b/>
          <w:lang w:val="en_US" w:bidi="en_US"/>
        </w:rPr>
        <w:t>Why do you eat and drink with tax collectors and sinners?:</w:t>
      </w:r>
      <w:r>
        <w:rPr>
          <w:lang w:val="en_US" w:bidi="en_US"/>
        </w:rPr>
        <w:t xml:space="preserve"> This is a rhetorical question. The religious leaders were rebuking and criticizing Jesus and the disciples because they ate with tax collectors and other sinners. They believed that close contact with such people would make them unclean and unfit for worshiping God with other people.</w:t>
      </w:r>
    </w:p>
    <w:p>
      <w:pPr/>
      <w:r>
        <w:rPr>
          <w:lang w:val="en_US" w:bidi="en_US"/>
        </w:rPr>
      </w:r>
      <w:r>
        <w:rPr>
          <w:lang w:val="en_US" w:bidi="en_US"/>
        </w:rPr>
        <w:t>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Why do you eat and drink with those tax collectors and other sinners? (CEV)</w:t>
      </w:r>
    </w:p>
    <w:p>
      <w:pPr>
        <w:pStyle w:val="ListBullet"/>
        <w:spacing w:line="240" w:lineRule="auto"/>
        <w:ind w:left="720"/>
      </w:pPr>
      <w:r>
        <w:rPr>
          <w:lang w:val="en_US" w:bidi="en_US"/>
        </w:rPr>
      </w:r>
      <w:r>
        <w:rPr>
          <w:lang w:val="en_US" w:bidi="en_US"/>
        </w:rPr>
        <w:t>As a statement or exclamation. For example:</w:t>
      </w:r>
      <w:r>
        <w:rPr>
          <w:lang w:val="en_US" w:bidi="en_US"/>
        </w:rPr>
        <w:t>You should not be eating and drinking with tax collectors and sinners!</w:t>
      </w:r>
      <w:r>
        <w:rPr>
          <w:lang w:val="en_US" w:bidi="en_US"/>
        </w:rPr>
        <w:t>You are wrong to eat and drink with tax collectors and sinners.</w:t>
      </w:r>
    </w:p>
    <w:p>
      <w:pPr/>
      <w:r>
        <w:rPr>
          <w:lang w:val="en_US" w:bidi="en_US"/>
        </w:rPr>
      </w:r>
      <w:r>
        <w:rPr>
          <w:lang w:val="en_US" w:bidi="en_US"/>
        </w:rPr>
        <w:t>Translate this rebuke in a way that is natural in your language.</w:t>
      </w:r>
    </w:p>
    <w:p>
      <w:pPr/>
      <w:r>
        <w:rPr>
          <w:lang w:val="en_US" w:bidi="en_US"/>
        </w:rPr>
      </w:r>
      <w:r>
        <w:rPr>
          <w:b/>
          <w:lang w:val="en_US" w:bidi="en_US"/>
        </w:rPr>
        <w:t>you:</w:t>
      </w:r>
      <w:r>
        <w:rPr>
          <w:lang w:val="en_US" w:bidi="en_US"/>
        </w:rPr>
        <w:t xml:space="preserve"> The word </w:t>
      </w:r>
      <w:r>
        <w:rPr>
          <w:i/>
          <w:lang w:val="en_US" w:bidi="en_US"/>
        </w:rPr>
        <w:t>you</w:t>
      </w:r>
      <w:r>
        <w:rPr>
          <w:lang w:val="en_US" w:bidi="en_US"/>
        </w:rPr>
        <w:t xml:space="preserve"> here is plural and includes Jesus as well as his disciples.</w:t>
      </w:r>
    </w:p>
    <w:p>
      <w:pPr/>
      <w:r>
        <w:rPr>
          <w:lang w:val="en_US" w:bidi="en_US"/>
        </w:rPr>
      </w:r>
      <w:r>
        <w:rPr>
          <w:b/>
          <w:lang w:val="en_US" w:bidi="en_US"/>
        </w:rPr>
        <w:t>eat and drink with:</w:t>
      </w:r>
      <w:r>
        <w:rPr>
          <w:lang w:val="en_US" w:bidi="en_US"/>
        </w:rPr>
        <w:t xml:space="preserve"> The phrase </w:t>
      </w:r>
      <w:r>
        <w:rPr>
          <w:i/>
          <w:lang w:val="en_US" w:bidi="en_US"/>
        </w:rPr>
        <w:t>eat and drink with</w:t>
      </w:r>
      <w:r>
        <w:rPr>
          <w:lang w:val="en_US" w:bidi="en_US"/>
        </w:rPr>
        <w:t xml:space="preserve"> is an idiom. It means “have meals with.” Jesus was in the habit of eating meals in the company of sinners. This was not the only time he did this. Another way to translate this is:</w:t>
      </w:r>
    </w:p>
    <w:p>
      <w:pPr/>
      <w:r>
        <w:rPr>
          <w:lang w:val="en_US" w:bidi="en_US"/>
        </w:rPr>
      </w:r>
      <w:r>
        <w:rPr>
          <w:lang w:val="en_US" w:bidi="en_US"/>
        </w:rPr>
        <w:t>have your meals with (JBP)</w:t>
      </w:r>
    </w:p>
    <w:p>
      <w:pPr/>
      <w:r>
        <w:rPr>
          <w:lang w:val="en_US" w:bidi="en_US"/>
        </w:rPr>
      </w:r>
      <w:r>
        <w:rPr>
          <w:b/>
          <w:lang w:val="en_US" w:bidi="en_US"/>
        </w:rPr>
        <w:t>tax collectors and sinners:</w:t>
      </w:r>
      <w:r>
        <w:rPr>
          <w:lang w:val="en_US" w:bidi="en_US"/>
        </w:rPr>
        <w:t xml:space="preserve"> The Pharisees were speaking about people whom they considered worse sinners than others. In your translation, it should be clear that tax collectors were included among the </w:t>
      </w:r>
      <w:r>
        <w:rPr>
          <w:i/>
          <w:lang w:val="en_US" w:bidi="en_US"/>
        </w:rPr>
        <w:t>sinners</w:t>
      </w:r>
      <w:r>
        <w:rPr>
          <w:lang w:val="en_US" w:bidi="en_US"/>
        </w:rPr>
        <w:t>. Some ways to translate this are:</w:t>
      </w:r>
    </w:p>
    <w:p>
      <w:pPr/>
      <w:r>
        <w:rPr>
          <w:lang w:val="en_US" w:bidi="en_US"/>
        </w:rPr>
      </w:r>
      <w:r>
        <w:rPr>
          <w:lang w:val="en_US" w:bidi="en_US"/>
        </w:rPr>
        <w:t>those tax collectors and other sinners (CEV)</w:t>
      </w:r>
    </w:p>
    <w:p>
      <w:pPr/>
      <w:r>
        <w:rPr>
          <w:lang w:val="en_US" w:bidi="en_US"/>
        </w:rPr>
      </w:r>
      <w:r>
        <w:rPr>
          <w:lang w:val="en_US" w:bidi="en_US"/>
        </w:rPr>
        <w:t>such scum (NLT)</w:t>
      </w:r>
    </w:p>
    <w:p>
      <w:pPr/>
      <w:r>
        <w:rPr>
          <w:lang w:val="en_US" w:bidi="en_US"/>
        </w:rPr>
      </w:r>
      <w:r>
        <w:rPr>
          <w:lang w:val="en_US" w:bidi="en_US"/>
        </w:rPr>
        <w:t>If you are using footnotes to give background information, you might use one here:</w:t>
      </w:r>
    </w:p>
    <w:p>
      <w:pPr/>
      <w:r>
        <w:rPr>
          <w:lang w:val="en_US" w:bidi="en_US"/>
        </w:rPr>
      </w:r>
      <w:r>
        <w:rPr>
          <w:lang w:val="en_US" w:bidi="en_US"/>
        </w:rPr>
        <w:t>Jews believed that all Jews, except the most sinful, would be saved. Tax collectors were one class of people who were considered terrible sinners, and so God would not save them. Most Jews who kept God’s law would not enter the house of a tax collector or eat a meal with him</w:t>
      </w:r>
    </w:p>
    <w:p>
      <w:pPr/>
      <w:r>
        <w:rPr>
          <w:lang w:val="en_US" w:bidi="en_US"/>
        </w:rPr>
      </w:r>
      <w:r>
        <w:rPr>
          <w:b/>
          <w:lang w:val="en_US" w:bidi="en_US"/>
        </w:rPr>
        <w:t>tax collectors:</w:t>
      </w:r>
      <w:r>
        <w:rPr>
          <w:lang w:val="en_US" w:bidi="en_US"/>
        </w:rPr>
        <w:t xml:space="preserve"> See the note on “tax collector” at 5:27b.</w:t>
      </w:r>
    </w:p>
    <w:p>
      <w:pPr/>
      <w:r>
        <w:rPr>
          <w:lang w:val="en_US" w:bidi="en_US"/>
        </w:rPr>
      </w:r>
      <w:r>
        <w:rPr>
          <w:b/>
          <w:lang w:val="en_US" w:bidi="en_US"/>
        </w:rPr>
        <w:t>sinners:</w:t>
      </w:r>
      <w:r>
        <w:rPr>
          <w:lang w:val="en_US" w:bidi="en_US"/>
        </w:rPr>
        <w:t xml:space="preserve"> The Greek word that the BSB translates as </w:t>
      </w:r>
      <w:r>
        <w:rPr>
          <w:i/>
          <w:lang w:val="en_US" w:bidi="en_US"/>
        </w:rPr>
        <w:t>sinners</w:t>
      </w:r>
      <w:r>
        <w:rPr>
          <w:lang w:val="en_US" w:bidi="en_US"/>
        </w:rPr>
        <w:t xml:space="preserve"> refers to people who habitually do what is against God’s law. The Pharisees had added many other rules to God’s law. They considered people who did not obey those rules to be sinners. They also believed that such people deserved to be outcasts. Tax collectors were included in this group of people.</w:t>
      </w:r>
    </w:p>
    <w:p>
      <w:pPr/>
      <w:r>
        <w:rPr>
          <w:lang w:val="en_US" w:bidi="en_US"/>
        </w:rPr>
      </w:r>
      <w:r>
        <w:rPr>
          <w:lang w:val="en_US" w:bidi="en_US"/>
        </w:rPr>
        <w:t>The Bible implies that God did not necessarily consider such people to be worse sinners than other people. The NIV indicates this by using single quote marks: ‘sinners.’ In some languages there may be a special way to refer to people whom others consider to be bad.</w:t>
      </w:r>
      <w:r>
        <w:rPr>
          <w:lang w:val="en_US" w:bidi="en_US"/>
        </w:rPr>
      </w:r>
      <w:r>
        <w:rPr>
          <w:lang w:val="en_US" w:bidi="en_US"/>
        </w:rPr>
      </w:r>
    </w:p>
    <w:p>
      <w:pPr/>
      <w:r>
        <w:rPr>
          <w:lang w:val="en_US" w:bidi="en_US"/>
        </w:rPr>
      </w:r>
    </w:p>
    <w:p>
      <w:pPr>
        <w:pStyle w:val="Heading2"/>
      </w:pPr>
      <w:r>
        <w:rPr>
          <w:lang w:val="en_US" w:bidi="en_US"/>
        </w:rPr>
        <w:t>Luke 5:31</w:t>
      </w:r>
      <w:r>
        <w:rPr>
          <w:lang w:val="en_US" w:bidi="en_US"/>
        </w:rPr>
      </w:r>
    </w:p>
    <w:p>
      <w:pPr>
        <w:pStyle w:val="Heading4"/>
      </w:pPr>
      <w:r>
        <w:rPr>
          <w:lang w:val="en_US" w:bidi="en_US"/>
        </w:rPr>
        <w:t>Section 5:27–32: Jesus chose Levi to become one of his disciples</w:t>
      </w:r>
    </w:p>
    <w:p>
      <w:pPr/>
      <w:r>
        <w:rPr>
          <w:lang w:val="en_US" w:bidi="en_US"/>
        </w:rPr>
      </w:r>
      <w:r>
        <w:rPr>
          <w:lang w:val="en_US" w:bidi="en_US"/>
        </w:rPr>
        <w:t>In this section, Jesus asked a man named Levi to be his disciple. For the meaning of “disciple,” see the note at 5:30a.</w:t>
      </w:r>
    </w:p>
    <w:p>
      <w:pPr/>
      <w:r>
        <w:rPr>
          <w:lang w:val="en_US" w:bidi="en_US"/>
        </w:rPr>
      </w:r>
      <w:r>
        <w:rPr>
          <w:lang w:val="en_US" w:bidi="en_US"/>
        </w:rPr>
        <w:t>Levi was a tax collector. Jews hated tax collectors for at least two reasons:</w:t>
      </w:r>
    </w:p>
    <w:p>
      <w:pPr>
        <w:pStyle w:val="ListNumber"/>
        <w:numPr>
          <w:ilvl w:val="0"/>
          <w:numId w:val="117"/>
        </w:numPr>
        <w:spacing w:line="240" w:lineRule="auto"/>
        <w:ind w:left="720"/>
      </w:pPr>
      <w:r>
        <w:rPr>
          <w:lang w:val="en_US" w:bidi="en_US"/>
        </w:rPr>
      </w:r>
      <w:r>
        <w:rPr>
          <w:lang w:val="en_US" w:bidi="en_US"/>
        </w:rPr>
        <w:t>Tax collectors worked for the Roman government or for Herod’s government. These were foreign governments that ruled the Jews.</w:t>
      </w:r>
    </w:p>
    <w:p>
      <w:pPr>
        <w:pStyle w:val="ListNumber"/>
        <w:spacing w:line="240" w:lineRule="auto"/>
        <w:ind w:left="720"/>
      </w:pPr>
      <w:r>
        <w:rPr>
          <w:lang w:val="en_US" w:bidi="en_US"/>
        </w:rPr>
      </w:r>
      <w:r>
        <w:rPr>
          <w:lang w:val="en_US" w:bidi="en_US"/>
        </w:rPr>
        <w:t>Tax collectors sometimes collected more money than necessary. Then they kept the extra money and became rich.</w:t>
      </w:r>
    </w:p>
    <w:p>
      <w:pPr/>
      <w:r>
        <w:rPr>
          <w:lang w:val="en_US" w:bidi="en_US"/>
        </w:rPr>
      </w:r>
      <w:r>
        <w:rPr>
          <w:lang w:val="en_US" w:bidi="en_US"/>
        </w:rP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people who believe themselves to be righteous.</w:t>
      </w:r>
    </w:p>
    <w:p>
      <w:pPr/>
      <w:r>
        <w:rPr>
          <w:lang w:val="en_US" w:bidi="en_US"/>
        </w:rPr>
      </w:r>
      <w:r>
        <w:rPr>
          <w:lang w:val="en_US" w:bidi="en_US"/>
        </w:rPr>
        <w:t>Some other possible headings for this section are:</w:t>
      </w:r>
    </w:p>
    <w:p>
      <w:pPr/>
      <w:r>
        <w:rPr>
          <w:lang w:val="en_US" w:bidi="en_US"/>
        </w:rPr>
      </w:r>
      <w:r>
        <w:rPr>
          <w:lang w:val="en_US" w:bidi="en_US"/>
        </w:rPr>
        <w:t>Jesus called Levi to be his disciple and ate with sinners</w:t>
      </w:r>
    </w:p>
    <w:p>
      <w:pPr/>
      <w:r>
        <w:rPr>
          <w:lang w:val="en_US" w:bidi="en_US"/>
        </w:rPr>
      </w:r>
      <w:r>
        <w:rPr>
          <w:lang w:val="en_US" w:bidi="en_US"/>
        </w:rPr>
        <w:t>Jesus loves sinners</w:t>
      </w:r>
    </w:p>
    <w:p>
      <w:pPr/>
      <w:r>
        <w:rPr>
          <w:lang w:val="en_US" w:bidi="en_US"/>
        </w:rPr>
      </w:r>
      <w:r>
        <w:rPr>
          <w:lang w:val="en_US" w:bidi="en_US"/>
        </w:rPr>
        <w:t>There are parallel passages for this section in Matthew 9:9–13 and Mark 2:13–17.</w:t>
      </w:r>
    </w:p>
    <w:p>
      <w:pPr>
        <w:pStyle w:val="Heading4"/>
      </w:pPr>
      <w:r>
        <w:rPr>
          <w:lang w:val="en_US" w:bidi="en_US"/>
        </w:rPr>
        <w:t>Paragraph 5:31–32</w:t>
      </w:r>
    </w:p>
    <w:p>
      <w:pPr/>
      <w:r>
        <w:rPr>
          <w:lang w:val="en_US" w:bidi="en_US"/>
        </w:rPr>
      </w:r>
      <w:r>
        <w:rPr>
          <w:lang w:val="en_US" w:bidi="en_US"/>
        </w:rPr>
        <w:t>Jesus responded to the Pharisees’ rhetorical question in 5:30 with a proverb and applied the proverb to his own work. Notice that the proverb and the way that Jesus applied it are parallel, and the similar parts are in the same order:</w:t>
      </w:r>
    </w:p>
    <w:p>
      <w:pPr/>
      <w:r>
        <w:rPr>
          <w:lang w:val="en_US" w:bidi="en_US"/>
        </w:rPr>
      </w:r>
      <w:r>
        <w:rPr>
          <w:lang w:val="en_US" w:bidi="en_US"/>
        </w:rPr>
        <w:t xml:space="preserve">It is </w:t>
      </w:r>
      <w:r>
        <w:rPr>
          <w:u w:val="single"/>
          <w:lang w:val="en_US" w:bidi="en_US"/>
        </w:rPr>
        <w:t>not the healthy</w:t>
      </w:r>
      <w:r>
        <w:rPr>
          <w:lang w:val="en_US" w:bidi="en_US"/>
        </w:rPr>
        <w:t xml:space="preserve"> who need a doctor, </w:t>
      </w:r>
      <w:r>
        <w:rPr>
          <w:b/>
          <w:lang w:val="en_US" w:bidi="en_US"/>
        </w:rPr>
        <w:t>but the sick</w:t>
      </w:r>
      <w:r>
        <w:rPr>
          <w:lang w:val="en_US" w:bidi="en_US"/>
        </w:rPr>
        <w:t>.</w:t>
      </w:r>
    </w:p>
    <w:p>
      <w:pPr/>
      <w:r>
        <w:rPr>
          <w:lang w:val="en_US" w:bidi="en_US"/>
        </w:rPr>
      </w:r>
      <w:r>
        <w:rPr>
          <w:lang w:val="en_US" w:bidi="en_US"/>
        </w:rPr>
        <w:t xml:space="preserve">I have come to call </w:t>
      </w:r>
      <w:r>
        <w:rPr>
          <w:u w:val="single"/>
          <w:lang w:val="en_US" w:bidi="en_US"/>
        </w:rPr>
        <w:t>not the righteous</w:t>
      </w:r>
      <w:r>
        <w:rPr>
          <w:lang w:val="en_US" w:bidi="en_US"/>
        </w:rPr>
        <w:t xml:space="preserve">, </w:t>
      </w:r>
      <w:r>
        <w:rPr>
          <w:b/>
          <w:lang w:val="en_US" w:bidi="en_US"/>
        </w:rPr>
        <w:t>but sinners to repentance</w:t>
      </w:r>
      <w:r>
        <w:rPr>
          <w:lang w:val="en_US" w:bidi="en_US"/>
        </w:rPr>
        <w:t>.</w:t>
      </w:r>
    </w:p>
    <w:p>
      <w:pPr/>
      <w:r>
        <w:rPr>
          <w:lang w:val="en_US" w:bidi="en_US"/>
        </w:rPr>
      </w:r>
      <w:r>
        <w:rPr>
          <w:lang w:val="en_US" w:bidi="en_US"/>
        </w:rPr>
        <w:t>Jesus was comparing healthy people to righteous ones and sick people to sinners. He was comparing himself to a doctor.</w:t>
      </w:r>
    </w:p>
    <w:p>
      <w:pPr/>
      <w:r>
        <w:rPr>
          <w:lang w:val="en_US" w:bidi="en_US"/>
        </w:rPr>
      </w:r>
      <w:r>
        <w:rPr>
          <w:lang w:val="en_US" w:bidi="en_US"/>
        </w:rPr>
        <w:t>Jesus used the words “healthy,” “sick,” and “doctor” as figures of speech. The “healthy” people represent people who think that they are already righteous and who think that they do not need any help. The “sick” represent people who know that they are sinners and need Jesus’ help. The “doctor” represents Jesus, who can help the sinners to become righteous.</w:t>
      </w:r>
    </w:p>
    <w:p>
      <w:pPr/>
      <w:r>
        <w:rPr>
          <w:lang w:val="en_US" w:bidi="en_US"/>
        </w:rPr>
      </w:r>
      <w:r>
        <w:rPr>
          <w:lang w:val="en_US" w:bidi="en_US"/>
        </w:rPr>
        <w:t>It is important that people understand this figurative meaning. See the General Comment on 5:31–32 at the end of the notes on 5:32b and the Display for 5:31a and the following verse parts for translation suggestions.</w:t>
      </w:r>
    </w:p>
    <w:p>
      <w:pPr>
        <w:pStyle w:val="Heading5"/>
      </w:pPr>
      <w:r>
        <w:rPr>
          <w:lang w:val="en_US" w:bidi="en_US"/>
        </w:rPr>
        <w:t>5:31a</w:t>
      </w:r>
    </w:p>
    <w:p>
      <w:pPr/>
      <w:r>
        <w:rPr>
          <w:lang w:val="en_US" w:bidi="en_US"/>
        </w:rPr>
      </w:r>
      <w:r>
        <w:rPr>
          <w:b/>
          <w:lang w:val="en_US" w:bidi="en_US"/>
        </w:rPr>
        <w:t>Jesus answered, “It is not the healthy who need a doctor,</w:t>
      </w:r>
    </w:p>
    <w:p>
      <w:pPr>
        <w:pStyle w:val="ListBullet"/>
        <w:spacing w:line="240" w:lineRule="auto"/>
        <w:ind w:left="720"/>
      </w:pPr>
      <w:r>
        <w:rPr>
          <w:lang w:val="en_US" w:bidi="en_US"/>
        </w:rPr>
      </w:r>
      <w:r>
        <w:rPr>
          <w:lang w:val="en_US" w:bidi="en_US"/>
        </w:rPr>
        <w:t>¶ Then Jesus said to the Pharisees, “Healthy/Well people are not the ones who need a doctor.</w:t>
      </w:r>
    </w:p>
    <w:p>
      <w:pPr>
        <w:pStyle w:val="ListBullet"/>
        <w:spacing w:line="240" w:lineRule="auto"/>
        <w:ind w:left="720"/>
      </w:pPr>
      <w:r>
        <w:rPr>
          <w:lang w:val="en_US" w:bidi="en_US"/>
        </w:rPr>
      </w:r>
      <w:r>
        <w:rPr>
          <w:lang w:val="en_US" w:bidi="en_US"/>
        </w:rPr>
        <w:t xml:space="preserve">¶ </w:t>
      </w:r>
      <w:r>
        <w:rPr>
          <w:lang w:val="en_US" w:bidi="en_US"/>
        </w:rPr>
        <w:t>Hearing this</w:t>
      </w:r>
      <w:r>
        <w:rPr>
          <w:lang w:val="en_US" w:bidi="en_US"/>
        </w:rPr>
        <w:t>, Jesus replied to them, “The people who need a doctor are not the healthy ones.</w:t>
      </w:r>
    </w:p>
    <w:p>
      <w:pPr>
        <w:pStyle w:val="ListBullet"/>
        <w:spacing w:line="240" w:lineRule="auto"/>
        <w:ind w:left="720"/>
      </w:pPr>
      <w:r>
        <w:rPr>
          <w:lang w:val="en_US" w:bidi="en_US"/>
        </w:rPr>
      </w:r>
      <w:r>
        <w:rPr>
          <w:lang w:val="en_US" w:bidi="en_US"/>
        </w:rPr>
        <w:t xml:space="preserve">Jesus answered/told them that it was not healthy </w:t>
      </w:r>
      <w:r>
        <w:rPr>
          <w:lang w:val="en_US" w:bidi="en_US"/>
        </w:rPr>
        <w:t>people</w:t>
      </w:r>
      <w:r>
        <w:rPr>
          <w:lang w:val="en_US" w:bidi="en_US"/>
        </w:rPr>
        <w:t xml:space="preserve"> who needed </w:t>
      </w:r>
      <w:r>
        <w:rPr>
          <w:lang w:val="en_US" w:bidi="en_US"/>
        </w:rPr>
        <w:t>the help of</w:t>
      </w:r>
      <w:r>
        <w:rPr>
          <w:lang w:val="en_US" w:bidi="en_US"/>
        </w:rPr>
        <w:t xml:space="preserve"> a doctor.</w:t>
      </w:r>
    </w:p>
    <w:p>
      <w:pPr/>
      <w:r>
        <w:rPr>
          <w:lang w:val="en_US" w:bidi="en_US"/>
        </w:rPr>
      </w:r>
      <w:r>
        <w:rPr>
          <w:b/>
          <w:lang w:val="en_US" w:bidi="en_US"/>
        </w:rPr>
        <w:t>Jesus answered:</w:t>
      </w:r>
      <w:r>
        <w:rPr>
          <w:lang w:val="en_US" w:bidi="en_US"/>
        </w:rPr>
        <w:t xml:space="preserve"> The Pharisees and teachers of the law spoke to the disciples of Jesus, but it was Jesus himself who answered them. In some languages this may be more natural or clear if you say:</w:t>
      </w:r>
    </w:p>
    <w:p>
      <w:pPr/>
      <w:r>
        <w:rPr>
          <w:lang w:val="en_US" w:bidi="en_US"/>
        </w:rPr>
      </w:r>
      <w:r>
        <w:rPr>
          <w:lang w:val="en_US" w:bidi="en_US"/>
        </w:rPr>
        <w:t xml:space="preserve">Jesus answered </w:t>
      </w:r>
      <w:r>
        <w:rPr>
          <w:u w:val="single"/>
          <w:lang w:val="en_US" w:bidi="en_US"/>
        </w:rPr>
        <w:t>the Pharisees</w:t>
      </w:r>
    </w:p>
    <w:p>
      <w:pPr/>
      <w:r>
        <w:rPr>
          <w:lang w:val="en_US" w:bidi="en_US"/>
        </w:rPr>
      </w:r>
      <w:r>
        <w:rPr>
          <w:lang w:val="en_US" w:bidi="en_US"/>
        </w:rPr>
        <w:t xml:space="preserve">Jesus </w:t>
      </w:r>
      <w:r>
        <w:rPr>
          <w:u w:val="single"/>
          <w:lang w:val="en_US" w:bidi="en_US"/>
        </w:rPr>
        <w:t>heard their question</w:t>
      </w:r>
      <w:r>
        <w:rPr>
          <w:lang w:val="en_US" w:bidi="en_US"/>
        </w:rPr>
        <w:t xml:space="preserve"> and answered</w:t>
      </w:r>
    </w:p>
    <w:p>
      <w:pPr/>
      <w:r>
        <w:rPr>
          <w:lang w:val="en_US" w:bidi="en_US"/>
        </w:rPr>
      </w:r>
      <w:r>
        <w:rPr>
          <w:lang w:val="en_US" w:bidi="en_US"/>
        </w:rPr>
        <w:t xml:space="preserve">Jesus answered </w:t>
      </w:r>
      <w:r>
        <w:rPr>
          <w:u w:val="single"/>
          <w:lang w:val="en_US" w:bidi="en_US"/>
        </w:rPr>
        <w:t>for his disciples</w:t>
      </w:r>
      <w:r>
        <w:rPr>
          <w:lang w:val="en_US" w:bidi="en_US"/>
        </w:rPr>
        <w:t xml:space="preserve"> and said</w:t>
      </w:r>
    </w:p>
    <w:p>
      <w:pPr/>
      <w:r>
        <w:rPr>
          <w:lang w:val="en_US" w:bidi="en_US"/>
        </w:rPr>
      </w:r>
      <w:r>
        <w:rPr>
          <w:b/>
          <w:lang w:val="en_US" w:bidi="en_US"/>
        </w:rPr>
        <w:t>It is not the healthy who need a doctor:</w:t>
      </w:r>
      <w:r>
        <w:rPr>
          <w:lang w:val="en_US" w:bidi="en_US"/>
        </w:rPr>
        <w:t xml:space="preserve"> The phrase </w:t>
      </w:r>
      <w:r>
        <w:rPr>
          <w:i/>
          <w:lang w:val="en_US" w:bidi="en_US"/>
        </w:rPr>
        <w:t>It is not the healthy who need a doctor</w:t>
      </w:r>
      <w:r>
        <w:rPr>
          <w:lang w:val="en_US" w:bidi="en_US"/>
        </w:rPr>
        <w:t xml:space="preserve"> means that people who are healthy do not need a doctor to cure them.</w:t>
      </w:r>
    </w:p>
    <w:p>
      <w:pPr/>
      <w:r>
        <w:rPr>
          <w:lang w:val="en_US" w:bidi="en_US"/>
        </w:rPr>
      </w:r>
      <w:r>
        <w:rPr>
          <w:b/>
          <w:lang w:val="en_US" w:bidi="en_US"/>
        </w:rPr>
        <w:t>need a doctor:</w:t>
      </w:r>
      <w:r>
        <w:rPr>
          <w:lang w:val="en_US" w:bidi="en_US"/>
        </w:rPr>
        <w:t xml:space="preserve"> In some languages it will be necessary to make explicit in what sense people </w:t>
      </w:r>
      <w:r>
        <w:rPr>
          <w:i/>
          <w:lang w:val="en_US" w:bidi="en_US"/>
        </w:rPr>
        <w:t>need a doctor</w:t>
      </w:r>
      <w:r>
        <w:rPr>
          <w:lang w:val="en_US" w:bidi="en_US"/>
        </w:rPr>
        <w:t>. In those languages you could say:</w:t>
      </w:r>
    </w:p>
    <w:p>
      <w:pPr/>
      <w:r>
        <w:rPr>
          <w:lang w:val="en_US" w:bidi="en_US"/>
        </w:rPr>
      </w:r>
      <w:r>
        <w:rPr>
          <w:lang w:val="en_US" w:bidi="en_US"/>
        </w:rPr>
        <w:t xml:space="preserve">need a doctor </w:t>
      </w:r>
      <w:r>
        <w:rPr>
          <w:lang w:val="en_US" w:bidi="en_US"/>
        </w:rPr>
        <w:t>to help them</w:t>
      </w:r>
    </w:p>
    <w:p>
      <w:pPr/>
      <w:r>
        <w:rPr>
          <w:lang w:val="en_US" w:bidi="en_US"/>
        </w:rPr>
      </w:r>
      <w:r>
        <w:rPr>
          <w:lang w:val="en_US" w:bidi="en_US"/>
        </w:rPr>
        <w:t xml:space="preserve">need a doctor </w:t>
      </w:r>
      <w:r>
        <w:rPr>
          <w:lang w:val="en_US" w:bidi="en_US"/>
        </w:rPr>
        <w:t>to heal/treat them</w:t>
      </w:r>
    </w:p>
    <w:p>
      <w:pPr/>
      <w:r>
        <w:rPr>
          <w:lang w:val="en_US" w:bidi="en_US"/>
        </w:rPr>
      </w:r>
      <w:r>
        <w:rPr>
          <w:lang w:val="en_US" w:bidi="en_US"/>
        </w:rPr>
        <w:t xml:space="preserve">need </w:t>
      </w:r>
      <w:r>
        <w:rPr>
          <w:lang w:val="en_US" w:bidi="en_US"/>
        </w:rPr>
        <w:t>to consult</w:t>
      </w:r>
      <w:r>
        <w:rPr>
          <w:lang w:val="en_US" w:bidi="en_US"/>
        </w:rPr>
        <w:t xml:space="preserve"> a doctor</w:t>
      </w:r>
    </w:p>
    <w:p>
      <w:pPr>
        <w:pStyle w:val="Heading5"/>
      </w:pPr>
      <w:r>
        <w:rPr>
          <w:lang w:val="en_US" w:bidi="en_US"/>
        </w:rPr>
        <w:t>5:31b</w:t>
      </w:r>
    </w:p>
    <w:p>
      <w:pPr/>
      <w:r>
        <w:rPr>
          <w:lang w:val="en_US" w:bidi="en_US"/>
        </w:rPr>
      </w:r>
      <w:r>
        <w:rPr>
          <w:b/>
          <w:lang w:val="en_US" w:bidi="en_US"/>
        </w:rPr>
        <w:t>but the sick.</w:t>
      </w:r>
    </w:p>
    <w:p>
      <w:pPr>
        <w:pStyle w:val="ListBullet"/>
        <w:spacing w:line="240" w:lineRule="auto"/>
        <w:ind w:left="720"/>
      </w:pPr>
      <w:r>
        <w:rPr>
          <w:lang w:val="en_US" w:bidi="en_US"/>
        </w:rPr>
      </w:r>
      <w:r>
        <w:rPr>
          <w:lang w:val="en_US" w:bidi="en_US"/>
        </w:rPr>
        <w:t xml:space="preserve">Rather, </w:t>
      </w:r>
      <w:r>
        <w:rPr>
          <w:lang w:val="en_US" w:bidi="en_US"/>
        </w:rPr>
        <w:t>it is</w:t>
      </w:r>
      <w:r>
        <w:rPr>
          <w:lang w:val="en_US" w:bidi="en_US"/>
        </w:rPr>
        <w:t xml:space="preserve"> the sick </w:t>
      </w:r>
      <w:r>
        <w:rPr>
          <w:lang w:val="en_US" w:bidi="en_US"/>
        </w:rPr>
        <w:t>people</w:t>
      </w:r>
      <w:r>
        <w:rPr>
          <w:lang w:val="en_US" w:bidi="en_US"/>
        </w:rPr>
        <w:t xml:space="preserve"> </w:t>
      </w:r>
      <w:r>
        <w:rPr>
          <w:lang w:val="en_US" w:bidi="en_US"/>
        </w:rPr>
        <w:t>who need a doctor</w:t>
      </w:r>
      <w:r>
        <w:rPr>
          <w:lang w:val="en_US" w:bidi="en_US"/>
        </w:rPr>
        <w:t>.</w:t>
      </w:r>
    </w:p>
    <w:p>
      <w:pPr>
        <w:pStyle w:val="ListBullet"/>
        <w:spacing w:line="240" w:lineRule="auto"/>
        <w:ind w:left="720"/>
      </w:pPr>
      <w:r>
        <w:rPr>
          <w:lang w:val="en_US" w:bidi="en_US"/>
        </w:rPr>
      </w:r>
      <w:r>
        <w:rPr>
          <w:lang w:val="en_US" w:bidi="en_US"/>
        </w:rPr>
        <w:t xml:space="preserve">Instead, </w:t>
      </w:r>
      <w:r>
        <w:rPr>
          <w:lang w:val="en_US" w:bidi="en_US"/>
        </w:rPr>
        <w:t>it is</w:t>
      </w:r>
      <w:r>
        <w:rPr>
          <w:lang w:val="en_US" w:bidi="en_US"/>
        </w:rPr>
        <w:t xml:space="preserve"> sick </w:t>
      </w:r>
      <w:r>
        <w:rPr>
          <w:lang w:val="en_US" w:bidi="en_US"/>
        </w:rPr>
        <w:t>people</w:t>
      </w:r>
      <w:r>
        <w:rPr>
          <w:lang w:val="en_US" w:bidi="en_US"/>
        </w:rPr>
        <w:t xml:space="preserve"> </w:t>
      </w:r>
      <w:r>
        <w:rPr>
          <w:lang w:val="en_US" w:bidi="en_US"/>
        </w:rPr>
        <w:t>who need a doctor’s help</w:t>
      </w:r>
      <w:r>
        <w:rPr>
          <w:lang w:val="en_US" w:bidi="en_US"/>
        </w:rPr>
        <w:t>.</w:t>
      </w:r>
    </w:p>
    <w:p>
      <w:pPr>
        <w:pStyle w:val="ListBullet"/>
        <w:spacing w:line="240" w:lineRule="auto"/>
        <w:ind w:left="720"/>
      </w:pPr>
      <w:r>
        <w:rPr>
          <w:lang w:val="en_US" w:bidi="en_US"/>
        </w:rPr>
      </w:r>
      <w:r>
        <w:rPr>
          <w:lang w:val="en_US" w:bidi="en_US"/>
        </w:rPr>
        <w:t xml:space="preserve">Rather, it was sick </w:t>
      </w:r>
      <w:r>
        <w:rPr>
          <w:lang w:val="en_US" w:bidi="en_US"/>
        </w:rPr>
        <w:t>people who needed a doctor’s help</w:t>
      </w:r>
      <w:r>
        <w:rPr>
          <w:lang w:val="en_US" w:bidi="en_US"/>
        </w:rPr>
        <w:t>.</w:t>
      </w:r>
    </w:p>
    <w:p>
      <w:pPr/>
      <w:r>
        <w:rPr>
          <w:lang w:val="en_US" w:bidi="en_US"/>
        </w:rPr>
      </w:r>
      <w:r>
        <w:rPr>
          <w:b/>
          <w:lang w:val="en_US" w:bidi="en_US"/>
        </w:rPr>
        <w:t>but the sick:</w:t>
      </w:r>
      <w:r>
        <w:rPr>
          <w:lang w:val="en_US" w:bidi="en_US"/>
        </w:rPr>
        <w:t xml:space="preserve"> The phrase </w:t>
      </w:r>
      <w:r>
        <w:rPr>
          <w:i/>
          <w:lang w:val="en_US" w:bidi="en_US"/>
        </w:rPr>
        <w:t>but the sick</w:t>
      </w:r>
      <w:r>
        <w:rPr>
          <w:lang w:val="en_US" w:bidi="en_US"/>
        </w:rPr>
        <w:t xml:space="preserve"> is an ellipsis. In this context it means:</w:t>
      </w:r>
    </w:p>
    <w:p>
      <w:pPr/>
      <w:r>
        <w:rPr>
          <w:lang w:val="en_US" w:bidi="en_US"/>
        </w:rPr>
      </w:r>
      <w:r>
        <w:rPr>
          <w:lang w:val="en_US" w:bidi="en_US"/>
        </w:rPr>
        <w:t xml:space="preserve">but the sick </w:t>
      </w:r>
      <w:r>
        <w:rPr>
          <w:lang w:val="en_US" w:bidi="en_US"/>
        </w:rPr>
        <w:t>people</w:t>
      </w:r>
      <w:r>
        <w:rPr>
          <w:lang w:val="en_US" w:bidi="en_US"/>
        </w:rPr>
        <w:t xml:space="preserve"> are the </w:t>
      </w:r>
      <w:r>
        <w:rPr>
          <w:lang w:val="en_US" w:bidi="en_US"/>
        </w:rPr>
        <w:t>people who need a doctor</w:t>
      </w:r>
    </w:p>
    <w:p>
      <w:pPr/>
      <w:r>
        <w:rPr>
          <w:lang w:val="en_US" w:bidi="en_US"/>
        </w:rPr>
      </w:r>
      <w:r>
        <w:rPr>
          <w:lang w:val="en_US" w:bidi="en_US"/>
        </w:rPr>
        <w:t>People who know that they are sick are the ones who will go to a doctor for help.</w:t>
      </w:r>
    </w:p>
    <w:p>
      <w:pPr>
        <w:pStyle w:val="Heading6"/>
      </w:pPr>
      <w:r>
        <w:rPr>
          <w:b/>
          <w:lang w:val="en_US" w:bidi="en_US"/>
        </w:rPr>
        <w:t>General Comment on 5:31a–b</w:t>
      </w:r>
    </w:p>
    <w:p>
      <w:pPr/>
      <w:r>
        <w:rPr>
          <w:lang w:val="en_US" w:bidi="en_US"/>
        </w:rPr>
      </w:r>
      <w:r>
        <w:rPr>
          <w:lang w:val="en_US" w:bidi="en_US"/>
        </w:rPr>
        <w:t>Consider how to translate this so that it sounds like a proverb. In some languages it may be natural to reverse the order of the verse parts. For example:</w:t>
      </w:r>
    </w:p>
    <w:p>
      <w:pPr/>
      <w:r>
        <w:rPr>
          <w:lang w:val="en_US" w:bidi="en_US"/>
        </w:rPr>
      </w:r>
      <w:r>
        <w:rPr>
          <w:vertAlign w:val="superscript"/>
          <w:lang w:val="en_US" w:bidi="en_US"/>
        </w:rPr>
        <w:t>31b</w:t>
      </w:r>
      <w:r>
        <w:rPr>
          <w:lang w:val="en_US" w:bidi="en_US"/>
        </w:rPr>
        <w:t xml:space="preserve">It is sick people, </w:t>
      </w:r>
      <w:r>
        <w:rPr>
          <w:vertAlign w:val="superscript"/>
          <w:lang w:val="en_US" w:bidi="en_US"/>
        </w:rPr>
        <w:t>31a</w:t>
      </w:r>
      <w:r>
        <w:rPr>
          <w:lang w:val="en_US" w:bidi="en_US"/>
        </w:rPr>
        <w:t>not healthy people, who need a doctor.</w:t>
      </w:r>
    </w:p>
    <w:p>
      <w:pPr/>
      <w:r>
        <w:rPr>
          <w:lang w:val="en_US" w:bidi="en_US"/>
        </w:rPr>
      </w:r>
      <w:r>
        <w:rPr>
          <w:lang w:val="en_US" w:bidi="en_US"/>
        </w:rPr>
        <w:t>See also the General Comment on 5:31–32 at the end of the notes on 5:32b.</w:t>
      </w:r>
      <w:r>
        <w:rPr>
          <w:lang w:val="en_US" w:bidi="en_US"/>
        </w:rPr>
      </w:r>
      <w:r>
        <w:rPr>
          <w:lang w:val="en_US" w:bidi="en_US"/>
        </w:rPr>
      </w:r>
    </w:p>
    <w:p>
      <w:pPr/>
      <w:r>
        <w:rPr>
          <w:lang w:val="en_US" w:bidi="en_US"/>
        </w:rPr>
      </w:r>
    </w:p>
    <w:p>
      <w:pPr>
        <w:pStyle w:val="Heading2"/>
      </w:pPr>
      <w:r>
        <w:rPr>
          <w:lang w:val="en_US" w:bidi="en_US"/>
        </w:rPr>
        <w:t>Luke 5:32</w:t>
      </w:r>
      <w:r>
        <w:rPr>
          <w:lang w:val="en_US" w:bidi="en_US"/>
        </w:rPr>
      </w:r>
    </w:p>
    <w:p>
      <w:pPr>
        <w:pStyle w:val="Heading4"/>
      </w:pPr>
      <w:r>
        <w:rPr>
          <w:lang w:val="en_US" w:bidi="en_US"/>
        </w:rPr>
        <w:t>Section 5:27–32: Jesus chose Levi to become one of his disciples</w:t>
      </w:r>
    </w:p>
    <w:p>
      <w:pPr/>
      <w:r>
        <w:rPr>
          <w:lang w:val="en_US" w:bidi="en_US"/>
        </w:rPr>
      </w:r>
      <w:r>
        <w:rPr>
          <w:lang w:val="en_US" w:bidi="en_US"/>
        </w:rPr>
        <w:t>In this section, Jesus asked a man named Levi to be his disciple. For the meaning of “disciple,” see the note at 5:30a.</w:t>
      </w:r>
    </w:p>
    <w:p>
      <w:pPr/>
      <w:r>
        <w:rPr>
          <w:lang w:val="en_US" w:bidi="en_US"/>
        </w:rPr>
      </w:r>
      <w:r>
        <w:rPr>
          <w:lang w:val="en_US" w:bidi="en_US"/>
        </w:rPr>
        <w:t>Levi was a tax collector. Jews hated tax collectors for at least two reasons:</w:t>
      </w:r>
    </w:p>
    <w:p>
      <w:pPr>
        <w:pStyle w:val="ListNumber"/>
        <w:numPr>
          <w:ilvl w:val="0"/>
          <w:numId w:val="118"/>
        </w:numPr>
        <w:spacing w:line="240" w:lineRule="auto"/>
        <w:ind w:left="720"/>
      </w:pPr>
      <w:r>
        <w:rPr>
          <w:lang w:val="en_US" w:bidi="en_US"/>
        </w:rPr>
      </w:r>
      <w:r>
        <w:rPr>
          <w:lang w:val="en_US" w:bidi="en_US"/>
        </w:rPr>
        <w:t>Tax collectors worked for the Roman government or for Herod’s government. These were foreign governments that ruled the Jews.</w:t>
      </w:r>
    </w:p>
    <w:p>
      <w:pPr>
        <w:pStyle w:val="ListNumber"/>
        <w:spacing w:line="240" w:lineRule="auto"/>
        <w:ind w:left="720"/>
      </w:pPr>
      <w:r>
        <w:rPr>
          <w:lang w:val="en_US" w:bidi="en_US"/>
        </w:rPr>
      </w:r>
      <w:r>
        <w:rPr>
          <w:lang w:val="en_US" w:bidi="en_US"/>
        </w:rPr>
        <w:t>Tax collectors sometimes collected more money than necessary. Then they kept the extra money and became rich.</w:t>
      </w:r>
    </w:p>
    <w:p>
      <w:pPr/>
      <w:r>
        <w:rPr>
          <w:lang w:val="en_US" w:bidi="en_US"/>
        </w:rPr>
      </w:r>
      <w:r>
        <w:rPr>
          <w:lang w:val="en_US" w:bidi="en_US"/>
        </w:rP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people who believe themselves to be righteous.</w:t>
      </w:r>
    </w:p>
    <w:p>
      <w:pPr/>
      <w:r>
        <w:rPr>
          <w:lang w:val="en_US" w:bidi="en_US"/>
        </w:rPr>
      </w:r>
      <w:r>
        <w:rPr>
          <w:lang w:val="en_US" w:bidi="en_US"/>
        </w:rPr>
        <w:t>Some other possible headings for this section are:</w:t>
      </w:r>
    </w:p>
    <w:p>
      <w:pPr/>
      <w:r>
        <w:rPr>
          <w:lang w:val="en_US" w:bidi="en_US"/>
        </w:rPr>
      </w:r>
      <w:r>
        <w:rPr>
          <w:lang w:val="en_US" w:bidi="en_US"/>
        </w:rPr>
        <w:t>Jesus called Levi to be his disciple and ate with sinners</w:t>
      </w:r>
    </w:p>
    <w:p>
      <w:pPr/>
      <w:r>
        <w:rPr>
          <w:lang w:val="en_US" w:bidi="en_US"/>
        </w:rPr>
      </w:r>
      <w:r>
        <w:rPr>
          <w:lang w:val="en_US" w:bidi="en_US"/>
        </w:rPr>
        <w:t>Jesus loves sinners</w:t>
      </w:r>
    </w:p>
    <w:p>
      <w:pPr/>
      <w:r>
        <w:rPr>
          <w:lang w:val="en_US" w:bidi="en_US"/>
        </w:rPr>
      </w:r>
      <w:r>
        <w:rPr>
          <w:lang w:val="en_US" w:bidi="en_US"/>
        </w:rPr>
        <w:t>There are parallel passages for this section in Matthew 9:9–13 and Mark 2:13–17.</w:t>
      </w:r>
    </w:p>
    <w:p>
      <w:pPr>
        <w:pStyle w:val="Heading4"/>
      </w:pPr>
      <w:r>
        <w:rPr>
          <w:lang w:val="en_US" w:bidi="en_US"/>
        </w:rPr>
        <w:t>Paragraph 5:31–32</w:t>
      </w:r>
    </w:p>
    <w:p>
      <w:pPr/>
      <w:r>
        <w:rPr>
          <w:lang w:val="en_US" w:bidi="en_US"/>
        </w:rPr>
      </w:r>
      <w:r>
        <w:rPr>
          <w:lang w:val="en_US" w:bidi="en_US"/>
        </w:rPr>
        <w:t>Jesus responded to the Pharisees’ rhetorical question in 5:30 with a proverb and applied the proverb to his own work. Notice that the proverb and the way that Jesus applied it are parallel, and the similar parts are in the same order:</w:t>
      </w:r>
    </w:p>
    <w:p>
      <w:pPr/>
      <w:r>
        <w:rPr>
          <w:lang w:val="en_US" w:bidi="en_US"/>
        </w:rPr>
      </w:r>
      <w:r>
        <w:rPr>
          <w:lang w:val="en_US" w:bidi="en_US"/>
        </w:rPr>
        <w:t xml:space="preserve">It is </w:t>
      </w:r>
      <w:r>
        <w:rPr>
          <w:u w:val="single"/>
          <w:lang w:val="en_US" w:bidi="en_US"/>
        </w:rPr>
        <w:t>not the healthy</w:t>
      </w:r>
      <w:r>
        <w:rPr>
          <w:lang w:val="en_US" w:bidi="en_US"/>
        </w:rPr>
        <w:t xml:space="preserve"> who need a doctor, </w:t>
      </w:r>
      <w:r>
        <w:rPr>
          <w:b/>
          <w:lang w:val="en_US" w:bidi="en_US"/>
        </w:rPr>
        <w:t>but the sick</w:t>
      </w:r>
      <w:r>
        <w:rPr>
          <w:lang w:val="en_US" w:bidi="en_US"/>
        </w:rPr>
        <w:t>.</w:t>
      </w:r>
    </w:p>
    <w:p>
      <w:pPr/>
      <w:r>
        <w:rPr>
          <w:lang w:val="en_US" w:bidi="en_US"/>
        </w:rPr>
      </w:r>
      <w:r>
        <w:rPr>
          <w:lang w:val="en_US" w:bidi="en_US"/>
        </w:rPr>
        <w:t xml:space="preserve">I have come to call </w:t>
      </w:r>
      <w:r>
        <w:rPr>
          <w:u w:val="single"/>
          <w:lang w:val="en_US" w:bidi="en_US"/>
        </w:rPr>
        <w:t>not the righteous</w:t>
      </w:r>
      <w:r>
        <w:rPr>
          <w:lang w:val="en_US" w:bidi="en_US"/>
        </w:rPr>
        <w:t xml:space="preserve">, </w:t>
      </w:r>
      <w:r>
        <w:rPr>
          <w:b/>
          <w:lang w:val="en_US" w:bidi="en_US"/>
        </w:rPr>
        <w:t>but sinners to repentance</w:t>
      </w:r>
      <w:r>
        <w:rPr>
          <w:lang w:val="en_US" w:bidi="en_US"/>
        </w:rPr>
        <w:t>.</w:t>
      </w:r>
    </w:p>
    <w:p>
      <w:pPr/>
      <w:r>
        <w:rPr>
          <w:lang w:val="en_US" w:bidi="en_US"/>
        </w:rPr>
      </w:r>
      <w:r>
        <w:rPr>
          <w:lang w:val="en_US" w:bidi="en_US"/>
        </w:rPr>
        <w:t>Jesus was comparing healthy people to righteous ones and sick people to sinners. He was comparing himself to a doctor.</w:t>
      </w:r>
    </w:p>
    <w:p>
      <w:pPr/>
      <w:r>
        <w:rPr>
          <w:lang w:val="en_US" w:bidi="en_US"/>
        </w:rPr>
      </w:r>
      <w:r>
        <w:rPr>
          <w:lang w:val="en_US" w:bidi="en_US"/>
        </w:rPr>
        <w:t>Jesus used the words “healthy,” “sick,” and “doctor” as figures of speech. The “healthy” people represent people who think that they are already righteous and who think that they do not need any help. The “sick” represent people who know that they are sinners and need Jesus’ help. The “doctor” represents Jesus, who can help the sinners to become righteous.</w:t>
      </w:r>
    </w:p>
    <w:p>
      <w:pPr/>
      <w:r>
        <w:rPr>
          <w:lang w:val="en_US" w:bidi="en_US"/>
        </w:rPr>
      </w:r>
      <w:r>
        <w:rPr>
          <w:lang w:val="en_US" w:bidi="en_US"/>
        </w:rPr>
        <w:t>It is important that people understand this figurative meaning. See the General Comment on 5:31–32 at the end of the notes on 5:32b and the Display for 5:31a and the following verse parts for translation suggestions.</w:t>
      </w:r>
    </w:p>
    <w:p>
      <w:pPr>
        <w:pStyle w:val="Heading5"/>
      </w:pPr>
      <w:r>
        <w:rPr>
          <w:lang w:val="en_US" w:bidi="en_US"/>
        </w:rPr>
        <w:t>5:32</w:t>
      </w:r>
    </w:p>
    <w:p>
      <w:pPr/>
      <w:r>
        <w:rPr>
          <w:lang w:val="en_US" w:bidi="en_US"/>
        </w:rPr>
      </w:r>
      <w:r>
        <w:rPr>
          <w:b/>
          <w:lang w:val="en_US" w:bidi="en_US"/>
        </w:rPr>
        <w:t>I have not come to call the righteous, but sinners, to repentance:</w:t>
      </w:r>
      <w:r>
        <w:rPr>
          <w:lang w:val="en_US" w:bidi="en_US"/>
        </w:rPr>
        <w:t xml:space="preserve"> In this statement, Jesus used the proverb (in 5:31) to explain the reason why he was eating with sinners. Jesus came to call people who were “sick with sin” to repent and be with him. Jesus did not come to call people who were already righteous. That would be like telling healthy people to go to a doctor.</w:t>
      </w:r>
    </w:p>
    <w:p>
      <w:pPr>
        <w:pStyle w:val="Heading5"/>
      </w:pPr>
      <w:r>
        <w:rPr>
          <w:lang w:val="en_US" w:bidi="en_US"/>
        </w:rPr>
        <w:t>5:32a</w:t>
      </w:r>
    </w:p>
    <w:p>
      <w:pPr/>
      <w:r>
        <w:rPr>
          <w:lang w:val="en_US" w:bidi="en_US"/>
        </w:rPr>
      </w:r>
      <w:r>
        <w:rPr>
          <w:b/>
          <w:lang w:val="en_US" w:bidi="en_US"/>
        </w:rPr>
        <w:t>I have not come to call the righteous,</w:t>
      </w:r>
    </w:p>
    <w:p>
      <w:pPr>
        <w:pStyle w:val="ListBullet"/>
        <w:spacing w:line="240" w:lineRule="auto"/>
        <w:ind w:left="720"/>
      </w:pPr>
      <w:r>
        <w:rPr>
          <w:lang w:val="en_US" w:bidi="en_US"/>
        </w:rPr>
      </w:r>
      <w:r>
        <w:rPr>
          <w:lang w:val="en_US" w:bidi="en_US"/>
        </w:rPr>
        <w:t xml:space="preserve">I have/did not come to invite people who do what is right </w:t>
      </w:r>
      <w:r>
        <w:rPr>
          <w:lang w:val="en_US" w:bidi="en_US"/>
        </w:rPr>
        <w:t>to repent</w:t>
      </w:r>
      <w:r>
        <w:rPr>
          <w:lang w:val="en_US" w:bidi="en_US"/>
        </w:rPr>
        <w:t>.</w:t>
      </w:r>
    </w:p>
    <w:p>
      <w:pPr>
        <w:pStyle w:val="ListBullet"/>
        <w:spacing w:line="240" w:lineRule="auto"/>
        <w:ind w:left="720"/>
      </w:pPr>
      <w:r>
        <w:rPr>
          <w:lang w:val="en_US" w:bidi="en_US"/>
        </w:rPr>
      </w:r>
      <w:r>
        <w:rPr>
          <w:lang w:val="en_US" w:bidi="en_US"/>
        </w:rPr>
        <w:t>Similarly,</w:t>
      </w:r>
      <w:r>
        <w:rPr>
          <w:lang w:val="en_US" w:bidi="en_US"/>
        </w:rPr>
        <w:t xml:space="preserve"> my work/ministry is not to tell people who obey God’s laws </w:t>
      </w:r>
      <w:r>
        <w:rPr>
          <w:lang w:val="en_US" w:bidi="en_US"/>
        </w:rPr>
        <w:t>to repent</w:t>
      </w:r>
      <w:r>
        <w:rPr>
          <w:lang w:val="en_US" w:bidi="en_US"/>
        </w:rPr>
        <w:t>.</w:t>
      </w:r>
    </w:p>
    <w:p>
      <w:pPr/>
      <w:r>
        <w:rPr>
          <w:lang w:val="en_US" w:bidi="en_US"/>
        </w:rPr>
      </w:r>
      <w:r>
        <w:rPr>
          <w:b/>
          <w:lang w:val="en_US" w:bidi="en_US"/>
        </w:rPr>
        <w:t>I have not come to call the righteous:</w:t>
      </w:r>
      <w:r>
        <w:rPr>
          <w:lang w:val="en_US" w:bidi="en_US"/>
        </w:rPr>
        <w:t xml:space="preserve"> Jesus used the phrase </w:t>
      </w:r>
      <w:r>
        <w:rPr>
          <w:i/>
          <w:lang w:val="en_US" w:bidi="en_US"/>
        </w:rPr>
        <w:t>I have not come</w:t>
      </w:r>
      <w:r>
        <w:rPr>
          <w:lang w:val="en_US" w:bidi="en_US"/>
        </w:rPr>
        <w:t xml:space="preserve"> to introduce a general statement about the purpose of his ministry. He was not referring specifically to his purpose for coming to Levi’s house. He used the verb </w:t>
      </w:r>
      <w:r>
        <w:rPr>
          <w:i/>
          <w:lang w:val="en_US" w:bidi="en_US"/>
        </w:rPr>
        <w:t>come</w:t>
      </w:r>
      <w:r>
        <w:rPr>
          <w:lang w:val="en_US" w:bidi="en_US"/>
        </w:rPr>
        <w:t xml:space="preserve"> here in the sense that he had come “to the earth” or come “from God.” In some languages, it may be necessary to express the meaning in a different way. For example:</w:t>
      </w:r>
    </w:p>
    <w:p>
      <w:pPr/>
      <w:r>
        <w:rPr>
          <w:lang w:val="en_US" w:bidi="en_US"/>
        </w:rPr>
      </w:r>
      <w:r>
        <w:rPr>
          <w:lang w:val="en_US" w:bidi="en_US"/>
        </w:rPr>
        <w:t>My work/ministry is not to call the righteous</w:t>
      </w:r>
    </w:p>
    <w:p>
      <w:pPr/>
      <w:r>
        <w:rPr>
          <w:lang w:val="en_US" w:bidi="en_US"/>
        </w:rPr>
      </w:r>
      <w:r>
        <w:rPr>
          <w:b/>
          <w:lang w:val="en_US" w:bidi="en_US"/>
        </w:rPr>
        <w:t>call:</w:t>
      </w:r>
      <w:r>
        <w:rPr>
          <w:lang w:val="en_US" w:bidi="en_US"/>
        </w:rPr>
        <w:t xml:space="preserve"> In this context the Greek word that the BSB translates as </w:t>
      </w:r>
      <w:r>
        <w:rPr>
          <w:i/>
          <w:lang w:val="en_US" w:bidi="en_US"/>
        </w:rPr>
        <w:t>call</w:t>
      </w:r>
      <w:r>
        <w:rPr>
          <w:lang w:val="en_US" w:bidi="en_US"/>
        </w:rPr>
        <w:t xml:space="preserve"> means “invite someone to do something.” It does not mean to shout or use a loud voice.</w:t>
      </w:r>
    </w:p>
    <w:p>
      <w:pPr/>
      <w:r>
        <w:rPr>
          <w:lang w:val="en_US" w:bidi="en_US"/>
        </w:rPr>
      </w:r>
      <w:r>
        <w:rPr>
          <w:lang w:val="en_US" w:bidi="en_US"/>
        </w:rPr>
        <w:t>This verb could be followed by either indirect speech (as it is in Greek and in most English versions) or by direct speech. An example of using direct speech could be:</w:t>
      </w:r>
    </w:p>
    <w:p>
      <w:pPr/>
      <w:r>
        <w:rPr>
          <w:lang w:val="en_US" w:bidi="en_US"/>
        </w:rPr>
      </w:r>
      <w:r>
        <w:rPr>
          <w:lang w:val="en_US" w:bidi="en_US"/>
        </w:rPr>
        <w:t>I have not come to say to the righteous, “Repent.” No/Instead, I have come to say that to sinners.</w:t>
      </w:r>
    </w:p>
    <w:p>
      <w:pPr/>
      <w:r>
        <w:rPr>
          <w:lang w:val="en_US" w:bidi="en_US"/>
        </w:rPr>
      </w:r>
      <w:r>
        <w:rPr>
          <w:b/>
          <w:lang w:val="en_US" w:bidi="en_US"/>
        </w:rPr>
        <w:t>the righteous:</w:t>
      </w:r>
      <w:r>
        <w:rPr>
          <w:lang w:val="en_US" w:bidi="en_US"/>
        </w:rPr>
        <w:t xml:space="preserve"> The Greek word that the BSB translates as </w:t>
      </w:r>
      <w:r>
        <w:rPr>
          <w:i/>
          <w:lang w:val="en_US" w:bidi="en_US"/>
        </w:rPr>
        <w:t>righteous</w:t>
      </w:r>
      <w:r>
        <w:rPr>
          <w:lang w:val="en_US" w:bidi="en_US"/>
        </w:rPr>
        <w:t xml:space="preserve"> refers to people who live according to God’s standards. In other words, they consistently do what is right. Some other ways to translate this word are:</w:t>
      </w:r>
    </w:p>
    <w:p>
      <w:pPr/>
      <w:r>
        <w:rPr>
          <w:lang w:val="en_US" w:bidi="en_US"/>
        </w:rPr>
      </w:r>
      <w:r>
        <w:rPr>
          <w:lang w:val="en_US" w:bidi="en_US"/>
        </w:rPr>
        <w:t>those who obey God’s law</w:t>
      </w:r>
    </w:p>
    <w:p>
      <w:pPr/>
      <w:r>
        <w:rPr>
          <w:lang w:val="en_US" w:bidi="en_US"/>
        </w:rPr>
      </w:r>
      <w:r>
        <w:rPr>
          <w:lang w:val="en_US" w:bidi="en_US"/>
        </w:rPr>
        <w:t>those who do what is right</w:t>
      </w:r>
    </w:p>
    <w:p>
      <w:pPr/>
      <w:r>
        <w:rPr>
          <w:lang w:val="en_US" w:bidi="en_US"/>
        </w:rPr>
      </w:r>
      <w:r>
        <w:rPr>
          <w:lang w:val="en_US" w:bidi="en_US"/>
        </w:rPr>
        <w:t>In some languages people use an idiom to express this meaning. For example:</w:t>
      </w:r>
    </w:p>
    <w:p>
      <w:pPr/>
      <w:r>
        <w:rPr>
          <w:lang w:val="en_US" w:bidi="en_US"/>
        </w:rPr>
      </w:r>
      <w:r>
        <w:rPr>
          <w:lang w:val="en_US" w:bidi="en_US"/>
        </w:rPr>
        <w:t>those who follow a straight path</w:t>
      </w:r>
    </w:p>
    <w:p>
      <w:pPr/>
      <w:r>
        <w:rPr>
          <w:lang w:val="en_US" w:bidi="en_US"/>
        </w:rPr>
      </w:r>
      <w:r>
        <w:rPr>
          <w:lang w:val="en_US" w:bidi="en_US"/>
        </w:rPr>
        <w:t>upright people</w:t>
      </w:r>
    </w:p>
    <w:p>
      <w:pPr/>
      <w:r>
        <w:rPr>
          <w:lang w:val="en_US" w:bidi="en_US"/>
        </w:rPr>
      </w:r>
      <w:r>
        <w:rPr>
          <w:lang w:val="en_US" w:bidi="en_US"/>
        </w:rPr>
        <w:t>In this context Jesus was using irony. There are no truly righteous people, because everyone has sinned. Jesus may have been referring to people who think that they are doing what is right and do not recognize their sins.</w:t>
      </w:r>
    </w:p>
    <w:p>
      <w:pPr>
        <w:pStyle w:val="Heading5"/>
      </w:pPr>
      <w:r>
        <w:rPr>
          <w:lang w:val="en_US" w:bidi="en_US"/>
        </w:rPr>
        <w:t>5:32b</w:t>
      </w:r>
    </w:p>
    <w:p>
      <w:pPr/>
      <w:r>
        <w:rPr>
          <w:lang w:val="en_US" w:bidi="en_US"/>
        </w:rPr>
      </w:r>
      <w:r>
        <w:rPr>
          <w:b/>
          <w:lang w:val="en_US" w:bidi="en_US"/>
        </w:rPr>
        <w:t>but sinners, to repentance.”</w:t>
      </w:r>
    </w:p>
    <w:p>
      <w:pPr>
        <w:pStyle w:val="ListBullet"/>
        <w:spacing w:line="240" w:lineRule="auto"/>
        <w:ind w:left="720"/>
      </w:pPr>
      <w:r>
        <w:rPr>
          <w:lang w:val="en_US" w:bidi="en_US"/>
        </w:rPr>
      </w:r>
      <w:r>
        <w:rPr>
          <w:lang w:val="en_US" w:bidi="en_US"/>
        </w:rPr>
        <w:t xml:space="preserve">Rather, </w:t>
      </w:r>
      <w:r>
        <w:rPr>
          <w:lang w:val="en_US" w:bidi="en_US"/>
        </w:rPr>
        <w:t>I came to tell</w:t>
      </w:r>
      <w:r>
        <w:rPr>
          <w:lang w:val="en_US" w:bidi="en_US"/>
        </w:rPr>
        <w:t xml:space="preserve"> sinners to repent.”</w:t>
      </w:r>
    </w:p>
    <w:p>
      <w:pPr>
        <w:pStyle w:val="ListBullet"/>
        <w:spacing w:line="240" w:lineRule="auto"/>
        <w:ind w:left="720"/>
      </w:pPr>
      <w:r>
        <w:rPr>
          <w:lang w:val="en_US" w:bidi="en_US"/>
        </w:rPr>
      </w:r>
      <w:r>
        <w:rPr>
          <w:lang w:val="en_US" w:bidi="en_US"/>
        </w:rPr>
        <w:t xml:space="preserve">Instead, </w:t>
      </w:r>
      <w:r>
        <w:rPr>
          <w:lang w:val="en_US" w:bidi="en_US"/>
        </w:rPr>
        <w:t>my work/ministry is to tell</w:t>
      </w:r>
      <w:r>
        <w:rPr>
          <w:lang w:val="en_US" w:bidi="en_US"/>
        </w:rPr>
        <w:t xml:space="preserve"> people who break God’s laws to repent.”</w:t>
      </w:r>
    </w:p>
    <w:p>
      <w:pPr/>
      <w:r>
        <w:rPr>
          <w:lang w:val="en_US" w:bidi="en_US"/>
        </w:rPr>
      </w:r>
      <w:r>
        <w:rPr>
          <w:b/>
          <w:lang w:val="en_US" w:bidi="en_US"/>
        </w:rPr>
        <w:t>but sinners, to repentance:</w:t>
      </w:r>
      <w:r>
        <w:rPr>
          <w:lang w:val="en_US" w:bidi="en_US"/>
        </w:rPr>
        <w:t xml:space="preserve"> There is ellipsis here. Its full form is:</w:t>
      </w:r>
    </w:p>
    <w:p>
      <w:pPr/>
      <w:r>
        <w:rPr>
          <w:lang w:val="en_US" w:bidi="en_US"/>
        </w:rPr>
      </w:r>
      <w:r>
        <w:rPr>
          <w:lang w:val="en_US" w:bidi="en_US"/>
        </w:rPr>
        <w:t xml:space="preserve">but </w:t>
      </w:r>
      <w:r>
        <w:rPr>
          <w:lang w:val="en_US" w:bidi="en_US"/>
        </w:rPr>
        <w:t>I have come to call</w:t>
      </w:r>
      <w:r>
        <w:rPr>
          <w:lang w:val="en_US" w:bidi="en_US"/>
        </w:rPr>
        <w:t xml:space="preserve"> sinners to repentance</w:t>
      </w:r>
    </w:p>
    <w:p>
      <w:pPr/>
      <w:r>
        <w:rPr>
          <w:lang w:val="en_US" w:bidi="en_US"/>
        </w:rPr>
      </w:r>
      <w:r>
        <w:rPr>
          <w:lang w:val="en_US" w:bidi="en_US"/>
        </w:rPr>
        <w:t>This explains the reason why Jesus was eating with tax collectors and other sinners. He had come to earth for the purpose of calling them to repent and turn to God.</w:t>
      </w:r>
    </w:p>
    <w:p>
      <w:pPr/>
      <w:r>
        <w:rPr>
          <w:lang w:val="en_US" w:bidi="en_US"/>
        </w:rPr>
      </w:r>
      <w:r>
        <w:rPr>
          <w:lang w:val="en_US" w:bidi="en_US"/>
        </w:rPr>
        <w:t>In some languages it may be natural to translate this as a separate sentence. For example:</w:t>
      </w:r>
    </w:p>
    <w:p>
      <w:pPr/>
      <w:r>
        <w:rPr>
          <w:lang w:val="en_US" w:bidi="en_US"/>
        </w:rPr>
      </w:r>
      <w:r>
        <w:rPr>
          <w:lang w:val="en_US" w:bidi="en_US"/>
        </w:rPr>
        <w:t xml:space="preserve">Instead, </w:t>
      </w:r>
      <w:r>
        <w:rPr>
          <w:lang w:val="en_US" w:bidi="en_US"/>
        </w:rPr>
        <w:t>I have come to call</w:t>
      </w:r>
      <w:r>
        <w:rPr>
          <w:lang w:val="en_US" w:bidi="en_US"/>
        </w:rPr>
        <w:t xml:space="preserve"> sinners to repent </w:t>
      </w:r>
      <w:r>
        <w:rPr>
          <w:lang w:val="en_US" w:bidi="en_US"/>
        </w:rPr>
        <w:t>of their sins</w:t>
      </w:r>
      <w:r>
        <w:rPr>
          <w:lang w:val="en_US" w:bidi="en_US"/>
        </w:rPr>
        <w:t>.</w:t>
      </w:r>
    </w:p>
    <w:p>
      <w:pPr/>
      <w:r>
        <w:rPr>
          <w:lang w:val="en_US" w:bidi="en_US"/>
        </w:rPr>
      </w:r>
      <w:r>
        <w:rPr>
          <w:b/>
          <w:lang w:val="en_US" w:bidi="en_US"/>
        </w:rPr>
        <w:t>sinners:</w:t>
      </w:r>
      <w:r>
        <w:rPr>
          <w:lang w:val="en_US" w:bidi="en_US"/>
        </w:rPr>
        <w:t xml:space="preserve"> In your translation, use the same word for </w:t>
      </w:r>
      <w:r>
        <w:rPr>
          <w:i/>
          <w:lang w:val="en_US" w:bidi="en_US"/>
        </w:rPr>
        <w:t>sinners</w:t>
      </w:r>
      <w:r>
        <w:rPr>
          <w:lang w:val="en_US" w:bidi="en_US"/>
        </w:rPr>
        <w:t xml:space="preserve"> that you used in 5:30b. Jesus did not say who the sinners were. The Pharisees and teachers of the law believed that they themselves were not sinners. Jesus knew that everyone at the feast except himself was a sinner. But he did not make this explicit here. He left this for everyone to think about.</w:t>
      </w:r>
    </w:p>
    <w:p>
      <w:pPr/>
      <w:r>
        <w:rPr>
          <w:lang w:val="en_US" w:bidi="en_US"/>
        </w:rPr>
      </w:r>
      <w:r>
        <w:rPr>
          <w:b/>
          <w:lang w:val="en_US" w:bidi="en_US"/>
        </w:rPr>
        <w:t>to repentance:</w:t>
      </w:r>
      <w:r>
        <w:rPr>
          <w:lang w:val="en_US" w:bidi="en_US"/>
        </w:rPr>
        <w:t xml:space="preserve"> The Greek word that the BSB translates as </w:t>
      </w:r>
      <w:r>
        <w:rPr>
          <w:i/>
          <w:lang w:val="en_US" w:bidi="en_US"/>
        </w:rPr>
        <w:t>repentance</w:t>
      </w:r>
      <w:r>
        <w:rPr>
          <w:lang w:val="en_US" w:bidi="en_US"/>
        </w:rPr>
        <w:t xml:space="preserve"> refers to changing one’s own mind, heart, or will. In the Bible it refers specifically to a change of mind and heart about sin and about God. The person who repents is sorry for his past sins. He decides to stop sinning and to obey God. Some ways to translate </w:t>
      </w:r>
      <w:r>
        <w:rPr>
          <w:i/>
          <w:lang w:val="en_US" w:bidi="en_US"/>
        </w:rPr>
        <w:t>to repentance</w:t>
      </w:r>
      <w:r>
        <w:rPr>
          <w:lang w:val="en_US" w:bidi="en_US"/>
        </w:rPr>
        <w:t xml:space="preserve"> are:</w:t>
      </w:r>
    </w:p>
    <w:p>
      <w:pPr/>
      <w:r>
        <w:rPr>
          <w:lang w:val="en_US" w:bidi="en_US"/>
        </w:rPr>
      </w:r>
      <w:r>
        <w:rPr>
          <w:lang w:val="en_US" w:bidi="en_US"/>
        </w:rPr>
        <w:t>to change their hearts/minds</w:t>
      </w:r>
    </w:p>
    <w:p>
      <w:pPr/>
      <w:r>
        <w:rPr>
          <w:lang w:val="en_US" w:bidi="en_US"/>
        </w:rPr>
      </w:r>
      <w:r>
        <w:rPr>
          <w:lang w:val="en_US" w:bidi="en_US"/>
        </w:rPr>
        <w:t>to reject sin</w:t>
      </w:r>
    </w:p>
    <w:p>
      <w:pPr/>
      <w:r>
        <w:rPr>
          <w:lang w:val="en_US" w:bidi="en_US"/>
        </w:rPr>
      </w:r>
      <w:r>
        <w:rPr>
          <w:lang w:val="en_US" w:bidi="en_US"/>
        </w:rPr>
        <w:t>In some languages, you may have an idiom for this type of change. For example:</w:t>
      </w:r>
    </w:p>
    <w:p>
      <w:pPr/>
      <w:r>
        <w:rPr>
          <w:lang w:val="en_US" w:bidi="en_US"/>
        </w:rPr>
      </w:r>
      <w:r>
        <w:rPr>
          <w:lang w:val="en_US" w:bidi="en_US"/>
        </w:rPr>
        <w:t>to turn from sin to God</w:t>
      </w:r>
    </w:p>
    <w:p>
      <w:pPr/>
      <w:r>
        <w:rPr>
          <w:lang w:val="en_US" w:bidi="en_US"/>
        </w:rPr>
      </w:r>
      <w:r>
        <w:rPr>
          <w:lang w:val="en_US" w:bidi="en_US"/>
        </w:rPr>
        <w:t>to leave sin behind</w:t>
      </w:r>
    </w:p>
    <w:p>
      <w:pPr/>
      <w:r>
        <w:rPr>
          <w:lang w:val="en_US" w:bidi="en_US"/>
        </w:rPr>
      </w:r>
      <w:r>
        <w:rPr>
          <w:lang w:val="en_US" w:bidi="en_US"/>
        </w:rPr>
        <w:t xml:space="preserve">Other ways to translate </w:t>
      </w:r>
      <w:r>
        <w:rPr>
          <w:i/>
          <w:lang w:val="en_US" w:bidi="en_US"/>
        </w:rPr>
        <w:t>to repentance</w:t>
      </w:r>
      <w:r>
        <w:rPr>
          <w:lang w:val="en_US" w:bidi="en_US"/>
        </w:rPr>
        <w:t xml:space="preserve"> in this context are:</w:t>
      </w:r>
    </w:p>
    <w:p>
      <w:pPr/>
      <w:r>
        <w:rPr>
          <w:lang w:val="en_US" w:bidi="en_US"/>
        </w:rPr>
      </w:r>
      <w:r>
        <w:rPr>
          <w:lang w:val="en_US" w:bidi="en_US"/>
        </w:rPr>
        <w:t>to quit/leave their sinful way of life/behaving</w:t>
      </w:r>
    </w:p>
    <w:p>
      <w:pPr/>
      <w:r>
        <w:rPr>
          <w:lang w:val="en_US" w:bidi="en_US"/>
        </w:rPr>
      </w:r>
      <w:r>
        <w:rPr>
          <w:lang w:val="en_US" w:bidi="en_US"/>
        </w:rPr>
        <w:t>to stop sinning and turn towards God</w:t>
      </w:r>
    </w:p>
    <w:p>
      <w:pPr>
        <w:pStyle w:val="Heading6"/>
      </w:pPr>
      <w:r>
        <w:rPr>
          <w:b/>
          <w:lang w:val="en_US" w:bidi="en_US"/>
        </w:rPr>
        <w:t>General Comment on 5:32a–b</w:t>
      </w:r>
    </w:p>
    <w:p>
      <w:pPr/>
      <w:r>
        <w:rPr>
          <w:lang w:val="en_US" w:bidi="en_US"/>
        </w:rPr>
      </w:r>
      <w:r>
        <w:rPr>
          <w:lang w:val="en_US" w:bidi="en_US"/>
        </w:rPr>
        <w:t>In some languages it may be natural to state first what Jesus had come to do:</w:t>
      </w:r>
    </w:p>
    <w:p>
      <w:pPr/>
      <w:r>
        <w:rPr>
          <w:lang w:val="en_US" w:bidi="en_US"/>
        </w:rPr>
      </w:r>
      <w:r>
        <w:rPr>
          <w:vertAlign w:val="superscript"/>
          <w:lang w:val="en_US" w:bidi="en_US"/>
        </w:rPr>
        <w:t>32b</w:t>
      </w:r>
      <w:r>
        <w:rPr>
          <w:lang w:val="en_US" w:bidi="en_US"/>
        </w:rPr>
        <w:t xml:space="preserve"> </w:t>
      </w:r>
      <w:r>
        <w:rPr>
          <w:lang w:val="en_US" w:bidi="en_US"/>
        </w:rPr>
        <w:t>I have come</w:t>
      </w:r>
      <w:r>
        <w:rPr>
          <w:lang w:val="en_US" w:bidi="en_US"/>
        </w:rPr>
        <w:t xml:space="preserve"> to call sinners to repent of their sins. </w:t>
      </w:r>
      <w:r>
        <w:rPr>
          <w:vertAlign w:val="superscript"/>
          <w:lang w:val="en_US" w:bidi="en_US"/>
        </w:rPr>
        <w:t>32a</w:t>
      </w:r>
      <w:r>
        <w:rPr>
          <w:lang w:val="en_US" w:bidi="en_US"/>
        </w:rPr>
        <w:t>I have not come to call righteous people.</w:t>
      </w:r>
    </w:p>
    <w:p>
      <w:pPr>
        <w:pStyle w:val="Heading6"/>
      </w:pPr>
      <w:r>
        <w:rPr>
          <w:b/>
          <w:lang w:val="en_US" w:bidi="en_US"/>
        </w:rPr>
        <w:t>General Comment on 5:31–32</w:t>
      </w:r>
    </w:p>
    <w:p>
      <w:pPr/>
      <w:r>
        <w:rPr>
          <w:lang w:val="en_US" w:bidi="en_US"/>
        </w:rPr>
      </w:r>
      <w:r>
        <w:rPr>
          <w:lang w:val="en_US" w:bidi="en_US"/>
        </w:rPr>
        <w:t>Jesus’ words in 5:32 explain the sense in which he was using the proverb in 5:31. He implied that the Pharisees thought that they were already righteous. That was the reason why they would not come to him for help to become truly righteous. Jesus did not mean that the tax collectors and sinners were the only sinners. He implied that they knew that they needed him, just as sick people know that they need a doctor.</w:t>
      </w:r>
      <w:r>
        <w:rPr>
          <w:lang w:val="en_US" w:bidi="en_US"/>
        </w:rPr>
        <w:t>There are other ways to think about the irony here. In one sense, no one fully recognizes his own sinfulness, and there is no one who is truly righteous. It is impossible for a person to see himself as God sees him unless God reveals that to him. Jesus came to offer salvation to all people. He was helping all people to recognize their sinfulness and turn to him, just as sick people turn to a doctor to help them. Only Jesus can make a person truly righteous so that the person is able always to do what is right.</w:t>
      </w:r>
    </w:p>
    <w:p>
      <w:pPr/>
      <w:r>
        <w:rPr>
          <w:lang w:val="en_US" w:bidi="en_US"/>
        </w:rPr>
      </w:r>
      <w:r>
        <w:rPr>
          <w:lang w:val="en_US" w:bidi="en_US"/>
        </w:rPr>
        <w:t>Most readers will probably be able to connect the meaning of the proverb to what Jesus says in 5:32. However, if people in your language group do not readily think of sin as a kind of “sickness,” you might consider making this connection clearer. For example:</w:t>
      </w:r>
    </w:p>
    <w:p>
      <w:pPr/>
      <w:r>
        <w:rPr>
          <w:lang w:val="en_US" w:bidi="en_US"/>
        </w:rPr>
      </w:r>
      <w:r>
        <w:rPr>
          <w:lang w:val="en_US" w:bidi="en_US"/>
        </w:rPr>
        <w:t xml:space="preserve">Jesus said to them, “It is not the healthy who need a doctor, but the sick. </w:t>
      </w:r>
      <w:r>
        <w:rPr>
          <w:lang w:val="en_US" w:bidi="en_US"/>
        </w:rPr>
        <w:t>In a similar way,</w:t>
      </w:r>
      <w:r>
        <w:rPr>
          <w:lang w:val="en_US" w:bidi="en_US"/>
        </w:rPr>
        <w:t xml:space="preserve"> I have not come to call the righteous to repent. Instead I have come to call sinners to repent of their sins.”</w:t>
      </w:r>
    </w:p>
    <w:p>
      <w:pPr/>
      <w:r>
        <w:rPr>
          <w:lang w:val="en_US" w:bidi="en_US"/>
        </w:rPr>
      </w:r>
      <w:r>
        <w:rPr>
          <w:lang w:val="en_US" w:bidi="en_US"/>
        </w:rPr>
        <w:t>In some languages it may be necessary to make some of the implied information explicit. For example:</w:t>
      </w:r>
    </w:p>
    <w:p>
      <w:pPr/>
      <w:r>
        <w:rPr>
          <w:lang w:val="en_US" w:bidi="en_US"/>
        </w:rPr>
      </w:r>
      <w:r>
        <w:rPr>
          <w:lang w:val="en_US" w:bidi="en_US"/>
        </w:rPr>
        <w:t xml:space="preserve">Jesus answered them </w:t>
      </w:r>
      <w:r>
        <w:rPr>
          <w:lang w:val="en_US" w:bidi="en_US"/>
        </w:rPr>
        <w:t>using a proverb</w:t>
      </w:r>
      <w:r>
        <w:rPr>
          <w:lang w:val="en_US" w:bidi="en_US"/>
        </w:rPr>
        <w:t xml:space="preserve">, “People who </w:t>
      </w:r>
      <w:r>
        <w:rPr>
          <w:lang w:val="en_US" w:bidi="en_US"/>
        </w:rPr>
        <w:t>think that they</w:t>
      </w:r>
      <w:r>
        <w:rPr>
          <w:lang w:val="en_US" w:bidi="en_US"/>
        </w:rPr>
        <w:t xml:space="preserve"> are healthy do not go to a doctor. It is the sick people who </w:t>
      </w:r>
      <w:r>
        <w:rPr>
          <w:lang w:val="en_US" w:bidi="en_US"/>
        </w:rPr>
        <w:t>know that they</w:t>
      </w:r>
      <w:r>
        <w:rPr>
          <w:lang w:val="en_US" w:bidi="en_US"/>
        </w:rPr>
        <w:t xml:space="preserve"> need a doctor. </w:t>
      </w:r>
      <w:r>
        <w:rPr>
          <w:lang w:val="en_US" w:bidi="en_US"/>
        </w:rPr>
        <w:t>Like a doctor,</w:t>
      </w:r>
      <w:r>
        <w:rPr>
          <w:lang w:val="en_US" w:bidi="en_US"/>
        </w:rPr>
        <w:t xml:space="preserve"> my work is not to invite people who </w:t>
      </w:r>
      <w:r>
        <w:rPr>
          <w:lang w:val="en_US" w:bidi="en_US"/>
        </w:rPr>
        <w:t>think that they</w:t>
      </w:r>
      <w:r>
        <w:rPr>
          <w:lang w:val="en_US" w:bidi="en_US"/>
        </w:rPr>
        <w:t xml:space="preserve"> are righteous </w:t>
      </w:r>
      <w:r>
        <w:rPr>
          <w:lang w:val="en_US" w:bidi="en_US"/>
        </w:rPr>
        <w:t>to repent</w:t>
      </w:r>
      <w:r>
        <w:rPr>
          <w:lang w:val="en_US" w:bidi="en_US"/>
        </w:rPr>
        <w:t xml:space="preserve">. I came to invite </w:t>
      </w:r>
      <w:r>
        <w:rPr>
          <w:lang w:val="en_US" w:bidi="en_US"/>
        </w:rPr>
        <w:t>those who know that they are</w:t>
      </w:r>
      <w:r>
        <w:rPr>
          <w:lang w:val="en_US" w:bidi="en_US"/>
        </w:rPr>
        <w:t xml:space="preserve"> sinners to repent.”</w:t>
      </w:r>
    </w:p>
    <w:p>
      <w:pPr/>
      <w:r>
        <w:rPr>
          <w:lang w:val="en_US" w:bidi="en_US"/>
        </w:rPr>
      </w:r>
      <w:r>
        <w:rPr>
          <w:lang w:val="en_US" w:bidi="en_US"/>
        </w:rPr>
        <w:t>Jesus answered them, “Healthy people don’t need a doctor—sick people do. I have come to call not those who think they are righteous, but those who know they are sinners and need to repent.” (NLT)</w:t>
      </w:r>
    </w:p>
    <w:p>
      <w:pPr/>
      <w:r>
        <w:rPr>
          <w:lang w:val="en_US" w:bidi="en_US"/>
        </w:rPr>
      </w:r>
      <w:r>
        <w:rPr>
          <w:lang w:val="en_US" w:bidi="en_US"/>
        </w:rPr>
        <w:t>In some languages, it may be more natural to use a different order for some of the information. For example:</w:t>
      </w:r>
    </w:p>
    <w:p>
      <w:pPr/>
      <w:r>
        <w:rPr>
          <w:lang w:val="en_US" w:bidi="en_US"/>
        </w:rPr>
      </w:r>
      <w:r>
        <w:rPr>
          <w:lang w:val="en_US" w:bidi="en_US"/>
        </w:rPr>
        <w:t xml:space="preserve">Jesus answered them, “It is sick people who </w:t>
      </w:r>
      <w:r>
        <w:rPr>
          <w:lang w:val="en_US" w:bidi="en_US"/>
        </w:rPr>
        <w:t>know that they</w:t>
      </w:r>
      <w:r>
        <w:rPr>
          <w:lang w:val="en_US" w:bidi="en_US"/>
        </w:rPr>
        <w:t xml:space="preserve"> need a doctor. People who </w:t>
      </w:r>
      <w:r>
        <w:rPr>
          <w:lang w:val="en_US" w:bidi="en_US"/>
        </w:rPr>
        <w:t>think that they</w:t>
      </w:r>
      <w:r>
        <w:rPr>
          <w:lang w:val="en_US" w:bidi="en_US"/>
        </w:rPr>
        <w:t xml:space="preserve"> are healthy do not seek a doctor. I came to invite people who </w:t>
      </w:r>
      <w:r>
        <w:rPr>
          <w:lang w:val="en_US" w:bidi="en_US"/>
        </w:rPr>
        <w:t>know that they</w:t>
      </w:r>
      <w:r>
        <w:rPr>
          <w:lang w:val="en_US" w:bidi="en_US"/>
        </w:rPr>
        <w:t xml:space="preserve"> are sinners </w:t>
      </w:r>
      <w:r>
        <w:rPr>
          <w:lang w:val="en_US" w:bidi="en_US"/>
        </w:rPr>
        <w:t>to be with me</w:t>
      </w:r>
      <w:r>
        <w:rPr>
          <w:lang w:val="en_US" w:bidi="en_US"/>
        </w:rPr>
        <w:t xml:space="preserve">. I did not come for those who </w:t>
      </w:r>
      <w:r>
        <w:rPr>
          <w:lang w:val="en_US" w:bidi="en_US"/>
        </w:rPr>
        <w:t>think that they</w:t>
      </w:r>
      <w:r>
        <w:rPr>
          <w:lang w:val="en_US" w:bidi="en_US"/>
        </w:rPr>
        <w:t xml:space="preserve"> are </w:t>
      </w:r>
      <w:r>
        <w:rPr>
          <w:lang w:val="en_US" w:bidi="en_US"/>
        </w:rPr>
        <w:t>already</w:t>
      </w:r>
      <w:r>
        <w:rPr>
          <w:lang w:val="en_US" w:bidi="en_US"/>
        </w:rPr>
        <w:t xml:space="preserve"> righteous.”</w:t>
      </w:r>
      <w:r>
        <w:rPr>
          <w:lang w:val="en_US" w:bidi="en_US"/>
        </w:rPr>
      </w:r>
      <w:r>
        <w:rPr>
          <w:lang w:val="en_US" w:bidi="en_US"/>
        </w:rPr>
      </w:r>
    </w:p>
    <w:p>
      <w:pPr/>
      <w:r>
        <w:rPr>
          <w:lang w:val="en_US" w:bidi="en_US"/>
        </w:rPr>
      </w:r>
    </w:p>
    <w:p>
      <w:pPr>
        <w:pStyle w:val="Heading2"/>
      </w:pPr>
      <w:r>
        <w:rPr>
          <w:lang w:val="en_US" w:bidi="en_US"/>
        </w:rPr>
        <w:t>Luke 5:33</w:t>
      </w:r>
      <w:r>
        <w:rPr>
          <w:lang w:val="en_US" w:bidi="en_US"/>
        </w:rPr>
      </w:r>
    </w:p>
    <w:p>
      <w:pPr>
        <w:pStyle w:val="Heading4"/>
      </w:pPr>
      <w:r>
        <w:rPr>
          <w:lang w:val="en_US" w:bidi="en_US"/>
        </w:rPr>
        <w:t>Section 5:33–39: Jesus explained why his disciples did not fast</w:t>
      </w:r>
    </w:p>
    <w:p>
      <w:pPr/>
      <w:r>
        <w:rPr>
          <w:lang w:val="en_US" w:bidi="en_US"/>
        </w:rPr>
      </w:r>
      <w:r>
        <w:rPr>
          <w:lang w:val="en_US" w:bidi="en_US"/>
        </w:rPr>
        <w:t>In this section, some people made a comment to Jesus about fasting. Their comment implied that they were criticizing the disciples. It also implied the question, “Why do your disciples act differently from the disciples of John and the disciples of the Pharisees?” Jesus explained the difference in their actions. In his explanation, he compared himself to a bridegroom, and he compared his disciples to wedding guests. The disciples could not fast while he was with them, just as wedding guests do not fast while the bridegroom is with them.</w:t>
      </w:r>
    </w:p>
    <w:p>
      <w:pPr/>
      <w:r>
        <w:rPr>
          <w:lang w:val="en_US" w:bidi="en_US"/>
        </w:rPr>
      </w:r>
      <w:r>
        <w:rPr>
          <w:lang w:val="en_US" w:bidi="en_US"/>
        </w:rPr>
        <w:t>After he had explained this different attitude towards fasting, he told them that he was teaching a new way to live for God. His new way would not fit into the old traditions. To illustrate this, Jesus used three comparisons:</w:t>
      </w:r>
    </w:p>
    <w:p>
      <w:pPr>
        <w:pStyle w:val="ListNumber"/>
        <w:numPr>
          <w:ilvl w:val="0"/>
          <w:numId w:val="119"/>
        </w:numPr>
        <w:spacing w:line="240" w:lineRule="auto"/>
        <w:ind w:left="720"/>
      </w:pPr>
      <w:r>
        <w:rPr>
          <w:lang w:val="en_US" w:bidi="en_US"/>
        </w:rPr>
      </w:r>
      <w:r>
        <w:rPr>
          <w:lang w:val="en_US" w:bidi="en_US"/>
        </w:rPr>
        <w:t>He compared the old traditional ways to an old garment. He compared his new way to cloth taken from a new garment. No one would sew the new cloth onto an old garment.</w:t>
      </w:r>
    </w:p>
    <w:p>
      <w:pPr>
        <w:pStyle w:val="ListNumber"/>
        <w:spacing w:line="240" w:lineRule="auto"/>
        <w:ind w:left="720"/>
      </w:pPr>
      <w:r>
        <w:rPr>
          <w:lang w:val="en_US" w:bidi="en_US"/>
        </w:rPr>
      </w:r>
      <w:r>
        <w:rPr>
          <w:lang w:val="en_US" w:bidi="en_US"/>
        </w:rPr>
        <w:t>He compared the old traditional ways to old wineskins. He compared his new way to new wine. When new wine is put into old wineskins, both are ruined.</w:t>
      </w:r>
    </w:p>
    <w:p>
      <w:pPr>
        <w:pStyle w:val="ListNumber"/>
        <w:spacing w:line="240" w:lineRule="auto"/>
        <w:ind w:left="720"/>
      </w:pPr>
      <w:r>
        <w:rPr>
          <w:lang w:val="en_US" w:bidi="en_US"/>
        </w:rPr>
      </w:r>
      <w:r>
        <w:rPr>
          <w:lang w:val="en_US" w:bidi="en_US"/>
        </w:rPr>
        <w:t>Jesus concluded with a saying that rebuked those who wanted to keep to the old traditions. Jesus said that people who had drunk old wine did not want to drink new wine. He was really talking about people who were content with the old ways and teaching of the Jewish religion. He said that they were unwilling to consider the new ways and teaching that he had brought.</w:t>
      </w:r>
    </w:p>
    <w:p>
      <w:pPr/>
      <w:r>
        <w:rPr>
          <w:lang w:val="en_US" w:bidi="en_US"/>
        </w:rPr>
      </w:r>
      <w:r>
        <w:rPr>
          <w:lang w:val="en_US" w:bidi="en_US"/>
        </w:rPr>
        <w:t>This section can be difficult for people to understand because Jesus used comparisons to illustrate what he was teaching. He did not make what he was teaching explicit. If you need to make the meaning clearer, you should explain it in a footnote.</w:t>
      </w:r>
    </w:p>
    <w:p>
      <w:pPr/>
      <w:r>
        <w:rPr>
          <w:lang w:val="en_US" w:bidi="en_US"/>
        </w:rPr>
      </w:r>
      <w:r>
        <w:rPr>
          <w:lang w:val="en_US" w:bidi="en_US"/>
        </w:rPr>
        <w:t>In this section, there are some ideas that may not be familiar in certain cultures. For example:</w:t>
      </w:r>
    </w:p>
    <w:p>
      <w:pPr>
        <w:pStyle w:val="ListNumber"/>
        <w:numPr>
          <w:ilvl w:val="0"/>
          <w:numId w:val="120"/>
        </w:numPr>
        <w:spacing w:line="240" w:lineRule="auto"/>
        <w:ind w:left="720"/>
      </w:pPr>
      <w:r>
        <w:rPr>
          <w:lang w:val="en_US" w:bidi="en_US"/>
        </w:rPr>
      </w:r>
      <w:r>
        <w:rPr>
          <w:lang w:val="en_US" w:bidi="en_US"/>
        </w:rPr>
        <w:t>fasting</w:t>
      </w:r>
    </w:p>
    <w:p>
      <w:pPr>
        <w:pStyle w:val="ListNumber"/>
        <w:spacing w:line="240" w:lineRule="auto"/>
        <w:ind w:left="720"/>
      </w:pPr>
      <w:r>
        <w:rPr>
          <w:lang w:val="en_US" w:bidi="en_US"/>
        </w:rPr>
      </w:r>
      <w:r>
        <w:rPr>
          <w:lang w:val="en_US" w:bidi="en_US"/>
        </w:rPr>
        <w:t>Jewish wedding customs about bridegrooms</w:t>
      </w:r>
    </w:p>
    <w:p>
      <w:pPr>
        <w:pStyle w:val="ListNumber"/>
        <w:spacing w:line="240" w:lineRule="auto"/>
        <w:ind w:left="720"/>
      </w:pPr>
      <w:r>
        <w:rPr>
          <w:lang w:val="en_US" w:bidi="en_US"/>
        </w:rPr>
      </w:r>
      <w:r>
        <w:rPr>
          <w:lang w:val="en_US" w:bidi="en_US"/>
        </w:rPr>
        <w:t>sewing patches onto cloth</w:t>
      </w:r>
    </w:p>
    <w:p>
      <w:pPr>
        <w:pStyle w:val="ListNumber"/>
        <w:spacing w:line="240" w:lineRule="auto"/>
        <w:ind w:left="720"/>
      </w:pPr>
      <w:r>
        <w:rPr>
          <w:lang w:val="en_US" w:bidi="en_US"/>
        </w:rPr>
      </w:r>
      <w:r>
        <w:rPr>
          <w:lang w:val="en_US" w:bidi="en_US"/>
        </w:rPr>
        <w:t>new wine and old wine</w:t>
      </w:r>
    </w:p>
    <w:p>
      <w:pPr>
        <w:pStyle w:val="ListNumber"/>
        <w:spacing w:line="240" w:lineRule="auto"/>
        <w:ind w:left="720"/>
      </w:pPr>
      <w:r>
        <w:rPr>
          <w:lang w:val="en_US" w:bidi="en_US"/>
        </w:rPr>
      </w:r>
      <w:r>
        <w:rPr>
          <w:lang w:val="en_US" w:bidi="en_US"/>
        </w:rPr>
        <w:t>wineskins</w:t>
      </w:r>
    </w:p>
    <w:p>
      <w:pPr/>
      <w:r>
        <w:rPr>
          <w:lang w:val="en_US" w:bidi="en_US"/>
        </w:rPr>
      </w:r>
      <w:r>
        <w:rPr>
          <w:lang w:val="en_US" w:bidi="en_US"/>
        </w:rPr>
        <w:t>Consider carefully how to translate each of these ideas in a meaningful way in your language. The notes for this section will give suggestions.</w:t>
      </w:r>
    </w:p>
    <w:p>
      <w:pPr/>
      <w:r>
        <w:rPr>
          <w:lang w:val="en_US" w:bidi="en_US"/>
        </w:rPr>
      </w:r>
      <w:r>
        <w:rPr>
          <w:lang w:val="en_US" w:bidi="en_US"/>
        </w:rPr>
        <w:t>Some other possible headings for this section are:</w:t>
      </w:r>
    </w:p>
    <w:p>
      <w:pPr/>
      <w:r>
        <w:rPr>
          <w:lang w:val="en_US" w:bidi="en_US"/>
        </w:rPr>
      </w:r>
      <w:r>
        <w:rPr>
          <w:lang w:val="en_US" w:bidi="en_US"/>
        </w:rPr>
        <w:t>Jesus taught that his new way was different from Jewish traditions</w:t>
      </w:r>
    </w:p>
    <w:p>
      <w:pPr/>
      <w:r>
        <w:rPr>
          <w:lang w:val="en_US" w:bidi="en_US"/>
        </w:rPr>
      </w:r>
      <w:r>
        <w:rPr>
          <w:lang w:val="en_US" w:bidi="en_US"/>
        </w:rPr>
        <w:t>Jesus’ new way and the old ways</w:t>
      </w:r>
    </w:p>
    <w:p>
      <w:pPr/>
      <w:r>
        <w:rPr>
          <w:lang w:val="en_US" w:bidi="en_US"/>
        </w:rPr>
      </w:r>
      <w:r>
        <w:rPr>
          <w:lang w:val="en_US" w:bidi="en_US"/>
        </w:rPr>
        <w:t>This story also occurs in Matthew 9:14–17 and Mark 2:18–22.</w:t>
      </w:r>
    </w:p>
    <w:p>
      <w:pPr>
        <w:pStyle w:val="Heading4"/>
      </w:pPr>
      <w:r>
        <w:rPr>
          <w:lang w:val="en_US" w:bidi="en_US"/>
        </w:rPr>
        <w:t>Paragraph 5:33–35</w:t>
      </w:r>
    </w:p>
    <w:p>
      <w:pPr/>
      <w:r>
        <w:rPr>
          <w:lang w:val="en_US" w:bidi="en_US"/>
        </w:rPr>
      </w:r>
      <w:r>
        <w:rPr>
          <w:lang w:val="en_US" w:bidi="en_US"/>
        </w:rPr>
        <w:t>This paragraph tells about how the religious leaders continued to disagree with Jesus. In 5:30, the religious leaders had accused Jesus of associating with the wrong kind of people. In this paragraph, they accused Jesus and his disciples of not keeping the Jewish traditions.</w:t>
      </w:r>
    </w:p>
    <w:p>
      <w:pPr/>
      <w:r>
        <w:rPr>
          <w:lang w:val="en_US" w:bidi="en_US"/>
        </w:rPr>
      </w:r>
      <w:r>
        <w:rPr>
          <w:lang w:val="en_US" w:bidi="en_US"/>
        </w:rPr>
        <w:t>In this paragraph it is important for readers to know what “fasting” meant in the Jewish culture. Fasting meant to not eat food for a certain time for religious reasons. There were many reasons for fasting. For example, people fasted:</w:t>
      </w:r>
    </w:p>
    <w:p>
      <w:pPr>
        <w:pStyle w:val="ListNumber"/>
        <w:numPr>
          <w:ilvl w:val="0"/>
          <w:numId w:val="121"/>
        </w:numPr>
        <w:spacing w:line="240" w:lineRule="auto"/>
        <w:ind w:left="720"/>
      </w:pPr>
      <w:r>
        <w:rPr>
          <w:lang w:val="en_US" w:bidi="en_US"/>
        </w:rPr>
      </w:r>
      <w:r>
        <w:rPr>
          <w:lang w:val="en_US" w:bidi="en_US"/>
        </w:rPr>
        <w:t>to express their grief and sorrow during times of mourning;</w:t>
      </w:r>
    </w:p>
    <w:p>
      <w:pPr>
        <w:pStyle w:val="ListNumber"/>
        <w:spacing w:line="240" w:lineRule="auto"/>
        <w:ind w:left="720"/>
      </w:pPr>
      <w:r>
        <w:rPr>
          <w:lang w:val="en_US" w:bidi="en_US"/>
        </w:rPr>
      </w:r>
      <w:r>
        <w:rPr>
          <w:lang w:val="en_US" w:bidi="en_US"/>
        </w:rPr>
        <w:t>to show that they were sorry for their sins;</w:t>
      </w:r>
    </w:p>
    <w:p>
      <w:pPr>
        <w:pStyle w:val="ListNumber"/>
        <w:spacing w:line="240" w:lineRule="auto"/>
        <w:ind w:left="720"/>
      </w:pPr>
      <w:r>
        <w:rPr>
          <w:lang w:val="en_US" w:bidi="en_US"/>
        </w:rPr>
      </w:r>
      <w:r>
        <w:rPr>
          <w:lang w:val="en_US" w:bidi="en_US"/>
        </w:rPr>
        <w:t>to strengthen their prayers that God would help or guide them.</w:t>
      </w:r>
    </w:p>
    <w:p>
      <w:pPr/>
      <w:r>
        <w:rPr>
          <w:lang w:val="en_US" w:bidi="en_US"/>
        </w:rPr>
      </w:r>
      <w:r>
        <w:rPr>
          <w:lang w:val="en_US" w:bidi="en_US"/>
        </w:rPr>
        <w:t>John the Baptizer’s disciples and the Pharisees’ disciples followed these Jewish customs.</w:t>
      </w:r>
    </w:p>
    <w:p>
      <w:pPr>
        <w:pStyle w:val="Heading5"/>
      </w:pPr>
      <w:r>
        <w:rPr>
          <w:lang w:val="en_US" w:bidi="en_US"/>
        </w:rPr>
        <w:t>5:33a</w:t>
      </w:r>
    </w:p>
    <w:p>
      <w:pPr/>
      <w:r>
        <w:rPr>
          <w:lang w:val="en_US" w:bidi="en_US"/>
        </w:rPr>
      </w:r>
      <w:r>
        <w:rPr>
          <w:b/>
          <w:lang w:val="en_US" w:bidi="en_US"/>
        </w:rPr>
        <w:t>Then they said to Him, “John’s disciples</w:t>
      </w:r>
    </w:p>
    <w:p>
      <w:pPr>
        <w:pStyle w:val="ListBullet"/>
        <w:spacing w:line="240" w:lineRule="auto"/>
        <w:ind w:left="720"/>
      </w:pPr>
      <w:r>
        <w:rPr>
          <w:lang w:val="en_US" w:bidi="en_US"/>
        </w:rPr>
      </w:r>
      <w:r>
        <w:rPr>
          <w:lang w:val="en_US" w:bidi="en_US"/>
        </w:rPr>
        <w:t xml:space="preserve">¶ </w:t>
      </w:r>
      <w:r>
        <w:rPr>
          <w:lang w:val="en_US" w:bidi="en_US"/>
        </w:rPr>
        <w:t>Some people</w:t>
      </w:r>
      <w:r>
        <w:rPr>
          <w:lang w:val="en_US" w:bidi="en_US"/>
        </w:rPr>
        <w:t xml:space="preserve"> said to Jesus, “John </w:t>
      </w:r>
      <w:r>
        <w:rPr>
          <w:lang w:val="en_US" w:bidi="en_US"/>
        </w:rPr>
        <w:t>the Baptizer’s</w:t>
      </w:r>
      <w:r>
        <w:rPr>
          <w:lang w:val="en_US" w:bidi="en_US"/>
        </w:rPr>
        <w:t xml:space="preserve"> disciples</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w:t>
      </w:r>
      <w:r>
        <w:rPr>
          <w:lang w:val="en_US" w:bidi="en_US"/>
        </w:rPr>
        <w:t>some people</w:t>
      </w:r>
      <w:r>
        <w:rPr>
          <w:lang w:val="en_US" w:bidi="en_US"/>
        </w:rPr>
        <w:t xml:space="preserve"> said to Jesus, “The followers of John </w:t>
      </w:r>
      <w:r>
        <w:rPr>
          <w:lang w:val="en_US" w:bidi="en_US"/>
        </w:rPr>
        <w:t>the Baptizer</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w:t>
      </w:r>
      <w:r>
        <w:rPr>
          <w:lang w:val="en_US" w:bidi="en_US"/>
        </w:rPr>
        <w:t>some people</w:t>
      </w:r>
      <w:r>
        <w:rPr>
          <w:lang w:val="en_US" w:bidi="en_US"/>
        </w:rPr>
        <w:t xml:space="preserve"> said to Jesus that John’s disciples</w:t>
      </w:r>
    </w:p>
    <w:p>
      <w:pPr/>
      <w:r>
        <w:rPr>
          <w:lang w:val="en_US" w:bidi="en_US"/>
        </w:rPr>
      </w:r>
      <w:r>
        <w:rPr>
          <w:b/>
          <w:lang w:val="en_US" w:bidi="en_US"/>
        </w:rPr>
        <w:t>Then:</w:t>
      </w:r>
      <w:r>
        <w:rPr>
          <w:lang w:val="en_US" w:bidi="en_US"/>
        </w:rPr>
        <w:t xml:space="preserve"> This verse begins with a Greek conjunction that is often translated as “and.” Some English versions, such as the ESV, translate it that way. Other versions, such as the NIV, do not translate this conjunction. Since this story apparently took place soon after the events of the previous section, still other English versions, including the BSB and the NET, introduce this story with the word “then.” Another way to introduce the story is:</w:t>
      </w:r>
    </w:p>
    <w:p>
      <w:pPr/>
      <w:r>
        <w:rPr>
          <w:lang w:val="en_US" w:bidi="en_US"/>
        </w:rPr>
      </w:r>
      <w:r>
        <w:rPr>
          <w:lang w:val="en_US" w:bidi="en_US"/>
        </w:rPr>
        <w:t>At that time</w:t>
      </w:r>
    </w:p>
    <w:p>
      <w:pPr/>
      <w:r>
        <w:rPr>
          <w:lang w:val="en_US" w:bidi="en_US"/>
        </w:rPr>
      </w:r>
      <w:r>
        <w:rPr>
          <w:lang w:val="en_US" w:bidi="en_US"/>
        </w:rPr>
        <w:t>Connect this story to the previous one in a way that is natural in your language.</w:t>
      </w:r>
    </w:p>
    <w:p>
      <w:pPr/>
      <w:r>
        <w:rPr>
          <w:lang w:val="en_US" w:bidi="en_US"/>
        </w:rPr>
      </w:r>
      <w:r>
        <w:rPr>
          <w:b/>
          <w:lang w:val="en_US" w:bidi="en_US"/>
        </w:rPr>
        <w:t>they said to Him:</w:t>
      </w:r>
      <w:r>
        <w:rPr>
          <w:lang w:val="en_US" w:bidi="en_US"/>
        </w:rPr>
        <w:t xml:space="preserve"> The text does not explicitly say to whom the pronoun </w:t>
      </w:r>
      <w:r>
        <w:rPr>
          <w:i/>
          <w:lang w:val="en_US" w:bidi="en_US"/>
        </w:rPr>
        <w:t>they</w:t>
      </w:r>
      <w:r>
        <w:rPr>
          <w:lang w:val="en_US" w:bidi="en_US"/>
        </w:rPr>
        <w:t xml:space="preserve"> refers. It may refer to the Pharisees and scribes who were mentioned in 5:30. However, if you need to make the subject explicit, it is probably best to use a general subject. For example:</w:t>
      </w:r>
    </w:p>
    <w:p>
      <w:pPr/>
      <w:r>
        <w:rPr>
          <w:lang w:val="en_US" w:bidi="en_US"/>
        </w:rPr>
      </w:r>
      <w:r>
        <w:rPr>
          <w:u w:val="single"/>
          <w:lang w:val="en_US" w:bidi="en_US"/>
        </w:rPr>
        <w:t>Some people</w:t>
      </w:r>
      <w:r>
        <w:rPr>
          <w:lang w:val="en_US" w:bidi="en_US"/>
        </w:rPr>
        <w:t xml:space="preserve"> said to Jesus (GNT)</w:t>
      </w:r>
    </w:p>
    <w:p>
      <w:pPr/>
      <w:r>
        <w:rPr>
          <w:lang w:val="en_US" w:bidi="en_US"/>
        </w:rPr>
      </w:r>
      <w:r>
        <w:rPr>
          <w:b/>
          <w:lang w:val="en_US" w:bidi="en_US"/>
        </w:rPr>
        <w:t>John’s disciples:</w:t>
      </w:r>
      <w:r>
        <w:rPr>
          <w:lang w:val="en_US" w:bidi="en_US"/>
        </w:rPr>
        <w:t xml:space="preserve"> The phrase </w:t>
      </w:r>
      <w:r>
        <w:rPr>
          <w:i/>
          <w:lang w:val="en_US" w:bidi="en_US"/>
        </w:rPr>
        <w:t>John’s disciples</w:t>
      </w:r>
      <w:r>
        <w:rPr>
          <w:lang w:val="en_US" w:bidi="en_US"/>
        </w:rPr>
        <w:t xml:space="preserve"> refers to the people who had followed John the Baptizer. They continued to follow his teaching even after he died.</w:t>
      </w:r>
    </w:p>
    <w:p>
      <w:pPr/>
      <w:r>
        <w:rPr>
          <w:lang w:val="en_US" w:bidi="en_US"/>
        </w:rPr>
      </w:r>
      <w:r>
        <w:rPr>
          <w:lang w:val="en_US" w:bidi="en_US"/>
        </w:rPr>
        <w:t xml:space="preserve">Both John and Jesus had disciples. The word is the same in both cases. See the note on </w:t>
      </w:r>
      <w:r>
        <w:rPr>
          <w:i/>
          <w:lang w:val="en_US" w:bidi="en_US"/>
        </w:rPr>
        <w:t>disciples</w:t>
      </w:r>
      <w:r>
        <w:rPr>
          <w:lang w:val="en_US" w:bidi="en_US"/>
        </w:rPr>
        <w:t xml:space="preserve"> at 5:30a for advice on translating the word disciples.</w:t>
      </w:r>
    </w:p>
    <w:p>
      <w:pPr/>
      <w:r>
        <w:rPr>
          <w:lang w:val="en_US" w:bidi="en_US"/>
        </w:rPr>
      </w:r>
      <w:r>
        <w:rPr>
          <w:b/>
          <w:lang w:val="en_US" w:bidi="en_US"/>
        </w:rPr>
        <w:t>John:</w:t>
      </w:r>
      <w:r>
        <w:rPr>
          <w:lang w:val="en_US" w:bidi="en_US"/>
        </w:rPr>
        <w:t xml:space="preserve"> The name </w:t>
      </w:r>
      <w:r>
        <w:rPr>
          <w:i/>
          <w:lang w:val="en_US" w:bidi="en_US"/>
        </w:rPr>
        <w:t>John</w:t>
      </w:r>
      <w:r>
        <w:rPr>
          <w:lang w:val="en_US" w:bidi="en_US"/>
        </w:rPr>
        <w:t xml:space="preserve"> refers here to John the Baptizer. (He is first mentioned in 3:2b.) Since more than one John is mentioned in Luke, it may be necessary to state explicitly which John this is. For example:</w:t>
      </w:r>
    </w:p>
    <w:p>
      <w:pPr/>
      <w:r>
        <w:rPr>
          <w:lang w:val="en_US" w:bidi="en_US"/>
        </w:rPr>
      </w:r>
      <w:r>
        <w:rPr>
          <w:lang w:val="en_US" w:bidi="en_US"/>
        </w:rPr>
        <w:t xml:space="preserve">John </w:t>
      </w:r>
      <w:r>
        <w:rPr>
          <w:lang w:val="en_US" w:bidi="en_US"/>
        </w:rPr>
        <w:t>the Baptizer</w:t>
      </w:r>
    </w:p>
    <w:p>
      <w:pPr/>
      <w:r>
        <w:rPr>
          <w:lang w:val="en_US" w:bidi="en_US"/>
        </w:rPr>
      </w:r>
      <w:r>
        <w:rPr>
          <w:lang w:val="en_US" w:bidi="en_US"/>
        </w:rPr>
        <w:t xml:space="preserve">John, </w:t>
      </w:r>
      <w:r>
        <w:rPr>
          <w:lang w:val="en_US" w:bidi="en_US"/>
        </w:rPr>
        <w:t>the one who baptized people</w:t>
      </w:r>
    </w:p>
    <w:p>
      <w:pPr>
        <w:pStyle w:val="Heading5"/>
      </w:pPr>
      <w:r>
        <w:rPr>
          <w:lang w:val="en_US" w:bidi="en_US"/>
        </w:rPr>
        <w:t>5:33b</w:t>
      </w:r>
    </w:p>
    <w:p>
      <w:pPr/>
      <w:r>
        <w:rPr>
          <w:lang w:val="en_US" w:bidi="en_US"/>
        </w:rPr>
      </w:r>
      <w:r>
        <w:rPr>
          <w:b/>
          <w:lang w:val="en_US" w:bidi="en_US"/>
        </w:rPr>
        <w:t>and those of the Pharisees frequently fast and pray,</w:t>
      </w:r>
    </w:p>
    <w:p>
      <w:pPr>
        <w:pStyle w:val="ListBullet"/>
        <w:spacing w:line="240" w:lineRule="auto"/>
        <w:ind w:left="720"/>
      </w:pPr>
      <w:r>
        <w:rPr>
          <w:lang w:val="en_US" w:bidi="en_US"/>
        </w:rPr>
      </w:r>
      <w:r>
        <w:rPr>
          <w:lang w:val="en_US" w:bidi="en_US"/>
        </w:rPr>
        <w:t>and the Pharisees’ disciples fast and pray regularly.</w:t>
      </w:r>
    </w:p>
    <w:p>
      <w:pPr>
        <w:pStyle w:val="ListBullet"/>
        <w:spacing w:line="240" w:lineRule="auto"/>
        <w:ind w:left="720"/>
      </w:pPr>
      <w:r>
        <w:rPr>
          <w:lang w:val="en_US" w:bidi="en_US"/>
        </w:rPr>
      </w:r>
      <w:r>
        <w:rPr>
          <w:lang w:val="en_US" w:bidi="en_US"/>
        </w:rPr>
        <w:t xml:space="preserve">and the followers of the Pharisees often do not eat </w:t>
      </w:r>
      <w:r>
        <w:rPr>
          <w:lang w:val="en_US" w:bidi="en_US"/>
        </w:rPr>
        <w:t>for a period of time</w:t>
      </w:r>
      <w:r>
        <w:rPr>
          <w:lang w:val="en_US" w:bidi="en_US"/>
        </w:rPr>
        <w:t xml:space="preserve"> and talk with God </w:t>
      </w:r>
      <w:r>
        <w:rPr>
          <w:lang w:val="en_US" w:bidi="en_US"/>
        </w:rPr>
        <w:t>during that time</w:t>
      </w:r>
      <w:r>
        <w:rPr>
          <w:lang w:val="en_US" w:bidi="en_US"/>
        </w:rPr>
        <w:t>.</w:t>
      </w:r>
    </w:p>
    <w:p>
      <w:pPr>
        <w:pStyle w:val="ListBullet"/>
        <w:spacing w:line="240" w:lineRule="auto"/>
        <w:ind w:left="720"/>
      </w:pPr>
      <w:r>
        <w:rPr>
          <w:lang w:val="en_US" w:bidi="en_US"/>
        </w:rPr>
      </w:r>
      <w:r>
        <w:rPr>
          <w:lang w:val="en_US" w:bidi="en_US"/>
        </w:rPr>
        <w:t>and also the Pharisees’ disciples often fasted and prayed.</w:t>
      </w:r>
    </w:p>
    <w:p>
      <w:pPr/>
      <w:r>
        <w:rPr>
          <w:lang w:val="en_US" w:bidi="en_US"/>
        </w:rPr>
      </w:r>
      <w:r>
        <w:rPr>
          <w:b/>
          <w:lang w:val="en_US" w:bidi="en_US"/>
        </w:rPr>
        <w:t>and those of the Pharisees:</w:t>
      </w:r>
      <w:r>
        <w:rPr>
          <w:lang w:val="en_US" w:bidi="en_US"/>
        </w:rPr>
        <w:t xml:space="preserve"> The phrase </w:t>
      </w:r>
      <w:r>
        <w:rPr>
          <w:i/>
          <w:lang w:val="en_US" w:bidi="en_US"/>
        </w:rPr>
        <w:t>and those of the Pharisees</w:t>
      </w:r>
      <w:r>
        <w:rPr>
          <w:lang w:val="en_US" w:bidi="en_US"/>
        </w:rPr>
        <w:t xml:space="preserve"> means “the people who follow what the Pharisees teach.”</w:t>
      </w:r>
    </w:p>
    <w:p>
      <w:pPr/>
      <w:r>
        <w:rPr>
          <w:lang w:val="en_US" w:bidi="en_US"/>
        </w:rPr>
      </w:r>
      <w:r>
        <w:rPr>
          <w:lang w:val="en_US" w:bidi="en_US"/>
        </w:rPr>
        <w:t xml:space="preserve">There are at least two options for translating the term </w:t>
      </w:r>
      <w:r>
        <w:rPr>
          <w:i/>
          <w:lang w:val="en_US" w:bidi="en_US"/>
        </w:rPr>
        <w:t>those</w:t>
      </w:r>
      <w:r>
        <w:rPr>
          <w:lang w:val="en_US" w:bidi="en_US"/>
        </w:rPr>
        <w:t xml:space="preserve"> in this context:</w:t>
      </w:r>
    </w:p>
    <w:p>
      <w:pPr>
        <w:pStyle w:val="ListBullet"/>
        <w:spacing w:line="240" w:lineRule="auto"/>
        <w:ind w:left="720"/>
      </w:pPr>
      <w:r>
        <w:rPr>
          <w:lang w:val="en_US" w:bidi="en_US"/>
        </w:rPr>
      </w:r>
      <w:r>
        <w:rPr>
          <w:lang w:val="en_US" w:bidi="en_US"/>
        </w:rPr>
        <w:t>Use the same term for “disciples” as you used for the disciples of Jesus and of John. (See the note on “disciples” at 5:30a.) This is probably best unless your term for “disciple” would not be possible to use with a group like the Pharisees.</w:t>
      </w:r>
    </w:p>
    <w:p>
      <w:pPr>
        <w:pStyle w:val="ListBullet"/>
        <w:spacing w:line="240" w:lineRule="auto"/>
        <w:ind w:left="720"/>
      </w:pPr>
      <w:r>
        <w:rPr>
          <w:lang w:val="en_US" w:bidi="en_US"/>
        </w:rPr>
      </w:r>
      <w:r>
        <w:rPr>
          <w:lang w:val="en_US" w:bidi="en_US"/>
        </w:rPr>
        <w:t>Use a different expression or term for “disciples” of the Pharisees than you used for disciples of Jesus. For example:</w:t>
      </w:r>
      <w:r>
        <w:rPr>
          <w:lang w:val="en_US" w:bidi="en_US"/>
        </w:rPr>
        <w:t>people who obeyed the Pharisee-group teachings</w:t>
      </w:r>
    </w:p>
    <w:p>
      <w:pPr/>
      <w:r>
        <w:rPr>
          <w:lang w:val="en_US" w:bidi="en_US"/>
        </w:rPr>
      </w:r>
      <w:r>
        <w:rPr>
          <w:b/>
          <w:lang w:val="en_US" w:bidi="en_US"/>
        </w:rPr>
        <w:t>the Pharisees:</w:t>
      </w:r>
      <w:r>
        <w:rPr>
          <w:lang w:val="en_US" w:bidi="en_US"/>
        </w:rPr>
        <w:t xml:space="preserve"> See the note on </w:t>
      </w:r>
      <w:r>
        <w:rPr>
          <w:i/>
          <w:lang w:val="en_US" w:bidi="en_US"/>
        </w:rPr>
        <w:t>Pharisees</w:t>
      </w:r>
      <w:r>
        <w:rPr>
          <w:lang w:val="en_US" w:bidi="en_US"/>
        </w:rPr>
        <w:t xml:space="preserve"> at 5:17b for advice on translating this term.</w:t>
      </w:r>
    </w:p>
    <w:p>
      <w:pPr/>
      <w:r>
        <w:rPr>
          <w:lang w:val="en_US" w:bidi="en_US"/>
        </w:rPr>
      </w:r>
      <w:r>
        <w:rPr>
          <w:b/>
          <w:lang w:val="en_US" w:bidi="en_US"/>
        </w:rPr>
        <w:t>frequently fast and pray:</w:t>
      </w:r>
      <w:r>
        <w:rPr>
          <w:lang w:val="en_US" w:bidi="en_US"/>
        </w:rPr>
        <w:t xml:space="preserve"> The phrase </w:t>
      </w:r>
      <w:r>
        <w:rPr>
          <w:i/>
          <w:lang w:val="en_US" w:bidi="en_US"/>
        </w:rPr>
        <w:t>frequently fast and pray</w:t>
      </w:r>
      <w:r>
        <w:rPr>
          <w:lang w:val="en_US" w:bidi="en_US"/>
        </w:rPr>
        <w:t xml:space="preserve"> refers to praying while fasting. It also refers to doing this regularly. The Jewish people often fasted at times when they were very serious about praying to God. Some ways to make this clear could be:</w:t>
      </w:r>
    </w:p>
    <w:p>
      <w:pPr/>
      <w:r>
        <w:rPr>
          <w:lang w:val="en_US" w:bidi="en_US"/>
        </w:rPr>
      </w:r>
      <w:r>
        <w:rPr>
          <w:lang w:val="en_US" w:bidi="en_US"/>
        </w:rPr>
        <w:t xml:space="preserve">fast and pray </w:t>
      </w:r>
      <w:r>
        <w:rPr>
          <w:lang w:val="en_US" w:bidi="en_US"/>
        </w:rPr>
        <w:t>during that time</w:t>
      </w:r>
    </w:p>
    <w:p>
      <w:pPr/>
      <w:r>
        <w:rPr>
          <w:lang w:val="en_US" w:bidi="en_US"/>
        </w:rPr>
      </w:r>
      <w:r>
        <w:rPr>
          <w:lang w:val="en_US" w:bidi="en_US"/>
        </w:rPr>
        <w:t>fast and say prayers (GW)</w:t>
      </w:r>
    </w:p>
    <w:p>
      <w:pPr/>
      <w:r>
        <w:rPr>
          <w:lang w:val="en_US" w:bidi="en_US"/>
        </w:rPr>
      </w:r>
      <w:r>
        <w:rPr>
          <w:b/>
          <w:lang w:val="en_US" w:bidi="en_US"/>
        </w:rPr>
        <w:t>fast:</w:t>
      </w:r>
      <w:r>
        <w:rPr>
          <w:lang w:val="en_US" w:bidi="en_US"/>
        </w:rPr>
        <w:t xml:space="preserve"> The Greek word that the BSB translates as </w:t>
      </w:r>
      <w:r>
        <w:rPr>
          <w:i/>
          <w:lang w:val="en_US" w:bidi="en_US"/>
        </w:rPr>
        <w:t>fast</w:t>
      </w:r>
      <w:r>
        <w:rPr>
          <w:lang w:val="en_US" w:bidi="en_US"/>
        </w:rPr>
        <w:t xml:space="preserve"> means “deliberately abstain from eating for some time.” If fasting for religious reasons is not a familiar idea in your language, you can translate this word with a descriptive phrase. For example:</w:t>
      </w:r>
    </w:p>
    <w:p>
      <w:pPr/>
      <w:r>
        <w:rPr>
          <w:lang w:val="en_US" w:bidi="en_US"/>
        </w:rPr>
      </w:r>
      <w:r>
        <w:rPr>
          <w:lang w:val="en_US" w:bidi="en_US"/>
        </w:rPr>
        <w:t>often give up eating for a certain time (NCV)</w:t>
      </w:r>
    </w:p>
    <w:p>
      <w:pPr/>
      <w:r>
        <w:rPr>
          <w:lang w:val="en_US" w:bidi="en_US"/>
        </w:rPr>
      </w:r>
      <w:r>
        <w:rPr>
          <w:lang w:val="en_US" w:bidi="en_US"/>
        </w:rPr>
        <w:t xml:space="preserve">going without food </w:t>
      </w:r>
      <w:r>
        <w:rPr>
          <w:lang w:val="en_US" w:bidi="en_US"/>
        </w:rPr>
        <w:t>to pray/meditate</w:t>
      </w:r>
    </w:p>
    <w:p>
      <w:pPr/>
      <w:r>
        <w:rPr>
          <w:lang w:val="en_US" w:bidi="en_US"/>
        </w:rPr>
      </w:r>
      <w:r>
        <w:rPr>
          <w:lang w:val="en_US" w:bidi="en_US"/>
        </w:rPr>
        <w:t xml:space="preserve">not eating food for a certain length of time </w:t>
      </w:r>
      <w:r>
        <w:rPr>
          <w:lang w:val="en_US" w:bidi="en_US"/>
        </w:rPr>
        <w:t>to pray</w:t>
      </w:r>
    </w:p>
    <w:p>
      <w:pPr/>
      <w:r>
        <w:rPr>
          <w:lang w:val="en_US" w:bidi="en_US"/>
        </w:rPr>
      </w:r>
      <w:r>
        <w:rPr>
          <w:lang w:val="en_US" w:bidi="en_US"/>
        </w:rPr>
        <w:t>It is also possible to put some information about fasting in a footnote.</w:t>
      </w:r>
    </w:p>
    <w:p>
      <w:pPr>
        <w:pStyle w:val="Heading5"/>
      </w:pPr>
      <w:r>
        <w:rPr>
          <w:lang w:val="en_US" w:bidi="en_US"/>
        </w:rPr>
        <w:t>5:33c</w:t>
      </w:r>
    </w:p>
    <w:p>
      <w:pPr/>
      <w:r>
        <w:rPr>
          <w:lang w:val="en_US" w:bidi="en_US"/>
        </w:rPr>
      </w:r>
      <w:r>
        <w:rPr>
          <w:b/>
          <w:lang w:val="en_US" w:bidi="en_US"/>
        </w:rPr>
        <w:t>but Yours keep on eating and drinking.”</w:t>
      </w:r>
    </w:p>
    <w:p>
      <w:pPr>
        <w:pStyle w:val="ListBullet"/>
        <w:spacing w:line="240" w:lineRule="auto"/>
        <w:ind w:left="720"/>
      </w:pPr>
      <w:r>
        <w:rPr>
          <w:lang w:val="en_US" w:bidi="en_US"/>
        </w:rPr>
      </w:r>
      <w:r>
        <w:rPr>
          <w:lang w:val="en_US" w:bidi="en_US"/>
        </w:rPr>
        <w:t xml:space="preserve">But your disciples always eat and drink </w:t>
      </w:r>
      <w:r>
        <w:rPr>
          <w:lang w:val="en_US" w:bidi="en_US"/>
        </w:rPr>
        <w:t>as usual</w:t>
      </w:r>
      <w:r>
        <w:rPr>
          <w:lang w:val="en_US" w:bidi="en_US"/>
        </w:rPr>
        <w:t>.”</w:t>
      </w:r>
    </w:p>
    <w:p>
      <w:pPr>
        <w:pStyle w:val="ListBullet"/>
        <w:spacing w:line="240" w:lineRule="auto"/>
        <w:ind w:left="720"/>
      </w:pPr>
      <w:r>
        <w:rPr>
          <w:lang w:val="en_US" w:bidi="en_US"/>
        </w:rPr>
      </w:r>
      <w:r>
        <w:rPr>
          <w:lang w:val="en_US" w:bidi="en_US"/>
        </w:rPr>
        <w:t xml:space="preserve">So why do your followers continue to eat and drink </w:t>
      </w:r>
      <w:r>
        <w:rPr>
          <w:lang w:val="en_US" w:bidi="en_US"/>
        </w:rPr>
        <w:t>and never fast</w:t>
      </w:r>
      <w:r>
        <w:rPr>
          <w:lang w:val="en_US" w:bidi="en_US"/>
        </w:rPr>
        <w:t>?”</w:t>
      </w:r>
    </w:p>
    <w:p>
      <w:pPr>
        <w:pStyle w:val="ListBullet"/>
        <w:spacing w:line="240" w:lineRule="auto"/>
        <w:ind w:left="720"/>
      </w:pPr>
      <w:r>
        <w:rPr>
          <w:lang w:val="en_US" w:bidi="en_US"/>
        </w:rPr>
      </w:r>
      <w:r>
        <w:rPr>
          <w:lang w:val="en_US" w:bidi="en_US"/>
        </w:rPr>
        <w:t>Then the people asked him why his disciples ate and drank all the time.</w:t>
      </w:r>
    </w:p>
    <w:p>
      <w:pPr/>
      <w:r>
        <w:rPr>
          <w:lang w:val="en_US" w:bidi="en_US"/>
        </w:rPr>
      </w:r>
      <w:r>
        <w:rPr>
          <w:b/>
          <w:lang w:val="en_US" w:bidi="en_US"/>
        </w:rPr>
        <w:t>but Yours keep on eating and drinking:</w:t>
      </w:r>
      <w:r>
        <w:rPr>
          <w:lang w:val="en_US" w:bidi="en_US"/>
        </w:rPr>
        <w:t xml:space="preserve"> The phrase </w:t>
      </w:r>
      <w:r>
        <w:rPr>
          <w:i/>
          <w:lang w:val="en_US" w:bidi="en_US"/>
        </w:rPr>
        <w:t>Yours keep on eating and drinking</w:t>
      </w:r>
      <w:r>
        <w:rPr>
          <w:lang w:val="en_US" w:bidi="en_US"/>
        </w:rPr>
        <w:t xml:space="preserve"> is an ellipsis. In this context it means “your disciples go on eating and drinking and do not fast.” (See Mark 2:18.)</w:t>
      </w:r>
    </w:p>
    <w:p>
      <w:pPr/>
      <w:r>
        <w:rPr>
          <w:lang w:val="en_US" w:bidi="en_US"/>
        </w:rPr>
      </w:r>
      <w:r>
        <w:rPr>
          <w:b/>
          <w:lang w:val="en_US" w:bidi="en_US"/>
        </w:rPr>
        <w:t>keep on eating and drinking:</w:t>
      </w:r>
      <w:r>
        <w:rPr>
          <w:lang w:val="en_US" w:bidi="en_US"/>
        </w:rPr>
        <w:t xml:space="preserve"> The phrase </w:t>
      </w:r>
      <w:r>
        <w:rPr>
          <w:i/>
          <w:lang w:val="en_US" w:bidi="en_US"/>
        </w:rPr>
        <w:t>keep on eating and drinking</w:t>
      </w:r>
      <w:r>
        <w:rPr>
          <w:lang w:val="en_US" w:bidi="en_US"/>
        </w:rPr>
        <w:t xml:space="preserve"> indicates that Jesus’ disciples regularly ate and drank. They did not skip a meal to fast. Some other ways to translate this are:</w:t>
      </w:r>
    </w:p>
    <w:p>
      <w:pPr/>
      <w:r>
        <w:rPr>
          <w:lang w:val="en_US" w:bidi="en_US"/>
        </w:rPr>
      </w:r>
      <w:r>
        <w:rPr>
          <w:lang w:val="en_US" w:bidi="en_US"/>
        </w:rPr>
        <w:t>eat and drink all the time (NCV)</w:t>
      </w:r>
    </w:p>
    <w:p>
      <w:pPr/>
      <w:r>
        <w:rPr>
          <w:lang w:val="en_US" w:bidi="en_US"/>
        </w:rPr>
      </w:r>
      <w:r>
        <w:rPr>
          <w:lang w:val="en_US" w:bidi="en_US"/>
        </w:rPr>
        <w:t>continue to eat and drink (NET)</w:t>
      </w:r>
    </w:p>
    <w:p>
      <w:pPr/>
      <w:r>
        <w:rPr>
          <w:lang w:val="en_US" w:bidi="en_US"/>
        </w:rPr>
      </w:r>
      <w:r>
        <w:rPr>
          <w:lang w:val="en_US" w:bidi="en_US"/>
        </w:rPr>
        <w:t>never go without eating or drinking (CEV)</w:t>
      </w:r>
    </w:p>
    <w:p>
      <w:pPr>
        <w:pStyle w:val="Heading6"/>
      </w:pPr>
      <w:r>
        <w:rPr>
          <w:b/>
          <w:lang w:val="en_US" w:bidi="en_US"/>
        </w:rPr>
        <w:t>General Comment on 5:33c</w:t>
      </w:r>
    </w:p>
    <w:p>
      <w:pPr/>
      <w:r>
        <w:rPr>
          <w:lang w:val="en_US" w:bidi="en_US"/>
        </w:rPr>
      </w:r>
      <w:r>
        <w:rPr>
          <w:lang w:val="en_US" w:bidi="en_US"/>
        </w:rPr>
        <w:t>What the people said to Jesus in 5:33 implied a criticism of Jesus’ disciples. These people were indirectly accusing Jesus’ disciples of not showing serious devotion to God because they did not fast. In some languages, this criticism may be more natural if asked as a rhetorical question. For example:</w:t>
      </w:r>
    </w:p>
    <w:p>
      <w:pPr/>
      <w:r>
        <w:rPr>
          <w:lang w:val="en_US" w:bidi="en_US"/>
        </w:rPr>
      </w:r>
      <w:r>
        <w:rPr>
          <w:lang w:val="en_US" w:bidi="en_US"/>
        </w:rPr>
        <w:t>Why are your disciples always eating and drinking? (NLT)</w:t>
      </w:r>
    </w:p>
    <w:p>
      <w:pPr/>
      <w:r>
        <w:rPr>
          <w:lang w:val="en_US" w:bidi="en_US"/>
        </w:rPr>
      </w:r>
      <w:r>
        <w:rPr>
          <w:lang w:val="en_US" w:bidi="en_US"/>
        </w:rPr>
        <w:t>(In the same story in Matthew 9:14 and Mark 2:18c–d, this criticism is in the form of a question.)</w:t>
      </w:r>
    </w:p>
    <w:p>
      <w:pPr>
        <w:pStyle w:val="Heading6"/>
      </w:pPr>
      <w:r>
        <w:rPr>
          <w:b/>
          <w:lang w:val="en_US" w:bidi="en_US"/>
        </w:rPr>
        <w:t>General Comment on 5:33a–c</w:t>
      </w:r>
    </w:p>
    <w:p>
      <w:pPr/>
      <w:r>
        <w:rPr>
          <w:lang w:val="en_US" w:bidi="en_US"/>
        </w:rPr>
      </w:r>
      <w:r>
        <w:rPr>
          <w:lang w:val="en_US" w:bidi="en_US"/>
        </w:rPr>
        <w:t>In some languages, it may be more natural to change the order of the parts of this verse. For example:</w:t>
      </w:r>
    </w:p>
    <w:p>
      <w:pPr/>
      <w:r>
        <w:rPr>
          <w:lang w:val="en_US" w:bidi="en_US"/>
        </w:rPr>
      </w:r>
      <w:r>
        <w:rPr>
          <w:vertAlign w:val="superscript"/>
          <w:lang w:val="en_US" w:bidi="en_US"/>
        </w:rPr>
        <w:t>33c</w:t>
      </w:r>
      <w:r>
        <w:rPr>
          <w:lang w:val="en_US" w:bidi="en_US"/>
        </w:rPr>
        <w:t xml:space="preserve">Why are your disciples always eating and drinking </w:t>
      </w:r>
      <w:r>
        <w:rPr>
          <w:vertAlign w:val="superscript"/>
          <w:lang w:val="en_US" w:bidi="en_US"/>
        </w:rPr>
        <w:t>33a</w:t>
      </w:r>
      <w:r>
        <w:rPr>
          <w:lang w:val="en_US" w:bidi="en_US"/>
        </w:rPr>
        <w:t xml:space="preserve">when John’s disciples </w:t>
      </w:r>
      <w:r>
        <w:rPr>
          <w:vertAlign w:val="superscript"/>
          <w:lang w:val="en_US" w:bidi="en_US"/>
        </w:rPr>
        <w:t>33b</w:t>
      </w:r>
      <w:r>
        <w:rPr>
          <w:lang w:val="en_US" w:bidi="en_US"/>
        </w:rPr>
        <w:t xml:space="preserve">and the Pharisees’ disciples </w:t>
      </w:r>
      <w:r>
        <w:rPr>
          <w:vertAlign w:val="superscript"/>
          <w:lang w:val="en_US" w:bidi="en_US"/>
        </w:rPr>
        <w:t>33a</w:t>
      </w:r>
      <w:r>
        <w:rPr>
          <w:lang w:val="en_US" w:bidi="en_US"/>
        </w:rPr>
        <w:t>often fast and pray?</w:t>
      </w:r>
      <w:r>
        <w:rPr>
          <w:lang w:val="en_US" w:bidi="en_US"/>
        </w:rPr>
      </w:r>
      <w:r>
        <w:rPr>
          <w:lang w:val="en_US" w:bidi="en_US"/>
        </w:rPr>
      </w:r>
    </w:p>
    <w:p>
      <w:pPr/>
      <w:r>
        <w:rPr>
          <w:lang w:val="en_US" w:bidi="en_US"/>
        </w:rPr>
      </w:r>
    </w:p>
    <w:p>
      <w:pPr>
        <w:pStyle w:val="Heading2"/>
      </w:pPr>
      <w:r>
        <w:rPr>
          <w:lang w:val="en_US" w:bidi="en_US"/>
        </w:rPr>
        <w:t>Luke 5:34</w:t>
      </w:r>
      <w:r>
        <w:rPr>
          <w:lang w:val="en_US" w:bidi="en_US"/>
        </w:rPr>
      </w:r>
    </w:p>
    <w:p>
      <w:pPr>
        <w:pStyle w:val="Heading4"/>
      </w:pPr>
      <w:r>
        <w:rPr>
          <w:lang w:val="en_US" w:bidi="en_US"/>
        </w:rPr>
        <w:t>Section 5:33–39: Jesus explained why his disciples did not fast</w:t>
      </w:r>
    </w:p>
    <w:p>
      <w:pPr/>
      <w:r>
        <w:rPr>
          <w:lang w:val="en_US" w:bidi="en_US"/>
        </w:rPr>
      </w:r>
      <w:r>
        <w:rPr>
          <w:lang w:val="en_US" w:bidi="en_US"/>
        </w:rPr>
        <w:t>In this section, some people made a comment to Jesus about fasting. Their comment implied that they were criticizing the disciples. It also implied the question, “Why do your disciples act differently from the disciples of John and the disciples of the Pharisees?” Jesus explained the difference in their actions. In his explanation, he compared himself to a bridegroom, and he compared his disciples to wedding guests. The disciples could not fast while he was with them, just as wedding guests do not fast while the bridegroom is with them.</w:t>
      </w:r>
    </w:p>
    <w:p>
      <w:pPr/>
      <w:r>
        <w:rPr>
          <w:lang w:val="en_US" w:bidi="en_US"/>
        </w:rPr>
      </w:r>
      <w:r>
        <w:rPr>
          <w:lang w:val="en_US" w:bidi="en_US"/>
        </w:rPr>
        <w:t>After he had explained this different attitude towards fasting, he told them that he was teaching a new way to live for God. His new way would not fit into the old traditions. To illustrate this, Jesus used three comparisons:</w:t>
      </w:r>
    </w:p>
    <w:p>
      <w:pPr>
        <w:pStyle w:val="ListNumber"/>
        <w:numPr>
          <w:ilvl w:val="0"/>
          <w:numId w:val="122"/>
        </w:numPr>
        <w:spacing w:line="240" w:lineRule="auto"/>
        <w:ind w:left="720"/>
      </w:pPr>
      <w:r>
        <w:rPr>
          <w:lang w:val="en_US" w:bidi="en_US"/>
        </w:rPr>
      </w:r>
      <w:r>
        <w:rPr>
          <w:lang w:val="en_US" w:bidi="en_US"/>
        </w:rPr>
        <w:t>He compared the old traditional ways to an old garment. He compared his new way to cloth taken from a new garment. No one would sew the new cloth onto an old garment.</w:t>
      </w:r>
    </w:p>
    <w:p>
      <w:pPr>
        <w:pStyle w:val="ListNumber"/>
        <w:spacing w:line="240" w:lineRule="auto"/>
        <w:ind w:left="720"/>
      </w:pPr>
      <w:r>
        <w:rPr>
          <w:lang w:val="en_US" w:bidi="en_US"/>
        </w:rPr>
      </w:r>
      <w:r>
        <w:rPr>
          <w:lang w:val="en_US" w:bidi="en_US"/>
        </w:rPr>
        <w:t>He compared the old traditional ways to old wineskins. He compared his new way to new wine. When new wine is put into old wineskins, both are ruined.</w:t>
      </w:r>
    </w:p>
    <w:p>
      <w:pPr>
        <w:pStyle w:val="ListNumber"/>
        <w:spacing w:line="240" w:lineRule="auto"/>
        <w:ind w:left="720"/>
      </w:pPr>
      <w:r>
        <w:rPr>
          <w:lang w:val="en_US" w:bidi="en_US"/>
        </w:rPr>
      </w:r>
      <w:r>
        <w:rPr>
          <w:lang w:val="en_US" w:bidi="en_US"/>
        </w:rPr>
        <w:t>Jesus concluded with a saying that rebuked those who wanted to keep to the old traditions. Jesus said that people who had drunk old wine did not want to drink new wine. He was really talking about people who were content with the old ways and teaching of the Jewish religion. He said that they were unwilling to consider the new ways and teaching that he had brought.</w:t>
      </w:r>
    </w:p>
    <w:p>
      <w:pPr/>
      <w:r>
        <w:rPr>
          <w:lang w:val="en_US" w:bidi="en_US"/>
        </w:rPr>
      </w:r>
      <w:r>
        <w:rPr>
          <w:lang w:val="en_US" w:bidi="en_US"/>
        </w:rPr>
        <w:t>This section can be difficult for people to understand because Jesus used comparisons to illustrate what he was teaching. He did not make what he was teaching explicit. If you need to make the meaning clearer, you should explain it in a footnote.</w:t>
      </w:r>
    </w:p>
    <w:p>
      <w:pPr/>
      <w:r>
        <w:rPr>
          <w:lang w:val="en_US" w:bidi="en_US"/>
        </w:rPr>
      </w:r>
      <w:r>
        <w:rPr>
          <w:lang w:val="en_US" w:bidi="en_US"/>
        </w:rPr>
        <w:t>In this section, there are some ideas that may not be familiar in certain cultures. For example:</w:t>
      </w:r>
    </w:p>
    <w:p>
      <w:pPr>
        <w:pStyle w:val="ListNumber"/>
        <w:numPr>
          <w:ilvl w:val="0"/>
          <w:numId w:val="123"/>
        </w:numPr>
        <w:spacing w:line="240" w:lineRule="auto"/>
        <w:ind w:left="720"/>
      </w:pPr>
      <w:r>
        <w:rPr>
          <w:lang w:val="en_US" w:bidi="en_US"/>
        </w:rPr>
      </w:r>
      <w:r>
        <w:rPr>
          <w:lang w:val="en_US" w:bidi="en_US"/>
        </w:rPr>
        <w:t>fasting</w:t>
      </w:r>
    </w:p>
    <w:p>
      <w:pPr>
        <w:pStyle w:val="ListNumber"/>
        <w:spacing w:line="240" w:lineRule="auto"/>
        <w:ind w:left="720"/>
      </w:pPr>
      <w:r>
        <w:rPr>
          <w:lang w:val="en_US" w:bidi="en_US"/>
        </w:rPr>
      </w:r>
      <w:r>
        <w:rPr>
          <w:lang w:val="en_US" w:bidi="en_US"/>
        </w:rPr>
        <w:t>Jewish wedding customs about bridegrooms</w:t>
      </w:r>
    </w:p>
    <w:p>
      <w:pPr>
        <w:pStyle w:val="ListNumber"/>
        <w:spacing w:line="240" w:lineRule="auto"/>
        <w:ind w:left="720"/>
      </w:pPr>
      <w:r>
        <w:rPr>
          <w:lang w:val="en_US" w:bidi="en_US"/>
        </w:rPr>
      </w:r>
      <w:r>
        <w:rPr>
          <w:lang w:val="en_US" w:bidi="en_US"/>
        </w:rPr>
        <w:t>sewing patches onto cloth</w:t>
      </w:r>
    </w:p>
    <w:p>
      <w:pPr>
        <w:pStyle w:val="ListNumber"/>
        <w:spacing w:line="240" w:lineRule="auto"/>
        <w:ind w:left="720"/>
      </w:pPr>
      <w:r>
        <w:rPr>
          <w:lang w:val="en_US" w:bidi="en_US"/>
        </w:rPr>
      </w:r>
      <w:r>
        <w:rPr>
          <w:lang w:val="en_US" w:bidi="en_US"/>
        </w:rPr>
        <w:t>new wine and old wine</w:t>
      </w:r>
    </w:p>
    <w:p>
      <w:pPr>
        <w:pStyle w:val="ListNumber"/>
        <w:spacing w:line="240" w:lineRule="auto"/>
        <w:ind w:left="720"/>
      </w:pPr>
      <w:r>
        <w:rPr>
          <w:lang w:val="en_US" w:bidi="en_US"/>
        </w:rPr>
      </w:r>
      <w:r>
        <w:rPr>
          <w:lang w:val="en_US" w:bidi="en_US"/>
        </w:rPr>
        <w:t>wineskins</w:t>
      </w:r>
    </w:p>
    <w:p>
      <w:pPr/>
      <w:r>
        <w:rPr>
          <w:lang w:val="en_US" w:bidi="en_US"/>
        </w:rPr>
      </w:r>
      <w:r>
        <w:rPr>
          <w:lang w:val="en_US" w:bidi="en_US"/>
        </w:rPr>
        <w:t>Consider carefully how to translate each of these ideas in a meaningful way in your language. The notes for this section will give suggestions.</w:t>
      </w:r>
    </w:p>
    <w:p>
      <w:pPr/>
      <w:r>
        <w:rPr>
          <w:lang w:val="en_US" w:bidi="en_US"/>
        </w:rPr>
      </w:r>
      <w:r>
        <w:rPr>
          <w:lang w:val="en_US" w:bidi="en_US"/>
        </w:rPr>
        <w:t>Some other possible headings for this section are:</w:t>
      </w:r>
    </w:p>
    <w:p>
      <w:pPr/>
      <w:r>
        <w:rPr>
          <w:lang w:val="en_US" w:bidi="en_US"/>
        </w:rPr>
      </w:r>
      <w:r>
        <w:rPr>
          <w:lang w:val="en_US" w:bidi="en_US"/>
        </w:rPr>
        <w:t>Jesus taught that his new way was different from Jewish traditions</w:t>
      </w:r>
    </w:p>
    <w:p>
      <w:pPr/>
      <w:r>
        <w:rPr>
          <w:lang w:val="en_US" w:bidi="en_US"/>
        </w:rPr>
      </w:r>
      <w:r>
        <w:rPr>
          <w:lang w:val="en_US" w:bidi="en_US"/>
        </w:rPr>
        <w:t>Jesus’ new way and the old ways</w:t>
      </w:r>
    </w:p>
    <w:p>
      <w:pPr/>
      <w:r>
        <w:rPr>
          <w:lang w:val="en_US" w:bidi="en_US"/>
        </w:rPr>
      </w:r>
      <w:r>
        <w:rPr>
          <w:lang w:val="en_US" w:bidi="en_US"/>
        </w:rPr>
        <w:t>This story also occurs in Matthew 9:14–17 and Mark 2:18–22.</w:t>
      </w:r>
    </w:p>
    <w:p>
      <w:pPr>
        <w:pStyle w:val="Heading4"/>
      </w:pPr>
      <w:r>
        <w:rPr>
          <w:lang w:val="en_US" w:bidi="en_US"/>
        </w:rPr>
        <w:t>Paragraph 5:33–35</w:t>
      </w:r>
    </w:p>
    <w:p>
      <w:pPr/>
      <w:r>
        <w:rPr>
          <w:lang w:val="en_US" w:bidi="en_US"/>
        </w:rPr>
      </w:r>
      <w:r>
        <w:rPr>
          <w:lang w:val="en_US" w:bidi="en_US"/>
        </w:rPr>
        <w:t>This paragraph tells about how the religious leaders continued to disagree with Jesus. In 5:30, the religious leaders had accused Jesus of associating with the wrong kind of people. In this paragraph, they accused Jesus and his disciples of not keeping the Jewish traditions.</w:t>
      </w:r>
    </w:p>
    <w:p>
      <w:pPr/>
      <w:r>
        <w:rPr>
          <w:lang w:val="en_US" w:bidi="en_US"/>
        </w:rPr>
      </w:r>
      <w:r>
        <w:rPr>
          <w:lang w:val="en_US" w:bidi="en_US"/>
        </w:rPr>
        <w:t>In this paragraph it is important for readers to know what “fasting” meant in the Jewish culture. Fasting meant to not eat food for a certain time for religious reasons. There were many reasons for fasting. For example, people fasted:</w:t>
      </w:r>
    </w:p>
    <w:p>
      <w:pPr>
        <w:pStyle w:val="ListNumber"/>
        <w:numPr>
          <w:ilvl w:val="0"/>
          <w:numId w:val="124"/>
        </w:numPr>
        <w:spacing w:line="240" w:lineRule="auto"/>
        <w:ind w:left="720"/>
      </w:pPr>
      <w:r>
        <w:rPr>
          <w:lang w:val="en_US" w:bidi="en_US"/>
        </w:rPr>
      </w:r>
      <w:r>
        <w:rPr>
          <w:lang w:val="en_US" w:bidi="en_US"/>
        </w:rPr>
        <w:t>to express their grief and sorrow during times of mourning;</w:t>
      </w:r>
    </w:p>
    <w:p>
      <w:pPr>
        <w:pStyle w:val="ListNumber"/>
        <w:spacing w:line="240" w:lineRule="auto"/>
        <w:ind w:left="720"/>
      </w:pPr>
      <w:r>
        <w:rPr>
          <w:lang w:val="en_US" w:bidi="en_US"/>
        </w:rPr>
      </w:r>
      <w:r>
        <w:rPr>
          <w:lang w:val="en_US" w:bidi="en_US"/>
        </w:rPr>
        <w:t>to show that they were sorry for their sins;</w:t>
      </w:r>
    </w:p>
    <w:p>
      <w:pPr>
        <w:pStyle w:val="ListNumber"/>
        <w:spacing w:line="240" w:lineRule="auto"/>
        <w:ind w:left="720"/>
      </w:pPr>
      <w:r>
        <w:rPr>
          <w:lang w:val="en_US" w:bidi="en_US"/>
        </w:rPr>
      </w:r>
      <w:r>
        <w:rPr>
          <w:lang w:val="en_US" w:bidi="en_US"/>
        </w:rPr>
        <w:t>to strengthen their prayers that God would help or guide them.</w:t>
      </w:r>
    </w:p>
    <w:p>
      <w:pPr/>
      <w:r>
        <w:rPr>
          <w:lang w:val="en_US" w:bidi="en_US"/>
        </w:rPr>
      </w:r>
      <w:r>
        <w:rPr>
          <w:lang w:val="en_US" w:bidi="en_US"/>
        </w:rPr>
        <w:t>John the Baptizer’s disciples and the Pharisees’ disciples followed these Jewish customs.</w:t>
      </w:r>
    </w:p>
    <w:p>
      <w:pPr>
        <w:pStyle w:val="Heading5"/>
      </w:pPr>
      <w:r>
        <w:rPr>
          <w:lang w:val="en_US" w:bidi="en_US"/>
        </w:rPr>
        <w:t>5:34</w:t>
      </w:r>
    </w:p>
    <w:p>
      <w:pPr/>
      <w:r>
        <w:rPr>
          <w:lang w:val="en_US" w:bidi="en_US"/>
        </w:rPr>
      </w:r>
      <w:r>
        <w:rPr>
          <w:b/>
          <w:lang w:val="en_US" w:bidi="en_US"/>
        </w:rPr>
        <w:t>Jesus replied, “Can you make the guests of the bridegroom fast while He is with them?</w:t>
      </w:r>
    </w:p>
    <w:p>
      <w:pPr>
        <w:pStyle w:val="ListBullet"/>
        <w:spacing w:line="240" w:lineRule="auto"/>
        <w:ind w:left="720"/>
      </w:pPr>
      <w:r>
        <w:rPr>
          <w:lang w:val="en_US" w:bidi="en_US"/>
        </w:rPr>
      </w:r>
      <w:r>
        <w:rPr>
          <w:lang w:val="en_US" w:bidi="en_US"/>
        </w:rPr>
        <w:t>So</w:t>
      </w:r>
      <w:r>
        <w:rPr>
          <w:lang w:val="en_US" w:bidi="en_US"/>
        </w:rPr>
        <w:t xml:space="preserve"> Jesus said, “Can you</w:t>
      </w:r>
      <w:r>
        <w:rPr>
          <w:vertAlign w:val="superscript"/>
          <w:lang w:val="en_US" w:bidi="en_US"/>
        </w:rPr>
        <w:t>(plur)</w:t>
      </w:r>
      <w:r>
        <w:rPr>
          <w:lang w:val="en_US" w:bidi="en_US"/>
        </w:rPr>
        <w:t xml:space="preserve"> cause/force the friends of a bridegroom to fast while he is with them? </w:t>
      </w:r>
      <w:r>
        <w:rPr>
          <w:lang w:val="en_US" w:bidi="en_US"/>
        </w:rPr>
        <w:t>Of course not!</w:t>
      </w:r>
    </w:p>
    <w:p>
      <w:pPr>
        <w:pStyle w:val="ListBullet"/>
        <w:spacing w:line="240" w:lineRule="auto"/>
        <w:ind w:left="720"/>
      </w:pPr>
      <w:r>
        <w:rPr>
          <w:lang w:val="en_US" w:bidi="en_US"/>
        </w:rPr>
      </w:r>
      <w:r>
        <w:rPr>
          <w:lang w:val="en_US" w:bidi="en_US"/>
        </w:rPr>
        <w:t>Jesus said to them, “You cannot make the friends of the bridegroom give up eating while he is still with them. (NCV)</w:t>
      </w:r>
    </w:p>
    <w:p>
      <w:pPr/>
      <w:r>
        <w:rPr>
          <w:lang w:val="en_US" w:bidi="en_US"/>
        </w:rPr>
      </w:r>
      <w:r>
        <w:rPr>
          <w:lang w:val="en_US" w:bidi="en_US"/>
        </w:rPr>
        <w:t>This verse begins with a Greek conjunction that connects Jesus’ answer here to the people’s statement about his disciples in 5:33. Several English versions, such as the ESV, translate this conjunction as “and.” However, other versions translate it in a way that indicates that Jesus’ answer is a result of the people’s statement. For example:</w:t>
      </w:r>
    </w:p>
    <w:p>
      <w:pPr/>
      <w:r>
        <w:rPr>
          <w:lang w:val="en_US" w:bidi="en_US"/>
        </w:rPr>
      </w:r>
      <w:r>
        <w:rPr>
          <w:lang w:val="en_US" w:bidi="en_US"/>
        </w:rPr>
        <w:t>So (NET)</w:t>
      </w:r>
    </w:p>
    <w:p>
      <w:pPr/>
      <w:r>
        <w:rPr>
          <w:lang w:val="en_US" w:bidi="en_US"/>
        </w:rPr>
      </w:r>
      <w:r>
        <w:rPr>
          <w:lang w:val="en_US" w:bidi="en_US"/>
        </w:rPr>
        <w:t>As a result</w:t>
      </w:r>
    </w:p>
    <w:p>
      <w:pPr/>
      <w:r>
        <w:rPr>
          <w:lang w:val="en_US" w:bidi="en_US"/>
        </w:rPr>
      </w:r>
      <w:r>
        <w:rPr>
          <w:lang w:val="en_US" w:bidi="en_US"/>
        </w:rPr>
        <w:t>In some languages, no connecting word is necessary.</w:t>
      </w:r>
    </w:p>
    <w:p>
      <w:pPr/>
      <w:r>
        <w:rPr>
          <w:lang w:val="en_US" w:bidi="en_US"/>
        </w:rPr>
      </w:r>
      <w:r>
        <w:rPr>
          <w:b/>
          <w:lang w:val="en_US" w:bidi="en_US"/>
        </w:rPr>
        <w:t>Jesus replied:</w:t>
      </w:r>
      <w:r>
        <w:rPr>
          <w:lang w:val="en_US" w:bidi="en_US"/>
        </w:rPr>
        <w:t xml:space="preserve"> The Greek phrase that the BSB translates as </w:t>
      </w:r>
      <w:r>
        <w:rPr>
          <w:i/>
          <w:lang w:val="en_US" w:bidi="en_US"/>
        </w:rPr>
        <w:t>Jesus replied</w:t>
      </w:r>
      <w:r>
        <w:rPr>
          <w:lang w:val="en_US" w:bidi="en_US"/>
        </w:rPr>
        <w:t xml:space="preserve"> is literally “he said.” Use a verb that is natural in your language for this context.</w:t>
      </w:r>
    </w:p>
    <w:p>
      <w:pPr/>
      <w:r>
        <w:rPr>
          <w:lang w:val="en_US" w:bidi="en_US"/>
        </w:rPr>
      </w:r>
      <w:r>
        <w:rPr>
          <w:b/>
          <w:lang w:val="en_US" w:bidi="en_US"/>
        </w:rPr>
        <w:t>Can you make the guests of the bridegroom fast while He is with them?:</w:t>
      </w:r>
      <w:r>
        <w:rPr>
          <w:lang w:val="en_US" w:bidi="en_US"/>
        </w:rPr>
        <w:t xml:space="preserve"> This is a rhetorical question that expects the answer “No.” This question emphasizes that the guests of the bridegroom cannot fast while he is with them. Fasting would imply that the guests were sad or serious. It would not be appropriate for them to be sad while they were at the wedding feast with the bridegroom.</w:t>
      </w:r>
      <w:r>
        <w:rPr>
          <w:lang w:val="en_US" w:bidi="en_US"/>
        </w:rPr>
        <w:t>Every Jew knew that a Jewish bridegroom would celebrate his wedding with a feast that lasted for a week. No one would expect his guests to fast during that time.</w:t>
      </w:r>
    </w:p>
    <w:p>
      <w:pPr/>
      <w:r>
        <w:rPr>
          <w:lang w:val="en_US" w:bidi="en_US"/>
        </w:rPr>
      </w:r>
      <w:r>
        <w:rPr>
          <w:lang w:val="en_US" w:bidi="en_US"/>
        </w:rPr>
        <w:t>There are several ways to translate this rhetorical question:</w:t>
      </w:r>
    </w:p>
    <w:p>
      <w:pPr>
        <w:pStyle w:val="ListBullet"/>
        <w:spacing w:line="240" w:lineRule="auto"/>
        <w:ind w:left="720"/>
      </w:pPr>
      <w:r>
        <w:rPr>
          <w:lang w:val="en_US" w:bidi="en_US"/>
        </w:rPr>
      </w:r>
      <w:r>
        <w:rPr>
          <w:lang w:val="en_US" w:bidi="en_US"/>
        </w:rPr>
        <w:t>As a question. For example:</w:t>
      </w:r>
      <w:r>
        <w:rPr>
          <w:lang w:val="en_US" w:bidi="en_US"/>
        </w:rPr>
        <w:t>Can you force wedding guests to fast while the groom is still with them? (GW)</w:t>
      </w:r>
    </w:p>
    <w:p>
      <w:pPr>
        <w:pStyle w:val="ListBullet"/>
        <w:spacing w:line="240" w:lineRule="auto"/>
        <w:ind w:left="720"/>
      </w:pPr>
      <w:r>
        <w:rPr>
          <w:lang w:val="en_US" w:bidi="en_US"/>
        </w:rPr>
      </w:r>
      <w:r>
        <w:rPr>
          <w:lang w:val="en_US" w:bidi="en_US"/>
        </w:rPr>
        <w:t>As a statement. For example:</w:t>
      </w:r>
      <w:r>
        <w:rPr>
          <w:lang w:val="en_US" w:bidi="en_US"/>
        </w:rPr>
        <w:t>The friends of a bridegroom don’t go without eating while he is still with them. (CEV)</w:t>
      </w:r>
    </w:p>
    <w:p>
      <w:pPr>
        <w:pStyle w:val="ListBullet"/>
        <w:spacing w:line="240" w:lineRule="auto"/>
        <w:ind w:left="720"/>
      </w:pPr>
      <w:r>
        <w:rPr>
          <w:lang w:val="en_US" w:bidi="en_US"/>
        </w:rPr>
      </w:r>
      <w:r>
        <w:rPr>
          <w:lang w:val="en_US" w:bidi="en_US"/>
        </w:rPr>
        <w:t>As a statement with a tag question. For example:</w:t>
      </w:r>
      <w:r>
        <w:rPr>
          <w:lang w:val="en_US" w:bidi="en_US"/>
        </w:rPr>
        <w:t>You cannot make the wedding guests fast while the bridegroom is with them, can you? (NET)</w:t>
      </w:r>
    </w:p>
    <w:p>
      <w:pPr>
        <w:pStyle w:val="ListBullet"/>
        <w:spacing w:line="240" w:lineRule="auto"/>
        <w:ind w:left="720"/>
      </w:pPr>
      <w:r>
        <w:rPr>
          <w:lang w:val="en_US" w:bidi="en_US"/>
        </w:rPr>
      </w:r>
      <w:r>
        <w:rPr>
          <w:lang w:val="en_US" w:bidi="en_US"/>
        </w:rPr>
        <w:t>As a question with an answer. For example:</w:t>
      </w:r>
      <w:r>
        <w:rPr>
          <w:lang w:val="en_US" w:bidi="en_US"/>
        </w:rPr>
        <w:t>Do wedding guests fast while celebrating with the groom? Of course not. (NLT)</w:t>
      </w:r>
    </w:p>
    <w:p>
      <w:pPr/>
      <w:r>
        <w:rPr>
          <w:lang w:val="en_US" w:bidi="en_US"/>
        </w:rPr>
      </w:r>
      <w:r>
        <w:rPr>
          <w:lang w:val="en_US" w:bidi="en_US"/>
        </w:rPr>
        <w:t>Use whichever form is most natural in your language to emphasize something that people know is true.</w:t>
      </w:r>
    </w:p>
    <w:p>
      <w:pPr/>
      <w:r>
        <w:rPr>
          <w:lang w:val="en_US" w:bidi="en_US"/>
        </w:rPr>
      </w:r>
      <w:r>
        <w:rPr>
          <w:b/>
          <w:lang w:val="en_US" w:bidi="en_US"/>
        </w:rPr>
        <w:t>make the guests…fast:</w:t>
      </w:r>
      <w:r>
        <w:rPr>
          <w:lang w:val="en_US" w:bidi="en_US"/>
        </w:rPr>
        <w:t xml:space="preserve"> The phrase </w:t>
      </w:r>
      <w:r>
        <w:rPr>
          <w:i/>
          <w:lang w:val="en_US" w:bidi="en_US"/>
        </w:rPr>
        <w:t>make the guests…fast</w:t>
      </w:r>
      <w:r>
        <w:rPr>
          <w:lang w:val="en_US" w:bidi="en_US"/>
        </w:rPr>
        <w:t xml:space="preserve"> means to cause the wedding guests to fast. Some other ways to translate this are:</w:t>
      </w:r>
    </w:p>
    <w:p>
      <w:pPr/>
      <w:r>
        <w:rPr>
          <w:lang w:val="en_US" w:bidi="en_US"/>
        </w:rPr>
      </w:r>
      <w:r>
        <w:rPr>
          <w:lang w:val="en_US" w:bidi="en_US"/>
        </w:rPr>
        <w:t>Can you force the wedding guests to fast…? (GW)</w:t>
      </w:r>
    </w:p>
    <w:p>
      <w:pPr/>
      <w:r>
        <w:rPr>
          <w:lang w:val="en_US" w:bidi="en_US"/>
        </w:rPr>
      </w:r>
      <w:r>
        <w:rPr>
          <w:lang w:val="en_US" w:bidi="en_US"/>
        </w:rPr>
        <w:t>Will anyone ask/require the guests of the bridegroom to fast…?</w:t>
      </w:r>
    </w:p>
    <w:p>
      <w:pPr/>
      <w:r>
        <w:rPr>
          <w:lang w:val="en_US" w:bidi="en_US"/>
        </w:rPr>
      </w:r>
      <w:r>
        <w:rPr>
          <w:b/>
          <w:lang w:val="en_US" w:bidi="en_US"/>
        </w:rPr>
        <w:t>the guests of the bridegroom:</w:t>
      </w:r>
      <w:r>
        <w:rPr>
          <w:lang w:val="en_US" w:bidi="en_US"/>
        </w:rPr>
        <w:t xml:space="preserve"> The Greek phrase that the BSB translates as </w:t>
      </w:r>
      <w:r>
        <w:rPr>
          <w:i/>
          <w:lang w:val="en_US" w:bidi="en_US"/>
        </w:rPr>
        <w:t>the guests of the bridegroom</w:t>
      </w:r>
      <w:r>
        <w:rPr>
          <w:lang w:val="en_US" w:bidi="en_US"/>
        </w:rPr>
        <w:t xml:space="preserve"> is literally “the sons of the wedding hall.” It refers to people who come to rejoice with the bridegroom at his wedding. There are at least two ways to translate this term:</w:t>
      </w:r>
    </w:p>
    <w:p>
      <w:pPr>
        <w:pStyle w:val="ListBullet"/>
        <w:spacing w:line="240" w:lineRule="auto"/>
        <w:ind w:left="720"/>
      </w:pPr>
      <w:r>
        <w:rPr>
          <w:lang w:val="en_US" w:bidi="en_US"/>
        </w:rPr>
      </w:r>
      <w:r>
        <w:rPr>
          <w:lang w:val="en_US" w:bidi="en_US"/>
        </w:rPr>
        <w:t>Use an expression that refers specifically to the bridegroom’s friends who come to his wedding. For example:</w:t>
      </w:r>
      <w:r>
        <w:rPr>
          <w:lang w:val="en_US" w:bidi="en_US"/>
        </w:rPr>
        <w:t>the friends of a bridegroom (CEV)</w:t>
      </w:r>
    </w:p>
    <w:p>
      <w:pPr>
        <w:pStyle w:val="ListBullet"/>
        <w:spacing w:line="240" w:lineRule="auto"/>
        <w:ind w:left="720"/>
      </w:pPr>
      <w:r>
        <w:rPr>
          <w:lang w:val="en_US" w:bidi="en_US"/>
        </w:rPr>
      </w:r>
      <w:r>
        <w:rPr>
          <w:lang w:val="en_US" w:bidi="en_US"/>
        </w:rPr>
        <w:t>Use a general expression that refers to people who come to a wedding. For example:</w:t>
      </w:r>
      <w:r>
        <w:rPr>
          <w:lang w:val="en_US" w:bidi="en_US"/>
        </w:rPr>
        <w:t>the wedding guests (RSV)</w:t>
      </w:r>
    </w:p>
    <w:p>
      <w:pPr/>
      <w:r>
        <w:rPr>
          <w:lang w:val="en_US" w:bidi="en_US"/>
        </w:rPr>
      </w:r>
      <w:r>
        <w:rPr>
          <w:lang w:val="en_US" w:bidi="en_US"/>
        </w:rPr>
        <w:t xml:space="preserve">In some cultures, marriage customs may be so different from those of the Jews that the term </w:t>
      </w:r>
      <w:r>
        <w:rPr>
          <w:i/>
          <w:lang w:val="en_US" w:bidi="en_US"/>
        </w:rPr>
        <w:t>guests of the bridegroom</w:t>
      </w:r>
      <w:r>
        <w:rPr>
          <w:lang w:val="en_US" w:bidi="en_US"/>
        </w:rPr>
        <w:t xml:space="preserve"> may be difficult to translate. For example, there may be no celebration at the time of a couple’s marriage, or the bridegroom may not be involved in the celebration. If that is true in your culture, you may need to use a very general phrase. For example:</w:t>
      </w:r>
    </w:p>
    <w:p>
      <w:pPr/>
      <w:r>
        <w:rPr>
          <w:lang w:val="en_US" w:bidi="en_US"/>
        </w:rPr>
      </w:r>
      <w:r>
        <w:rPr>
          <w:lang w:val="en_US" w:bidi="en_US"/>
        </w:rPr>
        <w:t>friends who are celebrating with the man-who-has-gotten-a-wife</w:t>
      </w:r>
    </w:p>
    <w:p>
      <w:pPr/>
      <w:r>
        <w:rPr>
          <w:lang w:val="en_US" w:bidi="en_US"/>
        </w:rPr>
      </w:r>
      <w:r>
        <w:rPr>
          <w:b/>
          <w:lang w:val="en_US" w:bidi="en_US"/>
        </w:rPr>
        <w:t>bridegroom:</w:t>
      </w:r>
      <w:r>
        <w:rPr>
          <w:lang w:val="en_US" w:bidi="en_US"/>
        </w:rPr>
        <w:t xml:space="preserve"> The word </w:t>
      </w:r>
      <w:r>
        <w:rPr>
          <w:i/>
          <w:lang w:val="en_US" w:bidi="en_US"/>
        </w:rPr>
        <w:t>bridegroom</w:t>
      </w:r>
      <w:r>
        <w:rPr>
          <w:lang w:val="en_US" w:bidi="en_US"/>
        </w:rPr>
        <w:t xml:space="preserve"> refers to the man who is getting married. In modern English, this man is often called simply the “groom” (as in the GW).</w:t>
      </w:r>
      <w:r>
        <w:rPr>
          <w:lang w:val="en_US" w:bidi="en_US"/>
        </w:rPr>
      </w:r>
      <w:r>
        <w:rPr>
          <w:lang w:val="en_US" w:bidi="en_US"/>
        </w:rPr>
      </w:r>
    </w:p>
    <w:p>
      <w:pPr/>
      <w:r>
        <w:rPr>
          <w:lang w:val="en_US" w:bidi="en_US"/>
        </w:rPr>
      </w:r>
    </w:p>
    <w:p>
      <w:pPr>
        <w:pStyle w:val="Heading2"/>
      </w:pPr>
      <w:r>
        <w:rPr>
          <w:lang w:val="en_US" w:bidi="en_US"/>
        </w:rPr>
        <w:t>Luke 5:35</w:t>
      </w:r>
      <w:r>
        <w:rPr>
          <w:lang w:val="en_US" w:bidi="en_US"/>
        </w:rPr>
      </w:r>
    </w:p>
    <w:p>
      <w:pPr>
        <w:pStyle w:val="Heading4"/>
      </w:pPr>
      <w:r>
        <w:rPr>
          <w:lang w:val="en_US" w:bidi="en_US"/>
        </w:rPr>
        <w:t>Section 5:33–39: Jesus explained why his disciples did not fast</w:t>
      </w:r>
    </w:p>
    <w:p>
      <w:pPr/>
      <w:r>
        <w:rPr>
          <w:lang w:val="en_US" w:bidi="en_US"/>
        </w:rPr>
      </w:r>
      <w:r>
        <w:rPr>
          <w:lang w:val="en_US" w:bidi="en_US"/>
        </w:rPr>
        <w:t>In this section, some people made a comment to Jesus about fasting. Their comment implied that they were criticizing the disciples. It also implied the question, “Why do your disciples act differently from the disciples of John and the disciples of the Pharisees?” Jesus explained the difference in their actions. In his explanation, he compared himself to a bridegroom, and he compared his disciples to wedding guests. The disciples could not fast while he was with them, just as wedding guests do not fast while the bridegroom is with them.</w:t>
      </w:r>
    </w:p>
    <w:p>
      <w:pPr/>
      <w:r>
        <w:rPr>
          <w:lang w:val="en_US" w:bidi="en_US"/>
        </w:rPr>
      </w:r>
      <w:r>
        <w:rPr>
          <w:lang w:val="en_US" w:bidi="en_US"/>
        </w:rPr>
        <w:t>After he had explained this different attitude towards fasting, he told them that he was teaching a new way to live for God. His new way would not fit into the old traditions. To illustrate this, Jesus used three comparisons:</w:t>
      </w:r>
    </w:p>
    <w:p>
      <w:pPr>
        <w:pStyle w:val="ListNumber"/>
        <w:numPr>
          <w:ilvl w:val="0"/>
          <w:numId w:val="125"/>
        </w:numPr>
        <w:spacing w:line="240" w:lineRule="auto"/>
        <w:ind w:left="720"/>
      </w:pPr>
      <w:r>
        <w:rPr>
          <w:lang w:val="en_US" w:bidi="en_US"/>
        </w:rPr>
      </w:r>
      <w:r>
        <w:rPr>
          <w:lang w:val="en_US" w:bidi="en_US"/>
        </w:rPr>
        <w:t>He compared the old traditional ways to an old garment. He compared his new way to cloth taken from a new garment. No one would sew the new cloth onto an old garment.</w:t>
      </w:r>
    </w:p>
    <w:p>
      <w:pPr>
        <w:pStyle w:val="ListNumber"/>
        <w:spacing w:line="240" w:lineRule="auto"/>
        <w:ind w:left="720"/>
      </w:pPr>
      <w:r>
        <w:rPr>
          <w:lang w:val="en_US" w:bidi="en_US"/>
        </w:rPr>
      </w:r>
      <w:r>
        <w:rPr>
          <w:lang w:val="en_US" w:bidi="en_US"/>
        </w:rPr>
        <w:t>He compared the old traditional ways to old wineskins. He compared his new way to new wine. When new wine is put into old wineskins, both are ruined.</w:t>
      </w:r>
    </w:p>
    <w:p>
      <w:pPr>
        <w:pStyle w:val="ListNumber"/>
        <w:spacing w:line="240" w:lineRule="auto"/>
        <w:ind w:left="720"/>
      </w:pPr>
      <w:r>
        <w:rPr>
          <w:lang w:val="en_US" w:bidi="en_US"/>
        </w:rPr>
      </w:r>
      <w:r>
        <w:rPr>
          <w:lang w:val="en_US" w:bidi="en_US"/>
        </w:rPr>
        <w:t>Jesus concluded with a saying that rebuked those who wanted to keep to the old traditions. Jesus said that people who had drunk old wine did not want to drink new wine. He was really talking about people who were content with the old ways and teaching of the Jewish religion. He said that they were unwilling to consider the new ways and teaching that he had brought.</w:t>
      </w:r>
    </w:p>
    <w:p>
      <w:pPr/>
      <w:r>
        <w:rPr>
          <w:lang w:val="en_US" w:bidi="en_US"/>
        </w:rPr>
      </w:r>
      <w:r>
        <w:rPr>
          <w:lang w:val="en_US" w:bidi="en_US"/>
        </w:rPr>
        <w:t>This section can be difficult for people to understand because Jesus used comparisons to illustrate what he was teaching. He did not make what he was teaching explicit. If you need to make the meaning clearer, you should explain it in a footnote.</w:t>
      </w:r>
    </w:p>
    <w:p>
      <w:pPr/>
      <w:r>
        <w:rPr>
          <w:lang w:val="en_US" w:bidi="en_US"/>
        </w:rPr>
      </w:r>
      <w:r>
        <w:rPr>
          <w:lang w:val="en_US" w:bidi="en_US"/>
        </w:rPr>
        <w:t>In this section, there are some ideas that may not be familiar in certain cultures. For example:</w:t>
      </w:r>
    </w:p>
    <w:p>
      <w:pPr>
        <w:pStyle w:val="ListNumber"/>
        <w:numPr>
          <w:ilvl w:val="0"/>
          <w:numId w:val="126"/>
        </w:numPr>
        <w:spacing w:line="240" w:lineRule="auto"/>
        <w:ind w:left="720"/>
      </w:pPr>
      <w:r>
        <w:rPr>
          <w:lang w:val="en_US" w:bidi="en_US"/>
        </w:rPr>
      </w:r>
      <w:r>
        <w:rPr>
          <w:lang w:val="en_US" w:bidi="en_US"/>
        </w:rPr>
        <w:t>fasting</w:t>
      </w:r>
    </w:p>
    <w:p>
      <w:pPr>
        <w:pStyle w:val="ListNumber"/>
        <w:spacing w:line="240" w:lineRule="auto"/>
        <w:ind w:left="720"/>
      </w:pPr>
      <w:r>
        <w:rPr>
          <w:lang w:val="en_US" w:bidi="en_US"/>
        </w:rPr>
      </w:r>
      <w:r>
        <w:rPr>
          <w:lang w:val="en_US" w:bidi="en_US"/>
        </w:rPr>
        <w:t>Jewish wedding customs about bridegrooms</w:t>
      </w:r>
    </w:p>
    <w:p>
      <w:pPr>
        <w:pStyle w:val="ListNumber"/>
        <w:spacing w:line="240" w:lineRule="auto"/>
        <w:ind w:left="720"/>
      </w:pPr>
      <w:r>
        <w:rPr>
          <w:lang w:val="en_US" w:bidi="en_US"/>
        </w:rPr>
      </w:r>
      <w:r>
        <w:rPr>
          <w:lang w:val="en_US" w:bidi="en_US"/>
        </w:rPr>
        <w:t>sewing patches onto cloth</w:t>
      </w:r>
    </w:p>
    <w:p>
      <w:pPr>
        <w:pStyle w:val="ListNumber"/>
        <w:spacing w:line="240" w:lineRule="auto"/>
        <w:ind w:left="720"/>
      </w:pPr>
      <w:r>
        <w:rPr>
          <w:lang w:val="en_US" w:bidi="en_US"/>
        </w:rPr>
      </w:r>
      <w:r>
        <w:rPr>
          <w:lang w:val="en_US" w:bidi="en_US"/>
        </w:rPr>
        <w:t>new wine and old wine</w:t>
      </w:r>
    </w:p>
    <w:p>
      <w:pPr>
        <w:pStyle w:val="ListNumber"/>
        <w:spacing w:line="240" w:lineRule="auto"/>
        <w:ind w:left="720"/>
      </w:pPr>
      <w:r>
        <w:rPr>
          <w:lang w:val="en_US" w:bidi="en_US"/>
        </w:rPr>
      </w:r>
      <w:r>
        <w:rPr>
          <w:lang w:val="en_US" w:bidi="en_US"/>
        </w:rPr>
        <w:t>wineskins</w:t>
      </w:r>
    </w:p>
    <w:p>
      <w:pPr/>
      <w:r>
        <w:rPr>
          <w:lang w:val="en_US" w:bidi="en_US"/>
        </w:rPr>
      </w:r>
      <w:r>
        <w:rPr>
          <w:lang w:val="en_US" w:bidi="en_US"/>
        </w:rPr>
        <w:t>Consider carefully how to translate each of these ideas in a meaningful way in your language. The notes for this section will give suggestions.</w:t>
      </w:r>
    </w:p>
    <w:p>
      <w:pPr/>
      <w:r>
        <w:rPr>
          <w:lang w:val="en_US" w:bidi="en_US"/>
        </w:rPr>
      </w:r>
      <w:r>
        <w:rPr>
          <w:lang w:val="en_US" w:bidi="en_US"/>
        </w:rPr>
        <w:t>Some other possible headings for this section are:</w:t>
      </w:r>
    </w:p>
    <w:p>
      <w:pPr/>
      <w:r>
        <w:rPr>
          <w:lang w:val="en_US" w:bidi="en_US"/>
        </w:rPr>
      </w:r>
      <w:r>
        <w:rPr>
          <w:lang w:val="en_US" w:bidi="en_US"/>
        </w:rPr>
        <w:t>Jesus taught that his new way was different from Jewish traditions</w:t>
      </w:r>
    </w:p>
    <w:p>
      <w:pPr/>
      <w:r>
        <w:rPr>
          <w:lang w:val="en_US" w:bidi="en_US"/>
        </w:rPr>
      </w:r>
      <w:r>
        <w:rPr>
          <w:lang w:val="en_US" w:bidi="en_US"/>
        </w:rPr>
        <w:t>Jesus’ new way and the old ways</w:t>
      </w:r>
    </w:p>
    <w:p>
      <w:pPr/>
      <w:r>
        <w:rPr>
          <w:lang w:val="en_US" w:bidi="en_US"/>
        </w:rPr>
      </w:r>
      <w:r>
        <w:rPr>
          <w:lang w:val="en_US" w:bidi="en_US"/>
        </w:rPr>
        <w:t>This story also occurs in Matthew 9:14–17 and Mark 2:18–22.</w:t>
      </w:r>
    </w:p>
    <w:p>
      <w:pPr>
        <w:pStyle w:val="Heading4"/>
      </w:pPr>
      <w:r>
        <w:rPr>
          <w:lang w:val="en_US" w:bidi="en_US"/>
        </w:rPr>
        <w:t>Paragraph 5:33–35</w:t>
      </w:r>
    </w:p>
    <w:p>
      <w:pPr/>
      <w:r>
        <w:rPr>
          <w:lang w:val="en_US" w:bidi="en_US"/>
        </w:rPr>
      </w:r>
      <w:r>
        <w:rPr>
          <w:lang w:val="en_US" w:bidi="en_US"/>
        </w:rPr>
        <w:t>This paragraph tells about how the religious leaders continued to disagree with Jesus. In 5:30, the religious leaders had accused Jesus of associating with the wrong kind of people. In this paragraph, they accused Jesus and his disciples of not keeping the Jewish traditions.</w:t>
      </w:r>
    </w:p>
    <w:p>
      <w:pPr/>
      <w:r>
        <w:rPr>
          <w:lang w:val="en_US" w:bidi="en_US"/>
        </w:rPr>
      </w:r>
      <w:r>
        <w:rPr>
          <w:lang w:val="en_US" w:bidi="en_US"/>
        </w:rPr>
        <w:t>In this paragraph it is important for readers to know what “fasting” meant in the Jewish culture. Fasting meant to not eat food for a certain time for religious reasons. There were many reasons for fasting. For example, people fasted:</w:t>
      </w:r>
    </w:p>
    <w:p>
      <w:pPr>
        <w:pStyle w:val="ListNumber"/>
        <w:numPr>
          <w:ilvl w:val="0"/>
          <w:numId w:val="127"/>
        </w:numPr>
        <w:spacing w:line="240" w:lineRule="auto"/>
        <w:ind w:left="720"/>
      </w:pPr>
      <w:r>
        <w:rPr>
          <w:lang w:val="en_US" w:bidi="en_US"/>
        </w:rPr>
      </w:r>
      <w:r>
        <w:rPr>
          <w:lang w:val="en_US" w:bidi="en_US"/>
        </w:rPr>
        <w:t>to express their grief and sorrow during times of mourning;</w:t>
      </w:r>
    </w:p>
    <w:p>
      <w:pPr>
        <w:pStyle w:val="ListNumber"/>
        <w:spacing w:line="240" w:lineRule="auto"/>
        <w:ind w:left="720"/>
      </w:pPr>
      <w:r>
        <w:rPr>
          <w:lang w:val="en_US" w:bidi="en_US"/>
        </w:rPr>
      </w:r>
      <w:r>
        <w:rPr>
          <w:lang w:val="en_US" w:bidi="en_US"/>
        </w:rPr>
        <w:t>to show that they were sorry for their sins;</w:t>
      </w:r>
    </w:p>
    <w:p>
      <w:pPr>
        <w:pStyle w:val="ListNumber"/>
        <w:spacing w:line="240" w:lineRule="auto"/>
        <w:ind w:left="720"/>
      </w:pPr>
      <w:r>
        <w:rPr>
          <w:lang w:val="en_US" w:bidi="en_US"/>
        </w:rPr>
      </w:r>
      <w:r>
        <w:rPr>
          <w:lang w:val="en_US" w:bidi="en_US"/>
        </w:rPr>
        <w:t>to strengthen their prayers that God would help or guide them.</w:t>
      </w:r>
    </w:p>
    <w:p>
      <w:pPr/>
      <w:r>
        <w:rPr>
          <w:lang w:val="en_US" w:bidi="en_US"/>
        </w:rPr>
      </w:r>
      <w:r>
        <w:rPr>
          <w:lang w:val="en_US" w:bidi="en_US"/>
        </w:rPr>
        <w:t>John the Baptizer’s disciples and the Pharisees’ disciples followed these Jewish customs.</w:t>
      </w:r>
    </w:p>
    <w:p>
      <w:pPr>
        <w:pStyle w:val="Heading5"/>
      </w:pPr>
      <w:r>
        <w:rPr>
          <w:lang w:val="en_US" w:bidi="en_US"/>
        </w:rPr>
        <w:t>5:35a</w:t>
      </w:r>
    </w:p>
    <w:p>
      <w:pPr/>
      <w:r>
        <w:rPr>
          <w:lang w:val="en_US" w:bidi="en_US"/>
        </w:rPr>
      </w:r>
      <w:r>
        <w:rPr>
          <w:b/>
          <w:lang w:val="en_US" w:bidi="en_US"/>
        </w:rPr>
        <w:t>But the time will come when the bridegroom will be taken from them;</w:t>
      </w:r>
    </w:p>
    <w:p>
      <w:pPr>
        <w:pStyle w:val="ListBullet"/>
        <w:spacing w:line="240" w:lineRule="auto"/>
        <w:ind w:left="720"/>
      </w:pPr>
      <w:r>
        <w:rPr>
          <w:lang w:val="en_US" w:bidi="en_US"/>
        </w:rPr>
      </w:r>
      <w:r>
        <w:rPr>
          <w:lang w:val="en_US" w:bidi="en_US"/>
        </w:rPr>
        <w:t xml:space="preserve">But one day, the bridegroom will be taken away from </w:t>
      </w:r>
      <w:r>
        <w:rPr>
          <w:lang w:val="en_US" w:bidi="en_US"/>
        </w:rPr>
        <w:t>his</w:t>
      </w:r>
      <w:r>
        <w:rPr>
          <w:lang w:val="en_US" w:bidi="en_US"/>
        </w:rPr>
        <w:t xml:space="preserve"> friends,</w:t>
      </w:r>
    </w:p>
    <w:p>
      <w:pPr>
        <w:pStyle w:val="ListBullet"/>
        <w:spacing w:line="240" w:lineRule="auto"/>
        <w:ind w:left="720"/>
      </w:pPr>
      <w:r>
        <w:rPr>
          <w:lang w:val="en_US" w:bidi="en_US"/>
        </w:rPr>
      </w:r>
      <w:r>
        <w:rPr>
          <w:lang w:val="en_US" w:bidi="en_US"/>
        </w:rPr>
        <w:t xml:space="preserve">But in the future, </w:t>
      </w:r>
      <w:r>
        <w:rPr>
          <w:lang w:val="en_US" w:bidi="en_US"/>
        </w:rPr>
        <w:t>men/enemies</w:t>
      </w:r>
      <w:r>
        <w:rPr>
          <w:lang w:val="en_US" w:bidi="en_US"/>
        </w:rPr>
        <w:t xml:space="preserve"> will take the bridegroom away from his friends.</w:t>
      </w:r>
    </w:p>
    <w:p>
      <w:pPr/>
      <w:r>
        <w:rPr>
          <w:lang w:val="en_US" w:bidi="en_US"/>
        </w:rPr>
      </w:r>
      <w:r>
        <w:rPr>
          <w:b/>
          <w:lang w:val="en_US" w:bidi="en_US"/>
        </w:rPr>
        <w:t>But:</w:t>
      </w:r>
      <w:r>
        <w:rPr>
          <w:lang w:val="en_US" w:bidi="en_US"/>
        </w:rPr>
        <w:t xml:space="preserve"> Verse 5:34 contrasts with 5:35. In 5:34 the bridegroom’s friends are rejoicing with the bridegroom. In 5:35 he is taken away from them. It is then that his friends will mourn and show their sorrow by fasting. Because of this contrast, the BSB and most English versions translate the conjunction at the beginning of this verse as “but.” However, some versions do not translate the conjunction. Express this contrast in a natural way in your language.</w:t>
      </w:r>
    </w:p>
    <w:p>
      <w:pPr/>
      <w:r>
        <w:rPr>
          <w:lang w:val="en_US" w:bidi="en_US"/>
        </w:rPr>
      </w:r>
      <w:r>
        <w:rPr>
          <w:b/>
          <w:lang w:val="en_US" w:bidi="en_US"/>
        </w:rPr>
        <w:t>the time will come when:</w:t>
      </w:r>
      <w:r>
        <w:rPr>
          <w:lang w:val="en_US" w:bidi="en_US"/>
        </w:rPr>
        <w:t xml:space="preserve"> The Greek phrase that the BSB translates as </w:t>
      </w:r>
      <w:r>
        <w:rPr>
          <w:i/>
          <w:lang w:val="en_US" w:bidi="en_US"/>
        </w:rPr>
        <w:t>the time will come when</w:t>
      </w:r>
      <w:r>
        <w:rPr>
          <w:lang w:val="en_US" w:bidi="en_US"/>
        </w:rPr>
        <w:t xml:space="preserve"> is literally “days will come when.” It is an emphatic way to refer to an indefinite time in the future.</w:t>
      </w:r>
    </w:p>
    <w:p>
      <w:pPr/>
      <w:r>
        <w:rPr>
          <w:lang w:val="en_US" w:bidi="en_US"/>
        </w:rPr>
      </w:r>
      <w:r>
        <w:rPr>
          <w:lang w:val="en_US" w:bidi="en_US"/>
        </w:rPr>
        <w:t>In some languages, it may not be natural to speak of time “coming.” There may be another idiom or phrase to express this. Use an appropriate expression in your language. For example:</w:t>
      </w:r>
    </w:p>
    <w:p>
      <w:pPr/>
      <w:r>
        <w:rPr>
          <w:lang w:val="en_US" w:bidi="en_US"/>
        </w:rPr>
      </w:r>
      <w:r>
        <w:rPr>
          <w:lang w:val="en_US" w:bidi="en_US"/>
        </w:rPr>
        <w:t>someday (NLT)</w:t>
      </w:r>
    </w:p>
    <w:p>
      <w:pPr/>
      <w:r>
        <w:rPr>
          <w:lang w:val="en_US" w:bidi="en_US"/>
        </w:rPr>
      </w:r>
      <w:r>
        <w:rPr>
          <w:b/>
          <w:lang w:val="en_US" w:bidi="en_US"/>
        </w:rPr>
        <w:t>the bridegroom will be taken from them:</w:t>
      </w:r>
      <w:r>
        <w:rPr>
          <w:lang w:val="en_US" w:bidi="en_US"/>
        </w:rPr>
        <w:t xml:space="preserve"> The words </w:t>
      </w:r>
      <w:r>
        <w:rPr>
          <w:i/>
          <w:lang w:val="en_US" w:bidi="en_US"/>
        </w:rPr>
        <w:t>the bridegroom will be taken from them</w:t>
      </w:r>
      <w:r>
        <w:rPr>
          <w:lang w:val="en_US" w:bidi="en_US"/>
        </w:rPr>
        <w:t xml:space="preserve"> refer to an event that was not usually part of a wedding celebration. Usually the guests would leave the celebration first.</w:t>
      </w:r>
    </w:p>
    <w:p>
      <w:pPr/>
      <w:r>
        <w:rPr>
          <w:lang w:val="en_US" w:bidi="en_US"/>
        </w:rPr>
      </w:r>
      <w:r>
        <w:rPr>
          <w:lang w:val="en_US" w:bidi="en_US"/>
        </w:rPr>
        <w:t>Jesus said this to imply that he himself would be taken from his disciples.</w:t>
      </w:r>
      <w:r>
        <w:rPr>
          <w:lang w:val="en_US" w:bidi="en_US"/>
        </w:rPr>
        <w:t xml:space="preserve">The majority of commentators go so far as to say that “will be taken from them” implies that he will be taken violently (see Marshall, Hendriksen, Lenski, and the </w:t>
      </w:r>
      <w:r>
        <w:rPr>
          <w:i/>
          <w:lang w:val="en_US" w:bidi="en_US"/>
        </w:rPr>
        <w:t>UBS Handbook on Luke</w:t>
      </w:r>
      <w:r>
        <w:rPr>
          <w:lang w:val="en_US" w:bidi="en_US"/>
        </w:rPr>
        <w:t>, for example). Fitzmyer, however, notes that the same word is used in manuscript D at Acts 1:9 in reference to Jesus’ ascension. So it may be too much to say that the word itself, rather than context, implies being taken violently.</w:t>
      </w:r>
      <w:r>
        <w:rPr>
          <w:lang w:val="en_US" w:bidi="en_US"/>
        </w:rPr>
        <w:t xml:space="preserve"> In some languages, it may be necessary to make this explicit in some way. For example:</w:t>
      </w:r>
    </w:p>
    <w:p>
      <w:pPr/>
      <w:r>
        <w:rPr>
          <w:lang w:val="en_US" w:bidi="en_US"/>
        </w:rPr>
      </w:r>
      <w:r>
        <w:rPr>
          <w:lang w:val="en_US" w:bidi="en_US"/>
        </w:rPr>
        <w:t xml:space="preserve">But the time will come when </w:t>
      </w:r>
      <w:r>
        <w:rPr>
          <w:lang w:val="en_US" w:bidi="en_US"/>
        </w:rPr>
        <w:t>I</w:t>
      </w:r>
      <w:r>
        <w:rPr>
          <w:lang w:val="en_US" w:bidi="en_US"/>
        </w:rPr>
        <w:t>, the bridegroom, will be taken from them</w:t>
      </w:r>
    </w:p>
    <w:p>
      <w:pPr/>
      <w:r>
        <w:rPr>
          <w:lang w:val="en_US" w:bidi="en_US"/>
        </w:rPr>
      </w:r>
      <w:r>
        <w:rPr>
          <w:b/>
          <w:lang w:val="en_US" w:bidi="en_US"/>
        </w:rPr>
        <w:t>will be taken:</w:t>
      </w:r>
      <w:r>
        <w:rPr>
          <w:lang w:val="en_US" w:bidi="en_US"/>
        </w:rPr>
        <w:t xml:space="preserve"> The Greek verb that the BSB translates as </w:t>
      </w:r>
      <w:r>
        <w:rPr>
          <w:i/>
          <w:lang w:val="en_US" w:bidi="en_US"/>
        </w:rPr>
        <w:t>will be taken</w:t>
      </w:r>
      <w:r>
        <w:rPr>
          <w:lang w:val="en_US" w:bidi="en_US"/>
        </w:rPr>
        <w:t xml:space="preserve"> is passive. It implies that someone would use force to make the bridegroom leave. Some ways to translate this verb are:</w:t>
      </w:r>
    </w:p>
    <w:p>
      <w:pPr>
        <w:pStyle w:val="ListBullet"/>
        <w:spacing w:line="240" w:lineRule="auto"/>
        <w:ind w:left="720"/>
      </w:pPr>
      <w:r>
        <w:rPr>
          <w:lang w:val="en_US" w:bidi="en_US"/>
        </w:rPr>
      </w:r>
      <w:r>
        <w:rPr>
          <w:lang w:val="en_US" w:bidi="en_US"/>
        </w:rPr>
        <w:t>As a passive clause. For example:</w:t>
      </w:r>
      <w:r>
        <w:rPr>
          <w:lang w:val="en_US" w:bidi="en_US"/>
        </w:rPr>
        <w:t>the bridegroom will be taken away from them (NCV)</w:t>
      </w:r>
      <w:r>
        <w:rPr>
          <w:lang w:val="en_US" w:bidi="en_US"/>
        </w:rPr>
        <w:t>the bridegroom will be caused to leave</w:t>
      </w:r>
    </w:p>
    <w:p>
      <w:pPr>
        <w:pStyle w:val="ListBullet"/>
        <w:spacing w:line="240" w:lineRule="auto"/>
        <w:ind w:left="720"/>
      </w:pPr>
      <w:r>
        <w:rPr>
          <w:lang w:val="en_US" w:bidi="en_US"/>
        </w:rPr>
      </w:r>
      <w:r>
        <w:rPr>
          <w:lang w:val="en_US" w:bidi="en_US"/>
        </w:rPr>
        <w:t>As an active clause. For example:</w:t>
      </w:r>
      <w:r>
        <w:rPr>
          <w:lang w:val="en_US" w:bidi="en_US"/>
        </w:rPr>
        <w:t>people</w:t>
      </w:r>
      <w:r>
        <w:rPr>
          <w:lang w:val="en_US" w:bidi="en_US"/>
        </w:rPr>
        <w:t xml:space="preserve"> will take the bridegroom away from them</w:t>
      </w:r>
    </w:p>
    <w:p>
      <w:pPr>
        <w:pStyle w:val="Heading5"/>
      </w:pPr>
      <w:r>
        <w:rPr>
          <w:lang w:val="en_US" w:bidi="en_US"/>
        </w:rPr>
        <w:t>5:35b</w:t>
      </w:r>
    </w:p>
    <w:p>
      <w:pPr/>
      <w:r>
        <w:rPr>
          <w:lang w:val="en_US" w:bidi="en_US"/>
        </w:rPr>
      </w:r>
      <w:r>
        <w:rPr>
          <w:b/>
          <w:lang w:val="en_US" w:bidi="en_US"/>
        </w:rPr>
        <w:t>then they will fast.”</w:t>
      </w:r>
    </w:p>
    <w:p>
      <w:pPr>
        <w:pStyle w:val="ListBullet"/>
        <w:spacing w:line="240" w:lineRule="auto"/>
        <w:ind w:left="720"/>
      </w:pPr>
      <w:r>
        <w:rPr>
          <w:lang w:val="en_US" w:bidi="en_US"/>
        </w:rPr>
      </w:r>
      <w:r>
        <w:rPr>
          <w:lang w:val="en_US" w:bidi="en_US"/>
        </w:rPr>
        <w:t>and that will be the time for them to fast.”</w:t>
      </w:r>
    </w:p>
    <w:p>
      <w:pPr>
        <w:pStyle w:val="ListBullet"/>
        <w:spacing w:line="240" w:lineRule="auto"/>
        <w:ind w:left="720"/>
      </w:pPr>
      <w:r>
        <w:rPr>
          <w:lang w:val="en_US" w:bidi="en_US"/>
        </w:rPr>
      </w:r>
      <w:r>
        <w:rPr>
          <w:lang w:val="en_US" w:bidi="en_US"/>
        </w:rPr>
        <w:t>Then at that time his friends will sometimes give up eating.”</w:t>
      </w:r>
    </w:p>
    <w:p>
      <w:pPr/>
      <w:r>
        <w:rPr>
          <w:lang w:val="en_US" w:bidi="en_US"/>
        </w:rPr>
      </w:r>
      <w:r>
        <w:rPr>
          <w:b/>
          <w:lang w:val="en_US" w:bidi="en_US"/>
        </w:rPr>
        <w:t>then they will fast:</w:t>
      </w:r>
      <w:r>
        <w:rPr>
          <w:lang w:val="en_US" w:bidi="en_US"/>
        </w:rPr>
        <w:t xml:space="preserve"> The Greek clause that the BSB translates as </w:t>
      </w:r>
      <w:r>
        <w:rPr>
          <w:i/>
          <w:lang w:val="en_US" w:bidi="en_US"/>
        </w:rPr>
        <w:t>then they will fast</w:t>
      </w:r>
      <w:r>
        <w:rPr>
          <w:lang w:val="en_US" w:bidi="en_US"/>
        </w:rPr>
        <w:t xml:space="preserve"> is literally “then they will fast in those days” (as in the RSV). It emphasizes the time period when Jesus’ disciples (the bridegroom’s friends) will fast. Jesus did not imply that they would fast only on the day that he left. Some other ways to translate this are:</w:t>
      </w:r>
    </w:p>
    <w:p>
      <w:pPr/>
      <w:r>
        <w:rPr>
          <w:lang w:val="en_US" w:bidi="en_US"/>
        </w:rPr>
      </w:r>
      <w:r>
        <w:rPr>
          <w:lang w:val="en_US" w:bidi="en_US"/>
        </w:rPr>
        <w:t>At that time they will fast. (GW)</w:t>
      </w:r>
    </w:p>
    <w:p>
      <w:pPr/>
      <w:r>
        <w:rPr>
          <w:lang w:val="en_US" w:bidi="en_US"/>
        </w:rPr>
      </w:r>
      <w:r>
        <w:rPr>
          <w:lang w:val="en_US" w:bidi="en_US"/>
        </w:rPr>
        <w:t>Then they will go without eating. (CEV)</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bridegroom’s friends and guests. In the metaphor they represent Jesus’ disciples.</w:t>
      </w:r>
    </w:p>
    <w:p>
      <w:pPr>
        <w:pStyle w:val="Heading6"/>
      </w:pPr>
      <w:r>
        <w:rPr>
          <w:b/>
          <w:lang w:val="en_US" w:bidi="en_US"/>
        </w:rPr>
        <w:t>General Comment on 5:34–35</w:t>
      </w:r>
    </w:p>
    <w:p>
      <w:pPr/>
      <w:r>
        <w:rPr>
          <w:lang w:val="en_US" w:bidi="en_US"/>
        </w:rPr>
      </w:r>
      <w:r>
        <w:rPr>
          <w:lang w:val="en_US" w:bidi="en_US"/>
        </w:rPr>
        <w:t>It is important to make it clear that Jesus was talking about himself here. There are several ways to do this:</w:t>
      </w:r>
    </w:p>
    <w:p>
      <w:pPr>
        <w:pStyle w:val="ListBullet"/>
        <w:spacing w:line="240" w:lineRule="auto"/>
        <w:ind w:left="720"/>
      </w:pPr>
      <w:r>
        <w:rPr>
          <w:lang w:val="en_US" w:bidi="en_US"/>
        </w:rPr>
      </w:r>
      <w:r>
        <w:rPr>
          <w:lang w:val="en_US" w:bidi="en_US"/>
        </w:rPr>
        <w:t>Insert a footnote that says something like this:</w:t>
      </w:r>
      <w:r>
        <w:rPr>
          <w:lang w:val="en_US" w:bidi="en_US"/>
        </w:rPr>
        <w:t>Jesus compared the bridegroom in these verses to himself. The disciples did not fast at that time because they were so happy that Jesus was with them. Later people would kill Jesus, and the disciples would fast because they would be sad.</w:t>
      </w:r>
    </w:p>
    <w:p>
      <w:pPr>
        <w:pStyle w:val="ListBullet"/>
        <w:spacing w:line="240" w:lineRule="auto"/>
        <w:ind w:left="720"/>
      </w:pPr>
      <w:r>
        <w:rPr>
          <w:lang w:val="en_US" w:bidi="en_US"/>
        </w:rPr>
      </w:r>
      <w:r>
        <w:rPr>
          <w:lang w:val="en_US" w:bidi="en_US"/>
        </w:rPr>
        <w:t>Make the information explicit at the end of the verse. You could provide a new verse part, 5:35c, that says, for example:</w:t>
      </w:r>
      <w:r>
        <w:rPr>
          <w:lang w:val="en_US" w:bidi="en_US"/>
        </w:rPr>
        <w:t>I am like that bridegroom.</w:t>
      </w:r>
    </w:p>
    <w:p>
      <w:pPr>
        <w:pStyle w:val="ListBullet"/>
        <w:spacing w:line="240" w:lineRule="auto"/>
        <w:ind w:left="720"/>
      </w:pPr>
      <w:r>
        <w:rPr>
          <w:lang w:val="en_US" w:bidi="en_US"/>
        </w:rPr>
      </w:r>
      <w:r>
        <w:rPr>
          <w:lang w:val="en_US" w:bidi="en_US"/>
        </w:rPr>
        <w:t>Supply that information within the verses. For example:</w:t>
      </w:r>
      <w:r>
        <w:rPr>
          <w:lang w:val="en_US" w:bidi="en_US"/>
        </w:rPr>
        <w:t>Just as</w:t>
      </w:r>
      <w:r>
        <w:rPr>
          <w:lang w:val="en_US" w:bidi="en_US"/>
        </w:rPr>
        <w:t xml:space="preserve"> the friends of the bridegroom cannot fast while he is with them, </w:t>
      </w:r>
      <w:r>
        <w:rPr>
          <w:lang w:val="en_US" w:bidi="en_US"/>
        </w:rPr>
        <w:t>in the same way, my disciples cannot fast while I am with them</w:t>
      </w:r>
      <w:r>
        <w:rPr>
          <w:lang w:val="en_US" w:bidi="en_US"/>
        </w:rPr>
        <w:t>. But the days will come when I will be taken away. At that time, they will fast.</w:t>
      </w:r>
      <w:r>
        <w:rPr>
          <w:lang w:val="en_US" w:bidi="en_US"/>
        </w:rPr>
      </w:r>
      <w:r>
        <w:rPr>
          <w:lang w:val="en_US" w:bidi="en_US"/>
        </w:rPr>
      </w:r>
    </w:p>
    <w:p>
      <w:pPr/>
      <w:r>
        <w:rPr>
          <w:lang w:val="en_US" w:bidi="en_US"/>
        </w:rPr>
      </w:r>
    </w:p>
    <w:p>
      <w:pPr>
        <w:pStyle w:val="Heading2"/>
      </w:pPr>
      <w:r>
        <w:rPr>
          <w:lang w:val="en_US" w:bidi="en_US"/>
        </w:rPr>
        <w:t>Luke 5:36</w:t>
      </w:r>
      <w:r>
        <w:rPr>
          <w:lang w:val="en_US" w:bidi="en_US"/>
        </w:rPr>
      </w:r>
    </w:p>
    <w:p>
      <w:pPr>
        <w:pStyle w:val="Heading4"/>
      </w:pPr>
      <w:r>
        <w:rPr>
          <w:lang w:val="en_US" w:bidi="en_US"/>
        </w:rPr>
        <w:t>Section 5:33–39: Jesus explained why his disciples did not fast</w:t>
      </w:r>
    </w:p>
    <w:p>
      <w:pPr/>
      <w:r>
        <w:rPr>
          <w:lang w:val="en_US" w:bidi="en_US"/>
        </w:rPr>
      </w:r>
      <w:r>
        <w:rPr>
          <w:lang w:val="en_US" w:bidi="en_US"/>
        </w:rPr>
        <w:t>In this section, some people made a comment to Jesus about fasting. Their comment implied that they were criticizing the disciples. It also implied the question, “Why do your disciples act differently from the disciples of John and the disciples of the Pharisees?” Jesus explained the difference in their actions. In his explanation, he compared himself to a bridegroom, and he compared his disciples to wedding guests. The disciples could not fast while he was with them, just as wedding guests do not fast while the bridegroom is with them.</w:t>
      </w:r>
    </w:p>
    <w:p>
      <w:pPr/>
      <w:r>
        <w:rPr>
          <w:lang w:val="en_US" w:bidi="en_US"/>
        </w:rPr>
      </w:r>
      <w:r>
        <w:rPr>
          <w:lang w:val="en_US" w:bidi="en_US"/>
        </w:rPr>
        <w:t>After he had explained this different attitude towards fasting, he told them that he was teaching a new way to live for God. His new way would not fit into the old traditions. To illustrate this, Jesus used three comparisons:</w:t>
      </w:r>
    </w:p>
    <w:p>
      <w:pPr>
        <w:pStyle w:val="ListNumber"/>
        <w:numPr>
          <w:ilvl w:val="0"/>
          <w:numId w:val="128"/>
        </w:numPr>
        <w:spacing w:line="240" w:lineRule="auto"/>
        <w:ind w:left="720"/>
      </w:pPr>
      <w:r>
        <w:rPr>
          <w:lang w:val="en_US" w:bidi="en_US"/>
        </w:rPr>
      </w:r>
      <w:r>
        <w:rPr>
          <w:lang w:val="en_US" w:bidi="en_US"/>
        </w:rPr>
        <w:t>He compared the old traditional ways to an old garment. He compared his new way to cloth taken from a new garment. No one would sew the new cloth onto an old garment.</w:t>
      </w:r>
    </w:p>
    <w:p>
      <w:pPr>
        <w:pStyle w:val="ListNumber"/>
        <w:spacing w:line="240" w:lineRule="auto"/>
        <w:ind w:left="720"/>
      </w:pPr>
      <w:r>
        <w:rPr>
          <w:lang w:val="en_US" w:bidi="en_US"/>
        </w:rPr>
      </w:r>
      <w:r>
        <w:rPr>
          <w:lang w:val="en_US" w:bidi="en_US"/>
        </w:rPr>
        <w:t>He compared the old traditional ways to old wineskins. He compared his new way to new wine. When new wine is put into old wineskins, both are ruined.</w:t>
      </w:r>
    </w:p>
    <w:p>
      <w:pPr>
        <w:pStyle w:val="ListNumber"/>
        <w:spacing w:line="240" w:lineRule="auto"/>
        <w:ind w:left="720"/>
      </w:pPr>
      <w:r>
        <w:rPr>
          <w:lang w:val="en_US" w:bidi="en_US"/>
        </w:rPr>
      </w:r>
      <w:r>
        <w:rPr>
          <w:lang w:val="en_US" w:bidi="en_US"/>
        </w:rPr>
        <w:t>Jesus concluded with a saying that rebuked those who wanted to keep to the old traditions. Jesus said that people who had drunk old wine did not want to drink new wine. He was really talking about people who were content with the old ways and teaching of the Jewish religion. He said that they were unwilling to consider the new ways and teaching that he had brought.</w:t>
      </w:r>
    </w:p>
    <w:p>
      <w:pPr/>
      <w:r>
        <w:rPr>
          <w:lang w:val="en_US" w:bidi="en_US"/>
        </w:rPr>
      </w:r>
      <w:r>
        <w:rPr>
          <w:lang w:val="en_US" w:bidi="en_US"/>
        </w:rPr>
        <w:t>This section can be difficult for people to understand because Jesus used comparisons to illustrate what he was teaching. He did not make what he was teaching explicit. If you need to make the meaning clearer, you should explain it in a footnote.</w:t>
      </w:r>
    </w:p>
    <w:p>
      <w:pPr/>
      <w:r>
        <w:rPr>
          <w:lang w:val="en_US" w:bidi="en_US"/>
        </w:rPr>
      </w:r>
      <w:r>
        <w:rPr>
          <w:lang w:val="en_US" w:bidi="en_US"/>
        </w:rPr>
        <w:t>In this section, there are some ideas that may not be familiar in certain cultures. For example:</w:t>
      </w:r>
    </w:p>
    <w:p>
      <w:pPr>
        <w:pStyle w:val="ListNumber"/>
        <w:numPr>
          <w:ilvl w:val="0"/>
          <w:numId w:val="129"/>
        </w:numPr>
        <w:spacing w:line="240" w:lineRule="auto"/>
        <w:ind w:left="720"/>
      </w:pPr>
      <w:r>
        <w:rPr>
          <w:lang w:val="en_US" w:bidi="en_US"/>
        </w:rPr>
      </w:r>
      <w:r>
        <w:rPr>
          <w:lang w:val="en_US" w:bidi="en_US"/>
        </w:rPr>
        <w:t>fasting</w:t>
      </w:r>
    </w:p>
    <w:p>
      <w:pPr>
        <w:pStyle w:val="ListNumber"/>
        <w:spacing w:line="240" w:lineRule="auto"/>
        <w:ind w:left="720"/>
      </w:pPr>
      <w:r>
        <w:rPr>
          <w:lang w:val="en_US" w:bidi="en_US"/>
        </w:rPr>
      </w:r>
      <w:r>
        <w:rPr>
          <w:lang w:val="en_US" w:bidi="en_US"/>
        </w:rPr>
        <w:t>Jewish wedding customs about bridegrooms</w:t>
      </w:r>
    </w:p>
    <w:p>
      <w:pPr>
        <w:pStyle w:val="ListNumber"/>
        <w:spacing w:line="240" w:lineRule="auto"/>
        <w:ind w:left="720"/>
      </w:pPr>
      <w:r>
        <w:rPr>
          <w:lang w:val="en_US" w:bidi="en_US"/>
        </w:rPr>
      </w:r>
      <w:r>
        <w:rPr>
          <w:lang w:val="en_US" w:bidi="en_US"/>
        </w:rPr>
        <w:t>sewing patches onto cloth</w:t>
      </w:r>
    </w:p>
    <w:p>
      <w:pPr>
        <w:pStyle w:val="ListNumber"/>
        <w:spacing w:line="240" w:lineRule="auto"/>
        <w:ind w:left="720"/>
      </w:pPr>
      <w:r>
        <w:rPr>
          <w:lang w:val="en_US" w:bidi="en_US"/>
        </w:rPr>
      </w:r>
      <w:r>
        <w:rPr>
          <w:lang w:val="en_US" w:bidi="en_US"/>
        </w:rPr>
        <w:t>new wine and old wine</w:t>
      </w:r>
    </w:p>
    <w:p>
      <w:pPr>
        <w:pStyle w:val="ListNumber"/>
        <w:spacing w:line="240" w:lineRule="auto"/>
        <w:ind w:left="720"/>
      </w:pPr>
      <w:r>
        <w:rPr>
          <w:lang w:val="en_US" w:bidi="en_US"/>
        </w:rPr>
      </w:r>
      <w:r>
        <w:rPr>
          <w:lang w:val="en_US" w:bidi="en_US"/>
        </w:rPr>
        <w:t>wineskins</w:t>
      </w:r>
    </w:p>
    <w:p>
      <w:pPr/>
      <w:r>
        <w:rPr>
          <w:lang w:val="en_US" w:bidi="en_US"/>
        </w:rPr>
      </w:r>
      <w:r>
        <w:rPr>
          <w:lang w:val="en_US" w:bidi="en_US"/>
        </w:rPr>
        <w:t>Consider carefully how to translate each of these ideas in a meaningful way in your language. The notes for this section will give suggestions.</w:t>
      </w:r>
    </w:p>
    <w:p>
      <w:pPr/>
      <w:r>
        <w:rPr>
          <w:lang w:val="en_US" w:bidi="en_US"/>
        </w:rPr>
      </w:r>
      <w:r>
        <w:rPr>
          <w:lang w:val="en_US" w:bidi="en_US"/>
        </w:rPr>
        <w:t>Some other possible headings for this section are:</w:t>
      </w:r>
    </w:p>
    <w:p>
      <w:pPr/>
      <w:r>
        <w:rPr>
          <w:lang w:val="en_US" w:bidi="en_US"/>
        </w:rPr>
      </w:r>
      <w:r>
        <w:rPr>
          <w:lang w:val="en_US" w:bidi="en_US"/>
        </w:rPr>
        <w:t>Jesus taught that his new way was different from Jewish traditions</w:t>
      </w:r>
    </w:p>
    <w:p>
      <w:pPr/>
      <w:r>
        <w:rPr>
          <w:lang w:val="en_US" w:bidi="en_US"/>
        </w:rPr>
      </w:r>
      <w:r>
        <w:rPr>
          <w:lang w:val="en_US" w:bidi="en_US"/>
        </w:rPr>
        <w:t>Jesus’ new way and the old ways</w:t>
      </w:r>
    </w:p>
    <w:p>
      <w:pPr/>
      <w:r>
        <w:rPr>
          <w:lang w:val="en_US" w:bidi="en_US"/>
        </w:rPr>
      </w:r>
      <w:r>
        <w:rPr>
          <w:lang w:val="en_US" w:bidi="en_US"/>
        </w:rPr>
        <w:t>This story also occurs in Matthew 9:14–17 and Mark 2:18–22.</w:t>
      </w:r>
    </w:p>
    <w:p>
      <w:pPr>
        <w:pStyle w:val="Heading4"/>
      </w:pPr>
      <w:r>
        <w:rPr>
          <w:lang w:val="en_US" w:bidi="en_US"/>
        </w:rPr>
        <w:t>Paragraph 5:36–39</w:t>
      </w:r>
    </w:p>
    <w:p>
      <w:pPr/>
      <w:r>
        <w:rPr>
          <w:lang w:val="en_US" w:bidi="en_US"/>
        </w:rPr>
      </w:r>
      <w:r>
        <w:rPr>
          <w:lang w:val="en_US" w:bidi="en_US"/>
        </w:rPr>
        <w:t>In this paragraph, Jesus used three short parables to explain that he was teaching a new way to live for God. His new way would not fit into the old traditions. People could not combine the old ways with the new. Each of the three parables is introduced with a general statement that is true of everyone.</w:t>
      </w:r>
    </w:p>
    <w:p>
      <w:pPr>
        <w:pStyle w:val="Heading5"/>
      </w:pPr>
      <w:r>
        <w:rPr>
          <w:lang w:val="en_US" w:bidi="en_US"/>
        </w:rPr>
        <w:t>5:36</w:t>
      </w:r>
    </w:p>
    <w:p>
      <w:pPr/>
      <w:r>
        <w:rPr>
          <w:lang w:val="en_US" w:bidi="en_US"/>
        </w:rPr>
      </w:r>
      <w:r>
        <w:rPr>
          <w:lang w:val="en_US" w:bidi="en_US"/>
        </w:rPr>
        <w:t>In this verse Jesus compared his teaching to a new garment. He compared the traditions of the Jews to an old garment. No one uses a piece of cloth torn from the new garment to patch an old garment. In the same way, people should not simply add his teaching to their traditions.</w:t>
      </w:r>
    </w:p>
    <w:p>
      <w:pPr>
        <w:pStyle w:val="Heading5"/>
      </w:pPr>
      <w:r>
        <w:rPr>
          <w:lang w:val="en_US" w:bidi="en_US"/>
        </w:rPr>
        <w:t>5:36a</w:t>
      </w:r>
    </w:p>
    <w:p>
      <w:pPr/>
      <w:r>
        <w:rPr>
          <w:lang w:val="en_US" w:bidi="en_US"/>
        </w:rPr>
      </w:r>
      <w:r>
        <w:rPr>
          <w:b/>
          <w:lang w:val="en_US" w:bidi="en_US"/>
        </w:rPr>
        <w:t>He also told them a parable:</w:t>
      </w:r>
    </w:p>
    <w:p>
      <w:pPr>
        <w:pStyle w:val="ListBullet"/>
        <w:spacing w:line="240" w:lineRule="auto"/>
        <w:ind w:left="720"/>
      </w:pPr>
      <w:r>
        <w:rPr>
          <w:lang w:val="en_US" w:bidi="en_US"/>
        </w:rPr>
      </w:r>
      <w:r>
        <w:rPr>
          <w:lang w:val="en_US" w:bidi="en_US"/>
        </w:rPr>
        <w:t>¶ Jesus told this parable/illustration to them:</w:t>
      </w:r>
    </w:p>
    <w:p>
      <w:pPr>
        <w:pStyle w:val="ListBullet"/>
        <w:spacing w:line="240" w:lineRule="auto"/>
        <w:ind w:left="720"/>
      </w:pPr>
      <w:r>
        <w:rPr>
          <w:lang w:val="en_US" w:bidi="en_US"/>
        </w:rPr>
      </w:r>
      <w:r>
        <w:rPr>
          <w:lang w:val="en_US" w:bidi="en_US"/>
        </w:rPr>
        <w:t>¶ Jesus made this comparison:</w:t>
      </w:r>
    </w:p>
    <w:p>
      <w:pPr/>
      <w:r>
        <w:rPr>
          <w:lang w:val="en_US" w:bidi="en_US"/>
        </w:rPr>
      </w:r>
      <w:r>
        <w:rPr>
          <w:b/>
          <w:lang w:val="en_US" w:bidi="en_US"/>
        </w:rPr>
        <w:t>parable:</w:t>
      </w:r>
      <w:r>
        <w:rPr>
          <w:lang w:val="en_US" w:bidi="en_US"/>
        </w:rPr>
        <w:t xml:space="preserve"> The Greek word that the BSB translates as </w:t>
      </w:r>
      <w:r>
        <w:rPr>
          <w:i/>
          <w:lang w:val="en_US" w:bidi="en_US"/>
        </w:rPr>
        <w:t>parable</w:t>
      </w:r>
      <w:r>
        <w:rPr>
          <w:lang w:val="en_US" w:bidi="en_US"/>
        </w:rPr>
        <w:t xml:space="preserve"> is a general word that is used to describe different types of wise speech. This includes parables, proverbs, illustrations, metaphors, and wise sayings. Here, Jesus used the word to refer to a wise saying.</w:t>
      </w:r>
    </w:p>
    <w:p>
      <w:pPr/>
      <w:r>
        <w:rPr>
          <w:lang w:val="en_US" w:bidi="en_US"/>
        </w:rPr>
      </w:r>
      <w:r>
        <w:rPr>
          <w:lang w:val="en_US" w:bidi="en_US"/>
        </w:rPr>
        <w:t>In this parable, Jesus compared his new way to live for God with a new garment. He compared the old traditions with an old garment.</w:t>
      </w:r>
    </w:p>
    <w:p>
      <w:pPr/>
      <w:r>
        <w:rPr>
          <w:lang w:val="en_US" w:bidi="en_US"/>
        </w:rPr>
      </w:r>
      <w:r>
        <w:rPr>
          <w:lang w:val="en_US" w:bidi="en_US"/>
        </w:rPr>
        <w:t xml:space="preserve">You will need to read the three parables in 5:36–39 carefully. Then consider how you would describe this type of speech in your language. Some ways to translate </w:t>
      </w:r>
      <w:r>
        <w:rPr>
          <w:i/>
          <w:lang w:val="en_US" w:bidi="en_US"/>
        </w:rPr>
        <w:t>parable</w:t>
      </w:r>
      <w:r>
        <w:rPr>
          <w:lang w:val="en_US" w:bidi="en_US"/>
        </w:rPr>
        <w:t xml:space="preserve"> in this context are:</w:t>
      </w:r>
    </w:p>
    <w:p>
      <w:pPr>
        <w:pStyle w:val="ListBullet"/>
        <w:spacing w:line="240" w:lineRule="auto"/>
        <w:ind w:left="720"/>
      </w:pPr>
      <w:r>
        <w:rPr>
          <w:lang w:val="en_US" w:bidi="en_US"/>
        </w:rPr>
      </w:r>
      <w:r>
        <w:rPr>
          <w:lang w:val="en_US" w:bidi="en_US"/>
        </w:rPr>
        <w:t>Use a specific term in your language that refers to this particular type of wise saying. For example:</w:t>
      </w:r>
      <w:r>
        <w:rPr>
          <w:lang w:val="en_US" w:bidi="en_US"/>
        </w:rPr>
        <w:t>symbolic saying/word</w:t>
      </w:r>
    </w:p>
    <w:p>
      <w:pPr>
        <w:pStyle w:val="ListBullet"/>
        <w:spacing w:line="240" w:lineRule="auto"/>
        <w:ind w:left="720"/>
      </w:pPr>
      <w:r>
        <w:rPr>
          <w:lang w:val="en_US" w:bidi="en_US"/>
        </w:rPr>
      </w:r>
      <w:r>
        <w:rPr>
          <w:lang w:val="en_US" w:bidi="en_US"/>
        </w:rPr>
        <w:t>Use a general term or descriptive phrase in your language that includes the different types of wise sayings. For example:</w:t>
      </w:r>
      <w:r>
        <w:rPr>
          <w:lang w:val="en_US" w:bidi="en_US"/>
        </w:rPr>
        <w:t>illustration (NLT)</w:t>
      </w:r>
      <w:r>
        <w:rPr>
          <w:lang w:val="en_US" w:bidi="en_US"/>
        </w:rPr>
        <w:t>metaphor</w:t>
      </w:r>
      <w:r>
        <w:rPr>
          <w:lang w:val="en_US" w:bidi="en_US"/>
        </w:rPr>
        <w:t>comparison</w:t>
      </w:r>
    </w:p>
    <w:p>
      <w:pPr/>
      <w:r>
        <w:rPr>
          <w:lang w:val="en_US" w:bidi="en_US"/>
        </w:rPr>
      </w:r>
      <w:r>
        <w:rPr>
          <w:lang w:val="en_US" w:bidi="en_US"/>
        </w:rPr>
        <w:t xml:space="preserve">See also </w:t>
      </w:r>
      <w:r>
        <w:rPr>
          <w:u w:val="single"/>
          <w:lang w:val="en_US" w:bidi="en_US"/>
        </w:rPr>
        <w:t>parable</w:t>
      </w:r>
      <w:r>
        <w:rPr>
          <w:lang w:val="en_US" w:bidi="en_US"/>
        </w:rPr>
        <w:t xml:space="preserve"> in KBT.</w:t>
      </w:r>
    </w:p>
    <w:p>
      <w:pPr>
        <w:pStyle w:val="Heading5"/>
      </w:pPr>
      <w:r>
        <w:rPr>
          <w:lang w:val="en_US" w:bidi="en_US"/>
        </w:rPr>
        <w:t>5:36b</w:t>
      </w:r>
    </w:p>
    <w:p>
      <w:pPr/>
      <w:r>
        <w:rPr>
          <w:lang w:val="en_US" w:bidi="en_US"/>
        </w:rPr>
      </w:r>
      <w:r>
        <w:rPr>
          <w:b/>
          <w:lang w:val="en_US" w:bidi="en_US"/>
        </w:rPr>
        <w:t>“No one tears a piece of cloth from a new garment and sews it on an old one.</w:t>
      </w:r>
    </w:p>
    <w:p>
      <w:pPr>
        <w:pStyle w:val="ListBullet"/>
        <w:spacing w:line="240" w:lineRule="auto"/>
        <w:ind w:left="720"/>
      </w:pPr>
      <w:r>
        <w:rPr>
          <w:lang w:val="en_US" w:bidi="en_US"/>
        </w:rPr>
      </w:r>
      <w:r>
        <w:rPr>
          <w:lang w:val="en_US" w:bidi="en_US"/>
        </w:rPr>
        <w:t>“People do not tear a piece of cloth from a new garment in order to sew it onto an old garment.</w:t>
      </w:r>
    </w:p>
    <w:p>
      <w:pPr>
        <w:pStyle w:val="ListBullet"/>
        <w:spacing w:line="240" w:lineRule="auto"/>
        <w:ind w:left="720"/>
      </w:pPr>
      <w:r>
        <w:rPr>
          <w:lang w:val="en_US" w:bidi="en_US"/>
        </w:rPr>
      </w:r>
      <w:r>
        <w:rPr>
          <w:lang w:val="en_US" w:bidi="en_US"/>
        </w:rPr>
        <w:t>“You</w:t>
      </w:r>
      <w:r>
        <w:rPr>
          <w:vertAlign w:val="superscript"/>
          <w:lang w:val="en_US" w:bidi="en_US"/>
        </w:rPr>
        <w:t>(sing or plur)</w:t>
      </w:r>
      <w:r>
        <w:rPr>
          <w:lang w:val="en_US" w:bidi="en_US"/>
        </w:rPr>
        <w:t xml:space="preserve"> do not tear/cut a piece of cloth from new clothing and attach it to old clothing </w:t>
      </w:r>
      <w:r>
        <w:rPr>
          <w:lang w:val="en_US" w:bidi="en_US"/>
        </w:rPr>
        <w:t>to mend it</w:t>
      </w:r>
      <w:r>
        <w:rPr>
          <w:lang w:val="en_US" w:bidi="en_US"/>
        </w:rPr>
        <w:t>.</w:t>
      </w:r>
    </w:p>
    <w:p>
      <w:pPr/>
      <w:r>
        <w:rPr>
          <w:lang w:val="en_US" w:bidi="en_US"/>
        </w:rPr>
      </w:r>
      <w:r>
        <w:rPr>
          <w:b/>
          <w:lang w:val="en_US" w:bidi="en_US"/>
        </w:rPr>
        <w:t>No one tears a piece of cloth from a new garment and sews it on an old one:</w:t>
      </w:r>
      <w:r>
        <w:rPr>
          <w:lang w:val="en_US" w:bidi="en_US"/>
        </w:rPr>
        <w:t xml:space="preserve"> The word </w:t>
      </w:r>
      <w:r>
        <w:rPr>
          <w:i/>
          <w:lang w:val="en_US" w:bidi="en_US"/>
        </w:rPr>
        <w:t>No one</w:t>
      </w:r>
      <w:r>
        <w:rPr>
          <w:lang w:val="en_US" w:bidi="en_US"/>
        </w:rPr>
        <w:t xml:space="preserve"> introduces a general statement. It says something that is true of everyone. In some languages it may be natural to introduce this statement with a general word such as “people” or with a pronoun such as “you” or “they.” For example:</w:t>
      </w:r>
    </w:p>
    <w:p>
      <w:pPr/>
      <w:r>
        <w:rPr>
          <w:lang w:val="en_US" w:bidi="en_US"/>
        </w:rPr>
      </w:r>
      <w:r>
        <w:rPr>
          <w:u w:val="single"/>
          <w:lang w:val="en_US" w:bidi="en_US"/>
        </w:rPr>
        <w:t>People</w:t>
      </w:r>
      <w:r>
        <w:rPr>
          <w:lang w:val="en_US" w:bidi="en_US"/>
        </w:rPr>
        <w:t xml:space="preserve"> do not tear a patch from a new garment and sew it on an old one.</w:t>
      </w:r>
    </w:p>
    <w:p>
      <w:pPr/>
      <w:r>
        <w:rPr>
          <w:lang w:val="en_US" w:bidi="en_US"/>
        </w:rPr>
      </w:r>
      <w:r>
        <w:rPr>
          <w:u w:val="single"/>
          <w:lang w:val="en_US" w:bidi="en_US"/>
        </w:rPr>
        <w:t>You</w:t>
      </w:r>
      <w:r>
        <w:rPr>
          <w:lang w:val="en_US" w:bidi="en_US"/>
        </w:rPr>
        <w:t xml:space="preserve"> don’t tear a piece off a new coat to patch up an old coat. (GNT)</w:t>
      </w:r>
    </w:p>
    <w:p>
      <w:pPr/>
      <w:r>
        <w:rPr>
          <w:lang w:val="en_US" w:bidi="en_US"/>
        </w:rPr>
      </w:r>
      <w:r>
        <w:rPr>
          <w:b/>
          <w:lang w:val="en_US" w:bidi="en_US"/>
        </w:rPr>
        <w:t>garment:</w:t>
      </w:r>
      <w:r>
        <w:rPr>
          <w:lang w:val="en_US" w:bidi="en_US"/>
        </w:rPr>
        <w:t xml:space="preserve"> The Greek word that the BSB translates as </w:t>
      </w:r>
      <w:r>
        <w:rPr>
          <w:i/>
          <w:lang w:val="en_US" w:bidi="en_US"/>
        </w:rPr>
        <w:t>garment</w:t>
      </w:r>
      <w:r>
        <w:rPr>
          <w:lang w:val="en_US" w:bidi="en_US"/>
        </w:rPr>
        <w:t xml:space="preserve"> means “clothing.” It can refer to any item of clothing a person wore, but sometimes it refers specifically to the outer robe that people wore. In this context, it probably refers generally to any piece of clothing.</w:t>
      </w:r>
    </w:p>
    <w:p>
      <w:pPr>
        <w:pStyle w:val="Heading5"/>
      </w:pPr>
      <w:r>
        <w:rPr>
          <w:lang w:val="en_US" w:bidi="en_US"/>
        </w:rPr>
        <w:t>5:36c</w:t>
      </w:r>
    </w:p>
    <w:p>
      <w:pPr/>
      <w:r>
        <w:rPr>
          <w:lang w:val="en_US" w:bidi="en_US"/>
        </w:rPr>
      </w:r>
      <w:r>
        <w:rPr>
          <w:b/>
          <w:lang w:val="en_US" w:bidi="en_US"/>
        </w:rPr>
        <w:t>If he does, he will tear the new garment as well,</w:t>
      </w:r>
    </w:p>
    <w:p>
      <w:pPr>
        <w:pStyle w:val="ListBullet"/>
        <w:spacing w:line="240" w:lineRule="auto"/>
        <w:ind w:left="720"/>
      </w:pPr>
      <w:r>
        <w:rPr>
          <w:lang w:val="en_US" w:bidi="en_US"/>
        </w:rPr>
      </w:r>
      <w:r>
        <w:rPr>
          <w:lang w:val="en_US" w:bidi="en_US"/>
        </w:rPr>
        <w:t>If they did, they would tear the new garment,</w:t>
      </w:r>
    </w:p>
    <w:p>
      <w:pPr>
        <w:pStyle w:val="ListBullet"/>
        <w:spacing w:line="240" w:lineRule="auto"/>
        <w:ind w:left="720"/>
      </w:pPr>
      <w:r>
        <w:rPr>
          <w:lang w:val="en_US" w:bidi="en_US"/>
        </w:rPr>
      </w:r>
      <w:r>
        <w:rPr>
          <w:lang w:val="en_US" w:bidi="en_US"/>
        </w:rPr>
        <w:t>The results/consequences of</w:t>
      </w:r>
      <w:r>
        <w:rPr>
          <w:lang w:val="en_US" w:bidi="en_US"/>
        </w:rPr>
        <w:t xml:space="preserve"> doing such a thing </w:t>
      </w:r>
      <w:r>
        <w:rPr>
          <w:lang w:val="en_US" w:bidi="en_US"/>
        </w:rPr>
        <w:t>would be</w:t>
      </w:r>
      <w:r>
        <w:rPr>
          <w:lang w:val="en_US" w:bidi="en_US"/>
        </w:rPr>
        <w:t xml:space="preserve"> that the new clothing would be ruined,</w:t>
      </w:r>
    </w:p>
    <w:p>
      <w:pPr/>
      <w:r>
        <w:rPr>
          <w:lang w:val="en_US" w:bidi="en_US"/>
        </w:rPr>
      </w:r>
      <w:r>
        <w:rPr>
          <w:b/>
          <w:lang w:val="en_US" w:bidi="en_US"/>
        </w:rPr>
        <w:t>If he does:</w:t>
      </w:r>
      <w:r>
        <w:rPr>
          <w:lang w:val="en_US" w:bidi="en_US"/>
        </w:rPr>
        <w:t xml:space="preserve"> In Greek, this part of the verse begins with a phrase that the BSB translates as </w:t>
      </w:r>
      <w:r>
        <w:rPr>
          <w:i/>
          <w:lang w:val="en_US" w:bidi="en_US"/>
        </w:rPr>
        <w:t>If he does</w:t>
      </w:r>
      <w:r>
        <w:rPr>
          <w:lang w:val="en_US" w:bidi="en_US"/>
        </w:rPr>
        <w:t>. This phrase introduces the possibility of someone doing what was described in 5:36b (which no one actually ever does). It means, “If someone were to do this (which he would not)….”</w:t>
      </w:r>
    </w:p>
    <w:p>
      <w:pPr/>
      <w:r>
        <w:rPr>
          <w:lang w:val="en_US" w:bidi="en_US"/>
        </w:rPr>
      </w:r>
      <w:r>
        <w:rPr>
          <w:lang w:val="en_US" w:bidi="en_US"/>
        </w:rPr>
        <w:t>Some other ways to translate this are:</w:t>
      </w:r>
    </w:p>
    <w:p>
      <w:pPr/>
      <w:r>
        <w:rPr>
          <w:lang w:val="en_US" w:bidi="en_US"/>
        </w:rPr>
      </w:r>
      <w:r>
        <w:rPr>
          <w:lang w:val="en_US" w:bidi="en_US"/>
        </w:rPr>
        <w:t>The consequences of doing that would be…</w:t>
      </w:r>
    </w:p>
    <w:p>
      <w:pPr/>
      <w:r>
        <w:rPr>
          <w:lang w:val="en_US" w:bidi="en_US"/>
        </w:rPr>
      </w:r>
      <w:r>
        <w:rPr>
          <w:lang w:val="en_US" w:bidi="en_US"/>
        </w:rPr>
        <w:t>Otherwise (NCV)</w:t>
      </w:r>
    </w:p>
    <w:p>
      <w:pPr/>
      <w:r>
        <w:rPr>
          <w:lang w:val="en_US" w:bidi="en_US"/>
        </w:rPr>
      </w:r>
      <w:r>
        <w:rPr>
          <w:lang w:val="en_US" w:bidi="en_US"/>
        </w:rPr>
        <w:t>For then (NLT)</w:t>
      </w:r>
    </w:p>
    <w:p>
      <w:pPr/>
      <w:r>
        <w:rPr>
          <w:lang w:val="en_US" w:bidi="en_US"/>
        </w:rPr>
      </w:r>
      <w:r>
        <w:rPr>
          <w:b/>
          <w:lang w:val="en_US" w:bidi="en_US"/>
        </w:rPr>
        <w:t>he will tear the new garment as well:</w:t>
      </w:r>
      <w:r>
        <w:rPr>
          <w:lang w:val="en_US" w:bidi="en_US"/>
        </w:rPr>
        <w:t xml:space="preserve"> If someone tears a patch from a new garment, he spoils or damages the new garment. This is a first undesirable result. Some other ways to translate this are:</w:t>
      </w:r>
    </w:p>
    <w:p>
      <w:pPr/>
      <w:r>
        <w:rPr>
          <w:lang w:val="en_US" w:bidi="en_US"/>
        </w:rPr>
      </w:r>
      <w:r>
        <w:rPr>
          <w:lang w:val="en_US" w:bidi="en_US"/>
        </w:rPr>
        <w:t>he ruins the new coat (NCV)</w:t>
      </w:r>
    </w:p>
    <w:p>
      <w:pPr/>
      <w:r>
        <w:rPr>
          <w:lang w:val="en_US" w:bidi="en_US"/>
        </w:rPr>
      </w:r>
      <w:r>
        <w:rPr>
          <w:lang w:val="en_US" w:bidi="en_US"/>
        </w:rPr>
        <w:t>he will have made a hole in the new garment (REB)</w:t>
      </w:r>
    </w:p>
    <w:p>
      <w:pPr>
        <w:pStyle w:val="Heading5"/>
      </w:pPr>
      <w:r>
        <w:rPr>
          <w:lang w:val="en_US" w:bidi="en_US"/>
        </w:rPr>
        <w:t>5:36d</w:t>
      </w:r>
    </w:p>
    <w:p>
      <w:pPr/>
      <w:r>
        <w:rPr>
          <w:lang w:val="en_US" w:bidi="en_US"/>
        </w:rPr>
      </w:r>
      <w:r>
        <w:rPr>
          <w:b/>
          <w:lang w:val="en_US" w:bidi="en_US"/>
        </w:rPr>
        <w:t>and the patch from the new will not match the old.</w:t>
      </w:r>
    </w:p>
    <w:p>
      <w:pPr>
        <w:pStyle w:val="ListBullet"/>
        <w:spacing w:line="240" w:lineRule="auto"/>
        <w:ind w:left="720"/>
      </w:pPr>
      <w:r>
        <w:rPr>
          <w:lang w:val="en_US" w:bidi="en_US"/>
        </w:rPr>
      </w:r>
      <w:r>
        <w:rPr>
          <w:lang w:val="en_US" w:bidi="en_US"/>
        </w:rPr>
        <w:t>and the piece from the new garment would not match the old garment.</w:t>
      </w:r>
    </w:p>
    <w:p>
      <w:pPr>
        <w:pStyle w:val="ListBullet"/>
        <w:spacing w:line="240" w:lineRule="auto"/>
        <w:ind w:left="720"/>
      </w:pPr>
      <w:r>
        <w:rPr>
          <w:lang w:val="en_US" w:bidi="en_US"/>
        </w:rPr>
      </w:r>
      <w:r>
        <w:rPr>
          <w:lang w:val="en_US" w:bidi="en_US"/>
        </w:rPr>
        <w:t>and also that the piece/patch taken from the new clothing would not be the same as the old clothing.</w:t>
      </w:r>
    </w:p>
    <w:p>
      <w:pPr/>
      <w:r>
        <w:rPr>
          <w:lang w:val="en_US" w:bidi="en_US"/>
        </w:rPr>
      </w:r>
      <w:r>
        <w:rPr>
          <w:lang w:val="en_US" w:bidi="en_US"/>
        </w:rPr>
        <w:t>Verse 5:36d describes a second undesirable result of tearing a patch from a new garment to repair an old garment.</w:t>
      </w:r>
    </w:p>
    <w:p>
      <w:pPr/>
      <w:r>
        <w:rPr>
          <w:lang w:val="en_US" w:bidi="en_US"/>
        </w:rPr>
      </w:r>
      <w:r>
        <w:rPr>
          <w:b/>
          <w:lang w:val="en_US" w:bidi="en_US"/>
        </w:rPr>
        <w:t>the patch from the new will not match the old:</w:t>
      </w:r>
      <w:r>
        <w:rPr>
          <w:lang w:val="en_US" w:bidi="en_US"/>
        </w:rPr>
        <w:t xml:space="preserve"> The Greek clause that the BSB translates as </w:t>
      </w:r>
      <w:r>
        <w:rPr>
          <w:i/>
          <w:lang w:val="en_US" w:bidi="en_US"/>
        </w:rPr>
        <w:t>the patch from the new will not match the old</w:t>
      </w:r>
      <w:r>
        <w:rPr>
          <w:lang w:val="en_US" w:bidi="en_US"/>
        </w:rPr>
        <w:t xml:space="preserve"> is literally “the patch from the new will not agree with the old.” This means that the piece of cloth taken from the new garment will not be like the material of old garment. It will be different in age. It will look different. It will feel different. The amount it has shrunk will be different. (See Matthew 9:16 and Mark 2:21.)</w:t>
      </w:r>
      <w:r>
        <w:rPr>
          <w:lang w:val="en_US" w:bidi="en_US"/>
        </w:rPr>
        <w:t>Though the idea of shrinkage is not in focus in Luke as it is in Matthew and Mark, it seems right to interpret the sense of “match” or “fit” in Luke in that sense as well.</w:t>
      </w:r>
      <w:r>
        <w:rPr>
          <w:lang w:val="en_US" w:bidi="en_US"/>
        </w:rPr>
        <w:t xml:space="preserve"> Some ways to translate this are:</w:t>
      </w:r>
    </w:p>
    <w:p>
      <w:pPr/>
      <w:r>
        <w:rPr>
          <w:lang w:val="en_US" w:bidi="en_US"/>
        </w:rPr>
      </w:r>
      <w:r>
        <w:rPr>
          <w:lang w:val="en_US" w:bidi="en_US"/>
        </w:rPr>
        <w:t>the cloth from the new coat will not be the same as the old cloth (NCV)</w:t>
      </w:r>
    </w:p>
    <w:p>
      <w:pPr/>
      <w:r>
        <w:rPr>
          <w:lang w:val="en_US" w:bidi="en_US"/>
        </w:rPr>
      </w:r>
      <w:r>
        <w:rPr>
          <w:lang w:val="en_US" w:bidi="en_US"/>
        </w:rPr>
        <w:t>the new patch wouldn’t even match the old garment (NLT)</w:t>
      </w:r>
    </w:p>
    <w:p>
      <w:pPr/>
      <w:r>
        <w:rPr>
          <w:lang w:val="en_US" w:bidi="en_US"/>
        </w:rPr>
      </w:r>
      <w:r>
        <w:rPr>
          <w:b/>
          <w:lang w:val="en_US" w:bidi="en_US"/>
        </w:rPr>
        <w:t>patch:</w:t>
      </w:r>
      <w:r>
        <w:rPr>
          <w:lang w:val="en_US" w:bidi="en_US"/>
        </w:rPr>
        <w:t xml:space="preserve"> A </w:t>
      </w:r>
      <w:r>
        <w:rPr>
          <w:i/>
          <w:lang w:val="en_US" w:bidi="en_US"/>
        </w:rPr>
        <w:t>patch</w:t>
      </w:r>
      <w:r>
        <w:rPr>
          <w:lang w:val="en_US" w:bidi="en_US"/>
        </w:rPr>
        <w:t xml:space="preserve"> is a small piece of cloth that someone sews over a hole or torn area of another cloth. It means the same thing as the phrase “piece of cloth” in 5:36b.</w:t>
      </w:r>
    </w:p>
    <w:p>
      <w:pPr>
        <w:pStyle w:val="Heading6"/>
      </w:pPr>
      <w:r>
        <w:rPr>
          <w:b/>
          <w:lang w:val="en_US" w:bidi="en_US"/>
        </w:rPr>
        <w:t>General Comment on 5:36a–d</w:t>
      </w:r>
    </w:p>
    <w:p>
      <w:pPr/>
      <w:r>
        <w:rPr>
          <w:lang w:val="en_US" w:bidi="en_US"/>
        </w:rPr>
      </w:r>
      <w:r>
        <w:rPr>
          <w:lang w:val="en_US" w:bidi="en_US"/>
        </w:rPr>
        <w:t>You may want to add a footnote to explain some of the meaning of Jesus’ parable. Some sample footnotes are:</w:t>
      </w:r>
    </w:p>
    <w:p>
      <w:pPr/>
      <w:r>
        <w:rPr>
          <w:lang w:val="en_US" w:bidi="en_US"/>
        </w:rPr>
      </w:r>
      <w:r>
        <w:rPr>
          <w:lang w:val="en_US" w:bidi="en_US"/>
        </w:rPr>
        <w:t>Jesus gave them this illustration to show what happens if his teaching is mixed with old traditions.</w:t>
      </w:r>
    </w:p>
    <w:p>
      <w:pPr/>
      <w:r>
        <w:rPr>
          <w:lang w:val="en_US" w:bidi="en_US"/>
        </w:rPr>
      </w:r>
      <w:r>
        <w:rPr>
          <w:lang w:val="en_US" w:bidi="en_US"/>
        </w:rPr>
        <w:t>Jesus compared his teaching to a new garment. He compared the traditions of the Jews to an old garment. No one uses a piece of cloth torn from a new garment to patch an old garment. In the same way, people should not simply add his teaching to their old ways of life. His new way would not fit into the old traditions.</w:t>
      </w:r>
      <w:r>
        <w:rPr>
          <w:lang w:val="en_US" w:bidi="en_US"/>
        </w:rPr>
      </w:r>
      <w:r>
        <w:rPr>
          <w:lang w:val="en_US" w:bidi="en_US"/>
        </w:rPr>
      </w:r>
    </w:p>
    <w:p>
      <w:pPr/>
      <w:r>
        <w:rPr>
          <w:lang w:val="en_US" w:bidi="en_US"/>
        </w:rPr>
      </w:r>
    </w:p>
    <w:p>
      <w:pPr>
        <w:pStyle w:val="Heading2"/>
      </w:pPr>
      <w:r>
        <w:rPr>
          <w:lang w:val="en_US" w:bidi="en_US"/>
        </w:rPr>
        <w:t>Luke 5:37</w:t>
      </w:r>
      <w:r>
        <w:rPr>
          <w:lang w:val="en_US" w:bidi="en_US"/>
        </w:rPr>
      </w:r>
    </w:p>
    <w:p>
      <w:pPr>
        <w:pStyle w:val="Heading4"/>
      </w:pPr>
      <w:r>
        <w:rPr>
          <w:lang w:val="en_US" w:bidi="en_US"/>
        </w:rPr>
        <w:t>Section 5:33–39: Jesus explained why his disciples did not fast</w:t>
      </w:r>
    </w:p>
    <w:p>
      <w:pPr/>
      <w:r>
        <w:rPr>
          <w:lang w:val="en_US" w:bidi="en_US"/>
        </w:rPr>
      </w:r>
      <w:r>
        <w:rPr>
          <w:lang w:val="en_US" w:bidi="en_US"/>
        </w:rPr>
        <w:t>In this section, some people made a comment to Jesus about fasting. Their comment implied that they were criticizing the disciples. It also implied the question, “Why do your disciples act differently from the disciples of John and the disciples of the Pharisees?” Jesus explained the difference in their actions. In his explanation, he compared himself to a bridegroom, and he compared his disciples to wedding guests. The disciples could not fast while he was with them, just as wedding guests do not fast while the bridegroom is with them.</w:t>
      </w:r>
    </w:p>
    <w:p>
      <w:pPr/>
      <w:r>
        <w:rPr>
          <w:lang w:val="en_US" w:bidi="en_US"/>
        </w:rPr>
      </w:r>
      <w:r>
        <w:rPr>
          <w:lang w:val="en_US" w:bidi="en_US"/>
        </w:rPr>
        <w:t>After he had explained this different attitude towards fasting, he told them that he was teaching a new way to live for God. His new way would not fit into the old traditions. To illustrate this, Jesus used three comparisons:</w:t>
      </w:r>
    </w:p>
    <w:p>
      <w:pPr>
        <w:pStyle w:val="ListNumber"/>
        <w:numPr>
          <w:ilvl w:val="0"/>
          <w:numId w:val="130"/>
        </w:numPr>
        <w:spacing w:line="240" w:lineRule="auto"/>
        <w:ind w:left="720"/>
      </w:pPr>
      <w:r>
        <w:rPr>
          <w:lang w:val="en_US" w:bidi="en_US"/>
        </w:rPr>
      </w:r>
      <w:r>
        <w:rPr>
          <w:lang w:val="en_US" w:bidi="en_US"/>
        </w:rPr>
        <w:t>He compared the old traditional ways to an old garment. He compared his new way to cloth taken from a new garment. No one would sew the new cloth onto an old garment.</w:t>
      </w:r>
    </w:p>
    <w:p>
      <w:pPr>
        <w:pStyle w:val="ListNumber"/>
        <w:spacing w:line="240" w:lineRule="auto"/>
        <w:ind w:left="720"/>
      </w:pPr>
      <w:r>
        <w:rPr>
          <w:lang w:val="en_US" w:bidi="en_US"/>
        </w:rPr>
      </w:r>
      <w:r>
        <w:rPr>
          <w:lang w:val="en_US" w:bidi="en_US"/>
        </w:rPr>
        <w:t>He compared the old traditional ways to old wineskins. He compared his new way to new wine. When new wine is put into old wineskins, both are ruined.</w:t>
      </w:r>
    </w:p>
    <w:p>
      <w:pPr>
        <w:pStyle w:val="ListNumber"/>
        <w:spacing w:line="240" w:lineRule="auto"/>
        <w:ind w:left="720"/>
      </w:pPr>
      <w:r>
        <w:rPr>
          <w:lang w:val="en_US" w:bidi="en_US"/>
        </w:rPr>
      </w:r>
      <w:r>
        <w:rPr>
          <w:lang w:val="en_US" w:bidi="en_US"/>
        </w:rPr>
        <w:t>Jesus concluded with a saying that rebuked those who wanted to keep to the old traditions. Jesus said that people who had drunk old wine did not want to drink new wine. He was really talking about people who were content with the old ways and teaching of the Jewish religion. He said that they were unwilling to consider the new ways and teaching that he had brought.</w:t>
      </w:r>
    </w:p>
    <w:p>
      <w:pPr/>
      <w:r>
        <w:rPr>
          <w:lang w:val="en_US" w:bidi="en_US"/>
        </w:rPr>
      </w:r>
      <w:r>
        <w:rPr>
          <w:lang w:val="en_US" w:bidi="en_US"/>
        </w:rPr>
        <w:t>This section can be difficult for people to understand because Jesus used comparisons to illustrate what he was teaching. He did not make what he was teaching explicit. If you need to make the meaning clearer, you should explain it in a footnote.</w:t>
      </w:r>
    </w:p>
    <w:p>
      <w:pPr/>
      <w:r>
        <w:rPr>
          <w:lang w:val="en_US" w:bidi="en_US"/>
        </w:rPr>
      </w:r>
      <w:r>
        <w:rPr>
          <w:lang w:val="en_US" w:bidi="en_US"/>
        </w:rPr>
        <w:t>In this section, there are some ideas that may not be familiar in certain cultures. For example:</w:t>
      </w:r>
    </w:p>
    <w:p>
      <w:pPr>
        <w:pStyle w:val="ListNumber"/>
        <w:numPr>
          <w:ilvl w:val="0"/>
          <w:numId w:val="131"/>
        </w:numPr>
        <w:spacing w:line="240" w:lineRule="auto"/>
        <w:ind w:left="720"/>
      </w:pPr>
      <w:r>
        <w:rPr>
          <w:lang w:val="en_US" w:bidi="en_US"/>
        </w:rPr>
      </w:r>
      <w:r>
        <w:rPr>
          <w:lang w:val="en_US" w:bidi="en_US"/>
        </w:rPr>
        <w:t>fasting</w:t>
      </w:r>
    </w:p>
    <w:p>
      <w:pPr>
        <w:pStyle w:val="ListNumber"/>
        <w:spacing w:line="240" w:lineRule="auto"/>
        <w:ind w:left="720"/>
      </w:pPr>
      <w:r>
        <w:rPr>
          <w:lang w:val="en_US" w:bidi="en_US"/>
        </w:rPr>
      </w:r>
      <w:r>
        <w:rPr>
          <w:lang w:val="en_US" w:bidi="en_US"/>
        </w:rPr>
        <w:t>Jewish wedding customs about bridegrooms</w:t>
      </w:r>
    </w:p>
    <w:p>
      <w:pPr>
        <w:pStyle w:val="ListNumber"/>
        <w:spacing w:line="240" w:lineRule="auto"/>
        <w:ind w:left="720"/>
      </w:pPr>
      <w:r>
        <w:rPr>
          <w:lang w:val="en_US" w:bidi="en_US"/>
        </w:rPr>
      </w:r>
      <w:r>
        <w:rPr>
          <w:lang w:val="en_US" w:bidi="en_US"/>
        </w:rPr>
        <w:t>sewing patches onto cloth</w:t>
      </w:r>
    </w:p>
    <w:p>
      <w:pPr>
        <w:pStyle w:val="ListNumber"/>
        <w:spacing w:line="240" w:lineRule="auto"/>
        <w:ind w:left="720"/>
      </w:pPr>
      <w:r>
        <w:rPr>
          <w:lang w:val="en_US" w:bidi="en_US"/>
        </w:rPr>
      </w:r>
      <w:r>
        <w:rPr>
          <w:lang w:val="en_US" w:bidi="en_US"/>
        </w:rPr>
        <w:t>new wine and old wine</w:t>
      </w:r>
    </w:p>
    <w:p>
      <w:pPr>
        <w:pStyle w:val="ListNumber"/>
        <w:spacing w:line="240" w:lineRule="auto"/>
        <w:ind w:left="720"/>
      </w:pPr>
      <w:r>
        <w:rPr>
          <w:lang w:val="en_US" w:bidi="en_US"/>
        </w:rPr>
      </w:r>
      <w:r>
        <w:rPr>
          <w:lang w:val="en_US" w:bidi="en_US"/>
        </w:rPr>
        <w:t>wineskins</w:t>
      </w:r>
    </w:p>
    <w:p>
      <w:pPr/>
      <w:r>
        <w:rPr>
          <w:lang w:val="en_US" w:bidi="en_US"/>
        </w:rPr>
      </w:r>
      <w:r>
        <w:rPr>
          <w:lang w:val="en_US" w:bidi="en_US"/>
        </w:rPr>
        <w:t>Consider carefully how to translate each of these ideas in a meaningful way in your language. The notes for this section will give suggestions.</w:t>
      </w:r>
    </w:p>
    <w:p>
      <w:pPr/>
      <w:r>
        <w:rPr>
          <w:lang w:val="en_US" w:bidi="en_US"/>
        </w:rPr>
      </w:r>
      <w:r>
        <w:rPr>
          <w:lang w:val="en_US" w:bidi="en_US"/>
        </w:rPr>
        <w:t>Some other possible headings for this section are:</w:t>
      </w:r>
    </w:p>
    <w:p>
      <w:pPr/>
      <w:r>
        <w:rPr>
          <w:lang w:val="en_US" w:bidi="en_US"/>
        </w:rPr>
      </w:r>
      <w:r>
        <w:rPr>
          <w:lang w:val="en_US" w:bidi="en_US"/>
        </w:rPr>
        <w:t>Jesus taught that his new way was different from Jewish traditions</w:t>
      </w:r>
    </w:p>
    <w:p>
      <w:pPr/>
      <w:r>
        <w:rPr>
          <w:lang w:val="en_US" w:bidi="en_US"/>
        </w:rPr>
      </w:r>
      <w:r>
        <w:rPr>
          <w:lang w:val="en_US" w:bidi="en_US"/>
        </w:rPr>
        <w:t>Jesus’ new way and the old ways</w:t>
      </w:r>
    </w:p>
    <w:p>
      <w:pPr/>
      <w:r>
        <w:rPr>
          <w:lang w:val="en_US" w:bidi="en_US"/>
        </w:rPr>
      </w:r>
      <w:r>
        <w:rPr>
          <w:lang w:val="en_US" w:bidi="en_US"/>
        </w:rPr>
        <w:t>This story also occurs in Matthew 9:14–17 and Mark 2:18–22.</w:t>
      </w:r>
    </w:p>
    <w:p>
      <w:pPr>
        <w:pStyle w:val="Heading4"/>
      </w:pPr>
      <w:r>
        <w:rPr>
          <w:lang w:val="en_US" w:bidi="en_US"/>
        </w:rPr>
        <w:t>Paragraph 5:36–39</w:t>
      </w:r>
    </w:p>
    <w:p>
      <w:pPr/>
      <w:r>
        <w:rPr>
          <w:lang w:val="en_US" w:bidi="en_US"/>
        </w:rPr>
      </w:r>
      <w:r>
        <w:rPr>
          <w:lang w:val="en_US" w:bidi="en_US"/>
        </w:rPr>
        <w:t>In this paragraph, Jesus used three short parables to explain that he was teaching a new way to live for God. His new way would not fit into the old traditions. People could not combine the old ways with the new. Each of the three parables is introduced with a general statement that is true of everyone.</w:t>
      </w:r>
    </w:p>
    <w:p>
      <w:pPr>
        <w:pStyle w:val="Heading5"/>
      </w:pPr>
      <w:r>
        <w:rPr>
          <w:lang w:val="en_US" w:bidi="en_US"/>
        </w:rPr>
        <w:t>5:37–38</w:t>
      </w:r>
    </w:p>
    <w:p>
      <w:pPr/>
      <w:r>
        <w:rPr>
          <w:lang w:val="en_US" w:bidi="en_US"/>
        </w:rPr>
      </w:r>
      <w:r>
        <w:rPr>
          <w:lang w:val="en_US" w:bidi="en_US"/>
        </w:rPr>
        <w:t>Jesus’ second parable/illustration teaches the same thing as the first. In this illustration, he compared his teaching to new wine. The traditions were like old animal skins that people used to make containers for storing wine. The BSB calls these containers “wineskins.” If a person put new wine into old wineskins, the skins would burst. Jesus’ new way was too different to fit into the old traditions of the Jewish people.</w:t>
      </w:r>
    </w:p>
    <w:p>
      <w:pPr>
        <w:pStyle w:val="Heading5"/>
      </w:pPr>
      <w:r>
        <w:rPr>
          <w:lang w:val="en_US" w:bidi="en_US"/>
        </w:rPr>
        <w:t>5:37a</w:t>
      </w:r>
    </w:p>
    <w:p>
      <w:pPr/>
      <w:r>
        <w:rPr>
          <w:lang w:val="en_US" w:bidi="en_US"/>
        </w:rPr>
      </w:r>
      <w:r>
        <w:rPr>
          <w:b/>
          <w:lang w:val="en_US" w:bidi="en_US"/>
        </w:rPr>
        <w:t>And no one pours new wine into old wineskins.</w:t>
      </w:r>
    </w:p>
    <w:p>
      <w:pPr>
        <w:pStyle w:val="ListBullet"/>
        <w:spacing w:line="240" w:lineRule="auto"/>
        <w:ind w:left="720"/>
      </w:pPr>
      <w:r>
        <w:rPr>
          <w:lang w:val="en_US" w:bidi="en_US"/>
        </w:rPr>
      </w:r>
      <w:r>
        <w:rPr>
          <w:lang w:val="en_US" w:bidi="en_US"/>
        </w:rPr>
        <w:t>Similarly, people do not pour/put new wine into old animal-skin containers/bags.</w:t>
      </w:r>
    </w:p>
    <w:p>
      <w:pPr>
        <w:pStyle w:val="ListBullet"/>
        <w:spacing w:line="240" w:lineRule="auto"/>
        <w:ind w:left="720"/>
      </w:pPr>
      <w:r>
        <w:rPr>
          <w:lang w:val="en_US" w:bidi="en_US"/>
        </w:rPr>
      </w:r>
      <w:r>
        <w:rPr>
          <w:lang w:val="en_US" w:bidi="en_US"/>
        </w:rPr>
        <w:t>Here is a similar example. You</w:t>
      </w:r>
      <w:r>
        <w:rPr>
          <w:vertAlign w:val="superscript"/>
          <w:lang w:val="en_US" w:bidi="en_US"/>
        </w:rPr>
        <w:t>(sing or plur)</w:t>
      </w:r>
      <w:r>
        <w:rPr>
          <w:lang w:val="en_US" w:bidi="en_US"/>
        </w:rPr>
        <w:t xml:space="preserve"> do not pour fresh, </w:t>
      </w:r>
      <w:r>
        <w:rPr>
          <w:lang w:val="en_US" w:bidi="en_US"/>
        </w:rPr>
        <w:t>unfermented</w:t>
      </w:r>
      <w:r>
        <w:rPr>
          <w:lang w:val="en_US" w:bidi="en_US"/>
        </w:rPr>
        <w:t xml:space="preserve"> wine into old </w:t>
      </w:r>
      <w:r>
        <w:rPr>
          <w:lang w:val="en_US" w:bidi="en_US"/>
        </w:rPr>
        <w:t>brittle/stiff</w:t>
      </w:r>
      <w:r>
        <w:rPr>
          <w:lang w:val="en_US" w:bidi="en_US"/>
        </w:rPr>
        <w:t xml:space="preserve"> goat skin containers.</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another parable/illustration. Jesus gave this illustration to show again that he was teaching new things that did not fit the old traditions. Here are several possible ways to introduce this illustration:</w:t>
      </w:r>
    </w:p>
    <w:p>
      <w:pPr>
        <w:pStyle w:val="ListBullet"/>
        <w:spacing w:line="240" w:lineRule="auto"/>
        <w:ind w:left="720"/>
      </w:pPr>
      <w:r>
        <w:rPr>
          <w:lang w:val="en_US" w:bidi="en_US"/>
        </w:rPr>
      </w:r>
      <w:r>
        <w:rPr>
          <w:lang w:val="en_US" w:bidi="en_US"/>
        </w:rPr>
        <w:t>Connect this illustration to the first one by indicating that it was something further that Jesus said. For example:</w:t>
      </w:r>
      <w:r>
        <w:rPr>
          <w:lang w:val="en_US" w:bidi="en_US"/>
        </w:rPr>
        <w:t>Jesus also said,</w:t>
      </w:r>
      <w:r>
        <w:rPr>
          <w:lang w:val="en_US" w:bidi="en_US"/>
        </w:rPr>
        <w:t xml:space="preserve"> “Here is a similar example…”</w:t>
      </w:r>
    </w:p>
    <w:p>
      <w:pPr>
        <w:pStyle w:val="ListBullet"/>
        <w:spacing w:line="240" w:lineRule="auto"/>
        <w:ind w:left="720"/>
      </w:pPr>
      <w:r>
        <w:rPr>
          <w:lang w:val="en_US" w:bidi="en_US"/>
        </w:rPr>
      </w:r>
      <w:r>
        <w:rPr>
          <w:lang w:val="en_US" w:bidi="en_US"/>
        </w:rPr>
        <w:t>Use a connector that indicates that this illustration is similar to the one in 5:36. For example:</w:t>
      </w:r>
      <w:r>
        <w:rPr>
          <w:lang w:val="en_US" w:bidi="en_US"/>
        </w:rPr>
        <w:t>Likewise</w:t>
      </w:r>
      <w:r>
        <w:rPr>
          <w:lang w:val="en_US" w:bidi="en_US"/>
        </w:rPr>
        <w:t>In a similar way</w:t>
      </w:r>
      <w:r>
        <w:rPr>
          <w:lang w:val="en_US" w:bidi="en_US"/>
        </w:rPr>
        <w:t>Also (NCV)</w:t>
      </w:r>
    </w:p>
    <w:p>
      <w:pPr/>
      <w:r>
        <w:rPr>
          <w:lang w:val="en_US" w:bidi="en_US"/>
        </w:rPr>
      </w:r>
      <w:r>
        <w:rPr>
          <w:b/>
          <w:lang w:val="en_US" w:bidi="en_US"/>
        </w:rPr>
        <w:t>no one:</w:t>
      </w:r>
      <w:r>
        <w:rPr>
          <w:lang w:val="en_US" w:bidi="en_US"/>
        </w:rPr>
        <w:t xml:space="preserve"> As in 5:36, the word </w:t>
      </w:r>
      <w:r>
        <w:rPr>
          <w:i/>
          <w:lang w:val="en_US" w:bidi="en_US"/>
        </w:rPr>
        <w:t>no one</w:t>
      </w:r>
      <w:r>
        <w:rPr>
          <w:lang w:val="en_US" w:bidi="en_US"/>
        </w:rPr>
        <w:t xml:space="preserve"> introduces a general statement that is true of everyone. See the note at 5:36b.</w:t>
      </w:r>
    </w:p>
    <w:p>
      <w:pPr/>
      <w:r>
        <w:rPr>
          <w:lang w:val="en_US" w:bidi="en_US"/>
        </w:rPr>
      </w:r>
      <w:r>
        <w:rPr>
          <w:b/>
          <w:lang w:val="en_US" w:bidi="en_US"/>
        </w:rPr>
        <w:t>pours:</w:t>
      </w:r>
      <w:r>
        <w:rPr>
          <w:lang w:val="en_US" w:bidi="en_US"/>
        </w:rPr>
        <w:t xml:space="preserve"> In the context, the word </w:t>
      </w:r>
      <w:r>
        <w:rPr>
          <w:i/>
          <w:lang w:val="en_US" w:bidi="en_US"/>
        </w:rPr>
        <w:t>pours</w:t>
      </w:r>
      <w:r>
        <w:rPr>
          <w:lang w:val="en_US" w:bidi="en_US"/>
        </w:rPr>
        <w:t xml:space="preserve"> refers to putting wine into a container in order to store it there. People put the wine into wineskins.</w:t>
      </w:r>
    </w:p>
    <w:p>
      <w:pPr/>
      <w:r>
        <w:rPr>
          <w:lang w:val="en_US" w:bidi="en_US"/>
        </w:rPr>
      </w:r>
      <w:r>
        <w:rPr>
          <w:b/>
          <w:lang w:val="en_US" w:bidi="en_US"/>
        </w:rPr>
        <w:t>new wine into old wineskins:</w:t>
      </w:r>
      <w:r>
        <w:rPr>
          <w:lang w:val="en_US" w:bidi="en_US"/>
        </w:rPr>
        <w:t xml:space="preserve"> When new wine ferments, it produces gas. This builds up pressure and causes the wineskin to stretch or expand. New wine would be put into new skins because these could stretch. Old wineskins would have been stretched once before. They would no longer be able to stretch any further.</w:t>
      </w:r>
    </w:p>
    <w:p>
      <w:pPr/>
      <w:r>
        <w:rPr>
          <w:lang w:val="en_US" w:bidi="en_US"/>
        </w:rPr>
      </w:r>
      <w:r>
        <w:rPr>
          <w:b/>
          <w:lang w:val="en_US" w:bidi="en_US"/>
        </w:rPr>
        <w:t>new wine:</w:t>
      </w:r>
      <w:r>
        <w:rPr>
          <w:lang w:val="en_US" w:bidi="en_US"/>
        </w:rPr>
        <w:t xml:space="preserve"> The term </w:t>
      </w:r>
      <w:r>
        <w:rPr>
          <w:i/>
          <w:lang w:val="en_US" w:bidi="en_US"/>
        </w:rPr>
        <w:t>wine</w:t>
      </w:r>
      <w:r>
        <w:rPr>
          <w:lang w:val="en_US" w:bidi="en_US"/>
        </w:rPr>
        <w:t xml:space="preserve"> describes an alcoholic drink. It is made from the juice of a fruit called grapes. When grape juice ferments, it becomes wine. The phrase </w:t>
      </w:r>
      <w:r>
        <w:rPr>
          <w:i/>
          <w:lang w:val="en_US" w:bidi="en_US"/>
        </w:rPr>
        <w:t>new wine</w:t>
      </w:r>
      <w:r>
        <w:rPr>
          <w:lang w:val="en_US" w:bidi="en_US"/>
        </w:rPr>
        <w:t xml:space="preserve"> refers to wine that has been pressed recently from grapes and is not yet fermented (or is just beginning to ferment).</w:t>
      </w:r>
    </w:p>
    <w:p>
      <w:pPr/>
      <w:r>
        <w:rPr>
          <w:lang w:val="en_US" w:bidi="en_US"/>
        </w:rPr>
      </w:r>
      <w:r>
        <w:rPr>
          <w:lang w:val="en_US" w:bidi="en_US"/>
        </w:rPr>
        <w:t xml:space="preserve">In some areas, people may not be familiar with grapes or with wine. If that is true in your area, some other ways to translate </w:t>
      </w:r>
      <w:r>
        <w:rPr>
          <w:i/>
          <w:lang w:val="en_US" w:bidi="en_US"/>
        </w:rPr>
        <w:t>new wine</w:t>
      </w:r>
      <w:r>
        <w:rPr>
          <w:lang w:val="en_US" w:bidi="en_US"/>
        </w:rPr>
        <w:t xml:space="preserve"> are:</w:t>
      </w:r>
    </w:p>
    <w:p>
      <w:pPr>
        <w:pStyle w:val="ListBullet"/>
        <w:spacing w:line="240" w:lineRule="auto"/>
        <w:ind w:left="720"/>
      </w:pPr>
      <w:r>
        <w:rPr>
          <w:lang w:val="en_US" w:bidi="en_US"/>
        </w:rPr>
      </w:r>
      <w:r>
        <w:rPr>
          <w:lang w:val="en_US" w:bidi="en_US"/>
        </w:rPr>
        <w:t>Use a general term for an alcoholic drink that is just beginning to ferment.</w:t>
      </w:r>
    </w:p>
    <w:p>
      <w:pPr>
        <w:pStyle w:val="ListBullet"/>
        <w:spacing w:line="240" w:lineRule="auto"/>
        <w:ind w:left="720"/>
      </w:pPr>
      <w:r>
        <w:rPr>
          <w:lang w:val="en_US" w:bidi="en_US"/>
        </w:rPr>
      </w:r>
      <w:r>
        <w:rPr>
          <w:lang w:val="en_US" w:bidi="en_US"/>
        </w:rPr>
        <w:t>Use a specific term for new wine that can also be used to refer to alcoholic drinks in general. For example:</w:t>
      </w:r>
      <w:r>
        <w:rPr>
          <w:lang w:val="en_US" w:bidi="en_US"/>
        </w:rPr>
        <w:t>new millet beer</w:t>
      </w:r>
      <w:r>
        <w:rPr>
          <w:lang w:val="en_US" w:bidi="en_US"/>
        </w:rPr>
        <w:t>new palm wine</w:t>
      </w:r>
      <w:r>
        <w:rPr>
          <w:lang w:val="en_US" w:bidi="en_US"/>
        </w:rPr>
        <w:t>something like new palm wine</w:t>
      </w:r>
    </w:p>
    <w:p>
      <w:pPr>
        <w:pStyle w:val="ListBullet"/>
        <w:spacing w:line="240" w:lineRule="auto"/>
        <w:ind w:left="720"/>
      </w:pPr>
      <w:r>
        <w:rPr>
          <w:lang w:val="en_US" w:bidi="en_US"/>
        </w:rPr>
      </w:r>
      <w:r>
        <w:rPr>
          <w:lang w:val="en_US" w:bidi="en_US"/>
        </w:rPr>
        <w:t>Use a descriptive phrase for new wine. For example:</w:t>
      </w:r>
      <w:r>
        <w:rPr>
          <w:lang w:val="en_US" w:bidi="en_US"/>
        </w:rPr>
        <w:t>fermenting fruit juice</w:t>
      </w:r>
      <w:r>
        <w:rPr>
          <w:lang w:val="en_US" w:bidi="en_US"/>
        </w:rPr>
        <w:t>fermenting grape juice</w:t>
      </w:r>
      <w:r>
        <w:rPr>
          <w:lang w:val="en_US" w:bidi="en_US"/>
        </w:rPr>
        <w:t>grape juice that is beginning to ferment</w:t>
      </w:r>
    </w:p>
    <w:p>
      <w:pPr/>
      <w:r>
        <w:rPr>
          <w:lang w:val="en_US" w:bidi="en_US"/>
        </w:rPr>
      </w:r>
      <w:r>
        <w:rPr>
          <w:b/>
          <w:lang w:val="en_US" w:bidi="en_US"/>
        </w:rPr>
        <w:t>wineskins:</w:t>
      </w:r>
      <w:r>
        <w:rPr>
          <w:lang w:val="en_US" w:bidi="en_US"/>
        </w:rPr>
        <w:t xml:space="preserve"> The Jews used animal skins to make containers for storing their wine. (The most common animal skin they used was goat.)</w:t>
      </w:r>
    </w:p>
    <w:p>
      <w:pPr/>
      <w:r>
        <w:rPr>
          <w:lang w:val="en_US" w:bidi="en_US"/>
        </w:rPr>
      </w:r>
      <w:r>
        <w:rPr>
          <w:lang w:val="en_US" w:bidi="en_US"/>
        </w:rPr>
        <w:t xml:space="preserve">Since </w:t>
      </w:r>
      <w:r>
        <w:rPr>
          <w:i/>
          <w:lang w:val="en_US" w:bidi="en_US"/>
        </w:rPr>
        <w:t>wineskins</w:t>
      </w:r>
      <w:r>
        <w:rPr>
          <w:lang w:val="en_US" w:bidi="en_US"/>
        </w:rPr>
        <w:t xml:space="preserve"> are not common in many areas of the world, in many languages, you may need to use a descriptive phrase. For example:</w:t>
      </w:r>
    </w:p>
    <w:p>
      <w:pPr/>
      <w:r>
        <w:rPr>
          <w:lang w:val="en_US" w:bidi="en_US"/>
        </w:rPr>
      </w:r>
      <w:r>
        <w:rPr>
          <w:lang w:val="en_US" w:bidi="en_US"/>
        </w:rPr>
        <w:t>wine containers made of goat skin</w:t>
      </w:r>
    </w:p>
    <w:p>
      <w:pPr/>
      <w:r>
        <w:rPr>
          <w:lang w:val="en_US" w:bidi="en_US"/>
        </w:rPr>
      </w:r>
      <w:r>
        <w:rPr>
          <w:lang w:val="en_US" w:bidi="en_US"/>
        </w:rPr>
        <w:t>In some cultures people do not use animal skins to store wine. They may not understand the reason why people did not put new wine in old skins. If that is true in your culture, consider explaining this in a footnote. For example:</w:t>
      </w:r>
    </w:p>
    <w:p>
      <w:pPr/>
      <w:r>
        <w:rPr>
          <w:lang w:val="en_US" w:bidi="en_US"/>
        </w:rPr>
      </w:r>
      <w:r>
        <w:rPr>
          <w:lang w:val="en_US" w:bidi="en_US"/>
        </w:rPr>
        <w:t>Wineskins were made out of whole goat hides that had the neck and feet openings tied shut. New wineskins were able to expand as the wine fermented. Old wineskins had already been stretched and were no longer able to stretch further.</w:t>
      </w:r>
    </w:p>
    <w:p>
      <w:pPr>
        <w:pStyle w:val="Heading5"/>
      </w:pPr>
      <w:r>
        <w:rPr>
          <w:lang w:val="en_US" w:bidi="en_US"/>
        </w:rPr>
        <w:t>5:37b</w:t>
      </w:r>
    </w:p>
    <w:p>
      <w:pPr/>
      <w:r>
        <w:rPr>
          <w:lang w:val="en_US" w:bidi="en_US"/>
        </w:rPr>
      </w:r>
      <w:r>
        <w:rPr>
          <w:b/>
          <w:lang w:val="en_US" w:bidi="en_US"/>
        </w:rPr>
        <w:t>If he does, the new wine will burst the skins,</w:t>
      </w:r>
    </w:p>
    <w:p>
      <w:pPr>
        <w:pStyle w:val="ListBullet"/>
        <w:spacing w:line="240" w:lineRule="auto"/>
        <w:ind w:left="720"/>
      </w:pPr>
      <w:r>
        <w:rPr>
          <w:lang w:val="en_US" w:bidi="en_US"/>
        </w:rPr>
      </w:r>
      <w:r>
        <w:rPr>
          <w:lang w:val="en_US" w:bidi="en_US"/>
        </w:rPr>
        <w:t>If they did that, the new wine would burst/break the animal skins,</w:t>
      </w:r>
    </w:p>
    <w:p>
      <w:pPr>
        <w:pStyle w:val="ListBullet"/>
        <w:spacing w:line="240" w:lineRule="auto"/>
        <w:ind w:left="720"/>
      </w:pPr>
      <w:r>
        <w:rPr>
          <w:lang w:val="en_US" w:bidi="en_US"/>
        </w:rPr>
      </w:r>
      <w:r>
        <w:rPr>
          <w:lang w:val="en_US" w:bidi="en_US"/>
        </w:rPr>
        <w:t>The results of</w:t>
      </w:r>
      <w:r>
        <w:rPr>
          <w:lang w:val="en_US" w:bidi="en_US"/>
        </w:rPr>
        <w:t xml:space="preserve"> doing that would be that the new wine will </w:t>
      </w:r>
      <w:r>
        <w:rPr>
          <w:lang w:val="en_US" w:bidi="en_US"/>
        </w:rPr>
        <w:t>ferment/expand, and</w:t>
      </w:r>
      <w:r>
        <w:rPr>
          <w:lang w:val="en_US" w:bidi="en_US"/>
        </w:rPr>
        <w:t xml:space="preserve"> cause the containers to break.</w:t>
      </w:r>
    </w:p>
    <w:p>
      <w:pPr/>
      <w:r>
        <w:rPr>
          <w:lang w:val="en_US" w:bidi="en_US"/>
        </w:rPr>
      </w:r>
      <w:r>
        <w:rPr>
          <w:b/>
          <w:lang w:val="en_US" w:bidi="en_US"/>
        </w:rPr>
        <w:t>If he does:</w:t>
      </w:r>
      <w:r>
        <w:rPr>
          <w:lang w:val="en_US" w:bidi="en_US"/>
        </w:rPr>
        <w:t xml:space="preserve"> The Greek phrase that the BSB translates as </w:t>
      </w:r>
      <w:r>
        <w:rPr>
          <w:i/>
          <w:lang w:val="en_US" w:bidi="en_US"/>
        </w:rPr>
        <w:t>If he does</w:t>
      </w:r>
      <w:r>
        <w:rPr>
          <w:lang w:val="en_US" w:bidi="en_US"/>
        </w:rPr>
        <w:t xml:space="preserve"> was also used in 5:36c. It introduces the consequences of doing what 5:37b indicated that no one normally does. Use a natural connector in your language for this context.</w:t>
      </w:r>
    </w:p>
    <w:p>
      <w:pPr/>
      <w:r>
        <w:rPr>
          <w:lang w:val="en_US" w:bidi="en_US"/>
        </w:rPr>
      </w:r>
      <w:r>
        <w:rPr>
          <w:b/>
          <w:lang w:val="en_US" w:bidi="en_US"/>
        </w:rPr>
        <w:t>the new wine will burst the skins:</w:t>
      </w:r>
      <w:r>
        <w:rPr>
          <w:lang w:val="en_US" w:bidi="en_US"/>
        </w:rPr>
        <w:t xml:space="preserve"> The verb </w:t>
      </w:r>
      <w:r>
        <w:rPr>
          <w:i/>
          <w:lang w:val="en_US" w:bidi="en_US"/>
        </w:rPr>
        <w:t>will burst</w:t>
      </w:r>
      <w:r>
        <w:rPr>
          <w:lang w:val="en_US" w:bidi="en_US"/>
        </w:rPr>
        <w:t xml:space="preserve"> means “will break.” It is implied that as the wine ferments, it releases a gas. This gas puts pressure on the skins, with the result that they burst. The skins were fastened shut so that there was no way for the gas to escape.</w:t>
      </w:r>
    </w:p>
    <w:p>
      <w:pPr/>
      <w:r>
        <w:rPr>
          <w:lang w:val="en_US" w:bidi="en_US"/>
        </w:rPr>
      </w:r>
      <w:r>
        <w:rPr>
          <w:lang w:val="en_US" w:bidi="en_US"/>
        </w:rPr>
        <w:t>Some other ways to translate this are:</w:t>
      </w:r>
    </w:p>
    <w:p>
      <w:pPr/>
      <w:r>
        <w:rPr>
          <w:lang w:val="en_US" w:bidi="en_US"/>
        </w:rPr>
      </w:r>
      <w:r>
        <w:rPr>
          <w:lang w:val="en_US" w:bidi="en_US"/>
        </w:rPr>
        <w:t>The new wine would swell and burst the old skins. (CEV)</w:t>
      </w:r>
    </w:p>
    <w:p>
      <w:pPr/>
      <w:r>
        <w:rPr>
          <w:lang w:val="en_US" w:bidi="en_US"/>
        </w:rPr>
      </w:r>
      <w:r>
        <w:rPr>
          <w:lang w:val="en_US" w:bidi="en_US"/>
        </w:rPr>
        <w:t>when the new wine bubbles, the old container will break</w:t>
      </w:r>
    </w:p>
    <w:p>
      <w:pPr>
        <w:pStyle w:val="Heading5"/>
      </w:pPr>
      <w:r>
        <w:rPr>
          <w:lang w:val="en_US" w:bidi="en_US"/>
        </w:rPr>
        <w:t>5:37c</w:t>
      </w:r>
    </w:p>
    <w:p>
      <w:pPr/>
      <w:r>
        <w:rPr>
          <w:lang w:val="en_US" w:bidi="en_US"/>
        </w:rPr>
      </w:r>
      <w:r>
        <w:rPr>
          <w:b/>
          <w:lang w:val="en_US" w:bidi="en_US"/>
        </w:rPr>
        <w:t>the wine will spill, and the wineskins will be ruined.</w:t>
      </w:r>
    </w:p>
    <w:p>
      <w:pPr>
        <w:pStyle w:val="ListBullet"/>
        <w:spacing w:line="240" w:lineRule="auto"/>
        <w:ind w:left="720"/>
      </w:pPr>
      <w:r>
        <w:rPr>
          <w:lang w:val="en_US" w:bidi="en_US"/>
        </w:rPr>
      </w:r>
      <w:r>
        <w:rPr>
          <w:lang w:val="en_US" w:bidi="en_US"/>
        </w:rPr>
        <w:t>the wine would pour/spill out, and the animal skins would be ruined.</w:t>
      </w:r>
    </w:p>
    <w:p>
      <w:pPr>
        <w:pStyle w:val="ListBullet"/>
        <w:spacing w:line="240" w:lineRule="auto"/>
        <w:ind w:left="720"/>
      </w:pPr>
      <w:r>
        <w:rPr>
          <w:lang w:val="en_US" w:bidi="en_US"/>
        </w:rPr>
      </w:r>
      <w:r>
        <w:rPr>
          <w:lang w:val="en_US" w:bidi="en_US"/>
        </w:rPr>
        <w:t>And so</w:t>
      </w:r>
      <w:r>
        <w:rPr>
          <w:lang w:val="en_US" w:bidi="en_US"/>
        </w:rPr>
        <w:t xml:space="preserve"> both the wine and the containers would be destroyed.</w:t>
      </w:r>
    </w:p>
    <w:p>
      <w:pPr/>
      <w:r>
        <w:rPr>
          <w:lang w:val="en_US" w:bidi="en_US"/>
        </w:rPr>
      </w:r>
      <w:r>
        <w:rPr>
          <w:b/>
          <w:lang w:val="en_US" w:bidi="en_US"/>
        </w:rPr>
        <w:t>the wine will spill:</w:t>
      </w:r>
      <w:r>
        <w:rPr>
          <w:lang w:val="en_US" w:bidi="en_US"/>
        </w:rPr>
        <w:t xml:space="preserve"> The Greek clause that the BSB translates as </w:t>
      </w:r>
      <w:r>
        <w:rPr>
          <w:i/>
          <w:lang w:val="en_US" w:bidi="en_US"/>
        </w:rPr>
        <w:t>the wine will spill</w:t>
      </w:r>
      <w:r>
        <w:rPr>
          <w:lang w:val="en_US" w:bidi="en_US"/>
        </w:rPr>
        <w:t xml:space="preserve"> means “the wine will come pouring out.” The first undesirable result of putting new wine into old wineskins is that the new wine will be wasted.</w:t>
      </w:r>
    </w:p>
    <w:p>
      <w:pPr/>
      <w:r>
        <w:rPr>
          <w:lang w:val="en_US" w:bidi="en_US"/>
        </w:rPr>
      </w:r>
      <w:r>
        <w:rPr>
          <w:b/>
          <w:lang w:val="en_US" w:bidi="en_US"/>
        </w:rPr>
        <w:t>and the wineskins will be ruined:</w:t>
      </w:r>
      <w:r>
        <w:rPr>
          <w:lang w:val="en_US" w:bidi="en_US"/>
        </w:rPr>
        <w:t xml:space="preserve"> The Greek verb that the BSB translates as </w:t>
      </w:r>
      <w:r>
        <w:rPr>
          <w:i/>
          <w:lang w:val="en_US" w:bidi="en_US"/>
        </w:rPr>
        <w:t>ruined</w:t>
      </w:r>
      <w:r>
        <w:rPr>
          <w:lang w:val="en_US" w:bidi="en_US"/>
        </w:rPr>
        <w:t xml:space="preserve"> also means “destroyed” (as in the RSV). This is the second undesirable result.</w:t>
      </w:r>
      <w:r>
        <w:rPr>
          <w:lang w:val="en_US" w:bidi="en_US"/>
        </w:rPr>
      </w:r>
      <w:r>
        <w:rPr>
          <w:lang w:val="en_US" w:bidi="en_US"/>
        </w:rPr>
      </w:r>
    </w:p>
    <w:p>
      <w:pPr/>
      <w:r>
        <w:rPr>
          <w:lang w:val="en_US" w:bidi="en_US"/>
        </w:rPr>
      </w:r>
    </w:p>
    <w:p>
      <w:pPr>
        <w:pStyle w:val="Heading2"/>
      </w:pPr>
      <w:r>
        <w:rPr>
          <w:lang w:val="en_US" w:bidi="en_US"/>
        </w:rPr>
        <w:t>Luke 5:38</w:t>
      </w:r>
      <w:r>
        <w:rPr>
          <w:lang w:val="en_US" w:bidi="en_US"/>
        </w:rPr>
      </w:r>
    </w:p>
    <w:p>
      <w:pPr>
        <w:pStyle w:val="Heading4"/>
      </w:pPr>
      <w:r>
        <w:rPr>
          <w:lang w:val="en_US" w:bidi="en_US"/>
        </w:rPr>
        <w:t>Section 5:33–39: Jesus explained why his disciples did not fast</w:t>
      </w:r>
    </w:p>
    <w:p>
      <w:pPr/>
      <w:r>
        <w:rPr>
          <w:lang w:val="en_US" w:bidi="en_US"/>
        </w:rPr>
      </w:r>
      <w:r>
        <w:rPr>
          <w:lang w:val="en_US" w:bidi="en_US"/>
        </w:rPr>
        <w:t>In this section, some people made a comment to Jesus about fasting. Their comment implied that they were criticizing the disciples. It also implied the question, “Why do your disciples act differently from the disciples of John and the disciples of the Pharisees?” Jesus explained the difference in their actions. In his explanation, he compared himself to a bridegroom, and he compared his disciples to wedding guests. The disciples could not fast while he was with them, just as wedding guests do not fast while the bridegroom is with them.</w:t>
      </w:r>
    </w:p>
    <w:p>
      <w:pPr/>
      <w:r>
        <w:rPr>
          <w:lang w:val="en_US" w:bidi="en_US"/>
        </w:rPr>
      </w:r>
      <w:r>
        <w:rPr>
          <w:lang w:val="en_US" w:bidi="en_US"/>
        </w:rPr>
        <w:t>After he had explained this different attitude towards fasting, he told them that he was teaching a new way to live for God. His new way would not fit into the old traditions. To illustrate this, Jesus used three comparisons:</w:t>
      </w:r>
    </w:p>
    <w:p>
      <w:pPr>
        <w:pStyle w:val="ListNumber"/>
        <w:numPr>
          <w:ilvl w:val="0"/>
          <w:numId w:val="132"/>
        </w:numPr>
        <w:spacing w:line="240" w:lineRule="auto"/>
        <w:ind w:left="720"/>
      </w:pPr>
      <w:r>
        <w:rPr>
          <w:lang w:val="en_US" w:bidi="en_US"/>
        </w:rPr>
      </w:r>
      <w:r>
        <w:rPr>
          <w:lang w:val="en_US" w:bidi="en_US"/>
        </w:rPr>
        <w:t>He compared the old traditional ways to an old garment. He compared his new way to cloth taken from a new garment. No one would sew the new cloth onto an old garment.</w:t>
      </w:r>
    </w:p>
    <w:p>
      <w:pPr>
        <w:pStyle w:val="ListNumber"/>
        <w:spacing w:line="240" w:lineRule="auto"/>
        <w:ind w:left="720"/>
      </w:pPr>
      <w:r>
        <w:rPr>
          <w:lang w:val="en_US" w:bidi="en_US"/>
        </w:rPr>
      </w:r>
      <w:r>
        <w:rPr>
          <w:lang w:val="en_US" w:bidi="en_US"/>
        </w:rPr>
        <w:t>He compared the old traditional ways to old wineskins. He compared his new way to new wine. When new wine is put into old wineskins, both are ruined.</w:t>
      </w:r>
    </w:p>
    <w:p>
      <w:pPr>
        <w:pStyle w:val="ListNumber"/>
        <w:spacing w:line="240" w:lineRule="auto"/>
        <w:ind w:left="720"/>
      </w:pPr>
      <w:r>
        <w:rPr>
          <w:lang w:val="en_US" w:bidi="en_US"/>
        </w:rPr>
      </w:r>
      <w:r>
        <w:rPr>
          <w:lang w:val="en_US" w:bidi="en_US"/>
        </w:rPr>
        <w:t>Jesus concluded with a saying that rebuked those who wanted to keep to the old traditions. Jesus said that people who had drunk old wine did not want to drink new wine. He was really talking about people who were content with the old ways and teaching of the Jewish religion. He said that they were unwilling to consider the new ways and teaching that he had brought.</w:t>
      </w:r>
    </w:p>
    <w:p>
      <w:pPr/>
      <w:r>
        <w:rPr>
          <w:lang w:val="en_US" w:bidi="en_US"/>
        </w:rPr>
      </w:r>
      <w:r>
        <w:rPr>
          <w:lang w:val="en_US" w:bidi="en_US"/>
        </w:rPr>
        <w:t>This section can be difficult for people to understand because Jesus used comparisons to illustrate what he was teaching. He did not make what he was teaching explicit. If you need to make the meaning clearer, you should explain it in a footnote.</w:t>
      </w:r>
    </w:p>
    <w:p>
      <w:pPr/>
      <w:r>
        <w:rPr>
          <w:lang w:val="en_US" w:bidi="en_US"/>
        </w:rPr>
      </w:r>
      <w:r>
        <w:rPr>
          <w:lang w:val="en_US" w:bidi="en_US"/>
        </w:rPr>
        <w:t>In this section, there are some ideas that may not be familiar in certain cultures. For example:</w:t>
      </w:r>
    </w:p>
    <w:p>
      <w:pPr>
        <w:pStyle w:val="ListNumber"/>
        <w:numPr>
          <w:ilvl w:val="0"/>
          <w:numId w:val="133"/>
        </w:numPr>
        <w:spacing w:line="240" w:lineRule="auto"/>
        <w:ind w:left="720"/>
      </w:pPr>
      <w:r>
        <w:rPr>
          <w:lang w:val="en_US" w:bidi="en_US"/>
        </w:rPr>
      </w:r>
      <w:r>
        <w:rPr>
          <w:lang w:val="en_US" w:bidi="en_US"/>
        </w:rPr>
        <w:t>fasting</w:t>
      </w:r>
    </w:p>
    <w:p>
      <w:pPr>
        <w:pStyle w:val="ListNumber"/>
        <w:spacing w:line="240" w:lineRule="auto"/>
        <w:ind w:left="720"/>
      </w:pPr>
      <w:r>
        <w:rPr>
          <w:lang w:val="en_US" w:bidi="en_US"/>
        </w:rPr>
      </w:r>
      <w:r>
        <w:rPr>
          <w:lang w:val="en_US" w:bidi="en_US"/>
        </w:rPr>
        <w:t>Jewish wedding customs about bridegrooms</w:t>
      </w:r>
    </w:p>
    <w:p>
      <w:pPr>
        <w:pStyle w:val="ListNumber"/>
        <w:spacing w:line="240" w:lineRule="auto"/>
        <w:ind w:left="720"/>
      </w:pPr>
      <w:r>
        <w:rPr>
          <w:lang w:val="en_US" w:bidi="en_US"/>
        </w:rPr>
      </w:r>
      <w:r>
        <w:rPr>
          <w:lang w:val="en_US" w:bidi="en_US"/>
        </w:rPr>
        <w:t>sewing patches onto cloth</w:t>
      </w:r>
    </w:p>
    <w:p>
      <w:pPr>
        <w:pStyle w:val="ListNumber"/>
        <w:spacing w:line="240" w:lineRule="auto"/>
        <w:ind w:left="720"/>
      </w:pPr>
      <w:r>
        <w:rPr>
          <w:lang w:val="en_US" w:bidi="en_US"/>
        </w:rPr>
      </w:r>
      <w:r>
        <w:rPr>
          <w:lang w:val="en_US" w:bidi="en_US"/>
        </w:rPr>
        <w:t>new wine and old wine</w:t>
      </w:r>
    </w:p>
    <w:p>
      <w:pPr>
        <w:pStyle w:val="ListNumber"/>
        <w:spacing w:line="240" w:lineRule="auto"/>
        <w:ind w:left="720"/>
      </w:pPr>
      <w:r>
        <w:rPr>
          <w:lang w:val="en_US" w:bidi="en_US"/>
        </w:rPr>
      </w:r>
      <w:r>
        <w:rPr>
          <w:lang w:val="en_US" w:bidi="en_US"/>
        </w:rPr>
        <w:t>wineskins</w:t>
      </w:r>
    </w:p>
    <w:p>
      <w:pPr/>
      <w:r>
        <w:rPr>
          <w:lang w:val="en_US" w:bidi="en_US"/>
        </w:rPr>
      </w:r>
      <w:r>
        <w:rPr>
          <w:lang w:val="en_US" w:bidi="en_US"/>
        </w:rPr>
        <w:t>Consider carefully how to translate each of these ideas in a meaningful way in your language. The notes for this section will give suggestions.</w:t>
      </w:r>
    </w:p>
    <w:p>
      <w:pPr/>
      <w:r>
        <w:rPr>
          <w:lang w:val="en_US" w:bidi="en_US"/>
        </w:rPr>
      </w:r>
      <w:r>
        <w:rPr>
          <w:lang w:val="en_US" w:bidi="en_US"/>
        </w:rPr>
        <w:t>Some other possible headings for this section are:</w:t>
      </w:r>
    </w:p>
    <w:p>
      <w:pPr/>
      <w:r>
        <w:rPr>
          <w:lang w:val="en_US" w:bidi="en_US"/>
        </w:rPr>
      </w:r>
      <w:r>
        <w:rPr>
          <w:lang w:val="en_US" w:bidi="en_US"/>
        </w:rPr>
        <w:t>Jesus taught that his new way was different from Jewish traditions</w:t>
      </w:r>
    </w:p>
    <w:p>
      <w:pPr/>
      <w:r>
        <w:rPr>
          <w:lang w:val="en_US" w:bidi="en_US"/>
        </w:rPr>
      </w:r>
      <w:r>
        <w:rPr>
          <w:lang w:val="en_US" w:bidi="en_US"/>
        </w:rPr>
        <w:t>Jesus’ new way and the old ways</w:t>
      </w:r>
    </w:p>
    <w:p>
      <w:pPr/>
      <w:r>
        <w:rPr>
          <w:lang w:val="en_US" w:bidi="en_US"/>
        </w:rPr>
      </w:r>
      <w:r>
        <w:rPr>
          <w:lang w:val="en_US" w:bidi="en_US"/>
        </w:rPr>
        <w:t>This story also occurs in Matthew 9:14–17 and Mark 2:18–22.</w:t>
      </w:r>
    </w:p>
    <w:p>
      <w:pPr>
        <w:pStyle w:val="Heading4"/>
      </w:pPr>
      <w:r>
        <w:rPr>
          <w:lang w:val="en_US" w:bidi="en_US"/>
        </w:rPr>
        <w:t>Paragraph 5:36–39</w:t>
      </w:r>
    </w:p>
    <w:p>
      <w:pPr/>
      <w:r>
        <w:rPr>
          <w:lang w:val="en_US" w:bidi="en_US"/>
        </w:rPr>
      </w:r>
      <w:r>
        <w:rPr>
          <w:lang w:val="en_US" w:bidi="en_US"/>
        </w:rPr>
        <w:t>In this paragraph, Jesus used three short parables to explain that he was teaching a new way to live for God. His new way would not fit into the old traditions. People could not combine the old ways with the new. Each of the three parables is introduced with a general statement that is true of everyone.</w:t>
      </w:r>
    </w:p>
    <w:p>
      <w:pPr>
        <w:pStyle w:val="Heading5"/>
      </w:pPr>
      <w:r>
        <w:rPr>
          <w:lang w:val="en_US" w:bidi="en_US"/>
        </w:rPr>
        <w:t>5:38</w:t>
      </w:r>
    </w:p>
    <w:p>
      <w:pPr/>
      <w:r>
        <w:rPr>
          <w:lang w:val="en_US" w:bidi="en_US"/>
        </w:rPr>
      </w:r>
      <w:r>
        <w:rPr>
          <w:b/>
          <w:lang w:val="en_US" w:bidi="en_US"/>
        </w:rPr>
        <w:t>Instead, new wine is poured into new wineskins.</w:t>
      </w:r>
    </w:p>
    <w:p>
      <w:pPr>
        <w:pStyle w:val="ListBullet"/>
        <w:spacing w:line="240" w:lineRule="auto"/>
        <w:ind w:left="720"/>
      </w:pPr>
      <w:r>
        <w:rPr>
          <w:lang w:val="en_US" w:bidi="en_US"/>
        </w:rPr>
      </w:r>
      <w:r>
        <w:rPr>
          <w:lang w:val="en_US" w:bidi="en_US"/>
        </w:rPr>
        <w:t>But rather you/people pour new wine into new/fresh animal skins.</w:t>
      </w:r>
    </w:p>
    <w:p>
      <w:pPr>
        <w:pStyle w:val="ListBullet"/>
        <w:spacing w:line="240" w:lineRule="auto"/>
        <w:ind w:left="720"/>
      </w:pPr>
      <w:r>
        <w:rPr>
          <w:lang w:val="en_US" w:bidi="en_US"/>
        </w:rPr>
      </w:r>
      <w:r>
        <w:rPr>
          <w:lang w:val="en_US" w:bidi="en_US"/>
        </w:rPr>
        <w:t xml:space="preserve">Instead, everyone pours new wine into new/unused goat skin containers </w:t>
      </w:r>
      <w:r>
        <w:rPr>
          <w:lang w:val="en_US" w:bidi="en_US"/>
        </w:rPr>
        <w:t>that are still flexible</w:t>
      </w:r>
      <w:r>
        <w:rPr>
          <w:lang w:val="en_US" w:bidi="en_US"/>
        </w:rPr>
        <w:t>.</w:t>
      </w:r>
    </w:p>
    <w:p>
      <w:pPr/>
      <w:r>
        <w:rPr>
          <w:lang w:val="en_US" w:bidi="en_US"/>
        </w:rPr>
      </w:r>
      <w:r>
        <w:rPr>
          <w:lang w:val="en_US" w:bidi="en_US"/>
        </w:rPr>
        <w:t>In this verse, Jesus gave the conclusion to his illustration. In the metaphor, new wine represents the new way of living that Jesus was teaching. The new wineskins represent new traditions, that is, new ways of thinking and acting. Jesus’ new teaching must go along with new ways of thinking and acting.</w:t>
      </w:r>
    </w:p>
    <w:p>
      <w:pPr/>
      <w:r>
        <w:rPr>
          <w:lang w:val="en_US" w:bidi="en_US"/>
        </w:rPr>
      </w:r>
      <w:r>
        <w:rPr>
          <w:b/>
          <w:lang w:val="en_US" w:bidi="en_US"/>
        </w:rPr>
        <w:t>Instead:</w:t>
      </w:r>
      <w:r>
        <w:rPr>
          <w:lang w:val="en_US" w:bidi="en_US"/>
        </w:rPr>
        <w:t xml:space="preserve"> The Greek word that the BSB translates as </w:t>
      </w:r>
      <w:r>
        <w:rPr>
          <w:i/>
          <w:lang w:val="en_US" w:bidi="en_US"/>
        </w:rPr>
        <w:t>Instead</w:t>
      </w:r>
      <w:r>
        <w:rPr>
          <w:lang w:val="en_US" w:bidi="en_US"/>
        </w:rPr>
        <w:t xml:space="preserve"> is a conjunction that indicates strong contrast. Verse 5:37 described what people do not do. Verse 5:38 describes what people do and should do. Some ways to translate this conjunction are:</w:t>
      </w:r>
    </w:p>
    <w:p>
      <w:pPr/>
      <w:r>
        <w:rPr>
          <w:lang w:val="en_US" w:bidi="en_US"/>
        </w:rPr>
      </w:r>
      <w:r>
        <w:rPr>
          <w:lang w:val="en_US" w:bidi="en_US"/>
        </w:rPr>
        <w:t>But (RSV)</w:t>
      </w:r>
    </w:p>
    <w:p>
      <w:pPr/>
      <w:r>
        <w:rPr>
          <w:lang w:val="en_US" w:bidi="en_US"/>
        </w:rPr>
      </w:r>
      <w:r>
        <w:rPr>
          <w:lang w:val="en_US" w:bidi="en_US"/>
        </w:rPr>
        <w:t>No (NIV)</w:t>
      </w:r>
    </w:p>
    <w:p>
      <w:pPr/>
      <w:r>
        <w:rPr>
          <w:lang w:val="en_US" w:bidi="en_US"/>
        </w:rPr>
      </w:r>
      <w:r>
        <w:rPr>
          <w:lang w:val="en_US" w:bidi="en_US"/>
        </w:rPr>
        <w:t>Rather (GW)</w:t>
      </w:r>
    </w:p>
    <w:p>
      <w:pPr/>
      <w:r>
        <w:rPr>
          <w:lang w:val="en_US" w:bidi="en_US"/>
        </w:rPr>
      </w:r>
      <w:r>
        <w:rPr>
          <w:lang w:val="en_US" w:bidi="en_US"/>
        </w:rPr>
        <w:t>Connect this verse with 5:37 in a natural way in your language.</w:t>
      </w:r>
    </w:p>
    <w:p>
      <w:pPr/>
      <w:r>
        <w:rPr>
          <w:lang w:val="en_US" w:bidi="en_US"/>
        </w:rPr>
      </w:r>
      <w:r>
        <w:rPr>
          <w:b/>
          <w:lang w:val="en_US" w:bidi="en_US"/>
        </w:rPr>
        <w:t>new wine is poured into new wineskins:</w:t>
      </w:r>
      <w:r>
        <w:rPr>
          <w:lang w:val="en_US" w:bidi="en_US"/>
        </w:rPr>
        <w:t xml:space="preserve"> </w:t>
      </w:r>
      <w:r>
        <w:rPr>
          <w:lang w:val="en_US" w:bidi="en_US"/>
        </w:rPr>
        <w:t>There is a textual issue here. Some Greek manuscripts have simply “must be poured.” Other Greek manuscripts add “and both are preserved.” The KJV follows the manuscripts that add “and both are preserved.” It is recommended that you do not include “and both are preserved” The shortest reading “must be poured” has the earliest and strongest manuscript support.</w:t>
      </w:r>
      <w:r>
        <w:rPr>
          <w:lang w:val="en_US" w:bidi="en_US"/>
        </w:rPr>
        <w:t xml:space="preserve"> The BSB translates the Greek phrase, which is literally “new wine is to-be-put,” as a passive clause. In some languages, it will be necessary to translate it with an active verb and provide a subject. For example:</w:t>
      </w:r>
    </w:p>
    <w:p>
      <w:pPr/>
      <w:r>
        <w:rPr>
          <w:lang w:val="en_US" w:bidi="en_US"/>
        </w:rPr>
      </w:r>
      <w:r>
        <w:rPr>
          <w:lang w:val="en_US" w:bidi="en_US"/>
        </w:rPr>
        <w:t>people</w:t>
      </w:r>
      <w:r>
        <w:rPr>
          <w:lang w:val="en_US" w:bidi="en_US"/>
        </w:rPr>
        <w:t xml:space="preserve"> must pour new wine into new wineskins</w:t>
      </w:r>
    </w:p>
    <w:p>
      <w:pPr/>
      <w:r>
        <w:rPr>
          <w:lang w:val="en_US" w:bidi="en_US"/>
        </w:rPr>
      </w:r>
      <w:r>
        <w:rPr>
          <w:lang w:val="en_US" w:bidi="en_US"/>
        </w:rPr>
        <w:t>you</w:t>
      </w:r>
      <w:r>
        <w:rPr>
          <w:lang w:val="en_US" w:bidi="en_US"/>
        </w:rPr>
        <w:t xml:space="preserve"> have to put new wine into new wineskins</w:t>
      </w:r>
    </w:p>
    <w:p>
      <w:pPr/>
      <w:r>
        <w:rPr>
          <w:lang w:val="en_US" w:bidi="en_US"/>
        </w:rPr>
      </w:r>
      <w:r>
        <w:rPr>
          <w:b/>
          <w:lang w:val="en_US" w:bidi="en_US"/>
        </w:rPr>
        <w:t>new wine…new wineskins:</w:t>
      </w:r>
      <w:r>
        <w:rPr>
          <w:lang w:val="en_US" w:bidi="en_US"/>
        </w:rPr>
        <w:t xml:space="preserve"> The two Greek words that the BSB translates as </w:t>
      </w:r>
      <w:r>
        <w:rPr>
          <w:i/>
          <w:lang w:val="en_US" w:bidi="en_US"/>
        </w:rPr>
        <w:t>new</w:t>
      </w:r>
      <w:r>
        <w:rPr>
          <w:lang w:val="en_US" w:bidi="en_US"/>
        </w:rPr>
        <w:t xml:space="preserve"> are not the same. The first one means “new in time” or “young.” It is used with “wine” as a phrase meaning unfermented grape juice. It is the same word that was used in 5:37a and 5:37b.</w:t>
      </w:r>
    </w:p>
    <w:p>
      <w:pPr/>
      <w:r>
        <w:rPr>
          <w:lang w:val="en_US" w:bidi="en_US"/>
        </w:rPr>
      </w:r>
      <w:r>
        <w:rPr>
          <w:lang w:val="en_US" w:bidi="en_US"/>
        </w:rPr>
        <w:t>The second one means “new” in the sense of “unused, fresh.” Several English versions translate this word as “fresh.” For example:</w:t>
      </w:r>
    </w:p>
    <w:p>
      <w:pPr/>
      <w:r>
        <w:rPr>
          <w:lang w:val="en_US" w:bidi="en_US"/>
        </w:rPr>
      </w:r>
      <w:r>
        <w:rPr>
          <w:lang w:val="en_US" w:bidi="en_US"/>
        </w:rPr>
        <w:t>new wine is to be poured into fresh skins (GW)</w:t>
      </w:r>
    </w:p>
    <w:p>
      <w:pPr>
        <w:pStyle w:val="Heading6"/>
      </w:pPr>
      <w:r>
        <w:rPr>
          <w:b/>
          <w:lang w:val="en_US" w:bidi="en_US"/>
        </w:rPr>
        <w:t>General Comment on 5:37–38</w:t>
      </w:r>
    </w:p>
    <w:p>
      <w:pPr/>
      <w:r>
        <w:rPr>
          <w:lang w:val="en_US" w:bidi="en_US"/>
        </w:rPr>
      </w:r>
      <w:r>
        <w:rPr>
          <w:lang w:val="en_US" w:bidi="en_US"/>
        </w:rPr>
        <w:t>You may want to add a footnote to explain some of the meaning of Jesus’ illustration about the wineskins. Some sample footnotes are:</w:t>
      </w:r>
    </w:p>
    <w:p>
      <w:pPr/>
      <w:r>
        <w:rPr>
          <w:lang w:val="en_US" w:bidi="en_US"/>
        </w:rPr>
      </w:r>
      <w:r>
        <w:rPr>
          <w:lang w:val="en_US" w:bidi="en_US"/>
        </w:rPr>
        <w:t>Jesus implied that putting unfermented wine into old (dry) goatskin containers was like mixing his teaching with the old traditions. When the wine ferments, the containers will not be able to expand, and so they will burst. In the same way, his new teaching does not go with old traditions.</w:t>
      </w:r>
      <w:r>
        <w:rPr>
          <w:lang w:val="en_US" w:bidi="en_US"/>
        </w:rPr>
      </w:r>
      <w:r>
        <w:rPr>
          <w:lang w:val="en_US" w:bidi="en_US"/>
        </w:rPr>
      </w:r>
    </w:p>
    <w:p>
      <w:pPr/>
      <w:r>
        <w:rPr>
          <w:lang w:val="en_US" w:bidi="en_US"/>
        </w:rPr>
      </w:r>
    </w:p>
    <w:p>
      <w:pPr>
        <w:pStyle w:val="Heading2"/>
      </w:pPr>
      <w:r>
        <w:rPr>
          <w:lang w:val="en_US" w:bidi="en_US"/>
        </w:rPr>
        <w:t>Luke 5:39</w:t>
      </w:r>
      <w:r>
        <w:rPr>
          <w:lang w:val="en_US" w:bidi="en_US"/>
        </w:rPr>
      </w:r>
    </w:p>
    <w:p>
      <w:pPr>
        <w:pStyle w:val="Heading4"/>
      </w:pPr>
      <w:r>
        <w:rPr>
          <w:lang w:val="en_US" w:bidi="en_US"/>
        </w:rPr>
        <w:t>Section 5:33–39: Jesus explained why his disciples did not fast</w:t>
      </w:r>
    </w:p>
    <w:p>
      <w:pPr/>
      <w:r>
        <w:rPr>
          <w:lang w:val="en_US" w:bidi="en_US"/>
        </w:rPr>
      </w:r>
      <w:r>
        <w:rPr>
          <w:lang w:val="en_US" w:bidi="en_US"/>
        </w:rPr>
        <w:t>In this section, some people made a comment to Jesus about fasting. Their comment implied that they were criticizing the disciples. It also implied the question, “Why do your disciples act differently from the disciples of John and the disciples of the Pharisees?” Jesus explained the difference in their actions. In his explanation, he compared himself to a bridegroom, and he compared his disciples to wedding guests. The disciples could not fast while he was with them, just as wedding guests do not fast while the bridegroom is with them.</w:t>
      </w:r>
    </w:p>
    <w:p>
      <w:pPr/>
      <w:r>
        <w:rPr>
          <w:lang w:val="en_US" w:bidi="en_US"/>
        </w:rPr>
      </w:r>
      <w:r>
        <w:rPr>
          <w:lang w:val="en_US" w:bidi="en_US"/>
        </w:rPr>
        <w:t>After he had explained this different attitude towards fasting, he told them that he was teaching a new way to live for God. His new way would not fit into the old traditions. To illustrate this, Jesus used three comparisons:</w:t>
      </w:r>
    </w:p>
    <w:p>
      <w:pPr>
        <w:pStyle w:val="ListNumber"/>
        <w:numPr>
          <w:ilvl w:val="0"/>
          <w:numId w:val="134"/>
        </w:numPr>
        <w:spacing w:line="240" w:lineRule="auto"/>
        <w:ind w:left="720"/>
      </w:pPr>
      <w:r>
        <w:rPr>
          <w:lang w:val="en_US" w:bidi="en_US"/>
        </w:rPr>
      </w:r>
      <w:r>
        <w:rPr>
          <w:lang w:val="en_US" w:bidi="en_US"/>
        </w:rPr>
        <w:t>He compared the old traditional ways to an old garment. He compared his new way to cloth taken from a new garment. No one would sew the new cloth onto an old garment.</w:t>
      </w:r>
    </w:p>
    <w:p>
      <w:pPr>
        <w:pStyle w:val="ListNumber"/>
        <w:spacing w:line="240" w:lineRule="auto"/>
        <w:ind w:left="720"/>
      </w:pPr>
      <w:r>
        <w:rPr>
          <w:lang w:val="en_US" w:bidi="en_US"/>
        </w:rPr>
      </w:r>
      <w:r>
        <w:rPr>
          <w:lang w:val="en_US" w:bidi="en_US"/>
        </w:rPr>
        <w:t>He compared the old traditional ways to old wineskins. He compared his new way to new wine. When new wine is put into old wineskins, both are ruined.</w:t>
      </w:r>
    </w:p>
    <w:p>
      <w:pPr>
        <w:pStyle w:val="ListNumber"/>
        <w:spacing w:line="240" w:lineRule="auto"/>
        <w:ind w:left="720"/>
      </w:pPr>
      <w:r>
        <w:rPr>
          <w:lang w:val="en_US" w:bidi="en_US"/>
        </w:rPr>
      </w:r>
      <w:r>
        <w:rPr>
          <w:lang w:val="en_US" w:bidi="en_US"/>
        </w:rPr>
        <w:t>Jesus concluded with a saying that rebuked those who wanted to keep to the old traditions. Jesus said that people who had drunk old wine did not want to drink new wine. He was really talking about people who were content with the old ways and teaching of the Jewish religion. He said that they were unwilling to consider the new ways and teaching that he had brought.</w:t>
      </w:r>
    </w:p>
    <w:p>
      <w:pPr/>
      <w:r>
        <w:rPr>
          <w:lang w:val="en_US" w:bidi="en_US"/>
        </w:rPr>
      </w:r>
      <w:r>
        <w:rPr>
          <w:lang w:val="en_US" w:bidi="en_US"/>
        </w:rPr>
        <w:t>This section can be difficult for people to understand because Jesus used comparisons to illustrate what he was teaching. He did not make what he was teaching explicit. If you need to make the meaning clearer, you should explain it in a footnote.</w:t>
      </w:r>
    </w:p>
    <w:p>
      <w:pPr/>
      <w:r>
        <w:rPr>
          <w:lang w:val="en_US" w:bidi="en_US"/>
        </w:rPr>
      </w:r>
      <w:r>
        <w:rPr>
          <w:lang w:val="en_US" w:bidi="en_US"/>
        </w:rPr>
        <w:t>In this section, there are some ideas that may not be familiar in certain cultures. For example:</w:t>
      </w:r>
    </w:p>
    <w:p>
      <w:pPr>
        <w:pStyle w:val="ListNumber"/>
        <w:numPr>
          <w:ilvl w:val="0"/>
          <w:numId w:val="135"/>
        </w:numPr>
        <w:spacing w:line="240" w:lineRule="auto"/>
        <w:ind w:left="720"/>
      </w:pPr>
      <w:r>
        <w:rPr>
          <w:lang w:val="en_US" w:bidi="en_US"/>
        </w:rPr>
      </w:r>
      <w:r>
        <w:rPr>
          <w:lang w:val="en_US" w:bidi="en_US"/>
        </w:rPr>
        <w:t>fasting</w:t>
      </w:r>
    </w:p>
    <w:p>
      <w:pPr>
        <w:pStyle w:val="ListNumber"/>
        <w:spacing w:line="240" w:lineRule="auto"/>
        <w:ind w:left="720"/>
      </w:pPr>
      <w:r>
        <w:rPr>
          <w:lang w:val="en_US" w:bidi="en_US"/>
        </w:rPr>
      </w:r>
      <w:r>
        <w:rPr>
          <w:lang w:val="en_US" w:bidi="en_US"/>
        </w:rPr>
        <w:t>Jewish wedding customs about bridegrooms</w:t>
      </w:r>
    </w:p>
    <w:p>
      <w:pPr>
        <w:pStyle w:val="ListNumber"/>
        <w:spacing w:line="240" w:lineRule="auto"/>
        <w:ind w:left="720"/>
      </w:pPr>
      <w:r>
        <w:rPr>
          <w:lang w:val="en_US" w:bidi="en_US"/>
        </w:rPr>
      </w:r>
      <w:r>
        <w:rPr>
          <w:lang w:val="en_US" w:bidi="en_US"/>
        </w:rPr>
        <w:t>sewing patches onto cloth</w:t>
      </w:r>
    </w:p>
    <w:p>
      <w:pPr>
        <w:pStyle w:val="ListNumber"/>
        <w:spacing w:line="240" w:lineRule="auto"/>
        <w:ind w:left="720"/>
      </w:pPr>
      <w:r>
        <w:rPr>
          <w:lang w:val="en_US" w:bidi="en_US"/>
        </w:rPr>
      </w:r>
      <w:r>
        <w:rPr>
          <w:lang w:val="en_US" w:bidi="en_US"/>
        </w:rPr>
        <w:t>new wine and old wine</w:t>
      </w:r>
    </w:p>
    <w:p>
      <w:pPr>
        <w:pStyle w:val="ListNumber"/>
        <w:spacing w:line="240" w:lineRule="auto"/>
        <w:ind w:left="720"/>
      </w:pPr>
      <w:r>
        <w:rPr>
          <w:lang w:val="en_US" w:bidi="en_US"/>
        </w:rPr>
      </w:r>
      <w:r>
        <w:rPr>
          <w:lang w:val="en_US" w:bidi="en_US"/>
        </w:rPr>
        <w:t>wineskins</w:t>
      </w:r>
    </w:p>
    <w:p>
      <w:pPr/>
      <w:r>
        <w:rPr>
          <w:lang w:val="en_US" w:bidi="en_US"/>
        </w:rPr>
      </w:r>
      <w:r>
        <w:rPr>
          <w:lang w:val="en_US" w:bidi="en_US"/>
        </w:rPr>
        <w:t>Consider carefully how to translate each of these ideas in a meaningful way in your language. The notes for this section will give suggestions.</w:t>
      </w:r>
    </w:p>
    <w:p>
      <w:pPr/>
      <w:r>
        <w:rPr>
          <w:lang w:val="en_US" w:bidi="en_US"/>
        </w:rPr>
      </w:r>
      <w:r>
        <w:rPr>
          <w:lang w:val="en_US" w:bidi="en_US"/>
        </w:rPr>
        <w:t>Some other possible headings for this section are:</w:t>
      </w:r>
    </w:p>
    <w:p>
      <w:pPr/>
      <w:r>
        <w:rPr>
          <w:lang w:val="en_US" w:bidi="en_US"/>
        </w:rPr>
      </w:r>
      <w:r>
        <w:rPr>
          <w:lang w:val="en_US" w:bidi="en_US"/>
        </w:rPr>
        <w:t>Jesus taught that his new way was different from Jewish traditions</w:t>
      </w:r>
    </w:p>
    <w:p>
      <w:pPr/>
      <w:r>
        <w:rPr>
          <w:lang w:val="en_US" w:bidi="en_US"/>
        </w:rPr>
      </w:r>
      <w:r>
        <w:rPr>
          <w:lang w:val="en_US" w:bidi="en_US"/>
        </w:rPr>
        <w:t>Jesus’ new way and the old ways</w:t>
      </w:r>
    </w:p>
    <w:p>
      <w:pPr/>
      <w:r>
        <w:rPr>
          <w:lang w:val="en_US" w:bidi="en_US"/>
        </w:rPr>
      </w:r>
      <w:r>
        <w:rPr>
          <w:lang w:val="en_US" w:bidi="en_US"/>
        </w:rPr>
        <w:t>This story also occurs in Matthew 9:14–17 and Mark 2:18–22.</w:t>
      </w:r>
    </w:p>
    <w:p>
      <w:pPr>
        <w:pStyle w:val="Heading4"/>
      </w:pPr>
      <w:r>
        <w:rPr>
          <w:lang w:val="en_US" w:bidi="en_US"/>
        </w:rPr>
        <w:t>Paragraph 5:36–39</w:t>
      </w:r>
    </w:p>
    <w:p>
      <w:pPr/>
      <w:r>
        <w:rPr>
          <w:lang w:val="en_US" w:bidi="en_US"/>
        </w:rPr>
      </w:r>
      <w:r>
        <w:rPr>
          <w:lang w:val="en_US" w:bidi="en_US"/>
        </w:rPr>
        <w:t>In this paragraph, Jesus used three short parables to explain that he was teaching a new way to live for God. His new way would not fit into the old traditions. People could not combine the old ways with the new. Each of the three parables is introduced with a general statement that is true of everyone.</w:t>
      </w:r>
    </w:p>
    <w:p>
      <w:pPr>
        <w:pStyle w:val="Heading5"/>
      </w:pPr>
      <w:r>
        <w:rPr>
          <w:lang w:val="en_US" w:bidi="en_US"/>
        </w:rPr>
        <w:t>5:39</w:t>
      </w:r>
    </w:p>
    <w:p>
      <w:pPr/>
      <w:r>
        <w:rPr>
          <w:lang w:val="en_US" w:bidi="en_US"/>
        </w:rPr>
      </w:r>
      <w:r>
        <w:rPr>
          <w:lang w:val="en_US" w:bidi="en_US"/>
        </w:rPr>
        <w:t>This is the third short parable or illustration. Like the previous parable, it is about wine and wineskins. However, this parable makes a different point. Jesus said that people who had drunk old wine did not want to drink new wine. He was really talking about people who were content with the old ways and teaching of Jewish religion. He said that they were unwilling to consider the new ways and teaching that he had brought.</w:t>
      </w:r>
    </w:p>
    <w:p>
      <w:pPr>
        <w:pStyle w:val="Heading5"/>
      </w:pPr>
      <w:r>
        <w:rPr>
          <w:lang w:val="en_US" w:bidi="en_US"/>
        </w:rPr>
        <w:t>5:39a</w:t>
      </w:r>
    </w:p>
    <w:p>
      <w:pPr/>
      <w:r>
        <w:rPr>
          <w:lang w:val="en_US" w:bidi="en_US"/>
        </w:rPr>
      </w:r>
      <w:r>
        <w:rPr>
          <w:b/>
          <w:lang w:val="en_US" w:bidi="en_US"/>
        </w:rPr>
        <w:t>And no one after drinking old wine wants new,</w:t>
      </w:r>
    </w:p>
    <w:p>
      <w:pPr>
        <w:pStyle w:val="ListBullet"/>
        <w:spacing w:line="240" w:lineRule="auto"/>
        <w:ind w:left="720"/>
      </w:pPr>
      <w:r>
        <w:rPr>
          <w:lang w:val="en_US" w:bidi="en_US"/>
        </w:rPr>
      </w:r>
      <w:r>
        <w:rPr>
          <w:lang w:val="en_US" w:bidi="en_US"/>
        </w:rPr>
        <w:t>And nobody who has drunk old wine wants to drink new wine.</w:t>
      </w:r>
    </w:p>
    <w:p>
      <w:pPr>
        <w:pStyle w:val="ListBullet"/>
        <w:spacing w:line="240" w:lineRule="auto"/>
        <w:ind w:left="720"/>
      </w:pPr>
      <w:r>
        <w:rPr>
          <w:lang w:val="en_US" w:bidi="en_US"/>
        </w:rPr>
      </w:r>
      <w:r>
        <w:rPr>
          <w:lang w:val="en_US" w:bidi="en_US"/>
        </w:rPr>
        <w:t>Here’s another example:</w:t>
      </w:r>
      <w:r>
        <w:rPr>
          <w:lang w:val="en_US" w:bidi="en_US"/>
        </w:rPr>
        <w:t xml:space="preserve"> People do not desire new wine after </w:t>
      </w:r>
      <w:r>
        <w:rPr>
          <w:lang w:val="en_US" w:bidi="en_US"/>
        </w:rPr>
        <w:t>they have been</w:t>
      </w:r>
      <w:r>
        <w:rPr>
          <w:lang w:val="en_US" w:bidi="en_US"/>
        </w:rPr>
        <w:t xml:space="preserve"> drinking old wine,</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 third illustration. In this illustration, Jesus criticized those who wanted to keep to the old traditions.</w:t>
      </w:r>
    </w:p>
    <w:p>
      <w:pPr/>
      <w:r>
        <w:rPr>
          <w:lang w:val="en_US" w:bidi="en_US"/>
        </w:rPr>
      </w:r>
      <w:r>
        <w:rPr>
          <w:lang w:val="en_US" w:bidi="en_US"/>
        </w:rPr>
        <w:t>Introduce this illustration in a way that is natural in your language. You can use the same word that you did in 5:37. You should make it clear that this is a third illustration. It is different from the previous illustration about wine and wineskins. Another way to translate this is:</w:t>
      </w:r>
    </w:p>
    <w:p>
      <w:pPr/>
      <w:r>
        <w:rPr>
          <w:lang w:val="en_US" w:bidi="en_US"/>
        </w:rPr>
      </w:r>
      <w:r>
        <w:rPr>
          <w:lang w:val="en_US" w:bidi="en_US"/>
        </w:rPr>
        <w:t>Also</w:t>
      </w:r>
    </w:p>
    <w:p>
      <w:pPr/>
      <w:r>
        <w:rPr>
          <w:lang w:val="en_US" w:bidi="en_US"/>
        </w:rPr>
      </w:r>
      <w:r>
        <w:rPr>
          <w:b/>
          <w:lang w:val="en_US" w:bidi="en_US"/>
        </w:rPr>
        <w:t>no one after drinking old wine wants new:</w:t>
      </w:r>
      <w:r>
        <w:rPr>
          <w:lang w:val="en_US" w:bidi="en_US"/>
        </w:rPr>
        <w:t xml:space="preserve"> This is a general statement of something that is true of most people. Use a natural form in your language to make a general statement. For example:</w:t>
      </w:r>
    </w:p>
    <w:p>
      <w:pPr/>
      <w:r>
        <w:rPr>
          <w:lang w:val="en_US" w:bidi="en_US"/>
        </w:rPr>
      </w:r>
      <w:r>
        <w:rPr>
          <w:u w:val="single"/>
          <w:lang w:val="en_US" w:bidi="en_US"/>
        </w:rPr>
        <w:t>People</w:t>
      </w:r>
      <w:r>
        <w:rPr>
          <w:lang w:val="en_US" w:bidi="en_US"/>
        </w:rPr>
        <w:t xml:space="preserve"> who have drunk old wine do not want to drink new wine.</w:t>
      </w:r>
    </w:p>
    <w:p>
      <w:pPr/>
      <w:r>
        <w:rPr>
          <w:lang w:val="en_US" w:bidi="en_US"/>
        </w:rPr>
      </w:r>
      <w:r>
        <w:rPr>
          <w:lang w:val="en_US" w:bidi="en_US"/>
        </w:rPr>
        <w:t>…you don’t want new wine after drinking old wine. (GNT)</w:t>
      </w:r>
    </w:p>
    <w:p>
      <w:pPr/>
      <w:r>
        <w:rPr>
          <w:lang w:val="en_US" w:bidi="en_US"/>
        </w:rPr>
      </w:r>
      <w:r>
        <w:rPr>
          <w:b/>
          <w:lang w:val="en_US" w:bidi="en_US"/>
        </w:rPr>
        <w:t>new:</w:t>
      </w:r>
      <w:r>
        <w:rPr>
          <w:lang w:val="en_US" w:bidi="en_US"/>
        </w:rPr>
        <w:t xml:space="preserve"> This Greek word for </w:t>
      </w:r>
      <w:r>
        <w:rPr>
          <w:i/>
          <w:lang w:val="en_US" w:bidi="en_US"/>
        </w:rPr>
        <w:t>new</w:t>
      </w:r>
      <w:r>
        <w:rPr>
          <w:lang w:val="en_US" w:bidi="en_US"/>
        </w:rPr>
        <w:t xml:space="preserve"> is the same word that was used in 5:37a and 5:37b. It refers to wine that has been pressed recently from grapes and is not yet fermented or strongly fermented.</w:t>
      </w:r>
    </w:p>
    <w:p>
      <w:pPr>
        <w:pStyle w:val="Heading5"/>
      </w:pPr>
      <w:r>
        <w:rPr>
          <w:lang w:val="en_US" w:bidi="en_US"/>
        </w:rPr>
        <w:t>5:39b</w:t>
      </w:r>
    </w:p>
    <w:p>
      <w:pPr/>
      <w:r>
        <w:rPr>
          <w:lang w:val="en_US" w:bidi="en_US"/>
        </w:rPr>
      </w:r>
      <w:r>
        <w:rPr>
          <w:b/>
          <w:lang w:val="en_US" w:bidi="en_US"/>
        </w:rPr>
        <w:t>for he says, ‘The old is better.’”</w:t>
      </w:r>
    </w:p>
    <w:p>
      <w:pPr>
        <w:pStyle w:val="ListBullet"/>
        <w:spacing w:line="240" w:lineRule="auto"/>
        <w:ind w:left="720"/>
      </w:pPr>
      <w:r>
        <w:rPr>
          <w:lang w:val="en_US" w:bidi="en_US"/>
        </w:rPr>
      </w:r>
      <w:r>
        <w:rPr>
          <w:lang w:val="en_US" w:bidi="en_US"/>
        </w:rPr>
        <w:t xml:space="preserve">For he says </w:t>
      </w:r>
      <w:r>
        <w:rPr>
          <w:lang w:val="en_US" w:bidi="en_US"/>
        </w:rPr>
        <w:t>to himself</w:t>
      </w:r>
      <w:r>
        <w:rPr>
          <w:lang w:val="en_US" w:bidi="en_US"/>
        </w:rPr>
        <w:t xml:space="preserve">, ‘The old </w:t>
      </w:r>
      <w:r>
        <w:rPr>
          <w:lang w:val="en_US" w:bidi="en_US"/>
        </w:rPr>
        <w:t>wine</w:t>
      </w:r>
      <w:r>
        <w:rPr>
          <w:lang w:val="en_US" w:bidi="en_US"/>
        </w:rPr>
        <w:t xml:space="preserve"> is good/better.'"</w:t>
      </w:r>
    </w:p>
    <w:p>
      <w:pPr>
        <w:pStyle w:val="ListBullet"/>
        <w:spacing w:line="240" w:lineRule="auto"/>
        <w:ind w:left="720"/>
      </w:pPr>
      <w:r>
        <w:rPr>
          <w:lang w:val="en_US" w:bidi="en_US"/>
        </w:rPr>
      </w:r>
      <w:r>
        <w:rPr>
          <w:lang w:val="en_US" w:bidi="en_US"/>
        </w:rPr>
        <w:t xml:space="preserve">because they think/believe that the old </w:t>
      </w:r>
      <w:r>
        <w:rPr>
          <w:lang w:val="en_US" w:bidi="en_US"/>
        </w:rPr>
        <w:t>wine</w:t>
      </w:r>
      <w:r>
        <w:rPr>
          <w:lang w:val="en_US" w:bidi="en_US"/>
        </w:rPr>
        <w:t xml:space="preserve"> is good/better.”</w:t>
      </w:r>
    </w:p>
    <w:p>
      <w:pPr/>
      <w:r>
        <w:rPr>
          <w:lang w:val="en_US" w:bidi="en_US"/>
        </w:rPr>
      </w:r>
      <w:r>
        <w:rPr>
          <w:b/>
          <w:lang w:val="en_US" w:bidi="en_US"/>
        </w:rPr>
        <w:t>for he says, ‘The old is better.’:</w:t>
      </w:r>
      <w:r>
        <w:rPr>
          <w:lang w:val="en_US" w:bidi="en_US"/>
        </w:rPr>
        <w:t xml:space="preserve"> The Greek verb that the BSB translates as </w:t>
      </w:r>
      <w:r>
        <w:rPr>
          <w:i/>
          <w:lang w:val="en_US" w:bidi="en_US"/>
        </w:rPr>
        <w:t>says</w:t>
      </w:r>
      <w:r>
        <w:rPr>
          <w:lang w:val="en_US" w:bidi="en_US"/>
        </w:rPr>
        <w:t xml:space="preserve"> here could also mean “thinks” or “believes.”</w:t>
      </w:r>
    </w:p>
    <w:p>
      <w:pPr/>
      <w:r>
        <w:rPr>
          <w:lang w:val="en_US" w:bidi="en_US"/>
        </w:rPr>
      </w:r>
      <w:r>
        <w:rPr>
          <w:b/>
          <w:lang w:val="en_US" w:bidi="en_US"/>
        </w:rPr>
        <w:t>The old is better:</w:t>
      </w:r>
      <w:r>
        <w:rPr>
          <w:lang w:val="en_US" w:bidi="en_US"/>
        </w:rPr>
        <w:t xml:space="preserve"> </w:t>
      </w:r>
      <w:r>
        <w:rPr>
          <w:lang w:val="en_US" w:bidi="en_US"/>
        </w:rPr>
        <w:t xml:space="preserve">There is a textual issue here. Some Greek manuscripts have “the old is </w:t>
      </w:r>
      <w:r>
        <w:rPr>
          <w:u w:val="single"/>
          <w:lang w:val="en_US" w:bidi="en_US"/>
        </w:rPr>
        <w:t>good</w:t>
      </w:r>
      <w:r>
        <w:rPr>
          <w:lang w:val="en_US" w:bidi="en_US"/>
        </w:rPr>
        <w:t xml:space="preserve">” while others have “the old is </w:t>
      </w:r>
      <w:r>
        <w:rPr>
          <w:u w:val="single"/>
          <w:lang w:val="en_US" w:bidi="en_US"/>
        </w:rPr>
        <w:t>better</w:t>
      </w:r>
      <w:r>
        <w:rPr>
          <w:lang w:val="en_US" w:bidi="en_US"/>
        </w:rPr>
        <w:t>.” “The old is good” is supported by the older Greek manuscripts and is likely the original reading. So a number of English versions follow this in their translation (for example RSV, NJB).</w:t>
      </w:r>
      <w:r>
        <w:rPr>
          <w:lang w:val="en_US" w:bidi="en_US"/>
        </w:rPr>
        <w:t xml:space="preserve"> In this statement, people are comparing new wine with old wine. The statement is literally “the old is good,” meaning that it is good when compared with the new. Many English versions translate “good” as “better” (for example, the BSB and the NIV). Express this comparison in a natural way in your language.</w:t>
      </w:r>
    </w:p>
    <w:p>
      <w:pPr>
        <w:pStyle w:val="Heading6"/>
      </w:pPr>
      <w:r>
        <w:rPr>
          <w:b/>
          <w:lang w:val="en_US" w:bidi="en_US"/>
        </w:rPr>
        <w:t>General Comment on 5:39</w:t>
      </w:r>
    </w:p>
    <w:p>
      <w:pPr/>
      <w:r>
        <w:rPr>
          <w:lang w:val="en_US" w:bidi="en_US"/>
        </w:rPr>
      </w:r>
      <w:r>
        <w:rPr>
          <w:lang w:val="en_US" w:bidi="en_US"/>
        </w:rPr>
        <w:t>You may want to add a footnote to explain some of the meaning of Jesus’ illustration about the wine. Some sample footnotes are:</w:t>
      </w:r>
    </w:p>
    <w:p>
      <w:pPr/>
      <w:r>
        <w:rPr>
          <w:lang w:val="en_US" w:bidi="en_US"/>
        </w:rPr>
      </w:r>
      <w:r>
        <w:rPr>
          <w:lang w:val="en_US" w:bidi="en_US"/>
        </w:rPr>
        <w:t>Jesus was using a parable to talk about people who were content with the old ways and teaching of Jewish religion. He implied that they were unwilling to consider the new ways and teaching that he had brought.</w:t>
      </w:r>
    </w:p>
    <w:p>
      <w:pPr/>
      <w:r>
        <w:rPr>
          <w:lang w:val="en_US" w:bidi="en_US"/>
        </w:rPr>
      </w:r>
      <w:r>
        <w:rPr>
          <w:lang w:val="en_US" w:bidi="en_US"/>
        </w:rPr>
        <w:t>Here old wine represents the old ways and teaching of the Jewish religion. New wine represents the new ways and teaching of Jesus. Jesus implied that people were unwilling to consider the news ways because they thought that the old ways were better.</w:t>
      </w:r>
      <w:r>
        <w:rPr>
          <w:lang w:val="en_US" w:bidi="en_US"/>
        </w:rPr>
      </w:r>
      <w:r>
        <w:rPr>
          <w:lang w:val="en_US" w:bidi="en_US"/>
        </w:rPr>
      </w:r>
    </w:p>
    <w:p>
      <w:pPr/>
      <w:r>
        <w:rPr>
          <w:lang w:val="en_US" w:bidi="en_US"/>
        </w:rPr>
      </w:r>
    </w:p>
    <w:p>
      <w:pPr>
        <w:pStyle w:val="Heading2"/>
      </w:pPr>
      <w:r>
        <w:rPr>
          <w:lang w:val="en_US" w:bidi="en_US"/>
        </w:rPr>
        <w:t>Luke 6:1</w:t>
      </w:r>
      <w:r>
        <w:rPr>
          <w:lang w:val="en_US" w:bidi="en_US"/>
        </w:rPr>
      </w:r>
    </w:p>
    <w:p>
      <w:pPr>
        <w:pStyle w:val="Heading4"/>
      </w:pPr>
      <w:r>
        <w:rPr>
          <w:lang w:val="en_US" w:bidi="en_US"/>
        </w:rPr>
        <w:t>Section 6:1–11: Jesus taught that he was Lord of the Sabbath</w:t>
      </w:r>
    </w:p>
    <w:p>
      <w:pPr/>
      <w:r>
        <w:rPr>
          <w:lang w:val="en_US" w:bidi="en_US"/>
        </w:rPr>
      </w:r>
      <w:r>
        <w:rPr>
          <w:lang w:val="en_US" w:bidi="en_US"/>
        </w:rP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pPr/>
      <w:r>
        <w:rPr>
          <w:lang w:val="en_US" w:bidi="en_US"/>
        </w:rPr>
      </w:r>
      <w:r>
        <w:rPr>
          <w:lang w:val="en_US" w:bidi="en_US"/>
        </w:rP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pPr/>
      <w:r>
        <w:rPr>
          <w:lang w:val="en_US" w:bidi="en_US"/>
        </w:rPr>
      </w:r>
      <w:r>
        <w:rPr>
          <w:lang w:val="en_US" w:bidi="en_US"/>
        </w:rPr>
        <w:t>Some other possible headings for this section are:</w:t>
      </w:r>
    </w:p>
    <w:p>
      <w:pPr/>
      <w:r>
        <w:rPr>
          <w:lang w:val="en_US" w:bidi="en_US"/>
        </w:rPr>
      </w:r>
      <w:r>
        <w:rPr>
          <w:lang w:val="en_US" w:bidi="en_US"/>
        </w:rPr>
        <w:t>The Pharisees and Jesus disagreed about Sabbath-day laws</w:t>
      </w:r>
    </w:p>
    <w:p>
      <w:pPr/>
      <w:r>
        <w:rPr>
          <w:lang w:val="en_US" w:bidi="en_US"/>
        </w:rPr>
      </w:r>
      <w:r>
        <w:rPr>
          <w:lang w:val="en_US" w:bidi="en_US"/>
        </w:rPr>
        <w:t>Jesus showed/taught the true meaning/use of the Sabbath day</w:t>
      </w:r>
    </w:p>
    <w:p>
      <w:pPr/>
      <w:r>
        <w:rPr>
          <w:lang w:val="en_US" w:bidi="en_US"/>
        </w:rPr>
      </w:r>
      <w:r>
        <w:rPr>
          <w:lang w:val="en_US" w:bidi="en_US"/>
        </w:rPr>
        <w:t>A Discussion about the Sabbath (NLT)</w:t>
      </w:r>
    </w:p>
    <w:p>
      <w:pPr/>
      <w:r>
        <w:rPr>
          <w:lang w:val="en_US" w:bidi="en_US"/>
        </w:rPr>
      </w:r>
      <w:r>
        <w:rPr>
          <w:lang w:val="en_US" w:bidi="en_US"/>
        </w:rPr>
        <w:t>There are parallel passages in Matthew 12:1–14 and Mark 2:23–3:6.</w:t>
      </w:r>
    </w:p>
    <w:p>
      <w:pPr>
        <w:pStyle w:val="Heading4"/>
      </w:pPr>
      <w:r>
        <w:rPr>
          <w:lang w:val="en_US" w:bidi="en_US"/>
        </w:rPr>
        <w:t>Paragraph 6:1–5</w:t>
      </w:r>
    </w:p>
    <w:p>
      <w:pPr/>
      <w:r>
        <w:rPr>
          <w:lang w:val="en_US" w:bidi="en_US"/>
        </w:rPr>
      </w:r>
      <w:r>
        <w:rPr>
          <w:lang w:val="en_US" w:bidi="en_US"/>
        </w:rPr>
        <w:t>In this paragraph, Luke described how Jesus allowed his disciples to pick and eat grain on the Sabbath. Some Pharisees saw the disciples doing that and rebuked Jesus. Jesus had not told his disciples to stop what they were doing. Therefore, the Pharisees felt that Jesus was not respecting their laws about the Sabbath day.</w:t>
      </w:r>
    </w:p>
    <w:p>
      <w:pPr/>
      <w:r>
        <w:rPr>
          <w:lang w:val="en_US" w:bidi="en_US"/>
        </w:rPr>
      </w:r>
      <w:r>
        <w:rPr>
          <w:lang w:val="en_US" w:bidi="en_US"/>
        </w:rPr>
        <w:t>In response, Jesus reminded the Pharisees of a story about King David. He showed them that the way they thought about the Sabbath was wrong. He told them that he had the authority to decide what was right or wrong to do on the Sabbath.</w:t>
      </w:r>
    </w:p>
    <w:p>
      <w:pPr>
        <w:pStyle w:val="Heading5"/>
      </w:pPr>
      <w:r>
        <w:rPr>
          <w:lang w:val="en_US" w:bidi="en_US"/>
        </w:rPr>
        <w:t>6:1a</w:t>
      </w:r>
    </w:p>
    <w:p>
      <w:pPr/>
      <w:r>
        <w:rPr>
          <w:lang w:val="en_US" w:bidi="en_US"/>
        </w:rPr>
      </w:r>
      <w:r>
        <w:rPr>
          <w:b/>
          <w:lang w:val="en_US" w:bidi="en_US"/>
        </w:rPr>
        <w:t>One Sabbath Jesus was passing through the grainfields,</w:t>
      </w:r>
    </w:p>
    <w:p>
      <w:pPr>
        <w:pStyle w:val="ListBullet"/>
        <w:spacing w:line="240" w:lineRule="auto"/>
        <w:ind w:left="720"/>
      </w:pPr>
      <w:r>
        <w:rPr>
          <w:lang w:val="en_US" w:bidi="en_US"/>
        </w:rPr>
      </w:r>
      <w:r>
        <w:rPr>
          <w:lang w:val="en_US" w:bidi="en_US"/>
        </w:rPr>
        <w:t>¶ One Sabbath day Jesus was passing through some fields of grain.</w:t>
      </w:r>
    </w:p>
    <w:p>
      <w:pPr>
        <w:pStyle w:val="ListBullet"/>
        <w:spacing w:line="240" w:lineRule="auto"/>
        <w:ind w:left="720"/>
      </w:pPr>
      <w:r>
        <w:rPr>
          <w:lang w:val="en_US" w:bidi="en_US"/>
        </w:rPr>
      </w:r>
      <w:r>
        <w:rPr>
          <w:lang w:val="en_US" w:bidi="en_US"/>
        </w:rPr>
        <w:t xml:space="preserve">¶ On one rest day, Jesus was walking </w:t>
      </w:r>
      <w:r>
        <w:rPr>
          <w:lang w:val="en_US" w:bidi="en_US"/>
        </w:rPr>
        <w:t>with his disciples</w:t>
      </w:r>
      <w:r>
        <w:rPr>
          <w:lang w:val="en_US" w:bidi="en_US"/>
        </w:rPr>
        <w:t xml:space="preserve"> through some fields where grain/wheat was growing.</w:t>
      </w:r>
    </w:p>
    <w:p>
      <w:pPr/>
      <w:r>
        <w:rPr>
          <w:lang w:val="en_US" w:bidi="en_US"/>
        </w:rPr>
      </w:r>
      <w:r>
        <w:rPr>
          <w:b/>
          <w:lang w:val="en_US" w:bidi="en_US"/>
        </w:rPr>
        <w:t>One Sabbath:</w:t>
      </w:r>
      <w:r>
        <w:rPr>
          <w:lang w:val="en_US" w:bidi="en_US"/>
        </w:rPr>
        <w:t xml:space="preserve"> The Greek phrase that the BSB translates as </w:t>
      </w:r>
      <w:r>
        <w:rPr>
          <w:i/>
          <w:lang w:val="en_US" w:bidi="en_US"/>
        </w:rPr>
        <w:t>One Sabbath</w:t>
      </w:r>
      <w:r>
        <w:rPr>
          <w:lang w:val="en_US" w:bidi="en_US"/>
        </w:rPr>
        <w:t xml:space="preserve"> is literally “and it happened that on a Sabbath.”</w:t>
      </w:r>
      <w:r>
        <w:rPr>
          <w:lang w:val="en_US" w:bidi="en_US"/>
        </w:rPr>
        <w:t xml:space="preserve">There is a textual issue here. Some Greek manuscripts have “on a Sabbath.” Other Greek manuscripts have “on the second Sabbath after the first.” The KJV follows the manuscripts that have “on the second Sabbath after the first.” The shortest reading “on a Sabbath” has the earliest and strongest manuscript support. According to Metzger’s </w:t>
      </w:r>
      <w:r>
        <w:rPr>
          <w:i/>
          <w:lang w:val="en_US" w:bidi="en_US"/>
        </w:rPr>
        <w:t>Textual Commentary</w:t>
      </w:r>
      <w:r>
        <w:rPr>
          <w:lang w:val="en_US" w:bidi="en_US"/>
        </w:rPr>
        <w:t>, the Greek word meaning “the second after the first” occurs nowhere else and appears to have arisen accidentally through a transcriptional error. It is recommended that you follow the majority of English versions that have simply “on a Sabbath” or “one Sabbath.” However, if the national language version in your area has “on the second Sabbath after the first,” you may mention this in a footnote. For example: “Some Greek manuscripts have ‘on the second Sabbath after the first.’”</w:t>
      </w:r>
      <w:r>
        <w:rPr>
          <w:lang w:val="en_US" w:bidi="en_US"/>
        </w:rPr>
        <w:t xml:space="preserve"> This phrase introduces a new story that happened one Sabbath day. The exact time in relation to the previous story is not in focus. The important information is that this incident happened on a Sabbath day.</w:t>
      </w:r>
    </w:p>
    <w:p>
      <w:pPr/>
      <w:r>
        <w:rPr>
          <w:lang w:val="en_US" w:bidi="en_US"/>
        </w:rPr>
      </w:r>
      <w:r>
        <w:rPr>
          <w:lang w:val="en_US" w:bidi="en_US"/>
        </w:rPr>
        <w:t>Connect this story with the previous story in a natural way in your language. For example:</w:t>
      </w:r>
    </w:p>
    <w:p>
      <w:pPr/>
      <w:r>
        <w:rPr>
          <w:lang w:val="en_US" w:bidi="en_US"/>
        </w:rPr>
      </w:r>
      <w:r>
        <w:rPr>
          <w:lang w:val="en_US" w:bidi="en_US"/>
        </w:rPr>
        <w:t>Once, on a day of worship (GW)</w:t>
      </w:r>
    </w:p>
    <w:p>
      <w:pPr/>
      <w:r>
        <w:rPr>
          <w:lang w:val="en_US" w:bidi="en_US"/>
        </w:rPr>
      </w:r>
      <w:r>
        <w:rPr>
          <w:lang w:val="en_US" w:bidi="en_US"/>
        </w:rPr>
        <w:t>On a Sabbath (RSV)</w:t>
      </w:r>
    </w:p>
    <w:p>
      <w:pPr/>
      <w:r>
        <w:rPr>
          <w:lang w:val="en_US" w:bidi="en_US"/>
        </w:rPr>
      </w:r>
      <w:r>
        <w:rPr>
          <w:b/>
          <w:lang w:val="en_US" w:bidi="en_US"/>
        </w:rPr>
        <w:t>Sabbath:</w:t>
      </w:r>
      <w:r>
        <w:rPr>
          <w:lang w:val="en_US" w:bidi="en_US"/>
        </w:rPr>
        <w:t xml:space="preserve"> The word </w:t>
      </w:r>
      <w:r>
        <w:rPr>
          <w:i/>
          <w:lang w:val="en_US" w:bidi="en_US"/>
        </w:rPr>
        <w:t>Sabbath</w:t>
      </w:r>
      <w:r>
        <w:rPr>
          <w:lang w:val="en_US" w:bidi="en_US"/>
        </w:rPr>
        <w:t xml:space="preserve"> is the name of the seventh and last day of the week for the Jews. The Sabbath was the special day of the week when the Jews rested and worshiped God. The Law of Moses said that the Jews must not do any work on that day (Deuteronomy 5:12–15).</w:t>
      </w:r>
    </w:p>
    <w:p>
      <w:pPr/>
      <w:r>
        <w:rPr>
          <w:lang w:val="en_US" w:bidi="en_US"/>
        </w:rPr>
      </w:r>
      <w:r>
        <w:rPr>
          <w:lang w:val="en_US" w:bidi="en_US"/>
        </w:rPr>
        <w:t xml:space="preserve">Some ways to translate </w:t>
      </w:r>
      <w:r>
        <w:rPr>
          <w:i/>
          <w:lang w:val="en_US" w:bidi="en_US"/>
        </w:rPr>
        <w:t>Sabbath</w:t>
      </w:r>
      <w:r>
        <w:rPr>
          <w:lang w:val="en_US" w:bidi="en_US"/>
        </w:rPr>
        <w:t xml:space="preserve"> are:</w:t>
      </w:r>
    </w:p>
    <w:p>
      <w:pPr/>
      <w:r>
        <w:rPr>
          <w:lang w:val="en_US" w:bidi="en_US"/>
        </w:rPr>
      </w:r>
      <w:r>
        <w:rPr>
          <w:lang w:val="en_US" w:bidi="en_US"/>
        </w:rPr>
        <w:t xml:space="preserve">the </w:t>
      </w:r>
      <w:r>
        <w:rPr>
          <w:lang w:val="en_US" w:bidi="en_US"/>
        </w:rPr>
        <w:t>Jewish</w:t>
      </w:r>
      <w:r>
        <w:rPr>
          <w:lang w:val="en_US" w:bidi="en_US"/>
        </w:rPr>
        <w:t xml:space="preserve"> rest day</w:t>
      </w:r>
    </w:p>
    <w:p>
      <w:pPr/>
      <w:r>
        <w:rPr>
          <w:lang w:val="en_US" w:bidi="en_US"/>
        </w:rPr>
      </w:r>
      <w:r>
        <w:rPr>
          <w:lang w:val="en_US" w:bidi="en_US"/>
        </w:rPr>
        <w:t>the day for resting</w:t>
      </w:r>
    </w:p>
    <w:p>
      <w:pPr/>
      <w:r>
        <w:rPr>
          <w:lang w:val="en_US" w:bidi="en_US"/>
        </w:rPr>
      </w:r>
      <w:r>
        <w:rPr>
          <w:lang w:val="en_US" w:bidi="en_US"/>
        </w:rPr>
        <w:t>the day to rest and worship God</w:t>
      </w:r>
    </w:p>
    <w:p>
      <w:pPr/>
      <w:r>
        <w:rPr>
          <w:lang w:val="en_US" w:bidi="en_US"/>
        </w:rPr>
      </w:r>
      <w:r>
        <w:rPr>
          <w:lang w:val="en_US" w:bidi="en_US"/>
        </w:rPr>
        <w:t xml:space="preserve">See how you translated </w:t>
      </w:r>
      <w:r>
        <w:rPr>
          <w:i/>
          <w:lang w:val="en_US" w:bidi="en_US"/>
        </w:rPr>
        <w:t>Sabbath</w:t>
      </w:r>
      <w:r>
        <w:rPr>
          <w:lang w:val="en_US" w:bidi="en_US"/>
        </w:rPr>
        <w:t xml:space="preserve"> at 4:16.</w:t>
      </w:r>
    </w:p>
    <w:p>
      <w:pPr/>
      <w:r>
        <w:rPr>
          <w:lang w:val="en_US" w:bidi="en_US"/>
        </w:rPr>
      </w:r>
      <w:r>
        <w:rPr>
          <w:b/>
          <w:lang w:val="en_US" w:bidi="en_US"/>
        </w:rPr>
        <w:t>Jesus:</w:t>
      </w:r>
      <w:r>
        <w:rPr>
          <w:lang w:val="en_US" w:bidi="en_US"/>
        </w:rPr>
        <w:t xml:space="preserve"> It is clear from 6:1b that Jesus’ disciples were with him. In some languages, it may be natural to mention them in this verse also. For example:</w:t>
      </w:r>
    </w:p>
    <w:p>
      <w:pPr/>
      <w:r>
        <w:rPr>
          <w:lang w:val="en_US" w:bidi="en_US"/>
        </w:rPr>
      </w:r>
      <w:r>
        <w:rPr>
          <w:lang w:val="en_US" w:bidi="en_US"/>
        </w:rPr>
        <w:t xml:space="preserve">Jesus </w:t>
      </w:r>
      <w:r>
        <w:rPr>
          <w:lang w:val="en_US" w:bidi="en_US"/>
        </w:rPr>
        <w:t>and his disciples</w:t>
      </w:r>
      <w:r>
        <w:rPr>
          <w:lang w:val="en_US" w:bidi="en_US"/>
        </w:rPr>
        <w:t xml:space="preserve"> were going through the grainfields.</w:t>
      </w:r>
    </w:p>
    <w:p>
      <w:pPr/>
      <w:r>
        <w:rPr>
          <w:lang w:val="en_US" w:bidi="en_US"/>
        </w:rPr>
      </w:r>
      <w:r>
        <w:rPr>
          <w:lang w:val="en_US" w:bidi="en_US"/>
        </w:rPr>
        <w:t xml:space="preserve">Jesus was going through the grainfields </w:t>
      </w:r>
      <w:r>
        <w:rPr>
          <w:lang w:val="en_US" w:bidi="en_US"/>
        </w:rPr>
        <w:t>with his disciples</w:t>
      </w:r>
      <w:r>
        <w:rPr>
          <w:lang w:val="en_US" w:bidi="en_US"/>
        </w:rPr>
        <w:t>.</w:t>
      </w:r>
    </w:p>
    <w:p>
      <w:pPr/>
      <w:r>
        <w:rPr>
          <w:lang w:val="en_US" w:bidi="en_US"/>
        </w:rPr>
      </w:r>
      <w:r>
        <w:rPr>
          <w:lang w:val="en_US" w:bidi="en_US"/>
        </w:rPr>
        <w:t>Or you could say in 6:1b:</w:t>
      </w:r>
    </w:p>
    <w:p>
      <w:pPr/>
      <w:r>
        <w:rPr>
          <w:lang w:val="en_US" w:bidi="en_US"/>
        </w:rPr>
      </w:r>
      <w:r>
        <w:rPr>
          <w:lang w:val="en_US" w:bidi="en_US"/>
        </w:rPr>
        <w:t xml:space="preserve">His disciples, </w:t>
      </w:r>
      <w:r>
        <w:rPr>
          <w:lang w:val="en_US" w:bidi="en_US"/>
        </w:rPr>
        <w:t>who were with him</w:t>
      </w:r>
      <w:r>
        <w:rPr>
          <w:lang w:val="en_US" w:bidi="en_US"/>
        </w:rPr>
        <w:t>, began to pick…</w:t>
      </w:r>
    </w:p>
    <w:p>
      <w:pPr/>
      <w:r>
        <w:rPr>
          <w:lang w:val="en_US" w:bidi="en_US"/>
        </w:rPr>
      </w:r>
      <w:r>
        <w:rPr>
          <w:b/>
          <w:lang w:val="en_US" w:bidi="en_US"/>
        </w:rPr>
        <w:t>was passing through the grainfields:</w:t>
      </w:r>
      <w:r>
        <w:rPr>
          <w:lang w:val="en_US" w:bidi="en_US"/>
        </w:rPr>
        <w:t xml:space="preserve"> There were paths </w:t>
      </w:r>
      <w:r>
        <w:rPr>
          <w:i/>
          <w:lang w:val="en_US" w:bidi="en_US"/>
        </w:rPr>
        <w:t>through the grainfields</w:t>
      </w:r>
      <w:r>
        <w:rPr>
          <w:lang w:val="en_US" w:bidi="en_US"/>
        </w:rPr>
        <w:t xml:space="preserve"> where people could walk without damaging the grain. Jesus and his disciples were walking in a place where they were allowed to walk. In some languages, it may be necessary to make this explicit:</w:t>
      </w:r>
    </w:p>
    <w:p>
      <w:pPr/>
      <w:r>
        <w:rPr>
          <w:lang w:val="en_US" w:bidi="en_US"/>
        </w:rPr>
      </w:r>
      <w:r>
        <w:rPr>
          <w:lang w:val="en_US" w:bidi="en_US"/>
        </w:rPr>
        <w:t xml:space="preserve">was going </w:t>
      </w:r>
      <w:r>
        <w:rPr>
          <w:lang w:val="en_US" w:bidi="en_US"/>
        </w:rPr>
        <w:t>along/on the paths that went</w:t>
      </w:r>
      <w:r>
        <w:rPr>
          <w:lang w:val="en_US" w:bidi="en_US"/>
        </w:rPr>
        <w:t xml:space="preserve"> through the grainfields</w:t>
      </w:r>
    </w:p>
    <w:p>
      <w:pPr/>
      <w:r>
        <w:rPr>
          <w:lang w:val="en_US" w:bidi="en_US"/>
        </w:rPr>
      </w:r>
      <w:r>
        <w:rPr>
          <w:b/>
          <w:lang w:val="en_US" w:bidi="en_US"/>
        </w:rPr>
        <w:t>grainfields:</w:t>
      </w:r>
      <w:r>
        <w:rPr>
          <w:lang w:val="en_US" w:bidi="en_US"/>
        </w:rPr>
        <w:t xml:space="preserve"> The </w:t>
      </w:r>
      <w:r>
        <w:rPr>
          <w:i/>
          <w:lang w:val="en_US" w:bidi="en_US"/>
        </w:rPr>
        <w:t>grainfields</w:t>
      </w:r>
      <w:r>
        <w:rPr>
          <w:lang w:val="en_US" w:bidi="en_US"/>
        </w:rPr>
        <w:t xml:space="preserve"> were fields, farms, or gardens where the people grew crops that produced grain. This grain could have been wheat, barley, or a similar type of grain.</w:t>
      </w:r>
      <w:r>
        <w:rPr>
          <w:lang w:val="en_US" w:bidi="en_US"/>
        </w:rPr>
        <w:t>Notice that some English versions (KJV, NJB, REB), following British English, call these “cornfields.” In these versions, “corn” has the general sense of “grain.” It does not refer to “maize” (which Americans call “corn”).</w:t>
      </w:r>
      <w:r>
        <w:rPr>
          <w:lang w:val="en_US" w:bidi="en_US"/>
        </w:rPr>
        <w:t xml:space="preserve"> Some ways to translate </w:t>
      </w:r>
      <w:r>
        <w:rPr>
          <w:i/>
          <w:lang w:val="en_US" w:bidi="en_US"/>
        </w:rPr>
        <w:t>grainfields</w:t>
      </w:r>
      <w:r>
        <w:rPr>
          <w:lang w:val="en_US" w:bidi="en_US"/>
        </w:rPr>
        <w:t xml:space="preserve"> are:</w:t>
      </w:r>
    </w:p>
    <w:p>
      <w:pPr>
        <w:pStyle w:val="ListBullet"/>
        <w:spacing w:line="240" w:lineRule="auto"/>
        <w:ind w:left="720"/>
      </w:pPr>
      <w:r>
        <w:rPr>
          <w:lang w:val="en_US" w:bidi="en_US"/>
        </w:rPr>
      </w:r>
      <w:r>
        <w:rPr>
          <w:lang w:val="en_US" w:bidi="en_US"/>
        </w:rPr>
        <w:t>Translate this term literally. For example:</w:t>
      </w:r>
      <w:r>
        <w:rPr>
          <w:lang w:val="en_US" w:bidi="en_US"/>
        </w:rPr>
        <w:t>fields of grain (NCV)</w:t>
      </w:r>
    </w:p>
    <w:p>
      <w:pPr>
        <w:pStyle w:val="ListBullet"/>
        <w:spacing w:line="240" w:lineRule="auto"/>
        <w:ind w:left="720"/>
      </w:pPr>
      <w:r>
        <w:rPr>
          <w:lang w:val="en_US" w:bidi="en_US"/>
        </w:rPr>
      </w:r>
      <w:r>
        <w:rPr>
          <w:lang w:val="en_US" w:bidi="en_US"/>
        </w:rPr>
        <w:t>Use an expression for a specific type of grain. For example:</w:t>
      </w:r>
      <w:r>
        <w:rPr>
          <w:lang w:val="en_US" w:bidi="en_US"/>
        </w:rPr>
        <w:t>wheat fields (CEV)</w:t>
      </w:r>
      <w:r>
        <w:rPr>
          <w:lang w:val="en_US" w:bidi="en_US"/>
        </w:rPr>
        <w:t>barley farms</w:t>
      </w:r>
      <w:r>
        <w:rPr>
          <w:lang w:val="en_US" w:bidi="en_US"/>
        </w:rPr>
        <w:t>fields where people grew something like millet</w:t>
      </w:r>
    </w:p>
    <w:p>
      <w:pPr>
        <w:pStyle w:val="ListBullet"/>
        <w:spacing w:line="240" w:lineRule="auto"/>
        <w:ind w:left="720"/>
      </w:pPr>
      <w:r>
        <w:rPr>
          <w:lang w:val="en_US" w:bidi="en_US"/>
        </w:rPr>
      </w:r>
      <w:r>
        <w:rPr>
          <w:lang w:val="en_US" w:bidi="en_US"/>
        </w:rPr>
        <w:t>Use a general expression for a field where people grow crops for food. For example:</w:t>
      </w:r>
      <w:r>
        <w:rPr>
          <w:lang w:val="en_US" w:bidi="en_US"/>
        </w:rPr>
        <w:t>cultivated field</w:t>
      </w:r>
      <w:r>
        <w:rPr>
          <w:lang w:val="en_US" w:bidi="en_US"/>
        </w:rPr>
        <w:t>fields/land for growing food</w:t>
      </w:r>
      <w:r>
        <w:rPr>
          <w:lang w:val="en_US" w:bidi="en_US"/>
        </w:rPr>
        <w:t>farms</w:t>
      </w:r>
    </w:p>
    <w:p>
      <w:pPr>
        <w:pStyle w:val="Heading5"/>
      </w:pPr>
      <w:r>
        <w:rPr>
          <w:lang w:val="en_US" w:bidi="en_US"/>
        </w:rPr>
        <w:t>6:1b</w:t>
      </w:r>
    </w:p>
    <w:p>
      <w:pPr/>
      <w:r>
        <w:rPr>
          <w:lang w:val="en_US" w:bidi="en_US"/>
        </w:rPr>
      </w:r>
      <w:r>
        <w:rPr>
          <w:b/>
          <w:lang w:val="en_US" w:bidi="en_US"/>
        </w:rPr>
        <w:t>and His disciples began to pick the heads of grain,</w:t>
      </w:r>
    </w:p>
    <w:p>
      <w:pPr>
        <w:pStyle w:val="ListBullet"/>
        <w:spacing w:line="240" w:lineRule="auto"/>
        <w:ind w:left="720"/>
      </w:pPr>
      <w:r>
        <w:rPr>
          <w:lang w:val="en_US" w:bidi="en_US"/>
        </w:rPr>
      </w:r>
      <w:r>
        <w:rPr>
          <w:lang w:val="en_US" w:bidi="en_US"/>
        </w:rPr>
        <w:t>His disciples were picking the heads of grain, (GW)</w:t>
      </w:r>
    </w:p>
    <w:p>
      <w:pPr>
        <w:pStyle w:val="ListBullet"/>
        <w:spacing w:line="240" w:lineRule="auto"/>
        <w:ind w:left="720"/>
      </w:pPr>
      <w:r>
        <w:rPr>
          <w:lang w:val="en_US" w:bidi="en_US"/>
        </w:rPr>
      </w:r>
      <w:r>
        <w:rPr>
          <w:lang w:val="en_US" w:bidi="en_US"/>
        </w:rPr>
        <w:t>As they walked</w:t>
      </w:r>
      <w:r>
        <w:rPr>
          <w:lang w:val="en_US" w:bidi="en_US"/>
        </w:rPr>
        <w:t xml:space="preserve"> his followers were breaking off some of the </w:t>
      </w:r>
      <w:r>
        <w:rPr>
          <w:lang w:val="en_US" w:bidi="en_US"/>
        </w:rPr>
        <w:t>clusters of</w:t>
      </w:r>
      <w:r>
        <w:rPr>
          <w:lang w:val="en_US" w:bidi="en_US"/>
        </w:rPr>
        <w:t xml:space="preserve"> grain/wheat </w:t>
      </w:r>
      <w:r>
        <w:rPr>
          <w:lang w:val="en_US" w:bidi="en_US"/>
        </w:rPr>
        <w:t>seeds</w:t>
      </w:r>
      <w:r>
        <w:rPr>
          <w:lang w:val="en_US" w:bidi="en_US"/>
        </w:rPr>
        <w:t>.</w:t>
      </w:r>
    </w:p>
    <w:p>
      <w:pPr/>
      <w:r>
        <w:rPr>
          <w:lang w:val="en_US" w:bidi="en_US"/>
        </w:rPr>
      </w:r>
      <w:r>
        <w:rPr>
          <w:b/>
          <w:lang w:val="en_US" w:bidi="en_US"/>
        </w:rPr>
        <w:t>His disciples began to pick the heads of grain:</w:t>
      </w:r>
      <w:r>
        <w:rPr>
          <w:lang w:val="en_US" w:bidi="en_US"/>
        </w:rPr>
        <w:t xml:space="preserve"> Jesus’ disciples picked some heads of grain by snapping them off with their fingers. They did not use tools. They only took a small amount of grain. They ate it as they walked along.</w:t>
      </w:r>
    </w:p>
    <w:p>
      <w:pPr/>
      <w:r>
        <w:rPr>
          <w:lang w:val="en_US" w:bidi="en_US"/>
        </w:rPr>
      </w:r>
      <w:r>
        <w:rPr>
          <w:lang w:val="en_US" w:bidi="en_US"/>
        </w:rPr>
        <w:t>In the Old Testament, God allowed the Jewish people to do this in fields owned by fellow Jews. They were not allowed to harvest the grain in large amounts (see Deuteronomy 23:25). Another way to translate this is:</w:t>
      </w:r>
    </w:p>
    <w:p>
      <w:pPr/>
      <w:r>
        <w:rPr>
          <w:lang w:val="en_US" w:bidi="en_US"/>
        </w:rPr>
      </w:r>
      <w:r>
        <w:rPr>
          <w:lang w:val="en_US" w:bidi="en_US"/>
        </w:rPr>
        <w:t>his disciples broke off heads of grain (NLT)</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Use the same term you used in 5:30a. See the note there and see also disciple in the Glossary.</w:t>
      </w:r>
    </w:p>
    <w:p>
      <w:pPr/>
      <w:r>
        <w:rPr>
          <w:lang w:val="en_US" w:bidi="en_US"/>
        </w:rPr>
      </w:r>
      <w:r>
        <w:rPr>
          <w:b/>
          <w:lang w:val="en_US" w:bidi="en_US"/>
        </w:rPr>
        <w:t>the heads of grain:</w:t>
      </w:r>
      <w:r>
        <w:rPr>
          <w:lang w:val="en_US" w:bidi="en_US"/>
        </w:rPr>
        <w:t xml:space="preserve"> The phrase </w:t>
      </w:r>
      <w:r>
        <w:rPr>
          <w:i/>
          <w:lang w:val="en_US" w:bidi="en_US"/>
        </w:rPr>
        <w:t>heads of grain</w:t>
      </w:r>
      <w:r>
        <w:rPr>
          <w:lang w:val="en_US" w:bidi="en_US"/>
        </w:rPr>
        <w:t xml:space="preserve"> refers to the top part of grain plants. Clusters of seeds develop on the top part of grain plants. These clusters are the </w:t>
      </w:r>
      <w:r>
        <w:rPr>
          <w:i/>
          <w:lang w:val="en_US" w:bidi="en_US"/>
        </w:rPr>
        <w:t>heads of grain</w:t>
      </w:r>
      <w:r>
        <w:rPr>
          <w:lang w:val="en_US" w:bidi="en_US"/>
        </w:rPr>
        <w:t>. These grains could be eaten raw.</w:t>
      </w:r>
    </w:p>
    <w:p>
      <w:pPr/>
      <w:r>
        <w:rPr>
          <w:lang w:val="en_US" w:bidi="en_US"/>
        </w:rPr>
      </w:r>
      <w:r>
        <w:rPr>
          <w:lang w:val="en_US" w:bidi="en_US"/>
        </w:rPr>
        <w:t>In some languages, this part of the plant is simply referred to as:</w:t>
      </w:r>
    </w:p>
    <w:p>
      <w:pPr/>
      <w:r>
        <w:rPr>
          <w:lang w:val="en_US" w:bidi="en_US"/>
        </w:rPr>
      </w:r>
      <w:r>
        <w:rPr>
          <w:lang w:val="en_US" w:bidi="en_US"/>
        </w:rPr>
        <w:t>grain</w:t>
      </w:r>
    </w:p>
    <w:p>
      <w:pPr/>
      <w:r>
        <w:rPr>
          <w:lang w:val="en_US" w:bidi="en_US"/>
        </w:rPr>
      </w:r>
      <w:r>
        <w:rPr>
          <w:lang w:val="en_US" w:bidi="en_US"/>
        </w:rPr>
        <w:t>grain seeds</w:t>
      </w:r>
    </w:p>
    <w:p>
      <w:pPr/>
      <w:r>
        <w:rPr>
          <w:lang w:val="en_US" w:bidi="en_US"/>
        </w:rPr>
      </w:r>
      <w:r>
        <w:rPr>
          <w:b/>
          <w:lang w:val="en_US" w:bidi="en_US"/>
        </w:rPr>
        <w:t>grain:</w:t>
      </w:r>
      <w:r>
        <w:rPr>
          <w:lang w:val="en_US" w:bidi="en_US"/>
        </w:rPr>
        <w:t xml:space="preserve"> The text does not say what sort of </w:t>
      </w:r>
      <w:r>
        <w:rPr>
          <w:i/>
          <w:lang w:val="en_US" w:bidi="en_US"/>
        </w:rPr>
        <w:t>grain</w:t>
      </w:r>
      <w:r>
        <w:rPr>
          <w:lang w:val="en_US" w:bidi="en_US"/>
        </w:rPr>
        <w:t xml:space="preserve"> this was. Some ways to translate this are:</w:t>
      </w:r>
    </w:p>
    <w:p>
      <w:pPr>
        <w:pStyle w:val="ListBullet"/>
        <w:spacing w:line="240" w:lineRule="auto"/>
        <w:ind w:left="720"/>
      </w:pPr>
      <w:r>
        <w:rPr>
          <w:lang w:val="en_US" w:bidi="en_US"/>
        </w:rPr>
      </w:r>
      <w:r>
        <w:rPr>
          <w:lang w:val="en_US" w:bidi="en_US"/>
        </w:rPr>
        <w:t>Use a general word for grain. For example:</w:t>
      </w:r>
      <w:r>
        <w:rPr>
          <w:lang w:val="en_US" w:bidi="en_US"/>
        </w:rPr>
        <w:t>grain seeds</w:t>
      </w:r>
      <w:r>
        <w:rPr>
          <w:lang w:val="en_US" w:bidi="en_US"/>
        </w:rPr>
        <w:t>seeds</w:t>
      </w:r>
    </w:p>
    <w:p>
      <w:pPr>
        <w:pStyle w:val="ListBullet"/>
        <w:spacing w:line="240" w:lineRule="auto"/>
        <w:ind w:left="720"/>
      </w:pPr>
      <w:r>
        <w:rPr>
          <w:lang w:val="en_US" w:bidi="en_US"/>
        </w:rPr>
      </w:r>
      <w:r>
        <w:rPr>
          <w:lang w:val="en_US" w:bidi="en_US"/>
        </w:rPr>
        <w:t>If you do not have a general word for grain, use a word that refers to a specific type of grain. For example:</w:t>
      </w:r>
      <w:r>
        <w:rPr>
          <w:lang w:val="en_US" w:bidi="en_US"/>
        </w:rPr>
        <w:t>wheat</w:t>
      </w:r>
      <w:r>
        <w:rPr>
          <w:lang w:val="en_US" w:bidi="en_US"/>
        </w:rPr>
        <w:t>barley</w:t>
      </w:r>
      <w:r>
        <w:rPr>
          <w:lang w:val="en_US" w:bidi="en_US"/>
        </w:rPr>
        <w:t>something like rice/millet</w:t>
      </w:r>
    </w:p>
    <w:p>
      <w:pPr>
        <w:pStyle w:val="Heading5"/>
      </w:pPr>
      <w:r>
        <w:rPr>
          <w:lang w:val="en_US" w:bidi="en_US"/>
        </w:rPr>
        <w:t>6:1c</w:t>
      </w:r>
    </w:p>
    <w:p>
      <w:pPr/>
      <w:r>
        <w:rPr>
          <w:lang w:val="en_US" w:bidi="en_US"/>
        </w:rPr>
      </w:r>
      <w:r>
        <w:rPr>
          <w:b/>
          <w:lang w:val="en_US" w:bidi="en_US"/>
        </w:rPr>
        <w:t>rub them in their hands, and eat them.</w:t>
      </w:r>
    </w:p>
    <w:p>
      <w:pPr>
        <w:pStyle w:val="ListBullet"/>
        <w:spacing w:line="240" w:lineRule="auto"/>
        <w:ind w:left="720"/>
      </w:pPr>
      <w:r>
        <w:rPr>
          <w:lang w:val="en_US" w:bidi="en_US"/>
        </w:rPr>
      </w:r>
      <w:r>
        <w:rPr>
          <w:lang w:val="en_US" w:bidi="en_US"/>
        </w:rPr>
        <w:t>removing the husks, and eating the grain. (GW)</w:t>
      </w:r>
    </w:p>
    <w:p>
      <w:pPr>
        <w:pStyle w:val="ListBullet"/>
        <w:spacing w:line="240" w:lineRule="auto"/>
        <w:ind w:left="720"/>
      </w:pPr>
      <w:r>
        <w:rPr>
          <w:lang w:val="en_US" w:bidi="en_US"/>
        </w:rPr>
      </w:r>
      <w:r>
        <w:rPr>
          <w:lang w:val="en_US" w:bidi="en_US"/>
        </w:rPr>
        <w:t xml:space="preserve">After rubbing </w:t>
      </w:r>
      <w:r>
        <w:rPr>
          <w:lang w:val="en_US" w:bidi="en_US"/>
        </w:rPr>
        <w:t>off the husks</w:t>
      </w:r>
      <w:r>
        <w:rPr>
          <w:lang w:val="en_US" w:bidi="en_US"/>
        </w:rPr>
        <w:t xml:space="preserve"> between their palms/fingers, they ate the kernels/seeds.</w:t>
      </w:r>
    </w:p>
    <w:p>
      <w:pPr/>
      <w:r>
        <w:rPr>
          <w:lang w:val="en_US" w:bidi="en_US"/>
        </w:rPr>
      </w:r>
      <w:r>
        <w:rPr>
          <w:b/>
          <w:lang w:val="en_US" w:bidi="en_US"/>
        </w:rPr>
        <w:t>rub them in their hands, and eat them:</w:t>
      </w:r>
      <w:r>
        <w:rPr>
          <w:lang w:val="en_US" w:bidi="en_US"/>
        </w:rPr>
        <w:t xml:space="preserve"> The phrase that the BSB translates as </w:t>
      </w:r>
      <w:r>
        <w:rPr>
          <w:i/>
          <w:lang w:val="en_US" w:bidi="en_US"/>
        </w:rPr>
        <w:t>rub them in their hands, and eat them</w:t>
      </w:r>
      <w:r>
        <w:rPr>
          <w:lang w:val="en_US" w:bidi="en_US"/>
        </w:rPr>
        <w:t xml:space="preserve"> is literally “eating some heads of grain, rubbing them in their hands.” The disciples had to rub the husks off the heads of grain before they could eat the kernels that were inside. The BSB has put the actions in the order in which they happened.</w:t>
      </w:r>
    </w:p>
    <w:p>
      <w:pPr/>
      <w:r>
        <w:rPr>
          <w:lang w:val="en_US" w:bidi="en_US"/>
        </w:rPr>
      </w:r>
      <w:r>
        <w:rPr>
          <w:b/>
          <w:lang w:val="en_US" w:bidi="en_US"/>
        </w:rPr>
        <w:t>rub them in their hands:</w:t>
      </w:r>
      <w:r>
        <w:rPr>
          <w:lang w:val="en_US" w:bidi="en_US"/>
        </w:rPr>
        <w:t xml:space="preserve"> The disciples rubbed the heads of grain between their hands in order to remove the husks from the seeds. The husks were not good to eat.</w:t>
      </w:r>
    </w:p>
    <w:p>
      <w:pPr/>
      <w:r>
        <w:rPr>
          <w:lang w:val="en_US" w:bidi="en_US"/>
        </w:rPr>
      </w:r>
      <w:r>
        <w:rPr>
          <w:b/>
          <w:lang w:val="en_US" w:bidi="en_US"/>
        </w:rPr>
        <w:t>eat them:</w:t>
      </w:r>
      <w:r>
        <w:rPr>
          <w:lang w:val="en_US" w:bidi="en_US"/>
        </w:rPr>
        <w:t xml:space="preserve"> The BSB has added the pronoun </w:t>
      </w:r>
      <w:r>
        <w:rPr>
          <w:i/>
          <w:lang w:val="en_US" w:bidi="en_US"/>
        </w:rPr>
        <w:t>them</w:t>
      </w:r>
      <w:r>
        <w:rPr>
          <w:lang w:val="en_US" w:bidi="en_US"/>
        </w:rPr>
        <w:t xml:space="preserve"> for the sake of English style, even though it is not in the Greek text. It may also be helpful to add a term to show that the disciples were not eating the entire “heads of grain,” only the part inside the husks. Other ways to say this are:</w:t>
      </w:r>
    </w:p>
    <w:p>
      <w:pPr/>
      <w:r>
        <w:rPr>
          <w:lang w:val="en_US" w:bidi="en_US"/>
        </w:rPr>
      </w:r>
      <w:r>
        <w:rPr>
          <w:lang w:val="en_US" w:bidi="en_US"/>
        </w:rPr>
        <w:t>eat the kernels (NIV)</w:t>
      </w:r>
    </w:p>
    <w:p>
      <w:pPr/>
      <w:r>
        <w:rPr>
          <w:lang w:val="en_US" w:bidi="en_US"/>
        </w:rPr>
      </w:r>
      <w:r>
        <w:rPr>
          <w:lang w:val="en_US" w:bidi="en_US"/>
        </w:rPr>
        <w:t>eat the seeds</w:t>
      </w:r>
    </w:p>
    <w:p>
      <w:pPr/>
      <w:r>
        <w:rPr>
          <w:lang w:val="en_US" w:bidi="en_US"/>
        </w:rPr>
      </w:r>
      <w:r>
        <w:rPr>
          <w:lang w:val="en_US" w:bidi="en_US"/>
        </w:rPr>
        <w:t>eat the grain</w:t>
      </w:r>
      <w:r>
        <w:rPr>
          <w:lang w:val="en_US" w:bidi="en_US"/>
        </w:rPr>
      </w:r>
      <w:r>
        <w:rPr>
          <w:lang w:val="en_US" w:bidi="en_US"/>
        </w:rPr>
      </w:r>
    </w:p>
    <w:p>
      <w:pPr/>
      <w:r>
        <w:rPr>
          <w:lang w:val="en_US" w:bidi="en_US"/>
        </w:rPr>
      </w:r>
    </w:p>
    <w:p>
      <w:pPr>
        <w:pStyle w:val="Heading2"/>
      </w:pPr>
      <w:r>
        <w:rPr>
          <w:lang w:val="en_US" w:bidi="en_US"/>
        </w:rPr>
        <w:t>Luke 6:2</w:t>
      </w:r>
      <w:r>
        <w:rPr>
          <w:lang w:val="en_US" w:bidi="en_US"/>
        </w:rPr>
      </w:r>
    </w:p>
    <w:p>
      <w:pPr>
        <w:pStyle w:val="Heading4"/>
      </w:pPr>
      <w:r>
        <w:rPr>
          <w:lang w:val="en_US" w:bidi="en_US"/>
        </w:rPr>
        <w:t>Section 6:1–11: Jesus taught that he was Lord of the Sabbath</w:t>
      </w:r>
    </w:p>
    <w:p>
      <w:pPr/>
      <w:r>
        <w:rPr>
          <w:lang w:val="en_US" w:bidi="en_US"/>
        </w:rPr>
      </w:r>
      <w:r>
        <w:rPr>
          <w:lang w:val="en_US" w:bidi="en_US"/>
        </w:rP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pPr/>
      <w:r>
        <w:rPr>
          <w:lang w:val="en_US" w:bidi="en_US"/>
        </w:rPr>
      </w:r>
      <w:r>
        <w:rPr>
          <w:lang w:val="en_US" w:bidi="en_US"/>
        </w:rP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pPr/>
      <w:r>
        <w:rPr>
          <w:lang w:val="en_US" w:bidi="en_US"/>
        </w:rPr>
      </w:r>
      <w:r>
        <w:rPr>
          <w:lang w:val="en_US" w:bidi="en_US"/>
        </w:rPr>
        <w:t>Some other possible headings for this section are:</w:t>
      </w:r>
    </w:p>
    <w:p>
      <w:pPr/>
      <w:r>
        <w:rPr>
          <w:lang w:val="en_US" w:bidi="en_US"/>
        </w:rPr>
      </w:r>
      <w:r>
        <w:rPr>
          <w:lang w:val="en_US" w:bidi="en_US"/>
        </w:rPr>
        <w:t>The Pharisees and Jesus disagreed about Sabbath-day laws</w:t>
      </w:r>
    </w:p>
    <w:p>
      <w:pPr/>
      <w:r>
        <w:rPr>
          <w:lang w:val="en_US" w:bidi="en_US"/>
        </w:rPr>
      </w:r>
      <w:r>
        <w:rPr>
          <w:lang w:val="en_US" w:bidi="en_US"/>
        </w:rPr>
        <w:t>Jesus showed/taught the true meaning/use of the Sabbath day</w:t>
      </w:r>
    </w:p>
    <w:p>
      <w:pPr/>
      <w:r>
        <w:rPr>
          <w:lang w:val="en_US" w:bidi="en_US"/>
        </w:rPr>
      </w:r>
      <w:r>
        <w:rPr>
          <w:lang w:val="en_US" w:bidi="en_US"/>
        </w:rPr>
        <w:t>A Discussion about the Sabbath (NLT)</w:t>
      </w:r>
    </w:p>
    <w:p>
      <w:pPr/>
      <w:r>
        <w:rPr>
          <w:lang w:val="en_US" w:bidi="en_US"/>
        </w:rPr>
      </w:r>
      <w:r>
        <w:rPr>
          <w:lang w:val="en_US" w:bidi="en_US"/>
        </w:rPr>
        <w:t>There are parallel passages in Matthew 12:1–14 and Mark 2:23–3:6.</w:t>
      </w:r>
    </w:p>
    <w:p>
      <w:pPr>
        <w:pStyle w:val="Heading4"/>
      </w:pPr>
      <w:r>
        <w:rPr>
          <w:lang w:val="en_US" w:bidi="en_US"/>
        </w:rPr>
        <w:t>Paragraph 6:1–5</w:t>
      </w:r>
    </w:p>
    <w:p>
      <w:pPr/>
      <w:r>
        <w:rPr>
          <w:lang w:val="en_US" w:bidi="en_US"/>
        </w:rPr>
      </w:r>
      <w:r>
        <w:rPr>
          <w:lang w:val="en_US" w:bidi="en_US"/>
        </w:rPr>
        <w:t>In this paragraph, Luke described how Jesus allowed his disciples to pick and eat grain on the Sabbath. Some Pharisees saw the disciples doing that and rebuked Jesus. Jesus had not told his disciples to stop what they were doing. Therefore, the Pharisees felt that Jesus was not respecting their laws about the Sabbath day.</w:t>
      </w:r>
    </w:p>
    <w:p>
      <w:pPr/>
      <w:r>
        <w:rPr>
          <w:lang w:val="en_US" w:bidi="en_US"/>
        </w:rPr>
      </w:r>
      <w:r>
        <w:rPr>
          <w:lang w:val="en_US" w:bidi="en_US"/>
        </w:rPr>
        <w:t>In response, Jesus reminded the Pharisees of a story about King David. He showed them that the way they thought about the Sabbath was wrong. He told them that he had the authority to decide what was right or wrong to do on the Sabbath.</w:t>
      </w:r>
    </w:p>
    <w:p>
      <w:pPr>
        <w:pStyle w:val="Heading5"/>
      </w:pPr>
      <w:r>
        <w:rPr>
          <w:lang w:val="en_US" w:bidi="en_US"/>
        </w:rPr>
        <w:t>6:2a</w:t>
      </w:r>
    </w:p>
    <w:p>
      <w:pPr/>
      <w:r>
        <w:rPr>
          <w:lang w:val="en_US" w:bidi="en_US"/>
        </w:rPr>
      </w:r>
      <w:r>
        <w:rPr>
          <w:b/>
          <w:lang w:val="en_US" w:bidi="en_US"/>
        </w:rPr>
        <w:t>But some of the Pharisees asked,</w:t>
      </w:r>
    </w:p>
    <w:p>
      <w:pPr>
        <w:pStyle w:val="ListBullet"/>
        <w:spacing w:line="240" w:lineRule="auto"/>
        <w:ind w:left="720"/>
      </w:pPr>
      <w:r>
        <w:rPr>
          <w:lang w:val="en_US" w:bidi="en_US"/>
        </w:rPr>
      </w:r>
      <w:r>
        <w:rPr>
          <w:lang w:val="en_US" w:bidi="en_US"/>
        </w:rPr>
        <w:t xml:space="preserve">Some Pharisees </w:t>
      </w:r>
      <w:r>
        <w:rPr>
          <w:lang w:val="en_US" w:bidi="en_US"/>
        </w:rPr>
        <w:t>were there</w:t>
      </w:r>
      <w:r>
        <w:rPr>
          <w:lang w:val="en_US" w:bidi="en_US"/>
        </w:rPr>
        <w:t xml:space="preserve">. They said/asked </w:t>
      </w:r>
      <w:r>
        <w:rPr>
          <w:lang w:val="en_US" w:bidi="en_US"/>
        </w:rPr>
        <w:t>them</w:t>
      </w:r>
      <w:r>
        <w:rPr>
          <w:lang w:val="en_US" w:bidi="en_US"/>
        </w:rPr>
        <w:t>,</w:t>
      </w:r>
    </w:p>
    <w:p>
      <w:pPr>
        <w:pStyle w:val="ListBullet"/>
        <w:spacing w:line="240" w:lineRule="auto"/>
        <w:ind w:left="720"/>
      </w:pPr>
      <w:r>
        <w:rPr>
          <w:lang w:val="en_US" w:bidi="en_US"/>
        </w:rPr>
      </w:r>
      <w:r>
        <w:rPr>
          <w:lang w:val="en_US" w:bidi="en_US"/>
        </w:rPr>
        <w:t xml:space="preserve">Some Pharisees </w:t>
      </w:r>
      <w:r>
        <w:rPr>
          <w:lang w:val="en_US" w:bidi="en_US"/>
        </w:rPr>
        <w:t>saw what they did and they</w:t>
      </w:r>
      <w:r>
        <w:rPr>
          <w:lang w:val="en_US" w:bidi="en_US"/>
        </w:rPr>
        <w:t xml:space="preserve"> said,</w:t>
      </w:r>
    </w:p>
    <w:p>
      <w:pPr>
        <w:pStyle w:val="ListBullet"/>
        <w:spacing w:line="240" w:lineRule="auto"/>
        <w:ind w:left="720"/>
      </w:pPr>
      <w:r>
        <w:rPr>
          <w:lang w:val="en_US" w:bidi="en_US"/>
        </w:rPr>
      </w:r>
      <w:r>
        <w:rPr>
          <w:lang w:val="en_US" w:bidi="en_US"/>
        </w:rPr>
        <w:t xml:space="preserve">Some of the Pharisees told </w:t>
      </w:r>
      <w:r>
        <w:rPr>
          <w:lang w:val="en_US" w:bidi="en_US"/>
        </w:rPr>
        <w:t>Jesus and his disciples/followers</w:t>
      </w:r>
    </w:p>
    <w:p>
      <w:pPr/>
      <w:r>
        <w:rPr>
          <w:lang w:val="en_US" w:bidi="en_US"/>
        </w:rPr>
      </w:r>
      <w:r>
        <w:rPr>
          <w:b/>
          <w:lang w:val="en_US" w:bidi="en_US"/>
        </w:rPr>
        <w:t>But some of the Pharisees asked:</w:t>
      </w:r>
      <w:r>
        <w:rPr>
          <w:lang w:val="en_US" w:bidi="en_US"/>
        </w:rPr>
        <w:t xml:space="preserve"> This is the first time that the Pharisees are mentioned in this story. In some languages, it will be more natural to introduce the Pharisees in a separate sentence. The context implies that the Pharisees were close enough to see what the disciples were doing.</w:t>
      </w:r>
    </w:p>
    <w:p>
      <w:pPr/>
      <w:r>
        <w:rPr>
          <w:lang w:val="en_US" w:bidi="en_US"/>
        </w:rPr>
      </w:r>
      <w:r>
        <w:rPr>
          <w:lang w:val="en_US" w:bidi="en_US"/>
        </w:rPr>
        <w:t>Some ways to translate this are:</w:t>
      </w:r>
    </w:p>
    <w:p>
      <w:pPr/>
      <w:r>
        <w:rPr>
          <w:lang w:val="en_US" w:bidi="en_US"/>
        </w:rPr>
      </w:r>
      <w:r>
        <w:rPr>
          <w:lang w:val="en_US" w:bidi="en_US"/>
        </w:rPr>
        <w:t>Some Pharisees were there. They said/asked…</w:t>
      </w:r>
    </w:p>
    <w:p>
      <w:pPr/>
      <w:r>
        <w:rPr>
          <w:lang w:val="en_US" w:bidi="en_US"/>
        </w:rPr>
      </w:r>
      <w:r>
        <w:rPr>
          <w:lang w:val="en_US" w:bidi="en_US"/>
        </w:rPr>
        <w:t xml:space="preserve">There were some Pharisees </w:t>
      </w:r>
      <w:r>
        <w:rPr>
          <w:lang w:val="en_US" w:bidi="en_US"/>
        </w:rPr>
        <w:t>who saw what they did</w:t>
      </w:r>
      <w:r>
        <w:rPr>
          <w:lang w:val="en_US" w:bidi="en_US"/>
        </w:rPr>
        <w:t>. They asked…</w:t>
      </w:r>
    </w:p>
    <w:p>
      <w:pPr/>
      <w:r>
        <w:rPr>
          <w:lang w:val="en_US" w:bidi="en_US"/>
        </w:rPr>
      </w:r>
      <w:r>
        <w:rPr>
          <w:lang w:val="en_US" w:bidi="en_US"/>
        </w:rPr>
        <w:t>When</w:t>
      </w:r>
      <w:r>
        <w:rPr>
          <w:lang w:val="en_US" w:bidi="en_US"/>
        </w:rPr>
        <w:t xml:space="preserve"> some Pharisees </w:t>
      </w:r>
      <w:r>
        <w:rPr>
          <w:lang w:val="en_US" w:bidi="en_US"/>
        </w:rPr>
        <w:t>saw what they did,</w:t>
      </w:r>
      <w:r>
        <w:rPr>
          <w:lang w:val="en_US" w:bidi="en_US"/>
        </w:rPr>
        <w:t xml:space="preserve"> </w:t>
      </w:r>
      <w:r>
        <w:rPr>
          <w:lang w:val="en_US" w:bidi="en_US"/>
        </w:rPr>
        <w:t>they</w:t>
      </w:r>
      <w:r>
        <w:rPr>
          <w:lang w:val="en_US" w:bidi="en_US"/>
        </w:rPr>
        <w:t>asked…</w:t>
      </w:r>
    </w:p>
    <w:p>
      <w:pPr/>
      <w:r>
        <w:rPr>
          <w:lang w:val="en_US" w:bidi="en_US"/>
        </w:rPr>
      </w:r>
      <w:r>
        <w:rPr>
          <w:b/>
          <w:lang w:val="en_US" w:bidi="en_US"/>
        </w:rPr>
        <w:t>the Pharisees:</w:t>
      </w:r>
      <w:r>
        <w:rPr>
          <w:lang w:val="en_US" w:bidi="en_US"/>
        </w:rPr>
        <w:t xml:space="preserve"> The </w:t>
      </w:r>
      <w:r>
        <w:rPr>
          <w:i/>
          <w:lang w:val="en_US" w:bidi="en_US"/>
        </w:rPr>
        <w:t>Pharisees</w:t>
      </w:r>
      <w:r>
        <w:rPr>
          <w:lang w:val="en_US" w:bidi="en_US"/>
        </w:rPr>
        <w:t xml:space="preserve"> were a Jewish religious group or party. It was very important to them to obey all of the Jewish religious laws very carefully and in detail. Some ways to translate Pharisees are:</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according to the sounds of your language and indicate that it refers to a group of people. For example:</w:t>
      </w:r>
      <w:r>
        <w:rPr>
          <w:lang w:val="en_US" w:bidi="en_US"/>
        </w:rPr>
        <w:t>Farisi members</w:t>
      </w:r>
      <w:r>
        <w:rPr>
          <w:lang w:val="en_US" w:bidi="en_US"/>
        </w:rPr>
        <w:t>Parise adherents</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Farise religious sect/group</w:t>
      </w:r>
      <w:r>
        <w:rPr>
          <w:lang w:val="en_US" w:bidi="en_US"/>
        </w:rPr>
        <w:t>members of the Jewish group called the Farasi</w:t>
      </w:r>
    </w:p>
    <w:p>
      <w:pPr/>
      <w:r>
        <w:rPr>
          <w:lang w:val="en_US" w:bidi="en_US"/>
        </w:rPr>
      </w:r>
      <w:r>
        <w:rPr>
          <w:lang w:val="en_US" w:bidi="en_US"/>
        </w:rPr>
        <w:t>You should translate this word in the same way as you did in 5:30a and 5:33b.</w:t>
      </w:r>
    </w:p>
    <w:p>
      <w:pPr>
        <w:pStyle w:val="Heading5"/>
      </w:pPr>
      <w:r>
        <w:rPr>
          <w:lang w:val="en_US" w:bidi="en_US"/>
        </w:rPr>
        <w:t>6:2b</w:t>
      </w:r>
    </w:p>
    <w:p>
      <w:pPr/>
      <w:r>
        <w:rPr>
          <w:lang w:val="en_US" w:bidi="en_US"/>
        </w:rPr>
      </w:r>
      <w:r>
        <w:rPr>
          <w:b/>
          <w:lang w:val="en_US" w:bidi="en_US"/>
        </w:rPr>
        <w:t>“Why are you doing what is unlawful on the Sabbath?”</w:t>
      </w:r>
    </w:p>
    <w:p>
      <w:pPr>
        <w:pStyle w:val="ListBullet"/>
        <w:spacing w:line="240" w:lineRule="auto"/>
        <w:ind w:left="720"/>
      </w:pPr>
      <w:r>
        <w:rPr>
          <w:lang w:val="en_US" w:bidi="en_US"/>
        </w:rPr>
      </w:r>
      <w:r>
        <w:rPr>
          <w:lang w:val="en_US" w:bidi="en_US"/>
        </w:rPr>
        <w:t>“Why are you</w:t>
      </w:r>
      <w:r>
        <w:rPr>
          <w:vertAlign w:val="superscript"/>
          <w:lang w:val="en_US" w:bidi="en_US"/>
        </w:rPr>
        <w:t>(plur)</w:t>
      </w:r>
      <w:r>
        <w:rPr>
          <w:lang w:val="en_US" w:bidi="en_US"/>
        </w:rPr>
        <w:t xml:space="preserve"> doing something/</w:t>
      </w:r>
      <w:r>
        <w:rPr>
          <w:lang w:val="en_US" w:bidi="en_US"/>
        </w:rPr>
        <w:t>work</w:t>
      </w:r>
      <w:r>
        <w:rPr>
          <w:lang w:val="en_US" w:bidi="en_US"/>
        </w:rPr>
        <w:t xml:space="preserve"> that </w:t>
      </w:r>
      <w:r>
        <w:rPr>
          <w:lang w:val="en_US" w:bidi="en_US"/>
        </w:rPr>
        <w:t>our</w:t>
      </w:r>
      <w:r>
        <w:rPr>
          <w:vertAlign w:val="superscript"/>
          <w:lang w:val="en_US" w:bidi="en_US"/>
        </w:rPr>
        <w:t>(incl)</w:t>
      </w:r>
      <w:r>
        <w:rPr>
          <w:lang w:val="en_US" w:bidi="en_US"/>
        </w:rPr>
        <w:t xml:space="preserve"> law does not permit/allow </w:t>
      </w:r>
      <w:r>
        <w:rPr>
          <w:lang w:val="en_US" w:bidi="en_US"/>
        </w:rPr>
        <w:t>us</w:t>
      </w:r>
      <w:r>
        <w:rPr>
          <w:vertAlign w:val="superscript"/>
          <w:lang w:val="en_US" w:bidi="en_US"/>
        </w:rPr>
        <w:t>(incl)</w:t>
      </w:r>
      <w:r>
        <w:rPr>
          <w:lang w:val="en_US" w:bidi="en_US"/>
        </w:rPr>
        <w:t xml:space="preserve"> </w:t>
      </w:r>
      <w:r>
        <w:rPr>
          <w:lang w:val="en_US" w:bidi="en_US"/>
        </w:rPr>
        <w:t>to do</w:t>
      </w:r>
      <w:r>
        <w:rPr>
          <w:lang w:val="en_US" w:bidi="en_US"/>
        </w:rPr>
        <w:t xml:space="preserve"> on a Sabbath day?”</w:t>
      </w:r>
    </w:p>
    <w:p>
      <w:pPr>
        <w:pStyle w:val="ListBullet"/>
        <w:spacing w:line="240" w:lineRule="auto"/>
        <w:ind w:left="720"/>
      </w:pPr>
      <w:r>
        <w:rPr>
          <w:lang w:val="en_US" w:bidi="en_US"/>
        </w:rPr>
      </w:r>
      <w:r>
        <w:rPr>
          <w:lang w:val="en_US" w:bidi="en_US"/>
        </w:rPr>
        <w:t>“Why are you picking grain on the rest day? That is against the law!”</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not be doing what the </w:t>
      </w:r>
      <w:r>
        <w:rPr>
          <w:lang w:val="en_US" w:bidi="en_US"/>
        </w:rPr>
        <w:t>Jewish</w:t>
      </w:r>
      <w:r>
        <w:rPr>
          <w:lang w:val="en_US" w:bidi="en_US"/>
        </w:rPr>
        <w:t xml:space="preserve"> law says is wrong to do on the day for resting!”</w:t>
      </w:r>
    </w:p>
    <w:p>
      <w:pPr>
        <w:pStyle w:val="ListBullet"/>
        <w:spacing w:line="240" w:lineRule="auto"/>
        <w:ind w:left="720"/>
      </w:pPr>
      <w:r>
        <w:rPr>
          <w:lang w:val="en_US" w:bidi="en_US"/>
        </w:rPr>
      </w:r>
      <w:r>
        <w:rPr>
          <w:lang w:val="en_US" w:bidi="en_US"/>
        </w:rPr>
        <w:t>that they</w:t>
      </w:r>
      <w:r>
        <w:rPr>
          <w:vertAlign w:val="superscript"/>
          <w:lang w:val="en_US" w:bidi="en_US"/>
        </w:rPr>
        <w:t>(excl)</w:t>
      </w:r>
      <w:r>
        <w:rPr>
          <w:lang w:val="en_US" w:bidi="en_US"/>
        </w:rPr>
        <w:t xml:space="preserve"> should not be doing what the </w:t>
      </w:r>
      <w:r>
        <w:rPr>
          <w:lang w:val="en_US" w:bidi="en_US"/>
        </w:rPr>
        <w:t>Jewish</w:t>
      </w:r>
      <w:r>
        <w:rPr>
          <w:lang w:val="en_US" w:bidi="en_US"/>
        </w:rPr>
        <w:t xml:space="preserve"> law says is wrong to do on the day for resting.</w:t>
      </w:r>
    </w:p>
    <w:p>
      <w:pPr/>
      <w:r>
        <w:rPr>
          <w:lang w:val="en_US" w:bidi="en_US"/>
        </w:rPr>
      </w:r>
      <w:r>
        <w:rPr>
          <w:b/>
          <w:lang w:val="en_US" w:bidi="en_US"/>
        </w:rPr>
        <w:t>Why are you doing what is unlawful on the Sabbath?:</w:t>
      </w:r>
      <w:r>
        <w:rPr>
          <w:lang w:val="en_US" w:bidi="en_US"/>
        </w:rPr>
        <w:t xml:space="preserve"> This is a rhetorical question. The Pharisees accused the disciples of breaking a law and rebuked them for it. In their opinion, the disciples were breaking the Sabbath rules.</w:t>
      </w:r>
    </w:p>
    <w:p>
      <w:pPr/>
      <w:r>
        <w:rPr>
          <w:lang w:val="en_US" w:bidi="en_US"/>
        </w:rPr>
      </w:r>
      <w:r>
        <w:rPr>
          <w:lang w:val="en_US" w:bidi="en_US"/>
        </w:rPr>
        <w:t>Some ways to translate this rebuke and accusation are:</w:t>
      </w:r>
    </w:p>
    <w:p>
      <w:pPr>
        <w:pStyle w:val="ListBullet"/>
        <w:spacing w:line="240" w:lineRule="auto"/>
        <w:ind w:left="720"/>
      </w:pPr>
      <w:r>
        <w:rPr>
          <w:lang w:val="en_US" w:bidi="en_US"/>
        </w:rPr>
      </w:r>
      <w:r>
        <w:rPr>
          <w:lang w:val="en_US" w:bidi="en_US"/>
        </w:rPr>
        <w:t>As a rhetorical question. For example:</w:t>
      </w:r>
      <w:r>
        <w:rPr>
          <w:lang w:val="en_US" w:bidi="en_US"/>
        </w:rPr>
        <w:t>Why are you doing what our Law says you cannot do on the Sabbath? (GNT)</w:t>
      </w:r>
      <w:r>
        <w:rPr>
          <w:lang w:val="en_US" w:bidi="en_US"/>
        </w:rPr>
        <w:t>Why are you breaking the law by harvesting grain on the Sabbath? (NLT)</w:t>
      </w:r>
    </w:p>
    <w:p>
      <w:pPr>
        <w:pStyle w:val="ListBullet"/>
        <w:spacing w:line="240" w:lineRule="auto"/>
        <w:ind w:left="720"/>
      </w:pPr>
      <w:r>
        <w:rPr>
          <w:lang w:val="en_US" w:bidi="en_US"/>
        </w:rPr>
      </w:r>
      <w:r>
        <w:rPr>
          <w:lang w:val="en_US" w:bidi="en_US"/>
        </w:rPr>
        <w:t>As an exclamation. For example:</w:t>
      </w:r>
      <w:r>
        <w:rPr>
          <w:lang w:val="en_US" w:bidi="en_US"/>
        </w:rPr>
        <w:t>You shouldn’t be doing that! It’s against the law to work by harvesting grain on the Sabbath. (NLT96)</w:t>
      </w:r>
    </w:p>
    <w:p>
      <w:pPr>
        <w:pStyle w:val="ListBullet"/>
        <w:spacing w:line="240" w:lineRule="auto"/>
        <w:ind w:left="720"/>
      </w:pPr>
      <w:r>
        <w:rPr>
          <w:lang w:val="en_US" w:bidi="en_US"/>
        </w:rPr>
      </w:r>
      <w:r>
        <w:rPr>
          <w:lang w:val="en_US" w:bidi="en_US"/>
        </w:rPr>
        <w:t>As a rhetorical question and an exclamation. For example:</w:t>
      </w:r>
      <w:r>
        <w:rPr>
          <w:lang w:val="en_US" w:bidi="en_US"/>
        </w:rPr>
        <w:t>Why are you picking grain on the Sabbath? You’re not supposed to do that! (CEV)</w:t>
      </w:r>
      <w:r>
        <w:rPr>
          <w:lang w:val="en_US" w:bidi="en_US"/>
        </w:rPr>
        <w:t>Why are you breaking our laws? You are working on the Sabbath day!</w:t>
      </w:r>
    </w:p>
    <w:p>
      <w:pPr/>
      <w:r>
        <w:rPr>
          <w:lang w:val="en_US" w:bidi="en_US"/>
        </w:rPr>
      </w:r>
      <w:r>
        <w:rPr>
          <w:lang w:val="en_US" w:bidi="en_US"/>
        </w:rPr>
        <w:t>Translate this accusation and rebuke in a way that is natural in your language.</w:t>
      </w:r>
    </w:p>
    <w:p>
      <w:pPr/>
      <w:r>
        <w:rPr>
          <w:lang w:val="en_US" w:bidi="en_US"/>
        </w:rPr>
      </w:r>
      <w:r>
        <w:rPr>
          <w:b/>
          <w:lang w:val="en_US" w:bidi="en_US"/>
        </w:rPr>
        <w:t>you:</w:t>
      </w:r>
      <w:r>
        <w:rPr>
          <w:lang w:val="en_US" w:bidi="en_US"/>
        </w:rPr>
        <w:t xml:space="preserve"> The word </w:t>
      </w:r>
      <w:r>
        <w:rPr>
          <w:i/>
          <w:lang w:val="en_US" w:bidi="en_US"/>
        </w:rPr>
        <w:t>you</w:t>
      </w:r>
      <w:r>
        <w:rPr>
          <w:lang w:val="en_US" w:bidi="en_US"/>
        </w:rPr>
        <w:t xml:space="preserve"> here is plural. The disciples were the ones eating the grain. So the Pharisees asked them this question. However, Jesus was part of the group too. So the Pharisees were also asking Jesus this question as well. If your language allows it, use a plural form that can include both the disciples and Jesus.</w:t>
      </w:r>
    </w:p>
    <w:p>
      <w:pPr/>
      <w:r>
        <w:rPr>
          <w:lang w:val="en_US" w:bidi="en_US"/>
        </w:rPr>
      </w:r>
      <w:r>
        <w:rPr>
          <w:b/>
          <w:lang w:val="en_US" w:bidi="en_US"/>
        </w:rPr>
        <w:t>doing what is unlawful:</w:t>
      </w:r>
      <w:r>
        <w:rPr>
          <w:lang w:val="en_US" w:bidi="en_US"/>
        </w:rPr>
        <w:t xml:space="preserve"> The Greek word that the BSB translates as </w:t>
      </w:r>
      <w:r>
        <w:rPr>
          <w:i/>
          <w:lang w:val="en_US" w:bidi="en_US"/>
        </w:rPr>
        <w:t>unlawful</w:t>
      </w:r>
      <w:r>
        <w:rPr>
          <w:lang w:val="en_US" w:bidi="en_US"/>
        </w:rPr>
        <w:t xml:space="preserve"> means “not permitted </w:t>
      </w:r>
      <w:r>
        <w:rPr>
          <w:lang w:val="en_US" w:bidi="en_US"/>
        </w:rPr>
        <w:t>by the law</w:t>
      </w:r>
      <w:r>
        <w:rPr>
          <w:lang w:val="en_US" w:bidi="en_US"/>
        </w:rPr>
        <w:t>.” The Pharisees did not want the disciples to pick the grain and rub it. They considered these actions to be harvesting and threshing grain. That was work. Therefore, they believed that the disciples were breaking the law about not working on the Sabbath day.</w:t>
      </w:r>
    </w:p>
    <w:p>
      <w:pPr/>
      <w:r>
        <w:rPr>
          <w:lang w:val="en_US" w:bidi="en_US"/>
        </w:rPr>
      </w:r>
      <w:r>
        <w:rPr>
          <w:lang w:val="en_US" w:bidi="en_US"/>
        </w:rPr>
        <w:t>Some other ways to translate this are:</w:t>
      </w:r>
    </w:p>
    <w:p>
      <w:pPr/>
      <w:r>
        <w:rPr>
          <w:lang w:val="en_US" w:bidi="en_US"/>
        </w:rPr>
      </w:r>
      <w:r>
        <w:rPr>
          <w:lang w:val="en_US" w:bidi="en_US"/>
        </w:rPr>
        <w:t>breaking the law (NLT)</w:t>
      </w:r>
    </w:p>
    <w:p>
      <w:pPr/>
      <w:r>
        <w:rPr>
          <w:lang w:val="en_US" w:bidi="en_US"/>
        </w:rPr>
      </w:r>
      <w:r>
        <w:rPr>
          <w:lang w:val="en_US" w:bidi="en_US"/>
        </w:rPr>
        <w:t>doing something that is not right to do (GW)</w:t>
      </w:r>
    </w:p>
    <w:p>
      <w:pPr/>
      <w:r>
        <w:rPr>
          <w:lang w:val="en_US" w:bidi="en_US"/>
        </w:rPr>
      </w:r>
      <w:r>
        <w:rPr>
          <w:lang w:val="en_US" w:bidi="en_US"/>
        </w:rPr>
        <w:t>doing what the Law forbids men to do (JBP)</w:t>
      </w:r>
    </w:p>
    <w:p>
      <w:pPr/>
      <w:r>
        <w:rPr>
          <w:lang w:val="en_US" w:bidi="en_US"/>
        </w:rPr>
      </w:r>
      <w:r>
        <w:rPr>
          <w:lang w:val="en_US" w:bidi="en_US"/>
        </w:rPr>
        <w:t>The Pharisees were not accusing the disciples of taking grain that belonged to someone else. (The Law of Moses permitted this. See Deuteronomy 23:25.) This should be clear from the context. But you may want to explain this in a footnote. For example:</w:t>
      </w:r>
    </w:p>
    <w:p>
      <w:pPr/>
      <w:r>
        <w:rPr>
          <w:lang w:val="en_US" w:bidi="en_US"/>
        </w:rPr>
      </w:r>
      <w:r>
        <w:rPr>
          <w:lang w:val="en_US" w:bidi="en_US"/>
        </w:rPr>
        <w:t>Jewish law allowed someone to pick small amounts of grain from another person’s field (Deuteronomy 23:25). So the disciples were not stealing. The Pharisees were accusing them of doing the work of harvesting. The Law of Moses required that no one should work on the Sabbath day.</w:t>
      </w:r>
      <w:r>
        <w:rPr>
          <w:lang w:val="en_US" w:bidi="en_US"/>
        </w:rPr>
      </w:r>
      <w:r>
        <w:rPr>
          <w:lang w:val="en_US" w:bidi="en_US"/>
        </w:rPr>
      </w:r>
    </w:p>
    <w:p>
      <w:pPr/>
      <w:r>
        <w:rPr>
          <w:lang w:val="en_US" w:bidi="en_US"/>
        </w:rPr>
      </w:r>
    </w:p>
    <w:p>
      <w:pPr>
        <w:pStyle w:val="Heading2"/>
      </w:pPr>
      <w:r>
        <w:rPr>
          <w:lang w:val="en_US" w:bidi="en_US"/>
        </w:rPr>
        <w:t>Luke 6:3</w:t>
      </w:r>
      <w:r>
        <w:rPr>
          <w:lang w:val="en_US" w:bidi="en_US"/>
        </w:rPr>
      </w:r>
    </w:p>
    <w:p>
      <w:pPr>
        <w:pStyle w:val="Heading4"/>
      </w:pPr>
      <w:r>
        <w:rPr>
          <w:lang w:val="en_US" w:bidi="en_US"/>
        </w:rPr>
        <w:t>Section 6:1–11: Jesus taught that he was Lord of the Sabbath</w:t>
      </w:r>
    </w:p>
    <w:p>
      <w:pPr/>
      <w:r>
        <w:rPr>
          <w:lang w:val="en_US" w:bidi="en_US"/>
        </w:rPr>
      </w:r>
      <w:r>
        <w:rPr>
          <w:lang w:val="en_US" w:bidi="en_US"/>
        </w:rP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pPr/>
      <w:r>
        <w:rPr>
          <w:lang w:val="en_US" w:bidi="en_US"/>
        </w:rPr>
      </w:r>
      <w:r>
        <w:rPr>
          <w:lang w:val="en_US" w:bidi="en_US"/>
        </w:rP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pPr/>
      <w:r>
        <w:rPr>
          <w:lang w:val="en_US" w:bidi="en_US"/>
        </w:rPr>
      </w:r>
      <w:r>
        <w:rPr>
          <w:lang w:val="en_US" w:bidi="en_US"/>
        </w:rPr>
        <w:t>Some other possible headings for this section are:</w:t>
      </w:r>
    </w:p>
    <w:p>
      <w:pPr/>
      <w:r>
        <w:rPr>
          <w:lang w:val="en_US" w:bidi="en_US"/>
        </w:rPr>
      </w:r>
      <w:r>
        <w:rPr>
          <w:lang w:val="en_US" w:bidi="en_US"/>
        </w:rPr>
        <w:t>The Pharisees and Jesus disagreed about Sabbath-day laws</w:t>
      </w:r>
    </w:p>
    <w:p>
      <w:pPr/>
      <w:r>
        <w:rPr>
          <w:lang w:val="en_US" w:bidi="en_US"/>
        </w:rPr>
      </w:r>
      <w:r>
        <w:rPr>
          <w:lang w:val="en_US" w:bidi="en_US"/>
        </w:rPr>
        <w:t>Jesus showed/taught the true meaning/use of the Sabbath day</w:t>
      </w:r>
    </w:p>
    <w:p>
      <w:pPr/>
      <w:r>
        <w:rPr>
          <w:lang w:val="en_US" w:bidi="en_US"/>
        </w:rPr>
      </w:r>
      <w:r>
        <w:rPr>
          <w:lang w:val="en_US" w:bidi="en_US"/>
        </w:rPr>
        <w:t>A Discussion about the Sabbath (NLT)</w:t>
      </w:r>
    </w:p>
    <w:p>
      <w:pPr/>
      <w:r>
        <w:rPr>
          <w:lang w:val="en_US" w:bidi="en_US"/>
        </w:rPr>
      </w:r>
      <w:r>
        <w:rPr>
          <w:lang w:val="en_US" w:bidi="en_US"/>
        </w:rPr>
        <w:t>There are parallel passages in Matthew 12:1–14 and Mark 2:23–3:6.</w:t>
      </w:r>
    </w:p>
    <w:p>
      <w:pPr>
        <w:pStyle w:val="Heading4"/>
      </w:pPr>
      <w:r>
        <w:rPr>
          <w:lang w:val="en_US" w:bidi="en_US"/>
        </w:rPr>
        <w:t>Paragraph 6:1–5</w:t>
      </w:r>
    </w:p>
    <w:p>
      <w:pPr/>
      <w:r>
        <w:rPr>
          <w:lang w:val="en_US" w:bidi="en_US"/>
        </w:rPr>
      </w:r>
      <w:r>
        <w:rPr>
          <w:lang w:val="en_US" w:bidi="en_US"/>
        </w:rPr>
        <w:t>In this paragraph, Luke described how Jesus allowed his disciples to pick and eat grain on the Sabbath. Some Pharisees saw the disciples doing that and rebuked Jesus. Jesus had not told his disciples to stop what they were doing. Therefore, the Pharisees felt that Jesus was not respecting their laws about the Sabbath day.</w:t>
      </w:r>
    </w:p>
    <w:p>
      <w:pPr/>
      <w:r>
        <w:rPr>
          <w:lang w:val="en_US" w:bidi="en_US"/>
        </w:rPr>
      </w:r>
      <w:r>
        <w:rPr>
          <w:lang w:val="en_US" w:bidi="en_US"/>
        </w:rPr>
        <w:t>In response, Jesus reminded the Pharisees of a story about King David. He showed them that the way they thought about the Sabbath was wrong. He told them that he had the authority to decide what was right or wrong to do on the Sabbath.</w:t>
      </w:r>
    </w:p>
    <w:p>
      <w:pPr>
        <w:pStyle w:val="Heading5"/>
      </w:pPr>
      <w:r>
        <w:rPr>
          <w:lang w:val="en_US" w:bidi="en_US"/>
        </w:rPr>
        <w:t>6:3–4</w:t>
      </w:r>
    </w:p>
    <w:p>
      <w:pPr/>
      <w:r>
        <w:rPr>
          <w:lang w:val="en_US" w:bidi="en_US"/>
        </w:rPr>
      </w:r>
      <w:r>
        <w:rPr>
          <w:lang w:val="en_US" w:bidi="en_US"/>
        </w:rPr>
        <w:t>In 6:3–4 Jesus responded to the Pharisees’ accusation by referring to a story about King David, who had lived long before.</w:t>
      </w:r>
      <w:r>
        <w:rPr>
          <w:lang w:val="en_US" w:bidi="en_US"/>
        </w:rPr>
        <w:t>When Jewish leaders debated, they often referred to teachings and stories from the Bible to support their statements.</w:t>
      </w:r>
    </w:p>
    <w:p>
      <w:pPr/>
      <w:r>
        <w:rPr>
          <w:lang w:val="en_US" w:bidi="en_US"/>
        </w:rPr>
      </w:r>
      <w:r>
        <w:rPr>
          <w:lang w:val="en_US" w:bidi="en_US"/>
        </w:rPr>
        <w:t>This story is found in 1 Samuel 21:1–6. This story was a good illustration for what Jesus wanted to say to the Pharisees. David was fleeing from King Saul. He and his men were hungry.</w:t>
      </w:r>
    </w:p>
    <w:p>
      <w:pPr/>
      <w:r>
        <w:rPr>
          <w:lang w:val="en_US" w:bidi="en_US"/>
        </w:rPr>
      </w:r>
      <w:r>
        <w:rPr>
          <w:lang w:val="en_US" w:bidi="en_US"/>
        </w:rPr>
        <w:t>They came to the tabernacle, and David asked the high priest for food. The only food available was the consecrated bread. Only priests were allowed to eat that bread. However, the high priest gave the bread to David and his men to eat. Even though David did something that was not allowed, God did not punish him or his men.</w:t>
      </w:r>
    </w:p>
    <w:p>
      <w:pPr/>
      <w:r>
        <w:rPr>
          <w:lang w:val="en_US" w:bidi="en_US"/>
        </w:rPr>
      </w:r>
      <w:r>
        <w:rPr>
          <w:lang w:val="en_US" w:bidi="en_US"/>
        </w:rPr>
        <w:t>In order for people to understand this story, they need to know this background information. It may be necessary to include footnotes in your translation to explain it. You may also need to make some of the implied information explicit in the text. The notes on these verses will give suggestions.</w:t>
      </w:r>
    </w:p>
    <w:p>
      <w:pPr/>
      <w:r>
        <w:rPr>
          <w:lang w:val="en_US" w:bidi="en_US"/>
        </w:rPr>
      </w:r>
      <w:r>
        <w:rPr>
          <w:lang w:val="en_US" w:bidi="en_US"/>
        </w:rPr>
        <w:t>In Greek, 6:3–4 is one long question. It is a rhetorical question.</w:t>
      </w:r>
    </w:p>
    <w:p>
      <w:pPr/>
      <w:r>
        <w:rPr>
          <w:lang w:val="en_US" w:bidi="en_US"/>
        </w:rPr>
      </w:r>
      <w:r>
        <w:rPr>
          <w:lang w:val="en_US" w:bidi="en_US"/>
        </w:rPr>
        <w:t>Some English versions translate 6:3–4 as one long, rhetorical question. For example:</w:t>
      </w:r>
    </w:p>
    <w:p>
      <w:pPr/>
      <w:r>
        <w:rPr>
          <w:lang w:val="en_US" w:bidi="en_US"/>
        </w:rPr>
      </w:r>
      <w:r>
        <w:rPr>
          <w:vertAlign w:val="superscript"/>
          <w:lang w:val="en_US" w:bidi="en_US"/>
        </w:rPr>
        <w:t>3</w:t>
      </w:r>
      <w:r>
        <w:rPr>
          <w:lang w:val="en_US" w:bidi="en_US"/>
        </w:rPr>
        <w:t xml:space="preserve">And Jesus answered, “Have you not read what David did when he was hungry, he and those who were with him: </w:t>
      </w:r>
      <w:r>
        <w:rPr>
          <w:vertAlign w:val="superscript"/>
          <w:lang w:val="en_US" w:bidi="en_US"/>
        </w:rPr>
        <w:t>4</w:t>
      </w:r>
      <w:r>
        <w:rPr>
          <w:lang w:val="en_US" w:bidi="en_US"/>
        </w:rPr>
        <w:t>how he entered the house of God, and took and ate the bread of the Presence, which it is not lawful for any but the priests to eat, and also gave it to those with him?” (RSV)</w:t>
      </w:r>
    </w:p>
    <w:p>
      <w:pPr/>
      <w:r>
        <w:rPr>
          <w:lang w:val="en_US" w:bidi="en_US"/>
        </w:rPr>
      </w:r>
      <w:r>
        <w:rPr>
          <w:lang w:val="en_US" w:bidi="en_US"/>
        </w:rPr>
        <w:t>The BSB and other English versions translate 6:3–4 as a rhetorical question and a statement. For example:</w:t>
      </w:r>
    </w:p>
    <w:p>
      <w:pPr/>
      <w:r>
        <w:rPr>
          <w:lang w:val="en_US" w:bidi="en_US"/>
        </w:rPr>
      </w:r>
      <w:r>
        <w:rPr>
          <w:vertAlign w:val="superscript"/>
          <w:lang w:val="en_US" w:bidi="en_US"/>
        </w:rPr>
        <w:t>3</w:t>
      </w:r>
      <w:r>
        <w:rPr>
          <w:lang w:val="en_US" w:bidi="en_US"/>
        </w:rPr>
        <w:t xml:space="preserve">Jesus answered them, “Haven’t you read what David did when he and his men were hungry? </w:t>
      </w:r>
      <w:r>
        <w:rPr>
          <w:vertAlign w:val="superscript"/>
          <w:lang w:val="en_US" w:bidi="en_US"/>
        </w:rPr>
        <w:t>4</w:t>
      </w:r>
      <w:r>
        <w:rPr>
          <w:lang w:val="en_US" w:bidi="en_US"/>
        </w:rPr>
        <w:t>He went into the house of God, took the bread offered to God, ate it, and gave it also to his men. Yet it is against our Law for anyone except the priests to eat that bread.” (GNT)</w:t>
      </w:r>
    </w:p>
    <w:p>
      <w:pPr/>
      <w:r>
        <w:rPr>
          <w:lang w:val="en_US" w:bidi="en_US"/>
        </w:rPr>
      </w:r>
      <w:r>
        <w:rPr>
          <w:lang w:val="en_US" w:bidi="en_US"/>
        </w:rPr>
        <w:t>You should translate this long, rhetorical question in a way that is natural in your language.</w:t>
      </w:r>
    </w:p>
    <w:p>
      <w:pPr>
        <w:pStyle w:val="Heading5"/>
      </w:pPr>
      <w:r>
        <w:rPr>
          <w:lang w:val="en_US" w:bidi="en_US"/>
        </w:rPr>
        <w:t>6:3a</w:t>
      </w:r>
    </w:p>
    <w:p>
      <w:pPr/>
      <w:r>
        <w:rPr>
          <w:lang w:val="en_US" w:bidi="en_US"/>
        </w:rPr>
      </w:r>
      <w:r>
        <w:rPr>
          <w:b/>
          <w:lang w:val="en_US" w:bidi="en_US"/>
        </w:rPr>
        <w:t>Jesus replied,</w:t>
      </w:r>
    </w:p>
    <w:p>
      <w:pPr>
        <w:pStyle w:val="ListBullet"/>
        <w:spacing w:line="240" w:lineRule="auto"/>
        <w:ind w:left="720"/>
      </w:pPr>
      <w:r>
        <w:rPr>
          <w:lang w:val="en_US" w:bidi="en_US"/>
        </w:rPr>
      </w:r>
      <w:r>
        <w:rPr>
          <w:lang w:val="en_US" w:bidi="en_US"/>
        </w:rPr>
        <w:t>Jesus answered them,</w:t>
      </w:r>
    </w:p>
    <w:p>
      <w:pPr>
        <w:pStyle w:val="ListBullet"/>
        <w:spacing w:line="240" w:lineRule="auto"/>
        <w:ind w:left="720"/>
      </w:pPr>
      <w:r>
        <w:rPr>
          <w:lang w:val="en_US" w:bidi="en_US"/>
        </w:rPr>
      </w:r>
      <w:r>
        <w:rPr>
          <w:lang w:val="en_US" w:bidi="en_US"/>
        </w:rPr>
        <w:t>Jesus said to the Pharisees,</w:t>
      </w:r>
    </w:p>
    <w:p>
      <w:pPr/>
      <w:r>
        <w:rPr>
          <w:lang w:val="en_US" w:bidi="en_US"/>
        </w:rPr>
      </w:r>
      <w:r>
        <w:rPr>
          <w:b/>
          <w:lang w:val="en_US" w:bidi="en_US"/>
        </w:rPr>
        <w:t>Jesus replied:</w:t>
      </w:r>
      <w:r>
        <w:rPr>
          <w:lang w:val="en_US" w:bidi="en_US"/>
        </w:rPr>
        <w:t xml:space="preserve"> In this verse, Jesus answered the question that the Pharisees asked his disciples in 6:2. Jesus understood that the Pharisees were criticizing him when they asked the disciples about their picking grain. Therefore, even though the Pharisees did not mention Jesus in 6:2, Jesus responded to their question.</w:t>
      </w:r>
    </w:p>
    <w:p>
      <w:pPr/>
      <w:r>
        <w:rPr>
          <w:lang w:val="en_US" w:bidi="en_US"/>
        </w:rPr>
      </w:r>
      <w:r>
        <w:rPr>
          <w:lang w:val="en_US" w:bidi="en_US"/>
        </w:rPr>
        <w:t>You should introduce Jesus’ answer in a natural way in your translation. You may need to make explicit that Jesus heard the question. For example:</w:t>
      </w:r>
    </w:p>
    <w:p>
      <w:pPr/>
      <w:r>
        <w:rPr>
          <w:lang w:val="en_US" w:bidi="en_US"/>
        </w:rPr>
      </w:r>
      <w:r>
        <w:rPr>
          <w:lang w:val="en_US" w:bidi="en_US"/>
        </w:rPr>
        <w:t>Hearing their question,</w:t>
      </w:r>
      <w:r>
        <w:rPr>
          <w:lang w:val="en_US" w:bidi="en_US"/>
        </w:rPr>
        <w:t xml:space="preserve"> Jesus, said to them</w:t>
      </w:r>
    </w:p>
    <w:p>
      <w:pPr>
        <w:pStyle w:val="Heading5"/>
      </w:pPr>
      <w:r>
        <w:rPr>
          <w:lang w:val="en_US" w:bidi="en_US"/>
        </w:rPr>
        <w:t>6:3b</w:t>
      </w:r>
    </w:p>
    <w:p>
      <w:pPr/>
      <w:r>
        <w:rPr>
          <w:lang w:val="en_US" w:bidi="en_US"/>
        </w:rPr>
      </w:r>
      <w:r>
        <w:rPr>
          <w:b/>
          <w:lang w:val="en_US" w:bidi="en_US"/>
        </w:rPr>
        <w:t>“Have you not read what David did</w:t>
      </w:r>
    </w:p>
    <w:p>
      <w:pPr>
        <w:pStyle w:val="ListBullet"/>
        <w:spacing w:line="240" w:lineRule="auto"/>
        <w:ind w:left="720"/>
      </w:pPr>
      <w:r>
        <w:rPr>
          <w:lang w:val="en_US" w:bidi="en_US"/>
        </w:rPr>
      </w:r>
      <w:r>
        <w:rPr>
          <w:lang w:val="en_US" w:bidi="en_US"/>
        </w:rPr>
        <w:t>“Haven’t you read what David did (GW)</w:t>
      </w:r>
    </w:p>
    <w:p>
      <w:pPr>
        <w:pStyle w:val="ListBullet"/>
        <w:spacing w:line="240" w:lineRule="auto"/>
        <w:ind w:left="720"/>
      </w:pPr>
      <w:r>
        <w:rPr>
          <w:lang w:val="en_US" w:bidi="en_US"/>
        </w:rPr>
      </w:r>
      <w:r>
        <w:rPr>
          <w:lang w:val="en_US" w:bidi="en_US"/>
        </w:rPr>
        <w:t>“Did you</w:t>
      </w:r>
      <w:r>
        <w:rPr>
          <w:vertAlign w:val="superscript"/>
          <w:lang w:val="en_US" w:bidi="en_US"/>
        </w:rPr>
        <w:t>(plur)</w:t>
      </w:r>
      <w:r>
        <w:rPr>
          <w:lang w:val="en_US" w:bidi="en_US"/>
        </w:rPr>
        <w:t xml:space="preserve"> never read what David did?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surely read </w:t>
      </w:r>
      <w:r>
        <w:rPr>
          <w:lang w:val="en_US" w:bidi="en_US"/>
        </w:rPr>
        <w:t>in the Scriptures</w:t>
      </w:r>
      <w:r>
        <w:rPr>
          <w:lang w:val="en_US" w:bidi="en_US"/>
        </w:rPr>
        <w:t xml:space="preserve"> what </w:t>
      </w:r>
      <w:r>
        <w:rPr>
          <w:lang w:val="en_US" w:bidi="en_US"/>
        </w:rPr>
        <w:t>King</w:t>
      </w:r>
      <w:r>
        <w:rPr>
          <w:lang w:val="en_US" w:bidi="en_US"/>
        </w:rPr>
        <w:t xml:space="preserve"> David did</w:t>
      </w:r>
    </w:p>
    <w:p>
      <w:pPr/>
      <w:r>
        <w:rPr>
          <w:lang w:val="en_US" w:bidi="en_US"/>
        </w:rPr>
      </w:r>
      <w:r>
        <w:rPr>
          <w:b/>
          <w:lang w:val="en_US" w:bidi="en_US"/>
        </w:rPr>
        <w:t>Have you not read what David did:</w:t>
      </w:r>
      <w:r>
        <w:rPr>
          <w:lang w:val="en_US" w:bidi="en_US"/>
        </w:rPr>
        <w:t xml:space="preserve"> The clause </w:t>
      </w:r>
      <w:r>
        <w:rPr>
          <w:i/>
          <w:lang w:val="en_US" w:bidi="en_US"/>
        </w:rPr>
        <w:t>Have you not read what David did</w:t>
      </w:r>
      <w:r>
        <w:rPr>
          <w:lang w:val="en_US" w:bidi="en_US"/>
        </w:rPr>
        <w:t xml:space="preserve"> introduces the rhetorical question. Jesus used this rhetorical question to rebuke the Pharisees. He rebuked them because they accused the disciples of breaking the Sabbath laws. The Pharisees had knowledge about the law but not a true understanding of it.</w:t>
      </w:r>
    </w:p>
    <w:p>
      <w:pPr/>
      <w:r>
        <w:rPr>
          <w:lang w:val="en_US" w:bidi="en_US"/>
        </w:rPr>
      </w:r>
      <w:r>
        <w:rPr>
          <w:lang w:val="en_US" w:bidi="en_US"/>
        </w:rPr>
        <w:t>Some ways to translate the beginning of this rhetorical question are:</w:t>
      </w:r>
    </w:p>
    <w:p>
      <w:pPr>
        <w:pStyle w:val="ListBullet"/>
        <w:spacing w:line="240" w:lineRule="auto"/>
        <w:ind w:left="720"/>
      </w:pPr>
      <w:r>
        <w:rPr>
          <w:lang w:val="en_US" w:bidi="en_US"/>
        </w:rPr>
      </w:r>
      <w:r>
        <w:rPr>
          <w:lang w:val="en_US" w:bidi="en_US"/>
        </w:rPr>
        <w:t>As a question. For example:</w:t>
      </w:r>
      <w:r>
        <w:rPr>
          <w:lang w:val="en_US" w:bidi="en_US"/>
        </w:rPr>
        <w:t>Haven’t you ever read what David did…? (GW)</w:t>
      </w:r>
      <w:r>
        <w:rPr>
          <w:lang w:val="en_US" w:bidi="en_US"/>
        </w:rPr>
        <w:t xml:space="preserve">Didn’t you understand what you read about </w:t>
      </w:r>
      <w:r>
        <w:rPr>
          <w:lang w:val="en_US" w:bidi="en_US"/>
        </w:rPr>
        <w:t>the time when</w:t>
      </w:r>
      <w:r>
        <w:rPr>
          <w:lang w:val="en_US" w:bidi="en_US"/>
        </w:rPr>
        <w:t xml:space="preserve"> David…?</w:t>
      </w:r>
    </w:p>
    <w:p>
      <w:pPr>
        <w:pStyle w:val="ListBullet"/>
        <w:spacing w:line="240" w:lineRule="auto"/>
        <w:ind w:left="720"/>
      </w:pPr>
      <w:r>
        <w:rPr>
          <w:lang w:val="en_US" w:bidi="en_US"/>
        </w:rPr>
      </w:r>
      <w:r>
        <w:rPr>
          <w:lang w:val="en_US" w:bidi="en_US"/>
        </w:rPr>
        <w:t>As a statement. For example:</w:t>
      </w:r>
      <w:r>
        <w:rPr>
          <w:lang w:val="en_US" w:bidi="en_US"/>
        </w:rPr>
        <w:t>You surely have read what David did (CEV)</w:t>
      </w:r>
      <w:r>
        <w:rPr>
          <w:lang w:val="en_US" w:bidi="en_US"/>
        </w:rPr>
        <w:t>You speak as if you have never read what David did</w:t>
      </w:r>
      <w:r>
        <w:rPr>
          <w:lang w:val="en_US" w:bidi="en_US"/>
        </w:rPr>
        <w:t>It cannot be that you have not read in the Scriptures about what King David did</w:t>
      </w:r>
    </w:p>
    <w:p>
      <w:pPr/>
      <w:r>
        <w:rPr>
          <w:lang w:val="en_US" w:bidi="en_US"/>
        </w:rPr>
      </w:r>
      <w:r>
        <w:rPr>
          <w:lang w:val="en_US" w:bidi="en_US"/>
        </w:rPr>
        <w:t>Translate the rhetorical question in an appropriate way in your language for this context.</w:t>
      </w:r>
    </w:p>
    <w:p>
      <w:pPr/>
      <w:r>
        <w:rPr>
          <w:lang w:val="en_US" w:bidi="en_US"/>
        </w:rPr>
      </w:r>
      <w:r>
        <w:rPr>
          <w:b/>
          <w:lang w:val="en_US" w:bidi="en_US"/>
        </w:rPr>
        <w:t>read:</w:t>
      </w:r>
      <w:r>
        <w:rPr>
          <w:lang w:val="en_US" w:bidi="en_US"/>
        </w:rPr>
        <w:t xml:space="preserve"> Jesus referred to something the Pharisees would have read in the Scriptures. If your readers would not understand that this story is in the Scriptures, you may need to supply this information. For example:</w:t>
      </w:r>
    </w:p>
    <w:p>
      <w:pPr/>
      <w:r>
        <w:rPr>
          <w:lang w:val="en_US" w:bidi="en_US"/>
        </w:rPr>
      </w:r>
      <w:r>
        <w:rPr>
          <w:lang w:val="en_US" w:bidi="en_US"/>
        </w:rPr>
        <w:t>Haven’t you read in the Scriptures what David did…? (NLT)</w:t>
      </w:r>
    </w:p>
    <w:p>
      <w:pPr/>
      <w:r>
        <w:rPr>
          <w:lang w:val="en_US" w:bidi="en_US"/>
        </w:rPr>
      </w:r>
      <w:r>
        <w:rPr>
          <w:b/>
          <w:lang w:val="en_US" w:bidi="en_US"/>
        </w:rPr>
        <w:t>David:</w:t>
      </w:r>
      <w:r>
        <w:rPr>
          <w:lang w:val="en_US" w:bidi="en_US"/>
        </w:rPr>
        <w:t xml:space="preserve"> David was a king of Israel. He lived many years before Jesus and the Pharisees. The Pharisees and the other Jewish people had great respect for David. This story happened in David’s early life, before he became king. If your readers are not familiar with the life of David, you should include some information about him in a footnote.</w:t>
      </w:r>
    </w:p>
    <w:p>
      <w:pPr>
        <w:pStyle w:val="Heading5"/>
      </w:pPr>
      <w:r>
        <w:rPr>
          <w:lang w:val="en_US" w:bidi="en_US"/>
        </w:rPr>
        <w:t>6:3c</w:t>
      </w:r>
    </w:p>
    <w:p>
      <w:pPr/>
      <w:r>
        <w:rPr>
          <w:lang w:val="en_US" w:bidi="en_US"/>
        </w:rPr>
      </w:r>
      <w:r>
        <w:rPr>
          <w:b/>
          <w:lang w:val="en_US" w:bidi="en_US"/>
        </w:rPr>
        <w:t>when he and his companions were hungry?</w:t>
      </w:r>
    </w:p>
    <w:p>
      <w:pPr>
        <w:pStyle w:val="ListBullet"/>
        <w:spacing w:line="240" w:lineRule="auto"/>
        <w:ind w:left="720"/>
      </w:pPr>
      <w:r>
        <w:rPr>
          <w:lang w:val="en_US" w:bidi="en_US"/>
        </w:rPr>
      </w:r>
      <w:r>
        <w:rPr>
          <w:lang w:val="en_US" w:bidi="en_US"/>
        </w:rPr>
        <w:t>when he and his men were hungry? (GW)</w:t>
      </w:r>
    </w:p>
    <w:p>
      <w:pPr>
        <w:pStyle w:val="ListBullet"/>
        <w:spacing w:line="240" w:lineRule="auto"/>
        <w:ind w:left="720"/>
      </w:pPr>
      <w:r>
        <w:rPr>
          <w:lang w:val="en_US" w:bidi="en_US"/>
        </w:rPr>
      </w:r>
      <w:r>
        <w:rPr>
          <w:lang w:val="en_US" w:bidi="en_US"/>
        </w:rPr>
        <w:t>When he and his followers were hungry,</w:t>
      </w:r>
    </w:p>
    <w:p>
      <w:pPr>
        <w:pStyle w:val="ListBullet"/>
        <w:spacing w:line="240" w:lineRule="auto"/>
        <w:ind w:left="720"/>
      </w:pPr>
      <w:r>
        <w:rPr>
          <w:lang w:val="en_US" w:bidi="en_US"/>
        </w:rPr>
      </w:r>
      <w:r>
        <w:rPr>
          <w:lang w:val="en_US" w:bidi="en_US"/>
        </w:rPr>
        <w:t>when he and the men with him were hungry.</w:t>
      </w:r>
    </w:p>
    <w:p>
      <w:pPr/>
      <w:r>
        <w:rPr>
          <w:lang w:val="en_US" w:bidi="en_US"/>
        </w:rPr>
      </w:r>
      <w:r>
        <w:rPr>
          <w:b/>
          <w:lang w:val="en_US" w:bidi="en_US"/>
        </w:rPr>
        <w:t>when he and his companions were hungry:</w:t>
      </w:r>
      <w:r>
        <w:rPr>
          <w:lang w:val="en_US" w:bidi="en_US"/>
        </w:rPr>
        <w:t xml:space="preserve"> This clause introduces a particular situation in David’s life. David and his companions were hungry and needed food. Jesus wanted the Pharisees to compare that situation with his disciples picking grain on the Sabbath.</w:t>
      </w:r>
    </w:p>
    <w:p>
      <w:pPr/>
      <w:r>
        <w:rPr>
          <w:lang w:val="en_US" w:bidi="en_US"/>
        </w:rPr>
      </w:r>
      <w:r>
        <w:rPr>
          <w:b/>
          <w:lang w:val="en_US" w:bidi="en_US"/>
        </w:rPr>
        <w:t>his companions:</w:t>
      </w:r>
      <w:r>
        <w:rPr>
          <w:lang w:val="en_US" w:bidi="en_US"/>
        </w:rPr>
        <w:t xml:space="preserve"> David’s </w:t>
      </w:r>
      <w:r>
        <w:rPr>
          <w:i/>
          <w:lang w:val="en_US" w:bidi="en_US"/>
        </w:rPr>
        <w:t>companions</w:t>
      </w:r>
      <w:r>
        <w:rPr>
          <w:lang w:val="en_US" w:bidi="en_US"/>
        </w:rPr>
        <w:t xml:space="preserve"> were the men who were with him at the time. Some other ways to translate this are:</w:t>
      </w:r>
    </w:p>
    <w:p>
      <w:pPr/>
      <w:r>
        <w:rPr>
          <w:lang w:val="en_US" w:bidi="en_US"/>
        </w:rPr>
      </w:r>
      <w:r>
        <w:rPr>
          <w:lang w:val="en_US" w:bidi="en_US"/>
        </w:rPr>
        <w:t>his men (GW)</w:t>
      </w:r>
    </w:p>
    <w:p>
      <w:pPr/>
      <w:r>
        <w:rPr>
          <w:lang w:val="en_US" w:bidi="en_US"/>
        </w:rPr>
      </w:r>
      <w:r>
        <w:rPr>
          <w:lang w:val="en_US" w:bidi="en_US"/>
        </w:rPr>
        <w:t>his followers (CEV)</w:t>
      </w:r>
    </w:p>
    <w:p>
      <w:pPr/>
      <w:r>
        <w:rPr>
          <w:lang w:val="en_US" w:bidi="en_US"/>
        </w:rPr>
      </w:r>
      <w:r>
        <w:rPr>
          <w:lang w:val="en_US" w:bidi="en_US"/>
        </w:rPr>
        <w:t>those with him (NCV)</w:t>
      </w:r>
      <w:r>
        <w:rPr>
          <w:lang w:val="en_US" w:bidi="en_US"/>
        </w:rPr>
      </w:r>
      <w:r>
        <w:rPr>
          <w:lang w:val="en_US" w:bidi="en_US"/>
        </w:rPr>
      </w:r>
    </w:p>
    <w:p>
      <w:pPr/>
      <w:r>
        <w:rPr>
          <w:lang w:val="en_US" w:bidi="en_US"/>
        </w:rPr>
      </w:r>
    </w:p>
    <w:p>
      <w:pPr>
        <w:pStyle w:val="Heading2"/>
      </w:pPr>
      <w:r>
        <w:rPr>
          <w:lang w:val="en_US" w:bidi="en_US"/>
        </w:rPr>
        <w:t>Luke 6:4</w:t>
      </w:r>
      <w:r>
        <w:rPr>
          <w:lang w:val="en_US" w:bidi="en_US"/>
        </w:rPr>
      </w:r>
    </w:p>
    <w:p>
      <w:pPr>
        <w:pStyle w:val="Heading4"/>
      </w:pPr>
      <w:r>
        <w:rPr>
          <w:lang w:val="en_US" w:bidi="en_US"/>
        </w:rPr>
        <w:t>Section 6:1–11: Jesus taught that he was Lord of the Sabbath</w:t>
      </w:r>
    </w:p>
    <w:p>
      <w:pPr/>
      <w:r>
        <w:rPr>
          <w:lang w:val="en_US" w:bidi="en_US"/>
        </w:rPr>
      </w:r>
      <w:r>
        <w:rPr>
          <w:lang w:val="en_US" w:bidi="en_US"/>
        </w:rP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pPr/>
      <w:r>
        <w:rPr>
          <w:lang w:val="en_US" w:bidi="en_US"/>
        </w:rPr>
      </w:r>
      <w:r>
        <w:rPr>
          <w:lang w:val="en_US" w:bidi="en_US"/>
        </w:rP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pPr/>
      <w:r>
        <w:rPr>
          <w:lang w:val="en_US" w:bidi="en_US"/>
        </w:rPr>
      </w:r>
      <w:r>
        <w:rPr>
          <w:lang w:val="en_US" w:bidi="en_US"/>
        </w:rPr>
        <w:t>Some other possible headings for this section are:</w:t>
      </w:r>
    </w:p>
    <w:p>
      <w:pPr/>
      <w:r>
        <w:rPr>
          <w:lang w:val="en_US" w:bidi="en_US"/>
        </w:rPr>
      </w:r>
      <w:r>
        <w:rPr>
          <w:lang w:val="en_US" w:bidi="en_US"/>
        </w:rPr>
        <w:t>The Pharisees and Jesus disagreed about Sabbath-day laws</w:t>
      </w:r>
    </w:p>
    <w:p>
      <w:pPr/>
      <w:r>
        <w:rPr>
          <w:lang w:val="en_US" w:bidi="en_US"/>
        </w:rPr>
      </w:r>
      <w:r>
        <w:rPr>
          <w:lang w:val="en_US" w:bidi="en_US"/>
        </w:rPr>
        <w:t>Jesus showed/taught the true meaning/use of the Sabbath day</w:t>
      </w:r>
    </w:p>
    <w:p>
      <w:pPr/>
      <w:r>
        <w:rPr>
          <w:lang w:val="en_US" w:bidi="en_US"/>
        </w:rPr>
      </w:r>
      <w:r>
        <w:rPr>
          <w:lang w:val="en_US" w:bidi="en_US"/>
        </w:rPr>
        <w:t>A Discussion about the Sabbath (NLT)</w:t>
      </w:r>
    </w:p>
    <w:p>
      <w:pPr/>
      <w:r>
        <w:rPr>
          <w:lang w:val="en_US" w:bidi="en_US"/>
        </w:rPr>
      </w:r>
      <w:r>
        <w:rPr>
          <w:lang w:val="en_US" w:bidi="en_US"/>
        </w:rPr>
        <w:t>There are parallel passages in Matthew 12:1–14 and Mark 2:23–3:6.</w:t>
      </w:r>
    </w:p>
    <w:p>
      <w:pPr>
        <w:pStyle w:val="Heading4"/>
      </w:pPr>
      <w:r>
        <w:rPr>
          <w:lang w:val="en_US" w:bidi="en_US"/>
        </w:rPr>
        <w:t>Paragraph 6:1–5</w:t>
      </w:r>
    </w:p>
    <w:p>
      <w:pPr/>
      <w:r>
        <w:rPr>
          <w:lang w:val="en_US" w:bidi="en_US"/>
        </w:rPr>
      </w:r>
      <w:r>
        <w:rPr>
          <w:lang w:val="en_US" w:bidi="en_US"/>
        </w:rPr>
        <w:t>In this paragraph, Luke described how Jesus allowed his disciples to pick and eat grain on the Sabbath. Some Pharisees saw the disciples doing that and rebuked Jesus. Jesus had not told his disciples to stop what they were doing. Therefore, the Pharisees felt that Jesus was not respecting their laws about the Sabbath day.</w:t>
      </w:r>
    </w:p>
    <w:p>
      <w:pPr/>
      <w:r>
        <w:rPr>
          <w:lang w:val="en_US" w:bidi="en_US"/>
        </w:rPr>
      </w:r>
      <w:r>
        <w:rPr>
          <w:lang w:val="en_US" w:bidi="en_US"/>
        </w:rPr>
        <w:t>In response, Jesus reminded the Pharisees of a story about King David. He showed them that the way they thought about the Sabbath was wrong. He told them that he had the authority to decide what was right or wrong to do on the Sabbath.</w:t>
      </w:r>
    </w:p>
    <w:p>
      <w:pPr>
        <w:pStyle w:val="Heading5"/>
      </w:pPr>
      <w:r>
        <w:rPr>
          <w:lang w:val="en_US" w:bidi="en_US"/>
        </w:rPr>
        <w:t>6:4a</w:t>
      </w:r>
    </w:p>
    <w:p>
      <w:pPr/>
      <w:r>
        <w:rPr>
          <w:lang w:val="en_US" w:bidi="en_US"/>
        </w:rPr>
      </w:r>
      <w:r>
        <w:rPr>
          <w:b/>
          <w:lang w:val="en_US" w:bidi="en_US"/>
        </w:rPr>
        <w:t>He entered the house of God,</w:t>
      </w:r>
    </w:p>
    <w:p>
      <w:pPr>
        <w:pStyle w:val="ListBullet"/>
        <w:spacing w:line="240" w:lineRule="auto"/>
        <w:ind w:left="720"/>
      </w:pPr>
      <w:r>
        <w:rPr>
          <w:lang w:val="en_US" w:bidi="en_US"/>
        </w:rPr>
      </w:r>
      <w:r>
        <w:rPr>
          <w:lang w:val="en_US" w:bidi="en_US"/>
        </w:rPr>
        <w:t>He went into the tabernacle/tent of God</w:t>
      </w:r>
    </w:p>
    <w:p>
      <w:pPr>
        <w:pStyle w:val="ListBullet"/>
        <w:spacing w:line="240" w:lineRule="auto"/>
        <w:ind w:left="720"/>
      </w:pPr>
      <w:r>
        <w:rPr>
          <w:lang w:val="en_US" w:bidi="en_US"/>
        </w:rPr>
      </w:r>
      <w:r>
        <w:rPr>
          <w:lang w:val="en_US" w:bidi="en_US"/>
        </w:rPr>
        <w:t>he entered the big tent where people worshiped God</w:t>
      </w:r>
    </w:p>
    <w:p>
      <w:pPr>
        <w:pStyle w:val="ListBullet"/>
        <w:spacing w:line="240" w:lineRule="auto"/>
        <w:ind w:left="720"/>
      </w:pPr>
      <w:r>
        <w:rPr>
          <w:lang w:val="en_US" w:bidi="en_US"/>
        </w:rPr>
      </w:r>
      <w:r>
        <w:rPr>
          <w:lang w:val="en_US" w:bidi="en_US"/>
        </w:rPr>
        <w:t xml:space="preserve">He went into the </w:t>
      </w:r>
      <w:r>
        <w:rPr>
          <w:lang w:val="en_US" w:bidi="en_US"/>
        </w:rPr>
        <w:t>courtyard of the</w:t>
      </w:r>
      <w:r>
        <w:rPr>
          <w:lang w:val="en_US" w:bidi="en_US"/>
        </w:rPr>
        <w:t xml:space="preserve"> </w:t>
      </w:r>
      <w:r>
        <w:rPr>
          <w:lang w:val="en_US" w:bidi="en_US"/>
        </w:rPr>
        <w:t>big</w:t>
      </w:r>
      <w:r>
        <w:rPr>
          <w:lang w:val="en_US" w:bidi="en_US"/>
        </w:rPr>
        <w:t xml:space="preserve"> tent where God was present</w:t>
      </w:r>
    </w:p>
    <w:p>
      <w:pPr/>
      <w:r>
        <w:rPr>
          <w:lang w:val="en_US" w:bidi="en_US"/>
        </w:rPr>
      </w:r>
      <w:r>
        <w:rPr>
          <w:b/>
          <w:lang w:val="en_US" w:bidi="en_US"/>
        </w:rPr>
        <w:t>He entered the house of God:</w:t>
      </w:r>
      <w:r>
        <w:rPr>
          <w:lang w:val="en_US" w:bidi="en_US"/>
        </w:rPr>
        <w:t xml:space="preserve"> The phrase </w:t>
      </w:r>
      <w:r>
        <w:rPr>
          <w:i/>
          <w:lang w:val="en_US" w:bidi="en_US"/>
        </w:rPr>
        <w:t>the house of God</w:t>
      </w:r>
      <w:r>
        <w:rPr>
          <w:lang w:val="en_US" w:bidi="en_US"/>
        </w:rPr>
        <w:t xml:space="preserve"> was a Jewish expression that could refer to either the tabernacle or the temple. In this context it refers to the tabernacle. The tabernacle was a large tent where Jewish people presented sacrifices to God and where God revealed his presence to them. Some ways to translate this are:</w:t>
      </w:r>
    </w:p>
    <w:p>
      <w:pPr/>
      <w:r>
        <w:rPr>
          <w:lang w:val="en_US" w:bidi="en_US"/>
        </w:rPr>
      </w:r>
      <w:r>
        <w:rPr>
          <w:lang w:val="en_US" w:bidi="en_US"/>
        </w:rPr>
        <w:t>God’s house/dwelling</w:t>
      </w:r>
    </w:p>
    <w:p>
      <w:pPr/>
      <w:r>
        <w:rPr>
          <w:lang w:val="en_US" w:bidi="en_US"/>
        </w:rPr>
      </w:r>
      <w:r>
        <w:rPr>
          <w:lang w:val="en_US" w:bidi="en_US"/>
        </w:rPr>
        <w:t>the big tent where our ancestors worshiped God</w:t>
      </w:r>
    </w:p>
    <w:p>
      <w:pPr/>
      <w:r>
        <w:rPr>
          <w:lang w:val="en_US" w:bidi="en_US"/>
        </w:rPr>
      </w:r>
      <w:r>
        <w:rPr>
          <w:lang w:val="en_US" w:bidi="en_US"/>
        </w:rPr>
        <w:t>David probably went into the courtyard of the tabernacle, since only the priests were allowed to go into the tent itself. If you feel that this detail is important here, you could say:</w:t>
      </w:r>
    </w:p>
    <w:p>
      <w:pPr/>
      <w:r>
        <w:rPr>
          <w:lang w:val="en_US" w:bidi="en_US"/>
        </w:rPr>
      </w:r>
      <w:r>
        <w:rPr>
          <w:lang w:val="en_US" w:bidi="en_US"/>
        </w:rPr>
        <w:t xml:space="preserve">He entered </w:t>
      </w:r>
      <w:r>
        <w:rPr>
          <w:lang w:val="en_US" w:bidi="en_US"/>
        </w:rPr>
        <w:t>the courtyard of</w:t>
      </w:r>
      <w:r>
        <w:rPr>
          <w:lang w:val="en_US" w:bidi="en_US"/>
        </w:rPr>
        <w:t xml:space="preserve"> the house of God</w:t>
      </w:r>
    </w:p>
    <w:p>
      <w:pPr/>
      <w:r>
        <w:rPr>
          <w:lang w:val="en_US" w:bidi="en_US"/>
        </w:rPr>
      </w:r>
      <w:r>
        <w:rPr>
          <w:lang w:val="en_US" w:bidi="en_US"/>
        </w:rPr>
        <w:t xml:space="preserve">You should only translate </w:t>
      </w:r>
      <w:r>
        <w:rPr>
          <w:i/>
          <w:lang w:val="en_US" w:bidi="en_US"/>
        </w:rPr>
        <w:t>the house of God</w:t>
      </w:r>
      <w:r>
        <w:rPr>
          <w:lang w:val="en_US" w:bidi="en_US"/>
        </w:rPr>
        <w:t xml:space="preserve"> literally if:</w:t>
      </w:r>
    </w:p>
    <w:p>
      <w:pPr>
        <w:pStyle w:val="ListNumber"/>
        <w:numPr>
          <w:ilvl w:val="0"/>
          <w:numId w:val="136"/>
        </w:numPr>
        <w:spacing w:line="240" w:lineRule="auto"/>
        <w:ind w:left="720"/>
      </w:pPr>
      <w:r>
        <w:rPr>
          <w:lang w:val="en_US" w:bidi="en_US"/>
        </w:rPr>
      </w:r>
      <w:r>
        <w:rPr>
          <w:lang w:val="en_US" w:bidi="en_US"/>
        </w:rPr>
        <w:t>your word for “house” can be used for this type of building, and</w:t>
      </w:r>
    </w:p>
    <w:p>
      <w:pPr>
        <w:pStyle w:val="ListNumber"/>
        <w:spacing w:line="240" w:lineRule="auto"/>
        <w:ind w:left="720"/>
      </w:pPr>
      <w:r>
        <w:rPr>
          <w:lang w:val="en_US" w:bidi="en_US"/>
        </w:rPr>
      </w:r>
      <w:r>
        <w:rPr>
          <w:lang w:val="en_US" w:bidi="en_US"/>
        </w:rPr>
        <w:t>“house of God” is not your usual expression for “church” or “heaven” (the dwelling place of God).</w:t>
      </w:r>
    </w:p>
    <w:p>
      <w:pPr/>
      <w:r>
        <w:rPr>
          <w:lang w:val="en_US" w:bidi="en_US"/>
        </w:rPr>
      </w:r>
      <w:r>
        <w:rPr>
          <w:b/>
          <w:lang w:val="en_US" w:bidi="en_US"/>
        </w:rPr>
        <w:t>God:</w:t>
      </w:r>
      <w:r>
        <w:rPr>
          <w:lang w:val="en_US" w:bidi="en_US"/>
        </w:rPr>
        <w:t xml:space="preserve"> For help in translating the word </w:t>
      </w:r>
      <w:r>
        <w:rPr>
          <w:i/>
          <w:lang w:val="en_US" w:bidi="en_US"/>
        </w:rPr>
        <w:t>God</w:t>
      </w:r>
      <w:r>
        <w:rPr>
          <w:lang w:val="en_US" w:bidi="en_US"/>
        </w:rPr>
        <w:t>, see the note at 1:6a.</w:t>
      </w:r>
    </w:p>
    <w:p>
      <w:pPr>
        <w:pStyle w:val="Heading5"/>
      </w:pPr>
      <w:r>
        <w:rPr>
          <w:lang w:val="en_US" w:bidi="en_US"/>
        </w:rPr>
        <w:t>6:4b</w:t>
      </w:r>
    </w:p>
    <w:p>
      <w:pPr/>
      <w:r>
        <w:rPr>
          <w:lang w:val="en_US" w:bidi="en_US"/>
        </w:rPr>
      </w:r>
      <w:r>
        <w:rPr>
          <w:b/>
          <w:lang w:val="en_US" w:bidi="en_US"/>
        </w:rPr>
        <w:t>took the consecrated bread</w:t>
      </w:r>
    </w:p>
    <w:p>
      <w:pPr>
        <w:pStyle w:val="ListBullet"/>
        <w:spacing w:line="240" w:lineRule="auto"/>
        <w:ind w:left="720"/>
      </w:pPr>
      <w:r>
        <w:rPr>
          <w:lang w:val="en_US" w:bidi="en_US"/>
        </w:rPr>
      </w:r>
      <w:r>
        <w:rPr>
          <w:lang w:val="en_US" w:bidi="en_US"/>
        </w:rPr>
        <w:t>and took some of the holy bread.</w:t>
      </w:r>
    </w:p>
    <w:p>
      <w:pPr>
        <w:pStyle w:val="ListBullet"/>
        <w:spacing w:line="240" w:lineRule="auto"/>
        <w:ind w:left="720"/>
      </w:pPr>
      <w:r>
        <w:rPr>
          <w:lang w:val="en_US" w:bidi="en_US"/>
        </w:rPr>
      </w:r>
      <w:r>
        <w:rPr>
          <w:lang w:val="en_US" w:bidi="en_US"/>
        </w:rPr>
        <w:t xml:space="preserve">and accepted/received </w:t>
      </w:r>
      <w:r>
        <w:rPr>
          <w:lang w:val="en_US" w:bidi="en_US"/>
        </w:rPr>
        <w:t>from the priest</w:t>
      </w:r>
      <w:r>
        <w:rPr>
          <w:lang w:val="en_US" w:bidi="en_US"/>
        </w:rPr>
        <w:t xml:space="preserve"> some of the bread offered to God.</w:t>
      </w:r>
    </w:p>
    <w:p>
      <w:pPr/>
      <w:r>
        <w:rPr>
          <w:lang w:val="en_US" w:bidi="en_US"/>
        </w:rPr>
      </w:r>
      <w:r>
        <w:rPr>
          <w:b/>
          <w:lang w:val="en_US" w:bidi="en_US"/>
        </w:rPr>
        <w:t>took the consecrated bread:</w:t>
      </w:r>
      <w:r>
        <w:rPr>
          <w:lang w:val="en_US" w:bidi="en_US"/>
        </w:rPr>
        <w:t xml:space="preserve"> The word </w:t>
      </w:r>
      <w:r>
        <w:rPr>
          <w:i/>
          <w:lang w:val="en_US" w:bidi="en_US"/>
        </w:rPr>
        <w:t>took</w:t>
      </w:r>
      <w:r>
        <w:rPr>
          <w:lang w:val="en_US" w:bidi="en_US"/>
        </w:rPr>
        <w:t xml:space="preserve"> indicates here that David received the bread from the priest. In the story in 1 Samuel 21:1–6, David asked the priest for the bread, and the priest gave it to him. This information is not mentioned explicitly in this verse. If your readers might think that David stole the bread and ate it, you may need to make explicit that the priest gave it to him. You could mention this fact in a footnote.</w:t>
      </w:r>
    </w:p>
    <w:p>
      <w:pPr/>
      <w:r>
        <w:rPr>
          <w:lang w:val="en_US" w:bidi="en_US"/>
        </w:rPr>
      </w:r>
      <w:r>
        <w:rPr>
          <w:lang w:val="en_US" w:bidi="en_US"/>
        </w:rPr>
        <w:t>Some other ways to translate this are:</w:t>
      </w:r>
    </w:p>
    <w:p>
      <w:pPr/>
      <w:r>
        <w:rPr>
          <w:lang w:val="en_US" w:bidi="en_US"/>
        </w:rPr>
      </w:r>
      <w:r>
        <w:rPr>
          <w:lang w:val="en_US" w:bidi="en_US"/>
        </w:rPr>
        <w:t>he</w:t>
      </w:r>
      <w:r>
        <w:rPr>
          <w:lang w:val="en_US" w:bidi="en_US"/>
        </w:rPr>
        <w:t xml:space="preserve"> received/accepted the consecrated bread</w:t>
      </w:r>
    </w:p>
    <w:p>
      <w:pPr/>
      <w:r>
        <w:rPr>
          <w:lang w:val="en_US" w:bidi="en_US"/>
        </w:rPr>
      </w:r>
      <w:r>
        <w:rPr>
          <w:lang w:val="en_US" w:bidi="en_US"/>
        </w:rPr>
        <w:t>he</w:t>
      </w:r>
      <w:r>
        <w:rPr>
          <w:lang w:val="en_US" w:bidi="en_US"/>
        </w:rPr>
        <w:t xml:space="preserve"> took the consecrated bread </w:t>
      </w:r>
      <w:r>
        <w:rPr>
          <w:lang w:val="en_US" w:bidi="en_US"/>
        </w:rPr>
        <w:t>that the priest gave to him</w:t>
      </w:r>
    </w:p>
    <w:p>
      <w:pPr/>
      <w:r>
        <w:rPr>
          <w:lang w:val="en_US" w:bidi="en_US"/>
        </w:rPr>
      </w:r>
      <w:r>
        <w:rPr>
          <w:b/>
          <w:lang w:val="en_US" w:bidi="en_US"/>
        </w:rPr>
        <w:t>the consecrated bread:</w:t>
      </w:r>
      <w:r>
        <w:rPr>
          <w:lang w:val="en_US" w:bidi="en_US"/>
        </w:rPr>
        <w:t xml:space="preserve"> The Greek phrase that the BSB translates as </w:t>
      </w:r>
      <w:r>
        <w:rPr>
          <w:i/>
          <w:lang w:val="en_US" w:bidi="en_US"/>
        </w:rPr>
        <w:t>the consecrated bread</w:t>
      </w:r>
      <w:r>
        <w:rPr>
          <w:lang w:val="en_US" w:bidi="en_US"/>
        </w:rPr>
        <w:t xml:space="preserve"> refers to the bread that the priests offered or presented to God. They put this bread in the Holy Place of the tabernacle. Every Sabbath, the bread was replaced with fresh bread. Then, only the priests were allowed to eat the old bread. See Leviticus 24:5–9 and Exodus 25:30. Some other ways to translate this are:</w:t>
      </w:r>
    </w:p>
    <w:p>
      <w:pPr/>
      <w:r>
        <w:rPr>
          <w:lang w:val="en_US" w:bidi="en_US"/>
        </w:rPr>
      </w:r>
      <w:r>
        <w:rPr>
          <w:lang w:val="en_US" w:bidi="en_US"/>
        </w:rPr>
        <w:t>the sacred/holy bread</w:t>
      </w:r>
    </w:p>
    <w:p>
      <w:pPr/>
      <w:r>
        <w:rPr>
          <w:lang w:val="en_US" w:bidi="en_US"/>
        </w:rPr>
      </w:r>
      <w:r>
        <w:rPr>
          <w:lang w:val="en_US" w:bidi="en_US"/>
        </w:rPr>
        <w:t>the bread offered to God (GNT)</w:t>
      </w:r>
    </w:p>
    <w:p>
      <w:pPr/>
      <w:r>
        <w:rPr>
          <w:lang w:val="en_US" w:bidi="en_US"/>
        </w:rPr>
      </w:r>
      <w:r>
        <w:rPr>
          <w:lang w:val="en_US" w:bidi="en_US"/>
        </w:rPr>
        <w:t>special bread (NLT96)</w:t>
      </w:r>
    </w:p>
    <w:p>
      <w:pPr/>
      <w:r>
        <w:rPr>
          <w:lang w:val="en_US" w:bidi="en_US"/>
        </w:rPr>
      </w:r>
      <w:r>
        <w:rPr>
          <w:lang w:val="en_US" w:bidi="en_US"/>
        </w:rPr>
        <w:t>It may also be helpful to include a footnote to explain this. For example:</w:t>
      </w:r>
    </w:p>
    <w:p>
      <w:pPr/>
      <w:r>
        <w:rPr>
          <w:lang w:val="en_US" w:bidi="en_US"/>
        </w:rPr>
      </w:r>
      <w:r>
        <w:rPr>
          <w:lang w:val="en_US" w:bidi="en_US"/>
        </w:rPr>
        <w:t>The consecrated bread was twelve loaves of bread that were in the Holy Place of the tabernacle. They were put there each week as a sacrifice to God. Every Sabbath day, they were replaced with twelve fresh loaves of bread. Only the priests were allowed to eat the old loaves (see Leviticus 24:5–9).</w:t>
      </w:r>
    </w:p>
    <w:p>
      <w:pPr/>
      <w:r>
        <w:rPr>
          <w:lang w:val="en_US" w:bidi="en_US"/>
        </w:rPr>
      </w:r>
      <w:r>
        <w:rPr>
          <w:b/>
          <w:lang w:val="en_US" w:bidi="en_US"/>
        </w:rPr>
        <w:t>bread:</w:t>
      </w:r>
      <w:r>
        <w:rPr>
          <w:lang w:val="en_US" w:bidi="en_US"/>
        </w:rPr>
        <w:t xml:space="preserve"> The word </w:t>
      </w:r>
      <w:r>
        <w:rPr>
          <w:i/>
          <w:lang w:val="en_US" w:bidi="en_US"/>
        </w:rPr>
        <w:t>bread</w:t>
      </w:r>
      <w:r>
        <w:rPr>
          <w:lang w:val="en_US" w:bidi="en_US"/>
        </w:rPr>
        <w:t xml:space="preserve"> refers to loaves made from wheat flour. Bread was the main food of the Jewish people. Other ways to translate this could be “loaves” or “loaves of bread.” If the people for whom you are translating do not eat bread, you could translate this with a general term, such as:</w:t>
      </w:r>
    </w:p>
    <w:p>
      <w:pPr/>
      <w:r>
        <w:rPr>
          <w:lang w:val="en_US" w:bidi="en_US"/>
        </w:rPr>
      </w:r>
      <w:r>
        <w:rPr>
          <w:lang w:val="en_US" w:bidi="en_US"/>
        </w:rPr>
        <w:t>food</w:t>
      </w:r>
    </w:p>
    <w:p>
      <w:pPr>
        <w:pStyle w:val="Heading5"/>
      </w:pPr>
      <w:r>
        <w:rPr>
          <w:lang w:val="en_US" w:bidi="en_US"/>
        </w:rPr>
        <w:t>6:4c–d</w:t>
      </w:r>
    </w:p>
    <w:p>
      <w:pPr/>
      <w:r>
        <w:rPr>
          <w:lang w:val="en_US" w:bidi="en_US"/>
        </w:rPr>
      </w:r>
      <w:r>
        <w:rPr>
          <w:lang w:val="en_US" w:bidi="en_US"/>
        </w:rPr>
        <w:t>In 6:4c–d, the BSB keeps the order of the Greek clauses, as do many other English versions. Other versions, such as the NIV, change the Greek order. Compare the two examples below, which are from the NIV and the GNT.</w:t>
      </w:r>
    </w:p>
    <w:p>
      <w:pPr/>
      <w:r>
        <w:rPr>
          <w:lang w:val="en_US" w:bidi="en_US"/>
        </w:rPr>
      </w:r>
      <w:r>
        <w:rPr>
          <w:vertAlign w:val="superscript"/>
          <w:lang w:val="en_US" w:bidi="en_US"/>
        </w:rPr>
        <w:t>4c</w:t>
      </w:r>
      <w:r>
        <w:rPr>
          <w:lang w:val="en_US" w:bidi="en_US"/>
        </w:rPr>
        <w:t xml:space="preserve">he ate what is lawful only for priests to eat. </w:t>
      </w:r>
      <w:r>
        <w:rPr>
          <w:vertAlign w:val="superscript"/>
          <w:lang w:val="en_US" w:bidi="en_US"/>
        </w:rPr>
        <w:t>4d</w:t>
      </w:r>
      <w:r>
        <w:rPr>
          <w:lang w:val="en_US" w:bidi="en_US"/>
        </w:rPr>
        <w:t>And he also gave some to his companions. (NIV)</w:t>
      </w:r>
    </w:p>
    <w:p>
      <w:pPr/>
      <w:r>
        <w:rPr>
          <w:lang w:val="en_US" w:bidi="en_US"/>
        </w:rPr>
      </w:r>
      <w:r>
        <w:rPr>
          <w:vertAlign w:val="superscript"/>
          <w:lang w:val="en_US" w:bidi="en_US"/>
        </w:rPr>
        <w:t>4c</w:t>
      </w:r>
      <w:r>
        <w:rPr>
          <w:lang w:val="en_US" w:bidi="en_US"/>
        </w:rPr>
        <w:t xml:space="preserve">ate it, </w:t>
      </w:r>
      <w:r>
        <w:rPr>
          <w:vertAlign w:val="superscript"/>
          <w:lang w:val="en_US" w:bidi="en_US"/>
        </w:rPr>
        <w:t>4d</w:t>
      </w:r>
      <w:r>
        <w:rPr>
          <w:lang w:val="en_US" w:bidi="en_US"/>
        </w:rPr>
        <w:t xml:space="preserve">and gave it also to his men. </w:t>
      </w:r>
      <w:r>
        <w:rPr>
          <w:vertAlign w:val="superscript"/>
          <w:lang w:val="en_US" w:bidi="en_US"/>
        </w:rPr>
        <w:t>4c</w:t>
      </w:r>
      <w:r>
        <w:rPr>
          <w:lang w:val="en_US" w:bidi="en_US"/>
        </w:rPr>
        <w:t>Yet it is against our Law for anyone except the priests to eat that bread. (GNT)</w:t>
      </w:r>
    </w:p>
    <w:p>
      <w:pPr/>
      <w:r>
        <w:rPr>
          <w:lang w:val="en_US" w:bidi="en_US"/>
        </w:rPr>
      </w:r>
      <w:r>
        <w:rPr>
          <w:lang w:val="en_US" w:bidi="en_US"/>
        </w:rPr>
        <w:t>You should translate these clauses in an order that is natural in your language.</w:t>
      </w:r>
    </w:p>
    <w:p>
      <w:pPr>
        <w:pStyle w:val="Heading5"/>
      </w:pPr>
      <w:r>
        <w:rPr>
          <w:lang w:val="en_US" w:bidi="en_US"/>
        </w:rPr>
        <w:t>6:4c</w:t>
      </w:r>
    </w:p>
    <w:p>
      <w:pPr/>
      <w:r>
        <w:rPr>
          <w:lang w:val="en_US" w:bidi="en_US"/>
        </w:rPr>
      </w:r>
      <w:r>
        <w:rPr>
          <w:b/>
          <w:lang w:val="en_US" w:bidi="en_US"/>
        </w:rPr>
        <w:t>and gave it to his companions,</w:t>
      </w:r>
    </w:p>
    <w:p>
      <w:pPr>
        <w:pStyle w:val="ListBullet"/>
        <w:spacing w:line="240" w:lineRule="auto"/>
        <w:ind w:left="720"/>
      </w:pPr>
      <w:r>
        <w:rPr>
          <w:lang w:val="en_US" w:bidi="en_US"/>
        </w:rPr>
      </w:r>
      <w:r>
        <w:rPr>
          <w:lang w:val="en_US" w:bidi="en_US"/>
        </w:rPr>
        <w:t>He also gave some of the bread to his men.”</w:t>
      </w:r>
    </w:p>
    <w:p>
      <w:pPr>
        <w:pStyle w:val="ListBullet"/>
        <w:spacing w:line="240" w:lineRule="auto"/>
        <w:ind w:left="720"/>
      </w:pPr>
      <w:r>
        <w:rPr>
          <w:lang w:val="en_US" w:bidi="en_US"/>
        </w:rPr>
      </w:r>
      <w:r>
        <w:rPr>
          <w:lang w:val="en_US" w:bidi="en_US"/>
        </w:rPr>
        <w:t>He gave some of it to the men with him.</w:t>
      </w:r>
    </w:p>
    <w:p>
      <w:pPr/>
      <w:r>
        <w:rPr>
          <w:lang w:val="en_US" w:bidi="en_US"/>
        </w:rPr>
      </w:r>
      <w:r>
        <w:rPr>
          <w:b/>
          <w:lang w:val="en_US" w:bidi="en_US"/>
        </w:rPr>
        <w:t>and ate what is lawful only for the priests to eat:</w:t>
      </w:r>
      <w:r>
        <w:rPr>
          <w:lang w:val="en_US" w:bidi="en_US"/>
        </w:rPr>
        <w:t xml:space="preserve"> The Greek clause that the BSB translates as </w:t>
      </w:r>
      <w:r>
        <w:rPr>
          <w:i/>
          <w:lang w:val="en_US" w:bidi="en_US"/>
        </w:rPr>
        <w:t>and ate what is lawful only for the priests to eat</w:t>
      </w:r>
      <w:r>
        <w:rPr>
          <w:lang w:val="en_US" w:bidi="en_US"/>
        </w:rPr>
        <w:t xml:space="preserve"> is literally “he ate…that which is not permissible to eat except for only the priests.” The word </w:t>
      </w:r>
      <w:r>
        <w:rPr>
          <w:i/>
          <w:lang w:val="en_US" w:bidi="en_US"/>
        </w:rPr>
        <w:t>what</w:t>
      </w:r>
      <w:r>
        <w:rPr>
          <w:lang w:val="en_US" w:bidi="en_US"/>
        </w:rPr>
        <w:t xml:space="preserve"> refers to the bread. The law did not permit anyone except priests to eat the consecrated bread. But David ate that bread.</w:t>
      </w:r>
    </w:p>
    <w:p>
      <w:pPr/>
      <w:r>
        <w:rPr>
          <w:lang w:val="en_US" w:bidi="en_US"/>
        </w:rPr>
      </w:r>
      <w:r>
        <w:rPr>
          <w:lang w:val="en_US" w:bidi="en_US"/>
        </w:rPr>
        <w:t>Some other ways to translate this are:</w:t>
      </w:r>
    </w:p>
    <w:p>
      <w:pPr/>
      <w:r>
        <w:rPr>
          <w:lang w:val="en_US" w:bidi="en_US"/>
        </w:rPr>
      </w:r>
      <w:r>
        <w:rPr>
          <w:lang w:val="en_US" w:bidi="en_US"/>
        </w:rPr>
        <w:t>ate some bread himself…even though the Law does not permit anyone except the priests to eat it (JBP)</w:t>
      </w:r>
    </w:p>
    <w:p>
      <w:pPr/>
      <w:r>
        <w:rPr>
          <w:lang w:val="en_US" w:bidi="en_US"/>
        </w:rPr>
      </w:r>
      <w:r>
        <w:rPr>
          <w:lang w:val="en_US" w:bidi="en_US"/>
        </w:rPr>
        <w:t>and ate the holy bread, which is lawful only for priests to eat (NCV)</w:t>
      </w:r>
    </w:p>
    <w:p>
      <w:pPr/>
      <w:r>
        <w:rPr>
          <w:lang w:val="en_US" w:bidi="en_US"/>
        </w:rPr>
      </w:r>
      <w:r>
        <w:rPr>
          <w:b/>
          <w:lang w:val="en_US" w:bidi="en_US"/>
        </w:rPr>
        <w:t>lawful:</w:t>
      </w:r>
      <w:r>
        <w:rPr>
          <w:lang w:val="en_US" w:bidi="en_US"/>
        </w:rPr>
        <w:t xml:space="preserve"> The Greek phrase that the BSB translates as </w:t>
      </w:r>
      <w:r>
        <w:rPr>
          <w:i/>
          <w:lang w:val="en_US" w:bidi="en_US"/>
        </w:rPr>
        <w:t>lawful</w:t>
      </w:r>
      <w:r>
        <w:rPr>
          <w:lang w:val="en_US" w:bidi="en_US"/>
        </w:rPr>
        <w:t xml:space="preserve"> means “permitted.” It is the same phrase that the Pharisees used in their question in 6:2b. As in 6:2, it refers to what the Jewish religious and ceremonial law allowed. The law about the dedicated bread is stated in the Law of Moses (see Leviticus 24:9). Use an expression that is consistent with the way you translated “unlawful” in 6:2b.</w:t>
      </w:r>
    </w:p>
    <w:p>
      <w:pPr/>
      <w:r>
        <w:rPr>
          <w:lang w:val="en_US" w:bidi="en_US"/>
        </w:rPr>
      </w:r>
      <w:r>
        <w:rPr>
          <w:b/>
          <w:lang w:val="en_US" w:bidi="en_US"/>
        </w:rPr>
        <w:t>priests:</w:t>
      </w:r>
      <w:r>
        <w:rPr>
          <w:lang w:val="en_US" w:bidi="en_US"/>
        </w:rPr>
        <w:t xml:space="preserve"> A Jewish </w:t>
      </w:r>
      <w:r>
        <w:rPr>
          <w:i/>
          <w:lang w:val="en_US" w:bidi="en_US"/>
        </w:rPr>
        <w:t>priest</w:t>
      </w:r>
      <w:r>
        <w:rPr>
          <w:lang w:val="en_US" w:bidi="en_US"/>
        </w:rPr>
        <w:t xml:space="preserve"> was a man who offered sacrifices to God on behalf of the people. He also performed other religious rituals for them. Some ways to translate </w:t>
      </w:r>
      <w:r>
        <w:rPr>
          <w:i/>
          <w:lang w:val="en_US" w:bidi="en_US"/>
        </w:rPr>
        <w:t>priest</w:t>
      </w:r>
      <w:r>
        <w:rPr>
          <w:lang w:val="en_US" w:bidi="en_US"/>
        </w:rPr>
        <w:t xml:space="preserve"> are:</w:t>
      </w:r>
    </w:p>
    <w:p>
      <w:pPr/>
      <w:r>
        <w:rPr>
          <w:lang w:val="en_US" w:bidi="en_US"/>
        </w:rPr>
      </w:r>
      <w:r>
        <w:rPr>
          <w:lang w:val="en_US" w:bidi="en_US"/>
        </w:rPr>
        <w:t>sacrificers</w:t>
      </w:r>
    </w:p>
    <w:p>
      <w:pPr/>
      <w:r>
        <w:rPr>
          <w:lang w:val="en_US" w:bidi="en_US"/>
        </w:rPr>
      </w:r>
      <w:r>
        <w:rPr>
          <w:lang w:val="en_US" w:bidi="en_US"/>
        </w:rPr>
        <w:t>men offering sacrifices</w:t>
      </w:r>
    </w:p>
    <w:p>
      <w:pPr/>
      <w:r>
        <w:rPr>
          <w:lang w:val="en_US" w:bidi="en_US"/>
        </w:rPr>
      </w:r>
      <w:r>
        <w:rPr>
          <w:lang w:val="en_US" w:bidi="en_US"/>
        </w:rPr>
        <w:t>men who represent people to God</w:t>
      </w:r>
    </w:p>
    <w:p>
      <w:pPr/>
      <w:r>
        <w:rPr>
          <w:lang w:val="en_US" w:bidi="en_US"/>
        </w:rPr>
      </w:r>
      <w:r>
        <w:rPr>
          <w:lang w:val="en_US" w:bidi="en_US"/>
        </w:rPr>
        <w:t>See how you translated “priest” in 1:5b. See also priest in the Glossary.</w:t>
      </w:r>
    </w:p>
    <w:p>
      <w:pPr>
        <w:pStyle w:val="Heading5"/>
      </w:pPr>
      <w:r>
        <w:rPr>
          <w:lang w:val="en_US" w:bidi="en_US"/>
        </w:rPr>
        <w:t>6:4d</w:t>
      </w:r>
    </w:p>
    <w:p>
      <w:pPr/>
      <w:r>
        <w:rPr>
          <w:lang w:val="en_US" w:bidi="en_US"/>
        </w:rPr>
      </w:r>
      <w:r>
        <w:rPr>
          <w:b/>
          <w:lang w:val="en_US" w:bidi="en_US"/>
        </w:rPr>
        <w:t>and ate what is lawful only for the priests to eat.”</w:t>
      </w:r>
    </w:p>
    <w:p>
      <w:pPr>
        <w:pStyle w:val="ListBullet"/>
        <w:spacing w:line="240" w:lineRule="auto"/>
        <w:ind w:left="720"/>
      </w:pPr>
      <w:r>
        <w:rPr>
          <w:lang w:val="en_US" w:bidi="en_US"/>
        </w:rPr>
      </w:r>
      <w:r>
        <w:rPr>
          <w:lang w:val="en_US" w:bidi="en_US"/>
        </w:rPr>
        <w:t>But only the priests were permitted to eat the bread that he ate.</w:t>
      </w:r>
    </w:p>
    <w:p>
      <w:pPr>
        <w:pStyle w:val="ListBullet"/>
        <w:spacing w:line="240" w:lineRule="auto"/>
        <w:ind w:left="720"/>
      </w:pPr>
      <w:r>
        <w:rPr>
          <w:lang w:val="en_US" w:bidi="en_US"/>
        </w:rPr>
      </w:r>
      <w:r>
        <w:rPr>
          <w:lang w:val="en_US" w:bidi="en_US"/>
        </w:rPr>
        <w:t xml:space="preserve">David and his men ate that bread. </w:t>
      </w:r>
      <w:r>
        <w:rPr>
          <w:lang w:val="en_US" w:bidi="en_US"/>
        </w:rPr>
        <w:t>They did that even though our</w:t>
      </w:r>
      <w:r>
        <w:rPr>
          <w:vertAlign w:val="superscript"/>
          <w:lang w:val="en_US" w:bidi="en_US"/>
        </w:rPr>
        <w:t>(incl)</w:t>
      </w:r>
      <w:r>
        <w:rPr>
          <w:lang w:val="en_US" w:bidi="en_US"/>
        </w:rPr>
        <w:t xml:space="preserve"> law does not permit anyone except priests to eat that bread.</w:t>
      </w:r>
    </w:p>
    <w:p>
      <w:pPr/>
      <w:r>
        <w:rPr>
          <w:lang w:val="en_US" w:bidi="en_US"/>
        </w:rPr>
      </w:r>
      <w:r>
        <w:rPr>
          <w:b/>
          <w:lang w:val="en_US" w:bidi="en_US"/>
        </w:rPr>
        <w:t>and gave it to his companions:</w:t>
      </w:r>
      <w:r>
        <w:rPr>
          <w:lang w:val="en_US" w:bidi="en_US"/>
        </w:rPr>
        <w:t xml:space="preserve"> This clause implies that although David gave some consecrated bread to his companions, God did not punish him for it. You may need to make this explicit in your translation or in a footnote. For example:</w:t>
      </w:r>
    </w:p>
    <w:p>
      <w:pPr/>
      <w:r>
        <w:rPr>
          <w:lang w:val="en_US" w:bidi="en_US"/>
        </w:rPr>
      </w:r>
      <w:r>
        <w:rPr>
          <w:lang w:val="en_US" w:bidi="en_US"/>
        </w:rPr>
        <w:t xml:space="preserve">He also gave some of the bread to his companions and they ate it too. </w:t>
      </w:r>
      <w:r>
        <w:rPr>
          <w:lang w:val="en_US" w:bidi="en_US"/>
        </w:rPr>
        <w:t>But God did not punish David for doing that.</w:t>
      </w:r>
    </w:p>
    <w:p>
      <w:pPr/>
      <w:r>
        <w:rPr>
          <w:lang w:val="en_US" w:bidi="en_US"/>
        </w:rPr>
      </w:r>
      <w:r>
        <w:rPr>
          <w:b/>
          <w:lang w:val="en_US" w:bidi="en_US"/>
        </w:rPr>
        <w:t>gave it:</w:t>
      </w:r>
      <w:r>
        <w:rPr>
          <w:lang w:val="en_US" w:bidi="en_US"/>
        </w:rPr>
        <w:t xml:space="preserve"> The BSB has supplied the object </w:t>
      </w:r>
      <w:r>
        <w:rPr>
          <w:i/>
          <w:lang w:val="en_US" w:bidi="en_US"/>
        </w:rPr>
        <w:t>it</w:t>
      </w:r>
      <w:r>
        <w:rPr>
          <w:lang w:val="en_US" w:bidi="en_US"/>
        </w:rPr>
        <w:t xml:space="preserve">, meaning “some consecrated bread.” The Greek text does not have an explicit object of </w:t>
      </w:r>
      <w:r>
        <w:rPr>
          <w:i/>
          <w:lang w:val="en_US" w:bidi="en_US"/>
        </w:rPr>
        <w:t>gave</w:t>
      </w:r>
      <w:r>
        <w:rPr>
          <w:lang w:val="en_US" w:bidi="en_US"/>
        </w:rPr>
        <w:t>. You should supply an object if it is natural in your language. For example:</w:t>
      </w:r>
    </w:p>
    <w:p>
      <w:pPr/>
      <w:r>
        <w:rPr>
          <w:lang w:val="en_US" w:bidi="en_US"/>
        </w:rPr>
      </w:r>
      <w:r>
        <w:rPr>
          <w:lang w:val="en_US" w:bidi="en_US"/>
        </w:rPr>
        <w:t xml:space="preserve">his companions also </w:t>
      </w:r>
      <w:r>
        <w:rPr>
          <w:lang w:val="en_US" w:bidi="en_US"/>
        </w:rPr>
        <w:t>ate the bread</w:t>
      </w:r>
      <w:r>
        <w:rPr>
          <w:lang w:val="en_US" w:bidi="en_US"/>
        </w:rPr>
        <w:t xml:space="preserve"> he gave to them</w:t>
      </w:r>
    </w:p>
    <w:p>
      <w:pPr/>
      <w:r>
        <w:rPr>
          <w:lang w:val="en_US" w:bidi="en_US"/>
        </w:rPr>
      </w:r>
      <w:r>
        <w:rPr>
          <w:b/>
          <w:lang w:val="en_US" w:bidi="en_US"/>
        </w:rPr>
        <w:t>his companions:</w:t>
      </w:r>
      <w:r>
        <w:rPr>
          <w:lang w:val="en_US" w:bidi="en_US"/>
        </w:rPr>
        <w:t xml:space="preserve"> Use the same term for </w:t>
      </w:r>
      <w:r>
        <w:rPr>
          <w:i/>
          <w:lang w:val="en_US" w:bidi="en_US"/>
        </w:rPr>
        <w:t>his companions</w:t>
      </w:r>
      <w:r>
        <w:rPr>
          <w:lang w:val="en_US" w:bidi="en_US"/>
        </w:rPr>
        <w:t xml:space="preserve"> as you used in 6:3c.</w:t>
      </w:r>
      <w:r>
        <w:rPr>
          <w:lang w:val="en_US" w:bidi="en_US"/>
        </w:rPr>
      </w:r>
      <w:r>
        <w:rPr>
          <w:lang w:val="en_US" w:bidi="en_US"/>
        </w:rPr>
      </w:r>
    </w:p>
    <w:p>
      <w:pPr/>
      <w:r>
        <w:rPr>
          <w:lang w:val="en_US" w:bidi="en_US"/>
        </w:rPr>
      </w:r>
    </w:p>
    <w:p>
      <w:pPr>
        <w:pStyle w:val="Heading2"/>
      </w:pPr>
      <w:r>
        <w:rPr>
          <w:lang w:val="en_US" w:bidi="en_US"/>
        </w:rPr>
        <w:t>Luke 6:5</w:t>
      </w:r>
      <w:r>
        <w:rPr>
          <w:lang w:val="en_US" w:bidi="en_US"/>
        </w:rPr>
      </w:r>
    </w:p>
    <w:p>
      <w:pPr>
        <w:pStyle w:val="Heading4"/>
      </w:pPr>
      <w:r>
        <w:rPr>
          <w:lang w:val="en_US" w:bidi="en_US"/>
        </w:rPr>
        <w:t>Section 6:1–11: Jesus taught that he was Lord of the Sabbath</w:t>
      </w:r>
    </w:p>
    <w:p>
      <w:pPr/>
      <w:r>
        <w:rPr>
          <w:lang w:val="en_US" w:bidi="en_US"/>
        </w:rPr>
      </w:r>
      <w:r>
        <w:rPr>
          <w:lang w:val="en_US" w:bidi="en_US"/>
        </w:rP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pPr/>
      <w:r>
        <w:rPr>
          <w:lang w:val="en_US" w:bidi="en_US"/>
        </w:rPr>
      </w:r>
      <w:r>
        <w:rPr>
          <w:lang w:val="en_US" w:bidi="en_US"/>
        </w:rP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pPr/>
      <w:r>
        <w:rPr>
          <w:lang w:val="en_US" w:bidi="en_US"/>
        </w:rPr>
      </w:r>
      <w:r>
        <w:rPr>
          <w:lang w:val="en_US" w:bidi="en_US"/>
        </w:rPr>
        <w:t>Some other possible headings for this section are:</w:t>
      </w:r>
    </w:p>
    <w:p>
      <w:pPr/>
      <w:r>
        <w:rPr>
          <w:lang w:val="en_US" w:bidi="en_US"/>
        </w:rPr>
      </w:r>
      <w:r>
        <w:rPr>
          <w:lang w:val="en_US" w:bidi="en_US"/>
        </w:rPr>
        <w:t>The Pharisees and Jesus disagreed about Sabbath-day laws</w:t>
      </w:r>
    </w:p>
    <w:p>
      <w:pPr/>
      <w:r>
        <w:rPr>
          <w:lang w:val="en_US" w:bidi="en_US"/>
        </w:rPr>
      </w:r>
      <w:r>
        <w:rPr>
          <w:lang w:val="en_US" w:bidi="en_US"/>
        </w:rPr>
        <w:t>Jesus showed/taught the true meaning/use of the Sabbath day</w:t>
      </w:r>
    </w:p>
    <w:p>
      <w:pPr/>
      <w:r>
        <w:rPr>
          <w:lang w:val="en_US" w:bidi="en_US"/>
        </w:rPr>
      </w:r>
      <w:r>
        <w:rPr>
          <w:lang w:val="en_US" w:bidi="en_US"/>
        </w:rPr>
        <w:t>A Discussion about the Sabbath (NLT)</w:t>
      </w:r>
    </w:p>
    <w:p>
      <w:pPr/>
      <w:r>
        <w:rPr>
          <w:lang w:val="en_US" w:bidi="en_US"/>
        </w:rPr>
      </w:r>
      <w:r>
        <w:rPr>
          <w:lang w:val="en_US" w:bidi="en_US"/>
        </w:rPr>
        <w:t>There are parallel passages in Matthew 12:1–14 and Mark 2:23–3:6.</w:t>
      </w:r>
    </w:p>
    <w:p>
      <w:pPr>
        <w:pStyle w:val="Heading4"/>
      </w:pPr>
      <w:r>
        <w:rPr>
          <w:lang w:val="en_US" w:bidi="en_US"/>
        </w:rPr>
        <w:t>Paragraph 6:1–5</w:t>
      </w:r>
    </w:p>
    <w:p>
      <w:pPr/>
      <w:r>
        <w:rPr>
          <w:lang w:val="en_US" w:bidi="en_US"/>
        </w:rPr>
      </w:r>
      <w:r>
        <w:rPr>
          <w:lang w:val="en_US" w:bidi="en_US"/>
        </w:rPr>
        <w:t>In this paragraph, Luke described how Jesus allowed his disciples to pick and eat grain on the Sabbath. Some Pharisees saw the disciples doing that and rebuked Jesus. Jesus had not told his disciples to stop what they were doing. Therefore, the Pharisees felt that Jesus was not respecting their laws about the Sabbath day.</w:t>
      </w:r>
    </w:p>
    <w:p>
      <w:pPr/>
      <w:r>
        <w:rPr>
          <w:lang w:val="en_US" w:bidi="en_US"/>
        </w:rPr>
      </w:r>
      <w:r>
        <w:rPr>
          <w:lang w:val="en_US" w:bidi="en_US"/>
        </w:rPr>
        <w:t>In response, Jesus reminded the Pharisees of a story about King David. He showed them that the way they thought about the Sabbath was wrong. He told them that he had the authority to decide what was right or wrong to do on the Sabbath.</w:t>
      </w:r>
    </w:p>
    <w:p>
      <w:pPr>
        <w:pStyle w:val="Heading5"/>
      </w:pPr>
      <w:r>
        <w:rPr>
          <w:lang w:val="en_US" w:bidi="en_US"/>
        </w:rPr>
        <w:t>6:5</w:t>
      </w:r>
    </w:p>
    <w:p>
      <w:pPr/>
      <w:r>
        <w:rPr>
          <w:lang w:val="en_US" w:bidi="en_US"/>
        </w:rPr>
      </w:r>
      <w:r>
        <w:rPr>
          <w:b/>
          <w:lang w:val="en_US" w:bidi="en_US"/>
        </w:rPr>
        <w:t>Then Jesus declared, “The Son of Man is Lord of the Sabbath.”</w:t>
      </w:r>
    </w:p>
    <w:p>
      <w:pPr>
        <w:pStyle w:val="ListBullet"/>
        <w:spacing w:line="240" w:lineRule="auto"/>
        <w:ind w:left="720"/>
      </w:pPr>
      <w:r>
        <w:rPr>
          <w:lang w:val="en_US" w:bidi="en_US"/>
        </w:rPr>
      </w:r>
      <w:r>
        <w:rPr>
          <w:lang w:val="en_US" w:bidi="en_US"/>
        </w:rPr>
        <w:t>He/Jesus then said to them, “The Son of Man is master/ruler of the Sabbath day.”</w:t>
      </w:r>
    </w:p>
    <w:p>
      <w:pPr>
        <w:pStyle w:val="ListBullet"/>
        <w:spacing w:line="240" w:lineRule="auto"/>
        <w:ind w:left="720"/>
      </w:pPr>
      <w:r>
        <w:rPr>
          <w:lang w:val="en_US" w:bidi="en_US"/>
        </w:rPr>
      </w:r>
      <w:r>
        <w:rPr>
          <w:lang w:val="en_US" w:bidi="en_US"/>
        </w:rPr>
        <w:t>Jesus finished by saying, “</w:t>
      </w:r>
      <w:r>
        <w:rPr>
          <w:lang w:val="en_US" w:bidi="en_US"/>
        </w:rPr>
        <w:t>I,</w:t>
      </w:r>
      <w:r>
        <w:rPr>
          <w:lang w:val="en_US" w:bidi="en_US"/>
        </w:rPr>
        <w:t xml:space="preserve"> the Son of Man, have authority over </w:t>
      </w:r>
      <w:r>
        <w:rPr>
          <w:lang w:val="en_US" w:bidi="en_US"/>
        </w:rPr>
        <w:t>what is right to do on</w:t>
      </w:r>
      <w:r>
        <w:rPr>
          <w:lang w:val="en_US" w:bidi="en_US"/>
        </w:rPr>
        <w:t xml:space="preserve"> the rest day.”</w:t>
      </w:r>
    </w:p>
    <w:p>
      <w:pPr>
        <w:pStyle w:val="ListBullet"/>
        <w:spacing w:line="240" w:lineRule="auto"/>
        <w:ind w:left="720"/>
      </w:pPr>
      <w:r>
        <w:rPr>
          <w:lang w:val="en_US" w:bidi="en_US"/>
        </w:rPr>
      </w:r>
      <w:r>
        <w:rPr>
          <w:lang w:val="en_US" w:bidi="en_US"/>
        </w:rPr>
        <w:t xml:space="preserve">Then Jesus told them that </w:t>
      </w:r>
      <w:r>
        <w:rPr>
          <w:lang w:val="en_US" w:bidi="en_US"/>
        </w:rPr>
        <w:t>he</w:t>
      </w:r>
      <w:r>
        <w:rPr>
          <w:lang w:val="en_US" w:bidi="en_US"/>
        </w:rPr>
        <w:t xml:space="preserve"> the Son of Man has authority over </w:t>
      </w:r>
      <w:r>
        <w:rPr>
          <w:lang w:val="en_US" w:bidi="en_US"/>
        </w:rPr>
        <w:t>what people should and should not do on</w:t>
      </w:r>
      <w:r>
        <w:rPr>
          <w:lang w:val="en_US" w:bidi="en_US"/>
        </w:rPr>
        <w:t xml:space="preserve"> the day for resting.</w:t>
      </w:r>
    </w:p>
    <w:p>
      <w:pPr/>
      <w:r>
        <w:rPr>
          <w:lang w:val="en_US" w:bidi="en_US"/>
        </w:rPr>
      </w:r>
      <w:r>
        <w:rPr>
          <w:b/>
          <w:lang w:val="en_US" w:bidi="en_US"/>
        </w:rPr>
        <w:t>Then Jesus declared:</w:t>
      </w:r>
      <w:r>
        <w:rPr>
          <w:lang w:val="en_US" w:bidi="en_US"/>
        </w:rPr>
        <w:t xml:space="preserve"> In 6:5 Jesus continued to speak, but his speech is introduced by the clause </w:t>
      </w:r>
      <w:r>
        <w:rPr>
          <w:i/>
          <w:lang w:val="en_US" w:bidi="en_US"/>
        </w:rPr>
        <w:t>Then Jesus declared</w:t>
      </w:r>
      <w:r>
        <w:rPr>
          <w:lang w:val="en_US" w:bidi="en_US"/>
        </w:rPr>
        <w:t>. This clause emphasizes Jesus’ conclusion to his story about David.</w:t>
      </w:r>
    </w:p>
    <w:p>
      <w:pPr/>
      <w:r>
        <w:rPr>
          <w:lang w:val="en_US" w:bidi="en_US"/>
        </w:rPr>
      </w:r>
      <w:r>
        <w:rPr>
          <w:lang w:val="en_US" w:bidi="en_US"/>
        </w:rPr>
        <w:t>Use the expression that is used in your language when a teacher announces his conclusion. For example:</w:t>
      </w:r>
    </w:p>
    <w:p>
      <w:pPr/>
      <w:r>
        <w:rPr>
          <w:lang w:val="en_US" w:bidi="en_US"/>
        </w:rPr>
      </w:r>
      <w:r>
        <w:rPr>
          <w:lang w:val="en_US" w:bidi="en_US"/>
        </w:rPr>
        <w:t>Jesus continued/concluded by saying</w:t>
      </w:r>
    </w:p>
    <w:p>
      <w:pPr/>
      <w:r>
        <w:rPr>
          <w:lang w:val="en_US" w:bidi="en_US"/>
        </w:rPr>
      </w:r>
      <w:r>
        <w:rPr>
          <w:lang w:val="en_US" w:bidi="en_US"/>
        </w:rPr>
        <w:t>Jesus finished by saying (CEV)</w:t>
      </w:r>
    </w:p>
    <w:p>
      <w:pPr/>
      <w:r>
        <w:rPr>
          <w:lang w:val="en_US" w:bidi="en_US"/>
        </w:rPr>
      </w:r>
      <w:r>
        <w:rPr>
          <w:b/>
          <w:lang w:val="en_US" w:bidi="en_US"/>
        </w:rPr>
        <w:t>The Son of Man is Lord of the Sabbath:</w:t>
      </w:r>
      <w:r>
        <w:rPr>
          <w:lang w:val="en_US" w:bidi="en_US"/>
        </w:rPr>
        <w:t xml:space="preserve"> The Greek clause that the BSB translates as </w:t>
      </w:r>
      <w:r>
        <w:rPr>
          <w:i/>
          <w:lang w:val="en_US" w:bidi="en_US"/>
        </w:rPr>
        <w:t>The Son of Man is Lord of the Sabbath</w:t>
      </w:r>
      <w:r>
        <w:rPr>
          <w:lang w:val="en_US" w:bidi="en_US"/>
        </w:rPr>
        <w:t xml:space="preserve"> is literally “Lord of Sabbath is the Son of Man.” The word </w:t>
      </w:r>
      <w:r>
        <w:rPr>
          <w:i/>
          <w:lang w:val="en_US" w:bidi="en_US"/>
        </w:rPr>
        <w:t>Lord</w:t>
      </w:r>
      <w:r>
        <w:rPr>
          <w:lang w:val="en_US" w:bidi="en_US"/>
        </w:rPr>
        <w:t xml:space="preserve"> means “master” or “one who has authority,” and it is emphasized in this part of the verse.</w:t>
      </w:r>
    </w:p>
    <w:p>
      <w:pPr/>
      <w:r>
        <w:rPr>
          <w:lang w:val="en_US" w:bidi="en_US"/>
        </w:rPr>
      </w:r>
      <w:r>
        <w:rPr>
          <w:lang w:val="en_US" w:bidi="en_US"/>
        </w:rPr>
        <w:t xml:space="preserve">In this context the word </w:t>
      </w:r>
      <w:r>
        <w:rPr>
          <w:i/>
          <w:lang w:val="en_US" w:bidi="en_US"/>
        </w:rPr>
        <w:t>Lord</w:t>
      </w:r>
      <w:r>
        <w:rPr>
          <w:lang w:val="en_US" w:bidi="en_US"/>
        </w:rPr>
        <w:t xml:space="preserve"> refers to Jesus’ authority over the Sabbath day. Although the Sabbath was given by God, Jesus had authority over it. He had this right because he was the Son of Man, whom God sent. He had the right to decide what people could or could not do on the Sabbath day.</w:t>
      </w:r>
    </w:p>
    <w:p>
      <w:pPr/>
      <w:r>
        <w:rPr>
          <w:lang w:val="en_US" w:bidi="en_US"/>
        </w:rPr>
      </w:r>
      <w:r>
        <w:rPr>
          <w:lang w:val="en_US" w:bidi="en_US"/>
        </w:rPr>
        <w:t>Some other ways to translate this are:</w:t>
      </w:r>
    </w:p>
    <w:p>
      <w:pPr/>
      <w:r>
        <w:rPr>
          <w:lang w:val="en_US" w:bidi="en_US"/>
        </w:rPr>
      </w:r>
      <w:r>
        <w:rPr>
          <w:lang w:val="en_US" w:bidi="en_US"/>
        </w:rPr>
        <w:t>I…am master even of the Sabbath! (NLT96)</w:t>
      </w:r>
    </w:p>
    <w:p>
      <w:pPr/>
      <w:r>
        <w:rPr>
          <w:lang w:val="en_US" w:bidi="en_US"/>
        </w:rPr>
      </w:r>
      <w:r>
        <w:rPr>
          <w:lang w:val="en_US" w:bidi="en_US"/>
        </w:rPr>
        <w:t>I…have authority over the rest day.</w:t>
      </w:r>
    </w:p>
    <w:p>
      <w:pPr/>
      <w:r>
        <w:rPr>
          <w:lang w:val="en_US" w:bidi="en_US"/>
        </w:rPr>
      </w:r>
      <w:r>
        <w:rPr>
          <w:lang w:val="en_US" w:bidi="en_US"/>
        </w:rPr>
        <w:t>I…have the right to decide what a person can do on the day for resting.</w:t>
      </w:r>
    </w:p>
    <w:p>
      <w:pPr/>
      <w:r>
        <w:rPr>
          <w:lang w:val="en_US" w:bidi="en_US"/>
        </w:rPr>
      </w:r>
      <w:r>
        <w:rPr>
          <w:lang w:val="en_US" w:bidi="en_US"/>
        </w:rPr>
        <w:t>I…have the authority to say what people are allowed to do on the rest day.</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literally “the Son of the human/person.” It is a title that Jesus often used to refer to himself. It implies that:</w:t>
      </w:r>
    </w:p>
    <w:p>
      <w:pPr>
        <w:pStyle w:val="ListNumber"/>
        <w:numPr>
          <w:ilvl w:val="0"/>
          <w:numId w:val="137"/>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 Some expressions that translators have used are:</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In some languages, it may be necessary to use a form like “I” or “me” to indicate that Jesus was referring to himself. For example:</w:t>
      </w:r>
    </w:p>
    <w:p>
      <w:pPr/>
      <w:r>
        <w:rPr>
          <w:lang w:val="en_US" w:bidi="en_US"/>
        </w:rPr>
      </w:r>
      <w:r>
        <w:rPr>
          <w:u w:val="single"/>
          <w:lang w:val="en_US" w:bidi="en_US"/>
        </w:rPr>
        <w:t>me</w:t>
      </w:r>
      <w:r>
        <w:rPr>
          <w:lang w:val="en_US" w:bidi="en_US"/>
        </w:rPr>
        <w:t>, the Son of Man</w:t>
      </w:r>
    </w:p>
    <w:p>
      <w:pPr/>
      <w:r>
        <w:rPr>
          <w:lang w:val="en_US" w:bidi="en_US"/>
        </w:rPr>
      </w:r>
      <w:r>
        <w:rPr>
          <w:u w:val="single"/>
          <w:lang w:val="en_US" w:bidi="en_US"/>
        </w:rPr>
        <w:t>I</w:t>
      </w:r>
      <w:r>
        <w:rPr>
          <w:lang w:val="en_US" w:bidi="en_US"/>
        </w:rPr>
        <w:t xml:space="preserve"> who became man/human</w:t>
      </w:r>
    </w:p>
    <w:p>
      <w:pPr/>
      <w:r>
        <w:rPr>
          <w:lang w:val="en_US" w:bidi="en_US"/>
        </w:rPr>
      </w:r>
      <w:r>
        <w:rPr>
          <w:lang w:val="en_US" w:bidi="en_US"/>
        </w:rPr>
        <w:t xml:space="preserve">This term first occurs in Luke at 5:24a. Translate it the same way in both places. See also the </w:t>
      </w:r>
      <w:r>
        <w:rPr>
          <w:u w:val="single"/>
          <w:lang w:val="en_US" w:bidi="en_US"/>
        </w:rPr>
        <w:t>Son of Man</w:t>
      </w:r>
      <w:r>
        <w:rPr>
          <w:lang w:val="en_US" w:bidi="en_US"/>
        </w:rPr>
        <w:t xml:space="preserve"> in KBT.</w:t>
      </w:r>
    </w:p>
    <w:p>
      <w:pPr/>
      <w:r>
        <w:rPr>
          <w:lang w:val="en_US" w:bidi="en_US"/>
        </w:rPr>
      </w:r>
      <w:r>
        <w:rPr>
          <w:b/>
          <w:lang w:val="en_US" w:bidi="en_US"/>
        </w:rPr>
        <w:t>Sabbath:</w:t>
      </w:r>
      <w:r>
        <w:rPr>
          <w:lang w:val="en_US" w:bidi="en_US"/>
        </w:rPr>
        <w:t xml:space="preserve"> See the note on </w:t>
      </w:r>
      <w:r>
        <w:rPr>
          <w:i/>
          <w:lang w:val="en_US" w:bidi="en_US"/>
        </w:rPr>
        <w:t>Sabbath</w:t>
      </w:r>
      <w:r>
        <w:rPr>
          <w:lang w:val="en_US" w:bidi="en_US"/>
        </w:rPr>
        <w:t xml:space="preserve"> at 6:1a for advice on translating the word Sabbath.</w:t>
      </w:r>
      <w:r>
        <w:rPr>
          <w:lang w:val="en_US" w:bidi="en_US"/>
        </w:rPr>
      </w:r>
      <w:r>
        <w:rPr>
          <w:lang w:val="en_US" w:bidi="en_US"/>
        </w:rPr>
      </w:r>
    </w:p>
    <w:p>
      <w:pPr/>
      <w:r>
        <w:rPr>
          <w:lang w:val="en_US" w:bidi="en_US"/>
        </w:rPr>
      </w:r>
    </w:p>
    <w:p>
      <w:pPr>
        <w:pStyle w:val="Heading2"/>
      </w:pPr>
      <w:r>
        <w:rPr>
          <w:lang w:val="en_US" w:bidi="en_US"/>
        </w:rPr>
        <w:t>Luke 6:6</w:t>
      </w:r>
      <w:r>
        <w:rPr>
          <w:lang w:val="en_US" w:bidi="en_US"/>
        </w:rPr>
      </w:r>
    </w:p>
    <w:p>
      <w:pPr>
        <w:pStyle w:val="Heading4"/>
      </w:pPr>
      <w:r>
        <w:rPr>
          <w:lang w:val="en_US" w:bidi="en_US"/>
        </w:rPr>
        <w:t>Section 6:1–11: Jesus taught that he was Lord of the Sabbath</w:t>
      </w:r>
    </w:p>
    <w:p>
      <w:pPr/>
      <w:r>
        <w:rPr>
          <w:lang w:val="en_US" w:bidi="en_US"/>
        </w:rPr>
      </w:r>
      <w:r>
        <w:rPr>
          <w:lang w:val="en_US" w:bidi="en_US"/>
        </w:rP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pPr/>
      <w:r>
        <w:rPr>
          <w:lang w:val="en_US" w:bidi="en_US"/>
        </w:rPr>
      </w:r>
      <w:r>
        <w:rPr>
          <w:lang w:val="en_US" w:bidi="en_US"/>
        </w:rP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pPr/>
      <w:r>
        <w:rPr>
          <w:lang w:val="en_US" w:bidi="en_US"/>
        </w:rPr>
      </w:r>
      <w:r>
        <w:rPr>
          <w:lang w:val="en_US" w:bidi="en_US"/>
        </w:rPr>
        <w:t>Some other possible headings for this section are:</w:t>
      </w:r>
    </w:p>
    <w:p>
      <w:pPr/>
      <w:r>
        <w:rPr>
          <w:lang w:val="en_US" w:bidi="en_US"/>
        </w:rPr>
      </w:r>
      <w:r>
        <w:rPr>
          <w:lang w:val="en_US" w:bidi="en_US"/>
        </w:rPr>
        <w:t>The Pharisees and Jesus disagreed about Sabbath-day laws</w:t>
      </w:r>
    </w:p>
    <w:p>
      <w:pPr/>
      <w:r>
        <w:rPr>
          <w:lang w:val="en_US" w:bidi="en_US"/>
        </w:rPr>
      </w:r>
      <w:r>
        <w:rPr>
          <w:lang w:val="en_US" w:bidi="en_US"/>
        </w:rPr>
        <w:t>Jesus showed/taught the true meaning/use of the Sabbath day</w:t>
      </w:r>
    </w:p>
    <w:p>
      <w:pPr/>
      <w:r>
        <w:rPr>
          <w:lang w:val="en_US" w:bidi="en_US"/>
        </w:rPr>
      </w:r>
      <w:r>
        <w:rPr>
          <w:lang w:val="en_US" w:bidi="en_US"/>
        </w:rPr>
        <w:t>A Discussion about the Sabbath (NLT)</w:t>
      </w:r>
    </w:p>
    <w:p>
      <w:pPr/>
      <w:r>
        <w:rPr>
          <w:lang w:val="en_US" w:bidi="en_US"/>
        </w:rPr>
      </w:r>
      <w:r>
        <w:rPr>
          <w:lang w:val="en_US" w:bidi="en_US"/>
        </w:rPr>
        <w:t>There are parallel passages in Matthew 12:1–14 and Mark 2:23–3:6.</w:t>
      </w:r>
    </w:p>
    <w:p>
      <w:pPr>
        <w:pStyle w:val="Heading4"/>
      </w:pPr>
      <w:r>
        <w:rPr>
          <w:lang w:val="en_US" w:bidi="en_US"/>
        </w:rPr>
        <w:t>Paragraph 6:6–11</w:t>
      </w:r>
    </w:p>
    <w:p>
      <w:pPr/>
      <w:r>
        <w:rPr>
          <w:lang w:val="en_US" w:bidi="en_US"/>
        </w:rPr>
      </w:r>
      <w:r>
        <w:rPr>
          <w:lang w:val="en_US" w:bidi="en_US"/>
        </w:rPr>
        <w:t>In this paragraph, Jesus demonstrated his authority over the Sabbath. He had just stated in 6:5 that he had the authority to decide what people could or could not do on the Sabbath day. When he healed the man with the shriveled hand, he confirmed that authority.</w:t>
      </w:r>
    </w:p>
    <w:p>
      <w:pPr/>
      <w:r>
        <w:rPr>
          <w:lang w:val="en_US" w:bidi="en_US"/>
        </w:rPr>
      </w:r>
      <w:r>
        <w:rPr>
          <w:lang w:val="en_US" w:bidi="en_US"/>
        </w:rPr>
        <w:t>The Pharisees’ laws about the Sabbath day stated that it was work to heal a person whose life was not in danger on the Sabbath. So when Jesus healed a man on the Sabbath day, the Pharisees found a reason to accuse him.</w:t>
      </w:r>
    </w:p>
    <w:p>
      <w:pPr>
        <w:pStyle w:val="Heading5"/>
      </w:pPr>
      <w:r>
        <w:rPr>
          <w:lang w:val="en_US" w:bidi="en_US"/>
        </w:rPr>
        <w:t>6:6a</w:t>
      </w:r>
    </w:p>
    <w:p>
      <w:pPr/>
      <w:r>
        <w:rPr>
          <w:lang w:val="en_US" w:bidi="en_US"/>
        </w:rPr>
      </w:r>
      <w:r>
        <w:rPr>
          <w:b/>
          <w:lang w:val="en_US" w:bidi="en_US"/>
        </w:rPr>
        <w:t>On another Sabbath Jesus entered the synagogue and was teaching,</w:t>
      </w:r>
    </w:p>
    <w:p>
      <w:pPr>
        <w:pStyle w:val="ListBullet"/>
        <w:spacing w:line="240" w:lineRule="auto"/>
        <w:ind w:left="720"/>
      </w:pPr>
      <w:r>
        <w:rPr>
          <w:lang w:val="en_US" w:bidi="en_US"/>
        </w:rPr>
      </w:r>
      <w:r>
        <w:rPr>
          <w:lang w:val="en_US" w:bidi="en_US"/>
        </w:rPr>
        <w:t xml:space="preserve">¶ Another Sabbath day, Jesus went into a synagogue building and was teaching </w:t>
      </w:r>
      <w:r>
        <w:rPr>
          <w:lang w:val="en_US" w:bidi="en_US"/>
        </w:rPr>
        <w:t>there</w:t>
      </w:r>
      <w:r>
        <w:rPr>
          <w:lang w:val="en_US" w:bidi="en_US"/>
        </w:rPr>
        <w:t>.</w:t>
      </w:r>
    </w:p>
    <w:p>
      <w:pPr>
        <w:pStyle w:val="ListBullet"/>
        <w:spacing w:line="240" w:lineRule="auto"/>
        <w:ind w:left="720"/>
      </w:pPr>
      <w:r>
        <w:rPr>
          <w:lang w:val="en_US" w:bidi="en_US"/>
        </w:rPr>
      </w:r>
      <w:r>
        <w:rPr>
          <w:lang w:val="en_US" w:bidi="en_US"/>
        </w:rPr>
        <w:t>¶ On another rest day, Jesus went into a Jewish meeting place to teach.</w:t>
      </w:r>
    </w:p>
    <w:p>
      <w:pPr/>
      <w:r>
        <w:rPr>
          <w:lang w:val="en_US" w:bidi="en_US"/>
        </w:rPr>
      </w:r>
      <w:r>
        <w:rPr>
          <w:b/>
          <w:lang w:val="en_US" w:bidi="en_US"/>
        </w:rPr>
        <w:t>On another Sabbath:</w:t>
      </w:r>
      <w:r>
        <w:rPr>
          <w:lang w:val="en_US" w:bidi="en_US"/>
        </w:rPr>
        <w:t xml:space="preserve"> The Greek phrase that the BSB translates as </w:t>
      </w:r>
      <w:r>
        <w:rPr>
          <w:i/>
          <w:lang w:val="en_US" w:bidi="en_US"/>
        </w:rPr>
        <w:t>On another Sabbath</w:t>
      </w:r>
      <w:r>
        <w:rPr>
          <w:lang w:val="en_US" w:bidi="en_US"/>
        </w:rPr>
        <w:t xml:space="preserve"> is literally “and it happened on another Sabbath.” This phrase introduces a new story. This new story occurred on another Sabbath day. It may have been the next Sabbath day or several Sabbath days later. The exact time in relation to the previous Sabbath day story is not in focus. The important information is that this story happened on a Sabbath day.</w:t>
      </w:r>
    </w:p>
    <w:p>
      <w:pPr/>
      <w:r>
        <w:rPr>
          <w:lang w:val="en_US" w:bidi="en_US"/>
        </w:rPr>
      </w:r>
      <w:r>
        <w:rPr>
          <w:lang w:val="en_US" w:bidi="en_US"/>
        </w:rPr>
        <w:t>Some other ways to translate this are:</w:t>
      </w:r>
    </w:p>
    <w:p>
      <w:pPr/>
      <w:r>
        <w:rPr>
          <w:lang w:val="en_US" w:bidi="en_US"/>
        </w:rPr>
      </w:r>
      <w:r>
        <w:rPr>
          <w:lang w:val="en_US" w:bidi="en_US"/>
        </w:rPr>
        <w:t>One other Sabbath day</w:t>
      </w:r>
    </w:p>
    <w:p>
      <w:pPr/>
      <w:r>
        <w:rPr>
          <w:lang w:val="en_US" w:bidi="en_US"/>
        </w:rPr>
      </w:r>
      <w:r>
        <w:rPr>
          <w:lang w:val="en_US" w:bidi="en_US"/>
        </w:rPr>
        <w:t>On another day of worship (GW)</w:t>
      </w:r>
    </w:p>
    <w:p>
      <w:pPr/>
      <w:r>
        <w:rPr>
          <w:lang w:val="en_US" w:bidi="en_US"/>
        </w:rPr>
      </w:r>
      <w:r>
        <w:rPr>
          <w:lang w:val="en_US" w:bidi="en_US"/>
        </w:rPr>
        <w:t>Once also on the worship day</w:t>
      </w:r>
    </w:p>
    <w:p>
      <w:pPr/>
      <w:r>
        <w:rPr>
          <w:lang w:val="en_US" w:bidi="en_US"/>
        </w:rPr>
      </w:r>
      <w:r>
        <w:rPr>
          <w:lang w:val="en_US" w:bidi="en_US"/>
        </w:rPr>
        <w:t xml:space="preserve">For </w:t>
      </w:r>
      <w:r>
        <w:rPr>
          <w:i/>
          <w:lang w:val="en_US" w:bidi="en_US"/>
        </w:rPr>
        <w:t>Sabbath</w:t>
      </w:r>
      <w:r>
        <w:rPr>
          <w:lang w:val="en_US" w:bidi="en_US"/>
        </w:rPr>
        <w:t xml:space="preserve">, see the note on </w:t>
      </w:r>
      <w:r>
        <w:rPr>
          <w:i/>
          <w:lang w:val="en_US" w:bidi="en_US"/>
        </w:rPr>
        <w:t>Sabbath</w:t>
      </w:r>
      <w:r>
        <w:rPr>
          <w:lang w:val="en_US" w:bidi="en_US"/>
        </w:rPr>
        <w:t xml:space="preserve"> at 6:1a.</w:t>
      </w:r>
    </w:p>
    <w:p>
      <w:pPr/>
      <w:r>
        <w:rPr>
          <w:lang w:val="en_US" w:bidi="en_US"/>
        </w:rPr>
      </w:r>
      <w:r>
        <w:rPr>
          <w:b/>
          <w:lang w:val="en_US" w:bidi="en_US"/>
        </w:rPr>
        <w:t>Jesus entered the synagogue:</w:t>
      </w:r>
      <w:r>
        <w:rPr>
          <w:lang w:val="en_US" w:bidi="en_US"/>
        </w:rPr>
        <w:t xml:space="preserve"> The clause </w:t>
      </w:r>
      <w:r>
        <w:rPr>
          <w:i/>
          <w:lang w:val="en_US" w:bidi="en_US"/>
        </w:rPr>
        <w:t>Jesus entered the synagogue</w:t>
      </w:r>
      <w:r>
        <w:rPr>
          <w:lang w:val="en_US" w:bidi="en_US"/>
        </w:rPr>
        <w:t xml:space="preserve"> tells where this story occurred. It occurred in the synagogue of some town. The pronoun </w:t>
      </w:r>
      <w:r>
        <w:rPr>
          <w:i/>
          <w:lang w:val="en_US" w:bidi="en_US"/>
        </w:rPr>
        <w:t>he</w:t>
      </w:r>
      <w:r>
        <w:rPr>
          <w:lang w:val="en_US" w:bidi="en_US"/>
        </w:rPr>
        <w:t xml:space="preserve"> refers to Jesus. Make the subject explicit if it is necessary in your language. For example:</w:t>
      </w:r>
    </w:p>
    <w:p>
      <w:pPr/>
      <w:r>
        <w:rPr>
          <w:lang w:val="en_US" w:bidi="en_US"/>
        </w:rPr>
      </w:r>
      <w:r>
        <w:rPr>
          <w:lang w:val="en_US" w:bidi="en_US"/>
        </w:rPr>
        <w:t>Jesus went into a synagogue (GNT)</w:t>
      </w:r>
    </w:p>
    <w:p>
      <w:pPr/>
      <w:r>
        <w:rPr>
          <w:lang w:val="en_US" w:bidi="en_US"/>
        </w:rPr>
      </w:r>
      <w:r>
        <w:rPr>
          <w:lang w:val="en_US" w:bidi="en_US"/>
        </w:rPr>
        <w:t xml:space="preserve">he went into the synagogue </w:t>
      </w:r>
      <w:r>
        <w:rPr>
          <w:lang w:val="en_US" w:bidi="en_US"/>
        </w:rPr>
        <w:t>of a certain town</w:t>
      </w:r>
    </w:p>
    <w:p>
      <w:pPr/>
      <w:r>
        <w:rPr>
          <w:lang w:val="en_US" w:bidi="en_US"/>
        </w:rPr>
      </w:r>
      <w:r>
        <w:rPr>
          <w:b/>
          <w:lang w:val="en_US" w:bidi="en_US"/>
        </w:rPr>
        <w:t>synagogue:</w:t>
      </w:r>
      <w:r>
        <w:rPr>
          <w:lang w:val="en_US" w:bidi="en_US"/>
        </w:rPr>
        <w:t xml:space="preserve"> A </w:t>
      </w:r>
      <w:r>
        <w:rPr>
          <w:i/>
          <w:lang w:val="en_US" w:bidi="en_US"/>
        </w:rPr>
        <w:t>synagogue</w:t>
      </w:r>
      <w:r>
        <w:rPr>
          <w:lang w:val="en_US" w:bidi="en_US"/>
        </w:rPr>
        <w:t xml:space="preserve"> was a building where Jews gathered to pray, read Scripture, teach their beliefs, and worship. The Jews also gathered there for cultural activities. There was only one temple (in Jerusalem), but each Jewish community had a synagogue. The text does not say where this particular synagogue was.</w:t>
      </w:r>
    </w:p>
    <w:p>
      <w:pPr/>
      <w:r>
        <w:rPr>
          <w:lang w:val="en_US" w:bidi="en_US"/>
        </w:rPr>
      </w:r>
      <w:r>
        <w:rPr>
          <w:lang w:val="en_US" w:bidi="en_US"/>
        </w:rPr>
        <w:t xml:space="preserve">Some ways to translate </w:t>
      </w:r>
      <w:r>
        <w:rPr>
          <w:i/>
          <w:lang w:val="en_US" w:bidi="en_US"/>
        </w:rPr>
        <w:t>synagogue</w:t>
      </w:r>
      <w:r>
        <w:rPr>
          <w:lang w:val="en_US" w:bidi="en_US"/>
        </w:rPr>
        <w:t xml:space="preserve"> are:</w:t>
      </w:r>
    </w:p>
    <w:p>
      <w:pPr/>
      <w:r>
        <w:rPr>
          <w:lang w:val="en_US" w:bidi="en_US"/>
        </w:rPr>
      </w:r>
      <w:r>
        <w:rPr>
          <w:lang w:val="en_US" w:bidi="en_US"/>
        </w:rPr>
        <w:t xml:space="preserve">prayer-house </w:t>
      </w:r>
      <w:r>
        <w:rPr>
          <w:lang w:val="en_US" w:bidi="en_US"/>
        </w:rPr>
        <w:t>of the Jews</w:t>
      </w:r>
    </w:p>
    <w:p>
      <w:pPr/>
      <w:r>
        <w:rPr>
          <w:lang w:val="en_US" w:bidi="en_US"/>
        </w:rPr>
      </w:r>
      <w:r>
        <w:rPr>
          <w:lang w:val="en_US" w:bidi="en_US"/>
        </w:rPr>
        <w:t xml:space="preserve">meeting-place </w:t>
      </w:r>
      <w:r>
        <w:rPr>
          <w:lang w:val="en_US" w:bidi="en_US"/>
        </w:rPr>
        <w:t>of the Jews</w:t>
      </w:r>
    </w:p>
    <w:p>
      <w:pPr/>
      <w:r>
        <w:rPr>
          <w:lang w:val="en_US" w:bidi="en_US"/>
        </w:rPr>
      </w:r>
      <w:r>
        <w:rPr>
          <w:lang w:val="en_US" w:bidi="en_US"/>
        </w:rPr>
        <w:t>worship building</w:t>
      </w:r>
    </w:p>
    <w:p>
      <w:pPr/>
      <w:r>
        <w:rPr>
          <w:lang w:val="en_US" w:bidi="en_US"/>
        </w:rPr>
      </w:r>
      <w:r>
        <w:rPr>
          <w:lang w:val="en_US" w:bidi="en_US"/>
        </w:rPr>
        <w:t>house for gathering together</w:t>
      </w:r>
    </w:p>
    <w:p>
      <w:pPr/>
      <w:r>
        <w:rPr>
          <w:lang w:val="en_US" w:bidi="en_US"/>
        </w:rPr>
      </w:r>
      <w:r>
        <w:rPr>
          <w:lang w:val="en_US" w:bidi="en_US"/>
        </w:rPr>
        <w:t>If you make the meaning explicit with a phrase such as “of the Jews,” be sure that it does not imply that Jesus was not a Jew.</w:t>
      </w:r>
    </w:p>
    <w:p>
      <w:pPr/>
      <w:r>
        <w:rPr>
          <w:lang w:val="en_US" w:bidi="en_US"/>
        </w:rPr>
      </w:r>
      <w:r>
        <w:rPr>
          <w:lang w:val="en_US" w:bidi="en_US"/>
        </w:rPr>
        <w:t xml:space="preserve">If the word </w:t>
      </w:r>
      <w:r>
        <w:rPr>
          <w:i/>
          <w:lang w:val="en_US" w:bidi="en_US"/>
        </w:rPr>
        <w:t>synagogue</w:t>
      </w:r>
      <w:r>
        <w:rPr>
          <w:lang w:val="en_US" w:bidi="en_US"/>
        </w:rPr>
        <w:t xml:space="preserve"> is already known in your area, you may write it according to the sounds of your language. You may want to include a word or phrase to explain the meaning. For example:</w:t>
      </w:r>
    </w:p>
    <w:p>
      <w:pPr/>
      <w:r>
        <w:rPr>
          <w:lang w:val="en_US" w:bidi="en_US"/>
        </w:rPr>
      </w:r>
      <w:r>
        <w:rPr>
          <w:lang w:val="en_US" w:bidi="en_US"/>
        </w:rPr>
        <w:t>the synagogue house/building</w:t>
      </w:r>
    </w:p>
    <w:p>
      <w:pPr/>
      <w:r>
        <w:rPr>
          <w:lang w:val="en_US" w:bidi="en_US"/>
        </w:rPr>
      </w:r>
      <w:r>
        <w:rPr>
          <w:lang w:val="en_US" w:bidi="en_US"/>
        </w:rPr>
        <w:t xml:space="preserve">See how you translated </w:t>
      </w:r>
      <w:r>
        <w:rPr>
          <w:i/>
          <w:lang w:val="en_US" w:bidi="en_US"/>
        </w:rPr>
        <w:t>synagogue</w:t>
      </w:r>
      <w:r>
        <w:rPr>
          <w:lang w:val="en_US" w:bidi="en_US"/>
        </w:rPr>
        <w:t xml:space="preserve"> in 4:15a. See also synagogue in the Glossary.</w:t>
      </w:r>
    </w:p>
    <w:p>
      <w:pPr/>
      <w:r>
        <w:rPr>
          <w:lang w:val="en_US" w:bidi="en_US"/>
        </w:rPr>
      </w:r>
      <w:r>
        <w:rPr>
          <w:b/>
          <w:lang w:val="en_US" w:bidi="en_US"/>
        </w:rPr>
        <w:t>and was teaching:</w:t>
      </w:r>
      <w:r>
        <w:rPr>
          <w:lang w:val="en_US" w:bidi="en_US"/>
        </w:rPr>
        <w:t xml:space="preserve"> Jesus was teaching people things about God and the Scriptures. In some languages it may be necessary with a verb such as </w:t>
      </w:r>
      <w:r>
        <w:rPr>
          <w:i/>
          <w:lang w:val="en_US" w:bidi="en_US"/>
        </w:rPr>
        <w:t>teaching</w:t>
      </w:r>
      <w:r>
        <w:rPr>
          <w:lang w:val="en_US" w:bidi="en_US"/>
        </w:rPr>
        <w:t xml:space="preserve"> to indicate whom Jesus taught and what he taught. The context indicates that Jesus taught them about religious law. You may need to supply some implied information here. For example:</w:t>
      </w:r>
    </w:p>
    <w:p>
      <w:pPr/>
      <w:r>
        <w:rPr>
          <w:lang w:val="en_US" w:bidi="en_US"/>
        </w:rPr>
      </w:r>
      <w:r>
        <w:rPr>
          <w:lang w:val="en_US" w:bidi="en_US"/>
        </w:rPr>
        <w:t xml:space="preserve">and was teaching </w:t>
      </w:r>
      <w:r>
        <w:rPr>
          <w:lang w:val="en_US" w:bidi="en_US"/>
        </w:rPr>
        <w:t>people</w:t>
      </w:r>
      <w:r>
        <w:rPr>
          <w:lang w:val="en_US" w:bidi="en_US"/>
        </w:rPr>
        <w:t xml:space="preserve"> </w:t>
      </w:r>
      <w:r>
        <w:rPr>
          <w:lang w:val="en_US" w:bidi="en_US"/>
        </w:rPr>
        <w:t>things about God’s law</w:t>
      </w:r>
    </w:p>
    <w:p>
      <w:pPr>
        <w:pStyle w:val="Heading5"/>
      </w:pPr>
      <w:r>
        <w:rPr>
          <w:lang w:val="en_US" w:bidi="en_US"/>
        </w:rPr>
        <w:t>6:6b</w:t>
      </w:r>
    </w:p>
    <w:p>
      <w:pPr/>
      <w:r>
        <w:rPr>
          <w:lang w:val="en_US" w:bidi="en_US"/>
        </w:rPr>
      </w:r>
      <w:r>
        <w:rPr>
          <w:b/>
          <w:lang w:val="en_US" w:bidi="en_US"/>
        </w:rPr>
        <w:t>and a man was there whose right hand was withered.</w:t>
      </w:r>
    </w:p>
    <w:p>
      <w:pPr>
        <w:pStyle w:val="ListBullet"/>
        <w:spacing w:line="240" w:lineRule="auto"/>
        <w:ind w:left="720"/>
      </w:pPr>
      <w:r>
        <w:rPr>
          <w:lang w:val="en_US" w:bidi="en_US"/>
        </w:rPr>
      </w:r>
      <w:r>
        <w:rPr>
          <w:lang w:val="en_US" w:bidi="en_US"/>
        </w:rPr>
        <w:t>A certain man was there. His right hand/arm was crippled.</w:t>
      </w:r>
    </w:p>
    <w:p>
      <w:pPr>
        <w:pStyle w:val="ListBullet"/>
        <w:spacing w:line="240" w:lineRule="auto"/>
        <w:ind w:left="720"/>
      </w:pPr>
      <w:r>
        <w:rPr>
          <w:lang w:val="en_US" w:bidi="en_US"/>
        </w:rPr>
      </w:r>
      <w:r>
        <w:rPr>
          <w:lang w:val="en_US" w:bidi="en_US"/>
        </w:rPr>
        <w:t>A man whose right hand was withered was in that meeting place.</w:t>
      </w:r>
    </w:p>
    <w:p>
      <w:pPr>
        <w:pStyle w:val="ListBullet"/>
        <w:spacing w:line="240" w:lineRule="auto"/>
        <w:ind w:left="720"/>
      </w:pPr>
      <w:r>
        <w:rPr>
          <w:lang w:val="en_US" w:bidi="en_US"/>
        </w:rPr>
      </w:r>
      <w:r>
        <w:rPr>
          <w:lang w:val="en_US" w:bidi="en_US"/>
        </w:rPr>
        <w:t>In the congregation/assembly</w:t>
      </w:r>
      <w:r>
        <w:rPr>
          <w:lang w:val="en_US" w:bidi="en_US"/>
        </w:rPr>
        <w:t xml:space="preserve"> there was a man with a paralyzed right hand.</w:t>
      </w:r>
    </w:p>
    <w:p>
      <w:pPr/>
      <w:r>
        <w:rPr>
          <w:lang w:val="en_US" w:bidi="en_US"/>
        </w:rPr>
      </w:r>
      <w:r>
        <w:rPr>
          <w:b/>
          <w:lang w:val="en_US" w:bidi="en_US"/>
        </w:rPr>
        <w:t>and a man was there whose right hand was withered:</w:t>
      </w:r>
      <w:r>
        <w:rPr>
          <w:lang w:val="en_US" w:bidi="en_US"/>
        </w:rPr>
        <w:t xml:space="preserve"> This part of the verse introduces a person who will be important in the story. It also tells information about him. Introduce this person in a way that is natural in your language. For example:</w:t>
      </w:r>
    </w:p>
    <w:p>
      <w:pPr/>
      <w:r>
        <w:rPr>
          <w:lang w:val="en_US" w:bidi="en_US"/>
        </w:rPr>
      </w:r>
      <w:r>
        <w:rPr>
          <w:lang w:val="en_US" w:bidi="en_US"/>
        </w:rPr>
        <w:t>There was a man in that synagogue whose right hand was withered.</w:t>
      </w:r>
    </w:p>
    <w:p>
      <w:pPr/>
      <w:r>
        <w:rPr>
          <w:lang w:val="en_US" w:bidi="en_US"/>
        </w:rPr>
      </w:r>
      <w:r>
        <w:rPr>
          <w:lang w:val="en_US" w:bidi="en_US"/>
        </w:rPr>
        <w:t>A man whose right hand was paralyzed was there. (GW)</w:t>
      </w:r>
    </w:p>
    <w:p>
      <w:pPr/>
      <w:r>
        <w:rPr>
          <w:lang w:val="en_US" w:bidi="en_US"/>
        </w:rPr>
      </w:r>
      <w:r>
        <w:rPr>
          <w:b/>
          <w:lang w:val="en_US" w:bidi="en_US"/>
        </w:rPr>
        <w:t>hand:</w:t>
      </w:r>
      <w:r>
        <w:rPr>
          <w:lang w:val="en_US" w:bidi="en_US"/>
        </w:rPr>
        <w:t xml:space="preserve"> The Greek word that the BSB translates as </w:t>
      </w:r>
      <w:r>
        <w:rPr>
          <w:i/>
          <w:lang w:val="en_US" w:bidi="en_US"/>
        </w:rPr>
        <w:t>hand</w:t>
      </w:r>
      <w:r>
        <w:rPr>
          <w:lang w:val="en_US" w:bidi="en_US"/>
        </w:rPr>
        <w:t xml:space="preserve"> includes the fingers, palm, wrist, and forearm. The Greek text does not specify how much of the man’s hand was paralyzed. Probably the whole area from the fingers to the elbow was included.</w:t>
      </w:r>
    </w:p>
    <w:p>
      <w:pPr/>
      <w:r>
        <w:rPr>
          <w:lang w:val="en_US" w:bidi="en_US"/>
        </w:rPr>
      </w:r>
      <w:r>
        <w:rPr>
          <w:lang w:val="en_US" w:bidi="en_US"/>
        </w:rPr>
        <w:t>Each language divides the body differently. If you have a term that includes the area from the elbow to the fingers, you could use that term here. Otherwise, you can use a general term for the hand and arm.</w:t>
      </w:r>
    </w:p>
    <w:p>
      <w:pPr/>
      <w:r>
        <w:rPr>
          <w:lang w:val="en_US" w:bidi="en_US"/>
        </w:rPr>
      </w:r>
      <w:r>
        <w:rPr>
          <w:b/>
          <w:lang w:val="en_US" w:bidi="en_US"/>
        </w:rPr>
        <w:t>withered:</w:t>
      </w:r>
      <w:r>
        <w:rPr>
          <w:lang w:val="en_US" w:bidi="en_US"/>
        </w:rPr>
        <w:t xml:space="preserve"> The Greek word that the BSB translates as </w:t>
      </w:r>
      <w:r>
        <w:rPr>
          <w:i/>
          <w:lang w:val="en_US" w:bidi="en_US"/>
        </w:rPr>
        <w:t>withered</w:t>
      </w:r>
      <w:r>
        <w:rPr>
          <w:lang w:val="en_US" w:bidi="en_US"/>
        </w:rPr>
        <w:t xml:space="preserve"> means “dry” or “without moisture.” When the word was used to refer to parts of the body, it implied that that part of the body was “lifeless” or “paralyzed.” This man could not move or use his right hand or arm. Some languages would say that this man’s hand was “dead” or “dried.”</w:t>
      </w:r>
    </w:p>
    <w:p>
      <w:pPr/>
      <w:r>
        <w:rPr>
          <w:lang w:val="en_US" w:bidi="en_US"/>
        </w:rPr>
      </w:r>
      <w:r>
        <w:rPr>
          <w:lang w:val="en_US" w:bidi="en_US"/>
        </w:rPr>
        <w:t>Some other ways to translate this are:</w:t>
      </w:r>
    </w:p>
    <w:p>
      <w:pPr/>
      <w:r>
        <w:rPr>
          <w:lang w:val="en_US" w:bidi="en_US"/>
        </w:rPr>
      </w:r>
      <w:r>
        <w:rPr>
          <w:lang w:val="en_US" w:bidi="en_US"/>
        </w:rPr>
        <w:t>a deformed right hand (NLT)</w:t>
      </w:r>
    </w:p>
    <w:p>
      <w:pPr/>
      <w:r>
        <w:rPr>
          <w:lang w:val="en_US" w:bidi="en_US"/>
        </w:rPr>
      </w:r>
      <w:r>
        <w:rPr>
          <w:lang w:val="en_US" w:bidi="en_US"/>
        </w:rPr>
        <w:t>crippled right hand (CEV)</w:t>
      </w:r>
      <w:r>
        <w:rPr>
          <w:lang w:val="en_US" w:bidi="en_US"/>
        </w:rPr>
      </w:r>
      <w:r>
        <w:rPr>
          <w:lang w:val="en_US" w:bidi="en_US"/>
        </w:rPr>
      </w:r>
    </w:p>
    <w:p>
      <w:pPr/>
      <w:r>
        <w:rPr>
          <w:lang w:val="en_US" w:bidi="en_US"/>
        </w:rPr>
      </w:r>
    </w:p>
    <w:p>
      <w:pPr>
        <w:pStyle w:val="Heading2"/>
      </w:pPr>
      <w:r>
        <w:rPr>
          <w:lang w:val="en_US" w:bidi="en_US"/>
        </w:rPr>
        <w:t>Luke 6:7</w:t>
      </w:r>
      <w:r>
        <w:rPr>
          <w:lang w:val="en_US" w:bidi="en_US"/>
        </w:rPr>
      </w:r>
    </w:p>
    <w:p>
      <w:pPr>
        <w:pStyle w:val="Heading4"/>
      </w:pPr>
      <w:r>
        <w:rPr>
          <w:lang w:val="en_US" w:bidi="en_US"/>
        </w:rPr>
        <w:t>Section 6:1–11: Jesus taught that he was Lord of the Sabbath</w:t>
      </w:r>
    </w:p>
    <w:p>
      <w:pPr/>
      <w:r>
        <w:rPr>
          <w:lang w:val="en_US" w:bidi="en_US"/>
        </w:rPr>
      </w:r>
      <w:r>
        <w:rPr>
          <w:lang w:val="en_US" w:bidi="en_US"/>
        </w:rP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pPr/>
      <w:r>
        <w:rPr>
          <w:lang w:val="en_US" w:bidi="en_US"/>
        </w:rPr>
      </w:r>
      <w:r>
        <w:rPr>
          <w:lang w:val="en_US" w:bidi="en_US"/>
        </w:rP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pPr/>
      <w:r>
        <w:rPr>
          <w:lang w:val="en_US" w:bidi="en_US"/>
        </w:rPr>
      </w:r>
      <w:r>
        <w:rPr>
          <w:lang w:val="en_US" w:bidi="en_US"/>
        </w:rPr>
        <w:t>Some other possible headings for this section are:</w:t>
      </w:r>
    </w:p>
    <w:p>
      <w:pPr/>
      <w:r>
        <w:rPr>
          <w:lang w:val="en_US" w:bidi="en_US"/>
        </w:rPr>
      </w:r>
      <w:r>
        <w:rPr>
          <w:lang w:val="en_US" w:bidi="en_US"/>
        </w:rPr>
        <w:t>The Pharisees and Jesus disagreed about Sabbath-day laws</w:t>
      </w:r>
    </w:p>
    <w:p>
      <w:pPr/>
      <w:r>
        <w:rPr>
          <w:lang w:val="en_US" w:bidi="en_US"/>
        </w:rPr>
      </w:r>
      <w:r>
        <w:rPr>
          <w:lang w:val="en_US" w:bidi="en_US"/>
        </w:rPr>
        <w:t>Jesus showed/taught the true meaning/use of the Sabbath day</w:t>
      </w:r>
    </w:p>
    <w:p>
      <w:pPr/>
      <w:r>
        <w:rPr>
          <w:lang w:val="en_US" w:bidi="en_US"/>
        </w:rPr>
      </w:r>
      <w:r>
        <w:rPr>
          <w:lang w:val="en_US" w:bidi="en_US"/>
        </w:rPr>
        <w:t>A Discussion about the Sabbath (NLT)</w:t>
      </w:r>
    </w:p>
    <w:p>
      <w:pPr/>
      <w:r>
        <w:rPr>
          <w:lang w:val="en_US" w:bidi="en_US"/>
        </w:rPr>
      </w:r>
      <w:r>
        <w:rPr>
          <w:lang w:val="en_US" w:bidi="en_US"/>
        </w:rPr>
        <w:t>There are parallel passages in Matthew 12:1–14 and Mark 2:23–3:6.</w:t>
      </w:r>
    </w:p>
    <w:p>
      <w:pPr>
        <w:pStyle w:val="Heading4"/>
      </w:pPr>
      <w:r>
        <w:rPr>
          <w:lang w:val="en_US" w:bidi="en_US"/>
        </w:rPr>
        <w:t>Paragraph 6:6–11</w:t>
      </w:r>
    </w:p>
    <w:p>
      <w:pPr/>
      <w:r>
        <w:rPr>
          <w:lang w:val="en_US" w:bidi="en_US"/>
        </w:rPr>
      </w:r>
      <w:r>
        <w:rPr>
          <w:lang w:val="en_US" w:bidi="en_US"/>
        </w:rPr>
        <w:t>In this paragraph, Jesus demonstrated his authority over the Sabbath. He had just stated in 6:5 that he had the authority to decide what people could or could not do on the Sabbath day. When he healed the man with the shriveled hand, he confirmed that authority.</w:t>
      </w:r>
    </w:p>
    <w:p>
      <w:pPr/>
      <w:r>
        <w:rPr>
          <w:lang w:val="en_US" w:bidi="en_US"/>
        </w:rPr>
      </w:r>
      <w:r>
        <w:rPr>
          <w:lang w:val="en_US" w:bidi="en_US"/>
        </w:rPr>
        <w:t>The Pharisees’ laws about the Sabbath day stated that it was work to heal a person whose life was not in danger on the Sabbath. So when Jesus healed a man on the Sabbath day, the Pharisees found a reason to accuse him.</w:t>
      </w:r>
    </w:p>
    <w:p>
      <w:pPr>
        <w:pStyle w:val="Heading5"/>
      </w:pPr>
      <w:r>
        <w:rPr>
          <w:lang w:val="en_US" w:bidi="en_US"/>
        </w:rPr>
        <w:t>6:7</w:t>
      </w:r>
    </w:p>
    <w:p>
      <w:pPr/>
      <w:r>
        <w:rPr>
          <w:lang w:val="en_US" w:bidi="en_US"/>
        </w:rPr>
      </w:r>
      <w:r>
        <w:rPr>
          <w:lang w:val="en_US" w:bidi="en_US"/>
        </w:rPr>
        <w:t>In 6:7, the BSB has changed the order of the Greek clauses. The RSV keeps the Greek order. Compare the two orders below:</w:t>
      </w:r>
    </w:p>
    <w:p>
      <w:pPr/>
      <w:r>
        <w:rPr>
          <w:lang w:val="en_US" w:bidi="en_US"/>
        </w:rPr>
      </w:r>
      <w:r>
        <w:rPr>
          <w:vertAlign w:val="superscript"/>
          <w:lang w:val="en_US" w:bidi="en_US"/>
        </w:rPr>
        <w:t>7a</w:t>
      </w:r>
      <w:r>
        <w:rPr>
          <w:lang w:val="en_US" w:bidi="en_US"/>
        </w:rPr>
        <w:t xml:space="preserve">Looking for a reason to accuse Jesus, </w:t>
      </w:r>
      <w:r>
        <w:rPr>
          <w:vertAlign w:val="superscript"/>
          <w:lang w:val="en_US" w:bidi="en_US"/>
        </w:rPr>
        <w:t>7b</w:t>
      </w:r>
      <w:r>
        <w:rPr>
          <w:lang w:val="en_US" w:bidi="en_US"/>
        </w:rPr>
        <w:t xml:space="preserve">the scribes and Pharisees </w:t>
      </w:r>
      <w:r>
        <w:rPr>
          <w:vertAlign w:val="superscript"/>
          <w:lang w:val="en_US" w:bidi="en_US"/>
        </w:rPr>
        <w:t>7c</w:t>
      </w:r>
      <w:r>
        <w:rPr>
          <w:lang w:val="en_US" w:bidi="en_US"/>
        </w:rPr>
        <w:t xml:space="preserve">were watching him closely </w:t>
      </w:r>
      <w:r>
        <w:rPr>
          <w:vertAlign w:val="superscript"/>
          <w:lang w:val="en_US" w:bidi="en_US"/>
        </w:rPr>
        <w:t>7d</w:t>
      </w:r>
      <w:r>
        <w:rPr>
          <w:lang w:val="en_US" w:bidi="en_US"/>
        </w:rPr>
        <w:t>to see if he would heal on the Sabbath. (BSB)</w:t>
      </w:r>
    </w:p>
    <w:p>
      <w:pPr/>
      <w:r>
        <w:rPr>
          <w:lang w:val="en_US" w:bidi="en_US"/>
        </w:rPr>
      </w:r>
      <w:r>
        <w:rPr>
          <w:vertAlign w:val="superscript"/>
          <w:lang w:val="en_US" w:bidi="en_US"/>
        </w:rPr>
        <w:t>7b</w:t>
      </w:r>
      <w:r>
        <w:rPr>
          <w:lang w:val="en_US" w:bidi="en_US"/>
        </w:rPr>
        <w:t xml:space="preserve">And the scribes and the Pharisees </w:t>
      </w:r>
      <w:r>
        <w:rPr>
          <w:vertAlign w:val="superscript"/>
          <w:lang w:val="en_US" w:bidi="en_US"/>
        </w:rPr>
        <w:t>7c</w:t>
      </w:r>
      <w:r>
        <w:rPr>
          <w:lang w:val="en_US" w:bidi="en_US"/>
        </w:rPr>
        <w:t xml:space="preserve">watched him, </w:t>
      </w:r>
      <w:r>
        <w:rPr>
          <w:vertAlign w:val="superscript"/>
          <w:lang w:val="en_US" w:bidi="en_US"/>
        </w:rPr>
        <w:t>7d</w:t>
      </w:r>
      <w:r>
        <w:rPr>
          <w:lang w:val="en_US" w:bidi="en_US"/>
        </w:rPr>
        <w:t xml:space="preserve">to see whether he would heal on the sabbath, </w:t>
      </w:r>
      <w:r>
        <w:rPr>
          <w:vertAlign w:val="superscript"/>
          <w:lang w:val="en_US" w:bidi="en_US"/>
        </w:rPr>
        <w:t>7a</w:t>
      </w:r>
      <w:r>
        <w:rPr>
          <w:lang w:val="en_US" w:bidi="en_US"/>
        </w:rPr>
        <w:t>so that they might find an accusation against him. (RSV)</w:t>
      </w:r>
    </w:p>
    <w:p>
      <w:pPr/>
      <w:r>
        <w:rPr>
          <w:lang w:val="en_US" w:bidi="en_US"/>
        </w:rPr>
      </w:r>
      <w:r>
        <w:rPr>
          <w:lang w:val="en_US" w:bidi="en_US"/>
        </w:rPr>
        <w:t>Use a natural order in your language.</w:t>
      </w:r>
    </w:p>
    <w:p>
      <w:pPr>
        <w:pStyle w:val="Heading5"/>
      </w:pPr>
      <w:r>
        <w:rPr>
          <w:lang w:val="en_US" w:bidi="en_US"/>
        </w:rPr>
        <w:t>6:7a</w:t>
      </w:r>
    </w:p>
    <w:p>
      <w:pPr/>
      <w:r>
        <w:rPr>
          <w:lang w:val="en_US" w:bidi="en_US"/>
        </w:rPr>
      </w:r>
      <w:r>
        <w:rPr>
          <w:b/>
          <w:lang w:val="en_US" w:bidi="en_US"/>
        </w:rPr>
        <w:t>Looking for a reason to accuse Jesus,</w:t>
      </w:r>
    </w:p>
    <w:p>
      <w:pPr>
        <w:pStyle w:val="ListBullet"/>
        <w:spacing w:line="240" w:lineRule="auto"/>
        <w:ind w:left="720"/>
      </w:pPr>
      <w:r>
        <w:rPr>
          <w:lang w:val="en_US" w:bidi="en_US"/>
        </w:rPr>
      </w:r>
      <w:r>
        <w:rPr>
          <w:lang w:val="en_US" w:bidi="en_US"/>
        </w:rPr>
        <w:t>Some people there wanted to accuse Jesus of doing something wrong. (CEV)</w:t>
      </w:r>
    </w:p>
    <w:p>
      <w:pPr>
        <w:pStyle w:val="ListBullet"/>
        <w:spacing w:line="240" w:lineRule="auto"/>
        <w:ind w:left="720"/>
      </w:pPr>
      <w:r>
        <w:rPr>
          <w:lang w:val="en_US" w:bidi="en_US"/>
        </w:rPr>
      </w:r>
      <w:r>
        <w:rPr>
          <w:lang w:val="en_US" w:bidi="en_US"/>
        </w:rPr>
        <w:t xml:space="preserve">Some of the people who were there wanted to accuse Jesus </w:t>
      </w:r>
      <w:r>
        <w:rPr>
          <w:lang w:val="en_US" w:bidi="en_US"/>
        </w:rPr>
        <w:t>of breaking the law</w:t>
      </w:r>
      <w:r>
        <w:rPr>
          <w:lang w:val="en_US" w:bidi="en_US"/>
        </w:rPr>
        <w:t>.</w:t>
      </w:r>
    </w:p>
    <w:p>
      <w:pPr>
        <w:pStyle w:val="ListBullet"/>
        <w:spacing w:line="240" w:lineRule="auto"/>
        <w:ind w:left="720"/>
      </w:pPr>
      <w:r>
        <w:rPr>
          <w:lang w:val="en_US" w:bidi="en_US"/>
        </w:rPr>
      </w:r>
      <w:r>
        <w:rPr>
          <w:lang w:val="en_US" w:bidi="en_US"/>
        </w:rPr>
        <w:t xml:space="preserve">Some people there wanted </w:t>
      </w:r>
      <w:r>
        <w:rPr>
          <w:lang w:val="en_US" w:bidi="en_US"/>
        </w:rPr>
        <w:t>Jesus to do something that was against the law</w:t>
      </w:r>
      <w:r>
        <w:rPr>
          <w:lang w:val="en_US" w:bidi="en_US"/>
        </w:rPr>
        <w:t xml:space="preserve"> so that they could accuse/charge him </w:t>
      </w:r>
      <w:r>
        <w:rPr>
          <w:lang w:val="en_US" w:bidi="en_US"/>
        </w:rPr>
        <w:t>of doing something wrong</w:t>
      </w:r>
      <w:r>
        <w:rPr>
          <w:lang w:val="en_US" w:bidi="en_US"/>
        </w:rPr>
        <w:t>.</w:t>
      </w:r>
    </w:p>
    <w:p>
      <w:pPr/>
      <w:r>
        <w:rPr>
          <w:lang w:val="en_US" w:bidi="en_US"/>
        </w:rPr>
      </w:r>
      <w:r>
        <w:rPr>
          <w:b/>
          <w:lang w:val="en_US" w:bidi="en_US"/>
        </w:rPr>
        <w:t>Looking for a reason to accuse Jesus:</w:t>
      </w:r>
      <w:r>
        <w:rPr>
          <w:lang w:val="en_US" w:bidi="en_US"/>
        </w:rPr>
        <w:t xml:space="preserve"> The Greek clause that the BSB translates as </w:t>
      </w:r>
      <w:r>
        <w:rPr>
          <w:i/>
          <w:lang w:val="en_US" w:bidi="en_US"/>
        </w:rPr>
        <w:t>Looking for a reason to accuse Jesus</w:t>
      </w:r>
      <w:r>
        <w:rPr>
          <w:lang w:val="en_US" w:bidi="en_US"/>
        </w:rPr>
        <w:t xml:space="preserve"> means that the Pharisees and the teachers of the law wanted to observe Jesus doing something wrong. Then they could accuse him of breaking the law.</w:t>
      </w:r>
    </w:p>
    <w:p>
      <w:pPr/>
      <w:r>
        <w:rPr>
          <w:lang w:val="en_US" w:bidi="en_US"/>
        </w:rPr>
      </w:r>
      <w:r>
        <w:rPr>
          <w:lang w:val="en_US" w:bidi="en_US"/>
        </w:rPr>
        <w:t>Some other ways to translate this are:</w:t>
      </w:r>
    </w:p>
    <w:p>
      <w:pPr/>
      <w:r>
        <w:rPr>
          <w:lang w:val="en_US" w:bidi="en_US"/>
        </w:rPr>
      </w:r>
      <w:r>
        <w:rPr>
          <w:lang w:val="en_US" w:bidi="en_US"/>
        </w:rPr>
        <w:t>wanted a reason to accuse Jesus of doing wrong (GNT)</w:t>
      </w:r>
    </w:p>
    <w:p>
      <w:pPr/>
      <w:r>
        <w:rPr>
          <w:lang w:val="en_US" w:bidi="en_US"/>
        </w:rPr>
      </w:r>
      <w:r>
        <w:rPr>
          <w:lang w:val="en_US" w:bidi="en_US"/>
        </w:rPr>
        <w:t>wanted to accuse Jesus of doing something wrong (CEV)</w:t>
      </w:r>
    </w:p>
    <w:p>
      <w:pPr/>
      <w:r>
        <w:rPr>
          <w:lang w:val="en_US" w:bidi="en_US"/>
        </w:rPr>
      </w:r>
      <w:r>
        <w:rPr>
          <w:lang w:val="en_US" w:bidi="en_US"/>
        </w:rPr>
        <w:t>As mentioned above, in Greek this clause occurs at the end of 6:7. It is literally “in order that they might find to accuse him.” The main goal of the Pharisees was to accuse Jesus of doing wrong. If it is more natural in your language to state the main goal at the end, you should follow the Greek order.</w:t>
      </w:r>
    </w:p>
    <w:p>
      <w:pPr/>
      <w:r>
        <w:rPr>
          <w:lang w:val="en_US" w:bidi="en_US"/>
        </w:rPr>
      </w:r>
      <w:r>
        <w:rPr>
          <w:b/>
          <w:lang w:val="en_US" w:bidi="en_US"/>
        </w:rPr>
        <w:t>accuse:</w:t>
      </w:r>
      <w:r>
        <w:rPr>
          <w:lang w:val="en_US" w:bidi="en_US"/>
        </w:rPr>
        <w:t xml:space="preserve"> The Greek word that the BSB translates as </w:t>
      </w:r>
      <w:r>
        <w:rPr>
          <w:i/>
          <w:lang w:val="en_US" w:bidi="en_US"/>
        </w:rPr>
        <w:t>accuse</w:t>
      </w:r>
      <w:r>
        <w:rPr>
          <w:lang w:val="en_US" w:bidi="en_US"/>
        </w:rPr>
        <w:t xml:space="preserve"> is a legal term. It means to bring a legal accusation against someone. In this context the accusation would probably be made to a Jewish council. The Pharisees wanted to </w:t>
      </w:r>
      <w:r>
        <w:rPr>
          <w:i/>
          <w:lang w:val="en_US" w:bidi="en_US"/>
        </w:rPr>
        <w:t>accuse</w:t>
      </w:r>
      <w:r>
        <w:rPr>
          <w:lang w:val="en_US" w:bidi="en_US"/>
        </w:rPr>
        <w:t xml:space="preserve"> Jesus of breaking Jewish religious law.</w:t>
      </w:r>
    </w:p>
    <w:p>
      <w:pPr>
        <w:pStyle w:val="Heading5"/>
      </w:pPr>
      <w:r>
        <w:rPr>
          <w:lang w:val="en_US" w:bidi="en_US"/>
        </w:rPr>
        <w:t>6:7b</w:t>
      </w:r>
    </w:p>
    <w:p>
      <w:pPr/>
      <w:r>
        <w:rPr>
          <w:lang w:val="en_US" w:bidi="en_US"/>
        </w:rPr>
      </w:r>
      <w:r>
        <w:rPr>
          <w:b/>
          <w:lang w:val="en_US" w:bidi="en_US"/>
        </w:rPr>
        <w:t>the scribes and Pharisees</w:t>
      </w:r>
    </w:p>
    <w:p>
      <w:pPr>
        <w:pStyle w:val="ListBullet"/>
        <w:spacing w:line="240" w:lineRule="auto"/>
        <w:ind w:left="720"/>
      </w:pPr>
      <w:r>
        <w:rPr>
          <w:lang w:val="en_US" w:bidi="en_US"/>
        </w:rPr>
      </w:r>
      <w:r>
        <w:rPr>
          <w:lang w:val="en_US" w:bidi="en_US"/>
        </w:rPr>
        <w:t>They were Pharisees and teachers of the law.</w:t>
      </w:r>
    </w:p>
    <w:p>
      <w:pPr>
        <w:pStyle w:val="ListBullet"/>
        <w:spacing w:line="240" w:lineRule="auto"/>
        <w:ind w:left="720"/>
      </w:pPr>
      <w:r>
        <w:rPr>
          <w:lang w:val="en_US" w:bidi="en_US"/>
        </w:rPr>
      </w:r>
      <w:r>
        <w:rPr>
          <w:lang w:val="en_US" w:bidi="en_US"/>
        </w:rPr>
        <w:t>Those people were Pharisees and experts in the law.</w:t>
      </w:r>
    </w:p>
    <w:p>
      <w:pPr/>
      <w:r>
        <w:rPr>
          <w:lang w:val="en_US" w:bidi="en_US"/>
        </w:rPr>
      </w:r>
      <w:r>
        <w:rPr>
          <w:b/>
          <w:lang w:val="en_US" w:bidi="en_US"/>
        </w:rPr>
        <w:t>the scribes and Pharisees:</w:t>
      </w:r>
      <w:r>
        <w:rPr>
          <w:lang w:val="en_US" w:bidi="en_US"/>
        </w:rPr>
        <w:t xml:space="preserve"> The </w:t>
      </w:r>
      <w:r>
        <w:rPr>
          <w:i/>
          <w:lang w:val="en_US" w:bidi="en_US"/>
        </w:rPr>
        <w:t>scribes and Pharisees</w:t>
      </w:r>
      <w:r>
        <w:rPr>
          <w:lang w:val="en_US" w:bidi="en_US"/>
        </w:rPr>
        <w:t xml:space="preserve"> are new people in this story. In some languages, it is natural have a separate sentence to introduce them. This would come at the beginning of the verse. For example:</w:t>
      </w:r>
    </w:p>
    <w:p>
      <w:pPr/>
      <w:r>
        <w:rPr>
          <w:lang w:val="en_US" w:bidi="en_US"/>
        </w:rPr>
      </w:r>
      <w:r>
        <w:rPr>
          <w:lang w:val="en_US" w:bidi="en_US"/>
        </w:rPr>
        <w:t>Some Pharisees and teachers of the Law were there.</w:t>
      </w:r>
    </w:p>
    <w:p>
      <w:pPr/>
      <w:r>
        <w:rPr>
          <w:lang w:val="en_US" w:bidi="en_US"/>
        </w:rPr>
      </w:r>
      <w:r>
        <w:rPr>
          <w:lang w:val="en_US" w:bidi="en_US"/>
        </w:rPr>
        <w:t>There were also teachers of the religious law and Pharisees there.</w:t>
      </w:r>
    </w:p>
    <w:p>
      <w:pPr/>
      <w:r>
        <w:rPr>
          <w:lang w:val="en_US" w:bidi="en_US"/>
        </w:rPr>
      </w:r>
      <w:r>
        <w:rPr>
          <w:b/>
          <w:lang w:val="en_US" w:bidi="en_US"/>
        </w:rPr>
        <w:t>the scribes:</w:t>
      </w:r>
      <w:r>
        <w:rPr>
          <w:lang w:val="en_US" w:bidi="en_US"/>
        </w:rPr>
        <w:t xml:space="preserve"> The Greek word that the BSB translates as </w:t>
      </w:r>
      <w:r>
        <w:rPr>
          <w:i/>
          <w:lang w:val="en_US" w:bidi="en_US"/>
        </w:rPr>
        <w:t>the scribes</w:t>
      </w:r>
      <w:r>
        <w:rPr>
          <w:lang w:val="en_US" w:bidi="en_US"/>
        </w:rPr>
        <w:t xml:space="preserve"> refers to men who studied and taught the law of Moses and Jewish laws and traditions. The term </w:t>
      </w:r>
      <w:r>
        <w:rPr>
          <w:i/>
          <w:lang w:val="en_US" w:bidi="en_US"/>
        </w:rPr>
        <w:t>scribes</w:t>
      </w:r>
      <w:r>
        <w:rPr>
          <w:lang w:val="en_US" w:bidi="en_US"/>
        </w:rPr>
        <w:t xml:space="preserve"> also occurs in 5:21a. See also teacher of the law in the Glossary.</w:t>
      </w:r>
    </w:p>
    <w:p>
      <w:pPr/>
      <w:r>
        <w:rPr>
          <w:lang w:val="en_US" w:bidi="en_US"/>
        </w:rPr>
      </w:r>
      <w:r>
        <w:rPr>
          <w:b/>
          <w:lang w:val="en_US" w:bidi="en_US"/>
        </w:rPr>
        <w:t>Pharisees:</w:t>
      </w:r>
      <w:r>
        <w:rPr>
          <w:lang w:val="en_US" w:bidi="en_US"/>
        </w:rPr>
        <w:t xml:space="preserve"> See the note on the </w:t>
      </w:r>
      <w:r>
        <w:rPr>
          <w:i/>
          <w:lang w:val="en_US" w:bidi="en_US"/>
        </w:rPr>
        <w:t>Pharisees</w:t>
      </w:r>
      <w:r>
        <w:rPr>
          <w:lang w:val="en_US" w:bidi="en_US"/>
        </w:rPr>
        <w:t xml:space="preserve"> at 6:2a.</w:t>
      </w:r>
    </w:p>
    <w:p>
      <w:pPr>
        <w:pStyle w:val="Heading5"/>
      </w:pPr>
      <w:r>
        <w:rPr>
          <w:lang w:val="en_US" w:bidi="en_US"/>
        </w:rPr>
        <w:t>6:7c</w:t>
      </w:r>
    </w:p>
    <w:p>
      <w:pPr/>
      <w:r>
        <w:rPr>
          <w:lang w:val="en_US" w:bidi="en_US"/>
        </w:rPr>
      </w:r>
      <w:r>
        <w:rPr>
          <w:b/>
          <w:lang w:val="en_US" w:bidi="en_US"/>
        </w:rPr>
        <w:t>were watching Him closely</w:t>
      </w:r>
    </w:p>
    <w:p>
      <w:pPr>
        <w:pStyle w:val="ListBullet"/>
        <w:spacing w:line="240" w:lineRule="auto"/>
        <w:ind w:left="720"/>
      </w:pPr>
      <w:r>
        <w:rPr>
          <w:lang w:val="en_US" w:bidi="en_US"/>
        </w:rPr>
      </w:r>
      <w:r>
        <w:rPr>
          <w:lang w:val="en_US" w:bidi="en_US"/>
        </w:rPr>
        <w:t>So they carefully watched him/</w:t>
      </w:r>
      <w:r>
        <w:rPr>
          <w:lang w:val="en_US" w:bidi="en_US"/>
        </w:rPr>
        <w:t>Jesus</w:t>
      </w:r>
    </w:p>
    <w:p>
      <w:pPr>
        <w:pStyle w:val="ListBullet"/>
        <w:spacing w:line="240" w:lineRule="auto"/>
        <w:ind w:left="720"/>
      </w:pPr>
      <w:r>
        <w:rPr>
          <w:lang w:val="en_US" w:bidi="en_US"/>
        </w:rPr>
      </w:r>
      <w:r>
        <w:rPr>
          <w:lang w:val="en_US" w:bidi="en_US"/>
        </w:rPr>
        <w:t>So they carefully observed him,</w:t>
      </w:r>
    </w:p>
    <w:p>
      <w:pPr>
        <w:pStyle w:val="Heading5"/>
      </w:pPr>
      <w:r>
        <w:rPr>
          <w:lang w:val="en_US" w:bidi="en_US"/>
        </w:rPr>
        <w:t>6:7d</w:t>
      </w:r>
    </w:p>
    <w:p>
      <w:pPr/>
      <w:r>
        <w:rPr>
          <w:lang w:val="en_US" w:bidi="en_US"/>
        </w:rPr>
      </w:r>
      <w:r>
        <w:rPr>
          <w:b/>
          <w:lang w:val="en_US" w:bidi="en_US"/>
        </w:rPr>
        <w:t>to see if He would heal on the Sabbath.</w:t>
      </w:r>
    </w:p>
    <w:p>
      <w:pPr>
        <w:pStyle w:val="ListBullet"/>
        <w:spacing w:line="240" w:lineRule="auto"/>
        <w:ind w:left="720"/>
      </w:pPr>
      <w:r>
        <w:rPr>
          <w:lang w:val="en_US" w:bidi="en_US"/>
        </w:rPr>
      </w:r>
      <w:r>
        <w:rPr>
          <w:lang w:val="en_US" w:bidi="en_US"/>
        </w:rPr>
        <w:t xml:space="preserve">to see if he would cure </w:t>
      </w:r>
      <w:r>
        <w:rPr>
          <w:lang w:val="en_US" w:bidi="en_US"/>
        </w:rPr>
        <w:t>this man</w:t>
      </w:r>
      <w:r>
        <w:rPr>
          <w:lang w:val="en_US" w:bidi="en_US"/>
        </w:rPr>
        <w:t xml:space="preserve"> on the Sabbath day.</w:t>
      </w:r>
    </w:p>
    <w:p>
      <w:pPr>
        <w:pStyle w:val="ListBullet"/>
        <w:spacing w:line="240" w:lineRule="auto"/>
        <w:ind w:left="720"/>
      </w:pPr>
      <w:r>
        <w:rPr>
          <w:lang w:val="en_US" w:bidi="en_US"/>
        </w:rPr>
      </w:r>
      <w:r>
        <w:rPr>
          <w:lang w:val="en_US" w:bidi="en_US"/>
        </w:rPr>
        <w:t xml:space="preserve">hoping that he would </w:t>
      </w:r>
      <w:r>
        <w:rPr>
          <w:lang w:val="en_US" w:bidi="en_US"/>
        </w:rPr>
        <w:t>do the work of</w:t>
      </w:r>
      <w:r>
        <w:rPr>
          <w:lang w:val="en_US" w:bidi="en_US"/>
        </w:rPr>
        <w:t xml:space="preserve"> healing on the rest day.</w:t>
      </w:r>
    </w:p>
    <w:p>
      <w:pPr>
        <w:pStyle w:val="Heading5"/>
      </w:pPr>
      <w:r>
        <w:rPr>
          <w:lang w:val="en_US" w:bidi="en_US"/>
        </w:rPr>
        <w:t>6:7c–d</w:t>
      </w:r>
    </w:p>
    <w:p>
      <w:pPr/>
      <w:r>
        <w:rPr>
          <w:lang w:val="en_US" w:bidi="en_US"/>
        </w:rPr>
      </w:r>
      <w:r>
        <w:rPr>
          <w:b/>
          <w:lang w:val="en_US" w:bidi="en_US"/>
        </w:rPr>
        <w:t>were watching Him closely to see if He would heal on the Sabbath:</w:t>
      </w:r>
      <w:r>
        <w:rPr>
          <w:lang w:val="en_US" w:bidi="en_US"/>
        </w:rPr>
        <w:t xml:space="preserve"> This clause tells how the Pharisees planned to find fault with Jesus. They believed that no one should </w:t>
      </w:r>
      <w:r>
        <w:rPr>
          <w:i/>
          <w:lang w:val="en_US" w:bidi="en_US"/>
        </w:rPr>
        <w:t>heal</w:t>
      </w:r>
      <w:r>
        <w:rPr>
          <w:lang w:val="en_US" w:bidi="en_US"/>
        </w:rPr>
        <w:t xml:space="preserve"> a sick person </w:t>
      </w:r>
      <w:r>
        <w:rPr>
          <w:i/>
          <w:lang w:val="en_US" w:bidi="en_US"/>
        </w:rPr>
        <w:t>on the Sabbath</w:t>
      </w:r>
      <w:r>
        <w:rPr>
          <w:lang w:val="en_US" w:bidi="en_US"/>
        </w:rPr>
        <w:t xml:space="preserve"> (unless someone was in danger of dying). So they watched Jesus. They wanted to see if he would break their law and heal the man with the withered hand on the Sabbath day.</w:t>
      </w:r>
    </w:p>
    <w:p>
      <w:pPr/>
      <w:r>
        <w:rPr>
          <w:lang w:val="en_US" w:bidi="en_US"/>
        </w:rPr>
      </w:r>
      <w:r>
        <w:rPr>
          <w:lang w:val="en_US" w:bidi="en_US"/>
        </w:rPr>
        <w:t>If you are using footnotes for background information, you might use one here. For example:</w:t>
      </w:r>
    </w:p>
    <w:p>
      <w:pPr/>
      <w:r>
        <w:rPr>
          <w:lang w:val="en_US" w:bidi="en_US"/>
        </w:rPr>
      </w:r>
      <w:r>
        <w:rPr>
          <w:lang w:val="en_US" w:bidi="en_US"/>
        </w:rPr>
        <w:t>The Pharisees believed that healing or medical treatment was a kind of work. That is why they believed that no one should heal people on the Sabbath day</w:t>
      </w:r>
    </w:p>
    <w:p>
      <w:pPr/>
      <w:r>
        <w:rPr>
          <w:lang w:val="en_US" w:bidi="en_US"/>
        </w:rPr>
      </w:r>
      <w:r>
        <w:rPr>
          <w:b/>
          <w:lang w:val="en_US" w:bidi="en_US"/>
        </w:rPr>
        <w:t>were watching Him closely:</w:t>
      </w:r>
      <w:r>
        <w:rPr>
          <w:lang w:val="en_US" w:bidi="en_US"/>
        </w:rPr>
        <w:t xml:space="preserve"> The verb that the BSB translates as </w:t>
      </w:r>
      <w:r>
        <w:rPr>
          <w:i/>
          <w:lang w:val="en_US" w:bidi="en_US"/>
        </w:rPr>
        <w:t>were watching Him closely</w:t>
      </w:r>
      <w:r>
        <w:rPr>
          <w:lang w:val="en_US" w:bidi="en_US"/>
        </w:rPr>
        <w:t xml:space="preserve"> means “to spy on” or “to watch carefully.” It does not mean that they got close to Jesus to watch him.</w:t>
      </w:r>
      <w:r>
        <w:rPr>
          <w:lang w:val="en_US" w:bidi="en_US"/>
        </w:rPr>
      </w:r>
      <w:r>
        <w:rPr>
          <w:lang w:val="en_US" w:bidi="en_US"/>
        </w:rPr>
      </w:r>
    </w:p>
    <w:p>
      <w:pPr/>
      <w:r>
        <w:rPr>
          <w:lang w:val="en_US" w:bidi="en_US"/>
        </w:rPr>
      </w:r>
    </w:p>
    <w:p>
      <w:pPr>
        <w:pStyle w:val="Heading2"/>
      </w:pPr>
      <w:r>
        <w:rPr>
          <w:lang w:val="en_US" w:bidi="en_US"/>
        </w:rPr>
        <w:t>Luke 6:8</w:t>
      </w:r>
      <w:r>
        <w:rPr>
          <w:lang w:val="en_US" w:bidi="en_US"/>
        </w:rPr>
      </w:r>
    </w:p>
    <w:p>
      <w:pPr>
        <w:pStyle w:val="Heading4"/>
      </w:pPr>
      <w:r>
        <w:rPr>
          <w:lang w:val="en_US" w:bidi="en_US"/>
        </w:rPr>
        <w:t>Section 6:1–11: Jesus taught that he was Lord of the Sabbath</w:t>
      </w:r>
    </w:p>
    <w:p>
      <w:pPr/>
      <w:r>
        <w:rPr>
          <w:lang w:val="en_US" w:bidi="en_US"/>
        </w:rPr>
      </w:r>
      <w:r>
        <w:rPr>
          <w:lang w:val="en_US" w:bidi="en_US"/>
        </w:rP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pPr/>
      <w:r>
        <w:rPr>
          <w:lang w:val="en_US" w:bidi="en_US"/>
        </w:rPr>
      </w:r>
      <w:r>
        <w:rPr>
          <w:lang w:val="en_US" w:bidi="en_US"/>
        </w:rP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pPr/>
      <w:r>
        <w:rPr>
          <w:lang w:val="en_US" w:bidi="en_US"/>
        </w:rPr>
      </w:r>
      <w:r>
        <w:rPr>
          <w:lang w:val="en_US" w:bidi="en_US"/>
        </w:rPr>
        <w:t>Some other possible headings for this section are:</w:t>
      </w:r>
    </w:p>
    <w:p>
      <w:pPr/>
      <w:r>
        <w:rPr>
          <w:lang w:val="en_US" w:bidi="en_US"/>
        </w:rPr>
      </w:r>
      <w:r>
        <w:rPr>
          <w:lang w:val="en_US" w:bidi="en_US"/>
        </w:rPr>
        <w:t>The Pharisees and Jesus disagreed about Sabbath-day laws</w:t>
      </w:r>
    </w:p>
    <w:p>
      <w:pPr/>
      <w:r>
        <w:rPr>
          <w:lang w:val="en_US" w:bidi="en_US"/>
        </w:rPr>
      </w:r>
      <w:r>
        <w:rPr>
          <w:lang w:val="en_US" w:bidi="en_US"/>
        </w:rPr>
        <w:t>Jesus showed/taught the true meaning/use of the Sabbath day</w:t>
      </w:r>
    </w:p>
    <w:p>
      <w:pPr/>
      <w:r>
        <w:rPr>
          <w:lang w:val="en_US" w:bidi="en_US"/>
        </w:rPr>
      </w:r>
      <w:r>
        <w:rPr>
          <w:lang w:val="en_US" w:bidi="en_US"/>
        </w:rPr>
        <w:t>A Discussion about the Sabbath (NLT)</w:t>
      </w:r>
    </w:p>
    <w:p>
      <w:pPr/>
      <w:r>
        <w:rPr>
          <w:lang w:val="en_US" w:bidi="en_US"/>
        </w:rPr>
      </w:r>
      <w:r>
        <w:rPr>
          <w:lang w:val="en_US" w:bidi="en_US"/>
        </w:rPr>
        <w:t>There are parallel passages in Matthew 12:1–14 and Mark 2:23–3:6.</w:t>
      </w:r>
    </w:p>
    <w:p>
      <w:pPr>
        <w:pStyle w:val="Heading4"/>
      </w:pPr>
      <w:r>
        <w:rPr>
          <w:lang w:val="en_US" w:bidi="en_US"/>
        </w:rPr>
        <w:t>Paragraph 6:6–11</w:t>
      </w:r>
    </w:p>
    <w:p>
      <w:pPr/>
      <w:r>
        <w:rPr>
          <w:lang w:val="en_US" w:bidi="en_US"/>
        </w:rPr>
      </w:r>
      <w:r>
        <w:rPr>
          <w:lang w:val="en_US" w:bidi="en_US"/>
        </w:rPr>
        <w:t>In this paragraph, Jesus demonstrated his authority over the Sabbath. He had just stated in 6:5 that he had the authority to decide what people could or could not do on the Sabbath day. When he healed the man with the shriveled hand, he confirmed that authority.</w:t>
      </w:r>
    </w:p>
    <w:p>
      <w:pPr/>
      <w:r>
        <w:rPr>
          <w:lang w:val="en_US" w:bidi="en_US"/>
        </w:rPr>
      </w:r>
      <w:r>
        <w:rPr>
          <w:lang w:val="en_US" w:bidi="en_US"/>
        </w:rPr>
        <w:t>The Pharisees’ laws about the Sabbath day stated that it was work to heal a person whose life was not in danger on the Sabbath. So when Jesus healed a man on the Sabbath day, the Pharisees found a reason to accuse him.</w:t>
      </w:r>
    </w:p>
    <w:p>
      <w:pPr>
        <w:pStyle w:val="Heading5"/>
      </w:pPr>
      <w:r>
        <w:rPr>
          <w:lang w:val="en_US" w:bidi="en_US"/>
        </w:rPr>
        <w:t>6:8a</w:t>
      </w:r>
    </w:p>
    <w:p>
      <w:pPr/>
      <w:r>
        <w:rPr>
          <w:lang w:val="en_US" w:bidi="en_US"/>
        </w:rPr>
      </w:r>
      <w:r>
        <w:rPr>
          <w:b/>
          <w:lang w:val="en_US" w:bidi="en_US"/>
        </w:rPr>
        <w:t>But Jesus knew their thoughts</w:t>
      </w:r>
    </w:p>
    <w:p>
      <w:pPr>
        <w:pStyle w:val="ListBullet"/>
        <w:spacing w:line="240" w:lineRule="auto"/>
        <w:ind w:left="720"/>
      </w:pPr>
      <w:r>
        <w:rPr>
          <w:lang w:val="en_US" w:bidi="en_US"/>
        </w:rPr>
      </w:r>
      <w:r>
        <w:rPr>
          <w:lang w:val="en_US" w:bidi="en_US"/>
        </w:rPr>
        <w:t>But Jesus knew what they were thinking/planning,</w:t>
      </w:r>
    </w:p>
    <w:p>
      <w:pPr>
        <w:pStyle w:val="ListBullet"/>
        <w:spacing w:line="240" w:lineRule="auto"/>
        <w:ind w:left="720"/>
      </w:pPr>
      <w:r>
        <w:rPr>
          <w:lang w:val="en_US" w:bidi="en_US"/>
        </w:rPr>
      </w:r>
      <w:r>
        <w:rPr>
          <w:lang w:val="en_US" w:bidi="en_US"/>
        </w:rPr>
        <w:t>However, Jesus was aware of their thoughts,</w:t>
      </w:r>
    </w:p>
    <w:p>
      <w:pPr/>
      <w:r>
        <w:rPr>
          <w:lang w:val="en_US" w:bidi="en_US"/>
        </w:rPr>
      </w:r>
      <w:r>
        <w:rPr>
          <w:b/>
          <w:lang w:val="en_US" w:bidi="en_US"/>
        </w:rPr>
        <w:t>But Jesus knew their thoughts:</w:t>
      </w:r>
      <w:r>
        <w:rPr>
          <w:lang w:val="en_US" w:bidi="en_US"/>
        </w:rPr>
        <w:t xml:space="preserve"> In Greek the word that the BSB translates as </w:t>
      </w:r>
      <w:r>
        <w:rPr>
          <w:i/>
          <w:lang w:val="en_US" w:bidi="en_US"/>
        </w:rPr>
        <w:t>Jesus</w:t>
      </w:r>
      <w:r>
        <w:rPr>
          <w:lang w:val="en_US" w:bidi="en_US"/>
        </w:rPr>
        <w:t xml:space="preserve"> is an emphatic form of the pronoun “he.” This part of the verse changes the focus back to Jesus and indicates that he knew that the Pharisees wanted to accuse him. Express this focus in a natural way in your language. One way to do that is:</w:t>
      </w:r>
    </w:p>
    <w:p>
      <w:pPr/>
      <w:r>
        <w:rPr>
          <w:lang w:val="en_US" w:bidi="en_US"/>
        </w:rPr>
      </w:r>
      <w:r>
        <w:rPr>
          <w:lang w:val="en_US" w:bidi="en_US"/>
        </w:rPr>
        <w:t>As for Jesus, he knew what they were thinking</w:t>
      </w:r>
    </w:p>
    <w:p>
      <w:pPr/>
      <w:r>
        <w:rPr>
          <w:lang w:val="en_US" w:bidi="en_US"/>
        </w:rPr>
      </w:r>
      <w:r>
        <w:rPr>
          <w:b/>
          <w:lang w:val="en_US" w:bidi="en_US"/>
        </w:rPr>
        <w:t>knew their thoughts:</w:t>
      </w:r>
      <w:r>
        <w:rPr>
          <w:lang w:val="en_US" w:bidi="en_US"/>
        </w:rPr>
        <w:t xml:space="preserve"> The Greek phrase that the BSB translates here as </w:t>
      </w:r>
      <w:r>
        <w:rPr>
          <w:i/>
          <w:lang w:val="en_US" w:bidi="en_US"/>
        </w:rPr>
        <w:t>knew their thoughts</w:t>
      </w:r>
      <w:r>
        <w:rPr>
          <w:lang w:val="en_US" w:bidi="en_US"/>
        </w:rPr>
        <w:t xml:space="preserve"> is the same phrase that it translates in 5:22a as “Knowing what they were thinking.” See how you translated it there and decide how to translate it here.</w:t>
      </w:r>
    </w:p>
    <w:p>
      <w:pPr>
        <w:pStyle w:val="Heading5"/>
      </w:pPr>
      <w:r>
        <w:rPr>
          <w:lang w:val="en_US" w:bidi="en_US"/>
        </w:rPr>
        <w:t>6:8b</w:t>
      </w:r>
    </w:p>
    <w:p>
      <w:pPr/>
      <w:r>
        <w:rPr>
          <w:lang w:val="en_US" w:bidi="en_US"/>
        </w:rPr>
      </w:r>
      <w:r>
        <w:rPr>
          <w:b/>
          <w:lang w:val="en_US" w:bidi="en_US"/>
        </w:rPr>
        <w:t>and said to the man with the withered hand,</w:t>
      </w:r>
    </w:p>
    <w:p>
      <w:pPr>
        <w:pStyle w:val="ListBullet"/>
        <w:spacing w:line="240" w:lineRule="auto"/>
        <w:ind w:left="720"/>
      </w:pPr>
      <w:r>
        <w:rPr>
          <w:lang w:val="en_US" w:bidi="en_US"/>
        </w:rPr>
      </w:r>
      <w:r>
        <w:rPr>
          <w:lang w:val="en_US" w:bidi="en_US"/>
        </w:rPr>
        <w:t>and he said to the man with the shriveled/shrunken hand,</w:t>
      </w:r>
    </w:p>
    <w:p>
      <w:pPr>
        <w:pStyle w:val="ListBullet"/>
        <w:spacing w:line="240" w:lineRule="auto"/>
        <w:ind w:left="720"/>
      </w:pPr>
      <w:r>
        <w:rPr>
          <w:lang w:val="en_US" w:bidi="en_US"/>
        </w:rPr>
      </w:r>
      <w:r>
        <w:rPr>
          <w:lang w:val="en_US" w:bidi="en_US"/>
        </w:rPr>
        <w:t>so he told the man with the crippled hand</w:t>
      </w:r>
    </w:p>
    <w:p>
      <w:pPr/>
      <w:r>
        <w:rPr>
          <w:lang w:val="en_US" w:bidi="en_US"/>
        </w:rPr>
      </w:r>
      <w:r>
        <w:rPr>
          <w:b/>
          <w:lang w:val="en_US" w:bidi="en_US"/>
        </w:rPr>
        <w:t>and said to the man:</w:t>
      </w:r>
      <w:r>
        <w:rPr>
          <w:lang w:val="en_US" w:bidi="en_US"/>
        </w:rPr>
        <w:t xml:space="preserve"> Some English versions connect 6:8b to 6:8a with the conjunction </w:t>
      </w:r>
      <w:r>
        <w:rPr>
          <w:i/>
          <w:lang w:val="en_US" w:bidi="en_US"/>
        </w:rPr>
        <w:t>and</w:t>
      </w:r>
      <w:r>
        <w:rPr>
          <w:lang w:val="en_US" w:bidi="en_US"/>
        </w:rPr>
        <w:t xml:space="preserve"> (BSB) or with “so” (CEV). Others do not use a conjunction here (GNT). Connect 6:8a and 6:8b in the way that is most natural in your language.</w:t>
      </w:r>
    </w:p>
    <w:p>
      <w:pPr>
        <w:pStyle w:val="Heading5"/>
      </w:pPr>
      <w:r>
        <w:rPr>
          <w:lang w:val="en_US" w:bidi="en_US"/>
        </w:rPr>
        <w:t>6:8c</w:t>
      </w:r>
    </w:p>
    <w:p>
      <w:pPr/>
      <w:r>
        <w:rPr>
          <w:lang w:val="en_US" w:bidi="en_US"/>
        </w:rPr>
      </w:r>
      <w:r>
        <w:rPr>
          <w:b/>
          <w:lang w:val="en_US" w:bidi="en_US"/>
        </w:rPr>
        <w:t>“Get up and stand among us.”</w:t>
      </w:r>
    </w:p>
    <w:p>
      <w:pPr>
        <w:pStyle w:val="ListBullet"/>
        <w:spacing w:line="240" w:lineRule="auto"/>
        <w:ind w:left="720"/>
      </w:pPr>
      <w:r>
        <w:rPr>
          <w:lang w:val="en_US" w:bidi="en_US"/>
        </w:rPr>
      </w:r>
      <w:r>
        <w:rPr>
          <w:lang w:val="en_US" w:bidi="en_US"/>
        </w:rPr>
        <w:t>“Rise and stand in the center.”</w:t>
      </w:r>
    </w:p>
    <w:p>
      <w:pPr>
        <w:pStyle w:val="ListBullet"/>
        <w:spacing w:line="240" w:lineRule="auto"/>
        <w:ind w:left="720"/>
      </w:pPr>
      <w:r>
        <w:rPr>
          <w:lang w:val="en_US" w:bidi="en_US"/>
        </w:rPr>
      </w:r>
      <w:r>
        <w:rPr>
          <w:lang w:val="en_US" w:bidi="en_US"/>
        </w:rPr>
        <w:t xml:space="preserve">“Stand up and come </w:t>
      </w:r>
      <w:r>
        <w:rPr>
          <w:lang w:val="en_US" w:bidi="en_US"/>
        </w:rPr>
        <w:t>here</w:t>
      </w:r>
      <w:r>
        <w:rPr>
          <w:lang w:val="en_US" w:bidi="en_US"/>
        </w:rPr>
        <w:t xml:space="preserve"> where everyone can see you.”</w:t>
      </w:r>
    </w:p>
    <w:p>
      <w:pPr>
        <w:pStyle w:val="ListBullet"/>
        <w:spacing w:line="240" w:lineRule="auto"/>
        <w:ind w:left="720"/>
      </w:pPr>
      <w:r>
        <w:rPr>
          <w:lang w:val="en_US" w:bidi="en_US"/>
        </w:rPr>
      </w:r>
      <w:r>
        <w:rPr>
          <w:lang w:val="en_US" w:bidi="en_US"/>
        </w:rPr>
        <w:t>to stand up where everyone could see him. (CEV)</w:t>
      </w:r>
    </w:p>
    <w:p>
      <w:pPr/>
      <w:r>
        <w:rPr>
          <w:lang w:val="en_US" w:bidi="en_US"/>
        </w:rPr>
      </w:r>
      <w:r>
        <w:rPr>
          <w:b/>
          <w:lang w:val="en_US" w:bidi="en_US"/>
        </w:rPr>
        <w:t>Get up:</w:t>
      </w:r>
      <w:r>
        <w:rPr>
          <w:lang w:val="en_US" w:bidi="en_US"/>
        </w:rPr>
        <w:t xml:space="preserve"> The command </w:t>
      </w:r>
      <w:r>
        <w:rPr>
          <w:i/>
          <w:lang w:val="en_US" w:bidi="en_US"/>
        </w:rPr>
        <w:t>Get up</w:t>
      </w:r>
      <w:r>
        <w:rPr>
          <w:lang w:val="en_US" w:bidi="en_US"/>
        </w:rPr>
        <w:t xml:space="preserve"> implies that the man was sitting down. He could have been sitting on the floor or on a bench. Another way to translate this is:</w:t>
      </w:r>
    </w:p>
    <w:p>
      <w:pPr/>
      <w:r>
        <w:rPr>
          <w:lang w:val="en_US" w:bidi="en_US"/>
        </w:rPr>
      </w:r>
      <w:r>
        <w:rPr>
          <w:lang w:val="en_US" w:bidi="en_US"/>
        </w:rPr>
        <w:t>Stand up (GNT)</w:t>
      </w:r>
    </w:p>
    <w:p>
      <w:pPr/>
      <w:r>
        <w:rPr>
          <w:lang w:val="en_US" w:bidi="en_US"/>
        </w:rPr>
      </w:r>
      <w:r>
        <w:rPr>
          <w:b/>
          <w:lang w:val="en_US" w:bidi="en_US"/>
        </w:rPr>
        <w:t>stand among us:</w:t>
      </w:r>
      <w:r>
        <w:rPr>
          <w:lang w:val="en_US" w:bidi="en_US"/>
        </w:rPr>
        <w:t xml:space="preserve"> The Greek phrase that the BSB translates as </w:t>
      </w:r>
      <w:r>
        <w:rPr>
          <w:i/>
          <w:lang w:val="en_US" w:bidi="en_US"/>
        </w:rPr>
        <w:t>stand among us</w:t>
      </w:r>
      <w:r>
        <w:rPr>
          <w:lang w:val="en_US" w:bidi="en_US"/>
        </w:rPr>
        <w:t xml:space="preserve"> is literally “stand into the middle.” Jesus wanted the man to move to the center of the synagogue where everyone could see him.</w:t>
      </w:r>
    </w:p>
    <w:p>
      <w:pPr/>
      <w:r>
        <w:rPr>
          <w:lang w:val="en_US" w:bidi="en_US"/>
        </w:rPr>
      </w:r>
      <w:r>
        <w:rPr>
          <w:lang w:val="en_US" w:bidi="en_US"/>
        </w:rPr>
        <w:t>Some other ways to translate this are:</w:t>
      </w:r>
    </w:p>
    <w:p>
      <w:pPr/>
      <w:r>
        <w:rPr>
          <w:lang w:val="en_US" w:bidi="en_US"/>
        </w:rPr>
      </w:r>
      <w:r>
        <w:rPr>
          <w:lang w:val="en_US" w:bidi="en_US"/>
        </w:rPr>
        <w:t>and stand in the center of the synagogue (GW)</w:t>
      </w:r>
    </w:p>
    <w:p>
      <w:pPr/>
      <w:r>
        <w:rPr>
          <w:lang w:val="en_US" w:bidi="en_US"/>
        </w:rPr>
      </w:r>
      <w:r>
        <w:rPr>
          <w:lang w:val="en_US" w:bidi="en_US"/>
        </w:rPr>
        <w:t>and come here to the front (GNT)</w:t>
      </w:r>
    </w:p>
    <w:p>
      <w:pPr>
        <w:pStyle w:val="Heading6"/>
      </w:pPr>
      <w:r>
        <w:rPr>
          <w:b/>
          <w:lang w:val="en_US" w:bidi="en_US"/>
        </w:rPr>
        <w:t>General Comment on 6:8b–c</w:t>
      </w:r>
    </w:p>
    <w:p>
      <w:pPr/>
      <w:r>
        <w:rPr>
          <w:lang w:val="en_US" w:bidi="en_US"/>
        </w:rPr>
      </w:r>
      <w:r>
        <w:rPr>
          <w:lang w:val="en_US" w:bidi="en_US"/>
        </w:rPr>
        <w:t>In some languages, it may be natural to translate Jesus’ command as indirect speech. For example:</w:t>
      </w:r>
    </w:p>
    <w:p>
      <w:pPr/>
      <w:r>
        <w:rPr>
          <w:lang w:val="en_US" w:bidi="en_US"/>
        </w:rPr>
      </w:r>
      <w:r>
        <w:rPr>
          <w:lang w:val="en_US" w:bidi="en_US"/>
        </w:rPr>
        <w:t>…he told the man to stand up where everyone could see him (CEV)</w:t>
      </w:r>
    </w:p>
    <w:p>
      <w:pPr>
        <w:pStyle w:val="Heading5"/>
      </w:pPr>
      <w:r>
        <w:rPr>
          <w:lang w:val="en_US" w:bidi="en_US"/>
        </w:rPr>
        <w:t>6:8d</w:t>
      </w:r>
    </w:p>
    <w:p>
      <w:pPr/>
      <w:r>
        <w:rPr>
          <w:lang w:val="en_US" w:bidi="en_US"/>
        </w:rPr>
      </w:r>
      <w:r>
        <w:rPr>
          <w:b/>
          <w:lang w:val="en_US" w:bidi="en_US"/>
        </w:rPr>
        <w:t>So he got up and stood there.</w:t>
      </w:r>
    </w:p>
    <w:p>
      <w:pPr>
        <w:pStyle w:val="ListBullet"/>
        <w:spacing w:line="240" w:lineRule="auto"/>
        <w:ind w:left="720"/>
      </w:pPr>
      <w:r>
        <w:rPr>
          <w:lang w:val="en_US" w:bidi="en_US"/>
        </w:rPr>
      </w:r>
      <w:r>
        <w:rPr>
          <w:lang w:val="en_US" w:bidi="en_US"/>
        </w:rPr>
        <w:t>So the man rose and stood there.</w:t>
      </w:r>
    </w:p>
    <w:p>
      <w:pPr>
        <w:pStyle w:val="ListBullet"/>
        <w:spacing w:line="240" w:lineRule="auto"/>
        <w:ind w:left="720"/>
      </w:pPr>
      <w:r>
        <w:rPr>
          <w:lang w:val="en_US" w:bidi="en_US"/>
        </w:rPr>
      </w:r>
      <w:r>
        <w:rPr>
          <w:lang w:val="en_US" w:bidi="en_US"/>
        </w:rPr>
        <w:t>And the man stood up. (CEV)</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is most often translated as “and.” Some English versions translate it as “and” (RSV, NJB), and some do not translate it (GNT). This conjunction introduces what the man did when he obeyed Jesus’ command. Connect 6:8c and 6:8d in the way that is most natural in your language.</w:t>
      </w:r>
    </w:p>
    <w:p>
      <w:pPr/>
      <w:r>
        <w:rPr>
          <w:lang w:val="en_US" w:bidi="en_US"/>
        </w:rPr>
      </w:r>
      <w:r>
        <w:rPr>
          <w:b/>
          <w:lang w:val="en_US" w:bidi="en_US"/>
        </w:rPr>
        <w:t>he got up and stood there:</w:t>
      </w:r>
      <w:r>
        <w:rPr>
          <w:lang w:val="en_US" w:bidi="en_US"/>
        </w:rPr>
        <w:t xml:space="preserve"> The Greek clause that the BSB translates as </w:t>
      </w:r>
      <w:r>
        <w:rPr>
          <w:i/>
          <w:lang w:val="en_US" w:bidi="en_US"/>
        </w:rPr>
        <w:t>he got up and stood there</w:t>
      </w:r>
      <w:r>
        <w:rPr>
          <w:lang w:val="en_US" w:bidi="en_US"/>
        </w:rPr>
        <w:t xml:space="preserve"> is literally “and rising up, he stood.” You may need to make explicit where he stood. The BSB does this by adding the word </w:t>
      </w:r>
      <w:r>
        <w:rPr>
          <w:i/>
          <w:lang w:val="en_US" w:bidi="en_US"/>
        </w:rPr>
        <w:t>there</w:t>
      </w:r>
      <w:r>
        <w:rPr>
          <w:lang w:val="en_US" w:bidi="en_US"/>
        </w:rPr>
        <w:t>.</w:t>
      </w:r>
    </w:p>
    <w:p>
      <w:pPr/>
      <w:r>
        <w:rPr>
          <w:lang w:val="en_US" w:bidi="en_US"/>
        </w:rPr>
      </w:r>
      <w:r>
        <w:rPr>
          <w:lang w:val="en_US" w:bidi="en_US"/>
        </w:rPr>
        <w:t>Make it clear in your translation that the man did what Jesus told him. For example:</w:t>
      </w:r>
    </w:p>
    <w:p>
      <w:pPr/>
      <w:r>
        <w:rPr>
          <w:lang w:val="en_US" w:bidi="en_US"/>
        </w:rPr>
      </w:r>
      <w:r>
        <w:rPr>
          <w:lang w:val="en_US" w:bidi="en_US"/>
        </w:rPr>
        <w:t>So he rose and stood there. (NET)</w:t>
      </w:r>
    </w:p>
    <w:p>
      <w:pPr/>
      <w:r>
        <w:rPr>
          <w:lang w:val="en_US" w:bidi="en_US"/>
        </w:rPr>
      </w:r>
      <w:r>
        <w:rPr>
          <w:lang w:val="en_US" w:bidi="en_US"/>
        </w:rPr>
        <w:t>So the man came forward. (NLT)</w:t>
      </w:r>
    </w:p>
    <w:p>
      <w:pPr/>
      <w:r>
        <w:rPr>
          <w:lang w:val="en_US" w:bidi="en_US"/>
        </w:rPr>
      </w:r>
      <w:r>
        <w:rPr>
          <w:lang w:val="en_US" w:bidi="en_US"/>
        </w:rPr>
        <w:t xml:space="preserve">So the man came and stood in the center </w:t>
      </w:r>
      <w:r>
        <w:rPr>
          <w:lang w:val="en_US" w:bidi="en_US"/>
        </w:rPr>
        <w:t>in front of everyone</w:t>
      </w:r>
      <w:r>
        <w:rPr>
          <w:lang w:val="en_US" w:bidi="en_US"/>
        </w:rPr>
        <w:t>.</w:t>
      </w:r>
    </w:p>
    <w:p>
      <w:pPr/>
      <w:r>
        <w:rPr>
          <w:lang w:val="en_US" w:bidi="en_US"/>
        </w:rPr>
      </w:r>
      <w:r>
        <w:rPr>
          <w:lang w:val="en_US" w:bidi="en_US"/>
        </w:rPr>
        <w:t xml:space="preserve">In some languages, the phrase </w:t>
      </w:r>
      <w:r>
        <w:rPr>
          <w:i/>
          <w:lang w:val="en_US" w:bidi="en_US"/>
        </w:rPr>
        <w:t>got up and stood</w:t>
      </w:r>
      <w:r>
        <w:rPr>
          <w:lang w:val="en_US" w:bidi="en_US"/>
        </w:rPr>
        <w:t xml:space="preserve"> can be translated as one verb. For example:</w:t>
      </w:r>
    </w:p>
    <w:p>
      <w:pPr/>
      <w:r>
        <w:rPr>
          <w:lang w:val="en_US" w:bidi="en_US"/>
        </w:rPr>
      </w:r>
      <w:r>
        <w:rPr>
          <w:lang w:val="en_US" w:bidi="en_US"/>
        </w:rPr>
        <w:t>And the man stood up. (CEV)</w:t>
      </w:r>
      <w:r>
        <w:rPr>
          <w:lang w:val="en_US" w:bidi="en_US"/>
        </w:rPr>
      </w:r>
      <w:r>
        <w:rPr>
          <w:lang w:val="en_US" w:bidi="en_US"/>
        </w:rPr>
      </w:r>
    </w:p>
    <w:p>
      <w:pPr/>
      <w:r>
        <w:rPr>
          <w:lang w:val="en_US" w:bidi="en_US"/>
        </w:rPr>
      </w:r>
    </w:p>
    <w:p>
      <w:pPr>
        <w:pStyle w:val="Heading2"/>
      </w:pPr>
      <w:r>
        <w:rPr>
          <w:lang w:val="en_US" w:bidi="en_US"/>
        </w:rPr>
        <w:t>Luke 6:9</w:t>
      </w:r>
      <w:r>
        <w:rPr>
          <w:lang w:val="en_US" w:bidi="en_US"/>
        </w:rPr>
      </w:r>
    </w:p>
    <w:p>
      <w:pPr>
        <w:pStyle w:val="Heading4"/>
      </w:pPr>
      <w:r>
        <w:rPr>
          <w:lang w:val="en_US" w:bidi="en_US"/>
        </w:rPr>
        <w:t>Section 6:1–11: Jesus taught that he was Lord of the Sabbath</w:t>
      </w:r>
    </w:p>
    <w:p>
      <w:pPr/>
      <w:r>
        <w:rPr>
          <w:lang w:val="en_US" w:bidi="en_US"/>
        </w:rPr>
      </w:r>
      <w:r>
        <w:rPr>
          <w:lang w:val="en_US" w:bidi="en_US"/>
        </w:rP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pPr/>
      <w:r>
        <w:rPr>
          <w:lang w:val="en_US" w:bidi="en_US"/>
        </w:rPr>
      </w:r>
      <w:r>
        <w:rPr>
          <w:lang w:val="en_US" w:bidi="en_US"/>
        </w:rP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pPr/>
      <w:r>
        <w:rPr>
          <w:lang w:val="en_US" w:bidi="en_US"/>
        </w:rPr>
      </w:r>
      <w:r>
        <w:rPr>
          <w:lang w:val="en_US" w:bidi="en_US"/>
        </w:rPr>
        <w:t>Some other possible headings for this section are:</w:t>
      </w:r>
    </w:p>
    <w:p>
      <w:pPr/>
      <w:r>
        <w:rPr>
          <w:lang w:val="en_US" w:bidi="en_US"/>
        </w:rPr>
      </w:r>
      <w:r>
        <w:rPr>
          <w:lang w:val="en_US" w:bidi="en_US"/>
        </w:rPr>
        <w:t>The Pharisees and Jesus disagreed about Sabbath-day laws</w:t>
      </w:r>
    </w:p>
    <w:p>
      <w:pPr/>
      <w:r>
        <w:rPr>
          <w:lang w:val="en_US" w:bidi="en_US"/>
        </w:rPr>
      </w:r>
      <w:r>
        <w:rPr>
          <w:lang w:val="en_US" w:bidi="en_US"/>
        </w:rPr>
        <w:t>Jesus showed/taught the true meaning/use of the Sabbath day</w:t>
      </w:r>
    </w:p>
    <w:p>
      <w:pPr/>
      <w:r>
        <w:rPr>
          <w:lang w:val="en_US" w:bidi="en_US"/>
        </w:rPr>
      </w:r>
      <w:r>
        <w:rPr>
          <w:lang w:val="en_US" w:bidi="en_US"/>
        </w:rPr>
        <w:t>A Discussion about the Sabbath (NLT)</w:t>
      </w:r>
    </w:p>
    <w:p>
      <w:pPr/>
      <w:r>
        <w:rPr>
          <w:lang w:val="en_US" w:bidi="en_US"/>
        </w:rPr>
      </w:r>
      <w:r>
        <w:rPr>
          <w:lang w:val="en_US" w:bidi="en_US"/>
        </w:rPr>
        <w:t>There are parallel passages in Matthew 12:1–14 and Mark 2:23–3:6.</w:t>
      </w:r>
    </w:p>
    <w:p>
      <w:pPr>
        <w:pStyle w:val="Heading4"/>
      </w:pPr>
      <w:r>
        <w:rPr>
          <w:lang w:val="en_US" w:bidi="en_US"/>
        </w:rPr>
        <w:t>Paragraph 6:6–11</w:t>
      </w:r>
    </w:p>
    <w:p>
      <w:pPr/>
      <w:r>
        <w:rPr>
          <w:lang w:val="en_US" w:bidi="en_US"/>
        </w:rPr>
      </w:r>
      <w:r>
        <w:rPr>
          <w:lang w:val="en_US" w:bidi="en_US"/>
        </w:rPr>
        <w:t>In this paragraph, Jesus demonstrated his authority over the Sabbath. He had just stated in 6:5 that he had the authority to decide what people could or could not do on the Sabbath day. When he healed the man with the shriveled hand, he confirmed that authority.</w:t>
      </w:r>
    </w:p>
    <w:p>
      <w:pPr/>
      <w:r>
        <w:rPr>
          <w:lang w:val="en_US" w:bidi="en_US"/>
        </w:rPr>
      </w:r>
      <w:r>
        <w:rPr>
          <w:lang w:val="en_US" w:bidi="en_US"/>
        </w:rPr>
        <w:t>The Pharisees’ laws about the Sabbath day stated that it was work to heal a person whose life was not in danger on the Sabbath. So when Jesus healed a man on the Sabbath day, the Pharisees found a reason to accuse him.</w:t>
      </w:r>
    </w:p>
    <w:p>
      <w:pPr>
        <w:pStyle w:val="Heading5"/>
      </w:pPr>
      <w:r>
        <w:rPr>
          <w:lang w:val="en_US" w:bidi="en_US"/>
        </w:rPr>
        <w:t>6:9a</w:t>
      </w:r>
    </w:p>
    <w:p>
      <w:pPr/>
      <w:r>
        <w:rPr>
          <w:lang w:val="en_US" w:bidi="en_US"/>
        </w:rPr>
      </w:r>
      <w:r>
        <w:rPr>
          <w:b/>
          <w:lang w:val="en_US" w:bidi="en_US"/>
        </w:rPr>
        <w:t>Then Jesus said to them,</w:t>
      </w:r>
    </w:p>
    <w:p>
      <w:pPr>
        <w:pStyle w:val="ListBullet"/>
        <w:spacing w:line="240" w:lineRule="auto"/>
        <w:ind w:left="720"/>
      </w:pPr>
      <w:r>
        <w:rPr>
          <w:lang w:val="en_US" w:bidi="en_US"/>
        </w:rPr>
      </w:r>
      <w:r>
        <w:rPr>
          <w:lang w:val="en_US" w:bidi="en_US"/>
        </w:rPr>
        <w:t xml:space="preserve">Then Jesus said to the </w:t>
      </w:r>
      <w:r>
        <w:rPr>
          <w:lang w:val="en_US" w:bidi="en_US"/>
        </w:rPr>
        <w:t>Pharisees and teachers of the law</w:t>
      </w:r>
      <w:r>
        <w:rPr>
          <w:lang w:val="en_US" w:bidi="en_US"/>
        </w:rPr>
        <w:t>,</w:t>
      </w:r>
    </w:p>
    <w:p>
      <w:pPr>
        <w:pStyle w:val="ListBullet"/>
        <w:spacing w:line="240" w:lineRule="auto"/>
        <w:ind w:left="720"/>
      </w:pPr>
      <w:r>
        <w:rPr>
          <w:lang w:val="en_US" w:bidi="en_US"/>
        </w:rPr>
      </w:r>
      <w:r>
        <w:rPr>
          <w:lang w:val="en_US" w:bidi="en_US"/>
        </w:rPr>
        <w:t xml:space="preserve">Then Jesus turned to the </w:t>
      </w:r>
      <w:r>
        <w:rPr>
          <w:lang w:val="en_US" w:bidi="en_US"/>
        </w:rPr>
        <w:t>Pharisees and experts in the law</w:t>
      </w:r>
      <w:r>
        <w:rPr>
          <w:lang w:val="en_US" w:bidi="en_US"/>
        </w:rPr>
        <w:t xml:space="preserve"> and said,</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introduces the next development in the conflict. Most English versions translate it here as “Then.” A few versions translate it as “And” (RSV). Connect verses 6:8 and 6:9 in the way that is most natural in your language.</w:t>
      </w:r>
    </w:p>
    <w:p>
      <w:pPr/>
      <w:r>
        <w:rPr>
          <w:lang w:val="en_US" w:bidi="en_US"/>
        </w:rPr>
      </w:r>
      <w:r>
        <w:rPr>
          <w:b/>
          <w:lang w:val="en_US" w:bidi="en_US"/>
        </w:rPr>
        <w:t>Jesus said to them:</w:t>
      </w:r>
      <w:r>
        <w:rPr>
          <w:lang w:val="en_US" w:bidi="en_US"/>
        </w:rPr>
        <w:t xml:space="preserve"> Jesus asked the Pharisees and the teachers of the law a question. In some languages, it may be natural to translate this as:</w:t>
      </w:r>
    </w:p>
    <w:p>
      <w:pPr/>
      <w:r>
        <w:rPr>
          <w:lang w:val="en_US" w:bidi="en_US"/>
        </w:rPr>
      </w:r>
      <w:r>
        <w:rPr>
          <w:lang w:val="en_US" w:bidi="en_US"/>
        </w:rPr>
        <w:t>Jesus asked them</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the Pharisees and the teachers of the law. They were the people who wanted to accuse Jesus. The pronoun does not refer to the whole crowd.</w:t>
      </w:r>
    </w:p>
    <w:p>
      <w:pPr>
        <w:pStyle w:val="Heading5"/>
      </w:pPr>
      <w:r>
        <w:rPr>
          <w:lang w:val="en_US" w:bidi="en_US"/>
        </w:rPr>
        <w:t>6:9b–d</w:t>
      </w:r>
    </w:p>
    <w:p>
      <w:pPr/>
      <w:r>
        <w:rPr>
          <w:lang w:val="en_US" w:bidi="en_US"/>
        </w:rPr>
      </w:r>
      <w:r>
        <w:rPr>
          <w:b/>
          <w:lang w:val="en_US" w:bidi="en_US"/>
        </w:rPr>
        <w:t>I ask you, which is lawful on the Sabbath: to do good or to do evil, to save life or to destroy it?:</w:t>
      </w:r>
      <w:r>
        <w:rPr>
          <w:lang w:val="en_US" w:bidi="en_US"/>
        </w:rPr>
        <w:t xml:space="preserve"> This is a rhetorical question. It emphasizes a fact that everyone knew to be true: It was lawful on the Sabbath to do good, not evil. It was also lawful to save life, not to kill. Jesus emphasized this fact in order to challenge the Pharisees and teachers of the law. He challenged them to admit that healing the man on the Sabbath was lawful.</w:t>
      </w:r>
    </w:p>
    <w:p>
      <w:pPr/>
      <w:r>
        <w:rPr>
          <w:lang w:val="en_US" w:bidi="en_US"/>
        </w:rPr>
      </w:r>
      <w:r>
        <w:rPr>
          <w:lang w:val="en_US" w:bidi="en_US"/>
        </w:rPr>
        <w:t>There are at least two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I have a question for you. Does the law permit good deeds on the Sabbath, or is it a day for doing evil? Is this a day to save life or to destroy it? (NLT)</w:t>
      </w:r>
    </w:p>
    <w:p>
      <w:pPr>
        <w:pStyle w:val="ListBullet"/>
        <w:spacing w:line="240" w:lineRule="auto"/>
        <w:ind w:left="720"/>
      </w:pPr>
      <w:r>
        <w:rPr>
          <w:lang w:val="en_US" w:bidi="en_US"/>
        </w:rPr>
      </w:r>
      <w:r>
        <w:rPr>
          <w:lang w:val="en_US" w:bidi="en_US"/>
        </w:rPr>
        <w:t>As a statement and a challenge. For example:</w:t>
      </w:r>
      <w:r>
        <w:rPr>
          <w:lang w:val="en_US" w:bidi="en_US"/>
        </w:rPr>
        <w:t>We know that it is lawful on the Sabbath to do good, and not to do harm. We know that it is lawful to save life, and not to kill. Do you agree with this?</w:t>
      </w:r>
      <w:r>
        <w:rPr>
          <w:lang w:val="en_US" w:bidi="en_US"/>
        </w:rPr>
        <w:t>I want you to consider whether our law permits us to do good or to do evil on the rest day. Tell me whether it permits us to save a person’s life or to kill him.</w:t>
      </w:r>
    </w:p>
    <w:p>
      <w:pPr/>
      <w:r>
        <w:rPr>
          <w:lang w:val="en_US" w:bidi="en_US"/>
        </w:rPr>
      </w:r>
      <w:r>
        <w:rPr>
          <w:lang w:val="en_US" w:bidi="en_US"/>
        </w:rPr>
        <w:t>Use whichever form is most natural in your language to emphasize a fact that everyone knows is true and to express a challenge.</w:t>
      </w:r>
    </w:p>
    <w:p>
      <w:pPr>
        <w:pStyle w:val="Heading5"/>
      </w:pPr>
      <w:r>
        <w:rPr>
          <w:lang w:val="en_US" w:bidi="en_US"/>
        </w:rPr>
        <w:t>6:9b</w:t>
      </w:r>
    </w:p>
    <w:p>
      <w:pPr/>
      <w:r>
        <w:rPr>
          <w:lang w:val="en_US" w:bidi="en_US"/>
        </w:rPr>
      </w:r>
      <w:r>
        <w:rPr>
          <w:b/>
          <w:lang w:val="en_US" w:bidi="en_US"/>
        </w:rPr>
        <w:t>“I ask you, which is lawful on the Sabbath:</w:t>
      </w:r>
    </w:p>
    <w:p>
      <w:pPr>
        <w:pStyle w:val="ListBullet"/>
        <w:spacing w:line="240" w:lineRule="auto"/>
        <w:ind w:left="720"/>
      </w:pPr>
      <w:r>
        <w:rPr>
          <w:lang w:val="en_US" w:bidi="en_US"/>
        </w:rPr>
      </w:r>
      <w:r>
        <w:rPr>
          <w:lang w:val="en_US" w:bidi="en_US"/>
        </w:rPr>
        <w:t>“I have a question for you: Is it allowed/permitted on the Sabbath day</w:t>
      </w:r>
    </w:p>
    <w:p>
      <w:pPr>
        <w:pStyle w:val="ListBullet"/>
        <w:spacing w:line="240" w:lineRule="auto"/>
        <w:ind w:left="720"/>
      </w:pPr>
      <w:r>
        <w:rPr>
          <w:lang w:val="en_US" w:bidi="en_US"/>
        </w:rPr>
      </w:r>
      <w:r>
        <w:rPr>
          <w:lang w:val="en_US" w:bidi="en_US"/>
        </w:rPr>
        <w:t>“Here is a question for you:</w:t>
      </w:r>
      <w:r>
        <w:rPr>
          <w:vertAlign w:val="superscript"/>
          <w:lang w:val="en_US" w:bidi="en_US"/>
        </w:rPr>
        <w:t>(plur)</w:t>
      </w:r>
      <w:r>
        <w:rPr>
          <w:lang w:val="en_US" w:bidi="en_US"/>
        </w:rPr>
        <w:t xml:space="preserve"> What does </w:t>
      </w:r>
      <w:r>
        <w:rPr>
          <w:lang w:val="en_US" w:bidi="en_US"/>
        </w:rPr>
        <w:t>our</w:t>
      </w:r>
      <w:r>
        <w:rPr>
          <w:lang w:val="en_US" w:bidi="en_US"/>
        </w:rPr>
        <w:t xml:space="preserve"> law permit us</w:t>
      </w:r>
      <w:r>
        <w:rPr>
          <w:vertAlign w:val="superscript"/>
          <w:lang w:val="en_US" w:bidi="en_US"/>
        </w:rPr>
        <w:t>(incl)</w:t>
      </w:r>
      <w:r>
        <w:rPr>
          <w:lang w:val="en_US" w:bidi="en_US"/>
        </w:rPr>
        <w:t xml:space="preserve"> to do on the rest day?</w:t>
      </w:r>
    </w:p>
    <w:p>
      <w:pPr>
        <w:pStyle w:val="ListBullet"/>
        <w:spacing w:line="240" w:lineRule="auto"/>
        <w:ind w:left="720"/>
      </w:pPr>
      <w:r>
        <w:rPr>
          <w:lang w:val="en_US" w:bidi="en_US"/>
        </w:rPr>
      </w:r>
      <w:r>
        <w:rPr>
          <w:lang w:val="en_US" w:bidi="en_US"/>
        </w:rPr>
        <w:t>“Here is something to think about: On the day for resting our law permits us</w:t>
      </w:r>
    </w:p>
    <w:p>
      <w:pPr/>
      <w:r>
        <w:rPr>
          <w:lang w:val="en_US" w:bidi="en_US"/>
        </w:rPr>
      </w:r>
      <w:r>
        <w:rPr>
          <w:b/>
          <w:lang w:val="en_US" w:bidi="en_US"/>
        </w:rPr>
        <w:t>I ask you:</w:t>
      </w:r>
      <w:r>
        <w:rPr>
          <w:lang w:val="en_US" w:bidi="en_US"/>
        </w:rPr>
        <w:t xml:space="preserve"> The phrase </w:t>
      </w:r>
      <w:r>
        <w:rPr>
          <w:i/>
          <w:lang w:val="en_US" w:bidi="en_US"/>
        </w:rPr>
        <w:t>I ask you</w:t>
      </w:r>
      <w:r>
        <w:rPr>
          <w:lang w:val="en_US" w:bidi="en_US"/>
        </w:rPr>
        <w:t xml:space="preserve"> introduces a question. Some other ways to translate this are:</w:t>
      </w:r>
    </w:p>
    <w:p>
      <w:pPr/>
      <w:r>
        <w:rPr>
          <w:lang w:val="en_US" w:bidi="en_US"/>
        </w:rPr>
      </w:r>
      <w:r>
        <w:rPr>
          <w:lang w:val="en_US" w:bidi="en_US"/>
        </w:rPr>
        <w:t>I have a question for you. (NLT)</w:t>
      </w:r>
    </w:p>
    <w:p>
      <w:pPr/>
      <w:r>
        <w:rPr>
          <w:lang w:val="en_US" w:bidi="en_US"/>
        </w:rPr>
      </w:r>
      <w:r>
        <w:rPr>
          <w:lang w:val="en_US" w:bidi="en_US"/>
        </w:rPr>
        <w:t>Here is a question:</w:t>
      </w:r>
    </w:p>
    <w:p>
      <w:pPr/>
      <w:r>
        <w:rPr>
          <w:lang w:val="en_US" w:bidi="en_US"/>
        </w:rPr>
      </w:r>
      <w:r>
        <w:rPr>
          <w:lang w:val="en_US" w:bidi="en_US"/>
        </w:rPr>
        <w:t>Consider this:</w:t>
      </w:r>
    </w:p>
    <w:p>
      <w:pPr/>
      <w:r>
        <w:rPr>
          <w:lang w:val="en_US" w:bidi="en_US"/>
        </w:rPr>
      </w:r>
      <w:r>
        <w:rPr>
          <w:b/>
          <w:lang w:val="en_US" w:bidi="en_US"/>
        </w:rPr>
        <w:t>which is lawful:</w:t>
      </w:r>
      <w:r>
        <w:rPr>
          <w:lang w:val="en_US" w:bidi="en_US"/>
        </w:rPr>
        <w:t xml:space="preserve"> The Greek word that the BSB translates as </w:t>
      </w:r>
      <w:r>
        <w:rPr>
          <w:i/>
          <w:lang w:val="en_US" w:bidi="en_US"/>
        </w:rPr>
        <w:t>lawful</w:t>
      </w:r>
      <w:r>
        <w:rPr>
          <w:lang w:val="en_US" w:bidi="en_US"/>
        </w:rPr>
        <w:t xml:space="preserve"> means “permitted </w:t>
      </w:r>
      <w:r>
        <w:rPr>
          <w:lang w:val="en_US" w:bidi="en_US"/>
        </w:rPr>
        <w:t>in the religious law</w:t>
      </w:r>
      <w:r>
        <w:rPr>
          <w:lang w:val="en_US" w:bidi="en_US"/>
        </w:rPr>
        <w:t>.” It is the same word that was used in 6:2b and 6:4b. You should translate it in the same way here. Some other ways to translate this word are:</w:t>
      </w:r>
    </w:p>
    <w:p>
      <w:pPr/>
      <w:r>
        <w:rPr>
          <w:lang w:val="en_US" w:bidi="en_US"/>
        </w:rPr>
      </w:r>
      <w:r>
        <w:rPr>
          <w:lang w:val="en_US" w:bidi="en_US"/>
        </w:rPr>
        <w:t>Does the law permit (NLT)</w:t>
      </w:r>
    </w:p>
    <w:p>
      <w:pPr/>
      <w:r>
        <w:rPr>
          <w:lang w:val="en_US" w:bidi="en_US"/>
        </w:rPr>
      </w:r>
      <w:r>
        <w:rPr>
          <w:lang w:val="en_US" w:bidi="en_US"/>
        </w:rPr>
        <w:t>Is it legal (NLT96)</w:t>
      </w:r>
    </w:p>
    <w:p>
      <w:pPr/>
      <w:r>
        <w:rPr>
          <w:lang w:val="en_US" w:bidi="en_US"/>
        </w:rPr>
      </w:r>
      <w:r>
        <w:rPr>
          <w:lang w:val="en_US" w:bidi="en_US"/>
        </w:rPr>
        <w:t>what is the right thing (GW)</w:t>
      </w:r>
    </w:p>
    <w:p>
      <w:pPr/>
      <w:r>
        <w:rPr>
          <w:lang w:val="en_US" w:bidi="en_US"/>
        </w:rPr>
      </w:r>
      <w:r>
        <w:rPr>
          <w:b/>
          <w:lang w:val="en_US" w:bidi="en_US"/>
        </w:rPr>
        <w:t>Sabbath:</w:t>
      </w:r>
      <w:r>
        <w:rPr>
          <w:lang w:val="en_US" w:bidi="en_US"/>
        </w:rPr>
        <w:t xml:space="preserve"> For advice on translating the word </w:t>
      </w:r>
      <w:r>
        <w:rPr>
          <w:i/>
          <w:lang w:val="en_US" w:bidi="en_US"/>
        </w:rPr>
        <w:t>Sabbath</w:t>
      </w:r>
      <w:r>
        <w:rPr>
          <w:lang w:val="en_US" w:bidi="en_US"/>
        </w:rPr>
        <w:t>, see the note at 6:1a.</w:t>
      </w:r>
    </w:p>
    <w:p>
      <w:pPr>
        <w:pStyle w:val="Heading5"/>
      </w:pPr>
      <w:r>
        <w:rPr>
          <w:lang w:val="en_US" w:bidi="en_US"/>
        </w:rPr>
        <w:t>6:9c</w:t>
      </w:r>
    </w:p>
    <w:p>
      <w:pPr/>
      <w:r>
        <w:rPr>
          <w:lang w:val="en_US" w:bidi="en_US"/>
        </w:rPr>
      </w:r>
      <w:r>
        <w:rPr>
          <w:b/>
          <w:lang w:val="en_US" w:bidi="en_US"/>
        </w:rPr>
        <w:t>to do good or to do evil,</w:t>
      </w:r>
    </w:p>
    <w:p>
      <w:pPr>
        <w:pStyle w:val="ListBullet"/>
        <w:spacing w:line="240" w:lineRule="auto"/>
        <w:ind w:left="720"/>
      </w:pPr>
      <w:r>
        <w:rPr>
          <w:lang w:val="en_US" w:bidi="en_US"/>
        </w:rPr>
      </w:r>
      <w:r>
        <w:rPr>
          <w:lang w:val="en_US" w:bidi="en_US"/>
        </w:rPr>
        <w:t>to do good or to do evil?</w:t>
      </w:r>
    </w:p>
    <w:p>
      <w:pPr>
        <w:pStyle w:val="ListBullet"/>
        <w:spacing w:line="240" w:lineRule="auto"/>
        <w:ind w:left="720"/>
      </w:pPr>
      <w:r>
        <w:rPr>
          <w:lang w:val="en_US" w:bidi="en_US"/>
        </w:rPr>
      </w:r>
      <w:r>
        <w:rPr>
          <w:lang w:val="en_US" w:bidi="en_US"/>
        </w:rPr>
        <w:t>Does it permit us</w:t>
      </w:r>
      <w:r>
        <w:rPr>
          <w:vertAlign w:val="superscript"/>
          <w:lang w:val="en_US" w:bidi="en_US"/>
        </w:rPr>
        <w:t>(incl)</w:t>
      </w:r>
      <w:r>
        <w:rPr>
          <w:lang w:val="en_US" w:bidi="en_US"/>
        </w:rPr>
        <w:t xml:space="preserve"> to help people? Or </w:t>
      </w:r>
      <w:r>
        <w:rPr>
          <w:lang w:val="en_US" w:bidi="en_US"/>
        </w:rPr>
        <w:t>does it permit us</w:t>
      </w:r>
      <w:r>
        <w:rPr>
          <w:lang w:val="en_US" w:bidi="en_US"/>
        </w:rPr>
        <w:t xml:space="preserve"> to harm people/them?</w:t>
      </w:r>
    </w:p>
    <w:p>
      <w:pPr>
        <w:pStyle w:val="ListBullet"/>
        <w:spacing w:line="240" w:lineRule="auto"/>
        <w:ind w:left="720"/>
      </w:pPr>
      <w:r>
        <w:rPr>
          <w:lang w:val="en_US" w:bidi="en_US"/>
        </w:rPr>
      </w:r>
      <w:r>
        <w:rPr>
          <w:lang w:val="en_US" w:bidi="en_US"/>
        </w:rPr>
        <w:t>to do good, not evil.</w:t>
      </w:r>
    </w:p>
    <w:p>
      <w:pPr/>
      <w:r>
        <w:rPr>
          <w:lang w:val="en_US" w:bidi="en_US"/>
        </w:rPr>
      </w:r>
      <w:r>
        <w:rPr>
          <w:b/>
          <w:lang w:val="en_US" w:bidi="en_US"/>
        </w:rPr>
        <w:t>to do good or to do evil:</w:t>
      </w:r>
      <w:r>
        <w:rPr>
          <w:lang w:val="en_US" w:bidi="en_US"/>
        </w:rPr>
        <w:t xml:space="preserve"> The terms </w:t>
      </w:r>
      <w:r>
        <w:rPr>
          <w:i/>
          <w:lang w:val="en_US" w:bidi="en_US"/>
        </w:rPr>
        <w:t>good</w:t>
      </w:r>
      <w:r>
        <w:rPr>
          <w:lang w:val="en_US" w:bidi="en_US"/>
        </w:rPr>
        <w:t xml:space="preserve"> and </w:t>
      </w:r>
      <w:r>
        <w:rPr>
          <w:i/>
          <w:lang w:val="en_US" w:bidi="en_US"/>
        </w:rPr>
        <w:t>evil</w:t>
      </w:r>
      <w:r>
        <w:rPr>
          <w:lang w:val="en_US" w:bidi="en_US"/>
        </w:rPr>
        <w:t xml:space="preserve"> are very general terms. Use general terms to describe what is morally good/right and what is morally evil/wrong. You could also use a term that means to help people and a term that means to hurt or harm people. For example:</w:t>
      </w:r>
    </w:p>
    <w:p>
      <w:pPr/>
      <w:r>
        <w:rPr>
          <w:lang w:val="en_US" w:bidi="en_US"/>
        </w:rPr>
      </w:r>
      <w:r>
        <w:rPr>
          <w:lang w:val="en_US" w:bidi="en_US"/>
        </w:rPr>
        <w:t>To help or to harm? (GNT)</w:t>
      </w:r>
    </w:p>
    <w:p>
      <w:pPr/>
      <w:r>
        <w:rPr>
          <w:lang w:val="en_US" w:bidi="en_US"/>
        </w:rPr>
      </w:r>
      <w:r>
        <w:rPr>
          <w:lang w:val="en_US" w:bidi="en_US"/>
        </w:rPr>
        <w:t xml:space="preserve">to help </w:t>
      </w:r>
      <w:r>
        <w:rPr>
          <w:lang w:val="en_US" w:bidi="en_US"/>
        </w:rPr>
        <w:t>someone</w:t>
      </w:r>
      <w:r>
        <w:rPr>
          <w:lang w:val="en_US" w:bidi="en_US"/>
        </w:rPr>
        <w:t xml:space="preserve"> or to harm </w:t>
      </w:r>
      <w:r>
        <w:rPr>
          <w:lang w:val="en_US" w:bidi="en_US"/>
        </w:rPr>
        <w:t>someone</w:t>
      </w:r>
    </w:p>
    <w:p>
      <w:pPr>
        <w:pStyle w:val="Heading5"/>
      </w:pPr>
      <w:r>
        <w:rPr>
          <w:lang w:val="en_US" w:bidi="en_US"/>
        </w:rPr>
        <w:t>6:9d</w:t>
      </w:r>
    </w:p>
    <w:p>
      <w:pPr/>
      <w:r>
        <w:rPr>
          <w:lang w:val="en_US" w:bidi="en_US"/>
        </w:rPr>
      </w:r>
      <w:r>
        <w:rPr>
          <w:b/>
          <w:lang w:val="en_US" w:bidi="en_US"/>
        </w:rPr>
        <w:t>to save life or to destroy it?”</w:t>
      </w:r>
    </w:p>
    <w:p>
      <w:pPr>
        <w:pStyle w:val="ListBullet"/>
        <w:spacing w:line="240" w:lineRule="auto"/>
        <w:ind w:left="720"/>
      </w:pPr>
      <w:r>
        <w:rPr>
          <w:lang w:val="en_US" w:bidi="en_US"/>
        </w:rPr>
      </w:r>
      <w:r>
        <w:rPr>
          <w:lang w:val="en_US" w:bidi="en_US"/>
        </w:rPr>
        <w:t>Is it allowed/permitted</w:t>
      </w:r>
      <w:r>
        <w:rPr>
          <w:lang w:val="en_US" w:bidi="en_US"/>
        </w:rPr>
        <w:t xml:space="preserve"> to save/rescue someone </w:t>
      </w:r>
      <w:r>
        <w:rPr>
          <w:lang w:val="en_US" w:bidi="en_US"/>
        </w:rPr>
        <w:t>from danger/death</w:t>
      </w:r>
      <w:r>
        <w:rPr>
          <w:lang w:val="en_US" w:bidi="en_US"/>
        </w:rPr>
        <w:t xml:space="preserve"> or to kill someone </w:t>
      </w:r>
      <w:r>
        <w:rPr>
          <w:lang w:val="en_US" w:bidi="en_US"/>
        </w:rPr>
        <w:t>on the Sabbath day</w:t>
      </w:r>
      <w:r>
        <w:rPr>
          <w:lang w:val="en_US" w:bidi="en_US"/>
        </w:rPr>
        <w:t>?”</w:t>
      </w:r>
    </w:p>
    <w:p>
      <w:pPr>
        <w:pStyle w:val="ListBullet"/>
        <w:spacing w:line="240" w:lineRule="auto"/>
        <w:ind w:left="720"/>
      </w:pPr>
      <w:r>
        <w:rPr>
          <w:lang w:val="en_US" w:bidi="en_US"/>
        </w:rPr>
      </w:r>
      <w:r>
        <w:rPr>
          <w:lang w:val="en_US" w:bidi="en_US"/>
        </w:rPr>
        <w:t xml:space="preserve">Does it permit us </w:t>
      </w:r>
      <w:r>
        <w:rPr>
          <w:lang w:val="en_US" w:bidi="en_US"/>
        </w:rPr>
        <w:t>on the rest day</w:t>
      </w:r>
      <w:r>
        <w:rPr>
          <w:lang w:val="en_US" w:bidi="en_US"/>
        </w:rPr>
        <w:t xml:space="preserve"> to preserve life or to take away life?”</w:t>
      </w:r>
    </w:p>
    <w:p>
      <w:pPr>
        <w:pStyle w:val="ListBullet"/>
        <w:spacing w:line="240" w:lineRule="auto"/>
        <w:ind w:left="720"/>
      </w:pPr>
      <w:r>
        <w:rPr>
          <w:lang w:val="en_US" w:bidi="en_US"/>
        </w:rPr>
      </w:r>
      <w:r>
        <w:rPr>
          <w:lang w:val="en_US" w:bidi="en_US"/>
        </w:rPr>
        <w:t>It permits us</w:t>
      </w:r>
      <w:r>
        <w:rPr>
          <w:lang w:val="en_US" w:bidi="en_US"/>
        </w:rPr>
        <w:t xml:space="preserve"> to save life on the day for resting, not to destroy/kill </w:t>
      </w:r>
      <w:r>
        <w:rPr>
          <w:lang w:val="en_US" w:bidi="en_US"/>
        </w:rPr>
        <w:t>a life</w:t>
      </w:r>
      <w:r>
        <w:rPr>
          <w:lang w:val="en_US" w:bidi="en_US"/>
        </w:rPr>
        <w:t>. Do you agree with that?”</w:t>
      </w:r>
    </w:p>
    <w:p>
      <w:pPr/>
      <w:r>
        <w:rPr>
          <w:lang w:val="en_US" w:bidi="en_US"/>
        </w:rPr>
      </w:r>
      <w:r>
        <w:rPr>
          <w:b/>
          <w:lang w:val="en_US" w:bidi="en_US"/>
        </w:rPr>
        <w:t>to save life:</w:t>
      </w:r>
      <w:r>
        <w:rPr>
          <w:lang w:val="en_US" w:bidi="en_US"/>
        </w:rPr>
        <w:t xml:space="preserve"> The phrase </w:t>
      </w:r>
      <w:r>
        <w:rPr>
          <w:i/>
          <w:lang w:val="en_US" w:bidi="en_US"/>
        </w:rPr>
        <w:t>to save life</w:t>
      </w:r>
      <w:r>
        <w:rPr>
          <w:lang w:val="en_US" w:bidi="en_US"/>
        </w:rPr>
        <w:t xml:space="preserve"> in this context refers to saving someone from danger or distress. If you cannot speak generally about saving </w:t>
      </w:r>
      <w:r>
        <w:rPr>
          <w:i/>
          <w:lang w:val="en_US" w:bidi="en_US"/>
        </w:rPr>
        <w:t>life</w:t>
      </w:r>
      <w:r>
        <w:rPr>
          <w:lang w:val="en_US" w:bidi="en_US"/>
        </w:rPr>
        <w:t>, you could say:</w:t>
      </w:r>
    </w:p>
    <w:p>
      <w:pPr/>
      <w:r>
        <w:rPr>
          <w:lang w:val="en_US" w:bidi="en_US"/>
        </w:rPr>
      </w:r>
      <w:r>
        <w:rPr>
          <w:lang w:val="en_US" w:bidi="en_US"/>
        </w:rPr>
        <w:t xml:space="preserve">to save/rescue </w:t>
      </w:r>
      <w:r>
        <w:rPr>
          <w:u w:val="single"/>
          <w:lang w:val="en_US" w:bidi="en_US"/>
        </w:rPr>
        <w:t>a person</w:t>
      </w:r>
    </w:p>
    <w:p>
      <w:pPr/>
      <w:r>
        <w:rPr>
          <w:lang w:val="en_US" w:bidi="en_US"/>
        </w:rPr>
      </w:r>
      <w:r>
        <w:rPr>
          <w:lang w:val="en_US" w:bidi="en_US"/>
        </w:rPr>
        <w:t xml:space="preserve">to save/rescue </w:t>
      </w:r>
      <w:r>
        <w:rPr>
          <w:u w:val="single"/>
          <w:lang w:val="en_US" w:bidi="en_US"/>
        </w:rPr>
        <w:t>a person</w:t>
      </w:r>
      <w:r>
        <w:rPr>
          <w:lang w:val="en_US" w:bidi="en_US"/>
        </w:rPr>
        <w:t xml:space="preserve"> </w:t>
      </w:r>
      <w:r>
        <w:rPr>
          <w:lang w:val="en_US" w:bidi="en_US"/>
        </w:rPr>
        <w:t>from danger/death</w:t>
      </w:r>
    </w:p>
    <w:p>
      <w:pPr/>
      <w:r>
        <w:rPr>
          <w:lang w:val="en_US" w:bidi="en_US"/>
        </w:rPr>
      </w:r>
      <w:r>
        <w:rPr>
          <w:lang w:val="en_US" w:bidi="en_US"/>
        </w:rPr>
        <w:t>See save, Meaning 1a, in the Glossary.</w:t>
      </w:r>
    </w:p>
    <w:p>
      <w:pPr/>
      <w:r>
        <w:rPr>
          <w:lang w:val="en_US" w:bidi="en_US"/>
        </w:rPr>
      </w:r>
      <w:r>
        <w:rPr>
          <w:b/>
          <w:lang w:val="en_US" w:bidi="en_US"/>
        </w:rPr>
        <w:t>to destroy it:</w:t>
      </w:r>
      <w:r>
        <w:rPr>
          <w:lang w:val="en_US" w:bidi="en_US"/>
        </w:rPr>
        <w:t xml:space="preserve"> The phrase </w:t>
      </w:r>
      <w:r>
        <w:rPr>
          <w:i/>
          <w:lang w:val="en_US" w:bidi="en_US"/>
        </w:rPr>
        <w:t>to destroy it</w:t>
      </w:r>
      <w:r>
        <w:rPr>
          <w:lang w:val="en_US" w:bidi="en_US"/>
        </w:rPr>
        <w:t xml:space="preserve"> means “to destroy a life” or “to kill.” If you have an expression similar to “save </w:t>
      </w:r>
      <w:r>
        <w:rPr>
          <w:u w:val="single"/>
          <w:lang w:val="en_US" w:bidi="en_US"/>
        </w:rPr>
        <w:t>a life</w:t>
      </w:r>
      <w:r>
        <w:rPr>
          <w:lang w:val="en_US" w:bidi="en_US"/>
        </w:rPr>
        <w:t xml:space="preserve">,” use an expression here that contrasts with it, even if your expression does not use the word “destroy.” If you must speak about saving </w:t>
      </w:r>
      <w:r>
        <w:rPr>
          <w:u w:val="single"/>
          <w:lang w:val="en_US" w:bidi="en_US"/>
        </w:rPr>
        <w:t>a person</w:t>
      </w:r>
      <w:r>
        <w:rPr>
          <w:lang w:val="en_US" w:bidi="en_US"/>
        </w:rPr>
        <w:t>, then you could simply say “to kill” or “to kill a person” here.</w:t>
      </w:r>
    </w:p>
    <w:p>
      <w:pPr>
        <w:pStyle w:val="Heading6"/>
      </w:pPr>
      <w:r>
        <w:rPr>
          <w:b/>
          <w:lang w:val="en_US" w:bidi="en_US"/>
        </w:rPr>
        <w:t>General Comment on 6:9b–d</w:t>
      </w:r>
    </w:p>
    <w:p>
      <w:pPr/>
      <w:r>
        <w:rPr>
          <w:lang w:val="en_US" w:bidi="en_US"/>
        </w:rPr>
      </w:r>
      <w:r>
        <w:rPr>
          <w:lang w:val="en_US" w:bidi="en_US"/>
        </w:rPr>
        <w:t>In some languages, it may be clearer to express 6:9b–d as four separate questions or statements. For example:</w:t>
      </w:r>
    </w:p>
    <w:p>
      <w:pPr/>
      <w:r>
        <w:rPr>
          <w:lang w:val="en_US" w:bidi="en_US"/>
        </w:rPr>
      </w:r>
      <w:r>
        <w:rPr>
          <w:lang w:val="en_US" w:bidi="en_US"/>
        </w:rPr>
        <w:t xml:space="preserve">Does our Law allow </w:t>
      </w:r>
      <w:r>
        <w:rPr>
          <w:lang w:val="en_US" w:bidi="en_US"/>
        </w:rPr>
        <w:t>us</w:t>
      </w:r>
      <w:r>
        <w:rPr>
          <w:lang w:val="en_US" w:bidi="en_US"/>
        </w:rPr>
        <w:t xml:space="preserve"> to do good on the Sabbath? Or does it allow </w:t>
      </w:r>
      <w:r>
        <w:rPr>
          <w:lang w:val="en_US" w:bidi="en_US"/>
        </w:rPr>
        <w:t>us</w:t>
      </w:r>
      <w:r>
        <w:rPr>
          <w:lang w:val="en_US" w:bidi="en_US"/>
        </w:rPr>
        <w:t xml:space="preserve"> to do evil? Does it allow us to save </w:t>
      </w:r>
      <w:r>
        <w:rPr>
          <w:lang w:val="en_US" w:bidi="en_US"/>
        </w:rPr>
        <w:t>someone’s</w:t>
      </w:r>
      <w:r>
        <w:rPr>
          <w:lang w:val="en_US" w:bidi="en_US"/>
        </w:rPr>
        <w:t xml:space="preserve"> life? Or does it allow </w:t>
      </w:r>
      <w:r>
        <w:rPr>
          <w:lang w:val="en_US" w:bidi="en_US"/>
        </w:rPr>
        <w:t>us</w:t>
      </w:r>
      <w:r>
        <w:rPr>
          <w:lang w:val="en_US" w:bidi="en_US"/>
        </w:rPr>
        <w:t xml:space="preserve"> to kill </w:t>
      </w:r>
      <w:r>
        <w:rPr>
          <w:lang w:val="en_US" w:bidi="en_US"/>
        </w:rPr>
        <w:t>someone</w:t>
      </w:r>
      <w:r>
        <w:rPr>
          <w:lang w:val="en_US" w:bidi="en_US"/>
        </w:rPr>
        <w:t>?</w:t>
      </w:r>
    </w:p>
    <w:p>
      <w:pPr/>
      <w:r>
        <w:rPr>
          <w:lang w:val="en_US" w:bidi="en_US"/>
        </w:rPr>
      </w:r>
      <w:r>
        <w:rPr>
          <w:lang w:val="en_US" w:bidi="en_US"/>
        </w:rPr>
        <w:t>In other languages, it may be more natural to express 6:9b–d as two questions. One question could refer to the actions of doing good and saving life. The other question could refer to the actions of doing evil and killing. For example:</w:t>
      </w:r>
    </w:p>
    <w:p>
      <w:pPr/>
      <w:r>
        <w:rPr>
          <w:lang w:val="en_US" w:bidi="en_US"/>
        </w:rPr>
      </w:r>
      <w:r>
        <w:rPr>
          <w:lang w:val="en_US" w:bidi="en_US"/>
        </w:rPr>
        <w:t xml:space="preserve">Is it lawful to do good and to save </w:t>
      </w:r>
      <w:r>
        <w:rPr>
          <w:lang w:val="en_US" w:bidi="en_US"/>
        </w:rPr>
        <w:t>a</w:t>
      </w:r>
      <w:r>
        <w:rPr>
          <w:lang w:val="en_US" w:bidi="en_US"/>
        </w:rPr>
        <w:t xml:space="preserve"> life? Or it is lawful to do evil and to kill </w:t>
      </w:r>
      <w:r>
        <w:rPr>
          <w:lang w:val="en_US" w:bidi="en_US"/>
        </w:rPr>
        <w:t>someone</w:t>
      </w:r>
      <w:r>
        <w:rPr>
          <w:lang w:val="en_US" w:bidi="en_US"/>
        </w:rPr>
        <w:t>?</w:t>
      </w:r>
      <w:r>
        <w:rPr>
          <w:lang w:val="en_US" w:bidi="en_US"/>
        </w:rPr>
      </w:r>
      <w:r>
        <w:rPr>
          <w:lang w:val="en_US" w:bidi="en_US"/>
        </w:rPr>
      </w:r>
    </w:p>
    <w:p>
      <w:pPr/>
      <w:r>
        <w:rPr>
          <w:lang w:val="en_US" w:bidi="en_US"/>
        </w:rPr>
      </w:r>
    </w:p>
    <w:p>
      <w:pPr>
        <w:pStyle w:val="Heading2"/>
      </w:pPr>
      <w:r>
        <w:rPr>
          <w:lang w:val="en_US" w:bidi="en_US"/>
        </w:rPr>
        <w:t>Luke 6:10</w:t>
      </w:r>
      <w:r>
        <w:rPr>
          <w:lang w:val="en_US" w:bidi="en_US"/>
        </w:rPr>
      </w:r>
    </w:p>
    <w:p>
      <w:pPr>
        <w:pStyle w:val="Heading4"/>
      </w:pPr>
      <w:r>
        <w:rPr>
          <w:lang w:val="en_US" w:bidi="en_US"/>
        </w:rPr>
        <w:t>Section 6:1–11: Jesus taught that he was Lord of the Sabbath</w:t>
      </w:r>
    </w:p>
    <w:p>
      <w:pPr/>
      <w:r>
        <w:rPr>
          <w:lang w:val="en_US" w:bidi="en_US"/>
        </w:rPr>
      </w:r>
      <w:r>
        <w:rPr>
          <w:lang w:val="en_US" w:bidi="en_US"/>
        </w:rP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pPr/>
      <w:r>
        <w:rPr>
          <w:lang w:val="en_US" w:bidi="en_US"/>
        </w:rPr>
      </w:r>
      <w:r>
        <w:rPr>
          <w:lang w:val="en_US" w:bidi="en_US"/>
        </w:rP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pPr/>
      <w:r>
        <w:rPr>
          <w:lang w:val="en_US" w:bidi="en_US"/>
        </w:rPr>
      </w:r>
      <w:r>
        <w:rPr>
          <w:lang w:val="en_US" w:bidi="en_US"/>
        </w:rPr>
        <w:t>Some other possible headings for this section are:</w:t>
      </w:r>
    </w:p>
    <w:p>
      <w:pPr/>
      <w:r>
        <w:rPr>
          <w:lang w:val="en_US" w:bidi="en_US"/>
        </w:rPr>
      </w:r>
      <w:r>
        <w:rPr>
          <w:lang w:val="en_US" w:bidi="en_US"/>
        </w:rPr>
        <w:t>The Pharisees and Jesus disagreed about Sabbath-day laws</w:t>
      </w:r>
    </w:p>
    <w:p>
      <w:pPr/>
      <w:r>
        <w:rPr>
          <w:lang w:val="en_US" w:bidi="en_US"/>
        </w:rPr>
      </w:r>
      <w:r>
        <w:rPr>
          <w:lang w:val="en_US" w:bidi="en_US"/>
        </w:rPr>
        <w:t>Jesus showed/taught the true meaning/use of the Sabbath day</w:t>
      </w:r>
    </w:p>
    <w:p>
      <w:pPr/>
      <w:r>
        <w:rPr>
          <w:lang w:val="en_US" w:bidi="en_US"/>
        </w:rPr>
      </w:r>
      <w:r>
        <w:rPr>
          <w:lang w:val="en_US" w:bidi="en_US"/>
        </w:rPr>
        <w:t>A Discussion about the Sabbath (NLT)</w:t>
      </w:r>
    </w:p>
    <w:p>
      <w:pPr/>
      <w:r>
        <w:rPr>
          <w:lang w:val="en_US" w:bidi="en_US"/>
        </w:rPr>
      </w:r>
      <w:r>
        <w:rPr>
          <w:lang w:val="en_US" w:bidi="en_US"/>
        </w:rPr>
        <w:t>There are parallel passages in Matthew 12:1–14 and Mark 2:23–3:6.</w:t>
      </w:r>
    </w:p>
    <w:p>
      <w:pPr>
        <w:pStyle w:val="Heading4"/>
      </w:pPr>
      <w:r>
        <w:rPr>
          <w:lang w:val="en_US" w:bidi="en_US"/>
        </w:rPr>
        <w:t>Paragraph 6:6–11</w:t>
      </w:r>
    </w:p>
    <w:p>
      <w:pPr/>
      <w:r>
        <w:rPr>
          <w:lang w:val="en_US" w:bidi="en_US"/>
        </w:rPr>
      </w:r>
      <w:r>
        <w:rPr>
          <w:lang w:val="en_US" w:bidi="en_US"/>
        </w:rPr>
        <w:t>In this paragraph, Jesus demonstrated his authority over the Sabbath. He had just stated in 6:5 that he had the authority to decide what people could or could not do on the Sabbath day. When he healed the man with the shriveled hand, he confirmed that authority.</w:t>
      </w:r>
    </w:p>
    <w:p>
      <w:pPr/>
      <w:r>
        <w:rPr>
          <w:lang w:val="en_US" w:bidi="en_US"/>
        </w:rPr>
      </w:r>
      <w:r>
        <w:rPr>
          <w:lang w:val="en_US" w:bidi="en_US"/>
        </w:rPr>
        <w:t>The Pharisees’ laws about the Sabbath day stated that it was work to heal a person whose life was not in danger on the Sabbath. So when Jesus healed a man on the Sabbath day, the Pharisees found a reason to accuse him.</w:t>
      </w:r>
    </w:p>
    <w:p>
      <w:pPr>
        <w:pStyle w:val="Heading5"/>
      </w:pPr>
      <w:r>
        <w:rPr>
          <w:lang w:val="en_US" w:bidi="en_US"/>
        </w:rPr>
        <w:t>6:10a</w:t>
      </w:r>
    </w:p>
    <w:p>
      <w:pPr/>
      <w:r>
        <w:rPr>
          <w:lang w:val="en_US" w:bidi="en_US"/>
        </w:rPr>
      </w:r>
      <w:r>
        <w:rPr>
          <w:b/>
          <w:lang w:val="en_US" w:bidi="en_US"/>
        </w:rPr>
        <w:t>And after looking around at all of them, He said to the man,</w:t>
      </w:r>
    </w:p>
    <w:p>
      <w:pPr>
        <w:pStyle w:val="ListBullet"/>
        <w:spacing w:line="240" w:lineRule="auto"/>
        <w:ind w:left="720"/>
      </w:pPr>
      <w:r>
        <w:rPr>
          <w:lang w:val="en_US" w:bidi="en_US"/>
        </w:rPr>
      </w:r>
      <w:r>
        <w:rPr>
          <w:lang w:val="en_US" w:bidi="en_US"/>
        </w:rPr>
        <w:t>He looked around at everyone. Then he said to the man,</w:t>
      </w:r>
    </w:p>
    <w:p>
      <w:pPr>
        <w:pStyle w:val="ListBullet"/>
        <w:spacing w:line="240" w:lineRule="auto"/>
        <w:ind w:left="720"/>
      </w:pPr>
      <w:r>
        <w:rPr>
          <w:lang w:val="en_US" w:bidi="en_US"/>
        </w:rPr>
      </w:r>
      <w:r>
        <w:rPr>
          <w:lang w:val="en_US" w:bidi="en_US"/>
        </w:rPr>
        <w:t>After he had looked around at everyone, he told the man (CEV)</w:t>
      </w:r>
    </w:p>
    <w:p>
      <w:pPr/>
      <w:r>
        <w:rPr>
          <w:lang w:val="en_US" w:bidi="en_US"/>
        </w:rPr>
      </w:r>
      <w:r>
        <w:rPr>
          <w:b/>
          <w:lang w:val="en_US" w:bidi="en_US"/>
        </w:rPr>
        <w:t>And after looking around at all of them, He said to the man:</w:t>
      </w:r>
      <w:r>
        <w:rPr>
          <w:lang w:val="en_US" w:bidi="en_US"/>
        </w:rPr>
        <w:t xml:space="preserve"> In Greek, this is literally “and looking around at them all, he said to him.” Most English versions make explicit that Jesus waited until he had looked at them all before he spoke to the man. For example:</w:t>
      </w:r>
    </w:p>
    <w:p>
      <w:pPr/>
      <w:r>
        <w:rPr>
          <w:lang w:val="en_US" w:bidi="en_US"/>
        </w:rPr>
      </w:r>
      <w:r>
        <w:rPr>
          <w:lang w:val="en_US" w:bidi="en_US"/>
        </w:rPr>
        <w:t xml:space="preserve">He looked around at them all, and </w:t>
      </w:r>
      <w:r>
        <w:rPr>
          <w:u w:val="single"/>
          <w:lang w:val="en_US" w:bidi="en_US"/>
        </w:rPr>
        <w:t>then</w:t>
      </w:r>
      <w:r>
        <w:rPr>
          <w:lang w:val="en_US" w:bidi="en_US"/>
        </w:rPr>
        <w:t xml:space="preserve"> said to the man (NIV)</w:t>
      </w:r>
    </w:p>
    <w:p>
      <w:pPr/>
      <w:r>
        <w:rPr>
          <w:lang w:val="en_US" w:bidi="en_US"/>
        </w:rPr>
      </w:r>
      <w:r>
        <w:rPr>
          <w:u w:val="single"/>
          <w:lang w:val="en_US" w:bidi="en_US"/>
        </w:rPr>
        <w:t>After</w:t>
      </w:r>
      <w:r>
        <w:rPr>
          <w:lang w:val="en_US" w:bidi="en_US"/>
        </w:rPr>
        <w:t xml:space="preserve"> looking around at them all, he said to the man (NET)</w:t>
      </w:r>
    </w:p>
    <w:p>
      <w:pPr/>
      <w:r>
        <w:rPr>
          <w:lang w:val="en_US" w:bidi="en_US"/>
        </w:rPr>
      </w:r>
      <w:r>
        <w:rPr>
          <w:lang w:val="en_US" w:bidi="en_US"/>
        </w:rPr>
        <w:t>Jesus looked at everyone while he waited to see if anyone would answer his question. The parallel passage in Mark makes it explicit that no one said anything (Mark 3:4).</w:t>
      </w:r>
    </w:p>
    <w:p>
      <w:pPr>
        <w:pStyle w:val="Heading5"/>
      </w:pPr>
      <w:r>
        <w:rPr>
          <w:lang w:val="en_US" w:bidi="en_US"/>
        </w:rPr>
        <w:t>6:10b</w:t>
      </w:r>
    </w:p>
    <w:p>
      <w:pPr/>
      <w:r>
        <w:rPr>
          <w:lang w:val="en_US" w:bidi="en_US"/>
        </w:rPr>
      </w:r>
      <w:r>
        <w:rPr>
          <w:b/>
          <w:lang w:val="en_US" w:bidi="en_US"/>
        </w:rPr>
        <w:t>“Stretch out your hand.”</w:t>
      </w:r>
    </w:p>
    <w:p>
      <w:pPr>
        <w:pStyle w:val="ListBullet"/>
        <w:spacing w:line="240" w:lineRule="auto"/>
        <w:ind w:left="720"/>
      </w:pPr>
      <w:r>
        <w:rPr>
          <w:lang w:val="en_US" w:bidi="en_US"/>
        </w:rPr>
      </w:r>
      <w:r>
        <w:rPr>
          <w:lang w:val="en_US" w:bidi="en_US"/>
        </w:rPr>
        <w:t>“Extend your hand/arm.”</w:t>
      </w:r>
    </w:p>
    <w:p>
      <w:pPr>
        <w:pStyle w:val="ListBullet"/>
        <w:spacing w:line="240" w:lineRule="auto"/>
        <w:ind w:left="720"/>
      </w:pPr>
      <w:r>
        <w:rPr>
          <w:lang w:val="en_US" w:bidi="en_US"/>
        </w:rPr>
      </w:r>
      <w:r>
        <w:rPr>
          <w:lang w:val="en_US" w:bidi="en_US"/>
        </w:rPr>
        <w:t>“Hold out your hand.” (NCV)</w:t>
      </w:r>
    </w:p>
    <w:p>
      <w:pPr>
        <w:pStyle w:val="ListBullet"/>
        <w:spacing w:line="240" w:lineRule="auto"/>
        <w:ind w:left="720"/>
      </w:pPr>
      <w:r>
        <w:rPr>
          <w:lang w:val="en_US" w:bidi="en_US"/>
        </w:rPr>
      </w:r>
      <w:r>
        <w:rPr>
          <w:lang w:val="en_US" w:bidi="en_US"/>
        </w:rPr>
        <w:t>to stretch out his hand.</w:t>
      </w:r>
    </w:p>
    <w:p>
      <w:pPr/>
      <w:r>
        <w:rPr>
          <w:lang w:val="en_US" w:bidi="en_US"/>
        </w:rPr>
      </w:r>
      <w:r>
        <w:rPr>
          <w:b/>
          <w:lang w:val="en_US" w:bidi="en_US"/>
        </w:rPr>
        <w:t>Stretch out your hand:</w:t>
      </w:r>
      <w:r>
        <w:rPr>
          <w:lang w:val="en_US" w:bidi="en_US"/>
        </w:rPr>
        <w:t xml:space="preserve"> The Greek word that the BSB translates as </w:t>
      </w:r>
      <w:r>
        <w:rPr>
          <w:i/>
          <w:lang w:val="en_US" w:bidi="en_US"/>
        </w:rPr>
        <w:t>Stretch out</w:t>
      </w:r>
      <w:r>
        <w:rPr>
          <w:lang w:val="en_US" w:bidi="en_US"/>
        </w:rPr>
        <w:t xml:space="preserve"> means “to extend” or “to hold out straight.”</w:t>
      </w:r>
    </w:p>
    <w:p>
      <w:pPr/>
      <w:r>
        <w:rPr>
          <w:lang w:val="en_US" w:bidi="en_US"/>
        </w:rPr>
      </w:r>
      <w:r>
        <w:rPr>
          <w:b/>
          <w:lang w:val="en_US" w:bidi="en_US"/>
        </w:rPr>
        <w:t>hand:</w:t>
      </w:r>
      <w:r>
        <w:rPr>
          <w:lang w:val="en_US" w:bidi="en_US"/>
        </w:rPr>
        <w:t xml:space="preserve"> See the note on </w:t>
      </w:r>
      <w:r>
        <w:rPr>
          <w:i/>
          <w:lang w:val="en_US" w:bidi="en_US"/>
        </w:rPr>
        <w:t>hand</w:t>
      </w:r>
      <w:r>
        <w:rPr>
          <w:lang w:val="en_US" w:bidi="en_US"/>
        </w:rPr>
        <w:t xml:space="preserve"> at 6:6b.</w:t>
      </w:r>
    </w:p>
    <w:p>
      <w:pPr>
        <w:pStyle w:val="Heading5"/>
      </w:pPr>
      <w:r>
        <w:rPr>
          <w:lang w:val="en_US" w:bidi="en_US"/>
        </w:rPr>
        <w:t>6:10c</w:t>
      </w:r>
    </w:p>
    <w:p>
      <w:pPr/>
      <w:r>
        <w:rPr>
          <w:lang w:val="en_US" w:bidi="en_US"/>
        </w:rPr>
      </w:r>
      <w:r>
        <w:rPr>
          <w:b/>
          <w:lang w:val="en_US" w:bidi="en_US"/>
        </w:rPr>
        <w:t>He did so, and it was restored.</w:t>
      </w:r>
    </w:p>
    <w:p>
      <w:pPr>
        <w:pStyle w:val="ListBullet"/>
        <w:spacing w:line="240" w:lineRule="auto"/>
        <w:ind w:left="720"/>
      </w:pPr>
      <w:r>
        <w:rPr>
          <w:lang w:val="en_US" w:bidi="en_US"/>
        </w:rPr>
      </w:r>
      <w:r>
        <w:rPr>
          <w:lang w:val="en_US" w:bidi="en_US"/>
        </w:rPr>
        <w:t>The man did that, and his hand became completely well again!</w:t>
      </w:r>
    </w:p>
    <w:p>
      <w:pPr>
        <w:pStyle w:val="ListBullet"/>
        <w:spacing w:line="240" w:lineRule="auto"/>
        <w:ind w:left="720"/>
      </w:pPr>
      <w:r>
        <w:rPr>
          <w:lang w:val="en_US" w:bidi="en_US"/>
        </w:rPr>
      </w:r>
      <w:r>
        <w:rPr>
          <w:lang w:val="en_US" w:bidi="en_US"/>
        </w:rPr>
        <w:t>The man held out his hand, and it was healed. (NCV)</w:t>
      </w:r>
    </w:p>
    <w:p>
      <w:pPr/>
      <w:r>
        <w:rPr>
          <w:lang w:val="en_US" w:bidi="en_US"/>
        </w:rPr>
      </w:r>
      <w:r>
        <w:rPr>
          <w:b/>
          <w:lang w:val="en_US" w:bidi="en_US"/>
        </w:rPr>
        <w:t>He did so:</w:t>
      </w:r>
      <w:r>
        <w:rPr>
          <w:lang w:val="en_US" w:bidi="en_US"/>
        </w:rPr>
        <w:t xml:space="preserve"> The phrase </w:t>
      </w:r>
      <w:r>
        <w:rPr>
          <w:i/>
          <w:lang w:val="en_US" w:bidi="en_US"/>
        </w:rPr>
        <w:t>He did so</w:t>
      </w:r>
      <w:r>
        <w:rPr>
          <w:lang w:val="en_US" w:bidi="en_US"/>
        </w:rPr>
        <w:t xml:space="preserve"> means here that the man stretched out his hand/arm.</w:t>
      </w:r>
    </w:p>
    <w:p>
      <w:pPr/>
      <w:r>
        <w:rPr>
          <w:lang w:val="en_US" w:bidi="en_US"/>
        </w:rPr>
      </w:r>
      <w:r>
        <w:rPr>
          <w:b/>
          <w:lang w:val="en_US" w:bidi="en_US"/>
        </w:rPr>
        <w:t>and it was restored:</w:t>
      </w:r>
      <w:r>
        <w:rPr>
          <w:lang w:val="en_US" w:bidi="en_US"/>
        </w:rPr>
        <w:t xml:space="preserve"> In this context the word </w:t>
      </w:r>
      <w:r>
        <w:rPr>
          <w:i/>
          <w:lang w:val="en_US" w:bidi="en_US"/>
        </w:rPr>
        <w:t>restored</w:t>
      </w:r>
      <w:r>
        <w:rPr>
          <w:lang w:val="en_US" w:bidi="en_US"/>
        </w:rPr>
        <w:t xml:space="preserve"> means “healed.” The man’s hand was made strong and well. For example:</w:t>
      </w:r>
    </w:p>
    <w:p>
      <w:pPr/>
      <w:r>
        <w:rPr>
          <w:lang w:val="en_US" w:bidi="en_US"/>
        </w:rPr>
      </w:r>
      <w:r>
        <w:rPr>
          <w:lang w:val="en_US" w:bidi="en_US"/>
        </w:rPr>
        <w:t>and it was healed (NCV)</w:t>
      </w:r>
      <w:r>
        <w:rPr>
          <w:lang w:val="en_US" w:bidi="en_US"/>
        </w:rPr>
      </w:r>
      <w:r>
        <w:rPr>
          <w:lang w:val="en_US" w:bidi="en_US"/>
        </w:rPr>
      </w:r>
    </w:p>
    <w:p>
      <w:pPr/>
      <w:r>
        <w:rPr>
          <w:lang w:val="en_US" w:bidi="en_US"/>
        </w:rPr>
      </w:r>
    </w:p>
    <w:p>
      <w:pPr>
        <w:pStyle w:val="Heading2"/>
      </w:pPr>
      <w:r>
        <w:rPr>
          <w:lang w:val="en_US" w:bidi="en_US"/>
        </w:rPr>
        <w:t>Luke 6:11</w:t>
      </w:r>
      <w:r>
        <w:rPr>
          <w:lang w:val="en_US" w:bidi="en_US"/>
        </w:rPr>
      </w:r>
    </w:p>
    <w:p>
      <w:pPr>
        <w:pStyle w:val="Heading4"/>
      </w:pPr>
      <w:r>
        <w:rPr>
          <w:lang w:val="en_US" w:bidi="en_US"/>
        </w:rPr>
        <w:t>Section 6:1–11: Jesus taught that he was Lord of the Sabbath</w:t>
      </w:r>
    </w:p>
    <w:p>
      <w:pPr/>
      <w:r>
        <w:rPr>
          <w:lang w:val="en_US" w:bidi="en_US"/>
        </w:rPr>
      </w:r>
      <w:r>
        <w:rPr>
          <w:lang w:val="en_US" w:bidi="en_US"/>
        </w:rPr>
        <w:t>In the Old Testament, God commanded the Jewish people to rest on the seventh day of each week. They called this day the “Sabbath.” The Pharisees believed that Jewish people should not do any work at all on the Sabbath day. They made many strict rules about what people were not allowed to do on the Sabbath.</w:t>
      </w:r>
    </w:p>
    <w:p>
      <w:pPr/>
      <w:r>
        <w:rPr>
          <w:lang w:val="en_US" w:bidi="en_US"/>
        </w:rPr>
      </w:r>
      <w:r>
        <w:rPr>
          <w:lang w:val="en_US" w:bidi="en_US"/>
        </w:rPr>
        <w:t>In this section, the Pharisees continued their disagreement with Jesus from Luke 5:33–39. The Pharisees questioned Jesus’ authority to change the old traditions. They focused on the laws and traditions concerning the Sabbath. Jesus stated and proved that he did indeed have greater authority than the Pharisees to decide what a person could do on the Sabbath. As a result, the Pharisees perceived Jesus as a threat to their own authority.</w:t>
      </w:r>
    </w:p>
    <w:p>
      <w:pPr/>
      <w:r>
        <w:rPr>
          <w:lang w:val="en_US" w:bidi="en_US"/>
        </w:rPr>
      </w:r>
      <w:r>
        <w:rPr>
          <w:lang w:val="en_US" w:bidi="en_US"/>
        </w:rPr>
        <w:t>Some other possible headings for this section are:</w:t>
      </w:r>
    </w:p>
    <w:p>
      <w:pPr/>
      <w:r>
        <w:rPr>
          <w:lang w:val="en_US" w:bidi="en_US"/>
        </w:rPr>
      </w:r>
      <w:r>
        <w:rPr>
          <w:lang w:val="en_US" w:bidi="en_US"/>
        </w:rPr>
        <w:t>The Pharisees and Jesus disagreed about Sabbath-day laws</w:t>
      </w:r>
    </w:p>
    <w:p>
      <w:pPr/>
      <w:r>
        <w:rPr>
          <w:lang w:val="en_US" w:bidi="en_US"/>
        </w:rPr>
      </w:r>
      <w:r>
        <w:rPr>
          <w:lang w:val="en_US" w:bidi="en_US"/>
        </w:rPr>
        <w:t>Jesus showed/taught the true meaning/use of the Sabbath day</w:t>
      </w:r>
    </w:p>
    <w:p>
      <w:pPr/>
      <w:r>
        <w:rPr>
          <w:lang w:val="en_US" w:bidi="en_US"/>
        </w:rPr>
      </w:r>
      <w:r>
        <w:rPr>
          <w:lang w:val="en_US" w:bidi="en_US"/>
        </w:rPr>
        <w:t>A Discussion about the Sabbath (NLT)</w:t>
      </w:r>
    </w:p>
    <w:p>
      <w:pPr/>
      <w:r>
        <w:rPr>
          <w:lang w:val="en_US" w:bidi="en_US"/>
        </w:rPr>
      </w:r>
      <w:r>
        <w:rPr>
          <w:lang w:val="en_US" w:bidi="en_US"/>
        </w:rPr>
        <w:t>There are parallel passages in Matthew 12:1–14 and Mark 2:23–3:6.</w:t>
      </w:r>
    </w:p>
    <w:p>
      <w:pPr>
        <w:pStyle w:val="Heading4"/>
      </w:pPr>
      <w:r>
        <w:rPr>
          <w:lang w:val="en_US" w:bidi="en_US"/>
        </w:rPr>
        <w:t>Paragraph 6:6–11</w:t>
      </w:r>
    </w:p>
    <w:p>
      <w:pPr/>
      <w:r>
        <w:rPr>
          <w:lang w:val="en_US" w:bidi="en_US"/>
        </w:rPr>
      </w:r>
      <w:r>
        <w:rPr>
          <w:lang w:val="en_US" w:bidi="en_US"/>
        </w:rPr>
        <w:t>In this paragraph, Jesus demonstrated his authority over the Sabbath. He had just stated in 6:5 that he had the authority to decide what people could or could not do on the Sabbath day. When he healed the man with the shriveled hand, he confirmed that authority.</w:t>
      </w:r>
    </w:p>
    <w:p>
      <w:pPr/>
      <w:r>
        <w:rPr>
          <w:lang w:val="en_US" w:bidi="en_US"/>
        </w:rPr>
      </w:r>
      <w:r>
        <w:rPr>
          <w:lang w:val="en_US" w:bidi="en_US"/>
        </w:rPr>
        <w:t>The Pharisees’ laws about the Sabbath day stated that it was work to heal a person whose life was not in danger on the Sabbath. So when Jesus healed a man on the Sabbath day, the Pharisees found a reason to accuse him.</w:t>
      </w:r>
    </w:p>
    <w:p>
      <w:pPr>
        <w:pStyle w:val="Heading5"/>
      </w:pPr>
      <w:r>
        <w:rPr>
          <w:lang w:val="en_US" w:bidi="en_US"/>
        </w:rPr>
        <w:t>6:11a</w:t>
      </w:r>
    </w:p>
    <w:p>
      <w:pPr/>
      <w:r>
        <w:rPr>
          <w:lang w:val="en_US" w:bidi="en_US"/>
        </w:rPr>
      </w:r>
      <w:r>
        <w:rPr>
          <w:b/>
          <w:lang w:val="en_US" w:bidi="en_US"/>
        </w:rPr>
        <w:t>But the scribes and Pharisees were filled with rage</w:t>
      </w:r>
    </w:p>
    <w:p>
      <w:pPr>
        <w:pStyle w:val="ListBullet"/>
        <w:spacing w:line="240" w:lineRule="auto"/>
        <w:ind w:left="720"/>
      </w:pPr>
      <w:r>
        <w:rPr>
          <w:lang w:val="en_US" w:bidi="en_US"/>
        </w:rPr>
      </w:r>
      <w:r>
        <w:rPr>
          <w:lang w:val="en_US" w:bidi="en_US"/>
        </w:rPr>
        <w:t xml:space="preserve">However, the </w:t>
      </w:r>
      <w:r>
        <w:rPr>
          <w:lang w:val="en_US" w:bidi="en_US"/>
        </w:rPr>
        <w:t>teachers of the law and the Pharisees</w:t>
      </w:r>
      <w:r>
        <w:rPr>
          <w:lang w:val="en_US" w:bidi="en_US"/>
        </w:rPr>
        <w:t xml:space="preserve"> became extremely angry.</w:t>
      </w:r>
    </w:p>
    <w:p>
      <w:pPr>
        <w:pStyle w:val="ListBullet"/>
        <w:spacing w:line="240" w:lineRule="auto"/>
        <w:ind w:left="720"/>
      </w:pPr>
      <w:r>
        <w:rPr>
          <w:lang w:val="en_US" w:bidi="en_US"/>
        </w:rPr>
      </w:r>
      <w:r>
        <w:rPr>
          <w:lang w:val="en_US" w:bidi="en_US"/>
        </w:rPr>
        <w:t xml:space="preserve">At this, the </w:t>
      </w:r>
      <w:r>
        <w:rPr>
          <w:lang w:val="en_US" w:bidi="en_US"/>
        </w:rPr>
        <w:t>experts in the law and the Pharisees</w:t>
      </w:r>
      <w:r>
        <w:rPr>
          <w:lang w:val="en_US" w:bidi="en_US"/>
        </w:rPr>
        <w:t xml:space="preserve"> were mad with rage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what happened next in the story. It changes the focus back to the Pharisees. It introduces their reaction to the healing. Some ways to connect this verse are:</w:t>
      </w:r>
    </w:p>
    <w:p>
      <w:pPr/>
      <w:r>
        <w:rPr>
          <w:lang w:val="en_US" w:bidi="en_US"/>
        </w:rPr>
      </w:r>
      <w:r>
        <w:rPr>
          <w:lang w:val="en_US" w:bidi="en_US"/>
        </w:rPr>
        <w:t>At this (NLT)</w:t>
      </w:r>
    </w:p>
    <w:p>
      <w:pPr/>
      <w:r>
        <w:rPr>
          <w:lang w:val="en_US" w:bidi="en_US"/>
        </w:rPr>
      </w:r>
      <w:r>
        <w:rPr>
          <w:lang w:val="en_US" w:bidi="en_US"/>
        </w:rPr>
        <w:t>Then</w:t>
      </w:r>
    </w:p>
    <w:p>
      <w:pPr/>
      <w:r>
        <w:rPr>
          <w:lang w:val="en_US" w:bidi="en_US"/>
        </w:rPr>
      </w:r>
      <w:r>
        <w:rPr>
          <w:lang w:val="en_US" w:bidi="en_US"/>
        </w:rPr>
        <w:t>Connect 6:11 to 6:10 in a way that is natural in your language.</w:t>
      </w:r>
    </w:p>
    <w:p>
      <w:pPr/>
      <w:r>
        <w:rPr>
          <w:lang w:val="en_US" w:bidi="en_US"/>
        </w:rPr>
      </w:r>
      <w:r>
        <w:rPr>
          <w:b/>
          <w:lang w:val="en_US" w:bidi="en_US"/>
        </w:rPr>
        <w:t>the scribes and Pharisees were filled with rage:</w:t>
      </w:r>
      <w:r>
        <w:rPr>
          <w:lang w:val="en_US" w:bidi="en_US"/>
        </w:rPr>
        <w:t xml:space="preserve"> The Greek clause that the BSB translates as </w:t>
      </w:r>
      <w:r>
        <w:rPr>
          <w:i/>
          <w:lang w:val="en_US" w:bidi="en_US"/>
        </w:rPr>
        <w:t>the scribes and Pharisees were filled with rage</w:t>
      </w:r>
      <w:r>
        <w:rPr>
          <w:lang w:val="en_US" w:bidi="en_US"/>
        </w:rPr>
        <w:t xml:space="preserve"> is literally “they were filled with madness.” It describes people who are not able to think or reason because they are very angry. The Pharisees and teachers of the law were so angry that they could not think clearly. In many languages there will be an idiomatic way of expressing this. In English, some ways to say this are:</w:t>
      </w:r>
    </w:p>
    <w:p>
      <w:pPr/>
      <w:r>
        <w:rPr>
          <w:lang w:val="en_US" w:bidi="en_US"/>
        </w:rPr>
      </w:r>
      <w:r>
        <w:rPr>
          <w:lang w:val="en_US" w:bidi="en_US"/>
        </w:rPr>
        <w:t>the enemies of Jesus were wild with rage (NLT)</w:t>
      </w:r>
    </w:p>
    <w:p>
      <w:pPr/>
      <w:r>
        <w:rPr>
          <w:lang w:val="en_US" w:bidi="en_US"/>
        </w:rPr>
      </w:r>
      <w:r>
        <w:rPr>
          <w:lang w:val="en_US" w:bidi="en_US"/>
        </w:rPr>
        <w:t>they were furious (NIV)</w:t>
      </w:r>
    </w:p>
    <w:p>
      <w:pPr/>
      <w:r>
        <w:rPr>
          <w:lang w:val="en_US" w:bidi="en_US"/>
        </w:rPr>
      </w:r>
      <w:r>
        <w:rPr>
          <w:lang w:val="en_US" w:bidi="en_US"/>
        </w:rPr>
        <w:t>they were beside themselves with rage</w:t>
      </w:r>
    </w:p>
    <w:p>
      <w:pPr>
        <w:pStyle w:val="Heading5"/>
      </w:pPr>
      <w:r>
        <w:rPr>
          <w:lang w:val="en_US" w:bidi="en_US"/>
        </w:rPr>
        <w:t>6:11b</w:t>
      </w:r>
    </w:p>
    <w:p>
      <w:pPr/>
      <w:r>
        <w:rPr>
          <w:lang w:val="en_US" w:bidi="en_US"/>
        </w:rPr>
      </w:r>
      <w:r>
        <w:rPr>
          <w:b/>
          <w:lang w:val="en_US" w:bidi="en_US"/>
        </w:rPr>
        <w:t>and began to discuss with one another what they might do to Jesus.</w:t>
      </w:r>
    </w:p>
    <w:p>
      <w:pPr>
        <w:pStyle w:val="ListBullet"/>
        <w:spacing w:line="240" w:lineRule="auto"/>
        <w:ind w:left="720"/>
      </w:pPr>
      <w:r>
        <w:rPr>
          <w:lang w:val="en_US" w:bidi="en_US"/>
        </w:rPr>
      </w:r>
      <w:r>
        <w:rPr>
          <w:lang w:val="en_US" w:bidi="en_US"/>
        </w:rPr>
        <w:t>They began to talk among themselves about what they could/might do to Jesus.</w:t>
      </w:r>
    </w:p>
    <w:p>
      <w:pPr>
        <w:pStyle w:val="ListBullet"/>
        <w:spacing w:line="240" w:lineRule="auto"/>
        <w:ind w:left="720"/>
      </w:pPr>
      <w:r>
        <w:rPr>
          <w:lang w:val="en_US" w:bidi="en_US"/>
        </w:rPr>
      </w:r>
      <w:r>
        <w:rPr>
          <w:lang w:val="en_US" w:bidi="en_US"/>
        </w:rPr>
        <w:t>and started saying to each other, “What can we do about Jesus?” (CEV)</w:t>
      </w:r>
    </w:p>
    <w:p>
      <w:pPr/>
      <w:r>
        <w:rPr>
          <w:lang w:val="en_US" w:bidi="en_US"/>
        </w:rPr>
      </w:r>
      <w:r>
        <w:rPr>
          <w:b/>
          <w:lang w:val="en_US" w:bidi="en_US"/>
        </w:rPr>
        <w:t>began to discuss with one another what they might do to Jesus:</w:t>
      </w:r>
      <w:r>
        <w:rPr>
          <w:lang w:val="en_US" w:bidi="en_US"/>
        </w:rPr>
        <w:t xml:space="preserve"> The religious leaders talked among themselves and tried to decide what they should do to Jesus. This is an understatement. The parallel passages in Matthew 12:14 and Mark 3:6 make it clear that they were looking for a way to kill Jesus.</w:t>
      </w:r>
    </w:p>
    <w:p>
      <w:pPr/>
      <w:r>
        <w:rPr>
          <w:lang w:val="en_US" w:bidi="en_US"/>
        </w:rPr>
      </w:r>
      <w:r>
        <w:rPr>
          <w:lang w:val="en_US" w:bidi="en_US"/>
        </w:rPr>
        <w:t>In some languages, it may be natural to translate this as direct speech. For example:</w:t>
      </w:r>
    </w:p>
    <w:p>
      <w:pPr/>
      <w:r>
        <w:rPr>
          <w:lang w:val="en_US" w:bidi="en_US"/>
        </w:rPr>
      </w:r>
      <w:r>
        <w:rPr>
          <w:lang w:val="en_US" w:bidi="en_US"/>
        </w:rPr>
        <w:t>and started saying to each other, “What can we do about Jesus?” (CEV)</w:t>
      </w:r>
      <w:r>
        <w:rPr>
          <w:lang w:val="en_US" w:bidi="en_US"/>
        </w:rPr>
      </w:r>
      <w:r>
        <w:rPr>
          <w:lang w:val="en_US" w:bidi="en_US"/>
        </w:rPr>
      </w:r>
    </w:p>
    <w:p>
      <w:pPr/>
      <w:r>
        <w:rPr>
          <w:lang w:val="en_US" w:bidi="en_US"/>
        </w:rPr>
      </w:r>
    </w:p>
    <w:p>
      <w:pPr>
        <w:pStyle w:val="Heading2"/>
      </w:pPr>
      <w:r>
        <w:rPr>
          <w:lang w:val="en_US" w:bidi="en_US"/>
        </w:rPr>
        <w:t>Luke 6:12</w:t>
      </w:r>
      <w:r>
        <w:rPr>
          <w:lang w:val="en_US" w:bidi="en_US"/>
        </w:rPr>
      </w:r>
    </w:p>
    <w:p>
      <w:pPr>
        <w:pStyle w:val="Heading4"/>
      </w:pPr>
      <w:r>
        <w:rPr>
          <w:lang w:val="en_US" w:bidi="en_US"/>
        </w:rPr>
        <w:t>Section 6:12–16: Jesus chose the twelve apostles</w:t>
      </w:r>
    </w:p>
    <w:p>
      <w:pPr/>
      <w:r>
        <w:rPr>
          <w:lang w:val="en_US" w:bidi="en_US"/>
        </w:rPr>
      </w:r>
      <w:r>
        <w:rPr>
          <w:lang w:val="en_US" w:bidi="en_US"/>
        </w:rPr>
        <w:t>In this section, Luke changed his topic from enemies of Jesus to friends and followers of Jesus. Jesus chose twelve men from among his many followers to be his apostles. Before making this important decision, Jesus prayed all night and asked God to guide him. Jesus chose these twelve men in order to train them for leadership.</w:t>
      </w:r>
    </w:p>
    <w:p>
      <w:pPr/>
      <w:r>
        <w:rPr>
          <w:lang w:val="en_US" w:bidi="en_US"/>
        </w:rPr>
      </w:r>
      <w:r>
        <w:rPr>
          <w:lang w:val="en_US" w:bidi="en_US"/>
        </w:rPr>
        <w:t>Some other possible headings for this section are:</w:t>
      </w:r>
    </w:p>
    <w:p>
      <w:pPr/>
      <w:r>
        <w:rPr>
          <w:lang w:val="en_US" w:bidi="en_US"/>
        </w:rPr>
      </w:r>
      <w:r>
        <w:rPr>
          <w:lang w:val="en_US" w:bidi="en_US"/>
        </w:rPr>
        <w:t>Jesus Chooses His Twelve Apostles (CEV)</w:t>
      </w:r>
    </w:p>
    <w:p>
      <w:pPr/>
      <w:r>
        <w:rPr>
          <w:lang w:val="en_US" w:bidi="en_US"/>
        </w:rPr>
      </w:r>
      <w:r>
        <w:rPr>
          <w:lang w:val="en_US" w:bidi="en_US"/>
        </w:rPr>
        <w:t>Jesus appointed the apostles</w:t>
      </w:r>
    </w:p>
    <w:p>
      <w:pPr/>
      <w:r>
        <w:rPr>
          <w:lang w:val="en_US" w:bidi="en_US"/>
        </w:rPr>
      </w:r>
      <w:r>
        <w:rPr>
          <w:lang w:val="en_US" w:bidi="en_US"/>
        </w:rPr>
        <w:t>The Twelve Apostles (NIV)</w:t>
      </w:r>
    </w:p>
    <w:p>
      <w:pPr/>
      <w:r>
        <w:rPr>
          <w:lang w:val="en_US" w:bidi="en_US"/>
        </w:rPr>
      </w:r>
      <w:r>
        <w:rPr>
          <w:lang w:val="en_US" w:bidi="en_US"/>
        </w:rPr>
        <w:t>There are parallel passages for this section in Matthew 10:1–4 and Mark 3:13–19.</w:t>
      </w:r>
    </w:p>
    <w:p>
      <w:pPr>
        <w:pStyle w:val="Heading5"/>
      </w:pPr>
      <w:r>
        <w:rPr>
          <w:lang w:val="en_US" w:bidi="en_US"/>
        </w:rPr>
        <w:t>6:12a</w:t>
      </w:r>
    </w:p>
    <w:p>
      <w:pPr/>
      <w:r>
        <w:rPr>
          <w:lang w:val="en_US" w:bidi="en_US"/>
        </w:rPr>
      </w:r>
      <w:r>
        <w:rPr>
          <w:b/>
          <w:lang w:val="en_US" w:bidi="en_US"/>
        </w:rPr>
        <w:t>In those days Jesus went out to the mountain to pray,</w:t>
      </w:r>
    </w:p>
    <w:p>
      <w:pPr>
        <w:pStyle w:val="ListBullet"/>
        <w:spacing w:line="240" w:lineRule="auto"/>
        <w:ind w:left="720"/>
      </w:pPr>
      <w:r>
        <w:rPr>
          <w:lang w:val="en_US" w:bidi="en_US"/>
        </w:rPr>
      </w:r>
      <w:r>
        <w:rPr>
          <w:lang w:val="en_US" w:bidi="en_US"/>
        </w:rPr>
        <w:t>¶ One day, Jesus went up a hill to pray,</w:t>
      </w:r>
    </w:p>
    <w:p>
      <w:pPr>
        <w:pStyle w:val="ListBullet"/>
        <w:spacing w:line="240" w:lineRule="auto"/>
        <w:ind w:left="720"/>
      </w:pPr>
      <w:r>
        <w:rPr>
          <w:lang w:val="en_US" w:bidi="en_US"/>
        </w:rPr>
      </w:r>
      <w:r>
        <w:rPr>
          <w:lang w:val="en_US" w:bidi="en_US"/>
        </w:rPr>
        <w:t xml:space="preserve">¶ One day sometime later, Jesus went out </w:t>
      </w:r>
      <w:r>
        <w:rPr>
          <w:lang w:val="en_US" w:bidi="en_US"/>
        </w:rPr>
        <w:t>from town</w:t>
      </w:r>
      <w:r>
        <w:rPr>
          <w:lang w:val="en_US" w:bidi="en_US"/>
        </w:rPr>
        <w:t xml:space="preserve"> and up a hill to pray </w:t>
      </w:r>
      <w:r>
        <w:rPr>
          <w:lang w:val="en_US" w:bidi="en_US"/>
        </w:rPr>
        <w:t>to God</w:t>
      </w:r>
      <w:r>
        <w:rPr>
          <w:lang w:val="en_US" w:bidi="en_US"/>
        </w:rPr>
        <w:t>.</w:t>
      </w:r>
    </w:p>
    <w:p>
      <w:pPr/>
      <w:r>
        <w:rPr>
          <w:lang w:val="en_US" w:bidi="en_US"/>
        </w:rPr>
      </w:r>
      <w:r>
        <w:rPr>
          <w:b/>
          <w:lang w:val="en_US" w:bidi="en_US"/>
        </w:rPr>
        <w:t>In those days:</w:t>
      </w:r>
      <w:r>
        <w:rPr>
          <w:lang w:val="en_US" w:bidi="en_US"/>
        </w:rPr>
        <w:t xml:space="preserve"> The Greek phrase that the BSB translates as </w:t>
      </w:r>
      <w:r>
        <w:rPr>
          <w:i/>
          <w:lang w:val="en_US" w:bidi="en_US"/>
        </w:rPr>
        <w:t>In those days</w:t>
      </w:r>
      <w:r>
        <w:rPr>
          <w:lang w:val="en_US" w:bidi="en_US"/>
        </w:rPr>
        <w:t xml:space="preserve"> is literally “And it happened in these days.” This phrase refers to a general time period after the events in 6:1–11. Some other ways to translate this are:</w:t>
      </w:r>
    </w:p>
    <w:p>
      <w:pPr/>
      <w:r>
        <w:rPr>
          <w:lang w:val="en_US" w:bidi="en_US"/>
        </w:rPr>
      </w:r>
      <w:r>
        <w:rPr>
          <w:lang w:val="en_US" w:bidi="en_US"/>
        </w:rPr>
        <w:t>At that time (GNT)</w:t>
      </w:r>
    </w:p>
    <w:p>
      <w:pPr/>
      <w:r>
        <w:rPr>
          <w:lang w:val="en_US" w:bidi="en_US"/>
        </w:rPr>
      </w:r>
      <w:r>
        <w:rPr>
          <w:lang w:val="en_US" w:bidi="en_US"/>
        </w:rPr>
        <w:t>About that time (CEV)</w:t>
      </w:r>
    </w:p>
    <w:p>
      <w:pPr/>
      <w:r>
        <w:rPr>
          <w:lang w:val="en_US" w:bidi="en_US"/>
        </w:rPr>
      </w:r>
      <w:r>
        <w:rPr>
          <w:lang w:val="en_US" w:bidi="en_US"/>
        </w:rPr>
        <w:t>One day soon afterward (NLT)</w:t>
      </w:r>
    </w:p>
    <w:p>
      <w:pPr/>
      <w:r>
        <w:rPr>
          <w:lang w:val="en_US" w:bidi="en_US"/>
        </w:rPr>
      </w:r>
      <w:r>
        <w:rPr>
          <w:b/>
          <w:lang w:val="en_US" w:bidi="en_US"/>
        </w:rPr>
        <w:t>Jesus went out to the mountain to pray:</w:t>
      </w:r>
      <w:r>
        <w:rPr>
          <w:lang w:val="en_US" w:bidi="en_US"/>
        </w:rPr>
        <w:t xml:space="preserve"> The Greek clause that the BSB translates as </w:t>
      </w:r>
      <w:r>
        <w:rPr>
          <w:i/>
          <w:lang w:val="en_US" w:bidi="en_US"/>
        </w:rPr>
        <w:t>Jesus went out to the mountain to pray</w:t>
      </w:r>
      <w:r>
        <w:rPr>
          <w:lang w:val="en_US" w:bidi="en_US"/>
        </w:rPr>
        <w:t xml:space="preserve"> indicates that he went to a place where he could be away from other people to pray. He wanted to be alone and pray to God. It also implies that he went away from where he had been. In some languages it may be necessary to make this explicit. For example:</w:t>
      </w:r>
    </w:p>
    <w:p>
      <w:pPr/>
      <w:r>
        <w:rPr>
          <w:lang w:val="en_US" w:bidi="en_US"/>
        </w:rPr>
      </w:r>
      <w:r>
        <w:rPr>
          <w:lang w:val="en_US" w:bidi="en_US"/>
        </w:rPr>
        <w:t xml:space="preserve">Jesus went out </w:t>
      </w:r>
      <w:r>
        <w:rPr>
          <w:lang w:val="en_US" w:bidi="en_US"/>
        </w:rPr>
        <w:t>from the town</w:t>
      </w:r>
      <w:r>
        <w:rPr>
          <w:lang w:val="en_US" w:bidi="en_US"/>
        </w:rPr>
        <w:t xml:space="preserve"> to a mountainside </w:t>
      </w:r>
      <w:r>
        <w:rPr>
          <w:lang w:val="en_US" w:bidi="en_US"/>
        </w:rPr>
        <w:t>to be alone</w:t>
      </w:r>
      <w:r>
        <w:rPr>
          <w:lang w:val="en_US" w:bidi="en_US"/>
        </w:rPr>
        <w:t xml:space="preserve"> and pray.</w:t>
      </w:r>
    </w:p>
    <w:p>
      <w:pPr/>
      <w:r>
        <w:rPr>
          <w:lang w:val="en_US" w:bidi="en_US"/>
        </w:rPr>
      </w:r>
      <w:r>
        <w:rPr>
          <w:b/>
          <w:lang w:val="en_US" w:bidi="en_US"/>
        </w:rPr>
        <w:t>the mountain:</w:t>
      </w:r>
      <w:r>
        <w:rPr>
          <w:lang w:val="en_US" w:bidi="en_US"/>
        </w:rPr>
        <w:t xml:space="preserve"> The Greek noun that the BSB translates as </w:t>
      </w:r>
      <w:r>
        <w:rPr>
          <w:i/>
          <w:lang w:val="en_US" w:bidi="en_US"/>
        </w:rPr>
        <w:t>mountain</w:t>
      </w:r>
      <w:r>
        <w:rPr>
          <w:lang w:val="en_US" w:bidi="en_US"/>
        </w:rPr>
        <w:t xml:space="preserve"> refers to one of the hills around Lake Galilee. Another way to translate this word is:</w:t>
      </w:r>
    </w:p>
    <w:p>
      <w:pPr/>
      <w:r>
        <w:rPr>
          <w:lang w:val="en_US" w:bidi="en_US"/>
        </w:rPr>
      </w:r>
      <w:r>
        <w:rPr>
          <w:lang w:val="en_US" w:bidi="en_US"/>
        </w:rPr>
        <w:t>hill (GNT)</w:t>
      </w:r>
    </w:p>
    <w:p>
      <w:pPr>
        <w:pStyle w:val="Heading5"/>
      </w:pPr>
      <w:r>
        <w:rPr>
          <w:lang w:val="en_US" w:bidi="en_US"/>
        </w:rPr>
        <w:t>6:12b</w:t>
      </w:r>
    </w:p>
    <w:p>
      <w:pPr/>
      <w:r>
        <w:rPr>
          <w:lang w:val="en_US" w:bidi="en_US"/>
        </w:rPr>
      </w:r>
      <w:r>
        <w:rPr>
          <w:b/>
          <w:lang w:val="en_US" w:bidi="en_US"/>
        </w:rPr>
        <w:t>and He spent the night in prayer to God.</w:t>
      </w:r>
    </w:p>
    <w:p>
      <w:pPr>
        <w:pStyle w:val="ListBullet"/>
        <w:spacing w:line="240" w:lineRule="auto"/>
        <w:ind w:left="720"/>
      </w:pPr>
      <w:r>
        <w:rPr>
          <w:lang w:val="en_US" w:bidi="en_US"/>
        </w:rPr>
      </w:r>
      <w:r>
        <w:rPr>
          <w:lang w:val="en_US" w:bidi="en_US"/>
        </w:rPr>
        <w:t>and he prayed to God all night. (NLT)</w:t>
      </w:r>
    </w:p>
    <w:p>
      <w:pPr>
        <w:pStyle w:val="ListBullet"/>
        <w:spacing w:line="240" w:lineRule="auto"/>
        <w:ind w:left="720"/>
      </w:pPr>
      <w:r>
        <w:rPr>
          <w:lang w:val="en_US" w:bidi="en_US"/>
        </w:rPr>
      </w:r>
      <w:r>
        <w:rPr>
          <w:lang w:val="en_US" w:bidi="en_US"/>
        </w:rPr>
        <w:t>He spent the whole night in prayer to God. (GW)</w:t>
      </w:r>
    </w:p>
    <w:p>
      <w:pPr/>
      <w:r>
        <w:rPr>
          <w:lang w:val="en_US" w:bidi="en_US"/>
        </w:rPr>
      </w:r>
      <w:r>
        <w:rPr>
          <w:b/>
          <w:lang w:val="en_US" w:bidi="en_US"/>
        </w:rPr>
        <w:t>and He spent the night in prayer to God:</w:t>
      </w:r>
      <w:r>
        <w:rPr>
          <w:lang w:val="en_US" w:bidi="en_US"/>
        </w:rPr>
        <w:t xml:space="preserve"> The phrase </w:t>
      </w:r>
      <w:r>
        <w:rPr>
          <w:i/>
          <w:lang w:val="en_US" w:bidi="en_US"/>
        </w:rPr>
        <w:t>spent the night in prayer to God</w:t>
      </w:r>
      <w:r>
        <w:rPr>
          <w:lang w:val="en_US" w:bidi="en_US"/>
        </w:rPr>
        <w:t xml:space="preserve"> means that Jesus prayed to God all night long. Some other ways to translate this are:</w:t>
      </w:r>
    </w:p>
    <w:p>
      <w:pPr/>
      <w:r>
        <w:rPr>
          <w:lang w:val="en_US" w:bidi="en_US"/>
        </w:rPr>
      </w:r>
      <w:r>
        <w:rPr>
          <w:lang w:val="en_US" w:bidi="en_US"/>
        </w:rPr>
        <w:t>and he prayed to God all night (NLT)</w:t>
      </w:r>
    </w:p>
    <w:p>
      <w:pPr/>
      <w:r>
        <w:rPr>
          <w:lang w:val="en_US" w:bidi="en_US"/>
        </w:rPr>
      </w:r>
      <w:r>
        <w:rPr>
          <w:lang w:val="en_US" w:bidi="en_US"/>
        </w:rPr>
        <w:t>and spent the night praying to God (NIV)</w:t>
      </w:r>
    </w:p>
    <w:p>
      <w:pPr/>
      <w:r>
        <w:rPr>
          <w:lang w:val="en_US" w:bidi="en_US"/>
        </w:rPr>
      </w:r>
      <w:r>
        <w:rPr>
          <w:lang w:val="en_US" w:bidi="en_US"/>
        </w:rPr>
        <w:t>In some languages, it may be necessary to make it explicit that Jesus prayed on the mountainside. For example:</w:t>
      </w:r>
    </w:p>
    <w:p>
      <w:pPr/>
      <w:r>
        <w:rPr>
          <w:lang w:val="en_US" w:bidi="en_US"/>
        </w:rPr>
      </w:r>
      <w:r>
        <w:rPr>
          <w:lang w:val="en_US" w:bidi="en_US"/>
        </w:rPr>
        <w:t>and he spent the whole night praying there</w:t>
      </w:r>
    </w:p>
    <w:p>
      <w:pPr/>
      <w:r>
        <w:rPr>
          <w:lang w:val="en_US" w:bidi="en_US"/>
        </w:rPr>
      </w:r>
      <w:r>
        <w:rPr>
          <w:b/>
          <w:lang w:val="en_US" w:bidi="en_US"/>
        </w:rPr>
        <w:t>in prayer:</w:t>
      </w:r>
      <w:r>
        <w:rPr>
          <w:lang w:val="en_US" w:bidi="en_US"/>
        </w:rPr>
        <w:t xml:space="preserve"> The verb form of the noun that the BSB translates here as </w:t>
      </w:r>
      <w:r>
        <w:rPr>
          <w:i/>
          <w:lang w:val="en_US" w:bidi="en_US"/>
        </w:rPr>
        <w:t>prayer</w:t>
      </w:r>
      <w:r>
        <w:rPr>
          <w:lang w:val="en_US" w:bidi="en_US"/>
        </w:rPr>
        <w:t xml:space="preserve"> occurs in 3:21b, where the BSB translates it as “praying.”</w:t>
      </w:r>
      <w:r>
        <w:rPr>
          <w:lang w:val="en_US" w:bidi="en_US"/>
        </w:rPr>
      </w:r>
      <w:r>
        <w:rPr>
          <w:lang w:val="en_US" w:bidi="en_US"/>
        </w:rPr>
      </w:r>
    </w:p>
    <w:p>
      <w:pPr/>
      <w:r>
        <w:rPr>
          <w:lang w:val="en_US" w:bidi="en_US"/>
        </w:rPr>
      </w:r>
    </w:p>
    <w:p>
      <w:pPr>
        <w:pStyle w:val="Heading2"/>
      </w:pPr>
      <w:r>
        <w:rPr>
          <w:lang w:val="en_US" w:bidi="en_US"/>
        </w:rPr>
        <w:t>Luke 6:13</w:t>
      </w:r>
      <w:r>
        <w:rPr>
          <w:lang w:val="en_US" w:bidi="en_US"/>
        </w:rPr>
      </w:r>
    </w:p>
    <w:p>
      <w:pPr>
        <w:pStyle w:val="Heading4"/>
      </w:pPr>
      <w:r>
        <w:rPr>
          <w:lang w:val="en_US" w:bidi="en_US"/>
        </w:rPr>
        <w:t>Section 6:12–16: Jesus chose the twelve apostles</w:t>
      </w:r>
    </w:p>
    <w:p>
      <w:pPr/>
      <w:r>
        <w:rPr>
          <w:lang w:val="en_US" w:bidi="en_US"/>
        </w:rPr>
      </w:r>
      <w:r>
        <w:rPr>
          <w:lang w:val="en_US" w:bidi="en_US"/>
        </w:rPr>
        <w:t>In this section, Luke changed his topic from enemies of Jesus to friends and followers of Jesus. Jesus chose twelve men from among his many followers to be his apostles. Before making this important decision, Jesus prayed all night and asked God to guide him. Jesus chose these twelve men in order to train them for leadership.</w:t>
      </w:r>
    </w:p>
    <w:p>
      <w:pPr/>
      <w:r>
        <w:rPr>
          <w:lang w:val="en_US" w:bidi="en_US"/>
        </w:rPr>
      </w:r>
      <w:r>
        <w:rPr>
          <w:lang w:val="en_US" w:bidi="en_US"/>
        </w:rPr>
        <w:t>Some other possible headings for this section are:</w:t>
      </w:r>
    </w:p>
    <w:p>
      <w:pPr/>
      <w:r>
        <w:rPr>
          <w:lang w:val="en_US" w:bidi="en_US"/>
        </w:rPr>
      </w:r>
      <w:r>
        <w:rPr>
          <w:lang w:val="en_US" w:bidi="en_US"/>
        </w:rPr>
        <w:t>Jesus Chooses His Twelve Apostles (CEV)</w:t>
      </w:r>
    </w:p>
    <w:p>
      <w:pPr/>
      <w:r>
        <w:rPr>
          <w:lang w:val="en_US" w:bidi="en_US"/>
        </w:rPr>
      </w:r>
      <w:r>
        <w:rPr>
          <w:lang w:val="en_US" w:bidi="en_US"/>
        </w:rPr>
        <w:t>Jesus appointed the apostles</w:t>
      </w:r>
    </w:p>
    <w:p>
      <w:pPr/>
      <w:r>
        <w:rPr>
          <w:lang w:val="en_US" w:bidi="en_US"/>
        </w:rPr>
      </w:r>
      <w:r>
        <w:rPr>
          <w:lang w:val="en_US" w:bidi="en_US"/>
        </w:rPr>
        <w:t>The Twelve Apostles (NIV)</w:t>
      </w:r>
    </w:p>
    <w:p>
      <w:pPr/>
      <w:r>
        <w:rPr>
          <w:lang w:val="en_US" w:bidi="en_US"/>
        </w:rPr>
      </w:r>
      <w:r>
        <w:rPr>
          <w:lang w:val="en_US" w:bidi="en_US"/>
        </w:rPr>
        <w:t>There are parallel passages for this section in Matthew 10:1–4 and Mark 3:13–19.</w:t>
      </w:r>
    </w:p>
    <w:p>
      <w:pPr>
        <w:pStyle w:val="Heading5"/>
      </w:pPr>
      <w:r>
        <w:rPr>
          <w:lang w:val="en_US" w:bidi="en_US"/>
        </w:rPr>
        <w:t>6:13a</w:t>
      </w:r>
    </w:p>
    <w:p>
      <w:pPr/>
      <w:r>
        <w:rPr>
          <w:lang w:val="en_US" w:bidi="en_US"/>
        </w:rPr>
      </w:r>
      <w:r>
        <w:rPr>
          <w:b/>
          <w:lang w:val="en_US" w:bidi="en_US"/>
        </w:rPr>
        <w:t>When daylight came, He called His disciples to Him</w:t>
      </w:r>
    </w:p>
    <w:p>
      <w:pPr>
        <w:pStyle w:val="ListBullet"/>
        <w:spacing w:line="240" w:lineRule="auto"/>
        <w:ind w:left="720"/>
      </w:pPr>
      <w:r>
        <w:rPr>
          <w:lang w:val="en_US" w:bidi="en_US"/>
        </w:rPr>
      </w:r>
      <w:r>
        <w:rPr>
          <w:lang w:val="en_US" w:bidi="en_US"/>
        </w:rPr>
        <w:t>In the morning, he summoned his disciples</w:t>
      </w:r>
    </w:p>
    <w:p>
      <w:pPr>
        <w:pStyle w:val="ListBullet"/>
        <w:spacing w:line="240" w:lineRule="auto"/>
        <w:ind w:left="720"/>
      </w:pPr>
      <w:r>
        <w:rPr>
          <w:lang w:val="en_US" w:bidi="en_US"/>
        </w:rPr>
      </w:r>
      <w:r>
        <w:rPr>
          <w:lang w:val="en_US" w:bidi="en_US"/>
        </w:rPr>
        <w:t xml:space="preserve">The next morning, he asked/called his followers to come, </w:t>
      </w:r>
      <w:r>
        <w:rPr>
          <w:lang w:val="en_US" w:bidi="en_US"/>
        </w:rPr>
        <w:t>and they came</w:t>
      </w:r>
      <w:r>
        <w:rPr>
          <w:lang w:val="en_US" w:bidi="en_US"/>
        </w:rPr>
        <w:t xml:space="preserve"> to him.</w:t>
      </w:r>
    </w:p>
    <w:p>
      <w:pPr/>
      <w:r>
        <w:rPr>
          <w:lang w:val="en_US" w:bidi="en_US"/>
        </w:rPr>
      </w:r>
      <w:r>
        <w:rPr>
          <w:b/>
          <w:lang w:val="en_US" w:bidi="en_US"/>
        </w:rPr>
        <w:t>When daylight came:</w:t>
      </w:r>
      <w:r>
        <w:rPr>
          <w:lang w:val="en_US" w:bidi="en_US"/>
        </w:rPr>
        <w:t xml:space="preserve"> The phrase </w:t>
      </w:r>
      <w:r>
        <w:rPr>
          <w:i/>
          <w:lang w:val="en_US" w:bidi="en_US"/>
        </w:rPr>
        <w:t>When daylight came</w:t>
      </w:r>
      <w:r>
        <w:rPr>
          <w:lang w:val="en_US" w:bidi="en_US"/>
        </w:rPr>
        <w:t xml:space="preserve"> introduces what Jesus did after praying all night. Some other ways to translate this are:</w:t>
      </w:r>
    </w:p>
    <w:p>
      <w:pPr/>
      <w:r>
        <w:rPr>
          <w:lang w:val="en_US" w:bidi="en_US"/>
        </w:rPr>
      </w:r>
      <w:r>
        <w:rPr>
          <w:lang w:val="en_US" w:bidi="en_US"/>
        </w:rPr>
        <w:t>The next morning (CEV)</w:t>
      </w:r>
    </w:p>
    <w:p>
      <w:pPr/>
      <w:r>
        <w:rPr>
          <w:lang w:val="en_US" w:bidi="en_US"/>
        </w:rPr>
      </w:r>
      <w:r>
        <w:rPr>
          <w:lang w:val="en_US" w:bidi="en_US"/>
        </w:rPr>
        <w:t>When it was day (GW)</w:t>
      </w:r>
    </w:p>
    <w:p>
      <w:pPr/>
      <w:r>
        <w:rPr>
          <w:lang w:val="en_US" w:bidi="en_US"/>
        </w:rPr>
      </w:r>
      <w:r>
        <w:rPr>
          <w:b/>
          <w:lang w:val="en_US" w:bidi="en_US"/>
        </w:rPr>
        <w:t>He called His disciples to Him:</w:t>
      </w:r>
      <w:r>
        <w:rPr>
          <w:lang w:val="en_US" w:bidi="en_US"/>
        </w:rPr>
        <w:t xml:space="preserve"> The Greek word that the BSB translates as </w:t>
      </w:r>
      <w:r>
        <w:rPr>
          <w:i/>
          <w:lang w:val="en_US" w:bidi="en_US"/>
        </w:rPr>
        <w:t>called…to Him</w:t>
      </w:r>
      <w:r>
        <w:rPr>
          <w:lang w:val="en_US" w:bidi="en_US"/>
        </w:rPr>
        <w:t xml:space="preserve"> is literally “summoned.” It implies that Jesus asked the disciples to gather around him in order to tell them something. He did this to announce the decision that he had made as a result of his night of praying.</w:t>
      </w:r>
    </w:p>
    <w:p>
      <w:pPr/>
      <w:r>
        <w:rPr>
          <w:lang w:val="en_US" w:bidi="en_US"/>
        </w:rPr>
      </w:r>
      <w:r>
        <w:rPr>
          <w:b/>
          <w:lang w:val="en_US" w:bidi="en_US"/>
        </w:rPr>
        <w:t>disciples:</w:t>
      </w:r>
      <w:r>
        <w:rPr>
          <w:lang w:val="en_US" w:bidi="en_US"/>
        </w:rPr>
        <w:t xml:space="preserve"> The word </w:t>
      </w:r>
      <w:r>
        <w:rPr>
          <w:i/>
          <w:lang w:val="en_US" w:bidi="en_US"/>
        </w:rPr>
        <w:t>disciples</w:t>
      </w:r>
      <w:r>
        <w:rPr>
          <w:lang w:val="en_US" w:bidi="en_US"/>
        </w:rPr>
        <w:t xml:space="preserve"> refers here to the larger group of Jesus’ followers. It was out of this larger group that Jesus called twelve disciples to be apostles.</w:t>
      </w:r>
    </w:p>
    <w:p>
      <w:pPr/>
      <w:r>
        <w:rPr>
          <w:lang w:val="en_US" w:bidi="en_US"/>
        </w:rPr>
      </w:r>
      <w:r>
        <w:rPr>
          <w:lang w:val="en_US" w:bidi="en_US"/>
        </w:rPr>
        <w:t xml:space="preserve">This same word occurs in 6:1b. For translation advice, see the note on </w:t>
      </w:r>
      <w:r>
        <w:rPr>
          <w:i/>
          <w:lang w:val="en_US" w:bidi="en_US"/>
        </w:rPr>
        <w:t>disciples</w:t>
      </w:r>
      <w:r>
        <w:rPr>
          <w:lang w:val="en_US" w:bidi="en_US"/>
        </w:rPr>
        <w:t xml:space="preserve"> at 5:30a. See also disciple in the Glossary.</w:t>
      </w:r>
    </w:p>
    <w:p>
      <w:pPr>
        <w:pStyle w:val="Heading5"/>
      </w:pPr>
      <w:r>
        <w:rPr>
          <w:lang w:val="en_US" w:bidi="en_US"/>
        </w:rPr>
        <w:t>6:13b</w:t>
      </w:r>
    </w:p>
    <w:p>
      <w:pPr/>
      <w:r>
        <w:rPr>
          <w:lang w:val="en_US" w:bidi="en_US"/>
        </w:rPr>
      </w:r>
      <w:r>
        <w:rPr>
          <w:b/>
          <w:lang w:val="en_US" w:bidi="en_US"/>
        </w:rPr>
        <w:t>and chose twelve of them, whom He also designated as apostles:</w:t>
      </w:r>
    </w:p>
    <w:p>
      <w:pPr>
        <w:pStyle w:val="ListBullet"/>
        <w:spacing w:line="240" w:lineRule="auto"/>
        <w:ind w:left="720"/>
      </w:pPr>
      <w:r>
        <w:rPr>
          <w:lang w:val="en_US" w:bidi="en_US"/>
        </w:rPr>
      </w:r>
      <w:r>
        <w:rPr>
          <w:lang w:val="en_US" w:bidi="en_US"/>
        </w:rPr>
        <w:t>and chose twelve from among them. These men he also called “apostles.”</w:t>
      </w:r>
    </w:p>
    <w:p>
      <w:pPr>
        <w:pStyle w:val="ListBullet"/>
        <w:spacing w:line="240" w:lineRule="auto"/>
        <w:ind w:left="720"/>
      </w:pPr>
      <w:r>
        <w:rPr>
          <w:lang w:val="en_US" w:bidi="en_US"/>
        </w:rPr>
      </w:r>
      <w:r>
        <w:rPr>
          <w:lang w:val="en_US" w:bidi="en_US"/>
        </w:rPr>
        <w:t>and chose twelve of them to be his apostles. (CEV)</w:t>
      </w:r>
    </w:p>
    <w:p>
      <w:pPr>
        <w:pStyle w:val="ListBullet"/>
        <w:spacing w:line="240" w:lineRule="auto"/>
        <w:ind w:left="720"/>
      </w:pPr>
      <w:r>
        <w:rPr>
          <w:lang w:val="en_US" w:bidi="en_US"/>
        </w:rPr>
      </w:r>
      <w:r>
        <w:rPr>
          <w:lang w:val="en_US" w:bidi="en_US"/>
        </w:rPr>
        <w:t>He selected/picked twelve men from the group and gave them each the title “envoy/messenger.”</w:t>
      </w:r>
    </w:p>
    <w:p>
      <w:pPr/>
      <w:r>
        <w:rPr>
          <w:lang w:val="en_US" w:bidi="en_US"/>
        </w:rPr>
      </w:r>
      <w:r>
        <w:rPr>
          <w:b/>
          <w:lang w:val="en_US" w:bidi="en_US"/>
        </w:rPr>
        <w:t>and chose twelve of them:</w:t>
      </w:r>
      <w:r>
        <w:rPr>
          <w:lang w:val="en_US" w:bidi="en_US"/>
        </w:rPr>
        <w:t xml:space="preserve"> The Greek verb that the BSB translates as </w:t>
      </w:r>
      <w:r>
        <w:rPr>
          <w:i/>
          <w:lang w:val="en_US" w:bidi="en_US"/>
        </w:rPr>
        <w:t>chose</w:t>
      </w:r>
      <w:r>
        <w:rPr>
          <w:lang w:val="en_US" w:bidi="en_US"/>
        </w:rPr>
        <w:t xml:space="preserve"> means “selected.” Jesus </w:t>
      </w:r>
      <w:r>
        <w:rPr>
          <w:i/>
          <w:lang w:val="en_US" w:bidi="en_US"/>
        </w:rPr>
        <w:t>chose twelve</w:t>
      </w:r>
      <w:r>
        <w:rPr>
          <w:lang w:val="en_US" w:bidi="en_US"/>
        </w:rPr>
        <w:t xml:space="preserve"> men from among the group of his followers.</w:t>
      </w:r>
    </w:p>
    <w:p>
      <w:pPr/>
      <w:r>
        <w:rPr>
          <w:lang w:val="en_US" w:bidi="en_US"/>
        </w:rPr>
      </w:r>
      <w:r>
        <w:rPr>
          <w:b/>
          <w:lang w:val="en_US" w:bidi="en_US"/>
        </w:rPr>
        <w:t>whom He also designated as apostles:</w:t>
      </w:r>
      <w:r>
        <w:rPr>
          <w:lang w:val="en_US" w:bidi="en_US"/>
        </w:rPr>
        <w:t xml:space="preserve"> The Greek verb that the BSB translates as </w:t>
      </w:r>
      <w:r>
        <w:rPr>
          <w:i/>
          <w:lang w:val="en_US" w:bidi="en_US"/>
        </w:rPr>
        <w:t>designated</w:t>
      </w:r>
      <w:r>
        <w:rPr>
          <w:lang w:val="en_US" w:bidi="en_US"/>
        </w:rPr>
        <w:t xml:space="preserve"> is literally “named.” Some other ways to translate </w:t>
      </w:r>
      <w:r>
        <w:rPr>
          <w:i/>
          <w:lang w:val="en_US" w:bidi="en_US"/>
        </w:rPr>
        <w:t>whom He also designated as apostles</w:t>
      </w:r>
      <w:r>
        <w:rPr>
          <w:lang w:val="en_US" w:bidi="en_US"/>
        </w:rPr>
        <w:t xml:space="preserve"> are:</w:t>
      </w:r>
    </w:p>
    <w:p>
      <w:pPr/>
      <w:r>
        <w:rPr>
          <w:lang w:val="en_US" w:bidi="en_US"/>
        </w:rPr>
      </w:r>
      <w:r>
        <w:rPr>
          <w:lang w:val="en_US" w:bidi="en_US"/>
        </w:rPr>
        <w:t>whom he named apostles (NCV)</w:t>
      </w:r>
    </w:p>
    <w:p>
      <w:pPr/>
      <w:r>
        <w:rPr>
          <w:lang w:val="en_US" w:bidi="en_US"/>
        </w:rPr>
      </w:r>
      <w:r>
        <w:rPr>
          <w:lang w:val="en_US" w:bidi="en_US"/>
        </w:rPr>
        <w:t>to be his apostles (CEV)</w:t>
      </w:r>
    </w:p>
    <w:p>
      <w:pPr/>
      <w:r>
        <w:rPr>
          <w:lang w:val="en_US" w:bidi="en_US"/>
        </w:rPr>
      </w:r>
      <w:r>
        <w:rPr>
          <w:b/>
          <w:lang w:val="en_US" w:bidi="en_US"/>
        </w:rPr>
        <w:t>also:</w:t>
      </w:r>
      <w:r>
        <w:rPr>
          <w:lang w:val="en_US" w:bidi="en_US"/>
        </w:rPr>
        <w:t xml:space="preserve"> The Greek word that the BSB translates as </w:t>
      </w:r>
      <w:r>
        <w:rPr>
          <w:i/>
          <w:lang w:val="en_US" w:bidi="en_US"/>
        </w:rPr>
        <w:t>also</w:t>
      </w:r>
      <w:r>
        <w:rPr>
          <w:lang w:val="en_US" w:bidi="en_US"/>
        </w:rPr>
        <w:t xml:space="preserve"> indicates an additional role. They were already disciples. Jesus also gave them the role of apostles.</w:t>
      </w:r>
    </w:p>
    <w:p>
      <w:pPr/>
      <w:r>
        <w:rPr>
          <w:lang w:val="en_US" w:bidi="en_US"/>
        </w:rPr>
      </w:r>
      <w:r>
        <w:rPr>
          <w:b/>
          <w:lang w:val="en_US" w:bidi="en_US"/>
        </w:rPr>
        <w:t>apostles:</w:t>
      </w:r>
      <w:r>
        <w:rPr>
          <w:lang w:val="en_US" w:bidi="en_US"/>
        </w:rPr>
        <w:t xml:space="preserve"> The Greek word that English versions translate as </w:t>
      </w:r>
      <w:r>
        <w:rPr>
          <w:i/>
          <w:lang w:val="en_US" w:bidi="en_US"/>
        </w:rPr>
        <w:t>apostles</w:t>
      </w:r>
      <w:r>
        <w:rPr>
          <w:lang w:val="en_US" w:bidi="en_US"/>
        </w:rPr>
        <w:t xml:space="preserve"> means “those who are sent.” It refers to the people whom someone sends with authority to accomplish a mission or a particular task.</w:t>
      </w:r>
    </w:p>
    <w:p>
      <w:pPr/>
      <w:r>
        <w:rPr>
          <w:lang w:val="en_US" w:bidi="en_US"/>
        </w:rPr>
      </w:r>
      <w:r>
        <w:rPr>
          <w:lang w:val="en_US" w:bidi="en_US"/>
        </w:rPr>
        <w:t xml:space="preserve">Some ways to translate </w:t>
      </w:r>
      <w:r>
        <w:rPr>
          <w:i/>
          <w:lang w:val="en_US" w:bidi="en_US"/>
        </w:rPr>
        <w:t>apostles</w:t>
      </w:r>
      <w:r>
        <w:rPr>
          <w:lang w:val="en_US" w:bidi="en_US"/>
        </w:rPr>
        <w:t xml:space="preserve"> are:</w:t>
      </w:r>
    </w:p>
    <w:p>
      <w:pPr>
        <w:pStyle w:val="ListBullet"/>
        <w:spacing w:line="240" w:lineRule="auto"/>
        <w:ind w:left="720"/>
      </w:pPr>
      <w:r>
        <w:rPr>
          <w:lang w:val="en_US" w:bidi="en_US"/>
        </w:rPr>
      </w:r>
      <w:r>
        <w:rPr>
          <w:lang w:val="en_US" w:bidi="en_US"/>
        </w:rPr>
        <w:t xml:space="preserve">Translate the meaning of the Greek word </w:t>
      </w:r>
      <w:r>
        <w:rPr>
          <w:i/>
          <w:lang w:val="en_US" w:bidi="en_US"/>
        </w:rPr>
        <w:t>apostles</w:t>
      </w:r>
      <w:r>
        <w:rPr>
          <w:lang w:val="en_US" w:bidi="en_US"/>
        </w:rPr>
        <w:t>. For example:</w:t>
      </w:r>
      <w:r>
        <w:rPr>
          <w:lang w:val="en_US" w:bidi="en_US"/>
        </w:rPr>
        <w:t xml:space="preserve">people sent </w:t>
      </w:r>
      <w:r>
        <w:rPr>
          <w:lang w:val="en_US" w:bidi="en_US"/>
        </w:rPr>
        <w:t>to speak/act for him</w:t>
      </w:r>
      <w:r>
        <w:rPr>
          <w:lang w:val="en_US" w:bidi="en_US"/>
        </w:rPr>
        <w:t>special</w:t>
      </w:r>
      <w:r>
        <w:rPr>
          <w:lang w:val="en_US" w:bidi="en_US"/>
        </w:rPr>
        <w:t xml:space="preserve"> messengers</w:t>
      </w:r>
      <w:r>
        <w:rPr>
          <w:lang w:val="en_US" w:bidi="en_US"/>
        </w:rPr>
        <w:t>representatives</w:t>
      </w:r>
      <w:r>
        <w:rPr>
          <w:lang w:val="en_US" w:bidi="en_US"/>
        </w:rPr>
        <w:t>men with authority from Jesus</w:t>
      </w:r>
    </w:p>
    <w:p>
      <w:pPr>
        <w:pStyle w:val="ListBullet"/>
        <w:spacing w:line="240" w:lineRule="auto"/>
        <w:ind w:left="720"/>
      </w:pPr>
      <w:r>
        <w:rPr>
          <w:lang w:val="en_US" w:bidi="en_US"/>
        </w:rPr>
      </w:r>
      <w:r>
        <w:rPr>
          <w:lang w:val="en_US" w:bidi="en_US"/>
        </w:rPr>
        <w:t xml:space="preserve">Indicate the role or function of </w:t>
      </w:r>
      <w:r>
        <w:rPr>
          <w:i/>
          <w:lang w:val="en_US" w:bidi="en_US"/>
        </w:rPr>
        <w:t>apostles</w:t>
      </w:r>
      <w:r>
        <w:rPr>
          <w:lang w:val="en_US" w:bidi="en_US"/>
        </w:rPr>
        <w:t>. For example:</w:t>
      </w:r>
      <w:r>
        <w:rPr>
          <w:lang w:val="en_US" w:bidi="en_US"/>
        </w:rPr>
        <w:t xml:space="preserve">chief leaders </w:t>
      </w:r>
      <w:r>
        <w:rPr>
          <w:lang w:val="en_US" w:bidi="en_US"/>
        </w:rPr>
        <w:t>of Jesus’ work</w:t>
      </w:r>
      <w:r>
        <w:rPr>
          <w:lang w:val="en_US" w:bidi="en_US"/>
        </w:rPr>
        <w:t xml:space="preserve">people who are in charge </w:t>
      </w:r>
      <w:r>
        <w:rPr>
          <w:lang w:val="en_US" w:bidi="en_US"/>
        </w:rPr>
        <w:t>of Jesus’ work</w:t>
      </w:r>
    </w:p>
    <w:p>
      <w:pPr/>
      <w:r>
        <w:rPr>
          <w:lang w:val="en_US" w:bidi="en_US"/>
        </w:rPr>
      </w:r>
      <w:r>
        <w:rPr>
          <w:lang w:val="en_US" w:bidi="en_US"/>
        </w:rPr>
        <w:t>Be careful to choose different terms for “apostles,” “angels,” “elders,” and “prophets.”</w:t>
      </w:r>
    </w:p>
    <w:p>
      <w:pPr/>
      <w:r>
        <w:rPr>
          <w:lang w:val="en_US" w:bidi="en_US"/>
        </w:rPr>
      </w:r>
      <w:r>
        <w:rPr>
          <w:lang w:val="en_US" w:bidi="en_US"/>
        </w:rPr>
        <w:t>See also apostle in the Glossary.</w:t>
      </w:r>
      <w:r>
        <w:rPr>
          <w:lang w:val="en_US" w:bidi="en_US"/>
        </w:rPr>
      </w:r>
      <w:r>
        <w:rPr>
          <w:lang w:val="en_US" w:bidi="en_US"/>
        </w:rPr>
      </w:r>
    </w:p>
    <w:p>
      <w:pPr/>
      <w:r>
        <w:rPr>
          <w:lang w:val="en_US" w:bidi="en_US"/>
        </w:rPr>
      </w:r>
    </w:p>
    <w:p>
      <w:pPr>
        <w:pStyle w:val="Heading2"/>
      </w:pPr>
      <w:r>
        <w:rPr>
          <w:lang w:val="en_US" w:bidi="en_US"/>
        </w:rPr>
        <w:t>Luke 6:14</w:t>
      </w:r>
      <w:r>
        <w:rPr>
          <w:lang w:val="en_US" w:bidi="en_US"/>
        </w:rPr>
      </w:r>
    </w:p>
    <w:p>
      <w:pPr>
        <w:pStyle w:val="Heading4"/>
      </w:pPr>
      <w:r>
        <w:rPr>
          <w:lang w:val="en_US" w:bidi="en_US"/>
        </w:rPr>
        <w:t>Section 6:12–16: Jesus chose the twelve apostles</w:t>
      </w:r>
    </w:p>
    <w:p>
      <w:pPr/>
      <w:r>
        <w:rPr>
          <w:lang w:val="en_US" w:bidi="en_US"/>
        </w:rPr>
      </w:r>
      <w:r>
        <w:rPr>
          <w:lang w:val="en_US" w:bidi="en_US"/>
        </w:rPr>
        <w:t>In this section, Luke changed his topic from enemies of Jesus to friends and followers of Jesus. Jesus chose twelve men from among his many followers to be his apostles. Before making this important decision, Jesus prayed all night and asked God to guide him. Jesus chose these twelve men in order to train them for leadership.</w:t>
      </w:r>
    </w:p>
    <w:p>
      <w:pPr/>
      <w:r>
        <w:rPr>
          <w:lang w:val="en_US" w:bidi="en_US"/>
        </w:rPr>
      </w:r>
      <w:r>
        <w:rPr>
          <w:lang w:val="en_US" w:bidi="en_US"/>
        </w:rPr>
        <w:t>Some other possible headings for this section are:</w:t>
      </w:r>
    </w:p>
    <w:p>
      <w:pPr/>
      <w:r>
        <w:rPr>
          <w:lang w:val="en_US" w:bidi="en_US"/>
        </w:rPr>
      </w:r>
      <w:r>
        <w:rPr>
          <w:lang w:val="en_US" w:bidi="en_US"/>
        </w:rPr>
        <w:t>Jesus Chooses His Twelve Apostles (CEV)</w:t>
      </w:r>
    </w:p>
    <w:p>
      <w:pPr/>
      <w:r>
        <w:rPr>
          <w:lang w:val="en_US" w:bidi="en_US"/>
        </w:rPr>
      </w:r>
      <w:r>
        <w:rPr>
          <w:lang w:val="en_US" w:bidi="en_US"/>
        </w:rPr>
        <w:t>Jesus appointed the apostles</w:t>
      </w:r>
    </w:p>
    <w:p>
      <w:pPr/>
      <w:r>
        <w:rPr>
          <w:lang w:val="en_US" w:bidi="en_US"/>
        </w:rPr>
      </w:r>
      <w:r>
        <w:rPr>
          <w:lang w:val="en_US" w:bidi="en_US"/>
        </w:rPr>
        <w:t>The Twelve Apostles (NIV)</w:t>
      </w:r>
    </w:p>
    <w:p>
      <w:pPr/>
      <w:r>
        <w:rPr>
          <w:lang w:val="en_US" w:bidi="en_US"/>
        </w:rPr>
      </w:r>
      <w:r>
        <w:rPr>
          <w:lang w:val="en_US" w:bidi="en_US"/>
        </w:rPr>
        <w:t>There are parallel passages for this section in Matthew 10:1–4 and Mark 3:13–19.</w:t>
      </w:r>
    </w:p>
    <w:p>
      <w:pPr>
        <w:pStyle w:val="Heading5"/>
      </w:pPr>
      <w:r>
        <w:rPr>
          <w:lang w:val="en_US" w:bidi="en_US"/>
        </w:rPr>
        <w:t>6:14–16</w:t>
      </w:r>
    </w:p>
    <w:p>
      <w:pPr/>
      <w:r>
        <w:rPr>
          <w:lang w:val="en_US" w:bidi="en_US"/>
        </w:rPr>
      </w:r>
      <w:r>
        <w:rPr>
          <w:lang w:val="en_US" w:bidi="en_US"/>
        </w:rPr>
        <w:t>Luke 6:14–16 lists the names of the twelve apostles. Use the most natural way in your language to give a list of names. If necessary, introduce the list in some way. For example:</w:t>
      </w:r>
    </w:p>
    <w:p>
      <w:pPr/>
      <w:r>
        <w:rPr>
          <w:lang w:val="en_US" w:bidi="en_US"/>
        </w:rPr>
      </w:r>
      <w:r>
        <w:rPr>
          <w:lang w:val="en_US" w:bidi="en_US"/>
        </w:rPr>
        <w:t>The names of the twelve/apostles were</w:t>
      </w:r>
    </w:p>
    <w:p>
      <w:pPr/>
      <w:r>
        <w:rPr>
          <w:lang w:val="en_US" w:bidi="en_US"/>
        </w:rPr>
      </w:r>
      <w:r>
        <w:rPr>
          <w:lang w:val="en_US" w:bidi="en_US"/>
        </w:rPr>
        <w:t>Here are their names:</w:t>
      </w:r>
    </w:p>
    <w:p>
      <w:pPr>
        <w:pStyle w:val="Heading5"/>
      </w:pPr>
      <w:r>
        <w:rPr>
          <w:lang w:val="en_US" w:bidi="en_US"/>
        </w:rPr>
        <w:t>6:14a</w:t>
      </w:r>
    </w:p>
    <w:p>
      <w:pPr/>
      <w:r>
        <w:rPr>
          <w:lang w:val="en_US" w:bidi="en_US"/>
        </w:rPr>
      </w:r>
      <w:r>
        <w:rPr>
          <w:b/>
          <w:lang w:val="en_US" w:bidi="en_US"/>
        </w:rPr>
        <w:t>Simon, whom He named Peter,</w:t>
      </w:r>
    </w:p>
    <w:p>
      <w:pPr>
        <w:pStyle w:val="ListBullet"/>
        <w:spacing w:line="240" w:lineRule="auto"/>
        <w:ind w:left="720"/>
      </w:pPr>
      <w:r>
        <w:rPr>
          <w:lang w:val="en_US" w:bidi="en_US"/>
        </w:rPr>
      </w:r>
      <w:r>
        <w:rPr>
          <w:lang w:val="en_US" w:bidi="en_US"/>
        </w:rPr>
        <w:t>Here are their names:</w:t>
      </w:r>
      <w:r>
        <w:rPr>
          <w:lang w:val="en_US" w:bidi="en_US"/>
        </w:rPr>
        <w:t xml:space="preserve"> Simon (Jesus had also given him the name Peter),</w:t>
      </w:r>
    </w:p>
    <w:p>
      <w:pPr>
        <w:pStyle w:val="ListBullet"/>
        <w:spacing w:line="240" w:lineRule="auto"/>
        <w:ind w:left="720"/>
      </w:pPr>
      <w:r>
        <w:rPr>
          <w:lang w:val="en_US" w:bidi="en_US"/>
        </w:rPr>
      </w:r>
      <w:r>
        <w:rPr>
          <w:lang w:val="en_US" w:bidi="en_US"/>
        </w:rPr>
        <w:t>The names of the twelve were:</w:t>
      </w:r>
      <w:r>
        <w:rPr>
          <w:lang w:val="en_US" w:bidi="en_US"/>
        </w:rPr>
        <w:t xml:space="preserve"> Simon to whom Jesus also had given the name “Peter,”</w:t>
      </w:r>
    </w:p>
    <w:p>
      <w:pPr/>
      <w:r>
        <w:rPr>
          <w:lang w:val="en_US" w:bidi="en_US"/>
        </w:rPr>
      </w:r>
      <w:r>
        <w:rPr>
          <w:b/>
          <w:lang w:val="en_US" w:bidi="en_US"/>
        </w:rPr>
        <w:t>Simon, whom He named Peter:</w:t>
      </w:r>
      <w:r>
        <w:rPr>
          <w:lang w:val="en_US" w:bidi="en_US"/>
        </w:rPr>
        <w:t xml:space="preserve"> </w:t>
      </w:r>
      <w:r>
        <w:rPr>
          <w:i/>
          <w:lang w:val="en_US" w:bidi="en_US"/>
        </w:rPr>
        <w:t>Simon</w:t>
      </w:r>
      <w:r>
        <w:rPr>
          <w:lang w:val="en_US" w:bidi="en_US"/>
        </w:rPr>
        <w:t xml:space="preserve"> was Peter’s original name. This is the name that his parents gave him. But Jesus had also named him </w:t>
      </w:r>
      <w:r>
        <w:rPr>
          <w:i/>
          <w:lang w:val="en_US" w:bidi="en_US"/>
        </w:rPr>
        <w:t>Peter</w:t>
      </w:r>
      <w:r>
        <w:rPr>
          <w:lang w:val="en_US" w:bidi="en_US"/>
        </w:rPr>
        <w:t xml:space="preserve"> when Jesus first met him (see John 1:42). After this, people sometimes called him Simon, sometimes Peter, and sometimes Simon Peter. Here, when Jesus chose the twelve apostles, </w:t>
      </w:r>
      <w:r>
        <w:rPr>
          <w:i/>
          <w:lang w:val="en_US" w:bidi="en_US"/>
        </w:rPr>
        <w:t>Simon</w:t>
      </w:r>
      <w:r>
        <w:rPr>
          <w:lang w:val="en_US" w:bidi="en_US"/>
        </w:rPr>
        <w:t xml:space="preserve"> already had his other name, </w:t>
      </w:r>
      <w:r>
        <w:rPr>
          <w:i/>
          <w:lang w:val="en_US" w:bidi="en_US"/>
        </w:rPr>
        <w:t>Peter</w:t>
      </w:r>
      <w:r>
        <w:rPr>
          <w:lang w:val="en_US" w:bidi="en_US"/>
        </w:rPr>
        <w:t>.</w:t>
      </w:r>
    </w:p>
    <w:p>
      <w:pPr/>
      <w:r>
        <w:rPr>
          <w:lang w:val="en_US" w:bidi="en_US"/>
        </w:rPr>
      </w:r>
      <w:r>
        <w:rPr>
          <w:lang w:val="en_US" w:bidi="en_US"/>
        </w:rPr>
        <w:t xml:space="preserve">Most English versions translate this with the simple past tense (“whom he </w:t>
      </w:r>
      <w:r>
        <w:rPr>
          <w:u w:val="single"/>
          <w:lang w:val="en_US" w:bidi="en_US"/>
        </w:rPr>
        <w:t>named</w:t>
      </w:r>
      <w:r>
        <w:rPr>
          <w:lang w:val="en_US" w:bidi="en_US"/>
        </w:rPr>
        <w:t xml:space="preserve"> Peter”). However, you may want to translate it in a way that makes it clear that Jesus was not giving Simon the name Peter at that moment. For example:</w:t>
      </w:r>
    </w:p>
    <w:p>
      <w:pPr/>
      <w:r>
        <w:rPr>
          <w:lang w:val="en_US" w:bidi="en_US"/>
        </w:rPr>
      </w:r>
      <w:r>
        <w:rPr>
          <w:lang w:val="en_US" w:bidi="en_US"/>
        </w:rPr>
        <w:t xml:space="preserve">Simon (whom he </w:t>
      </w:r>
      <w:r>
        <w:rPr>
          <w:u w:val="single"/>
          <w:lang w:val="en_US" w:bidi="en_US"/>
        </w:rPr>
        <w:t>had named</w:t>
      </w:r>
      <w:r>
        <w:rPr>
          <w:lang w:val="en_US" w:bidi="en_US"/>
        </w:rPr>
        <w:t xml:space="preserve"> Peter)</w:t>
      </w:r>
    </w:p>
    <w:p>
      <w:pPr/>
      <w:r>
        <w:rPr>
          <w:lang w:val="en_US" w:bidi="en_US"/>
        </w:rPr>
      </w:r>
      <w:r>
        <w:rPr>
          <w:lang w:val="en_US" w:bidi="en_US"/>
        </w:rPr>
        <w:t xml:space="preserve">Simon (whom he </w:t>
      </w:r>
      <w:r>
        <w:rPr>
          <w:u w:val="single"/>
          <w:lang w:val="en_US" w:bidi="en_US"/>
        </w:rPr>
        <w:t>had already/previously named</w:t>
      </w:r>
      <w:r>
        <w:rPr>
          <w:lang w:val="en_US" w:bidi="en_US"/>
        </w:rPr>
        <w:t xml:space="preserve"> Peter)</w:t>
      </w:r>
    </w:p>
    <w:p>
      <w:pPr/>
      <w:r>
        <w:rPr>
          <w:lang w:val="en_US" w:bidi="en_US"/>
        </w:rPr>
      </w:r>
      <w:r>
        <w:rPr>
          <w:b/>
          <w:lang w:val="en_US" w:bidi="en_US"/>
        </w:rPr>
        <w:t>Peter:</w:t>
      </w:r>
      <w:r>
        <w:rPr>
          <w:lang w:val="en_US" w:bidi="en_US"/>
        </w:rPr>
        <w:t xml:space="preserve"> The Greek word that the BSB transliterates as </w:t>
      </w:r>
      <w:r>
        <w:rPr>
          <w:i/>
          <w:lang w:val="en_US" w:bidi="en_US"/>
        </w:rPr>
        <w:t>Peter</w:t>
      </w:r>
      <w:r>
        <w:rPr>
          <w:lang w:val="en_US" w:bidi="en_US"/>
        </w:rPr>
        <w:t xml:space="preserve"> means “stone” or “rock.” You may want to put this in a footnote. For example:</w:t>
      </w:r>
    </w:p>
    <w:p>
      <w:pPr/>
      <w:r>
        <w:rPr>
          <w:lang w:val="en_US" w:bidi="en_US"/>
        </w:rPr>
      </w:r>
      <w:r>
        <w:rPr>
          <w:lang w:val="en_US" w:bidi="en_US"/>
        </w:rPr>
        <w:t>The name Peter means “rock” in Greek.</w:t>
      </w:r>
    </w:p>
    <w:p>
      <w:pPr>
        <w:pStyle w:val="Heading5"/>
      </w:pPr>
      <w:r>
        <w:rPr>
          <w:lang w:val="en_US" w:bidi="en_US"/>
        </w:rPr>
        <w:t>6:14b</w:t>
      </w:r>
    </w:p>
    <w:p>
      <w:pPr/>
      <w:r>
        <w:rPr>
          <w:lang w:val="en_US" w:bidi="en_US"/>
        </w:rPr>
      </w:r>
      <w:r>
        <w:rPr>
          <w:b/>
          <w:lang w:val="en_US" w:bidi="en_US"/>
        </w:rPr>
        <w:t>and his brother Andrew; James and John; Philip and Bartholomew;</w:t>
      </w:r>
    </w:p>
    <w:p>
      <w:pPr>
        <w:pStyle w:val="ListBullet"/>
        <w:spacing w:line="240" w:lineRule="auto"/>
        <w:ind w:left="720"/>
      </w:pPr>
      <w:r>
        <w:rPr>
          <w:lang w:val="en_US" w:bidi="en_US"/>
        </w:rPr>
      </w:r>
      <w:r>
        <w:rPr>
          <w:lang w:val="en_US" w:bidi="en_US"/>
        </w:rPr>
        <w:t>his brother Andrew, James, John, Philip, Bartholomew,</w:t>
      </w:r>
    </w:p>
    <w:p>
      <w:pPr>
        <w:pStyle w:val="ListBullet"/>
        <w:spacing w:line="240" w:lineRule="auto"/>
        <w:ind w:left="720"/>
      </w:pPr>
      <w:r>
        <w:rPr>
          <w:lang w:val="en_US" w:bidi="en_US"/>
        </w:rPr>
      </w:r>
      <w:r>
        <w:rPr>
          <w:lang w:val="en_US" w:bidi="en_US"/>
        </w:rPr>
        <w:t xml:space="preserve">Andrew who was Peter’s </w:t>
      </w:r>
      <w:r>
        <w:rPr>
          <w:lang w:val="en_US" w:bidi="en_US"/>
        </w:rPr>
        <w:t>younger</w:t>
      </w:r>
      <w:r>
        <w:rPr>
          <w:lang w:val="en_US" w:bidi="en_US"/>
        </w:rPr>
        <w:t xml:space="preserve"> brother, James, John, Philip, Bartholomew,</w:t>
      </w:r>
    </w:p>
    <w:p>
      <w:pPr/>
      <w:r>
        <w:rPr>
          <w:lang w:val="en_US" w:bidi="en_US"/>
        </w:rPr>
      </w:r>
      <w:r>
        <w:rPr>
          <w:b/>
          <w:lang w:val="en_US" w:bidi="en_US"/>
        </w:rPr>
        <w:t>and his brother Andrew:</w:t>
      </w:r>
      <w:r>
        <w:rPr>
          <w:lang w:val="en_US" w:bidi="en_US"/>
        </w:rPr>
        <w:t xml:space="preserve"> </w:t>
      </w:r>
      <w:r>
        <w:rPr>
          <w:i/>
          <w:lang w:val="en_US" w:bidi="en_US"/>
        </w:rPr>
        <w:t>Andrew</w:t>
      </w:r>
      <w:r>
        <w:rPr>
          <w:lang w:val="en_US" w:bidi="en_US"/>
        </w:rPr>
        <w:t xml:space="preserve"> was Simon’s younger brother. They had the same father and mother. Use a general term for </w:t>
      </w:r>
      <w:r>
        <w:rPr>
          <w:i/>
          <w:lang w:val="en_US" w:bidi="en_US"/>
        </w:rPr>
        <w:t>brother</w:t>
      </w:r>
      <w:r>
        <w:rPr>
          <w:lang w:val="en_US" w:bidi="en_US"/>
        </w:rPr>
        <w:t xml:space="preserve"> if possible. If not, use a term for a younger brother.</w:t>
      </w:r>
    </w:p>
    <w:p>
      <w:pPr/>
      <w:r>
        <w:rPr>
          <w:lang w:val="en_US" w:bidi="en_US"/>
        </w:rPr>
      </w:r>
      <w:r>
        <w:rPr>
          <w:b/>
          <w:lang w:val="en_US" w:bidi="en_US"/>
        </w:rPr>
        <w:t>James and John:</w:t>
      </w:r>
      <w:r>
        <w:rPr>
          <w:lang w:val="en_US" w:bidi="en_US"/>
        </w:rPr>
        <w:t xml:space="preserve"> </w:t>
      </w:r>
      <w:r>
        <w:rPr>
          <w:i/>
          <w:lang w:val="en_US" w:bidi="en_US"/>
        </w:rPr>
        <w:t>James</w:t>
      </w:r>
      <w:r>
        <w:rPr>
          <w:lang w:val="en_US" w:bidi="en_US"/>
        </w:rPr>
        <w:t xml:space="preserve"> and </w:t>
      </w:r>
      <w:r>
        <w:rPr>
          <w:i/>
          <w:lang w:val="en_US" w:bidi="en_US"/>
        </w:rPr>
        <w:t>John</w:t>
      </w:r>
      <w:r>
        <w:rPr>
          <w:lang w:val="en_US" w:bidi="en_US"/>
        </w:rPr>
        <w:t xml:space="preserve"> were the sons of Zebedee. They were mentioned in 5:10.</w:t>
      </w:r>
    </w:p>
    <w:p>
      <w:pPr/>
      <w:r>
        <w:rPr>
          <w:lang w:val="en_US" w:bidi="en_US"/>
        </w:rPr>
      </w:r>
      <w:r>
        <w:rPr>
          <w:b/>
          <w:lang w:val="en_US" w:bidi="en_US"/>
        </w:rPr>
        <w:t>Philip and Bartholomew:</w:t>
      </w:r>
      <w:r>
        <w:rPr>
          <w:lang w:val="en_US" w:bidi="en_US"/>
        </w:rPr>
        <w:t xml:space="preserve"> This is the first mention of these two men in the Gospel of Luke. </w:t>
      </w:r>
      <w:r>
        <w:rPr>
          <w:i/>
          <w:lang w:val="en_US" w:bidi="en_US"/>
        </w:rPr>
        <w:t>Bartholomew</w:t>
      </w:r>
      <w:r>
        <w:rPr>
          <w:lang w:val="en_US" w:bidi="en_US"/>
        </w:rPr>
        <w:t xml:space="preserve"> is also known as Nathanael. He and </w:t>
      </w:r>
      <w:r>
        <w:rPr>
          <w:i/>
          <w:lang w:val="en_US" w:bidi="en_US"/>
        </w:rPr>
        <w:t>Philip</w:t>
      </w:r>
      <w:r>
        <w:rPr>
          <w:lang w:val="en_US" w:bidi="en_US"/>
        </w:rPr>
        <w:t xml:space="preserve"> were friends.</w:t>
      </w:r>
      <w:r>
        <w:rPr>
          <w:lang w:val="en_US" w:bidi="en_US"/>
        </w:rPr>
      </w:r>
      <w:r>
        <w:rPr>
          <w:lang w:val="en_US" w:bidi="en_US"/>
        </w:rPr>
      </w:r>
    </w:p>
    <w:p>
      <w:pPr/>
      <w:r>
        <w:rPr>
          <w:lang w:val="en_US" w:bidi="en_US"/>
        </w:rPr>
      </w:r>
    </w:p>
    <w:p>
      <w:pPr>
        <w:pStyle w:val="Heading2"/>
      </w:pPr>
      <w:r>
        <w:rPr>
          <w:lang w:val="en_US" w:bidi="en_US"/>
        </w:rPr>
        <w:t>Luke 6:15</w:t>
      </w:r>
      <w:r>
        <w:rPr>
          <w:lang w:val="en_US" w:bidi="en_US"/>
        </w:rPr>
      </w:r>
    </w:p>
    <w:p>
      <w:pPr>
        <w:pStyle w:val="Heading4"/>
      </w:pPr>
      <w:r>
        <w:rPr>
          <w:lang w:val="en_US" w:bidi="en_US"/>
        </w:rPr>
        <w:t>Section 6:12–16: Jesus chose the twelve apostles</w:t>
      </w:r>
    </w:p>
    <w:p>
      <w:pPr/>
      <w:r>
        <w:rPr>
          <w:lang w:val="en_US" w:bidi="en_US"/>
        </w:rPr>
      </w:r>
      <w:r>
        <w:rPr>
          <w:lang w:val="en_US" w:bidi="en_US"/>
        </w:rPr>
        <w:t>In this section, Luke changed his topic from enemies of Jesus to friends and followers of Jesus. Jesus chose twelve men from among his many followers to be his apostles. Before making this important decision, Jesus prayed all night and asked God to guide him. Jesus chose these twelve men in order to train them for leadership.</w:t>
      </w:r>
    </w:p>
    <w:p>
      <w:pPr/>
      <w:r>
        <w:rPr>
          <w:lang w:val="en_US" w:bidi="en_US"/>
        </w:rPr>
      </w:r>
      <w:r>
        <w:rPr>
          <w:lang w:val="en_US" w:bidi="en_US"/>
        </w:rPr>
        <w:t>Some other possible headings for this section are:</w:t>
      </w:r>
    </w:p>
    <w:p>
      <w:pPr/>
      <w:r>
        <w:rPr>
          <w:lang w:val="en_US" w:bidi="en_US"/>
        </w:rPr>
      </w:r>
      <w:r>
        <w:rPr>
          <w:lang w:val="en_US" w:bidi="en_US"/>
        </w:rPr>
        <w:t>Jesus Chooses His Twelve Apostles (CEV)</w:t>
      </w:r>
    </w:p>
    <w:p>
      <w:pPr/>
      <w:r>
        <w:rPr>
          <w:lang w:val="en_US" w:bidi="en_US"/>
        </w:rPr>
      </w:r>
      <w:r>
        <w:rPr>
          <w:lang w:val="en_US" w:bidi="en_US"/>
        </w:rPr>
        <w:t>Jesus appointed the apostles</w:t>
      </w:r>
    </w:p>
    <w:p>
      <w:pPr/>
      <w:r>
        <w:rPr>
          <w:lang w:val="en_US" w:bidi="en_US"/>
        </w:rPr>
      </w:r>
      <w:r>
        <w:rPr>
          <w:lang w:val="en_US" w:bidi="en_US"/>
        </w:rPr>
        <w:t>The Twelve Apostles (NIV)</w:t>
      </w:r>
    </w:p>
    <w:p>
      <w:pPr/>
      <w:r>
        <w:rPr>
          <w:lang w:val="en_US" w:bidi="en_US"/>
        </w:rPr>
      </w:r>
      <w:r>
        <w:rPr>
          <w:lang w:val="en_US" w:bidi="en_US"/>
        </w:rPr>
        <w:t>There are parallel passages for this section in Matthew 10:1–4 and Mark 3:13–19.</w:t>
      </w:r>
    </w:p>
    <w:p>
      <w:pPr>
        <w:pStyle w:val="Heading5"/>
      </w:pPr>
      <w:r>
        <w:rPr>
          <w:lang w:val="en_US" w:bidi="en_US"/>
        </w:rPr>
        <w:t>6:15</w:t>
      </w:r>
    </w:p>
    <w:p>
      <w:pPr/>
      <w:r>
        <w:rPr>
          <w:lang w:val="en_US" w:bidi="en_US"/>
        </w:rPr>
      </w:r>
      <w:r>
        <w:rPr>
          <w:b/>
          <w:lang w:val="en_US" w:bidi="en_US"/>
        </w:rPr>
        <w:t>Matthew and Thomas; James son of Alphaeus and Simon called the Zealot;</w:t>
      </w:r>
    </w:p>
    <w:p>
      <w:pPr>
        <w:pStyle w:val="ListBullet"/>
        <w:spacing w:line="240" w:lineRule="auto"/>
        <w:ind w:left="720"/>
      </w:pPr>
      <w:r>
        <w:rPr>
          <w:lang w:val="en_US" w:bidi="en_US"/>
        </w:rPr>
      </w:r>
      <w:r>
        <w:rPr>
          <w:lang w:val="en_US" w:bidi="en_US"/>
        </w:rPr>
        <w:t xml:space="preserve">Matthew, Thomas, James </w:t>
      </w:r>
      <w:r>
        <w:rPr>
          <w:lang w:val="en_US" w:bidi="en_US"/>
        </w:rPr>
        <w:t>who was</w:t>
      </w:r>
      <w:r>
        <w:rPr>
          <w:lang w:val="en_US" w:bidi="en_US"/>
        </w:rPr>
        <w:t xml:space="preserve"> Alphaeus’s son, Simon who was called the “nationalist,”</w:t>
      </w:r>
    </w:p>
    <w:p>
      <w:pPr>
        <w:pStyle w:val="ListBullet"/>
        <w:spacing w:line="240" w:lineRule="auto"/>
        <w:ind w:left="720"/>
      </w:pPr>
      <w:r>
        <w:rPr>
          <w:lang w:val="en_US" w:bidi="en_US"/>
        </w:rPr>
      </w:r>
      <w:r>
        <w:rPr>
          <w:lang w:val="en_US" w:bidi="en_US"/>
        </w:rPr>
        <w:t>Matthew, Thomas, Alphaeus’s son James, Simon whom people called the “patriot,”</w:t>
      </w:r>
    </w:p>
    <w:p>
      <w:pPr/>
      <w:r>
        <w:rPr>
          <w:lang w:val="en_US" w:bidi="en_US"/>
        </w:rPr>
      </w:r>
      <w:r>
        <w:rPr>
          <w:b/>
          <w:lang w:val="en_US" w:bidi="en_US"/>
        </w:rPr>
        <w:t>Matthew and Thomas:</w:t>
      </w:r>
      <w:r>
        <w:rPr>
          <w:lang w:val="en_US" w:bidi="en_US"/>
        </w:rPr>
        <w:t xml:space="preserve"> </w:t>
      </w:r>
      <w:r>
        <w:rPr>
          <w:i/>
          <w:lang w:val="en_US" w:bidi="en_US"/>
        </w:rPr>
        <w:t>Matthew</w:t>
      </w:r>
      <w:r>
        <w:rPr>
          <w:lang w:val="en_US" w:bidi="en_US"/>
        </w:rPr>
        <w:t xml:space="preserve"> was also named Levi. Jesus called Levi to follow him in 5:27. This is the first time </w:t>
      </w:r>
      <w:r>
        <w:rPr>
          <w:i/>
          <w:lang w:val="en_US" w:bidi="en_US"/>
        </w:rPr>
        <w:t>Thomas</w:t>
      </w:r>
      <w:r>
        <w:rPr>
          <w:lang w:val="en_US" w:bidi="en_US"/>
        </w:rPr>
        <w:t xml:space="preserve"> is mentioned in the Gospel of Luke.</w:t>
      </w:r>
    </w:p>
    <w:p>
      <w:pPr/>
      <w:r>
        <w:rPr>
          <w:lang w:val="en_US" w:bidi="en_US"/>
        </w:rPr>
      </w:r>
      <w:r>
        <w:rPr>
          <w:b/>
          <w:lang w:val="en_US" w:bidi="en_US"/>
        </w:rPr>
        <w:t>James son of Alphaeus:</w:t>
      </w:r>
      <w:r>
        <w:rPr>
          <w:lang w:val="en_US" w:bidi="en_US"/>
        </w:rPr>
        <w:t xml:space="preserve"> There were two disciples with the name James. In order to distinguish this </w:t>
      </w:r>
      <w:r>
        <w:rPr>
          <w:i/>
          <w:lang w:val="en_US" w:bidi="en_US"/>
        </w:rPr>
        <w:t>James</w:t>
      </w:r>
      <w:r>
        <w:rPr>
          <w:lang w:val="en_US" w:bidi="en_US"/>
        </w:rPr>
        <w:t xml:space="preserve"> from James the brother of John (in 6:14b), this </w:t>
      </w:r>
      <w:r>
        <w:rPr>
          <w:i/>
          <w:lang w:val="en_US" w:bidi="en_US"/>
        </w:rPr>
        <w:t>James</w:t>
      </w:r>
      <w:r>
        <w:rPr>
          <w:lang w:val="en_US" w:bidi="en_US"/>
        </w:rPr>
        <w:t xml:space="preserve"> was referred to as </w:t>
      </w:r>
      <w:r>
        <w:rPr>
          <w:i/>
          <w:lang w:val="en_US" w:bidi="en_US"/>
        </w:rPr>
        <w:t>James son of Alphaeus</w:t>
      </w:r>
      <w:r>
        <w:rPr>
          <w:lang w:val="en_US" w:bidi="en_US"/>
        </w:rPr>
        <w:t>.</w:t>
      </w:r>
    </w:p>
    <w:p>
      <w:pPr/>
      <w:r>
        <w:rPr>
          <w:lang w:val="en_US" w:bidi="en_US"/>
        </w:rPr>
      </w:r>
      <w:r>
        <w:rPr>
          <w:b/>
          <w:lang w:val="en_US" w:bidi="en_US"/>
        </w:rPr>
        <w:t>Alphaeus:</w:t>
      </w:r>
      <w:r>
        <w:rPr>
          <w:lang w:val="en_US" w:bidi="en_US"/>
        </w:rPr>
        <w:t xml:space="preserve"> </w:t>
      </w:r>
      <w:r>
        <w:rPr>
          <w:i/>
          <w:lang w:val="en_US" w:bidi="en_US"/>
        </w:rPr>
        <w:t>Alphaeus</w:t>
      </w:r>
      <w:r>
        <w:rPr>
          <w:lang w:val="en_US" w:bidi="en_US"/>
        </w:rPr>
        <w:t xml:space="preserve"> is the name of James’ father.</w:t>
      </w:r>
    </w:p>
    <w:p>
      <w:pPr/>
      <w:r>
        <w:rPr>
          <w:lang w:val="en_US" w:bidi="en_US"/>
        </w:rPr>
      </w:r>
      <w:r>
        <w:rPr>
          <w:b/>
          <w:lang w:val="en_US" w:bidi="en_US"/>
        </w:rPr>
        <w:t>Simon called the Zealot:</w:t>
      </w:r>
      <w:r>
        <w:rPr>
          <w:lang w:val="en_US" w:bidi="en_US"/>
        </w:rPr>
        <w:t xml:space="preserve"> There were also two disciples with the name Simon. In order to distinguish this </w:t>
      </w:r>
      <w:r>
        <w:rPr>
          <w:i/>
          <w:lang w:val="en_US" w:bidi="en_US"/>
        </w:rPr>
        <w:t>Simon</w:t>
      </w:r>
      <w:r>
        <w:rPr>
          <w:lang w:val="en_US" w:bidi="en_US"/>
        </w:rPr>
        <w:t xml:space="preserve"> from Simon Peter (in 6:14a), this </w:t>
      </w:r>
      <w:r>
        <w:rPr>
          <w:i/>
          <w:lang w:val="en_US" w:bidi="en_US"/>
        </w:rPr>
        <w:t>Simon</w:t>
      </w:r>
      <w:r>
        <w:rPr>
          <w:lang w:val="en_US" w:bidi="en_US"/>
        </w:rPr>
        <w:t xml:space="preserve"> was referred to as </w:t>
      </w:r>
      <w:r>
        <w:rPr>
          <w:i/>
          <w:lang w:val="en_US" w:bidi="en_US"/>
        </w:rPr>
        <w:t>Simon…the Zealot</w:t>
      </w:r>
      <w:r>
        <w:rPr>
          <w:lang w:val="en_US" w:bidi="en_US"/>
        </w:rPr>
        <w:t>.</w:t>
      </w:r>
    </w:p>
    <w:p>
      <w:pPr/>
      <w:r>
        <w:rPr>
          <w:lang w:val="en_US" w:bidi="en_US"/>
        </w:rPr>
      </w:r>
      <w:r>
        <w:rPr>
          <w:b/>
          <w:lang w:val="en_US" w:bidi="en_US"/>
        </w:rPr>
        <w:t>the Zealot:</w:t>
      </w:r>
      <w:r>
        <w:rPr>
          <w:lang w:val="en_US" w:bidi="en_US"/>
        </w:rPr>
        <w:t xml:space="preserve"> The Greek word that the BSB translates as </w:t>
      </w:r>
      <w:r>
        <w:rPr>
          <w:i/>
          <w:lang w:val="en_US" w:bidi="en_US"/>
        </w:rPr>
        <w:t>Zealot</w:t>
      </w:r>
      <w:r>
        <w:rPr>
          <w:lang w:val="en_US" w:bidi="en_US"/>
        </w:rPr>
        <w:t xml:space="preserve"> means “someone who was zealous or passionate” for Jewish independence from Rome. This would indicate this Simon wanted Israel to be free from the control of the Roman government.</w:t>
      </w:r>
    </w:p>
    <w:p>
      <w:pPr/>
      <w:r>
        <w:rPr>
          <w:lang w:val="en_US" w:bidi="en_US"/>
        </w:rPr>
      </w:r>
      <w:r>
        <w:rPr>
          <w:lang w:val="en_US" w:bidi="en_US"/>
        </w:rPr>
        <w:t>Some ways to translate this are:</w:t>
      </w:r>
    </w:p>
    <w:p>
      <w:pPr/>
      <w:r>
        <w:rPr>
          <w:lang w:val="en_US" w:bidi="en_US"/>
        </w:rPr>
      </w:r>
      <w:r>
        <w:rPr>
          <w:lang w:val="en_US" w:bidi="en_US"/>
        </w:rPr>
        <w:t>the Zealous One</w:t>
      </w:r>
    </w:p>
    <w:p>
      <w:pPr/>
      <w:r>
        <w:rPr>
          <w:lang w:val="en_US" w:bidi="en_US"/>
        </w:rPr>
      </w:r>
      <w:r>
        <w:rPr>
          <w:lang w:val="en_US" w:bidi="en_US"/>
        </w:rPr>
        <w:t>the Patriot (GNT)</w:t>
      </w:r>
    </w:p>
    <w:p>
      <w:pPr/>
      <w:r>
        <w:rPr>
          <w:lang w:val="en_US" w:bidi="en_US"/>
        </w:rPr>
      </w:r>
      <w:r>
        <w:rPr>
          <w:lang w:val="en_US" w:bidi="en_US"/>
        </w:rPr>
        <w:t>the nationalist/revolutionary</w:t>
      </w:r>
      <w:r>
        <w:rPr>
          <w:lang w:val="en_US" w:bidi="en_US"/>
        </w:rPr>
      </w:r>
      <w:r>
        <w:rPr>
          <w:lang w:val="en_US" w:bidi="en_US"/>
        </w:rPr>
      </w:r>
    </w:p>
    <w:p>
      <w:pPr/>
      <w:r>
        <w:rPr>
          <w:lang w:val="en_US" w:bidi="en_US"/>
        </w:rPr>
      </w:r>
    </w:p>
    <w:p>
      <w:pPr>
        <w:pStyle w:val="Heading2"/>
      </w:pPr>
      <w:r>
        <w:rPr>
          <w:lang w:val="en_US" w:bidi="en_US"/>
        </w:rPr>
        <w:t>Luke 6:16</w:t>
      </w:r>
      <w:r>
        <w:rPr>
          <w:lang w:val="en_US" w:bidi="en_US"/>
        </w:rPr>
      </w:r>
    </w:p>
    <w:p>
      <w:pPr>
        <w:pStyle w:val="Heading4"/>
      </w:pPr>
      <w:r>
        <w:rPr>
          <w:lang w:val="en_US" w:bidi="en_US"/>
        </w:rPr>
        <w:t>Section 6:12–16: Jesus chose the twelve apostles</w:t>
      </w:r>
    </w:p>
    <w:p>
      <w:pPr/>
      <w:r>
        <w:rPr>
          <w:lang w:val="en_US" w:bidi="en_US"/>
        </w:rPr>
      </w:r>
      <w:r>
        <w:rPr>
          <w:lang w:val="en_US" w:bidi="en_US"/>
        </w:rPr>
        <w:t>In this section, Luke changed his topic from enemies of Jesus to friends and followers of Jesus. Jesus chose twelve men from among his many followers to be his apostles. Before making this important decision, Jesus prayed all night and asked God to guide him. Jesus chose these twelve men in order to train them for leadership.</w:t>
      </w:r>
    </w:p>
    <w:p>
      <w:pPr/>
      <w:r>
        <w:rPr>
          <w:lang w:val="en_US" w:bidi="en_US"/>
        </w:rPr>
      </w:r>
      <w:r>
        <w:rPr>
          <w:lang w:val="en_US" w:bidi="en_US"/>
        </w:rPr>
        <w:t>Some other possible headings for this section are:</w:t>
      </w:r>
    </w:p>
    <w:p>
      <w:pPr/>
      <w:r>
        <w:rPr>
          <w:lang w:val="en_US" w:bidi="en_US"/>
        </w:rPr>
      </w:r>
      <w:r>
        <w:rPr>
          <w:lang w:val="en_US" w:bidi="en_US"/>
        </w:rPr>
        <w:t>Jesus Chooses His Twelve Apostles (CEV)</w:t>
      </w:r>
    </w:p>
    <w:p>
      <w:pPr/>
      <w:r>
        <w:rPr>
          <w:lang w:val="en_US" w:bidi="en_US"/>
        </w:rPr>
      </w:r>
      <w:r>
        <w:rPr>
          <w:lang w:val="en_US" w:bidi="en_US"/>
        </w:rPr>
        <w:t>Jesus appointed the apostles</w:t>
      </w:r>
    </w:p>
    <w:p>
      <w:pPr/>
      <w:r>
        <w:rPr>
          <w:lang w:val="en_US" w:bidi="en_US"/>
        </w:rPr>
      </w:r>
      <w:r>
        <w:rPr>
          <w:lang w:val="en_US" w:bidi="en_US"/>
        </w:rPr>
        <w:t>The Twelve Apostles (NIV)</w:t>
      </w:r>
    </w:p>
    <w:p>
      <w:pPr/>
      <w:r>
        <w:rPr>
          <w:lang w:val="en_US" w:bidi="en_US"/>
        </w:rPr>
      </w:r>
      <w:r>
        <w:rPr>
          <w:lang w:val="en_US" w:bidi="en_US"/>
        </w:rPr>
        <w:t>There are parallel passages for this section in Matthew 10:1–4 and Mark 3:13–19.</w:t>
      </w:r>
    </w:p>
    <w:p>
      <w:pPr>
        <w:pStyle w:val="Heading5"/>
      </w:pPr>
      <w:r>
        <w:rPr>
          <w:lang w:val="en_US" w:bidi="en_US"/>
        </w:rPr>
        <w:t>6:16</w:t>
      </w:r>
    </w:p>
    <w:p>
      <w:pPr/>
      <w:r>
        <w:rPr>
          <w:lang w:val="en_US" w:bidi="en_US"/>
        </w:rPr>
      </w:r>
      <w:r>
        <w:rPr>
          <w:b/>
          <w:lang w:val="en_US" w:bidi="en_US"/>
        </w:rPr>
        <w:t>Judas son of James, and Judas Iscariot, who became a traitor.</w:t>
      </w:r>
    </w:p>
    <w:p>
      <w:pPr>
        <w:pStyle w:val="ListBullet"/>
        <w:spacing w:line="240" w:lineRule="auto"/>
        <w:ind w:left="720"/>
      </w:pPr>
      <w:r>
        <w:rPr>
          <w:lang w:val="en_US" w:bidi="en_US"/>
        </w:rPr>
      </w:r>
      <w:r>
        <w:rPr>
          <w:lang w:val="en_US" w:bidi="en_US"/>
        </w:rPr>
        <w:t xml:space="preserve">Judas </w:t>
      </w:r>
      <w:r>
        <w:rPr>
          <w:lang w:val="en_US" w:bidi="en_US"/>
        </w:rPr>
        <w:t>who was</w:t>
      </w:r>
      <w:r>
        <w:rPr>
          <w:lang w:val="en_US" w:bidi="en_US"/>
        </w:rPr>
        <w:t xml:space="preserve"> James’ son, and Judas Iscariot who betrayed </w:t>
      </w:r>
      <w:r>
        <w:rPr>
          <w:lang w:val="en_US" w:bidi="en_US"/>
        </w:rPr>
        <w:t>Jesus</w:t>
      </w:r>
      <w:r>
        <w:rPr>
          <w:lang w:val="en_US" w:bidi="en_US"/>
        </w:rPr>
        <w:t>.</w:t>
      </w:r>
    </w:p>
    <w:p>
      <w:pPr>
        <w:pStyle w:val="ListBullet"/>
        <w:spacing w:line="240" w:lineRule="auto"/>
        <w:ind w:left="720"/>
      </w:pPr>
      <w:r>
        <w:rPr>
          <w:lang w:val="en_US" w:bidi="en_US"/>
        </w:rPr>
      </w:r>
      <w:r>
        <w:rPr>
          <w:lang w:val="en_US" w:bidi="en_US"/>
        </w:rPr>
        <w:t xml:space="preserve">James’ son Judas, and Judas Iscariot who </w:t>
      </w:r>
      <w:r>
        <w:rPr>
          <w:lang w:val="en_US" w:bidi="en_US"/>
        </w:rPr>
        <w:t>later</w:t>
      </w:r>
      <w:r>
        <w:rPr>
          <w:lang w:val="en_US" w:bidi="en_US"/>
        </w:rPr>
        <w:t xml:space="preserve"> betrayed </w:t>
      </w:r>
      <w:r>
        <w:rPr>
          <w:lang w:val="en_US" w:bidi="en_US"/>
        </w:rPr>
        <w:t>Jesus</w:t>
      </w:r>
      <w:r>
        <w:rPr>
          <w:lang w:val="en_US" w:bidi="en_US"/>
        </w:rPr>
        <w:t>.</w:t>
      </w:r>
    </w:p>
    <w:p>
      <w:pPr/>
      <w:r>
        <w:rPr>
          <w:lang w:val="en_US" w:bidi="en_US"/>
        </w:rPr>
      </w:r>
      <w:r>
        <w:rPr>
          <w:lang w:val="en_US" w:bidi="en_US"/>
        </w:rPr>
        <w:t>There were two apostles named Judas.</w:t>
      </w:r>
    </w:p>
    <w:p>
      <w:pPr/>
      <w:r>
        <w:rPr>
          <w:lang w:val="en_US" w:bidi="en_US"/>
        </w:rPr>
      </w:r>
      <w:r>
        <w:rPr>
          <w:b/>
          <w:lang w:val="en_US" w:bidi="en_US"/>
        </w:rPr>
        <w:t>Judas son of James:</w:t>
      </w:r>
      <w:r>
        <w:rPr>
          <w:lang w:val="en_US" w:bidi="en_US"/>
        </w:rPr>
        <w:t xml:space="preserve"> This </w:t>
      </w:r>
      <w:r>
        <w:rPr>
          <w:i/>
          <w:lang w:val="en_US" w:bidi="en_US"/>
        </w:rPr>
        <w:t>Judas</w:t>
      </w:r>
      <w:r>
        <w:rPr>
          <w:lang w:val="en_US" w:bidi="en_US"/>
        </w:rPr>
        <w:t xml:space="preserve"> was also known as Thaddeus. (See Matthew 10:3 and Mark 3:18.) His father’s name was </w:t>
      </w:r>
      <w:r>
        <w:rPr>
          <w:i/>
          <w:lang w:val="en_US" w:bidi="en_US"/>
        </w:rPr>
        <w:t>James</w:t>
      </w:r>
      <w:r>
        <w:rPr>
          <w:lang w:val="en_US" w:bidi="en_US"/>
        </w:rPr>
        <w:t>.</w:t>
      </w:r>
    </w:p>
    <w:p>
      <w:pPr/>
      <w:r>
        <w:rPr>
          <w:lang w:val="en_US" w:bidi="en_US"/>
        </w:rPr>
      </w:r>
      <w:r>
        <w:rPr>
          <w:b/>
          <w:lang w:val="en_US" w:bidi="en_US"/>
        </w:rPr>
        <w:t>Judas Iscariot:</w:t>
      </w:r>
      <w:r>
        <w:rPr>
          <w:lang w:val="en_US" w:bidi="en_US"/>
        </w:rPr>
        <w:t xml:space="preserve"> This </w:t>
      </w:r>
      <w:r>
        <w:rPr>
          <w:i/>
          <w:lang w:val="en_US" w:bidi="en_US"/>
        </w:rPr>
        <w:t>Judas</w:t>
      </w:r>
      <w:r>
        <w:rPr>
          <w:lang w:val="en_US" w:bidi="en_US"/>
        </w:rPr>
        <w:t xml:space="preserve"> was distinguished from the other Judas by the name </w:t>
      </w:r>
      <w:r>
        <w:rPr>
          <w:i/>
          <w:lang w:val="en_US" w:bidi="en_US"/>
        </w:rPr>
        <w:t>Iscariot</w:t>
      </w:r>
      <w:r>
        <w:rPr>
          <w:lang w:val="en_US" w:bidi="en_US"/>
        </w:rPr>
        <w:t xml:space="preserve">. It refers to his home town. You should treat </w:t>
      </w:r>
      <w:r>
        <w:rPr>
          <w:i/>
          <w:lang w:val="en_US" w:bidi="en_US"/>
        </w:rPr>
        <w:t>Iscariot</w:t>
      </w:r>
      <w:r>
        <w:rPr>
          <w:lang w:val="en_US" w:bidi="en_US"/>
        </w:rPr>
        <w:t>Some scholars understand the word Iscariot to mean “man from Kerioth.” However, most English versions treat Iscariot as simply a name. So herethat you follow the majority of versions.</w:t>
      </w:r>
      <w:r>
        <w:rPr>
          <w:lang w:val="en_US" w:bidi="en_US"/>
        </w:rPr>
        <w:t xml:space="preserve"> as another name.</w:t>
      </w:r>
    </w:p>
    <w:p>
      <w:pPr/>
      <w:r>
        <w:rPr>
          <w:lang w:val="en_US" w:bidi="en_US"/>
        </w:rPr>
      </w:r>
      <w:r>
        <w:rPr>
          <w:b/>
          <w:lang w:val="en_US" w:bidi="en_US"/>
        </w:rPr>
        <w:t>who became a traitor:</w:t>
      </w:r>
      <w:r>
        <w:rPr>
          <w:lang w:val="en_US" w:bidi="en_US"/>
        </w:rPr>
        <w:t xml:space="preserve"> A </w:t>
      </w:r>
      <w:r>
        <w:rPr>
          <w:i/>
          <w:lang w:val="en_US" w:bidi="en_US"/>
        </w:rPr>
        <w:t>traitor</w:t>
      </w:r>
      <w:r>
        <w:rPr>
          <w:lang w:val="en_US" w:bidi="en_US"/>
        </w:rPr>
        <w:t xml:space="preserve"> is a person who pretends to be a friend to someone but then helps his enemies to harm him. This Judas later became a traitor when he helped Jesus’ enemies to arrest him. Some other ways to translate this are:</w:t>
      </w:r>
    </w:p>
    <w:p>
      <w:pPr/>
      <w:r>
        <w:rPr>
          <w:lang w:val="en_US" w:bidi="en_US"/>
        </w:rPr>
      </w:r>
      <w:r>
        <w:rPr>
          <w:lang w:val="en_US" w:bidi="en_US"/>
        </w:rPr>
        <w:t xml:space="preserve">who betrayed Jesus </w:t>
      </w:r>
      <w:r>
        <w:rPr>
          <w:lang w:val="en_US" w:bidi="en_US"/>
        </w:rPr>
        <w:t>to his enemies</w:t>
      </w:r>
    </w:p>
    <w:p>
      <w:pPr/>
      <w:r>
        <w:rPr>
          <w:lang w:val="en_US" w:bidi="en_US"/>
        </w:rPr>
      </w:r>
      <w:r>
        <w:rPr>
          <w:lang w:val="en_US" w:bidi="en_US"/>
        </w:rPr>
        <w:t xml:space="preserve">who led Jesus’ enemies to him </w:t>
      </w:r>
      <w:r>
        <w:rPr>
          <w:lang w:val="en_US" w:bidi="en_US"/>
        </w:rPr>
        <w:t>so they could arrest him</w:t>
      </w:r>
    </w:p>
    <w:p>
      <w:pPr/>
      <w:r>
        <w:rPr>
          <w:lang w:val="en_US" w:bidi="en_US"/>
        </w:rPr>
      </w:r>
      <w:r>
        <w:rPr>
          <w:lang w:val="en_US" w:bidi="en_US"/>
        </w:rPr>
        <w:t>who later turned Jesus over to his enemies (NCV)</w:t>
      </w:r>
      <w:r>
        <w:rPr>
          <w:lang w:val="en_US" w:bidi="en_US"/>
        </w:rPr>
      </w:r>
      <w:r>
        <w:rPr>
          <w:lang w:val="en_US" w:bidi="en_US"/>
        </w:rPr>
      </w:r>
    </w:p>
    <w:p>
      <w:pPr/>
      <w:r>
        <w:rPr>
          <w:lang w:val="en_US" w:bidi="en_US"/>
        </w:rPr>
      </w:r>
    </w:p>
    <w:p>
      <w:pPr>
        <w:pStyle w:val="Heading2"/>
      </w:pPr>
      <w:r>
        <w:rPr>
          <w:lang w:val="en_US" w:bidi="en_US"/>
        </w:rPr>
        <w:t>Luke 6:17</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6:17–19</w:t>
      </w:r>
    </w:p>
    <w:p>
      <w:pPr/>
      <w:r>
        <w:rPr>
          <w:lang w:val="en_US" w:bidi="en_US"/>
        </w:rPr>
      </w:r>
      <w:r>
        <w:rPr>
          <w:lang w:val="en_US" w:bidi="en_US"/>
        </w:rPr>
        <w:t>This paragraph tells where Jesus was when he spoke the words in this section. It also tells when he spoke and who listened to what he said. It tells why the people had gathered together and what Jesus had been doing before he spoke to the crowd. The events in this paragraph occurred immediately after Jesus chose the twelve apostles in the previous paragraph.</w:t>
      </w:r>
    </w:p>
    <w:p>
      <w:pPr>
        <w:pStyle w:val="Heading5"/>
      </w:pPr>
      <w:r>
        <w:rPr>
          <w:lang w:val="en_US" w:bidi="en_US"/>
        </w:rPr>
        <w:t>6:17a</w:t>
      </w:r>
    </w:p>
    <w:p>
      <w:pPr/>
      <w:r>
        <w:rPr>
          <w:lang w:val="en_US" w:bidi="en_US"/>
        </w:rPr>
      </w:r>
      <w:r>
        <w:rPr>
          <w:b/>
          <w:lang w:val="en_US" w:bidi="en_US"/>
        </w:rPr>
        <w:t>Then Jesus came down with them and stood on a level place.</w:t>
      </w:r>
    </w:p>
    <w:p>
      <w:pPr>
        <w:pStyle w:val="ListBullet"/>
        <w:spacing w:line="240" w:lineRule="auto"/>
        <w:ind w:left="720"/>
      </w:pPr>
      <w:r>
        <w:rPr>
          <w:lang w:val="en_US" w:bidi="en_US"/>
        </w:rPr>
      </w:r>
      <w:r>
        <w:rPr>
          <w:lang w:val="en_US" w:bidi="en_US"/>
        </w:rPr>
        <w:t xml:space="preserve">¶ Jesus came/went down </w:t>
      </w:r>
      <w:r>
        <w:rPr>
          <w:lang w:val="en_US" w:bidi="en_US"/>
        </w:rPr>
        <w:t>the hill</w:t>
      </w:r>
      <w:r>
        <w:rPr>
          <w:lang w:val="en_US" w:bidi="en_US"/>
        </w:rPr>
        <w:t xml:space="preserve"> with them to a flat area.</w:t>
      </w:r>
    </w:p>
    <w:p>
      <w:pPr>
        <w:pStyle w:val="ListBullet"/>
        <w:spacing w:line="240" w:lineRule="auto"/>
        <w:ind w:left="720"/>
      </w:pPr>
      <w:r>
        <w:rPr>
          <w:lang w:val="en_US" w:bidi="en_US"/>
        </w:rPr>
      </w:r>
      <w:r>
        <w:rPr>
          <w:lang w:val="en_US" w:bidi="en_US"/>
        </w:rPr>
        <w:t xml:space="preserve">¶ Jesus and his disciples went down </w:t>
      </w:r>
      <w:r>
        <w:rPr>
          <w:lang w:val="en_US" w:bidi="en_US"/>
        </w:rPr>
        <w:t>the hill</w:t>
      </w:r>
      <w:r>
        <w:rPr>
          <w:lang w:val="en_US" w:bidi="en_US"/>
        </w:rPr>
        <w:t xml:space="preserve"> and stopped at a place where the ground was level.</w:t>
      </w:r>
    </w:p>
    <w:p>
      <w:pPr>
        <w:pStyle w:val="ListBullet"/>
        <w:spacing w:line="240" w:lineRule="auto"/>
        <w:ind w:left="720"/>
      </w:pPr>
      <w:r>
        <w:rPr>
          <w:lang w:val="en_US" w:bidi="en_US"/>
        </w:rPr>
      </w:r>
      <w:r>
        <w:rPr>
          <w:lang w:val="en_US" w:bidi="en_US"/>
        </w:rPr>
        <w:t>¶ When they came down from the mountain, the disciples stood with Jesus on a large, level area. (NLT)</w:t>
      </w:r>
    </w:p>
    <w:p>
      <w:pPr/>
      <w:r>
        <w:rPr>
          <w:lang w:val="en_US" w:bidi="en_US"/>
        </w:rPr>
      </w:r>
      <w:r>
        <w:rPr>
          <w:b/>
          <w:lang w:val="en_US" w:bidi="en_US"/>
        </w:rPr>
        <w:t>Then:</w:t>
      </w:r>
      <w:r>
        <w:rPr>
          <w:lang w:val="en_US" w:bidi="en_US"/>
        </w:rPr>
        <w:t xml:space="preserve"> This verse begins with a Greek conjunction that is often translated as “and.” Some English versions, such as the ESV, translate it that way. Other versions, such as the NIV and CEV, do not translate this conjunction. However, since this conjunction introduces an event that occurred right after the previous one, other versions (BSB, NET) translate it as “then.” Another way to translate this is:</w:t>
      </w:r>
    </w:p>
    <w:p>
      <w:pPr/>
      <w:r>
        <w:rPr>
          <w:lang w:val="en_US" w:bidi="en_US"/>
        </w:rPr>
      </w:r>
      <w:r>
        <w:rPr>
          <w:lang w:val="en_US" w:bidi="en_US"/>
        </w:rPr>
        <w:t>When (GNT, NLT)</w:t>
      </w:r>
    </w:p>
    <w:p>
      <w:pPr/>
      <w:r>
        <w:rPr>
          <w:lang w:val="en_US" w:bidi="en_US"/>
        </w:rPr>
      </w:r>
      <w:r>
        <w:rPr>
          <w:lang w:val="en_US" w:bidi="en_US"/>
        </w:rPr>
        <w:t>Connect 4:4a to 4:3b in a way that is natural in your language.</w:t>
      </w:r>
    </w:p>
    <w:p>
      <w:pPr/>
      <w:r>
        <w:rPr>
          <w:lang w:val="en_US" w:bidi="en_US"/>
        </w:rPr>
      </w:r>
      <w:r>
        <w:rPr>
          <w:b/>
          <w:lang w:val="en_US" w:bidi="en_US"/>
        </w:rPr>
        <w:t>Jesus came down with them:</w:t>
      </w:r>
      <w:r>
        <w:rPr>
          <w:lang w:val="en_US" w:bidi="en_US"/>
        </w:rPr>
        <w:t xml:space="preserve"> The phrase </w:t>
      </w:r>
      <w:r>
        <w:rPr>
          <w:i/>
          <w:lang w:val="en_US" w:bidi="en_US"/>
        </w:rPr>
        <w:t>Jesus came down with them</w:t>
      </w:r>
      <w:r>
        <w:rPr>
          <w:lang w:val="en_US" w:bidi="en_US"/>
        </w:rPr>
        <w:t xml:space="preserve"> means that Jesus went down the mountain with his apostles. The other disciples also went with him. For example:</w:t>
      </w:r>
    </w:p>
    <w:p>
      <w:pPr/>
      <w:r>
        <w:rPr>
          <w:lang w:val="en_US" w:bidi="en_US"/>
        </w:rPr>
      </w:r>
      <w:r>
        <w:rPr>
          <w:lang w:val="en_US" w:bidi="en_US"/>
        </w:rPr>
        <w:t>Jesus and his apostles went down from the mountain (CEV)</w:t>
      </w:r>
    </w:p>
    <w:p>
      <w:pPr/>
      <w:r>
        <w:rPr>
          <w:lang w:val="en_US" w:bidi="en_US"/>
        </w:rPr>
      </w:r>
      <w:r>
        <w:rPr>
          <w:lang w:val="en_US" w:bidi="en_US"/>
        </w:rPr>
        <w:t>When they came down from the mountain, the disciples stood with Jesus (NLT)</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the twelve apostles. It probably also includes the other disciples who had been on the mountain too. Use a general term that can include both groups.</w:t>
      </w:r>
    </w:p>
    <w:p>
      <w:pPr/>
      <w:r>
        <w:rPr>
          <w:lang w:val="en_US" w:bidi="en_US"/>
        </w:rPr>
      </w:r>
      <w:r>
        <w:rPr>
          <w:b/>
          <w:lang w:val="en_US" w:bidi="en_US"/>
        </w:rPr>
        <w:t>and stood on a level place:</w:t>
      </w:r>
      <w:r>
        <w:rPr>
          <w:lang w:val="en_US" w:bidi="en_US"/>
        </w:rPr>
        <w:t xml:space="preserve"> The Greek word that the BSB translates as </w:t>
      </w:r>
      <w:r>
        <w:rPr>
          <w:i/>
          <w:lang w:val="en_US" w:bidi="en_US"/>
        </w:rPr>
        <w:t>stood</w:t>
      </w:r>
      <w:r>
        <w:rPr>
          <w:lang w:val="en_US" w:bidi="en_US"/>
        </w:rPr>
        <w:t xml:space="preserve"> means that Jesus stopped descending the mountain. It does not focus on his posture. Some other ways to translate this are:</w:t>
      </w:r>
    </w:p>
    <w:p>
      <w:pPr/>
      <w:r>
        <w:rPr>
          <w:lang w:val="en_US" w:bidi="en_US"/>
        </w:rPr>
      </w:r>
      <w:r>
        <w:rPr>
          <w:lang w:val="en_US" w:bidi="en_US"/>
        </w:rPr>
        <w:t>the disciples stood with Jesus on a large, level area (NLT)</w:t>
      </w:r>
    </w:p>
    <w:p>
      <w:pPr/>
      <w:r>
        <w:rPr>
          <w:lang w:val="en_US" w:bidi="en_US"/>
        </w:rPr>
      </w:r>
      <w:r>
        <w:rPr>
          <w:lang w:val="en_US" w:bidi="en_US"/>
        </w:rPr>
        <w:t>and stopped on some level ground (REB)</w:t>
      </w:r>
    </w:p>
    <w:p>
      <w:pPr/>
      <w:r>
        <w:rPr>
          <w:lang w:val="en_US" w:bidi="en_US"/>
        </w:rPr>
      </w:r>
      <w:r>
        <w:rPr>
          <w:lang w:val="en_US" w:bidi="en_US"/>
        </w:rPr>
        <w:t>and came to some flat, level ground (CEV)</w:t>
      </w:r>
    </w:p>
    <w:p>
      <w:pPr/>
      <w:r>
        <w:rPr>
          <w:lang w:val="en_US" w:bidi="en_US"/>
        </w:rPr>
      </w:r>
      <w:r>
        <w:rPr>
          <w:b/>
          <w:lang w:val="en_US" w:bidi="en_US"/>
        </w:rPr>
        <w:t>level place:</w:t>
      </w:r>
      <w:r>
        <w:rPr>
          <w:lang w:val="en_US" w:bidi="en_US"/>
        </w:rPr>
        <w:t xml:space="preserve"> In this context the Greek word that the BSB translates as a </w:t>
      </w:r>
      <w:r>
        <w:rPr>
          <w:i/>
          <w:lang w:val="en_US" w:bidi="en_US"/>
        </w:rPr>
        <w:t>level place</w:t>
      </w:r>
      <w:r>
        <w:rPr>
          <w:lang w:val="en_US" w:bidi="en_US"/>
        </w:rPr>
        <w:t xml:space="preserve"> refers to level/flat ground where people could sit. This level ground did not have steep places, and it was a suitable place for a large crowd to gather. The word does not indicate whether this place was in a lowland area or in a mountainous area.</w:t>
      </w:r>
      <w:r>
        <w:rPr>
          <w:lang w:val="en_US" w:bidi="en_US"/>
        </w:rPr>
        <w:t>The parallel passages in Matthew and Mark may describe this same sermon or different speeches/sayings of Jesus. The location of the speeches are described in different ways. Matthew describes Jesus addressing the people “on the mountain” (Matthew 5:1). The parallel verses in Mark describe Jesus and the people gathering by the sea (Mark 3:7–9). All of these descriptions could fit a level place on the slope of a mountain near the sea.</w:t>
      </w:r>
    </w:p>
    <w:p>
      <w:pPr>
        <w:pStyle w:val="Heading5"/>
      </w:pPr>
      <w:r>
        <w:rPr>
          <w:lang w:val="en_US" w:bidi="en_US"/>
        </w:rPr>
        <w:t>6:17b</w:t>
      </w:r>
    </w:p>
    <w:p>
      <w:pPr/>
      <w:r>
        <w:rPr>
          <w:lang w:val="en_US" w:bidi="en_US"/>
        </w:rPr>
      </w:r>
      <w:r>
        <w:rPr>
          <w:b/>
          <w:lang w:val="en_US" w:bidi="en_US"/>
        </w:rPr>
        <w:t>A large crowd of His disciples was there,</w:t>
      </w:r>
    </w:p>
    <w:p>
      <w:pPr>
        <w:pStyle w:val="ListBullet"/>
        <w:spacing w:line="240" w:lineRule="auto"/>
        <w:ind w:left="720"/>
      </w:pPr>
      <w:r>
        <w:rPr>
          <w:lang w:val="en_US" w:bidi="en_US"/>
        </w:rPr>
      </w:r>
      <w:r>
        <w:rPr>
          <w:lang w:val="en_US" w:bidi="en_US"/>
        </w:rPr>
        <w:t>A large group of his disciples was there,</w:t>
      </w:r>
    </w:p>
    <w:p>
      <w:pPr>
        <w:pStyle w:val="ListBullet"/>
        <w:spacing w:line="240" w:lineRule="auto"/>
        <w:ind w:left="720"/>
      </w:pPr>
      <w:r>
        <w:rPr>
          <w:lang w:val="en_US" w:bidi="en_US"/>
        </w:rPr>
      </w:r>
      <w:r>
        <w:rPr>
          <w:lang w:val="en_US" w:bidi="en_US"/>
        </w:rPr>
        <w:t xml:space="preserve">There </w:t>
      </w:r>
      <w:r>
        <w:rPr>
          <w:lang w:val="en_US" w:bidi="en_US"/>
        </w:rPr>
        <w:t>they found/met</w:t>
      </w:r>
      <w:r>
        <w:rPr>
          <w:lang w:val="en_US" w:bidi="en_US"/>
        </w:rPr>
        <w:t xml:space="preserve"> a large number of his </w:t>
      </w:r>
      <w:r>
        <w:rPr>
          <w:lang w:val="en_US" w:bidi="en_US"/>
        </w:rPr>
        <w:t>other</w:t>
      </w:r>
      <w:r>
        <w:rPr>
          <w:lang w:val="en_US" w:bidi="en_US"/>
        </w:rPr>
        <w:t xml:space="preserve"> disciples</w:t>
      </w:r>
    </w:p>
    <w:p>
      <w:pPr>
        <w:pStyle w:val="ListBullet"/>
        <w:spacing w:line="240" w:lineRule="auto"/>
        <w:ind w:left="720"/>
      </w:pPr>
      <w:r>
        <w:rPr>
          <w:lang w:val="en_US" w:bidi="en_US"/>
        </w:rPr>
      </w:r>
      <w:r>
        <w:rPr>
          <w:lang w:val="en_US" w:bidi="en_US"/>
        </w:rPr>
        <w:t xml:space="preserve">A large crowd of his </w:t>
      </w:r>
      <w:r>
        <w:rPr>
          <w:lang w:val="en_US" w:bidi="en_US"/>
        </w:rPr>
        <w:t>other</w:t>
      </w:r>
      <w:r>
        <w:rPr>
          <w:lang w:val="en_US" w:bidi="en_US"/>
        </w:rPr>
        <w:t xml:space="preserve"> followers was </w:t>
      </w:r>
      <w:r>
        <w:rPr>
          <w:lang w:val="en_US" w:bidi="en_US"/>
        </w:rPr>
        <w:t>waiting</w:t>
      </w:r>
      <w:r>
        <w:rPr>
          <w:lang w:val="en_US" w:bidi="en_US"/>
        </w:rPr>
        <w:t xml:space="preserve"> there,</w:t>
      </w:r>
    </w:p>
    <w:p>
      <w:pPr>
        <w:pStyle w:val="Heading5"/>
      </w:pPr>
      <w:r>
        <w:rPr>
          <w:lang w:val="en_US" w:bidi="en_US"/>
        </w:rPr>
        <w:t>6:17c</w:t>
      </w:r>
    </w:p>
    <w:p>
      <w:pPr/>
      <w:r>
        <w:rPr>
          <w:lang w:val="en_US" w:bidi="en_US"/>
        </w:rPr>
      </w:r>
      <w:r>
        <w:rPr>
          <w:b/>
          <w:lang w:val="en_US" w:bidi="en_US"/>
        </w:rPr>
        <w:t>along with a great number of people from all over Judea, Jerusalem,</w:t>
      </w:r>
    </w:p>
    <w:p>
      <w:pPr>
        <w:pStyle w:val="ListBullet"/>
        <w:spacing w:line="240" w:lineRule="auto"/>
        <w:ind w:left="720"/>
      </w:pPr>
      <w:r>
        <w:rPr>
          <w:lang w:val="en_US" w:bidi="en_US"/>
        </w:rPr>
      </w:r>
      <w:r>
        <w:rPr>
          <w:lang w:val="en_US" w:bidi="en_US"/>
        </w:rPr>
        <w:t>as well as a great crowd of other people from Jerusalem, from many other places in Judea,</w:t>
      </w:r>
    </w:p>
    <w:p>
      <w:pPr>
        <w:pStyle w:val="ListBullet"/>
        <w:spacing w:line="240" w:lineRule="auto"/>
        <w:ind w:left="720"/>
      </w:pPr>
      <w:r>
        <w:rPr>
          <w:lang w:val="en_US" w:bidi="en_US"/>
        </w:rPr>
      </w:r>
      <w:r>
        <w:rPr>
          <w:lang w:val="en_US" w:bidi="en_US"/>
        </w:rPr>
        <w:t xml:space="preserve">and very many other people from places throughout </w:t>
      </w:r>
      <w:r>
        <w:rPr>
          <w:lang w:val="en_US" w:bidi="en_US"/>
        </w:rPr>
        <w:t>the region/province of</w:t>
      </w:r>
      <w:r>
        <w:rPr>
          <w:lang w:val="en_US" w:bidi="en_US"/>
        </w:rPr>
        <w:t xml:space="preserve"> Judea, including </w:t>
      </w:r>
      <w:r>
        <w:rPr>
          <w:lang w:val="en_US" w:bidi="en_US"/>
        </w:rPr>
        <w:t>the city of</w:t>
      </w:r>
      <w:r>
        <w:rPr>
          <w:lang w:val="en_US" w:bidi="en_US"/>
        </w:rPr>
        <w:t xml:space="preserve"> Jerusalem,</w:t>
      </w:r>
    </w:p>
    <w:p>
      <w:pPr>
        <w:pStyle w:val="ListBullet"/>
        <w:spacing w:line="240" w:lineRule="auto"/>
        <w:ind w:left="720"/>
      </w:pPr>
      <w:r>
        <w:rPr>
          <w:lang w:val="en_US" w:bidi="en_US"/>
        </w:rPr>
      </w:r>
      <w:r>
        <w:rPr>
          <w:lang w:val="en_US" w:bidi="en_US"/>
        </w:rPr>
        <w:t>and a large group of people from all over Judea and from Jerusalem</w:t>
      </w:r>
    </w:p>
    <w:p>
      <w:pPr>
        <w:pStyle w:val="Heading5"/>
      </w:pPr>
      <w:r>
        <w:rPr>
          <w:lang w:val="en_US" w:bidi="en_US"/>
        </w:rPr>
        <w:t>6:17d</w:t>
      </w:r>
    </w:p>
    <w:p>
      <w:pPr/>
      <w:r>
        <w:rPr>
          <w:lang w:val="en_US" w:bidi="en_US"/>
        </w:rPr>
      </w:r>
      <w:r>
        <w:rPr>
          <w:b/>
          <w:lang w:val="en_US" w:bidi="en_US"/>
        </w:rPr>
        <w:t>and the sea coast of Tyre and Sidon.</w:t>
      </w:r>
    </w:p>
    <w:p>
      <w:pPr>
        <w:pStyle w:val="ListBullet"/>
        <w:spacing w:line="240" w:lineRule="auto"/>
        <w:ind w:left="720"/>
      </w:pPr>
      <w:r>
        <w:rPr>
          <w:lang w:val="en_US" w:bidi="en_US"/>
        </w:rPr>
      </w:r>
      <w:r>
        <w:rPr>
          <w:lang w:val="en_US" w:bidi="en_US"/>
        </w:rPr>
        <w:t>and from the region near the sea around Tyre and Sidon.</w:t>
      </w:r>
    </w:p>
    <w:p>
      <w:pPr>
        <w:pStyle w:val="ListBullet"/>
        <w:spacing w:line="240" w:lineRule="auto"/>
        <w:ind w:left="720"/>
      </w:pPr>
      <w:r>
        <w:rPr>
          <w:lang w:val="en_US" w:bidi="en_US"/>
        </w:rPr>
      </w:r>
      <w:r>
        <w:rPr>
          <w:lang w:val="en_US" w:bidi="en_US"/>
        </w:rPr>
        <w:t xml:space="preserve">and from the coastal </w:t>
      </w:r>
      <w:r>
        <w:rPr>
          <w:lang w:val="en_US" w:bidi="en_US"/>
        </w:rPr>
        <w:t>cities</w:t>
      </w:r>
      <w:r>
        <w:rPr>
          <w:lang w:val="en_US" w:bidi="en_US"/>
        </w:rPr>
        <w:t xml:space="preserve"> of Tyre and Sidon and the region around them.</w:t>
      </w:r>
    </w:p>
    <w:p>
      <w:pPr>
        <w:pStyle w:val="ListBullet"/>
        <w:spacing w:line="240" w:lineRule="auto"/>
        <w:ind w:left="720"/>
      </w:pPr>
      <w:r>
        <w:rPr>
          <w:lang w:val="en_US" w:bidi="en_US"/>
        </w:rPr>
      </w:r>
      <w:r>
        <w:rPr>
          <w:lang w:val="en_US" w:bidi="en_US"/>
        </w:rPr>
        <w:t xml:space="preserve">and from the seacoast </w:t>
      </w:r>
      <w:r>
        <w:rPr>
          <w:lang w:val="en_US" w:bidi="en_US"/>
        </w:rPr>
        <w:t>cities</w:t>
      </w:r>
      <w:r>
        <w:rPr>
          <w:lang w:val="en_US" w:bidi="en_US"/>
        </w:rPr>
        <w:t xml:space="preserve"> of Tyre and Sidon was also there.</w:t>
      </w:r>
    </w:p>
    <w:p>
      <w:pPr>
        <w:pStyle w:val="Heading5"/>
      </w:pPr>
      <w:r>
        <w:rPr>
          <w:lang w:val="en_US" w:bidi="en_US"/>
        </w:rPr>
        <w:t>6:17b–d</w:t>
      </w:r>
    </w:p>
    <w:p>
      <w:pPr/>
      <w:r>
        <w:rPr>
          <w:lang w:val="en_US" w:bidi="en_US"/>
        </w:rPr>
      </w:r>
      <w:r>
        <w:rPr>
          <w:b/>
          <w:lang w:val="en_US" w:bidi="en_US"/>
        </w:rPr>
        <w:t>A large crowd of His disciples was there, along with a great number of people from all over Judea, Jerusalem, and the sea coast of Tyre and Sidon:</w:t>
      </w:r>
      <w:r>
        <w:rPr>
          <w:lang w:val="en_US" w:bidi="en_US"/>
        </w:rPr>
        <w:t xml:space="preserve"> Jesus and his disciples found a large group of people waiting for them. This large group of people included:</w:t>
      </w:r>
    </w:p>
    <w:p>
      <w:pPr>
        <w:pStyle w:val="ListNumber"/>
        <w:numPr>
          <w:ilvl w:val="0"/>
          <w:numId w:val="138"/>
        </w:numPr>
        <w:spacing w:line="240" w:lineRule="auto"/>
        <w:ind w:left="720"/>
      </w:pPr>
      <w:r>
        <w:rPr>
          <w:lang w:val="en_US" w:bidi="en_US"/>
        </w:rPr>
      </w:r>
      <w:r>
        <w:rPr>
          <w:lang w:val="en_US" w:bidi="en_US"/>
        </w:rPr>
        <w:t>an additional group of his disciples, plus</w:t>
      </w:r>
    </w:p>
    <w:p>
      <w:pPr>
        <w:pStyle w:val="ListNumber"/>
        <w:spacing w:line="240" w:lineRule="auto"/>
        <w:ind w:left="720"/>
      </w:pPr>
      <w:r>
        <w:rPr>
          <w:lang w:val="en_US" w:bidi="en_US"/>
        </w:rPr>
      </w:r>
      <w:r>
        <w:rPr>
          <w:lang w:val="en_US" w:bidi="en_US"/>
        </w:rPr>
        <w:t>a large group of people who had traveled from other places.</w:t>
      </w:r>
    </w:p>
    <w:p>
      <w:pPr/>
      <w:r>
        <w:rPr>
          <w:lang w:val="en_US" w:bidi="en_US"/>
        </w:rPr>
      </w:r>
      <w:r>
        <w:rPr>
          <w:lang w:val="en_US" w:bidi="en_US"/>
        </w:rPr>
        <w:t xml:space="preserve">The text does not say how many people had gathered. This entire group could have been as large as several thousand people. (The same Greek phrase for </w:t>
      </w:r>
      <w:r>
        <w:rPr>
          <w:i/>
          <w:lang w:val="en_US" w:bidi="en_US"/>
        </w:rPr>
        <w:t>large crowd</w:t>
      </w:r>
      <w:r>
        <w:rPr>
          <w:lang w:val="en_US" w:bidi="en_US"/>
        </w:rPr>
        <w:t xml:space="preserve"> was used in Matthew 14:14 to talk about the crowd of five thousand that Jesus fed.)</w:t>
      </w:r>
    </w:p>
    <w:p>
      <w:pPr/>
      <w:r>
        <w:rPr>
          <w:lang w:val="en_US" w:bidi="en_US"/>
        </w:rPr>
      </w:r>
      <w:r>
        <w:rPr>
          <w:b/>
          <w:lang w:val="en_US" w:bidi="en_US"/>
        </w:rPr>
        <w:t>A large crowd of His disciples was there:</w:t>
      </w:r>
      <w:r>
        <w:rPr>
          <w:lang w:val="en_US" w:bidi="en_US"/>
        </w:rPr>
        <w:t xml:space="preserve"> </w:t>
      </w:r>
      <w:r>
        <w:rPr>
          <w:lang w:val="en_US" w:bidi="en_US"/>
        </w:rPr>
        <w:t>There is a textual issue in 6:17b regarding a Greek word that means “large” or “great.” Some manuscripts omit this word, and versions such as the KJV do not have it. However, the earliest and most reliable manuscripts include this word, and most English versions do have it.</w:t>
      </w:r>
      <w:r>
        <w:rPr>
          <w:lang w:val="en_US" w:bidi="en_US"/>
        </w:rPr>
        <w:t xml:space="preserve"> The clause </w:t>
      </w:r>
      <w:r>
        <w:rPr>
          <w:i/>
          <w:lang w:val="en_US" w:bidi="en_US"/>
        </w:rPr>
        <w:t>A large crowd of His disciples was there</w:t>
      </w:r>
      <w:r>
        <w:rPr>
          <w:lang w:val="en_US" w:bidi="en_US"/>
        </w:rPr>
        <w:t xml:space="preserve"> refers to other disciples who had not been with Jesus at the top of the mountain. They were there waiting for Jesus.</w:t>
      </w:r>
    </w:p>
    <w:p>
      <w:pPr/>
      <w:r>
        <w:rPr>
          <w:lang w:val="en_US" w:bidi="en_US"/>
        </w:rPr>
      </w:r>
      <w:r>
        <w:rPr>
          <w:lang w:val="en_US" w:bidi="en_US"/>
        </w:rPr>
        <w:t>Some other ways to translate this phrase are:</w:t>
      </w:r>
    </w:p>
    <w:p>
      <w:pPr/>
      <w:r>
        <w:rPr>
          <w:lang w:val="en_US" w:bidi="en_US"/>
        </w:rPr>
      </w:r>
      <w:r>
        <w:rPr>
          <w:lang w:val="en_US" w:bidi="en_US"/>
        </w:rPr>
        <w:t xml:space="preserve">A large crowd of </w:t>
      </w:r>
      <w:r>
        <w:rPr>
          <w:u w:val="single"/>
          <w:lang w:val="en_US" w:bidi="en_US"/>
        </w:rPr>
        <w:t>other</w:t>
      </w:r>
      <w:r>
        <w:rPr>
          <w:lang w:val="en_US" w:bidi="en_US"/>
        </w:rPr>
        <w:t xml:space="preserve"> disciples was </w:t>
      </w:r>
      <w:r>
        <w:rPr>
          <w:lang w:val="en_US" w:bidi="en_US"/>
        </w:rPr>
        <w:t>waiting</w:t>
      </w:r>
      <w:r>
        <w:rPr>
          <w:lang w:val="en_US" w:bidi="en_US"/>
        </w:rPr>
        <w:t xml:space="preserve"> there</w:t>
      </w:r>
    </w:p>
    <w:p>
      <w:pPr/>
      <w:r>
        <w:rPr>
          <w:lang w:val="en_US" w:bidi="en_US"/>
        </w:rPr>
      </w:r>
      <w:r>
        <w:rPr>
          <w:lang w:val="en_US" w:bidi="en_US"/>
        </w:rPr>
        <w:t xml:space="preserve">There </w:t>
      </w:r>
      <w:r>
        <w:rPr>
          <w:lang w:val="en_US" w:bidi="en_US"/>
        </w:rPr>
        <w:t>they found/met</w:t>
      </w:r>
      <w:r>
        <w:rPr>
          <w:lang w:val="en_US" w:bidi="en_US"/>
        </w:rPr>
        <w:t xml:space="preserve"> many </w:t>
      </w:r>
      <w:r>
        <w:rPr>
          <w:u w:val="single"/>
          <w:lang w:val="en_US" w:bidi="en_US"/>
        </w:rPr>
        <w:t>more</w:t>
      </w:r>
      <w:r>
        <w:rPr>
          <w:lang w:val="en_US" w:bidi="en_US"/>
        </w:rPr>
        <w:t xml:space="preserve"> of his disciples</w:t>
      </w:r>
    </w:p>
    <w:p>
      <w:pPr/>
      <w:r>
        <w:rPr>
          <w:lang w:val="en_US" w:bidi="en_US"/>
        </w:rPr>
      </w:r>
      <w:r>
        <w:rPr>
          <w:lang w:val="en_US" w:bidi="en_US"/>
        </w:rPr>
        <w:t>surrounded by many of his followers (NLT)</w:t>
      </w:r>
    </w:p>
    <w:p>
      <w:pPr/>
      <w:r>
        <w:rPr>
          <w:lang w:val="en_US" w:bidi="en_US"/>
        </w:rPr>
      </w:r>
      <w:r>
        <w:rPr>
          <w:b/>
          <w:lang w:val="en_US" w:bidi="en_US"/>
        </w:rPr>
        <w:t>disciples:</w:t>
      </w:r>
      <w:r>
        <w:rPr>
          <w:lang w:val="en_US" w:bidi="en_US"/>
        </w:rPr>
        <w:t xml:space="preserve"> See the note on </w:t>
      </w:r>
      <w:r>
        <w:rPr>
          <w:i/>
          <w:lang w:val="en_US" w:bidi="en_US"/>
        </w:rPr>
        <w:t>disciples</w:t>
      </w:r>
      <w:r>
        <w:rPr>
          <w:lang w:val="en_US" w:bidi="en_US"/>
        </w:rPr>
        <w:t xml:space="preserve"> at 6:1b. See disciple in the Glossary.</w:t>
      </w:r>
    </w:p>
    <w:p>
      <w:pPr/>
      <w:r>
        <w:rPr>
          <w:lang w:val="en_US" w:bidi="en_US"/>
        </w:rPr>
      </w:r>
      <w:r>
        <w:rPr>
          <w:b/>
          <w:lang w:val="en_US" w:bidi="en_US"/>
        </w:rPr>
        <w:t>large crowd…great number:</w:t>
      </w:r>
      <w:r>
        <w:rPr>
          <w:lang w:val="en_US" w:bidi="en_US"/>
        </w:rPr>
        <w:t xml:space="preserve"> The Greek word that the BSB translates as </w:t>
      </w:r>
      <w:r>
        <w:rPr>
          <w:i/>
          <w:lang w:val="en_US" w:bidi="en_US"/>
        </w:rPr>
        <w:t>number</w:t>
      </w:r>
      <w:r>
        <w:rPr>
          <w:lang w:val="en_US" w:bidi="en_US"/>
        </w:rPr>
        <w:t xml:space="preserve"> is literally “multitude.” It implies a larger group than the Greek word translated as </w:t>
      </w:r>
      <w:r>
        <w:rPr>
          <w:i/>
          <w:lang w:val="en_US" w:bidi="en_US"/>
        </w:rPr>
        <w:t>crowd</w:t>
      </w:r>
      <w:r>
        <w:rPr>
          <w:lang w:val="en_US" w:bidi="en_US"/>
        </w:rPr>
        <w:t>. Both words describe a very large gathering of people.</w:t>
      </w:r>
    </w:p>
    <w:p>
      <w:pPr/>
      <w:r>
        <w:rPr>
          <w:lang w:val="en_US" w:bidi="en_US"/>
        </w:rPr>
      </w:r>
      <w:r>
        <w:rPr>
          <w:lang w:val="en_US" w:bidi="en_US"/>
        </w:rPr>
        <w:t>If you have more than one word that can describe a large crowd, use the word that describes the larger group for the second group of people. If you have only one word for “crowd,” you could use it to describe both groups and indicate that second group was larger. For example:</w:t>
      </w:r>
    </w:p>
    <w:p>
      <w:pPr/>
      <w:r>
        <w:rPr>
          <w:lang w:val="en_US" w:bidi="en_US"/>
        </w:rPr>
      </w:r>
      <w:r>
        <w:rPr>
          <w:lang w:val="en_US" w:bidi="en_US"/>
        </w:rPr>
        <w:t>So were very many other people</w:t>
      </w:r>
    </w:p>
    <w:p>
      <w:pPr/>
      <w:r>
        <w:rPr>
          <w:lang w:val="en_US" w:bidi="en_US"/>
        </w:rPr>
      </w:r>
      <w:r>
        <w:rPr>
          <w:b/>
          <w:lang w:val="en_US" w:bidi="en_US"/>
        </w:rPr>
        <w:t>from all over Judea, Jerusalem:</w:t>
      </w:r>
      <w:r>
        <w:rPr>
          <w:lang w:val="en_US" w:bidi="en_US"/>
        </w:rPr>
        <w:t xml:space="preserve"> </w:t>
      </w:r>
      <w:r>
        <w:rPr>
          <w:i/>
          <w:lang w:val="en_US" w:bidi="en_US"/>
        </w:rPr>
        <w:t>Judea</w:t>
      </w:r>
      <w:r>
        <w:rPr>
          <w:lang w:val="en_US" w:bidi="en_US"/>
        </w:rPr>
        <w:t xml:space="preserve"> refers to the country of the Jews as a whole. </w:t>
      </w:r>
      <w:r>
        <w:rPr>
          <w:i/>
          <w:lang w:val="en_US" w:bidi="en_US"/>
        </w:rPr>
        <w:t>Jerusalem</w:t>
      </w:r>
      <w:r>
        <w:rPr>
          <w:lang w:val="en_US" w:bidi="en_US"/>
        </w:rPr>
        <w:t xml:space="preserve"> was the most important town within that country. Some other ways to translate this are:</w:t>
      </w:r>
    </w:p>
    <w:p>
      <w:pPr/>
      <w:r>
        <w:rPr>
          <w:lang w:val="en_US" w:bidi="en_US"/>
        </w:rPr>
      </w:r>
      <w:r>
        <w:rPr>
          <w:lang w:val="en_US" w:bidi="en_US"/>
        </w:rPr>
        <w:t>from all over Judea, including the town of Jerusalem</w:t>
      </w:r>
    </w:p>
    <w:p>
      <w:pPr/>
      <w:r>
        <w:rPr>
          <w:lang w:val="en_US" w:bidi="en_US"/>
        </w:rPr>
      </w:r>
      <w:r>
        <w:rPr>
          <w:lang w:val="en_US" w:bidi="en_US"/>
        </w:rPr>
        <w:t>from Jerusalem and many other areas/places in Judea</w:t>
      </w:r>
    </w:p>
    <w:p>
      <w:pPr/>
      <w:r>
        <w:rPr>
          <w:lang w:val="en_US" w:bidi="en_US"/>
        </w:rPr>
      </w:r>
      <w:r>
        <w:rPr>
          <w:b/>
          <w:lang w:val="en_US" w:bidi="en_US"/>
        </w:rPr>
        <w:t>and the sea coast of Tyre and Sidon:</w:t>
      </w:r>
      <w:r>
        <w:rPr>
          <w:lang w:val="en_US" w:bidi="en_US"/>
        </w:rPr>
        <w:t xml:space="preserve"> The phrase </w:t>
      </w:r>
      <w:r>
        <w:rPr>
          <w:i/>
          <w:lang w:val="en_US" w:bidi="en_US"/>
        </w:rPr>
        <w:t>and the sea coast of Tyre and Sidon</w:t>
      </w:r>
      <w:r>
        <w:rPr>
          <w:lang w:val="en_US" w:bidi="en_US"/>
        </w:rPr>
        <w:t xml:space="preserve"> indicates that people came from the area near the sea that included the cities of Tyre and Sidon. (Tyre and Sidon were Gentile towns on the shore of the Mediterranean Sea, to the north of Israel.) Some other ways to translate this are:</w:t>
      </w:r>
    </w:p>
    <w:p>
      <w:pPr/>
      <w:r>
        <w:rPr>
          <w:lang w:val="en_US" w:bidi="en_US"/>
        </w:rPr>
      </w:r>
      <w:r>
        <w:rPr>
          <w:lang w:val="en_US" w:bidi="en_US"/>
        </w:rPr>
        <w:t>and from the coastal region/area where the cities of Tyre and Sidon are located</w:t>
      </w:r>
    </w:p>
    <w:p>
      <w:pPr/>
      <w:r>
        <w:rPr>
          <w:lang w:val="en_US" w:bidi="en_US"/>
        </w:rPr>
      </w:r>
      <w:r>
        <w:rPr>
          <w:lang w:val="en_US" w:bidi="en_US"/>
        </w:rPr>
        <w:t>from the coastal cities of Tyre and Sidon and the area around them</w:t>
      </w:r>
    </w:p>
    <w:p>
      <w:pPr/>
      <w:r>
        <w:rPr>
          <w:lang w:val="en_US" w:bidi="en_US"/>
        </w:rPr>
      </w:r>
      <w:r>
        <w:rPr>
          <w:lang w:val="en_US" w:bidi="en_US"/>
        </w:rPr>
        <w:t>and from as far north as the seacoasts of Tyre and Sidon (NLT)</w:t>
      </w:r>
      <w:r>
        <w:rPr>
          <w:lang w:val="en_US" w:bidi="en_US"/>
        </w:rPr>
      </w:r>
      <w:r>
        <w:rPr>
          <w:lang w:val="en_US" w:bidi="en_US"/>
        </w:rPr>
      </w:r>
    </w:p>
    <w:p>
      <w:pPr/>
      <w:r>
        <w:rPr>
          <w:lang w:val="en_US" w:bidi="en_US"/>
        </w:rPr>
      </w:r>
    </w:p>
    <w:p>
      <w:pPr>
        <w:pStyle w:val="Heading2"/>
      </w:pPr>
      <w:r>
        <w:rPr>
          <w:lang w:val="en_US" w:bidi="en_US"/>
        </w:rPr>
        <w:t>Luke 6:18</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6:17–19</w:t>
      </w:r>
    </w:p>
    <w:p>
      <w:pPr/>
      <w:r>
        <w:rPr>
          <w:lang w:val="en_US" w:bidi="en_US"/>
        </w:rPr>
      </w:r>
      <w:r>
        <w:rPr>
          <w:lang w:val="en_US" w:bidi="en_US"/>
        </w:rPr>
        <w:t>This paragraph tells where Jesus was when he spoke the words in this section. It also tells when he spoke and who listened to what he said. It tells why the people had gathered together and what Jesus had been doing before he spoke to the crowd. The events in this paragraph occurred immediately after Jesus chose the twelve apostles in the previous paragraph.</w:t>
      </w:r>
    </w:p>
    <w:p>
      <w:pPr>
        <w:pStyle w:val="Heading5"/>
      </w:pPr>
      <w:r>
        <w:rPr>
          <w:lang w:val="en_US" w:bidi="en_US"/>
        </w:rPr>
        <w:t>6:18a</w:t>
      </w:r>
    </w:p>
    <w:p>
      <w:pPr/>
      <w:r>
        <w:rPr>
          <w:lang w:val="en_US" w:bidi="en_US"/>
        </w:rPr>
      </w:r>
      <w:r>
        <w:rPr>
          <w:b/>
          <w:lang w:val="en_US" w:bidi="en_US"/>
        </w:rPr>
        <w:t>They had come to hear Him and to be healed of their diseases,</w:t>
      </w:r>
    </w:p>
    <w:p>
      <w:pPr>
        <w:pStyle w:val="ListBullet"/>
        <w:spacing w:line="240" w:lineRule="auto"/>
        <w:ind w:left="720"/>
      </w:pPr>
      <w:r>
        <w:rPr>
          <w:lang w:val="en_US" w:bidi="en_US"/>
        </w:rPr>
      </w:r>
      <w:r>
        <w:rPr>
          <w:lang w:val="en_US" w:bidi="en_US"/>
        </w:rPr>
        <w:t xml:space="preserve">These people had come to hear him </w:t>
      </w:r>
      <w:r>
        <w:rPr>
          <w:lang w:val="en_US" w:bidi="en_US"/>
        </w:rPr>
        <w:t>teach</w:t>
      </w:r>
      <w:r>
        <w:rPr>
          <w:lang w:val="en_US" w:bidi="en_US"/>
        </w:rPr>
        <w:t xml:space="preserve">, and those who were sick wanted </w:t>
      </w:r>
      <w:r>
        <w:rPr>
          <w:lang w:val="en_US" w:bidi="en_US"/>
        </w:rPr>
        <w:t>him</w:t>
      </w:r>
      <w:r>
        <w:rPr>
          <w:lang w:val="en_US" w:bidi="en_US"/>
        </w:rPr>
        <w:t xml:space="preserve"> to heal them.</w:t>
      </w:r>
    </w:p>
    <w:p>
      <w:pPr>
        <w:pStyle w:val="ListBullet"/>
        <w:spacing w:line="240" w:lineRule="auto"/>
        <w:ind w:left="720"/>
      </w:pPr>
      <w:r>
        <w:rPr>
          <w:lang w:val="en_US" w:bidi="en_US"/>
        </w:rPr>
      </w:r>
      <w:r>
        <w:rPr>
          <w:lang w:val="en_US" w:bidi="en_US"/>
        </w:rPr>
        <w:t xml:space="preserve">Many of the people had come to listen to him </w:t>
      </w:r>
      <w:r>
        <w:rPr>
          <w:lang w:val="en_US" w:bidi="en_US"/>
        </w:rPr>
        <w:t>teach</w:t>
      </w:r>
      <w:r>
        <w:rPr>
          <w:lang w:val="en_US" w:bidi="en_US"/>
        </w:rPr>
        <w:t xml:space="preserve">. Those who were sick had come </w:t>
      </w:r>
      <w:r>
        <w:rPr>
          <w:lang w:val="en_US" w:bidi="en_US"/>
        </w:rPr>
        <w:t>to ask him</w:t>
      </w:r>
      <w:r>
        <w:rPr>
          <w:lang w:val="en_US" w:bidi="en_US"/>
        </w:rPr>
        <w:t xml:space="preserve"> to heal them.</w:t>
      </w:r>
    </w:p>
    <w:p>
      <w:pPr/>
      <w:r>
        <w:rPr>
          <w:lang w:val="en_US" w:bidi="en_US"/>
        </w:rPr>
      </w:r>
      <w:r>
        <w:rPr>
          <w:b/>
          <w:lang w:val="en_US" w:bidi="en_US"/>
        </w:rPr>
        <w:t>They had come to hear Him and to be healed of their diseases:</w:t>
      </w:r>
      <w:r>
        <w:rPr>
          <w:lang w:val="en_US" w:bidi="en_US"/>
        </w:rPr>
        <w:t xml:space="preserve"> </w:t>
      </w:r>
      <w:r>
        <w:rPr>
          <w:lang w:val="en_US" w:bidi="en_US"/>
        </w:rPr>
        <w:t>There is disagreement about where 6:18 begins. (1) Some versions begin 6:18 with “who had come to hear him and to be healed of their diseases” (BSB, NIV, GNT, NRSV, NJB, ESV, NASB, GW, NLT, CEV, NCV). (2) Other versions include “who had come to hear him and to be healed of their diseases” in 6:17. These versions begin 6:18 with “Those troubled by evil spirits were cured” (NET, RSV, KJV, REB). You should follow the way the major language version in your area divides the verses here.</w:t>
      </w:r>
      <w:r>
        <w:rPr>
          <w:lang w:val="en_US" w:bidi="en_US"/>
        </w:rPr>
        <w:t xml:space="preserve"> This clause tells why the people were there waiting for Jesus. Some came to listen to Jesus teach. Others had come because they were sick and they wanted Jesus to heal them. Some probably came for both reasons. Some other ways to translate this are:</w:t>
      </w:r>
    </w:p>
    <w:p>
      <w:pPr/>
      <w:r>
        <w:rPr>
          <w:lang w:val="en_US" w:bidi="en_US"/>
        </w:rPr>
      </w:r>
      <w:r>
        <w:rPr>
          <w:lang w:val="en_US" w:bidi="en_US"/>
        </w:rPr>
        <w:t>Many of the people had come to hear Jesus speak. Those who were sick had come for Jesus to heal them.</w:t>
      </w:r>
    </w:p>
    <w:p>
      <w:pPr/>
      <w:r>
        <w:rPr>
          <w:lang w:val="en_US" w:bidi="en_US"/>
        </w:rPr>
      </w:r>
      <w:r>
        <w:rPr>
          <w:lang w:val="en_US" w:bidi="en_US"/>
        </w:rPr>
        <w:t>These people had come to listen to Jesus and to be healed of their diseases. (CEV)</w:t>
      </w:r>
    </w:p>
    <w:p>
      <w:pPr/>
      <w:r>
        <w:rPr>
          <w:lang w:val="en_US" w:bidi="en_US"/>
        </w:rPr>
      </w:r>
      <w:r>
        <w:rPr>
          <w:b/>
          <w:lang w:val="en_US" w:bidi="en_US"/>
        </w:rPr>
        <w:t>and to be healed of their diseases:</w:t>
      </w:r>
      <w:r>
        <w:rPr>
          <w:lang w:val="en_US" w:bidi="en_US"/>
        </w:rPr>
        <w:t xml:space="preserve"> This phrase is passive. Some ways to translate it are:</w:t>
      </w:r>
    </w:p>
    <w:p>
      <w:pPr>
        <w:pStyle w:val="ListBullet"/>
        <w:spacing w:line="240" w:lineRule="auto"/>
        <w:ind w:left="720"/>
      </w:pPr>
      <w:r>
        <w:rPr>
          <w:lang w:val="en_US" w:bidi="en_US"/>
        </w:rPr>
      </w:r>
      <w:r>
        <w:rPr>
          <w:lang w:val="en_US" w:bidi="en_US"/>
        </w:rPr>
        <w:t>As passive. For example:</w:t>
      </w:r>
      <w:r>
        <w:rPr>
          <w:lang w:val="en_US" w:bidi="en_US"/>
        </w:rPr>
        <w:t>and be cured of their diseases (GW)</w:t>
      </w:r>
    </w:p>
    <w:p>
      <w:pPr>
        <w:pStyle w:val="ListBullet"/>
        <w:spacing w:line="240" w:lineRule="auto"/>
        <w:ind w:left="720"/>
      </w:pPr>
      <w:r>
        <w:rPr>
          <w:lang w:val="en_US" w:bidi="en_US"/>
        </w:rPr>
      </w:r>
      <w:r>
        <w:rPr>
          <w:lang w:val="en_US" w:bidi="en_US"/>
        </w:rPr>
        <w:t>As active. For example:</w:t>
      </w:r>
      <w:r>
        <w:rPr>
          <w:lang w:val="en_US" w:bidi="en_US"/>
        </w:rPr>
        <w:t>and so Jesus would heal them</w:t>
      </w:r>
    </w:p>
    <w:p>
      <w:pPr>
        <w:pStyle w:val="Heading5"/>
      </w:pPr>
      <w:r>
        <w:rPr>
          <w:lang w:val="en_US" w:bidi="en_US"/>
        </w:rPr>
        <w:t>6:18b</w:t>
      </w:r>
    </w:p>
    <w:p>
      <w:pPr/>
      <w:r>
        <w:rPr>
          <w:lang w:val="en_US" w:bidi="en_US"/>
        </w:rPr>
      </w:r>
      <w:r>
        <w:rPr>
          <w:b/>
          <w:lang w:val="en_US" w:bidi="en_US"/>
        </w:rPr>
        <w:t>and those troubled by unclean spirits were healed.</w:t>
      </w:r>
    </w:p>
    <w:p>
      <w:pPr>
        <w:pStyle w:val="ListBullet"/>
        <w:spacing w:line="240" w:lineRule="auto"/>
        <w:ind w:left="720"/>
      </w:pPr>
      <w:r>
        <w:rPr>
          <w:lang w:val="en_US" w:bidi="en_US"/>
        </w:rPr>
      </w:r>
      <w:r>
        <w:rPr>
          <w:lang w:val="en_US" w:bidi="en_US"/>
        </w:rPr>
        <w:t xml:space="preserve">Those </w:t>
      </w:r>
      <w:r>
        <w:rPr>
          <w:lang w:val="en_US" w:bidi="en_US"/>
        </w:rPr>
        <w:t>people who were</w:t>
      </w:r>
      <w:r>
        <w:rPr>
          <w:lang w:val="en_US" w:bidi="en_US"/>
        </w:rPr>
        <w:t xml:space="preserve"> troubled by evil spirits were healed.</w:t>
      </w:r>
    </w:p>
    <w:p>
      <w:pPr>
        <w:pStyle w:val="ListBullet"/>
        <w:spacing w:line="240" w:lineRule="auto"/>
        <w:ind w:left="720"/>
      </w:pPr>
      <w:r>
        <w:rPr>
          <w:lang w:val="en_US" w:bidi="en_US"/>
        </w:rPr>
      </w:r>
      <w:r>
        <w:rPr>
          <w:lang w:val="en_US" w:bidi="en_US"/>
        </w:rPr>
        <w:t>Jesus also</w:t>
      </w:r>
      <w:r>
        <w:rPr>
          <w:lang w:val="en_US" w:bidi="en_US"/>
        </w:rPr>
        <w:t xml:space="preserve"> cured </w:t>
      </w:r>
      <w:r>
        <w:rPr>
          <w:lang w:val="en_US" w:bidi="en_US"/>
        </w:rPr>
        <w:t>people</w:t>
      </w:r>
      <w:r>
        <w:rPr>
          <w:lang w:val="en_US" w:bidi="en_US"/>
        </w:rPr>
        <w:t xml:space="preserve"> whom demons tormented.</w:t>
      </w:r>
    </w:p>
    <w:p>
      <w:pPr/>
      <w:r>
        <w:rPr>
          <w:lang w:val="en_US" w:bidi="en_US"/>
        </w:rPr>
      </w:r>
      <w:r>
        <w:rPr>
          <w:b/>
          <w:lang w:val="en_US" w:bidi="en_US"/>
        </w:rPr>
        <w:t>and those troubled by unclean spirits were healed:</w:t>
      </w:r>
      <w:r>
        <w:rPr>
          <w:lang w:val="en_US" w:bidi="en_US"/>
        </w:rPr>
        <w:t xml:space="preserve"> The Greek word that the BSB translates as </w:t>
      </w:r>
      <w:r>
        <w:rPr>
          <w:i/>
          <w:lang w:val="en_US" w:bidi="en_US"/>
        </w:rPr>
        <w:t>troubled</w:t>
      </w:r>
      <w:r>
        <w:rPr>
          <w:lang w:val="en_US" w:bidi="en_US"/>
        </w:rPr>
        <w:t xml:space="preserve"> is literally “to be afflicted” or “tormented.” Some other ways to translate this are:</w:t>
      </w:r>
    </w:p>
    <w:p>
      <w:pPr/>
      <w:r>
        <w:rPr>
          <w:lang w:val="en_US" w:bidi="en_US"/>
        </w:rPr>
      </w:r>
      <w:r>
        <w:rPr>
          <w:lang w:val="en_US" w:bidi="en_US"/>
        </w:rPr>
        <w:t>he healed those who were troubled by evil spirits (NCV)</w:t>
      </w:r>
    </w:p>
    <w:p>
      <w:pPr/>
      <w:r>
        <w:rPr>
          <w:lang w:val="en_US" w:bidi="en_US"/>
        </w:rPr>
      </w:r>
      <w:r>
        <w:rPr>
          <w:lang w:val="en_US" w:bidi="en_US"/>
        </w:rPr>
        <w:t>he healed the people whom evil spirits tormented</w:t>
      </w:r>
    </w:p>
    <w:p>
      <w:pPr/>
      <w:r>
        <w:rPr>
          <w:lang w:val="en_US" w:bidi="en_US"/>
        </w:rPr>
      </w:r>
      <w:r>
        <w:rPr>
          <w:lang w:val="en_US" w:bidi="en_US"/>
        </w:rPr>
        <w:t>Different languages and cultures have different ways to speak about how unclean spirits control a person. Use the natural way your language and culture refers to unclean spirits controlling people.</w:t>
      </w:r>
    </w:p>
    <w:p>
      <w:pPr/>
      <w:r>
        <w:rPr>
          <w:lang w:val="en_US" w:bidi="en_US"/>
        </w:rPr>
      </w:r>
      <w:r>
        <w:rPr>
          <w:b/>
          <w:lang w:val="en_US" w:bidi="en_US"/>
        </w:rPr>
        <w:t>unclean spirits:</w:t>
      </w:r>
      <w:r>
        <w:rPr>
          <w:lang w:val="en_US" w:bidi="en_US"/>
        </w:rPr>
        <w:t xml:space="preserve"> Some versions translate the Greek phrase that the BSB translates as </w:t>
      </w:r>
      <w:r>
        <w:rPr>
          <w:i/>
          <w:lang w:val="en_US" w:bidi="en_US"/>
        </w:rPr>
        <w:t>unclean spirits</w:t>
      </w:r>
      <w:r>
        <w:rPr>
          <w:lang w:val="en_US" w:bidi="en_US"/>
        </w:rPr>
        <w:t xml:space="preserve"> as “evil spirits” (GNT, GW, NLT). Luke used the terms “unclean spirits,” “evil spirits,” and “demons” to refer to the same beings. You should use the same term here as you did in 4:36c.</w:t>
      </w:r>
    </w:p>
    <w:p>
      <w:pPr/>
      <w:r>
        <w:rPr>
          <w:lang w:val="en_US" w:bidi="en_US"/>
        </w:rPr>
      </w:r>
      <w:r>
        <w:rPr>
          <w:lang w:val="en_US" w:bidi="en_US"/>
        </w:rPr>
        <w:t xml:space="preserve">Some ways to translate </w:t>
      </w:r>
      <w:r>
        <w:rPr>
          <w:i/>
          <w:lang w:val="en_US" w:bidi="en_US"/>
        </w:rPr>
        <w:t>unclean spirit</w:t>
      </w:r>
      <w:r>
        <w:rPr>
          <w:lang w:val="en_US" w:bidi="en_US"/>
        </w:rPr>
        <w:t xml:space="preserve"> are:</w:t>
      </w:r>
    </w:p>
    <w:p>
      <w:pPr>
        <w:pStyle w:val="ListBullet"/>
        <w:spacing w:line="240" w:lineRule="auto"/>
        <w:ind w:left="720"/>
      </w:pPr>
      <w:r>
        <w:rPr>
          <w:lang w:val="en_US" w:bidi="en_US"/>
        </w:rPr>
      </w:r>
      <w:r>
        <w:rPr>
          <w:lang w:val="en_US" w:bidi="en_US"/>
        </w:rPr>
        <w:t xml:space="preserve">Use </w:t>
      </w:r>
      <w:r>
        <w:rPr>
          <w:u w:val="single"/>
          <w:lang w:val="en_US" w:bidi="en_US"/>
        </w:rPr>
        <w:t>a general term in your language</w:t>
      </w:r>
      <w:r>
        <w:rPr>
          <w:lang w:val="en_US" w:bidi="en_US"/>
        </w:rPr>
        <w:t xml:space="preserve"> that refers to spirits that are unclean and can control people. If there is one word with this meaning, you may not need a separate word for “evil.” For example:</w:t>
      </w:r>
      <w:r>
        <w:rPr>
          <w:lang w:val="en_US" w:bidi="en_US"/>
        </w:rPr>
        <w:t>demon</w:t>
      </w:r>
    </w:p>
    <w:p>
      <w:pPr>
        <w:pStyle w:val="ListBullet"/>
        <w:spacing w:line="240" w:lineRule="auto"/>
        <w:ind w:left="720"/>
      </w:pPr>
      <w:r>
        <w:rPr>
          <w:lang w:val="en_US" w:bidi="en_US"/>
        </w:rPr>
      </w:r>
      <w:r>
        <w:rPr>
          <w:lang w:val="en_US" w:bidi="en_US"/>
        </w:rPr>
        <w:t xml:space="preserve">Use </w:t>
      </w:r>
      <w:r>
        <w:rPr>
          <w:u w:val="single"/>
          <w:lang w:val="en_US" w:bidi="en_US"/>
        </w:rPr>
        <w:t>a specific term in your language</w:t>
      </w:r>
      <w:r>
        <w:rPr>
          <w:lang w:val="en_US" w:bidi="en_US"/>
        </w:rPr>
        <w:t xml:space="preserve"> that refers to a certain type of spirit. This spirit should be able to do what is described in this context. Do not use a term that refers to the spirit of a dead person.</w:t>
      </w:r>
    </w:p>
    <w:p>
      <w:pPr>
        <w:pStyle w:val="ListBullet"/>
        <w:spacing w:line="240" w:lineRule="auto"/>
        <w:ind w:left="720"/>
      </w:pPr>
      <w:r>
        <w:rPr>
          <w:lang w:val="en_US" w:bidi="en_US"/>
        </w:rPr>
      </w:r>
      <w:r>
        <w:rPr>
          <w:lang w:val="en_US" w:bidi="en_US"/>
        </w:rPr>
        <w:t xml:space="preserve">Use </w:t>
      </w:r>
      <w:r>
        <w:rPr>
          <w:u w:val="single"/>
          <w:lang w:val="en_US" w:bidi="en_US"/>
        </w:rPr>
        <w:t>a descriptive phrase</w:t>
      </w:r>
      <w:r>
        <w:rPr>
          <w:lang w:val="en_US" w:bidi="en_US"/>
        </w:rPr>
        <w:t>. For example:</w:t>
      </w:r>
      <w:r>
        <w:rPr>
          <w:lang w:val="en_US" w:bidi="en_US"/>
        </w:rPr>
        <w:t>an evil/bad spirit</w:t>
      </w:r>
      <w:r>
        <w:rPr>
          <w:lang w:val="en_US" w:bidi="en_US"/>
        </w:rPr>
        <w:t xml:space="preserve">an unclean spirit </w:t>
      </w:r>
      <w:r>
        <w:rPr>
          <w:i/>
          <w:lang w:val="en_US" w:bidi="en_US"/>
        </w:rPr>
        <w:t>Be sure that an expression like “unclean spirit” does not imply that the spirit is literally dirty.</w:t>
      </w:r>
    </w:p>
    <w:p>
      <w:pPr/>
      <w:r>
        <w:rPr>
          <w:lang w:val="en_US" w:bidi="en_US"/>
        </w:rPr>
      </w:r>
      <w:r>
        <w:rPr>
          <w:lang w:val="en_US" w:bidi="en_US"/>
        </w:rPr>
        <w:t>See demon in the Glossary for more information.</w:t>
      </w:r>
    </w:p>
    <w:p>
      <w:pPr/>
      <w:r>
        <w:rPr>
          <w:lang w:val="en_US" w:bidi="en_US"/>
        </w:rPr>
      </w:r>
      <w:r>
        <w:rPr>
          <w:b/>
          <w:lang w:val="en_US" w:bidi="en_US"/>
        </w:rPr>
        <w:t>healed:</w:t>
      </w:r>
      <w:r>
        <w:rPr>
          <w:lang w:val="en_US" w:bidi="en_US"/>
        </w:rPr>
        <w:t xml:space="preserve"> The word </w:t>
      </w:r>
      <w:r>
        <w:rPr>
          <w:i/>
          <w:lang w:val="en_US" w:bidi="en_US"/>
        </w:rPr>
        <w:t>healed</w:t>
      </w:r>
      <w:r>
        <w:rPr>
          <w:lang w:val="en_US" w:bidi="en_US"/>
        </w:rPr>
        <w:t xml:space="preserve"> means that Jesus healed or freed people from the control of unclean spirits. Use the natural way your language and culture refer to people being freed from the control of unclean spirits.</w:t>
      </w:r>
    </w:p>
    <w:p>
      <w:pPr/>
      <w:r>
        <w:rPr>
          <w:lang w:val="en_US" w:bidi="en_US"/>
        </w:rPr>
      </w:r>
      <w:r>
        <w:rPr>
          <w:lang w:val="en_US" w:bidi="en_US"/>
        </w:rPr>
        <w:t>In your translation, do not imply that Jesus healed only people who were controlled by unclean spirits. He healed everyone who came to him. Verse 6:19b makes this explicit. The CEV has one way to make this clear:</w:t>
      </w:r>
    </w:p>
    <w:p>
      <w:pPr/>
      <w:r>
        <w:rPr>
          <w:lang w:val="en_US" w:bidi="en_US"/>
        </w:rPr>
      </w:r>
      <w:r>
        <w:rPr>
          <w:lang w:val="en_US" w:bidi="en_US"/>
        </w:rPr>
        <w:t xml:space="preserve">All who were troubled by evil spirits were </w:t>
      </w:r>
      <w:r>
        <w:rPr>
          <w:u w:val="single"/>
          <w:lang w:val="en_US" w:bidi="en_US"/>
        </w:rPr>
        <w:t>also</w:t>
      </w:r>
      <w:r>
        <w:rPr>
          <w:lang w:val="en_US" w:bidi="en_US"/>
        </w:rPr>
        <w:t xml:space="preserve"> healed.</w:t>
      </w:r>
      <w:r>
        <w:rPr>
          <w:lang w:val="en_US" w:bidi="en_US"/>
        </w:rPr>
      </w:r>
      <w:r>
        <w:rPr>
          <w:lang w:val="en_US" w:bidi="en_US"/>
        </w:rPr>
      </w:r>
    </w:p>
    <w:p>
      <w:pPr/>
      <w:r>
        <w:rPr>
          <w:lang w:val="en_US" w:bidi="en_US"/>
        </w:rPr>
      </w:r>
    </w:p>
    <w:p>
      <w:pPr>
        <w:pStyle w:val="Heading2"/>
      </w:pPr>
      <w:r>
        <w:rPr>
          <w:lang w:val="en_US" w:bidi="en_US"/>
        </w:rPr>
        <w:t>Luke 6:19</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6:17–19</w:t>
      </w:r>
    </w:p>
    <w:p>
      <w:pPr/>
      <w:r>
        <w:rPr>
          <w:lang w:val="en_US" w:bidi="en_US"/>
        </w:rPr>
      </w:r>
      <w:r>
        <w:rPr>
          <w:lang w:val="en_US" w:bidi="en_US"/>
        </w:rPr>
        <w:t>This paragraph tells where Jesus was when he spoke the words in this section. It also tells when he spoke and who listened to what he said. It tells why the people had gathered together and what Jesus had been doing before he spoke to the crowd. The events in this paragraph occurred immediately after Jesus chose the twelve apostles in the previous paragraph.</w:t>
      </w:r>
    </w:p>
    <w:p>
      <w:pPr>
        <w:pStyle w:val="Heading5"/>
      </w:pPr>
      <w:r>
        <w:rPr>
          <w:lang w:val="en_US" w:bidi="en_US"/>
        </w:rPr>
        <w:t>6:19a</w:t>
      </w:r>
    </w:p>
    <w:p>
      <w:pPr/>
      <w:r>
        <w:rPr>
          <w:lang w:val="en_US" w:bidi="en_US"/>
        </w:rPr>
      </w:r>
      <w:r>
        <w:rPr>
          <w:b/>
          <w:lang w:val="en_US" w:bidi="en_US"/>
        </w:rPr>
        <w:t>The entire crowd was trying to touch Him,</w:t>
      </w:r>
    </w:p>
    <w:p>
      <w:pPr>
        <w:pStyle w:val="ListBullet"/>
        <w:spacing w:line="240" w:lineRule="auto"/>
        <w:ind w:left="720"/>
      </w:pPr>
      <w:r>
        <w:rPr>
          <w:lang w:val="en_US" w:bidi="en_US"/>
        </w:rPr>
      </w:r>
      <w:r>
        <w:rPr>
          <w:lang w:val="en_US" w:bidi="en_US"/>
        </w:rPr>
        <w:t>All the people were trying to touch Jesus,</w:t>
      </w:r>
    </w:p>
    <w:p>
      <w:pPr/>
      <w:r>
        <w:rPr>
          <w:lang w:val="en_US" w:bidi="en_US"/>
        </w:rPr>
      </w:r>
      <w:r>
        <w:rPr>
          <w:b/>
          <w:lang w:val="en_US" w:bidi="en_US"/>
        </w:rPr>
        <w:t>The entire crowd was trying to touch Him:</w:t>
      </w:r>
      <w:r>
        <w:rPr>
          <w:lang w:val="en_US" w:bidi="en_US"/>
        </w:rPr>
        <w:t xml:space="preserve"> In this context, the </w:t>
      </w:r>
      <w:r>
        <w:rPr>
          <w:i/>
          <w:lang w:val="en_US" w:bidi="en_US"/>
        </w:rPr>
        <w:t>entire crowd</w:t>
      </w:r>
      <w:r>
        <w:rPr>
          <w:lang w:val="en_US" w:bidi="en_US"/>
        </w:rPr>
        <w:t xml:space="preserve"> refers to the people there who were sick or demon-possessed. They wanted to touch Jesus in order that they might be healed by the touch. For example:</w:t>
      </w:r>
    </w:p>
    <w:p>
      <w:pPr/>
      <w:r>
        <w:rPr>
          <w:lang w:val="en_US" w:bidi="en_US"/>
        </w:rPr>
      </w:r>
      <w:r>
        <w:rPr>
          <w:lang w:val="en_US" w:bidi="en_US"/>
        </w:rPr>
        <w:t xml:space="preserve">the people all tried to touch him </w:t>
      </w:r>
      <w:r>
        <w:rPr>
          <w:lang w:val="en_US" w:bidi="en_US"/>
        </w:rPr>
        <w:t>in order to be healed</w:t>
      </w:r>
    </w:p>
    <w:p>
      <w:pPr>
        <w:pStyle w:val="Heading5"/>
      </w:pPr>
      <w:r>
        <w:rPr>
          <w:lang w:val="en_US" w:bidi="en_US"/>
        </w:rPr>
        <w:t>6:19b</w:t>
      </w:r>
    </w:p>
    <w:p>
      <w:pPr/>
      <w:r>
        <w:rPr>
          <w:lang w:val="en_US" w:bidi="en_US"/>
        </w:rPr>
      </w:r>
      <w:r>
        <w:rPr>
          <w:b/>
          <w:lang w:val="en_US" w:bidi="en_US"/>
        </w:rPr>
        <w:t>because power was coming from Him and healing them all.</w:t>
      </w:r>
    </w:p>
    <w:p>
      <w:pPr>
        <w:pStyle w:val="ListBullet"/>
        <w:spacing w:line="240" w:lineRule="auto"/>
        <w:ind w:left="720"/>
      </w:pPr>
      <w:r>
        <w:rPr>
          <w:lang w:val="en_US" w:bidi="en_US"/>
        </w:rPr>
      </w:r>
      <w:r>
        <w:rPr>
          <w:lang w:val="en_US" w:bidi="en_US"/>
        </w:rPr>
        <w:t>because power was going out from him and healing them all. (CEV)</w:t>
      </w:r>
    </w:p>
    <w:p>
      <w:pPr>
        <w:pStyle w:val="ListBullet"/>
        <w:spacing w:line="240" w:lineRule="auto"/>
        <w:ind w:left="720"/>
      </w:pPr>
      <w:r>
        <w:rPr>
          <w:lang w:val="en_US" w:bidi="en_US"/>
        </w:rPr>
      </w:r>
      <w:r>
        <w:rPr>
          <w:lang w:val="en_US" w:bidi="en_US"/>
        </w:rPr>
        <w:t>because Jesus had the power to heal all of them.</w:t>
      </w:r>
    </w:p>
    <w:p>
      <w:pPr/>
      <w:r>
        <w:rPr>
          <w:lang w:val="en_US" w:bidi="en_US"/>
        </w:rPr>
      </w:r>
      <w:r>
        <w:rPr>
          <w:b/>
          <w:lang w:val="en_US" w:bidi="en_US"/>
        </w:rPr>
        <w:t>because power was coming from Him and healing them all:</w:t>
      </w:r>
      <w:r>
        <w:rPr>
          <w:lang w:val="en_US" w:bidi="en_US"/>
        </w:rPr>
        <w:t xml:space="preserve"> This clause states the reason why the people wanted to touch him.</w:t>
      </w:r>
    </w:p>
    <w:p>
      <w:pPr/>
      <w:r>
        <w:rPr>
          <w:lang w:val="en_US" w:bidi="en_US"/>
        </w:rPr>
      </w:r>
      <w:r>
        <w:rPr>
          <w:lang w:val="en_US" w:bidi="en_US"/>
        </w:rPr>
        <w:t>In some languages, it may not be possible to say that power came from Jesus or that this power healed people. In other languages a literal translation might wrongly imply that after he healed someone Jesus was less powerful than before. In all these languages it may be necessary to say something like:</w:t>
      </w:r>
    </w:p>
    <w:p>
      <w:pPr/>
      <w:r>
        <w:rPr>
          <w:lang w:val="en_US" w:bidi="en_US"/>
        </w:rPr>
      </w:r>
      <w:r>
        <w:rPr>
          <w:lang w:val="en_US" w:bidi="en_US"/>
        </w:rPr>
        <w:t>Jesus was powerfully healing everyone.</w:t>
      </w:r>
    </w:p>
    <w:p>
      <w:pPr/>
      <w:r>
        <w:rPr>
          <w:lang w:val="en_US" w:bidi="en_US"/>
        </w:rPr>
      </w:r>
      <w:r>
        <w:rPr>
          <w:lang w:val="en_US" w:bidi="en_US"/>
        </w:rPr>
        <w:t>Jesus had the power/ability to heal everyone.</w:t>
      </w:r>
    </w:p>
    <w:p>
      <w:pPr>
        <w:pStyle w:val="Heading6"/>
      </w:pPr>
      <w:r>
        <w:rPr>
          <w:b/>
          <w:lang w:val="en_US" w:bidi="en_US"/>
        </w:rPr>
        <w:t>General Comment on 6:19a–b</w:t>
      </w:r>
    </w:p>
    <w:p>
      <w:pPr/>
      <w:r>
        <w:rPr>
          <w:lang w:val="en_US" w:bidi="en_US"/>
        </w:rPr>
      </w:r>
      <w:r>
        <w:rPr>
          <w:lang w:val="en_US" w:bidi="en_US"/>
        </w:rPr>
        <w:t>In some languages it may be more natural to place the reason in 6:19b before its result in 6:19a. For example:</w:t>
      </w:r>
    </w:p>
    <w:p>
      <w:pPr/>
      <w:r>
        <w:rPr>
          <w:lang w:val="en_US" w:bidi="en_US"/>
        </w:rPr>
      </w:r>
      <w:r>
        <w:rPr>
          <w:vertAlign w:val="superscript"/>
          <w:lang w:val="en_US" w:bidi="en_US"/>
        </w:rPr>
        <w:t>19b</w:t>
      </w:r>
      <w:r>
        <w:rPr>
          <w:lang w:val="en_US" w:bidi="en_US"/>
        </w:rPr>
        <w:t xml:space="preserve">Power was coming from Jesus and healing all of them, </w:t>
      </w:r>
      <w:r>
        <w:rPr>
          <w:vertAlign w:val="superscript"/>
          <w:lang w:val="en_US" w:bidi="en_US"/>
        </w:rPr>
        <w:t>19a</w:t>
      </w:r>
      <w:r>
        <w:rPr>
          <w:lang w:val="en_US" w:bidi="en_US"/>
        </w:rPr>
        <w:t>so all the people tried to touch him.</w:t>
      </w:r>
    </w:p>
    <w:p>
      <w:pPr/>
      <w:r>
        <w:rPr>
          <w:lang w:val="en_US" w:bidi="en_US"/>
        </w:rPr>
      </w:r>
      <w:r>
        <w:rPr>
          <w:vertAlign w:val="superscript"/>
          <w:lang w:val="en_US" w:bidi="en_US"/>
        </w:rPr>
        <w:t>19b</w:t>
      </w:r>
      <w:r>
        <w:rPr>
          <w:lang w:val="en_US" w:bidi="en_US"/>
        </w:rPr>
        <w:t xml:space="preserve">Power was coming from Jesus and healing all of them, </w:t>
      </w:r>
      <w:r>
        <w:rPr>
          <w:vertAlign w:val="superscript"/>
          <w:lang w:val="en_US" w:bidi="en_US"/>
        </w:rPr>
        <w:t>19a</w:t>
      </w:r>
      <w:r>
        <w:rPr>
          <w:lang w:val="en_US" w:bidi="en_US"/>
        </w:rPr>
        <w:t>that is why all the people tried to touch him.</w:t>
      </w:r>
      <w:r>
        <w:rPr>
          <w:lang w:val="en_US" w:bidi="en_US"/>
        </w:rPr>
      </w:r>
      <w:r>
        <w:rPr>
          <w:lang w:val="en_US" w:bidi="en_US"/>
        </w:rPr>
      </w:r>
    </w:p>
    <w:p>
      <w:pPr/>
      <w:r>
        <w:rPr>
          <w:lang w:val="en_US" w:bidi="en_US"/>
        </w:rPr>
      </w:r>
    </w:p>
    <w:p>
      <w:pPr>
        <w:pStyle w:val="Heading2"/>
      </w:pPr>
      <w:r>
        <w:rPr>
          <w:lang w:val="en_US" w:bidi="en_US"/>
        </w:rPr>
        <w:t>Luke 6:20</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6:20–23</w:t>
      </w:r>
    </w:p>
    <w:p>
      <w:pPr/>
      <w:r>
        <w:rPr>
          <w:lang w:val="en_US" w:bidi="en_US"/>
        </w:rPr>
      </w:r>
      <w:r>
        <w:rPr>
          <w:lang w:val="en_US" w:bidi="en_US"/>
        </w:rPr>
        <w:t>Some people call verses 6:20–23 “The Beatitudes.” “Beatitudes” means “Blessings.” Some Beatitudes are also in Matthew 5:3–12.</w:t>
      </w:r>
    </w:p>
    <w:p>
      <w:pPr/>
      <w:r>
        <w:rPr>
          <w:lang w:val="en_US" w:bidi="en_US"/>
        </w:rPr>
      </w:r>
      <w:r>
        <w:rPr>
          <w:lang w:val="en_US" w:bidi="en_US"/>
        </w:rPr>
        <w:t>Jesus spoke in general terms about God’s kingdom and God’s values. When he addressed the people as “you</w:t>
      </w:r>
      <w:r>
        <w:rPr>
          <w:vertAlign w:val="superscript"/>
          <w:lang w:val="en_US" w:bidi="en_US"/>
        </w:rPr>
        <w:t>(plur)</w:t>
      </w:r>
      <w:r>
        <w:rPr>
          <w:lang w:val="en_US" w:bidi="en_US"/>
        </w:rPr>
        <w:t>,” he was making general statements. He did not mean that everyone in the crowd was poor, hungry, or weeping. Nor did he mean that every person who is poor will enjoy the blessings of God’s kingdom.</w:t>
      </w:r>
    </w:p>
    <w:p>
      <w:pPr/>
      <w:r>
        <w:rPr>
          <w:lang w:val="en_US" w:bidi="en_US"/>
        </w:rPr>
      </w:r>
      <w:r>
        <w:rPr>
          <w:lang w:val="en_US" w:bidi="en_US"/>
        </w:rPr>
        <w:t>Use the form that is natural in your language for general statements that are true. Your language may prefer to use a different pronoun. For example:</w:t>
      </w:r>
    </w:p>
    <w:p>
      <w:pPr/>
      <w:r>
        <w:rPr>
          <w:lang w:val="en_US" w:bidi="en_US"/>
        </w:rPr>
      </w:r>
      <w:r>
        <w:rPr>
          <w:lang w:val="en_US" w:bidi="en_US"/>
        </w:rPr>
        <w:t>You</w:t>
      </w:r>
      <w:r>
        <w:rPr>
          <w:vertAlign w:val="superscript"/>
          <w:lang w:val="en_US" w:bidi="en_US"/>
        </w:rPr>
        <w:t>(sing)</w:t>
      </w:r>
      <w:r>
        <w:rPr>
          <w:lang w:val="en_US" w:bidi="en_US"/>
        </w:rPr>
        <w:t xml:space="preserve"> are blessed</w:t>
      </w:r>
    </w:p>
    <w:p>
      <w:pPr/>
      <w:r>
        <w:rPr>
          <w:lang w:val="en_US" w:bidi="en_US"/>
        </w:rPr>
      </w:r>
      <w:r>
        <w:rPr>
          <w:lang w:val="en_US" w:bidi="en_US"/>
        </w:rPr>
        <w:t>They/People are blessed</w:t>
      </w:r>
    </w:p>
    <w:p>
      <w:pPr/>
      <w:r>
        <w:rPr>
          <w:lang w:val="en_US" w:bidi="en_US"/>
        </w:rPr>
      </w:r>
      <w:r>
        <w:rPr>
          <w:lang w:val="en_US" w:bidi="en_US"/>
        </w:rPr>
        <w:t>He is blessed</w:t>
      </w:r>
    </w:p>
    <w:p>
      <w:pPr/>
      <w:r>
        <w:rPr>
          <w:lang w:val="en_US" w:bidi="en_US"/>
        </w:rPr>
      </w:r>
      <w:r>
        <w:rPr>
          <w:lang w:val="en_US" w:bidi="en_US"/>
        </w:rPr>
        <w:t>Blessed are those (GW)</w:t>
      </w:r>
    </w:p>
    <w:p>
      <w:pPr>
        <w:pStyle w:val="Heading5"/>
      </w:pPr>
      <w:r>
        <w:rPr>
          <w:lang w:val="en_US" w:bidi="en_US"/>
        </w:rPr>
        <w:t>6:20a</w:t>
      </w:r>
    </w:p>
    <w:p>
      <w:pPr/>
      <w:r>
        <w:rPr>
          <w:lang w:val="en_US" w:bidi="en_US"/>
        </w:rPr>
      </w:r>
      <w:r>
        <w:rPr>
          <w:b/>
          <w:lang w:val="en_US" w:bidi="en_US"/>
        </w:rPr>
        <w:t>Looking up at His disciples, Jesus said:</w:t>
      </w:r>
    </w:p>
    <w:p>
      <w:pPr>
        <w:pStyle w:val="ListBullet"/>
        <w:spacing w:line="240" w:lineRule="auto"/>
        <w:ind w:left="720"/>
      </w:pPr>
      <w:r>
        <w:rPr>
          <w:lang w:val="en_US" w:bidi="en_US"/>
        </w:rPr>
      </w:r>
      <w:r>
        <w:rPr>
          <w:lang w:val="en_US" w:bidi="en_US"/>
        </w:rPr>
        <w:t>¶ Jesus looked at his disciples and said,</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turned his gaze/attention toward his followers and said,</w:t>
      </w:r>
    </w:p>
    <w:p>
      <w:pPr/>
      <w:r>
        <w:rPr>
          <w:lang w:val="en_US" w:bidi="en_US"/>
        </w:rPr>
      </w:r>
      <w:r>
        <w:rPr>
          <w:b/>
          <w:lang w:val="en_US" w:bidi="en_US"/>
        </w:rPr>
        <w:t>Looking up at His disciples, Jesus said:</w:t>
      </w:r>
      <w:r>
        <w:rPr>
          <w:lang w:val="en_US" w:bidi="en_US"/>
        </w:rPr>
        <w:t xml:space="preserve"> The Greek phrase that the BSB translates as </w:t>
      </w:r>
      <w:r>
        <w:rPr>
          <w:i/>
          <w:lang w:val="en_US" w:bidi="en_US"/>
        </w:rPr>
        <w:t>Looking up at His disciples</w:t>
      </w:r>
      <w:r>
        <w:rPr>
          <w:lang w:val="en_US" w:bidi="en_US"/>
        </w:rPr>
        <w:t xml:space="preserve"> is literally “And he having lifted up his eyes on his disciples.” This is an idiom. It means that Jesus focused his attention on his disciples. He spoke mainly to them because he wanted to teach them about being true disciples.</w:t>
      </w:r>
    </w:p>
    <w:p>
      <w:pPr/>
      <w:r>
        <w:rPr>
          <w:lang w:val="en_US" w:bidi="en_US"/>
        </w:rPr>
      </w:r>
      <w:r>
        <w:rPr>
          <w:lang w:val="en_US" w:bidi="en_US"/>
        </w:rPr>
        <w:t>Some other ways to translate this are:</w:t>
      </w:r>
    </w:p>
    <w:p>
      <w:pPr/>
      <w:r>
        <w:rPr>
          <w:lang w:val="en_US" w:bidi="en_US"/>
        </w:rPr>
      </w:r>
      <w:r>
        <w:rPr>
          <w:lang w:val="en_US" w:bidi="en_US"/>
        </w:rPr>
        <w:t>Then Jesus turned to his disciples and said (NLT)</w:t>
      </w:r>
    </w:p>
    <w:p>
      <w:pPr/>
      <w:r>
        <w:rPr>
          <w:lang w:val="en_US" w:bidi="en_US"/>
        </w:rPr>
      </w:r>
      <w:r>
        <w:rPr>
          <w:lang w:val="en_US" w:bidi="en_US"/>
        </w:rPr>
        <w:t xml:space="preserve">And turning His gaze toward His disciples, He </w:t>
      </w:r>
      <w:r>
        <w:rPr>
          <w:i/>
          <w:lang w:val="en_US" w:bidi="en_US"/>
        </w:rPr>
        <w:t>began</w:t>
      </w:r>
      <w:r>
        <w:rPr>
          <w:lang w:val="en_US" w:bidi="en_US"/>
        </w:rPr>
        <w:t xml:space="preserve"> to say (NASB)</w:t>
      </w:r>
    </w:p>
    <w:p>
      <w:pPr>
        <w:pStyle w:val="Heading5"/>
      </w:pPr>
      <w:r>
        <w:rPr>
          <w:lang w:val="en_US" w:bidi="en_US"/>
        </w:rPr>
        <w:t>6:20b</w:t>
      </w:r>
    </w:p>
    <w:p>
      <w:pPr/>
      <w:r>
        <w:rPr>
          <w:lang w:val="en_US" w:bidi="en_US"/>
        </w:rPr>
      </w:r>
      <w:r>
        <w:rPr>
          <w:b/>
          <w:lang w:val="en_US" w:bidi="en_US"/>
        </w:rPr>
        <w:t>“Blessed are you who are poor,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are poor are favored/fortunate,</w:t>
      </w:r>
    </w:p>
    <w:p>
      <w:pPr>
        <w:pStyle w:val="ListBullet"/>
        <w:spacing w:line="240" w:lineRule="auto"/>
        <w:ind w:left="720"/>
      </w:pPr>
      <w:r>
        <w:rPr>
          <w:lang w:val="en_US" w:bidi="en_US"/>
        </w:rPr>
      </w:r>
      <w:r>
        <w:rPr>
          <w:lang w:val="en_US" w:bidi="en_US"/>
        </w:rPr>
        <w:t>“Joyful/Desirable is your</w:t>
      </w:r>
      <w:r>
        <w:rPr>
          <w:vertAlign w:val="superscript"/>
          <w:lang w:val="en_US" w:bidi="en_US"/>
        </w:rPr>
        <w:t>(plur)</w:t>
      </w:r>
      <w:r>
        <w:rPr>
          <w:lang w:val="en_US" w:bidi="en_US"/>
        </w:rPr>
        <w:t xml:space="preserve"> situation, you</w:t>
      </w:r>
      <w:r>
        <w:rPr>
          <w:vertAlign w:val="superscript"/>
          <w:lang w:val="en_US" w:bidi="en_US"/>
        </w:rPr>
        <w:t>(plur)</w:t>
      </w:r>
      <w:r>
        <w:rPr>
          <w:lang w:val="en_US" w:bidi="en_US"/>
        </w:rPr>
        <w:t xml:space="preserve"> who are without resources,</w:t>
      </w:r>
    </w:p>
    <w:p>
      <w:pPr>
        <w:pStyle w:val="ListBullet"/>
        <w:spacing w:line="240" w:lineRule="auto"/>
        <w:ind w:left="720"/>
      </w:pPr>
      <w:r>
        <w:rPr>
          <w:lang w:val="en_US" w:bidi="en_US"/>
        </w:rPr>
      </w:r>
      <w:r>
        <w:rPr>
          <w:lang w:val="en_US" w:bidi="en_US"/>
        </w:rPr>
        <w:t>“How good it is for you</w:t>
      </w:r>
      <w:r>
        <w:rPr>
          <w:vertAlign w:val="superscript"/>
          <w:lang w:val="en_US" w:bidi="en_US"/>
        </w:rPr>
        <w:t>(plur)</w:t>
      </w:r>
      <w:r>
        <w:rPr>
          <w:lang w:val="en_US" w:bidi="en_US"/>
        </w:rPr>
        <w:t xml:space="preserve"> who are in need.</w:t>
      </w:r>
    </w:p>
    <w:p>
      <w:pPr/>
      <w:r>
        <w:rPr>
          <w:lang w:val="en_US" w:bidi="en_US"/>
        </w:rPr>
      </w:r>
      <w:r>
        <w:rPr>
          <w:b/>
          <w:lang w:val="en_US" w:bidi="en_US"/>
        </w:rPr>
        <w:t>Blessed are you:</w:t>
      </w:r>
      <w:r>
        <w:rPr>
          <w:lang w:val="en_US" w:bidi="en_US"/>
        </w:rPr>
        <w:t xml:space="preserve"> The Greek word that the BSB translates as </w:t>
      </w:r>
      <w:r>
        <w:rPr>
          <w:i/>
          <w:lang w:val="en_US" w:bidi="en_US"/>
        </w:rPr>
        <w:t>Blessed</w:t>
      </w:r>
      <w:r>
        <w:rPr>
          <w:lang w:val="en_US" w:bidi="en_US"/>
        </w:rPr>
        <w:t xml:space="preserve"> describes a person who is in a good situation. In the Bible, the good situation results from God showing favor/kindness to the person.</w:t>
      </w:r>
    </w:p>
    <w:p>
      <w:pPr/>
      <w:r>
        <w:rPr>
          <w:lang w:val="en_US" w:bidi="en_US"/>
        </w:rPr>
      </w:r>
      <w:r>
        <w:rPr>
          <w:lang w:val="en_US" w:bidi="en_US"/>
        </w:rPr>
        <w:t>Some other ways to translate this word are:</w:t>
      </w:r>
    </w:p>
    <w:p>
      <w:pPr/>
      <w:r>
        <w:rPr>
          <w:lang w:val="en_US" w:bidi="en_US"/>
        </w:rPr>
      </w:r>
      <w:r>
        <w:rPr>
          <w:lang w:val="en_US" w:bidi="en_US"/>
        </w:rPr>
        <w:t>Joyful/desirable is your situation</w:t>
      </w:r>
    </w:p>
    <w:p>
      <w:pPr/>
      <w:r>
        <w:rPr>
          <w:lang w:val="en_US" w:bidi="en_US"/>
        </w:rPr>
      </w:r>
      <w:r>
        <w:rPr>
          <w:lang w:val="en_US" w:bidi="en_US"/>
        </w:rPr>
        <w:t>How good it is for you</w:t>
      </w:r>
    </w:p>
    <w:p>
      <w:pPr/>
      <w:r>
        <w:rPr>
          <w:lang w:val="en_US" w:bidi="en_US"/>
        </w:rPr>
      </w:r>
      <w:r>
        <w:rPr>
          <w:lang w:val="en_US" w:bidi="en_US"/>
        </w:rPr>
        <w:t>You are favored/fortunate</w:t>
      </w:r>
    </w:p>
    <w:p>
      <w:pPr/>
      <w:r>
        <w:rPr>
          <w:lang w:val="en_US" w:bidi="en_US"/>
        </w:rPr>
      </w:r>
      <w:r>
        <w:rPr>
          <w:lang w:val="en_US" w:bidi="en_US"/>
        </w:rPr>
        <w:t xml:space="preserve">This word does not primarily refer to a feeling. However, a person in this good situation will frequently have good feelings such as happiness and joy. Do not use a word that </w:t>
      </w:r>
      <w:r>
        <w:rPr>
          <w:u w:val="single"/>
          <w:lang w:val="en_US" w:bidi="en_US"/>
        </w:rPr>
        <w:t>only</w:t>
      </w:r>
      <w:r>
        <w:rPr>
          <w:lang w:val="en_US" w:bidi="en_US"/>
        </w:rPr>
        <w:t xml:space="preserve"> refers to material prosperity or physical health.</w:t>
      </w:r>
    </w:p>
    <w:p>
      <w:pPr/>
      <w:r>
        <w:rPr>
          <w:lang w:val="en_US" w:bidi="en_US"/>
        </w:rPr>
      </w:r>
      <w:r>
        <w:rPr>
          <w:lang w:val="en_US" w:bidi="en_US"/>
        </w:rPr>
        <w:t>In 6:20–23, Jesus says that people who are poor, who are hungry, who weep, and who are mistreated because they follow him are actually in a very favorable situation. They are in this situation now even though that is not how it seems. This is because they are citizens of God’s kingdom and will certainly receive the future rewards that belong to God’s citizens.</w:t>
      </w:r>
    </w:p>
    <w:p>
      <w:pPr/>
      <w:r>
        <w:rPr>
          <w:lang w:val="en_US" w:bidi="en_US"/>
        </w:rPr>
      </w:r>
      <w:r>
        <w:rPr>
          <w:lang w:val="en_US" w:bidi="en_US"/>
        </w:rPr>
        <w:t xml:space="preserve">The word </w:t>
      </w:r>
      <w:r>
        <w:rPr>
          <w:i/>
          <w:lang w:val="en_US" w:bidi="en_US"/>
        </w:rPr>
        <w:t>Blessed</w:t>
      </w:r>
      <w:r>
        <w:rPr>
          <w:lang w:val="en_US" w:bidi="en_US"/>
        </w:rPr>
        <w:t xml:space="preserve"> contrasts with the word translated as “woe” in 6:24.</w:t>
      </w:r>
    </w:p>
    <w:p>
      <w:pPr/>
      <w:r>
        <w:rPr>
          <w:lang w:val="en_US" w:bidi="en_US"/>
        </w:rPr>
      </w:r>
      <w:r>
        <w:rPr>
          <w:lang w:val="en_US" w:bidi="en_US"/>
        </w:rPr>
        <w:t>See bless, Meaning 3, in the Glossary.</w:t>
      </w:r>
    </w:p>
    <w:p>
      <w:pPr/>
      <w:r>
        <w:rPr>
          <w:lang w:val="en_US" w:bidi="en_US"/>
        </w:rPr>
      </w:r>
      <w:r>
        <w:rPr>
          <w:lang w:val="en_US" w:bidi="en_US"/>
        </w:rPr>
        <w:t xml:space="preserve">In the Greek text, the word </w:t>
      </w:r>
      <w:r>
        <w:rPr>
          <w:i/>
          <w:lang w:val="en_US" w:bidi="en_US"/>
        </w:rPr>
        <w:t>Blessed</w:t>
      </w:r>
      <w:r>
        <w:rPr>
          <w:lang w:val="en_US" w:bidi="en_US"/>
        </w:rPr>
        <w:t xml:space="preserve"> is emphasized. It is the first word in the sentence. Consider how it would be natural to show this emphasis in your language.</w:t>
      </w:r>
    </w:p>
    <w:p>
      <w:pPr/>
      <w:r>
        <w:rPr>
          <w:lang w:val="en_US" w:bidi="en_US"/>
        </w:rPr>
      </w:r>
      <w:r>
        <w:rPr>
          <w:b/>
          <w:lang w:val="en_US" w:bidi="en_US"/>
        </w:rPr>
        <w:t>who are poor:</w:t>
      </w:r>
      <w:r>
        <w:rPr>
          <w:lang w:val="en_US" w:bidi="en_US"/>
        </w:rPr>
        <w:t xml:space="preserve"> The Greek word that the BSB translates as </w:t>
      </w:r>
      <w:r>
        <w:rPr>
          <w:i/>
          <w:lang w:val="en_US" w:bidi="en_US"/>
        </w:rPr>
        <w:t>poor</w:t>
      </w:r>
      <w:r>
        <w:rPr>
          <w:lang w:val="en_US" w:bidi="en_US"/>
        </w:rPr>
        <w:t xml:space="preserve"> refers mainly to people who do not have food or other things that they need, such as clothing or shelter. It sometimes also includes people who lack money, education, or status that they need. The word “poor” is also used in the Old Testament for people who know that they are dependent on God.</w:t>
      </w:r>
    </w:p>
    <w:p>
      <w:pPr/>
      <w:r>
        <w:rPr>
          <w:lang w:val="en_US" w:bidi="en_US"/>
        </w:rPr>
      </w:r>
      <w:r>
        <w:rPr>
          <w:lang w:val="en_US" w:bidi="en_US"/>
        </w:rPr>
        <w:t>Some Bible scholars have interpreted this word in both a literal and a spiritual/figurative way. If you have a word that could be interpreted either way, it may be appropriate here.</w:t>
      </w:r>
    </w:p>
    <w:p>
      <w:pPr>
        <w:pStyle w:val="Heading5"/>
      </w:pPr>
      <w:r>
        <w:rPr>
          <w:lang w:val="en_US" w:bidi="en_US"/>
        </w:rPr>
        <w:t>6:20c</w:t>
      </w:r>
    </w:p>
    <w:p>
      <w:pPr/>
      <w:r>
        <w:rPr>
          <w:lang w:val="en_US" w:bidi="en_US"/>
        </w:rPr>
      </w:r>
      <w:r>
        <w:rPr>
          <w:b/>
          <w:lang w:val="en_US" w:bidi="en_US"/>
        </w:rPr>
        <w:t>for yours is the kingdom of God.</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are part of the kingdom of God.</w:t>
      </w:r>
    </w:p>
    <w:p>
      <w:pPr>
        <w:pStyle w:val="ListBullet"/>
        <w:spacing w:line="240" w:lineRule="auto"/>
        <w:ind w:left="720"/>
      </w:pPr>
      <w:r>
        <w:rPr>
          <w:lang w:val="en_US" w:bidi="en_US"/>
        </w:rPr>
      </w:r>
      <w:r>
        <w:rPr>
          <w:lang w:val="en_US" w:bidi="en_US"/>
        </w:rPr>
        <w:t>because the kingdom of God belongs to you. (NCV)</w:t>
      </w:r>
    </w:p>
    <w:p>
      <w:pPr>
        <w:pStyle w:val="ListBullet"/>
        <w:spacing w:line="240" w:lineRule="auto"/>
        <w:ind w:left="720"/>
      </w:pPr>
      <w:r>
        <w:rPr>
          <w:lang w:val="en_US" w:bidi="en_US"/>
        </w:rPr>
      </w:r>
      <w:r>
        <w:rPr>
          <w:lang w:val="en_US" w:bidi="en_US"/>
        </w:rPr>
        <w:t>God is your</w:t>
      </w:r>
      <w:r>
        <w:rPr>
          <w:vertAlign w:val="superscript"/>
          <w:lang w:val="en_US" w:bidi="en_US"/>
        </w:rPr>
        <w:t>(plur)</w:t>
      </w:r>
      <w:r>
        <w:rPr>
          <w:lang w:val="en_US" w:bidi="en_US"/>
        </w:rPr>
        <w:t xml:space="preserve"> king </w:t>
      </w:r>
      <w:r>
        <w:rPr>
          <w:lang w:val="en_US" w:bidi="en_US"/>
        </w:rPr>
        <w:t>and you</w:t>
      </w:r>
      <w:r>
        <w:rPr>
          <w:vertAlign w:val="superscript"/>
          <w:lang w:val="en_US" w:bidi="en_US"/>
        </w:rPr>
        <w:t>(plur)</w:t>
      </w:r>
      <w:r>
        <w:rPr>
          <w:lang w:val="en_US" w:bidi="en_US"/>
        </w:rPr>
        <w:t xml:space="preserve"> </w:t>
      </w:r>
      <w:r>
        <w:rPr>
          <w:lang w:val="en_US" w:bidi="en_US"/>
        </w:rPr>
        <w:t>are his people/subjects</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why the “poor” are blessed. They are blessed </w:t>
      </w:r>
      <w:r>
        <w:rPr>
          <w:u w:val="single"/>
          <w:lang w:val="en_US" w:bidi="en_US"/>
        </w:rPr>
        <w:t>because</w:t>
      </w:r>
      <w:r>
        <w:rPr>
          <w:lang w:val="en_US" w:bidi="en_US"/>
        </w:rPr>
        <w:t xml:space="preserve"> the kingdom of God belongs to them. For example:</w:t>
      </w:r>
    </w:p>
    <w:p>
      <w:pPr/>
      <w:r>
        <w:rPr>
          <w:lang w:val="en_US" w:bidi="en_US"/>
        </w:rPr>
      </w:r>
      <w:r>
        <w:rPr>
          <w:lang w:val="en_US" w:bidi="en_US"/>
        </w:rPr>
        <w:t>because the kingdom of God belongs to you (NCV)</w:t>
      </w:r>
    </w:p>
    <w:p>
      <w:pPr/>
      <w:r>
        <w:rPr>
          <w:lang w:val="en_US" w:bidi="en_US"/>
        </w:rPr>
      </w:r>
      <w:r>
        <w:rPr>
          <w:lang w:val="en_US" w:bidi="en_US"/>
        </w:rPr>
        <w:t>In some languages, no conjunction is necessary here. For example:</w:t>
      </w:r>
    </w:p>
    <w:p>
      <w:pPr/>
      <w:r>
        <w:rPr>
          <w:lang w:val="en_US" w:bidi="en_US"/>
        </w:rPr>
      </w:r>
      <w:r>
        <w:rPr>
          <w:lang w:val="en_US" w:bidi="en_US"/>
        </w:rPr>
        <w:t>…the Kingdom of God is yours! (GNT)</w:t>
      </w:r>
    </w:p>
    <w:p>
      <w:pPr/>
      <w:r>
        <w:rPr>
          <w:lang w:val="en_US" w:bidi="en_US"/>
        </w:rPr>
      </w:r>
      <w:r>
        <w:rPr>
          <w:b/>
          <w:lang w:val="en_US" w:bidi="en_US"/>
        </w:rPr>
        <w:t>yours is the kingdom of God:</w:t>
      </w:r>
      <w:r>
        <w:rPr>
          <w:lang w:val="en_US" w:bidi="en_US"/>
        </w:rPr>
        <w:t xml:space="preserve"> The phrase </w:t>
      </w:r>
      <w:r>
        <w:rPr>
          <w:i/>
          <w:lang w:val="en_US" w:bidi="en_US"/>
        </w:rPr>
        <w:t>yours is the kingdom of God</w:t>
      </w:r>
      <w:r>
        <w:rPr>
          <w:lang w:val="en_US" w:bidi="en_US"/>
        </w:rPr>
        <w:t xml:space="preserve"> means that they are citizens of God’s kingdom. They enjoy all the benefits and blessings that go with it. This phrase does not mean that they own the kingdom of God.</w:t>
      </w:r>
    </w:p>
    <w:p>
      <w:pPr/>
      <w:r>
        <w:rPr>
          <w:lang w:val="en_US" w:bidi="en_US"/>
        </w:rPr>
      </w:r>
      <w:r>
        <w:rPr>
          <w:lang w:val="en_US" w:bidi="en_US"/>
        </w:rPr>
        <w:t>The verb here is in the present form. Having God’s favor makes people rich whenever they have it. That is true in the present, not only in the future. Some ways to translate this are:</w:t>
      </w:r>
    </w:p>
    <w:p>
      <w:pPr/>
      <w:r>
        <w:rPr>
          <w:lang w:val="en_US" w:bidi="en_US"/>
        </w:rPr>
      </w:r>
      <w:r>
        <w:rPr>
          <w:lang w:val="en_US" w:bidi="en_US"/>
        </w:rPr>
        <w:t>you have a share/part in the kingdom of God</w:t>
      </w:r>
    </w:p>
    <w:p>
      <w:pPr/>
      <w:r>
        <w:rPr>
          <w:lang w:val="en_US" w:bidi="en_US"/>
        </w:rPr>
      </w:r>
      <w:r>
        <w:rPr>
          <w:lang w:val="en_US" w:bidi="en_US"/>
        </w:rPr>
        <w:t>you are citizens/subjects of God’s kingdom</w:t>
      </w:r>
    </w:p>
    <w:p>
      <w:pPr/>
      <w:r>
        <w:rPr>
          <w:lang w:val="en_US" w:bidi="en_US"/>
        </w:rPr>
      </w:r>
      <w:r>
        <w:rPr>
          <w:lang w:val="en_US" w:bidi="en_US"/>
        </w:rPr>
        <w:t>you are included in God’s kingdom</w:t>
      </w:r>
    </w:p>
    <w:p>
      <w:pPr/>
      <w:r>
        <w:rPr>
          <w:lang w:val="en_US" w:bidi="en_US"/>
        </w:rPr>
      </w:r>
      <w:r>
        <w:rPr>
          <w:b/>
          <w:lang w:val="en_US" w:bidi="en_US"/>
        </w:rPr>
        <w:t>kingdom of God:</w:t>
      </w:r>
      <w:r>
        <w:rPr>
          <w:lang w:val="en_US" w:bidi="en_US"/>
        </w:rPr>
        <w:t xml:space="preserve"> The phrase </w:t>
      </w:r>
      <w:r>
        <w:rPr>
          <w:i/>
          <w:lang w:val="en_US" w:bidi="en_US"/>
        </w:rPr>
        <w:t>kingdom of God</w:t>
      </w:r>
      <w:r>
        <w:rPr>
          <w:lang w:val="en_US" w:bidi="en_US"/>
        </w:rP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As a noun. For example:</w:t>
      </w:r>
      <w:r>
        <w:rPr>
          <w:lang w:val="en_US" w:bidi="en_US"/>
        </w:rPr>
        <w:t>God’s rule/reign</w:t>
      </w:r>
      <w:r>
        <w:rPr>
          <w:lang w:val="en_US" w:bidi="en_US"/>
        </w:rPr>
        <w:t>God’s kingship</w:t>
      </w:r>
      <w:r>
        <w:rPr>
          <w:lang w:val="en_US" w:bidi="en_US"/>
        </w:rPr>
        <w:t>God’s chieftaincy</w:t>
      </w:r>
      <w:r>
        <w:rPr>
          <w:lang w:val="en_US" w:bidi="en_US"/>
        </w:rPr>
        <w:t>God’s government</w:t>
      </w:r>
    </w:p>
    <w:p>
      <w:pPr>
        <w:pStyle w:val="ListBullet"/>
        <w:spacing w:line="240" w:lineRule="auto"/>
        <w:ind w:left="720"/>
      </w:pPr>
      <w:r>
        <w:rPr>
          <w:lang w:val="en_US" w:bidi="en_US"/>
        </w:rPr>
      </w:r>
      <w:r>
        <w:rPr>
          <w:lang w:val="en_US" w:bidi="en_US"/>
        </w:rPr>
        <w:t>As a verbal expression:</w:t>
      </w:r>
      <w:r>
        <w:rPr>
          <w:lang w:val="en_US" w:bidi="en_US"/>
        </w:rPr>
        <w:t>the way God rules his people</w:t>
      </w:r>
      <w:r>
        <w:rPr>
          <w:lang w:val="en_US" w:bidi="en_US"/>
        </w:rPr>
        <w:t>the way God cares for his people as king</w:t>
      </w:r>
    </w:p>
    <w:p>
      <w:pPr/>
      <w:r>
        <w:rPr>
          <w:lang w:val="en_US" w:bidi="en_US"/>
        </w:rPr>
      </w:r>
      <w:r>
        <w:rPr>
          <w:lang w:val="en_US" w:bidi="en_US"/>
        </w:rPr>
        <w:t>See kingdom of God, Context 2, in the Glossary.</w:t>
      </w:r>
    </w:p>
    <w:p>
      <w:pPr>
        <w:pStyle w:val="Heading6"/>
      </w:pPr>
      <w:r>
        <w:rPr>
          <w:b/>
          <w:lang w:val="en_US" w:bidi="en_US"/>
        </w:rPr>
        <w:t>General Comment on 6:20b–c</w:t>
      </w:r>
    </w:p>
    <w:p>
      <w:pPr/>
      <w:r>
        <w:rPr>
          <w:lang w:val="en_US" w:bidi="en_US"/>
        </w:rPr>
      </w:r>
      <w:r>
        <w:rPr>
          <w:lang w:val="en_US" w:bidi="en_US"/>
        </w:rPr>
        <w:t>In some languages, it may be more natural to change the order of 6:20b–c. For example:</w:t>
      </w:r>
    </w:p>
    <w:p>
      <w:pPr/>
      <w:r>
        <w:rPr>
          <w:lang w:val="en_US" w:bidi="en_US"/>
        </w:rPr>
      </w:r>
      <w:r>
        <w:rPr>
          <w:vertAlign w:val="superscript"/>
          <w:lang w:val="en_US" w:bidi="en_US"/>
        </w:rPr>
        <w:t>20b</w:t>
      </w:r>
      <w:r>
        <w:rPr>
          <w:lang w:val="en_US" w:bidi="en_US"/>
        </w:rPr>
        <w:t xml:space="preserve">You who are poor, </w:t>
      </w:r>
      <w:r>
        <w:rPr>
          <w:vertAlign w:val="superscript"/>
          <w:lang w:val="en_US" w:bidi="en_US"/>
        </w:rPr>
        <w:t>20c</w:t>
      </w:r>
      <w:r>
        <w:rPr>
          <w:lang w:val="en_US" w:bidi="en_US"/>
        </w:rPr>
        <w:t xml:space="preserve">the kingdom of God belongs to you, </w:t>
      </w:r>
      <w:r>
        <w:rPr>
          <w:vertAlign w:val="superscript"/>
          <w:lang w:val="en_US" w:bidi="en_US"/>
        </w:rPr>
        <w:t>20b</w:t>
      </w:r>
      <w:r>
        <w:rPr>
          <w:lang w:val="en_US" w:bidi="en_US"/>
        </w:rPr>
        <w:t>so</w:t>
      </w:r>
      <w:r>
        <w:rPr>
          <w:lang w:val="en_US" w:bidi="en_US"/>
        </w:rPr>
        <w:t xml:space="preserve"> you are blessed.</w:t>
      </w:r>
      <w:r>
        <w:rPr>
          <w:lang w:val="en_US" w:bidi="en_US"/>
        </w:rPr>
      </w:r>
      <w:r>
        <w:rPr>
          <w:lang w:val="en_US" w:bidi="en_US"/>
        </w:rPr>
      </w:r>
    </w:p>
    <w:p>
      <w:pPr/>
      <w:r>
        <w:rPr>
          <w:lang w:val="en_US" w:bidi="en_US"/>
        </w:rPr>
      </w:r>
    </w:p>
    <w:p>
      <w:pPr>
        <w:pStyle w:val="Heading2"/>
      </w:pPr>
      <w:r>
        <w:rPr>
          <w:lang w:val="en_US" w:bidi="en_US"/>
        </w:rPr>
        <w:t>Luke 6:21</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6:20–23</w:t>
      </w:r>
    </w:p>
    <w:p>
      <w:pPr/>
      <w:r>
        <w:rPr>
          <w:lang w:val="en_US" w:bidi="en_US"/>
        </w:rPr>
      </w:r>
      <w:r>
        <w:rPr>
          <w:lang w:val="en_US" w:bidi="en_US"/>
        </w:rPr>
        <w:t>Some people call verses 6:20–23 “The Beatitudes.” “Beatitudes” means “Blessings.” Some Beatitudes are also in Matthew 5:3–12.</w:t>
      </w:r>
    </w:p>
    <w:p>
      <w:pPr/>
      <w:r>
        <w:rPr>
          <w:lang w:val="en_US" w:bidi="en_US"/>
        </w:rPr>
      </w:r>
      <w:r>
        <w:rPr>
          <w:lang w:val="en_US" w:bidi="en_US"/>
        </w:rPr>
        <w:t>Jesus spoke in general terms about God’s kingdom and God’s values. When he addressed the people as “you</w:t>
      </w:r>
      <w:r>
        <w:rPr>
          <w:vertAlign w:val="superscript"/>
          <w:lang w:val="en_US" w:bidi="en_US"/>
        </w:rPr>
        <w:t>(plur)</w:t>
      </w:r>
      <w:r>
        <w:rPr>
          <w:lang w:val="en_US" w:bidi="en_US"/>
        </w:rPr>
        <w:t>,” he was making general statements. He did not mean that everyone in the crowd was poor, hungry, or weeping. Nor did he mean that every person who is poor will enjoy the blessings of God’s kingdom.</w:t>
      </w:r>
    </w:p>
    <w:p>
      <w:pPr/>
      <w:r>
        <w:rPr>
          <w:lang w:val="en_US" w:bidi="en_US"/>
        </w:rPr>
      </w:r>
      <w:r>
        <w:rPr>
          <w:lang w:val="en_US" w:bidi="en_US"/>
        </w:rPr>
        <w:t>Use the form that is natural in your language for general statements that are true. Your language may prefer to use a different pronoun. For example:</w:t>
      </w:r>
    </w:p>
    <w:p>
      <w:pPr/>
      <w:r>
        <w:rPr>
          <w:lang w:val="en_US" w:bidi="en_US"/>
        </w:rPr>
      </w:r>
      <w:r>
        <w:rPr>
          <w:lang w:val="en_US" w:bidi="en_US"/>
        </w:rPr>
        <w:t>You</w:t>
      </w:r>
      <w:r>
        <w:rPr>
          <w:vertAlign w:val="superscript"/>
          <w:lang w:val="en_US" w:bidi="en_US"/>
        </w:rPr>
        <w:t>(sing)</w:t>
      </w:r>
      <w:r>
        <w:rPr>
          <w:lang w:val="en_US" w:bidi="en_US"/>
        </w:rPr>
        <w:t xml:space="preserve"> are blessed</w:t>
      </w:r>
    </w:p>
    <w:p>
      <w:pPr/>
      <w:r>
        <w:rPr>
          <w:lang w:val="en_US" w:bidi="en_US"/>
        </w:rPr>
      </w:r>
      <w:r>
        <w:rPr>
          <w:lang w:val="en_US" w:bidi="en_US"/>
        </w:rPr>
        <w:t>They/People are blessed</w:t>
      </w:r>
    </w:p>
    <w:p>
      <w:pPr/>
      <w:r>
        <w:rPr>
          <w:lang w:val="en_US" w:bidi="en_US"/>
        </w:rPr>
      </w:r>
      <w:r>
        <w:rPr>
          <w:lang w:val="en_US" w:bidi="en_US"/>
        </w:rPr>
        <w:t>He is blessed</w:t>
      </w:r>
    </w:p>
    <w:p>
      <w:pPr/>
      <w:r>
        <w:rPr>
          <w:lang w:val="en_US" w:bidi="en_US"/>
        </w:rPr>
      </w:r>
      <w:r>
        <w:rPr>
          <w:lang w:val="en_US" w:bidi="en_US"/>
        </w:rPr>
        <w:t>Blessed are those (GW)</w:t>
      </w:r>
    </w:p>
    <w:p>
      <w:pPr>
        <w:pStyle w:val="Heading5"/>
      </w:pPr>
      <w:r>
        <w:rPr>
          <w:lang w:val="en_US" w:bidi="en_US"/>
        </w:rPr>
        <w:t>6:21a</w:t>
      </w:r>
    </w:p>
    <w:p>
      <w:pPr/>
      <w:r>
        <w:rPr>
          <w:lang w:val="en_US" w:bidi="en_US"/>
        </w:rPr>
      </w:r>
      <w:r>
        <w:rPr>
          <w:b/>
          <w:lang w:val="en_US" w:bidi="en_US"/>
        </w:rPr>
        <w:t>Blessed are you who hunger now,</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are hungry now are favored/fortunate,</w:t>
      </w:r>
    </w:p>
    <w:p>
      <w:pPr>
        <w:pStyle w:val="ListBullet"/>
        <w:spacing w:line="240" w:lineRule="auto"/>
        <w:ind w:left="720"/>
      </w:pPr>
      <w:r>
        <w:rPr>
          <w:lang w:val="en_US" w:bidi="en_US"/>
        </w:rPr>
      </w:r>
      <w:r>
        <w:rPr>
          <w:lang w:val="en_US" w:bidi="en_US"/>
        </w:rPr>
        <w:t>Joyful/Desirable is your</w:t>
      </w:r>
      <w:r>
        <w:rPr>
          <w:vertAlign w:val="superscript"/>
          <w:lang w:val="en_US" w:bidi="en_US"/>
        </w:rPr>
        <w:t>(plur)</w:t>
      </w:r>
      <w:r>
        <w:rPr>
          <w:lang w:val="en_US" w:bidi="en_US"/>
        </w:rPr>
        <w:t xml:space="preserve"> situation, you</w:t>
      </w:r>
      <w:r>
        <w:rPr>
          <w:vertAlign w:val="superscript"/>
          <w:lang w:val="en_US" w:bidi="en_US"/>
        </w:rPr>
        <w:t>(plur)</w:t>
      </w:r>
      <w:r>
        <w:rPr>
          <w:lang w:val="en_US" w:bidi="en_US"/>
        </w:rPr>
        <w:t xml:space="preserve"> who now are hungry,</w:t>
      </w:r>
    </w:p>
    <w:p>
      <w:pPr>
        <w:pStyle w:val="ListBullet"/>
        <w:spacing w:line="240" w:lineRule="auto"/>
        <w:ind w:left="720"/>
      </w:pPr>
      <w:r>
        <w:rPr>
          <w:lang w:val="en_US" w:bidi="en_US"/>
        </w:rPr>
      </w:r>
      <w:r>
        <w:rPr>
          <w:lang w:val="en_US" w:bidi="en_US"/>
        </w:rPr>
        <w:t>How good it is for you</w:t>
      </w:r>
      <w:r>
        <w:rPr>
          <w:vertAlign w:val="superscript"/>
          <w:lang w:val="en_US" w:bidi="en_US"/>
        </w:rPr>
        <w:t>(plur)</w:t>
      </w:r>
      <w:r>
        <w:rPr>
          <w:lang w:val="en_US" w:bidi="en_US"/>
        </w:rPr>
        <w:t xml:space="preserve"> who at this time do not have enough to eat.</w:t>
      </w:r>
    </w:p>
    <w:p>
      <w:pPr/>
      <w:r>
        <w:rPr>
          <w:lang w:val="en_US" w:bidi="en_US"/>
        </w:rPr>
      </w:r>
      <w:r>
        <w:rPr>
          <w:b/>
          <w:lang w:val="en_US" w:bidi="en_US"/>
        </w:rPr>
        <w:t>Blessed are you:</w:t>
      </w:r>
      <w:r>
        <w:rPr>
          <w:lang w:val="en_US" w:bidi="en_US"/>
        </w:rPr>
        <w:t xml:space="preserve"> The word </w:t>
      </w:r>
      <w:r>
        <w:rPr>
          <w:i/>
          <w:lang w:val="en_US" w:bidi="en_US"/>
        </w:rPr>
        <w:t>Blessed</w:t>
      </w:r>
      <w:r>
        <w:rPr>
          <w:lang w:val="en_US" w:bidi="en_US"/>
        </w:rPr>
        <w:t xml:space="preserve"> is the same word as in 6:20b. Translate it the same way in both places.</w:t>
      </w:r>
    </w:p>
    <w:p>
      <w:pPr/>
      <w:r>
        <w:rPr>
          <w:lang w:val="en_US" w:bidi="en_US"/>
        </w:rPr>
      </w:r>
      <w:r>
        <w:rPr>
          <w:b/>
          <w:lang w:val="en_US" w:bidi="en_US"/>
        </w:rPr>
        <w:t>who hunger now:</w:t>
      </w:r>
      <w:r>
        <w:rPr>
          <w:lang w:val="en_US" w:bidi="en_US"/>
        </w:rPr>
        <w:t xml:space="preserve"> The phrase </w:t>
      </w:r>
      <w:r>
        <w:rPr>
          <w:i/>
          <w:lang w:val="en_US" w:bidi="en_US"/>
        </w:rPr>
        <w:t>who hunger now</w:t>
      </w:r>
      <w:r>
        <w:rPr>
          <w:lang w:val="en_US" w:bidi="en_US"/>
        </w:rPr>
        <w:t xml:space="preserve"> refers to people who are literally hungry. They are hungry because they do not have enough food to eat. Luke focused on physical hunger.</w:t>
      </w:r>
    </w:p>
    <w:p>
      <w:pPr/>
      <w:r>
        <w:rPr>
          <w:lang w:val="en_US" w:bidi="en_US"/>
        </w:rPr>
      </w:r>
      <w:r>
        <w:rPr>
          <w:lang w:val="en_US" w:bidi="en_US"/>
        </w:rPr>
        <w:t xml:space="preserve">Some Bible scholars also mention that </w:t>
      </w:r>
      <w:r>
        <w:rPr>
          <w:i/>
          <w:lang w:val="en_US" w:bidi="en_US"/>
        </w:rPr>
        <w:t>hunger</w:t>
      </w:r>
      <w:r>
        <w:rPr>
          <w:lang w:val="en_US" w:bidi="en_US"/>
        </w:rPr>
        <w:t xml:space="preserve"> can be interpreted in both a literal way and also in a spiritual sense as longing for God and righteousness. If you have a word that could be interpreted either way, it may be appropriate here.</w:t>
      </w:r>
    </w:p>
    <w:p>
      <w:pPr/>
      <w:r>
        <w:rPr>
          <w:lang w:val="en_US" w:bidi="en_US"/>
        </w:rPr>
      </w:r>
      <w:r>
        <w:rPr>
          <w:b/>
          <w:lang w:val="en_US" w:bidi="en_US"/>
        </w:rPr>
        <w:t>now:</w:t>
      </w:r>
      <w:r>
        <w:rPr>
          <w:lang w:val="en_US" w:bidi="en_US"/>
        </w:rPr>
        <w:t xml:space="preserve"> Luke used the word </w:t>
      </w:r>
      <w:r>
        <w:rPr>
          <w:i/>
          <w:lang w:val="en_US" w:bidi="en_US"/>
        </w:rPr>
        <w:t>now</w:t>
      </w:r>
      <w:r>
        <w:rPr>
          <w:lang w:val="en_US" w:bidi="en_US"/>
        </w:rPr>
        <w:t xml:space="preserve"> to emphasize a present situation.</w:t>
      </w:r>
    </w:p>
    <w:p>
      <w:pPr>
        <w:pStyle w:val="Heading5"/>
      </w:pPr>
      <w:r>
        <w:rPr>
          <w:lang w:val="en_US" w:bidi="en_US"/>
        </w:rPr>
        <w:t>6:21b</w:t>
      </w:r>
    </w:p>
    <w:p>
      <w:pPr/>
      <w:r>
        <w:rPr>
          <w:lang w:val="en_US" w:bidi="en_US"/>
        </w:rPr>
      </w:r>
      <w:r>
        <w:rPr>
          <w:b/>
          <w:lang w:val="en_US" w:bidi="en_US"/>
        </w:rPr>
        <w:t>for you will be filled.</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will be content/filled.</w:t>
      </w:r>
    </w:p>
    <w:p>
      <w:pPr>
        <w:pStyle w:val="ListBullet"/>
        <w:spacing w:line="240" w:lineRule="auto"/>
        <w:ind w:left="720"/>
      </w:pPr>
      <w:r>
        <w:rPr>
          <w:lang w:val="en_US" w:bidi="en_US"/>
        </w:rPr>
      </w:r>
      <w:r>
        <w:rPr>
          <w:lang w:val="en_US" w:bidi="en_US"/>
        </w:rPr>
        <w:t xml:space="preserve">because </w:t>
      </w:r>
      <w:r>
        <w:rPr>
          <w:lang w:val="en_US" w:bidi="en_US"/>
        </w:rPr>
        <w:t>one day</w:t>
      </w:r>
      <w:r>
        <w:rPr>
          <w:lang w:val="en_US" w:bidi="en_US"/>
        </w:rPr>
        <w:t xml:space="preserve"> you</w:t>
      </w:r>
      <w:r>
        <w:rPr>
          <w:vertAlign w:val="superscript"/>
          <w:lang w:val="en_US" w:bidi="en_US"/>
        </w:rPr>
        <w:t>(plur)</w:t>
      </w:r>
      <w:r>
        <w:rPr>
          <w:lang w:val="en_US" w:bidi="en_US"/>
        </w:rPr>
        <w:t xml:space="preserve"> will eat and be filled.</w:t>
      </w:r>
    </w:p>
    <w:p>
      <w:pPr>
        <w:pStyle w:val="ListBullet"/>
        <w:spacing w:line="240" w:lineRule="auto"/>
        <w:ind w:left="720"/>
      </w:pPr>
      <w:r>
        <w:rPr>
          <w:lang w:val="en_US" w:bidi="en_US"/>
        </w:rPr>
      </w:r>
      <w:r>
        <w:rPr>
          <w:lang w:val="en_US" w:bidi="en_US"/>
        </w:rPr>
        <w:t>In the future</w:t>
      </w:r>
      <w:r>
        <w:rPr>
          <w:lang w:val="en_US" w:bidi="en_US"/>
        </w:rPr>
        <w:t xml:space="preserve"> </w:t>
      </w:r>
      <w:r>
        <w:rPr>
          <w:lang w:val="en_US" w:bidi="en_US"/>
        </w:rPr>
        <w:t>God</w:t>
      </w:r>
      <w:r>
        <w:rPr>
          <w:lang w:val="en_US" w:bidi="en_US"/>
        </w:rPr>
        <w:t xml:space="preserve"> will satisfy you</w:t>
      </w:r>
      <w:r>
        <w:rPr>
          <w:vertAlign w:val="superscript"/>
          <w:lang w:val="en_US" w:bidi="en_US"/>
        </w:rPr>
        <w:t>(plur)</w:t>
      </w:r>
      <w:r>
        <w:rPr>
          <w:lang w:val="en_US" w:bidi="en_US"/>
        </w:rPr>
        <w:t xml:space="preserve"> </w:t>
      </w:r>
      <w:r>
        <w:rPr>
          <w:lang w:val="en_US" w:bidi="en_US"/>
        </w:rPr>
        <w:t>with all the food you want</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why the “hungry” are blessed. They are blessed </w:t>
      </w:r>
      <w:r>
        <w:rPr>
          <w:u w:val="single"/>
          <w:lang w:val="en_US" w:bidi="en_US"/>
        </w:rPr>
        <w:t>because</w:t>
      </w:r>
      <w:r>
        <w:rPr>
          <w:lang w:val="en_US" w:bidi="en_US"/>
        </w:rPr>
        <w:t xml:space="preserve"> they will be satisfied. For example:</w:t>
      </w:r>
    </w:p>
    <w:p>
      <w:pPr/>
      <w:r>
        <w:rPr>
          <w:lang w:val="en_US" w:bidi="en_US"/>
        </w:rPr>
      </w:r>
      <w:r>
        <w:rPr>
          <w:lang w:val="en_US" w:bidi="en_US"/>
        </w:rPr>
        <w:t>because you will be satisfied (NCV)</w:t>
      </w:r>
    </w:p>
    <w:p>
      <w:pPr/>
      <w:r>
        <w:rPr>
          <w:lang w:val="en_US" w:bidi="en_US"/>
        </w:rPr>
      </w:r>
      <w:r>
        <w:rPr>
          <w:lang w:val="en_US" w:bidi="en_US"/>
        </w:rPr>
        <w:t>In some languages, no conjunction is necessary here.</w:t>
      </w:r>
    </w:p>
    <w:p>
      <w:pPr/>
      <w:r>
        <w:rPr>
          <w:lang w:val="en_US" w:bidi="en_US"/>
        </w:rPr>
      </w:r>
      <w:r>
        <w:rPr>
          <w:b/>
          <w:lang w:val="en_US" w:bidi="en_US"/>
        </w:rPr>
        <w:t>you will be filled:</w:t>
      </w:r>
      <w:r>
        <w:rPr>
          <w:lang w:val="en_US" w:bidi="en_US"/>
        </w:rPr>
        <w:t xml:space="preserve"> The Greek word that the BSB translates as </w:t>
      </w:r>
      <w:r>
        <w:rPr>
          <w:i/>
          <w:lang w:val="en_US" w:bidi="en_US"/>
        </w:rPr>
        <w:t>you will be filled</w:t>
      </w:r>
      <w:r>
        <w:rPr>
          <w:lang w:val="en_US" w:bidi="en_US"/>
        </w:rPr>
        <w:t xml:space="preserve"> literally means “you will eat your fill.” For example:</w:t>
      </w:r>
    </w:p>
    <w:p>
      <w:pPr/>
      <w:r>
        <w:rPr>
          <w:lang w:val="en_US" w:bidi="en_US"/>
        </w:rPr>
      </w:r>
      <w:r>
        <w:rPr>
          <w:lang w:val="en_US" w:bidi="en_US"/>
        </w:rPr>
        <w:t>you will be satisfied (NIV)</w:t>
      </w:r>
    </w:p>
    <w:p>
      <w:pPr/>
      <w:r>
        <w:rPr>
          <w:lang w:val="en_US" w:bidi="en_US"/>
        </w:rPr>
      </w:r>
      <w:r>
        <w:rPr>
          <w:lang w:val="en_US" w:bidi="en_US"/>
        </w:rPr>
        <w:t xml:space="preserve">The phrase </w:t>
      </w:r>
      <w:r>
        <w:rPr>
          <w:i/>
          <w:lang w:val="en_US" w:bidi="en_US"/>
        </w:rPr>
        <w:t>you will be filled</w:t>
      </w:r>
      <w:r>
        <w:rPr>
          <w:lang w:val="en_US" w:bidi="en_US"/>
        </w:rPr>
        <w:t xml:space="preserve"> is passive. It may be natural in your language to translate it with an active expression. For example:</w:t>
      </w:r>
    </w:p>
    <w:p>
      <w:pPr/>
      <w:r>
        <w:rPr>
          <w:lang w:val="en_US" w:bidi="en_US"/>
        </w:rPr>
      </w:r>
      <w:r>
        <w:rPr>
          <w:lang w:val="en_US" w:bidi="en_US"/>
        </w:rPr>
        <w:t>You will have plenty to eat! (CEV)</w:t>
      </w:r>
    </w:p>
    <w:p>
      <w:pPr/>
      <w:r>
        <w:rPr>
          <w:lang w:val="en_US" w:bidi="en_US"/>
        </w:rPr>
      </w:r>
      <w:r>
        <w:rPr>
          <w:lang w:val="en_US" w:bidi="en_US"/>
        </w:rPr>
        <w:t xml:space="preserve">As with hunger, some Bible scholars mention that </w:t>
      </w:r>
      <w:r>
        <w:rPr>
          <w:i/>
          <w:lang w:val="en_US" w:bidi="en_US"/>
        </w:rPr>
        <w:t>filled</w:t>
      </w:r>
      <w:r>
        <w:rPr>
          <w:lang w:val="en_US" w:bidi="en_US"/>
        </w:rPr>
        <w:t xml:space="preserve"> can be interpreted in both a literal way and also in a spiritual sense, as being satisfied by God. If you have a word that could be interpreted either way, it may be appropriate here.</w:t>
      </w:r>
    </w:p>
    <w:p>
      <w:pPr/>
      <w:r>
        <w:rPr>
          <w:lang w:val="en_US" w:bidi="en_US"/>
        </w:rPr>
      </w:r>
      <w:r>
        <w:rPr>
          <w:b/>
          <w:lang w:val="en_US" w:bidi="en_US"/>
        </w:rPr>
        <w:t>will be:</w:t>
      </w:r>
      <w:r>
        <w:rPr>
          <w:lang w:val="en_US" w:bidi="en_US"/>
        </w:rPr>
        <w:t xml:space="preserve"> The Greek verb tense refers to future time. It is in direct contrast with the present situation (emphasized by “now”).</w:t>
      </w:r>
    </w:p>
    <w:p>
      <w:pPr>
        <w:pStyle w:val="Heading6"/>
      </w:pPr>
      <w:r>
        <w:rPr>
          <w:b/>
          <w:lang w:val="en_US" w:bidi="en_US"/>
        </w:rPr>
        <w:t>General Comment on 6:21a–b</w:t>
      </w:r>
    </w:p>
    <w:p>
      <w:pPr/>
      <w:r>
        <w:rPr>
          <w:lang w:val="en_US" w:bidi="en_US"/>
        </w:rPr>
      </w:r>
      <w:r>
        <w:rPr>
          <w:lang w:val="en_US" w:bidi="en_US"/>
        </w:rPr>
        <w:t>In some languages, it may be more natural to change the order of 6:21a–b. For example:</w:t>
      </w:r>
    </w:p>
    <w:p>
      <w:pPr/>
      <w:r>
        <w:rPr>
          <w:lang w:val="en_US" w:bidi="en_US"/>
        </w:rPr>
      </w:r>
      <w:r>
        <w:rPr>
          <w:vertAlign w:val="superscript"/>
          <w:lang w:val="en_US" w:bidi="en_US"/>
        </w:rPr>
        <w:t>21a</w:t>
      </w:r>
      <w:r>
        <w:rPr>
          <w:lang w:val="en_US" w:bidi="en_US"/>
        </w:rPr>
        <w:t xml:space="preserve">You who are now hungry, </w:t>
      </w:r>
      <w:r>
        <w:rPr>
          <w:vertAlign w:val="superscript"/>
          <w:lang w:val="en_US" w:bidi="en_US"/>
        </w:rPr>
        <w:t>21b</w:t>
      </w:r>
      <w:r>
        <w:rPr>
          <w:lang w:val="en_US" w:bidi="en_US"/>
        </w:rPr>
        <w:t xml:space="preserve">one day you will be satisfied, </w:t>
      </w:r>
      <w:r>
        <w:rPr>
          <w:vertAlign w:val="superscript"/>
          <w:lang w:val="en_US" w:bidi="en_US"/>
        </w:rPr>
        <w:t>21a</w:t>
      </w:r>
      <w:r>
        <w:rPr>
          <w:lang w:val="en_US" w:bidi="en_US"/>
        </w:rPr>
        <w:t>so</w:t>
      </w:r>
      <w:r>
        <w:rPr>
          <w:lang w:val="en_US" w:bidi="en_US"/>
        </w:rPr>
        <w:t xml:space="preserve"> you are blessed.</w:t>
      </w:r>
    </w:p>
    <w:p>
      <w:pPr>
        <w:pStyle w:val="Heading5"/>
      </w:pPr>
      <w:r>
        <w:rPr>
          <w:lang w:val="en_US" w:bidi="en_US"/>
        </w:rPr>
        <w:t>6:21c</w:t>
      </w:r>
    </w:p>
    <w:p>
      <w:pPr/>
      <w:r>
        <w:rPr>
          <w:lang w:val="en_US" w:bidi="en_US"/>
        </w:rPr>
      </w:r>
      <w:r>
        <w:rPr>
          <w:b/>
          <w:lang w:val="en_US" w:bidi="en_US"/>
        </w:rPr>
        <w:t>Blessed are you who weep now,</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are crying now are favored/fortunate,</w:t>
      </w:r>
    </w:p>
    <w:p>
      <w:pPr>
        <w:pStyle w:val="ListBullet"/>
        <w:spacing w:line="240" w:lineRule="auto"/>
        <w:ind w:left="720"/>
      </w:pPr>
      <w:r>
        <w:rPr>
          <w:lang w:val="en_US" w:bidi="en_US"/>
        </w:rPr>
      </w:r>
      <w:r>
        <w:rPr>
          <w:lang w:val="en_US" w:bidi="en_US"/>
        </w:rPr>
        <w:t>Joyful/Desirable is your</w:t>
      </w:r>
      <w:r>
        <w:rPr>
          <w:vertAlign w:val="superscript"/>
          <w:lang w:val="en_US" w:bidi="en_US"/>
        </w:rPr>
        <w:t>(plur)</w:t>
      </w:r>
      <w:r>
        <w:rPr>
          <w:lang w:val="en_US" w:bidi="en_US"/>
        </w:rPr>
        <w:t xml:space="preserve"> situation, you</w:t>
      </w:r>
      <w:r>
        <w:rPr>
          <w:vertAlign w:val="superscript"/>
          <w:lang w:val="en_US" w:bidi="en_US"/>
        </w:rPr>
        <w:t>(plur)</w:t>
      </w:r>
      <w:r>
        <w:rPr>
          <w:lang w:val="en_US" w:bidi="en_US"/>
        </w:rPr>
        <w:t xml:space="preserve"> who are weeping now,</w:t>
      </w:r>
    </w:p>
    <w:p>
      <w:pPr>
        <w:pStyle w:val="ListBullet"/>
        <w:spacing w:line="240" w:lineRule="auto"/>
        <w:ind w:left="720"/>
      </w:pPr>
      <w:r>
        <w:rPr>
          <w:lang w:val="en_US" w:bidi="en_US"/>
        </w:rPr>
      </w:r>
      <w:r>
        <w:rPr>
          <w:lang w:val="en_US" w:bidi="en_US"/>
        </w:rPr>
        <w:t>How good it is for you</w:t>
      </w:r>
      <w:r>
        <w:rPr>
          <w:vertAlign w:val="superscript"/>
          <w:lang w:val="en_US" w:bidi="en_US"/>
        </w:rPr>
        <w:t>(plur)</w:t>
      </w:r>
      <w:r>
        <w:rPr>
          <w:lang w:val="en_US" w:bidi="en_US"/>
        </w:rPr>
        <w:t xml:space="preserve"> who at this time are mourning.</w:t>
      </w:r>
    </w:p>
    <w:p>
      <w:pPr/>
      <w:r>
        <w:rPr>
          <w:lang w:val="en_US" w:bidi="en_US"/>
        </w:rPr>
      </w:r>
      <w:r>
        <w:rPr>
          <w:b/>
          <w:lang w:val="en_US" w:bidi="en_US"/>
        </w:rPr>
        <w:t>Blessed are you:</w:t>
      </w:r>
      <w:r>
        <w:rPr>
          <w:lang w:val="en_US" w:bidi="en_US"/>
        </w:rPr>
        <w:t xml:space="preserve"> Translate this phrase the same way you did in 6:20b.</w:t>
      </w:r>
    </w:p>
    <w:p>
      <w:pPr/>
      <w:r>
        <w:rPr>
          <w:lang w:val="en_US" w:bidi="en_US"/>
        </w:rPr>
      </w:r>
      <w:r>
        <w:rPr>
          <w:b/>
          <w:lang w:val="en_US" w:bidi="en_US"/>
        </w:rPr>
        <w:t>you who weep now:</w:t>
      </w:r>
      <w:r>
        <w:rPr>
          <w:lang w:val="en_US" w:bidi="en_US"/>
        </w:rPr>
        <w:t xml:space="preserve"> The phrase </w:t>
      </w:r>
      <w:r>
        <w:rPr>
          <w:i/>
          <w:lang w:val="en_US" w:bidi="en_US"/>
        </w:rPr>
        <w:t>you who weep now</w:t>
      </w:r>
      <w:r>
        <w:rPr>
          <w:lang w:val="en_US" w:bidi="en_US"/>
        </w:rPr>
        <w:t xml:space="preserve"> implies sadness or sorrow. Another way to translate this is:</w:t>
      </w:r>
    </w:p>
    <w:p>
      <w:pPr/>
      <w:r>
        <w:rPr>
          <w:lang w:val="en_US" w:bidi="en_US"/>
        </w:rPr>
      </w:r>
      <w:r>
        <w:rPr>
          <w:lang w:val="en_US" w:bidi="en_US"/>
        </w:rPr>
        <w:t>you people who are crying (CEV)</w:t>
      </w:r>
    </w:p>
    <w:p>
      <w:pPr/>
      <w:r>
        <w:rPr>
          <w:lang w:val="en_US" w:bidi="en_US"/>
        </w:rPr>
      </w:r>
      <w:r>
        <w:rPr>
          <w:b/>
          <w:lang w:val="en_US" w:bidi="en_US"/>
        </w:rPr>
        <w:t>now:</w:t>
      </w:r>
      <w:r>
        <w:rPr>
          <w:lang w:val="en_US" w:bidi="en_US"/>
        </w:rPr>
        <w:t xml:space="preserve"> As in 6:21a, Luke used the word </w:t>
      </w:r>
      <w:r>
        <w:rPr>
          <w:i/>
          <w:lang w:val="en_US" w:bidi="en_US"/>
        </w:rPr>
        <w:t>now</w:t>
      </w:r>
      <w:r>
        <w:rPr>
          <w:lang w:val="en_US" w:bidi="en_US"/>
        </w:rPr>
        <w:t xml:space="preserve"> to emphasize a present situation.</w:t>
      </w:r>
    </w:p>
    <w:p>
      <w:pPr>
        <w:pStyle w:val="Heading5"/>
      </w:pPr>
      <w:r>
        <w:rPr>
          <w:lang w:val="en_US" w:bidi="en_US"/>
        </w:rPr>
        <w:t>6:21d</w:t>
      </w:r>
    </w:p>
    <w:p>
      <w:pPr/>
      <w:r>
        <w:rPr>
          <w:lang w:val="en_US" w:bidi="en_US"/>
        </w:rPr>
      </w:r>
      <w:r>
        <w:rPr>
          <w:b/>
          <w:lang w:val="en_US" w:bidi="en_US"/>
        </w:rPr>
        <w:t>for you will laugh.</w:t>
      </w:r>
    </w:p>
    <w:p>
      <w:pPr>
        <w:pStyle w:val="ListBullet"/>
        <w:spacing w:line="240" w:lineRule="auto"/>
        <w:ind w:left="720"/>
      </w:pPr>
      <w:r>
        <w:rPr>
          <w:lang w:val="en_US" w:bidi="en_US"/>
        </w:rPr>
      </w:r>
      <w:r>
        <w:rPr>
          <w:lang w:val="en_US" w:bidi="en_US"/>
        </w:rPr>
        <w:t>because you will laugh with joy. (NCV)</w:t>
      </w:r>
    </w:p>
    <w:p>
      <w:pPr>
        <w:pStyle w:val="ListBullet"/>
        <w:spacing w:line="240" w:lineRule="auto"/>
        <w:ind w:left="720"/>
      </w:pPr>
      <w:r>
        <w:rPr>
          <w:lang w:val="en_US" w:bidi="en_US"/>
        </w:rPr>
      </w:r>
      <w:r>
        <w:rPr>
          <w:lang w:val="en_US" w:bidi="en_US"/>
        </w:rPr>
        <w:t xml:space="preserve">because </w:t>
      </w:r>
      <w:r>
        <w:rPr>
          <w:lang w:val="en_US" w:bidi="en_US"/>
        </w:rPr>
        <w:t>one day</w:t>
      </w:r>
      <w:r>
        <w:rPr>
          <w:lang w:val="en_US" w:bidi="en_US"/>
        </w:rPr>
        <w:t xml:space="preserve"> you</w:t>
      </w:r>
      <w:r>
        <w:rPr>
          <w:vertAlign w:val="superscript"/>
          <w:lang w:val="en_US" w:bidi="en_US"/>
        </w:rPr>
        <w:t>(plur)</w:t>
      </w:r>
      <w:r>
        <w:rPr>
          <w:lang w:val="en_US" w:bidi="en_US"/>
        </w:rPr>
        <w:t xml:space="preserve"> will have gladness/joy.</w:t>
      </w:r>
    </w:p>
    <w:p>
      <w:pPr>
        <w:pStyle w:val="ListBullet"/>
        <w:spacing w:line="240" w:lineRule="auto"/>
        <w:ind w:left="720"/>
      </w:pPr>
      <w:r>
        <w:rPr>
          <w:lang w:val="en_US" w:bidi="en_US"/>
        </w:rPr>
      </w:r>
      <w:r>
        <w:rPr>
          <w:lang w:val="en_US" w:bidi="en_US"/>
        </w:rPr>
        <w:t>In the future</w:t>
      </w:r>
      <w:r>
        <w:rPr>
          <w:lang w:val="en_US" w:bidi="en_US"/>
        </w:rPr>
        <w:t xml:space="preserve"> you will laugh with/from joy.</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why those who weep are blessed. They are blessed </w:t>
      </w:r>
      <w:r>
        <w:rPr>
          <w:u w:val="single"/>
          <w:lang w:val="en_US" w:bidi="en_US"/>
        </w:rPr>
        <w:t>because</w:t>
      </w:r>
      <w:r>
        <w:rPr>
          <w:lang w:val="en_US" w:bidi="en_US"/>
        </w:rPr>
        <w:t xml:space="preserve"> they will laugh. For example:</w:t>
      </w:r>
    </w:p>
    <w:p>
      <w:pPr/>
      <w:r>
        <w:rPr>
          <w:lang w:val="en_US" w:bidi="en_US"/>
        </w:rPr>
      </w:r>
      <w:r>
        <w:rPr>
          <w:lang w:val="en_US" w:bidi="en_US"/>
        </w:rPr>
        <w:t>because you will laugh with joy (NCV)</w:t>
      </w:r>
    </w:p>
    <w:p>
      <w:pPr/>
      <w:r>
        <w:rPr>
          <w:lang w:val="en_US" w:bidi="en_US"/>
        </w:rPr>
      </w:r>
      <w:r>
        <w:rPr>
          <w:lang w:val="en_US" w:bidi="en_US"/>
        </w:rPr>
        <w:t>In some languages, no conjunction is necessary here. For example:</w:t>
      </w:r>
    </w:p>
    <w:p>
      <w:pPr/>
      <w:r>
        <w:rPr>
          <w:lang w:val="en_US" w:bidi="en_US"/>
        </w:rPr>
      </w:r>
      <w:r>
        <w:rPr>
          <w:lang w:val="en_US" w:bidi="en_US"/>
        </w:rPr>
        <w:t>…you will laugh! (GNT)</w:t>
      </w:r>
    </w:p>
    <w:p>
      <w:pPr/>
      <w:r>
        <w:rPr>
          <w:lang w:val="en_US" w:bidi="en_US"/>
        </w:rPr>
      </w:r>
      <w:r>
        <w:rPr>
          <w:b/>
          <w:lang w:val="en_US" w:bidi="en_US"/>
        </w:rPr>
        <w:t>you will laugh:</w:t>
      </w:r>
      <w:r>
        <w:rPr>
          <w:lang w:val="en_US" w:bidi="en_US"/>
        </w:rPr>
        <w:t xml:space="preserve"> The word </w:t>
      </w:r>
      <w:r>
        <w:rPr>
          <w:i/>
          <w:lang w:val="en_US" w:bidi="en_US"/>
        </w:rPr>
        <w:t>laugh</w:t>
      </w:r>
      <w:r>
        <w:rPr>
          <w:lang w:val="en_US" w:bidi="en_US"/>
        </w:rPr>
        <w:t xml:space="preserve"> here refers to laughing with joy. Being a part of God’s kingdom gives a person good reasons to laugh and rejoice. Some other ways to translate this are:</w:t>
      </w:r>
    </w:p>
    <w:p>
      <w:pPr/>
      <w:r>
        <w:rPr>
          <w:lang w:val="en_US" w:bidi="en_US"/>
        </w:rPr>
      </w:r>
      <w:r>
        <w:rPr>
          <w:lang w:val="en_US" w:bidi="en_US"/>
        </w:rPr>
        <w:t>you will laugh with/from joy</w:t>
      </w:r>
    </w:p>
    <w:p>
      <w:pPr/>
      <w:r>
        <w:rPr>
          <w:lang w:val="en_US" w:bidi="en_US"/>
        </w:rPr>
      </w:r>
      <w:r>
        <w:rPr>
          <w:lang w:val="en_US" w:bidi="en_US"/>
        </w:rPr>
        <w:t>you will rejoice</w:t>
      </w:r>
    </w:p>
    <w:p>
      <w:pPr/>
      <w:r>
        <w:rPr>
          <w:lang w:val="en_US" w:bidi="en_US"/>
        </w:rPr>
      </w:r>
      <w:r>
        <w:rPr>
          <w:b/>
          <w:lang w:val="en_US" w:bidi="en_US"/>
        </w:rPr>
        <w:t>will:</w:t>
      </w:r>
      <w:r>
        <w:rPr>
          <w:lang w:val="en_US" w:bidi="en_US"/>
        </w:rPr>
        <w:t xml:space="preserve"> The Greek verb tense refers to future time. It is in direct contrast with the present situation (emphasized by “now”).</w:t>
      </w:r>
    </w:p>
    <w:p>
      <w:pPr>
        <w:pStyle w:val="Heading6"/>
      </w:pPr>
      <w:r>
        <w:rPr>
          <w:b/>
          <w:lang w:val="en_US" w:bidi="en_US"/>
        </w:rPr>
        <w:t>General Comment on 6:21c–d</w:t>
      </w:r>
    </w:p>
    <w:p>
      <w:pPr/>
      <w:r>
        <w:rPr>
          <w:lang w:val="en_US" w:bidi="en_US"/>
        </w:rPr>
      </w:r>
      <w:r>
        <w:rPr>
          <w:lang w:val="en_US" w:bidi="en_US"/>
        </w:rPr>
        <w:t>In some languages, it may be more natural to change the order of 6:21c–d. For example:</w:t>
      </w:r>
    </w:p>
    <w:p>
      <w:pPr/>
      <w:r>
        <w:rPr>
          <w:lang w:val="en_US" w:bidi="en_US"/>
        </w:rPr>
      </w:r>
      <w:r>
        <w:rPr>
          <w:vertAlign w:val="superscript"/>
          <w:lang w:val="en_US" w:bidi="en_US"/>
        </w:rPr>
        <w:t>21c</w:t>
      </w:r>
      <w:r>
        <w:rPr>
          <w:lang w:val="en_US" w:bidi="en_US"/>
        </w:rPr>
        <w:t xml:space="preserve">You who weep now </w:t>
      </w:r>
      <w:r>
        <w:rPr>
          <w:vertAlign w:val="superscript"/>
          <w:lang w:val="en_US" w:bidi="en_US"/>
        </w:rPr>
        <w:t>21d</w:t>
      </w:r>
      <w:r>
        <w:rPr>
          <w:lang w:val="en_US" w:bidi="en_US"/>
        </w:rPr>
        <w:t xml:space="preserve">one day you will laugh, </w:t>
      </w:r>
      <w:r>
        <w:rPr>
          <w:vertAlign w:val="superscript"/>
          <w:lang w:val="en_US" w:bidi="en_US"/>
        </w:rPr>
        <w:t>21c</w:t>
      </w:r>
      <w:r>
        <w:rPr>
          <w:lang w:val="en_US" w:bidi="en_US"/>
        </w:rPr>
        <w:t>so</w:t>
      </w:r>
      <w:r>
        <w:rPr>
          <w:lang w:val="en_US" w:bidi="en_US"/>
        </w:rPr>
        <w:t xml:space="preserve"> you are blessed.</w:t>
      </w:r>
      <w:r>
        <w:rPr>
          <w:lang w:val="en_US" w:bidi="en_US"/>
        </w:rPr>
      </w:r>
      <w:r>
        <w:rPr>
          <w:lang w:val="en_US" w:bidi="en_US"/>
        </w:rPr>
      </w:r>
    </w:p>
    <w:p>
      <w:pPr/>
      <w:r>
        <w:rPr>
          <w:lang w:val="en_US" w:bidi="en_US"/>
        </w:rPr>
      </w:r>
    </w:p>
    <w:p>
      <w:pPr>
        <w:pStyle w:val="Heading2"/>
      </w:pPr>
      <w:r>
        <w:rPr>
          <w:lang w:val="en_US" w:bidi="en_US"/>
        </w:rPr>
        <w:t>Luke 6:22</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6:20–23</w:t>
      </w:r>
    </w:p>
    <w:p>
      <w:pPr/>
      <w:r>
        <w:rPr>
          <w:lang w:val="en_US" w:bidi="en_US"/>
        </w:rPr>
      </w:r>
      <w:r>
        <w:rPr>
          <w:lang w:val="en_US" w:bidi="en_US"/>
        </w:rPr>
        <w:t>Some people call verses 6:20–23 “The Beatitudes.” “Beatitudes” means “Blessings.” Some Beatitudes are also in Matthew 5:3–12.</w:t>
      </w:r>
    </w:p>
    <w:p>
      <w:pPr/>
      <w:r>
        <w:rPr>
          <w:lang w:val="en_US" w:bidi="en_US"/>
        </w:rPr>
      </w:r>
      <w:r>
        <w:rPr>
          <w:lang w:val="en_US" w:bidi="en_US"/>
        </w:rPr>
        <w:t>Jesus spoke in general terms about God’s kingdom and God’s values. When he addressed the people as “you</w:t>
      </w:r>
      <w:r>
        <w:rPr>
          <w:vertAlign w:val="superscript"/>
          <w:lang w:val="en_US" w:bidi="en_US"/>
        </w:rPr>
        <w:t>(plur)</w:t>
      </w:r>
      <w:r>
        <w:rPr>
          <w:lang w:val="en_US" w:bidi="en_US"/>
        </w:rPr>
        <w:t>,” he was making general statements. He did not mean that everyone in the crowd was poor, hungry, or weeping. Nor did he mean that every person who is poor will enjoy the blessings of God’s kingdom.</w:t>
      </w:r>
    </w:p>
    <w:p>
      <w:pPr/>
      <w:r>
        <w:rPr>
          <w:lang w:val="en_US" w:bidi="en_US"/>
        </w:rPr>
      </w:r>
      <w:r>
        <w:rPr>
          <w:lang w:val="en_US" w:bidi="en_US"/>
        </w:rPr>
        <w:t>Use the form that is natural in your language for general statements that are true. Your language may prefer to use a different pronoun. For example:</w:t>
      </w:r>
    </w:p>
    <w:p>
      <w:pPr/>
      <w:r>
        <w:rPr>
          <w:lang w:val="en_US" w:bidi="en_US"/>
        </w:rPr>
      </w:r>
      <w:r>
        <w:rPr>
          <w:lang w:val="en_US" w:bidi="en_US"/>
        </w:rPr>
        <w:t>You</w:t>
      </w:r>
      <w:r>
        <w:rPr>
          <w:vertAlign w:val="superscript"/>
          <w:lang w:val="en_US" w:bidi="en_US"/>
        </w:rPr>
        <w:t>(sing)</w:t>
      </w:r>
      <w:r>
        <w:rPr>
          <w:lang w:val="en_US" w:bidi="en_US"/>
        </w:rPr>
        <w:t xml:space="preserve"> are blessed</w:t>
      </w:r>
    </w:p>
    <w:p>
      <w:pPr/>
      <w:r>
        <w:rPr>
          <w:lang w:val="en_US" w:bidi="en_US"/>
        </w:rPr>
      </w:r>
      <w:r>
        <w:rPr>
          <w:lang w:val="en_US" w:bidi="en_US"/>
        </w:rPr>
        <w:t>They/People are blessed</w:t>
      </w:r>
    </w:p>
    <w:p>
      <w:pPr/>
      <w:r>
        <w:rPr>
          <w:lang w:val="en_US" w:bidi="en_US"/>
        </w:rPr>
      </w:r>
      <w:r>
        <w:rPr>
          <w:lang w:val="en_US" w:bidi="en_US"/>
        </w:rPr>
        <w:t>He is blessed</w:t>
      </w:r>
    </w:p>
    <w:p>
      <w:pPr/>
      <w:r>
        <w:rPr>
          <w:lang w:val="en_US" w:bidi="en_US"/>
        </w:rPr>
      </w:r>
      <w:r>
        <w:rPr>
          <w:lang w:val="en_US" w:bidi="en_US"/>
        </w:rPr>
        <w:t>Blessed are those (GW)</w:t>
      </w:r>
    </w:p>
    <w:p>
      <w:pPr>
        <w:pStyle w:val="Heading5"/>
      </w:pPr>
      <w:r>
        <w:rPr>
          <w:lang w:val="en_US" w:bidi="en_US"/>
        </w:rPr>
        <w:t>6:22</w:t>
      </w:r>
    </w:p>
    <w:p>
      <w:pPr/>
      <w:r>
        <w:rPr>
          <w:lang w:val="en_US" w:bidi="en_US"/>
        </w:rPr>
      </w:r>
      <w:r>
        <w:rPr>
          <w:lang w:val="en_US" w:bidi="en_US"/>
        </w:rPr>
        <w:t>In the fourth statement that begins with “Blessed are you,” Jesus describes the opposition that those who are a part of God’s kingdom will experience. They will experience these things because they are Jesus’ disciples.</w:t>
      </w:r>
    </w:p>
    <w:p>
      <w:pPr>
        <w:pStyle w:val="Heading5"/>
      </w:pPr>
      <w:r>
        <w:rPr>
          <w:lang w:val="en_US" w:bidi="en_US"/>
        </w:rPr>
        <w:t>6:22a</w:t>
      </w:r>
    </w:p>
    <w:p>
      <w:pPr/>
      <w:r>
        <w:rPr>
          <w:lang w:val="en_US" w:bidi="en_US"/>
        </w:rPr>
      </w:r>
      <w:r>
        <w:rPr>
          <w:b/>
          <w:lang w:val="en_US" w:bidi="en_US"/>
        </w:rPr>
        <w:t>Blessed are you when people hate you,</w:t>
      </w:r>
    </w:p>
    <w:p>
      <w:pPr>
        <w:pStyle w:val="ListBullet"/>
        <w:spacing w:line="240" w:lineRule="auto"/>
        <w:ind w:left="720"/>
      </w:pPr>
      <w:r>
        <w:rPr>
          <w:lang w:val="en_US" w:bidi="en_US"/>
        </w:rPr>
      </w:r>
      <w:r>
        <w:rPr>
          <w:lang w:val="en_US" w:bidi="en_US"/>
        </w:rPr>
        <w:t>You are favored/fortunate when people hate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Joyful/Desirable is your</w:t>
      </w:r>
      <w:r>
        <w:rPr>
          <w:vertAlign w:val="superscript"/>
          <w:lang w:val="en_US" w:bidi="en_US"/>
        </w:rPr>
        <w:t>(plur)</w:t>
      </w:r>
      <w:r>
        <w:rPr>
          <w:lang w:val="en_US" w:bidi="en_US"/>
        </w:rPr>
        <w:t xml:space="preserve"> situation when people hate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How good it is for you</w:t>
      </w:r>
      <w:r>
        <w:rPr>
          <w:vertAlign w:val="superscript"/>
          <w:lang w:val="en_US" w:bidi="en_US"/>
        </w:rPr>
        <w:t>(plur)</w:t>
      </w:r>
      <w:r>
        <w:rPr>
          <w:lang w:val="en_US" w:bidi="en_US"/>
        </w:rPr>
        <w:t xml:space="preserve"> when others despise you</w:t>
      </w:r>
      <w:r>
        <w:rPr>
          <w:vertAlign w:val="superscript"/>
          <w:lang w:val="en_US" w:bidi="en_US"/>
        </w:rPr>
        <w:t>(plur)</w:t>
      </w:r>
      <w:r>
        <w:rPr>
          <w:lang w:val="en_US" w:bidi="en_US"/>
        </w:rPr>
        <w:t>,</w:t>
      </w:r>
    </w:p>
    <w:p>
      <w:pPr/>
      <w:r>
        <w:rPr>
          <w:lang w:val="en_US" w:bidi="en_US"/>
        </w:rPr>
      </w:r>
      <w:r>
        <w:rPr>
          <w:b/>
          <w:lang w:val="en_US" w:bidi="en_US"/>
        </w:rPr>
        <w:t>Blessed are you:</w:t>
      </w:r>
      <w:r>
        <w:rPr>
          <w:lang w:val="en_US" w:bidi="en_US"/>
        </w:rPr>
        <w:t xml:space="preserve"> Translate this phrase the same way you did in 6:20b.</w:t>
      </w:r>
    </w:p>
    <w:p>
      <w:pPr/>
      <w:r>
        <w:rPr>
          <w:lang w:val="en_US" w:bidi="en_US"/>
        </w:rPr>
      </w:r>
      <w:r>
        <w:rPr>
          <w:b/>
          <w:lang w:val="en_US" w:bidi="en_US"/>
        </w:rPr>
        <w:t>when people hate you:</w:t>
      </w:r>
      <w:r>
        <w:rPr>
          <w:lang w:val="en_US" w:bidi="en_US"/>
        </w:rPr>
        <w:t xml:space="preserve"> The phrase </w:t>
      </w:r>
      <w:r>
        <w:rPr>
          <w:i/>
          <w:lang w:val="en_US" w:bidi="en_US"/>
        </w:rPr>
        <w:t>when people hate you</w:t>
      </w:r>
      <w:r>
        <w:rPr>
          <w:lang w:val="en_US" w:bidi="en_US"/>
        </w:rPr>
        <w:t xml:space="preserve"> means “when people hate you as Jesus’ disciples.” Jesus was not implying that being hated (or excluded or insulted) is a blessing in itself. Being hated was a sign that they were faithful followers of God. They were supposed to recognize that they were blessed because of that. Some other ways to translate this are:</w:t>
      </w:r>
    </w:p>
    <w:p>
      <w:pPr/>
      <w:r>
        <w:rPr>
          <w:lang w:val="en_US" w:bidi="en_US"/>
        </w:rPr>
      </w:r>
      <w:r>
        <w:rPr>
          <w:lang w:val="en_US" w:bidi="en_US"/>
        </w:rPr>
        <w:t>when others hate you (CEV)</w:t>
      </w:r>
    </w:p>
    <w:p>
      <w:pPr/>
      <w:r>
        <w:rPr>
          <w:lang w:val="en_US" w:bidi="en_US"/>
        </w:rPr>
      </w:r>
      <w:r>
        <w:rPr>
          <w:lang w:val="en_US" w:bidi="en_US"/>
        </w:rPr>
        <w:t>when you are hated</w:t>
      </w:r>
    </w:p>
    <w:p>
      <w:pPr>
        <w:pStyle w:val="Heading5"/>
      </w:pPr>
      <w:r>
        <w:rPr>
          <w:lang w:val="en_US" w:bidi="en_US"/>
        </w:rPr>
        <w:t>6:22b</w:t>
      </w:r>
    </w:p>
    <w:p>
      <w:pPr/>
      <w:r>
        <w:rPr>
          <w:lang w:val="en_US" w:bidi="en_US"/>
        </w:rPr>
      </w:r>
      <w:r>
        <w:rPr>
          <w:b/>
          <w:lang w:val="en_US" w:bidi="en_US"/>
        </w:rPr>
        <w:t>and when they exclude you and insult you</w:t>
      </w:r>
    </w:p>
    <w:p>
      <w:pPr>
        <w:pStyle w:val="ListBullet"/>
        <w:spacing w:line="240" w:lineRule="auto"/>
        <w:ind w:left="720"/>
      </w:pPr>
      <w:r>
        <w:rPr>
          <w:lang w:val="en_US" w:bidi="en_US"/>
        </w:rPr>
      </w:r>
      <w:r>
        <w:rPr>
          <w:lang w:val="en_US" w:bidi="en_US"/>
        </w:rPr>
        <w:t>when they refuse to accept you</w:t>
      </w:r>
      <w:r>
        <w:rPr>
          <w:vertAlign w:val="superscript"/>
          <w:lang w:val="en_US" w:bidi="en_US"/>
        </w:rPr>
        <w:t>(plur)</w:t>
      </w:r>
      <w:r>
        <w:rPr>
          <w:lang w:val="en_US" w:bidi="en_US"/>
        </w:rPr>
        <w:t>, insult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when they cast/shut you</w:t>
      </w:r>
      <w:r>
        <w:rPr>
          <w:vertAlign w:val="superscript"/>
          <w:lang w:val="en_US" w:bidi="en_US"/>
        </w:rPr>
        <w:t>(plur)</w:t>
      </w:r>
      <w:r>
        <w:rPr>
          <w:lang w:val="en_US" w:bidi="en_US"/>
        </w:rPr>
        <w:t xml:space="preserve"> out of their group, when they insult you</w:t>
      </w:r>
      <w:r>
        <w:rPr>
          <w:vertAlign w:val="superscript"/>
          <w:lang w:val="en_US" w:bidi="en_US"/>
        </w:rPr>
        <w:t>(plur)</w:t>
      </w:r>
      <w:r>
        <w:rPr>
          <w:lang w:val="en_US" w:bidi="en_US"/>
        </w:rPr>
        <w:t>,</w:t>
      </w:r>
    </w:p>
    <w:p>
      <w:pPr/>
      <w:r>
        <w:rPr>
          <w:lang w:val="en_US" w:bidi="en_US"/>
        </w:rPr>
      </w:r>
      <w:r>
        <w:rPr>
          <w:b/>
          <w:lang w:val="en_US" w:bidi="en_US"/>
        </w:rPr>
        <w:t>and when they exclude you:</w:t>
      </w:r>
      <w:r>
        <w:rPr>
          <w:lang w:val="en_US" w:bidi="en_US"/>
        </w:rPr>
        <w:t xml:space="preserve"> The word </w:t>
      </w:r>
      <w:r>
        <w:rPr>
          <w:i/>
          <w:lang w:val="en_US" w:bidi="en_US"/>
        </w:rPr>
        <w:t>exclude</w:t>
      </w:r>
      <w:r>
        <w:rPr>
          <w:lang w:val="en_US" w:bidi="en_US"/>
        </w:rPr>
        <w:t xml:space="preserve"> means “refuse to accept someone as part of a social or religious group.” Some other ways to translate this are:</w:t>
      </w:r>
    </w:p>
    <w:p>
      <w:pPr/>
      <w:r>
        <w:rPr>
          <w:lang w:val="en_US" w:bidi="en_US"/>
        </w:rPr>
      </w:r>
      <w:r>
        <w:rPr>
          <w:lang w:val="en_US" w:bidi="en_US"/>
        </w:rPr>
        <w:t>won’t have anything to do with you (CEV)</w:t>
      </w:r>
    </w:p>
    <w:p>
      <w:pPr/>
      <w:r>
        <w:rPr>
          <w:lang w:val="en_US" w:bidi="en_US"/>
        </w:rPr>
      </w:r>
      <w:r>
        <w:rPr>
          <w:lang w:val="en_US" w:bidi="en_US"/>
        </w:rPr>
        <w:t>avoid you (GW)</w:t>
      </w:r>
    </w:p>
    <w:p>
      <w:pPr/>
      <w:r>
        <w:rPr>
          <w:lang w:val="en_US" w:bidi="en_US"/>
        </w:rPr>
      </w:r>
      <w:r>
        <w:rPr>
          <w:lang w:val="en_US" w:bidi="en_US"/>
        </w:rPr>
        <w:t>when they separate you from their group</w:t>
      </w:r>
    </w:p>
    <w:p>
      <w:pPr/>
      <w:r>
        <w:rPr>
          <w:lang w:val="en_US" w:bidi="en_US"/>
        </w:rPr>
      </w:r>
      <w:r>
        <w:rPr>
          <w:b/>
          <w:lang w:val="en_US" w:bidi="en_US"/>
        </w:rPr>
        <w:t>and insult you:</w:t>
      </w:r>
      <w:r>
        <w:rPr>
          <w:lang w:val="en_US" w:bidi="en_US"/>
        </w:rPr>
        <w:t xml:space="preserve"> The Greek word that the BSB translates as </w:t>
      </w:r>
      <w:r>
        <w:rPr>
          <w:i/>
          <w:lang w:val="en_US" w:bidi="en_US"/>
        </w:rPr>
        <w:t>insult</w:t>
      </w:r>
      <w:r>
        <w:rPr>
          <w:lang w:val="en_US" w:bidi="en_US"/>
        </w:rPr>
        <w:t xml:space="preserve"> also means “to reproach.” This word implies that the person being insulted is wrong and should be blamed.</w:t>
      </w:r>
    </w:p>
    <w:p>
      <w:pPr>
        <w:pStyle w:val="Heading5"/>
      </w:pPr>
      <w:r>
        <w:rPr>
          <w:lang w:val="en_US" w:bidi="en_US"/>
        </w:rPr>
        <w:t>6:22c</w:t>
      </w:r>
    </w:p>
    <w:p>
      <w:pPr/>
      <w:r>
        <w:rPr>
          <w:lang w:val="en_US" w:bidi="en_US"/>
        </w:rPr>
      </w:r>
      <w:r>
        <w:rPr>
          <w:b/>
          <w:lang w:val="en_US" w:bidi="en_US"/>
        </w:rPr>
        <w:t>and reject your name as evil</w:t>
      </w:r>
    </w:p>
    <w:p>
      <w:pPr>
        <w:pStyle w:val="ListBullet"/>
        <w:spacing w:line="240" w:lineRule="auto"/>
        <w:ind w:left="720"/>
      </w:pPr>
      <w:r>
        <w:rPr>
          <w:lang w:val="en_US" w:bidi="en_US"/>
        </w:rPr>
      </w:r>
      <w:r>
        <w:rPr>
          <w:lang w:val="en_US" w:bidi="en_US"/>
        </w:rPr>
        <w:t>and slander/defame your</w:t>
      </w:r>
      <w:r>
        <w:rPr>
          <w:vertAlign w:val="superscript"/>
          <w:lang w:val="en_US" w:bidi="en_US"/>
        </w:rPr>
        <w:t>(plur)</w:t>
      </w:r>
      <w:r>
        <w:rPr>
          <w:lang w:val="en_US" w:bidi="en_US"/>
        </w:rPr>
        <w:t xml:space="preserve"> name/reputation,</w:t>
      </w:r>
    </w:p>
    <w:p>
      <w:pPr>
        <w:pStyle w:val="ListBullet"/>
        <w:spacing w:line="240" w:lineRule="auto"/>
        <w:ind w:left="720"/>
      </w:pPr>
      <w:r>
        <w:rPr>
          <w:lang w:val="en_US" w:bidi="en_US"/>
        </w:rPr>
      </w:r>
      <w:r>
        <w:rPr>
          <w:lang w:val="en_US" w:bidi="en_US"/>
        </w:rPr>
        <w:t>and say cruel things about you, (CEV)</w:t>
      </w:r>
    </w:p>
    <w:p>
      <w:pPr/>
      <w:r>
        <w:rPr>
          <w:lang w:val="en_US" w:bidi="en_US"/>
        </w:rPr>
      </w:r>
      <w:r>
        <w:rPr>
          <w:b/>
          <w:lang w:val="en_US" w:bidi="en_US"/>
        </w:rPr>
        <w:t>and reject your name as evil:</w:t>
      </w:r>
      <w:r>
        <w:rPr>
          <w:lang w:val="en_US" w:bidi="en_US"/>
        </w:rPr>
        <w:t xml:space="preserve"> The Greek phrase that the BSB translates as </w:t>
      </w:r>
      <w:r>
        <w:rPr>
          <w:i/>
          <w:lang w:val="en_US" w:bidi="en_US"/>
        </w:rPr>
        <w:t>reject your name as evil</w:t>
      </w:r>
      <w:r>
        <w:rPr>
          <w:lang w:val="en_US" w:bidi="en_US"/>
        </w:rPr>
        <w:t xml:space="preserve"> is literally “cast out your</w:t>
      </w:r>
      <w:r>
        <w:rPr>
          <w:vertAlign w:val="superscript"/>
          <w:lang w:val="en_US" w:bidi="en_US"/>
        </w:rPr>
        <w:t>(plur)</w:t>
      </w:r>
      <w:r>
        <w:rPr>
          <w:lang w:val="en_US" w:bidi="en_US"/>
        </w:rPr>
        <w:t xml:space="preserve"> name as evil.”</w:t>
      </w:r>
      <w:r>
        <w:rPr>
          <w:lang w:val="en_US" w:bidi="en_US"/>
        </w:rPr>
        <w:t>The views in the commentaries about what exactly this phrase means are quite varied. Some favor that “your name” refers to the collective name of “Christians” or “Nazarenes.” Others that it refers to the personal names of the believers. Some see this as referring to excommunication from the synagogue. Others see it as more general. The UBS Translator’s Handbook suggests it may mean that people avoid speaking “your name” because it is evil. We have opted to follow the majority of versions and give it a more general meaning. This also lines up with the parallel in Matthew (“speak all kinds of evil against you”) and the opposite statement found in the corresponding woe (“woe to you when all men speak well of you”).</w:t>
      </w:r>
      <w:r>
        <w:rPr>
          <w:lang w:val="en_US" w:bidi="en_US"/>
        </w:rPr>
        <w:t xml:space="preserve"> It means “to speak against someone in a way that harms him or his reputation.”</w:t>
      </w:r>
    </w:p>
    <w:p>
      <w:pPr/>
      <w:r>
        <w:rPr>
          <w:lang w:val="en_US" w:bidi="en_US"/>
        </w:rPr>
      </w:r>
      <w:r>
        <w:rPr>
          <w:lang w:val="en_US" w:bidi="en_US"/>
        </w:rPr>
        <w:t>Some other ways to translate this are:</w:t>
      </w:r>
    </w:p>
    <w:p>
      <w:pPr/>
      <w:r>
        <w:rPr>
          <w:lang w:val="en_US" w:bidi="en_US"/>
        </w:rPr>
      </w:r>
      <w:r>
        <w:rPr>
          <w:lang w:val="en_US" w:bidi="en_US"/>
        </w:rPr>
        <w:t>slander your very name (REB)</w:t>
      </w:r>
    </w:p>
    <w:p>
      <w:pPr/>
      <w:r>
        <w:rPr>
          <w:lang w:val="en_US" w:bidi="en_US"/>
        </w:rPr>
      </w:r>
      <w:r>
        <w:rPr>
          <w:lang w:val="en_US" w:bidi="en_US"/>
        </w:rPr>
        <w:t>defame you (NRSV)</w:t>
      </w:r>
    </w:p>
    <w:p>
      <w:pPr/>
      <w:r>
        <w:rPr>
          <w:lang w:val="en_US" w:bidi="en_US"/>
        </w:rPr>
      </w:r>
      <w:r>
        <w:rPr>
          <w:lang w:val="en_US" w:bidi="en_US"/>
        </w:rPr>
        <w:t>say cruel things about you (CEV)</w:t>
      </w:r>
    </w:p>
    <w:p>
      <w:pPr/>
      <w:r>
        <w:rPr>
          <w:lang w:val="en_US" w:bidi="en_US"/>
        </w:rPr>
      </w:r>
      <w:r>
        <w:rPr>
          <w:lang w:val="en_US" w:bidi="en_US"/>
        </w:rPr>
        <w:t>spoil your name/reputation</w:t>
      </w:r>
    </w:p>
    <w:p>
      <w:pPr/>
      <w:r>
        <w:rPr>
          <w:lang w:val="en_US" w:bidi="en_US"/>
        </w:rPr>
      </w:r>
      <w:r>
        <w:rPr>
          <w:b/>
          <w:lang w:val="en_US" w:bidi="en_US"/>
        </w:rPr>
        <w:t>your name:</w:t>
      </w:r>
      <w:r>
        <w:rPr>
          <w:lang w:val="en_US" w:bidi="en_US"/>
        </w:rPr>
        <w:t xml:space="preserve"> For the Jews, a person’s name symbolized that person himself and his reputation. So the phrase </w:t>
      </w:r>
      <w:r>
        <w:rPr>
          <w:i/>
          <w:lang w:val="en_US" w:bidi="en_US"/>
        </w:rPr>
        <w:t>your name</w:t>
      </w:r>
      <w:r>
        <w:rPr>
          <w:lang w:val="en_US" w:bidi="en_US"/>
        </w:rPr>
        <w:t xml:space="preserve"> is a figure of speech. It is another way to refer to a person himself. Another way to translate it here is:</w:t>
      </w:r>
    </w:p>
    <w:p>
      <w:pPr/>
      <w:r>
        <w:rPr>
          <w:lang w:val="en_US" w:bidi="en_US"/>
        </w:rPr>
      </w:r>
      <w:r>
        <w:rPr>
          <w:lang w:val="en_US" w:bidi="en_US"/>
        </w:rPr>
        <w:t>you</w:t>
      </w:r>
    </w:p>
    <w:p>
      <w:pPr>
        <w:pStyle w:val="Heading5"/>
      </w:pPr>
      <w:r>
        <w:rPr>
          <w:lang w:val="en_US" w:bidi="en_US"/>
        </w:rPr>
        <w:t>6:22d</w:t>
      </w:r>
    </w:p>
    <w:p>
      <w:pPr/>
      <w:r>
        <w:rPr>
          <w:lang w:val="en_US" w:bidi="en_US"/>
        </w:rPr>
      </w:r>
      <w:r>
        <w:rPr>
          <w:b/>
          <w:lang w:val="en_US" w:bidi="en_US"/>
        </w:rPr>
        <w:t>because of the Son of Man.</w:t>
      </w:r>
    </w:p>
    <w:p>
      <w:pPr>
        <w:pStyle w:val="ListBullet"/>
        <w:spacing w:line="240" w:lineRule="auto"/>
        <w:ind w:left="720"/>
      </w:pPr>
      <w:r>
        <w:rPr>
          <w:lang w:val="en_US" w:bidi="en_US"/>
        </w:rPr>
      </w:r>
      <w:r>
        <w:rPr>
          <w:lang w:val="en_US" w:bidi="en_US"/>
        </w:rPr>
        <w:t xml:space="preserve">because </w:t>
      </w:r>
      <w:r>
        <w:rPr>
          <w:lang w:val="en_US" w:bidi="en_US"/>
        </w:rPr>
        <w:t>you</w:t>
      </w:r>
      <w:r>
        <w:rPr>
          <w:vertAlign w:val="superscript"/>
          <w:lang w:val="en_US" w:bidi="en_US"/>
        </w:rPr>
        <w:t>(plur)</w:t>
      </w:r>
      <w:r>
        <w:rPr>
          <w:lang w:val="en_US" w:bidi="en_US"/>
        </w:rPr>
        <w:t xml:space="preserve"> </w:t>
      </w:r>
      <w:r>
        <w:rPr>
          <w:lang w:val="en_US" w:bidi="en_US"/>
        </w:rPr>
        <w:t>are identified/connected with</w:t>
      </w:r>
      <w:r>
        <w:rPr>
          <w:lang w:val="en_US" w:bidi="en_US"/>
        </w:rPr>
        <w:t xml:space="preserve"> the Son of Man.</w:t>
      </w:r>
    </w:p>
    <w:p>
      <w:pPr>
        <w:pStyle w:val="ListBullet"/>
        <w:spacing w:line="240" w:lineRule="auto"/>
        <w:ind w:left="720"/>
      </w:pPr>
      <w:r>
        <w:rPr>
          <w:lang w:val="en_US" w:bidi="en_US"/>
        </w:rPr>
      </w:r>
      <w:r>
        <w:rPr>
          <w:lang w:val="en_US" w:bidi="en_US"/>
        </w:rPr>
        <w:t xml:space="preserve">all because </w:t>
      </w:r>
      <w:r>
        <w:rPr>
          <w:lang w:val="en_US" w:bidi="en_US"/>
        </w:rPr>
        <w:t>you</w:t>
      </w:r>
      <w:r>
        <w:rPr>
          <w:vertAlign w:val="superscript"/>
          <w:lang w:val="en_US" w:bidi="en_US"/>
        </w:rPr>
        <w:t>(plur)</w:t>
      </w:r>
      <w:r>
        <w:rPr>
          <w:lang w:val="en_US" w:bidi="en_US"/>
        </w:rPr>
        <w:t xml:space="preserve"> </w:t>
      </w:r>
      <w:r>
        <w:rPr>
          <w:lang w:val="en_US" w:bidi="en_US"/>
        </w:rPr>
        <w:t>trust in me,</w:t>
      </w:r>
      <w:r>
        <w:rPr>
          <w:lang w:val="en_US" w:bidi="en_US"/>
        </w:rPr>
        <w:t xml:space="preserve"> the Son of Man.</w:t>
      </w:r>
    </w:p>
    <w:p>
      <w:pPr/>
      <w:r>
        <w:rPr>
          <w:lang w:val="en_US" w:bidi="en_US"/>
        </w:rPr>
      </w:r>
      <w:r>
        <w:rPr>
          <w:b/>
          <w:lang w:val="en_US" w:bidi="en_US"/>
        </w:rPr>
        <w:t>because of the Son of Man:</w:t>
      </w:r>
      <w:r>
        <w:rPr>
          <w:lang w:val="en_US" w:bidi="en_US"/>
        </w:rPr>
        <w:t xml:space="preserve"> The phrase </w:t>
      </w:r>
      <w:r>
        <w:rPr>
          <w:i/>
          <w:lang w:val="en_US" w:bidi="en_US"/>
        </w:rPr>
        <w:t>because of the Son of Man</w:t>
      </w:r>
      <w:r>
        <w:rPr>
          <w:lang w:val="en_US" w:bidi="en_US"/>
        </w:rPr>
        <w:t xml:space="preserve"> means “because you are disciples of the Son of Man.” Many people would act badly toward Jesus’ disciples because those disciples followed Jesus, the Son of Man. Some other ways to translate this are:</w:t>
      </w:r>
    </w:p>
    <w:p>
      <w:pPr/>
      <w:r>
        <w:rPr>
          <w:lang w:val="en_US" w:bidi="en_US"/>
        </w:rPr>
      </w:r>
      <w:r>
        <w:rPr>
          <w:lang w:val="en_US" w:bidi="en_US"/>
        </w:rPr>
        <w:t>because you follow the Son of Man (NCV)</w:t>
      </w:r>
    </w:p>
    <w:p>
      <w:pPr/>
      <w:r>
        <w:rPr>
          <w:lang w:val="en_US" w:bidi="en_US"/>
        </w:rPr>
      </w:r>
      <w:r>
        <w:rPr>
          <w:lang w:val="en_US" w:bidi="en_US"/>
        </w:rPr>
        <w:t>because you are committed to the Son of Man (GW)</w:t>
      </w:r>
    </w:p>
    <w:p>
      <w:pPr/>
      <w:r>
        <w:rPr>
          <w:lang w:val="en_US" w:bidi="en_US"/>
        </w:rPr>
      </w:r>
      <w:r>
        <w:rPr>
          <w:lang w:val="en_US" w:bidi="en_US"/>
        </w:rPr>
        <w:t>because you are loyal to the Son of Man (JBP)</w:t>
      </w:r>
    </w:p>
    <w:p>
      <w:pPr/>
      <w:r>
        <w:rPr>
          <w:lang w:val="en_US" w:bidi="en_US"/>
        </w:rPr>
      </w:r>
      <w:r>
        <w:rPr>
          <w:b/>
          <w:lang w:val="en_US" w:bidi="en_US"/>
        </w:rPr>
        <w:t>the Son of Man:</w:t>
      </w:r>
      <w:r>
        <w:rPr>
          <w:lang w:val="en_US" w:bidi="en_US"/>
        </w:rPr>
        <w:t xml:space="preserve"> Jesus used the title </w:t>
      </w:r>
      <w:r>
        <w:rPr>
          <w:i/>
          <w:lang w:val="en_US" w:bidi="en_US"/>
        </w:rPr>
        <w:t>the Son of Man</w:t>
      </w:r>
      <w:r>
        <w:rPr>
          <w:lang w:val="en_US" w:bidi="en_US"/>
        </w:rPr>
        <w:t xml:space="preserve"> to refer to himself. In some languages, it may be necessary to make it clear that Jesus was talking about himself. For example:</w:t>
      </w:r>
    </w:p>
    <w:p>
      <w:pPr/>
      <w:r>
        <w:rPr>
          <w:lang w:val="en_US" w:bidi="en_US"/>
        </w:rPr>
      </w:r>
      <w:r>
        <w:rPr>
          <w:lang w:val="en_US" w:bidi="en_US"/>
        </w:rPr>
        <w:t>me, the Son of Man (NLT96)</w:t>
      </w:r>
    </w:p>
    <w:p>
      <w:pPr/>
      <w:r>
        <w:rPr>
          <w:lang w:val="en_US" w:bidi="en_US"/>
        </w:rPr>
      </w:r>
      <w:r>
        <w:rPr>
          <w:lang w:val="en_US" w:bidi="en_US"/>
        </w:rPr>
        <w:t xml:space="preserve">The phrase </w:t>
      </w:r>
      <w:r>
        <w:rPr>
          <w:i/>
          <w:lang w:val="en_US" w:bidi="en_US"/>
        </w:rPr>
        <w:t>the Son of Man</w:t>
      </w:r>
      <w:r>
        <w:rPr>
          <w:lang w:val="en_US" w:bidi="en_US"/>
        </w:rPr>
        <w:t xml:space="preserve"> also occurs in Luke at 6:5.</w:t>
      </w:r>
    </w:p>
    <w:p>
      <w:pPr>
        <w:pStyle w:val="Heading6"/>
      </w:pPr>
      <w:r>
        <w:rPr>
          <w:b/>
          <w:lang w:val="en_US" w:bidi="en_US"/>
        </w:rPr>
        <w:t>General Comment on 6:22a–d</w:t>
      </w:r>
    </w:p>
    <w:p>
      <w:pPr/>
      <w:r>
        <w:rPr>
          <w:lang w:val="en_US" w:bidi="en_US"/>
        </w:rPr>
      </w:r>
      <w:r>
        <w:rPr>
          <w:lang w:val="en_US" w:bidi="en_US"/>
        </w:rPr>
        <w:t>The phrase, “because of the Son of Man,” goes with all of the four verbs in 6:22a–c. Jesus was saying that his disciples are blessed when:</w:t>
      </w:r>
    </w:p>
    <w:p>
      <w:pPr>
        <w:pStyle w:val="ListNumber"/>
        <w:numPr>
          <w:ilvl w:val="0"/>
          <w:numId w:val="139"/>
        </w:numPr>
        <w:spacing w:line="240" w:lineRule="auto"/>
        <w:ind w:left="720"/>
      </w:pPr>
      <w:r>
        <w:rPr>
          <w:lang w:val="en_US" w:bidi="en_US"/>
        </w:rPr>
      </w:r>
      <w:r>
        <w:rPr>
          <w:lang w:val="en_US" w:bidi="en_US"/>
        </w:rPr>
        <w:t xml:space="preserve">people </w:t>
      </w:r>
      <w:r>
        <w:rPr>
          <w:u w:val="single"/>
          <w:lang w:val="en_US" w:bidi="en_US"/>
        </w:rPr>
        <w:t>hate</w:t>
      </w:r>
      <w:r>
        <w:rPr>
          <w:lang w:val="en_US" w:bidi="en_US"/>
        </w:rPr>
        <w:t xml:space="preserve"> them because of the Son of Man,</w:t>
      </w:r>
    </w:p>
    <w:p>
      <w:pPr>
        <w:pStyle w:val="ListNumber"/>
        <w:spacing w:line="240" w:lineRule="auto"/>
        <w:ind w:left="720"/>
      </w:pPr>
      <w:r>
        <w:rPr>
          <w:lang w:val="en_US" w:bidi="en_US"/>
        </w:rPr>
      </w:r>
      <w:r>
        <w:rPr>
          <w:lang w:val="en_US" w:bidi="en_US"/>
        </w:rPr>
        <w:t xml:space="preserve">people </w:t>
      </w:r>
      <w:r>
        <w:rPr>
          <w:u w:val="single"/>
          <w:lang w:val="en_US" w:bidi="en_US"/>
        </w:rPr>
        <w:t>exclude</w:t>
      </w:r>
      <w:r>
        <w:rPr>
          <w:lang w:val="en_US" w:bidi="en_US"/>
        </w:rPr>
        <w:t xml:space="preserve"> them because of the Son of Man,</w:t>
      </w:r>
    </w:p>
    <w:p>
      <w:pPr>
        <w:pStyle w:val="ListNumber"/>
        <w:spacing w:line="240" w:lineRule="auto"/>
        <w:ind w:left="720"/>
      </w:pPr>
      <w:r>
        <w:rPr>
          <w:lang w:val="en_US" w:bidi="en_US"/>
        </w:rPr>
      </w:r>
      <w:r>
        <w:rPr>
          <w:lang w:val="en_US" w:bidi="en_US"/>
        </w:rPr>
        <w:t xml:space="preserve">people </w:t>
      </w:r>
      <w:r>
        <w:rPr>
          <w:u w:val="single"/>
          <w:lang w:val="en_US" w:bidi="en_US"/>
        </w:rPr>
        <w:t>insult</w:t>
      </w:r>
      <w:r>
        <w:rPr>
          <w:lang w:val="en_US" w:bidi="en_US"/>
        </w:rPr>
        <w:t xml:space="preserve"> them because of the Son of Man, and</w:t>
      </w:r>
    </w:p>
    <w:p>
      <w:pPr>
        <w:pStyle w:val="ListNumber"/>
        <w:spacing w:line="240" w:lineRule="auto"/>
        <w:ind w:left="720"/>
      </w:pPr>
      <w:r>
        <w:rPr>
          <w:lang w:val="en_US" w:bidi="en_US"/>
        </w:rPr>
      </w:r>
      <w:r>
        <w:rPr>
          <w:lang w:val="en_US" w:bidi="en_US"/>
        </w:rPr>
        <w:t xml:space="preserve">people </w:t>
      </w:r>
      <w:r>
        <w:rPr>
          <w:u w:val="single"/>
          <w:lang w:val="en_US" w:bidi="en_US"/>
        </w:rPr>
        <w:t>reject them as evil</w:t>
      </w:r>
      <w:r>
        <w:rPr>
          <w:lang w:val="en_US" w:bidi="en_US"/>
        </w:rPr>
        <w:t xml:space="preserve"> because of the Son of Man.</w:t>
      </w:r>
    </w:p>
    <w:p>
      <w:pPr/>
      <w:r>
        <w:rPr>
          <w:lang w:val="en_US" w:bidi="en_US"/>
        </w:rPr>
      </w:r>
      <w:r>
        <w:rPr>
          <w:lang w:val="en_US" w:bidi="en_US"/>
        </w:rPr>
        <w:t>To make this clear, you could move the phrase “because of the Son of Man” to the beginning of the list of the four verbs. For example:</w:t>
      </w:r>
    </w:p>
    <w:p>
      <w:pPr/>
      <w:r>
        <w:rPr>
          <w:lang w:val="en_US" w:bidi="en_US"/>
        </w:rPr>
      </w:r>
      <w:r>
        <w:rPr>
          <w:lang w:val="en_US" w:bidi="en_US"/>
        </w:rPr>
        <w:t>You have chosen to follow me,</w:t>
      </w:r>
      <w:r>
        <w:rPr>
          <w:lang w:val="en_US" w:bidi="en_US"/>
        </w:rPr>
        <w:t xml:space="preserve"> the Son of Man. Because of that, you are blessed when people hate you, when they exclude you…</w:t>
      </w:r>
    </w:p>
    <w:p>
      <w:pPr/>
      <w:r>
        <w:rPr>
          <w:lang w:val="en_US" w:bidi="en_US"/>
        </w:rPr>
      </w:r>
      <w:r>
        <w:rPr>
          <w:lang w:val="en_US" w:bidi="en_US"/>
        </w:rPr>
        <w:t>Or you could leave it at its present position and add a phrase to include all four verbs. For example:</w:t>
      </w:r>
    </w:p>
    <w:p>
      <w:pPr/>
      <w:r>
        <w:rPr>
          <w:lang w:val="en_US" w:bidi="en_US"/>
        </w:rPr>
      </w:r>
      <w:r>
        <w:rPr>
          <w:lang w:val="en_US" w:bidi="en_US"/>
        </w:rPr>
        <w:t>Blessed are you when men hate you…and reject your name as evil—</w:t>
      </w:r>
      <w:r>
        <w:rPr>
          <w:u w:val="single"/>
          <w:lang w:val="en_US" w:bidi="en_US"/>
        </w:rPr>
        <w:t>all of this</w:t>
      </w:r>
      <w:r>
        <w:rPr>
          <w:lang w:val="en_US" w:bidi="en_US"/>
        </w:rPr>
        <w:t xml:space="preserve"> because you follow me, the Son of Man.</w:t>
      </w:r>
      <w:r>
        <w:rPr>
          <w:lang w:val="en_US" w:bidi="en_US"/>
        </w:rPr>
      </w:r>
      <w:r>
        <w:rPr>
          <w:lang w:val="en_US" w:bidi="en_US"/>
        </w:rPr>
      </w:r>
    </w:p>
    <w:p>
      <w:pPr/>
      <w:r>
        <w:rPr>
          <w:lang w:val="en_US" w:bidi="en_US"/>
        </w:rPr>
      </w:r>
    </w:p>
    <w:p>
      <w:pPr>
        <w:pStyle w:val="Heading2"/>
      </w:pPr>
      <w:r>
        <w:rPr>
          <w:lang w:val="en_US" w:bidi="en_US"/>
        </w:rPr>
        <w:t>Luke 6:23</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6:20–23</w:t>
      </w:r>
    </w:p>
    <w:p>
      <w:pPr/>
      <w:r>
        <w:rPr>
          <w:lang w:val="en_US" w:bidi="en_US"/>
        </w:rPr>
      </w:r>
      <w:r>
        <w:rPr>
          <w:lang w:val="en_US" w:bidi="en_US"/>
        </w:rPr>
        <w:t>Some people call verses 6:20–23 “The Beatitudes.” “Beatitudes” means “Blessings.” Some Beatitudes are also in Matthew 5:3–12.</w:t>
      </w:r>
    </w:p>
    <w:p>
      <w:pPr/>
      <w:r>
        <w:rPr>
          <w:lang w:val="en_US" w:bidi="en_US"/>
        </w:rPr>
      </w:r>
      <w:r>
        <w:rPr>
          <w:lang w:val="en_US" w:bidi="en_US"/>
        </w:rPr>
        <w:t>Jesus spoke in general terms about God’s kingdom and God’s values. When he addressed the people as “you</w:t>
      </w:r>
      <w:r>
        <w:rPr>
          <w:vertAlign w:val="superscript"/>
          <w:lang w:val="en_US" w:bidi="en_US"/>
        </w:rPr>
        <w:t>(plur)</w:t>
      </w:r>
      <w:r>
        <w:rPr>
          <w:lang w:val="en_US" w:bidi="en_US"/>
        </w:rPr>
        <w:t>,” he was making general statements. He did not mean that everyone in the crowd was poor, hungry, or weeping. Nor did he mean that every person who is poor will enjoy the blessings of God’s kingdom.</w:t>
      </w:r>
    </w:p>
    <w:p>
      <w:pPr/>
      <w:r>
        <w:rPr>
          <w:lang w:val="en_US" w:bidi="en_US"/>
        </w:rPr>
      </w:r>
      <w:r>
        <w:rPr>
          <w:lang w:val="en_US" w:bidi="en_US"/>
        </w:rPr>
        <w:t>Use the form that is natural in your language for general statements that are true. Your language may prefer to use a different pronoun. For example:</w:t>
      </w:r>
    </w:p>
    <w:p>
      <w:pPr/>
      <w:r>
        <w:rPr>
          <w:lang w:val="en_US" w:bidi="en_US"/>
        </w:rPr>
      </w:r>
      <w:r>
        <w:rPr>
          <w:lang w:val="en_US" w:bidi="en_US"/>
        </w:rPr>
        <w:t>You</w:t>
      </w:r>
      <w:r>
        <w:rPr>
          <w:vertAlign w:val="superscript"/>
          <w:lang w:val="en_US" w:bidi="en_US"/>
        </w:rPr>
        <w:t>(sing)</w:t>
      </w:r>
      <w:r>
        <w:rPr>
          <w:lang w:val="en_US" w:bidi="en_US"/>
        </w:rPr>
        <w:t xml:space="preserve"> are blessed</w:t>
      </w:r>
    </w:p>
    <w:p>
      <w:pPr/>
      <w:r>
        <w:rPr>
          <w:lang w:val="en_US" w:bidi="en_US"/>
        </w:rPr>
      </w:r>
      <w:r>
        <w:rPr>
          <w:lang w:val="en_US" w:bidi="en_US"/>
        </w:rPr>
        <w:t>They/People are blessed</w:t>
      </w:r>
    </w:p>
    <w:p>
      <w:pPr/>
      <w:r>
        <w:rPr>
          <w:lang w:val="en_US" w:bidi="en_US"/>
        </w:rPr>
      </w:r>
      <w:r>
        <w:rPr>
          <w:lang w:val="en_US" w:bidi="en_US"/>
        </w:rPr>
        <w:t>He is blessed</w:t>
      </w:r>
    </w:p>
    <w:p>
      <w:pPr/>
      <w:r>
        <w:rPr>
          <w:lang w:val="en_US" w:bidi="en_US"/>
        </w:rPr>
      </w:r>
      <w:r>
        <w:rPr>
          <w:lang w:val="en_US" w:bidi="en_US"/>
        </w:rPr>
        <w:t>Blessed are those (GW)</w:t>
      </w:r>
    </w:p>
    <w:p>
      <w:pPr>
        <w:pStyle w:val="Heading5"/>
      </w:pPr>
      <w:r>
        <w:rPr>
          <w:lang w:val="en_US" w:bidi="en_US"/>
        </w:rPr>
        <w:t>6:23a</w:t>
      </w:r>
    </w:p>
    <w:p>
      <w:pPr/>
      <w:r>
        <w:rPr>
          <w:lang w:val="en_US" w:bidi="en_US"/>
        </w:rPr>
      </w:r>
      <w:r>
        <w:rPr>
          <w:b/>
          <w:lang w:val="en_US" w:bidi="en_US"/>
        </w:rPr>
        <w:t>Rejoice in that day and leap for joy,</w:t>
      </w:r>
    </w:p>
    <w:p>
      <w:pPr>
        <w:pStyle w:val="ListBullet"/>
        <w:spacing w:line="240" w:lineRule="auto"/>
        <w:ind w:left="720"/>
      </w:pPr>
      <w:r>
        <w:rPr>
          <w:lang w:val="en_US" w:bidi="en_US"/>
        </w:rPr>
      </w:r>
      <w:r>
        <w:rPr>
          <w:lang w:val="en_US" w:bidi="en_US"/>
        </w:rPr>
        <w:t>When that happens, be happy! Yes, leap for joy! (NLT)</w:t>
      </w:r>
    </w:p>
    <w:p>
      <w:pPr>
        <w:pStyle w:val="ListBullet"/>
        <w:spacing w:line="240" w:lineRule="auto"/>
        <w:ind w:left="720"/>
      </w:pPr>
      <w:r>
        <w:rPr>
          <w:lang w:val="en_US" w:bidi="en_US"/>
        </w:rPr>
      </w:r>
      <w:r>
        <w:rPr>
          <w:lang w:val="en_US" w:bidi="en_US"/>
        </w:rPr>
        <w:t>At that time, be happy/glad. Jump/dance with joy.</w:t>
      </w:r>
    </w:p>
    <w:p>
      <w:pPr>
        <w:pStyle w:val="ListBullet"/>
        <w:spacing w:line="240" w:lineRule="auto"/>
        <w:ind w:left="720"/>
      </w:pPr>
      <w:r>
        <w:rPr>
          <w:lang w:val="en_US" w:bidi="en_US"/>
        </w:rPr>
      </w:r>
      <w:r>
        <w:rPr>
          <w:lang w:val="en_US" w:bidi="en_US"/>
        </w:rPr>
        <w:t>Be full of joy at that time, (NCV)</w:t>
      </w:r>
    </w:p>
    <w:p>
      <w:pPr/>
      <w:r>
        <w:rPr>
          <w:lang w:val="en_US" w:bidi="en_US"/>
        </w:rPr>
      </w:r>
      <w:r>
        <w:rPr>
          <w:b/>
          <w:lang w:val="en_US" w:bidi="en_US"/>
        </w:rPr>
        <w:t>Rejoice:</w:t>
      </w:r>
      <w:r>
        <w:rPr>
          <w:lang w:val="en_US" w:bidi="en_US"/>
        </w:rPr>
        <w:t xml:space="preserve"> The Greek word that the BSB translates as </w:t>
      </w:r>
      <w:r>
        <w:rPr>
          <w:i/>
          <w:lang w:val="en_US" w:bidi="en_US"/>
        </w:rPr>
        <w:t>Rejoice</w:t>
      </w:r>
      <w:r>
        <w:rPr>
          <w:lang w:val="en_US" w:bidi="en_US"/>
        </w:rPr>
        <w:t xml:space="preserve"> also means “be happy.” Some other ways to translate this word are:</w:t>
      </w:r>
    </w:p>
    <w:p>
      <w:pPr/>
      <w:r>
        <w:rPr>
          <w:lang w:val="en_US" w:bidi="en_US"/>
        </w:rPr>
      </w:r>
      <w:r>
        <w:rPr>
          <w:lang w:val="en_US" w:bidi="en_US"/>
        </w:rPr>
        <w:t>be happy (CEV)</w:t>
      </w:r>
    </w:p>
    <w:p>
      <w:pPr/>
      <w:r>
        <w:rPr>
          <w:lang w:val="en_US" w:bidi="en_US"/>
        </w:rPr>
      </w:r>
      <w:r>
        <w:rPr>
          <w:lang w:val="en_US" w:bidi="en_US"/>
        </w:rPr>
        <w:t>Be glad (GNT)</w:t>
      </w:r>
    </w:p>
    <w:p>
      <w:pPr/>
      <w:r>
        <w:rPr>
          <w:lang w:val="en_US" w:bidi="en_US"/>
        </w:rPr>
      </w:r>
      <w:r>
        <w:rPr>
          <w:b/>
          <w:lang w:val="en_US" w:bidi="en_US"/>
        </w:rPr>
        <w:t>in that day:</w:t>
      </w:r>
      <w:r>
        <w:rPr>
          <w:lang w:val="en_US" w:bidi="en_US"/>
        </w:rPr>
        <w:t xml:space="preserve"> The phrase </w:t>
      </w:r>
      <w:r>
        <w:rPr>
          <w:i/>
          <w:lang w:val="en_US" w:bidi="en_US"/>
        </w:rPr>
        <w:t>in that day</w:t>
      </w:r>
      <w:r>
        <w:rPr>
          <w:lang w:val="en_US" w:bidi="en_US"/>
        </w:rPr>
        <w:t xml:space="preserve"> means “at that time.” Jesus’ followers should rejoice at the very moment when people do evil things to them. It refers back to the “now” of the previous statements about being “blessed.” Some other ways to translate this are:</w:t>
      </w:r>
    </w:p>
    <w:p>
      <w:pPr/>
      <w:r>
        <w:rPr>
          <w:lang w:val="en_US" w:bidi="en_US"/>
        </w:rPr>
      </w:r>
      <w:r>
        <w:rPr>
          <w:lang w:val="en_US" w:bidi="en_US"/>
        </w:rPr>
        <w:t>when that happens (GNT)</w:t>
      </w:r>
    </w:p>
    <w:p>
      <w:pPr/>
      <w:r>
        <w:rPr>
          <w:lang w:val="en_US" w:bidi="en_US"/>
        </w:rPr>
      </w:r>
      <w:r>
        <w:rPr>
          <w:lang w:val="en_US" w:bidi="en_US"/>
        </w:rPr>
        <w:t>at that time (NCV)</w:t>
      </w:r>
    </w:p>
    <w:p>
      <w:pPr/>
      <w:r>
        <w:rPr>
          <w:lang w:val="en_US" w:bidi="en_US"/>
        </w:rPr>
      </w:r>
      <w:r>
        <w:rPr>
          <w:lang w:val="en_US" w:bidi="en_US"/>
        </w:rPr>
        <w:t>then (GW)</w:t>
      </w:r>
    </w:p>
    <w:p>
      <w:pPr/>
      <w:r>
        <w:rPr>
          <w:lang w:val="en_US" w:bidi="en_US"/>
        </w:rPr>
      </w:r>
      <w:r>
        <w:rPr>
          <w:b/>
          <w:lang w:val="en_US" w:bidi="en_US"/>
        </w:rPr>
        <w:t>and leap for joy:</w:t>
      </w:r>
      <w:r>
        <w:rPr>
          <w:lang w:val="en_US" w:bidi="en_US"/>
        </w:rPr>
        <w:t xml:space="preserve"> The Greek word that the BSB translates as </w:t>
      </w:r>
      <w:r>
        <w:rPr>
          <w:i/>
          <w:lang w:val="en_US" w:bidi="en_US"/>
        </w:rPr>
        <w:t>leap for joy</w:t>
      </w:r>
      <w:r>
        <w:rPr>
          <w:lang w:val="en_US" w:bidi="en_US"/>
        </w:rPr>
        <w:t xml:space="preserve"> means “jump up and down because you are so happy.” For example:</w:t>
      </w:r>
    </w:p>
    <w:p>
      <w:pPr/>
      <w:r>
        <w:rPr>
          <w:lang w:val="en_US" w:bidi="en_US"/>
        </w:rPr>
      </w:r>
      <w:r>
        <w:rPr>
          <w:lang w:val="en_US" w:bidi="en_US"/>
        </w:rPr>
        <w:t>jump for joy (CEV)</w:t>
      </w:r>
    </w:p>
    <w:p>
      <w:pPr/>
      <w:r>
        <w:rPr>
          <w:lang w:val="en_US" w:bidi="en_US"/>
        </w:rPr>
      </w:r>
      <w:r>
        <w:rPr>
          <w:lang w:val="en_US" w:bidi="en_US"/>
        </w:rPr>
        <w:t>This phrase describes how a person acts when he or she is very happy. Jesus was saying that believers should celebrate when people hate and insult them.</w:t>
      </w:r>
    </w:p>
    <w:p>
      <w:pPr/>
      <w:r>
        <w:rPr>
          <w:lang w:val="en_US" w:bidi="en_US"/>
        </w:rPr>
      </w:r>
      <w:r>
        <w:rPr>
          <w:lang w:val="en_US" w:bidi="en_US"/>
        </w:rPr>
        <w:t>In some cultures, leaping/jumping is not a way that people show joy. If that it true in your culture, you may want describe the extreme happiness in another way. For example:</w:t>
      </w:r>
    </w:p>
    <w:p>
      <w:pPr/>
      <w:r>
        <w:rPr>
          <w:lang w:val="en_US" w:bidi="en_US"/>
        </w:rPr>
      </w:r>
      <w:r>
        <w:rPr>
          <w:lang w:val="en_US" w:bidi="en_US"/>
        </w:rPr>
        <w:t>and dance for joy (GNT)</w:t>
      </w:r>
    </w:p>
    <w:p>
      <w:pPr/>
      <w:r>
        <w:rPr>
          <w:lang w:val="en_US" w:bidi="en_US"/>
        </w:rPr>
      </w:r>
      <w:r>
        <w:rPr>
          <w:lang w:val="en_US" w:bidi="en_US"/>
        </w:rPr>
        <w:t>and be very happy (GW)</w:t>
      </w:r>
    </w:p>
    <w:p>
      <w:pPr>
        <w:pStyle w:val="Heading6"/>
      </w:pPr>
      <w:r>
        <w:rPr>
          <w:b/>
          <w:lang w:val="en_US" w:bidi="en_US"/>
        </w:rPr>
        <w:t>General Comment on 6:23a</w:t>
      </w:r>
    </w:p>
    <w:p>
      <w:pPr/>
      <w:r>
        <w:rPr>
          <w:lang w:val="en_US" w:bidi="en_US"/>
        </w:rPr>
      </w:r>
      <w:r>
        <w:rPr>
          <w:lang w:val="en_US" w:bidi="en_US"/>
        </w:rPr>
        <w:t>The two commands “Rejoice” and “leap for joy” are a doublet. These two commands have a similar meaning. By restating the command, Jesus added emphasis to it. In some languages, stating the same idea in two different ways may not be a natural way to add emphasis. If your language is like that, you may translate both commands as one emphatic command. For example:</w:t>
      </w:r>
    </w:p>
    <w:p>
      <w:pPr/>
      <w:r>
        <w:rPr>
          <w:lang w:val="en_US" w:bidi="en_US"/>
        </w:rPr>
      </w:r>
      <w:r>
        <w:rPr>
          <w:lang w:val="en_US" w:bidi="en_US"/>
        </w:rPr>
        <w:t xml:space="preserve">Be </w:t>
      </w:r>
      <w:r>
        <w:rPr>
          <w:u w:val="single"/>
          <w:lang w:val="en_US" w:bidi="en_US"/>
        </w:rPr>
        <w:t>very</w:t>
      </w:r>
      <w:r>
        <w:rPr>
          <w:lang w:val="en_US" w:bidi="en_US"/>
        </w:rPr>
        <w:t xml:space="preserve"> glad/happy in that day</w:t>
      </w:r>
    </w:p>
    <w:p>
      <w:pPr/>
      <w:r>
        <w:rPr>
          <w:lang w:val="en_US" w:bidi="en_US"/>
        </w:rPr>
      </w:r>
      <w:r>
        <w:rPr>
          <w:lang w:val="en_US" w:bidi="en_US"/>
        </w:rPr>
        <w:t xml:space="preserve">Be </w:t>
      </w:r>
      <w:r>
        <w:rPr>
          <w:u w:val="single"/>
          <w:lang w:val="en_US" w:bidi="en_US"/>
        </w:rPr>
        <w:t>full</w:t>
      </w:r>
      <w:r>
        <w:rPr>
          <w:lang w:val="en_US" w:bidi="en_US"/>
        </w:rPr>
        <w:t xml:space="preserve"> of joy at that time (NCV)</w:t>
      </w:r>
    </w:p>
    <w:p>
      <w:pPr>
        <w:pStyle w:val="Heading5"/>
      </w:pPr>
      <w:r>
        <w:rPr>
          <w:lang w:val="en_US" w:bidi="en_US"/>
        </w:rPr>
        <w:t>6:23b</w:t>
      </w:r>
    </w:p>
    <w:p>
      <w:pPr/>
      <w:r>
        <w:rPr>
          <w:lang w:val="en_US" w:bidi="en_US"/>
        </w:rPr>
      </w:r>
      <w:r>
        <w:rPr>
          <w:b/>
          <w:lang w:val="en_US" w:bidi="en_US"/>
        </w:rPr>
        <w:t>because great is your reward in heaven.</w:t>
      </w:r>
    </w:p>
    <w:p>
      <w:pPr>
        <w:pStyle w:val="ListBullet"/>
        <w:spacing w:line="240" w:lineRule="auto"/>
        <w:ind w:left="720"/>
      </w:pPr>
      <w:r>
        <w:rPr>
          <w:lang w:val="en_US" w:bidi="en_US"/>
        </w:rPr>
      </w:r>
      <w:r>
        <w:rPr>
          <w:lang w:val="en_US" w:bidi="en_US"/>
        </w:rPr>
        <w:t xml:space="preserve">For a great reward is </w:t>
      </w:r>
      <w:r>
        <w:rPr>
          <w:lang w:val="en_US" w:bidi="en_US"/>
        </w:rPr>
        <w:t>waiting</w:t>
      </w:r>
      <w:r>
        <w:rPr>
          <w:lang w:val="en_US" w:bidi="en_US"/>
        </w:rPr>
        <w:t xml:space="preserve"> for you</w:t>
      </w:r>
      <w:r>
        <w:rPr>
          <w:vertAlign w:val="superscript"/>
          <w:lang w:val="en_US" w:bidi="en_US"/>
        </w:rPr>
        <w:t>(plur)</w:t>
      </w:r>
      <w:r>
        <w:rPr>
          <w:lang w:val="en_US" w:bidi="en_US"/>
        </w:rPr>
        <w:t xml:space="preserve"> in heaven.</w:t>
      </w:r>
    </w:p>
    <w:p>
      <w:pPr>
        <w:pStyle w:val="ListBullet"/>
        <w:spacing w:line="240" w:lineRule="auto"/>
        <w:ind w:left="720"/>
      </w:pPr>
      <w:r>
        <w:rPr>
          <w:lang w:val="en_US" w:bidi="en_US"/>
        </w:rPr>
      </w:r>
      <w:r>
        <w:rPr>
          <w:lang w:val="en_US" w:bidi="en_US"/>
        </w:rPr>
        <w:t xml:space="preserve">because (listen!) </w:t>
      </w:r>
      <w:r>
        <w:rPr>
          <w:lang w:val="en_US" w:bidi="en_US"/>
        </w:rPr>
        <w:t>God will</w:t>
      </w:r>
      <w:r>
        <w:rPr>
          <w:lang w:val="en_US" w:bidi="en_US"/>
        </w:rPr>
        <w:t xml:space="preserve"> greatly honor you</w:t>
      </w:r>
      <w:r>
        <w:rPr>
          <w:vertAlign w:val="superscript"/>
          <w:lang w:val="en_US" w:bidi="en_US"/>
        </w:rPr>
        <w:t>(plur)</w:t>
      </w:r>
      <w:r>
        <w:rPr>
          <w:lang w:val="en_US" w:bidi="en_US"/>
        </w:rPr>
        <w:t xml:space="preserve"> in heaven.</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introduces the reason why the disciples should rejoice. They should rejoice </w:t>
      </w:r>
      <w:r>
        <w:rPr>
          <w:u w:val="single"/>
          <w:lang w:val="en_US" w:bidi="en_US"/>
        </w:rPr>
        <w:t>because</w:t>
      </w:r>
      <w:r>
        <w:rPr>
          <w:lang w:val="en_US" w:bidi="en_US"/>
        </w:rPr>
        <w:t xml:space="preserve"> their reward in heaven is great.</w:t>
      </w:r>
    </w:p>
    <w:p>
      <w:pPr/>
      <w:r>
        <w:rPr>
          <w:lang w:val="en_US" w:bidi="en_US"/>
        </w:rPr>
      </w:r>
      <w:r>
        <w:rPr>
          <w:lang w:val="en_US" w:bidi="en_US"/>
        </w:rPr>
        <w:t xml:space="preserve">In Greek, an exclamation word is added to the conjunction </w:t>
      </w:r>
      <w:r>
        <w:rPr>
          <w:i/>
          <w:lang w:val="en_US" w:bidi="en_US"/>
        </w:rPr>
        <w:t>because</w:t>
      </w:r>
      <w:r>
        <w:rPr>
          <w:lang w:val="en_US" w:bidi="en_US"/>
        </w:rPr>
        <w:t>. This word literally means “look” or “see,” and English versions sometimes translate it as “behold.” It draws attention to the reason why the disciples should rejoice. The BSB does not translate this word.</w:t>
      </w:r>
    </w:p>
    <w:p>
      <w:pPr/>
      <w:r>
        <w:rPr>
          <w:lang w:val="en_US" w:bidi="en_US"/>
        </w:rPr>
      </w:r>
      <w:r>
        <w:rPr>
          <w:lang w:val="en_US" w:bidi="en_US"/>
        </w:rPr>
        <w:t>Some ways to translate this conjunction and exclamation are:</w:t>
      </w:r>
    </w:p>
    <w:p>
      <w:pPr/>
      <w:r>
        <w:rPr>
          <w:lang w:val="en_US" w:bidi="en_US"/>
        </w:rPr>
      </w:r>
      <w:r>
        <w:rPr>
          <w:lang w:val="en_US" w:bidi="en_US"/>
        </w:rPr>
        <w:t>because, look/listen</w:t>
      </w:r>
    </w:p>
    <w:p>
      <w:pPr/>
      <w:r>
        <w:rPr>
          <w:lang w:val="en_US" w:bidi="en_US"/>
        </w:rPr>
      </w:r>
      <w:r>
        <w:rPr>
          <w:lang w:val="en_US" w:bidi="en_US"/>
        </w:rPr>
        <w:t>for—pay attention to this—</w:t>
      </w:r>
    </w:p>
    <w:p>
      <w:pPr/>
      <w:r>
        <w:rPr>
          <w:lang w:val="en_US" w:bidi="en_US"/>
        </w:rPr>
      </w:r>
      <w:r>
        <w:rPr>
          <w:b/>
          <w:lang w:val="en_US" w:bidi="en_US"/>
        </w:rPr>
        <w:t>great is your reward in heaven:</w:t>
      </w:r>
      <w:r>
        <w:rPr>
          <w:lang w:val="en_US" w:bidi="en_US"/>
        </w:rPr>
        <w:t xml:space="preserve"> The phrase </w:t>
      </w:r>
      <w:r>
        <w:rPr>
          <w:i/>
          <w:lang w:val="en_US" w:bidi="en_US"/>
        </w:rPr>
        <w:t>great is your reward in heaven</w:t>
      </w:r>
      <w:r>
        <w:rPr>
          <w:lang w:val="en_US" w:bidi="en_US"/>
        </w:rPr>
        <w:t xml:space="preserve"> means “you will receive a great reward in heaven.” Some other ways to translate this are:</w:t>
      </w:r>
    </w:p>
    <w:p>
      <w:pPr/>
      <w:r>
        <w:rPr>
          <w:lang w:val="en_US" w:bidi="en_US"/>
        </w:rPr>
      </w:r>
      <w:r>
        <w:rPr>
          <w:lang w:val="en_US" w:bidi="en_US"/>
        </w:rPr>
        <w:t>You have a great reward in heaven (GW)</w:t>
      </w:r>
    </w:p>
    <w:p>
      <w:pPr/>
      <w:r>
        <w:rPr>
          <w:lang w:val="en_US" w:bidi="en_US"/>
        </w:rPr>
      </w:r>
      <w:r>
        <w:rPr>
          <w:lang w:val="en_US" w:bidi="en_US"/>
        </w:rPr>
        <w:t>a great reward is kept for you in heaven (GNT)</w:t>
      </w:r>
    </w:p>
    <w:p>
      <w:pPr/>
      <w:r>
        <w:rPr>
          <w:lang w:val="en_US" w:bidi="en_US"/>
        </w:rPr>
      </w:r>
      <w:r>
        <w:rPr>
          <w:lang w:val="en_US" w:bidi="en_US"/>
        </w:rPr>
        <w:t>you have a great reward waiting for you in heaven (NCV)</w:t>
      </w:r>
    </w:p>
    <w:p>
      <w:pPr/>
      <w:r>
        <w:rPr>
          <w:lang w:val="en_US" w:bidi="en_US"/>
        </w:rPr>
      </w:r>
      <w:r>
        <w:rPr>
          <w:lang w:val="en_US" w:bidi="en_US"/>
        </w:rPr>
        <w:t xml:space="preserve">This phrase states the reason why the disciples should obey the command to rejoice. They should rejoice because God promises to give them a great reward in heaven. Jesus was saying that God will honor their faithfulness to him when they suffer because they are his disciples. In some languages, it may be natural to say explicitly that </w:t>
      </w:r>
      <w:r>
        <w:rPr>
          <w:u w:val="single"/>
          <w:lang w:val="en_US" w:bidi="en_US"/>
        </w:rPr>
        <w:t>God</w:t>
      </w:r>
      <w:r>
        <w:rPr>
          <w:lang w:val="en_US" w:bidi="en_US"/>
        </w:rPr>
        <w:t xml:space="preserve"> gives the reward. For example:</w:t>
      </w:r>
    </w:p>
    <w:p>
      <w:pPr/>
      <w:r>
        <w:rPr>
          <w:lang w:val="en_US" w:bidi="en_US"/>
        </w:rPr>
      </w:r>
      <w:r>
        <w:rPr>
          <w:lang w:val="en_US" w:bidi="en_US"/>
        </w:rPr>
        <w:t>God</w:t>
      </w:r>
      <w:r>
        <w:rPr>
          <w:lang w:val="en_US" w:bidi="en_US"/>
        </w:rPr>
        <w:t xml:space="preserve"> will reward you greatly in heaven.</w:t>
      </w:r>
    </w:p>
    <w:p>
      <w:pPr/>
      <w:r>
        <w:rPr>
          <w:lang w:val="en_US" w:bidi="en_US"/>
        </w:rPr>
      </w:r>
      <w:r>
        <w:rPr>
          <w:b/>
          <w:lang w:val="en_US" w:bidi="en_US"/>
        </w:rPr>
        <w:t>reward:</w:t>
      </w:r>
      <w:r>
        <w:rPr>
          <w:lang w:val="en_US" w:bidi="en_US"/>
        </w:rPr>
        <w:t xml:space="preserve"> A </w:t>
      </w:r>
      <w:r>
        <w:rPr>
          <w:i/>
          <w:lang w:val="en_US" w:bidi="en_US"/>
        </w:rPr>
        <w:t>reward</w:t>
      </w:r>
      <w:r>
        <w:rPr>
          <w:lang w:val="en_US" w:bidi="en_US"/>
        </w:rPr>
        <w:t xml:space="preserve"> is normally something good that people receive because of something that they have done. In this verse, the meaning of </w:t>
      </w:r>
      <w:r>
        <w:rPr>
          <w:i/>
          <w:lang w:val="en_US" w:bidi="en_US"/>
        </w:rPr>
        <w:t>reward</w:t>
      </w:r>
      <w:r>
        <w:rPr>
          <w:lang w:val="en_US" w:bidi="en_US"/>
        </w:rPr>
        <w:t xml:space="preserve"> focuses on being honored for following Jesus faithfully. Some other ways to translate the word </w:t>
      </w:r>
      <w:r>
        <w:rPr>
          <w:i/>
          <w:lang w:val="en_US" w:bidi="en_US"/>
        </w:rPr>
        <w:t>reward</w:t>
      </w:r>
      <w:r>
        <w:rPr>
          <w:lang w:val="en_US" w:bidi="en_US"/>
        </w:rPr>
        <w:t xml:space="preserve"> are:</w:t>
      </w:r>
    </w:p>
    <w:p>
      <w:pPr/>
      <w:r>
        <w:rPr>
          <w:lang w:val="en_US" w:bidi="en_US"/>
        </w:rPr>
      </w:r>
      <w:r>
        <w:rPr>
          <w:lang w:val="en_US" w:bidi="en_US"/>
        </w:rPr>
        <w:t xml:space="preserve">you will be </w:t>
      </w:r>
      <w:r>
        <w:rPr>
          <w:u w:val="single"/>
          <w:lang w:val="en_US" w:bidi="en_US"/>
        </w:rPr>
        <w:t>greatly honored</w:t>
      </w:r>
    </w:p>
    <w:p>
      <w:pPr/>
      <w:r>
        <w:rPr>
          <w:lang w:val="en_US" w:bidi="en_US"/>
        </w:rPr>
      </w:r>
      <w:r>
        <w:rPr>
          <w:lang w:val="en_US" w:bidi="en_US"/>
        </w:rPr>
        <w:t xml:space="preserve">you will receive </w:t>
      </w:r>
      <w:r>
        <w:rPr>
          <w:u w:val="single"/>
          <w:lang w:val="en_US" w:bidi="en_US"/>
        </w:rPr>
        <w:t>great honor</w:t>
      </w:r>
    </w:p>
    <w:p>
      <w:pPr/>
      <w:r>
        <w:rPr>
          <w:lang w:val="en_US" w:bidi="en_US"/>
        </w:rPr>
      </w:r>
      <w:r>
        <w:rPr>
          <w:b/>
          <w:lang w:val="en_US" w:bidi="en_US"/>
        </w:rPr>
        <w:t>heaven:</w:t>
      </w:r>
      <w:r>
        <w:rPr>
          <w:lang w:val="en_US" w:bidi="en_US"/>
        </w:rPr>
        <w:t xml:space="preserve"> Here the word </w:t>
      </w:r>
      <w:r>
        <w:rPr>
          <w:i/>
          <w:lang w:val="en_US" w:bidi="en_US"/>
        </w:rPr>
        <w:t>heaven</w:t>
      </w:r>
      <w:r>
        <w:rPr>
          <w:lang w:val="en_US" w:bidi="en_US"/>
        </w:rPr>
        <w:t xml:space="preserve"> refers to the place where God lives. See heaven, Meaning 2, in the Glossary.</w:t>
      </w:r>
    </w:p>
    <w:p>
      <w:pPr>
        <w:pStyle w:val="Heading5"/>
      </w:pPr>
      <w:r>
        <w:rPr>
          <w:lang w:val="en_US" w:bidi="en_US"/>
        </w:rPr>
        <w:t>6:23c</w:t>
      </w:r>
    </w:p>
    <w:p>
      <w:pPr/>
      <w:r>
        <w:rPr>
          <w:lang w:val="en_US" w:bidi="en_US"/>
        </w:rPr>
      </w:r>
      <w:r>
        <w:rPr>
          <w:b/>
          <w:lang w:val="en_US" w:bidi="en_US"/>
        </w:rPr>
        <w:t>For their fathers treated the prophets in the same way.</w:t>
      </w:r>
    </w:p>
    <w:p>
      <w:pPr>
        <w:pStyle w:val="ListBullet"/>
        <w:spacing w:line="240" w:lineRule="auto"/>
        <w:ind w:left="720"/>
      </w:pPr>
      <w:r>
        <w:rPr>
          <w:lang w:val="en_US" w:bidi="en_US"/>
        </w:rPr>
      </w:r>
      <w:r>
        <w:rPr>
          <w:lang w:val="en_US" w:bidi="en_US"/>
        </w:rPr>
        <w:t>For their ancestors did the same things to the prophets. (NET)</w:t>
      </w:r>
    </w:p>
    <w:p>
      <w:pPr>
        <w:pStyle w:val="ListBullet"/>
        <w:spacing w:line="240" w:lineRule="auto"/>
        <w:ind w:left="720"/>
      </w:pPr>
      <w:r>
        <w:rPr>
          <w:lang w:val="en_US" w:bidi="en_US"/>
        </w:rPr>
      </w:r>
      <w:r>
        <w:rPr>
          <w:lang w:val="en_US" w:bidi="en_US"/>
        </w:rPr>
        <w:t>You are blessed when people mistreat you</w:t>
      </w:r>
      <w:r>
        <w:rPr>
          <w:lang w:val="en_US" w:bidi="en_US"/>
        </w:rPr>
        <w:t xml:space="preserve"> because their ancestors treated/persecuted </w:t>
      </w:r>
      <w:r>
        <w:rPr>
          <w:lang w:val="en_US" w:bidi="en_US"/>
        </w:rPr>
        <w:t>God’s</w:t>
      </w:r>
      <w:r>
        <w:rPr>
          <w:lang w:val="en_US" w:bidi="en_US"/>
        </w:rPr>
        <w:t xml:space="preserve"> prophets in the same way.</w:t>
      </w:r>
    </w:p>
    <w:p>
      <w:pPr/>
      <w:r>
        <w:rPr>
          <w:lang w:val="en_US" w:bidi="en_US"/>
        </w:rPr>
      </w:r>
      <w:r>
        <w:rPr>
          <w:b/>
          <w:lang w:val="en_US" w:bidi="en_US"/>
        </w:rPr>
        <w:t>For their fathers treated the prophets in the same way:</w:t>
      </w:r>
      <w:r>
        <w:rPr>
          <w:lang w:val="en_US" w:bidi="en_US"/>
        </w:rPr>
        <w:t xml:space="preserve"> The Greek conjunction that the BSB translates as </w:t>
      </w:r>
      <w:r>
        <w:rPr>
          <w:i/>
          <w:lang w:val="en_US" w:bidi="en_US"/>
        </w:rPr>
        <w:t>For</w:t>
      </w:r>
      <w:r>
        <w:rPr>
          <w:lang w:val="en_US" w:bidi="en_US"/>
        </w:rPr>
        <w:t xml:space="preserve"> introduces the reason why the disciples are blessed (in 6:22a). They are blessed even when people hate them, because the ancestors of those people treated the prophets the same way. The fact that people mistreat them proves that they too are true followers of God, just like the prophets.</w:t>
      </w:r>
    </w:p>
    <w:p>
      <w:pPr/>
      <w:r>
        <w:rPr>
          <w:lang w:val="en_US" w:bidi="en_US"/>
        </w:rPr>
      </w:r>
      <w:r>
        <w:rPr>
          <w:lang w:val="en_US" w:bidi="en_US"/>
        </w:rPr>
        <w:t>In some languages, it may be necessary to make some of this information explicit. Or it may be necessary to repeat part of 6:22a. For example:</w:t>
      </w:r>
    </w:p>
    <w:p>
      <w:pPr/>
      <w:r>
        <w:rPr>
          <w:lang w:val="en_US" w:bidi="en_US"/>
        </w:rPr>
      </w:r>
      <w:r>
        <w:rPr>
          <w:lang w:val="en_US" w:bidi="en_US"/>
        </w:rPr>
        <w:t xml:space="preserve">For that is how their fathers treated the prophets </w:t>
      </w:r>
      <w:r>
        <w:rPr>
          <w:lang w:val="en_US" w:bidi="en_US"/>
        </w:rPr>
        <w:t>and it shows that you too are true followers</w:t>
      </w:r>
      <w:r>
        <w:rPr>
          <w:lang w:val="en_US" w:bidi="en_US"/>
        </w:rPr>
        <w:t>.</w:t>
      </w:r>
    </w:p>
    <w:p>
      <w:pPr/>
      <w:r>
        <w:rPr>
          <w:lang w:val="en_US" w:bidi="en_US"/>
        </w:rPr>
      </w:r>
      <w:r>
        <w:rPr>
          <w:lang w:val="en_US" w:bidi="en_US"/>
        </w:rPr>
        <w:t>Blessed are you when people mistreat you,</w:t>
      </w:r>
      <w:r>
        <w:rPr>
          <w:lang w:val="en_US" w:bidi="en_US"/>
        </w:rPr>
        <w:t xml:space="preserve"> because this is how their fathers treated the prophets.</w:t>
      </w:r>
    </w:p>
    <w:p>
      <w:pPr/>
      <w:r>
        <w:rPr>
          <w:lang w:val="en_US" w:bidi="en_US"/>
        </w:rPr>
      </w:r>
      <w:r>
        <w:rPr>
          <w:lang w:val="en_US" w:bidi="en_US"/>
        </w:rPr>
        <w:t>In some languages, it may be more natural to put 6:22c before 6:22a. See the General Comment on 6:23a–c below for an example.</w:t>
      </w:r>
    </w:p>
    <w:p>
      <w:pPr/>
      <w:r>
        <w:rPr>
          <w:lang w:val="en_US" w:bidi="en_US"/>
        </w:rPr>
      </w:r>
      <w:r>
        <w:rPr>
          <w:b/>
          <w:lang w:val="en_US" w:bidi="en_US"/>
        </w:rPr>
        <w:t>their fathers treated the prophets in the same way:</w:t>
      </w:r>
      <w:r>
        <w:rPr>
          <w:lang w:val="en_US" w:bidi="en_US"/>
        </w:rPr>
        <w:t xml:space="preserve"> The Greek phrase that the BSB translates as </w:t>
      </w:r>
      <w:r>
        <w:rPr>
          <w:i/>
          <w:lang w:val="en_US" w:bidi="en_US"/>
        </w:rPr>
        <w:t>in the same way</w:t>
      </w:r>
      <w:r>
        <w:rPr>
          <w:lang w:val="en_US" w:bidi="en_US"/>
        </w:rPr>
        <w:t xml:space="preserve"> is literally “according to the same.” Here it means that the prophets were treated in the same way as Jesus said that his disciples would be treated. Some other ways to translate this are:</w:t>
      </w:r>
    </w:p>
    <w:p>
      <w:pPr/>
      <w:r>
        <w:rPr>
          <w:lang w:val="en_US" w:bidi="en_US"/>
        </w:rPr>
      </w:r>
      <w:r>
        <w:rPr>
          <w:lang w:val="en_US" w:bidi="en_US"/>
        </w:rPr>
        <w:t>their ancestors did the same things to the prophets (NET)</w:t>
      </w:r>
    </w:p>
    <w:p>
      <w:pPr/>
      <w:r>
        <w:rPr>
          <w:lang w:val="en_US" w:bidi="en_US"/>
        </w:rPr>
      </w:r>
      <w:r>
        <w:rPr>
          <w:lang w:val="en_US" w:bidi="en_US"/>
        </w:rPr>
        <w:t>their ancestors treated the ancient prophets that same way (NLT)</w:t>
      </w:r>
    </w:p>
    <w:p>
      <w:pPr/>
      <w:r>
        <w:rPr>
          <w:lang w:val="en_US" w:bidi="en_US"/>
        </w:rPr>
      </w:r>
      <w:r>
        <w:rPr>
          <w:lang w:val="en_US" w:bidi="en_US"/>
        </w:rPr>
        <w:t>that is exactly how their fathers treated the prophets (JBP)</w:t>
      </w:r>
    </w:p>
    <w:p>
      <w:pPr/>
      <w:r>
        <w:rPr>
          <w:lang w:val="en_US" w:bidi="en_US"/>
        </w:rPr>
      </w:r>
      <w:r>
        <w:rPr>
          <w:b/>
          <w:lang w:val="en_US" w:bidi="en_US"/>
        </w:rPr>
        <w:t>their fathers:</w:t>
      </w:r>
      <w:r>
        <w:rPr>
          <w:lang w:val="en_US" w:bidi="en_US"/>
        </w:rPr>
        <w:t xml:space="preserve"> The phrase </w:t>
      </w:r>
      <w:r>
        <w:rPr>
          <w:i/>
          <w:lang w:val="en_US" w:bidi="en_US"/>
        </w:rPr>
        <w:t>their fathers</w:t>
      </w:r>
      <w:r>
        <w:rPr>
          <w:lang w:val="en_US" w:bidi="en_US"/>
        </w:rPr>
        <w:t xml:space="preserve"> is a figure of speech. It means “ancestors.” For example:</w:t>
      </w:r>
    </w:p>
    <w:p>
      <w:pPr/>
      <w:r>
        <w:rPr>
          <w:lang w:val="en_US" w:bidi="en_US"/>
        </w:rPr>
      </w:r>
      <w:r>
        <w:rPr>
          <w:lang w:val="en_US" w:bidi="en_US"/>
        </w:rPr>
        <w:t>their ancestors (GNT)</w:t>
      </w:r>
    </w:p>
    <w:p>
      <w:pPr/>
      <w:r>
        <w:rPr>
          <w:lang w:val="en_US" w:bidi="en_US"/>
        </w:rPr>
      </w:r>
      <w:r>
        <w:rPr>
          <w:lang w:val="en_US" w:bidi="en_US"/>
        </w:rPr>
        <w:t>These were the ancestors of the people who lived at the time when Jesus lived.</w:t>
      </w:r>
    </w:p>
    <w:p>
      <w:pPr/>
      <w:r>
        <w:rPr>
          <w:lang w:val="en_US" w:bidi="en_US"/>
        </w:rPr>
      </w:r>
      <w:r>
        <w:rPr>
          <w:b/>
          <w:lang w:val="en_US" w:bidi="en_US"/>
        </w:rPr>
        <w:t>prophets:</w:t>
      </w:r>
      <w:r>
        <w:rPr>
          <w:lang w:val="en_US" w:bidi="en_US"/>
        </w:rPr>
        <w:t xml:space="preserve"> The word </w:t>
      </w:r>
      <w:r>
        <w:rPr>
          <w:i/>
          <w:lang w:val="en_US" w:bidi="en_US"/>
        </w:rPr>
        <w:t>prophets</w:t>
      </w:r>
      <w:r>
        <w:rPr>
          <w:lang w:val="en_US" w:bidi="en_US"/>
        </w:rPr>
        <w:t xml:space="preserve"> describes people who spoke on behalf of God. They told people what God revealed to them. God gave some prophets power to work miracles. These miracles helped people realize that God sent the prophet. Some ways to translate </w:t>
      </w:r>
      <w:r>
        <w:rPr>
          <w:i/>
          <w:lang w:val="en_US" w:bidi="en_US"/>
        </w:rPr>
        <w:t>prophets</w:t>
      </w:r>
      <w:r>
        <w:rPr>
          <w:lang w:val="en_US" w:bidi="en_US"/>
        </w:rPr>
        <w:t xml:space="preserve"> are:</w:t>
      </w:r>
    </w:p>
    <w:p>
      <w:pPr/>
      <w:r>
        <w:rPr>
          <w:lang w:val="en_US" w:bidi="en_US"/>
        </w:rPr>
      </w:r>
      <w:r>
        <w:rPr>
          <w:lang w:val="en_US" w:bidi="en_US"/>
        </w:rPr>
        <w:t>spokesmen for God</w:t>
      </w:r>
    </w:p>
    <w:p>
      <w:pPr/>
      <w:r>
        <w:rPr>
          <w:lang w:val="en_US" w:bidi="en_US"/>
        </w:rPr>
      </w:r>
      <w:r>
        <w:rPr>
          <w:lang w:val="en_US" w:bidi="en_US"/>
        </w:rPr>
        <w:t>men who speak God’s words</w:t>
      </w:r>
    </w:p>
    <w:p>
      <w:pPr/>
      <w:r>
        <w:rPr>
          <w:lang w:val="en_US" w:bidi="en_US"/>
        </w:rPr>
      </w:r>
      <w:r>
        <w:rPr>
          <w:lang w:val="en_US" w:bidi="en_US"/>
        </w:rPr>
        <w:t>God’s message-speakers</w:t>
      </w:r>
    </w:p>
    <w:p>
      <w:pPr/>
      <w:r>
        <w:rPr>
          <w:lang w:val="en_US" w:bidi="en_US"/>
        </w:rPr>
      </w:r>
      <w:r>
        <w:rPr>
          <w:lang w:val="en_US" w:bidi="en_US"/>
        </w:rPr>
        <w:t>It is good to use a general term that does not focus only on foretelling the future. Although prophets did foretell the future, they also gave people other messages from God. They especially told them to stop sinning and to obey God.</w:t>
      </w:r>
    </w:p>
    <w:p>
      <w:pPr/>
      <w:r>
        <w:rPr>
          <w:lang w:val="en_US" w:bidi="en_US"/>
        </w:rPr>
      </w:r>
      <w:r>
        <w:rPr>
          <w:lang w:val="en_US" w:bidi="en_US"/>
        </w:rPr>
        <w:t xml:space="preserve">When you choose a term for </w:t>
      </w:r>
      <w:r>
        <w:rPr>
          <w:i/>
          <w:lang w:val="en_US" w:bidi="en_US"/>
        </w:rPr>
        <w:t>prophet</w:t>
      </w:r>
      <w:r>
        <w:rPr>
          <w:lang w:val="en_US" w:bidi="en_US"/>
        </w:rPr>
        <w:t>, consider how you will distinguish prophet from other words which are similar in meaning such as “angel,” “apostle,” and “preacher.”</w:t>
      </w:r>
    </w:p>
    <w:p>
      <w:pPr/>
      <w:r>
        <w:rPr>
          <w:lang w:val="en_US" w:bidi="en_US"/>
        </w:rPr>
      </w:r>
      <w:r>
        <w:rPr>
          <w:lang w:val="en_US" w:bidi="en_US"/>
        </w:rPr>
        <w:t>This word also occurs in 1:70.</w:t>
      </w:r>
    </w:p>
    <w:p>
      <w:pPr>
        <w:pStyle w:val="Heading6"/>
      </w:pPr>
      <w:r>
        <w:rPr>
          <w:b/>
          <w:lang w:val="en_US" w:bidi="en_US"/>
        </w:rPr>
        <w:t>General Comment on 6:23a–c</w:t>
      </w:r>
    </w:p>
    <w:p>
      <w:pPr/>
      <w:r>
        <w:rPr>
          <w:lang w:val="en_US" w:bidi="en_US"/>
        </w:rPr>
      </w:r>
      <w:r>
        <w:rPr>
          <w:lang w:val="en_US" w:bidi="en_US"/>
        </w:rPr>
        <w:t>In some languages, it will be more natural to reorder 6:23 so that 6:23c comes immediately after 6:22. For example:</w:t>
      </w:r>
    </w:p>
    <w:p>
      <w:pPr/>
      <w:r>
        <w:rPr>
          <w:lang w:val="en_US" w:bidi="en_US"/>
        </w:rPr>
      </w:r>
      <w:r>
        <w:rPr>
          <w:vertAlign w:val="superscript"/>
          <w:lang w:val="en_US" w:bidi="en_US"/>
        </w:rPr>
        <w:t>22a</w:t>
      </w:r>
      <w:r>
        <w:rPr>
          <w:lang w:val="en_US" w:bidi="en_US"/>
        </w:rPr>
        <w:t xml:space="preserve">Blessed are you when men hate you, </w:t>
      </w:r>
      <w:r>
        <w:rPr>
          <w:vertAlign w:val="superscript"/>
          <w:lang w:val="en_US" w:bidi="en_US"/>
        </w:rPr>
        <w:t>22b</w:t>
      </w:r>
      <w:r>
        <w:rPr>
          <w:lang w:val="en_US" w:bidi="en_US"/>
        </w:rPr>
        <w:t xml:space="preserve">when they exclude you and insult you </w:t>
      </w:r>
      <w:r>
        <w:rPr>
          <w:vertAlign w:val="superscript"/>
          <w:lang w:val="en_US" w:bidi="en_US"/>
        </w:rPr>
        <w:t>22c</w:t>
      </w:r>
      <w:r>
        <w:rPr>
          <w:lang w:val="en_US" w:bidi="en_US"/>
        </w:rPr>
        <w:t>and reject your name as evil…</w:t>
      </w:r>
      <w:r>
        <w:rPr>
          <w:vertAlign w:val="superscript"/>
          <w:lang w:val="en_US" w:bidi="en_US"/>
        </w:rPr>
        <w:t>23c</w:t>
      </w:r>
      <w:r>
        <w:rPr>
          <w:lang w:val="en_US" w:bidi="en_US"/>
        </w:rPr>
        <w:t xml:space="preserve">because that is how their fathers treated the prophets. </w:t>
      </w:r>
      <w:r>
        <w:rPr>
          <w:vertAlign w:val="superscript"/>
          <w:lang w:val="en_US" w:bidi="en_US"/>
        </w:rPr>
        <w:t>23a</w:t>
      </w:r>
      <w:r>
        <w:rPr>
          <w:lang w:val="en_US" w:bidi="en_US"/>
        </w:rPr>
        <w:t>So</w:t>
      </w:r>
      <w:r>
        <w:rPr>
          <w:lang w:val="en_US" w:bidi="en_US"/>
        </w:rPr>
        <w:t xml:space="preserve"> when this happens to you, rejoice and leap for joy, </w:t>
      </w:r>
      <w:r>
        <w:rPr>
          <w:vertAlign w:val="superscript"/>
          <w:lang w:val="en_US" w:bidi="en_US"/>
        </w:rPr>
        <w:t>23b</w:t>
      </w:r>
      <w:r>
        <w:rPr>
          <w:lang w:val="en_US" w:bidi="en_US"/>
        </w:rPr>
        <w:t>because your reward is great in heaven.</w:t>
      </w:r>
      <w:r>
        <w:rPr>
          <w:lang w:val="en_US" w:bidi="en_US"/>
        </w:rPr>
      </w:r>
      <w:r>
        <w:rPr>
          <w:lang w:val="en_US" w:bidi="en_US"/>
        </w:rPr>
      </w:r>
    </w:p>
    <w:p>
      <w:pPr/>
      <w:r>
        <w:rPr>
          <w:lang w:val="en_US" w:bidi="en_US"/>
        </w:rPr>
      </w:r>
    </w:p>
    <w:p>
      <w:pPr>
        <w:pStyle w:val="Heading2"/>
      </w:pPr>
      <w:r>
        <w:rPr>
          <w:lang w:val="en_US" w:bidi="en_US"/>
        </w:rPr>
        <w:t>Luke 6:24</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6:24–26</w:t>
      </w:r>
    </w:p>
    <w:p>
      <w:pPr/>
      <w:r>
        <w:rPr>
          <w:lang w:val="en_US" w:bidi="en_US"/>
        </w:rPr>
      </w:r>
      <w:r>
        <w:rPr>
          <w:lang w:val="en_US" w:bidi="en_US"/>
        </w:rPr>
        <w:t>This paragraph contains four “woes.” Each woe is a general statement against those who are satisfied with their life here and do not seek God. Each “woe” contrasts with an earlier “blessed.” For example, 6:20b says:</w:t>
      </w:r>
    </w:p>
    <w:p>
      <w:pPr/>
      <w:r>
        <w:rPr>
          <w:lang w:val="en_US" w:bidi="en_US"/>
        </w:rPr>
      </w:r>
      <w:r>
        <w:rPr>
          <w:lang w:val="en_US" w:bidi="en_US"/>
        </w:rPr>
        <w:t>Blessed are you who are poor</w:t>
      </w:r>
    </w:p>
    <w:p>
      <w:pPr/>
      <w:r>
        <w:rPr>
          <w:lang w:val="en_US" w:bidi="en_US"/>
        </w:rPr>
      </w:r>
      <w:r>
        <w:rPr>
          <w:lang w:val="en_US" w:bidi="en_US"/>
        </w:rPr>
        <w:t>and 6:24a says:</w:t>
      </w:r>
    </w:p>
    <w:p>
      <w:pPr/>
      <w:r>
        <w:rPr>
          <w:lang w:val="en_US" w:bidi="en_US"/>
        </w:rPr>
      </w:r>
      <w:r>
        <w:rPr>
          <w:lang w:val="en_US" w:bidi="en_US"/>
        </w:rPr>
        <w:t>But woe to you who are rich</w:t>
      </w:r>
    </w:p>
    <w:p>
      <w:pPr/>
      <w:r>
        <w:rPr>
          <w:lang w:val="en_US" w:bidi="en_US"/>
        </w:rPr>
      </w:r>
      <w:r>
        <w:rPr>
          <w:lang w:val="en_US" w:bidi="en_US"/>
        </w:rPr>
        <w:t>As in the statements about being blessed, Jesus addressed the people as “you</w:t>
      </w:r>
      <w:r>
        <w:rPr>
          <w:vertAlign w:val="superscript"/>
          <w:lang w:val="en_US" w:bidi="en_US"/>
        </w:rPr>
        <w:t>(plur)</w:t>
      </w:r>
      <w:r>
        <w:rPr>
          <w:lang w:val="en_US" w:bidi="en_US"/>
        </w:rPr>
        <w:t>.” He was making general statements. He did not mean that everyone was rich, well fed, or laughing. Use a form that is natural in your language for general statements that are true. For example:</w:t>
      </w:r>
    </w:p>
    <w:p>
      <w:pPr/>
      <w:r>
        <w:rPr>
          <w:lang w:val="en_US" w:bidi="en_US"/>
        </w:rPr>
      </w:r>
      <w:r>
        <w:rPr>
          <w:lang w:val="en_US" w:bidi="en_US"/>
        </w:rPr>
        <w:t>Woe to you</w:t>
      </w:r>
      <w:r>
        <w:rPr>
          <w:vertAlign w:val="superscript"/>
          <w:lang w:val="en_US" w:bidi="en_US"/>
        </w:rPr>
        <w:t>(sing)</w:t>
      </w:r>
      <w:r>
        <w:rPr>
          <w:lang w:val="en_US" w:bidi="en_US"/>
        </w:rPr>
        <w:t xml:space="preserve"> who</w:t>
      </w:r>
    </w:p>
    <w:p>
      <w:pPr/>
      <w:r>
        <w:rPr>
          <w:lang w:val="en_US" w:bidi="en_US"/>
        </w:rPr>
      </w:r>
      <w:r>
        <w:rPr>
          <w:lang w:val="en_US" w:bidi="en_US"/>
        </w:rPr>
        <w:t>Woe to him</w:t>
      </w:r>
    </w:p>
    <w:p>
      <w:pPr/>
      <w:r>
        <w:rPr>
          <w:lang w:val="en_US" w:bidi="en_US"/>
        </w:rPr>
      </w:r>
      <w:r>
        <w:rPr>
          <w:lang w:val="en_US" w:bidi="en_US"/>
        </w:rPr>
        <w:t>Woe to they/people who</w:t>
      </w:r>
    </w:p>
    <w:p>
      <w:pPr/>
      <w:r>
        <w:rPr>
          <w:lang w:val="en_US" w:bidi="en_US"/>
        </w:rPr>
      </w:r>
      <w:r>
        <w:rPr>
          <w:lang w:val="en_US" w:bidi="en_US"/>
        </w:rPr>
        <w:t>Woe to those who</w:t>
      </w:r>
    </w:p>
    <w:p>
      <w:pPr/>
      <w:r>
        <w:rPr>
          <w:lang w:val="en_US" w:bidi="en_US"/>
        </w:rPr>
      </w:r>
      <w:r>
        <w:rPr>
          <w:lang w:val="en_US" w:bidi="en_US"/>
        </w:rPr>
        <w:t>If possible, use the same pronoun as the one you used for the statement about being blessed.</w:t>
      </w:r>
    </w:p>
    <w:p>
      <w:pPr>
        <w:pStyle w:val="Heading5"/>
      </w:pPr>
      <w:r>
        <w:rPr>
          <w:lang w:val="en_US" w:bidi="en_US"/>
        </w:rPr>
        <w:t>6:24a–b</w:t>
      </w:r>
    </w:p>
    <w:p>
      <w:pPr/>
      <w:r>
        <w:rPr>
          <w:lang w:val="en_US" w:bidi="en_US"/>
        </w:rPr>
      </w:r>
      <w:r>
        <w:rPr>
          <w:lang w:val="en_US" w:bidi="en_US"/>
        </w:rPr>
        <w:t>Verse 6:24a–b contrasts with 6:20b–c. The contrast is as follows: Those who are poor are “blessed” because they are part of God’s kingdom. Those who are rich are in trouble because they are not part of God’s kingdom.</w:t>
      </w:r>
    </w:p>
    <w:p>
      <w:pPr/>
      <w:r>
        <w:rPr>
          <w:lang w:val="en_US" w:bidi="en_US"/>
        </w:rPr>
      </w:r>
      <w:r>
        <w:rPr>
          <w:lang w:val="en_US" w:bidi="en_US"/>
        </w:rPr>
        <w:t>Try to make this clear in your translation by using terms or expressions that correspond to the terms you used in 6:20.</w:t>
      </w:r>
    </w:p>
    <w:p>
      <w:pPr>
        <w:pStyle w:val="Heading5"/>
      </w:pPr>
      <w:r>
        <w:rPr>
          <w:lang w:val="en_US" w:bidi="en_US"/>
        </w:rPr>
        <w:t>6:24a</w:t>
      </w:r>
    </w:p>
    <w:p>
      <w:pPr/>
      <w:r>
        <w:rPr>
          <w:lang w:val="en_US" w:bidi="en_US"/>
        </w:rPr>
      </w:r>
      <w:r>
        <w:rPr>
          <w:b/>
          <w:lang w:val="en_US" w:bidi="en_US"/>
        </w:rPr>
        <w:t>But woe to you who are rich,</w:t>
      </w:r>
    </w:p>
    <w:p>
      <w:pPr>
        <w:pStyle w:val="ListBullet"/>
        <w:spacing w:line="240" w:lineRule="auto"/>
        <w:ind w:left="720"/>
      </w:pPr>
      <w:r>
        <w:rPr>
          <w:lang w:val="en_US" w:bidi="en_US"/>
        </w:rPr>
      </w:r>
      <w:r>
        <w:rPr>
          <w:lang w:val="en_US" w:bidi="en_US"/>
        </w:rPr>
        <w:t>¶ “But how bad/terrible it will be for you</w:t>
      </w:r>
      <w:r>
        <w:rPr>
          <w:vertAlign w:val="superscript"/>
          <w:lang w:val="en_US" w:bidi="en_US"/>
        </w:rPr>
        <w:t>(plur)</w:t>
      </w:r>
      <w:r>
        <w:rPr>
          <w:lang w:val="en_US" w:bidi="en_US"/>
        </w:rPr>
        <w:t xml:space="preserve"> who are rich,</w:t>
      </w:r>
    </w:p>
    <w:p>
      <w:pPr>
        <w:pStyle w:val="ListBullet"/>
        <w:spacing w:line="240" w:lineRule="auto"/>
        <w:ind w:left="720"/>
      </w:pPr>
      <w:r>
        <w:rPr>
          <w:lang w:val="en_US" w:bidi="en_US"/>
        </w:rPr>
      </w:r>
      <w:r>
        <w:rPr>
          <w:lang w:val="en_US" w:bidi="en_US"/>
        </w:rPr>
        <w:t>¶ “But you</w:t>
      </w:r>
      <w:r>
        <w:rPr>
          <w:vertAlign w:val="superscript"/>
          <w:lang w:val="en_US" w:bidi="en_US"/>
        </w:rPr>
        <w:t>(plur)</w:t>
      </w:r>
      <w:r>
        <w:rPr>
          <w:lang w:val="en_US" w:bidi="en_US"/>
        </w:rPr>
        <w:t xml:space="preserve"> wealthy people will have great distress/trouble,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marks the contrast between the four blessings in 6:20–23 and the four woes in 6:24–26.</w:t>
      </w:r>
    </w:p>
    <w:p>
      <w:pPr/>
      <w:r>
        <w:rPr>
          <w:lang w:val="en_US" w:bidi="en_US"/>
        </w:rPr>
      </w:r>
      <w:r>
        <w:rPr>
          <w:b/>
          <w:lang w:val="en_US" w:bidi="en_US"/>
        </w:rPr>
        <w:t>woe to you:</w:t>
      </w:r>
      <w:r>
        <w:rPr>
          <w:lang w:val="en_US" w:bidi="en_US"/>
        </w:rPr>
        <w:t xml:space="preserve"> The Greek word that the BSB translates as </w:t>
      </w:r>
      <w:r>
        <w:rPr>
          <w:i/>
          <w:lang w:val="en_US" w:bidi="en_US"/>
        </w:rPr>
        <w:t>woe</w:t>
      </w:r>
      <w:r>
        <w:rPr>
          <w:lang w:val="en_US" w:bidi="en_US"/>
        </w:rPr>
        <w:t xml:space="preserve"> describes a state or situation of intense distress. It expresses a sense of God’s coming judgment. Therefore, it is a warning and a call to people to change the way they are living. These “woes” state the distress that these people can expect in the future.</w:t>
      </w:r>
    </w:p>
    <w:p>
      <w:pPr/>
      <w:r>
        <w:rPr>
          <w:lang w:val="en_US" w:bidi="en_US"/>
        </w:rPr>
      </w:r>
      <w:r>
        <w:rPr>
          <w:lang w:val="en_US" w:bidi="en_US"/>
        </w:rPr>
        <w:t>You may have a natural way to express this in your language. It may be a single word (or short expression) that communicates sadness, grief, or sorrow. Words like “woe” or “alas” in English do this. Some other ways you could translate this phrase are:</w:t>
      </w:r>
    </w:p>
    <w:p>
      <w:pPr/>
      <w:r>
        <w:rPr>
          <w:lang w:val="en_US" w:bidi="en_US"/>
        </w:rPr>
      </w:r>
      <w:r>
        <w:rPr>
          <w:lang w:val="en_US" w:bidi="en_US"/>
        </w:rPr>
        <w:t>how horrible it will be for those (GW)</w:t>
      </w:r>
    </w:p>
    <w:p>
      <w:pPr/>
      <w:r>
        <w:rPr>
          <w:lang w:val="en_US" w:bidi="en_US"/>
        </w:rPr>
      </w:r>
      <w:r>
        <w:rPr>
          <w:lang w:val="en_US" w:bidi="en_US"/>
        </w:rPr>
        <w:t>But you…are in for trouble (CEV)</w:t>
      </w:r>
    </w:p>
    <w:p>
      <w:pPr/>
      <w:r>
        <w:rPr>
          <w:lang w:val="en_US" w:bidi="en_US"/>
        </w:rPr>
      </w:r>
      <w:r>
        <w:rPr>
          <w:lang w:val="en_US" w:bidi="en_US"/>
        </w:rPr>
        <w:t>What sorrows await you (NLT96)</w:t>
      </w:r>
    </w:p>
    <w:p>
      <w:pPr/>
      <w:r>
        <w:rPr>
          <w:lang w:val="en_US" w:bidi="en_US"/>
        </w:rPr>
      </w:r>
      <w:r>
        <w:rPr>
          <w:lang w:val="en_US" w:bidi="en_US"/>
        </w:rPr>
        <w:t>These “woes” are not a curse formula. They are not asking God to curse these people.</w:t>
      </w:r>
    </w:p>
    <w:p>
      <w:pPr/>
      <w:r>
        <w:rPr>
          <w:lang w:val="en_US" w:bidi="en_US"/>
        </w:rPr>
      </w:r>
      <w:r>
        <w:rPr>
          <w:b/>
          <w:lang w:val="en_US" w:bidi="en_US"/>
        </w:rPr>
        <w:t>who are rich:</w:t>
      </w:r>
      <w:r>
        <w:rPr>
          <w:lang w:val="en_US" w:bidi="en_US"/>
        </w:rPr>
        <w:t xml:space="preserve"> The Greek word that the BSB translates as </w:t>
      </w:r>
      <w:r>
        <w:rPr>
          <w:i/>
          <w:lang w:val="en_US" w:bidi="en_US"/>
        </w:rPr>
        <w:t>rich</w:t>
      </w:r>
      <w:r>
        <w:rPr>
          <w:lang w:val="en_US" w:bidi="en_US"/>
        </w:rPr>
        <w:t xml:space="preserve"> refers to people who have wealth. They usually have everything they need and even much more than they need. The word </w:t>
      </w:r>
      <w:r>
        <w:rPr>
          <w:i/>
          <w:lang w:val="en_US" w:bidi="en_US"/>
        </w:rPr>
        <w:t>rich</w:t>
      </w:r>
      <w:r>
        <w:rPr>
          <w:lang w:val="en_US" w:bidi="en_US"/>
        </w:rPr>
        <w:t xml:space="preserve"> may also refer to people who have great privilege and status. People who are </w:t>
      </w:r>
      <w:r>
        <w:rPr>
          <w:i/>
          <w:lang w:val="en_US" w:bidi="en_US"/>
        </w:rPr>
        <w:t>rich</w:t>
      </w:r>
      <w:r>
        <w:rPr>
          <w:lang w:val="en_US" w:bidi="en_US"/>
        </w:rPr>
        <w:t xml:space="preserve"> may be arrogant and depend on their wealth rather than God.</w:t>
      </w:r>
    </w:p>
    <w:p>
      <w:pPr>
        <w:pStyle w:val="Heading5"/>
      </w:pPr>
      <w:r>
        <w:rPr>
          <w:lang w:val="en_US" w:bidi="en_US"/>
        </w:rPr>
        <w:t>6:24b</w:t>
      </w:r>
    </w:p>
    <w:p>
      <w:pPr/>
      <w:r>
        <w:rPr>
          <w:lang w:val="en_US" w:bidi="en_US"/>
        </w:rPr>
      </w:r>
      <w:r>
        <w:rPr>
          <w:b/>
          <w:lang w:val="en_US" w:bidi="en_US"/>
        </w:rPr>
        <w:t>for you have already received your comfort.</w:t>
      </w:r>
    </w:p>
    <w:p>
      <w:pPr>
        <w:pStyle w:val="ListBullet"/>
        <w:spacing w:line="240" w:lineRule="auto"/>
        <w:ind w:left="720"/>
      </w:pPr>
      <w:r>
        <w:rPr>
          <w:lang w:val="en_US" w:bidi="en_US"/>
        </w:rPr>
      </w:r>
      <w:r>
        <w:rPr>
          <w:lang w:val="en_US" w:bidi="en_US"/>
        </w:rPr>
        <w:t>for/because you</w:t>
      </w:r>
      <w:r>
        <w:rPr>
          <w:vertAlign w:val="superscript"/>
          <w:lang w:val="en_US" w:bidi="en_US"/>
        </w:rPr>
        <w:t>(plur)</w:t>
      </w:r>
      <w:r>
        <w:rPr>
          <w:lang w:val="en_US" w:bidi="en_US"/>
        </w:rPr>
        <w:t xml:space="preserve"> are receiving in full now </w:t>
      </w:r>
      <w:r>
        <w:rPr>
          <w:lang w:val="en_US" w:bidi="en_US"/>
        </w:rPr>
        <w:t>all</w:t>
      </w:r>
      <w:r>
        <w:rPr>
          <w:lang w:val="en_US" w:bidi="en_US"/>
        </w:rPr>
        <w:t xml:space="preserve"> the comfort that you will receive.</w:t>
      </w:r>
    </w:p>
    <w:p>
      <w:pPr>
        <w:pStyle w:val="ListBullet"/>
        <w:spacing w:line="240" w:lineRule="auto"/>
        <w:ind w:left="720"/>
      </w:pPr>
      <w:r>
        <w:rPr>
          <w:lang w:val="en_US" w:bidi="en_US"/>
        </w:rPr>
      </w:r>
      <w:r>
        <w:rPr>
          <w:lang w:val="en_US" w:bidi="en_US"/>
        </w:rPr>
        <w:t xml:space="preserve">because you are receiving </w:t>
      </w:r>
      <w:r>
        <w:rPr>
          <w:lang w:val="en_US" w:bidi="en_US"/>
        </w:rPr>
        <w:t>in this life</w:t>
      </w:r>
      <w:r>
        <w:rPr>
          <w:lang w:val="en_US" w:bidi="en_US"/>
        </w:rPr>
        <w:t xml:space="preserve"> </w:t>
      </w:r>
      <w:r>
        <w:rPr>
          <w:lang w:val="en_US" w:bidi="en_US"/>
        </w:rPr>
        <w:t>all</w:t>
      </w:r>
      <w:r>
        <w:rPr>
          <w:lang w:val="en_US" w:bidi="en_US"/>
        </w:rPr>
        <w:t xml:space="preserve"> the good things you will </w:t>
      </w:r>
      <w:r>
        <w:rPr>
          <w:lang w:val="en_US" w:bidi="en_US"/>
        </w:rPr>
        <w:t>ever</w:t>
      </w:r>
      <w:r>
        <w:rPr>
          <w:lang w:val="en_US" w:bidi="en_US"/>
        </w:rPr>
        <w:t xml:space="preserve"> get.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why the rich are in trouble. They are in trouble because they have already received comfort in this life.</w:t>
      </w:r>
    </w:p>
    <w:p>
      <w:pPr/>
      <w:r>
        <w:rPr>
          <w:lang w:val="en_US" w:bidi="en_US"/>
        </w:rPr>
      </w:r>
      <w:r>
        <w:rPr>
          <w:b/>
          <w:lang w:val="en_US" w:bidi="en_US"/>
        </w:rPr>
        <w:t>you have already received your comfort:</w:t>
      </w:r>
      <w:r>
        <w:rPr>
          <w:lang w:val="en_US" w:bidi="en_US"/>
        </w:rPr>
        <w:t xml:space="preserve"> The Greek clause that the BSB translates as </w:t>
      </w:r>
      <w:r>
        <w:rPr>
          <w:i/>
          <w:lang w:val="en_US" w:bidi="en_US"/>
        </w:rPr>
        <w:t>you have already received</w:t>
      </w:r>
      <w:r>
        <w:rPr>
          <w:lang w:val="en_US" w:bidi="en_US"/>
        </w:rPr>
        <w:t xml:space="preserve"> is literally “you are receiving in full.” Jesus meant that rich people receive on this earth all the ease and pleasure that they will ever get. God will not give them anything more to comfort them beyond what they get in this life. This implies that they will not experience the eternal blessings of the kingdom of God. Some other ways to translate this are:</w:t>
      </w:r>
    </w:p>
    <w:p>
      <w:pPr/>
      <w:r>
        <w:rPr>
          <w:lang w:val="en_US" w:bidi="en_US"/>
        </w:rPr>
      </w:r>
      <w:r>
        <w:rPr>
          <w:lang w:val="en_US" w:bidi="en_US"/>
        </w:rPr>
        <w:t>you are receiving your comfort in full (NASB)</w:t>
      </w:r>
    </w:p>
    <w:p>
      <w:pPr/>
      <w:r>
        <w:rPr>
          <w:lang w:val="en_US" w:bidi="en_US"/>
        </w:rPr>
      </w:r>
      <w:r>
        <w:rPr>
          <w:lang w:val="en_US" w:bidi="en_US"/>
        </w:rPr>
        <w:t xml:space="preserve">you are receiving </w:t>
      </w:r>
      <w:r>
        <w:rPr>
          <w:lang w:val="en_US" w:bidi="en_US"/>
        </w:rPr>
        <w:t>in this life</w:t>
      </w:r>
      <w:r>
        <w:rPr>
          <w:lang w:val="en_US" w:bidi="en_US"/>
        </w:rPr>
        <w:t xml:space="preserve"> all the comfort you will </w:t>
      </w:r>
      <w:r>
        <w:rPr>
          <w:lang w:val="en_US" w:bidi="en_US"/>
        </w:rPr>
        <w:t>ever</w:t>
      </w:r>
      <w:r>
        <w:rPr>
          <w:lang w:val="en_US" w:bidi="en_US"/>
        </w:rPr>
        <w:t xml:space="preserve"> receive</w:t>
      </w:r>
    </w:p>
    <w:p>
      <w:pPr/>
      <w:r>
        <w:rPr>
          <w:lang w:val="en_US" w:bidi="en_US"/>
        </w:rPr>
      </w:r>
      <w:r>
        <w:rPr>
          <w:lang w:val="en_US" w:bidi="en_US"/>
        </w:rPr>
        <w:t>because you have had your easy life (NCV)</w:t>
      </w:r>
    </w:p>
    <w:p>
      <w:pPr/>
      <w:r>
        <w:rPr>
          <w:lang w:val="en_US" w:bidi="en_US"/>
        </w:rPr>
      </w:r>
      <w:r>
        <w:rPr>
          <w:b/>
          <w:lang w:val="en_US" w:bidi="en_US"/>
        </w:rPr>
        <w:t>comfort:</w:t>
      </w:r>
      <w:r>
        <w:rPr>
          <w:lang w:val="en_US" w:bidi="en_US"/>
        </w:rPr>
        <w:t xml:space="preserve"> The Greek word that the BSB translates as </w:t>
      </w:r>
      <w:r>
        <w:rPr>
          <w:i/>
          <w:lang w:val="en_US" w:bidi="en_US"/>
        </w:rPr>
        <w:t>comfort</w:t>
      </w:r>
      <w:r>
        <w:rPr>
          <w:lang w:val="en_US" w:bidi="en_US"/>
        </w:rPr>
        <w:t xml:space="preserve"> is literally “encouragement.” The rich already have the help or encouragement they need in this world. This is what they are getting in return for adopting worldly values. However, when they face God’s judgment, there will be no help for them. They have not made God’s values a part of their life.</w:t>
      </w:r>
    </w:p>
    <w:p>
      <w:pPr/>
      <w:r>
        <w:rPr>
          <w:lang w:val="en_US" w:bidi="en_US"/>
        </w:rPr>
      </w:r>
      <w:r>
        <w:rPr>
          <w:lang w:val="en_US" w:bidi="en_US"/>
        </w:rPr>
        <w:t>Another way to translate this is:</w:t>
      </w:r>
    </w:p>
    <w:p>
      <w:pPr/>
      <w:r>
        <w:rPr>
          <w:lang w:val="en_US" w:bidi="en_US"/>
        </w:rPr>
      </w:r>
      <w:r>
        <w:rPr>
          <w:lang w:val="en_US" w:bidi="en_US"/>
        </w:rPr>
        <w:t>easy life (CEV)</w:t>
      </w:r>
    </w:p>
    <w:p>
      <w:pPr/>
      <w:r>
        <w:rPr>
          <w:lang w:val="en_US" w:bidi="en_US"/>
        </w:rPr>
      </w:r>
      <w:r>
        <w:rPr>
          <w:lang w:val="en_US" w:bidi="en_US"/>
        </w:rPr>
        <w:t>happiness (NLT)</w:t>
      </w:r>
      <w:r>
        <w:rPr>
          <w:lang w:val="en_US" w:bidi="en_US"/>
        </w:rPr>
      </w:r>
      <w:r>
        <w:rPr>
          <w:lang w:val="en_US" w:bidi="en_US"/>
        </w:rPr>
      </w:r>
    </w:p>
    <w:p>
      <w:pPr/>
      <w:r>
        <w:rPr>
          <w:lang w:val="en_US" w:bidi="en_US"/>
        </w:rPr>
      </w:r>
    </w:p>
    <w:p>
      <w:pPr>
        <w:pStyle w:val="Heading2"/>
      </w:pPr>
      <w:r>
        <w:rPr>
          <w:lang w:val="en_US" w:bidi="en_US"/>
        </w:rPr>
        <w:t>Luke 6:25</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6:24–26</w:t>
      </w:r>
    </w:p>
    <w:p>
      <w:pPr/>
      <w:r>
        <w:rPr>
          <w:lang w:val="en_US" w:bidi="en_US"/>
        </w:rPr>
      </w:r>
      <w:r>
        <w:rPr>
          <w:lang w:val="en_US" w:bidi="en_US"/>
        </w:rPr>
        <w:t>This paragraph contains four “woes.” Each woe is a general statement against those who are satisfied with their life here and do not seek God. Each “woe” contrasts with an earlier “blessed.” For example, 6:20b says:</w:t>
      </w:r>
    </w:p>
    <w:p>
      <w:pPr/>
      <w:r>
        <w:rPr>
          <w:lang w:val="en_US" w:bidi="en_US"/>
        </w:rPr>
      </w:r>
      <w:r>
        <w:rPr>
          <w:lang w:val="en_US" w:bidi="en_US"/>
        </w:rPr>
        <w:t>Blessed are you who are poor</w:t>
      </w:r>
    </w:p>
    <w:p>
      <w:pPr/>
      <w:r>
        <w:rPr>
          <w:lang w:val="en_US" w:bidi="en_US"/>
        </w:rPr>
      </w:r>
      <w:r>
        <w:rPr>
          <w:lang w:val="en_US" w:bidi="en_US"/>
        </w:rPr>
        <w:t>and 6:24a says:</w:t>
      </w:r>
    </w:p>
    <w:p>
      <w:pPr/>
      <w:r>
        <w:rPr>
          <w:lang w:val="en_US" w:bidi="en_US"/>
        </w:rPr>
      </w:r>
      <w:r>
        <w:rPr>
          <w:lang w:val="en_US" w:bidi="en_US"/>
        </w:rPr>
        <w:t>But woe to you who are rich</w:t>
      </w:r>
    </w:p>
    <w:p>
      <w:pPr/>
      <w:r>
        <w:rPr>
          <w:lang w:val="en_US" w:bidi="en_US"/>
        </w:rPr>
      </w:r>
      <w:r>
        <w:rPr>
          <w:lang w:val="en_US" w:bidi="en_US"/>
        </w:rPr>
        <w:t>As in the statements about being blessed, Jesus addressed the people as “you</w:t>
      </w:r>
      <w:r>
        <w:rPr>
          <w:vertAlign w:val="superscript"/>
          <w:lang w:val="en_US" w:bidi="en_US"/>
        </w:rPr>
        <w:t>(plur)</w:t>
      </w:r>
      <w:r>
        <w:rPr>
          <w:lang w:val="en_US" w:bidi="en_US"/>
        </w:rPr>
        <w:t>.” He was making general statements. He did not mean that everyone was rich, well fed, or laughing. Use a form that is natural in your language for general statements that are true. For example:</w:t>
      </w:r>
    </w:p>
    <w:p>
      <w:pPr/>
      <w:r>
        <w:rPr>
          <w:lang w:val="en_US" w:bidi="en_US"/>
        </w:rPr>
      </w:r>
      <w:r>
        <w:rPr>
          <w:lang w:val="en_US" w:bidi="en_US"/>
        </w:rPr>
        <w:t>Woe to you</w:t>
      </w:r>
      <w:r>
        <w:rPr>
          <w:vertAlign w:val="superscript"/>
          <w:lang w:val="en_US" w:bidi="en_US"/>
        </w:rPr>
        <w:t>(sing)</w:t>
      </w:r>
      <w:r>
        <w:rPr>
          <w:lang w:val="en_US" w:bidi="en_US"/>
        </w:rPr>
        <w:t xml:space="preserve"> who</w:t>
      </w:r>
    </w:p>
    <w:p>
      <w:pPr/>
      <w:r>
        <w:rPr>
          <w:lang w:val="en_US" w:bidi="en_US"/>
        </w:rPr>
      </w:r>
      <w:r>
        <w:rPr>
          <w:lang w:val="en_US" w:bidi="en_US"/>
        </w:rPr>
        <w:t>Woe to him</w:t>
      </w:r>
    </w:p>
    <w:p>
      <w:pPr/>
      <w:r>
        <w:rPr>
          <w:lang w:val="en_US" w:bidi="en_US"/>
        </w:rPr>
      </w:r>
      <w:r>
        <w:rPr>
          <w:lang w:val="en_US" w:bidi="en_US"/>
        </w:rPr>
        <w:t>Woe to they/people who</w:t>
      </w:r>
    </w:p>
    <w:p>
      <w:pPr/>
      <w:r>
        <w:rPr>
          <w:lang w:val="en_US" w:bidi="en_US"/>
        </w:rPr>
      </w:r>
      <w:r>
        <w:rPr>
          <w:lang w:val="en_US" w:bidi="en_US"/>
        </w:rPr>
        <w:t>Woe to those who</w:t>
      </w:r>
    </w:p>
    <w:p>
      <w:pPr/>
      <w:r>
        <w:rPr>
          <w:lang w:val="en_US" w:bidi="en_US"/>
        </w:rPr>
      </w:r>
      <w:r>
        <w:rPr>
          <w:lang w:val="en_US" w:bidi="en_US"/>
        </w:rPr>
        <w:t>If possible, use the same pronoun as the one you used for the statement about being blessed.</w:t>
      </w:r>
    </w:p>
    <w:p>
      <w:pPr>
        <w:pStyle w:val="Heading5"/>
      </w:pPr>
      <w:r>
        <w:rPr>
          <w:lang w:val="en_US" w:bidi="en_US"/>
        </w:rPr>
        <w:t>6:25a–b</w:t>
      </w:r>
    </w:p>
    <w:p>
      <w:pPr/>
      <w:r>
        <w:rPr>
          <w:lang w:val="en_US" w:bidi="en_US"/>
        </w:rPr>
      </w:r>
      <w:r>
        <w:rPr>
          <w:lang w:val="en_US" w:bidi="en_US"/>
        </w:rPr>
        <w:t>This woe is the opposite of the blessing in 6:21a–b. The contrast is as follows: Those who are hungry long for God to satisfy them. They are “blessed.” Those who are “full” have already satisfied their hunger. They are in trouble.</w:t>
      </w:r>
    </w:p>
    <w:p>
      <w:pPr/>
      <w:r>
        <w:rPr>
          <w:lang w:val="en_US" w:bidi="en_US"/>
        </w:rPr>
      </w:r>
      <w:r>
        <w:rPr>
          <w:lang w:val="en_US" w:bidi="en_US"/>
        </w:rPr>
        <w:t>Try to make this clear in your translation by using terms or expressions that correspond to those you used in 6:21a–b.</w:t>
      </w:r>
    </w:p>
    <w:p>
      <w:pPr>
        <w:pStyle w:val="Heading5"/>
      </w:pPr>
      <w:r>
        <w:rPr>
          <w:lang w:val="en_US" w:bidi="en_US"/>
        </w:rPr>
        <w:t>6:25a</w:t>
      </w:r>
    </w:p>
    <w:p>
      <w:pPr/>
      <w:r>
        <w:rPr>
          <w:lang w:val="en_US" w:bidi="en_US"/>
        </w:rPr>
      </w:r>
      <w:r>
        <w:rPr>
          <w:b/>
          <w:lang w:val="en_US" w:bidi="en_US"/>
        </w:rPr>
        <w:t>Woe to you who are well fed now,</w:t>
      </w:r>
    </w:p>
    <w:p>
      <w:pPr>
        <w:pStyle w:val="ListBullet"/>
        <w:spacing w:line="240" w:lineRule="auto"/>
        <w:ind w:left="720"/>
      </w:pPr>
      <w:r>
        <w:rPr>
          <w:lang w:val="en_US" w:bidi="en_US"/>
        </w:rPr>
      </w:r>
      <w:r>
        <w:rPr>
          <w:lang w:val="en_US" w:bidi="en_US"/>
        </w:rPr>
        <w:t>How bad/terrible it will be for you</w:t>
      </w:r>
      <w:r>
        <w:rPr>
          <w:vertAlign w:val="superscript"/>
          <w:lang w:val="en_US" w:bidi="en_US"/>
        </w:rPr>
        <w:t>(plur)</w:t>
      </w:r>
      <w:r>
        <w:rPr>
          <w:lang w:val="en_US" w:bidi="en_US"/>
        </w:rPr>
        <w:t xml:space="preserve"> who have plenty to eat now,</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whose hunger is fully satisfied now will have great distress/trouble,</w:t>
      </w:r>
    </w:p>
    <w:p>
      <w:pPr/>
      <w:r>
        <w:rPr>
          <w:lang w:val="en_US" w:bidi="en_US"/>
        </w:rPr>
      </w:r>
      <w:r>
        <w:rPr>
          <w:b/>
          <w:lang w:val="en_US" w:bidi="en_US"/>
        </w:rPr>
        <w:t>Woe to you:</w:t>
      </w:r>
      <w:r>
        <w:rPr>
          <w:lang w:val="en_US" w:bidi="en_US"/>
        </w:rPr>
        <w:t xml:space="preserve"> Translate this the same way you did in 6:24a.</w:t>
      </w:r>
    </w:p>
    <w:p>
      <w:pPr/>
      <w:r>
        <w:rPr>
          <w:lang w:val="en_US" w:bidi="en_US"/>
        </w:rPr>
      </w:r>
      <w:r>
        <w:rPr>
          <w:b/>
          <w:lang w:val="en_US" w:bidi="en_US"/>
        </w:rPr>
        <w:t>who are well fed now:</w:t>
      </w:r>
      <w:r>
        <w:rPr>
          <w:lang w:val="en_US" w:bidi="en_US"/>
        </w:rPr>
        <w:t xml:space="preserve"> The phrase </w:t>
      </w:r>
      <w:r>
        <w:rPr>
          <w:i/>
          <w:lang w:val="en_US" w:bidi="en_US"/>
        </w:rPr>
        <w:t>who are well fed now</w:t>
      </w:r>
      <w:r>
        <w:rPr>
          <w:lang w:val="en_US" w:bidi="en_US"/>
        </w:rPr>
        <w:t xml:space="preserve"> refers to people who have more than enough to eat on this earth. They are satisfied. Another way to translate this is:</w:t>
      </w:r>
    </w:p>
    <w:p>
      <w:pPr/>
      <w:r>
        <w:rPr>
          <w:lang w:val="en_US" w:bidi="en_US"/>
        </w:rPr>
      </w:r>
      <w:r>
        <w:rPr>
          <w:lang w:val="en_US" w:bidi="en_US"/>
        </w:rPr>
        <w:t>you who are full now (GNT)</w:t>
      </w:r>
    </w:p>
    <w:p>
      <w:pPr/>
      <w:r>
        <w:rPr>
          <w:lang w:val="en_US" w:bidi="en_US"/>
        </w:rPr>
      </w:r>
      <w:r>
        <w:rPr>
          <w:b/>
          <w:lang w:val="en_US" w:bidi="en_US"/>
        </w:rPr>
        <w:t>now:</w:t>
      </w:r>
      <w:r>
        <w:rPr>
          <w:lang w:val="en_US" w:bidi="en_US"/>
        </w:rPr>
        <w:t xml:space="preserve"> Luke used the word </w:t>
      </w:r>
      <w:r>
        <w:rPr>
          <w:i/>
          <w:lang w:val="en_US" w:bidi="en_US"/>
        </w:rPr>
        <w:t>now</w:t>
      </w:r>
      <w:r>
        <w:rPr>
          <w:lang w:val="en_US" w:bidi="en_US"/>
        </w:rPr>
        <w:t xml:space="preserve"> to emphasize a present situation.</w:t>
      </w:r>
    </w:p>
    <w:p>
      <w:pPr>
        <w:pStyle w:val="Heading5"/>
      </w:pPr>
      <w:r>
        <w:rPr>
          <w:lang w:val="en_US" w:bidi="en_US"/>
        </w:rPr>
        <w:t>6:25b</w:t>
      </w:r>
    </w:p>
    <w:p>
      <w:pPr/>
      <w:r>
        <w:rPr>
          <w:lang w:val="en_US" w:bidi="en_US"/>
        </w:rPr>
      </w:r>
      <w:r>
        <w:rPr>
          <w:b/>
          <w:lang w:val="en_US" w:bidi="en_US"/>
        </w:rPr>
        <w:t>for you will hunger.</w:t>
      </w:r>
    </w:p>
    <w:p>
      <w:pPr>
        <w:pStyle w:val="ListBullet"/>
        <w:spacing w:line="240" w:lineRule="auto"/>
        <w:ind w:left="720"/>
      </w:pPr>
      <w:r>
        <w:rPr>
          <w:lang w:val="en_US" w:bidi="en_US"/>
        </w:rPr>
      </w:r>
      <w:r>
        <w:rPr>
          <w:lang w:val="en_US" w:bidi="en_US"/>
        </w:rPr>
        <w:t xml:space="preserve">for/because </w:t>
      </w:r>
      <w:r>
        <w:rPr>
          <w:lang w:val="en_US" w:bidi="en_US"/>
        </w:rPr>
        <w:t>later</w:t>
      </w:r>
      <w:r>
        <w:rPr>
          <w:lang w:val="en_US" w:bidi="en_US"/>
        </w:rPr>
        <w:t xml:space="preserve"> you</w:t>
      </w:r>
      <w:r>
        <w:rPr>
          <w:vertAlign w:val="superscript"/>
          <w:lang w:val="en_US" w:bidi="en_US"/>
        </w:rPr>
        <w:t>(plur)</w:t>
      </w:r>
      <w:r>
        <w:rPr>
          <w:lang w:val="en_US" w:bidi="en_US"/>
        </w:rPr>
        <w:t xml:space="preserve"> will be hungry/starving.</w:t>
      </w:r>
    </w:p>
    <w:p>
      <w:pPr>
        <w:pStyle w:val="ListBullet"/>
        <w:spacing w:line="240" w:lineRule="auto"/>
        <w:ind w:left="720"/>
      </w:pPr>
      <w:r>
        <w:rPr>
          <w:lang w:val="en_US" w:bidi="en_US"/>
        </w:rPr>
      </w:r>
      <w:r>
        <w:rPr>
          <w:lang w:val="en_US" w:bidi="en_US"/>
        </w:rPr>
        <w:t xml:space="preserve">because </w:t>
      </w:r>
      <w:r>
        <w:rPr>
          <w:lang w:val="en_US" w:bidi="en_US"/>
        </w:rPr>
        <w:t>in the future</w:t>
      </w:r>
      <w:r>
        <w:rPr>
          <w:lang w:val="en_US" w:bidi="en_US"/>
        </w:rPr>
        <w:t xml:space="preserve"> you</w:t>
      </w:r>
      <w:r>
        <w:rPr>
          <w:vertAlign w:val="superscript"/>
          <w:lang w:val="en_US" w:bidi="en_US"/>
        </w:rPr>
        <w:t>(plur)</w:t>
      </w:r>
      <w:r>
        <w:rPr>
          <w:lang w:val="en_US" w:bidi="en_US"/>
        </w:rPr>
        <w:t xml:space="preserve"> will have </w:t>
      </w:r>
      <w:r>
        <w:rPr>
          <w:lang w:val="en_US" w:bidi="en_US"/>
        </w:rPr>
        <w:t>terrible</w:t>
      </w:r>
      <w:r>
        <w:rPr>
          <w:lang w:val="en_US" w:bidi="en_US"/>
        </w:rPr>
        <w:t xml:space="preserve"> hunger.</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why those “who are well fed” are in trouble. They are in trouble </w:t>
      </w:r>
      <w:r>
        <w:rPr>
          <w:u w:val="single"/>
          <w:lang w:val="en_US" w:bidi="en_US"/>
        </w:rPr>
        <w:t>because</w:t>
      </w:r>
      <w:r>
        <w:rPr>
          <w:lang w:val="en_US" w:bidi="en_US"/>
        </w:rPr>
        <w:t xml:space="preserve"> now is the only time when they will be well-fed. Later they will be hungry.</w:t>
      </w:r>
    </w:p>
    <w:p>
      <w:pPr/>
      <w:r>
        <w:rPr>
          <w:lang w:val="en_US" w:bidi="en_US"/>
        </w:rPr>
      </w:r>
      <w:r>
        <w:rPr>
          <w:b/>
          <w:lang w:val="en_US" w:bidi="en_US"/>
        </w:rPr>
        <w:t>you will hunger:</w:t>
      </w:r>
      <w:r>
        <w:rPr>
          <w:lang w:val="en_US" w:bidi="en_US"/>
        </w:rPr>
        <w:t xml:space="preserve"> Some English versions use an English idiom to translate the Greek clause that the BSB translates literally as </w:t>
      </w:r>
      <w:r>
        <w:rPr>
          <w:i/>
          <w:lang w:val="en_US" w:bidi="en_US"/>
        </w:rPr>
        <w:t>you will hunger</w:t>
      </w:r>
      <w:r>
        <w:rPr>
          <w:lang w:val="en_US" w:bidi="en_US"/>
        </w:rPr>
        <w:t>. For example:</w:t>
      </w:r>
    </w:p>
    <w:p>
      <w:pPr/>
      <w:r>
        <w:rPr>
          <w:lang w:val="en_US" w:bidi="en_US"/>
        </w:rPr>
      </w:r>
      <w:r>
        <w:rPr>
          <w:lang w:val="en_US" w:bidi="en_US"/>
        </w:rPr>
        <w:t>you will go hungry (NIV)</w:t>
      </w:r>
    </w:p>
    <w:p>
      <w:pPr/>
      <w:r>
        <w:rPr>
          <w:lang w:val="en_US" w:bidi="en_US"/>
        </w:rPr>
      </w:r>
      <w:r>
        <w:rPr>
          <w:lang w:val="en_US" w:bidi="en_US"/>
        </w:rPr>
        <w:t>The people who “are well fed” (6:25a) already have all the food that they need. However, when they face God’s judgment, they will no longer be well-fed. They will be hungry.</w:t>
      </w:r>
    </w:p>
    <w:p>
      <w:pPr/>
      <w:r>
        <w:rPr>
          <w:lang w:val="en_US" w:bidi="en_US"/>
        </w:rPr>
      </w:r>
      <w:r>
        <w:rPr>
          <w:lang w:val="en_US" w:bidi="en_US"/>
        </w:rPr>
        <w:t xml:space="preserve">Some Bible scholars interpret the word </w:t>
      </w:r>
      <w:r>
        <w:rPr>
          <w:i/>
          <w:lang w:val="en_US" w:bidi="en_US"/>
        </w:rPr>
        <w:t>hunger</w:t>
      </w:r>
      <w:r>
        <w:rPr>
          <w:lang w:val="en_US" w:bidi="en_US"/>
        </w:rPr>
        <w:t xml:space="preserve"> here in a figurative sense, as referring to people not being satisfied or having all they want. If you have a word that could be interpreted either way, it may be appropriate here.</w:t>
      </w:r>
    </w:p>
    <w:p>
      <w:pPr/>
      <w:r>
        <w:rPr>
          <w:lang w:val="en_US" w:bidi="en_US"/>
        </w:rPr>
      </w:r>
      <w:r>
        <w:rPr>
          <w:b/>
          <w:lang w:val="en_US" w:bidi="en_US"/>
        </w:rPr>
        <w:t>will hunger:</w:t>
      </w:r>
      <w:r>
        <w:rPr>
          <w:lang w:val="en_US" w:bidi="en_US"/>
        </w:rPr>
        <w:t xml:space="preserve"> The Greek verb tense refers to future time. It is in direct contrast with the present situation (emphasized by “now”).</w:t>
      </w:r>
    </w:p>
    <w:p>
      <w:pPr>
        <w:pStyle w:val="Heading5"/>
      </w:pPr>
      <w:r>
        <w:rPr>
          <w:lang w:val="en_US" w:bidi="en_US"/>
        </w:rPr>
        <w:t>6:25c–d</w:t>
      </w:r>
    </w:p>
    <w:p>
      <w:pPr/>
      <w:r>
        <w:rPr>
          <w:lang w:val="en_US" w:bidi="en_US"/>
        </w:rPr>
      </w:r>
      <w:r>
        <w:rPr>
          <w:lang w:val="en_US" w:bidi="en_US"/>
        </w:rPr>
        <w:t>This woe is the opposite of the blessing in 6:21c–d. This is the contrast: Those who mourn and weep now will have great rejoicing in God’s kingdom. They are “blessed.” Those who laugh in this life are in trouble.</w:t>
      </w:r>
    </w:p>
    <w:p>
      <w:pPr/>
      <w:r>
        <w:rPr>
          <w:lang w:val="en_US" w:bidi="en_US"/>
        </w:rPr>
      </w:r>
      <w:r>
        <w:rPr>
          <w:lang w:val="en_US" w:bidi="en_US"/>
        </w:rPr>
        <w:t>Try to make this clear in your translation by using terms or expressions that correspond to those that you used in 6:21c–d.</w:t>
      </w:r>
    </w:p>
    <w:p>
      <w:pPr>
        <w:pStyle w:val="Heading5"/>
      </w:pPr>
      <w:r>
        <w:rPr>
          <w:lang w:val="en_US" w:bidi="en_US"/>
        </w:rPr>
        <w:t>6:25c</w:t>
      </w:r>
    </w:p>
    <w:p>
      <w:pPr/>
      <w:r>
        <w:rPr>
          <w:lang w:val="en_US" w:bidi="en_US"/>
        </w:rPr>
      </w:r>
      <w:r>
        <w:rPr>
          <w:b/>
          <w:lang w:val="en_US" w:bidi="en_US"/>
        </w:rPr>
        <w:t>Woe to you who laugh now,</w:t>
      </w:r>
    </w:p>
    <w:p>
      <w:pPr>
        <w:pStyle w:val="ListBullet"/>
        <w:spacing w:line="240" w:lineRule="auto"/>
        <w:ind w:left="720"/>
      </w:pPr>
      <w:r>
        <w:rPr>
          <w:lang w:val="en_US" w:bidi="en_US"/>
        </w:rPr>
      </w:r>
      <w:r>
        <w:rPr>
          <w:lang w:val="en_US" w:bidi="en_US"/>
        </w:rPr>
        <w:t>How bad/terrible it will be for you</w:t>
      </w:r>
      <w:r>
        <w:rPr>
          <w:vertAlign w:val="superscript"/>
          <w:lang w:val="en_US" w:bidi="en_US"/>
        </w:rPr>
        <w:t>(plur)</w:t>
      </w:r>
      <w:r>
        <w:rPr>
          <w:lang w:val="en_US" w:bidi="en_US"/>
        </w:rPr>
        <w:t xml:space="preserve"> who laugh now,</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laugh with/from joy now will have great distress/trouble,</w:t>
      </w:r>
    </w:p>
    <w:p>
      <w:pPr/>
      <w:r>
        <w:rPr>
          <w:lang w:val="en_US" w:bidi="en_US"/>
        </w:rPr>
      </w:r>
      <w:r>
        <w:rPr>
          <w:b/>
          <w:lang w:val="en_US" w:bidi="en_US"/>
        </w:rPr>
        <w:t>Woe to you:</w:t>
      </w:r>
      <w:r>
        <w:rPr>
          <w:lang w:val="en_US" w:bidi="en_US"/>
        </w:rPr>
        <w:t xml:space="preserve"> Translate this the same way you did in 6:24a.</w:t>
      </w:r>
    </w:p>
    <w:p>
      <w:pPr/>
      <w:r>
        <w:rPr>
          <w:lang w:val="en_US" w:bidi="en_US"/>
        </w:rPr>
      </w:r>
      <w:r>
        <w:rPr>
          <w:b/>
          <w:lang w:val="en_US" w:bidi="en_US"/>
        </w:rPr>
        <w:t>who laugh now:</w:t>
      </w:r>
      <w:r>
        <w:rPr>
          <w:lang w:val="en_US" w:bidi="en_US"/>
        </w:rPr>
        <w:t xml:space="preserve"> As in 6:21d, the word </w:t>
      </w:r>
      <w:r>
        <w:rPr>
          <w:i/>
          <w:lang w:val="en_US" w:bidi="en_US"/>
        </w:rPr>
        <w:t>laugh</w:t>
      </w:r>
      <w:r>
        <w:rPr>
          <w:lang w:val="en_US" w:bidi="en_US"/>
        </w:rPr>
        <w:t xml:space="preserve"> here refers to laughing from happiness or joy. These people do not know sadness and grief in this life, but live a life of ease and happiness.</w:t>
      </w:r>
    </w:p>
    <w:p>
      <w:pPr/>
      <w:r>
        <w:rPr>
          <w:lang w:val="en_US" w:bidi="en_US"/>
        </w:rPr>
      </w:r>
      <w:r>
        <w:rPr>
          <w:b/>
          <w:lang w:val="en_US" w:bidi="en_US"/>
        </w:rPr>
        <w:t>now:</w:t>
      </w:r>
      <w:r>
        <w:rPr>
          <w:lang w:val="en_US" w:bidi="en_US"/>
        </w:rPr>
        <w:t xml:space="preserve"> Luke used the word </w:t>
      </w:r>
      <w:r>
        <w:rPr>
          <w:i/>
          <w:lang w:val="en_US" w:bidi="en_US"/>
        </w:rPr>
        <w:t>now</w:t>
      </w:r>
      <w:r>
        <w:rPr>
          <w:lang w:val="en_US" w:bidi="en_US"/>
        </w:rPr>
        <w:t xml:space="preserve"> to emphasize a present situation.</w:t>
      </w:r>
    </w:p>
    <w:p>
      <w:pPr>
        <w:pStyle w:val="Heading5"/>
      </w:pPr>
      <w:r>
        <w:rPr>
          <w:lang w:val="en_US" w:bidi="en_US"/>
        </w:rPr>
        <w:t>6:25d</w:t>
      </w:r>
    </w:p>
    <w:p>
      <w:pPr/>
      <w:r>
        <w:rPr>
          <w:lang w:val="en_US" w:bidi="en_US"/>
        </w:rPr>
      </w:r>
      <w:r>
        <w:rPr>
          <w:b/>
          <w:lang w:val="en_US" w:bidi="en_US"/>
        </w:rPr>
        <w:t>for you will mourn and weep.</w:t>
      </w:r>
    </w:p>
    <w:p>
      <w:pPr>
        <w:pStyle w:val="ListBullet"/>
        <w:spacing w:line="240" w:lineRule="auto"/>
        <w:ind w:left="720"/>
      </w:pPr>
      <w:r>
        <w:rPr>
          <w:lang w:val="en_US" w:bidi="en_US"/>
        </w:rPr>
      </w:r>
      <w:r>
        <w:rPr>
          <w:lang w:val="en_US" w:bidi="en_US"/>
        </w:rPr>
        <w:t xml:space="preserve">for/because </w:t>
      </w:r>
      <w:r>
        <w:rPr>
          <w:lang w:val="en_US" w:bidi="en_US"/>
        </w:rPr>
        <w:t>later</w:t>
      </w:r>
      <w:r>
        <w:rPr>
          <w:lang w:val="en_US" w:bidi="en_US"/>
        </w:rPr>
        <w:t xml:space="preserve"> you</w:t>
      </w:r>
      <w:r>
        <w:rPr>
          <w:vertAlign w:val="superscript"/>
          <w:lang w:val="en_US" w:bidi="en_US"/>
        </w:rPr>
        <w:t>(plur)</w:t>
      </w:r>
      <w:r>
        <w:rPr>
          <w:lang w:val="en_US" w:bidi="en_US"/>
        </w:rPr>
        <w:t xml:space="preserve"> will be sad and cry.</w:t>
      </w:r>
    </w:p>
    <w:p>
      <w:pPr>
        <w:pStyle w:val="ListBullet"/>
        <w:spacing w:line="240" w:lineRule="auto"/>
        <w:ind w:left="720"/>
      </w:pPr>
      <w:r>
        <w:rPr>
          <w:lang w:val="en_US" w:bidi="en_US"/>
        </w:rPr>
      </w:r>
      <w:r>
        <w:rPr>
          <w:lang w:val="en_US" w:bidi="en_US"/>
        </w:rPr>
        <w:t>because one day you</w:t>
      </w:r>
      <w:r>
        <w:rPr>
          <w:vertAlign w:val="superscript"/>
          <w:lang w:val="en_US" w:bidi="en_US"/>
        </w:rPr>
        <w:t>(plur)</w:t>
      </w:r>
      <w:r>
        <w:rPr>
          <w:lang w:val="en_US" w:bidi="en_US"/>
        </w:rPr>
        <w:t xml:space="preserve"> will weep/wail with grief/sorrow.</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why people who laugh now are in trouble. They are in trouble </w:t>
      </w:r>
      <w:r>
        <w:rPr>
          <w:u w:val="single"/>
          <w:lang w:val="en_US" w:bidi="en_US"/>
        </w:rPr>
        <w:t>because</w:t>
      </w:r>
      <w:r>
        <w:rPr>
          <w:lang w:val="en_US" w:bidi="en_US"/>
        </w:rPr>
        <w:t xml:space="preserve"> they will laugh only in this life. Later they will mourn and weep.</w:t>
      </w:r>
    </w:p>
    <w:p>
      <w:pPr/>
      <w:r>
        <w:rPr>
          <w:lang w:val="en_US" w:bidi="en_US"/>
        </w:rPr>
      </w:r>
      <w:r>
        <w:rPr>
          <w:b/>
          <w:lang w:val="en_US" w:bidi="en_US"/>
        </w:rPr>
        <w:t>you will mourn and weep:</w:t>
      </w:r>
      <w:r>
        <w:rPr>
          <w:lang w:val="en_US" w:bidi="en_US"/>
        </w:rPr>
        <w:t xml:space="preserve"> The two verbs </w:t>
      </w:r>
      <w:r>
        <w:rPr>
          <w:i/>
          <w:lang w:val="en_US" w:bidi="en_US"/>
        </w:rPr>
        <w:t>mourn</w:t>
      </w:r>
      <w:r>
        <w:rPr>
          <w:lang w:val="en_US" w:bidi="en_US"/>
        </w:rPr>
        <w:t xml:space="preserve"> and </w:t>
      </w:r>
      <w:r>
        <w:rPr>
          <w:i/>
          <w:lang w:val="en_US" w:bidi="en_US"/>
        </w:rPr>
        <w:t>weep</w:t>
      </w:r>
      <w:r>
        <w:rPr>
          <w:lang w:val="en_US" w:bidi="en_US"/>
        </w:rPr>
        <w:t xml:space="preserve"> are a doublet. They have a very similar meaning. Together they emphasize the one idea of being sad. In some languages, stating the same idea in two different ways may not be a natural way to add emphasis. If your language is like that, you may translate both verbs by one verb. For example:</w:t>
      </w:r>
    </w:p>
    <w:p>
      <w:pPr/>
      <w:r>
        <w:rPr>
          <w:lang w:val="en_US" w:bidi="en_US"/>
        </w:rPr>
      </w:r>
      <w:r>
        <w:rPr>
          <w:lang w:val="en_US" w:bidi="en_US"/>
        </w:rPr>
        <w:t>you</w:t>
      </w:r>
      <w:r>
        <w:rPr>
          <w:vertAlign w:val="superscript"/>
          <w:lang w:val="en_US" w:bidi="en_US"/>
        </w:rPr>
        <w:t>(plur)</w:t>
      </w:r>
      <w:r>
        <w:rPr>
          <w:lang w:val="en_US" w:bidi="en_US"/>
        </w:rPr>
        <w:t xml:space="preserve"> will be very sorrowful</w:t>
      </w:r>
    </w:p>
    <w:p>
      <w:pPr/>
      <w:r>
        <w:rPr>
          <w:lang w:val="en_US" w:bidi="en_US"/>
        </w:rPr>
      </w:r>
      <w:r>
        <w:rPr>
          <w:lang w:val="en_US" w:bidi="en_US"/>
        </w:rPr>
        <w:t>you will weep from sorrow</w:t>
      </w:r>
    </w:p>
    <w:p>
      <w:pPr/>
      <w:r>
        <w:rPr>
          <w:lang w:val="en_US" w:bidi="en_US"/>
        </w:rPr>
      </w:r>
      <w:r>
        <w:rPr>
          <w:b/>
          <w:lang w:val="en_US" w:bidi="en_US"/>
        </w:rPr>
        <w:t>mourn:</w:t>
      </w:r>
      <w:r>
        <w:rPr>
          <w:lang w:val="en_US" w:bidi="en_US"/>
        </w:rPr>
        <w:t xml:space="preserve"> The Greek word that the BSB translates as </w:t>
      </w:r>
      <w:r>
        <w:rPr>
          <w:i/>
          <w:lang w:val="en_US" w:bidi="en_US"/>
        </w:rPr>
        <w:t>mourn</w:t>
      </w:r>
      <w:r>
        <w:rPr>
          <w:lang w:val="en_US" w:bidi="en_US"/>
        </w:rPr>
        <w:t xml:space="preserve"> also means “be sad” or “grieve.” People often mourn when someone dies. Another way to translate this is:</w:t>
      </w:r>
    </w:p>
    <w:p>
      <w:pPr/>
      <w:r>
        <w:rPr>
          <w:lang w:val="en_US" w:bidi="en_US"/>
        </w:rPr>
      </w:r>
      <w:r>
        <w:rPr>
          <w:lang w:val="en_US" w:bidi="en_US"/>
        </w:rPr>
        <w:t>be sad (NCV)</w:t>
      </w:r>
    </w:p>
    <w:p>
      <w:pPr/>
      <w:r>
        <w:rPr>
          <w:lang w:val="en_US" w:bidi="en_US"/>
        </w:rPr>
      </w:r>
      <w:r>
        <w:rPr>
          <w:b/>
          <w:lang w:val="en_US" w:bidi="en_US"/>
        </w:rPr>
        <w:t>weep:</w:t>
      </w:r>
      <w:r>
        <w:rPr>
          <w:lang w:val="en_US" w:bidi="en_US"/>
        </w:rPr>
        <w:t xml:space="preserve"> The Greek word that the BSB translates as weep also means “cry.” For example:</w:t>
      </w:r>
    </w:p>
    <w:p>
      <w:pPr/>
      <w:r>
        <w:rPr>
          <w:lang w:val="en_US" w:bidi="en_US"/>
        </w:rPr>
      </w:r>
      <w:r>
        <w:rPr>
          <w:lang w:val="en_US" w:bidi="en_US"/>
        </w:rPr>
        <w:t>cry (GW)</w:t>
      </w:r>
      <w:r>
        <w:rPr>
          <w:lang w:val="en_US" w:bidi="en_US"/>
        </w:rPr>
      </w:r>
      <w:r>
        <w:rPr>
          <w:lang w:val="en_US" w:bidi="en_US"/>
        </w:rPr>
      </w:r>
    </w:p>
    <w:p>
      <w:pPr/>
      <w:r>
        <w:rPr>
          <w:lang w:val="en_US" w:bidi="en_US"/>
        </w:rPr>
      </w:r>
    </w:p>
    <w:p>
      <w:pPr>
        <w:pStyle w:val="Heading2"/>
      </w:pPr>
      <w:r>
        <w:rPr>
          <w:lang w:val="en_US" w:bidi="en_US"/>
        </w:rPr>
        <w:t>Luke 6:26</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6:24–26</w:t>
      </w:r>
    </w:p>
    <w:p>
      <w:pPr/>
      <w:r>
        <w:rPr>
          <w:lang w:val="en_US" w:bidi="en_US"/>
        </w:rPr>
      </w:r>
      <w:r>
        <w:rPr>
          <w:lang w:val="en_US" w:bidi="en_US"/>
        </w:rPr>
        <w:t>This paragraph contains four “woes.” Each woe is a general statement against those who are satisfied with their life here and do not seek God. Each “woe” contrasts with an earlier “blessed.” For example, 6:20b says:</w:t>
      </w:r>
    </w:p>
    <w:p>
      <w:pPr/>
      <w:r>
        <w:rPr>
          <w:lang w:val="en_US" w:bidi="en_US"/>
        </w:rPr>
      </w:r>
      <w:r>
        <w:rPr>
          <w:lang w:val="en_US" w:bidi="en_US"/>
        </w:rPr>
        <w:t>Blessed are you who are poor</w:t>
      </w:r>
    </w:p>
    <w:p>
      <w:pPr/>
      <w:r>
        <w:rPr>
          <w:lang w:val="en_US" w:bidi="en_US"/>
        </w:rPr>
      </w:r>
      <w:r>
        <w:rPr>
          <w:lang w:val="en_US" w:bidi="en_US"/>
        </w:rPr>
        <w:t>and 6:24a says:</w:t>
      </w:r>
    </w:p>
    <w:p>
      <w:pPr/>
      <w:r>
        <w:rPr>
          <w:lang w:val="en_US" w:bidi="en_US"/>
        </w:rPr>
      </w:r>
      <w:r>
        <w:rPr>
          <w:lang w:val="en_US" w:bidi="en_US"/>
        </w:rPr>
        <w:t>But woe to you who are rich</w:t>
      </w:r>
    </w:p>
    <w:p>
      <w:pPr/>
      <w:r>
        <w:rPr>
          <w:lang w:val="en_US" w:bidi="en_US"/>
        </w:rPr>
      </w:r>
      <w:r>
        <w:rPr>
          <w:lang w:val="en_US" w:bidi="en_US"/>
        </w:rPr>
        <w:t>As in the statements about being blessed, Jesus addressed the people as “you</w:t>
      </w:r>
      <w:r>
        <w:rPr>
          <w:vertAlign w:val="superscript"/>
          <w:lang w:val="en_US" w:bidi="en_US"/>
        </w:rPr>
        <w:t>(plur)</w:t>
      </w:r>
      <w:r>
        <w:rPr>
          <w:lang w:val="en_US" w:bidi="en_US"/>
        </w:rPr>
        <w:t>.” He was making general statements. He did not mean that everyone was rich, well fed, or laughing. Use a form that is natural in your language for general statements that are true. For example:</w:t>
      </w:r>
    </w:p>
    <w:p>
      <w:pPr/>
      <w:r>
        <w:rPr>
          <w:lang w:val="en_US" w:bidi="en_US"/>
        </w:rPr>
      </w:r>
      <w:r>
        <w:rPr>
          <w:lang w:val="en_US" w:bidi="en_US"/>
        </w:rPr>
        <w:t>Woe to you</w:t>
      </w:r>
      <w:r>
        <w:rPr>
          <w:vertAlign w:val="superscript"/>
          <w:lang w:val="en_US" w:bidi="en_US"/>
        </w:rPr>
        <w:t>(sing)</w:t>
      </w:r>
      <w:r>
        <w:rPr>
          <w:lang w:val="en_US" w:bidi="en_US"/>
        </w:rPr>
        <w:t xml:space="preserve"> who</w:t>
      </w:r>
    </w:p>
    <w:p>
      <w:pPr/>
      <w:r>
        <w:rPr>
          <w:lang w:val="en_US" w:bidi="en_US"/>
        </w:rPr>
      </w:r>
      <w:r>
        <w:rPr>
          <w:lang w:val="en_US" w:bidi="en_US"/>
        </w:rPr>
        <w:t>Woe to him</w:t>
      </w:r>
    </w:p>
    <w:p>
      <w:pPr/>
      <w:r>
        <w:rPr>
          <w:lang w:val="en_US" w:bidi="en_US"/>
        </w:rPr>
      </w:r>
      <w:r>
        <w:rPr>
          <w:lang w:val="en_US" w:bidi="en_US"/>
        </w:rPr>
        <w:t>Woe to they/people who</w:t>
      </w:r>
    </w:p>
    <w:p>
      <w:pPr/>
      <w:r>
        <w:rPr>
          <w:lang w:val="en_US" w:bidi="en_US"/>
        </w:rPr>
      </w:r>
      <w:r>
        <w:rPr>
          <w:lang w:val="en_US" w:bidi="en_US"/>
        </w:rPr>
        <w:t>Woe to those who</w:t>
      </w:r>
    </w:p>
    <w:p>
      <w:pPr/>
      <w:r>
        <w:rPr>
          <w:lang w:val="en_US" w:bidi="en_US"/>
        </w:rPr>
      </w:r>
      <w:r>
        <w:rPr>
          <w:lang w:val="en_US" w:bidi="en_US"/>
        </w:rPr>
        <w:t>If possible, use the same pronoun as the one you used for the statement about being blessed.</w:t>
      </w:r>
    </w:p>
    <w:p>
      <w:pPr>
        <w:pStyle w:val="Heading5"/>
      </w:pPr>
      <w:r>
        <w:rPr>
          <w:lang w:val="en_US" w:bidi="en_US"/>
        </w:rPr>
        <w:t>6:26</w:t>
      </w:r>
    </w:p>
    <w:p>
      <w:pPr/>
      <w:r>
        <w:rPr>
          <w:lang w:val="en_US" w:bidi="en_US"/>
        </w:rPr>
      </w:r>
      <w:r>
        <w:rPr>
          <w:lang w:val="en_US" w:bidi="en_US"/>
        </w:rPr>
        <w:t>This woe is the opposite of the blessing in 6:22–23. The contrast is as follows: Those who are persecuted will be honored for their faithfulness. They are “blessed.” Those who are honored in this life are in trouble. Try to make this clear in your translation.</w:t>
      </w:r>
    </w:p>
    <w:p>
      <w:pPr>
        <w:pStyle w:val="Heading5"/>
      </w:pPr>
      <w:r>
        <w:rPr>
          <w:lang w:val="en_US" w:bidi="en_US"/>
        </w:rPr>
        <w:t>6:26a</w:t>
      </w:r>
    </w:p>
    <w:p>
      <w:pPr/>
      <w:r>
        <w:rPr>
          <w:lang w:val="en_US" w:bidi="en_US"/>
        </w:rPr>
      </w:r>
      <w:r>
        <w:rPr>
          <w:b/>
          <w:lang w:val="en_US" w:bidi="en_US"/>
        </w:rPr>
        <w:t>Woe to you when all men speak well of you,</w:t>
      </w:r>
    </w:p>
    <w:p>
      <w:pPr>
        <w:pStyle w:val="ListBullet"/>
        <w:spacing w:line="240" w:lineRule="auto"/>
        <w:ind w:left="720"/>
      </w:pPr>
      <w:r>
        <w:rPr>
          <w:lang w:val="en_US" w:bidi="en_US"/>
        </w:rPr>
      </w:r>
      <w:r>
        <w:rPr>
          <w:lang w:val="en_US" w:bidi="en_US"/>
        </w:rPr>
        <w:t>How bad/terrible it will be for you</w:t>
      </w:r>
      <w:r>
        <w:rPr>
          <w:vertAlign w:val="superscript"/>
          <w:lang w:val="en_US" w:bidi="en_US"/>
        </w:rPr>
        <w:t>(plur)</w:t>
      </w:r>
      <w:r>
        <w:rPr>
          <w:lang w:val="en_US" w:bidi="en_US"/>
        </w:rPr>
        <w:t xml:space="preserve"> when everyone says good things about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have great distress/trouble, you whom everyone praises.</w:t>
      </w:r>
    </w:p>
    <w:p>
      <w:pPr/>
      <w:r>
        <w:rPr>
          <w:lang w:val="en_US" w:bidi="en_US"/>
        </w:rPr>
      </w:r>
      <w:r>
        <w:rPr>
          <w:b/>
          <w:lang w:val="en_US" w:bidi="en_US"/>
        </w:rPr>
        <w:t>Woe to you:</w:t>
      </w:r>
      <w:r>
        <w:rPr>
          <w:lang w:val="en_US" w:bidi="en_US"/>
        </w:rPr>
        <w:t xml:space="preserve"> Translate this the same way you did in 6:24a.</w:t>
      </w:r>
    </w:p>
    <w:p>
      <w:pPr/>
      <w:r>
        <w:rPr>
          <w:lang w:val="en_US" w:bidi="en_US"/>
        </w:rPr>
      </w:r>
      <w:r>
        <w:rPr>
          <w:b/>
          <w:lang w:val="en_US" w:bidi="en_US"/>
        </w:rPr>
        <w:t>all men:</w:t>
      </w:r>
      <w:r>
        <w:rPr>
          <w:lang w:val="en_US" w:bidi="en_US"/>
        </w:rPr>
        <w:t xml:space="preserve"> The phrase </w:t>
      </w:r>
      <w:r>
        <w:rPr>
          <w:i/>
          <w:lang w:val="en_US" w:bidi="en_US"/>
        </w:rPr>
        <w:t>all men</w:t>
      </w:r>
      <w:r>
        <w:rPr>
          <w:lang w:val="en_US" w:bidi="en_US"/>
        </w:rPr>
        <w:t xml:space="preserve"> is hyperbole. It means “many people.” It does not mean every person in the world.</w:t>
      </w:r>
    </w:p>
    <w:p>
      <w:pPr/>
      <w:r>
        <w:rPr>
          <w:lang w:val="en_US" w:bidi="en_US"/>
        </w:rPr>
      </w:r>
      <w:r>
        <w:rPr>
          <w:b/>
          <w:lang w:val="en_US" w:bidi="en_US"/>
        </w:rPr>
        <w:t>speak well of you:</w:t>
      </w:r>
      <w:r>
        <w:rPr>
          <w:lang w:val="en_US" w:bidi="en_US"/>
        </w:rPr>
        <w:t xml:space="preserve"> The phrase </w:t>
      </w:r>
      <w:r>
        <w:rPr>
          <w:i/>
          <w:lang w:val="en_US" w:bidi="en_US"/>
        </w:rPr>
        <w:t>speak well of you</w:t>
      </w:r>
      <w:r>
        <w:rPr>
          <w:lang w:val="en_US" w:bidi="en_US"/>
        </w:rPr>
        <w:t xml:space="preserve"> means “praise you” or “honor you.” It refers to being popular. It is the opposite of being excluded and rejected. Some other ways to translate this are:</w:t>
      </w:r>
    </w:p>
    <w:p>
      <w:pPr/>
      <w:r>
        <w:rPr>
          <w:lang w:val="en_US" w:bidi="en_US"/>
        </w:rPr>
      </w:r>
      <w:r>
        <w:rPr>
          <w:lang w:val="en_US" w:bidi="en_US"/>
        </w:rPr>
        <w:t>everyone says good things about you (CEV)</w:t>
      </w:r>
    </w:p>
    <w:p>
      <w:pPr/>
      <w:r>
        <w:rPr>
          <w:lang w:val="en_US" w:bidi="en_US"/>
        </w:rPr>
      </w:r>
      <w:r>
        <w:rPr>
          <w:lang w:val="en_US" w:bidi="en_US"/>
        </w:rPr>
        <w:t>you who are praised by the crowds (NLT)</w:t>
      </w:r>
    </w:p>
    <w:p>
      <w:pPr>
        <w:pStyle w:val="Heading5"/>
      </w:pPr>
      <w:r>
        <w:rPr>
          <w:lang w:val="en_US" w:bidi="en_US"/>
        </w:rPr>
        <w:t>6:26b</w:t>
      </w:r>
    </w:p>
    <w:p>
      <w:pPr/>
      <w:r>
        <w:rPr>
          <w:lang w:val="en_US" w:bidi="en_US"/>
        </w:rPr>
      </w:r>
      <w:r>
        <w:rPr>
          <w:b/>
          <w:lang w:val="en_US" w:bidi="en_US"/>
        </w:rPr>
        <w:t>for their fathers treated the false prophets in the same way.</w:t>
      </w:r>
    </w:p>
    <w:p>
      <w:pPr>
        <w:pStyle w:val="ListBullet"/>
        <w:spacing w:line="240" w:lineRule="auto"/>
        <w:ind w:left="720"/>
      </w:pPr>
      <w:r>
        <w:rPr>
          <w:lang w:val="en_US" w:bidi="en_US"/>
        </w:rPr>
      </w:r>
      <w:r>
        <w:rPr>
          <w:lang w:val="en_US" w:bidi="en_US"/>
        </w:rPr>
        <w:t>for/because that is the same way their ancestors acted toward the false prophets.</w:t>
      </w:r>
    </w:p>
    <w:p>
      <w:pPr>
        <w:pStyle w:val="ListBullet"/>
        <w:spacing w:line="240" w:lineRule="auto"/>
        <w:ind w:left="720"/>
      </w:pPr>
      <w:r>
        <w:rPr>
          <w:lang w:val="en_US" w:bidi="en_US"/>
        </w:rPr>
      </w:r>
      <w:r>
        <w:rPr>
          <w:lang w:val="en_US" w:bidi="en_US"/>
        </w:rPr>
        <w:t xml:space="preserve">The ancestors of these people spoke </w:t>
      </w:r>
      <w:r>
        <w:rPr>
          <w:lang w:val="en_US" w:bidi="en_US"/>
        </w:rPr>
        <w:t>well</w:t>
      </w:r>
      <w:r>
        <w:rPr>
          <w:lang w:val="en_US" w:bidi="en_US"/>
        </w:rPr>
        <w:t xml:space="preserve"> in that same way to those who falsely claimed to be </w:t>
      </w:r>
      <w:r>
        <w:rPr>
          <w:lang w:val="en_US" w:bidi="en_US"/>
        </w:rPr>
        <w:t>God’s</w:t>
      </w:r>
      <w:r>
        <w:rPr>
          <w:lang w:val="en_US" w:bidi="en_US"/>
        </w:rPr>
        <w:t xml:space="preserve"> prophets. </w:t>
      </w:r>
      <w:r>
        <w:rPr>
          <w:lang w:val="en_US" w:bidi="en_US"/>
        </w:rPr>
        <w:t>This shows that you, like them, are false prophets.</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why people who seek worldly approval are in trouble. They are in trouble </w:t>
      </w:r>
      <w:r>
        <w:rPr>
          <w:u w:val="single"/>
          <w:lang w:val="en_US" w:bidi="en_US"/>
        </w:rPr>
        <w:t>because</w:t>
      </w:r>
      <w:r>
        <w:rPr>
          <w:lang w:val="en_US" w:bidi="en_US"/>
        </w:rPr>
        <w:t xml:space="preserve"> people honor them just as they honored false prophets.</w:t>
      </w:r>
    </w:p>
    <w:p>
      <w:pPr/>
      <w:r>
        <w:rPr>
          <w:lang w:val="en_US" w:bidi="en_US"/>
        </w:rPr>
      </w:r>
      <w:r>
        <w:rPr>
          <w:b/>
          <w:lang w:val="en_US" w:bidi="en_US"/>
        </w:rPr>
        <w:t>their fathers treated the false prophets in the same way:</w:t>
      </w:r>
      <w:r>
        <w:rPr>
          <w:lang w:val="en_US" w:bidi="en_US"/>
        </w:rPr>
        <w:t xml:space="preserve"> The Greek phrase that the BSB translates as </w:t>
      </w:r>
      <w:r>
        <w:rPr>
          <w:i/>
          <w:lang w:val="en_US" w:bidi="en_US"/>
        </w:rPr>
        <w:t>in the same way</w:t>
      </w:r>
      <w:r>
        <w:rPr>
          <w:lang w:val="en_US" w:bidi="en_US"/>
        </w:rPr>
        <w:t xml:space="preserve"> is literally “according to the same.” Here it means that just as people honored the false prophets, “in the same way” they will honor you. It implies that they are like the false prophets. They are not true followers of God.</w:t>
      </w:r>
    </w:p>
    <w:p>
      <w:pPr/>
      <w:r>
        <w:rPr>
          <w:lang w:val="en_US" w:bidi="en_US"/>
        </w:rPr>
      </w:r>
      <w:r>
        <w:rPr>
          <w:lang w:val="en_US" w:bidi="en_US"/>
        </w:rPr>
        <w:t>Some other ways to translate this are:</w:t>
      </w:r>
    </w:p>
    <w:p>
      <w:pPr/>
      <w:r>
        <w:rPr>
          <w:lang w:val="en_US" w:bidi="en_US"/>
        </w:rPr>
      </w:r>
      <w:r>
        <w:rPr>
          <w:lang w:val="en_US" w:bidi="en_US"/>
        </w:rPr>
        <w:t>their ancestors said the very same things about the false prophets (GNT)</w:t>
      </w:r>
    </w:p>
    <w:p>
      <w:pPr/>
      <w:r>
        <w:rPr>
          <w:lang w:val="en_US" w:bidi="en_US"/>
        </w:rPr>
      </w:r>
      <w:r>
        <w:rPr>
          <w:lang w:val="en_US" w:bidi="en_US"/>
        </w:rPr>
        <w:t>their ancestors also praised false prophets (NLT)</w:t>
      </w:r>
    </w:p>
    <w:p>
      <w:pPr/>
      <w:r>
        <w:rPr>
          <w:lang w:val="en_US" w:bidi="en_US"/>
        </w:rPr>
      </w:r>
      <w:r>
        <w:rPr>
          <w:lang w:val="en_US" w:bidi="en_US"/>
        </w:rPr>
        <w:t xml:space="preserve">that is how their fathers treated the false prophets </w:t>
      </w:r>
      <w:r>
        <w:rPr>
          <w:lang w:val="en_US" w:bidi="en_US"/>
        </w:rPr>
        <w:t>and it shows that you are like them</w:t>
      </w:r>
    </w:p>
    <w:p>
      <w:pPr/>
      <w:r>
        <w:rPr>
          <w:lang w:val="en_US" w:bidi="en_US"/>
        </w:rPr>
      </w:r>
      <w:r>
        <w:rPr>
          <w:b/>
          <w:lang w:val="en_US" w:bidi="en_US"/>
        </w:rPr>
        <w:t>their fathers:</w:t>
      </w:r>
      <w:r>
        <w:rPr>
          <w:lang w:val="en_US" w:bidi="en_US"/>
        </w:rPr>
        <w:t xml:space="preserve"> The phrase </w:t>
      </w:r>
      <w:r>
        <w:rPr>
          <w:i/>
          <w:lang w:val="en_US" w:bidi="en_US"/>
        </w:rPr>
        <w:t>their fathers</w:t>
      </w:r>
      <w:r>
        <w:rPr>
          <w:lang w:val="en_US" w:bidi="en_US"/>
        </w:rPr>
        <w:t xml:space="preserve"> is a figure of speech. It means “ancestors.” For example:</w:t>
      </w:r>
    </w:p>
    <w:p>
      <w:pPr/>
      <w:r>
        <w:rPr>
          <w:lang w:val="en_US" w:bidi="en_US"/>
        </w:rPr>
      </w:r>
      <w:r>
        <w:rPr>
          <w:lang w:val="en_US" w:bidi="en_US"/>
        </w:rPr>
        <w:t>their ancestors (GNT)</w:t>
      </w:r>
    </w:p>
    <w:p>
      <w:pPr/>
      <w:r>
        <w:rPr>
          <w:lang w:val="en_US" w:bidi="en_US"/>
        </w:rPr>
      </w:r>
      <w:r>
        <w:rPr>
          <w:lang w:val="en_US" w:bidi="en_US"/>
        </w:rPr>
        <w:t>These were the ancestors of the people “who speak well of you” in 6:26a.</w:t>
      </w:r>
    </w:p>
    <w:p>
      <w:pPr/>
      <w:r>
        <w:rPr>
          <w:lang w:val="en_US" w:bidi="en_US"/>
        </w:rPr>
      </w:r>
      <w:r>
        <w:rPr>
          <w:lang w:val="en_US" w:bidi="en_US"/>
        </w:rPr>
        <w:t>This same phrase occurs in 6:23c.</w:t>
      </w:r>
    </w:p>
    <w:p>
      <w:pPr/>
      <w:r>
        <w:rPr>
          <w:lang w:val="en_US" w:bidi="en_US"/>
        </w:rPr>
      </w:r>
      <w:r>
        <w:rPr>
          <w:b/>
          <w:lang w:val="en_US" w:bidi="en_US"/>
        </w:rPr>
        <w:t>false prophets:</w:t>
      </w:r>
      <w:r>
        <w:rPr>
          <w:lang w:val="en_US" w:bidi="en_US"/>
        </w:rPr>
        <w:t xml:space="preserve"> A </w:t>
      </w:r>
      <w:r>
        <w:rPr>
          <w:i/>
          <w:lang w:val="en_US" w:bidi="en_US"/>
        </w:rPr>
        <w:t>false prophet</w:t>
      </w:r>
      <w:r>
        <w:rPr>
          <w:lang w:val="en_US" w:bidi="en_US"/>
        </w:rPr>
        <w:t xml:space="preserve"> was a person who claimed to speak messages from God but did not really receive his messages from God. Such people were not real prophets. Some other ways to translate this are:</w:t>
      </w:r>
    </w:p>
    <w:p>
      <w:pPr/>
      <w:r>
        <w:rPr>
          <w:lang w:val="en_US" w:bidi="en_US"/>
        </w:rPr>
      </w:r>
      <w:r>
        <w:rPr>
          <w:lang w:val="en_US" w:bidi="en_US"/>
        </w:rPr>
        <w:t>those prophets who told lies (CEV)</w:t>
      </w:r>
    </w:p>
    <w:p>
      <w:pPr/>
      <w:r>
        <w:rPr>
          <w:lang w:val="en_US" w:bidi="en_US"/>
        </w:rPr>
      </w:r>
      <w:r>
        <w:rPr>
          <w:lang w:val="en_US" w:bidi="en_US"/>
        </w:rPr>
        <w:t>lying prophets</w:t>
      </w:r>
    </w:p>
    <w:p>
      <w:pPr/>
      <w:r>
        <w:rPr>
          <w:lang w:val="en_US" w:bidi="en_US"/>
        </w:rPr>
      </w:r>
      <w:r>
        <w:rPr>
          <w:lang w:val="en_US" w:bidi="en_US"/>
        </w:rPr>
        <w:t>those who are not true prophets</w:t>
      </w:r>
    </w:p>
    <w:p>
      <w:pPr/>
      <w:r>
        <w:rPr>
          <w:lang w:val="en_US" w:bidi="en_US"/>
        </w:rPr>
      </w:r>
      <w:r>
        <w:rPr>
          <w:lang w:val="en_US" w:bidi="en_US"/>
        </w:rPr>
        <w:t>those who spread false messages</w:t>
      </w:r>
    </w:p>
    <w:p>
      <w:pPr/>
      <w:r>
        <w:rPr>
          <w:lang w:val="en_US" w:bidi="en_US"/>
        </w:rPr>
      </w:r>
      <w:r>
        <w:rPr>
          <w:lang w:val="en_US" w:bidi="en_US"/>
        </w:rPr>
        <w:t xml:space="preserve">people who claim/pretend to be God’s prophets </w:t>
      </w:r>
      <w:r>
        <w:rPr>
          <w:lang w:val="en_US" w:bidi="en_US"/>
        </w:rPr>
        <w:t>but really are not</w:t>
      </w:r>
    </w:p>
    <w:p>
      <w:pPr/>
      <w:r>
        <w:rPr>
          <w:lang w:val="en_US" w:bidi="en_US"/>
        </w:rPr>
      </w:r>
      <w:r>
        <w:rPr>
          <w:lang w:val="en_US" w:bidi="en_US"/>
        </w:rPr>
        <w:t xml:space="preserve">See also the note on </w:t>
      </w:r>
      <w:r>
        <w:rPr>
          <w:i/>
          <w:lang w:val="en_US" w:bidi="en_US"/>
        </w:rPr>
        <w:t>prophets</w:t>
      </w:r>
      <w:r>
        <w:rPr>
          <w:lang w:val="en_US" w:bidi="en_US"/>
        </w:rPr>
        <w:t xml:space="preserve"> at 6:23c.</w:t>
      </w:r>
      <w:r>
        <w:rPr>
          <w:lang w:val="en_US" w:bidi="en_US"/>
        </w:rPr>
      </w:r>
      <w:r>
        <w:rPr>
          <w:lang w:val="en_US" w:bidi="en_US"/>
        </w:rPr>
      </w:r>
    </w:p>
    <w:p>
      <w:pPr/>
      <w:r>
        <w:rPr>
          <w:lang w:val="en_US" w:bidi="en_US"/>
        </w:rPr>
      </w:r>
    </w:p>
    <w:p>
      <w:pPr>
        <w:pStyle w:val="Heading2"/>
      </w:pPr>
      <w:r>
        <w:rPr>
          <w:lang w:val="en_US" w:bidi="en_US"/>
        </w:rPr>
        <w:t>Luke 6:27</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6:27–31</w:t>
      </w:r>
    </w:p>
    <w:p>
      <w:pPr/>
      <w:r>
        <w:rPr>
          <w:lang w:val="en_US" w:bidi="en_US"/>
        </w:rPr>
      </w:r>
      <w:r>
        <w:rPr>
          <w:lang w:val="en_US" w:bidi="en_US"/>
        </w:rPr>
        <w:t>In this paragraph, Jesus taught his disciples that they should love people who do not treat them well. Jesus emphasized this point by restating the command in four different ways. Then Jesus gave four examples of showing love to enemies and a general statement of how to treat others.</w:t>
      </w:r>
    </w:p>
    <w:p>
      <w:pPr/>
      <w:r>
        <w:rPr>
          <w:lang w:val="en_US" w:bidi="en_US"/>
        </w:rPr>
      </w:r>
      <w:r>
        <w:rPr>
          <w:lang w:val="en_US" w:bidi="en_US"/>
        </w:rPr>
        <w:t>Some English versions have a section heading here, but Jesus was continuing the sermon that he began in 6:20b. If you put a heading here, you may need to make it explicit that Jesus was still talking. For example:</w:t>
      </w:r>
    </w:p>
    <w:p>
      <w:pPr/>
      <w:r>
        <w:rPr>
          <w:lang w:val="en_US" w:bidi="en_US"/>
        </w:rPr>
      </w:r>
      <w:r>
        <w:rPr>
          <w:lang w:val="en_US" w:bidi="en_US"/>
        </w:rPr>
        <w:t>Jesus continued teaching, and he said,</w:t>
      </w:r>
      <w:r>
        <w:rPr>
          <w:lang w:val="en_US" w:bidi="en_US"/>
        </w:rPr>
        <w:t xml:space="preserve"> “But I tell you…”</w:t>
      </w:r>
    </w:p>
    <w:p>
      <w:pPr>
        <w:pStyle w:val="Heading5"/>
      </w:pPr>
      <w:r>
        <w:rPr>
          <w:lang w:val="en_US" w:bidi="en_US"/>
        </w:rPr>
        <w:t>6:27a</w:t>
      </w:r>
    </w:p>
    <w:p>
      <w:pPr/>
      <w:r>
        <w:rPr>
          <w:lang w:val="en_US" w:bidi="en_US"/>
        </w:rPr>
      </w:r>
      <w:r>
        <w:rPr>
          <w:b/>
          <w:lang w:val="en_US" w:bidi="en_US"/>
        </w:rPr>
        <w:t>But to those of you who will listen, I say:</w:t>
      </w:r>
    </w:p>
    <w:p>
      <w:pPr>
        <w:pStyle w:val="ListBullet"/>
        <w:spacing w:line="240" w:lineRule="auto"/>
        <w:ind w:left="720"/>
      </w:pPr>
      <w:r>
        <w:rPr>
          <w:lang w:val="en_US" w:bidi="en_US"/>
        </w:rPr>
      </w:r>
      <w:r>
        <w:rPr>
          <w:lang w:val="en_US" w:bidi="en_US"/>
        </w:rPr>
        <w:t>¶ “Now, you</w:t>
      </w:r>
      <w:r>
        <w:rPr>
          <w:vertAlign w:val="superscript"/>
          <w:lang w:val="en_US" w:bidi="en_US"/>
        </w:rPr>
        <w:t>(plur)</w:t>
      </w:r>
      <w:r>
        <w:rPr>
          <w:lang w:val="en_US" w:bidi="en_US"/>
        </w:rPr>
        <w:t xml:space="preserve"> who are listening to me, I say this to you:</w:t>
      </w:r>
    </w:p>
    <w:p>
      <w:pPr>
        <w:pStyle w:val="ListBullet"/>
        <w:spacing w:line="240" w:lineRule="auto"/>
        <w:ind w:left="720"/>
      </w:pPr>
      <w:r>
        <w:rPr>
          <w:lang w:val="en_US" w:bidi="en_US"/>
        </w:rPr>
      </w:r>
      <w:r>
        <w:rPr>
          <w:lang w:val="en_US" w:bidi="en_US"/>
        </w:rPr>
        <w:t xml:space="preserve">¶ </w:t>
      </w:r>
      <w:r>
        <w:rPr>
          <w:lang w:val="en_US" w:bidi="en_US"/>
        </w:rPr>
        <w:t>Jesus continued teaching, and he said,</w:t>
      </w:r>
      <w:r>
        <w:rPr>
          <w:lang w:val="en_US" w:bidi="en_US"/>
        </w:rPr>
        <w:t xml:space="preserve"> “Here is what I say to you</w:t>
      </w:r>
      <w:r>
        <w:rPr>
          <w:vertAlign w:val="superscript"/>
          <w:lang w:val="en_US" w:bidi="en_US"/>
        </w:rPr>
        <w:t>(plur)</w:t>
      </w:r>
      <w:r>
        <w:rPr>
          <w:lang w:val="en_US" w:bidi="en_US"/>
        </w:rPr>
        <w:t xml:space="preserve"> who are listening to me,</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introduces a change in focus. Jesus stopped addressing the people who had wrong values (6:24–26). In 6:27, he again spoke to his disciples. Express this change in focus in a natural way in your language.</w:t>
      </w:r>
    </w:p>
    <w:p>
      <w:pPr/>
      <w:r>
        <w:rPr>
          <w:lang w:val="en_US" w:bidi="en_US"/>
        </w:rPr>
      </w:r>
      <w:r>
        <w:rPr>
          <w:b/>
          <w:lang w:val="en_US" w:bidi="en_US"/>
        </w:rPr>
        <w:t>to those of you who will listen, I say:</w:t>
      </w:r>
      <w:r>
        <w:rPr>
          <w:lang w:val="en_US" w:bidi="en_US"/>
        </w:rPr>
        <w:t xml:space="preserve"> The phrase that the BSB translates as </w:t>
      </w:r>
      <w:r>
        <w:rPr>
          <w:i/>
          <w:lang w:val="en_US" w:bidi="en_US"/>
        </w:rPr>
        <w:t>to those of you who will listen, I say</w:t>
      </w:r>
      <w:r>
        <w:rPr>
          <w:lang w:val="en_US" w:bidi="en_US"/>
        </w:rPr>
        <w:t xml:space="preserve"> is literally “to you I say, to the ones hearing.” Jesus addressed his disciples as “you” and as “the ones hearing.” He was drawing attention to what he wanted to say.</w:t>
      </w:r>
    </w:p>
    <w:p>
      <w:pPr/>
      <w:r>
        <w:rPr>
          <w:lang w:val="en_US" w:bidi="en_US"/>
        </w:rPr>
      </w:r>
      <w:r>
        <w:rPr>
          <w:lang w:val="en_US" w:bidi="en_US"/>
        </w:rPr>
        <w:t>Some other ways to translate this are:</w:t>
      </w:r>
    </w:p>
    <w:p>
      <w:pPr/>
      <w:r>
        <w:rPr>
          <w:lang w:val="en_US" w:bidi="en_US"/>
        </w:rPr>
      </w:r>
      <w:r>
        <w:rPr>
          <w:lang w:val="en_US" w:bidi="en_US"/>
        </w:rPr>
        <w:t>This is what I say to all who will listen to me… (CEV)</w:t>
      </w:r>
    </w:p>
    <w:p>
      <w:pPr/>
      <w:r>
        <w:rPr>
          <w:lang w:val="en_US" w:bidi="en_US"/>
        </w:rPr>
      </w:r>
      <w:r>
        <w:rPr>
          <w:lang w:val="en_US" w:bidi="en_US"/>
        </w:rPr>
        <w:t>Jesus continued to say, “What I will say to you who are listening to me is…”</w:t>
      </w:r>
    </w:p>
    <w:p>
      <w:pPr/>
      <w:r>
        <w:rPr>
          <w:lang w:val="en_US" w:bidi="en_US"/>
        </w:rPr>
      </w:r>
      <w:r>
        <w:rPr>
          <w:lang w:val="en_US" w:bidi="en_US"/>
        </w:rPr>
        <w:t>Now, you who are listening to me, I say this to you…</w:t>
      </w:r>
    </w:p>
    <w:p>
      <w:pPr>
        <w:pStyle w:val="Heading5"/>
      </w:pPr>
      <w:r>
        <w:rPr>
          <w:lang w:val="en_US" w:bidi="en_US"/>
        </w:rPr>
        <w:t>6:27b–28</w:t>
      </w:r>
    </w:p>
    <w:p>
      <w:pPr/>
      <w:r>
        <w:rPr>
          <w:lang w:val="en_US" w:bidi="en_US"/>
        </w:rPr>
      </w:r>
      <w:r>
        <w:rPr>
          <w:lang w:val="en_US" w:bidi="en_US"/>
        </w:rPr>
        <w:t>There are four commands in these verses: “love,” “do good,” “bless,” and “pray for.” The verb form used for each command indicates an action that is repeated. Jesus commanded his disciples to regularly do these things.</w:t>
      </w:r>
    </w:p>
    <w:p>
      <w:pPr/>
      <w:r>
        <w:rPr>
          <w:lang w:val="en_US" w:bidi="en_US"/>
        </w:rPr>
      </w:r>
      <w:r>
        <w:rPr>
          <w:lang w:val="en_US" w:bidi="en_US"/>
        </w:rPr>
        <w:t>The commands are general commands that apply to everyone individually. They are in the plural form.</w:t>
      </w:r>
    </w:p>
    <w:p>
      <w:pPr/>
      <w:r>
        <w:rPr>
          <w:lang w:val="en_US" w:bidi="en_US"/>
        </w:rPr>
      </w:r>
      <w:r>
        <w:rPr>
          <w:lang w:val="en_US" w:bidi="en_US"/>
        </w:rPr>
        <w:t>Consider what form your language would use for general commands that apply to everyone.</w:t>
      </w:r>
    </w:p>
    <w:p>
      <w:pPr>
        <w:pStyle w:val="ListBullet"/>
        <w:spacing w:line="240" w:lineRule="auto"/>
        <w:ind w:left="720"/>
      </w:pPr>
      <w:r>
        <w:rPr>
          <w:lang w:val="en_US" w:bidi="en_US"/>
        </w:rPr>
      </w:r>
      <w:r>
        <w:rPr>
          <w:lang w:val="en_US" w:bidi="en_US"/>
        </w:rPr>
        <w:t>In some languages, it may be the plural form. For example:</w:t>
      </w:r>
      <w:r>
        <w:rPr>
          <w:lang w:val="en_US" w:bidi="en_US"/>
        </w:rPr>
        <w:t>love your</w:t>
      </w:r>
      <w:r>
        <w:rPr>
          <w:vertAlign w:val="superscript"/>
          <w:lang w:val="en_US" w:bidi="en_US"/>
        </w:rPr>
        <w:t>(plur)</w:t>
      </w:r>
      <w:r>
        <w:rPr>
          <w:lang w:val="en_US" w:bidi="en_US"/>
        </w:rPr>
        <w:t xml:space="preserve"> enemies</w:t>
      </w:r>
      <w:r>
        <w:rPr>
          <w:lang w:val="en_US" w:bidi="en_US"/>
        </w:rPr>
        <w:t>you</w:t>
      </w:r>
      <w:r>
        <w:rPr>
          <w:lang w:val="en_US" w:bidi="en_US"/>
        </w:rPr>
        <w:t xml:space="preserve"> </w:t>
      </w:r>
      <w:r>
        <w:rPr>
          <w:vertAlign w:val="superscript"/>
          <w:lang w:val="en_US" w:bidi="en_US"/>
        </w:rPr>
        <w:t>(plur)</w:t>
      </w:r>
      <w:r>
        <w:rPr>
          <w:lang w:val="en_US" w:bidi="en_US"/>
        </w:rPr>
        <w:t xml:space="preserve"> </w:t>
      </w:r>
      <w:r>
        <w:rPr>
          <w:lang w:val="en_US" w:bidi="en_US"/>
        </w:rPr>
        <w:t>should/must</w:t>
      </w:r>
      <w:r>
        <w:rPr>
          <w:lang w:val="en_US" w:bidi="en_US"/>
        </w:rPr>
        <w:t xml:space="preserve"> love your enemies</w:t>
      </w:r>
    </w:p>
    <w:p>
      <w:pPr>
        <w:pStyle w:val="ListBullet"/>
        <w:spacing w:line="240" w:lineRule="auto"/>
        <w:ind w:left="720"/>
      </w:pPr>
      <w:r>
        <w:rPr>
          <w:lang w:val="en_US" w:bidi="en_US"/>
        </w:rPr>
      </w:r>
      <w:r>
        <w:rPr>
          <w:lang w:val="en_US" w:bidi="en_US"/>
        </w:rPr>
        <w:t>In some languages, it may be the singular form. For example:</w:t>
      </w:r>
      <w:r>
        <w:rPr>
          <w:lang w:val="en_US" w:bidi="en_US"/>
        </w:rPr>
        <w:t>love your</w:t>
      </w:r>
      <w:r>
        <w:rPr>
          <w:vertAlign w:val="superscript"/>
          <w:lang w:val="en_US" w:bidi="en_US"/>
        </w:rPr>
        <w:t>(sing)</w:t>
      </w:r>
      <w:r>
        <w:rPr>
          <w:lang w:val="en_US" w:bidi="en_US"/>
        </w:rPr>
        <w:t xml:space="preserve"> enemies</w:t>
      </w:r>
      <w:r>
        <w:rPr>
          <w:lang w:val="en_US" w:bidi="en_US"/>
        </w:rPr>
        <w:t>you</w:t>
      </w:r>
      <w:r>
        <w:rPr>
          <w:lang w:val="en_US" w:bidi="en_US"/>
        </w:rPr>
        <w:t xml:space="preserve"> </w:t>
      </w:r>
      <w:r>
        <w:rPr>
          <w:vertAlign w:val="superscript"/>
          <w:lang w:val="en_US" w:bidi="en_US"/>
        </w:rPr>
        <w:t>(sing)</w:t>
      </w:r>
      <w:r>
        <w:rPr>
          <w:lang w:val="en_US" w:bidi="en_US"/>
        </w:rPr>
        <w:t xml:space="preserve"> </w:t>
      </w:r>
      <w:r>
        <w:rPr>
          <w:lang w:val="en_US" w:bidi="en_US"/>
        </w:rPr>
        <w:t>should</w:t>
      </w:r>
      <w:r>
        <w:rPr>
          <w:lang w:val="en_US" w:bidi="en_US"/>
        </w:rPr>
        <w:t xml:space="preserve"> love your enemies</w:t>
      </w:r>
    </w:p>
    <w:p>
      <w:pPr>
        <w:pStyle w:val="ListBullet"/>
        <w:spacing w:line="240" w:lineRule="auto"/>
        <w:ind w:left="720"/>
      </w:pPr>
      <w:r>
        <w:rPr>
          <w:lang w:val="en_US" w:bidi="en_US"/>
        </w:rPr>
      </w:r>
      <w:r>
        <w:rPr>
          <w:lang w:val="en_US" w:bidi="en_US"/>
        </w:rPr>
        <w:t>In some languages, it may be another form. For example:</w:t>
      </w:r>
      <w:r>
        <w:rPr>
          <w:lang w:val="en_US" w:bidi="en_US"/>
        </w:rPr>
        <w:t>everyone should</w:t>
      </w:r>
      <w:r>
        <w:rPr>
          <w:lang w:val="en_US" w:bidi="en_US"/>
        </w:rPr>
        <w:t xml:space="preserve"> love their enemies</w:t>
      </w:r>
      <w:r>
        <w:rPr>
          <w:lang w:val="en_US" w:bidi="en_US"/>
        </w:rPr>
        <w:t>we should</w:t>
      </w:r>
      <w:r>
        <w:rPr>
          <w:lang w:val="en_US" w:bidi="en_US"/>
        </w:rPr>
        <w:t xml:space="preserve"> love our enemies</w:t>
      </w:r>
    </w:p>
    <w:p>
      <w:pPr/>
      <w:r>
        <w:rPr>
          <w:lang w:val="en_US" w:bidi="en_US"/>
        </w:rPr>
      </w:r>
      <w:r>
        <w:rPr>
          <w:lang w:val="en_US" w:bidi="en_US"/>
        </w:rPr>
        <w:t>Use the form that is most natural in your language.</w:t>
      </w:r>
    </w:p>
    <w:p>
      <w:pPr>
        <w:pStyle w:val="Heading5"/>
      </w:pPr>
      <w:r>
        <w:rPr>
          <w:lang w:val="en_US" w:bidi="en_US"/>
        </w:rPr>
        <w:t>6:27b</w:t>
      </w:r>
    </w:p>
    <w:p>
      <w:pPr/>
      <w:r>
        <w:rPr>
          <w:lang w:val="en_US" w:bidi="en_US"/>
        </w:rPr>
      </w:r>
      <w:r>
        <w:rPr>
          <w:b/>
          <w:lang w:val="en_US" w:bidi="en_US"/>
        </w:rPr>
        <w:t>Love your enemies,</w:t>
      </w:r>
    </w:p>
    <w:p>
      <w:pPr>
        <w:pStyle w:val="ListBullet"/>
        <w:spacing w:line="240" w:lineRule="auto"/>
        <w:ind w:left="720"/>
      </w:pPr>
      <w:r>
        <w:rPr>
          <w:lang w:val="en_US" w:bidi="en_US"/>
        </w:rPr>
      </w:r>
      <w:r>
        <w:rPr>
          <w:lang w:val="en_US" w:bidi="en_US"/>
        </w:rPr>
        <w:t>Love your</w:t>
      </w:r>
      <w:r>
        <w:rPr>
          <w:vertAlign w:val="superscript"/>
          <w:lang w:val="en_US" w:bidi="en_US"/>
        </w:rPr>
        <w:t>(plur)</w:t>
      </w:r>
      <w:r>
        <w:rPr>
          <w:lang w:val="en_US" w:bidi="en_US"/>
        </w:rPr>
        <w:t xml:space="preserve"> enemies.</w:t>
      </w:r>
    </w:p>
    <w:p>
      <w:pPr>
        <w:pStyle w:val="ListBullet"/>
        <w:spacing w:line="240" w:lineRule="auto"/>
        <w:ind w:left="720"/>
      </w:pPr>
      <w:r>
        <w:rPr>
          <w:lang w:val="en_US" w:bidi="en_US"/>
        </w:rPr>
      </w:r>
      <w:r>
        <w:rPr>
          <w:lang w:val="en_US" w:bidi="en_US"/>
        </w:rPr>
        <w:t xml:space="preserve">Love </w:t>
      </w:r>
      <w:r>
        <w:rPr>
          <w:lang w:val="en_US" w:bidi="en_US"/>
        </w:rPr>
        <w:t>the people who are</w:t>
      </w:r>
      <w:r>
        <w:rPr>
          <w:lang w:val="en_US" w:bidi="en_US"/>
        </w:rPr>
        <w:t xml:space="preserve"> your</w:t>
      </w:r>
      <w:r>
        <w:rPr>
          <w:vertAlign w:val="superscript"/>
          <w:lang w:val="en_US" w:bidi="en_US"/>
        </w:rPr>
        <w:t>(plur)</w:t>
      </w:r>
      <w:r>
        <w:rPr>
          <w:lang w:val="en_US" w:bidi="en_US"/>
        </w:rPr>
        <w:t xml:space="preserve"> enemies.</w:t>
      </w:r>
    </w:p>
    <w:p>
      <w:pPr/>
      <w:r>
        <w:rPr>
          <w:lang w:val="en_US" w:bidi="en_US"/>
        </w:rPr>
      </w:r>
      <w:r>
        <w:rPr>
          <w:b/>
          <w:lang w:val="en_US" w:bidi="en_US"/>
        </w:rPr>
        <w:t>Love your enemies:</w:t>
      </w:r>
      <w:r>
        <w:rPr>
          <w:lang w:val="en_US" w:bidi="en_US"/>
        </w:rPr>
        <w:t xml:space="preserve"> The Greek word that the BSB translates as </w:t>
      </w:r>
      <w:r>
        <w:rPr>
          <w:i/>
          <w:lang w:val="en_US" w:bidi="en_US"/>
        </w:rPr>
        <w:t>Love</w:t>
      </w:r>
      <w:r>
        <w:rPr>
          <w:lang w:val="en_US" w:bidi="en_US"/>
        </w:rPr>
        <w:t xml:space="preserve"> refers to the concern and affection that people should have toward other people. Jesus’ disciples should treat their enemies kindly.</w:t>
      </w:r>
    </w:p>
    <w:p>
      <w:pPr>
        <w:pStyle w:val="Heading5"/>
      </w:pPr>
      <w:r>
        <w:rPr>
          <w:lang w:val="en_US" w:bidi="en_US"/>
        </w:rPr>
        <w:t>6:27c</w:t>
      </w:r>
    </w:p>
    <w:p>
      <w:pPr/>
      <w:r>
        <w:rPr>
          <w:lang w:val="en_US" w:bidi="en_US"/>
        </w:rPr>
      </w:r>
      <w:r>
        <w:rPr>
          <w:b/>
          <w:lang w:val="en_US" w:bidi="en_US"/>
        </w:rPr>
        <w:t>do good to those who hate you,</w:t>
      </w:r>
    </w:p>
    <w:p>
      <w:pPr>
        <w:pStyle w:val="ListBullet"/>
        <w:spacing w:line="240" w:lineRule="auto"/>
        <w:ind w:left="720"/>
      </w:pPr>
      <w:r>
        <w:rPr>
          <w:lang w:val="en_US" w:bidi="en_US"/>
        </w:rPr>
      </w:r>
      <w:r>
        <w:rPr>
          <w:lang w:val="en_US" w:bidi="en_US"/>
        </w:rPr>
        <w:t>Do good to the people who hate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Treat well those who hate you</w:t>
      </w:r>
      <w:r>
        <w:rPr>
          <w:vertAlign w:val="superscript"/>
          <w:lang w:val="en_US" w:bidi="en_US"/>
        </w:rPr>
        <w:t>(plur)</w:t>
      </w:r>
      <w:r>
        <w:rPr>
          <w:lang w:val="en_US" w:bidi="en_US"/>
        </w:rPr>
        <w:t>.</w:t>
      </w:r>
    </w:p>
    <w:p>
      <w:pPr/>
      <w:r>
        <w:rPr>
          <w:lang w:val="en_US" w:bidi="en_US"/>
        </w:rPr>
      </w:r>
      <w:r>
        <w:rPr>
          <w:b/>
          <w:lang w:val="en_US" w:bidi="en_US"/>
        </w:rPr>
        <w:t>do good to those who hate you:</w:t>
      </w:r>
      <w:r>
        <w:rPr>
          <w:lang w:val="en_US" w:bidi="en_US"/>
        </w:rPr>
        <w:t xml:space="preserve"> Some other ways to translate this are:</w:t>
      </w:r>
    </w:p>
    <w:p>
      <w:pPr/>
      <w:r>
        <w:rPr>
          <w:lang w:val="en_US" w:bidi="en_US"/>
        </w:rPr>
      </w:r>
      <w:r>
        <w:rPr>
          <w:lang w:val="en_US" w:bidi="en_US"/>
        </w:rPr>
        <w:t>Treat well those who hate you</w:t>
      </w:r>
    </w:p>
    <w:p>
      <w:pPr/>
      <w:r>
        <w:rPr>
          <w:lang w:val="en_US" w:bidi="en_US"/>
        </w:rPr>
      </w:r>
      <w:r>
        <w:rPr>
          <w:lang w:val="en_US" w:bidi="en_US"/>
        </w:rPr>
        <w:t>Behave well toward those who hate you</w:t>
      </w:r>
      <w:r>
        <w:rPr>
          <w:lang w:val="en_US" w:bidi="en_US"/>
        </w:rPr>
      </w:r>
      <w:r>
        <w:rPr>
          <w:lang w:val="en_US" w:bidi="en_US"/>
        </w:rPr>
      </w:r>
    </w:p>
    <w:p>
      <w:pPr/>
      <w:r>
        <w:rPr>
          <w:lang w:val="en_US" w:bidi="en_US"/>
        </w:rPr>
      </w:r>
    </w:p>
    <w:p>
      <w:pPr>
        <w:pStyle w:val="Heading2"/>
      </w:pPr>
      <w:r>
        <w:rPr>
          <w:lang w:val="en_US" w:bidi="en_US"/>
        </w:rPr>
        <w:t>Luke 6:28</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6:27–31</w:t>
      </w:r>
    </w:p>
    <w:p>
      <w:pPr/>
      <w:r>
        <w:rPr>
          <w:lang w:val="en_US" w:bidi="en_US"/>
        </w:rPr>
      </w:r>
      <w:r>
        <w:rPr>
          <w:lang w:val="en_US" w:bidi="en_US"/>
        </w:rPr>
        <w:t>In this paragraph, Jesus taught his disciples that they should love people who do not treat them well. Jesus emphasized this point by restating the command in four different ways. Then Jesus gave four examples of showing love to enemies and a general statement of how to treat others.</w:t>
      </w:r>
    </w:p>
    <w:p>
      <w:pPr/>
      <w:r>
        <w:rPr>
          <w:lang w:val="en_US" w:bidi="en_US"/>
        </w:rPr>
      </w:r>
      <w:r>
        <w:rPr>
          <w:lang w:val="en_US" w:bidi="en_US"/>
        </w:rPr>
        <w:t>Some English versions have a section heading here, but Jesus was continuing the sermon that he began in 6:20b. If you put a heading here, you may need to make it explicit that Jesus was still talking. For example:</w:t>
      </w:r>
    </w:p>
    <w:p>
      <w:pPr/>
      <w:r>
        <w:rPr>
          <w:lang w:val="en_US" w:bidi="en_US"/>
        </w:rPr>
      </w:r>
      <w:r>
        <w:rPr>
          <w:lang w:val="en_US" w:bidi="en_US"/>
        </w:rPr>
        <w:t>Jesus continued teaching, and he said,</w:t>
      </w:r>
      <w:r>
        <w:rPr>
          <w:lang w:val="en_US" w:bidi="en_US"/>
        </w:rPr>
        <w:t xml:space="preserve"> “But I tell you…”</w:t>
      </w:r>
    </w:p>
    <w:p>
      <w:pPr>
        <w:pStyle w:val="Heading5"/>
      </w:pPr>
      <w:r>
        <w:rPr>
          <w:lang w:val="en_US" w:bidi="en_US"/>
        </w:rPr>
        <w:t>6:28a</w:t>
      </w:r>
    </w:p>
    <w:p>
      <w:pPr/>
      <w:r>
        <w:rPr>
          <w:lang w:val="en_US" w:bidi="en_US"/>
        </w:rPr>
      </w:r>
      <w:r>
        <w:rPr>
          <w:b/>
          <w:lang w:val="en_US" w:bidi="en_US"/>
        </w:rPr>
        <w:t>bless those who curse you,</w:t>
      </w:r>
    </w:p>
    <w:p>
      <w:pPr>
        <w:pStyle w:val="ListBullet"/>
        <w:spacing w:line="240" w:lineRule="auto"/>
        <w:ind w:left="720"/>
      </w:pPr>
      <w:r>
        <w:rPr>
          <w:lang w:val="en_US" w:bidi="en_US"/>
        </w:rPr>
      </w:r>
      <w:r>
        <w:rPr>
          <w:lang w:val="en_US" w:bidi="en_US"/>
        </w:rPr>
        <w:t>Ask God to bless anyone who curses you, (CEV)</w:t>
      </w:r>
    </w:p>
    <w:p>
      <w:pPr>
        <w:pStyle w:val="ListBullet"/>
        <w:spacing w:line="240" w:lineRule="auto"/>
        <w:ind w:left="720"/>
      </w:pPr>
      <w:r>
        <w:rPr>
          <w:lang w:val="en_US" w:bidi="en_US"/>
        </w:rPr>
      </w:r>
      <w:r>
        <w:rPr>
          <w:lang w:val="en_US" w:bidi="en_US"/>
        </w:rPr>
        <w:t xml:space="preserve">Ask </w:t>
      </w:r>
      <w:r>
        <w:rPr>
          <w:lang w:val="en_US" w:bidi="en_US"/>
        </w:rPr>
        <w:t>God</w:t>
      </w:r>
      <w:r>
        <w:rPr>
          <w:lang w:val="en_US" w:bidi="en_US"/>
        </w:rPr>
        <w:t xml:space="preserve"> to do good to those who curse you</w:t>
      </w:r>
      <w:r>
        <w:rPr>
          <w:vertAlign w:val="superscript"/>
          <w:lang w:val="en_US" w:bidi="en_US"/>
        </w:rPr>
        <w:t>(plur)</w:t>
      </w:r>
      <w:r>
        <w:rPr>
          <w:lang w:val="en_US" w:bidi="en_US"/>
        </w:rPr>
        <w:t>.</w:t>
      </w:r>
    </w:p>
    <w:p>
      <w:pPr/>
      <w:r>
        <w:rPr>
          <w:lang w:val="en_US" w:bidi="en_US"/>
        </w:rPr>
      </w:r>
      <w:r>
        <w:rPr>
          <w:b/>
          <w:lang w:val="en_US" w:bidi="en_US"/>
        </w:rPr>
        <w:t>bless those who curse you:</w:t>
      </w:r>
      <w:r>
        <w:rPr>
          <w:lang w:val="en_US" w:bidi="en_US"/>
        </w:rPr>
        <w:t xml:space="preserve"> To </w:t>
      </w:r>
      <w:r>
        <w:rPr>
          <w:i/>
          <w:lang w:val="en_US" w:bidi="en_US"/>
        </w:rPr>
        <w:t>bless</w:t>
      </w:r>
      <w:r>
        <w:rPr>
          <w:lang w:val="en_US" w:bidi="en_US"/>
        </w:rPr>
        <w:t xml:space="preserve"> someone is to ask God to do good or show his favor to that person. For example:</w:t>
      </w:r>
    </w:p>
    <w:p>
      <w:pPr/>
      <w:r>
        <w:rPr>
          <w:lang w:val="en_US" w:bidi="en_US"/>
        </w:rPr>
      </w:r>
      <w:r>
        <w:rPr>
          <w:lang w:val="en_US" w:bidi="en_US"/>
        </w:rPr>
        <w:t>Ask God to bless anyone who curses you (CEV)</w:t>
      </w:r>
    </w:p>
    <w:p>
      <w:pPr/>
      <w:r>
        <w:rPr>
          <w:lang w:val="en_US" w:bidi="en_US"/>
        </w:rPr>
      </w:r>
      <w:r>
        <w:rPr>
          <w:lang w:val="en_US" w:bidi="en_US"/>
        </w:rPr>
        <w:t>See bless, Meaning 2, in the Glossary.</w:t>
      </w:r>
    </w:p>
    <w:p>
      <w:pPr/>
      <w:r>
        <w:rPr>
          <w:lang w:val="en_US" w:bidi="en_US"/>
        </w:rPr>
      </w:r>
      <w:r>
        <w:rPr>
          <w:b/>
          <w:lang w:val="en_US" w:bidi="en_US"/>
        </w:rPr>
        <w:t>those who curse you:</w:t>
      </w:r>
      <w:r>
        <w:rPr>
          <w:lang w:val="en_US" w:bidi="en_US"/>
        </w:rPr>
        <w:t xml:space="preserve"> The phrase </w:t>
      </w:r>
      <w:r>
        <w:rPr>
          <w:i/>
          <w:lang w:val="en_US" w:bidi="en_US"/>
        </w:rPr>
        <w:t>those who curse you</w:t>
      </w:r>
      <w:r>
        <w:rPr>
          <w:lang w:val="en_US" w:bidi="en_US"/>
        </w:rPr>
        <w:t xml:space="preserve"> refers to the same people as the “enemies” mentioned in 6:27b. To </w:t>
      </w:r>
      <w:r>
        <w:rPr>
          <w:i/>
          <w:lang w:val="en_US" w:bidi="en_US"/>
        </w:rPr>
        <w:t>curse</w:t>
      </w:r>
      <w:r>
        <w:rPr>
          <w:lang w:val="en_US" w:bidi="en_US"/>
        </w:rPr>
        <w:t xml:space="preserve"> someone is to call on God or the gods/spirits to do evil to that person. Many languages will have a technical term for this that comes from the practices of traditional religion.</w:t>
      </w:r>
    </w:p>
    <w:p>
      <w:pPr>
        <w:pStyle w:val="Heading5"/>
      </w:pPr>
      <w:r>
        <w:rPr>
          <w:lang w:val="en_US" w:bidi="en_US"/>
        </w:rPr>
        <w:t>6:28b</w:t>
      </w:r>
    </w:p>
    <w:p>
      <w:pPr/>
      <w:r>
        <w:rPr>
          <w:lang w:val="en_US" w:bidi="en_US"/>
        </w:rPr>
      </w:r>
      <w:r>
        <w:rPr>
          <w:b/>
          <w:lang w:val="en_US" w:bidi="en_US"/>
        </w:rPr>
        <w:t>pray for those who mistreat you.</w:t>
      </w:r>
    </w:p>
    <w:p>
      <w:pPr>
        <w:pStyle w:val="ListBullet"/>
        <w:spacing w:line="240" w:lineRule="auto"/>
        <w:ind w:left="720"/>
      </w:pPr>
      <w:r>
        <w:rPr>
          <w:lang w:val="en_US" w:bidi="en_US"/>
        </w:rPr>
      </w:r>
      <w:r>
        <w:rPr>
          <w:lang w:val="en_US" w:bidi="en_US"/>
        </w:rPr>
        <w:t>and pray for everyone who is cruel to you. (CEV)</w:t>
      </w:r>
    </w:p>
    <w:p>
      <w:pPr>
        <w:pStyle w:val="ListBullet"/>
        <w:spacing w:line="240" w:lineRule="auto"/>
        <w:ind w:left="720"/>
      </w:pPr>
      <w:r>
        <w:rPr>
          <w:lang w:val="en_US" w:bidi="en_US"/>
        </w:rPr>
      </w:r>
      <w:r>
        <w:rPr>
          <w:lang w:val="en_US" w:bidi="en_US"/>
        </w:rPr>
        <w:t xml:space="preserve">Pray for </w:t>
      </w:r>
      <w:r>
        <w:rPr>
          <w:lang w:val="en_US" w:bidi="en_US"/>
        </w:rPr>
        <w:t>God to do good to</w:t>
      </w:r>
      <w:r>
        <w:rPr>
          <w:lang w:val="en_US" w:bidi="en_US"/>
        </w:rPr>
        <w:t xml:space="preserve"> people who do evil to you</w:t>
      </w:r>
      <w:r>
        <w:rPr>
          <w:vertAlign w:val="superscript"/>
          <w:lang w:val="en_US" w:bidi="en_US"/>
        </w:rPr>
        <w:t>(plur)</w:t>
      </w:r>
      <w:r>
        <w:rPr>
          <w:lang w:val="en_US" w:bidi="en_US"/>
        </w:rPr>
        <w:t>.</w:t>
      </w:r>
    </w:p>
    <w:p>
      <w:pPr/>
      <w:r>
        <w:rPr>
          <w:lang w:val="en_US" w:bidi="en_US"/>
        </w:rPr>
      </w:r>
      <w:r>
        <w:rPr>
          <w:b/>
          <w:lang w:val="en_US" w:bidi="en_US"/>
        </w:rPr>
        <w:t>pray for those who mistreat you:</w:t>
      </w:r>
      <w:r>
        <w:rPr>
          <w:lang w:val="en_US" w:bidi="en_US"/>
        </w:rPr>
        <w:t xml:space="preserve"> The Greek word that the BSB translates as </w:t>
      </w:r>
      <w:r>
        <w:rPr>
          <w:i/>
          <w:lang w:val="en_US" w:bidi="en_US"/>
        </w:rPr>
        <w:t>mistreat</w:t>
      </w:r>
      <w:r>
        <w:rPr>
          <w:lang w:val="en_US" w:bidi="en_US"/>
        </w:rPr>
        <w:t xml:space="preserve"> can refer to both physical and verbal abuse. It is recommended that you use a general term such as:</w:t>
      </w:r>
    </w:p>
    <w:p>
      <w:pPr/>
      <w:r>
        <w:rPr>
          <w:lang w:val="en_US" w:bidi="en_US"/>
        </w:rPr>
      </w:r>
      <w:r>
        <w:rPr>
          <w:lang w:val="en_US" w:bidi="en_US"/>
        </w:rPr>
        <w:t>are treating you badly</w:t>
      </w:r>
    </w:p>
    <w:p>
      <w:pPr/>
      <w:r>
        <w:rPr>
          <w:lang w:val="en_US" w:bidi="en_US"/>
        </w:rPr>
      </w:r>
      <w:r>
        <w:rPr>
          <w:lang w:val="en_US" w:bidi="en_US"/>
        </w:rPr>
        <w:t>are cruel to you (NCV)</w:t>
      </w:r>
    </w:p>
    <w:p>
      <w:pPr/>
      <w:r>
        <w:rPr>
          <w:lang w:val="en_US" w:bidi="en_US"/>
        </w:rPr>
      </w:r>
      <w:r>
        <w:rPr>
          <w:lang w:val="en_US" w:bidi="en_US"/>
        </w:rPr>
        <w:t>Jesus wanted his followers to pray to God for their enemies. He did not say explicitly what they should pray. He implied that they should ask God to do good to their enemies. This was not a prayer that God would judge those who mistreat them.</w:t>
      </w:r>
      <w:r>
        <w:rPr>
          <w:lang w:val="en_US" w:bidi="en_US"/>
        </w:rPr>
      </w:r>
      <w:r>
        <w:rPr>
          <w:lang w:val="en_US" w:bidi="en_US"/>
        </w:rPr>
      </w:r>
    </w:p>
    <w:p>
      <w:pPr/>
      <w:r>
        <w:rPr>
          <w:lang w:val="en_US" w:bidi="en_US"/>
        </w:rPr>
      </w:r>
    </w:p>
    <w:p>
      <w:pPr>
        <w:pStyle w:val="Heading2"/>
      </w:pPr>
      <w:r>
        <w:rPr>
          <w:lang w:val="en_US" w:bidi="en_US"/>
        </w:rPr>
        <w:t>Luke 6:29</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6:27–31</w:t>
      </w:r>
    </w:p>
    <w:p>
      <w:pPr/>
      <w:r>
        <w:rPr>
          <w:lang w:val="en_US" w:bidi="en_US"/>
        </w:rPr>
      </w:r>
      <w:r>
        <w:rPr>
          <w:lang w:val="en_US" w:bidi="en_US"/>
        </w:rPr>
        <w:t>In this paragraph, Jesus taught his disciples that they should love people who do not treat them well. Jesus emphasized this point by restating the command in four different ways. Then Jesus gave four examples of showing love to enemies and a general statement of how to treat others.</w:t>
      </w:r>
    </w:p>
    <w:p>
      <w:pPr/>
      <w:r>
        <w:rPr>
          <w:lang w:val="en_US" w:bidi="en_US"/>
        </w:rPr>
      </w:r>
      <w:r>
        <w:rPr>
          <w:lang w:val="en_US" w:bidi="en_US"/>
        </w:rPr>
        <w:t>Some English versions have a section heading here, but Jesus was continuing the sermon that he began in 6:20b. If you put a heading here, you may need to make it explicit that Jesus was still talking. For example:</w:t>
      </w:r>
    </w:p>
    <w:p>
      <w:pPr/>
      <w:r>
        <w:rPr>
          <w:lang w:val="en_US" w:bidi="en_US"/>
        </w:rPr>
      </w:r>
      <w:r>
        <w:rPr>
          <w:lang w:val="en_US" w:bidi="en_US"/>
        </w:rPr>
        <w:t>Jesus continued teaching, and he said,</w:t>
      </w:r>
      <w:r>
        <w:rPr>
          <w:lang w:val="en_US" w:bidi="en_US"/>
        </w:rPr>
        <w:t xml:space="preserve"> “But I tell you…”</w:t>
      </w:r>
    </w:p>
    <w:p>
      <w:pPr>
        <w:pStyle w:val="Heading5"/>
      </w:pPr>
      <w:r>
        <w:rPr>
          <w:lang w:val="en_US" w:bidi="en_US"/>
        </w:rPr>
        <w:t>6:29–30</w:t>
      </w:r>
    </w:p>
    <w:p>
      <w:pPr/>
      <w:r>
        <w:rPr>
          <w:lang w:val="en_US" w:bidi="en_US"/>
        </w:rPr>
      </w:r>
      <w:r>
        <w:rPr>
          <w:lang w:val="en_US" w:bidi="en_US"/>
        </w:rPr>
        <w:t>In these verses, Jesus stopped using the word “you</w:t>
      </w:r>
      <w:r>
        <w:rPr>
          <w:vertAlign w:val="superscript"/>
          <w:lang w:val="en_US" w:bidi="en_US"/>
        </w:rPr>
        <w:t>(plur)</w:t>
      </w:r>
      <w:r>
        <w:rPr>
          <w:lang w:val="en_US" w:bidi="en_US"/>
        </w:rPr>
        <w:t>” and began to use “you</w:t>
      </w:r>
      <w:r>
        <w:rPr>
          <w:vertAlign w:val="superscript"/>
          <w:lang w:val="en_US" w:bidi="en_US"/>
        </w:rPr>
        <w:t>(sing)</w:t>
      </w:r>
      <w:r>
        <w:rPr>
          <w:lang w:val="en_US" w:bidi="en_US"/>
        </w:rPr>
        <w:t>.” He was referring to each of his listeners individually. If this is natural in your language, you should use the singular word for “you</w:t>
      </w:r>
      <w:r>
        <w:rPr>
          <w:vertAlign w:val="superscript"/>
          <w:lang w:val="en_US" w:bidi="en_US"/>
        </w:rPr>
        <w:t>(sing)</w:t>
      </w:r>
      <w:r>
        <w:rPr>
          <w:lang w:val="en_US" w:bidi="en_US"/>
        </w:rPr>
        <w:t>” here. But if it is not natural, you may continue to use “you</w:t>
      </w:r>
      <w:r>
        <w:rPr>
          <w:vertAlign w:val="superscript"/>
          <w:lang w:val="en_US" w:bidi="en_US"/>
        </w:rPr>
        <w:t>(plur)</w:t>
      </w:r>
      <w:r>
        <w:rPr>
          <w:lang w:val="en_US" w:bidi="en_US"/>
        </w:rPr>
        <w:t>” throughout this paragraph. If you change from plural to singular, it may be helpful to introduce the change at the beginning of 6:29 by saying something like:</w:t>
      </w:r>
    </w:p>
    <w:p>
      <w:pPr/>
      <w:r>
        <w:rPr>
          <w:lang w:val="en_US" w:bidi="en_US"/>
        </w:rPr>
      </w:r>
      <w:r>
        <w:rPr>
          <w:lang w:val="en_US" w:bidi="en_US"/>
        </w:rPr>
        <w:t>I say to each one of you…</w:t>
      </w:r>
    </w:p>
    <w:p>
      <w:pPr/>
      <w:r>
        <w:rPr>
          <w:lang w:val="en_US" w:bidi="en_US"/>
        </w:rPr>
      </w:r>
      <w:r>
        <w:rPr>
          <w:lang w:val="en_US" w:bidi="en_US"/>
        </w:rPr>
        <w:t>The four commands that Jesus made in these verses show specific examples of love towards an enemy. The specific action of the enemy is given first. Then the disciple is told how to show love to that person.</w:t>
      </w:r>
    </w:p>
    <w:p>
      <w:pPr/>
      <w:r>
        <w:rPr>
          <w:lang w:val="en_US" w:bidi="en_US"/>
        </w:rPr>
      </w:r>
      <w:r>
        <w:rPr>
          <w:lang w:val="en_US" w:bidi="en_US"/>
        </w:rPr>
        <w:t>In some languages, it may be more natural to begin with the commands. For example:</w:t>
      </w:r>
    </w:p>
    <w:p>
      <w:pPr/>
      <w:r>
        <w:rPr>
          <w:lang w:val="en_US" w:bidi="en_US"/>
        </w:rPr>
      </w:r>
      <w:r>
        <w:rPr>
          <w:vertAlign w:val="superscript"/>
          <w:lang w:val="en_US" w:bidi="en_US"/>
        </w:rPr>
        <w:t>29b</w:t>
      </w:r>
      <w:r>
        <w:rPr>
          <w:lang w:val="en_US" w:bidi="en_US"/>
        </w:rPr>
        <w:t xml:space="preserve">Present your other cheek </w:t>
      </w:r>
      <w:r>
        <w:rPr>
          <w:vertAlign w:val="superscript"/>
          <w:lang w:val="en_US" w:bidi="en_US"/>
        </w:rPr>
        <w:t>29a</w:t>
      </w:r>
      <w:r>
        <w:rPr>
          <w:lang w:val="en_US" w:bidi="en_US"/>
        </w:rPr>
        <w:t>to the person who strikes you on the cheek.</w:t>
      </w:r>
    </w:p>
    <w:p>
      <w:pPr/>
      <w:r>
        <w:rPr>
          <w:lang w:val="en_US" w:bidi="en_US"/>
        </w:rPr>
      </w:r>
      <w:r>
        <w:rPr>
          <w:vertAlign w:val="superscript"/>
          <w:lang w:val="en_US" w:bidi="en_US"/>
        </w:rPr>
        <w:t>29d</w:t>
      </w:r>
      <w:r>
        <w:rPr>
          <w:lang w:val="en_US" w:bidi="en_US"/>
        </w:rPr>
        <w:t xml:space="preserve">Do not withhold your tunic from </w:t>
      </w:r>
      <w:r>
        <w:rPr>
          <w:vertAlign w:val="superscript"/>
          <w:lang w:val="en_US" w:bidi="en_US"/>
        </w:rPr>
        <w:t>29c</w:t>
      </w:r>
      <w:r>
        <w:rPr>
          <w:lang w:val="en_US" w:bidi="en_US"/>
        </w:rPr>
        <w:t>the person who takes your cloak.</w:t>
      </w:r>
    </w:p>
    <w:p>
      <w:pPr/>
      <w:r>
        <w:rPr>
          <w:lang w:val="en_US" w:bidi="en_US"/>
        </w:rPr>
      </w:r>
      <w:r>
        <w:rPr>
          <w:vertAlign w:val="superscript"/>
          <w:lang w:val="en_US" w:bidi="en_US"/>
        </w:rPr>
        <w:t>30a</w:t>
      </w:r>
      <w:r>
        <w:rPr>
          <w:lang w:val="en_US" w:bidi="en_US"/>
        </w:rPr>
        <w:t>Give to everyone who asks you for something.</w:t>
      </w:r>
    </w:p>
    <w:p>
      <w:pPr/>
      <w:r>
        <w:rPr>
          <w:lang w:val="en_US" w:bidi="en_US"/>
        </w:rPr>
      </w:r>
      <w:r>
        <w:rPr>
          <w:vertAlign w:val="superscript"/>
          <w:lang w:val="en_US" w:bidi="en_US"/>
        </w:rPr>
        <w:t>30c</w:t>
      </w:r>
      <w:r>
        <w:rPr>
          <w:lang w:val="en_US" w:bidi="en_US"/>
        </w:rPr>
        <w:t xml:space="preserve">Do not demand your things back from </w:t>
      </w:r>
      <w:r>
        <w:rPr>
          <w:vertAlign w:val="superscript"/>
          <w:lang w:val="en_US" w:bidi="en_US"/>
        </w:rPr>
        <w:t>30b</w:t>
      </w:r>
      <w:r>
        <w:rPr>
          <w:lang w:val="en_US" w:bidi="en_US"/>
        </w:rPr>
        <w:t>the person who takes them.</w:t>
      </w:r>
    </w:p>
    <w:p>
      <w:pPr/>
      <w:r>
        <w:rPr>
          <w:lang w:val="en_US" w:bidi="en_US"/>
        </w:rPr>
      </w:r>
      <w:r>
        <w:rPr>
          <w:lang w:val="en_US" w:bidi="en_US"/>
        </w:rPr>
        <w:t>Many English versions have translated these illustrations using “if” or “when.” These illustrations are not real situations. Jesus was illustrating how to show love in possible situations. Translate these illustrations in a way that is natural in your language.</w:t>
      </w:r>
    </w:p>
    <w:p>
      <w:pPr>
        <w:pStyle w:val="Heading5"/>
      </w:pPr>
      <w:r>
        <w:rPr>
          <w:lang w:val="en_US" w:bidi="en_US"/>
        </w:rPr>
        <w:t>6:29a</w:t>
      </w:r>
    </w:p>
    <w:p>
      <w:pPr/>
      <w:r>
        <w:rPr>
          <w:lang w:val="en_US" w:bidi="en_US"/>
        </w:rPr>
      </w:r>
      <w:r>
        <w:rPr>
          <w:b/>
          <w:lang w:val="en_US" w:bidi="en_US"/>
        </w:rPr>
        <w:t>If someone strikes you on one cheek,</w:t>
      </w:r>
    </w:p>
    <w:p>
      <w:pPr>
        <w:pStyle w:val="ListBullet"/>
        <w:spacing w:line="240" w:lineRule="auto"/>
        <w:ind w:left="720"/>
      </w:pPr>
      <w:r>
        <w:rPr>
          <w:lang w:val="en_US" w:bidi="en_US"/>
        </w:rPr>
      </w:r>
      <w:r>
        <w:rPr>
          <w:lang w:val="en_US" w:bidi="en_US"/>
        </w:rPr>
        <w:t xml:space="preserve">If anyone strikes/slaps </w:t>
      </w:r>
      <w:r>
        <w:rPr>
          <w:lang w:val="en_US" w:bidi="en_US"/>
        </w:rPr>
        <w:t>one of</w:t>
      </w:r>
      <w:r>
        <w:rPr>
          <w:lang w:val="en_US" w:bidi="en_US"/>
        </w:rPr>
        <w:t xml:space="preserve"> you</w:t>
      </w:r>
      <w:r>
        <w:rPr>
          <w:vertAlign w:val="superscript"/>
          <w:lang w:val="en_US" w:bidi="en_US"/>
        </w:rPr>
        <w:t>(plur)</w:t>
      </w:r>
      <w:r>
        <w:rPr>
          <w:lang w:val="en_US" w:bidi="en_US"/>
        </w:rPr>
        <w:t xml:space="preserve"> on one cheek,</w:t>
      </w:r>
    </w:p>
    <w:p>
      <w:pPr>
        <w:pStyle w:val="ListBullet"/>
        <w:spacing w:line="240" w:lineRule="auto"/>
        <w:ind w:left="720"/>
      </w:pPr>
      <w:r>
        <w:rPr>
          <w:lang w:val="en_US" w:bidi="en_US"/>
        </w:rPr>
      </w:r>
      <w:r>
        <w:rPr>
          <w:lang w:val="en_US" w:bidi="en_US"/>
        </w:rPr>
        <w:t>I say to each of you,</w:t>
      </w:r>
      <w:r>
        <w:rPr>
          <w:lang w:val="en_US" w:bidi="en_US"/>
        </w:rPr>
        <w:t xml:space="preserve"> if/when someone </w:t>
      </w:r>
      <w:r>
        <w:rPr>
          <w:lang w:val="en_US" w:bidi="en_US"/>
        </w:rPr>
        <w:t>insults you</w:t>
      </w:r>
      <w:r>
        <w:rPr>
          <w:vertAlign w:val="superscript"/>
          <w:lang w:val="en_US" w:bidi="en_US"/>
        </w:rPr>
        <w:t>(sing)</w:t>
      </w:r>
      <w:r>
        <w:rPr>
          <w:lang w:val="en_US" w:bidi="en_US"/>
        </w:rPr>
        <w:t xml:space="preserve"> </w:t>
      </w:r>
      <w:r>
        <w:rPr>
          <w:lang w:val="en_US" w:bidi="en_US"/>
        </w:rPr>
        <w:t>by</w:t>
      </w:r>
      <w:r>
        <w:rPr>
          <w:lang w:val="en_US" w:bidi="en_US"/>
        </w:rPr>
        <w:t xml:space="preserve"> slapping you on the side of your face,</w:t>
      </w:r>
    </w:p>
    <w:p>
      <w:pPr/>
      <w:r>
        <w:rPr>
          <w:lang w:val="en_US" w:bidi="en_US"/>
        </w:rPr>
      </w:r>
      <w:r>
        <w:rPr>
          <w:b/>
          <w:lang w:val="en_US" w:bidi="en_US"/>
        </w:rPr>
        <w:t>If someone strikes you on one cheek:</w:t>
      </w:r>
      <w:r>
        <w:rPr>
          <w:lang w:val="en_US" w:bidi="en_US"/>
        </w:rPr>
        <w:t xml:space="preserve"> In the Jewish culture, it was a great insult to strike/slap someone on the cheek. In some cultures, slapping someone on the cheek is not an insult. If that is true in your culture, you could make the cultural meaning clear by saying:</w:t>
      </w:r>
    </w:p>
    <w:p>
      <w:pPr/>
      <w:r>
        <w:rPr>
          <w:lang w:val="en_US" w:bidi="en_US"/>
        </w:rPr>
      </w:r>
      <w:r>
        <w:rPr>
          <w:lang w:val="en_US" w:bidi="en_US"/>
        </w:rPr>
        <w:t xml:space="preserve">If someone </w:t>
      </w:r>
      <w:r>
        <w:rPr>
          <w:u w:val="single"/>
          <w:lang w:val="en_US" w:bidi="en_US"/>
        </w:rPr>
        <w:t>insults/shames you by</w:t>
      </w:r>
      <w:r>
        <w:rPr>
          <w:lang w:val="en_US" w:bidi="en_US"/>
        </w:rPr>
        <w:t xml:space="preserve"> striking you on the cheek</w:t>
      </w:r>
    </w:p>
    <w:p>
      <w:pPr/>
      <w:r>
        <w:rPr>
          <w:lang w:val="en_US" w:bidi="en_US"/>
        </w:rPr>
      </w:r>
      <w:r>
        <w:rPr>
          <w:b/>
          <w:lang w:val="en_US" w:bidi="en_US"/>
        </w:rPr>
        <w:t>strikes:</w:t>
      </w:r>
      <w:r>
        <w:rPr>
          <w:lang w:val="en_US" w:bidi="en_US"/>
        </w:rPr>
        <w:t xml:space="preserve"> The Greek word that the BSB translates as </w:t>
      </w:r>
      <w:r>
        <w:rPr>
          <w:i/>
          <w:lang w:val="en_US" w:bidi="en_US"/>
        </w:rPr>
        <w:t>strikes</w:t>
      </w:r>
      <w:r>
        <w:rPr>
          <w:lang w:val="en_US" w:bidi="en_US"/>
        </w:rPr>
        <w:t xml:space="preserve"> describes striking/slapping someone with either the open hand or the fist.</w:t>
      </w:r>
    </w:p>
    <w:p>
      <w:pPr>
        <w:pStyle w:val="Heading5"/>
      </w:pPr>
      <w:r>
        <w:rPr>
          <w:lang w:val="en_US" w:bidi="en_US"/>
        </w:rPr>
        <w:t>6:29b</w:t>
      </w:r>
    </w:p>
    <w:p>
      <w:pPr/>
      <w:r>
        <w:rPr>
          <w:lang w:val="en_US" w:bidi="en_US"/>
        </w:rPr>
      </w:r>
      <w:r>
        <w:rPr>
          <w:b/>
          <w:lang w:val="en_US" w:bidi="en_US"/>
        </w:rPr>
        <w:t>turn to him the other also.</w:t>
      </w:r>
    </w:p>
    <w:p>
      <w:pPr>
        <w:pStyle w:val="ListBullet"/>
        <w:spacing w:line="240" w:lineRule="auto"/>
        <w:ind w:left="720"/>
      </w:pPr>
      <w:r>
        <w:rPr>
          <w:lang w:val="en_US" w:bidi="en_US"/>
        </w:rPr>
      </w:r>
      <w:r>
        <w:rPr>
          <w:lang w:val="en_US" w:bidi="en_US"/>
        </w:rPr>
        <w:t>present your</w:t>
      </w:r>
      <w:r>
        <w:rPr>
          <w:vertAlign w:val="superscript"/>
          <w:lang w:val="en_US" w:bidi="en_US"/>
        </w:rPr>
        <w:t>(sing)</w:t>
      </w:r>
      <w:r>
        <w:rPr>
          <w:lang w:val="en_US" w:bidi="en_US"/>
        </w:rPr>
        <w:t xml:space="preserve"> other cheek to him also.</w:t>
      </w:r>
    </w:p>
    <w:p>
      <w:pPr>
        <w:pStyle w:val="ListBullet"/>
        <w:spacing w:line="240" w:lineRule="auto"/>
        <w:ind w:left="720"/>
      </w:pPr>
      <w:r>
        <w:rPr>
          <w:lang w:val="en_US" w:bidi="en_US"/>
        </w:rPr>
      </w:r>
      <w:r>
        <w:rPr>
          <w:lang w:val="en_US" w:bidi="en_US"/>
        </w:rPr>
        <w:t>allow him to also strike/slap you</w:t>
      </w:r>
      <w:r>
        <w:rPr>
          <w:vertAlign w:val="superscript"/>
          <w:lang w:val="en_US" w:bidi="en_US"/>
        </w:rPr>
        <w:t>(sing)</w:t>
      </w:r>
      <w:r>
        <w:rPr>
          <w:lang w:val="en_US" w:bidi="en_US"/>
        </w:rPr>
        <w:t xml:space="preserve"> on the other side of your face.</w:t>
      </w:r>
    </w:p>
    <w:p>
      <w:pPr/>
      <w:r>
        <w:rPr>
          <w:lang w:val="en_US" w:bidi="en_US"/>
        </w:rPr>
      </w:r>
      <w:r>
        <w:rPr>
          <w:b/>
          <w:lang w:val="en_US" w:bidi="en_US"/>
        </w:rPr>
        <w:t>turn to him the other also:</w:t>
      </w:r>
      <w:r>
        <w:rPr>
          <w:lang w:val="en_US" w:bidi="en_US"/>
        </w:rPr>
        <w:t xml:space="preserve"> The Greek phrase that the BSB translates as </w:t>
      </w:r>
      <w:r>
        <w:rPr>
          <w:i/>
          <w:lang w:val="en_US" w:bidi="en_US"/>
        </w:rPr>
        <w:t>turn to him the other also</w:t>
      </w:r>
      <w:r>
        <w:rPr>
          <w:lang w:val="en_US" w:bidi="en_US"/>
        </w:rPr>
        <w:t xml:space="preserve"> is literally “offer/present also the other.” This implies that you should allow that person to strike/slap your other cheek also. Jesus was saying that his followers should not retaliate or try to get revenge. Some other ways to translate this are:</w:t>
      </w:r>
    </w:p>
    <w:p>
      <w:pPr/>
      <w:r>
        <w:rPr>
          <w:lang w:val="en_US" w:bidi="en_US"/>
        </w:rPr>
      </w:r>
      <w:r>
        <w:rPr>
          <w:lang w:val="en_US" w:bidi="en_US"/>
        </w:rPr>
        <w:t>Allow him to strike the other cheek also.</w:t>
      </w:r>
    </w:p>
    <w:p>
      <w:pPr/>
      <w:r>
        <w:rPr>
          <w:lang w:val="en_US" w:bidi="en_US"/>
        </w:rPr>
      </w:r>
      <w:r>
        <w:rPr>
          <w:lang w:val="en_US" w:bidi="en_US"/>
        </w:rPr>
        <w:t>…don’t stop that person from slapping you on the other cheek. (CEV)</w:t>
      </w:r>
    </w:p>
    <w:p>
      <w:pPr>
        <w:pStyle w:val="Heading5"/>
      </w:pPr>
      <w:r>
        <w:rPr>
          <w:lang w:val="en_US" w:bidi="en_US"/>
        </w:rPr>
        <w:t>6:29c</w:t>
      </w:r>
    </w:p>
    <w:p>
      <w:pPr/>
      <w:r>
        <w:rPr>
          <w:lang w:val="en_US" w:bidi="en_US"/>
        </w:rPr>
      </w:r>
      <w:r>
        <w:rPr>
          <w:b/>
          <w:lang w:val="en_US" w:bidi="en_US"/>
        </w:rPr>
        <w:t>And if someone takes your cloak,</w:t>
      </w:r>
    </w:p>
    <w:p>
      <w:pPr>
        <w:pStyle w:val="ListBullet"/>
        <w:spacing w:line="240" w:lineRule="auto"/>
        <w:ind w:left="720"/>
      </w:pPr>
      <w:r>
        <w:rPr>
          <w:lang w:val="en_US" w:bidi="en_US"/>
        </w:rPr>
      </w:r>
      <w:r>
        <w:rPr>
          <w:lang w:val="en_US" w:bidi="en_US"/>
        </w:rPr>
        <w:t>If someone takes your</w:t>
      </w:r>
      <w:r>
        <w:rPr>
          <w:vertAlign w:val="superscript"/>
          <w:lang w:val="en_US" w:bidi="en_US"/>
        </w:rPr>
        <w:t>(sing)</w:t>
      </w:r>
      <w:r>
        <w:rPr>
          <w:lang w:val="en_US" w:bidi="en_US"/>
        </w:rPr>
        <w:t xml:space="preserve"> coat,</w:t>
      </w:r>
    </w:p>
    <w:p>
      <w:pPr>
        <w:pStyle w:val="ListBullet"/>
        <w:spacing w:line="240" w:lineRule="auto"/>
        <w:ind w:left="720"/>
      </w:pPr>
      <w:r>
        <w:rPr>
          <w:lang w:val="en_US" w:bidi="en_US"/>
        </w:rPr>
      </w:r>
      <w:r>
        <w:rPr>
          <w:lang w:val="en_US" w:bidi="en_US"/>
        </w:rPr>
        <w:t xml:space="preserve">If/When someone </w:t>
      </w:r>
      <w:r>
        <w:rPr>
          <w:lang w:val="en_US" w:bidi="en_US"/>
        </w:rPr>
        <w:t>unjustly</w:t>
      </w:r>
      <w:r>
        <w:rPr>
          <w:lang w:val="en_US" w:bidi="en_US"/>
        </w:rPr>
        <w:t xml:space="preserve"> takes your</w:t>
      </w:r>
      <w:r>
        <w:rPr>
          <w:vertAlign w:val="superscript"/>
          <w:lang w:val="en_US" w:bidi="en_US"/>
        </w:rPr>
        <w:t>(sing)</w:t>
      </w:r>
      <w:r>
        <w:rPr>
          <w:lang w:val="en_US" w:bidi="en_US"/>
        </w:rPr>
        <w:t xml:space="preserve"> outer garment,</w:t>
      </w:r>
    </w:p>
    <w:p>
      <w:pPr/>
      <w:r>
        <w:rPr>
          <w:lang w:val="en_US" w:bidi="en_US"/>
        </w:rPr>
      </w:r>
      <w:r>
        <w:rPr>
          <w:b/>
          <w:lang w:val="en_US" w:bidi="en_US"/>
        </w:rPr>
        <w:t>And if someone takes your cloak:</w:t>
      </w:r>
      <w:r>
        <w:rPr>
          <w:lang w:val="en_US" w:bidi="en_US"/>
        </w:rPr>
        <w:t xml:space="preserve"> The verb </w:t>
      </w:r>
      <w:r>
        <w:rPr>
          <w:i/>
          <w:lang w:val="en_US" w:bidi="en_US"/>
        </w:rPr>
        <w:t>takes</w:t>
      </w:r>
      <w:r>
        <w:rPr>
          <w:lang w:val="en_US" w:bidi="en_US"/>
        </w:rPr>
        <w:t xml:space="preserve"> here refers to getting possession unjustly. It could include stealing a person’s cloak or taking it as payment after making a false accusation in court against the disciple (see Matthew 5:40).</w:t>
      </w:r>
    </w:p>
    <w:p>
      <w:pPr/>
      <w:r>
        <w:rPr>
          <w:lang w:val="en_US" w:bidi="en_US"/>
        </w:rPr>
      </w:r>
      <w:r>
        <w:rPr>
          <w:b/>
          <w:lang w:val="en_US" w:bidi="en_US"/>
        </w:rPr>
        <w:t>cloak:</w:t>
      </w:r>
      <w:r>
        <w:rPr>
          <w:lang w:val="en_US" w:bidi="en_US"/>
        </w:rPr>
        <w:t xml:space="preserve"> A </w:t>
      </w:r>
      <w:r>
        <w:rPr>
          <w:i/>
          <w:lang w:val="en_US" w:bidi="en_US"/>
        </w:rPr>
        <w:t>cloak</w:t>
      </w:r>
      <w:r>
        <w:rPr>
          <w:lang w:val="en_US" w:bidi="en_US"/>
        </w:rPr>
        <w:t xml:space="preserve"> was a long, loose outer garment such as a long coat or robe. Another way to translate this is:</w:t>
      </w:r>
    </w:p>
    <w:p>
      <w:pPr/>
      <w:r>
        <w:rPr>
          <w:lang w:val="en_US" w:bidi="en_US"/>
        </w:rPr>
      </w:r>
      <w:r>
        <w:rPr>
          <w:lang w:val="en_US" w:bidi="en_US"/>
        </w:rPr>
        <w:t>coat (GNT)</w:t>
      </w:r>
    </w:p>
    <w:p>
      <w:pPr/>
      <w:r>
        <w:rPr>
          <w:lang w:val="en_US" w:bidi="en_US"/>
        </w:rPr>
      </w:r>
      <w:r>
        <w:rPr>
          <w:lang w:val="en_US" w:bidi="en_US"/>
        </w:rPr>
        <w:t>See the General Comment on 6:29c–d below for more suggestions.</w:t>
      </w:r>
    </w:p>
    <w:p>
      <w:pPr>
        <w:pStyle w:val="Heading5"/>
      </w:pPr>
      <w:r>
        <w:rPr>
          <w:lang w:val="en_US" w:bidi="en_US"/>
        </w:rPr>
        <w:t>6:29d</w:t>
      </w:r>
    </w:p>
    <w:p>
      <w:pPr/>
      <w:r>
        <w:rPr>
          <w:lang w:val="en_US" w:bidi="en_US"/>
        </w:rPr>
      </w:r>
      <w:r>
        <w:rPr>
          <w:b/>
          <w:lang w:val="en_US" w:bidi="en_US"/>
        </w:rPr>
        <w:t>do not withhold your tunic as well.</w:t>
      </w:r>
    </w:p>
    <w:p>
      <w:pPr>
        <w:pStyle w:val="ListBullet"/>
        <w:spacing w:line="240" w:lineRule="auto"/>
        <w:ind w:left="720"/>
      </w:pPr>
      <w:r>
        <w:rPr>
          <w:lang w:val="en_US" w:bidi="en_US"/>
        </w:rPr>
      </w:r>
      <w:r>
        <w:rPr>
          <w:lang w:val="en_US" w:bidi="en_US"/>
        </w:rPr>
        <w:t>do not refuse</w:t>
      </w:r>
      <w:r>
        <w:rPr>
          <w:vertAlign w:val="superscript"/>
          <w:lang w:val="en_US" w:bidi="en_US"/>
        </w:rPr>
        <w:t>(sing)</w:t>
      </w:r>
      <w:r>
        <w:rPr>
          <w:lang w:val="en_US" w:bidi="en_US"/>
        </w:rPr>
        <w:t xml:space="preserve"> to give your</w:t>
      </w:r>
      <w:r>
        <w:rPr>
          <w:vertAlign w:val="superscript"/>
          <w:lang w:val="en_US" w:bidi="en_US"/>
        </w:rPr>
        <w:t>(sing)</w:t>
      </w:r>
      <w:r>
        <w:rPr>
          <w:lang w:val="en_US" w:bidi="en_US"/>
        </w:rPr>
        <w:t xml:space="preserve"> shirt also.</w:t>
      </w:r>
    </w:p>
    <w:p>
      <w:pPr>
        <w:pStyle w:val="ListBullet"/>
        <w:spacing w:line="240" w:lineRule="auto"/>
        <w:ind w:left="720"/>
      </w:pPr>
      <w:r>
        <w:rPr>
          <w:lang w:val="en_US" w:bidi="en_US"/>
        </w:rPr>
      </w:r>
      <w:r>
        <w:rPr>
          <w:lang w:val="en_US" w:bidi="en_US"/>
        </w:rPr>
        <w:t>let</w:t>
      </w:r>
      <w:r>
        <w:rPr>
          <w:vertAlign w:val="superscript"/>
          <w:lang w:val="en_US" w:bidi="en_US"/>
        </w:rPr>
        <w:t>(sing)</w:t>
      </w:r>
      <w:r>
        <w:rPr>
          <w:lang w:val="en_US" w:bidi="en_US"/>
        </w:rPr>
        <w:t xml:space="preserve"> him take your</w:t>
      </w:r>
      <w:r>
        <w:rPr>
          <w:vertAlign w:val="superscript"/>
          <w:lang w:val="en_US" w:bidi="en_US"/>
        </w:rPr>
        <w:t>(sing)</w:t>
      </w:r>
      <w:r>
        <w:rPr>
          <w:lang w:val="en_US" w:bidi="en_US"/>
        </w:rPr>
        <w:t xml:space="preserve"> under garment/robe also.</w:t>
      </w:r>
    </w:p>
    <w:p>
      <w:pPr/>
      <w:r>
        <w:rPr>
          <w:lang w:val="en_US" w:bidi="en_US"/>
        </w:rPr>
      </w:r>
      <w:r>
        <w:rPr>
          <w:b/>
          <w:lang w:val="en_US" w:bidi="en_US"/>
        </w:rPr>
        <w:t>do not withhold your tunic as well:</w:t>
      </w:r>
      <w:r>
        <w:rPr>
          <w:lang w:val="en_US" w:bidi="en_US"/>
        </w:rPr>
        <w:t xml:space="preserve"> The phrase </w:t>
      </w:r>
      <w:r>
        <w:rPr>
          <w:i/>
          <w:lang w:val="en_US" w:bidi="en_US"/>
        </w:rPr>
        <w:t>do not withhold your tunic as well</w:t>
      </w:r>
      <w:r>
        <w:rPr>
          <w:lang w:val="en_US" w:bidi="en_US"/>
        </w:rPr>
        <w:t xml:space="preserve"> means “allow/permit him to also take your tunic.” Some other ways to translate this are:</w:t>
      </w:r>
    </w:p>
    <w:p>
      <w:pPr/>
      <w:r>
        <w:rPr>
          <w:lang w:val="en_US" w:bidi="en_US"/>
        </w:rPr>
      </w:r>
      <w:r>
        <w:rPr>
          <w:lang w:val="en_US" w:bidi="en_US"/>
        </w:rPr>
        <w:t>offer your shirt also (NLT)</w:t>
      </w:r>
    </w:p>
    <w:p>
      <w:pPr/>
      <w:r>
        <w:rPr>
          <w:lang w:val="en_US" w:bidi="en_US"/>
        </w:rPr>
      </w:r>
      <w:r>
        <w:rPr>
          <w:lang w:val="en_US" w:bidi="en_US"/>
        </w:rPr>
        <w:t>let him have your shirt as well (REB)</w:t>
      </w:r>
    </w:p>
    <w:p>
      <w:pPr/>
      <w:r>
        <w:rPr>
          <w:lang w:val="en_US" w:bidi="en_US"/>
        </w:rPr>
      </w:r>
      <w:r>
        <w:rPr>
          <w:b/>
          <w:lang w:val="en_US" w:bidi="en_US"/>
        </w:rPr>
        <w:t>tunic:</w:t>
      </w:r>
      <w:r>
        <w:rPr>
          <w:lang w:val="en_US" w:bidi="en_US"/>
        </w:rPr>
        <w:t xml:space="preserve"> A </w:t>
      </w:r>
      <w:r>
        <w:rPr>
          <w:i/>
          <w:lang w:val="en_US" w:bidi="en_US"/>
        </w:rPr>
        <w:t>tunic</w:t>
      </w:r>
      <w:r>
        <w:rPr>
          <w:lang w:val="en_US" w:bidi="en_US"/>
        </w:rPr>
        <w:t xml:space="preserve"> was a robe-like undergarment that people wore beneath the cloak. Another way to translate this is:</w:t>
      </w:r>
    </w:p>
    <w:p>
      <w:pPr/>
      <w:r>
        <w:rPr>
          <w:lang w:val="en_US" w:bidi="en_US"/>
        </w:rPr>
      </w:r>
      <w:r>
        <w:rPr>
          <w:lang w:val="en_US" w:bidi="en_US"/>
        </w:rPr>
        <w:t>shirt (GNT)</w:t>
      </w:r>
    </w:p>
    <w:p>
      <w:pPr>
        <w:pStyle w:val="Heading6"/>
      </w:pPr>
      <w:r>
        <w:rPr>
          <w:b/>
          <w:lang w:val="en_US" w:bidi="en_US"/>
        </w:rPr>
        <w:t>General Comment on 6:29c–d</w:t>
      </w:r>
    </w:p>
    <w:p>
      <w:pPr/>
      <w:r>
        <w:rPr>
          <w:lang w:val="en_US" w:bidi="en_US"/>
        </w:rPr>
      </w:r>
      <w:r>
        <w:rPr>
          <w:lang w:val="en_US" w:bidi="en_US"/>
        </w:rPr>
        <w:t>Some ways to translate “cloak” and “tunic” are:</w:t>
      </w:r>
    </w:p>
    <w:p>
      <w:pPr>
        <w:pStyle w:val="ListBullet"/>
        <w:spacing w:line="240" w:lineRule="auto"/>
        <w:ind w:left="720"/>
      </w:pPr>
      <w:r>
        <w:rPr>
          <w:lang w:val="en_US" w:bidi="en_US"/>
        </w:rPr>
      </w:r>
      <w:r>
        <w:rPr>
          <w:lang w:val="en_US" w:bidi="en_US"/>
        </w:rPr>
        <w:t>Use general terms. For example:</w:t>
      </w:r>
      <w:r>
        <w:rPr>
          <w:lang w:val="en_US" w:bidi="en_US"/>
        </w:rPr>
        <w:t>outer garment and under garment</w:t>
      </w:r>
      <w:r>
        <w:rPr>
          <w:lang w:val="en_US" w:bidi="en_US"/>
        </w:rPr>
        <w:t>outer robe and under robe</w:t>
      </w:r>
    </w:p>
    <w:p>
      <w:pPr>
        <w:pStyle w:val="ListBullet"/>
        <w:spacing w:line="240" w:lineRule="auto"/>
        <w:ind w:left="720"/>
      </w:pPr>
      <w:r>
        <w:rPr>
          <w:lang w:val="en_US" w:bidi="en_US"/>
        </w:rPr>
      </w:r>
      <w:r>
        <w:rPr>
          <w:lang w:val="en_US" w:bidi="en_US"/>
        </w:rPr>
        <w:t>Use terms for clothing worn in your culture. This would especially be a good choice if you wear robe-like garments and if you wear two layers of clothing.</w:t>
      </w:r>
    </w:p>
    <w:p>
      <w:pPr/>
      <w:r>
        <w:rPr>
          <w:lang w:val="en_US" w:bidi="en_US"/>
        </w:rPr>
      </w:r>
      <w:r>
        <w:rPr>
          <w:lang w:val="en_US" w:bidi="en_US"/>
        </w:rPr>
        <w:t>Both the cloak and tunic were considered necessities. So be careful not to use a term for clothing that is considered luxurious or is not commonly worn.</w:t>
      </w:r>
      <w:r>
        <w:rPr>
          <w:lang w:val="en_US" w:bidi="en_US"/>
        </w:rPr>
      </w:r>
      <w:r>
        <w:rPr>
          <w:lang w:val="en_US" w:bidi="en_US"/>
        </w:rPr>
      </w:r>
    </w:p>
    <w:p>
      <w:pPr/>
      <w:r>
        <w:rPr>
          <w:lang w:val="en_US" w:bidi="en_US"/>
        </w:rPr>
      </w:r>
    </w:p>
    <w:p>
      <w:pPr>
        <w:pStyle w:val="Heading2"/>
      </w:pPr>
      <w:r>
        <w:rPr>
          <w:lang w:val="en_US" w:bidi="en_US"/>
        </w:rPr>
        <w:t>Luke 6:30</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6:27–31</w:t>
      </w:r>
    </w:p>
    <w:p>
      <w:pPr/>
      <w:r>
        <w:rPr>
          <w:lang w:val="en_US" w:bidi="en_US"/>
        </w:rPr>
      </w:r>
      <w:r>
        <w:rPr>
          <w:lang w:val="en_US" w:bidi="en_US"/>
        </w:rPr>
        <w:t>In this paragraph, Jesus taught his disciples that they should love people who do not treat them well. Jesus emphasized this point by restating the command in four different ways. Then Jesus gave four examples of showing love to enemies and a general statement of how to treat others.</w:t>
      </w:r>
    </w:p>
    <w:p>
      <w:pPr/>
      <w:r>
        <w:rPr>
          <w:lang w:val="en_US" w:bidi="en_US"/>
        </w:rPr>
      </w:r>
      <w:r>
        <w:rPr>
          <w:lang w:val="en_US" w:bidi="en_US"/>
        </w:rPr>
        <w:t>Some English versions have a section heading here, but Jesus was continuing the sermon that he began in 6:20b. If you put a heading here, you may need to make it explicit that Jesus was still talking. For example:</w:t>
      </w:r>
    </w:p>
    <w:p>
      <w:pPr/>
      <w:r>
        <w:rPr>
          <w:lang w:val="en_US" w:bidi="en_US"/>
        </w:rPr>
      </w:r>
      <w:r>
        <w:rPr>
          <w:lang w:val="en_US" w:bidi="en_US"/>
        </w:rPr>
        <w:t>Jesus continued teaching, and he said,</w:t>
      </w:r>
      <w:r>
        <w:rPr>
          <w:lang w:val="en_US" w:bidi="en_US"/>
        </w:rPr>
        <w:t xml:space="preserve"> “But I tell you…”</w:t>
      </w:r>
    </w:p>
    <w:p>
      <w:pPr>
        <w:pStyle w:val="Heading5"/>
      </w:pPr>
      <w:r>
        <w:rPr>
          <w:lang w:val="en_US" w:bidi="en_US"/>
        </w:rPr>
        <w:t>6:30a</w:t>
      </w:r>
    </w:p>
    <w:p>
      <w:pPr/>
      <w:r>
        <w:rPr>
          <w:lang w:val="en_US" w:bidi="en_US"/>
        </w:rPr>
      </w:r>
      <w:r>
        <w:rPr>
          <w:b/>
          <w:lang w:val="en_US" w:bidi="en_US"/>
        </w:rPr>
        <w:t>Give to everyone who asks you,</w:t>
      </w:r>
    </w:p>
    <w:p>
      <w:pPr>
        <w:pStyle w:val="ListBullet"/>
        <w:spacing w:line="240" w:lineRule="auto"/>
        <w:ind w:left="720"/>
      </w:pPr>
      <w:r>
        <w:rPr>
          <w:lang w:val="en_US" w:bidi="en_US"/>
        </w:rPr>
      </w:r>
      <w:r>
        <w:rPr>
          <w:lang w:val="en_US" w:bidi="en_US"/>
        </w:rPr>
        <w:t>Give</w:t>
      </w:r>
      <w:r>
        <w:rPr>
          <w:vertAlign w:val="superscript"/>
          <w:lang w:val="en_US" w:bidi="en_US"/>
        </w:rPr>
        <w:t>(sing)</w:t>
      </w:r>
      <w:r>
        <w:rPr>
          <w:lang w:val="en_US" w:bidi="en_US"/>
        </w:rPr>
        <w:t xml:space="preserve"> to everyone who begs you</w:t>
      </w:r>
      <w:r>
        <w:rPr>
          <w:vertAlign w:val="superscript"/>
          <w:lang w:val="en_US" w:bidi="en_US"/>
        </w:rPr>
        <w:t>(sing)</w:t>
      </w:r>
      <w:r>
        <w:rPr>
          <w:lang w:val="en_US" w:bidi="en_US"/>
        </w:rPr>
        <w:t xml:space="preserve"> </w:t>
      </w:r>
      <w:r>
        <w:rPr>
          <w:lang w:val="en_US" w:bidi="en_US"/>
        </w:rPr>
        <w:t>for something</w:t>
      </w:r>
      <w:r>
        <w:rPr>
          <w:lang w:val="en_US" w:bidi="en_US"/>
        </w:rPr>
        <w:t>.</w:t>
      </w:r>
    </w:p>
    <w:p>
      <w:pPr>
        <w:pStyle w:val="ListBullet"/>
        <w:spacing w:line="240" w:lineRule="auto"/>
        <w:ind w:left="720"/>
      </w:pPr>
      <w:r>
        <w:rPr>
          <w:lang w:val="en_US" w:bidi="en_US"/>
        </w:rPr>
      </w:r>
      <w:r>
        <w:rPr>
          <w:lang w:val="en_US" w:bidi="en_US"/>
        </w:rPr>
        <w:t>If/When someone asks/begs you</w:t>
      </w:r>
      <w:r>
        <w:rPr>
          <w:vertAlign w:val="superscript"/>
          <w:lang w:val="en_US" w:bidi="en_US"/>
        </w:rPr>
        <w:t>(sing)</w:t>
      </w:r>
      <w:r>
        <w:rPr>
          <w:lang w:val="en_US" w:bidi="en_US"/>
        </w:rPr>
        <w:t xml:space="preserve"> </w:t>
      </w:r>
      <w:r>
        <w:rPr>
          <w:lang w:val="en_US" w:bidi="en_US"/>
        </w:rPr>
        <w:t>for something</w:t>
      </w:r>
      <w:r>
        <w:rPr>
          <w:lang w:val="en_US" w:bidi="en_US"/>
        </w:rPr>
        <w:t>, give it to him.</w:t>
      </w:r>
    </w:p>
    <w:p>
      <w:pPr/>
      <w:r>
        <w:rPr>
          <w:lang w:val="en_US" w:bidi="en_US"/>
        </w:rPr>
      </w:r>
      <w:r>
        <w:rPr>
          <w:b/>
          <w:lang w:val="en_US" w:bidi="en_US"/>
        </w:rPr>
        <w:t>Give to everyone who asks you:</w:t>
      </w:r>
      <w:r>
        <w:rPr>
          <w:lang w:val="en_US" w:bidi="en_US"/>
        </w:rPr>
        <w:t xml:space="preserve"> The phrase </w:t>
      </w:r>
      <w:r>
        <w:rPr>
          <w:i/>
          <w:lang w:val="en_US" w:bidi="en_US"/>
        </w:rPr>
        <w:t>Give to everyone who asks you</w:t>
      </w:r>
      <w:r>
        <w:rPr>
          <w:lang w:val="en_US" w:bidi="en_US"/>
        </w:rPr>
        <w:t xml:space="preserve"> is a command to be generous and give to people who ask you for something. Being generous is a specific way to show love. Another way to translate this is:</w:t>
      </w:r>
    </w:p>
    <w:p>
      <w:pPr/>
      <w:r>
        <w:rPr>
          <w:lang w:val="en_US" w:bidi="en_US"/>
        </w:rPr>
      </w:r>
      <w:r>
        <w:rPr>
          <w:lang w:val="en_US" w:bidi="en_US"/>
        </w:rPr>
        <w:t>If/when</w:t>
      </w:r>
      <w:r>
        <w:rPr>
          <w:lang w:val="en_US" w:bidi="en_US"/>
        </w:rPr>
        <w:t xml:space="preserve"> someone asks you </w:t>
      </w:r>
      <w:r>
        <w:rPr>
          <w:lang w:val="en_US" w:bidi="en_US"/>
        </w:rPr>
        <w:t>for something</w:t>
      </w:r>
      <w:r>
        <w:rPr>
          <w:lang w:val="en_US" w:bidi="en_US"/>
        </w:rPr>
        <w:t xml:space="preserve">, give </w:t>
      </w:r>
      <w:r>
        <w:rPr>
          <w:lang w:val="en_US" w:bidi="en_US"/>
        </w:rPr>
        <w:t>it to him</w:t>
      </w:r>
      <w:r>
        <w:rPr>
          <w:lang w:val="en_US" w:bidi="en_US"/>
        </w:rPr>
        <w:t>.</w:t>
      </w:r>
    </w:p>
    <w:p>
      <w:pPr/>
      <w:r>
        <w:rPr>
          <w:lang w:val="en_US" w:bidi="en_US"/>
        </w:rPr>
      </w:r>
      <w:r>
        <w:rPr>
          <w:lang w:val="en_US" w:bidi="en_US"/>
        </w:rPr>
        <w:t>If your language prefers direct speech, you could say something like:</w:t>
      </w:r>
    </w:p>
    <w:p>
      <w:pPr/>
      <w:r>
        <w:rPr>
          <w:lang w:val="en_US" w:bidi="en_US"/>
        </w:rPr>
      </w:r>
      <w:r>
        <w:rPr>
          <w:lang w:val="en_US" w:bidi="en_US"/>
        </w:rPr>
        <w:t>If someone says to you, “Please give me that,” give it to him.</w:t>
      </w:r>
    </w:p>
    <w:p>
      <w:pPr>
        <w:pStyle w:val="Heading5"/>
      </w:pPr>
      <w:r>
        <w:rPr>
          <w:lang w:val="en_US" w:bidi="en_US"/>
        </w:rPr>
        <w:t>6:30b</w:t>
      </w:r>
    </w:p>
    <w:p>
      <w:pPr/>
      <w:r>
        <w:rPr>
          <w:lang w:val="en_US" w:bidi="en_US"/>
        </w:rPr>
      </w:r>
      <w:r>
        <w:rPr>
          <w:b/>
          <w:lang w:val="en_US" w:bidi="en_US"/>
        </w:rPr>
        <w:t>and if anyone takes what is yours,</w:t>
      </w:r>
    </w:p>
    <w:p>
      <w:pPr>
        <w:pStyle w:val="ListBullet"/>
        <w:spacing w:line="240" w:lineRule="auto"/>
        <w:ind w:left="720"/>
      </w:pPr>
      <w:r>
        <w:rPr>
          <w:lang w:val="en_US" w:bidi="en_US"/>
        </w:rPr>
      </w:r>
      <w:r>
        <w:rPr>
          <w:lang w:val="en_US" w:bidi="en_US"/>
        </w:rPr>
        <w:t>If someone takes something that belongs 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If/When someone </w:t>
      </w:r>
      <w:r>
        <w:rPr>
          <w:lang w:val="en_US" w:bidi="en_US"/>
        </w:rPr>
        <w:t>unjustly</w:t>
      </w:r>
      <w:r>
        <w:rPr>
          <w:lang w:val="en_US" w:bidi="en_US"/>
        </w:rPr>
        <w:t xml:space="preserve"> takes what is yours</w:t>
      </w:r>
      <w:r>
        <w:rPr>
          <w:vertAlign w:val="superscript"/>
          <w:lang w:val="en_US" w:bidi="en_US"/>
        </w:rPr>
        <w:t>(sing)</w:t>
      </w:r>
      <w:r>
        <w:rPr>
          <w:lang w:val="en_US" w:bidi="en_US"/>
        </w:rPr>
        <w:t>,</w:t>
      </w:r>
    </w:p>
    <w:p>
      <w:pPr/>
      <w:r>
        <w:rPr>
          <w:lang w:val="en_US" w:bidi="en_US"/>
        </w:rPr>
      </w:r>
      <w:r>
        <w:rPr>
          <w:b/>
          <w:lang w:val="en_US" w:bidi="en_US"/>
        </w:rPr>
        <w:t>if anyone takes what is yours:</w:t>
      </w:r>
      <w:r>
        <w:rPr>
          <w:lang w:val="en_US" w:bidi="en_US"/>
        </w:rPr>
        <w:t xml:space="preserve"> The Greek for the word </w:t>
      </w:r>
      <w:r>
        <w:rPr>
          <w:i/>
          <w:lang w:val="en_US" w:bidi="en_US"/>
        </w:rPr>
        <w:t>takes</w:t>
      </w:r>
      <w:r>
        <w:rPr>
          <w:lang w:val="en_US" w:bidi="en_US"/>
        </w:rPr>
        <w:t xml:space="preserve"> is the same as in 6:29c. The person may have stolen this item, or he may have asked a judge (in court) to make you give it to him. Another way to translate this is:</w:t>
      </w:r>
    </w:p>
    <w:p>
      <w:pPr/>
      <w:r>
        <w:rPr>
          <w:lang w:val="en_US" w:bidi="en_US"/>
        </w:rPr>
      </w:r>
      <w:r>
        <w:rPr>
          <w:lang w:val="en_US" w:bidi="en_US"/>
        </w:rPr>
        <w:t>when someone takes something that is yours (NCV)</w:t>
      </w:r>
    </w:p>
    <w:p>
      <w:pPr>
        <w:pStyle w:val="Heading5"/>
      </w:pPr>
      <w:r>
        <w:rPr>
          <w:lang w:val="en_US" w:bidi="en_US"/>
        </w:rPr>
        <w:t>6:30c</w:t>
      </w:r>
    </w:p>
    <w:p>
      <w:pPr/>
      <w:r>
        <w:rPr>
          <w:lang w:val="en_US" w:bidi="en_US"/>
        </w:rPr>
      </w:r>
      <w:r>
        <w:rPr>
          <w:b/>
          <w:lang w:val="en_US" w:bidi="en_US"/>
        </w:rPr>
        <w:t>do not demand it back.</w:t>
      </w:r>
    </w:p>
    <w:p>
      <w:pPr>
        <w:pStyle w:val="ListBullet"/>
        <w:spacing w:line="240" w:lineRule="auto"/>
        <w:ind w:left="720"/>
      </w:pPr>
      <w:r>
        <w:rPr>
          <w:lang w:val="en_US" w:bidi="en_US"/>
        </w:rPr>
      </w:r>
      <w:r>
        <w:rPr>
          <w:lang w:val="en_US" w:bidi="en_US"/>
        </w:rPr>
        <w:t>do not ask</w:t>
      </w:r>
      <w:r>
        <w:rPr>
          <w:vertAlign w:val="superscript"/>
          <w:lang w:val="en_US" w:bidi="en_US"/>
        </w:rPr>
        <w:t>(sing)</w:t>
      </w:r>
      <w:r>
        <w:rPr>
          <w:lang w:val="en_US" w:bidi="en_US"/>
        </w:rPr>
        <w:t xml:space="preserve"> him to give it back.</w:t>
      </w:r>
    </w:p>
    <w:p>
      <w:pPr>
        <w:pStyle w:val="ListBullet"/>
        <w:spacing w:line="240" w:lineRule="auto"/>
        <w:ind w:left="720"/>
      </w:pPr>
      <w:r>
        <w:rPr>
          <w:lang w:val="en_US" w:bidi="en_US"/>
        </w:rPr>
      </w:r>
      <w:r>
        <w:rPr>
          <w:lang w:val="en_US" w:bidi="en_US"/>
        </w:rPr>
        <w:t>do not insist/require</w:t>
      </w:r>
      <w:r>
        <w:rPr>
          <w:vertAlign w:val="superscript"/>
          <w:lang w:val="en_US" w:bidi="en_US"/>
        </w:rPr>
        <w:t>(sing)</w:t>
      </w:r>
      <w:r>
        <w:rPr>
          <w:lang w:val="en_US" w:bidi="en_US"/>
        </w:rPr>
        <w:t xml:space="preserve"> that he must give it back to you</w:t>
      </w:r>
      <w:r>
        <w:rPr>
          <w:vertAlign w:val="superscript"/>
          <w:lang w:val="en_US" w:bidi="en_US"/>
        </w:rPr>
        <w:t>(sing)</w:t>
      </w:r>
      <w:r>
        <w:rPr>
          <w:lang w:val="en_US" w:bidi="en_US"/>
        </w:rPr>
        <w:t>.</w:t>
      </w:r>
    </w:p>
    <w:p>
      <w:pPr/>
      <w:r>
        <w:rPr>
          <w:lang w:val="en_US" w:bidi="en_US"/>
        </w:rPr>
      </w:r>
      <w:r>
        <w:rPr>
          <w:b/>
          <w:lang w:val="en_US" w:bidi="en_US"/>
        </w:rPr>
        <w:t>do not demand it back:</w:t>
      </w:r>
      <w:r>
        <w:rPr>
          <w:lang w:val="en_US" w:bidi="en_US"/>
        </w:rPr>
        <w:t xml:space="preserve"> The phrase </w:t>
      </w:r>
      <w:r>
        <w:rPr>
          <w:i/>
          <w:lang w:val="en_US" w:bidi="en_US"/>
        </w:rPr>
        <w:t>do not demand it back</w:t>
      </w:r>
      <w:r>
        <w:rPr>
          <w:lang w:val="en_US" w:bidi="en_US"/>
        </w:rPr>
        <w:t xml:space="preserve"> means “do not ask him to give it back to you.” Some other ways to translate this are:</w:t>
      </w:r>
    </w:p>
    <w:p>
      <w:pPr/>
      <w:r>
        <w:rPr>
          <w:lang w:val="en_US" w:bidi="en_US"/>
        </w:rPr>
      </w:r>
      <w:r>
        <w:rPr>
          <w:lang w:val="en_US" w:bidi="en_US"/>
        </w:rPr>
        <w:t>don’t insist on getting it back (GW)</w:t>
      </w:r>
    </w:p>
    <w:p>
      <w:pPr/>
      <w:r>
        <w:rPr>
          <w:lang w:val="en_US" w:bidi="en_US"/>
        </w:rPr>
      </w:r>
      <w:r>
        <w:rPr>
          <w:lang w:val="en_US" w:bidi="en_US"/>
        </w:rPr>
        <w:t>do not ask for your possessions back (NET)</w:t>
      </w:r>
    </w:p>
    <w:p>
      <w:pPr/>
      <w:r>
        <w:rPr>
          <w:lang w:val="en_US" w:bidi="en_US"/>
        </w:rPr>
      </w:r>
      <w:r>
        <w:rPr>
          <w:lang w:val="en_US" w:bidi="en_US"/>
        </w:rPr>
        <w:t>If your language prefers direct speech, you could say something like:</w:t>
      </w:r>
    </w:p>
    <w:p>
      <w:pPr/>
      <w:r>
        <w:rPr>
          <w:lang w:val="en_US" w:bidi="en_US"/>
        </w:rPr>
      </w:r>
      <w:r>
        <w:rPr>
          <w:lang w:val="en_US" w:bidi="en_US"/>
        </w:rPr>
        <w:t>…do not say to him, “Give back my thing(s) to me!”</w:t>
      </w:r>
      <w:r>
        <w:rPr>
          <w:lang w:val="en_US" w:bidi="en_US"/>
        </w:rPr>
      </w:r>
      <w:r>
        <w:rPr>
          <w:lang w:val="en_US" w:bidi="en_US"/>
        </w:rPr>
      </w:r>
    </w:p>
    <w:p>
      <w:pPr/>
      <w:r>
        <w:rPr>
          <w:lang w:val="en_US" w:bidi="en_US"/>
        </w:rPr>
      </w:r>
    </w:p>
    <w:p>
      <w:pPr>
        <w:pStyle w:val="Heading2"/>
      </w:pPr>
      <w:r>
        <w:rPr>
          <w:lang w:val="en_US" w:bidi="en_US"/>
        </w:rPr>
        <w:t>Luke 6:31</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6:27–31</w:t>
      </w:r>
    </w:p>
    <w:p>
      <w:pPr/>
      <w:r>
        <w:rPr>
          <w:lang w:val="en_US" w:bidi="en_US"/>
        </w:rPr>
      </w:r>
      <w:r>
        <w:rPr>
          <w:lang w:val="en_US" w:bidi="en_US"/>
        </w:rPr>
        <w:t>In this paragraph, Jesus taught his disciples that they should love people who do not treat them well. Jesus emphasized this point by restating the command in four different ways. Then Jesus gave four examples of showing love to enemies and a general statement of how to treat others.</w:t>
      </w:r>
    </w:p>
    <w:p>
      <w:pPr/>
      <w:r>
        <w:rPr>
          <w:lang w:val="en_US" w:bidi="en_US"/>
        </w:rPr>
      </w:r>
      <w:r>
        <w:rPr>
          <w:lang w:val="en_US" w:bidi="en_US"/>
        </w:rPr>
        <w:t>Some English versions have a section heading here, but Jesus was continuing the sermon that he began in 6:20b. If you put a heading here, you may need to make it explicit that Jesus was still talking. For example:</w:t>
      </w:r>
    </w:p>
    <w:p>
      <w:pPr/>
      <w:r>
        <w:rPr>
          <w:lang w:val="en_US" w:bidi="en_US"/>
        </w:rPr>
      </w:r>
      <w:r>
        <w:rPr>
          <w:lang w:val="en_US" w:bidi="en_US"/>
        </w:rPr>
        <w:t>Jesus continued teaching, and he said,</w:t>
      </w:r>
      <w:r>
        <w:rPr>
          <w:lang w:val="en_US" w:bidi="en_US"/>
        </w:rPr>
        <w:t xml:space="preserve"> “But I tell you…”</w:t>
      </w:r>
    </w:p>
    <w:p>
      <w:pPr>
        <w:pStyle w:val="Heading5"/>
      </w:pPr>
      <w:r>
        <w:rPr>
          <w:lang w:val="en_US" w:bidi="en_US"/>
        </w:rPr>
        <w:t>6:31</w:t>
      </w:r>
    </w:p>
    <w:p>
      <w:pPr/>
      <w:r>
        <w:rPr>
          <w:lang w:val="en_US" w:bidi="en_US"/>
        </w:rPr>
      </w:r>
      <w:r>
        <w:rPr>
          <w:b/>
          <w:lang w:val="en_US" w:bidi="en_US"/>
        </w:rPr>
        <w:t>Do to others as you would have them do to you.</w:t>
      </w:r>
    </w:p>
    <w:p>
      <w:pPr>
        <w:pStyle w:val="ListBullet"/>
        <w:spacing w:line="240" w:lineRule="auto"/>
        <w:ind w:left="720"/>
      </w:pPr>
      <w:r>
        <w:rPr>
          <w:lang w:val="en_US" w:bidi="en_US"/>
        </w:rPr>
      </w:r>
      <w:r>
        <w:rPr>
          <w:lang w:val="en_US" w:bidi="en_US"/>
        </w:rPr>
        <w:t>Act/behave</w:t>
      </w:r>
      <w:r>
        <w:rPr>
          <w:vertAlign w:val="superscript"/>
          <w:lang w:val="en_US" w:bidi="en_US"/>
        </w:rPr>
        <w:t>(plur)</w:t>
      </w:r>
      <w:r>
        <w:rPr>
          <w:lang w:val="en_US" w:bidi="en_US"/>
        </w:rPr>
        <w:t xml:space="preserve"> toward other people in the same way that you</w:t>
      </w:r>
      <w:r>
        <w:rPr>
          <w:vertAlign w:val="superscript"/>
          <w:lang w:val="en_US" w:bidi="en_US"/>
        </w:rPr>
        <w:t>(plur)</w:t>
      </w:r>
      <w:r>
        <w:rPr>
          <w:lang w:val="en_US" w:bidi="en_US"/>
        </w:rPr>
        <w:t xml:space="preserve"> want/desire them to act/behave toward you.</w:t>
      </w:r>
    </w:p>
    <w:p>
      <w:pPr>
        <w:pStyle w:val="ListBullet"/>
        <w:spacing w:line="240" w:lineRule="auto"/>
        <w:ind w:left="720"/>
      </w:pPr>
      <w:r>
        <w:rPr>
          <w:lang w:val="en_US" w:bidi="en_US"/>
        </w:rPr>
      </w:r>
      <w:r>
        <w:rPr>
          <w:lang w:val="en_US" w:bidi="en_US"/>
        </w:rPr>
        <w:t>Treat</w:t>
      </w:r>
      <w:r>
        <w:rPr>
          <w:vertAlign w:val="superscript"/>
          <w:lang w:val="en_US" w:bidi="en_US"/>
        </w:rPr>
        <w:t>(sing)</w:t>
      </w:r>
      <w:r>
        <w:rPr>
          <w:lang w:val="en_US" w:bidi="en_US"/>
        </w:rPr>
        <w:t xml:space="preserve"> other people in just the way you</w:t>
      </w:r>
      <w:r>
        <w:rPr>
          <w:vertAlign w:val="superscript"/>
          <w:lang w:val="en_US" w:bidi="en_US"/>
        </w:rPr>
        <w:t>(sing)</w:t>
      </w:r>
      <w:r>
        <w:rPr>
          <w:lang w:val="en_US" w:bidi="en_US"/>
        </w:rPr>
        <w:t xml:space="preserve"> would like them to treat you.</w:t>
      </w:r>
    </w:p>
    <w:p>
      <w:pPr/>
      <w:r>
        <w:rPr>
          <w:lang w:val="en_US" w:bidi="en_US"/>
        </w:rPr>
      </w:r>
      <w:r>
        <w:rPr>
          <w:lang w:val="en_US" w:bidi="en_US"/>
        </w:rPr>
        <w:t>In this verse Jesus returned to using “you</w:t>
      </w:r>
      <w:r>
        <w:rPr>
          <w:vertAlign w:val="superscript"/>
          <w:lang w:val="en_US" w:bidi="en_US"/>
        </w:rPr>
        <w:t>(plur)</w:t>
      </w:r>
      <w:r>
        <w:rPr>
          <w:lang w:val="en_US" w:bidi="en_US"/>
        </w:rPr>
        <w:t>.” It is a general statement that summarizes how to show love to others. Many people refer to this statement as “The Golden Rule.”</w:t>
      </w:r>
    </w:p>
    <w:p>
      <w:pPr/>
      <w:r>
        <w:rPr>
          <w:lang w:val="en_US" w:bidi="en_US"/>
        </w:rPr>
      </w:r>
      <w:r>
        <w:rPr>
          <w:b/>
          <w:lang w:val="en_US" w:bidi="en_US"/>
        </w:rPr>
        <w:t>Do to others as you would have them do to you:</w:t>
      </w:r>
      <w:r>
        <w:rPr>
          <w:lang w:val="en_US" w:bidi="en_US"/>
        </w:rPr>
        <w:t xml:space="preserve"> This statement means, “Behave toward other people in the way that you want them to behave toward you.” Some other ways to translate this are:</w:t>
      </w:r>
    </w:p>
    <w:p>
      <w:pPr/>
      <w:r>
        <w:rPr>
          <w:lang w:val="en_US" w:bidi="en_US"/>
        </w:rPr>
      </w:r>
      <w:r>
        <w:rPr>
          <w:lang w:val="en_US" w:bidi="en_US"/>
        </w:rPr>
        <w:t>Treat others in the same way that you would want them to treat you. (NET)</w:t>
      </w:r>
    </w:p>
    <w:p>
      <w:pPr/>
      <w:r>
        <w:rPr>
          <w:lang w:val="en_US" w:bidi="en_US"/>
        </w:rPr>
      </w:r>
      <w:r>
        <w:rPr>
          <w:lang w:val="en_US" w:bidi="en_US"/>
        </w:rPr>
        <w:t>Do for other people everything you want them to do for you. (GW)</w:t>
      </w:r>
    </w:p>
    <w:p>
      <w:pPr/>
      <w:r>
        <w:rPr>
          <w:lang w:val="en_US" w:bidi="en_US"/>
        </w:rPr>
      </w:r>
      <w:r>
        <w:rPr>
          <w:lang w:val="en_US" w:bidi="en_US"/>
        </w:rPr>
        <w:t>As you want people to treat you, treat them that way.</w:t>
      </w:r>
    </w:p>
    <w:p>
      <w:pPr/>
      <w:r>
        <w:rPr>
          <w:lang w:val="en_US" w:bidi="en_US"/>
        </w:rPr>
      </w:r>
      <w:r>
        <w:rPr>
          <w:lang w:val="en_US" w:bidi="en_US"/>
        </w:rPr>
        <w:t>In some languages, it may be more natural to follow the Greek order of the verse. For example:</w:t>
      </w:r>
    </w:p>
    <w:p>
      <w:pPr/>
      <w:r>
        <w:rPr>
          <w:lang w:val="en_US" w:bidi="en_US"/>
        </w:rPr>
      </w:r>
      <w:r>
        <w:rPr>
          <w:lang w:val="en_US" w:bidi="en_US"/>
        </w:rPr>
        <w:t>And as you wish that men would do to you, do so to them. (RSV)</w:t>
      </w:r>
      <w:r>
        <w:rPr>
          <w:lang w:val="en_US" w:bidi="en_US"/>
        </w:rPr>
      </w:r>
      <w:r>
        <w:rPr>
          <w:lang w:val="en_US" w:bidi="en_US"/>
        </w:rPr>
      </w:r>
    </w:p>
    <w:p>
      <w:pPr/>
      <w:r>
        <w:rPr>
          <w:lang w:val="en_US" w:bidi="en_US"/>
        </w:rPr>
      </w:r>
    </w:p>
    <w:p>
      <w:pPr>
        <w:pStyle w:val="Heading2"/>
      </w:pPr>
      <w:r>
        <w:rPr>
          <w:lang w:val="en_US" w:bidi="en_US"/>
        </w:rPr>
        <w:t>Luke 6:32</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6:32–36</w:t>
      </w:r>
    </w:p>
    <w:p>
      <w:pPr/>
      <w:r>
        <w:rPr>
          <w:lang w:val="en_US" w:bidi="en_US"/>
        </w:rPr>
      </w:r>
      <w:r>
        <w:rPr>
          <w:lang w:val="en_US" w:bidi="en_US"/>
        </w:rPr>
        <w:t>In this paragraph, Jesus stated that some people respond kindly only to those who treat them well. These people are just like the “sinners” whom they despise. He illustrated this with three examples. Each example is a rhetorical question that emphasizes that people like that will get no credit for such behavior.</w:t>
      </w:r>
    </w:p>
    <w:p>
      <w:pPr/>
      <w:r>
        <w:rPr>
          <w:lang w:val="en_US" w:bidi="en_US"/>
        </w:rPr>
      </w:r>
      <w:r>
        <w:rPr>
          <w:lang w:val="en_US" w:bidi="en_US"/>
        </w:rPr>
        <w:t>Jesus then restated the three situations with commands. He said that God would reward them if they followed these commands.</w:t>
      </w:r>
    </w:p>
    <w:p>
      <w:pPr>
        <w:pStyle w:val="Heading5"/>
      </w:pPr>
      <w:r>
        <w:rPr>
          <w:lang w:val="en_US" w:bidi="en_US"/>
        </w:rPr>
        <w:t>6:32a</w:t>
      </w:r>
    </w:p>
    <w:p>
      <w:pPr/>
      <w:r>
        <w:rPr>
          <w:lang w:val="en_US" w:bidi="en_US"/>
        </w:rPr>
      </w:r>
      <w:r>
        <w:rPr>
          <w:b/>
          <w:lang w:val="en_US" w:bidi="en_US"/>
        </w:rPr>
        <w:t>If you love those who love you,</w:t>
      </w:r>
    </w:p>
    <w:p>
      <w:pPr>
        <w:pStyle w:val="ListBullet"/>
        <w:spacing w:line="240" w:lineRule="auto"/>
        <w:ind w:left="720"/>
      </w:pPr>
      <w:r>
        <w:rPr>
          <w:lang w:val="en_US" w:bidi="en_US"/>
        </w:rPr>
      </w:r>
      <w:r>
        <w:rPr>
          <w:lang w:val="en_US" w:bidi="en_US"/>
        </w:rPr>
        <w:t>¶ “If you</w:t>
      </w:r>
      <w:r>
        <w:rPr>
          <w:vertAlign w:val="superscript"/>
          <w:lang w:val="en_US" w:bidi="en_US"/>
        </w:rPr>
        <w:t>(plur)</w:t>
      </w:r>
      <w:r>
        <w:rPr>
          <w:lang w:val="en_US" w:bidi="en_US"/>
        </w:rPr>
        <w:t xml:space="preserve"> love the people who love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“If you</w:t>
      </w:r>
      <w:r>
        <w:rPr>
          <w:vertAlign w:val="superscript"/>
          <w:lang w:val="en_US" w:bidi="en_US"/>
        </w:rPr>
        <w:t>(plur)</w:t>
      </w:r>
      <w:r>
        <w:rPr>
          <w:lang w:val="en_US" w:bidi="en_US"/>
        </w:rPr>
        <w:t xml:space="preserve"> love </w:t>
      </w:r>
      <w:r>
        <w:rPr>
          <w:lang w:val="en_US" w:bidi="en_US"/>
        </w:rPr>
        <w:t>only</w:t>
      </w:r>
      <w:r>
        <w:rPr>
          <w:lang w:val="en_US" w:bidi="en_US"/>
        </w:rPr>
        <w:t xml:space="preserve"> the people who love you</w:t>
      </w:r>
      <w:r>
        <w:rPr>
          <w:vertAlign w:val="superscript"/>
          <w:lang w:val="en_US" w:bidi="en_US"/>
        </w:rPr>
        <w:t>(plur)</w:t>
      </w:r>
      <w:r>
        <w:rPr>
          <w:lang w:val="en_US" w:bidi="en_US"/>
        </w:rPr>
        <w:t>,</w:t>
      </w:r>
    </w:p>
    <w:p>
      <w:pPr>
        <w:pStyle w:val="Heading5"/>
      </w:pPr>
      <w:r>
        <w:rPr>
          <w:lang w:val="en_US" w:bidi="en_US"/>
        </w:rPr>
        <w:t>6:32b</w:t>
      </w:r>
    </w:p>
    <w:p>
      <w:pPr/>
      <w:r>
        <w:rPr>
          <w:lang w:val="en_US" w:bidi="en_US"/>
        </w:rPr>
      </w:r>
      <w:r>
        <w:rPr>
          <w:b/>
          <w:lang w:val="en_US" w:bidi="en_US"/>
        </w:rPr>
        <w:t>what credit is that to you?</w:t>
      </w:r>
    </w:p>
    <w:p>
      <w:pPr>
        <w:pStyle w:val="ListBullet"/>
        <w:spacing w:line="240" w:lineRule="auto"/>
        <w:ind w:left="720"/>
      </w:pPr>
      <w:r>
        <w:rPr>
          <w:lang w:val="en_US" w:bidi="en_US"/>
        </w:rPr>
      </w:r>
      <w:r>
        <w:rPr>
          <w:lang w:val="en_US" w:bidi="en_US"/>
        </w:rPr>
        <w:t>what favor/praise/approval will you</w:t>
      </w:r>
      <w:r>
        <w:rPr>
          <w:vertAlign w:val="superscript"/>
          <w:lang w:val="en_US" w:bidi="en_US"/>
        </w:rPr>
        <w:t>(plur)</w:t>
      </w:r>
      <w:r>
        <w:rPr>
          <w:lang w:val="en_US" w:bidi="en_US"/>
        </w:rPr>
        <w:t xml:space="preserve"> get for that?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certainly</w:t>
      </w:r>
      <w:r>
        <w:rPr>
          <w:lang w:val="en_US" w:bidi="en_US"/>
        </w:rPr>
        <w:t xml:space="preserve"> do not deserve any special credit/respect for that.</w:t>
      </w:r>
    </w:p>
    <w:p>
      <w:pPr>
        <w:pStyle w:val="Heading5"/>
      </w:pPr>
      <w:r>
        <w:rPr>
          <w:lang w:val="en_US" w:bidi="en_US"/>
        </w:rPr>
        <w:t>6:32a–b</w:t>
      </w:r>
    </w:p>
    <w:p>
      <w:pPr/>
      <w:r>
        <w:rPr>
          <w:lang w:val="en_US" w:bidi="en_US"/>
        </w:rPr>
      </w:r>
      <w:r>
        <w:rPr>
          <w:b/>
          <w:lang w:val="en_US" w:bidi="en_US"/>
        </w:rPr>
        <w:t>If you love those who love you, what credit is that to you?:</w:t>
      </w:r>
      <w:r>
        <w:rPr>
          <w:lang w:val="en_US" w:bidi="en_US"/>
        </w:rPr>
        <w:t xml:space="preserve"> This is a rhetorical question. Jesus used this rhetorical question to emphasize that you will not receive any credit or praise in this situation. He said that when you love those who love you, it is no credit to you.</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If you love only those who love you, why should you get credit for that? (NLT)</w:t>
      </w:r>
    </w:p>
    <w:p>
      <w:pPr>
        <w:pStyle w:val="ListBullet"/>
        <w:spacing w:line="240" w:lineRule="auto"/>
        <w:ind w:left="720"/>
      </w:pPr>
      <w:r>
        <w:rPr>
          <w:lang w:val="en_US" w:bidi="en_US"/>
        </w:rPr>
      </w:r>
      <w:r>
        <w:rPr>
          <w:lang w:val="en_US" w:bidi="en_US"/>
        </w:rPr>
        <w:t>As a statement. For example:</w:t>
      </w:r>
      <w:r>
        <w:rPr>
          <w:lang w:val="en_US" w:bidi="en_US"/>
        </w:rPr>
        <w:t xml:space="preserve">If you love </w:t>
      </w:r>
      <w:r>
        <w:rPr>
          <w:lang w:val="en_US" w:bidi="en_US"/>
        </w:rPr>
        <w:t>only</w:t>
      </w:r>
      <w:r>
        <w:rPr>
          <w:lang w:val="en_US" w:bidi="en_US"/>
        </w:rPr>
        <w:t xml:space="preserve"> those who love you, you </w:t>
      </w:r>
      <w:r>
        <w:rPr>
          <w:lang w:val="en_US" w:bidi="en_US"/>
        </w:rPr>
        <w:t>certainly</w:t>
      </w:r>
      <w:r>
        <w:rPr>
          <w:lang w:val="en_US" w:bidi="en_US"/>
        </w:rPr>
        <w:t xml:space="preserve"> do not deserve any special praise for that.</w:t>
      </w:r>
    </w:p>
    <w:p>
      <w:pPr/>
      <w:r>
        <w:rPr>
          <w:lang w:val="en_US" w:bidi="en_US"/>
        </w:rPr>
      </w:r>
      <w:r>
        <w:rPr>
          <w:lang w:val="en_US" w:bidi="en_US"/>
        </w:rPr>
        <w:t>Translate this emphasis in a way that is natural in your language.</w:t>
      </w:r>
    </w:p>
    <w:p>
      <w:pPr/>
      <w:r>
        <w:rPr>
          <w:lang w:val="en_US" w:bidi="en_US"/>
        </w:rPr>
      </w:r>
      <w:r>
        <w:rPr>
          <w:b/>
          <w:lang w:val="en_US" w:bidi="en_US"/>
        </w:rPr>
        <w:t>love:</w:t>
      </w:r>
      <w:r>
        <w:rPr>
          <w:lang w:val="en_US" w:bidi="en_US"/>
        </w:rPr>
        <w:t xml:space="preserve"> This is the same word as in 6:27b.</w:t>
      </w:r>
    </w:p>
    <w:p>
      <w:pPr/>
      <w:r>
        <w:rPr>
          <w:lang w:val="en_US" w:bidi="en_US"/>
        </w:rPr>
      </w:r>
      <w:r>
        <w:rPr>
          <w:b/>
          <w:lang w:val="en_US" w:bidi="en_US"/>
        </w:rPr>
        <w:t>what credit is that to you?:</w:t>
      </w:r>
      <w:r>
        <w:rPr>
          <w:lang w:val="en_US" w:bidi="en_US"/>
        </w:rPr>
        <w:t xml:space="preserve"> The Greek word that the BSB translates as </w:t>
      </w:r>
      <w:r>
        <w:rPr>
          <w:i/>
          <w:lang w:val="en_US" w:bidi="en_US"/>
        </w:rPr>
        <w:t>credit</w:t>
      </w:r>
      <w:r>
        <w:rPr>
          <w:lang w:val="en_US" w:bidi="en_US"/>
        </w:rPr>
        <w:t xml:space="preserve"> is literally “grace.” However, in this context, it means “being well thought of” either by people or by God. Jesus was emphasizing that loving people who love you is not exceptional or special. It is not something that will result in recognition or praise.</w:t>
      </w:r>
    </w:p>
    <w:p>
      <w:pPr/>
      <w:r>
        <w:rPr>
          <w:lang w:val="en_US" w:bidi="en_US"/>
        </w:rPr>
      </w:r>
      <w:r>
        <w:rPr>
          <w:lang w:val="en_US" w:bidi="en_US"/>
        </w:rPr>
        <w:t>Some other ways to translate this are:</w:t>
      </w:r>
    </w:p>
    <w:p>
      <w:pPr/>
      <w:r>
        <w:rPr>
          <w:lang w:val="en_US" w:bidi="en_US"/>
        </w:rPr>
      </w:r>
      <w:r>
        <w:rPr>
          <w:lang w:val="en_US" w:bidi="en_US"/>
        </w:rPr>
        <w:t>…will you receive favor/approval for that?</w:t>
      </w:r>
    </w:p>
    <w:p>
      <w:pPr/>
      <w:r>
        <w:rPr>
          <w:lang w:val="en_US" w:bidi="en_US"/>
        </w:rPr>
      </w:r>
      <w:r>
        <w:rPr>
          <w:lang w:val="en_US" w:bidi="en_US"/>
        </w:rPr>
        <w:t>…what praise should you get? (NCV)</w:t>
      </w:r>
    </w:p>
    <w:p>
      <w:pPr/>
      <w:r>
        <w:rPr>
          <w:lang w:val="en_US" w:bidi="en_US"/>
        </w:rPr>
      </w:r>
      <w:r>
        <w:rPr>
          <w:lang w:val="en_US" w:bidi="en_US"/>
        </w:rPr>
        <w:t>…will God praise you for that? (CEV)</w:t>
      </w:r>
    </w:p>
    <w:p>
      <w:pPr>
        <w:pStyle w:val="Heading6"/>
      </w:pPr>
      <w:r>
        <w:rPr>
          <w:b/>
          <w:lang w:val="en_US" w:bidi="en_US"/>
        </w:rPr>
        <w:t>General Comment on 6:32a–b</w:t>
      </w:r>
    </w:p>
    <w:p>
      <w:pPr/>
      <w:r>
        <w:rPr>
          <w:lang w:val="en_US" w:bidi="en_US"/>
        </w:rPr>
      </w:r>
      <w:r>
        <w:rPr>
          <w:lang w:val="en_US" w:bidi="en_US"/>
        </w:rPr>
        <w:t>In some languages, it may be natural to change the order of 6:32a and 6:32b. For example:</w:t>
      </w:r>
    </w:p>
    <w:p>
      <w:pPr/>
      <w:r>
        <w:rPr>
          <w:lang w:val="en_US" w:bidi="en_US"/>
        </w:rPr>
      </w:r>
      <w:r>
        <w:rPr>
          <w:vertAlign w:val="superscript"/>
          <w:lang w:val="en_US" w:bidi="en_US"/>
        </w:rPr>
        <w:t>32b</w:t>
      </w:r>
      <w:r>
        <w:rPr>
          <w:lang w:val="en_US" w:bidi="en_US"/>
        </w:rPr>
        <w:t xml:space="preserve">What credit/praise do you deserve </w:t>
      </w:r>
      <w:r>
        <w:rPr>
          <w:vertAlign w:val="superscript"/>
          <w:lang w:val="en_US" w:bidi="en_US"/>
        </w:rPr>
        <w:t>32a</w:t>
      </w:r>
      <w:r>
        <w:rPr>
          <w:lang w:val="en_US" w:bidi="en_US"/>
        </w:rPr>
        <w:t>for loving those who love you?</w:t>
      </w:r>
    </w:p>
    <w:p>
      <w:pPr>
        <w:pStyle w:val="Heading5"/>
      </w:pPr>
      <w:r>
        <w:rPr>
          <w:lang w:val="en_US" w:bidi="en_US"/>
        </w:rPr>
        <w:t>6:32c</w:t>
      </w:r>
    </w:p>
    <w:p>
      <w:pPr/>
      <w:r>
        <w:rPr>
          <w:lang w:val="en_US" w:bidi="en_US"/>
        </w:rPr>
      </w:r>
      <w:r>
        <w:rPr>
          <w:b/>
          <w:lang w:val="en_US" w:bidi="en_US"/>
        </w:rPr>
        <w:t>Even sinners love those who love them.</w:t>
      </w:r>
    </w:p>
    <w:p>
      <w:pPr>
        <w:pStyle w:val="ListBullet"/>
        <w:spacing w:line="240" w:lineRule="auto"/>
        <w:ind w:left="720"/>
      </w:pPr>
      <w:r>
        <w:rPr>
          <w:lang w:val="en_US" w:bidi="en_US"/>
        </w:rPr>
      </w:r>
      <w:r>
        <w:rPr>
          <w:lang w:val="en_US" w:bidi="en_US"/>
        </w:rPr>
        <w:t>Even sinners love people who love them.</w:t>
      </w:r>
    </w:p>
    <w:p>
      <w:pPr>
        <w:pStyle w:val="ListBullet"/>
        <w:spacing w:line="240" w:lineRule="auto"/>
        <w:ind w:left="720"/>
      </w:pPr>
      <w:r>
        <w:rPr>
          <w:lang w:val="en_US" w:bidi="en_US"/>
        </w:rPr>
      </w:r>
      <w:r>
        <w:rPr>
          <w:lang w:val="en_US" w:bidi="en_US"/>
        </w:rPr>
        <w:t>For even those who sin love people who love them.</w:t>
      </w:r>
    </w:p>
    <w:p>
      <w:pPr/>
      <w:r>
        <w:rPr>
          <w:lang w:val="en_US" w:bidi="en_US"/>
        </w:rPr>
      </w:r>
      <w:r>
        <w:rPr>
          <w:b/>
          <w:lang w:val="en_US" w:bidi="en_US"/>
        </w:rPr>
        <w:t>Even sinners love those who love them:</w:t>
      </w:r>
      <w:r>
        <w:rPr>
          <w:lang w:val="en_US" w:bidi="en_US"/>
        </w:rPr>
        <w:t xml:space="preserve"> In Greek, a conjunction connects this clause to the rhetorical question. This conjunction is literally “for/because.” For example:</w:t>
      </w:r>
    </w:p>
    <w:p>
      <w:pPr/>
      <w:r>
        <w:rPr>
          <w:lang w:val="en_US" w:bidi="en_US"/>
        </w:rPr>
      </w:r>
      <w:r>
        <w:rPr>
          <w:lang w:val="en_US" w:bidi="en_US"/>
        </w:rPr>
        <w:t>For even sinners love those who love them. (NASB)</w:t>
      </w:r>
    </w:p>
    <w:p>
      <w:pPr/>
      <w:r>
        <w:rPr>
          <w:lang w:val="en_US" w:bidi="en_US"/>
        </w:rPr>
      </w:r>
      <w:r>
        <w:rPr>
          <w:lang w:val="en_US" w:bidi="en_US"/>
        </w:rPr>
        <w:t>This conjunction introduces the reason why people gain no special credit for loving the people who love them. Since sinners also love those who love them, it is clear that doing this is not exceptional and does not cause a person to deserve special favor. In some languages, no conjunction is necessary here. For example:</w:t>
      </w:r>
    </w:p>
    <w:p>
      <w:pPr/>
      <w:r>
        <w:rPr>
          <w:lang w:val="en_US" w:bidi="en_US"/>
        </w:rPr>
      </w:r>
      <w:r>
        <w:rPr>
          <w:lang w:val="en_US" w:bidi="en_US"/>
        </w:rPr>
        <w:t>Even sinners love the people who love them. (NCV)</w:t>
      </w:r>
    </w:p>
    <w:p>
      <w:pPr/>
      <w:r>
        <w:rPr>
          <w:lang w:val="en_US" w:bidi="en_US"/>
        </w:rPr>
      </w:r>
      <w:r>
        <w:rPr>
          <w:b/>
          <w:lang w:val="en_US" w:bidi="en_US"/>
        </w:rPr>
        <w:t>sinners:</w:t>
      </w:r>
      <w:r>
        <w:rPr>
          <w:lang w:val="en_US" w:bidi="en_US"/>
        </w:rPr>
        <w:t xml:space="preserve"> The Greek word that the BSB translates as </w:t>
      </w:r>
      <w:r>
        <w:rPr>
          <w:i/>
          <w:lang w:val="en_US" w:bidi="en_US"/>
        </w:rPr>
        <w:t>sinners</w:t>
      </w:r>
      <w:r>
        <w:rPr>
          <w:lang w:val="en_US" w:bidi="en_US"/>
        </w:rPr>
        <w:t xml:space="preserve"> here refers to people who habitually sin against God. They do what is contrary to God’s law. Their actions, thoughts, and attitudes are not what God wants or approves.</w:t>
      </w:r>
      <w:r>
        <w:rPr>
          <w:lang w:val="en_US" w:bidi="en_US"/>
        </w:rPr>
        <w:t xml:space="preserve">The Greek word that the BSB translates as </w:t>
      </w:r>
      <w:r>
        <w:rPr>
          <w:i/>
          <w:lang w:val="en_US" w:bidi="en_US"/>
        </w:rPr>
        <w:t>sinners</w:t>
      </w:r>
      <w:r>
        <w:rPr>
          <w:lang w:val="en_US" w:bidi="en_US"/>
        </w:rPr>
        <w:t xml:space="preserve"> is based on a verb that is also used in archery to mean “miss the target.” When a person sins, he “misses” the target, that is, he fails to reach God’s standard.</w:t>
      </w:r>
      <w:r>
        <w:rPr>
          <w:lang w:val="en_US" w:bidi="en_US"/>
        </w:rPr>
        <w:t xml:space="preserve"> They also may fail to do what God wants them to do. Other ways to translate this are:</w:t>
      </w:r>
    </w:p>
    <w:p>
      <w:pPr/>
      <w:r>
        <w:rPr>
          <w:lang w:val="en_US" w:bidi="en_US"/>
        </w:rPr>
      </w:r>
      <w:r>
        <w:rPr>
          <w:lang w:val="en_US" w:bidi="en_US"/>
        </w:rPr>
        <w:t>those/people who sin</w:t>
      </w:r>
    </w:p>
    <w:p>
      <w:pPr/>
      <w:r>
        <w:rPr>
          <w:lang w:val="en_US" w:bidi="en_US"/>
        </w:rPr>
      </w:r>
      <w:r>
        <w:rPr>
          <w:lang w:val="en_US" w:bidi="en_US"/>
        </w:rPr>
        <w:t>people who do not keep God’s law/laws</w:t>
      </w:r>
    </w:p>
    <w:p>
      <w:pPr/>
      <w:r>
        <w:rPr>
          <w:lang w:val="en_US" w:bidi="en_US"/>
        </w:rPr>
      </w:r>
      <w:r>
        <w:rPr>
          <w:lang w:val="en_US" w:bidi="en_US"/>
        </w:rPr>
        <w:t>those who do not obey God</w:t>
      </w:r>
    </w:p>
    <w:p>
      <w:pPr/>
      <w:r>
        <w:rPr>
          <w:lang w:val="en_US" w:bidi="en_US"/>
        </w:rPr>
      </w:r>
      <w:r>
        <w:rPr>
          <w:lang w:val="en_US" w:bidi="en_US"/>
        </w:rPr>
        <w:t>The NIV had single quote marks around the word “sinners,” but other English versions do not include them, and the NIV11 no longer has them. It is not necessary to include them in your translation.</w:t>
      </w:r>
    </w:p>
    <w:p>
      <w:pPr>
        <w:pStyle w:val="Heading6"/>
      </w:pPr>
      <w:r>
        <w:rPr>
          <w:b/>
          <w:lang w:val="en_US" w:bidi="en_US"/>
        </w:rPr>
        <w:t>General Comment on 6:32a–c</w:t>
      </w:r>
    </w:p>
    <w:p>
      <w:pPr/>
      <w:r>
        <w:rPr>
          <w:lang w:val="en_US" w:bidi="en_US"/>
        </w:rPr>
      </w:r>
      <w:r>
        <w:rPr>
          <w:lang w:val="en_US" w:bidi="en_US"/>
        </w:rPr>
        <w:t>In some languages, it may be more natural to change the order of the clauses in 6:32a–c. For example:</w:t>
      </w:r>
    </w:p>
    <w:p>
      <w:pPr/>
      <w:r>
        <w:rPr>
          <w:lang w:val="en_US" w:bidi="en_US"/>
        </w:rPr>
      </w:r>
      <w:r>
        <w:rPr>
          <w:vertAlign w:val="superscript"/>
          <w:lang w:val="en_US" w:bidi="en_US"/>
        </w:rPr>
        <w:t>32c</w:t>
      </w:r>
      <w:r>
        <w:rPr>
          <w:lang w:val="en_US" w:bidi="en_US"/>
        </w:rPr>
        <w:t xml:space="preserve">Even sinners love the people who love them. </w:t>
      </w:r>
      <w:r>
        <w:rPr>
          <w:vertAlign w:val="superscript"/>
          <w:lang w:val="en_US" w:bidi="en_US"/>
        </w:rPr>
        <w:t>32a</w:t>
      </w:r>
      <w:r>
        <w:rPr>
          <w:lang w:val="en_US" w:bidi="en_US"/>
        </w:rPr>
        <w:t xml:space="preserve">So if you love only the people who love you, </w:t>
      </w:r>
      <w:r>
        <w:rPr>
          <w:vertAlign w:val="superscript"/>
          <w:lang w:val="en_US" w:bidi="en_US"/>
        </w:rPr>
        <w:t>32b</w:t>
      </w:r>
      <w:r>
        <w:rPr>
          <w:lang w:val="en_US" w:bidi="en_US"/>
        </w:rPr>
        <w:t>you will certainly not receive any credit.</w:t>
      </w:r>
    </w:p>
    <w:p>
      <w:pPr/>
      <w:r>
        <w:rPr>
          <w:lang w:val="en_US" w:bidi="en_US"/>
        </w:rPr>
      </w:r>
      <w:r>
        <w:rPr>
          <w:vertAlign w:val="superscript"/>
          <w:lang w:val="en_US" w:bidi="en_US"/>
        </w:rPr>
        <w:t>32c</w:t>
      </w:r>
      <w:r>
        <w:rPr>
          <w:lang w:val="en_US" w:bidi="en_US"/>
        </w:rPr>
        <w:t xml:space="preserve">Even sinners love the people who love them. So, </w:t>
      </w:r>
      <w:r>
        <w:rPr>
          <w:vertAlign w:val="superscript"/>
          <w:lang w:val="en_US" w:bidi="en_US"/>
        </w:rPr>
        <w:t>32b</w:t>
      </w:r>
      <w:r>
        <w:rPr>
          <w:lang w:val="en_US" w:bidi="en_US"/>
        </w:rPr>
        <w:t xml:space="preserve">you will certainly not receive any credit </w:t>
      </w:r>
      <w:r>
        <w:rPr>
          <w:vertAlign w:val="superscript"/>
          <w:lang w:val="en_US" w:bidi="en_US"/>
        </w:rPr>
        <w:t>32a</w:t>
      </w:r>
      <w:r>
        <w:rPr>
          <w:lang w:val="en_US" w:bidi="en_US"/>
        </w:rPr>
        <w:t>if you love only the people who love you.</w:t>
      </w:r>
      <w:r>
        <w:rPr>
          <w:lang w:val="en_US" w:bidi="en_US"/>
        </w:rPr>
      </w:r>
      <w:r>
        <w:rPr>
          <w:lang w:val="en_US" w:bidi="en_US"/>
        </w:rPr>
      </w:r>
    </w:p>
    <w:p>
      <w:pPr/>
      <w:r>
        <w:rPr>
          <w:lang w:val="en_US" w:bidi="en_US"/>
        </w:rPr>
      </w:r>
    </w:p>
    <w:p>
      <w:pPr>
        <w:pStyle w:val="Heading2"/>
      </w:pPr>
      <w:r>
        <w:rPr>
          <w:lang w:val="en_US" w:bidi="en_US"/>
        </w:rPr>
        <w:t>Luke 6:33</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6:32–36</w:t>
      </w:r>
    </w:p>
    <w:p>
      <w:pPr/>
      <w:r>
        <w:rPr>
          <w:lang w:val="en_US" w:bidi="en_US"/>
        </w:rPr>
      </w:r>
      <w:r>
        <w:rPr>
          <w:lang w:val="en_US" w:bidi="en_US"/>
        </w:rPr>
        <w:t>In this paragraph, Jesus stated that some people respond kindly only to those who treat them well. These people are just like the “sinners” whom they despise. He illustrated this with three examples. Each example is a rhetorical question that emphasizes that people like that will get no credit for such behavior.</w:t>
      </w:r>
    </w:p>
    <w:p>
      <w:pPr/>
      <w:r>
        <w:rPr>
          <w:lang w:val="en_US" w:bidi="en_US"/>
        </w:rPr>
      </w:r>
      <w:r>
        <w:rPr>
          <w:lang w:val="en_US" w:bidi="en_US"/>
        </w:rPr>
        <w:t>Jesus then restated the three situations with commands. He said that God would reward them if they followed these commands.</w:t>
      </w:r>
    </w:p>
    <w:p>
      <w:pPr>
        <w:pStyle w:val="Heading5"/>
      </w:pPr>
      <w:r>
        <w:rPr>
          <w:lang w:val="en_US" w:bidi="en_US"/>
        </w:rPr>
        <w:t>6:33a</w:t>
      </w:r>
    </w:p>
    <w:p>
      <w:pPr/>
      <w:r>
        <w:rPr>
          <w:lang w:val="en_US" w:bidi="en_US"/>
        </w:rPr>
      </w:r>
      <w:r>
        <w:rPr>
          <w:b/>
          <w:lang w:val="en_US" w:bidi="en_US"/>
        </w:rPr>
        <w:t>If you do good to those who do good to you,</w:t>
      </w:r>
    </w:p>
    <w:p>
      <w:pPr>
        <w:pStyle w:val="ListBullet"/>
        <w:spacing w:line="240" w:lineRule="auto"/>
        <w:ind w:left="720"/>
      </w:pPr>
      <w:r>
        <w:rPr>
          <w:lang w:val="en_US" w:bidi="en_US"/>
        </w:rPr>
      </w:r>
      <w:r>
        <w:rPr>
          <w:lang w:val="en_US" w:bidi="en_US"/>
        </w:rPr>
        <w:t>And if you</w:t>
      </w:r>
      <w:r>
        <w:rPr>
          <w:vertAlign w:val="superscript"/>
          <w:lang w:val="en_US" w:bidi="en_US"/>
        </w:rPr>
        <w:t>(plur)</w:t>
      </w:r>
      <w:r>
        <w:rPr>
          <w:lang w:val="en_US" w:bidi="en_US"/>
        </w:rPr>
        <w:t xml:space="preserve"> do good to people who do good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Likewise,</w:t>
      </w:r>
      <w:r>
        <w:rPr>
          <w:lang w:val="en_US" w:bidi="en_US"/>
        </w:rPr>
        <w:t xml:space="preserve"> if you</w:t>
      </w:r>
      <w:r>
        <w:rPr>
          <w:vertAlign w:val="superscript"/>
          <w:lang w:val="en_US" w:bidi="en_US"/>
        </w:rPr>
        <w:t>(plur)</w:t>
      </w:r>
      <w:r>
        <w:rPr>
          <w:lang w:val="en_US" w:bidi="en_US"/>
        </w:rPr>
        <w:t xml:space="preserve"> do good </w:t>
      </w:r>
      <w:r>
        <w:rPr>
          <w:lang w:val="en_US" w:bidi="en_US"/>
        </w:rPr>
        <w:t>only</w:t>
      </w:r>
      <w:r>
        <w:rPr>
          <w:lang w:val="en_US" w:bidi="en_US"/>
        </w:rPr>
        <w:t xml:space="preserve"> to people who do good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If you help those who help you, (GW)</w:t>
      </w:r>
    </w:p>
    <w:p>
      <w:pPr>
        <w:pStyle w:val="Heading5"/>
      </w:pPr>
      <w:r>
        <w:rPr>
          <w:lang w:val="en_US" w:bidi="en_US"/>
        </w:rPr>
        <w:t>6:33b</w:t>
      </w:r>
    </w:p>
    <w:p>
      <w:pPr/>
      <w:r>
        <w:rPr>
          <w:lang w:val="en_US" w:bidi="en_US"/>
        </w:rPr>
      </w:r>
      <w:r>
        <w:rPr>
          <w:b/>
          <w:lang w:val="en_US" w:bidi="en_US"/>
        </w:rPr>
        <w:t>what credit is that to you?</w:t>
      </w:r>
    </w:p>
    <w:p>
      <w:pPr>
        <w:pStyle w:val="ListBullet"/>
        <w:spacing w:line="240" w:lineRule="auto"/>
        <w:ind w:left="720"/>
      </w:pPr>
      <w:r>
        <w:rPr>
          <w:lang w:val="en_US" w:bidi="en_US"/>
        </w:rPr>
      </w:r>
      <w:r>
        <w:rPr>
          <w:lang w:val="en_US" w:bidi="en_US"/>
        </w:rPr>
        <w:t>what favor/praise/approval will you</w:t>
      </w:r>
      <w:r>
        <w:rPr>
          <w:vertAlign w:val="superscript"/>
          <w:lang w:val="en_US" w:bidi="en_US"/>
        </w:rPr>
        <w:t>(plur)</w:t>
      </w:r>
      <w:r>
        <w:rPr>
          <w:lang w:val="en_US" w:bidi="en_US"/>
        </w:rPr>
        <w:t xml:space="preserve"> get for that?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certainly</w:t>
      </w:r>
      <w:r>
        <w:rPr>
          <w:lang w:val="en_US" w:bidi="en_US"/>
        </w:rPr>
        <w:t xml:space="preserve"> do not deserve any special credit/respect for that.</w:t>
      </w:r>
    </w:p>
    <w:p>
      <w:pPr>
        <w:pStyle w:val="Heading5"/>
      </w:pPr>
      <w:r>
        <w:rPr>
          <w:lang w:val="en_US" w:bidi="en_US"/>
        </w:rPr>
        <w:t>6:33a–b</w:t>
      </w:r>
    </w:p>
    <w:p>
      <w:pPr/>
      <w:r>
        <w:rPr>
          <w:lang w:val="en_US" w:bidi="en_US"/>
        </w:rPr>
      </w:r>
      <w:r>
        <w:rPr>
          <w:b/>
          <w:lang w:val="en_US" w:bidi="en_US"/>
        </w:rPr>
        <w:t>If you do good to those who do good to you, what credit is that to you?:</w:t>
      </w:r>
      <w:r>
        <w:rPr>
          <w:lang w:val="en_US" w:bidi="en_US"/>
        </w:rPr>
        <w:t xml:space="preserve"> This is a rhetorical question. Jesus used this rhetorical question to emphasize that you will not receive any credit in this situation. He said that when you do good only to those who do good to you, it is no credit to you.</w:t>
      </w:r>
    </w:p>
    <w:p>
      <w:pPr/>
      <w:r>
        <w:rPr>
          <w:lang w:val="en_US" w:bidi="en_US"/>
        </w:rPr>
      </w:r>
      <w:r>
        <w:rPr>
          <w:lang w:val="en_US" w:bidi="en_US"/>
        </w:rPr>
        <w:t>Translate this emphasis using the same form (question or statement) that you used in 6:32a–b.</w:t>
      </w:r>
    </w:p>
    <w:p>
      <w:pPr/>
      <w:r>
        <w:rPr>
          <w:lang w:val="en_US" w:bidi="en_US"/>
        </w:rPr>
      </w:r>
      <w:r>
        <w:rPr>
          <w:b/>
          <w:lang w:val="en_US" w:bidi="en_US"/>
        </w:rPr>
        <w:t>you do good to those who do good to you:</w:t>
      </w:r>
      <w:r>
        <w:rPr>
          <w:lang w:val="en_US" w:bidi="en_US"/>
        </w:rPr>
        <w:t xml:space="preserve"> In Greek, the same verb occurs twice here; the BSB translate its as </w:t>
      </w:r>
      <w:r>
        <w:rPr>
          <w:i/>
          <w:lang w:val="en_US" w:bidi="en_US"/>
        </w:rPr>
        <w:t>do good</w:t>
      </w:r>
      <w:r>
        <w:rPr>
          <w:lang w:val="en_US" w:bidi="en_US"/>
        </w:rPr>
        <w:t xml:space="preserve"> in both instances. Other versions translate it slightly differently in each case. You could do that in your translation, or you could use the same verb or verb phrase if that is natural in your language. For example:</w:t>
      </w:r>
    </w:p>
    <w:p>
      <w:pPr/>
      <w:r>
        <w:rPr>
          <w:lang w:val="en_US" w:bidi="en_US"/>
        </w:rPr>
      </w:r>
      <w:r>
        <w:rPr>
          <w:lang w:val="en_US" w:bidi="en_US"/>
        </w:rPr>
        <w:t>you do good to those who are good to you (NIV)</w:t>
      </w:r>
    </w:p>
    <w:p>
      <w:pPr/>
      <w:r>
        <w:rPr>
          <w:lang w:val="en_US" w:bidi="en_US"/>
        </w:rPr>
      </w:r>
      <w:r>
        <w:rPr>
          <w:lang w:val="en_US" w:bidi="en_US"/>
        </w:rPr>
        <w:t>you are good to those who are good to you</w:t>
      </w:r>
    </w:p>
    <w:p>
      <w:pPr/>
      <w:r>
        <w:rPr>
          <w:lang w:val="en_US" w:bidi="en_US"/>
        </w:rPr>
      </w:r>
      <w:r>
        <w:rPr>
          <w:lang w:val="en_US" w:bidi="en_US"/>
        </w:rPr>
        <w:t>you help those who help you (GW)</w:t>
      </w:r>
    </w:p>
    <w:p>
      <w:pPr/>
      <w:r>
        <w:rPr>
          <w:lang w:val="en_US" w:bidi="en_US"/>
        </w:rPr>
      </w:r>
      <w:r>
        <w:rPr>
          <w:b/>
          <w:lang w:val="en_US" w:bidi="en_US"/>
        </w:rPr>
        <w:t>what credit is that to you?:</w:t>
      </w:r>
      <w:r>
        <w:rPr>
          <w:lang w:val="en_US" w:bidi="en_US"/>
        </w:rPr>
        <w:t xml:space="preserve"> This is exactly the same clause as 6:32b. See the notes on 6:32a–b.</w:t>
      </w:r>
    </w:p>
    <w:p>
      <w:pPr>
        <w:pStyle w:val="Heading6"/>
      </w:pPr>
      <w:r>
        <w:rPr>
          <w:b/>
          <w:lang w:val="en_US" w:bidi="en_US"/>
        </w:rPr>
        <w:t>General Comment on 6:33a–b</w:t>
      </w:r>
    </w:p>
    <w:p>
      <w:pPr/>
      <w:r>
        <w:rPr>
          <w:lang w:val="en_US" w:bidi="en_US"/>
        </w:rPr>
      </w:r>
      <w:r>
        <w:rPr>
          <w:lang w:val="en_US" w:bidi="en_US"/>
        </w:rPr>
        <w:t>In some languages, it may be natural to change the order of 6:33a and 6:33b. For example:</w:t>
      </w:r>
    </w:p>
    <w:p>
      <w:pPr/>
      <w:r>
        <w:rPr>
          <w:lang w:val="en_US" w:bidi="en_US"/>
        </w:rPr>
      </w:r>
      <w:r>
        <w:rPr>
          <w:vertAlign w:val="superscript"/>
          <w:lang w:val="en_US" w:bidi="en_US"/>
        </w:rPr>
        <w:t>33b</w:t>
      </w:r>
      <w:r>
        <w:rPr>
          <w:lang w:val="en_US" w:bidi="en_US"/>
        </w:rPr>
        <w:t xml:space="preserve">What credit/praise do you deserve </w:t>
      </w:r>
      <w:r>
        <w:rPr>
          <w:vertAlign w:val="superscript"/>
          <w:lang w:val="en_US" w:bidi="en_US"/>
        </w:rPr>
        <w:t>33a</w:t>
      </w:r>
      <w:r>
        <w:rPr>
          <w:lang w:val="en_US" w:bidi="en_US"/>
        </w:rPr>
        <w:t>for doing good to those who do good to you?</w:t>
      </w:r>
    </w:p>
    <w:p>
      <w:pPr>
        <w:pStyle w:val="Heading5"/>
      </w:pPr>
      <w:r>
        <w:rPr>
          <w:lang w:val="en_US" w:bidi="en_US"/>
        </w:rPr>
        <w:t>6:33c</w:t>
      </w:r>
    </w:p>
    <w:p>
      <w:pPr/>
      <w:r>
        <w:rPr>
          <w:lang w:val="en_US" w:bidi="en_US"/>
        </w:rPr>
      </w:r>
      <w:r>
        <w:rPr>
          <w:b/>
          <w:lang w:val="en_US" w:bidi="en_US"/>
        </w:rPr>
        <w:t>Even sinners do the same.</w:t>
      </w:r>
    </w:p>
    <w:p>
      <w:pPr>
        <w:pStyle w:val="ListBullet"/>
        <w:spacing w:line="240" w:lineRule="auto"/>
        <w:ind w:left="720"/>
      </w:pPr>
      <w:r>
        <w:rPr>
          <w:lang w:val="en_US" w:bidi="en_US"/>
        </w:rPr>
      </w:r>
      <w:r>
        <w:rPr>
          <w:lang w:val="en_US" w:bidi="en_US"/>
        </w:rPr>
        <w:t>Even sinners do the same thing.</w:t>
      </w:r>
    </w:p>
    <w:p>
      <w:pPr>
        <w:pStyle w:val="ListBullet"/>
        <w:spacing w:line="240" w:lineRule="auto"/>
        <w:ind w:left="720"/>
      </w:pPr>
      <w:r>
        <w:rPr>
          <w:lang w:val="en_US" w:bidi="en_US"/>
        </w:rPr>
      </w:r>
      <w:r>
        <w:rPr>
          <w:lang w:val="en_US" w:bidi="en_US"/>
        </w:rPr>
        <w:t>For</w:t>
      </w:r>
      <w:r>
        <w:rPr>
          <w:lang w:val="en_US" w:bidi="en_US"/>
        </w:rPr>
        <w:t xml:space="preserve"> even sinful people do good things </w:t>
      </w:r>
      <w:r>
        <w:rPr>
          <w:lang w:val="en_US" w:bidi="en_US"/>
        </w:rPr>
        <w:t>for people who do good things to them</w:t>
      </w:r>
      <w:r>
        <w:rPr>
          <w:lang w:val="en_US" w:bidi="en_US"/>
        </w:rPr>
        <w:t>.</w:t>
      </w:r>
    </w:p>
    <w:p>
      <w:pPr/>
      <w:r>
        <w:rPr>
          <w:lang w:val="en_US" w:bidi="en_US"/>
        </w:rPr>
      </w:r>
      <w:r>
        <w:rPr>
          <w:lang w:val="en_US" w:bidi="en_US"/>
        </w:rPr>
        <w:t>There is a textual issue in 6:33c regarding a conjunction here that is often translated as “for.”</w:t>
      </w:r>
    </w:p>
    <w:p>
      <w:pPr>
        <w:pStyle w:val="ListNumber"/>
        <w:numPr>
          <w:ilvl w:val="0"/>
          <w:numId w:val="140"/>
        </w:numPr>
        <w:spacing w:line="240" w:lineRule="auto"/>
        <w:ind w:left="720"/>
      </w:pPr>
      <w:r>
        <w:rPr>
          <w:lang w:val="en_US" w:bidi="en_US"/>
        </w:rPr>
      </w:r>
      <w:r>
        <w:rPr>
          <w:lang w:val="en_US" w:bidi="en_US"/>
        </w:rPr>
        <w:t>Some Greek manuscripts do not include this conjunction.</w:t>
      </w:r>
    </w:p>
    <w:p>
      <w:pPr>
        <w:pStyle w:val="ListNumber"/>
        <w:spacing w:line="240" w:lineRule="auto"/>
        <w:ind w:left="720"/>
      </w:pPr>
      <w:r>
        <w:rPr>
          <w:lang w:val="en_US" w:bidi="en_US"/>
        </w:rPr>
      </w:r>
      <w:r>
        <w:rPr>
          <w:lang w:val="en_US" w:bidi="en_US"/>
        </w:rPr>
        <w:t>Other Greek manuscripts do include this conjunction. For example:</w:t>
      </w:r>
      <w:r>
        <w:rPr>
          <w:lang w:val="en_US" w:bidi="en_US"/>
        </w:rPr>
        <w:t xml:space="preserve">For even sinners do the same. (RSV) </w:t>
      </w:r>
      <w:r>
        <w:rPr>
          <w:i/>
          <w:lang w:val="en_US" w:bidi="en_US"/>
        </w:rPr>
        <w:t>(RSV, ESV, KJV, NASB)</w:t>
      </w:r>
    </w:p>
    <w:p>
      <w:pPr/>
      <w:r>
        <w:rPr>
          <w:lang w:val="en_US" w:bidi="en_US"/>
        </w:rPr>
      </w:r>
      <w:r>
        <w:rPr>
          <w:lang w:val="en_US" w:bidi="en_US"/>
        </w:rPr>
        <w:t>The earliest and most reliable manuscripts do not have this conjunction. Many English versions also do not translate it here. However, it is not possible to tell whether the English versions are following these early manuscripts or whether are omitting the conjunction for reasons of style. You may supply such a conjunction if it is natural in your language.</w:t>
      </w:r>
    </w:p>
    <w:p>
      <w:pPr/>
      <w:r>
        <w:rPr>
          <w:lang w:val="en_US" w:bidi="en_US"/>
        </w:rPr>
      </w:r>
      <w:r>
        <w:rPr>
          <w:b/>
          <w:lang w:val="en_US" w:bidi="en_US"/>
        </w:rPr>
        <w:t>Even sinners do the same:</w:t>
      </w:r>
      <w:r>
        <w:rPr>
          <w:lang w:val="en_US" w:bidi="en_US"/>
        </w:rPr>
        <w:t xml:space="preserve"> The clause </w:t>
      </w:r>
      <w:r>
        <w:rPr>
          <w:i/>
          <w:lang w:val="en_US" w:bidi="en_US"/>
        </w:rPr>
        <w:t>Even sinners do the same</w:t>
      </w:r>
      <w:r>
        <w:rPr>
          <w:lang w:val="en_US" w:bidi="en_US"/>
        </w:rPr>
        <w:t xml:space="preserve"> gives the reason why there is no credit in doing good to people who do good to you. Sinners also do good to those who do good to them. So it is clear that this is not exceptional and does not cause a person to deserve special favor. Another way to translate this is:</w:t>
      </w:r>
    </w:p>
    <w:p>
      <w:pPr/>
      <w:r>
        <w:rPr>
          <w:lang w:val="en_US" w:bidi="en_US"/>
        </w:rPr>
      </w:r>
      <w:r>
        <w:rPr>
          <w:lang w:val="en_US" w:bidi="en_US"/>
        </w:rPr>
        <w:t>Even sinners love people who love them (CEV)</w:t>
      </w:r>
      <w:r>
        <w:rPr>
          <w:lang w:val="en_US" w:bidi="en_US"/>
        </w:rPr>
      </w:r>
      <w:r>
        <w:rPr>
          <w:lang w:val="en_US" w:bidi="en_US"/>
        </w:rPr>
      </w:r>
    </w:p>
    <w:p>
      <w:pPr/>
      <w:r>
        <w:rPr>
          <w:lang w:val="en_US" w:bidi="en_US"/>
        </w:rPr>
      </w:r>
    </w:p>
    <w:p>
      <w:pPr>
        <w:pStyle w:val="Heading2"/>
      </w:pPr>
      <w:r>
        <w:rPr>
          <w:lang w:val="en_US" w:bidi="en_US"/>
        </w:rPr>
        <w:t>Luke 6:34</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6:32–36</w:t>
      </w:r>
    </w:p>
    <w:p>
      <w:pPr/>
      <w:r>
        <w:rPr>
          <w:lang w:val="en_US" w:bidi="en_US"/>
        </w:rPr>
      </w:r>
      <w:r>
        <w:rPr>
          <w:lang w:val="en_US" w:bidi="en_US"/>
        </w:rPr>
        <w:t>In this paragraph, Jesus stated that some people respond kindly only to those who treat them well. These people are just like the “sinners” whom they despise. He illustrated this with three examples. Each example is a rhetorical question that emphasizes that people like that will get no credit for such behavior.</w:t>
      </w:r>
    </w:p>
    <w:p>
      <w:pPr/>
      <w:r>
        <w:rPr>
          <w:lang w:val="en_US" w:bidi="en_US"/>
        </w:rPr>
      </w:r>
      <w:r>
        <w:rPr>
          <w:lang w:val="en_US" w:bidi="en_US"/>
        </w:rPr>
        <w:t>Jesus then restated the three situations with commands. He said that God would reward them if they followed these commands.</w:t>
      </w:r>
    </w:p>
    <w:p>
      <w:pPr>
        <w:pStyle w:val="Heading5"/>
      </w:pPr>
      <w:r>
        <w:rPr>
          <w:lang w:val="en_US" w:bidi="en_US"/>
        </w:rPr>
        <w:t>6:34a–b</w:t>
      </w:r>
    </w:p>
    <w:p>
      <w:pPr/>
      <w:r>
        <w:rPr>
          <w:lang w:val="en_US" w:bidi="en_US"/>
        </w:rPr>
      </w:r>
      <w:r>
        <w:rPr>
          <w:b/>
          <w:lang w:val="en_US" w:bidi="en_US"/>
        </w:rPr>
        <w:t>And if you lend to those from whom you expect repayment, what credit is that to you?:</w:t>
      </w:r>
      <w:r>
        <w:rPr>
          <w:lang w:val="en_US" w:bidi="en_US"/>
        </w:rPr>
        <w:t xml:space="preserve"> This is the third rhetorical question. Jesus used this rhetorical question to emphasize that you will not receive any credit in this situation. He said that when you lend only to those who can repay you, it is no credit to you.</w:t>
      </w:r>
    </w:p>
    <w:p>
      <w:pPr/>
      <w:r>
        <w:rPr>
          <w:lang w:val="en_US" w:bidi="en_US"/>
        </w:rPr>
      </w:r>
      <w:r>
        <w:rPr>
          <w:lang w:val="en_US" w:bidi="en_US"/>
        </w:rPr>
        <w:t>Translate this emphasis using the same form (question or statement) that you used for the two previous rhetorical questions in 6:32–33.</w:t>
      </w:r>
    </w:p>
    <w:p>
      <w:pPr>
        <w:pStyle w:val="Heading5"/>
      </w:pPr>
      <w:r>
        <w:rPr>
          <w:lang w:val="en_US" w:bidi="en_US"/>
        </w:rPr>
        <w:t>6:34a</w:t>
      </w:r>
    </w:p>
    <w:p>
      <w:pPr/>
      <w:r>
        <w:rPr>
          <w:lang w:val="en_US" w:bidi="en_US"/>
        </w:rPr>
      </w:r>
      <w:r>
        <w:rPr>
          <w:b/>
          <w:lang w:val="en_US" w:bidi="en_US"/>
        </w:rPr>
        <w:t>And if you lend to those from whom you expect repayment,</w:t>
      </w:r>
    </w:p>
    <w:p>
      <w:pPr>
        <w:pStyle w:val="ListBullet"/>
        <w:spacing w:line="240" w:lineRule="auto"/>
        <w:ind w:left="720"/>
      </w:pPr>
      <w:r>
        <w:rPr>
          <w:lang w:val="en_US" w:bidi="en_US"/>
        </w:rPr>
      </w:r>
      <w:r>
        <w:rPr>
          <w:lang w:val="en_US" w:bidi="en_US"/>
        </w:rPr>
        <w:t>And if you</w:t>
      </w:r>
      <w:r>
        <w:rPr>
          <w:vertAlign w:val="superscript"/>
          <w:lang w:val="en_US" w:bidi="en_US"/>
        </w:rPr>
        <w:t>(plur)</w:t>
      </w:r>
      <w:r>
        <w:rPr>
          <w:lang w:val="en_US" w:bidi="en_US"/>
        </w:rPr>
        <w:t xml:space="preserve"> lend </w:t>
      </w:r>
      <w:r>
        <w:rPr>
          <w:lang w:val="en_US" w:bidi="en_US"/>
        </w:rPr>
        <w:t>money</w:t>
      </w:r>
      <w:r>
        <w:rPr>
          <w:lang w:val="en_US" w:bidi="en_US"/>
        </w:rPr>
        <w:t xml:space="preserve"> to people whom you believe will repay you,</w:t>
      </w:r>
    </w:p>
    <w:p>
      <w:pPr>
        <w:pStyle w:val="ListBullet"/>
        <w:spacing w:line="240" w:lineRule="auto"/>
        <w:ind w:left="720"/>
      </w:pPr>
      <w:r>
        <w:rPr>
          <w:lang w:val="en_US" w:bidi="en_US"/>
        </w:rPr>
      </w:r>
      <w:r>
        <w:rPr>
          <w:lang w:val="en_US" w:bidi="en_US"/>
        </w:rPr>
        <w:t>Likewise,</w:t>
      </w:r>
      <w:r>
        <w:rPr>
          <w:lang w:val="en_US" w:bidi="en_US"/>
        </w:rPr>
        <w:t xml:space="preserve"> if you</w:t>
      </w:r>
      <w:r>
        <w:rPr>
          <w:vertAlign w:val="superscript"/>
          <w:lang w:val="en_US" w:bidi="en_US"/>
        </w:rPr>
        <w:t>(plur)</w:t>
      </w:r>
      <w:r>
        <w:rPr>
          <w:lang w:val="en_US" w:bidi="en_US"/>
        </w:rPr>
        <w:t xml:space="preserve"> lend </w:t>
      </w:r>
      <w:r>
        <w:rPr>
          <w:lang w:val="en_US" w:bidi="en_US"/>
        </w:rPr>
        <w:t>money</w:t>
      </w:r>
      <w:r>
        <w:rPr>
          <w:lang w:val="en_US" w:bidi="en_US"/>
        </w:rPr>
        <w:t xml:space="preserve"> </w:t>
      </w:r>
      <w:r>
        <w:rPr>
          <w:lang w:val="en_US" w:bidi="en_US"/>
        </w:rPr>
        <w:t>only</w:t>
      </w:r>
      <w:r>
        <w:rPr>
          <w:lang w:val="en_US" w:bidi="en_US"/>
        </w:rPr>
        <w:t xml:space="preserve"> to people whom you</w:t>
      </w:r>
      <w:r>
        <w:rPr>
          <w:vertAlign w:val="superscript"/>
          <w:lang w:val="en_US" w:bidi="en_US"/>
        </w:rPr>
        <w:t>(plur)</w:t>
      </w:r>
      <w:r>
        <w:rPr>
          <w:lang w:val="en_US" w:bidi="en_US"/>
        </w:rPr>
        <w:t xml:space="preserve"> believe will/can return </w:t>
      </w:r>
      <w:r>
        <w:rPr>
          <w:lang w:val="en_US" w:bidi="en_US"/>
        </w:rPr>
        <w:t>the same amount</w:t>
      </w:r>
      <w:r>
        <w:rPr>
          <w:lang w:val="en_US" w:bidi="en_US"/>
        </w:rPr>
        <w:t xml:space="preserve"> to you</w:t>
      </w:r>
      <w:r>
        <w:rPr>
          <w:vertAlign w:val="superscript"/>
          <w:lang w:val="en_US" w:bidi="en_US"/>
        </w:rPr>
        <w:t>(plur)</w:t>
      </w:r>
      <w:r>
        <w:rPr>
          <w:lang w:val="en_US" w:bidi="en_US"/>
        </w:rPr>
        <w:t>,</w:t>
      </w:r>
    </w:p>
    <w:p>
      <w:pPr/>
      <w:r>
        <w:rPr>
          <w:lang w:val="en_US" w:bidi="en_US"/>
        </w:rPr>
      </w:r>
      <w:r>
        <w:rPr>
          <w:b/>
          <w:lang w:val="en_US" w:bidi="en_US"/>
        </w:rPr>
        <w:t>you lend:</w:t>
      </w:r>
      <w:r>
        <w:rPr>
          <w:lang w:val="en_US" w:bidi="en_US"/>
        </w:rPr>
        <w:t xml:space="preserve"> In some languages, it may be necessary to supply an object for </w:t>
      </w:r>
      <w:r>
        <w:rPr>
          <w:i/>
          <w:lang w:val="en_US" w:bidi="en_US"/>
        </w:rPr>
        <w:t>lend</w:t>
      </w:r>
      <w:r>
        <w:rPr>
          <w:lang w:val="en_US" w:bidi="en_US"/>
        </w:rPr>
        <w:t>. For example:</w:t>
      </w:r>
    </w:p>
    <w:p>
      <w:pPr/>
      <w:r>
        <w:rPr>
          <w:lang w:val="en_US" w:bidi="en_US"/>
        </w:rPr>
      </w:r>
      <w:r>
        <w:rPr>
          <w:lang w:val="en_US" w:bidi="en_US"/>
        </w:rPr>
        <w:t>you lend money (CEV)</w:t>
      </w:r>
    </w:p>
    <w:p>
      <w:pPr/>
      <w:r>
        <w:rPr>
          <w:lang w:val="en_US" w:bidi="en_US"/>
        </w:rPr>
      </w:r>
      <w:r>
        <w:rPr>
          <w:b/>
          <w:lang w:val="en_US" w:bidi="en_US"/>
        </w:rPr>
        <w:t>to those from whom you expect repayment:</w:t>
      </w:r>
      <w:r>
        <w:rPr>
          <w:lang w:val="en_US" w:bidi="en_US"/>
        </w:rPr>
        <w:t xml:space="preserve"> The phrase </w:t>
      </w:r>
      <w:r>
        <w:rPr>
          <w:i/>
          <w:lang w:val="en_US" w:bidi="en_US"/>
        </w:rPr>
        <w:t>those from whom you expect repayment</w:t>
      </w:r>
      <w:r>
        <w:rPr>
          <w:lang w:val="en_US" w:bidi="en_US"/>
        </w:rPr>
        <w:t xml:space="preserve"> refers to people whom you hope/expect will repay you. Some other ways to translate this are:</w:t>
      </w:r>
    </w:p>
    <w:p>
      <w:pPr/>
      <w:r>
        <w:rPr>
          <w:lang w:val="en_US" w:bidi="en_US"/>
        </w:rPr>
      </w:r>
      <w:r>
        <w:rPr>
          <w:lang w:val="en_US" w:bidi="en_US"/>
        </w:rPr>
        <w:t>only to someone you think will pay you back (CEV)</w:t>
      </w:r>
    </w:p>
    <w:p>
      <w:pPr/>
      <w:r>
        <w:rPr>
          <w:lang w:val="en_US" w:bidi="en_US"/>
        </w:rPr>
      </w:r>
      <w:r>
        <w:rPr>
          <w:lang w:val="en_US" w:bidi="en_US"/>
        </w:rPr>
        <w:t>only to those who can repay you (NLT)</w:t>
      </w:r>
    </w:p>
    <w:p>
      <w:pPr/>
      <w:r>
        <w:rPr>
          <w:lang w:val="en_US" w:bidi="en_US"/>
        </w:rPr>
      </w:r>
      <w:r>
        <w:rPr>
          <w:lang w:val="en_US" w:bidi="en_US"/>
        </w:rPr>
        <w:t>always hoping to get something back (NCV)</w:t>
      </w:r>
    </w:p>
    <w:p>
      <w:pPr>
        <w:pStyle w:val="Heading5"/>
      </w:pPr>
      <w:r>
        <w:rPr>
          <w:lang w:val="en_US" w:bidi="en_US"/>
        </w:rPr>
        <w:t>6:34b</w:t>
      </w:r>
    </w:p>
    <w:p>
      <w:pPr/>
      <w:r>
        <w:rPr>
          <w:lang w:val="en_US" w:bidi="en_US"/>
        </w:rPr>
      </w:r>
      <w:r>
        <w:rPr>
          <w:b/>
          <w:lang w:val="en_US" w:bidi="en_US"/>
        </w:rPr>
        <w:t>what credit is that to you?</w:t>
      </w:r>
    </w:p>
    <w:p>
      <w:pPr>
        <w:pStyle w:val="ListBullet"/>
        <w:spacing w:line="240" w:lineRule="auto"/>
        <w:ind w:left="720"/>
      </w:pPr>
      <w:r>
        <w:rPr>
          <w:lang w:val="en_US" w:bidi="en_US"/>
        </w:rPr>
      </w:r>
      <w:r>
        <w:rPr>
          <w:lang w:val="en_US" w:bidi="en_US"/>
        </w:rPr>
        <w:t>what favor/praise/approval will you</w:t>
      </w:r>
      <w:r>
        <w:rPr>
          <w:vertAlign w:val="superscript"/>
          <w:lang w:val="en_US" w:bidi="en_US"/>
        </w:rPr>
        <w:t>(plur)</w:t>
      </w:r>
      <w:r>
        <w:rPr>
          <w:lang w:val="en_US" w:bidi="en_US"/>
        </w:rPr>
        <w:t xml:space="preserve"> get for that?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certainly</w:t>
      </w:r>
      <w:r>
        <w:rPr>
          <w:lang w:val="en_US" w:bidi="en_US"/>
        </w:rPr>
        <w:t xml:space="preserve"> do not deserve any special credit/respect for that.</w:t>
      </w:r>
    </w:p>
    <w:p>
      <w:pPr/>
      <w:r>
        <w:rPr>
          <w:lang w:val="en_US" w:bidi="en_US"/>
        </w:rPr>
      </w:r>
      <w:r>
        <w:rPr>
          <w:b/>
          <w:lang w:val="en_US" w:bidi="en_US"/>
        </w:rPr>
        <w:t>what credit is that to you?:</w:t>
      </w:r>
      <w:r>
        <w:rPr>
          <w:lang w:val="en_US" w:bidi="en_US"/>
        </w:rPr>
        <w:t xml:space="preserve"> This is the same clause as 6:32a–b.</w:t>
      </w:r>
    </w:p>
    <w:p>
      <w:pPr>
        <w:pStyle w:val="Heading6"/>
      </w:pPr>
      <w:r>
        <w:rPr>
          <w:b/>
          <w:lang w:val="en_US" w:bidi="en_US"/>
        </w:rPr>
        <w:t>General Comment on 6:34a–b</w:t>
      </w:r>
    </w:p>
    <w:p>
      <w:pPr/>
      <w:r>
        <w:rPr>
          <w:lang w:val="en_US" w:bidi="en_US"/>
        </w:rPr>
      </w:r>
      <w:r>
        <w:rPr>
          <w:lang w:val="en_US" w:bidi="en_US"/>
        </w:rPr>
        <w:t>In some languages, it may be natural to change the order of 6:34a and 6:34b. For example:</w:t>
      </w:r>
    </w:p>
    <w:p>
      <w:pPr/>
      <w:r>
        <w:rPr>
          <w:lang w:val="en_US" w:bidi="en_US"/>
        </w:rPr>
      </w:r>
      <w:r>
        <w:rPr>
          <w:vertAlign w:val="superscript"/>
          <w:lang w:val="en_US" w:bidi="en_US"/>
        </w:rPr>
        <w:t>34b</w:t>
      </w:r>
      <w:r>
        <w:rPr>
          <w:lang w:val="en_US" w:bidi="en_US"/>
        </w:rPr>
        <w:t xml:space="preserve">What credit/praise do you deserve </w:t>
      </w:r>
      <w:r>
        <w:rPr>
          <w:vertAlign w:val="superscript"/>
          <w:lang w:val="en_US" w:bidi="en_US"/>
        </w:rPr>
        <w:t>34a</w:t>
      </w:r>
      <w:r>
        <w:rPr>
          <w:lang w:val="en_US" w:bidi="en_US"/>
        </w:rPr>
        <w:t>for lending to people whom you expect to repay you?</w:t>
      </w:r>
    </w:p>
    <w:p>
      <w:pPr>
        <w:pStyle w:val="Heading5"/>
      </w:pPr>
      <w:r>
        <w:rPr>
          <w:lang w:val="en_US" w:bidi="en_US"/>
        </w:rPr>
        <w:t>6:34c</w:t>
      </w:r>
    </w:p>
    <w:p>
      <w:pPr/>
      <w:r>
        <w:rPr>
          <w:lang w:val="en_US" w:bidi="en_US"/>
        </w:rPr>
      </w:r>
      <w:r>
        <w:rPr>
          <w:b/>
          <w:lang w:val="en_US" w:bidi="en_US"/>
        </w:rPr>
        <w:t>Even sinners lend to sinners, expecting to be repaid in full.</w:t>
      </w:r>
    </w:p>
    <w:p>
      <w:pPr>
        <w:pStyle w:val="ListBullet"/>
        <w:spacing w:line="240" w:lineRule="auto"/>
        <w:ind w:left="720"/>
      </w:pPr>
      <w:r>
        <w:rPr>
          <w:lang w:val="en_US" w:bidi="en_US"/>
        </w:rPr>
      </w:r>
      <w:r>
        <w:rPr>
          <w:lang w:val="en_US" w:bidi="en_US"/>
        </w:rPr>
        <w:t>Even sinners lend to sinners and expect to get their money back. (JBP)</w:t>
      </w:r>
    </w:p>
    <w:p>
      <w:pPr>
        <w:pStyle w:val="ListBullet"/>
        <w:spacing w:line="240" w:lineRule="auto"/>
        <w:ind w:left="720"/>
      </w:pPr>
      <w:r>
        <w:rPr>
          <w:lang w:val="en_US" w:bidi="en_US"/>
        </w:rPr>
      </w:r>
      <w:r>
        <w:rPr>
          <w:lang w:val="en_US" w:bidi="en_US"/>
        </w:rPr>
        <w:t>For</w:t>
      </w:r>
      <w:r>
        <w:rPr>
          <w:lang w:val="en_US" w:bidi="en_US"/>
        </w:rPr>
        <w:t xml:space="preserve"> even those who sin lend to one another because they think that they will receive back the full amount.</w:t>
      </w:r>
    </w:p>
    <w:p>
      <w:pPr/>
      <w:r>
        <w:rPr>
          <w:lang w:val="en_US" w:bidi="en_US"/>
        </w:rPr>
      </w:r>
      <w:r>
        <w:rPr>
          <w:b/>
          <w:lang w:val="en_US" w:bidi="en_US"/>
        </w:rPr>
        <w:t>Even sinners lend to sinners:</w:t>
      </w:r>
      <w:r>
        <w:rPr>
          <w:lang w:val="en_US" w:bidi="en_US"/>
        </w:rPr>
        <w:t xml:space="preserve"> This sentence gives the reason why there is no credit in lending money to people who will repay you. Sinners also lend money to those who will fully repay them. This is not exceptional, and it does not cause a person to deserve special favor. Connect 6:32c to 6:32b in the same way that you connected 6:32c to 6:32a–b.</w:t>
      </w:r>
    </w:p>
    <w:p>
      <w:pPr/>
      <w:r>
        <w:rPr>
          <w:lang w:val="en_US" w:bidi="en_US"/>
        </w:rPr>
      </w:r>
      <w:r>
        <w:rPr>
          <w:b/>
          <w:lang w:val="en_US" w:bidi="en_US"/>
        </w:rPr>
        <w:t>expecting to be repaid in full:</w:t>
      </w:r>
      <w:r>
        <w:rPr>
          <w:lang w:val="en_US" w:bidi="en_US"/>
        </w:rPr>
        <w:t xml:space="preserve"> The phrase </w:t>
      </w:r>
      <w:r>
        <w:rPr>
          <w:i/>
          <w:lang w:val="en_US" w:bidi="en_US"/>
        </w:rPr>
        <w:t>expecting to be repaid in full</w:t>
      </w:r>
      <w:r>
        <w:rPr>
          <w:lang w:val="en_US" w:bidi="en_US"/>
        </w:rPr>
        <w:t xml:space="preserve"> is literally “that they may receive in return the equal.” It means “expecting to get back what they loaned.”</w:t>
      </w:r>
      <w:r>
        <w:rPr>
          <w:lang w:val="en_US" w:bidi="en_US"/>
        </w:rPr>
        <w:t xml:space="preserve">Commentators discuss various interpretations for “in order to receive back </w:t>
      </w:r>
      <w:r>
        <w:rPr>
          <w:u w:val="single"/>
          <w:lang w:val="en_US" w:bidi="en_US"/>
        </w:rPr>
        <w:t>the same</w:t>
      </w:r>
      <w:r>
        <w:rPr>
          <w:lang w:val="en_US" w:bidi="en_US"/>
        </w:rPr>
        <w:t xml:space="preserve">.” Some note that the verb used for “loan” generally means to receive with interest. So it may be implied that these people loan in order to receive back the amount paid plus interest. Another possibility is that they loan in order that others will loan to them in their time of need. (See Marshall, for example.) This interpretation has in its favor that it makes good sense of the conjunction </w:t>
      </w:r>
      <w:r>
        <w:rPr>
          <w:i/>
          <w:lang w:val="en_US" w:bidi="en_US"/>
        </w:rPr>
        <w:t>ἵνα</w:t>
      </w:r>
      <w:r>
        <w:rPr>
          <w:lang w:val="en_US" w:bidi="en_US"/>
        </w:rPr>
        <w:t xml:space="preserve"> (“in order to”) expressing purpose. However, in the Notes we have followed the English versions here which all (on TW) translate this to mean receiving back the same amount of money that was lent.</w:t>
      </w:r>
      <w:r>
        <w:rPr>
          <w:lang w:val="en_US" w:bidi="en_US"/>
        </w:rPr>
        <w:t xml:space="preserve"> Some other ways to translate this are:</w:t>
      </w:r>
    </w:p>
    <w:p>
      <w:pPr/>
      <w:r>
        <w:rPr>
          <w:lang w:val="en_US" w:bidi="en_US"/>
        </w:rPr>
      </w:r>
      <w:r>
        <w:rPr>
          <w:lang w:val="en_US" w:bidi="en_US"/>
        </w:rPr>
        <w:t>and expect to get their money back (JBP)</w:t>
      </w:r>
    </w:p>
    <w:p>
      <w:pPr/>
      <w:r>
        <w:rPr>
          <w:lang w:val="en_US" w:bidi="en_US"/>
        </w:rPr>
      </w:r>
      <w:r>
        <w:rPr>
          <w:lang w:val="en_US" w:bidi="en_US"/>
        </w:rPr>
        <w:t>because they think they will get it all back (CEV)</w:t>
      </w:r>
    </w:p>
    <w:p>
      <w:pPr/>
      <w:r>
        <w:rPr>
          <w:lang w:val="en_US" w:bidi="en_US"/>
        </w:rPr>
      </w:r>
      <w:r>
        <w:rPr>
          <w:lang w:val="en_US" w:bidi="en_US"/>
        </w:rPr>
        <w:t>to get back the same amount (GNT)</w:t>
      </w:r>
    </w:p>
    <w:p>
      <w:pPr/>
      <w:r>
        <w:rPr>
          <w:lang w:val="en_US" w:bidi="en_US"/>
        </w:rPr>
      </w:r>
      <w:r>
        <w:rPr>
          <w:lang w:val="en_US" w:bidi="en_US"/>
        </w:rPr>
        <w:t>for a full return (NLT)</w:t>
      </w:r>
      <w:r>
        <w:rPr>
          <w:lang w:val="en_US" w:bidi="en_US"/>
        </w:rPr>
      </w:r>
      <w:r>
        <w:rPr>
          <w:lang w:val="en_US" w:bidi="en_US"/>
        </w:rPr>
      </w:r>
    </w:p>
    <w:p>
      <w:pPr/>
      <w:r>
        <w:rPr>
          <w:lang w:val="en_US" w:bidi="en_US"/>
        </w:rPr>
      </w:r>
    </w:p>
    <w:p>
      <w:pPr>
        <w:pStyle w:val="Heading2"/>
      </w:pPr>
      <w:r>
        <w:rPr>
          <w:lang w:val="en_US" w:bidi="en_US"/>
        </w:rPr>
        <w:t>Luke 6:35</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6:32–36</w:t>
      </w:r>
    </w:p>
    <w:p>
      <w:pPr/>
      <w:r>
        <w:rPr>
          <w:lang w:val="en_US" w:bidi="en_US"/>
        </w:rPr>
      </w:r>
      <w:r>
        <w:rPr>
          <w:lang w:val="en_US" w:bidi="en_US"/>
        </w:rPr>
        <w:t>In this paragraph, Jesus stated that some people respond kindly only to those who treat them well. These people are just like the “sinners” whom they despise. He illustrated this with three examples. Each example is a rhetorical question that emphasizes that people like that will get no credit for such behavior.</w:t>
      </w:r>
    </w:p>
    <w:p>
      <w:pPr/>
      <w:r>
        <w:rPr>
          <w:lang w:val="en_US" w:bidi="en_US"/>
        </w:rPr>
      </w:r>
      <w:r>
        <w:rPr>
          <w:lang w:val="en_US" w:bidi="en_US"/>
        </w:rPr>
        <w:t>Jesus then restated the three situations with commands. He said that God would reward them if they followed these commands.</w:t>
      </w:r>
    </w:p>
    <w:p>
      <w:pPr>
        <w:pStyle w:val="Heading5"/>
      </w:pPr>
      <w:r>
        <w:rPr>
          <w:lang w:val="en_US" w:bidi="en_US"/>
        </w:rPr>
        <w:t>6:35a</w:t>
      </w:r>
    </w:p>
    <w:p>
      <w:pPr/>
      <w:r>
        <w:rPr>
          <w:lang w:val="en_US" w:bidi="en_US"/>
        </w:rPr>
      </w:r>
      <w:r>
        <w:rPr>
          <w:b/>
          <w:lang w:val="en_US" w:bidi="en_US"/>
        </w:rPr>
        <w:t>But love your enemies,</w:t>
      </w:r>
    </w:p>
    <w:p>
      <w:pPr>
        <w:pStyle w:val="ListBullet"/>
        <w:spacing w:line="240" w:lineRule="auto"/>
        <w:ind w:left="720"/>
      </w:pPr>
      <w:r>
        <w:rPr>
          <w:lang w:val="en_US" w:bidi="en_US"/>
        </w:rPr>
      </w:r>
      <w:r>
        <w:rPr>
          <w:lang w:val="en_US" w:bidi="en_US"/>
        </w:rPr>
        <w:t>Rather, love your</w:t>
      </w:r>
      <w:r>
        <w:rPr>
          <w:vertAlign w:val="superscript"/>
          <w:lang w:val="en_US" w:bidi="en_US"/>
        </w:rPr>
        <w:t>(plur)</w:t>
      </w:r>
      <w:r>
        <w:rPr>
          <w:lang w:val="en_US" w:bidi="en_US"/>
        </w:rPr>
        <w:t xml:space="preserve"> enemies, (GW)</w:t>
      </w:r>
    </w:p>
    <w:p>
      <w:pPr>
        <w:pStyle w:val="ListBullet"/>
        <w:spacing w:line="240" w:lineRule="auto"/>
        <w:ind w:left="720"/>
      </w:pPr>
      <w:r>
        <w:rPr>
          <w:lang w:val="en_US" w:bidi="en_US"/>
        </w:rPr>
      </w:r>
      <w:r>
        <w:rPr>
          <w:lang w:val="en_US" w:bidi="en_US"/>
        </w:rPr>
        <w:t>Instead, love your</w:t>
      </w:r>
      <w:r>
        <w:rPr>
          <w:vertAlign w:val="superscript"/>
          <w:lang w:val="en_US" w:bidi="en_US"/>
        </w:rPr>
        <w:t>(plur)</w:t>
      </w:r>
      <w:r>
        <w:rPr>
          <w:lang w:val="en_US" w:bidi="en_US"/>
        </w:rPr>
        <w:t xml:space="preserve"> enemies.</w:t>
      </w:r>
    </w:p>
    <w:p>
      <w:pPr>
        <w:pStyle w:val="ListBullet"/>
        <w:spacing w:line="240" w:lineRule="auto"/>
        <w:ind w:left="720"/>
      </w:pPr>
      <w:r>
        <w:rPr>
          <w:lang w:val="en_US" w:bidi="en_US"/>
        </w:rPr>
      </w:r>
      <w:r>
        <w:rPr>
          <w:lang w:val="en_US" w:bidi="en_US"/>
        </w:rPr>
        <w:t xml:space="preserve">But, </w:t>
      </w:r>
      <w:r>
        <w:rPr>
          <w:lang w:val="en_US" w:bidi="en_US"/>
        </w:rPr>
        <w:t>unlike sinners,</w:t>
      </w:r>
      <w:r>
        <w:rPr>
          <w:lang w:val="en_US" w:bidi="en_US"/>
        </w:rPr>
        <w:t xml:space="preserve"> you</w:t>
      </w:r>
      <w:r>
        <w:rPr>
          <w:vertAlign w:val="superscript"/>
          <w:lang w:val="en_US" w:bidi="en_US"/>
        </w:rPr>
        <w:t>(plur)</w:t>
      </w:r>
      <w:r>
        <w:rPr>
          <w:lang w:val="en_US" w:bidi="en_US"/>
        </w:rPr>
        <w:t xml:space="preserve"> must love your</w:t>
      </w:r>
      <w:r>
        <w:rPr>
          <w:vertAlign w:val="superscript"/>
          <w:lang w:val="en_US" w:bidi="en_US"/>
        </w:rPr>
        <w:t>(plur)</w:t>
      </w:r>
      <w:r>
        <w:rPr>
          <w:lang w:val="en_US" w:bidi="en_US"/>
        </w:rPr>
        <w:t xml:space="preserve"> enemies,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The contrast is between the way sinners behave and the way that the disciples should behave.</w:t>
      </w:r>
    </w:p>
    <w:p>
      <w:pPr/>
      <w:r>
        <w:rPr>
          <w:lang w:val="en_US" w:bidi="en_US"/>
        </w:rPr>
      </w:r>
      <w:r>
        <w:rPr>
          <w:lang w:val="en_US" w:bidi="en_US"/>
        </w:rPr>
        <w:t>Some other ways to translate this contrast are:</w:t>
      </w:r>
    </w:p>
    <w:p>
      <w:pPr/>
      <w:r>
        <w:rPr>
          <w:lang w:val="en_US" w:bidi="en_US"/>
        </w:rPr>
      </w:r>
      <w:r>
        <w:rPr>
          <w:lang w:val="en_US" w:bidi="en_US"/>
        </w:rPr>
        <w:t>Rather (GW)</w:t>
      </w:r>
    </w:p>
    <w:p>
      <w:pPr/>
      <w:r>
        <w:rPr>
          <w:lang w:val="en_US" w:bidi="en_US"/>
        </w:rPr>
      </w:r>
      <w:r>
        <w:rPr>
          <w:lang w:val="en_US" w:bidi="en_US"/>
        </w:rPr>
        <w:t>Instead (NJB)</w:t>
      </w:r>
    </w:p>
    <w:p>
      <w:pPr/>
      <w:r>
        <w:rPr>
          <w:lang w:val="en_US" w:bidi="en_US"/>
        </w:rPr>
      </w:r>
      <w:r>
        <w:rPr>
          <w:lang w:val="en_US" w:bidi="en_US"/>
        </w:rPr>
        <w:t>Show this contrast in a natural way in your language. In some languages, no conjunction is necessary.</w:t>
      </w:r>
    </w:p>
    <w:p>
      <w:pPr/>
      <w:r>
        <w:rPr>
          <w:lang w:val="en_US" w:bidi="en_US"/>
        </w:rPr>
      </w:r>
      <w:r>
        <w:rPr>
          <w:b/>
          <w:lang w:val="en_US" w:bidi="en_US"/>
        </w:rPr>
        <w:t>love your enemies:</w:t>
      </w:r>
      <w:r>
        <w:rPr>
          <w:lang w:val="en_US" w:bidi="en_US"/>
        </w:rPr>
        <w:t xml:space="preserve"> This is the same phrase as in 6:27b.</w:t>
      </w:r>
    </w:p>
    <w:p>
      <w:pPr>
        <w:pStyle w:val="Heading5"/>
      </w:pPr>
      <w:r>
        <w:rPr>
          <w:lang w:val="en_US" w:bidi="en_US"/>
        </w:rPr>
        <w:t>6:35b</w:t>
      </w:r>
    </w:p>
    <w:p>
      <w:pPr/>
      <w:r>
        <w:rPr>
          <w:lang w:val="en_US" w:bidi="en_US"/>
        </w:rPr>
      </w:r>
      <w:r>
        <w:rPr>
          <w:b/>
          <w:lang w:val="en_US" w:bidi="en_US"/>
        </w:rPr>
        <w:t>do good to them,</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good to them,</w:t>
      </w:r>
    </w:p>
    <w:p>
      <w:pPr>
        <w:pStyle w:val="ListBullet"/>
        <w:spacing w:line="240" w:lineRule="auto"/>
        <w:ind w:left="720"/>
      </w:pPr>
      <w:r>
        <w:rPr>
          <w:lang w:val="en_US" w:bidi="en_US"/>
        </w:rPr>
      </w:r>
      <w:r>
        <w:rPr>
          <w:lang w:val="en_US" w:bidi="en_US"/>
        </w:rPr>
        <w:t>help them, (GW)</w:t>
      </w:r>
    </w:p>
    <w:p>
      <w:pPr>
        <w:pStyle w:val="ListBullet"/>
        <w:spacing w:line="240" w:lineRule="auto"/>
        <w:ind w:left="720"/>
      </w:pPr>
      <w:r>
        <w:rPr>
          <w:lang w:val="en_US" w:bidi="en_US"/>
        </w:rPr>
      </w:r>
      <w:r>
        <w:rPr>
          <w:lang w:val="en_US" w:bidi="en_US"/>
        </w:rPr>
        <w:t>Treat</w:t>
      </w:r>
      <w:r>
        <w:rPr>
          <w:vertAlign w:val="superscript"/>
          <w:lang w:val="en_US" w:bidi="en_US"/>
        </w:rPr>
        <w:t>(plur)</w:t>
      </w:r>
      <w:r>
        <w:rPr>
          <w:lang w:val="en_US" w:bidi="en_US"/>
        </w:rPr>
        <w:t xml:space="preserve"> them well.</w:t>
      </w:r>
    </w:p>
    <w:p>
      <w:pPr/>
      <w:r>
        <w:rPr>
          <w:lang w:val="en_US" w:bidi="en_US"/>
        </w:rPr>
      </w:r>
      <w:r>
        <w:rPr>
          <w:b/>
          <w:lang w:val="en_US" w:bidi="en_US"/>
        </w:rPr>
        <w:t>do good to them:</w:t>
      </w:r>
      <w:r>
        <w:rPr>
          <w:lang w:val="en_US" w:bidi="en_US"/>
        </w:rPr>
        <w:t xml:space="preserve"> The Greek verb that the BSB translates as </w:t>
      </w:r>
      <w:r>
        <w:rPr>
          <w:i/>
          <w:lang w:val="en_US" w:bidi="en_US"/>
        </w:rPr>
        <w:t>do good</w:t>
      </w:r>
      <w:r>
        <w:rPr>
          <w:lang w:val="en_US" w:bidi="en_US"/>
        </w:rPr>
        <w:t xml:space="preserve"> is the same word as in 6:33a. In Greek, the word “them” does not occur. It is implied that the object is “your enemies,” just as in 6:35a. The BSB has made this explicit by supplying the pronoun </w:t>
      </w:r>
      <w:r>
        <w:rPr>
          <w:i/>
          <w:lang w:val="en_US" w:bidi="en_US"/>
        </w:rPr>
        <w:t>them</w:t>
      </w:r>
      <w:r>
        <w:rPr>
          <w:lang w:val="en_US" w:bidi="en_US"/>
        </w:rPr>
        <w:t>. Some other ways to translate this are:</w:t>
      </w:r>
    </w:p>
    <w:p>
      <w:pPr/>
      <w:r>
        <w:rPr>
          <w:lang w:val="en_US" w:bidi="en_US"/>
        </w:rPr>
      </w:r>
      <w:r>
        <w:rPr>
          <w:lang w:val="en_US" w:bidi="en_US"/>
        </w:rPr>
        <w:t>be good to them (CEV)</w:t>
      </w:r>
    </w:p>
    <w:p>
      <w:pPr/>
      <w:r>
        <w:rPr>
          <w:lang w:val="en_US" w:bidi="en_US"/>
        </w:rPr>
      </w:r>
      <w:r>
        <w:rPr>
          <w:lang w:val="en_US" w:bidi="en_US"/>
        </w:rPr>
        <w:t>help them (GW)</w:t>
      </w:r>
    </w:p>
    <w:p>
      <w:pPr>
        <w:pStyle w:val="Heading5"/>
      </w:pPr>
      <w:r>
        <w:rPr>
          <w:lang w:val="en_US" w:bidi="en_US"/>
        </w:rPr>
        <w:t>6:35c</w:t>
      </w:r>
    </w:p>
    <w:p>
      <w:pPr/>
      <w:r>
        <w:rPr>
          <w:lang w:val="en_US" w:bidi="en_US"/>
        </w:rPr>
      </w:r>
      <w:r>
        <w:rPr>
          <w:b/>
          <w:lang w:val="en_US" w:bidi="en_US"/>
        </w:rPr>
        <w:t>and lend to them,</w:t>
      </w:r>
    </w:p>
    <w:p>
      <w:pPr>
        <w:pStyle w:val="ListBullet"/>
        <w:spacing w:line="240" w:lineRule="auto"/>
        <w:ind w:left="720"/>
      </w:pPr>
      <w:r>
        <w:rPr>
          <w:lang w:val="en_US" w:bidi="en_US"/>
        </w:rPr>
      </w:r>
      <w:r>
        <w:rPr>
          <w:lang w:val="en_US" w:bidi="en_US"/>
        </w:rPr>
        <w:t>and lend</w:t>
      </w:r>
      <w:r>
        <w:rPr>
          <w:vertAlign w:val="superscript"/>
          <w:lang w:val="en_US" w:bidi="en_US"/>
        </w:rPr>
        <w:t>(plur)</w:t>
      </w:r>
      <w:r>
        <w:rPr>
          <w:lang w:val="en_US" w:bidi="en_US"/>
        </w:rPr>
        <w:t xml:space="preserve"> to them</w:t>
      </w:r>
    </w:p>
    <w:p>
      <w:pPr>
        <w:pStyle w:val="ListBullet"/>
        <w:spacing w:line="240" w:lineRule="auto"/>
        <w:ind w:left="720"/>
      </w:pPr>
      <w:r>
        <w:rPr>
          <w:lang w:val="en_US" w:bidi="en_US"/>
        </w:rPr>
      </w:r>
      <w:r>
        <w:rPr>
          <w:lang w:val="en_US" w:bidi="en_US"/>
        </w:rPr>
        <w:t>Lend</w:t>
      </w:r>
      <w:r>
        <w:rPr>
          <w:vertAlign w:val="superscript"/>
          <w:lang w:val="en_US" w:bidi="en_US"/>
        </w:rPr>
        <w:t>(plur)</w:t>
      </w:r>
      <w:r>
        <w:rPr>
          <w:lang w:val="en_US" w:bidi="en_US"/>
        </w:rPr>
        <w:t xml:space="preserve"> </w:t>
      </w:r>
      <w:r>
        <w:rPr>
          <w:lang w:val="en_US" w:bidi="en_US"/>
        </w:rPr>
        <w:t>money</w:t>
      </w:r>
      <w:r>
        <w:rPr>
          <w:lang w:val="en_US" w:bidi="en_US"/>
        </w:rPr>
        <w:t xml:space="preserve"> to them,</w:t>
      </w:r>
    </w:p>
    <w:p>
      <w:pPr/>
      <w:r>
        <w:rPr>
          <w:lang w:val="en_US" w:bidi="en_US"/>
        </w:rPr>
      </w:r>
      <w:r>
        <w:rPr>
          <w:b/>
          <w:lang w:val="en_US" w:bidi="en_US"/>
        </w:rPr>
        <w:t>lend to them:</w:t>
      </w:r>
      <w:r>
        <w:rPr>
          <w:lang w:val="en_US" w:bidi="en_US"/>
        </w:rPr>
        <w:t xml:space="preserve"> The Greek verb that the BSB translates as </w:t>
      </w:r>
      <w:r>
        <w:rPr>
          <w:i/>
          <w:lang w:val="en_US" w:bidi="en_US"/>
        </w:rPr>
        <w:t>lend</w:t>
      </w:r>
      <w:r>
        <w:rPr>
          <w:lang w:val="en_US" w:bidi="en_US"/>
        </w:rPr>
        <w:t xml:space="preserve"> is the same word as in 6:34a. In Greek, the word “them” does not occur. It is implied that the object is “your enemies” just as in 6:35a. The BSB has made this explicit by supplying the pronoun </w:t>
      </w:r>
      <w:r>
        <w:rPr>
          <w:i/>
          <w:lang w:val="en_US" w:bidi="en_US"/>
        </w:rPr>
        <w:t>them</w:t>
      </w:r>
      <w:r>
        <w:rPr>
          <w:lang w:val="en_US" w:bidi="en_US"/>
        </w:rPr>
        <w:t>.</w:t>
      </w:r>
    </w:p>
    <w:p>
      <w:pPr/>
      <w:r>
        <w:rPr>
          <w:lang w:val="en_US" w:bidi="en_US"/>
        </w:rPr>
      </w:r>
      <w:r>
        <w:rPr>
          <w:lang w:val="en_US" w:bidi="en_US"/>
        </w:rPr>
        <w:t>In some languages, it may be necessary to supply a direct object and make explicit what the disciples were to lend. For example:</w:t>
      </w:r>
    </w:p>
    <w:p>
      <w:pPr/>
      <w:r>
        <w:rPr>
          <w:lang w:val="en_US" w:bidi="en_US"/>
        </w:rPr>
      </w:r>
      <w:r>
        <w:rPr>
          <w:lang w:val="en_US" w:bidi="en_US"/>
        </w:rPr>
        <w:t xml:space="preserve">lend </w:t>
      </w:r>
      <w:r>
        <w:rPr>
          <w:lang w:val="en_US" w:bidi="en_US"/>
        </w:rPr>
        <w:t>money</w:t>
      </w:r>
      <w:r>
        <w:rPr>
          <w:lang w:val="en_US" w:bidi="en_US"/>
        </w:rPr>
        <w:t xml:space="preserve"> to them</w:t>
      </w:r>
    </w:p>
    <w:p>
      <w:pPr>
        <w:pStyle w:val="Heading5"/>
      </w:pPr>
      <w:r>
        <w:rPr>
          <w:lang w:val="en_US" w:bidi="en_US"/>
        </w:rPr>
        <w:t>6:35d</w:t>
      </w:r>
    </w:p>
    <w:p>
      <w:pPr/>
      <w:r>
        <w:rPr>
          <w:lang w:val="en_US" w:bidi="en_US"/>
        </w:rPr>
      </w:r>
      <w:r>
        <w:rPr>
          <w:b/>
          <w:lang w:val="en_US" w:bidi="en_US"/>
        </w:rPr>
        <w:t>expecting nothing in return.</w:t>
      </w:r>
    </w:p>
    <w:p>
      <w:pPr>
        <w:pStyle w:val="ListBullet"/>
        <w:spacing w:line="240" w:lineRule="auto"/>
        <w:ind w:left="720"/>
      </w:pPr>
      <w:r>
        <w:rPr>
          <w:lang w:val="en_US" w:bidi="en_US"/>
        </w:rPr>
      </w:r>
      <w:r>
        <w:rPr>
          <w:lang w:val="en_US" w:bidi="en_US"/>
        </w:rPr>
        <w:t>even when you do not expect to get anything back.</w:t>
      </w:r>
    </w:p>
    <w:p>
      <w:pPr>
        <w:pStyle w:val="ListBullet"/>
        <w:spacing w:line="240" w:lineRule="auto"/>
        <w:ind w:left="720"/>
      </w:pPr>
      <w:r>
        <w:rPr>
          <w:lang w:val="en_US" w:bidi="en_US"/>
        </w:rPr>
      </w:r>
      <w:r>
        <w:rPr>
          <w:lang w:val="en_US" w:bidi="en_US"/>
        </w:rPr>
        <w:t xml:space="preserve">even when there is little hope that they will return anything </w:t>
      </w:r>
      <w:r>
        <w:rPr>
          <w:lang w:val="en_US" w:bidi="en_US"/>
        </w:rPr>
        <w:t>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and do not hope/expect that they will repay any </w:t>
      </w:r>
      <w:r>
        <w:rPr>
          <w:lang w:val="en_US" w:bidi="en_US"/>
        </w:rPr>
        <w:t>of it</w:t>
      </w:r>
      <w:r>
        <w:rPr>
          <w:lang w:val="en_US" w:bidi="en_US"/>
        </w:rPr>
        <w:t>.</w:t>
      </w:r>
    </w:p>
    <w:p>
      <w:pPr/>
      <w:r>
        <w:rPr>
          <w:lang w:val="en_US" w:bidi="en_US"/>
        </w:rPr>
      </w:r>
      <w:r>
        <w:rPr>
          <w:b/>
          <w:lang w:val="en_US" w:bidi="en_US"/>
        </w:rPr>
        <w:t>expecting nothing in return:</w:t>
      </w:r>
      <w:r>
        <w:rPr>
          <w:lang w:val="en_US" w:bidi="en_US"/>
        </w:rPr>
        <w:t xml:space="preserve"> The Greek verb that the BSB translates as </w:t>
      </w:r>
      <w:r>
        <w:rPr>
          <w:i/>
          <w:lang w:val="en_US" w:bidi="en_US"/>
        </w:rPr>
        <w:t>expecting…in return</w:t>
      </w:r>
      <w:r>
        <w:rPr>
          <w:lang w:val="en_US" w:bidi="en_US"/>
        </w:rPr>
        <w:t xml:space="preserve"> also means “hoping to receive from.” This verb has the same root as the verb “expect” in 6:34a. Disciples should lend money even when they do not hope/expect that the money will be returned.</w:t>
      </w:r>
    </w:p>
    <w:p>
      <w:pPr/>
      <w:r>
        <w:rPr>
          <w:lang w:val="en_US" w:bidi="en_US"/>
        </w:rPr>
      </w:r>
      <w:r>
        <w:rPr>
          <w:lang w:val="en_US" w:bidi="en_US"/>
        </w:rPr>
        <w:t>Some other ways to translate this are:</w:t>
      </w:r>
    </w:p>
    <w:p>
      <w:pPr/>
      <w:r>
        <w:rPr>
          <w:lang w:val="en_US" w:bidi="en_US"/>
        </w:rPr>
      </w:r>
      <w:r>
        <w:rPr>
          <w:lang w:val="en_US" w:bidi="en_US"/>
        </w:rPr>
        <w:t>without expecting to be paid back (CEV)</w:t>
      </w:r>
    </w:p>
    <w:p>
      <w:pPr/>
      <w:r>
        <w:rPr>
          <w:lang w:val="en_US" w:bidi="en_US"/>
        </w:rPr>
      </w:r>
      <w:r>
        <w:rPr>
          <w:lang w:val="en_US" w:bidi="en_US"/>
        </w:rPr>
        <w:t>without hoping to get anything back (NCV)</w:t>
      </w:r>
    </w:p>
    <w:p>
      <w:pPr/>
      <w:r>
        <w:rPr>
          <w:lang w:val="en_US" w:bidi="en_US"/>
        </w:rPr>
      </w:r>
      <w:r>
        <w:rPr>
          <w:lang w:val="en_US" w:bidi="en_US"/>
        </w:rPr>
        <w:t>and expect nothing back (GNT)</w:t>
      </w:r>
    </w:p>
    <w:p>
      <w:pPr>
        <w:pStyle w:val="Heading5"/>
      </w:pPr>
      <w:r>
        <w:rPr>
          <w:lang w:val="en_US" w:bidi="en_US"/>
        </w:rPr>
        <w:t>6:35e</w:t>
      </w:r>
    </w:p>
    <w:p>
      <w:pPr/>
      <w:r>
        <w:rPr>
          <w:lang w:val="en_US" w:bidi="en_US"/>
        </w:rPr>
      </w:r>
      <w:r>
        <w:rPr>
          <w:b/>
          <w:lang w:val="en_US" w:bidi="en_US"/>
        </w:rPr>
        <w:t>Then your reward will be great,</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w:t>
      </w:r>
      <w:r>
        <w:rPr>
          <w:lang w:val="en_US" w:bidi="en_US"/>
        </w:rPr>
        <w:t>do this,</w:t>
      </w:r>
      <w:r>
        <w:rPr>
          <w:lang w:val="en_US" w:bidi="en_US"/>
        </w:rPr>
        <w:t xml:space="preserve"> then you will receive a great reward,</w:t>
      </w:r>
    </w:p>
    <w:p>
      <w:pPr>
        <w:pStyle w:val="ListBullet"/>
        <w:spacing w:line="240" w:lineRule="auto"/>
        <w:ind w:left="720"/>
      </w:pPr>
      <w:r>
        <w:rPr>
          <w:lang w:val="en_US" w:bidi="en_US"/>
        </w:rPr>
      </w:r>
      <w:r>
        <w:rPr>
          <w:lang w:val="en_US" w:bidi="en_US"/>
        </w:rPr>
        <w:t>As a result,</w:t>
      </w:r>
      <w:r>
        <w:rPr>
          <w:lang w:val="en_US" w:bidi="en_US"/>
        </w:rPr>
        <w:t xml:space="preserve"> </w:t>
      </w:r>
      <w:r>
        <w:rPr>
          <w:lang w:val="en_US" w:bidi="en_US"/>
        </w:rPr>
        <w:t>God</w:t>
      </w:r>
      <w:r>
        <w:rPr>
          <w:lang w:val="en_US" w:bidi="en_US"/>
        </w:rPr>
        <w:t xml:space="preserve"> will reward you</w:t>
      </w:r>
      <w:r>
        <w:rPr>
          <w:vertAlign w:val="superscript"/>
          <w:lang w:val="en_US" w:bidi="en_US"/>
        </w:rPr>
        <w:t>(plur)</w:t>
      </w:r>
      <w:r>
        <w:rPr>
          <w:lang w:val="en_US" w:bidi="en_US"/>
        </w:rPr>
        <w:t xml:space="preserve"> greatly,</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here introduces the result or consequence of obeying Jesus’ commands. Some other ways to introduce 6:35e are:</w:t>
      </w:r>
    </w:p>
    <w:p>
      <w:pPr/>
      <w:r>
        <w:rPr>
          <w:lang w:val="en_US" w:bidi="en_US"/>
        </w:rPr>
      </w:r>
      <w:r>
        <w:rPr>
          <w:lang w:val="en_US" w:bidi="en_US"/>
        </w:rPr>
        <w:t>If you do this, then</w:t>
      </w:r>
    </w:p>
    <w:p>
      <w:pPr/>
      <w:r>
        <w:rPr>
          <w:lang w:val="en_US" w:bidi="en_US"/>
        </w:rPr>
      </w:r>
      <w:r>
        <w:rPr>
          <w:lang w:val="en_US" w:bidi="en_US"/>
        </w:rPr>
        <w:t>As a result</w:t>
      </w:r>
    </w:p>
    <w:p>
      <w:pPr/>
      <w:r>
        <w:rPr>
          <w:lang w:val="en_US" w:bidi="en_US"/>
        </w:rPr>
      </w:r>
      <w:r>
        <w:rPr>
          <w:lang w:val="en_US" w:bidi="en_US"/>
        </w:rPr>
        <w:t>Some English versions (such as the NJB) do not translate this conjunction. Connect 6:35e to 6:35a–d in way that is natural in your language to express a result.</w:t>
      </w:r>
    </w:p>
    <w:p>
      <w:pPr/>
      <w:r>
        <w:rPr>
          <w:lang w:val="en_US" w:bidi="en_US"/>
        </w:rPr>
      </w:r>
      <w:r>
        <w:rPr>
          <w:b/>
          <w:lang w:val="en_US" w:bidi="en_US"/>
        </w:rPr>
        <w:t>your reward will be great:</w:t>
      </w:r>
      <w:r>
        <w:rPr>
          <w:lang w:val="en_US" w:bidi="en_US"/>
        </w:rPr>
        <w:t xml:space="preserve"> This is a passive clause. God is the one who will reward the disciples. Some other ways to translate this are:</w:t>
      </w:r>
    </w:p>
    <w:p>
      <w:pPr/>
      <w:r>
        <w:rPr>
          <w:lang w:val="en_US" w:bidi="en_US"/>
        </w:rPr>
      </w:r>
      <w:r>
        <w:rPr>
          <w:lang w:val="en_US" w:bidi="en_US"/>
        </w:rPr>
        <w:t>you will get a great reward (CEV)</w:t>
      </w:r>
    </w:p>
    <w:p>
      <w:pPr/>
      <w:r>
        <w:rPr>
          <w:lang w:val="en_US" w:bidi="en_US"/>
        </w:rPr>
      </w:r>
      <w:r>
        <w:rPr>
          <w:lang w:val="en_US" w:bidi="en_US"/>
        </w:rPr>
        <w:t>God</w:t>
      </w:r>
      <w:r>
        <w:rPr>
          <w:lang w:val="en_US" w:bidi="en_US"/>
        </w:rPr>
        <w:t xml:space="preserve"> will give you a great reward</w:t>
      </w:r>
    </w:p>
    <w:p>
      <w:pPr/>
      <w:r>
        <w:rPr>
          <w:lang w:val="en_US" w:bidi="en_US"/>
        </w:rPr>
      </w:r>
      <w:r>
        <w:rPr>
          <w:b/>
          <w:lang w:val="en_US" w:bidi="en_US"/>
        </w:rPr>
        <w:t>reward:</w:t>
      </w:r>
      <w:r>
        <w:rPr>
          <w:lang w:val="en_US" w:bidi="en_US"/>
        </w:rPr>
        <w:t xml:space="preserve"> A </w:t>
      </w:r>
      <w:r>
        <w:rPr>
          <w:i/>
          <w:lang w:val="en_US" w:bidi="en_US"/>
        </w:rPr>
        <w:t>reward</w:t>
      </w:r>
      <w:r>
        <w:rPr>
          <w:lang w:val="en_US" w:bidi="en_US"/>
        </w:rPr>
        <w:t xml:space="preserve"> is normally something good that people receive because of something that they have done. In this verse, the meaning of </w:t>
      </w:r>
      <w:r>
        <w:rPr>
          <w:i/>
          <w:lang w:val="en_US" w:bidi="en_US"/>
        </w:rPr>
        <w:t>reward</w:t>
      </w:r>
      <w:r>
        <w:rPr>
          <w:lang w:val="en_US" w:bidi="en_US"/>
        </w:rPr>
        <w:t xml:space="preserve"> focuses on being honored for following Jesus faithfully. Some other ways to translate the word </w:t>
      </w:r>
      <w:r>
        <w:rPr>
          <w:i/>
          <w:lang w:val="en_US" w:bidi="en_US"/>
        </w:rPr>
        <w:t>reward</w:t>
      </w:r>
      <w:r>
        <w:rPr>
          <w:lang w:val="en_US" w:bidi="en_US"/>
        </w:rPr>
        <w:t xml:space="preserve"> are:</w:t>
      </w:r>
    </w:p>
    <w:p>
      <w:pPr/>
      <w:r>
        <w:rPr>
          <w:lang w:val="en_US" w:bidi="en_US"/>
        </w:rPr>
      </w:r>
      <w:r>
        <w:rPr>
          <w:lang w:val="en_US" w:bidi="en_US"/>
        </w:rPr>
        <w:t xml:space="preserve">you will be </w:t>
      </w:r>
      <w:r>
        <w:rPr>
          <w:u w:val="single"/>
          <w:lang w:val="en_US" w:bidi="en_US"/>
        </w:rPr>
        <w:t>greatly honored</w:t>
      </w:r>
    </w:p>
    <w:p>
      <w:pPr/>
      <w:r>
        <w:rPr>
          <w:lang w:val="en_US" w:bidi="en_US"/>
        </w:rPr>
      </w:r>
      <w:r>
        <w:rPr>
          <w:lang w:val="en_US" w:bidi="en_US"/>
        </w:rPr>
        <w:t xml:space="preserve">you will receive </w:t>
      </w:r>
      <w:r>
        <w:rPr>
          <w:u w:val="single"/>
          <w:lang w:val="en_US" w:bidi="en_US"/>
        </w:rPr>
        <w:t>great honor</w:t>
      </w:r>
    </w:p>
    <w:p>
      <w:pPr/>
      <w:r>
        <w:rPr>
          <w:lang w:val="en_US" w:bidi="en_US"/>
        </w:rPr>
      </w:r>
      <w:r>
        <w:rPr>
          <w:lang w:val="en_US" w:bidi="en_US"/>
        </w:rPr>
        <w:t>This same word occurs in 6:23b.</w:t>
      </w:r>
    </w:p>
    <w:p>
      <w:pPr>
        <w:pStyle w:val="Heading5"/>
      </w:pPr>
      <w:r>
        <w:rPr>
          <w:lang w:val="en_US" w:bidi="en_US"/>
        </w:rPr>
        <w:t>6:35f</w:t>
      </w:r>
    </w:p>
    <w:p>
      <w:pPr/>
      <w:r>
        <w:rPr>
          <w:lang w:val="en_US" w:bidi="en_US"/>
        </w:rPr>
      </w:r>
      <w:r>
        <w:rPr>
          <w:b/>
          <w:lang w:val="en_US" w:bidi="en_US"/>
        </w:rPr>
        <w:t>and you will be sons of the Most High;</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will be like children of the Most High,</w:t>
      </w:r>
    </w:p>
    <w:p>
      <w:pPr>
        <w:pStyle w:val="ListBullet"/>
        <w:spacing w:line="240" w:lineRule="auto"/>
        <w:ind w:left="720"/>
      </w:pPr>
      <w:r>
        <w:rPr>
          <w:lang w:val="en_US" w:bidi="en_US"/>
        </w:rPr>
      </w:r>
      <w:r>
        <w:rPr>
          <w:lang w:val="en_US" w:bidi="en_US"/>
        </w:rPr>
        <w:t xml:space="preserve">and </w:t>
      </w:r>
      <w:r>
        <w:rPr>
          <w:lang w:val="en_US" w:bidi="en_US"/>
        </w:rPr>
        <w:t>this will show/prove that</w:t>
      </w:r>
      <w:r>
        <w:rPr>
          <w:lang w:val="en_US" w:bidi="en_US"/>
        </w:rPr>
        <w:t xml:space="preserve"> you</w:t>
      </w:r>
      <w:r>
        <w:rPr>
          <w:vertAlign w:val="superscript"/>
          <w:lang w:val="en_US" w:bidi="en_US"/>
        </w:rPr>
        <w:t>(plur)</w:t>
      </w:r>
      <w:r>
        <w:rPr>
          <w:lang w:val="en_US" w:bidi="en_US"/>
        </w:rPr>
        <w:t xml:space="preserve"> are </w:t>
      </w:r>
      <w:r>
        <w:rPr>
          <w:lang w:val="en_US" w:bidi="en_US"/>
        </w:rPr>
        <w:t>truly</w:t>
      </w:r>
      <w:r>
        <w:rPr>
          <w:lang w:val="en_US" w:bidi="en_US"/>
        </w:rPr>
        <w:t xml:space="preserve"> children of </w:t>
      </w:r>
      <w:r>
        <w:rPr>
          <w:lang w:val="en_US" w:bidi="en_US"/>
        </w:rPr>
        <w:t>God,</w:t>
      </w:r>
      <w:r>
        <w:rPr>
          <w:lang w:val="en_US" w:bidi="en_US"/>
        </w:rPr>
        <w:t xml:space="preserve"> the Highest One.</w:t>
      </w:r>
    </w:p>
    <w:p>
      <w:pPr/>
      <w:r>
        <w:rPr>
          <w:lang w:val="en_US" w:bidi="en_US"/>
        </w:rPr>
      </w:r>
      <w:r>
        <w:rPr>
          <w:lang w:val="en_US" w:bidi="en_US"/>
        </w:rPr>
        <w:t>This is the second result of obeying the commands of 6:35a–d. Connect this second result in a natural way in your language.</w:t>
      </w:r>
    </w:p>
    <w:p>
      <w:pPr/>
      <w:r>
        <w:rPr>
          <w:lang w:val="en_US" w:bidi="en_US"/>
        </w:rPr>
      </w:r>
      <w:r>
        <w:rPr>
          <w:b/>
          <w:lang w:val="en_US" w:bidi="en_US"/>
        </w:rPr>
        <w:t>you will be sons of the Most High:</w:t>
      </w:r>
      <w:r>
        <w:rPr>
          <w:lang w:val="en_US" w:bidi="en_US"/>
        </w:rPr>
        <w:t xml:space="preserve"> The Greek phrase that the BSB translates as </w:t>
      </w:r>
      <w:r>
        <w:rPr>
          <w:i/>
          <w:lang w:val="en_US" w:bidi="en_US"/>
        </w:rPr>
        <w:t>sons of the Most High</w:t>
      </w:r>
      <w:r>
        <w:rPr>
          <w:lang w:val="en_US" w:bidi="en_US"/>
        </w:rPr>
        <w:t xml:space="preserve"> is an idiom. It implies a relationship with God. Jesus was saying that when his disciples love their enemies, they are acting the way their Father, God, acts. They are acting the way people/children worthy of God’s name should act.</w:t>
      </w:r>
    </w:p>
    <w:p>
      <w:pPr/>
      <w:r>
        <w:rPr>
          <w:lang w:val="en_US" w:bidi="en_US"/>
        </w:rPr>
      </w:r>
      <w:r>
        <w:rPr>
          <w:lang w:val="en_US" w:bidi="en_US"/>
        </w:rPr>
        <w:t xml:space="preserve">Some other ways to translate the phrase </w:t>
      </w:r>
      <w:r>
        <w:rPr>
          <w:i/>
          <w:lang w:val="en_US" w:bidi="en_US"/>
        </w:rPr>
        <w:t>sons of the Most High</w:t>
      </w:r>
      <w:r>
        <w:rPr>
          <w:lang w:val="en_US" w:bidi="en_US"/>
        </w:rPr>
        <w:t xml:space="preserve"> are:</w:t>
      </w:r>
    </w:p>
    <w:p>
      <w:pPr/>
      <w:r>
        <w:rPr>
          <w:lang w:val="en_US" w:bidi="en_US"/>
        </w:rPr>
      </w:r>
      <w:r>
        <w:rPr>
          <w:lang w:val="en_US" w:bidi="en_US"/>
        </w:rPr>
        <w:t xml:space="preserve">you will </w:t>
      </w:r>
      <w:r>
        <w:rPr>
          <w:u w:val="single"/>
          <w:lang w:val="en_US" w:bidi="en_US"/>
        </w:rPr>
        <w:t>be like</w:t>
      </w:r>
      <w:r>
        <w:rPr>
          <w:lang w:val="en_US" w:bidi="en_US"/>
        </w:rPr>
        <w:t xml:space="preserve"> the Most High</w:t>
      </w:r>
    </w:p>
    <w:p>
      <w:pPr/>
      <w:r>
        <w:rPr>
          <w:lang w:val="en_US" w:bidi="en_US"/>
        </w:rPr>
      </w:r>
      <w:r>
        <w:rPr>
          <w:lang w:val="en_US" w:bidi="en_US"/>
        </w:rPr>
        <w:t xml:space="preserve">you will </w:t>
      </w:r>
      <w:r>
        <w:rPr>
          <w:u w:val="single"/>
          <w:lang w:val="en_US" w:bidi="en_US"/>
        </w:rPr>
        <w:t>show/prove that you</w:t>
      </w:r>
      <w:r>
        <w:rPr>
          <w:lang w:val="en_US" w:bidi="en_US"/>
        </w:rPr>
        <w:t xml:space="preserve"> are sons/children of the Most High</w:t>
      </w:r>
    </w:p>
    <w:p>
      <w:pPr/>
      <w:r>
        <w:rPr>
          <w:lang w:val="en_US" w:bidi="en_US"/>
        </w:rPr>
      </w:r>
      <w:r>
        <w:rPr>
          <w:lang w:val="en_US" w:bidi="en_US"/>
        </w:rPr>
        <w:t>you will be the true children of God in heaven (CEV)</w:t>
      </w:r>
    </w:p>
    <w:p>
      <w:pPr/>
      <w:r>
        <w:rPr>
          <w:lang w:val="en_US" w:bidi="en_US"/>
        </w:rPr>
      </w:r>
      <w:r>
        <w:rPr>
          <w:lang w:val="en_US" w:bidi="en_US"/>
        </w:rPr>
        <w:t xml:space="preserve">you will </w:t>
      </w:r>
      <w:r>
        <w:rPr>
          <w:u w:val="single"/>
          <w:lang w:val="en_US" w:bidi="en_US"/>
        </w:rPr>
        <w:t>truly be acting as children</w:t>
      </w:r>
      <w:r>
        <w:rPr>
          <w:lang w:val="en_US" w:bidi="en_US"/>
        </w:rPr>
        <w:t xml:space="preserve"> of the Most High (NLT)</w:t>
      </w:r>
    </w:p>
    <w:p>
      <w:pPr/>
      <w:r>
        <w:rPr>
          <w:lang w:val="en_US" w:bidi="en_US"/>
        </w:rPr>
      </w:r>
      <w:r>
        <w:rPr>
          <w:b/>
          <w:lang w:val="en_US" w:bidi="en_US"/>
        </w:rPr>
        <w:t>sons:</w:t>
      </w:r>
      <w:r>
        <w:rPr>
          <w:lang w:val="en_US" w:bidi="en_US"/>
        </w:rPr>
        <w:t xml:space="preserve"> Here the word </w:t>
      </w:r>
      <w:r>
        <w:rPr>
          <w:i/>
          <w:lang w:val="en_US" w:bidi="en_US"/>
        </w:rPr>
        <w:t>sons</w:t>
      </w:r>
      <w:r>
        <w:rPr>
          <w:lang w:val="en_US" w:bidi="en_US"/>
        </w:rPr>
        <w:t xml:space="preserve"> refers to both men and women. It does not refer only to men or boys. It also includes Jesus’ disciples who were women. It does not refer to a physical relationship. Another way to translate </w:t>
      </w:r>
      <w:r>
        <w:rPr>
          <w:i/>
          <w:lang w:val="en_US" w:bidi="en_US"/>
        </w:rPr>
        <w:t>sons</w:t>
      </w:r>
      <w:r>
        <w:rPr>
          <w:lang w:val="en_US" w:bidi="en_US"/>
        </w:rPr>
        <w:t xml:space="preserve"> is:</w:t>
      </w:r>
    </w:p>
    <w:p>
      <w:pPr/>
      <w:r>
        <w:rPr>
          <w:lang w:val="en_US" w:bidi="en_US"/>
        </w:rPr>
      </w:r>
      <w:r>
        <w:rPr>
          <w:lang w:val="en_US" w:bidi="en_US"/>
        </w:rPr>
        <w:t>children (NLT)</w:t>
      </w:r>
    </w:p>
    <w:p>
      <w:pPr/>
      <w:r>
        <w:rPr>
          <w:lang w:val="en_US" w:bidi="en_US"/>
        </w:rPr>
      </w:r>
      <w:r>
        <w:rPr>
          <w:b/>
          <w:lang w:val="en_US" w:bidi="en_US"/>
        </w:rPr>
        <w:t>the Most High:</w:t>
      </w:r>
      <w:r>
        <w:rPr>
          <w:lang w:val="en_US" w:bidi="en_US"/>
        </w:rPr>
        <w:t xml:space="preserve"> The phrase </w:t>
      </w:r>
      <w:r>
        <w:rPr>
          <w:i/>
          <w:lang w:val="en_US" w:bidi="en_US"/>
        </w:rPr>
        <w:t>the Most High</w:t>
      </w:r>
      <w:r>
        <w:rPr>
          <w:lang w:val="en_US" w:bidi="en_US"/>
        </w:rPr>
        <w:t xml:space="preserve"> is a title for God. Jesus followed the Jews’ custom of not speaking the name of God. This showed that they respected God’s name.</w:t>
      </w:r>
    </w:p>
    <w:p>
      <w:pPr/>
      <w:r>
        <w:rPr>
          <w:lang w:val="en_US" w:bidi="en_US"/>
        </w:rPr>
      </w:r>
      <w:r>
        <w:rPr>
          <w:lang w:val="en_US" w:bidi="en_US"/>
        </w:rPr>
        <w:t>Some ways to translate this title are:</w:t>
      </w:r>
    </w:p>
    <w:p>
      <w:pPr/>
      <w:r>
        <w:rPr>
          <w:lang w:val="en_US" w:bidi="en_US"/>
        </w:rPr>
      </w:r>
      <w:r>
        <w:rPr>
          <w:lang w:val="en_US" w:bidi="en_US"/>
        </w:rPr>
        <w:t>the Most High God (GNT)</w:t>
      </w:r>
    </w:p>
    <w:p>
      <w:pPr/>
      <w:r>
        <w:rPr>
          <w:lang w:val="en_US" w:bidi="en_US"/>
        </w:rPr>
      </w:r>
      <w:r>
        <w:rPr>
          <w:lang w:val="en_US" w:bidi="en_US"/>
        </w:rPr>
        <w:t>God,</w:t>
      </w:r>
      <w:r>
        <w:rPr>
          <w:lang w:val="en_US" w:bidi="en_US"/>
        </w:rPr>
        <w:t xml:space="preserve"> the One who is the Most High</w:t>
      </w:r>
    </w:p>
    <w:p>
      <w:pPr/>
      <w:r>
        <w:rPr>
          <w:lang w:val="en_US" w:bidi="en_US"/>
        </w:rPr>
      </w:r>
      <w:r>
        <w:rPr>
          <w:lang w:val="en_US" w:bidi="en_US"/>
        </w:rPr>
        <w:t>God in heaven (CEV)</w:t>
      </w:r>
    </w:p>
    <w:p>
      <w:pPr/>
      <w:r>
        <w:rPr>
          <w:lang w:val="en_US" w:bidi="en_US"/>
        </w:rPr>
      </w:r>
      <w:r>
        <w:rPr>
          <w:lang w:val="en_US" w:bidi="en_US"/>
        </w:rPr>
        <w:t>This title does not refer to literal height or size.</w:t>
      </w:r>
    </w:p>
    <w:p>
      <w:pPr>
        <w:pStyle w:val="Heading5"/>
      </w:pPr>
      <w:r>
        <w:rPr>
          <w:lang w:val="en_US" w:bidi="en_US"/>
        </w:rPr>
        <w:t>6:35g</w:t>
      </w:r>
    </w:p>
    <w:p>
      <w:pPr/>
      <w:r>
        <w:rPr>
          <w:lang w:val="en_US" w:bidi="en_US"/>
        </w:rPr>
      </w:r>
      <w:r>
        <w:rPr>
          <w:b/>
          <w:lang w:val="en_US" w:bidi="en_US"/>
        </w:rPr>
        <w:t>for He is kind to the ungrateful and wicked.</w:t>
      </w:r>
    </w:p>
    <w:p>
      <w:pPr>
        <w:pStyle w:val="ListBullet"/>
        <w:spacing w:line="240" w:lineRule="auto"/>
        <w:ind w:left="720"/>
      </w:pPr>
      <w:r>
        <w:rPr>
          <w:lang w:val="en_US" w:bidi="en_US"/>
        </w:rPr>
      </w:r>
      <w:r>
        <w:rPr>
          <w:lang w:val="en_US" w:bidi="en_US"/>
        </w:rPr>
        <w:t>because he is kind to people who are not thankful and who are evil.</w:t>
      </w:r>
    </w:p>
    <w:p>
      <w:pPr>
        <w:pStyle w:val="ListBullet"/>
        <w:spacing w:line="240" w:lineRule="auto"/>
        <w:ind w:left="720"/>
      </w:pPr>
      <w:r>
        <w:rPr>
          <w:lang w:val="en_US" w:bidi="en_US"/>
        </w:rPr>
      </w:r>
      <w:r>
        <w:rPr>
          <w:lang w:val="en_US" w:bidi="en_US"/>
        </w:rPr>
        <w:t>You should do these things</w:t>
      </w:r>
      <w:r>
        <w:rPr>
          <w:lang w:val="en_US" w:bidi="en_US"/>
        </w:rPr>
        <w:t xml:space="preserve"> because he is good to people who do not thank him and to evil people.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for the commands in 6:35a–d. We should love our enemies, do good to them, and lend to them </w:t>
      </w:r>
      <w:r>
        <w:rPr>
          <w:u w:val="single"/>
          <w:lang w:val="en_US" w:bidi="en_US"/>
        </w:rPr>
        <w:t>because</w:t>
      </w:r>
      <w:r>
        <w:rPr>
          <w:lang w:val="en_US" w:bidi="en_US"/>
        </w:rPr>
        <w:t xml:space="preserve"> God is also kind to the ungrateful and wicked.</w:t>
      </w:r>
    </w:p>
    <w:p>
      <w:pPr/>
      <w:r>
        <w:rPr>
          <w:lang w:val="en_US" w:bidi="en_US"/>
        </w:rPr>
      </w:r>
      <w:r>
        <w:rPr>
          <w:lang w:val="en_US" w:bidi="en_US"/>
        </w:rPr>
        <w:t>Some other ways to translate this conjunction are:</w:t>
      </w:r>
    </w:p>
    <w:p>
      <w:pPr/>
      <w:r>
        <w:rPr>
          <w:lang w:val="en_US" w:bidi="en_US"/>
        </w:rPr>
      </w:r>
      <w:r>
        <w:rPr>
          <w:lang w:val="en_US" w:bidi="en_US"/>
        </w:rPr>
        <w:t>since</w:t>
      </w:r>
    </w:p>
    <w:p>
      <w:pPr/>
      <w:r>
        <w:rPr>
          <w:lang w:val="en_US" w:bidi="en_US"/>
        </w:rPr>
      </w:r>
      <w:r>
        <w:rPr>
          <w:lang w:val="en_US" w:bidi="en_US"/>
        </w:rPr>
        <w:t>after all</w:t>
      </w:r>
    </w:p>
    <w:p>
      <w:pPr/>
      <w:r>
        <w:rPr>
          <w:lang w:val="en_US" w:bidi="en_US"/>
        </w:rPr>
      </w:r>
      <w:r>
        <w:rPr>
          <w:b/>
          <w:lang w:val="en_US" w:bidi="en_US"/>
        </w:rPr>
        <w:t>He is kind to the ungrateful and wicked:</w:t>
      </w:r>
      <w:r>
        <w:rPr>
          <w:lang w:val="en_US" w:bidi="en_US"/>
        </w:rPr>
        <w:t xml:space="preserve"> The word </w:t>
      </w:r>
      <w:r>
        <w:rPr>
          <w:i/>
          <w:lang w:val="en_US" w:bidi="en_US"/>
        </w:rPr>
        <w:t>kind</w:t>
      </w:r>
      <w:r>
        <w:rPr>
          <w:lang w:val="en_US" w:bidi="en_US"/>
        </w:rPr>
        <w:t xml:space="preserve"> here means “to act in a good manner toward someone.” It does not mean that God is merely courteous, friendly, or helpful.</w:t>
      </w:r>
    </w:p>
    <w:p>
      <w:pPr/>
      <w:r>
        <w:rPr>
          <w:lang w:val="en_US" w:bidi="en_US"/>
        </w:rPr>
      </w:r>
      <w:r>
        <w:rPr>
          <w:lang w:val="en_US" w:bidi="en_US"/>
        </w:rPr>
        <w:t>Some ways to translate this are:</w:t>
      </w:r>
    </w:p>
    <w:p>
      <w:pPr/>
      <w:r>
        <w:rPr>
          <w:lang w:val="en_US" w:bidi="en_US"/>
        </w:rPr>
      </w:r>
      <w:r>
        <w:rPr>
          <w:lang w:val="en_US" w:bidi="en_US"/>
        </w:rPr>
        <w:t>He is good (CEV)</w:t>
      </w:r>
    </w:p>
    <w:p>
      <w:pPr/>
      <w:r>
        <w:rPr>
          <w:lang w:val="en_US" w:bidi="en_US"/>
        </w:rPr>
      </w:r>
      <w:r>
        <w:rPr>
          <w:lang w:val="en_US" w:bidi="en_US"/>
        </w:rPr>
        <w:t>He shows grace/mercy</w:t>
      </w:r>
    </w:p>
    <w:p>
      <w:pPr/>
      <w:r>
        <w:rPr>
          <w:lang w:val="en_US" w:bidi="en_US"/>
        </w:rPr>
      </w:r>
      <w:r>
        <w:rPr>
          <w:b/>
          <w:lang w:val="en_US" w:bidi="en_US"/>
        </w:rPr>
        <w:t>ungrateful:</w:t>
      </w:r>
      <w:r>
        <w:rPr>
          <w:lang w:val="en_US" w:bidi="en_US"/>
        </w:rPr>
        <w:t xml:space="preserve"> The word </w:t>
      </w:r>
      <w:r>
        <w:rPr>
          <w:i/>
          <w:lang w:val="en_US" w:bidi="en_US"/>
        </w:rPr>
        <w:t>ungrateful</w:t>
      </w:r>
      <w:r>
        <w:rPr>
          <w:lang w:val="en_US" w:bidi="en_US"/>
        </w:rPr>
        <w:t xml:space="preserve"> means “not thankful.” It refers to people who do not thank God for the good things they receive from him. For example:</w:t>
      </w:r>
    </w:p>
    <w:p>
      <w:pPr/>
      <w:r>
        <w:rPr>
          <w:lang w:val="en_US" w:bidi="en_US"/>
        </w:rPr>
      </w:r>
      <w:r>
        <w:rPr>
          <w:lang w:val="en_US" w:bidi="en_US"/>
        </w:rPr>
        <w:t>people who are unthankful (CEV)</w:t>
      </w:r>
    </w:p>
    <w:p>
      <w:pPr/>
      <w:r>
        <w:rPr>
          <w:lang w:val="en_US" w:bidi="en_US"/>
        </w:rPr>
      </w:r>
      <w:r>
        <w:rPr>
          <w:b/>
          <w:lang w:val="en_US" w:bidi="en_US"/>
        </w:rPr>
        <w:t>wicked:</w:t>
      </w:r>
      <w:r>
        <w:rPr>
          <w:lang w:val="en_US" w:bidi="en_US"/>
        </w:rPr>
        <w:t xml:space="preserve"> The Greek word that the BSB translates as </w:t>
      </w:r>
      <w:r>
        <w:rPr>
          <w:i/>
          <w:lang w:val="en_US" w:bidi="en_US"/>
        </w:rPr>
        <w:t>wicked</w:t>
      </w:r>
      <w:r>
        <w:rPr>
          <w:lang w:val="en_US" w:bidi="en_US"/>
        </w:rPr>
        <w:t xml:space="preserve"> also means “evil.” For example:</w:t>
      </w:r>
    </w:p>
    <w:p>
      <w:pPr/>
      <w:r>
        <w:rPr>
          <w:lang w:val="en_US" w:bidi="en_US"/>
        </w:rPr>
      </w:r>
      <w:r>
        <w:rPr>
          <w:lang w:val="en_US" w:bidi="en_US"/>
        </w:rPr>
        <w:t>evil people (GW)</w:t>
      </w:r>
    </w:p>
    <w:p>
      <w:pPr/>
      <w:r>
        <w:rPr>
          <w:lang w:val="en_US" w:bidi="en_US"/>
        </w:rPr>
      </w:r>
      <w:r>
        <w:rPr>
          <w:lang w:val="en_US" w:bidi="en_US"/>
        </w:rPr>
        <w:t>full of sin (NCV)</w:t>
      </w:r>
      <w:r>
        <w:rPr>
          <w:lang w:val="en_US" w:bidi="en_US"/>
        </w:rPr>
      </w:r>
      <w:r>
        <w:rPr>
          <w:lang w:val="en_US" w:bidi="en_US"/>
        </w:rPr>
      </w:r>
    </w:p>
    <w:p>
      <w:pPr/>
      <w:r>
        <w:rPr>
          <w:lang w:val="en_US" w:bidi="en_US"/>
        </w:rPr>
      </w:r>
    </w:p>
    <w:p>
      <w:pPr>
        <w:pStyle w:val="Heading2"/>
      </w:pPr>
      <w:r>
        <w:rPr>
          <w:lang w:val="en_US" w:bidi="en_US"/>
        </w:rPr>
        <w:t>Luke 6:36</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6:32–36</w:t>
      </w:r>
    </w:p>
    <w:p>
      <w:pPr/>
      <w:r>
        <w:rPr>
          <w:lang w:val="en_US" w:bidi="en_US"/>
        </w:rPr>
      </w:r>
      <w:r>
        <w:rPr>
          <w:lang w:val="en_US" w:bidi="en_US"/>
        </w:rPr>
        <w:t>In this paragraph, Jesus stated that some people respond kindly only to those who treat them well. These people are just like the “sinners” whom they despise. He illustrated this with three examples. Each example is a rhetorical question that emphasizes that people like that will get no credit for such behavior.</w:t>
      </w:r>
    </w:p>
    <w:p>
      <w:pPr/>
      <w:r>
        <w:rPr>
          <w:lang w:val="en_US" w:bidi="en_US"/>
        </w:rPr>
      </w:r>
      <w:r>
        <w:rPr>
          <w:lang w:val="en_US" w:bidi="en_US"/>
        </w:rPr>
        <w:t>Jesus then restated the three situations with commands. He said that God would reward them if they followed these commands.</w:t>
      </w:r>
    </w:p>
    <w:p>
      <w:pPr>
        <w:pStyle w:val="Heading5"/>
      </w:pPr>
      <w:r>
        <w:rPr>
          <w:lang w:val="en_US" w:bidi="en_US"/>
        </w:rPr>
        <w:t>6:36</w:t>
      </w:r>
    </w:p>
    <w:p>
      <w:pPr/>
      <w:r>
        <w:rPr>
          <w:lang w:val="en_US" w:bidi="en_US"/>
        </w:rPr>
      </w:r>
      <w:r>
        <w:rPr>
          <w:b/>
          <w:lang w:val="en_US" w:bidi="en_US"/>
        </w:rPr>
        <w:t>Be merciful, just as your Father is merciful.</w:t>
      </w:r>
    </w:p>
    <w:p>
      <w:pPr>
        <w:pStyle w:val="ListBullet"/>
        <w:spacing w:line="240" w:lineRule="auto"/>
        <w:ind w:left="720"/>
      </w:pPr>
      <w:r>
        <w:rPr>
          <w:lang w:val="en_US" w:bidi="en_US"/>
        </w:rPr>
      </w:r>
      <w:r>
        <w:rPr>
          <w:lang w:val="en_US" w:bidi="en_US"/>
        </w:rPr>
        <w:t>Have</w:t>
      </w:r>
      <w:r>
        <w:rPr>
          <w:vertAlign w:val="superscript"/>
          <w:lang w:val="en_US" w:bidi="en_US"/>
        </w:rPr>
        <w:t>(plur)</w:t>
      </w:r>
      <w:r>
        <w:rPr>
          <w:lang w:val="en_US" w:bidi="en_US"/>
        </w:rPr>
        <w:t xml:space="preserve"> compassion </w:t>
      </w:r>
      <w:r>
        <w:rPr>
          <w:lang w:val="en_US" w:bidi="en_US"/>
        </w:rPr>
        <w:t>on others</w:t>
      </w:r>
      <w:r>
        <w:rPr>
          <w:lang w:val="en_US" w:bidi="en_US"/>
        </w:rPr>
        <w:t xml:space="preserve"> just as your</w:t>
      </w:r>
      <w:r>
        <w:rPr>
          <w:vertAlign w:val="superscript"/>
          <w:lang w:val="en_US" w:bidi="en_US"/>
        </w:rPr>
        <w:t>(plur)</w:t>
      </w:r>
      <w:r>
        <w:rPr>
          <w:lang w:val="en_US" w:bidi="en_US"/>
        </w:rPr>
        <w:t xml:space="preserve"> Father </w:t>
      </w:r>
      <w:r>
        <w:rPr>
          <w:lang w:val="en_US" w:bidi="en_US"/>
        </w:rPr>
        <w:t>God</w:t>
      </w:r>
      <w:r>
        <w:rPr>
          <w:lang w:val="en_US" w:bidi="en_US"/>
        </w:rPr>
        <w:t xml:space="preserve"> does.</w:t>
      </w:r>
    </w:p>
    <w:p>
      <w:pPr>
        <w:pStyle w:val="ListBullet"/>
        <w:spacing w:line="240" w:lineRule="auto"/>
        <w:ind w:left="720"/>
      </w:pPr>
      <w:r>
        <w:rPr>
          <w:lang w:val="en_US" w:bidi="en_US"/>
        </w:rPr>
      </w:r>
      <w:r>
        <w:rPr>
          <w:lang w:val="en_US" w:bidi="en_US"/>
        </w:rPr>
        <w:t>Have</w:t>
      </w:r>
      <w:r>
        <w:rPr>
          <w:vertAlign w:val="superscript"/>
          <w:lang w:val="en_US" w:bidi="en_US"/>
        </w:rPr>
        <w:t>(plur)</w:t>
      </w:r>
      <w:r>
        <w:rPr>
          <w:lang w:val="en_US" w:bidi="en_US"/>
        </w:rPr>
        <w:t xml:space="preserve"> pity </w:t>
      </w:r>
      <w:r>
        <w:rPr>
          <w:lang w:val="en_US" w:bidi="en_US"/>
        </w:rPr>
        <w:t>on people</w:t>
      </w:r>
      <w:r>
        <w:rPr>
          <w:lang w:val="en_US" w:bidi="en_US"/>
        </w:rPr>
        <w:t xml:space="preserve"> in the same way that your</w:t>
      </w:r>
      <w:r>
        <w:rPr>
          <w:vertAlign w:val="superscript"/>
          <w:lang w:val="en_US" w:bidi="en_US"/>
        </w:rPr>
        <w:t>(plur)</w:t>
      </w:r>
      <w:r>
        <w:rPr>
          <w:lang w:val="en_US" w:bidi="en_US"/>
        </w:rPr>
        <w:t xml:space="preserve"> </w:t>
      </w:r>
      <w:r>
        <w:rPr>
          <w:lang w:val="en_US" w:bidi="en_US"/>
        </w:rPr>
        <w:t>heavenly</w:t>
      </w:r>
      <w:r>
        <w:rPr>
          <w:lang w:val="en_US" w:bidi="en_US"/>
        </w:rPr>
        <w:t xml:space="preserve"> Father has pity </w:t>
      </w:r>
      <w:r>
        <w:rPr>
          <w:lang w:val="en_US" w:bidi="en_US"/>
        </w:rPr>
        <w:t>on them</w:t>
      </w:r>
      <w:r>
        <w:rPr>
          <w:lang w:val="en_US" w:bidi="en_US"/>
        </w:rPr>
        <w:t>.</w:t>
      </w:r>
    </w:p>
    <w:p>
      <w:pPr/>
      <w:r>
        <w:rPr>
          <w:lang w:val="en_US" w:bidi="en_US"/>
        </w:rPr>
      </w:r>
      <w:r>
        <w:rPr>
          <w:b/>
          <w:lang w:val="en_US" w:bidi="en_US"/>
        </w:rPr>
        <w:t>Be merciful:</w:t>
      </w:r>
      <w:r>
        <w:rPr>
          <w:lang w:val="en_US" w:bidi="en_US"/>
        </w:rPr>
        <w:t xml:space="preserve"> </w:t>
      </w:r>
      <w:r>
        <w:rPr>
          <w:lang w:val="en_US" w:bidi="en_US"/>
        </w:rPr>
        <w:t>Some later Greek manuscripts have the word “Therefore” at the beginning of 6:36. The KJV follows those manuscripts and includes the word. The earliest manuscripts do not include this word, and every other major English version follows them and leaves it out.</w:t>
      </w:r>
      <w:r>
        <w:rPr>
          <w:lang w:val="en_US" w:bidi="en_US"/>
        </w:rPr>
        <w:t xml:space="preserve"> The Greek word that the BSB translates as </w:t>
      </w:r>
      <w:r>
        <w:rPr>
          <w:i/>
          <w:lang w:val="en_US" w:bidi="en_US"/>
        </w:rPr>
        <w:t>merciful</w:t>
      </w:r>
      <w:r>
        <w:rPr>
          <w:lang w:val="en_US" w:bidi="en_US"/>
        </w:rPr>
        <w:t xml:space="preserve"> means “to show concern or compassion toward someone in a difficult situation.” In context, this concern/compassion must be shown even to those who have wronged you.</w:t>
      </w:r>
    </w:p>
    <w:p>
      <w:pPr/>
      <w:r>
        <w:rPr>
          <w:lang w:val="en_US" w:bidi="en_US"/>
        </w:rPr>
      </w:r>
      <w:r>
        <w:rPr>
          <w:lang w:val="en_US" w:bidi="en_US"/>
        </w:rPr>
        <w:t>Some other ways to translate this are:</w:t>
      </w:r>
    </w:p>
    <w:p>
      <w:pPr/>
      <w:r>
        <w:rPr>
          <w:lang w:val="en_US" w:bidi="en_US"/>
        </w:rPr>
      </w:r>
      <w:r>
        <w:rPr>
          <w:lang w:val="en_US" w:bidi="en_US"/>
        </w:rPr>
        <w:t>Show mercy (NCV)</w:t>
      </w:r>
    </w:p>
    <w:p>
      <w:pPr/>
      <w:r>
        <w:rPr>
          <w:lang w:val="en_US" w:bidi="en_US"/>
        </w:rPr>
      </w:r>
      <w:r>
        <w:rPr>
          <w:lang w:val="en_US" w:bidi="en_US"/>
        </w:rPr>
        <w:t>You must be compassionate (NLT)</w:t>
      </w:r>
    </w:p>
    <w:p>
      <w:pPr/>
      <w:r>
        <w:rPr>
          <w:lang w:val="en_US" w:bidi="en_US"/>
        </w:rPr>
      </w:r>
      <w:r>
        <w:rPr>
          <w:lang w:val="en_US" w:bidi="en_US"/>
        </w:rPr>
        <w:t>Have pity on others (CEV)</w:t>
      </w:r>
    </w:p>
    <w:p>
      <w:pPr/>
      <w:r>
        <w:rPr>
          <w:lang w:val="en_US" w:bidi="en_US"/>
        </w:rPr>
      </w:r>
      <w:r>
        <w:rPr>
          <w:b/>
          <w:lang w:val="en_US" w:bidi="en_US"/>
        </w:rPr>
        <w:t>just as your Father is merciful:</w:t>
      </w:r>
      <w:r>
        <w:rPr>
          <w:lang w:val="en_US" w:bidi="en_US"/>
        </w:rPr>
        <w:t xml:space="preserve"> The phrase </w:t>
      </w:r>
      <w:r>
        <w:rPr>
          <w:i/>
          <w:lang w:val="en_US" w:bidi="en_US"/>
        </w:rPr>
        <w:t>just as your Father is merciful</w:t>
      </w:r>
      <w:r>
        <w:rPr>
          <w:lang w:val="en_US" w:bidi="en_US"/>
        </w:rPr>
        <w:t xml:space="preserve"> means “in the same way that God is merciful/compassionate to people.” God shows compassion to everyone, even to wicked people.</w:t>
      </w:r>
    </w:p>
    <w:p>
      <w:pPr/>
      <w:r>
        <w:rPr>
          <w:lang w:val="en_US" w:bidi="en_US"/>
        </w:rPr>
      </w:r>
      <w:r>
        <w:rPr>
          <w:b/>
          <w:lang w:val="en_US" w:bidi="en_US"/>
        </w:rPr>
        <w:t>your Father:</w:t>
      </w:r>
      <w:r>
        <w:rPr>
          <w:lang w:val="en_US" w:bidi="en_US"/>
        </w:rPr>
        <w:t xml:space="preserve"> The word </w:t>
      </w:r>
      <w:r>
        <w:rPr>
          <w:i/>
          <w:lang w:val="en_US" w:bidi="en_US"/>
        </w:rPr>
        <w:t>Father</w:t>
      </w:r>
      <w:r>
        <w:rPr>
          <w:lang w:val="en_US" w:bidi="en_US"/>
        </w:rPr>
        <w:t xml:space="preserve"> here refers to God. It emphasizes the disciples’ relationship with God. If people do not understand that </w:t>
      </w:r>
      <w:r>
        <w:rPr>
          <w:i/>
          <w:lang w:val="en_US" w:bidi="en_US"/>
        </w:rPr>
        <w:t>Father</w:t>
      </w:r>
      <w:r>
        <w:rPr>
          <w:lang w:val="en_US" w:bidi="en_US"/>
        </w:rPr>
        <w:t xml:space="preserve"> refers to God, translate it this way:</w:t>
      </w:r>
    </w:p>
    <w:p>
      <w:pPr/>
      <w:r>
        <w:rPr>
          <w:lang w:val="en_US" w:bidi="en_US"/>
        </w:rPr>
      </w:r>
      <w:r>
        <w:rPr>
          <w:lang w:val="en_US" w:bidi="en_US"/>
        </w:rPr>
        <w:t xml:space="preserve">your </w:t>
      </w:r>
      <w:r>
        <w:rPr>
          <w:lang w:val="en_US" w:bidi="en_US"/>
        </w:rPr>
        <w:t>heavenly</w:t>
      </w:r>
      <w:r>
        <w:rPr>
          <w:lang w:val="en_US" w:bidi="en_US"/>
        </w:rPr>
        <w:t xml:space="preserve"> Father</w:t>
      </w:r>
    </w:p>
    <w:p>
      <w:pPr/>
      <w:r>
        <w:rPr>
          <w:lang w:val="en_US" w:bidi="en_US"/>
        </w:rPr>
      </w:r>
      <w:r>
        <w:rPr>
          <w:lang w:val="en_US" w:bidi="en_US"/>
        </w:rPr>
        <w:t xml:space="preserve">your Father </w:t>
      </w:r>
      <w:r>
        <w:rPr>
          <w:lang w:val="en_US" w:bidi="en_US"/>
        </w:rPr>
        <w:t>God</w:t>
      </w:r>
    </w:p>
    <w:p>
      <w:pPr/>
      <w:r>
        <w:rPr>
          <w:lang w:val="en_US" w:bidi="en_US"/>
        </w:rPr>
      </w:r>
      <w:r>
        <w:rPr>
          <w:lang w:val="en_US" w:bidi="en_US"/>
        </w:rPr>
        <w:t>God was the heavenly Father of Jesus as well as of the disciples. In some languages, it may therefore be necessary to translate this phrase as:</w:t>
      </w:r>
    </w:p>
    <w:p>
      <w:pPr/>
      <w:r>
        <w:rPr>
          <w:lang w:val="en_US" w:bidi="en_US"/>
        </w:rPr>
      </w:r>
      <w:r>
        <w:rPr>
          <w:lang w:val="en_US" w:bidi="en_US"/>
        </w:rPr>
        <w:t>our</w:t>
      </w:r>
      <w:r>
        <w:rPr>
          <w:vertAlign w:val="superscript"/>
          <w:lang w:val="en_US" w:bidi="en_US"/>
        </w:rPr>
        <w:t>(incl)</w:t>
      </w:r>
      <w:r>
        <w:rPr>
          <w:lang w:val="en_US" w:bidi="en_US"/>
        </w:rPr>
        <w:t xml:space="preserve"> Father</w:t>
      </w:r>
      <w:r>
        <w:rPr>
          <w:lang w:val="en_US" w:bidi="en_US"/>
        </w:rPr>
      </w:r>
      <w:r>
        <w:rPr>
          <w:lang w:val="en_US" w:bidi="en_US"/>
        </w:rPr>
      </w:r>
    </w:p>
    <w:p>
      <w:pPr/>
      <w:r>
        <w:rPr>
          <w:lang w:val="en_US" w:bidi="en_US"/>
        </w:rPr>
      </w:r>
    </w:p>
    <w:p>
      <w:pPr>
        <w:pStyle w:val="Heading2"/>
      </w:pPr>
      <w:r>
        <w:rPr>
          <w:lang w:val="en_US" w:bidi="en_US"/>
        </w:rPr>
        <w:t>Luke 6:37</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6:37–38</w:t>
      </w:r>
    </w:p>
    <w:p>
      <w:pPr/>
      <w:r>
        <w:rPr>
          <w:lang w:val="en_US" w:bidi="en_US"/>
        </w:rPr>
      </w:r>
      <w:r>
        <w:rPr>
          <w:lang w:val="en_US" w:bidi="en_US"/>
        </w:rPr>
        <w:t>In this paragraph Jesus told his disciples two things that they should not do and two things that they should do. All four commands illustrate an attitude of love and mercy. These commands specifically illustrate the principles that Jesus stated in 6:31 and 6:36. Each command includes a reason why the disciples should obey it: the disciples will be treated according to the way they act.</w:t>
      </w:r>
    </w:p>
    <w:p>
      <w:pPr/>
      <w:r>
        <w:rPr>
          <w:lang w:val="en_US" w:bidi="en_US"/>
        </w:rPr>
      </w:r>
      <w:r>
        <w:rPr>
          <w:lang w:val="en_US" w:bidi="en_US"/>
        </w:rPr>
        <w:t>Jesus used plural forms in these commands. They are general commands to everyone listening. See the note at Paragraph 6:27–31. Use the form that is most natural in your language.</w:t>
      </w:r>
    </w:p>
    <w:p>
      <w:pPr>
        <w:pStyle w:val="Heading5"/>
      </w:pPr>
      <w:r>
        <w:rPr>
          <w:lang w:val="en_US" w:bidi="en_US"/>
        </w:rPr>
        <w:t>6:37a</w:t>
      </w:r>
    </w:p>
    <w:p>
      <w:pPr/>
      <w:r>
        <w:rPr>
          <w:lang w:val="en_US" w:bidi="en_US"/>
        </w:rPr>
      </w:r>
      <w:r>
        <w:rPr>
          <w:b/>
          <w:lang w:val="en_US" w:bidi="en_US"/>
        </w:rPr>
        <w:t>Do not judge,</w:t>
      </w:r>
    </w:p>
    <w:p>
      <w:pPr>
        <w:pStyle w:val="ListBullet"/>
        <w:spacing w:line="240" w:lineRule="auto"/>
        <w:ind w:left="720"/>
      </w:pPr>
      <w:r>
        <w:rPr>
          <w:lang w:val="en_US" w:bidi="en_US"/>
        </w:rPr>
      </w:r>
      <w:r>
        <w:rPr>
          <w:lang w:val="en_US" w:bidi="en_US"/>
        </w:rPr>
        <w:t>¶ “Do not judge/condemn,</w:t>
      </w:r>
    </w:p>
    <w:p>
      <w:pPr>
        <w:pStyle w:val="ListBullet"/>
        <w:spacing w:line="240" w:lineRule="auto"/>
        <w:ind w:left="720"/>
      </w:pPr>
      <w:r>
        <w:rPr>
          <w:lang w:val="en_US" w:bidi="en_US"/>
        </w:rPr>
      </w:r>
      <w:r>
        <w:rPr>
          <w:lang w:val="en_US" w:bidi="en_US"/>
        </w:rPr>
        <w:t xml:space="preserve">¶ “Do not </w:t>
      </w:r>
      <w:r>
        <w:rPr>
          <w:lang w:val="en_US" w:bidi="en_US"/>
        </w:rPr>
        <w:t>harshly/severely</w:t>
      </w:r>
      <w:r>
        <w:rPr>
          <w:lang w:val="en_US" w:bidi="en_US"/>
        </w:rPr>
        <w:t xml:space="preserve"> accuse</w:t>
      </w:r>
      <w:r>
        <w:rPr>
          <w:vertAlign w:val="superscript"/>
          <w:lang w:val="en_US" w:bidi="en_US"/>
        </w:rPr>
        <w:t>(plur)</w:t>
      </w:r>
      <w:r>
        <w:rPr>
          <w:lang w:val="en_US" w:bidi="en_US"/>
        </w:rPr>
        <w:t xml:space="preserve"> </w:t>
      </w:r>
      <w:r>
        <w:rPr>
          <w:lang w:val="en_US" w:bidi="en_US"/>
        </w:rPr>
        <w:t>others</w:t>
      </w:r>
      <w:r>
        <w:rPr>
          <w:lang w:val="en_US" w:bidi="en_US"/>
        </w:rPr>
        <w:t xml:space="preserve"> </w:t>
      </w:r>
      <w:r>
        <w:rPr>
          <w:lang w:val="en_US" w:bidi="en_US"/>
        </w:rPr>
        <w:t>of doing wrong</w:t>
      </w:r>
      <w:r>
        <w:rPr>
          <w:lang w:val="en_US" w:bidi="en_US"/>
        </w:rPr>
        <w:t>,</w:t>
      </w:r>
    </w:p>
    <w:p>
      <w:pPr>
        <w:pStyle w:val="ListBullet"/>
        <w:spacing w:line="240" w:lineRule="auto"/>
        <w:ind w:left="720"/>
      </w:pPr>
      <w:r>
        <w:rPr>
          <w:lang w:val="en_US" w:bidi="en_US"/>
        </w:rPr>
      </w:r>
      <w:r>
        <w:rPr>
          <w:lang w:val="en_US" w:bidi="en_US"/>
        </w:rPr>
        <w:t xml:space="preserve">¶ “Do not </w:t>
      </w:r>
      <w:r>
        <w:rPr>
          <w:lang w:val="en_US" w:bidi="en_US"/>
        </w:rPr>
        <w:t>be quick to</w:t>
      </w:r>
      <w:r>
        <w:rPr>
          <w:lang w:val="en_US" w:bidi="en_US"/>
        </w:rPr>
        <w:t xml:space="preserve"> criticize/rebuke</w:t>
      </w:r>
      <w:r>
        <w:rPr>
          <w:vertAlign w:val="superscript"/>
          <w:lang w:val="en_US" w:bidi="en_US"/>
        </w:rPr>
        <w:t>(plur)</w:t>
      </w:r>
      <w:r>
        <w:rPr>
          <w:lang w:val="en_US" w:bidi="en_US"/>
        </w:rPr>
        <w:t>.</w:t>
      </w:r>
    </w:p>
    <w:p>
      <w:pPr/>
      <w:r>
        <w:rPr>
          <w:lang w:val="en_US" w:bidi="en_US"/>
        </w:rPr>
      </w:r>
      <w:r>
        <w:rPr>
          <w:b/>
          <w:lang w:val="en_US" w:bidi="en_US"/>
        </w:rPr>
        <w:t>Do not judge:</w:t>
      </w:r>
      <w:r>
        <w:rPr>
          <w:lang w:val="en_US" w:bidi="en_US"/>
        </w:rPr>
        <w:t xml:space="preserve"> The Greek word that the BSB translates as </w:t>
      </w:r>
      <w:r>
        <w:rPr>
          <w:i/>
          <w:lang w:val="en_US" w:bidi="en_US"/>
        </w:rPr>
        <w:t>judge</w:t>
      </w:r>
      <w:r>
        <w:rPr>
          <w:lang w:val="en_US" w:bidi="en_US"/>
        </w:rPr>
        <w:t xml:space="preserve"> means that people should not be severe in criticizing or in accusing others of doing wrong. Some ways to translate this are:</w:t>
      </w:r>
    </w:p>
    <w:p>
      <w:pPr/>
      <w:r>
        <w:rPr>
          <w:lang w:val="en_US" w:bidi="en_US"/>
        </w:rPr>
      </w:r>
      <w:r>
        <w:rPr>
          <w:lang w:val="en_US" w:bidi="en_US"/>
        </w:rPr>
        <w:t>Do not harshly/severely accuse others of doing wrong</w:t>
      </w:r>
    </w:p>
    <w:p>
      <w:pPr/>
      <w:r>
        <w:rPr>
          <w:lang w:val="en_US" w:bidi="en_US"/>
        </w:rPr>
      </w:r>
      <w:r>
        <w:rPr>
          <w:lang w:val="en_US" w:bidi="en_US"/>
        </w:rPr>
        <w:t>Do not be quick to identify the sins/wrongs of others</w:t>
      </w:r>
    </w:p>
    <w:p>
      <w:pPr/>
      <w:r>
        <w:rPr>
          <w:lang w:val="en_US" w:bidi="en_US"/>
        </w:rPr>
      </w:r>
      <w:r>
        <w:rPr>
          <w:lang w:val="en_US" w:bidi="en_US"/>
        </w:rPr>
        <w:t xml:space="preserve">Do not </w:t>
      </w:r>
      <w:r>
        <w:rPr>
          <w:lang w:val="en_US" w:bidi="en_US"/>
        </w:rPr>
        <w:t>harshly</w:t>
      </w:r>
      <w:r>
        <w:rPr>
          <w:lang w:val="en_US" w:bidi="en_US"/>
        </w:rPr>
        <w:t xml:space="preserve"> criticize/rebuke</w:t>
      </w:r>
    </w:p>
    <w:p>
      <w:pPr/>
      <w:r>
        <w:rPr>
          <w:lang w:val="en_US" w:bidi="en_US"/>
        </w:rPr>
      </w:r>
      <w:r>
        <w:rPr>
          <w:lang w:val="en_US" w:bidi="en_US"/>
        </w:rPr>
        <w:t>This does not imply that leaders should never judge whether something is right or wrong.</w:t>
      </w:r>
    </w:p>
    <w:p>
      <w:pPr>
        <w:pStyle w:val="Heading5"/>
      </w:pPr>
      <w:r>
        <w:rPr>
          <w:lang w:val="en_US" w:bidi="en_US"/>
        </w:rPr>
        <w:t>6:37b</w:t>
      </w:r>
    </w:p>
    <w:p>
      <w:pPr/>
      <w:r>
        <w:rPr>
          <w:lang w:val="en_US" w:bidi="en_US"/>
        </w:rPr>
      </w:r>
      <w:r>
        <w:rPr>
          <w:b/>
          <w:lang w:val="en_US" w:bidi="en_US"/>
        </w:rPr>
        <w:t>and you will not be judged.</w:t>
      </w:r>
    </w:p>
    <w:p>
      <w:pPr>
        <w:pStyle w:val="ListBullet"/>
        <w:spacing w:line="240" w:lineRule="auto"/>
        <w:ind w:left="720"/>
      </w:pPr>
      <w:r>
        <w:rPr>
          <w:lang w:val="en_US" w:bidi="en_US"/>
        </w:rPr>
      </w:r>
      <w:r>
        <w:rPr>
          <w:lang w:val="en_US" w:bidi="en_US"/>
        </w:rPr>
        <w:t xml:space="preserve">and you will not </w:t>
      </w:r>
      <w:r>
        <w:rPr>
          <w:lang w:val="en_US" w:bidi="en_US"/>
        </w:rPr>
        <w:t>quickly/harshly</w:t>
      </w:r>
      <w:r>
        <w:rPr>
          <w:lang w:val="en_US" w:bidi="en_US"/>
        </w:rPr>
        <w:t xml:space="preserve"> be judged.</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will not be </w:t>
      </w:r>
      <w:r>
        <w:rPr>
          <w:lang w:val="en_US" w:bidi="en_US"/>
        </w:rPr>
        <w:t>harshly/severely</w:t>
      </w:r>
      <w:r>
        <w:rPr>
          <w:lang w:val="en_US" w:bidi="en_US"/>
        </w:rPr>
        <w:t xml:space="preserve"> accused.</w:t>
      </w:r>
    </w:p>
    <w:p>
      <w:pPr>
        <w:pStyle w:val="ListBullet"/>
        <w:spacing w:line="240" w:lineRule="auto"/>
        <w:ind w:left="720"/>
      </w:pPr>
      <w:r>
        <w:rPr>
          <w:lang w:val="en_US" w:bidi="en_US"/>
        </w:rPr>
      </w:r>
      <w:r>
        <w:rPr>
          <w:lang w:val="en_US" w:bidi="en_US"/>
        </w:rPr>
        <w:t>If you do not do criticize/rebuke others,</w:t>
      </w:r>
      <w:r>
        <w:rPr>
          <w:lang w:val="en_US" w:bidi="en_US"/>
        </w:rPr>
        <w:t xml:space="preserve"> </w:t>
      </w:r>
      <w:r>
        <w:rPr>
          <w:lang w:val="en_US" w:bidi="en_US"/>
        </w:rPr>
        <w:t>then</w:t>
      </w:r>
      <w:r>
        <w:rPr>
          <w:lang w:val="en_US" w:bidi="en_US"/>
        </w:rPr>
        <w:t xml:space="preserve"> </w:t>
      </w:r>
      <w:r>
        <w:rPr>
          <w:lang w:val="en_US" w:bidi="en_US"/>
        </w:rPr>
        <w:t>God</w:t>
      </w:r>
      <w:r>
        <w:rPr>
          <w:lang w:val="en_US" w:bidi="en_US"/>
        </w:rPr>
        <w:t xml:space="preserve"> will not </w:t>
      </w:r>
      <w:r>
        <w:rPr>
          <w:lang w:val="en_US" w:bidi="en_US"/>
        </w:rPr>
        <w:t>quickly</w:t>
      </w:r>
      <w:r>
        <w:rPr>
          <w:lang w:val="en_US" w:bidi="en_US"/>
        </w:rPr>
        <w:t xml:space="preserve"> criticize/rebuke you</w:t>
      </w:r>
      <w:r>
        <w:rPr>
          <w:vertAlign w:val="superscript"/>
          <w:lang w:val="en_US" w:bidi="en_US"/>
        </w:rPr>
        <w:t>(plur)</w:t>
      </w:r>
      <w:r>
        <w:rPr>
          <w:lang w:val="en_US" w:bidi="en_US"/>
        </w:rPr>
        <w:t>.</w:t>
      </w:r>
    </w:p>
    <w:p>
      <w:pPr/>
      <w:r>
        <w:rPr>
          <w:lang w:val="en_US" w:bidi="en_US"/>
        </w:rPr>
      </w:r>
      <w:r>
        <w:rPr>
          <w:b/>
          <w:lang w:val="en_US" w:bidi="en_US"/>
        </w:rPr>
        <w:t>you will not be judged:</w:t>
      </w:r>
      <w:r>
        <w:rPr>
          <w:lang w:val="en_US" w:bidi="en_US"/>
        </w:rPr>
        <w:t xml:space="preserve"> The clause </w:t>
      </w:r>
      <w:r>
        <w:rPr>
          <w:i/>
          <w:lang w:val="en_US" w:bidi="en_US"/>
        </w:rPr>
        <w:t>you will not be judged</w:t>
      </w:r>
      <w:r>
        <w:rPr>
          <w:lang w:val="en_US" w:bidi="en_US"/>
        </w:rPr>
        <w:t xml:space="preserve"> is a passive clause. Some ways to translate this are:</w:t>
      </w:r>
    </w:p>
    <w:p>
      <w:pPr>
        <w:pStyle w:val="ListBullet"/>
        <w:spacing w:line="240" w:lineRule="auto"/>
        <w:ind w:left="720"/>
      </w:pPr>
      <w:r>
        <w:rPr>
          <w:lang w:val="en_US" w:bidi="en_US"/>
        </w:rPr>
      </w:r>
      <w:r>
        <w:rPr>
          <w:lang w:val="en_US" w:bidi="en_US"/>
        </w:rPr>
        <w:t>As a passive clause. For example:</w:t>
      </w:r>
      <w:r>
        <w:rPr>
          <w:lang w:val="en_US" w:bidi="en_US"/>
        </w:rPr>
        <w:t>you will not be judged</w:t>
      </w:r>
    </w:p>
    <w:p>
      <w:pPr>
        <w:pStyle w:val="ListBullet"/>
        <w:spacing w:line="240" w:lineRule="auto"/>
        <w:ind w:left="720"/>
      </w:pPr>
      <w:r>
        <w:rPr>
          <w:lang w:val="en_US" w:bidi="en_US"/>
        </w:rPr>
      </w:r>
      <w:r>
        <w:rPr>
          <w:lang w:val="en_US" w:bidi="en_US"/>
        </w:rPr>
        <w:t>As an active clause. The person who will not judge the disciples may be either God or other people. If your language prefers active forms, try to leave the subject general. For example:</w:t>
      </w:r>
      <w:r>
        <w:rPr>
          <w:lang w:val="en_US" w:bidi="en_US"/>
        </w:rPr>
        <w:t>someone/they will not judge you</w:t>
      </w:r>
      <w:r>
        <w:rPr>
          <w:lang w:val="en_US" w:bidi="en_US"/>
        </w:rPr>
        <w:t>judgment will not come upon you</w:t>
      </w:r>
      <w:r>
        <w:rPr>
          <w:lang w:val="en_US" w:bidi="en_US"/>
        </w:rPr>
        <w:t>God will not judge you (GNT)</w:t>
      </w:r>
    </w:p>
    <w:p>
      <w:pPr/>
      <w:r>
        <w:rPr>
          <w:lang w:val="en_US" w:bidi="en_US"/>
        </w:rPr>
      </w:r>
      <w:r>
        <w:rPr>
          <w:lang w:val="en_US" w:bidi="en_US"/>
        </w:rPr>
        <w:t>In some languages, it may be more natural to begin this sentence with an “if” clause. For example:</w:t>
      </w:r>
    </w:p>
    <w:p>
      <w:pPr/>
      <w:r>
        <w:rPr>
          <w:lang w:val="en_US" w:bidi="en_US"/>
        </w:rPr>
      </w:r>
      <w:r>
        <w:rPr>
          <w:lang w:val="en_US" w:bidi="en_US"/>
        </w:rPr>
        <w:t>If you do not judge,</w:t>
      </w:r>
      <w:r>
        <w:rPr>
          <w:lang w:val="en_US" w:bidi="en_US"/>
        </w:rPr>
        <w:t xml:space="preserve"> then you will not be judged.</w:t>
      </w:r>
    </w:p>
    <w:p>
      <w:pPr>
        <w:pStyle w:val="Heading5"/>
      </w:pPr>
      <w:r>
        <w:rPr>
          <w:lang w:val="en_US" w:bidi="en_US"/>
        </w:rPr>
        <w:t>6:37c</w:t>
      </w:r>
    </w:p>
    <w:p>
      <w:pPr/>
      <w:r>
        <w:rPr>
          <w:lang w:val="en_US" w:bidi="en_US"/>
        </w:rPr>
      </w:r>
      <w:r>
        <w:rPr>
          <w:b/>
          <w:lang w:val="en_US" w:bidi="en_US"/>
        </w:rPr>
        <w:t>Do not condemn,</w:t>
      </w:r>
    </w:p>
    <w:p>
      <w:pPr>
        <w:pStyle w:val="ListBullet"/>
        <w:spacing w:line="240" w:lineRule="auto"/>
        <w:ind w:left="720"/>
      </w:pPr>
      <w:r>
        <w:rPr>
          <w:lang w:val="en_US" w:bidi="en_US"/>
        </w:rPr>
      </w:r>
      <w:r>
        <w:rPr>
          <w:lang w:val="en_US" w:bidi="en_US"/>
        </w:rPr>
        <w:t>Do not say</w:t>
      </w:r>
      <w:r>
        <w:rPr>
          <w:vertAlign w:val="superscript"/>
          <w:lang w:val="en_US" w:bidi="en_US"/>
        </w:rPr>
        <w:t>(plur)</w:t>
      </w:r>
      <w:r>
        <w:rPr>
          <w:lang w:val="en_US" w:bidi="en_US"/>
        </w:rPr>
        <w:t xml:space="preserve"> that other people are guilty,</w:t>
      </w:r>
    </w:p>
    <w:p>
      <w:pPr>
        <w:pStyle w:val="ListBullet"/>
        <w:spacing w:line="240" w:lineRule="auto"/>
        <w:ind w:left="720"/>
      </w:pPr>
      <w:r>
        <w:rPr>
          <w:lang w:val="en_US" w:bidi="en_US"/>
        </w:rPr>
      </w:r>
      <w:r>
        <w:rPr>
          <w:lang w:val="en_US" w:bidi="en_US"/>
        </w:rPr>
        <w:t>Do not accuse</w:t>
      </w:r>
      <w:r>
        <w:rPr>
          <w:vertAlign w:val="superscript"/>
          <w:lang w:val="en_US" w:bidi="en_US"/>
        </w:rPr>
        <w:t>(plur)</w:t>
      </w:r>
      <w:r>
        <w:rPr>
          <w:lang w:val="en_US" w:bidi="en_US"/>
        </w:rPr>
        <w:t xml:space="preserve"> other people of being guilty.</w:t>
      </w:r>
    </w:p>
    <w:p>
      <w:pPr/>
      <w:r>
        <w:rPr>
          <w:lang w:val="en_US" w:bidi="en_US"/>
        </w:rPr>
      </w:r>
      <w:r>
        <w:rPr>
          <w:b/>
          <w:lang w:val="en_US" w:bidi="en_US"/>
        </w:rPr>
        <w:t>Do not condemn:</w:t>
      </w:r>
      <w:r>
        <w:rPr>
          <w:lang w:val="en_US" w:bidi="en_US"/>
        </w:rPr>
        <w:t xml:space="preserve"> The Greek word that the BSB translates as </w:t>
      </w:r>
      <w:r>
        <w:rPr>
          <w:i/>
          <w:lang w:val="en_US" w:bidi="en_US"/>
        </w:rPr>
        <w:t>condemn</w:t>
      </w:r>
      <w:r>
        <w:rPr>
          <w:lang w:val="en_US" w:bidi="en_US"/>
        </w:rPr>
        <w:t xml:space="preserve"> means to say that someone is guilty because he has done something evil. It also implies that someone should punish the guilty person. Another way to translate this is:</w:t>
      </w:r>
    </w:p>
    <w:p>
      <w:pPr/>
      <w:r>
        <w:rPr>
          <w:lang w:val="en_US" w:bidi="en_US"/>
        </w:rPr>
      </w:r>
      <w:r>
        <w:rPr>
          <w:lang w:val="en_US" w:bidi="en_US"/>
        </w:rPr>
        <w:t>Don’t accuse others of being guilty (NCV)</w:t>
      </w:r>
    </w:p>
    <w:p>
      <w:pPr>
        <w:pStyle w:val="Heading5"/>
      </w:pPr>
      <w:r>
        <w:rPr>
          <w:lang w:val="en_US" w:bidi="en_US"/>
        </w:rPr>
        <w:t>6:37d</w:t>
      </w:r>
    </w:p>
    <w:p>
      <w:pPr/>
      <w:r>
        <w:rPr>
          <w:lang w:val="en_US" w:bidi="en_US"/>
        </w:rPr>
      </w:r>
      <w:r>
        <w:rPr>
          <w:b/>
          <w:lang w:val="en_US" w:bidi="en_US"/>
        </w:rPr>
        <w:t>and you will not be condemned.</w:t>
      </w:r>
    </w:p>
    <w:p>
      <w:pPr>
        <w:pStyle w:val="ListBullet"/>
        <w:spacing w:line="240" w:lineRule="auto"/>
        <w:ind w:left="720"/>
      </w:pPr>
      <w:r>
        <w:rPr>
          <w:lang w:val="en_US" w:bidi="en_US"/>
        </w:rPr>
      </w:r>
      <w:r>
        <w:rPr>
          <w:lang w:val="en_US" w:bidi="en_US"/>
        </w:rPr>
        <w:t>and it will not be said that you</w:t>
      </w:r>
      <w:r>
        <w:rPr>
          <w:vertAlign w:val="superscript"/>
          <w:lang w:val="en_US" w:bidi="en_US"/>
        </w:rPr>
        <w:t>(plur)</w:t>
      </w:r>
      <w:r>
        <w:rPr>
          <w:lang w:val="en_US" w:bidi="en_US"/>
        </w:rPr>
        <w:t xml:space="preserve"> are guilty.</w:t>
      </w:r>
    </w:p>
    <w:p>
      <w:pPr>
        <w:pStyle w:val="ListBullet"/>
        <w:spacing w:line="240" w:lineRule="auto"/>
        <w:ind w:left="720"/>
      </w:pPr>
      <w:r>
        <w:rPr>
          <w:lang w:val="en_US" w:bidi="en_US"/>
        </w:rPr>
      </w:r>
      <w:r>
        <w:rPr>
          <w:lang w:val="en_US" w:bidi="en_US"/>
        </w:rPr>
        <w:t>If you do not do accuse others of being guilty,</w:t>
      </w:r>
      <w:r>
        <w:rPr>
          <w:lang w:val="en_US" w:bidi="en_US"/>
        </w:rPr>
        <w:t xml:space="preserve"> </w:t>
      </w:r>
      <w:r>
        <w:rPr>
          <w:lang w:val="en_US" w:bidi="en_US"/>
        </w:rPr>
        <w:t>then</w:t>
      </w:r>
      <w:r>
        <w:rPr>
          <w:lang w:val="en_US" w:bidi="en_US"/>
        </w:rPr>
        <w:t xml:space="preserve"> </w:t>
      </w:r>
      <w:r>
        <w:rPr>
          <w:lang w:val="en_US" w:bidi="en_US"/>
        </w:rPr>
        <w:t>God</w:t>
      </w:r>
      <w:r>
        <w:rPr>
          <w:lang w:val="en_US" w:bidi="en_US"/>
        </w:rPr>
        <w:t xml:space="preserve"> will not accuse you</w:t>
      </w:r>
      <w:r>
        <w:rPr>
          <w:vertAlign w:val="superscript"/>
          <w:lang w:val="en_US" w:bidi="en_US"/>
        </w:rPr>
        <w:t>(plur)</w:t>
      </w:r>
      <w:r>
        <w:rPr>
          <w:lang w:val="en_US" w:bidi="en_US"/>
        </w:rPr>
        <w:t xml:space="preserve"> of being guilty.</w:t>
      </w:r>
    </w:p>
    <w:p>
      <w:pPr/>
      <w:r>
        <w:rPr>
          <w:lang w:val="en_US" w:bidi="en_US"/>
        </w:rPr>
      </w:r>
      <w:r>
        <w:rPr>
          <w:b/>
          <w:lang w:val="en_US" w:bidi="en_US"/>
        </w:rPr>
        <w:t>you will not be condemned:</w:t>
      </w:r>
      <w:r>
        <w:rPr>
          <w:lang w:val="en_US" w:bidi="en_US"/>
        </w:rPr>
        <w:t xml:space="preserve"> The clause </w:t>
      </w:r>
      <w:r>
        <w:rPr>
          <w:i/>
          <w:lang w:val="en_US" w:bidi="en_US"/>
        </w:rPr>
        <w:t>you will not be condemned</w:t>
      </w:r>
      <w:r>
        <w:rPr>
          <w:lang w:val="en_US" w:bidi="en_US"/>
        </w:rPr>
        <w:t xml:space="preserve"> is a passive clause. Some ways to translate this are:</w:t>
      </w:r>
    </w:p>
    <w:p>
      <w:pPr>
        <w:pStyle w:val="ListBullet"/>
        <w:spacing w:line="240" w:lineRule="auto"/>
        <w:ind w:left="720"/>
      </w:pPr>
      <w:r>
        <w:rPr>
          <w:lang w:val="en_US" w:bidi="en_US"/>
        </w:rPr>
      </w:r>
      <w:r>
        <w:rPr>
          <w:lang w:val="en_US" w:bidi="en_US"/>
        </w:rPr>
        <w:t>As a passive clause. For example:</w:t>
      </w:r>
      <w:r>
        <w:rPr>
          <w:lang w:val="en_US" w:bidi="en_US"/>
        </w:rPr>
        <w:t>you will not be accused of being guilty (NCV)</w:t>
      </w:r>
    </w:p>
    <w:p>
      <w:pPr>
        <w:pStyle w:val="ListBullet"/>
        <w:spacing w:line="240" w:lineRule="auto"/>
        <w:ind w:left="720"/>
      </w:pPr>
      <w:r>
        <w:rPr>
          <w:lang w:val="en_US" w:bidi="en_US"/>
        </w:rPr>
      </w:r>
      <w:r>
        <w:rPr>
          <w:lang w:val="en_US" w:bidi="en_US"/>
        </w:rPr>
        <w:t>As an active clause. If your language prefers active verbs, try to leave the subject general. For example:</w:t>
      </w:r>
      <w:r>
        <w:rPr>
          <w:lang w:val="en_US" w:bidi="en_US"/>
        </w:rPr>
        <w:t>someone/they will not condemn you</w:t>
      </w:r>
      <w:r>
        <w:rPr>
          <w:lang w:val="en_US" w:bidi="en_US"/>
        </w:rPr>
        <w:t>you will not receive condemnation</w:t>
      </w:r>
      <w:r>
        <w:rPr>
          <w:lang w:val="en_US" w:bidi="en_US"/>
        </w:rPr>
        <w:t>God will not condemn you (GNT)</w:t>
      </w:r>
    </w:p>
    <w:p>
      <w:pPr/>
      <w:r>
        <w:rPr>
          <w:lang w:val="en_US" w:bidi="en_US"/>
        </w:rPr>
      </w:r>
      <w:r>
        <w:rPr>
          <w:lang w:val="en_US" w:bidi="en_US"/>
        </w:rPr>
        <w:t>In some languages, it may be more natural to begin this sentence with an “if” clause. For example:</w:t>
      </w:r>
    </w:p>
    <w:p>
      <w:pPr/>
      <w:r>
        <w:rPr>
          <w:lang w:val="en_US" w:bidi="en_US"/>
        </w:rPr>
      </w:r>
      <w:r>
        <w:rPr>
          <w:lang w:val="en_US" w:bidi="en_US"/>
        </w:rPr>
        <w:t>If you do not condemn,</w:t>
      </w:r>
      <w:r>
        <w:rPr>
          <w:lang w:val="en_US" w:bidi="en_US"/>
        </w:rPr>
        <w:t xml:space="preserve"> then you will not be condemned.</w:t>
      </w:r>
    </w:p>
    <w:p>
      <w:pPr>
        <w:pStyle w:val="Heading5"/>
      </w:pPr>
      <w:r>
        <w:rPr>
          <w:lang w:val="en_US" w:bidi="en_US"/>
        </w:rPr>
        <w:t>6:37e</w:t>
      </w:r>
    </w:p>
    <w:p>
      <w:pPr/>
      <w:r>
        <w:rPr>
          <w:lang w:val="en_US" w:bidi="en_US"/>
        </w:rPr>
      </w:r>
      <w:r>
        <w:rPr>
          <w:b/>
          <w:lang w:val="en_US" w:bidi="en_US"/>
        </w:rPr>
        <w:t>Forgive,</w:t>
      </w:r>
    </w:p>
    <w:p>
      <w:pPr>
        <w:pStyle w:val="ListBullet"/>
        <w:spacing w:line="240" w:lineRule="auto"/>
        <w:ind w:left="720"/>
      </w:pPr>
      <w:r>
        <w:rPr>
          <w:lang w:val="en_US" w:bidi="en_US"/>
        </w:rPr>
      </w:r>
      <w:r>
        <w:rPr>
          <w:lang w:val="en_US" w:bidi="en_US"/>
        </w:rPr>
        <w:t>Forgive others (CEV)</w:t>
      </w:r>
    </w:p>
    <w:p>
      <w:pPr>
        <w:pStyle w:val="ListBullet"/>
        <w:spacing w:line="240" w:lineRule="auto"/>
        <w:ind w:left="720"/>
      </w:pPr>
      <w:r>
        <w:rPr>
          <w:lang w:val="en_US" w:bidi="en_US"/>
        </w:rPr>
      </w:r>
      <w:r>
        <w:rPr>
          <w:lang w:val="en_US" w:bidi="en_US"/>
        </w:rPr>
        <w:t>Forgive</w:t>
      </w:r>
      <w:r>
        <w:rPr>
          <w:vertAlign w:val="superscript"/>
          <w:lang w:val="en_US" w:bidi="en_US"/>
        </w:rPr>
        <w:t>(plur)</w:t>
      </w:r>
      <w:r>
        <w:rPr>
          <w:lang w:val="en_US" w:bidi="en_US"/>
        </w:rPr>
        <w:t xml:space="preserve"> </w:t>
      </w:r>
      <w:r>
        <w:rPr>
          <w:lang w:val="en_US" w:bidi="en_US"/>
        </w:rPr>
        <w:t>others</w:t>
      </w:r>
      <w:r>
        <w:rPr>
          <w:lang w:val="en_US" w:bidi="en_US"/>
        </w:rPr>
        <w:t xml:space="preserve"> </w:t>
      </w:r>
      <w:r>
        <w:rPr>
          <w:lang w:val="en_US" w:bidi="en_US"/>
        </w:rPr>
        <w:t>for the bad things that they have done to you</w:t>
      </w:r>
      <w:r>
        <w:rPr>
          <w:vertAlign w:val="superscript"/>
          <w:lang w:val="en_US" w:bidi="en_US"/>
        </w:rPr>
        <w:t>(plur)</w:t>
      </w:r>
      <w:r>
        <w:rPr>
          <w:lang w:val="en_US" w:bidi="en_US"/>
        </w:rPr>
        <w:t>.</w:t>
      </w:r>
    </w:p>
    <w:p>
      <w:pPr/>
      <w:r>
        <w:rPr>
          <w:lang w:val="en_US" w:bidi="en_US"/>
        </w:rPr>
      </w:r>
      <w:r>
        <w:rPr>
          <w:b/>
          <w:lang w:val="en_US" w:bidi="en_US"/>
        </w:rPr>
        <w:t>Forgive:</w:t>
      </w:r>
      <w:r>
        <w:rPr>
          <w:lang w:val="en_US" w:bidi="en_US"/>
        </w:rPr>
        <w:t xml:space="preserve"> The Greek word that the BSB translates as </w:t>
      </w:r>
      <w:r>
        <w:rPr>
          <w:i/>
          <w:lang w:val="en_US" w:bidi="en_US"/>
        </w:rPr>
        <w:t>Forgive</w:t>
      </w:r>
      <w:r>
        <w:rPr>
          <w:lang w:val="en_US" w:bidi="en_US"/>
        </w:rPr>
        <w:t xml:space="preserve"> means “choose not to punish or seek revenge against a person who has actually done wrong to you.” The person who forgives must not continue to be angry with the other person. He must not continue hating that person.</w:t>
      </w:r>
    </w:p>
    <w:p>
      <w:pPr/>
      <w:r>
        <w:rPr>
          <w:lang w:val="en_US" w:bidi="en_US"/>
        </w:rPr>
      </w:r>
      <w:r>
        <w:rPr>
          <w:lang w:val="en_US" w:bidi="en_US"/>
        </w:rPr>
        <w:t xml:space="preserve">Some other ways to translate </w:t>
      </w:r>
      <w:r>
        <w:rPr>
          <w:i/>
          <w:lang w:val="en_US" w:bidi="en_US"/>
        </w:rPr>
        <w:t>Forgive</w:t>
      </w:r>
      <w:r>
        <w:rPr>
          <w:lang w:val="en_US" w:bidi="en_US"/>
        </w:rPr>
        <w:t xml:space="preserve"> are:</w:t>
      </w:r>
    </w:p>
    <w:p>
      <w:pPr/>
      <w:r>
        <w:rPr>
          <w:lang w:val="en_US" w:bidi="en_US"/>
        </w:rPr>
      </w:r>
      <w:r>
        <w:rPr>
          <w:lang w:val="en_US" w:bidi="en_US"/>
        </w:rPr>
        <w:t>pardon</w:t>
      </w:r>
    </w:p>
    <w:p>
      <w:pPr/>
      <w:r>
        <w:rPr>
          <w:lang w:val="en_US" w:bidi="en_US"/>
        </w:rPr>
      </w:r>
      <w:r>
        <w:rPr>
          <w:lang w:val="en_US" w:bidi="en_US"/>
        </w:rPr>
        <w:t>cancel the sins of someone</w:t>
      </w:r>
    </w:p>
    <w:p>
      <w:pPr/>
      <w:r>
        <w:rPr>
          <w:lang w:val="en_US" w:bidi="en_US"/>
        </w:rPr>
      </w:r>
      <w:r>
        <w:rPr>
          <w:lang w:val="en_US" w:bidi="en_US"/>
        </w:rPr>
        <w:t>erase the guilt of someone</w:t>
      </w:r>
    </w:p>
    <w:p>
      <w:pPr>
        <w:pStyle w:val="Heading5"/>
      </w:pPr>
      <w:r>
        <w:rPr>
          <w:lang w:val="en_US" w:bidi="en_US"/>
        </w:rPr>
        <w:t>6:37f</w:t>
      </w:r>
    </w:p>
    <w:p>
      <w:pPr/>
      <w:r>
        <w:rPr>
          <w:lang w:val="en_US" w:bidi="en_US"/>
        </w:rPr>
      </w:r>
      <w:r>
        <w:rPr>
          <w:b/>
          <w:lang w:val="en_US" w:bidi="en_US"/>
        </w:rPr>
        <w:t>and you will be forgiven.</w:t>
      </w:r>
    </w:p>
    <w:p>
      <w:pPr>
        <w:pStyle w:val="ListBullet"/>
        <w:spacing w:line="240" w:lineRule="auto"/>
        <w:ind w:left="720"/>
      </w:pPr>
      <w:r>
        <w:rPr>
          <w:lang w:val="en_US" w:bidi="en_US"/>
        </w:rPr>
      </w:r>
      <w:r>
        <w:rPr>
          <w:lang w:val="en_US" w:bidi="en_US"/>
        </w:rPr>
        <w:t>and you will be forgiven.</w:t>
      </w:r>
    </w:p>
    <w:p>
      <w:pPr>
        <w:pStyle w:val="ListBullet"/>
        <w:spacing w:line="240" w:lineRule="auto"/>
        <w:ind w:left="720"/>
      </w:pPr>
      <w:r>
        <w:rPr>
          <w:lang w:val="en_US" w:bidi="en_US"/>
        </w:rPr>
      </w:r>
      <w:r>
        <w:rPr>
          <w:lang w:val="en_US" w:bidi="en_US"/>
        </w:rPr>
        <w:t>and God will forgive you. (GNT)</w:t>
      </w:r>
    </w:p>
    <w:p>
      <w:pPr>
        <w:pStyle w:val="ListBullet"/>
        <w:spacing w:line="240" w:lineRule="auto"/>
        <w:ind w:left="720"/>
      </w:pPr>
      <w:r>
        <w:rPr>
          <w:lang w:val="en_US" w:bidi="en_US"/>
        </w:rPr>
      </w:r>
      <w:r>
        <w:rPr>
          <w:lang w:val="en_US" w:bidi="en_US"/>
        </w:rPr>
        <w:t>If you forgive,</w:t>
      </w:r>
      <w:r>
        <w:rPr>
          <w:lang w:val="en_US" w:bidi="en_US"/>
        </w:rPr>
        <w:t xml:space="preserve"> </w:t>
      </w:r>
      <w:r>
        <w:rPr>
          <w:lang w:val="en_US" w:bidi="en_US"/>
        </w:rPr>
        <w:t>then</w:t>
      </w:r>
      <w:r>
        <w:rPr>
          <w:lang w:val="en_US" w:bidi="en_US"/>
        </w:rPr>
        <w:t xml:space="preserve"> </w:t>
      </w:r>
      <w:r>
        <w:rPr>
          <w:lang w:val="en_US" w:bidi="en_US"/>
        </w:rPr>
        <w:t>God</w:t>
      </w:r>
      <w:r>
        <w:rPr>
          <w:lang w:val="en_US" w:bidi="en_US"/>
        </w:rPr>
        <w:t xml:space="preserve"> will forgive you</w:t>
      </w:r>
      <w:r>
        <w:rPr>
          <w:vertAlign w:val="superscript"/>
          <w:lang w:val="en_US" w:bidi="en_US"/>
        </w:rPr>
        <w:t>(plur)</w:t>
      </w:r>
      <w:r>
        <w:rPr>
          <w:lang w:val="en_US" w:bidi="en_US"/>
        </w:rPr>
        <w:t xml:space="preserve"> </w:t>
      </w:r>
      <w:r>
        <w:rPr>
          <w:lang w:val="en_US" w:bidi="en_US"/>
        </w:rPr>
        <w:t>for the bad things that you have done</w:t>
      </w:r>
      <w:r>
        <w:rPr>
          <w:lang w:val="en_US" w:bidi="en_US"/>
        </w:rPr>
        <w:t>.</w:t>
      </w:r>
    </w:p>
    <w:p>
      <w:pPr/>
      <w:r>
        <w:rPr>
          <w:lang w:val="en_US" w:bidi="en_US"/>
        </w:rPr>
      </w:r>
      <w:r>
        <w:rPr>
          <w:b/>
          <w:lang w:val="en_US" w:bidi="en_US"/>
        </w:rPr>
        <w:t>you will be forgiven:</w:t>
      </w:r>
      <w:r>
        <w:rPr>
          <w:lang w:val="en_US" w:bidi="en_US"/>
        </w:rPr>
        <w:t xml:space="preserve"> The clause </w:t>
      </w:r>
      <w:r>
        <w:rPr>
          <w:i/>
          <w:lang w:val="en_US" w:bidi="en_US"/>
        </w:rPr>
        <w:t>you will be forgiven</w:t>
      </w:r>
      <w:r>
        <w:rPr>
          <w:lang w:val="en_US" w:bidi="en_US"/>
        </w:rPr>
        <w:t xml:space="preserve"> is a passive clause. Some ways to translate this are:</w:t>
      </w:r>
    </w:p>
    <w:p>
      <w:pPr>
        <w:pStyle w:val="ListBullet"/>
        <w:spacing w:line="240" w:lineRule="auto"/>
        <w:ind w:left="720"/>
      </w:pPr>
      <w:r>
        <w:rPr>
          <w:lang w:val="en_US" w:bidi="en_US"/>
        </w:rPr>
      </w:r>
      <w:r>
        <w:rPr>
          <w:lang w:val="en_US" w:bidi="en_US"/>
        </w:rPr>
        <w:t>As a passive clause. For example:</w:t>
      </w:r>
      <w:r>
        <w:rPr>
          <w:lang w:val="en_US" w:bidi="en_US"/>
        </w:rPr>
        <w:t>you will be forgiven</w:t>
      </w:r>
    </w:p>
    <w:p>
      <w:pPr>
        <w:pStyle w:val="ListBullet"/>
        <w:spacing w:line="240" w:lineRule="auto"/>
        <w:ind w:left="720"/>
      </w:pPr>
      <w:r>
        <w:rPr>
          <w:lang w:val="en_US" w:bidi="en_US"/>
        </w:rPr>
      </w:r>
      <w:r>
        <w:rPr>
          <w:lang w:val="en_US" w:bidi="en_US"/>
        </w:rPr>
        <w:t>As an active clause. For example:</w:t>
      </w:r>
      <w:r>
        <w:rPr>
          <w:lang w:val="en_US" w:bidi="en_US"/>
        </w:rPr>
        <w:t>God will forgive you (GNT)</w:t>
      </w:r>
    </w:p>
    <w:p>
      <w:pPr/>
      <w:r>
        <w:rPr>
          <w:lang w:val="en_US" w:bidi="en_US"/>
        </w:rPr>
      </w:r>
      <w:r>
        <w:rPr>
          <w:lang w:val="en_US" w:bidi="en_US"/>
        </w:rPr>
        <w:t>In some languages, it may be more natural to begin this sentence with an “if” clause. For example:</w:t>
      </w:r>
    </w:p>
    <w:p>
      <w:pPr/>
      <w:r>
        <w:rPr>
          <w:lang w:val="en_US" w:bidi="en_US"/>
        </w:rPr>
      </w:r>
      <w:r>
        <w:rPr>
          <w:lang w:val="en_US" w:bidi="en_US"/>
        </w:rPr>
        <w:t>If you forgive,</w:t>
      </w:r>
      <w:r>
        <w:rPr>
          <w:lang w:val="en_US" w:bidi="en_US"/>
        </w:rPr>
        <w:t xml:space="preserve"> then you will be forgiven.</w:t>
      </w:r>
      <w:r>
        <w:rPr>
          <w:lang w:val="en_US" w:bidi="en_US"/>
        </w:rPr>
      </w:r>
      <w:r>
        <w:rPr>
          <w:lang w:val="en_US" w:bidi="en_US"/>
        </w:rPr>
      </w:r>
    </w:p>
    <w:p>
      <w:pPr/>
      <w:r>
        <w:rPr>
          <w:lang w:val="en_US" w:bidi="en_US"/>
        </w:rPr>
      </w:r>
    </w:p>
    <w:p>
      <w:pPr>
        <w:pStyle w:val="Heading2"/>
      </w:pPr>
      <w:r>
        <w:rPr>
          <w:lang w:val="en_US" w:bidi="en_US"/>
        </w:rPr>
        <w:t>Luke 6:38</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6:37–38</w:t>
      </w:r>
    </w:p>
    <w:p>
      <w:pPr/>
      <w:r>
        <w:rPr>
          <w:lang w:val="en_US" w:bidi="en_US"/>
        </w:rPr>
      </w:r>
      <w:r>
        <w:rPr>
          <w:lang w:val="en_US" w:bidi="en_US"/>
        </w:rPr>
        <w:t>In this paragraph Jesus told his disciples two things that they should not do and two things that they should do. All four commands illustrate an attitude of love and mercy. These commands specifically illustrate the principles that Jesus stated in 6:31 and 6:36. Each command includes a reason why the disciples should obey it: the disciples will be treated according to the way they act.</w:t>
      </w:r>
    </w:p>
    <w:p>
      <w:pPr/>
      <w:r>
        <w:rPr>
          <w:lang w:val="en_US" w:bidi="en_US"/>
        </w:rPr>
      </w:r>
      <w:r>
        <w:rPr>
          <w:lang w:val="en_US" w:bidi="en_US"/>
        </w:rPr>
        <w:t>Jesus used plural forms in these commands. They are general commands to everyone listening. See the note at Paragraph 6:27–31. Use the form that is most natural in your language.</w:t>
      </w:r>
    </w:p>
    <w:p>
      <w:pPr>
        <w:pStyle w:val="Heading5"/>
      </w:pPr>
      <w:r>
        <w:rPr>
          <w:lang w:val="en_US" w:bidi="en_US"/>
        </w:rPr>
        <w:t>6:38a</w:t>
      </w:r>
    </w:p>
    <w:p>
      <w:pPr/>
      <w:r>
        <w:rPr>
          <w:lang w:val="en_US" w:bidi="en_US"/>
        </w:rPr>
      </w:r>
      <w:r>
        <w:rPr>
          <w:b/>
          <w:lang w:val="en_US" w:bidi="en_US"/>
        </w:rPr>
        <w:t>Give,</w:t>
      </w:r>
    </w:p>
    <w:p>
      <w:pPr>
        <w:pStyle w:val="ListBullet"/>
        <w:spacing w:line="240" w:lineRule="auto"/>
        <w:ind w:left="720"/>
      </w:pPr>
      <w:r>
        <w:rPr>
          <w:lang w:val="en_US" w:bidi="en_US"/>
        </w:rPr>
      </w:r>
      <w:r>
        <w:rPr>
          <w:lang w:val="en_US" w:bidi="en_US"/>
        </w:rPr>
        <w:t>Give to others, (GNT)</w:t>
      </w:r>
    </w:p>
    <w:p>
      <w:pPr>
        <w:pStyle w:val="ListBullet"/>
        <w:spacing w:line="240" w:lineRule="auto"/>
        <w:ind w:left="720"/>
      </w:pPr>
      <w:r>
        <w:rPr>
          <w:lang w:val="en_US" w:bidi="en_US"/>
        </w:rPr>
      </w:r>
      <w:r>
        <w:rPr>
          <w:lang w:val="en_US" w:bidi="en_US"/>
        </w:rPr>
        <w:t>Give</w:t>
      </w:r>
      <w:r>
        <w:rPr>
          <w:vertAlign w:val="superscript"/>
          <w:lang w:val="en_US" w:bidi="en_US"/>
        </w:rPr>
        <w:t>(plur)</w:t>
      </w:r>
      <w:r>
        <w:rPr>
          <w:lang w:val="en_US" w:bidi="en_US"/>
        </w:rPr>
        <w:t xml:space="preserve"> </w:t>
      </w:r>
      <w:r>
        <w:rPr>
          <w:lang w:val="en_US" w:bidi="en_US"/>
        </w:rPr>
        <w:t>to others</w:t>
      </w:r>
      <w:r>
        <w:rPr>
          <w:lang w:val="en_US" w:bidi="en_US"/>
        </w:rPr>
        <w:t xml:space="preserve"> </w:t>
      </w:r>
      <w:r>
        <w:rPr>
          <w:lang w:val="en_US" w:bidi="en_US"/>
        </w:rPr>
        <w:t>what they need</w:t>
      </w:r>
      <w:r>
        <w:rPr>
          <w:lang w:val="en_US" w:bidi="en_US"/>
        </w:rPr>
        <w:t>.</w:t>
      </w:r>
    </w:p>
    <w:p>
      <w:pPr/>
      <w:r>
        <w:rPr>
          <w:lang w:val="en_US" w:bidi="en_US"/>
        </w:rPr>
      </w:r>
      <w:r>
        <w:rPr>
          <w:b/>
          <w:lang w:val="en_US" w:bidi="en_US"/>
        </w:rPr>
        <w:t>Give:</w:t>
      </w:r>
      <w:r>
        <w:rPr>
          <w:lang w:val="en_US" w:bidi="en_US"/>
        </w:rPr>
        <w:t xml:space="preserve"> Jesus was saying that his disciples should be generous. They should help people who need something. The text does not say explicitly what Jesus’ disciples should give, nor to whom they should give it. Translate this as generally as possible.</w:t>
      </w:r>
    </w:p>
    <w:p>
      <w:pPr/>
      <w:r>
        <w:rPr>
          <w:lang w:val="en_US" w:bidi="en_US"/>
        </w:rPr>
      </w:r>
      <w:r>
        <w:rPr>
          <w:lang w:val="en_US" w:bidi="en_US"/>
        </w:rPr>
        <w:t>If your language requires that you state to whom something is given, you could say:</w:t>
      </w:r>
    </w:p>
    <w:p>
      <w:pPr/>
      <w:r>
        <w:rPr>
          <w:lang w:val="en_US" w:bidi="en_US"/>
        </w:rPr>
      </w:r>
      <w:r>
        <w:rPr>
          <w:lang w:val="en_US" w:bidi="en_US"/>
        </w:rPr>
        <w:t xml:space="preserve">Give </w:t>
      </w:r>
      <w:r>
        <w:rPr>
          <w:lang w:val="en_US" w:bidi="en_US"/>
        </w:rPr>
        <w:t>to others/people</w:t>
      </w:r>
    </w:p>
    <w:p>
      <w:pPr/>
      <w:r>
        <w:rPr>
          <w:lang w:val="en_US" w:bidi="en_US"/>
        </w:rPr>
      </w:r>
      <w:r>
        <w:rPr>
          <w:lang w:val="en_US" w:bidi="en_US"/>
        </w:rPr>
        <w:t>If you give to others (CEV)</w:t>
      </w:r>
    </w:p>
    <w:p>
      <w:pPr/>
      <w:r>
        <w:rPr>
          <w:lang w:val="en_US" w:bidi="en_US"/>
        </w:rPr>
      </w:r>
      <w:r>
        <w:rPr>
          <w:lang w:val="en_US" w:bidi="en_US"/>
        </w:rPr>
        <w:t>If your language requires that you state what is given, you could say:</w:t>
      </w:r>
    </w:p>
    <w:p>
      <w:pPr/>
      <w:r>
        <w:rPr>
          <w:lang w:val="en_US" w:bidi="en_US"/>
        </w:rPr>
      </w:r>
      <w:r>
        <w:rPr>
          <w:lang w:val="en_US" w:bidi="en_US"/>
        </w:rPr>
        <w:t xml:space="preserve">give </w:t>
      </w:r>
      <w:r>
        <w:rPr>
          <w:lang w:val="en_US" w:bidi="en_US"/>
        </w:rPr>
        <w:t>whatever is needed</w:t>
      </w:r>
    </w:p>
    <w:p>
      <w:pPr/>
      <w:r>
        <w:rPr>
          <w:lang w:val="en_US" w:bidi="en_US"/>
        </w:rPr>
      </w:r>
      <w:r>
        <w:rPr>
          <w:lang w:val="en_US" w:bidi="en_US"/>
        </w:rPr>
        <w:t xml:space="preserve">give </w:t>
      </w:r>
      <w:r>
        <w:rPr>
          <w:lang w:val="en_US" w:bidi="en_US"/>
        </w:rPr>
        <w:t>things to help others</w:t>
      </w:r>
    </w:p>
    <w:p>
      <w:pPr>
        <w:pStyle w:val="Heading5"/>
      </w:pPr>
      <w:r>
        <w:rPr>
          <w:lang w:val="en_US" w:bidi="en_US"/>
        </w:rPr>
        <w:t>6:38b</w:t>
      </w:r>
    </w:p>
    <w:p>
      <w:pPr/>
      <w:r>
        <w:rPr>
          <w:lang w:val="en_US" w:bidi="en_US"/>
        </w:rPr>
      </w:r>
      <w:r>
        <w:rPr>
          <w:b/>
          <w:lang w:val="en_US" w:bidi="en_US"/>
        </w:rPr>
        <w:t>and it will be given to you.</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will receive </w:t>
      </w:r>
      <w:r>
        <w:rPr>
          <w:lang w:val="en_US" w:bidi="en_US"/>
        </w:rPr>
        <w:t>generously</w:t>
      </w:r>
      <w:r>
        <w:rPr>
          <w:lang w:val="en_US" w:bidi="en_US"/>
        </w:rPr>
        <w:t>.</w:t>
      </w:r>
    </w:p>
    <w:p>
      <w:pPr>
        <w:pStyle w:val="ListBullet"/>
        <w:spacing w:line="240" w:lineRule="auto"/>
        <w:ind w:left="720"/>
      </w:pPr>
      <w:r>
        <w:rPr>
          <w:lang w:val="en_US" w:bidi="en_US"/>
        </w:rPr>
      </w:r>
      <w:r>
        <w:rPr>
          <w:lang w:val="en_US" w:bidi="en_US"/>
        </w:rPr>
        <w:t>and God will give to you. (GNT)</w:t>
      </w:r>
    </w:p>
    <w:p>
      <w:pPr>
        <w:pStyle w:val="ListBullet"/>
        <w:spacing w:line="240" w:lineRule="auto"/>
        <w:ind w:left="720"/>
      </w:pPr>
      <w:r>
        <w:rPr>
          <w:lang w:val="en_US" w:bidi="en_US"/>
        </w:rPr>
      </w:r>
      <w:r>
        <w:rPr>
          <w:lang w:val="en_US" w:bidi="en_US"/>
        </w:rPr>
        <w:t>If you give,</w:t>
      </w:r>
      <w:r>
        <w:rPr>
          <w:lang w:val="en_US" w:bidi="en_US"/>
        </w:rPr>
        <w:t xml:space="preserve"> </w:t>
      </w:r>
      <w:r>
        <w:rPr>
          <w:lang w:val="en_US" w:bidi="en_US"/>
        </w:rPr>
        <w:t>then</w:t>
      </w:r>
      <w:r>
        <w:rPr>
          <w:lang w:val="en_US" w:bidi="en_US"/>
        </w:rPr>
        <w:t xml:space="preserve"> </w:t>
      </w:r>
      <w:r>
        <w:rPr>
          <w:lang w:val="en_US" w:bidi="en_US"/>
        </w:rPr>
        <w:t>God</w:t>
      </w:r>
      <w:r>
        <w:rPr>
          <w:lang w:val="en_US" w:bidi="en_US"/>
        </w:rPr>
        <w:t xml:space="preserve"> will give you</w:t>
      </w:r>
      <w:r>
        <w:rPr>
          <w:vertAlign w:val="superscript"/>
          <w:lang w:val="en_US" w:bidi="en_US"/>
        </w:rPr>
        <w:t>(plur)</w:t>
      </w:r>
      <w:r>
        <w:rPr>
          <w:lang w:val="en_US" w:bidi="en_US"/>
        </w:rPr>
        <w:t xml:space="preserve"> </w:t>
      </w:r>
      <w:r>
        <w:rPr>
          <w:lang w:val="en_US" w:bidi="en_US"/>
        </w:rPr>
        <w:t>what you need</w:t>
      </w:r>
      <w:r>
        <w:rPr>
          <w:lang w:val="en_US" w:bidi="en_US"/>
        </w:rPr>
        <w:t>.</w:t>
      </w:r>
    </w:p>
    <w:p>
      <w:pPr/>
      <w:r>
        <w:rPr>
          <w:lang w:val="en_US" w:bidi="en_US"/>
        </w:rPr>
      </w:r>
      <w:r>
        <w:rPr>
          <w:b/>
          <w:lang w:val="en_US" w:bidi="en_US"/>
        </w:rPr>
        <w:t>it will be given to you:</w:t>
      </w:r>
      <w:r>
        <w:rPr>
          <w:lang w:val="en_US" w:bidi="en_US"/>
        </w:rPr>
        <w:t xml:space="preserve"> The clause </w:t>
      </w:r>
      <w:r>
        <w:rPr>
          <w:i/>
          <w:lang w:val="en_US" w:bidi="en_US"/>
        </w:rPr>
        <w:t>it will be given to you</w:t>
      </w:r>
      <w:r>
        <w:rPr>
          <w:lang w:val="en_US" w:bidi="en_US"/>
        </w:rPr>
        <w:t xml:space="preserve"> is a passive clause. Some ways to translate this are:</w:t>
      </w:r>
    </w:p>
    <w:p>
      <w:pPr>
        <w:pStyle w:val="ListBullet"/>
        <w:spacing w:line="240" w:lineRule="auto"/>
        <w:ind w:left="720"/>
      </w:pPr>
      <w:r>
        <w:rPr>
          <w:lang w:val="en_US" w:bidi="en_US"/>
        </w:rPr>
      </w:r>
      <w:r>
        <w:rPr>
          <w:lang w:val="en_US" w:bidi="en_US"/>
        </w:rPr>
        <w:t>As a passive clause. For example:</w:t>
      </w:r>
      <w:r>
        <w:rPr>
          <w:lang w:val="en_US" w:bidi="en_US"/>
        </w:rPr>
        <w:t>it will be given to you</w:t>
      </w:r>
    </w:p>
    <w:p>
      <w:pPr>
        <w:pStyle w:val="ListBullet"/>
        <w:spacing w:line="240" w:lineRule="auto"/>
        <w:ind w:left="720"/>
      </w:pPr>
      <w:r>
        <w:rPr>
          <w:lang w:val="en_US" w:bidi="en_US"/>
        </w:rPr>
      </w:r>
      <w:r>
        <w:rPr>
          <w:lang w:val="en_US" w:bidi="en_US"/>
        </w:rPr>
        <w:t>As an active clause. For example:</w:t>
      </w:r>
      <w:r>
        <w:rPr>
          <w:lang w:val="en_US" w:bidi="en_US"/>
        </w:rPr>
        <w:t>you will receive (NLT)</w:t>
      </w:r>
      <w:r>
        <w:rPr>
          <w:lang w:val="en_US" w:bidi="en_US"/>
        </w:rPr>
        <w:t>God will give to you (GNT)</w:t>
      </w:r>
    </w:p>
    <w:p>
      <w:pPr/>
      <w:r>
        <w:rPr>
          <w:lang w:val="en_US" w:bidi="en_US"/>
        </w:rPr>
      </w:r>
      <w:r>
        <w:rPr>
          <w:lang w:val="en_US" w:bidi="en_US"/>
        </w:rPr>
        <w:t>In some languages, it may be more natural to begin this sentence with an “if” clause. For example:</w:t>
      </w:r>
    </w:p>
    <w:p>
      <w:pPr/>
      <w:r>
        <w:rPr>
          <w:lang w:val="en_US" w:bidi="en_US"/>
        </w:rPr>
      </w:r>
      <w:r>
        <w:rPr>
          <w:lang w:val="en_US" w:bidi="en_US"/>
        </w:rPr>
        <w:t>If you give,</w:t>
      </w:r>
      <w:r>
        <w:rPr>
          <w:lang w:val="en_US" w:bidi="en_US"/>
        </w:rPr>
        <w:t xml:space="preserve"> then it will be given to you.</w:t>
      </w:r>
    </w:p>
    <w:p>
      <w:pPr/>
      <w:r>
        <w:rPr>
          <w:lang w:val="en_US" w:bidi="en_US"/>
        </w:rPr>
      </w:r>
      <w:r>
        <w:rPr>
          <w:b/>
          <w:lang w:val="en_US" w:bidi="en_US"/>
        </w:rPr>
        <w:t>it:</w:t>
      </w:r>
      <w:r>
        <w:rPr>
          <w:lang w:val="en_US" w:bidi="en_US"/>
        </w:rPr>
        <w:t xml:space="preserve"> As with the word “give” above, the thing that will be given is not identified. If your language requires that you identify the object, here you could say:</w:t>
      </w:r>
    </w:p>
    <w:p>
      <w:pPr/>
      <w:r>
        <w:rPr>
          <w:lang w:val="en_US" w:bidi="en_US"/>
        </w:rPr>
      </w:r>
      <w:r>
        <w:rPr>
          <w:lang w:val="en_US" w:bidi="en_US"/>
        </w:rPr>
        <w:t>what you need</w:t>
      </w:r>
      <w:r>
        <w:rPr>
          <w:lang w:val="en_US" w:bidi="en_US"/>
        </w:rPr>
        <w:t xml:space="preserve"> will be given to you</w:t>
      </w:r>
    </w:p>
    <w:p>
      <w:pPr/>
      <w:r>
        <w:rPr>
          <w:lang w:val="en_US" w:bidi="en_US"/>
        </w:rPr>
      </w:r>
      <w:r>
        <w:rPr>
          <w:lang w:val="en_US" w:bidi="en_US"/>
        </w:rPr>
        <w:t>things that help you</w:t>
      </w:r>
      <w:r>
        <w:rPr>
          <w:lang w:val="en_US" w:bidi="en_US"/>
        </w:rPr>
        <w:t xml:space="preserve"> will be given to you</w:t>
      </w:r>
    </w:p>
    <w:p>
      <w:pPr>
        <w:pStyle w:val="Heading5"/>
      </w:pPr>
      <w:r>
        <w:rPr>
          <w:lang w:val="en_US" w:bidi="en_US"/>
        </w:rPr>
        <w:t>6:38c–g</w:t>
      </w:r>
    </w:p>
    <w:p>
      <w:pPr/>
      <w:r>
        <w:rPr>
          <w:lang w:val="en_US" w:bidi="en_US"/>
        </w:rPr>
      </w:r>
      <w:r>
        <w:rPr>
          <w:b/>
          <w:lang w:val="en_US" w:bidi="en_US"/>
        </w:rPr>
        <w:t>A good measure, pressed down, shaken together, and running over will be poured into your lap:</w:t>
      </w:r>
      <w:r>
        <w:rPr>
          <w:lang w:val="en_US" w:bidi="en_US"/>
        </w:rPr>
        <w:t xml:space="preserve"> This is a metaphor. It describes a merchant selling grain or something similar. Because buying grain in the market is common, most cultures will probably understand this metaphor.</w:t>
      </w:r>
    </w:p>
    <w:p>
      <w:pPr/>
      <w:r>
        <w:rPr>
          <w:lang w:val="en_US" w:bidi="en_US"/>
        </w:rPr>
      </w:r>
      <w:r>
        <w:rPr>
          <w:lang w:val="en_US" w:bidi="en_US"/>
        </w:rPr>
        <w:t>The point of the metaphor is the generosity of the merchant. He presses the grain down in the measuring container. He then shakes it so it will settle, and he continues filling it until the grain heaps up and overflows the container.</w:t>
      </w:r>
    </w:p>
    <w:p>
      <w:pPr/>
      <w:r>
        <w:rPr>
          <w:lang w:val="en_US" w:bidi="en_US"/>
        </w:rPr>
      </w:r>
      <w:r>
        <w:rPr>
          <w:lang w:val="en_US" w:bidi="en_US"/>
        </w:rPr>
        <w:t>This metaphor further explains the phrase “it will be given to you” (6:38a). If you give generously, you will receive generous gifts in return.</w:t>
      </w:r>
    </w:p>
    <w:p>
      <w:pPr/>
      <w:r>
        <w:rPr>
          <w:lang w:val="en_US" w:bidi="en_US"/>
        </w:rPr>
      </w:r>
      <w:r>
        <w:rPr>
          <w:lang w:val="en_US" w:bidi="en_US"/>
        </w:rPr>
        <w:t>The metaphor does not identify the one who would give generously in return. It could be people, or God, or both. Try to keep your translation general so God or people could be understood. If you have made God explicit in 6:37–6:38a, you could refer to him explicitly here also. For example:</w:t>
      </w:r>
    </w:p>
    <w:p>
      <w:pPr/>
      <w:r>
        <w:rPr>
          <w:lang w:val="en_US" w:bidi="en_US"/>
        </w:rPr>
      </w:r>
      <w:r>
        <w:rPr>
          <w:lang w:val="en_US" w:bidi="en_US"/>
        </w:rPr>
        <w:t>God</w:t>
      </w:r>
      <w:r>
        <w:rPr>
          <w:lang w:val="en_US" w:bidi="en_US"/>
        </w:rPr>
        <w:t xml:space="preserve"> will give you a good measure, pressed down…</w:t>
      </w:r>
    </w:p>
    <w:p>
      <w:pPr/>
      <w:r>
        <w:rPr>
          <w:lang w:val="en_US" w:bidi="en_US"/>
        </w:rPr>
      </w:r>
      <w:r>
        <w:rPr>
          <w:lang w:val="en_US" w:bidi="en_US"/>
        </w:rPr>
        <w:t>God will give generously to you like a good merchant who</w:t>
      </w:r>
      <w:r>
        <w:rPr>
          <w:lang w:val="en_US" w:bidi="en_US"/>
        </w:rPr>
        <w:t xml:space="preserve"> presses down…</w:t>
      </w:r>
    </w:p>
    <w:p>
      <w:pPr>
        <w:pStyle w:val="Heading5"/>
      </w:pPr>
      <w:r>
        <w:rPr>
          <w:lang w:val="en_US" w:bidi="en_US"/>
        </w:rPr>
        <w:t>6:38c</w:t>
      </w:r>
    </w:p>
    <w:p>
      <w:pPr/>
      <w:r>
        <w:rPr>
          <w:lang w:val="en_US" w:bidi="en_US"/>
        </w:rPr>
      </w:r>
      <w:r>
        <w:rPr>
          <w:b/>
          <w:lang w:val="en_US" w:bidi="en_US"/>
        </w:rPr>
        <w:t>A good measure,</w:t>
      </w:r>
    </w:p>
    <w:p>
      <w:pPr>
        <w:pStyle w:val="ListBullet"/>
        <w:spacing w:line="240" w:lineRule="auto"/>
        <w:ind w:left="720"/>
      </w:pPr>
      <w:r>
        <w:rPr>
          <w:lang w:val="en_US" w:bidi="en_US"/>
        </w:rPr>
      </w:r>
      <w:r>
        <w:rPr>
          <w:lang w:val="en_US" w:bidi="en_US"/>
        </w:rPr>
        <w:t>A full measure/container</w:t>
      </w:r>
    </w:p>
    <w:p>
      <w:pPr>
        <w:pStyle w:val="ListBullet"/>
        <w:spacing w:line="240" w:lineRule="auto"/>
        <w:ind w:left="720"/>
      </w:pPr>
      <w:r>
        <w:rPr>
          <w:lang w:val="en_US" w:bidi="en_US"/>
        </w:rPr>
      </w:r>
      <w:r>
        <w:rPr>
          <w:lang w:val="en_US" w:bidi="en_US"/>
        </w:rPr>
        <w:t>It will be like a merchant who gives you</w:t>
      </w:r>
      <w:r>
        <w:rPr>
          <w:lang w:val="en_US" w:bidi="en_US"/>
        </w:rPr>
        <w:t xml:space="preserve"> a full measure </w:t>
      </w:r>
      <w:r>
        <w:rPr>
          <w:lang w:val="en_US" w:bidi="en_US"/>
        </w:rPr>
        <w:t>of grain</w:t>
      </w:r>
    </w:p>
    <w:p>
      <w:pPr>
        <w:pStyle w:val="ListBullet"/>
        <w:spacing w:line="240" w:lineRule="auto"/>
        <w:ind w:left="720"/>
      </w:pPr>
      <w:r>
        <w:rPr>
          <w:lang w:val="en_US" w:bidi="en_US"/>
        </w:rPr>
      </w:r>
      <w:r>
        <w:rPr>
          <w:lang w:val="en_US" w:bidi="en_US"/>
        </w:rPr>
        <w:t>God will do to you as a generous merchant does.</w:t>
      </w:r>
      <w:r>
        <w:rPr>
          <w:lang w:val="en_US" w:bidi="en_US"/>
        </w:rPr>
        <w:t xml:space="preserve"> </w:t>
      </w:r>
      <w:r>
        <w:rPr>
          <w:lang w:val="en_US" w:bidi="en_US"/>
        </w:rPr>
        <w:t>He will pour out</w:t>
      </w:r>
      <w:r>
        <w:rPr>
          <w:lang w:val="en_US" w:bidi="en_US"/>
        </w:rPr>
        <w:t xml:space="preserve"> a full measure/cup,</w:t>
      </w:r>
    </w:p>
    <w:p>
      <w:pPr/>
      <w:r>
        <w:rPr>
          <w:lang w:val="en_US" w:bidi="en_US"/>
        </w:rPr>
      </w:r>
      <w:r>
        <w:rPr>
          <w:b/>
          <w:lang w:val="en_US" w:bidi="en_US"/>
        </w:rPr>
        <w:t>A good measure:</w:t>
      </w:r>
      <w:r>
        <w:rPr>
          <w:lang w:val="en_US" w:bidi="en_US"/>
        </w:rPr>
        <w:t xml:space="preserve"> The phrase </w:t>
      </w:r>
      <w:r>
        <w:rPr>
          <w:i/>
          <w:lang w:val="en_US" w:bidi="en_US"/>
        </w:rPr>
        <w:t>A good measure</w:t>
      </w:r>
      <w:r>
        <w:rPr>
          <w:lang w:val="en_US" w:bidi="en_US"/>
        </w:rPr>
        <w:t xml:space="preserve"> refers to a full measure such as a generous merchant gives. Some other ways to translate this are:</w:t>
      </w:r>
    </w:p>
    <w:p>
      <w:pPr/>
      <w:r>
        <w:rPr>
          <w:lang w:val="en_US" w:bidi="en_US"/>
        </w:rPr>
      </w:r>
      <w:r>
        <w:rPr>
          <w:lang w:val="en_US" w:bidi="en_US"/>
        </w:rPr>
        <w:t>a full measure (GNT)</w:t>
      </w:r>
    </w:p>
    <w:p>
      <w:pPr/>
      <w:r>
        <w:rPr>
          <w:lang w:val="en_US" w:bidi="en_US"/>
        </w:rPr>
      </w:r>
      <w:r>
        <w:rPr>
          <w:lang w:val="en_US" w:bidi="en_US"/>
        </w:rPr>
        <w:t>A large quantity (GW)</w:t>
      </w:r>
    </w:p>
    <w:p>
      <w:pPr/>
      <w:r>
        <w:rPr>
          <w:lang w:val="en_US" w:bidi="en_US"/>
        </w:rPr>
      </w:r>
      <w:r>
        <w:rPr>
          <w:lang w:val="en_US" w:bidi="en_US"/>
        </w:rPr>
        <w:t>You will be given much (NCV)</w:t>
      </w:r>
    </w:p>
    <w:p>
      <w:pPr/>
      <w:r>
        <w:rPr>
          <w:lang w:val="en_US" w:bidi="en_US"/>
        </w:rPr>
      </w:r>
      <w:r>
        <w:rPr>
          <w:lang w:val="en_US" w:bidi="en_US"/>
        </w:rPr>
        <w:t>Use a general word to describe the measuring container or a measured quantity of grain. If you do not have a general word, use a word for a specific container that is used for measuring grain in your culture. For example:</w:t>
      </w:r>
    </w:p>
    <w:p>
      <w:pPr/>
      <w:r>
        <w:rPr>
          <w:lang w:val="en_US" w:bidi="en_US"/>
        </w:rPr>
      </w:r>
      <w:r>
        <w:rPr>
          <w:lang w:val="en_US" w:bidi="en_US"/>
        </w:rPr>
        <w:t>a full cup/bowl/tin</w:t>
      </w:r>
    </w:p>
    <w:p>
      <w:pPr>
        <w:pStyle w:val="Heading5"/>
      </w:pPr>
      <w:r>
        <w:rPr>
          <w:lang w:val="en_US" w:bidi="en_US"/>
        </w:rPr>
        <w:t>6:38d</w:t>
      </w:r>
    </w:p>
    <w:p>
      <w:pPr/>
      <w:r>
        <w:rPr>
          <w:lang w:val="en_US" w:bidi="en_US"/>
        </w:rPr>
      </w:r>
      <w:r>
        <w:rPr>
          <w:b/>
          <w:lang w:val="en_US" w:bidi="en_US"/>
        </w:rPr>
        <w:t>pressed down,</w:t>
      </w:r>
    </w:p>
    <w:p>
      <w:pPr>
        <w:pStyle w:val="ListBullet"/>
        <w:spacing w:line="240" w:lineRule="auto"/>
        <w:ind w:left="720"/>
      </w:pPr>
      <w:r>
        <w:rPr>
          <w:lang w:val="en_US" w:bidi="en_US"/>
        </w:rPr>
      </w:r>
      <w:r>
        <w:rPr>
          <w:lang w:val="en_US" w:bidi="en_US"/>
        </w:rPr>
        <w:t>that is</w:t>
      </w:r>
      <w:r>
        <w:rPr>
          <w:lang w:val="en_US" w:bidi="en_US"/>
        </w:rPr>
        <w:t xml:space="preserve"> pressed/packed down,</w:t>
      </w:r>
    </w:p>
    <w:p>
      <w:pPr>
        <w:pStyle w:val="ListBullet"/>
        <w:spacing w:line="240" w:lineRule="auto"/>
        <w:ind w:left="720"/>
      </w:pPr>
      <w:r>
        <w:rPr>
          <w:lang w:val="en_US" w:bidi="en_US"/>
        </w:rPr>
      </w:r>
      <w:r>
        <w:rPr>
          <w:lang w:val="en_US" w:bidi="en_US"/>
        </w:rPr>
        <w:t>by packing it down,</w:t>
      </w:r>
    </w:p>
    <w:p>
      <w:pPr>
        <w:pStyle w:val="ListBullet"/>
        <w:spacing w:line="240" w:lineRule="auto"/>
        <w:ind w:left="720"/>
      </w:pPr>
      <w:r>
        <w:rPr>
          <w:lang w:val="en_US" w:bidi="en_US"/>
        </w:rPr>
      </w:r>
      <w:r>
        <w:rPr>
          <w:lang w:val="en_US" w:bidi="en_US"/>
        </w:rPr>
        <w:t>press it down,</w:t>
      </w:r>
    </w:p>
    <w:p>
      <w:pPr/>
      <w:r>
        <w:rPr>
          <w:lang w:val="en_US" w:bidi="en_US"/>
        </w:rPr>
      </w:r>
      <w:r>
        <w:rPr>
          <w:b/>
          <w:lang w:val="en_US" w:bidi="en_US"/>
        </w:rPr>
        <w:t>pressed down:</w:t>
      </w:r>
      <w:r>
        <w:rPr>
          <w:lang w:val="en_US" w:bidi="en_US"/>
        </w:rPr>
        <w:t xml:space="preserve"> The Greek verb that the BSB translates as </w:t>
      </w:r>
      <w:r>
        <w:rPr>
          <w:i/>
          <w:lang w:val="en_US" w:bidi="en_US"/>
        </w:rPr>
        <w:t>pressed down</w:t>
      </w:r>
      <w:r>
        <w:rPr>
          <w:lang w:val="en_US" w:bidi="en_US"/>
        </w:rPr>
        <w:t xml:space="preserve"> indicates that the merchant pressed or pushed down the grain. He did this so that it would take up as little space as possible. Then the merchant could pour more grain into the container. Some other ways to translate this are:</w:t>
      </w:r>
    </w:p>
    <w:p>
      <w:pPr/>
      <w:r>
        <w:rPr>
          <w:lang w:val="en_US" w:bidi="en_US"/>
        </w:rPr>
      </w:r>
      <w:r>
        <w:rPr>
          <w:lang w:val="en_US" w:bidi="en_US"/>
        </w:rPr>
        <w:t>pressed together (GW)</w:t>
      </w:r>
    </w:p>
    <w:p>
      <w:pPr/>
      <w:r>
        <w:rPr>
          <w:lang w:val="en_US" w:bidi="en_US"/>
        </w:rPr>
      </w:r>
      <w:r>
        <w:rPr>
          <w:lang w:val="en_US" w:bidi="en_US"/>
        </w:rPr>
        <w:t>It will be packed down (CEV)</w:t>
      </w:r>
    </w:p>
    <w:p>
      <w:pPr>
        <w:pStyle w:val="Heading5"/>
      </w:pPr>
      <w:r>
        <w:rPr>
          <w:lang w:val="en_US" w:bidi="en_US"/>
        </w:rPr>
        <w:t>6:38e</w:t>
      </w:r>
    </w:p>
    <w:p>
      <w:pPr/>
      <w:r>
        <w:rPr>
          <w:lang w:val="en_US" w:bidi="en_US"/>
        </w:rPr>
      </w:r>
      <w:r>
        <w:rPr>
          <w:b/>
          <w:lang w:val="en_US" w:bidi="en_US"/>
        </w:rPr>
        <w:t>shaken together,</w:t>
      </w:r>
    </w:p>
    <w:p>
      <w:pPr>
        <w:pStyle w:val="ListBullet"/>
        <w:spacing w:line="240" w:lineRule="auto"/>
        <w:ind w:left="720"/>
      </w:pPr>
      <w:r>
        <w:rPr>
          <w:lang w:val="en_US" w:bidi="en_US"/>
        </w:rPr>
      </w:r>
      <w:r>
        <w:rPr>
          <w:lang w:val="en_US" w:bidi="en_US"/>
        </w:rPr>
        <w:t>shaken,</w:t>
      </w:r>
    </w:p>
    <w:p>
      <w:pPr>
        <w:pStyle w:val="ListBullet"/>
        <w:spacing w:line="240" w:lineRule="auto"/>
        <w:ind w:left="720"/>
      </w:pPr>
      <w:r>
        <w:rPr>
          <w:lang w:val="en_US" w:bidi="en_US"/>
        </w:rPr>
      </w:r>
      <w:r>
        <w:rPr>
          <w:lang w:val="en_US" w:bidi="en_US"/>
        </w:rPr>
        <w:t xml:space="preserve">shaking it </w:t>
      </w:r>
      <w:r>
        <w:rPr>
          <w:lang w:val="en_US" w:bidi="en_US"/>
        </w:rPr>
        <w:t>so he can put in more</w:t>
      </w:r>
      <w:r>
        <w:rPr>
          <w:lang w:val="en_US" w:bidi="en_US"/>
        </w:rPr>
        <w:t>,</w:t>
      </w:r>
    </w:p>
    <w:p>
      <w:pPr>
        <w:pStyle w:val="ListBullet"/>
        <w:spacing w:line="240" w:lineRule="auto"/>
        <w:ind w:left="720"/>
      </w:pPr>
      <w:r>
        <w:rPr>
          <w:lang w:val="en_US" w:bidi="en_US"/>
        </w:rPr>
      </w:r>
      <w:r>
        <w:rPr>
          <w:lang w:val="en_US" w:bidi="en_US"/>
        </w:rPr>
        <w:t>shake it,</w:t>
      </w:r>
    </w:p>
    <w:p>
      <w:pPr/>
      <w:r>
        <w:rPr>
          <w:lang w:val="en_US" w:bidi="en_US"/>
        </w:rPr>
      </w:r>
      <w:r>
        <w:rPr>
          <w:b/>
          <w:lang w:val="en_US" w:bidi="en_US"/>
        </w:rPr>
        <w:t>shaken together:</w:t>
      </w:r>
      <w:r>
        <w:rPr>
          <w:lang w:val="en_US" w:bidi="en_US"/>
        </w:rPr>
        <w:t xml:space="preserve"> The merchant shakes the container and the grain in it. In that way, he makes sure that the grain settles and the container is completely full. Some other ways to translate this are:</w:t>
      </w:r>
    </w:p>
    <w:p>
      <w:pPr/>
      <w:r>
        <w:rPr>
          <w:lang w:val="en_US" w:bidi="en_US"/>
        </w:rPr>
      </w:r>
      <w:r>
        <w:rPr>
          <w:lang w:val="en_US" w:bidi="en_US"/>
        </w:rPr>
        <w:t>shaken down (GW)</w:t>
      </w:r>
    </w:p>
    <w:p>
      <w:pPr/>
      <w:r>
        <w:rPr>
          <w:lang w:val="en_US" w:bidi="en_US"/>
        </w:rPr>
      </w:r>
      <w:r>
        <w:rPr>
          <w:lang w:val="en_US" w:bidi="en_US"/>
        </w:rPr>
        <w:t>shaken together to make room for more (NLT)</w:t>
      </w:r>
    </w:p>
    <w:p>
      <w:pPr>
        <w:pStyle w:val="Heading5"/>
      </w:pPr>
      <w:r>
        <w:rPr>
          <w:lang w:val="en_US" w:bidi="en_US"/>
        </w:rPr>
        <w:t>6:38f</w:t>
      </w:r>
    </w:p>
    <w:p>
      <w:pPr/>
      <w:r>
        <w:rPr>
          <w:lang w:val="en_US" w:bidi="en_US"/>
        </w:rPr>
      </w:r>
      <w:r>
        <w:rPr>
          <w:b/>
          <w:lang w:val="en_US" w:bidi="en_US"/>
        </w:rPr>
        <w:t>and running over</w:t>
      </w:r>
    </w:p>
    <w:p>
      <w:pPr>
        <w:pStyle w:val="ListBullet"/>
        <w:spacing w:line="240" w:lineRule="auto"/>
        <w:ind w:left="720"/>
      </w:pPr>
      <w:r>
        <w:rPr>
          <w:lang w:val="en_US" w:bidi="en_US"/>
        </w:rPr>
      </w:r>
      <w:r>
        <w:rPr>
          <w:lang w:val="en_US" w:bidi="en_US"/>
        </w:rPr>
        <w:t>and overflowing</w:t>
      </w:r>
    </w:p>
    <w:p>
      <w:pPr>
        <w:pStyle w:val="ListBullet"/>
        <w:spacing w:line="240" w:lineRule="auto"/>
        <w:ind w:left="720"/>
      </w:pPr>
      <w:r>
        <w:rPr>
          <w:lang w:val="en_US" w:bidi="en_US"/>
        </w:rPr>
      </w:r>
      <w:r>
        <w:rPr>
          <w:lang w:val="en_US" w:bidi="en_US"/>
        </w:rPr>
        <w:t>and then filling the measure even more until it spills over the sides.</w:t>
      </w:r>
    </w:p>
    <w:p>
      <w:pPr>
        <w:pStyle w:val="ListBullet"/>
        <w:spacing w:line="240" w:lineRule="auto"/>
        <w:ind w:left="720"/>
      </w:pPr>
      <w:r>
        <w:rPr>
          <w:lang w:val="en_US" w:bidi="en_US"/>
        </w:rPr>
      </w:r>
      <w:r>
        <w:rPr>
          <w:lang w:val="en_US" w:bidi="en_US"/>
        </w:rPr>
        <w:t>and heap it up until it overflows.</w:t>
      </w:r>
    </w:p>
    <w:p>
      <w:pPr/>
      <w:r>
        <w:rPr>
          <w:lang w:val="en_US" w:bidi="en_US"/>
        </w:rPr>
      </w:r>
      <w:r>
        <w:rPr>
          <w:b/>
          <w:lang w:val="en_US" w:bidi="en_US"/>
        </w:rPr>
        <w:t>running over:</w:t>
      </w:r>
      <w:r>
        <w:rPr>
          <w:lang w:val="en_US" w:bidi="en_US"/>
        </w:rPr>
        <w:t xml:space="preserve"> The phrase </w:t>
      </w:r>
      <w:r>
        <w:rPr>
          <w:i/>
          <w:lang w:val="en_US" w:bidi="en_US"/>
        </w:rPr>
        <w:t>running over</w:t>
      </w:r>
      <w:r>
        <w:rPr>
          <w:lang w:val="en_US" w:bidi="en_US"/>
        </w:rPr>
        <w:t xml:space="preserve"> means that the merchant put so much grain into the container that it began to spill over the sides. Some other ways to translate this are:</w:t>
      </w:r>
    </w:p>
    <w:p>
      <w:pPr/>
      <w:r>
        <w:rPr>
          <w:lang w:val="en_US" w:bidi="en_US"/>
        </w:rPr>
      </w:r>
      <w:r>
        <w:rPr>
          <w:lang w:val="en_US" w:bidi="en_US"/>
        </w:rPr>
        <w:t>flowing over</w:t>
      </w:r>
    </w:p>
    <w:p>
      <w:pPr/>
      <w:r>
        <w:rPr>
          <w:lang w:val="en_US" w:bidi="en_US"/>
        </w:rPr>
      </w:r>
      <w:r>
        <w:rPr>
          <w:lang w:val="en_US" w:bidi="en_US"/>
        </w:rPr>
        <w:t>spilling over</w:t>
      </w:r>
    </w:p>
    <w:p>
      <w:pPr/>
      <w:r>
        <w:rPr>
          <w:lang w:val="en_US" w:bidi="en_US"/>
        </w:rPr>
      </w:r>
      <w:r>
        <w:rPr>
          <w:lang w:val="en_US" w:bidi="en_US"/>
        </w:rPr>
        <w:t>heaped over the top</w:t>
      </w:r>
    </w:p>
    <w:p>
      <w:pPr>
        <w:pStyle w:val="Heading5"/>
      </w:pPr>
      <w:r>
        <w:rPr>
          <w:lang w:val="en_US" w:bidi="en_US"/>
        </w:rPr>
        <w:t>6:38g</w:t>
      </w:r>
    </w:p>
    <w:p>
      <w:pPr/>
      <w:r>
        <w:rPr>
          <w:lang w:val="en_US" w:bidi="en_US"/>
        </w:rPr>
      </w:r>
      <w:r>
        <w:rPr>
          <w:b/>
          <w:lang w:val="en_US" w:bidi="en_US"/>
        </w:rPr>
        <w:t>will be poured into your lap.</w:t>
      </w:r>
    </w:p>
    <w:p>
      <w:pPr>
        <w:pStyle w:val="ListBullet"/>
        <w:spacing w:line="240" w:lineRule="auto"/>
        <w:ind w:left="720"/>
      </w:pPr>
      <w:r>
        <w:rPr>
          <w:lang w:val="en_US" w:bidi="en_US"/>
        </w:rPr>
      </w:r>
      <w:r>
        <w:rPr>
          <w:lang w:val="en_US" w:bidi="en_US"/>
        </w:rPr>
        <w:t>will be poured into your lap.</w:t>
      </w:r>
    </w:p>
    <w:p>
      <w:pPr>
        <w:pStyle w:val="ListBullet"/>
        <w:spacing w:line="240" w:lineRule="auto"/>
        <w:ind w:left="720"/>
      </w:pPr>
      <w:r>
        <w:rPr>
          <w:lang w:val="en_US" w:bidi="en_US"/>
        </w:rPr>
      </w:r>
      <w:r>
        <w:rPr>
          <w:lang w:val="en_US" w:bidi="en_US"/>
        </w:rPr>
        <w:t>Then</w:t>
      </w:r>
      <w:r>
        <w:rPr>
          <w:lang w:val="en_US" w:bidi="en_US"/>
        </w:rPr>
        <w:t xml:space="preserve"> </w:t>
      </w:r>
      <w:r>
        <w:rPr>
          <w:lang w:val="en_US" w:bidi="en_US"/>
        </w:rPr>
        <w:t>he</w:t>
      </w:r>
      <w:r>
        <w:rPr>
          <w:lang w:val="en_US" w:bidi="en_US"/>
        </w:rPr>
        <w:t xml:space="preserve"> will pour </w:t>
      </w:r>
      <w:r>
        <w:rPr>
          <w:lang w:val="en_US" w:bidi="en_US"/>
        </w:rPr>
        <w:t>it</w:t>
      </w:r>
      <w:r>
        <w:rPr>
          <w:lang w:val="en_US" w:bidi="en_US"/>
        </w:rPr>
        <w:t xml:space="preserve"> into your container.</w:t>
      </w:r>
    </w:p>
    <w:p>
      <w:pPr>
        <w:pStyle w:val="ListBullet"/>
        <w:spacing w:line="240" w:lineRule="auto"/>
        <w:ind w:left="720"/>
      </w:pPr>
      <w:r>
        <w:rPr>
          <w:lang w:val="en_US" w:bidi="en_US"/>
        </w:rPr>
      </w:r>
      <w:r>
        <w:rPr>
          <w:lang w:val="en_US" w:bidi="en_US"/>
        </w:rPr>
        <w:t>Then</w:t>
      </w:r>
      <w:r>
        <w:rPr>
          <w:lang w:val="en_US" w:bidi="en_US"/>
        </w:rPr>
        <w:t xml:space="preserve"> </w:t>
      </w:r>
      <w:r>
        <w:rPr>
          <w:lang w:val="en_US" w:bidi="en_US"/>
        </w:rPr>
        <w:t>he</w:t>
      </w:r>
      <w:r>
        <w:rPr>
          <w:lang w:val="en_US" w:bidi="en_US"/>
        </w:rPr>
        <w:t xml:space="preserve"> will give </w:t>
      </w:r>
      <w:r>
        <w:rPr>
          <w:lang w:val="en_US" w:bidi="en_US"/>
        </w:rPr>
        <w:t>it all</w:t>
      </w:r>
      <w:r>
        <w:rPr>
          <w:lang w:val="en_US" w:bidi="en_US"/>
        </w:rPr>
        <w:t xml:space="preserve"> to you.</w:t>
      </w:r>
    </w:p>
    <w:p>
      <w:pPr/>
      <w:r>
        <w:rPr>
          <w:lang w:val="en_US" w:bidi="en_US"/>
        </w:rPr>
      </w:r>
      <w:r>
        <w:rPr>
          <w:b/>
          <w:lang w:val="en_US" w:bidi="en_US"/>
        </w:rPr>
        <w:t>will be poured into your lap:</w:t>
      </w:r>
      <w:r>
        <w:rPr>
          <w:lang w:val="en_US" w:bidi="en_US"/>
        </w:rPr>
        <w:t xml:space="preserve"> The phrase that the BSB translates as </w:t>
      </w:r>
      <w:r>
        <w:rPr>
          <w:i/>
          <w:lang w:val="en_US" w:bidi="en_US"/>
        </w:rPr>
        <w:t>will be poured into your lap</w:t>
      </w:r>
      <w:r>
        <w:rPr>
          <w:lang w:val="en_US" w:bidi="en_US"/>
        </w:rPr>
        <w:t xml:space="preserve"> is literally “they will pour into your lap.” “They” here refers to the merchant.</w:t>
      </w:r>
      <w:r>
        <w:rPr>
          <w:lang w:val="en_US" w:bidi="en_US"/>
        </w:rPr>
        <w:t>Some scholars suggest that the third person plural form is used as a circumlocution for God.</w:t>
      </w:r>
      <w:r>
        <w:rPr>
          <w:lang w:val="en_US" w:bidi="en_US"/>
        </w:rPr>
        <w:t xml:space="preserve"> Some other ways to translate this are:</w:t>
      </w:r>
    </w:p>
    <w:p>
      <w:pPr/>
      <w:r>
        <w:rPr>
          <w:lang w:val="en_US" w:bidi="en_US"/>
        </w:rPr>
      </w:r>
      <w:r>
        <w:rPr>
          <w:lang w:val="en_US" w:bidi="en_US"/>
        </w:rPr>
        <w:t>it will then be poured into your lap/basket</w:t>
      </w:r>
    </w:p>
    <w:p>
      <w:pPr/>
      <w:r>
        <w:rPr>
          <w:lang w:val="en_US" w:bidi="en_US"/>
        </w:rPr>
      </w:r>
      <w:r>
        <w:rPr>
          <w:lang w:val="en_US" w:bidi="en_US"/>
        </w:rPr>
        <w:t>he will then pour the grain into your lap/basket</w:t>
      </w:r>
    </w:p>
    <w:p>
      <w:pPr/>
      <w:r>
        <w:rPr>
          <w:lang w:val="en_US" w:bidi="en_US"/>
        </w:rPr>
      </w:r>
      <w:r>
        <w:rPr>
          <w:b/>
          <w:lang w:val="en_US" w:bidi="en_US"/>
        </w:rPr>
        <w:t>lap:</w:t>
      </w:r>
      <w:r>
        <w:rPr>
          <w:lang w:val="en_US" w:bidi="en_US"/>
        </w:rPr>
        <w:t xml:space="preserve"> The Greek word that the BSB translates as </w:t>
      </w:r>
      <w:r>
        <w:rPr>
          <w:i/>
          <w:lang w:val="en_US" w:bidi="en_US"/>
        </w:rPr>
        <w:t>lap</w:t>
      </w:r>
      <w:r>
        <w:rPr>
          <w:lang w:val="en_US" w:bidi="en_US"/>
        </w:rPr>
        <w:t xml:space="preserve"> refers to a pocket or pouch made by folding one’s robe. It was the custom for a person who bought grain to fold his robe (outer clothes) to make a pocket. The merchant would pour the grain into this fold or pocket. That is the way the buyer would carry it away.</w:t>
      </w:r>
    </w:p>
    <w:p>
      <w:pPr/>
      <w:r>
        <w:rPr>
          <w:lang w:val="en_US" w:bidi="en_US"/>
        </w:rPr>
      </w:r>
      <w:r>
        <w:rPr>
          <w:lang w:val="en_US" w:bidi="en_US"/>
        </w:rPr>
        <w:t>If this is not the custom in your culture, you could translate using a general word for a grain container such as a basket.</w:t>
      </w:r>
    </w:p>
    <w:p>
      <w:pPr>
        <w:pStyle w:val="Heading5"/>
      </w:pPr>
      <w:r>
        <w:rPr>
          <w:lang w:val="en_US" w:bidi="en_US"/>
        </w:rPr>
        <w:t>6:38h</w:t>
      </w:r>
    </w:p>
    <w:p>
      <w:pPr/>
      <w:r>
        <w:rPr>
          <w:lang w:val="en_US" w:bidi="en_US"/>
        </w:rPr>
      </w:r>
      <w:r>
        <w:rPr>
          <w:b/>
          <w:lang w:val="en_US" w:bidi="en_US"/>
        </w:rPr>
        <w:t>For with the measure you use, it will be measured back to you.”</w:t>
      </w:r>
    </w:p>
    <w:p>
      <w:pPr>
        <w:pStyle w:val="ListBullet"/>
        <w:spacing w:line="240" w:lineRule="auto"/>
        <w:ind w:left="720"/>
      </w:pPr>
      <w:r>
        <w:rPr>
          <w:lang w:val="en_US" w:bidi="en_US"/>
        </w:rPr>
      </w:r>
      <w:r>
        <w:rPr>
          <w:lang w:val="en_US" w:bidi="en_US"/>
        </w:rPr>
        <w:t xml:space="preserve">The measure you use </w:t>
      </w:r>
      <w:r>
        <w:rPr>
          <w:lang w:val="en_US" w:bidi="en_US"/>
        </w:rPr>
        <w:t>for/with others</w:t>
      </w:r>
      <w:r>
        <w:rPr>
          <w:lang w:val="en_US" w:bidi="en_US"/>
        </w:rPr>
        <w:t xml:space="preserve"> will be used for/with you.”</w:t>
      </w:r>
    </w:p>
    <w:p>
      <w:pPr>
        <w:pStyle w:val="ListBullet"/>
        <w:spacing w:line="240" w:lineRule="auto"/>
        <w:ind w:left="720"/>
      </w:pPr>
      <w:r>
        <w:rPr>
          <w:lang w:val="en_US" w:bidi="en_US"/>
        </w:rPr>
      </w:r>
      <w:r>
        <w:rPr>
          <w:lang w:val="en_US" w:bidi="en_US"/>
        </w:rPr>
        <w:t>The way you treat others is the way you will be treated.” (CEV)</w:t>
      </w:r>
    </w:p>
    <w:p>
      <w:pPr>
        <w:pStyle w:val="ListBullet"/>
        <w:spacing w:line="240" w:lineRule="auto"/>
        <w:ind w:left="720"/>
      </w:pPr>
      <w:r>
        <w:rPr>
          <w:lang w:val="en_US" w:bidi="en_US"/>
        </w:rPr>
      </w:r>
      <w:r>
        <w:rPr>
          <w:lang w:val="en_US" w:bidi="en_US"/>
        </w:rPr>
        <w:t>The measure you use for others is the one that God will use for you.” (GNT)</w:t>
      </w:r>
    </w:p>
    <w:p>
      <w:pPr/>
      <w:r>
        <w:rPr>
          <w:lang w:val="en_US" w:bidi="en_US"/>
        </w:rPr>
      </w:r>
      <w:r>
        <w:rPr>
          <w:lang w:val="en_US" w:bidi="en_US"/>
        </w:rPr>
        <w:t>Luke 6:38h is a common proverb that Jews would often repeat. Jesus used it here to emphasize what he had just said in 6:37a–38g. It summarizes the way his disciples are to act. It reinforces the fact that the disciples’ behavior determines how God and others will behave towards them.</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proverb. Some translations do not explicitly translate this conjunction (for example, GNT). If your language uses proverbs to teach principles, think about how you would introduce the proverb. Connect this proverb in that way.</w:t>
      </w:r>
    </w:p>
    <w:p>
      <w:pPr/>
      <w:r>
        <w:rPr>
          <w:lang w:val="en_US" w:bidi="en_US"/>
        </w:rPr>
      </w:r>
      <w:r>
        <w:rPr>
          <w:lang w:val="en_US" w:bidi="en_US"/>
        </w:rPr>
        <w:t>Some other ways in English to introduce this proverb are:</w:t>
      </w:r>
    </w:p>
    <w:p>
      <w:pPr/>
      <w:r>
        <w:rPr>
          <w:lang w:val="en_US" w:bidi="en_US"/>
        </w:rPr>
      </w:r>
      <w:r>
        <w:rPr>
          <w:lang w:val="en_US" w:bidi="en_US"/>
        </w:rPr>
        <w:t>After all</w:t>
      </w:r>
    </w:p>
    <w:p>
      <w:pPr/>
      <w:r>
        <w:rPr>
          <w:lang w:val="en_US" w:bidi="en_US"/>
        </w:rPr>
      </w:r>
      <w:r>
        <w:rPr>
          <w:lang w:val="en_US" w:bidi="en_US"/>
        </w:rPr>
        <w:t>Remember</w:t>
      </w:r>
    </w:p>
    <w:p>
      <w:pPr/>
      <w:r>
        <w:rPr>
          <w:lang w:val="en_US" w:bidi="en_US"/>
        </w:rPr>
      </w:r>
      <w:r>
        <w:rPr>
          <w:b/>
          <w:lang w:val="en_US" w:bidi="en_US"/>
        </w:rPr>
        <w:t>with the measure you use, it will be measured back to you:</w:t>
      </w:r>
      <w:r>
        <w:rPr>
          <w:lang w:val="en_US" w:bidi="en_US"/>
        </w:rPr>
        <w:t xml:space="preserve"> </w:t>
      </w:r>
      <w:r>
        <w:rPr>
          <w:lang w:val="en_US" w:bidi="en_US"/>
        </w:rPr>
        <w:t>Before the word “measure,” some Greek manuscripts and the KJV add the word “same.” Although the word “same” may not have been used in the original text, it may be implied in this context.</w:t>
      </w:r>
      <w:r>
        <w:rPr>
          <w:lang w:val="en_US" w:bidi="en_US"/>
        </w:rPr>
        <w:t xml:space="preserve"> As in 6:38c, the word </w:t>
      </w:r>
      <w:r>
        <w:rPr>
          <w:i/>
          <w:lang w:val="en_US" w:bidi="en_US"/>
        </w:rPr>
        <w:t>measure</w:t>
      </w:r>
      <w:r>
        <w:rPr>
          <w:lang w:val="en_US" w:bidi="en_US"/>
        </w:rPr>
        <w:t xml:space="preserve"> here refers to a measuring container or a measured quantity of grain. Jesus was saying that the type of measuring container that Jesus’ disciples use with other people is the same type of measuring container that God will use with them.</w:t>
      </w:r>
    </w:p>
    <w:p>
      <w:pPr/>
      <w:r>
        <w:rPr>
          <w:lang w:val="en_US" w:bidi="en_US"/>
        </w:rPr>
      </w:r>
      <w:r>
        <w:rPr>
          <w:lang w:val="en_US" w:bidi="en_US"/>
        </w:rPr>
        <w:t>In this context Jesus’ saying means that if the disciples are generous with other people, God will be generous with them. This applies in a figurative way as well as in a literal way. If the disciples are generous and kind in the way they judge or treat other people, God will also be kind in the way he judges or treats them.</w:t>
      </w:r>
    </w:p>
    <w:p>
      <w:pPr/>
      <w:r>
        <w:rPr>
          <w:lang w:val="en_US" w:bidi="en_US"/>
        </w:rPr>
      </w:r>
      <w:r>
        <w:rPr>
          <w:lang w:val="en_US" w:bidi="en_US"/>
        </w:rPr>
        <w:t>Some other ways to translate this proverb are:</w:t>
      </w:r>
    </w:p>
    <w:p>
      <w:pPr/>
      <w:r>
        <w:rPr>
          <w:lang w:val="en_US" w:bidi="en_US"/>
        </w:rPr>
      </w:r>
      <w:r>
        <w:rPr>
          <w:lang w:val="en_US" w:bidi="en_US"/>
        </w:rPr>
        <w:t xml:space="preserve">Whatever type of measure you use </w:t>
      </w:r>
      <w:r>
        <w:rPr>
          <w:lang w:val="en_US" w:bidi="en_US"/>
        </w:rPr>
        <w:t>with/for others</w:t>
      </w:r>
      <w:r>
        <w:rPr>
          <w:lang w:val="en_US" w:bidi="en_US"/>
        </w:rPr>
        <w:t>, that same measure will be used with/for you.</w:t>
      </w:r>
    </w:p>
    <w:p>
      <w:pPr/>
      <w:r>
        <w:rPr>
          <w:lang w:val="en_US" w:bidi="en_US"/>
        </w:rPr>
      </w:r>
      <w:r>
        <w:rPr>
          <w:lang w:val="en_US" w:bidi="en_US"/>
        </w:rPr>
        <w:t>The way you treat others is the way you will be treated. (CEV)</w:t>
      </w:r>
    </w:p>
    <w:p>
      <w:pPr/>
      <w:r>
        <w:rPr>
          <w:lang w:val="en_US" w:bidi="en_US"/>
        </w:rPr>
      </w:r>
      <w:r>
        <w:rPr>
          <w:b/>
          <w:lang w:val="en_US" w:bidi="en_US"/>
        </w:rPr>
        <w:t>it will be measured back to you:</w:t>
      </w:r>
      <w:r>
        <w:rPr>
          <w:lang w:val="en_US" w:bidi="en_US"/>
        </w:rPr>
        <w:t xml:space="preserve"> The phrase </w:t>
      </w:r>
      <w:r>
        <w:rPr>
          <w:i/>
          <w:lang w:val="en_US" w:bidi="en_US"/>
        </w:rPr>
        <w:t>it will be measured back to you</w:t>
      </w:r>
      <w:r>
        <w:rPr>
          <w:lang w:val="en_US" w:bidi="en_US"/>
        </w:rPr>
        <w:t xml:space="preserve"> is passive. Some ways to translate this are:</w:t>
      </w:r>
    </w:p>
    <w:p>
      <w:pPr>
        <w:pStyle w:val="ListBullet"/>
        <w:spacing w:line="240" w:lineRule="auto"/>
        <w:ind w:left="720"/>
      </w:pPr>
      <w:r>
        <w:rPr>
          <w:lang w:val="en_US" w:bidi="en_US"/>
        </w:rPr>
      </w:r>
      <w:r>
        <w:rPr>
          <w:lang w:val="en_US" w:bidi="en_US"/>
        </w:rPr>
        <w:t>As a passive clause. For example:</w:t>
      </w:r>
      <w:r>
        <w:rPr>
          <w:lang w:val="en_US" w:bidi="en_US"/>
        </w:rPr>
        <w:t xml:space="preserve">by your standard of measure </w:t>
      </w:r>
      <w:r>
        <w:rPr>
          <w:u w:val="single"/>
          <w:lang w:val="en_US" w:bidi="en_US"/>
        </w:rPr>
        <w:t>it will be measured to you in return</w:t>
      </w:r>
      <w:r>
        <w:rPr>
          <w:lang w:val="en_US" w:bidi="en_US"/>
        </w:rPr>
        <w:t xml:space="preserve"> (NASB)</w:t>
      </w:r>
      <w:r>
        <w:rPr>
          <w:lang w:val="en_US" w:bidi="en_US"/>
        </w:rPr>
        <w:t xml:space="preserve">The standards you use for others </w:t>
      </w:r>
      <w:r>
        <w:rPr>
          <w:u w:val="single"/>
          <w:lang w:val="en_US" w:bidi="en_US"/>
        </w:rPr>
        <w:t>will be applied to you</w:t>
      </w:r>
      <w:r>
        <w:rPr>
          <w:lang w:val="en_US" w:bidi="en_US"/>
        </w:rPr>
        <w:t>. (GW)</w:t>
      </w:r>
      <w:r>
        <w:rPr>
          <w:lang w:val="en_US" w:bidi="en_US"/>
        </w:rPr>
        <w:t xml:space="preserve">The way you treat others </w:t>
      </w:r>
      <w:r>
        <w:rPr>
          <w:u w:val="single"/>
          <w:lang w:val="en_US" w:bidi="en_US"/>
        </w:rPr>
        <w:t>is the way you will be treated</w:t>
      </w:r>
      <w:r>
        <w:rPr>
          <w:lang w:val="en_US" w:bidi="en_US"/>
        </w:rPr>
        <w:t>. (CEV)</w:t>
      </w:r>
    </w:p>
    <w:p>
      <w:pPr>
        <w:pStyle w:val="ListBullet"/>
        <w:spacing w:line="240" w:lineRule="auto"/>
        <w:ind w:left="720"/>
      </w:pPr>
      <w:r>
        <w:rPr>
          <w:lang w:val="en_US" w:bidi="en_US"/>
        </w:rPr>
      </w:r>
      <w:r>
        <w:rPr>
          <w:lang w:val="en_US" w:bidi="en_US"/>
        </w:rPr>
        <w:t>As an active clause. The person who will measure is God. For example:</w:t>
      </w:r>
      <w:r>
        <w:rPr>
          <w:lang w:val="en_US" w:bidi="en_US"/>
        </w:rPr>
        <w:t xml:space="preserve">The measure you use for others </w:t>
      </w:r>
      <w:r>
        <w:rPr>
          <w:u w:val="single"/>
          <w:lang w:val="en_US" w:bidi="en_US"/>
        </w:rPr>
        <w:t>is the one that God will use for you</w:t>
      </w:r>
      <w:r>
        <w:rPr>
          <w:lang w:val="en_US" w:bidi="en_US"/>
        </w:rPr>
        <w:t>. (GNT)</w:t>
      </w:r>
      <w:r>
        <w:rPr>
          <w:lang w:val="en_US" w:bidi="en_US"/>
        </w:rPr>
      </w:r>
      <w:r>
        <w:rPr>
          <w:lang w:val="en_US" w:bidi="en_US"/>
        </w:rPr>
      </w:r>
    </w:p>
    <w:p>
      <w:pPr/>
      <w:r>
        <w:rPr>
          <w:lang w:val="en_US" w:bidi="en_US"/>
        </w:rPr>
      </w:r>
    </w:p>
    <w:p>
      <w:pPr>
        <w:pStyle w:val="Heading2"/>
      </w:pPr>
      <w:r>
        <w:rPr>
          <w:lang w:val="en_US" w:bidi="en_US"/>
        </w:rPr>
        <w:t>Luke 6:39</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5"/>
      </w:pPr>
      <w:r>
        <w:rPr>
          <w:lang w:val="en_US" w:bidi="en_US"/>
        </w:rPr>
        <w:t>6:39</w:t>
      </w:r>
    </w:p>
    <w:p>
      <w:pPr/>
      <w:r>
        <w:rPr>
          <w:lang w:val="en_US" w:bidi="en_US"/>
        </w:rPr>
      </w:r>
      <w:r>
        <w:rPr>
          <w:lang w:val="en_US" w:bidi="en_US"/>
        </w:rPr>
        <w:t>In 6:39, Jesus told a proverb about two blind men. It is a warning. Jesus said that a blind person cannot lead another blind person. The result would be disaster. The rhetorical question form emphasizes the warning. It warns the disciples to be careful whom they follow. It also warns them not to be like a blind leader.</w:t>
      </w:r>
    </w:p>
    <w:p>
      <w:pPr>
        <w:pStyle w:val="Heading5"/>
      </w:pPr>
      <w:r>
        <w:rPr>
          <w:lang w:val="en_US" w:bidi="en_US"/>
        </w:rPr>
        <w:t>6:39a</w:t>
      </w:r>
    </w:p>
    <w:p>
      <w:pPr/>
      <w:r>
        <w:rPr>
          <w:lang w:val="en_US" w:bidi="en_US"/>
        </w:rPr>
      </w:r>
      <w:r>
        <w:rPr>
          <w:b/>
          <w:lang w:val="en_US" w:bidi="en_US"/>
        </w:rPr>
        <w:t>Jesus also told them a parable:</w:t>
      </w:r>
    </w:p>
    <w:p>
      <w:pPr>
        <w:pStyle w:val="ListBullet"/>
        <w:spacing w:line="240" w:lineRule="auto"/>
        <w:ind w:left="720"/>
      </w:pPr>
      <w:r>
        <w:rPr>
          <w:lang w:val="en_US" w:bidi="en_US"/>
        </w:rPr>
      </w:r>
      <w:r>
        <w:rPr>
          <w:lang w:val="en_US" w:bidi="en_US"/>
        </w:rPr>
        <w:t>¶ Jesus also told them a parable:</w:t>
      </w:r>
    </w:p>
    <w:p>
      <w:pPr>
        <w:pStyle w:val="ListBullet"/>
        <w:spacing w:line="240" w:lineRule="auto"/>
        <w:ind w:left="720"/>
      </w:pPr>
      <w:r>
        <w:rPr>
          <w:lang w:val="en_US" w:bidi="en_US"/>
        </w:rPr>
      </w:r>
      <w:r>
        <w:rPr>
          <w:lang w:val="en_US" w:bidi="en_US"/>
        </w:rPr>
        <w:t>¶ Jesus also gave them this illustration/proverb,</w:t>
      </w:r>
    </w:p>
    <w:p>
      <w:pPr/>
      <w:r>
        <w:rPr>
          <w:lang w:val="en_US" w:bidi="en_US"/>
        </w:rPr>
      </w:r>
      <w:r>
        <w:rPr>
          <w:b/>
          <w:lang w:val="en_US" w:bidi="en_US"/>
        </w:rPr>
        <w:t>Jesus also told them a parable:</w:t>
      </w:r>
      <w:r>
        <w:rPr>
          <w:lang w:val="en_US" w:bidi="en_US"/>
        </w:rPr>
        <w:t xml:space="preserve"> Luke used this clause to introduce the parable that Jesus spoke to the disciples.</w:t>
      </w:r>
    </w:p>
    <w:p>
      <w:pPr/>
      <w:r>
        <w:rPr>
          <w:lang w:val="en_US" w:bidi="en_US"/>
        </w:rPr>
      </w:r>
      <w:r>
        <w:rPr>
          <w:b/>
          <w:lang w:val="en_US" w:bidi="en_US"/>
        </w:rPr>
        <w:t>parable:</w:t>
      </w:r>
      <w:r>
        <w:rPr>
          <w:lang w:val="en_US" w:bidi="en_US"/>
        </w:rPr>
        <w:t xml:space="preserve"> In this context the word </w:t>
      </w:r>
      <w:r>
        <w:rPr>
          <w:i/>
          <w:lang w:val="en_US" w:bidi="en_US"/>
        </w:rPr>
        <w:t>parable</w:t>
      </w:r>
      <w:r>
        <w:rPr>
          <w:lang w:val="en_US" w:bidi="en_US"/>
        </w:rPr>
        <w:t xml:space="preserve"> refers to a proverb or short illustration that teaches a spiritual truth. See parable, Type 1, in the Glossary and the note on 5:36a.</w:t>
      </w:r>
    </w:p>
    <w:p>
      <w:pPr/>
      <w:r>
        <w:rPr>
          <w:lang w:val="en_US" w:bidi="en_US"/>
        </w:rPr>
      </w:r>
      <w:r>
        <w:rPr>
          <w:lang w:val="en_US" w:bidi="en_US"/>
        </w:rPr>
        <w:t xml:space="preserve">Here is another way to translate the word </w:t>
      </w:r>
      <w:r>
        <w:rPr>
          <w:i/>
          <w:lang w:val="en_US" w:bidi="en_US"/>
        </w:rPr>
        <w:t>parable</w:t>
      </w:r>
      <w:r>
        <w:rPr>
          <w:lang w:val="en_US" w:bidi="en_US"/>
        </w:rPr>
        <w:t xml:space="preserve"> in this context:</w:t>
      </w:r>
    </w:p>
    <w:p>
      <w:pPr/>
      <w:r>
        <w:rPr>
          <w:lang w:val="en_US" w:bidi="en_US"/>
        </w:rPr>
      </w:r>
      <w:r>
        <w:rPr>
          <w:lang w:val="en_US" w:bidi="en_US"/>
        </w:rPr>
        <w:t>illustration (NET)</w:t>
      </w:r>
    </w:p>
    <w:p>
      <w:pPr>
        <w:pStyle w:val="Heading5"/>
      </w:pPr>
      <w:r>
        <w:rPr>
          <w:lang w:val="en_US" w:bidi="en_US"/>
        </w:rPr>
        <w:t>6:39b</w:t>
      </w:r>
    </w:p>
    <w:p>
      <w:pPr/>
      <w:r>
        <w:rPr>
          <w:lang w:val="en_US" w:bidi="en_US"/>
        </w:rPr>
      </w:r>
      <w:r>
        <w:rPr>
          <w:b/>
          <w:lang w:val="en_US" w:bidi="en_US"/>
        </w:rPr>
        <w:t>“Can a blind man lead a blind man?</w:t>
      </w:r>
    </w:p>
    <w:p>
      <w:pPr>
        <w:pStyle w:val="ListBullet"/>
        <w:spacing w:line="240" w:lineRule="auto"/>
        <w:ind w:left="720"/>
      </w:pPr>
      <w:r>
        <w:rPr>
          <w:lang w:val="en_US" w:bidi="en_US"/>
        </w:rPr>
      </w:r>
      <w:r>
        <w:rPr>
          <w:lang w:val="en_US" w:bidi="en_US"/>
        </w:rPr>
        <w:t xml:space="preserve">“Can one blind man lead/guide another blind man? </w:t>
      </w:r>
      <w:r>
        <w:rPr>
          <w:lang w:val="en_US" w:bidi="en_US"/>
        </w:rPr>
        <w:t>Of course not!</w:t>
      </w:r>
    </w:p>
    <w:p>
      <w:pPr>
        <w:pStyle w:val="ListBullet"/>
        <w:spacing w:line="240" w:lineRule="auto"/>
        <w:ind w:left="720"/>
      </w:pPr>
      <w:r>
        <w:rPr>
          <w:lang w:val="en_US" w:bidi="en_US"/>
        </w:rPr>
      </w:r>
      <w:r>
        <w:rPr>
          <w:lang w:val="en_US" w:bidi="en_US"/>
        </w:rPr>
        <w:t xml:space="preserve">“A blind man </w:t>
      </w:r>
      <w:r>
        <w:rPr>
          <w:lang w:val="en_US" w:bidi="en_US"/>
        </w:rPr>
        <w:t>certainly</w:t>
      </w:r>
      <w:r>
        <w:rPr>
          <w:lang w:val="en_US" w:bidi="en_US"/>
        </w:rPr>
        <w:t xml:space="preserve"> cannot lead another blind man!</w:t>
      </w:r>
    </w:p>
    <w:p>
      <w:pPr/>
      <w:r>
        <w:rPr>
          <w:lang w:val="en_US" w:bidi="en_US"/>
        </w:rPr>
      </w:r>
      <w:r>
        <w:rPr>
          <w:b/>
          <w:lang w:val="en_US" w:bidi="en_US"/>
        </w:rPr>
        <w:t>Can a blind man lead a blind man?:</w:t>
      </w:r>
      <w:r>
        <w:rPr>
          <w:lang w:val="en_US" w:bidi="en_US"/>
        </w:rPr>
        <w:t xml:space="preserve"> This is a rhetorical question. Jesus used this rhetorical question to emphasize something that is not possible. No blind man can lead another blind man. This proverb refers to an unwise leader leading others.</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If your language uses rhetorical questions to make emphatic statements, then you can translate this as a rhetorical question. For example:</w:t>
      </w:r>
      <w:r>
        <w:rPr>
          <w:lang w:val="en_US" w:bidi="en_US"/>
        </w:rPr>
        <w:t>Can one blind person lead another? (GW)</w:t>
      </w:r>
      <w:r>
        <w:rPr>
          <w:lang w:val="en_US" w:bidi="en_US"/>
        </w:rPr>
        <w:t>Can a blind person lead another blind person? No! (NCV)</w:t>
      </w:r>
    </w:p>
    <w:p>
      <w:pPr>
        <w:pStyle w:val="ListBullet"/>
        <w:spacing w:line="240" w:lineRule="auto"/>
        <w:ind w:left="720"/>
      </w:pPr>
      <w:r>
        <w:rPr>
          <w:lang w:val="en_US" w:bidi="en_US"/>
        </w:rPr>
      </w:r>
      <w:r>
        <w:rPr>
          <w:lang w:val="en_US" w:bidi="en_US"/>
        </w:rPr>
        <w:t>As a statement. If you language does not use rhetorical questions to make emphatic statements, then you need to find another way to emphasize this statement. For example:</w:t>
      </w:r>
      <w:r>
        <w:rPr>
          <w:lang w:val="en_US" w:bidi="en_US"/>
        </w:rPr>
        <w:t>One blind man cannot lead another one… (GNT)</w:t>
      </w:r>
      <w:r>
        <w:rPr>
          <w:lang w:val="en_US" w:bidi="en_US"/>
        </w:rPr>
        <w:t>A blind man certainly cannot lead another blind man.</w:t>
      </w:r>
    </w:p>
    <w:p>
      <w:pPr/>
      <w:r>
        <w:rPr>
          <w:lang w:val="en_US" w:bidi="en_US"/>
        </w:rPr>
      </w:r>
      <w:r>
        <w:rPr>
          <w:lang w:val="en_US" w:bidi="en_US"/>
        </w:rPr>
        <w:t>Translate this emphasis in a way that is natural in your language.</w:t>
      </w:r>
    </w:p>
    <w:p>
      <w:pPr>
        <w:pStyle w:val="Heading5"/>
      </w:pPr>
      <w:r>
        <w:rPr>
          <w:lang w:val="en_US" w:bidi="en_US"/>
        </w:rPr>
        <w:t>6:39c</w:t>
      </w:r>
    </w:p>
    <w:p>
      <w:pPr/>
      <w:r>
        <w:rPr>
          <w:lang w:val="en_US" w:bidi="en_US"/>
        </w:rPr>
      </w:r>
      <w:r>
        <w:rPr>
          <w:b/>
          <w:lang w:val="en_US" w:bidi="en_US"/>
        </w:rPr>
        <w:t>Will they not both fall into a pit?</w:t>
      </w:r>
    </w:p>
    <w:p>
      <w:pPr>
        <w:pStyle w:val="ListBullet"/>
        <w:spacing w:line="240" w:lineRule="auto"/>
        <w:ind w:left="720"/>
      </w:pPr>
      <w:r>
        <w:rPr>
          <w:lang w:val="en_US" w:bidi="en_US"/>
        </w:rPr>
      </w:r>
      <w:r>
        <w:rPr>
          <w:lang w:val="en_US" w:bidi="en_US"/>
        </w:rPr>
        <w:t>Won’t they both fall into a pit? (NET)</w:t>
      </w:r>
    </w:p>
    <w:p>
      <w:pPr>
        <w:pStyle w:val="ListBullet"/>
        <w:spacing w:line="240" w:lineRule="auto"/>
        <w:ind w:left="720"/>
      </w:pPr>
      <w:r>
        <w:rPr>
          <w:lang w:val="en_US" w:bidi="en_US"/>
        </w:rPr>
      </w:r>
      <w:r>
        <w:rPr>
          <w:lang w:val="en_US" w:bidi="en_US"/>
        </w:rPr>
        <w:t>If he did/tried,</w:t>
      </w:r>
      <w:r>
        <w:rPr>
          <w:lang w:val="en_US" w:bidi="en_US"/>
        </w:rPr>
        <w:t xml:space="preserve"> both of them would </w:t>
      </w:r>
      <w:r>
        <w:rPr>
          <w:lang w:val="en_US" w:bidi="en_US"/>
        </w:rPr>
        <w:t>certainly</w:t>
      </w:r>
      <w:r>
        <w:rPr>
          <w:lang w:val="en_US" w:bidi="en_US"/>
        </w:rPr>
        <w:t xml:space="preserve"> stumble into a ditch/pit.</w:t>
      </w:r>
    </w:p>
    <w:p>
      <w:pPr/>
      <w:r>
        <w:rPr>
          <w:lang w:val="en_US" w:bidi="en_US"/>
        </w:rPr>
      </w:r>
      <w:r>
        <w:rPr>
          <w:b/>
          <w:lang w:val="en_US" w:bidi="en_US"/>
        </w:rPr>
        <w:t>Will they not both fall into a pit?:</w:t>
      </w:r>
      <w:r>
        <w:rPr>
          <w:lang w:val="en_US" w:bidi="en_US"/>
        </w:rPr>
        <w:t xml:space="preserve"> This is a second rhetorical question. Jesus used this rhetorical question to emphasize the disaster that would happen when a blind man leads a blind man. Both blind men would surely fall into a pit. This part of the proverb refers to the disaster that happens when a false teacher leads someone.</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Won’t they both fall into a pit? (NET)</w:t>
      </w:r>
    </w:p>
    <w:p>
      <w:pPr>
        <w:pStyle w:val="ListBullet"/>
        <w:spacing w:line="240" w:lineRule="auto"/>
        <w:ind w:left="720"/>
      </w:pPr>
      <w:r>
        <w:rPr>
          <w:lang w:val="en_US" w:bidi="en_US"/>
        </w:rPr>
      </w:r>
      <w:r>
        <w:rPr>
          <w:lang w:val="en_US" w:bidi="en_US"/>
        </w:rPr>
        <w:t>As a statement. For example:</w:t>
      </w:r>
      <w:r>
        <w:rPr>
          <w:lang w:val="en_US" w:bidi="en_US"/>
        </w:rPr>
        <w:t>Surely they will both fall into the ditch together. (JBP)</w:t>
      </w:r>
      <w:r>
        <w:rPr>
          <w:lang w:val="en_US" w:bidi="en_US"/>
        </w:rPr>
        <w:t>The first one will fall into a ditch and pull the other down also. (NLT96)</w:t>
      </w:r>
    </w:p>
    <w:p>
      <w:pPr/>
      <w:r>
        <w:rPr>
          <w:lang w:val="en_US" w:bidi="en_US"/>
        </w:rPr>
      </w:r>
      <w:r>
        <w:rPr>
          <w:lang w:val="en_US" w:bidi="en_US"/>
        </w:rPr>
        <w:t>Translate this emphasis in a way that is natural in your language.</w:t>
      </w:r>
    </w:p>
    <w:p>
      <w:pPr/>
      <w:r>
        <w:rPr>
          <w:lang w:val="en_US" w:bidi="en_US"/>
        </w:rPr>
      </w:r>
      <w:r>
        <w:rPr>
          <w:lang w:val="en_US" w:bidi="en_US"/>
        </w:rPr>
        <w:t>This question includes the implied information “if a blind man does lead another…” You may want to make this explicit. For example:</w:t>
      </w:r>
    </w:p>
    <w:p>
      <w:pPr/>
      <w:r>
        <w:rPr>
          <w:lang w:val="en_US" w:bidi="en_US"/>
        </w:rPr>
      </w:r>
      <w:r>
        <w:rPr>
          <w:u w:val="single"/>
          <w:lang w:val="en_US" w:bidi="en_US"/>
        </w:rPr>
        <w:t>if he does</w:t>
      </w:r>
      <w:r>
        <w:rPr>
          <w:lang w:val="en_US" w:bidi="en_US"/>
        </w:rPr>
        <w:t>, both will fall into a ditch (GNT)</w:t>
      </w:r>
    </w:p>
    <w:p>
      <w:pPr/>
      <w:r>
        <w:rPr>
          <w:lang w:val="en_US" w:bidi="en_US"/>
        </w:rPr>
      </w:r>
      <w:r>
        <w:rPr>
          <w:b/>
          <w:lang w:val="en_US" w:bidi="en_US"/>
        </w:rPr>
        <w:t>pit:</w:t>
      </w:r>
      <w:r>
        <w:rPr>
          <w:lang w:val="en_US" w:bidi="en_US"/>
        </w:rPr>
        <w:t xml:space="preserve"> The Greek word that the BSB translates as a </w:t>
      </w:r>
      <w:r>
        <w:rPr>
          <w:i/>
          <w:lang w:val="en_US" w:bidi="en_US"/>
        </w:rPr>
        <w:t>pit</w:t>
      </w:r>
      <w:r>
        <w:rPr>
          <w:lang w:val="en_US" w:bidi="en_US"/>
        </w:rPr>
        <w:t xml:space="preserve"> (and some other English versions translate as a “ditch”) could refers to:</w:t>
      </w:r>
    </w:p>
    <w:p>
      <w:pPr>
        <w:pStyle w:val="ListNumber"/>
        <w:numPr>
          <w:ilvl w:val="0"/>
          <w:numId w:val="141"/>
        </w:numPr>
        <w:spacing w:line="240" w:lineRule="auto"/>
        <w:ind w:left="720"/>
      </w:pPr>
      <w:r>
        <w:rPr>
          <w:lang w:val="en_US" w:bidi="en_US"/>
        </w:rPr>
      </w:r>
      <w:r>
        <w:rPr>
          <w:lang w:val="en_US" w:bidi="en_US"/>
        </w:rPr>
        <w:t>A large hole or trench that is dug by people.</w:t>
      </w:r>
    </w:p>
    <w:p>
      <w:pPr>
        <w:pStyle w:val="ListNumber"/>
        <w:spacing w:line="240" w:lineRule="auto"/>
        <w:ind w:left="720"/>
      </w:pPr>
      <w:r>
        <w:rPr>
          <w:lang w:val="en_US" w:bidi="en_US"/>
        </w:rPr>
      </w:r>
      <w:r>
        <w:rPr>
          <w:lang w:val="en_US" w:bidi="en_US"/>
        </w:rPr>
        <w:t>A natural depression in the ground.</w:t>
      </w:r>
    </w:p>
    <w:p>
      <w:pPr/>
      <w:r>
        <w:rPr>
          <w:lang w:val="en_US" w:bidi="en_US"/>
        </w:rPr>
      </w:r>
      <w:r>
        <w:rPr>
          <w:lang w:val="en_US" w:bidi="en_US"/>
        </w:rPr>
        <w:t>In either case, it was a space large enough for people to fall into.</w:t>
      </w:r>
    </w:p>
    <w:p>
      <w:pPr>
        <w:pStyle w:val="Heading6"/>
      </w:pPr>
      <w:r>
        <w:rPr>
          <w:b/>
          <w:lang w:val="en_US" w:bidi="en_US"/>
        </w:rPr>
        <w:t>General Comment on 6:39b–c</w:t>
      </w:r>
    </w:p>
    <w:p>
      <w:pPr/>
      <w:r>
        <w:rPr>
          <w:lang w:val="en_US" w:bidi="en_US"/>
        </w:rPr>
      </w:r>
      <w:r>
        <w:rPr>
          <w:lang w:val="en_US" w:bidi="en_US"/>
        </w:rPr>
        <w:t>It may be more natural in your language to combine these two rhetorical questions into one statement. For example:</w:t>
      </w:r>
    </w:p>
    <w:p>
      <w:pPr/>
      <w:r>
        <w:rPr>
          <w:lang w:val="en_US" w:bidi="en_US"/>
        </w:rPr>
      </w:r>
      <w:r>
        <w:rPr>
          <w:lang w:val="en_US" w:bidi="en_US"/>
        </w:rPr>
        <w:t>If a blind person leads another blind person, they will both stumble and fall into a ditch.</w:t>
      </w:r>
    </w:p>
    <w:p>
      <w:pPr/>
      <w:r>
        <w:rPr>
          <w:lang w:val="en_US" w:bidi="en_US"/>
        </w:rPr>
      </w:r>
      <w:r>
        <w:rPr>
          <w:lang w:val="en_US" w:bidi="en_US"/>
        </w:rPr>
        <w:t>It is impossible for a blind person to lead another blind person, because both of them will fall into a pit.</w:t>
      </w:r>
      <w:r>
        <w:rPr>
          <w:lang w:val="en_US" w:bidi="en_US"/>
        </w:rPr>
      </w:r>
      <w:r>
        <w:rPr>
          <w:lang w:val="en_US" w:bidi="en_US"/>
        </w:rPr>
      </w:r>
    </w:p>
    <w:p>
      <w:pPr/>
      <w:r>
        <w:rPr>
          <w:lang w:val="en_US" w:bidi="en_US"/>
        </w:rPr>
      </w:r>
    </w:p>
    <w:p>
      <w:pPr>
        <w:pStyle w:val="Heading2"/>
      </w:pPr>
      <w:r>
        <w:rPr>
          <w:lang w:val="en_US" w:bidi="en_US"/>
        </w:rPr>
        <w:t>Luke 6:40</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5"/>
      </w:pPr>
      <w:r>
        <w:rPr>
          <w:lang w:val="en_US" w:bidi="en_US"/>
        </w:rPr>
        <w:t>6:40</w:t>
      </w:r>
    </w:p>
    <w:p>
      <w:pPr/>
      <w:r>
        <w:rPr>
          <w:lang w:val="en_US" w:bidi="en_US"/>
        </w:rPr>
      </w:r>
      <w:r>
        <w:rPr>
          <w:lang w:val="en_US" w:bidi="en_US"/>
        </w:rPr>
        <w:t>The teaching in 6:40 is about the relationship between a student and his teacher. It reinforces the warning in 6:39b–c. Jesus told his disciples that it is important to choose the right teacher because a well-trained disciple becomes like his teacher. It is also important to be a good teacher because your students will be like you.</w:t>
      </w:r>
    </w:p>
    <w:p>
      <w:pPr>
        <w:pStyle w:val="Heading5"/>
      </w:pPr>
      <w:r>
        <w:rPr>
          <w:lang w:val="en_US" w:bidi="en_US"/>
        </w:rPr>
        <w:t>6:40a</w:t>
      </w:r>
    </w:p>
    <w:p>
      <w:pPr/>
      <w:r>
        <w:rPr>
          <w:lang w:val="en_US" w:bidi="en_US"/>
        </w:rPr>
      </w:r>
      <w:r>
        <w:rPr>
          <w:b/>
          <w:lang w:val="en_US" w:bidi="en_US"/>
        </w:rPr>
        <w:t>A disciple is not above his teacher,</w:t>
      </w:r>
    </w:p>
    <w:p>
      <w:pPr>
        <w:pStyle w:val="ListBullet"/>
        <w:spacing w:line="240" w:lineRule="auto"/>
        <w:ind w:left="720"/>
      </w:pPr>
      <w:r>
        <w:rPr>
          <w:lang w:val="en_US" w:bidi="en_US"/>
        </w:rPr>
      </w:r>
      <w:r>
        <w:rPr>
          <w:lang w:val="en_US" w:bidi="en_US"/>
        </w:rPr>
        <w:t>A student/follower is not greater/better than his teacher/master.</w:t>
      </w:r>
    </w:p>
    <w:p>
      <w:pPr>
        <w:pStyle w:val="ListBullet"/>
        <w:spacing w:line="240" w:lineRule="auto"/>
        <w:ind w:left="720"/>
      </w:pPr>
      <w:r>
        <w:rPr>
          <w:lang w:val="en_US" w:bidi="en_US"/>
        </w:rPr>
      </w:r>
      <w:r>
        <w:rPr>
          <w:lang w:val="en_US" w:bidi="en_US"/>
        </w:rPr>
        <w:t>A disciple does not surpass/exceed the one who teaches him.</w:t>
      </w:r>
    </w:p>
    <w:p>
      <w:pPr/>
      <w:r>
        <w:rPr>
          <w:lang w:val="en_US" w:bidi="en_US"/>
        </w:rPr>
      </w:r>
      <w:r>
        <w:rPr>
          <w:b/>
          <w:lang w:val="en_US" w:bidi="en_US"/>
        </w:rPr>
        <w:t>A disciple is not above his teacher:</w:t>
      </w:r>
      <w:r>
        <w:rPr>
          <w:lang w:val="en_US" w:bidi="en_US"/>
        </w:rPr>
        <w:t xml:space="preserve"> This was probably another common proverb. Jesus used this proverb to emphasize the relationship between a disciple and his teacher. Some other ways to translate this are:</w:t>
      </w:r>
    </w:p>
    <w:p>
      <w:pPr/>
      <w:r>
        <w:rPr>
          <w:lang w:val="en_US" w:bidi="en_US"/>
        </w:rPr>
      </w:r>
      <w:r>
        <w:rPr>
          <w:lang w:val="en_US" w:bidi="en_US"/>
        </w:rPr>
        <w:t>A student is not better than the teacher (NCV)</w:t>
      </w:r>
    </w:p>
    <w:p>
      <w:pPr/>
      <w:r>
        <w:rPr>
          <w:lang w:val="en_US" w:bidi="en_US"/>
        </w:rPr>
      </w:r>
      <w:r>
        <w:rPr>
          <w:lang w:val="en_US" w:bidi="en_US"/>
        </w:rPr>
        <w:t>Students are not greater than their teacher. (NLT)</w:t>
      </w:r>
    </w:p>
    <w:p>
      <w:pPr/>
      <w:r>
        <w:rPr>
          <w:lang w:val="en_US" w:bidi="en_US"/>
        </w:rPr>
      </w:r>
      <w:r>
        <w:rPr>
          <w:lang w:val="en_US" w:bidi="en_US"/>
        </w:rPr>
        <w:t>In some languages, a rhetorical question will show this emphasis. For example:</w:t>
      </w:r>
    </w:p>
    <w:p>
      <w:pPr/>
      <w:r>
        <w:rPr>
          <w:lang w:val="en_US" w:bidi="en_US"/>
        </w:rPr>
      </w:r>
      <w:r>
        <w:rPr>
          <w:lang w:val="en_US" w:bidi="en_US"/>
        </w:rPr>
        <w:t>Are students better than their teacher? (CEV)</w:t>
      </w:r>
    </w:p>
    <w:p>
      <w:pPr/>
      <w:r>
        <w:rPr>
          <w:lang w:val="en_US" w:bidi="en_US"/>
        </w:rPr>
      </w:r>
      <w:r>
        <w:rPr>
          <w:b/>
          <w:lang w:val="en_US" w:bidi="en_US"/>
        </w:rPr>
        <w:t>disciple:</w:t>
      </w:r>
      <w:r>
        <w:rPr>
          <w:lang w:val="en_US" w:bidi="en_US"/>
        </w:rPr>
        <w:t xml:space="preserve"> The Greek word that the BSB translates as </w:t>
      </w:r>
      <w:r>
        <w:rPr>
          <w:i/>
          <w:lang w:val="en_US" w:bidi="en_US"/>
        </w:rPr>
        <w:t>disciple</w:t>
      </w:r>
      <w:r>
        <w:rPr>
          <w:lang w:val="en_US" w:bidi="en_US"/>
        </w:rPr>
        <w:t xml:space="preserve"> means someone who commits himself to a master. He does this in order to learn and live according to the master’s teaching.</w:t>
      </w:r>
    </w:p>
    <w:p>
      <w:pPr/>
      <w:r>
        <w:rPr>
          <w:lang w:val="en_US" w:bidi="en_US"/>
        </w:rPr>
      </w:r>
      <w:r>
        <w:rPr>
          <w:lang w:val="en_US" w:bidi="en_US"/>
        </w:rPr>
        <w:t>Some ways to translate this could be:</w:t>
      </w:r>
    </w:p>
    <w:p>
      <w:pPr/>
      <w:r>
        <w:rPr>
          <w:lang w:val="en_US" w:bidi="en_US"/>
        </w:rPr>
      </w:r>
      <w:r>
        <w:rPr>
          <w:lang w:val="en_US" w:bidi="en_US"/>
        </w:rPr>
        <w:t>student/learner</w:t>
      </w:r>
    </w:p>
    <w:p>
      <w:pPr/>
      <w:r>
        <w:rPr>
          <w:lang w:val="en_US" w:bidi="en_US"/>
        </w:rPr>
      </w:r>
      <w:r>
        <w:rPr>
          <w:lang w:val="en_US" w:bidi="en_US"/>
        </w:rPr>
        <w:t>follower</w:t>
      </w:r>
    </w:p>
    <w:p>
      <w:pPr/>
      <w:r>
        <w:rPr>
          <w:lang w:val="en_US" w:bidi="en_US"/>
        </w:rPr>
      </w:r>
      <w:r>
        <w:rPr>
          <w:lang w:val="en_US" w:bidi="en_US"/>
        </w:rPr>
        <w:t>apprentice</w:t>
      </w:r>
    </w:p>
    <w:p>
      <w:pPr/>
      <w:r>
        <w:rPr>
          <w:lang w:val="en_US" w:bidi="en_US"/>
        </w:rPr>
      </w:r>
      <w:r>
        <w:rPr>
          <w:lang w:val="en_US" w:bidi="en_US"/>
        </w:rPr>
        <w:t>In the context, the term is general and does not refer specifically to disciples of Jesus. In some languages, it may be more natural to use a plural form (“disciples”) for a general truth:</w:t>
      </w:r>
    </w:p>
    <w:p>
      <w:pPr/>
      <w:r>
        <w:rPr>
          <w:lang w:val="en_US" w:bidi="en_US"/>
        </w:rPr>
      </w:r>
      <w:r>
        <w:rPr>
          <w:lang w:val="en_US" w:bidi="en_US"/>
        </w:rPr>
        <w:t>Disciples are not above their teachers/masters.</w:t>
      </w:r>
    </w:p>
    <w:p>
      <w:pPr/>
      <w:r>
        <w:rPr>
          <w:lang w:val="en_US" w:bidi="en_US"/>
        </w:rPr>
      </w:r>
      <w:r>
        <w:rPr>
          <w:lang w:val="en_US" w:bidi="en_US"/>
        </w:rPr>
        <w:t>See disciple in the Glossary, and see how you translated this term at 5:30a.</w:t>
      </w:r>
    </w:p>
    <w:p>
      <w:pPr/>
      <w:r>
        <w:rPr>
          <w:lang w:val="en_US" w:bidi="en_US"/>
        </w:rPr>
      </w:r>
      <w:r>
        <w:rPr>
          <w:b/>
          <w:lang w:val="en_US" w:bidi="en_US"/>
        </w:rPr>
        <w:t>above:</w:t>
      </w:r>
      <w:r>
        <w:rPr>
          <w:lang w:val="en_US" w:bidi="en_US"/>
        </w:rPr>
        <w:t xml:space="preserve"> In this context </w:t>
      </w:r>
      <w:r>
        <w:rPr>
          <w:i/>
          <w:lang w:val="en_US" w:bidi="en_US"/>
        </w:rPr>
        <w:t>above</w:t>
      </w:r>
      <w:r>
        <w:rPr>
          <w:lang w:val="en_US" w:bidi="en_US"/>
        </w:rPr>
        <w:t xml:space="preserve"> means “superior to.” Some other ways to translate this are:</w:t>
      </w:r>
    </w:p>
    <w:p>
      <w:pPr/>
      <w:r>
        <w:rPr>
          <w:lang w:val="en_US" w:bidi="en_US"/>
        </w:rPr>
      </w:r>
      <w:r>
        <w:rPr>
          <w:lang w:val="en_US" w:bidi="en_US"/>
        </w:rPr>
        <w:t>is not greater/better than</w:t>
      </w:r>
    </w:p>
    <w:p>
      <w:pPr/>
      <w:r>
        <w:rPr>
          <w:lang w:val="en_US" w:bidi="en_US"/>
        </w:rPr>
      </w:r>
      <w:r>
        <w:rPr>
          <w:lang w:val="en_US" w:bidi="en_US"/>
        </w:rPr>
        <w:t>does not surpass/exceed</w:t>
      </w:r>
    </w:p>
    <w:p>
      <w:pPr>
        <w:pStyle w:val="Heading5"/>
      </w:pPr>
      <w:r>
        <w:rPr>
          <w:lang w:val="en_US" w:bidi="en_US"/>
        </w:rPr>
        <w:t>6:40b</w:t>
      </w:r>
    </w:p>
    <w:p>
      <w:pPr/>
      <w:r>
        <w:rPr>
          <w:lang w:val="en_US" w:bidi="en_US"/>
        </w:rPr>
      </w:r>
      <w:r>
        <w:rPr>
          <w:b/>
          <w:lang w:val="en_US" w:bidi="en_US"/>
        </w:rPr>
        <w:t>but everyone who is fully trained will be like his teacher.</w:t>
      </w:r>
    </w:p>
    <w:p>
      <w:pPr>
        <w:pStyle w:val="ListBullet"/>
        <w:spacing w:line="240" w:lineRule="auto"/>
        <w:ind w:left="720"/>
      </w:pPr>
      <w:r>
        <w:rPr>
          <w:lang w:val="en_US" w:bidi="en_US"/>
        </w:rPr>
      </w:r>
      <w:r>
        <w:rPr>
          <w:lang w:val="en_US" w:bidi="en_US"/>
        </w:rPr>
        <w:t>Rather, when he has completed his training/apprenticeship, he will be like his teacher.</w:t>
      </w:r>
    </w:p>
    <w:p>
      <w:pPr>
        <w:pStyle w:val="ListBullet"/>
        <w:spacing w:line="240" w:lineRule="auto"/>
        <w:ind w:left="720"/>
      </w:pPr>
      <w:r>
        <w:rPr>
          <w:lang w:val="en_US" w:bidi="en_US"/>
        </w:rPr>
      </w:r>
      <w:r>
        <w:rPr>
          <w:lang w:val="en_US" w:bidi="en_US"/>
        </w:rPr>
        <w:t>However, when his teacher finishes training him, he will be like his teacher.</w:t>
      </w:r>
    </w:p>
    <w:p>
      <w:pPr/>
      <w:r>
        <w:rPr>
          <w:lang w:val="en_US" w:bidi="en_US"/>
        </w:rPr>
      </w:r>
      <w:r>
        <w:rPr>
          <w:b/>
          <w:lang w:val="en_US" w:bidi="en_US"/>
        </w:rPr>
        <w:t>but:</w:t>
      </w:r>
      <w:r>
        <w:rPr>
          <w:lang w:val="en_US" w:bidi="en_US"/>
        </w:rPr>
        <w:t xml:space="preserve"> There is a contrast in the form of the clauses in 6:40a and 6:40b. The meaning is similar. The contrast is between the phrase “is not above” in 6:40a and the phrase “will be like” in 6:40b. The student </w:t>
      </w:r>
      <w:r>
        <w:rPr>
          <w:u w:val="single"/>
          <w:lang w:val="en_US" w:bidi="en_US"/>
        </w:rPr>
        <w:t>is not above</w:t>
      </w:r>
      <w:r>
        <w:rPr>
          <w:lang w:val="en_US" w:bidi="en_US"/>
        </w:rPr>
        <w:t xml:space="preserve"> his teacher, </w:t>
      </w:r>
      <w:r>
        <w:rPr>
          <w:i/>
          <w:lang w:val="en_US" w:bidi="en_US"/>
        </w:rPr>
        <w:t>but</w:t>
      </w:r>
      <w:r>
        <w:rPr>
          <w:lang w:val="en_US" w:bidi="en_US"/>
        </w:rPr>
        <w:t xml:space="preserve"> he </w:t>
      </w:r>
      <w:r>
        <w:rPr>
          <w:u w:val="single"/>
          <w:lang w:val="en_US" w:bidi="en_US"/>
        </w:rPr>
        <w:t>will be like</w:t>
      </w:r>
      <w:r>
        <w:rPr>
          <w:lang w:val="en_US" w:bidi="en_US"/>
        </w:rPr>
        <w:t xml:space="preserve"> his teacher.</w:t>
      </w:r>
    </w:p>
    <w:p>
      <w:pPr/>
      <w:r>
        <w:rPr>
          <w:lang w:val="en_US" w:bidi="en_US"/>
        </w:rPr>
      </w:r>
      <w:r>
        <w:rPr>
          <w:lang w:val="en_US" w:bidi="en_US"/>
        </w:rPr>
        <w:t>Some other ways to connect this clause are:</w:t>
      </w:r>
    </w:p>
    <w:p>
      <w:pPr/>
      <w:r>
        <w:rPr>
          <w:lang w:val="en_US" w:bidi="en_US"/>
        </w:rPr>
      </w:r>
      <w:r>
        <w:rPr>
          <w:lang w:val="en_US" w:bidi="en_US"/>
        </w:rPr>
        <w:t>However</w:t>
      </w:r>
    </w:p>
    <w:p>
      <w:pPr/>
      <w:r>
        <w:rPr>
          <w:lang w:val="en_US" w:bidi="en_US"/>
        </w:rPr>
      </w:r>
      <w:r>
        <w:rPr>
          <w:lang w:val="en_US" w:bidi="en_US"/>
        </w:rPr>
        <w:t>And</w:t>
      </w:r>
    </w:p>
    <w:p>
      <w:pPr/>
      <w:r>
        <w:rPr>
          <w:lang w:val="en_US" w:bidi="en_US"/>
        </w:rPr>
      </w:r>
      <w:r>
        <w:rPr>
          <w:lang w:val="en_US" w:bidi="en_US"/>
        </w:rPr>
        <w:t>In some languages, no conjunction is necessary here.</w:t>
      </w:r>
    </w:p>
    <w:p>
      <w:pPr/>
      <w:r>
        <w:rPr>
          <w:lang w:val="en_US" w:bidi="en_US"/>
        </w:rPr>
      </w:r>
      <w:r>
        <w:rPr>
          <w:b/>
          <w:lang w:val="en_US" w:bidi="en_US"/>
        </w:rPr>
        <w:t>everyone who is fully trained will be like his teacher:</w:t>
      </w:r>
      <w:r>
        <w:rPr>
          <w:lang w:val="en_US" w:bidi="en_US"/>
        </w:rPr>
        <w:t xml:space="preserve"> Jesus stated that the student will become like his teacher. It means that the disciples must choose their teacher carefully because they will become like that teacher.</w:t>
      </w:r>
    </w:p>
    <w:p>
      <w:pPr/>
      <w:r>
        <w:rPr>
          <w:lang w:val="en_US" w:bidi="en_US"/>
        </w:rPr>
      </w:r>
      <w:r>
        <w:rPr>
          <w:b/>
          <w:lang w:val="en_US" w:bidi="en_US"/>
        </w:rPr>
        <w:t>everyone:</w:t>
      </w:r>
      <w:r>
        <w:rPr>
          <w:lang w:val="en_US" w:bidi="en_US"/>
        </w:rPr>
        <w:t xml:space="preserve"> The word </w:t>
      </w:r>
      <w:r>
        <w:rPr>
          <w:i/>
          <w:lang w:val="en_US" w:bidi="en_US"/>
        </w:rPr>
        <w:t>everyone</w:t>
      </w:r>
      <w:r>
        <w:rPr>
          <w:lang w:val="en_US" w:bidi="en_US"/>
        </w:rPr>
        <w:t xml:space="preserve"> here refers to all students or disciples. For example:</w:t>
      </w:r>
    </w:p>
    <w:p>
      <w:pPr/>
      <w:r>
        <w:rPr>
          <w:lang w:val="en_US" w:bidi="en_US"/>
        </w:rPr>
      </w:r>
      <w:r>
        <w:rPr>
          <w:lang w:val="en_US" w:bidi="en_US"/>
        </w:rPr>
        <w:t>all pupils (GNT)</w:t>
      </w:r>
    </w:p>
    <w:p>
      <w:pPr/>
      <w:r>
        <w:rPr>
          <w:lang w:val="en_US" w:bidi="en_US"/>
        </w:rPr>
      </w:r>
      <w:r>
        <w:rPr>
          <w:b/>
          <w:lang w:val="en_US" w:bidi="en_US"/>
        </w:rPr>
        <w:t>fully trained:</w:t>
      </w:r>
      <w:r>
        <w:rPr>
          <w:lang w:val="en_US" w:bidi="en_US"/>
        </w:rPr>
        <w:t xml:space="preserve"> The phrase </w:t>
      </w:r>
      <w:r>
        <w:rPr>
          <w:i/>
          <w:lang w:val="en_US" w:bidi="en_US"/>
        </w:rPr>
        <w:t>fully trained</w:t>
      </w:r>
      <w:r>
        <w:rPr>
          <w:lang w:val="en_US" w:bidi="en_US"/>
        </w:rPr>
        <w:t xml:space="preserve"> refers to a disciple who has been thoroughly taught by his teacher. It is passive. If your language would prefer to use an active form here, you should supply “teacher” as the subject:</w:t>
      </w:r>
    </w:p>
    <w:p>
      <w:pPr/>
      <w:r>
        <w:rPr>
          <w:lang w:val="en_US" w:bidi="en_US"/>
        </w:rPr>
      </w:r>
      <w:r>
        <w:rPr>
          <w:lang w:val="en_US" w:bidi="en_US"/>
        </w:rPr>
        <w:t xml:space="preserve">whom </w:t>
      </w:r>
      <w:r>
        <w:rPr>
          <w:lang w:val="en_US" w:bidi="en_US"/>
        </w:rPr>
        <w:t>the teacher</w:t>
      </w:r>
      <w:r>
        <w:rPr>
          <w:lang w:val="en_US" w:bidi="en_US"/>
        </w:rPr>
        <w:t xml:space="preserve"> has fully trained/taught</w:t>
      </w:r>
    </w:p>
    <w:p>
      <w:pPr/>
      <w:r>
        <w:rPr>
          <w:lang w:val="en_US" w:bidi="en_US"/>
        </w:rPr>
      </w:r>
      <w:r>
        <w:rPr>
          <w:lang w:val="en_US" w:bidi="en_US"/>
        </w:rPr>
        <w:t>Here is another way to avoid a passive form:</w:t>
      </w:r>
    </w:p>
    <w:p>
      <w:pPr/>
      <w:r>
        <w:rPr>
          <w:lang w:val="en_US" w:bidi="en_US"/>
        </w:rPr>
      </w:r>
      <w:r>
        <w:rPr>
          <w:lang w:val="en_US" w:bidi="en_US"/>
        </w:rPr>
        <w:t xml:space="preserve">all pupils, when </w:t>
      </w:r>
      <w:r>
        <w:rPr>
          <w:u w:val="single"/>
          <w:lang w:val="en_US" w:bidi="en_US"/>
        </w:rPr>
        <w:t>they have completed their training</w:t>
      </w:r>
      <w:r>
        <w:rPr>
          <w:lang w:val="en_US" w:bidi="en_US"/>
        </w:rPr>
        <w:t>, will be like their teacher (GNT)</w:t>
      </w:r>
    </w:p>
    <w:p>
      <w:pPr>
        <w:pStyle w:val="Heading6"/>
      </w:pPr>
      <w:r>
        <w:rPr>
          <w:b/>
          <w:lang w:val="en_US" w:bidi="en_US"/>
        </w:rPr>
        <w:t>General Comment on 6:40a–b</w:t>
      </w:r>
    </w:p>
    <w:p>
      <w:pPr/>
      <w:r>
        <w:rPr>
          <w:lang w:val="en_US" w:bidi="en_US"/>
        </w:rPr>
      </w:r>
      <w:r>
        <w:rPr>
          <w:lang w:val="en_US" w:bidi="en_US"/>
        </w:rPr>
        <w:t>In some languages, it may be more natural to change the order of the clauses in 6:40a–b. For example:</w:t>
      </w:r>
    </w:p>
    <w:p>
      <w:pPr/>
      <w:r>
        <w:rPr>
          <w:lang w:val="en_US" w:bidi="en_US"/>
        </w:rPr>
      </w:r>
      <w:r>
        <w:rPr>
          <w:vertAlign w:val="superscript"/>
          <w:lang w:val="en_US" w:bidi="en_US"/>
        </w:rPr>
        <w:t>40b</w:t>
      </w:r>
      <w:r>
        <w:rPr>
          <w:lang w:val="en_US" w:bidi="en_US"/>
        </w:rPr>
        <w:t xml:space="preserve">When a student is fully trained, he will be like his teacher. </w:t>
      </w:r>
      <w:r>
        <w:rPr>
          <w:vertAlign w:val="superscript"/>
          <w:lang w:val="en_US" w:bidi="en_US"/>
        </w:rPr>
        <w:t>40a</w:t>
      </w:r>
      <w:r>
        <w:rPr>
          <w:lang w:val="en_US" w:bidi="en_US"/>
        </w:rPr>
        <w:t>He will never be above his teacher.</w:t>
      </w:r>
      <w:r>
        <w:rPr>
          <w:lang w:val="en_US" w:bidi="en_US"/>
        </w:rPr>
      </w:r>
      <w:r>
        <w:rPr>
          <w:lang w:val="en_US" w:bidi="en_US"/>
        </w:rPr>
      </w:r>
    </w:p>
    <w:p>
      <w:pPr/>
      <w:r>
        <w:rPr>
          <w:lang w:val="en_US" w:bidi="en_US"/>
        </w:rPr>
      </w:r>
    </w:p>
    <w:p>
      <w:pPr>
        <w:pStyle w:val="Heading2"/>
      </w:pPr>
      <w:r>
        <w:rPr>
          <w:lang w:val="en_US" w:bidi="en_US"/>
        </w:rPr>
        <w:t>Luke 6:41</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6:41–42</w:t>
      </w:r>
    </w:p>
    <w:p>
      <w:pPr/>
      <w:r>
        <w:rPr>
          <w:lang w:val="en_US" w:bidi="en_US"/>
        </w:rPr>
      </w:r>
      <w:r>
        <w:rPr>
          <w:lang w:val="en_US" w:bidi="en_US"/>
        </w:rPr>
        <w:t>In this paragraph, Jesus continued to challenge his disciples to be good leaders. He stated that a good leader examines his life to makes sure that he obeys all of Jesus’ teachings. The disciple must change any of his attitudes and actions that do not conform to Jesus’ teaching. Only then can the disciple lead others to examine and change their lives.</w:t>
      </w:r>
    </w:p>
    <w:p>
      <w:pPr/>
      <w:r>
        <w:rPr>
          <w:lang w:val="en_US" w:bidi="en_US"/>
        </w:rPr>
      </w:r>
      <w:r>
        <w:rPr>
          <w:lang w:val="en_US" w:bidi="en_US"/>
        </w:rPr>
        <w:t>Jesus used rhetorical questions to emphasize his teaching. He also used a metaphor and exaggeration. The very small piece of wood and the very large beam represent a person’s faults or sins that he should abandon. The exaggerated contrast between something very small and something very large emphasizes what Jesus was saying. It is wrong to condemn a friend for his faults if you have not critically examined and changed your own behavior.</w:t>
      </w:r>
    </w:p>
    <w:p>
      <w:pPr/>
      <w:r>
        <w:rPr>
          <w:lang w:val="en_US" w:bidi="en_US"/>
        </w:rPr>
      </w:r>
      <w:r>
        <w:rPr>
          <w:lang w:val="en_US" w:bidi="en_US"/>
        </w:rPr>
        <w:t>In 6:41–42 Jesus used the singular form of “you.” However, in these verses he gave a general teaching that applies to any disciple. Use appropriate forms in your language for this. You may want to refer to the note on 6:27b–28, which gives suggestions for forms to use for general commands.</w:t>
      </w:r>
    </w:p>
    <w:p>
      <w:pPr>
        <w:pStyle w:val="Heading5"/>
      </w:pPr>
      <w:r>
        <w:rPr>
          <w:lang w:val="en_US" w:bidi="en_US"/>
        </w:rPr>
        <w:t>6:41a–b</w:t>
      </w:r>
    </w:p>
    <w:p>
      <w:pPr/>
      <w:r>
        <w:rPr>
          <w:lang w:val="en_US" w:bidi="en_US"/>
        </w:rPr>
      </w:r>
      <w:r>
        <w:rPr>
          <w:b/>
          <w:lang w:val="en_US" w:bidi="en_US"/>
        </w:rPr>
        <w:t>Why do you look at the speck in your brother’s eye, but fail to notice the beam in your own eye?:</w:t>
      </w:r>
      <w:r>
        <w:rPr>
          <w:lang w:val="en_US" w:bidi="en_US"/>
        </w:rPr>
        <w:t xml:space="preserve"> This is a rhetorical question. Jesus used this rhetorical question to rebuke his disciples. He rebuked them for seeing a small fault in another person’s life and not seeing a large fault in their own life. Jesus was emphasizing that a person’s sins blind him so that he cannot help others. A person who does not examine his own life will be like a blind guide.</w:t>
      </w:r>
    </w:p>
    <w:p>
      <w:pPr/>
      <w:r>
        <w:rPr>
          <w:lang w:val="en_US" w:bidi="en_US"/>
        </w:rPr>
      </w:r>
      <w:r>
        <w:rPr>
          <w:lang w:val="en_US" w:bidi="en_US"/>
        </w:rPr>
        <w:t>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Why do you notice the little piece of dust in your friend’s eye, but you don’t notice the big piece of wood in your own eye? (NCV)</w:t>
      </w:r>
    </w:p>
    <w:p>
      <w:pPr>
        <w:pStyle w:val="ListBullet"/>
        <w:spacing w:line="240" w:lineRule="auto"/>
        <w:ind w:left="720"/>
      </w:pPr>
      <w:r>
        <w:rPr>
          <w:lang w:val="en_US" w:bidi="en_US"/>
        </w:rPr>
      </w:r>
      <w:r>
        <w:rPr>
          <w:lang w:val="en_US" w:bidi="en_US"/>
        </w:rPr>
        <w:t>As a statement or an exclamation. For example:</w:t>
      </w:r>
      <w:r>
        <w:rPr>
          <w:lang w:val="en_US" w:bidi="en_US"/>
        </w:rPr>
        <w:t>You can see the speck in your friend’s eye. But you don’t notice the log in your own eye. (CEV)</w:t>
      </w:r>
      <w:r>
        <w:rPr>
          <w:lang w:val="en_US" w:bidi="en_US"/>
        </w:rPr>
        <w:t>You should not pay attention to the dust in your brother’s eye while ignoring the plank of wood in your own eye!</w:t>
      </w:r>
    </w:p>
    <w:p>
      <w:pPr/>
      <w:r>
        <w:rPr>
          <w:lang w:val="en_US" w:bidi="en_US"/>
        </w:rPr>
      </w:r>
      <w:r>
        <w:rPr>
          <w:lang w:val="en_US" w:bidi="en_US"/>
        </w:rPr>
        <w:t>Translate this rebuke in a way that is natural in your language.</w:t>
      </w:r>
    </w:p>
    <w:p>
      <w:pPr>
        <w:pStyle w:val="Heading5"/>
      </w:pPr>
      <w:r>
        <w:rPr>
          <w:lang w:val="en_US" w:bidi="en_US"/>
        </w:rPr>
        <w:t>6:41a</w:t>
      </w:r>
    </w:p>
    <w:p>
      <w:pPr/>
      <w:r>
        <w:rPr>
          <w:lang w:val="en_US" w:bidi="en_US"/>
        </w:rPr>
      </w:r>
      <w:r>
        <w:rPr>
          <w:b/>
          <w:lang w:val="en_US" w:bidi="en_US"/>
        </w:rPr>
        <w:t>Why do you look at the speck in your brother’s eye,</w:t>
      </w:r>
    </w:p>
    <w:p>
      <w:pPr>
        <w:pStyle w:val="ListBullet"/>
        <w:spacing w:line="240" w:lineRule="auto"/>
        <w:ind w:left="720"/>
      </w:pPr>
      <w:r>
        <w:rPr>
          <w:lang w:val="en_US" w:bidi="en_US"/>
        </w:rPr>
      </w:r>
      <w:r>
        <w:rPr>
          <w:lang w:val="en_US" w:bidi="en_US"/>
        </w:rPr>
        <w:t>¶ “Why do you</w:t>
      </w:r>
      <w:r>
        <w:rPr>
          <w:vertAlign w:val="superscript"/>
          <w:lang w:val="en_US" w:bidi="en_US"/>
        </w:rPr>
        <w:t>(sing)</w:t>
      </w:r>
      <w:r>
        <w:rPr>
          <w:lang w:val="en_US" w:bidi="en_US"/>
        </w:rPr>
        <w:t xml:space="preserve"> see the little piece of sawdust in your</w:t>
      </w:r>
      <w:r>
        <w:rPr>
          <w:vertAlign w:val="superscript"/>
          <w:lang w:val="en_US" w:bidi="en_US"/>
        </w:rPr>
        <w:t>(sing)</w:t>
      </w:r>
      <w:r>
        <w:rPr>
          <w:lang w:val="en_US" w:bidi="en_US"/>
        </w:rPr>
        <w:t xml:space="preserve"> brother’s eye,</w:t>
      </w:r>
    </w:p>
    <w:p>
      <w:pPr>
        <w:pStyle w:val="ListBullet"/>
        <w:spacing w:line="240" w:lineRule="auto"/>
        <w:ind w:left="720"/>
      </w:pPr>
      <w:r>
        <w:rPr>
          <w:lang w:val="en_US" w:bidi="en_US"/>
        </w:rPr>
      </w:r>
      <w:r>
        <w:rPr>
          <w:lang w:val="en_US" w:bidi="en_US"/>
        </w:rPr>
        <w:t>¶ “You can see the speck in your friend’s eye. (CEV)</w:t>
      </w:r>
    </w:p>
    <w:p>
      <w:pPr>
        <w:pStyle w:val="ListBullet"/>
        <w:spacing w:line="240" w:lineRule="auto"/>
        <w:ind w:left="720"/>
      </w:pPr>
      <w:r>
        <w:rPr>
          <w:lang w:val="en_US" w:bidi="en_US"/>
        </w:rPr>
      </w:r>
      <w:r>
        <w:rPr>
          <w:lang w:val="en_US" w:bidi="en_US"/>
        </w:rPr>
        <w:t>¶ “You notice the small faults/sins that your brother does/has, though they are like a speck of sawdust in his eye. You are wrong to look at those</w:t>
      </w:r>
    </w:p>
    <w:p>
      <w:pPr/>
      <w:r>
        <w:rPr>
          <w:lang w:val="en_US" w:bidi="en_US"/>
        </w:rPr>
      </w:r>
      <w:r>
        <w:rPr>
          <w:b/>
          <w:lang w:val="en_US" w:bidi="en_US"/>
        </w:rPr>
        <w:t>Why do you look at:</w:t>
      </w:r>
      <w:r>
        <w:rPr>
          <w:lang w:val="en_US" w:bidi="en_US"/>
        </w:rPr>
        <w:t xml:space="preserve"> The Greek word that the BSB translates as </w:t>
      </w:r>
      <w:r>
        <w:rPr>
          <w:i/>
          <w:lang w:val="en_US" w:bidi="en_US"/>
        </w:rPr>
        <w:t>look at</w:t>
      </w:r>
      <w:r>
        <w:rPr>
          <w:lang w:val="en_US" w:bidi="en_US"/>
        </w:rPr>
        <w:t xml:space="preserve"> is literally “see.” In this context, this word implies that the person does more than “see” the speck of sawdust. He also criticizes him for it.</w:t>
      </w:r>
    </w:p>
    <w:p>
      <w:pPr/>
      <w:r>
        <w:rPr>
          <w:lang w:val="en_US" w:bidi="en_US"/>
        </w:rPr>
      </w:r>
      <w:r>
        <w:rPr>
          <w:b/>
          <w:lang w:val="en_US" w:bidi="en_US"/>
        </w:rPr>
        <w:t>the speck in your brother’s eye:</w:t>
      </w:r>
      <w:r>
        <w:rPr>
          <w:lang w:val="en_US" w:bidi="en_US"/>
        </w:rPr>
        <w:t xml:space="preserve"> The Greek word that the BSB translates as </w:t>
      </w:r>
      <w:r>
        <w:rPr>
          <w:i/>
          <w:lang w:val="en_US" w:bidi="en_US"/>
        </w:rPr>
        <w:t>speck</w:t>
      </w:r>
      <w:r>
        <w:rPr>
          <w:lang w:val="en_US" w:bidi="en_US"/>
        </w:rPr>
        <w:t xml:space="preserve"> refers to a very small bit of wood, straw, or dust. Some other ways to translate this are:</w:t>
      </w:r>
    </w:p>
    <w:p>
      <w:pPr/>
      <w:r>
        <w:rPr>
          <w:lang w:val="en_US" w:bidi="en_US"/>
        </w:rPr>
      </w:r>
      <w:r>
        <w:rPr>
          <w:lang w:val="en_US" w:bidi="en_US"/>
        </w:rPr>
        <w:t>piece of sawdust (GW)</w:t>
      </w:r>
    </w:p>
    <w:p>
      <w:pPr/>
      <w:r>
        <w:rPr>
          <w:lang w:val="en_US" w:bidi="en_US"/>
        </w:rPr>
      </w:r>
      <w:r>
        <w:rPr>
          <w:lang w:val="en_US" w:bidi="en_US"/>
        </w:rPr>
        <w:t>little piece of dust (NCV)</w:t>
      </w:r>
    </w:p>
    <w:p>
      <w:pPr/>
      <w:r>
        <w:rPr>
          <w:lang w:val="en_US" w:bidi="en_US"/>
        </w:rPr>
      </w:r>
      <w:r>
        <w:rPr>
          <w:lang w:val="en_US" w:bidi="en_US"/>
        </w:rPr>
        <w:t xml:space="preserve">Jesus was using the </w:t>
      </w:r>
      <w:r>
        <w:rPr>
          <w:i/>
          <w:lang w:val="en_US" w:bidi="en_US"/>
        </w:rPr>
        <w:t>speck</w:t>
      </w:r>
      <w:r>
        <w:rPr>
          <w:lang w:val="en_US" w:bidi="en_US"/>
        </w:rPr>
        <w:t xml:space="preserve"> as a metaphor to refer to a small fault or sin of another person. If the meaning of the metaphor is not clear to people in your culture, you could say:</w:t>
      </w:r>
    </w:p>
    <w:p>
      <w:pPr/>
      <w:r>
        <w:rPr>
          <w:lang w:val="en_US" w:bidi="en_US"/>
        </w:rPr>
      </w:r>
      <w:r>
        <w:rPr>
          <w:lang w:val="en_US" w:bidi="en_US"/>
        </w:rPr>
        <w:t>the small faults/sins that your brother does/has, which are like a speck of sawdust in his eye</w:t>
      </w:r>
    </w:p>
    <w:p>
      <w:pPr/>
      <w:r>
        <w:rPr>
          <w:lang w:val="en_US" w:bidi="en_US"/>
        </w:rPr>
      </w:r>
      <w:r>
        <w:rPr>
          <w:b/>
          <w:lang w:val="en_US" w:bidi="en_US"/>
        </w:rPr>
        <w:t>in your brother’s eye:</w:t>
      </w:r>
      <w:r>
        <w:rPr>
          <w:lang w:val="en_US" w:bidi="en_US"/>
        </w:rPr>
        <w:t xml:space="preserve"> The Greek word that the BSB translates literally as </w:t>
      </w:r>
      <w:r>
        <w:rPr>
          <w:i/>
          <w:lang w:val="en_US" w:bidi="en_US"/>
        </w:rPr>
        <w:t>brother’s</w:t>
      </w:r>
      <w:r>
        <w:rPr>
          <w:lang w:val="en_US" w:bidi="en_US"/>
        </w:rPr>
        <w:t xml:space="preserve"> refers in this context to anyone from the same religious community. It does not refer only to a blood relative. You could use the word “brother” if it can be used in a general sense. Or you may have a general word for everyone from your same community or clan. If not, some other ways to translate this could be:</w:t>
      </w:r>
    </w:p>
    <w:p>
      <w:pPr/>
      <w:r>
        <w:rPr>
          <w:lang w:val="en_US" w:bidi="en_US"/>
        </w:rPr>
      </w:r>
      <w:r>
        <w:rPr>
          <w:lang w:val="en_US" w:bidi="en_US"/>
        </w:rPr>
        <w:t>your friend’s eye (NLT)</w:t>
      </w:r>
    </w:p>
    <w:p>
      <w:pPr/>
      <w:r>
        <w:rPr>
          <w:lang w:val="en_US" w:bidi="en_US"/>
        </w:rPr>
      </w:r>
      <w:r>
        <w:rPr>
          <w:lang w:val="en_US" w:bidi="en_US"/>
        </w:rPr>
        <w:t>your companion’s/neighbor’s eye</w:t>
      </w:r>
    </w:p>
    <w:p>
      <w:pPr/>
      <w:r>
        <w:rPr>
          <w:lang w:val="en_US" w:bidi="en_US"/>
        </w:rPr>
      </w:r>
      <w:r>
        <w:rPr>
          <w:lang w:val="en_US" w:bidi="en_US"/>
        </w:rPr>
        <w:t>someone else’s eye</w:t>
      </w:r>
    </w:p>
    <w:p>
      <w:pPr>
        <w:pStyle w:val="Heading5"/>
      </w:pPr>
      <w:r>
        <w:rPr>
          <w:lang w:val="en_US" w:bidi="en_US"/>
        </w:rPr>
        <w:t>6:41b</w:t>
      </w:r>
    </w:p>
    <w:p>
      <w:pPr/>
      <w:r>
        <w:rPr>
          <w:lang w:val="en_US" w:bidi="en_US"/>
        </w:rPr>
      </w:r>
      <w:r>
        <w:rPr>
          <w:b/>
          <w:lang w:val="en_US" w:bidi="en_US"/>
        </w:rPr>
        <w:t>but fail to notice the beam in your own eye?</w:t>
      </w:r>
    </w:p>
    <w:p>
      <w:pPr>
        <w:pStyle w:val="ListBullet"/>
        <w:spacing w:line="240" w:lineRule="auto"/>
        <w:ind w:left="720"/>
      </w:pPr>
      <w:r>
        <w:rPr>
          <w:lang w:val="en_US" w:bidi="en_US"/>
        </w:rPr>
      </w:r>
      <w:r>
        <w:rPr>
          <w:lang w:val="en_US" w:bidi="en_US"/>
        </w:rPr>
        <w:t>but you do not notice/recognize the wooden beam in your own eye?</w:t>
      </w:r>
    </w:p>
    <w:p>
      <w:pPr>
        <w:pStyle w:val="ListBullet"/>
        <w:spacing w:line="240" w:lineRule="auto"/>
        <w:ind w:left="720"/>
      </w:pPr>
      <w:r>
        <w:rPr>
          <w:lang w:val="en_US" w:bidi="en_US"/>
        </w:rPr>
      </w:r>
      <w:r>
        <w:rPr>
          <w:lang w:val="en_US" w:bidi="en_US"/>
        </w:rPr>
        <w:t>But you don’t notice the log in your own eye. (CEV)</w:t>
      </w:r>
    </w:p>
    <w:p>
      <w:pPr>
        <w:pStyle w:val="ListBullet"/>
        <w:spacing w:line="240" w:lineRule="auto"/>
        <w:ind w:left="720"/>
      </w:pPr>
      <w:r>
        <w:rPr>
          <w:lang w:val="en_US" w:bidi="en_US"/>
        </w:rPr>
      </w:r>
      <w:r>
        <w:rPr>
          <w:lang w:val="en_US" w:bidi="en_US"/>
        </w:rPr>
        <w:t>and yet ignore the big faults/sins that you do/have which are like a plank in your own eye!</w:t>
      </w:r>
    </w:p>
    <w:p>
      <w:pPr/>
      <w:r>
        <w:rPr>
          <w:lang w:val="en_US" w:bidi="en_US"/>
        </w:rPr>
      </w:r>
      <w:r>
        <w:rPr>
          <w:b/>
          <w:lang w:val="en_US" w:bidi="en_US"/>
        </w:rPr>
        <w:t>but fail to notice:</w:t>
      </w:r>
      <w:r>
        <w:rPr>
          <w:lang w:val="en_US" w:bidi="en_US"/>
        </w:rPr>
        <w:t xml:space="preserve"> The Greek phrase that the BSB translates as </w:t>
      </w:r>
      <w:r>
        <w:rPr>
          <w:i/>
          <w:lang w:val="en_US" w:bidi="en_US"/>
        </w:rPr>
        <w:t>fail to notice</w:t>
      </w:r>
      <w:r>
        <w:rPr>
          <w:lang w:val="en_US" w:bidi="en_US"/>
        </w:rPr>
        <w:t xml:space="preserve"> means “not consider carefully.” It includes the idea of “you do not see and so you are not aware of.” Some other ways to translate this are:</w:t>
      </w:r>
    </w:p>
    <w:p>
      <w:pPr/>
      <w:r>
        <w:rPr>
          <w:lang w:val="en_US" w:bidi="en_US"/>
        </w:rPr>
      </w:r>
      <w:r>
        <w:rPr>
          <w:lang w:val="en_US" w:bidi="en_US"/>
        </w:rPr>
        <w:t>don’t notice (CEV)</w:t>
      </w:r>
    </w:p>
    <w:p>
      <w:pPr/>
      <w:r>
        <w:rPr>
          <w:lang w:val="en_US" w:bidi="en_US"/>
        </w:rPr>
      </w:r>
      <w:r>
        <w:rPr>
          <w:lang w:val="en_US" w:bidi="en_US"/>
        </w:rPr>
        <w:t>fail to notice (JBP)</w:t>
      </w:r>
    </w:p>
    <w:p>
      <w:pPr/>
      <w:r>
        <w:rPr>
          <w:lang w:val="en_US" w:bidi="en_US"/>
        </w:rPr>
      </w:r>
      <w:r>
        <w:rPr>
          <w:b/>
          <w:lang w:val="en_US" w:bidi="en_US"/>
        </w:rPr>
        <w:t>the beam in your own eye:</w:t>
      </w:r>
      <w:r>
        <w:rPr>
          <w:lang w:val="en_US" w:bidi="en_US"/>
        </w:rPr>
        <w:t xml:space="preserve"> The Greek word that the BSB translates as </w:t>
      </w:r>
      <w:r>
        <w:rPr>
          <w:i/>
          <w:lang w:val="en_US" w:bidi="en_US"/>
        </w:rPr>
        <w:t>beam</w:t>
      </w:r>
      <w:r>
        <w:rPr>
          <w:lang w:val="en_US" w:bidi="en_US"/>
        </w:rPr>
        <w:t xml:space="preserve"> refers to a large, heavy piece of wood. It is usually used as a beam in building a house. Some other ways to translate this word are:</w:t>
      </w:r>
    </w:p>
    <w:p>
      <w:pPr/>
      <w:r>
        <w:rPr>
          <w:lang w:val="en_US" w:bidi="en_US"/>
        </w:rPr>
      </w:r>
      <w:r>
        <w:rPr>
          <w:lang w:val="en_US" w:bidi="en_US"/>
        </w:rPr>
        <w:t>log (GNT)</w:t>
      </w:r>
    </w:p>
    <w:p>
      <w:pPr/>
      <w:r>
        <w:rPr>
          <w:lang w:val="en_US" w:bidi="en_US"/>
        </w:rPr>
      </w:r>
      <w:r>
        <w:rPr>
          <w:lang w:val="en_US" w:bidi="en_US"/>
        </w:rPr>
        <w:t>plank (NIV)</w:t>
      </w:r>
    </w:p>
    <w:p>
      <w:pPr/>
      <w:r>
        <w:rPr>
          <w:lang w:val="en_US" w:bidi="en_US"/>
        </w:rPr>
      </w:r>
      <w:r>
        <w:rPr>
          <w:lang w:val="en_US" w:bidi="en_US"/>
        </w:rPr>
        <w:t>big piece of wood (NCV)</w:t>
      </w:r>
    </w:p>
    <w:p>
      <w:pPr/>
      <w:r>
        <w:rPr>
          <w:lang w:val="en_US" w:bidi="en_US"/>
        </w:rPr>
      </w:r>
      <w:r>
        <w:rPr>
          <w:lang w:val="en_US" w:bidi="en_US"/>
        </w:rPr>
        <w:t xml:space="preserve">Jesus was using the </w:t>
      </w:r>
      <w:r>
        <w:rPr>
          <w:i/>
          <w:lang w:val="en_US" w:bidi="en_US"/>
        </w:rPr>
        <w:t>beam</w:t>
      </w:r>
      <w:r>
        <w:rPr>
          <w:lang w:val="en_US" w:bidi="en_US"/>
        </w:rPr>
        <w:t xml:space="preserve"> as a metaphor to refer to a large fault or sin that a disciple had done. If the meaning of the metaphor is not clear to people in your culture, you could say:</w:t>
      </w:r>
    </w:p>
    <w:p>
      <w:pPr/>
      <w:r>
        <w:rPr>
          <w:lang w:val="en_US" w:bidi="en_US"/>
        </w:rPr>
      </w:r>
      <w:r>
        <w:rPr>
          <w:lang w:val="en_US" w:bidi="en_US"/>
        </w:rPr>
        <w:t>the big faults/sins that you do/have, which are like a beam in your own eye</w:t>
      </w:r>
    </w:p>
    <w:p>
      <w:pPr/>
      <w:r>
        <w:rPr>
          <w:lang w:val="en_US" w:bidi="en_US"/>
        </w:rPr>
      </w:r>
      <w:r>
        <w:rPr>
          <w:lang w:val="en_US" w:bidi="en_US"/>
        </w:rPr>
        <w:t>It is, of course, impossible to have a beam in your eye. Jesus used the exaggerated contrast between something small and something large to emphasize what he was teaching. Jesus was teaching that it is wrong and hypocritical to condemn a friend for his faults if you have not examined and changed your own behavior.</w:t>
      </w:r>
      <w:r>
        <w:rPr>
          <w:lang w:val="en_US" w:bidi="en_US"/>
        </w:rPr>
      </w:r>
      <w:r>
        <w:rPr>
          <w:lang w:val="en_US" w:bidi="en_US"/>
        </w:rPr>
      </w:r>
    </w:p>
    <w:p>
      <w:pPr/>
      <w:r>
        <w:rPr>
          <w:lang w:val="en_US" w:bidi="en_US"/>
        </w:rPr>
      </w:r>
    </w:p>
    <w:p>
      <w:pPr>
        <w:pStyle w:val="Heading2"/>
      </w:pPr>
      <w:r>
        <w:rPr>
          <w:lang w:val="en_US" w:bidi="en_US"/>
        </w:rPr>
        <w:t>Luke 6:42</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6:41–42</w:t>
      </w:r>
    </w:p>
    <w:p>
      <w:pPr/>
      <w:r>
        <w:rPr>
          <w:lang w:val="en_US" w:bidi="en_US"/>
        </w:rPr>
      </w:r>
      <w:r>
        <w:rPr>
          <w:lang w:val="en_US" w:bidi="en_US"/>
        </w:rPr>
        <w:t>In this paragraph, Jesus continued to challenge his disciples to be good leaders. He stated that a good leader examines his life to makes sure that he obeys all of Jesus’ teachings. The disciple must change any of his attitudes and actions that do not conform to Jesus’ teaching. Only then can the disciple lead others to examine and change their lives.</w:t>
      </w:r>
    </w:p>
    <w:p>
      <w:pPr/>
      <w:r>
        <w:rPr>
          <w:lang w:val="en_US" w:bidi="en_US"/>
        </w:rPr>
      </w:r>
      <w:r>
        <w:rPr>
          <w:lang w:val="en_US" w:bidi="en_US"/>
        </w:rPr>
        <w:t>Jesus used rhetorical questions to emphasize his teaching. He also used a metaphor and exaggeration. The very small piece of wood and the very large beam represent a person’s faults or sins that he should abandon. The exaggerated contrast between something very small and something very large emphasizes what Jesus was saying. It is wrong to condemn a friend for his faults if you have not critically examined and changed your own behavior.</w:t>
      </w:r>
    </w:p>
    <w:p>
      <w:pPr/>
      <w:r>
        <w:rPr>
          <w:lang w:val="en_US" w:bidi="en_US"/>
        </w:rPr>
      </w:r>
      <w:r>
        <w:rPr>
          <w:lang w:val="en_US" w:bidi="en_US"/>
        </w:rPr>
        <w:t>In 6:41–42 Jesus used the singular form of “you.” However, in these verses he gave a general teaching that applies to any disciple. Use appropriate forms in your language for this. You may want to refer to the note on 6:27b–28, which gives suggestions for forms to use for general commands.</w:t>
      </w:r>
    </w:p>
    <w:p>
      <w:pPr>
        <w:pStyle w:val="Heading5"/>
      </w:pPr>
      <w:r>
        <w:rPr>
          <w:lang w:val="en_US" w:bidi="en_US"/>
        </w:rPr>
        <w:t>6:42a–c</w:t>
      </w:r>
    </w:p>
    <w:p>
      <w:pPr/>
      <w:r>
        <w:rPr>
          <w:lang w:val="en_US" w:bidi="en_US"/>
        </w:rPr>
      </w:r>
      <w:r>
        <w:rPr>
          <w:b/>
          <w:lang w:val="en_US" w:bidi="en_US"/>
        </w:rPr>
        <w:t>How can you say, ‘Brother, let me take the speck out of your eye,’ while you yourself fail to see the beam in your own eye?:</w:t>
      </w:r>
      <w:r>
        <w:rPr>
          <w:lang w:val="en_US" w:bidi="en_US"/>
        </w:rPr>
        <w:t xml:space="preserve"> Here Jesus restated the first rhetorical question. He restated it to rebuke and emphasize that your own sins blind you so that you cannot help others. His emphasis is on the importance of examining your own life and changing behavior that needs to be changed.</w:t>
      </w:r>
    </w:p>
    <w:p>
      <w:pPr/>
      <w:r>
        <w:rPr>
          <w:lang w:val="en_US" w:bidi="en_US"/>
        </w:rPr>
      </w:r>
      <w:r>
        <w:rPr>
          <w:lang w:val="en_US" w:bidi="en_US"/>
        </w:rPr>
        <w:t>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How can you think of saying, “Friend, let me help you get rid of that speck in your eye,” when you can’t see past the log in your own eye? (NLT)</w:t>
      </w:r>
      <w:r>
        <w:rPr>
          <w:lang w:val="en_US" w:bidi="en_US"/>
        </w:rPr>
        <w:t>Why do you say to your brother, “Brother, let me remove the speck from your eye,” when you yourself do not see the beam in your eye?</w:t>
      </w:r>
    </w:p>
    <w:p>
      <w:pPr>
        <w:pStyle w:val="ListBullet"/>
        <w:spacing w:line="240" w:lineRule="auto"/>
        <w:ind w:left="720"/>
      </w:pPr>
      <w:r>
        <w:rPr>
          <w:lang w:val="en_US" w:bidi="en_US"/>
        </w:rPr>
      </w:r>
      <w:r>
        <w:rPr>
          <w:lang w:val="en_US" w:bidi="en_US"/>
        </w:rPr>
        <w:t>As a statement or exclamation. For example:</w:t>
      </w:r>
      <w:r>
        <w:rPr>
          <w:lang w:val="en_US" w:bidi="en_US"/>
        </w:rPr>
        <w:t>It is wrong to say to your brother, “Brother, let me take the speck out of your eye,” when you yourself fail to see the plank of wood in your own eye!</w:t>
      </w:r>
    </w:p>
    <w:p>
      <w:pPr/>
      <w:r>
        <w:rPr>
          <w:lang w:val="en_US" w:bidi="en_US"/>
        </w:rPr>
      </w:r>
      <w:r>
        <w:rPr>
          <w:lang w:val="en_US" w:bidi="en_US"/>
        </w:rPr>
        <w:t>Translate this rebuke in a way that is natural in your language.</w:t>
      </w:r>
    </w:p>
    <w:p>
      <w:pPr>
        <w:pStyle w:val="Heading5"/>
      </w:pPr>
      <w:r>
        <w:rPr>
          <w:lang w:val="en_US" w:bidi="en_US"/>
        </w:rPr>
        <w:t>6:42a</w:t>
      </w:r>
    </w:p>
    <w:p>
      <w:pPr/>
      <w:r>
        <w:rPr>
          <w:lang w:val="en_US" w:bidi="en_US"/>
        </w:rPr>
      </w:r>
      <w:r>
        <w:rPr>
          <w:b/>
          <w:lang w:val="en_US" w:bidi="en_US"/>
        </w:rPr>
        <w:t>How can you say,</w:t>
      </w:r>
    </w:p>
    <w:p>
      <w:pPr>
        <w:pStyle w:val="ListBullet"/>
        <w:spacing w:line="240" w:lineRule="auto"/>
        <w:ind w:left="720"/>
      </w:pPr>
      <w:r>
        <w:rPr>
          <w:lang w:val="en_US" w:bidi="en_US"/>
        </w:rPr>
      </w:r>
      <w:r>
        <w:rPr>
          <w:lang w:val="en_US" w:bidi="en_US"/>
        </w:rPr>
        <w:t>Why do you say to your brother,</w:t>
      </w:r>
    </w:p>
    <w:p>
      <w:pPr>
        <w:pStyle w:val="ListBullet"/>
        <w:spacing w:line="240" w:lineRule="auto"/>
        <w:ind w:left="720"/>
      </w:pPr>
      <w:r>
        <w:rPr>
          <w:lang w:val="en_US" w:bidi="en_US"/>
        </w:rPr>
      </w:r>
      <w:r>
        <w:rPr>
          <w:lang w:val="en_US" w:bidi="en_US"/>
        </w:rPr>
        <w:t>It is wrong to say to your friend,</w:t>
      </w:r>
    </w:p>
    <w:p>
      <w:pPr/>
      <w:r>
        <w:rPr>
          <w:lang w:val="en_US" w:bidi="en_US"/>
        </w:rPr>
      </w:r>
      <w:r>
        <w:rPr>
          <w:b/>
          <w:lang w:val="en_US" w:bidi="en_US"/>
        </w:rPr>
        <w:t>How can you say:</w:t>
      </w:r>
      <w:r>
        <w:rPr>
          <w:lang w:val="en_US" w:bidi="en_US"/>
        </w:rPr>
        <w:t xml:space="preserve"> The phrase </w:t>
      </w:r>
      <w:r>
        <w:rPr>
          <w:i/>
          <w:lang w:val="en_US" w:bidi="en_US"/>
        </w:rPr>
        <w:t>How can you say</w:t>
      </w:r>
      <w:r>
        <w:rPr>
          <w:lang w:val="en_US" w:bidi="en_US"/>
        </w:rPr>
        <w:t xml:space="preserve"> introduces the rebuke. In some languages, it may be more natural to begin the rebuke with the word “why.” For example:</w:t>
      </w:r>
    </w:p>
    <w:p>
      <w:pPr/>
      <w:r>
        <w:rPr>
          <w:lang w:val="en_US" w:bidi="en_US"/>
        </w:rPr>
      </w:r>
      <w:r>
        <w:rPr>
          <w:lang w:val="en_US" w:bidi="en_US"/>
        </w:rPr>
        <w:t>Why do you say</w:t>
      </w:r>
    </w:p>
    <w:p>
      <w:pPr/>
      <w:r>
        <w:rPr>
          <w:lang w:val="en_US" w:bidi="en_US"/>
        </w:rPr>
      </w:r>
      <w:r>
        <w:rPr>
          <w:lang w:val="en_US" w:bidi="en_US"/>
        </w:rPr>
        <w:t>The Greek says literally, “How can you say to your brother, ‘Brother.’” In some languages, it may be natural to let the first mention of “brother” remain implicit. That is what the BSB does. Another way to translate this phrase is:</w:t>
      </w:r>
    </w:p>
    <w:p>
      <w:pPr/>
      <w:r>
        <w:rPr>
          <w:lang w:val="en_US" w:bidi="en_US"/>
        </w:rPr>
      </w:r>
      <w:r>
        <w:rPr>
          <w:lang w:val="en_US" w:bidi="en_US"/>
        </w:rPr>
        <w:t>How can you think of saying (NLT)</w:t>
      </w:r>
    </w:p>
    <w:p>
      <w:pPr>
        <w:pStyle w:val="Heading5"/>
      </w:pPr>
      <w:r>
        <w:rPr>
          <w:lang w:val="en_US" w:bidi="en_US"/>
        </w:rPr>
        <w:t>6:42b</w:t>
      </w:r>
    </w:p>
    <w:p>
      <w:pPr/>
      <w:r>
        <w:rPr>
          <w:lang w:val="en_US" w:bidi="en_US"/>
        </w:rPr>
      </w:r>
      <w:r>
        <w:rPr>
          <w:b/>
          <w:lang w:val="en_US" w:bidi="en_US"/>
        </w:rPr>
        <w:t>‘Brother, let me take the speck out of your eye,’</w:t>
      </w:r>
    </w:p>
    <w:p>
      <w:pPr>
        <w:pStyle w:val="ListBullet"/>
        <w:spacing w:line="240" w:lineRule="auto"/>
        <w:ind w:left="720"/>
      </w:pPr>
      <w:r>
        <w:rPr>
          <w:lang w:val="en_US" w:bidi="en_US"/>
        </w:rPr>
      </w:r>
      <w:r>
        <w:rPr>
          <w:lang w:val="en_US" w:bidi="en_US"/>
        </w:rPr>
        <w:t>‘Brother, let me remove the little piece of sawdust from your eye,’</w:t>
      </w:r>
    </w:p>
    <w:p>
      <w:pPr>
        <w:pStyle w:val="ListBullet"/>
        <w:spacing w:line="240" w:lineRule="auto"/>
        <w:ind w:left="720"/>
      </w:pPr>
      <w:r>
        <w:rPr>
          <w:lang w:val="en_US" w:bidi="en_US"/>
        </w:rPr>
      </w:r>
      <w:r>
        <w:rPr>
          <w:lang w:val="en_US" w:bidi="en_US"/>
        </w:rPr>
        <w:t>‘Friend, allow me to take that tiny piece of wood out of your eye,’</w:t>
      </w:r>
    </w:p>
    <w:p>
      <w:pPr/>
      <w:r>
        <w:rPr>
          <w:lang w:val="en_US" w:bidi="en_US"/>
        </w:rPr>
      </w:r>
      <w:r>
        <w:rPr>
          <w:b/>
          <w:lang w:val="en_US" w:bidi="en_US"/>
        </w:rPr>
        <w:t>Brother:</w:t>
      </w:r>
      <w:r>
        <w:rPr>
          <w:lang w:val="en_US" w:bidi="en_US"/>
        </w:rPr>
        <w:t xml:space="preserve"> See the note on “brother’s” at 6:41a.</w:t>
      </w:r>
    </w:p>
    <w:p>
      <w:pPr/>
      <w:r>
        <w:rPr>
          <w:lang w:val="en_US" w:bidi="en_US"/>
        </w:rPr>
      </w:r>
      <w:r>
        <w:rPr>
          <w:b/>
          <w:lang w:val="en_US" w:bidi="en_US"/>
        </w:rPr>
        <w:t>let me take the speck out of your eye:</w:t>
      </w:r>
      <w:r>
        <w:rPr>
          <w:lang w:val="en_US" w:bidi="en_US"/>
        </w:rPr>
        <w:t xml:space="preserve"> The Greek word that the BSB translates as </w:t>
      </w:r>
      <w:r>
        <w:rPr>
          <w:i/>
          <w:lang w:val="en_US" w:bidi="en_US"/>
        </w:rPr>
        <w:t>speck</w:t>
      </w:r>
      <w:r>
        <w:rPr>
          <w:lang w:val="en_US" w:bidi="en_US"/>
        </w:rPr>
        <w:t xml:space="preserve"> is the same Greek word that it translates as “speck” in 6:41a.</w:t>
      </w:r>
    </w:p>
    <w:p>
      <w:pPr>
        <w:pStyle w:val="Heading5"/>
      </w:pPr>
      <w:r>
        <w:rPr>
          <w:lang w:val="en_US" w:bidi="en_US"/>
        </w:rPr>
        <w:t>6:42c</w:t>
      </w:r>
    </w:p>
    <w:p>
      <w:pPr/>
      <w:r>
        <w:rPr>
          <w:lang w:val="en_US" w:bidi="en_US"/>
        </w:rPr>
      </w:r>
      <w:r>
        <w:rPr>
          <w:b/>
          <w:lang w:val="en_US" w:bidi="en_US"/>
        </w:rPr>
        <w:t>while you yourself fail to see the beam in your own eye?</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yourself do not even see the log in your eye?</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yourself do not see the big/huge piece of wood in your own eye!</w:t>
      </w:r>
    </w:p>
    <w:p>
      <w:pPr/>
      <w:r>
        <w:rPr>
          <w:lang w:val="en_US" w:bidi="en_US"/>
        </w:rPr>
      </w:r>
      <w:r>
        <w:rPr>
          <w:b/>
          <w:lang w:val="en_US" w:bidi="en_US"/>
        </w:rPr>
        <w:t>while you yourself:</w:t>
      </w:r>
      <w:r>
        <w:rPr>
          <w:lang w:val="en_US" w:bidi="en_US"/>
        </w:rPr>
        <w:t xml:space="preserve"> The phrase </w:t>
      </w:r>
      <w:r>
        <w:rPr>
          <w:i/>
          <w:lang w:val="en_US" w:bidi="en_US"/>
        </w:rPr>
        <w:t>you yourself</w:t>
      </w:r>
      <w:r>
        <w:rPr>
          <w:lang w:val="en_US" w:bidi="en_US"/>
        </w:rPr>
        <w:t xml:space="preserve"> is emphatic. It draws attention to the person who fails to see his own wrong actions/behavior. If you have a way to make this emphatic in your language, use it here.</w:t>
      </w:r>
    </w:p>
    <w:p>
      <w:pPr/>
      <w:r>
        <w:rPr>
          <w:lang w:val="en_US" w:bidi="en_US"/>
        </w:rPr>
      </w:r>
      <w:r>
        <w:rPr>
          <w:b/>
          <w:lang w:val="en_US" w:bidi="en_US"/>
        </w:rPr>
        <w:t>fail to see:</w:t>
      </w:r>
      <w:r>
        <w:rPr>
          <w:lang w:val="en_US" w:bidi="en_US"/>
        </w:rPr>
        <w:t xml:space="preserve"> The Greek phrase that the BSB translates as </w:t>
      </w:r>
      <w:r>
        <w:rPr>
          <w:i/>
          <w:lang w:val="en_US" w:bidi="en_US"/>
        </w:rPr>
        <w:t>fail to see</w:t>
      </w:r>
      <w:r>
        <w:rPr>
          <w:lang w:val="en_US" w:bidi="en_US"/>
        </w:rPr>
        <w:t xml:space="preserve"> is literally “do not see.” For example:</w:t>
      </w:r>
    </w:p>
    <w:p>
      <w:pPr/>
      <w:r>
        <w:rPr>
          <w:lang w:val="en_US" w:bidi="en_US"/>
        </w:rPr>
      </w:r>
      <w:r>
        <w:rPr>
          <w:lang w:val="en_US" w:bidi="en_US"/>
        </w:rPr>
        <w:t>do not see (RSV)</w:t>
      </w:r>
    </w:p>
    <w:p>
      <w:pPr/>
      <w:r>
        <w:rPr>
          <w:lang w:val="en_US" w:bidi="en_US"/>
        </w:rPr>
      </w:r>
      <w:r>
        <w:rPr>
          <w:b/>
          <w:lang w:val="en_US" w:bidi="en_US"/>
        </w:rPr>
        <w:t>the beam in your own eye:</w:t>
      </w:r>
      <w:r>
        <w:rPr>
          <w:lang w:val="en_US" w:bidi="en_US"/>
        </w:rPr>
        <w:t xml:space="preserve"> The Greek word that the BSB translates as </w:t>
      </w:r>
      <w:r>
        <w:rPr>
          <w:i/>
          <w:lang w:val="en_US" w:bidi="en_US"/>
        </w:rPr>
        <w:t>beam</w:t>
      </w:r>
      <w:r>
        <w:rPr>
          <w:lang w:val="en_US" w:bidi="en_US"/>
        </w:rPr>
        <w:t xml:space="preserve"> is the same word as in 6:41b. It refers to a very large, heavy piece of wood, usually used as a beam in building a house. Translate this word the same way in both places.</w:t>
      </w:r>
    </w:p>
    <w:p>
      <w:pPr>
        <w:pStyle w:val="Heading6"/>
      </w:pPr>
      <w:r>
        <w:rPr>
          <w:b/>
          <w:lang w:val="en_US" w:bidi="en_US"/>
        </w:rPr>
        <w:t>General Comment on 6:42a–c</w:t>
      </w:r>
    </w:p>
    <w:p>
      <w:pPr/>
      <w:r>
        <w:rPr>
          <w:lang w:val="en_US" w:bidi="en_US"/>
        </w:rPr>
      </w:r>
      <w:r>
        <w:rPr>
          <w:lang w:val="en_US" w:bidi="en_US"/>
        </w:rPr>
        <w:t>In some languages, it may be natural to change the order of the clauses in 6:42a–c. For example:</w:t>
      </w:r>
    </w:p>
    <w:p>
      <w:pPr/>
      <w:r>
        <w:rPr>
          <w:lang w:val="en_US" w:bidi="en_US"/>
        </w:rPr>
      </w:r>
      <w:r>
        <w:rPr>
          <w:vertAlign w:val="superscript"/>
          <w:lang w:val="en_US" w:bidi="en_US"/>
        </w:rPr>
        <w:t>42c</w:t>
      </w:r>
      <w:r>
        <w:rPr>
          <w:lang w:val="en_US" w:bidi="en_US"/>
        </w:rPr>
        <w:t xml:space="preserve">If you do not see the beam in your own eye, </w:t>
      </w:r>
      <w:r>
        <w:rPr>
          <w:vertAlign w:val="superscript"/>
          <w:lang w:val="en_US" w:bidi="en_US"/>
        </w:rPr>
        <w:t>42a</w:t>
      </w:r>
      <w:r>
        <w:rPr>
          <w:lang w:val="en_US" w:bidi="en_US"/>
        </w:rPr>
        <w:t xml:space="preserve">how can you offer </w:t>
      </w:r>
      <w:r>
        <w:rPr>
          <w:vertAlign w:val="superscript"/>
          <w:lang w:val="en_US" w:bidi="en_US"/>
        </w:rPr>
        <w:t>42b</w:t>
      </w:r>
      <w:r>
        <w:rPr>
          <w:lang w:val="en_US" w:bidi="en_US"/>
        </w:rPr>
        <w:t>to help your brother take the small piece of wood out of his eye?</w:t>
      </w:r>
    </w:p>
    <w:p>
      <w:pPr>
        <w:pStyle w:val="Heading5"/>
      </w:pPr>
      <w:r>
        <w:rPr>
          <w:lang w:val="en_US" w:bidi="en_US"/>
        </w:rPr>
        <w:t>6:42d</w:t>
      </w:r>
    </w:p>
    <w:p>
      <w:pPr/>
      <w:r>
        <w:rPr>
          <w:lang w:val="en_US" w:bidi="en_US"/>
        </w:rPr>
      </w:r>
      <w:r>
        <w:rPr>
          <w:b/>
          <w:lang w:val="en_US" w:bidi="en_US"/>
        </w:rPr>
        <w:t>You hypocrite! First take the beam out of your own eye,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pretender! First, remove</w:t>
      </w:r>
      <w:r>
        <w:rPr>
          <w:vertAlign w:val="superscript"/>
          <w:lang w:val="en_US" w:bidi="en_US"/>
        </w:rPr>
        <w:t>(sing)</w:t>
      </w:r>
      <w:r>
        <w:rPr>
          <w:lang w:val="en_US" w:bidi="en_US"/>
        </w:rPr>
        <w:t xml:space="preserve"> the log/beam from your own eye.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fraud! Remove</w:t>
      </w:r>
      <w:r>
        <w:rPr>
          <w:vertAlign w:val="superscript"/>
          <w:lang w:val="en_US" w:bidi="en_US"/>
        </w:rPr>
        <w:t>(sing)</w:t>
      </w:r>
      <w:r>
        <w:rPr>
          <w:lang w:val="en_US" w:bidi="en_US"/>
        </w:rPr>
        <w:t xml:space="preserve"> the large piece of wood from your own eye first.</w:t>
      </w:r>
    </w:p>
    <w:p>
      <w:pPr/>
      <w:r>
        <w:rPr>
          <w:lang w:val="en_US" w:bidi="en_US"/>
        </w:rPr>
      </w:r>
      <w:r>
        <w:rPr>
          <w:b/>
          <w:lang w:val="en_US" w:bidi="en_US"/>
        </w:rPr>
        <w:t>You hypocrite!:</w:t>
      </w:r>
      <w:r>
        <w:rPr>
          <w:lang w:val="en_US" w:bidi="en_US"/>
        </w:rPr>
        <w:t xml:space="preserve"> The Greek word that the BSB translates as </w:t>
      </w:r>
      <w:r>
        <w:rPr>
          <w:i/>
          <w:lang w:val="en_US" w:bidi="en_US"/>
        </w:rPr>
        <w:t>hypocrite</w:t>
      </w:r>
      <w:r>
        <w:rPr>
          <w:lang w:val="en_US" w:bidi="en_US"/>
        </w:rPr>
        <w:t xml:space="preserve"> means “pretender” or “actor.” An actor is someone who pretends to be another person. A </w:t>
      </w:r>
      <w:r>
        <w:rPr>
          <w:i/>
          <w:lang w:val="en_US" w:bidi="en_US"/>
        </w:rPr>
        <w:t>hypocrite</w:t>
      </w:r>
      <w:r>
        <w:rPr>
          <w:lang w:val="en_US" w:bidi="en_US"/>
        </w:rPr>
        <w:t xml:space="preserve"> often:</w:t>
      </w:r>
    </w:p>
    <w:p>
      <w:pPr>
        <w:pStyle w:val="ListNumber"/>
        <w:numPr>
          <w:ilvl w:val="0"/>
          <w:numId w:val="142"/>
        </w:numPr>
        <w:spacing w:line="240" w:lineRule="auto"/>
        <w:ind w:left="720"/>
      </w:pPr>
      <w:r>
        <w:rPr>
          <w:lang w:val="en_US" w:bidi="en_US"/>
        </w:rPr>
      </w:r>
      <w:r>
        <w:rPr>
          <w:lang w:val="en_US" w:bidi="en_US"/>
        </w:rPr>
        <w:t>acted in a way that did not fit what he said he believed;</w:t>
      </w:r>
    </w:p>
    <w:p>
      <w:pPr>
        <w:pStyle w:val="ListNumber"/>
        <w:spacing w:line="240" w:lineRule="auto"/>
        <w:ind w:left="720"/>
      </w:pPr>
      <w:r>
        <w:rPr>
          <w:lang w:val="en_US" w:bidi="en_US"/>
        </w:rPr>
      </w:r>
      <w:r>
        <w:rPr>
          <w:lang w:val="en_US" w:bidi="en_US"/>
        </w:rPr>
        <w:t>believed that he honored God, but he did not truly love and honor him.</w:t>
      </w:r>
    </w:p>
    <w:p>
      <w:pPr/>
      <w:r>
        <w:rPr>
          <w:lang w:val="en_US" w:bidi="en_US"/>
        </w:rPr>
      </w:r>
      <w:r>
        <w:rPr>
          <w:lang w:val="en_US" w:bidi="en_US"/>
        </w:rPr>
        <w:t>Some other ways to translate this are:</w:t>
      </w:r>
    </w:p>
    <w:p>
      <w:pPr/>
      <w:r>
        <w:rPr>
          <w:lang w:val="en_US" w:bidi="en_US"/>
        </w:rPr>
      </w:r>
      <w:r>
        <w:rPr>
          <w:lang w:val="en_US" w:bidi="en_US"/>
        </w:rPr>
        <w:t>You show-offs! (CEV)</w:t>
      </w:r>
    </w:p>
    <w:p>
      <w:pPr/>
      <w:r>
        <w:rPr>
          <w:lang w:val="en_US" w:bidi="en_US"/>
        </w:rPr>
      </w:r>
      <w:r>
        <w:rPr>
          <w:lang w:val="en_US" w:bidi="en_US"/>
        </w:rPr>
        <w:t>You fraud… (JBP)</w:t>
      </w:r>
    </w:p>
    <w:p>
      <w:pPr/>
      <w:r>
        <w:rPr>
          <w:lang w:val="en_US" w:bidi="en_US"/>
        </w:rPr>
      </w:r>
      <w:r>
        <w:rPr>
          <w:lang w:val="en_US" w:bidi="en_US"/>
        </w:rPr>
        <w:t>In some languages, people use an idiom for this idea.</w:t>
      </w:r>
    </w:p>
    <w:p>
      <w:pPr/>
      <w:r>
        <w:rPr>
          <w:lang w:val="en_US" w:bidi="en_US"/>
        </w:rPr>
      </w:r>
      <w:r>
        <w:rPr>
          <w:lang w:val="en_US" w:bidi="en_US"/>
        </w:rPr>
        <w:t xml:space="preserve">Jesus made the exclamation </w:t>
      </w:r>
      <w:r>
        <w:rPr>
          <w:i/>
          <w:lang w:val="en_US" w:bidi="en_US"/>
        </w:rPr>
        <w:t>You hypocrite!</w:t>
      </w:r>
      <w:r>
        <w:rPr>
          <w:lang w:val="en_US" w:bidi="en_US"/>
        </w:rPr>
        <w:t xml:space="preserve"> to emphasize his warning. A person who does not examine his own life but criticizes others is not sincere.</w:t>
      </w:r>
    </w:p>
    <w:p>
      <w:pPr/>
      <w:r>
        <w:rPr>
          <w:lang w:val="en_US" w:bidi="en_US"/>
        </w:rPr>
      </w:r>
      <w:r>
        <w:rPr>
          <w:lang w:val="en_US" w:bidi="en_US"/>
        </w:rPr>
        <w:t>The Greek text says literally just “hypocrite.” The BSB and other English versions add the word “you” to show that this is direct address. Here are some other ways to translate this:</w:t>
      </w:r>
    </w:p>
    <w:p>
      <w:pPr/>
      <w:r>
        <w:rPr>
          <w:lang w:val="en_US" w:bidi="en_US"/>
        </w:rPr>
      </w:r>
      <w:r>
        <w:rPr>
          <w:lang w:val="en_US" w:bidi="en_US"/>
        </w:rPr>
        <w:t>Hypocrite! (NLT)</w:t>
      </w:r>
    </w:p>
    <w:p>
      <w:pPr/>
      <w:r>
        <w:rPr>
          <w:lang w:val="en_US" w:bidi="en_US"/>
        </w:rPr>
      </w:r>
      <w:r>
        <w:rPr>
          <w:lang w:val="en_US" w:bidi="en_US"/>
        </w:rPr>
        <w:t>You are a hypocrite.</w:t>
      </w:r>
    </w:p>
    <w:p>
      <w:pPr/>
      <w:r>
        <w:rPr>
          <w:lang w:val="en_US" w:bidi="en_US"/>
        </w:rPr>
      </w:r>
      <w:r>
        <w:rPr>
          <w:b/>
          <w:lang w:val="en_US" w:bidi="en_US"/>
        </w:rPr>
        <w:t>First take the beam out of your own eye:</w:t>
      </w:r>
      <w:r>
        <w:rPr>
          <w:lang w:val="en_US" w:bidi="en_US"/>
        </w:rPr>
        <w:t xml:space="preserve"> The Greek word that the BSB translates as </w:t>
      </w:r>
      <w:r>
        <w:rPr>
          <w:i/>
          <w:lang w:val="en_US" w:bidi="en_US"/>
        </w:rPr>
        <w:t>beam</w:t>
      </w:r>
      <w:r>
        <w:rPr>
          <w:lang w:val="en_US" w:bidi="en_US"/>
        </w:rPr>
        <w:t xml:space="preserve"> is the same word as in 6:41b and 6:41c. Another way to translate this clause is:</w:t>
      </w:r>
    </w:p>
    <w:p>
      <w:pPr/>
      <w:r>
        <w:rPr>
          <w:lang w:val="en_US" w:bidi="en_US"/>
        </w:rPr>
      </w:r>
      <w:r>
        <w:rPr>
          <w:lang w:val="en_US" w:bidi="en_US"/>
        </w:rPr>
        <w:t>First remove the beam from your own eye (NET)</w:t>
      </w:r>
    </w:p>
    <w:p>
      <w:pPr>
        <w:pStyle w:val="Heading5"/>
      </w:pPr>
      <w:r>
        <w:rPr>
          <w:lang w:val="en_US" w:bidi="en_US"/>
        </w:rPr>
        <w:t>6:42e</w:t>
      </w:r>
    </w:p>
    <w:p>
      <w:pPr/>
      <w:r>
        <w:rPr>
          <w:lang w:val="en_US" w:bidi="en_US"/>
        </w:rPr>
      </w:r>
      <w:r>
        <w:rPr>
          <w:b/>
          <w:lang w:val="en_US" w:bidi="en_US"/>
        </w:rPr>
        <w:t>and then you will see clearly to remove the speck from your brother’s eye.</w:t>
      </w:r>
    </w:p>
    <w:p>
      <w:pPr>
        <w:pStyle w:val="ListBullet"/>
        <w:spacing w:line="240" w:lineRule="auto"/>
        <w:ind w:left="720"/>
      </w:pPr>
      <w:r>
        <w:rPr>
          <w:lang w:val="en_US" w:bidi="en_US"/>
        </w:rPr>
      </w:r>
      <w:r>
        <w:rPr>
          <w:lang w:val="en_US" w:bidi="en_US"/>
        </w:rPr>
        <w:t>Then you</w:t>
      </w:r>
      <w:r>
        <w:rPr>
          <w:vertAlign w:val="superscript"/>
          <w:lang w:val="en_US" w:bidi="en_US"/>
        </w:rPr>
        <w:t>(sing)</w:t>
      </w:r>
      <w:r>
        <w:rPr>
          <w:lang w:val="en_US" w:bidi="en_US"/>
        </w:rPr>
        <w:t xml:space="preserve"> will see clearly, and you can remove the little piece of sawdust from your brother’s eye.</w:t>
      </w:r>
    </w:p>
    <w:p>
      <w:pPr>
        <w:pStyle w:val="ListBullet"/>
        <w:spacing w:line="240" w:lineRule="auto"/>
        <w:ind w:left="720"/>
      </w:pPr>
      <w:r>
        <w:rPr>
          <w:lang w:val="en_US" w:bidi="en_US"/>
        </w:rPr>
      </w:r>
      <w:r>
        <w:rPr>
          <w:lang w:val="en_US" w:bidi="en_US"/>
        </w:rPr>
        <w:t>After you</w:t>
      </w:r>
      <w:r>
        <w:rPr>
          <w:vertAlign w:val="superscript"/>
          <w:lang w:val="en_US" w:bidi="en_US"/>
        </w:rPr>
        <w:t>(sing)</w:t>
      </w:r>
      <w:r>
        <w:rPr>
          <w:lang w:val="en_US" w:bidi="en_US"/>
        </w:rPr>
        <w:t xml:space="preserve"> do that, then you will be able to see better to remove the tiny piece of wood from your friend’s eye.</w:t>
      </w:r>
    </w:p>
    <w:p>
      <w:pPr/>
      <w:r>
        <w:rPr>
          <w:lang w:val="en_US" w:bidi="en_US"/>
        </w:rPr>
      </w:r>
      <w:r>
        <w:rPr>
          <w:b/>
          <w:lang w:val="en_US" w:bidi="en_US"/>
        </w:rPr>
        <w:t>and then you will see clearly to remove the speck from your brother’s eye:</w:t>
      </w:r>
      <w:r>
        <w:rPr>
          <w:lang w:val="en_US" w:bidi="en_US"/>
        </w:rPr>
        <w:t xml:space="preserve"> The phrase </w:t>
      </w:r>
      <w:r>
        <w:rPr>
          <w:i/>
          <w:lang w:val="en_US" w:bidi="en_US"/>
        </w:rPr>
        <w:t>and then</w:t>
      </w:r>
      <w:r>
        <w:rPr>
          <w:lang w:val="en_US" w:bidi="en_US"/>
        </w:rPr>
        <w:t xml:space="preserve"> means “after that.” In this case it is also a result. When a person takes the beam out of his own eye first, the result is that he will see clearly to remove the speck from his brother’s eye.</w:t>
      </w:r>
    </w:p>
    <w:p>
      <w:pPr>
        <w:pStyle w:val="Heading6"/>
      </w:pPr>
      <w:r>
        <w:rPr>
          <w:b/>
          <w:lang w:val="en_US" w:bidi="en_US"/>
        </w:rPr>
        <w:t>General Comment on 6:41–42</w:t>
      </w:r>
    </w:p>
    <w:p>
      <w:pPr/>
      <w:r>
        <w:rPr>
          <w:lang w:val="en_US" w:bidi="en_US"/>
        </w:rPr>
      </w:r>
      <w:r>
        <w:rPr>
          <w:lang w:val="en_US" w:bidi="en_US"/>
        </w:rPr>
        <w:t>In some languages, it may be helpful to explain the metaphor of the speck and plank in a footnote. For example:</w:t>
      </w:r>
    </w:p>
    <w:p>
      <w:pPr/>
      <w:r>
        <w:rPr>
          <w:lang w:val="en_US" w:bidi="en_US"/>
        </w:rPr>
      </w:r>
      <w:r>
        <w:rPr>
          <w:lang w:val="en_US" w:bidi="en_US"/>
        </w:rPr>
        <w:t>The speck represents small sins and faults. The plank represents large sins and faults.</w:t>
      </w:r>
      <w:r>
        <w:rPr>
          <w:lang w:val="en_US" w:bidi="en_US"/>
        </w:rPr>
      </w:r>
      <w:r>
        <w:rPr>
          <w:lang w:val="en_US" w:bidi="en_US"/>
        </w:rPr>
      </w:r>
    </w:p>
    <w:p>
      <w:pPr/>
      <w:r>
        <w:rPr>
          <w:lang w:val="en_US" w:bidi="en_US"/>
        </w:rPr>
      </w:r>
    </w:p>
    <w:p>
      <w:pPr>
        <w:pStyle w:val="Heading2"/>
      </w:pPr>
      <w:r>
        <w:rPr>
          <w:lang w:val="en_US" w:bidi="en_US"/>
        </w:rPr>
        <w:t>Luke 6:43</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6:43–45</w:t>
      </w:r>
    </w:p>
    <w:p>
      <w:pPr/>
      <w:r>
        <w:rPr>
          <w:lang w:val="en_US" w:bidi="en_US"/>
        </w:rPr>
      </w:r>
      <w:r>
        <w:rPr>
          <w:lang w:val="en_US" w:bidi="en_US"/>
        </w:rPr>
        <w:t>In this paragraph, Jesus used another illustration or extended metaphor. He compared different kinds of people to different kinds of trees. He said that the way a person acts shows the kind of person he is.</w:t>
      </w:r>
    </w:p>
    <w:p>
      <w:pPr/>
      <w:r>
        <w:rPr>
          <w:lang w:val="en_US" w:bidi="en_US"/>
        </w:rPr>
      </w:r>
      <w:r>
        <w:rPr>
          <w:lang w:val="en_US" w:bidi="en_US"/>
        </w:rPr>
        <w:t>The BSB does not translate the Greek conjunction that introduces this illustration, but many English versions translate it as “for.” This conjunction indicates that this illustration reinforces what Jesus had just said. Connect this illustration to what Jesus had just said in a way that is natural in your language. Some ways to connect this illustration are:</w:t>
      </w:r>
    </w:p>
    <w:p>
      <w:pPr/>
      <w:r>
        <w:rPr>
          <w:lang w:val="en_US" w:bidi="en_US"/>
        </w:rPr>
      </w:r>
      <w:r>
        <w:rPr>
          <w:lang w:val="en_US" w:bidi="en_US"/>
        </w:rPr>
        <w:t>Think about this:</w:t>
      </w:r>
    </w:p>
    <w:p>
      <w:pPr/>
      <w:r>
        <w:rPr>
          <w:lang w:val="en_US" w:bidi="en_US"/>
        </w:rPr>
      </w:r>
      <w:r>
        <w:rPr>
          <w:lang w:val="en_US" w:bidi="en_US"/>
        </w:rPr>
        <w:t>You know</w:t>
      </w:r>
    </w:p>
    <w:p>
      <w:pPr>
        <w:pStyle w:val="Heading5"/>
      </w:pPr>
      <w:r>
        <w:rPr>
          <w:lang w:val="en_US" w:bidi="en_US"/>
        </w:rPr>
        <w:t>6:43–45</w:t>
      </w:r>
    </w:p>
    <w:p>
      <w:pPr/>
      <w:r>
        <w:rPr>
          <w:lang w:val="en_US" w:bidi="en_US"/>
        </w:rPr>
      </w:r>
      <w:r>
        <w:rPr>
          <w:b/>
          <w:lang w:val="en_US" w:bidi="en_US"/>
        </w:rPr>
        <w:t>good…bad…evil:</w:t>
      </w:r>
      <w:r>
        <w:rPr>
          <w:lang w:val="en_US" w:bidi="en_US"/>
        </w:rPr>
        <w:t xml:space="preserve"> The words </w:t>
      </w:r>
      <w:r>
        <w:rPr>
          <w:i/>
          <w:lang w:val="en_US" w:bidi="en_US"/>
        </w:rPr>
        <w:t>good</w:t>
      </w:r>
      <w:r>
        <w:rPr>
          <w:lang w:val="en_US" w:bidi="en_US"/>
        </w:rPr>
        <w:t xml:space="preserve"> and </w:t>
      </w:r>
      <w:r>
        <w:rPr>
          <w:i/>
          <w:lang w:val="en_US" w:bidi="en_US"/>
        </w:rPr>
        <w:t>bad</w:t>
      </w:r>
      <w:r>
        <w:rPr>
          <w:lang w:val="en_US" w:bidi="en_US"/>
        </w:rPr>
        <w:t xml:space="preserve"> (or </w:t>
      </w:r>
      <w:r>
        <w:rPr>
          <w:i/>
          <w:lang w:val="en_US" w:bidi="en_US"/>
        </w:rPr>
        <w:t>good</w:t>
      </w:r>
      <w:r>
        <w:rPr>
          <w:lang w:val="en_US" w:bidi="en_US"/>
        </w:rPr>
        <w:t xml:space="preserve"> and </w:t>
      </w:r>
      <w:r>
        <w:rPr>
          <w:i/>
          <w:lang w:val="en_US" w:bidi="en_US"/>
        </w:rPr>
        <w:t>evil</w:t>
      </w:r>
      <w:r>
        <w:rPr>
          <w:lang w:val="en_US" w:bidi="en_US"/>
        </w:rPr>
        <w:t xml:space="preserve">) describe many things in the passage: trees, fruit, people, treasure in a person’s heart, and actions. If possible, use general words for </w:t>
      </w:r>
      <w:r>
        <w:rPr>
          <w:i/>
          <w:lang w:val="en_US" w:bidi="en_US"/>
        </w:rPr>
        <w:t>good</w:t>
      </w:r>
      <w:r>
        <w:rPr>
          <w:lang w:val="en_US" w:bidi="en_US"/>
        </w:rPr>
        <w:t xml:space="preserve"> and </w:t>
      </w:r>
      <w:r>
        <w:rPr>
          <w:i/>
          <w:lang w:val="en_US" w:bidi="en_US"/>
        </w:rPr>
        <w:t>bad</w:t>
      </w:r>
      <w:r>
        <w:rPr>
          <w:lang w:val="en_US" w:bidi="en_US"/>
        </w:rPr>
        <w:t xml:space="preserve"> that can be applied to all these things. This will help maintain the unity of the passage. If not, be sure to use words for </w:t>
      </w:r>
      <w:r>
        <w:rPr>
          <w:i/>
          <w:lang w:val="en_US" w:bidi="en_US"/>
        </w:rPr>
        <w:t>good</w:t>
      </w:r>
      <w:r>
        <w:rPr>
          <w:lang w:val="en_US" w:bidi="en_US"/>
        </w:rPr>
        <w:t xml:space="preserve"> and </w:t>
      </w:r>
      <w:r>
        <w:rPr>
          <w:i/>
          <w:lang w:val="en_US" w:bidi="en_US"/>
        </w:rPr>
        <w:t>bad</w:t>
      </w:r>
      <w:r>
        <w:rPr>
          <w:lang w:val="en_US" w:bidi="en_US"/>
        </w:rPr>
        <w:t xml:space="preserve"> that are appropriate for the thing that is being described. (See the notes for each verse for more explanation of the way these words are used in each context.)</w:t>
      </w:r>
    </w:p>
    <w:p>
      <w:pPr>
        <w:pStyle w:val="Heading5"/>
      </w:pPr>
      <w:r>
        <w:rPr>
          <w:lang w:val="en_US" w:bidi="en_US"/>
        </w:rPr>
        <w:t>6:43a–b</w:t>
      </w:r>
    </w:p>
    <w:p>
      <w:pPr/>
      <w:r>
        <w:rPr>
          <w:lang w:val="en_US" w:bidi="en_US"/>
        </w:rPr>
      </w:r>
      <w:r>
        <w:rPr>
          <w:b/>
          <w:lang w:val="en_US" w:bidi="en_US"/>
        </w:rPr>
        <w:t>No good tree bears bad fruit, nor does a bad tree bear good fruit:</w:t>
      </w:r>
      <w:r>
        <w:rPr>
          <w:lang w:val="en_US" w:bidi="en_US"/>
        </w:rPr>
        <w:t xml:space="preserve"> This is a general statement about something that is always true. The fruit that a tree produces reflects the tree itself. Healthy fruit trees produce good, edible fruit. Trees that are not healthy do not produce good, edible fruit. Jesus used this proverb to teach a spiritual lesson. He meant that good people do not do evil deeds. Some other ways to translate this general statement could be:</w:t>
      </w:r>
    </w:p>
    <w:p>
      <w:pPr/>
      <w:r>
        <w:rPr>
          <w:lang w:val="en_US" w:bidi="en_US"/>
        </w:rPr>
      </w:r>
      <w:r>
        <w:rPr>
          <w:lang w:val="en_US" w:bidi="en_US"/>
        </w:rPr>
        <w:t>Good trees do/cannot bear bad fruit. Bad trees do/cannot bear good fruit.</w:t>
      </w:r>
    </w:p>
    <w:p>
      <w:pPr/>
      <w:r>
        <w:rPr>
          <w:lang w:val="en_US" w:bidi="en_US"/>
        </w:rPr>
      </w:r>
      <w:r>
        <w:rPr>
          <w:lang w:val="en_US" w:bidi="en_US"/>
        </w:rPr>
        <w:t>There is no such thing as a good tree producing bad fruit, nor yet a bad tree producing good fruit. (REB)</w:t>
      </w:r>
    </w:p>
    <w:p>
      <w:pPr>
        <w:pStyle w:val="Heading5"/>
      </w:pPr>
      <w:r>
        <w:rPr>
          <w:lang w:val="en_US" w:bidi="en_US"/>
        </w:rPr>
        <w:t>6:43a</w:t>
      </w:r>
    </w:p>
    <w:p>
      <w:pPr/>
      <w:r>
        <w:rPr>
          <w:lang w:val="en_US" w:bidi="en_US"/>
        </w:rPr>
      </w:r>
      <w:r>
        <w:rPr>
          <w:b/>
          <w:lang w:val="en_US" w:bidi="en_US"/>
        </w:rPr>
        <w:t>No good tree bears bad fruit,</w:t>
      </w:r>
    </w:p>
    <w:p>
      <w:pPr>
        <w:pStyle w:val="ListBullet"/>
        <w:spacing w:line="240" w:lineRule="auto"/>
        <w:ind w:left="720"/>
      </w:pPr>
      <w:r>
        <w:rPr>
          <w:lang w:val="en_US" w:bidi="en_US"/>
        </w:rPr>
      </w:r>
      <w:r>
        <w:rPr>
          <w:lang w:val="en_US" w:bidi="en_US"/>
        </w:rPr>
        <w:t>¶ “Good trees do not yield/give bad fruit.</w:t>
      </w:r>
    </w:p>
    <w:p>
      <w:pPr>
        <w:pStyle w:val="ListBullet"/>
        <w:spacing w:line="240" w:lineRule="auto"/>
        <w:ind w:left="720"/>
      </w:pPr>
      <w:r>
        <w:rPr>
          <w:lang w:val="en_US" w:bidi="en_US"/>
        </w:rPr>
      </w:r>
      <w:r>
        <w:rPr>
          <w:lang w:val="en_US" w:bidi="en_US"/>
        </w:rPr>
        <w:t>¶ “</w:t>
      </w:r>
      <w:r>
        <w:rPr>
          <w:lang w:val="en_US" w:bidi="en_US"/>
        </w:rPr>
        <w:t>Think about what I have just said:</w:t>
      </w:r>
      <w:r>
        <w:rPr>
          <w:lang w:val="en_US" w:bidi="en_US"/>
        </w:rPr>
        <w:t xml:space="preserve"> A good/useful tree cannot produce bad/worthless fruit.</w:t>
      </w:r>
    </w:p>
    <w:p>
      <w:pPr/>
      <w:r>
        <w:rPr>
          <w:lang w:val="en_US" w:bidi="en_US"/>
        </w:rPr>
      </w:r>
      <w:r>
        <w:rPr>
          <w:b/>
          <w:lang w:val="en_US" w:bidi="en_US"/>
        </w:rPr>
        <w:t>good tree:</w:t>
      </w:r>
      <w:r>
        <w:rPr>
          <w:lang w:val="en_US" w:bidi="en_US"/>
        </w:rPr>
        <w:t xml:space="preserve"> The exact sense in which this tree is </w:t>
      </w:r>
      <w:r>
        <w:rPr>
          <w:i/>
          <w:lang w:val="en_US" w:bidi="en_US"/>
        </w:rPr>
        <w:t>good</w:t>
      </w:r>
      <w:r>
        <w:rPr>
          <w:lang w:val="en_US" w:bidi="en_US"/>
        </w:rPr>
        <w:t xml:space="preserve"> is not certain. However, the context indicates that a </w:t>
      </w:r>
      <w:r>
        <w:rPr>
          <w:i/>
          <w:lang w:val="en_US" w:bidi="en_US"/>
        </w:rPr>
        <w:t>good tree</w:t>
      </w:r>
      <w:r>
        <w:rPr>
          <w:lang w:val="en_US" w:bidi="en_US"/>
        </w:rPr>
        <w:t xml:space="preserve"> is healthy, and it produces tasty fruit for people to eat.</w:t>
      </w:r>
    </w:p>
    <w:p>
      <w:pPr/>
      <w:r>
        <w:rPr>
          <w:lang w:val="en_US" w:bidi="en_US"/>
        </w:rPr>
      </w:r>
      <w:r>
        <w:rPr>
          <w:lang w:val="en_US" w:bidi="en_US"/>
        </w:rPr>
        <w:t>In each of these senses, it is true that a “good tree does not produce bad fruit.” Try to translate “good” in a general way. Your translation should fit well with the idea of bearing good fruit, since this is important in the context.</w:t>
      </w:r>
    </w:p>
    <w:p>
      <w:pPr/>
      <w:r>
        <w:rPr>
          <w:lang w:val="en_US" w:bidi="en_US"/>
        </w:rPr>
      </w:r>
      <w:r>
        <w:rPr>
          <w:b/>
          <w:lang w:val="en_US" w:bidi="en_US"/>
        </w:rPr>
        <w:t>tree:</w:t>
      </w:r>
      <w:r>
        <w:rPr>
          <w:lang w:val="en_US" w:bidi="en_US"/>
        </w:rPr>
        <w:t xml:space="preserve"> The Greek word that the BSB translates as </w:t>
      </w:r>
      <w:r>
        <w:rPr>
          <w:i/>
          <w:lang w:val="en_US" w:bidi="en_US"/>
        </w:rPr>
        <w:t>tree</w:t>
      </w:r>
      <w:r>
        <w:rPr>
          <w:lang w:val="en_US" w:bidi="en_US"/>
        </w:rPr>
        <w:t xml:space="preserve"> can refer to any large woody plant. If possible, choose a general word that includes trees and large bushes such as the bushes with thorns mentioned in 6:44b–c.</w:t>
      </w:r>
    </w:p>
    <w:p>
      <w:pPr/>
      <w:r>
        <w:rPr>
          <w:lang w:val="en_US" w:bidi="en_US"/>
        </w:rPr>
      </w:r>
      <w:r>
        <w:rPr>
          <w:b/>
          <w:lang w:val="en_US" w:bidi="en_US"/>
        </w:rPr>
        <w:t>bad fruit:</w:t>
      </w:r>
      <w:r>
        <w:rPr>
          <w:lang w:val="en_US" w:bidi="en_US"/>
        </w:rPr>
        <w:t xml:space="preserve"> If possible, use a general word for </w:t>
      </w:r>
      <w:r>
        <w:rPr>
          <w:i/>
          <w:lang w:val="en_US" w:bidi="en_US"/>
        </w:rPr>
        <w:t>bad</w:t>
      </w:r>
      <w:r>
        <w:rPr>
          <w:lang w:val="en_US" w:bidi="en_US"/>
        </w:rPr>
        <w:t xml:space="preserve"> here. If you must choose a word that is more specific, choose a word that refers to fruit that is not suitable for eating.</w:t>
      </w:r>
    </w:p>
    <w:p>
      <w:pPr>
        <w:pStyle w:val="Heading5"/>
      </w:pPr>
      <w:r>
        <w:rPr>
          <w:lang w:val="en_US" w:bidi="en_US"/>
        </w:rPr>
        <w:t>6:43b</w:t>
      </w:r>
    </w:p>
    <w:p>
      <w:pPr/>
      <w:r>
        <w:rPr>
          <w:lang w:val="en_US" w:bidi="en_US"/>
        </w:rPr>
      </w:r>
      <w:r>
        <w:rPr>
          <w:b/>
          <w:lang w:val="en_US" w:bidi="en_US"/>
        </w:rPr>
        <w:t>nor does a bad tree bear good fruit.</w:t>
      </w:r>
    </w:p>
    <w:p>
      <w:pPr>
        <w:pStyle w:val="ListBullet"/>
        <w:spacing w:line="240" w:lineRule="auto"/>
        <w:ind w:left="720"/>
      </w:pPr>
      <w:r>
        <w:rPr>
          <w:lang w:val="en_US" w:bidi="en_US"/>
        </w:rPr>
      </w:r>
      <w:r>
        <w:rPr>
          <w:lang w:val="en_US" w:bidi="en_US"/>
        </w:rPr>
        <w:t>Nor do bad trees yield/give good fruit.</w:t>
      </w:r>
    </w:p>
    <w:p>
      <w:pPr>
        <w:pStyle w:val="ListBullet"/>
        <w:spacing w:line="240" w:lineRule="auto"/>
        <w:ind w:left="720"/>
      </w:pPr>
      <w:r>
        <w:rPr>
          <w:lang w:val="en_US" w:bidi="en_US"/>
        </w:rPr>
      </w:r>
      <w:r>
        <w:rPr>
          <w:lang w:val="en_US" w:bidi="en_US"/>
        </w:rPr>
        <w:t>And a bad/useless tree cannot produce good fruit.</w:t>
      </w:r>
    </w:p>
    <w:p>
      <w:pPr/>
      <w:r>
        <w:rPr>
          <w:lang w:val="en_US" w:bidi="en_US"/>
        </w:rPr>
      </w:r>
      <w:r>
        <w:rPr>
          <w:b/>
          <w:lang w:val="en_US" w:bidi="en_US"/>
        </w:rPr>
        <w:t>a bad tree:</w:t>
      </w:r>
      <w:r>
        <w:rPr>
          <w:lang w:val="en_US" w:bidi="en_US"/>
        </w:rPr>
        <w:t xml:space="preserve"> As with “good tree” in 6:43a, it is recommended that you choose a general word for </w:t>
      </w:r>
      <w:r>
        <w:rPr>
          <w:i/>
          <w:lang w:val="en_US" w:bidi="en_US"/>
        </w:rPr>
        <w:t>bad</w:t>
      </w:r>
      <w:r>
        <w:rPr>
          <w:lang w:val="en_US" w:bidi="en_US"/>
        </w:rPr>
        <w:t xml:space="preserve"> that could include the meanings “unhealthy” and “unable to produce good fruit.”</w:t>
      </w:r>
    </w:p>
    <w:p>
      <w:pPr/>
      <w:r>
        <w:rPr>
          <w:lang w:val="en_US" w:bidi="en_US"/>
        </w:rPr>
      </w:r>
      <w:r>
        <w:rPr>
          <w:b/>
          <w:lang w:val="en_US" w:bidi="en_US"/>
        </w:rPr>
        <w:t>good fruit:</w:t>
      </w:r>
      <w:r>
        <w:rPr>
          <w:lang w:val="en_US" w:bidi="en_US"/>
        </w:rPr>
        <w:t xml:space="preserve"> If possible, use a general word for </w:t>
      </w:r>
      <w:r>
        <w:rPr>
          <w:i/>
          <w:lang w:val="en_US" w:bidi="en_US"/>
        </w:rPr>
        <w:t>good</w:t>
      </w:r>
      <w:r>
        <w:rPr>
          <w:lang w:val="en_US" w:bidi="en_US"/>
        </w:rPr>
        <w:t xml:space="preserve"> here. If you must choose a word that is more specific, choose a word that refers to fruit that is suitable for eating. Such fruit tastes good.</w:t>
      </w:r>
      <w:r>
        <w:rPr>
          <w:lang w:val="en_US" w:bidi="en_US"/>
        </w:rPr>
      </w:r>
      <w:r>
        <w:rPr>
          <w:lang w:val="en_US" w:bidi="en_US"/>
        </w:rPr>
      </w:r>
    </w:p>
    <w:p>
      <w:pPr/>
      <w:r>
        <w:rPr>
          <w:lang w:val="en_US" w:bidi="en_US"/>
        </w:rPr>
      </w:r>
    </w:p>
    <w:p>
      <w:pPr>
        <w:pStyle w:val="Heading2"/>
      </w:pPr>
      <w:r>
        <w:rPr>
          <w:lang w:val="en_US" w:bidi="en_US"/>
        </w:rPr>
        <w:t>Luke 6:44</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6:43–45</w:t>
      </w:r>
    </w:p>
    <w:p>
      <w:pPr/>
      <w:r>
        <w:rPr>
          <w:lang w:val="en_US" w:bidi="en_US"/>
        </w:rPr>
      </w:r>
      <w:r>
        <w:rPr>
          <w:lang w:val="en_US" w:bidi="en_US"/>
        </w:rPr>
        <w:t>In this paragraph, Jesus used another illustration or extended metaphor. He compared different kinds of people to different kinds of trees. He said that the way a person acts shows the kind of person he is.</w:t>
      </w:r>
    </w:p>
    <w:p>
      <w:pPr/>
      <w:r>
        <w:rPr>
          <w:lang w:val="en_US" w:bidi="en_US"/>
        </w:rPr>
      </w:r>
      <w:r>
        <w:rPr>
          <w:lang w:val="en_US" w:bidi="en_US"/>
        </w:rPr>
        <w:t>The BSB does not translate the Greek conjunction that introduces this illustration, but many English versions translate it as “for.” This conjunction indicates that this illustration reinforces what Jesus had just said. Connect this illustration to what Jesus had just said in a way that is natural in your language. Some ways to connect this illustration are:</w:t>
      </w:r>
    </w:p>
    <w:p>
      <w:pPr/>
      <w:r>
        <w:rPr>
          <w:lang w:val="en_US" w:bidi="en_US"/>
        </w:rPr>
      </w:r>
      <w:r>
        <w:rPr>
          <w:lang w:val="en_US" w:bidi="en_US"/>
        </w:rPr>
        <w:t>Think about this:</w:t>
      </w:r>
    </w:p>
    <w:p>
      <w:pPr/>
      <w:r>
        <w:rPr>
          <w:lang w:val="en_US" w:bidi="en_US"/>
        </w:rPr>
      </w:r>
      <w:r>
        <w:rPr>
          <w:lang w:val="en_US" w:bidi="en_US"/>
        </w:rPr>
        <w:t>You know</w:t>
      </w:r>
    </w:p>
    <w:p>
      <w:pPr>
        <w:pStyle w:val="Heading5"/>
      </w:pPr>
      <w:r>
        <w:rPr>
          <w:lang w:val="en_US" w:bidi="en_US"/>
        </w:rPr>
        <w:t>6:44a</w:t>
      </w:r>
    </w:p>
    <w:p>
      <w:pPr/>
      <w:r>
        <w:rPr>
          <w:lang w:val="en_US" w:bidi="en_US"/>
        </w:rPr>
      </w:r>
      <w:r>
        <w:rPr>
          <w:b/>
          <w:lang w:val="en_US" w:bidi="en_US"/>
        </w:rPr>
        <w:t>For each tree is known by its own fruit.</w:t>
      </w:r>
    </w:p>
    <w:p>
      <w:pPr>
        <w:pStyle w:val="ListBullet"/>
        <w:spacing w:line="240" w:lineRule="auto"/>
        <w:ind w:left="720"/>
      </w:pPr>
      <w:r>
        <w:rPr>
          <w:lang w:val="en_US" w:bidi="en_US"/>
        </w:rPr>
      </w:r>
      <w:r>
        <w:rPr>
          <w:lang w:val="en_US" w:bidi="en_US"/>
        </w:rPr>
        <w:t>For each tree is known/identified by the fruit it bears/produces.</w:t>
      </w:r>
    </w:p>
    <w:p>
      <w:pPr>
        <w:pStyle w:val="ListBullet"/>
        <w:spacing w:line="240" w:lineRule="auto"/>
        <w:ind w:left="720"/>
      </w:pPr>
      <w:r>
        <w:rPr>
          <w:lang w:val="en_US" w:bidi="en_US"/>
        </w:rPr>
      </w:r>
      <w:r>
        <w:rPr>
          <w:lang w:val="en_US" w:bidi="en_US"/>
        </w:rPr>
        <w:t xml:space="preserve">Thus/In that way, </w:t>
      </w:r>
      <w:r>
        <w:rPr>
          <w:lang w:val="en_US" w:bidi="en_US"/>
        </w:rPr>
        <w:t>you</w:t>
      </w:r>
      <w:r>
        <w:rPr>
          <w:vertAlign w:val="superscript"/>
          <w:lang w:val="en_US" w:bidi="en_US"/>
        </w:rPr>
        <w:t>(plur)</w:t>
      </w:r>
      <w:r>
        <w:rPr>
          <w:lang w:val="en_US" w:bidi="en_US"/>
        </w:rPr>
        <w:t xml:space="preserve"> </w:t>
      </w:r>
      <w:r>
        <w:rPr>
          <w:lang w:val="en_US" w:bidi="en_US"/>
        </w:rPr>
        <w:t xml:space="preserve">/people </w:t>
      </w:r>
      <w:r>
        <w:rPr>
          <w:lang w:val="en_US" w:bidi="en_US"/>
        </w:rPr>
        <w:t>recognize a tree by its fruit.</w:t>
      </w:r>
    </w:p>
    <w:p>
      <w:pPr>
        <w:pStyle w:val="ListBullet"/>
        <w:spacing w:line="240" w:lineRule="auto"/>
        <w:ind w:left="720"/>
      </w:pPr>
      <w:r>
        <w:rPr>
          <w:lang w:val="en_US" w:bidi="en_US"/>
        </w:rPr>
      </w:r>
      <w:r>
        <w:rPr>
          <w:lang w:val="en_US" w:bidi="en_US"/>
        </w:rPr>
        <w:t>The fruit of a tree shows/indicates what kind of tree it is.</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marks this proverb as an explanation of what Jesus has just said. Some versions, such as the NIV, CEV, and NLT, do not translate this conjunction. Think about how you would introduce this saying in your language. For example:</w:t>
      </w:r>
    </w:p>
    <w:p>
      <w:pPr/>
      <w:r>
        <w:rPr>
          <w:lang w:val="en_US" w:bidi="en_US"/>
        </w:rPr>
      </w:r>
      <w:r>
        <w:rPr>
          <w:lang w:val="en_US" w:bidi="en_US"/>
        </w:rPr>
        <w:t>Thus</w:t>
      </w:r>
    </w:p>
    <w:p>
      <w:pPr/>
      <w:r>
        <w:rPr>
          <w:lang w:val="en_US" w:bidi="en_US"/>
        </w:rPr>
      </w:r>
      <w:r>
        <w:rPr>
          <w:lang w:val="en_US" w:bidi="en_US"/>
        </w:rPr>
        <w:t>In that way</w:t>
      </w:r>
    </w:p>
    <w:p>
      <w:pPr/>
      <w:r>
        <w:rPr>
          <w:lang w:val="en_US" w:bidi="en_US"/>
        </w:rPr>
      </w:r>
      <w:r>
        <w:rPr>
          <w:lang w:val="en_US" w:bidi="en_US"/>
        </w:rPr>
        <w:t>Use a natural way to connect 6:44a to 6:43.</w:t>
      </w:r>
    </w:p>
    <w:p>
      <w:pPr/>
      <w:r>
        <w:rPr>
          <w:lang w:val="en_US" w:bidi="en_US"/>
        </w:rPr>
      </w:r>
      <w:r>
        <w:rPr>
          <w:b/>
          <w:lang w:val="en_US" w:bidi="en_US"/>
        </w:rPr>
        <w:t>each tree is known by its own fruit:</w:t>
      </w:r>
      <w:r>
        <w:rPr>
          <w:lang w:val="en_US" w:bidi="en_US"/>
        </w:rPr>
        <w:t xml:space="preserve"> This is a passive clause. It means that when people see the fruit that a tree produces, they know what that tree is like. This includes knowing both the kind of tree (fig trees produce figs) and the quality of the tree (good or bad). Some ways to translate this are:</w:t>
      </w:r>
    </w:p>
    <w:p>
      <w:pPr>
        <w:pStyle w:val="ListBullet"/>
        <w:spacing w:line="240" w:lineRule="auto"/>
        <w:ind w:left="720"/>
      </w:pPr>
      <w:r>
        <w:rPr>
          <w:lang w:val="en_US" w:bidi="en_US"/>
        </w:rPr>
      </w:r>
      <w:r>
        <w:rPr>
          <w:lang w:val="en_US" w:bidi="en_US"/>
        </w:rPr>
        <w:t>As a passive clause. For example:</w:t>
      </w:r>
      <w:r>
        <w:rPr>
          <w:lang w:val="en_US" w:bidi="en_US"/>
        </w:rPr>
        <w:t>Each tree is known by its own fruit… (NCV)</w:t>
      </w:r>
    </w:p>
    <w:p>
      <w:pPr>
        <w:pStyle w:val="ListBullet"/>
        <w:spacing w:line="240" w:lineRule="auto"/>
        <w:ind w:left="720"/>
      </w:pPr>
      <w:r>
        <w:rPr>
          <w:lang w:val="en_US" w:bidi="en_US"/>
        </w:rPr>
      </w:r>
      <w:r>
        <w:rPr>
          <w:lang w:val="en_US" w:bidi="en_US"/>
        </w:rPr>
        <w:t>As an active clause. For example:</w:t>
      </w:r>
      <w:r>
        <w:rPr>
          <w:lang w:val="en_US" w:bidi="en_US"/>
        </w:rPr>
        <w:t>People</w:t>
      </w:r>
      <w:r>
        <w:rPr>
          <w:lang w:val="en_US" w:bidi="en_US"/>
        </w:rPr>
        <w:t xml:space="preserve"> know what a tree is like by its fruit.</w:t>
      </w:r>
      <w:r>
        <w:rPr>
          <w:lang w:val="en_US" w:bidi="en_US"/>
        </w:rPr>
        <w:t>You can tell what a tree is like by the fruit it produces. (CEV)</w:t>
      </w:r>
    </w:p>
    <w:p>
      <w:pPr/>
      <w:r>
        <w:rPr>
          <w:lang w:val="en_US" w:bidi="en_US"/>
        </w:rPr>
      </w:r>
      <w:r>
        <w:rPr>
          <w:lang w:val="en_US" w:bidi="en_US"/>
        </w:rPr>
        <w:t>This saying is like a proverb. It means that the way a person acts shows what he is really like inside. It may be helpful to put this information in a footnote.</w:t>
      </w:r>
    </w:p>
    <w:p>
      <w:pPr>
        <w:pStyle w:val="Heading5"/>
      </w:pPr>
      <w:r>
        <w:rPr>
          <w:lang w:val="en_US" w:bidi="en_US"/>
        </w:rPr>
        <w:t>6:44b–c</w:t>
      </w:r>
    </w:p>
    <w:p>
      <w:pPr/>
      <w:r>
        <w:rPr>
          <w:lang w:val="en_US" w:bidi="en_US"/>
        </w:rPr>
      </w:r>
      <w:r>
        <w:rPr>
          <w:b/>
          <w:lang w:val="en_US" w:bidi="en_US"/>
        </w:rPr>
        <w:t>Indeed:</w:t>
      </w:r>
      <w:r>
        <w:rPr>
          <w:lang w:val="en_US" w:bidi="en_US"/>
        </w:rPr>
        <w:t xml:space="preserve"> The Greek conjunction that the BSB translates as </w:t>
      </w:r>
      <w:r>
        <w:rPr>
          <w:i/>
          <w:lang w:val="en_US" w:bidi="en_US"/>
        </w:rPr>
        <w:t>Indeed</w:t>
      </w:r>
      <w:r>
        <w:rPr>
          <w:lang w:val="en_US" w:bidi="en_US"/>
        </w:rPr>
        <w:t xml:space="preserve"> connects 6:44b–c to 6:44a. It marks 6:44b–c as a further explanation of 6:44a. Versions such as the ESV, NET, and RSV translate it as “For.” Versions such as the NIV, CEV, and NLT do not translate the conjunction. Some other ways to connect 6:44b are:</w:t>
      </w:r>
    </w:p>
    <w:p>
      <w:pPr/>
      <w:r>
        <w:rPr>
          <w:lang w:val="en_US" w:bidi="en_US"/>
        </w:rPr>
      </w:r>
      <w:r>
        <w:rPr>
          <w:lang w:val="en_US" w:bidi="en_US"/>
        </w:rPr>
        <w:t>For example</w:t>
      </w:r>
    </w:p>
    <w:p>
      <w:pPr/>
      <w:r>
        <w:rPr>
          <w:lang w:val="en_US" w:bidi="en_US"/>
        </w:rPr>
      </w:r>
      <w:r>
        <w:rPr>
          <w:lang w:val="en_US" w:bidi="en_US"/>
        </w:rPr>
        <w:t>That is</w:t>
      </w:r>
    </w:p>
    <w:p>
      <w:pPr/>
      <w:r>
        <w:rPr>
          <w:lang w:val="en_US" w:bidi="en_US"/>
        </w:rPr>
      </w:r>
      <w:r>
        <w:rPr>
          <w:lang w:val="en_US" w:bidi="en_US"/>
        </w:rPr>
        <w:t>Use a natural way to connect 6:44b–c to 6:44a in your language.</w:t>
      </w:r>
    </w:p>
    <w:p>
      <w:pPr/>
      <w:r>
        <w:rPr>
          <w:lang w:val="en_US" w:bidi="en_US"/>
        </w:rPr>
      </w:r>
      <w:r>
        <w:rPr>
          <w:b/>
          <w:lang w:val="en_US" w:bidi="en_US"/>
        </w:rPr>
        <w:t>figs are not gathered from thornbushes, nor grapes from brambles:</w:t>
      </w:r>
      <w:r>
        <w:rPr>
          <w:lang w:val="en_US" w:bidi="en_US"/>
        </w:rPr>
        <w:t xml:space="preserve"> Jesus further explained the image of the fruit tree. The type of tree you grow determines the type of fruit you will get. Similarly, the type of person you are determines the way you will speak and act.</w:t>
      </w:r>
    </w:p>
    <w:p>
      <w:pPr>
        <w:pStyle w:val="Heading5"/>
      </w:pPr>
      <w:r>
        <w:rPr>
          <w:lang w:val="en_US" w:bidi="en_US"/>
        </w:rPr>
        <w:t>6:44b</w:t>
      </w:r>
    </w:p>
    <w:p>
      <w:pPr/>
      <w:r>
        <w:rPr>
          <w:lang w:val="en_US" w:bidi="en_US"/>
        </w:rPr>
      </w:r>
      <w:r>
        <w:rPr>
          <w:b/>
          <w:lang w:val="en_US" w:bidi="en_US"/>
        </w:rPr>
        <w:t>Indeed, figs are not gathered from thornbushes,</w:t>
      </w:r>
    </w:p>
    <w:p>
      <w:pPr>
        <w:pStyle w:val="ListBullet"/>
        <w:spacing w:line="240" w:lineRule="auto"/>
        <w:ind w:left="720"/>
      </w:pPr>
      <w:r>
        <w:rPr>
          <w:lang w:val="en_US" w:bidi="en_US"/>
        </w:rPr>
      </w:r>
      <w:r>
        <w:rPr>
          <w:lang w:val="en_US" w:bidi="en_US"/>
        </w:rPr>
        <w:t>Figs are not picked/gathered from thorny plants,</w:t>
      </w:r>
    </w:p>
    <w:p>
      <w:pPr>
        <w:pStyle w:val="ListBullet"/>
        <w:spacing w:line="240" w:lineRule="auto"/>
        <w:ind w:left="720"/>
      </w:pPr>
      <w:r>
        <w:rPr>
          <w:lang w:val="en_US" w:bidi="en_US"/>
        </w:rPr>
      </w:r>
      <w:r>
        <w:rPr>
          <w:lang w:val="en_US" w:bidi="en_US"/>
        </w:rPr>
        <w:t>For example, people do/cannot pick figs/fruit from thornbushes.</w:t>
      </w:r>
    </w:p>
    <w:p>
      <w:pPr/>
      <w:r>
        <w:rPr>
          <w:lang w:val="en_US" w:bidi="en_US"/>
        </w:rPr>
      </w:r>
      <w:r>
        <w:rPr>
          <w:b/>
          <w:lang w:val="en_US" w:bidi="en_US"/>
        </w:rPr>
        <w:t>figs are not gathered from thornbushes:</w:t>
      </w:r>
      <w:r>
        <w:rPr>
          <w:lang w:val="en_US" w:bidi="en_US"/>
        </w:rPr>
        <w:t xml:space="preserve"> The Greek clause that the BSB translates as </w:t>
      </w:r>
      <w:r>
        <w:rPr>
          <w:i/>
          <w:lang w:val="en_US" w:bidi="en_US"/>
        </w:rPr>
        <w:t>figs are not gathered from thornbushes</w:t>
      </w:r>
      <w:r>
        <w:rPr>
          <w:lang w:val="en_US" w:bidi="en_US"/>
        </w:rPr>
        <w:t xml:space="preserve"> is literally “from thorn plants they do not pick figs.” Some other ways to translate this are:</w:t>
      </w:r>
    </w:p>
    <w:p>
      <w:pPr/>
      <w:r>
        <w:rPr>
          <w:lang w:val="en_US" w:bidi="en_US"/>
        </w:rPr>
      </w:r>
      <w:r>
        <w:rPr>
          <w:lang w:val="en_US" w:bidi="en_US"/>
        </w:rPr>
        <w:t>You don’t pick figs from thorny plants (GW)</w:t>
      </w:r>
    </w:p>
    <w:p>
      <w:pPr/>
      <w:r>
        <w:rPr>
          <w:lang w:val="en_US" w:bidi="en_US"/>
        </w:rPr>
      </w:r>
      <w:r>
        <w:rPr>
          <w:lang w:val="en_US" w:bidi="en_US"/>
        </w:rPr>
        <w:t>Figs are never gathered from thornbushes (NLT)</w:t>
      </w:r>
    </w:p>
    <w:p>
      <w:pPr/>
      <w:r>
        <w:rPr>
          <w:lang w:val="en_US" w:bidi="en_US"/>
        </w:rPr>
      </w:r>
      <w:r>
        <w:rPr>
          <w:lang w:val="en_US" w:bidi="en_US"/>
        </w:rPr>
        <w:t>The reason why people do not gather fruit from thornbushes is that it is impossible. Thornbushes do not grow fruit. So in some languages, it may be more natural to say “</w:t>
      </w:r>
      <w:r>
        <w:rPr>
          <w:u w:val="single"/>
          <w:lang w:val="en_US" w:bidi="en_US"/>
        </w:rPr>
        <w:t>cannot</w:t>
      </w:r>
      <w:r>
        <w:rPr>
          <w:lang w:val="en_US" w:bidi="en_US"/>
        </w:rPr>
        <w:t xml:space="preserve"> pick.” For example:</w:t>
      </w:r>
    </w:p>
    <w:p>
      <w:pPr/>
      <w:r>
        <w:rPr>
          <w:lang w:val="en_US" w:bidi="en_US"/>
        </w:rPr>
      </w:r>
      <w:r>
        <w:rPr>
          <w:lang w:val="en_US" w:bidi="en_US"/>
        </w:rPr>
        <w:t>You cannot pick figs…from thornbushes. (CEV)</w:t>
      </w:r>
    </w:p>
    <w:p>
      <w:pPr/>
      <w:r>
        <w:rPr>
          <w:lang w:val="en_US" w:bidi="en_US"/>
        </w:rPr>
      </w:r>
      <w:r>
        <w:rPr>
          <w:b/>
          <w:lang w:val="en_US" w:bidi="en_US"/>
        </w:rPr>
        <w:t>gathered:</w:t>
      </w:r>
      <w:r>
        <w:rPr>
          <w:lang w:val="en_US" w:bidi="en_US"/>
        </w:rPr>
        <w:t xml:space="preserve"> The verb that the BSB translates as </w:t>
      </w:r>
      <w:r>
        <w:rPr>
          <w:i/>
          <w:lang w:val="en_US" w:bidi="en_US"/>
        </w:rPr>
        <w:t>gathered</w:t>
      </w:r>
      <w:r>
        <w:rPr>
          <w:lang w:val="en_US" w:bidi="en_US"/>
        </w:rPr>
        <w:t xml:space="preserve"> is a general word for the action of picking or plucking anything. People pick fruit such as figs with the intention of eating what was picked. Another way to translate this is:</w:t>
      </w:r>
    </w:p>
    <w:p>
      <w:pPr/>
      <w:r>
        <w:rPr>
          <w:lang w:val="en_US" w:bidi="en_US"/>
        </w:rPr>
      </w:r>
      <w:r>
        <w:rPr>
          <w:lang w:val="en_US" w:bidi="en_US"/>
        </w:rPr>
        <w:t>gathered (NLT)</w:t>
      </w:r>
    </w:p>
    <w:p>
      <w:pPr/>
      <w:r>
        <w:rPr>
          <w:lang w:val="en_US" w:bidi="en_US"/>
        </w:rPr>
      </w:r>
      <w:r>
        <w:rPr>
          <w:b/>
          <w:lang w:val="en_US" w:bidi="en_US"/>
        </w:rPr>
        <w:t>figs:</w:t>
      </w:r>
      <w:r>
        <w:rPr>
          <w:lang w:val="en_US" w:bidi="en_US"/>
        </w:rPr>
        <w:t xml:space="preserve"> The word </w:t>
      </w:r>
      <w:r>
        <w:rPr>
          <w:i/>
          <w:lang w:val="en_US" w:bidi="en_US"/>
        </w:rPr>
        <w:t>figs</w:t>
      </w:r>
      <w:r>
        <w:rPr>
          <w:lang w:val="en_US" w:bidi="en_US"/>
        </w:rPr>
        <w:t xml:space="preserve"> are small, tasty fruits that grow on trees. Figs were very common in Israel.</w:t>
      </w:r>
    </w:p>
    <w:p>
      <w:pPr/>
      <w:r>
        <w:rPr>
          <w:lang w:val="en_US" w:bidi="en_US"/>
        </w:rPr>
      </w:r>
      <w:r>
        <w:rPr>
          <w:lang w:val="en_US" w:bidi="en_US"/>
        </w:rPr>
        <w:t xml:space="preserve">If speakers of your language are not familiar with </w:t>
      </w:r>
      <w:r>
        <w:rPr>
          <w:i/>
          <w:lang w:val="en_US" w:bidi="en_US"/>
        </w:rPr>
        <w:t>figs</w:t>
      </w:r>
      <w:r>
        <w:rPr>
          <w:lang w:val="en_US" w:bidi="en_US"/>
        </w:rPr>
        <w:t>, some other ways to translate this word are:</w:t>
      </w:r>
    </w:p>
    <w:p>
      <w:pPr>
        <w:pStyle w:val="ListBullet"/>
        <w:spacing w:line="240" w:lineRule="auto"/>
        <w:ind w:left="720"/>
      </w:pPr>
      <w:r>
        <w:rPr>
          <w:lang w:val="en_US" w:bidi="en_US"/>
        </w:rPr>
      </w:r>
      <w:r>
        <w:rPr>
          <w:lang w:val="en_US" w:bidi="en_US"/>
        </w:rPr>
        <w:t>Use a more general term. For example:</w:t>
      </w:r>
      <w:r>
        <w:rPr>
          <w:lang w:val="en_US" w:bidi="en_US"/>
        </w:rPr>
        <w:t>fruit</w:t>
      </w:r>
    </w:p>
    <w:p>
      <w:pPr>
        <w:pStyle w:val="ListBullet"/>
        <w:spacing w:line="240" w:lineRule="auto"/>
        <w:ind w:left="720"/>
      </w:pPr>
      <w:r>
        <w:rPr>
          <w:lang w:val="en_US" w:bidi="en_US"/>
        </w:rPr>
      </w:r>
      <w:r>
        <w:rPr>
          <w:lang w:val="en_US" w:bidi="en_US"/>
        </w:rPr>
        <w:t>Use a specific type of fruit from your area. For example:</w:t>
      </w:r>
      <w:r>
        <w:rPr>
          <w:lang w:val="en_US" w:bidi="en_US"/>
        </w:rPr>
        <w:t>guavas</w:t>
      </w:r>
      <w:r>
        <w:rPr>
          <w:lang w:val="en_US" w:bidi="en_US"/>
        </w:rPr>
        <w:t>mangoes</w:t>
      </w:r>
    </w:p>
    <w:p>
      <w:pPr/>
      <w:r>
        <w:rPr>
          <w:lang w:val="en_US" w:bidi="en_US"/>
        </w:rPr>
      </w:r>
      <w:r>
        <w:rPr>
          <w:b/>
          <w:lang w:val="en_US" w:bidi="en_US"/>
        </w:rPr>
        <w:t>thornbushes:</w:t>
      </w:r>
      <w:r>
        <w:rPr>
          <w:lang w:val="en_US" w:bidi="en_US"/>
        </w:rPr>
        <w:t xml:space="preserve"> The Greek word that the BSB translates as </w:t>
      </w:r>
      <w:r>
        <w:rPr>
          <w:i/>
          <w:lang w:val="en_US" w:bidi="en_US"/>
        </w:rPr>
        <w:t>thornbushes</w:t>
      </w:r>
      <w:r>
        <w:rPr>
          <w:lang w:val="en_US" w:bidi="en_US"/>
        </w:rPr>
        <w:t xml:space="preserve"> refers to a plant that has thorns. It is a weed that grows in areas that people do not cultivate. If possible, you should translate this word by a general word that refers to these types of plants. For example:</w:t>
      </w:r>
    </w:p>
    <w:p>
      <w:pPr/>
      <w:r>
        <w:rPr>
          <w:lang w:val="en_US" w:bidi="en_US"/>
        </w:rPr>
      </w:r>
      <w:r>
        <w:rPr>
          <w:lang w:val="en_US" w:bidi="en_US"/>
        </w:rPr>
        <w:t>thorny plants (GW)</w:t>
      </w:r>
    </w:p>
    <w:p>
      <w:pPr/>
      <w:r>
        <w:rPr>
          <w:lang w:val="en_US" w:bidi="en_US"/>
        </w:rPr>
      </w:r>
      <w:r>
        <w:rPr>
          <w:lang w:val="en_US" w:bidi="en_US"/>
        </w:rPr>
        <w:t>If you do not have a general word, you may translate this word by a specific type of thorny weed that grows in your area.</w:t>
      </w:r>
    </w:p>
    <w:p>
      <w:pPr>
        <w:pStyle w:val="Heading5"/>
      </w:pPr>
      <w:r>
        <w:rPr>
          <w:lang w:val="en_US" w:bidi="en_US"/>
        </w:rPr>
        <w:t>6:44c</w:t>
      </w:r>
    </w:p>
    <w:p>
      <w:pPr/>
      <w:r>
        <w:rPr>
          <w:lang w:val="en_US" w:bidi="en_US"/>
        </w:rPr>
      </w:r>
      <w:r>
        <w:rPr>
          <w:b/>
          <w:lang w:val="en_US" w:bidi="en_US"/>
        </w:rPr>
        <w:t>nor grapes from brambles.</w:t>
      </w:r>
    </w:p>
    <w:p>
      <w:pPr>
        <w:pStyle w:val="ListBullet"/>
        <w:spacing w:line="240" w:lineRule="auto"/>
        <w:ind w:left="720"/>
      </w:pPr>
      <w:r>
        <w:rPr>
          <w:lang w:val="en_US" w:bidi="en_US"/>
        </w:rPr>
      </w:r>
      <w:r>
        <w:rPr>
          <w:lang w:val="en_US" w:bidi="en_US"/>
        </w:rPr>
        <w:t>nor are grapes harvested from thornbushes.</w:t>
      </w:r>
    </w:p>
    <w:p>
      <w:pPr>
        <w:pStyle w:val="ListBullet"/>
        <w:spacing w:line="240" w:lineRule="auto"/>
        <w:ind w:left="720"/>
      </w:pPr>
      <w:r>
        <w:rPr>
          <w:lang w:val="en_US" w:bidi="en_US"/>
        </w:rPr>
      </w:r>
      <w:r>
        <w:rPr>
          <w:lang w:val="en_US" w:bidi="en_US"/>
        </w:rPr>
        <w:t xml:space="preserve">And people do not harvest </w:t>
      </w:r>
      <w:r>
        <w:rPr>
          <w:lang w:val="en_US" w:bidi="en_US"/>
        </w:rPr>
        <w:t>a fruit called</w:t>
      </w:r>
      <w:r>
        <w:rPr>
          <w:lang w:val="en_US" w:bidi="en_US"/>
        </w:rPr>
        <w:t xml:space="preserve"> grapes from thorny vines.</w:t>
      </w:r>
    </w:p>
    <w:p>
      <w:pPr/>
      <w:r>
        <w:rPr>
          <w:lang w:val="en_US" w:bidi="en_US"/>
        </w:rPr>
      </w:r>
      <w:r>
        <w:rPr>
          <w:b/>
          <w:lang w:val="en_US" w:bidi="en_US"/>
        </w:rPr>
        <w:t>nor grapes from brambles:</w:t>
      </w:r>
      <w:r>
        <w:rPr>
          <w:lang w:val="en_US" w:bidi="en_US"/>
        </w:rPr>
        <w:t xml:space="preserve"> The Greek clause that the BSB translates as </w:t>
      </w:r>
      <w:r>
        <w:rPr>
          <w:i/>
          <w:lang w:val="en_US" w:bidi="en_US"/>
        </w:rPr>
        <w:t>nor grapes from brambles</w:t>
      </w:r>
      <w:r>
        <w:rPr>
          <w:lang w:val="en_US" w:bidi="en_US"/>
        </w:rPr>
        <w:t xml:space="preserve"> is literally “nor do they pick a cluster of grapes from a bramble bush.” The BSB does not translate the Greek verb in this clause. Another way to translate this is:</w:t>
      </w:r>
    </w:p>
    <w:p>
      <w:pPr/>
      <w:r>
        <w:rPr>
          <w:lang w:val="en_US" w:bidi="en_US"/>
        </w:rPr>
      </w:r>
      <w:r>
        <w:rPr>
          <w:lang w:val="en_US" w:bidi="en_US"/>
        </w:rPr>
        <w:t>nor do they pick grapes from a briar bush (NASB)</w:t>
      </w:r>
    </w:p>
    <w:p>
      <w:pPr/>
      <w:r>
        <w:rPr>
          <w:lang w:val="en_US" w:bidi="en_US"/>
        </w:rPr>
      </w:r>
      <w:r>
        <w:rPr>
          <w:lang w:val="en_US" w:bidi="en_US"/>
        </w:rPr>
        <w:t>Some other ways to translate this are:</w:t>
      </w:r>
    </w:p>
    <w:p>
      <w:pPr/>
      <w:r>
        <w:rPr>
          <w:lang w:val="en_US" w:bidi="en_US"/>
        </w:rPr>
      </w:r>
      <w:r>
        <w:rPr>
          <w:lang w:val="en_US" w:bidi="en_US"/>
        </w:rPr>
        <w:t>and they don’t get grapes from bushes (NCV)</w:t>
      </w:r>
    </w:p>
    <w:p>
      <w:pPr/>
      <w:r>
        <w:rPr>
          <w:lang w:val="en_US" w:bidi="en_US"/>
        </w:rPr>
      </w:r>
      <w:r>
        <w:rPr>
          <w:lang w:val="en_US" w:bidi="en_US"/>
        </w:rPr>
        <w:t>and grapes are not picked from bramble bushes (NLT)</w:t>
      </w:r>
    </w:p>
    <w:p>
      <w:pPr/>
      <w:r>
        <w:rPr>
          <w:lang w:val="en_US" w:bidi="en_US"/>
        </w:rPr>
      </w:r>
      <w:r>
        <w:rPr>
          <w:lang w:val="en_US" w:bidi="en_US"/>
        </w:rPr>
        <w:t>The Greek text uses a verb in 6:44b that specifically describes the action of harvesting fruit and a different verb in 6:44c that describes removing grapes from vines. Another way to translate this is:</w:t>
      </w:r>
    </w:p>
    <w:p>
      <w:pPr/>
      <w:r>
        <w:rPr>
          <w:lang w:val="en_US" w:bidi="en_US"/>
        </w:rPr>
      </w:r>
      <w:r>
        <w:rPr>
          <w:lang w:val="en_US" w:bidi="en_US"/>
        </w:rPr>
        <w:t xml:space="preserve">figs are not </w:t>
      </w:r>
      <w:r>
        <w:rPr>
          <w:u w:val="single"/>
          <w:lang w:val="en_US" w:bidi="en_US"/>
        </w:rPr>
        <w:t>gathered</w:t>
      </w:r>
      <w:r>
        <w:rPr>
          <w:lang w:val="en_US" w:bidi="en_US"/>
        </w:rPr>
        <w:t xml:space="preserve"> from thornbushes, nor are grapes </w:t>
      </w:r>
      <w:r>
        <w:rPr>
          <w:u w:val="single"/>
          <w:lang w:val="en_US" w:bidi="en_US"/>
        </w:rPr>
        <w:t>picked</w:t>
      </w:r>
      <w:r>
        <w:rPr>
          <w:lang w:val="en_US" w:bidi="en_US"/>
        </w:rPr>
        <w:t xml:space="preserve"> from a bramble bush (ESV)</w:t>
      </w:r>
    </w:p>
    <w:p>
      <w:pPr/>
      <w:r>
        <w:rPr>
          <w:lang w:val="en_US" w:bidi="en_US"/>
        </w:rPr>
      </w:r>
      <w:r>
        <w:rPr>
          <w:lang w:val="en_US" w:bidi="en_US"/>
        </w:rPr>
        <w:t>If you have two different verbs that can describe gathering and picking fruit, you could use them here. If you do not have two words, you could use the same verb in both clauses, or you could leave out one verb, as the BSB has done.</w:t>
      </w:r>
    </w:p>
    <w:p>
      <w:pPr/>
      <w:r>
        <w:rPr>
          <w:lang w:val="en_US" w:bidi="en_US"/>
        </w:rPr>
      </w:r>
      <w:r>
        <w:rPr>
          <w:b/>
          <w:lang w:val="en_US" w:bidi="en_US"/>
        </w:rPr>
        <w:t>grapes:</w:t>
      </w:r>
      <w:r>
        <w:rPr>
          <w:lang w:val="en_US" w:bidi="en_US"/>
        </w:rPr>
        <w:t xml:space="preserve"> The word that the BSB translates as </w:t>
      </w:r>
      <w:r>
        <w:rPr>
          <w:i/>
          <w:lang w:val="en_US" w:bidi="en_US"/>
        </w:rPr>
        <w:t>grapes</w:t>
      </w:r>
      <w:r>
        <w:rPr>
          <w:lang w:val="en_US" w:bidi="en_US"/>
        </w:rPr>
        <w:t xml:space="preserve"> refers to small fruit that grow in bunches or clusters. Grapes are very tasty. In some languages, there may not be a word for </w:t>
      </w:r>
      <w:r>
        <w:rPr>
          <w:i/>
          <w:lang w:val="en_US" w:bidi="en_US"/>
        </w:rPr>
        <w:t>grapes</w:t>
      </w:r>
      <w:r>
        <w:rPr>
          <w:lang w:val="en_US" w:bidi="en_US"/>
        </w:rPr>
        <w:t>. If this is true in your language, here are some other options to consider:</w:t>
      </w:r>
    </w:p>
    <w:p>
      <w:pPr>
        <w:pStyle w:val="ListBullet"/>
        <w:spacing w:line="240" w:lineRule="auto"/>
        <w:ind w:left="720"/>
      </w:pPr>
      <w:r>
        <w:rPr>
          <w:lang w:val="en_US" w:bidi="en_US"/>
        </w:rPr>
      </w:r>
      <w:r>
        <w:rPr>
          <w:lang w:val="en_US" w:bidi="en_US"/>
        </w:rPr>
        <w:t>Borrow the word for “grape” from another language. For example:</w:t>
      </w:r>
      <w:r>
        <w:rPr>
          <w:lang w:val="en_US" w:bidi="en_US"/>
        </w:rPr>
        <w:t>a fruit called</w:t>
      </w:r>
      <w:r>
        <w:rPr>
          <w:lang w:val="en_US" w:bidi="en_US"/>
        </w:rPr>
        <w:t xml:space="preserve"> grapes </w:t>
      </w:r>
      <w:r>
        <w:rPr>
          <w:i/>
          <w:lang w:val="en_US" w:bidi="en_US"/>
        </w:rPr>
        <w:t>(Notice that grapes are different from and much smaller than grapefruit.)</w:t>
      </w:r>
    </w:p>
    <w:p>
      <w:pPr>
        <w:pStyle w:val="ListBullet"/>
        <w:spacing w:line="240" w:lineRule="auto"/>
        <w:ind w:left="720"/>
      </w:pPr>
      <w:r>
        <w:rPr>
          <w:lang w:val="en_US" w:bidi="en_US"/>
        </w:rPr>
      </w:r>
      <w:r>
        <w:rPr>
          <w:lang w:val="en_US" w:bidi="en_US"/>
        </w:rPr>
        <w:t>Use a general term that would fit in this context. For example:</w:t>
      </w:r>
      <w:r>
        <w:rPr>
          <w:lang w:val="en_US" w:bidi="en_US"/>
        </w:rPr>
        <w:t>small fruits</w:t>
      </w:r>
    </w:p>
    <w:p>
      <w:pPr>
        <w:pStyle w:val="ListBullet"/>
        <w:spacing w:line="240" w:lineRule="auto"/>
        <w:ind w:left="720"/>
      </w:pPr>
      <w:r>
        <w:rPr>
          <w:lang w:val="en_US" w:bidi="en_US"/>
        </w:rPr>
      </w:r>
      <w:r>
        <w:rPr>
          <w:lang w:val="en_US" w:bidi="en_US"/>
        </w:rPr>
        <w:t>Use a specific word for another type of small fruit that grows in your area.</w:t>
      </w:r>
    </w:p>
    <w:p>
      <w:pPr/>
      <w:r>
        <w:rPr>
          <w:lang w:val="en_US" w:bidi="en_US"/>
        </w:rPr>
      </w:r>
      <w:r>
        <w:rPr>
          <w:b/>
          <w:lang w:val="en_US" w:bidi="en_US"/>
        </w:rPr>
        <w:t>brambles:</w:t>
      </w:r>
      <w:r>
        <w:rPr>
          <w:lang w:val="en_US" w:bidi="en_US"/>
        </w:rPr>
        <w:t xml:space="preserve"> The Greek word that the BSB translates as </w:t>
      </w:r>
      <w:r>
        <w:rPr>
          <w:i/>
          <w:lang w:val="en_US" w:bidi="en_US"/>
        </w:rPr>
        <w:t>brambles</w:t>
      </w:r>
      <w:r>
        <w:rPr>
          <w:lang w:val="en_US" w:bidi="en_US"/>
        </w:rPr>
        <w:t xml:space="preserve"> has almost the same meaning as “thornbushes” in 6:44b. Both words refer to thorny plants that do not produce fruit that people can eat. Scholars do not know the exact plants that Jesus was talking about.</w:t>
      </w:r>
    </w:p>
    <w:p>
      <w:pPr/>
      <w:r>
        <w:rPr>
          <w:lang w:val="en_US" w:bidi="en_US"/>
        </w:rPr>
      </w:r>
      <w:r>
        <w:rPr>
          <w:lang w:val="en_US" w:bidi="en_US"/>
        </w:rPr>
        <w:t>If your language does not distinguish between different types of thorny plants, here are other ways to translate this:</w:t>
      </w:r>
    </w:p>
    <w:p>
      <w:pPr>
        <w:pStyle w:val="ListBullet"/>
        <w:spacing w:line="240" w:lineRule="auto"/>
        <w:ind w:left="720"/>
      </w:pPr>
      <w:r>
        <w:rPr>
          <w:lang w:val="en_US" w:bidi="en_US"/>
        </w:rPr>
      </w:r>
      <w:r>
        <w:rPr>
          <w:lang w:val="en_US" w:bidi="en_US"/>
        </w:rPr>
        <w:t>Choose a second plant that is bothersome to farmers or useless in providing food.</w:t>
      </w:r>
    </w:p>
    <w:p>
      <w:pPr>
        <w:pStyle w:val="ListBullet"/>
        <w:spacing w:line="240" w:lineRule="auto"/>
        <w:ind w:left="720"/>
      </w:pPr>
      <w:r>
        <w:rPr>
          <w:lang w:val="en_US" w:bidi="en_US"/>
        </w:rPr>
      </w:r>
      <w:r>
        <w:rPr>
          <w:lang w:val="en_US" w:bidi="en_US"/>
        </w:rPr>
        <w:t>Combine the two types of thorny plants into one. For example:</w:t>
      </w:r>
      <w:r>
        <w:rPr>
          <w:lang w:val="en_US" w:bidi="en_US"/>
        </w:rPr>
        <w:t>You cannot pick figs or grapes from thornbushes. (CEV)</w:t>
      </w:r>
      <w:r>
        <w:rPr>
          <w:lang w:val="en_US" w:bidi="en_US"/>
        </w:rPr>
      </w:r>
      <w:r>
        <w:rPr>
          <w:lang w:val="en_US" w:bidi="en_US"/>
        </w:rPr>
      </w:r>
    </w:p>
    <w:p>
      <w:pPr/>
      <w:r>
        <w:rPr>
          <w:lang w:val="en_US" w:bidi="en_US"/>
        </w:rPr>
      </w:r>
    </w:p>
    <w:p>
      <w:pPr>
        <w:pStyle w:val="Heading2"/>
      </w:pPr>
      <w:r>
        <w:rPr>
          <w:lang w:val="en_US" w:bidi="en_US"/>
        </w:rPr>
        <w:t>Luke 6:45</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6:43–45</w:t>
      </w:r>
    </w:p>
    <w:p>
      <w:pPr/>
      <w:r>
        <w:rPr>
          <w:lang w:val="en_US" w:bidi="en_US"/>
        </w:rPr>
      </w:r>
      <w:r>
        <w:rPr>
          <w:lang w:val="en_US" w:bidi="en_US"/>
        </w:rPr>
        <w:t>In this paragraph, Jesus used another illustration or extended metaphor. He compared different kinds of people to different kinds of trees. He said that the way a person acts shows the kind of person he is.</w:t>
      </w:r>
    </w:p>
    <w:p>
      <w:pPr/>
      <w:r>
        <w:rPr>
          <w:lang w:val="en_US" w:bidi="en_US"/>
        </w:rPr>
      </w:r>
      <w:r>
        <w:rPr>
          <w:lang w:val="en_US" w:bidi="en_US"/>
        </w:rPr>
        <w:t>The BSB does not translate the Greek conjunction that introduces this illustration, but many English versions translate it as “for.” This conjunction indicates that this illustration reinforces what Jesus had just said. Connect this illustration to what Jesus had just said in a way that is natural in your language. Some ways to connect this illustration are:</w:t>
      </w:r>
    </w:p>
    <w:p>
      <w:pPr/>
      <w:r>
        <w:rPr>
          <w:lang w:val="en_US" w:bidi="en_US"/>
        </w:rPr>
      </w:r>
      <w:r>
        <w:rPr>
          <w:lang w:val="en_US" w:bidi="en_US"/>
        </w:rPr>
        <w:t>Think about this:</w:t>
      </w:r>
    </w:p>
    <w:p>
      <w:pPr/>
      <w:r>
        <w:rPr>
          <w:lang w:val="en_US" w:bidi="en_US"/>
        </w:rPr>
      </w:r>
      <w:r>
        <w:rPr>
          <w:lang w:val="en_US" w:bidi="en_US"/>
        </w:rPr>
        <w:t>You know</w:t>
      </w:r>
    </w:p>
    <w:p>
      <w:pPr>
        <w:pStyle w:val="Heading5"/>
      </w:pPr>
      <w:r>
        <w:rPr>
          <w:lang w:val="en_US" w:bidi="en_US"/>
        </w:rPr>
        <w:t>6:45a</w:t>
      </w:r>
    </w:p>
    <w:p>
      <w:pPr/>
      <w:r>
        <w:rPr>
          <w:lang w:val="en_US" w:bidi="en_US"/>
        </w:rPr>
      </w:r>
      <w:r>
        <w:rPr>
          <w:b/>
          <w:lang w:val="en_US" w:bidi="en_US"/>
        </w:rPr>
        <w:t>The good man brings good things out of the good treasure of his heart,</w:t>
      </w:r>
    </w:p>
    <w:p>
      <w:pPr>
        <w:pStyle w:val="ListBullet"/>
        <w:spacing w:line="240" w:lineRule="auto"/>
        <w:ind w:left="720"/>
      </w:pPr>
      <w:r>
        <w:rPr>
          <w:lang w:val="en_US" w:bidi="en_US"/>
        </w:rPr>
      </w:r>
      <w:r>
        <w:rPr>
          <w:lang w:val="en_US" w:bidi="en_US"/>
        </w:rPr>
        <w:t xml:space="preserve">A good person produces good out of the good </w:t>
      </w:r>
      <w:r>
        <w:rPr>
          <w:lang w:val="en_US" w:bidi="en_US"/>
        </w:rPr>
        <w:t>thoughts/motives</w:t>
      </w:r>
      <w:r>
        <w:rPr>
          <w:lang w:val="en_US" w:bidi="en_US"/>
        </w:rPr>
        <w:t xml:space="preserve"> that he has kept in his heart.</w:t>
      </w:r>
    </w:p>
    <w:p>
      <w:pPr>
        <w:pStyle w:val="ListBullet"/>
        <w:spacing w:line="240" w:lineRule="auto"/>
        <w:ind w:left="720"/>
      </w:pPr>
      <w:r>
        <w:rPr>
          <w:lang w:val="en_US" w:bidi="en_US"/>
        </w:rPr>
      </w:r>
      <w:r>
        <w:rPr>
          <w:lang w:val="en_US" w:bidi="en_US"/>
        </w:rPr>
        <w:t>Good people do good deeds which come from good that is in them.</w:t>
      </w:r>
    </w:p>
    <w:p>
      <w:pPr>
        <w:pStyle w:val="ListBullet"/>
        <w:spacing w:line="240" w:lineRule="auto"/>
        <w:ind w:left="720"/>
      </w:pPr>
      <w:r>
        <w:rPr>
          <w:lang w:val="en_US" w:bidi="en_US"/>
        </w:rPr>
      </w:r>
      <w:r>
        <w:rPr>
          <w:lang w:val="en_US" w:bidi="en_US"/>
        </w:rPr>
        <w:t>In the same way,</w:t>
      </w:r>
      <w:r>
        <w:rPr>
          <w:lang w:val="en_US" w:bidi="en_US"/>
        </w:rPr>
        <w:t xml:space="preserve"> good people do good things because their thoughts/hearts are good.</w:t>
      </w:r>
    </w:p>
    <w:p>
      <w:pPr/>
      <w:r>
        <w:rPr>
          <w:lang w:val="en_US" w:bidi="en_US"/>
        </w:rPr>
      </w:r>
      <w:r>
        <w:rPr>
          <w:lang w:val="en_US" w:bidi="en_US"/>
        </w:rPr>
        <w:t>In this verse, Jesus explained how his teaching in 6:43–44 applied to people.</w:t>
      </w:r>
    </w:p>
    <w:p>
      <w:pPr/>
      <w:r>
        <w:rPr>
          <w:lang w:val="en_US" w:bidi="en_US"/>
        </w:rPr>
      </w:r>
      <w:r>
        <w:rPr>
          <w:b/>
          <w:lang w:val="en_US" w:bidi="en_US"/>
        </w:rPr>
        <w:t>The good man brings good things out of the good treasure of his heart:</w:t>
      </w:r>
      <w:r>
        <w:rPr>
          <w:lang w:val="en_US" w:bidi="en_US"/>
        </w:rPr>
        <w:t xml:space="preserve"> This is a comparison. A good man is compared to a good tree. Just as a good tree produces good fruit, a good man produces/does good things.</w:t>
      </w:r>
    </w:p>
    <w:p>
      <w:pPr/>
      <w:r>
        <w:rPr>
          <w:lang w:val="en_US" w:bidi="en_US"/>
        </w:rPr>
      </w:r>
      <w:r>
        <w:rPr>
          <w:lang w:val="en_US" w:bidi="en_US"/>
        </w:rPr>
        <w:t xml:space="preserve">In this verse the word </w:t>
      </w:r>
      <w:r>
        <w:rPr>
          <w:i/>
          <w:lang w:val="en_US" w:bidi="en_US"/>
        </w:rPr>
        <w:t>heart</w:t>
      </w:r>
      <w:r>
        <w:rPr>
          <w:lang w:val="en_US" w:bidi="en_US"/>
        </w:rPr>
        <w:t xml:space="preserve"> represents a person’s thoughts. (See the note on </w:t>
      </w:r>
      <w:r>
        <w:rPr>
          <w:i/>
          <w:lang w:val="en_US" w:bidi="en_US"/>
        </w:rPr>
        <w:t>heart</w:t>
      </w:r>
      <w:r>
        <w:rPr>
          <w:lang w:val="en_US" w:bidi="en_US"/>
        </w:rPr>
        <w:t xml:space="preserve"> later in this part of the verse for more details.) Jesus compared a person’s thoughts to a place where people store things that they want to keep. He was teaching that what a person thinks determines whether he will do good or evil things. This includes speaking good or evil words.</w:t>
      </w:r>
    </w:p>
    <w:p>
      <w:pPr/>
      <w:r>
        <w:rPr>
          <w:lang w:val="en_US" w:bidi="en_US"/>
        </w:rPr>
      </w:r>
      <w:r>
        <w:rPr>
          <w:lang w:val="en_US" w:bidi="en_US"/>
        </w:rPr>
        <w:t xml:space="preserve">If possible, use the same general word for </w:t>
      </w:r>
      <w:r>
        <w:rPr>
          <w:i/>
          <w:lang w:val="en_US" w:bidi="en_US"/>
        </w:rPr>
        <w:t>good</w:t>
      </w:r>
      <w:r>
        <w:rPr>
          <w:lang w:val="en_US" w:bidi="en_US"/>
        </w:rPr>
        <w:t xml:space="preserve"> here (</w:t>
      </w:r>
      <w:r>
        <w:rPr>
          <w:i/>
          <w:lang w:val="en_US" w:bidi="en_US"/>
        </w:rPr>
        <w:t>good man</w:t>
      </w:r>
      <w:r>
        <w:rPr>
          <w:lang w:val="en_US" w:bidi="en_US"/>
        </w:rPr>
        <w:t xml:space="preserve">, </w:t>
      </w:r>
      <w:r>
        <w:rPr>
          <w:i/>
          <w:lang w:val="en_US" w:bidi="en_US"/>
        </w:rPr>
        <w:t>good things</w:t>
      </w:r>
      <w:r>
        <w:rPr>
          <w:lang w:val="en_US" w:bidi="en_US"/>
        </w:rPr>
        <w:t xml:space="preserve">, </w:t>
      </w:r>
      <w:r>
        <w:rPr>
          <w:i/>
          <w:lang w:val="en_US" w:bidi="en_US"/>
        </w:rPr>
        <w:t>good treasure</w:t>
      </w:r>
      <w:r>
        <w:rPr>
          <w:lang w:val="en_US" w:bidi="en_US"/>
        </w:rPr>
        <w:t>) that you used for fruit and trees in 6:44. (If you must choose a word that is different or more specific, choose a word that refers to what is ethically good or noble.) Another way to translate this is:</w:t>
      </w:r>
    </w:p>
    <w:p>
      <w:pPr/>
      <w:r>
        <w:rPr>
          <w:lang w:val="en_US" w:bidi="en_US"/>
        </w:rPr>
      </w:r>
      <w:r>
        <w:rPr>
          <w:lang w:val="en_US" w:bidi="en_US"/>
        </w:rPr>
        <w:t>Good people do good things because of the good in their hearts. (CEV)</w:t>
      </w:r>
    </w:p>
    <w:p>
      <w:pPr/>
      <w:r>
        <w:rPr>
          <w:lang w:val="en_US" w:bidi="en_US"/>
        </w:rPr>
      </w:r>
      <w:r>
        <w:rPr>
          <w:b/>
          <w:lang w:val="en_US" w:bidi="en_US"/>
        </w:rPr>
        <w:t>The good man:</w:t>
      </w:r>
      <w:r>
        <w:rPr>
          <w:lang w:val="en_US" w:bidi="en_US"/>
        </w:rPr>
        <w:t xml:space="preserve"> The Greek word that the BSB translates as </w:t>
      </w:r>
      <w:r>
        <w:rPr>
          <w:i/>
          <w:lang w:val="en_US" w:bidi="en_US"/>
        </w:rPr>
        <w:t>man</w:t>
      </w:r>
      <w:r>
        <w:rPr>
          <w:lang w:val="en_US" w:bidi="en_US"/>
        </w:rPr>
        <w:t xml:space="preserve"> refers to anyone, male or female. Some other ways to translate this are:</w:t>
      </w:r>
    </w:p>
    <w:p>
      <w:pPr/>
      <w:r>
        <w:rPr>
          <w:lang w:val="en_US" w:bidi="en_US"/>
        </w:rPr>
      </w:r>
      <w:r>
        <w:rPr>
          <w:lang w:val="en_US" w:bidi="en_US"/>
        </w:rPr>
        <w:t>A good person (GNT)</w:t>
      </w:r>
    </w:p>
    <w:p>
      <w:pPr/>
      <w:r>
        <w:rPr>
          <w:lang w:val="en_US" w:bidi="en_US"/>
        </w:rPr>
      </w:r>
      <w:r>
        <w:rPr>
          <w:lang w:val="en_US" w:bidi="en_US"/>
        </w:rPr>
        <w:t>Good people (CEV)</w:t>
      </w:r>
    </w:p>
    <w:p>
      <w:pPr/>
      <w:r>
        <w:rPr>
          <w:lang w:val="en_US" w:bidi="en_US"/>
        </w:rPr>
      </w:r>
      <w:r>
        <w:rPr>
          <w:b/>
          <w:lang w:val="en_US" w:bidi="en_US"/>
        </w:rPr>
        <w:t>brings…out:</w:t>
      </w:r>
      <w:r>
        <w:rPr>
          <w:lang w:val="en_US" w:bidi="en_US"/>
        </w:rPr>
        <w:t xml:space="preserve"> The Greek word that the BSB translates as </w:t>
      </w:r>
      <w:r>
        <w:rPr>
          <w:i/>
          <w:lang w:val="en_US" w:bidi="en_US"/>
        </w:rPr>
        <w:t>brings…out</w:t>
      </w:r>
      <w:r>
        <w:rPr>
          <w:lang w:val="en_US" w:bidi="en_US"/>
        </w:rPr>
        <w:t xml:space="preserve"> means “to produce” or “to cause to exist.” This is similar to a tree </w:t>
      </w:r>
      <w:r>
        <w:rPr>
          <w:u w:val="single"/>
          <w:lang w:val="en_US" w:bidi="en_US"/>
        </w:rPr>
        <w:t>producing</w:t>
      </w:r>
      <w:r>
        <w:rPr>
          <w:lang w:val="en_US" w:bidi="en_US"/>
        </w:rPr>
        <w:t xml:space="preserve"> fruit. It may not be natural in some languages to say that a man “produces” good things. If that is true in your language, you may want to say that he “</w:t>
      </w:r>
      <w:r>
        <w:rPr>
          <w:u w:val="single"/>
          <w:lang w:val="en_US" w:bidi="en_US"/>
        </w:rPr>
        <w:t>does</w:t>
      </w:r>
      <w:r>
        <w:rPr>
          <w:lang w:val="en_US" w:bidi="en_US"/>
        </w:rPr>
        <w:t>” good things/deeds. Some examples of how this is translated in English versions are:</w:t>
      </w:r>
    </w:p>
    <w:p>
      <w:pPr/>
      <w:r>
        <w:rPr>
          <w:lang w:val="en_US" w:bidi="en_US"/>
        </w:rPr>
      </w:r>
      <w:r>
        <w:rPr>
          <w:lang w:val="en_US" w:bidi="en_US"/>
        </w:rPr>
        <w:t xml:space="preserve">Good people </w:t>
      </w:r>
      <w:r>
        <w:rPr>
          <w:u w:val="single"/>
          <w:lang w:val="en_US" w:bidi="en_US"/>
        </w:rPr>
        <w:t>produce</w:t>
      </w:r>
      <w:r>
        <w:rPr>
          <w:lang w:val="en_US" w:bidi="en_US"/>
        </w:rPr>
        <w:t xml:space="preserve"> good (REB)</w:t>
      </w:r>
    </w:p>
    <w:p>
      <w:pPr/>
      <w:r>
        <w:rPr>
          <w:lang w:val="en_US" w:bidi="en_US"/>
        </w:rPr>
      </w:r>
      <w:r>
        <w:rPr>
          <w:lang w:val="en_US" w:bidi="en_US"/>
        </w:rPr>
        <w:t xml:space="preserve">Good people </w:t>
      </w:r>
      <w:r>
        <w:rPr>
          <w:u w:val="single"/>
          <w:lang w:val="en_US" w:bidi="en_US"/>
        </w:rPr>
        <w:t>do</w:t>
      </w:r>
      <w:r>
        <w:rPr>
          <w:lang w:val="en_US" w:bidi="en_US"/>
        </w:rPr>
        <w:t xml:space="preserve"> good things (CEV)</w:t>
      </w:r>
    </w:p>
    <w:p>
      <w:pPr/>
      <w:r>
        <w:rPr>
          <w:lang w:val="en_US" w:bidi="en_US"/>
        </w:rPr>
      </w:r>
      <w:r>
        <w:rPr>
          <w:b/>
          <w:lang w:val="en_US" w:bidi="en_US"/>
        </w:rPr>
        <w:t>good things:</w:t>
      </w:r>
      <w:r>
        <w:rPr>
          <w:lang w:val="en_US" w:bidi="en_US"/>
        </w:rPr>
        <w:t xml:space="preserve"> The Greek words that the BSB translates as “good things” are literally “the good.” Some other ways to translate this are:</w:t>
      </w:r>
    </w:p>
    <w:p>
      <w:pPr/>
      <w:r>
        <w:rPr>
          <w:lang w:val="en_US" w:bidi="en_US"/>
        </w:rPr>
      </w:r>
      <w:r>
        <w:rPr>
          <w:lang w:val="en_US" w:bidi="en_US"/>
        </w:rPr>
        <w:t>what is good (NJB)</w:t>
      </w:r>
    </w:p>
    <w:p>
      <w:pPr/>
      <w:r>
        <w:rPr>
          <w:lang w:val="en_US" w:bidi="en_US"/>
        </w:rPr>
      </w:r>
      <w:r>
        <w:rPr>
          <w:lang w:val="en_US" w:bidi="en_US"/>
        </w:rPr>
        <w:t>good acts/deeds</w:t>
      </w:r>
    </w:p>
    <w:p>
      <w:pPr/>
      <w:r>
        <w:rPr>
          <w:lang w:val="en_US" w:bidi="en_US"/>
        </w:rPr>
      </w:r>
      <w:r>
        <w:rPr>
          <w:b/>
          <w:lang w:val="en_US" w:bidi="en_US"/>
        </w:rPr>
        <w:t>the good treasure of his heart:</w:t>
      </w:r>
      <w:r>
        <w:rPr>
          <w:lang w:val="en_US" w:bidi="en_US"/>
        </w:rPr>
        <w:t xml:space="preserve"> The Greek phrase that the BSB translates literally focuses on the fact that this </w:t>
      </w:r>
      <w:r>
        <w:rPr>
          <w:i/>
          <w:lang w:val="en_US" w:bidi="en_US"/>
        </w:rPr>
        <w:t>good</w:t>
      </w:r>
      <w:r>
        <w:rPr>
          <w:lang w:val="en_US" w:bidi="en_US"/>
        </w:rPr>
        <w:t xml:space="preserve"> is stored or kept, rather than on its value, as the word “treasure” might otherwise imply. If “good” is what is stored/kept inside a person’s heart, then good actions and words will be the result. Another way to translate this is:</w:t>
      </w:r>
    </w:p>
    <w:p>
      <w:pPr/>
      <w:r>
        <w:rPr>
          <w:lang w:val="en_US" w:bidi="en_US"/>
        </w:rPr>
      </w:r>
      <w:r>
        <w:rPr>
          <w:lang w:val="en_US" w:bidi="en_US"/>
        </w:rPr>
        <w:t>the good things that he keeps in his heart</w:t>
      </w:r>
    </w:p>
    <w:p>
      <w:pPr/>
      <w:r>
        <w:rPr>
          <w:lang w:val="en_US" w:bidi="en_US"/>
        </w:rPr>
      </w:r>
      <w:r>
        <w:rPr>
          <w:b/>
          <w:lang w:val="en_US" w:bidi="en_US"/>
        </w:rPr>
        <w:t>heart:</w:t>
      </w:r>
      <w:r>
        <w:rPr>
          <w:lang w:val="en_US" w:bidi="en_US"/>
        </w:rPr>
        <w:t xml:space="preserve"> For the Jews, a person’s </w:t>
      </w:r>
      <w:r>
        <w:rPr>
          <w:i/>
          <w:lang w:val="en_US" w:bidi="en_US"/>
        </w:rPr>
        <w:t>heart</w:t>
      </w:r>
      <w:r>
        <w:rPr>
          <w:lang w:val="en_US" w:bidi="en_US"/>
        </w:rPr>
        <w:t xml:space="preserve"> represented the part of a person that he used to think, feel, and decide things. Some languages use a different part of the body or another expression to describe this. Use a natural expression in your language.</w:t>
      </w:r>
    </w:p>
    <w:p>
      <w:pPr>
        <w:pStyle w:val="Heading5"/>
      </w:pPr>
      <w:r>
        <w:rPr>
          <w:lang w:val="en_US" w:bidi="en_US"/>
        </w:rPr>
        <w:t>6:45b</w:t>
      </w:r>
    </w:p>
    <w:p>
      <w:pPr/>
      <w:r>
        <w:rPr>
          <w:lang w:val="en_US" w:bidi="en_US"/>
        </w:rPr>
      </w:r>
      <w:r>
        <w:rPr>
          <w:b/>
          <w:lang w:val="en_US" w:bidi="en_US"/>
        </w:rPr>
        <w:t>and the evil man brings evil things out of the evil treasure of his heart.</w:t>
      </w:r>
    </w:p>
    <w:p>
      <w:pPr>
        <w:pStyle w:val="ListBullet"/>
        <w:spacing w:line="240" w:lineRule="auto"/>
        <w:ind w:left="720"/>
      </w:pPr>
      <w:r>
        <w:rPr>
          <w:lang w:val="en_US" w:bidi="en_US"/>
        </w:rPr>
      </w:r>
      <w:r>
        <w:rPr>
          <w:lang w:val="en_US" w:bidi="en_US"/>
        </w:rPr>
        <w:t xml:space="preserve">Also, an evil person produces evil out of the evil </w:t>
      </w:r>
      <w:r>
        <w:rPr>
          <w:lang w:val="en_US" w:bidi="en_US"/>
        </w:rPr>
        <w:t>thoughts/motives</w:t>
      </w:r>
      <w:r>
        <w:rPr>
          <w:lang w:val="en_US" w:bidi="en_US"/>
        </w:rPr>
        <w:t xml:space="preserve"> that he has kept in his heart.</w:t>
      </w:r>
    </w:p>
    <w:p>
      <w:pPr>
        <w:pStyle w:val="ListBullet"/>
        <w:spacing w:line="240" w:lineRule="auto"/>
        <w:ind w:left="720"/>
      </w:pPr>
      <w:r>
        <w:rPr>
          <w:lang w:val="en_US" w:bidi="en_US"/>
        </w:rPr>
      </w:r>
      <w:r>
        <w:rPr>
          <w:lang w:val="en_US" w:bidi="en_US"/>
        </w:rPr>
        <w:t>And evil people do evil deeds which come from evil that is in them.</w:t>
      </w:r>
    </w:p>
    <w:p>
      <w:pPr>
        <w:pStyle w:val="ListBullet"/>
        <w:spacing w:line="240" w:lineRule="auto"/>
        <w:ind w:left="720"/>
      </w:pPr>
      <w:r>
        <w:rPr>
          <w:lang w:val="en_US" w:bidi="en_US"/>
        </w:rPr>
      </w:r>
      <w:r>
        <w:rPr>
          <w:lang w:val="en_US" w:bidi="en_US"/>
        </w:rPr>
        <w:t>And bad people do bad things because their thoughts/hearts are bad.</w:t>
      </w:r>
    </w:p>
    <w:p>
      <w:pPr/>
      <w:r>
        <w:rPr>
          <w:lang w:val="en_US" w:bidi="en_US"/>
        </w:rPr>
      </w:r>
      <w:r>
        <w:rPr>
          <w:b/>
          <w:lang w:val="en_US" w:bidi="en_US"/>
        </w:rPr>
        <w:t>the evil man brings evil things out of the evil treasure of his heart:</w:t>
      </w:r>
      <w:r>
        <w:rPr>
          <w:lang w:val="en_US" w:bidi="en_US"/>
        </w:rPr>
        <w:t xml:space="preserve"> This part of the verse presents a truth that contrasts with 6:45a and is its opposite. Translate this in a way that shows the direct contrast with 6:45a. Some other ways to translate this are:</w:t>
      </w:r>
    </w:p>
    <w:p>
      <w:pPr/>
      <w:r>
        <w:rPr>
          <w:lang w:val="en_US" w:bidi="en_US"/>
        </w:rPr>
      </w:r>
      <w:r>
        <w:rPr>
          <w:lang w:val="en_US" w:bidi="en_US"/>
        </w:rPr>
        <w:t>…an evil person produces evil deeds from an evil heart. (NLT96)</w:t>
      </w:r>
    </w:p>
    <w:p>
      <w:pPr/>
      <w:r>
        <w:rPr>
          <w:lang w:val="en_US" w:bidi="en_US"/>
        </w:rPr>
      </w:r>
      <w:r>
        <w:rPr>
          <w:lang w:val="en_US" w:bidi="en_US"/>
        </w:rPr>
        <w:t>Bad people do bad things because of the evil in their hearts. (CEV)</w:t>
      </w:r>
    </w:p>
    <w:p>
      <w:pPr/>
      <w:r>
        <w:rPr>
          <w:lang w:val="en_US" w:bidi="en_US"/>
        </w:rPr>
      </w:r>
      <w:r>
        <w:rPr>
          <w:lang w:val="en_US" w:bidi="en_US"/>
        </w:rPr>
        <w:t xml:space="preserve">If possible, use the same general word for </w:t>
      </w:r>
      <w:r>
        <w:rPr>
          <w:i/>
          <w:lang w:val="en_US" w:bidi="en_US"/>
        </w:rPr>
        <w:t>evil</w:t>
      </w:r>
      <w:r>
        <w:rPr>
          <w:lang w:val="en_US" w:bidi="en_US"/>
        </w:rPr>
        <w:t xml:space="preserve"> here (</w:t>
      </w:r>
      <w:r>
        <w:rPr>
          <w:i/>
          <w:lang w:val="en_US" w:bidi="en_US"/>
        </w:rPr>
        <w:t>evil man</w:t>
      </w:r>
      <w:r>
        <w:rPr>
          <w:lang w:val="en_US" w:bidi="en_US"/>
        </w:rPr>
        <w:t xml:space="preserve">, </w:t>
      </w:r>
      <w:r>
        <w:rPr>
          <w:i/>
          <w:lang w:val="en_US" w:bidi="en_US"/>
        </w:rPr>
        <w:t>evil things</w:t>
      </w:r>
      <w:r>
        <w:rPr>
          <w:lang w:val="en_US" w:bidi="en_US"/>
        </w:rPr>
        <w:t xml:space="preserve">, </w:t>
      </w:r>
      <w:r>
        <w:rPr>
          <w:i/>
          <w:lang w:val="en_US" w:bidi="en_US"/>
        </w:rPr>
        <w:t>evil treasure</w:t>
      </w:r>
      <w:r>
        <w:rPr>
          <w:lang w:val="en_US" w:bidi="en_US"/>
        </w:rPr>
        <w:t xml:space="preserve">) that you used for </w:t>
      </w:r>
      <w:r>
        <w:rPr>
          <w:u w:val="single"/>
          <w:lang w:val="en_US" w:bidi="en_US"/>
        </w:rPr>
        <w:t>bad</w:t>
      </w:r>
      <w:r>
        <w:rPr>
          <w:lang w:val="en_US" w:bidi="en_US"/>
        </w:rPr>
        <w:t xml:space="preserve"> fruit and </w:t>
      </w:r>
      <w:r>
        <w:rPr>
          <w:u w:val="single"/>
          <w:lang w:val="en_US" w:bidi="en_US"/>
        </w:rPr>
        <w:t>bad</w:t>
      </w:r>
      <w:r>
        <w:rPr>
          <w:lang w:val="en_US" w:bidi="en_US"/>
        </w:rPr>
        <w:t xml:space="preserve"> trees in 6:43. If you must choose a word that is different or more specific, choose a word that refers to what is ethically bad or evil.</w:t>
      </w:r>
    </w:p>
    <w:p>
      <w:pPr/>
      <w:r>
        <w:rPr>
          <w:lang w:val="en_US" w:bidi="en_US"/>
        </w:rPr>
      </w:r>
      <w:r>
        <w:rPr>
          <w:b/>
          <w:lang w:val="en_US" w:bidi="en_US"/>
        </w:rPr>
        <w:t>the evil treasure of his heart:</w:t>
      </w:r>
      <w:r>
        <w:rPr>
          <w:lang w:val="en_US" w:bidi="en_US"/>
        </w:rPr>
        <w:t xml:space="preserve"> The Greek phrase that the BSB translates as </w:t>
      </w:r>
      <w:r>
        <w:rPr>
          <w:i/>
          <w:lang w:val="en_US" w:bidi="en_US"/>
        </w:rPr>
        <w:t>the evil treasure of his heart</w:t>
      </w:r>
      <w:r>
        <w:rPr>
          <w:lang w:val="en_US" w:bidi="en_US"/>
        </w:rPr>
        <w:t xml:space="preserve"> is literally “from the evil.” This is an ellipsis. The BSB has supplied the implied words “treasure of his heart.” The Greek phrase refers to the evil that a person keeps inside him in his thoughts/heart. Some other ways to translate this are:</w:t>
      </w:r>
    </w:p>
    <w:p>
      <w:pPr/>
      <w:r>
        <w:rPr>
          <w:lang w:val="en_US" w:bidi="en_US"/>
        </w:rPr>
      </w:r>
      <w:r>
        <w:rPr>
          <w:lang w:val="en_US" w:bidi="en_US"/>
        </w:rPr>
        <w:t>the evil that is in them (GW)</w:t>
      </w:r>
    </w:p>
    <w:p>
      <w:pPr/>
      <w:r>
        <w:rPr>
          <w:lang w:val="en_US" w:bidi="en_US"/>
        </w:rPr>
      </w:r>
      <w:r>
        <w:rPr>
          <w:lang w:val="en_US" w:bidi="en_US"/>
        </w:rPr>
        <w:t>the evil in their hearts (CEV)</w:t>
      </w:r>
    </w:p>
    <w:p>
      <w:pPr/>
      <w:r>
        <w:rPr>
          <w:lang w:val="en_US" w:bidi="en_US"/>
        </w:rPr>
      </w:r>
      <w:r>
        <w:rPr>
          <w:lang w:val="en_US" w:bidi="en_US"/>
        </w:rPr>
        <w:t>If evil is what is inside a person’s heart, then evil actions and words will be the result.</w:t>
      </w:r>
    </w:p>
    <w:p>
      <w:pPr>
        <w:pStyle w:val="Heading5"/>
      </w:pPr>
      <w:r>
        <w:rPr>
          <w:lang w:val="en_US" w:bidi="en_US"/>
        </w:rPr>
        <w:t>6:45c</w:t>
      </w:r>
    </w:p>
    <w:p>
      <w:pPr/>
      <w:r>
        <w:rPr>
          <w:lang w:val="en_US" w:bidi="en_US"/>
        </w:rPr>
      </w:r>
      <w:r>
        <w:rPr>
          <w:b/>
          <w:lang w:val="en_US" w:bidi="en_US"/>
        </w:rPr>
        <w:t>For out of the overflow of the heart, the mouth speaks.</w:t>
      </w:r>
    </w:p>
    <w:p>
      <w:pPr>
        <w:pStyle w:val="ListBullet"/>
        <w:spacing w:line="240" w:lineRule="auto"/>
        <w:ind w:left="720"/>
      </w:pPr>
      <w:r>
        <w:rPr>
          <w:lang w:val="en_US" w:bidi="en_US"/>
        </w:rPr>
      </w:r>
      <w:r>
        <w:rPr>
          <w:lang w:val="en_US" w:bidi="en_US"/>
        </w:rPr>
        <w:t xml:space="preserve">So then the </w:t>
      </w:r>
      <w:r>
        <w:rPr>
          <w:lang w:val="en_US" w:bidi="en_US"/>
        </w:rPr>
        <w:t>thoughts</w:t>
      </w:r>
      <w:r>
        <w:rPr>
          <w:lang w:val="en_US" w:bidi="en_US"/>
        </w:rPr>
        <w:t xml:space="preserve"> in a person’s heart determine what he will speak.</w:t>
      </w:r>
    </w:p>
    <w:p>
      <w:pPr>
        <w:pStyle w:val="ListBullet"/>
        <w:spacing w:line="240" w:lineRule="auto"/>
        <w:ind w:left="720"/>
      </w:pPr>
      <w:r>
        <w:rPr>
          <w:lang w:val="en_US" w:bidi="en_US"/>
        </w:rPr>
      </w:r>
      <w:r>
        <w:rPr>
          <w:lang w:val="en_US" w:bidi="en_US"/>
        </w:rPr>
        <w:t>So, what a person speaks flows/comes from what he is really like in his heart/thoughts.</w:t>
      </w:r>
    </w:p>
    <w:p>
      <w:pPr/>
      <w:r>
        <w:rPr>
          <w:lang w:val="en_US" w:bidi="en_US"/>
        </w:rPr>
      </w:r>
      <w:r>
        <w:rPr>
          <w:b/>
          <w:lang w:val="en_US" w:bidi="en_US"/>
        </w:rPr>
        <w:t>For:</w:t>
      </w:r>
      <w:r>
        <w:rPr>
          <w:lang w:val="en_US" w:bidi="en_US"/>
        </w:rPr>
        <w:t xml:space="preserve"> The BSB translates the Greek conjunction that connects 6:45c to 6:45a–b as </w:t>
      </w:r>
      <w:r>
        <w:rPr>
          <w:i/>
          <w:lang w:val="en_US" w:bidi="en_US"/>
        </w:rPr>
        <w:t>For</w:t>
      </w:r>
      <w:r>
        <w:rPr>
          <w:lang w:val="en_US" w:bidi="en_US"/>
        </w:rPr>
        <w:t>. It marks 6:45c as explaining what Jesus has just said. It is also a general statement that summarizes what Jesus has just said. Some ways to connect 6:45c are:</w:t>
      </w:r>
    </w:p>
    <w:p>
      <w:pPr/>
      <w:r>
        <w:rPr>
          <w:lang w:val="en_US" w:bidi="en_US"/>
        </w:rPr>
      </w:r>
      <w:r>
        <w:rPr>
          <w:lang w:val="en_US" w:bidi="en_US"/>
        </w:rPr>
        <w:t>So then</w:t>
      </w:r>
    </w:p>
    <w:p>
      <w:pPr/>
      <w:r>
        <w:rPr>
          <w:lang w:val="en_US" w:bidi="en_US"/>
        </w:rPr>
      </w:r>
      <w:r>
        <w:rPr>
          <w:lang w:val="en_US" w:bidi="en_US"/>
        </w:rPr>
        <w:t>Thus</w:t>
      </w:r>
    </w:p>
    <w:p>
      <w:pPr/>
      <w:r>
        <w:rPr>
          <w:lang w:val="en_US" w:bidi="en_US"/>
        </w:rPr>
      </w:r>
      <w:r>
        <w:rPr>
          <w:lang w:val="en_US" w:bidi="en_US"/>
        </w:rPr>
        <w:t>In some languages, no conjunction is necessary here.</w:t>
      </w:r>
    </w:p>
    <w:p>
      <w:pPr/>
      <w:r>
        <w:rPr>
          <w:lang w:val="en_US" w:bidi="en_US"/>
        </w:rPr>
      </w:r>
      <w:r>
        <w:rPr>
          <w:b/>
          <w:lang w:val="en_US" w:bidi="en_US"/>
        </w:rPr>
        <w:t>out of the overflow of the heart, the mouth speaks:</w:t>
      </w:r>
      <w:r>
        <w:rPr>
          <w:lang w:val="en_US" w:bidi="en_US"/>
        </w:rPr>
        <w:t xml:space="preserve"> The Greek noun that the BSB translates as the </w:t>
      </w:r>
      <w:r>
        <w:rPr>
          <w:i/>
          <w:lang w:val="en_US" w:bidi="en_US"/>
        </w:rPr>
        <w:t>overflow</w:t>
      </w:r>
      <w:r>
        <w:rPr>
          <w:lang w:val="en_US" w:bidi="en_US"/>
        </w:rPr>
        <w:t xml:space="preserve"> means “abundance” or “an exceeding quantity.” It describes a quantity that fills a container completely full and then overflows it. In this clause, it is used in a figurative way. The clause means that a person’s thoughts and beliefs control what he says. His heart/thoughts determine how he acts and speaks.</w:t>
      </w:r>
    </w:p>
    <w:p>
      <w:pPr/>
      <w:r>
        <w:rPr>
          <w:lang w:val="en_US" w:bidi="en_US"/>
        </w:rPr>
      </w:r>
      <w:r>
        <w:rPr>
          <w:lang w:val="en_US" w:bidi="en_US"/>
        </w:rPr>
        <w:t>Jesus was saying here that a person’s words reflect what he is really like in his thoughts and character. Some other ways to translate this are:</w:t>
      </w:r>
    </w:p>
    <w:p>
      <w:pPr/>
      <w:r>
        <w:rPr>
          <w:lang w:val="en_US" w:bidi="en_US"/>
        </w:rPr>
      </w:r>
      <w:r>
        <w:rPr>
          <w:lang w:val="en_US" w:bidi="en_US"/>
        </w:rPr>
        <w:t>…the words of the mouth flow out of what fills the heart. (NJB)</w:t>
      </w:r>
    </w:p>
    <w:p>
      <w:pPr/>
      <w:r>
        <w:rPr>
          <w:lang w:val="en_US" w:bidi="en_US"/>
        </w:rPr>
      </w:r>
      <w:r>
        <w:rPr>
          <w:lang w:val="en_US" w:bidi="en_US"/>
        </w:rPr>
        <w:t>Your words show what is in your heart. (CEV)</w:t>
      </w:r>
    </w:p>
    <w:p>
      <w:pPr/>
      <w:r>
        <w:rPr>
          <w:lang w:val="en_US" w:bidi="en_US"/>
        </w:rPr>
      </w:r>
      <w:r>
        <w:rPr>
          <w:lang w:val="en_US" w:bidi="en_US"/>
        </w:rPr>
        <w:t xml:space="preserve">In the Greek text, the words </w:t>
      </w:r>
      <w:r>
        <w:rPr>
          <w:i/>
          <w:lang w:val="en_US" w:bidi="en_US"/>
        </w:rPr>
        <w:t>out of the overflow of the heart</w:t>
      </w:r>
      <w:r>
        <w:rPr>
          <w:lang w:val="en_US" w:bidi="en_US"/>
        </w:rPr>
        <w:t xml:space="preserve"> are moved forward in the clause to emphasize them. If you have a way to emphasize these words in your language, consider doing that here. One way to do this in English could be:</w:t>
      </w:r>
    </w:p>
    <w:p>
      <w:pPr/>
      <w:r>
        <w:rPr>
          <w:lang w:val="en_US" w:bidi="en_US"/>
        </w:rPr>
      </w:r>
      <w:r>
        <w:rPr>
          <w:lang w:val="en_US" w:bidi="en_US"/>
        </w:rPr>
        <w:t>It is out of what his heart is full of that his mouth speaks.</w:t>
      </w:r>
    </w:p>
    <w:p>
      <w:pPr/>
      <w:r>
        <w:rPr>
          <w:lang w:val="en_US" w:bidi="en_US"/>
        </w:rPr>
      </w:r>
      <w:r>
        <w:rPr>
          <w:b/>
          <w:lang w:val="en_US" w:bidi="en_US"/>
        </w:rPr>
        <w:t>the heart…the mouth:</w:t>
      </w:r>
      <w:r>
        <w:rPr>
          <w:lang w:val="en_US" w:bidi="en_US"/>
        </w:rPr>
        <w:t xml:space="preserve"> Here, </w:t>
      </w:r>
      <w:r>
        <w:rPr>
          <w:i/>
          <w:lang w:val="en_US" w:bidi="en_US"/>
        </w:rPr>
        <w:t>the</w:t>
      </w:r>
      <w:r>
        <w:rPr>
          <w:lang w:val="en_US" w:bidi="en_US"/>
        </w:rPr>
        <w:t xml:space="preserve"> refers to any person and could apply either to the good person of 6:45a or to the evil person of 6:45b. It some languages, it may be more natural to translate this in a more general way. For example:</w:t>
      </w:r>
    </w:p>
    <w:p>
      <w:pPr/>
      <w:r>
        <w:rPr>
          <w:lang w:val="en_US" w:bidi="en_US"/>
        </w:rPr>
      </w:r>
      <w:r>
        <w:rPr>
          <w:u w:val="single"/>
          <w:lang w:val="en_US" w:bidi="en_US"/>
        </w:rPr>
        <w:t>People</w:t>
      </w:r>
      <w:r>
        <w:rPr>
          <w:lang w:val="en_US" w:bidi="en_US"/>
        </w:rPr>
        <w:t xml:space="preserve"> speak the things that are in their hearts. (NCV)</w:t>
      </w:r>
    </w:p>
    <w:p>
      <w:pPr/>
      <w:r>
        <w:rPr>
          <w:lang w:val="en_US" w:bidi="en_US"/>
        </w:rPr>
      </w:r>
      <w:r>
        <w:rPr>
          <w:lang w:val="en_US" w:bidi="en_US"/>
        </w:rPr>
        <w:t>The heart will be full of something, and that is what the mouth will speak.</w:t>
      </w:r>
    </w:p>
    <w:p>
      <w:pPr/>
      <w:r>
        <w:rPr>
          <w:lang w:val="en_US" w:bidi="en_US"/>
        </w:rPr>
      </w:r>
      <w:r>
        <w:rPr>
          <w:lang w:val="en_US" w:bidi="en_US"/>
        </w:rPr>
        <w:t>What the heart is full of is what the mouth speaks.</w:t>
      </w:r>
    </w:p>
    <w:p>
      <w:pPr/>
      <w:r>
        <w:rPr>
          <w:lang w:val="en_US" w:bidi="en_US"/>
        </w:rPr>
      </w:r>
      <w:r>
        <w:rPr>
          <w:b/>
          <w:lang w:val="en_US" w:bidi="en_US"/>
        </w:rPr>
        <w:t>heart:</w:t>
      </w:r>
      <w:r>
        <w:rPr>
          <w:lang w:val="en_US" w:bidi="en_US"/>
        </w:rPr>
        <w:t xml:space="preserve"> See the note on </w:t>
      </w:r>
      <w:r>
        <w:rPr>
          <w:i/>
          <w:lang w:val="en_US" w:bidi="en_US"/>
        </w:rPr>
        <w:t>heart</w:t>
      </w:r>
      <w:r>
        <w:rPr>
          <w:lang w:val="en_US" w:bidi="en_US"/>
        </w:rPr>
        <w:t xml:space="preserve"> at 6:45a.</w:t>
      </w:r>
    </w:p>
    <w:p>
      <w:pPr/>
      <w:r>
        <w:rPr>
          <w:lang w:val="en_US" w:bidi="en_US"/>
        </w:rPr>
      </w:r>
      <w:r>
        <w:rPr>
          <w:b/>
          <w:lang w:val="en_US" w:bidi="en_US"/>
        </w:rPr>
        <w:t>mouth:</w:t>
      </w:r>
      <w:r>
        <w:rPr>
          <w:lang w:val="en_US" w:bidi="en_US"/>
        </w:rPr>
        <w:t xml:space="preserve"> In some languages, another part of the body such as “the lips” or “the throat” may be associated with speaking.</w:t>
      </w:r>
      <w:r>
        <w:rPr>
          <w:lang w:val="en_US" w:bidi="en_US"/>
        </w:rPr>
      </w:r>
      <w:r>
        <w:rPr>
          <w:lang w:val="en_US" w:bidi="en_US"/>
        </w:rPr>
      </w:r>
    </w:p>
    <w:p>
      <w:pPr/>
      <w:r>
        <w:rPr>
          <w:lang w:val="en_US" w:bidi="en_US"/>
        </w:rPr>
      </w:r>
    </w:p>
    <w:p>
      <w:pPr>
        <w:pStyle w:val="Heading2"/>
      </w:pPr>
      <w:r>
        <w:rPr>
          <w:lang w:val="en_US" w:bidi="en_US"/>
        </w:rPr>
        <w:t>Luke 6:46</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6:46–49</w:t>
      </w:r>
    </w:p>
    <w:p>
      <w:pPr/>
      <w:r>
        <w:rPr>
          <w:lang w:val="en_US" w:bidi="en_US"/>
        </w:rPr>
      </w:r>
      <w:r>
        <w:rPr>
          <w:lang w:val="en_US" w:bidi="en_US"/>
        </w:rPr>
        <w:t>Jesus concluded his sermon by challenging his listeners not only to hear his teaching but also to obey it. He spoke a parable that illustrated the wisdom of listening and obeying and the folly of listening without obeying.</w:t>
      </w:r>
    </w:p>
    <w:p>
      <w:pPr>
        <w:pStyle w:val="Heading5"/>
      </w:pPr>
      <w:r>
        <w:rPr>
          <w:lang w:val="en_US" w:bidi="en_US"/>
        </w:rPr>
        <w:t>6:46a–b</w:t>
      </w:r>
    </w:p>
    <w:p>
      <w:pPr/>
      <w:r>
        <w:rPr>
          <w:lang w:val="en_US" w:bidi="en_US"/>
        </w:rPr>
      </w:r>
      <w:r>
        <w:rPr>
          <w:b/>
          <w:lang w:val="en_US" w:bidi="en_US"/>
        </w:rPr>
        <w:t>Why do you call Me ‘Lord, Lord,’ but not do what I say?:</w:t>
      </w:r>
      <w:r>
        <w:rPr>
          <w:lang w:val="en_US" w:bidi="en_US"/>
        </w:rPr>
        <w:t xml:space="preserve"> This is a rhetorical question. Jesus used this rhetorical question to rebuke the people who called him </w:t>
      </w:r>
      <w:r>
        <w:rPr>
          <w:i/>
          <w:lang w:val="en_US" w:bidi="en_US"/>
        </w:rPr>
        <w:t>Lord</w:t>
      </w:r>
      <w:r>
        <w:rPr>
          <w:lang w:val="en_US" w:bidi="en_US"/>
        </w:rPr>
        <w:t xml:space="preserve"> but did not obey him.</w:t>
      </w:r>
    </w:p>
    <w:p>
      <w:pPr/>
      <w:r>
        <w:rPr>
          <w:lang w:val="en_US" w:bidi="en_US"/>
        </w:rPr>
      </w:r>
      <w:r>
        <w:rPr>
          <w:lang w:val="en_US" w:bidi="en_US"/>
        </w:rPr>
        <w:t>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Why do you call me, “Lord, Lord,” and yet don’t do what I tell you? (GNT)</w:t>
      </w:r>
    </w:p>
    <w:p>
      <w:pPr>
        <w:pStyle w:val="ListBullet"/>
        <w:spacing w:line="240" w:lineRule="auto"/>
        <w:ind w:left="720"/>
      </w:pPr>
      <w:r>
        <w:rPr>
          <w:lang w:val="en_US" w:bidi="en_US"/>
        </w:rPr>
      </w:r>
      <w:r>
        <w:rPr>
          <w:lang w:val="en_US" w:bidi="en_US"/>
        </w:rPr>
        <w:t>As a statement or a command. For example:</w:t>
      </w:r>
      <w:r>
        <w:rPr>
          <w:lang w:val="en_US" w:bidi="en_US"/>
        </w:rPr>
        <w:t>You are wrong to call me “Lord, Lord” and not do what I say.</w:t>
      </w:r>
      <w:r>
        <w:rPr>
          <w:lang w:val="en_US" w:bidi="en_US"/>
        </w:rPr>
        <w:t>You should not call me “Lord, Lord” if you are not going to obey me.</w:t>
      </w:r>
    </w:p>
    <w:p>
      <w:pPr/>
      <w:r>
        <w:rPr>
          <w:lang w:val="en_US" w:bidi="en_US"/>
        </w:rPr>
      </w:r>
      <w:r>
        <w:rPr>
          <w:lang w:val="en_US" w:bidi="en_US"/>
        </w:rPr>
        <w:t>Translate this rebuke in a way that is natural in your language.</w:t>
      </w:r>
    </w:p>
    <w:p>
      <w:pPr>
        <w:pStyle w:val="Heading5"/>
      </w:pPr>
      <w:r>
        <w:rPr>
          <w:lang w:val="en_US" w:bidi="en_US"/>
        </w:rPr>
        <w:t>6:46a</w:t>
      </w:r>
    </w:p>
    <w:p>
      <w:pPr/>
      <w:r>
        <w:rPr>
          <w:lang w:val="en_US" w:bidi="en_US"/>
        </w:rPr>
      </w:r>
      <w:r>
        <w:rPr>
          <w:b/>
          <w:lang w:val="en_US" w:bidi="en_US"/>
        </w:rPr>
        <w:t>Why do you call Me ‘Lord, Lord,’</w:t>
      </w:r>
    </w:p>
    <w:p>
      <w:pPr>
        <w:pStyle w:val="ListBullet"/>
        <w:spacing w:line="240" w:lineRule="auto"/>
        <w:ind w:left="720"/>
      </w:pPr>
      <w:r>
        <w:rPr>
          <w:lang w:val="en_US" w:bidi="en_US"/>
        </w:rPr>
      </w:r>
      <w:r>
        <w:rPr>
          <w:lang w:val="en_US" w:bidi="en_US"/>
        </w:rPr>
        <w:t>¶ “Why do you</w:t>
      </w:r>
      <w:r>
        <w:rPr>
          <w:vertAlign w:val="superscript"/>
          <w:lang w:val="en_US" w:bidi="en_US"/>
        </w:rPr>
        <w:t>(plur)</w:t>
      </w:r>
      <w:r>
        <w:rPr>
          <w:lang w:val="en_US" w:bidi="en_US"/>
        </w:rPr>
        <w:t xml:space="preserve"> call me ‘Lord, Lord,’</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should not say that I am your Master</w:t>
      </w:r>
    </w:p>
    <w:p>
      <w:pPr/>
      <w:r>
        <w:rPr>
          <w:lang w:val="en_US" w:bidi="en_US"/>
        </w:rPr>
      </w:r>
      <w:r>
        <w:rPr>
          <w:b/>
          <w:lang w:val="en_US" w:bidi="en_US"/>
        </w:rPr>
        <w:t>call Me:</w:t>
      </w:r>
      <w:r>
        <w:rPr>
          <w:lang w:val="en_US" w:bidi="en_US"/>
        </w:rPr>
        <w:t xml:space="preserve"> The words </w:t>
      </w:r>
      <w:r>
        <w:rPr>
          <w:i/>
          <w:lang w:val="en_US" w:bidi="en_US"/>
        </w:rPr>
        <w:t>call Me</w:t>
      </w:r>
      <w:r>
        <w:rPr>
          <w:lang w:val="en_US" w:bidi="en_US"/>
        </w:rPr>
        <w:t xml:space="preserve"> indicate here that these people were using the title “Lord, Lord” to address Jesus. Another way to translate this is:</w:t>
      </w:r>
    </w:p>
    <w:p>
      <w:pPr/>
      <w:r>
        <w:rPr>
          <w:lang w:val="en_US" w:bidi="en_US"/>
        </w:rPr>
      </w:r>
      <w:r>
        <w:rPr>
          <w:lang w:val="en_US" w:bidi="en_US"/>
        </w:rPr>
        <w:t>keep on saying that I am your Lord (CEV)</w:t>
      </w:r>
    </w:p>
    <w:p>
      <w:pPr/>
      <w:r>
        <w:rPr>
          <w:lang w:val="en_US" w:bidi="en_US"/>
        </w:rPr>
      </w:r>
      <w:r>
        <w:rPr>
          <w:b/>
          <w:lang w:val="en_US" w:bidi="en_US"/>
        </w:rPr>
        <w:t>Lord, Lord:</w:t>
      </w:r>
      <w:r>
        <w:rPr>
          <w:lang w:val="en_US" w:bidi="en_US"/>
        </w:rPr>
        <w:t xml:space="preserve"> The Greek word that the BSB translates as </w:t>
      </w:r>
      <w:r>
        <w:rPr>
          <w:i/>
          <w:lang w:val="en_US" w:bidi="en_US"/>
        </w:rPr>
        <w:t>Lord</w:t>
      </w:r>
      <w:r>
        <w:rPr>
          <w:lang w:val="en_US" w:bidi="en_US"/>
        </w:rPr>
        <w:t xml:space="preserve"> means “master” or “one who has authority over others.” People used this word as a polite title when they spoke to an elder or someone in authority.</w:t>
      </w:r>
    </w:p>
    <w:p>
      <w:pPr/>
      <w:r>
        <w:rPr>
          <w:lang w:val="en_US" w:bidi="en_US"/>
        </w:rPr>
      </w:r>
      <w:r>
        <w:rPr>
          <w:lang w:val="en_US" w:bidi="en_US"/>
        </w:rPr>
        <w:t xml:space="preserve">In this context, Jesus taught that the people who were calling him </w:t>
      </w:r>
      <w:r>
        <w:rPr>
          <w:i/>
          <w:lang w:val="en_US" w:bidi="en_US"/>
        </w:rPr>
        <w:t>Lord</w:t>
      </w:r>
      <w:r>
        <w:rPr>
          <w:lang w:val="en_US" w:bidi="en_US"/>
        </w:rPr>
        <w:t xml:space="preserve"> acknowledged that he was their master. They were implying that they were following him as his disciples. Therefore, they knew that he had the right to tell them what to do and that they ought to obey him. Some other ways to translate this are:</w:t>
      </w:r>
    </w:p>
    <w:p>
      <w:pPr/>
      <w:r>
        <w:rPr>
          <w:lang w:val="en_US" w:bidi="en_US"/>
        </w:rPr>
      </w:r>
      <w:r>
        <w:rPr>
          <w:lang w:val="en_US" w:bidi="en_US"/>
        </w:rPr>
        <w:t>Master</w:t>
      </w:r>
    </w:p>
    <w:p>
      <w:pPr/>
      <w:r>
        <w:rPr>
          <w:lang w:val="en_US" w:bidi="en_US"/>
        </w:rPr>
      </w:r>
      <w:r>
        <w:rPr>
          <w:lang w:val="en_US" w:bidi="en_US"/>
        </w:rPr>
        <w:t>Leader</w:t>
      </w:r>
    </w:p>
    <w:p>
      <w:pPr/>
      <w:r>
        <w:rPr>
          <w:lang w:val="en_US" w:bidi="en_US"/>
        </w:rPr>
      </w:r>
      <w:r>
        <w:rPr>
          <w:lang w:val="en_US" w:bidi="en_US"/>
        </w:rPr>
        <w:t xml:space="preserve">The doubled form </w:t>
      </w:r>
      <w:r>
        <w:rPr>
          <w:i/>
          <w:lang w:val="en_US" w:bidi="en_US"/>
        </w:rPr>
        <w:t>Lord, Lord</w:t>
      </w:r>
      <w:r>
        <w:rPr>
          <w:lang w:val="en_US" w:bidi="en_US"/>
        </w:rPr>
        <w:t xml:space="preserve"> is an emphatic way to address someone. Here it emphasizes the honor and respect that the title </w:t>
      </w:r>
      <w:r>
        <w:rPr>
          <w:i/>
          <w:lang w:val="en_US" w:bidi="en_US"/>
        </w:rPr>
        <w:t>Lord</w:t>
      </w:r>
      <w:r>
        <w:rPr>
          <w:lang w:val="en_US" w:bidi="en_US"/>
        </w:rPr>
        <w:t xml:space="preserve"> implies. In some languages, this doubled form might imply a wrong meaning. For example, it could mean that the speaker is angry with the person he is addressing. If this doubled form does not show honor in your language, use the word </w:t>
      </w:r>
      <w:r>
        <w:rPr>
          <w:i/>
          <w:lang w:val="en_US" w:bidi="en_US"/>
        </w:rPr>
        <w:t>Lord</w:t>
      </w:r>
      <w:r>
        <w:rPr>
          <w:lang w:val="en_US" w:bidi="en_US"/>
        </w:rPr>
        <w:t xml:space="preserve"> once. Indicate the emphasis in another way. For example:</w:t>
      </w:r>
    </w:p>
    <w:p>
      <w:pPr/>
      <w:r>
        <w:rPr>
          <w:lang w:val="en_US" w:bidi="en_US"/>
        </w:rPr>
      </w:r>
      <w:r>
        <w:rPr>
          <w:lang w:val="en_US" w:bidi="en_US"/>
        </w:rPr>
        <w:t xml:space="preserve">Why do you </w:t>
      </w:r>
      <w:r>
        <w:rPr>
          <w:u w:val="single"/>
          <w:lang w:val="en_US" w:bidi="en_US"/>
        </w:rPr>
        <w:t>insist</w:t>
      </w:r>
      <w:r>
        <w:rPr>
          <w:lang w:val="en_US" w:bidi="en_US"/>
        </w:rPr>
        <w:t xml:space="preserve"> that I am your lord/master by calling me ‘Lord/Master,’ but…</w:t>
      </w:r>
    </w:p>
    <w:p>
      <w:pPr/>
      <w:r>
        <w:rPr>
          <w:lang w:val="en_US" w:bidi="en_US"/>
        </w:rPr>
      </w:r>
      <w:r>
        <w:rPr>
          <w:lang w:val="en_US" w:bidi="en_US"/>
        </w:rPr>
        <w:t>See Lord, Context 3, in the Glossary.</w:t>
      </w:r>
    </w:p>
    <w:p>
      <w:pPr>
        <w:pStyle w:val="Heading5"/>
      </w:pPr>
      <w:r>
        <w:rPr>
          <w:lang w:val="en_US" w:bidi="en_US"/>
        </w:rPr>
        <w:t>6:46b</w:t>
      </w:r>
    </w:p>
    <w:p>
      <w:pPr/>
      <w:r>
        <w:rPr>
          <w:lang w:val="en_US" w:bidi="en_US"/>
        </w:rPr>
      </w:r>
      <w:r>
        <w:rPr>
          <w:b/>
          <w:lang w:val="en_US" w:bidi="en_US"/>
        </w:rPr>
        <w:t>but not do what I say?</w:t>
      </w:r>
    </w:p>
    <w:p>
      <w:pPr>
        <w:pStyle w:val="ListBullet"/>
        <w:spacing w:line="240" w:lineRule="auto"/>
        <w:ind w:left="720"/>
      </w:pPr>
      <w:r>
        <w:rPr>
          <w:lang w:val="en_US" w:bidi="en_US"/>
        </w:rPr>
      </w:r>
      <w:r>
        <w:rPr>
          <w:lang w:val="en_US" w:bidi="en_US"/>
        </w:rPr>
        <w:t xml:space="preserve">and yet you do not do what I say </w:t>
      </w:r>
      <w:r>
        <w:rPr>
          <w:lang w:val="en_US" w:bidi="en_US"/>
        </w:rPr>
        <w:t>to do</w:t>
      </w:r>
      <w:r>
        <w:rPr>
          <w:lang w:val="en_US" w:bidi="en_US"/>
        </w:rPr>
        <w:t>?</w:t>
      </w:r>
    </w:p>
    <w:p>
      <w:pPr>
        <w:pStyle w:val="ListBullet"/>
        <w:spacing w:line="240" w:lineRule="auto"/>
        <w:ind w:left="720"/>
      </w:pPr>
      <w:r>
        <w:rPr>
          <w:lang w:val="en_US" w:bidi="en_US"/>
        </w:rPr>
      </w:r>
      <w:r>
        <w:rPr>
          <w:lang w:val="en_US" w:bidi="en_US"/>
        </w:rPr>
        <w:t>if you are not going to obey me.</w:t>
      </w:r>
    </w:p>
    <w:p>
      <w:pPr/>
      <w:r>
        <w:rPr>
          <w:lang w:val="en_US" w:bidi="en_US"/>
        </w:rPr>
      </w:r>
      <w:r>
        <w:rPr>
          <w:b/>
          <w:lang w:val="en_US" w:bidi="en_US"/>
        </w:rPr>
        <w:t>but not do what I say:</w:t>
      </w:r>
      <w:r>
        <w:rPr>
          <w:lang w:val="en_US" w:bidi="en_US"/>
        </w:rPr>
        <w:t xml:space="preserve"> This part of the verse contrasts with 6:46a. When people call Jesus their Lord, it implies that they will obey him. However, Jesus indicated that the people were not actually obeying him. Some ways to show this contrast are:</w:t>
      </w:r>
    </w:p>
    <w:p>
      <w:pPr/>
      <w:r>
        <w:rPr>
          <w:lang w:val="en_US" w:bidi="en_US"/>
        </w:rPr>
      </w:r>
      <w:r>
        <w:rPr>
          <w:u w:val="single"/>
          <w:lang w:val="en_US" w:bidi="en_US"/>
        </w:rPr>
        <w:t>and yet</w:t>
      </w:r>
      <w:r>
        <w:rPr>
          <w:lang w:val="en_US" w:bidi="en_US"/>
        </w:rPr>
        <w:t xml:space="preserve"> don’t do what I tell you (GNT)</w:t>
      </w:r>
    </w:p>
    <w:p>
      <w:pPr/>
      <w:r>
        <w:rPr>
          <w:lang w:val="en_US" w:bidi="en_US"/>
        </w:rPr>
      </w:r>
      <w:r>
        <w:rPr>
          <w:u w:val="single"/>
          <w:lang w:val="en_US" w:bidi="en_US"/>
        </w:rPr>
        <w:t>and in spite of that</w:t>
      </w:r>
      <w:r>
        <w:rPr>
          <w:lang w:val="en_US" w:bidi="en_US"/>
        </w:rPr>
        <w:t>, you do not do what I say</w:t>
      </w:r>
    </w:p>
    <w:p>
      <w:pPr/>
      <w:r>
        <w:rPr>
          <w:lang w:val="en_US" w:bidi="en_US"/>
        </w:rPr>
      </w:r>
      <w:r>
        <w:rPr>
          <w:b/>
          <w:lang w:val="en_US" w:bidi="en_US"/>
        </w:rPr>
        <w:t>what I say:</w:t>
      </w:r>
      <w:r>
        <w:rPr>
          <w:lang w:val="en_US" w:bidi="en_US"/>
        </w:rPr>
        <w:t xml:space="preserve"> Some other ways to translate the phrase </w:t>
      </w:r>
      <w:r>
        <w:rPr>
          <w:i/>
          <w:lang w:val="en_US" w:bidi="en_US"/>
        </w:rPr>
        <w:t>what I say</w:t>
      </w:r>
      <w:r>
        <w:rPr>
          <w:lang w:val="en_US" w:bidi="en_US"/>
        </w:rPr>
        <w:t xml:space="preserve"> are:</w:t>
      </w:r>
    </w:p>
    <w:p>
      <w:pPr/>
      <w:r>
        <w:rPr>
          <w:lang w:val="en_US" w:bidi="en_US"/>
        </w:rPr>
      </w:r>
      <w:r>
        <w:rPr>
          <w:lang w:val="en_US" w:bidi="en_US"/>
        </w:rPr>
        <w:t xml:space="preserve">what I say </w:t>
      </w:r>
      <w:r>
        <w:rPr>
          <w:u w:val="single"/>
          <w:lang w:val="en_US" w:bidi="en_US"/>
        </w:rPr>
        <w:t>that you should do</w:t>
      </w:r>
    </w:p>
    <w:p>
      <w:pPr/>
      <w:r>
        <w:rPr>
          <w:lang w:val="en_US" w:bidi="en_US"/>
        </w:rPr>
      </w:r>
      <w:r>
        <w:rPr>
          <w:lang w:val="en_US" w:bidi="en_US"/>
        </w:rPr>
        <w:t xml:space="preserve">what I command/tell you </w:t>
      </w:r>
      <w:r>
        <w:rPr>
          <w:u w:val="single"/>
          <w:lang w:val="en_US" w:bidi="en_US"/>
        </w:rPr>
        <w:t>to do</w:t>
      </w:r>
      <w:r>
        <w:rPr>
          <w:lang w:val="en_US" w:bidi="en_US"/>
        </w:rPr>
      </w:r>
      <w:r>
        <w:rPr>
          <w:lang w:val="en_US" w:bidi="en_US"/>
        </w:rPr>
      </w:r>
    </w:p>
    <w:p>
      <w:pPr/>
      <w:r>
        <w:rPr>
          <w:lang w:val="en_US" w:bidi="en_US"/>
        </w:rPr>
      </w:r>
    </w:p>
    <w:p>
      <w:pPr>
        <w:pStyle w:val="Heading2"/>
      </w:pPr>
      <w:r>
        <w:rPr>
          <w:lang w:val="en_US" w:bidi="en_US"/>
        </w:rPr>
        <w:t>Luke 6:47</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6:46–49</w:t>
      </w:r>
    </w:p>
    <w:p>
      <w:pPr/>
      <w:r>
        <w:rPr>
          <w:lang w:val="en_US" w:bidi="en_US"/>
        </w:rPr>
      </w:r>
      <w:r>
        <w:rPr>
          <w:lang w:val="en_US" w:bidi="en_US"/>
        </w:rPr>
        <w:t>Jesus concluded his sermon by challenging his listeners not only to hear his teaching but also to obey it. He spoke a parable that illustrated the wisdom of listening and obeying and the folly of listening without obeying.</w:t>
      </w:r>
    </w:p>
    <w:p>
      <w:pPr>
        <w:pStyle w:val="Heading5"/>
      </w:pPr>
      <w:r>
        <w:rPr>
          <w:lang w:val="en_US" w:bidi="en_US"/>
        </w:rPr>
        <w:t>6:47a–c</w:t>
      </w:r>
    </w:p>
    <w:p>
      <w:pPr/>
      <w:r>
        <w:rPr>
          <w:lang w:val="en_US" w:bidi="en_US"/>
        </w:rPr>
      </w:r>
      <w:r>
        <w:rPr>
          <w:lang w:val="en_US" w:bidi="en_US"/>
        </w:rPr>
        <w:t>In 6:47, the BSB has changed the order of the Greek clauses. The NET has kept the Greek order. Compare the order of the two versions below.</w:t>
      </w:r>
    </w:p>
    <w:p>
      <w:pPr/>
      <w:r>
        <w:rPr>
          <w:lang w:val="en_US" w:bidi="en_US"/>
        </w:rPr>
      </w:r>
      <w:r>
        <w:rPr>
          <w:vertAlign w:val="superscript"/>
          <w:lang w:val="en_US" w:bidi="en_US"/>
        </w:rPr>
        <w:t>47a</w:t>
      </w:r>
      <w:r>
        <w:rPr>
          <w:lang w:val="en_US" w:bidi="en_US"/>
        </w:rPr>
        <w:t xml:space="preserve">I will show you what he is like </w:t>
      </w:r>
      <w:r>
        <w:rPr>
          <w:vertAlign w:val="superscript"/>
          <w:lang w:val="en_US" w:bidi="en_US"/>
        </w:rPr>
        <w:t>47b</w:t>
      </w:r>
      <w:r>
        <w:rPr>
          <w:lang w:val="en_US" w:bidi="en_US"/>
        </w:rPr>
        <w:t xml:space="preserve">who comes to me and hears my words </w:t>
      </w:r>
      <w:r>
        <w:rPr>
          <w:vertAlign w:val="superscript"/>
          <w:lang w:val="en_US" w:bidi="en_US"/>
        </w:rPr>
        <w:t>47c</w:t>
      </w:r>
      <w:r>
        <w:rPr>
          <w:lang w:val="en_US" w:bidi="en_US"/>
        </w:rPr>
        <w:t>and puts them into practice. (NIV)</w:t>
      </w:r>
    </w:p>
    <w:p>
      <w:pPr/>
      <w:r>
        <w:rPr>
          <w:lang w:val="en_US" w:bidi="en_US"/>
        </w:rPr>
      </w:r>
      <w:r>
        <w:rPr>
          <w:vertAlign w:val="superscript"/>
          <w:lang w:val="en_US" w:bidi="en_US"/>
        </w:rPr>
        <w:t>47b</w:t>
      </w:r>
      <w:r>
        <w:rPr>
          <w:lang w:val="en_US" w:bidi="en_US"/>
        </w:rPr>
        <w:t xml:space="preserve">Everyone who comes to me and listens to my words </w:t>
      </w:r>
      <w:r>
        <w:rPr>
          <w:vertAlign w:val="superscript"/>
          <w:lang w:val="en_US" w:bidi="en_US"/>
        </w:rPr>
        <w:t>47c</w:t>
      </w:r>
      <w:r>
        <w:rPr>
          <w:lang w:val="en_US" w:bidi="en_US"/>
        </w:rPr>
        <w:t>and puts them into practice—</w:t>
      </w:r>
      <w:r>
        <w:rPr>
          <w:vertAlign w:val="superscript"/>
          <w:lang w:val="en_US" w:bidi="en_US"/>
        </w:rPr>
        <w:t>47a</w:t>
      </w:r>
      <w:r>
        <w:rPr>
          <w:lang w:val="en_US" w:bidi="en_US"/>
        </w:rPr>
        <w:t>I will show you what he is like: (NET)</w:t>
      </w:r>
    </w:p>
    <w:p>
      <w:pPr/>
      <w:r>
        <w:rPr>
          <w:lang w:val="en_US" w:bidi="en_US"/>
        </w:rPr>
      </w:r>
      <w:r>
        <w:rPr>
          <w:lang w:val="en_US" w:bidi="en_US"/>
        </w:rPr>
        <w:t>Consider which order is more natural in your language.</w:t>
      </w:r>
    </w:p>
    <w:p>
      <w:pPr>
        <w:pStyle w:val="Heading5"/>
      </w:pPr>
      <w:r>
        <w:rPr>
          <w:lang w:val="en_US" w:bidi="en_US"/>
        </w:rPr>
        <w:t>6:47a</w:t>
      </w:r>
    </w:p>
    <w:p>
      <w:pPr/>
      <w:r>
        <w:rPr>
          <w:lang w:val="en_US" w:bidi="en_US"/>
        </w:rPr>
      </w:r>
      <w:r>
        <w:rPr>
          <w:b/>
          <w:lang w:val="en_US" w:bidi="en_US"/>
        </w:rPr>
        <w:t>I will show you what he is like</w:t>
      </w:r>
    </w:p>
    <w:p>
      <w:pPr>
        <w:pStyle w:val="ListBullet"/>
        <w:spacing w:line="240" w:lineRule="auto"/>
        <w:ind w:left="720"/>
      </w:pPr>
      <w:r>
        <w:rPr>
          <w:lang w:val="en_US" w:bidi="en_US"/>
        </w:rPr>
      </w:r>
      <w:r>
        <w:rPr>
          <w:lang w:val="en_US" w:bidi="en_US"/>
        </w:rPr>
        <w:t>I will give you</w:t>
      </w:r>
      <w:r>
        <w:rPr>
          <w:vertAlign w:val="superscript"/>
          <w:lang w:val="en_US" w:bidi="en_US"/>
        </w:rPr>
        <w:t>(plur)</w:t>
      </w:r>
      <w:r>
        <w:rPr>
          <w:lang w:val="en_US" w:bidi="en_US"/>
        </w:rPr>
        <w:t xml:space="preserve"> an illustration/example of what the person is like</w:t>
      </w:r>
    </w:p>
    <w:p>
      <w:pPr>
        <w:pStyle w:val="ListBullet"/>
        <w:spacing w:line="240" w:lineRule="auto"/>
        <w:ind w:left="720"/>
      </w:pPr>
      <w:r>
        <w:rPr>
          <w:lang w:val="en_US" w:bidi="en_US"/>
        </w:rPr>
      </w:r>
      <w:r>
        <w:rPr>
          <w:lang w:val="en_US" w:bidi="en_US"/>
        </w:rPr>
        <w:t>This is what people are like</w:t>
      </w:r>
    </w:p>
    <w:p>
      <w:pPr/>
      <w:r>
        <w:rPr>
          <w:lang w:val="en_US" w:bidi="en_US"/>
        </w:rPr>
      </w:r>
      <w:r>
        <w:rPr>
          <w:b/>
          <w:lang w:val="en_US" w:bidi="en_US"/>
        </w:rPr>
        <w:t>I will show you:</w:t>
      </w:r>
      <w:r>
        <w:rPr>
          <w:lang w:val="en_US" w:bidi="en_US"/>
        </w:rPr>
        <w:t xml:space="preserve"> The phrase </w:t>
      </w:r>
      <w:r>
        <w:rPr>
          <w:i/>
          <w:lang w:val="en_US" w:bidi="en_US"/>
        </w:rPr>
        <w:t>I will show you</w:t>
      </w:r>
      <w:r>
        <w:rPr>
          <w:lang w:val="en_US" w:bidi="en_US"/>
        </w:rPr>
        <w:t xml:space="preserve"> introduces a short parable. Another way to translate this is:</w:t>
      </w:r>
    </w:p>
    <w:p>
      <w:pPr/>
      <w:r>
        <w:rPr>
          <w:lang w:val="en_US" w:bidi="en_US"/>
        </w:rPr>
      </w:r>
      <w:r>
        <w:rPr>
          <w:lang w:val="en_US" w:bidi="en_US"/>
        </w:rPr>
        <w:t>I will illustrate for you</w:t>
      </w:r>
    </w:p>
    <w:p>
      <w:pPr/>
      <w:r>
        <w:rPr>
          <w:lang w:val="en_US" w:bidi="en_US"/>
        </w:rPr>
      </w:r>
      <w:r>
        <w:rPr>
          <w:lang w:val="en_US" w:bidi="en_US"/>
        </w:rPr>
        <w:t xml:space="preserve">In some languages, a word such as </w:t>
      </w:r>
      <w:r>
        <w:rPr>
          <w:i/>
          <w:lang w:val="en_US" w:bidi="en_US"/>
        </w:rPr>
        <w:t>show</w:t>
      </w:r>
      <w:r>
        <w:rPr>
          <w:lang w:val="en_US" w:bidi="en_US"/>
        </w:rPr>
        <w:t xml:space="preserve"> may only be used when people actually see something with their eyes. If that is true in your language, you could say:</w:t>
      </w:r>
    </w:p>
    <w:p>
      <w:pPr/>
      <w:r>
        <w:rPr>
          <w:lang w:val="en_US" w:bidi="en_US"/>
        </w:rPr>
      </w:r>
      <w:r>
        <w:rPr>
          <w:lang w:val="en_US" w:bidi="en_US"/>
        </w:rPr>
        <w:t>I will explain to you</w:t>
      </w:r>
    </w:p>
    <w:p>
      <w:pPr/>
      <w:r>
        <w:rPr>
          <w:lang w:val="en_US" w:bidi="en_US"/>
        </w:rPr>
      </w:r>
      <w:r>
        <w:rPr>
          <w:lang w:val="en_US" w:bidi="en_US"/>
        </w:rPr>
        <w:t>I will tell you</w:t>
      </w:r>
    </w:p>
    <w:p>
      <w:pPr/>
      <w:r>
        <w:rPr>
          <w:lang w:val="en_US" w:bidi="en_US"/>
        </w:rPr>
      </w:r>
      <w:r>
        <w:rPr>
          <w:b/>
          <w:lang w:val="en_US" w:bidi="en_US"/>
        </w:rPr>
        <w:t>you:</w:t>
      </w:r>
      <w:r>
        <w:rPr>
          <w:lang w:val="en_US" w:bidi="en_US"/>
        </w:rPr>
        <w:t xml:space="preserve"> In Greek, the pronoun </w:t>
      </w:r>
      <w:r>
        <w:rPr>
          <w:i/>
          <w:lang w:val="en_US" w:bidi="en_US"/>
        </w:rPr>
        <w:t>you</w:t>
      </w:r>
      <w:r>
        <w:rPr>
          <w:lang w:val="en_US" w:bidi="en_US"/>
        </w:rPr>
        <w:t xml:space="preserve"> is plural.</w:t>
      </w:r>
    </w:p>
    <w:p>
      <w:pPr/>
      <w:r>
        <w:rPr>
          <w:lang w:val="en_US" w:bidi="en_US"/>
        </w:rPr>
      </w:r>
      <w:r>
        <w:rPr>
          <w:b/>
          <w:lang w:val="en_US" w:bidi="en_US"/>
        </w:rPr>
        <w:t>what he is like:</w:t>
      </w:r>
      <w:r>
        <w:rPr>
          <w:lang w:val="en_US" w:bidi="en_US"/>
        </w:rPr>
        <w:t xml:space="preserve"> The pronoun </w:t>
      </w:r>
      <w:r>
        <w:rPr>
          <w:i/>
          <w:lang w:val="en_US" w:bidi="en_US"/>
        </w:rPr>
        <w:t>he</w:t>
      </w:r>
      <w:r>
        <w:rPr>
          <w:lang w:val="en_US" w:bidi="en_US"/>
        </w:rPr>
        <w:t xml:space="preserve"> refers to anyone who came to Jesus and listened and obeyed. Some other ways to translate </w:t>
      </w:r>
      <w:r>
        <w:rPr>
          <w:i/>
          <w:lang w:val="en_US" w:bidi="en_US"/>
        </w:rPr>
        <w:t>he</w:t>
      </w:r>
      <w:r>
        <w:rPr>
          <w:lang w:val="en_US" w:bidi="en_US"/>
        </w:rPr>
        <w:t xml:space="preserve"> are:</w:t>
      </w:r>
    </w:p>
    <w:p>
      <w:pPr/>
      <w:r>
        <w:rPr>
          <w:lang w:val="en_US" w:bidi="en_US"/>
        </w:rPr>
      </w:r>
      <w:r>
        <w:rPr>
          <w:lang w:val="en_US" w:bidi="en_US"/>
        </w:rPr>
        <w:t>the person</w:t>
      </w:r>
    </w:p>
    <w:p>
      <w:pPr/>
      <w:r>
        <w:rPr>
          <w:lang w:val="en_US" w:bidi="en_US"/>
        </w:rPr>
      </w:r>
      <w:r>
        <w:rPr>
          <w:lang w:val="en_US" w:bidi="en_US"/>
        </w:rPr>
        <w:t>such a one</w:t>
      </w:r>
    </w:p>
    <w:p>
      <w:pPr/>
      <w:r>
        <w:rPr>
          <w:lang w:val="en_US" w:bidi="en_US"/>
        </w:rPr>
      </w:r>
      <w:r>
        <w:rPr>
          <w:lang w:val="en_US" w:bidi="en_US"/>
        </w:rPr>
        <w:t xml:space="preserve">The pronoun </w:t>
      </w:r>
      <w:r>
        <w:rPr>
          <w:i/>
          <w:lang w:val="en_US" w:bidi="en_US"/>
        </w:rPr>
        <w:t>he</w:t>
      </w:r>
      <w:r>
        <w:rPr>
          <w:lang w:val="en_US" w:bidi="en_US"/>
        </w:rPr>
        <w:t xml:space="preserve"> does not refer to the person in 6:46 who calls Jesus Lord but does not obey.</w:t>
      </w:r>
    </w:p>
    <w:p>
      <w:pPr>
        <w:pStyle w:val="Heading5"/>
      </w:pPr>
      <w:r>
        <w:rPr>
          <w:lang w:val="en_US" w:bidi="en_US"/>
        </w:rPr>
        <w:t>6:47b</w:t>
      </w:r>
    </w:p>
    <w:p>
      <w:pPr/>
      <w:r>
        <w:rPr>
          <w:lang w:val="en_US" w:bidi="en_US"/>
        </w:rPr>
      </w:r>
      <w:r>
        <w:rPr>
          <w:b/>
          <w:lang w:val="en_US" w:bidi="en_US"/>
        </w:rPr>
        <w:t>who comes to Me and hears My words</w:t>
      </w:r>
    </w:p>
    <w:p>
      <w:pPr>
        <w:pStyle w:val="ListBullet"/>
        <w:spacing w:line="240" w:lineRule="auto"/>
        <w:ind w:left="720"/>
      </w:pPr>
      <w:r>
        <w:rPr>
          <w:lang w:val="en_US" w:bidi="en_US"/>
        </w:rPr>
      </w:r>
      <w:r>
        <w:rPr>
          <w:lang w:val="en_US" w:bidi="en_US"/>
        </w:rPr>
        <w:t>who comes to me and listens to my words/instruction</w:t>
      </w:r>
    </w:p>
    <w:p>
      <w:pPr>
        <w:pStyle w:val="ListBullet"/>
        <w:spacing w:line="240" w:lineRule="auto"/>
        <w:ind w:left="720"/>
      </w:pPr>
      <w:r>
        <w:rPr>
          <w:lang w:val="en_US" w:bidi="en_US"/>
        </w:rPr>
      </w:r>
      <w:r>
        <w:rPr>
          <w:lang w:val="en_US" w:bidi="en_US"/>
        </w:rPr>
        <w:t>who come to me, hear what I tell them to do,</w:t>
      </w:r>
    </w:p>
    <w:p>
      <w:pPr/>
      <w:r>
        <w:rPr>
          <w:lang w:val="en_US" w:bidi="en_US"/>
        </w:rPr>
      </w:r>
      <w:r>
        <w:rPr>
          <w:b/>
          <w:lang w:val="en_US" w:bidi="en_US"/>
        </w:rPr>
        <w:t>who comes to Me and hears My words:</w:t>
      </w:r>
      <w:r>
        <w:rPr>
          <w:lang w:val="en_US" w:bidi="en_US"/>
        </w:rPr>
        <w:t xml:space="preserve"> Other ways to translate the phrase </w:t>
      </w:r>
      <w:r>
        <w:rPr>
          <w:i/>
          <w:lang w:val="en_US" w:bidi="en_US"/>
        </w:rPr>
        <w:t>hears My words</w:t>
      </w:r>
      <w:r>
        <w:rPr>
          <w:lang w:val="en_US" w:bidi="en_US"/>
        </w:rPr>
        <w:t xml:space="preserve"> are:</w:t>
      </w:r>
    </w:p>
    <w:p>
      <w:pPr/>
      <w:r>
        <w:rPr>
          <w:lang w:val="en_US" w:bidi="en_US"/>
        </w:rPr>
      </w:r>
      <w:r>
        <w:rPr>
          <w:lang w:val="en_US" w:bidi="en_US"/>
        </w:rPr>
        <w:t>hears what I say</w:t>
      </w:r>
    </w:p>
    <w:p>
      <w:pPr/>
      <w:r>
        <w:rPr>
          <w:lang w:val="en_US" w:bidi="en_US"/>
        </w:rPr>
      </w:r>
      <w:r>
        <w:rPr>
          <w:lang w:val="en_US" w:bidi="en_US"/>
        </w:rPr>
        <w:t>hears what I tell him to do</w:t>
      </w:r>
    </w:p>
    <w:p>
      <w:pPr>
        <w:pStyle w:val="Heading5"/>
      </w:pPr>
      <w:r>
        <w:rPr>
          <w:lang w:val="en_US" w:bidi="en_US"/>
        </w:rPr>
        <w:t>6:47c</w:t>
      </w:r>
    </w:p>
    <w:p>
      <w:pPr/>
      <w:r>
        <w:rPr>
          <w:lang w:val="en_US" w:bidi="en_US"/>
        </w:rPr>
      </w:r>
      <w:r>
        <w:rPr>
          <w:b/>
          <w:lang w:val="en_US" w:bidi="en_US"/>
        </w:rPr>
        <w:t>and acts on them:</w:t>
      </w:r>
    </w:p>
    <w:p>
      <w:pPr>
        <w:pStyle w:val="ListBullet"/>
        <w:spacing w:line="240" w:lineRule="auto"/>
        <w:ind w:left="720"/>
      </w:pPr>
      <w:r>
        <w:rPr>
          <w:lang w:val="en_US" w:bidi="en_US"/>
        </w:rPr>
      </w:r>
      <w:r>
        <w:rPr>
          <w:lang w:val="en_US" w:bidi="en_US"/>
        </w:rPr>
        <w:t>and does what I say.</w:t>
      </w:r>
    </w:p>
    <w:p>
      <w:pPr>
        <w:pStyle w:val="ListBullet"/>
        <w:spacing w:line="240" w:lineRule="auto"/>
        <w:ind w:left="720"/>
      </w:pPr>
      <w:r>
        <w:rPr>
          <w:lang w:val="en_US" w:bidi="en_US"/>
        </w:rPr>
      </w:r>
      <w:r>
        <w:rPr>
          <w:lang w:val="en_US" w:bidi="en_US"/>
        </w:rPr>
        <w:t>and obey:</w:t>
      </w:r>
    </w:p>
    <w:p>
      <w:pPr/>
      <w:r>
        <w:rPr>
          <w:lang w:val="en_US" w:bidi="en_US"/>
        </w:rPr>
      </w:r>
      <w:r>
        <w:rPr>
          <w:b/>
          <w:lang w:val="en_US" w:bidi="en_US"/>
        </w:rPr>
        <w:t>and acts on them:</w:t>
      </w:r>
      <w:r>
        <w:rPr>
          <w:lang w:val="en_US" w:bidi="en_US"/>
        </w:rPr>
        <w:t xml:space="preserve"> The Greek phrase that the BSB translates as </w:t>
      </w:r>
      <w:r>
        <w:rPr>
          <w:i/>
          <w:lang w:val="en_US" w:bidi="en_US"/>
        </w:rPr>
        <w:t>acts on them</w:t>
      </w:r>
      <w:r>
        <w:rPr>
          <w:lang w:val="en_US" w:bidi="en_US"/>
        </w:rPr>
        <w:t xml:space="preserve"> is literally “doing them.” It refers to doing what Jesus said a person should do, especially in this sermon (6:20–49). Some other ways to translate this are:</w:t>
      </w:r>
    </w:p>
    <w:p>
      <w:pPr/>
      <w:r>
        <w:rPr>
          <w:lang w:val="en_US" w:bidi="en_US"/>
        </w:rPr>
      </w:r>
      <w:r>
        <w:rPr>
          <w:lang w:val="en_US" w:bidi="en_US"/>
        </w:rPr>
        <w:t>does them (RSV)</w:t>
      </w:r>
    </w:p>
    <w:p>
      <w:pPr/>
      <w:r>
        <w:rPr>
          <w:lang w:val="en_US" w:bidi="en_US"/>
        </w:rPr>
      </w:r>
      <w:r>
        <w:rPr>
          <w:lang w:val="en_US" w:bidi="en_US"/>
        </w:rPr>
        <w:t>obeys them (GNT)</w:t>
      </w:r>
    </w:p>
    <w:p>
      <w:pPr/>
      <w:r>
        <w:rPr>
          <w:lang w:val="en_US" w:bidi="en_US"/>
        </w:rPr>
      </w:r>
      <w:r>
        <w:rPr>
          <w:lang w:val="en_US" w:bidi="en_US"/>
        </w:rPr>
        <w:t>obeys me (CEV)</w:t>
      </w:r>
      <w:r>
        <w:rPr>
          <w:lang w:val="en_US" w:bidi="en_US"/>
        </w:rPr>
      </w:r>
      <w:r>
        <w:rPr>
          <w:lang w:val="en_US" w:bidi="en_US"/>
        </w:rPr>
      </w:r>
    </w:p>
    <w:p>
      <w:pPr/>
      <w:r>
        <w:rPr>
          <w:lang w:val="en_US" w:bidi="en_US"/>
        </w:rPr>
      </w:r>
    </w:p>
    <w:p>
      <w:pPr>
        <w:pStyle w:val="Heading2"/>
      </w:pPr>
      <w:r>
        <w:rPr>
          <w:lang w:val="en_US" w:bidi="en_US"/>
        </w:rPr>
        <w:t>Luke 6:48</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6:46–49</w:t>
      </w:r>
    </w:p>
    <w:p>
      <w:pPr/>
      <w:r>
        <w:rPr>
          <w:lang w:val="en_US" w:bidi="en_US"/>
        </w:rPr>
      </w:r>
      <w:r>
        <w:rPr>
          <w:lang w:val="en_US" w:bidi="en_US"/>
        </w:rPr>
        <w:t>Jesus concluded his sermon by challenging his listeners not only to hear his teaching but also to obey it. He spoke a parable that illustrated the wisdom of listening and obeying and the folly of listening without obeying.</w:t>
      </w:r>
    </w:p>
    <w:p>
      <w:pPr>
        <w:pStyle w:val="Heading5"/>
      </w:pPr>
      <w:r>
        <w:rPr>
          <w:lang w:val="en_US" w:bidi="en_US"/>
        </w:rPr>
        <w:t>6:48a</w:t>
      </w:r>
    </w:p>
    <w:p>
      <w:pPr/>
      <w:r>
        <w:rPr>
          <w:lang w:val="en_US" w:bidi="en_US"/>
        </w:rPr>
      </w:r>
      <w:r>
        <w:rPr>
          <w:b/>
          <w:lang w:val="en_US" w:bidi="en_US"/>
        </w:rPr>
        <w:t>He is like a man building a house,</w:t>
      </w:r>
    </w:p>
    <w:p>
      <w:pPr>
        <w:pStyle w:val="ListBullet"/>
        <w:spacing w:line="240" w:lineRule="auto"/>
        <w:ind w:left="720"/>
      </w:pPr>
      <w:r>
        <w:rPr>
          <w:lang w:val="en_US" w:bidi="en_US"/>
        </w:rPr>
      </w:r>
      <w:r>
        <w:rPr>
          <w:lang w:val="en_US" w:bidi="en_US"/>
        </w:rPr>
        <w:t>He is like a man who built a house.</w:t>
      </w:r>
    </w:p>
    <w:p>
      <w:pPr>
        <w:pStyle w:val="ListBullet"/>
        <w:spacing w:line="240" w:lineRule="auto"/>
        <w:ind w:left="720"/>
      </w:pPr>
      <w:r>
        <w:rPr>
          <w:lang w:val="en_US" w:bidi="en_US"/>
        </w:rPr>
      </w:r>
      <w:r>
        <w:rPr>
          <w:lang w:val="en_US" w:bidi="en_US"/>
        </w:rPr>
        <w:t xml:space="preserve">They are like a man </w:t>
      </w:r>
      <w:r>
        <w:rPr>
          <w:lang w:val="en_US" w:bidi="en_US"/>
        </w:rPr>
        <w:t>who began</w:t>
      </w:r>
      <w:r>
        <w:rPr>
          <w:lang w:val="en_US" w:bidi="en_US"/>
        </w:rPr>
        <w:t xml:space="preserve"> to build a house,</w:t>
      </w:r>
    </w:p>
    <w:p>
      <w:pPr>
        <w:pStyle w:val="Heading5"/>
      </w:pPr>
      <w:r>
        <w:rPr>
          <w:lang w:val="en_US" w:bidi="en_US"/>
        </w:rPr>
        <w:t>6:48a–b</w:t>
      </w:r>
    </w:p>
    <w:p>
      <w:pPr/>
      <w:r>
        <w:rPr>
          <w:lang w:val="en_US" w:bidi="en_US"/>
        </w:rPr>
      </w:r>
      <w:r>
        <w:rPr>
          <w:b/>
          <w:lang w:val="en_US" w:bidi="en_US"/>
        </w:rPr>
        <w:t>He is like a man building a house, who dug down deep and laid his foundation on the rock:</w:t>
      </w:r>
      <w:r>
        <w:rPr>
          <w:lang w:val="en_US" w:bidi="en_US"/>
        </w:rPr>
        <w:t xml:space="preserve"> Jesus compared the person who obeys his teaching to a man who built a house on a solid foundation. The focus is on the foundation, not the house.</w:t>
      </w:r>
    </w:p>
    <w:p>
      <w:pPr/>
      <w:r>
        <w:rPr>
          <w:lang w:val="en_US" w:bidi="en_US"/>
        </w:rPr>
      </w:r>
      <w:r>
        <w:rPr>
          <w:lang w:val="en_US" w:bidi="en_US"/>
        </w:rPr>
        <w:t>In Israel, a builder who wanted a solid foundation for his house would dig into the soil until he reached a layer of rock. Then he would begin building the foundation directly on the rock.</w:t>
      </w:r>
    </w:p>
    <w:p>
      <w:pPr>
        <w:pStyle w:val="Heading5"/>
      </w:pPr>
      <w:r>
        <w:rPr>
          <w:lang w:val="en_US" w:bidi="en_US"/>
        </w:rPr>
        <w:t>6:48b</w:t>
      </w:r>
    </w:p>
    <w:p>
      <w:pPr/>
      <w:r>
        <w:rPr>
          <w:lang w:val="en_US" w:bidi="en_US"/>
        </w:rPr>
      </w:r>
      <w:r>
        <w:rPr>
          <w:b/>
          <w:lang w:val="en_US" w:bidi="en_US"/>
        </w:rPr>
        <w:t>who dug down deep and laid his foundation on the rock.</w:t>
      </w:r>
    </w:p>
    <w:p>
      <w:pPr>
        <w:pStyle w:val="ListBullet"/>
        <w:spacing w:line="240" w:lineRule="auto"/>
        <w:ind w:left="720"/>
      </w:pPr>
      <w:r>
        <w:rPr>
          <w:lang w:val="en_US" w:bidi="en_US"/>
        </w:rPr>
      </w:r>
      <w:r>
        <w:rPr>
          <w:lang w:val="en_US" w:bidi="en_US"/>
        </w:rPr>
        <w:t>He dug, and he dug deep/deeper, and built the foundation of the house on bedrock.</w:t>
      </w:r>
    </w:p>
    <w:p>
      <w:pPr>
        <w:pStyle w:val="ListBullet"/>
        <w:spacing w:line="240" w:lineRule="auto"/>
        <w:ind w:left="720"/>
      </w:pPr>
      <w:r>
        <w:rPr>
          <w:lang w:val="en_US" w:bidi="en_US"/>
        </w:rPr>
      </w:r>
      <w:r>
        <w:rPr>
          <w:lang w:val="en_US" w:bidi="en_US"/>
        </w:rPr>
        <w:t xml:space="preserve">who </w:t>
      </w:r>
      <w:r>
        <w:rPr>
          <w:lang w:val="en_US" w:bidi="en_US"/>
        </w:rPr>
        <w:t>first</w:t>
      </w:r>
      <w:r>
        <w:rPr>
          <w:lang w:val="en_US" w:bidi="en_US"/>
        </w:rPr>
        <w:t xml:space="preserve"> dug down deep into the ground until he reached the rock beneath and built the house on the rock.</w:t>
      </w:r>
    </w:p>
    <w:p>
      <w:pPr/>
      <w:r>
        <w:rPr>
          <w:lang w:val="en_US" w:bidi="en_US"/>
        </w:rPr>
      </w:r>
      <w:r>
        <w:rPr>
          <w:b/>
          <w:lang w:val="en_US" w:bidi="en_US"/>
        </w:rPr>
        <w:t>dug down deep:</w:t>
      </w:r>
      <w:r>
        <w:rPr>
          <w:lang w:val="en_US" w:bidi="en_US"/>
        </w:rPr>
        <w:t xml:space="preserve"> The Greek phrase that the BSB translates as </w:t>
      </w:r>
      <w:r>
        <w:rPr>
          <w:i/>
          <w:lang w:val="en_US" w:bidi="en_US"/>
        </w:rPr>
        <w:t>dug down deep</w:t>
      </w:r>
      <w:r>
        <w:rPr>
          <w:lang w:val="en_US" w:bidi="en_US"/>
        </w:rPr>
        <w:t xml:space="preserve"> consists of two verbs. It is literally “dug and went/made deep.” Most English versions, such as the BSB, NIV, and RSV, combine these two verbs into one. However, using two verbs gives greater emphasis on the effort the man gave to be sure his house had a strong foundation. For example:</w:t>
      </w:r>
    </w:p>
    <w:p>
      <w:pPr/>
      <w:r>
        <w:rPr>
          <w:lang w:val="en_US" w:bidi="en_US"/>
        </w:rPr>
      </w:r>
      <w:r>
        <w:rPr>
          <w:lang w:val="en_US" w:bidi="en_US"/>
        </w:rPr>
        <w:t>dug, and dug deep (NJB)</w:t>
      </w:r>
    </w:p>
    <w:p>
      <w:pPr/>
      <w:r>
        <w:rPr>
          <w:lang w:val="en_US" w:bidi="en_US"/>
        </w:rPr>
      </w:r>
      <w:r>
        <w:rPr>
          <w:lang w:val="en_US" w:bidi="en_US"/>
        </w:rPr>
        <w:t>Use the word or phrase that is natural in your language for digging a long way down into the earth.</w:t>
      </w:r>
    </w:p>
    <w:p>
      <w:pPr/>
      <w:r>
        <w:rPr>
          <w:lang w:val="en_US" w:bidi="en_US"/>
        </w:rPr>
      </w:r>
      <w:r>
        <w:rPr>
          <w:b/>
          <w:lang w:val="en_US" w:bidi="en_US"/>
        </w:rPr>
        <w:t>laid his foundation:</w:t>
      </w:r>
      <w:r>
        <w:rPr>
          <w:lang w:val="en_US" w:bidi="en_US"/>
        </w:rPr>
        <w:t xml:space="preserve"> The Greek phrase that the BSB translates as </w:t>
      </w:r>
      <w:r>
        <w:rPr>
          <w:i/>
          <w:lang w:val="en_US" w:bidi="en_US"/>
        </w:rPr>
        <w:t>laid his foundation</w:t>
      </w:r>
      <w:r>
        <w:rPr>
          <w:lang w:val="en_US" w:bidi="en_US"/>
        </w:rPr>
        <w:t xml:space="preserve"> is literally “placed/put the foundation.” In English, building a foundation is called “laying a foundation.” The </w:t>
      </w:r>
      <w:r>
        <w:rPr>
          <w:i/>
          <w:lang w:val="en_US" w:bidi="en_US"/>
        </w:rPr>
        <w:t>foundation</w:t>
      </w:r>
      <w:r>
        <w:rPr>
          <w:lang w:val="en_US" w:bidi="en_US"/>
        </w:rPr>
        <w:t xml:space="preserve"> supports the house. It could also be called the “base” or the “support” of the house.</w:t>
      </w:r>
    </w:p>
    <w:p>
      <w:pPr/>
      <w:r>
        <w:rPr>
          <w:lang w:val="en_US" w:bidi="en_US"/>
        </w:rPr>
      </w:r>
      <w:r>
        <w:rPr>
          <w:lang w:val="en_US" w:bidi="en_US"/>
        </w:rPr>
        <w:t>If building methods are different in your region, you could adapt this parable to fit your culture. Describe here what a man would do to build a house that was sturdy and strong. For example, where houses are built of wood and supported by posts, you could say:</w:t>
      </w:r>
    </w:p>
    <w:p>
      <w:pPr/>
      <w:r>
        <w:rPr>
          <w:lang w:val="en_US" w:bidi="en_US"/>
        </w:rPr>
      </w:r>
      <w:r>
        <w:rPr>
          <w:lang w:val="en_US" w:bidi="en_US"/>
        </w:rPr>
        <w:t>he dug deep holes for his posts</w:t>
      </w:r>
    </w:p>
    <w:p>
      <w:pPr/>
      <w:r>
        <w:rPr>
          <w:lang w:val="en_US" w:bidi="en_US"/>
        </w:rPr>
      </w:r>
      <w:r>
        <w:rPr>
          <w:b/>
          <w:lang w:val="en_US" w:bidi="en_US"/>
        </w:rPr>
        <w:t>the rock:</w:t>
      </w:r>
      <w:r>
        <w:rPr>
          <w:lang w:val="en_US" w:bidi="en_US"/>
        </w:rPr>
        <w:t xml:space="preserve"> The Greek word that the BSB translates as </w:t>
      </w:r>
      <w:r>
        <w:rPr>
          <w:i/>
          <w:lang w:val="en_US" w:bidi="en_US"/>
        </w:rPr>
        <w:t>rock</w:t>
      </w:r>
      <w:r>
        <w:rPr>
          <w:lang w:val="en_US" w:bidi="en_US"/>
        </w:rPr>
        <w:t xml:space="preserve"> means “bedrock.” It does not refer to loose stones on top of the ground. It refers to a solid rock mass or layer under the surface of the ground. This layer of bedrock varies in depth. It could be as little as twenty centimeters from the surface, or it could be several meters below it. This explains the need to dig </w:t>
      </w:r>
      <w:r>
        <w:rPr>
          <w:i/>
          <w:lang w:val="en_US" w:bidi="en_US"/>
        </w:rPr>
        <w:t>deep</w:t>
      </w:r>
      <w:r>
        <w:rPr>
          <w:lang w:val="en_US" w:bidi="en_US"/>
        </w:rPr>
        <w:t>.</w:t>
      </w:r>
    </w:p>
    <w:p>
      <w:pPr>
        <w:pStyle w:val="Heading5"/>
      </w:pPr>
      <w:r>
        <w:rPr>
          <w:lang w:val="en_US" w:bidi="en_US"/>
        </w:rPr>
        <w:t>6:48c</w:t>
      </w:r>
    </w:p>
    <w:p>
      <w:pPr/>
      <w:r>
        <w:rPr>
          <w:lang w:val="en_US" w:bidi="en_US"/>
        </w:rPr>
      </w:r>
      <w:r>
        <w:rPr>
          <w:b/>
          <w:lang w:val="en_US" w:bidi="en_US"/>
        </w:rPr>
        <w:t>When the flood came, the torrent crashed against that house</w:t>
      </w:r>
    </w:p>
    <w:p>
      <w:pPr>
        <w:pStyle w:val="ListBullet"/>
        <w:spacing w:line="240" w:lineRule="auto"/>
        <w:ind w:left="720"/>
      </w:pPr>
      <w:r>
        <w:rPr>
          <w:lang w:val="en_US" w:bidi="en_US"/>
        </w:rPr>
      </w:r>
      <w:r>
        <w:rPr>
          <w:lang w:val="en_US" w:bidi="en_US"/>
        </w:rPr>
        <w:t>When it rained hard, the water from the river burst against the house.</w:t>
      </w:r>
    </w:p>
    <w:p>
      <w:pPr>
        <w:pStyle w:val="ListBullet"/>
        <w:spacing w:line="240" w:lineRule="auto"/>
        <w:ind w:left="720"/>
      </w:pPr>
      <w:r>
        <w:rPr>
          <w:lang w:val="en_US" w:bidi="en_US"/>
        </w:rPr>
      </w:r>
      <w:r>
        <w:rPr>
          <w:lang w:val="en_US" w:bidi="en_US"/>
        </w:rPr>
        <w:t xml:space="preserve">When the </w:t>
      </w:r>
      <w:r>
        <w:rPr>
          <w:lang w:val="en_US" w:bidi="en_US"/>
        </w:rPr>
        <w:t>nearby</w:t>
      </w:r>
      <w:r>
        <w:rPr>
          <w:lang w:val="en_US" w:bidi="en_US"/>
        </w:rPr>
        <w:t xml:space="preserve"> river overflowed its banks, the waters smashed against his house,</w:t>
      </w:r>
    </w:p>
    <w:p>
      <w:pPr/>
      <w:r>
        <w:rPr>
          <w:lang w:val="en_US" w:bidi="en_US"/>
        </w:rPr>
      </w:r>
      <w:r>
        <w:rPr>
          <w:b/>
          <w:lang w:val="en_US" w:bidi="en_US"/>
        </w:rPr>
        <w:t>When the flood came, the torrent crashed against that house:</w:t>
      </w:r>
      <w:r>
        <w:rPr>
          <w:lang w:val="en_US" w:bidi="en_US"/>
        </w:rPr>
        <w:t xml:space="preserve"> The Greek word that the BSB translates as </w:t>
      </w:r>
      <w:r>
        <w:rPr>
          <w:i/>
          <w:lang w:val="en_US" w:bidi="en_US"/>
        </w:rPr>
        <w:t>flood</w:t>
      </w:r>
      <w:r>
        <w:rPr>
          <w:lang w:val="en_US" w:bidi="en_US"/>
        </w:rPr>
        <w:t xml:space="preserve"> refers to high water. A flood occurs when a river overflows its banks because of heavy rain. Apparently the man had built his house near a river. Some other ways to translate this are:</w:t>
      </w:r>
    </w:p>
    <w:p>
      <w:pPr/>
      <w:r>
        <w:rPr>
          <w:lang w:val="en_US" w:bidi="en_US"/>
        </w:rPr>
      </w:r>
      <w:r>
        <w:rPr>
          <w:lang w:val="en_US" w:bidi="en_US"/>
        </w:rPr>
        <w:t>When the flood came and the river rushed against the house (CEV)</w:t>
      </w:r>
    </w:p>
    <w:p>
      <w:pPr/>
      <w:r>
        <w:rPr>
          <w:lang w:val="en_US" w:bidi="en_US"/>
        </w:rPr>
      </w:r>
      <w:r>
        <w:rPr>
          <w:lang w:val="en_US" w:bidi="en_US"/>
        </w:rPr>
        <w:t>The river flooded over and hit that house (GNT)</w:t>
      </w:r>
    </w:p>
    <w:p>
      <w:pPr/>
      <w:r>
        <w:rPr>
          <w:lang w:val="en_US" w:bidi="en_US"/>
        </w:rPr>
      </w:r>
      <w:r>
        <w:rPr>
          <w:lang w:val="en_US" w:bidi="en_US"/>
        </w:rPr>
        <w:t>When the river was in flood, it burst upon that house (REB)</w:t>
      </w:r>
    </w:p>
    <w:p>
      <w:pPr/>
      <w:r>
        <w:rPr>
          <w:lang w:val="en_US" w:bidi="en_US"/>
        </w:rPr>
      </w:r>
      <w:r>
        <w:rPr>
          <w:b/>
          <w:lang w:val="en_US" w:bidi="en_US"/>
        </w:rPr>
        <w:t>the torrent:</w:t>
      </w:r>
      <w:r>
        <w:rPr>
          <w:lang w:val="en_US" w:bidi="en_US"/>
        </w:rPr>
        <w:t xml:space="preserve"> The Greek word that the BSB translates as </w:t>
      </w:r>
      <w:r>
        <w:rPr>
          <w:i/>
          <w:lang w:val="en_US" w:bidi="en_US"/>
        </w:rPr>
        <w:t>torrent</w:t>
      </w:r>
      <w:r>
        <w:rPr>
          <w:lang w:val="en_US" w:bidi="en_US"/>
        </w:rPr>
        <w:t xml:space="preserve"> implies in this context a strong, fast-flowing stream of water. For example:</w:t>
      </w:r>
    </w:p>
    <w:p>
      <w:pPr/>
      <w:r>
        <w:rPr>
          <w:lang w:val="en_US" w:bidi="en_US"/>
        </w:rPr>
      </w:r>
      <w:r>
        <w:rPr>
          <w:lang w:val="en_US" w:bidi="en_US"/>
        </w:rPr>
        <w:t>stream (ESV)</w:t>
      </w:r>
    </w:p>
    <w:p>
      <w:pPr/>
      <w:r>
        <w:rPr>
          <w:lang w:val="en_US" w:bidi="en_US"/>
        </w:rPr>
      </w:r>
      <w:r>
        <w:rPr>
          <w:b/>
          <w:lang w:val="en_US" w:bidi="en_US"/>
        </w:rPr>
        <w:t>crashed against that house:</w:t>
      </w:r>
      <w:r>
        <w:rPr>
          <w:lang w:val="en_US" w:bidi="en_US"/>
        </w:rPr>
        <w:t xml:space="preserve"> The Greek word that the BSB translates as </w:t>
      </w:r>
      <w:r>
        <w:rPr>
          <w:i/>
          <w:lang w:val="en_US" w:bidi="en_US"/>
        </w:rPr>
        <w:t>crashed against</w:t>
      </w:r>
      <w:r>
        <w:rPr>
          <w:lang w:val="en_US" w:bidi="en_US"/>
        </w:rPr>
        <w:t xml:space="preserve"> describes a great force of water striking against the house. This is a violent and vivid image. Some other ways to translate this are:</w:t>
      </w:r>
    </w:p>
    <w:p>
      <w:pPr/>
      <w:r>
        <w:rPr>
          <w:lang w:val="en_US" w:bidi="en_US"/>
        </w:rPr>
      </w:r>
      <w:r>
        <w:rPr>
          <w:lang w:val="en_US" w:bidi="en_US"/>
        </w:rPr>
        <w:t>rushed against (CEV)</w:t>
      </w:r>
    </w:p>
    <w:p>
      <w:pPr/>
      <w:r>
        <w:rPr>
          <w:lang w:val="en_US" w:bidi="en_US"/>
        </w:rPr>
      </w:r>
      <w:r>
        <w:rPr>
          <w:lang w:val="en_US" w:bidi="en_US"/>
        </w:rPr>
        <w:t>break against (NLT)</w:t>
      </w:r>
    </w:p>
    <w:p>
      <w:pPr/>
      <w:r>
        <w:rPr>
          <w:lang w:val="en_US" w:bidi="en_US"/>
        </w:rPr>
      </w:r>
      <w:r>
        <w:rPr>
          <w:lang w:val="en_US" w:bidi="en_US"/>
        </w:rPr>
        <w:t>pushed against (GW)</w:t>
      </w:r>
    </w:p>
    <w:p>
      <w:pPr/>
      <w:r>
        <w:rPr>
          <w:lang w:val="en_US" w:bidi="en_US"/>
        </w:rPr>
      </w:r>
      <w:r>
        <w:rPr>
          <w:lang w:val="en_US" w:bidi="en_US"/>
        </w:rPr>
        <w:t>tried to wash the house away (NCV)</w:t>
      </w:r>
    </w:p>
    <w:p>
      <w:pPr>
        <w:pStyle w:val="Heading5"/>
      </w:pPr>
      <w:r>
        <w:rPr>
          <w:lang w:val="en_US" w:bidi="en_US"/>
        </w:rPr>
        <w:t>6:48d</w:t>
      </w:r>
    </w:p>
    <w:p>
      <w:pPr/>
      <w:r>
        <w:rPr>
          <w:lang w:val="en_US" w:bidi="en_US"/>
        </w:rPr>
      </w:r>
      <w:r>
        <w:rPr>
          <w:b/>
          <w:lang w:val="en_US" w:bidi="en_US"/>
        </w:rPr>
        <w:t>but could not shake it, because it was well built.</w:t>
      </w:r>
    </w:p>
    <w:p>
      <w:pPr>
        <w:pStyle w:val="ListBullet"/>
        <w:spacing w:line="240" w:lineRule="auto"/>
        <w:ind w:left="720"/>
      </w:pPr>
      <w:r>
        <w:rPr>
          <w:lang w:val="en_US" w:bidi="en_US"/>
        </w:rPr>
      </w:r>
      <w:r>
        <w:rPr>
          <w:lang w:val="en_US" w:bidi="en_US"/>
        </w:rPr>
        <w:t>Even so, it was not damaged, because he had built the house well.</w:t>
      </w:r>
    </w:p>
    <w:p>
      <w:pPr>
        <w:pStyle w:val="ListBullet"/>
        <w:spacing w:line="240" w:lineRule="auto"/>
        <w:ind w:left="720"/>
      </w:pPr>
      <w:r>
        <w:rPr>
          <w:lang w:val="en_US" w:bidi="en_US"/>
        </w:rPr>
      </w:r>
      <w:r>
        <w:rPr>
          <w:lang w:val="en_US" w:bidi="en_US"/>
        </w:rPr>
        <w:t>but could not cause it to fall, because he had built a sturdy/strong house.</w:t>
      </w:r>
    </w:p>
    <w:p>
      <w:pPr/>
      <w:r>
        <w:rPr>
          <w:lang w:val="en_US" w:bidi="en_US"/>
        </w:rPr>
      </w:r>
      <w:r>
        <w:rPr>
          <w:b/>
          <w:lang w:val="en_US" w:bidi="en_US"/>
        </w:rPr>
        <w:t>but:</w:t>
      </w:r>
      <w:r>
        <w:rPr>
          <w:lang w:val="en_US" w:bidi="en_US"/>
        </w:rPr>
        <w:t xml:space="preserve"> The Greek conjunction that the BSB here translates as </w:t>
      </w:r>
      <w:r>
        <w:rPr>
          <w:i/>
          <w:lang w:val="en_US" w:bidi="en_US"/>
        </w:rPr>
        <w:t>but</w:t>
      </w:r>
      <w:r>
        <w:rPr>
          <w:lang w:val="en_US" w:bidi="en_US"/>
        </w:rPr>
        <w:t xml:space="preserve"> is often translated as “and,” and several English versions translate it that way. Here this conjunction introduces something unexpected. Despite the power of the flood waters, the house was not destroyed. Some other ways to translate this are:</w:t>
      </w:r>
    </w:p>
    <w:p>
      <w:pPr/>
      <w:r>
        <w:rPr>
          <w:lang w:val="en_US" w:bidi="en_US"/>
        </w:rPr>
      </w:r>
      <w:r>
        <w:rPr>
          <w:lang w:val="en_US" w:bidi="en_US"/>
        </w:rPr>
        <w:t>in spite of that</w:t>
      </w:r>
    </w:p>
    <w:p>
      <w:pPr/>
      <w:r>
        <w:rPr>
          <w:lang w:val="en_US" w:bidi="en_US"/>
        </w:rPr>
      </w:r>
      <w:r>
        <w:rPr>
          <w:lang w:val="en_US" w:bidi="en_US"/>
        </w:rPr>
        <w:t>however</w:t>
      </w:r>
    </w:p>
    <w:p>
      <w:pPr/>
      <w:r>
        <w:rPr>
          <w:lang w:val="en_US" w:bidi="en_US"/>
        </w:rPr>
      </w:r>
      <w:r>
        <w:rPr>
          <w:lang w:val="en_US" w:bidi="en_US"/>
        </w:rPr>
        <w:t>nevertheless</w:t>
      </w:r>
    </w:p>
    <w:p>
      <w:pPr/>
      <w:r>
        <w:rPr>
          <w:lang w:val="en_US" w:bidi="en_US"/>
        </w:rPr>
      </w:r>
      <w:r>
        <w:rPr>
          <w:b/>
          <w:lang w:val="en_US" w:bidi="en_US"/>
        </w:rPr>
        <w:t>could not shake it:</w:t>
      </w:r>
      <w:r>
        <w:rPr>
          <w:lang w:val="en_US" w:bidi="en_US"/>
        </w:rPr>
        <w:t xml:space="preserve"> The Greek phrase that the BSB translates as </w:t>
      </w:r>
      <w:r>
        <w:rPr>
          <w:i/>
          <w:lang w:val="en_US" w:bidi="en_US"/>
        </w:rPr>
        <w:t>could not shake it</w:t>
      </w:r>
      <w:r>
        <w:rPr>
          <w:lang w:val="en_US" w:bidi="en_US"/>
        </w:rPr>
        <w:t xml:space="preserve"> means “was not able to move it” or “was not strong enough to cause it to fall.” Some other ways to translate this are:</w:t>
      </w:r>
    </w:p>
    <w:p>
      <w:pPr/>
      <w:r>
        <w:rPr>
          <w:lang w:val="en_US" w:bidi="en_US"/>
        </w:rPr>
      </w:r>
      <w:r>
        <w:rPr>
          <w:lang w:val="en_US" w:bidi="en_US"/>
        </w:rPr>
        <w:t>it could not shift it (JBP)</w:t>
      </w:r>
    </w:p>
    <w:p>
      <w:pPr/>
      <w:r>
        <w:rPr>
          <w:lang w:val="en_US" w:bidi="en_US"/>
        </w:rPr>
      </w:r>
      <w:r>
        <w:rPr>
          <w:lang w:val="en_US" w:bidi="en_US"/>
        </w:rPr>
        <w:t>it stands firm (NLT)</w:t>
      </w:r>
    </w:p>
    <w:p>
      <w:pPr/>
      <w:r>
        <w:rPr>
          <w:lang w:val="en_US" w:bidi="en_US"/>
        </w:rPr>
      </w:r>
      <w:r>
        <w:rPr>
          <w:b/>
          <w:lang w:val="en_US" w:bidi="en_US"/>
        </w:rPr>
        <w:t>because it was well built:</w:t>
      </w:r>
      <w:r>
        <w:rPr>
          <w:lang w:val="en_US" w:bidi="en_US"/>
        </w:rPr>
        <w:t xml:space="preserve"> </w:t>
      </w:r>
      <w:r>
        <w:rPr>
          <w:lang w:val="en_US" w:bidi="en_US"/>
        </w:rPr>
        <w:t>There is a textual issue here. Instead of the clause “because it was well built,” some Greek manuscripts have “because it was founded upon the rock.” The KJV follows the manuscripts that have “because it was founded upon the rock.” It is recommended that you follow the earliest manuscripts, as do the majority of English versions, which say “because it was well built.”</w:t>
      </w:r>
      <w:r>
        <w:rPr>
          <w:lang w:val="en_US" w:bidi="en_US"/>
        </w:rPr>
        <w:t xml:space="preserve"> The clause </w:t>
      </w:r>
      <w:r>
        <w:rPr>
          <w:i/>
          <w:lang w:val="en_US" w:bidi="en_US"/>
        </w:rPr>
        <w:t>because it was well built</w:t>
      </w:r>
      <w:r>
        <w:rPr>
          <w:lang w:val="en_US" w:bidi="en_US"/>
        </w:rPr>
        <w:t xml:space="preserve"> states the reason why the floodwaters could not destroy the house.</w:t>
      </w:r>
    </w:p>
    <w:p>
      <w:pPr/>
      <w:r>
        <w:rPr>
          <w:lang w:val="en_US" w:bidi="en_US"/>
        </w:rPr>
      </w:r>
      <w:r>
        <w:rPr>
          <w:lang w:val="en_US" w:bidi="en_US"/>
        </w:rPr>
        <w:t>It is a passive clause. In some languages, it may be natural to use an active verb and supply a subject:</w:t>
      </w:r>
    </w:p>
    <w:p>
      <w:pPr/>
      <w:r>
        <w:rPr>
          <w:lang w:val="en_US" w:bidi="en_US"/>
        </w:rPr>
      </w:r>
      <w:r>
        <w:rPr>
          <w:lang w:val="en_US" w:bidi="en_US"/>
        </w:rPr>
        <w:t xml:space="preserve">because </w:t>
      </w:r>
      <w:r>
        <w:rPr>
          <w:lang w:val="en_US" w:bidi="en_US"/>
        </w:rPr>
        <w:t>the man</w:t>
      </w:r>
      <w:r>
        <w:rPr>
          <w:lang w:val="en_US" w:bidi="en_US"/>
        </w:rPr>
        <w:t xml:space="preserve"> built it well</w:t>
      </w:r>
      <w:r>
        <w:rPr>
          <w:lang w:val="en_US" w:bidi="en_US"/>
        </w:rPr>
      </w:r>
      <w:r>
        <w:rPr>
          <w:lang w:val="en_US" w:bidi="en_US"/>
        </w:rPr>
      </w:r>
    </w:p>
    <w:p>
      <w:pPr/>
      <w:r>
        <w:rPr>
          <w:lang w:val="en_US" w:bidi="en_US"/>
        </w:rPr>
      </w:r>
    </w:p>
    <w:p>
      <w:pPr>
        <w:pStyle w:val="Heading2"/>
      </w:pPr>
      <w:r>
        <w:rPr>
          <w:lang w:val="en_US" w:bidi="en_US"/>
        </w:rPr>
        <w:t>Luke 6:49</w:t>
      </w:r>
      <w:r>
        <w:rPr>
          <w:lang w:val="en_US" w:bidi="en_US"/>
        </w:rPr>
      </w:r>
    </w:p>
    <w:p>
      <w:pPr>
        <w:pStyle w:val="Heading4"/>
      </w:pPr>
      <w:r>
        <w:rPr>
          <w:lang w:val="en_US" w:bidi="en_US"/>
        </w:rPr>
        <w:t>Section 6:17–49: Jesus taught people how to be his disciples</w:t>
      </w:r>
    </w:p>
    <w:p>
      <w:pPr/>
      <w:r>
        <w:rPr>
          <w:lang w:val="en_US" w:bidi="en_US"/>
        </w:rPr>
      </w:r>
      <w:r>
        <w:rPr>
          <w:lang w:val="en_US" w:bidi="en_US"/>
        </w:rPr>
        <w:t>In this section, Jesus spoke about how his true disciples should think and act. He spoke about this immediately after he had chosen twelve of his disciples to be his apostles. Jesus said many things about this topic in his speech, so that people have often called this particular speech of Jesus a “sermon.”</w:t>
      </w:r>
    </w:p>
    <w:p>
      <w:pPr/>
      <w:r>
        <w:rPr>
          <w:lang w:val="en_US" w:bidi="en_US"/>
        </w:rPr>
      </w:r>
      <w:r>
        <w:rPr>
          <w:lang w:val="en_US" w:bidi="en_US"/>
        </w:rPr>
        <w:t>In this sermon, Jesus asked those who heard him to be different from other people in the world and to think differently. He encouraged his disciples to obey his authority and live as people of God. They should be generous and merciful even to their enemies, as God is generous to everyone. Jesus assured his disciples that they would be blessed and rewarded for their obedience and for suffering for him. He concluded his speech by telling parables to motivate his disciples to obey his teaching.</w:t>
      </w:r>
    </w:p>
    <w:p>
      <w:pPr/>
      <w:r>
        <w:rPr>
          <w:lang w:val="en_US" w:bidi="en_US"/>
        </w:rPr>
      </w:r>
      <w:r>
        <w:rPr>
          <w:lang w:val="en_US" w:bidi="en_US"/>
        </w:rPr>
        <w:t>Another possible heading for this section is:</w:t>
      </w:r>
    </w:p>
    <w:p>
      <w:pPr/>
      <w:r>
        <w:rPr>
          <w:lang w:val="en_US" w:bidi="en_US"/>
        </w:rPr>
      </w:r>
      <w:r>
        <w:rPr>
          <w:lang w:val="en_US" w:bidi="en_US"/>
        </w:rPr>
        <w:t>The Sermon on the Plain (NET)</w:t>
      </w:r>
    </w:p>
    <w:p>
      <w:pPr/>
      <w:r>
        <w:rPr>
          <w:lang w:val="en_US" w:bidi="en_US"/>
        </w:rPr>
      </w:r>
      <w:r>
        <w:rPr>
          <w:lang w:val="en_US" w:bidi="en_US"/>
        </w:rPr>
        <w:t>Some English versions divide 6:17–49 into several sections. Here is one way that might be done:</w:t>
      </w:r>
    </w:p>
    <w:p>
      <w:pPr/>
      <w:r>
        <w:rPr>
          <w:lang w:val="en_US" w:bidi="en_US"/>
        </w:rPr>
      </w:r>
      <w:r>
        <w:rPr>
          <w:lang w:val="en_US" w:bidi="en_US"/>
        </w:rPr>
        <w:t>6:17–26 Blessings and woes</w:t>
      </w:r>
    </w:p>
    <w:p>
      <w:pPr/>
      <w:r>
        <w:rPr>
          <w:lang w:val="en_US" w:bidi="en_US"/>
        </w:rPr>
      </w:r>
      <w:r>
        <w:rPr>
          <w:lang w:val="en_US" w:bidi="en_US"/>
        </w:rPr>
        <w:t>6:27–36 Love your enemies</w:t>
      </w:r>
    </w:p>
    <w:p>
      <w:pPr/>
      <w:r>
        <w:rPr>
          <w:lang w:val="en_US" w:bidi="en_US"/>
        </w:rPr>
      </w:r>
      <w:r>
        <w:rPr>
          <w:lang w:val="en_US" w:bidi="en_US"/>
        </w:rPr>
        <w:t>6:37–42 Do not judge</w:t>
      </w:r>
    </w:p>
    <w:p>
      <w:pPr/>
      <w:r>
        <w:rPr>
          <w:lang w:val="en_US" w:bidi="en_US"/>
        </w:rPr>
      </w:r>
      <w:r>
        <w:rPr>
          <w:lang w:val="en_US" w:bidi="en_US"/>
        </w:rPr>
        <w:t>6:43–45 A tree and its fruit</w:t>
      </w:r>
    </w:p>
    <w:p>
      <w:pPr/>
      <w:r>
        <w:rPr>
          <w:lang w:val="en_US" w:bidi="en_US"/>
        </w:rPr>
      </w:r>
      <w:r>
        <w:rPr>
          <w:lang w:val="en_US" w:bidi="en_US"/>
        </w:rPr>
        <w:t>6:46–49 Two foundations</w:t>
      </w:r>
    </w:p>
    <w:p>
      <w:pPr/>
      <w:r>
        <w:rPr>
          <w:lang w:val="en_US" w:bidi="en_US"/>
        </w:rPr>
      </w:r>
      <w:r>
        <w:rPr>
          <w:lang w:val="en_US" w:bidi="en_US"/>
        </w:rPr>
        <w:t>The sermon in 6:17–49 is similar to the sermon commonly referred to as “The Sermon on the Mount” in Matthew chapters 5–7.</w:t>
      </w:r>
    </w:p>
    <w:p>
      <w:pPr>
        <w:pStyle w:val="Heading4"/>
      </w:pPr>
      <w:r>
        <w:rPr>
          <w:lang w:val="en_US" w:bidi="en_US"/>
        </w:rPr>
        <w:t>Paragraph 6:46–49</w:t>
      </w:r>
    </w:p>
    <w:p>
      <w:pPr/>
      <w:r>
        <w:rPr>
          <w:lang w:val="en_US" w:bidi="en_US"/>
        </w:rPr>
      </w:r>
      <w:r>
        <w:rPr>
          <w:lang w:val="en_US" w:bidi="en_US"/>
        </w:rPr>
        <w:t>Jesus concluded his sermon by challenging his listeners not only to hear his teaching but also to obey it. He spoke a parable that illustrated the wisdom of listening and obeying and the folly of listening without obeying.</w:t>
      </w:r>
    </w:p>
    <w:p>
      <w:pPr>
        <w:pStyle w:val="Heading5"/>
      </w:pPr>
      <w:r>
        <w:rPr>
          <w:lang w:val="en_US" w:bidi="en_US"/>
        </w:rPr>
        <w:t>6:49a</w:t>
      </w:r>
    </w:p>
    <w:p>
      <w:pPr/>
      <w:r>
        <w:rPr>
          <w:lang w:val="en_US" w:bidi="en_US"/>
        </w:rPr>
      </w:r>
      <w:r>
        <w:rPr>
          <w:b/>
          <w:lang w:val="en_US" w:bidi="en_US"/>
        </w:rPr>
        <w:t>But the one who hears My words</w:t>
      </w:r>
    </w:p>
    <w:p>
      <w:pPr>
        <w:pStyle w:val="ListBullet"/>
        <w:spacing w:line="240" w:lineRule="auto"/>
        <w:ind w:left="720"/>
      </w:pPr>
      <w:r>
        <w:rPr>
          <w:lang w:val="en_US" w:bidi="en_US"/>
        </w:rPr>
      </w:r>
      <w:r>
        <w:rPr>
          <w:lang w:val="en_US" w:bidi="en_US"/>
        </w:rPr>
        <w:t>But the person who listens to me</w:t>
      </w:r>
    </w:p>
    <w:p>
      <w:pPr>
        <w:pStyle w:val="ListBullet"/>
        <w:spacing w:line="240" w:lineRule="auto"/>
        <w:ind w:left="720"/>
      </w:pPr>
      <w:r>
        <w:rPr>
          <w:lang w:val="en_US" w:bidi="en_US"/>
        </w:rPr>
      </w:r>
      <w:r>
        <w:rPr>
          <w:lang w:val="en_US" w:bidi="en_US"/>
        </w:rPr>
        <w:t>However, people who hear what I say</w:t>
      </w:r>
    </w:p>
    <w:p>
      <w:pPr>
        <w:pStyle w:val="Heading5"/>
      </w:pPr>
      <w:r>
        <w:rPr>
          <w:lang w:val="en_US" w:bidi="en_US"/>
        </w:rPr>
        <w:t>6:49b</w:t>
      </w:r>
    </w:p>
    <w:p>
      <w:pPr/>
      <w:r>
        <w:rPr>
          <w:lang w:val="en_US" w:bidi="en_US"/>
        </w:rPr>
      </w:r>
      <w:r>
        <w:rPr>
          <w:b/>
          <w:lang w:val="en_US" w:bidi="en_US"/>
        </w:rPr>
        <w:t>and does not act on them</w:t>
      </w:r>
    </w:p>
    <w:p>
      <w:pPr>
        <w:pStyle w:val="ListBullet"/>
        <w:spacing w:line="240" w:lineRule="auto"/>
        <w:ind w:left="720"/>
      </w:pPr>
      <w:r>
        <w:rPr>
          <w:lang w:val="en_US" w:bidi="en_US"/>
        </w:rPr>
      </w:r>
      <w:r>
        <w:rPr>
          <w:lang w:val="en_US" w:bidi="en_US"/>
        </w:rPr>
        <w:t xml:space="preserve">and </w:t>
      </w:r>
      <w:r>
        <w:rPr>
          <w:lang w:val="en_US" w:bidi="en_US"/>
        </w:rPr>
        <w:t>then</w:t>
      </w:r>
      <w:r>
        <w:rPr>
          <w:lang w:val="en_US" w:bidi="en_US"/>
        </w:rPr>
        <w:t xml:space="preserve"> does not do as I say</w:t>
      </w:r>
    </w:p>
    <w:p>
      <w:pPr>
        <w:pStyle w:val="ListBullet"/>
        <w:spacing w:line="240" w:lineRule="auto"/>
        <w:ind w:left="720"/>
      </w:pPr>
      <w:r>
        <w:rPr>
          <w:lang w:val="en_US" w:bidi="en_US"/>
        </w:rPr>
      </w:r>
      <w:r>
        <w:rPr>
          <w:lang w:val="en_US" w:bidi="en_US"/>
        </w:rPr>
        <w:t>but do not obey me</w:t>
      </w:r>
    </w:p>
    <w:p>
      <w:pPr>
        <w:pStyle w:val="Heading5"/>
      </w:pPr>
      <w:r>
        <w:rPr>
          <w:lang w:val="en_US" w:bidi="en_US"/>
        </w:rPr>
        <w:t>6:49a–b</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an opposite example. Another way to translate this conjunction is:</w:t>
      </w:r>
    </w:p>
    <w:p>
      <w:pPr/>
      <w:r>
        <w:rPr>
          <w:lang w:val="en_US" w:bidi="en_US"/>
        </w:rPr>
      </w:r>
      <w:r>
        <w:rPr>
          <w:lang w:val="en_US" w:bidi="en_US"/>
        </w:rPr>
        <w:t>However</w:t>
      </w:r>
    </w:p>
    <w:p>
      <w:pPr/>
      <w:r>
        <w:rPr>
          <w:lang w:val="en_US" w:bidi="en_US"/>
        </w:rPr>
      </w:r>
      <w:r>
        <w:rPr>
          <w:b/>
          <w:lang w:val="en_US" w:bidi="en_US"/>
        </w:rPr>
        <w:t>the one who hears My words and does not act on them:</w:t>
      </w:r>
      <w:r>
        <w:rPr>
          <w:lang w:val="en_US" w:bidi="en_US"/>
        </w:rPr>
        <w:t xml:space="preserve"> The person described in this clause does not obey Jesus’ teaching. Translate this clause in a way that shows this man to be the direct opposite of the man in 6:47b–c. For example:</w:t>
      </w:r>
    </w:p>
    <w:p>
      <w:pPr/>
      <w:r>
        <w:rPr>
          <w:lang w:val="en_US" w:bidi="en_US"/>
        </w:rPr>
      </w:r>
      <w:r>
        <w:rPr>
          <w:lang w:val="en_US" w:bidi="en_US"/>
        </w:rPr>
        <w:t>the person who hears what I say but does not obey</w:t>
      </w:r>
    </w:p>
    <w:p>
      <w:pPr/>
      <w:r>
        <w:rPr>
          <w:lang w:val="en_US" w:bidi="en_US"/>
        </w:rPr>
      </w:r>
      <w:r>
        <w:rPr>
          <w:lang w:val="en_US" w:bidi="en_US"/>
        </w:rPr>
        <w:t>the person who hears what I tell him to do but does not do it</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connects two actions: hearing Jesus’ words and not obeying them. Normally we would expect someone who comes to Jesus and hears his teaching to be ready to obey it. This person does not obey Jesus’ teaching.</w:t>
      </w:r>
    </w:p>
    <w:p>
      <w:pPr/>
      <w:r>
        <w:rPr>
          <w:lang w:val="en_US" w:bidi="en_US"/>
        </w:rPr>
      </w:r>
      <w:r>
        <w:rPr>
          <w:lang w:val="en_US" w:bidi="en_US"/>
        </w:rPr>
        <w:t>In some languages, it may be more natural to use a contrast connector like “but.” For example:</w:t>
      </w:r>
    </w:p>
    <w:p>
      <w:pPr/>
      <w:r>
        <w:rPr>
          <w:lang w:val="en_US" w:bidi="en_US"/>
        </w:rPr>
      </w:r>
      <w:r>
        <w:rPr>
          <w:lang w:val="en_US" w:bidi="en_US"/>
        </w:rPr>
        <w:t xml:space="preserve">hears my words </w:t>
      </w:r>
      <w:r>
        <w:rPr>
          <w:u w:val="single"/>
          <w:lang w:val="en_US" w:bidi="en_US"/>
        </w:rPr>
        <w:t>but</w:t>
      </w:r>
      <w:r>
        <w:rPr>
          <w:lang w:val="en_US" w:bidi="en_US"/>
        </w:rPr>
        <w:t xml:space="preserve"> does not obey</w:t>
      </w:r>
    </w:p>
    <w:p>
      <w:pPr/>
      <w:r>
        <w:rPr>
          <w:lang w:val="en_US" w:bidi="en_US"/>
        </w:rPr>
      </w:r>
      <w:r>
        <w:rPr>
          <w:lang w:val="en_US" w:bidi="en_US"/>
        </w:rPr>
        <w:t>Connect these clauses in a natural way in your language.</w:t>
      </w:r>
    </w:p>
    <w:p>
      <w:pPr>
        <w:pStyle w:val="Heading5"/>
      </w:pPr>
      <w:r>
        <w:rPr>
          <w:lang w:val="en_US" w:bidi="en_US"/>
        </w:rPr>
        <w:t>6:49c</w:t>
      </w:r>
    </w:p>
    <w:p>
      <w:pPr/>
      <w:r>
        <w:rPr>
          <w:lang w:val="en_US" w:bidi="en_US"/>
        </w:rPr>
      </w:r>
      <w:r>
        <w:rPr>
          <w:b/>
          <w:lang w:val="en_US" w:bidi="en_US"/>
        </w:rPr>
        <w:t>is like a man who built his house on ground</w:t>
      </w:r>
    </w:p>
    <w:p>
      <w:pPr>
        <w:pStyle w:val="ListBullet"/>
        <w:spacing w:line="240" w:lineRule="auto"/>
        <w:ind w:left="720"/>
      </w:pPr>
      <w:r>
        <w:rPr>
          <w:lang w:val="en_US" w:bidi="en_US"/>
        </w:rPr>
      </w:r>
      <w:r>
        <w:rPr>
          <w:lang w:val="en_US" w:bidi="en_US"/>
        </w:rPr>
        <w:t>is like a man who built a house on the ground</w:t>
      </w:r>
    </w:p>
    <w:p>
      <w:pPr>
        <w:pStyle w:val="ListBullet"/>
        <w:spacing w:line="240" w:lineRule="auto"/>
        <w:ind w:left="720"/>
      </w:pPr>
      <w:r>
        <w:rPr>
          <w:lang w:val="en_US" w:bidi="en_US"/>
        </w:rPr>
      </w:r>
      <w:r>
        <w:rPr>
          <w:lang w:val="en_US" w:bidi="en_US"/>
        </w:rPr>
        <w:t xml:space="preserve">are like a man who built a house on </w:t>
      </w:r>
      <w:r>
        <w:rPr>
          <w:lang w:val="en_US" w:bidi="en_US"/>
        </w:rPr>
        <w:t>the surface/top of</w:t>
      </w:r>
      <w:r>
        <w:rPr>
          <w:lang w:val="en_US" w:bidi="en_US"/>
        </w:rPr>
        <w:t xml:space="preserve"> the ground</w:t>
      </w:r>
    </w:p>
    <w:p>
      <w:pPr>
        <w:pStyle w:val="Heading5"/>
      </w:pPr>
      <w:r>
        <w:rPr>
          <w:lang w:val="en_US" w:bidi="en_US"/>
        </w:rPr>
        <w:t>6:49d</w:t>
      </w:r>
    </w:p>
    <w:p>
      <w:pPr/>
      <w:r>
        <w:rPr>
          <w:lang w:val="en_US" w:bidi="en_US"/>
        </w:rPr>
      </w:r>
      <w:r>
        <w:rPr>
          <w:b/>
          <w:lang w:val="en_US" w:bidi="en_US"/>
        </w:rPr>
        <w:t>without a foundation.</w:t>
      </w:r>
    </w:p>
    <w:p>
      <w:pPr>
        <w:pStyle w:val="ListBullet"/>
        <w:spacing w:line="240" w:lineRule="auto"/>
        <w:ind w:left="720"/>
      </w:pPr>
      <w:r>
        <w:rPr>
          <w:lang w:val="en_US" w:bidi="en_US"/>
        </w:rPr>
      </w:r>
      <w:r>
        <w:rPr>
          <w:lang w:val="en_US" w:bidi="en_US"/>
        </w:rPr>
        <w:t xml:space="preserve">and not on a </w:t>
      </w:r>
      <w:r>
        <w:rPr>
          <w:lang w:val="en_US" w:bidi="en_US"/>
        </w:rPr>
        <w:t>strong</w:t>
      </w:r>
      <w:r>
        <w:rPr>
          <w:lang w:val="en_US" w:bidi="en_US"/>
        </w:rPr>
        <w:t xml:space="preserve"> foundation.</w:t>
      </w:r>
    </w:p>
    <w:p>
      <w:pPr>
        <w:pStyle w:val="ListBullet"/>
        <w:spacing w:line="240" w:lineRule="auto"/>
        <w:ind w:left="720"/>
      </w:pPr>
      <w:r>
        <w:rPr>
          <w:lang w:val="en_US" w:bidi="en_US"/>
        </w:rPr>
      </w:r>
      <w:r>
        <w:rPr>
          <w:lang w:val="en_US" w:bidi="en_US"/>
        </w:rPr>
        <w:t xml:space="preserve">and did not </w:t>
      </w:r>
      <w:r>
        <w:rPr>
          <w:lang w:val="en_US" w:bidi="en_US"/>
        </w:rPr>
        <w:t>dig down to build</w:t>
      </w:r>
      <w:r>
        <w:rPr>
          <w:lang w:val="en_US" w:bidi="en_US"/>
        </w:rPr>
        <w:t xml:space="preserve"> a foundation </w:t>
      </w:r>
      <w:r>
        <w:rPr>
          <w:lang w:val="en_US" w:bidi="en_US"/>
        </w:rPr>
        <w:t>upon the bedrock</w:t>
      </w:r>
      <w:r>
        <w:rPr>
          <w:lang w:val="en_US" w:bidi="en_US"/>
        </w:rPr>
        <w:t>.</w:t>
      </w:r>
    </w:p>
    <w:p>
      <w:pPr>
        <w:pStyle w:val="Heading5"/>
      </w:pPr>
      <w:r>
        <w:rPr>
          <w:lang w:val="en_US" w:bidi="en_US"/>
        </w:rPr>
        <w:t>6:49c–d</w:t>
      </w:r>
    </w:p>
    <w:p>
      <w:pPr/>
      <w:r>
        <w:rPr>
          <w:lang w:val="en_US" w:bidi="en_US"/>
        </w:rPr>
      </w:r>
      <w:r>
        <w:rPr>
          <w:b/>
          <w:lang w:val="en_US" w:bidi="en_US"/>
        </w:rPr>
        <w:t>is like a man who built his house on ground without a foundation:</w:t>
      </w:r>
      <w:r>
        <w:rPr>
          <w:lang w:val="en_US" w:bidi="en_US"/>
        </w:rPr>
        <w:t xml:space="preserve"> Unlike the man in 6:48a–b, this man did not build a solid foundation for his house. Instead, he built it directly on the surface of the earth. He did not dig down to the bedrock.</w:t>
      </w:r>
    </w:p>
    <w:p>
      <w:pPr>
        <w:pStyle w:val="Heading5"/>
      </w:pPr>
      <w:r>
        <w:rPr>
          <w:lang w:val="en_US" w:bidi="en_US"/>
        </w:rPr>
        <w:t>6:49e</w:t>
      </w:r>
    </w:p>
    <w:p>
      <w:pPr/>
      <w:r>
        <w:rPr>
          <w:lang w:val="en_US" w:bidi="en_US"/>
        </w:rPr>
      </w:r>
      <w:r>
        <w:rPr>
          <w:b/>
          <w:lang w:val="en_US" w:bidi="en_US"/>
        </w:rPr>
        <w:t>The torrent crashed against that house, and immediately it fell—</w:t>
      </w:r>
    </w:p>
    <w:p>
      <w:pPr>
        <w:pStyle w:val="ListBullet"/>
        <w:spacing w:line="240" w:lineRule="auto"/>
        <w:ind w:left="720"/>
      </w:pPr>
      <w:r>
        <w:rPr>
          <w:lang w:val="en_US" w:bidi="en_US"/>
        </w:rPr>
      </w:r>
      <w:r>
        <w:rPr>
          <w:lang w:val="en_US" w:bidi="en_US"/>
        </w:rPr>
        <w:t>When it rained hard, the water from the river burst against the house and it immediately fell down,</w:t>
      </w:r>
    </w:p>
    <w:p>
      <w:pPr>
        <w:pStyle w:val="ListBullet"/>
        <w:spacing w:line="240" w:lineRule="auto"/>
        <w:ind w:left="720"/>
      </w:pPr>
      <w:r>
        <w:rPr>
          <w:lang w:val="en_US" w:bidi="en_US"/>
        </w:rPr>
      </w:r>
      <w:r>
        <w:rPr>
          <w:lang w:val="en_US" w:bidi="en_US"/>
        </w:rPr>
        <w:t xml:space="preserve">When the </w:t>
      </w:r>
      <w:r>
        <w:rPr>
          <w:lang w:val="en_US" w:bidi="en_US"/>
        </w:rPr>
        <w:t>nearby</w:t>
      </w:r>
      <w:r>
        <w:rPr>
          <w:lang w:val="en_US" w:bidi="en_US"/>
        </w:rPr>
        <w:t xml:space="preserve"> river overflowed its banks, the waters smashed against his house, and it fell down right away.</w:t>
      </w:r>
    </w:p>
    <w:p>
      <w:pPr/>
      <w:r>
        <w:rPr>
          <w:lang w:val="en_US" w:bidi="en_US"/>
        </w:rPr>
      </w:r>
      <w:r>
        <w:rPr>
          <w:b/>
          <w:lang w:val="en_US" w:bidi="en_US"/>
        </w:rPr>
        <w:t>The torrent crashed against that house, and immediately it fell:</w:t>
      </w:r>
      <w:r>
        <w:rPr>
          <w:lang w:val="en_US" w:bidi="en_US"/>
        </w:rPr>
        <w:t xml:space="preserve"> In Greek, the structure of this clause is parallel to what happened to the first house in 6:48c–d. Some other ways to translate this are:</w:t>
      </w:r>
    </w:p>
    <w:p>
      <w:pPr/>
      <w:r>
        <w:rPr>
          <w:lang w:val="en_US" w:bidi="en_US"/>
        </w:rPr>
      </w:r>
      <w:r>
        <w:rPr>
          <w:lang w:val="en_US" w:bidi="en_US"/>
        </w:rPr>
        <w:t>As soon as the river rushed against that house, it was smashed (CEV)</w:t>
      </w:r>
    </w:p>
    <w:p>
      <w:pPr/>
      <w:r>
        <w:rPr>
          <w:lang w:val="en_US" w:bidi="en_US"/>
        </w:rPr>
      </w:r>
      <w:r>
        <w:rPr>
          <w:lang w:val="en_US" w:bidi="en_US"/>
        </w:rPr>
        <w:t>As soon as the river burst upon it, the house collapsed (REB)</w:t>
      </w:r>
    </w:p>
    <w:p>
      <w:pPr/>
      <w:r>
        <w:rPr>
          <w:lang w:val="en_US" w:bidi="en_US"/>
        </w:rPr>
      </w:r>
      <w:r>
        <w:rPr>
          <w:lang w:val="en_US" w:bidi="en_US"/>
        </w:rPr>
        <w:t>It may be good style in some languages to keep the examples of the two houses similar in structure.</w:t>
      </w:r>
    </w:p>
    <w:p>
      <w:pPr/>
      <w:r>
        <w:rPr>
          <w:lang w:val="en_US" w:bidi="en_US"/>
        </w:rPr>
      </w:r>
      <w:r>
        <w:rPr>
          <w:b/>
          <w:lang w:val="en_US" w:bidi="en_US"/>
        </w:rPr>
        <w:t>fell:</w:t>
      </w:r>
      <w:r>
        <w:rPr>
          <w:lang w:val="en_US" w:bidi="en_US"/>
        </w:rPr>
        <w:t xml:space="preserve"> The Greek word that the BSB translates as </w:t>
      </w:r>
      <w:r>
        <w:rPr>
          <w:i/>
          <w:lang w:val="en_US" w:bidi="en_US"/>
        </w:rPr>
        <w:t>fell</w:t>
      </w:r>
      <w:r>
        <w:rPr>
          <w:lang w:val="en_US" w:bidi="en_US"/>
        </w:rPr>
        <w:t xml:space="preserve"> here means “fell down.” The river washed out the earth from under the house, and it quickly fell down. For example:</w:t>
      </w:r>
    </w:p>
    <w:p>
      <w:pPr/>
      <w:r>
        <w:rPr>
          <w:lang w:val="en_US" w:bidi="en_US"/>
        </w:rPr>
      </w:r>
      <w:r>
        <w:rPr>
          <w:lang w:val="en_US" w:bidi="en_US"/>
        </w:rPr>
        <w:t>the house quickly fell (NCV)</w:t>
      </w:r>
    </w:p>
    <w:p>
      <w:pPr>
        <w:pStyle w:val="Heading5"/>
      </w:pPr>
      <w:r>
        <w:rPr>
          <w:lang w:val="en_US" w:bidi="en_US"/>
        </w:rPr>
        <w:t>6:49f</w:t>
      </w:r>
    </w:p>
    <w:p>
      <w:pPr/>
      <w:r>
        <w:rPr>
          <w:lang w:val="en_US" w:bidi="en_US"/>
        </w:rPr>
      </w:r>
      <w:r>
        <w:rPr>
          <w:b/>
          <w:lang w:val="en_US" w:bidi="en_US"/>
        </w:rPr>
        <w:t>and great was its destruction!”</w:t>
      </w:r>
    </w:p>
    <w:p>
      <w:pPr>
        <w:pStyle w:val="ListBullet"/>
        <w:spacing w:line="240" w:lineRule="auto"/>
        <w:ind w:left="720"/>
      </w:pPr>
      <w:r>
        <w:rPr>
          <w:lang w:val="en_US" w:bidi="en_US"/>
        </w:rPr>
      </w:r>
      <w:r>
        <w:rPr>
          <w:lang w:val="en_US" w:bidi="en_US"/>
        </w:rPr>
        <w:t>and it was completely destroyed/ruined.”</w:t>
      </w:r>
    </w:p>
    <w:p>
      <w:pPr>
        <w:pStyle w:val="ListBullet"/>
        <w:spacing w:line="240" w:lineRule="auto"/>
        <w:ind w:left="720"/>
      </w:pPr>
      <w:r>
        <w:rPr>
          <w:lang w:val="en_US" w:bidi="en_US"/>
        </w:rPr>
      </w:r>
      <w:r>
        <w:rPr>
          <w:lang w:val="en_US" w:bidi="en_US"/>
        </w:rPr>
        <w:t>There was nothing left of it.”</w:t>
      </w:r>
    </w:p>
    <w:p>
      <w:pPr/>
      <w:r>
        <w:rPr>
          <w:lang w:val="en_US" w:bidi="en_US"/>
        </w:rPr>
      </w:r>
      <w:r>
        <w:rPr>
          <w:b/>
          <w:lang w:val="en_US" w:bidi="en_US"/>
        </w:rPr>
        <w:t>great was its destruction:</w:t>
      </w:r>
      <w:r>
        <w:rPr>
          <w:lang w:val="en_US" w:bidi="en_US"/>
        </w:rPr>
        <w:t xml:space="preserve"> The phrase </w:t>
      </w:r>
      <w:r>
        <w:rPr>
          <w:i/>
          <w:lang w:val="en_US" w:bidi="en_US"/>
        </w:rPr>
        <w:t>great was its destruction</w:t>
      </w:r>
      <w:r>
        <w:rPr>
          <w:lang w:val="en_US" w:bidi="en_US"/>
        </w:rPr>
        <w:t xml:space="preserve"> means “it was completely destroyed.”</w:t>
      </w:r>
    </w:p>
    <w:p>
      <w:pPr/>
      <w:r>
        <w:rPr>
          <w:lang w:val="en_US" w:bidi="en_US"/>
        </w:rPr>
      </w:r>
      <w:r>
        <w:rPr>
          <w:lang w:val="en_US" w:bidi="en_US"/>
        </w:rPr>
        <w:t>In some languages, there may be an idiom or a more descriptive way to express that the house was completely destroyed. For example:</w:t>
      </w:r>
    </w:p>
    <w:p>
      <w:pPr/>
      <w:r>
        <w:rPr>
          <w:lang w:val="en_US" w:bidi="en_US"/>
        </w:rPr>
      </w:r>
      <w:r>
        <w:rPr>
          <w:lang w:val="en_US" w:bidi="en_US"/>
        </w:rPr>
        <w:t>it was smashed to pieces (CEV)</w:t>
      </w:r>
    </w:p>
    <w:p>
      <w:pPr/>
      <w:r>
        <w:rPr>
          <w:lang w:val="en_US" w:bidi="en_US"/>
        </w:rPr>
      </w:r>
      <w:r>
        <w:rPr>
          <w:lang w:val="en_US" w:bidi="en_US"/>
        </w:rPr>
        <w:t>collapse into a heap of ruins (NLT)</w:t>
      </w:r>
    </w:p>
    <w:p>
      <w:pPr/>
      <w:r>
        <w:rPr>
          <w:lang w:val="en_US" w:bidi="en_US"/>
        </w:rPr>
      </w:r>
      <w:r>
        <w:rPr>
          <w:lang w:val="en_US" w:bidi="en_US"/>
        </w:rPr>
        <w:t>If it is more natural in your language to use an active verb, you could say:</w:t>
      </w:r>
    </w:p>
    <w:p>
      <w:pPr/>
      <w:r>
        <w:rPr>
          <w:lang w:val="en_US" w:bidi="en_US"/>
        </w:rPr>
      </w:r>
      <w:r>
        <w:rPr>
          <w:lang w:val="en_US" w:bidi="en_US"/>
        </w:rPr>
        <w:t>the waters</w:t>
      </w:r>
      <w:r>
        <w:rPr>
          <w:lang w:val="en_US" w:bidi="en_US"/>
        </w:rPr>
        <w:t xml:space="preserve"> destroyed it completely</w:t>
      </w:r>
      <w:r>
        <w:rPr>
          <w:lang w:val="en_US" w:bidi="en_US"/>
        </w:rPr>
      </w:r>
      <w:r>
        <w:rPr>
          <w:lang w:val="en_US" w:bidi="en_US"/>
        </w:rPr>
      </w:r>
    </w:p>
    <w:p>
      <w:pPr/>
      <w:r>
        <w:rPr>
          <w:lang w:val="en_US" w:bidi="en_US"/>
        </w:rPr>
      </w:r>
    </w:p>
    <w:p>
      <w:pPr>
        <w:pStyle w:val="Heading2"/>
      </w:pPr>
      <w:r>
        <w:rPr>
          <w:lang w:val="en_US" w:bidi="en_US"/>
        </w:rPr>
        <w:t>Luke 7:1</w:t>
      </w:r>
      <w:r>
        <w:rPr>
          <w:lang w:val="en_US" w:bidi="en_US"/>
        </w:rPr>
      </w:r>
    </w:p>
    <w:p>
      <w:pPr>
        <w:pStyle w:val="Heading4"/>
      </w:pPr>
      <w:r>
        <w:rPr>
          <w:lang w:val="en_US" w:bidi="en_US"/>
        </w:rPr>
        <w:t>Section 7:1–10: Jesus healed an army officer’s servant</w:t>
      </w:r>
    </w:p>
    <w:p>
      <w:pPr/>
      <w:r>
        <w:rPr>
          <w:lang w:val="en_US" w:bidi="en_US"/>
        </w:rPr>
      </w:r>
      <w:r>
        <w:rPr>
          <w:lang w:val="en_US" w:bidi="en_US"/>
        </w:rPr>
        <w:t>This section tells how an army officer trusted Jesus to heal his servant. The officer was not a Jew; he was a Gentile, a Roman. He sent some Jewish leaders as messengers to ask Jesus to come and heal his servant. Later he sent some friends to say that it was not necessary for Jesus to come to his house. He believed that Jesus could heal his servant from a distance.</w:t>
      </w:r>
    </w:p>
    <w:p>
      <w:pPr/>
      <w:r>
        <w:rPr>
          <w:lang w:val="en_US" w:bidi="en_US"/>
        </w:rPr>
      </w:r>
      <w:r>
        <w:rPr>
          <w:lang w:val="en_US" w:bidi="en_US"/>
        </w:rPr>
        <w:t>The Roman compared Jesus’ authority to his own authority as an army officer. As an officer, he could cause other soldiers to obey him by simply commanding them to do something. He recognized that Jesus also had authority and power to heal by only giving a command. Jesus was amazed that this Gentile trusted him so much. He said that the officer had more faith than any Jew whom he had met.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 Roman army officer shows great faith in Jesus</w:t>
      </w:r>
    </w:p>
    <w:p>
      <w:pPr/>
      <w:r>
        <w:rPr>
          <w:lang w:val="en_US" w:bidi="en_US"/>
        </w:rPr>
      </w:r>
      <w:r>
        <w:rPr>
          <w:lang w:val="en_US" w:bidi="en_US"/>
        </w:rPr>
        <w:t>Jesus is amazed by the faith of a captain in the Roman army</w:t>
      </w:r>
    </w:p>
    <w:p>
      <w:pPr/>
      <w:r>
        <w:rPr>
          <w:lang w:val="en_US" w:bidi="en_US"/>
        </w:rPr>
      </w:r>
      <w:r>
        <w:rPr>
          <w:lang w:val="en_US" w:bidi="en_US"/>
        </w:rPr>
        <w:t>The amazing faith of the centurion</w:t>
      </w:r>
    </w:p>
    <w:p>
      <w:pPr/>
      <w:r>
        <w:rPr>
          <w:lang w:val="en_US" w:bidi="en_US"/>
        </w:rPr>
      </w:r>
      <w:r>
        <w:rPr>
          <w:lang w:val="en_US" w:bidi="en_US"/>
        </w:rPr>
        <w:t>There is a parallel passage for this section in Matthew 8:5–13.</w:t>
      </w:r>
    </w:p>
    <w:p>
      <w:pPr>
        <w:pStyle w:val="Heading5"/>
      </w:pPr>
      <w:r>
        <w:rPr>
          <w:lang w:val="en_US" w:bidi="en_US"/>
        </w:rPr>
        <w:t>7:1a</w:t>
      </w:r>
    </w:p>
    <w:p>
      <w:pPr/>
      <w:r>
        <w:rPr>
          <w:lang w:val="en_US" w:bidi="en_US"/>
        </w:rPr>
      </w:r>
      <w:r>
        <w:rPr>
          <w:b/>
          <w:lang w:val="en_US" w:bidi="en_US"/>
        </w:rPr>
        <w:t>When Jesus had concluded His discourse in the hearing of the people,</w:t>
      </w:r>
    </w:p>
    <w:p>
      <w:pPr>
        <w:pStyle w:val="ListBullet"/>
        <w:spacing w:line="240" w:lineRule="auto"/>
        <w:ind w:left="720"/>
      </w:pPr>
      <w:r>
        <w:rPr>
          <w:lang w:val="en_US" w:bidi="en_US"/>
        </w:rPr>
      </w:r>
      <w:r>
        <w:rPr>
          <w:lang w:val="en_US" w:bidi="en_US"/>
        </w:rPr>
        <w:t xml:space="preserve">¶ When Jesus had said everything that he </w:t>
      </w:r>
      <w:r>
        <w:rPr>
          <w:lang w:val="en_US" w:bidi="en_US"/>
        </w:rPr>
        <w:t>wanted</w:t>
      </w:r>
      <w:r>
        <w:rPr>
          <w:lang w:val="en_US" w:bidi="en_US"/>
        </w:rPr>
        <w:t xml:space="preserve"> to say to the people,</w:t>
      </w:r>
    </w:p>
    <w:p>
      <w:pPr>
        <w:pStyle w:val="ListBullet"/>
        <w:spacing w:line="240" w:lineRule="auto"/>
        <w:ind w:left="720"/>
      </w:pPr>
      <w:r>
        <w:rPr>
          <w:lang w:val="en_US" w:bidi="en_US"/>
        </w:rPr>
      </w:r>
      <w:r>
        <w:rPr>
          <w:lang w:val="en_US" w:bidi="en_US"/>
        </w:rPr>
        <w:t>¶ After Jesus finished teaching all these things to the people who were listening to him,</w:t>
      </w:r>
    </w:p>
    <w:p>
      <w:pPr/>
      <w:r>
        <w:rPr>
          <w:lang w:val="en_US" w:bidi="en_US"/>
        </w:rPr>
      </w:r>
      <w:r>
        <w:rPr>
          <w:b/>
          <w:lang w:val="en_US" w:bidi="en_US"/>
        </w:rPr>
        <w:t>When Jesus had concluded His discourse in the hearing of the people:</w:t>
      </w:r>
      <w:r>
        <w:rPr>
          <w:lang w:val="en_US" w:bidi="en_US"/>
        </w:rPr>
        <w:t xml:space="preserve"> In 6:20–49 Jesus taught the people important things about how God wanted them to live. The verb </w:t>
      </w:r>
      <w:r>
        <w:rPr>
          <w:i/>
          <w:lang w:val="en_US" w:bidi="en_US"/>
        </w:rPr>
        <w:t>concluded</w:t>
      </w:r>
      <w:r>
        <w:rPr>
          <w:lang w:val="en_US" w:bidi="en_US"/>
        </w:rPr>
        <w:t xml:space="preserve"> and the phrase </w:t>
      </w:r>
      <w:r>
        <w:rPr>
          <w:i/>
          <w:lang w:val="en_US" w:bidi="en_US"/>
        </w:rPr>
        <w:t>in the hearing of the people</w:t>
      </w:r>
      <w:r>
        <w:rPr>
          <w:lang w:val="en_US" w:bidi="en_US"/>
        </w:rPr>
        <w:t xml:space="preserve"> indicate that Jesus completed saying important things to them. Other ways to say this are:</w:t>
      </w:r>
    </w:p>
    <w:p>
      <w:pPr/>
      <w:r>
        <w:rPr>
          <w:lang w:val="en_US" w:bidi="en_US"/>
        </w:rPr>
      </w:r>
      <w:r>
        <w:rPr>
          <w:lang w:val="en_US" w:bidi="en_US"/>
        </w:rPr>
        <w:t>After Jesus told the people all these things</w:t>
      </w:r>
    </w:p>
    <w:p>
      <w:pPr/>
      <w:r>
        <w:rPr>
          <w:lang w:val="en_US" w:bidi="en_US"/>
        </w:rPr>
      </w:r>
      <w:r>
        <w:rPr>
          <w:lang w:val="en_US" w:bidi="en_US"/>
        </w:rPr>
        <w:t>When Jesus had finished saying all these things to the people (GNT)</w:t>
      </w:r>
    </w:p>
    <w:p>
      <w:pPr/>
      <w:r>
        <w:rPr>
          <w:lang w:val="en_US" w:bidi="en_US"/>
        </w:rPr>
      </w:r>
      <w:r>
        <w:rPr>
          <w:lang w:val="en_US" w:bidi="en_US"/>
        </w:rPr>
        <w:t>After Jesus said everything that he wanted the people to hear</w:t>
      </w:r>
    </w:p>
    <w:p>
      <w:pPr/>
      <w:r>
        <w:rPr>
          <w:lang w:val="en_US" w:bidi="en_US"/>
        </w:rPr>
      </w:r>
      <w:r>
        <w:rPr>
          <w:b/>
          <w:lang w:val="en_US" w:bidi="en_US"/>
        </w:rPr>
        <w:t>His discourse:</w:t>
      </w:r>
      <w:r>
        <w:rPr>
          <w:lang w:val="en_US" w:bidi="en_US"/>
        </w:rPr>
        <w:t xml:space="preserve"> The phrase </w:t>
      </w:r>
      <w:r>
        <w:rPr>
          <w:i/>
          <w:lang w:val="en_US" w:bidi="en_US"/>
        </w:rPr>
        <w:t>His discourse</w:t>
      </w:r>
      <w:r>
        <w:rPr>
          <w:lang w:val="en_US" w:bidi="en_US"/>
        </w:rPr>
        <w:t xml:space="preserve"> refers to the sermon that Jesus had just preached in 6:20–49.</w:t>
      </w:r>
    </w:p>
    <w:p>
      <w:pPr>
        <w:pStyle w:val="Heading5"/>
      </w:pPr>
      <w:r>
        <w:rPr>
          <w:lang w:val="en_US" w:bidi="en_US"/>
        </w:rPr>
        <w:t>7:1b</w:t>
      </w:r>
    </w:p>
    <w:p>
      <w:pPr/>
      <w:r>
        <w:rPr>
          <w:lang w:val="en_US" w:bidi="en_US"/>
        </w:rPr>
      </w:r>
      <w:r>
        <w:rPr>
          <w:b/>
          <w:lang w:val="en_US" w:bidi="en_US"/>
        </w:rPr>
        <w:t>He went to Capernaum.</w:t>
      </w:r>
    </w:p>
    <w:p>
      <w:pPr>
        <w:pStyle w:val="ListBullet"/>
        <w:spacing w:line="240" w:lineRule="auto"/>
        <w:ind w:left="720"/>
      </w:pPr>
      <w:r>
        <w:rPr>
          <w:lang w:val="en_US" w:bidi="en_US"/>
        </w:rPr>
      </w:r>
      <w:r>
        <w:rPr>
          <w:lang w:val="en_US" w:bidi="en_US"/>
        </w:rPr>
        <w:t>he went into Capernaum.</w:t>
      </w:r>
    </w:p>
    <w:p>
      <w:pPr>
        <w:pStyle w:val="ListBullet"/>
        <w:spacing w:line="240" w:lineRule="auto"/>
        <w:ind w:left="720"/>
      </w:pPr>
      <w:r>
        <w:rPr>
          <w:lang w:val="en_US" w:bidi="en_US"/>
        </w:rPr>
      </w:r>
      <w:r>
        <w:rPr>
          <w:lang w:val="en_US" w:bidi="en_US"/>
        </w:rPr>
        <w:t xml:space="preserve">he returned to </w:t>
      </w:r>
      <w:r>
        <w:rPr>
          <w:lang w:val="en_US" w:bidi="en_US"/>
        </w:rPr>
        <w:t>the town of</w:t>
      </w:r>
      <w:r>
        <w:rPr>
          <w:lang w:val="en_US" w:bidi="en_US"/>
        </w:rPr>
        <w:t xml:space="preserve"> Capernaum.</w:t>
      </w:r>
    </w:p>
    <w:p>
      <w:pPr/>
      <w:r>
        <w:rPr>
          <w:lang w:val="en_US" w:bidi="en_US"/>
        </w:rPr>
      </w:r>
      <w:r>
        <w:rPr>
          <w:b/>
          <w:lang w:val="en_US" w:bidi="en_US"/>
        </w:rPr>
        <w:t>He went to Capernaum:</w:t>
      </w:r>
      <w:r>
        <w:rPr>
          <w:lang w:val="en_US" w:bidi="en_US"/>
        </w:rPr>
        <w:t xml:space="preserve"> Jesus went into the town of Capernaum. The words </w:t>
      </w:r>
      <w:r>
        <w:rPr>
          <w:i/>
          <w:lang w:val="en_US" w:bidi="en_US"/>
        </w:rPr>
        <w:t>went to</w:t>
      </w:r>
      <w:r>
        <w:rPr>
          <w:lang w:val="en_US" w:bidi="en_US"/>
        </w:rPr>
        <w:t xml:space="preserve"> probably imply that he was near the town when he gave the sermon in Luke 6. Use a verb that is natural in your language for coming into a town. For example:</w:t>
      </w:r>
    </w:p>
    <w:p>
      <w:pPr/>
      <w:r>
        <w:rPr>
          <w:lang w:val="en_US" w:bidi="en_US"/>
        </w:rPr>
      </w:r>
      <w:r>
        <w:rPr>
          <w:lang w:val="en_US" w:bidi="en_US"/>
        </w:rPr>
        <w:t>he came into Capernaum</w:t>
      </w:r>
    </w:p>
    <w:p>
      <w:pPr/>
      <w:r>
        <w:rPr>
          <w:lang w:val="en_US" w:bidi="en_US"/>
        </w:rPr>
      </w:r>
      <w:r>
        <w:rPr>
          <w:lang w:val="en_US" w:bidi="en_US"/>
        </w:rPr>
        <w:t>he went to Capernaum (GNT)</w:t>
      </w:r>
    </w:p>
    <w:p>
      <w:pPr/>
      <w:r>
        <w:rPr>
          <w:lang w:val="en_US" w:bidi="en_US"/>
        </w:rPr>
      </w:r>
      <w:r>
        <w:rPr>
          <w:lang w:val="en_US" w:bidi="en_US"/>
        </w:rPr>
        <w:t>Jesus had been in Capernaum previously (see 4:23b–d and 4:31a). So in some languages it may be necessary to translate this as:</w:t>
      </w:r>
    </w:p>
    <w:p>
      <w:pPr/>
      <w:r>
        <w:rPr>
          <w:lang w:val="en_US" w:bidi="en_US"/>
        </w:rPr>
      </w:r>
      <w:r>
        <w:rPr>
          <w:lang w:val="en_US" w:bidi="en_US"/>
        </w:rPr>
        <w:t xml:space="preserve">he </w:t>
      </w:r>
      <w:r>
        <w:rPr>
          <w:lang w:val="en_US" w:bidi="en_US"/>
        </w:rPr>
        <w:t>again</w:t>
      </w:r>
      <w:r>
        <w:rPr>
          <w:lang w:val="en_US" w:bidi="en_US"/>
        </w:rPr>
        <w:t xml:space="preserve"> entered Capernaum</w:t>
      </w:r>
    </w:p>
    <w:p>
      <w:pPr/>
      <w:r>
        <w:rPr>
          <w:lang w:val="en_US" w:bidi="en_US"/>
        </w:rPr>
      </w:r>
      <w:r>
        <w:rPr>
          <w:lang w:val="en_US" w:bidi="en_US"/>
        </w:rPr>
        <w:t xml:space="preserve">he went </w:t>
      </w:r>
      <w:r>
        <w:rPr>
          <w:lang w:val="en_US" w:bidi="en_US"/>
        </w:rPr>
        <w:t>back</w:t>
      </w:r>
      <w:r>
        <w:rPr>
          <w:lang w:val="en_US" w:bidi="en_US"/>
        </w:rPr>
        <w:t xml:space="preserve"> to Capernaum</w:t>
      </w:r>
    </w:p>
    <w:p>
      <w:pPr/>
      <w:r>
        <w:rPr>
          <w:lang w:val="en_US" w:bidi="en_US"/>
        </w:rPr>
      </w:r>
      <w:r>
        <w:rPr>
          <w:lang w:val="en_US" w:bidi="en_US"/>
        </w:rPr>
        <w:t>he returned to Capernaum (NLT)</w:t>
      </w:r>
    </w:p>
    <w:p>
      <w:pPr/>
      <w:r>
        <w:rPr>
          <w:lang w:val="en_US" w:bidi="en_US"/>
        </w:rPr>
      </w:r>
      <w:r>
        <w:rPr>
          <w:b/>
          <w:lang w:val="en_US" w:bidi="en_US"/>
        </w:rPr>
        <w:t>Capernaum:</w:t>
      </w:r>
      <w:r>
        <w:rPr>
          <w:lang w:val="en_US" w:bidi="en_US"/>
        </w:rPr>
        <w:t xml:space="preserve"> </w:t>
      </w:r>
      <w:r>
        <w:rPr>
          <w:i/>
          <w:lang w:val="en_US" w:bidi="en_US"/>
        </w:rPr>
        <w:t>Capernaum</w:t>
      </w:r>
      <w:r>
        <w:rPr>
          <w:lang w:val="en_US" w:bidi="en_US"/>
        </w:rPr>
        <w:t xml:space="preserve"> was a town in the district of Galilee near the Lake of Galilee. See the notes on 4:23d and 4:31a.</w:t>
      </w:r>
      <w:r>
        <w:rPr>
          <w:lang w:val="en_US" w:bidi="en_US"/>
        </w:rPr>
      </w:r>
      <w:r>
        <w:rPr>
          <w:lang w:val="en_US" w:bidi="en_US"/>
        </w:rPr>
      </w:r>
    </w:p>
    <w:p>
      <w:pPr/>
      <w:r>
        <w:rPr>
          <w:lang w:val="en_US" w:bidi="en_US"/>
        </w:rPr>
      </w:r>
    </w:p>
    <w:p>
      <w:pPr>
        <w:pStyle w:val="Heading2"/>
      </w:pPr>
      <w:r>
        <w:rPr>
          <w:lang w:val="en_US" w:bidi="en_US"/>
        </w:rPr>
        <w:t>Luke 7:2</w:t>
      </w:r>
      <w:r>
        <w:rPr>
          <w:lang w:val="en_US" w:bidi="en_US"/>
        </w:rPr>
      </w:r>
    </w:p>
    <w:p>
      <w:pPr>
        <w:pStyle w:val="Heading4"/>
      </w:pPr>
      <w:r>
        <w:rPr>
          <w:lang w:val="en_US" w:bidi="en_US"/>
        </w:rPr>
        <w:t>Section 7:1–10: Jesus healed an army officer’s servant</w:t>
      </w:r>
    </w:p>
    <w:p>
      <w:pPr/>
      <w:r>
        <w:rPr>
          <w:lang w:val="en_US" w:bidi="en_US"/>
        </w:rPr>
      </w:r>
      <w:r>
        <w:rPr>
          <w:lang w:val="en_US" w:bidi="en_US"/>
        </w:rPr>
        <w:t>This section tells how an army officer trusted Jesus to heal his servant. The officer was not a Jew; he was a Gentile, a Roman. He sent some Jewish leaders as messengers to ask Jesus to come and heal his servant. Later he sent some friends to say that it was not necessary for Jesus to come to his house. He believed that Jesus could heal his servant from a distance.</w:t>
      </w:r>
    </w:p>
    <w:p>
      <w:pPr/>
      <w:r>
        <w:rPr>
          <w:lang w:val="en_US" w:bidi="en_US"/>
        </w:rPr>
      </w:r>
      <w:r>
        <w:rPr>
          <w:lang w:val="en_US" w:bidi="en_US"/>
        </w:rPr>
        <w:t>The Roman compared Jesus’ authority to his own authority as an army officer. As an officer, he could cause other soldiers to obey him by simply commanding them to do something. He recognized that Jesus also had authority and power to heal by only giving a command. Jesus was amazed that this Gentile trusted him so much. He said that the officer had more faith than any Jew whom he had met.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 Roman army officer shows great faith in Jesus</w:t>
      </w:r>
    </w:p>
    <w:p>
      <w:pPr/>
      <w:r>
        <w:rPr>
          <w:lang w:val="en_US" w:bidi="en_US"/>
        </w:rPr>
      </w:r>
      <w:r>
        <w:rPr>
          <w:lang w:val="en_US" w:bidi="en_US"/>
        </w:rPr>
        <w:t>Jesus is amazed by the faith of a captain in the Roman army</w:t>
      </w:r>
    </w:p>
    <w:p>
      <w:pPr/>
      <w:r>
        <w:rPr>
          <w:lang w:val="en_US" w:bidi="en_US"/>
        </w:rPr>
      </w:r>
      <w:r>
        <w:rPr>
          <w:lang w:val="en_US" w:bidi="en_US"/>
        </w:rPr>
        <w:t>The amazing faith of the centurion</w:t>
      </w:r>
    </w:p>
    <w:p>
      <w:pPr/>
      <w:r>
        <w:rPr>
          <w:lang w:val="en_US" w:bidi="en_US"/>
        </w:rPr>
      </w:r>
      <w:r>
        <w:rPr>
          <w:lang w:val="en_US" w:bidi="en_US"/>
        </w:rPr>
        <w:t>There is a parallel passage for this section in Matthew 8:5–13.</w:t>
      </w:r>
    </w:p>
    <w:p>
      <w:pPr>
        <w:pStyle w:val="Heading5"/>
      </w:pPr>
      <w:r>
        <w:rPr>
          <w:lang w:val="en_US" w:bidi="en_US"/>
        </w:rPr>
        <w:t>7:2a</w:t>
      </w:r>
    </w:p>
    <w:p>
      <w:pPr/>
      <w:r>
        <w:rPr>
          <w:lang w:val="en_US" w:bidi="en_US"/>
        </w:rPr>
      </w:r>
      <w:r>
        <w:rPr>
          <w:b/>
          <w:lang w:val="en_US" w:bidi="en_US"/>
        </w:rPr>
        <w:t>There a highly valued servant of a centurion</w:t>
      </w:r>
    </w:p>
    <w:p>
      <w:pPr>
        <w:pStyle w:val="ListBullet"/>
        <w:spacing w:line="240" w:lineRule="auto"/>
        <w:ind w:left="720"/>
      </w:pPr>
      <w:r>
        <w:rPr>
          <w:lang w:val="en_US" w:bidi="en_US"/>
        </w:rPr>
      </w:r>
      <w:r>
        <w:rPr>
          <w:lang w:val="en_US" w:bidi="en_US"/>
        </w:rPr>
        <w:t xml:space="preserve">A certain Roman officer </w:t>
      </w:r>
      <w:r>
        <w:rPr>
          <w:lang w:val="en_US" w:bidi="en_US"/>
        </w:rPr>
        <w:t>lived</w:t>
      </w:r>
      <w:r>
        <w:rPr>
          <w:lang w:val="en_US" w:bidi="en_US"/>
        </w:rPr>
        <w:t xml:space="preserve"> there. He had a slave who was very dear to him.</w:t>
      </w:r>
    </w:p>
    <w:p>
      <w:pPr>
        <w:pStyle w:val="ListBullet"/>
        <w:spacing w:line="240" w:lineRule="auto"/>
        <w:ind w:left="720"/>
      </w:pPr>
      <w:r>
        <w:rPr>
          <w:lang w:val="en_US" w:bidi="en_US"/>
        </w:rPr>
      </w:r>
      <w:r>
        <w:rPr>
          <w:lang w:val="en_US" w:bidi="en_US"/>
        </w:rPr>
        <w:t>In Capernaum</w:t>
      </w:r>
      <w:r>
        <w:rPr>
          <w:lang w:val="en_US" w:bidi="en_US"/>
        </w:rPr>
        <w:t xml:space="preserve"> there was a Roman captain who had a servant that he loved very much.</w:t>
      </w:r>
    </w:p>
    <w:p>
      <w:pPr/>
      <w:r>
        <w:rPr>
          <w:lang w:val="en_US" w:bidi="en_US"/>
        </w:rPr>
      </w:r>
      <w:r>
        <w:rPr>
          <w:b/>
          <w:lang w:val="en_US" w:bidi="en_US"/>
        </w:rPr>
        <w:t>There:</w:t>
      </w:r>
      <w:r>
        <w:rPr>
          <w:lang w:val="en_US" w:bidi="en_US"/>
        </w:rPr>
        <w:t xml:space="preserve"> The BSB supplies the word </w:t>
      </w:r>
      <w:r>
        <w:rPr>
          <w:i/>
          <w:lang w:val="en_US" w:bidi="en_US"/>
        </w:rPr>
        <w:t>There</w:t>
      </w:r>
      <w:r>
        <w:rPr>
          <w:lang w:val="en_US" w:bidi="en_US"/>
        </w:rPr>
        <w:t>, which is not in the Greek text. This word makes explicit that the events in this story happened in Capernaum. In English this is a natural way to link 7:1b and 7:2a. The Greek text uses a conjunction. Use a natural way in your language to connect these verses. Some other ways to do this are:</w:t>
      </w:r>
    </w:p>
    <w:p>
      <w:pPr/>
      <w:r>
        <w:rPr>
          <w:lang w:val="en_US" w:bidi="en_US"/>
        </w:rPr>
      </w:r>
      <w:r>
        <w:rPr>
          <w:lang w:val="en_US" w:bidi="en_US"/>
        </w:rPr>
        <w:t>In that town (CEV)</w:t>
      </w:r>
    </w:p>
    <w:p>
      <w:pPr/>
      <w:r>
        <w:rPr>
          <w:lang w:val="en_US" w:bidi="en_US"/>
        </w:rPr>
      </w:r>
      <w:r>
        <w:rPr>
          <w:lang w:val="en_US" w:bidi="en_US"/>
        </w:rPr>
        <w:t>At that time (NLT)</w:t>
      </w:r>
    </w:p>
    <w:p>
      <w:pPr/>
      <w:r>
        <w:rPr>
          <w:lang w:val="en_US" w:bidi="en_US"/>
        </w:rPr>
      </w:r>
      <w:r>
        <w:rPr>
          <w:b/>
          <w:lang w:val="en_US" w:bidi="en_US"/>
        </w:rPr>
        <w:t>a highly valued servant of a centurion:</w:t>
      </w:r>
      <w:r>
        <w:rPr>
          <w:lang w:val="en_US" w:bidi="en_US"/>
        </w:rPr>
        <w:t xml:space="preserve"> Here Luke introduced the </w:t>
      </w:r>
      <w:r>
        <w:rPr>
          <w:i/>
          <w:lang w:val="en_US" w:bidi="en_US"/>
        </w:rPr>
        <w:t>centurion</w:t>
      </w:r>
      <w:r>
        <w:rPr>
          <w:lang w:val="en_US" w:bidi="en_US"/>
        </w:rPr>
        <w:t xml:space="preserve"> and his </w:t>
      </w:r>
      <w:r>
        <w:rPr>
          <w:i/>
          <w:lang w:val="en_US" w:bidi="en_US"/>
        </w:rPr>
        <w:t>servant</w:t>
      </w:r>
      <w:r>
        <w:rPr>
          <w:lang w:val="en_US" w:bidi="en_US"/>
        </w:rPr>
        <w:t xml:space="preserve"> into the story. The centurion is more important in the story than his servant. The Greek text mentions him first. Consider how to introduce the centurion and his servant in a natural way in your language. In some languages, there may be a special way to indicate that the centurion is more important in the story than the servant. For example:</w:t>
      </w:r>
    </w:p>
    <w:p>
      <w:pPr/>
      <w:r>
        <w:rPr>
          <w:lang w:val="en_US" w:bidi="en_US"/>
        </w:rPr>
      </w:r>
      <w:r>
        <w:rPr>
          <w:lang w:val="en_US" w:bidi="en_US"/>
        </w:rPr>
        <w:t>A certain centurion lived there. He had a slave</w:t>
      </w:r>
    </w:p>
    <w:p>
      <w:pPr/>
      <w:r>
        <w:rPr>
          <w:lang w:val="en_US" w:bidi="en_US"/>
        </w:rPr>
      </w:r>
      <w:r>
        <w:rPr>
          <w:lang w:val="en_US" w:bidi="en_US"/>
        </w:rPr>
        <w:t>A centurion there had a servant (REB)</w:t>
      </w:r>
    </w:p>
    <w:p>
      <w:pPr/>
      <w:r>
        <w:rPr>
          <w:lang w:val="en_US" w:bidi="en_US"/>
        </w:rPr>
      </w:r>
      <w:r>
        <w:rPr>
          <w:b/>
          <w:lang w:val="en_US" w:bidi="en_US"/>
        </w:rPr>
        <w:t>a highly valued servant:</w:t>
      </w:r>
      <w:r>
        <w:rPr>
          <w:lang w:val="en_US" w:bidi="en_US"/>
        </w:rPr>
        <w:t xml:space="preserve"> The Greek phrase that the BSB translates as </w:t>
      </w:r>
      <w:r>
        <w:rPr>
          <w:i/>
          <w:lang w:val="en_US" w:bidi="en_US"/>
        </w:rPr>
        <w:t>highly valued</w:t>
      </w:r>
      <w:r>
        <w:rPr>
          <w:lang w:val="en_US" w:bidi="en_US"/>
        </w:rPr>
        <w:t xml:space="preserve"> is literally “who was dear to him.” The pronoun “him” refers to the centurion. Some versions, like the BSB, clarify this by referring to the centurion again, using a different term such as “master” or “officer.” Here are some other ways to translate this:</w:t>
      </w:r>
    </w:p>
    <w:p>
      <w:pPr/>
      <w:r>
        <w:rPr>
          <w:lang w:val="en_US" w:bidi="en_US"/>
        </w:rPr>
      </w:r>
      <w:r>
        <w:rPr>
          <w:lang w:val="en_US" w:bidi="en_US"/>
        </w:rPr>
        <w:t>whom his master valued highly (NIV)</w:t>
      </w:r>
    </w:p>
    <w:p>
      <w:pPr/>
      <w:r>
        <w:rPr>
          <w:lang w:val="en_US" w:bidi="en_US"/>
        </w:rPr>
      </w:r>
      <w:r>
        <w:rPr>
          <w:lang w:val="en_US" w:bidi="en_US"/>
        </w:rPr>
        <w:t>The officer liked this servant very much. (CEV)</w:t>
      </w:r>
    </w:p>
    <w:p>
      <w:pPr/>
      <w:r>
        <w:rPr>
          <w:lang w:val="en_US" w:bidi="en_US"/>
        </w:rPr>
      </w:r>
      <w:r>
        <w:rPr>
          <w:b/>
          <w:lang w:val="en_US" w:bidi="en_US"/>
        </w:rPr>
        <w:t>highly valued:</w:t>
      </w:r>
      <w:r>
        <w:rPr>
          <w:lang w:val="en_US" w:bidi="en_US"/>
        </w:rPr>
        <w:t xml:space="preserve"> The Greek term that the BSB translates as </w:t>
      </w:r>
      <w:r>
        <w:rPr>
          <w:i/>
          <w:lang w:val="en_US" w:bidi="en_US"/>
        </w:rPr>
        <w:t>highly valued</w:t>
      </w:r>
      <w:r>
        <w:rPr>
          <w:lang w:val="en_US" w:bidi="en_US"/>
        </w:rPr>
        <w:t xml:space="preserve"> has different meanings, including “valuable, precious, honored, respected.” In this context, it means that the officer loved his servant and considered him to be important. It does not indicate only that the servant was useful to the officer. Some ways to translate this in English are:</w:t>
      </w:r>
    </w:p>
    <w:p>
      <w:pPr/>
      <w:r>
        <w:rPr>
          <w:lang w:val="en_US" w:bidi="en_US"/>
        </w:rPr>
      </w:r>
      <w:r>
        <w:rPr>
          <w:lang w:val="en_US" w:bidi="en_US"/>
        </w:rPr>
        <w:t>dear (RSV)</w:t>
      </w:r>
    </w:p>
    <w:p>
      <w:pPr/>
      <w:r>
        <w:rPr>
          <w:lang w:val="en_US" w:bidi="en_US"/>
        </w:rPr>
      </w:r>
      <w:r>
        <w:rPr>
          <w:lang w:val="en_US" w:bidi="en_US"/>
        </w:rPr>
        <w:t>highly regarded (NASB)</w:t>
      </w:r>
    </w:p>
    <w:p>
      <w:pPr/>
      <w:r>
        <w:rPr>
          <w:lang w:val="en_US" w:bidi="en_US"/>
        </w:rPr>
      </w:r>
      <w:r>
        <w:rPr>
          <w:b/>
          <w:lang w:val="en_US" w:bidi="en_US"/>
        </w:rPr>
        <w:t>servant:</w:t>
      </w:r>
      <w:r>
        <w:rPr>
          <w:lang w:val="en_US" w:bidi="en_US"/>
        </w:rPr>
        <w:t xml:space="preserve"> The Greek word that the BSB translates as </w:t>
      </w:r>
      <w:r>
        <w:rPr>
          <w:i/>
          <w:lang w:val="en_US" w:bidi="en_US"/>
        </w:rPr>
        <w:t>servant</w:t>
      </w:r>
      <w:r>
        <w:rPr>
          <w:lang w:val="en_US" w:bidi="en_US"/>
        </w:rPr>
        <w:t xml:space="preserve"> means a “slave,” and several English versions translate it that way. It refers to someone who was owned by another person. A slave had no rights of his own and worked for his owner without receiving pay.</w:t>
      </w:r>
    </w:p>
    <w:p>
      <w:pPr/>
      <w:r>
        <w:rPr>
          <w:lang w:val="en_US" w:bidi="en_US"/>
        </w:rPr>
      </w:r>
      <w:r>
        <w:rPr>
          <w:lang w:val="en_US" w:bidi="en_US"/>
        </w:rPr>
        <w:t>If the idea of slaves or servants is not known in your area, you could say:</w:t>
      </w:r>
    </w:p>
    <w:p>
      <w:pPr/>
      <w:r>
        <w:rPr>
          <w:lang w:val="en_US" w:bidi="en_US"/>
        </w:rPr>
      </w:r>
      <w:r>
        <w:rPr>
          <w:lang w:val="en_US" w:bidi="en_US"/>
        </w:rPr>
        <w:t>a man/person who belonged to a centurion</w:t>
      </w:r>
    </w:p>
    <w:p>
      <w:pPr/>
      <w:r>
        <w:rPr>
          <w:lang w:val="en_US" w:bidi="en_US"/>
        </w:rPr>
      </w:r>
      <w:r>
        <w:rPr>
          <w:lang w:val="en_US" w:bidi="en_US"/>
        </w:rPr>
        <w:t>a centurion owned a man/person</w:t>
      </w:r>
    </w:p>
    <w:p>
      <w:pPr/>
      <w:r>
        <w:rPr>
          <w:lang w:val="en_US" w:bidi="en_US"/>
        </w:rPr>
      </w:r>
      <w:r>
        <w:rPr>
          <w:lang w:val="en_US" w:bidi="en_US"/>
        </w:rPr>
        <w:t>See “Slavery in Bible Times” in the Appendix.</w:t>
      </w:r>
    </w:p>
    <w:p>
      <w:pPr/>
      <w:r>
        <w:rPr>
          <w:lang w:val="en_US" w:bidi="en_US"/>
        </w:rPr>
      </w:r>
      <w:r>
        <w:rPr>
          <w:b/>
          <w:lang w:val="en_US" w:bidi="en_US"/>
        </w:rPr>
        <w:t>a centurion:</w:t>
      </w:r>
      <w:r>
        <w:rPr>
          <w:lang w:val="en_US" w:bidi="en_US"/>
        </w:rPr>
        <w:t xml:space="preserve"> A </w:t>
      </w:r>
      <w:r>
        <w:rPr>
          <w:i/>
          <w:lang w:val="en_US" w:bidi="en_US"/>
        </w:rPr>
        <w:t>centurion</w:t>
      </w:r>
      <w:r>
        <w:rPr>
          <w:lang w:val="en_US" w:bidi="en_US"/>
        </w:rPr>
        <w:t xml:space="preserve"> was a Roman army officer who was the leader of about one hundred soldiers. The word </w:t>
      </w:r>
      <w:r>
        <w:rPr>
          <w:i/>
          <w:lang w:val="en_US" w:bidi="en_US"/>
        </w:rPr>
        <w:t>centurion</w:t>
      </w:r>
      <w:r>
        <w:rPr>
          <w:lang w:val="en_US" w:bidi="en_US"/>
        </w:rPr>
        <w:t xml:space="preserve"> literally means “officer of one hundred.” Some ways to translate this are:</w:t>
      </w:r>
    </w:p>
    <w:p>
      <w:pPr>
        <w:pStyle w:val="ListBullet"/>
        <w:spacing w:line="240" w:lineRule="auto"/>
        <w:ind w:left="720"/>
      </w:pPr>
      <w:r>
        <w:rPr>
          <w:lang w:val="en_US" w:bidi="en_US"/>
        </w:rPr>
      </w:r>
      <w:r>
        <w:rPr>
          <w:lang w:val="en_US" w:bidi="en_US"/>
        </w:rPr>
        <w:t>Translate the literal meaning of the Greek word. For example:</w:t>
      </w:r>
      <w:r>
        <w:rPr>
          <w:lang w:val="en_US" w:bidi="en_US"/>
        </w:rPr>
        <w:t>officer of one hundred men</w:t>
      </w:r>
    </w:p>
    <w:p>
      <w:pPr>
        <w:pStyle w:val="ListBullet"/>
        <w:spacing w:line="240" w:lineRule="auto"/>
        <w:ind w:left="720"/>
      </w:pPr>
      <w:r>
        <w:rPr>
          <w:lang w:val="en_US" w:bidi="en_US"/>
        </w:rPr>
      </w:r>
      <w:r>
        <w:rPr>
          <w:lang w:val="en_US" w:bidi="en_US"/>
        </w:rPr>
        <w:t>Use a term for such an officer in the army in your country. For example:</w:t>
      </w:r>
      <w:r>
        <w:rPr>
          <w:lang w:val="en_US" w:bidi="en_US"/>
        </w:rPr>
        <w:t>captain</w:t>
      </w:r>
    </w:p>
    <w:p>
      <w:pPr>
        <w:pStyle w:val="ListBullet"/>
        <w:spacing w:line="240" w:lineRule="auto"/>
        <w:ind w:left="720"/>
      </w:pPr>
      <w:r>
        <w:rPr>
          <w:lang w:val="en_US" w:bidi="en_US"/>
        </w:rPr>
      </w:r>
      <w:r>
        <w:rPr>
          <w:lang w:val="en_US" w:bidi="en_US"/>
        </w:rPr>
        <w:t>Use a general word for an officer or commander.</w:t>
      </w:r>
    </w:p>
    <w:p>
      <w:pPr/>
      <w:r>
        <w:rPr>
          <w:lang w:val="en_US" w:bidi="en_US"/>
        </w:rPr>
      </w:r>
      <w:r>
        <w:rPr>
          <w:lang w:val="en_US" w:bidi="en_US"/>
        </w:rPr>
        <w:t xml:space="preserve">You may also need to supply the information that this was a </w:t>
      </w:r>
      <w:r>
        <w:rPr>
          <w:u w:val="single"/>
          <w:lang w:val="en_US" w:bidi="en_US"/>
        </w:rPr>
        <w:t>Roman</w:t>
      </w:r>
      <w:r>
        <w:rPr>
          <w:lang w:val="en_US" w:bidi="en_US"/>
        </w:rPr>
        <w:t xml:space="preserve"> officer. This is implied by the term </w:t>
      </w:r>
      <w:r>
        <w:rPr>
          <w:i/>
          <w:lang w:val="en_US" w:bidi="en_US"/>
        </w:rPr>
        <w:t>centurion</w:t>
      </w:r>
      <w:r>
        <w:rPr>
          <w:lang w:val="en_US" w:bidi="en_US"/>
        </w:rPr>
        <w:t>, which was used only by the Roman army.</w:t>
      </w:r>
    </w:p>
    <w:p>
      <w:pPr>
        <w:pStyle w:val="Heading5"/>
      </w:pPr>
      <w:r>
        <w:rPr>
          <w:lang w:val="en_US" w:bidi="en_US"/>
        </w:rPr>
        <w:t>7:2b</w:t>
      </w:r>
    </w:p>
    <w:p>
      <w:pPr/>
      <w:r>
        <w:rPr>
          <w:lang w:val="en_US" w:bidi="en_US"/>
        </w:rPr>
      </w:r>
      <w:r>
        <w:rPr>
          <w:b/>
          <w:lang w:val="en_US" w:bidi="en_US"/>
        </w:rPr>
        <w:t>was sick and about to die.</w:t>
      </w:r>
    </w:p>
    <w:p>
      <w:pPr>
        <w:pStyle w:val="ListBullet"/>
        <w:spacing w:line="240" w:lineRule="auto"/>
        <w:ind w:left="720"/>
      </w:pPr>
      <w:r>
        <w:rPr>
          <w:lang w:val="en_US" w:bidi="en_US"/>
        </w:rPr>
      </w:r>
      <w:r>
        <w:rPr>
          <w:lang w:val="en_US" w:bidi="en_US"/>
        </w:rPr>
        <w:t>That slave was so sick that he was about to die.</w:t>
      </w:r>
    </w:p>
    <w:p>
      <w:pPr>
        <w:pStyle w:val="ListBullet"/>
        <w:spacing w:line="240" w:lineRule="auto"/>
        <w:ind w:left="720"/>
      </w:pPr>
      <w:r>
        <w:rPr>
          <w:lang w:val="en_US" w:bidi="en_US"/>
        </w:rPr>
      </w:r>
      <w:r>
        <w:rPr>
          <w:lang w:val="en_US" w:bidi="en_US"/>
        </w:rPr>
        <w:t>His servant was very sick and almost dead.</w:t>
      </w:r>
    </w:p>
    <w:p>
      <w:pPr/>
      <w:r>
        <w:rPr>
          <w:lang w:val="en_US" w:bidi="en_US"/>
        </w:rPr>
      </w:r>
      <w:r>
        <w:rPr>
          <w:b/>
          <w:lang w:val="en_US" w:bidi="en_US"/>
        </w:rPr>
        <w:t>was sick and about to die:</w:t>
      </w:r>
      <w:r>
        <w:rPr>
          <w:lang w:val="en_US" w:bidi="en_US"/>
        </w:rPr>
        <w:t xml:space="preserve"> The Greek text that the BSB translates as </w:t>
      </w:r>
      <w:r>
        <w:rPr>
          <w:i/>
          <w:lang w:val="en_US" w:bidi="en_US"/>
        </w:rPr>
        <w:t>was sick and about to die</w:t>
      </w:r>
      <w:r>
        <w:rPr>
          <w:lang w:val="en_US" w:bidi="en_US"/>
        </w:rPr>
        <w:t xml:space="preserve"> means that the servant was seriously ill and near death. Other ways to say this are:</w:t>
      </w:r>
    </w:p>
    <w:p>
      <w:pPr/>
      <w:r>
        <w:rPr>
          <w:lang w:val="en_US" w:bidi="en_US"/>
        </w:rPr>
      </w:r>
      <w:r>
        <w:rPr>
          <w:lang w:val="en_US" w:bidi="en_US"/>
        </w:rPr>
        <w:t>was so sick he was nearly dead (NCV)</w:t>
      </w:r>
    </w:p>
    <w:p>
      <w:pPr/>
      <w:r>
        <w:rPr>
          <w:lang w:val="en_US" w:bidi="en_US"/>
        </w:rPr>
      </w:r>
      <w:r>
        <w:rPr>
          <w:lang w:val="en_US" w:bidi="en_US"/>
        </w:rPr>
        <w:t>was ill and close to death (NRSV)</w:t>
      </w:r>
    </w:p>
    <w:p>
      <w:pPr>
        <w:pStyle w:val="Heading6"/>
      </w:pPr>
      <w:r>
        <w:rPr>
          <w:b/>
          <w:lang w:val="en_US" w:bidi="en_US"/>
        </w:rPr>
        <w:t>General Comment on 7:2a–b</w:t>
      </w:r>
    </w:p>
    <w:p>
      <w:pPr/>
      <w:r>
        <w:rPr>
          <w:lang w:val="en_US" w:bidi="en_US"/>
        </w:rPr>
      </w:r>
      <w:r>
        <w:rPr>
          <w:lang w:val="en_US" w:bidi="en_US"/>
        </w:rPr>
        <w:t>This verse first introduces the centurion and then introduces his slave. The verse gives two pieces of information about the slave:</w:t>
      </w:r>
    </w:p>
    <w:p>
      <w:pPr>
        <w:pStyle w:val="ListNumber"/>
        <w:numPr>
          <w:ilvl w:val="0"/>
          <w:numId w:val="143"/>
        </w:numPr>
        <w:spacing w:line="240" w:lineRule="auto"/>
        <w:ind w:left="720"/>
      </w:pPr>
      <w:r>
        <w:rPr>
          <w:lang w:val="en_US" w:bidi="en_US"/>
        </w:rPr>
      </w:r>
      <w:r>
        <w:rPr>
          <w:lang w:val="en_US" w:bidi="en_US"/>
        </w:rPr>
        <w:t>He was sick and at the point of death.</w:t>
      </w:r>
    </w:p>
    <w:p>
      <w:pPr>
        <w:pStyle w:val="ListNumber"/>
        <w:spacing w:line="240" w:lineRule="auto"/>
        <w:ind w:left="720"/>
      </w:pPr>
      <w:r>
        <w:rPr>
          <w:lang w:val="en_US" w:bidi="en_US"/>
        </w:rPr>
      </w:r>
      <w:r>
        <w:rPr>
          <w:lang w:val="en_US" w:bidi="en_US"/>
        </w:rPr>
        <w:t>He was dear to the centurion.</w:t>
      </w:r>
    </w:p>
    <w:p>
      <w:pPr/>
      <w:r>
        <w:rPr>
          <w:lang w:val="en_US" w:bidi="en_US"/>
        </w:rPr>
      </w:r>
      <w:r>
        <w:rPr>
          <w:lang w:val="en_US" w:bidi="en_US"/>
        </w:rPr>
        <w:t>Consider in your language what order would be most natural to present this information. An example that follows the Greek word order is:</w:t>
      </w:r>
    </w:p>
    <w:p>
      <w:pPr/>
      <w:r>
        <w:rPr>
          <w:lang w:val="en_US" w:bidi="en_US"/>
        </w:rPr>
      </w:r>
      <w:r>
        <w:rPr>
          <w:vertAlign w:val="superscript"/>
          <w:lang w:val="en_US" w:bidi="en_US"/>
        </w:rPr>
        <w:t>2a</w:t>
      </w:r>
      <w:r>
        <w:rPr>
          <w:lang w:val="en_US" w:bidi="en_US"/>
        </w:rPr>
        <w:t xml:space="preserve">There was a slave of a Roman centurion </w:t>
      </w:r>
      <w:r>
        <w:rPr>
          <w:vertAlign w:val="superscript"/>
          <w:lang w:val="en_US" w:bidi="en_US"/>
        </w:rPr>
        <w:t>2b</w:t>
      </w:r>
      <w:r>
        <w:rPr>
          <w:lang w:val="en_US" w:bidi="en_US"/>
        </w:rPr>
        <w:t xml:space="preserve">who was ill and about to die. </w:t>
      </w:r>
      <w:r>
        <w:rPr>
          <w:vertAlign w:val="superscript"/>
          <w:lang w:val="en_US" w:bidi="en_US"/>
        </w:rPr>
        <w:t>2a</w:t>
      </w:r>
      <w:r>
        <w:rPr>
          <w:lang w:val="en_US" w:bidi="en_US"/>
        </w:rPr>
        <w:t>This slave was dear to the centurion.</w:t>
      </w:r>
      <w:r>
        <w:rPr>
          <w:lang w:val="en_US" w:bidi="en_US"/>
        </w:rPr>
      </w:r>
      <w:r>
        <w:rPr>
          <w:lang w:val="en_US" w:bidi="en_US"/>
        </w:rPr>
      </w:r>
    </w:p>
    <w:p>
      <w:pPr/>
      <w:r>
        <w:rPr>
          <w:lang w:val="en_US" w:bidi="en_US"/>
        </w:rPr>
      </w:r>
    </w:p>
    <w:p>
      <w:pPr>
        <w:pStyle w:val="Heading2"/>
      </w:pPr>
      <w:r>
        <w:rPr>
          <w:lang w:val="en_US" w:bidi="en_US"/>
        </w:rPr>
        <w:t>Luke 7:3</w:t>
      </w:r>
      <w:r>
        <w:rPr>
          <w:lang w:val="en_US" w:bidi="en_US"/>
        </w:rPr>
      </w:r>
    </w:p>
    <w:p>
      <w:pPr>
        <w:pStyle w:val="Heading4"/>
      </w:pPr>
      <w:r>
        <w:rPr>
          <w:lang w:val="en_US" w:bidi="en_US"/>
        </w:rPr>
        <w:t>Section 7:1–10: Jesus healed an army officer’s servant</w:t>
      </w:r>
    </w:p>
    <w:p>
      <w:pPr/>
      <w:r>
        <w:rPr>
          <w:lang w:val="en_US" w:bidi="en_US"/>
        </w:rPr>
      </w:r>
      <w:r>
        <w:rPr>
          <w:lang w:val="en_US" w:bidi="en_US"/>
        </w:rPr>
        <w:t>This section tells how an army officer trusted Jesus to heal his servant. The officer was not a Jew; he was a Gentile, a Roman. He sent some Jewish leaders as messengers to ask Jesus to come and heal his servant. Later he sent some friends to say that it was not necessary for Jesus to come to his house. He believed that Jesus could heal his servant from a distance.</w:t>
      </w:r>
    </w:p>
    <w:p>
      <w:pPr/>
      <w:r>
        <w:rPr>
          <w:lang w:val="en_US" w:bidi="en_US"/>
        </w:rPr>
      </w:r>
      <w:r>
        <w:rPr>
          <w:lang w:val="en_US" w:bidi="en_US"/>
        </w:rPr>
        <w:t>The Roman compared Jesus’ authority to his own authority as an army officer. As an officer, he could cause other soldiers to obey him by simply commanding them to do something. He recognized that Jesus also had authority and power to heal by only giving a command. Jesus was amazed that this Gentile trusted him so much. He said that the officer had more faith than any Jew whom he had met.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 Roman army officer shows great faith in Jesus</w:t>
      </w:r>
    </w:p>
    <w:p>
      <w:pPr/>
      <w:r>
        <w:rPr>
          <w:lang w:val="en_US" w:bidi="en_US"/>
        </w:rPr>
      </w:r>
      <w:r>
        <w:rPr>
          <w:lang w:val="en_US" w:bidi="en_US"/>
        </w:rPr>
        <w:t>Jesus is amazed by the faith of a captain in the Roman army</w:t>
      </w:r>
    </w:p>
    <w:p>
      <w:pPr/>
      <w:r>
        <w:rPr>
          <w:lang w:val="en_US" w:bidi="en_US"/>
        </w:rPr>
      </w:r>
      <w:r>
        <w:rPr>
          <w:lang w:val="en_US" w:bidi="en_US"/>
        </w:rPr>
        <w:t>The amazing faith of the centurion</w:t>
      </w:r>
    </w:p>
    <w:p>
      <w:pPr/>
      <w:r>
        <w:rPr>
          <w:lang w:val="en_US" w:bidi="en_US"/>
        </w:rPr>
      </w:r>
      <w:r>
        <w:rPr>
          <w:lang w:val="en_US" w:bidi="en_US"/>
        </w:rPr>
        <w:t>There is a parallel passage for this section in Matthew 8:5–13.</w:t>
      </w:r>
    </w:p>
    <w:p>
      <w:pPr>
        <w:pStyle w:val="Heading5"/>
      </w:pPr>
      <w:r>
        <w:rPr>
          <w:lang w:val="en_US" w:bidi="en_US"/>
        </w:rPr>
        <w:t>7:3a</w:t>
      </w:r>
    </w:p>
    <w:p>
      <w:pPr/>
      <w:r>
        <w:rPr>
          <w:lang w:val="en_US" w:bidi="en_US"/>
        </w:rPr>
      </w:r>
      <w:r>
        <w:rPr>
          <w:b/>
          <w:lang w:val="en_US" w:bidi="en_US"/>
        </w:rPr>
        <w:t>When the centurion heard about Jesus,</w:t>
      </w:r>
    </w:p>
    <w:p>
      <w:pPr>
        <w:pStyle w:val="ListBullet"/>
        <w:spacing w:line="240" w:lineRule="auto"/>
        <w:ind w:left="720"/>
      </w:pPr>
      <w:r>
        <w:rPr>
          <w:lang w:val="en_US" w:bidi="en_US"/>
        </w:rPr>
      </w:r>
      <w:r>
        <w:rPr>
          <w:lang w:val="en_US" w:bidi="en_US"/>
        </w:rPr>
        <w:t>When the officer heard about Jesus,</w:t>
      </w:r>
    </w:p>
    <w:p>
      <w:pPr>
        <w:pStyle w:val="ListBullet"/>
        <w:spacing w:line="240" w:lineRule="auto"/>
        <w:ind w:left="720"/>
      </w:pPr>
      <w:r>
        <w:rPr>
          <w:lang w:val="en_US" w:bidi="en_US"/>
        </w:rPr>
      </w:r>
      <w:r>
        <w:rPr>
          <w:lang w:val="en_US" w:bidi="en_US"/>
        </w:rPr>
        <w:t>Someone/People</w:t>
      </w:r>
      <w:r>
        <w:rPr>
          <w:lang w:val="en_US" w:bidi="en_US"/>
        </w:rPr>
        <w:t xml:space="preserve"> told the captain that Jesus </w:t>
      </w:r>
      <w:r>
        <w:rPr>
          <w:lang w:val="en_US" w:bidi="en_US"/>
        </w:rPr>
        <w:t>could heal people</w:t>
      </w:r>
      <w:r>
        <w:rPr>
          <w:lang w:val="en_US" w:bidi="en_US"/>
        </w:rPr>
        <w:t>.</w:t>
      </w:r>
    </w:p>
    <w:p>
      <w:pPr/>
      <w:r>
        <w:rPr>
          <w:lang w:val="en_US" w:bidi="en_US"/>
        </w:rPr>
      </w:r>
      <w:r>
        <w:rPr>
          <w:b/>
          <w:lang w:val="en_US" w:bidi="en_US"/>
        </w:rPr>
        <w:t>When the centurion heard about Jesus:</w:t>
      </w:r>
      <w:r>
        <w:rPr>
          <w:lang w:val="en_US" w:bidi="en_US"/>
        </w:rPr>
        <w:t xml:space="preserve"> This clause implies that the centurion (officer) heard what people were saying about Jesus. Someone may have told him specifically that Jesus had healed many people. In some languages it may be natural to translate this as:</w:t>
      </w:r>
    </w:p>
    <w:p>
      <w:pPr/>
      <w:r>
        <w:rPr>
          <w:lang w:val="en_US" w:bidi="en_US"/>
        </w:rPr>
      </w:r>
      <w:r>
        <w:rPr>
          <w:lang w:val="en_US" w:bidi="en_US"/>
        </w:rPr>
        <w:t>Someone/People told the centurion about Jesus.</w:t>
      </w:r>
    </w:p>
    <w:p>
      <w:pPr/>
      <w:r>
        <w:rPr>
          <w:lang w:val="en_US" w:bidi="en_US"/>
        </w:rPr>
      </w:r>
      <w:r>
        <w:rPr>
          <w:lang w:val="en_US" w:bidi="en_US"/>
        </w:rPr>
        <w:t>In some languages it may be necessary to make explicit what he heard. For example:</w:t>
      </w:r>
    </w:p>
    <w:p>
      <w:pPr/>
      <w:r>
        <w:rPr>
          <w:lang w:val="en_US" w:bidi="en_US"/>
        </w:rPr>
      </w:r>
      <w:r>
        <w:rPr>
          <w:lang w:val="en_US" w:bidi="en_US"/>
        </w:rPr>
        <w:t xml:space="preserve">The centurion heard that Jesus </w:t>
      </w:r>
      <w:r>
        <w:rPr>
          <w:lang w:val="en_US" w:bidi="en_US"/>
        </w:rPr>
        <w:t>had healed people</w:t>
      </w:r>
    </w:p>
    <w:p>
      <w:pPr>
        <w:pStyle w:val="Heading5"/>
      </w:pPr>
      <w:r>
        <w:rPr>
          <w:lang w:val="en_US" w:bidi="en_US"/>
        </w:rPr>
        <w:t>7:3b</w:t>
      </w:r>
    </w:p>
    <w:p>
      <w:pPr/>
      <w:r>
        <w:rPr>
          <w:lang w:val="en_US" w:bidi="en_US"/>
        </w:rPr>
      </w:r>
      <w:r>
        <w:rPr>
          <w:b/>
          <w:lang w:val="en_US" w:bidi="en_US"/>
        </w:rPr>
        <w:t>he sent some Jewish elders</w:t>
      </w:r>
    </w:p>
    <w:p>
      <w:pPr>
        <w:pStyle w:val="ListBullet"/>
        <w:spacing w:line="240" w:lineRule="auto"/>
        <w:ind w:left="720"/>
      </w:pPr>
      <w:r>
        <w:rPr>
          <w:lang w:val="en_US" w:bidi="en_US"/>
        </w:rPr>
      </w:r>
      <w:r>
        <w:rPr>
          <w:lang w:val="en_US" w:bidi="en_US"/>
        </w:rPr>
        <w:t>he sent some Jewish elders/leaders to him</w:t>
      </w:r>
    </w:p>
    <w:p>
      <w:pPr>
        <w:pStyle w:val="ListBullet"/>
        <w:spacing w:line="240" w:lineRule="auto"/>
        <w:ind w:left="720"/>
      </w:pPr>
      <w:r>
        <w:rPr>
          <w:lang w:val="en_US" w:bidi="en_US"/>
        </w:rPr>
      </w:r>
      <w:r>
        <w:rPr>
          <w:lang w:val="en_US" w:bidi="en_US"/>
        </w:rPr>
        <w:t>So he sent some of the leading men of the Jews</w:t>
      </w:r>
    </w:p>
    <w:p>
      <w:pPr/>
      <w:r>
        <w:rPr>
          <w:lang w:val="en_US" w:bidi="en_US"/>
        </w:rPr>
      </w:r>
      <w:r>
        <w:rPr>
          <w:b/>
          <w:lang w:val="en_US" w:bidi="en_US"/>
        </w:rPr>
        <w:t>he sent some Jewish elders to ask Him:</w:t>
      </w:r>
      <w:r>
        <w:rPr>
          <w:lang w:val="en_US" w:bidi="en_US"/>
        </w:rPr>
        <w:t xml:space="preserve"> The Roman army officer was not a Jew himself, but he knew that Jesus was a Jew. He thought that he should ask some of the leaders of the Jews to go to Jesus for him. The context (7:6e) shows that the Roman officer did not feel worthy to come to Jesus himself. He thought that Jesus would be more likely to heal his servant if the Jews pleaded on his behalf.</w:t>
      </w:r>
    </w:p>
    <w:p>
      <w:pPr/>
      <w:r>
        <w:rPr>
          <w:lang w:val="en_US" w:bidi="en_US"/>
        </w:rPr>
      </w:r>
      <w:r>
        <w:rPr>
          <w:b/>
          <w:lang w:val="en_US" w:bidi="en_US"/>
        </w:rPr>
        <w:t>sent…to ask Him:</w:t>
      </w:r>
      <w:r>
        <w:rPr>
          <w:lang w:val="en_US" w:bidi="en_US"/>
        </w:rPr>
        <w:t xml:space="preserve"> The words </w:t>
      </w:r>
      <w:r>
        <w:rPr>
          <w:i/>
          <w:lang w:val="en_US" w:bidi="en_US"/>
        </w:rPr>
        <w:t>sent…to ask Him</w:t>
      </w:r>
      <w:r>
        <w:rPr>
          <w:lang w:val="en_US" w:bidi="en_US"/>
        </w:rPr>
        <w:t xml:space="preserve"> indicate here that the officer politely asked the Jewish elders to go to Jesus and ask him a question. He did not command them to go. Another way to say this is:</w:t>
      </w:r>
    </w:p>
    <w:p>
      <w:pPr/>
      <w:r>
        <w:rPr>
          <w:lang w:val="en_US" w:bidi="en_US"/>
        </w:rPr>
      </w:r>
      <w:r>
        <w:rPr>
          <w:lang w:val="en_US" w:bidi="en_US"/>
        </w:rPr>
        <w:t>He asked some Jewish elders to go to Jesus.</w:t>
      </w:r>
    </w:p>
    <w:p>
      <w:pPr/>
      <w:r>
        <w:rPr>
          <w:lang w:val="en_US" w:bidi="en_US"/>
        </w:rPr>
      </w:r>
      <w:r>
        <w:rPr>
          <w:lang w:val="en_US" w:bidi="en_US"/>
        </w:rPr>
        <w:t>In some languages it may be natural to use direct speech here. For example:</w:t>
      </w:r>
    </w:p>
    <w:p>
      <w:pPr/>
      <w:r>
        <w:rPr>
          <w:lang w:val="en_US" w:bidi="en_US"/>
        </w:rPr>
      </w:r>
      <w:r>
        <w:rPr>
          <w:lang w:val="en_US" w:bidi="en_US"/>
        </w:rPr>
        <w:t>He said to some Jewish elders, “Please would you go to Jesus for me…”</w:t>
      </w:r>
    </w:p>
    <w:p>
      <w:pPr/>
      <w:r>
        <w:rPr>
          <w:lang w:val="en_US" w:bidi="en_US"/>
        </w:rPr>
      </w:r>
      <w:r>
        <w:rPr>
          <w:b/>
          <w:lang w:val="en_US" w:bidi="en_US"/>
        </w:rPr>
        <w:t>Jewish elders:</w:t>
      </w:r>
      <w:r>
        <w:rPr>
          <w:lang w:val="en_US" w:bidi="en_US"/>
        </w:rPr>
        <w:t xml:space="preserve"> The Greek word that the BSB translates as </w:t>
      </w:r>
      <w:r>
        <w:rPr>
          <w:i/>
          <w:lang w:val="en_US" w:bidi="en_US"/>
        </w:rPr>
        <w:t>elders</w:t>
      </w:r>
      <w:r>
        <w:rPr>
          <w:lang w:val="en_US" w:bidi="en_US"/>
        </w:rPr>
        <w:t xml:space="preserve"> means “old men.” This word often refers to men who were respected leaders in the community. They were not necessarily religious leaders. In some cultures a term that means “old men” may not imply that the men were leaders. If that is true in your language, you may need to use a different term. Some other ways to translate this word are:</w:t>
      </w:r>
    </w:p>
    <w:p>
      <w:pPr/>
      <w:r>
        <w:rPr>
          <w:lang w:val="en_US" w:bidi="en_US"/>
        </w:rPr>
      </w:r>
      <w:r>
        <w:rPr>
          <w:lang w:val="en_US" w:bidi="en_US"/>
        </w:rPr>
        <w:t>leaders</w:t>
      </w:r>
    </w:p>
    <w:p>
      <w:pPr/>
      <w:r>
        <w:rPr>
          <w:lang w:val="en_US" w:bidi="en_US"/>
        </w:rPr>
      </w:r>
      <w:r>
        <w:rPr>
          <w:lang w:val="en_US" w:bidi="en_US"/>
        </w:rPr>
        <w:t>important men</w:t>
      </w:r>
    </w:p>
    <w:p>
      <w:pPr/>
      <w:r>
        <w:rPr>
          <w:lang w:val="en_US" w:bidi="en_US"/>
        </w:rPr>
      </w:r>
      <w:r>
        <w:rPr>
          <w:lang w:val="en_US" w:bidi="en_US"/>
        </w:rPr>
        <w:t>leading men among the people</w:t>
      </w:r>
    </w:p>
    <w:p>
      <w:pPr/>
      <w:r>
        <w:rPr>
          <w:lang w:val="en_US" w:bidi="en_US"/>
        </w:rPr>
      </w:r>
      <w:r>
        <w:rPr>
          <w:b/>
          <w:lang w:val="en_US" w:bidi="en_US"/>
        </w:rPr>
        <w:t>Jewish:</w:t>
      </w:r>
      <w:r>
        <w:rPr>
          <w:lang w:val="en_US" w:bidi="en_US"/>
        </w:rPr>
        <w:t xml:space="preserve"> The word </w:t>
      </w:r>
      <w:r>
        <w:rPr>
          <w:i/>
          <w:lang w:val="en_US" w:bidi="en_US"/>
        </w:rPr>
        <w:t>Jewish</w:t>
      </w:r>
      <w:r>
        <w:rPr>
          <w:lang w:val="en_US" w:bidi="en_US"/>
        </w:rPr>
        <w:t xml:space="preserve"> refers to people who follow the religion of the Jews. Most Jews are descendants of the man named Israel. The word “Jew” comes from the name of Israel’s son Judah, who was the great-grandson of Abraham. If you do not already have a word in your language for </w:t>
      </w:r>
      <w:r>
        <w:rPr>
          <w:i/>
          <w:lang w:val="en_US" w:bidi="en_US"/>
        </w:rPr>
        <w:t>Jewish</w:t>
      </w:r>
      <w:r>
        <w:rPr>
          <w:lang w:val="en_US" w:bidi="en_US"/>
        </w:rPr>
        <w:t xml:space="preserve">, you could write this name based on the Hebrew name “Yehuda” (Judah). Use the form or phrase that your language naturally uses for names of tribes called after a common ancestor. For example, in Arabic the word </w:t>
      </w:r>
      <w:r>
        <w:rPr>
          <w:i/>
          <w:lang w:val="en_US" w:bidi="en_US"/>
        </w:rPr>
        <w:t>Jewish</w:t>
      </w:r>
      <w:r>
        <w:rPr>
          <w:lang w:val="en_US" w:bidi="en_US"/>
        </w:rPr>
        <w:t xml:space="preserve"> is written as “Yahudi.”</w:t>
      </w:r>
    </w:p>
    <w:p>
      <w:pPr>
        <w:pStyle w:val="Heading5"/>
      </w:pPr>
      <w:r>
        <w:rPr>
          <w:lang w:val="en_US" w:bidi="en_US"/>
        </w:rPr>
        <w:t>7:3c</w:t>
      </w:r>
    </w:p>
    <w:p>
      <w:pPr/>
      <w:r>
        <w:rPr>
          <w:lang w:val="en_US" w:bidi="en_US"/>
        </w:rPr>
      </w:r>
      <w:r>
        <w:rPr>
          <w:b/>
          <w:lang w:val="en_US" w:bidi="en_US"/>
        </w:rPr>
        <w:t>to ask Him to come and heal his servant.</w:t>
      </w:r>
    </w:p>
    <w:p>
      <w:pPr>
        <w:pStyle w:val="ListBullet"/>
        <w:spacing w:line="240" w:lineRule="auto"/>
        <w:ind w:left="720"/>
      </w:pPr>
      <w:r>
        <w:rPr>
          <w:lang w:val="en_US" w:bidi="en_US"/>
        </w:rPr>
      </w:r>
      <w:r>
        <w:rPr>
          <w:lang w:val="en_US" w:bidi="en_US"/>
        </w:rPr>
        <w:t>in order to ask him to come and heal his slave.</w:t>
      </w:r>
    </w:p>
    <w:p>
      <w:pPr>
        <w:pStyle w:val="ListBullet"/>
        <w:spacing w:line="240" w:lineRule="auto"/>
        <w:ind w:left="720"/>
      </w:pPr>
      <w:r>
        <w:rPr>
          <w:lang w:val="en_US" w:bidi="en_US"/>
        </w:rPr>
      </w:r>
      <w:r>
        <w:rPr>
          <w:lang w:val="en_US" w:bidi="en_US"/>
        </w:rPr>
        <w:t>to say to Jesus, “Please come and heal my servant.”</w:t>
      </w:r>
    </w:p>
    <w:p>
      <w:pPr>
        <w:pStyle w:val="ListBullet"/>
        <w:spacing w:line="240" w:lineRule="auto"/>
        <w:ind w:left="720"/>
      </w:pPr>
      <w:r>
        <w:rPr>
          <w:lang w:val="en_US" w:bidi="en_US"/>
        </w:rPr>
      </w:r>
      <w:r>
        <w:rPr>
          <w:lang w:val="en_US" w:bidi="en_US"/>
        </w:rPr>
        <w:t>to ask him/Jesus to come and save his servant from death.</w:t>
      </w:r>
    </w:p>
    <w:p>
      <w:pPr/>
      <w:r>
        <w:rPr>
          <w:lang w:val="en_US" w:bidi="en_US"/>
        </w:rPr>
      </w:r>
      <w:r>
        <w:rPr>
          <w:b/>
          <w:lang w:val="en_US" w:bidi="en_US"/>
        </w:rPr>
        <w:t>to ask Him to come and heal his servant:</w:t>
      </w:r>
      <w:r>
        <w:rPr>
          <w:lang w:val="en_US" w:bidi="en_US"/>
        </w:rPr>
        <w:t xml:space="preserve"> The phrase </w:t>
      </w:r>
      <w:r>
        <w:rPr>
          <w:i/>
          <w:lang w:val="en_US" w:bidi="en_US"/>
        </w:rPr>
        <w:t>to ask Him to come and heal his servant</w:t>
      </w:r>
      <w:r>
        <w:rPr>
          <w:lang w:val="en_US" w:bidi="en_US"/>
        </w:rPr>
        <w:t xml:space="preserve"> tells the message that the centurion was giving Jesus. He requested that Jesus would come and heal his servant. In some languages it may be natural to use direct speech either for the centurion’s words or for the message that the elders were to give to Jesus. For example:</w:t>
      </w:r>
    </w:p>
    <w:p>
      <w:pPr/>
      <w:r>
        <w:rPr>
          <w:lang w:val="en_US" w:bidi="en_US"/>
        </w:rPr>
      </w:r>
      <w:r>
        <w:rPr>
          <w:lang w:val="en_US" w:bidi="en_US"/>
        </w:rPr>
        <w:t>He told them, “Beg Jesus to come and heal my slave.”</w:t>
      </w:r>
    </w:p>
    <w:p>
      <w:pPr/>
      <w:r>
        <w:rPr>
          <w:lang w:val="en_US" w:bidi="en_US"/>
        </w:rPr>
      </w:r>
      <w:r>
        <w:rPr>
          <w:lang w:val="en_US" w:bidi="en_US"/>
        </w:rPr>
        <w:t>He told them to say to Jesus, “Please come and heal my slave.”</w:t>
      </w:r>
      <w:r>
        <w:rPr>
          <w:lang w:val="en_US" w:bidi="en_US"/>
        </w:rPr>
      </w:r>
      <w:r>
        <w:rPr>
          <w:lang w:val="en_US" w:bidi="en_US"/>
        </w:rPr>
      </w:r>
    </w:p>
    <w:p>
      <w:pPr/>
      <w:r>
        <w:rPr>
          <w:lang w:val="en_US" w:bidi="en_US"/>
        </w:rPr>
      </w:r>
    </w:p>
    <w:p>
      <w:pPr>
        <w:pStyle w:val="Heading2"/>
      </w:pPr>
      <w:r>
        <w:rPr>
          <w:lang w:val="en_US" w:bidi="en_US"/>
        </w:rPr>
        <w:t>Luke 7:4</w:t>
      </w:r>
      <w:r>
        <w:rPr>
          <w:lang w:val="en_US" w:bidi="en_US"/>
        </w:rPr>
      </w:r>
    </w:p>
    <w:p>
      <w:pPr>
        <w:pStyle w:val="Heading4"/>
      </w:pPr>
      <w:r>
        <w:rPr>
          <w:lang w:val="en_US" w:bidi="en_US"/>
        </w:rPr>
        <w:t>Section 7:1–10: Jesus healed an army officer’s servant</w:t>
      </w:r>
    </w:p>
    <w:p>
      <w:pPr/>
      <w:r>
        <w:rPr>
          <w:lang w:val="en_US" w:bidi="en_US"/>
        </w:rPr>
      </w:r>
      <w:r>
        <w:rPr>
          <w:lang w:val="en_US" w:bidi="en_US"/>
        </w:rPr>
        <w:t>This section tells how an army officer trusted Jesus to heal his servant. The officer was not a Jew; he was a Gentile, a Roman. He sent some Jewish leaders as messengers to ask Jesus to come and heal his servant. Later he sent some friends to say that it was not necessary for Jesus to come to his house. He believed that Jesus could heal his servant from a distance.</w:t>
      </w:r>
    </w:p>
    <w:p>
      <w:pPr/>
      <w:r>
        <w:rPr>
          <w:lang w:val="en_US" w:bidi="en_US"/>
        </w:rPr>
      </w:r>
      <w:r>
        <w:rPr>
          <w:lang w:val="en_US" w:bidi="en_US"/>
        </w:rPr>
        <w:t>The Roman compared Jesus’ authority to his own authority as an army officer. As an officer, he could cause other soldiers to obey him by simply commanding them to do something. He recognized that Jesus also had authority and power to heal by only giving a command. Jesus was amazed that this Gentile trusted him so much. He said that the officer had more faith than any Jew whom he had met.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 Roman army officer shows great faith in Jesus</w:t>
      </w:r>
    </w:p>
    <w:p>
      <w:pPr/>
      <w:r>
        <w:rPr>
          <w:lang w:val="en_US" w:bidi="en_US"/>
        </w:rPr>
      </w:r>
      <w:r>
        <w:rPr>
          <w:lang w:val="en_US" w:bidi="en_US"/>
        </w:rPr>
        <w:t>Jesus is amazed by the faith of a captain in the Roman army</w:t>
      </w:r>
    </w:p>
    <w:p>
      <w:pPr/>
      <w:r>
        <w:rPr>
          <w:lang w:val="en_US" w:bidi="en_US"/>
        </w:rPr>
      </w:r>
      <w:r>
        <w:rPr>
          <w:lang w:val="en_US" w:bidi="en_US"/>
        </w:rPr>
        <w:t>The amazing faith of the centurion</w:t>
      </w:r>
    </w:p>
    <w:p>
      <w:pPr/>
      <w:r>
        <w:rPr>
          <w:lang w:val="en_US" w:bidi="en_US"/>
        </w:rPr>
      </w:r>
      <w:r>
        <w:rPr>
          <w:lang w:val="en_US" w:bidi="en_US"/>
        </w:rPr>
        <w:t>There is a parallel passage for this section in Matthew 8:5–13.</w:t>
      </w:r>
    </w:p>
    <w:p>
      <w:pPr>
        <w:pStyle w:val="Heading5"/>
      </w:pPr>
      <w:r>
        <w:rPr>
          <w:lang w:val="en_US" w:bidi="en_US"/>
        </w:rPr>
        <w:t>7:4</w:t>
      </w:r>
    </w:p>
    <w:p>
      <w:pPr/>
      <w:r>
        <w:rPr>
          <w:lang w:val="en_US" w:bidi="en_US"/>
        </w:rPr>
      </w:r>
      <w:r>
        <w:rPr>
          <w:lang w:val="en_US" w:bidi="en_US"/>
        </w:rPr>
        <w:t>In this verse, the Jewish elders pleaded with Jesus to go and heal the officer’s slave. The officer was not a Jew. Jewish religious leaders and teachers would not normally enter the house of a person who was not a Jew. They believed that doing that would make them ritually unclean. So the elders expected that Jesus would not want to go to the officer’s house. This also explains the reason for the officer’s message in 7:6e, “I do not deserve to have you come under my roof.”</w:t>
      </w:r>
    </w:p>
    <w:p>
      <w:pPr>
        <w:pStyle w:val="Heading5"/>
      </w:pPr>
      <w:r>
        <w:rPr>
          <w:lang w:val="en_US" w:bidi="en_US"/>
        </w:rPr>
        <w:t>7:4a</w:t>
      </w:r>
    </w:p>
    <w:p>
      <w:pPr/>
      <w:r>
        <w:rPr>
          <w:lang w:val="en_US" w:bidi="en_US"/>
        </w:rPr>
      </w:r>
      <w:r>
        <w:rPr>
          <w:b/>
          <w:lang w:val="en_US" w:bidi="en_US"/>
        </w:rPr>
        <w:t>They came to Jesus and pleaded with Him earnestly,</w:t>
      </w:r>
    </w:p>
    <w:p>
      <w:pPr>
        <w:pStyle w:val="ListBullet"/>
        <w:spacing w:line="240" w:lineRule="auto"/>
        <w:ind w:left="720"/>
      </w:pPr>
      <w:r>
        <w:rPr>
          <w:lang w:val="en_US" w:bidi="en_US"/>
        </w:rPr>
      </w:r>
      <w:r>
        <w:rPr>
          <w:lang w:val="en_US" w:bidi="en_US"/>
        </w:rPr>
        <w:t>When they reached Jesus, they begged him strongly/insistently,</w:t>
      </w:r>
    </w:p>
    <w:p>
      <w:pPr>
        <w:pStyle w:val="ListBullet"/>
        <w:spacing w:line="240" w:lineRule="auto"/>
        <w:ind w:left="720"/>
      </w:pPr>
      <w:r>
        <w:rPr>
          <w:lang w:val="en_US" w:bidi="en_US"/>
        </w:rPr>
      </w:r>
      <w:r>
        <w:rPr>
          <w:lang w:val="en_US" w:bidi="en_US"/>
        </w:rPr>
        <w:t xml:space="preserve">The elders went to Jesus </w:t>
      </w:r>
      <w:r>
        <w:rPr>
          <w:lang w:val="en_US" w:bidi="en_US"/>
        </w:rPr>
        <w:t>and gave him the message. Then</w:t>
      </w:r>
      <w:r>
        <w:rPr>
          <w:lang w:val="en_US" w:bidi="en_US"/>
        </w:rPr>
        <w:t xml:space="preserve"> they begged him </w:t>
      </w:r>
      <w:r>
        <w:rPr>
          <w:lang w:val="en_US" w:bidi="en_US"/>
        </w:rPr>
        <w:t>to help</w:t>
      </w:r>
      <w:r>
        <w:rPr>
          <w:lang w:val="en_US" w:bidi="en_US"/>
        </w:rPr>
        <w:t xml:space="preserve">. With deep feeling </w:t>
      </w:r>
      <w:r>
        <w:rPr>
          <w:lang w:val="en_US" w:bidi="en_US"/>
        </w:rPr>
        <w:t>they said</w:t>
      </w:r>
      <w:r>
        <w:rPr>
          <w:lang w:val="en_US" w:bidi="en_US"/>
        </w:rPr>
        <w:t>,</w:t>
      </w:r>
    </w:p>
    <w:p>
      <w:pPr>
        <w:pStyle w:val="ListBullet"/>
        <w:spacing w:line="240" w:lineRule="auto"/>
        <w:ind w:left="720"/>
      </w:pPr>
      <w:r>
        <w:rPr>
          <w:lang w:val="en_US" w:bidi="en_US"/>
        </w:rPr>
      </w:r>
      <w:r>
        <w:rPr>
          <w:lang w:val="en_US" w:bidi="en_US"/>
        </w:rPr>
        <w:t xml:space="preserve">And the leaders came to Jesus and begged him </w:t>
      </w:r>
      <w:r>
        <w:rPr>
          <w:lang w:val="en_US" w:bidi="en_US"/>
        </w:rPr>
        <w:t>to grant the officer’s request</w:t>
      </w:r>
      <w:r>
        <w:rPr>
          <w:lang w:val="en_US" w:bidi="en_US"/>
        </w:rPr>
        <w:t>. They told Jesus that</w:t>
      </w:r>
    </w:p>
    <w:p>
      <w:pPr/>
      <w:r>
        <w:rPr>
          <w:lang w:val="en_US" w:bidi="en_US"/>
        </w:rPr>
      </w:r>
      <w:r>
        <w:rPr>
          <w:b/>
          <w:lang w:val="en_US" w:bidi="en_US"/>
        </w:rPr>
        <w:t>They came to Jesus and pleaded with Him earnestly:</w:t>
      </w:r>
      <w:r>
        <w:rPr>
          <w:lang w:val="en_US" w:bidi="en_US"/>
        </w:rPr>
        <w:t xml:space="preserve"> There is implied information here. When the Jewish elders came to Jesus, they told Jesus the officer’s request. Then they pleaded with Jesus to do what the officer requested. In some languages you may need to make this explicit. For example:</w:t>
      </w:r>
    </w:p>
    <w:p>
      <w:pPr/>
      <w:r>
        <w:rPr>
          <w:lang w:val="en_US" w:bidi="en_US"/>
        </w:rPr>
      </w:r>
      <w:r>
        <w:rPr>
          <w:lang w:val="en_US" w:bidi="en_US"/>
        </w:rPr>
        <w:t xml:space="preserve">When they came to Jesus, they </w:t>
      </w:r>
      <w:r>
        <w:rPr>
          <w:lang w:val="en_US" w:bidi="en_US"/>
        </w:rPr>
        <w:t>gave him the officer’s message. Then they</w:t>
      </w:r>
      <w:r>
        <w:rPr>
          <w:lang w:val="en_US" w:bidi="en_US"/>
        </w:rPr>
        <w:t xml:space="preserve"> pleaded earnestly with him</w:t>
      </w:r>
    </w:p>
    <w:p>
      <w:pPr/>
      <w:r>
        <w:rPr>
          <w:lang w:val="en_US" w:bidi="en_US"/>
        </w:rPr>
      </w:r>
      <w:r>
        <w:rPr>
          <w:b/>
          <w:lang w:val="en_US" w:bidi="en_US"/>
        </w:rPr>
        <w:t>pleaded with Him earnestly:</w:t>
      </w:r>
      <w:r>
        <w:rPr>
          <w:lang w:val="en_US" w:bidi="en_US"/>
        </w:rPr>
        <w:t xml:space="preserve"> The phrase </w:t>
      </w:r>
      <w:r>
        <w:rPr>
          <w:i/>
          <w:lang w:val="en_US" w:bidi="en_US"/>
        </w:rPr>
        <w:t>pleaded…earnestly</w:t>
      </w:r>
      <w:r>
        <w:rPr>
          <w:lang w:val="en_US" w:bidi="en_US"/>
        </w:rPr>
        <w:t xml:space="preserve"> means “begged eagerly.” The elders urged or strongly encouraged Jesus to help the officer.</w:t>
      </w:r>
    </w:p>
    <w:p>
      <w:pPr/>
      <w:r>
        <w:rPr>
          <w:lang w:val="en_US" w:bidi="en_US"/>
        </w:rPr>
      </w:r>
      <w:r>
        <w:rPr>
          <w:lang w:val="en_US" w:bidi="en_US"/>
        </w:rPr>
        <w:t xml:space="preserve">The phrase </w:t>
      </w:r>
      <w:r>
        <w:rPr>
          <w:i/>
          <w:lang w:val="en_US" w:bidi="en_US"/>
        </w:rPr>
        <w:t>pleaded…earnestly</w:t>
      </w:r>
      <w:r>
        <w:rPr>
          <w:lang w:val="en_US" w:bidi="en_US"/>
        </w:rPr>
        <w:t xml:space="preserve"> introduces the words in 7:4b. However, these words are not in the form of a request or a plea for help. They are a statement that the centurion deserved help. So it may be natural to add another verb of speech. For example:</w:t>
      </w:r>
    </w:p>
    <w:p>
      <w:pPr/>
      <w:r>
        <w:rPr>
          <w:lang w:val="en_US" w:bidi="en_US"/>
        </w:rPr>
      </w:r>
      <w:r>
        <w:rPr>
          <w:lang w:val="en_US" w:bidi="en_US"/>
        </w:rPr>
        <w:t xml:space="preserve">begged him earnestly to help </w:t>
      </w:r>
      <w:r>
        <w:rPr>
          <w:lang w:val="en_US" w:bidi="en_US"/>
        </w:rPr>
        <w:t>and said</w:t>
      </w:r>
    </w:p>
    <w:p>
      <w:pPr>
        <w:pStyle w:val="Heading5"/>
      </w:pPr>
      <w:r>
        <w:rPr>
          <w:lang w:val="en_US" w:bidi="en_US"/>
        </w:rPr>
        <w:t>7:4b</w:t>
      </w:r>
    </w:p>
    <w:p>
      <w:pPr/>
      <w:r>
        <w:rPr>
          <w:lang w:val="en_US" w:bidi="en_US"/>
        </w:rPr>
      </w:r>
      <w:r>
        <w:rPr>
          <w:b/>
          <w:lang w:val="en_US" w:bidi="en_US"/>
        </w:rPr>
        <w:t>“This man is worthy to have You grant this,</w:t>
      </w:r>
    </w:p>
    <w:p>
      <w:pPr>
        <w:pStyle w:val="ListBullet"/>
        <w:spacing w:line="240" w:lineRule="auto"/>
        <w:ind w:left="720"/>
      </w:pPr>
      <w:r>
        <w:rPr>
          <w:lang w:val="en_US" w:bidi="en_US"/>
        </w:rPr>
      </w:r>
      <w:r>
        <w:rPr>
          <w:lang w:val="en_US" w:bidi="en_US"/>
        </w:rPr>
        <w:t>“This man/</w:t>
      </w:r>
      <w:r>
        <w:rPr>
          <w:lang w:val="en_US" w:bidi="en_US"/>
        </w:rPr>
        <w:t>officer</w:t>
      </w:r>
      <w:r>
        <w:rPr>
          <w:lang w:val="en_US" w:bidi="en_US"/>
        </w:rPr>
        <w:t xml:space="preserve"> is worthy for you</w:t>
      </w:r>
      <w:r>
        <w:rPr>
          <w:vertAlign w:val="superscript"/>
          <w:lang w:val="en_US" w:bidi="en_US"/>
        </w:rPr>
        <w:t>(sing)</w:t>
      </w:r>
      <w:r>
        <w:rPr>
          <w:lang w:val="en_US" w:bidi="en_US"/>
        </w:rPr>
        <w:t xml:space="preserve"> to help him,</w:t>
      </w:r>
    </w:p>
    <w:p>
      <w:pPr>
        <w:pStyle w:val="ListBullet"/>
        <w:spacing w:line="240" w:lineRule="auto"/>
        <w:ind w:left="720"/>
      </w:pPr>
      <w:r>
        <w:rPr>
          <w:lang w:val="en_US" w:bidi="en_US"/>
        </w:rPr>
      </w:r>
      <w:r>
        <w:rPr>
          <w:lang w:val="en_US" w:bidi="en_US"/>
        </w:rPr>
        <w:t>“It is right/fitting that you</w:t>
      </w:r>
      <w:r>
        <w:rPr>
          <w:vertAlign w:val="superscript"/>
          <w:lang w:val="en_US" w:bidi="en_US"/>
        </w:rPr>
        <w:t>(sing)</w:t>
      </w:r>
      <w:r>
        <w:rPr>
          <w:lang w:val="en_US" w:bidi="en_US"/>
        </w:rPr>
        <w:t xml:space="preserve"> should do what this </w:t>
      </w:r>
      <w:r>
        <w:rPr>
          <w:lang w:val="en_US" w:bidi="en_US"/>
        </w:rPr>
        <w:t>Roman captain</w:t>
      </w:r>
      <w:r>
        <w:rPr>
          <w:lang w:val="en_US" w:bidi="en_US"/>
        </w:rPr>
        <w:t xml:space="preserve"> asks,</w:t>
      </w:r>
    </w:p>
    <w:p>
      <w:pPr>
        <w:pStyle w:val="ListBullet"/>
        <w:spacing w:line="240" w:lineRule="auto"/>
        <w:ind w:left="720"/>
      </w:pPr>
      <w:r>
        <w:rPr>
          <w:lang w:val="en_US" w:bidi="en_US"/>
        </w:rPr>
      </w:r>
      <w:r>
        <w:rPr>
          <w:lang w:val="en_US" w:bidi="en_US"/>
        </w:rPr>
        <w:t>the officer deserved Jesus’ help</w:t>
      </w:r>
    </w:p>
    <w:p>
      <w:pPr/>
      <w:r>
        <w:rPr>
          <w:lang w:val="en_US" w:bidi="en_US"/>
        </w:rPr>
      </w:r>
      <w:r>
        <w:rPr>
          <w:b/>
          <w:lang w:val="en_US" w:bidi="en_US"/>
        </w:rPr>
        <w:t>This man is worthy to have You grant this:</w:t>
      </w:r>
      <w:r>
        <w:rPr>
          <w:lang w:val="en_US" w:bidi="en_US"/>
        </w:rPr>
        <w:t xml:space="preserve"> The phrase </w:t>
      </w:r>
      <w:r>
        <w:rPr>
          <w:i/>
          <w:lang w:val="en_US" w:bidi="en_US"/>
        </w:rPr>
        <w:t>This man</w:t>
      </w:r>
      <w:r>
        <w:rPr>
          <w:lang w:val="en_US" w:bidi="en_US"/>
        </w:rPr>
        <w:t xml:space="preserve"> refers to the officer, not to his slave. The Jewish leaders were saying that the officer deserved to have Jesus help him. You could translate this as:</w:t>
      </w:r>
    </w:p>
    <w:p>
      <w:pPr/>
      <w:r>
        <w:rPr>
          <w:lang w:val="en_US" w:bidi="en_US"/>
        </w:rPr>
      </w:r>
      <w:r>
        <w:rPr>
          <w:lang w:val="en_US" w:bidi="en_US"/>
        </w:rPr>
        <w:t>This centurion is worthy of your help.</w:t>
      </w:r>
    </w:p>
    <w:p>
      <w:pPr/>
      <w:r>
        <w:rPr>
          <w:lang w:val="en_US" w:bidi="en_US"/>
        </w:rPr>
      </w:r>
      <w:r>
        <w:rPr>
          <w:lang w:val="en_US" w:bidi="en_US"/>
        </w:rPr>
        <w:t xml:space="preserve">This </w:t>
      </w:r>
      <w:r>
        <w:rPr>
          <w:lang w:val="en_US" w:bidi="en_US"/>
        </w:rPr>
        <w:t>officer/captain</w:t>
      </w:r>
      <w:r>
        <w:rPr>
          <w:lang w:val="en_US" w:bidi="en_US"/>
        </w:rPr>
        <w:t xml:space="preserve"> is a good man and it is right/fitting that you should do what he asks.</w:t>
      </w:r>
      <w:r>
        <w:rPr>
          <w:lang w:val="en_US" w:bidi="en_US"/>
        </w:rPr>
      </w:r>
      <w:r>
        <w:rPr>
          <w:lang w:val="en_US" w:bidi="en_US"/>
        </w:rPr>
      </w:r>
    </w:p>
    <w:p>
      <w:pPr/>
      <w:r>
        <w:rPr>
          <w:lang w:val="en_US" w:bidi="en_US"/>
        </w:rPr>
      </w:r>
    </w:p>
    <w:p>
      <w:pPr>
        <w:pStyle w:val="Heading2"/>
      </w:pPr>
      <w:r>
        <w:rPr>
          <w:lang w:val="en_US" w:bidi="en_US"/>
        </w:rPr>
        <w:t>Luke 7:5</w:t>
      </w:r>
      <w:r>
        <w:rPr>
          <w:lang w:val="en_US" w:bidi="en_US"/>
        </w:rPr>
      </w:r>
    </w:p>
    <w:p>
      <w:pPr>
        <w:pStyle w:val="Heading4"/>
      </w:pPr>
      <w:r>
        <w:rPr>
          <w:lang w:val="en_US" w:bidi="en_US"/>
        </w:rPr>
        <w:t>Section 7:1–10: Jesus healed an army officer’s servant</w:t>
      </w:r>
    </w:p>
    <w:p>
      <w:pPr/>
      <w:r>
        <w:rPr>
          <w:lang w:val="en_US" w:bidi="en_US"/>
        </w:rPr>
      </w:r>
      <w:r>
        <w:rPr>
          <w:lang w:val="en_US" w:bidi="en_US"/>
        </w:rPr>
        <w:t>This section tells how an army officer trusted Jesus to heal his servant. The officer was not a Jew; he was a Gentile, a Roman. He sent some Jewish leaders as messengers to ask Jesus to come and heal his servant. Later he sent some friends to say that it was not necessary for Jesus to come to his house. He believed that Jesus could heal his servant from a distance.</w:t>
      </w:r>
    </w:p>
    <w:p>
      <w:pPr/>
      <w:r>
        <w:rPr>
          <w:lang w:val="en_US" w:bidi="en_US"/>
        </w:rPr>
      </w:r>
      <w:r>
        <w:rPr>
          <w:lang w:val="en_US" w:bidi="en_US"/>
        </w:rPr>
        <w:t>The Roman compared Jesus’ authority to his own authority as an army officer. As an officer, he could cause other soldiers to obey him by simply commanding them to do something. He recognized that Jesus also had authority and power to heal by only giving a command. Jesus was amazed that this Gentile trusted him so much. He said that the officer had more faith than any Jew whom he had met.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 Roman army officer shows great faith in Jesus</w:t>
      </w:r>
    </w:p>
    <w:p>
      <w:pPr/>
      <w:r>
        <w:rPr>
          <w:lang w:val="en_US" w:bidi="en_US"/>
        </w:rPr>
      </w:r>
      <w:r>
        <w:rPr>
          <w:lang w:val="en_US" w:bidi="en_US"/>
        </w:rPr>
        <w:t>Jesus is amazed by the faith of a captain in the Roman army</w:t>
      </w:r>
    </w:p>
    <w:p>
      <w:pPr/>
      <w:r>
        <w:rPr>
          <w:lang w:val="en_US" w:bidi="en_US"/>
        </w:rPr>
      </w:r>
      <w:r>
        <w:rPr>
          <w:lang w:val="en_US" w:bidi="en_US"/>
        </w:rPr>
        <w:t>The amazing faith of the centurion</w:t>
      </w:r>
    </w:p>
    <w:p>
      <w:pPr/>
      <w:r>
        <w:rPr>
          <w:lang w:val="en_US" w:bidi="en_US"/>
        </w:rPr>
      </w:r>
      <w:r>
        <w:rPr>
          <w:lang w:val="en_US" w:bidi="en_US"/>
        </w:rPr>
        <w:t>There is a parallel passage for this section in Matthew 8:5–13.</w:t>
      </w:r>
    </w:p>
    <w:p>
      <w:pPr>
        <w:pStyle w:val="Heading5"/>
      </w:pPr>
      <w:r>
        <w:rPr>
          <w:lang w:val="en_US" w:bidi="en_US"/>
        </w:rPr>
        <w:t>7:5</w:t>
      </w:r>
    </w:p>
    <w:p>
      <w:pPr/>
      <w:r>
        <w:rPr>
          <w:lang w:val="en_US" w:bidi="en_US"/>
        </w:rPr>
      </w:r>
      <w:r>
        <w:rPr>
          <w:lang w:val="en_US" w:bidi="en_US"/>
        </w:rPr>
        <w:t>In this verse the Jewish elders gave two reasons that the officer was worthy for Jesus to help him.</w:t>
      </w:r>
    </w:p>
    <w:p>
      <w:pPr>
        <w:pStyle w:val="Heading5"/>
      </w:pPr>
      <w:r>
        <w:rPr>
          <w:lang w:val="en_US" w:bidi="en_US"/>
        </w:rPr>
        <w:t>7:5a</w:t>
      </w:r>
    </w:p>
    <w:p>
      <w:pPr/>
      <w:r>
        <w:rPr>
          <w:lang w:val="en_US" w:bidi="en_US"/>
        </w:rPr>
      </w:r>
      <w:r>
        <w:rPr>
          <w:b/>
          <w:lang w:val="en_US" w:bidi="en_US"/>
        </w:rPr>
        <w:t>for he loves our nation</w:t>
      </w:r>
    </w:p>
    <w:p>
      <w:pPr>
        <w:pStyle w:val="ListBullet"/>
        <w:spacing w:line="240" w:lineRule="auto"/>
        <w:ind w:left="720"/>
      </w:pPr>
      <w:r>
        <w:rPr>
          <w:lang w:val="en_US" w:bidi="en_US"/>
        </w:rPr>
      </w:r>
      <w:r>
        <w:rPr>
          <w:lang w:val="en_US" w:bidi="en_US"/>
        </w:rPr>
        <w:t>because he loves our</w:t>
      </w:r>
      <w:r>
        <w:rPr>
          <w:vertAlign w:val="superscript"/>
          <w:lang w:val="en_US" w:bidi="en_US"/>
        </w:rPr>
        <w:t>(incl)</w:t>
      </w:r>
      <w:r>
        <w:rPr>
          <w:lang w:val="en_US" w:bidi="en_US"/>
        </w:rPr>
        <w:t xml:space="preserve"> people,</w:t>
      </w:r>
    </w:p>
    <w:p>
      <w:pPr>
        <w:pStyle w:val="ListBullet"/>
        <w:spacing w:line="240" w:lineRule="auto"/>
        <w:ind w:left="720"/>
      </w:pPr>
      <w:r>
        <w:rPr>
          <w:lang w:val="en_US" w:bidi="en_US"/>
        </w:rPr>
      </w:r>
      <w:r>
        <w:rPr>
          <w:lang w:val="en_US" w:bidi="en_US"/>
        </w:rPr>
        <w:t>because he loves us</w:t>
      </w:r>
      <w:r>
        <w:rPr>
          <w:vertAlign w:val="superscript"/>
          <w:lang w:val="en_US" w:bidi="en_US"/>
        </w:rPr>
        <w:t>(incl)</w:t>
      </w:r>
      <w:r>
        <w:rPr>
          <w:lang w:val="en_US" w:bidi="en_US"/>
        </w:rPr>
        <w:t xml:space="preserve"> Jews,</w:t>
      </w:r>
    </w:p>
    <w:p>
      <w:pPr>
        <w:pStyle w:val="ListBullet"/>
        <w:spacing w:line="240" w:lineRule="auto"/>
        <w:ind w:left="720"/>
      </w:pPr>
      <w:r>
        <w:rPr>
          <w:lang w:val="en_US" w:bidi="en_US"/>
        </w:rPr>
      </w:r>
      <w:r>
        <w:rPr>
          <w:lang w:val="en_US" w:bidi="en_US"/>
        </w:rPr>
        <w:t>because he loved the Jewish people</w:t>
      </w:r>
    </w:p>
    <w:p>
      <w:pPr>
        <w:pStyle w:val="Heading5"/>
      </w:pPr>
      <w:r>
        <w:rPr>
          <w:lang w:val="en_US" w:bidi="en_US"/>
        </w:rPr>
        <w:t>7:5b</w:t>
      </w:r>
    </w:p>
    <w:p>
      <w:pPr/>
      <w:r>
        <w:rPr>
          <w:lang w:val="en_US" w:bidi="en_US"/>
        </w:rPr>
      </w:r>
      <w:r>
        <w:rPr>
          <w:b/>
          <w:lang w:val="en_US" w:bidi="en_US"/>
        </w:rPr>
        <w:t>and has built our synagogue.”</w:t>
      </w:r>
    </w:p>
    <w:p>
      <w:pPr>
        <w:pStyle w:val="ListBullet"/>
        <w:spacing w:line="240" w:lineRule="auto"/>
        <w:ind w:left="720"/>
      </w:pPr>
      <w:r>
        <w:rPr>
          <w:lang w:val="en_US" w:bidi="en_US"/>
        </w:rPr>
      </w:r>
      <w:r>
        <w:rPr>
          <w:lang w:val="en_US" w:bidi="en_US"/>
        </w:rPr>
        <w:t>and because he even caused our</w:t>
      </w:r>
      <w:r>
        <w:rPr>
          <w:vertAlign w:val="superscript"/>
          <w:lang w:val="en_US" w:bidi="en_US"/>
        </w:rPr>
        <w:t>(incl)</w:t>
      </w:r>
      <w:r>
        <w:rPr>
          <w:lang w:val="en_US" w:bidi="en_US"/>
        </w:rPr>
        <w:t xml:space="preserve"> synagogue to be built.”</w:t>
      </w:r>
    </w:p>
    <w:p>
      <w:pPr>
        <w:pStyle w:val="ListBullet"/>
        <w:spacing w:line="240" w:lineRule="auto"/>
        <w:ind w:left="720"/>
      </w:pPr>
      <w:r>
        <w:rPr>
          <w:lang w:val="en_US" w:bidi="en_US"/>
        </w:rPr>
      </w:r>
      <w:r>
        <w:rPr>
          <w:lang w:val="en_US" w:bidi="en_US"/>
        </w:rPr>
        <w:t>and he paid for the building of our</w:t>
      </w:r>
      <w:r>
        <w:rPr>
          <w:vertAlign w:val="superscript"/>
          <w:lang w:val="en_US" w:bidi="en_US"/>
        </w:rPr>
        <w:t>(incl)</w:t>
      </w:r>
      <w:r>
        <w:rPr>
          <w:lang w:val="en_US" w:bidi="en_US"/>
        </w:rPr>
        <w:t xml:space="preserve"> meeting place.”</w:t>
      </w:r>
    </w:p>
    <w:p>
      <w:pPr>
        <w:pStyle w:val="ListBullet"/>
        <w:spacing w:line="240" w:lineRule="auto"/>
        <w:ind w:left="720"/>
      </w:pPr>
      <w:r>
        <w:rPr>
          <w:lang w:val="en_US" w:bidi="en_US"/>
        </w:rPr>
      </w:r>
      <w:r>
        <w:rPr>
          <w:lang w:val="en_US" w:bidi="en_US"/>
        </w:rPr>
        <w:t>and it was he who had built their synagogue for them.</w:t>
      </w:r>
    </w:p>
    <w:p>
      <w:pPr>
        <w:pStyle w:val="Heading5"/>
      </w:pPr>
      <w:r>
        <w:rPr>
          <w:lang w:val="en_US" w:bidi="en_US"/>
        </w:rPr>
        <w:t>7:5a–b</w:t>
      </w:r>
    </w:p>
    <w:p>
      <w:pPr/>
      <w:r>
        <w:rPr>
          <w:lang w:val="en_US" w:bidi="en_US"/>
        </w:rPr>
      </w:r>
      <w:r>
        <w:rPr>
          <w:b/>
          <w:lang w:val="en_US" w:bidi="en_US"/>
        </w:rPr>
        <w:t>for he loves our nation:</w:t>
      </w:r>
      <w:r>
        <w:rPr>
          <w:lang w:val="en_US" w:bidi="en_US"/>
        </w:rPr>
        <w:t xml:space="preserve"> The phrase </w:t>
      </w:r>
      <w:r>
        <w:rPr>
          <w:i/>
          <w:lang w:val="en_US" w:bidi="en_US"/>
        </w:rPr>
        <w:t>for he loves our nation</w:t>
      </w:r>
      <w:r>
        <w:rPr>
          <w:lang w:val="en_US" w:bidi="en_US"/>
        </w:rPr>
        <w:t xml:space="preserve"> is the first reason that the elders gave Jesus for helping the officer. The phrase indicates that the Roman officer had affection for the Jewish people. He felt friendly concern for them and tried to act in a way that helped them. Other ways to say this are:</w:t>
      </w:r>
    </w:p>
    <w:p>
      <w:pPr/>
      <w:r>
        <w:rPr>
          <w:lang w:val="en_US" w:bidi="en_US"/>
        </w:rPr>
      </w:r>
      <w:r>
        <w:rPr>
          <w:lang w:val="en_US" w:bidi="en_US"/>
        </w:rPr>
        <w:t>for he loves the Jewish people (NLT)</w:t>
      </w:r>
    </w:p>
    <w:p>
      <w:pPr/>
      <w:r>
        <w:rPr>
          <w:lang w:val="en_US" w:bidi="en_US"/>
        </w:rPr>
      </w:r>
      <w:r>
        <w:rPr>
          <w:lang w:val="en_US" w:bidi="en_US"/>
        </w:rPr>
        <w:t>for he is a friend of our nation (REB)</w:t>
      </w:r>
    </w:p>
    <w:p>
      <w:pPr/>
      <w:r>
        <w:rPr>
          <w:lang w:val="en_US" w:bidi="en_US"/>
        </w:rPr>
      </w:r>
      <w:r>
        <w:rPr>
          <w:lang w:val="en_US" w:bidi="en_US"/>
        </w:rPr>
        <w:t xml:space="preserve">because he is concerned about us </w:t>
      </w:r>
      <w:r>
        <w:rPr>
          <w:lang w:val="en_US" w:bidi="en_US"/>
        </w:rPr>
        <w:t>Jews</w:t>
      </w:r>
    </w:p>
    <w:p>
      <w:pPr/>
      <w:r>
        <w:rPr>
          <w:lang w:val="en_US" w:bidi="en_US"/>
        </w:rPr>
      </w:r>
      <w:r>
        <w:rPr>
          <w:b/>
          <w:lang w:val="en_US" w:bidi="en_US"/>
        </w:rPr>
        <w:t>our nation:</w:t>
      </w:r>
      <w:r>
        <w:rPr>
          <w:lang w:val="en_US" w:bidi="en_US"/>
        </w:rPr>
        <w:t xml:space="preserve"> In this context the word </w:t>
      </w:r>
      <w:r>
        <w:rPr>
          <w:i/>
          <w:lang w:val="en_US" w:bidi="en_US"/>
        </w:rPr>
        <w:t>nation</w:t>
      </w:r>
      <w:r>
        <w:rPr>
          <w:lang w:val="en_US" w:bidi="en_US"/>
        </w:rPr>
        <w:t xml:space="preserve"> probably refers to the Jews as a people and not as a political state. Another way to translate this is:</w:t>
      </w:r>
    </w:p>
    <w:p>
      <w:pPr/>
      <w:r>
        <w:rPr>
          <w:lang w:val="en_US" w:bidi="en_US"/>
        </w:rPr>
      </w:r>
      <w:r>
        <w:rPr>
          <w:lang w:val="en_US" w:bidi="en_US"/>
        </w:rPr>
        <w:t>our people (NJB, GNT)</w:t>
      </w:r>
    </w:p>
    <w:p>
      <w:pPr/>
      <w:r>
        <w:rPr>
          <w:lang w:val="en_US" w:bidi="en_US"/>
        </w:rPr>
      </w:r>
      <w:r>
        <w:rPr>
          <w:lang w:val="en_US" w:bidi="en_US"/>
        </w:rPr>
        <w:t xml:space="preserve">Jesus and the elders were all Jews. Use a form for </w:t>
      </w:r>
      <w:r>
        <w:rPr>
          <w:i/>
          <w:lang w:val="en_US" w:bidi="en_US"/>
        </w:rPr>
        <w:t>our</w:t>
      </w:r>
      <w:r>
        <w:rPr>
          <w:lang w:val="en_US" w:bidi="en_US"/>
        </w:rPr>
        <w:t xml:space="preserve"> that includes Jesus.</w:t>
      </w:r>
    </w:p>
    <w:p>
      <w:pPr/>
      <w:r>
        <w:rPr>
          <w:lang w:val="en_US" w:bidi="en_US"/>
        </w:rPr>
      </w:r>
      <w:r>
        <w:rPr>
          <w:b/>
          <w:lang w:val="en_US" w:bidi="en_US"/>
        </w:rPr>
        <w:t>and has built our synagogue:</w:t>
      </w:r>
      <w:r>
        <w:rPr>
          <w:lang w:val="en_US" w:bidi="en_US"/>
        </w:rPr>
        <w:t xml:space="preserve"> In the Greek clause that the BSB translates as </w:t>
      </w:r>
      <w:r>
        <w:rPr>
          <w:i/>
          <w:lang w:val="en_US" w:bidi="en_US"/>
        </w:rPr>
        <w:t>has built our synagogue</w:t>
      </w:r>
      <w:r>
        <w:rPr>
          <w:lang w:val="en_US" w:bidi="en_US"/>
        </w:rPr>
        <w:t xml:space="preserve">, the words </w:t>
      </w:r>
      <w:r>
        <w:rPr>
          <w:i/>
          <w:lang w:val="en_US" w:bidi="en_US"/>
        </w:rPr>
        <w:t>built our synagogue</w:t>
      </w:r>
      <w:r>
        <w:rPr>
          <w:lang w:val="en_US" w:bidi="en_US"/>
        </w:rPr>
        <w:t xml:space="preserve"> are emphasized. This indicates that the officer had done a very important thing when he built the synagogue for them. Some English versions express this emphasis. For example:</w:t>
      </w:r>
    </w:p>
    <w:p>
      <w:pPr/>
      <w:r>
        <w:rPr>
          <w:lang w:val="en_US" w:bidi="en_US"/>
        </w:rPr>
      </w:r>
      <w:r>
        <w:rPr>
          <w:lang w:val="en_US" w:bidi="en_US"/>
        </w:rPr>
        <w:t>and he is the one who built us our synagogue (ESV)</w:t>
      </w:r>
    </w:p>
    <w:p>
      <w:pPr/>
      <w:r>
        <w:rPr>
          <w:lang w:val="en_US" w:bidi="en_US"/>
        </w:rPr>
      </w:r>
      <w:r>
        <w:rPr>
          <w:lang w:val="en_US" w:bidi="en_US"/>
        </w:rPr>
        <w:t>and even built a synagogue for us (NLT96)</w:t>
      </w:r>
    </w:p>
    <w:p>
      <w:pPr/>
      <w:r>
        <w:rPr>
          <w:lang w:val="en_US" w:bidi="en_US"/>
        </w:rPr>
      </w:r>
      <w:r>
        <w:rPr>
          <w:lang w:val="en_US" w:bidi="en_US"/>
        </w:rPr>
        <w:t>and it is he who built us our synagogue (REB)</w:t>
      </w:r>
    </w:p>
    <w:p>
      <w:pPr/>
      <w:r>
        <w:rPr>
          <w:lang w:val="en_US" w:bidi="en_US"/>
        </w:rPr>
      </w:r>
      <w:r>
        <w:rPr>
          <w:b/>
          <w:lang w:val="en_US" w:bidi="en_US"/>
        </w:rPr>
        <w:t>has built our synagogue:</w:t>
      </w:r>
      <w:r>
        <w:rPr>
          <w:lang w:val="en_US" w:bidi="en_US"/>
        </w:rPr>
        <w:t xml:space="preserve"> The phrase </w:t>
      </w:r>
      <w:r>
        <w:rPr>
          <w:i/>
          <w:lang w:val="en_US" w:bidi="en_US"/>
        </w:rPr>
        <w:t>built our synagogue</w:t>
      </w:r>
      <w:r>
        <w:rPr>
          <w:lang w:val="en_US" w:bidi="en_US"/>
        </w:rPr>
        <w:t xml:space="preserve"> indicates that the officer had helped to build the synagogue in Capernaum. This does not mean that he did the actual labor of constructing it. He probably gave money to help pay for building it. He could also have helped by getting permission to build it from the Roman government.</w:t>
      </w:r>
    </w:p>
    <w:p>
      <w:pPr/>
      <w:r>
        <w:rPr>
          <w:lang w:val="en_US" w:bidi="en_US"/>
        </w:rPr>
      </w:r>
      <w:r>
        <w:rPr>
          <w:lang w:val="en_US" w:bidi="en_US"/>
        </w:rPr>
        <w:t xml:space="preserve">If saying that he </w:t>
      </w:r>
      <w:r>
        <w:rPr>
          <w:i/>
          <w:lang w:val="en_US" w:bidi="en_US"/>
        </w:rPr>
        <w:t>built our synagogue</w:t>
      </w:r>
      <w:r>
        <w:rPr>
          <w:lang w:val="en_US" w:bidi="en_US"/>
        </w:rPr>
        <w:t xml:space="preserve"> would give your readers the idea that the centurion was actually one of the builders, you could translate this as:</w:t>
      </w:r>
    </w:p>
    <w:p>
      <w:pPr/>
      <w:r>
        <w:rPr>
          <w:lang w:val="en_US" w:bidi="en_US"/>
        </w:rPr>
      </w:r>
      <w:r>
        <w:rPr>
          <w:lang w:val="en_US" w:bidi="en_US"/>
        </w:rPr>
        <w:t>caused our synagogue to be built</w:t>
      </w:r>
    </w:p>
    <w:p>
      <w:pPr/>
      <w:r>
        <w:rPr>
          <w:lang w:val="en_US" w:bidi="en_US"/>
        </w:rPr>
      </w:r>
      <w:r>
        <w:rPr>
          <w:lang w:val="en_US" w:bidi="en_US"/>
        </w:rPr>
        <w:t>built our synagogue at his own expense (GW)</w:t>
      </w:r>
    </w:p>
    <w:p>
      <w:pPr/>
      <w:r>
        <w:rPr>
          <w:lang w:val="en_US" w:bidi="en_US"/>
        </w:rPr>
      </w:r>
      <w:r>
        <w:rPr>
          <w:lang w:val="en_US" w:bidi="en_US"/>
        </w:rPr>
        <w:t>paid/provided for the building of our synagogue</w:t>
      </w:r>
    </w:p>
    <w:p>
      <w:pPr/>
      <w:r>
        <w:rPr>
          <w:lang w:val="en_US" w:bidi="en_US"/>
        </w:rPr>
      </w:r>
      <w:r>
        <w:rPr>
          <w:b/>
          <w:lang w:val="en_US" w:bidi="en_US"/>
        </w:rPr>
        <w:t>our synagogue:</w:t>
      </w:r>
      <w:r>
        <w:rPr>
          <w:lang w:val="en_US" w:bidi="en_US"/>
        </w:rPr>
        <w:t xml:space="preserve"> The phrase </w:t>
      </w:r>
      <w:r>
        <w:rPr>
          <w:i/>
          <w:lang w:val="en_US" w:bidi="en_US"/>
        </w:rPr>
        <w:t>our synagogue</w:t>
      </w:r>
      <w:r>
        <w:rPr>
          <w:lang w:val="en_US" w:bidi="en_US"/>
        </w:rPr>
        <w:t xml:space="preserve"> refers to a synagogue in Capernaum. (It is not known if there was more than one synagogue there.)</w:t>
      </w:r>
    </w:p>
    <w:p>
      <w:pPr/>
      <w:r>
        <w:rPr>
          <w:lang w:val="en_US" w:bidi="en_US"/>
        </w:rPr>
      </w:r>
      <w:r>
        <w:rPr>
          <w:lang w:val="en_US" w:bidi="en_US"/>
        </w:rPr>
        <w:t xml:space="preserve">In some languages it will be necessary to decide whether the elders included Jesus in the word </w:t>
      </w:r>
      <w:r>
        <w:rPr>
          <w:i/>
          <w:lang w:val="en_US" w:bidi="en_US"/>
        </w:rPr>
        <w:t>our</w:t>
      </w:r>
      <w:r>
        <w:rPr>
          <w:lang w:val="en_US" w:bidi="en_US"/>
        </w:rPr>
        <w:t>. It is recommended that you use a form that includes Jesus. The focus here is probably that the officer built the synagogue “for us” in the sense that he built it for Jews.</w:t>
      </w:r>
    </w:p>
    <w:p>
      <w:pPr/>
      <w:r>
        <w:rPr>
          <w:lang w:val="en_US" w:bidi="en_US"/>
        </w:rPr>
      </w:r>
      <w:r>
        <w:rPr>
          <w:b/>
          <w:lang w:val="en_US" w:bidi="en_US"/>
        </w:rPr>
        <w:t>synagogue:</w:t>
      </w:r>
      <w:r>
        <w:rPr>
          <w:lang w:val="en_US" w:bidi="en_US"/>
        </w:rPr>
        <w:t xml:space="preserve"> A </w:t>
      </w:r>
      <w:r>
        <w:rPr>
          <w:i/>
          <w:lang w:val="en_US" w:bidi="en_US"/>
        </w:rPr>
        <w:t>synagogue</w:t>
      </w:r>
      <w:r>
        <w:rPr>
          <w:lang w:val="en_US" w:bidi="en_US"/>
        </w:rPr>
        <w:t xml:space="preserve"> was a building where Jews gathered to pray, read Scripture, teach their beliefs, and worship. The Jews also gathered there for cultural activities. There was only one temple (in Jerusalem), but each Jewish community had a synagogue. Some ways to translate </w:t>
      </w:r>
      <w:r>
        <w:rPr>
          <w:i/>
          <w:lang w:val="en_US" w:bidi="en_US"/>
        </w:rPr>
        <w:t>synagogue</w:t>
      </w:r>
      <w:r>
        <w:rPr>
          <w:lang w:val="en_US" w:bidi="en_US"/>
        </w:rPr>
        <w:t xml:space="preserve"> are:</w:t>
      </w:r>
    </w:p>
    <w:p>
      <w:pPr/>
      <w:r>
        <w:rPr>
          <w:lang w:val="en_US" w:bidi="en_US"/>
        </w:rPr>
      </w:r>
      <w:r>
        <w:rPr>
          <w:lang w:val="en_US" w:bidi="en_US"/>
        </w:rPr>
        <w:t xml:space="preserve">prayer-house </w:t>
      </w:r>
      <w:r>
        <w:rPr>
          <w:lang w:val="en_US" w:bidi="en_US"/>
        </w:rPr>
        <w:t>of the Jews</w:t>
      </w:r>
    </w:p>
    <w:p>
      <w:pPr/>
      <w:r>
        <w:rPr>
          <w:lang w:val="en_US" w:bidi="en_US"/>
        </w:rPr>
      </w:r>
      <w:r>
        <w:rPr>
          <w:lang w:val="en_US" w:bidi="en_US"/>
        </w:rPr>
        <w:t xml:space="preserve">meeting-place </w:t>
      </w:r>
      <w:r>
        <w:rPr>
          <w:lang w:val="en_US" w:bidi="en_US"/>
        </w:rPr>
        <w:t>of the Jews</w:t>
      </w:r>
    </w:p>
    <w:p>
      <w:pPr/>
      <w:r>
        <w:rPr>
          <w:lang w:val="en_US" w:bidi="en_US"/>
        </w:rPr>
      </w:r>
      <w:r>
        <w:rPr>
          <w:lang w:val="en_US" w:bidi="en_US"/>
        </w:rPr>
        <w:t>worship building</w:t>
      </w:r>
    </w:p>
    <w:p>
      <w:pPr/>
      <w:r>
        <w:rPr>
          <w:lang w:val="en_US" w:bidi="en_US"/>
        </w:rPr>
      </w:r>
      <w:r>
        <w:rPr>
          <w:lang w:val="en_US" w:bidi="en_US"/>
        </w:rPr>
        <w:t>house for gathering together</w:t>
      </w:r>
    </w:p>
    <w:p>
      <w:pPr/>
      <w:r>
        <w:rPr>
          <w:lang w:val="en_US" w:bidi="en_US"/>
        </w:rPr>
      </w:r>
      <w:r>
        <w:rPr>
          <w:lang w:val="en_US" w:bidi="en_US"/>
        </w:rPr>
        <w:t>If you make explicit a phrase such as “of the Jews,” be sure that it does not imply that Jesus was not a Jew.</w:t>
      </w:r>
    </w:p>
    <w:p>
      <w:pPr/>
      <w:r>
        <w:rPr>
          <w:lang w:val="en_US" w:bidi="en_US"/>
        </w:rPr>
      </w:r>
      <w:r>
        <w:rPr>
          <w:lang w:val="en_US" w:bidi="en_US"/>
        </w:rPr>
        <w:t xml:space="preserve">If the word </w:t>
      </w:r>
      <w:r>
        <w:rPr>
          <w:i/>
          <w:lang w:val="en_US" w:bidi="en_US"/>
        </w:rPr>
        <w:t>synagogue</w:t>
      </w:r>
      <w:r>
        <w:rPr>
          <w:lang w:val="en_US" w:bidi="en_US"/>
        </w:rPr>
        <w:t xml:space="preserve"> is already known in your area, you may write it according to the sounds of your language. You may want to include a word or phrase to explain the meaning. For example:</w:t>
      </w:r>
    </w:p>
    <w:p>
      <w:pPr/>
      <w:r>
        <w:rPr>
          <w:lang w:val="en_US" w:bidi="en_US"/>
        </w:rPr>
      </w:r>
      <w:r>
        <w:rPr>
          <w:lang w:val="en_US" w:bidi="en_US"/>
        </w:rPr>
        <w:t>sinagog house/building</w:t>
      </w:r>
    </w:p>
    <w:p>
      <w:pPr/>
      <w:r>
        <w:rPr>
          <w:lang w:val="en_US" w:bidi="en_US"/>
        </w:rPr>
      </w:r>
      <w:r>
        <w:rPr>
          <w:lang w:val="en_US" w:bidi="en_US"/>
        </w:rPr>
        <w:t>Consider using a footnote that contains some of the information above.</w:t>
      </w:r>
    </w:p>
    <w:p>
      <w:pPr/>
      <w:r>
        <w:rPr>
          <w:lang w:val="en_US" w:bidi="en_US"/>
        </w:rPr>
      </w:r>
      <w:r>
        <w:rPr>
          <w:lang w:val="en_US" w:bidi="en_US"/>
        </w:rPr>
        <w:t xml:space="preserve">See how you have translated the word </w:t>
      </w:r>
      <w:r>
        <w:rPr>
          <w:i/>
          <w:lang w:val="en_US" w:bidi="en_US"/>
        </w:rPr>
        <w:t>synagogue</w:t>
      </w:r>
      <w:r>
        <w:rPr>
          <w:lang w:val="en_US" w:bidi="en_US"/>
        </w:rPr>
        <w:t xml:space="preserve"> elsewhere. The first time it occurs in Luke is at 4:15. See also synagogue in the Glossary for more information.</w:t>
      </w:r>
      <w:r>
        <w:rPr>
          <w:lang w:val="en_US" w:bidi="en_US"/>
        </w:rPr>
      </w:r>
      <w:r>
        <w:rPr>
          <w:lang w:val="en_US" w:bidi="en_US"/>
        </w:rPr>
      </w:r>
    </w:p>
    <w:p>
      <w:pPr/>
      <w:r>
        <w:rPr>
          <w:lang w:val="en_US" w:bidi="en_US"/>
        </w:rPr>
      </w:r>
    </w:p>
    <w:p>
      <w:pPr>
        <w:pStyle w:val="Heading2"/>
      </w:pPr>
      <w:r>
        <w:rPr>
          <w:lang w:val="en_US" w:bidi="en_US"/>
        </w:rPr>
        <w:t>Luke 7:6</w:t>
      </w:r>
      <w:r>
        <w:rPr>
          <w:lang w:val="en_US" w:bidi="en_US"/>
        </w:rPr>
      </w:r>
    </w:p>
    <w:p>
      <w:pPr>
        <w:pStyle w:val="Heading4"/>
      </w:pPr>
      <w:r>
        <w:rPr>
          <w:lang w:val="en_US" w:bidi="en_US"/>
        </w:rPr>
        <w:t>Section 7:1–10: Jesus healed an army officer’s servant</w:t>
      </w:r>
    </w:p>
    <w:p>
      <w:pPr/>
      <w:r>
        <w:rPr>
          <w:lang w:val="en_US" w:bidi="en_US"/>
        </w:rPr>
      </w:r>
      <w:r>
        <w:rPr>
          <w:lang w:val="en_US" w:bidi="en_US"/>
        </w:rPr>
        <w:t>This section tells how an army officer trusted Jesus to heal his servant. The officer was not a Jew; he was a Gentile, a Roman. He sent some Jewish leaders as messengers to ask Jesus to come and heal his servant. Later he sent some friends to say that it was not necessary for Jesus to come to his house. He believed that Jesus could heal his servant from a distance.</w:t>
      </w:r>
    </w:p>
    <w:p>
      <w:pPr/>
      <w:r>
        <w:rPr>
          <w:lang w:val="en_US" w:bidi="en_US"/>
        </w:rPr>
      </w:r>
      <w:r>
        <w:rPr>
          <w:lang w:val="en_US" w:bidi="en_US"/>
        </w:rPr>
        <w:t>The Roman compared Jesus’ authority to his own authority as an army officer. As an officer, he could cause other soldiers to obey him by simply commanding them to do something. He recognized that Jesus also had authority and power to heal by only giving a command. Jesus was amazed that this Gentile trusted him so much. He said that the officer had more faith than any Jew whom he had met.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 Roman army officer shows great faith in Jesus</w:t>
      </w:r>
    </w:p>
    <w:p>
      <w:pPr/>
      <w:r>
        <w:rPr>
          <w:lang w:val="en_US" w:bidi="en_US"/>
        </w:rPr>
      </w:r>
      <w:r>
        <w:rPr>
          <w:lang w:val="en_US" w:bidi="en_US"/>
        </w:rPr>
        <w:t>Jesus is amazed by the faith of a captain in the Roman army</w:t>
      </w:r>
    </w:p>
    <w:p>
      <w:pPr/>
      <w:r>
        <w:rPr>
          <w:lang w:val="en_US" w:bidi="en_US"/>
        </w:rPr>
      </w:r>
      <w:r>
        <w:rPr>
          <w:lang w:val="en_US" w:bidi="en_US"/>
        </w:rPr>
        <w:t>The amazing faith of the centurion</w:t>
      </w:r>
    </w:p>
    <w:p>
      <w:pPr/>
      <w:r>
        <w:rPr>
          <w:lang w:val="en_US" w:bidi="en_US"/>
        </w:rPr>
      </w:r>
      <w:r>
        <w:rPr>
          <w:lang w:val="en_US" w:bidi="en_US"/>
        </w:rPr>
        <w:t>There is a parallel passage for this section in Matthew 8:5–13.</w:t>
      </w:r>
    </w:p>
    <w:p>
      <w:pPr>
        <w:pStyle w:val="Heading5"/>
      </w:pPr>
      <w:r>
        <w:rPr>
          <w:lang w:val="en_US" w:bidi="en_US"/>
        </w:rPr>
        <w:t>7:6a</w:t>
      </w:r>
    </w:p>
    <w:p>
      <w:pPr/>
      <w:r>
        <w:rPr>
          <w:lang w:val="en_US" w:bidi="en_US"/>
        </w:rPr>
      </w:r>
      <w:r>
        <w:rPr>
          <w:b/>
          <w:lang w:val="en_US" w:bidi="en_US"/>
        </w:rPr>
        <w:t>So Jesus went with them.</w:t>
      </w:r>
    </w:p>
    <w:p>
      <w:pPr>
        <w:pStyle w:val="ListBullet"/>
        <w:spacing w:line="240" w:lineRule="auto"/>
        <w:ind w:left="720"/>
      </w:pPr>
      <w:r>
        <w:rPr>
          <w:lang w:val="en_US" w:bidi="en_US"/>
        </w:rPr>
      </w:r>
      <w:r>
        <w:rPr>
          <w:lang w:val="en_US" w:bidi="en_US"/>
        </w:rPr>
        <w:t>¶ Jesus went with them.</w:t>
      </w:r>
    </w:p>
    <w:p>
      <w:pPr>
        <w:pStyle w:val="ListBullet"/>
        <w:spacing w:line="240" w:lineRule="auto"/>
        <w:ind w:left="720"/>
      </w:pPr>
      <w:r>
        <w:rPr>
          <w:lang w:val="en_US" w:bidi="en_US"/>
        </w:rPr>
      </w:r>
      <w:r>
        <w:rPr>
          <w:lang w:val="en_US" w:bidi="en_US"/>
        </w:rPr>
        <w:t xml:space="preserve">¶ So Jesus went with them </w:t>
      </w:r>
      <w:r>
        <w:rPr>
          <w:lang w:val="en_US" w:bidi="en_US"/>
        </w:rPr>
        <w:t>to/toward the officer’s house</w:t>
      </w:r>
      <w:r>
        <w:rPr>
          <w:lang w:val="en_US" w:bidi="en_US"/>
        </w:rPr>
        <w:t>.</w:t>
      </w:r>
    </w:p>
    <w:p>
      <w:pPr/>
      <w:r>
        <w:rPr>
          <w:lang w:val="en_US" w:bidi="en_US"/>
        </w:rPr>
      </w:r>
      <w:r>
        <w:rPr>
          <w:b/>
          <w:lang w:val="en_US" w:bidi="en_US"/>
        </w:rPr>
        <w:t>So:</w:t>
      </w:r>
      <w:r>
        <w:rPr>
          <w:lang w:val="en_US" w:bidi="en_US"/>
        </w:rPr>
        <w:t xml:space="preserve"> The word </w:t>
      </w:r>
      <w:r>
        <w:rPr>
          <w:i/>
          <w:lang w:val="en_US" w:bidi="en_US"/>
        </w:rPr>
        <w:t>So</w:t>
      </w:r>
      <w:r>
        <w:rPr>
          <w:lang w:val="en_US" w:bidi="en_US"/>
        </w:rPr>
        <w:t xml:space="preserve"> introduces what happened as a result of what the messengers said in 7:4–5. Connect these verses in a way that is natural in your language.</w:t>
      </w:r>
    </w:p>
    <w:p>
      <w:pPr/>
      <w:r>
        <w:rPr>
          <w:lang w:val="en_US" w:bidi="en_US"/>
        </w:rPr>
      </w:r>
      <w:r>
        <w:rPr>
          <w:b/>
          <w:lang w:val="en_US" w:bidi="en_US"/>
        </w:rPr>
        <w:t>Jesus went with them:</w:t>
      </w:r>
      <w:r>
        <w:rPr>
          <w:lang w:val="en_US" w:bidi="en_US"/>
        </w:rPr>
        <w:t xml:space="preserve"> Jesus went with the Jewish elders toward the officer’s house where the sick man was. The house is mentioned in 7:6b. In some languages it may be necessary to mention it here:</w:t>
      </w:r>
    </w:p>
    <w:p>
      <w:pPr/>
      <w:r>
        <w:rPr>
          <w:lang w:val="en_US" w:bidi="en_US"/>
        </w:rPr>
      </w:r>
      <w:r>
        <w:rPr>
          <w:lang w:val="en_US" w:bidi="en_US"/>
        </w:rPr>
        <w:t xml:space="preserve">Jesus went with them </w:t>
      </w:r>
      <w:r>
        <w:rPr>
          <w:lang w:val="en_US" w:bidi="en_US"/>
        </w:rPr>
        <w:t>to the officer’s house</w:t>
      </w:r>
    </w:p>
    <w:p>
      <w:pPr/>
      <w:r>
        <w:rPr>
          <w:lang w:val="en_US" w:bidi="en_US"/>
        </w:rPr>
      </w:r>
      <w:r>
        <w:rPr>
          <w:lang w:val="en_US" w:bidi="en_US"/>
        </w:rPr>
        <w:t>Jesus did not actually reach the house. So it may be necessary to say something like:</w:t>
      </w:r>
    </w:p>
    <w:p>
      <w:pPr/>
      <w:r>
        <w:rPr>
          <w:lang w:val="en_US" w:bidi="en_US"/>
        </w:rPr>
      </w:r>
      <w:r>
        <w:rPr>
          <w:lang w:val="en_US" w:bidi="en_US"/>
        </w:rPr>
        <w:t xml:space="preserve">Jesus went with them </w:t>
      </w:r>
      <w:r>
        <w:rPr>
          <w:lang w:val="en_US" w:bidi="en_US"/>
        </w:rPr>
        <w:t>toward the centurion’s house</w:t>
      </w:r>
    </w:p>
    <w:p>
      <w:pPr/>
      <w:r>
        <w:rPr>
          <w:lang w:val="en_US" w:bidi="en_US"/>
        </w:rPr>
      </w:r>
      <w:r>
        <w:rPr>
          <w:lang w:val="en_US" w:bidi="en_US"/>
        </w:rPr>
        <w:t>Now Jesus started on His way with them (NASB)</w:t>
      </w:r>
    </w:p>
    <w:p>
      <w:pPr>
        <w:pStyle w:val="Heading5"/>
      </w:pPr>
      <w:r>
        <w:rPr>
          <w:lang w:val="en_US" w:bidi="en_US"/>
        </w:rPr>
        <w:t>7:6b</w:t>
      </w:r>
    </w:p>
    <w:p>
      <w:pPr/>
      <w:r>
        <w:rPr>
          <w:lang w:val="en_US" w:bidi="en_US"/>
        </w:rPr>
      </w:r>
      <w:r>
        <w:rPr>
          <w:b/>
          <w:lang w:val="en_US" w:bidi="en_US"/>
        </w:rPr>
        <w:t>But when He was not far from the house,</w:t>
      </w:r>
    </w:p>
    <w:p>
      <w:pPr>
        <w:pStyle w:val="ListBullet"/>
        <w:spacing w:line="240" w:lineRule="auto"/>
        <w:ind w:left="720"/>
      </w:pPr>
      <w:r>
        <w:rPr>
          <w:lang w:val="en_US" w:bidi="en_US"/>
        </w:rPr>
      </w:r>
      <w:r>
        <w:rPr>
          <w:lang w:val="en_US" w:bidi="en_US"/>
        </w:rPr>
        <w:t xml:space="preserve">When he was close to the </w:t>
      </w:r>
      <w:r>
        <w:rPr>
          <w:lang w:val="en_US" w:bidi="en_US"/>
        </w:rPr>
        <w:t>Roman officer’s</w:t>
      </w:r>
      <w:r>
        <w:rPr>
          <w:lang w:val="en_US" w:bidi="en_US"/>
        </w:rPr>
        <w:t xml:space="preserve"> home/house,</w:t>
      </w:r>
    </w:p>
    <w:p>
      <w:pPr>
        <w:pStyle w:val="ListBullet"/>
        <w:spacing w:line="240" w:lineRule="auto"/>
        <w:ind w:left="720"/>
      </w:pPr>
      <w:r>
        <w:rPr>
          <w:lang w:val="en_US" w:bidi="en_US"/>
        </w:rPr>
      </w:r>
      <w:r>
        <w:rPr>
          <w:lang w:val="en_US" w:bidi="en_US"/>
        </w:rPr>
        <w:t>When he had nearly arrived,</w:t>
      </w:r>
    </w:p>
    <w:p>
      <w:pPr/>
      <w:r>
        <w:rPr>
          <w:lang w:val="en_US" w:bidi="en_US"/>
        </w:rPr>
      </w:r>
      <w:r>
        <w:rPr>
          <w:b/>
          <w:lang w:val="en_US" w:bidi="en_US"/>
        </w:rPr>
        <w:t>He was not far from the house:</w:t>
      </w:r>
      <w:r>
        <w:rPr>
          <w:lang w:val="en_US" w:bidi="en_US"/>
        </w:rPr>
        <w:t xml:space="preserve"> If you mentioned </w:t>
      </w:r>
      <w:r>
        <w:rPr>
          <w:i/>
          <w:lang w:val="en_US" w:bidi="en_US"/>
        </w:rPr>
        <w:t>the house</w:t>
      </w:r>
      <w:r>
        <w:rPr>
          <w:lang w:val="en_US" w:bidi="en_US"/>
        </w:rPr>
        <w:t xml:space="preserve"> in 7:6a, it may be natural to leave it implicit here. For example:</w:t>
      </w:r>
    </w:p>
    <w:p>
      <w:pPr/>
      <w:r>
        <w:rPr>
          <w:lang w:val="en_US" w:bidi="en_US"/>
        </w:rPr>
      </w:r>
      <w:r>
        <w:rPr>
          <w:lang w:val="en_US" w:bidi="en_US"/>
        </w:rPr>
        <w:t>He was not far away</w:t>
      </w:r>
    </w:p>
    <w:p>
      <w:pPr/>
      <w:r>
        <w:rPr>
          <w:lang w:val="en_US" w:bidi="en_US"/>
        </w:rPr>
      </w:r>
      <w:r>
        <w:rPr>
          <w:lang w:val="en_US" w:bidi="en_US"/>
        </w:rPr>
        <w:t>He did not have far to go</w:t>
      </w:r>
    </w:p>
    <w:p>
      <w:pPr/>
      <w:r>
        <w:rPr>
          <w:lang w:val="en_US" w:bidi="en_US"/>
        </w:rPr>
      </w:r>
      <w:r>
        <w:rPr>
          <w:lang w:val="en_US" w:bidi="en_US"/>
        </w:rPr>
        <w:t>He had nearly gotten there</w:t>
      </w:r>
    </w:p>
    <w:p>
      <w:pPr>
        <w:pStyle w:val="Heading5"/>
      </w:pPr>
      <w:r>
        <w:rPr>
          <w:lang w:val="en_US" w:bidi="en_US"/>
        </w:rPr>
        <w:t>7:6c</w:t>
      </w:r>
    </w:p>
    <w:p>
      <w:pPr/>
      <w:r>
        <w:rPr>
          <w:lang w:val="en_US" w:bidi="en_US"/>
        </w:rPr>
      </w:r>
      <w:r>
        <w:rPr>
          <w:b/>
          <w:lang w:val="en_US" w:bidi="en_US"/>
        </w:rPr>
        <w:t>the centurion sent friends with the message:</w:t>
      </w:r>
    </w:p>
    <w:p>
      <w:pPr>
        <w:pStyle w:val="ListBullet"/>
        <w:spacing w:line="240" w:lineRule="auto"/>
        <w:ind w:left="720"/>
      </w:pPr>
      <w:r>
        <w:rPr>
          <w:lang w:val="en_US" w:bidi="en_US"/>
        </w:rPr>
      </w:r>
      <w:r>
        <w:rPr>
          <w:lang w:val="en_US" w:bidi="en_US"/>
        </w:rPr>
        <w:t xml:space="preserve">the officer sent </w:t>
      </w:r>
      <w:r>
        <w:rPr>
          <w:lang w:val="en_US" w:bidi="en_US"/>
        </w:rPr>
        <w:t>some of his</w:t>
      </w:r>
      <w:r>
        <w:rPr>
          <w:lang w:val="en_US" w:bidi="en_US"/>
        </w:rPr>
        <w:t xml:space="preserve"> friends to say to Jesus,</w:t>
      </w:r>
    </w:p>
    <w:p>
      <w:pPr>
        <w:pStyle w:val="ListBullet"/>
        <w:spacing w:line="240" w:lineRule="auto"/>
        <w:ind w:left="720"/>
      </w:pPr>
      <w:r>
        <w:rPr>
          <w:lang w:val="en_US" w:bidi="en_US"/>
        </w:rPr>
      </w:r>
      <w:r>
        <w:rPr>
          <w:lang w:val="en_US" w:bidi="en_US"/>
        </w:rPr>
        <w:t xml:space="preserve">the officer sent </w:t>
      </w:r>
      <w:r>
        <w:rPr>
          <w:lang w:val="en_US" w:bidi="en_US"/>
        </w:rPr>
        <w:t>some</w:t>
      </w:r>
      <w:r>
        <w:rPr>
          <w:lang w:val="en_US" w:bidi="en_US"/>
        </w:rPr>
        <w:t xml:space="preserve"> friends </w:t>
      </w:r>
      <w:r>
        <w:rPr>
          <w:lang w:val="en_US" w:bidi="en_US"/>
        </w:rPr>
        <w:t>to meet him</w:t>
      </w:r>
      <w:r>
        <w:rPr>
          <w:lang w:val="en_US" w:bidi="en_US"/>
        </w:rPr>
        <w:t xml:space="preserve">. </w:t>
      </w:r>
      <w:r>
        <w:rPr>
          <w:lang w:val="en_US" w:bidi="en_US"/>
        </w:rPr>
        <w:t>They gave Jesus this message from the officer:</w:t>
      </w:r>
    </w:p>
    <w:p>
      <w:pPr/>
      <w:r>
        <w:rPr>
          <w:lang w:val="en_US" w:bidi="en_US"/>
        </w:rPr>
      </w:r>
      <w:r>
        <w:rPr>
          <w:b/>
          <w:lang w:val="en_US" w:bidi="en_US"/>
        </w:rPr>
        <w:t>the centurion sent friends with the message:</w:t>
      </w:r>
      <w:r>
        <w:rPr>
          <w:lang w:val="en_US" w:bidi="en_US"/>
        </w:rPr>
        <w:t xml:space="preserve"> The officer asked friends to go to Jesus and give him a message. In 7:4–5 the elders used indirect speech for the officer’s words, but here the friends quoted the words that the officer himself spoke. In some languages it may be helpful or natural to make this clear. For example:</w:t>
      </w:r>
    </w:p>
    <w:p>
      <w:pPr/>
      <w:r>
        <w:rPr>
          <w:lang w:val="en_US" w:bidi="en_US"/>
        </w:rPr>
      </w:r>
      <w:r>
        <w:rPr>
          <w:lang w:val="en_US" w:bidi="en_US"/>
        </w:rPr>
        <w:t>…when the officer sent some friends to meet him. They gave Jesus this message from the centurion: “Lord…”</w:t>
      </w:r>
    </w:p>
    <w:p>
      <w:pPr/>
      <w:r>
        <w:rPr>
          <w:lang w:val="en_US" w:bidi="en_US"/>
        </w:rPr>
      </w:r>
      <w:r>
        <w:rPr>
          <w:lang w:val="en_US" w:bidi="en_US"/>
        </w:rPr>
        <w:t>…when the officer sent some friends to speak to Jesus for him. They reported to Jesus that the officer says/said: “Lord…”</w:t>
      </w:r>
    </w:p>
    <w:p>
      <w:pPr>
        <w:pStyle w:val="Heading5"/>
      </w:pPr>
      <w:r>
        <w:rPr>
          <w:lang w:val="en_US" w:bidi="en_US"/>
        </w:rPr>
        <w:t>7:6d–8e</w:t>
      </w:r>
    </w:p>
    <w:p>
      <w:pPr/>
      <w:r>
        <w:rPr>
          <w:lang w:val="en_US" w:bidi="en_US"/>
        </w:rPr>
      </w:r>
      <w:r>
        <w:rPr>
          <w:lang w:val="en_US" w:bidi="en_US"/>
        </w:rPr>
        <w:t>In this speech the officer’s friends reported what the officer said as if the officer himself were speaking. If this would not be natural in your language, see the General Comment on 7:6d–8e at the end of the notes on 7:8e.</w:t>
      </w:r>
    </w:p>
    <w:p>
      <w:pPr>
        <w:pStyle w:val="Heading5"/>
      </w:pPr>
      <w:r>
        <w:rPr>
          <w:lang w:val="en_US" w:bidi="en_US"/>
        </w:rPr>
        <w:t>7:6d</w:t>
      </w:r>
    </w:p>
    <w:p>
      <w:pPr/>
      <w:r>
        <w:rPr>
          <w:lang w:val="en_US" w:bidi="en_US"/>
        </w:rPr>
      </w:r>
      <w:r>
        <w:rPr>
          <w:b/>
          <w:lang w:val="en_US" w:bidi="en_US"/>
        </w:rPr>
        <w:t>“Lord, do not trouble Yourself,</w:t>
      </w:r>
    </w:p>
    <w:p>
      <w:pPr>
        <w:pStyle w:val="ListBullet"/>
        <w:spacing w:line="240" w:lineRule="auto"/>
        <w:ind w:left="720"/>
      </w:pPr>
      <w:r>
        <w:rPr>
          <w:lang w:val="en_US" w:bidi="en_US"/>
        </w:rPr>
      </w:r>
      <w:r>
        <w:rPr>
          <w:lang w:val="en_US" w:bidi="en_US"/>
        </w:rPr>
        <w:t>“Lord, do not let</w:t>
      </w:r>
      <w:r>
        <w:rPr>
          <w:vertAlign w:val="superscript"/>
          <w:lang w:val="en_US" w:bidi="en_US"/>
        </w:rPr>
        <w:t>(sing)</w:t>
      </w:r>
      <w:r>
        <w:rPr>
          <w:lang w:val="en_US" w:bidi="en_US"/>
        </w:rPr>
        <w:t xml:space="preserve"> me disturb you any longer,</w:t>
      </w:r>
    </w:p>
    <w:p>
      <w:pPr>
        <w:pStyle w:val="ListBullet"/>
        <w:spacing w:line="240" w:lineRule="auto"/>
        <w:ind w:left="720"/>
      </w:pPr>
      <w:r>
        <w:rPr>
          <w:lang w:val="en_US" w:bidi="en_US"/>
        </w:rPr>
      </w:r>
      <w:r>
        <w:rPr>
          <w:lang w:val="en_US" w:bidi="en_US"/>
        </w:rPr>
        <w:t>“Master, you</w:t>
      </w:r>
      <w:r>
        <w:rPr>
          <w:vertAlign w:val="superscript"/>
          <w:lang w:val="en_US" w:bidi="en_US"/>
        </w:rPr>
        <w:t>(sing)</w:t>
      </w:r>
      <w:r>
        <w:rPr>
          <w:lang w:val="en_US" w:bidi="en_US"/>
        </w:rPr>
        <w:t xml:space="preserve"> do not need to bother </w:t>
      </w:r>
      <w:r>
        <w:rPr>
          <w:lang w:val="en_US" w:bidi="en_US"/>
        </w:rPr>
        <w:t>to come any further</w:t>
      </w:r>
      <w:r>
        <w:rPr>
          <w:lang w:val="en_US" w:bidi="en_US"/>
        </w:rPr>
        <w:t>,</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“master” or “one who has authority over others.” People used this word as a polite title when they spoke to an elder or someone in authority. The Jews also used this same title to refer to God. The officer may have used it in a similar way to address Jesus as a person who had authority from God. Use a term in your language that could also be used in this way.</w:t>
      </w:r>
    </w:p>
    <w:p>
      <w:pPr/>
      <w:r>
        <w:rPr>
          <w:lang w:val="en_US" w:bidi="en_US"/>
        </w:rPr>
      </w:r>
      <w:r>
        <w:rPr>
          <w:lang w:val="en_US" w:bidi="en_US"/>
        </w:rPr>
        <w:t>Other ways to translate this are:</w:t>
      </w:r>
    </w:p>
    <w:p>
      <w:pPr/>
      <w:r>
        <w:rPr>
          <w:lang w:val="en_US" w:bidi="en_US"/>
        </w:rPr>
      </w:r>
      <w:r>
        <w:rPr>
          <w:lang w:val="en_US" w:bidi="en_US"/>
        </w:rPr>
        <w:t>Master</w:t>
      </w:r>
    </w:p>
    <w:p>
      <w:pPr/>
      <w:r>
        <w:rPr>
          <w:lang w:val="en_US" w:bidi="en_US"/>
        </w:rPr>
      </w:r>
      <w:r>
        <w:rPr>
          <w:lang w:val="en_US" w:bidi="en_US"/>
        </w:rPr>
        <w:t>Chief</w:t>
      </w:r>
    </w:p>
    <w:p>
      <w:pPr/>
      <w:r>
        <w:rPr>
          <w:lang w:val="en_US" w:bidi="en_US"/>
        </w:rPr>
      </w:r>
      <w:r>
        <w:rPr>
          <w:lang w:val="en_US" w:bidi="en_US"/>
        </w:rPr>
        <w:t>Owner</w:t>
      </w:r>
    </w:p>
    <w:p>
      <w:pPr/>
      <w:r>
        <w:rPr>
          <w:lang w:val="en_US" w:bidi="en_US"/>
        </w:rPr>
      </w:r>
      <w:r>
        <w:rPr>
          <w:lang w:val="en_US" w:bidi="en_US"/>
        </w:rPr>
        <w:t>Sovereign</w:t>
      </w:r>
    </w:p>
    <w:p>
      <w:pPr/>
      <w:r>
        <w:rPr>
          <w:lang w:val="en_US" w:bidi="en_US"/>
        </w:rPr>
      </w:r>
      <w:r>
        <w:rPr>
          <w:lang w:val="en_US" w:bidi="en_US"/>
        </w:rPr>
        <w:t>In some languages it may be necessary to add a word like “my” before such a term of address. For example:</w:t>
      </w:r>
    </w:p>
    <w:p>
      <w:pPr/>
      <w:r>
        <w:rPr>
          <w:lang w:val="en_US" w:bidi="en_US"/>
        </w:rPr>
      </w:r>
      <w:r>
        <w:rPr>
          <w:lang w:val="en_US" w:bidi="en_US"/>
        </w:rPr>
        <w:t>my</w:t>
      </w:r>
      <w:r>
        <w:rPr>
          <w:lang w:val="en_US" w:bidi="en_US"/>
        </w:rPr>
        <w:t xml:space="preserve"> Chief/Sovereign</w:t>
      </w:r>
    </w:p>
    <w:p>
      <w:pPr/>
      <w:r>
        <w:rPr>
          <w:lang w:val="en_US" w:bidi="en_US"/>
        </w:rPr>
      </w:r>
      <w:r>
        <w:rPr>
          <w:lang w:val="en_US" w:bidi="en_US"/>
        </w:rPr>
        <w:t>See Lord, Context 3, in the Glossary.</w:t>
      </w:r>
    </w:p>
    <w:p>
      <w:pPr/>
      <w:r>
        <w:rPr>
          <w:lang w:val="en_US" w:bidi="en_US"/>
        </w:rPr>
      </w:r>
      <w:r>
        <w:rPr>
          <w:b/>
          <w:lang w:val="en_US" w:bidi="en_US"/>
        </w:rPr>
        <w:t>do not trouble Yourself:</w:t>
      </w:r>
      <w:r>
        <w:rPr>
          <w:lang w:val="en_US" w:bidi="en_US"/>
        </w:rPr>
        <w:t xml:space="preserve"> This phrase is in the form of a command, but it is really a polite way to say, “I do not want to trouble/bother you.” The officer was saying that he did not want Jesus to come all the way to his house because that was not necessary. You may have an idiomatic way to say this, but be sure that it is polite. The officer had already caused Jesus to make efforts to help him, and in some languages you may need to make that explicit. For example:</w:t>
      </w:r>
    </w:p>
    <w:p>
      <w:pPr/>
      <w:r>
        <w:rPr>
          <w:lang w:val="en_US" w:bidi="en_US"/>
        </w:rPr>
      </w:r>
      <w:r>
        <w:rPr>
          <w:lang w:val="en_US" w:bidi="en_US"/>
        </w:rPr>
        <w:t>do not trouble Yourself further (NASB)</w:t>
      </w:r>
    </w:p>
    <w:p>
      <w:pPr/>
      <w:r>
        <w:rPr>
          <w:lang w:val="en_US" w:bidi="en_US"/>
        </w:rPr>
      </w:r>
      <w:r>
        <w:rPr>
          <w:lang w:val="en_US" w:bidi="en_US"/>
        </w:rPr>
        <w:t>do not let me disturb you any longer</w:t>
      </w:r>
    </w:p>
    <w:p>
      <w:pPr/>
      <w:r>
        <w:rPr>
          <w:lang w:val="en_US" w:bidi="en_US"/>
        </w:rPr>
      </w:r>
      <w:r>
        <w:rPr>
          <w:lang w:val="en_US" w:bidi="en_US"/>
        </w:rPr>
        <w:t xml:space="preserve">I do not want to cause you any more effort </w:t>
      </w:r>
      <w:r>
        <w:rPr>
          <w:lang w:val="en_US" w:bidi="en_US"/>
        </w:rPr>
        <w:t>than necessary</w:t>
      </w:r>
    </w:p>
    <w:p>
      <w:pPr/>
      <w:r>
        <w:rPr>
          <w:lang w:val="en_US" w:bidi="en_US"/>
        </w:rPr>
      </w:r>
      <w:r>
        <w:rPr>
          <w:lang w:val="en_US" w:bidi="en_US"/>
        </w:rPr>
        <w:t>Here the officer meant that it was not necessary for Jesus to come to his home, but he still wanted Jesus to heal his slave. One way to make this clear is to mention the officer’s house here rather than in 7:6e. For example:</w:t>
      </w:r>
    </w:p>
    <w:p>
      <w:pPr/>
      <w:r>
        <w:rPr>
          <w:lang w:val="en_US" w:bidi="en_US"/>
        </w:rPr>
      </w:r>
      <w:r>
        <w:rPr>
          <w:lang w:val="en_US" w:bidi="en_US"/>
        </w:rPr>
        <w:t xml:space="preserve">don’t trouble </w:t>
      </w:r>
      <w:r>
        <w:rPr>
          <w:u w:val="single"/>
          <w:lang w:val="en_US" w:bidi="en_US"/>
        </w:rPr>
        <w:t>yourself by coming to my home</w:t>
      </w:r>
      <w:r>
        <w:rPr>
          <w:lang w:val="en_US" w:bidi="en_US"/>
        </w:rPr>
        <w:t xml:space="preserve"> (NLT96)</w:t>
      </w:r>
    </w:p>
    <w:p>
      <w:pPr>
        <w:pStyle w:val="Heading5"/>
      </w:pPr>
      <w:r>
        <w:rPr>
          <w:lang w:val="en_US" w:bidi="en_US"/>
        </w:rPr>
        <w:t>7:6e</w:t>
      </w:r>
    </w:p>
    <w:p>
      <w:pPr/>
      <w:r>
        <w:rPr>
          <w:lang w:val="en_US" w:bidi="en_US"/>
        </w:rPr>
      </w:r>
      <w:r>
        <w:rPr>
          <w:b/>
          <w:lang w:val="en_US" w:bidi="en_US"/>
        </w:rPr>
        <w:t>for I am not worthy to have You come under my roof.</w:t>
      </w:r>
    </w:p>
    <w:p>
      <w:pPr>
        <w:pStyle w:val="ListBullet"/>
        <w:spacing w:line="240" w:lineRule="auto"/>
        <w:ind w:left="720"/>
      </w:pPr>
      <w:r>
        <w:rPr>
          <w:lang w:val="en_US" w:bidi="en_US"/>
        </w:rPr>
      </w:r>
      <w:r>
        <w:rPr>
          <w:lang w:val="en_US" w:bidi="en_US"/>
        </w:rPr>
        <w:t>by asking you</w:t>
      </w:r>
      <w:r>
        <w:rPr>
          <w:vertAlign w:val="superscript"/>
          <w:lang w:val="en_US" w:bidi="en_US"/>
        </w:rPr>
        <w:t>(sing)</w:t>
      </w:r>
      <w:r>
        <w:rPr>
          <w:lang w:val="en_US" w:bidi="en_US"/>
        </w:rPr>
        <w:t xml:space="preserve"> to enter my house. I am not worthy of that honor,</w:t>
      </w:r>
    </w:p>
    <w:p>
      <w:pPr>
        <w:pStyle w:val="ListBullet"/>
        <w:spacing w:line="240" w:lineRule="auto"/>
        <w:ind w:left="720"/>
      </w:pPr>
      <w:r>
        <w:rPr>
          <w:lang w:val="en_US" w:bidi="en_US"/>
        </w:rPr>
      </w:r>
      <w:r>
        <w:rPr>
          <w:lang w:val="en_US" w:bidi="en_US"/>
        </w:rPr>
        <w:t>because I am not good/important enough to receive you</w:t>
      </w:r>
      <w:r>
        <w:rPr>
          <w:vertAlign w:val="superscript"/>
          <w:lang w:val="en_US" w:bidi="en_US"/>
        </w:rPr>
        <w:t>(sing)</w:t>
      </w:r>
      <w:r>
        <w:rPr>
          <w:lang w:val="en_US" w:bidi="en_US"/>
        </w:rPr>
        <w:t xml:space="preserve"> into my house.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why the officer did not want Jesus to go all the way to his house.</w:t>
      </w:r>
    </w:p>
    <w:p>
      <w:pPr/>
      <w:r>
        <w:rPr>
          <w:lang w:val="en_US" w:bidi="en_US"/>
        </w:rPr>
      </w:r>
      <w:r>
        <w:rPr>
          <w:b/>
          <w:lang w:val="en_US" w:bidi="en_US"/>
        </w:rPr>
        <w:t>I am not worthy to have You come under my roof:</w:t>
      </w:r>
      <w:r>
        <w:rPr>
          <w:lang w:val="en_US" w:bidi="en_US"/>
        </w:rPr>
        <w:t xml:space="preserve"> Here the officer was saying that he was not worthy to receive Jesus as a guest in his house. He may have said this because he was a Gentile or because he considered Jesus to be much greater than he was himself.</w:t>
      </w:r>
    </w:p>
    <w:p>
      <w:pPr/>
      <w:r>
        <w:rPr>
          <w:lang w:val="en_US" w:bidi="en_US"/>
        </w:rPr>
      </w:r>
      <w:r>
        <w:rPr>
          <w:b/>
          <w:lang w:val="en_US" w:bidi="en_US"/>
        </w:rPr>
        <w:t>come under my roof:</w:t>
      </w:r>
      <w:r>
        <w:rPr>
          <w:lang w:val="en_US" w:bidi="en_US"/>
        </w:rPr>
        <w:t xml:space="preserve"> The Greek phrase that the BSB translates literally as </w:t>
      </w:r>
      <w:r>
        <w:rPr>
          <w:i/>
          <w:lang w:val="en_US" w:bidi="en_US"/>
        </w:rPr>
        <w:t>come under my roof</w:t>
      </w:r>
      <w:r>
        <w:rPr>
          <w:lang w:val="en_US" w:bidi="en_US"/>
        </w:rPr>
        <w:t xml:space="preserve"> is an idiom that means “enter my house.” Use a natural way in your language to refer to someone coming to a person’s house as a guest.</w:t>
      </w:r>
    </w:p>
    <w:p>
      <w:pPr>
        <w:pStyle w:val="Heading6"/>
      </w:pPr>
      <w:r>
        <w:rPr>
          <w:b/>
          <w:lang w:val="en_US" w:bidi="en_US"/>
        </w:rPr>
        <w:t>General Comment on 7:6d–e</w:t>
      </w:r>
    </w:p>
    <w:p>
      <w:pPr/>
      <w:r>
        <w:rPr>
          <w:lang w:val="en_US" w:bidi="en_US"/>
        </w:rPr>
      </w:r>
      <w:r>
        <w:rPr>
          <w:lang w:val="en_US" w:bidi="en_US"/>
        </w:rPr>
        <w:t>In some languages it may be natural to reverse the order of 7:6d and 7:6e. For example:</w:t>
      </w:r>
    </w:p>
    <w:p>
      <w:pPr/>
      <w:r>
        <w:rPr>
          <w:lang w:val="en_US" w:bidi="en_US"/>
        </w:rPr>
      </w:r>
      <w:r>
        <w:rPr>
          <w:lang w:val="en_US" w:bidi="en_US"/>
        </w:rPr>
        <w:t xml:space="preserve">Lord, </w:t>
      </w:r>
      <w:r>
        <w:rPr>
          <w:vertAlign w:val="superscript"/>
          <w:lang w:val="en_US" w:bidi="en_US"/>
        </w:rPr>
        <w:t>6e</w:t>
      </w:r>
      <w:r>
        <w:rPr>
          <w:lang w:val="en_US" w:bidi="en_US"/>
        </w:rPr>
        <w:t xml:space="preserve">I am not worthy for you to enter my house. </w:t>
      </w:r>
      <w:r>
        <w:rPr>
          <w:vertAlign w:val="superscript"/>
          <w:lang w:val="en_US" w:bidi="en_US"/>
        </w:rPr>
        <w:t>6d</w:t>
      </w:r>
      <w:r>
        <w:rPr>
          <w:lang w:val="en_US" w:bidi="en_US"/>
        </w:rPr>
        <w:t xml:space="preserve">So please do not trouble yourself </w:t>
      </w:r>
      <w:r>
        <w:rPr>
          <w:lang w:val="en_US" w:bidi="en_US"/>
        </w:rPr>
        <w:t>to come any further</w:t>
      </w:r>
      <w:r>
        <w:rPr>
          <w:lang w:val="en_US" w:bidi="en_US"/>
        </w:rPr>
        <w:t>.</w:t>
      </w:r>
      <w:r>
        <w:rPr>
          <w:lang w:val="en_US" w:bidi="en_US"/>
        </w:rPr>
      </w:r>
      <w:r>
        <w:rPr>
          <w:lang w:val="en_US" w:bidi="en_US"/>
        </w:rPr>
      </w:r>
    </w:p>
    <w:p>
      <w:pPr/>
      <w:r>
        <w:rPr>
          <w:lang w:val="en_US" w:bidi="en_US"/>
        </w:rPr>
      </w:r>
    </w:p>
    <w:p>
      <w:pPr>
        <w:pStyle w:val="Heading2"/>
      </w:pPr>
      <w:r>
        <w:rPr>
          <w:lang w:val="en_US" w:bidi="en_US"/>
        </w:rPr>
        <w:t>Luke 7:7</w:t>
      </w:r>
      <w:r>
        <w:rPr>
          <w:lang w:val="en_US" w:bidi="en_US"/>
        </w:rPr>
      </w:r>
    </w:p>
    <w:p>
      <w:pPr>
        <w:pStyle w:val="Heading4"/>
      </w:pPr>
      <w:r>
        <w:rPr>
          <w:lang w:val="en_US" w:bidi="en_US"/>
        </w:rPr>
        <w:t>Section 7:1–10: Jesus healed an army officer’s servant</w:t>
      </w:r>
    </w:p>
    <w:p>
      <w:pPr/>
      <w:r>
        <w:rPr>
          <w:lang w:val="en_US" w:bidi="en_US"/>
        </w:rPr>
      </w:r>
      <w:r>
        <w:rPr>
          <w:lang w:val="en_US" w:bidi="en_US"/>
        </w:rPr>
        <w:t>This section tells how an army officer trusted Jesus to heal his servant. The officer was not a Jew; he was a Gentile, a Roman. He sent some Jewish leaders as messengers to ask Jesus to come and heal his servant. Later he sent some friends to say that it was not necessary for Jesus to come to his house. He believed that Jesus could heal his servant from a distance.</w:t>
      </w:r>
    </w:p>
    <w:p>
      <w:pPr/>
      <w:r>
        <w:rPr>
          <w:lang w:val="en_US" w:bidi="en_US"/>
        </w:rPr>
      </w:r>
      <w:r>
        <w:rPr>
          <w:lang w:val="en_US" w:bidi="en_US"/>
        </w:rPr>
        <w:t>The Roman compared Jesus’ authority to his own authority as an army officer. As an officer, he could cause other soldiers to obey him by simply commanding them to do something. He recognized that Jesus also had authority and power to heal by only giving a command. Jesus was amazed that this Gentile trusted him so much. He said that the officer had more faith than any Jew whom he had met.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 Roman army officer shows great faith in Jesus</w:t>
      </w:r>
    </w:p>
    <w:p>
      <w:pPr/>
      <w:r>
        <w:rPr>
          <w:lang w:val="en_US" w:bidi="en_US"/>
        </w:rPr>
      </w:r>
      <w:r>
        <w:rPr>
          <w:lang w:val="en_US" w:bidi="en_US"/>
        </w:rPr>
        <w:t>Jesus is amazed by the faith of a captain in the Roman army</w:t>
      </w:r>
    </w:p>
    <w:p>
      <w:pPr/>
      <w:r>
        <w:rPr>
          <w:lang w:val="en_US" w:bidi="en_US"/>
        </w:rPr>
      </w:r>
      <w:r>
        <w:rPr>
          <w:lang w:val="en_US" w:bidi="en_US"/>
        </w:rPr>
        <w:t>The amazing faith of the centurion</w:t>
      </w:r>
    </w:p>
    <w:p>
      <w:pPr/>
      <w:r>
        <w:rPr>
          <w:lang w:val="en_US" w:bidi="en_US"/>
        </w:rPr>
      </w:r>
      <w:r>
        <w:rPr>
          <w:lang w:val="en_US" w:bidi="en_US"/>
        </w:rPr>
        <w:t>There is a parallel passage for this section in Matthew 8:5–13.</w:t>
      </w:r>
    </w:p>
    <w:p>
      <w:pPr>
        <w:pStyle w:val="Heading5"/>
      </w:pPr>
      <w:r>
        <w:rPr>
          <w:lang w:val="en_US" w:bidi="en_US"/>
        </w:rPr>
        <w:t>7:7a</w:t>
      </w:r>
    </w:p>
    <w:p>
      <w:pPr/>
      <w:r>
        <w:rPr>
          <w:lang w:val="en_US" w:bidi="en_US"/>
        </w:rPr>
      </w:r>
      <w:r>
        <w:rPr>
          <w:b/>
          <w:lang w:val="en_US" w:bidi="en_US"/>
        </w:rPr>
        <w:t>That is why I did not consider myself worthy to come to You.</w:t>
      </w:r>
    </w:p>
    <w:p>
      <w:pPr>
        <w:pStyle w:val="ListBullet"/>
        <w:spacing w:line="240" w:lineRule="auto"/>
        <w:ind w:left="720"/>
      </w:pPr>
      <w:r>
        <w:rPr>
          <w:lang w:val="en_US" w:bidi="en_US"/>
        </w:rPr>
      </w:r>
      <w:r>
        <w:rPr>
          <w:lang w:val="en_US" w:bidi="en_US"/>
        </w:rPr>
        <w:t>nor do I feel that I am worthy to come to you</w:t>
      </w:r>
      <w:r>
        <w:rPr>
          <w:vertAlign w:val="superscript"/>
          <w:lang w:val="en_US" w:bidi="en_US"/>
        </w:rPr>
        <w:t>(sing)</w:t>
      </w:r>
      <w:r>
        <w:rPr>
          <w:lang w:val="en_US" w:bidi="en_US"/>
        </w:rPr>
        <w:t xml:space="preserve"> in person.</w:t>
      </w:r>
    </w:p>
    <w:p>
      <w:pPr>
        <w:pStyle w:val="ListBullet"/>
        <w:spacing w:line="240" w:lineRule="auto"/>
        <w:ind w:left="720"/>
      </w:pPr>
      <w:r>
        <w:rPr>
          <w:lang w:val="en_US" w:bidi="en_US"/>
        </w:rPr>
      </w:r>
      <w:r>
        <w:rPr>
          <w:lang w:val="en_US" w:bidi="en_US"/>
        </w:rPr>
        <w:t>And I am not even good/important enough to meet you</w:t>
      </w:r>
      <w:r>
        <w:rPr>
          <w:vertAlign w:val="superscript"/>
          <w:lang w:val="en_US" w:bidi="en_US"/>
        </w:rPr>
        <w:t>(sing)</w:t>
      </w:r>
      <w:r>
        <w:rPr>
          <w:lang w:val="en_US" w:bidi="en_US"/>
        </w:rPr>
        <w:t>.</w:t>
      </w:r>
    </w:p>
    <w:p>
      <w:pPr/>
      <w:r>
        <w:rPr>
          <w:lang w:val="en_US" w:bidi="en_US"/>
        </w:rPr>
      </w:r>
      <w:r>
        <w:rPr>
          <w:b/>
          <w:lang w:val="en_US" w:bidi="en_US"/>
        </w:rPr>
        <w:t>That is why I did not consider myself worthy to come to You:</w:t>
      </w:r>
      <w:r>
        <w:rPr>
          <w:lang w:val="en_US" w:bidi="en_US"/>
        </w:rPr>
        <w:t xml:space="preserve"> In this context the Greek conjunction that the BSB translates as </w:t>
      </w:r>
      <w:r>
        <w:rPr>
          <w:i/>
          <w:lang w:val="en_US" w:bidi="en_US"/>
        </w:rPr>
        <w:t>That is why</w:t>
      </w:r>
      <w:r>
        <w:rPr>
          <w:lang w:val="en_US" w:bidi="en_US"/>
        </w:rPr>
        <w:t xml:space="preserve"> introduces a conclusion. The basis of this conclusion is that the officer thought that he was not worthy to be with Jesus. He did not think that he was worthy to come to Jesus himself (so he sent other people).</w:t>
      </w:r>
      <w:r>
        <w:rPr>
          <w:lang w:val="en_US" w:bidi="en_US"/>
        </w:rPr>
        <w:t>This conjunction usually introduces a conclusion based on what was said before it. However, here the basis for the conclusion would be the officer’s general feeling that he was not worthy to be in the presence of Jesus. Because of that he did not think that he should come to Jesus himself or that Jesus should come to his house.</w:t>
      </w:r>
      <w:r>
        <w:rPr>
          <w:lang w:val="en_US" w:bidi="en_US"/>
        </w:rPr>
        <w:t xml:space="preserve"> He had already said that he was not worthy for Jesus to come to his house.</w:t>
      </w:r>
    </w:p>
    <w:p>
      <w:pPr/>
      <w:r>
        <w:rPr>
          <w:lang w:val="en_US" w:bidi="en_US"/>
        </w:rPr>
      </w:r>
      <w:r>
        <w:rPr>
          <w:lang w:val="en_US" w:bidi="en_US"/>
        </w:rPr>
        <w:t>Some ways to connect 7:7a to 7:6e are:</w:t>
      </w:r>
    </w:p>
    <w:p>
      <w:pPr/>
      <w:r>
        <w:rPr>
          <w:lang w:val="en_US" w:bidi="en_US"/>
        </w:rPr>
      </w:r>
      <w:r>
        <w:rPr>
          <w:u w:val="single"/>
          <w:lang w:val="en_US" w:bidi="en_US"/>
        </w:rPr>
        <w:t>And</w:t>
      </w:r>
      <w:r>
        <w:rPr>
          <w:lang w:val="en_US" w:bidi="en_US"/>
        </w:rPr>
        <w:t xml:space="preserve"> I am certainly not worthy to come to you. (CEV)</w:t>
      </w:r>
    </w:p>
    <w:p>
      <w:pPr/>
      <w:r>
        <w:rPr>
          <w:lang w:val="en_US" w:bidi="en_US"/>
        </w:rPr>
      </w:r>
      <w:r>
        <w:rPr>
          <w:lang w:val="en_US" w:bidi="en_US"/>
        </w:rPr>
        <w:t>…</w:t>
      </w:r>
      <w:r>
        <w:rPr>
          <w:u w:val="single"/>
          <w:lang w:val="en_US" w:bidi="en_US"/>
        </w:rPr>
        <w:t>neither</w:t>
      </w:r>
      <w:r>
        <w:rPr>
          <w:lang w:val="en_US" w:bidi="en_US"/>
        </w:rPr>
        <w:t xml:space="preserve"> do I consider myself worthy to come to you in person. (GNT)</w:t>
      </w:r>
    </w:p>
    <w:p>
      <w:pPr>
        <w:pStyle w:val="Heading5"/>
      </w:pPr>
      <w:r>
        <w:rPr>
          <w:lang w:val="en_US" w:bidi="en_US"/>
        </w:rPr>
        <w:t>7:7b</w:t>
      </w:r>
    </w:p>
    <w:p>
      <w:pPr/>
      <w:r>
        <w:rPr>
          <w:lang w:val="en_US" w:bidi="en_US"/>
        </w:rPr>
      </w:r>
      <w:r>
        <w:rPr>
          <w:b/>
          <w:lang w:val="en_US" w:bidi="en_US"/>
        </w:rPr>
        <w:t>But just say the word,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only need to give the command </w:t>
      </w:r>
      <w:r>
        <w:rPr>
          <w:lang w:val="en_US" w:bidi="en_US"/>
        </w:rPr>
        <w:t>that my slave should be healed</w:t>
      </w:r>
      <w:r>
        <w:rPr>
          <w:lang w:val="en_US" w:bidi="en_US"/>
        </w:rPr>
        <w:t>,</w:t>
      </w:r>
    </w:p>
    <w:p>
      <w:pPr>
        <w:pStyle w:val="ListBullet"/>
        <w:spacing w:line="240" w:lineRule="auto"/>
        <w:ind w:left="720"/>
      </w:pPr>
      <w:r>
        <w:rPr>
          <w:lang w:val="en_US" w:bidi="en_US"/>
        </w:rPr>
      </w:r>
      <w:r>
        <w:rPr>
          <w:lang w:val="en_US" w:bidi="en_US"/>
        </w:rPr>
        <w:t>So do not come</w:t>
      </w:r>
      <w:r>
        <w:rPr>
          <w:vertAlign w:val="superscript"/>
          <w:lang w:val="en_US" w:bidi="en_US"/>
        </w:rPr>
        <w:t>(sing)</w:t>
      </w:r>
      <w:r>
        <w:rPr>
          <w:lang w:val="en_US" w:bidi="en_US"/>
        </w:rPr>
        <w:t xml:space="preserve"> </w:t>
      </w:r>
      <w:r>
        <w:rPr>
          <w:lang w:val="en_US" w:bidi="en_US"/>
        </w:rPr>
        <w:t>any further,</w:t>
      </w:r>
      <w:r>
        <w:rPr>
          <w:lang w:val="en_US" w:bidi="en_US"/>
        </w:rPr>
        <w:t xml:space="preserve"> but instead, speak</w:t>
      </w:r>
      <w:r>
        <w:rPr>
          <w:vertAlign w:val="superscript"/>
          <w:lang w:val="en_US" w:bidi="en_US"/>
        </w:rPr>
        <w:t>(sing)</w:t>
      </w:r>
      <w:r>
        <w:rPr>
          <w:lang w:val="en_US" w:bidi="en_US"/>
        </w:rPr>
        <w:t xml:space="preserve"> the word </w:t>
      </w:r>
      <w:r>
        <w:rPr>
          <w:lang w:val="en_US" w:bidi="en_US"/>
        </w:rPr>
        <w:t>from here</w:t>
      </w:r>
      <w:r>
        <w:rPr>
          <w:lang w:val="en_US" w:bidi="en_US"/>
        </w:rPr>
        <w:t>,</w:t>
      </w:r>
    </w:p>
    <w:p>
      <w:pPr>
        <w:pStyle w:val="Heading5"/>
      </w:pPr>
      <w:r>
        <w:rPr>
          <w:lang w:val="en_US" w:bidi="en_US"/>
        </w:rPr>
        <w:t>7:7c</w:t>
      </w:r>
    </w:p>
    <w:p>
      <w:pPr/>
      <w:r>
        <w:rPr>
          <w:lang w:val="en_US" w:bidi="en_US"/>
        </w:rPr>
      </w:r>
      <w:r>
        <w:rPr>
          <w:b/>
          <w:lang w:val="en_US" w:bidi="en_US"/>
        </w:rPr>
        <w:t>and my servant will be healed.</w:t>
      </w:r>
    </w:p>
    <w:p>
      <w:pPr>
        <w:pStyle w:val="ListBullet"/>
        <w:spacing w:line="240" w:lineRule="auto"/>
        <w:ind w:left="720"/>
      </w:pPr>
      <w:r>
        <w:rPr>
          <w:lang w:val="en_US" w:bidi="en_US"/>
        </w:rPr>
      </w:r>
      <w:r>
        <w:rPr>
          <w:lang w:val="en_US" w:bidi="en_US"/>
        </w:rPr>
        <w:t>and my slave will get well.</w:t>
      </w:r>
    </w:p>
    <w:p>
      <w:pPr>
        <w:pStyle w:val="ListBullet"/>
        <w:spacing w:line="240" w:lineRule="auto"/>
        <w:ind w:left="720"/>
      </w:pPr>
      <w:r>
        <w:rPr>
          <w:lang w:val="en_US" w:bidi="en_US"/>
        </w:rPr>
      </w:r>
      <w:r>
        <w:rPr>
          <w:lang w:val="en_US" w:bidi="en_US"/>
        </w:rPr>
        <w:t xml:space="preserve">and my servant will </w:t>
      </w:r>
      <w:r>
        <w:rPr>
          <w:lang w:val="en_US" w:bidi="en_US"/>
        </w:rPr>
        <w:t>certainly</w:t>
      </w:r>
      <w:r>
        <w:rPr>
          <w:lang w:val="en_US" w:bidi="en_US"/>
        </w:rPr>
        <w:t xml:space="preserve"> become well again.</w:t>
      </w:r>
    </w:p>
    <w:p>
      <w:pPr>
        <w:pStyle w:val="Heading5"/>
      </w:pPr>
      <w:r>
        <w:rPr>
          <w:lang w:val="en_US" w:bidi="en_US"/>
        </w:rPr>
        <w:t>7:7b–c</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indicates contrast. Instead of coming to the officer’s house (7:6d–e), Jesus could just heal the servant from a distance by commanding it to happen. Connect 7:7b to what comes before it in a way that is natural in your language. It may be helpful to make the contrast more explicit. For example:</w:t>
      </w:r>
    </w:p>
    <w:p>
      <w:pPr/>
      <w:r>
        <w:rPr>
          <w:lang w:val="en_US" w:bidi="en_US"/>
        </w:rPr>
      </w:r>
      <w:r>
        <w:rPr>
          <w:lang w:val="en_US" w:bidi="en_US"/>
        </w:rPr>
        <w:t>So do not come</w:t>
      </w:r>
      <w:r>
        <w:rPr>
          <w:lang w:val="en_US" w:bidi="en_US"/>
        </w:rPr>
        <w:t xml:space="preserve"> but instead, just say the word </w:t>
      </w:r>
      <w:r>
        <w:rPr>
          <w:lang w:val="en_US" w:bidi="en_US"/>
        </w:rPr>
        <w:t>from here</w:t>
      </w:r>
      <w:r>
        <w:rPr>
          <w:lang w:val="en_US" w:bidi="en_US"/>
        </w:rPr>
        <w:t xml:space="preserve"> and my servant will be healed.</w:t>
      </w:r>
    </w:p>
    <w:p>
      <w:pPr/>
      <w:r>
        <w:rPr>
          <w:lang w:val="en_US" w:bidi="en_US"/>
        </w:rPr>
      </w:r>
      <w:r>
        <w:rPr>
          <w:lang w:val="en_US" w:bidi="en_US"/>
        </w:rPr>
        <w:t>Just say the word from where you are, and my servant will be healed. (NLT)</w:t>
      </w:r>
    </w:p>
    <w:p>
      <w:pPr/>
      <w:r>
        <w:rPr>
          <w:lang w:val="en_US" w:bidi="en_US"/>
        </w:rPr>
      </w:r>
      <w:r>
        <w:rPr>
          <w:b/>
          <w:lang w:val="en_US" w:bidi="en_US"/>
        </w:rPr>
        <w:t>just say the word:</w:t>
      </w:r>
      <w:r>
        <w:rPr>
          <w:lang w:val="en_US" w:bidi="en_US"/>
        </w:rPr>
        <w:t xml:space="preserve"> The phrase </w:t>
      </w:r>
      <w:r>
        <w:rPr>
          <w:i/>
          <w:lang w:val="en_US" w:bidi="en_US"/>
        </w:rPr>
        <w:t>just say the word</w:t>
      </w:r>
      <w:r>
        <w:rPr>
          <w:lang w:val="en_US" w:bidi="en_US"/>
        </w:rPr>
        <w:t xml:space="preserve"> means, “You only have to command my servant to be well.” The officer realized that Jesus did not have to be present at his house in order to heal the servant. Jesus could heal him from a distance with a spoken word. It may be helpful to make explicit what kind of </w:t>
      </w:r>
      <w:r>
        <w:rPr>
          <w:i/>
          <w:lang w:val="en_US" w:bidi="en_US"/>
        </w:rPr>
        <w:t>word</w:t>
      </w:r>
      <w:r>
        <w:rPr>
          <w:lang w:val="en_US" w:bidi="en_US"/>
        </w:rPr>
        <w:t xml:space="preserve"> this was. For example, you could say:</w:t>
      </w:r>
    </w:p>
    <w:p>
      <w:pPr/>
      <w:r>
        <w:rPr>
          <w:lang w:val="en_US" w:bidi="en_US"/>
        </w:rPr>
      </w:r>
      <w:r>
        <w:rPr>
          <w:lang w:val="en_US" w:bidi="en_US"/>
        </w:rPr>
        <w:t xml:space="preserve">Speak/say the word(s) </w:t>
      </w:r>
      <w:r>
        <w:rPr>
          <w:u w:val="single"/>
          <w:lang w:val="en_US" w:bidi="en_US"/>
        </w:rPr>
        <w:t>of healing</w:t>
      </w:r>
      <w:r>
        <w:rPr>
          <w:lang w:val="en_US" w:bidi="en_US"/>
        </w:rPr>
        <w:t xml:space="preserve"> and he will be well.</w:t>
      </w:r>
    </w:p>
    <w:p>
      <w:pPr/>
      <w:r>
        <w:rPr>
          <w:lang w:val="en_US" w:bidi="en_US"/>
        </w:rPr>
      </w:r>
      <w:r>
        <w:rPr>
          <w:lang w:val="en_US" w:bidi="en_US"/>
        </w:rPr>
        <w:t xml:space="preserve">Command my slave </w:t>
      </w:r>
      <w:r>
        <w:rPr>
          <w:u w:val="single"/>
          <w:lang w:val="en_US" w:bidi="en_US"/>
        </w:rPr>
        <w:t>to be healed</w:t>
      </w:r>
      <w:r>
        <w:rPr>
          <w:lang w:val="en_US" w:bidi="en_US"/>
        </w:rPr>
        <w:t xml:space="preserve"> and he will be well.</w:t>
      </w:r>
    </w:p>
    <w:p>
      <w:pPr/>
      <w:r>
        <w:rPr>
          <w:lang w:val="en_US" w:bidi="en_US"/>
        </w:rPr>
      </w:r>
      <w:r>
        <w:rPr>
          <w:lang w:val="en_US" w:bidi="en_US"/>
        </w:rPr>
        <w:t>In some languages it may be natural to use direct speech. For example:</w:t>
      </w:r>
    </w:p>
    <w:p>
      <w:pPr/>
      <w:r>
        <w:rPr>
          <w:lang w:val="en_US" w:bidi="en_US"/>
        </w:rPr>
      </w:r>
      <w:r>
        <w:rPr>
          <w:lang w:val="en_US" w:bidi="en_US"/>
        </w:rPr>
        <w:t>Speak the words, “Be healed.”</w:t>
      </w:r>
    </w:p>
    <w:p>
      <w:pPr/>
      <w:r>
        <w:rPr>
          <w:lang w:val="en_US" w:bidi="en_US"/>
        </w:rPr>
      </w:r>
      <w:r>
        <w:rPr>
          <w:lang w:val="en_US" w:bidi="en_US"/>
        </w:rPr>
        <w:t>Notice that in this example, the plural form of “words” is used.</w:t>
      </w:r>
      <w:r>
        <w:rPr>
          <w:lang w:val="en_US" w:bidi="en_US"/>
        </w:rPr>
        <w:t>In Greek, Hebrew, or Aramaic, the command to be healed is just one word.</w:t>
      </w:r>
    </w:p>
    <w:p>
      <w:pPr/>
      <w:r>
        <w:rPr>
          <w:lang w:val="en_US" w:bidi="en_US"/>
        </w:rPr>
      </w:r>
      <w:r>
        <w:rPr>
          <w:lang w:val="en_US" w:bidi="en_US"/>
        </w:rPr>
        <w:t>Other ways to translate this are:</w:t>
      </w:r>
    </w:p>
    <w:p>
      <w:pPr/>
      <w:r>
        <w:rPr>
          <w:lang w:val="en_US" w:bidi="en_US"/>
        </w:rPr>
      </w:r>
      <w:r>
        <w:rPr>
          <w:lang w:val="en_US" w:bidi="en_US"/>
        </w:rPr>
        <w:t>Just give the order (GNT)</w:t>
      </w:r>
    </w:p>
    <w:p>
      <w:pPr/>
      <w:r>
        <w:rPr>
          <w:lang w:val="en_US" w:bidi="en_US"/>
        </w:rPr>
      </w:r>
      <w:r>
        <w:rPr>
          <w:lang w:val="en_US" w:bidi="en_US"/>
        </w:rPr>
        <w:t>But you only need to command it (NCV)</w:t>
      </w:r>
    </w:p>
    <w:p>
      <w:pPr/>
      <w:r>
        <w:rPr>
          <w:lang w:val="en_US" w:bidi="en_US"/>
        </w:rPr>
      </w:r>
      <w:r>
        <w:rPr>
          <w:b/>
          <w:lang w:val="en_US" w:bidi="en_US"/>
        </w:rPr>
        <w:t>and my servant will be healed:</w:t>
      </w:r>
      <w:r>
        <w:rPr>
          <w:lang w:val="en_US" w:bidi="en_US"/>
        </w:rPr>
        <w:t xml:space="preserve"> In Greek the clause that the BSB translates as </w:t>
      </w:r>
      <w:r>
        <w:rPr>
          <w:i/>
          <w:lang w:val="en_US" w:bidi="en_US"/>
        </w:rPr>
        <w:t>and my servant will be healed</w:t>
      </w:r>
      <w:r>
        <w:rPr>
          <w:lang w:val="en_US" w:bidi="en_US"/>
        </w:rPr>
        <w:t xml:space="preserve"> is literally “let/may my servant be healed.”</w:t>
      </w:r>
      <w:r>
        <w:rPr>
          <w:lang w:val="en_US" w:bidi="en_US"/>
        </w:rPr>
        <w:t>In Greek the verb is a third person passive imperative. This is not common in modern English, though some English versions (RSV, NJB, and GW) maintain this form. In Greek this form may have more closely corresponded to the form that the centurion expected Jesus to speak in healing his servant: “Be healed” (passive imperative).</w:t>
      </w:r>
      <w:r>
        <w:rPr>
          <w:lang w:val="en_US" w:bidi="en_US"/>
        </w:rPr>
        <w:t xml:space="preserve"> The verb form is often used as a command.</w:t>
      </w:r>
      <w:r>
        <w:rPr>
          <w:lang w:val="en_US" w:bidi="en_US"/>
        </w:rPr>
        <w:t xml:space="preserve">There is also a textual issue here that concerns the form of the Greek verb that the BSB translates as </w:t>
      </w:r>
      <w:r>
        <w:rPr>
          <w:i/>
          <w:lang w:val="en_US" w:bidi="en_US"/>
        </w:rPr>
        <w:t>will be healed</w:t>
      </w:r>
      <w:r>
        <w:rPr>
          <w:lang w:val="en_US" w:bidi="en_US"/>
        </w:rPr>
        <w:t>: (1) The earliest Greek manuscripts have a third person imperative form that can be translated as “let (my servant) be healed” (RSV, GW, NJB). (2) Other Greek manuscripts have the future form that can be translated as “(my servant) will be healed” (BSB, NIV, NASB, NLT, KJV, CEV, NCV, REB). Although option (1) is the more likely form, in this context the two forms have basically the same meaning. It seems likely that most of the versions that follow option (2) do so for translation reasons rather than textual reasons. The Notes have discussed this issue from the perspective of translation advice rather than as a textual issue.</w:t>
      </w:r>
      <w:r>
        <w:rPr>
          <w:lang w:val="en_US" w:bidi="en_US"/>
        </w:rPr>
        <w:t xml:space="preserve"> However, in this context, the officer was expressing that he was confident that Jesus’ word/command alone would heal his servant. Some other ways to translate the two clauses are:</w:t>
      </w:r>
    </w:p>
    <w:p>
      <w:pPr/>
      <w:r>
        <w:rPr>
          <w:lang w:val="en_US" w:bidi="en_US"/>
        </w:rPr>
      </w:r>
      <w:r>
        <w:rPr>
          <w:lang w:val="en_US" w:bidi="en_US"/>
        </w:rPr>
        <w:t>Instead, say the word, and my servant must be healed. (NET)</w:t>
      </w:r>
    </w:p>
    <w:p>
      <w:pPr/>
      <w:r>
        <w:rPr>
          <w:lang w:val="en_US" w:bidi="en_US"/>
        </w:rPr>
      </w:r>
      <w:r>
        <w:rPr>
          <w:lang w:val="en_US" w:bidi="en_US"/>
        </w:rPr>
        <w:t>…let my boy be cured by your giving the word. (NJB)</w:t>
      </w:r>
    </w:p>
    <w:p>
      <w:pPr/>
      <w:r>
        <w:rPr>
          <w:lang w:val="en_US" w:bidi="en_US"/>
        </w:rPr>
      </w:r>
      <w:r>
        <w:rPr>
          <w:lang w:val="en_US" w:bidi="en_US"/>
        </w:rPr>
        <w:t>This is a passive clause. In some languages it may be more natural to express it without using a passive form. For example:</w:t>
      </w:r>
    </w:p>
    <w:p>
      <w:pPr/>
      <w:r>
        <w:rPr>
          <w:lang w:val="en_US" w:bidi="en_US"/>
        </w:rPr>
      </w:r>
      <w:r>
        <w:rPr>
          <w:lang w:val="en_US" w:bidi="en_US"/>
        </w:rPr>
        <w:t>Just command it to happen, and then my servant will get well.</w:t>
      </w:r>
    </w:p>
    <w:p>
      <w:pPr/>
      <w:r>
        <w:rPr>
          <w:lang w:val="en_US" w:bidi="en_US"/>
        </w:rPr>
      </w:r>
      <w:r>
        <w:rPr>
          <w:lang w:val="en_US" w:bidi="en_US"/>
        </w:rPr>
        <w:t>But only speak the word, and that will heal my servant.</w:t>
      </w:r>
    </w:p>
    <w:p>
      <w:pPr/>
      <w:r>
        <w:rPr>
          <w:lang w:val="en_US" w:bidi="en_US"/>
        </w:rPr>
      </w:r>
      <w:r>
        <w:rPr>
          <w:b/>
          <w:lang w:val="en_US" w:bidi="en_US"/>
        </w:rPr>
        <w:t>my servant:</w:t>
      </w:r>
      <w:r>
        <w:rPr>
          <w:lang w:val="en_US" w:bidi="en_US"/>
        </w:rPr>
        <w:t xml:space="preserve"> The Greek word that the BSB translates as </w:t>
      </w:r>
      <w:r>
        <w:rPr>
          <w:i/>
          <w:lang w:val="en_US" w:bidi="en_US"/>
        </w:rPr>
        <w:t>my servant</w:t>
      </w:r>
      <w:r>
        <w:rPr>
          <w:lang w:val="en_US" w:bidi="en_US"/>
        </w:rPr>
        <w:t xml:space="preserve"> here is not the same word as the one translated as </w:t>
      </w:r>
      <w:r>
        <w:rPr>
          <w:i/>
          <w:lang w:val="en_US" w:bidi="en_US"/>
        </w:rPr>
        <w:t>servant</w:t>
      </w:r>
      <w:r>
        <w:rPr>
          <w:lang w:val="en_US" w:bidi="en_US"/>
        </w:rPr>
        <w:t xml:space="preserve"> in 7:2a. This word can mean “child,” but here it means “slave.” Use an appropriate word in your language.</w:t>
      </w:r>
    </w:p>
    <w:p>
      <w:pPr>
        <w:pStyle w:val="Heading6"/>
      </w:pPr>
      <w:r>
        <w:rPr>
          <w:b/>
          <w:lang w:val="en_US" w:bidi="en_US"/>
        </w:rPr>
        <w:t>General Comment on 7:7b–c</w:t>
      </w:r>
    </w:p>
    <w:p>
      <w:pPr/>
      <w:r>
        <w:rPr>
          <w:lang w:val="en_US" w:bidi="en_US"/>
        </w:rPr>
      </w:r>
      <w:r>
        <w:rPr>
          <w:lang w:val="en_US" w:bidi="en_US"/>
        </w:rPr>
        <w:t>In some languages it may be more natural to reverse the order of the clauses of 7:7b–c. For example:</w:t>
      </w:r>
    </w:p>
    <w:p>
      <w:pPr/>
      <w:r>
        <w:rPr>
          <w:lang w:val="en_US" w:bidi="en_US"/>
        </w:rPr>
      </w:r>
      <w:r>
        <w:rPr>
          <w:vertAlign w:val="superscript"/>
          <w:lang w:val="en_US" w:bidi="en_US"/>
        </w:rPr>
        <w:t>7c</w:t>
      </w:r>
      <w:r>
        <w:rPr>
          <w:lang w:val="en_US" w:bidi="en_US"/>
        </w:rPr>
        <w:t xml:space="preserve"> </w:t>
      </w:r>
      <w:r>
        <w:rPr>
          <w:lang w:val="en_US" w:bidi="en_US"/>
        </w:rPr>
        <w:t>Please</w:t>
      </w:r>
      <w:r>
        <w:rPr>
          <w:lang w:val="en_US" w:bidi="en_US"/>
        </w:rPr>
        <w:t xml:space="preserve"> heal my slave </w:t>
      </w:r>
      <w:r>
        <w:rPr>
          <w:vertAlign w:val="superscript"/>
          <w:lang w:val="en_US" w:bidi="en_US"/>
        </w:rPr>
        <w:t>7b</w:t>
      </w:r>
      <w:r>
        <w:rPr>
          <w:lang w:val="en_US" w:bidi="en_US"/>
        </w:rPr>
        <w:t xml:space="preserve">just by giving the command </w:t>
      </w:r>
      <w:r>
        <w:rPr>
          <w:lang w:val="en_US" w:bidi="en_US"/>
        </w:rPr>
        <w:t>from here</w:t>
      </w:r>
      <w:r>
        <w:rPr>
          <w:lang w:val="en_US" w:bidi="en_US"/>
        </w:rPr>
        <w:t>.</w:t>
      </w:r>
      <w:r>
        <w:rPr>
          <w:lang w:val="en_US" w:bidi="en_US"/>
        </w:rPr>
      </w:r>
      <w:r>
        <w:rPr>
          <w:lang w:val="en_US" w:bidi="en_US"/>
        </w:rPr>
      </w:r>
    </w:p>
    <w:p>
      <w:pPr/>
      <w:r>
        <w:rPr>
          <w:lang w:val="en_US" w:bidi="en_US"/>
        </w:rPr>
      </w:r>
    </w:p>
    <w:p>
      <w:pPr>
        <w:pStyle w:val="Heading2"/>
      </w:pPr>
      <w:r>
        <w:rPr>
          <w:lang w:val="en_US" w:bidi="en_US"/>
        </w:rPr>
        <w:t>Luke 7:8</w:t>
      </w:r>
      <w:r>
        <w:rPr>
          <w:lang w:val="en_US" w:bidi="en_US"/>
        </w:rPr>
      </w:r>
    </w:p>
    <w:p>
      <w:pPr>
        <w:pStyle w:val="Heading4"/>
      </w:pPr>
      <w:r>
        <w:rPr>
          <w:lang w:val="en_US" w:bidi="en_US"/>
        </w:rPr>
        <w:t>Section 7:1–10: Jesus healed an army officer’s servant</w:t>
      </w:r>
    </w:p>
    <w:p>
      <w:pPr/>
      <w:r>
        <w:rPr>
          <w:lang w:val="en_US" w:bidi="en_US"/>
        </w:rPr>
      </w:r>
      <w:r>
        <w:rPr>
          <w:lang w:val="en_US" w:bidi="en_US"/>
        </w:rPr>
        <w:t>This section tells how an army officer trusted Jesus to heal his servant. The officer was not a Jew; he was a Gentile, a Roman. He sent some Jewish leaders as messengers to ask Jesus to come and heal his servant. Later he sent some friends to say that it was not necessary for Jesus to come to his house. He believed that Jesus could heal his servant from a distance.</w:t>
      </w:r>
    </w:p>
    <w:p>
      <w:pPr/>
      <w:r>
        <w:rPr>
          <w:lang w:val="en_US" w:bidi="en_US"/>
        </w:rPr>
      </w:r>
      <w:r>
        <w:rPr>
          <w:lang w:val="en_US" w:bidi="en_US"/>
        </w:rPr>
        <w:t>The Roman compared Jesus’ authority to his own authority as an army officer. As an officer, he could cause other soldiers to obey him by simply commanding them to do something. He recognized that Jesus also had authority and power to heal by only giving a command. Jesus was amazed that this Gentile trusted him so much. He said that the officer had more faith than any Jew whom he had met.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 Roman army officer shows great faith in Jesus</w:t>
      </w:r>
    </w:p>
    <w:p>
      <w:pPr/>
      <w:r>
        <w:rPr>
          <w:lang w:val="en_US" w:bidi="en_US"/>
        </w:rPr>
      </w:r>
      <w:r>
        <w:rPr>
          <w:lang w:val="en_US" w:bidi="en_US"/>
        </w:rPr>
        <w:t>Jesus is amazed by the faith of a captain in the Roman army</w:t>
      </w:r>
    </w:p>
    <w:p>
      <w:pPr/>
      <w:r>
        <w:rPr>
          <w:lang w:val="en_US" w:bidi="en_US"/>
        </w:rPr>
      </w:r>
      <w:r>
        <w:rPr>
          <w:lang w:val="en_US" w:bidi="en_US"/>
        </w:rPr>
        <w:t>The amazing faith of the centurion</w:t>
      </w:r>
    </w:p>
    <w:p>
      <w:pPr/>
      <w:r>
        <w:rPr>
          <w:lang w:val="en_US" w:bidi="en_US"/>
        </w:rPr>
      </w:r>
      <w:r>
        <w:rPr>
          <w:lang w:val="en_US" w:bidi="en_US"/>
        </w:rPr>
        <w:t>There is a parallel passage for this section in Matthew 8:5–13.</w:t>
      </w:r>
    </w:p>
    <w:p>
      <w:pPr>
        <w:pStyle w:val="Heading5"/>
      </w:pPr>
      <w:r>
        <w:rPr>
          <w:lang w:val="en_US" w:bidi="en_US"/>
        </w:rPr>
        <w:t>7:8a</w:t>
      </w:r>
    </w:p>
    <w:p>
      <w:pPr/>
      <w:r>
        <w:rPr>
          <w:lang w:val="en_US" w:bidi="en_US"/>
        </w:rPr>
      </w:r>
      <w:r>
        <w:rPr>
          <w:b/>
          <w:lang w:val="en_US" w:bidi="en_US"/>
        </w:rPr>
        <w:t>For I myself am a man under authority,</w:t>
      </w:r>
    </w:p>
    <w:p>
      <w:pPr>
        <w:pStyle w:val="ListBullet"/>
        <w:spacing w:line="240" w:lineRule="auto"/>
        <w:ind w:left="720"/>
      </w:pPr>
      <w:r>
        <w:rPr>
          <w:lang w:val="en_US" w:bidi="en_US"/>
        </w:rPr>
      </w:r>
      <w:r>
        <w:rPr>
          <w:lang w:val="en_US" w:bidi="en_US"/>
        </w:rPr>
        <w:t>I say this</w:t>
      </w:r>
      <w:r>
        <w:rPr>
          <w:lang w:val="en_US" w:bidi="en_US"/>
        </w:rPr>
        <w:t xml:space="preserve"> because I too </w:t>
      </w:r>
      <w:r>
        <w:rPr>
          <w:lang w:val="en_US" w:bidi="en_US"/>
        </w:rPr>
        <w:t>understand</w:t>
      </w:r>
      <w:r>
        <w:rPr>
          <w:lang w:val="en_US" w:bidi="en_US"/>
        </w:rPr>
        <w:t xml:space="preserve"> authority. My superiors give me orders and I obey them.</w:t>
      </w:r>
    </w:p>
    <w:p>
      <w:pPr>
        <w:pStyle w:val="ListBullet"/>
        <w:spacing w:line="240" w:lineRule="auto"/>
        <w:ind w:left="720"/>
      </w:pPr>
      <w:r>
        <w:rPr>
          <w:lang w:val="en_US" w:bidi="en_US"/>
        </w:rPr>
      </w:r>
      <w:r>
        <w:rPr>
          <w:lang w:val="en_US" w:bidi="en_US"/>
        </w:rPr>
        <w:t>I know that you can do this</w:t>
      </w:r>
      <w:r>
        <w:rPr>
          <w:lang w:val="en_US" w:bidi="en_US"/>
        </w:rPr>
        <w:t xml:space="preserve"> because I, too, must obey my leaders,</w:t>
      </w:r>
    </w:p>
    <w:p>
      <w:pPr>
        <w:pStyle w:val="Heading5"/>
      </w:pPr>
      <w:r>
        <w:rPr>
          <w:lang w:val="en_US" w:bidi="en_US"/>
        </w:rPr>
        <w:t>7:8b</w:t>
      </w:r>
    </w:p>
    <w:p>
      <w:pPr/>
      <w:r>
        <w:rPr>
          <w:lang w:val="en_US" w:bidi="en_US"/>
        </w:rPr>
      </w:r>
      <w:r>
        <w:rPr>
          <w:b/>
          <w:lang w:val="en_US" w:bidi="en_US"/>
        </w:rPr>
        <w:t>with soldiers under me.</w:t>
      </w:r>
    </w:p>
    <w:p>
      <w:pPr>
        <w:pStyle w:val="ListBullet"/>
        <w:spacing w:line="240" w:lineRule="auto"/>
        <w:ind w:left="720"/>
      </w:pPr>
      <w:r>
        <w:rPr>
          <w:lang w:val="en_US" w:bidi="en_US"/>
        </w:rPr>
      </w:r>
      <w:r>
        <w:rPr>
          <w:lang w:val="en_US" w:bidi="en_US"/>
        </w:rPr>
        <w:t>and I give orders to the soldiers who are under my authority.</w:t>
      </w:r>
    </w:p>
    <w:p>
      <w:pPr>
        <w:pStyle w:val="ListBullet"/>
        <w:spacing w:line="240" w:lineRule="auto"/>
        <w:ind w:left="720"/>
      </w:pPr>
      <w:r>
        <w:rPr>
          <w:lang w:val="en_US" w:bidi="en_US"/>
        </w:rPr>
      </w:r>
      <w:r>
        <w:rPr>
          <w:lang w:val="en_US" w:bidi="en_US"/>
        </w:rPr>
        <w:t>and I have soldiers who must obey me.</w:t>
      </w:r>
    </w:p>
    <w:p>
      <w:pPr>
        <w:pStyle w:val="Heading5"/>
      </w:pPr>
      <w:r>
        <w:rPr>
          <w:lang w:val="en_US" w:bidi="en_US"/>
        </w:rPr>
        <w:t>7:8a–b</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the reason why the officer was confident that Jesus could heal his servant by just speaking a command. Some ways to translate this connection are:</w:t>
      </w:r>
    </w:p>
    <w:p>
      <w:pPr/>
      <w:r>
        <w:rPr>
          <w:lang w:val="en_US" w:bidi="en_US"/>
        </w:rPr>
      </w:r>
      <w:r>
        <w:rPr>
          <w:u w:val="single"/>
          <w:lang w:val="en_US" w:bidi="en_US"/>
        </w:rPr>
        <w:t>I know this</w:t>
      </w:r>
      <w:r>
        <w:rPr>
          <w:lang w:val="en_US" w:bidi="en_US"/>
        </w:rPr>
        <w:t xml:space="preserve"> because I… (NLT)</w:t>
      </w:r>
    </w:p>
    <w:p>
      <w:pPr/>
      <w:r>
        <w:rPr>
          <w:lang w:val="en_US" w:bidi="en_US"/>
        </w:rPr>
      </w:r>
      <w:r>
        <w:rPr>
          <w:u w:val="single"/>
          <w:lang w:val="en_US" w:bidi="en_US"/>
        </w:rPr>
        <w:t>I know that you can do this</w:t>
      </w:r>
      <w:r>
        <w:rPr>
          <w:lang w:val="en_US" w:bidi="en_US"/>
        </w:rPr>
        <w:t xml:space="preserve"> because I myself…</w:t>
      </w:r>
    </w:p>
    <w:p>
      <w:pPr/>
      <w:r>
        <w:rPr>
          <w:lang w:val="en_US" w:bidi="en_US"/>
        </w:rPr>
      </w:r>
      <w:r>
        <w:rPr>
          <w:b/>
          <w:lang w:val="en_US" w:bidi="en_US"/>
        </w:rPr>
        <w:t>I myself am a man under authority, with soldiers under me:</w:t>
      </w:r>
      <w:r>
        <w:rPr>
          <w:lang w:val="en_US" w:bidi="en_US"/>
        </w:rPr>
        <w:t xml:space="preserve"> The Greek phrase that the BSB translates as </w:t>
      </w:r>
      <w:r>
        <w:rPr>
          <w:i/>
          <w:lang w:val="en_US" w:bidi="en_US"/>
        </w:rPr>
        <w:t>a man under authority</w:t>
      </w:r>
      <w:r>
        <w:rPr>
          <w:lang w:val="en_US" w:bidi="en_US"/>
        </w:rPr>
        <w:t xml:space="preserve"> is literally “a man placed under authority.” As a centurion in the Roman army, the officer had to obey the superior officers who had been given authority over him. He also had been given authority over soldiers, and they had to obey him. So he believed that Jesus had been given authority by God to command something to happen and make it happen. Some other ways to translate this are:</w:t>
      </w:r>
    </w:p>
    <w:p>
      <w:pPr/>
      <w:r>
        <w:rPr>
          <w:lang w:val="en_US" w:bidi="en_US"/>
        </w:rPr>
      </w:r>
      <w:r>
        <w:rPr>
          <w:lang w:val="en_US" w:bidi="en_US"/>
        </w:rPr>
        <w:t>I have officers who give orders to me, and I have soldiers who take orders from me. (CEV)</w:t>
      </w:r>
    </w:p>
    <w:p>
      <w:pPr/>
      <w:r>
        <w:rPr>
          <w:lang w:val="en_US" w:bidi="en_US"/>
        </w:rPr>
      </w:r>
      <w:r>
        <w:rPr>
          <w:lang w:val="en_US" w:bidi="en_US"/>
        </w:rPr>
        <w:t>I know because I am under the authority of my superior officers, and I have authority over my soldiers. (NLT96)</w:t>
      </w:r>
    </w:p>
    <w:p>
      <w:pPr/>
      <w:r>
        <w:rPr>
          <w:lang w:val="en_US" w:bidi="en_US"/>
        </w:rPr>
      </w:r>
      <w:r>
        <w:rPr>
          <w:b/>
          <w:lang w:val="en_US" w:bidi="en_US"/>
        </w:rPr>
        <w:t>I myself:</w:t>
      </w:r>
      <w:r>
        <w:rPr>
          <w:lang w:val="en_US" w:bidi="en_US"/>
        </w:rPr>
        <w:t xml:space="preserve"> The word </w:t>
      </w:r>
      <w:r>
        <w:rPr>
          <w:i/>
          <w:lang w:val="en_US" w:bidi="en_US"/>
        </w:rPr>
        <w:t>myself</w:t>
      </w:r>
      <w:r>
        <w:rPr>
          <w:lang w:val="en_US" w:bidi="en_US"/>
        </w:rPr>
        <w:t xml:space="preserve"> indicates that the officer realized that he and Jesus were alike because that they both had authority. This likeness to Jesus is connected to all of 7:8a–e, not just to being </w:t>
      </w:r>
      <w:r>
        <w:rPr>
          <w:u w:val="single"/>
          <w:lang w:val="en_US" w:bidi="en_US"/>
        </w:rPr>
        <w:t>under authority</w:t>
      </w:r>
      <w:r>
        <w:rPr>
          <w:lang w:val="en_US" w:bidi="en_US"/>
        </w:rPr>
        <w:t>Commentaries discuss whether this implies that Jesus too is “under authority” or whether the identification is more general and applied to other men: “I too am under authority as other men/officers are.” Commentary support divides fairly evenly between these two positions. However, as noted in the Notes, this may unnecessarily view the “too” as only going with the first part of the verse rather than the whole verse. Furthermore, the concern to guard against a statement that suggests Jesus is in a subordinate position is probably unfounded for two reasons: (a) these words reflect the understanding of the centurion concerning Jesus’ authority, not an infallible statement of Christian doctrine, and (b) authority is delegated from above. That is, it does not show weakness to suggest that someone is “under authority.” Rather, the right of authority comes from the one who gives it: “It is the centurion’s position in the chain of command that gives his own word power” (Nolland, p. 317). The centurion probably likewise recognized in Jesus one who carried the authority of God himself.</w:t>
      </w:r>
      <w:r>
        <w:rPr>
          <w:lang w:val="en_US" w:bidi="en_US"/>
        </w:rPr>
        <w:t xml:space="preserve"> in 7:8a. The officer especially focused on the fact that when he and Jesus commanded that something be done, the commands were obeyed. Here are other ways to translate </w:t>
      </w:r>
      <w:r>
        <w:rPr>
          <w:i/>
          <w:lang w:val="en_US" w:bidi="en_US"/>
        </w:rPr>
        <w:t>I myself</w:t>
      </w:r>
      <w:r>
        <w:rPr>
          <w:lang w:val="en_US" w:bidi="en_US"/>
        </w:rPr>
        <w:t xml:space="preserve"> in this context:</w:t>
      </w:r>
    </w:p>
    <w:p>
      <w:pPr/>
      <w:r>
        <w:rPr>
          <w:lang w:val="en_US" w:bidi="en_US"/>
        </w:rPr>
      </w:r>
      <w:r>
        <w:rPr>
          <w:u w:val="single"/>
          <w:lang w:val="en_US" w:bidi="en_US"/>
        </w:rPr>
        <w:t>For I too</w:t>
      </w:r>
      <w:r>
        <w:rPr>
          <w:lang w:val="en_US" w:bidi="en_US"/>
        </w:rPr>
        <w:t xml:space="preserve"> </w:t>
      </w:r>
      <w:r>
        <w:rPr>
          <w:lang w:val="en_US" w:bidi="en_US"/>
        </w:rPr>
        <w:t>understand authority</w:t>
      </w:r>
      <w:r>
        <w:rPr>
          <w:lang w:val="en_US" w:bidi="en_US"/>
        </w:rPr>
        <w:t>. I am a man under authority with soldiers under me.</w:t>
      </w:r>
    </w:p>
    <w:p>
      <w:pPr/>
      <w:r>
        <w:rPr>
          <w:lang w:val="en_US" w:bidi="en_US"/>
        </w:rPr>
      </w:r>
      <w:r>
        <w:rPr>
          <w:u w:val="single"/>
          <w:lang w:val="en_US" w:bidi="en_US"/>
        </w:rPr>
        <w:t>For I, like you</w:t>
      </w:r>
      <w:r>
        <w:rPr>
          <w:lang w:val="en_US" w:bidi="en_US"/>
        </w:rPr>
        <w:t xml:space="preserve">, </w:t>
      </w:r>
      <w:r>
        <w:rPr>
          <w:lang w:val="en_US" w:bidi="en_US"/>
        </w:rPr>
        <w:t>have authority</w:t>
      </w:r>
      <w:r>
        <w:rPr>
          <w:lang w:val="en_US" w:bidi="en_US"/>
        </w:rPr>
        <w:t>. I am a man under authority with soldiers under me.</w:t>
      </w:r>
    </w:p>
    <w:p>
      <w:pPr/>
      <w:r>
        <w:rPr>
          <w:lang w:val="en_US" w:bidi="en_US"/>
        </w:rPr>
      </w:r>
      <w:r>
        <w:rPr>
          <w:b/>
          <w:lang w:val="en_US" w:bidi="en_US"/>
        </w:rPr>
        <w:t>under authority:</w:t>
      </w:r>
      <w:r>
        <w:rPr>
          <w:lang w:val="en_US" w:bidi="en_US"/>
        </w:rPr>
        <w:t xml:space="preserve"> In English people often use the words “over” and </w:t>
      </w:r>
      <w:r>
        <w:rPr>
          <w:i/>
          <w:lang w:val="en_US" w:bidi="en_US"/>
        </w:rPr>
        <w:t>under</w:t>
      </w:r>
      <w:r>
        <w:rPr>
          <w:lang w:val="en_US" w:bidi="en_US"/>
        </w:rPr>
        <w:t xml:space="preserve"> to describe roles in a relationship that involves authority. These words indicate who has the right to command and who must obey. Other languages may use different words to describe this relationship such as “in front” and “behind.” Translate this in a way that is natural in your language.</w:t>
      </w:r>
    </w:p>
    <w:p>
      <w:pPr>
        <w:pStyle w:val="Heading6"/>
      </w:pPr>
      <w:r>
        <w:rPr>
          <w:b/>
          <w:lang w:val="en_US" w:bidi="en_US"/>
        </w:rPr>
        <w:t>General Comment on 7:8a–b</w:t>
      </w:r>
    </w:p>
    <w:p>
      <w:pPr/>
      <w:r>
        <w:rPr>
          <w:lang w:val="en_US" w:bidi="en_US"/>
        </w:rPr>
      </w:r>
      <w:r>
        <w:rPr>
          <w:lang w:val="en_US" w:bidi="en_US"/>
        </w:rPr>
        <w:t>In some languages it may be good style to show the link between 7:8a and 7:8b by using similar words or phrases. For example:</w:t>
      </w:r>
    </w:p>
    <w:p>
      <w:pPr/>
      <w:r>
        <w:rPr>
          <w:lang w:val="en_US" w:bidi="en_US"/>
        </w:rPr>
      </w:r>
      <w:r>
        <w:rPr>
          <w:lang w:val="en_US" w:bidi="en_US"/>
        </w:rPr>
        <w:t xml:space="preserve">I too am a man </w:t>
      </w:r>
      <w:r>
        <w:rPr>
          <w:u w:val="single"/>
          <w:lang w:val="en_US" w:bidi="en_US"/>
        </w:rPr>
        <w:t>under authority</w:t>
      </w:r>
      <w:r>
        <w:rPr>
          <w:lang w:val="en_US" w:bidi="en_US"/>
        </w:rPr>
        <w:t xml:space="preserve"> and I have soldiers who are </w:t>
      </w:r>
      <w:r>
        <w:rPr>
          <w:u w:val="single"/>
          <w:lang w:val="en_US" w:bidi="en_US"/>
        </w:rPr>
        <w:t>under my authority</w:t>
      </w:r>
      <w:r>
        <w:rPr>
          <w:lang w:val="en_US" w:bidi="en_US"/>
        </w:rPr>
        <w:t>.</w:t>
      </w:r>
    </w:p>
    <w:p>
      <w:pPr/>
      <w:r>
        <w:rPr>
          <w:lang w:val="en_US" w:bidi="en_US"/>
        </w:rPr>
      </w:r>
      <w:r>
        <w:rPr>
          <w:lang w:val="en_US" w:bidi="en_US"/>
        </w:rPr>
        <w:t xml:space="preserve">I </w:t>
      </w:r>
      <w:r>
        <w:rPr>
          <w:u w:val="single"/>
          <w:lang w:val="en_US" w:bidi="en_US"/>
        </w:rPr>
        <w:t>obey</w:t>
      </w:r>
      <w:r>
        <w:rPr>
          <w:lang w:val="en_US" w:bidi="en_US"/>
        </w:rPr>
        <w:t xml:space="preserve"> </w:t>
      </w:r>
      <w:r>
        <w:rPr>
          <w:lang w:val="en_US" w:bidi="en_US"/>
        </w:rPr>
        <w:t>my superior officers</w:t>
      </w:r>
      <w:r>
        <w:rPr>
          <w:lang w:val="en_US" w:bidi="en_US"/>
        </w:rPr>
        <w:t xml:space="preserve"> and I have soldiers who </w:t>
      </w:r>
      <w:r>
        <w:rPr>
          <w:u w:val="single"/>
          <w:lang w:val="en_US" w:bidi="en_US"/>
        </w:rPr>
        <w:t>obey</w:t>
      </w:r>
      <w:r>
        <w:rPr>
          <w:lang w:val="en_US" w:bidi="en_US"/>
        </w:rPr>
        <w:t xml:space="preserve"> me.</w:t>
      </w:r>
    </w:p>
    <w:p>
      <w:pPr>
        <w:pStyle w:val="Heading5"/>
      </w:pPr>
      <w:r>
        <w:rPr>
          <w:lang w:val="en_US" w:bidi="en_US"/>
        </w:rPr>
        <w:t>7:8c</w:t>
      </w:r>
    </w:p>
    <w:p>
      <w:pPr/>
      <w:r>
        <w:rPr>
          <w:lang w:val="en_US" w:bidi="en_US"/>
        </w:rPr>
      </w:r>
      <w:r>
        <w:rPr>
          <w:b/>
          <w:lang w:val="en_US" w:bidi="en_US"/>
        </w:rPr>
        <w:t>I tell one to go, and he goes;</w:t>
      </w:r>
    </w:p>
    <w:p>
      <w:pPr>
        <w:pStyle w:val="ListBullet"/>
        <w:spacing w:line="240" w:lineRule="auto"/>
        <w:ind w:left="720"/>
      </w:pPr>
      <w:r>
        <w:rPr>
          <w:lang w:val="en_US" w:bidi="en_US"/>
        </w:rPr>
      </w:r>
      <w:r>
        <w:rPr>
          <w:lang w:val="en_US" w:bidi="en_US"/>
        </w:rPr>
        <w:t xml:space="preserve">I say to one </w:t>
      </w:r>
      <w:r>
        <w:rPr>
          <w:lang w:val="en_US" w:bidi="en_US"/>
        </w:rPr>
        <w:t>of them</w:t>
      </w:r>
      <w:r>
        <w:rPr>
          <w:lang w:val="en_US" w:bidi="en_US"/>
        </w:rPr>
        <w:t>, ‘Go,’ and he goes.</w:t>
      </w:r>
    </w:p>
    <w:p>
      <w:pPr>
        <w:pStyle w:val="ListBullet"/>
        <w:spacing w:line="240" w:lineRule="auto"/>
        <w:ind w:left="720"/>
      </w:pPr>
      <w:r>
        <w:rPr>
          <w:lang w:val="en_US" w:bidi="en_US"/>
        </w:rPr>
      </w:r>
      <w:r>
        <w:rPr>
          <w:lang w:val="en_US" w:bidi="en_US"/>
        </w:rPr>
        <w:t xml:space="preserve">If/when I tell one </w:t>
      </w:r>
      <w:r>
        <w:rPr>
          <w:lang w:val="en_US" w:bidi="en_US"/>
        </w:rPr>
        <w:t>of them</w:t>
      </w:r>
      <w:r>
        <w:rPr>
          <w:lang w:val="en_US" w:bidi="en_US"/>
        </w:rPr>
        <w:t xml:space="preserve"> to go </w:t>
      </w:r>
      <w:r>
        <w:rPr>
          <w:lang w:val="en_US" w:bidi="en_US"/>
        </w:rPr>
        <w:t>somewhere</w:t>
      </w:r>
      <w:r>
        <w:rPr>
          <w:lang w:val="en_US" w:bidi="en_US"/>
        </w:rPr>
        <w:t xml:space="preserve">, he goes </w:t>
      </w:r>
      <w:r>
        <w:rPr>
          <w:lang w:val="en_US" w:bidi="en_US"/>
        </w:rPr>
        <w:t>there</w:t>
      </w:r>
      <w:r>
        <w:rPr>
          <w:lang w:val="en_US" w:bidi="en_US"/>
        </w:rPr>
        <w:t>,</w:t>
      </w:r>
    </w:p>
    <w:p>
      <w:pPr/>
      <w:r>
        <w:rPr>
          <w:lang w:val="en_US" w:bidi="en_US"/>
        </w:rPr>
      </w:r>
      <w:r>
        <w:rPr>
          <w:b/>
          <w:lang w:val="en_US" w:bidi="en_US"/>
        </w:rPr>
        <w:t>I tell one to go, and he goes:</w:t>
      </w:r>
      <w:r>
        <w:rPr>
          <w:lang w:val="en_US" w:bidi="en_US"/>
        </w:rPr>
        <w:t xml:space="preserve"> The officer knew what it was like simply to command a soldier to do something and to know that he would do it. While most other English versions translate this command as direct speech, as it is in the Greek text, in some languages it may be more natural to translate it using indirect speech, as the BSB does.</w:t>
      </w:r>
    </w:p>
    <w:p>
      <w:pPr/>
      <w:r>
        <w:rPr>
          <w:lang w:val="en_US" w:bidi="en_US"/>
        </w:rPr>
      </w:r>
      <w:r>
        <w:rPr>
          <w:lang w:val="en_US" w:bidi="en_US"/>
        </w:rPr>
        <w:t>In some languages it may be necessary to say where the soldier must go. For example:</w:t>
      </w:r>
    </w:p>
    <w:p>
      <w:pPr/>
      <w:r>
        <w:rPr>
          <w:lang w:val="en_US" w:bidi="en_US"/>
        </w:rPr>
      </w:r>
      <w:r>
        <w:rPr>
          <w:lang w:val="en_US" w:bidi="en_US"/>
        </w:rPr>
        <w:t xml:space="preserve">I tell one of them to go </w:t>
      </w:r>
      <w:r>
        <w:rPr>
          <w:lang w:val="en_US" w:bidi="en_US"/>
        </w:rPr>
        <w:t>somewhere</w:t>
      </w:r>
      <w:r>
        <w:rPr>
          <w:lang w:val="en_US" w:bidi="en_US"/>
        </w:rPr>
        <w:t xml:space="preserve">, and he goes </w:t>
      </w:r>
      <w:r>
        <w:rPr>
          <w:lang w:val="en_US" w:bidi="en_US"/>
        </w:rPr>
        <w:t>there</w:t>
      </w:r>
      <w:r>
        <w:rPr>
          <w:lang w:val="en_US" w:bidi="en_US"/>
        </w:rPr>
        <w:t>.</w:t>
      </w:r>
    </w:p>
    <w:p>
      <w:pPr/>
      <w:r>
        <w:rPr>
          <w:lang w:val="en_US" w:bidi="en_US"/>
        </w:rPr>
      </w:r>
      <w:r>
        <w:rPr>
          <w:b/>
          <w:lang w:val="en_US" w:bidi="en_US"/>
        </w:rPr>
        <w:t>one…he:</w:t>
      </w:r>
      <w:r>
        <w:rPr>
          <w:lang w:val="en_US" w:bidi="en_US"/>
        </w:rPr>
        <w:t xml:space="preserve"> The officer used the words </w:t>
      </w:r>
      <w:r>
        <w:rPr>
          <w:i/>
          <w:lang w:val="en_US" w:bidi="en_US"/>
        </w:rPr>
        <w:t>one</w:t>
      </w:r>
      <w:r>
        <w:rPr>
          <w:lang w:val="en_US" w:bidi="en_US"/>
        </w:rPr>
        <w:t xml:space="preserve"> and </w:t>
      </w:r>
      <w:r>
        <w:rPr>
          <w:i/>
          <w:lang w:val="en_US" w:bidi="en_US"/>
        </w:rPr>
        <w:t>he</w:t>
      </w:r>
      <w:r>
        <w:rPr>
          <w:lang w:val="en_US" w:bidi="en_US"/>
        </w:rPr>
        <w:t xml:space="preserve"> to refer to any of his soldiers. Other ways to express the idea in this context are:</w:t>
      </w:r>
    </w:p>
    <w:p>
      <w:pPr/>
      <w:r>
        <w:rPr>
          <w:lang w:val="en_US" w:bidi="en_US"/>
        </w:rPr>
      </w:r>
      <w:r>
        <w:rPr>
          <w:lang w:val="en_US" w:bidi="en_US"/>
        </w:rPr>
        <w:t xml:space="preserve">I only need to say, “Go,” and </w:t>
      </w:r>
      <w:r>
        <w:rPr>
          <w:u w:val="single"/>
          <w:lang w:val="en_US" w:bidi="en_US"/>
        </w:rPr>
        <w:t>they</w:t>
      </w:r>
      <w:r>
        <w:rPr>
          <w:lang w:val="en_US" w:bidi="en_US"/>
        </w:rPr>
        <w:t xml:space="preserve"> go… (NLT)</w:t>
      </w:r>
    </w:p>
    <w:p>
      <w:pPr/>
      <w:r>
        <w:rPr>
          <w:lang w:val="en_US" w:bidi="en_US"/>
        </w:rPr>
      </w:r>
      <w:r>
        <w:rPr>
          <w:lang w:val="en_US" w:bidi="en_US"/>
        </w:rPr>
        <w:t xml:space="preserve">I can say to </w:t>
      </w:r>
      <w:r>
        <w:rPr>
          <w:u w:val="single"/>
          <w:lang w:val="en_US" w:bidi="en_US"/>
        </w:rPr>
        <w:t>one of them</w:t>
      </w:r>
      <w:r>
        <w:rPr>
          <w:lang w:val="en_US" w:bidi="en_US"/>
        </w:rPr>
        <w:t xml:space="preserve">, “Go,” and </w:t>
      </w:r>
      <w:r>
        <w:rPr>
          <w:u w:val="single"/>
          <w:lang w:val="en_US" w:bidi="en_US"/>
        </w:rPr>
        <w:t>he</w:t>
      </w:r>
      <w:r>
        <w:rPr>
          <w:lang w:val="en_US" w:bidi="en_US"/>
        </w:rPr>
        <w:t xml:space="preserve"> goes. (CEV)</w:t>
      </w:r>
    </w:p>
    <w:p>
      <w:pPr/>
      <w:r>
        <w:rPr>
          <w:lang w:val="en_US" w:bidi="en_US"/>
        </w:rPr>
      </w:r>
      <w:r>
        <w:rPr>
          <w:lang w:val="en_US" w:bidi="en_US"/>
        </w:rPr>
        <w:t>Use a natural way to give a general example like this in your language.</w:t>
      </w:r>
    </w:p>
    <w:p>
      <w:pPr>
        <w:pStyle w:val="Heading5"/>
      </w:pPr>
      <w:r>
        <w:rPr>
          <w:lang w:val="en_US" w:bidi="en_US"/>
        </w:rPr>
        <w:t>7:8d</w:t>
      </w:r>
    </w:p>
    <w:p>
      <w:pPr/>
      <w:r>
        <w:rPr>
          <w:lang w:val="en_US" w:bidi="en_US"/>
        </w:rPr>
      </w:r>
      <w:r>
        <w:rPr>
          <w:b/>
          <w:lang w:val="en_US" w:bidi="en_US"/>
        </w:rPr>
        <w:t>and another to come, and he comes.</w:t>
      </w:r>
    </w:p>
    <w:p>
      <w:pPr>
        <w:pStyle w:val="ListBullet"/>
        <w:spacing w:line="240" w:lineRule="auto"/>
        <w:ind w:left="720"/>
      </w:pPr>
      <w:r>
        <w:rPr>
          <w:lang w:val="en_US" w:bidi="en_US"/>
        </w:rPr>
      </w:r>
      <w:r>
        <w:rPr>
          <w:lang w:val="en_US" w:bidi="en_US"/>
        </w:rPr>
        <w:t xml:space="preserve">I say to another one, ‘Come </w:t>
      </w:r>
      <w:r>
        <w:rPr>
          <w:lang w:val="en_US" w:bidi="en_US"/>
        </w:rPr>
        <w:t>here</w:t>
      </w:r>
      <w:r>
        <w:rPr>
          <w:lang w:val="en_US" w:bidi="en_US"/>
        </w:rPr>
        <w:t>,’ and he comes.</w:t>
      </w:r>
    </w:p>
    <w:p>
      <w:pPr>
        <w:pStyle w:val="ListBullet"/>
        <w:spacing w:line="240" w:lineRule="auto"/>
        <w:ind w:left="720"/>
      </w:pPr>
      <w:r>
        <w:rPr>
          <w:lang w:val="en_US" w:bidi="en_US"/>
        </w:rPr>
      </w:r>
      <w:r>
        <w:rPr>
          <w:lang w:val="en_US" w:bidi="en_US"/>
        </w:rPr>
        <w:t xml:space="preserve">and if/when I tell someone to come </w:t>
      </w:r>
      <w:r>
        <w:rPr>
          <w:lang w:val="en_US" w:bidi="en_US"/>
        </w:rPr>
        <w:t>to me</w:t>
      </w:r>
      <w:r>
        <w:rPr>
          <w:lang w:val="en_US" w:bidi="en_US"/>
        </w:rPr>
        <w:t>, he comes.</w:t>
      </w:r>
    </w:p>
    <w:p>
      <w:pPr/>
      <w:r>
        <w:rPr>
          <w:lang w:val="en_US" w:bidi="en_US"/>
        </w:rPr>
      </w:r>
      <w:r>
        <w:rPr>
          <w:b/>
          <w:lang w:val="en_US" w:bidi="en_US"/>
        </w:rPr>
        <w:t>and another to come, and he comes:</w:t>
      </w:r>
      <w:r>
        <w:rPr>
          <w:lang w:val="en_US" w:bidi="en_US"/>
        </w:rPr>
        <w:t xml:space="preserve"> In some languages it may be natural to use indirect speech for the quoted command, as the BSB does. It may also be helpful to repeat the phrase “I tell”:</w:t>
      </w:r>
    </w:p>
    <w:p>
      <w:pPr/>
      <w:r>
        <w:rPr>
          <w:lang w:val="en_US" w:bidi="en_US"/>
        </w:rPr>
      </w:r>
      <w:r>
        <w:rPr>
          <w:lang w:val="en_US" w:bidi="en_US"/>
        </w:rPr>
        <w:t>and I tell another one to come, and he comes</w:t>
      </w:r>
    </w:p>
    <w:p>
      <w:pPr>
        <w:pStyle w:val="Heading6"/>
      </w:pPr>
      <w:r>
        <w:rPr>
          <w:b/>
          <w:lang w:val="en_US" w:bidi="en_US"/>
        </w:rPr>
        <w:t>General Comment on 7:8c–d</w:t>
      </w:r>
    </w:p>
    <w:p>
      <w:pPr/>
      <w:r>
        <w:rPr>
          <w:lang w:val="en_US" w:bidi="en_US"/>
        </w:rPr>
      </w:r>
      <w:r>
        <w:rPr>
          <w:lang w:val="en_US" w:bidi="en_US"/>
        </w:rPr>
        <w:t>In some languages it may be natural to combine 7:8c and 7:8d:</w:t>
      </w:r>
    </w:p>
    <w:p>
      <w:pPr/>
      <w:r>
        <w:rPr>
          <w:lang w:val="en_US" w:bidi="en_US"/>
        </w:rPr>
      </w:r>
      <w:r>
        <w:rPr>
          <w:lang w:val="en_US" w:bidi="en_US"/>
        </w:rPr>
        <w:t>I tell one of them to go and one of them to come, and they both obey me.</w:t>
      </w:r>
    </w:p>
    <w:p>
      <w:pPr>
        <w:pStyle w:val="Heading5"/>
      </w:pPr>
      <w:r>
        <w:rPr>
          <w:lang w:val="en_US" w:bidi="en_US"/>
        </w:rPr>
        <w:t>7:8e</w:t>
      </w:r>
    </w:p>
    <w:p>
      <w:pPr/>
      <w:r>
        <w:rPr>
          <w:lang w:val="en_US" w:bidi="en_US"/>
        </w:rPr>
      </w:r>
      <w:r>
        <w:rPr>
          <w:b/>
          <w:lang w:val="en_US" w:bidi="en_US"/>
        </w:rPr>
        <w:t>I tell my servant to do something, and he does it.”</w:t>
      </w:r>
    </w:p>
    <w:p>
      <w:pPr>
        <w:pStyle w:val="ListBullet"/>
        <w:spacing w:line="240" w:lineRule="auto"/>
        <w:ind w:left="720"/>
      </w:pPr>
      <w:r>
        <w:rPr>
          <w:lang w:val="en_US" w:bidi="en_US"/>
        </w:rPr>
      </w:r>
      <w:r>
        <w:rPr>
          <w:lang w:val="en_US" w:bidi="en_US"/>
        </w:rPr>
        <w:t>And I say to my slave, ‘Do this,’ and he does it.”</w:t>
      </w:r>
    </w:p>
    <w:p>
      <w:pPr>
        <w:pStyle w:val="ListBullet"/>
        <w:spacing w:line="240" w:lineRule="auto"/>
        <w:ind w:left="720"/>
      </w:pPr>
      <w:r>
        <w:rPr>
          <w:lang w:val="en_US" w:bidi="en_US"/>
        </w:rPr>
      </w:r>
      <w:r>
        <w:rPr>
          <w:lang w:val="en_US" w:bidi="en_US"/>
        </w:rPr>
        <w:t xml:space="preserve">I also </w:t>
      </w:r>
      <w:r>
        <w:rPr>
          <w:lang w:val="en_US" w:bidi="en_US"/>
        </w:rPr>
        <w:t>can</w:t>
      </w:r>
      <w:r>
        <w:rPr>
          <w:lang w:val="en_US" w:bidi="en_US"/>
        </w:rPr>
        <w:t xml:space="preserve"> tell </w:t>
      </w:r>
      <w:r>
        <w:rPr>
          <w:lang w:val="en_US" w:bidi="en_US"/>
        </w:rPr>
        <w:t>one of</w:t>
      </w:r>
      <w:r>
        <w:rPr>
          <w:lang w:val="en_US" w:bidi="en_US"/>
        </w:rPr>
        <w:t xml:space="preserve"> my slaves to do something, and he does it. </w:t>
      </w:r>
      <w:r>
        <w:rPr>
          <w:lang w:val="en_US" w:bidi="en_US"/>
        </w:rPr>
        <w:t>I know that you have even greater authority, so you can give the command and it will be done.</w:t>
      </w:r>
      <w:r>
        <w:rPr>
          <w:lang w:val="en_US" w:bidi="en_US"/>
        </w:rPr>
        <w:t>”</w:t>
      </w:r>
    </w:p>
    <w:p>
      <w:pPr/>
      <w:r>
        <w:rPr>
          <w:lang w:val="en_US" w:bidi="en_US"/>
        </w:rPr>
      </w:r>
      <w:r>
        <w:rPr>
          <w:b/>
          <w:lang w:val="en_US" w:bidi="en_US"/>
        </w:rPr>
        <w:t>I tell my servant to do something, and he does it:</w:t>
      </w:r>
      <w:r>
        <w:rPr>
          <w:lang w:val="en_US" w:bidi="en_US"/>
        </w:rPr>
        <w:t xml:space="preserve"> This part of the verse gives another general example of the officer’s authority. The word </w:t>
      </w:r>
      <w:r>
        <w:rPr>
          <w:i/>
          <w:lang w:val="en_US" w:bidi="en_US"/>
        </w:rPr>
        <w:t>servant</w:t>
      </w:r>
      <w:r>
        <w:rPr>
          <w:lang w:val="en_US" w:bidi="en_US"/>
        </w:rPr>
        <w:t xml:space="preserve"> here refers to any servant to officer had. It does not refer specifically to the servant who was sick and dying. It also does not refer to a soldier such as those mentioned in 7:8b–d. The officer had the authority to command both his servants and soldiers.</w:t>
      </w:r>
    </w:p>
    <w:p>
      <w:pPr/>
      <w:r>
        <w:rPr>
          <w:lang w:val="en_US" w:bidi="en_US"/>
        </w:rPr>
      </w:r>
      <w:r>
        <w:rPr>
          <w:b/>
          <w:lang w:val="en_US" w:bidi="en_US"/>
        </w:rPr>
        <w:t>my servant:</w:t>
      </w:r>
      <w:r>
        <w:rPr>
          <w:lang w:val="en_US" w:bidi="en_US"/>
        </w:rPr>
        <w:t xml:space="preserve"> The Greek word that the BSB translates as </w:t>
      </w:r>
      <w:r>
        <w:rPr>
          <w:i/>
          <w:lang w:val="en_US" w:bidi="en_US"/>
        </w:rPr>
        <w:t>servant</w:t>
      </w:r>
      <w:r>
        <w:rPr>
          <w:lang w:val="en_US" w:bidi="en_US"/>
        </w:rPr>
        <w:t xml:space="preserve"> is the same one that was used in 7:2a. See the note on </w:t>
      </w:r>
      <w:r>
        <w:rPr>
          <w:i/>
          <w:lang w:val="en_US" w:bidi="en_US"/>
        </w:rPr>
        <w:t>servant</w:t>
      </w:r>
      <w:r>
        <w:rPr>
          <w:lang w:val="en_US" w:bidi="en_US"/>
        </w:rPr>
        <w:t xml:space="preserve"> at 7:2a.</w:t>
      </w:r>
    </w:p>
    <w:p>
      <w:pPr/>
      <w:r>
        <w:rPr>
          <w:lang w:val="en_US" w:bidi="en_US"/>
        </w:rPr>
      </w:r>
      <w:r>
        <w:rPr>
          <w:b/>
          <w:lang w:val="en_US" w:bidi="en_US"/>
        </w:rPr>
        <w:t>to do something:</w:t>
      </w:r>
      <w:r>
        <w:rPr>
          <w:lang w:val="en_US" w:bidi="en_US"/>
        </w:rPr>
        <w:t xml:space="preserve"> The words </w:t>
      </w:r>
      <w:r>
        <w:rPr>
          <w:i/>
          <w:lang w:val="en_US" w:bidi="en_US"/>
        </w:rPr>
        <w:t>to do something</w:t>
      </w:r>
      <w:r>
        <w:rPr>
          <w:lang w:val="en_US" w:bidi="en_US"/>
        </w:rPr>
        <w:t xml:space="preserve"> do not refer to any specific action. The officer could command his servant to any of the things that servants normally do. If you translated the command as indirect speech in 7:8c–d, you may wish to do so again here. For example:</w:t>
      </w:r>
    </w:p>
    <w:p>
      <w:pPr/>
      <w:r>
        <w:rPr>
          <w:lang w:val="en_US" w:bidi="en_US"/>
        </w:rPr>
      </w:r>
      <w:r>
        <w:rPr>
          <w:lang w:val="en_US" w:bidi="en_US"/>
        </w:rPr>
        <w:t xml:space="preserve">I tell my servant to do </w:t>
      </w:r>
      <w:r>
        <w:rPr>
          <w:lang w:val="en_US" w:bidi="en_US"/>
        </w:rPr>
        <w:t>something for me</w:t>
      </w:r>
      <w:r>
        <w:rPr>
          <w:lang w:val="en_US" w:bidi="en_US"/>
        </w:rPr>
        <w:t>, and he does it.</w:t>
      </w:r>
    </w:p>
    <w:p>
      <w:pPr>
        <w:pStyle w:val="Heading6"/>
      </w:pPr>
      <w:r>
        <w:rPr>
          <w:b/>
          <w:lang w:val="en_US" w:bidi="en_US"/>
        </w:rPr>
        <w:t>General Comment on 7:6d–8e</w:t>
      </w:r>
    </w:p>
    <w:p>
      <w:pPr/>
      <w:r>
        <w:rPr>
          <w:lang w:val="en_US" w:bidi="en_US"/>
        </w:rPr>
      </w:r>
      <w:r>
        <w:rPr>
          <w:lang w:val="en_US" w:bidi="en_US"/>
        </w:rPr>
        <w:t>In this speech, the officer’s friend was telling Jesus the message that the officer had told him to say. The friend reported what the officer said as if it were the officer himself who was speaking. He used pronouns like “I,” “me,” and “my.” Consider how someone gives a message from another person in your language. In some languages it may be more natural to refer to the officer in a different way. For example:</w:t>
      </w:r>
    </w:p>
    <w:p>
      <w:pPr/>
      <w:r>
        <w:rPr>
          <w:lang w:val="en_US" w:bidi="en_US"/>
        </w:rPr>
      </w:r>
      <w:r>
        <w:rPr>
          <w:vertAlign w:val="superscript"/>
          <w:lang w:val="en_US" w:bidi="en_US"/>
        </w:rPr>
        <w:t>6d</w:t>
      </w:r>
      <w:r>
        <w:rPr>
          <w:lang w:val="en_US" w:bidi="en_US"/>
        </w:rPr>
        <w:t xml:space="preserve"> </w:t>
      </w:r>
      <w:r>
        <w:rPr>
          <w:u w:val="single"/>
          <w:lang w:val="en_US" w:bidi="en_US"/>
        </w:rPr>
        <w:t>The officer</w:t>
      </w:r>
      <w:r>
        <w:rPr>
          <w:lang w:val="en_US" w:bidi="en_US"/>
        </w:rPr>
        <w:t xml:space="preserve"> asks you not to trouble yourself further. </w:t>
      </w:r>
      <w:r>
        <w:rPr>
          <w:vertAlign w:val="superscript"/>
          <w:lang w:val="en_US" w:bidi="en_US"/>
        </w:rPr>
        <w:t>6e</w:t>
      </w:r>
      <w:r>
        <w:rPr>
          <w:u w:val="single"/>
          <w:lang w:val="en_US" w:bidi="en_US"/>
        </w:rPr>
        <w:t>He</w:t>
      </w:r>
      <w:r>
        <w:rPr>
          <w:lang w:val="en_US" w:bidi="en_US"/>
        </w:rPr>
        <w:t xml:space="preserve"> says that </w:t>
      </w:r>
      <w:r>
        <w:rPr>
          <w:u w:val="single"/>
          <w:lang w:val="en_US" w:bidi="en_US"/>
        </w:rPr>
        <w:t>he</w:t>
      </w:r>
      <w:r>
        <w:rPr>
          <w:lang w:val="en_US" w:bidi="en_US"/>
        </w:rPr>
        <w:t xml:space="preserve"> does not deserve for you to enter </w:t>
      </w:r>
      <w:r>
        <w:rPr>
          <w:u w:val="single"/>
          <w:lang w:val="en_US" w:bidi="en_US"/>
        </w:rPr>
        <w:t>his</w:t>
      </w:r>
      <w:r>
        <w:rPr>
          <w:lang w:val="en_US" w:bidi="en_US"/>
        </w:rPr>
        <w:t xml:space="preserve"> house.</w:t>
      </w:r>
    </w:p>
    <w:p>
      <w:pPr>
        <w:pStyle w:val="Heading6"/>
      </w:pPr>
      <w:r>
        <w:rPr>
          <w:b/>
          <w:lang w:val="en_US" w:bidi="en_US"/>
        </w:rPr>
        <w:t>General Comment on 7:7b–8e</w:t>
      </w:r>
    </w:p>
    <w:p>
      <w:pPr/>
      <w:r>
        <w:rPr>
          <w:lang w:val="en_US" w:bidi="en_US"/>
        </w:rPr>
      </w:r>
      <w:r>
        <w:rPr>
          <w:lang w:val="en_US" w:bidi="en_US"/>
        </w:rPr>
        <w:t>The officer’s message gave the reason he believed that Jesus was able to heal his slave from a distance by commanding it to happen. This reason includes some implied information. The officer’s logic was:</w:t>
      </w:r>
    </w:p>
    <w:p>
      <w:pPr>
        <w:pStyle w:val="ListNumber"/>
        <w:numPr>
          <w:ilvl w:val="0"/>
          <w:numId w:val="144"/>
        </w:numPr>
        <w:spacing w:line="240" w:lineRule="auto"/>
        <w:ind w:left="720"/>
      </w:pPr>
      <w:r>
        <w:rPr>
          <w:lang w:val="en_US" w:bidi="en_US"/>
        </w:rPr>
      </w:r>
      <w:r>
        <w:rPr>
          <w:lang w:val="en_US" w:bidi="en_US"/>
        </w:rPr>
        <w:t>I believe that you can heal my slave just by giving the command (7:7b).</w:t>
      </w:r>
    </w:p>
    <w:p>
      <w:pPr>
        <w:pStyle w:val="ListNumber"/>
        <w:spacing w:line="240" w:lineRule="auto"/>
        <w:ind w:left="720"/>
      </w:pPr>
      <w:r>
        <w:rPr>
          <w:lang w:val="en_US" w:bidi="en_US"/>
        </w:rPr>
      </w:r>
      <w:r>
        <w:rPr>
          <w:lang w:val="en_US" w:bidi="en_US"/>
        </w:rPr>
        <w:t>I believe this because I understand authority. I am under the authority of my superiors, and I have soldiers under my authority (7:8a–b).</w:t>
      </w:r>
    </w:p>
    <w:p>
      <w:pPr>
        <w:pStyle w:val="ListNumber"/>
        <w:spacing w:line="240" w:lineRule="auto"/>
        <w:ind w:left="720"/>
      </w:pPr>
      <w:r>
        <w:rPr>
          <w:lang w:val="en_US" w:bidi="en_US"/>
        </w:rPr>
      </w:r>
      <w:r>
        <w:rPr>
          <w:lang w:val="en_US" w:bidi="en_US"/>
        </w:rPr>
        <w:t>When someone in authority gives a command, his command will be obeyed (7:8c–e).</w:t>
      </w:r>
    </w:p>
    <w:p>
      <w:pPr>
        <w:pStyle w:val="ListNumber"/>
        <w:spacing w:line="240" w:lineRule="auto"/>
        <w:ind w:left="720"/>
      </w:pPr>
      <w:r>
        <w:rPr>
          <w:lang w:val="en_US" w:bidi="en_US"/>
        </w:rPr>
      </w:r>
      <w:r>
        <w:rPr>
          <w:lang w:val="en_US" w:bidi="en_US"/>
        </w:rPr>
        <w:t>I know that you, Jesus, have authority from God. So your command to heal will certainly be accomplished. (implied)</w:t>
      </w:r>
    </w:p>
    <w:p>
      <w:pPr/>
      <w:r>
        <w:rPr>
          <w:lang w:val="en_US" w:bidi="en_US"/>
        </w:rPr>
      </w:r>
      <w:r>
        <w:rPr>
          <w:lang w:val="en_US" w:bidi="en_US"/>
        </w:rPr>
        <w:t>If the implied information is not clear to your readers, you might consider making it explicit. For example, after 7:8e you could say:</w:t>
      </w:r>
    </w:p>
    <w:p>
      <w:pPr/>
      <w:r>
        <w:rPr>
          <w:lang w:val="en_US" w:bidi="en_US"/>
        </w:rPr>
      </w:r>
      <w:r>
        <w:rPr>
          <w:lang w:val="en_US" w:bidi="en_US"/>
        </w:rPr>
        <w:t>I know that you have authority and so you can heal my servant</w:t>
      </w:r>
      <w:r>
        <w:rPr>
          <w:lang w:val="en_US" w:bidi="en_US"/>
        </w:rPr>
        <w:t xml:space="preserve"> </w:t>
      </w:r>
      <w:r>
        <w:rPr>
          <w:lang w:val="en_US" w:bidi="en_US"/>
        </w:rPr>
        <w:t>from a distance</w:t>
      </w:r>
      <w:r>
        <w:rPr>
          <w:lang w:val="en_US" w:bidi="en_US"/>
        </w:rPr>
        <w:t xml:space="preserve"> </w:t>
      </w:r>
      <w:r>
        <w:rPr>
          <w:lang w:val="en_US" w:bidi="en_US"/>
        </w:rPr>
        <w:t>just by commanding that he be healed.</w:t>
      </w:r>
    </w:p>
    <w:p>
      <w:pPr/>
      <w:r>
        <w:rPr>
          <w:lang w:val="en_US" w:bidi="en_US"/>
        </w:rPr>
      </w:r>
      <w:r>
        <w:rPr>
          <w:lang w:val="en_US" w:bidi="en_US"/>
        </w:rPr>
        <w:t>I know that you have even greater authority, so you can give the command</w:t>
      </w:r>
      <w:r>
        <w:rPr>
          <w:lang w:val="en_US" w:bidi="en_US"/>
        </w:rPr>
        <w:t xml:space="preserve"> </w:t>
      </w:r>
      <w:r>
        <w:rPr>
          <w:lang w:val="en_US" w:bidi="en_US"/>
        </w:rPr>
        <w:t>to heal</w:t>
      </w:r>
      <w:r>
        <w:rPr>
          <w:lang w:val="en_US" w:bidi="en_US"/>
        </w:rPr>
        <w:t xml:space="preserve"> </w:t>
      </w:r>
      <w:r>
        <w:rPr>
          <w:lang w:val="en_US" w:bidi="en_US"/>
        </w:rPr>
        <w:t>and it will be done.</w:t>
      </w:r>
      <w:r>
        <w:rPr>
          <w:lang w:val="en_US" w:bidi="en_US"/>
        </w:rPr>
      </w:r>
      <w:r>
        <w:rPr>
          <w:lang w:val="en_US" w:bidi="en_US"/>
        </w:rPr>
      </w:r>
    </w:p>
    <w:p>
      <w:pPr/>
      <w:r>
        <w:rPr>
          <w:lang w:val="en_US" w:bidi="en_US"/>
        </w:rPr>
      </w:r>
    </w:p>
    <w:p>
      <w:pPr>
        <w:pStyle w:val="Heading2"/>
      </w:pPr>
      <w:r>
        <w:rPr>
          <w:lang w:val="en_US" w:bidi="en_US"/>
        </w:rPr>
        <w:t>Luke 7:9</w:t>
      </w:r>
      <w:r>
        <w:rPr>
          <w:lang w:val="en_US" w:bidi="en_US"/>
        </w:rPr>
      </w:r>
    </w:p>
    <w:p>
      <w:pPr>
        <w:pStyle w:val="Heading4"/>
      </w:pPr>
      <w:r>
        <w:rPr>
          <w:lang w:val="en_US" w:bidi="en_US"/>
        </w:rPr>
        <w:t>Section 7:1–10: Jesus healed an army officer’s servant</w:t>
      </w:r>
    </w:p>
    <w:p>
      <w:pPr/>
      <w:r>
        <w:rPr>
          <w:lang w:val="en_US" w:bidi="en_US"/>
        </w:rPr>
      </w:r>
      <w:r>
        <w:rPr>
          <w:lang w:val="en_US" w:bidi="en_US"/>
        </w:rPr>
        <w:t>This section tells how an army officer trusted Jesus to heal his servant. The officer was not a Jew; he was a Gentile, a Roman. He sent some Jewish leaders as messengers to ask Jesus to come and heal his servant. Later he sent some friends to say that it was not necessary for Jesus to come to his house. He believed that Jesus could heal his servant from a distance.</w:t>
      </w:r>
    </w:p>
    <w:p>
      <w:pPr/>
      <w:r>
        <w:rPr>
          <w:lang w:val="en_US" w:bidi="en_US"/>
        </w:rPr>
      </w:r>
      <w:r>
        <w:rPr>
          <w:lang w:val="en_US" w:bidi="en_US"/>
        </w:rPr>
        <w:t>The Roman compared Jesus’ authority to his own authority as an army officer. As an officer, he could cause other soldiers to obey him by simply commanding them to do something. He recognized that Jesus also had authority and power to heal by only giving a command. Jesus was amazed that this Gentile trusted him so much. He said that the officer had more faith than any Jew whom he had met.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 Roman army officer shows great faith in Jesus</w:t>
      </w:r>
    </w:p>
    <w:p>
      <w:pPr/>
      <w:r>
        <w:rPr>
          <w:lang w:val="en_US" w:bidi="en_US"/>
        </w:rPr>
      </w:r>
      <w:r>
        <w:rPr>
          <w:lang w:val="en_US" w:bidi="en_US"/>
        </w:rPr>
        <w:t>Jesus is amazed by the faith of a captain in the Roman army</w:t>
      </w:r>
    </w:p>
    <w:p>
      <w:pPr/>
      <w:r>
        <w:rPr>
          <w:lang w:val="en_US" w:bidi="en_US"/>
        </w:rPr>
      </w:r>
      <w:r>
        <w:rPr>
          <w:lang w:val="en_US" w:bidi="en_US"/>
        </w:rPr>
        <w:t>The amazing faith of the centurion</w:t>
      </w:r>
    </w:p>
    <w:p>
      <w:pPr/>
      <w:r>
        <w:rPr>
          <w:lang w:val="en_US" w:bidi="en_US"/>
        </w:rPr>
      </w:r>
      <w:r>
        <w:rPr>
          <w:lang w:val="en_US" w:bidi="en_US"/>
        </w:rPr>
        <w:t>There is a parallel passage for this section in Matthew 8:5–13.</w:t>
      </w:r>
    </w:p>
    <w:p>
      <w:pPr>
        <w:pStyle w:val="Heading5"/>
      </w:pPr>
      <w:r>
        <w:rPr>
          <w:lang w:val="en_US" w:bidi="en_US"/>
        </w:rPr>
        <w:t>7:9a</w:t>
      </w:r>
    </w:p>
    <w:p>
      <w:pPr/>
      <w:r>
        <w:rPr>
          <w:lang w:val="en_US" w:bidi="en_US"/>
        </w:rPr>
      </w:r>
      <w:r>
        <w:rPr>
          <w:b/>
          <w:lang w:val="en_US" w:bidi="en_US"/>
        </w:rPr>
        <w:t>When Jesus heard this, He marveled at the centurion.</w:t>
      </w:r>
    </w:p>
    <w:p>
      <w:pPr>
        <w:pStyle w:val="ListBullet"/>
        <w:spacing w:line="240" w:lineRule="auto"/>
        <w:ind w:left="720"/>
      </w:pPr>
      <w:r>
        <w:rPr>
          <w:lang w:val="en_US" w:bidi="en_US"/>
        </w:rPr>
      </w:r>
      <w:r>
        <w:rPr>
          <w:lang w:val="en_US" w:bidi="en_US"/>
        </w:rPr>
        <w:t xml:space="preserve">¶ When Jesus heard these words, he was very surprised </w:t>
      </w:r>
      <w:r>
        <w:rPr>
          <w:lang w:val="en_US" w:bidi="en_US"/>
        </w:rPr>
        <w:t>and pleased</w:t>
      </w:r>
      <w:r>
        <w:rPr>
          <w:lang w:val="en_US" w:bidi="en_US"/>
        </w:rPr>
        <w:t xml:space="preserve"> by the officer.</w:t>
      </w:r>
    </w:p>
    <w:p>
      <w:pPr>
        <w:pStyle w:val="ListBullet"/>
        <w:spacing w:line="240" w:lineRule="auto"/>
        <w:ind w:left="720"/>
      </w:pPr>
      <w:r>
        <w:rPr>
          <w:lang w:val="en_US" w:bidi="en_US"/>
        </w:rPr>
      </w:r>
      <w:r>
        <w:rPr>
          <w:lang w:val="en_US" w:bidi="en_US"/>
        </w:rPr>
        <w:t>¶ Jesus marveled at the officer’s words.</w:t>
      </w:r>
    </w:p>
    <w:p>
      <w:pPr>
        <w:pStyle w:val="ListBullet"/>
        <w:spacing w:line="240" w:lineRule="auto"/>
        <w:ind w:left="720"/>
      </w:pPr>
      <w:r>
        <w:rPr>
          <w:lang w:val="en_US" w:bidi="en_US"/>
        </w:rPr>
      </w:r>
      <w:r>
        <w:rPr>
          <w:lang w:val="en_US" w:bidi="en_US"/>
        </w:rPr>
        <w:t xml:space="preserve">¶ The officer’s </w:t>
      </w:r>
      <w:r>
        <w:rPr>
          <w:lang w:val="en_US" w:bidi="en_US"/>
        </w:rPr>
        <w:t>message</w:t>
      </w:r>
      <w:r>
        <w:rPr>
          <w:lang w:val="en_US" w:bidi="en_US"/>
        </w:rPr>
        <w:t xml:space="preserve"> amazed Jesus.</w:t>
      </w:r>
    </w:p>
    <w:p>
      <w:pPr/>
      <w:r>
        <w:rPr>
          <w:lang w:val="en_US" w:bidi="en_US"/>
        </w:rPr>
      </w:r>
      <w:r>
        <w:rPr>
          <w:b/>
          <w:lang w:val="en_US" w:bidi="en_US"/>
        </w:rPr>
        <w:t>When Jesus heard this:</w:t>
      </w:r>
      <w:r>
        <w:rPr>
          <w:lang w:val="en_US" w:bidi="en_US"/>
        </w:rPr>
        <w:t xml:space="preserve"> The word </w:t>
      </w:r>
      <w:r>
        <w:rPr>
          <w:i/>
          <w:lang w:val="en_US" w:bidi="en_US"/>
        </w:rPr>
        <w:t>this</w:t>
      </w:r>
      <w:r>
        <w:rPr>
          <w:lang w:val="en_US" w:bidi="en_US"/>
        </w:rPr>
        <w:t xml:space="preserve"> refers to what the officer said in his message.</w:t>
      </w:r>
    </w:p>
    <w:p>
      <w:pPr/>
      <w:r>
        <w:rPr>
          <w:lang w:val="en_US" w:bidi="en_US"/>
        </w:rPr>
      </w:r>
      <w:r>
        <w:rPr>
          <w:b/>
          <w:lang w:val="en_US" w:bidi="en_US"/>
        </w:rPr>
        <w:t>He marveled at the centurion:</w:t>
      </w:r>
      <w:r>
        <w:rPr>
          <w:lang w:val="en_US" w:bidi="en_US"/>
        </w:rPr>
        <w:t xml:space="preserve"> The word that the BSB translates as </w:t>
      </w:r>
      <w:r>
        <w:rPr>
          <w:i/>
          <w:lang w:val="en_US" w:bidi="en_US"/>
        </w:rPr>
        <w:t>the centurion</w:t>
      </w:r>
      <w:r>
        <w:rPr>
          <w:lang w:val="en_US" w:bidi="en_US"/>
        </w:rPr>
        <w:t xml:space="preserve"> is literally “him” in Greek. You may find it helpful in your own language to use a clarifying word rather than the pronoun “him.” For example:</w:t>
      </w:r>
    </w:p>
    <w:p>
      <w:pPr/>
      <w:r>
        <w:rPr>
          <w:lang w:val="en_US" w:bidi="en_US"/>
        </w:rPr>
      </w:r>
      <w:r>
        <w:rPr>
          <w:lang w:val="en_US" w:bidi="en_US"/>
        </w:rPr>
        <w:t>Jesus was amazed at the officer (GW)</w:t>
      </w:r>
    </w:p>
    <w:p>
      <w:pPr/>
      <w:r>
        <w:rPr>
          <w:lang w:val="en_US" w:bidi="en_US"/>
        </w:rPr>
      </w:r>
      <w:r>
        <w:rPr>
          <w:b/>
          <w:lang w:val="en_US" w:bidi="en_US"/>
        </w:rPr>
        <w:t>He marveled:</w:t>
      </w:r>
      <w:r>
        <w:rPr>
          <w:lang w:val="en_US" w:bidi="en_US"/>
        </w:rPr>
        <w:t xml:space="preserve"> The phrase </w:t>
      </w:r>
      <w:r>
        <w:rPr>
          <w:i/>
          <w:lang w:val="en_US" w:bidi="en_US"/>
        </w:rPr>
        <w:t>He marveled</w:t>
      </w:r>
      <w:r>
        <w:rPr>
          <w:lang w:val="en_US" w:bidi="en_US"/>
        </w:rPr>
        <w:t xml:space="preserve"> means that “Jesus was amazed.” The word </w:t>
      </w:r>
      <w:r>
        <w:rPr>
          <w:i/>
          <w:lang w:val="en_US" w:bidi="en_US"/>
        </w:rPr>
        <w:t>marveled</w:t>
      </w:r>
      <w:r>
        <w:rPr>
          <w:lang w:val="en_US" w:bidi="en_US"/>
        </w:rPr>
        <w:t xml:space="preserve"> implies that he was very pleased and surprised. It pleased Jesus that the officer recognized his authority and had such great faith in him. Do not use a word that means to be amazed about something bad or displeasing.</w:t>
      </w:r>
    </w:p>
    <w:p>
      <w:pPr>
        <w:pStyle w:val="Heading5"/>
      </w:pPr>
      <w:r>
        <w:rPr>
          <w:lang w:val="en_US" w:bidi="en_US"/>
        </w:rPr>
        <w:t>7:9b</w:t>
      </w:r>
    </w:p>
    <w:p>
      <w:pPr/>
      <w:r>
        <w:rPr>
          <w:lang w:val="en_US" w:bidi="en_US"/>
        </w:rPr>
      </w:r>
      <w:r>
        <w:rPr>
          <w:b/>
          <w:lang w:val="en_US" w:bidi="en_US"/>
        </w:rPr>
        <w:t>Turning to the crowd following Him, He said,</w:t>
      </w:r>
    </w:p>
    <w:p>
      <w:pPr>
        <w:pStyle w:val="ListBullet"/>
        <w:spacing w:line="240" w:lineRule="auto"/>
        <w:ind w:left="720"/>
      </w:pPr>
      <w:r>
        <w:rPr>
          <w:lang w:val="en_US" w:bidi="en_US"/>
        </w:rPr>
      </w:r>
      <w:r>
        <w:rPr>
          <w:lang w:val="en_US" w:bidi="en_US"/>
        </w:rPr>
        <w:t>He turned and said to the people who were following him,</w:t>
      </w:r>
    </w:p>
    <w:p>
      <w:pPr>
        <w:pStyle w:val="ListBullet"/>
        <w:spacing w:line="240" w:lineRule="auto"/>
        <w:ind w:left="720"/>
      </w:pPr>
      <w:r>
        <w:rPr>
          <w:lang w:val="en_US" w:bidi="en_US"/>
        </w:rPr>
      </w:r>
      <w:r>
        <w:rPr>
          <w:lang w:val="en_US" w:bidi="en_US"/>
        </w:rPr>
        <w:t>He turned to address the crowd that was following him and said,</w:t>
      </w:r>
    </w:p>
    <w:p>
      <w:pPr/>
      <w:r>
        <w:rPr>
          <w:lang w:val="en_US" w:bidi="en_US"/>
        </w:rPr>
      </w:r>
      <w:r>
        <w:rPr>
          <w:b/>
          <w:lang w:val="en_US" w:bidi="en_US"/>
        </w:rPr>
        <w:t>Turning to the crowd following Him, He said:</w:t>
      </w:r>
      <w:r>
        <w:rPr>
          <w:lang w:val="en_US" w:bidi="en_US"/>
        </w:rPr>
        <w:t xml:space="preserve"> Jesus turned around to look behind him at the crowd of people and to speak to them.</w:t>
      </w:r>
    </w:p>
    <w:p>
      <w:pPr>
        <w:pStyle w:val="Heading5"/>
      </w:pPr>
      <w:r>
        <w:rPr>
          <w:lang w:val="en_US" w:bidi="en_US"/>
        </w:rPr>
        <w:t>7:9c</w:t>
      </w:r>
    </w:p>
    <w:p>
      <w:pPr/>
      <w:r>
        <w:rPr>
          <w:lang w:val="en_US" w:bidi="en_US"/>
        </w:rPr>
      </w:r>
      <w:r>
        <w:rPr>
          <w:b/>
          <w:lang w:val="en_US" w:bidi="en_US"/>
        </w:rPr>
        <w:t>“I tell you, not even in Israel have I found such great faith.”</w:t>
      </w:r>
    </w:p>
    <w:p>
      <w:pPr>
        <w:pStyle w:val="ListBullet"/>
        <w:spacing w:line="240" w:lineRule="auto"/>
        <w:ind w:left="720"/>
      </w:pPr>
      <w:r>
        <w:rPr>
          <w:lang w:val="en_US" w:bidi="en_US"/>
        </w:rPr>
      </w:r>
      <w:r>
        <w:rPr>
          <w:lang w:val="en_US" w:bidi="en_US"/>
        </w:rPr>
        <w:t xml:space="preserve">“I assure you, I have not met anyone who believes </w:t>
      </w:r>
      <w:r>
        <w:rPr>
          <w:lang w:val="en_US" w:bidi="en_US"/>
        </w:rPr>
        <w:t>in me</w:t>
      </w:r>
      <w:r>
        <w:rPr>
          <w:lang w:val="en_US" w:bidi="en_US"/>
        </w:rPr>
        <w:t xml:space="preserve"> this strongly, even among </w:t>
      </w:r>
      <w:r>
        <w:rPr>
          <w:lang w:val="en_US" w:bidi="en_US"/>
        </w:rPr>
        <w:t>the people of</w:t>
      </w:r>
      <w:r>
        <w:rPr>
          <w:lang w:val="en_US" w:bidi="en_US"/>
        </w:rPr>
        <w:t xml:space="preserve"> Israel!”</w:t>
      </w:r>
    </w:p>
    <w:p>
      <w:pPr>
        <w:pStyle w:val="ListBullet"/>
        <w:spacing w:line="240" w:lineRule="auto"/>
        <w:ind w:left="720"/>
      </w:pPr>
      <w:r>
        <w:rPr>
          <w:lang w:val="en_US" w:bidi="en_US"/>
        </w:rPr>
      </w:r>
      <w:r>
        <w:rPr>
          <w:lang w:val="en_US" w:bidi="en_US"/>
        </w:rPr>
        <w:t xml:space="preserve">“I have certainly never found any person among </w:t>
      </w:r>
      <w:r>
        <w:rPr>
          <w:lang w:val="en_US" w:bidi="en_US"/>
        </w:rPr>
        <w:t>the people of</w:t>
      </w:r>
      <w:r>
        <w:rPr>
          <w:lang w:val="en_US" w:bidi="en_US"/>
        </w:rPr>
        <w:t xml:space="preserve"> Israel who has as much confidence </w:t>
      </w:r>
      <w:r>
        <w:rPr>
          <w:lang w:val="en_US" w:bidi="en_US"/>
        </w:rPr>
        <w:t>in me</w:t>
      </w:r>
      <w:r>
        <w:rPr>
          <w:lang w:val="en_US" w:bidi="en_US"/>
        </w:rPr>
        <w:t xml:space="preserve"> </w:t>
      </w:r>
      <w:r>
        <w:rPr>
          <w:lang w:val="en_US" w:bidi="en_US"/>
        </w:rPr>
        <w:t>as this man who is not an Israelite does</w:t>
      </w:r>
      <w:r>
        <w:rPr>
          <w:lang w:val="en_US" w:bidi="en_US"/>
        </w:rPr>
        <w:t>!”</w:t>
      </w:r>
    </w:p>
    <w:p>
      <w:pPr/>
      <w:r>
        <w:rPr>
          <w:lang w:val="en_US" w:bidi="en_US"/>
        </w:rPr>
      </w:r>
      <w:r>
        <w:rPr>
          <w:b/>
          <w:lang w:val="en_US" w:bidi="en_US"/>
        </w:rPr>
        <w:t>I tell you:</w:t>
      </w:r>
      <w:r>
        <w:rPr>
          <w:lang w:val="en_US" w:bidi="en_US"/>
        </w:rPr>
        <w:t xml:space="preserve"> Jesus often used the words </w:t>
      </w:r>
      <w:r>
        <w:rPr>
          <w:i/>
          <w:lang w:val="en_US" w:bidi="en_US"/>
        </w:rPr>
        <w:t>I tell you</w:t>
      </w:r>
      <w:r>
        <w:rPr>
          <w:lang w:val="en_US" w:bidi="en_US"/>
        </w:rPr>
        <w:t xml:space="preserve"> to begin a statement that he wanted to emphasize. It indicates that the statement was important and that people should listen carefully to it. Some other ways to show this emphasis could be:</w:t>
      </w:r>
    </w:p>
    <w:p>
      <w:pPr>
        <w:pStyle w:val="ListBullet"/>
        <w:spacing w:line="240" w:lineRule="auto"/>
        <w:ind w:left="720"/>
      </w:pPr>
      <w:r>
        <w:rPr>
          <w:lang w:val="en_US" w:bidi="en_US"/>
        </w:rPr>
      </w:r>
      <w:r>
        <w:rPr>
          <w:lang w:val="en_US" w:bidi="en_US"/>
        </w:rPr>
        <w:t>Use a phrase before Jesus’ statement. For example:</w:t>
      </w:r>
      <w:r>
        <w:rPr>
          <w:lang w:val="en_US" w:bidi="en_US"/>
        </w:rPr>
        <w:t>Let me tell you this</w:t>
      </w:r>
      <w:r>
        <w:rPr>
          <w:lang w:val="en_US" w:bidi="en_US"/>
        </w:rPr>
        <w:t>Listen</w:t>
      </w:r>
      <w:r>
        <w:rPr>
          <w:lang w:val="en_US" w:bidi="en_US"/>
        </w:rPr>
        <w:t>I assure you</w:t>
      </w:r>
    </w:p>
    <w:p>
      <w:pPr>
        <w:pStyle w:val="ListBullet"/>
        <w:spacing w:line="240" w:lineRule="auto"/>
        <w:ind w:left="720"/>
      </w:pPr>
      <w:r>
        <w:rPr>
          <w:lang w:val="en_US" w:bidi="en_US"/>
        </w:rPr>
      </w:r>
      <w:r>
        <w:rPr>
          <w:lang w:val="en_US" w:bidi="en_US"/>
        </w:rPr>
        <w:t>Express the emphasis within Jesus’ statement. For example:</w:t>
      </w:r>
      <w:r>
        <w:rPr>
          <w:lang w:val="en_US" w:bidi="en_US"/>
        </w:rPr>
        <w:t xml:space="preserve">In all of Israel </w:t>
      </w:r>
      <w:r>
        <w:rPr>
          <w:u w:val="single"/>
          <w:lang w:val="en_US" w:bidi="en_US"/>
        </w:rPr>
        <w:t>I’ve never found</w:t>
      </w:r>
      <w:r>
        <w:rPr>
          <w:lang w:val="en_US" w:bidi="en_US"/>
        </w:rPr>
        <w:t xml:space="preserve"> anyone with this much faith! (CEV)</w:t>
      </w:r>
      <w:r>
        <w:rPr>
          <w:lang w:val="en_US" w:bidi="en_US"/>
        </w:rPr>
        <w:t xml:space="preserve">I have </w:t>
      </w:r>
      <w:r>
        <w:rPr>
          <w:u w:val="single"/>
          <w:lang w:val="en_US" w:bidi="en_US"/>
        </w:rPr>
        <w:t>certainly</w:t>
      </w:r>
      <w:r>
        <w:rPr>
          <w:lang w:val="en_US" w:bidi="en_US"/>
        </w:rPr>
        <w:t xml:space="preserve"> not found such great faith, not even in Israel.</w:t>
      </w:r>
    </w:p>
    <w:p>
      <w:pPr/>
      <w:r>
        <w:rPr>
          <w:lang w:val="en_US" w:bidi="en_US"/>
        </w:rPr>
      </w:r>
      <w:r>
        <w:rPr>
          <w:lang w:val="en_US" w:bidi="en_US"/>
        </w:rPr>
        <w:t>If you have another way in your language to emphasize an important statement, consider using it here.</w:t>
      </w:r>
    </w:p>
    <w:p>
      <w:pPr/>
      <w:r>
        <w:rPr>
          <w:lang w:val="en_US" w:bidi="en_US"/>
        </w:rPr>
      </w:r>
      <w:r>
        <w:rPr>
          <w:b/>
          <w:lang w:val="en_US" w:bidi="en_US"/>
        </w:rPr>
        <w:t>not even in Israel have I found such great faith:</w:t>
      </w:r>
      <w:r>
        <w:rPr>
          <w:lang w:val="en_US" w:bidi="en_US"/>
        </w:rPr>
        <w:t xml:space="preserve"> The phrase </w:t>
      </w:r>
      <w:r>
        <w:rPr>
          <w:i/>
          <w:lang w:val="en_US" w:bidi="en_US"/>
        </w:rPr>
        <w:t>not even in Israel have I found such great faith</w:t>
      </w:r>
      <w:r>
        <w:rPr>
          <w:lang w:val="en_US" w:bidi="en_US"/>
        </w:rPr>
        <w:t xml:space="preserve"> implies, “I have not found any Israelites who believe </w:t>
      </w:r>
      <w:r>
        <w:rPr>
          <w:lang w:val="en_US" w:bidi="en_US"/>
        </w:rPr>
        <w:t>in me</w:t>
      </w:r>
      <w:r>
        <w:rPr>
          <w:lang w:val="en_US" w:bidi="en_US"/>
        </w:rPr>
        <w:t xml:space="preserve"> as much </w:t>
      </w:r>
      <w:r>
        <w:rPr>
          <w:lang w:val="en_US" w:bidi="en_US"/>
        </w:rPr>
        <w:t>as this Gentile does</w:t>
      </w:r>
      <w:r>
        <w:rPr>
          <w:lang w:val="en_US" w:bidi="en_US"/>
        </w:rPr>
        <w:t>!” The phrase implies that Jesus expected the Jews to believe in him. He did not expect a Gentile (non-Jew) to believe in him more than the Jews did. Many Jews believed that Jesus could heal sick people by touching them. However, this Gentile believed that Jesus could heal from a distance just by speaking a word.</w:t>
      </w:r>
    </w:p>
    <w:p>
      <w:pPr/>
      <w:r>
        <w:rPr>
          <w:lang w:val="en_US" w:bidi="en_US"/>
        </w:rPr>
      </w:r>
      <w:r>
        <w:rPr>
          <w:b/>
          <w:lang w:val="en_US" w:bidi="en_US"/>
        </w:rPr>
        <w:t>in Israel:</w:t>
      </w:r>
      <w:r>
        <w:rPr>
          <w:lang w:val="en_US" w:bidi="en_US"/>
        </w:rPr>
        <w:t xml:space="preserve"> The phrase </w:t>
      </w:r>
      <w:r>
        <w:rPr>
          <w:i/>
          <w:lang w:val="en_US" w:bidi="en_US"/>
        </w:rPr>
        <w:t>in Israel</w:t>
      </w:r>
      <w:r>
        <w:rPr>
          <w:lang w:val="en_US" w:bidi="en_US"/>
        </w:rPr>
        <w:t xml:space="preserve"> means “among the Israelites.” It does not refer to location. This officer lived in Israel, but he was not one of the people (descendants) of Israel.</w:t>
      </w:r>
    </w:p>
    <w:p>
      <w:pPr/>
      <w:r>
        <w:rPr>
          <w:lang w:val="en_US" w:bidi="en_US"/>
        </w:rPr>
      </w:r>
      <w:r>
        <w:rPr>
          <w:b/>
          <w:lang w:val="en_US" w:bidi="en_US"/>
        </w:rPr>
        <w:t>great faith:</w:t>
      </w:r>
      <w:r>
        <w:rPr>
          <w:lang w:val="en_US" w:bidi="en_US"/>
        </w:rPr>
        <w:t xml:space="preserve"> The word </w:t>
      </w:r>
      <w:r>
        <w:rPr>
          <w:i/>
          <w:lang w:val="en_US" w:bidi="en_US"/>
        </w:rPr>
        <w:t>faith</w:t>
      </w:r>
      <w:r>
        <w:rPr>
          <w:lang w:val="en_US" w:bidi="en_US"/>
        </w:rPr>
        <w:t xml:space="preserve"> refers here to confidence that Jesus/God can do a certain thing. Here the officer had </w:t>
      </w:r>
      <w:r>
        <w:rPr>
          <w:i/>
          <w:lang w:val="en_US" w:bidi="en_US"/>
        </w:rPr>
        <w:t>great faith</w:t>
      </w:r>
      <w:r>
        <w:rPr>
          <w:lang w:val="en_US" w:bidi="en_US"/>
        </w:rPr>
        <w:t xml:space="preserve"> because he was completely sure that Jesus had the authority to heal his servant with a word. See believe, Meaning 2, in the Glossary.</w:t>
      </w:r>
      <w:r>
        <w:rPr>
          <w:lang w:val="en_US" w:bidi="en_US"/>
        </w:rPr>
      </w:r>
      <w:r>
        <w:rPr>
          <w:lang w:val="en_US" w:bidi="en_US"/>
        </w:rPr>
      </w:r>
    </w:p>
    <w:p>
      <w:pPr/>
      <w:r>
        <w:rPr>
          <w:lang w:val="en_US" w:bidi="en_US"/>
        </w:rPr>
      </w:r>
    </w:p>
    <w:p>
      <w:pPr>
        <w:pStyle w:val="Heading2"/>
      </w:pPr>
      <w:r>
        <w:rPr>
          <w:lang w:val="en_US" w:bidi="en_US"/>
        </w:rPr>
        <w:t>Luke 7:10</w:t>
      </w:r>
      <w:r>
        <w:rPr>
          <w:lang w:val="en_US" w:bidi="en_US"/>
        </w:rPr>
      </w:r>
    </w:p>
    <w:p>
      <w:pPr>
        <w:pStyle w:val="Heading4"/>
      </w:pPr>
      <w:r>
        <w:rPr>
          <w:lang w:val="en_US" w:bidi="en_US"/>
        </w:rPr>
        <w:t>Section 7:1–10: Jesus healed an army officer’s servant</w:t>
      </w:r>
    </w:p>
    <w:p>
      <w:pPr/>
      <w:r>
        <w:rPr>
          <w:lang w:val="en_US" w:bidi="en_US"/>
        </w:rPr>
      </w:r>
      <w:r>
        <w:rPr>
          <w:lang w:val="en_US" w:bidi="en_US"/>
        </w:rPr>
        <w:t>This section tells how an army officer trusted Jesus to heal his servant. The officer was not a Jew; he was a Gentile, a Roman. He sent some Jewish leaders as messengers to ask Jesus to come and heal his servant. Later he sent some friends to say that it was not necessary for Jesus to come to his house. He believed that Jesus could heal his servant from a distance.</w:t>
      </w:r>
    </w:p>
    <w:p>
      <w:pPr/>
      <w:r>
        <w:rPr>
          <w:lang w:val="en_US" w:bidi="en_US"/>
        </w:rPr>
      </w:r>
      <w:r>
        <w:rPr>
          <w:lang w:val="en_US" w:bidi="en_US"/>
        </w:rPr>
        <w:t>The Roman compared Jesus’ authority to his own authority as an army officer. As an officer, he could cause other soldiers to obey him by simply commanding them to do something. He recognized that Jesus also had authority and power to heal by only giving a command. Jesus was amazed that this Gentile trusted him so much. He said that the officer had more faith than any Jew whom he had met.</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 Roman army officer shows great faith in Jesus</w:t>
      </w:r>
    </w:p>
    <w:p>
      <w:pPr/>
      <w:r>
        <w:rPr>
          <w:lang w:val="en_US" w:bidi="en_US"/>
        </w:rPr>
      </w:r>
      <w:r>
        <w:rPr>
          <w:lang w:val="en_US" w:bidi="en_US"/>
        </w:rPr>
        <w:t>Jesus is amazed by the faith of a captain in the Roman army</w:t>
      </w:r>
    </w:p>
    <w:p>
      <w:pPr/>
      <w:r>
        <w:rPr>
          <w:lang w:val="en_US" w:bidi="en_US"/>
        </w:rPr>
      </w:r>
      <w:r>
        <w:rPr>
          <w:lang w:val="en_US" w:bidi="en_US"/>
        </w:rPr>
        <w:t>The amazing faith of the centurion</w:t>
      </w:r>
    </w:p>
    <w:p>
      <w:pPr/>
      <w:r>
        <w:rPr>
          <w:lang w:val="en_US" w:bidi="en_US"/>
        </w:rPr>
      </w:r>
      <w:r>
        <w:rPr>
          <w:lang w:val="en_US" w:bidi="en_US"/>
        </w:rPr>
        <w:t>There is a parallel passage for this section in Matthew 8:5–13.</w:t>
      </w:r>
    </w:p>
    <w:p>
      <w:pPr>
        <w:pStyle w:val="Heading5"/>
      </w:pPr>
      <w:r>
        <w:rPr>
          <w:lang w:val="en_US" w:bidi="en_US"/>
        </w:rPr>
        <w:t>7:10a</w:t>
      </w:r>
    </w:p>
    <w:p>
      <w:pPr/>
      <w:r>
        <w:rPr>
          <w:lang w:val="en_US" w:bidi="en_US"/>
        </w:rPr>
      </w:r>
      <w:r>
        <w:rPr>
          <w:b/>
          <w:lang w:val="en_US" w:bidi="en_US"/>
        </w:rPr>
        <w:t>And when the messengers returned to the house,</w:t>
      </w:r>
    </w:p>
    <w:p>
      <w:pPr>
        <w:pStyle w:val="ListBullet"/>
        <w:spacing w:line="240" w:lineRule="auto"/>
        <w:ind w:left="720"/>
      </w:pPr>
      <w:r>
        <w:rPr>
          <w:lang w:val="en_US" w:bidi="en_US"/>
        </w:rPr>
      </w:r>
      <w:r>
        <w:rPr>
          <w:lang w:val="en_US" w:bidi="en_US"/>
        </w:rPr>
        <w:t xml:space="preserve">Then the messengers went back to the </w:t>
      </w:r>
      <w:r>
        <w:rPr>
          <w:lang w:val="en_US" w:bidi="en_US"/>
        </w:rPr>
        <w:t>officer’s</w:t>
      </w:r>
      <w:r>
        <w:rPr>
          <w:lang w:val="en_US" w:bidi="en_US"/>
        </w:rPr>
        <w:t xml:space="preserve"> house,</w:t>
      </w:r>
    </w:p>
    <w:p>
      <w:pPr>
        <w:pStyle w:val="ListBullet"/>
        <w:spacing w:line="240" w:lineRule="auto"/>
        <w:ind w:left="720"/>
      </w:pPr>
      <w:r>
        <w:rPr>
          <w:lang w:val="en_US" w:bidi="en_US"/>
        </w:rPr>
      </w:r>
      <w:r>
        <w:rPr>
          <w:lang w:val="en_US" w:bidi="en_US"/>
        </w:rPr>
        <w:t xml:space="preserve">Then the officer’s friends went back to </w:t>
      </w:r>
      <w:r>
        <w:rPr>
          <w:lang w:val="en_US" w:bidi="en_US"/>
        </w:rPr>
        <w:t>his</w:t>
      </w:r>
      <w:r>
        <w:rPr>
          <w:lang w:val="en_US" w:bidi="en_US"/>
        </w:rPr>
        <w:t xml:space="preserve"> house</w:t>
      </w:r>
    </w:p>
    <w:p>
      <w:pPr/>
      <w:r>
        <w:rPr>
          <w:lang w:val="en_US" w:bidi="en_US"/>
        </w:rPr>
      </w:r>
      <w:r>
        <w:rPr>
          <w:b/>
          <w:lang w:val="en_US" w:bidi="en_US"/>
        </w:rPr>
        <w:t>the messengers:</w:t>
      </w:r>
      <w:r>
        <w:rPr>
          <w:lang w:val="en_US" w:bidi="en_US"/>
        </w:rPr>
        <w:t xml:space="preserve"> The phrase </w:t>
      </w:r>
      <w:r>
        <w:rPr>
          <w:i/>
          <w:lang w:val="en_US" w:bidi="en_US"/>
        </w:rPr>
        <w:t>the messengers</w:t>
      </w:r>
      <w:r>
        <w:rPr>
          <w:lang w:val="en_US" w:bidi="en_US"/>
        </w:rPr>
        <w:t>, literally “the ones who had been sent,” refers to the friends whom the officer had sent to Jesus in 7:6c. If you translate the Greek more literally, you may wish to use an active expression:</w:t>
      </w:r>
    </w:p>
    <w:p>
      <w:pPr/>
      <w:r>
        <w:rPr>
          <w:lang w:val="en_US" w:bidi="en_US"/>
        </w:rPr>
      </w:r>
      <w:r>
        <w:rPr>
          <w:lang w:val="en_US" w:bidi="en_US"/>
        </w:rPr>
        <w:t>the friends whom the centurion had sent</w:t>
      </w:r>
    </w:p>
    <w:p>
      <w:pPr/>
      <w:r>
        <w:rPr>
          <w:lang w:val="en_US" w:bidi="en_US"/>
        </w:rPr>
      </w:r>
      <w:r>
        <w:rPr>
          <w:lang w:val="en_US" w:bidi="en_US"/>
        </w:rPr>
        <w:t>Another way to translate this is:</w:t>
      </w:r>
    </w:p>
    <w:p>
      <w:pPr/>
      <w:r>
        <w:rPr>
          <w:lang w:val="en_US" w:bidi="en_US"/>
        </w:rPr>
      </w:r>
      <w:r>
        <w:rPr>
          <w:lang w:val="en_US" w:bidi="en_US"/>
        </w:rPr>
        <w:t>the officer’s friends (CEV)</w:t>
      </w:r>
    </w:p>
    <w:p>
      <w:pPr/>
      <w:r>
        <w:rPr>
          <w:lang w:val="en_US" w:bidi="en_US"/>
        </w:rPr>
      </w:r>
      <w:r>
        <w:rPr>
          <w:b/>
          <w:lang w:val="en_US" w:bidi="en_US"/>
        </w:rPr>
        <w:t>returned to the house:</w:t>
      </w:r>
      <w:r>
        <w:rPr>
          <w:lang w:val="en_US" w:bidi="en_US"/>
        </w:rPr>
        <w:t xml:space="preserve"> The phrase </w:t>
      </w:r>
      <w:r>
        <w:rPr>
          <w:i/>
          <w:lang w:val="en_US" w:bidi="en_US"/>
        </w:rPr>
        <w:t>the house</w:t>
      </w:r>
      <w:r>
        <w:rPr>
          <w:lang w:val="en_US" w:bidi="en_US"/>
        </w:rPr>
        <w:t xml:space="preserve"> refers to the officer’s house.</w:t>
      </w:r>
    </w:p>
    <w:p>
      <w:pPr>
        <w:pStyle w:val="Heading5"/>
      </w:pPr>
      <w:r>
        <w:rPr>
          <w:lang w:val="en_US" w:bidi="en_US"/>
        </w:rPr>
        <w:t>7:10b</w:t>
      </w:r>
    </w:p>
    <w:p>
      <w:pPr/>
      <w:r>
        <w:rPr>
          <w:lang w:val="en_US" w:bidi="en_US"/>
        </w:rPr>
      </w:r>
      <w:r>
        <w:rPr>
          <w:b/>
          <w:lang w:val="en_US" w:bidi="en_US"/>
        </w:rPr>
        <w:t>they found the servant in good health.</w:t>
      </w:r>
    </w:p>
    <w:p>
      <w:pPr>
        <w:pStyle w:val="ListBullet"/>
        <w:spacing w:line="240" w:lineRule="auto"/>
        <w:ind w:left="720"/>
      </w:pPr>
      <w:r>
        <w:rPr>
          <w:lang w:val="en_US" w:bidi="en_US"/>
        </w:rPr>
      </w:r>
      <w:r>
        <w:rPr>
          <w:lang w:val="en_US" w:bidi="en_US"/>
        </w:rPr>
        <w:t>and they discovered that the slave was well.</w:t>
      </w:r>
    </w:p>
    <w:p>
      <w:pPr>
        <w:pStyle w:val="ListBullet"/>
        <w:spacing w:line="240" w:lineRule="auto"/>
        <w:ind w:left="720"/>
      </w:pPr>
      <w:r>
        <w:rPr>
          <w:lang w:val="en_US" w:bidi="en_US"/>
        </w:rPr>
      </w:r>
      <w:r>
        <w:rPr>
          <w:lang w:val="en_US" w:bidi="en_US"/>
        </w:rPr>
        <w:t xml:space="preserve">and saw that his servant had recovered </w:t>
      </w:r>
      <w:r>
        <w:rPr>
          <w:lang w:val="en_US" w:bidi="en_US"/>
        </w:rPr>
        <w:t>from his illness</w:t>
      </w:r>
      <w:r>
        <w:rPr>
          <w:lang w:val="en_US" w:bidi="en_US"/>
        </w:rPr>
        <w:t>.</w:t>
      </w:r>
    </w:p>
    <w:p>
      <w:pPr/>
      <w:r>
        <w:rPr>
          <w:lang w:val="en_US" w:bidi="en_US"/>
        </w:rPr>
      </w:r>
      <w:r>
        <w:rPr>
          <w:b/>
          <w:lang w:val="en_US" w:bidi="en_US"/>
        </w:rPr>
        <w:t>found the servant in good health:</w:t>
      </w:r>
      <w:r>
        <w:rPr>
          <w:lang w:val="en_US" w:bidi="en_US"/>
        </w:rPr>
        <w:t xml:space="preserve"> The phrase </w:t>
      </w:r>
      <w:r>
        <w:rPr>
          <w:i/>
          <w:lang w:val="en_US" w:bidi="en_US"/>
        </w:rPr>
        <w:t>found the servant in good health</w:t>
      </w:r>
      <w:r>
        <w:rPr>
          <w:lang w:val="en_US" w:bidi="en_US"/>
        </w:rPr>
        <w:t xml:space="preserve"> means “saw that the servant was well.” Jesus had already healed him. In this context, the word </w:t>
      </w:r>
      <w:r>
        <w:rPr>
          <w:i/>
          <w:lang w:val="en_US" w:bidi="en_US"/>
        </w:rPr>
        <w:t>found</w:t>
      </w:r>
      <w:r>
        <w:rPr>
          <w:lang w:val="en_US" w:bidi="en_US"/>
        </w:rPr>
        <w:t xml:space="preserve"> does not imply that the men had to search for the servant. He was in the same house where they had left him, but he was healthy instead of sick.</w:t>
      </w:r>
    </w:p>
    <w:p>
      <w:pPr/>
      <w:r>
        <w:rPr>
          <w:lang w:val="en_US" w:bidi="en_US"/>
        </w:rPr>
      </w:r>
      <w:r>
        <w:rPr>
          <w:b/>
          <w:lang w:val="en_US" w:bidi="en_US"/>
        </w:rPr>
        <w:t>servant:</w:t>
      </w:r>
      <w:r>
        <w:rPr>
          <w:lang w:val="en_US" w:bidi="en_US"/>
        </w:rPr>
        <w:t xml:space="preserve"> The Greek word that the BSB translates as </w:t>
      </w:r>
      <w:r>
        <w:rPr>
          <w:i/>
          <w:lang w:val="en_US" w:bidi="en_US"/>
        </w:rPr>
        <w:t>servant</w:t>
      </w:r>
      <w:r>
        <w:rPr>
          <w:lang w:val="en_US" w:bidi="en_US"/>
        </w:rPr>
        <w:t xml:space="preserve"> is the same one that was used in 7:2a. See the note on </w:t>
      </w:r>
      <w:r>
        <w:rPr>
          <w:i/>
          <w:lang w:val="en_US" w:bidi="en_US"/>
        </w:rPr>
        <w:t>servant</w:t>
      </w:r>
      <w:r>
        <w:rPr>
          <w:lang w:val="en_US" w:bidi="en_US"/>
        </w:rPr>
        <w:t xml:space="preserve"> at 7:2a.</w:t>
      </w:r>
      <w:r>
        <w:rPr>
          <w:lang w:val="en_US" w:bidi="en_US"/>
        </w:rPr>
      </w:r>
      <w:r>
        <w:rPr>
          <w:lang w:val="en_US" w:bidi="en_US"/>
        </w:rPr>
      </w:r>
    </w:p>
    <w:p>
      <w:pPr/>
      <w:r>
        <w:rPr>
          <w:lang w:val="en_US" w:bidi="en_US"/>
        </w:rPr>
      </w:r>
    </w:p>
    <w:p>
      <w:pPr>
        <w:pStyle w:val="Heading2"/>
      </w:pPr>
      <w:r>
        <w:rPr>
          <w:lang w:val="en_US" w:bidi="en_US"/>
        </w:rPr>
        <w:t>Luke 7:11</w:t>
      </w:r>
      <w:r>
        <w:rPr>
          <w:lang w:val="en_US" w:bidi="en_US"/>
        </w:rPr>
      </w:r>
    </w:p>
    <w:p>
      <w:pPr>
        <w:pStyle w:val="Heading4"/>
      </w:pPr>
      <w:r>
        <w:rPr>
          <w:lang w:val="en_US" w:bidi="en_US"/>
        </w:rPr>
        <w:t>Section 7:11–17: Jesus caused a widow’s son to live again</w:t>
      </w:r>
    </w:p>
    <w:p>
      <w:pPr/>
      <w:r>
        <w:rPr>
          <w:lang w:val="en_US" w:bidi="en_US"/>
        </w:rPr>
      </w:r>
      <w:r>
        <w:rPr>
          <w:lang w:val="en_US" w:bidi="en_US"/>
        </w:rPr>
        <w:t>In this section Jesus showed his compassion for a widow and her dead son by causing him to live again. This is the first time in the book of Luke that Jesus caused a dead person to live again. People were so excited that they spread the good news throughout the whole area.</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Brings a Widow’s Son Back to Life (GW)</w:t>
      </w:r>
    </w:p>
    <w:p>
      <w:pPr/>
      <w:r>
        <w:rPr>
          <w:lang w:val="en_US" w:bidi="en_US"/>
        </w:rPr>
      </w:r>
      <w:r>
        <w:rPr>
          <w:lang w:val="en_US" w:bidi="en_US"/>
        </w:rPr>
        <w:t>Jesus raised a man from the dead</w:t>
      </w:r>
    </w:p>
    <w:p>
      <w:pPr>
        <w:pStyle w:val="Heading5"/>
      </w:pPr>
      <w:r>
        <w:rPr>
          <w:lang w:val="en_US" w:bidi="en_US"/>
        </w:rPr>
        <w:t>7:11a</w:t>
      </w:r>
    </w:p>
    <w:p>
      <w:pPr/>
      <w:r>
        <w:rPr>
          <w:lang w:val="en_US" w:bidi="en_US"/>
        </w:rPr>
      </w:r>
      <w:r>
        <w:rPr>
          <w:b/>
          <w:lang w:val="en_US" w:bidi="en_US"/>
        </w:rPr>
        <w:t>Soon afterward, Jesus went to a town called Nain.</w:t>
      </w:r>
    </w:p>
    <w:p>
      <w:pPr>
        <w:pStyle w:val="ListBullet"/>
        <w:spacing w:line="240" w:lineRule="auto"/>
        <w:ind w:left="720"/>
      </w:pPr>
      <w:r>
        <w:rPr>
          <w:lang w:val="en_US" w:bidi="en_US"/>
        </w:rPr>
      </w:r>
      <w:r>
        <w:rPr>
          <w:lang w:val="en_US" w:bidi="en_US"/>
        </w:rPr>
        <w:t>¶ Soon after this, Jesus went to the town of Nain,</w:t>
      </w:r>
    </w:p>
    <w:p>
      <w:pPr/>
      <w:r>
        <w:rPr>
          <w:lang w:val="en_US" w:bidi="en_US"/>
        </w:rPr>
      </w:r>
      <w:r>
        <w:rPr>
          <w:b/>
          <w:lang w:val="en_US" w:bidi="en_US"/>
        </w:rPr>
        <w:t>Soon afterward:</w:t>
      </w:r>
      <w:r>
        <w:rPr>
          <w:lang w:val="en_US" w:bidi="en_US"/>
        </w:rPr>
        <w:t xml:space="preserve"> The event in this section happened not long after Jesus healed the centurion’s servant. It may have happened the next day.</w:t>
      </w:r>
      <w:r>
        <w:rPr>
          <w:lang w:val="en_US" w:bidi="en_US"/>
        </w:rPr>
        <w:t>There is a textual issue here. Many Greek manuscripts have the phrase that the BSB translates as “Soon afterward.” However, other manuscripts have a phrase that can be translated as “on the next day.” The KJV is the only major English version that follows those manuscripts. If the national language version in your area has the same reading as the KJV here, you may want to mention it in a footnote in your translation. For example: Some Greek manuscripts say “on the next day.”</w:t>
      </w:r>
    </w:p>
    <w:p>
      <w:pPr/>
      <w:r>
        <w:rPr>
          <w:lang w:val="en_US" w:bidi="en_US"/>
        </w:rPr>
      </w:r>
      <w:r>
        <w:rPr>
          <w:b/>
          <w:lang w:val="en_US" w:bidi="en_US"/>
        </w:rPr>
        <w:t>a town called Nain:</w:t>
      </w:r>
      <w:r>
        <w:rPr>
          <w:lang w:val="en_US" w:bidi="en_US"/>
        </w:rPr>
        <w:t xml:space="preserve"> The town of </w:t>
      </w:r>
      <w:r>
        <w:rPr>
          <w:i/>
          <w:lang w:val="en_US" w:bidi="en_US"/>
        </w:rPr>
        <w:t>Nain</w:t>
      </w:r>
      <w:r>
        <w:rPr>
          <w:lang w:val="en_US" w:bidi="en_US"/>
        </w:rPr>
        <w:t xml:space="preserve"> was probably in the district of Galilee, not far from the town of Nazareth. Though the Greek word that the BSB translates as </w:t>
      </w:r>
      <w:r>
        <w:rPr>
          <w:i/>
          <w:lang w:val="en_US" w:bidi="en_US"/>
        </w:rPr>
        <w:t>town</w:t>
      </w:r>
      <w:r>
        <w:rPr>
          <w:lang w:val="en_US" w:bidi="en_US"/>
        </w:rPr>
        <w:t xml:space="preserve"> is translated as “city” in many English versions, here it probably referred to a small town.</w:t>
      </w:r>
      <w:r>
        <w:rPr>
          <w:lang w:val="en_US" w:bidi="en_US"/>
        </w:rPr>
        <w:t>Modern day Nain, generally thought to correspond to the biblical reference, is a small village of about 200 inhabitants, and it was never walled.</w:t>
      </w:r>
      <w:r>
        <w:rPr>
          <w:lang w:val="en_US" w:bidi="en_US"/>
        </w:rPr>
        <w:t xml:space="preserve"> Another way to translate this is:</w:t>
      </w:r>
    </w:p>
    <w:p>
      <w:pPr/>
      <w:r>
        <w:rPr>
          <w:lang w:val="en_US" w:bidi="en_US"/>
        </w:rPr>
      </w:r>
      <w:r>
        <w:rPr>
          <w:lang w:val="en_US" w:bidi="en_US"/>
        </w:rPr>
        <w:t>the village of Nain (NLT)</w:t>
      </w:r>
    </w:p>
    <w:p>
      <w:pPr>
        <w:pStyle w:val="Heading5"/>
      </w:pPr>
      <w:r>
        <w:rPr>
          <w:lang w:val="en_US" w:bidi="en_US"/>
        </w:rPr>
        <w:t>7:11b</w:t>
      </w:r>
    </w:p>
    <w:p>
      <w:pPr/>
      <w:r>
        <w:rPr>
          <w:lang w:val="en_US" w:bidi="en_US"/>
        </w:rPr>
      </w:r>
      <w:r>
        <w:rPr>
          <w:b/>
          <w:lang w:val="en_US" w:bidi="en_US"/>
        </w:rPr>
        <w:t>His disciples went with Him, accompanied by a large crowd.</w:t>
      </w:r>
    </w:p>
    <w:p>
      <w:pPr>
        <w:pStyle w:val="ListBullet"/>
        <w:spacing w:line="240" w:lineRule="auto"/>
        <w:ind w:left="720"/>
      </w:pPr>
      <w:r>
        <w:rPr>
          <w:lang w:val="en_US" w:bidi="en_US"/>
        </w:rPr>
      </w:r>
      <w:r>
        <w:rPr>
          <w:lang w:val="en_US" w:bidi="en_US"/>
        </w:rPr>
        <w:t>and his disciples and many other people went with him.</w:t>
      </w:r>
    </w:p>
    <w:p>
      <w:pPr>
        <w:pStyle w:val="ListBullet"/>
        <w:spacing w:line="240" w:lineRule="auto"/>
        <w:ind w:left="720"/>
      </w:pPr>
      <w:r>
        <w:rPr>
          <w:lang w:val="en_US" w:bidi="en_US"/>
        </w:rPr>
      </w:r>
      <w:r>
        <w:rPr>
          <w:lang w:val="en_US" w:bidi="en_US"/>
        </w:rPr>
        <w:t>His followers and a large crowd of other people accompanied him.</w:t>
      </w:r>
    </w:p>
    <w:p>
      <w:pPr/>
      <w:r>
        <w:rPr>
          <w:lang w:val="en_US" w:bidi="en_US"/>
        </w:rPr>
      </w:r>
      <w:r>
        <w:rPr>
          <w:b/>
          <w:lang w:val="en_US" w:bidi="en_US"/>
        </w:rPr>
        <w:t>His disciples:</w:t>
      </w:r>
      <w:r>
        <w:rPr>
          <w:lang w:val="en_US" w:bidi="en_US"/>
        </w:rPr>
        <w:t xml:space="preserve"> </w:t>
      </w:r>
      <w:r>
        <w:rPr>
          <w:lang w:val="en_US" w:bidi="en_US"/>
        </w:rPr>
        <w:t>There is a textual issue here. The earliest Greek manuscripts and those with most widespread support say “his disciples.” Later manuscripts say “many disciples” or “many of his disciples.” The KJV is the only major English version that follows those manuscripts. If the national language version in your area has the same reading as the KJV here, you may want to mention it in a footnote in your translation. For example: Some Greek manuscripts say “many of his disciples.”</w:t>
      </w:r>
      <w:r>
        <w:rPr>
          <w:lang w:val="en_US" w:bidi="en_US"/>
        </w:rPr>
        <w:t xml:space="preserve"> The Greek word that the BSB translates as </w:t>
      </w:r>
      <w:r>
        <w:rPr>
          <w:i/>
          <w:lang w:val="en_US" w:bidi="en_US"/>
        </w:rPr>
        <w:t>disciples</w:t>
      </w:r>
      <w:r>
        <w:rPr>
          <w:lang w:val="en_US" w:bidi="en_US"/>
        </w:rPr>
        <w:t xml:space="preserve"> means “learners” who are in a special relationship with a teacher. The learners commit themselves to their teacher in order to learn from him and live according to his teaching and example. Disciples often lived with their teacher and followed him wherever he went.</w:t>
      </w:r>
    </w:p>
    <w:p>
      <w:pPr/>
      <w:r>
        <w:rPr>
          <w:lang w:val="en_US" w:bidi="en_US"/>
        </w:rPr>
      </w:r>
      <w:r>
        <w:rPr>
          <w:lang w:val="en_US" w:bidi="en_US"/>
        </w:rPr>
        <w:t>Some ways to translate this are:</w:t>
      </w:r>
    </w:p>
    <w:p>
      <w:pPr/>
      <w:r>
        <w:rPr>
          <w:lang w:val="en_US" w:bidi="en_US"/>
        </w:rPr>
      </w:r>
      <w:r>
        <w:rPr>
          <w:lang w:val="en_US" w:bidi="en_US"/>
        </w:rPr>
        <w:t>students/learners</w:t>
      </w:r>
    </w:p>
    <w:p>
      <w:pPr/>
      <w:r>
        <w:rPr>
          <w:lang w:val="en_US" w:bidi="en_US"/>
        </w:rPr>
      </w:r>
      <w:r>
        <w:rPr>
          <w:lang w:val="en_US" w:bidi="en_US"/>
        </w:rPr>
        <w:t>apprentices</w:t>
      </w:r>
    </w:p>
    <w:p>
      <w:pPr/>
      <w:r>
        <w:rPr>
          <w:lang w:val="en_US" w:bidi="en_US"/>
        </w:rPr>
      </w:r>
      <w:r>
        <w:rPr>
          <w:lang w:val="en_US" w:bidi="en_US"/>
        </w:rPr>
        <w:t>followers</w:t>
      </w:r>
    </w:p>
    <w:p>
      <w:pPr/>
      <w:r>
        <w:rPr>
          <w:lang w:val="en_US" w:bidi="en_US"/>
        </w:rPr>
      </w:r>
      <w:r>
        <w:rPr>
          <w:lang w:val="en_US" w:bidi="en_US"/>
        </w:rPr>
        <w:t>See how you translated this term at 5:30a. See also disciple in the Glossary for more information.</w:t>
      </w:r>
      <w:r>
        <w:rPr>
          <w:lang w:val="en_US" w:bidi="en_US"/>
        </w:rPr>
      </w:r>
      <w:r>
        <w:rPr>
          <w:lang w:val="en_US" w:bidi="en_US"/>
        </w:rPr>
      </w:r>
    </w:p>
    <w:p>
      <w:pPr/>
      <w:r>
        <w:rPr>
          <w:lang w:val="en_US" w:bidi="en_US"/>
        </w:rPr>
      </w:r>
    </w:p>
    <w:p>
      <w:pPr>
        <w:pStyle w:val="Heading2"/>
      </w:pPr>
      <w:r>
        <w:rPr>
          <w:lang w:val="en_US" w:bidi="en_US"/>
        </w:rPr>
        <w:t>Luke 7:12</w:t>
      </w:r>
      <w:r>
        <w:rPr>
          <w:lang w:val="en_US" w:bidi="en_US"/>
        </w:rPr>
      </w:r>
    </w:p>
    <w:p>
      <w:pPr>
        <w:pStyle w:val="Heading4"/>
      </w:pPr>
      <w:r>
        <w:rPr>
          <w:lang w:val="en_US" w:bidi="en_US"/>
        </w:rPr>
        <w:t>Section 7:11–17: Jesus caused a widow’s son to live again</w:t>
      </w:r>
    </w:p>
    <w:p>
      <w:pPr/>
      <w:r>
        <w:rPr>
          <w:lang w:val="en_US" w:bidi="en_US"/>
        </w:rPr>
      </w:r>
      <w:r>
        <w:rPr>
          <w:lang w:val="en_US" w:bidi="en_US"/>
        </w:rPr>
        <w:t>In this section Jesus showed his compassion for a widow and her dead son by causing him to live again. This is the first time in the book of Luke that Jesus caused a dead person to live again. People were so excited that they spread the good news throughout the whole area.</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Brings a Widow’s Son Back to Life (GW)</w:t>
      </w:r>
    </w:p>
    <w:p>
      <w:pPr/>
      <w:r>
        <w:rPr>
          <w:lang w:val="en_US" w:bidi="en_US"/>
        </w:rPr>
      </w:r>
      <w:r>
        <w:rPr>
          <w:lang w:val="en_US" w:bidi="en_US"/>
        </w:rPr>
        <w:t>Jesus raised a man from the dead</w:t>
      </w:r>
    </w:p>
    <w:p>
      <w:pPr>
        <w:pStyle w:val="Heading5"/>
      </w:pPr>
      <w:r>
        <w:rPr>
          <w:lang w:val="en_US" w:bidi="en_US"/>
        </w:rPr>
        <w:t>7:12a</w:t>
      </w:r>
    </w:p>
    <w:p>
      <w:pPr/>
      <w:r>
        <w:rPr>
          <w:lang w:val="en_US" w:bidi="en_US"/>
        </w:rPr>
      </w:r>
      <w:r>
        <w:rPr>
          <w:b/>
          <w:lang w:val="en_US" w:bidi="en_US"/>
        </w:rPr>
        <w:t>As He approached the town gate,</w:t>
      </w:r>
    </w:p>
    <w:p>
      <w:pPr>
        <w:pStyle w:val="ListBullet"/>
        <w:spacing w:line="240" w:lineRule="auto"/>
        <w:ind w:left="720"/>
      </w:pPr>
      <w:r>
        <w:rPr>
          <w:lang w:val="en_US" w:bidi="en_US"/>
        </w:rPr>
      </w:r>
      <w:r>
        <w:rPr>
          <w:lang w:val="en_US" w:bidi="en_US"/>
        </w:rPr>
        <w:t>As Jesus came near to the town gate,</w:t>
      </w:r>
    </w:p>
    <w:p>
      <w:pPr>
        <w:pStyle w:val="ListBullet"/>
        <w:spacing w:line="240" w:lineRule="auto"/>
        <w:ind w:left="720"/>
      </w:pPr>
      <w:r>
        <w:rPr>
          <w:lang w:val="en_US" w:bidi="en_US"/>
        </w:rPr>
      </w:r>
      <w:r>
        <w:rPr>
          <w:lang w:val="en_US" w:bidi="en_US"/>
        </w:rPr>
        <w:t>As Jesus came near to the entrance of the town,</w:t>
      </w:r>
    </w:p>
    <w:p>
      <w:pPr>
        <w:pStyle w:val="ListBullet"/>
        <w:spacing w:line="240" w:lineRule="auto"/>
        <w:ind w:left="720"/>
      </w:pPr>
      <w:r>
        <w:rPr>
          <w:lang w:val="en_US" w:bidi="en_US"/>
        </w:rPr>
      </w:r>
      <w:r>
        <w:rPr>
          <w:lang w:val="en_US" w:bidi="en_US"/>
        </w:rPr>
        <w:t>As they approached the gate of/to the town,</w:t>
      </w:r>
    </w:p>
    <w:p>
      <w:pPr/>
      <w:r>
        <w:rPr>
          <w:lang w:val="en_US" w:bidi="en_US"/>
        </w:rPr>
      </w:r>
      <w:r>
        <w:rPr>
          <w:b/>
          <w:lang w:val="en_US" w:bidi="en_US"/>
        </w:rPr>
        <w:t>town gate:</w:t>
      </w:r>
      <w:r>
        <w:rPr>
          <w:lang w:val="en_US" w:bidi="en_US"/>
        </w:rPr>
        <w:t xml:space="preserve"> The phrase </w:t>
      </w:r>
      <w:r>
        <w:rPr>
          <w:i/>
          <w:lang w:val="en_US" w:bidi="en_US"/>
        </w:rPr>
        <w:t>town gate</w:t>
      </w:r>
      <w:r>
        <w:rPr>
          <w:lang w:val="en_US" w:bidi="en_US"/>
        </w:rPr>
        <w:t xml:space="preserve"> refers here to the entrance to the town, through which people went in and out. Some towns had a wall around them, and the </w:t>
      </w:r>
      <w:r>
        <w:rPr>
          <w:i/>
          <w:lang w:val="en_US" w:bidi="en_US"/>
        </w:rPr>
        <w:t>gate</w:t>
      </w:r>
      <w:r>
        <w:rPr>
          <w:lang w:val="en_US" w:bidi="en_US"/>
        </w:rPr>
        <w:t xml:space="preserve"> to such towns was a door in the wall. However, the village of Nain in modern Israel seems to never have had a wall around it.</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Use a word that refers to an entrance. For example:</w:t>
      </w:r>
      <w:r>
        <w:rPr>
          <w:lang w:val="en_US" w:bidi="en_US"/>
        </w:rPr>
        <w:t>the gate of the town (CEV)</w:t>
      </w:r>
    </w:p>
    <w:p>
      <w:pPr>
        <w:pStyle w:val="ListBullet"/>
        <w:spacing w:line="240" w:lineRule="auto"/>
        <w:ind w:left="720"/>
      </w:pPr>
      <w:r>
        <w:rPr>
          <w:lang w:val="en_US" w:bidi="en_US"/>
        </w:rPr>
      </w:r>
      <w:r>
        <w:rPr>
          <w:lang w:val="en_US" w:bidi="en_US"/>
        </w:rPr>
        <w:t>Use a general expression for the place where people enter a town. For example:</w:t>
      </w:r>
      <w:r>
        <w:rPr>
          <w:lang w:val="en_US" w:bidi="en_US"/>
        </w:rPr>
        <w:t>the entrance to the city (GW)</w:t>
      </w:r>
    </w:p>
    <w:p>
      <w:pPr>
        <w:pStyle w:val="Heading5"/>
      </w:pPr>
      <w:r>
        <w:rPr>
          <w:lang w:val="en_US" w:bidi="en_US"/>
        </w:rPr>
        <w:t>7:12b</w:t>
      </w:r>
    </w:p>
    <w:p>
      <w:pPr/>
      <w:r>
        <w:rPr>
          <w:lang w:val="en_US" w:bidi="en_US"/>
        </w:rPr>
      </w:r>
      <w:r>
        <w:rPr>
          <w:b/>
          <w:lang w:val="en_US" w:bidi="en_US"/>
        </w:rPr>
        <w:t>He saw a dead man being carried out,</w:t>
      </w:r>
    </w:p>
    <w:p>
      <w:pPr>
        <w:pStyle w:val="ListBullet"/>
        <w:spacing w:line="240" w:lineRule="auto"/>
        <w:ind w:left="720"/>
      </w:pPr>
      <w:r>
        <w:rPr>
          <w:lang w:val="en_US" w:bidi="en_US"/>
        </w:rPr>
      </w:r>
      <w:r>
        <w:rPr>
          <w:lang w:val="en_US" w:bidi="en_US"/>
        </w:rPr>
        <w:t xml:space="preserve">a dead man was being carried out </w:t>
      </w:r>
      <w:r>
        <w:rPr>
          <w:lang w:val="en_US" w:bidi="en_US"/>
        </w:rPr>
        <w:t>of the town</w:t>
      </w:r>
      <w:r>
        <w:rPr>
          <w:lang w:val="en_US" w:bidi="en_US"/>
        </w:rPr>
        <w:t xml:space="preserve"> for burial.</w:t>
      </w:r>
    </w:p>
    <w:p>
      <w:pPr>
        <w:pStyle w:val="ListBullet"/>
        <w:spacing w:line="240" w:lineRule="auto"/>
        <w:ind w:left="720"/>
      </w:pPr>
      <w:r>
        <w:rPr>
          <w:lang w:val="en_US" w:bidi="en_US"/>
        </w:rPr>
      </w:r>
      <w:r>
        <w:rPr>
          <w:lang w:val="en_US" w:bidi="en_US"/>
        </w:rPr>
        <w:t>some people</w:t>
      </w:r>
      <w:r>
        <w:rPr>
          <w:lang w:val="en_US" w:bidi="en_US"/>
        </w:rPr>
        <w:t xml:space="preserve"> were carrying </w:t>
      </w:r>
      <w:r>
        <w:rPr>
          <w:lang w:val="en_US" w:bidi="en_US"/>
        </w:rPr>
        <w:t>the corpse/body of</w:t>
      </w:r>
      <w:r>
        <w:rPr>
          <w:lang w:val="en_US" w:bidi="en_US"/>
        </w:rPr>
        <w:t xml:space="preserve"> a man who had just died out </w:t>
      </w:r>
      <w:r>
        <w:rPr>
          <w:lang w:val="en_US" w:bidi="en_US"/>
        </w:rPr>
        <w:t>of the town</w:t>
      </w:r>
      <w:r>
        <w:rPr>
          <w:lang w:val="en_US" w:bidi="en_US"/>
        </w:rPr>
        <w:t xml:space="preserve"> to bury him.</w:t>
      </w:r>
    </w:p>
    <w:p>
      <w:pPr>
        <w:pStyle w:val="ListBullet"/>
        <w:spacing w:line="240" w:lineRule="auto"/>
        <w:ind w:left="720"/>
      </w:pPr>
      <w:r>
        <w:rPr>
          <w:lang w:val="en_US" w:bidi="en_US"/>
        </w:rPr>
      </w:r>
      <w:r>
        <w:rPr>
          <w:lang w:val="en_US" w:bidi="en_US"/>
        </w:rPr>
        <w:t xml:space="preserve">they met a funeral procession for a </w:t>
      </w:r>
      <w:r>
        <w:rPr>
          <w:lang w:val="en_US" w:bidi="en_US"/>
        </w:rPr>
        <w:t>young</w:t>
      </w:r>
      <w:r>
        <w:rPr>
          <w:lang w:val="en_US" w:bidi="en_US"/>
        </w:rPr>
        <w:t xml:space="preserve"> man who had just died.</w:t>
      </w:r>
    </w:p>
    <w:p>
      <w:pPr/>
      <w:r>
        <w:rPr>
          <w:lang w:val="en_US" w:bidi="en_US"/>
        </w:rPr>
      </w:r>
      <w:r>
        <w:rPr>
          <w:lang w:val="en_US" w:bidi="en_US"/>
        </w:rPr>
        <w:t>In Greek this part of the verse begins with a word that many English versions translate as “behold.” This word indicates that the speaker intends to say something important or surprising, and he wants people to listen carefully to it. Here Luke is probably drawing attention to the whole story that tells about the miracle of raising a dead person back to life.</w:t>
      </w:r>
    </w:p>
    <w:p>
      <w:pPr/>
      <w:r>
        <w:rPr>
          <w:lang w:val="en_US" w:bidi="en_US"/>
        </w:rPr>
      </w:r>
      <w:r>
        <w:rPr>
          <w:lang w:val="en_US" w:bidi="en_US"/>
        </w:rPr>
        <w:t>This word is not easy to translate into English, so many versions, including the BSB, do not translate it. Consider whether you have a natural way to translate it here. For example:</w:t>
      </w:r>
    </w:p>
    <w:p>
      <w:pPr/>
      <w:r>
        <w:rPr>
          <w:lang w:val="en_US" w:bidi="en_US"/>
        </w:rPr>
      </w:r>
      <w:r>
        <w:rPr>
          <w:lang w:val="en_US" w:bidi="en_US"/>
        </w:rPr>
        <w:t>look/listen</w:t>
      </w:r>
    </w:p>
    <w:p>
      <w:pPr/>
      <w:r>
        <w:rPr>
          <w:lang w:val="en_US" w:bidi="en_US"/>
        </w:rPr>
      </w:r>
      <w:r>
        <w:rPr>
          <w:lang w:val="en_US" w:bidi="en_US"/>
        </w:rPr>
        <w:t>take note of this</w:t>
      </w:r>
    </w:p>
    <w:p>
      <w:pPr/>
      <w:r>
        <w:rPr>
          <w:lang w:val="en_US" w:bidi="en_US"/>
        </w:rPr>
      </w:r>
      <w:r>
        <w:rPr>
          <w:lang w:val="en_US" w:bidi="en_US"/>
        </w:rPr>
        <w:t>and there they saw</w:t>
      </w:r>
    </w:p>
    <w:p>
      <w:pPr/>
      <w:r>
        <w:rPr>
          <w:lang w:val="en_US" w:bidi="en_US"/>
        </w:rPr>
      </w:r>
      <w:r>
        <w:rPr>
          <w:b/>
          <w:lang w:val="en_US" w:bidi="en_US"/>
        </w:rPr>
        <w:t>a dead man being carried out:</w:t>
      </w:r>
      <w:r>
        <w:rPr>
          <w:lang w:val="en_US" w:bidi="en_US"/>
        </w:rPr>
        <w:t xml:space="preserve"> This is a passive clause. Some people were carrying the body of a dead person out of the town to bury him. Some ways to translate this are:</w:t>
      </w:r>
    </w:p>
    <w:p>
      <w:pPr>
        <w:pStyle w:val="ListBullet"/>
        <w:spacing w:line="240" w:lineRule="auto"/>
        <w:ind w:left="720"/>
      </w:pPr>
      <w:r>
        <w:rPr>
          <w:lang w:val="en_US" w:bidi="en_US"/>
        </w:rPr>
      </w:r>
      <w:r>
        <w:rPr>
          <w:lang w:val="en_US" w:bidi="en_US"/>
        </w:rPr>
        <w:t>With a passive verb. For example:</w:t>
      </w:r>
      <w:r>
        <w:rPr>
          <w:lang w:val="en_US" w:bidi="en_US"/>
        </w:rPr>
        <w:t xml:space="preserve">a man/boy who had died was being carried out </w:t>
      </w:r>
      <w:r>
        <w:rPr>
          <w:lang w:val="en_US" w:bidi="en_US"/>
        </w:rPr>
        <w:t>by pallbearers</w:t>
      </w:r>
    </w:p>
    <w:p>
      <w:pPr>
        <w:pStyle w:val="ListBullet"/>
        <w:spacing w:line="240" w:lineRule="auto"/>
        <w:ind w:left="720"/>
      </w:pPr>
      <w:r>
        <w:rPr>
          <w:lang w:val="en_US" w:bidi="en_US"/>
        </w:rPr>
      </w:r>
      <w:r>
        <w:rPr>
          <w:lang w:val="en_US" w:bidi="en_US"/>
        </w:rPr>
        <w:t>With an active verb. For example:</w:t>
      </w:r>
      <w:r>
        <w:rPr>
          <w:lang w:val="en_US" w:bidi="en_US"/>
        </w:rPr>
        <w:t>some people were carrying out a dead man (JBP)</w:t>
      </w:r>
    </w:p>
    <w:p>
      <w:pPr/>
      <w:r>
        <w:rPr>
          <w:lang w:val="en_US" w:bidi="en_US"/>
        </w:rPr>
      </w:r>
      <w:r>
        <w:rPr>
          <w:b/>
          <w:lang w:val="en_US" w:bidi="en_US"/>
        </w:rPr>
        <w:t>dead man:</w:t>
      </w:r>
      <w:r>
        <w:rPr>
          <w:lang w:val="en_US" w:bidi="en_US"/>
        </w:rPr>
        <w:t xml:space="preserve"> In 7:14 Jesus addressed this person who had died as “Young man.” If you need to use a more specific word here, see the note on “Young man” at 7:14c.</w:t>
      </w:r>
    </w:p>
    <w:p>
      <w:pPr/>
      <w:r>
        <w:rPr>
          <w:lang w:val="en_US" w:bidi="en_US"/>
        </w:rPr>
      </w:r>
      <w:r>
        <w:rPr>
          <w:lang w:val="en_US" w:bidi="en_US"/>
        </w:rPr>
        <w:t xml:space="preserve">Some languages have a special word for a person who has died. Other languages may refer to this as a “body” or “corpse” rather than a </w:t>
      </w:r>
      <w:r>
        <w:rPr>
          <w:i/>
          <w:lang w:val="en_US" w:bidi="en_US"/>
        </w:rPr>
        <w:t>man</w:t>
      </w:r>
      <w:r>
        <w:rPr>
          <w:lang w:val="en_US" w:bidi="en_US"/>
        </w:rPr>
        <w:t>. Use an expression that is natural in your language. Some other ways to translate this are:</w:t>
      </w:r>
    </w:p>
    <w:p>
      <w:pPr/>
      <w:r>
        <w:rPr>
          <w:lang w:val="en_US" w:bidi="en_US"/>
        </w:rPr>
      </w:r>
      <w:r>
        <w:rPr>
          <w:lang w:val="en_US" w:bidi="en_US"/>
        </w:rPr>
        <w:t>a corpse was being carried out</w:t>
      </w:r>
    </w:p>
    <w:p>
      <w:pPr/>
      <w:r>
        <w:rPr>
          <w:lang w:val="en_US" w:bidi="en_US"/>
        </w:rPr>
      </w:r>
      <w:r>
        <w:rPr>
          <w:lang w:val="en_US" w:bidi="en_US"/>
        </w:rPr>
        <w:t>some people</w:t>
      </w:r>
      <w:r>
        <w:rPr>
          <w:lang w:val="en_US" w:bidi="en_US"/>
        </w:rPr>
        <w:t xml:space="preserve"> were carrying out the body of a dead person</w:t>
      </w:r>
    </w:p>
    <w:p>
      <w:pPr/>
      <w:r>
        <w:rPr>
          <w:lang w:val="en_US" w:bidi="en_US"/>
        </w:rPr>
      </w:r>
      <w:r>
        <w:rPr>
          <w:b/>
          <w:lang w:val="en_US" w:bidi="en_US"/>
        </w:rPr>
        <w:t>carried out:</w:t>
      </w:r>
      <w:r>
        <w:rPr>
          <w:lang w:val="en_US" w:bidi="en_US"/>
        </w:rPr>
        <w:t xml:space="preserve"> The Greek verb that the BSB translates as </w:t>
      </w:r>
      <w:r>
        <w:rPr>
          <w:i/>
          <w:lang w:val="en_US" w:bidi="en_US"/>
        </w:rPr>
        <w:t>carried out</w:t>
      </w:r>
      <w:r>
        <w:rPr>
          <w:lang w:val="en_US" w:bidi="en_US"/>
        </w:rPr>
        <w:t xml:space="preserve"> means “to carry someone out to be buried.” This should be clear from the context. However, it may be natural in some languages to make this explicit. For example:</w:t>
      </w:r>
    </w:p>
    <w:p>
      <w:pPr/>
      <w:r>
        <w:rPr>
          <w:lang w:val="en_US" w:bidi="en_US"/>
        </w:rPr>
      </w:r>
      <w:r>
        <w:rPr>
          <w:lang w:val="en_US" w:bidi="en_US"/>
        </w:rPr>
        <w:t>a funeral procession was coming out (GNT)</w:t>
      </w:r>
    </w:p>
    <w:p>
      <w:pPr/>
      <w:r>
        <w:rPr>
          <w:lang w:val="en_US" w:bidi="en_US"/>
        </w:rPr>
      </w:r>
      <w:r>
        <w:rPr>
          <w:lang w:val="en_US" w:bidi="en_US"/>
        </w:rPr>
        <w:t>a dead person was being carried out for burial</w:t>
      </w:r>
    </w:p>
    <w:p>
      <w:pPr>
        <w:pStyle w:val="Heading5"/>
      </w:pPr>
      <w:r>
        <w:rPr>
          <w:lang w:val="en_US" w:bidi="en_US"/>
        </w:rPr>
        <w:t>7:12c</w:t>
      </w:r>
    </w:p>
    <w:p>
      <w:pPr/>
      <w:r>
        <w:rPr>
          <w:lang w:val="en_US" w:bidi="en_US"/>
        </w:rPr>
      </w:r>
      <w:r>
        <w:rPr>
          <w:b/>
          <w:lang w:val="en_US" w:bidi="en_US"/>
        </w:rPr>
        <w:t>the only son of his mother, and she was a widow.</w:t>
      </w:r>
    </w:p>
    <w:p>
      <w:pPr>
        <w:pStyle w:val="ListBullet"/>
        <w:spacing w:line="240" w:lineRule="auto"/>
        <w:ind w:left="720"/>
      </w:pPr>
      <w:r>
        <w:rPr>
          <w:lang w:val="en_US" w:bidi="en_US"/>
        </w:rPr>
      </w:r>
      <w:r>
        <w:rPr>
          <w:lang w:val="en_US" w:bidi="en_US"/>
        </w:rPr>
        <w:t>He was an only son, and his mother was a widow.</w:t>
      </w:r>
    </w:p>
    <w:p>
      <w:pPr>
        <w:pStyle w:val="ListBullet"/>
        <w:spacing w:line="240" w:lineRule="auto"/>
        <w:ind w:left="720"/>
      </w:pPr>
      <w:r>
        <w:rPr>
          <w:lang w:val="en_US" w:bidi="en_US"/>
        </w:rPr>
      </w:r>
      <w:r>
        <w:rPr>
          <w:lang w:val="en_US" w:bidi="en_US"/>
        </w:rPr>
        <w:t>His mother was a widow, and she had no other son.</w:t>
      </w:r>
    </w:p>
    <w:p>
      <w:pPr>
        <w:pStyle w:val="ListBullet"/>
        <w:spacing w:line="240" w:lineRule="auto"/>
        <w:ind w:left="720"/>
      </w:pPr>
      <w:r>
        <w:rPr>
          <w:lang w:val="en_US" w:bidi="en_US"/>
        </w:rPr>
      </w:r>
      <w:r>
        <w:rPr>
          <w:lang w:val="en_US" w:bidi="en_US"/>
        </w:rPr>
        <w:t>He had been the only son of a widow.</w:t>
      </w:r>
    </w:p>
    <w:p>
      <w:pPr/>
      <w:r>
        <w:rPr>
          <w:lang w:val="en_US" w:bidi="en_US"/>
        </w:rPr>
      </w:r>
      <w:r>
        <w:rPr>
          <w:b/>
          <w:lang w:val="en_US" w:bidi="en_US"/>
        </w:rPr>
        <w:t>the only son of his mother:</w:t>
      </w:r>
      <w:r>
        <w:rPr>
          <w:lang w:val="en_US" w:bidi="en_US"/>
        </w:rPr>
        <w:t xml:space="preserve"> The young man who had died was the </w:t>
      </w:r>
      <w:r>
        <w:rPr>
          <w:i/>
          <w:lang w:val="en_US" w:bidi="en_US"/>
        </w:rPr>
        <w:t>only son</w:t>
      </w:r>
      <w:r>
        <w:rPr>
          <w:lang w:val="en_US" w:bidi="en_US"/>
        </w:rPr>
        <w:t xml:space="preserve"> that this woman had. The text does not say whether she had any daughters.</w:t>
      </w:r>
    </w:p>
    <w:p>
      <w:pPr/>
      <w:r>
        <w:rPr>
          <w:lang w:val="en_US" w:bidi="en_US"/>
        </w:rPr>
      </w:r>
      <w:r>
        <w:rPr>
          <w:b/>
          <w:lang w:val="en_US" w:bidi="en_US"/>
        </w:rPr>
        <w:t>she was a widow:</w:t>
      </w:r>
      <w:r>
        <w:rPr>
          <w:lang w:val="en_US" w:bidi="en_US"/>
        </w:rPr>
        <w:t xml:space="preserve"> A </w:t>
      </w:r>
      <w:r>
        <w:rPr>
          <w:i/>
          <w:lang w:val="en_US" w:bidi="en_US"/>
        </w:rPr>
        <w:t>widow</w:t>
      </w:r>
      <w:r>
        <w:rPr>
          <w:lang w:val="en_US" w:bidi="en_US"/>
        </w:rPr>
        <w:t xml:space="preserve"> is a woman whose husband has died. It also implies that she has not married another man.</w:t>
      </w:r>
    </w:p>
    <w:p>
      <w:pPr>
        <w:pStyle w:val="Heading5"/>
      </w:pPr>
      <w:r>
        <w:rPr>
          <w:lang w:val="en_US" w:bidi="en_US"/>
        </w:rPr>
        <w:t>7:12d</w:t>
      </w:r>
    </w:p>
    <w:p>
      <w:pPr/>
      <w:r>
        <w:rPr>
          <w:lang w:val="en_US" w:bidi="en_US"/>
        </w:rPr>
      </w:r>
      <w:r>
        <w:rPr>
          <w:b/>
          <w:lang w:val="en_US" w:bidi="en_US"/>
        </w:rPr>
        <w:t>And a large crowd from the town was with her.</w:t>
      </w:r>
    </w:p>
    <w:p>
      <w:pPr>
        <w:pStyle w:val="ListBullet"/>
        <w:spacing w:line="240" w:lineRule="auto"/>
        <w:ind w:left="720"/>
      </w:pPr>
      <w:r>
        <w:rPr>
          <w:lang w:val="en_US" w:bidi="en_US"/>
        </w:rPr>
      </w:r>
      <w:r>
        <w:rPr>
          <w:lang w:val="en_US" w:bidi="en_US"/>
        </w:rPr>
        <w:t xml:space="preserve">Many people from the town were going with the widow </w:t>
      </w:r>
      <w:r>
        <w:rPr>
          <w:lang w:val="en_US" w:bidi="en_US"/>
        </w:rPr>
        <w:t>to the burial</w:t>
      </w:r>
      <w:r>
        <w:rPr>
          <w:lang w:val="en_US" w:bidi="en_US"/>
        </w:rPr>
        <w:t>.</w:t>
      </w:r>
    </w:p>
    <w:p>
      <w:pPr>
        <w:pStyle w:val="ListBullet"/>
        <w:spacing w:line="240" w:lineRule="auto"/>
        <w:ind w:left="720"/>
      </w:pPr>
      <w:r>
        <w:rPr>
          <w:lang w:val="en_US" w:bidi="en_US"/>
        </w:rPr>
      </w:r>
      <w:r>
        <w:rPr>
          <w:lang w:val="en_US" w:bidi="en_US"/>
        </w:rPr>
        <w:t>She was walking near the body of her son,</w:t>
      </w:r>
      <w:r>
        <w:rPr>
          <w:lang w:val="en_US" w:bidi="en_US"/>
        </w:rPr>
        <w:t xml:space="preserve"> and a large crowd </w:t>
      </w:r>
      <w:r>
        <w:rPr>
          <w:lang w:val="en_US" w:bidi="en_US"/>
        </w:rPr>
        <w:t>of mourners</w:t>
      </w:r>
      <w:r>
        <w:rPr>
          <w:lang w:val="en_US" w:bidi="en_US"/>
        </w:rPr>
        <w:t xml:space="preserve"> from the town were going with her.</w:t>
      </w:r>
    </w:p>
    <w:p>
      <w:pPr>
        <w:pStyle w:val="ListBullet"/>
        <w:spacing w:line="240" w:lineRule="auto"/>
        <w:ind w:left="720"/>
      </w:pPr>
      <w:r>
        <w:rPr>
          <w:lang w:val="en_US" w:bidi="en_US"/>
        </w:rPr>
      </w:r>
      <w:r>
        <w:rPr>
          <w:lang w:val="en_US" w:bidi="en_US"/>
        </w:rPr>
        <w:t xml:space="preserve">The widow and a large crowd were going out of the town </w:t>
      </w:r>
      <w:r>
        <w:rPr>
          <w:lang w:val="en_US" w:bidi="en_US"/>
        </w:rPr>
        <w:t>to bury the young man</w:t>
      </w:r>
      <w:r>
        <w:rPr>
          <w:lang w:val="en_US" w:bidi="en_US"/>
        </w:rPr>
        <w:t>.</w:t>
      </w:r>
    </w:p>
    <w:p>
      <w:pPr/>
      <w:r>
        <w:rPr>
          <w:lang w:val="en_US" w:bidi="en_US"/>
        </w:rPr>
      </w:r>
      <w:r>
        <w:rPr>
          <w:b/>
          <w:lang w:val="en_US" w:bidi="en_US"/>
        </w:rPr>
        <w:t>And a large crowd from the town was with her:</w:t>
      </w:r>
      <w:r>
        <w:rPr>
          <w:lang w:val="en_US" w:bidi="en_US"/>
        </w:rPr>
        <w:t xml:space="preserve"> This clause indicates that the mother was with the people who were carrying her son out to bury him. A large crowd was going with her to comfort her and mourn with her. Other ways to say this are:</w:t>
      </w:r>
    </w:p>
    <w:p>
      <w:pPr/>
      <w:r>
        <w:rPr>
          <w:lang w:val="en_US" w:bidi="en_US"/>
        </w:rPr>
      </w:r>
      <w:r>
        <w:rPr>
          <w:lang w:val="en_US" w:bidi="en_US"/>
        </w:rPr>
        <w:t>His mother was there with a large crowd from the town.</w:t>
      </w:r>
    </w:p>
    <w:p>
      <w:pPr/>
      <w:r>
        <w:rPr>
          <w:lang w:val="en_US" w:bidi="en_US"/>
        </w:rPr>
      </w:r>
      <w:r>
        <w:rPr>
          <w:lang w:val="en_US" w:bidi="en_US"/>
        </w:rPr>
        <w:t>Many people from the town were going with the widow to the burial.</w:t>
      </w:r>
      <w:r>
        <w:rPr>
          <w:lang w:val="en_US" w:bidi="en_US"/>
        </w:rPr>
      </w:r>
      <w:r>
        <w:rPr>
          <w:lang w:val="en_US" w:bidi="en_US"/>
        </w:rPr>
      </w:r>
    </w:p>
    <w:p>
      <w:pPr/>
      <w:r>
        <w:rPr>
          <w:lang w:val="en_US" w:bidi="en_US"/>
        </w:rPr>
      </w:r>
    </w:p>
    <w:p>
      <w:pPr>
        <w:pStyle w:val="Heading2"/>
      </w:pPr>
      <w:r>
        <w:rPr>
          <w:lang w:val="en_US" w:bidi="en_US"/>
        </w:rPr>
        <w:t>Luke 7:13</w:t>
      </w:r>
      <w:r>
        <w:rPr>
          <w:lang w:val="en_US" w:bidi="en_US"/>
        </w:rPr>
      </w:r>
    </w:p>
    <w:p>
      <w:pPr>
        <w:pStyle w:val="Heading4"/>
      </w:pPr>
      <w:r>
        <w:rPr>
          <w:lang w:val="en_US" w:bidi="en_US"/>
        </w:rPr>
        <w:t>Section 7:11–17: Jesus caused a widow’s son to live again</w:t>
      </w:r>
    </w:p>
    <w:p>
      <w:pPr/>
      <w:r>
        <w:rPr>
          <w:lang w:val="en_US" w:bidi="en_US"/>
        </w:rPr>
      </w:r>
      <w:r>
        <w:rPr>
          <w:lang w:val="en_US" w:bidi="en_US"/>
        </w:rPr>
        <w:t>In this section Jesus showed his compassion for a widow and her dead son by causing him to live again. This is the first time in the book of Luke that Jesus caused a dead person to live again. People were so excited that they spread the good news throughout the whole area.</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Brings a Widow’s Son Back to Life (GW)</w:t>
      </w:r>
    </w:p>
    <w:p>
      <w:pPr/>
      <w:r>
        <w:rPr>
          <w:lang w:val="en_US" w:bidi="en_US"/>
        </w:rPr>
      </w:r>
      <w:r>
        <w:rPr>
          <w:lang w:val="en_US" w:bidi="en_US"/>
        </w:rPr>
        <w:t>Jesus raised a man from the dead</w:t>
      </w:r>
    </w:p>
    <w:p>
      <w:pPr>
        <w:pStyle w:val="Heading5"/>
      </w:pPr>
      <w:r>
        <w:rPr>
          <w:lang w:val="en_US" w:bidi="en_US"/>
        </w:rPr>
        <w:t>7:13a</w:t>
      </w:r>
    </w:p>
    <w:p>
      <w:pPr/>
      <w:r>
        <w:rPr>
          <w:lang w:val="en_US" w:bidi="en_US"/>
        </w:rPr>
      </w:r>
      <w:r>
        <w:rPr>
          <w:b/>
          <w:lang w:val="en_US" w:bidi="en_US"/>
        </w:rPr>
        <w:t>When the Lord saw her, He had compassion on her</w:t>
      </w:r>
    </w:p>
    <w:p>
      <w:pPr>
        <w:pStyle w:val="ListBullet"/>
        <w:spacing w:line="240" w:lineRule="auto"/>
        <w:ind w:left="720"/>
      </w:pPr>
      <w:r>
        <w:rPr>
          <w:lang w:val="en_US" w:bidi="en_US"/>
        </w:rPr>
      </w:r>
      <w:r>
        <w:rPr>
          <w:lang w:val="en_US" w:bidi="en_US"/>
        </w:rPr>
        <w:t>¶ When the Master saw the woman, he felt very sorry/sad for her.</w:t>
      </w:r>
    </w:p>
    <w:p>
      <w:pPr>
        <w:pStyle w:val="ListBullet"/>
        <w:spacing w:line="240" w:lineRule="auto"/>
        <w:ind w:left="720"/>
      </w:pPr>
      <w:r>
        <w:rPr>
          <w:lang w:val="en_US" w:bidi="en_US"/>
        </w:rPr>
      </w:r>
      <w:r>
        <w:rPr>
          <w:lang w:val="en_US" w:bidi="en_US"/>
        </w:rPr>
        <w:t xml:space="preserve">¶ </w:t>
      </w:r>
      <w:r>
        <w:rPr>
          <w:lang w:val="en_US" w:bidi="en_US"/>
        </w:rPr>
        <w:t>Jesus,</w:t>
      </w:r>
      <w:r>
        <w:rPr>
          <w:lang w:val="en_US" w:bidi="en_US"/>
        </w:rPr>
        <w:t xml:space="preserve"> the Lord, saw her and was filled with pity/concern for her,</w:t>
      </w:r>
    </w:p>
    <w:p>
      <w:pPr/>
      <w:r>
        <w:rPr>
          <w:lang w:val="en_US" w:bidi="en_US"/>
        </w:rPr>
      </w:r>
      <w:r>
        <w:rPr>
          <w:b/>
          <w:lang w:val="en_US" w:bidi="en_US"/>
        </w:rPr>
        <w:t>the Lord:</w:t>
      </w:r>
      <w:r>
        <w:rPr>
          <w:lang w:val="en_US" w:bidi="en_US"/>
        </w:rPr>
        <w:t xml:space="preserve"> </w:t>
      </w:r>
      <w:r>
        <w:rPr>
          <w:lang w:val="en_US" w:bidi="en_US"/>
        </w:rPr>
        <w:t>There is a textual issue here. Some Greek manuscripts say “the Lord.” Other manuscripts say “Jesus.” The KJV and the NET follow the manuscripts that say “Jesus.” It is recommended that you follow the manuscripts that say “the Lord,” as the majority of English versions do, including the BSB. However, if the national language version in your area has the same reading as the KJV and NET here, you may want to include a footnote in your translation. For example: Some Greek manuscripts read “Jesus.”</w:t>
      </w:r>
      <w:r>
        <w:rPr>
          <w:lang w:val="en_US" w:bidi="en_US"/>
        </w:rPr>
        <w:t xml:space="preserve"> The Greek word that the BSB translates as </w:t>
      </w:r>
      <w:r>
        <w:rPr>
          <w:i/>
          <w:lang w:val="en_US" w:bidi="en_US"/>
        </w:rPr>
        <w:t>Lord</w:t>
      </w:r>
      <w:r>
        <w:rPr>
          <w:lang w:val="en_US" w:bidi="en_US"/>
        </w:rPr>
        <w:t xml:space="preserve"> means “master” or “one who has authority over others.” In this context </w:t>
      </w:r>
      <w:r>
        <w:rPr>
          <w:i/>
          <w:lang w:val="en_US" w:bidi="en_US"/>
        </w:rPr>
        <w:t>the Lord</w:t>
      </w:r>
      <w:r>
        <w:rPr>
          <w:lang w:val="en_US" w:bidi="en_US"/>
        </w:rPr>
        <w:t xml:space="preserve"> is a title for Jesus. Some other ways to translate this are:</w:t>
      </w:r>
    </w:p>
    <w:p>
      <w:pPr/>
      <w:r>
        <w:rPr>
          <w:lang w:val="en_US" w:bidi="en_US"/>
        </w:rPr>
      </w:r>
      <w:r>
        <w:rPr>
          <w:lang w:val="en_US" w:bidi="en_US"/>
        </w:rPr>
        <w:t>the Master</w:t>
      </w:r>
    </w:p>
    <w:p>
      <w:pPr/>
      <w:r>
        <w:rPr>
          <w:lang w:val="en_US" w:bidi="en_US"/>
        </w:rPr>
      </w:r>
      <w:r>
        <w:rPr>
          <w:lang w:val="en_US" w:bidi="en_US"/>
        </w:rPr>
        <w:t>the Chief</w:t>
      </w:r>
    </w:p>
    <w:p>
      <w:pPr/>
      <w:r>
        <w:rPr>
          <w:lang w:val="en_US" w:bidi="en_US"/>
        </w:rPr>
      </w:r>
      <w:r>
        <w:rPr>
          <w:lang w:val="en_US" w:bidi="en_US"/>
        </w:rPr>
        <w:t xml:space="preserve">This is the first time that Luke referred to Jesus as Lord in this context. In some languages it may be necessary to make clear that the word </w:t>
      </w:r>
      <w:r>
        <w:rPr>
          <w:i/>
          <w:lang w:val="en_US" w:bidi="en_US"/>
        </w:rPr>
        <w:t>Lord</w:t>
      </w:r>
      <w:r>
        <w:rPr>
          <w:lang w:val="en_US" w:bidi="en_US"/>
        </w:rPr>
        <w:t xml:space="preserve"> here refers to Jesus. For example:</w:t>
      </w:r>
    </w:p>
    <w:p>
      <w:pPr/>
      <w:r>
        <w:rPr>
          <w:lang w:val="en_US" w:bidi="en_US"/>
        </w:rPr>
      </w:r>
      <w:r>
        <w:rPr>
          <w:lang w:val="en_US" w:bidi="en_US"/>
        </w:rPr>
        <w:t>the Lord Jesus</w:t>
      </w:r>
    </w:p>
    <w:p>
      <w:pPr/>
      <w:r>
        <w:rPr>
          <w:lang w:val="en_US" w:bidi="en_US"/>
        </w:rPr>
      </w:r>
      <w:r>
        <w:rPr>
          <w:lang w:val="en_US" w:bidi="en_US"/>
        </w:rPr>
        <w:t>Jesus, the Master</w:t>
      </w:r>
    </w:p>
    <w:p>
      <w:pPr/>
      <w:r>
        <w:rPr>
          <w:lang w:val="en_US" w:bidi="en_US"/>
        </w:rPr>
      </w:r>
      <w:r>
        <w:rPr>
          <w:lang w:val="en_US" w:bidi="en_US"/>
        </w:rPr>
        <w:t>In other languages it may be necessary to indicate whose Lord is referred to. If that is true in your language, if you use the pronoun “our,” it should be the inclusive form, if your language uses that form. For example:</w:t>
      </w:r>
    </w:p>
    <w:p>
      <w:pPr/>
      <w:r>
        <w:rPr>
          <w:lang w:val="en_US" w:bidi="en_US"/>
        </w:rPr>
      </w:r>
      <w:r>
        <w:rPr>
          <w:lang w:val="en_US" w:bidi="en_US"/>
        </w:rPr>
        <w:t>our</w:t>
      </w:r>
      <w:r>
        <w:rPr>
          <w:vertAlign w:val="superscript"/>
          <w:lang w:val="en_US" w:bidi="en_US"/>
        </w:rPr>
        <w:t>(incl)</w:t>
      </w:r>
      <w:r>
        <w:rPr>
          <w:lang w:val="en_US" w:bidi="en_US"/>
        </w:rPr>
        <w:t xml:space="preserve"> Lord</w:t>
      </w:r>
    </w:p>
    <w:p>
      <w:pPr/>
      <w:r>
        <w:rPr>
          <w:lang w:val="en_US" w:bidi="en_US"/>
        </w:rPr>
      </w:r>
      <w:r>
        <w:rPr>
          <w:lang w:val="en_US" w:bidi="en_US"/>
        </w:rPr>
        <w:t>See Lord, Context 2, in the Glossary.</w:t>
      </w:r>
    </w:p>
    <w:p>
      <w:pPr/>
      <w:r>
        <w:rPr>
          <w:lang w:val="en_US" w:bidi="en_US"/>
        </w:rPr>
      </w:r>
      <w:r>
        <w:rPr>
          <w:b/>
          <w:lang w:val="en_US" w:bidi="en_US"/>
        </w:rPr>
        <w:t>He had compassion on her:</w:t>
      </w:r>
      <w:r>
        <w:rPr>
          <w:lang w:val="en_US" w:bidi="en_US"/>
        </w:rPr>
        <w:t xml:space="preserve"> The Greek phrase that the BSB translates as </w:t>
      </w:r>
      <w:r>
        <w:rPr>
          <w:i/>
          <w:lang w:val="en_US" w:bidi="en_US"/>
        </w:rPr>
        <w:t>He had compassion on her</w:t>
      </w:r>
      <w:r>
        <w:rPr>
          <w:lang w:val="en_US" w:bidi="en_US"/>
        </w:rPr>
        <w:t xml:space="preserve"> means “he felt compassion for her.” It implies that Jesus felt pity for her and that he wanted to help her. You may have an idiom for this in your language. Some ways to translate it are:</w:t>
      </w:r>
    </w:p>
    <w:p>
      <w:pPr/>
      <w:r>
        <w:rPr>
          <w:lang w:val="en_US" w:bidi="en_US"/>
        </w:rPr>
      </w:r>
      <w:r>
        <w:rPr>
          <w:lang w:val="en_US" w:bidi="en_US"/>
        </w:rPr>
        <w:t>his heart went out to her (NIV)</w:t>
      </w:r>
    </w:p>
    <w:p>
      <w:pPr/>
      <w:r>
        <w:rPr>
          <w:lang w:val="en_US" w:bidi="en_US"/>
        </w:rPr>
      </w:r>
      <w:r>
        <w:rPr>
          <w:lang w:val="en_US" w:bidi="en_US"/>
        </w:rPr>
        <w:t>he felt sorry for her (NJB)</w:t>
      </w:r>
    </w:p>
    <w:p>
      <w:pPr/>
      <w:r>
        <w:rPr>
          <w:lang w:val="en_US" w:bidi="en_US"/>
        </w:rPr>
      </w:r>
      <w:r>
        <w:rPr>
          <w:lang w:val="en_US" w:bidi="en_US"/>
        </w:rPr>
        <w:t>he felt sad/concerned for her</w:t>
      </w:r>
    </w:p>
    <w:p>
      <w:pPr/>
      <w:r>
        <w:rPr>
          <w:lang w:val="en_US" w:bidi="en_US"/>
        </w:rPr>
      </w:r>
      <w:r>
        <w:rPr>
          <w:lang w:val="en_US" w:bidi="en_US"/>
        </w:rPr>
        <w:t>his heart was filled with pity for her (GNT)</w:t>
      </w:r>
    </w:p>
    <w:p>
      <w:pPr>
        <w:pStyle w:val="Heading5"/>
      </w:pPr>
      <w:r>
        <w:rPr>
          <w:lang w:val="en_US" w:bidi="en_US"/>
        </w:rPr>
        <w:t>7:13b</w:t>
      </w:r>
    </w:p>
    <w:p>
      <w:pPr/>
      <w:r>
        <w:rPr>
          <w:lang w:val="en_US" w:bidi="en_US"/>
        </w:rPr>
      </w:r>
      <w:r>
        <w:rPr>
          <w:b/>
          <w:lang w:val="en_US" w:bidi="en_US"/>
        </w:rPr>
        <w:t>and said, “Do not weep.”</w:t>
      </w:r>
    </w:p>
    <w:p>
      <w:pPr>
        <w:pStyle w:val="ListBullet"/>
        <w:spacing w:line="240" w:lineRule="auto"/>
        <w:ind w:left="720"/>
      </w:pPr>
      <w:r>
        <w:rPr>
          <w:lang w:val="en_US" w:bidi="en_US"/>
        </w:rPr>
      </w:r>
      <w:r>
        <w:rPr>
          <w:lang w:val="en_US" w:bidi="en_US"/>
        </w:rPr>
        <w:t xml:space="preserve">He said, “Do not cry </w:t>
      </w:r>
      <w:r>
        <w:rPr>
          <w:lang w:val="en_US" w:bidi="en_US"/>
        </w:rPr>
        <w:t>any more</w:t>
      </w:r>
      <w:r>
        <w:rPr>
          <w:lang w:val="en_US" w:bidi="en_US"/>
        </w:rPr>
        <w:t>.”</w:t>
      </w:r>
    </w:p>
    <w:p>
      <w:pPr>
        <w:pStyle w:val="ListBullet"/>
        <w:spacing w:line="240" w:lineRule="auto"/>
        <w:ind w:left="720"/>
      </w:pPr>
      <w:r>
        <w:rPr>
          <w:lang w:val="en_US" w:bidi="en_US"/>
        </w:rPr>
      </w:r>
      <w:r>
        <w:rPr>
          <w:lang w:val="en_US" w:bidi="en_US"/>
        </w:rPr>
        <w:t>and he told her not to weep.</w:t>
      </w:r>
    </w:p>
    <w:p>
      <w:pPr/>
      <w:r>
        <w:rPr>
          <w:lang w:val="en_US" w:bidi="en_US"/>
        </w:rPr>
      </w:r>
      <w:r>
        <w:rPr>
          <w:b/>
          <w:lang w:val="en_US" w:bidi="en_US"/>
        </w:rPr>
        <w:t>Do not weep:</w:t>
      </w:r>
      <w:r>
        <w:rPr>
          <w:lang w:val="en_US" w:bidi="en_US"/>
        </w:rPr>
        <w:t xml:space="preserve"> Here Jesus told the woman not to weep because he did not want her to feel distressed anymore. He knew that he was about to cause her son to live again. The woman was already weeping when Jesus said this. So in some languages it may be natural to translate this as:</w:t>
      </w:r>
    </w:p>
    <w:p>
      <w:pPr/>
      <w:r>
        <w:rPr>
          <w:lang w:val="en_US" w:bidi="en_US"/>
        </w:rPr>
      </w:r>
      <w:r>
        <w:rPr>
          <w:lang w:val="en_US" w:bidi="en_US"/>
        </w:rPr>
        <w:t>Don’t weep any longer</w:t>
      </w:r>
    </w:p>
    <w:p>
      <w:pPr/>
      <w:r>
        <w:rPr>
          <w:lang w:val="en_US" w:bidi="en_US"/>
        </w:rPr>
      </w:r>
      <w:r>
        <w:rPr>
          <w:lang w:val="en_US" w:bidi="en_US"/>
        </w:rPr>
        <w:t>Stop crying</w:t>
      </w:r>
    </w:p>
    <w:p>
      <w:pPr/>
      <w:r>
        <w:rPr>
          <w:lang w:val="en_US" w:bidi="en_US"/>
        </w:rPr>
      </w:r>
      <w:r>
        <w:rPr>
          <w:lang w:val="en_US" w:bidi="en_US"/>
        </w:rPr>
        <w:t xml:space="preserve">Be sure that your translation of </w:t>
      </w:r>
      <w:r>
        <w:rPr>
          <w:i/>
          <w:lang w:val="en_US" w:bidi="en_US"/>
        </w:rPr>
        <w:t>Do not weep</w:t>
      </w:r>
      <w:r>
        <w:rPr>
          <w:lang w:val="en_US" w:bidi="en_US"/>
        </w:rPr>
        <w:t xml:space="preserve"> expresses compassion.</w:t>
      </w:r>
      <w:r>
        <w:rPr>
          <w:lang w:val="en_US" w:bidi="en_US"/>
        </w:rPr>
      </w:r>
      <w:r>
        <w:rPr>
          <w:lang w:val="en_US" w:bidi="en_US"/>
        </w:rPr>
      </w:r>
    </w:p>
    <w:p>
      <w:pPr/>
      <w:r>
        <w:rPr>
          <w:lang w:val="en_US" w:bidi="en_US"/>
        </w:rPr>
      </w:r>
    </w:p>
    <w:p>
      <w:pPr>
        <w:pStyle w:val="Heading2"/>
      </w:pPr>
      <w:r>
        <w:rPr>
          <w:lang w:val="en_US" w:bidi="en_US"/>
        </w:rPr>
        <w:t>Luke 7:14</w:t>
      </w:r>
      <w:r>
        <w:rPr>
          <w:lang w:val="en_US" w:bidi="en_US"/>
        </w:rPr>
      </w:r>
    </w:p>
    <w:p>
      <w:pPr>
        <w:pStyle w:val="Heading4"/>
      </w:pPr>
      <w:r>
        <w:rPr>
          <w:lang w:val="en_US" w:bidi="en_US"/>
        </w:rPr>
        <w:t>Section 7:11–17: Jesus caused a widow’s son to live again</w:t>
      </w:r>
    </w:p>
    <w:p>
      <w:pPr/>
      <w:r>
        <w:rPr>
          <w:lang w:val="en_US" w:bidi="en_US"/>
        </w:rPr>
      </w:r>
      <w:r>
        <w:rPr>
          <w:lang w:val="en_US" w:bidi="en_US"/>
        </w:rPr>
        <w:t>In this section Jesus showed his compassion for a widow and her dead son by causing him to live again. This is the first time in the book of Luke that Jesus caused a dead person to live again. People were so excited that they spread the good news throughout the whole area.</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Brings a Widow’s Son Back to Life (GW)</w:t>
      </w:r>
    </w:p>
    <w:p>
      <w:pPr/>
      <w:r>
        <w:rPr>
          <w:lang w:val="en_US" w:bidi="en_US"/>
        </w:rPr>
      </w:r>
      <w:r>
        <w:rPr>
          <w:lang w:val="en_US" w:bidi="en_US"/>
        </w:rPr>
        <w:t>Jesus raised a man from the dead</w:t>
      </w:r>
    </w:p>
    <w:p>
      <w:pPr>
        <w:pStyle w:val="Heading5"/>
      </w:pPr>
      <w:r>
        <w:rPr>
          <w:lang w:val="en_US" w:bidi="en_US"/>
        </w:rPr>
        <w:t>7:14a</w:t>
      </w:r>
    </w:p>
    <w:p>
      <w:pPr/>
      <w:r>
        <w:rPr>
          <w:lang w:val="en_US" w:bidi="en_US"/>
        </w:rPr>
      </w:r>
      <w:r>
        <w:rPr>
          <w:b/>
          <w:lang w:val="en_US" w:bidi="en_US"/>
        </w:rPr>
        <w:t>Then He went up and touched the coffin,</w:t>
      </w:r>
    </w:p>
    <w:p>
      <w:pPr>
        <w:pStyle w:val="ListBullet"/>
        <w:spacing w:line="240" w:lineRule="auto"/>
        <w:ind w:left="720"/>
      </w:pPr>
      <w:r>
        <w:rPr>
          <w:lang w:val="en_US" w:bidi="en_US"/>
        </w:rPr>
      </w:r>
      <w:r>
        <w:rPr>
          <w:lang w:val="en_US" w:bidi="en_US"/>
        </w:rPr>
        <w:t>Then he walked over and touched the stretcher.</w:t>
      </w:r>
    </w:p>
    <w:p>
      <w:pPr>
        <w:pStyle w:val="ListBullet"/>
        <w:spacing w:line="240" w:lineRule="auto"/>
        <w:ind w:left="720"/>
      </w:pPr>
      <w:r>
        <w:rPr>
          <w:lang w:val="en_US" w:bidi="en_US"/>
        </w:rPr>
      </w:r>
      <w:r>
        <w:rPr>
          <w:lang w:val="en_US" w:bidi="en_US"/>
        </w:rPr>
        <w:t xml:space="preserve">Then he approached the bier </w:t>
      </w:r>
      <w:r>
        <w:rPr>
          <w:lang w:val="en_US" w:bidi="en_US"/>
        </w:rPr>
        <w:t>on which the young man was being carried</w:t>
      </w:r>
      <w:r>
        <w:rPr>
          <w:lang w:val="en_US" w:bidi="en_US"/>
        </w:rPr>
        <w:t xml:space="preserve"> and touched it.</w:t>
      </w:r>
    </w:p>
    <w:p>
      <w:pPr/>
      <w:r>
        <w:rPr>
          <w:lang w:val="en_US" w:bidi="en_US"/>
        </w:rPr>
      </w:r>
      <w:r>
        <w:rPr>
          <w:b/>
          <w:lang w:val="en_US" w:bidi="en_US"/>
        </w:rPr>
        <w:t>He went up:</w:t>
      </w:r>
      <w:r>
        <w:rPr>
          <w:lang w:val="en_US" w:bidi="en_US"/>
        </w:rPr>
        <w:t xml:space="preserve"> The Greek verb that the BSB translates as </w:t>
      </w:r>
      <w:r>
        <w:rPr>
          <w:i/>
          <w:lang w:val="en_US" w:bidi="en_US"/>
        </w:rPr>
        <w:t>He went up</w:t>
      </w:r>
      <w:r>
        <w:rPr>
          <w:lang w:val="en_US" w:bidi="en_US"/>
        </w:rPr>
        <w:t xml:space="preserve"> means “he came/went toward.” It indicates that Jesus came near the coffin.</w:t>
      </w:r>
    </w:p>
    <w:p>
      <w:pPr/>
      <w:r>
        <w:rPr>
          <w:lang w:val="en_US" w:bidi="en_US"/>
        </w:rPr>
      </w:r>
      <w:r>
        <w:rPr>
          <w:b/>
          <w:lang w:val="en_US" w:bidi="en_US"/>
        </w:rPr>
        <w:t>touched the coffin:</w:t>
      </w:r>
      <w:r>
        <w:rPr>
          <w:lang w:val="en_US" w:bidi="en_US"/>
        </w:rPr>
        <w:t xml:space="preserve"> Jesus put his hand on the </w:t>
      </w:r>
      <w:r>
        <w:rPr>
          <w:i/>
          <w:lang w:val="en_US" w:bidi="en_US"/>
        </w:rPr>
        <w:t>coffin</w:t>
      </w:r>
      <w:r>
        <w:rPr>
          <w:lang w:val="en_US" w:bidi="en_US"/>
        </w:rPr>
        <w:t xml:space="preserve"> because he wanted the people who were carrying it to stand still, as the context indicates.</w:t>
      </w:r>
    </w:p>
    <w:p>
      <w:pPr/>
      <w:r>
        <w:rPr>
          <w:lang w:val="en_US" w:bidi="en_US"/>
        </w:rPr>
      </w:r>
      <w:r>
        <w:rPr>
          <w:b/>
          <w:lang w:val="en_US" w:bidi="en_US"/>
        </w:rPr>
        <w:t>coffin:</w:t>
      </w:r>
      <w:r>
        <w:rPr>
          <w:lang w:val="en_US" w:bidi="en_US"/>
        </w:rPr>
        <w:t xml:space="preserve"> The Greek word that the BSB translates as </w:t>
      </w:r>
      <w:r>
        <w:rPr>
          <w:i/>
          <w:lang w:val="en_US" w:bidi="en_US"/>
        </w:rPr>
        <w:t>coffin</w:t>
      </w:r>
      <w:r>
        <w:rPr>
          <w:lang w:val="en_US" w:bidi="en_US"/>
        </w:rPr>
        <w:t xml:space="preserve"> probably refers to a stretcher or a plank. People used this stretcher to carry a dead person to where they would bury him. It was probably not a wooden box. Use an appropriate word in your language to describe what is used for this purpose. For example:</w:t>
      </w:r>
    </w:p>
    <w:p>
      <w:pPr/>
      <w:r>
        <w:rPr>
          <w:lang w:val="en_US" w:bidi="en_US"/>
        </w:rPr>
      </w:r>
      <w:r>
        <w:rPr>
          <w:lang w:val="en_US" w:bidi="en_US"/>
        </w:rPr>
        <w:t>bier (RSV)</w:t>
      </w:r>
    </w:p>
    <w:p>
      <w:pPr/>
      <w:r>
        <w:rPr>
          <w:lang w:val="en_US" w:bidi="en_US"/>
        </w:rPr>
      </w:r>
      <w:r>
        <w:rPr>
          <w:lang w:val="en_US" w:bidi="en_US"/>
        </w:rPr>
        <w:t>stretcher (CEV)</w:t>
      </w:r>
    </w:p>
    <w:p>
      <w:pPr>
        <w:pStyle w:val="Heading5"/>
      </w:pPr>
      <w:r>
        <w:rPr>
          <w:lang w:val="en_US" w:bidi="en_US"/>
        </w:rPr>
        <w:t>7:14b</w:t>
      </w:r>
    </w:p>
    <w:p>
      <w:pPr/>
      <w:r>
        <w:rPr>
          <w:lang w:val="en_US" w:bidi="en_US"/>
        </w:rPr>
      </w:r>
      <w:r>
        <w:rPr>
          <w:b/>
          <w:lang w:val="en_US" w:bidi="en_US"/>
        </w:rPr>
        <w:t>and those carrying it stood still.</w:t>
      </w:r>
    </w:p>
    <w:p>
      <w:pPr>
        <w:pStyle w:val="ListBullet"/>
        <w:spacing w:line="240" w:lineRule="auto"/>
        <w:ind w:left="720"/>
      </w:pPr>
      <w:r>
        <w:rPr>
          <w:lang w:val="en_US" w:bidi="en_US"/>
        </w:rPr>
      </w:r>
      <w:r>
        <w:rPr>
          <w:lang w:val="en_US" w:bidi="en_US"/>
        </w:rPr>
        <w:t>The men who were carrying it stopped.</w:t>
      </w:r>
    </w:p>
    <w:p>
      <w:pPr>
        <w:pStyle w:val="ListBullet"/>
        <w:spacing w:line="240" w:lineRule="auto"/>
        <w:ind w:left="720"/>
      </w:pPr>
      <w:r>
        <w:rPr>
          <w:lang w:val="en_US" w:bidi="en_US"/>
        </w:rPr>
      </w:r>
      <w:r>
        <w:rPr>
          <w:lang w:val="en_US" w:bidi="en_US"/>
        </w:rPr>
        <w:t>So the people who held the bier stopped walking.</w:t>
      </w:r>
    </w:p>
    <w:p>
      <w:pPr/>
      <w:r>
        <w:rPr>
          <w:lang w:val="en_US" w:bidi="en_US"/>
        </w:rPr>
      </w:r>
      <w:r>
        <w:rPr>
          <w:b/>
          <w:lang w:val="en_US" w:bidi="en_US"/>
        </w:rPr>
        <w:t>and those carrying it stood still:</w:t>
      </w:r>
      <w:r>
        <w:rPr>
          <w:lang w:val="en_US" w:bidi="en_US"/>
        </w:rPr>
        <w:t xml:space="preserve"> The men who were </w:t>
      </w:r>
      <w:r>
        <w:rPr>
          <w:i/>
          <w:lang w:val="en_US" w:bidi="en_US"/>
        </w:rPr>
        <w:t>carrying</w:t>
      </w:r>
      <w:r>
        <w:rPr>
          <w:lang w:val="en_US" w:bidi="en_US"/>
        </w:rPr>
        <w:t xml:space="preserve"> the stretcher stopped walking when Jesus came up and touched the bier. In some languages there may be a special word for people who carry corpses to be buried. For example:</w:t>
      </w:r>
    </w:p>
    <w:p>
      <w:pPr/>
      <w:r>
        <w:rPr>
          <w:lang w:val="en_US" w:bidi="en_US"/>
        </w:rPr>
      </w:r>
      <w:r>
        <w:rPr>
          <w:lang w:val="en_US" w:bidi="en_US"/>
        </w:rPr>
        <w:t>pallbearers</w:t>
      </w:r>
    </w:p>
    <w:p>
      <w:pPr/>
      <w:r>
        <w:rPr>
          <w:lang w:val="en_US" w:bidi="en_US"/>
        </w:rPr>
      </w:r>
      <w:r>
        <w:rPr>
          <w:b/>
          <w:lang w:val="en_US" w:bidi="en_US"/>
        </w:rPr>
        <w:t>carrying it:</w:t>
      </w:r>
      <w:r>
        <w:rPr>
          <w:lang w:val="en_US" w:bidi="en_US"/>
        </w:rPr>
        <w:t xml:space="preserve"> In some languages it may be necessary to make explicit how the men were </w:t>
      </w:r>
      <w:r>
        <w:rPr>
          <w:i/>
          <w:lang w:val="en_US" w:bidi="en_US"/>
        </w:rPr>
        <w:t>carrying</w:t>
      </w:r>
      <w:r>
        <w:rPr>
          <w:lang w:val="en_US" w:bidi="en_US"/>
        </w:rPr>
        <w:t xml:space="preserve"> the stretcher. They were probably carrying it on poles over their shoulders.</w:t>
      </w:r>
    </w:p>
    <w:p>
      <w:pPr>
        <w:pStyle w:val="Heading5"/>
      </w:pPr>
      <w:r>
        <w:rPr>
          <w:lang w:val="en_US" w:bidi="en_US"/>
        </w:rPr>
        <w:t>7:14c</w:t>
      </w:r>
    </w:p>
    <w:p>
      <w:pPr/>
      <w:r>
        <w:rPr>
          <w:lang w:val="en_US" w:bidi="en_US"/>
        </w:rPr>
      </w:r>
      <w:r>
        <w:rPr>
          <w:b/>
          <w:lang w:val="en_US" w:bidi="en_US"/>
        </w:rPr>
        <w:t>“Young man,” He said, “I tell you, get up!”</w:t>
      </w:r>
    </w:p>
    <w:p>
      <w:pPr>
        <w:pStyle w:val="ListBullet"/>
        <w:spacing w:line="240" w:lineRule="auto"/>
        <w:ind w:left="720"/>
      </w:pPr>
      <w:r>
        <w:rPr>
          <w:lang w:val="en_US" w:bidi="en_US"/>
        </w:rPr>
      </w:r>
      <w:r>
        <w:rPr>
          <w:lang w:val="en_US" w:bidi="en_US"/>
        </w:rPr>
        <w:t>And Jesus said, “Young man, I tell you to get up!”</w:t>
      </w:r>
    </w:p>
    <w:p>
      <w:pPr>
        <w:pStyle w:val="ListBullet"/>
        <w:spacing w:line="240" w:lineRule="auto"/>
        <w:ind w:left="720"/>
      </w:pPr>
      <w:r>
        <w:rPr>
          <w:lang w:val="en_US" w:bidi="en_US"/>
        </w:rPr>
      </w:r>
      <w:r>
        <w:rPr>
          <w:lang w:val="en_US" w:bidi="en_US"/>
        </w:rPr>
        <w:t>Jesus said to the young man, “Friend, get up! I command you!”</w:t>
      </w:r>
    </w:p>
    <w:p>
      <w:pPr>
        <w:pStyle w:val="ListBullet"/>
        <w:spacing w:line="240" w:lineRule="auto"/>
        <w:ind w:left="720"/>
      </w:pPr>
      <w:r>
        <w:rPr>
          <w:lang w:val="en_US" w:bidi="en_US"/>
        </w:rPr>
      </w:r>
      <w:r>
        <w:rPr>
          <w:lang w:val="en_US" w:bidi="en_US"/>
        </w:rPr>
        <w:t>Jesus ordered the young lad to get up.</w:t>
      </w:r>
    </w:p>
    <w:p>
      <w:pPr/>
      <w:r>
        <w:rPr>
          <w:lang w:val="en_US" w:bidi="en_US"/>
        </w:rPr>
      </w:r>
      <w:r>
        <w:rPr>
          <w:b/>
          <w:lang w:val="en_US" w:bidi="en_US"/>
        </w:rPr>
        <w:t>Young man:</w:t>
      </w:r>
      <w:r>
        <w:rPr>
          <w:lang w:val="en_US" w:bidi="en_US"/>
        </w:rPr>
        <w:t xml:space="preserve"> The Greek word that the BSB translates as </w:t>
      </w:r>
      <w:r>
        <w:rPr>
          <w:i/>
          <w:lang w:val="en_US" w:bidi="en_US"/>
        </w:rPr>
        <w:t>Young man</w:t>
      </w:r>
      <w:r>
        <w:rPr>
          <w:lang w:val="en_US" w:bidi="en_US"/>
        </w:rPr>
        <w:t xml:space="preserve"> normally refers to a male who is beyond the age of puberty but not yet married. Consider the natural way to address such a person when his name is not known. For example:</w:t>
      </w:r>
    </w:p>
    <w:p>
      <w:pPr/>
      <w:r>
        <w:rPr>
          <w:lang w:val="en_US" w:bidi="en_US"/>
        </w:rPr>
      </w:r>
      <w:r>
        <w:rPr>
          <w:lang w:val="en_US" w:bidi="en_US"/>
        </w:rPr>
        <w:t>Son</w:t>
      </w:r>
    </w:p>
    <w:p>
      <w:pPr/>
      <w:r>
        <w:rPr>
          <w:lang w:val="en_US" w:bidi="en_US"/>
        </w:rPr>
      </w:r>
      <w:r>
        <w:rPr>
          <w:lang w:val="en_US" w:bidi="en_US"/>
        </w:rPr>
        <w:t>Friend</w:t>
      </w:r>
    </w:p>
    <w:p>
      <w:pPr/>
      <w:r>
        <w:rPr>
          <w:lang w:val="en_US" w:bidi="en_US"/>
        </w:rPr>
      </w:r>
      <w:r>
        <w:rPr>
          <w:lang w:val="en_US" w:bidi="en_US"/>
        </w:rPr>
        <w:t>Little brother</w:t>
      </w:r>
    </w:p>
    <w:p>
      <w:pPr/>
      <w:r>
        <w:rPr>
          <w:lang w:val="en_US" w:bidi="en_US"/>
        </w:rPr>
      </w:r>
      <w:r>
        <w:rPr>
          <w:lang w:val="en_US" w:bidi="en_US"/>
        </w:rPr>
        <w:t>In some languages, it is not natural to use such a term as part of Jesus’ command. If that is true in your language, you may be able to translate it as you introduce the command. For example:</w:t>
      </w:r>
    </w:p>
    <w:p>
      <w:pPr/>
      <w:r>
        <w:rPr>
          <w:lang w:val="en_US" w:bidi="en_US"/>
        </w:rPr>
      </w:r>
      <w:r>
        <w:rPr>
          <w:lang w:val="en_US" w:bidi="en_US"/>
        </w:rPr>
        <w:t>He said to the young man, “I say to you, get up!”</w:t>
      </w:r>
    </w:p>
    <w:p>
      <w:pPr/>
      <w:r>
        <w:rPr>
          <w:lang w:val="en_US" w:bidi="en_US"/>
        </w:rPr>
      </w:r>
      <w:r>
        <w:rPr>
          <w:lang w:val="en_US" w:bidi="en_US"/>
        </w:rPr>
        <w:t xml:space="preserve">He spoke to the </w:t>
      </w:r>
      <w:r>
        <w:rPr>
          <w:lang w:val="en_US" w:bidi="en_US"/>
        </w:rPr>
        <w:t>dead</w:t>
      </w:r>
      <w:r>
        <w:rPr>
          <w:lang w:val="en_US" w:bidi="en_US"/>
        </w:rPr>
        <w:t xml:space="preserve"> young man, saying, “I tell you, get up!”</w:t>
      </w:r>
    </w:p>
    <w:p>
      <w:pPr/>
      <w:r>
        <w:rPr>
          <w:lang w:val="en_US" w:bidi="en_US"/>
        </w:rPr>
      </w:r>
      <w:r>
        <w:rPr>
          <w:b/>
          <w:lang w:val="en_US" w:bidi="en_US"/>
        </w:rPr>
        <w:t>I tell you, get up:</w:t>
      </w:r>
      <w:r>
        <w:rPr>
          <w:lang w:val="en_US" w:bidi="en_US"/>
        </w:rPr>
        <w:t xml:space="preserve"> Jesus introduced his command to the dead person with the words </w:t>
      </w:r>
      <w:r>
        <w:rPr>
          <w:i/>
          <w:lang w:val="en_US" w:bidi="en_US"/>
        </w:rPr>
        <w:t>I tell you</w:t>
      </w:r>
      <w:r>
        <w:rPr>
          <w:lang w:val="en_US" w:bidi="en_US"/>
        </w:rPr>
        <w:t xml:space="preserve">. He could have just said </w:t>
      </w:r>
      <w:r>
        <w:rPr>
          <w:i/>
          <w:lang w:val="en_US" w:bidi="en_US"/>
        </w:rPr>
        <w:t>get up</w:t>
      </w:r>
      <w:r>
        <w:rPr>
          <w:lang w:val="en_US" w:bidi="en_US"/>
        </w:rPr>
        <w:t xml:space="preserve">. But the words </w:t>
      </w:r>
      <w:r>
        <w:rPr>
          <w:i/>
          <w:lang w:val="en_US" w:bidi="en_US"/>
        </w:rPr>
        <w:t>I tell you</w:t>
      </w:r>
      <w:r>
        <w:rPr>
          <w:lang w:val="en_US" w:bidi="en_US"/>
        </w:rPr>
        <w:t xml:space="preserve"> emphasize what he commanded. The command was powerful and brought the dead person back to life.</w:t>
      </w:r>
    </w:p>
    <w:p>
      <w:pPr/>
      <w:r>
        <w:rPr>
          <w:lang w:val="en_US" w:bidi="en_US"/>
        </w:rPr>
      </w:r>
      <w:r>
        <w:rPr>
          <w:lang w:val="en_US" w:bidi="en_US"/>
        </w:rPr>
        <w:t xml:space="preserve">The Greek word that the BSB translates as </w:t>
      </w:r>
      <w:r>
        <w:rPr>
          <w:i/>
          <w:lang w:val="en_US" w:bidi="en_US"/>
        </w:rPr>
        <w:t>get up</w:t>
      </w:r>
      <w:r>
        <w:rPr>
          <w:lang w:val="en_US" w:bidi="en_US"/>
        </w:rPr>
        <w:t xml:space="preserve"> is literally “arise.” It has two meanings:</w:t>
      </w:r>
    </w:p>
    <w:p>
      <w:pPr>
        <w:pStyle w:val="ListNumber"/>
        <w:numPr>
          <w:ilvl w:val="0"/>
          <w:numId w:val="145"/>
        </w:numPr>
        <w:spacing w:line="240" w:lineRule="auto"/>
        <w:ind w:left="720"/>
      </w:pPr>
      <w:r>
        <w:rPr>
          <w:lang w:val="en_US" w:bidi="en_US"/>
        </w:rPr>
      </w:r>
      <w:r>
        <w:rPr>
          <w:lang w:val="en_US" w:bidi="en_US"/>
        </w:rPr>
        <w:t>It can refer to sitting or standing after lying flat.</w:t>
      </w:r>
    </w:p>
    <w:p>
      <w:pPr>
        <w:pStyle w:val="ListNumber"/>
        <w:spacing w:line="240" w:lineRule="auto"/>
        <w:ind w:left="720"/>
      </w:pPr>
      <w:r>
        <w:rPr>
          <w:lang w:val="en_US" w:bidi="en_US"/>
        </w:rPr>
      </w:r>
      <w:r>
        <w:rPr>
          <w:lang w:val="en_US" w:bidi="en_US"/>
        </w:rPr>
        <w:t>It can refer to returning to life after being dead.</w:t>
      </w:r>
    </w:p>
    <w:p>
      <w:pPr/>
      <w:r>
        <w:rPr>
          <w:lang w:val="en_US" w:bidi="en_US"/>
        </w:rPr>
      </w:r>
      <w:r>
        <w:rPr>
          <w:lang w:val="en_US" w:bidi="en_US"/>
        </w:rPr>
        <w:t xml:space="preserve">In this context the man came back to life and sat up. The action of sitting up implies that he first came back to life. Some other ways to translate </w:t>
      </w:r>
      <w:r>
        <w:rPr>
          <w:i/>
          <w:lang w:val="en_US" w:bidi="en_US"/>
        </w:rPr>
        <w:t>I tell you, get up</w:t>
      </w:r>
      <w:r>
        <w:rPr>
          <w:lang w:val="en_US" w:bidi="en_US"/>
        </w:rPr>
        <w:t xml:space="preserve"> are:</w:t>
      </w:r>
    </w:p>
    <w:p>
      <w:pPr/>
      <w:r>
        <w:rPr>
          <w:lang w:val="en_US" w:bidi="en_US"/>
        </w:rPr>
      </w:r>
      <w:r>
        <w:rPr>
          <w:lang w:val="en_US" w:bidi="en_US"/>
        </w:rPr>
        <w:t>I say to you, rise! (NRSV)</w:t>
      </w:r>
    </w:p>
    <w:p>
      <w:pPr/>
      <w:r>
        <w:rPr>
          <w:lang w:val="en_US" w:bidi="en_US"/>
        </w:rPr>
      </w:r>
      <w:r>
        <w:rPr>
          <w:lang w:val="en_US" w:bidi="en_US"/>
        </w:rPr>
        <w:t>I’m telling you to come back to life! (GW)</w:t>
      </w:r>
    </w:p>
    <w:p>
      <w:pPr/>
      <w:r>
        <w:rPr>
          <w:lang w:val="en_US" w:bidi="en_US"/>
        </w:rPr>
      </w:r>
      <w:r>
        <w:rPr>
          <w:lang w:val="en_US" w:bidi="en_US"/>
        </w:rPr>
        <w:t xml:space="preserve">I command you to get up </w:t>
      </w:r>
      <w:r>
        <w:rPr>
          <w:lang w:val="en_US" w:bidi="en_US"/>
        </w:rPr>
        <w:t>and live again</w:t>
      </w:r>
      <w:r>
        <w:rPr>
          <w:lang w:val="en_US" w:bidi="en_US"/>
        </w:rPr>
        <w:t>!</w:t>
      </w:r>
      <w:r>
        <w:rPr>
          <w:lang w:val="en_US" w:bidi="en_US"/>
        </w:rPr>
      </w:r>
      <w:r>
        <w:rPr>
          <w:lang w:val="en_US" w:bidi="en_US"/>
        </w:rPr>
      </w:r>
    </w:p>
    <w:p>
      <w:pPr/>
      <w:r>
        <w:rPr>
          <w:lang w:val="en_US" w:bidi="en_US"/>
        </w:rPr>
      </w:r>
    </w:p>
    <w:p>
      <w:pPr>
        <w:pStyle w:val="Heading2"/>
      </w:pPr>
      <w:r>
        <w:rPr>
          <w:lang w:val="en_US" w:bidi="en_US"/>
        </w:rPr>
        <w:t>Luke 7:15</w:t>
      </w:r>
      <w:r>
        <w:rPr>
          <w:lang w:val="en_US" w:bidi="en_US"/>
        </w:rPr>
      </w:r>
    </w:p>
    <w:p>
      <w:pPr>
        <w:pStyle w:val="Heading4"/>
      </w:pPr>
      <w:r>
        <w:rPr>
          <w:lang w:val="en_US" w:bidi="en_US"/>
        </w:rPr>
        <w:t>Section 7:11–17: Jesus caused a widow’s son to live again</w:t>
      </w:r>
    </w:p>
    <w:p>
      <w:pPr/>
      <w:r>
        <w:rPr>
          <w:lang w:val="en_US" w:bidi="en_US"/>
        </w:rPr>
      </w:r>
      <w:r>
        <w:rPr>
          <w:lang w:val="en_US" w:bidi="en_US"/>
        </w:rPr>
        <w:t>In this section Jesus showed his compassion for a widow and her dead son by causing him to live again. This is the first time in the book of Luke that Jesus caused a dead person to live again. People were so excited that they spread the good news throughout the whole area.</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Brings a Widow’s Son Back to Life (GW)</w:t>
      </w:r>
    </w:p>
    <w:p>
      <w:pPr/>
      <w:r>
        <w:rPr>
          <w:lang w:val="en_US" w:bidi="en_US"/>
        </w:rPr>
      </w:r>
      <w:r>
        <w:rPr>
          <w:lang w:val="en_US" w:bidi="en_US"/>
        </w:rPr>
        <w:t>Jesus raised a man from the dead</w:t>
      </w:r>
    </w:p>
    <w:p>
      <w:pPr>
        <w:pStyle w:val="Heading5"/>
      </w:pPr>
      <w:r>
        <w:rPr>
          <w:lang w:val="en_US" w:bidi="en_US"/>
        </w:rPr>
        <w:t>7:15a</w:t>
      </w:r>
    </w:p>
    <w:p>
      <w:pPr/>
      <w:r>
        <w:rPr>
          <w:lang w:val="en_US" w:bidi="en_US"/>
        </w:rPr>
      </w:r>
      <w:r>
        <w:rPr>
          <w:b/>
          <w:lang w:val="en_US" w:bidi="en_US"/>
        </w:rPr>
        <w:t>And the dead man sat up and began to speak!</w:t>
      </w:r>
    </w:p>
    <w:p>
      <w:pPr>
        <w:pStyle w:val="ListBullet"/>
        <w:spacing w:line="240" w:lineRule="auto"/>
        <w:ind w:left="720"/>
      </w:pPr>
      <w:r>
        <w:rPr>
          <w:lang w:val="en_US" w:bidi="en_US"/>
        </w:rPr>
      </w:r>
      <w:r>
        <w:rPr>
          <w:lang w:val="en_US" w:bidi="en_US"/>
        </w:rPr>
        <w:t xml:space="preserve">Then the corpse </w:t>
      </w:r>
      <w:r>
        <w:rPr>
          <w:lang w:val="en_US" w:bidi="en_US"/>
        </w:rPr>
        <w:t>came to life</w:t>
      </w:r>
      <w:r>
        <w:rPr>
          <w:lang w:val="en_US" w:bidi="en_US"/>
        </w:rPr>
        <w:t>, sat up, and started speaking.</w:t>
      </w:r>
    </w:p>
    <w:p>
      <w:pPr>
        <w:pStyle w:val="ListBullet"/>
        <w:spacing w:line="240" w:lineRule="auto"/>
        <w:ind w:left="720"/>
      </w:pPr>
      <w:r>
        <w:rPr>
          <w:lang w:val="en_US" w:bidi="en_US"/>
        </w:rPr>
      </w:r>
      <w:r>
        <w:rPr>
          <w:lang w:val="en_US" w:bidi="en_US"/>
        </w:rPr>
        <w:t xml:space="preserve">The young man </w:t>
      </w:r>
      <w:r>
        <w:rPr>
          <w:lang w:val="en_US" w:bidi="en_US"/>
        </w:rPr>
        <w:t>started to live again, and he</w:t>
      </w:r>
      <w:r>
        <w:rPr>
          <w:lang w:val="en_US" w:bidi="en_US"/>
        </w:rPr>
        <w:t xml:space="preserve"> sat up and began to talk!</w:t>
      </w:r>
    </w:p>
    <w:p>
      <w:pPr/>
      <w:r>
        <w:rPr>
          <w:lang w:val="en_US" w:bidi="en_US"/>
        </w:rPr>
      </w:r>
      <w:r>
        <w:rPr>
          <w:b/>
          <w:lang w:val="en_US" w:bidi="en_US"/>
        </w:rPr>
        <w:t>And the dead man sat up:</w:t>
      </w:r>
      <w:r>
        <w:rPr>
          <w:lang w:val="en_US" w:bidi="en_US"/>
        </w:rPr>
        <w:t xml:space="preserve"> Jesus caused the young man to live again, and then the young man sat up. In some languages, a literal translation might imply that the man was still dead when he sat up. If that is true in your language, you may need to add implied information. For example:</w:t>
      </w:r>
    </w:p>
    <w:p>
      <w:pPr/>
      <w:r>
        <w:rPr>
          <w:lang w:val="en_US" w:bidi="en_US"/>
        </w:rPr>
      </w:r>
      <w:r>
        <w:rPr>
          <w:lang w:val="en_US" w:bidi="en_US"/>
        </w:rPr>
        <w:t xml:space="preserve">The man </w:t>
      </w:r>
      <w:r>
        <w:rPr>
          <w:lang w:val="en_US" w:bidi="en_US"/>
        </w:rPr>
        <w:t>who had been</w:t>
      </w:r>
      <w:r>
        <w:rPr>
          <w:lang w:val="en_US" w:bidi="en_US"/>
        </w:rPr>
        <w:t xml:space="preserve"> dead </w:t>
      </w:r>
      <w:r>
        <w:rPr>
          <w:lang w:val="en_US" w:bidi="en_US"/>
        </w:rPr>
        <w:t>came to life and</w:t>
      </w:r>
      <w:r>
        <w:rPr>
          <w:lang w:val="en_US" w:bidi="en_US"/>
        </w:rPr>
        <w:t xml:space="preserve"> sat up.</w:t>
      </w:r>
    </w:p>
    <w:p>
      <w:pPr/>
      <w:r>
        <w:rPr>
          <w:lang w:val="en_US" w:bidi="en_US"/>
        </w:rPr>
      </w:r>
      <w:r>
        <w:rPr>
          <w:lang w:val="en_US" w:bidi="en_US"/>
        </w:rPr>
        <w:t xml:space="preserve">The man </w:t>
      </w:r>
      <w:r>
        <w:rPr>
          <w:lang w:val="en_US" w:bidi="en_US"/>
        </w:rPr>
        <w:t>came back to life and</w:t>
      </w:r>
      <w:r>
        <w:rPr>
          <w:lang w:val="en_US" w:bidi="en_US"/>
        </w:rPr>
        <w:t xml:space="preserve"> sat up.</w:t>
      </w:r>
    </w:p>
    <w:p>
      <w:pPr/>
      <w:r>
        <w:rPr>
          <w:lang w:val="en_US" w:bidi="en_US"/>
        </w:rPr>
      </w:r>
      <w:r>
        <w:rPr>
          <w:b/>
          <w:lang w:val="en_US" w:bidi="en_US"/>
        </w:rPr>
        <w:t>And the dead man:</w:t>
      </w:r>
      <w:r>
        <w:rPr>
          <w:lang w:val="en_US" w:bidi="en_US"/>
        </w:rPr>
        <w:t xml:space="preserve"> The Greek word that the BSB translates as </w:t>
      </w:r>
      <w:r>
        <w:rPr>
          <w:i/>
          <w:lang w:val="en_US" w:bidi="en_US"/>
        </w:rPr>
        <w:t>the dead man</w:t>
      </w:r>
      <w:r>
        <w:rPr>
          <w:lang w:val="en_US" w:bidi="en_US"/>
        </w:rPr>
        <w:t xml:space="preserve"> is more literally “the corpse.” The term does not indicate whether the dead person was a man or a boy. It may be natural to use the same term that you used in 7:14c since it refers to the same person. (See the note on “Young man” at 7:14c.) In some languages it may be natural to translate this with a phrase such as:</w:t>
      </w:r>
    </w:p>
    <w:p>
      <w:pPr/>
      <w:r>
        <w:rPr>
          <w:lang w:val="en_US" w:bidi="en_US"/>
        </w:rPr>
      </w:r>
      <w:r>
        <w:rPr>
          <w:lang w:val="en_US" w:bidi="en_US"/>
        </w:rPr>
        <w:t>the one who was dead</w:t>
      </w:r>
    </w:p>
    <w:p>
      <w:pPr/>
      <w:r>
        <w:rPr>
          <w:lang w:val="en_US" w:bidi="en_US"/>
        </w:rPr>
      </w:r>
      <w:r>
        <w:rPr>
          <w:b/>
          <w:lang w:val="en_US" w:bidi="en_US"/>
        </w:rPr>
        <w:t>began to speak:</w:t>
      </w:r>
      <w:r>
        <w:rPr>
          <w:lang w:val="en_US" w:bidi="en_US"/>
        </w:rPr>
        <w:t xml:space="preserve"> The phrase </w:t>
      </w:r>
      <w:r>
        <w:rPr>
          <w:i/>
          <w:lang w:val="en_US" w:bidi="en_US"/>
        </w:rPr>
        <w:t>began to speak</w:t>
      </w:r>
      <w:r>
        <w:rPr>
          <w:lang w:val="en_US" w:bidi="en_US"/>
        </w:rPr>
        <w:t xml:space="preserve"> indicates that the man starting speaking. The text does not tell what the young man said or to whom he was speaking. If you must supply such information, be as general as possible. For example:</w:t>
      </w:r>
    </w:p>
    <w:p>
      <w:pPr/>
      <w:r>
        <w:rPr>
          <w:lang w:val="en_US" w:bidi="en_US"/>
        </w:rPr>
      </w:r>
      <w:r>
        <w:rPr>
          <w:lang w:val="en_US" w:bidi="en_US"/>
        </w:rPr>
        <w:t xml:space="preserve">and began to say </w:t>
      </w:r>
      <w:r>
        <w:rPr>
          <w:lang w:val="en_US" w:bidi="en_US"/>
        </w:rPr>
        <w:t>things</w:t>
      </w:r>
    </w:p>
    <w:p>
      <w:pPr/>
      <w:r>
        <w:rPr>
          <w:lang w:val="en_US" w:bidi="en_US"/>
        </w:rPr>
      </w:r>
      <w:r>
        <w:rPr>
          <w:lang w:val="en_US" w:bidi="en_US"/>
        </w:rPr>
        <w:t xml:space="preserve">started talking </w:t>
      </w:r>
      <w:r>
        <w:rPr>
          <w:lang w:val="en_US" w:bidi="en_US"/>
        </w:rPr>
        <w:t>to them</w:t>
      </w:r>
    </w:p>
    <w:p>
      <w:pPr>
        <w:pStyle w:val="Heading5"/>
      </w:pPr>
      <w:r>
        <w:rPr>
          <w:lang w:val="en_US" w:bidi="en_US"/>
        </w:rPr>
        <w:t>7:15b</w:t>
      </w:r>
    </w:p>
    <w:p>
      <w:pPr/>
      <w:r>
        <w:rPr>
          <w:lang w:val="en_US" w:bidi="en_US"/>
        </w:rPr>
      </w:r>
      <w:r>
        <w:rPr>
          <w:b/>
          <w:lang w:val="en_US" w:bidi="en_US"/>
        </w:rPr>
        <w:t>Then Jesus gave him back to his mother.</w:t>
      </w:r>
    </w:p>
    <w:p>
      <w:pPr>
        <w:pStyle w:val="ListBullet"/>
        <w:spacing w:line="240" w:lineRule="auto"/>
        <w:ind w:left="720"/>
      </w:pPr>
      <w:r>
        <w:rPr>
          <w:lang w:val="en_US" w:bidi="en_US"/>
        </w:rPr>
      </w:r>
      <w:r>
        <w:rPr>
          <w:lang w:val="en_US" w:bidi="en_US"/>
        </w:rPr>
        <w:t>Then Jesus presented him to his mother.</w:t>
      </w:r>
    </w:p>
    <w:p>
      <w:pPr>
        <w:pStyle w:val="ListBullet"/>
        <w:spacing w:line="240" w:lineRule="auto"/>
        <w:ind w:left="720"/>
      </w:pPr>
      <w:r>
        <w:rPr>
          <w:lang w:val="en_US" w:bidi="en_US"/>
        </w:rPr>
      </w:r>
      <w:r>
        <w:rPr>
          <w:lang w:val="en_US" w:bidi="en_US"/>
        </w:rPr>
        <w:t>Then Jesus said to the mother, “Here is your</w:t>
      </w:r>
      <w:r>
        <w:rPr>
          <w:vertAlign w:val="superscript"/>
          <w:lang w:val="en_US" w:bidi="en_US"/>
        </w:rPr>
        <w:t>(sing)</w:t>
      </w:r>
      <w:r>
        <w:rPr>
          <w:lang w:val="en_US" w:bidi="en_US"/>
        </w:rPr>
        <w:t xml:space="preserve"> son.”</w:t>
      </w:r>
    </w:p>
    <w:p>
      <w:pPr/>
      <w:r>
        <w:rPr>
          <w:lang w:val="en_US" w:bidi="en_US"/>
        </w:rPr>
      </w:r>
      <w:r>
        <w:rPr>
          <w:b/>
          <w:lang w:val="en_US" w:bidi="en_US"/>
        </w:rPr>
        <w:t>Then Jesus gave him back to his mother:</w:t>
      </w:r>
      <w:r>
        <w:rPr>
          <w:lang w:val="en_US" w:bidi="en_US"/>
        </w:rPr>
        <w:t xml:space="preserve"> The Greek phrase that the BSB translates literally as </w:t>
      </w:r>
      <w:r>
        <w:rPr>
          <w:i/>
          <w:lang w:val="en_US" w:bidi="en_US"/>
        </w:rPr>
        <w:t>gave him back to his mother</w:t>
      </w:r>
      <w:r>
        <w:rPr>
          <w:lang w:val="en_US" w:bidi="en_US"/>
        </w:rPr>
        <w:t xml:space="preserve"> means “presented him to his mother.” In some languages it may be natural to use direct speech here. For example:</w:t>
      </w:r>
    </w:p>
    <w:p>
      <w:pPr/>
      <w:r>
        <w:rPr>
          <w:lang w:val="en_US" w:bidi="en_US"/>
        </w:rPr>
      </w:r>
      <w:r>
        <w:rPr>
          <w:lang w:val="en_US" w:bidi="en_US"/>
        </w:rPr>
        <w:t>Jesus said to his mother, “Here is your son.”</w:t>
      </w:r>
      <w:r>
        <w:rPr>
          <w:lang w:val="en_US" w:bidi="en_US"/>
        </w:rPr>
      </w:r>
      <w:r>
        <w:rPr>
          <w:lang w:val="en_US" w:bidi="en_US"/>
        </w:rPr>
      </w:r>
    </w:p>
    <w:p>
      <w:pPr/>
      <w:r>
        <w:rPr>
          <w:lang w:val="en_US" w:bidi="en_US"/>
        </w:rPr>
      </w:r>
    </w:p>
    <w:p>
      <w:pPr>
        <w:pStyle w:val="Heading2"/>
      </w:pPr>
      <w:r>
        <w:rPr>
          <w:lang w:val="en_US" w:bidi="en_US"/>
        </w:rPr>
        <w:t>Luke 7:16</w:t>
      </w:r>
      <w:r>
        <w:rPr>
          <w:lang w:val="en_US" w:bidi="en_US"/>
        </w:rPr>
      </w:r>
    </w:p>
    <w:p>
      <w:pPr>
        <w:pStyle w:val="Heading4"/>
      </w:pPr>
      <w:r>
        <w:rPr>
          <w:lang w:val="en_US" w:bidi="en_US"/>
        </w:rPr>
        <w:t>Section 7:11–17: Jesus caused a widow’s son to live again</w:t>
      </w:r>
    </w:p>
    <w:p>
      <w:pPr/>
      <w:r>
        <w:rPr>
          <w:lang w:val="en_US" w:bidi="en_US"/>
        </w:rPr>
      </w:r>
      <w:r>
        <w:rPr>
          <w:lang w:val="en_US" w:bidi="en_US"/>
        </w:rPr>
        <w:t>In this section Jesus showed his compassion for a widow and her dead son by causing him to live again. This is the first time in the book of Luke that Jesus caused a dead person to live again. People were so excited that they spread the good news throughout the whole area.</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Brings a Widow’s Son Back to Life (GW)</w:t>
      </w:r>
    </w:p>
    <w:p>
      <w:pPr/>
      <w:r>
        <w:rPr>
          <w:lang w:val="en_US" w:bidi="en_US"/>
        </w:rPr>
      </w:r>
      <w:r>
        <w:rPr>
          <w:lang w:val="en_US" w:bidi="en_US"/>
        </w:rPr>
        <w:t>Jesus raised a man from the dead</w:t>
      </w:r>
    </w:p>
    <w:p>
      <w:pPr>
        <w:pStyle w:val="Heading5"/>
      </w:pPr>
      <w:r>
        <w:rPr>
          <w:lang w:val="en_US" w:bidi="en_US"/>
        </w:rPr>
        <w:t>7:16a</w:t>
      </w:r>
    </w:p>
    <w:p>
      <w:pPr/>
      <w:r>
        <w:rPr>
          <w:lang w:val="en_US" w:bidi="en_US"/>
        </w:rPr>
      </w:r>
      <w:r>
        <w:rPr>
          <w:b/>
          <w:lang w:val="en_US" w:bidi="en_US"/>
        </w:rPr>
        <w:t>A sense of awe swept over all of them, and they glorified God.</w:t>
      </w:r>
    </w:p>
    <w:p>
      <w:pPr>
        <w:pStyle w:val="ListBullet"/>
        <w:spacing w:line="240" w:lineRule="auto"/>
        <w:ind w:left="720"/>
      </w:pPr>
      <w:r>
        <w:rPr>
          <w:lang w:val="en_US" w:bidi="en_US"/>
        </w:rPr>
      </w:r>
      <w:r>
        <w:rPr>
          <w:lang w:val="en_US" w:bidi="en_US"/>
        </w:rPr>
        <w:t>¶ All the people felt deep awe and they said “God is glorious/great.”</w:t>
      </w:r>
    </w:p>
    <w:p>
      <w:pPr>
        <w:pStyle w:val="ListBullet"/>
        <w:spacing w:line="240" w:lineRule="auto"/>
        <w:ind w:left="720"/>
      </w:pPr>
      <w:r>
        <w:rPr>
          <w:lang w:val="en_US" w:bidi="en_US"/>
        </w:rPr>
      </w:r>
      <w:r>
        <w:rPr>
          <w:lang w:val="en_US" w:bidi="en_US"/>
        </w:rPr>
        <w:t xml:space="preserve">¶ </w:t>
      </w:r>
      <w:r>
        <w:rPr>
          <w:lang w:val="en_US" w:bidi="en_US"/>
        </w:rPr>
        <w:t>When the people saw Jesus bring the young man back to life,</w:t>
      </w:r>
      <w:r>
        <w:rPr>
          <w:lang w:val="en_US" w:bidi="en_US"/>
        </w:rPr>
        <w:t xml:space="preserve"> they all feared </w:t>
      </w:r>
      <w:r>
        <w:rPr>
          <w:lang w:val="en_US" w:bidi="en_US"/>
        </w:rPr>
        <w:t>God</w:t>
      </w:r>
      <w:r>
        <w:rPr>
          <w:lang w:val="en_US" w:bidi="en_US"/>
        </w:rPr>
        <w:t>, and they praised him.</w:t>
      </w:r>
    </w:p>
    <w:p>
      <w:pPr>
        <w:pStyle w:val="ListBullet"/>
        <w:spacing w:line="240" w:lineRule="auto"/>
        <w:ind w:left="720"/>
      </w:pPr>
      <w:r>
        <w:rPr>
          <w:lang w:val="en_US" w:bidi="en_US"/>
        </w:rPr>
      </w:r>
      <w:r>
        <w:rPr>
          <w:lang w:val="en_US" w:bidi="en_US"/>
        </w:rPr>
        <w:t>¶ Then the people feared God and praised him, saying</w:t>
      </w:r>
    </w:p>
    <w:p>
      <w:pPr/>
      <w:r>
        <w:rPr>
          <w:lang w:val="en_US" w:bidi="en_US"/>
        </w:rPr>
      </w:r>
      <w:r>
        <w:rPr>
          <w:b/>
          <w:lang w:val="en_US" w:bidi="en_US"/>
        </w:rPr>
        <w:t>A sense of awe swept over all of them, and they glorified God:</w:t>
      </w:r>
      <w:r>
        <w:rPr>
          <w:lang w:val="en_US" w:bidi="en_US"/>
        </w:rPr>
        <w:t xml:space="preserve"> The Greek phrase that the BSB translates as </w:t>
      </w:r>
      <w:r>
        <w:rPr>
          <w:i/>
          <w:lang w:val="en_US" w:bidi="en_US"/>
        </w:rPr>
        <w:t>A sense of awe swept over all of them</w:t>
      </w:r>
      <w:r>
        <w:rPr>
          <w:lang w:val="en_US" w:bidi="en_US"/>
        </w:rPr>
        <w:t xml:space="preserve"> is more literally “fear took/seized them all.” Everyone who was there felt fear and awe that Jesus was able to bring a dead person back to life. They realized that God had enabled him to do it. Express this in a way that does not imply that the people were afraid of the dead man or afraid of Jesus.</w:t>
      </w:r>
    </w:p>
    <w:p>
      <w:pPr/>
      <w:r>
        <w:rPr>
          <w:lang w:val="en_US" w:bidi="en_US"/>
        </w:rPr>
      </w:r>
      <w:r>
        <w:rPr>
          <w:b/>
          <w:lang w:val="en_US" w:bidi="en_US"/>
        </w:rPr>
        <w:t>and they glorified God:</w:t>
      </w:r>
      <w:r>
        <w:rPr>
          <w:lang w:val="en_US" w:bidi="en_US"/>
        </w:rPr>
        <w:t xml:space="preserve"> The Greek word that the BSB translates literally as </w:t>
      </w:r>
      <w:r>
        <w:rPr>
          <w:i/>
          <w:lang w:val="en_US" w:bidi="en_US"/>
        </w:rPr>
        <w:t>glorified</w:t>
      </w:r>
      <w:r>
        <w:rPr>
          <w:lang w:val="en_US" w:bidi="en_US"/>
        </w:rPr>
        <w:t xml:space="preserve"> indicates that the people talked about how good and great God is because he enabled Jesus to cause a dead person to live again. In some languages it may be necessary to use direct speech to say this. For example:</w:t>
      </w:r>
    </w:p>
    <w:p>
      <w:pPr/>
      <w:r>
        <w:rPr>
          <w:lang w:val="en_US" w:bidi="en_US"/>
        </w:rPr>
      </w:r>
      <w:r>
        <w:rPr>
          <w:lang w:val="en_US" w:bidi="en_US"/>
        </w:rPr>
        <w:t>and said, “God is so good to do this.”</w:t>
      </w:r>
    </w:p>
    <w:p>
      <w:pPr/>
      <w:r>
        <w:rPr>
          <w:lang w:val="en_US" w:bidi="en_US"/>
        </w:rPr>
      </w:r>
      <w:r>
        <w:rPr>
          <w:lang w:val="en_US" w:bidi="en_US"/>
        </w:rPr>
        <w:t>and said to each other, “God is so great!”</w:t>
      </w:r>
    </w:p>
    <w:p>
      <w:pPr>
        <w:pStyle w:val="Heading5"/>
      </w:pPr>
      <w:r>
        <w:rPr>
          <w:lang w:val="en_US" w:bidi="en_US"/>
        </w:rPr>
        <w:t>7:16b</w:t>
      </w:r>
    </w:p>
    <w:p>
      <w:pPr/>
      <w:r>
        <w:rPr>
          <w:lang w:val="en_US" w:bidi="en_US"/>
        </w:rPr>
      </w:r>
      <w:r>
        <w:rPr>
          <w:b/>
          <w:lang w:val="en_US" w:bidi="en_US"/>
        </w:rPr>
        <w:t>“A great prophet has appeared among us!” they said.</w:t>
      </w:r>
    </w:p>
    <w:p>
      <w:pPr>
        <w:pStyle w:val="ListBullet"/>
        <w:spacing w:line="240" w:lineRule="auto"/>
        <w:ind w:left="720"/>
      </w:pPr>
      <w:r>
        <w:rPr>
          <w:lang w:val="en_US" w:bidi="en_US"/>
        </w:rPr>
      </w:r>
      <w:r>
        <w:rPr>
          <w:lang w:val="en_US" w:bidi="en_US"/>
        </w:rPr>
        <w:t xml:space="preserve">They </w:t>
      </w:r>
      <w:r>
        <w:rPr>
          <w:lang w:val="en_US" w:bidi="en_US"/>
        </w:rPr>
        <w:t>also</w:t>
      </w:r>
      <w:r>
        <w:rPr>
          <w:lang w:val="en_US" w:bidi="en_US"/>
        </w:rPr>
        <w:t xml:space="preserve"> said, “A great prophet has come to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They said, “</w:t>
      </w:r>
      <w:r>
        <w:rPr>
          <w:lang w:val="en_US" w:bidi="en_US"/>
        </w:rPr>
        <w:t>Jesus is</w:t>
      </w:r>
      <w:r>
        <w:rPr>
          <w:lang w:val="en_US" w:bidi="en_US"/>
        </w:rPr>
        <w:t xml:space="preserve"> a powerful prophet whom </w:t>
      </w:r>
      <w:r>
        <w:rPr>
          <w:lang w:val="en_US" w:bidi="en_US"/>
        </w:rPr>
        <w:t>God has sent</w:t>
      </w:r>
      <w:r>
        <w:rPr>
          <w:lang w:val="en_US" w:bidi="en_US"/>
        </w:rPr>
        <w:t xml:space="preserve"> to us.”</w:t>
      </w:r>
    </w:p>
    <w:p>
      <w:pPr>
        <w:pStyle w:val="ListBullet"/>
        <w:spacing w:line="240" w:lineRule="auto"/>
        <w:ind w:left="720"/>
      </w:pPr>
      <w:r>
        <w:rPr>
          <w:lang w:val="en_US" w:bidi="en_US"/>
        </w:rPr>
      </w:r>
      <w:r>
        <w:rPr>
          <w:lang w:val="en_US" w:bidi="en_US"/>
        </w:rPr>
        <w:t>that a great prophet had appeared among them</w:t>
      </w:r>
    </w:p>
    <w:p>
      <w:pPr/>
      <w:r>
        <w:rPr>
          <w:lang w:val="en_US" w:bidi="en_US"/>
        </w:rPr>
      </w:r>
      <w:r>
        <w:rPr>
          <w:b/>
          <w:lang w:val="en_US" w:bidi="en_US"/>
        </w:rPr>
        <w:t>A great prophet has appeared among us:</w:t>
      </w:r>
      <w:r>
        <w:rPr>
          <w:lang w:val="en_US" w:bidi="en_US"/>
        </w:rPr>
        <w:t xml:space="preserve"> The phrase </w:t>
      </w:r>
      <w:r>
        <w:rPr>
          <w:i/>
          <w:lang w:val="en_US" w:bidi="en_US"/>
        </w:rPr>
        <w:t>has appeared among us</w:t>
      </w:r>
      <w:r>
        <w:rPr>
          <w:lang w:val="en_US" w:bidi="en_US"/>
        </w:rPr>
        <w:t xml:space="preserve"> means “has come to be among us.” It does not imply that Jesus suddenly became visible or that he appeared in some mysterious way.</w:t>
      </w:r>
    </w:p>
    <w:p>
      <w:pPr/>
      <w:r>
        <w:rPr>
          <w:lang w:val="en_US" w:bidi="en_US"/>
        </w:rPr>
      </w:r>
      <w:r>
        <w:rPr>
          <w:b/>
          <w:lang w:val="en_US" w:bidi="en_US"/>
        </w:rPr>
        <w:t>great prophet:</w:t>
      </w:r>
      <w:r>
        <w:rPr>
          <w:lang w:val="en_US" w:bidi="en_US"/>
        </w:rPr>
        <w:t xml:space="preserve"> The term </w:t>
      </w:r>
      <w:r>
        <w:rPr>
          <w:i/>
          <w:lang w:val="en_US" w:bidi="en_US"/>
        </w:rPr>
        <w:t>great prophet</w:t>
      </w:r>
      <w:r>
        <w:rPr>
          <w:lang w:val="en_US" w:bidi="en_US"/>
        </w:rPr>
        <w:t xml:space="preserve"> means “powerful prophet.” It refers to a prophet who was able to use God’s power to do wonderful miracles. The people probably thought that Jesus was a great prophet like Elijah or Elisha, who both raised someone from the dead. You may want to include a footnote with this information. The TRT suggests this footnote:</w:t>
      </w:r>
    </w:p>
    <w:p>
      <w:pPr/>
      <w:r>
        <w:rPr>
          <w:lang w:val="en_US" w:bidi="en_US"/>
        </w:rPr>
      </w:r>
      <w:r>
        <w:rPr>
          <w:lang w:val="en_US" w:bidi="en_US"/>
        </w:rPr>
        <w:t>The people probably thought that Jesus was a great prophet like Elijah or Elisha, the only two people in the OT who raised someone from the dead (1 Kings 17:17–24, 2 Kings 4:18–37).</w:t>
      </w:r>
    </w:p>
    <w:p>
      <w:pPr/>
      <w:r>
        <w:rPr>
          <w:lang w:val="en_US" w:bidi="en_US"/>
        </w:rPr>
      </w:r>
      <w:r>
        <w:rPr>
          <w:b/>
          <w:lang w:val="en_US" w:bidi="en_US"/>
        </w:rPr>
        <w:t>prophet:</w:t>
      </w:r>
      <w:r>
        <w:rPr>
          <w:lang w:val="en_US" w:bidi="en_US"/>
        </w:rPr>
        <w:t xml:space="preserve"> A </w:t>
      </w:r>
      <w:r>
        <w:rPr>
          <w:i/>
          <w:lang w:val="en_US" w:bidi="en_US"/>
        </w:rPr>
        <w:t>prophet</w:t>
      </w:r>
      <w:r>
        <w:rPr>
          <w:lang w:val="en_US" w:bidi="en_US"/>
        </w:rPr>
        <w:t xml:space="preserve"> was a person who spoke on behalf of God. He told people what God revealed to him. God gave some prophets power to work miracles. These miracles helped people realize that God sent the prophet. Some ways to translate </w:t>
      </w:r>
      <w:r>
        <w:rPr>
          <w:i/>
          <w:lang w:val="en_US" w:bidi="en_US"/>
        </w:rPr>
        <w:t>prophet</w:t>
      </w:r>
      <w:r>
        <w:rPr>
          <w:lang w:val="en_US" w:bidi="en_US"/>
        </w:rPr>
        <w:t xml:space="preserve"> are:</w:t>
      </w:r>
    </w:p>
    <w:p>
      <w:pPr/>
      <w:r>
        <w:rPr>
          <w:lang w:val="en_US" w:bidi="en_US"/>
        </w:rPr>
      </w:r>
      <w:r>
        <w:rPr>
          <w:lang w:val="en_US" w:bidi="en_US"/>
        </w:rPr>
        <w:t>a spokesman for God</w:t>
      </w:r>
    </w:p>
    <w:p>
      <w:pPr/>
      <w:r>
        <w:rPr>
          <w:lang w:val="en_US" w:bidi="en_US"/>
        </w:rPr>
      </w:r>
      <w:r>
        <w:rPr>
          <w:lang w:val="en_US" w:bidi="en_US"/>
        </w:rPr>
        <w:t>a person who speaks God’s words</w:t>
      </w:r>
    </w:p>
    <w:p>
      <w:pPr/>
      <w:r>
        <w:rPr>
          <w:lang w:val="en_US" w:bidi="en_US"/>
        </w:rPr>
      </w:r>
      <w:r>
        <w:rPr>
          <w:lang w:val="en_US" w:bidi="en_US"/>
        </w:rPr>
        <w:t>God’s message-speaker</w:t>
      </w:r>
    </w:p>
    <w:p>
      <w:pPr/>
      <w:r>
        <w:rPr>
          <w:lang w:val="en_US" w:bidi="en_US"/>
        </w:rPr>
      </w:r>
      <w:r>
        <w:rPr>
          <w:lang w:val="en_US" w:bidi="en_US"/>
        </w:rPr>
        <w:t>It is good to use a general term that does not focus only on foretelling the future. Although prophets did foretell the future, they also gave people other messages from God. They especially told them to stop sinning and to obey God.</w:t>
      </w:r>
    </w:p>
    <w:p>
      <w:pPr/>
      <w:r>
        <w:rPr>
          <w:lang w:val="en_US" w:bidi="en_US"/>
        </w:rPr>
      </w:r>
      <w:r>
        <w:rPr>
          <w:lang w:val="en_US" w:bidi="en_US"/>
        </w:rPr>
        <w:t xml:space="preserve">When choosing a term for </w:t>
      </w:r>
      <w:r>
        <w:rPr>
          <w:i/>
          <w:lang w:val="en_US" w:bidi="en_US"/>
        </w:rPr>
        <w:t>prophet</w:t>
      </w:r>
      <w:r>
        <w:rPr>
          <w:lang w:val="en_US" w:bidi="en_US"/>
        </w:rPr>
        <w:t>, consider how you will translate other words which are similar in meaning such as “angel,” “apostle,” and “preacher.”</w:t>
      </w:r>
    </w:p>
    <w:p>
      <w:pPr/>
      <w:r>
        <w:rPr>
          <w:lang w:val="en_US" w:bidi="en_US"/>
        </w:rPr>
      </w:r>
      <w:r>
        <w:rPr>
          <w:lang w:val="en_US" w:bidi="en_US"/>
        </w:rPr>
        <w:t>See also the note on “His holy prophets” at 1:70 and prophet in the Glossary.</w:t>
      </w:r>
    </w:p>
    <w:p>
      <w:pPr/>
      <w:r>
        <w:rPr>
          <w:lang w:val="en_US" w:bidi="en_US"/>
        </w:rPr>
      </w:r>
      <w:r>
        <w:rPr>
          <w:b/>
          <w:lang w:val="en_US" w:bidi="en_US"/>
        </w:rPr>
        <w:t>they said:</w:t>
      </w:r>
      <w:r>
        <w:rPr>
          <w:lang w:val="en_US" w:bidi="en_US"/>
        </w:rPr>
        <w:t xml:space="preserve"> The BSB has placed the phrase </w:t>
      </w:r>
      <w:r>
        <w:rPr>
          <w:i/>
          <w:lang w:val="en_US" w:bidi="en_US"/>
        </w:rPr>
        <w:t>they said</w:t>
      </w:r>
      <w:r>
        <w:rPr>
          <w:lang w:val="en_US" w:bidi="en_US"/>
        </w:rPr>
        <w:t xml:space="preserve"> in the middle of what the people were saying. In the Greek text this phrase comes before the two sentences that the people spoke. Place it where it is most natural in your language.</w:t>
      </w:r>
    </w:p>
    <w:p>
      <w:pPr>
        <w:pStyle w:val="Heading5"/>
      </w:pPr>
      <w:r>
        <w:rPr>
          <w:lang w:val="en_US" w:bidi="en_US"/>
        </w:rPr>
        <w:t>7:16c</w:t>
      </w:r>
    </w:p>
    <w:p>
      <w:pPr/>
      <w:r>
        <w:rPr>
          <w:lang w:val="en_US" w:bidi="en_US"/>
        </w:rPr>
      </w:r>
      <w:r>
        <w:rPr>
          <w:b/>
          <w:lang w:val="en_US" w:bidi="en_US"/>
        </w:rPr>
        <w:t>“God has visited His people!”</w:t>
      </w:r>
    </w:p>
    <w:p>
      <w:pPr>
        <w:pStyle w:val="ListBullet"/>
        <w:spacing w:line="240" w:lineRule="auto"/>
        <w:ind w:left="720"/>
      </w:pPr>
      <w:r>
        <w:rPr>
          <w:lang w:val="en_US" w:bidi="en_US"/>
        </w:rPr>
      </w:r>
      <w:r>
        <w:rPr>
          <w:lang w:val="en_US" w:bidi="en_US"/>
        </w:rPr>
        <w:t>and “God has come near to help his people.”</w:t>
      </w:r>
    </w:p>
    <w:p>
      <w:pPr>
        <w:pStyle w:val="ListBullet"/>
        <w:spacing w:line="240" w:lineRule="auto"/>
        <w:ind w:left="720"/>
      </w:pPr>
      <w:r>
        <w:rPr>
          <w:lang w:val="en_US" w:bidi="en_US"/>
        </w:rPr>
      </w:r>
      <w:r>
        <w:rPr>
          <w:lang w:val="en_US" w:bidi="en_US"/>
        </w:rPr>
        <w:t xml:space="preserve">They also said, “God has come to </w:t>
      </w:r>
      <w:r>
        <w:rPr>
          <w:lang w:val="en_US" w:bidi="en_US"/>
        </w:rPr>
        <w:t>us</w:t>
      </w:r>
      <w:r>
        <w:rPr>
          <w:vertAlign w:val="superscript"/>
          <w:lang w:val="en_US" w:bidi="en_US"/>
        </w:rPr>
        <w:t>(incl)</w:t>
      </w:r>
      <w:r>
        <w:rPr>
          <w:lang w:val="en_US" w:bidi="en_US"/>
        </w:rPr>
        <w:t xml:space="preserve"> to do good for </w:t>
      </w:r>
      <w:r>
        <w:rPr>
          <w:lang w:val="en_US" w:bidi="en_US"/>
        </w:rPr>
        <w:t>us</w:t>
      </w:r>
      <w:r>
        <w:rPr>
          <w:lang w:val="en_US" w:bidi="en_US"/>
        </w:rPr>
        <w:t xml:space="preserve"> his people!”</w:t>
      </w:r>
    </w:p>
    <w:p>
      <w:pPr>
        <w:pStyle w:val="ListBullet"/>
        <w:spacing w:line="240" w:lineRule="auto"/>
        <w:ind w:left="720"/>
      </w:pPr>
      <w:r>
        <w:rPr>
          <w:lang w:val="en_US" w:bidi="en_US"/>
        </w:rPr>
      </w:r>
      <w:r>
        <w:rPr>
          <w:lang w:val="en_US" w:bidi="en_US"/>
        </w:rPr>
        <w:t>and that God had come to help his people.</w:t>
      </w:r>
    </w:p>
    <w:p>
      <w:pPr/>
      <w:r>
        <w:rPr>
          <w:lang w:val="en_US" w:bidi="en_US"/>
        </w:rPr>
      </w:r>
      <w:r>
        <w:rPr>
          <w:lang w:val="en_US" w:bidi="en_US"/>
        </w:rPr>
        <w:t>This part of the verse tells another statement that people made about the miracle that Jesus did.</w:t>
      </w:r>
    </w:p>
    <w:p>
      <w:pPr/>
      <w:r>
        <w:rPr>
          <w:lang w:val="en_US" w:bidi="en_US"/>
        </w:rPr>
      </w:r>
      <w:r>
        <w:rPr>
          <w:b/>
          <w:lang w:val="en_US" w:bidi="en_US"/>
        </w:rPr>
        <w:t>God has visited His people!:</w:t>
      </w:r>
      <w:r>
        <w:rPr>
          <w:lang w:val="en_US" w:bidi="en_US"/>
        </w:rPr>
        <w:t xml:space="preserve"> The Greek verb that the BSB translates literally as </w:t>
      </w:r>
      <w:r>
        <w:rPr>
          <w:i/>
          <w:lang w:val="en_US" w:bidi="en_US"/>
        </w:rPr>
        <w:t>has visited</w:t>
      </w:r>
      <w:r>
        <w:rPr>
          <w:lang w:val="en_US" w:bidi="en_US"/>
        </w:rPr>
        <w:t xml:space="preserve"> means to come to someone for the purpose of helping them. The people believed that in the person of Jesus, God was present with them helping them. Another way to say this is:</w:t>
      </w:r>
    </w:p>
    <w:p>
      <w:pPr/>
      <w:r>
        <w:rPr>
          <w:lang w:val="en_US" w:bidi="en_US"/>
        </w:rPr>
      </w:r>
      <w:r>
        <w:rPr>
          <w:lang w:val="en_US" w:bidi="en_US"/>
        </w:rPr>
        <w:t>God has come to help his people (NIV)</w:t>
      </w:r>
    </w:p>
    <w:p>
      <w:pPr/>
      <w:r>
        <w:rPr>
          <w:lang w:val="en_US" w:bidi="en_US"/>
        </w:rPr>
      </w:r>
      <w:r>
        <w:rPr>
          <w:b/>
          <w:lang w:val="en_US" w:bidi="en_US"/>
        </w:rPr>
        <w:t>His people:</w:t>
      </w:r>
      <w:r>
        <w:rPr>
          <w:lang w:val="en_US" w:bidi="en_US"/>
        </w:rPr>
        <w:t xml:space="preserve"> The phrase </w:t>
      </w:r>
      <w:r>
        <w:rPr>
          <w:i/>
          <w:lang w:val="en_US" w:bidi="en_US"/>
        </w:rPr>
        <w:t>His people</w:t>
      </w:r>
      <w:r>
        <w:rPr>
          <w:lang w:val="en_US" w:bidi="en_US"/>
        </w:rPr>
        <w:t xml:space="preserve"> means “the people belonging to God.” The people who were speaking were all Jews, and they were referring to their people, the Jews. So it may be helpful to translate this as:</w:t>
      </w:r>
    </w:p>
    <w:p>
      <w:pPr/>
      <w:r>
        <w:rPr>
          <w:lang w:val="en_US" w:bidi="en_US"/>
        </w:rPr>
      </w:r>
      <w:r>
        <w:rPr>
          <w:lang w:val="en_US" w:bidi="en_US"/>
        </w:rPr>
        <w:t>God has come to help us</w:t>
      </w:r>
      <w:r>
        <w:rPr>
          <w:vertAlign w:val="superscript"/>
          <w:lang w:val="en_US" w:bidi="en_US"/>
        </w:rPr>
        <w:t>(incl)</w:t>
      </w:r>
      <w:r>
        <w:rPr>
          <w:lang w:val="en_US" w:bidi="en_US"/>
        </w:rPr>
        <w:t>.</w:t>
      </w:r>
    </w:p>
    <w:p>
      <w:pPr/>
      <w:r>
        <w:rPr>
          <w:lang w:val="en_US" w:bidi="en_US"/>
        </w:rPr>
      </w:r>
      <w:r>
        <w:rPr>
          <w:lang w:val="en_US" w:bidi="en_US"/>
        </w:rPr>
        <w:t>God has come to help us</w:t>
      </w:r>
      <w:r>
        <w:rPr>
          <w:vertAlign w:val="superscript"/>
          <w:lang w:val="en_US" w:bidi="en_US"/>
        </w:rPr>
        <w:t>(incl)</w:t>
      </w:r>
      <w:r>
        <w:rPr>
          <w:lang w:val="en_US" w:bidi="en_US"/>
        </w:rPr>
        <w:t>, his people.</w:t>
      </w:r>
      <w:r>
        <w:rPr>
          <w:lang w:val="en_US" w:bidi="en_US"/>
        </w:rPr>
      </w:r>
      <w:r>
        <w:rPr>
          <w:lang w:val="en_US" w:bidi="en_US"/>
        </w:rPr>
      </w:r>
    </w:p>
    <w:p>
      <w:pPr/>
      <w:r>
        <w:rPr>
          <w:lang w:val="en_US" w:bidi="en_US"/>
        </w:rPr>
      </w:r>
    </w:p>
    <w:p>
      <w:pPr>
        <w:pStyle w:val="Heading2"/>
      </w:pPr>
      <w:r>
        <w:rPr>
          <w:lang w:val="en_US" w:bidi="en_US"/>
        </w:rPr>
        <w:t>Luke 7:17</w:t>
      </w:r>
      <w:r>
        <w:rPr>
          <w:lang w:val="en_US" w:bidi="en_US"/>
        </w:rPr>
      </w:r>
    </w:p>
    <w:p>
      <w:pPr>
        <w:pStyle w:val="Heading4"/>
      </w:pPr>
      <w:r>
        <w:rPr>
          <w:lang w:val="en_US" w:bidi="en_US"/>
        </w:rPr>
        <w:t>Section 7:11–17: Jesus caused a widow’s son to live again</w:t>
      </w:r>
    </w:p>
    <w:p>
      <w:pPr/>
      <w:r>
        <w:rPr>
          <w:lang w:val="en_US" w:bidi="en_US"/>
        </w:rPr>
      </w:r>
      <w:r>
        <w:rPr>
          <w:lang w:val="en_US" w:bidi="en_US"/>
        </w:rPr>
        <w:t>In this section Jesus showed his compassion for a widow and her dead son by causing him to live again. This is the first time in the book of Luke that Jesus caused a dead person to live again. People were so excited that they spread the good news throughout the whole area.</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Brings a Widow’s Son Back to Life (GW)</w:t>
      </w:r>
    </w:p>
    <w:p>
      <w:pPr/>
      <w:r>
        <w:rPr>
          <w:lang w:val="en_US" w:bidi="en_US"/>
        </w:rPr>
      </w:r>
      <w:r>
        <w:rPr>
          <w:lang w:val="en_US" w:bidi="en_US"/>
        </w:rPr>
        <w:t>Jesus raised a man from the dead</w:t>
      </w:r>
    </w:p>
    <w:p>
      <w:pPr>
        <w:pStyle w:val="Heading5"/>
      </w:pPr>
      <w:r>
        <w:rPr>
          <w:lang w:val="en_US" w:bidi="en_US"/>
        </w:rPr>
        <w:t>7:17</w:t>
      </w:r>
    </w:p>
    <w:p>
      <w:pPr/>
      <w:r>
        <w:rPr>
          <w:lang w:val="en_US" w:bidi="en_US"/>
        </w:rPr>
      </w:r>
      <w:r>
        <w:rPr>
          <w:b/>
          <w:lang w:val="en_US" w:bidi="en_US"/>
        </w:rPr>
        <w:t>And the news about Jesus spread throughout Judea and all the surrounding region.</w:t>
      </w:r>
    </w:p>
    <w:p>
      <w:pPr>
        <w:pStyle w:val="ListBullet"/>
        <w:spacing w:line="240" w:lineRule="auto"/>
        <w:ind w:left="720"/>
      </w:pPr>
      <w:r>
        <w:rPr>
          <w:lang w:val="en_US" w:bidi="en_US"/>
        </w:rPr>
      </w:r>
      <w:r>
        <w:rPr>
          <w:lang w:val="en_US" w:bidi="en_US"/>
        </w:rPr>
        <w:t>The message/report about Jesus went out through all Judea and all the land/places around it.</w:t>
      </w:r>
    </w:p>
    <w:p>
      <w:pPr>
        <w:pStyle w:val="ListBullet"/>
        <w:spacing w:line="240" w:lineRule="auto"/>
        <w:ind w:left="720"/>
      </w:pPr>
      <w:r>
        <w:rPr>
          <w:lang w:val="en_US" w:bidi="en_US"/>
        </w:rPr>
      </w:r>
      <w:r>
        <w:rPr>
          <w:lang w:val="en_US" w:bidi="en_US"/>
        </w:rPr>
        <w:t>People told many others what Jesus had done. They went all through the country of the Jews and even across the borders.</w:t>
      </w:r>
    </w:p>
    <w:p>
      <w:pPr>
        <w:pStyle w:val="ListBullet"/>
        <w:spacing w:line="240" w:lineRule="auto"/>
        <w:ind w:left="720"/>
      </w:pPr>
      <w:r>
        <w:rPr>
          <w:lang w:val="en_US" w:bidi="en_US"/>
        </w:rPr>
      </w:r>
      <w:r>
        <w:rPr>
          <w:lang w:val="en_US" w:bidi="en_US"/>
        </w:rPr>
        <w:t xml:space="preserve">People went throughout </w:t>
      </w:r>
      <w:r>
        <w:rPr>
          <w:lang w:val="en_US" w:bidi="en_US"/>
        </w:rPr>
        <w:t>the region/province of</w:t>
      </w:r>
      <w:r>
        <w:rPr>
          <w:lang w:val="en_US" w:bidi="en_US"/>
        </w:rPr>
        <w:t xml:space="preserve"> Judea and even further telling others what Jesus had done.</w:t>
      </w:r>
    </w:p>
    <w:p>
      <w:pPr/>
      <w:r>
        <w:rPr>
          <w:lang w:val="en_US" w:bidi="en_US"/>
        </w:rPr>
      </w:r>
      <w:r>
        <w:rPr>
          <w:b/>
          <w:lang w:val="en_US" w:bidi="en_US"/>
        </w:rPr>
        <w:t>And the news about Jesus spread:</w:t>
      </w:r>
      <w:r>
        <w:rPr>
          <w:lang w:val="en_US" w:bidi="en_US"/>
        </w:rPr>
        <w:t xml:space="preserve"> The phrase </w:t>
      </w:r>
      <w:r>
        <w:rPr>
          <w:i/>
          <w:lang w:val="en_US" w:bidi="en_US"/>
        </w:rPr>
        <w:t>the news about Jesus spread</w:t>
      </w:r>
      <w:r>
        <w:rPr>
          <w:lang w:val="en_US" w:bidi="en_US"/>
        </w:rPr>
        <w:t xml:space="preserve"> means that people went and told many other people what Jesus had done. More and more people learned that Jesus had raised the young man from the dead.</w:t>
      </w:r>
    </w:p>
    <w:p>
      <w:pPr/>
      <w:r>
        <w:rPr>
          <w:lang w:val="en_US" w:bidi="en_US"/>
        </w:rPr>
      </w:r>
      <w:r>
        <w:rPr>
          <w:b/>
          <w:lang w:val="en_US" w:bidi="en_US"/>
        </w:rPr>
        <w:t>throughout Judea:</w:t>
      </w:r>
      <w:r>
        <w:rPr>
          <w:lang w:val="en_US" w:bidi="en_US"/>
        </w:rPr>
        <w:t xml:space="preserve"> In this context the word </w:t>
      </w:r>
      <w:r>
        <w:rPr>
          <w:i/>
          <w:lang w:val="en_US" w:bidi="en_US"/>
        </w:rPr>
        <w:t>Judea</w:t>
      </w:r>
      <w:r>
        <w:rPr>
          <w:lang w:val="en_US" w:bidi="en_US"/>
        </w:rPr>
        <w:t xml:space="preserve"> probably includes all the country of the Jews including Galilee and Judea. You could translate this as:</w:t>
      </w:r>
    </w:p>
    <w:p>
      <w:pPr/>
      <w:r>
        <w:rPr>
          <w:lang w:val="en_US" w:bidi="en_US"/>
        </w:rPr>
      </w:r>
      <w:r>
        <w:rPr>
          <w:lang w:val="en_US" w:bidi="en_US"/>
        </w:rPr>
        <w:t>the region of/called Judea</w:t>
      </w:r>
    </w:p>
    <w:p>
      <w:pPr/>
      <w:r>
        <w:rPr>
          <w:lang w:val="en_US" w:bidi="en_US"/>
        </w:rPr>
      </w:r>
      <w:r>
        <w:rPr>
          <w:lang w:val="en_US" w:bidi="en_US"/>
        </w:rPr>
        <w:t>the country/land of the Jews</w:t>
      </w:r>
    </w:p>
    <w:p>
      <w:pPr/>
      <w:r>
        <w:rPr>
          <w:lang w:val="en_US" w:bidi="en_US"/>
        </w:rPr>
      </w:r>
      <w:r>
        <w:rPr>
          <w:b/>
          <w:lang w:val="en_US" w:bidi="en_US"/>
        </w:rPr>
        <w:t>all the surrounding region:</w:t>
      </w:r>
      <w:r>
        <w:rPr>
          <w:lang w:val="en_US" w:bidi="en_US"/>
        </w:rPr>
        <w:t xml:space="preserve"> The phrase </w:t>
      </w:r>
      <w:r>
        <w:rPr>
          <w:i/>
          <w:lang w:val="en_US" w:bidi="en_US"/>
        </w:rPr>
        <w:t>the surrounding region</w:t>
      </w:r>
      <w:r>
        <w:rPr>
          <w:lang w:val="en_US" w:bidi="en_US"/>
        </w:rPr>
        <w:t xml:space="preserve"> refers to the land surrounding the region of Judea. Another way to translate this could be:</w:t>
      </w:r>
    </w:p>
    <w:p>
      <w:pPr/>
      <w:r>
        <w:rPr>
          <w:lang w:val="en_US" w:bidi="en_US"/>
        </w:rPr>
      </w:r>
      <w:r>
        <w:rPr>
          <w:lang w:val="en_US" w:bidi="en_US"/>
        </w:rPr>
        <w:t>throughout Judea and all the land/places around it</w:t>
      </w:r>
      <w:r>
        <w:rPr>
          <w:lang w:val="en_US" w:bidi="en_US"/>
        </w:rPr>
      </w:r>
      <w:r>
        <w:rPr>
          <w:lang w:val="en_US" w:bidi="en_US"/>
        </w:rPr>
      </w:r>
    </w:p>
    <w:p>
      <w:pPr/>
      <w:r>
        <w:rPr>
          <w:lang w:val="en_US" w:bidi="en_US"/>
        </w:rPr>
      </w:r>
    </w:p>
    <w:p>
      <w:pPr>
        <w:pStyle w:val="Heading2"/>
      </w:pPr>
      <w:r>
        <w:rPr>
          <w:lang w:val="en_US" w:bidi="en_US"/>
        </w:rPr>
        <w:t>Luke 7:18</w:t>
      </w:r>
      <w:r>
        <w:rPr>
          <w:lang w:val="en_US" w:bidi="en_US"/>
        </w:rPr>
      </w:r>
    </w:p>
    <w:p>
      <w:pPr>
        <w:pStyle w:val="Heading4"/>
      </w:pPr>
      <w:r>
        <w:rPr>
          <w:lang w:val="en_US" w:bidi="en_US"/>
        </w:rPr>
        <w:t>Section 7:18–35: John the Baptizer sent messengers to Jesus</w:t>
      </w:r>
    </w:p>
    <w:p>
      <w:pPr/>
      <w:r>
        <w:rPr>
          <w:lang w:val="en_US" w:bidi="en_US"/>
        </w:rPr>
      </w:r>
      <w:r>
        <w:rPr>
          <w:lang w:val="en_US" w:bidi="en_US"/>
        </w:rP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pPr/>
      <w:r>
        <w:rPr>
          <w:lang w:val="en_US" w:bidi="en_US"/>
        </w:rPr>
      </w:r>
      <w:r>
        <w:rPr>
          <w:lang w:val="en_US" w:bidi="en_US"/>
        </w:rP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responds to the messengers of John the Baptizer and speaks about John to the crowd</w:t>
      </w:r>
    </w:p>
    <w:p>
      <w:pPr/>
      <w:r>
        <w:rPr>
          <w:lang w:val="en_US" w:bidi="en_US"/>
        </w:rPr>
      </w:r>
      <w:r>
        <w:rPr>
          <w:lang w:val="en_US" w:bidi="en_US"/>
        </w:rPr>
        <w:t>Jesus speaks to the people about John the Baptizer</w:t>
      </w:r>
    </w:p>
    <w:p>
      <w:pPr/>
      <w:r>
        <w:rPr>
          <w:lang w:val="en_US" w:bidi="en_US"/>
        </w:rPr>
      </w:r>
      <w:r>
        <w:rPr>
          <w:lang w:val="en_US" w:bidi="en_US"/>
        </w:rPr>
        <w:t>Jesus teaches about John the Baptizer</w:t>
      </w:r>
    </w:p>
    <w:p>
      <w:pPr/>
      <w:r>
        <w:rPr>
          <w:lang w:val="en_US" w:bidi="en_US"/>
        </w:rPr>
      </w:r>
      <w:r>
        <w:rPr>
          <w:lang w:val="en_US" w:bidi="en_US"/>
        </w:rPr>
        <w:t>There is a parallel passage for this section in Matthew 11:3–19.</w:t>
      </w:r>
    </w:p>
    <w:p>
      <w:pPr>
        <w:pStyle w:val="Heading5"/>
      </w:pPr>
      <w:r>
        <w:rPr>
          <w:lang w:val="en_US" w:bidi="en_US"/>
        </w:rPr>
        <w:t>7:18a</w:t>
      </w:r>
    </w:p>
    <w:p>
      <w:pPr/>
      <w:r>
        <w:rPr>
          <w:lang w:val="en_US" w:bidi="en_US"/>
        </w:rPr>
      </w:r>
      <w:r>
        <w:rPr>
          <w:b/>
          <w:lang w:val="en_US" w:bidi="en_US"/>
        </w:rPr>
        <w:t>Then John’s disciples informed him about all these things.</w:t>
      </w:r>
    </w:p>
    <w:p>
      <w:pPr>
        <w:pStyle w:val="ListBullet"/>
        <w:spacing w:line="240" w:lineRule="auto"/>
        <w:ind w:left="720"/>
      </w:pPr>
      <w:r>
        <w:rPr>
          <w:lang w:val="en_US" w:bidi="en_US"/>
        </w:rPr>
      </w:r>
      <w:r>
        <w:rPr>
          <w:lang w:val="en_US" w:bidi="en_US"/>
        </w:rPr>
        <w:t xml:space="preserve">¶ The disciples of John </w:t>
      </w:r>
      <w:r>
        <w:rPr>
          <w:lang w:val="en_US" w:bidi="en_US"/>
        </w:rPr>
        <w:t>the Baptizer</w:t>
      </w:r>
      <w:r>
        <w:rPr>
          <w:lang w:val="en_US" w:bidi="en_US"/>
        </w:rPr>
        <w:t xml:space="preserve"> told him/John about all these things.</w:t>
      </w:r>
    </w:p>
    <w:p>
      <w:pPr>
        <w:pStyle w:val="ListBullet"/>
        <w:spacing w:line="240" w:lineRule="auto"/>
        <w:ind w:left="720"/>
      </w:pPr>
      <w:r>
        <w:rPr>
          <w:lang w:val="en_US" w:bidi="en_US"/>
        </w:rPr>
      </w:r>
      <w:r>
        <w:rPr>
          <w:lang w:val="en_US" w:bidi="en_US"/>
        </w:rPr>
        <w:t xml:space="preserve">¶ John, </w:t>
      </w:r>
      <w:r>
        <w:rPr>
          <w:lang w:val="en_US" w:bidi="en_US"/>
        </w:rPr>
        <w:t>the one who baptized people,</w:t>
      </w:r>
      <w:r>
        <w:rPr>
          <w:lang w:val="en_US" w:bidi="en_US"/>
        </w:rPr>
        <w:t xml:space="preserve"> learned/heard from his followers about all these things </w:t>
      </w:r>
      <w:r>
        <w:rPr>
          <w:lang w:val="en_US" w:bidi="en_US"/>
        </w:rPr>
        <w:t>that Jesus was doing</w:t>
      </w:r>
      <w:r>
        <w:rPr>
          <w:lang w:val="en_US" w:bidi="en_US"/>
        </w:rPr>
        <w:t>.</w:t>
      </w:r>
    </w:p>
    <w:p>
      <w:pPr/>
      <w:r>
        <w:rPr>
          <w:lang w:val="en_US" w:bidi="en_US"/>
        </w:rPr>
      </w:r>
      <w:r>
        <w:rPr>
          <w:b/>
          <w:lang w:val="en_US" w:bidi="en_US"/>
        </w:rPr>
        <w:t>Then John’s disciples informed him about all these things:</w:t>
      </w:r>
      <w:r>
        <w:rPr>
          <w:lang w:val="en_US" w:bidi="en_US"/>
        </w:rPr>
        <w:t xml:space="preserve"> John is in focus in this paragraph. In some languages it may be more natural to make John the subject of the sentence here. For example:</w:t>
      </w:r>
    </w:p>
    <w:p>
      <w:pPr/>
      <w:r>
        <w:rPr>
          <w:lang w:val="en_US" w:bidi="en_US"/>
        </w:rPr>
      </w:r>
      <w:r>
        <w:rPr>
          <w:lang w:val="en_US" w:bidi="en_US"/>
        </w:rPr>
        <w:t>John heard about all these things from his disciples.</w:t>
      </w:r>
    </w:p>
    <w:p>
      <w:pPr/>
      <w:r>
        <w:rPr>
          <w:lang w:val="en_US" w:bidi="en_US"/>
        </w:rPr>
      </w:r>
      <w:r>
        <w:rPr>
          <w:b/>
          <w:lang w:val="en_US" w:bidi="en_US"/>
        </w:rPr>
        <w:t>John’s:</w:t>
      </w:r>
      <w:r>
        <w:rPr>
          <w:lang w:val="en_US" w:bidi="en_US"/>
        </w:rPr>
        <w:t xml:space="preserve"> The name John here refers to John the Baptizer. In 7:20b the full title “John the Baptizer” is used. It may be more natural to use this full title here where John is first mentioned.</w:t>
      </w:r>
    </w:p>
    <w:p>
      <w:pPr/>
      <w:r>
        <w:rPr>
          <w:lang w:val="en_US" w:bidi="en_US"/>
        </w:rPr>
      </w:r>
      <w:r>
        <w:rPr>
          <w:lang w:val="en_US" w:bidi="en_US"/>
        </w:rPr>
        <w:t>We know from Luke 3:20 and Matthew 11:2 that John was in prison when the events in this section happened. You could consider giving this information in a footnote or making it explicit in this verse. For example:</w:t>
      </w:r>
    </w:p>
    <w:p>
      <w:pPr/>
      <w:r>
        <w:rPr>
          <w:lang w:val="en_US" w:bidi="en_US"/>
        </w:rPr>
      </w:r>
      <w:r>
        <w:rPr>
          <w:lang w:val="en_US" w:bidi="en_US"/>
        </w:rPr>
        <w:t xml:space="preserve">John’s disciples told him about all these things </w:t>
      </w:r>
      <w:r>
        <w:rPr>
          <w:lang w:val="en_US" w:bidi="en_US"/>
        </w:rPr>
        <w:t>while he was in prison</w:t>
      </w:r>
      <w:r>
        <w:rPr>
          <w:lang w:val="en_US" w:bidi="en_US"/>
        </w:rPr>
        <w:t>.</w:t>
      </w:r>
    </w:p>
    <w:p>
      <w:pPr/>
      <w:r>
        <w:rPr>
          <w:lang w:val="en_US" w:bidi="en_US"/>
        </w:rPr>
      </w:r>
      <w:r>
        <w:rPr>
          <w:b/>
          <w:lang w:val="en_US" w:bidi="en_US"/>
        </w:rPr>
        <w:t>disciples:</w:t>
      </w:r>
      <w:r>
        <w:rPr>
          <w:lang w:val="en_US" w:bidi="en_US"/>
        </w:rPr>
        <w:t xml:space="preserve"> For help in translating the word </w:t>
      </w:r>
      <w:r>
        <w:rPr>
          <w:i/>
          <w:lang w:val="en_US" w:bidi="en_US"/>
        </w:rPr>
        <w:t>disciples</w:t>
      </w:r>
      <w:r>
        <w:rPr>
          <w:lang w:val="en_US" w:bidi="en_US"/>
        </w:rPr>
        <w:t xml:space="preserve">, see the note on </w:t>
      </w:r>
      <w:r>
        <w:rPr>
          <w:i/>
          <w:lang w:val="en_US" w:bidi="en_US"/>
        </w:rPr>
        <w:t>disciples</w:t>
      </w:r>
      <w:r>
        <w:rPr>
          <w:lang w:val="en_US" w:bidi="en_US"/>
        </w:rPr>
        <w:t xml:space="preserve"> at 5:30a. See also disciple in the Glossary for more information.</w:t>
      </w:r>
    </w:p>
    <w:p>
      <w:pPr/>
      <w:r>
        <w:rPr>
          <w:lang w:val="en_US" w:bidi="en_US"/>
        </w:rPr>
      </w:r>
      <w:r>
        <w:rPr>
          <w:b/>
          <w:lang w:val="en_US" w:bidi="en_US"/>
        </w:rPr>
        <w:t>all these things:</w:t>
      </w:r>
      <w:r>
        <w:rPr>
          <w:lang w:val="en_US" w:bidi="en_US"/>
        </w:rPr>
        <w:t xml:space="preserve"> The phrase </w:t>
      </w:r>
      <w:r>
        <w:rPr>
          <w:i/>
          <w:lang w:val="en_US" w:bidi="en_US"/>
        </w:rPr>
        <w:t>all these things</w:t>
      </w:r>
      <w:r>
        <w:rPr>
          <w:lang w:val="en_US" w:bidi="en_US"/>
        </w:rPr>
        <w:t xml:space="preserve"> refers to all the things that Jesus had been doing, including the miracle at Nain (7:11–17) and other miracles.</w:t>
      </w:r>
    </w:p>
    <w:p>
      <w:pPr>
        <w:pStyle w:val="Heading5"/>
      </w:pPr>
      <w:r>
        <w:rPr>
          <w:lang w:val="en_US" w:bidi="en_US"/>
        </w:rPr>
        <w:t>7:18b–19c</w:t>
      </w:r>
    </w:p>
    <w:p>
      <w:pPr/>
      <w:r>
        <w:rPr>
          <w:lang w:val="en_US" w:bidi="en_US"/>
        </w:rPr>
      </w:r>
      <w:r>
        <w:rPr>
          <w:lang w:val="en_US" w:bidi="en_US"/>
        </w:rPr>
        <w:t>There is an issue here about where to place the verse number for 7:19. Most English versions begin 7:19 with the clause “(John) sent them to the Lord.…”</w:t>
      </w:r>
      <w:r>
        <w:rPr>
          <w:lang w:val="en_US" w:bidi="en_US"/>
        </w:rPr>
        <w:t xml:space="preserve">The </w:t>
      </w:r>
      <w:r>
        <w:rPr>
          <w:i/>
          <w:lang w:val="en_US" w:bidi="en_US"/>
        </w:rPr>
        <w:t>UBS Greek New Testament</w:t>
      </w:r>
      <w:r>
        <w:rPr>
          <w:lang w:val="en_US" w:bidi="en_US"/>
        </w:rPr>
        <w:t xml:space="preserve"> does this.</w:t>
      </w:r>
      <w:r>
        <w:rPr>
          <w:lang w:val="en_US" w:bidi="en_US"/>
        </w:rPr>
        <w:t xml:space="preserve"> Some other versions, including the BSB, place the verse number for 7:19 earlier, at the beginning of the clause “And (John) called two of them…”</w:t>
      </w:r>
    </w:p>
    <w:p>
      <w:pPr/>
      <w:r>
        <w:rPr>
          <w:lang w:val="en_US" w:bidi="en_US"/>
        </w:rPr>
      </w:r>
      <w:r>
        <w:rPr>
          <w:lang w:val="en_US" w:bidi="en_US"/>
        </w:rPr>
        <w:t>You may want to follow a major language version in your area and place these words in the same position as that version does. Another possibility would be to combine verses 18 and 19 and number them as “18–19.”</w:t>
      </w:r>
      <w:r>
        <w:rPr>
          <w:lang w:val="en_US" w:bidi="en_US"/>
        </w:rPr>
      </w:r>
      <w:r>
        <w:rPr>
          <w:lang w:val="en_US" w:bidi="en_US"/>
        </w:rPr>
      </w:r>
    </w:p>
    <w:p>
      <w:pPr/>
      <w:r>
        <w:rPr>
          <w:lang w:val="en_US" w:bidi="en_US"/>
        </w:rPr>
      </w:r>
    </w:p>
    <w:p>
      <w:pPr>
        <w:pStyle w:val="Heading2"/>
      </w:pPr>
      <w:r>
        <w:rPr>
          <w:lang w:val="en_US" w:bidi="en_US"/>
        </w:rPr>
        <w:t>Luke 7:19</w:t>
      </w:r>
      <w:r>
        <w:rPr>
          <w:lang w:val="en_US" w:bidi="en_US"/>
        </w:rPr>
      </w:r>
    </w:p>
    <w:p>
      <w:pPr>
        <w:pStyle w:val="Heading4"/>
      </w:pPr>
      <w:r>
        <w:rPr>
          <w:lang w:val="en_US" w:bidi="en_US"/>
        </w:rPr>
        <w:t>Section 7:18–35: John the Baptizer sent messengers to Jesus</w:t>
      </w:r>
    </w:p>
    <w:p>
      <w:pPr/>
      <w:r>
        <w:rPr>
          <w:lang w:val="en_US" w:bidi="en_US"/>
        </w:rPr>
      </w:r>
      <w:r>
        <w:rPr>
          <w:lang w:val="en_US" w:bidi="en_US"/>
        </w:rP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pPr/>
      <w:r>
        <w:rPr>
          <w:lang w:val="en_US" w:bidi="en_US"/>
        </w:rPr>
      </w:r>
      <w:r>
        <w:rPr>
          <w:lang w:val="en_US" w:bidi="en_US"/>
        </w:rP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responds to the messengers of John the Baptizer and speaks about John to the crowd</w:t>
      </w:r>
    </w:p>
    <w:p>
      <w:pPr/>
      <w:r>
        <w:rPr>
          <w:lang w:val="en_US" w:bidi="en_US"/>
        </w:rPr>
      </w:r>
      <w:r>
        <w:rPr>
          <w:lang w:val="en_US" w:bidi="en_US"/>
        </w:rPr>
        <w:t>Jesus speaks to the people about John the Baptizer</w:t>
      </w:r>
    </w:p>
    <w:p>
      <w:pPr/>
      <w:r>
        <w:rPr>
          <w:lang w:val="en_US" w:bidi="en_US"/>
        </w:rPr>
      </w:r>
      <w:r>
        <w:rPr>
          <w:lang w:val="en_US" w:bidi="en_US"/>
        </w:rPr>
        <w:t>Jesus teaches about John the Baptizer</w:t>
      </w:r>
    </w:p>
    <w:p>
      <w:pPr/>
      <w:r>
        <w:rPr>
          <w:lang w:val="en_US" w:bidi="en_US"/>
        </w:rPr>
      </w:r>
      <w:r>
        <w:rPr>
          <w:lang w:val="en_US" w:bidi="en_US"/>
        </w:rPr>
        <w:t>There is a parallel passage for this section in Matthew 11:3–19.</w:t>
      </w:r>
    </w:p>
    <w:p>
      <w:pPr>
        <w:pStyle w:val="Heading5"/>
      </w:pPr>
      <w:r>
        <w:rPr>
          <w:lang w:val="en_US" w:bidi="en_US"/>
        </w:rPr>
        <w:t>7:19a</w:t>
      </w:r>
    </w:p>
    <w:p>
      <w:pPr/>
      <w:r>
        <w:rPr>
          <w:lang w:val="en_US" w:bidi="en_US"/>
        </w:rPr>
      </w:r>
      <w:r>
        <w:rPr>
          <w:b/>
          <w:lang w:val="en_US" w:bidi="en_US"/>
        </w:rPr>
        <w:t>(7:18b-19a in BSB) So John called two of his disciples and sent them to ask the Lord,</w:t>
      </w:r>
    </w:p>
    <w:p>
      <w:pPr>
        <w:pStyle w:val="ListBullet"/>
        <w:spacing w:line="240" w:lineRule="auto"/>
        <w:ind w:left="720"/>
      </w:pPr>
      <w:r>
        <w:rPr>
          <w:lang w:val="en_US" w:bidi="en_US"/>
        </w:rPr>
      </w:r>
      <w:r>
        <w:rPr>
          <w:lang w:val="en_US" w:bidi="en_US"/>
        </w:rPr>
        <w:t>So</w:t>
      </w:r>
      <w:r>
        <w:rPr>
          <w:lang w:val="en_US" w:bidi="en_US"/>
        </w:rPr>
        <w:t xml:space="preserve"> John called two of his disciples, and he sent them to the Master in order to ask him,</w:t>
      </w:r>
    </w:p>
    <w:p>
      <w:pPr>
        <w:pStyle w:val="ListBullet"/>
        <w:spacing w:line="240" w:lineRule="auto"/>
        <w:ind w:left="720"/>
      </w:pPr>
      <w:r>
        <w:rPr>
          <w:lang w:val="en_US" w:bidi="en_US"/>
        </w:rPr>
      </w:r>
      <w:r>
        <w:rPr>
          <w:lang w:val="en_US" w:bidi="en_US"/>
        </w:rPr>
        <w:t>Then</w:t>
      </w:r>
      <w:r>
        <w:rPr>
          <w:lang w:val="en_US" w:bidi="en_US"/>
        </w:rPr>
        <w:t xml:space="preserve"> he chose two of them and sent them</w:t>
      </w:r>
      <w:r>
        <w:rPr>
          <w:vertAlign w:val="superscript"/>
          <w:lang w:val="en_US" w:bidi="en_US"/>
        </w:rPr>
        <w:t>(dual)</w:t>
      </w:r>
      <w:r>
        <w:rPr>
          <w:lang w:val="en_US" w:bidi="en_US"/>
        </w:rPr>
        <w:t xml:space="preserve"> to </w:t>
      </w:r>
      <w:r>
        <w:rPr>
          <w:lang w:val="en_US" w:bidi="en_US"/>
        </w:rPr>
        <w:t>Jesus</w:t>
      </w:r>
      <w:r>
        <w:rPr>
          <w:lang w:val="en_US" w:bidi="en_US"/>
        </w:rPr>
        <w:t>, the Lord, to ask him</w:t>
      </w:r>
    </w:p>
    <w:p>
      <w:pPr/>
      <w:r>
        <w:rPr>
          <w:lang w:val="en_US" w:bidi="en_US"/>
        </w:rPr>
      </w:r>
      <w:r>
        <w:rPr>
          <w:b/>
          <w:lang w:val="en_US" w:bidi="en_US"/>
        </w:rPr>
        <w:t>So</w:t>
      </w:r>
      <w:r>
        <w:rPr>
          <w:lang w:val="en_US" w:bidi="en_US"/>
        </w:rPr>
        <w:t xml:space="preserve"> In Greek, 7:19a begins with a common conjunction that is often translated as “and.” The BSB and several other English versions translate this conjunction as “so” to indicate that John sent his disciples to Jesus in response to what he had heard about him. Other English versions do not translate this conjunction. Connect 7:18b to 7:18a in a way that is natural in your language.</w:t>
      </w:r>
    </w:p>
    <w:p>
      <w:pPr/>
      <w:r>
        <w:rPr>
          <w:lang w:val="en_US" w:bidi="en_US"/>
        </w:rPr>
      </w:r>
      <w:r>
        <w:rPr>
          <w:b/>
          <w:lang w:val="en_US" w:bidi="en_US"/>
        </w:rPr>
        <w:t>John called two of his disciples and sent them to ask the Lord:</w:t>
      </w:r>
      <w:r>
        <w:rPr>
          <w:lang w:val="en_US" w:bidi="en_US"/>
        </w:rPr>
        <w:t xml:space="preserve"> The phrase that the BSB translates as </w:t>
      </w:r>
      <w:r>
        <w:rPr>
          <w:i/>
          <w:lang w:val="en_US" w:bidi="en_US"/>
        </w:rPr>
        <w:t>sent them to ask the Lord</w:t>
      </w:r>
      <w:r>
        <w:rPr>
          <w:lang w:val="en_US" w:bidi="en_US"/>
        </w:rPr>
        <w:t xml:space="preserve"> is literally “sent them to the Lord, saying.” The BSB is stating the implied purpose for which John sent his disciples to Jesus. Another way to translate this is:</w:t>
      </w:r>
    </w:p>
    <w:p>
      <w:pPr/>
      <w:r>
        <w:rPr>
          <w:lang w:val="en_US" w:bidi="en_US"/>
        </w:rPr>
      </w:r>
      <w:r>
        <w:rPr>
          <w:lang w:val="en_US" w:bidi="en_US"/>
        </w:rPr>
        <w:t>sent them to the Lord to ask him (GNT, NLT)</w:t>
      </w:r>
    </w:p>
    <w:p>
      <w:pPr/>
      <w:r>
        <w:rPr>
          <w:lang w:val="en_US" w:bidi="en_US"/>
        </w:rPr>
      </w:r>
      <w:r>
        <w:rPr>
          <w:b/>
          <w:lang w:val="en_US" w:bidi="en_US"/>
        </w:rPr>
        <w:t>the Lord:</w:t>
      </w:r>
      <w:r>
        <w:rPr>
          <w:lang w:val="en_US" w:bidi="en_US"/>
        </w:rPr>
        <w:t xml:space="preserve"> </w:t>
      </w:r>
      <w:r>
        <w:rPr>
          <w:lang w:val="en_US" w:bidi="en_US"/>
        </w:rPr>
        <w:t>There is a textual issue here. Some Greek manuscripts say “the Lord.” Other manuscripts say “Jesus.” The KJV and the NET follow the manuscripts that say “Jesus.” It is recommended that you follow the manuscripts that say “the Lord,” as the majority of English versions do, including the BSB. However, if the national language version in your area has the same reading as the KJV and NET here, you may want to include a footnote in your translation. For example: Some Greek manuscripts have “Jesus.”</w:t>
      </w:r>
      <w:r>
        <w:rPr>
          <w:lang w:val="en_US" w:bidi="en_US"/>
        </w:rPr>
        <w:t xml:space="preserve"> The Greek word that the BSB translates as </w:t>
      </w:r>
      <w:r>
        <w:rPr>
          <w:i/>
          <w:lang w:val="en_US" w:bidi="en_US"/>
        </w:rPr>
        <w:t>Lord</w:t>
      </w:r>
      <w:r>
        <w:rPr>
          <w:lang w:val="en_US" w:bidi="en_US"/>
        </w:rPr>
        <w:t xml:space="preserve"> means “master” or “one who has authority over others.” In this context </w:t>
      </w:r>
      <w:r>
        <w:rPr>
          <w:i/>
          <w:lang w:val="en_US" w:bidi="en_US"/>
        </w:rPr>
        <w:t>the Lord</w:t>
      </w:r>
      <w:r>
        <w:rPr>
          <w:lang w:val="en_US" w:bidi="en_US"/>
        </w:rPr>
        <w:t xml:space="preserve"> is a title for Jesus. Some other ways to translate this are:</w:t>
      </w:r>
    </w:p>
    <w:p>
      <w:pPr/>
      <w:r>
        <w:rPr>
          <w:lang w:val="en_US" w:bidi="en_US"/>
        </w:rPr>
      </w:r>
      <w:r>
        <w:rPr>
          <w:lang w:val="en_US" w:bidi="en_US"/>
        </w:rPr>
        <w:t>the Master</w:t>
      </w:r>
    </w:p>
    <w:p>
      <w:pPr/>
      <w:r>
        <w:rPr>
          <w:lang w:val="en_US" w:bidi="en_US"/>
        </w:rPr>
      </w:r>
      <w:r>
        <w:rPr>
          <w:lang w:val="en_US" w:bidi="en_US"/>
        </w:rPr>
        <w:t>the Chief</w:t>
      </w:r>
    </w:p>
    <w:p>
      <w:pPr/>
      <w:r>
        <w:rPr>
          <w:lang w:val="en_US" w:bidi="en_US"/>
        </w:rPr>
      </w:r>
      <w:r>
        <w:rPr>
          <w:lang w:val="en_US" w:bidi="en_US"/>
        </w:rPr>
        <w:t>In some languages it may be necessary to add his name here. For example:</w:t>
      </w:r>
    </w:p>
    <w:p>
      <w:pPr/>
      <w:r>
        <w:rPr>
          <w:lang w:val="en_US" w:bidi="en_US"/>
        </w:rPr>
      </w:r>
      <w:r>
        <w:rPr>
          <w:lang w:val="en_US" w:bidi="en_US"/>
        </w:rPr>
        <w:t>the Lord Jesus</w:t>
      </w:r>
    </w:p>
    <w:p>
      <w:pPr/>
      <w:r>
        <w:rPr>
          <w:lang w:val="en_US" w:bidi="en_US"/>
        </w:rPr>
      </w:r>
      <w:r>
        <w:rPr>
          <w:lang w:val="en_US" w:bidi="en_US"/>
        </w:rPr>
        <w:t>Jesus, the Master</w:t>
      </w:r>
    </w:p>
    <w:p>
      <w:pPr/>
      <w:r>
        <w:rPr>
          <w:lang w:val="en_US" w:bidi="en_US"/>
        </w:rPr>
      </w:r>
      <w:r>
        <w:rPr>
          <w:lang w:val="en_US" w:bidi="en_US"/>
        </w:rPr>
        <w:t>In other languages it may be necessary to indicate whose Lord is referred to. If that is true in your language, if you use the pronoun “our,” it should be the inclusive form, if your language uses that form. For example:</w:t>
      </w:r>
    </w:p>
    <w:p>
      <w:pPr/>
      <w:r>
        <w:rPr>
          <w:lang w:val="en_US" w:bidi="en_US"/>
        </w:rPr>
      </w:r>
      <w:r>
        <w:rPr>
          <w:lang w:val="en_US" w:bidi="en_US"/>
        </w:rPr>
        <w:t>our</w:t>
      </w:r>
      <w:r>
        <w:rPr>
          <w:vertAlign w:val="superscript"/>
          <w:lang w:val="en_US" w:bidi="en_US"/>
        </w:rPr>
        <w:t>(incl)</w:t>
      </w:r>
      <w:r>
        <w:rPr>
          <w:lang w:val="en_US" w:bidi="en_US"/>
        </w:rPr>
        <w:t xml:space="preserve"> Lord</w:t>
      </w:r>
    </w:p>
    <w:p>
      <w:pPr/>
      <w:r>
        <w:rPr>
          <w:lang w:val="en_US" w:bidi="en_US"/>
        </w:rPr>
      </w:r>
      <w:r>
        <w:rPr>
          <w:lang w:val="en_US" w:bidi="en_US"/>
        </w:rPr>
        <w:t>See Lord, Context 2, in the Glossary.</w:t>
      </w:r>
    </w:p>
    <w:p>
      <w:pPr>
        <w:pStyle w:val="Heading5"/>
      </w:pPr>
      <w:r>
        <w:rPr>
          <w:lang w:val="en_US" w:bidi="en_US"/>
        </w:rPr>
        <w:t>7:19b</w:t>
      </w:r>
    </w:p>
    <w:p>
      <w:pPr/>
      <w:r>
        <w:rPr>
          <w:lang w:val="en_US" w:bidi="en_US"/>
        </w:rPr>
      </w:r>
      <w:r>
        <w:rPr>
          <w:b/>
          <w:lang w:val="en_US" w:bidi="en_US"/>
        </w:rPr>
        <w:t>“Are You the One who was to come,</w:t>
      </w:r>
    </w:p>
    <w:p>
      <w:pPr>
        <w:pStyle w:val="ListBullet"/>
        <w:spacing w:line="240" w:lineRule="auto"/>
        <w:ind w:left="720"/>
      </w:pPr>
      <w:r>
        <w:rPr>
          <w:lang w:val="en_US" w:bidi="en_US"/>
        </w:rPr>
      </w:r>
      <w:r>
        <w:rPr>
          <w:lang w:val="en_US" w:bidi="en_US"/>
        </w:rPr>
        <w:t>“Are you</w:t>
      </w:r>
      <w:r>
        <w:rPr>
          <w:vertAlign w:val="superscript"/>
          <w:lang w:val="en_US" w:bidi="en_US"/>
        </w:rPr>
        <w:t>(sing)</w:t>
      </w:r>
      <w:r>
        <w:rPr>
          <w:lang w:val="en_US" w:bidi="en_US"/>
        </w:rPr>
        <w:t xml:space="preserve"> the Coming One,</w:t>
      </w:r>
    </w:p>
    <w:p>
      <w:pPr>
        <w:pStyle w:val="ListBullet"/>
        <w:spacing w:line="240" w:lineRule="auto"/>
        <w:ind w:left="720"/>
      </w:pPr>
      <w:r>
        <w:rPr>
          <w:lang w:val="en_US" w:bidi="en_US"/>
        </w:rPr>
      </w:r>
      <w:r>
        <w:rPr>
          <w:lang w:val="en_US" w:bidi="en_US"/>
        </w:rPr>
        <w:t>“Are you</w:t>
      </w:r>
      <w:r>
        <w:rPr>
          <w:vertAlign w:val="superscript"/>
          <w:lang w:val="en_US" w:bidi="en_US"/>
        </w:rPr>
        <w:t>(sing)</w:t>
      </w:r>
      <w:r>
        <w:rPr>
          <w:lang w:val="en_US" w:bidi="en_US"/>
        </w:rPr>
        <w:t xml:space="preserve"> the One </w:t>
      </w:r>
      <w:r>
        <w:rPr>
          <w:lang w:val="en_US" w:bidi="en_US"/>
        </w:rPr>
        <w:t>who the prophets said</w:t>
      </w:r>
      <w:r>
        <w:rPr>
          <w:lang w:val="en_US" w:bidi="en_US"/>
        </w:rPr>
        <w:t xml:space="preserve"> would come,</w:t>
      </w:r>
    </w:p>
    <w:p>
      <w:pPr>
        <w:pStyle w:val="ListBullet"/>
        <w:spacing w:line="240" w:lineRule="auto"/>
        <w:ind w:left="720"/>
      </w:pPr>
      <w:r>
        <w:rPr>
          <w:lang w:val="en_US" w:bidi="en_US"/>
        </w:rPr>
      </w:r>
      <w:r>
        <w:rPr>
          <w:lang w:val="en_US" w:bidi="en_US"/>
        </w:rPr>
        <w:t xml:space="preserve">if he was the </w:t>
      </w:r>
      <w:r>
        <w:rPr>
          <w:lang w:val="en_US" w:bidi="en_US"/>
        </w:rPr>
        <w:t>Christ/Savior</w:t>
      </w:r>
      <w:r>
        <w:rPr>
          <w:lang w:val="en_US" w:bidi="en_US"/>
        </w:rPr>
        <w:t xml:space="preserve"> who </w:t>
      </w:r>
      <w:r>
        <w:rPr>
          <w:lang w:val="en_US" w:bidi="en_US"/>
        </w:rPr>
        <w:t>God promised</w:t>
      </w:r>
      <w:r>
        <w:rPr>
          <w:lang w:val="en_US" w:bidi="en_US"/>
        </w:rPr>
        <w:t xml:space="preserve"> would come,</w:t>
      </w:r>
    </w:p>
    <w:p>
      <w:pPr/>
      <w:r>
        <w:rPr>
          <w:lang w:val="en_US" w:bidi="en_US"/>
        </w:rPr>
      </w:r>
      <w:r>
        <w:rPr>
          <w:b/>
          <w:lang w:val="en_US" w:bidi="en_US"/>
        </w:rPr>
        <w:t>Are You:</w:t>
      </w:r>
      <w:r>
        <w:rPr>
          <w:lang w:val="en_US" w:bidi="en_US"/>
        </w:rPr>
        <w:t xml:space="preserve"> The word </w:t>
      </w:r>
      <w:r>
        <w:rPr>
          <w:i/>
          <w:lang w:val="en_US" w:bidi="en_US"/>
        </w:rPr>
        <w:t>You</w:t>
      </w:r>
      <w:r>
        <w:rPr>
          <w:lang w:val="en_US" w:bidi="en_US"/>
        </w:rPr>
        <w:t xml:space="preserve"> is emphatic here. If you have a way in your language to emphasize </w:t>
      </w:r>
      <w:r>
        <w:rPr>
          <w:i/>
          <w:lang w:val="en_US" w:bidi="en_US"/>
        </w:rPr>
        <w:t>You</w:t>
      </w:r>
      <w:r>
        <w:rPr>
          <w:lang w:val="en_US" w:bidi="en_US"/>
        </w:rPr>
        <w:t>, consider using it here.</w:t>
      </w:r>
    </w:p>
    <w:p>
      <w:pPr/>
      <w:r>
        <w:rPr>
          <w:lang w:val="en_US" w:bidi="en_US"/>
        </w:rPr>
      </w:r>
      <w:r>
        <w:rPr>
          <w:b/>
          <w:lang w:val="en_US" w:bidi="en_US"/>
        </w:rPr>
        <w:t>the One who was to come:</w:t>
      </w:r>
      <w:r>
        <w:rPr>
          <w:lang w:val="en_US" w:bidi="en_US"/>
        </w:rPr>
        <w:t xml:space="preserve"> The phrase </w:t>
      </w:r>
      <w:r>
        <w:rPr>
          <w:i/>
          <w:lang w:val="en_US" w:bidi="en_US"/>
        </w:rPr>
        <w:t>the One who was to come</w:t>
      </w:r>
      <w:r>
        <w:rPr>
          <w:lang w:val="en_US" w:bidi="en_US"/>
        </w:rPr>
        <w:t xml:space="preserve"> is literally “the coming one.” It is a title that refers to the Messiah. The Old Testament prophets had said that the Messiah would come. John the Baptizer was also a prophet who said that the Messiah would come. But he was not sure at this time that Jesus was the Messiah.</w:t>
      </w:r>
    </w:p>
    <w:p>
      <w:pPr/>
      <w:r>
        <w:rPr>
          <w:lang w:val="en_US" w:bidi="en_US"/>
        </w:rPr>
      </w:r>
      <w:r>
        <w:rPr>
          <w:lang w:val="en_US" w:bidi="en_US"/>
        </w:rPr>
        <w:t>Some other ways to translate this include:</w:t>
      </w:r>
    </w:p>
    <w:p>
      <w:pPr/>
      <w:r>
        <w:rPr>
          <w:lang w:val="en_US" w:bidi="en_US"/>
        </w:rPr>
      </w:r>
      <w:r>
        <w:rPr>
          <w:lang w:val="en_US" w:bidi="en_US"/>
        </w:rPr>
        <w:t>the Coming One</w:t>
      </w:r>
    </w:p>
    <w:p>
      <w:pPr/>
      <w:r>
        <w:rPr>
          <w:lang w:val="en_US" w:bidi="en_US"/>
        </w:rPr>
      </w:r>
      <w:r>
        <w:rPr>
          <w:lang w:val="en_US" w:bidi="en_US"/>
        </w:rPr>
        <w:t>the Expected One (NASB)</w:t>
      </w:r>
    </w:p>
    <w:p>
      <w:pPr/>
      <w:r>
        <w:rPr>
          <w:lang w:val="en_US" w:bidi="en_US"/>
        </w:rPr>
      </w:r>
      <w:r>
        <w:rPr>
          <w:lang w:val="en_US" w:bidi="en_US"/>
        </w:rPr>
        <w:t xml:space="preserve">the </w:t>
      </w:r>
      <w:r>
        <w:rPr>
          <w:lang w:val="en_US" w:bidi="en_US"/>
        </w:rPr>
        <w:t>person/savior</w:t>
      </w:r>
      <w:r>
        <w:rPr>
          <w:lang w:val="en_US" w:bidi="en_US"/>
        </w:rPr>
        <w:t xml:space="preserve"> whom </w:t>
      </w:r>
      <w:r>
        <w:rPr>
          <w:lang w:val="en_US" w:bidi="en_US"/>
        </w:rPr>
        <w:t>God</w:t>
      </w:r>
      <w:r>
        <w:rPr>
          <w:lang w:val="en_US" w:bidi="en_US"/>
        </w:rPr>
        <w:t xml:space="preserve"> promised </w:t>
      </w:r>
      <w:r>
        <w:rPr>
          <w:lang w:val="en_US" w:bidi="en_US"/>
        </w:rPr>
        <w:t>to send</w:t>
      </w:r>
      <w:r>
        <w:rPr>
          <w:lang w:val="en_US" w:bidi="en_US"/>
        </w:rPr>
        <w:t xml:space="preserve"> to us</w:t>
      </w:r>
    </w:p>
    <w:p>
      <w:pPr/>
      <w:r>
        <w:rPr>
          <w:lang w:val="en_US" w:bidi="en_US"/>
        </w:rPr>
      </w:r>
      <w:r>
        <w:rPr>
          <w:lang w:val="en_US" w:bidi="en_US"/>
        </w:rPr>
        <w:t>the Messiah we’ve been expecting (NLT)</w:t>
      </w:r>
    </w:p>
    <w:p>
      <w:pPr/>
      <w:r>
        <w:rPr>
          <w:lang w:val="en_US" w:bidi="en_US"/>
        </w:rPr>
      </w:r>
      <w:r>
        <w:rPr>
          <w:lang w:val="en_US" w:bidi="en_US"/>
        </w:rPr>
        <w:t>If you use a literal translation such as “the Coming One” you may want to include a footnote to explain that this was a title that referred to the Messiah.</w:t>
      </w:r>
    </w:p>
    <w:p>
      <w:pPr>
        <w:pStyle w:val="Heading5"/>
      </w:pPr>
      <w:r>
        <w:rPr>
          <w:lang w:val="en_US" w:bidi="en_US"/>
        </w:rPr>
        <w:t>7:19c</w:t>
      </w:r>
    </w:p>
    <w:p>
      <w:pPr/>
      <w:r>
        <w:rPr>
          <w:lang w:val="en_US" w:bidi="en_US"/>
        </w:rPr>
      </w:r>
      <w:r>
        <w:rPr>
          <w:b/>
          <w:lang w:val="en_US" w:bidi="en_US"/>
        </w:rPr>
        <w:t>or should we look for someone else?”</w:t>
      </w:r>
    </w:p>
    <w:p>
      <w:pPr>
        <w:pStyle w:val="ListBullet"/>
        <w:spacing w:line="240" w:lineRule="auto"/>
        <w:ind w:left="720"/>
      </w:pPr>
      <w:r>
        <w:rPr>
          <w:lang w:val="en_US" w:bidi="en_US"/>
        </w:rPr>
      </w:r>
      <w:r>
        <w:rPr>
          <w:lang w:val="en_US" w:bidi="en_US"/>
        </w:rPr>
        <w:t>or must we wait for someone else?”</w:t>
      </w:r>
    </w:p>
    <w:p>
      <w:pPr>
        <w:pStyle w:val="ListBullet"/>
        <w:spacing w:line="240" w:lineRule="auto"/>
        <w:ind w:left="720"/>
      </w:pPr>
      <w:r>
        <w:rPr>
          <w:lang w:val="en_US" w:bidi="en_US"/>
        </w:rPr>
      </w:r>
      <w:r>
        <w:rPr>
          <w:lang w:val="en_US" w:bidi="en_US"/>
        </w:rPr>
        <w:t xml:space="preserve">or if they should wait/look for a different </w:t>
      </w:r>
      <w:r>
        <w:rPr>
          <w:lang w:val="en_US" w:bidi="en_US"/>
        </w:rPr>
        <w:t>Christ/Savior</w:t>
      </w:r>
      <w:r>
        <w:rPr>
          <w:lang w:val="en_US" w:bidi="en_US"/>
        </w:rPr>
        <w:t>.</w:t>
      </w:r>
    </w:p>
    <w:p>
      <w:pPr/>
      <w:r>
        <w:rPr>
          <w:lang w:val="en_US" w:bidi="en_US"/>
        </w:rPr>
      </w:r>
      <w:r>
        <w:rPr>
          <w:b/>
          <w:lang w:val="en_US" w:bidi="en_US"/>
        </w:rPr>
        <w:t>or should we look for someone else:</w:t>
      </w:r>
      <w:r>
        <w:rPr>
          <w:lang w:val="en_US" w:bidi="en_US"/>
        </w:rPr>
        <w:t xml:space="preserve"> The Greek word that the BSB translates as </w:t>
      </w:r>
      <w:r>
        <w:rPr>
          <w:i/>
          <w:lang w:val="en_US" w:bidi="en_US"/>
        </w:rPr>
        <w:t>look for</w:t>
      </w:r>
      <w:r>
        <w:rPr>
          <w:lang w:val="en_US" w:bidi="en_US"/>
        </w:rPr>
        <w:t xml:space="preserve"> means “to wait for or watch for someone or something.” Here John asked whether he and the rest of the Jews should keep on waiting for the Messiah. He suggested that perhaps Jesus was not the Messiah and that they needed to wait for someone else.</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probably refers to all the Jews, including John and his disciples. Use an appropriate form in your language for this context.</w:t>
      </w:r>
      <w:r>
        <w:rPr>
          <w:lang w:val="en_US" w:bidi="en_US"/>
        </w:rPr>
        <w:t>Another way to look at 7:19c is that all the Jews were expecting the Messiah and John was not sure whether Jesus was the Messiah or was claiming to be the Messiah. Since Jesus was a Jew and they also were Jews, they may have included Jesus in the “we” who were expecting the Messiah. If they thought that Jesus was not the Messiah, then they must have also thought that he, along with them, would need to wait for someone else to come as the Messiah. The problem in translating the passage here is that they did not know for sure at that time. That is why they asked Jesus this question.</w:t>
      </w:r>
    </w:p>
    <w:p>
      <w:pPr>
        <w:pStyle w:val="Heading6"/>
      </w:pPr>
      <w:r>
        <w:rPr>
          <w:b/>
          <w:lang w:val="en_US" w:bidi="en_US"/>
        </w:rPr>
        <w:t>General Comment on 7:19a–c</w:t>
      </w:r>
    </w:p>
    <w:p>
      <w:pPr/>
      <w:r>
        <w:rPr>
          <w:lang w:val="en_US" w:bidi="en_US"/>
        </w:rPr>
      </w:r>
      <w:r>
        <w:rPr>
          <w:lang w:val="en_US" w:bidi="en_US"/>
        </w:rPr>
        <w:t>In some languages it may be natural to use indirect speech for the message that John’s disciples were to give to Jesus. For example:</w:t>
      </w:r>
    </w:p>
    <w:p>
      <w:pPr/>
      <w:r>
        <w:rPr>
          <w:lang w:val="en_US" w:bidi="en_US"/>
        </w:rPr>
      </w:r>
      <w:r>
        <w:rPr>
          <w:lang w:val="en_US" w:bidi="en_US"/>
        </w:rPr>
        <w:t>He sent them to ask the Lord if he was the one who was to come or if they should expect someone else.</w:t>
      </w:r>
      <w:r>
        <w:rPr>
          <w:lang w:val="en_US" w:bidi="en_US"/>
        </w:rPr>
      </w:r>
      <w:r>
        <w:rPr>
          <w:lang w:val="en_US" w:bidi="en_US"/>
        </w:rPr>
      </w:r>
    </w:p>
    <w:p>
      <w:pPr/>
      <w:r>
        <w:rPr>
          <w:lang w:val="en_US" w:bidi="en_US"/>
        </w:rPr>
      </w:r>
    </w:p>
    <w:p>
      <w:pPr>
        <w:pStyle w:val="Heading2"/>
      </w:pPr>
      <w:r>
        <w:rPr>
          <w:lang w:val="en_US" w:bidi="en_US"/>
        </w:rPr>
        <w:t>Luke 7:20</w:t>
      </w:r>
      <w:r>
        <w:rPr>
          <w:lang w:val="en_US" w:bidi="en_US"/>
        </w:rPr>
      </w:r>
    </w:p>
    <w:p>
      <w:pPr>
        <w:pStyle w:val="Heading4"/>
      </w:pPr>
      <w:r>
        <w:rPr>
          <w:lang w:val="en_US" w:bidi="en_US"/>
        </w:rPr>
        <w:t>Section 7:18–35: John the Baptizer sent messengers to Jesus</w:t>
      </w:r>
    </w:p>
    <w:p>
      <w:pPr/>
      <w:r>
        <w:rPr>
          <w:lang w:val="en_US" w:bidi="en_US"/>
        </w:rPr>
      </w:r>
      <w:r>
        <w:rPr>
          <w:lang w:val="en_US" w:bidi="en_US"/>
        </w:rP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pPr/>
      <w:r>
        <w:rPr>
          <w:lang w:val="en_US" w:bidi="en_US"/>
        </w:rPr>
      </w:r>
      <w:r>
        <w:rPr>
          <w:lang w:val="en_US" w:bidi="en_US"/>
        </w:rP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responds to the messengers of John the Baptizer and speaks about John to the crowd</w:t>
      </w:r>
    </w:p>
    <w:p>
      <w:pPr/>
      <w:r>
        <w:rPr>
          <w:lang w:val="en_US" w:bidi="en_US"/>
        </w:rPr>
      </w:r>
      <w:r>
        <w:rPr>
          <w:lang w:val="en_US" w:bidi="en_US"/>
        </w:rPr>
        <w:t>Jesus speaks to the people about John the Baptizer</w:t>
      </w:r>
    </w:p>
    <w:p>
      <w:pPr/>
      <w:r>
        <w:rPr>
          <w:lang w:val="en_US" w:bidi="en_US"/>
        </w:rPr>
      </w:r>
      <w:r>
        <w:rPr>
          <w:lang w:val="en_US" w:bidi="en_US"/>
        </w:rPr>
        <w:t>Jesus teaches about John the Baptizer</w:t>
      </w:r>
    </w:p>
    <w:p>
      <w:pPr/>
      <w:r>
        <w:rPr>
          <w:lang w:val="en_US" w:bidi="en_US"/>
        </w:rPr>
      </w:r>
      <w:r>
        <w:rPr>
          <w:lang w:val="en_US" w:bidi="en_US"/>
        </w:rPr>
        <w:t>There is a parallel passage for this section in Matthew 11:3–19.</w:t>
      </w:r>
    </w:p>
    <w:p>
      <w:pPr>
        <w:pStyle w:val="Heading5"/>
      </w:pPr>
      <w:r>
        <w:rPr>
          <w:lang w:val="en_US" w:bidi="en_US"/>
        </w:rPr>
        <w:t>7:20a</w:t>
      </w:r>
    </w:p>
    <w:p>
      <w:pPr/>
      <w:r>
        <w:rPr>
          <w:lang w:val="en_US" w:bidi="en_US"/>
        </w:rPr>
      </w:r>
      <w:r>
        <w:rPr>
          <w:b/>
          <w:lang w:val="en_US" w:bidi="en_US"/>
        </w:rPr>
        <w:t>When the men came to Jesus,</w:t>
      </w:r>
    </w:p>
    <w:p>
      <w:pPr>
        <w:pStyle w:val="ListBullet"/>
        <w:spacing w:line="240" w:lineRule="auto"/>
        <w:ind w:left="720"/>
      </w:pPr>
      <w:r>
        <w:rPr>
          <w:lang w:val="en_US" w:bidi="en_US"/>
        </w:rPr>
      </w:r>
      <w:r>
        <w:rPr>
          <w:lang w:val="en_US" w:bidi="en_US"/>
        </w:rPr>
        <w:t xml:space="preserve">When the </w:t>
      </w:r>
      <w:r>
        <w:rPr>
          <w:lang w:val="en_US" w:bidi="en_US"/>
        </w:rPr>
        <w:t>two disciples of John</w:t>
      </w:r>
      <w:r>
        <w:rPr>
          <w:lang w:val="en_US" w:bidi="en_US"/>
        </w:rPr>
        <w:t xml:space="preserve"> came to Jesus,</w:t>
      </w:r>
    </w:p>
    <w:p>
      <w:pPr>
        <w:pStyle w:val="ListBullet"/>
        <w:spacing w:line="240" w:lineRule="auto"/>
        <w:ind w:left="720"/>
      </w:pPr>
      <w:r>
        <w:rPr>
          <w:lang w:val="en_US" w:bidi="en_US"/>
        </w:rPr>
      </w:r>
      <w:r>
        <w:rPr>
          <w:lang w:val="en_US" w:bidi="en_US"/>
        </w:rPr>
        <w:t>When they arrived where Jesus was,</w:t>
      </w:r>
    </w:p>
    <w:p>
      <w:pPr/>
      <w:r>
        <w:rPr>
          <w:lang w:val="en_US" w:bidi="en_US"/>
        </w:rPr>
      </w:r>
      <w:r>
        <w:rPr>
          <w:b/>
          <w:lang w:val="en_US" w:bidi="en_US"/>
        </w:rPr>
        <w:t>the men:</w:t>
      </w:r>
      <w:r>
        <w:rPr>
          <w:lang w:val="en_US" w:bidi="en_US"/>
        </w:rPr>
        <w:t xml:space="preserve"> The phrase </w:t>
      </w:r>
      <w:r>
        <w:rPr>
          <w:i/>
          <w:lang w:val="en_US" w:bidi="en_US"/>
        </w:rPr>
        <w:t>the men</w:t>
      </w:r>
      <w:r>
        <w:rPr>
          <w:lang w:val="en_US" w:bidi="en_US"/>
        </w:rPr>
        <w:t xml:space="preserve"> refers to </w:t>
      </w:r>
      <w:r>
        <w:rPr>
          <w:u w:val="single"/>
          <w:lang w:val="en_US" w:bidi="en_US"/>
        </w:rPr>
        <w:t>the two disciples</w:t>
      </w:r>
      <w:r>
        <w:rPr>
          <w:lang w:val="en_US" w:bidi="en_US"/>
        </w:rPr>
        <w:t xml:space="preserve"> whom John had sent to Jesus. Another way to translate this is:</w:t>
      </w:r>
    </w:p>
    <w:p>
      <w:pPr/>
      <w:r>
        <w:rPr>
          <w:lang w:val="en_US" w:bidi="en_US"/>
        </w:rPr>
      </w:r>
      <w:r>
        <w:rPr>
          <w:lang w:val="en_US" w:bidi="en_US"/>
        </w:rPr>
        <w:t>they (GNT)</w:t>
      </w:r>
    </w:p>
    <w:p>
      <w:pPr>
        <w:pStyle w:val="Heading5"/>
      </w:pPr>
      <w:r>
        <w:rPr>
          <w:lang w:val="en_US" w:bidi="en_US"/>
        </w:rPr>
        <w:t>7:20b</w:t>
      </w:r>
    </w:p>
    <w:p>
      <w:pPr/>
      <w:r>
        <w:rPr>
          <w:lang w:val="en_US" w:bidi="en_US"/>
        </w:rPr>
      </w:r>
      <w:r>
        <w:rPr>
          <w:b/>
          <w:lang w:val="en_US" w:bidi="en_US"/>
        </w:rPr>
        <w:t>they said, “John the Baptist sent us to ask,</w:t>
      </w:r>
    </w:p>
    <w:p>
      <w:pPr>
        <w:pStyle w:val="ListBullet"/>
        <w:spacing w:line="240" w:lineRule="auto"/>
        <w:ind w:left="720"/>
      </w:pPr>
      <w:r>
        <w:rPr>
          <w:lang w:val="en_US" w:bidi="en_US"/>
        </w:rPr>
      </w:r>
      <w:r>
        <w:rPr>
          <w:lang w:val="en_US" w:bidi="en_US"/>
        </w:rPr>
        <w:t>they said, “John the Baptizer sent us</w:t>
      </w:r>
      <w:r>
        <w:rPr>
          <w:vertAlign w:val="superscript"/>
          <w:lang w:val="en_US" w:bidi="en_US"/>
        </w:rPr>
        <w:t>(excl)</w:t>
      </w:r>
      <w:r>
        <w:rPr>
          <w:lang w:val="en_US" w:bidi="en_US"/>
        </w:rPr>
        <w:t xml:space="preserve"> to you</w:t>
      </w:r>
      <w:r>
        <w:rPr>
          <w:vertAlign w:val="superscript"/>
          <w:lang w:val="en_US" w:bidi="en_US"/>
        </w:rPr>
        <w:t>(sing)</w:t>
      </w:r>
      <w:r>
        <w:rPr>
          <w:lang w:val="en_US" w:bidi="en_US"/>
        </w:rPr>
        <w:t xml:space="preserve"> to ask,</w:t>
      </w:r>
    </w:p>
    <w:p>
      <w:pPr>
        <w:pStyle w:val="ListBullet"/>
        <w:spacing w:line="240" w:lineRule="auto"/>
        <w:ind w:left="720"/>
      </w:pPr>
      <w:r>
        <w:rPr>
          <w:lang w:val="en_US" w:bidi="en_US"/>
        </w:rPr>
      </w:r>
      <w:r>
        <w:rPr>
          <w:lang w:val="en_US" w:bidi="en_US"/>
        </w:rPr>
        <w:t xml:space="preserve">they said to him, “John, the one who baptizes </w:t>
      </w:r>
      <w:r>
        <w:rPr>
          <w:lang w:val="en_US" w:bidi="en_US"/>
        </w:rPr>
        <w:t>people</w:t>
      </w:r>
      <w:r>
        <w:rPr>
          <w:lang w:val="en_US" w:bidi="en_US"/>
        </w:rPr>
        <w:t>, asked us</w:t>
      </w:r>
      <w:r>
        <w:rPr>
          <w:vertAlign w:val="superscript"/>
          <w:lang w:val="en_US" w:bidi="en_US"/>
        </w:rPr>
        <w:t>(excl)</w:t>
      </w:r>
      <w:r>
        <w:rPr>
          <w:lang w:val="en_US" w:bidi="en_US"/>
        </w:rPr>
        <w:t xml:space="preserve"> to come to you</w:t>
      </w:r>
      <w:r>
        <w:rPr>
          <w:vertAlign w:val="superscript"/>
          <w:lang w:val="en_US" w:bidi="en_US"/>
        </w:rPr>
        <w:t>(sing)</w:t>
      </w:r>
      <w:r>
        <w:rPr>
          <w:lang w:val="en_US" w:bidi="en_US"/>
        </w:rPr>
        <w:t xml:space="preserve"> to ask you</w:t>
      </w:r>
      <w:r>
        <w:rPr>
          <w:vertAlign w:val="superscript"/>
          <w:lang w:val="en_US" w:bidi="en_US"/>
        </w:rPr>
        <w:t>(sing)</w:t>
      </w:r>
    </w:p>
    <w:p>
      <w:pPr/>
      <w:r>
        <w:rPr>
          <w:lang w:val="en_US" w:bidi="en_US"/>
        </w:rPr>
      </w:r>
      <w:r>
        <w:rPr>
          <w:b/>
          <w:lang w:val="en_US" w:bidi="en_US"/>
        </w:rPr>
        <w:t>John the Baptist:</w:t>
      </w:r>
      <w:r>
        <w:rPr>
          <w:lang w:val="en_US" w:bidi="en_US"/>
        </w:rPr>
        <w:t xml:space="preserve"> John had baptized many people. As a result, he became known as </w:t>
      </w:r>
      <w:r>
        <w:rPr>
          <w:i/>
          <w:lang w:val="en_US" w:bidi="en_US"/>
        </w:rPr>
        <w:t>John the Baptist</w:t>
      </w:r>
      <w:r>
        <w:rPr>
          <w:lang w:val="en_US" w:bidi="en_US"/>
        </w:rPr>
        <w:t xml:space="preserve"> or “John the Baptizer.”</w:t>
      </w:r>
    </w:p>
    <w:p>
      <w:pPr/>
      <w:r>
        <w:rPr>
          <w:lang w:val="en_US" w:bidi="en_US"/>
        </w:rPr>
      </w:r>
      <w:r>
        <w:rPr>
          <w:lang w:val="en_US" w:bidi="en_US"/>
        </w:rPr>
        <w:t xml:space="preserve">If you use a verbal expression, such as “John the Baptizer” or “John who baptizes </w:t>
      </w:r>
      <w:r>
        <w:rPr>
          <w:lang w:val="en_US" w:bidi="en_US"/>
        </w:rPr>
        <w:t>people</w:t>
      </w:r>
      <w:r>
        <w:rPr>
          <w:lang w:val="en_US" w:bidi="en_US"/>
        </w:rPr>
        <w:t>,” be sure that you do not imply that John was still baptizing people at this time. He was in prison. (See the note about John at 7:18a.) For example, you could say:</w:t>
      </w:r>
    </w:p>
    <w:p>
      <w:pPr/>
      <w:r>
        <w:rPr>
          <w:lang w:val="en_US" w:bidi="en_US"/>
        </w:rPr>
      </w:r>
      <w:r>
        <w:rPr>
          <w:lang w:val="en_US" w:bidi="en_US"/>
        </w:rPr>
        <w:t xml:space="preserve">John who had baptized </w:t>
      </w:r>
      <w:r>
        <w:rPr>
          <w:lang w:val="en_US" w:bidi="en_US"/>
        </w:rPr>
        <w:t>people</w:t>
      </w:r>
    </w:p>
    <w:p>
      <w:pPr/>
      <w:r>
        <w:rPr>
          <w:lang w:val="en_US" w:bidi="en_US"/>
        </w:rPr>
      </w:r>
      <w:r>
        <w:rPr>
          <w:lang w:val="en_US" w:bidi="en_US"/>
        </w:rPr>
        <w:t xml:space="preserve">John who had been baptizing </w:t>
      </w:r>
      <w:r>
        <w:rPr>
          <w:lang w:val="en_US" w:bidi="en_US"/>
        </w:rPr>
        <w:t>people</w:t>
      </w:r>
    </w:p>
    <w:p>
      <w:pPr/>
      <w:r>
        <w:rPr>
          <w:lang w:val="en_US" w:bidi="en_US"/>
        </w:rPr>
      </w:r>
      <w:r>
        <w:rPr>
          <w:lang w:val="en_US" w:bidi="en_US"/>
        </w:rPr>
        <w:t xml:space="preserve">In many parts of the world, there are churches that are called Baptist Churches. If possible, translate </w:t>
      </w:r>
      <w:r>
        <w:rPr>
          <w:i/>
          <w:lang w:val="en_US" w:bidi="en_US"/>
        </w:rPr>
        <w:t>the Baptist</w:t>
      </w:r>
      <w:r>
        <w:rPr>
          <w:lang w:val="en_US" w:bidi="en_US"/>
        </w:rPr>
        <w:t xml:space="preserve"> in a way that means that John baptized people and not that he was the member of a Baptist church.</w:t>
      </w:r>
    </w:p>
    <w:p>
      <w:pPr/>
      <w:r>
        <w:rPr>
          <w:lang w:val="en_US" w:bidi="en_US"/>
        </w:rPr>
      </w:r>
      <w:r>
        <w:rPr>
          <w:lang w:val="en_US" w:bidi="en_US"/>
        </w:rPr>
        <w:t>See also baptize, Meaning 1, in the Glossary.</w:t>
      </w:r>
    </w:p>
    <w:p>
      <w:pPr/>
      <w:r>
        <w:rPr>
          <w:lang w:val="en_US" w:bidi="en_US"/>
        </w:rPr>
      </w:r>
      <w:r>
        <w:rPr>
          <w:b/>
          <w:lang w:val="en_US" w:bidi="en_US"/>
        </w:rPr>
        <w:t>the Baptist:</w:t>
      </w:r>
      <w:r>
        <w:rPr>
          <w:lang w:val="en_US" w:bidi="en_US"/>
        </w:rPr>
        <w:t xml:space="preserve"> The word </w:t>
      </w:r>
      <w:r>
        <w:rPr>
          <w:i/>
          <w:lang w:val="en_US" w:bidi="en_US"/>
        </w:rPr>
        <w:t>Baptist</w:t>
      </w:r>
      <w:r>
        <w:rPr>
          <w:lang w:val="en_US" w:bidi="en_US"/>
        </w:rPr>
        <w:t xml:space="preserve"> has the same meaning here as the word “baptizer.” It refers to a person who baptizes people. The verb “baptize” means to purify people with a special ritual that uses water. In this context the ritual involved purification from sin. It did not mean that the person was cleaned to remove dirt. Baptism was an initiation that marked the beginning of a person’s life as one of God’s pure people.</w:t>
      </w:r>
    </w:p>
    <w:p>
      <w:pPr/>
      <w:r>
        <w:rPr>
          <w:lang w:val="en_US" w:bidi="en_US"/>
        </w:rPr>
      </w:r>
      <w:r>
        <w:rPr>
          <w:lang w:val="en_US" w:bidi="en_US"/>
        </w:rPr>
        <w:t>You will probably need to decide how to translate the verb “baptize” before you translate the title “John the Baptizer.” Here are some ways to translate “baptize”:</w:t>
      </w:r>
    </w:p>
    <w:p>
      <w:pPr>
        <w:pStyle w:val="ListBullet"/>
        <w:spacing w:line="240" w:lineRule="auto"/>
        <w:ind w:left="720"/>
      </w:pPr>
      <w:r>
        <w:rPr>
          <w:lang w:val="en_US" w:bidi="en_US"/>
        </w:rPr>
      </w:r>
      <w:r>
        <w:rPr>
          <w:lang w:val="en_US" w:bidi="en_US"/>
        </w:rPr>
        <w:t>Use a descriptive term. For example:</w:t>
      </w:r>
      <w:r>
        <w:rPr>
          <w:lang w:val="en_US" w:bidi="en_US"/>
        </w:rPr>
        <w:t>ritually</w:t>
      </w:r>
      <w:r>
        <w:rPr>
          <w:lang w:val="en_US" w:bidi="en_US"/>
        </w:rPr>
        <w:t xml:space="preserve"> wash</w:t>
      </w:r>
      <w:r>
        <w:rPr>
          <w:lang w:val="en_US" w:bidi="en_US"/>
        </w:rPr>
        <w:t xml:space="preserve">initiate </w:t>
      </w:r>
      <w:r>
        <w:rPr>
          <w:lang w:val="en_US" w:bidi="en_US"/>
        </w:rPr>
        <w:t>people</w:t>
      </w:r>
      <w:r>
        <w:rPr>
          <w:lang w:val="en_US" w:bidi="en_US"/>
        </w:rPr>
        <w:t xml:space="preserve"> in/with water</w:t>
      </w:r>
      <w:r>
        <w:rPr>
          <w:lang w:val="en_US" w:bidi="en_US"/>
        </w:rPr>
        <w:t>immerse people in water for God</w:t>
      </w:r>
      <w:r>
        <w:rPr>
          <w:lang w:val="en_US" w:bidi="en_US"/>
        </w:rPr>
        <w:t>sprinkle/shower people with God’s initiation water</w:t>
      </w:r>
    </w:p>
    <w:p>
      <w:pPr>
        <w:pStyle w:val="ListBullet"/>
        <w:spacing w:line="240" w:lineRule="auto"/>
        <w:ind w:left="720"/>
      </w:pPr>
      <w:r>
        <w:rPr>
          <w:lang w:val="en_US" w:bidi="en_US"/>
        </w:rPr>
      </w:r>
      <w:r>
        <w:rPr>
          <w:lang w:val="en_US" w:bidi="en_US"/>
        </w:rPr>
        <w:t>Use a term for a similar ritual that is already used in your culture. You may need to indicate that in this context it has a special connection with God. For example:</w:t>
      </w:r>
      <w:r>
        <w:rPr>
          <w:lang w:val="en_US" w:bidi="en_US"/>
        </w:rPr>
        <w:t xml:space="preserve">purify people with </w:t>
      </w:r>
      <w:r>
        <w:rPr>
          <w:u w:val="single"/>
          <w:lang w:val="en_US" w:bidi="en_US"/>
        </w:rPr>
        <w:t>God’s</w:t>
      </w:r>
      <w:r>
        <w:rPr>
          <w:lang w:val="en_US" w:bidi="en_US"/>
        </w:rPr>
        <w:t xml:space="preserve"> ceremonial bath</w:t>
      </w:r>
      <w:r>
        <w:rPr>
          <w:lang w:val="en_US" w:bidi="en_US"/>
        </w:rPr>
        <w:t xml:space="preserve">wash people in initiation water </w:t>
      </w:r>
      <w:r>
        <w:rPr>
          <w:u w:val="single"/>
          <w:lang w:val="en_US" w:bidi="en_US"/>
        </w:rPr>
        <w:t>for God</w:t>
      </w:r>
    </w:p>
    <w:p>
      <w:pPr>
        <w:pStyle w:val="ListBullet"/>
        <w:spacing w:line="240" w:lineRule="auto"/>
        <w:ind w:left="720"/>
      </w:pPr>
      <w:r>
        <w:rPr>
          <w:lang w:val="en_US" w:bidi="en_US"/>
        </w:rPr>
      </w:r>
      <w:r>
        <w:rPr>
          <w:lang w:val="en_US" w:bidi="en_US"/>
        </w:rPr>
        <w:t>Use a term that is already accepted by the local churches. In some areas this term may have been borrowed from the national language or transliterated from Greek or English.</w:t>
      </w:r>
    </w:p>
    <w:p>
      <w:pPr/>
      <w:r>
        <w:rPr>
          <w:lang w:val="en_US" w:bidi="en_US"/>
        </w:rPr>
      </w:r>
      <w:r>
        <w:rPr>
          <w:lang w:val="en_US" w:bidi="en_US"/>
        </w:rPr>
        <w:t>Churches use different ways to baptize people. Choose a term that is acceptable to the different churches in your area.</w:t>
      </w:r>
    </w:p>
    <w:p>
      <w:pPr/>
      <w:r>
        <w:rPr>
          <w:lang w:val="en_US" w:bidi="en_US"/>
        </w:rPr>
      </w:r>
      <w:r>
        <w:rPr>
          <w:lang w:val="en_US" w:bidi="en_US"/>
        </w:rPr>
        <w:t>Some other ways to translate the title “John the Baptist” are:</w:t>
      </w:r>
    </w:p>
    <w:p>
      <w:pPr/>
      <w:r>
        <w:rPr>
          <w:lang w:val="en_US" w:bidi="en_US"/>
        </w:rPr>
      </w:r>
      <w:r>
        <w:rPr>
          <w:lang w:val="en_US" w:bidi="en_US"/>
        </w:rPr>
        <w:t xml:space="preserve">John who cleansed </w:t>
      </w:r>
      <w:r>
        <w:rPr>
          <w:lang w:val="en_US" w:bidi="en_US"/>
        </w:rPr>
        <w:t>people</w:t>
      </w:r>
      <w:r>
        <w:rPr>
          <w:lang w:val="en_US" w:bidi="en_US"/>
        </w:rPr>
        <w:t xml:space="preserve"> </w:t>
      </w:r>
      <w:r>
        <w:rPr>
          <w:lang w:val="en_US" w:bidi="en_US"/>
        </w:rPr>
        <w:t>for God</w:t>
      </w:r>
    </w:p>
    <w:p>
      <w:pPr/>
      <w:r>
        <w:rPr>
          <w:lang w:val="en_US" w:bidi="en_US"/>
        </w:rPr>
      </w:r>
      <w:r>
        <w:rPr>
          <w:lang w:val="en_US" w:bidi="en_US"/>
        </w:rPr>
        <w:t xml:space="preserve">John the </w:t>
      </w:r>
      <w:r>
        <w:rPr>
          <w:lang w:val="en_US" w:bidi="en_US"/>
        </w:rPr>
        <w:t>Ritual</w:t>
      </w:r>
      <w:r>
        <w:rPr>
          <w:lang w:val="en_US" w:bidi="en_US"/>
        </w:rPr>
        <w:t xml:space="preserve"> Purifier</w:t>
      </w:r>
    </w:p>
    <w:p>
      <w:pPr/>
      <w:r>
        <w:rPr>
          <w:lang w:val="en_US" w:bidi="en_US"/>
        </w:rPr>
      </w:r>
      <w:r>
        <w:rPr>
          <w:lang w:val="en_US" w:bidi="en_US"/>
        </w:rPr>
        <w:t xml:space="preserve">John who initiated </w:t>
      </w:r>
      <w:r>
        <w:rPr>
          <w:lang w:val="en_US" w:bidi="en_US"/>
        </w:rPr>
        <w:t>people</w:t>
      </w:r>
      <w:r>
        <w:rPr>
          <w:lang w:val="en_US" w:bidi="en_US"/>
        </w:rPr>
        <w:t xml:space="preserve"> with God’s washing</w:t>
      </w:r>
    </w:p>
    <w:p>
      <w:pPr>
        <w:pStyle w:val="Heading5"/>
      </w:pPr>
      <w:r>
        <w:rPr>
          <w:lang w:val="en_US" w:bidi="en_US"/>
        </w:rPr>
        <w:t>7:20c</w:t>
      </w:r>
    </w:p>
    <w:p>
      <w:pPr/>
      <w:r>
        <w:rPr>
          <w:lang w:val="en_US" w:bidi="en_US"/>
        </w:rPr>
      </w:r>
      <w:r>
        <w:rPr>
          <w:b/>
          <w:lang w:val="en_US" w:bidi="en_US"/>
        </w:rPr>
        <w:t>‘Are You the One who was to come,</w:t>
      </w:r>
    </w:p>
    <w:p>
      <w:pPr>
        <w:pStyle w:val="ListBullet"/>
        <w:spacing w:line="240" w:lineRule="auto"/>
        <w:ind w:left="720"/>
      </w:pPr>
      <w:r>
        <w:rPr>
          <w:lang w:val="en_US" w:bidi="en_US"/>
        </w:rPr>
      </w:r>
      <w:r>
        <w:rPr>
          <w:lang w:val="en_US" w:bidi="en_US"/>
        </w:rPr>
        <w:t>‘Are you</w:t>
      </w:r>
      <w:r>
        <w:rPr>
          <w:vertAlign w:val="superscript"/>
          <w:lang w:val="en_US" w:bidi="en_US"/>
        </w:rPr>
        <w:t>(sing)</w:t>
      </w:r>
      <w:r>
        <w:rPr>
          <w:lang w:val="en_US" w:bidi="en_US"/>
        </w:rPr>
        <w:t xml:space="preserve"> the Coming One,</w:t>
      </w:r>
    </w:p>
    <w:p>
      <w:pPr>
        <w:pStyle w:val="ListBullet"/>
        <w:spacing w:line="240" w:lineRule="auto"/>
        <w:ind w:left="720"/>
      </w:pPr>
      <w:r>
        <w:rPr>
          <w:lang w:val="en_US" w:bidi="en_US"/>
        </w:rPr>
      </w:r>
      <w:r>
        <w:rPr>
          <w:lang w:val="en_US" w:bidi="en_US"/>
        </w:rPr>
        <w:t>‘Are you</w:t>
      </w:r>
      <w:r>
        <w:rPr>
          <w:vertAlign w:val="superscript"/>
          <w:lang w:val="en_US" w:bidi="en_US"/>
        </w:rPr>
        <w:t>(sing)</w:t>
      </w:r>
      <w:r>
        <w:rPr>
          <w:lang w:val="en_US" w:bidi="en_US"/>
        </w:rPr>
        <w:t xml:space="preserve"> the One </w:t>
      </w:r>
      <w:r>
        <w:rPr>
          <w:lang w:val="en_US" w:bidi="en_US"/>
        </w:rPr>
        <w:t>who the prophets said</w:t>
      </w:r>
      <w:r>
        <w:rPr>
          <w:lang w:val="en_US" w:bidi="en_US"/>
        </w:rPr>
        <w:t xml:space="preserve"> would come,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the </w:t>
      </w:r>
      <w:r>
        <w:rPr>
          <w:lang w:val="en_US" w:bidi="en_US"/>
        </w:rPr>
        <w:t>Christ/Savior</w:t>
      </w:r>
      <w:r>
        <w:rPr>
          <w:lang w:val="en_US" w:bidi="en_US"/>
        </w:rPr>
        <w:t xml:space="preserve">, who </w:t>
      </w:r>
      <w:r>
        <w:rPr>
          <w:lang w:val="en_US" w:bidi="en_US"/>
        </w:rPr>
        <w:t>God promised</w:t>
      </w:r>
      <w:r>
        <w:rPr>
          <w:lang w:val="en_US" w:bidi="en_US"/>
        </w:rPr>
        <w:t xml:space="preserve"> would come,</w:t>
      </w:r>
    </w:p>
    <w:p>
      <w:pPr/>
      <w:r>
        <w:rPr>
          <w:lang w:val="en_US" w:bidi="en_US"/>
        </w:rPr>
      </w:r>
      <w:r>
        <w:rPr>
          <w:lang w:val="en_US" w:bidi="en_US"/>
        </w:rPr>
        <w:t>The words in this part of the verse are exactly the same as in 7:19b. See the notes there.</w:t>
      </w:r>
    </w:p>
    <w:p>
      <w:pPr>
        <w:pStyle w:val="Heading5"/>
      </w:pPr>
      <w:r>
        <w:rPr>
          <w:lang w:val="en_US" w:bidi="en_US"/>
        </w:rPr>
        <w:t>7:20d</w:t>
      </w:r>
    </w:p>
    <w:p>
      <w:pPr/>
      <w:r>
        <w:rPr>
          <w:lang w:val="en_US" w:bidi="en_US"/>
        </w:rPr>
      </w:r>
      <w:r>
        <w:rPr>
          <w:b/>
          <w:lang w:val="en_US" w:bidi="en_US"/>
        </w:rPr>
        <w:t>or should we look for someone else?’”</w:t>
      </w:r>
    </w:p>
    <w:p>
      <w:pPr>
        <w:pStyle w:val="ListBullet"/>
        <w:spacing w:line="240" w:lineRule="auto"/>
        <w:ind w:left="720"/>
      </w:pPr>
      <w:r>
        <w:rPr>
          <w:lang w:val="en_US" w:bidi="en_US"/>
        </w:rPr>
      </w:r>
      <w:r>
        <w:rPr>
          <w:lang w:val="en_US" w:bidi="en_US"/>
        </w:rPr>
        <w:t>or must we wait for someone else?'"</w:t>
      </w:r>
    </w:p>
    <w:p>
      <w:pPr>
        <w:pStyle w:val="ListBullet"/>
        <w:spacing w:line="240" w:lineRule="auto"/>
        <w:ind w:left="720"/>
      </w:pPr>
      <w:r>
        <w:rPr>
          <w:lang w:val="en_US" w:bidi="en_US"/>
        </w:rPr>
      </w:r>
      <w:r>
        <w:rPr>
          <w:lang w:val="en_US" w:bidi="en_US"/>
        </w:rPr>
        <w:t xml:space="preserve">or if we should wait/look for a different man </w:t>
      </w:r>
      <w:r>
        <w:rPr>
          <w:lang w:val="en_US" w:bidi="en_US"/>
        </w:rPr>
        <w:t>to come as Christ/Savior</w:t>
      </w:r>
      <w:r>
        <w:rPr>
          <w:lang w:val="en_US" w:bidi="en_US"/>
        </w:rPr>
        <w:t>.”</w:t>
      </w:r>
    </w:p>
    <w:p>
      <w:pPr/>
      <w:r>
        <w:rPr>
          <w:lang w:val="en_US" w:bidi="en_US"/>
        </w:rPr>
      </w:r>
      <w:r>
        <w:rPr>
          <w:lang w:val="en_US" w:bidi="en_US"/>
        </w:rPr>
        <w:t>The words in this part of the verse are exactly the same as in 7:19c. See the notes there.</w:t>
      </w:r>
    </w:p>
    <w:p>
      <w:pPr>
        <w:pStyle w:val="Heading6"/>
      </w:pPr>
      <w:r>
        <w:rPr>
          <w:b/>
          <w:lang w:val="en_US" w:bidi="en_US"/>
        </w:rPr>
        <w:t>General Comment on 7:20b–d</w:t>
      </w:r>
    </w:p>
    <w:p>
      <w:pPr/>
      <w:r>
        <w:rPr>
          <w:lang w:val="en_US" w:bidi="en_US"/>
        </w:rPr>
      </w:r>
      <w:r>
        <w:rPr>
          <w:lang w:val="en_US" w:bidi="en_US"/>
        </w:rPr>
        <w:t>In 7:20c–d the words in 7:19b–c are repeated as a quotation within another quotation. In some languages it may not be natural to have a quotation within another quotation like this. You may need to use indirect speech for one of the quotations. For example:</w:t>
      </w:r>
    </w:p>
    <w:p>
      <w:pPr/>
      <w:r>
        <w:rPr>
          <w:lang w:val="en_US" w:bidi="en_US"/>
        </w:rPr>
      </w:r>
      <w:r>
        <w:rPr>
          <w:lang w:val="en_US" w:bidi="en_US"/>
        </w:rPr>
        <w:t>…they said, “John the Baptist sent us to you to ask if you are the one who was to come, or if we should expect someone else.”</w:t>
      </w:r>
    </w:p>
    <w:p>
      <w:pPr/>
      <w:r>
        <w:rPr>
          <w:lang w:val="en_US" w:bidi="en_US"/>
        </w:rPr>
      </w:r>
      <w:r>
        <w:rPr>
          <w:lang w:val="en_US" w:bidi="en_US"/>
        </w:rPr>
        <w:t>…they said that John the Baptist had sent them to ask him, “Are you the one who was to come or should we expect someone else?”</w:t>
      </w:r>
      <w:r>
        <w:rPr>
          <w:lang w:val="en_US" w:bidi="en_US"/>
        </w:rPr>
      </w:r>
      <w:r>
        <w:rPr>
          <w:lang w:val="en_US" w:bidi="en_US"/>
        </w:rPr>
      </w:r>
    </w:p>
    <w:p>
      <w:pPr/>
      <w:r>
        <w:rPr>
          <w:lang w:val="en_US" w:bidi="en_US"/>
        </w:rPr>
      </w:r>
    </w:p>
    <w:p>
      <w:pPr>
        <w:pStyle w:val="Heading2"/>
      </w:pPr>
      <w:r>
        <w:rPr>
          <w:lang w:val="en_US" w:bidi="en_US"/>
        </w:rPr>
        <w:t>Luke 7:21</w:t>
      </w:r>
      <w:r>
        <w:rPr>
          <w:lang w:val="en_US" w:bidi="en_US"/>
        </w:rPr>
      </w:r>
    </w:p>
    <w:p>
      <w:pPr>
        <w:pStyle w:val="Heading4"/>
      </w:pPr>
      <w:r>
        <w:rPr>
          <w:lang w:val="en_US" w:bidi="en_US"/>
        </w:rPr>
        <w:t>Section 7:18–35: John the Baptizer sent messengers to Jesus</w:t>
      </w:r>
    </w:p>
    <w:p>
      <w:pPr/>
      <w:r>
        <w:rPr>
          <w:lang w:val="en_US" w:bidi="en_US"/>
        </w:rPr>
      </w:r>
      <w:r>
        <w:rPr>
          <w:lang w:val="en_US" w:bidi="en_US"/>
        </w:rP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pPr/>
      <w:r>
        <w:rPr>
          <w:lang w:val="en_US" w:bidi="en_US"/>
        </w:rPr>
      </w:r>
      <w:r>
        <w:rPr>
          <w:lang w:val="en_US" w:bidi="en_US"/>
        </w:rP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responds to the messengers of John the Baptizer and speaks about John to the crowd</w:t>
      </w:r>
    </w:p>
    <w:p>
      <w:pPr/>
      <w:r>
        <w:rPr>
          <w:lang w:val="en_US" w:bidi="en_US"/>
        </w:rPr>
      </w:r>
      <w:r>
        <w:rPr>
          <w:lang w:val="en_US" w:bidi="en_US"/>
        </w:rPr>
        <w:t>Jesus speaks to the people about John the Baptizer</w:t>
      </w:r>
    </w:p>
    <w:p>
      <w:pPr/>
      <w:r>
        <w:rPr>
          <w:lang w:val="en_US" w:bidi="en_US"/>
        </w:rPr>
      </w:r>
      <w:r>
        <w:rPr>
          <w:lang w:val="en_US" w:bidi="en_US"/>
        </w:rPr>
        <w:t>Jesus teaches about John the Baptizer</w:t>
      </w:r>
    </w:p>
    <w:p>
      <w:pPr/>
      <w:r>
        <w:rPr>
          <w:lang w:val="en_US" w:bidi="en_US"/>
        </w:rPr>
      </w:r>
      <w:r>
        <w:rPr>
          <w:lang w:val="en_US" w:bidi="en_US"/>
        </w:rPr>
        <w:t>There is a parallel passage for this section in Matthew 11:3–19.</w:t>
      </w:r>
    </w:p>
    <w:p>
      <w:pPr>
        <w:pStyle w:val="Heading5"/>
      </w:pPr>
      <w:r>
        <w:rPr>
          <w:lang w:val="en_US" w:bidi="en_US"/>
        </w:rPr>
        <w:t>7:21a</w:t>
      </w:r>
    </w:p>
    <w:p>
      <w:pPr/>
      <w:r>
        <w:rPr>
          <w:lang w:val="en_US" w:bidi="en_US"/>
        </w:rPr>
      </w:r>
      <w:r>
        <w:rPr>
          <w:b/>
          <w:lang w:val="en_US" w:bidi="en_US"/>
        </w:rPr>
        <w:t>At that very hour Jesus healed many people of their diseases, afflictions, and evil spirits,</w:t>
      </w:r>
    </w:p>
    <w:p>
      <w:pPr>
        <w:pStyle w:val="ListBullet"/>
        <w:spacing w:line="240" w:lineRule="auto"/>
        <w:ind w:left="720"/>
      </w:pPr>
      <w:r>
        <w:rPr>
          <w:lang w:val="en_US" w:bidi="en_US"/>
        </w:rPr>
      </w:r>
      <w:r>
        <w:rPr>
          <w:lang w:val="en_US" w:bidi="en_US"/>
        </w:rPr>
        <w:t>¶ During that same time, Jesus healed many sick and suffering people and many people who were possessed/controlled by evil spirits.</w:t>
      </w:r>
    </w:p>
    <w:p>
      <w:pPr>
        <w:pStyle w:val="ListBullet"/>
        <w:spacing w:line="240" w:lineRule="auto"/>
        <w:ind w:left="720"/>
      </w:pPr>
      <w:r>
        <w:rPr>
          <w:lang w:val="en_US" w:bidi="en_US"/>
        </w:rPr>
      </w:r>
      <w:r>
        <w:rPr>
          <w:lang w:val="en_US" w:bidi="en_US"/>
        </w:rPr>
        <w:t xml:space="preserve">¶ </w:t>
      </w:r>
      <w:r>
        <w:rPr>
          <w:lang w:val="en_US" w:bidi="en_US"/>
        </w:rPr>
        <w:t>Even</w:t>
      </w:r>
      <w:r>
        <w:rPr>
          <w:lang w:val="en_US" w:bidi="en_US"/>
        </w:rPr>
        <w:t xml:space="preserve"> while </w:t>
      </w:r>
      <w:r>
        <w:rPr>
          <w:lang w:val="en_US" w:bidi="en_US"/>
        </w:rPr>
        <w:t>the two disciples were there</w:t>
      </w:r>
      <w:r>
        <w:rPr>
          <w:lang w:val="en_US" w:bidi="en_US"/>
        </w:rPr>
        <w:t>, Jesus healed many people who had various kinds of diseases. He also forced demons to stop troubling people.</w:t>
      </w:r>
    </w:p>
    <w:p>
      <w:pPr/>
      <w:r>
        <w:rPr>
          <w:lang w:val="en_US" w:bidi="en_US"/>
        </w:rPr>
      </w:r>
      <w:r>
        <w:rPr>
          <w:b/>
          <w:lang w:val="en_US" w:bidi="en_US"/>
        </w:rPr>
        <w:t>At that very hour:</w:t>
      </w:r>
      <w:r>
        <w:rPr>
          <w:lang w:val="en_US" w:bidi="en_US"/>
        </w:rPr>
        <w:t xml:space="preserve"> The phrase </w:t>
      </w:r>
      <w:r>
        <w:rPr>
          <w:i/>
          <w:lang w:val="en_US" w:bidi="en_US"/>
        </w:rPr>
        <w:t>At that very hour</w:t>
      </w:r>
      <w:r>
        <w:rPr>
          <w:lang w:val="en_US" w:bidi="en_US"/>
        </w:rPr>
        <w:t xml:space="preserve"> probably indicates that Jesus healed many people before he answered John’s disciples.</w:t>
      </w:r>
      <w:r>
        <w:rPr>
          <w:lang w:val="en_US" w:bidi="en_US"/>
        </w:rPr>
        <w:t>A number of commentators, in comparing this passage with the parallel passage in Matthew 11:3–4, suggest that the acts of healing were done prior to John’s disciples’ question. Luke 7:21 is taken, then, as a summary statement or parenthetical statement added by Luke. (For example, see Bock, Fitzmyer, Lenski, and Stein.) However, the most natural reading of Luke on its own is to understand 7:21 as following 7:20 chronologically. If this were not the case, we would expect a marked verb form such as the pluperfect (“he had healed”) or imperfect (“he was healing”) rather than the unmarked aorist (“he healed”).</w:t>
      </w:r>
      <w:r>
        <w:rPr>
          <w:lang w:val="en_US" w:bidi="en_US"/>
        </w:rPr>
        <w:t xml:space="preserve"> They saw Jesus heal the people before they returned to John. The term </w:t>
      </w:r>
      <w:r>
        <w:rPr>
          <w:i/>
          <w:lang w:val="en_US" w:bidi="en_US"/>
        </w:rPr>
        <w:t>hour</w:t>
      </w:r>
      <w:r>
        <w:rPr>
          <w:lang w:val="en_US" w:bidi="en_US"/>
        </w:rPr>
        <w:t xml:space="preserve"> refers to a specific time but not to a literal period of sixty minutes. Other ways to translate this are:</w:t>
      </w:r>
    </w:p>
    <w:p>
      <w:pPr/>
      <w:r>
        <w:rPr>
          <w:lang w:val="en_US" w:bidi="en_US"/>
        </w:rPr>
      </w:r>
      <w:r>
        <w:rPr>
          <w:lang w:val="en_US" w:bidi="en_US"/>
        </w:rPr>
        <w:t>at that time (CEV, GW)</w:t>
      </w:r>
    </w:p>
    <w:p>
      <w:pPr/>
      <w:r>
        <w:rPr>
          <w:lang w:val="en_US" w:bidi="en_US"/>
        </w:rPr>
      </w:r>
      <w:r>
        <w:rPr>
          <w:lang w:val="en_US" w:bidi="en_US"/>
        </w:rPr>
        <w:t>at that very time (NIV, NET, NLT)</w:t>
      </w:r>
    </w:p>
    <w:p>
      <w:pPr/>
      <w:r>
        <w:rPr>
          <w:lang w:val="en_US" w:bidi="en_US"/>
        </w:rPr>
      </w:r>
      <w:r>
        <w:rPr>
          <w:b/>
          <w:lang w:val="en_US" w:bidi="en_US"/>
        </w:rPr>
        <w:t>healed many people of…evil spirits:</w:t>
      </w:r>
      <w:r>
        <w:rPr>
          <w:lang w:val="en_US" w:bidi="en_US"/>
        </w:rPr>
        <w:t xml:space="preserve"> Evil spirits controlled many of the people whom Jesus cured. The evil spirits caused many problems for those people, including sicknesses. Jesus forced the evil spirits to stop controlling the people and to leave them. When Jesus made the evil spirits leave, he also cured whatever sickness or problem that the evil spirits had caused.</w:t>
      </w:r>
    </w:p>
    <w:p>
      <w:pPr/>
      <w:r>
        <w:rPr>
          <w:lang w:val="en_US" w:bidi="en_US"/>
        </w:rPr>
      </w:r>
      <w:r>
        <w:rPr>
          <w:lang w:val="en_US" w:bidi="en_US"/>
        </w:rPr>
        <w:t xml:space="preserve">Here the Greek text says that Jesus </w:t>
      </w:r>
      <w:r>
        <w:rPr>
          <w:i/>
          <w:lang w:val="en_US" w:bidi="en_US"/>
        </w:rPr>
        <w:t>healed</w:t>
      </w:r>
      <w:r>
        <w:rPr>
          <w:lang w:val="en_US" w:bidi="en_US"/>
        </w:rPr>
        <w:t xml:space="preserve"> these people. If it is not natural in your language to speak of people being “</w:t>
      </w:r>
      <w:r>
        <w:rPr>
          <w:u w:val="single"/>
          <w:lang w:val="en_US" w:bidi="en_US"/>
        </w:rPr>
        <w:t>healed</w:t>
      </w:r>
      <w:r>
        <w:rPr>
          <w:lang w:val="en_US" w:bidi="en_US"/>
        </w:rPr>
        <w:t xml:space="preserve"> from evil spirits,” you may use your typical expression for this. Use natural terms in your language to talk about people who are controlled by evil spirits and then become free from them.</w:t>
      </w:r>
    </w:p>
    <w:p>
      <w:pPr/>
      <w:r>
        <w:rPr>
          <w:lang w:val="en_US" w:bidi="en_US"/>
        </w:rPr>
      </w:r>
      <w:r>
        <w:rPr>
          <w:b/>
          <w:lang w:val="en_US" w:bidi="en_US"/>
        </w:rPr>
        <w:t>many:</w:t>
      </w:r>
      <w:r>
        <w:rPr>
          <w:lang w:val="en_US" w:bidi="en_US"/>
        </w:rPr>
        <w:t xml:space="preserve"> Jesus was able to heal </w:t>
      </w:r>
      <w:r>
        <w:rPr>
          <w:u w:val="single"/>
          <w:lang w:val="en_US" w:bidi="en_US"/>
        </w:rPr>
        <w:t>all</w:t>
      </w:r>
      <w:r>
        <w:rPr>
          <w:lang w:val="en_US" w:bidi="en_US"/>
        </w:rPr>
        <w:t xml:space="preserve"> of the </w:t>
      </w:r>
      <w:r>
        <w:rPr>
          <w:i/>
          <w:lang w:val="en_US" w:bidi="en_US"/>
        </w:rPr>
        <w:t>many</w:t>
      </w:r>
      <w:r>
        <w:rPr>
          <w:lang w:val="en_US" w:bidi="en_US"/>
        </w:rPr>
        <w:t xml:space="preserve"> people who came to him. Your translation should not imply that Jesus could heal many, but not all, of these sick people.</w:t>
      </w:r>
    </w:p>
    <w:p>
      <w:pPr/>
      <w:r>
        <w:rPr>
          <w:lang w:val="en_US" w:bidi="en_US"/>
        </w:rPr>
      </w:r>
      <w:r>
        <w:rPr>
          <w:b/>
          <w:lang w:val="en_US" w:bidi="en_US"/>
        </w:rPr>
        <w:t>evil spirits:</w:t>
      </w:r>
      <w:r>
        <w:rPr>
          <w:lang w:val="en_US" w:bidi="en_US"/>
        </w:rPr>
        <w:t xml:space="preserve"> The Greek phrase that the BSB translates as </w:t>
      </w:r>
      <w:r>
        <w:rPr>
          <w:i/>
          <w:lang w:val="en_US" w:bidi="en_US"/>
        </w:rPr>
        <w:t>evil spirits</w:t>
      </w:r>
      <w:r>
        <w:rPr>
          <w:lang w:val="en_US" w:bidi="en_US"/>
        </w:rPr>
        <w:t xml:space="preserve"> refers to spirits that are evil and can control people’s actions. The phrase </w:t>
      </w:r>
      <w:r>
        <w:rPr>
          <w:i/>
          <w:lang w:val="en_US" w:bidi="en_US"/>
        </w:rPr>
        <w:t>evil spirits</w:t>
      </w:r>
      <w:r>
        <w:rPr>
          <w:lang w:val="en_US" w:bidi="en_US"/>
        </w:rPr>
        <w:t xml:space="preserve"> refers to the same type of spirit as the Greek terms that are often translated as “demons” and “unclean spirits.”</w:t>
      </w:r>
    </w:p>
    <w:p>
      <w:pPr/>
      <w:r>
        <w:rPr>
          <w:lang w:val="en_US" w:bidi="en_US"/>
        </w:rPr>
      </w:r>
      <w:r>
        <w:rPr>
          <w:lang w:val="en_US" w:bidi="en_US"/>
        </w:rPr>
        <w:t xml:space="preserve">Some ways to translate </w:t>
      </w:r>
      <w:r>
        <w:rPr>
          <w:i/>
          <w:lang w:val="en_US" w:bidi="en_US"/>
        </w:rPr>
        <w:t>evil spirits</w:t>
      </w:r>
      <w:r>
        <w:rPr>
          <w:lang w:val="en_US" w:bidi="en_US"/>
        </w:rPr>
        <w:t xml:space="preserve"> are:</w:t>
      </w:r>
    </w:p>
    <w:p>
      <w:pPr>
        <w:pStyle w:val="ListBullet"/>
        <w:spacing w:line="240" w:lineRule="auto"/>
        <w:ind w:left="720"/>
      </w:pPr>
      <w:r>
        <w:rPr>
          <w:lang w:val="en_US" w:bidi="en_US"/>
        </w:rPr>
      </w:r>
      <w:r>
        <w:rPr>
          <w:lang w:val="en_US" w:bidi="en_US"/>
        </w:rPr>
        <w:t xml:space="preserve">Use </w:t>
      </w:r>
      <w:r>
        <w:rPr>
          <w:u w:val="single"/>
          <w:lang w:val="en_US" w:bidi="en_US"/>
        </w:rPr>
        <w:t>a general term in your language</w:t>
      </w:r>
      <w:r>
        <w:rPr>
          <w:lang w:val="en_US" w:bidi="en_US"/>
        </w:rPr>
        <w:t xml:space="preserve"> that refers to spirits that are evil and can control people. If there is one word with this meaning, you may not need a separate word like “evil.” For example:</w:t>
      </w:r>
      <w:r>
        <w:rPr>
          <w:lang w:val="en_US" w:bidi="en_US"/>
        </w:rPr>
        <w:t>demons</w:t>
      </w:r>
    </w:p>
    <w:p>
      <w:pPr>
        <w:pStyle w:val="ListBullet"/>
        <w:spacing w:line="240" w:lineRule="auto"/>
        <w:ind w:left="720"/>
      </w:pPr>
      <w:r>
        <w:rPr>
          <w:lang w:val="en_US" w:bidi="en_US"/>
        </w:rPr>
      </w:r>
      <w:r>
        <w:rPr>
          <w:lang w:val="en_US" w:bidi="en_US"/>
        </w:rPr>
        <w:t xml:space="preserve">Use </w:t>
      </w:r>
      <w:r>
        <w:rPr>
          <w:u w:val="single"/>
          <w:lang w:val="en_US" w:bidi="en_US"/>
        </w:rPr>
        <w:t>a specific term in your language</w:t>
      </w:r>
      <w:r>
        <w:rPr>
          <w:lang w:val="en_US" w:bidi="en_US"/>
        </w:rPr>
        <w:t xml:space="preserve"> that refers to a certain type of spirit. This spirit should be able to do what is described in this context. Do not use a term that refers to the spirit of a dead person.</w:t>
      </w:r>
    </w:p>
    <w:p>
      <w:pPr>
        <w:pStyle w:val="ListBullet"/>
        <w:spacing w:line="240" w:lineRule="auto"/>
        <w:ind w:left="720"/>
      </w:pPr>
      <w:r>
        <w:rPr>
          <w:lang w:val="en_US" w:bidi="en_US"/>
        </w:rPr>
      </w:r>
      <w:r>
        <w:rPr>
          <w:lang w:val="en_US" w:bidi="en_US"/>
        </w:rPr>
        <w:t xml:space="preserve">Use </w:t>
      </w:r>
      <w:r>
        <w:rPr>
          <w:u w:val="single"/>
          <w:lang w:val="en_US" w:bidi="en_US"/>
        </w:rPr>
        <w:t>a descriptive phrase</w:t>
      </w:r>
      <w:r>
        <w:rPr>
          <w:lang w:val="en_US" w:bidi="en_US"/>
        </w:rPr>
        <w:t>. For example:</w:t>
      </w:r>
      <w:r>
        <w:rPr>
          <w:lang w:val="en_US" w:bidi="en_US"/>
        </w:rPr>
        <w:t>evil/bad spirits</w:t>
      </w:r>
      <w:r>
        <w:rPr>
          <w:lang w:val="en_US" w:bidi="en_US"/>
        </w:rPr>
        <w:t xml:space="preserve">unclean spirits </w:t>
      </w:r>
      <w:r>
        <w:rPr>
          <w:i/>
          <w:lang w:val="en_US" w:bidi="en_US"/>
        </w:rPr>
        <w:t>Be sure that an expression like “unclean spirits” does not imply that the spirits are literally dirty.</w:t>
      </w:r>
    </w:p>
    <w:p>
      <w:pPr/>
      <w:r>
        <w:rPr>
          <w:lang w:val="en_US" w:bidi="en_US"/>
        </w:rPr>
      </w:r>
      <w:r>
        <w:rPr>
          <w:lang w:val="en_US" w:bidi="en_US"/>
        </w:rPr>
        <w:t>See demon in the Glossary for more information.</w:t>
      </w:r>
    </w:p>
    <w:p>
      <w:pPr/>
      <w:r>
        <w:rPr>
          <w:lang w:val="en_US" w:bidi="en_US"/>
        </w:rPr>
      </w:r>
      <w:r>
        <w:rPr>
          <w:b/>
          <w:lang w:val="en_US" w:bidi="en_US"/>
        </w:rPr>
        <w:t>diseases, afflictions:</w:t>
      </w:r>
      <w:r>
        <w:rPr>
          <w:lang w:val="en_US" w:bidi="en_US"/>
        </w:rPr>
        <w:t xml:space="preserve"> The Greek words that the BSB translates as </w:t>
      </w:r>
      <w:r>
        <w:rPr>
          <w:i/>
          <w:lang w:val="en_US" w:bidi="en_US"/>
        </w:rPr>
        <w:t>diseases</w:t>
      </w:r>
      <w:r>
        <w:rPr>
          <w:lang w:val="en_US" w:bidi="en_US"/>
        </w:rPr>
        <w:t xml:space="preserve"> and </w:t>
      </w:r>
      <w:r>
        <w:rPr>
          <w:i/>
          <w:lang w:val="en_US" w:bidi="en_US"/>
        </w:rPr>
        <w:t>afflictions</w:t>
      </w:r>
      <w:r>
        <w:rPr>
          <w:lang w:val="en_US" w:bidi="en_US"/>
        </w:rPr>
        <w:t xml:space="preserve"> have very similar meanings. The second Greek word emphasizes the suffering of the sick people. Some ways that the second word could be translated in English include:</w:t>
      </w:r>
    </w:p>
    <w:p>
      <w:pPr/>
      <w:r>
        <w:rPr>
          <w:lang w:val="en_US" w:bidi="en_US"/>
        </w:rPr>
      </w:r>
      <w:r>
        <w:rPr>
          <w:lang w:val="en_US" w:bidi="en_US"/>
        </w:rPr>
        <w:t>sicknesses (NIV)</w:t>
      </w:r>
    </w:p>
    <w:p>
      <w:pPr/>
      <w:r>
        <w:rPr>
          <w:lang w:val="en_US" w:bidi="en_US"/>
        </w:rPr>
      </w:r>
      <w:r>
        <w:rPr>
          <w:lang w:val="en_US" w:bidi="en_US"/>
        </w:rPr>
        <w:t>ailments (JBP)</w:t>
      </w:r>
    </w:p>
    <w:p>
      <w:pPr/>
      <w:r>
        <w:rPr>
          <w:lang w:val="en_US" w:bidi="en_US"/>
        </w:rPr>
      </w:r>
      <w:r>
        <w:rPr>
          <w:lang w:val="en_US" w:bidi="en_US"/>
        </w:rPr>
        <w:t>sufferings</w:t>
      </w:r>
    </w:p>
    <w:p>
      <w:pPr/>
      <w:r>
        <w:rPr>
          <w:lang w:val="en_US" w:bidi="en_US"/>
        </w:rPr>
      </w:r>
      <w:r>
        <w:rPr>
          <w:lang w:val="en_US" w:bidi="en_US"/>
        </w:rPr>
        <w:t>were in pain</w:t>
      </w:r>
    </w:p>
    <w:p>
      <w:pPr/>
      <w:r>
        <w:rPr>
          <w:lang w:val="en_US" w:bidi="en_US"/>
        </w:rPr>
      </w:r>
      <w:r>
        <w:rPr>
          <w:lang w:val="en_US" w:bidi="en_US"/>
        </w:rPr>
        <w:t>In some languages, it is not natural to use two different words to describe these sicknesses and painful health problems. If this is true in your language, you can use one word or phrase. For example:</w:t>
      </w:r>
    </w:p>
    <w:p>
      <w:pPr/>
      <w:r>
        <w:rPr>
          <w:lang w:val="en_US" w:bidi="en_US"/>
        </w:rPr>
      </w:r>
      <w:r>
        <w:rPr>
          <w:lang w:val="en_US" w:bidi="en_US"/>
        </w:rPr>
        <w:t>sicknesses</w:t>
      </w:r>
    </w:p>
    <w:p>
      <w:pPr/>
      <w:r>
        <w:rPr>
          <w:lang w:val="en_US" w:bidi="en_US"/>
        </w:rPr>
      </w:r>
      <w:r>
        <w:rPr>
          <w:lang w:val="en_US" w:bidi="en_US"/>
        </w:rPr>
        <w:t>various illnesses</w:t>
      </w:r>
    </w:p>
    <w:p>
      <w:pPr>
        <w:pStyle w:val="Heading5"/>
      </w:pPr>
      <w:r>
        <w:rPr>
          <w:lang w:val="en_US" w:bidi="en_US"/>
        </w:rPr>
        <w:t>7:21b</w:t>
      </w:r>
    </w:p>
    <w:p>
      <w:pPr/>
      <w:r>
        <w:rPr>
          <w:lang w:val="en_US" w:bidi="en_US"/>
        </w:rPr>
      </w:r>
      <w:r>
        <w:rPr>
          <w:b/>
          <w:lang w:val="en_US" w:bidi="en_US"/>
        </w:rPr>
        <w:t>and He gave sight to many who were blind.</w:t>
      </w:r>
    </w:p>
    <w:p>
      <w:pPr>
        <w:pStyle w:val="ListBullet"/>
        <w:spacing w:line="240" w:lineRule="auto"/>
        <w:ind w:left="720"/>
      </w:pPr>
      <w:r>
        <w:rPr>
          <w:lang w:val="en_US" w:bidi="en_US"/>
        </w:rPr>
      </w:r>
      <w:r>
        <w:rPr>
          <w:lang w:val="en_US" w:bidi="en_US"/>
        </w:rPr>
        <w:t>And he gave/granted to many blind people the gift of being able to see again,</w:t>
      </w:r>
    </w:p>
    <w:p>
      <w:pPr>
        <w:pStyle w:val="ListBullet"/>
        <w:spacing w:line="240" w:lineRule="auto"/>
        <w:ind w:left="720"/>
      </w:pPr>
      <w:r>
        <w:rPr>
          <w:lang w:val="en_US" w:bidi="en_US"/>
        </w:rPr>
      </w:r>
      <w:r>
        <w:rPr>
          <w:lang w:val="en_US" w:bidi="en_US"/>
        </w:rPr>
        <w:t>He also healed/cured many people who were not able to see.</w:t>
      </w:r>
    </w:p>
    <w:p>
      <w:pPr>
        <w:pStyle w:val="ListBullet"/>
        <w:spacing w:line="240" w:lineRule="auto"/>
        <w:ind w:left="720"/>
      </w:pPr>
      <w:r>
        <w:rPr>
          <w:lang w:val="en_US" w:bidi="en_US"/>
        </w:rPr>
      </w:r>
      <w:r>
        <w:rPr>
          <w:lang w:val="en_US" w:bidi="en_US"/>
        </w:rPr>
        <w:t xml:space="preserve">He also made/caused many blind people to be able to see </w:t>
      </w:r>
      <w:r>
        <w:rPr>
          <w:lang w:val="en_US" w:bidi="en_US"/>
        </w:rPr>
        <w:t>things</w:t>
      </w:r>
      <w:r>
        <w:rPr>
          <w:lang w:val="en_US" w:bidi="en_US"/>
        </w:rPr>
        <w:t xml:space="preserve"> </w:t>
      </w:r>
      <w:r>
        <w:rPr>
          <w:lang w:val="en_US" w:bidi="en_US"/>
        </w:rPr>
        <w:t>again</w:t>
      </w:r>
      <w:r>
        <w:rPr>
          <w:lang w:val="en_US" w:bidi="en_US"/>
        </w:rPr>
        <w:t>.</w:t>
      </w:r>
    </w:p>
    <w:p>
      <w:pPr/>
      <w:r>
        <w:rPr>
          <w:lang w:val="en_US" w:bidi="en_US"/>
        </w:rPr>
      </w:r>
      <w:r>
        <w:rPr>
          <w:b/>
          <w:lang w:val="en_US" w:bidi="en_US"/>
        </w:rPr>
        <w:t>He gave sight to many who were blind:</w:t>
      </w:r>
      <w:r>
        <w:rPr>
          <w:lang w:val="en_US" w:bidi="en_US"/>
        </w:rPr>
        <w:t xml:space="preserve"> The phrase </w:t>
      </w:r>
      <w:r>
        <w:rPr>
          <w:i/>
          <w:lang w:val="en_US" w:bidi="en_US"/>
        </w:rPr>
        <w:t>gave sight to many who were blind</w:t>
      </w:r>
      <w:r>
        <w:rPr>
          <w:lang w:val="en_US" w:bidi="en_US"/>
        </w:rPr>
        <w:t xml:space="preserve"> means “made many blind people able to see.” Jesus cured people from blindness.</w:t>
      </w:r>
    </w:p>
    <w:p>
      <w:pPr/>
      <w:r>
        <w:rPr>
          <w:lang w:val="en_US" w:bidi="en_US"/>
        </w:rPr>
      </w:r>
      <w:r>
        <w:rPr>
          <w:b/>
          <w:lang w:val="en_US" w:bidi="en_US"/>
        </w:rPr>
        <w:t>He gave:</w:t>
      </w:r>
      <w:r>
        <w:rPr>
          <w:lang w:val="en_US" w:bidi="en_US"/>
        </w:rPr>
        <w:t xml:space="preserve"> The Greek verb that the BSB translates as </w:t>
      </w:r>
      <w:r>
        <w:rPr>
          <w:i/>
          <w:lang w:val="en_US" w:bidi="en_US"/>
        </w:rPr>
        <w:t>gave</w:t>
      </w:r>
      <w:r>
        <w:rPr>
          <w:lang w:val="en_US" w:bidi="en_US"/>
        </w:rPr>
        <w:t xml:space="preserve"> comes from the same root as the word “grace.” It means to kindly give something to someone or to give something as a gift. For example:</w:t>
      </w:r>
    </w:p>
    <w:p>
      <w:pPr/>
      <w:r>
        <w:rPr>
          <w:lang w:val="en_US" w:bidi="en_US"/>
        </w:rPr>
      </w:r>
      <w:r>
        <w:rPr>
          <w:u w:val="single"/>
          <w:lang w:val="en_US" w:bidi="en_US"/>
        </w:rPr>
        <w:t>gave the gift of</w:t>
      </w:r>
      <w:r>
        <w:rPr>
          <w:lang w:val="en_US" w:bidi="en_US"/>
        </w:rPr>
        <w:t xml:space="preserve"> sight to many who were blind (NJB)</w:t>
      </w:r>
    </w:p>
    <w:p>
      <w:pPr/>
      <w:r>
        <w:rPr>
          <w:lang w:val="en_US" w:bidi="en_US"/>
        </w:rPr>
      </w:r>
      <w:r>
        <w:rPr>
          <w:lang w:val="en_US" w:bidi="en_US"/>
        </w:rPr>
        <w:t>In this context this expression is an idiom. Use a natural way in your language to describe causing blind people to be able to see. For example:</w:t>
      </w:r>
    </w:p>
    <w:p>
      <w:pPr/>
      <w:r>
        <w:rPr>
          <w:lang w:val="en_US" w:bidi="en_US"/>
        </w:rPr>
      </w:r>
      <w:r>
        <w:rPr>
          <w:lang w:val="en_US" w:bidi="en_US"/>
        </w:rPr>
        <w:t>healed many who were blind</w:t>
      </w:r>
    </w:p>
    <w:p>
      <w:pPr/>
      <w:r>
        <w:rPr>
          <w:lang w:val="en_US" w:bidi="en_US"/>
        </w:rPr>
      </w:r>
      <w:r>
        <w:rPr>
          <w:lang w:val="en_US" w:bidi="en_US"/>
        </w:rPr>
        <w:t>kindly gave sight/seeing to many who were blind</w:t>
      </w:r>
    </w:p>
    <w:p>
      <w:pPr/>
      <w:r>
        <w:rPr>
          <w:lang w:val="en_US" w:bidi="en_US"/>
        </w:rPr>
      </w:r>
      <w:r>
        <w:rPr>
          <w:lang w:val="en_US" w:bidi="en_US"/>
        </w:rPr>
        <w:t>caused many blind people to see</w:t>
      </w:r>
    </w:p>
    <w:p>
      <w:pPr/>
      <w:r>
        <w:rPr>
          <w:lang w:val="en_US" w:bidi="en_US"/>
        </w:rPr>
      </w:r>
      <w:r>
        <w:rPr>
          <w:lang w:val="en_US" w:bidi="en_US"/>
        </w:rPr>
        <w:t>See grace, Meaning 5, in the Glossary for more information.</w:t>
      </w:r>
    </w:p>
    <w:p>
      <w:pPr/>
      <w:r>
        <w:rPr>
          <w:lang w:val="en_US" w:bidi="en_US"/>
        </w:rPr>
      </w:r>
      <w:r>
        <w:rPr>
          <w:b/>
          <w:lang w:val="en_US" w:bidi="en_US"/>
        </w:rPr>
        <w:t>many who were blind:</w:t>
      </w:r>
      <w:r>
        <w:rPr>
          <w:lang w:val="en_US" w:bidi="en_US"/>
        </w:rPr>
        <w:t xml:space="preserve"> Jesus was able to cure every blind person who came to him. Your translation should not suggest that Jesus was able to cure many, but not all, of the blind people.</w:t>
      </w:r>
    </w:p>
    <w:p>
      <w:pPr>
        <w:pStyle w:val="Heading6"/>
      </w:pPr>
      <w:r>
        <w:rPr>
          <w:b/>
          <w:lang w:val="en_US" w:bidi="en_US"/>
        </w:rPr>
        <w:t>General Comment on 7:21a–b</w:t>
      </w:r>
    </w:p>
    <w:p>
      <w:pPr/>
      <w:r>
        <w:rPr>
          <w:lang w:val="en_US" w:bidi="en_US"/>
        </w:rPr>
      </w:r>
      <w:r>
        <w:rPr>
          <w:lang w:val="en_US" w:bidi="en_US"/>
        </w:rPr>
        <w:t>In some languages one verb such as “healed” can be used with all the problems mentioned in 7:21. If that is true in your language, you may be able to use this verb and mention the problems in a list. For example:</w:t>
      </w:r>
    </w:p>
    <w:p>
      <w:pPr/>
      <w:r>
        <w:rPr>
          <w:lang w:val="en_US" w:bidi="en_US"/>
        </w:rPr>
      </w:r>
      <w:r>
        <w:rPr>
          <w:lang w:val="en_US" w:bidi="en_US"/>
        </w:rPr>
        <w:t>Jesus healed/cured many people who were sick or suffering, who had evil spirits, or who could not see.</w:t>
      </w:r>
      <w:r>
        <w:rPr>
          <w:lang w:val="en_US" w:bidi="en_US"/>
        </w:rPr>
      </w:r>
      <w:r>
        <w:rPr>
          <w:lang w:val="en_US" w:bidi="en_US"/>
        </w:rPr>
      </w:r>
    </w:p>
    <w:p>
      <w:pPr/>
      <w:r>
        <w:rPr>
          <w:lang w:val="en_US" w:bidi="en_US"/>
        </w:rPr>
      </w:r>
    </w:p>
    <w:p>
      <w:pPr>
        <w:pStyle w:val="Heading2"/>
      </w:pPr>
      <w:r>
        <w:rPr>
          <w:lang w:val="en_US" w:bidi="en_US"/>
        </w:rPr>
        <w:t>Luke 7:22</w:t>
      </w:r>
      <w:r>
        <w:rPr>
          <w:lang w:val="en_US" w:bidi="en_US"/>
        </w:rPr>
      </w:r>
    </w:p>
    <w:p>
      <w:pPr>
        <w:pStyle w:val="Heading4"/>
      </w:pPr>
      <w:r>
        <w:rPr>
          <w:lang w:val="en_US" w:bidi="en_US"/>
        </w:rPr>
        <w:t>Section 7:18–35: John the Baptizer sent messengers to Jesus</w:t>
      </w:r>
    </w:p>
    <w:p>
      <w:pPr/>
      <w:r>
        <w:rPr>
          <w:lang w:val="en_US" w:bidi="en_US"/>
        </w:rPr>
      </w:r>
      <w:r>
        <w:rPr>
          <w:lang w:val="en_US" w:bidi="en_US"/>
        </w:rP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pPr/>
      <w:r>
        <w:rPr>
          <w:lang w:val="en_US" w:bidi="en_US"/>
        </w:rPr>
      </w:r>
      <w:r>
        <w:rPr>
          <w:lang w:val="en_US" w:bidi="en_US"/>
        </w:rP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responds to the messengers of John the Baptizer and speaks about John to the crowd</w:t>
      </w:r>
    </w:p>
    <w:p>
      <w:pPr/>
      <w:r>
        <w:rPr>
          <w:lang w:val="en_US" w:bidi="en_US"/>
        </w:rPr>
      </w:r>
      <w:r>
        <w:rPr>
          <w:lang w:val="en_US" w:bidi="en_US"/>
        </w:rPr>
        <w:t>Jesus speaks to the people about John the Baptizer</w:t>
      </w:r>
    </w:p>
    <w:p>
      <w:pPr/>
      <w:r>
        <w:rPr>
          <w:lang w:val="en_US" w:bidi="en_US"/>
        </w:rPr>
      </w:r>
      <w:r>
        <w:rPr>
          <w:lang w:val="en_US" w:bidi="en_US"/>
        </w:rPr>
        <w:t>Jesus teaches about John the Baptizer</w:t>
      </w:r>
    </w:p>
    <w:p>
      <w:pPr/>
      <w:r>
        <w:rPr>
          <w:lang w:val="en_US" w:bidi="en_US"/>
        </w:rPr>
      </w:r>
      <w:r>
        <w:rPr>
          <w:lang w:val="en_US" w:bidi="en_US"/>
        </w:rPr>
        <w:t>There is a parallel passage for this section in Matthew 11:3–19.</w:t>
      </w:r>
    </w:p>
    <w:p>
      <w:pPr>
        <w:pStyle w:val="Heading5"/>
      </w:pPr>
      <w:r>
        <w:rPr>
          <w:lang w:val="en_US" w:bidi="en_US"/>
        </w:rPr>
        <w:t>7:22</w:t>
      </w:r>
    </w:p>
    <w:p>
      <w:pPr/>
      <w:r>
        <w:rPr>
          <w:lang w:val="en_US" w:bidi="en_US"/>
        </w:rPr>
      </w:r>
      <w:r>
        <w:rPr>
          <w:lang w:val="en_US" w:bidi="en_US"/>
        </w:rPr>
        <w:t>Jesus did not ignore the question that John’s disciples asked (7:20). He wanted them to see the miracles that he was doing (7:21). It was on this basis that he replied to them here in 7:22.</w:t>
      </w:r>
    </w:p>
    <w:p>
      <w:pPr>
        <w:pStyle w:val="Heading5"/>
      </w:pPr>
      <w:r>
        <w:rPr>
          <w:lang w:val="en_US" w:bidi="en_US"/>
        </w:rPr>
        <w:t>7:22a</w:t>
      </w:r>
    </w:p>
    <w:p>
      <w:pPr/>
      <w:r>
        <w:rPr>
          <w:lang w:val="en_US" w:bidi="en_US"/>
        </w:rPr>
      </w:r>
      <w:r>
        <w:rPr>
          <w:b/>
          <w:lang w:val="en_US" w:bidi="en_US"/>
        </w:rPr>
        <w:t>So He replied,</w:t>
      </w:r>
    </w:p>
    <w:p>
      <w:pPr>
        <w:pStyle w:val="ListBullet"/>
        <w:spacing w:line="240" w:lineRule="auto"/>
        <w:ind w:left="720"/>
      </w:pPr>
      <w:r>
        <w:rPr>
          <w:lang w:val="en_US" w:bidi="en_US"/>
        </w:rPr>
      </w:r>
      <w:r>
        <w:rPr>
          <w:lang w:val="en_US" w:bidi="en_US"/>
        </w:rPr>
        <w:t xml:space="preserve">And </w:t>
      </w:r>
      <w:r>
        <w:rPr>
          <w:lang w:val="en_US" w:bidi="en_US"/>
        </w:rPr>
        <w:t>Jesus</w:t>
      </w:r>
      <w:r>
        <w:rPr>
          <w:lang w:val="en_US" w:bidi="en_US"/>
        </w:rPr>
        <w:t xml:space="preserve"> answered </w:t>
      </w:r>
      <w:r>
        <w:rPr>
          <w:lang w:val="en_US" w:bidi="en_US"/>
        </w:rPr>
        <w:t>John’s two disciples</w:t>
      </w:r>
      <w:r>
        <w:rPr>
          <w:lang w:val="en_US" w:bidi="en_US"/>
        </w:rPr>
        <w:t>,</w:t>
      </w:r>
    </w:p>
    <w:p>
      <w:pPr>
        <w:pStyle w:val="ListBullet"/>
        <w:spacing w:line="240" w:lineRule="auto"/>
        <w:ind w:left="720"/>
      </w:pPr>
      <w:r>
        <w:rPr>
          <w:lang w:val="en_US" w:bidi="en_US"/>
        </w:rPr>
      </w:r>
      <w:r>
        <w:rPr>
          <w:lang w:val="en_US" w:bidi="en_US"/>
        </w:rPr>
        <w:t>Then/So he answered the men that John had sent,</w:t>
      </w:r>
    </w:p>
    <w:p>
      <w:pPr>
        <w:pStyle w:val="Heading5"/>
      </w:pPr>
      <w:r>
        <w:rPr>
          <w:lang w:val="en_US" w:bidi="en_US"/>
        </w:rPr>
        <w:t>7:22b</w:t>
      </w:r>
    </w:p>
    <w:p>
      <w:pPr/>
      <w:r>
        <w:rPr>
          <w:lang w:val="en_US" w:bidi="en_US"/>
        </w:rPr>
      </w:r>
      <w:r>
        <w:rPr>
          <w:b/>
          <w:lang w:val="en_US" w:bidi="en_US"/>
        </w:rPr>
        <w:t>“Go back and report to John what you have seen and heard:</w:t>
      </w:r>
    </w:p>
    <w:p>
      <w:pPr>
        <w:pStyle w:val="ListBullet"/>
        <w:spacing w:line="240" w:lineRule="auto"/>
        <w:ind w:left="720"/>
      </w:pPr>
      <w:r>
        <w:rPr>
          <w:lang w:val="en_US" w:bidi="en_US"/>
        </w:rPr>
      </w:r>
      <w:r>
        <w:rPr>
          <w:lang w:val="en_US" w:bidi="en_US"/>
        </w:rPr>
        <w:t xml:space="preserve">“Go back and tell John about the things </w:t>
      </w:r>
      <w:r>
        <w:rPr>
          <w:lang w:val="en_US" w:bidi="en_US"/>
        </w:rPr>
        <w:t>that I am doing</w:t>
      </w:r>
      <w:r>
        <w:rPr>
          <w:lang w:val="en_US" w:bidi="en_US"/>
        </w:rPr>
        <w:t xml:space="preserve"> that you have seen and heard </w:t>
      </w:r>
      <w:r>
        <w:rPr>
          <w:lang w:val="en_US" w:bidi="en_US"/>
        </w:rPr>
        <w:t>here</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(dual)</w:t>
      </w:r>
      <w:r>
        <w:rPr>
          <w:lang w:val="en_US" w:bidi="en_US"/>
        </w:rPr>
        <w:t xml:space="preserve"> have seen and heard </w:t>
      </w:r>
      <w:r>
        <w:rPr>
          <w:lang w:val="en_US" w:bidi="en_US"/>
        </w:rPr>
        <w:t>me do many wonderful things</w:t>
      </w:r>
      <w:r>
        <w:rPr>
          <w:lang w:val="en_US" w:bidi="en_US"/>
        </w:rPr>
        <w:t xml:space="preserve">. </w:t>
      </w:r>
      <w:r>
        <w:rPr>
          <w:lang w:val="en_US" w:bidi="en_US"/>
        </w:rPr>
        <w:t>Now</w:t>
      </w:r>
      <w:r>
        <w:rPr>
          <w:lang w:val="en_US" w:bidi="en_US"/>
        </w:rPr>
        <w:t xml:space="preserve"> go</w:t>
      </w:r>
      <w:r>
        <w:rPr>
          <w:vertAlign w:val="superscript"/>
          <w:lang w:val="en_US" w:bidi="en_US"/>
        </w:rPr>
        <w:t>(dual)</w:t>
      </w:r>
      <w:r>
        <w:rPr>
          <w:lang w:val="en_US" w:bidi="en_US"/>
        </w:rPr>
        <w:t xml:space="preserve"> back to John and tell him about them.</w:t>
      </w:r>
    </w:p>
    <w:p>
      <w:pPr>
        <w:pStyle w:val="Heading5"/>
      </w:pPr>
      <w:r>
        <w:rPr>
          <w:lang w:val="en_US" w:bidi="en_US"/>
        </w:rPr>
        <w:t>7:22a–b</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is often translated as “and.” Here it introduces what Jesus did next. He answered the messengers from John. He used the miracles that he had been doing as the basis for his answer. Some English versions translate this connection as “And” (RSV) or “Then” (NLT). Some other English versions do not translate it (GNT). Connect this verse to 7:21 in a way that is natural in your language.</w:t>
      </w:r>
    </w:p>
    <w:p>
      <w:pPr/>
      <w:r>
        <w:rPr>
          <w:lang w:val="en_US" w:bidi="en_US"/>
        </w:rPr>
      </w:r>
      <w:r>
        <w:rPr>
          <w:b/>
          <w:lang w:val="en_US" w:bidi="en_US"/>
        </w:rPr>
        <w:t>He replied:</w:t>
      </w:r>
      <w:r>
        <w:rPr>
          <w:lang w:val="en_US" w:bidi="en_US"/>
        </w:rPr>
        <w:t xml:space="preserve"> The Greek phrase that the BSB translates as </w:t>
      </w:r>
      <w:r>
        <w:rPr>
          <w:i/>
          <w:lang w:val="en_US" w:bidi="en_US"/>
        </w:rPr>
        <w:t>He replied</w:t>
      </w:r>
      <w:r>
        <w:rPr>
          <w:lang w:val="en_US" w:bidi="en_US"/>
        </w:rPr>
        <w:t xml:space="preserve"> is literally “replying, he said to them.” Your language may require you to specify to whom Jesus </w:t>
      </w:r>
      <w:r>
        <w:rPr>
          <w:i/>
          <w:lang w:val="en_US" w:bidi="en_US"/>
        </w:rPr>
        <w:t>replied</w:t>
      </w:r>
      <w:r>
        <w:rPr>
          <w:lang w:val="en_US" w:bidi="en_US"/>
        </w:rPr>
        <w:t>. You could say “them,” or you could use another word or expression to clarify that this refers to the men whom John had sent. In your translation, use an expression that clearly refers to the two men mentioned in 7:18b and 7:20a. Other ways to translate this are:</w:t>
      </w:r>
    </w:p>
    <w:p>
      <w:pPr/>
      <w:r>
        <w:rPr>
          <w:lang w:val="en_US" w:bidi="en_US"/>
        </w:rPr>
      </w:r>
      <w:r>
        <w:rPr>
          <w:lang w:val="en_US" w:bidi="en_US"/>
        </w:rPr>
        <w:t>he replied to the messengers (NIV)</w:t>
      </w:r>
    </w:p>
    <w:p>
      <w:pPr/>
      <w:r>
        <w:rPr>
          <w:lang w:val="en_US" w:bidi="en_US"/>
        </w:rPr>
      </w:r>
      <w:r>
        <w:rPr>
          <w:lang w:val="en_US" w:bidi="en_US"/>
        </w:rPr>
        <w:t>he told John’s disciples (NLT)</w:t>
      </w:r>
    </w:p>
    <w:p>
      <w:pPr>
        <w:pStyle w:val="Heading5"/>
      </w:pPr>
      <w:r>
        <w:rPr>
          <w:lang w:val="en_US" w:bidi="en_US"/>
        </w:rPr>
        <w:t>7:22c</w:t>
      </w:r>
    </w:p>
    <w:p>
      <w:pPr/>
      <w:r>
        <w:rPr>
          <w:lang w:val="en_US" w:bidi="en_US"/>
        </w:rPr>
      </w:r>
      <w:r>
        <w:rPr>
          <w:b/>
          <w:lang w:val="en_US" w:bidi="en_US"/>
        </w:rPr>
        <w:t>The blind receive sight, the lame walk,</w:t>
      </w:r>
    </w:p>
    <w:p>
      <w:pPr>
        <w:pStyle w:val="ListBullet"/>
        <w:spacing w:line="240" w:lineRule="auto"/>
        <w:ind w:left="720"/>
      </w:pPr>
      <w:r>
        <w:rPr>
          <w:lang w:val="en_US" w:bidi="en_US"/>
        </w:rPr>
      </w:r>
      <w:r>
        <w:rPr>
          <w:lang w:val="en_US" w:bidi="en_US"/>
        </w:rPr>
        <w:t xml:space="preserve">Blind </w:t>
      </w:r>
      <w:r>
        <w:rPr>
          <w:lang w:val="en_US" w:bidi="en_US"/>
        </w:rPr>
        <w:t>people</w:t>
      </w:r>
      <w:r>
        <w:rPr>
          <w:lang w:val="en_US" w:bidi="en_US"/>
        </w:rPr>
        <w:t xml:space="preserve"> can see </w:t>
      </w:r>
      <w:r>
        <w:rPr>
          <w:lang w:val="en_US" w:bidi="en_US"/>
        </w:rPr>
        <w:t>now</w:t>
      </w:r>
      <w:r>
        <w:rPr>
          <w:lang w:val="en_US" w:bidi="en_US"/>
        </w:rPr>
        <w:t xml:space="preserve">, and lame </w:t>
      </w:r>
      <w:r>
        <w:rPr>
          <w:lang w:val="en_US" w:bidi="en_US"/>
        </w:rPr>
        <w:t>people</w:t>
      </w:r>
      <w:r>
        <w:rPr>
          <w:lang w:val="en_US" w:bidi="en_US"/>
        </w:rPr>
        <w:t xml:space="preserve"> are walking.</w:t>
      </w:r>
    </w:p>
    <w:p>
      <w:pPr>
        <w:pStyle w:val="ListBullet"/>
        <w:spacing w:line="240" w:lineRule="auto"/>
        <w:ind w:left="720"/>
      </w:pPr>
      <w:r>
        <w:rPr>
          <w:lang w:val="en_US" w:bidi="en_US"/>
        </w:rPr>
      </w:r>
      <w:r>
        <w:rPr>
          <w:lang w:val="en_US" w:bidi="en_US"/>
        </w:rPr>
        <w:t>Tell him that</w:t>
      </w:r>
      <w:r>
        <w:rPr>
          <w:lang w:val="en_US" w:bidi="en_US"/>
        </w:rPr>
        <w:t xml:space="preserve"> </w:t>
      </w:r>
      <w:r>
        <w:rPr>
          <w:lang w:val="en_US" w:bidi="en_US"/>
        </w:rPr>
        <w:t>I have given</w:t>
      </w:r>
      <w:r>
        <w:rPr>
          <w:lang w:val="en_US" w:bidi="en_US"/>
        </w:rPr>
        <w:t xml:space="preserve"> sight to people who could not see </w:t>
      </w:r>
      <w:r>
        <w:rPr>
          <w:lang w:val="en_US" w:bidi="en_US"/>
        </w:rPr>
        <w:t>and made</w:t>
      </w:r>
      <w:r>
        <w:rPr>
          <w:lang w:val="en_US" w:bidi="en_US"/>
        </w:rPr>
        <w:t xml:space="preserve"> people who were crippled </w:t>
      </w:r>
      <w:r>
        <w:rPr>
          <w:lang w:val="en_US" w:bidi="en_US"/>
        </w:rPr>
        <w:t>able to</w:t>
      </w:r>
      <w:r>
        <w:rPr>
          <w:lang w:val="en_US" w:bidi="en_US"/>
        </w:rPr>
        <w:t xml:space="preserve"> walk.</w:t>
      </w:r>
    </w:p>
    <w:p>
      <w:pPr/>
      <w:r>
        <w:rPr>
          <w:lang w:val="en_US" w:bidi="en_US"/>
        </w:rPr>
      </w:r>
      <w:r>
        <w:rPr>
          <w:b/>
          <w:lang w:val="en_US" w:bidi="en_US"/>
        </w:rPr>
        <w:t>The blind receive sight:</w:t>
      </w:r>
      <w:r>
        <w:rPr>
          <w:lang w:val="en_US" w:bidi="en_US"/>
        </w:rPr>
        <w:t xml:space="preserve"> The phrase </w:t>
      </w:r>
      <w:r>
        <w:rPr>
          <w:i/>
          <w:lang w:val="en_US" w:bidi="en_US"/>
        </w:rPr>
        <w:t>The blind receive sight</w:t>
      </w:r>
      <w:r>
        <w:rPr>
          <w:lang w:val="en_US" w:bidi="en_US"/>
        </w:rPr>
        <w:t xml:space="preserve"> means “people who were blind can now see.”</w:t>
      </w:r>
    </w:p>
    <w:p>
      <w:pPr/>
      <w:r>
        <w:rPr>
          <w:lang w:val="en_US" w:bidi="en_US"/>
        </w:rPr>
      </w:r>
      <w:r>
        <w:rPr>
          <w:b/>
          <w:lang w:val="en_US" w:bidi="en_US"/>
        </w:rPr>
        <w:t>the lame walk:</w:t>
      </w:r>
      <w:r>
        <w:rPr>
          <w:lang w:val="en_US" w:bidi="en_US"/>
        </w:rPr>
        <w:t xml:space="preserve"> The phrase </w:t>
      </w:r>
      <w:r>
        <w:rPr>
          <w:i/>
          <w:lang w:val="en_US" w:bidi="en_US"/>
        </w:rPr>
        <w:t>the lame walk</w:t>
      </w:r>
      <w:r>
        <w:rPr>
          <w:lang w:val="en_US" w:bidi="en_US"/>
        </w:rPr>
        <w:t xml:space="preserve"> means “people who could not walk can now walk.”</w:t>
      </w:r>
    </w:p>
    <w:p>
      <w:pPr/>
      <w:r>
        <w:rPr>
          <w:lang w:val="en_US" w:bidi="en_US"/>
        </w:rPr>
      </w:r>
      <w:r>
        <w:rPr>
          <w:b/>
          <w:lang w:val="en_US" w:bidi="en_US"/>
        </w:rPr>
        <w:t>lame:</w:t>
      </w:r>
      <w:r>
        <w:rPr>
          <w:lang w:val="en_US" w:bidi="en_US"/>
        </w:rPr>
        <w:t xml:space="preserve"> A </w:t>
      </w:r>
      <w:r>
        <w:rPr>
          <w:i/>
          <w:lang w:val="en_US" w:bidi="en_US"/>
        </w:rPr>
        <w:t>lame</w:t>
      </w:r>
      <w:r>
        <w:rPr>
          <w:lang w:val="en_US" w:bidi="en_US"/>
        </w:rPr>
        <w:t xml:space="preserve"> person is someone who is permanently unable to walk.</w:t>
      </w:r>
    </w:p>
    <w:p>
      <w:pPr>
        <w:pStyle w:val="Heading5"/>
      </w:pPr>
      <w:r>
        <w:rPr>
          <w:lang w:val="en_US" w:bidi="en_US"/>
        </w:rPr>
        <w:t>7:22d</w:t>
      </w:r>
    </w:p>
    <w:p>
      <w:pPr/>
      <w:r>
        <w:rPr>
          <w:lang w:val="en_US" w:bidi="en_US"/>
        </w:rPr>
      </w:r>
      <w:r>
        <w:rPr>
          <w:b/>
          <w:lang w:val="en_US" w:bidi="en_US"/>
        </w:rPr>
        <w:t>the lepers are cleansed,</w:t>
      </w:r>
    </w:p>
    <w:p>
      <w:pPr>
        <w:pStyle w:val="ListBullet"/>
        <w:spacing w:line="240" w:lineRule="auto"/>
        <w:ind w:left="720"/>
      </w:pPr>
      <w:r>
        <w:rPr>
          <w:lang w:val="en_US" w:bidi="en_US"/>
        </w:rPr>
      </w:r>
      <w:r>
        <w:rPr>
          <w:lang w:val="en_US" w:bidi="en_US"/>
        </w:rPr>
        <w:t xml:space="preserve">Lepers are </w:t>
      </w:r>
      <w:r>
        <w:rPr>
          <w:lang w:val="en_US" w:bidi="en_US"/>
        </w:rPr>
        <w:t>now</w:t>
      </w:r>
      <w:r>
        <w:rPr>
          <w:lang w:val="en_US" w:bidi="en_US"/>
        </w:rPr>
        <w:t xml:space="preserve"> healed </w:t>
      </w:r>
      <w:r>
        <w:rPr>
          <w:lang w:val="en_US" w:bidi="en_US"/>
        </w:rPr>
        <w:t>and ritually pure</w:t>
      </w:r>
      <w:r>
        <w:rPr>
          <w:lang w:val="en_US" w:bidi="en_US"/>
        </w:rPr>
        <w:t>.</w:t>
      </w:r>
    </w:p>
    <w:p>
      <w:pPr>
        <w:pStyle w:val="ListBullet"/>
        <w:spacing w:line="240" w:lineRule="auto"/>
        <w:ind w:left="720"/>
      </w:pPr>
      <w:r>
        <w:rPr>
          <w:lang w:val="en_US" w:bidi="en_US"/>
        </w:rPr>
      </w:r>
      <w:r>
        <w:rPr>
          <w:lang w:val="en_US" w:bidi="en_US"/>
        </w:rPr>
        <w:t>I have</w:t>
      </w:r>
      <w:r>
        <w:rPr>
          <w:lang w:val="en_US" w:bidi="en_US"/>
        </w:rPr>
        <w:t xml:space="preserve"> cured people with the dreaded skin disease.</w:t>
      </w:r>
    </w:p>
    <w:p>
      <w:pPr/>
      <w:r>
        <w:rPr>
          <w:lang w:val="en_US" w:bidi="en_US"/>
        </w:rPr>
      </w:r>
      <w:r>
        <w:rPr>
          <w:b/>
          <w:lang w:val="en_US" w:bidi="en_US"/>
        </w:rPr>
        <w:t>the lepers are cleansed:</w:t>
      </w:r>
      <w:r>
        <w:rPr>
          <w:lang w:val="en_US" w:bidi="en_US"/>
        </w:rPr>
        <w:t xml:space="preserve"> This clause is passive. Some other ways to translate it are:</w:t>
      </w:r>
    </w:p>
    <w:p>
      <w:pPr/>
      <w:r>
        <w:rPr>
          <w:lang w:val="en_US" w:bidi="en_US"/>
        </w:rPr>
      </w:r>
      <w:r>
        <w:rPr>
          <w:lang w:val="en_US" w:bidi="en_US"/>
        </w:rPr>
        <w:t>those who have leprosy become well</w:t>
      </w:r>
    </w:p>
    <w:p>
      <w:pPr/>
      <w:r>
        <w:rPr>
          <w:lang w:val="en_US" w:bidi="en_US"/>
        </w:rPr>
      </w:r>
      <w:r>
        <w:rPr>
          <w:lang w:val="en_US" w:bidi="en_US"/>
        </w:rPr>
        <w:t>lepers receive cleansing/healing</w:t>
      </w:r>
    </w:p>
    <w:p>
      <w:pPr/>
      <w:r>
        <w:rPr>
          <w:lang w:val="en_US" w:bidi="en_US"/>
        </w:rPr>
      </w:r>
      <w:r>
        <w:rPr>
          <w:lang w:val="en_US" w:bidi="en_US"/>
        </w:rPr>
        <w:t>People who have leprosy are being healed (CEV)</w:t>
      </w:r>
    </w:p>
    <w:p>
      <w:pPr/>
      <w:r>
        <w:rPr>
          <w:lang w:val="en_US" w:bidi="en_US"/>
        </w:rPr>
      </w:r>
      <w:r>
        <w:rPr>
          <w:b/>
          <w:lang w:val="en_US" w:bidi="en_US"/>
        </w:rPr>
        <w:t>lepers:</w:t>
      </w:r>
      <w:r>
        <w:rPr>
          <w:lang w:val="en_US" w:bidi="en_US"/>
        </w:rPr>
        <w:t xml:space="preserve"> The Greek word that the BSB translates as </w:t>
      </w:r>
      <w:r>
        <w:rPr>
          <w:i/>
          <w:lang w:val="en_US" w:bidi="en_US"/>
        </w:rPr>
        <w:t>lepers</w:t>
      </w:r>
      <w:r>
        <w:rPr>
          <w:lang w:val="en_US" w:bidi="en_US"/>
        </w:rPr>
        <w:t xml:space="preserve"> could describe people who had several different skin diseases. Scholars disagree as to whether these diseases included what modern medicine calls leprosy (Hansen’s disease). They agree that in New Testament times the Greek word referred to dreaded skin diseases. People believed that these diseases were spread by contact with someone who had the disease. A person who had one of these diseases was also considered ritually unclean. Some ways to translate this word are:</w:t>
      </w:r>
    </w:p>
    <w:p>
      <w:pPr>
        <w:pStyle w:val="ListBullet"/>
        <w:spacing w:line="240" w:lineRule="auto"/>
        <w:ind w:left="720"/>
      </w:pPr>
      <w:r>
        <w:rPr>
          <w:lang w:val="en_US" w:bidi="en_US"/>
        </w:rPr>
      </w:r>
      <w:r>
        <w:rPr>
          <w:lang w:val="en_US" w:bidi="en_US"/>
        </w:rPr>
        <w:t>Use a general phrase that describes the nature or significance of the disease. For example:</w:t>
      </w:r>
      <w:r>
        <w:rPr>
          <w:lang w:val="en_US" w:bidi="en_US"/>
        </w:rPr>
        <w:t>dreaded skin diseases (GNT)</w:t>
      </w:r>
      <w:r>
        <w:rPr>
          <w:lang w:val="en_US" w:bidi="en_US"/>
        </w:rPr>
        <w:t>serious skin diseases</w:t>
      </w:r>
      <w:r>
        <w:rPr>
          <w:lang w:val="en_US" w:bidi="en_US"/>
        </w:rPr>
        <w:t>contagious skin diseases</w:t>
      </w:r>
    </w:p>
    <w:p>
      <w:pPr>
        <w:pStyle w:val="ListBullet"/>
        <w:spacing w:line="240" w:lineRule="auto"/>
        <w:ind w:left="720"/>
      </w:pPr>
      <w:r>
        <w:rPr>
          <w:lang w:val="en_US" w:bidi="en_US"/>
        </w:rPr>
      </w:r>
      <w:r>
        <w:rPr>
          <w:lang w:val="en_US" w:bidi="en_US"/>
        </w:rPr>
        <w:t>Use a term that refers specifically to leprosy. For example:</w:t>
      </w:r>
      <w:r>
        <w:rPr>
          <w:lang w:val="en_US" w:bidi="en_US"/>
        </w:rPr>
        <w:t>leprosy</w:t>
      </w:r>
      <w:r>
        <w:rPr>
          <w:lang w:val="en_US" w:bidi="en_US"/>
        </w:rPr>
        <w:t>something like leprosy</w:t>
      </w:r>
    </w:p>
    <w:p>
      <w:pPr/>
      <w:r>
        <w:rPr>
          <w:lang w:val="en_US" w:bidi="en_US"/>
        </w:rPr>
      </w:r>
      <w:r>
        <w:rPr>
          <w:lang w:val="en_US" w:bidi="en_US"/>
        </w:rPr>
        <w:t>A term that refers specifically to leprosy may be appropriate in areas where readers are already familiar with the term “leprosy.” If you decide to use a word that means “leprosy,” it is recommended that you add a footnote to give more information. For example:</w:t>
      </w:r>
    </w:p>
    <w:p>
      <w:pPr/>
      <w:r>
        <w:rPr>
          <w:lang w:val="en_US" w:bidi="en_US"/>
        </w:rPr>
      </w:r>
      <w:r>
        <w:rPr>
          <w:lang w:val="en_US" w:bidi="en_US"/>
        </w:rPr>
        <w:t>The disease that is mentioned here refers to various contagious and dreaded skin diseases. A person who had one of these diseases was considered ritually unclean. According to the Jewish law, he was not allowed to associate with other people or to worship in the Temple.</w:t>
      </w:r>
    </w:p>
    <w:p>
      <w:pPr/>
      <w:r>
        <w:rPr>
          <w:lang w:val="en_US" w:bidi="en_US"/>
        </w:rPr>
      </w:r>
      <w:r>
        <w:rPr>
          <w:lang w:val="en_US" w:bidi="en_US"/>
        </w:rPr>
        <w:t>See the notes on 4:27a and 5:12b.</w:t>
      </w:r>
    </w:p>
    <w:p>
      <w:pPr/>
      <w:r>
        <w:rPr>
          <w:lang w:val="en_US" w:bidi="en_US"/>
        </w:rPr>
      </w:r>
      <w:r>
        <w:rPr>
          <w:b/>
          <w:lang w:val="en_US" w:bidi="en_US"/>
        </w:rPr>
        <w:t>cleansed:</w:t>
      </w:r>
      <w:r>
        <w:rPr>
          <w:lang w:val="en_US" w:bidi="en_US"/>
        </w:rPr>
        <w:t xml:space="preserve"> The Greek word that the BSB translates literally as </w:t>
      </w:r>
      <w:r>
        <w:rPr>
          <w:i/>
          <w:lang w:val="en_US" w:bidi="en_US"/>
        </w:rPr>
        <w:t>cleansed</w:t>
      </w:r>
      <w:r>
        <w:rPr>
          <w:lang w:val="en_US" w:bidi="en_US"/>
        </w:rPr>
        <w:t xml:space="preserve"> refers to the lepers’ status under the Law of Moses. People who had leprosy were ritually unclean or impure. They were not allowed to participate in public religious ceremonies or to worship God in the temple. They had to live away from other people who did not have this disease. When they were healed, they became ritually clean, and then they were allowed to enter the temple again and participate in community activities.</w:t>
      </w:r>
    </w:p>
    <w:p>
      <w:pPr/>
      <w:r>
        <w:rPr>
          <w:lang w:val="en_US" w:bidi="en_US"/>
        </w:rPr>
      </w:r>
      <w:r>
        <w:rPr>
          <w:lang w:val="en_US" w:bidi="en_US"/>
        </w:rPr>
        <w:t xml:space="preserve">Here are several ways to translate the word </w:t>
      </w:r>
      <w:r>
        <w:rPr>
          <w:i/>
          <w:lang w:val="en_US" w:bidi="en_US"/>
        </w:rPr>
        <w:t>cleansed</w:t>
      </w:r>
      <w:r>
        <w:rPr>
          <w:lang w:val="en_US" w:bidi="en_US"/>
        </w:rPr>
        <w:t xml:space="preserve"> here:</w:t>
      </w:r>
    </w:p>
    <w:p>
      <w:pPr>
        <w:pStyle w:val="ListBullet"/>
        <w:spacing w:line="240" w:lineRule="auto"/>
        <w:ind w:left="720"/>
      </w:pPr>
      <w:r>
        <w:rPr>
          <w:lang w:val="en_US" w:bidi="en_US"/>
        </w:rPr>
      </w:r>
      <w:r>
        <w:rPr>
          <w:lang w:val="en_US" w:bidi="en_US"/>
        </w:rPr>
        <w:t>Translate both the idea of healing and the idea of becoming ritually pure. For example:</w:t>
      </w:r>
      <w:r>
        <w:rPr>
          <w:lang w:val="en_US" w:bidi="en_US"/>
        </w:rPr>
        <w:t>healed and</w:t>
      </w:r>
      <w:r>
        <w:rPr>
          <w:lang w:val="en_US" w:bidi="en_US"/>
        </w:rPr>
        <w:t xml:space="preserve"> ritually cleansed</w:t>
      </w:r>
    </w:p>
    <w:p>
      <w:pPr>
        <w:pStyle w:val="ListBullet"/>
        <w:spacing w:line="240" w:lineRule="auto"/>
        <w:ind w:left="720"/>
      </w:pPr>
      <w:r>
        <w:rPr>
          <w:lang w:val="en_US" w:bidi="en_US"/>
        </w:rPr>
      </w:r>
      <w:r>
        <w:rPr>
          <w:lang w:val="en_US" w:bidi="en_US"/>
        </w:rPr>
        <w:t>Translate only the idea of healing here. For example:</w:t>
      </w:r>
      <w:r>
        <w:rPr>
          <w:lang w:val="en_US" w:bidi="en_US"/>
        </w:rPr>
        <w:t>cured (NIV)</w:t>
      </w:r>
    </w:p>
    <w:p>
      <w:pPr>
        <w:pStyle w:val="ListBullet"/>
        <w:spacing w:line="240" w:lineRule="auto"/>
        <w:ind w:left="720"/>
      </w:pPr>
      <w:r>
        <w:rPr>
          <w:lang w:val="en_US" w:bidi="en_US"/>
        </w:rPr>
      </w:r>
      <w:r>
        <w:rPr>
          <w:lang w:val="en_US" w:bidi="en_US"/>
        </w:rPr>
        <w:t>Translate only the idea of becoming ritually pure. For example:</w:t>
      </w:r>
      <w:r>
        <w:rPr>
          <w:lang w:val="en_US" w:bidi="en_US"/>
        </w:rPr>
        <w:t xml:space="preserve">made </w:t>
      </w:r>
      <w:r>
        <w:rPr>
          <w:lang w:val="en_US" w:bidi="en_US"/>
        </w:rPr>
        <w:t>ritually</w:t>
      </w:r>
      <w:r>
        <w:rPr>
          <w:lang w:val="en_US" w:bidi="en_US"/>
        </w:rPr>
        <w:t xml:space="preserve"> clean/pure</w:t>
      </w:r>
    </w:p>
    <w:p>
      <w:pPr/>
      <w:r>
        <w:rPr>
          <w:lang w:val="en_US" w:bidi="en_US"/>
        </w:rPr>
      </w:r>
      <w:r>
        <w:rPr>
          <w:lang w:val="en_US" w:bidi="en_US"/>
        </w:rPr>
        <w:t>See the notes on 4:27b and 5:12d.</w:t>
      </w:r>
    </w:p>
    <w:p>
      <w:pPr>
        <w:pStyle w:val="Heading5"/>
      </w:pPr>
      <w:r>
        <w:rPr>
          <w:lang w:val="en_US" w:bidi="en_US"/>
        </w:rPr>
        <w:t>7:22e</w:t>
      </w:r>
    </w:p>
    <w:p>
      <w:pPr/>
      <w:r>
        <w:rPr>
          <w:lang w:val="en_US" w:bidi="en_US"/>
        </w:rPr>
      </w:r>
      <w:r>
        <w:rPr>
          <w:b/>
          <w:lang w:val="en_US" w:bidi="en_US"/>
        </w:rPr>
        <w:t>the deaf hear, the dead are raised,</w:t>
      </w:r>
    </w:p>
    <w:p>
      <w:pPr>
        <w:pStyle w:val="ListBullet"/>
        <w:spacing w:line="240" w:lineRule="auto"/>
        <w:ind w:left="720"/>
      </w:pPr>
      <w:r>
        <w:rPr>
          <w:lang w:val="en_US" w:bidi="en_US"/>
        </w:rPr>
      </w:r>
      <w:r>
        <w:rPr>
          <w:lang w:val="en_US" w:bidi="en_US"/>
        </w:rPr>
        <w:t xml:space="preserve">Deaf people are </w:t>
      </w:r>
      <w:r>
        <w:rPr>
          <w:lang w:val="en_US" w:bidi="en_US"/>
        </w:rPr>
        <w:t>now</w:t>
      </w:r>
      <w:r>
        <w:rPr>
          <w:lang w:val="en_US" w:bidi="en_US"/>
        </w:rPr>
        <w:t xml:space="preserve"> able to hear. People who had died are alive again.</w:t>
      </w:r>
    </w:p>
    <w:p>
      <w:pPr>
        <w:pStyle w:val="ListBullet"/>
        <w:spacing w:line="240" w:lineRule="auto"/>
        <w:ind w:left="720"/>
      </w:pPr>
      <w:r>
        <w:rPr>
          <w:lang w:val="en_US" w:bidi="en_US"/>
        </w:rPr>
      </w:r>
      <w:r>
        <w:rPr>
          <w:lang w:val="en_US" w:bidi="en_US"/>
        </w:rPr>
        <w:t>I have made</w:t>
      </w:r>
      <w:r>
        <w:rPr>
          <w:lang w:val="en_US" w:bidi="en_US"/>
        </w:rPr>
        <w:t xml:space="preserve"> deaf people able to hear. </w:t>
      </w:r>
      <w:r>
        <w:rPr>
          <w:lang w:val="en_US" w:bidi="en_US"/>
        </w:rPr>
        <w:t>I have caused</w:t>
      </w:r>
      <w:r>
        <w:rPr>
          <w:lang w:val="en_US" w:bidi="en_US"/>
        </w:rPr>
        <w:t xml:space="preserve"> people who were dead to live again.</w:t>
      </w:r>
    </w:p>
    <w:p>
      <w:pPr/>
      <w:r>
        <w:rPr>
          <w:lang w:val="en_US" w:bidi="en_US"/>
        </w:rPr>
      </w:r>
      <w:r>
        <w:rPr>
          <w:b/>
          <w:lang w:val="en_US" w:bidi="en_US"/>
        </w:rPr>
        <w:t>the deaf hear:</w:t>
      </w:r>
      <w:r>
        <w:rPr>
          <w:lang w:val="en_US" w:bidi="en_US"/>
        </w:rPr>
        <w:t xml:space="preserve"> The phrase </w:t>
      </w:r>
      <w:r>
        <w:rPr>
          <w:i/>
          <w:lang w:val="en_US" w:bidi="en_US"/>
        </w:rPr>
        <w:t>the deaf hear</w:t>
      </w:r>
      <w:r>
        <w:rPr>
          <w:lang w:val="en_US" w:bidi="en_US"/>
        </w:rPr>
        <w:t xml:space="preserve"> means “deaf people become able to hear again.”</w:t>
      </w:r>
    </w:p>
    <w:p>
      <w:pPr/>
      <w:r>
        <w:rPr>
          <w:lang w:val="en_US" w:bidi="en_US"/>
        </w:rPr>
      </w:r>
      <w:r>
        <w:rPr>
          <w:b/>
          <w:lang w:val="en_US" w:bidi="en_US"/>
        </w:rPr>
        <w:t>the dead are raised:</w:t>
      </w:r>
      <w:r>
        <w:rPr>
          <w:lang w:val="en_US" w:bidi="en_US"/>
        </w:rPr>
        <w:t xml:space="preserve"> This clause is passive. In some languages it may be necessary to translate this without using a passive verb. For example:</w:t>
      </w:r>
    </w:p>
    <w:p>
      <w:pPr/>
      <w:r>
        <w:rPr>
          <w:lang w:val="en_US" w:bidi="en_US"/>
        </w:rPr>
      </w:r>
      <w:r>
        <w:rPr>
          <w:lang w:val="en_US" w:bidi="en_US"/>
        </w:rPr>
        <w:t>people who have died become alive again</w:t>
      </w:r>
    </w:p>
    <w:p>
      <w:pPr/>
      <w:r>
        <w:rPr>
          <w:lang w:val="en_US" w:bidi="en_US"/>
        </w:rPr>
      </w:r>
      <w:r>
        <w:rPr>
          <w:lang w:val="en_US" w:bidi="en_US"/>
        </w:rPr>
        <w:t>dead people have come back to life</w:t>
      </w:r>
    </w:p>
    <w:p>
      <w:pPr>
        <w:pStyle w:val="Heading5"/>
      </w:pPr>
      <w:r>
        <w:rPr>
          <w:lang w:val="en_US" w:bidi="en_US"/>
        </w:rPr>
        <w:t>7:22f</w:t>
      </w:r>
    </w:p>
    <w:p>
      <w:pPr/>
      <w:r>
        <w:rPr>
          <w:lang w:val="en_US" w:bidi="en_US"/>
        </w:rPr>
      </w:r>
      <w:r>
        <w:rPr>
          <w:b/>
          <w:lang w:val="en_US" w:bidi="en_US"/>
        </w:rPr>
        <w:t>and the good news is preached to the poor.</w:t>
      </w:r>
    </w:p>
    <w:p>
      <w:pPr>
        <w:pStyle w:val="ListBullet"/>
        <w:spacing w:line="240" w:lineRule="auto"/>
        <w:ind w:left="720"/>
      </w:pPr>
      <w:r>
        <w:rPr>
          <w:lang w:val="en_US" w:bidi="en_US"/>
        </w:rPr>
      </w:r>
      <w:r>
        <w:rPr>
          <w:lang w:val="en_US" w:bidi="en_US"/>
        </w:rPr>
        <w:t>Good news is being proclaimed to poor people.</w:t>
      </w:r>
    </w:p>
    <w:p>
      <w:pPr>
        <w:pStyle w:val="ListBullet"/>
        <w:spacing w:line="240" w:lineRule="auto"/>
        <w:ind w:left="720"/>
      </w:pPr>
      <w:r>
        <w:rPr>
          <w:lang w:val="en_US" w:bidi="en_US"/>
        </w:rPr>
      </w:r>
      <w:r>
        <w:rPr>
          <w:lang w:val="en_US" w:bidi="en_US"/>
        </w:rPr>
        <w:t xml:space="preserve">And </w:t>
      </w:r>
      <w:r>
        <w:rPr>
          <w:lang w:val="en_US" w:bidi="en_US"/>
        </w:rPr>
        <w:t>I am telling</w:t>
      </w:r>
      <w:r>
        <w:rPr>
          <w:lang w:val="en_US" w:bidi="en_US"/>
        </w:rPr>
        <w:t xml:space="preserve"> the good news to people who are in need.</w:t>
      </w:r>
    </w:p>
    <w:p>
      <w:pPr/>
      <w:r>
        <w:rPr>
          <w:lang w:val="en_US" w:bidi="en_US"/>
        </w:rPr>
      </w:r>
      <w:r>
        <w:rPr>
          <w:b/>
          <w:lang w:val="en_US" w:bidi="en_US"/>
        </w:rPr>
        <w:t>the good news is preached to the poor:</w:t>
      </w:r>
      <w:r>
        <w:rPr>
          <w:lang w:val="en_US" w:bidi="en_US"/>
        </w:rPr>
        <w:t xml:space="preserve"> This is a passive clause. Some other ways to translate it in this context are:</w:t>
      </w:r>
    </w:p>
    <w:p>
      <w:pPr/>
      <w:r>
        <w:rPr>
          <w:lang w:val="en_US" w:bidi="en_US"/>
        </w:rPr>
      </w:r>
      <w:r>
        <w:rPr>
          <w:lang w:val="en_US" w:bidi="en_US"/>
        </w:rPr>
        <w:t>poor people hear the Good News (GW)</w:t>
      </w:r>
    </w:p>
    <w:p>
      <w:pPr/>
      <w:r>
        <w:rPr>
          <w:lang w:val="en_US" w:bidi="en_US"/>
        </w:rPr>
      </w:r>
      <w:r>
        <w:rPr>
          <w:lang w:val="en_US" w:bidi="en_US"/>
        </w:rPr>
        <w:t>the poor have good news proclaimed to them (NET)</w:t>
      </w:r>
    </w:p>
    <w:p>
      <w:pPr/>
      <w:r>
        <w:rPr>
          <w:lang w:val="en_US" w:bidi="en_US"/>
        </w:rPr>
      </w:r>
      <w:r>
        <w:rPr>
          <w:lang w:val="en_US" w:bidi="en_US"/>
        </w:rPr>
        <w:t>I</w:t>
      </w:r>
      <w:r>
        <w:rPr>
          <w:lang w:val="en_US" w:bidi="en_US"/>
        </w:rPr>
        <w:t xml:space="preserve"> am telling good news to poor people</w:t>
      </w:r>
    </w:p>
    <w:p>
      <w:pPr/>
      <w:r>
        <w:rPr>
          <w:lang w:val="en_US" w:bidi="en_US"/>
        </w:rPr>
      </w:r>
      <w:r>
        <w:rPr>
          <w:lang w:val="en_US" w:bidi="en_US"/>
        </w:rPr>
        <w:t xml:space="preserve">Jesus told good news to poor people. The clause </w:t>
      </w:r>
      <w:r>
        <w:rPr>
          <w:i/>
          <w:lang w:val="en_US" w:bidi="en_US"/>
        </w:rPr>
        <w:t>good news is preached to the poor</w:t>
      </w:r>
      <w:r>
        <w:rPr>
          <w:lang w:val="en_US" w:bidi="en_US"/>
        </w:rPr>
        <w:t xml:space="preserve"> occurs in a list that mostly includes miracles. Jesus listed different things that the Old Testament said that the Messiah would do. See Isaiah 61:1–2 and Luke 4:18–19. Jesus implied that he was showing that he was the Messiah by doing those things.</w:t>
      </w:r>
    </w:p>
    <w:p>
      <w:pPr/>
      <w:r>
        <w:rPr>
          <w:lang w:val="en_US" w:bidi="en_US"/>
        </w:rPr>
      </w:r>
      <w:r>
        <w:rPr>
          <w:b/>
          <w:lang w:val="en_US" w:bidi="en_US"/>
        </w:rPr>
        <w:t>preached:</w:t>
      </w:r>
      <w:r>
        <w:rPr>
          <w:lang w:val="en_US" w:bidi="en_US"/>
        </w:rPr>
        <w:t xml:space="preserve"> The word </w:t>
      </w:r>
      <w:r>
        <w:rPr>
          <w:i/>
          <w:lang w:val="en_US" w:bidi="en_US"/>
        </w:rPr>
        <w:t>preached</w:t>
      </w:r>
      <w:r>
        <w:rPr>
          <w:lang w:val="en_US" w:bidi="en_US"/>
        </w:rPr>
        <w:t xml:space="preserve"> here means to proclaim or tell good news. Use a word in your language that is natural for telling good news to people. Do not use a word that refers only to what a preacher does in church.</w:t>
      </w:r>
    </w:p>
    <w:p>
      <w:pPr/>
      <w:r>
        <w:rPr>
          <w:lang w:val="en_US" w:bidi="en_US"/>
        </w:rPr>
      </w:r>
      <w:r>
        <w:rPr>
          <w:b/>
          <w:lang w:val="en_US" w:bidi="en_US"/>
        </w:rPr>
        <w:t>the poor:</w:t>
      </w:r>
      <w:r>
        <w:rPr>
          <w:lang w:val="en_US" w:bidi="en_US"/>
        </w:rPr>
        <w:t xml:space="preserve"> The Greek word that the BSB translates as </w:t>
      </w:r>
      <w:r>
        <w:rPr>
          <w:i/>
          <w:lang w:val="en_US" w:bidi="en_US"/>
        </w:rPr>
        <w:t>the poor</w:t>
      </w:r>
      <w:r>
        <w:rPr>
          <w:lang w:val="en_US" w:bidi="en_US"/>
        </w:rPr>
        <w:t xml:space="preserve"> normally refers to people who lack enough food, clothing, or other necessities. It can also refer to people who are needy in other ways. They may lack status, or they may be oppressed by other people. In the Bible </w:t>
      </w:r>
      <w:r>
        <w:rPr>
          <w:i/>
          <w:lang w:val="en_US" w:bidi="en_US"/>
        </w:rPr>
        <w:t>the poor</w:t>
      </w:r>
      <w:r>
        <w:rPr>
          <w:lang w:val="en_US" w:bidi="en_US"/>
        </w:rPr>
        <w:t xml:space="preserve"> often refers to people who know that they need God to help them.</w:t>
      </w:r>
    </w:p>
    <w:p>
      <w:pPr/>
      <w:r>
        <w:rPr>
          <w:lang w:val="en_US" w:bidi="en_US"/>
        </w:rPr>
      </w:r>
      <w:r>
        <w:rPr>
          <w:lang w:val="en_US" w:bidi="en_US"/>
        </w:rPr>
        <w:t>In this context, Jesus referred to the people that he preached to. These people were poor in different ways. If possible, use a word that can refer to different types of poverty, including spiritual needs. If your usual term for poor people is not used in other senses, you might choose a more general term. For example:</w:t>
      </w:r>
    </w:p>
    <w:p>
      <w:pPr/>
      <w:r>
        <w:rPr>
          <w:lang w:val="en_US" w:bidi="en_US"/>
        </w:rPr>
      </w:r>
      <w:r>
        <w:rPr>
          <w:lang w:val="en_US" w:bidi="en_US"/>
        </w:rPr>
        <w:t>those in need (JBP)</w:t>
      </w:r>
    </w:p>
    <w:p>
      <w:pPr/>
      <w:r>
        <w:rPr>
          <w:lang w:val="en_US" w:bidi="en_US"/>
        </w:rPr>
      </w:r>
      <w:r>
        <w:rPr>
          <w:lang w:val="en_US" w:bidi="en_US"/>
        </w:rPr>
        <w:t>those who are in want</w:t>
      </w:r>
    </w:p>
    <w:p>
      <w:pPr/>
      <w:r>
        <w:rPr>
          <w:lang w:val="en_US" w:bidi="en_US"/>
        </w:rPr>
      </w:r>
      <w:r>
        <w:rPr>
          <w:lang w:val="en_US" w:bidi="en_US"/>
        </w:rPr>
        <w:t>those who are without resources</w:t>
      </w:r>
    </w:p>
    <w:p>
      <w:pPr/>
      <w:r>
        <w:rPr>
          <w:lang w:val="en_US" w:bidi="en_US"/>
        </w:rPr>
      </w:r>
      <w:r>
        <w:rPr>
          <w:lang w:val="en_US" w:bidi="en_US"/>
        </w:rPr>
        <w:t xml:space="preserve">See how you translated </w:t>
      </w:r>
      <w:r>
        <w:rPr>
          <w:i/>
          <w:lang w:val="en_US" w:bidi="en_US"/>
        </w:rPr>
        <w:t>poor</w:t>
      </w:r>
      <w:r>
        <w:rPr>
          <w:lang w:val="en_US" w:bidi="en_US"/>
        </w:rPr>
        <w:t xml:space="preserve"> in 6:20b.</w:t>
      </w:r>
    </w:p>
    <w:p>
      <w:pPr>
        <w:pStyle w:val="Heading6"/>
      </w:pPr>
      <w:r>
        <w:rPr>
          <w:b/>
          <w:lang w:val="en_US" w:bidi="en_US"/>
        </w:rPr>
        <w:t>General Comment on 7:22c–f</w:t>
      </w:r>
    </w:p>
    <w:p>
      <w:pPr/>
      <w:r>
        <w:rPr>
          <w:lang w:val="en_US" w:bidi="en_US"/>
        </w:rPr>
      </w:r>
      <w:r>
        <w:rPr>
          <w:lang w:val="en_US" w:bidi="en_US"/>
        </w:rPr>
        <w:t>In 7:22c–f Jesus talked about these amazing things that were happening without saying who was doing them. It was very clear that he was doing them himself. In some languages it may be necessary to make this explicit:</w:t>
      </w:r>
    </w:p>
    <w:p>
      <w:pPr/>
      <w:r>
        <w:rPr>
          <w:lang w:val="en_US" w:bidi="en_US"/>
        </w:rPr>
      </w:r>
      <w:r>
        <w:rPr>
          <w:vertAlign w:val="superscript"/>
          <w:lang w:val="en_US" w:bidi="en_US"/>
        </w:rPr>
        <w:t>22c</w:t>
      </w:r>
      <w:r>
        <w:rPr>
          <w:lang w:val="en_US" w:bidi="en_US"/>
        </w:rPr>
        <w:t xml:space="preserve"> </w:t>
      </w:r>
      <w:r>
        <w:rPr>
          <w:lang w:val="en_US" w:bidi="en_US"/>
        </w:rPr>
        <w:t>I</w:t>
      </w:r>
      <w:r>
        <w:rPr>
          <w:lang w:val="en_US" w:bidi="en_US"/>
        </w:rPr>
        <w:t xml:space="preserve"> am giving blind people their sight, making lame people able to walk again, </w:t>
      </w:r>
      <w:r>
        <w:rPr>
          <w:vertAlign w:val="superscript"/>
          <w:lang w:val="en_US" w:bidi="en_US"/>
        </w:rPr>
        <w:t>22d</w:t>
      </w:r>
      <w:r>
        <w:rPr>
          <w:lang w:val="en_US" w:bidi="en_US"/>
        </w:rPr>
        <w:t xml:space="preserve">cleansing/healing lepers, </w:t>
      </w:r>
      <w:r>
        <w:rPr>
          <w:vertAlign w:val="superscript"/>
          <w:lang w:val="en_US" w:bidi="en_US"/>
        </w:rPr>
        <w:t>22e</w:t>
      </w:r>
      <w:r>
        <w:rPr>
          <w:lang w:val="en_US" w:bidi="en_US"/>
        </w:rPr>
        <w:t xml:space="preserve">making deaf people able to hear again, and raising dead people to life. </w:t>
      </w:r>
      <w:r>
        <w:rPr>
          <w:vertAlign w:val="superscript"/>
          <w:lang w:val="en_US" w:bidi="en_US"/>
        </w:rPr>
        <w:t>22f</w:t>
      </w:r>
      <w:r>
        <w:rPr>
          <w:lang w:val="en_US" w:bidi="en_US"/>
        </w:rPr>
        <w:t>I</w:t>
      </w:r>
      <w:r>
        <w:rPr>
          <w:lang w:val="en_US" w:bidi="en_US"/>
        </w:rPr>
        <w:t xml:space="preserve"> am proclaiming the good news to the poor.</w:t>
      </w:r>
      <w:r>
        <w:rPr>
          <w:lang w:val="en_US" w:bidi="en_US"/>
        </w:rPr>
      </w:r>
      <w:r>
        <w:rPr>
          <w:lang w:val="en_US" w:bidi="en_US"/>
        </w:rPr>
      </w:r>
    </w:p>
    <w:p>
      <w:pPr/>
      <w:r>
        <w:rPr>
          <w:lang w:val="en_US" w:bidi="en_US"/>
        </w:rPr>
      </w:r>
    </w:p>
    <w:p>
      <w:pPr>
        <w:pStyle w:val="Heading2"/>
      </w:pPr>
      <w:r>
        <w:rPr>
          <w:lang w:val="en_US" w:bidi="en_US"/>
        </w:rPr>
        <w:t>Luke 7:23</w:t>
      </w:r>
      <w:r>
        <w:rPr>
          <w:lang w:val="en_US" w:bidi="en_US"/>
        </w:rPr>
      </w:r>
    </w:p>
    <w:p>
      <w:pPr>
        <w:pStyle w:val="Heading4"/>
      </w:pPr>
      <w:r>
        <w:rPr>
          <w:lang w:val="en_US" w:bidi="en_US"/>
        </w:rPr>
        <w:t>Section 7:18–35: John the Baptizer sent messengers to Jesus</w:t>
      </w:r>
    </w:p>
    <w:p>
      <w:pPr/>
      <w:r>
        <w:rPr>
          <w:lang w:val="en_US" w:bidi="en_US"/>
        </w:rPr>
      </w:r>
      <w:r>
        <w:rPr>
          <w:lang w:val="en_US" w:bidi="en_US"/>
        </w:rP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pPr/>
      <w:r>
        <w:rPr>
          <w:lang w:val="en_US" w:bidi="en_US"/>
        </w:rPr>
      </w:r>
      <w:r>
        <w:rPr>
          <w:lang w:val="en_US" w:bidi="en_US"/>
        </w:rP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responds to the messengers of John the Baptizer and speaks about John to the crowd</w:t>
      </w:r>
    </w:p>
    <w:p>
      <w:pPr/>
      <w:r>
        <w:rPr>
          <w:lang w:val="en_US" w:bidi="en_US"/>
        </w:rPr>
      </w:r>
      <w:r>
        <w:rPr>
          <w:lang w:val="en_US" w:bidi="en_US"/>
        </w:rPr>
        <w:t>Jesus speaks to the people about John the Baptizer</w:t>
      </w:r>
    </w:p>
    <w:p>
      <w:pPr/>
      <w:r>
        <w:rPr>
          <w:lang w:val="en_US" w:bidi="en_US"/>
        </w:rPr>
      </w:r>
      <w:r>
        <w:rPr>
          <w:lang w:val="en_US" w:bidi="en_US"/>
        </w:rPr>
        <w:t>Jesus teaches about John the Baptizer</w:t>
      </w:r>
    </w:p>
    <w:p>
      <w:pPr/>
      <w:r>
        <w:rPr>
          <w:lang w:val="en_US" w:bidi="en_US"/>
        </w:rPr>
      </w:r>
      <w:r>
        <w:rPr>
          <w:lang w:val="en_US" w:bidi="en_US"/>
        </w:rPr>
        <w:t>There is a parallel passage for this section in Matthew 11:3–19.</w:t>
      </w:r>
    </w:p>
    <w:p>
      <w:pPr>
        <w:pStyle w:val="Heading5"/>
      </w:pPr>
      <w:r>
        <w:rPr>
          <w:lang w:val="en_US" w:bidi="en_US"/>
        </w:rPr>
        <w:t>7:23</w:t>
      </w:r>
    </w:p>
    <w:p>
      <w:pPr/>
      <w:r>
        <w:rPr>
          <w:lang w:val="en_US" w:bidi="en_US"/>
        </w:rPr>
      </w:r>
      <w:r>
        <w:rPr>
          <w:b/>
          <w:lang w:val="en_US" w:bidi="en_US"/>
        </w:rPr>
        <w:t>Blessed is the one who does not fall away on account of Me.”</w:t>
      </w:r>
    </w:p>
    <w:p>
      <w:pPr>
        <w:pStyle w:val="ListBullet"/>
        <w:spacing w:line="240" w:lineRule="auto"/>
        <w:ind w:left="720"/>
      </w:pPr>
      <w:r>
        <w:rPr>
          <w:lang w:val="en_US" w:bidi="en_US"/>
        </w:rPr>
      </w:r>
      <w:r>
        <w:rPr>
          <w:lang w:val="en_US" w:bidi="en_US"/>
        </w:rPr>
        <w:t>God</w:t>
      </w:r>
      <w:r>
        <w:rPr>
          <w:lang w:val="en_US" w:bidi="en_US"/>
        </w:rPr>
        <w:t xml:space="preserve"> blesses the person who does not fall into doubt/sin because of me.”</w:t>
      </w:r>
    </w:p>
    <w:p>
      <w:pPr>
        <w:pStyle w:val="ListBullet"/>
        <w:spacing w:line="240" w:lineRule="auto"/>
        <w:ind w:left="720"/>
      </w:pPr>
      <w:r>
        <w:rPr>
          <w:lang w:val="en_US" w:bidi="en_US"/>
        </w:rPr>
      </w:r>
      <w:r>
        <w:rPr>
          <w:lang w:val="en_US" w:bidi="en_US"/>
        </w:rPr>
        <w:t>How good it is for people who do not stop believing/trusting in me!”</w:t>
      </w:r>
    </w:p>
    <w:p>
      <w:pPr>
        <w:pStyle w:val="ListBullet"/>
        <w:spacing w:line="240" w:lineRule="auto"/>
        <w:ind w:left="720"/>
      </w:pPr>
      <w:r>
        <w:rPr>
          <w:lang w:val="en_US" w:bidi="en_US"/>
        </w:rPr>
      </w:r>
      <w:r>
        <w:rPr>
          <w:lang w:val="en_US" w:bidi="en_US"/>
        </w:rPr>
        <w:t>Joyful/Desirable is the lot/situation of the person who continues to believe in me.”</w:t>
      </w:r>
    </w:p>
    <w:p>
      <w:pPr/>
      <w:r>
        <w:rPr>
          <w:lang w:val="en_US" w:bidi="en_US"/>
        </w:rPr>
      </w:r>
      <w:r>
        <w:rPr>
          <w:b/>
          <w:lang w:val="en_US" w:bidi="en_US"/>
        </w:rPr>
        <w:t>Blessed is the one:</w:t>
      </w:r>
      <w:r>
        <w:rPr>
          <w:lang w:val="en_US" w:bidi="en_US"/>
        </w:rPr>
        <w:t xml:space="preserve"> The Greek word</w:t>
      </w:r>
      <w:r>
        <w:rPr>
          <w:i/>
          <w:lang w:val="en_US" w:bidi="en_US"/>
        </w:rPr>
        <w:t>μακαριος</w:t>
      </w:r>
      <w:r>
        <w:rPr>
          <w:lang w:val="en_US" w:bidi="en_US"/>
        </w:rPr>
        <w:t>.</w:t>
      </w:r>
      <w:r>
        <w:rPr>
          <w:lang w:val="en_US" w:bidi="en_US"/>
        </w:rPr>
        <w:t xml:space="preserve"> that the BSB translates as </w:t>
      </w:r>
      <w:r>
        <w:rPr>
          <w:i/>
          <w:lang w:val="en_US" w:bidi="en_US"/>
        </w:rPr>
        <w:t>Blessed</w:t>
      </w:r>
      <w:r>
        <w:rPr>
          <w:lang w:val="en_US" w:bidi="en_US"/>
        </w:rPr>
        <w:t xml:space="preserve"> describes a person who is in a good situation. In the Bible, the good situation results from God showing favor/kindness to the person. See the note on 6:20b. See also bless, Meaning 3, in the Glossary.</w:t>
      </w:r>
    </w:p>
    <w:p>
      <w:pPr/>
      <w:r>
        <w:rPr>
          <w:lang w:val="en_US" w:bidi="en_US"/>
        </w:rPr>
      </w:r>
      <w:r>
        <w:rPr>
          <w:lang w:val="en_US" w:bidi="en_US"/>
        </w:rPr>
        <w:t xml:space="preserve">Here are some other suggestions for how to translate the words </w:t>
      </w:r>
      <w:r>
        <w:rPr>
          <w:i/>
          <w:lang w:val="en_US" w:bidi="en_US"/>
        </w:rPr>
        <w:t>Blessed is the one</w:t>
      </w:r>
      <w:r>
        <w:rPr>
          <w:lang w:val="en_US" w:bidi="en_US"/>
        </w:rPr>
        <w:t>:</w:t>
      </w:r>
    </w:p>
    <w:p>
      <w:pPr/>
      <w:r>
        <w:rPr>
          <w:lang w:val="en_US" w:bidi="en_US"/>
        </w:rPr>
      </w:r>
      <w:r>
        <w:rPr>
          <w:lang w:val="en_US" w:bidi="en_US"/>
        </w:rPr>
        <w:t>Joyful/Desirable is the situation of the person</w:t>
      </w:r>
    </w:p>
    <w:p>
      <w:pPr/>
      <w:r>
        <w:rPr>
          <w:lang w:val="en_US" w:bidi="en_US"/>
        </w:rPr>
      </w:r>
      <w:r>
        <w:rPr>
          <w:lang w:val="en_US" w:bidi="en_US"/>
        </w:rPr>
        <w:t>How good it is for anyone</w:t>
      </w:r>
    </w:p>
    <w:p>
      <w:pPr/>
      <w:r>
        <w:rPr>
          <w:lang w:val="en_US" w:bidi="en_US"/>
        </w:rPr>
      </w:r>
      <w:r>
        <w:rPr>
          <w:lang w:val="en_US" w:bidi="en_US"/>
        </w:rPr>
        <w:t>The person is favored/fortunate</w:t>
      </w:r>
    </w:p>
    <w:p>
      <w:pPr/>
      <w:r>
        <w:rPr>
          <w:lang w:val="en_US" w:bidi="en_US"/>
        </w:rPr>
      </w:r>
      <w:r>
        <w:rPr>
          <w:lang w:val="en_US" w:bidi="en_US"/>
        </w:rPr>
        <w:t xml:space="preserve">This word does not primarily refer to a feeling. However, a person in this good situation will frequently have good feelings such as happiness and joy. Do not use a word that </w:t>
      </w:r>
      <w:r>
        <w:rPr>
          <w:u w:val="single"/>
          <w:lang w:val="en_US" w:bidi="en_US"/>
        </w:rPr>
        <w:t>only</w:t>
      </w:r>
      <w:r>
        <w:rPr>
          <w:lang w:val="en_US" w:bidi="en_US"/>
        </w:rPr>
        <w:t xml:space="preserve"> refers to material prosperity or physical health.</w:t>
      </w:r>
    </w:p>
    <w:p>
      <w:pPr/>
      <w:r>
        <w:rPr>
          <w:lang w:val="en_US" w:bidi="en_US"/>
        </w:rPr>
      </w:r>
      <w:r>
        <w:rPr>
          <w:lang w:val="en_US" w:bidi="en_US"/>
        </w:rPr>
        <w:t xml:space="preserve">In the Greek text, the word </w:t>
      </w:r>
      <w:r>
        <w:rPr>
          <w:i/>
          <w:lang w:val="en_US" w:bidi="en_US"/>
        </w:rPr>
        <w:t>Blessed</w:t>
      </w:r>
      <w:r>
        <w:rPr>
          <w:lang w:val="en_US" w:bidi="en_US"/>
        </w:rPr>
        <w:t xml:space="preserve"> is emphasized. It is the first word in the sentence. Consider how to show this emphasis in a natural way in your language.</w:t>
      </w:r>
    </w:p>
    <w:p>
      <w:pPr/>
      <w:r>
        <w:rPr>
          <w:lang w:val="en_US" w:bidi="en_US"/>
        </w:rPr>
      </w:r>
      <w:r>
        <w:rPr>
          <w:b/>
          <w:lang w:val="en_US" w:bidi="en_US"/>
        </w:rPr>
        <w:t>the one:</w:t>
      </w:r>
      <w:r>
        <w:rPr>
          <w:lang w:val="en_US" w:bidi="en_US"/>
        </w:rPr>
        <w:t xml:space="preserve"> The Greek expression that the BSB translates as </w:t>
      </w:r>
      <w:r>
        <w:rPr>
          <w:i/>
          <w:lang w:val="en_US" w:bidi="en_US"/>
        </w:rPr>
        <w:t>the one</w:t>
      </w:r>
      <w:r>
        <w:rPr>
          <w:lang w:val="en_US" w:bidi="en_US"/>
        </w:rPr>
        <w:t xml:space="preserve"> is literally “whoever.” It refers to anyone who does not fall away because of Jesus. In this context it applies especially to John, but it also applies to anyone else who “does not fall away.” So it may be best to use a more general phrase such as:</w:t>
      </w:r>
    </w:p>
    <w:p>
      <w:pPr/>
      <w:r>
        <w:rPr>
          <w:lang w:val="en_US" w:bidi="en_US"/>
        </w:rPr>
      </w:r>
      <w:r>
        <w:rPr>
          <w:lang w:val="en_US" w:bidi="en_US"/>
        </w:rPr>
        <w:t>the person/one</w:t>
      </w:r>
    </w:p>
    <w:p>
      <w:pPr/>
      <w:r>
        <w:rPr>
          <w:lang w:val="en_US" w:bidi="en_US"/>
        </w:rPr>
      </w:r>
      <w:r>
        <w:rPr>
          <w:lang w:val="en_US" w:bidi="en_US"/>
        </w:rPr>
        <w:t>people/those</w:t>
      </w:r>
    </w:p>
    <w:p>
      <w:pPr/>
      <w:r>
        <w:rPr>
          <w:lang w:val="en_US" w:bidi="en_US"/>
        </w:rPr>
      </w:r>
      <w:r>
        <w:rPr>
          <w:b/>
          <w:lang w:val="en_US" w:bidi="en_US"/>
        </w:rPr>
        <w:t>who does not fall away on account of Me:</w:t>
      </w:r>
      <w:r>
        <w:rPr>
          <w:lang w:val="en_US" w:bidi="en_US"/>
        </w:rPr>
        <w:t xml:space="preserve"> The Greek verb that the BSB translates as </w:t>
      </w:r>
      <w:r>
        <w:rPr>
          <w:i/>
          <w:lang w:val="en_US" w:bidi="en_US"/>
        </w:rPr>
        <w:t>fall away</w:t>
      </w:r>
      <w:r>
        <w:rPr>
          <w:lang w:val="en_US" w:bidi="en_US"/>
        </w:rPr>
        <w:t xml:space="preserve"> has the literal meaning “stumble/fall.” It also has the figurative meaning “to be offended by, to reject, or to stop trusting (someone).” Jesus implied that many people were offended by him because they expected a different type of Messiah. Because of this, they doubted that he was really the Messiah.</w:t>
      </w:r>
    </w:p>
    <w:p>
      <w:pPr/>
      <w:r>
        <w:rPr>
          <w:lang w:val="en_US" w:bidi="en_US"/>
        </w:rPr>
      </w:r>
      <w:r>
        <w:rPr>
          <w:lang w:val="en_US" w:bidi="en_US"/>
        </w:rPr>
        <w:t>Other ways that English versions translate this include:</w:t>
      </w:r>
    </w:p>
    <w:p>
      <w:pPr/>
      <w:r>
        <w:rPr>
          <w:lang w:val="en_US" w:bidi="en_US"/>
        </w:rPr>
      </w:r>
      <w:r>
        <w:rPr>
          <w:lang w:val="en_US" w:bidi="en_US"/>
        </w:rPr>
        <w:t>those who have no doubts about me (GNT)</w:t>
      </w:r>
    </w:p>
    <w:p>
      <w:pPr/>
      <w:r>
        <w:rPr>
          <w:lang w:val="en_US" w:bidi="en_US"/>
        </w:rPr>
      </w:r>
      <w:r>
        <w:rPr>
          <w:lang w:val="en_US" w:bidi="en_US"/>
        </w:rPr>
        <w:t>Those who do not stumble in their faith because of me (NCV)</w:t>
      </w:r>
    </w:p>
    <w:p>
      <w:pPr/>
      <w:r>
        <w:rPr>
          <w:lang w:val="en_US" w:bidi="en_US"/>
        </w:rPr>
      </w:r>
      <w:r>
        <w:rPr>
          <w:lang w:val="en_US" w:bidi="en_US"/>
        </w:rPr>
        <w:t>he who does not find me an obstacle to faith (REB)</w:t>
      </w:r>
      <w:r>
        <w:rPr>
          <w:lang w:val="en_US" w:bidi="en_US"/>
        </w:rPr>
      </w:r>
      <w:r>
        <w:rPr>
          <w:lang w:val="en_US" w:bidi="en_US"/>
        </w:rPr>
      </w:r>
    </w:p>
    <w:p>
      <w:pPr/>
      <w:r>
        <w:rPr>
          <w:lang w:val="en_US" w:bidi="en_US"/>
        </w:rPr>
      </w:r>
    </w:p>
    <w:p>
      <w:pPr>
        <w:pStyle w:val="Heading2"/>
      </w:pPr>
      <w:r>
        <w:rPr>
          <w:lang w:val="en_US" w:bidi="en_US"/>
        </w:rPr>
        <w:t>Luke 7:24</w:t>
      </w:r>
      <w:r>
        <w:rPr>
          <w:lang w:val="en_US" w:bidi="en_US"/>
        </w:rPr>
      </w:r>
    </w:p>
    <w:p>
      <w:pPr>
        <w:pStyle w:val="Heading4"/>
      </w:pPr>
      <w:r>
        <w:rPr>
          <w:lang w:val="en_US" w:bidi="en_US"/>
        </w:rPr>
        <w:t>Section 7:18–35: John the Baptizer sent messengers to Jesus</w:t>
      </w:r>
    </w:p>
    <w:p>
      <w:pPr/>
      <w:r>
        <w:rPr>
          <w:lang w:val="en_US" w:bidi="en_US"/>
        </w:rPr>
      </w:r>
      <w:r>
        <w:rPr>
          <w:lang w:val="en_US" w:bidi="en_US"/>
        </w:rP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pPr/>
      <w:r>
        <w:rPr>
          <w:lang w:val="en_US" w:bidi="en_US"/>
        </w:rPr>
      </w:r>
      <w:r>
        <w:rPr>
          <w:lang w:val="en_US" w:bidi="en_US"/>
        </w:rP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responds to the messengers of John the Baptizer and speaks about John to the crowd</w:t>
      </w:r>
    </w:p>
    <w:p>
      <w:pPr/>
      <w:r>
        <w:rPr>
          <w:lang w:val="en_US" w:bidi="en_US"/>
        </w:rPr>
      </w:r>
      <w:r>
        <w:rPr>
          <w:lang w:val="en_US" w:bidi="en_US"/>
        </w:rPr>
        <w:t>Jesus speaks to the people about John the Baptizer</w:t>
      </w:r>
    </w:p>
    <w:p>
      <w:pPr/>
      <w:r>
        <w:rPr>
          <w:lang w:val="en_US" w:bidi="en_US"/>
        </w:rPr>
      </w:r>
      <w:r>
        <w:rPr>
          <w:lang w:val="en_US" w:bidi="en_US"/>
        </w:rPr>
        <w:t>Jesus teaches about John the Baptizer</w:t>
      </w:r>
    </w:p>
    <w:p>
      <w:pPr/>
      <w:r>
        <w:rPr>
          <w:lang w:val="en_US" w:bidi="en_US"/>
        </w:rPr>
      </w:r>
      <w:r>
        <w:rPr>
          <w:lang w:val="en_US" w:bidi="en_US"/>
        </w:rPr>
        <w:t>There is a parallel passage for this section in Matthew 11:3–19.</w:t>
      </w:r>
    </w:p>
    <w:p>
      <w:pPr>
        <w:pStyle w:val="Heading5"/>
      </w:pPr>
      <w:r>
        <w:rPr>
          <w:lang w:val="en_US" w:bidi="en_US"/>
        </w:rPr>
        <w:t>7:24–26</w:t>
      </w:r>
    </w:p>
    <w:p>
      <w:pPr/>
      <w:r>
        <w:rPr>
          <w:lang w:val="en_US" w:bidi="en_US"/>
        </w:rPr>
      </w:r>
      <w:r>
        <w:rPr>
          <w:lang w:val="en_US" w:bidi="en_US"/>
        </w:rPr>
        <w:t>In these verses Jesus talked to the people about John. He wanted them to think about what kind of person John was. Three times he asked the people similar rhetorical questions and suggested answers to these questions. Consider how to translate this rhetorical conversation in a natural way in your language.</w:t>
      </w:r>
    </w:p>
    <w:p>
      <w:pPr/>
      <w:r>
        <w:rPr>
          <w:lang w:val="en_US" w:bidi="en_US"/>
        </w:rPr>
      </w:r>
      <w:r>
        <w:rPr>
          <w:lang w:val="en_US" w:bidi="en_US"/>
        </w:rPr>
        <w:t>All of the questions in 7:24–26 refer to the time when John was preaching and baptizing in the desert. Many people were going there to hear him preach then and to be baptized by him. In some languages it may be necessary to make some of this information explicit. For example, you could make this context clear in the first question of 7:24b:</w:t>
      </w:r>
    </w:p>
    <w:p>
      <w:pPr/>
      <w:r>
        <w:rPr>
          <w:lang w:val="en_US" w:bidi="en_US"/>
        </w:rPr>
      </w:r>
      <w:r>
        <w:rPr>
          <w:lang w:val="en_US" w:bidi="en_US"/>
        </w:rPr>
        <w:t>When John was preaching/baptizing</w:t>
      </w:r>
      <w:r>
        <w:rPr>
          <w:lang w:val="en_US" w:bidi="en_US"/>
        </w:rPr>
        <w:t xml:space="preserve"> in the desert, what did you go out to see?</w:t>
      </w:r>
    </w:p>
    <w:p>
      <w:pPr>
        <w:pStyle w:val="Heading5"/>
      </w:pPr>
      <w:r>
        <w:rPr>
          <w:lang w:val="en_US" w:bidi="en_US"/>
        </w:rPr>
        <w:t>7:24a</w:t>
      </w:r>
    </w:p>
    <w:p>
      <w:pPr/>
      <w:r>
        <w:rPr>
          <w:lang w:val="en_US" w:bidi="en_US"/>
        </w:rPr>
      </w:r>
      <w:r>
        <w:rPr>
          <w:b/>
          <w:lang w:val="en_US" w:bidi="en_US"/>
        </w:rPr>
        <w:t>After John’s messengers had left, Jesus began to speak to the crowds about John:</w:t>
      </w:r>
    </w:p>
    <w:p>
      <w:pPr>
        <w:pStyle w:val="ListBullet"/>
        <w:spacing w:line="240" w:lineRule="auto"/>
        <w:ind w:left="720"/>
      </w:pPr>
      <w:r>
        <w:rPr>
          <w:lang w:val="en_US" w:bidi="en_US"/>
        </w:rPr>
      </w:r>
      <w:r>
        <w:rPr>
          <w:lang w:val="en_US" w:bidi="en_US"/>
        </w:rPr>
        <w:t xml:space="preserve">¶ When the </w:t>
      </w:r>
      <w:r>
        <w:rPr>
          <w:lang w:val="en_US" w:bidi="en_US"/>
        </w:rPr>
        <w:t>two</w:t>
      </w:r>
      <w:r>
        <w:rPr>
          <w:lang w:val="en_US" w:bidi="en_US"/>
        </w:rPr>
        <w:t xml:space="preserve"> messengers from John had gone, Jesus started talking to the people about John/him.</w:t>
      </w:r>
    </w:p>
    <w:p>
      <w:pPr>
        <w:pStyle w:val="ListBullet"/>
        <w:spacing w:line="240" w:lineRule="auto"/>
        <w:ind w:left="720"/>
      </w:pPr>
      <w:r>
        <w:rPr>
          <w:lang w:val="en_US" w:bidi="en_US"/>
        </w:rPr>
      </w:r>
      <w:r>
        <w:rPr>
          <w:lang w:val="en_US" w:bidi="en_US"/>
        </w:rPr>
        <w:t xml:space="preserve">¶ The men whom John sent left </w:t>
      </w:r>
      <w:r>
        <w:rPr>
          <w:lang w:val="en_US" w:bidi="en_US"/>
        </w:rPr>
        <w:t>to return to him</w:t>
      </w:r>
      <w:r>
        <w:rPr>
          <w:lang w:val="en_US" w:bidi="en_US"/>
        </w:rPr>
        <w:t>. Then Jesus spoke to the crowd about John, saying,</w:t>
      </w:r>
    </w:p>
    <w:p>
      <w:pPr/>
      <w:r>
        <w:rPr>
          <w:lang w:val="en_US" w:bidi="en_US"/>
        </w:rPr>
      </w:r>
      <w:r>
        <w:rPr>
          <w:b/>
          <w:lang w:val="en_US" w:bidi="en_US"/>
        </w:rPr>
        <w:t>After John’s messengers had left:</w:t>
      </w:r>
      <w:r>
        <w:rPr>
          <w:lang w:val="en_US" w:bidi="en_US"/>
        </w:rPr>
        <w:t xml:space="preserve"> The phrase </w:t>
      </w:r>
      <w:r>
        <w:rPr>
          <w:i/>
          <w:lang w:val="en_US" w:bidi="en_US"/>
        </w:rPr>
        <w:t>John’s messengers</w:t>
      </w:r>
      <w:r>
        <w:rPr>
          <w:lang w:val="en_US" w:bidi="en_US"/>
        </w:rPr>
        <w:t xml:space="preserve"> refers to the two disciples whom John had sent to Jesus. In this part of the verse, they left Jesus to return to John.</w:t>
      </w:r>
    </w:p>
    <w:p>
      <w:pPr/>
      <w:r>
        <w:rPr>
          <w:lang w:val="en_US" w:bidi="en_US"/>
        </w:rPr>
      </w:r>
      <w:r>
        <w:rPr>
          <w:b/>
          <w:lang w:val="en_US" w:bidi="en_US"/>
        </w:rPr>
        <w:t>Jesus began to speak to the crowds about John:</w:t>
      </w:r>
      <w:r>
        <w:rPr>
          <w:lang w:val="en_US" w:bidi="en_US"/>
        </w:rPr>
        <w:t xml:space="preserve"> In the previous paragraph Jesus was speaking to John’s disciples. In this paragraph he spoke to the crowd about John.</w:t>
      </w:r>
    </w:p>
    <w:p>
      <w:pPr/>
      <w:r>
        <w:rPr>
          <w:lang w:val="en_US" w:bidi="en_US"/>
        </w:rPr>
      </w:r>
      <w:r>
        <w:rPr>
          <w:b/>
          <w:lang w:val="en_US" w:bidi="en_US"/>
        </w:rPr>
        <w:t>the crowds:</w:t>
      </w:r>
      <w:r>
        <w:rPr>
          <w:lang w:val="en_US" w:bidi="en_US"/>
        </w:rPr>
        <w:t xml:space="preserve"> The plural phrase that the BSB translates literally as </w:t>
      </w:r>
      <w:r>
        <w:rPr>
          <w:i/>
          <w:lang w:val="en_US" w:bidi="en_US"/>
        </w:rPr>
        <w:t>the crowds</w:t>
      </w:r>
      <w:r>
        <w:rPr>
          <w:lang w:val="en_US" w:bidi="en_US"/>
        </w:rPr>
        <w:t xml:space="preserve"> has the same meaning here as the singular form “crowd.” It refers to a large group of people. Your translation should not imply that there were different groups of people there. Some other ways to translate this are:</w:t>
      </w:r>
    </w:p>
    <w:p>
      <w:pPr/>
      <w:r>
        <w:rPr>
          <w:lang w:val="en_US" w:bidi="en_US"/>
        </w:rPr>
      </w:r>
      <w:r>
        <w:rPr>
          <w:lang w:val="en_US" w:bidi="en_US"/>
        </w:rPr>
        <w:t>the people (NCV)</w:t>
      </w:r>
    </w:p>
    <w:p>
      <w:pPr/>
      <w:r>
        <w:rPr>
          <w:lang w:val="en_US" w:bidi="en_US"/>
        </w:rPr>
      </w:r>
      <w:r>
        <w:rPr>
          <w:lang w:val="en_US" w:bidi="en_US"/>
        </w:rPr>
        <w:t>the large crowd of people</w:t>
      </w:r>
    </w:p>
    <w:p>
      <w:pPr/>
      <w:r>
        <w:rPr>
          <w:lang w:val="en_US" w:bidi="en_US"/>
        </w:rPr>
      </w:r>
      <w:r>
        <w:rPr>
          <w:lang w:val="en_US" w:bidi="en_US"/>
        </w:rPr>
        <w:t>the many people there</w:t>
      </w:r>
    </w:p>
    <w:p>
      <w:pPr>
        <w:pStyle w:val="Heading5"/>
      </w:pPr>
      <w:r>
        <w:rPr>
          <w:lang w:val="en_US" w:bidi="en_US"/>
        </w:rPr>
        <w:t>7:24b–c</w:t>
      </w:r>
    </w:p>
    <w:p>
      <w:pPr/>
      <w:r>
        <w:rPr>
          <w:lang w:val="en_US" w:bidi="en_US"/>
        </w:rPr>
      </w:r>
      <w:r>
        <w:rPr>
          <w:b/>
          <w:lang w:val="en_US" w:bidi="en_US"/>
        </w:rPr>
        <w:t>What did you go out into the wilderness to see? A reed swaying in the wind?:</w:t>
      </w:r>
      <w:r>
        <w:rPr>
          <w:lang w:val="en_US" w:bidi="en_US"/>
        </w:rPr>
        <w:t xml:space="preserve"> Scholars interpret the phrase </w:t>
      </w:r>
      <w:r>
        <w:rPr>
          <w:i/>
          <w:lang w:val="en_US" w:bidi="en_US"/>
        </w:rPr>
        <w:t>A reed swaying in the wind</w:t>
      </w:r>
      <w:r>
        <w:rPr>
          <w:lang w:val="en_US" w:bidi="en_US"/>
        </w:rPr>
        <w:t xml:space="preserve"> in different ways. The interpretation you choose will also affect the way you translate the question </w:t>
      </w:r>
      <w:r>
        <w:rPr>
          <w:i/>
          <w:lang w:val="en_US" w:bidi="en_US"/>
        </w:rPr>
        <w:t>What did you go out into the wilderness to see?</w:t>
      </w:r>
      <w:r>
        <w:rPr>
          <w:lang w:val="en_US" w:bidi="en_US"/>
        </w:rPr>
        <w:t xml:space="preserve"> The two main interpretations are:</w:t>
      </w:r>
    </w:p>
    <w:p>
      <w:pPr>
        <w:pStyle w:val="ListNumber"/>
        <w:numPr>
          <w:ilvl w:val="0"/>
          <w:numId w:val="146"/>
        </w:numPr>
        <w:spacing w:line="240" w:lineRule="auto"/>
        <w:ind w:left="720"/>
      </w:pPr>
      <w:r>
        <w:rPr>
          <w:lang w:val="en_US" w:bidi="en_US"/>
        </w:rPr>
      </w:r>
      <w:r>
        <w:rPr>
          <w:lang w:val="en_US" w:bidi="en_US"/>
        </w:rPr>
        <w:t xml:space="preserve">It refers </w:t>
      </w:r>
      <w:r>
        <w:rPr>
          <w:u w:val="single"/>
          <w:lang w:val="en_US" w:bidi="en_US"/>
        </w:rPr>
        <w:t>figuratively</w:t>
      </w:r>
      <w:r>
        <w:rPr>
          <w:lang w:val="en_US" w:bidi="en_US"/>
        </w:rPr>
        <w:t xml:space="preserve"> to a man who has a weak character. He often changes his opinions because he is influenced by what other people think of him. For example:</w:t>
      </w:r>
      <w:r>
        <w:rPr>
          <w:u w:val="single"/>
          <w:lang w:val="en_US" w:bidi="en_US"/>
        </w:rPr>
        <w:t>What kind of person</w:t>
      </w:r>
      <w:r>
        <w:rPr>
          <w:lang w:val="en_US" w:bidi="en_US"/>
        </w:rPr>
        <w:t xml:space="preserve"> did you go out to the desert to see? </w:t>
      </w:r>
      <w:r>
        <w:rPr>
          <w:u w:val="single"/>
          <w:lang w:val="en_US" w:bidi="en_US"/>
        </w:rPr>
        <w:t>Was he like</w:t>
      </w:r>
      <w:r>
        <w:rPr>
          <w:lang w:val="en_US" w:bidi="en_US"/>
        </w:rPr>
        <w:t xml:space="preserve"> tall grass blown about by the wind? (CEV) </w:t>
      </w:r>
      <w:r>
        <w:rPr>
          <w:i/>
          <w:lang w:val="en_US" w:bidi="en_US"/>
        </w:rPr>
        <w:t>(CEV, LB, NLT; probably GNT)</w:t>
      </w:r>
    </w:p>
    <w:p>
      <w:pPr>
        <w:pStyle w:val="ListNumber"/>
        <w:spacing w:line="240" w:lineRule="auto"/>
        <w:ind w:left="720"/>
      </w:pPr>
      <w:r>
        <w:rPr>
          <w:lang w:val="en_US" w:bidi="en_US"/>
        </w:rPr>
      </w:r>
      <w:r>
        <w:rPr>
          <w:lang w:val="en_US" w:bidi="en_US"/>
        </w:rPr>
        <w:t xml:space="preserve">It refers </w:t>
      </w:r>
      <w:r>
        <w:rPr>
          <w:u w:val="single"/>
          <w:lang w:val="en_US" w:bidi="en_US"/>
        </w:rPr>
        <w:t>literally</w:t>
      </w:r>
      <w:r>
        <w:rPr>
          <w:lang w:val="en_US" w:bidi="en_US"/>
        </w:rPr>
        <w:t xml:space="preserve"> to the tall grass that is found in the desert of Judea. For example:</w:t>
      </w:r>
      <w:r>
        <w:rPr>
          <w:lang w:val="en_US" w:bidi="en_US"/>
        </w:rPr>
        <w:t xml:space="preserve">Did you go out into the desert just to see tall grass that the wind blows around? </w:t>
      </w:r>
      <w:r>
        <w:rPr>
          <w:i/>
          <w:lang w:val="en_US" w:bidi="en_US"/>
        </w:rPr>
        <w:t>(BSB, ESV, GW, NASB, NCV, NET, NIV, NJB, NRSV, REB, RSV)</w:t>
      </w:r>
    </w:p>
    <w:p>
      <w:pPr/>
      <w:r>
        <w:rPr>
          <w:lang w:val="en_US" w:bidi="en_US"/>
        </w:rPr>
      </w:r>
      <w:r>
        <w:rPr>
          <w:lang w:val="en_US" w:bidi="en_US"/>
        </w:rPr>
        <w:t>Bible scholars are quite evenly divided between those who favor interpretations (1) and (2).</w:t>
      </w:r>
      <w:r>
        <w:rPr>
          <w:lang w:val="en_US" w:bidi="en_US"/>
        </w:rPr>
        <w:t xml:space="preserve">This is true of commentaries on Luke where, for example, Bock, Green, Nolland, Stein, and the </w:t>
      </w:r>
      <w:r>
        <w:rPr>
          <w:i/>
          <w:lang w:val="en_US" w:bidi="en_US"/>
        </w:rPr>
        <w:t>UBS Translator’s Handbook on Luke</w:t>
      </w:r>
      <w:r>
        <w:rPr>
          <w:lang w:val="en_US" w:bidi="en_US"/>
        </w:rPr>
        <w:t xml:space="preserve"> favor the literal interpretation while Arndt, Fitzmyer, Lenski, Marshall, and the </w:t>
      </w:r>
      <w:r>
        <w:rPr>
          <w:i/>
          <w:lang w:val="en_US" w:bidi="en_US"/>
        </w:rPr>
        <w:t>UBS Translator’s Guide</w:t>
      </w:r>
      <w:r>
        <w:rPr>
          <w:lang w:val="en_US" w:bidi="en_US"/>
        </w:rPr>
        <w:t xml:space="preserve"> favor the figurative. However, the majority of Matthew commentaries favor the figurative interpretation for the parallel passage in Matthew 11:7.</w:t>
      </w:r>
      <w:r>
        <w:rPr>
          <w:lang w:val="en_US" w:bidi="en_US"/>
        </w:rPr>
        <w:t xml:space="preserve"> Many English versions translate the questions fairly literally. If you need to translate more explicitly, it is recommended that you follow interpretation (1).</w:t>
      </w:r>
      <w:r>
        <w:rPr>
          <w:lang w:val="en_US" w:bidi="en_US"/>
        </w:rPr>
        <w:t xml:space="preserve">Both interpretations make sense in the context. Those who favor the figurative interpretation suggest that a “reed blown by the wind” is proverbial and describes someone who is weak and easily gives in to men’s opinions. There appears to be ample evidence that this was proverbial. See, for example:· “And the LORD will strike Israel, so that it will be like a reed swaying in the water.”· 3 Maccabees 2:22: “He shook him on this side and that as a reed is shaken by the wind, so that he lay helpless on the ground….”· “A bruised reed he will not break, and a smoldering wick he will not snuff out.”· “Man should strive to be tender like the reed and not hard like the cedar” (from B. Taan. 20a, in Manson, </w:t>
      </w:r>
      <w:r>
        <w:rPr>
          <w:i/>
          <w:lang w:val="en_US" w:bidi="en_US"/>
        </w:rPr>
        <w:t>The Sayings of Jesus</w:t>
      </w:r>
      <w:r>
        <w:rPr>
          <w:lang w:val="en_US" w:bidi="en_US"/>
        </w:rPr>
        <w:t>, p. 68, and cited by Marshall and Bock).· Lucian, Hermotimus 68: “You will be…indeed like a reed growing on a river bank, bending to every breath of wind, however slight the breeze that blows and shakes it.”If this was proverbial, it is hard to imagine that Jesus chose this expression and intended it to be taken literally.</w:t>
      </w:r>
    </w:p>
    <w:p>
      <w:pPr/>
      <w:r>
        <w:rPr>
          <w:lang w:val="en_US" w:bidi="en_US"/>
        </w:rPr>
      </w:r>
      <w:r>
        <w:rPr>
          <w:lang w:val="en_US" w:bidi="en_US"/>
        </w:rPr>
        <w:t>Some ways to translate interpretation (1) are:</w:t>
      </w:r>
    </w:p>
    <w:p>
      <w:pPr/>
      <w:r>
        <w:rPr>
          <w:lang w:val="en_US" w:bidi="en_US"/>
        </w:rPr>
      </w:r>
      <w:r>
        <w:rPr>
          <w:lang w:val="en_US" w:bidi="en_US"/>
        </w:rPr>
        <w:t xml:space="preserve">What kind of person did you go out to the desert to see? </w:t>
      </w:r>
      <w:r>
        <w:rPr>
          <w:lang w:val="en_US" w:bidi="en_US"/>
        </w:rPr>
        <w:t>A man who is like</w:t>
      </w:r>
      <w:r>
        <w:rPr>
          <w:lang w:val="en_US" w:bidi="en_US"/>
        </w:rPr>
        <w:t xml:space="preserve"> a reed blown about by the wind?</w:t>
      </w:r>
    </w:p>
    <w:p>
      <w:pPr/>
      <w:r>
        <w:rPr>
          <w:lang w:val="en_US" w:bidi="en_US"/>
        </w:rPr>
      </w:r>
      <w:r>
        <w:rPr>
          <w:lang w:val="en_US" w:bidi="en_US"/>
        </w:rPr>
        <w:t xml:space="preserve">What kind of person did you go out to the desert to see? </w:t>
      </w:r>
      <w:r>
        <w:rPr>
          <w:lang w:val="en_US" w:bidi="en_US"/>
        </w:rPr>
        <w:t>A man as weak as</w:t>
      </w:r>
      <w:r>
        <w:rPr>
          <w:lang w:val="en_US" w:bidi="en_US"/>
        </w:rPr>
        <w:t xml:space="preserve"> a reed that is swayed by the wind?</w:t>
      </w:r>
    </w:p>
    <w:p>
      <w:pPr/>
      <w:r>
        <w:rPr>
          <w:lang w:val="en_US" w:bidi="en_US"/>
        </w:rPr>
      </w:r>
      <w:r>
        <w:rPr>
          <w:b/>
          <w:lang w:val="en_US" w:bidi="en_US"/>
        </w:rPr>
        <w:t>What:</w:t>
      </w:r>
      <w:r>
        <w:rPr>
          <w:lang w:val="en_US" w:bidi="en_US"/>
        </w:rPr>
        <w:t xml:space="preserve"> If you have a question word that can be used with either people or things, it would be good to use it here. You can use the same word where the question is repeated in 7:25a and 7:26a. In some languages there may be different question words for people and things. For example:</w:t>
      </w:r>
    </w:p>
    <w:p>
      <w:pPr/>
      <w:r>
        <w:rPr>
          <w:lang w:val="en_US" w:bidi="en_US"/>
        </w:rPr>
      </w:r>
      <w:r>
        <w:rPr>
          <w:lang w:val="en_US" w:bidi="en_US"/>
        </w:rPr>
        <w:t>what (for things)</w:t>
      </w:r>
    </w:p>
    <w:p>
      <w:pPr/>
      <w:r>
        <w:rPr>
          <w:lang w:val="en_US" w:bidi="en_US"/>
        </w:rPr>
      </w:r>
      <w:r>
        <w:rPr>
          <w:lang w:val="en_US" w:bidi="en_US"/>
        </w:rPr>
        <w:t>whom (for people)</w:t>
      </w:r>
    </w:p>
    <w:p>
      <w:pPr/>
      <w:r>
        <w:rPr>
          <w:lang w:val="en_US" w:bidi="en_US"/>
        </w:rPr>
      </w:r>
      <w:r>
        <w:rPr>
          <w:lang w:val="en_US" w:bidi="en_US"/>
        </w:rPr>
        <w:t>Consider which question word would be most natural in this context. As you translate, remember that the answer Jesus finally gave to the question “What did you go out into the desert to see?” was “A prophet” (7:26).</w:t>
      </w:r>
    </w:p>
    <w:p>
      <w:pPr/>
      <w:r>
        <w:rPr>
          <w:lang w:val="en_US" w:bidi="en_US"/>
        </w:rPr>
      </w:r>
      <w:r>
        <w:rPr>
          <w:lang w:val="en_US" w:bidi="en_US"/>
        </w:rPr>
        <w:t>If you are following interpretation (1) above, you may want to say:</w:t>
      </w:r>
    </w:p>
    <w:p>
      <w:pPr/>
      <w:r>
        <w:rPr>
          <w:lang w:val="en_US" w:bidi="en_US"/>
        </w:rPr>
      </w:r>
      <w:r>
        <w:rPr>
          <w:lang w:val="en_US" w:bidi="en_US"/>
        </w:rPr>
        <w:t>“What kind of person/man did you go out to the desert to see?”</w:t>
      </w:r>
    </w:p>
    <w:p>
      <w:pPr>
        <w:pStyle w:val="Heading5"/>
      </w:pPr>
      <w:r>
        <w:rPr>
          <w:lang w:val="en_US" w:bidi="en_US"/>
        </w:rPr>
        <w:t>7:24b</w:t>
      </w:r>
    </w:p>
    <w:p>
      <w:pPr/>
      <w:r>
        <w:rPr>
          <w:lang w:val="en_US" w:bidi="en_US"/>
        </w:rPr>
      </w:r>
      <w:r>
        <w:rPr>
          <w:b/>
          <w:lang w:val="en_US" w:bidi="en_US"/>
        </w:rPr>
        <w:t>“What did you go out into the wilderness to see?</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went out into the desert, what/who did you go there to see?</w:t>
      </w:r>
    </w:p>
    <w:p>
      <w:pPr>
        <w:pStyle w:val="ListBullet"/>
        <w:spacing w:line="240" w:lineRule="auto"/>
        <w:ind w:left="720"/>
      </w:pPr>
      <w:r>
        <w:rPr>
          <w:lang w:val="en_US" w:bidi="en_US"/>
        </w:rPr>
      </w:r>
      <w:r>
        <w:rPr>
          <w:lang w:val="en_US" w:bidi="en_US"/>
        </w:rPr>
        <w:t>“</w:t>
      </w:r>
      <w:r>
        <w:rPr>
          <w:lang w:val="en_US" w:bidi="en_US"/>
        </w:rPr>
        <w:t>When John was baptizing in the wilderness and you went there to see him,</w:t>
      </w:r>
      <w:r>
        <w:rPr>
          <w:lang w:val="en_US" w:bidi="en_US"/>
        </w:rPr>
        <w:t xml:space="preserve"> what </w:t>
      </w:r>
      <w:r>
        <w:rPr>
          <w:lang w:val="en_US" w:bidi="en_US"/>
        </w:rPr>
        <w:t>kind of person</w:t>
      </w:r>
      <w:r>
        <w:rPr>
          <w:lang w:val="en_US" w:bidi="en_US"/>
        </w:rPr>
        <w:t xml:space="preserve"> did you</w:t>
      </w:r>
      <w:r>
        <w:rPr>
          <w:vertAlign w:val="superscript"/>
          <w:lang w:val="en_US" w:bidi="en_US"/>
        </w:rPr>
        <w:t>(plur)</w:t>
      </w:r>
      <w:r>
        <w:rPr>
          <w:lang w:val="en_US" w:bidi="en_US"/>
        </w:rPr>
        <w:t xml:space="preserve"> go out to see?</w:t>
      </w:r>
    </w:p>
    <w:p>
      <w:pPr>
        <w:pStyle w:val="ListBullet"/>
        <w:spacing w:line="240" w:lineRule="auto"/>
        <w:ind w:left="720"/>
      </w:pPr>
      <w:r>
        <w:rPr>
          <w:lang w:val="en_US" w:bidi="en_US"/>
        </w:rPr>
      </w:r>
      <w:r>
        <w:rPr>
          <w:lang w:val="en_US" w:bidi="en_US"/>
        </w:rPr>
        <w:t xml:space="preserve">“Think about what kind of person you </w:t>
      </w:r>
      <w:r>
        <w:rPr>
          <w:lang w:val="en_US" w:bidi="en_US"/>
        </w:rPr>
        <w:t>expected to see when you</w:t>
      </w:r>
      <w:r>
        <w:rPr>
          <w:lang w:val="en_US" w:bidi="en_US"/>
        </w:rPr>
        <w:t xml:space="preserve"> went out into the uninhabited areas to see </w:t>
      </w:r>
      <w:r>
        <w:rPr>
          <w:lang w:val="en_US" w:bidi="en_US"/>
        </w:rPr>
        <w:t>John</w:t>
      </w:r>
      <w:r>
        <w:rPr>
          <w:lang w:val="en_US" w:bidi="en_US"/>
        </w:rPr>
        <w:t>.</w:t>
      </w:r>
    </w:p>
    <w:p>
      <w:pPr/>
      <w:r>
        <w:rPr>
          <w:lang w:val="en_US" w:bidi="en_US"/>
        </w:rPr>
      </w:r>
      <w:r>
        <w:rPr>
          <w:b/>
          <w:lang w:val="en_US" w:bidi="en_US"/>
        </w:rPr>
        <w:t>What did you go out into the wilderness to see?:</w:t>
      </w:r>
      <w:r>
        <w:rPr>
          <w:lang w:val="en_US" w:bidi="en_US"/>
        </w:rPr>
        <w:t xml:space="preserve"> This is a rhetorical question. Jesus used it to focus people’s attention on the topic of John the Baptizer. Jesus was asking the crowd to think about John.</w:t>
      </w:r>
    </w:p>
    <w:p>
      <w:pPr/>
      <w:r>
        <w:rPr>
          <w:lang w:val="en_US" w:bidi="en_US"/>
        </w:rPr>
      </w:r>
      <w:r>
        <w:rPr>
          <w:lang w:val="en_US" w:bidi="en_US"/>
        </w:rPr>
        <w:t>Some ways to translate this rhetorical question are:</w:t>
      </w:r>
    </w:p>
    <w:p>
      <w:pPr>
        <w:pStyle w:val="ListBullet"/>
        <w:spacing w:line="240" w:lineRule="auto"/>
        <w:ind w:left="720"/>
      </w:pPr>
      <w:r>
        <w:rPr>
          <w:lang w:val="en_US" w:bidi="en_US"/>
        </w:rPr>
      </w:r>
      <w:r>
        <w:rPr>
          <w:lang w:val="en_US" w:bidi="en_US"/>
        </w:rPr>
        <w:t>As a question. For example:</w:t>
      </w:r>
      <w:r>
        <w:rPr>
          <w:lang w:val="en_US" w:bidi="en_US"/>
        </w:rPr>
        <w:t>What did you go out into the desert to see?</w:t>
      </w:r>
      <w:r>
        <w:rPr>
          <w:lang w:val="en_US" w:bidi="en_US"/>
        </w:rPr>
        <w:t>When</w:t>
      </w:r>
      <w:r>
        <w:rPr>
          <w:lang w:val="en_US" w:bidi="en_US"/>
        </w:rPr>
        <w:t xml:space="preserve"> you went into the desert </w:t>
      </w:r>
      <w:r>
        <w:rPr>
          <w:lang w:val="en_US" w:bidi="en_US"/>
        </w:rPr>
        <w:t>to see John</w:t>
      </w:r>
      <w:r>
        <w:rPr>
          <w:lang w:val="en_US" w:bidi="en_US"/>
        </w:rPr>
        <w:t xml:space="preserve">, what </w:t>
      </w:r>
      <w:r>
        <w:rPr>
          <w:lang w:val="en_US" w:bidi="en_US"/>
        </w:rPr>
        <w:t>kind of person</w:t>
      </w:r>
      <w:r>
        <w:rPr>
          <w:lang w:val="en_US" w:bidi="en_US"/>
        </w:rPr>
        <w:t xml:space="preserve"> did you expect to see?</w:t>
      </w:r>
    </w:p>
    <w:p>
      <w:pPr>
        <w:pStyle w:val="ListBullet"/>
        <w:spacing w:line="240" w:lineRule="auto"/>
        <w:ind w:left="720"/>
      </w:pPr>
      <w:r>
        <w:rPr>
          <w:lang w:val="en_US" w:bidi="en_US"/>
        </w:rPr>
      </w:r>
      <w:r>
        <w:rPr>
          <w:lang w:val="en_US" w:bidi="en_US"/>
        </w:rPr>
        <w:t>As a polite instruction. For example:</w:t>
      </w:r>
      <w:r>
        <w:rPr>
          <w:lang w:val="en_US" w:bidi="en_US"/>
        </w:rPr>
        <w:t xml:space="preserve">Think about what </w:t>
      </w:r>
      <w:r>
        <w:rPr>
          <w:lang w:val="en_US" w:bidi="en_US"/>
        </w:rPr>
        <w:t>kind of man</w:t>
      </w:r>
      <w:r>
        <w:rPr>
          <w:lang w:val="en_US" w:bidi="en_US"/>
        </w:rPr>
        <w:t xml:space="preserve"> you went out into the desert to see.</w:t>
      </w:r>
    </w:p>
    <w:p>
      <w:pPr/>
      <w:r>
        <w:rPr>
          <w:lang w:val="en_US" w:bidi="en_US"/>
        </w:rPr>
      </w:r>
      <w:r>
        <w:rPr>
          <w:b/>
          <w:lang w:val="en_US" w:bidi="en_US"/>
        </w:rPr>
        <w:t>wilderness:</w:t>
      </w:r>
      <w:r>
        <w:rPr>
          <w:lang w:val="en_US" w:bidi="en_US"/>
        </w:rPr>
        <w:t xml:space="preserve"> The Greek word that the BSB translates as </w:t>
      </w:r>
      <w:r>
        <w:rPr>
          <w:i/>
          <w:lang w:val="en_US" w:bidi="en_US"/>
        </w:rPr>
        <w:t>wilderness</w:t>
      </w:r>
      <w:r>
        <w:rPr>
          <w:lang w:val="en_US" w:bidi="en_US"/>
        </w:rPr>
        <w:t xml:space="preserve"> refers to a wild area where few people lived. Some versions translate it as “desert” (CEV, GW). But while it was often a dry area, it was not just sand and barren ground. Some wild grasses and bushes grew there. Some languages have a special word to refer to such areas, such as “the bush” (Africa) or “steppes” (Asia). Other ways to translate this word are:</w:t>
      </w:r>
    </w:p>
    <w:p>
      <w:pPr/>
      <w:r>
        <w:rPr>
          <w:lang w:val="en_US" w:bidi="en_US"/>
        </w:rPr>
      </w:r>
      <w:r>
        <w:rPr>
          <w:lang w:val="en_US" w:bidi="en_US"/>
        </w:rPr>
        <w:t>uninhabited place</w:t>
      </w:r>
    </w:p>
    <w:p>
      <w:pPr/>
      <w:r>
        <w:rPr>
          <w:lang w:val="en_US" w:bidi="en_US"/>
        </w:rPr>
      </w:r>
      <w:r>
        <w:rPr>
          <w:lang w:val="en_US" w:bidi="en_US"/>
        </w:rPr>
        <w:t>wild, open area</w:t>
      </w:r>
    </w:p>
    <w:p>
      <w:pPr/>
      <w:r>
        <w:rPr>
          <w:lang w:val="en_US" w:bidi="en_US"/>
        </w:rPr>
      </w:r>
      <w:r>
        <w:rPr>
          <w:lang w:val="en_US" w:bidi="en_US"/>
        </w:rPr>
        <w:t>You may use the same word or expression that you used in 1:80 and 3:2.</w:t>
      </w:r>
    </w:p>
    <w:p>
      <w:pPr>
        <w:pStyle w:val="Heading5"/>
      </w:pPr>
      <w:r>
        <w:rPr>
          <w:lang w:val="en_US" w:bidi="en_US"/>
        </w:rPr>
        <w:t>7:24c</w:t>
      </w:r>
    </w:p>
    <w:p>
      <w:pPr/>
      <w:r>
        <w:rPr>
          <w:lang w:val="en_US" w:bidi="en_US"/>
        </w:rPr>
      </w:r>
      <w:r>
        <w:rPr>
          <w:b/>
          <w:lang w:val="en_US" w:bidi="en_US"/>
        </w:rPr>
        <w:t>A reed swaying in the wind?</w:t>
      </w:r>
    </w:p>
    <w:p>
      <w:pPr>
        <w:pStyle w:val="ListBullet"/>
        <w:spacing w:line="240" w:lineRule="auto"/>
        <w:ind w:left="720"/>
      </w:pPr>
      <w:r>
        <w:rPr>
          <w:lang w:val="en_US" w:bidi="en_US"/>
        </w:rPr>
      </w:r>
      <w:r>
        <w:rPr>
          <w:lang w:val="en_US" w:bidi="en_US"/>
        </w:rPr>
        <w:t>Did you go there</w:t>
      </w:r>
      <w:r>
        <w:rPr>
          <w:lang w:val="en_US" w:bidi="en_US"/>
        </w:rPr>
        <w:t xml:space="preserve"> </w:t>
      </w:r>
      <w:r>
        <w:rPr>
          <w:lang w:val="en_US" w:bidi="en_US"/>
        </w:rPr>
        <w:t>just/only to see</w:t>
      </w:r>
      <w:r>
        <w:rPr>
          <w:lang w:val="en_US" w:bidi="en_US"/>
        </w:rPr>
        <w:t xml:space="preserve"> a blade of tall grass that the wind blows this way and that way?</w:t>
      </w:r>
    </w:p>
    <w:p>
      <w:pPr>
        <w:pStyle w:val="ListBullet"/>
        <w:spacing w:line="240" w:lineRule="auto"/>
        <w:ind w:left="720"/>
      </w:pPr>
      <w:r>
        <w:rPr>
          <w:lang w:val="en_US" w:bidi="en_US"/>
        </w:rPr>
      </w:r>
      <w:r>
        <w:rPr>
          <w:lang w:val="en_US" w:bidi="en_US"/>
        </w:rPr>
        <w:t>Did you go to see a man as changeable/indecisive as</w:t>
      </w:r>
      <w:r>
        <w:rPr>
          <w:lang w:val="en_US" w:bidi="en_US"/>
        </w:rPr>
        <w:t xml:space="preserve"> a reed that sways/bends in the wind? </w:t>
      </w:r>
      <w:r>
        <w:rPr>
          <w:lang w:val="en_US" w:bidi="en_US"/>
        </w:rPr>
        <w:t>No!</w:t>
      </w:r>
    </w:p>
    <w:p>
      <w:pPr>
        <w:pStyle w:val="ListBullet"/>
        <w:spacing w:line="240" w:lineRule="auto"/>
        <w:ind w:left="720"/>
      </w:pPr>
      <w:r>
        <w:rPr>
          <w:lang w:val="en_US" w:bidi="en_US"/>
        </w:rPr>
      </w:r>
      <w:r>
        <w:rPr>
          <w:lang w:val="en_US" w:bidi="en_US"/>
        </w:rPr>
        <w:t>You</w:t>
      </w:r>
      <w:r>
        <w:rPr>
          <w:lang w:val="en_US" w:bidi="en_US"/>
        </w:rPr>
        <w:t xml:space="preserve"> </w:t>
      </w:r>
      <w:r>
        <w:rPr>
          <w:lang w:val="en_US" w:bidi="en_US"/>
        </w:rPr>
        <w:t>certainly did</w:t>
      </w:r>
      <w:r>
        <w:rPr>
          <w:lang w:val="en_US" w:bidi="en_US"/>
        </w:rPr>
        <w:t xml:space="preserve"> not </w:t>
      </w:r>
      <w:r>
        <w:rPr>
          <w:lang w:val="en_US" w:bidi="en_US"/>
        </w:rPr>
        <w:t>expect</w:t>
      </w:r>
      <w:r>
        <w:rPr>
          <w:lang w:val="en_US" w:bidi="en_US"/>
        </w:rPr>
        <w:t xml:space="preserve"> a man who was </w:t>
      </w:r>
      <w:r>
        <w:rPr>
          <w:lang w:val="en_US" w:bidi="en_US"/>
        </w:rPr>
        <w:t>like</w:t>
      </w:r>
      <w:r>
        <w:rPr>
          <w:lang w:val="en_US" w:bidi="en_US"/>
        </w:rPr>
        <w:t xml:space="preserve"> tall grass swayed/blown by the wind.</w:t>
      </w:r>
    </w:p>
    <w:p>
      <w:pPr/>
      <w:r>
        <w:rPr>
          <w:lang w:val="en_US" w:bidi="en_US"/>
        </w:rPr>
      </w:r>
      <w:r>
        <w:rPr>
          <w:b/>
          <w:lang w:val="en_US" w:bidi="en_US"/>
        </w:rPr>
        <w:t>A reed swaying in the wind?:</w:t>
      </w:r>
      <w:r>
        <w:rPr>
          <w:lang w:val="en_US" w:bidi="en_US"/>
        </w:rPr>
        <w:t xml:space="preserve"> This also is a rhetorical question. This question is an ellipsis. Its full form is “Did you go out into the desert to see a reed swaying in the wind?” Jesus asked this question to make people think about what John was like. There are two ways you could translate this:</w:t>
      </w:r>
    </w:p>
    <w:p>
      <w:pPr>
        <w:pStyle w:val="ListBullet"/>
        <w:spacing w:line="240" w:lineRule="auto"/>
        <w:ind w:left="720"/>
      </w:pPr>
      <w:r>
        <w:rPr>
          <w:lang w:val="en_US" w:bidi="en_US"/>
        </w:rPr>
      </w:r>
      <w:r>
        <w:rPr>
          <w:lang w:val="en_US" w:bidi="en_US"/>
        </w:rPr>
        <w:t>As a question. For example:</w:t>
      </w:r>
      <w:r>
        <w:rPr>
          <w:lang w:val="en_US" w:bidi="en_US"/>
        </w:rPr>
        <w:t>Did you go to see</w:t>
      </w:r>
      <w:r>
        <w:rPr>
          <w:lang w:val="en_US" w:bidi="en_US"/>
        </w:rPr>
        <w:t xml:space="preserve"> a reed swayed by the wind?</w:t>
      </w:r>
      <w:r>
        <w:rPr>
          <w:lang w:val="en_US" w:bidi="en_US"/>
        </w:rPr>
        <w:t>Was he like</w:t>
      </w:r>
      <w:r>
        <w:rPr>
          <w:lang w:val="en_US" w:bidi="en_US"/>
        </w:rPr>
        <w:t xml:space="preserve"> tall grass blown by the wind?</w:t>
      </w:r>
    </w:p>
    <w:p>
      <w:pPr>
        <w:pStyle w:val="ListBullet"/>
        <w:spacing w:line="240" w:lineRule="auto"/>
        <w:ind w:left="720"/>
      </w:pPr>
      <w:r>
        <w:rPr>
          <w:lang w:val="en_US" w:bidi="en_US"/>
        </w:rPr>
      </w:r>
      <w:r>
        <w:rPr>
          <w:lang w:val="en_US" w:bidi="en_US"/>
        </w:rPr>
        <w:t>As an emphatic statement. For example:</w:t>
      </w:r>
      <w:r>
        <w:rPr>
          <w:lang w:val="en_US" w:bidi="en_US"/>
        </w:rPr>
        <w:t>You certainly did not go to see a reed swayed by the wind.</w:t>
      </w:r>
      <w:r>
        <w:rPr>
          <w:lang w:val="en_US" w:bidi="en_US"/>
        </w:rPr>
        <w:t>Surely you did not go out just to see someone who was like tall grass that the wind blows.</w:t>
      </w:r>
    </w:p>
    <w:p>
      <w:pPr/>
      <w:r>
        <w:rPr>
          <w:lang w:val="en_US" w:bidi="en_US"/>
        </w:rPr>
      </w:r>
      <w:r>
        <w:rPr>
          <w:lang w:val="en_US" w:bidi="en_US"/>
        </w:rPr>
        <w:t>The answer to this rhetorical question is “No.” In some languages it may be necessary to make the answer explicit:</w:t>
      </w:r>
    </w:p>
    <w:p>
      <w:pPr/>
      <w:r>
        <w:rPr>
          <w:lang w:val="en_US" w:bidi="en_US"/>
        </w:rPr>
      </w:r>
      <w:r>
        <w:rPr>
          <w:lang w:val="en_US" w:bidi="en_US"/>
        </w:rPr>
        <w:t xml:space="preserve">A reed swayed by the wind? </w:t>
      </w:r>
      <w:r>
        <w:rPr>
          <w:lang w:val="en_US" w:bidi="en_US"/>
        </w:rPr>
        <w:t>No, of course not!</w:t>
      </w:r>
    </w:p>
    <w:p>
      <w:pPr/>
      <w:r>
        <w:rPr>
          <w:lang w:val="en_US" w:bidi="en_US"/>
        </w:rPr>
      </w:r>
      <w:r>
        <w:rPr>
          <w:lang w:val="en_US" w:bidi="en_US"/>
        </w:rPr>
        <w:t xml:space="preserve">The phrase that the BSB translates as </w:t>
      </w:r>
      <w:r>
        <w:rPr>
          <w:i/>
          <w:lang w:val="en_US" w:bidi="en_US"/>
        </w:rPr>
        <w:t>A reed swaying in the wind</w:t>
      </w:r>
      <w:r>
        <w:rPr>
          <w:lang w:val="en_US" w:bidi="en_US"/>
        </w:rPr>
        <w:t xml:space="preserve"> is literally “a reed swayed by the wind” or “a reed shaken by the wind.” This phrase contains a passive verb. Another way to translate it is:</w:t>
      </w:r>
    </w:p>
    <w:p>
      <w:pPr/>
      <w:r>
        <w:rPr>
          <w:lang w:val="en_US" w:bidi="en_US"/>
        </w:rPr>
      </w:r>
      <w:r>
        <w:rPr>
          <w:lang w:val="en_US" w:bidi="en_US"/>
        </w:rPr>
        <w:t xml:space="preserve">A reed that the wind can </w:t>
      </w:r>
      <w:r>
        <w:rPr>
          <w:lang w:val="en_US" w:bidi="en_US"/>
        </w:rPr>
        <w:t>easily</w:t>
      </w:r>
      <w:r>
        <w:rPr>
          <w:lang w:val="en_US" w:bidi="en_US"/>
        </w:rPr>
        <w:t xml:space="preserve"> sway?</w:t>
      </w:r>
    </w:p>
    <w:p>
      <w:pPr/>
      <w:r>
        <w:rPr>
          <w:lang w:val="en_US" w:bidi="en_US"/>
        </w:rPr>
      </w:r>
      <w:r>
        <w:rPr>
          <w:b/>
          <w:lang w:val="en_US" w:bidi="en_US"/>
        </w:rPr>
        <w:t>reed:</w:t>
      </w:r>
      <w:r>
        <w:rPr>
          <w:lang w:val="en_US" w:bidi="en_US"/>
        </w:rPr>
        <w:t xml:space="preserve"> A </w:t>
      </w:r>
      <w:r>
        <w:rPr>
          <w:i/>
          <w:lang w:val="en_US" w:bidi="en_US"/>
        </w:rPr>
        <w:t>reed</w:t>
      </w:r>
      <w:r>
        <w:rPr>
          <w:lang w:val="en_US" w:bidi="en_US"/>
        </w:rPr>
        <w:t xml:space="preserve"> is a tall blade of wild grass.</w:t>
      </w:r>
    </w:p>
    <w:p>
      <w:pPr>
        <w:pStyle w:val="Heading6"/>
      </w:pPr>
      <w:r>
        <w:rPr>
          <w:b/>
          <w:lang w:val="en_US" w:bidi="en_US"/>
        </w:rPr>
        <w:t>General Comment on 7:24b–c</w:t>
      </w:r>
    </w:p>
    <w:p>
      <w:pPr/>
      <w:r>
        <w:rPr>
          <w:lang w:val="en_US" w:bidi="en_US"/>
        </w:rPr>
      </w:r>
      <w:r>
        <w:rPr>
          <w:lang w:val="en_US" w:bidi="en_US"/>
        </w:rPr>
        <w:t>It is possible to combine the two rhetorical questions in 7:24b–c and translate them as one question or statement. For example:</w:t>
      </w:r>
    </w:p>
    <w:p>
      <w:pPr/>
      <w:r>
        <w:rPr>
          <w:lang w:val="en_US" w:bidi="en_US"/>
        </w:rPr>
      </w:r>
      <w:r>
        <w:rPr>
          <w:lang w:val="en_US" w:bidi="en_US"/>
        </w:rPr>
        <w:t>When</w:t>
      </w:r>
      <w:r>
        <w:rPr>
          <w:lang w:val="en_US" w:bidi="en_US"/>
        </w:rPr>
        <w:t xml:space="preserve"> you went out into the wilderness, did you go out to see a reed swayed by the wind?</w:t>
      </w:r>
    </w:p>
    <w:p>
      <w:pPr/>
      <w:r>
        <w:rPr>
          <w:lang w:val="en_US" w:bidi="en_US"/>
        </w:rPr>
      </w:r>
      <w:r>
        <w:rPr>
          <w:lang w:val="en_US" w:bidi="en_US"/>
        </w:rPr>
        <w:t>When</w:t>
      </w:r>
      <w:r>
        <w:rPr>
          <w:lang w:val="en_US" w:bidi="en_US"/>
        </w:rPr>
        <w:t xml:space="preserve"> you went out into the wild/uninhabited place, you certainly did not go out to see tall grass blown around by the wind.</w:t>
      </w:r>
      <w:r>
        <w:rPr>
          <w:lang w:val="en_US" w:bidi="en_US"/>
        </w:rPr>
      </w:r>
      <w:r>
        <w:rPr>
          <w:lang w:val="en_US" w:bidi="en_US"/>
        </w:rPr>
      </w:r>
    </w:p>
    <w:p>
      <w:pPr/>
      <w:r>
        <w:rPr>
          <w:lang w:val="en_US" w:bidi="en_US"/>
        </w:rPr>
      </w:r>
    </w:p>
    <w:p>
      <w:pPr>
        <w:pStyle w:val="Heading2"/>
      </w:pPr>
      <w:r>
        <w:rPr>
          <w:lang w:val="en_US" w:bidi="en_US"/>
        </w:rPr>
        <w:t>Luke 7:25</w:t>
      </w:r>
      <w:r>
        <w:rPr>
          <w:lang w:val="en_US" w:bidi="en_US"/>
        </w:rPr>
      </w:r>
    </w:p>
    <w:p>
      <w:pPr>
        <w:pStyle w:val="Heading4"/>
      </w:pPr>
      <w:r>
        <w:rPr>
          <w:lang w:val="en_US" w:bidi="en_US"/>
        </w:rPr>
        <w:t>Section 7:18–35: John the Baptizer sent messengers to Jesus</w:t>
      </w:r>
    </w:p>
    <w:p>
      <w:pPr/>
      <w:r>
        <w:rPr>
          <w:lang w:val="en_US" w:bidi="en_US"/>
        </w:rPr>
      </w:r>
      <w:r>
        <w:rPr>
          <w:lang w:val="en_US" w:bidi="en_US"/>
        </w:rP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pPr/>
      <w:r>
        <w:rPr>
          <w:lang w:val="en_US" w:bidi="en_US"/>
        </w:rPr>
      </w:r>
      <w:r>
        <w:rPr>
          <w:lang w:val="en_US" w:bidi="en_US"/>
        </w:rP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responds to the messengers of John the Baptizer and speaks about John to the crowd</w:t>
      </w:r>
    </w:p>
    <w:p>
      <w:pPr/>
      <w:r>
        <w:rPr>
          <w:lang w:val="en_US" w:bidi="en_US"/>
        </w:rPr>
      </w:r>
      <w:r>
        <w:rPr>
          <w:lang w:val="en_US" w:bidi="en_US"/>
        </w:rPr>
        <w:t>Jesus speaks to the people about John the Baptizer</w:t>
      </w:r>
    </w:p>
    <w:p>
      <w:pPr/>
      <w:r>
        <w:rPr>
          <w:lang w:val="en_US" w:bidi="en_US"/>
        </w:rPr>
      </w:r>
      <w:r>
        <w:rPr>
          <w:lang w:val="en_US" w:bidi="en_US"/>
        </w:rPr>
        <w:t>Jesus teaches about John the Baptizer</w:t>
      </w:r>
    </w:p>
    <w:p>
      <w:pPr/>
      <w:r>
        <w:rPr>
          <w:lang w:val="en_US" w:bidi="en_US"/>
        </w:rPr>
      </w:r>
      <w:r>
        <w:rPr>
          <w:lang w:val="en_US" w:bidi="en_US"/>
        </w:rPr>
        <w:t>There is a parallel passage for this section in Matthew 11:3–19.</w:t>
      </w:r>
    </w:p>
    <w:p>
      <w:pPr>
        <w:pStyle w:val="Heading5"/>
      </w:pPr>
      <w:r>
        <w:rPr>
          <w:lang w:val="en_US" w:bidi="en_US"/>
        </w:rPr>
        <w:t>7:25a</w:t>
      </w:r>
    </w:p>
    <w:p>
      <w:pPr/>
      <w:r>
        <w:rPr>
          <w:lang w:val="en_US" w:bidi="en_US"/>
        </w:rPr>
      </w:r>
      <w:r>
        <w:rPr>
          <w:b/>
          <w:lang w:val="en_US" w:bidi="en_US"/>
        </w:rPr>
        <w:t>Otherwise, what did you go out to see?</w:t>
      </w:r>
    </w:p>
    <w:p>
      <w:pPr>
        <w:pStyle w:val="ListBullet"/>
        <w:spacing w:line="240" w:lineRule="auto"/>
        <w:ind w:left="720"/>
      </w:pPr>
      <w:r>
        <w:rPr>
          <w:lang w:val="en_US" w:bidi="en_US"/>
        </w:rPr>
      </w:r>
      <w:r>
        <w:rPr>
          <w:lang w:val="en_US" w:bidi="en_US"/>
        </w:rPr>
        <w:t xml:space="preserve">If you did not </w:t>
      </w:r>
      <w:r>
        <w:rPr>
          <w:lang w:val="en_US" w:bidi="en_US"/>
        </w:rPr>
        <w:t>go to see that</w:t>
      </w:r>
      <w:r>
        <w:rPr>
          <w:lang w:val="en_US" w:bidi="en_US"/>
        </w:rPr>
        <w:t>, then what/who did you go to see?</w:t>
      </w:r>
    </w:p>
    <w:p>
      <w:pPr>
        <w:pStyle w:val="ListBullet"/>
        <w:spacing w:line="240" w:lineRule="auto"/>
        <w:ind w:left="720"/>
      </w:pPr>
      <w:r>
        <w:rPr>
          <w:lang w:val="en_US" w:bidi="en_US"/>
        </w:rPr>
      </w:r>
      <w:r>
        <w:rPr>
          <w:lang w:val="en_US" w:bidi="en_US"/>
        </w:rPr>
        <w:t xml:space="preserve">Since you did not </w:t>
      </w:r>
      <w:r>
        <w:rPr>
          <w:lang w:val="en_US" w:bidi="en_US"/>
        </w:rPr>
        <w:t>go out to see a man like that</w:t>
      </w:r>
      <w:r>
        <w:rPr>
          <w:lang w:val="en_US" w:bidi="en_US"/>
        </w:rPr>
        <w:t xml:space="preserve">, what </w:t>
      </w:r>
      <w:r>
        <w:rPr>
          <w:lang w:val="en_US" w:bidi="en_US"/>
        </w:rPr>
        <w:t>kind of man</w:t>
      </w:r>
      <w:r>
        <w:rPr>
          <w:lang w:val="en_US" w:bidi="en_US"/>
        </w:rPr>
        <w:t xml:space="preserve"> did you go to see?</w:t>
      </w:r>
    </w:p>
    <w:p>
      <w:pPr>
        <w:pStyle w:val="ListBullet"/>
        <w:spacing w:line="240" w:lineRule="auto"/>
        <w:ind w:left="720"/>
      </w:pPr>
      <w:r>
        <w:rPr>
          <w:lang w:val="en_US" w:bidi="en_US"/>
        </w:rPr>
      </w:r>
      <w:r>
        <w:rPr>
          <w:lang w:val="en_US" w:bidi="en_US"/>
        </w:rPr>
        <w:t xml:space="preserve">If not that, then think about what </w:t>
      </w:r>
      <w:r>
        <w:rPr>
          <w:lang w:val="en_US" w:bidi="en_US"/>
        </w:rPr>
        <w:t>kind of man</w:t>
      </w:r>
      <w:r>
        <w:rPr>
          <w:lang w:val="en_US" w:bidi="en_US"/>
        </w:rPr>
        <w:t xml:space="preserve"> you went out to see.</w:t>
      </w:r>
    </w:p>
    <w:p>
      <w:pPr/>
      <w:r>
        <w:rPr>
          <w:lang w:val="en_US" w:bidi="en_US"/>
        </w:rPr>
      </w:r>
      <w:r>
        <w:rPr>
          <w:b/>
          <w:lang w:val="en_US" w:bidi="en_US"/>
        </w:rPr>
        <w:t>Otherwise:</w:t>
      </w:r>
      <w:r>
        <w:rPr>
          <w:lang w:val="en_US" w:bidi="en_US"/>
        </w:rPr>
        <w:t xml:space="preserve"> The Greek word that the Scholars interpret the phrase translates as </w:t>
      </w:r>
      <w:r>
        <w:rPr>
          <w:i/>
          <w:lang w:val="en_US" w:bidi="en_US"/>
        </w:rPr>
        <w:t>Otherwise</w:t>
      </w:r>
      <w:r>
        <w:rPr>
          <w:lang w:val="en_US" w:bidi="en_US"/>
        </w:rPr>
        <w:t xml:space="preserve"> is literally “but.” It introduces a shorter form of the question in 7:24b (“What did you go out into the wilderness to see?”). The word </w:t>
      </w:r>
      <w:r>
        <w:rPr>
          <w:i/>
          <w:lang w:val="en_US" w:bidi="en_US"/>
        </w:rPr>
        <w:t>Otherwise</w:t>
      </w:r>
      <w:r>
        <w:rPr>
          <w:lang w:val="en_US" w:bidi="en_US"/>
        </w:rPr>
        <w:t xml:space="preserve"> implies a contrast to “A reed swaying in the wind.” A fuller form of this contrast would be:</w:t>
      </w:r>
    </w:p>
    <w:p>
      <w:pPr/>
      <w:r>
        <w:rPr>
          <w:lang w:val="en_US" w:bidi="en_US"/>
        </w:rPr>
      </w:r>
      <w:r>
        <w:rPr>
          <w:lang w:val="en_US" w:bidi="en_US"/>
        </w:rPr>
        <w:t xml:space="preserve">If </w:t>
      </w:r>
      <w:r>
        <w:rPr>
          <w:lang w:val="en_US" w:bidi="en_US"/>
        </w:rPr>
        <w:t>you did</w:t>
      </w:r>
      <w:r>
        <w:rPr>
          <w:lang w:val="en_US" w:bidi="en_US"/>
        </w:rPr>
        <w:t xml:space="preserve"> not </w:t>
      </w:r>
      <w:r>
        <w:rPr>
          <w:lang w:val="en_US" w:bidi="en_US"/>
        </w:rPr>
        <w:t>go there to see a reed swaying in the wind…</w:t>
      </w:r>
    </w:p>
    <w:p>
      <w:pPr/>
      <w:r>
        <w:rPr>
          <w:lang w:val="en_US" w:bidi="en_US"/>
        </w:rPr>
      </w:r>
      <w:r>
        <w:rPr>
          <w:lang w:val="en_US" w:bidi="en_US"/>
        </w:rPr>
        <w:t>The REB translates it as:</w:t>
      </w:r>
    </w:p>
    <w:p>
      <w:pPr/>
      <w:r>
        <w:rPr>
          <w:lang w:val="en_US" w:bidi="en_US"/>
        </w:rPr>
      </w:r>
      <w:r>
        <w:rPr>
          <w:lang w:val="en_US" w:bidi="en_US"/>
        </w:rPr>
        <w:t>No? Then…</w:t>
      </w:r>
    </w:p>
    <w:p>
      <w:pPr/>
      <w:r>
        <w:rPr>
          <w:lang w:val="en_US" w:bidi="en_US"/>
        </w:rPr>
      </w:r>
      <w:r>
        <w:rPr>
          <w:b/>
          <w:lang w:val="en_US" w:bidi="en_US"/>
        </w:rPr>
        <w:t>what did you go out to see?:</w:t>
      </w:r>
      <w:r>
        <w:rPr>
          <w:lang w:val="en_US" w:bidi="en_US"/>
        </w:rPr>
        <w:t xml:space="preserve"> This is a shorter form of the question in 7:24b. If it is more natural in your language, you can translate as you did for 7:24b.</w:t>
      </w:r>
    </w:p>
    <w:p>
      <w:pPr/>
      <w:r>
        <w:rPr>
          <w:lang w:val="en_US" w:bidi="en_US"/>
        </w:rPr>
      </w:r>
      <w:r>
        <w:rPr>
          <w:b/>
          <w:lang w:val="en_US" w:bidi="en_US"/>
        </w:rPr>
        <w:t>what:</w:t>
      </w:r>
      <w:r>
        <w:rPr>
          <w:lang w:val="en_US" w:bidi="en_US"/>
        </w:rPr>
        <w:t xml:space="preserve"> See the note on “What” at 7:24b–c.</w:t>
      </w:r>
    </w:p>
    <w:p>
      <w:pPr/>
      <w:r>
        <w:rPr>
          <w:lang w:val="en_US" w:bidi="en_US"/>
        </w:rPr>
      </w:r>
      <w:r>
        <w:rPr>
          <w:b/>
          <w:lang w:val="en_US" w:bidi="en_US"/>
        </w:rPr>
        <w:t>to see:</w:t>
      </w:r>
      <w:r>
        <w:rPr>
          <w:lang w:val="en_US" w:bidi="en_US"/>
        </w:rPr>
        <w:t xml:space="preserve"> The Greek word that the BSB translates as </w:t>
      </w:r>
      <w:r>
        <w:rPr>
          <w:i/>
          <w:lang w:val="en_US" w:bidi="en_US"/>
        </w:rPr>
        <w:t>to see</w:t>
      </w:r>
      <w:r>
        <w:rPr>
          <w:lang w:val="en_US" w:bidi="en_US"/>
        </w:rPr>
        <w:t xml:space="preserve"> is a different word than the word for “to see” in 7:24b. However, these two words have basically the same meaning. In your translation, you may either use the same word or use a different word with the same meaning. Do what is good style in your language.</w:t>
      </w:r>
    </w:p>
    <w:p>
      <w:pPr>
        <w:pStyle w:val="Heading5"/>
      </w:pPr>
      <w:r>
        <w:rPr>
          <w:lang w:val="en_US" w:bidi="en_US"/>
        </w:rPr>
        <w:t>7:25b</w:t>
      </w:r>
    </w:p>
    <w:p>
      <w:pPr/>
      <w:r>
        <w:rPr>
          <w:lang w:val="en_US" w:bidi="en_US"/>
        </w:rPr>
      </w:r>
      <w:r>
        <w:rPr>
          <w:b/>
          <w:lang w:val="en_US" w:bidi="en_US"/>
        </w:rPr>
        <w:t>A man dressed in fine clothes?</w:t>
      </w:r>
    </w:p>
    <w:p>
      <w:pPr>
        <w:pStyle w:val="ListBullet"/>
        <w:spacing w:line="240" w:lineRule="auto"/>
        <w:ind w:left="720"/>
      </w:pPr>
      <w:r>
        <w:rPr>
          <w:lang w:val="en_US" w:bidi="en_US"/>
        </w:rPr>
      </w:r>
      <w:r>
        <w:rPr>
          <w:lang w:val="en_US" w:bidi="en_US"/>
        </w:rPr>
        <w:t>Did you go to see</w:t>
      </w:r>
      <w:r>
        <w:rPr>
          <w:lang w:val="en_US" w:bidi="en_US"/>
        </w:rPr>
        <w:t xml:space="preserve"> an elegantly dressed man? </w:t>
      </w:r>
      <w:r>
        <w:rPr>
          <w:lang w:val="en_US" w:bidi="en_US"/>
        </w:rPr>
        <w:t>No!</w:t>
      </w:r>
    </w:p>
    <w:p>
      <w:pPr>
        <w:pStyle w:val="ListBullet"/>
        <w:spacing w:line="240" w:lineRule="auto"/>
        <w:ind w:left="720"/>
      </w:pPr>
      <w:r>
        <w:rPr>
          <w:lang w:val="en_US" w:bidi="en_US"/>
        </w:rPr>
      </w:r>
      <w:r>
        <w:rPr>
          <w:lang w:val="en_US" w:bidi="en_US"/>
        </w:rPr>
        <w:t>Did you expect to see</w:t>
      </w:r>
      <w:r>
        <w:rPr>
          <w:lang w:val="en_US" w:bidi="en_US"/>
        </w:rPr>
        <w:t xml:space="preserve"> a man who wears magnificent/expensive clothes? </w:t>
      </w:r>
      <w:r>
        <w:rPr>
          <w:lang w:val="en_US" w:bidi="en_US"/>
        </w:rPr>
        <w:t>Of course not!</w:t>
      </w:r>
    </w:p>
    <w:p>
      <w:pPr>
        <w:pStyle w:val="ListBullet"/>
        <w:spacing w:line="240" w:lineRule="auto"/>
        <w:ind w:left="720"/>
      </w:pPr>
      <w:r>
        <w:rPr>
          <w:lang w:val="en_US" w:bidi="en_US"/>
        </w:rPr>
      </w:r>
      <w:r>
        <w:rPr>
          <w:lang w:val="en_US" w:bidi="en_US"/>
        </w:rPr>
        <w:t>You certainly did not go out to see a man who was dressed in fine, soft clothing.</w:t>
      </w:r>
    </w:p>
    <w:p>
      <w:pPr/>
      <w:r>
        <w:rPr>
          <w:lang w:val="en_US" w:bidi="en_US"/>
        </w:rPr>
      </w:r>
      <w:r>
        <w:rPr>
          <w:b/>
          <w:lang w:val="en_US" w:bidi="en_US"/>
        </w:rPr>
        <w:t>A man dressed in fine clothes?:</w:t>
      </w:r>
      <w:r>
        <w:rPr>
          <w:lang w:val="en_US" w:bidi="en_US"/>
        </w:rPr>
        <w:t xml:space="preserve"> This rhetorical question suggests another answer to the question in 7:24b and 7:25a. Its full form would be:</w:t>
      </w:r>
    </w:p>
    <w:p>
      <w:pPr/>
      <w:r>
        <w:rPr>
          <w:lang w:val="en_US" w:bidi="en_US"/>
        </w:rPr>
      </w:r>
      <w:r>
        <w:rPr>
          <w:lang w:val="en_US" w:bidi="en_US"/>
        </w:rPr>
        <w:t>Did you go out into the desert to see a man dressed in fine clothes?</w:t>
      </w:r>
    </w:p>
    <w:p>
      <w:pPr/>
      <w:r>
        <w:rPr>
          <w:lang w:val="en_US" w:bidi="en_US"/>
        </w:rPr>
      </w:r>
      <w:r>
        <w:rPr>
          <w:lang w:val="en_US" w:bidi="en_US"/>
        </w:rPr>
        <w:t>There are two ways to translate this rhetorical question:</w:t>
      </w:r>
    </w:p>
    <w:p>
      <w:pPr>
        <w:pStyle w:val="ListBullet"/>
        <w:spacing w:line="240" w:lineRule="auto"/>
        <w:ind w:left="720"/>
      </w:pPr>
      <w:r>
        <w:rPr>
          <w:lang w:val="en_US" w:bidi="en_US"/>
        </w:rPr>
      </w:r>
      <w:r>
        <w:rPr>
          <w:lang w:val="en_US" w:bidi="en_US"/>
        </w:rPr>
        <w:t>As a question with the implied answer “No.” You may want to make the answer explicit. For example:</w:t>
      </w:r>
      <w:r>
        <w:rPr>
          <w:lang w:val="en_US" w:bidi="en_US"/>
        </w:rPr>
        <w:t>A man dressed in fine clothes? No… (NIV)</w:t>
      </w:r>
      <w:r>
        <w:rPr>
          <w:lang w:val="en_US" w:bidi="en_US"/>
        </w:rPr>
        <w:t>Or were you expecting to see a man dressed in expensive clothes? No… (NLT)</w:t>
      </w:r>
    </w:p>
    <w:p>
      <w:pPr>
        <w:pStyle w:val="ListBullet"/>
        <w:spacing w:line="240" w:lineRule="auto"/>
        <w:ind w:left="720"/>
      </w:pPr>
      <w:r>
        <w:rPr>
          <w:lang w:val="en_US" w:bidi="en_US"/>
        </w:rPr>
      </w:r>
      <w:r>
        <w:rPr>
          <w:lang w:val="en_US" w:bidi="en_US"/>
        </w:rPr>
        <w:t>As an emphatic statement. For example:</w:t>
      </w:r>
      <w:r>
        <w:rPr>
          <w:lang w:val="en_US" w:bidi="en_US"/>
        </w:rPr>
        <w:t>You certainly did not go to see a man dressed in fine clothes.</w:t>
      </w:r>
    </w:p>
    <w:p>
      <w:pPr/>
      <w:r>
        <w:rPr>
          <w:lang w:val="en_US" w:bidi="en_US"/>
        </w:rPr>
      </w:r>
      <w:r>
        <w:rPr>
          <w:b/>
          <w:lang w:val="en_US" w:bidi="en_US"/>
        </w:rPr>
        <w:t>fine clothes:</w:t>
      </w:r>
      <w:r>
        <w:rPr>
          <w:lang w:val="en_US" w:bidi="en_US"/>
        </w:rPr>
        <w:t xml:space="preserve"> The phrase </w:t>
      </w:r>
      <w:r>
        <w:rPr>
          <w:i/>
          <w:lang w:val="en_US" w:bidi="en_US"/>
        </w:rPr>
        <w:t>fine clothes</w:t>
      </w:r>
      <w:r>
        <w:rPr>
          <w:lang w:val="en_US" w:bidi="en_US"/>
        </w:rPr>
        <w:t xml:space="preserve"> refers to clothes that are fancy or soft to the touch. They are the kind of clothes that rich people wear.</w:t>
      </w:r>
    </w:p>
    <w:p>
      <w:pPr>
        <w:pStyle w:val="Heading5"/>
      </w:pPr>
      <w:r>
        <w:rPr>
          <w:lang w:val="en_US" w:bidi="en_US"/>
        </w:rPr>
        <w:t>7:25c</w:t>
      </w:r>
    </w:p>
    <w:p>
      <w:pPr/>
      <w:r>
        <w:rPr>
          <w:lang w:val="en_US" w:bidi="en_US"/>
        </w:rPr>
      </w:r>
      <w:r>
        <w:rPr>
          <w:b/>
          <w:lang w:val="en_US" w:bidi="en_US"/>
        </w:rPr>
        <w:t>Look, those who wear elegant clothing and live in luxury are found in palaces.</w:t>
      </w:r>
    </w:p>
    <w:p>
      <w:pPr>
        <w:pStyle w:val="ListBullet"/>
        <w:spacing w:line="240" w:lineRule="auto"/>
        <w:ind w:left="720"/>
      </w:pPr>
      <w:r>
        <w:rPr>
          <w:lang w:val="en_US" w:bidi="en_US"/>
        </w:rPr>
      </w:r>
      <w:r>
        <w:rPr>
          <w:lang w:val="en_US" w:bidi="en_US"/>
        </w:rPr>
        <w:t>People who wear expensive clothes and have all the nice things they want live in king’s houses.</w:t>
      </w:r>
    </w:p>
    <w:p>
      <w:pPr>
        <w:pStyle w:val="ListBullet"/>
        <w:spacing w:line="240" w:lineRule="auto"/>
        <w:ind w:left="720"/>
      </w:pPr>
      <w:r>
        <w:rPr>
          <w:lang w:val="en_US" w:bidi="en_US"/>
        </w:rPr>
      </w:r>
      <w:r>
        <w:rPr>
          <w:lang w:val="en_US" w:bidi="en_US"/>
        </w:rPr>
        <w:t>If you want to see</w:t>
      </w:r>
      <w:r>
        <w:rPr>
          <w:lang w:val="en_US" w:bidi="en_US"/>
        </w:rPr>
        <w:t xml:space="preserve"> people who wear the best clothes and enjoy </w:t>
      </w:r>
      <w:r>
        <w:rPr>
          <w:lang w:val="en_US" w:bidi="en_US"/>
        </w:rPr>
        <w:t>other</w:t>
      </w:r>
      <w:r>
        <w:rPr>
          <w:lang w:val="en_US" w:bidi="en_US"/>
        </w:rPr>
        <w:t xml:space="preserve"> luxuries, </w:t>
      </w:r>
      <w:r>
        <w:rPr>
          <w:lang w:val="en_US" w:bidi="en_US"/>
        </w:rPr>
        <w:t>you go to</w:t>
      </w:r>
      <w:r>
        <w:rPr>
          <w:lang w:val="en_US" w:bidi="en_US"/>
        </w:rPr>
        <w:t xml:space="preserve"> palaces, </w:t>
      </w:r>
      <w:r>
        <w:rPr>
          <w:lang w:val="en_US" w:bidi="en_US"/>
        </w:rPr>
        <w:t>not to the desert</w:t>
      </w:r>
      <w:r>
        <w:rPr>
          <w:lang w:val="en_US" w:bidi="en_US"/>
        </w:rPr>
        <w:t>.</w:t>
      </w:r>
    </w:p>
    <w:p>
      <w:pPr/>
      <w:r>
        <w:rPr>
          <w:lang w:val="en_US" w:bidi="en_US"/>
        </w:rPr>
      </w:r>
      <w:r>
        <w:rPr>
          <w:b/>
          <w:lang w:val="en_US" w:bidi="en_US"/>
        </w:rPr>
        <w:t>Look:</w:t>
      </w:r>
      <w:r>
        <w:rPr>
          <w:lang w:val="en_US" w:bidi="en_US"/>
        </w:rPr>
        <w:t xml:space="preserve"> In the Greek text, this verse part begins with a word that the BSB translates as </w:t>
      </w:r>
      <w:r>
        <w:rPr>
          <w:i/>
          <w:lang w:val="en_US" w:bidi="en_US"/>
        </w:rPr>
        <w:t>Look</w:t>
      </w:r>
      <w:r>
        <w:rPr>
          <w:lang w:val="en_US" w:bidi="en_US"/>
        </w:rPr>
        <w:t>. This word is an exclamation that calls attention to something. Many English versions translate it as “Behold.” Other versions, such as the NIV, do not translate this word. In some languages it may be natural to translate it as “Listen!” See the note on “Behold” at 1:31a.</w:t>
      </w:r>
    </w:p>
    <w:p>
      <w:pPr/>
      <w:r>
        <w:rPr>
          <w:lang w:val="en_US" w:bidi="en_US"/>
        </w:rPr>
      </w:r>
      <w:r>
        <w:rPr>
          <w:b/>
          <w:lang w:val="en_US" w:bidi="en_US"/>
        </w:rPr>
        <w:t>those who wear elegant clothing:</w:t>
      </w:r>
      <w:r>
        <w:rPr>
          <w:lang w:val="en_US" w:bidi="en_US"/>
        </w:rPr>
        <w:t xml:space="preserve"> The phrase </w:t>
      </w:r>
      <w:r>
        <w:rPr>
          <w:i/>
          <w:lang w:val="en_US" w:bidi="en_US"/>
        </w:rPr>
        <w:t>elegant clothing</w:t>
      </w:r>
      <w:r>
        <w:rPr>
          <w:lang w:val="en_US" w:bidi="en_US"/>
        </w:rPr>
        <w:t xml:space="preserve"> is literally “glorious clothes.” The phrase refers to the same type of clothes as the “fine clothes” in 7:25c. Other ways to translate it are:</w:t>
      </w:r>
    </w:p>
    <w:p>
      <w:pPr/>
      <w:r>
        <w:rPr>
          <w:lang w:val="en_US" w:bidi="en_US"/>
        </w:rPr>
      </w:r>
      <w:r>
        <w:rPr>
          <w:lang w:val="en_US" w:bidi="en_US"/>
        </w:rPr>
        <w:t>Those who wear splendid clothes (GW)</w:t>
      </w:r>
    </w:p>
    <w:p>
      <w:pPr/>
      <w:r>
        <w:rPr>
          <w:lang w:val="en_US" w:bidi="en_US"/>
        </w:rPr>
      </w:r>
      <w:r>
        <w:rPr>
          <w:lang w:val="en_US" w:bidi="en_US"/>
        </w:rPr>
        <w:t>people who wear beautiful clothes (NLT)</w:t>
      </w:r>
    </w:p>
    <w:p>
      <w:pPr/>
      <w:r>
        <w:rPr>
          <w:lang w:val="en_US" w:bidi="en_US"/>
        </w:rPr>
      </w:r>
      <w:r>
        <w:rPr>
          <w:lang w:val="en_US" w:bidi="en_US"/>
        </w:rPr>
        <w:t>those who are beautifully dressed</w:t>
      </w:r>
    </w:p>
    <w:p>
      <w:pPr/>
      <w:r>
        <w:rPr>
          <w:lang w:val="en_US" w:bidi="en_US"/>
        </w:rPr>
      </w:r>
      <w:r>
        <w:rPr>
          <w:lang w:val="en_US" w:bidi="en_US"/>
        </w:rPr>
        <w:t>If you use a different word from the one you used in 7:26b, make sure that your readers understand that it has the same meaning. For example:</w:t>
      </w:r>
    </w:p>
    <w:p>
      <w:pPr/>
      <w:r>
        <w:rPr>
          <w:lang w:val="en_US" w:bidi="en_US"/>
        </w:rPr>
      </w:r>
      <w:r>
        <w:rPr>
          <w:lang w:val="en_US" w:bidi="en_US"/>
        </w:rPr>
        <w:t>People who dress like that (GNT)</w:t>
      </w:r>
    </w:p>
    <w:p>
      <w:pPr/>
      <w:r>
        <w:rPr>
          <w:lang w:val="en_US" w:bidi="en_US"/>
        </w:rPr>
      </w:r>
      <w:r>
        <w:rPr>
          <w:b/>
          <w:lang w:val="en_US" w:bidi="en_US"/>
        </w:rPr>
        <w:t>live in luxury:</w:t>
      </w:r>
      <w:r>
        <w:rPr>
          <w:lang w:val="en_US" w:bidi="en_US"/>
        </w:rPr>
        <w:t xml:space="preserve"> The phrase </w:t>
      </w:r>
      <w:r>
        <w:rPr>
          <w:i/>
          <w:lang w:val="en_US" w:bidi="en_US"/>
        </w:rPr>
        <w:t>live in luxury</w:t>
      </w:r>
      <w:r>
        <w:rPr>
          <w:lang w:val="en_US" w:bidi="en_US"/>
        </w:rPr>
        <w:t xml:space="preserve"> means to enjoy all the nice, expensive things that often only rich people can buy. Wearing fine, expensive clothes was an example of this. So you may need to say:</w:t>
      </w:r>
    </w:p>
    <w:p>
      <w:pPr/>
      <w:r>
        <w:rPr>
          <w:lang w:val="en_US" w:bidi="en_US"/>
        </w:rPr>
      </w:r>
      <w:r>
        <w:rPr>
          <w:lang w:val="en_US" w:bidi="en_US"/>
        </w:rPr>
        <w:t xml:space="preserve">indulge in </w:t>
      </w:r>
      <w:r>
        <w:rPr>
          <w:lang w:val="en_US" w:bidi="en_US"/>
        </w:rPr>
        <w:t>other</w:t>
      </w:r>
      <w:r>
        <w:rPr>
          <w:lang w:val="en_US" w:bidi="en_US"/>
        </w:rPr>
        <w:t xml:space="preserve"> luxuries</w:t>
      </w:r>
    </w:p>
    <w:p>
      <w:pPr/>
      <w:r>
        <w:rPr>
          <w:lang w:val="en_US" w:bidi="en_US"/>
        </w:rPr>
      </w:r>
      <w:r>
        <w:rPr>
          <w:b/>
          <w:lang w:val="en_US" w:bidi="en_US"/>
        </w:rPr>
        <w:t>are found in palaces:</w:t>
      </w:r>
      <w:r>
        <w:rPr>
          <w:lang w:val="en_US" w:bidi="en_US"/>
        </w:rPr>
        <w:t xml:space="preserve"> The word </w:t>
      </w:r>
      <w:r>
        <w:rPr>
          <w:i/>
          <w:lang w:val="en_US" w:bidi="en_US"/>
        </w:rPr>
        <w:t>palaces</w:t>
      </w:r>
      <w:r>
        <w:rPr>
          <w:lang w:val="en_US" w:bidi="en_US"/>
        </w:rPr>
        <w:t xml:space="preserve"> refers to big, expensive houses that kings live in. While the BSB translates this phrase as passive, </w:t>
      </w:r>
      <w:r>
        <w:rPr>
          <w:i/>
          <w:lang w:val="en_US" w:bidi="en_US"/>
        </w:rPr>
        <w:t>are found in palaces</w:t>
      </w:r>
      <w:r>
        <w:rPr>
          <w:lang w:val="en_US" w:bidi="en_US"/>
        </w:rPr>
        <w:t>, it is active in Greek, “are in palaces.” It may be more natural in your language to use an active phrase. Some other ways to translate this phrase are:</w:t>
      </w:r>
    </w:p>
    <w:p>
      <w:pPr/>
      <w:r>
        <w:rPr>
          <w:lang w:val="en_US" w:bidi="en_US"/>
        </w:rPr>
      </w:r>
      <w:r>
        <w:rPr>
          <w:lang w:val="en_US" w:bidi="en_US"/>
        </w:rPr>
        <w:t>live in kings’ palaces (NCV)</w:t>
      </w:r>
    </w:p>
    <w:p>
      <w:pPr/>
      <w:r>
        <w:rPr>
          <w:lang w:val="en_US" w:bidi="en_US"/>
        </w:rPr>
      </w:r>
      <w:r>
        <w:rPr>
          <w:lang w:val="en_US" w:bidi="en_US"/>
        </w:rPr>
        <w:t>are in royal palaces (GW)</w:t>
      </w:r>
      <w:r>
        <w:rPr>
          <w:lang w:val="en_US" w:bidi="en_US"/>
        </w:rPr>
      </w:r>
      <w:r>
        <w:rPr>
          <w:lang w:val="en_US" w:bidi="en_US"/>
        </w:rPr>
      </w:r>
    </w:p>
    <w:p>
      <w:pPr/>
      <w:r>
        <w:rPr>
          <w:lang w:val="en_US" w:bidi="en_US"/>
        </w:rPr>
      </w:r>
    </w:p>
    <w:p>
      <w:pPr>
        <w:pStyle w:val="Heading2"/>
      </w:pPr>
      <w:r>
        <w:rPr>
          <w:lang w:val="en_US" w:bidi="en_US"/>
        </w:rPr>
        <w:t>Luke 7:26</w:t>
      </w:r>
      <w:r>
        <w:rPr>
          <w:lang w:val="en_US" w:bidi="en_US"/>
        </w:rPr>
      </w:r>
    </w:p>
    <w:p>
      <w:pPr>
        <w:pStyle w:val="Heading4"/>
      </w:pPr>
      <w:r>
        <w:rPr>
          <w:lang w:val="en_US" w:bidi="en_US"/>
        </w:rPr>
        <w:t>Section 7:18–35: John the Baptizer sent messengers to Jesus</w:t>
      </w:r>
    </w:p>
    <w:p>
      <w:pPr/>
      <w:r>
        <w:rPr>
          <w:lang w:val="en_US" w:bidi="en_US"/>
        </w:rPr>
      </w:r>
      <w:r>
        <w:rPr>
          <w:lang w:val="en_US" w:bidi="en_US"/>
        </w:rP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pPr/>
      <w:r>
        <w:rPr>
          <w:lang w:val="en_US" w:bidi="en_US"/>
        </w:rPr>
      </w:r>
      <w:r>
        <w:rPr>
          <w:lang w:val="en_US" w:bidi="en_US"/>
        </w:rP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responds to the messengers of John the Baptizer and speaks about John to the crowd</w:t>
      </w:r>
    </w:p>
    <w:p>
      <w:pPr/>
      <w:r>
        <w:rPr>
          <w:lang w:val="en_US" w:bidi="en_US"/>
        </w:rPr>
      </w:r>
      <w:r>
        <w:rPr>
          <w:lang w:val="en_US" w:bidi="en_US"/>
        </w:rPr>
        <w:t>Jesus speaks to the people about John the Baptizer</w:t>
      </w:r>
    </w:p>
    <w:p>
      <w:pPr/>
      <w:r>
        <w:rPr>
          <w:lang w:val="en_US" w:bidi="en_US"/>
        </w:rPr>
      </w:r>
      <w:r>
        <w:rPr>
          <w:lang w:val="en_US" w:bidi="en_US"/>
        </w:rPr>
        <w:t>Jesus teaches about John the Baptizer</w:t>
      </w:r>
    </w:p>
    <w:p>
      <w:pPr/>
      <w:r>
        <w:rPr>
          <w:lang w:val="en_US" w:bidi="en_US"/>
        </w:rPr>
      </w:r>
      <w:r>
        <w:rPr>
          <w:lang w:val="en_US" w:bidi="en_US"/>
        </w:rPr>
        <w:t>There is a parallel passage for this section in Matthew 11:3–19.</w:t>
      </w:r>
    </w:p>
    <w:p>
      <w:pPr>
        <w:pStyle w:val="Heading5"/>
      </w:pPr>
      <w:r>
        <w:rPr>
          <w:lang w:val="en_US" w:bidi="en_US"/>
        </w:rPr>
        <w:t>7:26a</w:t>
      </w:r>
    </w:p>
    <w:p>
      <w:pPr/>
      <w:r>
        <w:rPr>
          <w:lang w:val="en_US" w:bidi="en_US"/>
        </w:rPr>
      </w:r>
      <w:r>
        <w:rPr>
          <w:b/>
          <w:lang w:val="en_US" w:bidi="en_US"/>
        </w:rPr>
        <w:t>What then did you go out to see?</w:t>
      </w:r>
    </w:p>
    <w:p>
      <w:pPr>
        <w:pStyle w:val="ListBullet"/>
        <w:spacing w:line="240" w:lineRule="auto"/>
        <w:ind w:left="720"/>
      </w:pPr>
      <w:r>
        <w:rPr>
          <w:lang w:val="en_US" w:bidi="en_US"/>
        </w:rPr>
      </w:r>
      <w:r>
        <w:rPr>
          <w:lang w:val="en_US" w:bidi="en_US"/>
        </w:rPr>
        <w:t xml:space="preserve">If/Since you did not </w:t>
      </w:r>
      <w:r>
        <w:rPr>
          <w:lang w:val="en_US" w:bidi="en_US"/>
        </w:rPr>
        <w:t>go to see that</w:t>
      </w:r>
      <w:r>
        <w:rPr>
          <w:lang w:val="en_US" w:bidi="en_US"/>
        </w:rPr>
        <w:t>, then what/who did you go to see?</w:t>
      </w:r>
    </w:p>
    <w:p>
      <w:pPr>
        <w:pStyle w:val="ListBullet"/>
        <w:spacing w:line="240" w:lineRule="auto"/>
        <w:ind w:left="720"/>
      </w:pPr>
      <w:r>
        <w:rPr>
          <w:lang w:val="en_US" w:bidi="en_US"/>
        </w:rPr>
      </w:r>
      <w:r>
        <w:rPr>
          <w:lang w:val="en_US" w:bidi="en_US"/>
        </w:rPr>
        <w:t xml:space="preserve">But/So then what </w:t>
      </w:r>
      <w:r>
        <w:rPr>
          <w:lang w:val="en_US" w:bidi="en_US"/>
        </w:rPr>
        <w:t>kind of man</w:t>
      </w:r>
      <w:r>
        <w:rPr>
          <w:lang w:val="en_US" w:bidi="en_US"/>
        </w:rPr>
        <w:t xml:space="preserve"> did you go out </w:t>
      </w:r>
      <w:r>
        <w:rPr>
          <w:lang w:val="en_US" w:bidi="en_US"/>
        </w:rPr>
        <w:t>to the wilderness</w:t>
      </w:r>
      <w:r>
        <w:rPr>
          <w:lang w:val="en_US" w:bidi="en_US"/>
        </w:rPr>
        <w:t xml:space="preserve"> to see?</w:t>
      </w:r>
    </w:p>
    <w:p>
      <w:pPr>
        <w:pStyle w:val="ListBullet"/>
        <w:spacing w:line="240" w:lineRule="auto"/>
        <w:ind w:left="720"/>
      </w:pPr>
      <w:r>
        <w:rPr>
          <w:lang w:val="en_US" w:bidi="en_US"/>
        </w:rPr>
      </w:r>
      <w:r>
        <w:rPr>
          <w:lang w:val="en_US" w:bidi="en_US"/>
        </w:rPr>
        <w:t xml:space="preserve">If not that, then think about what </w:t>
      </w:r>
      <w:r>
        <w:rPr>
          <w:lang w:val="en_US" w:bidi="en_US"/>
        </w:rPr>
        <w:t>kind of man</w:t>
      </w:r>
      <w:r>
        <w:rPr>
          <w:lang w:val="en_US" w:bidi="en_US"/>
        </w:rPr>
        <w:t xml:space="preserve"> you went out to see.</w:t>
      </w:r>
    </w:p>
    <w:p>
      <w:pPr/>
      <w:r>
        <w:rPr>
          <w:lang w:val="en_US" w:bidi="en_US"/>
        </w:rPr>
      </w:r>
      <w:r>
        <w:rPr>
          <w:b/>
          <w:lang w:val="en_US" w:bidi="en_US"/>
        </w:rPr>
        <w:t>What then did you go out to see?:</w:t>
      </w:r>
      <w:r>
        <w:rPr>
          <w:lang w:val="en_US" w:bidi="en_US"/>
        </w:rPr>
        <w:t xml:space="preserve"> The Greek question that the BSB translates as </w:t>
      </w:r>
      <w:r>
        <w:rPr>
          <w:i/>
          <w:lang w:val="en_US" w:bidi="en_US"/>
        </w:rPr>
        <w:t>What then did you go out to see?</w:t>
      </w:r>
      <w:r>
        <w:rPr>
          <w:lang w:val="en_US" w:bidi="en_US"/>
        </w:rPr>
        <w:t xml:space="preserve"> is exactly the same as the question in 7:25a. (The BSB adds the word “then” here for the sake of English style.)</w:t>
      </w:r>
    </w:p>
    <w:p>
      <w:pPr/>
      <w:r>
        <w:rPr>
          <w:lang w:val="en_US" w:bidi="en_US"/>
        </w:rPr>
      </w:r>
      <w:r>
        <w:rPr>
          <w:b/>
          <w:lang w:val="en_US" w:bidi="en_US"/>
        </w:rPr>
        <w:t>What:</w:t>
      </w:r>
      <w:r>
        <w:rPr>
          <w:lang w:val="en_US" w:bidi="en_US"/>
        </w:rPr>
        <w:t xml:space="preserve"> See the note on </w:t>
      </w:r>
      <w:r>
        <w:rPr>
          <w:i/>
          <w:lang w:val="en_US" w:bidi="en_US"/>
        </w:rPr>
        <w:t>What</w:t>
      </w:r>
      <w:r>
        <w:rPr>
          <w:lang w:val="en_US" w:bidi="en_US"/>
        </w:rPr>
        <w:t xml:space="preserve"> at 7:24b–c.</w:t>
      </w:r>
    </w:p>
    <w:p>
      <w:pPr>
        <w:pStyle w:val="Heading5"/>
      </w:pPr>
      <w:r>
        <w:rPr>
          <w:lang w:val="en_US" w:bidi="en_US"/>
        </w:rPr>
        <w:t>7:26b</w:t>
      </w:r>
    </w:p>
    <w:p>
      <w:pPr/>
      <w:r>
        <w:rPr>
          <w:lang w:val="en_US" w:bidi="en_US"/>
        </w:rPr>
      </w:r>
      <w:r>
        <w:rPr>
          <w:b/>
          <w:lang w:val="en_US" w:bidi="en_US"/>
        </w:rPr>
        <w:t>A prophet?</w:t>
      </w:r>
    </w:p>
    <w:p>
      <w:pPr>
        <w:pStyle w:val="ListBullet"/>
        <w:spacing w:line="240" w:lineRule="auto"/>
        <w:ind w:left="720"/>
      </w:pPr>
      <w:r>
        <w:rPr>
          <w:lang w:val="en_US" w:bidi="en_US"/>
        </w:rPr>
      </w:r>
      <w:r>
        <w:rPr>
          <w:lang w:val="en_US" w:bidi="en_US"/>
        </w:rPr>
        <w:t>Did you expect to see</w:t>
      </w:r>
      <w:r>
        <w:rPr>
          <w:lang w:val="en_US" w:bidi="en_US"/>
        </w:rPr>
        <w:t xml:space="preserve"> a prophet?</w:t>
      </w:r>
    </w:p>
    <w:p>
      <w:pPr>
        <w:pStyle w:val="ListBullet"/>
        <w:spacing w:line="240" w:lineRule="auto"/>
        <w:ind w:left="720"/>
      </w:pPr>
      <w:r>
        <w:rPr>
          <w:lang w:val="en_US" w:bidi="en_US"/>
        </w:rPr>
      </w:r>
      <w:r>
        <w:rPr>
          <w:lang w:val="en_US" w:bidi="en_US"/>
        </w:rPr>
        <w:t>Surely it was a prophet that you went out to see.</w:t>
      </w:r>
    </w:p>
    <w:p>
      <w:pPr/>
      <w:r>
        <w:rPr>
          <w:lang w:val="en_US" w:bidi="en_US"/>
        </w:rPr>
      </w:r>
      <w:r>
        <w:rPr>
          <w:b/>
          <w:lang w:val="en_US" w:bidi="en_US"/>
        </w:rPr>
        <w:t>A prophet?:</w:t>
      </w:r>
      <w:r>
        <w:rPr>
          <w:lang w:val="en_US" w:bidi="en_US"/>
        </w:rPr>
        <w:t xml:space="preserve"> This rhetorical question suggests yet another answer to the question asked in 7:24b, 7:25a, and 7:26a. This time it suggests the correct answer. If you need to translate it as a full sentence, you could say:</w:t>
      </w:r>
    </w:p>
    <w:p>
      <w:pPr/>
      <w:r>
        <w:rPr>
          <w:lang w:val="en_US" w:bidi="en_US"/>
        </w:rPr>
      </w:r>
      <w:r>
        <w:rPr>
          <w:lang w:val="en_US" w:bidi="en_US"/>
        </w:rPr>
        <w:t>Did you go out to see</w:t>
      </w:r>
      <w:r>
        <w:rPr>
          <w:lang w:val="en_US" w:bidi="en_US"/>
        </w:rPr>
        <w:t xml:space="preserve"> a prophet?</w:t>
      </w:r>
    </w:p>
    <w:p>
      <w:pPr/>
      <w:r>
        <w:rPr>
          <w:lang w:val="en_US" w:bidi="en_US"/>
        </w:rPr>
      </w:r>
      <w:r>
        <w:rPr>
          <w:lang w:val="en_US" w:bidi="en_US"/>
        </w:rPr>
        <w:t>There are two ways to translate this rhetorical question:</w:t>
      </w:r>
    </w:p>
    <w:p>
      <w:pPr>
        <w:pStyle w:val="ListBullet"/>
        <w:spacing w:line="240" w:lineRule="auto"/>
        <w:ind w:left="720"/>
      </w:pPr>
      <w:r>
        <w:rPr>
          <w:lang w:val="en_US" w:bidi="en_US"/>
        </w:rPr>
      </w:r>
      <w:r>
        <w:rPr>
          <w:lang w:val="en_US" w:bidi="en_US"/>
        </w:rPr>
        <w:t>As a question. For example:</w:t>
      </w:r>
      <w:r>
        <w:rPr>
          <w:lang w:val="en_US" w:bidi="en_US"/>
        </w:rPr>
        <w:t>Did you expect to see</w:t>
      </w:r>
      <w:r>
        <w:rPr>
          <w:lang w:val="en_US" w:bidi="en_US"/>
        </w:rPr>
        <w:t xml:space="preserve"> a prophet?</w:t>
      </w:r>
    </w:p>
    <w:p>
      <w:pPr>
        <w:pStyle w:val="ListBullet"/>
        <w:spacing w:line="240" w:lineRule="auto"/>
        <w:ind w:left="720"/>
      </w:pPr>
      <w:r>
        <w:rPr>
          <w:lang w:val="en_US" w:bidi="en_US"/>
        </w:rPr>
      </w:r>
      <w:r>
        <w:rPr>
          <w:lang w:val="en_US" w:bidi="en_US"/>
        </w:rPr>
        <w:t>As an emphatic statement. For example:</w:t>
      </w:r>
      <w:r>
        <w:rPr>
          <w:lang w:val="en_US" w:bidi="en_US"/>
        </w:rPr>
        <w:t>Surely it was a prophet that you went out to see.</w:t>
      </w:r>
    </w:p>
    <w:p>
      <w:pPr/>
      <w:r>
        <w:rPr>
          <w:lang w:val="en_US" w:bidi="en_US"/>
        </w:rPr>
      </w:r>
      <w:r>
        <w:rPr>
          <w:lang w:val="en_US" w:bidi="en_US"/>
        </w:rPr>
        <w:t>(If you follow this option, you will not translate the answer “yes” in 7:26c.)</w:t>
      </w:r>
    </w:p>
    <w:p>
      <w:pPr/>
      <w:r>
        <w:rPr>
          <w:lang w:val="en_US" w:bidi="en_US"/>
        </w:rPr>
      </w:r>
      <w:r>
        <w:rPr>
          <w:b/>
          <w:lang w:val="en_US" w:bidi="en_US"/>
        </w:rPr>
        <w:t>prophet:</w:t>
      </w:r>
      <w:r>
        <w:rPr>
          <w:lang w:val="en_US" w:bidi="en_US"/>
        </w:rPr>
        <w:t xml:space="preserve"> See also the note on </w:t>
      </w:r>
      <w:r>
        <w:rPr>
          <w:i/>
          <w:lang w:val="en_US" w:bidi="en_US"/>
        </w:rPr>
        <w:t>prophet</w:t>
      </w:r>
      <w:r>
        <w:rPr>
          <w:lang w:val="en_US" w:bidi="en_US"/>
        </w:rPr>
        <w:t xml:space="preserve"> at 7:16b. See prophet in the Glossary.</w:t>
      </w:r>
    </w:p>
    <w:p>
      <w:pPr>
        <w:pStyle w:val="Heading5"/>
      </w:pPr>
      <w:r>
        <w:rPr>
          <w:lang w:val="en_US" w:bidi="en_US"/>
        </w:rPr>
        <w:t>7:26c</w:t>
      </w:r>
    </w:p>
    <w:p>
      <w:pPr/>
      <w:r>
        <w:rPr>
          <w:lang w:val="en_US" w:bidi="en_US"/>
        </w:rPr>
      </w:r>
      <w:r>
        <w:rPr>
          <w:b/>
          <w:lang w:val="en_US" w:bidi="en_US"/>
        </w:rPr>
        <w:t>Yes, I tell you, and more than a prophet.</w:t>
      </w:r>
    </w:p>
    <w:p>
      <w:pPr>
        <w:pStyle w:val="ListBullet"/>
        <w:spacing w:line="240" w:lineRule="auto"/>
        <w:ind w:left="720"/>
      </w:pPr>
      <w:r>
        <w:rPr>
          <w:lang w:val="en_US" w:bidi="en_US"/>
        </w:rPr>
      </w:r>
      <w:r>
        <w:rPr>
          <w:lang w:val="en_US" w:bidi="en_US"/>
        </w:rPr>
        <w:t xml:space="preserve">Yes, you certainly did. And </w:t>
      </w:r>
      <w:r>
        <w:rPr>
          <w:lang w:val="en_US" w:bidi="en_US"/>
        </w:rPr>
        <w:t>John is</w:t>
      </w:r>
      <w:r>
        <w:rPr>
          <w:lang w:val="en_US" w:bidi="en_US"/>
        </w:rPr>
        <w:t xml:space="preserve"> more than </w:t>
      </w:r>
      <w:r>
        <w:rPr>
          <w:lang w:val="en_US" w:bidi="en_US"/>
        </w:rPr>
        <w:t>just</w:t>
      </w:r>
      <w:r>
        <w:rPr>
          <w:lang w:val="en_US" w:bidi="en_US"/>
        </w:rPr>
        <w:t xml:space="preserve"> a prophet.</w:t>
      </w:r>
    </w:p>
    <w:p>
      <w:pPr>
        <w:pStyle w:val="ListBullet"/>
        <w:spacing w:line="240" w:lineRule="auto"/>
        <w:ind w:left="720"/>
      </w:pPr>
      <w:r>
        <w:rPr>
          <w:lang w:val="en_US" w:bidi="en_US"/>
        </w:rPr>
      </w:r>
      <w:r>
        <w:rPr>
          <w:lang w:val="en_US" w:bidi="en_US"/>
        </w:rPr>
        <w:t xml:space="preserve">And let me tell you this: John has a greater mission than </w:t>
      </w:r>
      <w:r>
        <w:rPr>
          <w:lang w:val="en_US" w:bidi="en_US"/>
        </w:rPr>
        <w:t>other</w:t>
      </w:r>
      <w:r>
        <w:rPr>
          <w:lang w:val="en_US" w:bidi="en_US"/>
        </w:rPr>
        <w:t xml:space="preserve"> prophets.</w:t>
      </w:r>
    </w:p>
    <w:p>
      <w:pPr/>
      <w:r>
        <w:rPr>
          <w:lang w:val="en_US" w:bidi="en_US"/>
        </w:rPr>
      </w:r>
      <w:r>
        <w:rPr>
          <w:b/>
          <w:lang w:val="en_US" w:bidi="en_US"/>
        </w:rPr>
        <w:t>Yes:</w:t>
      </w:r>
      <w:r>
        <w:rPr>
          <w:lang w:val="en_US" w:bidi="en_US"/>
        </w:rPr>
        <w:t xml:space="preserve"> The Greek word that the BSB translates as </w:t>
      </w:r>
      <w:r>
        <w:rPr>
          <w:i/>
          <w:lang w:val="en_US" w:bidi="en_US"/>
        </w:rPr>
        <w:t>Yes</w:t>
      </w:r>
      <w:r>
        <w:rPr>
          <w:lang w:val="en_US" w:bidi="en_US"/>
        </w:rPr>
        <w:t xml:space="preserve"> is emphasized here. Some ways that English versions express this emphasis are:</w:t>
      </w:r>
    </w:p>
    <w:p>
      <w:pPr/>
      <w:r>
        <w:rPr>
          <w:lang w:val="en_US" w:bidi="en_US"/>
        </w:rPr>
      </w:r>
      <w:r>
        <w:rPr>
          <w:lang w:val="en_US" w:bidi="en_US"/>
        </w:rPr>
        <w:t>Yes indeed (GNT)</w:t>
      </w:r>
    </w:p>
    <w:p>
      <w:pPr/>
      <w:r>
        <w:rPr>
          <w:lang w:val="en_US" w:bidi="en_US"/>
        </w:rPr>
      </w:r>
      <w:r>
        <w:rPr>
          <w:lang w:val="en_US" w:bidi="en_US"/>
        </w:rPr>
        <w:t>He certainly was! (CEV)</w:t>
      </w:r>
    </w:p>
    <w:p>
      <w:pPr/>
      <w:r>
        <w:rPr>
          <w:lang w:val="en_US" w:bidi="en_US"/>
        </w:rPr>
      </w:r>
      <w:r>
        <w:rPr>
          <w:b/>
          <w:lang w:val="en_US" w:bidi="en_US"/>
        </w:rPr>
        <w:t>I tell you:</w:t>
      </w:r>
      <w:r>
        <w:rPr>
          <w:lang w:val="en_US" w:bidi="en_US"/>
        </w:rPr>
        <w:t xml:space="preserve"> Jesus often used the words </w:t>
      </w:r>
      <w:r>
        <w:rPr>
          <w:i/>
          <w:lang w:val="en_US" w:bidi="en_US"/>
        </w:rPr>
        <w:t>I tell you</w:t>
      </w:r>
      <w:r>
        <w:rPr>
          <w:lang w:val="en_US" w:bidi="en_US"/>
        </w:rPr>
        <w:t xml:space="preserve"> to begin a statement that he wanted to emphasize. It indicates that the statement was important and that people should listen carefully to it. Some other ways to show this emphasis are:</w:t>
      </w:r>
    </w:p>
    <w:p>
      <w:pPr>
        <w:pStyle w:val="ListBullet"/>
        <w:spacing w:line="240" w:lineRule="auto"/>
        <w:ind w:left="720"/>
      </w:pPr>
      <w:r>
        <w:rPr>
          <w:lang w:val="en_US" w:bidi="en_US"/>
        </w:rPr>
      </w:r>
      <w:r>
        <w:rPr>
          <w:lang w:val="en_US" w:bidi="en_US"/>
        </w:rPr>
        <w:t>Use a phrase before Jesus’ statement. For example:</w:t>
      </w:r>
      <w:r>
        <w:rPr>
          <w:lang w:val="en_US" w:bidi="en_US"/>
        </w:rPr>
        <w:t>Let me tell you this</w:t>
      </w:r>
      <w:r>
        <w:rPr>
          <w:lang w:val="en_US" w:bidi="en_US"/>
        </w:rPr>
        <w:t>Listen</w:t>
      </w:r>
      <w:r>
        <w:rPr>
          <w:lang w:val="en_US" w:bidi="en_US"/>
        </w:rPr>
        <w:t>I assure you</w:t>
      </w:r>
    </w:p>
    <w:p>
      <w:pPr>
        <w:pStyle w:val="ListBullet"/>
        <w:spacing w:line="240" w:lineRule="auto"/>
        <w:ind w:left="720"/>
      </w:pPr>
      <w:r>
        <w:rPr>
          <w:lang w:val="en_US" w:bidi="en_US"/>
        </w:rPr>
      </w:r>
      <w:r>
        <w:rPr>
          <w:lang w:val="en_US" w:bidi="en_US"/>
        </w:rPr>
        <w:t>As an emphatic word within the following statement. For example:</w:t>
      </w:r>
      <w:r>
        <w:rPr>
          <w:lang w:val="en_US" w:bidi="en_US"/>
        </w:rPr>
        <w:t xml:space="preserve">He was </w:t>
      </w:r>
      <w:r>
        <w:rPr>
          <w:u w:val="single"/>
          <w:lang w:val="en_US" w:bidi="en_US"/>
        </w:rPr>
        <w:t>much</w:t>
      </w:r>
      <w:r>
        <w:rPr>
          <w:lang w:val="en_US" w:bidi="en_US"/>
        </w:rPr>
        <w:t xml:space="preserve"> more than a prophet.</w:t>
      </w:r>
      <w:r>
        <w:rPr>
          <w:lang w:val="en_US" w:bidi="en_US"/>
        </w:rPr>
        <w:t xml:space="preserve">He was, </w:t>
      </w:r>
      <w:r>
        <w:rPr>
          <w:u w:val="single"/>
          <w:lang w:val="en_US" w:bidi="en_US"/>
        </w:rPr>
        <w:t>in fact</w:t>
      </w:r>
      <w:r>
        <w:rPr>
          <w:lang w:val="en_US" w:bidi="en_US"/>
        </w:rPr>
        <w:t>, more than a prophet.</w:t>
      </w:r>
    </w:p>
    <w:p>
      <w:pPr/>
      <w:r>
        <w:rPr>
          <w:lang w:val="en_US" w:bidi="en_US"/>
        </w:rPr>
      </w:r>
      <w:r>
        <w:rPr>
          <w:lang w:val="en_US" w:bidi="en_US"/>
        </w:rPr>
        <w:t>If you have another way in your language to emphasize an important statement, consider using it here.</w:t>
      </w:r>
    </w:p>
    <w:p>
      <w:pPr/>
      <w:r>
        <w:rPr>
          <w:lang w:val="en_US" w:bidi="en_US"/>
        </w:rPr>
      </w:r>
      <w:r>
        <w:rPr>
          <w:b/>
          <w:lang w:val="en_US" w:bidi="en_US"/>
        </w:rPr>
        <w:t>and more than a prophet:</w:t>
      </w:r>
      <w:r>
        <w:rPr>
          <w:lang w:val="en_US" w:bidi="en_US"/>
        </w:rPr>
        <w:t xml:space="preserve"> Jesus was saying here that John was certainly a prophet, and he also had another very important role. God had sent John especially to prepare people for the Messiah. Other ways to say this are:</w:t>
      </w:r>
    </w:p>
    <w:p>
      <w:pPr/>
      <w:r>
        <w:rPr>
          <w:lang w:val="en_US" w:bidi="en_US"/>
        </w:rPr>
      </w:r>
      <w:r>
        <w:rPr>
          <w:lang w:val="en_US" w:bidi="en_US"/>
        </w:rPr>
        <w:t>and great among the prophets</w:t>
      </w:r>
    </w:p>
    <w:p>
      <w:pPr/>
      <w:r>
        <w:rPr>
          <w:lang w:val="en_US" w:bidi="en_US"/>
        </w:rPr>
      </w:r>
      <w:r>
        <w:rPr>
          <w:lang w:val="en_US" w:bidi="en_US"/>
        </w:rPr>
        <w:t>and not just an ordinary prophet</w:t>
      </w:r>
    </w:p>
    <w:p>
      <w:pPr/>
      <w:r>
        <w:rPr>
          <w:lang w:val="en_US" w:bidi="en_US"/>
        </w:rPr>
      </w:r>
      <w:r>
        <w:rPr>
          <w:lang w:val="en_US" w:bidi="en_US"/>
        </w:rPr>
        <w:t xml:space="preserve">and he has a greater </w:t>
      </w:r>
      <w:r>
        <w:rPr>
          <w:lang w:val="en_US" w:bidi="en_US"/>
        </w:rPr>
        <w:t>mission</w:t>
      </w:r>
      <w:r>
        <w:rPr>
          <w:lang w:val="en_US" w:bidi="en_US"/>
        </w:rPr>
        <w:t xml:space="preserve"> than other prophets</w:t>
      </w:r>
      <w:r>
        <w:rPr>
          <w:lang w:val="en_US" w:bidi="en_US"/>
        </w:rPr>
      </w:r>
      <w:r>
        <w:rPr>
          <w:lang w:val="en_US" w:bidi="en_US"/>
        </w:rPr>
      </w:r>
    </w:p>
    <w:p>
      <w:pPr/>
      <w:r>
        <w:rPr>
          <w:lang w:val="en_US" w:bidi="en_US"/>
        </w:rPr>
      </w:r>
    </w:p>
    <w:p>
      <w:pPr>
        <w:pStyle w:val="Heading2"/>
      </w:pPr>
      <w:r>
        <w:rPr>
          <w:lang w:val="en_US" w:bidi="en_US"/>
        </w:rPr>
        <w:t>Luke 7:27</w:t>
      </w:r>
      <w:r>
        <w:rPr>
          <w:lang w:val="en_US" w:bidi="en_US"/>
        </w:rPr>
      </w:r>
    </w:p>
    <w:p>
      <w:pPr>
        <w:pStyle w:val="Heading4"/>
      </w:pPr>
      <w:r>
        <w:rPr>
          <w:lang w:val="en_US" w:bidi="en_US"/>
        </w:rPr>
        <w:t>Section 7:18–35: John the Baptizer sent messengers to Jesus</w:t>
      </w:r>
    </w:p>
    <w:p>
      <w:pPr/>
      <w:r>
        <w:rPr>
          <w:lang w:val="en_US" w:bidi="en_US"/>
        </w:rPr>
      </w:r>
      <w:r>
        <w:rPr>
          <w:lang w:val="en_US" w:bidi="en_US"/>
        </w:rP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pPr/>
      <w:r>
        <w:rPr>
          <w:lang w:val="en_US" w:bidi="en_US"/>
        </w:rPr>
      </w:r>
      <w:r>
        <w:rPr>
          <w:lang w:val="en_US" w:bidi="en_US"/>
        </w:rP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responds to the messengers of John the Baptizer and speaks about John to the crowd</w:t>
      </w:r>
    </w:p>
    <w:p>
      <w:pPr/>
      <w:r>
        <w:rPr>
          <w:lang w:val="en_US" w:bidi="en_US"/>
        </w:rPr>
      </w:r>
      <w:r>
        <w:rPr>
          <w:lang w:val="en_US" w:bidi="en_US"/>
        </w:rPr>
        <w:t>Jesus speaks to the people about John the Baptizer</w:t>
      </w:r>
    </w:p>
    <w:p>
      <w:pPr/>
      <w:r>
        <w:rPr>
          <w:lang w:val="en_US" w:bidi="en_US"/>
        </w:rPr>
      </w:r>
      <w:r>
        <w:rPr>
          <w:lang w:val="en_US" w:bidi="en_US"/>
        </w:rPr>
        <w:t>Jesus teaches about John the Baptizer</w:t>
      </w:r>
    </w:p>
    <w:p>
      <w:pPr/>
      <w:r>
        <w:rPr>
          <w:lang w:val="en_US" w:bidi="en_US"/>
        </w:rPr>
      </w:r>
      <w:r>
        <w:rPr>
          <w:lang w:val="en_US" w:bidi="en_US"/>
        </w:rPr>
        <w:t>There is a parallel passage for this section in Matthew 11:3–19.</w:t>
      </w:r>
    </w:p>
    <w:p>
      <w:pPr>
        <w:pStyle w:val="Heading5"/>
      </w:pPr>
      <w:r>
        <w:rPr>
          <w:lang w:val="en_US" w:bidi="en_US"/>
        </w:rPr>
        <w:t>7:27a</w:t>
      </w:r>
    </w:p>
    <w:p>
      <w:pPr/>
      <w:r>
        <w:rPr>
          <w:lang w:val="en_US" w:bidi="en_US"/>
        </w:rPr>
      </w:r>
      <w:r>
        <w:rPr>
          <w:b/>
          <w:lang w:val="en_US" w:bidi="en_US"/>
        </w:rPr>
        <w:t>This is the one about whom it is written:</w:t>
      </w:r>
    </w:p>
    <w:p>
      <w:pPr>
        <w:pStyle w:val="ListBullet"/>
        <w:spacing w:line="240" w:lineRule="auto"/>
        <w:ind w:left="720"/>
      </w:pPr>
      <w:r>
        <w:rPr>
          <w:lang w:val="en_US" w:bidi="en_US"/>
        </w:rPr>
      </w:r>
      <w:r>
        <w:rPr>
          <w:lang w:val="en_US" w:bidi="en_US"/>
        </w:rPr>
        <w:t xml:space="preserve">He is the one concerning whom </w:t>
      </w:r>
      <w:r>
        <w:rPr>
          <w:lang w:val="en_US" w:bidi="en_US"/>
        </w:rPr>
        <w:t>one of the prophets</w:t>
      </w:r>
      <w:r>
        <w:rPr>
          <w:lang w:val="en_US" w:bidi="en_US"/>
        </w:rPr>
        <w:t xml:space="preserve"> wrote: </w:t>
      </w:r>
      <w:r>
        <w:rPr>
          <w:lang w:val="en_US" w:bidi="en_US"/>
        </w:rPr>
        <w:t>God says,</w:t>
      </w:r>
    </w:p>
    <w:p>
      <w:pPr>
        <w:pStyle w:val="ListBullet"/>
        <w:spacing w:line="240" w:lineRule="auto"/>
        <w:ind w:left="720"/>
      </w:pPr>
      <w:r>
        <w:rPr>
          <w:lang w:val="en_US" w:bidi="en_US"/>
        </w:rPr>
      </w:r>
      <w:r>
        <w:rPr>
          <w:lang w:val="en_US" w:bidi="en_US"/>
        </w:rPr>
        <w:t>John</w:t>
      </w:r>
      <w:r>
        <w:rPr>
          <w:lang w:val="en_US" w:bidi="en_US"/>
        </w:rPr>
        <w:t xml:space="preserve"> is the </w:t>
      </w:r>
      <w:r>
        <w:rPr>
          <w:lang w:val="en_US" w:bidi="en_US"/>
        </w:rPr>
        <w:t>messenger about whom</w:t>
      </w:r>
      <w:r>
        <w:rPr>
          <w:lang w:val="en_US" w:bidi="en_US"/>
        </w:rPr>
        <w:t xml:space="preserve"> the Scriptures speak. </w:t>
      </w:r>
      <w:r>
        <w:rPr>
          <w:lang w:val="en_US" w:bidi="en_US"/>
        </w:rPr>
        <w:t>In those Scriptures</w:t>
      </w:r>
      <w:r>
        <w:rPr>
          <w:lang w:val="en_US" w:bidi="en_US"/>
        </w:rPr>
        <w:t xml:space="preserve"> </w:t>
      </w:r>
      <w:r>
        <w:rPr>
          <w:lang w:val="en_US" w:bidi="en_US"/>
        </w:rPr>
        <w:t>God says to the Messiah</w:t>
      </w:r>
      <w:r>
        <w:rPr>
          <w:lang w:val="en_US" w:bidi="en_US"/>
        </w:rPr>
        <w:t>:</w:t>
      </w:r>
    </w:p>
    <w:p>
      <w:pPr/>
      <w:r>
        <w:rPr>
          <w:lang w:val="en_US" w:bidi="en_US"/>
        </w:rPr>
      </w:r>
      <w:r>
        <w:rPr>
          <w:b/>
          <w:lang w:val="en_US" w:bidi="en_US"/>
        </w:rPr>
        <w:t>This is the one about whom it is written:</w:t>
      </w:r>
      <w:r>
        <w:rPr>
          <w:lang w:val="en_US" w:bidi="en_US"/>
        </w:rPr>
        <w:t xml:space="preserve"> This clause introduces something that the prophet Malachi wrote about in the Old Testament. In 7:27b Luke gave the meaning, but not the exact words, of Malachi 3:1. He implied that John the Baptizer was the man about whom Malachi wrote hundreds of years before. You may need to make this clear in your translation. For example:</w:t>
      </w:r>
    </w:p>
    <w:p>
      <w:pPr/>
      <w:r>
        <w:rPr>
          <w:lang w:val="en_US" w:bidi="en_US"/>
        </w:rPr>
      </w:r>
      <w:r>
        <w:rPr>
          <w:lang w:val="en_US" w:bidi="en_US"/>
        </w:rPr>
        <w:t>John</w:t>
      </w:r>
      <w:r>
        <w:rPr>
          <w:lang w:val="en_US" w:bidi="en_US"/>
        </w:rPr>
        <w:t xml:space="preserve"> is the one about whom </w:t>
      </w:r>
      <w:r>
        <w:rPr>
          <w:lang w:val="en_US" w:bidi="en_US"/>
        </w:rPr>
        <w:t>a prophet</w:t>
      </w:r>
      <w:r>
        <w:rPr>
          <w:lang w:val="en_US" w:bidi="en_US"/>
        </w:rPr>
        <w:t xml:space="preserve"> wrote </w:t>
      </w:r>
      <w:r>
        <w:rPr>
          <w:lang w:val="en_US" w:bidi="en_US"/>
        </w:rPr>
        <w:t>long ago</w:t>
      </w:r>
    </w:p>
    <w:p>
      <w:pPr/>
      <w:r>
        <w:rPr>
          <w:lang w:val="en_US" w:bidi="en_US"/>
        </w:rPr>
      </w:r>
      <w:r>
        <w:rPr>
          <w:lang w:val="en_US" w:bidi="en_US"/>
        </w:rPr>
        <w:t xml:space="preserve">The phrase </w:t>
      </w:r>
      <w:r>
        <w:rPr>
          <w:i/>
          <w:lang w:val="en_US" w:bidi="en_US"/>
        </w:rPr>
        <w:t>it is written</w:t>
      </w:r>
      <w:r>
        <w:rPr>
          <w:lang w:val="en_US" w:bidi="en_US"/>
        </w:rPr>
        <w:t xml:space="preserve"> often introduces a quotation from the Hebrew Scriptures, which are now called the Old Testament. In many languages the translation of this phrase mentions the Scriptures explicitly. Consider how to adapt your translation of that phrase for this context. For example:</w:t>
      </w:r>
    </w:p>
    <w:p>
      <w:pPr/>
      <w:r>
        <w:rPr>
          <w:lang w:val="en_US" w:bidi="en_US"/>
        </w:rPr>
      </w:r>
      <w:r>
        <w:rPr>
          <w:lang w:val="en_US" w:bidi="en_US"/>
        </w:rPr>
        <w:t>John</w:t>
      </w:r>
      <w:r>
        <w:rPr>
          <w:lang w:val="en_US" w:bidi="en_US"/>
        </w:rPr>
        <w:t xml:space="preserve"> is the one about whom it is written </w:t>
      </w:r>
      <w:r>
        <w:rPr>
          <w:lang w:val="en_US" w:bidi="en_US"/>
        </w:rPr>
        <w:t>in the Scriptures</w:t>
      </w:r>
    </w:p>
    <w:p>
      <w:pPr/>
      <w:r>
        <w:rPr>
          <w:lang w:val="en_US" w:bidi="en_US"/>
        </w:rPr>
      </w:r>
      <w:r>
        <w:rPr>
          <w:lang w:val="en_US" w:bidi="en_US"/>
        </w:rPr>
        <w:t>This is the one concerning whom the Scriptures say</w:t>
      </w:r>
    </w:p>
    <w:p>
      <w:pPr/>
      <w:r>
        <w:rPr>
          <w:lang w:val="en_US" w:bidi="en_US"/>
        </w:rPr>
      </w:r>
      <w:r>
        <w:rPr>
          <w:lang w:val="en_US" w:bidi="en_US"/>
        </w:rPr>
        <w:t>In some languages it may be helpful to introduce the words more explicitly. For example:</w:t>
      </w:r>
    </w:p>
    <w:p>
      <w:pPr/>
      <w:r>
        <w:rPr>
          <w:lang w:val="en_US" w:bidi="en_US"/>
        </w:rPr>
      </w:r>
      <w:r>
        <w:rPr>
          <w:lang w:val="en_US" w:bidi="en_US"/>
        </w:rPr>
        <w:t>John</w:t>
      </w:r>
      <w:r>
        <w:rPr>
          <w:lang w:val="en_US" w:bidi="en_US"/>
        </w:rPr>
        <w:t xml:space="preserve"> is the </w:t>
      </w:r>
      <w:r>
        <w:rPr>
          <w:lang w:val="en_US" w:bidi="en_US"/>
        </w:rPr>
        <w:t>messenger</w:t>
      </w:r>
      <w:r>
        <w:rPr>
          <w:lang w:val="en_US" w:bidi="en_US"/>
        </w:rPr>
        <w:t xml:space="preserve"> that </w:t>
      </w:r>
      <w:r>
        <w:rPr>
          <w:lang w:val="en_US" w:bidi="en_US"/>
        </w:rPr>
        <w:t>God speaks</w:t>
      </w:r>
      <w:r>
        <w:rPr>
          <w:lang w:val="en_US" w:bidi="en_US"/>
        </w:rPr>
        <w:t xml:space="preserve"> about in his Word/Scriptures</w:t>
      </w:r>
    </w:p>
    <w:p>
      <w:pPr>
        <w:pStyle w:val="Heading5"/>
      </w:pPr>
      <w:r>
        <w:rPr>
          <w:lang w:val="en_US" w:bidi="en_US"/>
        </w:rPr>
        <w:t>7:27b</w:t>
      </w:r>
    </w:p>
    <w:p>
      <w:pPr/>
      <w:r>
        <w:rPr>
          <w:lang w:val="en_US" w:bidi="en_US"/>
        </w:rPr>
      </w:r>
      <w:r>
        <w:rPr>
          <w:b/>
          <w:lang w:val="en_US" w:bidi="en_US"/>
        </w:rPr>
        <w:t>‘Behold, I will send My messenger ahead of You,</w:t>
      </w:r>
    </w:p>
    <w:p>
      <w:pPr>
        <w:pStyle w:val="ListBullet"/>
        <w:spacing w:line="240" w:lineRule="auto"/>
        <w:ind w:left="720"/>
      </w:pPr>
      <w:r>
        <w:rPr>
          <w:lang w:val="en_US" w:bidi="en_US"/>
        </w:rPr>
      </w:r>
      <w:r>
        <w:rPr>
          <w:lang w:val="en_US" w:bidi="en_US"/>
        </w:rPr>
        <w:t>‘</w:t>
      </w:r>
      <w:r>
        <w:rPr>
          <w:lang w:val="en_US" w:bidi="en_US"/>
        </w:rPr>
        <w:t>Listen!</w:t>
      </w:r>
      <w:r>
        <w:rPr>
          <w:lang w:val="en_US" w:bidi="en_US"/>
        </w:rPr>
        <w:t xml:space="preserve"> I am going to send my messenger before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w:t>
      </w:r>
      <w:r>
        <w:rPr>
          <w:lang w:val="en_US" w:bidi="en_US"/>
        </w:rPr>
        <w:t>I have something to tell you.</w:t>
      </w:r>
      <w:r>
        <w:rPr>
          <w:vertAlign w:val="superscript"/>
          <w:lang w:val="en_US" w:bidi="en_US"/>
        </w:rPr>
        <w:t>(sing)</w:t>
      </w:r>
      <w:r>
        <w:rPr>
          <w:lang w:val="en_US" w:bidi="en_US"/>
        </w:rPr>
        <w:t xml:space="preserve"> I will send someone ahead of you</w:t>
      </w:r>
      <w:r>
        <w:rPr>
          <w:vertAlign w:val="superscript"/>
          <w:lang w:val="en_US" w:bidi="en_US"/>
        </w:rPr>
        <w:t>(sing)</w:t>
      </w:r>
      <w:r>
        <w:rPr>
          <w:lang w:val="en_US" w:bidi="en_US"/>
        </w:rPr>
        <w:t xml:space="preserve"> to announce my message</w:t>
      </w:r>
    </w:p>
    <w:p>
      <w:pPr>
        <w:pStyle w:val="Heading5"/>
      </w:pPr>
      <w:r>
        <w:rPr>
          <w:lang w:val="en_US" w:bidi="en_US"/>
        </w:rPr>
        <w:t>7:27c</w:t>
      </w:r>
    </w:p>
    <w:p>
      <w:pPr/>
      <w:r>
        <w:rPr>
          <w:lang w:val="en_US" w:bidi="en_US"/>
        </w:rPr>
      </w:r>
      <w:r>
        <w:rPr>
          <w:b/>
          <w:lang w:val="en_US" w:bidi="en_US"/>
        </w:rPr>
        <w:t>who will prepare Your way before You.’</w:t>
      </w:r>
    </w:p>
    <w:p>
      <w:pPr>
        <w:pStyle w:val="ListBullet"/>
        <w:spacing w:line="240" w:lineRule="auto"/>
        <w:ind w:left="720"/>
      </w:pPr>
      <w:r>
        <w:rPr>
          <w:lang w:val="en_US" w:bidi="en_US"/>
        </w:rPr>
      </w:r>
      <w:r>
        <w:rPr>
          <w:lang w:val="en_US" w:bidi="en_US"/>
        </w:rPr>
        <w:t xml:space="preserve">who will prepare </w:t>
      </w:r>
      <w:r>
        <w:rPr>
          <w:lang w:val="en_US" w:bidi="en_US"/>
        </w:rPr>
        <w:t>people</w:t>
      </w:r>
      <w:r>
        <w:rPr>
          <w:lang w:val="en_US" w:bidi="en_US"/>
        </w:rPr>
        <w:t xml:space="preserve"> for your</w:t>
      </w:r>
      <w:r>
        <w:rPr>
          <w:vertAlign w:val="superscript"/>
          <w:lang w:val="en_US" w:bidi="en_US"/>
        </w:rPr>
        <w:t>(sing)</w:t>
      </w:r>
      <w:r>
        <w:rPr>
          <w:lang w:val="en_US" w:bidi="en_US"/>
        </w:rPr>
        <w:t xml:space="preserve"> coming/arrival.’</w:t>
      </w:r>
    </w:p>
    <w:p>
      <w:pPr>
        <w:pStyle w:val="ListBullet"/>
        <w:spacing w:line="240" w:lineRule="auto"/>
        <w:ind w:left="720"/>
      </w:pPr>
      <w:r>
        <w:rPr>
          <w:lang w:val="en_US" w:bidi="en_US"/>
        </w:rPr>
      </w:r>
      <w:r>
        <w:rPr>
          <w:lang w:val="en_US" w:bidi="en_US"/>
        </w:rPr>
        <w:t xml:space="preserve">that </w:t>
      </w:r>
      <w:r>
        <w:rPr>
          <w:lang w:val="en_US" w:bidi="en_US"/>
        </w:rPr>
        <w:t>people</w:t>
      </w:r>
      <w:r>
        <w:rPr>
          <w:lang w:val="en_US" w:bidi="en_US"/>
        </w:rPr>
        <w:t xml:space="preserve"> must prepare themselves for you</w:t>
      </w:r>
      <w:r>
        <w:rPr>
          <w:vertAlign w:val="superscript"/>
          <w:lang w:val="en_US" w:bidi="en_US"/>
        </w:rPr>
        <w:t>(sing)</w:t>
      </w:r>
      <w:r>
        <w:rPr>
          <w:lang w:val="en_US" w:bidi="en_US"/>
        </w:rPr>
        <w:t xml:space="preserve"> to come. </w:t>
      </w:r>
      <w:r>
        <w:rPr>
          <w:lang w:val="en_US" w:bidi="en_US"/>
        </w:rPr>
        <w:t>My messenger will be like a person who prepares a road for a king’s coming.</w:t>
      </w:r>
      <w:r>
        <w:rPr>
          <w:lang w:val="en_US" w:bidi="en_US"/>
        </w:rPr>
        <w:t>'"</w:t>
      </w:r>
    </w:p>
    <w:p>
      <w:pPr>
        <w:pStyle w:val="Heading5"/>
      </w:pPr>
      <w:r>
        <w:rPr>
          <w:lang w:val="en_US" w:bidi="en_US"/>
        </w:rPr>
        <w:t>7:27b–c</w:t>
      </w:r>
    </w:p>
    <w:p>
      <w:pPr/>
      <w:r>
        <w:rPr>
          <w:lang w:val="en_US" w:bidi="en_US"/>
        </w:rPr>
      </w:r>
      <w:r>
        <w:rPr>
          <w:b/>
          <w:lang w:val="en_US" w:bidi="en_US"/>
        </w:rPr>
        <w:t>Behold:</w:t>
      </w:r>
      <w:r>
        <w:rPr>
          <w:lang w:val="en_US" w:bidi="en_US"/>
        </w:rPr>
        <w:t xml:space="preserve"> In the Greek text, this quotation begins with the word that the BSB translates as </w:t>
      </w:r>
      <w:r>
        <w:rPr>
          <w:i/>
          <w:lang w:val="en_US" w:bidi="en_US"/>
        </w:rPr>
        <w:t>Behold</w:t>
      </w:r>
      <w:r>
        <w:rPr>
          <w:lang w:val="en_US" w:bidi="en_US"/>
        </w:rPr>
        <w:t>. Some versions say “Look” (NET, NLT). Other versions (NIV, CEV, GNT, GW) do not explicitly translate this word. It calls the attention of the listeners to what God was about to say (“I will send my messenger ahead of you”). See the note on “Behold” at 1:31a, where the same word occurs.</w:t>
      </w:r>
    </w:p>
    <w:p>
      <w:pPr/>
      <w:r>
        <w:rPr>
          <w:lang w:val="en_US" w:bidi="en_US"/>
        </w:rPr>
      </w:r>
      <w:r>
        <w:rPr>
          <w:b/>
          <w:lang w:val="en_US" w:bidi="en_US"/>
        </w:rPr>
        <w:t>I will send My messenger ahead of You:</w:t>
      </w:r>
      <w:r>
        <w:rPr>
          <w:lang w:val="en_US" w:bidi="en_US"/>
        </w:rPr>
        <w:t xml:space="preserve"> In many cultures at that time, a king would choose a person to go as his </w:t>
      </w:r>
      <w:r>
        <w:rPr>
          <w:i/>
          <w:lang w:val="en_US" w:bidi="en_US"/>
        </w:rPr>
        <w:t>messenger</w:t>
      </w:r>
      <w:r>
        <w:rPr>
          <w:lang w:val="en_US" w:bidi="en_US"/>
        </w:rPr>
        <w:t xml:space="preserve"> to tell people that he was coming. The messenger would tell the people to prepare for his coming. In this context, the word </w:t>
      </w:r>
      <w:r>
        <w:rPr>
          <w:i/>
          <w:lang w:val="en_US" w:bidi="en_US"/>
        </w:rPr>
        <w:t>I</w:t>
      </w:r>
      <w:r>
        <w:rPr>
          <w:lang w:val="en_US" w:bidi="en_US"/>
        </w:rPr>
        <w:t xml:space="preserve"> refers to God, and the word </w:t>
      </w:r>
      <w:r>
        <w:rPr>
          <w:i/>
          <w:lang w:val="en_US" w:bidi="en_US"/>
        </w:rPr>
        <w:t>You</w:t>
      </w:r>
      <w:r>
        <w:rPr>
          <w:lang w:val="en_US" w:bidi="en_US"/>
        </w:rPr>
        <w:t xml:space="preserve"> refers to the Christ/Messiah. God indicated that he would send a messenger to tell people to prepare for the Christ/Messiah who was coming. Jesus implied that John was that messenger.</w:t>
      </w:r>
    </w:p>
    <w:p>
      <w:pPr/>
      <w:r>
        <w:rPr>
          <w:lang w:val="en_US" w:bidi="en_US"/>
        </w:rPr>
      </w:r>
      <w:r>
        <w:rPr>
          <w:b/>
          <w:lang w:val="en_US" w:bidi="en_US"/>
        </w:rPr>
        <w:t>send:</w:t>
      </w:r>
      <w:r>
        <w:rPr>
          <w:lang w:val="en_US" w:bidi="en_US"/>
        </w:rPr>
        <w:t xml:space="preserve"> The Greek word that the BSB translates as </w:t>
      </w:r>
      <w:r>
        <w:rPr>
          <w:i/>
          <w:lang w:val="en_US" w:bidi="en_US"/>
        </w:rPr>
        <w:t>send</w:t>
      </w:r>
      <w:r>
        <w:rPr>
          <w:lang w:val="en_US" w:bidi="en_US"/>
        </w:rPr>
        <w:t xml:space="preserve"> means to order someone to go somewhere for a particular purpose.</w:t>
      </w:r>
    </w:p>
    <w:p>
      <w:pPr/>
      <w:r>
        <w:rPr>
          <w:lang w:val="en_US" w:bidi="en_US"/>
        </w:rPr>
      </w:r>
      <w:r>
        <w:rPr>
          <w:b/>
          <w:lang w:val="en_US" w:bidi="en_US"/>
        </w:rPr>
        <w:t>ahead of You:</w:t>
      </w:r>
      <w:r>
        <w:rPr>
          <w:lang w:val="en_US" w:bidi="en_US"/>
        </w:rPr>
        <w:t xml:space="preserve"> The phrase that the BSB translates as </w:t>
      </w:r>
      <w:r>
        <w:rPr>
          <w:i/>
          <w:lang w:val="en_US" w:bidi="en_US"/>
        </w:rPr>
        <w:t>ahead of You</w:t>
      </w:r>
      <w:r>
        <w:rPr>
          <w:lang w:val="en_US" w:bidi="en_US"/>
        </w:rPr>
        <w:t xml:space="preserve"> is literally “before your face.” In this context the phrase may indicate either or both of the following options:</w:t>
      </w:r>
    </w:p>
    <w:p>
      <w:pPr>
        <w:pStyle w:val="ListNumber"/>
        <w:numPr>
          <w:ilvl w:val="0"/>
          <w:numId w:val="147"/>
        </w:numPr>
        <w:spacing w:line="240" w:lineRule="auto"/>
        <w:ind w:left="720"/>
      </w:pPr>
      <w:r>
        <w:rPr>
          <w:lang w:val="en_US" w:bidi="en_US"/>
        </w:rPr>
      </w:r>
      <w:r>
        <w:rPr>
          <w:lang w:val="en_US" w:bidi="en_US"/>
        </w:rPr>
        <w:t xml:space="preserve">I will send my messenger before </w:t>
      </w:r>
      <w:r>
        <w:rPr>
          <w:lang w:val="en_US" w:bidi="en_US"/>
        </w:rPr>
        <w:t>I send</w:t>
      </w:r>
      <w:r>
        <w:rPr>
          <w:lang w:val="en_US" w:bidi="en_US"/>
        </w:rPr>
        <w:t xml:space="preserve"> you;</w:t>
      </w:r>
    </w:p>
    <w:p>
      <w:pPr>
        <w:pStyle w:val="ListNumber"/>
        <w:spacing w:line="240" w:lineRule="auto"/>
        <w:ind w:left="720"/>
      </w:pPr>
      <w:r>
        <w:rPr>
          <w:lang w:val="en_US" w:bidi="en_US"/>
        </w:rPr>
      </w:r>
      <w:r>
        <w:rPr>
          <w:lang w:val="en_US" w:bidi="en_US"/>
        </w:rPr>
        <w:t>I will send my messenger to go in front of you.</w:t>
      </w:r>
    </w:p>
    <w:p>
      <w:pPr/>
      <w:r>
        <w:rPr>
          <w:lang w:val="en_US" w:bidi="en_US"/>
        </w:rPr>
      </w:r>
      <w:r>
        <w:rPr>
          <w:lang w:val="en_US" w:bidi="en_US"/>
        </w:rPr>
        <w:t>In some languages there may be a natural way to translate the clause so that both meanings are possible. If you must choose one of these meanings, choose option (a).</w:t>
      </w:r>
    </w:p>
    <w:p>
      <w:pPr/>
      <w:r>
        <w:rPr>
          <w:lang w:val="en_US" w:bidi="en_US"/>
        </w:rPr>
      </w:r>
      <w:r>
        <w:rPr>
          <w:b/>
          <w:lang w:val="en_US" w:bidi="en_US"/>
        </w:rPr>
        <w:t>who will prepare Your way before You:</w:t>
      </w:r>
      <w:r>
        <w:rPr>
          <w:lang w:val="en_US" w:bidi="en_US"/>
        </w:rPr>
        <w:t xml:space="preserve"> In this context the phrase </w:t>
      </w:r>
      <w:r>
        <w:rPr>
          <w:i/>
          <w:lang w:val="en_US" w:bidi="en_US"/>
        </w:rPr>
        <w:t>prepare Your way</w:t>
      </w:r>
      <w:r>
        <w:rPr>
          <w:lang w:val="en_US" w:bidi="en_US"/>
        </w:rPr>
        <w:t xml:space="preserve"> is a metaphor. It is based on the custom of preparing roads before a king came. People repaired the roads so that the king could travel easily on them. Here the metaphor indicates that God was sending someone to prepare </w:t>
      </w:r>
      <w:r>
        <w:rPr>
          <w:u w:val="single"/>
          <w:lang w:val="en_US" w:bidi="en_US"/>
        </w:rPr>
        <w:t>people</w:t>
      </w:r>
      <w:r>
        <w:rPr>
          <w:lang w:val="en_US" w:bidi="en_US"/>
        </w:rPr>
        <w:t xml:space="preserve"> for the Christ by telling them to repent of their sins. (This metaphor is also used in Isaiah 40:3–5, Matthew 11:10, Mark 1:2–3, and Luke 3:4–6.)</w:t>
      </w:r>
    </w:p>
    <w:p>
      <w:pPr/>
      <w:r>
        <w:rPr>
          <w:lang w:val="en_US" w:bidi="en_US"/>
        </w:rPr>
      </w:r>
      <w:r>
        <w:rPr>
          <w:lang w:val="en_US" w:bidi="en_US"/>
        </w:rPr>
        <w:t>In some languages people may not understand the meaning of the metaphor. They may wrongly think that it refers to repairing roads. If that is true in your language, consider one of these options:</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I will send my messenger ahead of you. He will prepare </w:t>
      </w:r>
      <w:r>
        <w:rPr>
          <w:lang w:val="en_US" w:bidi="en_US"/>
        </w:rPr>
        <w:t>people</w:t>
      </w:r>
      <w:r>
        <w:rPr>
          <w:lang w:val="en_US" w:bidi="en_US"/>
        </w:rPr>
        <w:t xml:space="preserve"> for your coming </w:t>
      </w:r>
      <w:r>
        <w:rPr>
          <w:lang w:val="en_US" w:bidi="en_US"/>
        </w:rPr>
        <w:t>like a person who prepares the roads before a king comes</w:t>
      </w:r>
      <w:r>
        <w:rPr>
          <w:lang w:val="en_US" w:bidi="en_US"/>
        </w:rPr>
        <w:t>.</w:t>
      </w:r>
      <w:r>
        <w:rPr>
          <w:lang w:val="en_US" w:bidi="en_US"/>
        </w:rPr>
        <w:t xml:space="preserve">I will send my messenger ahead of you. He will </w:t>
      </w:r>
      <w:r>
        <w:rPr>
          <w:lang w:val="en_US" w:bidi="en_US"/>
        </w:rPr>
        <w:t>call people to</w:t>
      </w:r>
      <w:r>
        <w:rPr>
          <w:lang w:val="en_US" w:bidi="en_US"/>
        </w:rPr>
        <w:t xml:space="preserve"> prepare </w:t>
      </w:r>
      <w:r>
        <w:rPr>
          <w:lang w:val="en_US" w:bidi="en_US"/>
        </w:rPr>
        <w:t>their hearts</w:t>
      </w:r>
      <w:r>
        <w:rPr>
          <w:lang w:val="en_US" w:bidi="en_US"/>
        </w:rPr>
        <w:t xml:space="preserve"> for your coming </w:t>
      </w:r>
      <w:r>
        <w:rPr>
          <w:lang w:val="en_US" w:bidi="en_US"/>
        </w:rPr>
        <w:t>like a person who calls people to prepare the roads for the coming of a king</w:t>
      </w:r>
      <w:r>
        <w:rPr>
          <w:lang w:val="en_US" w:bidi="en_US"/>
        </w:rPr>
        <w:t>.</w:t>
      </w:r>
    </w:p>
    <w:p>
      <w:pPr>
        <w:pStyle w:val="ListBullet"/>
        <w:spacing w:line="240" w:lineRule="auto"/>
        <w:ind w:left="720"/>
      </w:pPr>
      <w:r>
        <w:rPr>
          <w:lang w:val="en_US" w:bidi="en_US"/>
        </w:rPr>
      </w:r>
      <w:r>
        <w:rPr>
          <w:lang w:val="en_US" w:bidi="en_US"/>
        </w:rPr>
        <w:t>Translate the meaning of the metaphor. For example:</w:t>
      </w:r>
      <w:r>
        <w:rPr>
          <w:lang w:val="en_US" w:bidi="en_US"/>
        </w:rPr>
        <w:t xml:space="preserve">I will send my messenger ahead of you to tell people to prepare themselves for your coming </w:t>
      </w:r>
      <w:r>
        <w:rPr>
          <w:lang w:val="en_US" w:bidi="en_US"/>
        </w:rPr>
        <w:t>by turning from their sins</w:t>
      </w:r>
      <w:r>
        <w:rPr>
          <w:lang w:val="en_US" w:bidi="en_US"/>
        </w:rPr>
        <w:t>.</w:t>
      </w:r>
    </w:p>
    <w:p>
      <w:pPr/>
      <w:r>
        <w:rPr>
          <w:lang w:val="en_US" w:bidi="en_US"/>
        </w:rPr>
      </w:r>
      <w:r>
        <w:rPr>
          <w:lang w:val="en_US" w:bidi="en_US"/>
        </w:rPr>
        <w:t>See how you translated the similar phrase in 1:76.</w:t>
      </w:r>
    </w:p>
    <w:p>
      <w:pPr/>
      <w:r>
        <w:rPr>
          <w:lang w:val="en_US" w:bidi="en_US"/>
        </w:rPr>
      </w:r>
      <w:r>
        <w:rPr>
          <w:b/>
          <w:lang w:val="en_US" w:bidi="en_US"/>
        </w:rPr>
        <w:t>Your way:</w:t>
      </w:r>
      <w:r>
        <w:rPr>
          <w:lang w:val="en_US" w:bidi="en_US"/>
        </w:rPr>
        <w:t xml:space="preserve"> The word that the BSB translates as </w:t>
      </w:r>
      <w:r>
        <w:rPr>
          <w:i/>
          <w:lang w:val="en_US" w:bidi="en_US"/>
        </w:rPr>
        <w:t>way</w:t>
      </w:r>
      <w:r>
        <w:rPr>
          <w:lang w:val="en_US" w:bidi="en_US"/>
        </w:rPr>
        <w:t xml:space="preserve"> literally means “road,” “path,” or “highway.” Use a word that is appropriate for your area.</w:t>
      </w:r>
      <w:r>
        <w:rPr>
          <w:lang w:val="en_US" w:bidi="en_US"/>
        </w:rPr>
      </w:r>
      <w:r>
        <w:rPr>
          <w:lang w:val="en_US" w:bidi="en_US"/>
        </w:rPr>
      </w:r>
    </w:p>
    <w:p>
      <w:pPr/>
      <w:r>
        <w:rPr>
          <w:lang w:val="en_US" w:bidi="en_US"/>
        </w:rPr>
      </w:r>
    </w:p>
    <w:p>
      <w:pPr>
        <w:pStyle w:val="Heading2"/>
      </w:pPr>
      <w:r>
        <w:rPr>
          <w:lang w:val="en_US" w:bidi="en_US"/>
        </w:rPr>
        <w:t>Luke 7:28</w:t>
      </w:r>
      <w:r>
        <w:rPr>
          <w:lang w:val="en_US" w:bidi="en_US"/>
        </w:rPr>
      </w:r>
    </w:p>
    <w:p>
      <w:pPr>
        <w:pStyle w:val="Heading4"/>
      </w:pPr>
      <w:r>
        <w:rPr>
          <w:lang w:val="en_US" w:bidi="en_US"/>
        </w:rPr>
        <w:t>Section 7:18–35: John the Baptizer sent messengers to Jesus</w:t>
      </w:r>
    </w:p>
    <w:p>
      <w:pPr/>
      <w:r>
        <w:rPr>
          <w:lang w:val="en_US" w:bidi="en_US"/>
        </w:rPr>
      </w:r>
      <w:r>
        <w:rPr>
          <w:lang w:val="en_US" w:bidi="en_US"/>
        </w:rP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pPr/>
      <w:r>
        <w:rPr>
          <w:lang w:val="en_US" w:bidi="en_US"/>
        </w:rPr>
      </w:r>
      <w:r>
        <w:rPr>
          <w:lang w:val="en_US" w:bidi="en_US"/>
        </w:rP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responds to the messengers of John the Baptizer and speaks about John to the crowd</w:t>
      </w:r>
    </w:p>
    <w:p>
      <w:pPr/>
      <w:r>
        <w:rPr>
          <w:lang w:val="en_US" w:bidi="en_US"/>
        </w:rPr>
      </w:r>
      <w:r>
        <w:rPr>
          <w:lang w:val="en_US" w:bidi="en_US"/>
        </w:rPr>
        <w:t>Jesus speaks to the people about John the Baptizer</w:t>
      </w:r>
    </w:p>
    <w:p>
      <w:pPr/>
      <w:r>
        <w:rPr>
          <w:lang w:val="en_US" w:bidi="en_US"/>
        </w:rPr>
      </w:r>
      <w:r>
        <w:rPr>
          <w:lang w:val="en_US" w:bidi="en_US"/>
        </w:rPr>
        <w:t>Jesus teaches about John the Baptizer</w:t>
      </w:r>
    </w:p>
    <w:p>
      <w:pPr/>
      <w:r>
        <w:rPr>
          <w:lang w:val="en_US" w:bidi="en_US"/>
        </w:rPr>
      </w:r>
      <w:r>
        <w:rPr>
          <w:lang w:val="en_US" w:bidi="en_US"/>
        </w:rPr>
        <w:t>There is a parallel passage for this section in Matthew 11:3–19.</w:t>
      </w:r>
    </w:p>
    <w:p>
      <w:pPr>
        <w:pStyle w:val="Heading5"/>
      </w:pPr>
      <w:r>
        <w:rPr>
          <w:lang w:val="en_US" w:bidi="en_US"/>
        </w:rPr>
        <w:t>7:28a</w:t>
      </w:r>
    </w:p>
    <w:p>
      <w:pPr/>
      <w:r>
        <w:rPr>
          <w:lang w:val="en_US" w:bidi="en_US"/>
        </w:rPr>
      </w:r>
      <w:r>
        <w:rPr>
          <w:b/>
          <w:lang w:val="en_US" w:bidi="en_US"/>
        </w:rPr>
        <w:t>I tell you, among those born of women there is no one greater than John,</w:t>
      </w:r>
    </w:p>
    <w:p>
      <w:pPr>
        <w:pStyle w:val="ListBullet"/>
        <w:spacing w:line="240" w:lineRule="auto"/>
        <w:ind w:left="720"/>
      </w:pPr>
      <w:r>
        <w:rPr>
          <w:lang w:val="en_US" w:bidi="en_US"/>
        </w:rPr>
      </w:r>
      <w:r>
        <w:rPr>
          <w:lang w:val="en_US" w:bidi="en_US"/>
        </w:rPr>
        <w:t>I tell you</w:t>
      </w:r>
      <w:r>
        <w:rPr>
          <w:vertAlign w:val="superscript"/>
          <w:lang w:val="en_US" w:bidi="en_US"/>
        </w:rPr>
        <w:t>(plur)</w:t>
      </w:r>
      <w:r>
        <w:rPr>
          <w:lang w:val="en_US" w:bidi="en_US"/>
        </w:rPr>
        <w:t xml:space="preserve"> this: No greater man than John has ever been born.</w:t>
      </w:r>
    </w:p>
    <w:p>
      <w:pPr>
        <w:pStyle w:val="ListBullet"/>
        <w:spacing w:line="240" w:lineRule="auto"/>
        <w:ind w:left="720"/>
      </w:pPr>
      <w:r>
        <w:rPr>
          <w:lang w:val="en_US" w:bidi="en_US"/>
        </w:rPr>
      </w:r>
      <w:r>
        <w:rPr>
          <w:lang w:val="en_US" w:bidi="en_US"/>
        </w:rPr>
        <w:t>Jesus continued:</w:t>
      </w:r>
      <w:r>
        <w:rPr>
          <w:lang w:val="en_US" w:bidi="en_US"/>
        </w:rPr>
        <w:t xml:space="preserve"> “I assure you that no human being can be found who is greater than John;</w:t>
      </w:r>
    </w:p>
    <w:p>
      <w:pPr/>
      <w:r>
        <w:rPr>
          <w:lang w:val="en_US" w:bidi="en_US"/>
        </w:rPr>
      </w:r>
      <w:r>
        <w:rPr>
          <w:b/>
          <w:lang w:val="en_US" w:bidi="en_US"/>
        </w:rPr>
        <w:t>I tell you:</w:t>
      </w:r>
      <w:r>
        <w:rPr>
          <w:lang w:val="en_US" w:bidi="en_US"/>
        </w:rPr>
        <w:t xml:space="preserve"> Here Jesus again used the words </w:t>
      </w:r>
      <w:r>
        <w:rPr>
          <w:i/>
          <w:lang w:val="en_US" w:bidi="en_US"/>
        </w:rPr>
        <w:t>I tell you</w:t>
      </w:r>
      <w:r>
        <w:rPr>
          <w:lang w:val="en_US" w:bidi="en_US"/>
        </w:rPr>
        <w:t xml:space="preserve"> to show his listeners that he was about to tell them something important. See the note on 7:26c. In some languages you may need to make it clear that Jesus was no longer quoting the prophet Malachi. He was speaking his own words. For example:</w:t>
      </w:r>
    </w:p>
    <w:p>
      <w:pPr/>
      <w:r>
        <w:rPr>
          <w:lang w:val="en_US" w:bidi="en_US"/>
        </w:rPr>
      </w:r>
      <w:r>
        <w:rPr>
          <w:lang w:val="en_US" w:bidi="en_US"/>
        </w:rPr>
        <w:t>And now</w:t>
      </w:r>
      <w:r>
        <w:rPr>
          <w:lang w:val="en_US" w:bidi="en_US"/>
        </w:rPr>
        <w:t xml:space="preserve"> I </w:t>
      </w:r>
      <w:r>
        <w:rPr>
          <w:lang w:val="en_US" w:bidi="en_US"/>
        </w:rPr>
        <w:t>myself</w:t>
      </w:r>
      <w:r>
        <w:rPr>
          <w:lang w:val="en_US" w:bidi="en_US"/>
        </w:rPr>
        <w:t xml:space="preserve"> tell you</w:t>
      </w:r>
    </w:p>
    <w:p>
      <w:pPr/>
      <w:r>
        <w:rPr>
          <w:lang w:val="en_US" w:bidi="en_US"/>
        </w:rPr>
      </w:r>
      <w:r>
        <w:rPr>
          <w:b/>
          <w:lang w:val="en_US" w:bidi="en_US"/>
        </w:rPr>
        <w:t>among those born of women there is no one greater than John:</w:t>
      </w:r>
      <w:r>
        <w:rPr>
          <w:lang w:val="en_US" w:bidi="en_US"/>
        </w:rPr>
        <w:t xml:space="preserve"> </w:t>
      </w:r>
      <w:r>
        <w:rPr>
          <w:lang w:val="en_US" w:bidi="en_US"/>
        </w:rPr>
        <w:t>There is a textual issue here. The earliest Greek manuscripts and those with the most widespread support have “there is no one greater than John.” Some later manuscripts have “no greater prophet…than John.” Still others have “no greater prophet…than John the Baptist.” The KJV is the only major English version that follows the manuscripts that say “no greater prophet…than John the Baptist.” If the national language version in the area follows one of the latter two readings along with the KJV, you may want to mention this in a footnote in your translation. For example: Some Greek manuscripts have “no greater prophet than John the Baptist.”</w:t>
      </w:r>
      <w:r>
        <w:rPr>
          <w:lang w:val="en_US" w:bidi="en_US"/>
        </w:rPr>
        <w:t xml:space="preserve"> This statement means that John was greater than any other person. Other ways to translate this are:</w:t>
      </w:r>
    </w:p>
    <w:p>
      <w:pPr/>
      <w:r>
        <w:rPr>
          <w:lang w:val="en_US" w:bidi="en_US"/>
        </w:rPr>
      </w:r>
      <w:r>
        <w:rPr>
          <w:lang w:val="en_US" w:bidi="en_US"/>
        </w:rPr>
        <w:t xml:space="preserve">John </w:t>
      </w:r>
      <w:r>
        <w:rPr>
          <w:u w:val="single"/>
          <w:lang w:val="en_US" w:bidi="en_US"/>
        </w:rPr>
        <w:t>is greater than any</w:t>
      </w:r>
      <w:r>
        <w:rPr>
          <w:lang w:val="en_US" w:bidi="en_US"/>
        </w:rPr>
        <w:t xml:space="preserve"> other person ever born… (NCV)</w:t>
      </w:r>
    </w:p>
    <w:p>
      <w:pPr/>
      <w:r>
        <w:rPr>
          <w:lang w:val="en_US" w:bidi="en_US"/>
        </w:rPr>
      </w:r>
      <w:r>
        <w:rPr>
          <w:lang w:val="en_US" w:bidi="en_US"/>
        </w:rPr>
        <w:t xml:space="preserve">John </w:t>
      </w:r>
      <w:r>
        <w:rPr>
          <w:u w:val="single"/>
          <w:lang w:val="en_US" w:bidi="en_US"/>
        </w:rPr>
        <w:t>is the greatest</w:t>
      </w:r>
      <w:r>
        <w:rPr>
          <w:lang w:val="en_US" w:bidi="en_US"/>
        </w:rPr>
        <w:t xml:space="preserve"> man that a woman ever bore.</w:t>
      </w:r>
    </w:p>
    <w:p>
      <w:pPr/>
      <w:r>
        <w:rPr>
          <w:lang w:val="en_US" w:bidi="en_US"/>
        </w:rPr>
      </w:r>
      <w:r>
        <w:rPr>
          <w:lang w:val="en_US" w:bidi="en_US"/>
        </w:rPr>
        <w:t>In some languages it may be natural to translate this comparison in another way. For example:</w:t>
      </w:r>
    </w:p>
    <w:p>
      <w:pPr/>
      <w:r>
        <w:rPr>
          <w:lang w:val="en_US" w:bidi="en_US"/>
        </w:rPr>
      </w:r>
      <w:r>
        <w:rPr>
          <w:lang w:val="en_US" w:bidi="en_US"/>
        </w:rPr>
        <w:t>Some people are very great. John is even greater than any of them.</w:t>
      </w:r>
    </w:p>
    <w:p>
      <w:pPr/>
      <w:r>
        <w:rPr>
          <w:lang w:val="en_US" w:bidi="en_US"/>
        </w:rPr>
      </w:r>
      <w:r>
        <w:rPr>
          <w:b/>
          <w:lang w:val="en_US" w:bidi="en_US"/>
        </w:rPr>
        <w:t>those born of women:</w:t>
      </w:r>
      <w:r>
        <w:rPr>
          <w:lang w:val="en_US" w:bidi="en_US"/>
        </w:rPr>
        <w:t xml:space="preserve"> The phrase </w:t>
      </w:r>
      <w:r>
        <w:rPr>
          <w:i/>
          <w:lang w:val="en_US" w:bidi="en_US"/>
        </w:rPr>
        <w:t>those born of women</w:t>
      </w:r>
      <w:r>
        <w:rPr>
          <w:lang w:val="en_US" w:bidi="en_US"/>
        </w:rPr>
        <w:t xml:space="preserve"> is a figurative way to refer to everyone who has ever lived. It is another way to say “human beings.”</w:t>
      </w:r>
    </w:p>
    <w:p>
      <w:pPr/>
      <w:r>
        <w:rPr>
          <w:lang w:val="en_US" w:bidi="en_US"/>
        </w:rPr>
      </w:r>
      <w:r>
        <w:rPr>
          <w:b/>
          <w:lang w:val="en_US" w:bidi="en_US"/>
        </w:rPr>
        <w:t>greater than John:</w:t>
      </w:r>
      <w:r>
        <w:rPr>
          <w:lang w:val="en_US" w:bidi="en_US"/>
        </w:rPr>
        <w:t xml:space="preserve"> In this context no human being is greater than John in the sense that he was the one who was chosen to prepare people for the Messiah’s coming. No human being had a more important role than that. Other ways to translate this are:</w:t>
      </w:r>
    </w:p>
    <w:p>
      <w:pPr/>
      <w:r>
        <w:rPr>
          <w:lang w:val="en_US" w:bidi="en_US"/>
        </w:rPr>
      </w:r>
      <w:r>
        <w:rPr>
          <w:lang w:val="en_US" w:bidi="en_US"/>
        </w:rPr>
        <w:t>more important than John</w:t>
      </w:r>
    </w:p>
    <w:p>
      <w:pPr/>
      <w:r>
        <w:rPr>
          <w:lang w:val="en_US" w:bidi="en_US"/>
        </w:rPr>
      </w:r>
      <w:r>
        <w:rPr>
          <w:lang w:val="en_US" w:bidi="en_US"/>
        </w:rPr>
        <w:t>who has a greater position/privilege than John</w:t>
      </w:r>
    </w:p>
    <w:p>
      <w:pPr>
        <w:pStyle w:val="Heading5"/>
      </w:pPr>
      <w:r>
        <w:rPr>
          <w:lang w:val="en_US" w:bidi="en_US"/>
        </w:rPr>
        <w:t>7:28b</w:t>
      </w:r>
    </w:p>
    <w:p>
      <w:pPr/>
      <w:r>
        <w:rPr>
          <w:lang w:val="en_US" w:bidi="en_US"/>
        </w:rPr>
      </w:r>
      <w:r>
        <w:rPr>
          <w:b/>
          <w:lang w:val="en_US" w:bidi="en_US"/>
        </w:rPr>
        <w:t>yet even the least in the kingdom of God is greater than he.”</w:t>
      </w:r>
    </w:p>
    <w:p>
      <w:pPr>
        <w:pStyle w:val="ListBullet"/>
        <w:spacing w:line="240" w:lineRule="auto"/>
        <w:ind w:left="720"/>
      </w:pPr>
      <w:r>
        <w:rPr>
          <w:lang w:val="en_US" w:bidi="en_US"/>
        </w:rPr>
      </w:r>
      <w:r>
        <w:rPr>
          <w:lang w:val="en_US" w:bidi="en_US"/>
        </w:rPr>
        <w:t>Even so, the least important person in God’s kingdom is greater than John.”</w:t>
      </w:r>
    </w:p>
    <w:p>
      <w:pPr>
        <w:pStyle w:val="ListBullet"/>
        <w:spacing w:line="240" w:lineRule="auto"/>
        <w:ind w:left="720"/>
      </w:pPr>
      <w:r>
        <w:rPr>
          <w:lang w:val="en_US" w:bidi="en_US"/>
        </w:rPr>
      </w:r>
      <w:r>
        <w:rPr>
          <w:lang w:val="en_US" w:bidi="en_US"/>
        </w:rPr>
        <w:t>nevertheless, the person who has the lowest position among those who are part of God’s chieftaincy is greater than he is.”</w:t>
      </w:r>
    </w:p>
    <w:p>
      <w:pPr/>
      <w:r>
        <w:rPr>
          <w:lang w:val="en_US" w:bidi="en_US"/>
        </w:rPr>
      </w:r>
      <w:r>
        <w:rPr>
          <w:b/>
          <w:lang w:val="en_US" w:bidi="en_US"/>
        </w:rPr>
        <w:t>yet:</w:t>
      </w:r>
      <w:r>
        <w:rPr>
          <w:lang w:val="en_US" w:bidi="en_US"/>
        </w:rPr>
        <w:t xml:space="preserve"> The Greek word that the BSB translates as </w:t>
      </w:r>
      <w:r>
        <w:rPr>
          <w:i/>
          <w:lang w:val="en_US" w:bidi="en_US"/>
        </w:rPr>
        <w:t>yet</w:t>
      </w:r>
      <w:r>
        <w:rPr>
          <w:lang w:val="en_US" w:bidi="en_US"/>
        </w:rPr>
        <w:t xml:space="preserve"> introduces a paradox, a second truth that seems to conflict with the first truth. Another way to translate this is:</w:t>
      </w:r>
    </w:p>
    <w:p>
      <w:pPr/>
      <w:r>
        <w:rPr>
          <w:lang w:val="en_US" w:bidi="en_US"/>
        </w:rPr>
      </w:r>
      <w:r>
        <w:rPr>
          <w:lang w:val="en_US" w:bidi="en_US"/>
        </w:rPr>
        <w:t>but (GNT)</w:t>
      </w:r>
    </w:p>
    <w:p>
      <w:pPr/>
      <w:r>
        <w:rPr>
          <w:lang w:val="en_US" w:bidi="en_US"/>
        </w:rPr>
      </w:r>
      <w:r>
        <w:rPr>
          <w:b/>
          <w:lang w:val="en_US" w:bidi="en_US"/>
        </w:rPr>
        <w:t>even the least in the kingdom of God is greater than he:</w:t>
      </w:r>
      <w:r>
        <w:rPr>
          <w:lang w:val="en_US" w:bidi="en_US"/>
        </w:rPr>
        <w:t xml:space="preserve"> This statement compares John to the person who is the least important in the kingdom of God. It indicates that even a person who has very low status in the kingdom of God has higher status than John. This implies the fact that Jesus was establishing the kingdom (rule) of God in a new way. This new way that God was ruling and caring for his people was greater than the old way. He gave new power and privileges to the people who were submitting to his rule.</w:t>
      </w:r>
    </w:p>
    <w:p>
      <w:pPr/>
      <w:r>
        <w:rPr>
          <w:lang w:val="en_US" w:bidi="en_US"/>
        </w:rPr>
      </w:r>
      <w:r>
        <w:rPr>
          <w:lang w:val="en_US" w:bidi="en_US"/>
        </w:rPr>
        <w:t xml:space="preserve">Here are some ways to translate </w:t>
      </w:r>
      <w:r>
        <w:rPr>
          <w:i/>
          <w:lang w:val="en_US" w:bidi="en_US"/>
        </w:rPr>
        <w:t>even the least in the kingdom of God is greater than he</w:t>
      </w:r>
      <w:r>
        <w:rPr>
          <w:lang w:val="en_US" w:bidi="en_US"/>
        </w:rPr>
        <w:t>:</w:t>
      </w:r>
    </w:p>
    <w:p>
      <w:pPr/>
      <w:r>
        <w:rPr>
          <w:lang w:val="en_US" w:bidi="en_US"/>
        </w:rPr>
      </w:r>
      <w:r>
        <w:rPr>
          <w:lang w:val="en_US" w:bidi="en_US"/>
        </w:rPr>
        <w:t>…any person in the kingdom of God, even the person with the least privileges, is greater than John.</w:t>
      </w:r>
    </w:p>
    <w:p>
      <w:pPr/>
      <w:r>
        <w:rPr>
          <w:lang w:val="en_US" w:bidi="en_US"/>
        </w:rPr>
      </w:r>
      <w:r>
        <w:rPr>
          <w:lang w:val="en_US" w:bidi="en_US"/>
        </w:rPr>
        <w:t>…the least important person in the kingdom of God is greater than John. (GW)</w:t>
      </w:r>
    </w:p>
    <w:p>
      <w:pPr/>
      <w:r>
        <w:rPr>
          <w:lang w:val="en_US" w:bidi="en_US"/>
        </w:rPr>
      </w:r>
      <w:r>
        <w:rPr>
          <w:lang w:val="en_US" w:bidi="en_US"/>
        </w:rPr>
        <w:t>…even the most insignificant person in the Kingdom of God is greater than he is! (NLT96)</w:t>
      </w:r>
    </w:p>
    <w:p>
      <w:pPr/>
      <w:r>
        <w:rPr>
          <w:lang w:val="en_US" w:bidi="en_US"/>
        </w:rPr>
      </w:r>
      <w:r>
        <w:rPr>
          <w:b/>
          <w:lang w:val="en_US" w:bidi="en_US"/>
        </w:rPr>
        <w:t>even the least in the kingdom of God:</w:t>
      </w:r>
      <w:r>
        <w:rPr>
          <w:lang w:val="en_US" w:bidi="en_US"/>
        </w:rPr>
        <w:t xml:space="preserve"> The phrase </w:t>
      </w:r>
      <w:r>
        <w:rPr>
          <w:i/>
          <w:lang w:val="en_US" w:bidi="en_US"/>
        </w:rPr>
        <w:t>even the least in the kingdom of God</w:t>
      </w:r>
      <w:r>
        <w:rPr>
          <w:lang w:val="en_US" w:bidi="en_US"/>
        </w:rPr>
        <w:t xml:space="preserve"> refers to the person who has the lowest status or position in the kingdom of God.</w:t>
      </w:r>
      <w:r>
        <w:rPr>
          <w:lang w:val="en_US" w:bidi="en_US"/>
        </w:rPr>
      </w:r>
      <w:r>
        <w:rPr>
          <w:lang w:val="en_US" w:bidi="en_US"/>
        </w:rPr>
      </w:r>
    </w:p>
    <w:p>
      <w:pPr/>
      <w:r>
        <w:rPr>
          <w:lang w:val="en_US" w:bidi="en_US"/>
        </w:rPr>
      </w:r>
    </w:p>
    <w:p>
      <w:pPr>
        <w:pStyle w:val="Heading2"/>
      </w:pPr>
      <w:r>
        <w:rPr>
          <w:lang w:val="en_US" w:bidi="en_US"/>
        </w:rPr>
        <w:t>Luke 7:29</w:t>
      </w:r>
      <w:r>
        <w:rPr>
          <w:lang w:val="en_US" w:bidi="en_US"/>
        </w:rPr>
      </w:r>
    </w:p>
    <w:p>
      <w:pPr>
        <w:pStyle w:val="Heading4"/>
      </w:pPr>
      <w:r>
        <w:rPr>
          <w:lang w:val="en_US" w:bidi="en_US"/>
        </w:rPr>
        <w:t>Section 7:18–35: John the Baptizer sent messengers to Jesus</w:t>
      </w:r>
    </w:p>
    <w:p>
      <w:pPr/>
      <w:r>
        <w:rPr>
          <w:lang w:val="en_US" w:bidi="en_US"/>
        </w:rPr>
      </w:r>
      <w:r>
        <w:rPr>
          <w:lang w:val="en_US" w:bidi="en_US"/>
        </w:rP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pPr/>
      <w:r>
        <w:rPr>
          <w:lang w:val="en_US" w:bidi="en_US"/>
        </w:rPr>
      </w:r>
      <w:r>
        <w:rPr>
          <w:lang w:val="en_US" w:bidi="en_US"/>
        </w:rP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responds to the messengers of John the Baptizer and speaks about John to the crowd</w:t>
      </w:r>
    </w:p>
    <w:p>
      <w:pPr/>
      <w:r>
        <w:rPr>
          <w:lang w:val="en_US" w:bidi="en_US"/>
        </w:rPr>
      </w:r>
      <w:r>
        <w:rPr>
          <w:lang w:val="en_US" w:bidi="en_US"/>
        </w:rPr>
        <w:t>Jesus speaks to the people about John the Baptizer</w:t>
      </w:r>
    </w:p>
    <w:p>
      <w:pPr/>
      <w:r>
        <w:rPr>
          <w:lang w:val="en_US" w:bidi="en_US"/>
        </w:rPr>
      </w:r>
      <w:r>
        <w:rPr>
          <w:lang w:val="en_US" w:bidi="en_US"/>
        </w:rPr>
        <w:t>Jesus teaches about John the Baptizer</w:t>
      </w:r>
    </w:p>
    <w:p>
      <w:pPr/>
      <w:r>
        <w:rPr>
          <w:lang w:val="en_US" w:bidi="en_US"/>
        </w:rPr>
      </w:r>
      <w:r>
        <w:rPr>
          <w:lang w:val="en_US" w:bidi="en_US"/>
        </w:rPr>
        <w:t>There is a parallel passage for this section in Matthew 11:3–19.</w:t>
      </w:r>
    </w:p>
    <w:p>
      <w:pPr>
        <w:pStyle w:val="Heading5"/>
      </w:pPr>
      <w:r>
        <w:rPr>
          <w:lang w:val="en_US" w:bidi="en_US"/>
        </w:rPr>
        <w:t>7:29–30</w:t>
      </w:r>
    </w:p>
    <w:p>
      <w:pPr/>
      <w:r>
        <w:rPr>
          <w:lang w:val="en_US" w:bidi="en_US"/>
        </w:rPr>
      </w:r>
      <w:r>
        <w:rPr>
          <w:lang w:val="en_US" w:bidi="en_US"/>
        </w:rPr>
        <w:t>There are two views about who was speaking in these verses:</w:t>
      </w:r>
    </w:p>
    <w:p>
      <w:pPr>
        <w:pStyle w:val="ListNumber"/>
        <w:numPr>
          <w:ilvl w:val="0"/>
          <w:numId w:val="148"/>
        </w:numPr>
        <w:spacing w:line="240" w:lineRule="auto"/>
        <w:ind w:left="720"/>
      </w:pPr>
      <w:r>
        <w:rPr>
          <w:lang w:val="en_US" w:bidi="en_US"/>
        </w:rPr>
      </w:r>
      <w:r>
        <w:rPr>
          <w:lang w:val="en_US" w:bidi="en_US"/>
        </w:rPr>
        <w:t xml:space="preserve">Jesus continued to speak. </w:t>
      </w:r>
      <w:r>
        <w:rPr>
          <w:i/>
          <w:lang w:val="en_US" w:bidi="en_US"/>
        </w:rPr>
        <w:t>(GW, UBS)</w:t>
      </w:r>
    </w:p>
    <w:p>
      <w:pPr>
        <w:pStyle w:val="ListNumber"/>
        <w:spacing w:line="240" w:lineRule="auto"/>
        <w:ind w:left="720"/>
      </w:pPr>
      <w:r>
        <w:rPr>
          <w:lang w:val="en_US" w:bidi="en_US"/>
        </w:rPr>
      </w:r>
      <w:r>
        <w:rPr>
          <w:lang w:val="en_US" w:bidi="en_US"/>
        </w:rPr>
        <w:t xml:space="preserve">Luke inserted his own comments here. </w:t>
      </w:r>
      <w:r>
        <w:rPr>
          <w:i/>
          <w:lang w:val="en_US" w:bidi="en_US"/>
        </w:rPr>
        <w:t>(BSB, RSV, NIV, GNT, NJB, NASB, REB, NET, NLT, NCV, CEV)</w:t>
      </w:r>
    </w:p>
    <w:p>
      <w:pPr/>
      <w:r>
        <w:rPr>
          <w:lang w:val="en_US" w:bidi="en_US"/>
        </w:rPr>
      </w:r>
      <w:r>
        <w:rPr>
          <w:lang w:val="en_US" w:bidi="en_US"/>
        </w:rPr>
        <w:t>It is recommended that you follow interpretation (1),</w:t>
      </w:r>
      <w:r>
        <w:rPr>
          <w:lang w:val="en_US" w:bidi="en_US"/>
        </w:rPr>
        <w:t xml:space="preserve">This is a difficult issue, and scholarly opinion is divided. The position that these verses continue Jesus’ discourse is supported by commentators such as Arndt, Lenski, Hendriksen, Plummer, and the </w:t>
      </w:r>
      <w:r>
        <w:rPr>
          <w:i/>
          <w:lang w:val="en_US" w:bidi="en_US"/>
        </w:rPr>
        <w:t>UBS Translator’s Handbook on Luke</w:t>
      </w:r>
      <w:r>
        <w:rPr>
          <w:lang w:val="en_US" w:bidi="en_US"/>
        </w:rPr>
        <w:t>. Commentators that see these verses as a parenthetical comment given by Luke include Alford, Bock, Fitzmyer, Marshall, and Nolland. While English versions generally side with this being Luke’s narration, other language versions (French versions in particular) favor this being part of Jesus’ discourse. The main argument in favor of this being Luke’s narration is the assertion that style and language choice best accords with narration. For example, Bock suggests that second person forms would be more natural than the third person forms (tax collectors, all the people, Pharisees, etc.) if Jesus were speaking. Arguments for the position that these verses continue the words of Jesus (the position taken in the Notes) include the following: (a) If Luke’s narration were breaking into the middle of Jesus’ discourse here, we would expect that to be signaled in some way. (b) The conjunctions (</w:t>
      </w:r>
      <w:r>
        <w:rPr>
          <w:i/>
          <w:lang w:val="en_US" w:bidi="en_US"/>
        </w:rPr>
        <w:t>και</w:t>
      </w:r>
      <w:r>
        <w:rPr>
          <w:lang w:val="en_US" w:bidi="en_US"/>
        </w:rPr>
        <w:t xml:space="preserve"> at the beginning of 7:29 and, in particular, </w:t>
      </w:r>
      <w:r>
        <w:rPr>
          <w:i/>
          <w:lang w:val="en_US" w:bidi="en_US"/>
        </w:rPr>
        <w:t>ουν</w:t>
      </w:r>
      <w:r>
        <w:rPr>
          <w:lang w:val="en_US" w:bidi="en_US"/>
        </w:rPr>
        <w:t xml:space="preserve"> at the beginning of 7:31) fit much better with this being part of Jesus’ discourse. The words “to what will I compare/liken this generation” also fit better if Jesus has just commented on the Jewish leadership that had rejected God’s purpose. (c) This view is internally coherent. Set in the context of John’s preaching and baptism, the majority of the people acknowledged that God’s way was right and just, as demonstrated by the fact that they accepted John’s baptism. The Jewish leaders contrast with this group in parallel fashion. They rejected God’s plan/purpose for them in that they refused John’s baptism. (d) The content of these verses corresponds closely in thought to Jesus’ words in Matthew 21:31–32.</w:t>
      </w:r>
      <w:r>
        <w:rPr>
          <w:lang w:val="en_US" w:bidi="en_US"/>
        </w:rPr>
        <w:t xml:space="preserve"> as the GW and the UBS Translator’s Handbook do. Although other English versions follow interpretation (2), French versions and many commentaries follow interpretation (1). This interpretation fits the context and the similar passage in Matthew 21:29.</w:t>
      </w:r>
    </w:p>
    <w:p>
      <w:pPr/>
      <w:r>
        <w:rPr>
          <w:lang w:val="en_US" w:bidi="en_US"/>
        </w:rPr>
      </w:r>
      <w:r>
        <w:rPr>
          <w:lang w:val="en_US" w:bidi="en_US"/>
        </w:rPr>
        <w:t>The Notes and Display for these verses are based on the GW.</w:t>
      </w:r>
    </w:p>
    <w:p>
      <w:pPr>
        <w:pStyle w:val="Heading5"/>
      </w:pPr>
      <w:r>
        <w:rPr>
          <w:lang w:val="en_US" w:bidi="en_US"/>
        </w:rPr>
        <w:t>7:29a</w:t>
      </w:r>
    </w:p>
    <w:p>
      <w:pPr/>
      <w:r>
        <w:rPr>
          <w:lang w:val="en_US" w:bidi="en_US"/>
        </w:rPr>
      </w:r>
      <w:r>
        <w:rPr>
          <w:b/>
          <w:lang w:val="en_US" w:bidi="en_US"/>
        </w:rPr>
        <w:t>All the people who heard this, even the tax collectors,</w:t>
      </w:r>
    </w:p>
    <w:p>
      <w:pPr>
        <w:pStyle w:val="ListBullet"/>
        <w:spacing w:line="240" w:lineRule="auto"/>
        <w:ind w:left="720"/>
      </w:pPr>
      <w:r>
        <w:rPr>
          <w:lang w:val="en_US" w:bidi="en_US"/>
        </w:rPr>
      </w:r>
      <w:r>
        <w:rPr>
          <w:lang w:val="en_US" w:bidi="en_US"/>
        </w:rPr>
        <w:t xml:space="preserve">¶ “All the </w:t>
      </w:r>
      <w:r>
        <w:rPr>
          <w:lang w:val="en_US" w:bidi="en_US"/>
        </w:rPr>
        <w:t>ordinary</w:t>
      </w:r>
      <w:r>
        <w:rPr>
          <w:lang w:val="en_US" w:bidi="en_US"/>
        </w:rPr>
        <w:t xml:space="preserve"> people listened to John. Even the tax collectors listened to him.</w:t>
      </w:r>
    </w:p>
    <w:p>
      <w:pPr>
        <w:pStyle w:val="ListBullet"/>
        <w:spacing w:line="240" w:lineRule="auto"/>
        <w:ind w:left="720"/>
      </w:pPr>
      <w:r>
        <w:rPr>
          <w:lang w:val="en_US" w:bidi="en_US"/>
        </w:rPr>
      </w:r>
      <w:r>
        <w:rPr>
          <w:lang w:val="en_US" w:bidi="en_US"/>
        </w:rPr>
        <w:t xml:space="preserve">¶ “The majority of the people, including even the people who collected taxes for the </w:t>
      </w:r>
      <w:r>
        <w:rPr>
          <w:lang w:val="en_US" w:bidi="en_US"/>
        </w:rPr>
        <w:t>Roman</w:t>
      </w:r>
      <w:r>
        <w:rPr>
          <w:lang w:val="en_US" w:bidi="en_US"/>
        </w:rPr>
        <w:t xml:space="preserve"> government, listened to John’s </w:t>
      </w:r>
      <w:r>
        <w:rPr>
          <w:lang w:val="en_US" w:bidi="en_US"/>
        </w:rPr>
        <w:t>preaching</w:t>
      </w:r>
      <w:r>
        <w:rPr>
          <w:lang w:val="en_US" w:bidi="en_US"/>
        </w:rPr>
        <w:t>.</w:t>
      </w:r>
    </w:p>
    <w:p>
      <w:pPr/>
      <w:r>
        <w:rPr>
          <w:lang w:val="en_US" w:bidi="en_US"/>
        </w:rPr>
      </w:r>
      <w:r>
        <w:rPr>
          <w:b/>
          <w:lang w:val="en_US" w:bidi="en_US"/>
        </w:rPr>
        <w:t>(GW) All the people:</w:t>
      </w:r>
      <w:r>
        <w:rPr>
          <w:lang w:val="en_US" w:bidi="en_US"/>
        </w:rPr>
        <w:t xml:space="preserve"> </w:t>
      </w:r>
      <w:r>
        <w:rPr>
          <w:i/>
          <w:lang w:val="en_US" w:bidi="en_US"/>
        </w:rPr>
        <w:t>(GW) All the people</w:t>
      </w:r>
      <w:r>
        <w:rPr>
          <w:lang w:val="en_US" w:bidi="en_US"/>
        </w:rPr>
        <w:t xml:space="preserve"> here refers to the majority of the ordinary people, who had accepted John’s preaching. Jesus used the word </w:t>
      </w:r>
      <w:r>
        <w:rPr>
          <w:i/>
          <w:lang w:val="en_US" w:bidi="en_US"/>
        </w:rPr>
        <w:t>All</w:t>
      </w:r>
      <w:r>
        <w:rPr>
          <w:lang w:val="en_US" w:bidi="en_US"/>
        </w:rPr>
        <w:t xml:space="preserve"> to emphasize that most of the common people agreed with him, but the majority of the Jewish leaders did not.</w:t>
      </w:r>
    </w:p>
    <w:p>
      <w:pPr/>
      <w:r>
        <w:rPr>
          <w:lang w:val="en_US" w:bidi="en_US"/>
        </w:rPr>
      </w:r>
      <w:r>
        <w:rPr>
          <w:b/>
          <w:lang w:val="en_US" w:bidi="en_US"/>
        </w:rPr>
        <w:t>(GW) including tax collectors:</w:t>
      </w:r>
      <w:r>
        <w:rPr>
          <w:lang w:val="en_US" w:bidi="en_US"/>
        </w:rPr>
        <w:t xml:space="preserve"> The phrase </w:t>
      </w:r>
      <w:r>
        <w:rPr>
          <w:i/>
          <w:lang w:val="en_US" w:bidi="en_US"/>
        </w:rPr>
        <w:t>including tax collectors</w:t>
      </w:r>
      <w:r>
        <w:rPr>
          <w:lang w:val="en_US" w:bidi="en_US"/>
        </w:rPr>
        <w:t xml:space="preserve"> indicates that tax collectors were part of “all the people.” Jesus mentioned them specifically in order to emphasize them. In English, this kind of emphasis can be indicated by the words “even” or “especially.” For example:</w:t>
      </w:r>
    </w:p>
    <w:p>
      <w:pPr/>
      <w:r>
        <w:rPr>
          <w:lang w:val="en_US" w:bidi="en_US"/>
        </w:rPr>
      </w:r>
      <w:r>
        <w:rPr>
          <w:lang w:val="en_US" w:bidi="en_US"/>
        </w:rPr>
        <w:t>even the tax collectors (NIV)</w:t>
      </w:r>
    </w:p>
    <w:p>
      <w:pPr/>
      <w:r>
        <w:rPr>
          <w:lang w:val="en_US" w:bidi="en_US"/>
        </w:rPr>
      </w:r>
      <w:r>
        <w:rPr>
          <w:lang w:val="en_US" w:bidi="en_US"/>
        </w:rPr>
        <w:t>and especially the tax collectors (GNT)</w:t>
      </w:r>
    </w:p>
    <w:p>
      <w:pPr/>
      <w:r>
        <w:rPr>
          <w:lang w:val="en_US" w:bidi="en_US"/>
        </w:rPr>
      </w:r>
      <w:r>
        <w:rPr>
          <w:b/>
          <w:lang w:val="en_US" w:bidi="en_US"/>
        </w:rPr>
        <w:t>(GW) tax collectors:</w:t>
      </w:r>
      <w:r>
        <w:rPr>
          <w:lang w:val="en_US" w:bidi="en_US"/>
        </w:rPr>
        <w:t xml:space="preserve"> The phrase </w:t>
      </w:r>
      <w:r>
        <w:rPr>
          <w:i/>
          <w:lang w:val="en_US" w:bidi="en_US"/>
        </w:rPr>
        <w:t>tax collectors</w:t>
      </w:r>
      <w:r>
        <w:rPr>
          <w:lang w:val="en_US" w:bidi="en_US"/>
        </w:rPr>
        <w:t xml:space="preserve"> refers to people who received taxes from their own people to give to the government that ruled them. If you do not have a word in your language for </w:t>
      </w:r>
      <w:r>
        <w:rPr>
          <w:i/>
          <w:lang w:val="en_US" w:bidi="en_US"/>
        </w:rPr>
        <w:t>tax collectors</w:t>
      </w:r>
      <w:r>
        <w:rPr>
          <w:lang w:val="en_US" w:bidi="en_US"/>
        </w:rPr>
        <w:t>, you may need to use a descriptive phrase. For example:</w:t>
      </w:r>
    </w:p>
    <w:p>
      <w:pPr/>
      <w:r>
        <w:rPr>
          <w:lang w:val="en_US" w:bidi="en_US"/>
        </w:rPr>
      </w:r>
      <w:r>
        <w:rPr>
          <w:lang w:val="en_US" w:bidi="en_US"/>
        </w:rPr>
        <w:t>people who collected taxes for the government</w:t>
      </w:r>
    </w:p>
    <w:p>
      <w:pPr/>
      <w:r>
        <w:rPr>
          <w:lang w:val="en_US" w:bidi="en_US"/>
        </w:rPr>
      </w:r>
      <w:r>
        <w:rPr>
          <w:lang w:val="en_US" w:bidi="en_US"/>
        </w:rPr>
        <w:t>people who took money from people to pay something to a conqueror</w:t>
      </w:r>
    </w:p>
    <w:p>
      <w:pPr/>
      <w:r>
        <w:rPr>
          <w:lang w:val="en_US" w:bidi="en_US"/>
        </w:rPr>
      </w:r>
      <w:r>
        <w:rPr>
          <w:lang w:val="en_US" w:bidi="en_US"/>
        </w:rPr>
        <w:t>gatherers of something paid to a conqueror</w:t>
      </w:r>
    </w:p>
    <w:p>
      <w:pPr/>
      <w:r>
        <w:rPr>
          <w:lang w:val="en_US" w:bidi="en_US"/>
        </w:rPr>
      </w:r>
      <w:r>
        <w:rPr>
          <w:lang w:val="en_US" w:bidi="en_US"/>
        </w:rPr>
        <w:t>You may want to include a footnote to explain the meaning of this word. You may also want to explain it in a glossary. For example:</w:t>
      </w:r>
    </w:p>
    <w:p>
      <w:pPr/>
      <w:r>
        <w:rPr>
          <w:lang w:val="en_US" w:bidi="en_US"/>
        </w:rPr>
      </w:r>
      <w:r>
        <w:rPr>
          <w:lang w:val="en_US" w:bidi="en_US"/>
        </w:rPr>
        <w:t>The people despised the tax collectors because they worked for a government that they hated. Tax collectors were also despised because they often cheated the people by overcharging them.</w:t>
      </w:r>
    </w:p>
    <w:p>
      <w:pPr/>
      <w:r>
        <w:rPr>
          <w:lang w:val="en_US" w:bidi="en_US"/>
        </w:rPr>
      </w:r>
      <w:r>
        <w:rPr>
          <w:lang w:val="en_US" w:bidi="en_US"/>
        </w:rPr>
        <w:t>See the notes at 5:27b and 3:12a.</w:t>
      </w:r>
    </w:p>
    <w:p>
      <w:pPr/>
      <w:r>
        <w:rPr>
          <w:lang w:val="en_US" w:bidi="en_US"/>
        </w:rPr>
      </w:r>
      <w:r>
        <w:rPr>
          <w:b/>
          <w:lang w:val="en_US" w:bidi="en_US"/>
        </w:rPr>
        <w:t>(GW) heard John:</w:t>
      </w:r>
      <w:r>
        <w:rPr>
          <w:lang w:val="en_US" w:bidi="en_US"/>
        </w:rPr>
        <w:t xml:space="preserve"> The Greek word that the GW translates as </w:t>
      </w:r>
      <w:r>
        <w:rPr>
          <w:i/>
          <w:lang w:val="en_US" w:bidi="en_US"/>
        </w:rPr>
        <w:t>heard John</w:t>
      </w:r>
      <w:r>
        <w:rPr>
          <w:lang w:val="en_US" w:bidi="en_US"/>
        </w:rPr>
        <w:t xml:space="preserve"> is literally “hearing.” What the people heard is not identified.</w:t>
      </w:r>
      <w:r>
        <w:rPr>
          <w:lang w:val="en_US" w:bidi="en_US"/>
        </w:rPr>
        <w:t>Some English versions interpret this to mean that the people heard what Jesus had just said about John (BSB, RSV, NIV, NASB, REB, NET, NLT, NCV). However, other language versions often interpret this as referring to what John had said in his preaching to people. French versions, in particular, make John the object.</w:t>
      </w:r>
      <w:r>
        <w:rPr>
          <w:lang w:val="en_US" w:bidi="en_US"/>
        </w:rPr>
        <w:t xml:space="preserve"> The Notes take the view that they heard what John had preached to the people. He told them to repent from their sins and be baptized. In some languages you may need to translate this with a phrase such as:</w:t>
      </w:r>
    </w:p>
    <w:p>
      <w:pPr/>
      <w:r>
        <w:rPr>
          <w:lang w:val="en_US" w:bidi="en_US"/>
        </w:rPr>
      </w:r>
      <w:r>
        <w:rPr>
          <w:lang w:val="en_US" w:bidi="en_US"/>
        </w:rPr>
        <w:t>what John said/preached</w:t>
      </w:r>
    </w:p>
    <w:p>
      <w:pPr>
        <w:pStyle w:val="Heading5"/>
      </w:pPr>
      <w:r>
        <w:rPr>
          <w:lang w:val="en_US" w:bidi="en_US"/>
        </w:rPr>
        <w:t>7:29b</w:t>
      </w:r>
    </w:p>
    <w:p>
      <w:pPr/>
      <w:r>
        <w:rPr>
          <w:lang w:val="en_US" w:bidi="en_US"/>
        </w:rPr>
      </w:r>
      <w:r>
        <w:rPr>
          <w:b/>
          <w:lang w:val="en_US" w:bidi="en_US"/>
        </w:rPr>
        <w:t>acknowledged God’s justice.</w:t>
      </w:r>
    </w:p>
    <w:p>
      <w:pPr>
        <w:pStyle w:val="ListBullet"/>
        <w:spacing w:line="240" w:lineRule="auto"/>
        <w:ind w:left="720"/>
      </w:pPr>
      <w:r>
        <w:rPr>
          <w:lang w:val="en_US" w:bidi="en_US"/>
        </w:rPr>
      </w:r>
      <w:r>
        <w:rPr>
          <w:lang w:val="en_US" w:bidi="en_US"/>
        </w:rPr>
        <w:t>They agreed that God was just</w:t>
      </w:r>
    </w:p>
    <w:p>
      <w:pPr>
        <w:pStyle w:val="ListBullet"/>
        <w:spacing w:line="240" w:lineRule="auto"/>
        <w:ind w:left="720"/>
      </w:pPr>
      <w:r>
        <w:rPr>
          <w:lang w:val="en_US" w:bidi="en_US"/>
        </w:rPr>
      </w:r>
      <w:r>
        <w:rPr>
          <w:lang w:val="en_US" w:bidi="en_US"/>
        </w:rPr>
        <w:t xml:space="preserve">They confessed that God was right </w:t>
      </w:r>
      <w:r>
        <w:rPr>
          <w:lang w:val="en_US" w:bidi="en_US"/>
        </w:rPr>
        <w:t>that they needed to repent</w:t>
      </w:r>
      <w:r>
        <w:rPr>
          <w:lang w:val="en_US" w:bidi="en_US"/>
        </w:rPr>
        <w:t>,</w:t>
      </w:r>
    </w:p>
    <w:p>
      <w:pPr/>
      <w:r>
        <w:rPr>
          <w:lang w:val="en_US" w:bidi="en_US"/>
        </w:rPr>
      </w:r>
      <w:r>
        <w:rPr>
          <w:b/>
          <w:lang w:val="en_US" w:bidi="en_US"/>
        </w:rPr>
        <w:t>(GW) They admitted that God was right:</w:t>
      </w:r>
      <w:r>
        <w:rPr>
          <w:lang w:val="en_US" w:bidi="en_US"/>
        </w:rPr>
        <w:t xml:space="preserve"> The Greek clause that the GW translates as </w:t>
      </w:r>
      <w:r>
        <w:rPr>
          <w:i/>
          <w:lang w:val="en_US" w:bidi="en_US"/>
        </w:rPr>
        <w:t>They admitted that God was right</w:t>
      </w:r>
      <w:r>
        <w:rPr>
          <w:lang w:val="en_US" w:bidi="en_US"/>
        </w:rPr>
        <w:t xml:space="preserve"> is more literally “they justified God.” It indicates that the people said that God was just and that what he said and did was right. In this context it implies that God was right to say that the people were sinners. He was also right to say that they needed to repent and prepare themselves for the Christ/Messiah. God said these things by sending John as his messenger to say them to the people.</w:t>
      </w:r>
    </w:p>
    <w:p>
      <w:pPr/>
      <w:r>
        <w:rPr>
          <w:lang w:val="en_US" w:bidi="en_US"/>
        </w:rPr>
      </w:r>
      <w:r>
        <w:rPr>
          <w:lang w:val="en_US" w:bidi="en_US"/>
        </w:rPr>
        <w:t>In some languages it may be more natural to use direct speech here. For example:</w:t>
      </w:r>
    </w:p>
    <w:p>
      <w:pPr/>
      <w:r>
        <w:rPr>
          <w:lang w:val="en_US" w:bidi="en_US"/>
        </w:rPr>
      </w:r>
      <w:r>
        <w:rPr>
          <w:lang w:val="en_US" w:bidi="en_US"/>
        </w:rPr>
        <w:t>All the people…said, “God is right/just.”</w:t>
      </w:r>
    </w:p>
    <w:p>
      <w:pPr>
        <w:pStyle w:val="Heading5"/>
      </w:pPr>
      <w:r>
        <w:rPr>
          <w:lang w:val="en_US" w:bidi="en_US"/>
        </w:rPr>
        <w:t>7:29c</w:t>
      </w:r>
    </w:p>
    <w:p>
      <w:pPr/>
      <w:r>
        <w:rPr>
          <w:lang w:val="en_US" w:bidi="en_US"/>
        </w:rPr>
      </w:r>
      <w:r>
        <w:rPr>
          <w:b/>
          <w:lang w:val="en_US" w:bidi="en_US"/>
        </w:rPr>
        <w:t>For they had received the baptism of John.</w:t>
      </w:r>
    </w:p>
    <w:p>
      <w:pPr>
        <w:pStyle w:val="ListBullet"/>
        <w:spacing w:line="240" w:lineRule="auto"/>
        <w:ind w:left="720"/>
      </w:pPr>
      <w:r>
        <w:rPr>
          <w:lang w:val="en_US" w:bidi="en_US"/>
        </w:rPr>
      </w:r>
      <w:r>
        <w:rPr>
          <w:lang w:val="en_US" w:bidi="en_US"/>
        </w:rPr>
        <w:t>by being baptized by John.</w:t>
      </w:r>
    </w:p>
    <w:p>
      <w:pPr>
        <w:pStyle w:val="ListBullet"/>
        <w:spacing w:line="240" w:lineRule="auto"/>
        <w:ind w:left="720"/>
      </w:pPr>
      <w:r>
        <w:rPr>
          <w:lang w:val="en_US" w:bidi="en_US"/>
        </w:rPr>
      </w:r>
      <w:r>
        <w:rPr>
          <w:lang w:val="en_US" w:bidi="en_US"/>
        </w:rPr>
        <w:t xml:space="preserve">and they </w:t>
      </w:r>
      <w:r>
        <w:rPr>
          <w:lang w:val="en_US" w:bidi="en_US"/>
        </w:rPr>
        <w:t>showed this</w:t>
      </w:r>
      <w:r>
        <w:rPr>
          <w:lang w:val="en_US" w:bidi="en_US"/>
        </w:rPr>
        <w:t xml:space="preserve"> by asking John to baptize them.</w:t>
      </w:r>
    </w:p>
    <w:p>
      <w:pPr/>
      <w:r>
        <w:rPr>
          <w:lang w:val="en_US" w:bidi="en_US"/>
        </w:rPr>
      </w:r>
      <w:r>
        <w:rPr>
          <w:b/>
          <w:lang w:val="en_US" w:bidi="en_US"/>
        </w:rPr>
        <w:t>(GW) by letting John baptize them:</w:t>
      </w:r>
      <w:r>
        <w:rPr>
          <w:lang w:val="en_US" w:bidi="en_US"/>
        </w:rPr>
        <w:t xml:space="preserve"> The Greek phrase that the GW translates as </w:t>
      </w:r>
      <w:r>
        <w:rPr>
          <w:i/>
          <w:lang w:val="en_US" w:bidi="en_US"/>
        </w:rPr>
        <w:t>by letting John baptize them</w:t>
      </w:r>
      <w:r>
        <w:rPr>
          <w:lang w:val="en_US" w:bidi="en_US"/>
        </w:rPr>
        <w:t xml:space="preserve"> is literally “having been baptized</w:t>
      </w:r>
      <w:r>
        <w:rPr>
          <w:lang w:val="en_US" w:bidi="en_US"/>
        </w:rPr>
        <w:t>The verb form is an aorist passive participle.</w:t>
      </w:r>
      <w:r>
        <w:rPr>
          <w:lang w:val="en_US" w:bidi="en_US"/>
        </w:rPr>
        <w:t xml:space="preserve"> (with) the baptism of John.” Languages have different ways to express the connection between this phrase and the fact that the people admitted that God’s way was right:</w:t>
      </w:r>
    </w:p>
    <w:p>
      <w:pPr>
        <w:pStyle w:val="Heading6"/>
      </w:pPr>
      <w:r>
        <w:rPr>
          <w:b/>
          <w:lang w:val="en_US" w:bidi="en_US"/>
        </w:rPr>
        <w:t>General Comment on 7:29a–c</w:t>
      </w:r>
    </w:p>
    <w:p>
      <w:pPr>
        <w:pStyle w:val="ListBullet"/>
        <w:spacing w:line="240" w:lineRule="auto"/>
        <w:ind w:left="720"/>
      </w:pPr>
      <w:r>
        <w:rPr>
          <w:lang w:val="en_US" w:bidi="en_US"/>
        </w:rPr>
      </w:r>
      <w:r>
        <w:rPr>
          <w:lang w:val="en_US" w:bidi="en_US"/>
        </w:rPr>
        <w:t>Express it as an additional thing that the people did, that is, they admitted God was right and they let John baptize them. For example:</w:t>
      </w:r>
      <w:r>
        <w:rPr>
          <w:lang w:val="en_US" w:bidi="en_US"/>
        </w:rPr>
        <w:t>The people admitted that God was right and they let John baptize them.</w:t>
      </w:r>
      <w:r>
        <w:rPr>
          <w:lang w:val="en_US" w:bidi="en_US"/>
        </w:rPr>
        <w:t>The people declared that God was just when they were baptized by John.</w:t>
      </w:r>
    </w:p>
    <w:p>
      <w:pPr>
        <w:pStyle w:val="ListBullet"/>
        <w:spacing w:line="240" w:lineRule="auto"/>
        <w:ind w:left="720"/>
      </w:pPr>
      <w:r>
        <w:rPr>
          <w:lang w:val="en_US" w:bidi="en_US"/>
        </w:rPr>
      </w:r>
      <w:r>
        <w:rPr>
          <w:lang w:val="en_US" w:bidi="en_US"/>
        </w:rPr>
        <w:t>Express it as the means by which the people showed that they agreed that God was just. For example:</w:t>
      </w:r>
      <w:r>
        <w:rPr>
          <w:lang w:val="en_US" w:bidi="en_US"/>
        </w:rPr>
        <w:t>The people agreed that God was just by accepting baptism from John.</w:t>
      </w:r>
    </w:p>
    <w:p>
      <w:pPr>
        <w:pStyle w:val="ListBullet"/>
        <w:spacing w:line="240" w:lineRule="auto"/>
        <w:ind w:left="720"/>
      </w:pPr>
      <w:r>
        <w:rPr>
          <w:lang w:val="en_US" w:bidi="en_US"/>
        </w:rPr>
      </w:r>
      <w:r>
        <w:rPr>
          <w:lang w:val="en_US" w:bidi="en_US"/>
        </w:rPr>
        <w:t>Express it as the result of agreeing that God was just. For example:</w:t>
      </w:r>
      <w:r>
        <w:rPr>
          <w:lang w:val="en_US" w:bidi="en_US"/>
        </w:rPr>
        <w:t>The people agreed that God was just, so they were baptized by John.</w:t>
      </w:r>
    </w:p>
    <w:p>
      <w:pPr>
        <w:pStyle w:val="ListBullet"/>
        <w:spacing w:line="240" w:lineRule="auto"/>
        <w:ind w:left="720"/>
      </w:pPr>
      <w:r>
        <w:rPr>
          <w:lang w:val="en_US" w:bidi="en_US"/>
        </w:rPr>
      </w:r>
      <w:r>
        <w:rPr>
          <w:lang w:val="en_US" w:bidi="en_US"/>
        </w:rPr>
        <w:t>Express this connection in a natural way in your language.</w:t>
      </w:r>
    </w:p>
    <w:p>
      <w:pPr/>
      <w:r>
        <w:rPr>
          <w:lang w:val="en_US" w:bidi="en_US"/>
        </w:rPr>
      </w:r>
      <w:r>
        <w:rPr>
          <w:lang w:val="en_US" w:bidi="en_US"/>
        </w:rPr>
        <w:t>In some languages it may be necessary to include some implied information to make clear the meaning of 7:29a–c. For example:</w:t>
      </w:r>
    </w:p>
    <w:p>
      <w:pPr/>
      <w:r>
        <w:rPr>
          <w:lang w:val="en_US" w:bidi="en_US"/>
        </w:rPr>
      </w:r>
      <w:r>
        <w:rPr>
          <w:lang w:val="en_US" w:bidi="en_US"/>
        </w:rPr>
        <w:t xml:space="preserve">When the people, even the tax collectors, listened to what John said, they confessed that God was right </w:t>
      </w:r>
      <w:r>
        <w:rPr>
          <w:lang w:val="en_US" w:bidi="en_US"/>
        </w:rPr>
        <w:t>to say that they needed to repent</w:t>
      </w:r>
      <w:r>
        <w:rPr>
          <w:lang w:val="en_US" w:bidi="en_US"/>
        </w:rPr>
        <w:t>, and so they were baptized by John.</w:t>
      </w:r>
      <w:r>
        <w:rPr>
          <w:lang w:val="en_US" w:bidi="en_US"/>
        </w:rPr>
      </w:r>
      <w:r>
        <w:rPr>
          <w:lang w:val="en_US" w:bidi="en_US"/>
        </w:rPr>
      </w:r>
    </w:p>
    <w:p>
      <w:pPr/>
      <w:r>
        <w:rPr>
          <w:lang w:val="en_US" w:bidi="en_US"/>
        </w:rPr>
      </w:r>
    </w:p>
    <w:p>
      <w:pPr>
        <w:pStyle w:val="Heading2"/>
      </w:pPr>
      <w:r>
        <w:rPr>
          <w:lang w:val="en_US" w:bidi="en_US"/>
        </w:rPr>
        <w:t>Luke 7:30</w:t>
      </w:r>
      <w:r>
        <w:rPr>
          <w:lang w:val="en_US" w:bidi="en_US"/>
        </w:rPr>
      </w:r>
    </w:p>
    <w:p>
      <w:pPr>
        <w:pStyle w:val="Heading4"/>
      </w:pPr>
      <w:r>
        <w:rPr>
          <w:lang w:val="en_US" w:bidi="en_US"/>
        </w:rPr>
        <w:t>Section 7:18–35: John the Baptizer sent messengers to Jesus</w:t>
      </w:r>
    </w:p>
    <w:p>
      <w:pPr/>
      <w:r>
        <w:rPr>
          <w:lang w:val="en_US" w:bidi="en_US"/>
        </w:rPr>
      </w:r>
      <w:r>
        <w:rPr>
          <w:lang w:val="en_US" w:bidi="en_US"/>
        </w:rP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pPr/>
      <w:r>
        <w:rPr>
          <w:lang w:val="en_US" w:bidi="en_US"/>
        </w:rPr>
      </w:r>
      <w:r>
        <w:rPr>
          <w:lang w:val="en_US" w:bidi="en_US"/>
        </w:rP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responds to the messengers of John the Baptizer and speaks about John to the crowd</w:t>
      </w:r>
    </w:p>
    <w:p>
      <w:pPr/>
      <w:r>
        <w:rPr>
          <w:lang w:val="en_US" w:bidi="en_US"/>
        </w:rPr>
      </w:r>
      <w:r>
        <w:rPr>
          <w:lang w:val="en_US" w:bidi="en_US"/>
        </w:rPr>
        <w:t>Jesus speaks to the people about John the Baptizer</w:t>
      </w:r>
    </w:p>
    <w:p>
      <w:pPr/>
      <w:r>
        <w:rPr>
          <w:lang w:val="en_US" w:bidi="en_US"/>
        </w:rPr>
      </w:r>
      <w:r>
        <w:rPr>
          <w:lang w:val="en_US" w:bidi="en_US"/>
        </w:rPr>
        <w:t>Jesus teaches about John the Baptizer</w:t>
      </w:r>
    </w:p>
    <w:p>
      <w:pPr/>
      <w:r>
        <w:rPr>
          <w:lang w:val="en_US" w:bidi="en_US"/>
        </w:rPr>
      </w:r>
      <w:r>
        <w:rPr>
          <w:lang w:val="en_US" w:bidi="en_US"/>
        </w:rPr>
        <w:t>There is a parallel passage for this section in Matthew 11:3–19.</w:t>
      </w:r>
    </w:p>
    <w:p>
      <w:pPr>
        <w:pStyle w:val="Heading5"/>
      </w:pPr>
      <w:r>
        <w:rPr>
          <w:lang w:val="en_US" w:bidi="en_US"/>
        </w:rPr>
        <w:t>7:30</w:t>
      </w:r>
    </w:p>
    <w:p>
      <w:pPr/>
      <w:r>
        <w:rPr>
          <w:lang w:val="en_US" w:bidi="en_US"/>
        </w:rPr>
      </w:r>
      <w:r>
        <w:rPr>
          <w:lang w:val="en_US" w:bidi="en_US"/>
        </w:rPr>
        <w:t>This verse expresses a contrast with 7:29. In contrast to the ordinary people and tax collectors, who accepted John’s baptism, the Pharisees and experts in the law rejected God’s plan. God planned that they would repent and be ready to receive the Christ/Messiah and be part of his kingdom. But they refused to repent and let John baptize them. Express the contrast in a natural way in your language.</w:t>
      </w:r>
    </w:p>
    <w:p>
      <w:pPr>
        <w:pStyle w:val="Heading5"/>
      </w:pPr>
      <w:r>
        <w:rPr>
          <w:lang w:val="en_US" w:bidi="en_US"/>
        </w:rPr>
        <w:t>7:30a</w:t>
      </w:r>
    </w:p>
    <w:p>
      <w:pPr/>
      <w:r>
        <w:rPr>
          <w:lang w:val="en_US" w:bidi="en_US"/>
        </w:rPr>
      </w:r>
      <w:r>
        <w:rPr>
          <w:b/>
          <w:lang w:val="en_US" w:bidi="en_US"/>
        </w:rPr>
        <w:t>But the Pharisees and experts in the law</w:t>
      </w:r>
    </w:p>
    <w:p>
      <w:pPr>
        <w:pStyle w:val="ListBullet"/>
        <w:spacing w:line="240" w:lineRule="auto"/>
        <w:ind w:left="720"/>
      </w:pPr>
      <w:r>
        <w:rPr>
          <w:lang w:val="en_US" w:bidi="en_US"/>
        </w:rPr>
      </w:r>
      <w:r>
        <w:rPr>
          <w:lang w:val="en_US" w:bidi="en_US"/>
        </w:rPr>
        <w:t>However, the Pharisees and the teachers of the law</w:t>
      </w:r>
    </w:p>
    <w:p>
      <w:pPr>
        <w:pStyle w:val="ListBullet"/>
        <w:spacing w:line="240" w:lineRule="auto"/>
        <w:ind w:left="720"/>
      </w:pPr>
      <w:r>
        <w:rPr>
          <w:lang w:val="en_US" w:bidi="en_US"/>
        </w:rPr>
      </w:r>
      <w:r>
        <w:rPr>
          <w:lang w:val="en_US" w:bidi="en_US"/>
        </w:rPr>
        <w:t>But the experts in the law and the Pharisees</w:t>
      </w:r>
    </w:p>
    <w:p>
      <w:pPr>
        <w:pStyle w:val="Heading5"/>
      </w:pPr>
      <w:r>
        <w:rPr>
          <w:lang w:val="en_US" w:bidi="en_US"/>
        </w:rPr>
        <w:t>7:30b</w:t>
      </w:r>
    </w:p>
    <w:p>
      <w:pPr/>
      <w:r>
        <w:rPr>
          <w:lang w:val="en_US" w:bidi="en_US"/>
        </w:rPr>
      </w:r>
      <w:r>
        <w:rPr>
          <w:b/>
          <w:lang w:val="en_US" w:bidi="en_US"/>
        </w:rPr>
        <w:t>rejected God’s purpose for themselves,</w:t>
      </w:r>
    </w:p>
    <w:p>
      <w:pPr>
        <w:pStyle w:val="ListBullet"/>
        <w:spacing w:line="240" w:lineRule="auto"/>
        <w:ind w:left="720"/>
      </w:pPr>
      <w:r>
        <w:rPr>
          <w:lang w:val="en_US" w:bidi="en_US"/>
        </w:rPr>
      </w:r>
      <w:r>
        <w:rPr>
          <w:lang w:val="en_US" w:bidi="en_US"/>
        </w:rPr>
        <w:t>refused to accept the purpose that God had for them</w:t>
      </w:r>
    </w:p>
    <w:p>
      <w:pPr>
        <w:pStyle w:val="ListBullet"/>
        <w:spacing w:line="240" w:lineRule="auto"/>
        <w:ind w:left="720"/>
      </w:pPr>
      <w:r>
        <w:rPr>
          <w:lang w:val="en_US" w:bidi="en_US"/>
        </w:rPr>
      </w:r>
      <w:r>
        <w:rPr>
          <w:lang w:val="en_US" w:bidi="en_US"/>
        </w:rPr>
        <w:t>refused what God intended/planned for them.</w:t>
      </w:r>
    </w:p>
    <w:p>
      <w:pPr>
        <w:pStyle w:val="Heading5"/>
      </w:pPr>
      <w:r>
        <w:rPr>
          <w:lang w:val="en_US" w:bidi="en_US"/>
        </w:rPr>
        <w:t>7:30a–b</w:t>
      </w:r>
    </w:p>
    <w:p>
      <w:pPr/>
      <w:r>
        <w:rPr>
          <w:lang w:val="en_US" w:bidi="en_US"/>
        </w:rPr>
      </w:r>
      <w:r>
        <w:rPr>
          <w:b/>
          <w:lang w:val="en_US" w:bidi="en_US"/>
        </w:rPr>
        <w:t>(GW) But the Pharisees and the experts in Moses’ Teachings rejected God’s plan for them:</w:t>
      </w:r>
      <w:r>
        <w:rPr>
          <w:lang w:val="en_US" w:bidi="en_US"/>
        </w:rPr>
        <w:t xml:space="preserve"> The Greek word that the GW translates as </w:t>
      </w:r>
      <w:r>
        <w:rPr>
          <w:i/>
          <w:lang w:val="en_US" w:bidi="en_US"/>
        </w:rPr>
        <w:t>plan</w:t>
      </w:r>
      <w:r>
        <w:rPr>
          <w:lang w:val="en_US" w:bidi="en_US"/>
        </w:rPr>
        <w:t xml:space="preserve"> means “purpose.” The Pharisees and experts in the law refused what God wanted for them. Some other ways to translate </w:t>
      </w:r>
      <w:r>
        <w:rPr>
          <w:i/>
          <w:lang w:val="en_US" w:bidi="en_US"/>
        </w:rPr>
        <w:t>rejected God’s plan for them</w:t>
      </w:r>
      <w:r>
        <w:rPr>
          <w:lang w:val="en_US" w:bidi="en_US"/>
        </w:rPr>
        <w:t xml:space="preserve"> are:</w:t>
      </w:r>
    </w:p>
    <w:p>
      <w:pPr/>
      <w:r>
        <w:rPr>
          <w:lang w:val="en_US" w:bidi="en_US"/>
        </w:rPr>
      </w:r>
      <w:r>
        <w:rPr>
          <w:lang w:val="en_US" w:bidi="en_US"/>
        </w:rPr>
        <w:t>refused to accept God’s plan for themselves (NCV)</w:t>
      </w:r>
    </w:p>
    <w:p>
      <w:pPr/>
      <w:r>
        <w:rPr>
          <w:lang w:val="en_US" w:bidi="en_US"/>
        </w:rPr>
      </w:r>
      <w:r>
        <w:rPr>
          <w:lang w:val="en_US" w:bidi="en_US"/>
        </w:rPr>
        <w:t>rejected God’s purpose for themselves (REB)</w:t>
      </w:r>
    </w:p>
    <w:p>
      <w:pPr/>
      <w:r>
        <w:rPr>
          <w:lang w:val="en_US" w:bidi="en_US"/>
        </w:rPr>
      </w:r>
      <w:r>
        <w:rPr>
          <w:b/>
          <w:lang w:val="en_US" w:bidi="en_US"/>
        </w:rPr>
        <w:t>(GW) Pharisees:</w:t>
      </w:r>
      <w:r>
        <w:rPr>
          <w:lang w:val="en_US" w:bidi="en_US"/>
        </w:rPr>
        <w:t xml:space="preserve"> The </w:t>
      </w:r>
      <w:r>
        <w:rPr>
          <w:i/>
          <w:lang w:val="en_US" w:bidi="en_US"/>
        </w:rPr>
        <w:t>Pharisees</w:t>
      </w:r>
      <w:r>
        <w:rPr>
          <w:lang w:val="en_US" w:bidi="en_US"/>
        </w:rPr>
        <w:t xml:space="preserve"> were a Jewish religious group or party. It was very important to them to obey all of the Jewish religious laws very carefully and in detail. Here are some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according to the sounds of your language and indicate that it refers to people. For example:</w:t>
      </w:r>
      <w:r>
        <w:rPr>
          <w:lang w:val="en_US" w:bidi="en_US"/>
        </w:rPr>
        <w:t>Farisi members</w:t>
      </w:r>
      <w:r>
        <w:rPr>
          <w:lang w:val="en_US" w:bidi="en_US"/>
        </w:rPr>
        <w:t>Parise adherents</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Farise religious sect/group</w:t>
      </w:r>
      <w:r>
        <w:rPr>
          <w:lang w:val="en_US" w:bidi="en_US"/>
        </w:rPr>
        <w:t>members of the religious group called the Farasi</w:t>
      </w:r>
    </w:p>
    <w:p>
      <w:pPr/>
      <w:r>
        <w:rPr>
          <w:lang w:val="en_US" w:bidi="en_US"/>
        </w:rPr>
      </w:r>
      <w:r>
        <w:rPr>
          <w:lang w:val="en_US" w:bidi="en_US"/>
        </w:rPr>
        <w:t xml:space="preserve">See </w:t>
      </w:r>
      <w:r>
        <w:rPr>
          <w:u w:val="single"/>
          <w:lang w:val="en_US" w:bidi="en_US"/>
        </w:rPr>
        <w:t>Pharisee, sense A</w:t>
      </w:r>
      <w:r>
        <w:rPr>
          <w:lang w:val="en_US" w:bidi="en_US"/>
        </w:rPr>
        <w:t xml:space="preserve">, in KBT. You may also want to include an explanation of </w:t>
      </w:r>
      <w:r>
        <w:rPr>
          <w:i/>
          <w:lang w:val="en_US" w:bidi="en_US"/>
        </w:rPr>
        <w:t>Pharisee</w:t>
      </w:r>
      <w:r>
        <w:rPr>
          <w:lang w:val="en_US" w:bidi="en_US"/>
        </w:rPr>
        <w:t xml:space="preserve"> in the glossary of your translation.</w:t>
      </w:r>
    </w:p>
    <w:p>
      <w:pPr/>
      <w:r>
        <w:rPr>
          <w:lang w:val="en_US" w:bidi="en_US"/>
        </w:rPr>
      </w:r>
      <w:r>
        <w:rPr>
          <w:b/>
          <w:lang w:val="en_US" w:bidi="en_US"/>
        </w:rPr>
        <w:t>(GW) experts in Moses’ Teachings:</w:t>
      </w:r>
      <w:r>
        <w:rPr>
          <w:lang w:val="en_US" w:bidi="en_US"/>
        </w:rPr>
        <w:t xml:space="preserve"> The </w:t>
      </w:r>
      <w:r>
        <w:rPr>
          <w:i/>
          <w:lang w:val="en_US" w:bidi="en_US"/>
        </w:rPr>
        <w:t>experts in Moses’ Teachings</w:t>
      </w:r>
      <w:r>
        <w:rPr>
          <w:lang w:val="en_US" w:bidi="en_US"/>
        </w:rPr>
        <w:t xml:space="preserve"> were religious scholars who studied, taught, and interpreted the Jewish law, especially the law of Moses. The BSB translates this as “experts in the law.” These scholars are probably the same people whom Luke calls “teachers of the law” (see 5:17b) or “scribes” (see 5:21a). You may use the same term to translate both of these words. Some ways to translate </w:t>
      </w:r>
      <w:r>
        <w:rPr>
          <w:i/>
          <w:lang w:val="en_US" w:bidi="en_US"/>
        </w:rPr>
        <w:t>experts in Moses’ Teachings</w:t>
      </w:r>
      <w:r>
        <w:rPr>
          <w:lang w:val="en_US" w:bidi="en_US"/>
        </w:rPr>
        <w:t xml:space="preserve"> include:</w:t>
      </w:r>
    </w:p>
    <w:p>
      <w:pPr/>
      <w:r>
        <w:rPr>
          <w:lang w:val="en_US" w:bidi="en_US"/>
        </w:rPr>
      </w:r>
      <w:r>
        <w:rPr>
          <w:lang w:val="en_US" w:bidi="en_US"/>
        </w:rPr>
        <w:t xml:space="preserve">teachers of the laws </w:t>
      </w:r>
      <w:r>
        <w:rPr>
          <w:lang w:val="en_US" w:bidi="en_US"/>
        </w:rPr>
        <w:t>of Moses</w:t>
      </w:r>
    </w:p>
    <w:p>
      <w:pPr/>
      <w:r>
        <w:rPr>
          <w:lang w:val="en_US" w:bidi="en_US"/>
        </w:rPr>
      </w:r>
      <w:r>
        <w:rPr>
          <w:lang w:val="en_US" w:bidi="en_US"/>
        </w:rPr>
        <w:t xml:space="preserve">experts in the </w:t>
      </w:r>
      <w:r>
        <w:rPr>
          <w:lang w:val="en_US" w:bidi="en_US"/>
        </w:rPr>
        <w:t>Jewish</w:t>
      </w:r>
      <w:r>
        <w:rPr>
          <w:lang w:val="en_US" w:bidi="en_US"/>
        </w:rPr>
        <w:t xml:space="preserve"> laws</w:t>
      </w:r>
    </w:p>
    <w:p>
      <w:pPr/>
      <w:r>
        <w:rPr>
          <w:lang w:val="en_US" w:bidi="en_US"/>
        </w:rPr>
      </w:r>
      <w:r>
        <w:rPr>
          <w:lang w:val="en_US" w:bidi="en_US"/>
        </w:rPr>
        <w:t xml:space="preserve">those who knew well the laws </w:t>
      </w:r>
      <w:r>
        <w:rPr>
          <w:lang w:val="en_US" w:bidi="en_US"/>
        </w:rPr>
        <w:t>which God gave to Moses</w:t>
      </w:r>
    </w:p>
    <w:p>
      <w:pPr/>
      <w:r>
        <w:rPr>
          <w:lang w:val="en_US" w:bidi="en_US"/>
        </w:rPr>
      </w:r>
      <w:r>
        <w:rPr>
          <w:lang w:val="en_US" w:bidi="en_US"/>
        </w:rPr>
        <w:t>Most teachers of the law were Pharisees, but not all Pharisees were teachers of the law.</w:t>
      </w:r>
    </w:p>
    <w:p>
      <w:pPr/>
      <w:r>
        <w:rPr>
          <w:lang w:val="en_US" w:bidi="en_US"/>
        </w:rPr>
      </w:r>
      <w:r>
        <w:rPr>
          <w:lang w:val="en_US" w:bidi="en_US"/>
        </w:rPr>
        <w:t>See expert in the law in the Glossary.</w:t>
      </w:r>
    </w:p>
    <w:p>
      <w:pPr>
        <w:pStyle w:val="Heading5"/>
      </w:pPr>
      <w:r>
        <w:rPr>
          <w:lang w:val="en_US" w:bidi="en_US"/>
        </w:rPr>
        <w:t>7:30c</w:t>
      </w:r>
    </w:p>
    <w:p>
      <w:pPr/>
      <w:r>
        <w:rPr>
          <w:lang w:val="en_US" w:bidi="en_US"/>
        </w:rPr>
      </w:r>
      <w:r>
        <w:rPr>
          <w:b/>
          <w:lang w:val="en_US" w:bidi="en_US"/>
        </w:rPr>
        <w:t>because they had not been baptized by John.</w:t>
      </w:r>
    </w:p>
    <w:p>
      <w:pPr>
        <w:pStyle w:val="ListBullet"/>
        <w:spacing w:line="240" w:lineRule="auto"/>
        <w:ind w:left="720"/>
      </w:pPr>
      <w:r>
        <w:rPr>
          <w:lang w:val="en_US" w:bidi="en_US"/>
        </w:rPr>
      </w:r>
      <w:r>
        <w:rPr>
          <w:lang w:val="en_US" w:bidi="en_US"/>
        </w:rPr>
        <w:t>by not letting John baptize them.”</w:t>
      </w:r>
    </w:p>
    <w:p>
      <w:pPr>
        <w:pStyle w:val="ListBullet"/>
        <w:spacing w:line="240" w:lineRule="auto"/>
        <w:ind w:left="720"/>
      </w:pPr>
      <w:r>
        <w:rPr>
          <w:lang w:val="en_US" w:bidi="en_US"/>
        </w:rPr>
      </w:r>
      <w:r>
        <w:rPr>
          <w:lang w:val="en_US" w:bidi="en_US"/>
        </w:rPr>
        <w:t>They proved this by not accepting baptism from John.”</w:t>
      </w:r>
    </w:p>
    <w:p>
      <w:pPr/>
      <w:r>
        <w:rPr>
          <w:lang w:val="en_US" w:bidi="en_US"/>
        </w:rPr>
      </w:r>
      <w:r>
        <w:rPr>
          <w:b/>
          <w:lang w:val="en_US" w:bidi="en_US"/>
        </w:rPr>
        <w:t>(GW) They refused to be baptized:</w:t>
      </w:r>
      <w:r>
        <w:rPr>
          <w:lang w:val="en_US" w:bidi="en_US"/>
        </w:rPr>
        <w:t xml:space="preserve"> The clause </w:t>
      </w:r>
      <w:r>
        <w:rPr>
          <w:i/>
          <w:lang w:val="en_US" w:bidi="en_US"/>
        </w:rPr>
        <w:t>They refused to be baptized</w:t>
      </w:r>
      <w:r>
        <w:rPr>
          <w:lang w:val="en_US" w:bidi="en_US"/>
        </w:rPr>
        <w:t xml:space="preserve"> is literally “not having been baptized by him.”</w:t>
      </w:r>
      <w:r>
        <w:rPr>
          <w:lang w:val="en_US" w:bidi="en_US"/>
        </w:rPr>
        <w:t>The verb form is an aorist passive participle.</w:t>
      </w:r>
      <w:r>
        <w:rPr>
          <w:lang w:val="en_US" w:bidi="en_US"/>
        </w:rPr>
        <w:t xml:space="preserve"> The connection between it and 7:30a is similar to the connection between 7:29b and 7:29c. Some ways to express it are:</w:t>
      </w:r>
    </w:p>
    <w:p>
      <w:pPr/>
      <w:r>
        <w:rPr>
          <w:lang w:val="en_US" w:bidi="en_US"/>
        </w:rPr>
      </w:r>
      <w:r>
        <w:rPr>
          <w:lang w:val="en_US" w:bidi="en_US"/>
        </w:rPr>
        <w:t>by not letting John baptize them</w:t>
      </w:r>
    </w:p>
    <w:p>
      <w:pPr/>
      <w:r>
        <w:rPr>
          <w:lang w:val="en_US" w:bidi="en_US"/>
        </w:rPr>
      </w:r>
      <w:r>
        <w:rPr>
          <w:lang w:val="en_US" w:bidi="en_US"/>
        </w:rPr>
        <w:t>and they did not accept baptism from John</w:t>
      </w:r>
    </w:p>
    <w:p>
      <w:pPr>
        <w:pStyle w:val="Heading6"/>
      </w:pPr>
      <w:r>
        <w:rPr>
          <w:b/>
          <w:lang w:val="en_US" w:bidi="en_US"/>
        </w:rPr>
        <w:t>General Comment on 7:30a–c</w:t>
      </w:r>
    </w:p>
    <w:p>
      <w:pPr/>
      <w:r>
        <w:rPr>
          <w:lang w:val="en_US" w:bidi="en_US"/>
        </w:rPr>
      </w:r>
      <w:r>
        <w:rPr>
          <w:lang w:val="en_US" w:bidi="en_US"/>
        </w:rPr>
        <w:t>In some languages it may be more natural to change the order of the parts of this verse. For example:</w:t>
      </w:r>
    </w:p>
    <w:p>
      <w:pPr/>
      <w:r>
        <w:rPr>
          <w:lang w:val="en_US" w:bidi="en_US"/>
        </w:rPr>
      </w:r>
      <w:r>
        <w:rPr>
          <w:lang w:val="en_US" w:bidi="en_US"/>
        </w:rPr>
        <w:t xml:space="preserve">But </w:t>
      </w:r>
      <w:r>
        <w:rPr>
          <w:vertAlign w:val="superscript"/>
          <w:lang w:val="en_US" w:bidi="en_US"/>
        </w:rPr>
        <w:t>30c</w:t>
      </w:r>
      <w:r>
        <w:rPr>
          <w:lang w:val="en_US" w:bidi="en_US"/>
        </w:rPr>
        <w:t xml:space="preserve">by refusing to be baptized by him, </w:t>
      </w:r>
      <w:r>
        <w:rPr>
          <w:vertAlign w:val="superscript"/>
          <w:lang w:val="en_US" w:bidi="en_US"/>
        </w:rPr>
        <w:t>30b</w:t>
      </w:r>
      <w:r>
        <w:rPr>
          <w:lang w:val="en_US" w:bidi="en_US"/>
        </w:rPr>
        <w:t xml:space="preserve">the Pharisees and the lawyers </w:t>
      </w:r>
      <w:r>
        <w:rPr>
          <w:vertAlign w:val="superscript"/>
          <w:lang w:val="en_US" w:bidi="en_US"/>
        </w:rPr>
        <w:t>30a</w:t>
      </w:r>
      <w:r>
        <w:rPr>
          <w:lang w:val="en_US" w:bidi="en_US"/>
        </w:rPr>
        <w:t>rejected God’s purpose for themselves. (NRSV)</w:t>
      </w:r>
      <w:r>
        <w:rPr>
          <w:lang w:val="en_US" w:bidi="en_US"/>
        </w:rPr>
      </w:r>
      <w:r>
        <w:rPr>
          <w:lang w:val="en_US" w:bidi="en_US"/>
        </w:rPr>
      </w:r>
    </w:p>
    <w:p>
      <w:pPr/>
      <w:r>
        <w:rPr>
          <w:lang w:val="en_US" w:bidi="en_US"/>
        </w:rPr>
      </w:r>
    </w:p>
    <w:p>
      <w:pPr>
        <w:pStyle w:val="Heading2"/>
      </w:pPr>
      <w:r>
        <w:rPr>
          <w:lang w:val="en_US" w:bidi="en_US"/>
        </w:rPr>
        <w:t>Luke 7:31</w:t>
      </w:r>
      <w:r>
        <w:rPr>
          <w:lang w:val="en_US" w:bidi="en_US"/>
        </w:rPr>
      </w:r>
    </w:p>
    <w:p>
      <w:pPr>
        <w:pStyle w:val="Heading4"/>
      </w:pPr>
      <w:r>
        <w:rPr>
          <w:lang w:val="en_US" w:bidi="en_US"/>
        </w:rPr>
        <w:t>Section 7:18–35: John the Baptizer sent messengers to Jesus</w:t>
      </w:r>
    </w:p>
    <w:p>
      <w:pPr/>
      <w:r>
        <w:rPr>
          <w:lang w:val="en_US" w:bidi="en_US"/>
        </w:rPr>
      </w:r>
      <w:r>
        <w:rPr>
          <w:lang w:val="en_US" w:bidi="en_US"/>
        </w:rP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pPr/>
      <w:r>
        <w:rPr>
          <w:lang w:val="en_US" w:bidi="en_US"/>
        </w:rPr>
      </w:r>
      <w:r>
        <w:rPr>
          <w:lang w:val="en_US" w:bidi="en_US"/>
        </w:rP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responds to the messengers of John the Baptizer and speaks about John to the crowd</w:t>
      </w:r>
    </w:p>
    <w:p>
      <w:pPr/>
      <w:r>
        <w:rPr>
          <w:lang w:val="en_US" w:bidi="en_US"/>
        </w:rPr>
      </w:r>
      <w:r>
        <w:rPr>
          <w:lang w:val="en_US" w:bidi="en_US"/>
        </w:rPr>
        <w:t>Jesus speaks to the people about John the Baptizer</w:t>
      </w:r>
    </w:p>
    <w:p>
      <w:pPr/>
      <w:r>
        <w:rPr>
          <w:lang w:val="en_US" w:bidi="en_US"/>
        </w:rPr>
      </w:r>
      <w:r>
        <w:rPr>
          <w:lang w:val="en_US" w:bidi="en_US"/>
        </w:rPr>
        <w:t>Jesus teaches about John the Baptizer</w:t>
      </w:r>
    </w:p>
    <w:p>
      <w:pPr/>
      <w:r>
        <w:rPr>
          <w:lang w:val="en_US" w:bidi="en_US"/>
        </w:rPr>
      </w:r>
      <w:r>
        <w:rPr>
          <w:lang w:val="en_US" w:bidi="en_US"/>
        </w:rPr>
        <w:t>There is a parallel passage for this section in Matthew 11:3–19.</w:t>
      </w:r>
    </w:p>
    <w:p>
      <w:pPr>
        <w:pStyle w:val="Heading5"/>
      </w:pPr>
      <w:r>
        <w:rPr>
          <w:lang w:val="en_US" w:bidi="en_US"/>
        </w:rPr>
        <w:t>7:31</w:t>
      </w:r>
    </w:p>
    <w:p>
      <w:pPr/>
      <w:r>
        <w:rPr>
          <w:lang w:val="en_US" w:bidi="en_US"/>
        </w:rPr>
      </w:r>
      <w:r>
        <w:rPr>
          <w:b/>
          <w:lang w:val="en_US" w:bidi="en_US"/>
        </w:rPr>
        <w:t>To what, then, can I compare the men of this generation? What are they like?:</w:t>
      </w:r>
      <w:r>
        <w:rPr>
          <w:lang w:val="en_US" w:bidi="en_US"/>
        </w:rPr>
        <w:t xml:space="preserve"> In the Greek text these two questions are connected as one rhetorical question. For example:</w:t>
      </w:r>
    </w:p>
    <w:p>
      <w:pPr/>
      <w:r>
        <w:rPr>
          <w:lang w:val="en_US" w:bidi="en_US"/>
        </w:rPr>
      </w:r>
      <w:r>
        <w:rPr>
          <w:lang w:val="en_US" w:bidi="en_US"/>
        </w:rPr>
        <w:t>To what then shall I compare the people of this generation, and what are they like? (ESV)</w:t>
      </w:r>
    </w:p>
    <w:p>
      <w:pPr/>
      <w:r>
        <w:rPr>
          <w:lang w:val="en_US" w:bidi="en_US"/>
        </w:rPr>
      </w:r>
      <w:r>
        <w:rPr>
          <w:lang w:val="en_US" w:bidi="en_US"/>
        </w:rPr>
        <w:t>Notice that Jesus answered the questions himself in 7:32a. He used the rhetorical questions to introduce the statement about “the people of this generation” in 7:32–34. There are two ways to translate these rhetorical questions:</w:t>
      </w:r>
    </w:p>
    <w:p>
      <w:pPr>
        <w:pStyle w:val="ListBullet"/>
        <w:spacing w:line="240" w:lineRule="auto"/>
        <w:ind w:left="720"/>
      </w:pPr>
      <w:r>
        <w:rPr>
          <w:lang w:val="en_US" w:bidi="en_US"/>
        </w:rPr>
      </w:r>
      <w:r>
        <w:rPr>
          <w:lang w:val="en_US" w:bidi="en_US"/>
        </w:rPr>
        <w:t>As one or more questions. For example:</w:t>
      </w:r>
      <w:r>
        <w:rPr>
          <w:lang w:val="en_US" w:bidi="en_US"/>
        </w:rPr>
        <w:t>How can I describe the people of this generation? What are they like? (REB)</w:t>
      </w:r>
      <w:r>
        <w:rPr>
          <w:lang w:val="en_US" w:bidi="en_US"/>
        </w:rPr>
        <w:t>To what then should I compare the people of this generation, and what are they like? (NET)</w:t>
      </w:r>
    </w:p>
    <w:p>
      <w:pPr>
        <w:pStyle w:val="ListBullet"/>
        <w:spacing w:line="240" w:lineRule="auto"/>
        <w:ind w:left="720"/>
      </w:pPr>
      <w:r>
        <w:rPr>
          <w:lang w:val="en_US" w:bidi="en_US"/>
        </w:rPr>
      </w:r>
      <w:r>
        <w:rPr>
          <w:lang w:val="en_US" w:bidi="en_US"/>
        </w:rPr>
        <w:t>As one or more statements. For example:</w:t>
      </w:r>
      <w:r>
        <w:rPr>
          <w:lang w:val="en_US" w:bidi="en_US"/>
        </w:rPr>
        <w:t>This is how I will compare the men of this generation. This is what they are like.</w:t>
      </w:r>
    </w:p>
    <w:p>
      <w:pPr>
        <w:pStyle w:val="ListBullet"/>
        <w:spacing w:line="240" w:lineRule="auto"/>
        <w:ind w:left="720"/>
      </w:pPr>
      <w:r>
        <w:rPr>
          <w:lang w:val="en_US" w:bidi="en_US"/>
        </w:rPr>
      </w:r>
      <w:r>
        <w:rPr>
          <w:lang w:val="en_US" w:bidi="en_US"/>
        </w:rPr>
        <w:t>As a combination of questions and statements. For example:</w:t>
      </w:r>
      <w:r>
        <w:rPr>
          <w:lang w:val="en_US" w:bidi="en_US"/>
        </w:rPr>
        <w:t>So what comparison can I use to describe this generation? I will tell you what they are like.</w:t>
      </w:r>
    </w:p>
    <w:p>
      <w:pPr/>
      <w:r>
        <w:rPr>
          <w:lang w:val="en_US" w:bidi="en_US"/>
        </w:rPr>
      </w:r>
      <w:r>
        <w:rPr>
          <w:lang w:val="en_US" w:bidi="en_US"/>
        </w:rPr>
        <w:t>The two questions have almost the same meaning. Jewish people often used this kind of repetition, and it may add some emphasis to what Jesus asks. If it is not easy or natural in your language to ask two different yet similar questions here, you could combine them:</w:t>
      </w:r>
    </w:p>
    <w:p>
      <w:pPr/>
      <w:r>
        <w:rPr>
          <w:lang w:val="en_US" w:bidi="en_US"/>
        </w:rPr>
      </w:r>
      <w:r>
        <w:rPr>
          <w:lang w:val="en_US" w:bidi="en_US"/>
        </w:rPr>
        <w:t>What illustration/comparison can I use to show what the people of today are like?</w:t>
      </w:r>
    </w:p>
    <w:p>
      <w:pPr>
        <w:pStyle w:val="Heading5"/>
      </w:pPr>
      <w:r>
        <w:rPr>
          <w:lang w:val="en_US" w:bidi="en_US"/>
        </w:rPr>
        <w:t>7:31a</w:t>
      </w:r>
    </w:p>
    <w:p>
      <w:pPr/>
      <w:r>
        <w:rPr>
          <w:lang w:val="en_US" w:bidi="en_US"/>
        </w:rPr>
      </w:r>
      <w:r>
        <w:rPr>
          <w:b/>
          <w:lang w:val="en_US" w:bidi="en_US"/>
        </w:rPr>
        <w:t>“To what, then, can I compare the men of this generation?</w:t>
      </w:r>
    </w:p>
    <w:p>
      <w:pPr>
        <w:pStyle w:val="ListBullet"/>
        <w:spacing w:line="240" w:lineRule="auto"/>
        <w:ind w:left="720"/>
      </w:pPr>
      <w:r>
        <w:rPr>
          <w:lang w:val="en_US" w:bidi="en_US"/>
        </w:rPr>
      </w:r>
      <w:r>
        <w:rPr>
          <w:lang w:val="en_US" w:bidi="en_US"/>
        </w:rPr>
        <w:t>¶ “So to what can I compare the people of this day/time?</w:t>
      </w:r>
    </w:p>
    <w:p>
      <w:pPr>
        <w:pStyle w:val="ListBullet"/>
        <w:spacing w:line="240" w:lineRule="auto"/>
        <w:ind w:left="720"/>
      </w:pPr>
      <w:r>
        <w:rPr>
          <w:lang w:val="en_US" w:bidi="en_US"/>
        </w:rPr>
      </w:r>
      <w:r>
        <w:rPr>
          <w:lang w:val="en_US" w:bidi="en_US"/>
        </w:rPr>
        <w:t>¶ “It is difficult to know how to describe you</w:t>
      </w:r>
      <w:r>
        <w:rPr>
          <w:vertAlign w:val="superscript"/>
          <w:lang w:val="en_US" w:bidi="en_US"/>
        </w:rPr>
        <w:t>(plur)</w:t>
      </w:r>
      <w:r>
        <w:rPr>
          <w:lang w:val="en_US" w:bidi="en_US"/>
        </w:rPr>
        <w:t xml:space="preserve"> people </w:t>
      </w:r>
      <w:r>
        <w:rPr>
          <w:lang w:val="en_US" w:bidi="en_US"/>
        </w:rPr>
        <w:t>who reject John and me</w:t>
      </w:r>
    </w:p>
    <w:p>
      <w:pPr/>
      <w:r>
        <w:rPr>
          <w:lang w:val="en_US" w:bidi="en_US"/>
        </w:rPr>
      </w:r>
      <w:r>
        <w:rPr>
          <w:b/>
          <w:lang w:val="en_US" w:bidi="en_US"/>
        </w:rPr>
        <w:t>then:</w:t>
      </w:r>
      <w:r>
        <w:rPr>
          <w:lang w:val="en_US" w:bidi="en_US"/>
        </w:rPr>
        <w:t xml:space="preserve"> The Greek conjunction </w:t>
      </w:r>
      <w:r>
        <w:rPr>
          <w:i/>
          <w:lang w:val="en_US" w:bidi="en_US"/>
        </w:rPr>
        <w:t>oun</w:t>
      </w:r>
      <w:r>
        <w:rPr>
          <w:lang w:val="en_US" w:bidi="en_US"/>
        </w:rPr>
        <w:t xml:space="preserve"> that the BSB translates as </w:t>
      </w:r>
      <w:r>
        <w:rPr>
          <w:i/>
          <w:lang w:val="en_US" w:bidi="en_US"/>
        </w:rPr>
        <w:t>then</w:t>
      </w:r>
      <w:r>
        <w:rPr>
          <w:lang w:val="en_US" w:bidi="en_US"/>
        </w:rPr>
        <w:t xml:space="preserve"> means “therefore.” It introduces a conclusion of the statements in 29–30. The Jewish religious leaders had rejected John (7:30), so in 7:31–35, Jesus could compare them to children who cannot be satisfied. Connect 7:31a to what comes before it in a way that is natural in your language.</w:t>
      </w:r>
    </w:p>
    <w:p>
      <w:pPr/>
      <w:r>
        <w:rPr>
          <w:lang w:val="en_US" w:bidi="en_US"/>
        </w:rPr>
      </w:r>
      <w:r>
        <w:rPr>
          <w:b/>
          <w:lang w:val="en_US" w:bidi="en_US"/>
        </w:rPr>
        <w:t>compare:</w:t>
      </w:r>
      <w:r>
        <w:rPr>
          <w:lang w:val="en_US" w:bidi="en_US"/>
        </w:rPr>
        <w:t xml:space="preserve"> To </w:t>
      </w:r>
      <w:r>
        <w:rPr>
          <w:i/>
          <w:lang w:val="en_US" w:bidi="en_US"/>
        </w:rPr>
        <w:t>compare</w:t>
      </w:r>
      <w:r>
        <w:rPr>
          <w:lang w:val="en_US" w:bidi="en_US"/>
        </w:rPr>
        <w:t xml:space="preserve"> means to say that one thing is </w:t>
      </w:r>
      <w:r>
        <w:rPr>
          <w:u w:val="single"/>
          <w:lang w:val="en_US" w:bidi="en_US"/>
        </w:rPr>
        <w:t>like</w:t>
      </w:r>
      <w:r>
        <w:rPr>
          <w:lang w:val="en_US" w:bidi="en_US"/>
        </w:rPr>
        <w:t xml:space="preserve"> another. Jesus answered his question in 7:32 by giving a simile or short parable (“they are </w:t>
      </w:r>
      <w:r>
        <w:rPr>
          <w:u w:val="single"/>
          <w:lang w:val="en_US" w:bidi="en_US"/>
        </w:rPr>
        <w:t>like</w:t>
      </w:r>
      <w:r>
        <w:rPr>
          <w:lang w:val="en_US" w:bidi="en_US"/>
        </w:rPr>
        <w:t>…”). So another way to express this question is:</w:t>
      </w:r>
    </w:p>
    <w:p>
      <w:pPr/>
      <w:r>
        <w:rPr>
          <w:lang w:val="en_US" w:bidi="en_US"/>
        </w:rPr>
      </w:r>
      <w:r>
        <w:rPr>
          <w:lang w:val="en_US" w:bidi="en_US"/>
        </w:rPr>
        <w:t xml:space="preserve">What illustration/parable can I use to show what the people of this generation </w:t>
      </w:r>
      <w:r>
        <w:rPr>
          <w:u w:val="single"/>
          <w:lang w:val="en_US" w:bidi="en_US"/>
        </w:rPr>
        <w:t>are like</w:t>
      </w:r>
      <w:r>
        <w:rPr>
          <w:lang w:val="en_US" w:bidi="en_US"/>
        </w:rPr>
        <w:t>?</w:t>
      </w:r>
    </w:p>
    <w:p>
      <w:pPr/>
      <w:r>
        <w:rPr>
          <w:lang w:val="en_US" w:bidi="en_US"/>
        </w:rPr>
      </w:r>
      <w:r>
        <w:rPr>
          <w:b/>
          <w:lang w:val="en_US" w:bidi="en_US"/>
        </w:rPr>
        <w:t>the men of this generation:</w:t>
      </w:r>
      <w:r>
        <w:rPr>
          <w:lang w:val="en_US" w:bidi="en_US"/>
        </w:rPr>
        <w:t xml:space="preserve"> The phrase </w:t>
      </w:r>
      <w:r>
        <w:rPr>
          <w:i/>
          <w:lang w:val="en_US" w:bidi="en_US"/>
        </w:rPr>
        <w:t>the men of this generation</w:t>
      </w:r>
      <w:r>
        <w:rPr>
          <w:lang w:val="en_US" w:bidi="en_US"/>
        </w:rPr>
        <w:t xml:space="preserve"> refers to Jewish people who lived in the same period of time as John and Jesus. It does not refer to a specific age group. In this context, the word </w:t>
      </w:r>
      <w:r>
        <w:rPr>
          <w:i/>
          <w:lang w:val="en_US" w:bidi="en_US"/>
        </w:rPr>
        <w:t>generation</w:t>
      </w:r>
      <w:r>
        <w:rPr>
          <w:lang w:val="en_US" w:bidi="en_US"/>
        </w:rPr>
        <w:t xml:space="preserve"> refers specifically to people who rejected John and Jesus and their message. Some of these people were the Pharisees and experts in the law who were mentioned in 7:30. The term also implies that Jesus disapproved of the attitudes and actions of those people.</w:t>
      </w:r>
      <w:r>
        <w:rPr>
          <w:lang w:val="en_US" w:bidi="en_US"/>
        </w:rPr>
        <w:t xml:space="preserve">Most commentators agree that the sense here is clearly negative. Not all commentators who interpret the sense as negative agree that it refers only to a subset of “all the people.” Bock (p. 679), for example, says, “It seems clear that Jesus is describing the majority response in his rebuke.” Others such as Stein (p. 232) would limit the referent to those who “oppose Jesus and the gospel and who stand in contrast to the sons of light.” Marshall in his treatment of the phrase gives a good listing of NT examples of “generation” that carry the negative nuance and of the OT passages and language (“a perverse and wicked generation,” Deuteronomy 32:5; “a stubborn and rebellious generation,” Psalm 78:8) that may be the basis for this. If this interpretation of the phrase is correct, it may draw from the meaning of </w:t>
      </w:r>
      <w:r>
        <w:rPr>
          <w:i/>
          <w:lang w:val="en_US" w:bidi="en_US"/>
        </w:rPr>
        <w:t>γενεὰ</w:t>
      </w:r>
      <w:r>
        <w:rPr>
          <w:lang w:val="en_US" w:bidi="en_US"/>
        </w:rPr>
        <w:t xml:space="preserve"> as “the descendants of a common ancestor” (see Friberg, meaning 1; Thayer, meaning 2). If this is the sense, it would refer to the Jewish race, and in particular, the Jewish race with their habitual tendency to reject God’s messengers.</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Translate the word in a neutral way and let the context express disapproval. For example:</w:t>
      </w:r>
      <w:r>
        <w:rPr>
          <w:lang w:val="en_US" w:bidi="en_US"/>
        </w:rPr>
        <w:t>people of this day/time</w:t>
      </w:r>
      <w:r>
        <w:rPr>
          <w:lang w:val="en_US" w:bidi="en_US"/>
        </w:rPr>
        <w:t>people who are living now (GW)</w:t>
      </w:r>
      <w:r>
        <w:rPr>
          <w:lang w:val="en_US" w:bidi="en_US"/>
        </w:rPr>
        <w:t>many of</w:t>
      </w:r>
      <w:r>
        <w:rPr>
          <w:lang w:val="en_US" w:bidi="en_US"/>
        </w:rPr>
        <w:t xml:space="preserve"> these people </w:t>
      </w:r>
      <w:r>
        <w:rPr>
          <w:lang w:val="en_US" w:bidi="en_US"/>
        </w:rPr>
        <w:t>who heard John and me</w:t>
      </w:r>
    </w:p>
    <w:p>
      <w:pPr>
        <w:pStyle w:val="ListBullet"/>
        <w:spacing w:line="240" w:lineRule="auto"/>
        <w:ind w:left="720"/>
      </w:pPr>
      <w:r>
        <w:rPr>
          <w:lang w:val="en_US" w:bidi="en_US"/>
        </w:rPr>
      </w:r>
      <w:r>
        <w:rPr>
          <w:lang w:val="en_US" w:bidi="en_US"/>
        </w:rPr>
        <w:t>Translate it in a way that expresses Jesus’ disapproval of those people who rejected him and John. For example:</w:t>
      </w:r>
      <w:r>
        <w:rPr>
          <w:lang w:val="en_US" w:bidi="en_US"/>
        </w:rPr>
        <w:t xml:space="preserve">these people </w:t>
      </w:r>
      <w:r>
        <w:rPr>
          <w:lang w:val="en_US" w:bidi="en_US"/>
        </w:rPr>
        <w:t>who reject God’s messengers</w:t>
      </w:r>
      <w:r>
        <w:rPr>
          <w:lang w:val="en_US" w:bidi="en_US"/>
        </w:rPr>
        <w:t xml:space="preserve">the people </w:t>
      </w:r>
      <w:r>
        <w:rPr>
          <w:lang w:val="en_US" w:bidi="en_US"/>
        </w:rPr>
        <w:t>who reject John and me</w:t>
      </w:r>
    </w:p>
    <w:p>
      <w:pPr/>
      <w:r>
        <w:rPr>
          <w:lang w:val="en_US" w:bidi="en_US"/>
        </w:rPr>
      </w:r>
      <w:r>
        <w:rPr>
          <w:lang w:val="en_US" w:bidi="en_US"/>
        </w:rPr>
        <w:t xml:space="preserve">Some of the people that Jesus was speaking to were part of the </w:t>
      </w:r>
      <w:r>
        <w:rPr>
          <w:i/>
          <w:lang w:val="en_US" w:bidi="en_US"/>
        </w:rPr>
        <w:t>generation</w:t>
      </w:r>
      <w:r>
        <w:rPr>
          <w:lang w:val="en_US" w:bidi="en_US"/>
        </w:rPr>
        <w:t xml:space="preserve"> that he referred to. In some languages it may be more natural to indicate that explicitly (as Jesus did in 7:33–34). For example:</w:t>
      </w:r>
    </w:p>
    <w:p>
      <w:pPr/>
      <w:r>
        <w:rPr>
          <w:lang w:val="en_US" w:bidi="en_US"/>
        </w:rPr>
      </w:r>
      <w:r>
        <w:rPr>
          <w:lang w:val="en_US" w:bidi="en_US"/>
        </w:rPr>
        <w:t xml:space="preserve">What are </w:t>
      </w:r>
      <w:r>
        <w:rPr>
          <w:u w:val="single"/>
          <w:lang w:val="en_US" w:bidi="en_US"/>
        </w:rPr>
        <w:t>you people</w:t>
      </w:r>
      <w:r>
        <w:rPr>
          <w:lang w:val="en_US" w:bidi="en_US"/>
        </w:rPr>
        <w:t xml:space="preserve"> like? (CEV)</w:t>
      </w:r>
    </w:p>
    <w:p>
      <w:pPr/>
      <w:r>
        <w:rPr>
          <w:lang w:val="en_US" w:bidi="en_US"/>
        </w:rPr>
      </w:r>
      <w:r>
        <w:rPr>
          <w:b/>
          <w:lang w:val="en_US" w:bidi="en_US"/>
        </w:rPr>
        <w:t>men:</w:t>
      </w:r>
      <w:r>
        <w:rPr>
          <w:lang w:val="en_US" w:bidi="en_US"/>
        </w:rPr>
        <w:t xml:space="preserve"> In this context, the Greek word that the BSB translates as </w:t>
      </w:r>
      <w:r>
        <w:rPr>
          <w:i/>
          <w:lang w:val="en_US" w:bidi="en_US"/>
        </w:rPr>
        <w:t>men</w:t>
      </w:r>
      <w:r>
        <w:rPr>
          <w:lang w:val="en_US" w:bidi="en_US"/>
        </w:rPr>
        <w:t xml:space="preserve"> refers to people in general, including both men and women. For that reason, most English versions, even literal ones such as the ESV and NASB, translate it as “people.”</w:t>
      </w:r>
    </w:p>
    <w:p>
      <w:pPr>
        <w:pStyle w:val="Heading5"/>
      </w:pPr>
      <w:r>
        <w:rPr>
          <w:lang w:val="en_US" w:bidi="en_US"/>
        </w:rPr>
        <w:t>7:31b</w:t>
      </w:r>
    </w:p>
    <w:p>
      <w:pPr/>
      <w:r>
        <w:rPr>
          <w:lang w:val="en_US" w:bidi="en_US"/>
        </w:rPr>
      </w:r>
      <w:r>
        <w:rPr>
          <w:b/>
          <w:lang w:val="en_US" w:bidi="en_US"/>
        </w:rPr>
        <w:t>What are they like?</w:t>
      </w:r>
    </w:p>
    <w:p>
      <w:pPr>
        <w:pStyle w:val="ListBullet"/>
        <w:spacing w:line="240" w:lineRule="auto"/>
        <w:ind w:left="720"/>
      </w:pPr>
      <w:r>
        <w:rPr>
          <w:lang w:val="en_US" w:bidi="en_US"/>
        </w:rPr>
      </w:r>
      <w:r>
        <w:rPr>
          <w:lang w:val="en_US" w:bidi="en_US"/>
        </w:rPr>
        <w:t>What are they like? I will tell you what they are like:</w:t>
      </w:r>
    </w:p>
    <w:p>
      <w:pPr>
        <w:pStyle w:val="ListBullet"/>
        <w:spacing w:line="240" w:lineRule="auto"/>
        <w:ind w:left="720"/>
      </w:pPr>
      <w:r>
        <w:rPr>
          <w:lang w:val="en_US" w:bidi="en_US"/>
        </w:rPr>
      </w:r>
      <w:r>
        <w:rPr>
          <w:lang w:val="en_US" w:bidi="en_US"/>
        </w:rPr>
        <w:t>or to say/illustrate what you</w:t>
      </w:r>
      <w:r>
        <w:rPr>
          <w:vertAlign w:val="superscript"/>
          <w:lang w:val="en_US" w:bidi="en_US"/>
        </w:rPr>
        <w:t>(plur)</w:t>
      </w:r>
      <w:r>
        <w:rPr>
          <w:lang w:val="en_US" w:bidi="en_US"/>
        </w:rPr>
        <w:t xml:space="preserve"> are like.</w:t>
      </w:r>
    </w:p>
    <w:p>
      <w:pPr/>
      <w:r>
        <w:rPr>
          <w:lang w:val="en_US" w:bidi="en_US"/>
        </w:rPr>
      </w:r>
      <w:r>
        <w:rPr>
          <w:b/>
          <w:lang w:val="en_US" w:bidi="en_US"/>
        </w:rPr>
        <w:t>What are they like?:</w:t>
      </w:r>
      <w:r>
        <w:rPr>
          <w:lang w:val="en_US" w:bidi="en_US"/>
        </w:rPr>
        <w:t xml:space="preserve"> As in 7:31a, Jesus was referring to some of the people who were listening to him. If you indicated that explicitly in 7:31a, it will probably be natural to continue to do that here. For example:</w:t>
      </w:r>
    </w:p>
    <w:p>
      <w:pPr/>
      <w:r>
        <w:rPr>
          <w:lang w:val="en_US" w:bidi="en_US"/>
        </w:rPr>
      </w:r>
      <w:r>
        <w:rPr>
          <w:lang w:val="en_US" w:bidi="en_US"/>
        </w:rPr>
        <w:t xml:space="preserve">What kind of people are </w:t>
      </w:r>
      <w:r>
        <w:rPr>
          <w:u w:val="single"/>
          <w:lang w:val="en_US" w:bidi="en_US"/>
        </w:rPr>
        <w:t>you</w:t>
      </w:r>
      <w:r>
        <w:rPr>
          <w:lang w:val="en_US" w:bidi="en_US"/>
        </w:rPr>
        <w:t>? (CEV)</w:t>
      </w:r>
      <w:r>
        <w:rPr>
          <w:lang w:val="en_US" w:bidi="en_US"/>
        </w:rPr>
      </w:r>
      <w:r>
        <w:rPr>
          <w:lang w:val="en_US" w:bidi="en_US"/>
        </w:rPr>
      </w:r>
    </w:p>
    <w:p>
      <w:pPr/>
      <w:r>
        <w:rPr>
          <w:lang w:val="en_US" w:bidi="en_US"/>
        </w:rPr>
      </w:r>
    </w:p>
    <w:p>
      <w:pPr>
        <w:pStyle w:val="Heading2"/>
      </w:pPr>
      <w:r>
        <w:rPr>
          <w:lang w:val="en_US" w:bidi="en_US"/>
        </w:rPr>
        <w:t>Luke 7:32</w:t>
      </w:r>
      <w:r>
        <w:rPr>
          <w:lang w:val="en_US" w:bidi="en_US"/>
        </w:rPr>
      </w:r>
    </w:p>
    <w:p>
      <w:pPr>
        <w:pStyle w:val="Heading4"/>
      </w:pPr>
      <w:r>
        <w:rPr>
          <w:lang w:val="en_US" w:bidi="en_US"/>
        </w:rPr>
        <w:t>Section 7:18–35: John the Baptizer sent messengers to Jesus</w:t>
      </w:r>
    </w:p>
    <w:p>
      <w:pPr/>
      <w:r>
        <w:rPr>
          <w:lang w:val="en_US" w:bidi="en_US"/>
        </w:rPr>
      </w:r>
      <w:r>
        <w:rPr>
          <w:lang w:val="en_US" w:bidi="en_US"/>
        </w:rP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pPr/>
      <w:r>
        <w:rPr>
          <w:lang w:val="en_US" w:bidi="en_US"/>
        </w:rPr>
      </w:r>
      <w:r>
        <w:rPr>
          <w:lang w:val="en_US" w:bidi="en_US"/>
        </w:rP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responds to the messengers of John the Baptizer and speaks about John to the crowd</w:t>
      </w:r>
    </w:p>
    <w:p>
      <w:pPr/>
      <w:r>
        <w:rPr>
          <w:lang w:val="en_US" w:bidi="en_US"/>
        </w:rPr>
      </w:r>
      <w:r>
        <w:rPr>
          <w:lang w:val="en_US" w:bidi="en_US"/>
        </w:rPr>
        <w:t>Jesus speaks to the people about John the Baptizer</w:t>
      </w:r>
    </w:p>
    <w:p>
      <w:pPr/>
      <w:r>
        <w:rPr>
          <w:lang w:val="en_US" w:bidi="en_US"/>
        </w:rPr>
      </w:r>
      <w:r>
        <w:rPr>
          <w:lang w:val="en_US" w:bidi="en_US"/>
        </w:rPr>
        <w:t>Jesus teaches about John the Baptizer</w:t>
      </w:r>
    </w:p>
    <w:p>
      <w:pPr/>
      <w:r>
        <w:rPr>
          <w:lang w:val="en_US" w:bidi="en_US"/>
        </w:rPr>
      </w:r>
      <w:r>
        <w:rPr>
          <w:lang w:val="en_US" w:bidi="en_US"/>
        </w:rPr>
        <w:t>There is a parallel passage for this section in Matthew 11:3–19.</w:t>
      </w:r>
    </w:p>
    <w:p>
      <w:pPr>
        <w:pStyle w:val="Heading5"/>
      </w:pPr>
      <w:r>
        <w:rPr>
          <w:lang w:val="en_US" w:bidi="en_US"/>
        </w:rPr>
        <w:t>7:32–34</w:t>
      </w:r>
    </w:p>
    <w:p>
      <w:pPr/>
      <w:r>
        <w:rPr>
          <w:lang w:val="en_US" w:bidi="en_US"/>
        </w:rPr>
      </w:r>
      <w:r>
        <w:rPr>
          <w:lang w:val="en_US" w:bidi="en_US"/>
        </w:rPr>
        <w:t>In 7:32 Jesus described children playing games in the marketplace. In one game they pretended to be celebrating a happy occasion such as a wedding where there was music and dancing. In another game they pretended to be at a funeral. But their friends would not play either game. It was impossible to satisfy them.</w:t>
      </w:r>
    </w:p>
    <w:p>
      <w:pPr/>
      <w:r>
        <w:rPr>
          <w:lang w:val="en_US" w:bidi="en_US"/>
        </w:rPr>
      </w:r>
      <w:r>
        <w:rPr>
          <w:lang w:val="en_US" w:bidi="en_US"/>
        </w:rPr>
        <w:t>Jesus used this short parable to illustrate how the people of his time, especially the religious leaders, refused to be satisfied. They were not happy either with John or with Jesus (7:33–34).</w:t>
      </w:r>
      <w:r>
        <w:rPr>
          <w:lang w:val="en_US" w:bidi="en_US"/>
        </w:rPr>
        <w:t>Commentators disagree as to the details of the analogy. There are three main views, with some slight variations. (1) Some understand that Jesus and John are like the first group of children who called to others to join them in pretending to be at a wedding and then a funeral. “The people of this generation” who rejected both John and Jesus are like the children who refused both games. (2) Others understand “the people of this generation” to refer to the first group of children. They complained that the others would not follow their lead and play their game. Similarly, the Jewish leadership complained about both John and Jesus and were unhappy that neither would do things their way. (3) Some do not see two distinct groups of children, but children in general who cannot come to agreement about what to play. The “people of this generation” are likewise childish in finding reasons to reject God’s plan. Depending on one’s view, the point of comparison changes slightly and has variously been described as:· being hard to please· childishness· selfishly uncooperative· critical and whining· unhappy that their leadership is not followedWith this difference of opinion, the Notes recommend translating in a way that does not exclude any of the possibilities. In the case that a translator will need to make the point of comparison explicit, we suggest “being hard to please,” as that is true of the children and “people of this generation” in all three views.</w:t>
      </w:r>
    </w:p>
    <w:p>
      <w:pPr>
        <w:pStyle w:val="Heading5"/>
      </w:pPr>
      <w:r>
        <w:rPr>
          <w:lang w:val="en_US" w:bidi="en_US"/>
        </w:rPr>
        <w:t>7:32</w:t>
      </w:r>
    </w:p>
    <w:p>
      <w:pPr/>
      <w:r>
        <w:rPr>
          <w:lang w:val="en_US" w:bidi="en_US"/>
        </w:rPr>
      </w:r>
      <w:r>
        <w:rPr>
          <w:lang w:val="en_US" w:bidi="en_US"/>
        </w:rPr>
        <w:t>In Greek this verse is one long sentence. It compares the people of that generation to the whole situation that Jesus described. Languages will have different ways to translate this long comparison. Some ways to do this in English are:</w:t>
      </w:r>
    </w:p>
    <w:p>
      <w:pPr/>
      <w:r>
        <w:rPr>
          <w:lang w:val="en_US" w:bidi="en_US"/>
        </w:rPr>
      </w:r>
      <w:r>
        <w:rPr>
          <w:lang w:val="en_US" w:bidi="en_US"/>
        </w:rPr>
        <w:t>they are like children sitting in the marketplace. Some called out to others…</w:t>
      </w:r>
    </w:p>
    <w:p>
      <w:pPr/>
      <w:r>
        <w:rPr>
          <w:lang w:val="en_US" w:bidi="en_US"/>
        </w:rPr>
      </w:r>
      <w:r>
        <w:rPr>
          <w:lang w:val="en_US" w:bidi="en_US"/>
        </w:rPr>
        <w:t>they act like children who sit in the marketplace and call out to each other…</w:t>
      </w:r>
    </w:p>
    <w:p>
      <w:pPr>
        <w:pStyle w:val="Heading5"/>
      </w:pPr>
      <w:r>
        <w:rPr>
          <w:lang w:val="en_US" w:bidi="en_US"/>
        </w:rPr>
        <w:t>7:32a</w:t>
      </w:r>
    </w:p>
    <w:p>
      <w:pPr/>
      <w:r>
        <w:rPr>
          <w:lang w:val="en_US" w:bidi="en_US"/>
        </w:rPr>
      </w:r>
      <w:r>
        <w:rPr>
          <w:b/>
          <w:lang w:val="en_US" w:bidi="en_US"/>
        </w:rPr>
        <w:t>They are like children sitting in the marketplace and calling out to one another:</w:t>
      </w:r>
    </w:p>
    <w:p>
      <w:pPr>
        <w:pStyle w:val="ListBullet"/>
        <w:spacing w:line="240" w:lineRule="auto"/>
        <w:ind w:left="720"/>
      </w:pPr>
      <w:r>
        <w:rPr>
          <w:lang w:val="en_US" w:bidi="en_US"/>
        </w:rPr>
      </w:r>
      <w:r>
        <w:rPr>
          <w:lang w:val="en_US" w:bidi="en_US"/>
        </w:rPr>
        <w:t xml:space="preserve">They act as if they are children </w:t>
      </w:r>
      <w:r>
        <w:rPr>
          <w:lang w:val="en_US" w:bidi="en_US"/>
        </w:rPr>
        <w:t>playing</w:t>
      </w:r>
      <w:r>
        <w:rPr>
          <w:lang w:val="en_US" w:bidi="en_US"/>
        </w:rPr>
        <w:t xml:space="preserve"> in the market, sitting and shouting to one another,</w:t>
      </w:r>
    </w:p>
    <w:p>
      <w:pPr>
        <w:pStyle w:val="ListBullet"/>
        <w:spacing w:line="240" w:lineRule="auto"/>
        <w:ind w:left="720"/>
      </w:pPr>
      <w:r>
        <w:rPr>
          <w:lang w:val="en_US" w:bidi="en_US"/>
        </w:rPr>
      </w:r>
      <w:r>
        <w:rPr>
          <w:lang w:val="en_US" w:bidi="en_US"/>
        </w:rPr>
        <w:t xml:space="preserve">You are like children in a public place who </w:t>
      </w:r>
      <w:r>
        <w:rPr>
          <w:lang w:val="en_US" w:bidi="en_US"/>
        </w:rPr>
        <w:t>are playing games</w:t>
      </w:r>
      <w:r>
        <w:rPr>
          <w:lang w:val="en_US" w:bidi="en_US"/>
        </w:rPr>
        <w:t>. Some call out to others:</w:t>
      </w:r>
    </w:p>
    <w:p>
      <w:pPr/>
      <w:r>
        <w:rPr>
          <w:lang w:val="en_US" w:bidi="en_US"/>
        </w:rPr>
      </w:r>
      <w:r>
        <w:rPr>
          <w:b/>
          <w:lang w:val="en_US" w:bidi="en_US"/>
        </w:rPr>
        <w:t>They are like:</w:t>
      </w:r>
      <w:r>
        <w:rPr>
          <w:lang w:val="en_US" w:bidi="en_US"/>
        </w:rPr>
        <w:t xml:space="preserve"> In this verse Jesus continued to refer to the people in the generation that he was addressing. If you indicated this explicitly in 7:31, you may continue to do that here. For example:</w:t>
      </w:r>
    </w:p>
    <w:p>
      <w:pPr/>
      <w:r>
        <w:rPr>
          <w:lang w:val="en_US" w:bidi="en_US"/>
        </w:rPr>
      </w:r>
      <w:r>
        <w:rPr>
          <w:lang w:val="en_US" w:bidi="en_US"/>
        </w:rPr>
        <w:t>You</w:t>
      </w:r>
      <w:r>
        <w:rPr>
          <w:vertAlign w:val="superscript"/>
          <w:lang w:val="en_US" w:bidi="en_US"/>
        </w:rPr>
        <w:t>(plur)</w:t>
      </w:r>
      <w:r>
        <w:rPr>
          <w:lang w:val="en_US" w:bidi="en_US"/>
        </w:rPr>
        <w:t xml:space="preserve"> are like</w:t>
      </w:r>
    </w:p>
    <w:p>
      <w:pPr/>
      <w:r>
        <w:rPr>
          <w:lang w:val="en_US" w:bidi="en_US"/>
        </w:rPr>
      </w:r>
      <w:r>
        <w:rPr>
          <w:b/>
          <w:lang w:val="en_US" w:bidi="en_US"/>
        </w:rPr>
        <w:t>children sitting:</w:t>
      </w:r>
      <w:r>
        <w:rPr>
          <w:lang w:val="en_US" w:bidi="en_US"/>
        </w:rPr>
        <w:t xml:space="preserve"> In this verse the children were playing games. They were pretending to do the things that they referred to. In some languages you may want to make that explicit. For example:</w:t>
      </w:r>
    </w:p>
    <w:p>
      <w:pPr/>
      <w:r>
        <w:rPr>
          <w:lang w:val="en_US" w:bidi="en_US"/>
        </w:rPr>
      </w:r>
      <w:r>
        <w:rPr>
          <w:lang w:val="en_US" w:bidi="en_US"/>
        </w:rPr>
        <w:t xml:space="preserve">children sitting </w:t>
      </w:r>
      <w:r>
        <w:rPr>
          <w:lang w:val="en_US" w:bidi="en_US"/>
        </w:rPr>
        <w:t>and playing games</w:t>
      </w:r>
    </w:p>
    <w:p>
      <w:pPr/>
      <w:r>
        <w:rPr>
          <w:lang w:val="en_US" w:bidi="en_US"/>
        </w:rPr>
      </w:r>
      <w:r>
        <w:rPr>
          <w:b/>
          <w:lang w:val="en_US" w:bidi="en_US"/>
        </w:rPr>
        <w:t>marketplace:</w:t>
      </w:r>
      <w:r>
        <w:rPr>
          <w:lang w:val="en_US" w:bidi="en_US"/>
        </w:rPr>
        <w:t xml:space="preserve"> The </w:t>
      </w:r>
      <w:r>
        <w:rPr>
          <w:i/>
          <w:lang w:val="en_US" w:bidi="en_US"/>
        </w:rPr>
        <w:t>marketplace</w:t>
      </w:r>
      <w:r>
        <w:rPr>
          <w:lang w:val="en_US" w:bidi="en_US"/>
        </w:rPr>
        <w:t xml:space="preserve"> was a large open area within the town where people came to buy and sell things. Their children had space to play together there. In some cultures the marketplace is not the most natural place where children play. In other areas there may not be a common marketplace. If this is true in your area, you can consider these options:</w:t>
      </w:r>
    </w:p>
    <w:p>
      <w:pPr>
        <w:pStyle w:val="ListBullet"/>
        <w:spacing w:line="240" w:lineRule="auto"/>
        <w:ind w:left="720"/>
      </w:pPr>
      <w:r>
        <w:rPr>
          <w:lang w:val="en_US" w:bidi="en_US"/>
        </w:rPr>
      </w:r>
      <w:r>
        <w:rPr>
          <w:lang w:val="en_US" w:bidi="en_US"/>
        </w:rPr>
        <w:t>Use a general expression. For example:</w:t>
      </w:r>
      <w:r>
        <w:rPr>
          <w:lang w:val="en_US" w:bidi="en_US"/>
        </w:rPr>
        <w:t>in a public place</w:t>
      </w:r>
      <w:r>
        <w:rPr>
          <w:lang w:val="en_US" w:bidi="en_US"/>
        </w:rPr>
        <w:t>in the public square (NLT)</w:t>
      </w:r>
    </w:p>
    <w:p>
      <w:pPr>
        <w:pStyle w:val="ListBullet"/>
        <w:spacing w:line="240" w:lineRule="auto"/>
        <w:ind w:left="720"/>
      </w:pPr>
      <w:r>
        <w:rPr>
          <w:lang w:val="en_US" w:bidi="en_US"/>
        </w:rPr>
      </w:r>
      <w:r>
        <w:rPr>
          <w:lang w:val="en_US" w:bidi="en_US"/>
        </w:rPr>
        <w:t>Use a term that refers to the place that children usually gather to play in your culture. For example:</w:t>
      </w:r>
      <w:r>
        <w:rPr>
          <w:lang w:val="en_US" w:bidi="en_US"/>
        </w:rPr>
        <w:t>in the center of the village</w:t>
      </w:r>
    </w:p>
    <w:p>
      <w:pPr/>
      <w:r>
        <w:rPr>
          <w:lang w:val="en_US" w:bidi="en_US"/>
        </w:rPr>
      </w:r>
      <w:r>
        <w:rPr>
          <w:b/>
          <w:lang w:val="en_US" w:bidi="en_US"/>
        </w:rPr>
        <w:t>calling out to one another:</w:t>
      </w:r>
      <w:r>
        <w:rPr>
          <w:lang w:val="en_US" w:bidi="en_US"/>
        </w:rPr>
        <w:t xml:space="preserve"> The phrase </w:t>
      </w:r>
      <w:r>
        <w:rPr>
          <w:i/>
          <w:lang w:val="en_US" w:bidi="en_US"/>
        </w:rPr>
        <w:t>calling out to one another</w:t>
      </w:r>
      <w:r>
        <w:rPr>
          <w:lang w:val="en_US" w:bidi="en_US"/>
        </w:rPr>
        <w:t xml:space="preserve"> probably implies that the children were playing in groups. The children in one group shouted to the children in the other group. Compare with Matthew 11:16–17. Other ways to translate this are:</w:t>
      </w:r>
    </w:p>
    <w:p>
      <w:pPr/>
      <w:r>
        <w:rPr>
          <w:lang w:val="en_US" w:bidi="en_US"/>
        </w:rPr>
      </w:r>
      <w:r>
        <w:rPr>
          <w:lang w:val="en_US" w:bidi="en_US"/>
        </w:rPr>
        <w:t>some children called out to others</w:t>
      </w:r>
    </w:p>
    <w:p>
      <w:pPr/>
      <w:r>
        <w:rPr>
          <w:lang w:val="en_US" w:bidi="en_US"/>
        </w:rPr>
      </w:r>
      <w:r>
        <w:rPr>
          <w:lang w:val="en_US" w:bidi="en_US"/>
        </w:rPr>
        <w:t>One group shouts to the other (GNT)</w:t>
      </w:r>
    </w:p>
    <w:p>
      <w:pPr>
        <w:pStyle w:val="Heading5"/>
      </w:pPr>
      <w:r>
        <w:rPr>
          <w:lang w:val="en_US" w:bidi="en_US"/>
        </w:rPr>
        <w:t>7:32b</w:t>
      </w:r>
    </w:p>
    <w:p>
      <w:pPr/>
      <w:r>
        <w:rPr>
          <w:lang w:val="en_US" w:bidi="en_US"/>
        </w:rPr>
      </w:r>
      <w:r>
        <w:rPr>
          <w:b/>
          <w:lang w:val="en_US" w:bidi="en_US"/>
        </w:rPr>
        <w:t>‘We played the flute for you, and you did not dance;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played </w:t>
      </w:r>
      <w:r>
        <w:rPr>
          <w:lang w:val="en_US" w:bidi="en_US"/>
        </w:rPr>
        <w:t>happy/wedding</w:t>
      </w:r>
      <w:r>
        <w:rPr>
          <w:lang w:val="en_US" w:bidi="en_US"/>
        </w:rPr>
        <w:t xml:space="preserve"> music for you</w:t>
      </w:r>
      <w:r>
        <w:rPr>
          <w:vertAlign w:val="superscript"/>
          <w:lang w:val="en_US" w:bidi="en_US"/>
        </w:rPr>
        <w:t>(plur)</w:t>
      </w:r>
      <w:r>
        <w:rPr>
          <w:lang w:val="en_US" w:bidi="en_US"/>
        </w:rPr>
        <w:t>, but you would not dance!</w:t>
      </w:r>
    </w:p>
    <w:p>
      <w:pPr>
        <w:pStyle w:val="ListBullet"/>
        <w:spacing w:line="240" w:lineRule="auto"/>
        <w:ind w:left="720"/>
      </w:pPr>
      <w:r>
        <w:rPr>
          <w:lang w:val="en_US" w:bidi="en_US"/>
        </w:rPr>
      </w:r>
      <w:r>
        <w:rPr>
          <w:lang w:val="en_US" w:bidi="en_US"/>
        </w:rPr>
        <w:t>‘We asked you to play “wedding” with us, but you did not want to play.</w:t>
      </w:r>
    </w:p>
    <w:p>
      <w:pPr/>
      <w:r>
        <w:rPr>
          <w:lang w:val="en_US" w:bidi="en_US"/>
        </w:rPr>
      </w:r>
      <w:r>
        <w:rPr>
          <w:b/>
          <w:lang w:val="en_US" w:bidi="en_US"/>
        </w:rPr>
        <w:t>We played the flute for you, and you did not dance:</w:t>
      </w:r>
      <w:r>
        <w:rPr>
          <w:lang w:val="en_US" w:bidi="en_US"/>
        </w:rPr>
        <w:t xml:space="preserve"> Some children wanted the others to dance for them when they pretended to play happy music on the flute. But the other group of children did not want to play that game.</w:t>
      </w:r>
    </w:p>
    <w:p>
      <w:pPr/>
      <w:r>
        <w:rPr>
          <w:lang w:val="en_US" w:bidi="en_US"/>
        </w:rPr>
      </w:r>
      <w:r>
        <w:rPr>
          <w:lang w:val="en_US" w:bidi="en_US"/>
        </w:rPr>
        <w:t>People usually played flute music so that people would dance. They played this music at feasts and other happy occasions such as weddings. In some languages it may be helpful to make this explicit. For example:</w:t>
      </w:r>
    </w:p>
    <w:p>
      <w:pPr/>
      <w:r>
        <w:rPr>
          <w:lang w:val="en_US" w:bidi="en_US"/>
        </w:rPr>
      </w:r>
      <w:r>
        <w:rPr>
          <w:lang w:val="en_US" w:bidi="en_US"/>
        </w:rPr>
        <w:t>We played wedding music for you, but you wouldn’t dance! (GNT)</w:t>
      </w:r>
    </w:p>
    <w:p>
      <w:pPr/>
      <w:r>
        <w:rPr>
          <w:lang w:val="en_US" w:bidi="en_US"/>
        </w:rPr>
      </w:r>
      <w:r>
        <w:rPr>
          <w:b/>
          <w:lang w:val="en_US" w:bidi="en_US"/>
        </w:rPr>
        <w:t>played the flute:</w:t>
      </w:r>
      <w:r>
        <w:rPr>
          <w:lang w:val="en_US" w:bidi="en_US"/>
        </w:rPr>
        <w:t xml:space="preserve"> The Greek verb that the BSB translates as </w:t>
      </w:r>
      <w:r>
        <w:rPr>
          <w:i/>
          <w:lang w:val="en_US" w:bidi="en_US"/>
        </w:rPr>
        <w:t>played the flute</w:t>
      </w:r>
      <w:r>
        <w:rPr>
          <w:lang w:val="en_US" w:bidi="en_US"/>
        </w:rPr>
        <w:t xml:space="preserve"> means to make music by blowing into a flute. The musical instrument called a </w:t>
      </w:r>
      <w:r>
        <w:rPr>
          <w:i/>
          <w:lang w:val="en_US" w:bidi="en_US"/>
        </w:rPr>
        <w:t>flute</w:t>
      </w:r>
      <w:r>
        <w:rPr>
          <w:lang w:val="en_US" w:bidi="en_US"/>
        </w:rPr>
        <w:t xml:space="preserve"> here probably consisted of one or two pipes, often made of reed, wood, or bone. In this context, Jesus mentioned the flute to represent joyful music for dancing, rather than to refer specifically to the flute. In some cultures a flute may not be used to play joyful music for dancing. If that is true in your culture, you can consider these options:</w:t>
      </w:r>
    </w:p>
    <w:p>
      <w:pPr>
        <w:pStyle w:val="ListBullet"/>
        <w:spacing w:line="240" w:lineRule="auto"/>
        <w:ind w:left="720"/>
      </w:pPr>
      <w:r>
        <w:rPr>
          <w:lang w:val="en_US" w:bidi="en_US"/>
        </w:rPr>
      </w:r>
      <w:r>
        <w:rPr>
          <w:lang w:val="en_US" w:bidi="en_US"/>
        </w:rPr>
        <w:t>Translate in a more general way. For example:</w:t>
      </w:r>
      <w:r>
        <w:rPr>
          <w:lang w:val="en_US" w:bidi="en_US"/>
        </w:rPr>
        <w:t>we played happy/joyful music</w:t>
      </w:r>
      <w:r>
        <w:rPr>
          <w:lang w:val="en_US" w:bidi="en_US"/>
        </w:rPr>
        <w:t>we played music for dancing</w:t>
      </w:r>
    </w:p>
    <w:p>
      <w:pPr>
        <w:pStyle w:val="ListBullet"/>
        <w:spacing w:line="240" w:lineRule="auto"/>
        <w:ind w:left="720"/>
      </w:pPr>
      <w:r>
        <w:rPr>
          <w:lang w:val="en_US" w:bidi="en_US"/>
        </w:rPr>
      </w:r>
      <w:r>
        <w:rPr>
          <w:lang w:val="en_US" w:bidi="en_US"/>
        </w:rPr>
        <w:t>Refer to a musical instrument in your culture that is used to accompany dancing at joyful occasions.</w:t>
      </w:r>
    </w:p>
    <w:p>
      <w:pPr>
        <w:pStyle w:val="Heading5"/>
      </w:pPr>
      <w:r>
        <w:rPr>
          <w:lang w:val="en_US" w:bidi="en_US"/>
        </w:rPr>
        <w:t>7:32c</w:t>
      </w:r>
    </w:p>
    <w:p>
      <w:pPr/>
      <w:r>
        <w:rPr>
          <w:lang w:val="en_US" w:bidi="en_US"/>
        </w:rPr>
      </w:r>
      <w:r>
        <w:rPr>
          <w:b/>
          <w:lang w:val="en_US" w:bidi="en_US"/>
        </w:rPr>
        <w:t>we sang a dirge, and you did not weep.’</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sang a funeral song, but you</w:t>
      </w:r>
      <w:r>
        <w:rPr>
          <w:vertAlign w:val="superscript"/>
          <w:lang w:val="en_US" w:bidi="en_US"/>
        </w:rPr>
        <w:t>(plur)</w:t>
      </w:r>
      <w:r>
        <w:rPr>
          <w:lang w:val="en_US" w:bidi="en_US"/>
        </w:rPr>
        <w:t xml:space="preserve"> would not weep/mourn!’</w:t>
      </w:r>
    </w:p>
    <w:p>
      <w:pPr>
        <w:pStyle w:val="ListBullet"/>
        <w:spacing w:line="240" w:lineRule="auto"/>
        <w:ind w:left="720"/>
      </w:pPr>
      <w:r>
        <w:rPr>
          <w:lang w:val="en_US" w:bidi="en_US"/>
        </w:rPr>
      </w:r>
      <w:r>
        <w:rPr>
          <w:lang w:val="en_US" w:bidi="en_US"/>
        </w:rPr>
        <w:t>Then we invited you to play “funeral” but you did not want to play that either.’</w:t>
      </w:r>
    </w:p>
    <w:p>
      <w:pPr/>
      <w:r>
        <w:rPr>
          <w:lang w:val="en_US" w:bidi="en_US"/>
        </w:rPr>
      </w:r>
      <w:r>
        <w:rPr>
          <w:b/>
          <w:lang w:val="en_US" w:bidi="en_US"/>
        </w:rPr>
        <w:t>we sang a dirge, and you did not weep:</w:t>
      </w:r>
      <w:r>
        <w:rPr>
          <w:lang w:val="en_US" w:bidi="en_US"/>
        </w:rPr>
        <w:t xml:space="preserve"> The Greek word that the BSB translates as </w:t>
      </w:r>
      <w:r>
        <w:rPr>
          <w:i/>
          <w:lang w:val="en_US" w:bidi="en_US"/>
        </w:rPr>
        <w:t>sang a dirge</w:t>
      </w:r>
      <w:r>
        <w:rPr>
          <w:lang w:val="en_US" w:bidi="en_US"/>
        </w:rPr>
        <w:t xml:space="preserve"> often refers to the mourning that occurs at funerals. It can also refer to the chants or songs that are sung at funerals. This meaning fits well in this context, since 7:32b also described music. Another way to translate this is:</w:t>
      </w:r>
    </w:p>
    <w:p>
      <w:pPr/>
      <w:r>
        <w:rPr>
          <w:lang w:val="en_US" w:bidi="en_US"/>
        </w:rPr>
      </w:r>
      <w:r>
        <w:rPr>
          <w:lang w:val="en_US" w:bidi="en_US"/>
        </w:rPr>
        <w:t>We sang funeral songs, but you wouldn’t cry! (GNT)</w:t>
      </w:r>
    </w:p>
    <w:p>
      <w:pPr>
        <w:pStyle w:val="Heading6"/>
      </w:pPr>
      <w:r>
        <w:rPr>
          <w:b/>
          <w:lang w:val="en_US" w:bidi="en_US"/>
        </w:rPr>
        <w:t>General Comment on 7:32a–c</w:t>
      </w:r>
    </w:p>
    <w:p>
      <w:pPr/>
      <w:r>
        <w:rPr>
          <w:lang w:val="en_US" w:bidi="en_US"/>
        </w:rPr>
      </w:r>
      <w:r>
        <w:rPr>
          <w:lang w:val="en_US" w:bidi="en_US"/>
        </w:rPr>
        <w:t>There are different ways to describe the way in which the people of Jesus’ generation were like the children that Jesus described. In some languages it may be necessary to make the point of similarity explicit. If that is true in your language, you may be able to say:</w:t>
      </w:r>
    </w:p>
    <w:p>
      <w:pPr/>
      <w:r>
        <w:rPr>
          <w:lang w:val="en_US" w:bidi="en_US"/>
        </w:rPr>
      </w:r>
      <w:r>
        <w:rPr>
          <w:lang w:val="en_US" w:bidi="en_US"/>
        </w:rPr>
        <w:t xml:space="preserve">They are like when children sit and play games in the marketplace, and are </w:t>
      </w:r>
      <w:r>
        <w:rPr>
          <w:lang w:val="en_US" w:bidi="en_US"/>
        </w:rPr>
        <w:t>impossible to please</w:t>
      </w:r>
      <w:r>
        <w:rPr>
          <w:lang w:val="en_US" w:bidi="en_US"/>
        </w:rPr>
        <w:t>. Some children call to others saying…</w:t>
      </w:r>
      <w:r>
        <w:rPr>
          <w:lang w:val="en_US" w:bidi="en_US"/>
        </w:rPr>
      </w:r>
      <w:r>
        <w:rPr>
          <w:lang w:val="en_US" w:bidi="en_US"/>
        </w:rPr>
      </w:r>
    </w:p>
    <w:p>
      <w:pPr/>
      <w:r>
        <w:rPr>
          <w:lang w:val="en_US" w:bidi="en_US"/>
        </w:rPr>
      </w:r>
    </w:p>
    <w:p>
      <w:pPr>
        <w:pStyle w:val="Heading2"/>
      </w:pPr>
      <w:r>
        <w:rPr>
          <w:lang w:val="en_US" w:bidi="en_US"/>
        </w:rPr>
        <w:t>Luke 7:33</w:t>
      </w:r>
      <w:r>
        <w:rPr>
          <w:lang w:val="en_US" w:bidi="en_US"/>
        </w:rPr>
      </w:r>
    </w:p>
    <w:p>
      <w:pPr>
        <w:pStyle w:val="Heading4"/>
      </w:pPr>
      <w:r>
        <w:rPr>
          <w:lang w:val="en_US" w:bidi="en_US"/>
        </w:rPr>
        <w:t>Section 7:18–35: John the Baptizer sent messengers to Jesus</w:t>
      </w:r>
    </w:p>
    <w:p>
      <w:pPr/>
      <w:r>
        <w:rPr>
          <w:lang w:val="en_US" w:bidi="en_US"/>
        </w:rPr>
      </w:r>
      <w:r>
        <w:rPr>
          <w:lang w:val="en_US" w:bidi="en_US"/>
        </w:rP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pPr/>
      <w:r>
        <w:rPr>
          <w:lang w:val="en_US" w:bidi="en_US"/>
        </w:rPr>
      </w:r>
      <w:r>
        <w:rPr>
          <w:lang w:val="en_US" w:bidi="en_US"/>
        </w:rP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responds to the messengers of John the Baptizer and speaks about John to the crowd</w:t>
      </w:r>
    </w:p>
    <w:p>
      <w:pPr/>
      <w:r>
        <w:rPr>
          <w:lang w:val="en_US" w:bidi="en_US"/>
        </w:rPr>
      </w:r>
      <w:r>
        <w:rPr>
          <w:lang w:val="en_US" w:bidi="en_US"/>
        </w:rPr>
        <w:t>Jesus speaks to the people about John the Baptizer</w:t>
      </w:r>
    </w:p>
    <w:p>
      <w:pPr/>
      <w:r>
        <w:rPr>
          <w:lang w:val="en_US" w:bidi="en_US"/>
        </w:rPr>
      </w:r>
      <w:r>
        <w:rPr>
          <w:lang w:val="en_US" w:bidi="en_US"/>
        </w:rPr>
        <w:t>Jesus teaches about John the Baptizer</w:t>
      </w:r>
    </w:p>
    <w:p>
      <w:pPr/>
      <w:r>
        <w:rPr>
          <w:lang w:val="en_US" w:bidi="en_US"/>
        </w:rPr>
      </w:r>
      <w:r>
        <w:rPr>
          <w:lang w:val="en_US" w:bidi="en_US"/>
        </w:rPr>
        <w:t>There is a parallel passage for this section in Matthew 11:3–19.</w:t>
      </w:r>
    </w:p>
    <w:p>
      <w:pPr>
        <w:pStyle w:val="Heading5"/>
      </w:pPr>
      <w:r>
        <w:rPr>
          <w:lang w:val="en_US" w:bidi="en_US"/>
        </w:rPr>
        <w:t>7:33a</w:t>
      </w:r>
    </w:p>
    <w:p>
      <w:pPr/>
      <w:r>
        <w:rPr>
          <w:lang w:val="en_US" w:bidi="en_US"/>
        </w:rPr>
      </w:r>
      <w:r>
        <w:rPr>
          <w:b/>
          <w:lang w:val="en_US" w:bidi="en_US"/>
        </w:rPr>
        <w:t>For John the Baptist came neither eating bread nor drinking wine,</w:t>
      </w:r>
    </w:p>
    <w:p>
      <w:pPr>
        <w:pStyle w:val="ListBullet"/>
        <w:spacing w:line="240" w:lineRule="auto"/>
        <w:ind w:left="720"/>
      </w:pPr>
      <w:r>
        <w:rPr>
          <w:lang w:val="en_US" w:bidi="en_US"/>
        </w:rPr>
      </w:r>
      <w:r>
        <w:rPr>
          <w:lang w:val="en_US" w:bidi="en_US"/>
        </w:rPr>
        <w:t xml:space="preserve">For when John the Baptizer came, he did not eat </w:t>
      </w:r>
      <w:r>
        <w:rPr>
          <w:lang w:val="en_US" w:bidi="en_US"/>
        </w:rPr>
        <w:t>normal/usual</w:t>
      </w:r>
      <w:r>
        <w:rPr>
          <w:lang w:val="en_US" w:bidi="en_US"/>
        </w:rPr>
        <w:t xml:space="preserve"> food and he did not drink wine,</w:t>
      </w:r>
    </w:p>
    <w:p>
      <w:pPr>
        <w:pStyle w:val="ListBullet"/>
        <w:spacing w:line="240" w:lineRule="auto"/>
        <w:ind w:left="720"/>
      </w:pPr>
      <w:r>
        <w:rPr>
          <w:lang w:val="en_US" w:bidi="en_US"/>
        </w:rPr>
      </w:r>
      <w:r>
        <w:rPr>
          <w:lang w:val="en_US" w:bidi="en_US"/>
        </w:rPr>
        <w:t>I say this</w:t>
      </w:r>
      <w:r>
        <w:rPr>
          <w:lang w:val="en_US" w:bidi="en_US"/>
        </w:rPr>
        <w:t xml:space="preserve"> because John, the one who baptizes people, chose to </w:t>
      </w:r>
      <w:r>
        <w:rPr>
          <w:lang w:val="en_US" w:bidi="en_US"/>
        </w:rPr>
        <w:t>eat the simplest food,</w:t>
      </w:r>
      <w:r>
        <w:rPr>
          <w:lang w:val="en_US" w:bidi="en_US"/>
        </w:rPr>
        <w:t xml:space="preserve"> not even having bread or wine;</w:t>
      </w:r>
    </w:p>
    <w:p>
      <w:pPr/>
      <w:r>
        <w:rPr>
          <w:lang w:val="en_US" w:bidi="en_US"/>
        </w:rPr>
      </w:r>
      <w:r>
        <w:rPr>
          <w:b/>
          <w:lang w:val="en_US" w:bidi="en_US"/>
        </w:rPr>
        <w:t>For:</w:t>
      </w:r>
      <w:r>
        <w:rPr>
          <w:lang w:val="en_US" w:bidi="en_US"/>
        </w:rPr>
        <w:t xml:space="preserve"> Verses 7:33–34 explain how “the people of this generation” are like the children of 7:32. The Greek conjunction that the BSB translates as </w:t>
      </w:r>
      <w:r>
        <w:rPr>
          <w:i/>
          <w:lang w:val="en_US" w:bidi="en_US"/>
        </w:rPr>
        <w:t>For</w:t>
      </w:r>
      <w:r>
        <w:rPr>
          <w:lang w:val="en_US" w:bidi="en_US"/>
        </w:rPr>
        <w:t xml:space="preserve"> here indicates this connection. Use a natural way in your language to make this connection clear. For example:</w:t>
      </w:r>
    </w:p>
    <w:p>
      <w:pPr/>
      <w:r>
        <w:rPr>
          <w:lang w:val="en_US" w:bidi="en_US"/>
        </w:rPr>
      </w:r>
      <w:r>
        <w:rPr>
          <w:lang w:val="en_US" w:bidi="en_US"/>
        </w:rPr>
        <w:t>In the same way (TRT)</w:t>
      </w:r>
    </w:p>
    <w:p>
      <w:pPr/>
      <w:r>
        <w:rPr>
          <w:lang w:val="en_US" w:bidi="en_US"/>
        </w:rPr>
      </w:r>
      <w:r>
        <w:rPr>
          <w:lang w:val="en_US" w:bidi="en_US"/>
        </w:rPr>
        <w:t>In some languages it may be necessary or helpful to make this connection more explicit. For example:</w:t>
      </w:r>
    </w:p>
    <w:p>
      <w:pPr/>
      <w:r>
        <w:rPr>
          <w:lang w:val="en_US" w:bidi="en_US"/>
        </w:rPr>
      </w:r>
      <w:r>
        <w:rPr>
          <w:lang w:val="en_US" w:bidi="en_US"/>
        </w:rPr>
        <w:t>This generation of people is like them</w:t>
      </w:r>
      <w:r>
        <w:rPr>
          <w:lang w:val="en_US" w:bidi="en_US"/>
        </w:rPr>
        <w:t xml:space="preserve"> because</w:t>
      </w:r>
    </w:p>
    <w:p>
      <w:pPr/>
      <w:r>
        <w:rPr>
          <w:lang w:val="en_US" w:bidi="en_US"/>
        </w:rPr>
      </w:r>
      <w:r>
        <w:rPr>
          <w:lang w:val="en_US" w:bidi="en_US"/>
        </w:rPr>
        <w:t>These children represent how people are acting today. I say this</w:t>
      </w:r>
      <w:r>
        <w:rPr>
          <w:lang w:val="en_US" w:bidi="en_US"/>
        </w:rPr>
        <w:t xml:space="preserve"> because</w:t>
      </w:r>
    </w:p>
    <w:p>
      <w:pPr/>
      <w:r>
        <w:rPr>
          <w:lang w:val="en_US" w:bidi="en_US"/>
        </w:rPr>
      </w:r>
      <w:r>
        <w:rPr>
          <w:b/>
          <w:lang w:val="en_US" w:bidi="en_US"/>
        </w:rPr>
        <w:t>John the Baptist came neither eating bread nor drinking wine:</w:t>
      </w:r>
      <w:r>
        <w:rPr>
          <w:lang w:val="en_US" w:bidi="en_US"/>
        </w:rPr>
        <w:t xml:space="preserve"> This part of the verse indicates that John did not eat normal food during the time when he was living and preaching in the wilderness. He lived like that in order to express his dedication to God.</w:t>
      </w:r>
    </w:p>
    <w:p>
      <w:pPr/>
      <w:r>
        <w:rPr>
          <w:lang w:val="en_US" w:bidi="en_US"/>
        </w:rPr>
      </w:r>
      <w:r>
        <w:rPr>
          <w:lang w:val="en_US" w:bidi="en_US"/>
        </w:rPr>
        <w:t xml:space="preserve">In this context the word </w:t>
      </w:r>
      <w:r>
        <w:rPr>
          <w:i/>
          <w:lang w:val="en_US" w:bidi="en_US"/>
        </w:rPr>
        <w:t>came</w:t>
      </w:r>
      <w:r>
        <w:rPr>
          <w:lang w:val="en_US" w:bidi="en_US"/>
        </w:rPr>
        <w:t xml:space="preserve"> is used in a general way to describe the time when John was preaching in the wilderness. It introduces the way John usually lived. It does not indicate that John the Baptizer came to a particular place. In some languages a literal translation may imply a wrong meaning. If that is true in your language, here are some other ways to translate this:</w:t>
      </w:r>
    </w:p>
    <w:p>
      <w:pPr/>
      <w:r>
        <w:rPr>
          <w:lang w:val="en_US" w:bidi="en_US"/>
        </w:rPr>
      </w:r>
      <w:r>
        <w:rPr>
          <w:lang w:val="en_US" w:bidi="en_US"/>
        </w:rPr>
        <w:t>For John the Baptist had the custom of not eating bread or drinking wine</w:t>
      </w:r>
    </w:p>
    <w:p>
      <w:pPr/>
      <w:r>
        <w:rPr>
          <w:lang w:val="en_US" w:bidi="en_US"/>
        </w:rPr>
      </w:r>
      <w:r>
        <w:rPr>
          <w:lang w:val="en_US" w:bidi="en_US"/>
        </w:rPr>
        <w:t>John the Baptist did not go around eating and drinking (CEV)</w:t>
      </w:r>
    </w:p>
    <w:p>
      <w:pPr/>
      <w:r>
        <w:rPr>
          <w:lang w:val="en_US" w:bidi="en_US"/>
        </w:rPr>
      </w:r>
      <w:r>
        <w:rPr>
          <w:b/>
          <w:lang w:val="en_US" w:bidi="en_US"/>
        </w:rPr>
        <w:t>neither eating bread:</w:t>
      </w:r>
      <w:r>
        <w:rPr>
          <w:lang w:val="en_US" w:bidi="en_US"/>
        </w:rPr>
        <w:t xml:space="preserve"> There are two ways to interpret the word </w:t>
      </w:r>
      <w:r>
        <w:rPr>
          <w:i/>
          <w:lang w:val="en_US" w:bidi="en_US"/>
        </w:rPr>
        <w:t>bread</w:t>
      </w:r>
      <w:r>
        <w:rPr>
          <w:lang w:val="en_US" w:bidi="en_US"/>
        </w:rPr>
        <w:t xml:space="preserve"> and the meaning of the phrase </w:t>
      </w:r>
      <w:r>
        <w:rPr>
          <w:i/>
          <w:lang w:val="en_US" w:bidi="en_US"/>
        </w:rPr>
        <w:t>neither eating bread</w:t>
      </w:r>
      <w:r>
        <w:rPr>
          <w:lang w:val="en_US" w:bidi="en_US"/>
        </w:rPr>
        <w:t xml:space="preserve"> in this context:</w:t>
      </w:r>
    </w:p>
    <w:p>
      <w:pPr>
        <w:pStyle w:val="ListNumber"/>
        <w:numPr>
          <w:ilvl w:val="0"/>
          <w:numId w:val="149"/>
        </w:numPr>
        <w:spacing w:line="240" w:lineRule="auto"/>
        <w:ind w:left="720"/>
      </w:pPr>
      <w:r>
        <w:rPr>
          <w:lang w:val="en_US" w:bidi="en_US"/>
        </w:rPr>
      </w:r>
      <w:r>
        <w:rPr>
          <w:lang w:val="en_US" w:bidi="en_US"/>
        </w:rPr>
        <w:t xml:space="preserve">The word </w:t>
      </w:r>
      <w:r>
        <w:rPr>
          <w:i/>
          <w:lang w:val="en_US" w:bidi="en_US"/>
        </w:rPr>
        <w:t>bread</w:t>
      </w:r>
      <w:r>
        <w:rPr>
          <w:lang w:val="en_US" w:bidi="en_US"/>
        </w:rPr>
        <w:t xml:space="preserve"> refers to the usual daily food of the Jews, which was bread. So the phrase </w:t>
      </w:r>
      <w:r>
        <w:rPr>
          <w:i/>
          <w:lang w:val="en_US" w:bidi="en_US"/>
        </w:rPr>
        <w:t>neither eating bread</w:t>
      </w:r>
      <w:r>
        <w:rPr>
          <w:lang w:val="en_US" w:bidi="en_US"/>
        </w:rPr>
        <w:t xml:space="preserve"> indicates that John </w:t>
      </w:r>
      <w:r>
        <w:rPr>
          <w:u w:val="single"/>
          <w:lang w:val="en_US" w:bidi="en_US"/>
        </w:rPr>
        <w:t>did not eat normal food</w:t>
      </w:r>
      <w:r>
        <w:rPr>
          <w:lang w:val="en_US" w:bidi="en_US"/>
        </w:rPr>
        <w:t>. Mark 1:6 records that he ate locusts and wild honey. One way to translate this is:</w:t>
      </w:r>
      <w:r>
        <w:rPr>
          <w:lang w:val="en_US" w:bidi="en_US"/>
        </w:rPr>
        <w:t xml:space="preserve">not eating the usual food </w:t>
      </w:r>
      <w:r>
        <w:rPr>
          <w:i/>
          <w:lang w:val="en_US" w:bidi="en_US"/>
        </w:rPr>
        <w:t>(BSB, RSV, NIV, NJB, NASB, KJV, REB, NET, GW, NCV)</w:t>
      </w:r>
    </w:p>
    <w:p>
      <w:pPr>
        <w:pStyle w:val="ListNumber"/>
        <w:spacing w:line="240" w:lineRule="auto"/>
        <w:ind w:left="720"/>
      </w:pPr>
      <w:r>
        <w:rPr>
          <w:lang w:val="en_US" w:bidi="en_US"/>
        </w:rPr>
      </w:r>
      <w:r>
        <w:rPr>
          <w:lang w:val="en_US" w:bidi="en_US"/>
        </w:rPr>
        <w:t xml:space="preserve">The word </w:t>
      </w:r>
      <w:r>
        <w:rPr>
          <w:i/>
          <w:lang w:val="en_US" w:bidi="en_US"/>
        </w:rPr>
        <w:t>bread</w:t>
      </w:r>
      <w:r>
        <w:rPr>
          <w:lang w:val="en_US" w:bidi="en_US"/>
        </w:rPr>
        <w:t xml:space="preserve"> refers to food in general. So </w:t>
      </w:r>
      <w:r>
        <w:rPr>
          <w:i/>
          <w:lang w:val="en_US" w:bidi="en_US"/>
        </w:rPr>
        <w:t>neither eating bread</w:t>
      </w:r>
      <w:r>
        <w:rPr>
          <w:lang w:val="en_US" w:bidi="en_US"/>
        </w:rPr>
        <w:t xml:space="preserve"> refers to his custom of </w:t>
      </w:r>
      <w:r>
        <w:rPr>
          <w:u w:val="single"/>
          <w:lang w:val="en_US" w:bidi="en_US"/>
        </w:rPr>
        <w:t>frequent fasting</w:t>
      </w:r>
      <w:r>
        <w:rPr>
          <w:lang w:val="en_US" w:bidi="en_US"/>
        </w:rPr>
        <w:t>. This does not mean that John never ate food. For example:</w:t>
      </w:r>
      <w:r>
        <w:rPr>
          <w:lang w:val="en_US" w:bidi="en_US"/>
        </w:rPr>
        <w:t xml:space="preserve">he fasted (GNT) </w:t>
      </w:r>
      <w:r>
        <w:rPr>
          <w:i/>
          <w:lang w:val="en_US" w:bidi="en_US"/>
        </w:rPr>
        <w:t>(GNT, NLT96)</w:t>
      </w:r>
    </w:p>
    <w:p>
      <w:pPr/>
      <w:r>
        <w:rPr>
          <w:lang w:val="en_US" w:bidi="en_US"/>
        </w:rPr>
      </w:r>
      <w:r>
        <w:rPr>
          <w:lang w:val="en_US" w:bidi="en_US"/>
        </w:rPr>
        <w:t>It is recommended that you follow interpretation (1), since it is followed by the majority of English versions. Also, the Pharisees also fasted, so it would not be a likely reason for them to say, “He has a demon!”</w:t>
      </w:r>
    </w:p>
    <w:p>
      <w:pPr/>
      <w:r>
        <w:rPr>
          <w:lang w:val="en_US" w:bidi="en_US"/>
        </w:rPr>
      </w:r>
      <w:r>
        <w:rPr>
          <w:lang w:val="en_US" w:bidi="en_US"/>
        </w:rPr>
        <w:t>If bread is not the usual food of ordinary people in your culture, it may be necessary to add some implied information. For example:</w:t>
      </w:r>
    </w:p>
    <w:p>
      <w:pPr/>
      <w:r>
        <w:rPr>
          <w:lang w:val="en_US" w:bidi="en_US"/>
        </w:rPr>
      </w:r>
      <w:r>
        <w:rPr>
          <w:lang w:val="en_US" w:bidi="en_US"/>
        </w:rPr>
        <w:t xml:space="preserve">he did not eat </w:t>
      </w:r>
      <w:r>
        <w:rPr>
          <w:lang w:val="en_US" w:bidi="en_US"/>
        </w:rPr>
        <w:t>normal food such as</w:t>
      </w:r>
      <w:r>
        <w:rPr>
          <w:lang w:val="en_US" w:bidi="en_US"/>
        </w:rPr>
        <w:t xml:space="preserve"> bread</w:t>
      </w:r>
    </w:p>
    <w:p>
      <w:pPr/>
      <w:r>
        <w:rPr>
          <w:lang w:val="en_US" w:bidi="en_US"/>
        </w:rPr>
      </w:r>
      <w:r>
        <w:rPr>
          <w:lang w:val="en_US" w:bidi="en_US"/>
        </w:rPr>
        <w:t>However, in some languages this example might wrongly imply that John ate better or more expensive food than bread. If that is true in your language, you may need to say something like:</w:t>
      </w:r>
    </w:p>
    <w:p>
      <w:pPr/>
      <w:r>
        <w:rPr>
          <w:lang w:val="en_US" w:bidi="en_US"/>
        </w:rPr>
      </w:r>
      <w:r>
        <w:rPr>
          <w:lang w:val="en_US" w:bidi="en_US"/>
        </w:rPr>
        <w:t xml:space="preserve">he </w:t>
      </w:r>
      <w:r>
        <w:rPr>
          <w:lang w:val="en_US" w:bidi="en_US"/>
        </w:rPr>
        <w:t>chose to eat the simplest of food</w:t>
      </w:r>
      <w:r>
        <w:rPr>
          <w:lang w:val="en_US" w:bidi="en_US"/>
        </w:rPr>
        <w:t xml:space="preserve"> and did not </w:t>
      </w:r>
      <w:r>
        <w:rPr>
          <w:lang w:val="en_US" w:bidi="en_US"/>
        </w:rPr>
        <w:t>even</w:t>
      </w:r>
      <w:r>
        <w:rPr>
          <w:lang w:val="en_US" w:bidi="en_US"/>
        </w:rPr>
        <w:t xml:space="preserve"> eat bread or drink wine</w:t>
      </w:r>
    </w:p>
    <w:p>
      <w:pPr/>
      <w:r>
        <w:rPr>
          <w:lang w:val="en_US" w:bidi="en_US"/>
        </w:rPr>
      </w:r>
      <w:r>
        <w:rPr>
          <w:lang w:val="en_US" w:bidi="en_US"/>
        </w:rPr>
        <w:t xml:space="preserve">he chose to go without </w:t>
      </w:r>
      <w:r>
        <w:rPr>
          <w:lang w:val="en_US" w:bidi="en_US"/>
        </w:rPr>
        <w:t>even</w:t>
      </w:r>
      <w:r>
        <w:rPr>
          <w:lang w:val="en_US" w:bidi="en_US"/>
        </w:rPr>
        <w:t xml:space="preserve"> bread and wine</w:t>
      </w:r>
    </w:p>
    <w:p>
      <w:pPr/>
      <w:r>
        <w:rPr>
          <w:lang w:val="en_US" w:bidi="en_US"/>
        </w:rPr>
      </w:r>
      <w:r>
        <w:rPr>
          <w:b/>
          <w:lang w:val="en_US" w:bidi="en_US"/>
        </w:rPr>
        <w:t>wine:</w:t>
      </w:r>
      <w:r>
        <w:rPr>
          <w:lang w:val="en_US" w:bidi="en_US"/>
        </w:rPr>
        <w:t xml:space="preserve"> The word </w:t>
      </w:r>
      <w:r>
        <w:rPr>
          <w:i/>
          <w:lang w:val="en_US" w:bidi="en_US"/>
        </w:rPr>
        <w:t>wine</w:t>
      </w:r>
      <w:r>
        <w:rPr>
          <w:lang w:val="en_US" w:bidi="en_US"/>
        </w:rPr>
        <w:t xml:space="preserve"> refers to an alcoholic drink. It is made from the juice of a fruit called grapes. When grape juice ferments, it becomes wine.</w:t>
      </w:r>
    </w:p>
    <w:p>
      <w:pPr/>
      <w:r>
        <w:rPr>
          <w:lang w:val="en_US" w:bidi="en_US"/>
        </w:rPr>
      </w:r>
      <w:r>
        <w:rPr>
          <w:lang w:val="en_US" w:bidi="en_US"/>
        </w:rPr>
        <w:t xml:space="preserve">In some areas, people may not be familiar with grapes or with wine. If that is true in your area, some other ways to translate </w:t>
      </w:r>
      <w:r>
        <w:rPr>
          <w:i/>
          <w:lang w:val="en_US" w:bidi="en_US"/>
        </w:rPr>
        <w:t>wine</w:t>
      </w:r>
      <w:r>
        <w:rPr>
          <w:lang w:val="en_US" w:bidi="en_US"/>
        </w:rPr>
        <w:t xml:space="preserve"> are:</w:t>
      </w:r>
    </w:p>
    <w:p>
      <w:pPr>
        <w:pStyle w:val="ListBullet"/>
        <w:spacing w:line="240" w:lineRule="auto"/>
        <w:ind w:left="720"/>
      </w:pPr>
      <w:r>
        <w:rPr>
          <w:lang w:val="en_US" w:bidi="en_US"/>
        </w:rPr>
      </w:r>
      <w:r>
        <w:rPr>
          <w:lang w:val="en_US" w:bidi="en_US"/>
        </w:rPr>
        <w:t>Use a general term for an alcoholic drink.</w:t>
      </w:r>
    </w:p>
    <w:p>
      <w:pPr>
        <w:pStyle w:val="ListBullet"/>
        <w:spacing w:line="240" w:lineRule="auto"/>
        <w:ind w:left="720"/>
      </w:pPr>
      <w:r>
        <w:rPr>
          <w:lang w:val="en_US" w:bidi="en_US"/>
        </w:rPr>
      </w:r>
      <w:r>
        <w:rPr>
          <w:lang w:val="en_US" w:bidi="en_US"/>
        </w:rPr>
        <w:t>Use a specific term that can also be used to refer to alcoholic drinks in general. For example:</w:t>
      </w:r>
      <w:r>
        <w:rPr>
          <w:lang w:val="en_US" w:bidi="en_US"/>
        </w:rPr>
        <w:t>millet beer</w:t>
      </w:r>
      <w:r>
        <w:rPr>
          <w:lang w:val="en_US" w:bidi="en_US"/>
        </w:rPr>
        <w:t>palm wine</w:t>
      </w:r>
      <w:r>
        <w:rPr>
          <w:lang w:val="en_US" w:bidi="en_US"/>
        </w:rPr>
        <w:t>something like palm wine</w:t>
      </w:r>
    </w:p>
    <w:p>
      <w:pPr>
        <w:pStyle w:val="ListBullet"/>
        <w:spacing w:line="240" w:lineRule="auto"/>
        <w:ind w:left="720"/>
      </w:pPr>
      <w:r>
        <w:rPr>
          <w:lang w:val="en_US" w:bidi="en_US"/>
        </w:rPr>
      </w:r>
      <w:r>
        <w:rPr>
          <w:lang w:val="en_US" w:bidi="en_US"/>
        </w:rPr>
        <w:t>Use a descriptive phrase. For example:</w:t>
      </w:r>
      <w:r>
        <w:rPr>
          <w:lang w:val="en_US" w:bidi="en_US"/>
        </w:rPr>
        <w:t>fruit juice/water</w:t>
      </w:r>
      <w:r>
        <w:rPr>
          <w:lang w:val="en_US" w:bidi="en_US"/>
        </w:rPr>
        <w:t>grape juice</w:t>
      </w:r>
      <w:r>
        <w:rPr>
          <w:lang w:val="en_US" w:bidi="en_US"/>
        </w:rPr>
        <w:t>fermented grape juice</w:t>
      </w:r>
    </w:p>
    <w:p>
      <w:pPr/>
      <w:r>
        <w:rPr>
          <w:lang w:val="en_US" w:bidi="en_US"/>
        </w:rPr>
      </w:r>
      <w:r>
        <w:rPr>
          <w:lang w:val="en_US" w:bidi="en_US"/>
        </w:rPr>
        <w:t>Wine was a common drink among the Jews. But too much wine could make a person drunk. The angel Gabriel had told John’s father that John must never drink wine. (See 1:15.)</w:t>
      </w:r>
    </w:p>
    <w:p>
      <w:pPr>
        <w:pStyle w:val="Heading5"/>
      </w:pPr>
      <w:r>
        <w:rPr>
          <w:lang w:val="en_US" w:bidi="en_US"/>
        </w:rPr>
        <w:t>7:33b</w:t>
      </w:r>
    </w:p>
    <w:p>
      <w:pPr/>
      <w:r>
        <w:rPr>
          <w:lang w:val="en_US" w:bidi="en_US"/>
        </w:rPr>
      </w:r>
      <w:r>
        <w:rPr>
          <w:b/>
          <w:lang w:val="en_US" w:bidi="en_US"/>
        </w:rPr>
        <w:t>and you say, ‘He has a demon!’</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say, ‘He is controlled by a demon!’</w:t>
      </w:r>
    </w:p>
    <w:p>
      <w:pPr>
        <w:pStyle w:val="ListBullet"/>
        <w:spacing w:line="240" w:lineRule="auto"/>
        <w:ind w:left="720"/>
      </w:pPr>
      <w:r>
        <w:rPr>
          <w:lang w:val="en_US" w:bidi="en_US"/>
        </w:rPr>
      </w:r>
      <w:r>
        <w:rPr>
          <w:lang w:val="en_US" w:bidi="en_US"/>
        </w:rPr>
        <w:t>and as a result,</w:t>
      </w:r>
      <w:r>
        <w:rPr>
          <w:lang w:val="en_US" w:bidi="en_US"/>
        </w:rPr>
        <w:t xml:space="preserve"> you</w:t>
      </w:r>
      <w:r>
        <w:rPr>
          <w:vertAlign w:val="superscript"/>
          <w:lang w:val="en_US" w:bidi="en_US"/>
        </w:rPr>
        <w:t>(plur)</w:t>
      </w:r>
      <w:r>
        <w:rPr>
          <w:lang w:val="en_US" w:bidi="en_US"/>
        </w:rPr>
        <w:t xml:space="preserve"> </w:t>
      </w:r>
      <w:r>
        <w:rPr>
          <w:lang w:val="en_US" w:bidi="en_US"/>
        </w:rPr>
        <w:t>rejected him</w:t>
      </w:r>
      <w:r>
        <w:rPr>
          <w:lang w:val="en_US" w:bidi="en_US"/>
        </w:rPr>
        <w:t>. You say that he is insane/crazy!</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here has the meaning “and as a result.” John’s custom of not eating bread or drinking wine is what caused these people to conclude that he had a demon. Translate this connection in a way that is natural in your language.</w:t>
      </w:r>
    </w:p>
    <w:p>
      <w:pPr/>
      <w:r>
        <w:rPr>
          <w:lang w:val="en_US" w:bidi="en_US"/>
        </w:rPr>
      </w:r>
      <w:r>
        <w:rPr>
          <w:b/>
          <w:lang w:val="en_US" w:bidi="en_US"/>
        </w:rPr>
        <w:t>you say, ‘He has a demon!’:</w:t>
      </w:r>
      <w:r>
        <w:rPr>
          <w:lang w:val="en_US" w:bidi="en_US"/>
        </w:rPr>
        <w:t xml:space="preserve"> The form of the Greek verb that the BSB translates as </w:t>
      </w:r>
      <w:r>
        <w:rPr>
          <w:i/>
          <w:lang w:val="en_US" w:bidi="en_US"/>
        </w:rPr>
        <w:t>you say</w:t>
      </w:r>
      <w:r>
        <w:rPr>
          <w:lang w:val="en_US" w:bidi="en_US"/>
        </w:rPr>
        <w:t xml:space="preserve"> is plural. In this part of the verse, Jesus spoke directly to the people who rejected him and John.</w:t>
      </w:r>
    </w:p>
    <w:p>
      <w:pPr/>
      <w:r>
        <w:rPr>
          <w:lang w:val="en_US" w:bidi="en_US"/>
        </w:rPr>
      </w:r>
      <w:r>
        <w:rPr>
          <w:lang w:val="en_US" w:bidi="en_US"/>
        </w:rPr>
        <w:t xml:space="preserve">The words </w:t>
      </w:r>
      <w:r>
        <w:rPr>
          <w:i/>
          <w:lang w:val="en_US" w:bidi="en_US"/>
        </w:rPr>
        <w:t>He has a demon</w:t>
      </w:r>
      <w:r>
        <w:rPr>
          <w:lang w:val="en_US" w:bidi="en_US"/>
        </w:rPr>
        <w:t xml:space="preserve"> indicate that the people rejected John. They did not believe that he was God’s messenger. If this is not clear in your language, you may need to make it explicit. For example:</w:t>
      </w:r>
    </w:p>
    <w:p>
      <w:pPr/>
      <w:r>
        <w:rPr>
          <w:lang w:val="en_US" w:bidi="en_US"/>
        </w:rPr>
      </w:r>
      <w:r>
        <w:rPr>
          <w:lang w:val="en_US" w:bidi="en_US"/>
        </w:rPr>
        <w:t xml:space="preserve">…you </w:t>
      </w:r>
      <w:r>
        <w:rPr>
          <w:lang w:val="en_US" w:bidi="en_US"/>
        </w:rPr>
        <w:t>rejected him</w:t>
      </w:r>
      <w:r>
        <w:rPr>
          <w:lang w:val="en_US" w:bidi="en_US"/>
        </w:rPr>
        <w:t xml:space="preserve"> saying, ‘He has a demon.’</w:t>
      </w:r>
    </w:p>
    <w:p>
      <w:pPr/>
      <w:r>
        <w:rPr>
          <w:lang w:val="en_US" w:bidi="en_US"/>
        </w:rPr>
      </w:r>
      <w:r>
        <w:rPr>
          <w:lang w:val="en_US" w:bidi="en_US"/>
        </w:rPr>
        <w:t xml:space="preserve">The words </w:t>
      </w:r>
      <w:r>
        <w:rPr>
          <w:i/>
          <w:lang w:val="en_US" w:bidi="en_US"/>
        </w:rPr>
        <w:t>He has a demon</w:t>
      </w:r>
      <w:r>
        <w:rPr>
          <w:lang w:val="en_US" w:bidi="en_US"/>
        </w:rPr>
        <w:t xml:space="preserve"> are a quotation within another quotation. In some languages, it may be more natural to use indirect speech. For example:</w:t>
      </w:r>
    </w:p>
    <w:p>
      <w:pPr/>
      <w:r>
        <w:rPr>
          <w:lang w:val="en_US" w:bidi="en_US"/>
        </w:rPr>
      </w:r>
      <w:r>
        <w:rPr>
          <w:lang w:val="en_US" w:bidi="en_US"/>
        </w:rPr>
        <w:t xml:space="preserve">you say </w:t>
      </w:r>
      <w:r>
        <w:rPr>
          <w:u w:val="single"/>
          <w:lang w:val="en_US" w:bidi="en_US"/>
        </w:rPr>
        <w:t>that</w:t>
      </w:r>
      <w:r>
        <w:rPr>
          <w:lang w:val="en_US" w:bidi="en_US"/>
        </w:rPr>
        <w:t xml:space="preserve"> he has a demon</w:t>
      </w:r>
    </w:p>
    <w:p>
      <w:pPr/>
      <w:r>
        <w:rPr>
          <w:lang w:val="en_US" w:bidi="en_US"/>
        </w:rPr>
      </w:r>
      <w:r>
        <w:rPr>
          <w:b/>
          <w:lang w:val="en_US" w:bidi="en_US"/>
        </w:rPr>
        <w:t>He has a demon:</w:t>
      </w:r>
      <w:r>
        <w:rPr>
          <w:lang w:val="en_US" w:bidi="en_US"/>
        </w:rPr>
        <w:t xml:space="preserve"> The Greek clause that the BSB translates as </w:t>
      </w:r>
      <w:r>
        <w:rPr>
          <w:i/>
          <w:lang w:val="en_US" w:bidi="en_US"/>
        </w:rPr>
        <w:t>He has a demon</w:t>
      </w:r>
      <w:r>
        <w:rPr>
          <w:lang w:val="en_US" w:bidi="en_US"/>
        </w:rPr>
        <w:t xml:space="preserve"> usually indicates that an evil spirit controlled a person’s thoughts and actions. When the religious leaders said that John had a demon, they meant that he did not act like a normal person. In this context the meaning is not that he was evil.</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Translate the literal meaning that a demon was controlling him. Use a natural expression in your language. For example:</w:t>
      </w:r>
      <w:r>
        <w:rPr>
          <w:lang w:val="en_US" w:bidi="en_US"/>
        </w:rPr>
        <w:t>He’s possessed by a demon. (NLT)</w:t>
      </w:r>
      <w:r>
        <w:rPr>
          <w:lang w:val="en_US" w:bidi="en_US"/>
        </w:rPr>
        <w:t>He has a demon in him! (GNT)</w:t>
      </w:r>
      <w:r>
        <w:rPr>
          <w:lang w:val="en_US" w:bidi="en_US"/>
        </w:rPr>
        <w:t>An evil spirit has fastened on him.</w:t>
      </w:r>
      <w:r>
        <w:rPr>
          <w:lang w:val="en_US" w:bidi="en_US"/>
        </w:rPr>
        <w:t>An evil spirit is riding him.</w:t>
      </w:r>
    </w:p>
    <w:p>
      <w:pPr>
        <w:pStyle w:val="ListBullet"/>
        <w:spacing w:line="240" w:lineRule="auto"/>
        <w:ind w:left="720"/>
      </w:pPr>
      <w:r>
        <w:rPr>
          <w:lang w:val="en_US" w:bidi="en_US"/>
        </w:rPr>
      </w:r>
      <w:r>
        <w:rPr>
          <w:lang w:val="en_US" w:bidi="en_US"/>
        </w:rPr>
        <w:t>Translate the expression in a more general way. For example:</w:t>
      </w:r>
      <w:r>
        <w:rPr>
          <w:lang w:val="en_US" w:bidi="en_US"/>
        </w:rPr>
        <w:t>He acts as if a demon is controlling him.</w:t>
      </w:r>
      <w:r>
        <w:rPr>
          <w:lang w:val="en_US" w:bidi="en_US"/>
        </w:rPr>
        <w:t>He is insane.</w:t>
      </w:r>
    </w:p>
    <w:p>
      <w:pPr/>
      <w:r>
        <w:rPr>
          <w:lang w:val="en_US" w:bidi="en_US"/>
        </w:rPr>
      </w:r>
      <w:r>
        <w:rPr>
          <w:b/>
          <w:lang w:val="en_US" w:bidi="en_US"/>
        </w:rPr>
        <w:t>demon:</w:t>
      </w:r>
      <w:r>
        <w:rPr>
          <w:lang w:val="en_US" w:bidi="en_US"/>
        </w:rPr>
        <w:t xml:space="preserve"> The Greek word that the BSB translates as </w:t>
      </w:r>
      <w:r>
        <w:rPr>
          <w:i/>
          <w:lang w:val="en_US" w:bidi="en_US"/>
        </w:rPr>
        <w:t>demon</w:t>
      </w:r>
      <w:r>
        <w:rPr>
          <w:lang w:val="en_US" w:bidi="en_US"/>
        </w:rPr>
        <w:t xml:space="preserve"> has the same meaning as the phrase that is often translated literally as “evil spirit.” The term “evil spirits” occurred earlier in this chapter at 7:21. See the note on “evil spirits” at 7:21a.</w:t>
      </w:r>
      <w:r>
        <w:rPr>
          <w:lang w:val="en_US" w:bidi="en_US"/>
        </w:rPr>
      </w:r>
      <w:r>
        <w:rPr>
          <w:lang w:val="en_US" w:bidi="en_US"/>
        </w:rPr>
      </w:r>
    </w:p>
    <w:p>
      <w:pPr/>
      <w:r>
        <w:rPr>
          <w:lang w:val="en_US" w:bidi="en_US"/>
        </w:rPr>
      </w:r>
    </w:p>
    <w:p>
      <w:pPr>
        <w:pStyle w:val="Heading2"/>
      </w:pPr>
      <w:r>
        <w:rPr>
          <w:lang w:val="en_US" w:bidi="en_US"/>
        </w:rPr>
        <w:t>Luke 7:34</w:t>
      </w:r>
      <w:r>
        <w:rPr>
          <w:lang w:val="en_US" w:bidi="en_US"/>
        </w:rPr>
      </w:r>
    </w:p>
    <w:p>
      <w:pPr>
        <w:pStyle w:val="Heading4"/>
      </w:pPr>
      <w:r>
        <w:rPr>
          <w:lang w:val="en_US" w:bidi="en_US"/>
        </w:rPr>
        <w:t>Section 7:18–35: John the Baptizer sent messengers to Jesus</w:t>
      </w:r>
    </w:p>
    <w:p>
      <w:pPr/>
      <w:r>
        <w:rPr>
          <w:lang w:val="en_US" w:bidi="en_US"/>
        </w:rPr>
      </w:r>
      <w:r>
        <w:rPr>
          <w:lang w:val="en_US" w:bidi="en_US"/>
        </w:rP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pPr/>
      <w:r>
        <w:rPr>
          <w:lang w:val="en_US" w:bidi="en_US"/>
        </w:rPr>
      </w:r>
      <w:r>
        <w:rPr>
          <w:lang w:val="en_US" w:bidi="en_US"/>
        </w:rP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responds to the messengers of John the Baptizer and speaks about John to the crowd</w:t>
      </w:r>
    </w:p>
    <w:p>
      <w:pPr/>
      <w:r>
        <w:rPr>
          <w:lang w:val="en_US" w:bidi="en_US"/>
        </w:rPr>
      </w:r>
      <w:r>
        <w:rPr>
          <w:lang w:val="en_US" w:bidi="en_US"/>
        </w:rPr>
        <w:t>Jesus speaks to the people about John the Baptizer</w:t>
      </w:r>
    </w:p>
    <w:p>
      <w:pPr/>
      <w:r>
        <w:rPr>
          <w:lang w:val="en_US" w:bidi="en_US"/>
        </w:rPr>
      </w:r>
      <w:r>
        <w:rPr>
          <w:lang w:val="en_US" w:bidi="en_US"/>
        </w:rPr>
        <w:t>Jesus teaches about John the Baptizer</w:t>
      </w:r>
    </w:p>
    <w:p>
      <w:pPr/>
      <w:r>
        <w:rPr>
          <w:lang w:val="en_US" w:bidi="en_US"/>
        </w:rPr>
      </w:r>
      <w:r>
        <w:rPr>
          <w:lang w:val="en_US" w:bidi="en_US"/>
        </w:rPr>
        <w:t>There is a parallel passage for this section in Matthew 11:3–19.</w:t>
      </w:r>
    </w:p>
    <w:p>
      <w:pPr>
        <w:pStyle w:val="Heading5"/>
      </w:pPr>
      <w:r>
        <w:rPr>
          <w:lang w:val="en_US" w:bidi="en_US"/>
        </w:rPr>
        <w:t>7:34a</w:t>
      </w:r>
    </w:p>
    <w:p>
      <w:pPr/>
      <w:r>
        <w:rPr>
          <w:lang w:val="en_US" w:bidi="en_US"/>
        </w:rPr>
      </w:r>
      <w:r>
        <w:rPr>
          <w:b/>
          <w:lang w:val="en_US" w:bidi="en_US"/>
        </w:rPr>
        <w:t>The Son of Man came eating and drinking,</w:t>
      </w:r>
    </w:p>
    <w:p>
      <w:pPr>
        <w:pStyle w:val="ListBullet"/>
        <w:spacing w:line="240" w:lineRule="auto"/>
        <w:ind w:left="720"/>
      </w:pPr>
      <w:r>
        <w:rPr>
          <w:lang w:val="en_US" w:bidi="en_US"/>
        </w:rPr>
      </w:r>
      <w:r>
        <w:rPr>
          <w:lang w:val="en_US" w:bidi="en_US"/>
        </w:rPr>
        <w:t xml:space="preserve">The Son of Man came eating </w:t>
      </w:r>
      <w:r>
        <w:rPr>
          <w:lang w:val="en_US" w:bidi="en_US"/>
        </w:rPr>
        <w:t>bread</w:t>
      </w:r>
      <w:r>
        <w:rPr>
          <w:lang w:val="en_US" w:bidi="en_US"/>
        </w:rPr>
        <w:t xml:space="preserve"> and drinking </w:t>
      </w:r>
      <w:r>
        <w:rPr>
          <w:lang w:val="en_US" w:bidi="en_US"/>
        </w:rPr>
        <w:t>wine</w:t>
      </w:r>
      <w:r>
        <w:rPr>
          <w:lang w:val="en_US" w:bidi="en_US"/>
        </w:rPr>
        <w:t>.</w:t>
      </w:r>
    </w:p>
    <w:p>
      <w:pPr>
        <w:pStyle w:val="ListBullet"/>
        <w:spacing w:line="240" w:lineRule="auto"/>
        <w:ind w:left="720"/>
      </w:pPr>
      <w:r>
        <w:rPr>
          <w:lang w:val="en_US" w:bidi="en_US"/>
        </w:rPr>
      </w:r>
      <w:r>
        <w:rPr>
          <w:lang w:val="en_US" w:bidi="en_US"/>
        </w:rPr>
        <w:t>But as for me,</w:t>
      </w:r>
      <w:r>
        <w:rPr>
          <w:lang w:val="en_US" w:bidi="en_US"/>
        </w:rPr>
        <w:t xml:space="preserve"> the Son of Man, </w:t>
      </w:r>
      <w:r>
        <w:rPr>
          <w:lang w:val="en_US" w:bidi="en_US"/>
        </w:rPr>
        <w:t>I</w:t>
      </w:r>
      <w:r>
        <w:rPr>
          <w:lang w:val="en_US" w:bidi="en_US"/>
        </w:rPr>
        <w:t xml:space="preserve"> do not refuse </w:t>
      </w:r>
      <w:r>
        <w:rPr>
          <w:lang w:val="en_US" w:bidi="en_US"/>
        </w:rPr>
        <w:t>normal/good</w:t>
      </w:r>
      <w:r>
        <w:rPr>
          <w:lang w:val="en_US" w:bidi="en_US"/>
        </w:rPr>
        <w:t xml:space="preserve"> food and drink.</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literally “the Son of the human/person.” Jesus used this title to imply that:</w:t>
      </w:r>
    </w:p>
    <w:p>
      <w:pPr>
        <w:pStyle w:val="ListNumber"/>
        <w:numPr>
          <w:ilvl w:val="0"/>
          <w:numId w:val="150"/>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 Some expressions that translators have used are:</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In some cases, an unusual title may correctly suggest a deeper meaning. For example:</w:t>
      </w:r>
    </w:p>
    <w:p>
      <w:pPr/>
      <w:r>
        <w:rPr>
          <w:lang w:val="en_US" w:bidi="en_US"/>
        </w:rPr>
      </w:r>
      <w:r>
        <w:rPr>
          <w:lang w:val="en_US" w:bidi="en_US"/>
        </w:rPr>
        <w:t>the Child of a Person</w:t>
      </w:r>
    </w:p>
    <w:p>
      <w:pPr/>
      <w:r>
        <w:rPr>
          <w:lang w:val="en_US" w:bidi="en_US"/>
        </w:rPr>
      </w:r>
      <w:r>
        <w:rPr>
          <w:lang w:val="en_US" w:bidi="en_US"/>
        </w:rPr>
        <w:t>the One who was Born as a Human</w:t>
      </w:r>
    </w:p>
    <w:p>
      <w:pPr/>
      <w:r>
        <w:rPr>
          <w:lang w:val="en_US" w:bidi="en_US"/>
        </w:rPr>
      </w:r>
      <w:r>
        <w:rPr>
          <w:lang w:val="en_US" w:bidi="en_US"/>
        </w:rPr>
        <w:t>Translators have also used expressions that are more literal. These more literal expressions may be appropriate where readers are familiar with a literal title in another version.</w:t>
      </w:r>
    </w:p>
    <w:p>
      <w:pPr/>
      <w:r>
        <w:rPr>
          <w:lang w:val="en_US" w:bidi="en_US"/>
        </w:rPr>
      </w:r>
      <w:r>
        <w:rPr>
          <w:lang w:val="en_US" w:bidi="en_US"/>
        </w:rPr>
        <w:t>In some languages it may be necessary to use a form like “I” to indicate that Jesus was referring to himself. For example:</w:t>
      </w:r>
    </w:p>
    <w:p>
      <w:pPr/>
      <w:r>
        <w:rPr>
          <w:lang w:val="en_US" w:bidi="en_US"/>
        </w:rPr>
      </w:r>
      <w:r>
        <w:rPr>
          <w:u w:val="single"/>
          <w:lang w:val="en_US" w:bidi="en_US"/>
        </w:rPr>
        <w:t>I</w:t>
      </w:r>
      <w:r>
        <w:rPr>
          <w:lang w:val="en_US" w:bidi="en_US"/>
        </w:rPr>
        <w:t xml:space="preserve"> who became man/human</w:t>
      </w:r>
    </w:p>
    <w:p>
      <w:pPr/>
      <w:r>
        <w:rPr>
          <w:lang w:val="en_US" w:bidi="en_US"/>
        </w:rPr>
      </w:r>
      <w:r>
        <w:rPr>
          <w:lang w:val="en_US" w:bidi="en_US"/>
        </w:rPr>
        <w:t>me, the Son of Man</w:t>
      </w:r>
    </w:p>
    <w:p>
      <w:pPr/>
      <w:r>
        <w:rPr>
          <w:lang w:val="en_US" w:bidi="en_US"/>
        </w:rPr>
      </w:r>
      <w:r>
        <w:rPr>
          <w:lang w:val="en_US" w:bidi="en_US"/>
        </w:rPr>
        <w:t>This term first occurs in Luke at 5:24a.</w:t>
      </w:r>
    </w:p>
    <w:p>
      <w:pPr/>
      <w:r>
        <w:rPr>
          <w:lang w:val="en_US" w:bidi="en_US"/>
        </w:rPr>
      </w:r>
      <w:r>
        <w:rPr>
          <w:b/>
          <w:lang w:val="en_US" w:bidi="en_US"/>
        </w:rPr>
        <w:t>came eating and drinking:</w:t>
      </w:r>
      <w:r>
        <w:rPr>
          <w:lang w:val="en_US" w:bidi="en_US"/>
        </w:rPr>
        <w:t xml:space="preserve"> The phrase </w:t>
      </w:r>
      <w:r>
        <w:rPr>
          <w:i/>
          <w:lang w:val="en_US" w:bidi="en_US"/>
        </w:rPr>
        <w:t>came eating and drinking</w:t>
      </w:r>
      <w:r>
        <w:rPr>
          <w:lang w:val="en_US" w:bidi="en_US"/>
        </w:rPr>
        <w:t xml:space="preserve"> means that during his ministry on earth, Jesus ate bread and drank wine, as other people did. You may want to add the implied objects to these verbs:</w:t>
      </w:r>
    </w:p>
    <w:p>
      <w:pPr/>
      <w:r>
        <w:rPr>
          <w:lang w:val="en_US" w:bidi="en_US"/>
        </w:rPr>
      </w:r>
      <w:r>
        <w:rPr>
          <w:lang w:val="en_US" w:bidi="en_US"/>
        </w:rPr>
        <w:t xml:space="preserve">came eating </w:t>
      </w:r>
      <w:r>
        <w:rPr>
          <w:lang w:val="en_US" w:bidi="en_US"/>
        </w:rPr>
        <w:t>bread</w:t>
      </w:r>
      <w:r>
        <w:rPr>
          <w:lang w:val="en_US" w:bidi="en_US"/>
        </w:rPr>
        <w:t xml:space="preserve"> and drinking </w:t>
      </w:r>
      <w:r>
        <w:rPr>
          <w:lang w:val="en_US" w:bidi="en_US"/>
        </w:rPr>
        <w:t>wine</w:t>
      </w:r>
    </w:p>
    <w:p>
      <w:pPr/>
      <w:r>
        <w:rPr>
          <w:lang w:val="en_US" w:bidi="en_US"/>
        </w:rPr>
      </w:r>
      <w:r>
        <w:rPr>
          <w:lang w:val="en_US" w:bidi="en_US"/>
        </w:rPr>
        <w:t xml:space="preserve">The word </w:t>
      </w:r>
      <w:r>
        <w:rPr>
          <w:i/>
          <w:lang w:val="en_US" w:bidi="en_US"/>
        </w:rPr>
        <w:t>came</w:t>
      </w:r>
      <w:r>
        <w:rPr>
          <w:lang w:val="en_US" w:bidi="en_US"/>
        </w:rPr>
        <w:t xml:space="preserve"> is used here in the same way as it was in 7:33. It introduces Jesus’ custom about eating and drinking. In many languages a word like </w:t>
      </w:r>
      <w:r>
        <w:rPr>
          <w:i/>
          <w:lang w:val="en_US" w:bidi="en_US"/>
        </w:rPr>
        <w:t>came</w:t>
      </w:r>
      <w:r>
        <w:rPr>
          <w:lang w:val="en_US" w:bidi="en_US"/>
        </w:rPr>
        <w:t xml:space="preserve"> may not be necessary to express this meaning. For example:</w:t>
      </w:r>
    </w:p>
    <w:p>
      <w:pPr/>
      <w:r>
        <w:rPr>
          <w:lang w:val="en_US" w:bidi="en_US"/>
        </w:rPr>
      </w:r>
      <w:r>
        <w:rPr>
          <w:lang w:val="en_US" w:bidi="en_US"/>
        </w:rPr>
        <w:t>The Son of Man, on the other hand, feasts and drinks (NLT)</w:t>
      </w:r>
    </w:p>
    <w:p>
      <w:pPr/>
      <w:r>
        <w:rPr>
          <w:lang w:val="en_US" w:bidi="en_US"/>
        </w:rPr>
      </w:r>
      <w:r>
        <w:rPr>
          <w:lang w:val="en_US" w:bidi="en_US"/>
        </w:rPr>
        <w:t>But the Son of Man does have the custom of eating and drinking</w:t>
      </w:r>
    </w:p>
    <w:p>
      <w:pPr/>
      <w:r>
        <w:rPr>
          <w:lang w:val="en_US" w:bidi="en_US"/>
        </w:rPr>
      </w:r>
      <w:r>
        <w:rPr>
          <w:lang w:val="en_US" w:bidi="en_US"/>
        </w:rPr>
        <w:t>See the note on 7:33a.</w:t>
      </w:r>
    </w:p>
    <w:p>
      <w:pPr>
        <w:pStyle w:val="Heading5"/>
      </w:pPr>
      <w:r>
        <w:rPr>
          <w:lang w:val="en_US" w:bidi="en_US"/>
        </w:rPr>
        <w:t>7:34b</w:t>
      </w:r>
    </w:p>
    <w:p>
      <w:pPr/>
      <w:r>
        <w:rPr>
          <w:lang w:val="en_US" w:bidi="en_US"/>
        </w:rPr>
      </w:r>
      <w:r>
        <w:rPr>
          <w:b/>
          <w:lang w:val="en_US" w:bidi="en_US"/>
        </w:rPr>
        <w:t>and you say, ‘Look at this glutton and drunkard,</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say </w:t>
      </w:r>
      <w:r>
        <w:rPr>
          <w:lang w:val="en_US" w:bidi="en_US"/>
        </w:rPr>
        <w:t>about me</w:t>
      </w:r>
      <w:r>
        <w:rPr>
          <w:lang w:val="en_US" w:bidi="en_US"/>
        </w:rPr>
        <w:t>, ‘He eats and drinks too much.</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t>
      </w:r>
      <w:r>
        <w:rPr>
          <w:lang w:val="en_US" w:bidi="en_US"/>
        </w:rPr>
        <w:t>reject me too</w:t>
      </w:r>
      <w:r>
        <w:rPr>
          <w:lang w:val="en_US" w:bidi="en_US"/>
        </w:rPr>
        <w:t xml:space="preserve"> and say, ‘Look at him! He is a glutton and a drunk,</w:t>
      </w:r>
    </w:p>
    <w:p>
      <w:pPr>
        <w:pStyle w:val="Heading5"/>
      </w:pPr>
      <w:r>
        <w:rPr>
          <w:lang w:val="en_US" w:bidi="en_US"/>
        </w:rPr>
        <w:t>7:34c</w:t>
      </w:r>
    </w:p>
    <w:p>
      <w:pPr/>
      <w:r>
        <w:rPr>
          <w:lang w:val="en_US" w:bidi="en_US"/>
        </w:rPr>
      </w:r>
      <w:r>
        <w:rPr>
          <w:b/>
          <w:lang w:val="en_US" w:bidi="en_US"/>
        </w:rPr>
        <w:t>a friend of tax collectors and sinners!’</w:t>
      </w:r>
    </w:p>
    <w:p>
      <w:pPr>
        <w:pStyle w:val="ListBullet"/>
        <w:spacing w:line="240" w:lineRule="auto"/>
        <w:ind w:left="720"/>
      </w:pPr>
      <w:r>
        <w:rPr>
          <w:lang w:val="en_US" w:bidi="en_US"/>
        </w:rPr>
      </w:r>
      <w:r>
        <w:rPr>
          <w:lang w:val="en_US" w:bidi="en_US"/>
        </w:rPr>
        <w:t xml:space="preserve">He is </w:t>
      </w:r>
      <w:r>
        <w:rPr>
          <w:lang w:val="en_US" w:bidi="en_US"/>
        </w:rPr>
        <w:t>even</w:t>
      </w:r>
      <w:r>
        <w:rPr>
          <w:lang w:val="en_US" w:bidi="en_US"/>
        </w:rPr>
        <w:t xml:space="preserve"> friendly with tax collectors and </w:t>
      </w:r>
      <w:r>
        <w:rPr>
          <w:lang w:val="en_US" w:bidi="en_US"/>
        </w:rPr>
        <w:t>other</w:t>
      </w:r>
      <w:r>
        <w:rPr>
          <w:lang w:val="en_US" w:bidi="en_US"/>
        </w:rPr>
        <w:t xml:space="preserve"> sinners.’</w:t>
      </w:r>
    </w:p>
    <w:p>
      <w:pPr>
        <w:pStyle w:val="ListBullet"/>
        <w:spacing w:line="240" w:lineRule="auto"/>
        <w:ind w:left="720"/>
      </w:pPr>
      <w:r>
        <w:rPr>
          <w:lang w:val="en_US" w:bidi="en_US"/>
        </w:rPr>
      </w:r>
      <w:r>
        <w:rPr>
          <w:lang w:val="en_US" w:bidi="en_US"/>
        </w:rPr>
        <w:t>and he is much too friendly with those who collect money for the government and with those who offend God.’</w:t>
      </w:r>
    </w:p>
    <w:p>
      <w:pPr>
        <w:pStyle w:val="Heading5"/>
      </w:pPr>
      <w:r>
        <w:rPr>
          <w:lang w:val="en_US" w:bidi="en_US"/>
        </w:rPr>
        <w:t>7:34b–c</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is used here in the same way as it was in 7:33. See the note on 7:33b. Here the word </w:t>
      </w:r>
      <w:r>
        <w:rPr>
          <w:i/>
          <w:lang w:val="en_US" w:bidi="en_US"/>
        </w:rPr>
        <w:t>and</w:t>
      </w:r>
      <w:r>
        <w:rPr>
          <w:lang w:val="en_US" w:bidi="en_US"/>
        </w:rPr>
        <w:t xml:space="preserve"> introduces the result of 7:34a.</w:t>
      </w:r>
    </w:p>
    <w:p>
      <w:pPr/>
      <w:r>
        <w:rPr>
          <w:lang w:val="en_US" w:bidi="en_US"/>
        </w:rPr>
      </w:r>
      <w:r>
        <w:rPr>
          <w:b/>
          <w:lang w:val="en_US" w:bidi="en_US"/>
        </w:rPr>
        <w:t>you say, ‘Look at this glutton and drunkard:</w:t>
      </w:r>
      <w:r>
        <w:rPr>
          <w:lang w:val="en_US" w:bidi="en_US"/>
        </w:rPr>
        <w:t xml:space="preserve"> The phrase </w:t>
      </w:r>
      <w:r>
        <w:rPr>
          <w:i/>
          <w:lang w:val="en_US" w:bidi="en_US"/>
        </w:rPr>
        <w:t>you say</w:t>
      </w:r>
      <w:r>
        <w:rPr>
          <w:lang w:val="en_US" w:bidi="en_US"/>
        </w:rPr>
        <w:t xml:space="preserve"> introduces a quotation within another quotation. In some languages, it may be more natural to use indirect speech here. For example:</w:t>
      </w:r>
    </w:p>
    <w:p>
      <w:pPr/>
      <w:r>
        <w:rPr>
          <w:lang w:val="en_US" w:bidi="en_US"/>
        </w:rPr>
      </w:r>
      <w:r>
        <w:rPr>
          <w:lang w:val="en_US" w:bidi="en_US"/>
        </w:rPr>
        <w:t xml:space="preserve">you say </w:t>
      </w:r>
      <w:r>
        <w:rPr>
          <w:u w:val="single"/>
          <w:lang w:val="en_US" w:bidi="en_US"/>
        </w:rPr>
        <w:t>that</w:t>
      </w:r>
      <w:r>
        <w:rPr>
          <w:lang w:val="en_US" w:bidi="en_US"/>
        </w:rPr>
        <w:t xml:space="preserve"> he is a glutton and a drunkard</w:t>
      </w:r>
    </w:p>
    <w:p>
      <w:pPr/>
      <w:r>
        <w:rPr>
          <w:lang w:val="en_US" w:bidi="en_US"/>
        </w:rPr>
      </w:r>
      <w:r>
        <w:rPr>
          <w:b/>
          <w:lang w:val="en_US" w:bidi="en_US"/>
        </w:rPr>
        <w:t>Look at this glutton and drunkard, a friend of tax collectors and sinners!:</w:t>
      </w:r>
      <w:r>
        <w:rPr>
          <w:lang w:val="en_US" w:bidi="en_US"/>
        </w:rPr>
        <w:t xml:space="preserve"> This quote expresses an example of the way that people criticized Jesus. It is different from what they said about John the Baptist. However, it indicated that the people rejected Jesus just as they rejected John. They did not believe that Jesus was God’s messenger.</w:t>
      </w:r>
    </w:p>
    <w:p>
      <w:pPr/>
      <w:r>
        <w:rPr>
          <w:lang w:val="en_US" w:bidi="en_US"/>
        </w:rPr>
      </w:r>
      <w:r>
        <w:rPr>
          <w:lang w:val="en_US" w:bidi="en_US"/>
        </w:rPr>
        <w:t>In some languages you may need to make this fact explicit. For example:</w:t>
      </w:r>
    </w:p>
    <w:p>
      <w:pPr/>
      <w:r>
        <w:rPr>
          <w:lang w:val="en_US" w:bidi="en_US"/>
        </w:rPr>
      </w:r>
      <w:r>
        <w:rPr>
          <w:lang w:val="en_US" w:bidi="en_US"/>
        </w:rPr>
        <w:t xml:space="preserve">…you </w:t>
      </w:r>
      <w:r>
        <w:rPr>
          <w:lang w:val="en_US" w:bidi="en_US"/>
        </w:rPr>
        <w:t>reject/rejected me</w:t>
      </w:r>
      <w:r>
        <w:rPr>
          <w:lang w:val="en_US" w:bidi="en_US"/>
        </w:rPr>
        <w:t xml:space="preserve"> saying, ‘Here is a glutton and a drunkard.’</w:t>
      </w:r>
    </w:p>
    <w:p>
      <w:pPr/>
      <w:r>
        <w:rPr>
          <w:lang w:val="en_US" w:bidi="en_US"/>
        </w:rPr>
      </w:r>
      <w:r>
        <w:rPr>
          <w:b/>
          <w:lang w:val="en_US" w:bidi="en_US"/>
        </w:rPr>
        <w:t>Look at this glutton:</w:t>
      </w:r>
      <w:r>
        <w:rPr>
          <w:lang w:val="en_US" w:bidi="en_US"/>
        </w:rPr>
        <w:t xml:space="preserve"> The Greek phrase that the BSB translates as </w:t>
      </w:r>
      <w:r>
        <w:rPr>
          <w:i/>
          <w:lang w:val="en_US" w:bidi="en_US"/>
        </w:rPr>
        <w:t>Look at this glutton</w:t>
      </w:r>
      <w:r>
        <w:rPr>
          <w:lang w:val="en_US" w:bidi="en_US"/>
        </w:rPr>
        <w:t xml:space="preserve"> begins with a word that many English versions translate as “behold.” Other English versions do not translate it. It usually draws attention to what follows it. Here it also adds emphasis to the quotation of what the people said critically about Jesus. Other ways to translate it in this context are:</w:t>
      </w:r>
    </w:p>
    <w:p>
      <w:pPr/>
      <w:r>
        <w:rPr>
          <w:lang w:val="en_US" w:bidi="en_US"/>
        </w:rPr>
      </w:r>
      <w:r>
        <w:rPr>
          <w:lang w:val="en_US" w:bidi="en_US"/>
        </w:rPr>
        <w:t>Look at this man! He is a glutton and wine drinker… (GNT)</w:t>
      </w:r>
    </w:p>
    <w:p>
      <w:pPr/>
      <w:r>
        <w:rPr>
          <w:lang w:val="en_US" w:bidi="en_US"/>
        </w:rPr>
      </w:r>
      <w:r>
        <w:rPr>
          <w:lang w:val="en_US" w:bidi="en_US"/>
        </w:rPr>
        <w:t>Look at him! A glutton and a drinker… (REB)</w:t>
      </w:r>
    </w:p>
    <w:p>
      <w:pPr/>
      <w:r>
        <w:rPr>
          <w:lang w:val="en_US" w:bidi="en_US"/>
        </w:rPr>
      </w:r>
      <w:r>
        <w:rPr>
          <w:lang w:val="en_US" w:bidi="en_US"/>
        </w:rPr>
        <w:t>See also the note at 7:12b on “He saw a dead man” for more suggestions for translating the word at the start of this phrase.</w:t>
      </w:r>
    </w:p>
    <w:p>
      <w:pPr/>
      <w:r>
        <w:rPr>
          <w:lang w:val="en_US" w:bidi="en_US"/>
        </w:rPr>
      </w:r>
      <w:r>
        <w:rPr>
          <w:b/>
          <w:lang w:val="en_US" w:bidi="en_US"/>
        </w:rPr>
        <w:t>glutton:</w:t>
      </w:r>
      <w:r>
        <w:rPr>
          <w:lang w:val="en_US" w:bidi="en_US"/>
        </w:rPr>
        <w:t xml:space="preserve"> A </w:t>
      </w:r>
      <w:r>
        <w:rPr>
          <w:i/>
          <w:lang w:val="en_US" w:bidi="en_US"/>
        </w:rPr>
        <w:t>glutton</w:t>
      </w:r>
      <w:r>
        <w:rPr>
          <w:lang w:val="en_US" w:bidi="en_US"/>
        </w:rPr>
        <w:t xml:space="preserve"> is a person who eats too much food. In your translation, use a word that people might use to shame someone who eats too much.</w:t>
      </w:r>
    </w:p>
    <w:p>
      <w:pPr/>
      <w:r>
        <w:rPr>
          <w:lang w:val="en_US" w:bidi="en_US"/>
        </w:rPr>
      </w:r>
      <w:r>
        <w:rPr>
          <w:b/>
          <w:lang w:val="en_US" w:bidi="en_US"/>
        </w:rPr>
        <w:t>drunkard:</w:t>
      </w:r>
      <w:r>
        <w:rPr>
          <w:lang w:val="en_US" w:bidi="en_US"/>
        </w:rPr>
        <w:t xml:space="preserve"> The Greek word that the BSB translates as </w:t>
      </w:r>
      <w:r>
        <w:rPr>
          <w:i/>
          <w:lang w:val="en_US" w:bidi="en_US"/>
        </w:rPr>
        <w:t>drunkard</w:t>
      </w:r>
      <w:r>
        <w:rPr>
          <w:lang w:val="en_US" w:bidi="en_US"/>
        </w:rPr>
        <w:t xml:space="preserve"> refers to a person who habitually drinks too much wine. He drinks so much that he becomes “drunk,” that is, he does not act normally.</w:t>
      </w:r>
    </w:p>
    <w:p>
      <w:pPr/>
      <w:r>
        <w:rPr>
          <w:lang w:val="en_US" w:bidi="en_US"/>
        </w:rPr>
      </w:r>
      <w:r>
        <w:rPr>
          <w:b/>
          <w:lang w:val="en_US" w:bidi="en_US"/>
        </w:rPr>
        <w:t>a friend of tax collectors and sinners!:</w:t>
      </w:r>
      <w:r>
        <w:rPr>
          <w:lang w:val="en_US" w:bidi="en_US"/>
        </w:rPr>
        <w:t xml:space="preserve"> People were saying that Jesus was friendly to people who had a reputation for being sinners, such as tax collectors. People thought that it was not good to be friendly to such people. When people said that Jesus was </w:t>
      </w:r>
      <w:r>
        <w:rPr>
          <w:i/>
          <w:lang w:val="en_US" w:bidi="en_US"/>
        </w:rPr>
        <w:t>a friend of…sinners</w:t>
      </w:r>
      <w:r>
        <w:rPr>
          <w:lang w:val="en_US" w:bidi="en_US"/>
        </w:rPr>
        <w:t>, they were accusing him, not praising him. In some languages it may be necessary to make this clear by saying something like:</w:t>
      </w:r>
    </w:p>
    <w:p>
      <w:pPr/>
      <w:r>
        <w:rPr>
          <w:lang w:val="en_US" w:bidi="en_US"/>
        </w:rPr>
      </w:r>
      <w:r>
        <w:rPr>
          <w:lang w:val="en_US" w:bidi="en_US"/>
        </w:rPr>
        <w:t xml:space="preserve">far </w:t>
      </w:r>
      <w:r>
        <w:rPr>
          <w:u w:val="single"/>
          <w:lang w:val="en_US" w:bidi="en_US"/>
        </w:rPr>
        <w:t>too</w:t>
      </w:r>
      <w:r>
        <w:rPr>
          <w:lang w:val="en_US" w:bidi="en_US"/>
        </w:rPr>
        <w:t xml:space="preserve"> friendly with tax collectors and </w:t>
      </w:r>
      <w:r>
        <w:rPr>
          <w:lang w:val="en_US" w:bidi="en_US"/>
        </w:rPr>
        <w:t>other</w:t>
      </w:r>
      <w:r>
        <w:rPr>
          <w:lang w:val="en_US" w:bidi="en_US"/>
        </w:rPr>
        <w:t xml:space="preserve"> sinners</w:t>
      </w:r>
    </w:p>
    <w:p>
      <w:pPr/>
      <w:r>
        <w:rPr>
          <w:lang w:val="en_US" w:bidi="en_US"/>
        </w:rPr>
      </w:r>
      <w:r>
        <w:rPr>
          <w:b/>
          <w:lang w:val="en_US" w:bidi="en_US"/>
        </w:rPr>
        <w:t>tax collectors:</w:t>
      </w:r>
      <w:r>
        <w:rPr>
          <w:lang w:val="en_US" w:bidi="en_US"/>
        </w:rPr>
        <w:t xml:space="preserve"> The phrase </w:t>
      </w:r>
      <w:r>
        <w:rPr>
          <w:i/>
          <w:lang w:val="en_US" w:bidi="en_US"/>
        </w:rPr>
        <w:t>tax collectors</w:t>
      </w:r>
      <w:r>
        <w:rPr>
          <w:lang w:val="en_US" w:bidi="en_US"/>
        </w:rPr>
        <w:t xml:space="preserve"> refers to people who received taxes from their own people to give to the government that ruled them. See the note on 7:29a.</w:t>
      </w:r>
    </w:p>
    <w:p>
      <w:pPr/>
      <w:r>
        <w:rPr>
          <w:lang w:val="en_US" w:bidi="en_US"/>
        </w:rPr>
      </w:r>
      <w:r>
        <w:rPr>
          <w:b/>
          <w:lang w:val="en_US" w:bidi="en_US"/>
        </w:rPr>
        <w:t>sinners:</w:t>
      </w:r>
      <w:r>
        <w:rPr>
          <w:lang w:val="en_US" w:bidi="en_US"/>
        </w:rPr>
        <w:t xml:space="preserve"> The word </w:t>
      </w:r>
      <w:r>
        <w:rPr>
          <w:i/>
          <w:lang w:val="en_US" w:bidi="en_US"/>
        </w:rPr>
        <w:t>sinners</w:t>
      </w:r>
      <w:r>
        <w:rPr>
          <w:lang w:val="en_US" w:bidi="en_US"/>
        </w:rPr>
        <w:t xml:space="preserve"> refers to people who habitually offend God. Tax collectors were included in this group. The ways people may offend God include doing and thinking things that God does not approve. People may also offend God by their attitudes and by not doing what God wants them to do. Some ways to translate </w:t>
      </w:r>
      <w:r>
        <w:rPr>
          <w:i/>
          <w:lang w:val="en_US" w:bidi="en_US"/>
        </w:rPr>
        <w:t>sinners</w:t>
      </w:r>
      <w:r>
        <w:rPr>
          <w:lang w:val="en_US" w:bidi="en_US"/>
        </w:rPr>
        <w:t xml:space="preserve"> are:</w:t>
      </w:r>
    </w:p>
    <w:p>
      <w:pPr/>
      <w:r>
        <w:rPr>
          <w:lang w:val="en_US" w:bidi="en_US"/>
        </w:rPr>
      </w:r>
      <w:r>
        <w:rPr>
          <w:lang w:val="en_US" w:bidi="en_US"/>
        </w:rPr>
        <w:t>people who sin</w:t>
      </w:r>
    </w:p>
    <w:p>
      <w:pPr/>
      <w:r>
        <w:rPr>
          <w:lang w:val="en_US" w:bidi="en_US"/>
        </w:rPr>
      </w:r>
      <w:r>
        <w:rPr>
          <w:lang w:val="en_US" w:bidi="en_US"/>
        </w:rPr>
        <w:t>people who do not obey God</w:t>
      </w:r>
    </w:p>
    <w:p>
      <w:pPr/>
      <w:r>
        <w:rPr>
          <w:lang w:val="en_US" w:bidi="en_US"/>
        </w:rPr>
      </w:r>
      <w:r>
        <w:rPr>
          <w:lang w:val="en_US" w:bidi="en_US"/>
        </w:rPr>
        <w:t>wrongdoers</w:t>
      </w:r>
      <w:r>
        <w:rPr>
          <w:lang w:val="en_US" w:bidi="en_US"/>
        </w:rPr>
      </w:r>
      <w:r>
        <w:rPr>
          <w:lang w:val="en_US" w:bidi="en_US"/>
        </w:rPr>
      </w:r>
    </w:p>
    <w:p>
      <w:pPr/>
      <w:r>
        <w:rPr>
          <w:lang w:val="en_US" w:bidi="en_US"/>
        </w:rPr>
      </w:r>
    </w:p>
    <w:p>
      <w:pPr>
        <w:pStyle w:val="Heading2"/>
      </w:pPr>
      <w:r>
        <w:rPr>
          <w:lang w:val="en_US" w:bidi="en_US"/>
        </w:rPr>
        <w:t>Luke 7:35</w:t>
      </w:r>
      <w:r>
        <w:rPr>
          <w:lang w:val="en_US" w:bidi="en_US"/>
        </w:rPr>
      </w:r>
    </w:p>
    <w:p>
      <w:pPr>
        <w:pStyle w:val="Heading4"/>
      </w:pPr>
      <w:r>
        <w:rPr>
          <w:lang w:val="en_US" w:bidi="en_US"/>
        </w:rPr>
        <w:t>Section 7:18–35: John the Baptizer sent messengers to Jesus</w:t>
      </w:r>
    </w:p>
    <w:p>
      <w:pPr/>
      <w:r>
        <w:rPr>
          <w:lang w:val="en_US" w:bidi="en_US"/>
        </w:rPr>
      </w:r>
      <w:r>
        <w:rPr>
          <w:lang w:val="en_US" w:bidi="en_US"/>
        </w:rPr>
        <w:t>At the time when the events in this section happened, John the Baptizer was in prison (3:20). He sent two of his disciples to Jesus to ask Jesus whether he was the Messiah. He referred to the Messiah as “the coming one” whom he and the people were expecting. Jesus’ answer implied that he was the Messiah.</w:t>
      </w:r>
    </w:p>
    <w:p>
      <w:pPr/>
      <w:r>
        <w:rPr>
          <w:lang w:val="en_US" w:bidi="en_US"/>
        </w:rPr>
      </w:r>
      <w:r>
        <w:rPr>
          <w:lang w:val="en_US" w:bidi="en_US"/>
        </w:rPr>
        <w:t>After John’s messengers had left, Jesus talked about what a great man John was. But he also implied that the coming kingdom would be greater. It would be so great that people who would experience it and its benefits would have even greater privileges and blessings than John had. Finally, Jesus showed that the Jewish religious leaders rejected the plan of God, since they rejected both John and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responds to the messengers of John the Baptizer and speaks about John to the crowd</w:t>
      </w:r>
    </w:p>
    <w:p>
      <w:pPr/>
      <w:r>
        <w:rPr>
          <w:lang w:val="en_US" w:bidi="en_US"/>
        </w:rPr>
      </w:r>
      <w:r>
        <w:rPr>
          <w:lang w:val="en_US" w:bidi="en_US"/>
        </w:rPr>
        <w:t>Jesus speaks to the people about John the Baptizer</w:t>
      </w:r>
    </w:p>
    <w:p>
      <w:pPr/>
      <w:r>
        <w:rPr>
          <w:lang w:val="en_US" w:bidi="en_US"/>
        </w:rPr>
      </w:r>
      <w:r>
        <w:rPr>
          <w:lang w:val="en_US" w:bidi="en_US"/>
        </w:rPr>
        <w:t>Jesus teaches about John the Baptizer</w:t>
      </w:r>
    </w:p>
    <w:p>
      <w:pPr/>
      <w:r>
        <w:rPr>
          <w:lang w:val="en_US" w:bidi="en_US"/>
        </w:rPr>
      </w:r>
      <w:r>
        <w:rPr>
          <w:lang w:val="en_US" w:bidi="en_US"/>
        </w:rPr>
        <w:t>There is a parallel passage for this section in Matthew 11:3–19.</w:t>
      </w:r>
    </w:p>
    <w:p>
      <w:pPr>
        <w:pStyle w:val="Heading5"/>
      </w:pPr>
      <w:r>
        <w:rPr>
          <w:lang w:val="en_US" w:bidi="en_US"/>
        </w:rPr>
        <w:t>7:35</w:t>
      </w:r>
    </w:p>
    <w:p>
      <w:pPr/>
      <w:r>
        <w:rPr>
          <w:lang w:val="en_US" w:bidi="en_US"/>
        </w:rPr>
      </w:r>
      <w:r>
        <w:rPr>
          <w:b/>
          <w:lang w:val="en_US" w:bidi="en_US"/>
        </w:rPr>
        <w:t>But wisdom is vindicated by all her children.”</w:t>
      </w:r>
    </w:p>
    <w:p>
      <w:pPr>
        <w:pStyle w:val="ListBullet"/>
        <w:spacing w:line="240" w:lineRule="auto"/>
        <w:ind w:left="720"/>
      </w:pPr>
      <w:r>
        <w:rPr>
          <w:lang w:val="en_US" w:bidi="en_US"/>
        </w:rPr>
      </w:r>
      <w:r>
        <w:rPr>
          <w:lang w:val="en_US" w:bidi="en_US"/>
        </w:rPr>
        <w:t>Yet wisdom is proved/shown to be right by the lives of all who follow it.”</w:t>
      </w:r>
    </w:p>
    <w:p>
      <w:pPr>
        <w:pStyle w:val="ListBullet"/>
        <w:spacing w:line="240" w:lineRule="auto"/>
        <w:ind w:left="720"/>
      </w:pPr>
      <w:r>
        <w:rPr>
          <w:lang w:val="en_US" w:bidi="en_US"/>
        </w:rPr>
      </w:r>
      <w:r>
        <w:rPr>
          <w:lang w:val="en_US" w:bidi="en_US"/>
        </w:rPr>
        <w:t>However, the good results that come from thinking wisely/rightly prove that such thinking is good.”</w:t>
      </w:r>
    </w:p>
    <w:p>
      <w:pPr>
        <w:pStyle w:val="ListBullet"/>
        <w:spacing w:line="240" w:lineRule="auto"/>
        <w:ind w:left="720"/>
      </w:pPr>
      <w:r>
        <w:rPr>
          <w:lang w:val="en_US" w:bidi="en_US"/>
        </w:rPr>
      </w:r>
      <w:r>
        <w:rPr>
          <w:lang w:val="en_US" w:bidi="en_US"/>
        </w:rPr>
        <w:t>But the good lives of those who follow wisdom show it to be true.”</w:t>
      </w:r>
    </w:p>
    <w:p>
      <w:pPr>
        <w:pStyle w:val="ListBullet"/>
        <w:spacing w:line="240" w:lineRule="auto"/>
        <w:ind w:left="720"/>
      </w:pPr>
      <w:r>
        <w:rPr>
          <w:lang w:val="en_US" w:bidi="en_US"/>
        </w:rPr>
      </w:r>
      <w:r>
        <w:rPr>
          <w:lang w:val="en_US" w:bidi="en_US"/>
        </w:rPr>
        <w:t>The truly wise path is known by where it leads.”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is most often translated as “and.” However, in this context there is clear contrast between 7:31–34 and 7:35. The Jewish leaders rejected John and Jesus, but Jesus defended John and himself with the proverb in this verse. Many English versions introduce the verse with a conjunction that expresses contrast. For example:</w:t>
      </w:r>
    </w:p>
    <w:p>
      <w:pPr/>
      <w:r>
        <w:rPr>
          <w:lang w:val="en_US" w:bidi="en_US"/>
        </w:rPr>
      </w:r>
      <w:r>
        <w:rPr>
          <w:lang w:val="en_US" w:bidi="en_US"/>
        </w:rPr>
        <w:t>Nevertheless (NRSV)</w:t>
      </w:r>
    </w:p>
    <w:p>
      <w:pPr/>
      <w:r>
        <w:rPr>
          <w:lang w:val="en_US" w:bidi="en_US"/>
        </w:rPr>
      </w:r>
      <w:r>
        <w:rPr>
          <w:lang w:val="en_US" w:bidi="en_US"/>
        </w:rPr>
        <w:t>Yet (RSV)</w:t>
      </w:r>
    </w:p>
    <w:p>
      <w:pPr/>
      <w:r>
        <w:rPr>
          <w:lang w:val="en_US" w:bidi="en_US"/>
        </w:rPr>
      </w:r>
      <w:r>
        <w:rPr>
          <w:lang w:val="en_US" w:bidi="en_US"/>
        </w:rPr>
        <w:t>however (GNT)</w:t>
      </w:r>
    </w:p>
    <w:p>
      <w:pPr/>
      <w:r>
        <w:rPr>
          <w:lang w:val="en_US" w:bidi="en_US"/>
        </w:rPr>
      </w:r>
      <w:r>
        <w:rPr>
          <w:lang w:val="en_US" w:bidi="en_US"/>
        </w:rPr>
        <w:t>In some languages a conjunction may not be needed. Indicate the contrast in a natural way in your language.</w:t>
      </w:r>
    </w:p>
    <w:p>
      <w:pPr/>
      <w:r>
        <w:rPr>
          <w:lang w:val="en_US" w:bidi="en_US"/>
        </w:rPr>
      </w:r>
      <w:r>
        <w:rPr>
          <w:b/>
          <w:lang w:val="en_US" w:bidi="en_US"/>
        </w:rPr>
        <w:t>wisdom is vindicated by all her children:</w:t>
      </w:r>
      <w:r>
        <w:rPr>
          <w:lang w:val="en_US" w:bidi="en_US"/>
        </w:rPr>
        <w:t xml:space="preserve"> This sentence may be a Jewish saying or proverb. In it, </w:t>
      </w:r>
      <w:r>
        <w:rPr>
          <w:i/>
          <w:lang w:val="en_US" w:bidi="en_US"/>
        </w:rPr>
        <w:t>wisdom</w:t>
      </w:r>
      <w:r>
        <w:rPr>
          <w:lang w:val="en_US" w:bidi="en_US"/>
        </w:rPr>
        <w:t xml:space="preserve"> is talked about as if it were a person. Those who follow wisdom (those who act wisely) are called </w:t>
      </w:r>
      <w:r>
        <w:rPr>
          <w:i/>
          <w:lang w:val="en_US" w:bidi="en_US"/>
        </w:rPr>
        <w:t>her children</w:t>
      </w:r>
      <w:r>
        <w:rPr>
          <w:lang w:val="en_US" w:bidi="en_US"/>
        </w:rPr>
        <w:t>. The general meaning is that wisdom is proven to be truly wisdom by the good results that come from it. Here Jesus was speaking of people such as himself and John and those who followed his teachings and John’s. Such people prove that they are truly wise by their good character and the good results of wisdom in their lives.</w:t>
      </w:r>
    </w:p>
    <w:p>
      <w:pPr/>
      <w:r>
        <w:rPr>
          <w:lang w:val="en_US" w:bidi="en_US"/>
        </w:rPr>
      </w:r>
      <w:r>
        <w:rPr>
          <w:lang w:val="en_US" w:bidi="en_US"/>
        </w:rPr>
        <w:t>Some ways to translate this include:</w:t>
      </w:r>
    </w:p>
    <w:p>
      <w:pPr/>
      <w:r>
        <w:rPr>
          <w:lang w:val="en_US" w:bidi="en_US"/>
        </w:rPr>
      </w:r>
      <w:r>
        <w:rPr>
          <w:lang w:val="en_US" w:bidi="en_US"/>
        </w:rPr>
        <w:t>wisdom is shown to be right by the lives of those who follow it (NLT)</w:t>
      </w:r>
    </w:p>
    <w:p>
      <w:pPr/>
      <w:r>
        <w:rPr>
          <w:lang w:val="en_US" w:bidi="en_US"/>
        </w:rPr>
      </w:r>
      <w:r>
        <w:rPr>
          <w:lang w:val="en_US" w:bidi="en_US"/>
        </w:rPr>
        <w:t>Wisdom is shown to be right by what its followers do. (CEV)</w:t>
      </w:r>
    </w:p>
    <w:p>
      <w:pPr/>
      <w:r>
        <w:rPr>
          <w:lang w:val="en_US" w:bidi="en_US"/>
        </w:rPr>
      </w:r>
      <w:r>
        <w:rPr>
          <w:lang w:val="en_US" w:bidi="en_US"/>
        </w:rPr>
        <w:t>wisdom is proved right by all its results (GW)</w:t>
      </w:r>
    </w:p>
    <w:p>
      <w:pPr/>
      <w:r>
        <w:rPr>
          <w:lang w:val="en_US" w:bidi="en_US"/>
        </w:rPr>
      </w:r>
      <w:r>
        <w:rPr>
          <w:lang w:val="en_US" w:bidi="en_US"/>
        </w:rPr>
        <w:t>This is a passive clause. In some languages it is more natural to use an active verb here. For example:</w:t>
      </w:r>
    </w:p>
    <w:p>
      <w:pPr/>
      <w:r>
        <w:rPr>
          <w:lang w:val="en_US" w:bidi="en_US"/>
        </w:rPr>
      </w:r>
      <w:r>
        <w:rPr>
          <w:lang w:val="en_US" w:bidi="en_US"/>
        </w:rPr>
        <w:t>all the children of wisdom prove her to be right</w:t>
      </w:r>
    </w:p>
    <w:p>
      <w:pPr/>
      <w:r>
        <w:rPr>
          <w:lang w:val="en_US" w:bidi="en_US"/>
        </w:rPr>
      </w:r>
      <w:r>
        <w:rPr>
          <w:b/>
          <w:lang w:val="en_US" w:bidi="en_US"/>
        </w:rPr>
        <w:t>wisdom:</w:t>
      </w:r>
      <w:r>
        <w:rPr>
          <w:lang w:val="en_US" w:bidi="en_US"/>
        </w:rPr>
        <w:t xml:space="preserve"> The Greek word that the BSB translates as </w:t>
      </w:r>
      <w:r>
        <w:rPr>
          <w:i/>
          <w:lang w:val="en_US" w:bidi="en_US"/>
        </w:rPr>
        <w:t>wisdom</w:t>
      </w:r>
      <w:r>
        <w:rPr>
          <w:lang w:val="en_US" w:bidi="en_US"/>
        </w:rPr>
        <w:t xml:space="preserve"> refers to understanding and insight. This insight results in actions that are right and sensible. In some languages it may be natural to translate this idea as a verbal expression or in some other way. In some languages you may have an idiom to express this. Some ways to translate it are:</w:t>
      </w:r>
    </w:p>
    <w:p>
      <w:pPr/>
      <w:r>
        <w:rPr>
          <w:lang w:val="en_US" w:bidi="en_US"/>
        </w:rPr>
      </w:r>
      <w:r>
        <w:rPr>
          <w:lang w:val="en_US" w:bidi="en_US"/>
        </w:rPr>
        <w:t>being wise</w:t>
      </w:r>
    </w:p>
    <w:p>
      <w:pPr/>
      <w:r>
        <w:rPr>
          <w:lang w:val="en_US" w:bidi="en_US"/>
        </w:rPr>
      </w:r>
      <w:r>
        <w:rPr>
          <w:lang w:val="en_US" w:bidi="en_US"/>
        </w:rPr>
        <w:t xml:space="preserve">understanding </w:t>
      </w:r>
      <w:r>
        <w:rPr>
          <w:lang w:val="en_US" w:bidi="en_US"/>
        </w:rPr>
        <w:t>things</w:t>
      </w:r>
    </w:p>
    <w:p>
      <w:pPr/>
      <w:r>
        <w:rPr>
          <w:lang w:val="en_US" w:bidi="en_US"/>
        </w:rPr>
      </w:r>
      <w:r>
        <w:rPr>
          <w:lang w:val="en_US" w:bidi="en_US"/>
        </w:rPr>
        <w:t>thinking wisely</w:t>
      </w:r>
    </w:p>
    <w:p>
      <w:pPr/>
      <w:r>
        <w:rPr>
          <w:lang w:val="en_US" w:bidi="en_US"/>
        </w:rPr>
      </w:r>
      <w:r>
        <w:rPr>
          <w:b/>
          <w:lang w:val="en_US" w:bidi="en_US"/>
        </w:rPr>
        <w:t>vindicated:</w:t>
      </w:r>
      <w:r>
        <w:rPr>
          <w:lang w:val="en_US" w:bidi="en_US"/>
        </w:rPr>
        <w:t xml:space="preserve"> The Greek word that the BSB translates as </w:t>
      </w:r>
      <w:r>
        <w:rPr>
          <w:i/>
          <w:lang w:val="en_US" w:bidi="en_US"/>
        </w:rPr>
        <w:t>vindicated</w:t>
      </w:r>
      <w:r>
        <w:rPr>
          <w:lang w:val="en_US" w:bidi="en_US"/>
        </w:rPr>
        <w:t xml:space="preserve"> is literally “justified.” Here it means “shown/proved to be right.” It is the same word that was translated as “acknowledged God’s justice” in 7:29b.</w:t>
      </w:r>
    </w:p>
    <w:p>
      <w:pPr/>
      <w:r>
        <w:rPr>
          <w:lang w:val="en_US" w:bidi="en_US"/>
        </w:rPr>
      </w:r>
      <w:r>
        <w:rPr>
          <w:b/>
          <w:lang w:val="en_US" w:bidi="en_US"/>
        </w:rPr>
        <w:t>by all her children:</w:t>
      </w:r>
      <w:r>
        <w:rPr>
          <w:lang w:val="en_US" w:bidi="en_US"/>
        </w:rPr>
        <w:t xml:space="preserve"> The phrase </w:t>
      </w:r>
      <w:r>
        <w:rPr>
          <w:i/>
          <w:lang w:val="en_US" w:bidi="en_US"/>
        </w:rPr>
        <w:t>her children</w:t>
      </w:r>
      <w:r>
        <w:rPr>
          <w:lang w:val="en_US" w:bidi="en_US"/>
        </w:rPr>
        <w:t xml:space="preserve"> refers to the children of “wisdom.” Here wisdom is talked about as if it were a person and had children. In some languages this may not be natural, and you may need to translate the meaning more explicitly. For example:</w:t>
      </w:r>
    </w:p>
    <w:p>
      <w:pPr/>
      <w:r>
        <w:rPr>
          <w:lang w:val="en_US" w:bidi="en_US"/>
        </w:rPr>
      </w:r>
      <w:r>
        <w:rPr>
          <w:lang w:val="en_US" w:bidi="en_US"/>
        </w:rPr>
        <w:t>by all who accept it (GNT)</w:t>
      </w:r>
    </w:p>
    <w:p>
      <w:pPr/>
      <w:r>
        <w:rPr>
          <w:lang w:val="en_US" w:bidi="en_US"/>
        </w:rPr>
      </w:r>
      <w:r>
        <w:rPr>
          <w:lang w:val="en_US" w:bidi="en_US"/>
        </w:rPr>
        <w:t>by what it does (NCV)</w:t>
      </w:r>
    </w:p>
    <w:p>
      <w:pPr/>
      <w:r>
        <w:rPr>
          <w:lang w:val="en_US" w:bidi="en_US"/>
        </w:rPr>
      </w:r>
      <w:r>
        <w:rPr>
          <w:lang w:val="en_US" w:bidi="en_US"/>
        </w:rPr>
        <w:t>by those who follow it</w:t>
      </w:r>
      <w:r>
        <w:rPr>
          <w:lang w:val="en_US" w:bidi="en_US"/>
        </w:rPr>
      </w:r>
      <w:r>
        <w:rPr>
          <w:lang w:val="en_US" w:bidi="en_US"/>
        </w:rPr>
      </w:r>
    </w:p>
    <w:p>
      <w:pPr/>
      <w:r>
        <w:rPr>
          <w:lang w:val="en_US" w:bidi="en_US"/>
        </w:rPr>
      </w:r>
    </w:p>
    <w:p>
      <w:pPr>
        <w:pStyle w:val="Heading2"/>
      </w:pPr>
      <w:r>
        <w:rPr>
          <w:lang w:val="en_US" w:bidi="en_US"/>
        </w:rPr>
        <w:t>Luke 7:36</w:t>
      </w:r>
      <w:r>
        <w:rPr>
          <w:lang w:val="en_US" w:bidi="en_US"/>
        </w:rPr>
      </w:r>
    </w:p>
    <w:p>
      <w:pPr>
        <w:pStyle w:val="Heading4"/>
      </w:pPr>
      <w:r>
        <w:rPr>
          <w:lang w:val="en_US" w:bidi="en_US"/>
        </w:rPr>
        <w:t>Section 7:36–50: Jesus forgave a woman’s sins and taught a Pharisee about love</w:t>
      </w:r>
    </w:p>
    <w:p>
      <w:pPr/>
      <w:r>
        <w:rPr>
          <w:lang w:val="en_US" w:bidi="en_US"/>
        </w:rPr>
      </w:r>
      <w:r>
        <w:rPr>
          <w:lang w:val="en_US" w:bidi="en_US"/>
        </w:rP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pPr/>
      <w:r>
        <w:rPr>
          <w:lang w:val="en_US" w:bidi="en_US"/>
        </w:rPr>
      </w:r>
      <w:r>
        <w:rPr>
          <w:lang w:val="en_US" w:bidi="en_US"/>
        </w:rP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pPr/>
      <w:r>
        <w:rPr>
          <w:lang w:val="en_US" w:bidi="en_US"/>
        </w:rPr>
      </w:r>
      <w:r>
        <w:rPr>
          <w:lang w:val="en_US" w:bidi="en_US"/>
        </w:rPr>
        <w:t>Certain Jewish customs help to explain some of the actions in this story:</w:t>
      </w:r>
    </w:p>
    <w:p>
      <w:pPr>
        <w:pStyle w:val="ListNumber"/>
        <w:numPr>
          <w:ilvl w:val="0"/>
          <w:numId w:val="151"/>
        </w:numPr>
        <w:spacing w:line="240" w:lineRule="auto"/>
        <w:ind w:left="720"/>
      </w:pPr>
      <w:r>
        <w:rPr>
          <w:lang w:val="en_US" w:bidi="en_US"/>
        </w:rPr>
      </w:r>
      <w:r>
        <w:rPr>
          <w:lang w:val="en_US" w:bidi="en_US"/>
        </w:rP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Pr>
          <w:lang w:val="en_US" w:bidi="en_US"/>
        </w:rPr>
      </w:r>
      <w:r>
        <w:rPr>
          <w:lang w:val="en_US" w:bidi="en_US"/>
        </w:rP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Pr>
          <w:lang w:val="en_US" w:bidi="en_US"/>
        </w:rPr>
      </w:r>
      <w:r>
        <w:rPr>
          <w:lang w:val="en_US" w:bidi="en_US"/>
        </w:rPr>
        <w:t>Often a slave washed the feet of the guests. People considered feet to be dirty. When the woman washed Jesus’ feet and kissed them, she humbled herself and honored Jesus.</w:t>
      </w:r>
    </w:p>
    <w:p>
      <w:pPr/>
      <w:r>
        <w:rPr>
          <w:lang w:val="en_US" w:bidi="en_US"/>
        </w:rPr>
      </w:r>
      <w:r>
        <w:rPr>
          <w:lang w:val="en_US" w:bidi="en_US"/>
        </w:rPr>
        <w:t>This section is not explicitly connected to the preceding one, but it does illustrate some of the statements in 7:29–35. The woman was a person who “acknowledged God’s justice” (7:29). Simon the Pharisee was one of those who “rejected God’s purpose for themselves” (7:30).</w:t>
      </w:r>
    </w:p>
    <w:p>
      <w:pPr/>
      <w:r>
        <w:rPr>
          <w:lang w:val="en_US" w:bidi="en_US"/>
        </w:rPr>
      </w:r>
      <w:r>
        <w:rPr>
          <w:lang w:val="en_US" w:bidi="en_US"/>
        </w:rPr>
        <w:t>Some other possible headings for this section are:</w:t>
      </w:r>
    </w:p>
    <w:p>
      <w:pPr/>
      <w:r>
        <w:rPr>
          <w:lang w:val="en_US" w:bidi="en_US"/>
        </w:rPr>
      </w:r>
      <w:r>
        <w:rPr>
          <w:lang w:val="en_US" w:bidi="en_US"/>
        </w:rPr>
        <w:t>A sinful woman washes Jesus’ feet at the home of a Pharisee named Simon</w:t>
      </w:r>
    </w:p>
    <w:p>
      <w:pPr/>
      <w:r>
        <w:rPr>
          <w:lang w:val="en_US" w:bidi="en_US"/>
        </w:rPr>
      </w:r>
      <w:r>
        <w:rPr>
          <w:lang w:val="en_US" w:bidi="en_US"/>
        </w:rPr>
        <w:t>Jesus compares a Pharisee and a sinful woman</w:t>
      </w:r>
    </w:p>
    <w:p>
      <w:pPr>
        <w:pStyle w:val="Heading5"/>
      </w:pPr>
      <w:r>
        <w:rPr>
          <w:lang w:val="en_US" w:bidi="en_US"/>
        </w:rPr>
        <w:t>7:36a</w:t>
      </w:r>
    </w:p>
    <w:p>
      <w:pPr/>
      <w:r>
        <w:rPr>
          <w:lang w:val="en_US" w:bidi="en_US"/>
        </w:rPr>
      </w:r>
      <w:r>
        <w:rPr>
          <w:b/>
          <w:lang w:val="en_US" w:bidi="en_US"/>
        </w:rPr>
        <w:t>Then one of the Pharisees invited Jesus to eat with him,</w:t>
      </w:r>
    </w:p>
    <w:p>
      <w:pPr>
        <w:pStyle w:val="ListBullet"/>
        <w:spacing w:line="240" w:lineRule="auto"/>
        <w:ind w:left="720"/>
      </w:pPr>
      <w:r>
        <w:rPr>
          <w:lang w:val="en_US" w:bidi="en_US"/>
        </w:rPr>
      </w:r>
      <w:r>
        <w:rPr>
          <w:lang w:val="en_US" w:bidi="en_US"/>
        </w:rPr>
        <w:t xml:space="preserve">¶ A Pharisee asked Jesus to </w:t>
      </w:r>
      <w:r>
        <w:rPr>
          <w:lang w:val="en_US" w:bidi="en_US"/>
        </w:rPr>
        <w:t>come/go to his house</w:t>
      </w:r>
      <w:r>
        <w:rPr>
          <w:lang w:val="en_US" w:bidi="en_US"/>
        </w:rPr>
        <w:t xml:space="preserve"> to eat dinner with him.</w:t>
      </w:r>
    </w:p>
    <w:p>
      <w:pPr>
        <w:pStyle w:val="ListBullet"/>
        <w:spacing w:line="240" w:lineRule="auto"/>
        <w:ind w:left="720"/>
      </w:pPr>
      <w:r>
        <w:rPr>
          <w:lang w:val="en_US" w:bidi="en_US"/>
        </w:rPr>
      </w:r>
      <w:r>
        <w:rPr>
          <w:lang w:val="en_US" w:bidi="en_US"/>
        </w:rPr>
        <w:t xml:space="preserve">¶ There was a Pharisee </w:t>
      </w:r>
      <w:r>
        <w:rPr>
          <w:lang w:val="en_US" w:bidi="en_US"/>
        </w:rPr>
        <w:t>named Simon</w:t>
      </w:r>
      <w:r>
        <w:rPr>
          <w:lang w:val="en_US" w:bidi="en_US"/>
        </w:rPr>
        <w:t xml:space="preserve"> who invited Jesus to be his guest at a meal </w:t>
      </w:r>
      <w:r>
        <w:rPr>
          <w:lang w:val="en_US" w:bidi="en_US"/>
        </w:rPr>
        <w:t>in his home</w:t>
      </w:r>
      <w:r>
        <w:rPr>
          <w:lang w:val="en_US" w:bidi="en_US"/>
        </w:rPr>
        <w:t>.</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introduces a new event or story. </w:t>
      </w:r>
      <w:r>
        <w:rPr>
          <w:i/>
          <w:lang w:val="en_US" w:bidi="en_US"/>
        </w:rPr>
        <w:t>Then</w:t>
      </w:r>
      <w:r>
        <w:rPr>
          <w:lang w:val="en_US" w:bidi="en_US"/>
        </w:rPr>
        <w:t xml:space="preserve"> is not used here as a time word. The text does not indicate when this event happened, and many English versions do not translate the conjunction. Introduce the new event in a way that is natural in your language.</w:t>
      </w:r>
    </w:p>
    <w:p>
      <w:pPr/>
      <w:r>
        <w:rPr>
          <w:lang w:val="en_US" w:bidi="en_US"/>
        </w:rPr>
      </w:r>
      <w:r>
        <w:rPr>
          <w:b/>
          <w:lang w:val="en_US" w:bidi="en_US"/>
        </w:rPr>
        <w:t>one of the Pharisees:</w:t>
      </w:r>
      <w:r>
        <w:rPr>
          <w:lang w:val="en_US" w:bidi="en_US"/>
        </w:rPr>
        <w:t xml:space="preserve"> In 7:40a the text indicates that the Pharisee’s name was Simon. In some languages it may be more natural to mention his name here where he is first introduced. For example:</w:t>
      </w:r>
    </w:p>
    <w:p>
      <w:pPr/>
      <w:r>
        <w:rPr>
          <w:lang w:val="en_US" w:bidi="en_US"/>
        </w:rPr>
      </w:r>
      <w:r>
        <w:rPr>
          <w:lang w:val="en_US" w:bidi="en_US"/>
        </w:rPr>
        <w:t>one of the Pharisees, who was named Simon</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a Jewish religious group or party. It was very important to them to obey all of the Jewish religious laws very carefully and in detail. See the note on </w:t>
      </w:r>
      <w:r>
        <w:rPr>
          <w:i/>
          <w:lang w:val="en_US" w:bidi="en_US"/>
        </w:rPr>
        <w:t>Pharisees</w:t>
      </w:r>
      <w:r>
        <w:rPr>
          <w:lang w:val="en_US" w:bidi="en_US"/>
        </w:rPr>
        <w:t xml:space="preserve"> at 7:30a–b for translation advice. See </w:t>
      </w:r>
      <w:r>
        <w:rPr>
          <w:u w:val="single"/>
          <w:lang w:val="en_US" w:bidi="en_US"/>
        </w:rPr>
        <w:t>Pharisee, sense A</w:t>
      </w:r>
      <w:r>
        <w:rPr>
          <w:lang w:val="en_US" w:bidi="en_US"/>
        </w:rPr>
        <w:t>, in KBT for more information.</w:t>
      </w:r>
    </w:p>
    <w:p>
      <w:pPr/>
      <w:r>
        <w:rPr>
          <w:lang w:val="en_US" w:bidi="en_US"/>
        </w:rPr>
      </w:r>
      <w:r>
        <w:rPr>
          <w:b/>
          <w:lang w:val="en_US" w:bidi="en_US"/>
        </w:rPr>
        <w:t>invited:</w:t>
      </w:r>
      <w:r>
        <w:rPr>
          <w:lang w:val="en_US" w:bidi="en_US"/>
        </w:rPr>
        <w:t xml:space="preserve"> The Greek word that the BSB translates as </w:t>
      </w:r>
      <w:r>
        <w:rPr>
          <w:i/>
          <w:lang w:val="en_US" w:bidi="en_US"/>
        </w:rPr>
        <w:t>invited</w:t>
      </w:r>
      <w:r>
        <w:rPr>
          <w:lang w:val="en_US" w:bidi="en_US"/>
        </w:rPr>
        <w:t xml:space="preserve"> is literally “asked.” Use the expression that is natural in your language for inviting someone to come and eat a meal at your house.</w:t>
      </w:r>
    </w:p>
    <w:p>
      <w:pPr/>
      <w:r>
        <w:rPr>
          <w:lang w:val="en_US" w:bidi="en_US"/>
        </w:rPr>
      </w:r>
      <w:r>
        <w:rPr>
          <w:b/>
          <w:lang w:val="en_US" w:bidi="en_US"/>
        </w:rPr>
        <w:t>to eat:</w:t>
      </w:r>
      <w:r>
        <w:rPr>
          <w:lang w:val="en_US" w:bidi="en_US"/>
        </w:rPr>
        <w:t xml:space="preserve"> In your language, it may be necessary to specify what this Pharisee invited Jesus </w:t>
      </w:r>
      <w:r>
        <w:rPr>
          <w:i/>
          <w:lang w:val="en_US" w:bidi="en_US"/>
        </w:rPr>
        <w:t>to eat</w:t>
      </w:r>
      <w:r>
        <w:rPr>
          <w:lang w:val="en_US" w:bidi="en_US"/>
        </w:rPr>
        <w:t>. Several English versions (CEV, GNT, NET, NIV, NLT) supply the word “dinner.” In your translation, you could:</w:t>
      </w:r>
    </w:p>
    <w:p>
      <w:pPr>
        <w:pStyle w:val="ListBullet"/>
        <w:spacing w:line="240" w:lineRule="auto"/>
        <w:ind w:left="720"/>
      </w:pPr>
      <w:r>
        <w:rPr>
          <w:lang w:val="en_US" w:bidi="en_US"/>
        </w:rPr>
      </w:r>
      <w:r>
        <w:rPr>
          <w:lang w:val="en_US" w:bidi="en_US"/>
        </w:rPr>
        <w:t>Use a general word for meal. For example:</w:t>
      </w:r>
      <w:r>
        <w:rPr>
          <w:lang w:val="en_US" w:bidi="en_US"/>
        </w:rPr>
        <w:t>invited him to a meal (NJB)</w:t>
      </w:r>
    </w:p>
    <w:p>
      <w:pPr>
        <w:pStyle w:val="ListBullet"/>
        <w:spacing w:line="240" w:lineRule="auto"/>
        <w:ind w:left="720"/>
      </w:pPr>
      <w:r>
        <w:rPr>
          <w:lang w:val="en_US" w:bidi="en_US"/>
        </w:rPr>
      </w:r>
      <w:r>
        <w:rPr>
          <w:lang w:val="en_US" w:bidi="en_US"/>
        </w:rPr>
        <w:t>Use a word for a special meal to honor an important guest.</w:t>
      </w:r>
    </w:p>
    <w:p>
      <w:pPr>
        <w:pStyle w:val="Heading5"/>
      </w:pPr>
      <w:r>
        <w:rPr>
          <w:lang w:val="en_US" w:bidi="en_US"/>
        </w:rPr>
        <w:t>7:36b</w:t>
      </w:r>
    </w:p>
    <w:p>
      <w:pPr/>
      <w:r>
        <w:rPr>
          <w:lang w:val="en_US" w:bidi="en_US"/>
        </w:rPr>
      </w:r>
      <w:r>
        <w:rPr>
          <w:b/>
          <w:lang w:val="en_US" w:bidi="en_US"/>
        </w:rPr>
        <w:t>and He entered the Pharisee’s house and reclined at the table.</w:t>
      </w:r>
    </w:p>
    <w:p>
      <w:pPr>
        <w:pStyle w:val="ListBullet"/>
        <w:spacing w:line="240" w:lineRule="auto"/>
        <w:ind w:left="720"/>
      </w:pPr>
      <w:r>
        <w:rPr>
          <w:lang w:val="en_US" w:bidi="en_US"/>
        </w:rPr>
      </w:r>
      <w:r>
        <w:rPr>
          <w:lang w:val="en_US" w:bidi="en_US"/>
        </w:rPr>
        <w:t xml:space="preserve">So </w:t>
      </w:r>
      <w:r>
        <w:rPr>
          <w:lang w:val="en_US" w:bidi="en_US"/>
        </w:rPr>
        <w:t>Jesus</w:t>
      </w:r>
      <w:r>
        <w:rPr>
          <w:lang w:val="en_US" w:bidi="en_US"/>
        </w:rPr>
        <w:t xml:space="preserve"> went to the Pharisee’s house and </w:t>
      </w:r>
      <w:r>
        <w:rPr>
          <w:lang w:val="en_US" w:bidi="en_US"/>
        </w:rPr>
        <w:t>they</w:t>
      </w:r>
      <w:r>
        <w:rPr>
          <w:lang w:val="en_US" w:bidi="en_US"/>
        </w:rPr>
        <w:t xml:space="preserve"> sat/lay down to eat.</w:t>
      </w:r>
    </w:p>
    <w:p>
      <w:pPr>
        <w:pStyle w:val="ListBullet"/>
        <w:spacing w:line="240" w:lineRule="auto"/>
        <w:ind w:left="720"/>
      </w:pPr>
      <w:r>
        <w:rPr>
          <w:lang w:val="en_US" w:bidi="en_US"/>
        </w:rPr>
      </w:r>
      <w:r>
        <w:rPr>
          <w:lang w:val="en_US" w:bidi="en_US"/>
        </w:rPr>
        <w:t xml:space="preserve">Jesus </w:t>
      </w:r>
      <w:r>
        <w:rPr>
          <w:lang w:val="en_US" w:bidi="en_US"/>
        </w:rPr>
        <w:t>accepted his invitation</w:t>
      </w:r>
      <w:r>
        <w:rPr>
          <w:lang w:val="en_US" w:bidi="en_US"/>
        </w:rPr>
        <w:t>. He went/came to the Pharisee’s house and took his place at the table.</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is most often translated as “and.” Here some English versions translate it as “so” because it introduces what happened as a result of 7:36a. Connect this part of the verse to 7:36a in a natural way in your language.</w:t>
      </w:r>
    </w:p>
    <w:p>
      <w:pPr/>
      <w:r>
        <w:rPr>
          <w:lang w:val="en_US" w:bidi="en_US"/>
        </w:rPr>
      </w:r>
      <w:r>
        <w:rPr>
          <w:b/>
          <w:lang w:val="en_US" w:bidi="en_US"/>
        </w:rPr>
        <w:t>reclined at the table:</w:t>
      </w:r>
      <w:r>
        <w:rPr>
          <w:lang w:val="en_US" w:bidi="en_US"/>
        </w:rPr>
        <w:t xml:space="preserve"> In that culture</w:t>
      </w:r>
      <w:r>
        <w:rPr>
          <w:lang w:val="en_US" w:bidi="en_US"/>
        </w:rPr>
        <w:t>This followed the Greek and Roman custom of lying down to eat. The Jews did this only at special feasts.</w:t>
      </w:r>
      <w:r>
        <w:rPr>
          <w:lang w:val="en_US" w:bidi="en_US"/>
        </w:rPr>
        <w:t xml:space="preserve"> people often ate formal meals lying down on low, wide couches next to a low table. In this position, their feet were extended away from the table.</w:t>
      </w:r>
    </w:p>
    <w:p>
      <w:pPr/>
      <w:r>
        <w:rPr>
          <w:lang w:val="en_US" w:bidi="en_US"/>
        </w:rPr>
      </w:r>
      <w:r>
        <w:rPr>
          <w:lang w:val="en_US" w:bidi="en_US"/>
        </w:rPr>
        <w:t>If people do not recline to eat in your area, you may want to translate in a more general way. For example:</w:t>
      </w:r>
    </w:p>
    <w:p>
      <w:pPr/>
      <w:r>
        <w:rPr>
          <w:lang w:val="en_US" w:bidi="en_US"/>
        </w:rPr>
      </w:r>
      <w:r>
        <w:rPr>
          <w:lang w:val="en_US" w:bidi="en_US"/>
        </w:rPr>
        <w:t>he…took his place at the table (NRSV)</w:t>
      </w:r>
    </w:p>
    <w:p>
      <w:pPr/>
      <w:r>
        <w:rPr>
          <w:lang w:val="en_US" w:bidi="en_US"/>
        </w:rPr>
      </w:r>
      <w:r>
        <w:rPr>
          <w:lang w:val="en_US" w:bidi="en_US"/>
        </w:rPr>
        <w:t>and was eating at the table (GW)</w:t>
      </w:r>
    </w:p>
    <w:p>
      <w:pPr/>
      <w:r>
        <w:rPr>
          <w:lang w:val="en_US" w:bidi="en_US"/>
        </w:rPr>
      </w:r>
      <w:r>
        <w:rPr>
          <w:lang w:val="en_US" w:bidi="en_US"/>
        </w:rPr>
        <w:t>he joined in the meal</w:t>
      </w:r>
    </w:p>
    <w:p>
      <w:pPr/>
      <w:r>
        <w:rPr>
          <w:lang w:val="en_US" w:bidi="en_US"/>
        </w:rPr>
      </w:r>
      <w:r>
        <w:rPr>
          <w:lang w:val="en_US" w:bidi="en_US"/>
        </w:rPr>
        <w:t>and sat down to eat (NLT)</w:t>
      </w:r>
    </w:p>
    <w:p>
      <w:pPr/>
      <w:r>
        <w:rPr>
          <w:lang w:val="en_US" w:bidi="en_US"/>
        </w:rPr>
      </w:r>
      <w:r>
        <w:rPr>
          <w:lang w:val="en_US" w:bidi="en_US"/>
        </w:rPr>
        <w:t>You may also want to use a footnote to explain the custom of reclining to eat. This may help readers understand how the woman approached Jesus’ feet so easily. For example:</w:t>
      </w:r>
    </w:p>
    <w:p>
      <w:pPr/>
      <w:r>
        <w:rPr>
          <w:lang w:val="en_US" w:bidi="en_US"/>
        </w:rPr>
      </w:r>
      <w:r>
        <w:rPr>
          <w:lang w:val="en_US" w:bidi="en_US"/>
        </w:rPr>
        <w:t>On special occasions the Jewish people often followed the Greek and Roman custom of lying down on their left side and leaning on their left elbow, while eating with their right hand. Their feet would be the farthest part of their bodies from the table.</w:t>
      </w:r>
      <w:r>
        <w:rPr>
          <w:lang w:val="en_US" w:bidi="en_US"/>
        </w:rPr>
      </w:r>
      <w:r>
        <w:rPr>
          <w:lang w:val="en_US" w:bidi="en_US"/>
        </w:rPr>
      </w:r>
    </w:p>
    <w:p>
      <w:pPr/>
      <w:r>
        <w:rPr>
          <w:lang w:val="en_US" w:bidi="en_US"/>
        </w:rPr>
      </w:r>
    </w:p>
    <w:p>
      <w:pPr>
        <w:pStyle w:val="Heading2"/>
      </w:pPr>
      <w:r>
        <w:rPr>
          <w:lang w:val="en_US" w:bidi="en_US"/>
        </w:rPr>
        <w:t>Luke 7:37</w:t>
      </w:r>
      <w:r>
        <w:rPr>
          <w:lang w:val="en_US" w:bidi="en_US"/>
        </w:rPr>
      </w:r>
    </w:p>
    <w:p>
      <w:pPr>
        <w:pStyle w:val="Heading4"/>
      </w:pPr>
      <w:r>
        <w:rPr>
          <w:lang w:val="en_US" w:bidi="en_US"/>
        </w:rPr>
        <w:t>Section 7:36–50: Jesus forgave a woman’s sins and taught a Pharisee about love</w:t>
      </w:r>
    </w:p>
    <w:p>
      <w:pPr/>
      <w:r>
        <w:rPr>
          <w:lang w:val="en_US" w:bidi="en_US"/>
        </w:rPr>
      </w:r>
      <w:r>
        <w:rPr>
          <w:lang w:val="en_US" w:bidi="en_US"/>
        </w:rP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pPr/>
      <w:r>
        <w:rPr>
          <w:lang w:val="en_US" w:bidi="en_US"/>
        </w:rPr>
      </w:r>
      <w:r>
        <w:rPr>
          <w:lang w:val="en_US" w:bidi="en_US"/>
        </w:rP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pPr/>
      <w:r>
        <w:rPr>
          <w:lang w:val="en_US" w:bidi="en_US"/>
        </w:rPr>
      </w:r>
      <w:r>
        <w:rPr>
          <w:lang w:val="en_US" w:bidi="en_US"/>
        </w:rPr>
        <w:t>Certain Jewish customs help to explain some of the actions in this story:</w:t>
      </w:r>
    </w:p>
    <w:p>
      <w:pPr>
        <w:pStyle w:val="ListNumber"/>
        <w:numPr>
          <w:ilvl w:val="0"/>
          <w:numId w:val="152"/>
        </w:numPr>
        <w:spacing w:line="240" w:lineRule="auto"/>
        <w:ind w:left="720"/>
      </w:pPr>
      <w:r>
        <w:rPr>
          <w:lang w:val="en_US" w:bidi="en_US"/>
        </w:rPr>
      </w:r>
      <w:r>
        <w:rPr>
          <w:lang w:val="en_US" w:bidi="en_US"/>
        </w:rP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Pr>
          <w:lang w:val="en_US" w:bidi="en_US"/>
        </w:rPr>
      </w:r>
      <w:r>
        <w:rPr>
          <w:lang w:val="en_US" w:bidi="en_US"/>
        </w:rP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Pr>
          <w:lang w:val="en_US" w:bidi="en_US"/>
        </w:rPr>
      </w:r>
      <w:r>
        <w:rPr>
          <w:lang w:val="en_US" w:bidi="en_US"/>
        </w:rPr>
        <w:t>Often a slave washed the feet of the guests. People considered feet to be dirty. When the woman washed Jesus’ feet and kissed them, she humbled herself and honored Jesus.</w:t>
      </w:r>
    </w:p>
    <w:p>
      <w:pPr/>
      <w:r>
        <w:rPr>
          <w:lang w:val="en_US" w:bidi="en_US"/>
        </w:rPr>
      </w:r>
      <w:r>
        <w:rPr>
          <w:lang w:val="en_US" w:bidi="en_US"/>
        </w:rPr>
        <w:t>This section is not explicitly connected to the preceding one, but it does illustrate some of the statements in 7:29–35. The woman was a person who “acknowledged God’s justice” (7:29). Simon the Pharisee was one of those who “rejected God’s purpose for themselves” (7:30).</w:t>
      </w:r>
    </w:p>
    <w:p>
      <w:pPr/>
      <w:r>
        <w:rPr>
          <w:lang w:val="en_US" w:bidi="en_US"/>
        </w:rPr>
      </w:r>
      <w:r>
        <w:rPr>
          <w:lang w:val="en_US" w:bidi="en_US"/>
        </w:rPr>
        <w:t>Some other possible headings for this section are:</w:t>
      </w:r>
    </w:p>
    <w:p>
      <w:pPr/>
      <w:r>
        <w:rPr>
          <w:lang w:val="en_US" w:bidi="en_US"/>
        </w:rPr>
      </w:r>
      <w:r>
        <w:rPr>
          <w:lang w:val="en_US" w:bidi="en_US"/>
        </w:rPr>
        <w:t>A sinful woman washes Jesus’ feet at the home of a Pharisee named Simon</w:t>
      </w:r>
    </w:p>
    <w:p>
      <w:pPr/>
      <w:r>
        <w:rPr>
          <w:lang w:val="en_US" w:bidi="en_US"/>
        </w:rPr>
      </w:r>
      <w:r>
        <w:rPr>
          <w:lang w:val="en_US" w:bidi="en_US"/>
        </w:rPr>
        <w:t>Jesus compares a Pharisee and a sinful woman</w:t>
      </w:r>
    </w:p>
    <w:p>
      <w:pPr>
        <w:pStyle w:val="Heading5"/>
      </w:pPr>
      <w:r>
        <w:rPr>
          <w:lang w:val="en_US" w:bidi="en_US"/>
        </w:rPr>
        <w:t>7:37a</w:t>
      </w:r>
    </w:p>
    <w:p>
      <w:pPr/>
      <w:r>
        <w:rPr>
          <w:lang w:val="en_US" w:bidi="en_US"/>
        </w:rPr>
      </w:r>
      <w:r>
        <w:rPr>
          <w:b/>
          <w:lang w:val="en_US" w:bidi="en_US"/>
        </w:rPr>
        <w:t>When a sinful woman from that town</w:t>
      </w:r>
    </w:p>
    <w:p>
      <w:pPr>
        <w:pStyle w:val="ListBullet"/>
        <w:spacing w:line="240" w:lineRule="auto"/>
        <w:ind w:left="720"/>
      </w:pPr>
      <w:r>
        <w:rPr>
          <w:lang w:val="en_US" w:bidi="en_US"/>
        </w:rPr>
      </w:r>
      <w:r>
        <w:rPr>
          <w:lang w:val="en_US" w:bidi="en_US"/>
        </w:rPr>
        <w:t>At that same time, a certain sinful woman lived in that town.</w:t>
      </w:r>
    </w:p>
    <w:p>
      <w:pPr>
        <w:pStyle w:val="ListBullet"/>
        <w:spacing w:line="240" w:lineRule="auto"/>
        <w:ind w:left="720"/>
      </w:pPr>
      <w:r>
        <w:rPr>
          <w:lang w:val="en_US" w:bidi="en_US"/>
        </w:rPr>
      </w:r>
      <w:r>
        <w:rPr>
          <w:lang w:val="en_US" w:bidi="en_US"/>
        </w:rPr>
        <w:t>And listen! An immoral woman in that town</w:t>
      </w:r>
    </w:p>
    <w:p>
      <w:pPr/>
      <w:r>
        <w:rPr>
          <w:lang w:val="en_US" w:bidi="en_US"/>
        </w:rPr>
      </w:r>
      <w:r>
        <w:rPr>
          <w:b/>
          <w:lang w:val="en_US" w:bidi="en_US"/>
        </w:rPr>
        <w:t>When a sinful woman from that town:</w:t>
      </w:r>
      <w:r>
        <w:rPr>
          <w:lang w:val="en_US" w:bidi="en_US"/>
        </w:rPr>
        <w:t xml:space="preserve"> This part of the verse introduces the woman into the story. Consider how to introduce her in a natural way in your language. For example:</w:t>
      </w:r>
    </w:p>
    <w:p>
      <w:pPr/>
      <w:r>
        <w:rPr>
          <w:lang w:val="en_US" w:bidi="en_US"/>
        </w:rPr>
      </w:r>
      <w:r>
        <w:rPr>
          <w:lang w:val="en_US" w:bidi="en_US"/>
        </w:rPr>
        <w:t>And there was a woman in the city who was a sinner (NASB)</w:t>
      </w:r>
    </w:p>
    <w:p>
      <w:pPr/>
      <w:r>
        <w:rPr>
          <w:lang w:val="en_US" w:bidi="en_US"/>
        </w:rPr>
      </w:r>
      <w:r>
        <w:rPr>
          <w:lang w:val="en_US" w:bidi="en_US"/>
        </w:rPr>
        <w:t>In Greek, this part of the verse begins with a word that many English versions translate as “behold.” It draws attention to what follows it. Here it probably draws attention to the woman and her surprising actions toward Jesus. Many English versions do not translate it. Consider whether you have a word or phrase in your language that would fit here. Some ways to translate it in English are:</w:t>
      </w:r>
    </w:p>
    <w:p>
      <w:pPr/>
      <w:r>
        <w:rPr>
          <w:lang w:val="en_US" w:bidi="en_US"/>
        </w:rPr>
      </w:r>
      <w:r>
        <w:rPr>
          <w:lang w:val="en_US" w:bidi="en_US"/>
        </w:rPr>
        <w:t>look</w:t>
      </w:r>
    </w:p>
    <w:p>
      <w:pPr/>
      <w:r>
        <w:rPr>
          <w:lang w:val="en_US" w:bidi="en_US"/>
        </w:rPr>
      </w:r>
      <w:r>
        <w:rPr>
          <w:lang w:val="en_US" w:bidi="en_US"/>
        </w:rPr>
        <w:t>listen</w:t>
      </w:r>
    </w:p>
    <w:p>
      <w:pPr/>
      <w:r>
        <w:rPr>
          <w:lang w:val="en_US" w:bidi="en_US"/>
        </w:rPr>
      </w:r>
      <w:r>
        <w:rPr>
          <w:b/>
          <w:lang w:val="en_US" w:bidi="en_US"/>
        </w:rPr>
        <w:t>a sinful woman from that town:</w:t>
      </w:r>
      <w:r>
        <w:rPr>
          <w:lang w:val="en_US" w:bidi="en_US"/>
        </w:rPr>
        <w:t xml:space="preserve"> The Greek word that the BSB translates literally as </w:t>
      </w:r>
      <w:r>
        <w:rPr>
          <w:i/>
          <w:lang w:val="en_US" w:bidi="en_US"/>
        </w:rPr>
        <w:t>sinful</w:t>
      </w:r>
      <w:r>
        <w:rPr>
          <w:lang w:val="en_US" w:bidi="en_US"/>
        </w:rPr>
        <w:t xml:space="preserve"> implies that this woman had been immoral. She may have been a prostitute. However, because this is not certain, you should use a more general expression that can include this type of sin. For example:</w:t>
      </w:r>
    </w:p>
    <w:p>
      <w:pPr/>
      <w:r>
        <w:rPr>
          <w:lang w:val="en_US" w:bidi="en_US"/>
        </w:rPr>
      </w:r>
      <w:r>
        <w:rPr>
          <w:lang w:val="en_US" w:bidi="en_US"/>
        </w:rPr>
        <w:t>a woman…who had a bad name in the town (NJB)</w:t>
      </w:r>
    </w:p>
    <w:p>
      <w:pPr/>
      <w:r>
        <w:rPr>
          <w:lang w:val="en_US" w:bidi="en_US"/>
        </w:rPr>
      </w:r>
      <w:r>
        <w:rPr>
          <w:lang w:val="en_US" w:bidi="en_US"/>
        </w:rPr>
        <w:t>a woman from that town who had a bad reputation</w:t>
      </w:r>
    </w:p>
    <w:p>
      <w:pPr/>
      <w:r>
        <w:rPr>
          <w:lang w:val="en_US" w:bidi="en_US"/>
        </w:rPr>
      </w:r>
      <w:r>
        <w:rPr>
          <w:lang w:val="en_US" w:bidi="en_US"/>
        </w:rPr>
        <w:t>The point of this statement is that the people in the room considered the woman to be a “sinner.”</w:t>
      </w:r>
    </w:p>
    <w:p>
      <w:pPr>
        <w:pStyle w:val="Heading5"/>
      </w:pPr>
      <w:r>
        <w:rPr>
          <w:lang w:val="en_US" w:bidi="en_US"/>
        </w:rPr>
        <w:t>7:37b</w:t>
      </w:r>
    </w:p>
    <w:p>
      <w:pPr/>
      <w:r>
        <w:rPr>
          <w:lang w:val="en_US" w:bidi="en_US"/>
        </w:rPr>
      </w:r>
      <w:r>
        <w:rPr>
          <w:b/>
          <w:lang w:val="en_US" w:bidi="en_US"/>
        </w:rPr>
        <w:t>learned that Jesus was dining there,</w:t>
      </w:r>
    </w:p>
    <w:p>
      <w:pPr>
        <w:pStyle w:val="ListBullet"/>
        <w:spacing w:line="240" w:lineRule="auto"/>
        <w:ind w:left="720"/>
      </w:pPr>
      <w:r>
        <w:rPr>
          <w:lang w:val="en_US" w:bidi="en_US"/>
        </w:rPr>
      </w:r>
      <w:r>
        <w:rPr>
          <w:lang w:val="en_US" w:bidi="en_US"/>
        </w:rPr>
        <w:t>She discovered that Jesus was eating at the Pharisee’s house!</w:t>
      </w:r>
    </w:p>
    <w:p>
      <w:pPr>
        <w:pStyle w:val="ListBullet"/>
        <w:spacing w:line="240" w:lineRule="auto"/>
        <w:ind w:left="720"/>
      </w:pPr>
      <w:r>
        <w:rPr>
          <w:lang w:val="en_US" w:bidi="en_US"/>
        </w:rPr>
      </w:r>
      <w:r>
        <w:rPr>
          <w:lang w:val="en_US" w:bidi="en_US"/>
        </w:rPr>
        <w:t>heard that Jesus was having dinner at the Pharisee’s house.</w:t>
      </w:r>
    </w:p>
    <w:p>
      <w:pPr/>
      <w:r>
        <w:rPr>
          <w:lang w:val="en_US" w:bidi="en_US"/>
        </w:rPr>
      </w:r>
      <w:r>
        <w:rPr>
          <w:b/>
          <w:lang w:val="en_US" w:bidi="en_US"/>
        </w:rPr>
        <w:t>learned that Jesus was dining there:</w:t>
      </w:r>
      <w:r>
        <w:rPr>
          <w:lang w:val="en_US" w:bidi="en_US"/>
        </w:rPr>
        <w:t xml:space="preserve"> The word </w:t>
      </w:r>
      <w:r>
        <w:rPr>
          <w:i/>
          <w:lang w:val="en_US" w:bidi="en_US"/>
        </w:rPr>
        <w:t>learned</w:t>
      </w:r>
      <w:r>
        <w:rPr>
          <w:lang w:val="en_US" w:bidi="en_US"/>
        </w:rPr>
        <w:t xml:space="preserve"> here indicates that the woman heard in some way that Jesus was in the Pharisee’s house.</w:t>
      </w:r>
    </w:p>
    <w:p>
      <w:pPr/>
      <w:r>
        <w:rPr>
          <w:lang w:val="en_US" w:bidi="en_US"/>
        </w:rPr>
      </w:r>
      <w:r>
        <w:rPr>
          <w:b/>
          <w:lang w:val="en_US" w:bidi="en_US"/>
        </w:rPr>
        <w:t>was dining:</w:t>
      </w:r>
      <w:r>
        <w:rPr>
          <w:lang w:val="en_US" w:bidi="en_US"/>
        </w:rPr>
        <w:t xml:space="preserve"> The Greek word that the BSB translates as </w:t>
      </w:r>
      <w:r>
        <w:rPr>
          <w:i/>
          <w:lang w:val="en_US" w:bidi="en_US"/>
        </w:rPr>
        <w:t>was dining</w:t>
      </w:r>
      <w:r>
        <w:rPr>
          <w:lang w:val="en_US" w:bidi="en_US"/>
        </w:rPr>
        <w:t xml:space="preserve"> is literally “was lying/reclining.” See the note on “reclined at the table” at 7:36b. The position is not in focus here, so it is fine to use a more general expression. For example:</w:t>
      </w:r>
    </w:p>
    <w:p>
      <w:pPr/>
      <w:r>
        <w:rPr>
          <w:lang w:val="en_US" w:bidi="en_US"/>
        </w:rPr>
      </w:r>
      <w:r>
        <w:rPr>
          <w:lang w:val="en_US" w:bidi="en_US"/>
        </w:rPr>
        <w:t>was at table (RSV)</w:t>
      </w:r>
    </w:p>
    <w:p>
      <w:pPr/>
      <w:r>
        <w:rPr>
          <w:lang w:val="en_US" w:bidi="en_US"/>
        </w:rPr>
      </w:r>
      <w:r>
        <w:rPr>
          <w:lang w:val="en_US" w:bidi="en_US"/>
        </w:rPr>
        <w:t>was eating (NIV)</w:t>
      </w:r>
    </w:p>
    <w:p>
      <w:pPr/>
      <w:r>
        <w:rPr>
          <w:lang w:val="en_US" w:bidi="en_US"/>
        </w:rPr>
      </w:r>
      <w:r>
        <w:rPr>
          <w:lang w:val="en_US" w:bidi="en_US"/>
        </w:rPr>
        <w:t>was a guest (REB)</w:t>
      </w:r>
    </w:p>
    <w:p>
      <w:pPr>
        <w:pStyle w:val="Heading5"/>
      </w:pPr>
      <w:r>
        <w:rPr>
          <w:lang w:val="en_US" w:bidi="en_US"/>
        </w:rPr>
        <w:t>7:37c</w:t>
      </w:r>
    </w:p>
    <w:p>
      <w:pPr/>
      <w:r>
        <w:rPr>
          <w:lang w:val="en_US" w:bidi="en_US"/>
        </w:rPr>
      </w:r>
      <w:r>
        <w:rPr>
          <w:b/>
          <w:lang w:val="en_US" w:bidi="en_US"/>
        </w:rPr>
        <w:t>she brought an alabaster jar of perfume.</w:t>
      </w:r>
    </w:p>
    <w:p>
      <w:pPr>
        <w:pStyle w:val="ListBullet"/>
        <w:spacing w:line="240" w:lineRule="auto"/>
        <w:ind w:left="720"/>
      </w:pPr>
      <w:r>
        <w:rPr>
          <w:lang w:val="en_US" w:bidi="en_US"/>
        </w:rPr>
      </w:r>
      <w:r>
        <w:rPr>
          <w:lang w:val="en_US" w:bidi="en_US"/>
        </w:rPr>
        <w:t>So</w:t>
      </w:r>
      <w:r>
        <w:rPr>
          <w:lang w:val="en_US" w:bidi="en_US"/>
        </w:rPr>
        <w:t xml:space="preserve"> she brought scented oil in a jar made of stone/alabaster</w:t>
      </w:r>
    </w:p>
    <w:p>
      <w:pPr>
        <w:pStyle w:val="ListBullet"/>
        <w:spacing w:line="240" w:lineRule="auto"/>
        <w:ind w:left="720"/>
      </w:pPr>
      <w:r>
        <w:rPr>
          <w:lang w:val="en_US" w:bidi="en_US"/>
        </w:rPr>
      </w:r>
      <w:r>
        <w:rPr>
          <w:lang w:val="en_US" w:bidi="en_US"/>
        </w:rPr>
        <w:t xml:space="preserve">She went there carrying a </w:t>
      </w:r>
      <w:r>
        <w:rPr>
          <w:lang w:val="en_US" w:bidi="en_US"/>
        </w:rPr>
        <w:t>beautiful</w:t>
      </w:r>
      <w:r>
        <w:rPr>
          <w:lang w:val="en_US" w:bidi="en_US"/>
        </w:rPr>
        <w:t xml:space="preserve"> bottle containing sweet-smelling oil.</w:t>
      </w:r>
    </w:p>
    <w:p>
      <w:pPr/>
      <w:r>
        <w:rPr>
          <w:lang w:val="en_US" w:bidi="en_US"/>
        </w:rPr>
      </w:r>
      <w:r>
        <w:rPr>
          <w:b/>
          <w:lang w:val="en_US" w:bidi="en_US"/>
        </w:rPr>
        <w:t>an alabaster jar of perfume:</w:t>
      </w:r>
      <w:r>
        <w:rPr>
          <w:lang w:val="en_US" w:bidi="en_US"/>
        </w:rPr>
        <w:t xml:space="preserve"> In this phrase the </w:t>
      </w:r>
      <w:r>
        <w:rPr>
          <w:i/>
          <w:lang w:val="en_US" w:bidi="en_US"/>
        </w:rPr>
        <w:t>perfume</w:t>
      </w:r>
      <w:r>
        <w:rPr>
          <w:lang w:val="en_US" w:bidi="en_US"/>
        </w:rPr>
        <w:t xml:space="preserve"> is most important, not the </w:t>
      </w:r>
      <w:r>
        <w:rPr>
          <w:i/>
          <w:lang w:val="en_US" w:bidi="en_US"/>
        </w:rPr>
        <w:t>alabaster jar</w:t>
      </w:r>
      <w:r>
        <w:rPr>
          <w:lang w:val="en_US" w:bidi="en_US"/>
        </w:rPr>
        <w:t>. Your translation should keep the perfume in focus. For example:</w:t>
      </w:r>
    </w:p>
    <w:p>
      <w:pPr/>
      <w:r>
        <w:rPr>
          <w:lang w:val="en_US" w:bidi="en_US"/>
        </w:rPr>
      </w:r>
      <w:r>
        <w:rPr>
          <w:lang w:val="en_US" w:bidi="en_US"/>
        </w:rPr>
        <w:t>she brought perfume in an alabaster jar</w:t>
      </w:r>
    </w:p>
    <w:p>
      <w:pPr/>
      <w:r>
        <w:rPr>
          <w:lang w:val="en_US" w:bidi="en_US"/>
        </w:rPr>
      </w:r>
      <w:r>
        <w:rPr>
          <w:b/>
          <w:lang w:val="en_US" w:bidi="en_US"/>
        </w:rPr>
        <w:t>alabaster jar:</w:t>
      </w:r>
      <w:r>
        <w:rPr>
          <w:lang w:val="en_US" w:bidi="en_US"/>
        </w:rPr>
        <w:t xml:space="preserve"> An </w:t>
      </w:r>
      <w:r>
        <w:rPr>
          <w:i/>
          <w:lang w:val="en_US" w:bidi="en_US"/>
        </w:rPr>
        <w:t>alabaster jar</w:t>
      </w:r>
      <w:r>
        <w:rPr>
          <w:lang w:val="en_US" w:bidi="en_US"/>
        </w:rPr>
        <w:t xml:space="preserve"> was a small, expensive container like a vial or bottle. It was made from a beautiful white and yellow stone called </w:t>
      </w:r>
      <w:r>
        <w:rPr>
          <w:i/>
          <w:lang w:val="en_US" w:bidi="en_US"/>
        </w:rPr>
        <w:t>alabaster</w:t>
      </w:r>
      <w:r>
        <w:rPr>
          <w:lang w:val="en_US" w:bidi="en_US"/>
        </w:rPr>
        <w:t xml:space="preserve"> that came from Egypt.</w:t>
      </w:r>
      <w:r>
        <w:rPr>
          <w:lang w:val="en_US" w:bidi="en_US"/>
        </w:rPr>
        <w:t xml:space="preserve">The Greek word </w:t>
      </w:r>
      <w:r>
        <w:rPr>
          <w:i/>
          <w:lang w:val="en_US" w:bidi="en_US"/>
        </w:rPr>
        <w:t>αλαβαστρον</w:t>
      </w:r>
      <w:r>
        <w:rPr>
          <w:lang w:val="en_US" w:bidi="en_US"/>
        </w:rPr>
        <w:t xml:space="preserve"> came to refer to any perfume vial or flask in general, since they were most commonly made of alabaster. (See Edersheim, </w:t>
      </w:r>
      <w:r>
        <w:rPr>
          <w:i/>
          <w:lang w:val="en_US" w:bidi="en_US"/>
        </w:rPr>
        <w:t>Life and Times of Jesus the Messiah</w:t>
      </w:r>
      <w:r>
        <w:rPr>
          <w:lang w:val="en_US" w:bidi="en_US"/>
        </w:rPr>
        <w:t>, pp. 439–440 including the footnote on p. 439.)</w:t>
      </w:r>
    </w:p>
    <w:p>
      <w:pPr/>
      <w:r>
        <w:rPr>
          <w:lang w:val="en_US" w:bidi="en_US"/>
        </w:rPr>
      </w:r>
      <w:r>
        <w:rPr>
          <w:lang w:val="en_US" w:bidi="en_US"/>
        </w:rPr>
        <w:t xml:space="preserve">Some ways to translate the word </w:t>
      </w:r>
      <w:r>
        <w:rPr>
          <w:i/>
          <w:lang w:val="en_US" w:bidi="en_US"/>
        </w:rPr>
        <w:t>alabaster</w:t>
      </w:r>
      <w:r>
        <w:rPr>
          <w:lang w:val="en_US" w:bidi="en_US"/>
        </w:rPr>
        <w:t xml:space="preserve"> are:</w:t>
      </w:r>
    </w:p>
    <w:p>
      <w:pPr>
        <w:pStyle w:val="ListBullet"/>
        <w:spacing w:line="240" w:lineRule="auto"/>
        <w:ind w:left="720"/>
      </w:pPr>
      <w:r>
        <w:rPr>
          <w:lang w:val="en_US" w:bidi="en_US"/>
        </w:rPr>
      </w:r>
      <w:r>
        <w:rPr>
          <w:lang w:val="en_US" w:bidi="en_US"/>
        </w:rPr>
        <w:t>Borrow the word from a major language version and add a descriptive phrase. For example:</w:t>
      </w:r>
      <w:r>
        <w:rPr>
          <w:lang w:val="en_US" w:bidi="en_US"/>
        </w:rPr>
        <w:t>a flask/bottle made of alabaster</w:t>
      </w:r>
      <w:r>
        <w:rPr>
          <w:lang w:val="en_US" w:bidi="en_US"/>
        </w:rPr>
        <w:t>a jar/bottle made of a beautiful stone called alabaster</w:t>
      </w:r>
    </w:p>
    <w:p>
      <w:pPr>
        <w:pStyle w:val="ListBullet"/>
        <w:spacing w:line="240" w:lineRule="auto"/>
        <w:ind w:left="720"/>
      </w:pPr>
      <w:r>
        <w:rPr>
          <w:lang w:val="en_US" w:bidi="en_US"/>
        </w:rPr>
      </w:r>
      <w:r>
        <w:rPr>
          <w:lang w:val="en_US" w:bidi="en_US"/>
        </w:rPr>
        <w:t xml:space="preserve">Use a descriptive phrase that describes the significance of </w:t>
      </w:r>
      <w:r>
        <w:rPr>
          <w:i/>
          <w:lang w:val="en_US" w:bidi="en_US"/>
        </w:rPr>
        <w:t>alabaster</w:t>
      </w:r>
      <w:r>
        <w:rPr>
          <w:lang w:val="en_US" w:bidi="en_US"/>
        </w:rPr>
        <w:t xml:space="preserve"> in the context. For example:</w:t>
      </w:r>
      <w:r>
        <w:rPr>
          <w:lang w:val="en_US" w:bidi="en_US"/>
        </w:rPr>
        <w:t>a beautiful bottle/vial</w:t>
      </w:r>
    </w:p>
    <w:p>
      <w:pPr>
        <w:pStyle w:val="ListBullet"/>
        <w:spacing w:line="240" w:lineRule="auto"/>
        <w:ind w:left="720"/>
      </w:pPr>
      <w:r>
        <w:rPr>
          <w:lang w:val="en_US" w:bidi="en_US"/>
        </w:rPr>
      </w:r>
      <w:r>
        <w:rPr>
          <w:lang w:val="en_US" w:bidi="en_US"/>
        </w:rPr>
        <w:t>Use a general term. For example:</w:t>
      </w:r>
      <w:r>
        <w:rPr>
          <w:lang w:val="en_US" w:bidi="en_US"/>
        </w:rPr>
        <w:t>a bottle (GW)</w:t>
      </w:r>
    </w:p>
    <w:p>
      <w:pPr/>
      <w:r>
        <w:rPr>
          <w:lang w:val="en_US" w:bidi="en_US"/>
        </w:rPr>
      </w:r>
      <w:r>
        <w:rPr>
          <w:lang w:val="en_US" w:bidi="en_US"/>
        </w:rPr>
        <w:t>If you use a descriptive phrase, be sure that it is not so complex that it distracts people. You should not substitute a different material for “alabaster,” because this verse describes a real event.</w:t>
      </w:r>
    </w:p>
    <w:p>
      <w:pPr/>
      <w:r>
        <w:rPr>
          <w:lang w:val="en_US" w:bidi="en_US"/>
        </w:rPr>
      </w:r>
      <w:r>
        <w:rPr>
          <w:b/>
          <w:lang w:val="en_US" w:bidi="en_US"/>
        </w:rPr>
        <w:t>of perfume:</w:t>
      </w:r>
      <w:r>
        <w:rPr>
          <w:lang w:val="en_US" w:bidi="en_US"/>
        </w:rPr>
        <w:t xml:space="preserve"> The word </w:t>
      </w:r>
      <w:r>
        <w:rPr>
          <w:i/>
          <w:lang w:val="en_US" w:bidi="en_US"/>
        </w:rPr>
        <w:t>perfume</w:t>
      </w:r>
      <w:r>
        <w:rPr>
          <w:lang w:val="en_US" w:bidi="en_US"/>
        </w:rPr>
        <w:t xml:space="preserve"> here refers to a scented oil.</w:t>
      </w:r>
      <w:r>
        <w:rPr>
          <w:lang w:val="en_US" w:bidi="en_US"/>
        </w:rPr>
        <w:t>We are not told what type of perfumed oil this was, and so we cannot be sure of the value. Some scholars assume this would have been an expensive perfume such as nard, possibly by analogy with Matthew 26:6–13 (parallel to Mark 14:3–9) and John 12:1–8. Edersheim (</w:t>
      </w:r>
      <w:r>
        <w:rPr>
          <w:i/>
          <w:lang w:val="en_US" w:bidi="en_US"/>
        </w:rPr>
        <w:t>Messiah</w:t>
      </w:r>
      <w:r>
        <w:rPr>
          <w:lang w:val="en_US" w:bidi="en_US"/>
        </w:rPr>
        <w:t xml:space="preserve">, pp. 439–440) suggests this probably was a locally made perfumed oil with a mixture of scents “known in antiquity as </w:t>
      </w:r>
      <w:r>
        <w:rPr>
          <w:i/>
          <w:lang w:val="en_US" w:bidi="en_US"/>
        </w:rPr>
        <w:t>foliatum</w:t>
      </w:r>
      <w:r>
        <w:rPr>
          <w:lang w:val="en_US" w:bidi="en_US"/>
        </w:rPr>
        <w:t>” and which was “so common among Jewish women.” He also mentions scented oils made locally from roses and irises. Henri Daniel-Rops (</w:t>
      </w:r>
      <w:r>
        <w:rPr>
          <w:i/>
          <w:lang w:val="en_US" w:bidi="en_US"/>
        </w:rPr>
        <w:t>Daily Life in the Time of Jesus</w:t>
      </w:r>
      <w:r>
        <w:rPr>
          <w:lang w:val="en_US" w:bidi="en_US"/>
        </w:rPr>
        <w:t>, p. 305) also mentions that an imitation of the expensive nard was made from a local plant and that scented oils were made from a variety of flowers including lily, rose, and jasmine.</w:t>
      </w:r>
      <w:r>
        <w:rPr>
          <w:lang w:val="en_US" w:bidi="en_US"/>
        </w:rPr>
        <w:t xml:space="preserve"> If you do not have a general word in your language for this, you could:</w:t>
      </w:r>
    </w:p>
    <w:p>
      <w:pPr>
        <w:pStyle w:val="ListBullet"/>
        <w:spacing w:line="240" w:lineRule="auto"/>
        <w:ind w:left="720"/>
      </w:pPr>
      <w:r>
        <w:rPr>
          <w:lang w:val="en_US" w:bidi="en_US"/>
        </w:rPr>
      </w:r>
      <w:r>
        <w:rPr>
          <w:lang w:val="en_US" w:bidi="en_US"/>
        </w:rPr>
        <w:t>Use a descriptive phrase. For example:</w:t>
      </w:r>
      <w:r>
        <w:rPr>
          <w:lang w:val="en_US" w:bidi="en_US"/>
        </w:rPr>
        <w:t>sweet-smelling oil</w:t>
      </w:r>
      <w:r>
        <w:rPr>
          <w:lang w:val="en_US" w:bidi="en_US"/>
        </w:rPr>
        <w:t>that which makes you smell nice</w:t>
      </w:r>
    </w:p>
    <w:p>
      <w:pPr>
        <w:pStyle w:val="ListBullet"/>
        <w:spacing w:line="240" w:lineRule="auto"/>
        <w:ind w:left="720"/>
      </w:pPr>
      <w:r>
        <w:rPr>
          <w:lang w:val="en_US" w:bidi="en_US"/>
        </w:rPr>
      </w:r>
      <w:r>
        <w:rPr>
          <w:lang w:val="en_US" w:bidi="en_US"/>
        </w:rPr>
        <w:t xml:space="preserve">Describe this as </w:t>
      </w:r>
      <w:r>
        <w:rPr>
          <w:u w:val="single"/>
          <w:lang w:val="en_US" w:bidi="en_US"/>
        </w:rPr>
        <w:t>like</w:t>
      </w:r>
      <w:r>
        <w:rPr>
          <w:lang w:val="en_US" w:bidi="en_US"/>
        </w:rPr>
        <w:t xml:space="preserve"> something that people in your culture use to cause a person’s body to smell nice. For example:</w:t>
      </w:r>
      <w:r>
        <w:rPr>
          <w:lang w:val="en_US" w:bidi="en_US"/>
        </w:rPr>
        <w:t xml:space="preserve">something like </w:t>
      </w:r>
      <w:r>
        <w:rPr>
          <w:lang w:val="en_US" w:bidi="en_US"/>
        </w:rPr>
        <w:t>coconut</w:t>
      </w:r>
      <w:r>
        <w:rPr>
          <w:lang w:val="en_US" w:bidi="en_US"/>
        </w:rPr>
        <w:t xml:space="preserve"> oil</w:t>
      </w:r>
      <w:r>
        <w:rPr>
          <w:lang w:val="en_US" w:bidi="en_US"/>
        </w:rPr>
      </w:r>
      <w:r>
        <w:rPr>
          <w:lang w:val="en_US" w:bidi="en_US"/>
        </w:rPr>
      </w:r>
    </w:p>
    <w:p>
      <w:pPr/>
      <w:r>
        <w:rPr>
          <w:lang w:val="en_US" w:bidi="en_US"/>
        </w:rPr>
      </w:r>
    </w:p>
    <w:p>
      <w:pPr>
        <w:pStyle w:val="Heading2"/>
      </w:pPr>
      <w:r>
        <w:rPr>
          <w:lang w:val="en_US" w:bidi="en_US"/>
        </w:rPr>
        <w:t>Luke 7:38</w:t>
      </w:r>
      <w:r>
        <w:rPr>
          <w:lang w:val="en_US" w:bidi="en_US"/>
        </w:rPr>
      </w:r>
    </w:p>
    <w:p>
      <w:pPr>
        <w:pStyle w:val="Heading4"/>
      </w:pPr>
      <w:r>
        <w:rPr>
          <w:lang w:val="en_US" w:bidi="en_US"/>
        </w:rPr>
        <w:t>Section 7:36–50: Jesus forgave a woman’s sins and taught a Pharisee about love</w:t>
      </w:r>
    </w:p>
    <w:p>
      <w:pPr/>
      <w:r>
        <w:rPr>
          <w:lang w:val="en_US" w:bidi="en_US"/>
        </w:rPr>
      </w:r>
      <w:r>
        <w:rPr>
          <w:lang w:val="en_US" w:bidi="en_US"/>
        </w:rP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pPr/>
      <w:r>
        <w:rPr>
          <w:lang w:val="en_US" w:bidi="en_US"/>
        </w:rPr>
      </w:r>
      <w:r>
        <w:rPr>
          <w:lang w:val="en_US" w:bidi="en_US"/>
        </w:rP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pPr/>
      <w:r>
        <w:rPr>
          <w:lang w:val="en_US" w:bidi="en_US"/>
        </w:rPr>
      </w:r>
      <w:r>
        <w:rPr>
          <w:lang w:val="en_US" w:bidi="en_US"/>
        </w:rPr>
        <w:t>Certain Jewish customs help to explain some of the actions in this story:</w:t>
      </w:r>
    </w:p>
    <w:p>
      <w:pPr>
        <w:pStyle w:val="ListNumber"/>
        <w:numPr>
          <w:ilvl w:val="0"/>
          <w:numId w:val="153"/>
        </w:numPr>
        <w:spacing w:line="240" w:lineRule="auto"/>
        <w:ind w:left="720"/>
      </w:pPr>
      <w:r>
        <w:rPr>
          <w:lang w:val="en_US" w:bidi="en_US"/>
        </w:rPr>
      </w:r>
      <w:r>
        <w:rPr>
          <w:lang w:val="en_US" w:bidi="en_US"/>
        </w:rP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Pr>
          <w:lang w:val="en_US" w:bidi="en_US"/>
        </w:rPr>
      </w:r>
      <w:r>
        <w:rPr>
          <w:lang w:val="en_US" w:bidi="en_US"/>
        </w:rP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Pr>
          <w:lang w:val="en_US" w:bidi="en_US"/>
        </w:rPr>
      </w:r>
      <w:r>
        <w:rPr>
          <w:lang w:val="en_US" w:bidi="en_US"/>
        </w:rPr>
        <w:t>Often a slave washed the feet of the guests. People considered feet to be dirty. When the woman washed Jesus’ feet and kissed them, she humbled herself and honored Jesus.</w:t>
      </w:r>
    </w:p>
    <w:p>
      <w:pPr/>
      <w:r>
        <w:rPr>
          <w:lang w:val="en_US" w:bidi="en_US"/>
        </w:rPr>
      </w:r>
      <w:r>
        <w:rPr>
          <w:lang w:val="en_US" w:bidi="en_US"/>
        </w:rPr>
        <w:t>This section is not explicitly connected to the preceding one, but it does illustrate some of the statements in 7:29–35. The woman was a person who “acknowledged God’s justice” (7:29). Simon the Pharisee was one of those who “rejected God’s purpose for themselves” (7:30).</w:t>
      </w:r>
    </w:p>
    <w:p>
      <w:pPr/>
      <w:r>
        <w:rPr>
          <w:lang w:val="en_US" w:bidi="en_US"/>
        </w:rPr>
      </w:r>
      <w:r>
        <w:rPr>
          <w:lang w:val="en_US" w:bidi="en_US"/>
        </w:rPr>
        <w:t>Some other possible headings for this section are:</w:t>
      </w:r>
    </w:p>
    <w:p>
      <w:pPr/>
      <w:r>
        <w:rPr>
          <w:lang w:val="en_US" w:bidi="en_US"/>
        </w:rPr>
      </w:r>
      <w:r>
        <w:rPr>
          <w:lang w:val="en_US" w:bidi="en_US"/>
        </w:rPr>
        <w:t>A sinful woman washes Jesus’ feet at the home of a Pharisee named Simon</w:t>
      </w:r>
    </w:p>
    <w:p>
      <w:pPr/>
      <w:r>
        <w:rPr>
          <w:lang w:val="en_US" w:bidi="en_US"/>
        </w:rPr>
      </w:r>
      <w:r>
        <w:rPr>
          <w:lang w:val="en_US" w:bidi="en_US"/>
        </w:rPr>
        <w:t>Jesus compares a Pharisee and a sinful woman</w:t>
      </w:r>
    </w:p>
    <w:p>
      <w:pPr>
        <w:pStyle w:val="Heading5"/>
      </w:pPr>
      <w:r>
        <w:rPr>
          <w:lang w:val="en_US" w:bidi="en_US"/>
        </w:rPr>
        <w:t>7:38a</w:t>
      </w:r>
    </w:p>
    <w:p>
      <w:pPr/>
      <w:r>
        <w:rPr>
          <w:lang w:val="en_US" w:bidi="en_US"/>
        </w:rPr>
      </w:r>
      <w:r>
        <w:rPr>
          <w:b/>
          <w:lang w:val="en_US" w:bidi="en_US"/>
        </w:rPr>
        <w:t>As she stood behind Him at His feet weeping,</w:t>
      </w:r>
    </w:p>
    <w:p>
      <w:pPr>
        <w:pStyle w:val="ListBullet"/>
        <w:spacing w:line="240" w:lineRule="auto"/>
        <w:ind w:left="720"/>
      </w:pPr>
      <w:r>
        <w:rPr>
          <w:lang w:val="en_US" w:bidi="en_US"/>
        </w:rPr>
      </w:r>
      <w:r>
        <w:rPr>
          <w:lang w:val="en_US" w:bidi="en_US"/>
        </w:rPr>
        <w:t>and came to Jesus. As she stood behind him near his feet, she was crying so much that</w:t>
      </w:r>
    </w:p>
    <w:p>
      <w:pPr>
        <w:pStyle w:val="ListBullet"/>
        <w:spacing w:line="240" w:lineRule="auto"/>
        <w:ind w:left="720"/>
      </w:pPr>
      <w:r>
        <w:rPr>
          <w:lang w:val="en_US" w:bidi="en_US"/>
        </w:rPr>
      </w:r>
      <w:r>
        <w:rPr>
          <w:lang w:val="en_US" w:bidi="en_US"/>
        </w:rPr>
        <w:t xml:space="preserve">As she stood at Jesus’ feet, she was weeping and </w:t>
      </w:r>
      <w:r>
        <w:rPr>
          <w:lang w:val="en_US" w:bidi="en_US"/>
        </w:rPr>
        <w:t>when she bent/kneeled down</w:t>
      </w:r>
      <w:r>
        <w:rPr>
          <w:lang w:val="en_US" w:bidi="en_US"/>
        </w:rPr>
        <w:t>,</w:t>
      </w:r>
    </w:p>
    <w:p>
      <w:pPr/>
      <w:r>
        <w:rPr>
          <w:lang w:val="en_US" w:bidi="en_US"/>
        </w:rPr>
      </w:r>
      <w:r>
        <w:rPr>
          <w:b/>
          <w:lang w:val="en_US" w:bidi="en_US"/>
        </w:rPr>
        <w:t>she stood behind Him at His feet:</w:t>
      </w:r>
      <w:r>
        <w:rPr>
          <w:lang w:val="en_US" w:bidi="en_US"/>
        </w:rPr>
        <w:t xml:space="preserve"> The woman stood behind Jesus. He was lying down on a couch with his head near the table and his feet away from the table. She was standing next to his feet.</w:t>
      </w:r>
    </w:p>
    <w:p>
      <w:pPr/>
      <w:r>
        <w:rPr>
          <w:lang w:val="en_US" w:bidi="en_US"/>
        </w:rPr>
      </w:r>
      <w:r>
        <w:rPr>
          <w:b/>
          <w:lang w:val="en_US" w:bidi="en_US"/>
        </w:rPr>
        <w:t>weeping:</w:t>
      </w:r>
      <w:r>
        <w:rPr>
          <w:lang w:val="en_US" w:bidi="en_US"/>
        </w:rPr>
        <w:t xml:space="preserve"> The action of </w:t>
      </w:r>
      <w:r>
        <w:rPr>
          <w:i/>
          <w:lang w:val="en_US" w:bidi="en_US"/>
        </w:rPr>
        <w:t>weeping</w:t>
      </w:r>
      <w:r>
        <w:rPr>
          <w:lang w:val="en_US" w:bidi="en_US"/>
        </w:rPr>
        <w:t xml:space="preserve"> often expresses sorrow. Here the woman may have been feeling sorrow over the sinful life that she had lived. However, she was probably weeping mainly because she was very grateful to Jesus that he had forgiven her. In this context the word </w:t>
      </w:r>
      <w:r>
        <w:rPr>
          <w:i/>
          <w:lang w:val="en_US" w:bidi="en_US"/>
        </w:rPr>
        <w:t>weeping</w:t>
      </w:r>
      <w:r>
        <w:rPr>
          <w:lang w:val="en_US" w:bidi="en_US"/>
        </w:rPr>
        <w:t xml:space="preserve"> does not imply loud wailing and crying out.</w:t>
      </w:r>
    </w:p>
    <w:p>
      <w:pPr/>
      <w:r>
        <w:rPr>
          <w:lang w:val="en_US" w:bidi="en_US"/>
        </w:rPr>
      </w:r>
      <w:r>
        <w:rPr>
          <w:lang w:val="en_US" w:bidi="en_US"/>
        </w:rPr>
        <w:t>In some languages it may be helpful to include a footnote about the reason for the woman’s weeping. For example:</w:t>
      </w:r>
    </w:p>
    <w:p>
      <w:pPr/>
      <w:r>
        <w:rPr>
          <w:lang w:val="en_US" w:bidi="en_US"/>
        </w:rPr>
      </w:r>
      <w:r>
        <w:rPr>
          <w:lang w:val="en_US" w:bidi="en_US"/>
        </w:rPr>
        <w:t>The woman may have been crying because she was sorry for her sins and/or because she was so thankful that her sins were forgiven (verse 47). (TRT)</w:t>
      </w:r>
    </w:p>
    <w:p>
      <w:pPr>
        <w:pStyle w:val="Heading5"/>
      </w:pPr>
      <w:r>
        <w:rPr>
          <w:lang w:val="en_US" w:bidi="en_US"/>
        </w:rPr>
        <w:t>7:38b</w:t>
      </w:r>
    </w:p>
    <w:p>
      <w:pPr/>
      <w:r>
        <w:rPr>
          <w:lang w:val="en_US" w:bidi="en_US"/>
        </w:rPr>
      </w:r>
      <w:r>
        <w:rPr>
          <w:b/>
          <w:lang w:val="en_US" w:bidi="en_US"/>
        </w:rPr>
        <w:t>she began to wet His feet with her tears</w:t>
      </w:r>
    </w:p>
    <w:p>
      <w:pPr>
        <w:pStyle w:val="ListBullet"/>
        <w:spacing w:line="240" w:lineRule="auto"/>
        <w:ind w:left="720"/>
      </w:pPr>
      <w:r>
        <w:rPr>
          <w:lang w:val="en_US" w:bidi="en_US"/>
        </w:rPr>
      </w:r>
      <w:r>
        <w:rPr>
          <w:lang w:val="en_US" w:bidi="en_US"/>
        </w:rPr>
        <w:t>her tears began to make his feet wet.</w:t>
      </w:r>
    </w:p>
    <w:p>
      <w:pPr>
        <w:pStyle w:val="ListBullet"/>
        <w:spacing w:line="240" w:lineRule="auto"/>
        <w:ind w:left="720"/>
      </w:pPr>
      <w:r>
        <w:rPr>
          <w:lang w:val="en_US" w:bidi="en_US"/>
        </w:rPr>
      </w:r>
      <w:r>
        <w:rPr>
          <w:lang w:val="en_US" w:bidi="en_US"/>
        </w:rPr>
        <w:t>her tears fell onto his feet.</w:t>
      </w:r>
    </w:p>
    <w:p>
      <w:pPr/>
      <w:r>
        <w:rPr>
          <w:lang w:val="en_US" w:bidi="en_US"/>
        </w:rPr>
      </w:r>
      <w:r>
        <w:rPr>
          <w:b/>
          <w:lang w:val="en_US" w:bidi="en_US"/>
        </w:rPr>
        <w:t>began to wet His feet with her tears:</w:t>
      </w:r>
      <w:r>
        <w:rPr>
          <w:lang w:val="en_US" w:bidi="en_US"/>
        </w:rPr>
        <w:t xml:space="preserve"> As the woman wept, her tears fell down on Jesus’ feet. The tears started to make Jesus’ feet wet, and as they continued to fall, they continued to make them wet. In some languages a word like “began” may not be necessary. Other ways to translate this are:</w:t>
      </w:r>
    </w:p>
    <w:p>
      <w:pPr/>
      <w:r>
        <w:rPr>
          <w:lang w:val="en_US" w:bidi="en_US"/>
        </w:rPr>
      </w:r>
      <w:r>
        <w:rPr>
          <w:lang w:val="en_US" w:bidi="en_US"/>
        </w:rPr>
        <w:t>and washed his feet with her tears (GW)</w:t>
      </w:r>
    </w:p>
    <w:p>
      <w:pPr/>
      <w:r>
        <w:rPr>
          <w:lang w:val="en_US" w:bidi="en_US"/>
        </w:rPr>
      </w:r>
      <w:r>
        <w:rPr>
          <w:lang w:val="en_US" w:bidi="en_US"/>
        </w:rPr>
        <w:t>His feet were wet with her tears (REB)</w:t>
      </w:r>
    </w:p>
    <w:p>
      <w:pPr>
        <w:pStyle w:val="Heading6"/>
      </w:pPr>
      <w:r>
        <w:rPr>
          <w:b/>
          <w:lang w:val="en_US" w:bidi="en_US"/>
        </w:rPr>
        <w:t>General Comment on 7:38a–b</w:t>
      </w:r>
    </w:p>
    <w:p>
      <w:pPr/>
      <w:r>
        <w:rPr>
          <w:lang w:val="en_US" w:bidi="en_US"/>
        </w:rPr>
      </w:r>
      <w:r>
        <w:rPr>
          <w:lang w:val="en_US" w:bidi="en_US"/>
        </w:rPr>
        <w:t>In 7:38a the woman was standing, but the actions in the rest of the verse imply that she was kneeling or sitting at his feet. In some languages it may be helpful to make this information explicit. For example:</w:t>
      </w:r>
    </w:p>
    <w:p>
      <w:pPr/>
      <w:r>
        <w:rPr>
          <w:lang w:val="en_US" w:bidi="en_US"/>
        </w:rPr>
      </w:r>
      <w:r>
        <w:rPr>
          <w:lang w:val="en_US" w:bidi="en_US"/>
        </w:rPr>
        <w:t xml:space="preserve">she stood behind him at his feet weeping. </w:t>
      </w:r>
      <w:r>
        <w:rPr>
          <w:lang w:val="en_US" w:bidi="en_US"/>
        </w:rPr>
        <w:t>Then</w:t>
      </w:r>
      <w:r>
        <w:rPr>
          <w:lang w:val="en_US" w:bidi="en_US"/>
        </w:rPr>
        <w:t xml:space="preserve"> she </w:t>
      </w:r>
      <w:r>
        <w:rPr>
          <w:lang w:val="en_US" w:bidi="en_US"/>
        </w:rPr>
        <w:t>knelt and</w:t>
      </w:r>
      <w:r>
        <w:rPr>
          <w:lang w:val="en_US" w:bidi="en_US"/>
        </w:rPr>
        <w:t xml:space="preserve"> began to wet his feet…</w:t>
      </w:r>
    </w:p>
    <w:p>
      <w:pPr>
        <w:pStyle w:val="Heading5"/>
      </w:pPr>
      <w:r>
        <w:rPr>
          <w:lang w:val="en_US" w:bidi="en_US"/>
        </w:rPr>
        <w:t>7:38c</w:t>
      </w:r>
    </w:p>
    <w:p>
      <w:pPr/>
      <w:r>
        <w:rPr>
          <w:lang w:val="en_US" w:bidi="en_US"/>
        </w:rPr>
      </w:r>
      <w:r>
        <w:rPr>
          <w:b/>
          <w:lang w:val="en_US" w:bidi="en_US"/>
        </w:rPr>
        <w:t>and wipe them with her hair. Then she kissed His feet</w:t>
      </w:r>
    </w:p>
    <w:p>
      <w:pPr>
        <w:pStyle w:val="ListBullet"/>
        <w:spacing w:line="240" w:lineRule="auto"/>
        <w:ind w:left="720"/>
      </w:pPr>
      <w:r>
        <w:rPr>
          <w:lang w:val="en_US" w:bidi="en_US"/>
        </w:rPr>
      </w:r>
      <w:r>
        <w:rPr>
          <w:lang w:val="en_US" w:bidi="en_US"/>
        </w:rPr>
        <w:t>Then</w:t>
      </w:r>
      <w:r>
        <w:rPr>
          <w:lang w:val="en_US" w:bidi="en_US"/>
        </w:rPr>
        <w:t xml:space="preserve"> she wiped his feet with her hair, kissed them,</w:t>
      </w:r>
    </w:p>
    <w:p>
      <w:pPr>
        <w:pStyle w:val="ListBullet"/>
        <w:spacing w:line="240" w:lineRule="auto"/>
        <w:ind w:left="720"/>
      </w:pPr>
      <w:r>
        <w:rPr>
          <w:lang w:val="en_US" w:bidi="en_US"/>
        </w:rPr>
      </w:r>
      <w:r>
        <w:rPr>
          <w:lang w:val="en_US" w:bidi="en_US"/>
        </w:rPr>
        <w:t xml:space="preserve">Over and over she dried them with her hair, kissed them </w:t>
      </w:r>
      <w:r>
        <w:rPr>
          <w:lang w:val="en_US" w:bidi="en_US"/>
        </w:rPr>
        <w:t>to show her respect/gratitude to him</w:t>
      </w:r>
      <w:r>
        <w:rPr>
          <w:lang w:val="en_US" w:bidi="en_US"/>
        </w:rPr>
        <w:t>,</w:t>
      </w:r>
    </w:p>
    <w:p>
      <w:pPr/>
      <w:r>
        <w:rPr>
          <w:lang w:val="en_US" w:bidi="en_US"/>
        </w:rPr>
      </w:r>
      <w:r>
        <w:rPr>
          <w:b/>
          <w:lang w:val="en_US" w:bidi="en_US"/>
        </w:rPr>
        <w:t>wipe them with her hair:</w:t>
      </w:r>
      <w:r>
        <w:rPr>
          <w:lang w:val="en_US" w:bidi="en_US"/>
        </w:rPr>
        <w:t xml:space="preserve"> The form of the Greek verb that the BSB translates as </w:t>
      </w:r>
      <w:r>
        <w:rPr>
          <w:i/>
          <w:lang w:val="en_US" w:bidi="en_US"/>
        </w:rPr>
        <w:t>wipe</w:t>
      </w:r>
      <w:r>
        <w:rPr>
          <w:lang w:val="en_US" w:bidi="en_US"/>
        </w:rPr>
        <w:t xml:space="preserve"> implies that the woman did this action many times. As her tears fell on Jesus’ feet, she used her hair like a towel to wipe his feet.</w:t>
      </w:r>
      <w:r>
        <w:rPr>
          <w:lang w:val="en_US" w:bidi="en_US"/>
        </w:rPr>
        <w:t>This is an emphatic expression. In Jewish culture, adult women usually covered their heads with a scarf. It was very unusual for a woman to uncover her hair in public.</w:t>
      </w:r>
    </w:p>
    <w:p>
      <w:pPr/>
      <w:r>
        <w:rPr>
          <w:lang w:val="en_US" w:bidi="en_US"/>
        </w:rPr>
      </w:r>
      <w:r>
        <w:rPr>
          <w:b/>
          <w:lang w:val="en_US" w:bidi="en_US"/>
        </w:rPr>
        <w:t>kissed His feet:</w:t>
      </w:r>
      <w:r>
        <w:rPr>
          <w:lang w:val="en_US" w:bidi="en_US"/>
        </w:rPr>
        <w:t xml:space="preserve"> The form of the Greek verb that the BSB translates as </w:t>
      </w:r>
      <w:r>
        <w:rPr>
          <w:i/>
          <w:lang w:val="en_US" w:bidi="en_US"/>
        </w:rPr>
        <w:t>kissed</w:t>
      </w:r>
      <w:r>
        <w:rPr>
          <w:lang w:val="en_US" w:bidi="en_US"/>
        </w:rPr>
        <w:t xml:space="preserve"> implies that the woman kissed Jesus’ feet many times. Kissing his feet was a sign of deep reverence and humility, as well as gratitude.</w:t>
      </w:r>
    </w:p>
    <w:p>
      <w:pPr/>
      <w:r>
        <w:rPr>
          <w:lang w:val="en_US" w:bidi="en_US"/>
        </w:rPr>
      </w:r>
      <w:r>
        <w:rPr>
          <w:b/>
          <w:lang w:val="en_US" w:bidi="en_US"/>
        </w:rPr>
        <w:t>kissed:</w:t>
      </w:r>
      <w:r>
        <w:rPr>
          <w:lang w:val="en_US" w:bidi="en_US"/>
        </w:rPr>
        <w:t xml:space="preserve"> In this context the word </w:t>
      </w:r>
      <w:r>
        <w:rPr>
          <w:i/>
          <w:lang w:val="en_US" w:bidi="en_US"/>
        </w:rPr>
        <w:t>kissed</w:t>
      </w:r>
      <w:r>
        <w:rPr>
          <w:lang w:val="en_US" w:bidi="en_US"/>
        </w:rPr>
        <w:t xml:space="preserve"> indicates that the woman rounded her lips slightly, touched or pressed them to Jesus’ feet, and withdrew them. In some cultures, the action of kissing is not known. In other cultures, the action may imply something inappropriate in this context. If that is true in your language, here are some options to consider:</w:t>
      </w:r>
    </w:p>
    <w:p>
      <w:pPr>
        <w:pStyle w:val="ListBullet"/>
        <w:spacing w:line="240" w:lineRule="auto"/>
        <w:ind w:left="720"/>
      </w:pPr>
      <w:r>
        <w:rPr>
          <w:lang w:val="en_US" w:bidi="en_US"/>
        </w:rPr>
      </w:r>
      <w:r>
        <w:rPr>
          <w:lang w:val="en_US" w:bidi="en_US"/>
        </w:rPr>
        <w:t>Use a descriptive phrase and indicate the meaning of the action. For example:</w:t>
      </w:r>
      <w:r>
        <w:rPr>
          <w:lang w:val="en_US" w:bidi="en_US"/>
        </w:rPr>
        <w:t xml:space="preserve">She kept touching her lips to his feet </w:t>
      </w:r>
      <w:r>
        <w:rPr>
          <w:lang w:val="en_US" w:bidi="en_US"/>
        </w:rPr>
        <w:t>to show her respect/gratitude</w:t>
      </w:r>
      <w:r>
        <w:rPr>
          <w:lang w:val="en_US" w:bidi="en_US"/>
        </w:rPr>
        <w:t>.</w:t>
      </w:r>
    </w:p>
    <w:p>
      <w:pPr>
        <w:pStyle w:val="ListBullet"/>
        <w:spacing w:line="240" w:lineRule="auto"/>
        <w:ind w:left="720"/>
      </w:pPr>
      <w:r>
        <w:rPr>
          <w:lang w:val="en_US" w:bidi="en_US"/>
        </w:rPr>
      </w:r>
      <w:r>
        <w:rPr>
          <w:lang w:val="en_US" w:bidi="en_US"/>
        </w:rPr>
        <w:t>Use a more general expression. For example:</w:t>
      </w:r>
      <w:r>
        <w:rPr>
          <w:lang w:val="en_US" w:bidi="en_US"/>
        </w:rPr>
        <w:t xml:space="preserve">She bowed over his feet repeatedly </w:t>
      </w:r>
      <w:r>
        <w:rPr>
          <w:lang w:val="en_US" w:bidi="en_US"/>
        </w:rPr>
        <w:t>thanking him from her heart</w:t>
      </w:r>
      <w:r>
        <w:rPr>
          <w:lang w:val="en_US" w:bidi="en_US"/>
        </w:rPr>
        <w:t>.</w:t>
      </w:r>
    </w:p>
    <w:p>
      <w:pPr>
        <w:pStyle w:val="Heading5"/>
      </w:pPr>
      <w:r>
        <w:rPr>
          <w:lang w:val="en_US" w:bidi="en_US"/>
        </w:rPr>
        <w:t>7:38d</w:t>
      </w:r>
    </w:p>
    <w:p>
      <w:pPr/>
      <w:r>
        <w:rPr>
          <w:lang w:val="en_US" w:bidi="en_US"/>
        </w:rPr>
      </w:r>
      <w:r>
        <w:rPr>
          <w:b/>
          <w:lang w:val="en_US" w:bidi="en_US"/>
        </w:rPr>
        <w:t>and anointed them with the perfume.</w:t>
      </w:r>
    </w:p>
    <w:p>
      <w:pPr>
        <w:pStyle w:val="ListBullet"/>
        <w:spacing w:line="240" w:lineRule="auto"/>
        <w:ind w:left="720"/>
      </w:pPr>
      <w:r>
        <w:rPr>
          <w:lang w:val="en_US" w:bidi="en_US"/>
        </w:rPr>
      </w:r>
      <w:r>
        <w:rPr>
          <w:lang w:val="en_US" w:bidi="en_US"/>
        </w:rPr>
        <w:t>and rubbed the scented oil on them.</w:t>
      </w:r>
    </w:p>
    <w:p>
      <w:pPr>
        <w:pStyle w:val="ListBullet"/>
        <w:spacing w:line="240" w:lineRule="auto"/>
        <w:ind w:left="720"/>
      </w:pPr>
      <w:r>
        <w:rPr>
          <w:lang w:val="en_US" w:bidi="en_US"/>
        </w:rPr>
      </w:r>
      <w:r>
        <w:rPr>
          <w:lang w:val="en_US" w:bidi="en_US"/>
        </w:rPr>
        <w:t>and put/poured the scented oil on them and rubbed it in.</w:t>
      </w:r>
    </w:p>
    <w:p>
      <w:pPr/>
      <w:r>
        <w:rPr>
          <w:lang w:val="en_US" w:bidi="en_US"/>
        </w:rPr>
      </w:r>
      <w:r>
        <w:rPr>
          <w:b/>
          <w:lang w:val="en_US" w:bidi="en_US"/>
        </w:rPr>
        <w:t>anointed them with the perfume:</w:t>
      </w:r>
      <w:r>
        <w:rPr>
          <w:lang w:val="en_US" w:bidi="en_US"/>
        </w:rPr>
        <w:t xml:space="preserve"> The pronoun </w:t>
      </w:r>
      <w:r>
        <w:rPr>
          <w:i/>
          <w:lang w:val="en_US" w:bidi="en_US"/>
        </w:rPr>
        <w:t>them</w:t>
      </w:r>
      <w:r>
        <w:rPr>
          <w:lang w:val="en_US" w:bidi="en_US"/>
        </w:rPr>
        <w:t xml:space="preserve"> refers to Jesus’ feet. The Greek word that the BSB translates as </w:t>
      </w:r>
      <w:r>
        <w:rPr>
          <w:i/>
          <w:lang w:val="en_US" w:bidi="en_US"/>
        </w:rPr>
        <w:t>anointed</w:t>
      </w:r>
      <w:r>
        <w:rPr>
          <w:lang w:val="en_US" w:bidi="en_US"/>
        </w:rPr>
        <w:t xml:space="preserve"> describes the action of applying oil or ointment to part of the body and rubbing it in. Here the term “anointed” does not imply a religious act. Other ways to translate this are:</w:t>
      </w:r>
    </w:p>
    <w:p>
      <w:pPr/>
      <w:r>
        <w:rPr>
          <w:lang w:val="en_US" w:bidi="en_US"/>
        </w:rPr>
      </w:r>
      <w:r>
        <w:rPr>
          <w:lang w:val="en_US" w:bidi="en_US"/>
        </w:rPr>
        <w:t>putting perfume on them (NLT)</w:t>
      </w:r>
    </w:p>
    <w:p>
      <w:pPr/>
      <w:r>
        <w:rPr>
          <w:lang w:val="en_US" w:bidi="en_US"/>
        </w:rPr>
      </w:r>
      <w:r>
        <w:rPr>
          <w:lang w:val="en_US" w:bidi="en_US"/>
        </w:rPr>
        <w:t>rubbed them with the perfume</w:t>
      </w:r>
    </w:p>
    <w:p>
      <w:pPr/>
      <w:r>
        <w:rPr>
          <w:lang w:val="en_US" w:bidi="en_US"/>
        </w:rPr>
      </w:r>
      <w:r>
        <w:rPr>
          <w:lang w:val="en_US" w:bidi="en_US"/>
        </w:rPr>
        <w:t>put the scented oil on them and rubbed it in</w:t>
      </w:r>
    </w:p>
    <w:p>
      <w:pPr/>
      <w:r>
        <w:rPr>
          <w:lang w:val="en_US" w:bidi="en_US"/>
        </w:rPr>
      </w:r>
      <w:r>
        <w:rPr>
          <w:lang w:val="en_US" w:bidi="en_US"/>
        </w:rPr>
        <w:t>It was not the usual custom to put oil on someone’s feet. Normally people put it on the head. It is not clear if the woman poured out part or all of the scented oil. However, the form of the Greek verb here implies that the woman poured out the oil and rubbed it into Jesus’ feet many times.</w:t>
      </w:r>
    </w:p>
    <w:p>
      <w:pPr>
        <w:pStyle w:val="Heading6"/>
      </w:pPr>
      <w:r>
        <w:rPr>
          <w:b/>
          <w:lang w:val="en_US" w:bidi="en_US"/>
        </w:rPr>
        <w:t>General Comment on 7:37b–38d</w:t>
      </w:r>
    </w:p>
    <w:p>
      <w:pPr/>
      <w:r>
        <w:rPr>
          <w:lang w:val="en_US" w:bidi="en_US"/>
        </w:rPr>
      </w:r>
      <w:r>
        <w:rPr>
          <w:lang w:val="en_US" w:bidi="en_US"/>
        </w:rPr>
        <w:t>There are eight verbs in 7:37b–38d. They are all part of one sentence in Greek. In Greek the first four verbs are background information, and the last four are the main verbs that describe four important actions. Here is the structure in Greek:</w:t>
      </w:r>
    </w:p>
    <w:p>
      <w:pPr/>
      <w:r>
        <w:rPr>
          <w:lang w:val="en_US" w:bidi="en_US"/>
        </w:rPr>
      </w:r>
      <w:r>
        <w:rPr>
          <w:lang w:val="en_US" w:bidi="en_US"/>
        </w:rPr>
        <w:t>Background actions:</w:t>
      </w:r>
    </w:p>
    <w:p>
      <w:pPr/>
      <w:r>
        <w:rPr>
          <w:lang w:val="en_US" w:bidi="en_US"/>
        </w:rPr>
      </w:r>
      <w:r>
        <w:rPr>
          <w:lang w:val="en_US" w:bidi="en_US"/>
        </w:rPr>
        <w:t>knowing that Jesus was eating,</w:t>
      </w:r>
    </w:p>
    <w:p>
      <w:pPr/>
      <w:r>
        <w:rPr>
          <w:lang w:val="en_US" w:bidi="en_US"/>
        </w:rPr>
      </w:r>
      <w:r>
        <w:rPr>
          <w:lang w:val="en_US" w:bidi="en_US"/>
        </w:rPr>
        <w:t>bringing an alabaster jar of scented oil,</w:t>
      </w:r>
    </w:p>
    <w:p>
      <w:pPr/>
      <w:r>
        <w:rPr>
          <w:lang w:val="en_US" w:bidi="en_US"/>
        </w:rPr>
      </w:r>
      <w:r>
        <w:rPr>
          <w:lang w:val="en_US" w:bidi="en_US"/>
        </w:rPr>
        <w:t>standing behind him,</w:t>
      </w:r>
    </w:p>
    <w:p>
      <w:pPr/>
      <w:r>
        <w:rPr>
          <w:lang w:val="en_US" w:bidi="en_US"/>
        </w:rPr>
      </w:r>
      <w:r>
        <w:rPr>
          <w:lang w:val="en_US" w:bidi="en_US"/>
        </w:rPr>
        <w:t>weeping,</w:t>
      </w:r>
    </w:p>
    <w:p>
      <w:pPr/>
      <w:r>
        <w:rPr>
          <w:lang w:val="en_US" w:bidi="en_US"/>
        </w:rPr>
      </w:r>
      <w:r>
        <w:rPr>
          <w:lang w:val="en_US" w:bidi="en_US"/>
        </w:rPr>
        <w:t>Main actions:</w:t>
      </w:r>
    </w:p>
    <w:p>
      <w:pPr/>
      <w:r>
        <w:rPr>
          <w:lang w:val="en_US" w:bidi="en_US"/>
        </w:rPr>
      </w:r>
      <w:r>
        <w:rPr>
          <w:lang w:val="en_US" w:bidi="en_US"/>
        </w:rPr>
        <w:t>she began to wet his feet,</w:t>
      </w:r>
    </w:p>
    <w:p>
      <w:pPr/>
      <w:r>
        <w:rPr>
          <w:lang w:val="en_US" w:bidi="en_US"/>
        </w:rPr>
      </w:r>
      <w:r>
        <w:rPr>
          <w:lang w:val="en_US" w:bidi="en_US"/>
        </w:rPr>
        <w:t>and was drying them,</w:t>
      </w:r>
    </w:p>
    <w:p>
      <w:pPr/>
      <w:r>
        <w:rPr>
          <w:lang w:val="en_US" w:bidi="en_US"/>
        </w:rPr>
      </w:r>
      <w:r>
        <w:rPr>
          <w:lang w:val="en_US" w:bidi="en_US"/>
        </w:rPr>
        <w:t>and was kissing his feet,</w:t>
      </w:r>
    </w:p>
    <w:p>
      <w:pPr/>
      <w:r>
        <w:rPr>
          <w:lang w:val="en_US" w:bidi="en_US"/>
        </w:rPr>
      </w:r>
      <w:r>
        <w:rPr>
          <w:lang w:val="en_US" w:bidi="en_US"/>
        </w:rPr>
        <w:t xml:space="preserve">and was rubbing </w:t>
      </w:r>
      <w:r>
        <w:rPr>
          <w:lang w:val="en_US" w:bidi="en_US"/>
        </w:rPr>
        <w:t>them</w:t>
      </w:r>
      <w:r>
        <w:rPr>
          <w:lang w:val="en_US" w:bidi="en_US"/>
        </w:rPr>
        <w:t xml:space="preserve"> with the oil.</w:t>
      </w:r>
    </w:p>
    <w:p>
      <w:pPr/>
      <w:r>
        <w:rPr>
          <w:lang w:val="en_US" w:bidi="en_US"/>
        </w:rPr>
      </w:r>
      <w:r>
        <w:rPr>
          <w:lang w:val="en_US" w:bidi="en_US"/>
        </w:rPr>
        <w:t>Translate these actions in a natural way in your language.</w:t>
      </w:r>
    </w:p>
    <w:p>
      <w:pPr>
        <w:pStyle w:val="Heading6"/>
      </w:pPr>
      <w:r>
        <w:rPr>
          <w:b/>
          <w:lang w:val="en_US" w:bidi="en_US"/>
        </w:rPr>
        <w:t>General Comment on 7:38c–d</w:t>
      </w:r>
    </w:p>
    <w:p>
      <w:pPr/>
      <w:r>
        <w:rPr>
          <w:lang w:val="en_US" w:bidi="en_US"/>
        </w:rPr>
      </w:r>
      <w:r>
        <w:rPr>
          <w:lang w:val="en_US" w:bidi="en_US"/>
        </w:rPr>
        <w:t>In 7:38c–d the woman wiped Jesus’ feet with her hair, kissed his feet, and put scented oil on them. These actions expressed reverence and love. The actions were unusual in Jewish culture, but they were not offensive. They did not express any wrong sexual connotations. If these gestures might be considered offensive in your culture, it may be helpful to include a footnote. For example:</w:t>
      </w:r>
    </w:p>
    <w:p>
      <w:pPr/>
      <w:r>
        <w:rPr>
          <w:lang w:val="en_US" w:bidi="en_US"/>
        </w:rPr>
      </w:r>
      <w:r>
        <w:rPr>
          <w:lang w:val="en_US" w:bidi="en_US"/>
        </w:rPr>
        <w:t>What the woman did showed great humility on her part and honored Jesus. These gestures also showed the grateful love that the woman had for Jesus. These were unusual acts in Jewish culture.</w:t>
      </w:r>
      <w:r>
        <w:rPr>
          <w:lang w:val="en_US" w:bidi="en_US"/>
        </w:rPr>
      </w:r>
      <w:r>
        <w:rPr>
          <w:lang w:val="en_US" w:bidi="en_US"/>
        </w:rPr>
      </w:r>
    </w:p>
    <w:p>
      <w:pPr/>
      <w:r>
        <w:rPr>
          <w:lang w:val="en_US" w:bidi="en_US"/>
        </w:rPr>
      </w:r>
    </w:p>
    <w:p>
      <w:pPr>
        <w:pStyle w:val="Heading2"/>
      </w:pPr>
      <w:r>
        <w:rPr>
          <w:lang w:val="en_US" w:bidi="en_US"/>
        </w:rPr>
        <w:t>Luke 7:39</w:t>
      </w:r>
      <w:r>
        <w:rPr>
          <w:lang w:val="en_US" w:bidi="en_US"/>
        </w:rPr>
      </w:r>
    </w:p>
    <w:p>
      <w:pPr>
        <w:pStyle w:val="Heading4"/>
      </w:pPr>
      <w:r>
        <w:rPr>
          <w:lang w:val="en_US" w:bidi="en_US"/>
        </w:rPr>
        <w:t>Section 7:36–50: Jesus forgave a woman’s sins and taught a Pharisee about love</w:t>
      </w:r>
    </w:p>
    <w:p>
      <w:pPr/>
      <w:r>
        <w:rPr>
          <w:lang w:val="en_US" w:bidi="en_US"/>
        </w:rPr>
      </w:r>
      <w:r>
        <w:rPr>
          <w:lang w:val="en_US" w:bidi="en_US"/>
        </w:rP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pPr/>
      <w:r>
        <w:rPr>
          <w:lang w:val="en_US" w:bidi="en_US"/>
        </w:rPr>
      </w:r>
      <w:r>
        <w:rPr>
          <w:lang w:val="en_US" w:bidi="en_US"/>
        </w:rP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pPr/>
      <w:r>
        <w:rPr>
          <w:lang w:val="en_US" w:bidi="en_US"/>
        </w:rPr>
      </w:r>
      <w:r>
        <w:rPr>
          <w:lang w:val="en_US" w:bidi="en_US"/>
        </w:rPr>
        <w:t>Certain Jewish customs help to explain some of the actions in this story:</w:t>
      </w:r>
    </w:p>
    <w:p>
      <w:pPr>
        <w:pStyle w:val="ListNumber"/>
        <w:numPr>
          <w:ilvl w:val="0"/>
          <w:numId w:val="154"/>
        </w:numPr>
        <w:spacing w:line="240" w:lineRule="auto"/>
        <w:ind w:left="720"/>
      </w:pPr>
      <w:r>
        <w:rPr>
          <w:lang w:val="en_US" w:bidi="en_US"/>
        </w:rPr>
      </w:r>
      <w:r>
        <w:rPr>
          <w:lang w:val="en_US" w:bidi="en_US"/>
        </w:rP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Pr>
          <w:lang w:val="en_US" w:bidi="en_US"/>
        </w:rPr>
      </w:r>
      <w:r>
        <w:rPr>
          <w:lang w:val="en_US" w:bidi="en_US"/>
        </w:rP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Pr>
          <w:lang w:val="en_US" w:bidi="en_US"/>
        </w:rPr>
      </w:r>
      <w:r>
        <w:rPr>
          <w:lang w:val="en_US" w:bidi="en_US"/>
        </w:rPr>
        <w:t>Often a slave washed the feet of the guests. People considered feet to be dirty. When the woman washed Jesus’ feet and kissed them, she humbled herself and honored Jesus.</w:t>
      </w:r>
    </w:p>
    <w:p>
      <w:pPr/>
      <w:r>
        <w:rPr>
          <w:lang w:val="en_US" w:bidi="en_US"/>
        </w:rPr>
      </w:r>
      <w:r>
        <w:rPr>
          <w:lang w:val="en_US" w:bidi="en_US"/>
        </w:rPr>
        <w:t>This section is not explicitly connected to the preceding one, but it does illustrate some of the statements in 7:29–35. The woman was a person who “acknowledged God’s justice” (7:29). Simon the Pharisee was one of those who “rejected God’s purpose for themselves” (7:30).</w:t>
      </w:r>
    </w:p>
    <w:p>
      <w:pPr/>
      <w:r>
        <w:rPr>
          <w:lang w:val="en_US" w:bidi="en_US"/>
        </w:rPr>
      </w:r>
      <w:r>
        <w:rPr>
          <w:lang w:val="en_US" w:bidi="en_US"/>
        </w:rPr>
        <w:t>Some other possible headings for this section are:</w:t>
      </w:r>
    </w:p>
    <w:p>
      <w:pPr/>
      <w:r>
        <w:rPr>
          <w:lang w:val="en_US" w:bidi="en_US"/>
        </w:rPr>
      </w:r>
      <w:r>
        <w:rPr>
          <w:lang w:val="en_US" w:bidi="en_US"/>
        </w:rPr>
        <w:t>A sinful woman washes Jesus’ feet at the home of a Pharisee named Simon</w:t>
      </w:r>
    </w:p>
    <w:p>
      <w:pPr/>
      <w:r>
        <w:rPr>
          <w:lang w:val="en_US" w:bidi="en_US"/>
        </w:rPr>
      </w:r>
      <w:r>
        <w:rPr>
          <w:lang w:val="en_US" w:bidi="en_US"/>
        </w:rPr>
        <w:t>Jesus compares a Pharisee and a sinful woman</w:t>
      </w:r>
    </w:p>
    <w:p>
      <w:pPr>
        <w:pStyle w:val="Heading5"/>
      </w:pPr>
      <w:r>
        <w:rPr>
          <w:lang w:val="en_US" w:bidi="en_US"/>
        </w:rPr>
        <w:t>7:39a</w:t>
      </w:r>
    </w:p>
    <w:p>
      <w:pPr/>
      <w:r>
        <w:rPr>
          <w:lang w:val="en_US" w:bidi="en_US"/>
        </w:rPr>
      </w:r>
      <w:r>
        <w:rPr>
          <w:b/>
          <w:lang w:val="en_US" w:bidi="en_US"/>
        </w:rPr>
        <w:t>When the Pharisee who had invited Jesus saw this, he said to himself,</w:t>
      </w:r>
    </w:p>
    <w:p>
      <w:pPr>
        <w:pStyle w:val="ListBullet"/>
        <w:spacing w:line="240" w:lineRule="auto"/>
        <w:ind w:left="720"/>
      </w:pPr>
      <w:r>
        <w:rPr>
          <w:lang w:val="en_US" w:bidi="en_US"/>
        </w:rPr>
      </w:r>
      <w:r>
        <w:rPr>
          <w:lang w:val="en_US" w:bidi="en_US"/>
        </w:rPr>
        <w:t>¶ The Pharisee who had asked Jesus to dinner saw this and thought to himself,</w:t>
      </w:r>
    </w:p>
    <w:p>
      <w:pPr>
        <w:pStyle w:val="ListBullet"/>
        <w:spacing w:line="240" w:lineRule="auto"/>
        <w:ind w:left="720"/>
      </w:pPr>
      <w:r>
        <w:rPr>
          <w:lang w:val="en_US" w:bidi="en_US"/>
        </w:rPr>
      </w:r>
      <w:r>
        <w:rPr>
          <w:lang w:val="en_US" w:bidi="en_US"/>
        </w:rPr>
        <w:t xml:space="preserve">¶ When the Pharisee who was the host saw </w:t>
      </w:r>
      <w:r>
        <w:rPr>
          <w:lang w:val="en_US" w:bidi="en_US"/>
        </w:rPr>
        <w:t>what the woman did</w:t>
      </w:r>
      <w:r>
        <w:rPr>
          <w:lang w:val="en_US" w:bidi="en_US"/>
        </w:rPr>
        <w:t>, he concluded in his mind:</w:t>
      </w:r>
    </w:p>
    <w:p>
      <w:pPr/>
      <w:r>
        <w:rPr>
          <w:lang w:val="en_US" w:bidi="en_US"/>
        </w:rPr>
      </w:r>
      <w:r>
        <w:rPr>
          <w:b/>
          <w:lang w:val="en_US" w:bidi="en_US"/>
        </w:rPr>
        <w:t>When the Pharisee who had invited Jesus saw this:</w:t>
      </w:r>
      <w:r>
        <w:rPr>
          <w:lang w:val="en_US" w:bidi="en_US"/>
        </w:rPr>
        <w:t xml:space="preserve"> The Greek phrase that the BSB translates as </w:t>
      </w:r>
      <w:r>
        <w:rPr>
          <w:i/>
          <w:lang w:val="en_US" w:bidi="en_US"/>
        </w:rPr>
        <w:t>saw this</w:t>
      </w:r>
      <w:r>
        <w:rPr>
          <w:lang w:val="en_US" w:bidi="en_US"/>
        </w:rPr>
        <w:t xml:space="preserve"> is literally “seeing.” It refers to seeing what the woman did for Jesus in 7:38.</w:t>
      </w:r>
    </w:p>
    <w:p>
      <w:pPr/>
      <w:r>
        <w:rPr>
          <w:lang w:val="en_US" w:bidi="en_US"/>
        </w:rPr>
      </w:r>
      <w:r>
        <w:rPr>
          <w:b/>
          <w:lang w:val="en_US" w:bidi="en_US"/>
        </w:rPr>
        <w:t>he said to himself:</w:t>
      </w:r>
      <w:r>
        <w:rPr>
          <w:lang w:val="en_US" w:bidi="en_US"/>
        </w:rPr>
        <w:t xml:space="preserve"> The phrase </w:t>
      </w:r>
      <w:r>
        <w:rPr>
          <w:i/>
          <w:lang w:val="en_US" w:bidi="en_US"/>
        </w:rPr>
        <w:t>he said to himself</w:t>
      </w:r>
      <w:r>
        <w:rPr>
          <w:lang w:val="en_US" w:bidi="en_US"/>
        </w:rPr>
        <w:t xml:space="preserve"> refers to what the Pharisee thought. He did not speak his thoughts aloud. In many languages it may be more natural to translate this as:</w:t>
      </w:r>
    </w:p>
    <w:p>
      <w:pPr/>
      <w:r>
        <w:rPr>
          <w:lang w:val="en_US" w:bidi="en_US"/>
        </w:rPr>
      </w:r>
      <w:r>
        <w:rPr>
          <w:lang w:val="en_US" w:bidi="en_US"/>
        </w:rPr>
        <w:t>he thought</w:t>
      </w:r>
    </w:p>
    <w:p>
      <w:pPr/>
      <w:r>
        <w:rPr>
          <w:lang w:val="en_US" w:bidi="en_US"/>
        </w:rPr>
      </w:r>
      <w:r>
        <w:rPr>
          <w:lang w:val="en_US" w:bidi="en_US"/>
        </w:rPr>
        <w:t>he said in his head/mind/heart</w:t>
      </w:r>
    </w:p>
    <w:p>
      <w:pPr>
        <w:pStyle w:val="Heading5"/>
      </w:pPr>
      <w:r>
        <w:rPr>
          <w:lang w:val="en_US" w:bidi="en_US"/>
        </w:rPr>
        <w:t>7:39b–e</w:t>
      </w:r>
    </w:p>
    <w:p>
      <w:pPr/>
      <w:r>
        <w:rPr>
          <w:lang w:val="en_US" w:bidi="en_US"/>
        </w:rPr>
      </w:r>
      <w:r>
        <w:rPr>
          <w:b/>
          <w:lang w:val="en_US" w:bidi="en_US"/>
        </w:rPr>
        <w:t>If this man were a prophet, He would know…she is a sinner:</w:t>
      </w:r>
      <w:r>
        <w:rPr>
          <w:lang w:val="en_US" w:bidi="en_US"/>
        </w:rPr>
        <w:t xml:space="preserve"> The thoughts that the Pharisee had in 7:39b–d imply that before the woman came, he thought that Jesus might be a prophet. However, after Jesus allowed the woman to touch him in 7:38, the Pharisee thought that Jesus could not really be a prophet. The Pharisee thought this because of certain ideas that he had about prophets:</w:t>
      </w:r>
    </w:p>
    <w:p>
      <w:pPr>
        <w:pStyle w:val="ListNumber"/>
        <w:numPr>
          <w:ilvl w:val="0"/>
          <w:numId w:val="155"/>
        </w:numPr>
        <w:spacing w:line="240" w:lineRule="auto"/>
        <w:ind w:left="720"/>
      </w:pPr>
      <w:r>
        <w:rPr>
          <w:lang w:val="en_US" w:bidi="en_US"/>
        </w:rPr>
      </w:r>
      <w:r>
        <w:rPr>
          <w:lang w:val="en_US" w:bidi="en_US"/>
        </w:rPr>
        <w:t>He believed that God would reveal to a prophet what the prophet needed to know. As a prophet, Jesus would know that the woman was immoral.</w:t>
      </w:r>
    </w:p>
    <w:p>
      <w:pPr>
        <w:pStyle w:val="ListNumber"/>
        <w:spacing w:line="240" w:lineRule="auto"/>
        <w:ind w:left="720"/>
      </w:pPr>
      <w:r>
        <w:rPr>
          <w:lang w:val="en_US" w:bidi="en_US"/>
        </w:rPr>
      </w:r>
      <w:r>
        <w:rPr>
          <w:lang w:val="en_US" w:bidi="en_US"/>
        </w:rPr>
        <w:t>He believed that a prophet would never let an immoral woman touch him because that would cause him to be ritually “unclean.”</w:t>
      </w:r>
    </w:p>
    <w:p>
      <w:pPr/>
      <w:r>
        <w:rPr>
          <w:lang w:val="en_US" w:bidi="en_US"/>
        </w:rPr>
      </w:r>
      <w:r>
        <w:rPr>
          <w:lang w:val="en_US" w:bidi="en_US"/>
        </w:rPr>
        <w:t>So the Pharisee believed that Jesus must not know anything about this woman. That caused the Pharisee to wrongly conclude that Jesus was not a prophet.</w:t>
      </w:r>
    </w:p>
    <w:p>
      <w:pPr/>
      <w:r>
        <w:rPr>
          <w:lang w:val="en_US" w:bidi="en_US"/>
        </w:rPr>
      </w:r>
      <w:r>
        <w:rPr>
          <w:lang w:val="en_US" w:bidi="en_US"/>
        </w:rPr>
        <w:t>Another way to translate this is:</w:t>
      </w:r>
    </w:p>
    <w:p>
      <w:pPr/>
      <w:r>
        <w:rPr>
          <w:lang w:val="en_US" w:bidi="en_US"/>
        </w:rPr>
      </w:r>
      <w:r>
        <w:rPr>
          <w:lang w:val="en_US" w:bidi="en_US"/>
        </w:rPr>
        <w:t xml:space="preserve">This man must not be a prophet because a prophet would know about this woman who is touching him. He would know what kind of woman she is. A prophet would know that she is a sinner. </w:t>
      </w:r>
      <w:r>
        <w:rPr>
          <w:lang w:val="en_US" w:bidi="en_US"/>
        </w:rPr>
        <w:t>A prophet would never let such a woman touch him, but this man has allowed it.</w:t>
      </w:r>
    </w:p>
    <w:p>
      <w:pPr>
        <w:pStyle w:val="Heading5"/>
      </w:pPr>
      <w:r>
        <w:rPr>
          <w:lang w:val="en_US" w:bidi="en_US"/>
        </w:rPr>
        <w:t>7:39b</w:t>
      </w:r>
    </w:p>
    <w:p>
      <w:pPr/>
      <w:r>
        <w:rPr>
          <w:lang w:val="en_US" w:bidi="en_US"/>
        </w:rPr>
      </w:r>
      <w:r>
        <w:rPr>
          <w:b/>
          <w:lang w:val="en_US" w:bidi="en_US"/>
        </w:rPr>
        <w:t>“If this man were a prophet,</w:t>
      </w:r>
    </w:p>
    <w:p>
      <w:pPr>
        <w:pStyle w:val="ListBullet"/>
        <w:spacing w:line="240" w:lineRule="auto"/>
        <w:ind w:left="720"/>
      </w:pPr>
      <w:r>
        <w:rPr>
          <w:lang w:val="en_US" w:bidi="en_US"/>
        </w:rPr>
      </w:r>
      <w:r>
        <w:rPr>
          <w:lang w:val="en_US" w:bidi="en_US"/>
        </w:rPr>
        <w:t xml:space="preserve">“If this man were </w:t>
      </w:r>
      <w:r>
        <w:rPr>
          <w:lang w:val="en_US" w:bidi="en_US"/>
        </w:rPr>
        <w:t>really</w:t>
      </w:r>
      <w:r>
        <w:rPr>
          <w:lang w:val="en_US" w:bidi="en_US"/>
        </w:rPr>
        <w:t xml:space="preserve"> a prophet,</w:t>
      </w:r>
    </w:p>
    <w:p>
      <w:pPr>
        <w:pStyle w:val="ListBullet"/>
        <w:spacing w:line="240" w:lineRule="auto"/>
        <w:ind w:left="720"/>
      </w:pPr>
      <w:r>
        <w:rPr>
          <w:lang w:val="en_US" w:bidi="en_US"/>
        </w:rPr>
      </w:r>
      <w:r>
        <w:rPr>
          <w:lang w:val="en_US" w:bidi="en_US"/>
        </w:rPr>
        <w:t>“</w:t>
      </w:r>
      <w:r>
        <w:rPr>
          <w:lang w:val="en_US" w:bidi="en_US"/>
        </w:rPr>
        <w:t>This man cannot be a prophet.</w:t>
      </w:r>
      <w:r>
        <w:rPr>
          <w:lang w:val="en_US" w:bidi="en_US"/>
        </w:rPr>
        <w:t xml:space="preserve"> If he were a prophet,</w:t>
      </w:r>
    </w:p>
    <w:p>
      <w:pPr/>
      <w:r>
        <w:rPr>
          <w:lang w:val="en_US" w:bidi="en_US"/>
        </w:rPr>
      </w:r>
      <w:r>
        <w:rPr>
          <w:b/>
          <w:lang w:val="en_US" w:bidi="en_US"/>
        </w:rPr>
        <w:t>If this man were a prophet:</w:t>
      </w:r>
      <w:r>
        <w:rPr>
          <w:lang w:val="en_US" w:bidi="en_US"/>
        </w:rPr>
        <w:t xml:space="preserve"> The Greek word that the BSB translates as </w:t>
      </w:r>
      <w:r>
        <w:rPr>
          <w:i/>
          <w:lang w:val="en_US" w:bidi="en_US"/>
        </w:rPr>
        <w:t>this man</w:t>
      </w:r>
      <w:r>
        <w:rPr>
          <w:lang w:val="en_US" w:bidi="en_US"/>
        </w:rPr>
        <w:t xml:space="preserve"> is literally “this (one).” It probably expresses disrespect for Jesus. The whole clause indicates serious doubt that Jesus was a prophet. Here is another way to express this doubt:</w:t>
      </w:r>
    </w:p>
    <w:p>
      <w:pPr/>
      <w:r>
        <w:rPr>
          <w:lang w:val="en_US" w:bidi="en_US"/>
        </w:rPr>
      </w:r>
      <w:r>
        <w:rPr>
          <w:lang w:val="en_US" w:bidi="en_US"/>
        </w:rPr>
        <w:t>If this man really were a prophet (GNT)</w:t>
      </w:r>
    </w:p>
    <w:p>
      <w:pPr/>
      <w:r>
        <w:rPr>
          <w:lang w:val="en_US" w:bidi="en_US"/>
        </w:rPr>
      </w:r>
      <w:r>
        <w:rPr>
          <w:b/>
          <w:lang w:val="en_US" w:bidi="en_US"/>
        </w:rPr>
        <w:t>prophet:</w:t>
      </w:r>
      <w:r>
        <w:rPr>
          <w:lang w:val="en_US" w:bidi="en_US"/>
        </w:rPr>
        <w:t xml:space="preserve"> A </w:t>
      </w:r>
      <w:r>
        <w:rPr>
          <w:i/>
          <w:lang w:val="en_US" w:bidi="en_US"/>
        </w:rPr>
        <w:t>prophet</w:t>
      </w:r>
      <w:r>
        <w:rPr>
          <w:lang w:val="en_US" w:bidi="en_US"/>
        </w:rPr>
        <w:t xml:space="preserve"> was a person who spoke on behalf of God. He told people what God revealed to him. God gave some prophets power to work miracles. Some ways to translate this are:</w:t>
      </w:r>
    </w:p>
    <w:p>
      <w:pPr/>
      <w:r>
        <w:rPr>
          <w:lang w:val="en_US" w:bidi="en_US"/>
        </w:rPr>
      </w:r>
      <w:r>
        <w:rPr>
          <w:lang w:val="en_US" w:bidi="en_US"/>
        </w:rPr>
        <w:t>a spokesman for God</w:t>
      </w:r>
    </w:p>
    <w:p>
      <w:pPr/>
      <w:r>
        <w:rPr>
          <w:lang w:val="en_US" w:bidi="en_US"/>
        </w:rPr>
      </w:r>
      <w:r>
        <w:rPr>
          <w:lang w:val="en_US" w:bidi="en_US"/>
        </w:rPr>
        <w:t>a man who speaks God’s words</w:t>
      </w:r>
    </w:p>
    <w:p>
      <w:pPr/>
      <w:r>
        <w:rPr>
          <w:lang w:val="en_US" w:bidi="en_US"/>
        </w:rPr>
      </w:r>
      <w:r>
        <w:rPr>
          <w:lang w:val="en_US" w:bidi="en_US"/>
        </w:rPr>
        <w:t>God’s message-speaker</w:t>
      </w:r>
    </w:p>
    <w:p>
      <w:pPr/>
      <w:r>
        <w:rPr>
          <w:lang w:val="en_US" w:bidi="en_US"/>
        </w:rPr>
      </w:r>
      <w:r>
        <w:rPr>
          <w:lang w:val="en_US" w:bidi="en_US"/>
        </w:rPr>
        <w:t>It is good to use a general term that does not focus only on foretelling the future. Although prophets did foretell the future, they also gave people other messages from God. They especially told people to stop sinning and to obey God.</w:t>
      </w:r>
    </w:p>
    <w:p>
      <w:pPr/>
      <w:r>
        <w:rPr>
          <w:lang w:val="en_US" w:bidi="en_US"/>
        </w:rPr>
      </w:r>
      <w:r>
        <w:rPr>
          <w:lang w:val="en_US" w:bidi="en_US"/>
        </w:rPr>
        <w:t xml:space="preserve">When choosing a term for </w:t>
      </w:r>
      <w:r>
        <w:rPr>
          <w:i/>
          <w:lang w:val="en_US" w:bidi="en_US"/>
        </w:rPr>
        <w:t>prophet</w:t>
      </w:r>
      <w:r>
        <w:rPr>
          <w:lang w:val="en_US" w:bidi="en_US"/>
        </w:rPr>
        <w:t>, consider how you will distinguish prophet from other words which are similar in meaning such as “angel,” “apostle,” and “preacher.”</w:t>
      </w:r>
    </w:p>
    <w:p>
      <w:pPr/>
      <w:r>
        <w:rPr>
          <w:lang w:val="en_US" w:bidi="en_US"/>
        </w:rPr>
      </w:r>
      <w:r>
        <w:rPr>
          <w:lang w:val="en_US" w:bidi="en_US"/>
        </w:rPr>
        <w:t>See also the note on “prophet” at 1:70 and prophet in the Glossary.</w:t>
      </w:r>
    </w:p>
    <w:p>
      <w:pPr>
        <w:pStyle w:val="Heading5"/>
      </w:pPr>
      <w:r>
        <w:rPr>
          <w:lang w:val="en_US" w:bidi="en_US"/>
        </w:rPr>
        <w:t>7:39c</w:t>
      </w:r>
    </w:p>
    <w:p>
      <w:pPr/>
      <w:r>
        <w:rPr>
          <w:lang w:val="en_US" w:bidi="en_US"/>
        </w:rPr>
      </w:r>
      <w:r>
        <w:rPr>
          <w:b/>
          <w:lang w:val="en_US" w:bidi="en_US"/>
        </w:rPr>
        <w:t>He would know who this is</w:t>
      </w:r>
    </w:p>
    <w:p>
      <w:pPr>
        <w:pStyle w:val="ListBullet"/>
        <w:spacing w:line="240" w:lineRule="auto"/>
        <w:ind w:left="720"/>
      </w:pPr>
      <w:r>
        <w:rPr>
          <w:lang w:val="en_US" w:bidi="en_US"/>
        </w:rPr>
      </w:r>
      <w:r>
        <w:rPr>
          <w:lang w:val="en_US" w:bidi="en_US"/>
        </w:rPr>
        <w:t xml:space="preserve">he would know </w:t>
      </w:r>
      <w:r>
        <w:rPr>
          <w:lang w:val="en_US" w:bidi="en_US"/>
        </w:rPr>
        <w:t>about</w:t>
      </w:r>
      <w:r>
        <w:rPr>
          <w:lang w:val="en_US" w:bidi="en_US"/>
        </w:rPr>
        <w:t xml:space="preserve"> who is touching him</w:t>
      </w:r>
    </w:p>
    <w:p>
      <w:pPr>
        <w:pStyle w:val="ListBullet"/>
        <w:spacing w:line="240" w:lineRule="auto"/>
        <w:ind w:left="720"/>
      </w:pPr>
      <w:r>
        <w:rPr>
          <w:lang w:val="en_US" w:bidi="en_US"/>
        </w:rPr>
      </w:r>
      <w:r>
        <w:rPr>
          <w:lang w:val="en_US" w:bidi="en_US"/>
        </w:rPr>
        <w:t>he would know about this woman is who is touching him. He would know who she is,</w:t>
      </w:r>
    </w:p>
    <w:p>
      <w:pPr>
        <w:pStyle w:val="Heading5"/>
      </w:pPr>
      <w:r>
        <w:rPr>
          <w:lang w:val="en_US" w:bidi="en_US"/>
        </w:rPr>
        <w:t>7:39d</w:t>
      </w:r>
    </w:p>
    <w:p>
      <w:pPr/>
      <w:r>
        <w:rPr>
          <w:lang w:val="en_US" w:bidi="en_US"/>
        </w:rPr>
      </w:r>
      <w:r>
        <w:rPr>
          <w:b/>
          <w:lang w:val="en_US" w:bidi="en_US"/>
        </w:rPr>
        <w:t>and what kind of woman is touching Him—</w:t>
      </w:r>
    </w:p>
    <w:p>
      <w:pPr>
        <w:pStyle w:val="ListBullet"/>
        <w:spacing w:line="240" w:lineRule="auto"/>
        <w:ind w:left="720"/>
      </w:pPr>
      <w:r>
        <w:rPr>
          <w:lang w:val="en_US" w:bidi="en_US"/>
        </w:rPr>
      </w:r>
      <w:r>
        <w:rPr>
          <w:lang w:val="en_US" w:bidi="en_US"/>
        </w:rPr>
        <w:t>and what sort of person she is.</w:t>
      </w:r>
    </w:p>
    <w:p>
      <w:pPr>
        <w:pStyle w:val="ListBullet"/>
        <w:spacing w:line="240" w:lineRule="auto"/>
        <w:ind w:left="720"/>
      </w:pPr>
      <w:r>
        <w:rPr>
          <w:lang w:val="en_US" w:bidi="en_US"/>
        </w:rPr>
      </w:r>
      <w:r>
        <w:rPr>
          <w:lang w:val="en_US" w:bidi="en_US"/>
        </w:rPr>
        <w:t>and he would know her reputation/character.</w:t>
      </w:r>
    </w:p>
    <w:p>
      <w:pPr>
        <w:pStyle w:val="Heading5"/>
      </w:pPr>
      <w:r>
        <w:rPr>
          <w:lang w:val="en_US" w:bidi="en_US"/>
        </w:rPr>
        <w:t>7:39c-d</w:t>
      </w:r>
    </w:p>
    <w:p>
      <w:pPr/>
      <w:r>
        <w:rPr>
          <w:lang w:val="en_US" w:bidi="en_US"/>
        </w:rPr>
      </w:r>
      <w:r>
        <w:rPr>
          <w:b/>
          <w:lang w:val="en_US" w:bidi="en_US"/>
        </w:rPr>
        <w:t>He would know who this is and what kind of woman is touching him:</w:t>
      </w:r>
      <w:r>
        <w:rPr>
          <w:lang w:val="en_US" w:bidi="en_US"/>
        </w:rPr>
        <w:t xml:space="preserve"> The phrase </w:t>
      </w:r>
      <w:r>
        <w:rPr>
          <w:i/>
          <w:lang w:val="en_US" w:bidi="en_US"/>
        </w:rPr>
        <w:t>know who this is and what kind of woman is touching him</w:t>
      </w:r>
      <w:r>
        <w:rPr>
          <w:lang w:val="en_US" w:bidi="en_US"/>
        </w:rPr>
        <w:t xml:space="preserve"> refers to knowing personal information about the woman, such as her name and where she lived. It does not imply that Jesus could not see the woman.</w:t>
      </w:r>
    </w:p>
    <w:p>
      <w:pPr/>
      <w:r>
        <w:rPr>
          <w:lang w:val="en_US" w:bidi="en_US"/>
        </w:rPr>
      </w:r>
      <w:r>
        <w:rPr>
          <w:lang w:val="en_US" w:bidi="en_US"/>
        </w:rPr>
        <w:t xml:space="preserve">The phrases </w:t>
      </w:r>
      <w:r>
        <w:rPr>
          <w:i/>
          <w:lang w:val="en_US" w:bidi="en_US"/>
        </w:rPr>
        <w:t>who this is</w:t>
      </w:r>
      <w:r>
        <w:rPr>
          <w:lang w:val="en_US" w:bidi="en_US"/>
        </w:rPr>
        <w:t xml:space="preserve"> and </w:t>
      </w:r>
      <w:r>
        <w:rPr>
          <w:i/>
          <w:lang w:val="en_US" w:bidi="en_US"/>
        </w:rPr>
        <w:t>what kind of woman is touching him</w:t>
      </w:r>
      <w:r>
        <w:rPr>
          <w:lang w:val="en_US" w:bidi="en_US"/>
        </w:rPr>
        <w:t xml:space="preserve"> mean the same thing. The Pharisee is using repetition for emphasis. Another way to translate this is:</w:t>
      </w:r>
    </w:p>
    <w:p>
      <w:pPr/>
      <w:r>
        <w:rPr>
          <w:lang w:val="en_US" w:bidi="en_US"/>
        </w:rPr>
      </w:r>
      <w:r>
        <w:rPr>
          <w:lang w:val="en_US" w:bidi="en_US"/>
        </w:rPr>
        <w:t>who this woman is who is touching him (GNT)</w:t>
      </w:r>
    </w:p>
    <w:p>
      <w:pPr/>
      <w:r>
        <w:rPr>
          <w:lang w:val="en_US" w:bidi="en_US"/>
        </w:rPr>
      </w:r>
      <w:r>
        <w:rPr>
          <w:b/>
          <w:lang w:val="en_US" w:bidi="en_US"/>
        </w:rPr>
        <w:t>what kind of woman is touching Him:</w:t>
      </w:r>
      <w:r>
        <w:rPr>
          <w:lang w:val="en_US" w:bidi="en_US"/>
        </w:rPr>
        <w:t xml:space="preserve"> The Pharisee assumed that Jesus did not know that this woman had a bad reputation as an immoral person.</w:t>
      </w:r>
    </w:p>
    <w:p>
      <w:pPr/>
      <w:r>
        <w:rPr>
          <w:lang w:val="en_US" w:bidi="en_US"/>
        </w:rPr>
      </w:r>
      <w:r>
        <w:rPr>
          <w:b/>
          <w:lang w:val="en_US" w:bidi="en_US"/>
        </w:rPr>
        <w:t>touching Him:</w:t>
      </w:r>
      <w:r>
        <w:rPr>
          <w:lang w:val="en_US" w:bidi="en_US"/>
        </w:rPr>
        <w:t xml:space="preserve"> The phrase </w:t>
      </w:r>
      <w:r>
        <w:rPr>
          <w:i/>
          <w:lang w:val="en_US" w:bidi="en_US"/>
        </w:rPr>
        <w:t>touching Him</w:t>
      </w:r>
      <w:r>
        <w:rPr>
          <w:lang w:val="en_US" w:bidi="en_US"/>
        </w:rPr>
        <w:t xml:space="preserve"> refers specifically to the woman’s actions of kissing Jesus’ feet and anointing them with perfumed oil. Be sure that the expression you use here does not imply any inappropriate action. In some languages you may need to use a more specific expression. For example:</w:t>
      </w:r>
    </w:p>
    <w:p>
      <w:pPr/>
      <w:r>
        <w:rPr>
          <w:lang w:val="en_US" w:bidi="en_US"/>
        </w:rPr>
      </w:r>
      <w:r>
        <w:rPr>
          <w:lang w:val="en_US" w:bidi="en_US"/>
        </w:rPr>
        <w:t>anointing him</w:t>
      </w:r>
    </w:p>
    <w:p>
      <w:pPr>
        <w:pStyle w:val="Heading5"/>
      </w:pPr>
      <w:r>
        <w:rPr>
          <w:lang w:val="en_US" w:bidi="en_US"/>
        </w:rPr>
        <w:t>7:39e</w:t>
      </w:r>
    </w:p>
    <w:p>
      <w:pPr/>
      <w:r>
        <w:rPr>
          <w:lang w:val="en_US" w:bidi="en_US"/>
        </w:rPr>
      </w:r>
      <w:r>
        <w:rPr>
          <w:b/>
          <w:lang w:val="en_US" w:bidi="en_US"/>
        </w:rPr>
        <w:t>for she is a sinner!”</w:t>
      </w:r>
    </w:p>
    <w:p>
      <w:pPr>
        <w:pStyle w:val="ListBullet"/>
        <w:spacing w:line="240" w:lineRule="auto"/>
        <w:ind w:left="720"/>
      </w:pPr>
      <w:r>
        <w:rPr>
          <w:lang w:val="en_US" w:bidi="en_US"/>
        </w:rPr>
      </w:r>
      <w:r>
        <w:rPr>
          <w:lang w:val="en_US" w:bidi="en_US"/>
        </w:rPr>
        <w:t>He would know that she is a sinful woman.”</w:t>
      </w:r>
    </w:p>
    <w:p>
      <w:pPr>
        <w:pStyle w:val="ListBullet"/>
        <w:spacing w:line="240" w:lineRule="auto"/>
        <w:ind w:left="720"/>
      </w:pPr>
      <w:r>
        <w:rPr>
          <w:lang w:val="en_US" w:bidi="en_US"/>
        </w:rPr>
      </w:r>
      <w:r>
        <w:rPr>
          <w:lang w:val="en_US" w:bidi="en_US"/>
        </w:rPr>
        <w:t>He would know</w:t>
      </w:r>
      <w:r>
        <w:rPr>
          <w:lang w:val="en_US" w:bidi="en_US"/>
        </w:rPr>
        <w:t xml:space="preserve"> that she is an immoral woman </w:t>
      </w:r>
      <w:r>
        <w:rPr>
          <w:lang w:val="en_US" w:bidi="en_US"/>
        </w:rPr>
        <w:t>and he would not let her touch him</w:t>
      </w:r>
      <w:r>
        <w:rPr>
          <w:lang w:val="en_US" w:bidi="en_US"/>
        </w:rPr>
        <w:t>!”</w:t>
      </w:r>
    </w:p>
    <w:p>
      <w:pPr/>
      <w:r>
        <w:rPr>
          <w:lang w:val="en_US" w:bidi="en_US"/>
        </w:rPr>
      </w:r>
      <w:r>
        <w:rPr>
          <w:b/>
          <w:lang w:val="en_US" w:bidi="en_US"/>
        </w:rPr>
        <w:t>for she is a sinner:</w:t>
      </w:r>
      <w:r>
        <w:rPr>
          <w:lang w:val="en_US" w:bidi="en_US"/>
        </w:rPr>
        <w:t xml:space="preserve"> There are two ways to interpret the Greek conjunction that the BSB translates as </w:t>
      </w:r>
      <w:r>
        <w:rPr>
          <w:i/>
          <w:lang w:val="en_US" w:bidi="en_US"/>
        </w:rPr>
        <w:t>for</w:t>
      </w:r>
      <w:r>
        <w:rPr>
          <w:lang w:val="en_US" w:bidi="en_US"/>
        </w:rPr>
        <w:t>:</w:t>
      </w:r>
    </w:p>
    <w:p>
      <w:pPr>
        <w:pStyle w:val="ListNumber"/>
        <w:numPr>
          <w:ilvl w:val="0"/>
          <w:numId w:val="156"/>
        </w:numPr>
        <w:spacing w:line="240" w:lineRule="auto"/>
        <w:ind w:left="720"/>
      </w:pPr>
      <w:r>
        <w:rPr>
          <w:lang w:val="en_US" w:bidi="en_US"/>
        </w:rPr>
      </w:r>
      <w:r>
        <w:rPr>
          <w:lang w:val="en_US" w:bidi="en_US"/>
        </w:rPr>
        <w:t xml:space="preserve">It means </w:t>
      </w:r>
      <w:r>
        <w:rPr>
          <w:u w:val="single"/>
          <w:lang w:val="en_US" w:bidi="en_US"/>
        </w:rPr>
        <w:t>that</w:t>
      </w:r>
      <w:r>
        <w:rPr>
          <w:lang w:val="en_US" w:bidi="en_US"/>
        </w:rPr>
        <w:t>. It introduces something that Jesus would have known if he were a prophet. For example:</w:t>
      </w:r>
      <w:r>
        <w:rPr>
          <w:lang w:val="en_US" w:bidi="en_US"/>
        </w:rPr>
        <w:t xml:space="preserve">that she is a sinner (NET) </w:t>
      </w:r>
      <w:r>
        <w:rPr>
          <w:i/>
          <w:lang w:val="en_US" w:bidi="en_US"/>
        </w:rPr>
        <w:t>(NASB, CEV, NCV, NIV, NJB, NET, REB)</w:t>
      </w:r>
    </w:p>
    <w:p>
      <w:pPr>
        <w:pStyle w:val="ListNumber"/>
        <w:spacing w:line="240" w:lineRule="auto"/>
        <w:ind w:left="720"/>
      </w:pPr>
      <w:r>
        <w:rPr>
          <w:lang w:val="en_US" w:bidi="en_US"/>
        </w:rPr>
      </w:r>
      <w:r>
        <w:rPr>
          <w:lang w:val="en_US" w:bidi="en_US"/>
        </w:rPr>
        <w:t xml:space="preserve">It means </w:t>
      </w:r>
      <w:r>
        <w:rPr>
          <w:u w:val="single"/>
          <w:lang w:val="en_US" w:bidi="en_US"/>
        </w:rPr>
        <w:t>for</w:t>
      </w:r>
      <w:r>
        <w:rPr>
          <w:lang w:val="en_US" w:bidi="en_US"/>
        </w:rPr>
        <w:t xml:space="preserve"> or </w:t>
      </w:r>
      <w:r>
        <w:rPr>
          <w:u w:val="single"/>
          <w:lang w:val="en_US" w:bidi="en_US"/>
        </w:rPr>
        <w:t>because</w:t>
      </w:r>
      <w:r>
        <w:rPr>
          <w:lang w:val="en_US" w:bidi="en_US"/>
        </w:rPr>
        <w:t>. It connects with the implied information that a Rabbi would not let a sinful woman touch him: “</w:t>
      </w:r>
      <w:r>
        <w:rPr>
          <w:lang w:val="en_US" w:bidi="en_US"/>
        </w:rPr>
        <w:t>And he would not let her touch him</w:t>
      </w:r>
      <w:r>
        <w:rPr>
          <w:lang w:val="en_US" w:bidi="en_US"/>
        </w:rPr>
        <w:t xml:space="preserve"> because she is a sinner.” For example:</w:t>
      </w:r>
      <w:r>
        <w:rPr>
          <w:lang w:val="en_US" w:bidi="en_US"/>
        </w:rPr>
        <w:t xml:space="preserve">for she is a sinner (RSV) </w:t>
      </w:r>
      <w:r>
        <w:rPr>
          <w:i/>
          <w:lang w:val="en_US" w:bidi="en_US"/>
        </w:rPr>
        <w:t>(BSB, RSV, KJV; probably GW, NLT)</w:t>
      </w:r>
    </w:p>
    <w:p>
      <w:pPr/>
      <w:r>
        <w:rPr>
          <w:lang w:val="en_US" w:bidi="en_US"/>
        </w:rPr>
      </w:r>
      <w:r>
        <w:rPr>
          <w:lang w:val="en_US" w:bidi="en_US"/>
        </w:rPr>
        <w:t>It is recommended that you follow interpretation (1).</w:t>
      </w:r>
    </w:p>
    <w:p>
      <w:pPr/>
      <w:r>
        <w:rPr>
          <w:lang w:val="en_US" w:bidi="en_US"/>
        </w:rPr>
      </w:r>
      <w:r>
        <w:rPr>
          <w:b/>
          <w:lang w:val="en_US" w:bidi="en_US"/>
        </w:rPr>
        <w:t>sinner:</w:t>
      </w:r>
      <w:r>
        <w:rPr>
          <w:lang w:val="en_US" w:bidi="en_US"/>
        </w:rPr>
        <w:t xml:space="preserve"> The word </w:t>
      </w:r>
      <w:r>
        <w:rPr>
          <w:i/>
          <w:lang w:val="en_US" w:bidi="en_US"/>
        </w:rPr>
        <w:t>sinner</w:t>
      </w:r>
      <w:r>
        <w:rPr>
          <w:lang w:val="en_US" w:bidi="en_US"/>
        </w:rPr>
        <w:t xml:space="preserve"> refers to someone who habitually offends God. The ways a person may offend God include doing and thinking things that God does not approve. A person may also offend God by his attitudes and by not doing what God wants him to do. Some ways to translate </w:t>
      </w:r>
      <w:r>
        <w:rPr>
          <w:i/>
          <w:lang w:val="en_US" w:bidi="en_US"/>
        </w:rPr>
        <w:t>sinner</w:t>
      </w:r>
      <w:r>
        <w:rPr>
          <w:lang w:val="en_US" w:bidi="en_US"/>
        </w:rPr>
        <w:t xml:space="preserve"> are:</w:t>
      </w:r>
    </w:p>
    <w:p>
      <w:pPr/>
      <w:r>
        <w:rPr>
          <w:lang w:val="en_US" w:bidi="en_US"/>
        </w:rPr>
      </w:r>
      <w:r>
        <w:rPr>
          <w:lang w:val="en_US" w:bidi="en_US"/>
        </w:rPr>
        <w:t>person who sins</w:t>
      </w:r>
    </w:p>
    <w:p>
      <w:pPr/>
      <w:r>
        <w:rPr>
          <w:lang w:val="en_US" w:bidi="en_US"/>
        </w:rPr>
      </w:r>
      <w:r>
        <w:rPr>
          <w:lang w:val="en_US" w:bidi="en_US"/>
        </w:rPr>
        <w:t>someone who does not obey God</w:t>
      </w:r>
    </w:p>
    <w:p>
      <w:pPr/>
      <w:r>
        <w:rPr>
          <w:lang w:val="en_US" w:bidi="en_US"/>
        </w:rPr>
      </w:r>
      <w:r>
        <w:rPr>
          <w:lang w:val="en_US" w:bidi="en_US"/>
        </w:rPr>
        <w:t>wrongdoer</w:t>
      </w:r>
    </w:p>
    <w:p>
      <w:pPr/>
      <w:r>
        <w:rPr>
          <w:lang w:val="en_US" w:bidi="en_US"/>
        </w:rPr>
      </w:r>
      <w:r>
        <w:rPr>
          <w:lang w:val="en_US" w:bidi="en_US"/>
        </w:rPr>
        <w:t xml:space="preserve">In this context the Pharisee used the word </w:t>
      </w:r>
      <w:r>
        <w:rPr>
          <w:i/>
          <w:lang w:val="en_US" w:bidi="en_US"/>
        </w:rPr>
        <w:t>sinner</w:t>
      </w:r>
      <w:r>
        <w:rPr>
          <w:lang w:val="en_US" w:bidi="en_US"/>
        </w:rPr>
        <w:t xml:space="preserve"> to imply that the woman had committed sexual sins. You may be able to translate it in a similar way as you translated “sinful” in 7:37. See the note on “a sinful woman from that town” in 7:37a.</w:t>
      </w:r>
    </w:p>
    <w:p>
      <w:pPr>
        <w:pStyle w:val="Heading6"/>
      </w:pPr>
      <w:r>
        <w:rPr>
          <w:b/>
          <w:lang w:val="en_US" w:bidi="en_US"/>
        </w:rPr>
        <w:t>General Comment on 7:39c–e</w:t>
      </w:r>
    </w:p>
    <w:p>
      <w:pPr/>
      <w:r>
        <w:rPr>
          <w:lang w:val="en_US" w:bidi="en_US"/>
        </w:rPr>
      </w:r>
      <w:r>
        <w:rPr>
          <w:lang w:val="en_US" w:bidi="en_US"/>
        </w:rPr>
        <w:t>The Pharisee thought that Jesus should have known:</w:t>
      </w:r>
    </w:p>
    <w:p>
      <w:pPr>
        <w:pStyle w:val="ListNumber"/>
        <w:numPr>
          <w:ilvl w:val="0"/>
          <w:numId w:val="157"/>
        </w:numPr>
        <w:spacing w:line="240" w:lineRule="auto"/>
        <w:ind w:left="720"/>
      </w:pPr>
      <w:r>
        <w:rPr>
          <w:lang w:val="en_US" w:bidi="en_US"/>
        </w:rPr>
      </w:r>
      <w:r>
        <w:rPr>
          <w:lang w:val="en_US" w:bidi="en_US"/>
        </w:rPr>
        <w:t>who the woman was;</w:t>
      </w:r>
    </w:p>
    <w:p>
      <w:pPr>
        <w:pStyle w:val="ListNumber"/>
        <w:spacing w:line="240" w:lineRule="auto"/>
        <w:ind w:left="720"/>
      </w:pPr>
      <w:r>
        <w:rPr>
          <w:lang w:val="en_US" w:bidi="en_US"/>
        </w:rPr>
      </w:r>
      <w:r>
        <w:rPr>
          <w:lang w:val="en_US" w:bidi="en_US"/>
        </w:rPr>
        <w:t>what kind of woman she was;</w:t>
      </w:r>
    </w:p>
    <w:p>
      <w:pPr>
        <w:pStyle w:val="ListNumber"/>
        <w:spacing w:line="240" w:lineRule="auto"/>
        <w:ind w:left="720"/>
      </w:pPr>
      <w:r>
        <w:rPr>
          <w:lang w:val="en_US" w:bidi="en_US"/>
        </w:rPr>
      </w:r>
      <w:r>
        <w:rPr>
          <w:lang w:val="en_US" w:bidi="en_US"/>
        </w:rPr>
        <w:t>that she was a sinner.</w:t>
      </w:r>
    </w:p>
    <w:p>
      <w:pPr/>
      <w:r>
        <w:rPr>
          <w:lang w:val="en_US" w:bidi="en_US"/>
        </w:rPr>
      </w:r>
      <w:r>
        <w:rPr>
          <w:lang w:val="en_US" w:bidi="en_US"/>
        </w:rPr>
        <w:t>These facts are quite similar and there are various ways to combine them. For example:</w:t>
      </w:r>
    </w:p>
    <w:p>
      <w:pPr/>
      <w:r>
        <w:rPr>
          <w:lang w:val="en_US" w:bidi="en_US"/>
        </w:rPr>
      </w:r>
      <w:r>
        <w:rPr>
          <w:lang w:val="en_US" w:bidi="en_US"/>
        </w:rPr>
        <w:t>…he would know who this woman is who is touching him; he would know what kind of sinful life she lives! (GNT)</w:t>
      </w:r>
    </w:p>
    <w:p>
      <w:pPr/>
      <w:r>
        <w:rPr>
          <w:lang w:val="en_US" w:bidi="en_US"/>
        </w:rPr>
      </w:r>
      <w:r>
        <w:rPr>
          <w:lang w:val="en_US" w:bidi="en_US"/>
        </w:rPr>
        <w:t>…he would know what kind of woman is touching him. She’s a sinner! (NLT)</w:t>
      </w:r>
    </w:p>
    <w:p>
      <w:pPr/>
      <w:r>
        <w:rPr>
          <w:lang w:val="en_US" w:bidi="en_US"/>
        </w:rPr>
      </w:r>
      <w:r>
        <w:rPr>
          <w:lang w:val="en_US" w:bidi="en_US"/>
        </w:rPr>
        <w:t>…he would know that the woman touching him is a sinner! (NCV)</w:t>
      </w:r>
      <w:r>
        <w:rPr>
          <w:lang w:val="en_US" w:bidi="en_US"/>
        </w:rPr>
      </w:r>
      <w:r>
        <w:rPr>
          <w:lang w:val="en_US" w:bidi="en_US"/>
        </w:rPr>
      </w:r>
    </w:p>
    <w:p>
      <w:pPr/>
      <w:r>
        <w:rPr>
          <w:lang w:val="en_US" w:bidi="en_US"/>
        </w:rPr>
      </w:r>
    </w:p>
    <w:p>
      <w:pPr>
        <w:pStyle w:val="Heading2"/>
      </w:pPr>
      <w:r>
        <w:rPr>
          <w:lang w:val="en_US" w:bidi="en_US"/>
        </w:rPr>
        <w:t>Luke 7:40</w:t>
      </w:r>
      <w:r>
        <w:rPr>
          <w:lang w:val="en_US" w:bidi="en_US"/>
        </w:rPr>
      </w:r>
    </w:p>
    <w:p>
      <w:pPr>
        <w:pStyle w:val="Heading4"/>
      </w:pPr>
      <w:r>
        <w:rPr>
          <w:lang w:val="en_US" w:bidi="en_US"/>
        </w:rPr>
        <w:t>Section 7:36–50: Jesus forgave a woman’s sins and taught a Pharisee about love</w:t>
      </w:r>
    </w:p>
    <w:p>
      <w:pPr/>
      <w:r>
        <w:rPr>
          <w:lang w:val="en_US" w:bidi="en_US"/>
        </w:rPr>
      </w:r>
      <w:r>
        <w:rPr>
          <w:lang w:val="en_US" w:bidi="en_US"/>
        </w:rP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pPr/>
      <w:r>
        <w:rPr>
          <w:lang w:val="en_US" w:bidi="en_US"/>
        </w:rPr>
      </w:r>
      <w:r>
        <w:rPr>
          <w:lang w:val="en_US" w:bidi="en_US"/>
        </w:rP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pPr/>
      <w:r>
        <w:rPr>
          <w:lang w:val="en_US" w:bidi="en_US"/>
        </w:rPr>
      </w:r>
      <w:r>
        <w:rPr>
          <w:lang w:val="en_US" w:bidi="en_US"/>
        </w:rPr>
        <w:t>Certain Jewish customs help to explain some of the actions in this story:</w:t>
      </w:r>
    </w:p>
    <w:p>
      <w:pPr>
        <w:pStyle w:val="ListNumber"/>
        <w:numPr>
          <w:ilvl w:val="0"/>
          <w:numId w:val="158"/>
        </w:numPr>
        <w:spacing w:line="240" w:lineRule="auto"/>
        <w:ind w:left="720"/>
      </w:pPr>
      <w:r>
        <w:rPr>
          <w:lang w:val="en_US" w:bidi="en_US"/>
        </w:rPr>
      </w:r>
      <w:r>
        <w:rPr>
          <w:lang w:val="en_US" w:bidi="en_US"/>
        </w:rP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Pr>
          <w:lang w:val="en_US" w:bidi="en_US"/>
        </w:rPr>
      </w:r>
      <w:r>
        <w:rPr>
          <w:lang w:val="en_US" w:bidi="en_US"/>
        </w:rP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Pr>
          <w:lang w:val="en_US" w:bidi="en_US"/>
        </w:rPr>
      </w:r>
      <w:r>
        <w:rPr>
          <w:lang w:val="en_US" w:bidi="en_US"/>
        </w:rPr>
        <w:t>Often a slave washed the feet of the guests. People considered feet to be dirty. When the woman washed Jesus’ feet and kissed them, she humbled herself and honored Jesus.</w:t>
      </w:r>
    </w:p>
    <w:p>
      <w:pPr/>
      <w:r>
        <w:rPr>
          <w:lang w:val="en_US" w:bidi="en_US"/>
        </w:rPr>
      </w:r>
      <w:r>
        <w:rPr>
          <w:lang w:val="en_US" w:bidi="en_US"/>
        </w:rPr>
        <w:t>This section is not explicitly connected to the preceding one, but it does illustrate some of the statements in 7:29–35. The woman was a person who “acknowledged God’s justice” (7:29). Simon the Pharisee was one of those who “rejected God’s purpose for themselves” (7:30).</w:t>
      </w:r>
    </w:p>
    <w:p>
      <w:pPr/>
      <w:r>
        <w:rPr>
          <w:lang w:val="en_US" w:bidi="en_US"/>
        </w:rPr>
      </w:r>
      <w:r>
        <w:rPr>
          <w:lang w:val="en_US" w:bidi="en_US"/>
        </w:rPr>
        <w:t>Some other possible headings for this section are:</w:t>
      </w:r>
    </w:p>
    <w:p>
      <w:pPr/>
      <w:r>
        <w:rPr>
          <w:lang w:val="en_US" w:bidi="en_US"/>
        </w:rPr>
      </w:r>
      <w:r>
        <w:rPr>
          <w:lang w:val="en_US" w:bidi="en_US"/>
        </w:rPr>
        <w:t>A sinful woman washes Jesus’ feet at the home of a Pharisee named Simon</w:t>
      </w:r>
    </w:p>
    <w:p>
      <w:pPr/>
      <w:r>
        <w:rPr>
          <w:lang w:val="en_US" w:bidi="en_US"/>
        </w:rPr>
      </w:r>
      <w:r>
        <w:rPr>
          <w:lang w:val="en_US" w:bidi="en_US"/>
        </w:rPr>
        <w:t>Jesus compares a Pharisee and a sinful woman</w:t>
      </w:r>
    </w:p>
    <w:p>
      <w:pPr>
        <w:pStyle w:val="Heading5"/>
      </w:pPr>
      <w:r>
        <w:rPr>
          <w:lang w:val="en_US" w:bidi="en_US"/>
        </w:rPr>
        <w:t>7:40a</w:t>
      </w:r>
    </w:p>
    <w:p>
      <w:pPr/>
      <w:r>
        <w:rPr>
          <w:lang w:val="en_US" w:bidi="en_US"/>
        </w:rPr>
      </w:r>
      <w:r>
        <w:rPr>
          <w:b/>
          <w:lang w:val="en_US" w:bidi="en_US"/>
        </w:rPr>
        <w:t>But Jesus answered him, “Simon, I have something to tell you.”</w:t>
      </w:r>
    </w:p>
    <w:p>
      <w:pPr>
        <w:pStyle w:val="ListBullet"/>
        <w:spacing w:line="240" w:lineRule="auto"/>
        <w:ind w:left="720"/>
      </w:pPr>
      <w:r>
        <w:rPr>
          <w:lang w:val="en_US" w:bidi="en_US"/>
        </w:rPr>
      </w:r>
      <w:r>
        <w:rPr>
          <w:lang w:val="en_US" w:bidi="en_US"/>
        </w:rPr>
        <w:t xml:space="preserve">¶ Jesus said to </w:t>
      </w:r>
      <w:r>
        <w:rPr>
          <w:lang w:val="en_US" w:bidi="en_US"/>
        </w:rPr>
        <w:t>the Pharisee</w:t>
      </w:r>
      <w:r>
        <w:rPr>
          <w:lang w:val="en_US" w:bidi="en_US"/>
        </w:rPr>
        <w:t>, “I want to tell you something, Simon.”</w:t>
      </w:r>
    </w:p>
    <w:p>
      <w:pPr>
        <w:pStyle w:val="ListBullet"/>
        <w:spacing w:line="240" w:lineRule="auto"/>
        <w:ind w:left="720"/>
      </w:pPr>
      <w:r>
        <w:rPr>
          <w:lang w:val="en_US" w:bidi="en_US"/>
        </w:rPr>
      </w:r>
      <w:r>
        <w:rPr>
          <w:lang w:val="en_US" w:bidi="en_US"/>
        </w:rPr>
        <w:t xml:space="preserve">¶ Then Jesus said to </w:t>
      </w:r>
      <w:r>
        <w:rPr>
          <w:lang w:val="en_US" w:bidi="en_US"/>
        </w:rPr>
        <w:t>his host,</w:t>
      </w:r>
      <w:r>
        <w:rPr>
          <w:lang w:val="en_US" w:bidi="en_US"/>
        </w:rPr>
        <w:t xml:space="preserve"> </w:t>
      </w:r>
      <w:r>
        <w:rPr>
          <w:lang w:val="en_US" w:bidi="en_US"/>
        </w:rPr>
        <w:t>whose name was Simon</w:t>
      </w:r>
      <w:r>
        <w:rPr>
          <w:lang w:val="en_US" w:bidi="en_US"/>
        </w:rPr>
        <w:t>, “Simon, there is something that I want to say to you.”</w:t>
      </w:r>
    </w:p>
    <w:p>
      <w:pPr/>
      <w:r>
        <w:rPr>
          <w:lang w:val="en_US" w:bidi="en_US"/>
        </w:rPr>
      </w:r>
      <w:r>
        <w:rPr>
          <w:b/>
          <w:lang w:val="en_US" w:bidi="en_US"/>
        </w:rPr>
        <w:t>But:</w:t>
      </w:r>
      <w:r>
        <w:rPr>
          <w:lang w:val="en_US" w:bidi="en_US"/>
        </w:rPr>
        <w:t xml:space="preserve"> This verse begins with a Greek conjunction that is often translated as “and.” Because Jesus responded here to the Pharisee’s thoughts (7:39), some English versions translate this as “Then” (NJB, NLT) or “So” (NET). The NIV and some other English versions do not translate this Greek conjunction. However, since Jesus speaks to correct the Pharisee’s conclusions about him, to indicate a contrast, the BSB translates the conjunction as </w:t>
      </w:r>
      <w:r>
        <w:rPr>
          <w:i/>
          <w:lang w:val="en_US" w:bidi="en_US"/>
        </w:rPr>
        <w:t>But</w:t>
      </w:r>
      <w:r>
        <w:rPr>
          <w:lang w:val="en_US" w:bidi="en_US"/>
        </w:rPr>
        <w:t>. Connect this verse to 7:39 in a way that is natural in your language.</w:t>
      </w:r>
    </w:p>
    <w:p>
      <w:pPr/>
      <w:r>
        <w:rPr>
          <w:lang w:val="en_US" w:bidi="en_US"/>
        </w:rPr>
      </w:r>
      <w:r>
        <w:rPr>
          <w:b/>
          <w:lang w:val="en_US" w:bidi="en_US"/>
        </w:rPr>
        <w:t>Jesus answered him:</w:t>
      </w:r>
      <w:r>
        <w:rPr>
          <w:lang w:val="en_US" w:bidi="en_US"/>
        </w:rPr>
        <w:t xml:space="preserve"> The Pharisee had not asked a question out loud. Jesus knew what he was thinking and responded to that. In some languages, it may not be natural to use the word </w:t>
      </w:r>
      <w:r>
        <w:rPr>
          <w:i/>
          <w:lang w:val="en_US" w:bidi="en_US"/>
        </w:rPr>
        <w:t>answered</w:t>
      </w:r>
      <w:r>
        <w:rPr>
          <w:lang w:val="en_US" w:bidi="en_US"/>
        </w:rPr>
        <w:t xml:space="preserve"> when a question has not been asked. If that is true in your language, you may be able to say:</w:t>
      </w:r>
    </w:p>
    <w:p>
      <w:pPr/>
      <w:r>
        <w:rPr>
          <w:lang w:val="en_US" w:bidi="en_US"/>
        </w:rPr>
      </w:r>
      <w:r>
        <w:rPr>
          <w:lang w:val="en_US" w:bidi="en_US"/>
        </w:rPr>
        <w:t>Jesus said to the Pharisee (CEV)</w:t>
      </w:r>
    </w:p>
    <w:p>
      <w:pPr/>
      <w:r>
        <w:rPr>
          <w:lang w:val="en_US" w:bidi="en_US"/>
        </w:rPr>
      </w:r>
      <w:r>
        <w:rPr>
          <w:lang w:val="en_US" w:bidi="en_US"/>
        </w:rPr>
        <w:t>Jesus answered his thoughts (NLT)</w:t>
      </w:r>
    </w:p>
    <w:p>
      <w:pPr/>
      <w:r>
        <w:rPr>
          <w:lang w:val="en_US" w:bidi="en_US"/>
        </w:rPr>
      </w:r>
      <w:r>
        <w:rPr>
          <w:lang w:val="en_US" w:bidi="en_US"/>
        </w:rPr>
        <w:t xml:space="preserve">Jesus responded </w:t>
      </w:r>
      <w:r>
        <w:rPr>
          <w:lang w:val="en_US" w:bidi="en_US"/>
        </w:rPr>
        <w:t>to his thoughts</w:t>
      </w:r>
      <w:r>
        <w:rPr>
          <w:lang w:val="en_US" w:bidi="en_US"/>
        </w:rPr>
        <w:t xml:space="preserve"> and said</w:t>
      </w:r>
    </w:p>
    <w:p>
      <w:pPr/>
      <w:r>
        <w:rPr>
          <w:lang w:val="en_US" w:bidi="en_US"/>
        </w:rPr>
      </w:r>
      <w:r>
        <w:rPr>
          <w:b/>
          <w:lang w:val="en_US" w:bidi="en_US"/>
        </w:rPr>
        <w:t>Simon:</w:t>
      </w:r>
      <w:r>
        <w:rPr>
          <w:lang w:val="en_US" w:bidi="en_US"/>
        </w:rPr>
        <w:t xml:space="preserve"> Here Jesus addressed the Pharisee by his name. This is the first time that his name is mentioned in this story. If it is not natural in your language to introduce the name here, you may need to mention the Pharisee’s name in 7:36a or 7:39a.</w:t>
      </w:r>
    </w:p>
    <w:p>
      <w:pPr/>
      <w:r>
        <w:rPr>
          <w:lang w:val="en_US" w:bidi="en_US"/>
        </w:rPr>
      </w:r>
      <w:r>
        <w:rPr>
          <w:b/>
          <w:lang w:val="en_US" w:bidi="en_US"/>
        </w:rPr>
        <w:t>I have something to tell you:</w:t>
      </w:r>
      <w:r>
        <w:rPr>
          <w:lang w:val="en_US" w:bidi="en_US"/>
        </w:rPr>
        <w:t xml:space="preserve"> The phrase </w:t>
      </w:r>
      <w:r>
        <w:rPr>
          <w:i/>
          <w:lang w:val="en_US" w:bidi="en_US"/>
        </w:rPr>
        <w:t>I have something to tell you</w:t>
      </w:r>
      <w:r>
        <w:rPr>
          <w:lang w:val="en_US" w:bidi="en_US"/>
        </w:rPr>
        <w:t xml:space="preserve"> means “I want to tell you something.”</w:t>
      </w:r>
      <w:r>
        <w:rPr>
          <w:lang w:val="en_US" w:bidi="en_US"/>
        </w:rPr>
        <w:t>Bailey (</w:t>
      </w:r>
      <w:r>
        <w:rPr>
          <w:i/>
          <w:lang w:val="en_US" w:bidi="en_US"/>
        </w:rPr>
        <w:t>Through Peasant Eyes</w:t>
      </w:r>
      <w:r>
        <w:rPr>
          <w:lang w:val="en_US" w:bidi="en_US"/>
        </w:rPr>
        <w:t>, p. 12) seems alone but may be correct in suggesting that this was a strong statement: “This exact phrase in contemporary villages…is used all across the Middle East to introduce a blunt speech that the listener may not want to hear. This is precisely what develops in this scene….”</w:t>
      </w:r>
      <w:r>
        <w:rPr>
          <w:lang w:val="en_US" w:bidi="en_US"/>
        </w:rPr>
        <w:t xml:space="preserve"> In this case Jesus wanted to use a parable and explain it in order to tell Simon something that might be difficult for Simon to accept. Some languages may have a natural expression that people use to introduce something like this that they want to say. Use a natural expression in your language.</w:t>
      </w:r>
    </w:p>
    <w:p>
      <w:pPr>
        <w:pStyle w:val="Heading5"/>
      </w:pPr>
      <w:r>
        <w:rPr>
          <w:lang w:val="en_US" w:bidi="en_US"/>
        </w:rPr>
        <w:t>7:40b</w:t>
      </w:r>
    </w:p>
    <w:p>
      <w:pPr/>
      <w:r>
        <w:rPr>
          <w:lang w:val="en_US" w:bidi="en_US"/>
        </w:rPr>
      </w:r>
      <w:r>
        <w:rPr>
          <w:b/>
          <w:lang w:val="en_US" w:bidi="en_US"/>
        </w:rPr>
        <w:t>“Tell me, Teacher,” he said.</w:t>
      </w:r>
    </w:p>
    <w:p>
      <w:pPr>
        <w:pStyle w:val="ListBullet"/>
        <w:spacing w:line="240" w:lineRule="auto"/>
        <w:ind w:left="720"/>
      </w:pPr>
      <w:r>
        <w:rPr>
          <w:lang w:val="en_US" w:bidi="en_US"/>
        </w:rPr>
      </w:r>
      <w:r>
        <w:rPr>
          <w:lang w:val="en_US" w:bidi="en_US"/>
        </w:rPr>
        <w:t>Simon</w:t>
      </w:r>
      <w:r>
        <w:rPr>
          <w:lang w:val="en_US" w:bidi="en_US"/>
        </w:rPr>
        <w:t xml:space="preserve"> said, “Teacher, I am listening.”</w:t>
      </w:r>
    </w:p>
    <w:p>
      <w:pPr>
        <w:pStyle w:val="ListBullet"/>
        <w:spacing w:line="240" w:lineRule="auto"/>
        <w:ind w:left="720"/>
      </w:pPr>
      <w:r>
        <w:rPr>
          <w:lang w:val="en_US" w:bidi="en_US"/>
        </w:rPr>
      </w:r>
      <w:r>
        <w:rPr>
          <w:lang w:val="en_US" w:bidi="en_US"/>
        </w:rPr>
        <w:t>“What do you want to say, teacher?” the host/Pharisee asked.</w:t>
      </w:r>
    </w:p>
    <w:p>
      <w:pPr/>
      <w:r>
        <w:rPr>
          <w:lang w:val="en_US" w:bidi="en_US"/>
        </w:rPr>
      </w:r>
      <w:r>
        <w:rPr>
          <w:b/>
          <w:lang w:val="en_US" w:bidi="en_US"/>
        </w:rPr>
        <w:t>Tell me:</w:t>
      </w:r>
      <w:r>
        <w:rPr>
          <w:lang w:val="en_US" w:bidi="en_US"/>
        </w:rPr>
        <w:t xml:space="preserve"> The Pharisee invited Jesus to tell him whatever it was that he wanted to say. Use a phrase that is natural in this context in your language. For example:</w:t>
      </w:r>
    </w:p>
    <w:p>
      <w:pPr/>
      <w:r>
        <w:rPr>
          <w:lang w:val="en_US" w:bidi="en_US"/>
        </w:rPr>
      </w:r>
      <w:r>
        <w:rPr>
          <w:lang w:val="en_US" w:bidi="en_US"/>
        </w:rPr>
        <w:t>What is it…? (REB)</w:t>
      </w:r>
    </w:p>
    <w:p>
      <w:pPr/>
      <w:r>
        <w:rPr>
          <w:lang w:val="en_US" w:bidi="en_US"/>
        </w:rPr>
      </w:r>
      <w:r>
        <w:rPr>
          <w:lang w:val="en_US" w:bidi="en_US"/>
        </w:rPr>
        <w:t>I am listening.</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was a polite form of address for a religious teacher.</w:t>
      </w:r>
      <w:r>
        <w:rPr>
          <w:lang w:val="en_US" w:bidi="en_US"/>
        </w:rPr>
        <w:t xml:space="preserve">This is the first time in Luke that Jesus is addressed as “Teacher.” In Luke, this form of address is always found on the lips of the Jewish leaders and others who do not have faith. Jesus’ disciples and those with faith address him as </w:t>
      </w:r>
      <w:r>
        <w:rPr>
          <w:i/>
          <w:lang w:val="en_US" w:bidi="en_US"/>
        </w:rPr>
        <w:t>επιστατα</w:t>
      </w:r>
      <w:r>
        <w:rPr>
          <w:lang w:val="en_US" w:bidi="en_US"/>
        </w:rPr>
        <w:t xml:space="preserve"> or </w:t>
      </w:r>
      <w:r>
        <w:rPr>
          <w:i/>
          <w:lang w:val="en_US" w:bidi="en_US"/>
        </w:rPr>
        <w:t>κυριε</w:t>
      </w:r>
      <w:r>
        <w:rPr>
          <w:lang w:val="en_US" w:bidi="en_US"/>
        </w:rPr>
        <w:t>. This does not mean that the term “teacher” should be thought of as hostile or impolite. But Luke uses this distinction to indicate the degree of understanding of who Jesus was on the part of those addressing him.</w:t>
      </w:r>
      <w:r>
        <w:rPr>
          <w:lang w:val="en_US" w:bidi="en_US"/>
        </w:rPr>
        <w:t xml:space="preserve"> It was a title of respect for a Jewish man who had authority to teach things about God. The same word was used to address John the Baptizer at 3:12b.</w:t>
      </w:r>
    </w:p>
    <w:p>
      <w:pPr/>
      <w:r>
        <w:rPr>
          <w:lang w:val="en_US" w:bidi="en_US"/>
        </w:rPr>
      </w:r>
      <w:r>
        <w:rPr>
          <w:lang w:val="en_US" w:bidi="en_US"/>
        </w:rPr>
        <w:t>In some languages the appropriate way to address a religious teacher may be:</w:t>
      </w:r>
    </w:p>
    <w:p>
      <w:pPr/>
      <w:r>
        <w:rPr>
          <w:lang w:val="en_US" w:bidi="en_US"/>
        </w:rPr>
      </w:r>
      <w:r>
        <w:rPr>
          <w:lang w:val="en_US" w:bidi="en_US"/>
        </w:rPr>
        <w:t>Sir Teacher</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lang w:val="en_US" w:bidi="en_US"/>
        </w:rPr>
        <w:t>In some languages there may be a polite term of address for religious teachers that has a different meaning from “Teacher.” If that is true in your language, you may consider using it here.</w:t>
      </w:r>
    </w:p>
    <w:p>
      <w:pPr/>
      <w:r>
        <w:rPr>
          <w:lang w:val="en_US" w:bidi="en_US"/>
        </w:rPr>
      </w:r>
      <w:r>
        <w:rPr>
          <w:b/>
          <w:lang w:val="en_US" w:bidi="en_US"/>
        </w:rPr>
        <w:t>he said:</w:t>
      </w:r>
      <w:r>
        <w:rPr>
          <w:lang w:val="en_US" w:bidi="en_US"/>
        </w:rPr>
        <w:t xml:space="preserve"> The phrase </w:t>
      </w:r>
      <w:r>
        <w:rPr>
          <w:i/>
          <w:lang w:val="en_US" w:bidi="en_US"/>
        </w:rPr>
        <w:t>he said</w:t>
      </w:r>
      <w:r>
        <w:rPr>
          <w:lang w:val="en_US" w:bidi="en_US"/>
        </w:rPr>
        <w:t xml:space="preserve"> means “the Pharisee said.” Place this phrase where it is natural in your language.</w:t>
      </w:r>
      <w:r>
        <w:rPr>
          <w:lang w:val="en_US" w:bidi="en_US"/>
        </w:rPr>
      </w:r>
      <w:r>
        <w:rPr>
          <w:lang w:val="en_US" w:bidi="en_US"/>
        </w:rPr>
      </w:r>
    </w:p>
    <w:p>
      <w:pPr/>
      <w:r>
        <w:rPr>
          <w:lang w:val="en_US" w:bidi="en_US"/>
        </w:rPr>
      </w:r>
    </w:p>
    <w:p>
      <w:pPr>
        <w:pStyle w:val="Heading2"/>
      </w:pPr>
      <w:r>
        <w:rPr>
          <w:lang w:val="en_US" w:bidi="en_US"/>
        </w:rPr>
        <w:t>Luke 7:41</w:t>
      </w:r>
      <w:r>
        <w:rPr>
          <w:lang w:val="en_US" w:bidi="en_US"/>
        </w:rPr>
      </w:r>
    </w:p>
    <w:p>
      <w:pPr>
        <w:pStyle w:val="Heading4"/>
      </w:pPr>
      <w:r>
        <w:rPr>
          <w:lang w:val="en_US" w:bidi="en_US"/>
        </w:rPr>
        <w:t>Section 7:36–50: Jesus forgave a woman’s sins and taught a Pharisee about love</w:t>
      </w:r>
    </w:p>
    <w:p>
      <w:pPr/>
      <w:r>
        <w:rPr>
          <w:lang w:val="en_US" w:bidi="en_US"/>
        </w:rPr>
      </w:r>
      <w:r>
        <w:rPr>
          <w:lang w:val="en_US" w:bidi="en_US"/>
        </w:rP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pPr/>
      <w:r>
        <w:rPr>
          <w:lang w:val="en_US" w:bidi="en_US"/>
        </w:rPr>
      </w:r>
      <w:r>
        <w:rPr>
          <w:lang w:val="en_US" w:bidi="en_US"/>
        </w:rP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pPr/>
      <w:r>
        <w:rPr>
          <w:lang w:val="en_US" w:bidi="en_US"/>
        </w:rPr>
      </w:r>
      <w:r>
        <w:rPr>
          <w:lang w:val="en_US" w:bidi="en_US"/>
        </w:rPr>
        <w:t>Certain Jewish customs help to explain some of the actions in this story:</w:t>
      </w:r>
    </w:p>
    <w:p>
      <w:pPr>
        <w:pStyle w:val="ListNumber"/>
        <w:numPr>
          <w:ilvl w:val="0"/>
          <w:numId w:val="159"/>
        </w:numPr>
        <w:spacing w:line="240" w:lineRule="auto"/>
        <w:ind w:left="720"/>
      </w:pPr>
      <w:r>
        <w:rPr>
          <w:lang w:val="en_US" w:bidi="en_US"/>
        </w:rPr>
      </w:r>
      <w:r>
        <w:rPr>
          <w:lang w:val="en_US" w:bidi="en_US"/>
        </w:rP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Pr>
          <w:lang w:val="en_US" w:bidi="en_US"/>
        </w:rPr>
      </w:r>
      <w:r>
        <w:rPr>
          <w:lang w:val="en_US" w:bidi="en_US"/>
        </w:rP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Pr>
          <w:lang w:val="en_US" w:bidi="en_US"/>
        </w:rPr>
      </w:r>
      <w:r>
        <w:rPr>
          <w:lang w:val="en_US" w:bidi="en_US"/>
        </w:rPr>
        <w:t>Often a slave washed the feet of the guests. People considered feet to be dirty. When the woman washed Jesus’ feet and kissed them, she humbled herself and honored Jesus.</w:t>
      </w:r>
    </w:p>
    <w:p>
      <w:pPr/>
      <w:r>
        <w:rPr>
          <w:lang w:val="en_US" w:bidi="en_US"/>
        </w:rPr>
      </w:r>
      <w:r>
        <w:rPr>
          <w:lang w:val="en_US" w:bidi="en_US"/>
        </w:rPr>
        <w:t>This section is not explicitly connected to the preceding one, but it does illustrate some of the statements in 7:29–35. The woman was a person who “acknowledged God’s justice” (7:29). Simon the Pharisee was one of those who “rejected God’s purpose for themselves” (7:30).</w:t>
      </w:r>
    </w:p>
    <w:p>
      <w:pPr/>
      <w:r>
        <w:rPr>
          <w:lang w:val="en_US" w:bidi="en_US"/>
        </w:rPr>
      </w:r>
      <w:r>
        <w:rPr>
          <w:lang w:val="en_US" w:bidi="en_US"/>
        </w:rPr>
        <w:t>Some other possible headings for this section are:</w:t>
      </w:r>
    </w:p>
    <w:p>
      <w:pPr/>
      <w:r>
        <w:rPr>
          <w:lang w:val="en_US" w:bidi="en_US"/>
        </w:rPr>
      </w:r>
      <w:r>
        <w:rPr>
          <w:lang w:val="en_US" w:bidi="en_US"/>
        </w:rPr>
        <w:t>A sinful woman washes Jesus’ feet at the home of a Pharisee named Simon</w:t>
      </w:r>
    </w:p>
    <w:p>
      <w:pPr/>
      <w:r>
        <w:rPr>
          <w:lang w:val="en_US" w:bidi="en_US"/>
        </w:rPr>
      </w:r>
      <w:r>
        <w:rPr>
          <w:lang w:val="en_US" w:bidi="en_US"/>
        </w:rPr>
        <w:t>Jesus compares a Pharisee and a sinful woman</w:t>
      </w:r>
    </w:p>
    <w:p>
      <w:pPr>
        <w:pStyle w:val="Heading5"/>
      </w:pPr>
      <w:r>
        <w:rPr>
          <w:lang w:val="en_US" w:bidi="en_US"/>
        </w:rPr>
        <w:t>7:41–42b</w:t>
      </w:r>
    </w:p>
    <w:p>
      <w:pPr/>
      <w:r>
        <w:rPr>
          <w:lang w:val="en_US" w:bidi="en_US"/>
        </w:rPr>
      </w:r>
      <w:r>
        <w:rPr>
          <w:lang w:val="en_US" w:bidi="en_US"/>
        </w:rPr>
        <w:t>In these verses, Jesus told a short parable as an illustration. In some languages, there may be a special way to introduce an illustration such as this. For example:</w:t>
      </w:r>
    </w:p>
    <w:p>
      <w:pPr/>
      <w:r>
        <w:rPr>
          <w:lang w:val="en_US" w:bidi="en_US"/>
        </w:rPr>
      </w:r>
      <w:r>
        <w:rPr>
          <w:lang w:val="en_US" w:bidi="en_US"/>
        </w:rPr>
        <w:t>Then Jesus told him this story (NLT)</w:t>
      </w:r>
    </w:p>
    <w:p>
      <w:pPr>
        <w:pStyle w:val="Heading5"/>
      </w:pPr>
      <w:r>
        <w:rPr>
          <w:lang w:val="en_US" w:bidi="en_US"/>
        </w:rPr>
        <w:t>7:41a</w:t>
      </w:r>
    </w:p>
    <w:p>
      <w:pPr/>
      <w:r>
        <w:rPr>
          <w:lang w:val="en_US" w:bidi="en_US"/>
        </w:rPr>
      </w:r>
      <w:r>
        <w:rPr>
          <w:b/>
          <w:lang w:val="en_US" w:bidi="en_US"/>
        </w:rPr>
        <w:t>“Two men were debtors to a certain moneylender.</w:t>
      </w:r>
    </w:p>
    <w:p>
      <w:pPr>
        <w:pStyle w:val="ListBullet"/>
        <w:spacing w:line="240" w:lineRule="auto"/>
        <w:ind w:left="720"/>
      </w:pPr>
      <w:r>
        <w:rPr>
          <w:lang w:val="en_US" w:bidi="en_US"/>
        </w:rPr>
      </w:r>
      <w:r>
        <w:rPr>
          <w:lang w:val="en_US" w:bidi="en_US"/>
        </w:rPr>
        <w:t>Then/so Jesus said,</w:t>
      </w:r>
      <w:r>
        <w:rPr>
          <w:lang w:val="en_US" w:bidi="en_US"/>
        </w:rPr>
        <w:t xml:space="preserve"> “There were two men who owed money to the same moneylender.</w:t>
      </w:r>
    </w:p>
    <w:p>
      <w:pPr>
        <w:pStyle w:val="ListBullet"/>
        <w:spacing w:line="240" w:lineRule="auto"/>
        <w:ind w:left="720"/>
      </w:pPr>
      <w:r>
        <w:rPr>
          <w:lang w:val="en_US" w:bidi="en_US"/>
        </w:rPr>
      </w:r>
      <w:r>
        <w:rPr>
          <w:lang w:val="en_US" w:bidi="en_US"/>
        </w:rPr>
        <w:t>Jesus answered,</w:t>
      </w:r>
      <w:r>
        <w:rPr>
          <w:lang w:val="en_US" w:bidi="en_US"/>
        </w:rPr>
        <w:t xml:space="preserve"> “A man who had a business of loaning money loaned some money to two men.</w:t>
      </w:r>
    </w:p>
    <w:p>
      <w:pPr/>
      <w:r>
        <w:rPr>
          <w:lang w:val="en_US" w:bidi="en_US"/>
        </w:rPr>
      </w:r>
      <w:r>
        <w:rPr>
          <w:lang w:val="en_US" w:bidi="en_US"/>
        </w:rPr>
        <w:t>The BSB follows the Greek text by not introducing this parable with words such as “Jesus said.” However, in some languages it may be natural to include an introductory phrase like that. For example:</w:t>
      </w:r>
    </w:p>
    <w:p>
      <w:pPr/>
      <w:r>
        <w:rPr>
          <w:lang w:val="en_US" w:bidi="en_US"/>
        </w:rPr>
      </w:r>
      <w:r>
        <w:rPr>
          <w:lang w:val="en_US" w:bidi="en_US"/>
        </w:rPr>
        <w:t>So Jesus said… (GW)</w:t>
      </w:r>
    </w:p>
    <w:p>
      <w:pPr/>
      <w:r>
        <w:rPr>
          <w:lang w:val="en_US" w:bidi="en_US"/>
        </w:rPr>
      </w:r>
      <w:r>
        <w:rPr>
          <w:lang w:val="en_US" w:bidi="en_US"/>
        </w:rPr>
        <w:t>Jesus told him… (CEV)</w:t>
      </w:r>
    </w:p>
    <w:p>
      <w:pPr/>
      <w:r>
        <w:rPr>
          <w:lang w:val="en_US" w:bidi="en_US"/>
        </w:rPr>
      </w:r>
      <w:r>
        <w:rPr>
          <w:lang w:val="en_US" w:bidi="en_US"/>
        </w:rPr>
        <w:t>In some languages it may be helpful to use a specific phrase to refer to the parable or illustration. For example:</w:t>
      </w:r>
    </w:p>
    <w:p>
      <w:pPr/>
      <w:r>
        <w:rPr>
          <w:lang w:val="en_US" w:bidi="en_US"/>
        </w:rPr>
      </w:r>
      <w:r>
        <w:rPr>
          <w:lang w:val="en_US" w:bidi="en_US"/>
        </w:rPr>
        <w:t>Then Jesus told this parable…</w:t>
      </w:r>
    </w:p>
    <w:p>
      <w:pPr/>
      <w:r>
        <w:rPr>
          <w:lang w:val="en_US" w:bidi="en_US"/>
        </w:rPr>
      </w:r>
      <w:r>
        <w:rPr>
          <w:b/>
          <w:lang w:val="en_US" w:bidi="en_US"/>
        </w:rPr>
        <w:t>Two men were debtors to a certain moneylender:</w:t>
      </w:r>
      <w:r>
        <w:rPr>
          <w:lang w:val="en_US" w:bidi="en_US"/>
        </w:rPr>
        <w:t xml:space="preserve"> This is background information. It indicates that at some time in the past, two men had borrowed money from the same moneylender. The Greek phrase that the BSB translates as </w:t>
      </w:r>
      <w:r>
        <w:rPr>
          <w:i/>
          <w:lang w:val="en_US" w:bidi="en_US"/>
        </w:rPr>
        <w:t>Two men were debtors</w:t>
      </w:r>
      <w:r>
        <w:rPr>
          <w:lang w:val="en_US" w:bidi="en_US"/>
        </w:rPr>
        <w:t xml:space="preserve"> is literally “there were two debtors.” Other ways to translate the clause are:</w:t>
      </w:r>
    </w:p>
    <w:p>
      <w:pPr/>
      <w:r>
        <w:rPr>
          <w:lang w:val="en_US" w:bidi="en_US"/>
        </w:rPr>
      </w:r>
      <w:r>
        <w:rPr>
          <w:lang w:val="en_US" w:bidi="en_US"/>
        </w:rPr>
        <w:t>Two men were in debt to a moneylender (REB)</w:t>
      </w:r>
    </w:p>
    <w:p>
      <w:pPr/>
      <w:r>
        <w:rPr>
          <w:lang w:val="en_US" w:bidi="en_US"/>
        </w:rPr>
      </w:r>
      <w:r>
        <w:rPr>
          <w:lang w:val="en_US" w:bidi="en_US"/>
        </w:rPr>
        <w:t>A man loaned money to two people (NLT)</w:t>
      </w:r>
    </w:p>
    <w:p>
      <w:pPr/>
      <w:r>
        <w:rPr>
          <w:lang w:val="en_US" w:bidi="en_US"/>
        </w:rPr>
      </w:r>
      <w:r>
        <w:rPr>
          <w:lang w:val="en_US" w:bidi="en_US"/>
        </w:rPr>
        <w:t>Two men owed money to a certain moneylender (NIV)</w:t>
      </w:r>
    </w:p>
    <w:p>
      <w:pPr/>
      <w:r>
        <w:rPr>
          <w:lang w:val="en_US" w:bidi="en_US"/>
        </w:rPr>
      </w:r>
      <w:r>
        <w:rPr>
          <w:lang w:val="en_US" w:bidi="en_US"/>
        </w:rPr>
        <w:t>Two men borrowed money from a lender</w:t>
      </w:r>
    </w:p>
    <w:p>
      <w:pPr/>
      <w:r>
        <w:rPr>
          <w:lang w:val="en_US" w:bidi="en_US"/>
        </w:rPr>
      </w:r>
      <w:r>
        <w:rPr>
          <w:b/>
          <w:lang w:val="en_US" w:bidi="en_US"/>
        </w:rPr>
        <w:t>moneylender:</w:t>
      </w:r>
      <w:r>
        <w:rPr>
          <w:lang w:val="en_US" w:bidi="en_US"/>
        </w:rPr>
        <w:t xml:space="preserve"> A </w:t>
      </w:r>
      <w:r>
        <w:rPr>
          <w:i/>
          <w:lang w:val="en_US" w:bidi="en_US"/>
        </w:rPr>
        <w:t>moneylender</w:t>
      </w:r>
      <w:r>
        <w:rPr>
          <w:lang w:val="en_US" w:bidi="en_US"/>
        </w:rPr>
        <w:t xml:space="preserve"> was a person who lent money to other people as his business. When they paid him back, they would pay him extra money as interest or payment for the loan. Other ways to translate this are:</w:t>
      </w:r>
    </w:p>
    <w:p>
      <w:pPr/>
      <w:r>
        <w:rPr>
          <w:lang w:val="en_US" w:bidi="en_US"/>
        </w:rPr>
      </w:r>
      <w:r>
        <w:rPr>
          <w:lang w:val="en_US" w:bidi="en_US"/>
        </w:rPr>
        <w:t>person who lent people money for profit</w:t>
      </w:r>
    </w:p>
    <w:p>
      <w:pPr/>
      <w:r>
        <w:rPr>
          <w:lang w:val="en_US" w:bidi="en_US"/>
        </w:rPr>
      </w:r>
      <w:r>
        <w:rPr>
          <w:lang w:val="en_US" w:bidi="en_US"/>
        </w:rPr>
        <w:t>creditor</w:t>
      </w:r>
    </w:p>
    <w:p>
      <w:pPr>
        <w:pStyle w:val="Heading5"/>
      </w:pPr>
      <w:r>
        <w:rPr>
          <w:lang w:val="en_US" w:bidi="en_US"/>
        </w:rPr>
        <w:t>7:41b</w:t>
      </w:r>
    </w:p>
    <w:p>
      <w:pPr/>
      <w:r>
        <w:rPr>
          <w:lang w:val="en_US" w:bidi="en_US"/>
        </w:rPr>
      </w:r>
      <w:r>
        <w:rPr>
          <w:b/>
          <w:lang w:val="en_US" w:bidi="en_US"/>
        </w:rPr>
        <w:t>One owed him five hundred denarii,</w:t>
      </w:r>
    </w:p>
    <w:p>
      <w:pPr>
        <w:pStyle w:val="ListBullet"/>
        <w:spacing w:line="240" w:lineRule="auto"/>
        <w:ind w:left="720"/>
      </w:pPr>
      <w:r>
        <w:rPr>
          <w:lang w:val="en_US" w:bidi="en_US"/>
        </w:rPr>
      </w:r>
      <w:r>
        <w:rPr>
          <w:lang w:val="en_US" w:bidi="en_US"/>
        </w:rPr>
        <w:t>One of the men owed him five hundred silver coins,</w:t>
      </w:r>
    </w:p>
    <w:p>
      <w:pPr>
        <w:pStyle w:val="ListBullet"/>
        <w:spacing w:line="240" w:lineRule="auto"/>
        <w:ind w:left="720"/>
      </w:pPr>
      <w:r>
        <w:rPr>
          <w:lang w:val="en_US" w:bidi="en_US"/>
        </w:rPr>
      </w:r>
      <w:r>
        <w:rPr>
          <w:lang w:val="en_US" w:bidi="en_US"/>
        </w:rPr>
        <w:t>One of the men had borrowed more money than a worker would earn in a year and a half.</w:t>
      </w:r>
    </w:p>
    <w:p>
      <w:pPr/>
      <w:r>
        <w:rPr>
          <w:lang w:val="en_US" w:bidi="en_US"/>
        </w:rPr>
      </w:r>
      <w:r>
        <w:rPr>
          <w:b/>
          <w:lang w:val="en_US" w:bidi="en_US"/>
        </w:rPr>
        <w:t>One owed him five hundred denarii:</w:t>
      </w:r>
      <w:r>
        <w:rPr>
          <w:lang w:val="en_US" w:bidi="en_US"/>
        </w:rPr>
        <w:t xml:space="preserve"> One of the men needed to give the moneylender </w:t>
      </w:r>
      <w:r>
        <w:rPr>
          <w:i/>
          <w:lang w:val="en_US" w:bidi="en_US"/>
        </w:rPr>
        <w:t>five hundred denarii</w:t>
      </w:r>
      <w:r>
        <w:rPr>
          <w:lang w:val="en_US" w:bidi="en_US"/>
        </w:rPr>
        <w:t>. This amount included the money he borrowed and the extra money that he had to pay as interest for the loan.</w:t>
      </w:r>
    </w:p>
    <w:p>
      <w:pPr/>
      <w:r>
        <w:rPr>
          <w:lang w:val="en_US" w:bidi="en_US"/>
        </w:rPr>
      </w:r>
      <w:r>
        <w:rPr>
          <w:b/>
          <w:lang w:val="en_US" w:bidi="en_US"/>
        </w:rPr>
        <w:t>five hundred denarii:</w:t>
      </w:r>
      <w:r>
        <w:rPr>
          <w:lang w:val="en_US" w:bidi="en_US"/>
        </w:rPr>
        <w:t xml:space="preserve"> The word </w:t>
      </w:r>
      <w:r>
        <w:rPr>
          <w:i/>
          <w:lang w:val="en_US" w:bidi="en_US"/>
        </w:rPr>
        <w:t>denarii</w:t>
      </w:r>
      <w:r>
        <w:rPr>
          <w:lang w:val="en_US" w:bidi="en_US"/>
        </w:rPr>
        <w:t xml:space="preserve"> refers to silver coins of a certain type that Romans used as money. One of these coins, which was called a “denarius,” was worth what an ordinary worker earned for one day of work. So </w:t>
      </w:r>
      <w:r>
        <w:rPr>
          <w:i/>
          <w:lang w:val="en_US" w:bidi="en_US"/>
        </w:rPr>
        <w:t>five hundred denarii</w:t>
      </w:r>
      <w:r>
        <w:rPr>
          <w:lang w:val="en_US" w:bidi="en_US"/>
        </w:rPr>
        <w:t xml:space="preserve"> was the same as the wages for working five hundred days. Some ways to translate </w:t>
      </w:r>
      <w:r>
        <w:rPr>
          <w:i/>
          <w:lang w:val="en_US" w:bidi="en_US"/>
        </w:rPr>
        <w:t>five hundred denarii</w:t>
      </w:r>
      <w:r>
        <w:rPr>
          <w:lang w:val="en_US" w:bidi="en_US"/>
        </w:rPr>
        <w:t xml:space="preserve"> include:</w:t>
      </w:r>
    </w:p>
    <w:p>
      <w:pPr>
        <w:pStyle w:val="ListBullet"/>
        <w:spacing w:line="240" w:lineRule="auto"/>
        <w:ind w:left="720"/>
      </w:pPr>
      <w:r>
        <w:rPr>
          <w:lang w:val="en_US" w:bidi="en_US"/>
        </w:rPr>
      </w:r>
      <w:r>
        <w:rPr>
          <w:lang w:val="en_US" w:bidi="en_US"/>
        </w:rPr>
        <w:t>Use a general word or expression that does not specify the name of the coin. For example:</w:t>
      </w:r>
      <w:r>
        <w:rPr>
          <w:lang w:val="en_US" w:bidi="en_US"/>
        </w:rPr>
        <w:t xml:space="preserve">five hundred </w:t>
      </w:r>
      <w:r>
        <w:rPr>
          <w:u w:val="single"/>
          <w:lang w:val="en_US" w:bidi="en_US"/>
        </w:rPr>
        <w:t>silver coins</w:t>
      </w:r>
      <w:r>
        <w:rPr>
          <w:lang w:val="en_US" w:bidi="en_US"/>
        </w:rPr>
        <w:t xml:space="preserve"> (GNT)</w:t>
      </w:r>
    </w:p>
    <w:p>
      <w:pPr>
        <w:pStyle w:val="ListBullet"/>
        <w:spacing w:line="240" w:lineRule="auto"/>
        <w:ind w:left="720"/>
      </w:pPr>
      <w:r>
        <w:rPr>
          <w:lang w:val="en_US" w:bidi="en_US"/>
        </w:rPr>
      </w:r>
      <w:r>
        <w:rPr>
          <w:lang w:val="en_US" w:bidi="en_US"/>
        </w:rPr>
        <w:t>Use an expression that explains the value of the coins:</w:t>
      </w:r>
      <w:r>
        <w:rPr>
          <w:lang w:val="en_US" w:bidi="en_US"/>
        </w:rPr>
        <w:t>money worth the pay/wages for five hundred days of work</w:t>
      </w:r>
      <w:r>
        <w:rPr>
          <w:lang w:val="en_US" w:bidi="en_US"/>
        </w:rPr>
        <w:t>money equal to what a man earns for working more than a year and a half</w:t>
      </w:r>
    </w:p>
    <w:p>
      <w:pPr/>
      <w:r>
        <w:rPr>
          <w:lang w:val="en_US" w:bidi="en_US"/>
        </w:rPr>
      </w:r>
      <w:r>
        <w:rPr>
          <w:lang w:val="en_US" w:bidi="en_US"/>
        </w:rPr>
        <w:t>If you desire, you may want to include a footnote with more information. For example:</w:t>
      </w:r>
    </w:p>
    <w:p>
      <w:pPr/>
      <w:r>
        <w:rPr>
          <w:lang w:val="en_US" w:bidi="en_US"/>
        </w:rPr>
      </w:r>
      <w:r>
        <w:rPr>
          <w:lang w:val="en_US" w:bidi="en_US"/>
        </w:rPr>
        <w:t>Each of these coins was worth as much as an ordinary worker earned for one day of work.</w:t>
      </w:r>
    </w:p>
    <w:p>
      <w:pPr>
        <w:pStyle w:val="Heading5"/>
      </w:pPr>
      <w:r>
        <w:rPr>
          <w:lang w:val="en_US" w:bidi="en_US"/>
        </w:rPr>
        <w:t>7:41c</w:t>
      </w:r>
    </w:p>
    <w:p>
      <w:pPr/>
      <w:r>
        <w:rPr>
          <w:lang w:val="en_US" w:bidi="en_US"/>
        </w:rPr>
      </w:r>
      <w:r>
        <w:rPr>
          <w:b/>
          <w:lang w:val="en_US" w:bidi="en_US"/>
        </w:rPr>
        <w:t>and the other fifty.</w:t>
      </w:r>
    </w:p>
    <w:p>
      <w:pPr>
        <w:pStyle w:val="ListBullet"/>
        <w:spacing w:line="240" w:lineRule="auto"/>
        <w:ind w:left="720"/>
      </w:pPr>
      <w:r>
        <w:rPr>
          <w:lang w:val="en_US" w:bidi="en_US"/>
        </w:rPr>
      </w:r>
      <w:r>
        <w:rPr>
          <w:lang w:val="en_US" w:bidi="en_US"/>
        </w:rPr>
        <w:t>and the other man owed him fifty silver coins.</w:t>
      </w:r>
    </w:p>
    <w:p>
      <w:pPr>
        <w:pStyle w:val="ListBullet"/>
        <w:spacing w:line="240" w:lineRule="auto"/>
        <w:ind w:left="720"/>
      </w:pPr>
      <w:r>
        <w:rPr>
          <w:lang w:val="en_US" w:bidi="en_US"/>
        </w:rPr>
      </w:r>
      <w:r>
        <w:rPr>
          <w:lang w:val="en_US" w:bidi="en_US"/>
        </w:rPr>
        <w:t>The second man had borrowed as much money as a worker would earn in less than two months.</w:t>
      </w:r>
    </w:p>
    <w:p>
      <w:pPr/>
      <w:r>
        <w:rPr>
          <w:lang w:val="en_US" w:bidi="en_US"/>
        </w:rPr>
      </w:r>
      <w:r>
        <w:rPr>
          <w:b/>
          <w:lang w:val="en_US" w:bidi="en_US"/>
        </w:rPr>
        <w:t>the other fifty:</w:t>
      </w:r>
      <w:r>
        <w:rPr>
          <w:lang w:val="en_US" w:bidi="en_US"/>
        </w:rPr>
        <w:t xml:space="preserve"> The phrase </w:t>
      </w:r>
      <w:r>
        <w:rPr>
          <w:i/>
          <w:lang w:val="en_US" w:bidi="en_US"/>
        </w:rPr>
        <w:t>the other fifty</w:t>
      </w:r>
      <w:r>
        <w:rPr>
          <w:lang w:val="en_US" w:bidi="en_US"/>
        </w:rPr>
        <w:t xml:space="preserve"> is an ellipsis. It means “the second man owed the moneylender fifty denarii.” Fifty denarii was the same as the wages that a worker earned for working fifty days.</w:t>
      </w:r>
      <w:r>
        <w:rPr>
          <w:lang w:val="en_US" w:bidi="en_US"/>
        </w:rPr>
      </w:r>
      <w:r>
        <w:rPr>
          <w:lang w:val="en_US" w:bidi="en_US"/>
        </w:rPr>
      </w:r>
    </w:p>
    <w:p>
      <w:pPr/>
      <w:r>
        <w:rPr>
          <w:lang w:val="en_US" w:bidi="en_US"/>
        </w:rPr>
      </w:r>
    </w:p>
    <w:p>
      <w:pPr>
        <w:pStyle w:val="Heading2"/>
      </w:pPr>
      <w:r>
        <w:rPr>
          <w:lang w:val="en_US" w:bidi="en_US"/>
        </w:rPr>
        <w:t>Luke 7:42</w:t>
      </w:r>
      <w:r>
        <w:rPr>
          <w:lang w:val="en_US" w:bidi="en_US"/>
        </w:rPr>
      </w:r>
    </w:p>
    <w:p>
      <w:pPr>
        <w:pStyle w:val="Heading4"/>
      </w:pPr>
      <w:r>
        <w:rPr>
          <w:lang w:val="en_US" w:bidi="en_US"/>
        </w:rPr>
        <w:t>Section 7:36–50: Jesus forgave a woman’s sins and taught a Pharisee about love</w:t>
      </w:r>
    </w:p>
    <w:p>
      <w:pPr/>
      <w:r>
        <w:rPr>
          <w:lang w:val="en_US" w:bidi="en_US"/>
        </w:rPr>
      </w:r>
      <w:r>
        <w:rPr>
          <w:lang w:val="en_US" w:bidi="en_US"/>
        </w:rP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pPr/>
      <w:r>
        <w:rPr>
          <w:lang w:val="en_US" w:bidi="en_US"/>
        </w:rPr>
      </w:r>
      <w:r>
        <w:rPr>
          <w:lang w:val="en_US" w:bidi="en_US"/>
        </w:rP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pPr/>
      <w:r>
        <w:rPr>
          <w:lang w:val="en_US" w:bidi="en_US"/>
        </w:rPr>
      </w:r>
      <w:r>
        <w:rPr>
          <w:lang w:val="en_US" w:bidi="en_US"/>
        </w:rPr>
        <w:t>Certain Jewish customs help to explain some of the actions in this story:</w:t>
      </w:r>
    </w:p>
    <w:p>
      <w:pPr>
        <w:pStyle w:val="ListNumber"/>
        <w:numPr>
          <w:ilvl w:val="0"/>
          <w:numId w:val="160"/>
        </w:numPr>
        <w:spacing w:line="240" w:lineRule="auto"/>
        <w:ind w:left="720"/>
      </w:pPr>
      <w:r>
        <w:rPr>
          <w:lang w:val="en_US" w:bidi="en_US"/>
        </w:rPr>
      </w:r>
      <w:r>
        <w:rPr>
          <w:lang w:val="en_US" w:bidi="en_US"/>
        </w:rP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Pr>
          <w:lang w:val="en_US" w:bidi="en_US"/>
        </w:rPr>
      </w:r>
      <w:r>
        <w:rPr>
          <w:lang w:val="en_US" w:bidi="en_US"/>
        </w:rP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Pr>
          <w:lang w:val="en_US" w:bidi="en_US"/>
        </w:rPr>
      </w:r>
      <w:r>
        <w:rPr>
          <w:lang w:val="en_US" w:bidi="en_US"/>
        </w:rPr>
        <w:t>Often a slave washed the feet of the guests. People considered feet to be dirty. When the woman washed Jesus’ feet and kissed them, she humbled herself and honored Jesus.</w:t>
      </w:r>
    </w:p>
    <w:p>
      <w:pPr/>
      <w:r>
        <w:rPr>
          <w:lang w:val="en_US" w:bidi="en_US"/>
        </w:rPr>
      </w:r>
      <w:r>
        <w:rPr>
          <w:lang w:val="en_US" w:bidi="en_US"/>
        </w:rPr>
        <w:t>This section is not explicitly connected to the preceding one, but it does illustrate some of the statements in 7:29–35. The woman was a person who “acknowledged God’s justice” (7:29). Simon the Pharisee was one of those who “rejected God’s purpose for themselves” (7:30).</w:t>
      </w:r>
    </w:p>
    <w:p>
      <w:pPr/>
      <w:r>
        <w:rPr>
          <w:lang w:val="en_US" w:bidi="en_US"/>
        </w:rPr>
      </w:r>
      <w:r>
        <w:rPr>
          <w:lang w:val="en_US" w:bidi="en_US"/>
        </w:rPr>
        <w:t>Some other possible headings for this section are:</w:t>
      </w:r>
    </w:p>
    <w:p>
      <w:pPr/>
      <w:r>
        <w:rPr>
          <w:lang w:val="en_US" w:bidi="en_US"/>
        </w:rPr>
      </w:r>
      <w:r>
        <w:rPr>
          <w:lang w:val="en_US" w:bidi="en_US"/>
        </w:rPr>
        <w:t>A sinful woman washes Jesus’ feet at the home of a Pharisee named Simon</w:t>
      </w:r>
    </w:p>
    <w:p>
      <w:pPr/>
      <w:r>
        <w:rPr>
          <w:lang w:val="en_US" w:bidi="en_US"/>
        </w:rPr>
      </w:r>
      <w:r>
        <w:rPr>
          <w:lang w:val="en_US" w:bidi="en_US"/>
        </w:rPr>
        <w:t>Jesus compares a Pharisee and a sinful woman</w:t>
      </w:r>
    </w:p>
    <w:p>
      <w:pPr>
        <w:pStyle w:val="Heading5"/>
      </w:pPr>
      <w:r>
        <w:rPr>
          <w:lang w:val="en_US" w:bidi="en_US"/>
        </w:rPr>
        <w:t>7:42a</w:t>
      </w:r>
    </w:p>
    <w:p>
      <w:pPr/>
      <w:r>
        <w:rPr>
          <w:lang w:val="en_US" w:bidi="en_US"/>
        </w:rPr>
      </w:r>
      <w:r>
        <w:rPr>
          <w:b/>
          <w:lang w:val="en_US" w:bidi="en_US"/>
        </w:rPr>
        <w:t>When they were unable to repay him,</w:t>
      </w:r>
    </w:p>
    <w:p>
      <w:pPr>
        <w:pStyle w:val="ListBullet"/>
        <w:spacing w:line="240" w:lineRule="auto"/>
        <w:ind w:left="720"/>
      </w:pPr>
      <w:r>
        <w:rPr>
          <w:lang w:val="en_US" w:bidi="en_US"/>
        </w:rPr>
      </w:r>
      <w:r>
        <w:rPr>
          <w:lang w:val="en_US" w:bidi="en_US"/>
        </w:rPr>
        <w:t xml:space="preserve">Neither man had enough money to pay the moneylender </w:t>
      </w:r>
      <w:r>
        <w:rPr>
          <w:lang w:val="en_US" w:bidi="en_US"/>
        </w:rPr>
        <w:t>what they owed him</w:t>
      </w:r>
      <w:r>
        <w:rPr>
          <w:lang w:val="en_US" w:bidi="en_US"/>
        </w:rPr>
        <w:t>,</w:t>
      </w:r>
    </w:p>
    <w:p>
      <w:pPr>
        <w:pStyle w:val="ListBullet"/>
        <w:spacing w:line="240" w:lineRule="auto"/>
        <w:ind w:left="720"/>
      </w:pPr>
      <w:r>
        <w:rPr>
          <w:lang w:val="en_US" w:bidi="en_US"/>
        </w:rPr>
      </w:r>
      <w:r>
        <w:rPr>
          <w:lang w:val="en_US" w:bidi="en_US"/>
        </w:rPr>
        <w:t>When both of the two men were unable to pay the money back to the lender,</w:t>
      </w:r>
    </w:p>
    <w:p>
      <w:pPr>
        <w:pStyle w:val="Heading5"/>
      </w:pPr>
      <w:r>
        <w:rPr>
          <w:lang w:val="en_US" w:bidi="en_US"/>
        </w:rPr>
        <w:t>7:42b</w:t>
      </w:r>
    </w:p>
    <w:p>
      <w:pPr/>
      <w:r>
        <w:rPr>
          <w:lang w:val="en_US" w:bidi="en_US"/>
        </w:rPr>
      </w:r>
      <w:r>
        <w:rPr>
          <w:b/>
          <w:lang w:val="en_US" w:bidi="en_US"/>
        </w:rPr>
        <w:t>he forgave both of them.</w:t>
      </w:r>
    </w:p>
    <w:p>
      <w:pPr>
        <w:pStyle w:val="ListBullet"/>
        <w:spacing w:line="240" w:lineRule="auto"/>
        <w:ind w:left="720"/>
      </w:pPr>
      <w:r>
        <w:rPr>
          <w:lang w:val="en_US" w:bidi="en_US"/>
        </w:rPr>
      </w:r>
      <w:r>
        <w:rPr>
          <w:lang w:val="en_US" w:bidi="en_US"/>
        </w:rPr>
        <w:t>so he generously told them both that they did not have to pay him back.</w:t>
      </w:r>
    </w:p>
    <w:p>
      <w:pPr>
        <w:pStyle w:val="ListBullet"/>
        <w:spacing w:line="240" w:lineRule="auto"/>
        <w:ind w:left="720"/>
      </w:pPr>
      <w:r>
        <w:rPr>
          <w:lang w:val="en_US" w:bidi="en_US"/>
        </w:rPr>
      </w:r>
      <w:r>
        <w:rPr>
          <w:lang w:val="en_US" w:bidi="en_US"/>
        </w:rPr>
        <w:t>he was very gracious and forgave both the debts.</w:t>
      </w:r>
    </w:p>
    <w:p>
      <w:pPr>
        <w:pStyle w:val="Heading5"/>
      </w:pPr>
      <w:r>
        <w:rPr>
          <w:lang w:val="en_US" w:bidi="en_US"/>
        </w:rPr>
        <w:t>7:42a–b</w:t>
      </w:r>
    </w:p>
    <w:p>
      <w:pPr/>
      <w:r>
        <w:rPr>
          <w:lang w:val="en_US" w:bidi="en_US"/>
        </w:rPr>
      </w:r>
      <w:r>
        <w:rPr>
          <w:b/>
          <w:lang w:val="en_US" w:bidi="en_US"/>
        </w:rPr>
        <w:t>When they were unable to repay him, he forgave both of them:</w:t>
      </w:r>
      <w:r>
        <w:rPr>
          <w:lang w:val="en_US" w:bidi="en_US"/>
        </w:rPr>
        <w:t xml:space="preserve"> The moneylender </w:t>
      </w:r>
      <w:r>
        <w:rPr>
          <w:i/>
          <w:lang w:val="en_US" w:bidi="en_US"/>
        </w:rPr>
        <w:t>forgave</w:t>
      </w:r>
      <w:r>
        <w:rPr>
          <w:lang w:val="en_US" w:bidi="en_US"/>
        </w:rPr>
        <w:t xml:space="preserve"> the debts of the two men </w:t>
      </w:r>
      <w:r>
        <w:rPr>
          <w:u w:val="single"/>
          <w:lang w:val="en_US" w:bidi="en_US"/>
        </w:rPr>
        <w:t>because</w:t>
      </w:r>
      <w:r>
        <w:rPr>
          <w:lang w:val="en_US" w:bidi="en_US"/>
        </w:rPr>
        <w:t xml:space="preserve"> they could not pay him back. Some ways to translate this connection in English are:</w:t>
      </w:r>
    </w:p>
    <w:p>
      <w:pPr/>
      <w:r>
        <w:rPr>
          <w:lang w:val="en_US" w:bidi="en_US"/>
        </w:rPr>
      </w:r>
      <w:r>
        <w:rPr>
          <w:u w:val="single"/>
          <w:lang w:val="en_US" w:bidi="en_US"/>
        </w:rPr>
        <w:t>When</w:t>
      </w:r>
      <w:r>
        <w:rPr>
          <w:lang w:val="en_US" w:bidi="en_US"/>
        </w:rPr>
        <w:t xml:space="preserve"> they could not pay, he canceled the debts of both. (NET)</w:t>
      </w:r>
    </w:p>
    <w:p>
      <w:pPr/>
      <w:r>
        <w:rPr>
          <w:lang w:val="en_US" w:bidi="en_US"/>
        </w:rPr>
      </w:r>
      <w:r>
        <w:rPr>
          <w:lang w:val="en_US" w:bidi="en_US"/>
        </w:rPr>
        <w:t xml:space="preserve">And </w:t>
      </w:r>
      <w:r>
        <w:rPr>
          <w:u w:val="single"/>
          <w:lang w:val="en_US" w:bidi="en_US"/>
        </w:rPr>
        <w:t>since</w:t>
      </w:r>
      <w:r>
        <w:rPr>
          <w:lang w:val="en_US" w:bidi="en_US"/>
        </w:rPr>
        <w:t xml:space="preserve"> they were unable to pay, he generously cancelled both of their debts. (JBP)</w:t>
      </w:r>
    </w:p>
    <w:p>
      <w:pPr/>
      <w:r>
        <w:rPr>
          <w:lang w:val="en_US" w:bidi="en_US"/>
        </w:rPr>
      </w:r>
      <w:r>
        <w:rPr>
          <w:lang w:val="en_US" w:bidi="en_US"/>
        </w:rPr>
        <w:t xml:space="preserve">But neither of them could repay him, </w:t>
      </w:r>
      <w:r>
        <w:rPr>
          <w:u w:val="single"/>
          <w:lang w:val="en_US" w:bidi="en_US"/>
        </w:rPr>
        <w:t>so</w:t>
      </w:r>
      <w:r>
        <w:rPr>
          <w:lang w:val="en_US" w:bidi="en_US"/>
        </w:rPr>
        <w:t xml:space="preserve"> he kindly forgave them both, canceling their debts. (NLT)</w:t>
      </w:r>
    </w:p>
    <w:p>
      <w:pPr/>
      <w:r>
        <w:rPr>
          <w:lang w:val="en_US" w:bidi="en_US"/>
        </w:rPr>
      </w:r>
      <w:r>
        <w:rPr>
          <w:lang w:val="en_US" w:bidi="en_US"/>
        </w:rPr>
        <w:t>Translate the connection in a natural way in your language.</w:t>
      </w:r>
    </w:p>
    <w:p>
      <w:pPr/>
      <w:r>
        <w:rPr>
          <w:lang w:val="en_US" w:bidi="en_US"/>
        </w:rPr>
      </w:r>
      <w:r>
        <w:rPr>
          <w:b/>
          <w:lang w:val="en_US" w:bidi="en_US"/>
        </w:rPr>
        <w:t>he forgave both of them:</w:t>
      </w:r>
      <w:r>
        <w:rPr>
          <w:lang w:val="en_US" w:bidi="en_US"/>
        </w:rPr>
        <w:t xml:space="preserve"> The phrase </w:t>
      </w:r>
      <w:r>
        <w:rPr>
          <w:i/>
          <w:lang w:val="en_US" w:bidi="en_US"/>
        </w:rPr>
        <w:t>he forgave both of them</w:t>
      </w:r>
      <w:r>
        <w:rPr>
          <w:lang w:val="en_US" w:bidi="en_US"/>
        </w:rPr>
        <w:t xml:space="preserve"> means that the moneylender said that neither of the men had to pay him back. In this context, the word </w:t>
      </w:r>
      <w:r>
        <w:rPr>
          <w:i/>
          <w:lang w:val="en_US" w:bidi="en_US"/>
        </w:rPr>
        <w:t>forgave</w:t>
      </w:r>
      <w:r>
        <w:rPr>
          <w:lang w:val="en_US" w:bidi="en_US"/>
        </w:rPr>
        <w:t xml:space="preserve"> does not mean that the men had done something wrong to the moneylender and he forgave them for that. Another way to translate this is:</w:t>
      </w:r>
    </w:p>
    <w:p>
      <w:pPr/>
      <w:r>
        <w:rPr>
          <w:lang w:val="en_US" w:bidi="en_US"/>
        </w:rPr>
      </w:r>
      <w:r>
        <w:rPr>
          <w:lang w:val="en_US" w:bidi="en_US"/>
        </w:rPr>
        <w:t>the banker told both of them they did not have to pay him (NCV)</w:t>
      </w:r>
    </w:p>
    <w:p>
      <w:pPr/>
      <w:r>
        <w:rPr>
          <w:lang w:val="en_US" w:bidi="en_US"/>
        </w:rPr>
      </w:r>
      <w:r>
        <w:rPr>
          <w:lang w:val="en_US" w:bidi="en_US"/>
        </w:rPr>
        <w:t xml:space="preserve">In some languages it may be more natural to indicate that the moneylender’s action actually applied to the money that they owed, rather than to say that he forgave </w:t>
      </w:r>
      <w:r>
        <w:rPr>
          <w:i/>
          <w:lang w:val="en_US" w:bidi="en_US"/>
        </w:rPr>
        <w:t>them</w:t>
      </w:r>
      <w:r>
        <w:rPr>
          <w:lang w:val="en_US" w:bidi="en_US"/>
        </w:rPr>
        <w:t>. For example:</w:t>
      </w:r>
    </w:p>
    <w:p>
      <w:pPr/>
      <w:r>
        <w:rPr>
          <w:lang w:val="en_US" w:bidi="en_US"/>
        </w:rPr>
      </w:r>
      <w:r>
        <w:rPr>
          <w:lang w:val="en_US" w:bidi="en_US"/>
        </w:rPr>
        <w:t xml:space="preserve">he forgave </w:t>
      </w:r>
      <w:r>
        <w:rPr>
          <w:u w:val="single"/>
          <w:lang w:val="en_US" w:bidi="en_US"/>
        </w:rPr>
        <w:t>the debts</w:t>
      </w:r>
      <w:r>
        <w:rPr>
          <w:lang w:val="en_US" w:bidi="en_US"/>
        </w:rPr>
        <w:t xml:space="preserve"> of both (NIV)</w:t>
      </w:r>
    </w:p>
    <w:p>
      <w:pPr/>
      <w:r>
        <w:rPr>
          <w:lang w:val="en_US" w:bidi="en_US"/>
        </w:rPr>
      </w:r>
      <w:r>
        <w:rPr>
          <w:b/>
          <w:lang w:val="en_US" w:bidi="en_US"/>
        </w:rPr>
        <w:t>forgave:</w:t>
      </w:r>
      <w:r>
        <w:rPr>
          <w:lang w:val="en_US" w:bidi="en_US"/>
        </w:rPr>
        <w:t xml:space="preserve"> The Greek verb that the BSB translates as </w:t>
      </w:r>
      <w:r>
        <w:rPr>
          <w:i/>
          <w:lang w:val="en_US" w:bidi="en_US"/>
        </w:rPr>
        <w:t>forgave</w:t>
      </w:r>
      <w:r>
        <w:rPr>
          <w:lang w:val="en_US" w:bidi="en_US"/>
        </w:rPr>
        <w:t xml:space="preserve"> can refer to showing any kind of kindness to a person who did nothing to deserve it. Examples of such kindness include giving a gracious gift or generously forgiving an offense. So some English versions translate in a way that fits well with forgiving sins, as well as debts (7:47). For example:</w:t>
      </w:r>
    </w:p>
    <w:p>
      <w:pPr/>
      <w:r>
        <w:rPr>
          <w:lang w:val="en_US" w:bidi="en_US"/>
        </w:rPr>
      </w:r>
      <w:r>
        <w:rPr>
          <w:lang w:val="en_US" w:bidi="en_US"/>
        </w:rPr>
        <w:t>graciously forgave them both (NASB)</w:t>
      </w:r>
    </w:p>
    <w:p>
      <w:pPr/>
      <w:r>
        <w:rPr>
          <w:lang w:val="en_US" w:bidi="en_US"/>
        </w:rPr>
      </w:r>
      <w:r>
        <w:rPr>
          <w:lang w:val="en_US" w:bidi="en_US"/>
        </w:rPr>
        <w:t xml:space="preserve">If it is possible in your language to use the same word for </w:t>
      </w:r>
      <w:r>
        <w:rPr>
          <w:u w:val="single"/>
          <w:lang w:val="en_US" w:bidi="en_US"/>
        </w:rPr>
        <w:t>canceling</w:t>
      </w:r>
      <w:r>
        <w:rPr>
          <w:lang w:val="en_US" w:bidi="en_US"/>
        </w:rPr>
        <w:t xml:space="preserve"> debts and </w:t>
      </w:r>
      <w:r>
        <w:rPr>
          <w:u w:val="single"/>
          <w:lang w:val="en_US" w:bidi="en_US"/>
        </w:rPr>
        <w:t>forgiving</w:t>
      </w:r>
      <w:r>
        <w:rPr>
          <w:lang w:val="en_US" w:bidi="en_US"/>
        </w:rPr>
        <w:t xml:space="preserve"> sins, consider using that word here and also in 7:43a, 7:47a, and 7:47c.</w:t>
      </w:r>
    </w:p>
    <w:p>
      <w:pPr>
        <w:pStyle w:val="Heading5"/>
      </w:pPr>
      <w:r>
        <w:rPr>
          <w:lang w:val="en_US" w:bidi="en_US"/>
        </w:rPr>
        <w:t>7:42c</w:t>
      </w:r>
    </w:p>
    <w:p>
      <w:pPr/>
      <w:r>
        <w:rPr>
          <w:lang w:val="en_US" w:bidi="en_US"/>
        </w:rPr>
      </w:r>
      <w:r>
        <w:rPr>
          <w:b/>
          <w:lang w:val="en_US" w:bidi="en_US"/>
        </w:rPr>
        <w:t>Which one, then, will love him more?”</w:t>
      </w:r>
    </w:p>
    <w:p>
      <w:pPr>
        <w:pStyle w:val="ListBullet"/>
        <w:spacing w:line="240" w:lineRule="auto"/>
        <w:ind w:left="720"/>
      </w:pPr>
      <w:r>
        <w:rPr>
          <w:lang w:val="en_US" w:bidi="en_US"/>
        </w:rPr>
      </w:r>
      <w:r>
        <w:rPr>
          <w:lang w:val="en_US" w:bidi="en_US"/>
        </w:rPr>
        <w:t xml:space="preserve">As a result of this, which </w:t>
      </w:r>
      <w:r>
        <w:rPr>
          <w:lang w:val="en_US" w:bidi="en_US"/>
        </w:rPr>
        <w:t>of the two men</w:t>
      </w:r>
      <w:r>
        <w:rPr>
          <w:lang w:val="en_US" w:bidi="en_US"/>
        </w:rPr>
        <w:t xml:space="preserve"> will love </w:t>
      </w:r>
      <w:r>
        <w:rPr>
          <w:lang w:val="en_US" w:bidi="en_US"/>
        </w:rPr>
        <w:t>the moneylender</w:t>
      </w:r>
      <w:r>
        <w:rPr>
          <w:lang w:val="en_US" w:bidi="en_US"/>
        </w:rPr>
        <w:t xml:space="preserve"> more </w:t>
      </w:r>
      <w:r>
        <w:rPr>
          <w:lang w:val="en_US" w:bidi="en_US"/>
        </w:rPr>
        <w:t>than the other</w:t>
      </w:r>
      <w:r>
        <w:rPr>
          <w:lang w:val="en_US" w:bidi="en_US"/>
        </w:rPr>
        <w:t>?”</w:t>
      </w:r>
    </w:p>
    <w:p>
      <w:pPr>
        <w:pStyle w:val="ListBullet"/>
        <w:spacing w:line="240" w:lineRule="auto"/>
        <w:ind w:left="720"/>
      </w:pPr>
      <w:r>
        <w:rPr>
          <w:lang w:val="en_US" w:bidi="en_US"/>
        </w:rPr>
      </w:r>
      <w:r>
        <w:rPr>
          <w:lang w:val="en_US" w:bidi="en_US"/>
        </w:rPr>
        <w:t>And</w:t>
      </w:r>
      <w:r>
        <w:rPr>
          <w:lang w:val="en_US" w:bidi="en_US"/>
        </w:rPr>
        <w:t xml:space="preserve"> now, </w:t>
      </w:r>
      <w:r>
        <w:rPr>
          <w:lang w:val="en_US" w:bidi="en_US"/>
        </w:rPr>
        <w:t>Simon, I ask you,</w:t>
      </w:r>
      <w:r>
        <w:rPr>
          <w:lang w:val="en_US" w:bidi="en_US"/>
        </w:rPr>
        <w:t xml:space="preserve"> which borrower will feel more </w:t>
      </w:r>
      <w:r>
        <w:rPr>
          <w:lang w:val="en_US" w:bidi="en_US"/>
        </w:rPr>
        <w:t>grateful</w:t>
      </w:r>
      <w:r>
        <w:rPr>
          <w:lang w:val="en_US" w:bidi="en_US"/>
        </w:rPr>
        <w:t xml:space="preserve"> love toward him?”</w:t>
      </w:r>
    </w:p>
    <w:p>
      <w:pPr/>
      <w:r>
        <w:rPr>
          <w:lang w:val="en_US" w:bidi="en_US"/>
        </w:rPr>
      </w:r>
      <w:r>
        <w:rPr>
          <w:b/>
          <w:lang w:val="en_US" w:bidi="en_US"/>
        </w:rPr>
        <w:t>Which one, then, will love him more?:</w:t>
      </w:r>
      <w:r>
        <w:rPr>
          <w:lang w:val="en_US" w:bidi="en_US"/>
        </w:rPr>
        <w:t xml:space="preserve"> This is the sort of question that a teacher asks to help his students to think about something. Jesus expected an answer and received one.</w:t>
      </w:r>
    </w:p>
    <w:p>
      <w:pPr/>
      <w:r>
        <w:rPr>
          <w:lang w:val="en_US" w:bidi="en_US"/>
        </w:rPr>
      </w:r>
      <w:r>
        <w:rPr>
          <w:b/>
          <w:lang w:val="en_US" w:bidi="en_US"/>
        </w:rPr>
        <w:t>then:</w:t>
      </w:r>
      <w:r>
        <w:rPr>
          <w:lang w:val="en_US" w:bidi="en_US"/>
        </w:rPr>
        <w:t xml:space="preserve"> The Greek word </w:t>
      </w:r>
      <w:r>
        <w:rPr>
          <w:i/>
          <w:lang w:val="en_US" w:bidi="en_US"/>
        </w:rPr>
        <w:t>oun</w:t>
      </w:r>
      <w:r>
        <w:rPr>
          <w:lang w:val="en_US" w:bidi="en_US"/>
        </w:rPr>
        <w:t xml:space="preserve"> that the BSB translates as </w:t>
      </w:r>
      <w:r>
        <w:rPr>
          <w:i/>
          <w:lang w:val="en_US" w:bidi="en_US"/>
        </w:rPr>
        <w:t>then</w:t>
      </w:r>
      <w:r>
        <w:rPr>
          <w:lang w:val="en_US" w:bidi="en_US"/>
        </w:rPr>
        <w:t xml:space="preserve"> is literally “therefore.” It means “as a result of this.” It introduces a question that Jesus asked Simon. He asked what Simon concluded about the two people who owed money. Many English versions introduce this question with “now.” (“Now” is not used as a time word here.) Others introduce the question with “therefore” (KJV), “so” (NASB), or “then” (GNT), and some do not use a connector (NJB). Connect the question to the illustration in 7:41–42b in a natural way in your language.</w:t>
      </w:r>
    </w:p>
    <w:p>
      <w:pPr/>
      <w:r>
        <w:rPr>
          <w:lang w:val="en_US" w:bidi="en_US"/>
        </w:rPr>
      </w:r>
      <w:r>
        <w:rPr>
          <w:b/>
          <w:lang w:val="en_US" w:bidi="en_US"/>
        </w:rPr>
        <w:t>Which one…him:</w:t>
      </w:r>
      <w:r>
        <w:rPr>
          <w:lang w:val="en_US" w:bidi="en_US"/>
        </w:rPr>
        <w:t xml:space="preserve"> The phrase that the BSB translates as </w:t>
      </w:r>
      <w:r>
        <w:rPr>
          <w:i/>
          <w:lang w:val="en_US" w:bidi="en_US"/>
        </w:rPr>
        <w:t>Which one</w:t>
      </w:r>
      <w:r>
        <w:rPr>
          <w:lang w:val="en_US" w:bidi="en_US"/>
        </w:rPr>
        <w:t xml:space="preserve"> is literally “which of them” in Greek. The pronoun “them” refers to the two men who borrowed money from the moneylender. The word </w:t>
      </w:r>
      <w:r>
        <w:rPr>
          <w:i/>
          <w:lang w:val="en_US" w:bidi="en_US"/>
        </w:rPr>
        <w:t>him</w:t>
      </w:r>
      <w:r>
        <w:rPr>
          <w:lang w:val="en_US" w:bidi="en_US"/>
        </w:rPr>
        <w:t xml:space="preserve"> refers to the moneylender. Some other English versions also do not translate the word “them.” Other ways to translate this are:</w:t>
      </w:r>
    </w:p>
    <w:p>
      <w:pPr/>
      <w:r>
        <w:rPr>
          <w:lang w:val="en_US" w:bidi="en_US"/>
        </w:rPr>
      </w:r>
      <w:r>
        <w:rPr>
          <w:lang w:val="en_US" w:bidi="en_US"/>
        </w:rPr>
        <w:t>who do you think will love him the most? (GW)</w:t>
      </w:r>
    </w:p>
    <w:p>
      <w:pPr/>
      <w:r>
        <w:rPr>
          <w:lang w:val="en_US" w:bidi="en_US"/>
        </w:rPr>
      </w:r>
      <w:r>
        <w:rPr>
          <w:lang w:val="en_US" w:bidi="en_US"/>
        </w:rPr>
        <w:t>Who do you suppose loved him more after that? (NLT)</w:t>
      </w:r>
    </w:p>
    <w:p>
      <w:pPr/>
      <w:r>
        <w:rPr>
          <w:lang w:val="en_US" w:bidi="en_US"/>
        </w:rPr>
      </w:r>
      <w:r>
        <w:rPr>
          <w:b/>
          <w:lang w:val="en_US" w:bidi="en_US"/>
        </w:rPr>
        <w:t>love:</w:t>
      </w:r>
      <w:r>
        <w:rPr>
          <w:lang w:val="en_US" w:bidi="en_US"/>
        </w:rPr>
        <w:t xml:space="preserve"> In this context </w:t>
      </w:r>
      <w:r>
        <w:rPr>
          <w:i/>
          <w:lang w:val="en_US" w:bidi="en_US"/>
        </w:rPr>
        <w:t>love</w:t>
      </w:r>
      <w:r>
        <w:rPr>
          <w:lang w:val="en_US" w:bidi="en_US"/>
        </w:rPr>
        <w:t xml:space="preserve"> refers to the devotion and affection that a person has for someone who has helped him. This love and affection is based on being grateful to that person.</w:t>
      </w:r>
      <w:r>
        <w:rPr>
          <w:lang w:val="en_US" w:bidi="en_US"/>
        </w:rPr>
      </w:r>
      <w:r>
        <w:rPr>
          <w:lang w:val="en_US" w:bidi="en_US"/>
        </w:rPr>
      </w:r>
    </w:p>
    <w:p>
      <w:pPr/>
      <w:r>
        <w:rPr>
          <w:lang w:val="en_US" w:bidi="en_US"/>
        </w:rPr>
      </w:r>
    </w:p>
    <w:p>
      <w:pPr>
        <w:pStyle w:val="Heading2"/>
      </w:pPr>
      <w:r>
        <w:rPr>
          <w:lang w:val="en_US" w:bidi="en_US"/>
        </w:rPr>
        <w:t>Luke 7:43</w:t>
      </w:r>
      <w:r>
        <w:rPr>
          <w:lang w:val="en_US" w:bidi="en_US"/>
        </w:rPr>
      </w:r>
    </w:p>
    <w:p>
      <w:pPr>
        <w:pStyle w:val="Heading4"/>
      </w:pPr>
      <w:r>
        <w:rPr>
          <w:lang w:val="en_US" w:bidi="en_US"/>
        </w:rPr>
        <w:t>Section 7:36–50: Jesus forgave a woman’s sins and taught a Pharisee about love</w:t>
      </w:r>
    </w:p>
    <w:p>
      <w:pPr/>
      <w:r>
        <w:rPr>
          <w:lang w:val="en_US" w:bidi="en_US"/>
        </w:rPr>
      </w:r>
      <w:r>
        <w:rPr>
          <w:lang w:val="en_US" w:bidi="en_US"/>
        </w:rP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pPr/>
      <w:r>
        <w:rPr>
          <w:lang w:val="en_US" w:bidi="en_US"/>
        </w:rPr>
      </w:r>
      <w:r>
        <w:rPr>
          <w:lang w:val="en_US" w:bidi="en_US"/>
        </w:rP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pPr/>
      <w:r>
        <w:rPr>
          <w:lang w:val="en_US" w:bidi="en_US"/>
        </w:rPr>
      </w:r>
      <w:r>
        <w:rPr>
          <w:lang w:val="en_US" w:bidi="en_US"/>
        </w:rPr>
        <w:t>Certain Jewish customs help to explain some of the actions in this story:</w:t>
      </w:r>
    </w:p>
    <w:p>
      <w:pPr>
        <w:pStyle w:val="ListNumber"/>
        <w:numPr>
          <w:ilvl w:val="0"/>
          <w:numId w:val="161"/>
        </w:numPr>
        <w:spacing w:line="240" w:lineRule="auto"/>
        <w:ind w:left="720"/>
      </w:pPr>
      <w:r>
        <w:rPr>
          <w:lang w:val="en_US" w:bidi="en_US"/>
        </w:rPr>
      </w:r>
      <w:r>
        <w:rPr>
          <w:lang w:val="en_US" w:bidi="en_US"/>
        </w:rP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Pr>
          <w:lang w:val="en_US" w:bidi="en_US"/>
        </w:rPr>
      </w:r>
      <w:r>
        <w:rPr>
          <w:lang w:val="en_US" w:bidi="en_US"/>
        </w:rP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Pr>
          <w:lang w:val="en_US" w:bidi="en_US"/>
        </w:rPr>
      </w:r>
      <w:r>
        <w:rPr>
          <w:lang w:val="en_US" w:bidi="en_US"/>
        </w:rPr>
        <w:t>Often a slave washed the feet of the guests. People considered feet to be dirty. When the woman washed Jesus’ feet and kissed them, she humbled herself and honored Jesus.</w:t>
      </w:r>
    </w:p>
    <w:p>
      <w:pPr/>
      <w:r>
        <w:rPr>
          <w:lang w:val="en_US" w:bidi="en_US"/>
        </w:rPr>
      </w:r>
      <w:r>
        <w:rPr>
          <w:lang w:val="en_US" w:bidi="en_US"/>
        </w:rPr>
        <w:t>This section is not explicitly connected to the preceding one, but it does illustrate some of the statements in 7:29–35. The woman was a person who “acknowledged God’s justice” (7:29). Simon the Pharisee was one of those who “rejected God’s purpose for themselves” (7:30).</w:t>
      </w:r>
    </w:p>
    <w:p>
      <w:pPr/>
      <w:r>
        <w:rPr>
          <w:lang w:val="en_US" w:bidi="en_US"/>
        </w:rPr>
      </w:r>
      <w:r>
        <w:rPr>
          <w:lang w:val="en_US" w:bidi="en_US"/>
        </w:rPr>
        <w:t>Some other possible headings for this section are:</w:t>
      </w:r>
    </w:p>
    <w:p>
      <w:pPr/>
      <w:r>
        <w:rPr>
          <w:lang w:val="en_US" w:bidi="en_US"/>
        </w:rPr>
      </w:r>
      <w:r>
        <w:rPr>
          <w:lang w:val="en_US" w:bidi="en_US"/>
        </w:rPr>
        <w:t>A sinful woman washes Jesus’ feet at the home of a Pharisee named Simon</w:t>
      </w:r>
    </w:p>
    <w:p>
      <w:pPr/>
      <w:r>
        <w:rPr>
          <w:lang w:val="en_US" w:bidi="en_US"/>
        </w:rPr>
      </w:r>
      <w:r>
        <w:rPr>
          <w:lang w:val="en_US" w:bidi="en_US"/>
        </w:rPr>
        <w:t>Jesus compares a Pharisee and a sinful woman</w:t>
      </w:r>
    </w:p>
    <w:p>
      <w:pPr>
        <w:pStyle w:val="Heading5"/>
      </w:pPr>
      <w:r>
        <w:rPr>
          <w:lang w:val="en_US" w:bidi="en_US"/>
        </w:rPr>
        <w:t>7:43a</w:t>
      </w:r>
    </w:p>
    <w:p>
      <w:pPr/>
      <w:r>
        <w:rPr>
          <w:lang w:val="en_US" w:bidi="en_US"/>
        </w:rPr>
      </w:r>
      <w:r>
        <w:rPr>
          <w:b/>
          <w:lang w:val="en_US" w:bidi="en_US"/>
        </w:rPr>
        <w:t>“I suppose the one who was forgiven more,” Simon replied.</w:t>
      </w:r>
    </w:p>
    <w:p>
      <w:pPr>
        <w:pStyle w:val="ListBullet"/>
        <w:spacing w:line="240" w:lineRule="auto"/>
        <w:ind w:left="720"/>
      </w:pPr>
      <w:r>
        <w:rPr>
          <w:lang w:val="en_US" w:bidi="en_US"/>
        </w:rPr>
      </w:r>
      <w:r>
        <w:rPr>
          <w:lang w:val="en_US" w:bidi="en_US"/>
        </w:rPr>
        <w:t xml:space="preserve">Simon answered, “I guess </w:t>
      </w:r>
      <w:r>
        <w:rPr>
          <w:lang w:val="en_US" w:bidi="en_US"/>
        </w:rPr>
        <w:t>that</w:t>
      </w:r>
      <w:r>
        <w:rPr>
          <w:lang w:val="en_US" w:bidi="en_US"/>
        </w:rPr>
        <w:t xml:space="preserve"> the man for whom </w:t>
      </w:r>
      <w:r>
        <w:rPr>
          <w:lang w:val="en_US" w:bidi="en_US"/>
        </w:rPr>
        <w:t>the lender</w:t>
      </w:r>
      <w:r>
        <w:rPr>
          <w:lang w:val="en_US" w:bidi="en_US"/>
        </w:rPr>
        <w:t xml:space="preserve"> canceled/forgave the larger loan </w:t>
      </w:r>
      <w:r>
        <w:rPr>
          <w:lang w:val="en_US" w:bidi="en_US"/>
        </w:rPr>
        <w:t>would love him more</w:t>
      </w:r>
      <w:r>
        <w:rPr>
          <w:lang w:val="en_US" w:bidi="en_US"/>
        </w:rPr>
        <w:t>.”</w:t>
      </w:r>
    </w:p>
    <w:p>
      <w:pPr>
        <w:pStyle w:val="ListBullet"/>
        <w:spacing w:line="240" w:lineRule="auto"/>
        <w:ind w:left="720"/>
      </w:pPr>
      <w:r>
        <w:rPr>
          <w:lang w:val="en_US" w:bidi="en_US"/>
        </w:rPr>
      </w:r>
      <w:r>
        <w:rPr>
          <w:lang w:val="en_US" w:bidi="en_US"/>
        </w:rPr>
        <w:t>Simon answered, “Perhaps/presumably the man whom he forgave the most.”</w:t>
      </w:r>
    </w:p>
    <w:p>
      <w:pPr/>
      <w:r>
        <w:rPr>
          <w:lang w:val="en_US" w:bidi="en_US"/>
        </w:rPr>
      </w:r>
      <w:r>
        <w:rPr>
          <w:b/>
          <w:lang w:val="en_US" w:bidi="en_US"/>
        </w:rPr>
        <w:t>I suppose:</w:t>
      </w:r>
      <w:r>
        <w:rPr>
          <w:lang w:val="en_US" w:bidi="en_US"/>
        </w:rPr>
        <w:t xml:space="preserve"> The Greek word that the BSB translates as </w:t>
      </w:r>
      <w:r>
        <w:rPr>
          <w:i/>
          <w:lang w:val="en_US" w:bidi="en_US"/>
        </w:rPr>
        <w:t>I suppose</w:t>
      </w:r>
      <w:r>
        <w:rPr>
          <w:lang w:val="en_US" w:bidi="en_US"/>
        </w:rPr>
        <w:t xml:space="preserve"> introduces an answer that is cautious or hesitant. Some other ways to say this are:</w:t>
      </w:r>
    </w:p>
    <w:p>
      <w:pPr/>
      <w:r>
        <w:rPr>
          <w:lang w:val="en_US" w:bidi="en_US"/>
        </w:rPr>
      </w:r>
      <w:r>
        <w:rPr>
          <w:lang w:val="en_US" w:bidi="en_US"/>
        </w:rPr>
        <w:t>I think</w:t>
      </w:r>
    </w:p>
    <w:p>
      <w:pPr/>
      <w:r>
        <w:rPr>
          <w:lang w:val="en_US" w:bidi="en_US"/>
        </w:rPr>
      </w:r>
      <w:r>
        <w:rPr>
          <w:lang w:val="en_US" w:bidi="en_US"/>
        </w:rPr>
        <w:t>Probably</w:t>
      </w:r>
    </w:p>
    <w:p>
      <w:pPr/>
      <w:r>
        <w:rPr>
          <w:lang w:val="en_US" w:bidi="en_US"/>
        </w:rPr>
      </w:r>
      <w:r>
        <w:rPr>
          <w:lang w:val="en_US" w:bidi="en_US"/>
        </w:rPr>
        <w:t>I concede that it would be</w:t>
      </w:r>
    </w:p>
    <w:p>
      <w:pPr/>
      <w:r>
        <w:rPr>
          <w:lang w:val="en_US" w:bidi="en_US"/>
        </w:rPr>
      </w:r>
      <w:r>
        <w:rPr>
          <w:lang w:val="en_US" w:bidi="en_US"/>
        </w:rPr>
        <w:t>In my opinion</w:t>
      </w:r>
    </w:p>
    <w:p>
      <w:pPr/>
      <w:r>
        <w:rPr>
          <w:lang w:val="en_US" w:bidi="en_US"/>
        </w:rPr>
      </w:r>
      <w:r>
        <w:rPr>
          <w:b/>
          <w:lang w:val="en_US" w:bidi="en_US"/>
        </w:rPr>
        <w:t>the one who was forgiven more:</w:t>
      </w:r>
      <w:r>
        <w:rPr>
          <w:lang w:val="en_US" w:bidi="en_US"/>
        </w:rPr>
        <w:t xml:space="preserve"> The Greek verb that the BSB translates with the passive form </w:t>
      </w:r>
      <w:r>
        <w:rPr>
          <w:i/>
          <w:lang w:val="en_US" w:bidi="en_US"/>
        </w:rPr>
        <w:t>was forgiven</w:t>
      </w:r>
      <w:r>
        <w:rPr>
          <w:lang w:val="en_US" w:bidi="en_US"/>
        </w:rPr>
        <w:t xml:space="preserve"> is active. It may be more natural in your language to use an active expression. For example:</w:t>
      </w:r>
    </w:p>
    <w:p>
      <w:pPr/>
      <w:r>
        <w:rPr>
          <w:lang w:val="en_US" w:bidi="en_US"/>
        </w:rPr>
      </w:r>
      <w:r>
        <w:rPr>
          <w:lang w:val="en_US" w:bidi="en_US"/>
        </w:rPr>
        <w:t>The one…to whom he forgave more (RSV)</w:t>
      </w:r>
    </w:p>
    <w:p>
      <w:pPr/>
      <w:r>
        <w:rPr>
          <w:lang w:val="en_US" w:bidi="en_US"/>
        </w:rPr>
      </w:r>
      <w:r>
        <w:rPr>
          <w:lang w:val="en_US" w:bidi="en_US"/>
        </w:rPr>
        <w:t>Jesus was saying that the man who would love the lender most was the one to whom the lender forgave the bigger amount of money. Because the lender did not make the borrower pay the huge amount that he owed, he would feel much gratitude and love for the lender. Another way to say this is:</w:t>
      </w:r>
    </w:p>
    <w:p>
      <w:pPr/>
      <w:r>
        <w:rPr>
          <w:lang w:val="en_US" w:bidi="en_US"/>
        </w:rPr>
      </w:r>
      <w:r>
        <w:rPr>
          <w:lang w:val="en_US" w:bidi="en_US"/>
        </w:rPr>
        <w:t>the one for whom he canceled the larger debt (NLT)</w:t>
      </w:r>
    </w:p>
    <w:p>
      <w:pPr/>
      <w:r>
        <w:rPr>
          <w:lang w:val="en_US" w:bidi="en_US"/>
        </w:rPr>
      </w:r>
      <w:r>
        <w:rPr>
          <w:lang w:val="en_US" w:bidi="en_US"/>
        </w:rPr>
        <w:t>In this context Jesus compared “canceling debt” (in 7:43) with “forgiving sin” (in 7:47). It may be helpful to use the same verb for both actions, if that is natural in your language. For example:</w:t>
      </w:r>
    </w:p>
    <w:p>
      <w:pPr/>
      <w:r>
        <w:rPr>
          <w:lang w:val="en_US" w:bidi="en_US"/>
        </w:rPr>
      </w:r>
      <w:r>
        <w:rPr>
          <w:lang w:val="en_US" w:bidi="en_US"/>
        </w:rPr>
        <w:t xml:space="preserve">(7:43) the one who was </w:t>
      </w:r>
      <w:r>
        <w:rPr>
          <w:u w:val="single"/>
          <w:lang w:val="en_US" w:bidi="en_US"/>
        </w:rPr>
        <w:t>forgiven</w:t>
      </w:r>
      <w:r>
        <w:rPr>
          <w:lang w:val="en_US" w:bidi="en_US"/>
        </w:rPr>
        <w:t xml:space="preserve"> more (GNT)</w:t>
      </w:r>
    </w:p>
    <w:p>
      <w:pPr/>
      <w:r>
        <w:rPr>
          <w:lang w:val="en_US" w:bidi="en_US"/>
        </w:rPr>
      </w:r>
      <w:r>
        <w:rPr>
          <w:lang w:val="en_US" w:bidi="en_US"/>
        </w:rPr>
        <w:t xml:space="preserve">(7:47) her many sins have been </w:t>
      </w:r>
      <w:r>
        <w:rPr>
          <w:u w:val="single"/>
          <w:lang w:val="en_US" w:bidi="en_US"/>
        </w:rPr>
        <w:t>forgiven</w:t>
      </w:r>
      <w:r>
        <w:rPr>
          <w:lang w:val="en_US" w:bidi="en_US"/>
        </w:rPr>
        <w:t xml:space="preserve"> (GNT)</w:t>
      </w:r>
    </w:p>
    <w:p>
      <w:pPr/>
      <w:r>
        <w:rPr>
          <w:lang w:val="en_US" w:bidi="en_US"/>
        </w:rPr>
      </w:r>
      <w:r>
        <w:rPr>
          <w:lang w:val="en_US" w:bidi="en_US"/>
        </w:rPr>
        <w:t>If this is possible in your language, consider using that same word here and also in 7:42b, 7:47a, and 7:47c.</w:t>
      </w:r>
    </w:p>
    <w:p>
      <w:pPr>
        <w:pStyle w:val="Heading5"/>
      </w:pPr>
      <w:r>
        <w:rPr>
          <w:lang w:val="en_US" w:bidi="en_US"/>
        </w:rPr>
        <w:t>7:43b</w:t>
      </w:r>
    </w:p>
    <w:p>
      <w:pPr/>
      <w:r>
        <w:rPr>
          <w:lang w:val="en_US" w:bidi="en_US"/>
        </w:rPr>
      </w:r>
      <w:r>
        <w:rPr>
          <w:b/>
          <w:lang w:val="en_US" w:bidi="en_US"/>
        </w:rPr>
        <w:t>“You have judged correctly,” Jesus said.</w:t>
      </w:r>
    </w:p>
    <w:p>
      <w:pPr>
        <w:pStyle w:val="ListBullet"/>
        <w:spacing w:line="240" w:lineRule="auto"/>
        <w:ind w:left="720"/>
      </w:pPr>
      <w:r>
        <w:rPr>
          <w:lang w:val="en_US" w:bidi="en_US"/>
        </w:rPr>
      </w:r>
      <w:r>
        <w:rPr>
          <w:lang w:val="en_US" w:bidi="en_US"/>
        </w:rPr>
        <w:t>Jesus said, “You are right.”</w:t>
      </w:r>
    </w:p>
    <w:p>
      <w:pPr>
        <w:pStyle w:val="ListBullet"/>
        <w:spacing w:line="240" w:lineRule="auto"/>
        <w:ind w:left="720"/>
      </w:pPr>
      <w:r>
        <w:rPr>
          <w:lang w:val="en_US" w:bidi="en_US"/>
        </w:rPr>
      </w:r>
      <w:r>
        <w:rPr>
          <w:lang w:val="en_US" w:bidi="en_US"/>
        </w:rPr>
        <w:t xml:space="preserve">Jesus replied </w:t>
      </w:r>
      <w:r>
        <w:rPr>
          <w:lang w:val="en_US" w:bidi="en_US"/>
        </w:rPr>
        <w:t>to Simon</w:t>
      </w:r>
      <w:r>
        <w:rPr>
          <w:lang w:val="en_US" w:bidi="en_US"/>
        </w:rPr>
        <w:t>, “You have given the correct answer.”</w:t>
      </w:r>
    </w:p>
    <w:p>
      <w:pPr/>
      <w:r>
        <w:rPr>
          <w:lang w:val="en_US" w:bidi="en_US"/>
        </w:rPr>
      </w:r>
      <w:r>
        <w:rPr>
          <w:b/>
          <w:lang w:val="en_US" w:bidi="en_US"/>
        </w:rPr>
        <w:t>You have judged correctly:</w:t>
      </w:r>
      <w:r>
        <w:rPr>
          <w:lang w:val="en_US" w:bidi="en_US"/>
        </w:rPr>
        <w:t xml:space="preserve"> Jesus was saying here that the Pharisee had given the right answer. Other ways to say this are:</w:t>
      </w:r>
    </w:p>
    <w:p>
      <w:pPr/>
      <w:r>
        <w:rPr>
          <w:lang w:val="en_US" w:bidi="en_US"/>
        </w:rPr>
      </w:r>
      <w:r>
        <w:rPr>
          <w:lang w:val="en_US" w:bidi="en_US"/>
        </w:rPr>
        <w:t>You are right (CEV)</w:t>
      </w:r>
    </w:p>
    <w:p>
      <w:pPr/>
      <w:r>
        <w:rPr>
          <w:lang w:val="en_US" w:bidi="en_US"/>
        </w:rPr>
      </w:r>
      <w:r>
        <w:rPr>
          <w:lang w:val="en_US" w:bidi="en_US"/>
        </w:rPr>
        <w:t>Your answer is correct</w:t>
      </w:r>
    </w:p>
    <w:p>
      <w:pPr/>
      <w:r>
        <w:rPr>
          <w:lang w:val="en_US" w:bidi="en_US"/>
        </w:rPr>
      </w:r>
      <w:r>
        <w:rPr>
          <w:b/>
          <w:lang w:val="en_US" w:bidi="en_US"/>
        </w:rPr>
        <w:t>Jesus said:</w:t>
      </w:r>
      <w:r>
        <w:rPr>
          <w:lang w:val="en_US" w:bidi="en_US"/>
        </w:rPr>
        <w:t xml:space="preserve"> In Greek the phrase that the BSB translates as </w:t>
      </w:r>
      <w:r>
        <w:rPr>
          <w:i/>
          <w:lang w:val="en_US" w:bidi="en_US"/>
        </w:rPr>
        <w:t>Jesus said</w:t>
      </w:r>
      <w:r>
        <w:rPr>
          <w:lang w:val="en_US" w:bidi="en_US"/>
        </w:rPr>
        <w:t xml:space="preserve"> and puts at the end of the sentence comes at the beginning of the sentence. It is literally, “And he said to him.” Another way to translate this is:</w:t>
      </w:r>
    </w:p>
    <w:p>
      <w:pPr/>
      <w:r>
        <w:rPr>
          <w:lang w:val="en_US" w:bidi="en_US"/>
        </w:rPr>
      </w:r>
      <w:r>
        <w:rPr>
          <w:lang w:val="en_US" w:bidi="en_US"/>
        </w:rPr>
        <w:t>Jesus said to Simon (NCV)</w:t>
      </w:r>
    </w:p>
    <w:p>
      <w:pPr/>
      <w:r>
        <w:rPr>
          <w:lang w:val="en_US" w:bidi="en_US"/>
        </w:rPr>
      </w:r>
      <w:r>
        <w:rPr>
          <w:lang w:val="en_US" w:bidi="en_US"/>
        </w:rPr>
        <w:t>Place this phrase where it is natural in your language.</w:t>
      </w:r>
      <w:r>
        <w:rPr>
          <w:lang w:val="en_US" w:bidi="en_US"/>
        </w:rPr>
      </w:r>
      <w:r>
        <w:rPr>
          <w:lang w:val="en_US" w:bidi="en_US"/>
        </w:rPr>
      </w:r>
    </w:p>
    <w:p>
      <w:pPr/>
      <w:r>
        <w:rPr>
          <w:lang w:val="en_US" w:bidi="en_US"/>
        </w:rPr>
      </w:r>
    </w:p>
    <w:p>
      <w:pPr>
        <w:pStyle w:val="Heading2"/>
      </w:pPr>
      <w:r>
        <w:rPr>
          <w:lang w:val="en_US" w:bidi="en_US"/>
        </w:rPr>
        <w:t>Luke 7:44</w:t>
      </w:r>
      <w:r>
        <w:rPr>
          <w:lang w:val="en_US" w:bidi="en_US"/>
        </w:rPr>
      </w:r>
    </w:p>
    <w:p>
      <w:pPr>
        <w:pStyle w:val="Heading4"/>
      </w:pPr>
      <w:r>
        <w:rPr>
          <w:lang w:val="en_US" w:bidi="en_US"/>
        </w:rPr>
        <w:t>Section 7:36–50: Jesus forgave a woman’s sins and taught a Pharisee about love</w:t>
      </w:r>
    </w:p>
    <w:p>
      <w:pPr/>
      <w:r>
        <w:rPr>
          <w:lang w:val="en_US" w:bidi="en_US"/>
        </w:rPr>
      </w:r>
      <w:r>
        <w:rPr>
          <w:lang w:val="en_US" w:bidi="en_US"/>
        </w:rP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pPr/>
      <w:r>
        <w:rPr>
          <w:lang w:val="en_US" w:bidi="en_US"/>
        </w:rPr>
      </w:r>
      <w:r>
        <w:rPr>
          <w:lang w:val="en_US" w:bidi="en_US"/>
        </w:rP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pPr/>
      <w:r>
        <w:rPr>
          <w:lang w:val="en_US" w:bidi="en_US"/>
        </w:rPr>
      </w:r>
      <w:r>
        <w:rPr>
          <w:lang w:val="en_US" w:bidi="en_US"/>
        </w:rPr>
        <w:t>Certain Jewish customs help to explain some of the actions in this story:</w:t>
      </w:r>
    </w:p>
    <w:p>
      <w:pPr>
        <w:pStyle w:val="ListNumber"/>
        <w:numPr>
          <w:ilvl w:val="0"/>
          <w:numId w:val="162"/>
        </w:numPr>
        <w:spacing w:line="240" w:lineRule="auto"/>
        <w:ind w:left="720"/>
      </w:pPr>
      <w:r>
        <w:rPr>
          <w:lang w:val="en_US" w:bidi="en_US"/>
        </w:rPr>
      </w:r>
      <w:r>
        <w:rPr>
          <w:lang w:val="en_US" w:bidi="en_US"/>
        </w:rP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Pr>
          <w:lang w:val="en_US" w:bidi="en_US"/>
        </w:rPr>
      </w:r>
      <w:r>
        <w:rPr>
          <w:lang w:val="en_US" w:bidi="en_US"/>
        </w:rP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Pr>
          <w:lang w:val="en_US" w:bidi="en_US"/>
        </w:rPr>
      </w:r>
      <w:r>
        <w:rPr>
          <w:lang w:val="en_US" w:bidi="en_US"/>
        </w:rPr>
        <w:t>Often a slave washed the feet of the guests. People considered feet to be dirty. When the woman washed Jesus’ feet and kissed them, she humbled herself and honored Jesus.</w:t>
      </w:r>
    </w:p>
    <w:p>
      <w:pPr/>
      <w:r>
        <w:rPr>
          <w:lang w:val="en_US" w:bidi="en_US"/>
        </w:rPr>
      </w:r>
      <w:r>
        <w:rPr>
          <w:lang w:val="en_US" w:bidi="en_US"/>
        </w:rPr>
        <w:t>This section is not explicitly connected to the preceding one, but it does illustrate some of the statements in 7:29–35. The woman was a person who “acknowledged God’s justice” (7:29). Simon the Pharisee was one of those who “rejected God’s purpose for themselves” (7:30).</w:t>
      </w:r>
    </w:p>
    <w:p>
      <w:pPr/>
      <w:r>
        <w:rPr>
          <w:lang w:val="en_US" w:bidi="en_US"/>
        </w:rPr>
      </w:r>
      <w:r>
        <w:rPr>
          <w:lang w:val="en_US" w:bidi="en_US"/>
        </w:rPr>
        <w:t>Some other possible headings for this section are:</w:t>
      </w:r>
    </w:p>
    <w:p>
      <w:pPr/>
      <w:r>
        <w:rPr>
          <w:lang w:val="en_US" w:bidi="en_US"/>
        </w:rPr>
      </w:r>
      <w:r>
        <w:rPr>
          <w:lang w:val="en_US" w:bidi="en_US"/>
        </w:rPr>
        <w:t>A sinful woman washes Jesus’ feet at the home of a Pharisee named Simon</w:t>
      </w:r>
    </w:p>
    <w:p>
      <w:pPr/>
      <w:r>
        <w:rPr>
          <w:lang w:val="en_US" w:bidi="en_US"/>
        </w:rPr>
      </w:r>
      <w:r>
        <w:rPr>
          <w:lang w:val="en_US" w:bidi="en_US"/>
        </w:rPr>
        <w:t>Jesus compares a Pharisee and a sinful woman</w:t>
      </w:r>
    </w:p>
    <w:p>
      <w:pPr>
        <w:pStyle w:val="Heading4"/>
      </w:pPr>
      <w:r>
        <w:rPr>
          <w:lang w:val="en_US" w:bidi="en_US"/>
        </w:rPr>
        <w:t>Paragraph 7:44–47</w:t>
      </w:r>
    </w:p>
    <w:p>
      <w:pPr/>
      <w:r>
        <w:rPr>
          <w:lang w:val="en_US" w:bidi="en_US"/>
        </w:rPr>
      </w:r>
      <w:r>
        <w:rPr>
          <w:lang w:val="en_US" w:bidi="en_US"/>
        </w:rPr>
        <w:t>In this paragraph Jesus compared debts to sins. He also implied that the woman was like the man in the story who owed much money. Jesus was like the lender. The lender forgave the man his debt, and Jesus forgave the woman’s sins. The woman loved Jesus very much because he had forgiven her for many sins. Simon was like the man who borrowed only a little money. He did not love Jesus as much, because he thought that he did not need much forgiveness from Jesus.</w:t>
      </w:r>
    </w:p>
    <w:p>
      <w:pPr>
        <w:pStyle w:val="Heading5"/>
      </w:pPr>
      <w:r>
        <w:rPr>
          <w:lang w:val="en_US" w:bidi="en_US"/>
        </w:rPr>
        <w:t>7:44a</w:t>
      </w:r>
    </w:p>
    <w:p>
      <w:pPr/>
      <w:r>
        <w:rPr>
          <w:lang w:val="en_US" w:bidi="en_US"/>
        </w:rPr>
      </w:r>
      <w:r>
        <w:rPr>
          <w:b/>
          <w:lang w:val="en_US" w:bidi="en_US"/>
        </w:rPr>
        <w:t>And turning toward the woman, He said to Simon, “Do you see this woman?</w:t>
      </w:r>
    </w:p>
    <w:p>
      <w:pPr>
        <w:pStyle w:val="ListBullet"/>
        <w:spacing w:line="240" w:lineRule="auto"/>
        <w:ind w:left="720"/>
      </w:pPr>
      <w:r>
        <w:rPr>
          <w:lang w:val="en_US" w:bidi="en_US"/>
        </w:rPr>
      </w:r>
      <w:r>
        <w:rPr>
          <w:lang w:val="en_US" w:bidi="en_US"/>
        </w:rPr>
        <w:t xml:space="preserve">¶ Then Jesus turned to the woman and said to Simon, “Do you see </w:t>
      </w:r>
      <w:r>
        <w:rPr>
          <w:lang w:val="en_US" w:bidi="en_US"/>
        </w:rPr>
        <w:t>what</w:t>
      </w:r>
      <w:r>
        <w:rPr>
          <w:lang w:val="en_US" w:bidi="en_US"/>
        </w:rPr>
        <w:t xml:space="preserve"> this woman </w:t>
      </w:r>
      <w:r>
        <w:rPr>
          <w:lang w:val="en_US" w:bidi="en_US"/>
        </w:rPr>
        <w:t>has done</w:t>
      </w:r>
      <w:r>
        <w:rPr>
          <w:lang w:val="en_US" w:bidi="en_US"/>
        </w:rPr>
        <w:t>?</w:t>
      </w:r>
    </w:p>
    <w:p>
      <w:pPr>
        <w:pStyle w:val="ListBullet"/>
        <w:spacing w:line="240" w:lineRule="auto"/>
        <w:ind w:left="720"/>
      </w:pPr>
      <w:r>
        <w:rPr>
          <w:lang w:val="en_US" w:bidi="en_US"/>
        </w:rPr>
      </w:r>
      <w:r>
        <w:rPr>
          <w:lang w:val="en_US" w:bidi="en_US"/>
        </w:rPr>
        <w:t>¶ Then Jesus looked at the woman as he said to Simon, “Consider this woman</w:t>
      </w:r>
    </w:p>
    <w:p>
      <w:pPr/>
      <w:r>
        <w:rPr>
          <w:lang w:val="en_US" w:bidi="en_US"/>
        </w:rPr>
      </w:r>
      <w:r>
        <w:rPr>
          <w:b/>
          <w:lang w:val="en_US" w:bidi="en_US"/>
        </w:rPr>
        <w:t>And turning toward the woman, He said to Simon:</w:t>
      </w:r>
      <w:r>
        <w:rPr>
          <w:lang w:val="en_US" w:bidi="en_US"/>
        </w:rPr>
        <w:t xml:space="preserve"> Jesus turned to look at the woman who had come and anointed him. He was looking at the woman while he spoke to Simon about her.</w:t>
      </w:r>
    </w:p>
    <w:p>
      <w:pPr/>
      <w:r>
        <w:rPr>
          <w:lang w:val="en_US" w:bidi="en_US"/>
        </w:rPr>
      </w:r>
      <w:r>
        <w:rPr>
          <w:b/>
          <w:lang w:val="en_US" w:bidi="en_US"/>
        </w:rPr>
        <w:t>Do you see this woman?:</w:t>
      </w:r>
      <w:r>
        <w:rPr>
          <w:lang w:val="en_US" w:bidi="en_US"/>
        </w:rPr>
        <w:t xml:space="preserve"> This is a rhetorical question. Jesus did not expect an answer. He was directing Simon’s attention toward the woman and asking him to consider her actions. So there are two ways to translate this:</w:t>
      </w:r>
    </w:p>
    <w:p>
      <w:pPr>
        <w:pStyle w:val="ListBullet"/>
        <w:spacing w:line="240" w:lineRule="auto"/>
        <w:ind w:left="720"/>
      </w:pPr>
      <w:r>
        <w:rPr>
          <w:lang w:val="en_US" w:bidi="en_US"/>
        </w:rPr>
      </w:r>
      <w:r>
        <w:rPr>
          <w:lang w:val="en_US" w:bidi="en_US"/>
        </w:rPr>
        <w:t>As a question. For example:</w:t>
      </w:r>
      <w:r>
        <w:rPr>
          <w:lang w:val="en_US" w:bidi="en_US"/>
        </w:rPr>
        <w:t>Have you noticed this woman? (CEV)</w:t>
      </w:r>
      <w:r>
        <w:rPr>
          <w:lang w:val="en_US" w:bidi="en_US"/>
        </w:rPr>
        <w:t>Do you see what this woman has done?</w:t>
      </w:r>
    </w:p>
    <w:p>
      <w:pPr>
        <w:pStyle w:val="ListBullet"/>
        <w:spacing w:line="240" w:lineRule="auto"/>
        <w:ind w:left="720"/>
      </w:pPr>
      <w:r>
        <w:rPr>
          <w:lang w:val="en_US" w:bidi="en_US"/>
        </w:rPr>
      </w:r>
      <w:r>
        <w:rPr>
          <w:lang w:val="en_US" w:bidi="en_US"/>
        </w:rPr>
        <w:t>As a polite command. For example:</w:t>
      </w:r>
      <w:r>
        <w:rPr>
          <w:lang w:val="en_US" w:bidi="en_US"/>
        </w:rPr>
        <w:t>Think about what this woman has just done.</w:t>
      </w:r>
      <w:r>
        <w:rPr>
          <w:lang w:val="en_US" w:bidi="en_US"/>
        </w:rPr>
        <w:t>Look at this woman kneeling here. (NLT)</w:t>
      </w:r>
    </w:p>
    <w:p>
      <w:pPr>
        <w:pStyle w:val="Heading5"/>
      </w:pPr>
      <w:r>
        <w:rPr>
          <w:lang w:val="en_US" w:bidi="en_US"/>
        </w:rPr>
        <w:t>7:44b</w:t>
      </w:r>
    </w:p>
    <w:p>
      <w:pPr/>
      <w:r>
        <w:rPr>
          <w:lang w:val="en_US" w:bidi="en_US"/>
        </w:rPr>
      </w:r>
      <w:r>
        <w:rPr>
          <w:b/>
          <w:lang w:val="en_US" w:bidi="en_US"/>
        </w:rPr>
        <w:t>When I entered your house,</w:t>
      </w:r>
    </w:p>
    <w:p>
      <w:pPr>
        <w:pStyle w:val="ListBullet"/>
        <w:spacing w:line="240" w:lineRule="auto"/>
        <w:ind w:left="720"/>
      </w:pPr>
      <w:r>
        <w:rPr>
          <w:lang w:val="en_US" w:bidi="en_US"/>
        </w:rPr>
      </w:r>
      <w:r>
        <w:rPr>
          <w:lang w:val="en_US" w:bidi="en_US"/>
        </w:rPr>
        <w:t>When</w:t>
      </w:r>
      <w:r>
        <w:rPr>
          <w:lang w:val="en_US" w:bidi="en_US"/>
        </w:rPr>
        <w:t xml:space="preserve"> I came into your</w:t>
      </w:r>
      <w:r>
        <w:rPr>
          <w:vertAlign w:val="superscript"/>
          <w:lang w:val="en_US" w:bidi="en_US"/>
        </w:rPr>
        <w:t>(sing)</w:t>
      </w:r>
      <w:r>
        <w:rPr>
          <w:lang w:val="en_US" w:bidi="en_US"/>
        </w:rPr>
        <w:t xml:space="preserve"> house,</w:t>
      </w:r>
    </w:p>
    <w:p>
      <w:pPr>
        <w:pStyle w:val="ListBullet"/>
        <w:spacing w:line="240" w:lineRule="auto"/>
        <w:ind w:left="720"/>
      </w:pPr>
      <w:r>
        <w:rPr>
          <w:lang w:val="en_US" w:bidi="en_US"/>
        </w:rPr>
      </w:r>
      <w:r>
        <w:rPr>
          <w:lang w:val="en_US" w:bidi="en_US"/>
        </w:rPr>
        <w:t>and think about yourself</w:t>
      </w:r>
      <w:r>
        <w:rPr>
          <w:lang w:val="en_US" w:bidi="en_US"/>
        </w:rPr>
        <w:t xml:space="preserve">. It is your house that I entered </w:t>
      </w:r>
      <w:r>
        <w:rPr>
          <w:lang w:val="en_US" w:bidi="en_US"/>
        </w:rPr>
        <w:t>as a guest</w:t>
      </w:r>
      <w:r>
        <w:rPr>
          <w:lang w:val="en_US" w:bidi="en_US"/>
        </w:rPr>
        <w:t>.</w:t>
      </w:r>
    </w:p>
    <w:p>
      <w:pPr/>
      <w:r>
        <w:rPr>
          <w:lang w:val="en_US" w:bidi="en_US"/>
        </w:rPr>
      </w:r>
      <w:r>
        <w:rPr>
          <w:lang w:val="en_US" w:bidi="en_US"/>
        </w:rPr>
        <w:t>In 7:44a Jesus directed Simon’s attention toward the woman, and he seemed ready to speak to Simon about her. However, here in 7:44b Jesus first spoke about how Simon had treated him. If this is confusing in your language, consider whether you may need more transition. For example:</w:t>
      </w:r>
    </w:p>
    <w:p>
      <w:pPr/>
      <w:r>
        <w:rPr>
          <w:lang w:val="en_US" w:bidi="en_US"/>
        </w:rPr>
      </w:r>
      <w:r>
        <w:rPr>
          <w:vertAlign w:val="superscript"/>
          <w:lang w:val="en_US" w:bidi="en_US"/>
        </w:rPr>
        <w:t>44a</w:t>
      </w:r>
      <w:r>
        <w:rPr>
          <w:lang w:val="en_US" w:bidi="en_US"/>
        </w:rPr>
        <w:t xml:space="preserve">Consider this woman </w:t>
      </w:r>
      <w:r>
        <w:rPr>
          <w:vertAlign w:val="superscript"/>
          <w:lang w:val="en_US" w:bidi="en_US"/>
        </w:rPr>
        <w:t>44b</w:t>
      </w:r>
      <w:r>
        <w:rPr>
          <w:lang w:val="en_US" w:bidi="en_US"/>
        </w:rPr>
        <w:t>and think about yourself</w:t>
      </w:r>
    </w:p>
    <w:p>
      <w:pPr/>
      <w:r>
        <w:rPr>
          <w:lang w:val="en_US" w:bidi="en_US"/>
        </w:rPr>
      </w:r>
      <w:r>
        <w:rPr>
          <w:vertAlign w:val="superscript"/>
          <w:lang w:val="en_US" w:bidi="en_US"/>
        </w:rPr>
        <w:t>44a</w:t>
      </w:r>
      <w:r>
        <w:rPr>
          <w:lang w:val="en_US" w:bidi="en_US"/>
        </w:rPr>
        <w:t xml:space="preserve">Do you see this woman? </w:t>
      </w:r>
      <w:r>
        <w:rPr>
          <w:vertAlign w:val="superscript"/>
          <w:lang w:val="en_US" w:bidi="en_US"/>
        </w:rPr>
        <w:t>44b</w:t>
      </w:r>
      <w:r>
        <w:rPr>
          <w:lang w:val="en_US" w:bidi="en_US"/>
        </w:rPr>
        <w:t>In contrast to her</w:t>
      </w:r>
    </w:p>
    <w:p>
      <w:pPr/>
      <w:r>
        <w:rPr>
          <w:lang w:val="en_US" w:bidi="en_US"/>
        </w:rPr>
      </w:r>
      <w:r>
        <w:rPr>
          <w:b/>
          <w:lang w:val="en_US" w:bidi="en_US"/>
        </w:rPr>
        <w:t>When I entered your house:</w:t>
      </w:r>
      <w:r>
        <w:rPr>
          <w:lang w:val="en_US" w:bidi="en_US"/>
        </w:rPr>
        <w:t xml:space="preserve"> The phrase </w:t>
      </w:r>
      <w:r>
        <w:rPr>
          <w:i/>
          <w:lang w:val="en_US" w:bidi="en_US"/>
        </w:rPr>
        <w:t>When I entered your house</w:t>
      </w:r>
      <w:r>
        <w:rPr>
          <w:lang w:val="en_US" w:bidi="en_US"/>
        </w:rPr>
        <w:t xml:space="preserve"> implies that Jesus came as a guest to the Pharisee’s house. In Jewish culture it was important for a host to be very polite to a guest. In some languages there may be an idiom that fits here. For example:</w:t>
      </w:r>
    </w:p>
    <w:p>
      <w:pPr/>
      <w:r>
        <w:rPr>
          <w:lang w:val="en_US" w:bidi="en_US"/>
        </w:rPr>
      </w:r>
      <w:r>
        <w:rPr>
          <w:lang w:val="en_US" w:bidi="en_US"/>
        </w:rPr>
        <w:t>I came under your roof as your guest.</w:t>
      </w:r>
    </w:p>
    <w:p>
      <w:pPr/>
      <w:r>
        <w:rPr>
          <w:lang w:val="en_US" w:bidi="en_US"/>
        </w:rPr>
      </w:r>
      <w:r>
        <w:rPr>
          <w:lang w:val="en_US" w:bidi="en_US"/>
        </w:rPr>
        <w:t xml:space="preserve">In the Greek text, the word that the BSB translates as </w:t>
      </w:r>
      <w:r>
        <w:rPr>
          <w:i/>
          <w:lang w:val="en_US" w:bidi="en_US"/>
        </w:rPr>
        <w:t>your</w:t>
      </w:r>
      <w:r>
        <w:rPr>
          <w:lang w:val="en_US" w:bidi="en_US"/>
        </w:rPr>
        <w:t xml:space="preserve"> is emphatic. If you have a way to emphasize this word in your language, consider doing that here. Some examples from English are:</w:t>
      </w:r>
    </w:p>
    <w:p>
      <w:pPr/>
      <w:r>
        <w:rPr>
          <w:lang w:val="en_US" w:bidi="en_US"/>
        </w:rPr>
      </w:r>
      <w:r>
        <w:rPr>
          <w:lang w:val="en_US" w:bidi="en_US"/>
        </w:rPr>
        <w:t>It is your house that I came into.</w:t>
      </w:r>
    </w:p>
    <w:p>
      <w:pPr/>
      <w:r>
        <w:rPr>
          <w:lang w:val="en_US" w:bidi="en_US"/>
        </w:rPr>
      </w:r>
      <w:r>
        <w:rPr>
          <w:lang w:val="en_US" w:bidi="en_US"/>
        </w:rPr>
        <w:t xml:space="preserve">You </w:t>
      </w:r>
      <w:r>
        <w:rPr>
          <w:lang w:val="en_US" w:bidi="en_US"/>
        </w:rPr>
        <w:t>are the one</w:t>
      </w:r>
      <w:r>
        <w:rPr>
          <w:lang w:val="en_US" w:bidi="en_US"/>
        </w:rPr>
        <w:t xml:space="preserve"> who invited me to your home.</w:t>
      </w:r>
    </w:p>
    <w:p>
      <w:pPr/>
      <w:r>
        <w:rPr>
          <w:lang w:val="en_US" w:bidi="en_US"/>
        </w:rPr>
      </w:r>
      <w:r>
        <w:rPr>
          <w:lang w:val="en_US" w:bidi="en_US"/>
        </w:rPr>
        <w:t>As for you, you are my host, and I am here in your home.</w:t>
      </w:r>
    </w:p>
    <w:p>
      <w:pPr>
        <w:pStyle w:val="Heading5"/>
      </w:pPr>
      <w:r>
        <w:rPr>
          <w:lang w:val="en_US" w:bidi="en_US"/>
        </w:rPr>
        <w:t>7:44c</w:t>
      </w:r>
    </w:p>
    <w:p>
      <w:pPr/>
      <w:r>
        <w:rPr>
          <w:lang w:val="en_US" w:bidi="en_US"/>
        </w:rPr>
      </w:r>
      <w:r>
        <w:rPr>
          <w:b/>
          <w:lang w:val="en_US" w:bidi="en_US"/>
        </w:rPr>
        <w:t>you did not give Me water for My feet,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did not give me water </w:t>
      </w:r>
      <w:r>
        <w:rPr>
          <w:lang w:val="en_US" w:bidi="en_US"/>
        </w:rPr>
        <w:t>to wash</w:t>
      </w:r>
      <w:r>
        <w:rPr>
          <w:lang w:val="en_US" w:bidi="en_US"/>
        </w:rPr>
        <w:t xml:space="preserve"> my feet,</w:t>
      </w:r>
    </w:p>
    <w:p>
      <w:pPr>
        <w:pStyle w:val="ListBullet"/>
        <w:spacing w:line="240" w:lineRule="auto"/>
        <w:ind w:left="720"/>
      </w:pPr>
      <w:r>
        <w:rPr>
          <w:lang w:val="en_US" w:bidi="en_US"/>
        </w:rPr>
      </w:r>
      <w:r>
        <w:rPr>
          <w:lang w:val="en_US" w:bidi="en_US"/>
        </w:rPr>
        <w:t>But</w:t>
      </w:r>
      <w:r>
        <w:rPr>
          <w:lang w:val="en_US" w:bidi="en_US"/>
        </w:rPr>
        <w:t xml:space="preserve"> you</w:t>
      </w:r>
      <w:r>
        <w:rPr>
          <w:vertAlign w:val="superscript"/>
          <w:lang w:val="en_US" w:bidi="en_US"/>
        </w:rPr>
        <w:t>(sing)</w:t>
      </w:r>
      <w:r>
        <w:rPr>
          <w:lang w:val="en_US" w:bidi="en_US"/>
        </w:rPr>
        <w:t xml:space="preserve"> did not </w:t>
      </w:r>
      <w:r>
        <w:rPr>
          <w:lang w:val="en_US" w:bidi="en_US"/>
        </w:rPr>
        <w:t>honor me by providing</w:t>
      </w:r>
      <w:r>
        <w:rPr>
          <w:lang w:val="en_US" w:bidi="en_US"/>
        </w:rPr>
        <w:t xml:space="preserve"> water </w:t>
      </w:r>
      <w:r>
        <w:rPr>
          <w:lang w:val="en_US" w:bidi="en_US"/>
        </w:rPr>
        <w:t>so I could wash</w:t>
      </w:r>
      <w:r>
        <w:rPr>
          <w:lang w:val="en_US" w:bidi="en_US"/>
        </w:rPr>
        <w:t xml:space="preserve"> my feet.</w:t>
      </w:r>
    </w:p>
    <w:p>
      <w:pPr/>
      <w:r>
        <w:rPr>
          <w:lang w:val="en_US" w:bidi="en_US"/>
        </w:rPr>
      </w:r>
      <w:r>
        <w:rPr>
          <w:b/>
          <w:lang w:val="en_US" w:bidi="en_US"/>
        </w:rPr>
        <w:t>you did not give Me water for My feet:</w:t>
      </w:r>
      <w:r>
        <w:rPr>
          <w:lang w:val="en_US" w:bidi="en_US"/>
        </w:rPr>
        <w:t xml:space="preserve"> It was a common Jewish custom to give a guest a bowl or basin of water so that he could wash the dust off his feet.</w:t>
      </w:r>
      <w:r>
        <w:rPr>
          <w:lang w:val="en_US" w:bidi="en_US"/>
        </w:rPr>
        <w:t xml:space="preserve">This custom was especially appropriate if a guest had been traveling and so would have dusty feet. There is debate in the commentaries concerning whether such an act was a necessary or required act of hospitality. A number of commentators (see Alford, Bock, Fitzmyer, Marshall, Nolland, and Stein) follow two German sources (Heinz Schürmann’s </w:t>
      </w:r>
      <w:r>
        <w:rPr>
          <w:i/>
          <w:lang w:val="en_US" w:bidi="en_US"/>
        </w:rPr>
        <w:t>Das Lukasevangelium 1.1–9:50</w:t>
      </w:r>
      <w:r>
        <w:rPr>
          <w:lang w:val="en_US" w:bidi="en_US"/>
        </w:rPr>
        <w:t xml:space="preserve"> and Strack and Billerbeck’s </w:t>
      </w:r>
      <w:r>
        <w:rPr>
          <w:i/>
          <w:lang w:val="en_US" w:bidi="en_US"/>
        </w:rPr>
        <w:t>Kommentar zum Neuen Testament aus Talmud und Midrasch</w:t>
      </w:r>
      <w:r>
        <w:rPr>
          <w:lang w:val="en_US" w:bidi="en_US"/>
        </w:rPr>
        <w:t>) that suggest that providing for washing the feet of guests was not required or universally practiced. If this was the case, Simon was not quite improper or rude, though he certainly missed this normal opportunity to show honor or love to his guest. Other commentators (Arndt, Bailey, Keener) favor the view that water for the feet was a required part of hospitality. For example, Bailey says “the failings of the host are glaring omissions…. It is clear that the accepted rituals of welcoming the guest are not merely overlooked in the telling of the story but have been callously omitted by a judgmental host” (</w:t>
      </w:r>
      <w:r>
        <w:rPr>
          <w:i/>
          <w:lang w:val="en_US" w:bidi="en_US"/>
        </w:rPr>
        <w:t>Through Peasant Eyes</w:t>
      </w:r>
      <w:r>
        <w:rPr>
          <w:lang w:val="en_US" w:bidi="en_US"/>
        </w:rPr>
        <w:t xml:space="preserve">, p. 5). The Notes take the position that even if the gestures of water for the feet, a kiss, and anointing were not </w:t>
      </w:r>
      <w:r>
        <w:rPr>
          <w:u w:val="single"/>
          <w:lang w:val="en_US" w:bidi="en_US"/>
        </w:rPr>
        <w:t>required</w:t>
      </w:r>
      <w:r>
        <w:rPr>
          <w:lang w:val="en_US" w:bidi="en_US"/>
        </w:rPr>
        <w:t>, they would have been customary in greeting a special guest of honor such as a traveling rabbi.</w:t>
      </w:r>
      <w:r>
        <w:rPr>
          <w:lang w:val="en_US" w:bidi="en_US"/>
        </w:rPr>
        <w:t xml:space="preserve"> In the homes of rich people, the servants would wash the feet of the guests, especially the guest whom they were honoring. However, Simon did not give Jesus water to wash his feet, and he did not provide a servant to wash them.</w:t>
      </w:r>
    </w:p>
    <w:p>
      <w:pPr/>
      <w:r>
        <w:rPr>
          <w:lang w:val="en_US" w:bidi="en_US"/>
        </w:rPr>
      </w:r>
      <w:r>
        <w:rPr>
          <w:lang w:val="en_US" w:bidi="en_US"/>
        </w:rPr>
        <w:t>If it is not a custom in your culture to provide water to wash a guest’s feet, you may want to explain this custom in a footnote. For example:</w:t>
      </w:r>
    </w:p>
    <w:p>
      <w:pPr/>
      <w:r>
        <w:rPr>
          <w:lang w:val="en_US" w:bidi="en_US"/>
        </w:rPr>
      </w:r>
      <w:r>
        <w:rPr>
          <w:lang w:val="en_US" w:bidi="en_US"/>
        </w:rPr>
        <w:t>In Jewish culture, it was common to provide water for the guests to wash their feet. This was especially important if the guests had been walking on dusty roads.</w:t>
      </w:r>
    </w:p>
    <w:p>
      <w:pPr>
        <w:pStyle w:val="Heading5"/>
      </w:pPr>
      <w:r>
        <w:rPr>
          <w:lang w:val="en_US" w:bidi="en_US"/>
        </w:rPr>
        <w:t>7:44d</w:t>
      </w:r>
    </w:p>
    <w:p>
      <w:pPr/>
      <w:r>
        <w:rPr>
          <w:lang w:val="en_US" w:bidi="en_US"/>
        </w:rPr>
      </w:r>
      <w:r>
        <w:rPr>
          <w:b/>
          <w:lang w:val="en_US" w:bidi="en_US"/>
        </w:rPr>
        <w:t>but she wet My feet with her tears and wiped them with her hair.</w:t>
      </w:r>
    </w:p>
    <w:p>
      <w:pPr>
        <w:pStyle w:val="ListBullet"/>
        <w:spacing w:line="240" w:lineRule="auto"/>
        <w:ind w:left="720"/>
      </w:pPr>
      <w:r>
        <w:rPr>
          <w:lang w:val="en_US" w:bidi="en_US"/>
        </w:rPr>
      </w:r>
      <w:r>
        <w:rPr>
          <w:lang w:val="en_US" w:bidi="en_US"/>
        </w:rPr>
        <w:t>yet this woman’s tears have wet my feet, and she has wiped them with her hair.</w:t>
      </w:r>
    </w:p>
    <w:p>
      <w:pPr>
        <w:pStyle w:val="ListBullet"/>
        <w:spacing w:line="240" w:lineRule="auto"/>
        <w:ind w:left="720"/>
      </w:pPr>
      <w:r>
        <w:rPr>
          <w:lang w:val="en_US" w:bidi="en_US"/>
        </w:rPr>
      </w:r>
      <w:r>
        <w:rPr>
          <w:lang w:val="en_US" w:bidi="en_US"/>
        </w:rPr>
        <w:t>But this woman has used her tears to wet my feet, and she has used her hair to dry them.</w:t>
      </w:r>
    </w:p>
    <w:p>
      <w:pPr/>
      <w:r>
        <w:rPr>
          <w:lang w:val="en_US" w:bidi="en_US"/>
        </w:rPr>
      </w:r>
      <w:r>
        <w:rPr>
          <w:b/>
          <w:lang w:val="en_US" w:bidi="en_US"/>
        </w:rPr>
        <w:t>but she wet My feet with her tears and wiped them with her hair:</w:t>
      </w:r>
      <w:r>
        <w:rPr>
          <w:lang w:val="en_US" w:bidi="en_US"/>
        </w:rPr>
        <w:t xml:space="preserve"> In contrast to Simon, the woman acted more humbly than a servant. A servant would have washed Jesus’ feet with water and dried them with a towel. The woman used her tears to wash his feet, and she used her hair to dry them.</w:t>
      </w:r>
    </w:p>
    <w:p>
      <w:pPr>
        <w:pStyle w:val="Heading6"/>
      </w:pPr>
      <w:r>
        <w:rPr>
          <w:b/>
          <w:lang w:val="en_US" w:bidi="en_US"/>
        </w:rPr>
        <w:t>General Comment on 7:44b–d</w:t>
      </w:r>
    </w:p>
    <w:p>
      <w:pPr/>
      <w:r>
        <w:rPr>
          <w:lang w:val="en_US" w:bidi="en_US"/>
        </w:rPr>
      </w:r>
      <w:r>
        <w:rPr>
          <w:b/>
          <w:lang w:val="en_US" w:bidi="en_US"/>
        </w:rPr>
        <w:t>When</w:t>
      </w:r>
      <w:r>
        <w:rPr>
          <w:lang w:val="en_US" w:bidi="en_US"/>
        </w:rPr>
        <w:t xml:space="preserve"> In the Greek text and in most English versions, no conjunctions are used to connect 7:44b and 7:44c. Consider how to connect them in your language. The BSB says </w:t>
      </w:r>
      <w:r>
        <w:rPr>
          <w:i/>
          <w:lang w:val="en_US" w:bidi="en_US"/>
        </w:rPr>
        <w:t>When</w:t>
      </w:r>
      <w:r>
        <w:rPr>
          <w:lang w:val="en_US" w:bidi="en_US"/>
        </w:rPr>
        <w:t>. Some further examples in English are:</w:t>
      </w:r>
    </w:p>
    <w:p>
      <w:pPr/>
      <w:r>
        <w:rPr>
          <w:lang w:val="en_US" w:bidi="en_US"/>
        </w:rPr>
      </w:r>
      <w:r>
        <w:rPr>
          <w:u w:val="single"/>
          <w:lang w:val="en_US" w:bidi="en_US"/>
        </w:rPr>
        <w:t>When</w:t>
      </w:r>
      <w:r>
        <w:rPr>
          <w:lang w:val="en_US" w:bidi="en_US"/>
        </w:rPr>
        <w:t xml:space="preserve"> I came into your house, you gave me no water… (NCV)</w:t>
      </w:r>
    </w:p>
    <w:p>
      <w:pPr/>
      <w:r>
        <w:rPr>
          <w:lang w:val="en_US" w:bidi="en_US"/>
        </w:rPr>
      </w:r>
      <w:r>
        <w:rPr>
          <w:lang w:val="en_US" w:bidi="en_US"/>
        </w:rPr>
        <w:t xml:space="preserve">I came into your home, </w:t>
      </w:r>
      <w:r>
        <w:rPr>
          <w:u w:val="single"/>
          <w:lang w:val="en_US" w:bidi="en_US"/>
        </w:rPr>
        <w:t>and</w:t>
      </w:r>
      <w:r>
        <w:rPr>
          <w:lang w:val="en_US" w:bidi="en_US"/>
        </w:rPr>
        <w:t xml:space="preserve"> you gave me no water… (GNT)</w:t>
      </w:r>
    </w:p>
    <w:p>
      <w:pPr/>
      <w:r>
        <w:rPr>
          <w:lang w:val="en_US" w:bidi="en_US"/>
        </w:rPr>
      </w:r>
      <w:r>
        <w:rPr>
          <w:lang w:val="en_US" w:bidi="en_US"/>
        </w:rPr>
        <w:t xml:space="preserve">I came into your house, </w:t>
      </w:r>
      <w:r>
        <w:rPr>
          <w:u w:val="single"/>
          <w:lang w:val="en_US" w:bidi="en_US"/>
        </w:rPr>
        <w:t>but</w:t>
      </w:r>
      <w:r>
        <w:rPr>
          <w:lang w:val="en_US" w:bidi="en_US"/>
        </w:rPr>
        <w:t xml:space="preserve"> you did not give me any water for my feet. Yet/however, she wet my feet…</w:t>
      </w:r>
      <w:r>
        <w:rPr>
          <w:lang w:val="en_US" w:bidi="en_US"/>
        </w:rPr>
      </w:r>
      <w:r>
        <w:rPr>
          <w:lang w:val="en_US" w:bidi="en_US"/>
        </w:rPr>
      </w:r>
    </w:p>
    <w:p>
      <w:pPr/>
      <w:r>
        <w:rPr>
          <w:lang w:val="en_US" w:bidi="en_US"/>
        </w:rPr>
      </w:r>
    </w:p>
    <w:p>
      <w:pPr>
        <w:pStyle w:val="Heading2"/>
      </w:pPr>
      <w:r>
        <w:rPr>
          <w:lang w:val="en_US" w:bidi="en_US"/>
        </w:rPr>
        <w:t>Luke 7:45</w:t>
      </w:r>
      <w:r>
        <w:rPr>
          <w:lang w:val="en_US" w:bidi="en_US"/>
        </w:rPr>
      </w:r>
    </w:p>
    <w:p>
      <w:pPr>
        <w:pStyle w:val="Heading4"/>
      </w:pPr>
      <w:r>
        <w:rPr>
          <w:lang w:val="en_US" w:bidi="en_US"/>
        </w:rPr>
        <w:t>Section 7:36–50: Jesus forgave a woman’s sins and taught a Pharisee about love</w:t>
      </w:r>
    </w:p>
    <w:p>
      <w:pPr/>
      <w:r>
        <w:rPr>
          <w:lang w:val="en_US" w:bidi="en_US"/>
        </w:rPr>
      </w:r>
      <w:r>
        <w:rPr>
          <w:lang w:val="en_US" w:bidi="en_US"/>
        </w:rP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pPr/>
      <w:r>
        <w:rPr>
          <w:lang w:val="en_US" w:bidi="en_US"/>
        </w:rPr>
      </w:r>
      <w:r>
        <w:rPr>
          <w:lang w:val="en_US" w:bidi="en_US"/>
        </w:rP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pPr/>
      <w:r>
        <w:rPr>
          <w:lang w:val="en_US" w:bidi="en_US"/>
        </w:rPr>
      </w:r>
      <w:r>
        <w:rPr>
          <w:lang w:val="en_US" w:bidi="en_US"/>
        </w:rPr>
        <w:t>Certain Jewish customs help to explain some of the actions in this story:</w:t>
      </w:r>
    </w:p>
    <w:p>
      <w:pPr>
        <w:pStyle w:val="ListNumber"/>
        <w:numPr>
          <w:ilvl w:val="0"/>
          <w:numId w:val="163"/>
        </w:numPr>
        <w:spacing w:line="240" w:lineRule="auto"/>
        <w:ind w:left="720"/>
      </w:pPr>
      <w:r>
        <w:rPr>
          <w:lang w:val="en_US" w:bidi="en_US"/>
        </w:rPr>
      </w:r>
      <w:r>
        <w:rPr>
          <w:lang w:val="en_US" w:bidi="en_US"/>
        </w:rP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Pr>
          <w:lang w:val="en_US" w:bidi="en_US"/>
        </w:rPr>
      </w:r>
      <w:r>
        <w:rPr>
          <w:lang w:val="en_US" w:bidi="en_US"/>
        </w:rP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Pr>
          <w:lang w:val="en_US" w:bidi="en_US"/>
        </w:rPr>
      </w:r>
      <w:r>
        <w:rPr>
          <w:lang w:val="en_US" w:bidi="en_US"/>
        </w:rPr>
        <w:t>Often a slave washed the feet of the guests. People considered feet to be dirty. When the woman washed Jesus’ feet and kissed them, she humbled herself and honored Jesus.</w:t>
      </w:r>
    </w:p>
    <w:p>
      <w:pPr/>
      <w:r>
        <w:rPr>
          <w:lang w:val="en_US" w:bidi="en_US"/>
        </w:rPr>
      </w:r>
      <w:r>
        <w:rPr>
          <w:lang w:val="en_US" w:bidi="en_US"/>
        </w:rPr>
        <w:t>This section is not explicitly connected to the preceding one, but it does illustrate some of the statements in 7:29–35. The woman was a person who “acknowledged God’s justice” (7:29). Simon the Pharisee was one of those who “rejected God’s purpose for themselves” (7:30).</w:t>
      </w:r>
    </w:p>
    <w:p>
      <w:pPr/>
      <w:r>
        <w:rPr>
          <w:lang w:val="en_US" w:bidi="en_US"/>
        </w:rPr>
      </w:r>
      <w:r>
        <w:rPr>
          <w:lang w:val="en_US" w:bidi="en_US"/>
        </w:rPr>
        <w:t>Some other possible headings for this section are:</w:t>
      </w:r>
    </w:p>
    <w:p>
      <w:pPr/>
      <w:r>
        <w:rPr>
          <w:lang w:val="en_US" w:bidi="en_US"/>
        </w:rPr>
      </w:r>
      <w:r>
        <w:rPr>
          <w:lang w:val="en_US" w:bidi="en_US"/>
        </w:rPr>
        <w:t>A sinful woman washes Jesus’ feet at the home of a Pharisee named Simon</w:t>
      </w:r>
    </w:p>
    <w:p>
      <w:pPr/>
      <w:r>
        <w:rPr>
          <w:lang w:val="en_US" w:bidi="en_US"/>
        </w:rPr>
      </w:r>
      <w:r>
        <w:rPr>
          <w:lang w:val="en_US" w:bidi="en_US"/>
        </w:rPr>
        <w:t>Jesus compares a Pharisee and a sinful woman</w:t>
      </w:r>
    </w:p>
    <w:p>
      <w:pPr>
        <w:pStyle w:val="Heading4"/>
      </w:pPr>
      <w:r>
        <w:rPr>
          <w:lang w:val="en_US" w:bidi="en_US"/>
        </w:rPr>
        <w:t>Paragraph 7:44–47</w:t>
      </w:r>
    </w:p>
    <w:p>
      <w:pPr/>
      <w:r>
        <w:rPr>
          <w:lang w:val="en_US" w:bidi="en_US"/>
        </w:rPr>
      </w:r>
      <w:r>
        <w:rPr>
          <w:lang w:val="en_US" w:bidi="en_US"/>
        </w:rPr>
        <w:t>In this paragraph Jesus compared debts to sins. He also implied that the woman was like the man in the story who owed much money. Jesus was like the lender. The lender forgave the man his debt, and Jesus forgave the woman’s sins. The woman loved Jesus very much because he had forgiven her for many sins. Simon was like the man who borrowed only a little money. He did not love Jesus as much, because he thought that he did not need much forgiveness from Jesus.</w:t>
      </w:r>
    </w:p>
    <w:p>
      <w:pPr>
        <w:pStyle w:val="Heading5"/>
      </w:pPr>
      <w:r>
        <w:rPr>
          <w:lang w:val="en_US" w:bidi="en_US"/>
        </w:rPr>
        <w:t>7:45a</w:t>
      </w:r>
    </w:p>
    <w:p>
      <w:pPr/>
      <w:r>
        <w:rPr>
          <w:lang w:val="en_US" w:bidi="en_US"/>
        </w:rPr>
      </w:r>
      <w:r>
        <w:rPr>
          <w:b/>
          <w:lang w:val="en_US" w:bidi="en_US"/>
        </w:rPr>
        <w:t>You did not greet Me with a kiss,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did not </w:t>
      </w:r>
      <w:r>
        <w:rPr>
          <w:lang w:val="en_US" w:bidi="en_US"/>
        </w:rPr>
        <w:t>welcome</w:t>
      </w:r>
      <w:r>
        <w:rPr>
          <w:lang w:val="en_US" w:bidi="en_US"/>
        </w:rPr>
        <w:t xml:space="preserve"> me with </w:t>
      </w:r>
      <w:r>
        <w:rPr>
          <w:lang w:val="en_US" w:bidi="en_US"/>
        </w:rPr>
        <w:t>the customary</w:t>
      </w:r>
      <w:r>
        <w:rPr>
          <w:lang w:val="en_US" w:bidi="en_US"/>
        </w:rPr>
        <w:t xml:space="preserve"> kiss.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did not </w:t>
      </w:r>
      <w:r>
        <w:rPr>
          <w:lang w:val="en_US" w:bidi="en_US"/>
        </w:rPr>
        <w:t>give me</w:t>
      </w:r>
      <w:r>
        <w:rPr>
          <w:lang w:val="en_US" w:bidi="en_US"/>
        </w:rPr>
        <w:t xml:space="preserve"> a kiss </w:t>
      </w:r>
      <w:r>
        <w:rPr>
          <w:lang w:val="en_US" w:bidi="en_US"/>
        </w:rPr>
        <w:t>of greeting</w:t>
      </w:r>
      <w:r>
        <w:rPr>
          <w:lang w:val="en_US" w:bidi="en_US"/>
        </w:rPr>
        <w:t>.</w:t>
      </w:r>
    </w:p>
    <w:p>
      <w:pPr/>
      <w:r>
        <w:rPr>
          <w:lang w:val="en_US" w:bidi="en_US"/>
        </w:rPr>
      </w:r>
      <w:r>
        <w:rPr>
          <w:b/>
          <w:lang w:val="en_US" w:bidi="en_US"/>
        </w:rPr>
        <w:t>You did not greet Me with a kiss:</w:t>
      </w:r>
      <w:r>
        <w:rPr>
          <w:lang w:val="en_US" w:bidi="en_US"/>
        </w:rPr>
        <w:t xml:space="preserve"> It was a Jewish custom to greet one another with a kiss, usually on the cheek or forehead. A kiss on the hand showed greater respect than a kiss on the cheek.</w:t>
      </w:r>
      <w:r>
        <w:rPr>
          <w:lang w:val="en_US" w:bidi="en_US"/>
        </w:rPr>
        <w:t>A servant would kiss his master’s hand, and a Jewish disciple would kiss his rabbi’s hands.</w:t>
      </w:r>
      <w:r>
        <w:rPr>
          <w:lang w:val="en_US" w:bidi="en_US"/>
        </w:rPr>
        <w:t xml:space="preserve"> If you need to specify either a kiss on the hand or on the cheek, you may specify a kiss on the cheek. That implies, “you did not even give me the customary kiss on the cheek.” However, if a kiss on the hand is more customary in your culture, you can specify that.</w:t>
      </w:r>
    </w:p>
    <w:p>
      <w:pPr/>
      <w:r>
        <w:rPr>
          <w:lang w:val="en_US" w:bidi="en_US"/>
        </w:rPr>
      </w:r>
      <w:r>
        <w:rPr>
          <w:lang w:val="en_US" w:bidi="en_US"/>
        </w:rPr>
        <w:t>If men in your culture do not greet one another with a kiss, here are some options to consider:</w:t>
      </w:r>
    </w:p>
    <w:p>
      <w:pPr>
        <w:pStyle w:val="ListBullet"/>
        <w:spacing w:line="240" w:lineRule="auto"/>
        <w:ind w:left="720"/>
      </w:pPr>
      <w:r>
        <w:rPr>
          <w:lang w:val="en_US" w:bidi="en_US"/>
        </w:rPr>
      </w:r>
      <w:r>
        <w:rPr>
          <w:lang w:val="en_US" w:bidi="en_US"/>
        </w:rPr>
        <w:t>Make explicit the reason why Simon should have kissed Jesus:</w:t>
      </w:r>
      <w:r>
        <w:rPr>
          <w:lang w:val="en_US" w:bidi="en_US"/>
        </w:rPr>
        <w:t>You did not give me the customary kiss of greeting</w:t>
      </w:r>
      <w:r>
        <w:rPr>
          <w:lang w:val="en_US" w:bidi="en_US"/>
        </w:rPr>
        <w:t>You did not welcome/greet me warmly with a kiss</w:t>
      </w:r>
    </w:p>
    <w:p>
      <w:pPr>
        <w:pStyle w:val="ListBullet"/>
        <w:spacing w:line="240" w:lineRule="auto"/>
        <w:ind w:left="720"/>
      </w:pPr>
      <w:r>
        <w:rPr>
          <w:lang w:val="en_US" w:bidi="en_US"/>
        </w:rPr>
      </w:r>
      <w:r>
        <w:rPr>
          <w:lang w:val="en_US" w:bidi="en_US"/>
        </w:rPr>
        <w:t>Use a more general expression. For example:</w:t>
      </w:r>
      <w:r>
        <w:rPr>
          <w:lang w:val="en_US" w:bidi="en_US"/>
        </w:rPr>
        <w:t>You did not greet me with an embrace</w:t>
      </w:r>
      <w:r>
        <w:rPr>
          <w:lang w:val="en_US" w:bidi="en_US"/>
        </w:rPr>
        <w:t>You did not greet me warmly/lovingly</w:t>
      </w:r>
      <w:r>
        <w:rPr>
          <w:lang w:val="en_US" w:bidi="en_US"/>
        </w:rPr>
        <w:t>You did not give me a special/friendly greeting</w:t>
      </w:r>
    </w:p>
    <w:p>
      <w:pPr/>
      <w:r>
        <w:rPr>
          <w:lang w:val="en_US" w:bidi="en_US"/>
        </w:rPr>
      </w:r>
      <w:r>
        <w:rPr>
          <w:lang w:val="en_US" w:bidi="en_US"/>
        </w:rPr>
        <w:t>In some translations it may be good to explain this custom in a footnote. For example:</w:t>
      </w:r>
    </w:p>
    <w:p>
      <w:pPr/>
      <w:r>
        <w:rPr>
          <w:lang w:val="en_US" w:bidi="en_US"/>
        </w:rPr>
      </w:r>
      <w:r>
        <w:rPr>
          <w:lang w:val="en_US" w:bidi="en_US"/>
        </w:rPr>
        <w:t>In Jewish culture, a kiss was a common way for men to greet each other. The kiss was either on the cheek or hand.</w:t>
      </w:r>
    </w:p>
    <w:p>
      <w:pPr>
        <w:pStyle w:val="Heading5"/>
      </w:pPr>
      <w:r>
        <w:rPr>
          <w:lang w:val="en_US" w:bidi="en_US"/>
        </w:rPr>
        <w:t>7:45b</w:t>
      </w:r>
    </w:p>
    <w:p>
      <w:pPr/>
      <w:r>
        <w:rPr>
          <w:lang w:val="en_US" w:bidi="en_US"/>
        </w:rPr>
      </w:r>
      <w:r>
        <w:rPr>
          <w:b/>
          <w:lang w:val="en_US" w:bidi="en_US"/>
        </w:rPr>
        <w:t>but she has not stopped kissing My feet since I arrived.</w:t>
      </w:r>
    </w:p>
    <w:p>
      <w:pPr>
        <w:pStyle w:val="ListBullet"/>
        <w:spacing w:line="240" w:lineRule="auto"/>
        <w:ind w:left="720"/>
      </w:pPr>
      <w:r>
        <w:rPr>
          <w:lang w:val="en_US" w:bidi="en_US"/>
        </w:rPr>
      </w:r>
      <w:r>
        <w:rPr>
          <w:lang w:val="en_US" w:bidi="en_US"/>
        </w:rPr>
        <w:t xml:space="preserve">But from the time I came in </w:t>
      </w:r>
      <w:r>
        <w:rPr>
          <w:lang w:val="en_US" w:bidi="en_US"/>
        </w:rPr>
        <w:t>to your</w:t>
      </w:r>
      <w:r>
        <w:rPr>
          <w:vertAlign w:val="superscript"/>
          <w:lang w:val="en_US" w:bidi="en_US"/>
        </w:rPr>
        <w:t>(sing)</w:t>
      </w:r>
      <w:r>
        <w:rPr>
          <w:lang w:val="en_US" w:bidi="en_US"/>
        </w:rPr>
        <w:t xml:space="preserve"> </w:t>
      </w:r>
      <w:r>
        <w:rPr>
          <w:lang w:val="en_US" w:bidi="en_US"/>
        </w:rPr>
        <w:t>house</w:t>
      </w:r>
      <w:r>
        <w:rPr>
          <w:lang w:val="en_US" w:bidi="en_US"/>
        </w:rPr>
        <w:t>, this woman has been kissing my feet.</w:t>
      </w:r>
    </w:p>
    <w:p>
      <w:pPr>
        <w:pStyle w:val="ListBullet"/>
        <w:spacing w:line="240" w:lineRule="auto"/>
        <w:ind w:left="720"/>
      </w:pPr>
      <w:r>
        <w:rPr>
          <w:lang w:val="en_US" w:bidi="en_US"/>
        </w:rPr>
      </w:r>
      <w:r>
        <w:rPr>
          <w:lang w:val="en_US" w:bidi="en_US"/>
        </w:rPr>
        <w:t xml:space="preserve">But during the time I have been here she </w:t>
      </w:r>
      <w:r>
        <w:rPr>
          <w:lang w:val="en_US" w:bidi="en_US"/>
        </w:rPr>
        <w:t>has shown her respect and love</w:t>
      </w:r>
      <w:r>
        <w:rPr>
          <w:lang w:val="en_US" w:bidi="en_US"/>
        </w:rPr>
        <w:t xml:space="preserve"> by kissing my feet many times.</w:t>
      </w:r>
    </w:p>
    <w:p>
      <w:pPr/>
      <w:r>
        <w:rPr>
          <w:lang w:val="en_US" w:bidi="en_US"/>
        </w:rPr>
      </w:r>
      <w:r>
        <w:rPr>
          <w:b/>
          <w:lang w:val="en_US" w:bidi="en_US"/>
        </w:rPr>
        <w:t>but:</w:t>
      </w:r>
      <w:r>
        <w:rPr>
          <w:lang w:val="en_US" w:bidi="en_US"/>
        </w:rPr>
        <w:t xml:space="preserve"> Again Jesus contrasted the woman’s actions with Simon’s actions.</w:t>
      </w:r>
    </w:p>
    <w:p>
      <w:pPr/>
      <w:r>
        <w:rPr>
          <w:lang w:val="en_US" w:bidi="en_US"/>
        </w:rPr>
      </w:r>
      <w:r>
        <w:rPr>
          <w:b/>
          <w:lang w:val="en_US" w:bidi="en_US"/>
        </w:rPr>
        <w:t>she has not stopped kissing My feet since I arrived:</w:t>
      </w:r>
      <w:r>
        <w:rPr>
          <w:lang w:val="en_US" w:bidi="en_US"/>
        </w:rPr>
        <w:t xml:space="preserve"> The clause </w:t>
      </w:r>
      <w:r>
        <w:rPr>
          <w:i/>
          <w:lang w:val="en_US" w:bidi="en_US"/>
        </w:rPr>
        <w:t>since I arrived</w:t>
      </w:r>
      <w:r>
        <w:rPr>
          <w:lang w:val="en_US" w:bidi="en_US"/>
        </w:rPr>
        <w:t xml:space="preserve"> implies “from the time I entered the house.” This is a hyperbole. Jesus used it to emphasize the woman’s actions. He did not mean that the woman began to kiss his feet at the moment he came into the house. She did not begin until he was seated to eat. He also did not mean that the woman never stopped kissing his feet for a second. She also dried his feet and anointed them.</w:t>
      </w:r>
    </w:p>
    <w:p>
      <w:pPr/>
      <w:r>
        <w:rPr>
          <w:lang w:val="en_US" w:bidi="en_US"/>
        </w:rPr>
      </w:r>
      <w:r>
        <w:rPr>
          <w:lang w:val="en_US" w:bidi="en_US"/>
        </w:rPr>
        <w:t>If this hyperbole is not natural in your language, you may need to express the emphasis in a different way. For example:</w:t>
      </w:r>
    </w:p>
    <w:p>
      <w:pPr/>
      <w:r>
        <w:rPr>
          <w:lang w:val="en_US" w:bidi="en_US"/>
        </w:rPr>
      </w:r>
      <w:r>
        <w:rPr>
          <w:lang w:val="en_US" w:bidi="en_US"/>
        </w:rPr>
        <w:t xml:space="preserve">during this time I have been </w:t>
      </w:r>
      <w:r>
        <w:rPr>
          <w:lang w:val="en_US" w:bidi="en_US"/>
        </w:rPr>
        <w:t>in your house</w:t>
      </w:r>
      <w:r>
        <w:rPr>
          <w:lang w:val="en_US" w:bidi="en_US"/>
        </w:rPr>
        <w:t>, this woman has kissed my feet again and again</w:t>
      </w:r>
    </w:p>
    <w:p>
      <w:pPr/>
      <w:r>
        <w:rPr>
          <w:lang w:val="en_US" w:bidi="en_US"/>
        </w:rPr>
      </w:r>
      <w:r>
        <w:rPr>
          <w:b/>
          <w:lang w:val="en_US" w:bidi="en_US"/>
        </w:rPr>
        <w:t>she has not stopped kissing My feet:</w:t>
      </w:r>
      <w:r>
        <w:rPr>
          <w:lang w:val="en_US" w:bidi="en_US"/>
        </w:rPr>
        <w:t xml:space="preserve"> Kissing someone’s feet showed more humility and respect than kissing on the hand. The woman showed great respect and gratitude toward Jesus by kissing his feet many times. Another way to say this is:</w:t>
      </w:r>
    </w:p>
    <w:p>
      <w:pPr/>
      <w:r>
        <w:rPr>
          <w:lang w:val="en_US" w:bidi="en_US"/>
        </w:rPr>
      </w:r>
      <w:r>
        <w:rPr>
          <w:lang w:val="en_US" w:bidi="en_US"/>
        </w:rPr>
        <w:t>this woman has continued to kiss my feet</w:t>
      </w:r>
    </w:p>
    <w:p>
      <w:pPr/>
      <w:r>
        <w:rPr>
          <w:lang w:val="en_US" w:bidi="en_US"/>
        </w:rPr>
      </w:r>
      <w:r>
        <w:rPr>
          <w:lang w:val="en_US" w:bidi="en_US"/>
        </w:rPr>
        <w:t>In some cultures the action of kissing is not known or is very unusual. In these cultures kissing a person’s feet may be inappropriate or shocking. If this is true in your culture, here are some options to consider:</w:t>
      </w:r>
    </w:p>
    <w:p>
      <w:pPr>
        <w:pStyle w:val="ListBullet"/>
        <w:spacing w:line="240" w:lineRule="auto"/>
        <w:ind w:left="720"/>
      </w:pPr>
      <w:r>
        <w:rPr>
          <w:lang w:val="en_US" w:bidi="en_US"/>
        </w:rPr>
      </w:r>
      <w:r>
        <w:rPr>
          <w:lang w:val="en_US" w:bidi="en_US"/>
        </w:rPr>
        <w:t>Use a descriptive phrase and indicate the meaning of the action. For example:</w:t>
      </w:r>
      <w:r>
        <w:rPr>
          <w:lang w:val="en_US" w:bidi="en_US"/>
        </w:rPr>
        <w:t xml:space="preserve">she has continued to touch her lips to my feet </w:t>
      </w:r>
      <w:r>
        <w:rPr>
          <w:lang w:val="en_US" w:bidi="en_US"/>
        </w:rPr>
        <w:t>to show her respect/gratitude</w:t>
      </w:r>
    </w:p>
    <w:p>
      <w:pPr>
        <w:pStyle w:val="ListBullet"/>
        <w:spacing w:line="240" w:lineRule="auto"/>
        <w:ind w:left="720"/>
      </w:pPr>
      <w:r>
        <w:rPr>
          <w:lang w:val="en_US" w:bidi="en_US"/>
        </w:rPr>
      </w:r>
      <w:r>
        <w:rPr>
          <w:lang w:val="en_US" w:bidi="en_US"/>
        </w:rPr>
        <w:t>Use a more general expression. For example:</w:t>
      </w:r>
      <w:r>
        <w:rPr>
          <w:lang w:val="en_US" w:bidi="en_US"/>
        </w:rPr>
        <w:t xml:space="preserve">she has greeted/thanked me repeatedly </w:t>
      </w:r>
      <w:r>
        <w:rPr>
          <w:lang w:val="en_US" w:bidi="en_US"/>
        </w:rPr>
        <w:t>from her heart</w:t>
      </w:r>
    </w:p>
    <w:p>
      <w:pPr/>
      <w:r>
        <w:rPr>
          <w:lang w:val="en_US" w:bidi="en_US"/>
        </w:rPr>
      </w:r>
      <w:r>
        <w:rPr>
          <w:lang w:val="en_US" w:bidi="en_US"/>
        </w:rPr>
        <w:t>See how you translated this action in 7:38c, and translate in a way that refers back to that action. The way you translate it should also contrast with the way you expressed Simon’s neglect of this type of greeting.</w:t>
      </w:r>
      <w:r>
        <w:rPr>
          <w:lang w:val="en_US" w:bidi="en_US"/>
        </w:rPr>
      </w:r>
      <w:r>
        <w:rPr>
          <w:lang w:val="en_US" w:bidi="en_US"/>
        </w:rPr>
      </w:r>
    </w:p>
    <w:p>
      <w:pPr/>
      <w:r>
        <w:rPr>
          <w:lang w:val="en_US" w:bidi="en_US"/>
        </w:rPr>
      </w:r>
    </w:p>
    <w:p>
      <w:pPr>
        <w:pStyle w:val="Heading2"/>
      </w:pPr>
      <w:r>
        <w:rPr>
          <w:lang w:val="en_US" w:bidi="en_US"/>
        </w:rPr>
        <w:t>Luke 7:46</w:t>
      </w:r>
      <w:r>
        <w:rPr>
          <w:lang w:val="en_US" w:bidi="en_US"/>
        </w:rPr>
      </w:r>
    </w:p>
    <w:p>
      <w:pPr>
        <w:pStyle w:val="Heading4"/>
      </w:pPr>
      <w:r>
        <w:rPr>
          <w:lang w:val="en_US" w:bidi="en_US"/>
        </w:rPr>
        <w:t>Section 7:36–50: Jesus forgave a woman’s sins and taught a Pharisee about love</w:t>
      </w:r>
    </w:p>
    <w:p>
      <w:pPr/>
      <w:r>
        <w:rPr>
          <w:lang w:val="en_US" w:bidi="en_US"/>
        </w:rPr>
      </w:r>
      <w:r>
        <w:rPr>
          <w:lang w:val="en_US" w:bidi="en_US"/>
        </w:rP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pPr/>
      <w:r>
        <w:rPr>
          <w:lang w:val="en_US" w:bidi="en_US"/>
        </w:rPr>
      </w:r>
      <w:r>
        <w:rPr>
          <w:lang w:val="en_US" w:bidi="en_US"/>
        </w:rP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pPr/>
      <w:r>
        <w:rPr>
          <w:lang w:val="en_US" w:bidi="en_US"/>
        </w:rPr>
      </w:r>
      <w:r>
        <w:rPr>
          <w:lang w:val="en_US" w:bidi="en_US"/>
        </w:rPr>
        <w:t>Certain Jewish customs help to explain some of the actions in this story:</w:t>
      </w:r>
    </w:p>
    <w:p>
      <w:pPr>
        <w:pStyle w:val="ListNumber"/>
        <w:numPr>
          <w:ilvl w:val="0"/>
          <w:numId w:val="164"/>
        </w:numPr>
        <w:spacing w:line="240" w:lineRule="auto"/>
        <w:ind w:left="720"/>
      </w:pPr>
      <w:r>
        <w:rPr>
          <w:lang w:val="en_US" w:bidi="en_US"/>
        </w:rPr>
      </w:r>
      <w:r>
        <w:rPr>
          <w:lang w:val="en_US" w:bidi="en_US"/>
        </w:rP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Pr>
          <w:lang w:val="en_US" w:bidi="en_US"/>
        </w:rPr>
      </w:r>
      <w:r>
        <w:rPr>
          <w:lang w:val="en_US" w:bidi="en_US"/>
        </w:rP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Pr>
          <w:lang w:val="en_US" w:bidi="en_US"/>
        </w:rPr>
      </w:r>
      <w:r>
        <w:rPr>
          <w:lang w:val="en_US" w:bidi="en_US"/>
        </w:rPr>
        <w:t>Often a slave washed the feet of the guests. People considered feet to be dirty. When the woman washed Jesus’ feet and kissed them, she humbled herself and honored Jesus.</w:t>
      </w:r>
    </w:p>
    <w:p>
      <w:pPr/>
      <w:r>
        <w:rPr>
          <w:lang w:val="en_US" w:bidi="en_US"/>
        </w:rPr>
      </w:r>
      <w:r>
        <w:rPr>
          <w:lang w:val="en_US" w:bidi="en_US"/>
        </w:rPr>
        <w:t>This section is not explicitly connected to the preceding one, but it does illustrate some of the statements in 7:29–35. The woman was a person who “acknowledged God’s justice” (7:29). Simon the Pharisee was one of those who “rejected God’s purpose for themselves” (7:30).</w:t>
      </w:r>
    </w:p>
    <w:p>
      <w:pPr/>
      <w:r>
        <w:rPr>
          <w:lang w:val="en_US" w:bidi="en_US"/>
        </w:rPr>
      </w:r>
      <w:r>
        <w:rPr>
          <w:lang w:val="en_US" w:bidi="en_US"/>
        </w:rPr>
        <w:t>Some other possible headings for this section are:</w:t>
      </w:r>
    </w:p>
    <w:p>
      <w:pPr/>
      <w:r>
        <w:rPr>
          <w:lang w:val="en_US" w:bidi="en_US"/>
        </w:rPr>
      </w:r>
      <w:r>
        <w:rPr>
          <w:lang w:val="en_US" w:bidi="en_US"/>
        </w:rPr>
        <w:t>A sinful woman washes Jesus’ feet at the home of a Pharisee named Simon</w:t>
      </w:r>
    </w:p>
    <w:p>
      <w:pPr/>
      <w:r>
        <w:rPr>
          <w:lang w:val="en_US" w:bidi="en_US"/>
        </w:rPr>
      </w:r>
      <w:r>
        <w:rPr>
          <w:lang w:val="en_US" w:bidi="en_US"/>
        </w:rPr>
        <w:t>Jesus compares a Pharisee and a sinful woman</w:t>
      </w:r>
    </w:p>
    <w:p>
      <w:pPr>
        <w:pStyle w:val="Heading4"/>
      </w:pPr>
      <w:r>
        <w:rPr>
          <w:lang w:val="en_US" w:bidi="en_US"/>
        </w:rPr>
        <w:t>Paragraph 7:44–47</w:t>
      </w:r>
    </w:p>
    <w:p>
      <w:pPr/>
      <w:r>
        <w:rPr>
          <w:lang w:val="en_US" w:bidi="en_US"/>
        </w:rPr>
      </w:r>
      <w:r>
        <w:rPr>
          <w:lang w:val="en_US" w:bidi="en_US"/>
        </w:rPr>
        <w:t>In this paragraph Jesus compared debts to sins. He also implied that the woman was like the man in the story who owed much money. Jesus was like the lender. The lender forgave the man his debt, and Jesus forgave the woman’s sins. The woman loved Jesus very much because he had forgiven her for many sins. Simon was like the man who borrowed only a little money. He did not love Jesus as much, because he thought that he did not need much forgiveness from Jesus.</w:t>
      </w:r>
    </w:p>
    <w:p>
      <w:pPr>
        <w:pStyle w:val="Heading5"/>
      </w:pPr>
      <w:r>
        <w:rPr>
          <w:lang w:val="en_US" w:bidi="en_US"/>
        </w:rPr>
        <w:t>7:46</w:t>
      </w:r>
    </w:p>
    <w:p>
      <w:pPr/>
      <w:r>
        <w:rPr>
          <w:lang w:val="en_US" w:bidi="en_US"/>
        </w:rPr>
      </w:r>
      <w:r>
        <w:rPr>
          <w:b/>
          <w:lang w:val="en_US" w:bidi="en_US"/>
        </w:rPr>
        <w:t>anoint…anointed…with:</w:t>
      </w:r>
      <w:r>
        <w:rPr>
          <w:lang w:val="en_US" w:bidi="en_US"/>
        </w:rPr>
        <w:t xml:space="preserve"> The Greek verbs that the BSB translates as </w:t>
      </w:r>
      <w:r>
        <w:rPr>
          <w:i/>
          <w:lang w:val="en_US" w:bidi="en_US"/>
        </w:rPr>
        <w:t>anoint</w:t>
      </w:r>
      <w:r>
        <w:rPr>
          <w:lang w:val="en_US" w:bidi="en_US"/>
        </w:rPr>
        <w:t xml:space="preserve"> and </w:t>
      </w:r>
      <w:r>
        <w:rPr>
          <w:i/>
          <w:lang w:val="en_US" w:bidi="en_US"/>
        </w:rPr>
        <w:t>anointed…with</w:t>
      </w:r>
      <w:r>
        <w:rPr>
          <w:lang w:val="en_US" w:bidi="en_US"/>
        </w:rPr>
        <w:t xml:space="preserve"> are translations of the same verb that was translated as “anointed” in 7:38d. If it is natural in your language, you may use the same verb in these places. However, you may need to vary the form, as the Greek text does. For example:</w:t>
      </w:r>
    </w:p>
    <w:p>
      <w:pPr/>
      <w:r>
        <w:rPr>
          <w:lang w:val="en_US" w:bidi="en_US"/>
        </w:rPr>
      </w:r>
      <w:r>
        <w:rPr>
          <w:vertAlign w:val="superscript"/>
          <w:lang w:val="en_US" w:bidi="en_US"/>
        </w:rPr>
        <w:t>38d</w:t>
      </w:r>
      <w:r>
        <w:rPr>
          <w:lang w:val="en_US" w:bidi="en_US"/>
        </w:rPr>
        <w:t xml:space="preserve">and </w:t>
      </w:r>
      <w:r>
        <w:rPr>
          <w:u w:val="single"/>
          <w:lang w:val="en_US" w:bidi="en_US"/>
        </w:rPr>
        <w:t>anointing</w:t>
      </w:r>
      <w:r>
        <w:rPr>
          <w:lang w:val="en_US" w:bidi="en_US"/>
        </w:rPr>
        <w:t xml:space="preserve"> them with the myrrh…. </w:t>
      </w:r>
      <w:r>
        <w:rPr>
          <w:vertAlign w:val="superscript"/>
          <w:lang w:val="en_US" w:bidi="en_US"/>
        </w:rPr>
        <w:t>46</w:t>
      </w:r>
      <w:r>
        <w:rPr>
          <w:lang w:val="en_US" w:bidi="en_US"/>
        </w:rPr>
        <w:t xml:space="preserve">You did not </w:t>
      </w:r>
      <w:r>
        <w:rPr>
          <w:u w:val="single"/>
          <w:lang w:val="en_US" w:bidi="en_US"/>
        </w:rPr>
        <w:t>anoint</w:t>
      </w:r>
      <w:r>
        <w:rPr>
          <w:lang w:val="en_US" w:bidi="en_US"/>
        </w:rPr>
        <w:t xml:space="preserve"> my head with oil; but she has </w:t>
      </w:r>
      <w:r>
        <w:rPr>
          <w:u w:val="single"/>
          <w:lang w:val="en_US" w:bidi="en_US"/>
        </w:rPr>
        <w:t>anointed</w:t>
      </w:r>
      <w:r>
        <w:rPr>
          <w:lang w:val="en_US" w:bidi="en_US"/>
        </w:rPr>
        <w:t xml:space="preserve"> my feet with myrrh. (REB)</w:t>
      </w:r>
    </w:p>
    <w:p>
      <w:pPr/>
      <w:r>
        <w:rPr>
          <w:lang w:val="en_US" w:bidi="en_US"/>
        </w:rPr>
      </w:r>
      <w:r>
        <w:rPr>
          <w:lang w:val="en_US" w:bidi="en_US"/>
        </w:rPr>
        <w:t>If your languages prefers to use different words, that is also fine. However, be sure to make the contrast between the woman and Simon clear.</w:t>
      </w:r>
    </w:p>
    <w:p>
      <w:pPr>
        <w:pStyle w:val="Heading5"/>
      </w:pPr>
      <w:r>
        <w:rPr>
          <w:lang w:val="en_US" w:bidi="en_US"/>
        </w:rPr>
        <w:t>7:46a</w:t>
      </w:r>
    </w:p>
    <w:p>
      <w:pPr/>
      <w:r>
        <w:rPr>
          <w:lang w:val="en_US" w:bidi="en_US"/>
        </w:rPr>
      </w:r>
      <w:r>
        <w:rPr>
          <w:b/>
          <w:lang w:val="en_US" w:bidi="en_US"/>
        </w:rPr>
        <w:t>You did not anoint My head with oil,</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did not </w:t>
      </w:r>
      <w:r>
        <w:rPr>
          <w:lang w:val="en_US" w:bidi="en_US"/>
        </w:rPr>
        <w:t>honor me</w:t>
      </w:r>
      <w:r>
        <w:rPr>
          <w:lang w:val="en_US" w:bidi="en_US"/>
        </w:rPr>
        <w:t xml:space="preserve"> by anointing my head with </w:t>
      </w:r>
      <w:r>
        <w:rPr>
          <w:lang w:val="en_US" w:bidi="en_US"/>
        </w:rPr>
        <w:t>olive</w:t>
      </w:r>
      <w:r>
        <w:rPr>
          <w:lang w:val="en_US" w:bidi="en_US"/>
        </w:rPr>
        <w:t xml:space="preserve"> oil,</w:t>
      </w:r>
    </w:p>
    <w:p>
      <w:pPr>
        <w:pStyle w:val="ListBullet"/>
        <w:spacing w:line="240" w:lineRule="auto"/>
        <w:ind w:left="720"/>
      </w:pPr>
      <w:r>
        <w:rPr>
          <w:lang w:val="en_US" w:bidi="en_US"/>
        </w:rPr>
      </w:r>
      <w:r>
        <w:rPr>
          <w:lang w:val="en_US" w:bidi="en_US"/>
        </w:rPr>
        <w:t xml:space="preserve">You did not </w:t>
      </w:r>
      <w:r>
        <w:rPr>
          <w:lang w:val="en_US" w:bidi="en_US"/>
        </w:rPr>
        <w:t>welcome me</w:t>
      </w:r>
      <w:r>
        <w:rPr>
          <w:lang w:val="en_US" w:bidi="en_US"/>
        </w:rPr>
        <w:t xml:space="preserve"> by putting oil on my head,</w:t>
      </w:r>
    </w:p>
    <w:p>
      <w:pPr/>
      <w:r>
        <w:rPr>
          <w:lang w:val="en_US" w:bidi="en_US"/>
        </w:rPr>
      </w:r>
      <w:r>
        <w:rPr>
          <w:b/>
          <w:lang w:val="en_US" w:bidi="en_US"/>
        </w:rPr>
        <w:t>You did not anoint My head with oil:</w:t>
      </w:r>
      <w:r>
        <w:rPr>
          <w:lang w:val="en_US" w:bidi="en_US"/>
        </w:rPr>
        <w:t xml:space="preserve"> When a Jew wanted to honor a special guest, he anointed the guest’s head with oil. This showed extra courtesy to him. In some cultures people may not understand the meaning of putting oil on a person’s head. It may even seem like an unpleasant thing to do. If that is true in your culture, here are options to consider.</w:t>
      </w:r>
    </w:p>
    <w:p>
      <w:pPr>
        <w:pStyle w:val="ListBullet"/>
        <w:spacing w:line="240" w:lineRule="auto"/>
        <w:ind w:left="720"/>
      </w:pPr>
      <w:r>
        <w:rPr>
          <w:lang w:val="en_US" w:bidi="en_US"/>
        </w:rPr>
      </w:r>
      <w:r>
        <w:rPr>
          <w:lang w:val="en_US" w:bidi="en_US"/>
        </w:rPr>
        <w:t>Make the meaning of the action explicit. For example:</w:t>
      </w:r>
      <w:r>
        <w:rPr>
          <w:lang w:val="en_US" w:bidi="en_US"/>
        </w:rPr>
        <w:t xml:space="preserve">You did not </w:t>
      </w:r>
      <w:r>
        <w:rPr>
          <w:u w:val="single"/>
          <w:lang w:val="en_US" w:bidi="en_US"/>
        </w:rPr>
        <w:t>honor/welcome</w:t>
      </w:r>
      <w:r>
        <w:rPr>
          <w:lang w:val="en_US" w:bidi="en_US"/>
        </w:rPr>
        <w:t xml:space="preserve"> me by putting oil on my head</w:t>
      </w:r>
    </w:p>
    <w:p>
      <w:pPr>
        <w:pStyle w:val="ListBullet"/>
        <w:spacing w:line="240" w:lineRule="auto"/>
        <w:ind w:left="720"/>
      </w:pPr>
      <w:r>
        <w:rPr>
          <w:lang w:val="en_US" w:bidi="en_US"/>
        </w:rPr>
      </w:r>
      <w:r>
        <w:rPr>
          <w:lang w:val="en_US" w:bidi="en_US"/>
        </w:rPr>
        <w:t>Use a more general expression. This may be a good option in places where oil is considered to be an unpleasant substance to put on the head. For example:</w:t>
      </w:r>
      <w:r>
        <w:rPr>
          <w:lang w:val="en_US" w:bidi="en_US"/>
        </w:rPr>
        <w:t xml:space="preserve">You did not </w:t>
      </w:r>
      <w:r>
        <w:rPr>
          <w:lang w:val="en_US" w:bidi="en_US"/>
        </w:rPr>
        <w:t>honor me by</w:t>
      </w:r>
      <w:r>
        <w:rPr>
          <w:lang w:val="en_US" w:bidi="en_US"/>
        </w:rPr>
        <w:t xml:space="preserve"> anointing me</w:t>
      </w:r>
    </w:p>
    <w:p>
      <w:pPr/>
      <w:r>
        <w:rPr>
          <w:lang w:val="en_US" w:bidi="en_US"/>
        </w:rPr>
      </w:r>
      <w:r>
        <w:rPr>
          <w:lang w:val="en_US" w:bidi="en_US"/>
        </w:rPr>
        <w:t>In some translations it may be good to explain this custom in a footnote. For example:</w:t>
      </w:r>
    </w:p>
    <w:p>
      <w:pPr/>
      <w:r>
        <w:rPr>
          <w:lang w:val="en_US" w:bidi="en_US"/>
        </w:rPr>
      </w:r>
      <w:r>
        <w:rPr>
          <w:lang w:val="en_US" w:bidi="en_US"/>
        </w:rPr>
        <w:t>A host was not required to anoint his guest’s head with oil, but it was a special way to honor that person and show him kindness (Psalms 23:5, 141:5). (TRT)</w:t>
      </w:r>
    </w:p>
    <w:p>
      <w:pPr/>
      <w:r>
        <w:rPr>
          <w:lang w:val="en_US" w:bidi="en_US"/>
        </w:rPr>
      </w:r>
      <w:r>
        <w:rPr>
          <w:b/>
          <w:lang w:val="en_US" w:bidi="en_US"/>
        </w:rPr>
        <w:t>oil:</w:t>
      </w:r>
      <w:r>
        <w:rPr>
          <w:lang w:val="en_US" w:bidi="en_US"/>
        </w:rPr>
        <w:t xml:space="preserve"> The </w:t>
      </w:r>
      <w:r>
        <w:rPr>
          <w:i/>
          <w:lang w:val="en_US" w:bidi="en_US"/>
        </w:rPr>
        <w:t>oil</w:t>
      </w:r>
      <w:r>
        <w:rPr>
          <w:lang w:val="en_US" w:bidi="en_US"/>
        </w:rPr>
        <w:t xml:space="preserve"> that people used for anointing was olive oil. Olive oil cost very little compared with scented oil.</w:t>
      </w:r>
    </w:p>
    <w:p>
      <w:pPr>
        <w:pStyle w:val="Heading5"/>
      </w:pPr>
      <w:r>
        <w:rPr>
          <w:lang w:val="en_US" w:bidi="en_US"/>
        </w:rPr>
        <w:t>7:46b</w:t>
      </w:r>
    </w:p>
    <w:p>
      <w:pPr/>
      <w:r>
        <w:rPr>
          <w:lang w:val="en_US" w:bidi="en_US"/>
        </w:rPr>
      </w:r>
      <w:r>
        <w:rPr>
          <w:b/>
          <w:lang w:val="en_US" w:bidi="en_US"/>
        </w:rPr>
        <w:t>but she has anointed My feet with perfume.</w:t>
      </w:r>
    </w:p>
    <w:p>
      <w:pPr>
        <w:pStyle w:val="ListBullet"/>
        <w:spacing w:line="240" w:lineRule="auto"/>
        <w:ind w:left="720"/>
      </w:pPr>
      <w:r>
        <w:rPr>
          <w:lang w:val="en_US" w:bidi="en_US"/>
        </w:rPr>
      </w:r>
      <w:r>
        <w:rPr>
          <w:lang w:val="en_US" w:bidi="en_US"/>
        </w:rPr>
        <w:t>but she has anointed my feet with scented oil.</w:t>
      </w:r>
    </w:p>
    <w:p>
      <w:pPr>
        <w:pStyle w:val="ListBullet"/>
        <w:spacing w:line="240" w:lineRule="auto"/>
        <w:ind w:left="720"/>
      </w:pPr>
      <w:r>
        <w:rPr>
          <w:lang w:val="en_US" w:bidi="en_US"/>
        </w:rPr>
      </w:r>
      <w:r>
        <w:rPr>
          <w:lang w:val="en_US" w:bidi="en_US"/>
        </w:rPr>
        <w:t xml:space="preserve">but she has put sweet-smelling perfume on my feet </w:t>
      </w:r>
      <w:r>
        <w:rPr>
          <w:lang w:val="en_US" w:bidi="en_US"/>
        </w:rPr>
        <w:t>to show her love</w:t>
      </w:r>
      <w:r>
        <w:rPr>
          <w:lang w:val="en_US" w:bidi="en_US"/>
        </w:rPr>
        <w:t>.</w:t>
      </w:r>
    </w:p>
    <w:p>
      <w:pPr/>
      <w:r>
        <w:rPr>
          <w:lang w:val="en_US" w:bidi="en_US"/>
        </w:rPr>
      </w:r>
      <w:r>
        <w:rPr>
          <w:b/>
          <w:lang w:val="en_US" w:bidi="en_US"/>
        </w:rPr>
        <w:t>but:</w:t>
      </w:r>
      <w:r>
        <w:rPr>
          <w:lang w:val="en_US" w:bidi="en_US"/>
        </w:rPr>
        <w:t xml:space="preserve"> Again Jesus contrasted the woman’s actions with Simon’s.</w:t>
      </w:r>
    </w:p>
    <w:p>
      <w:pPr/>
      <w:r>
        <w:rPr>
          <w:lang w:val="en_US" w:bidi="en_US"/>
        </w:rPr>
      </w:r>
      <w:r>
        <w:rPr>
          <w:b/>
          <w:lang w:val="en_US" w:bidi="en_US"/>
        </w:rPr>
        <w:t>she has anointed My feet with perfume:</w:t>
      </w:r>
      <w:r>
        <w:rPr>
          <w:lang w:val="en_US" w:bidi="en_US"/>
        </w:rPr>
        <w:t xml:space="preserve"> Here Jesus spoke about the woman’s action in 7:38d. She anointed his feet with sweet-smelling oil. This oil was expensive compared to the oil that was normally used to anoint the head of a guest. The woman performed a more humble action in anointing Jesus’ feet instead of his head. Another way to translate this is:</w:t>
      </w:r>
    </w:p>
    <w:p>
      <w:pPr/>
      <w:r>
        <w:rPr>
          <w:lang w:val="en_US" w:bidi="en_US"/>
        </w:rPr>
      </w:r>
      <w:r>
        <w:rPr>
          <w:lang w:val="en_US" w:bidi="en_US"/>
        </w:rPr>
        <w:t xml:space="preserve">this woman has </w:t>
      </w:r>
      <w:r>
        <w:rPr>
          <w:lang w:val="en_US" w:bidi="en_US"/>
        </w:rPr>
        <w:t>welcomed/honored me by</w:t>
      </w:r>
      <w:r>
        <w:rPr>
          <w:lang w:val="en_US" w:bidi="en_US"/>
        </w:rPr>
        <w:t xml:space="preserve"> anointing/rubbing my feet with perfumed oil</w:t>
      </w:r>
      <w:r>
        <w:rPr>
          <w:lang w:val="en_US" w:bidi="en_US"/>
        </w:rPr>
      </w:r>
      <w:r>
        <w:rPr>
          <w:lang w:val="en_US" w:bidi="en_US"/>
        </w:rPr>
      </w:r>
    </w:p>
    <w:p>
      <w:pPr/>
      <w:r>
        <w:rPr>
          <w:lang w:val="en_US" w:bidi="en_US"/>
        </w:rPr>
      </w:r>
    </w:p>
    <w:p>
      <w:pPr>
        <w:pStyle w:val="Heading2"/>
      </w:pPr>
      <w:r>
        <w:rPr>
          <w:lang w:val="en_US" w:bidi="en_US"/>
        </w:rPr>
        <w:t>Luke 7:47</w:t>
      </w:r>
      <w:r>
        <w:rPr>
          <w:lang w:val="en_US" w:bidi="en_US"/>
        </w:rPr>
      </w:r>
    </w:p>
    <w:p>
      <w:pPr>
        <w:pStyle w:val="Heading4"/>
      </w:pPr>
      <w:r>
        <w:rPr>
          <w:lang w:val="en_US" w:bidi="en_US"/>
        </w:rPr>
        <w:t>Section 7:36–50: Jesus forgave a woman’s sins and taught a Pharisee about love</w:t>
      </w:r>
    </w:p>
    <w:p>
      <w:pPr/>
      <w:r>
        <w:rPr>
          <w:lang w:val="en_US" w:bidi="en_US"/>
        </w:rPr>
      </w:r>
      <w:r>
        <w:rPr>
          <w:lang w:val="en_US" w:bidi="en_US"/>
        </w:rP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pPr/>
      <w:r>
        <w:rPr>
          <w:lang w:val="en_US" w:bidi="en_US"/>
        </w:rPr>
      </w:r>
      <w:r>
        <w:rPr>
          <w:lang w:val="en_US" w:bidi="en_US"/>
        </w:rP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pPr/>
      <w:r>
        <w:rPr>
          <w:lang w:val="en_US" w:bidi="en_US"/>
        </w:rPr>
      </w:r>
      <w:r>
        <w:rPr>
          <w:lang w:val="en_US" w:bidi="en_US"/>
        </w:rPr>
        <w:t>Certain Jewish customs help to explain some of the actions in this story:</w:t>
      </w:r>
    </w:p>
    <w:p>
      <w:pPr>
        <w:pStyle w:val="ListNumber"/>
        <w:numPr>
          <w:ilvl w:val="0"/>
          <w:numId w:val="165"/>
        </w:numPr>
        <w:spacing w:line="240" w:lineRule="auto"/>
        <w:ind w:left="720"/>
      </w:pPr>
      <w:r>
        <w:rPr>
          <w:lang w:val="en_US" w:bidi="en_US"/>
        </w:rPr>
      </w:r>
      <w:r>
        <w:rPr>
          <w:lang w:val="en_US" w:bidi="en_US"/>
        </w:rP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Pr>
          <w:lang w:val="en_US" w:bidi="en_US"/>
        </w:rPr>
      </w:r>
      <w:r>
        <w:rPr>
          <w:lang w:val="en_US" w:bidi="en_US"/>
        </w:rP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Pr>
          <w:lang w:val="en_US" w:bidi="en_US"/>
        </w:rPr>
      </w:r>
      <w:r>
        <w:rPr>
          <w:lang w:val="en_US" w:bidi="en_US"/>
        </w:rPr>
        <w:t>Often a slave washed the feet of the guests. People considered feet to be dirty. When the woman washed Jesus’ feet and kissed them, she humbled herself and honored Jesus.</w:t>
      </w:r>
    </w:p>
    <w:p>
      <w:pPr/>
      <w:r>
        <w:rPr>
          <w:lang w:val="en_US" w:bidi="en_US"/>
        </w:rPr>
      </w:r>
      <w:r>
        <w:rPr>
          <w:lang w:val="en_US" w:bidi="en_US"/>
        </w:rPr>
        <w:t>This section is not explicitly connected to the preceding one, but it does illustrate some of the statements in 7:29–35. The woman was a person who “acknowledged God’s justice” (7:29). Simon the Pharisee was one of those who “rejected God’s purpose for themselves” (7:30).</w:t>
      </w:r>
    </w:p>
    <w:p>
      <w:pPr/>
      <w:r>
        <w:rPr>
          <w:lang w:val="en_US" w:bidi="en_US"/>
        </w:rPr>
      </w:r>
      <w:r>
        <w:rPr>
          <w:lang w:val="en_US" w:bidi="en_US"/>
        </w:rPr>
        <w:t>Some other possible headings for this section are:</w:t>
      </w:r>
    </w:p>
    <w:p>
      <w:pPr/>
      <w:r>
        <w:rPr>
          <w:lang w:val="en_US" w:bidi="en_US"/>
        </w:rPr>
      </w:r>
      <w:r>
        <w:rPr>
          <w:lang w:val="en_US" w:bidi="en_US"/>
        </w:rPr>
        <w:t>A sinful woman washes Jesus’ feet at the home of a Pharisee named Simon</w:t>
      </w:r>
    </w:p>
    <w:p>
      <w:pPr/>
      <w:r>
        <w:rPr>
          <w:lang w:val="en_US" w:bidi="en_US"/>
        </w:rPr>
      </w:r>
      <w:r>
        <w:rPr>
          <w:lang w:val="en_US" w:bidi="en_US"/>
        </w:rPr>
        <w:t>Jesus compares a Pharisee and a sinful woman</w:t>
      </w:r>
    </w:p>
    <w:p>
      <w:pPr>
        <w:pStyle w:val="Heading4"/>
      </w:pPr>
      <w:r>
        <w:rPr>
          <w:lang w:val="en_US" w:bidi="en_US"/>
        </w:rPr>
        <w:t>Paragraph 7:44–47</w:t>
      </w:r>
    </w:p>
    <w:p>
      <w:pPr/>
      <w:r>
        <w:rPr>
          <w:lang w:val="en_US" w:bidi="en_US"/>
        </w:rPr>
      </w:r>
      <w:r>
        <w:rPr>
          <w:lang w:val="en_US" w:bidi="en_US"/>
        </w:rPr>
        <w:t>In this paragraph Jesus compared debts to sins. He also implied that the woman was like the man in the story who owed much money. Jesus was like the lender. The lender forgave the man his debt, and Jesus forgave the woman’s sins. The woman loved Jesus very much because he had forgiven her for many sins. Simon was like the man who borrowed only a little money. He did not love Jesus as much, because he thought that he did not need much forgiveness from Jesus.</w:t>
      </w:r>
    </w:p>
    <w:p>
      <w:pPr>
        <w:pStyle w:val="Heading5"/>
      </w:pPr>
      <w:r>
        <w:rPr>
          <w:lang w:val="en_US" w:bidi="en_US"/>
        </w:rPr>
        <w:t>7:47</w:t>
      </w:r>
    </w:p>
    <w:p>
      <w:pPr/>
      <w:r>
        <w:rPr>
          <w:lang w:val="en_US" w:bidi="en_US"/>
        </w:rPr>
      </w:r>
      <w:r>
        <w:rPr>
          <w:b/>
          <w:lang w:val="en_US" w:bidi="en_US"/>
        </w:rPr>
        <w:t>many sins…loved much:</w:t>
      </w:r>
      <w:r>
        <w:rPr>
          <w:lang w:val="en_US" w:bidi="en_US"/>
        </w:rPr>
        <w:t xml:space="preserve"> There is an implied comparison in this verse. Jesus implied that the woman was like the man in the parable who owed much money and loved the lender for canceling his large debt. She loved Jesus </w:t>
      </w:r>
      <w:r>
        <w:rPr>
          <w:i/>
          <w:lang w:val="en_US" w:bidi="en_US"/>
        </w:rPr>
        <w:t>much</w:t>
      </w:r>
      <w:r>
        <w:rPr>
          <w:lang w:val="en_US" w:bidi="en_US"/>
        </w:rPr>
        <w:t xml:space="preserve"> because she knew that he had forgiven her for </w:t>
      </w:r>
      <w:r>
        <w:rPr>
          <w:i/>
          <w:lang w:val="en_US" w:bidi="en_US"/>
        </w:rPr>
        <w:t>many</w:t>
      </w:r>
      <w:r>
        <w:rPr>
          <w:lang w:val="en_US" w:bidi="en_US"/>
        </w:rPr>
        <w:t xml:space="preserve"> sins.</w:t>
      </w:r>
    </w:p>
    <w:p>
      <w:pPr/>
      <w:r>
        <w:rPr>
          <w:lang w:val="en_US" w:bidi="en_US"/>
        </w:rPr>
      </w:r>
      <w:r>
        <w:rPr>
          <w:lang w:val="en_US" w:bidi="en_US"/>
        </w:rPr>
        <w:t>Make sure that the connection between receiving much forgiveness and loving much is clear in your translation. See the examples in the notes for this verse.</w:t>
      </w:r>
    </w:p>
    <w:p>
      <w:pPr/>
      <w:r>
        <w:rPr>
          <w:lang w:val="en_US" w:bidi="en_US"/>
        </w:rPr>
      </w:r>
      <w:r>
        <w:rPr>
          <w:b/>
          <w:lang w:val="en_US" w:bidi="en_US"/>
        </w:rPr>
        <w:t>forgiven little loves little:</w:t>
      </w:r>
      <w:r>
        <w:rPr>
          <w:lang w:val="en_US" w:bidi="en_US"/>
        </w:rPr>
        <w:t xml:space="preserve"> In this verse Jesus also implied that Simon was like the man in the parable who owed only a small debt. This comparison is clear only because Jesus indicated that Simon did not show much love to him. This implies that Simon thought that he had not sinned much and did not need much forgiveness.</w:t>
      </w:r>
    </w:p>
    <w:p>
      <w:pPr>
        <w:pStyle w:val="Heading5"/>
      </w:pPr>
      <w:r>
        <w:rPr>
          <w:lang w:val="en_US" w:bidi="en_US"/>
        </w:rPr>
        <w:t>7:47a</w:t>
      </w:r>
    </w:p>
    <w:p>
      <w:pPr/>
      <w:r>
        <w:rPr>
          <w:lang w:val="en_US" w:bidi="en_US"/>
        </w:rPr>
      </w:r>
      <w:r>
        <w:rPr>
          <w:b/>
          <w:lang w:val="en_US" w:bidi="en_US"/>
        </w:rPr>
        <w:t>Therefore I tell you, because her many sins have been forgiven,</w:t>
      </w:r>
    </w:p>
    <w:p>
      <w:pPr>
        <w:pStyle w:val="ListBullet"/>
        <w:spacing w:line="240" w:lineRule="auto"/>
        <w:ind w:left="720"/>
      </w:pPr>
      <w:r>
        <w:rPr>
          <w:lang w:val="en_US" w:bidi="en_US"/>
        </w:rPr>
      </w:r>
      <w:r>
        <w:rPr>
          <w:lang w:val="en_US" w:bidi="en_US"/>
        </w:rPr>
        <w:t>For this reason it is clear that this woman has been forgiven of/for her many sins,</w:t>
      </w:r>
    </w:p>
    <w:p>
      <w:pPr>
        <w:pStyle w:val="ListBullet"/>
        <w:spacing w:line="240" w:lineRule="auto"/>
        <w:ind w:left="720"/>
      </w:pPr>
      <w:r>
        <w:rPr>
          <w:lang w:val="en_US" w:bidi="en_US"/>
        </w:rPr>
      </w:r>
      <w:r>
        <w:rPr>
          <w:lang w:val="en_US" w:bidi="en_US"/>
        </w:rPr>
        <w:t xml:space="preserve">And so I assure you that she has certainly received pardon/forgiveness for </w:t>
      </w:r>
      <w:r>
        <w:rPr>
          <w:lang w:val="en_US" w:bidi="en_US"/>
        </w:rPr>
        <w:t>all</w:t>
      </w:r>
      <w:r>
        <w:rPr>
          <w:lang w:val="en_US" w:bidi="en_US"/>
        </w:rPr>
        <w:t xml:space="preserve"> her numerous sins.</w:t>
      </w:r>
    </w:p>
    <w:p>
      <w:pPr>
        <w:pStyle w:val="ListBullet"/>
        <w:spacing w:line="240" w:lineRule="auto"/>
        <w:ind w:left="720"/>
      </w:pPr>
      <w:r>
        <w:rPr>
          <w:lang w:val="en_US" w:bidi="en_US"/>
        </w:rPr>
      </w:r>
      <w:r>
        <w:rPr>
          <w:lang w:val="en_US" w:bidi="en_US"/>
        </w:rPr>
        <w:t xml:space="preserve">I tell you that </w:t>
      </w:r>
      <w:r>
        <w:rPr>
          <w:lang w:val="en_US" w:bidi="en_US"/>
        </w:rPr>
        <w:t>I</w:t>
      </w:r>
      <w:r>
        <w:rPr>
          <w:lang w:val="en_US" w:bidi="en_US"/>
        </w:rPr>
        <w:t xml:space="preserve"> have certainly forgiven her for the many things that she has done wrong.</w:t>
      </w:r>
    </w:p>
    <w:p>
      <w:pPr>
        <w:pStyle w:val="Heading5"/>
      </w:pPr>
      <w:r>
        <w:rPr>
          <w:lang w:val="en_US" w:bidi="en_US"/>
        </w:rPr>
        <w:t>7:47b</w:t>
      </w:r>
    </w:p>
    <w:p>
      <w:pPr/>
      <w:r>
        <w:rPr>
          <w:lang w:val="en_US" w:bidi="en_US"/>
        </w:rPr>
      </w:r>
      <w:r>
        <w:rPr>
          <w:b/>
          <w:lang w:val="en_US" w:bidi="en_US"/>
        </w:rPr>
        <w:t>she has loved much.</w:t>
      </w:r>
    </w:p>
    <w:p>
      <w:pPr>
        <w:pStyle w:val="ListBullet"/>
        <w:spacing w:line="240" w:lineRule="auto"/>
        <w:ind w:left="720"/>
      </w:pPr>
      <w:r>
        <w:rPr>
          <w:lang w:val="en_US" w:bidi="en_US"/>
        </w:rPr>
      </w:r>
      <w:r>
        <w:rPr>
          <w:lang w:val="en_US" w:bidi="en_US"/>
        </w:rPr>
        <w:t>for her great love/gratitude is the evidence/proof.</w:t>
      </w:r>
    </w:p>
    <w:p>
      <w:pPr>
        <w:pStyle w:val="ListBullet"/>
        <w:spacing w:line="240" w:lineRule="auto"/>
        <w:ind w:left="720"/>
      </w:pPr>
      <w:r>
        <w:rPr>
          <w:lang w:val="en_US" w:bidi="en_US"/>
        </w:rPr>
      </w:r>
      <w:r>
        <w:rPr>
          <w:lang w:val="en_US" w:bidi="en_US"/>
        </w:rPr>
        <w:t xml:space="preserve">It/This is shown by how much she has loved </w:t>
      </w:r>
      <w:r>
        <w:rPr>
          <w:lang w:val="en_US" w:bidi="en_US"/>
        </w:rPr>
        <w:t>me</w:t>
      </w:r>
      <w:r>
        <w:rPr>
          <w:lang w:val="en_US" w:bidi="en_US"/>
        </w:rPr>
        <w:t>.</w:t>
      </w:r>
    </w:p>
    <w:p>
      <w:pPr>
        <w:pStyle w:val="ListBullet"/>
        <w:spacing w:line="240" w:lineRule="auto"/>
        <w:ind w:left="720"/>
      </w:pPr>
      <w:r>
        <w:rPr>
          <w:lang w:val="en_US" w:bidi="en_US"/>
        </w:rPr>
      </w:r>
      <w:r>
        <w:rPr>
          <w:lang w:val="en_US" w:bidi="en_US"/>
        </w:rPr>
        <w:t xml:space="preserve">This/That is the reason that she has shown </w:t>
      </w:r>
      <w:r>
        <w:rPr>
          <w:lang w:val="en_US" w:bidi="en_US"/>
        </w:rPr>
        <w:t>me</w:t>
      </w:r>
      <w:r>
        <w:rPr>
          <w:lang w:val="en_US" w:bidi="en_US"/>
        </w:rPr>
        <w:t xml:space="preserve"> so much love.</w:t>
      </w:r>
    </w:p>
    <w:p>
      <w:pPr>
        <w:pStyle w:val="Heading5"/>
      </w:pPr>
      <w:r>
        <w:rPr>
          <w:lang w:val="en_US" w:bidi="en_US"/>
        </w:rPr>
        <w:t>7:47a–b</w:t>
      </w:r>
    </w:p>
    <w:p>
      <w:pPr/>
      <w:r>
        <w:rPr>
          <w:lang w:val="en_US" w:bidi="en_US"/>
        </w:rPr>
      </w:r>
      <w:r>
        <w:rPr>
          <w:lang w:val="en_US" w:bidi="en_US"/>
        </w:rPr>
        <w:t>Some English versinos, such as the ESV, NIV, and NLT, connect 7:47a and 7:47b with a dash. Other English versions do not use a dash here. It is probably not necessary to use a dash in your translation.</w:t>
      </w:r>
    </w:p>
    <w:p>
      <w:pPr/>
      <w:r>
        <w:rPr>
          <w:lang w:val="en_US" w:bidi="en_US"/>
        </w:rPr>
      </w:r>
      <w:r>
        <w:rPr>
          <w:b/>
          <w:lang w:val="en_US" w:bidi="en_US"/>
        </w:rPr>
        <w:t>Therefore:</w:t>
      </w:r>
      <w:r>
        <w:rPr>
          <w:lang w:val="en_US" w:bidi="en_US"/>
        </w:rPr>
        <w:t xml:space="preserve"> The Greek word that the BSB translates as </w:t>
      </w:r>
      <w:r>
        <w:rPr>
          <w:i/>
          <w:lang w:val="en_US" w:bidi="en_US"/>
        </w:rPr>
        <w:t>Therefore</w:t>
      </w:r>
      <w:r>
        <w:rPr>
          <w:lang w:val="en_US" w:bidi="en_US"/>
        </w:rPr>
        <w:t xml:space="preserve"> means “for this reason.” It introduces a conclusion. Jesus concluded that the woman showed so much love to him because she was grateful to him for forgiving her many sins. The way that she behaved toward him proved that this was true. Other ways to express this connection in English are:</w:t>
      </w:r>
    </w:p>
    <w:p>
      <w:pPr/>
      <w:r>
        <w:rPr>
          <w:lang w:val="en_US" w:bidi="en_US"/>
        </w:rPr>
      </w:r>
      <w:r>
        <w:rPr>
          <w:lang w:val="en_US" w:bidi="en_US"/>
        </w:rPr>
        <w:t>I tell you, then, the great love she has shown proves that her many sins have been forgiven. (GNT)</w:t>
      </w:r>
    </w:p>
    <w:p>
      <w:pPr/>
      <w:r>
        <w:rPr>
          <w:lang w:val="en_US" w:bidi="en_US"/>
        </w:rPr>
      </w:r>
      <w:r>
        <w:rPr>
          <w:lang w:val="en_US" w:bidi="en_US"/>
        </w:rPr>
        <w:t>That’s why I’m telling you that her many sins have been forgiven. Her great love proves that. (GW)</w:t>
      </w:r>
    </w:p>
    <w:p>
      <w:pPr/>
      <w:r>
        <w:rPr>
          <w:lang w:val="en_US" w:bidi="en_US"/>
        </w:rPr>
      </w:r>
      <w:r>
        <w:rPr>
          <w:lang w:val="en_US" w:bidi="en_US"/>
        </w:rPr>
        <w:t>So, I tell you, her great love proves that her many sins have been forgiven… (REB)</w:t>
      </w:r>
    </w:p>
    <w:p>
      <w:pPr/>
      <w:r>
        <w:rPr>
          <w:lang w:val="en_US" w:bidi="en_US"/>
        </w:rPr>
      </w:r>
      <w:r>
        <w:rPr>
          <w:lang w:val="en_US" w:bidi="en_US"/>
        </w:rPr>
        <w:t xml:space="preserve">The conjunction </w:t>
      </w:r>
      <w:r>
        <w:rPr>
          <w:i/>
          <w:lang w:val="en_US" w:bidi="en_US"/>
        </w:rPr>
        <w:t>Therefore</w:t>
      </w:r>
      <w:r>
        <w:rPr>
          <w:lang w:val="en_US" w:bidi="en_US"/>
        </w:rPr>
        <w:t xml:space="preserve"> works together with the conjunction “for” in 7:47b. Consider the meaning of the whole statement and connect it to the context in a natural way in your language.</w:t>
      </w:r>
    </w:p>
    <w:p>
      <w:pPr/>
      <w:r>
        <w:rPr>
          <w:lang w:val="en_US" w:bidi="en_US"/>
        </w:rPr>
      </w:r>
      <w:r>
        <w:rPr>
          <w:b/>
          <w:lang w:val="en_US" w:bidi="en_US"/>
        </w:rPr>
        <w:t>I tell you:</w:t>
      </w:r>
      <w:r>
        <w:rPr>
          <w:lang w:val="en_US" w:bidi="en_US"/>
        </w:rPr>
        <w:t xml:space="preserve"> Jesus often used the words </w:t>
      </w:r>
      <w:r>
        <w:rPr>
          <w:i/>
          <w:lang w:val="en_US" w:bidi="en_US"/>
        </w:rPr>
        <w:t>I tell you</w:t>
      </w:r>
      <w:r>
        <w:rPr>
          <w:lang w:val="en_US" w:bidi="en_US"/>
        </w:rPr>
        <w:t xml:space="preserve"> to begin a statement that he wanted to emphasize. It indicates that the statement was important and that people should listen carefully to it. Some other ways to show this emphasis are:</w:t>
      </w:r>
    </w:p>
    <w:p>
      <w:pPr>
        <w:pStyle w:val="ListBullet"/>
        <w:spacing w:line="240" w:lineRule="auto"/>
        <w:ind w:left="720"/>
      </w:pPr>
      <w:r>
        <w:rPr>
          <w:lang w:val="en_US" w:bidi="en_US"/>
        </w:rPr>
      </w:r>
      <w:r>
        <w:rPr>
          <w:lang w:val="en_US" w:bidi="en_US"/>
        </w:rPr>
        <w:t>Use a phrase before Jesus’ statement. For example:</w:t>
      </w:r>
      <w:r>
        <w:rPr>
          <w:lang w:val="en_US" w:bidi="en_US"/>
        </w:rPr>
        <w:t>Let me tell you this</w:t>
      </w:r>
      <w:r>
        <w:rPr>
          <w:lang w:val="en_US" w:bidi="en_US"/>
        </w:rPr>
        <w:t>Listen</w:t>
      </w:r>
      <w:r>
        <w:rPr>
          <w:lang w:val="en_US" w:bidi="en_US"/>
        </w:rPr>
        <w:t>I assure you</w:t>
      </w:r>
    </w:p>
    <w:p>
      <w:pPr>
        <w:pStyle w:val="ListBullet"/>
        <w:spacing w:line="240" w:lineRule="auto"/>
        <w:ind w:left="720"/>
      </w:pPr>
      <w:r>
        <w:rPr>
          <w:lang w:val="en_US" w:bidi="en_US"/>
        </w:rPr>
      </w:r>
      <w:r>
        <w:rPr>
          <w:lang w:val="en_US" w:bidi="en_US"/>
        </w:rPr>
        <w:t>Use an emphatic word within Jesus’ statement. For example:</w:t>
      </w:r>
      <w:r>
        <w:rPr>
          <w:lang w:val="en_US" w:bidi="en_US"/>
        </w:rPr>
        <w:t xml:space="preserve">her many sins have </w:t>
      </w:r>
      <w:r>
        <w:rPr>
          <w:u w:val="single"/>
          <w:lang w:val="en_US" w:bidi="en_US"/>
        </w:rPr>
        <w:t>certainly</w:t>
      </w:r>
      <w:r>
        <w:rPr>
          <w:lang w:val="en_US" w:bidi="en_US"/>
        </w:rPr>
        <w:t xml:space="preserve"> been forgiven.</w:t>
      </w:r>
    </w:p>
    <w:p>
      <w:pPr/>
      <w:r>
        <w:rPr>
          <w:lang w:val="en_US" w:bidi="en_US"/>
        </w:rPr>
      </w:r>
      <w:r>
        <w:rPr>
          <w:lang w:val="en_US" w:bidi="en_US"/>
        </w:rPr>
        <w:t>If you have another way in your language to emphasize an important statement, consider using it here.</w:t>
      </w:r>
    </w:p>
    <w:p>
      <w:pPr/>
      <w:r>
        <w:rPr>
          <w:lang w:val="en_US" w:bidi="en_US"/>
        </w:rPr>
      </w:r>
      <w:r>
        <w:rPr>
          <w:lang w:val="en_US" w:bidi="en_US"/>
        </w:rPr>
        <w:t>See 7:26c and 7:28a, where the same phrase occurs.</w:t>
      </w:r>
    </w:p>
    <w:p>
      <w:pPr/>
      <w:r>
        <w:rPr>
          <w:lang w:val="en_US" w:bidi="en_US"/>
        </w:rPr>
      </w:r>
      <w:r>
        <w:rPr>
          <w:b/>
          <w:lang w:val="en_US" w:bidi="en_US"/>
        </w:rPr>
        <w:t>because her many sins have been forgiven, she has loved much:</w:t>
      </w:r>
      <w:r>
        <w:rPr>
          <w:lang w:val="en_US" w:bidi="en_US"/>
        </w:rPr>
        <w:t xml:space="preserve"> The Greek clause that the BSB translates as </w:t>
      </w:r>
      <w:r>
        <w:rPr>
          <w:i/>
          <w:lang w:val="en_US" w:bidi="en_US"/>
        </w:rPr>
        <w:t>because her many sins have been forgiven, she has loved much</w:t>
      </w:r>
      <w:r>
        <w:rPr>
          <w:lang w:val="en_US" w:bidi="en_US"/>
        </w:rPr>
        <w:t xml:space="preserve"> is literally “her many sins have been forgiven, for she has loved much.” The Greek conjunction “for” indicates “as is shown by the fact that.” It implies that the woman’s love for Jesus was the proof that she understood for how much Jesus had forgiven her.</w:t>
      </w:r>
    </w:p>
    <w:p>
      <w:pPr/>
      <w:r>
        <w:rPr>
          <w:lang w:val="en_US" w:bidi="en_US"/>
        </w:rPr>
      </w:r>
      <w:r>
        <w:rPr>
          <w:lang w:val="en_US" w:bidi="en_US"/>
        </w:rPr>
        <w:t>There are a number of ways to express the connection between these ideas:</w:t>
      </w:r>
    </w:p>
    <w:p>
      <w:pPr/>
      <w:r>
        <w:rPr>
          <w:lang w:val="en_US" w:bidi="en_US"/>
        </w:rPr>
      </w:r>
      <w:r>
        <w:rPr>
          <w:u w:val="single"/>
          <w:lang w:val="en_US" w:bidi="en_US"/>
        </w:rPr>
        <w:t>it is clear</w:t>
      </w:r>
      <w:r>
        <w:rPr>
          <w:lang w:val="en_US" w:bidi="en_US"/>
        </w:rPr>
        <w:t xml:space="preserve"> that she must have been forgiven </w:t>
      </w:r>
      <w:r>
        <w:rPr>
          <w:u w:val="single"/>
          <w:lang w:val="en_US" w:bidi="en_US"/>
        </w:rPr>
        <w:t>because</w:t>
      </w:r>
      <w:r>
        <w:rPr>
          <w:lang w:val="en_US" w:bidi="en_US"/>
        </w:rPr>
        <w:t xml:space="preserve"> she loved/loves much</w:t>
      </w:r>
    </w:p>
    <w:p>
      <w:pPr/>
      <w:r>
        <w:rPr>
          <w:lang w:val="en_US" w:bidi="en_US"/>
        </w:rPr>
      </w:r>
      <w:r>
        <w:rPr>
          <w:lang w:val="en_US" w:bidi="en_US"/>
        </w:rPr>
        <w:t xml:space="preserve">her many sins are forgiven, </w:t>
      </w:r>
      <w:r>
        <w:rPr>
          <w:u w:val="single"/>
          <w:lang w:val="en_US" w:bidi="en_US"/>
        </w:rPr>
        <w:t>so</w:t>
      </w:r>
      <w:r>
        <w:rPr>
          <w:lang w:val="en_US" w:bidi="en_US"/>
        </w:rPr>
        <w:t xml:space="preserve"> she showed great love (NCV)</w:t>
      </w:r>
    </w:p>
    <w:p>
      <w:pPr/>
      <w:r>
        <w:rPr>
          <w:lang w:val="en_US" w:bidi="en_US"/>
        </w:rPr>
      </w:r>
      <w:r>
        <w:rPr>
          <w:lang w:val="en_US" w:bidi="en_US"/>
        </w:rPr>
        <w:t>Express this connection in a clear way in your language.</w:t>
      </w:r>
    </w:p>
    <w:p>
      <w:pPr/>
      <w:r>
        <w:rPr>
          <w:lang w:val="en_US" w:bidi="en_US"/>
        </w:rPr>
      </w:r>
      <w:r>
        <w:rPr>
          <w:lang w:val="en_US" w:bidi="en_US"/>
        </w:rPr>
        <w:t xml:space="preserve">The clause </w:t>
      </w:r>
      <w:r>
        <w:rPr>
          <w:i/>
          <w:lang w:val="en_US" w:bidi="en_US"/>
        </w:rPr>
        <w:t>her many sins have been forgiven</w:t>
      </w:r>
      <w:r>
        <w:rPr>
          <w:lang w:val="en_US" w:bidi="en_US"/>
        </w:rPr>
        <w:t xml:space="preserve"> is passive. In some languages it may be necessary to translate it without using a passive verb. For example:</w:t>
      </w:r>
    </w:p>
    <w:p>
      <w:pPr/>
      <w:r>
        <w:rPr>
          <w:lang w:val="en_US" w:bidi="en_US"/>
        </w:rPr>
      </w:r>
      <w:r>
        <w:rPr>
          <w:lang w:val="en_US" w:bidi="en_US"/>
        </w:rPr>
        <w:t>she has received forgiveness/pardon for her many sins</w:t>
      </w:r>
    </w:p>
    <w:p>
      <w:pPr/>
      <w:r>
        <w:rPr>
          <w:lang w:val="en_US" w:bidi="en_US"/>
        </w:rPr>
      </w:r>
      <w:r>
        <w:rPr>
          <w:lang w:val="en_US" w:bidi="en_US"/>
        </w:rPr>
        <w:t>In some languages it may be helpful to say who had forgiven the woman’s sins. If that is true in your language, you may specify that Jesus had forgiven her sins.</w:t>
      </w:r>
      <w:r>
        <w:rPr>
          <w:lang w:val="en_US" w:bidi="en_US"/>
        </w:rPr>
        <w:t>In the parable that Jesus told, he showed that it was natural for the men to be thankful to the person who had canceled their debts. In the same way, this woman was thankful to Jesus for forgiving her, and that is why she showed great love to him.</w:t>
      </w:r>
      <w:r>
        <w:rPr>
          <w:lang w:val="en_US" w:bidi="en_US"/>
        </w:rPr>
        <w:t xml:space="preserve"> For example:</w:t>
      </w:r>
    </w:p>
    <w:p>
      <w:pPr/>
      <w:r>
        <w:rPr>
          <w:lang w:val="en_US" w:bidi="en_US"/>
        </w:rPr>
      </w:r>
      <w:r>
        <w:rPr>
          <w:lang w:val="en_US" w:bidi="en_US"/>
        </w:rPr>
        <w:t>I</w:t>
      </w:r>
      <w:r>
        <w:rPr>
          <w:lang w:val="en_US" w:bidi="en_US"/>
        </w:rPr>
        <w:t xml:space="preserve"> have forgiven her many sins</w:t>
      </w:r>
    </w:p>
    <w:p>
      <w:pPr/>
      <w:r>
        <w:rPr>
          <w:lang w:val="en_US" w:bidi="en_US"/>
        </w:rPr>
      </w:r>
      <w:r>
        <w:rPr>
          <w:lang w:val="en_US" w:bidi="en_US"/>
        </w:rPr>
        <w:t>I</w:t>
      </w:r>
      <w:r>
        <w:rPr>
          <w:lang w:val="en_US" w:bidi="en_US"/>
        </w:rPr>
        <w:t xml:space="preserve"> have forgiven her for the many times that she has sinned</w:t>
      </w:r>
    </w:p>
    <w:p>
      <w:pPr/>
      <w:r>
        <w:rPr>
          <w:lang w:val="en_US" w:bidi="en_US"/>
        </w:rPr>
      </w:r>
      <w:r>
        <w:rPr>
          <w:b/>
          <w:lang w:val="en_US" w:bidi="en_US"/>
        </w:rPr>
        <w:t>her many sins:</w:t>
      </w:r>
      <w:r>
        <w:rPr>
          <w:lang w:val="en_US" w:bidi="en_US"/>
        </w:rPr>
        <w:t xml:space="preserve"> In this context the phrase </w:t>
      </w:r>
      <w:r>
        <w:rPr>
          <w:i/>
          <w:lang w:val="en_US" w:bidi="en_US"/>
        </w:rPr>
        <w:t>her many sins</w:t>
      </w:r>
      <w:r>
        <w:rPr>
          <w:lang w:val="en_US" w:bidi="en_US"/>
        </w:rPr>
        <w:t xml:space="preserve"> refers to the woman’s sins against God. Jesus used the phrase in a general way to refer to the sinful things that she had done in her life. He was not implying that the woman had offended him personally.</w:t>
      </w:r>
    </w:p>
    <w:p>
      <w:pPr/>
      <w:r>
        <w:rPr>
          <w:lang w:val="en_US" w:bidi="en_US"/>
        </w:rPr>
      </w:r>
      <w:r>
        <w:rPr>
          <w:lang w:val="en_US" w:bidi="en_US"/>
        </w:rPr>
        <w:t xml:space="preserve">In general, the word </w:t>
      </w:r>
      <w:r>
        <w:rPr>
          <w:i/>
          <w:lang w:val="en_US" w:bidi="en_US"/>
        </w:rPr>
        <w:t>sins</w:t>
      </w:r>
      <w:r>
        <w:rPr>
          <w:lang w:val="en_US" w:bidi="en_US"/>
        </w:rPr>
        <w:t xml:space="preserve"> refers to offenses against God. These </w:t>
      </w:r>
      <w:r>
        <w:rPr>
          <w:i/>
          <w:lang w:val="en_US" w:bidi="en_US"/>
        </w:rPr>
        <w:t>sins</w:t>
      </w:r>
      <w:r>
        <w:rPr>
          <w:lang w:val="en_US" w:bidi="en_US"/>
        </w:rPr>
        <w:t xml:space="preserve"> include acts, thoughts, and attitudes that are not what God wants or approves.</w:t>
      </w:r>
      <w:r>
        <w:rPr>
          <w:lang w:val="en_US" w:bidi="en_US"/>
        </w:rPr>
        <w:t xml:space="preserve">In Greek, the verb that English versions translate as </w:t>
      </w:r>
      <w:r>
        <w:rPr>
          <w:i/>
          <w:lang w:val="en_US" w:bidi="en_US"/>
        </w:rPr>
        <w:t>sin</w:t>
      </w:r>
      <w:r>
        <w:rPr>
          <w:lang w:val="en_US" w:bidi="en_US"/>
        </w:rPr>
        <w:t xml:space="preserve"> is also a term that is used in archery to mean “miss the target.” When a person sins, he “misses” the target, that is, he fails to reach God’s standard.</w:t>
      </w:r>
      <w:r>
        <w:rPr>
          <w:lang w:val="en_US" w:bidi="en_US"/>
        </w:rPr>
        <w:t xml:space="preserve"> A person can also offend God by not doing what God wants him to do. God is also offended by actions that a person does to harm other people.</w:t>
      </w:r>
    </w:p>
    <w:p>
      <w:pPr/>
      <w:r>
        <w:rPr>
          <w:lang w:val="en_US" w:bidi="en_US"/>
        </w:rPr>
      </w:r>
      <w:r>
        <w:rPr>
          <w:lang w:val="en_US" w:bidi="en_US"/>
        </w:rPr>
        <w:t xml:space="preserve">It is helpful to translate </w:t>
      </w:r>
      <w:r>
        <w:rPr>
          <w:i/>
          <w:lang w:val="en_US" w:bidi="en_US"/>
        </w:rPr>
        <w:t>sins</w:t>
      </w:r>
      <w:r>
        <w:rPr>
          <w:lang w:val="en_US" w:bidi="en_US"/>
        </w:rPr>
        <w:t xml:space="preserve"> with a general term that can include any offense against God. Here are problems to avoid:</w:t>
      </w:r>
    </w:p>
    <w:p>
      <w:pPr>
        <w:pStyle w:val="ListNumber"/>
        <w:numPr>
          <w:ilvl w:val="0"/>
          <w:numId w:val="166"/>
        </w:numPr>
        <w:spacing w:line="240" w:lineRule="auto"/>
        <w:ind w:left="720"/>
      </w:pPr>
      <w:r>
        <w:rPr>
          <w:lang w:val="en_US" w:bidi="en_US"/>
        </w:rPr>
      </w:r>
      <w:r>
        <w:rPr>
          <w:lang w:val="en_US" w:bidi="en_US"/>
        </w:rPr>
        <w:t>The term should not imply that only serious crimes like murder or stealing are sins. Other offenses like gossip and greed are also sins.</w:t>
      </w:r>
    </w:p>
    <w:p>
      <w:pPr>
        <w:pStyle w:val="ListNumber"/>
        <w:spacing w:line="240" w:lineRule="auto"/>
        <w:ind w:left="720"/>
      </w:pPr>
      <w:r>
        <w:rPr>
          <w:lang w:val="en_US" w:bidi="en_US"/>
        </w:rPr>
      </w:r>
      <w:r>
        <w:rPr>
          <w:lang w:val="en_US" w:bidi="en_US"/>
        </w:rPr>
        <w:t>The term should not include accidents or mistakes that are not against God’s will.</w:t>
      </w:r>
    </w:p>
    <w:p>
      <w:pPr/>
      <w:r>
        <w:rPr>
          <w:lang w:val="en_US" w:bidi="en_US"/>
        </w:rPr>
      </w:r>
      <w:r>
        <w:rPr>
          <w:lang w:val="en_US" w:bidi="en_US"/>
        </w:rPr>
        <w:t xml:space="preserve">See </w:t>
      </w:r>
      <w:r>
        <w:rPr>
          <w:u w:val="single"/>
          <w:lang w:val="en_US" w:bidi="en_US"/>
        </w:rPr>
        <w:t>sin, sense A</w:t>
      </w:r>
      <w:r>
        <w:rPr>
          <w:lang w:val="en_US" w:bidi="en_US"/>
        </w:rPr>
        <w:t>, in KBT.</w:t>
      </w:r>
    </w:p>
    <w:p>
      <w:pPr/>
      <w:r>
        <w:rPr>
          <w:lang w:val="en_US" w:bidi="en_US"/>
        </w:rPr>
      </w:r>
      <w:r>
        <w:rPr>
          <w:lang w:val="en_US" w:bidi="en_US"/>
        </w:rPr>
        <w:t xml:space="preserve">Some ways to translate </w:t>
      </w:r>
      <w:r>
        <w:rPr>
          <w:i/>
          <w:lang w:val="en_US" w:bidi="en_US"/>
        </w:rPr>
        <w:t>sins</w:t>
      </w:r>
      <w:r>
        <w:rPr>
          <w:lang w:val="en_US" w:bidi="en_US"/>
        </w:rPr>
        <w:t xml:space="preserve"> are:</w:t>
      </w:r>
    </w:p>
    <w:p>
      <w:pPr/>
      <w:r>
        <w:rPr>
          <w:lang w:val="en_US" w:bidi="en_US"/>
        </w:rPr>
      </w:r>
      <w:r>
        <w:rPr>
          <w:lang w:val="en_US" w:bidi="en_US"/>
        </w:rPr>
        <w:t>wrong acts</w:t>
      </w:r>
    </w:p>
    <w:p>
      <w:pPr/>
      <w:r>
        <w:rPr>
          <w:lang w:val="en_US" w:bidi="en_US"/>
        </w:rPr>
      </w:r>
      <w:r>
        <w:rPr>
          <w:lang w:val="en_US" w:bidi="en_US"/>
        </w:rPr>
        <w:t xml:space="preserve">offenses </w:t>
      </w:r>
      <w:r>
        <w:rPr>
          <w:lang w:val="en_US" w:bidi="en_US"/>
        </w:rPr>
        <w:t>against God</w:t>
      </w:r>
    </w:p>
    <w:p>
      <w:pPr/>
      <w:r>
        <w:rPr>
          <w:lang w:val="en_US" w:bidi="en_US"/>
        </w:rPr>
      </w:r>
      <w:r>
        <w:rPr>
          <w:lang w:val="en_US" w:bidi="en_US"/>
        </w:rPr>
        <w:t xml:space="preserve">In some languages it may be natural to translate </w:t>
      </w:r>
      <w:r>
        <w:rPr>
          <w:i/>
          <w:lang w:val="en_US" w:bidi="en_US"/>
        </w:rPr>
        <w:t>sins</w:t>
      </w:r>
      <w:r>
        <w:rPr>
          <w:lang w:val="en_US" w:bidi="en_US"/>
        </w:rPr>
        <w:t xml:space="preserve"> with a phrase that includes a verb. For example:</w:t>
      </w:r>
    </w:p>
    <w:p>
      <w:pPr/>
      <w:r>
        <w:rPr>
          <w:lang w:val="en_US" w:bidi="en_US"/>
        </w:rPr>
      </w:r>
      <w:r>
        <w:rPr>
          <w:lang w:val="en_US" w:bidi="en_US"/>
        </w:rPr>
        <w:t>the things that she has done wrong</w:t>
      </w:r>
    </w:p>
    <w:p>
      <w:pPr/>
      <w:r>
        <w:rPr>
          <w:lang w:val="en_US" w:bidi="en_US"/>
        </w:rPr>
      </w:r>
      <w:r>
        <w:rPr>
          <w:b/>
          <w:lang w:val="en_US" w:bidi="en_US"/>
        </w:rPr>
        <w:t>have been forgiven:</w:t>
      </w:r>
      <w:r>
        <w:rPr>
          <w:lang w:val="en_US" w:bidi="en_US"/>
        </w:rPr>
        <w:t xml:space="preserve"> The verb form that the BSB translates as </w:t>
      </w:r>
      <w:r>
        <w:rPr>
          <w:i/>
          <w:lang w:val="en_US" w:bidi="en_US"/>
        </w:rPr>
        <w:t>have been forgiven</w:t>
      </w:r>
      <w:r>
        <w:rPr>
          <w:lang w:val="en_US" w:bidi="en_US"/>
        </w:rPr>
        <w:t xml:space="preserve"> indicates that at a previous time in the past the woman’s sins were forgiven. The woman continued to live as a forgiven person. Use a natural form in your language to describe an action in the past that continues to be effective in the present.</w:t>
      </w:r>
    </w:p>
    <w:p>
      <w:pPr/>
      <w:r>
        <w:rPr>
          <w:lang w:val="en_US" w:bidi="en_US"/>
        </w:rPr>
      </w:r>
      <w:r>
        <w:rPr>
          <w:lang w:val="en_US" w:bidi="en_US"/>
        </w:rPr>
        <w:t xml:space="preserve">In this context the verb </w:t>
      </w:r>
      <w:r>
        <w:rPr>
          <w:i/>
          <w:lang w:val="en_US" w:bidi="en_US"/>
        </w:rPr>
        <w:t>have been forgiven</w:t>
      </w:r>
      <w:r>
        <w:rPr>
          <w:lang w:val="en_US" w:bidi="en_US"/>
        </w:rPr>
        <w:t xml:space="preserve"> indicates Jesus forgave the woman for all that she had ever done that was wrong. As a result, God would not punish her for any of her sins. He would cancel her guilt and treat her as though she had never sinned. Some other ways to translate </w:t>
      </w:r>
      <w:r>
        <w:rPr>
          <w:i/>
          <w:lang w:val="en_US" w:bidi="en_US"/>
        </w:rPr>
        <w:t>have been forgiven</w:t>
      </w:r>
      <w:r>
        <w:rPr>
          <w:lang w:val="en_US" w:bidi="en_US"/>
        </w:rPr>
        <w:t xml:space="preserve"> are:</w:t>
      </w:r>
    </w:p>
    <w:p>
      <w:pPr/>
      <w:r>
        <w:rPr>
          <w:lang w:val="en_US" w:bidi="en_US"/>
        </w:rPr>
      </w:r>
      <w:r>
        <w:rPr>
          <w:lang w:val="en_US" w:bidi="en_US"/>
        </w:rPr>
        <w:t>have been pardoned</w:t>
      </w:r>
    </w:p>
    <w:p>
      <w:pPr/>
      <w:r>
        <w:rPr>
          <w:lang w:val="en_US" w:bidi="en_US"/>
        </w:rPr>
      </w:r>
      <w:r>
        <w:rPr>
          <w:lang w:val="en_US" w:bidi="en_US"/>
        </w:rPr>
        <w:t>have been canceled</w:t>
      </w:r>
    </w:p>
    <w:p>
      <w:pPr/>
      <w:r>
        <w:rPr>
          <w:lang w:val="en_US" w:bidi="en_US"/>
        </w:rPr>
      </w:r>
      <w:r>
        <w:rPr>
          <w:lang w:val="en_US" w:bidi="en_US"/>
        </w:rPr>
        <w:t>have been taken away</w:t>
      </w:r>
    </w:p>
    <w:p>
      <w:pPr/>
      <w:r>
        <w:rPr>
          <w:lang w:val="en_US" w:bidi="en_US"/>
        </w:rPr>
      </w:r>
      <w:r>
        <w:rPr>
          <w:lang w:val="en_US" w:bidi="en_US"/>
        </w:rPr>
        <w:t xml:space="preserve">See also </w:t>
      </w:r>
      <w:r>
        <w:rPr>
          <w:u w:val="single"/>
          <w:lang w:val="en_US" w:bidi="en_US"/>
        </w:rPr>
        <w:t>forgive</w:t>
      </w:r>
      <w:r>
        <w:rPr>
          <w:lang w:val="en_US" w:bidi="en_US"/>
        </w:rPr>
        <w:t xml:space="preserve"> in KBT.</w:t>
      </w:r>
    </w:p>
    <w:p>
      <w:pPr/>
      <w:r>
        <w:rPr>
          <w:lang w:val="en_US" w:bidi="en_US"/>
        </w:rPr>
      </w:r>
      <w:r>
        <w:rPr>
          <w:b/>
          <w:lang w:val="en_US" w:bidi="en_US"/>
        </w:rPr>
        <w:t>she has loved much:</w:t>
      </w:r>
      <w:r>
        <w:rPr>
          <w:lang w:val="en_US" w:bidi="en_US"/>
        </w:rPr>
        <w:t xml:space="preserve"> In this context the word </w:t>
      </w:r>
      <w:r>
        <w:rPr>
          <w:i/>
          <w:lang w:val="en_US" w:bidi="en_US"/>
        </w:rPr>
        <w:t>loved</w:t>
      </w:r>
      <w:r>
        <w:rPr>
          <w:lang w:val="en_US" w:bidi="en_US"/>
        </w:rPr>
        <w:t xml:space="preserve"> refers to showing devotion and affection to a person. The love here is based on gratitude. If the word that you use for “love” refers more to a feeling than an action, you may need to add a word like “shown” or “demonstrated” to this clause. For example:</w:t>
      </w:r>
    </w:p>
    <w:p>
      <w:pPr/>
      <w:r>
        <w:rPr>
          <w:lang w:val="en_US" w:bidi="en_US"/>
        </w:rPr>
      </w:r>
      <w:r>
        <w:rPr>
          <w:lang w:val="en_US" w:bidi="en_US"/>
        </w:rPr>
        <w:t>she has shown that she loves (me) very much</w:t>
      </w:r>
    </w:p>
    <w:p>
      <w:pPr/>
      <w:r>
        <w:rPr>
          <w:lang w:val="en_US" w:bidi="en_US"/>
        </w:rPr>
      </w:r>
      <w:r>
        <w:rPr>
          <w:lang w:val="en_US" w:bidi="en_US"/>
        </w:rPr>
        <w:t xml:space="preserve">See how you translated “love” in 7:42c. See also </w:t>
      </w:r>
      <w:r>
        <w:rPr>
          <w:u w:val="single"/>
          <w:lang w:val="en_US" w:bidi="en_US"/>
        </w:rPr>
        <w:t>love, sense A1(b)</w:t>
      </w:r>
      <w:r>
        <w:rPr>
          <w:lang w:val="en_US" w:bidi="en_US"/>
        </w:rPr>
        <w:t>, in KBT for more information.</w:t>
      </w:r>
    </w:p>
    <w:p>
      <w:pPr>
        <w:pStyle w:val="Heading5"/>
      </w:pPr>
      <w:r>
        <w:rPr>
          <w:lang w:val="en_US" w:bidi="en_US"/>
        </w:rPr>
        <w:t>7:47c</w:t>
      </w:r>
    </w:p>
    <w:p>
      <w:pPr/>
      <w:r>
        <w:rPr>
          <w:lang w:val="en_US" w:bidi="en_US"/>
        </w:rPr>
      </w:r>
      <w:r>
        <w:rPr>
          <w:b/>
          <w:lang w:val="en_US" w:bidi="en_US"/>
        </w:rPr>
        <w:t>But he who has been forgiven little loves little.”</w:t>
      </w:r>
    </w:p>
    <w:p>
      <w:pPr>
        <w:pStyle w:val="ListBullet"/>
        <w:spacing w:line="240" w:lineRule="auto"/>
        <w:ind w:left="720"/>
      </w:pPr>
      <w:r>
        <w:rPr>
          <w:lang w:val="en_US" w:bidi="en_US"/>
        </w:rPr>
      </w:r>
      <w:r>
        <w:rPr>
          <w:lang w:val="en_US" w:bidi="en_US"/>
        </w:rPr>
        <w:t xml:space="preserve">But if a person sins in small ways and is forgiven for </w:t>
      </w:r>
      <w:r>
        <w:rPr>
          <w:lang w:val="en_US" w:bidi="en_US"/>
        </w:rPr>
        <w:t>only</w:t>
      </w:r>
      <w:r>
        <w:rPr>
          <w:lang w:val="en_US" w:bidi="en_US"/>
        </w:rPr>
        <w:t xml:space="preserve"> those sins, that person will love </w:t>
      </w:r>
      <w:r>
        <w:rPr>
          <w:lang w:val="en_US" w:bidi="en_US"/>
        </w:rPr>
        <w:t>the one who forgives him</w:t>
      </w:r>
      <w:r>
        <w:rPr>
          <w:lang w:val="en_US" w:bidi="en_US"/>
        </w:rPr>
        <w:t xml:space="preserve"> only a little.</w:t>
      </w:r>
    </w:p>
    <w:p>
      <w:pPr>
        <w:pStyle w:val="ListBullet"/>
        <w:spacing w:line="240" w:lineRule="auto"/>
        <w:ind w:left="720"/>
      </w:pPr>
      <w:r>
        <w:rPr>
          <w:lang w:val="en_US" w:bidi="en_US"/>
        </w:rPr>
      </w:r>
      <w:r>
        <w:rPr>
          <w:lang w:val="en_US" w:bidi="en_US"/>
        </w:rPr>
        <w:t xml:space="preserve">But the person who </w:t>
      </w:r>
      <w:r>
        <w:rPr>
          <w:lang w:val="en_US" w:bidi="en_US"/>
        </w:rPr>
        <w:t>thinks that he needs</w:t>
      </w:r>
      <w:r>
        <w:rPr>
          <w:lang w:val="en_US" w:bidi="en_US"/>
        </w:rPr>
        <w:t xml:space="preserve"> little pardon/forgiveness shows little love/gratitude </w:t>
      </w:r>
      <w:r>
        <w:rPr>
          <w:lang w:val="en_US" w:bidi="en_US"/>
        </w:rPr>
        <w:t>to the one who forgives him</w:t>
      </w:r>
      <w:r>
        <w:rPr>
          <w:lang w:val="en_US" w:bidi="en_US"/>
        </w:rPr>
        <w:t>.”</w:t>
      </w:r>
    </w:p>
    <w:p>
      <w:pPr/>
      <w:r>
        <w:rPr>
          <w:lang w:val="en_US" w:bidi="en_US"/>
        </w:rPr>
      </w:r>
      <w:r>
        <w:rPr>
          <w:b/>
          <w:lang w:val="en_US" w:bidi="en_US"/>
        </w:rPr>
        <w:t>But he who has been forgiven little loves little:</w:t>
      </w:r>
      <w:r>
        <w:rPr>
          <w:lang w:val="en_US" w:bidi="en_US"/>
        </w:rPr>
        <w:t xml:space="preserve"> This clause expresses a fact that is true of people in general. It does not refer to Simon alone, but it explains Simon’s actions. Simon showed little love for Jesus because he did not think that he needed much forgiveness. Simon did not realize that he had sinned many times. In some languages it may be necessary to make this meaning more explicit. For example:</w:t>
      </w:r>
    </w:p>
    <w:p>
      <w:pPr/>
      <w:r>
        <w:rPr>
          <w:lang w:val="en_US" w:bidi="en_US"/>
        </w:rPr>
      </w:r>
      <w:r>
        <w:rPr>
          <w:lang w:val="en_US" w:bidi="en_US"/>
        </w:rPr>
        <w:t xml:space="preserve">But whoever </w:t>
      </w:r>
      <w:r>
        <w:rPr>
          <w:lang w:val="en_US" w:bidi="en_US"/>
        </w:rPr>
        <w:t>thinks that he</w:t>
      </w:r>
      <w:r>
        <w:rPr>
          <w:lang w:val="en_US" w:bidi="en_US"/>
        </w:rPr>
        <w:t xml:space="preserve"> does not </w:t>
      </w:r>
      <w:r>
        <w:rPr>
          <w:lang w:val="en_US" w:bidi="en_US"/>
        </w:rPr>
        <w:t>need</w:t>
      </w:r>
      <w:r>
        <w:rPr>
          <w:lang w:val="en_US" w:bidi="en_US"/>
        </w:rPr>
        <w:t xml:space="preserve"> to be forgiven for many sins does not respond with much love.</w:t>
      </w:r>
    </w:p>
    <w:p>
      <w:pPr/>
      <w:r>
        <w:rPr>
          <w:lang w:val="en_US" w:bidi="en_US"/>
        </w:rPr>
      </w:r>
      <w:r>
        <w:rPr>
          <w:lang w:val="en_US" w:bidi="en_US"/>
        </w:rPr>
        <w:t xml:space="preserve">As in 7:47a–b, the verb </w:t>
      </w:r>
      <w:r>
        <w:rPr>
          <w:i/>
          <w:lang w:val="en_US" w:bidi="en_US"/>
        </w:rPr>
        <w:t>has been forgiven</w:t>
      </w:r>
      <w:r>
        <w:rPr>
          <w:lang w:val="en_US" w:bidi="en_US"/>
        </w:rPr>
        <w:t xml:space="preserve"> is passive. In some languages it may be necessary to translate the clause without using a passive verb. For example:</w:t>
      </w:r>
    </w:p>
    <w:p>
      <w:pPr/>
      <w:r>
        <w:rPr>
          <w:lang w:val="en_US" w:bidi="en_US"/>
        </w:rPr>
      </w:r>
      <w:r>
        <w:rPr>
          <w:lang w:val="en_US" w:bidi="en_US"/>
        </w:rPr>
        <w:t>But if someone sins against a person in only small ways and the person forgives him, the one who sinned will not show much love to the one who forgave him.</w:t>
      </w:r>
    </w:p>
    <w:p>
      <w:pPr/>
      <w:r>
        <w:rPr>
          <w:lang w:val="en_US" w:bidi="en_US"/>
        </w:rPr>
      </w:r>
      <w:r>
        <w:rPr>
          <w:lang w:val="en_US" w:bidi="en_US"/>
        </w:rPr>
        <w:t>But if someone forgives a person who sinned only a few times, the one who sins/sinned will love the one who forgives only a little.</w:t>
      </w:r>
      <w:r>
        <w:rPr>
          <w:lang w:val="en_US" w:bidi="en_US"/>
        </w:rPr>
      </w:r>
      <w:r>
        <w:rPr>
          <w:lang w:val="en_US" w:bidi="en_US"/>
        </w:rPr>
      </w:r>
    </w:p>
    <w:p>
      <w:pPr/>
      <w:r>
        <w:rPr>
          <w:lang w:val="en_US" w:bidi="en_US"/>
        </w:rPr>
      </w:r>
    </w:p>
    <w:p>
      <w:pPr>
        <w:pStyle w:val="Heading2"/>
      </w:pPr>
      <w:r>
        <w:rPr>
          <w:lang w:val="en_US" w:bidi="en_US"/>
        </w:rPr>
        <w:t>Luke 7:48</w:t>
      </w:r>
      <w:r>
        <w:rPr>
          <w:lang w:val="en_US" w:bidi="en_US"/>
        </w:rPr>
      </w:r>
    </w:p>
    <w:p>
      <w:pPr>
        <w:pStyle w:val="Heading4"/>
      </w:pPr>
      <w:r>
        <w:rPr>
          <w:lang w:val="en_US" w:bidi="en_US"/>
        </w:rPr>
        <w:t>Section 7:36–50: Jesus forgave a woman’s sins and taught a Pharisee about love</w:t>
      </w:r>
    </w:p>
    <w:p>
      <w:pPr/>
      <w:r>
        <w:rPr>
          <w:lang w:val="en_US" w:bidi="en_US"/>
        </w:rPr>
      </w:r>
      <w:r>
        <w:rPr>
          <w:lang w:val="en_US" w:bidi="en_US"/>
        </w:rP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pPr/>
      <w:r>
        <w:rPr>
          <w:lang w:val="en_US" w:bidi="en_US"/>
        </w:rPr>
      </w:r>
      <w:r>
        <w:rPr>
          <w:lang w:val="en_US" w:bidi="en_US"/>
        </w:rP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pPr/>
      <w:r>
        <w:rPr>
          <w:lang w:val="en_US" w:bidi="en_US"/>
        </w:rPr>
      </w:r>
      <w:r>
        <w:rPr>
          <w:lang w:val="en_US" w:bidi="en_US"/>
        </w:rPr>
        <w:t>Certain Jewish customs help to explain some of the actions in this story:</w:t>
      </w:r>
    </w:p>
    <w:p>
      <w:pPr>
        <w:pStyle w:val="ListNumber"/>
        <w:numPr>
          <w:ilvl w:val="0"/>
          <w:numId w:val="167"/>
        </w:numPr>
        <w:spacing w:line="240" w:lineRule="auto"/>
        <w:ind w:left="720"/>
      </w:pPr>
      <w:r>
        <w:rPr>
          <w:lang w:val="en_US" w:bidi="en_US"/>
        </w:rPr>
      </w:r>
      <w:r>
        <w:rPr>
          <w:lang w:val="en_US" w:bidi="en_US"/>
        </w:rP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Pr>
          <w:lang w:val="en_US" w:bidi="en_US"/>
        </w:rPr>
      </w:r>
      <w:r>
        <w:rPr>
          <w:lang w:val="en_US" w:bidi="en_US"/>
        </w:rP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Pr>
          <w:lang w:val="en_US" w:bidi="en_US"/>
        </w:rPr>
      </w:r>
      <w:r>
        <w:rPr>
          <w:lang w:val="en_US" w:bidi="en_US"/>
        </w:rPr>
        <w:t>Often a slave washed the feet of the guests. People considered feet to be dirty. When the woman washed Jesus’ feet and kissed them, she humbled herself and honored Jesus.</w:t>
      </w:r>
    </w:p>
    <w:p>
      <w:pPr/>
      <w:r>
        <w:rPr>
          <w:lang w:val="en_US" w:bidi="en_US"/>
        </w:rPr>
      </w:r>
      <w:r>
        <w:rPr>
          <w:lang w:val="en_US" w:bidi="en_US"/>
        </w:rPr>
        <w:t>This section is not explicitly connected to the preceding one, but it does illustrate some of the statements in 7:29–35. The woman was a person who “acknowledged God’s justice” (7:29). Simon the Pharisee was one of those who “rejected God’s purpose for themselves” (7:30).</w:t>
      </w:r>
    </w:p>
    <w:p>
      <w:pPr/>
      <w:r>
        <w:rPr>
          <w:lang w:val="en_US" w:bidi="en_US"/>
        </w:rPr>
      </w:r>
      <w:r>
        <w:rPr>
          <w:lang w:val="en_US" w:bidi="en_US"/>
        </w:rPr>
        <w:t>Some other possible headings for this section are:</w:t>
      </w:r>
    </w:p>
    <w:p>
      <w:pPr/>
      <w:r>
        <w:rPr>
          <w:lang w:val="en_US" w:bidi="en_US"/>
        </w:rPr>
      </w:r>
      <w:r>
        <w:rPr>
          <w:lang w:val="en_US" w:bidi="en_US"/>
        </w:rPr>
        <w:t>A sinful woman washes Jesus’ feet at the home of a Pharisee named Simon</w:t>
      </w:r>
    </w:p>
    <w:p>
      <w:pPr/>
      <w:r>
        <w:rPr>
          <w:lang w:val="en_US" w:bidi="en_US"/>
        </w:rPr>
      </w:r>
      <w:r>
        <w:rPr>
          <w:lang w:val="en_US" w:bidi="en_US"/>
        </w:rPr>
        <w:t>Jesus compares a Pharisee and a sinful woman</w:t>
      </w:r>
    </w:p>
    <w:p>
      <w:pPr>
        <w:pStyle w:val="Heading5"/>
      </w:pPr>
      <w:r>
        <w:rPr>
          <w:lang w:val="en_US" w:bidi="en_US"/>
        </w:rPr>
        <w:t>7:48</w:t>
      </w:r>
    </w:p>
    <w:p>
      <w:pPr/>
      <w:r>
        <w:rPr>
          <w:lang w:val="en_US" w:bidi="en_US"/>
        </w:rPr>
      </w:r>
      <w:r>
        <w:rPr>
          <w:b/>
          <w:lang w:val="en_US" w:bidi="en_US"/>
        </w:rPr>
        <w:t>Then Jesus said to her, “Your sins are forgiven.”</w:t>
      </w:r>
    </w:p>
    <w:p>
      <w:pPr>
        <w:pStyle w:val="ListBullet"/>
        <w:spacing w:line="240" w:lineRule="auto"/>
        <w:ind w:left="720"/>
      </w:pPr>
      <w:r>
        <w:rPr>
          <w:lang w:val="en_US" w:bidi="en_US"/>
        </w:rPr>
      </w:r>
      <w:r>
        <w:rPr>
          <w:lang w:val="en_US" w:bidi="en_US"/>
        </w:rPr>
        <w:t>¶ Then Jesus said to the woman, “You are pardoned/forgiven for your sins.”</w:t>
      </w:r>
    </w:p>
    <w:p>
      <w:pPr>
        <w:pStyle w:val="ListBullet"/>
        <w:spacing w:line="240" w:lineRule="auto"/>
        <w:ind w:left="720"/>
      </w:pPr>
      <w:r>
        <w:rPr>
          <w:lang w:val="en_US" w:bidi="en_US"/>
        </w:rPr>
      </w:r>
      <w:r>
        <w:rPr>
          <w:lang w:val="en_US" w:bidi="en_US"/>
        </w:rPr>
        <w:t xml:space="preserve">¶ Then Jesus said to her, “You have received pardon/forgiveness for your offenses </w:t>
      </w:r>
      <w:r>
        <w:rPr>
          <w:lang w:val="en_US" w:bidi="en_US"/>
        </w:rPr>
        <w:t>against God</w:t>
      </w:r>
      <w:r>
        <w:rPr>
          <w:lang w:val="en_US" w:bidi="en_US"/>
        </w:rPr>
        <w:t>.”</w:t>
      </w:r>
    </w:p>
    <w:p>
      <w:pPr>
        <w:pStyle w:val="ListBullet"/>
        <w:spacing w:line="240" w:lineRule="auto"/>
        <w:ind w:left="720"/>
      </w:pPr>
      <w:r>
        <w:rPr>
          <w:lang w:val="en_US" w:bidi="en_US"/>
        </w:rPr>
      </w:r>
      <w:r>
        <w:rPr>
          <w:lang w:val="en_US" w:bidi="en_US"/>
        </w:rPr>
        <w:t>¶ Then Jesus said to the woman, “</w:t>
      </w:r>
      <w:r>
        <w:rPr>
          <w:lang w:val="en_US" w:bidi="en_US"/>
        </w:rPr>
        <w:t>I</w:t>
      </w:r>
      <w:r>
        <w:rPr>
          <w:lang w:val="en_US" w:bidi="en_US"/>
        </w:rPr>
        <w:t xml:space="preserve"> have forgiven you for your wrong deeds/acts.”</w:t>
      </w:r>
    </w:p>
    <w:p>
      <w:pPr/>
      <w:r>
        <w:rPr>
          <w:lang w:val="en_US" w:bidi="en_US"/>
        </w:rPr>
      </w:r>
      <w:r>
        <w:rPr>
          <w:b/>
          <w:lang w:val="en_US" w:bidi="en_US"/>
        </w:rPr>
        <w:t>Your sins are forgiven:</w:t>
      </w:r>
      <w:r>
        <w:rPr>
          <w:lang w:val="en_US" w:bidi="en_US"/>
        </w:rPr>
        <w:t xml:space="preserve"> In this clause Jesus declared again that the woman’s sins had been forgiven and remained forgiven. Jesus was reassuring her and declaring to everyone that she had been pardoned. The form of the verb that the BSB translates as </w:t>
      </w:r>
      <w:r>
        <w:rPr>
          <w:i/>
          <w:lang w:val="en_US" w:bidi="en_US"/>
        </w:rPr>
        <w:t>are forgiven</w:t>
      </w:r>
      <w:r>
        <w:rPr>
          <w:lang w:val="en_US" w:bidi="en_US"/>
        </w:rPr>
        <w:t xml:space="preserve"> is the same form as in 7:47a. (See the note on “have been forgiven” in 7:47a–b for further comments about the verb form.)</w:t>
      </w:r>
    </w:p>
    <w:p>
      <w:pPr/>
      <w:r>
        <w:rPr>
          <w:lang w:val="en_US" w:bidi="en_US"/>
        </w:rPr>
      </w:r>
      <w:r>
        <w:rPr>
          <w:lang w:val="en_US" w:bidi="en_US"/>
        </w:rPr>
        <w:t>Translate this clause in a similar way as you translated the similar statement in 7:47a–b. For example:</w:t>
      </w:r>
    </w:p>
    <w:p>
      <w:pPr/>
      <w:r>
        <w:rPr>
          <w:lang w:val="en_US" w:bidi="en_US"/>
        </w:rPr>
      </w:r>
      <w:r>
        <w:rPr>
          <w:lang w:val="en_US" w:bidi="en_US"/>
        </w:rPr>
        <w:t>You have received forgiveness for your sins</w:t>
      </w:r>
    </w:p>
    <w:p>
      <w:pPr/>
      <w:r>
        <w:rPr>
          <w:lang w:val="en_US" w:bidi="en_US"/>
        </w:rPr>
      </w:r>
      <w:r>
        <w:rPr>
          <w:lang w:val="en_US" w:bidi="en_US"/>
        </w:rPr>
        <w:t>I</w:t>
      </w:r>
      <w:r>
        <w:rPr>
          <w:lang w:val="en_US" w:bidi="en_US"/>
        </w:rPr>
        <w:t xml:space="preserve"> have forgiven your sins</w:t>
      </w:r>
    </w:p>
    <w:p>
      <w:pPr/>
      <w:r>
        <w:rPr>
          <w:lang w:val="en_US" w:bidi="en_US"/>
        </w:rPr>
      </w:r>
      <w:r>
        <w:rPr>
          <w:lang w:val="en_US" w:bidi="en_US"/>
        </w:rPr>
        <w:t>See also the notes on 5:20b. Jesus had said the same thing to the paralyzed man.</w:t>
      </w:r>
      <w:r>
        <w:rPr>
          <w:lang w:val="en_US" w:bidi="en_US"/>
        </w:rPr>
      </w:r>
      <w:r>
        <w:rPr>
          <w:lang w:val="en_US" w:bidi="en_US"/>
        </w:rPr>
      </w:r>
    </w:p>
    <w:p>
      <w:pPr/>
      <w:r>
        <w:rPr>
          <w:lang w:val="en_US" w:bidi="en_US"/>
        </w:rPr>
      </w:r>
    </w:p>
    <w:p>
      <w:pPr>
        <w:pStyle w:val="Heading2"/>
      </w:pPr>
      <w:r>
        <w:rPr>
          <w:lang w:val="en_US" w:bidi="en_US"/>
        </w:rPr>
        <w:t>Luke 7:49</w:t>
      </w:r>
      <w:r>
        <w:rPr>
          <w:lang w:val="en_US" w:bidi="en_US"/>
        </w:rPr>
      </w:r>
    </w:p>
    <w:p>
      <w:pPr>
        <w:pStyle w:val="Heading4"/>
      </w:pPr>
      <w:r>
        <w:rPr>
          <w:lang w:val="en_US" w:bidi="en_US"/>
        </w:rPr>
        <w:t>Section 7:36–50: Jesus forgave a woman’s sins and taught a Pharisee about love</w:t>
      </w:r>
    </w:p>
    <w:p>
      <w:pPr/>
      <w:r>
        <w:rPr>
          <w:lang w:val="en_US" w:bidi="en_US"/>
        </w:rPr>
      </w:r>
      <w:r>
        <w:rPr>
          <w:lang w:val="en_US" w:bidi="en_US"/>
        </w:rP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pPr/>
      <w:r>
        <w:rPr>
          <w:lang w:val="en_US" w:bidi="en_US"/>
        </w:rPr>
      </w:r>
      <w:r>
        <w:rPr>
          <w:lang w:val="en_US" w:bidi="en_US"/>
        </w:rP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pPr/>
      <w:r>
        <w:rPr>
          <w:lang w:val="en_US" w:bidi="en_US"/>
        </w:rPr>
      </w:r>
      <w:r>
        <w:rPr>
          <w:lang w:val="en_US" w:bidi="en_US"/>
        </w:rPr>
        <w:t>Certain Jewish customs help to explain some of the actions in this story:</w:t>
      </w:r>
    </w:p>
    <w:p>
      <w:pPr>
        <w:pStyle w:val="ListNumber"/>
        <w:numPr>
          <w:ilvl w:val="0"/>
          <w:numId w:val="168"/>
        </w:numPr>
        <w:spacing w:line="240" w:lineRule="auto"/>
        <w:ind w:left="720"/>
      </w:pPr>
      <w:r>
        <w:rPr>
          <w:lang w:val="en_US" w:bidi="en_US"/>
        </w:rPr>
      </w:r>
      <w:r>
        <w:rPr>
          <w:lang w:val="en_US" w:bidi="en_US"/>
        </w:rP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Pr>
          <w:lang w:val="en_US" w:bidi="en_US"/>
        </w:rPr>
      </w:r>
      <w:r>
        <w:rPr>
          <w:lang w:val="en_US" w:bidi="en_US"/>
        </w:rP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Pr>
          <w:lang w:val="en_US" w:bidi="en_US"/>
        </w:rPr>
      </w:r>
      <w:r>
        <w:rPr>
          <w:lang w:val="en_US" w:bidi="en_US"/>
        </w:rPr>
        <w:t>Often a slave washed the feet of the guests. People considered feet to be dirty. When the woman washed Jesus’ feet and kissed them, she humbled herself and honored Jesus.</w:t>
      </w:r>
    </w:p>
    <w:p>
      <w:pPr/>
      <w:r>
        <w:rPr>
          <w:lang w:val="en_US" w:bidi="en_US"/>
        </w:rPr>
      </w:r>
      <w:r>
        <w:rPr>
          <w:lang w:val="en_US" w:bidi="en_US"/>
        </w:rPr>
        <w:t>This section is not explicitly connected to the preceding one, but it does illustrate some of the statements in 7:29–35. The woman was a person who “acknowledged God’s justice” (7:29). Simon the Pharisee was one of those who “rejected God’s purpose for themselves” (7:30).</w:t>
      </w:r>
    </w:p>
    <w:p>
      <w:pPr/>
      <w:r>
        <w:rPr>
          <w:lang w:val="en_US" w:bidi="en_US"/>
        </w:rPr>
      </w:r>
      <w:r>
        <w:rPr>
          <w:lang w:val="en_US" w:bidi="en_US"/>
        </w:rPr>
        <w:t>Some other possible headings for this section are:</w:t>
      </w:r>
    </w:p>
    <w:p>
      <w:pPr/>
      <w:r>
        <w:rPr>
          <w:lang w:val="en_US" w:bidi="en_US"/>
        </w:rPr>
      </w:r>
      <w:r>
        <w:rPr>
          <w:lang w:val="en_US" w:bidi="en_US"/>
        </w:rPr>
        <w:t>A sinful woman washes Jesus’ feet at the home of a Pharisee named Simon</w:t>
      </w:r>
    </w:p>
    <w:p>
      <w:pPr/>
      <w:r>
        <w:rPr>
          <w:lang w:val="en_US" w:bidi="en_US"/>
        </w:rPr>
      </w:r>
      <w:r>
        <w:rPr>
          <w:lang w:val="en_US" w:bidi="en_US"/>
        </w:rPr>
        <w:t>Jesus compares a Pharisee and a sinful woman</w:t>
      </w:r>
    </w:p>
    <w:p>
      <w:pPr>
        <w:pStyle w:val="Heading5"/>
      </w:pPr>
      <w:r>
        <w:rPr>
          <w:lang w:val="en_US" w:bidi="en_US"/>
        </w:rPr>
        <w:t>7:49a</w:t>
      </w:r>
    </w:p>
    <w:p>
      <w:pPr/>
      <w:r>
        <w:rPr>
          <w:lang w:val="en_US" w:bidi="en_US"/>
        </w:rPr>
      </w:r>
      <w:r>
        <w:rPr>
          <w:b/>
          <w:lang w:val="en_US" w:bidi="en_US"/>
        </w:rPr>
        <w:t>But those at the table began to say to themselves,</w:t>
      </w:r>
    </w:p>
    <w:p>
      <w:pPr>
        <w:pStyle w:val="ListBullet"/>
        <w:spacing w:line="240" w:lineRule="auto"/>
        <w:ind w:left="720"/>
      </w:pPr>
      <w:r>
        <w:rPr>
          <w:lang w:val="en_US" w:bidi="en_US"/>
        </w:rPr>
      </w:r>
      <w:r>
        <w:rPr>
          <w:lang w:val="en_US" w:bidi="en_US"/>
        </w:rPr>
        <w:t>Then</w:t>
      </w:r>
      <w:r>
        <w:rPr>
          <w:lang w:val="en_US" w:bidi="en_US"/>
        </w:rPr>
        <w:t xml:space="preserve"> the other people who were eating with him began to say to/inside themselves,</w:t>
      </w:r>
    </w:p>
    <w:p>
      <w:pPr>
        <w:pStyle w:val="ListBullet"/>
        <w:spacing w:line="240" w:lineRule="auto"/>
        <w:ind w:left="720"/>
      </w:pPr>
      <w:r>
        <w:rPr>
          <w:lang w:val="en_US" w:bidi="en_US"/>
        </w:rPr>
      </w:r>
      <w:r>
        <w:rPr>
          <w:lang w:val="en_US" w:bidi="en_US"/>
        </w:rPr>
        <w:t>Hearing this,</w:t>
      </w:r>
      <w:r>
        <w:rPr>
          <w:lang w:val="en_US" w:bidi="en_US"/>
        </w:rPr>
        <w:t xml:space="preserve"> the other men who were at the table thought,</w:t>
      </w:r>
    </w:p>
    <w:p>
      <w:pPr/>
      <w:r>
        <w:rPr>
          <w:lang w:val="en_US" w:bidi="en_US"/>
        </w:rPr>
      </w:r>
      <w:r>
        <w:rPr>
          <w:b/>
          <w:lang w:val="en_US" w:bidi="en_US"/>
        </w:rPr>
        <w:t>But:</w:t>
      </w:r>
      <w:r>
        <w:rPr>
          <w:lang w:val="en_US" w:bidi="en_US"/>
        </w:rPr>
        <w:t xml:space="preserve"> This verse begins with a Greek conjunction that is often translated as “and.” Many English versions do not use a conjunction here. Other versions use various conjunctions to connect the verses: “And” (KJV), “Then” (RSV), and “But” (NRSV). This verse tells the reaction of the guests to the statement in 7:48. It comes between two things that Jesus said to the woman in 7:48 and 7:50. Connect these verses in a way that is natural in your language.</w:t>
      </w:r>
    </w:p>
    <w:p>
      <w:pPr/>
      <w:r>
        <w:rPr>
          <w:lang w:val="en_US" w:bidi="en_US"/>
        </w:rPr>
      </w:r>
      <w:r>
        <w:rPr>
          <w:b/>
          <w:lang w:val="en_US" w:bidi="en_US"/>
        </w:rPr>
        <w:t>those at the table began to say to themselves:</w:t>
      </w:r>
      <w:r>
        <w:rPr>
          <w:lang w:val="en_US" w:bidi="en_US"/>
        </w:rPr>
        <w:t xml:space="preserve"> This clause introduces the question in 7:49b. There are two ways to interpret the Greek phrase that the BSB translates as </w:t>
      </w:r>
      <w:r>
        <w:rPr>
          <w:i/>
          <w:lang w:val="en_US" w:bidi="en_US"/>
        </w:rPr>
        <w:t>say to themselves</w:t>
      </w:r>
      <w:r>
        <w:rPr>
          <w:lang w:val="en_US" w:bidi="en_US"/>
        </w:rPr>
        <w:t xml:space="preserve"> here:</w:t>
      </w:r>
    </w:p>
    <w:p>
      <w:pPr>
        <w:pStyle w:val="ListNumber"/>
        <w:numPr>
          <w:ilvl w:val="0"/>
          <w:numId w:val="169"/>
        </w:numPr>
        <w:spacing w:line="240" w:lineRule="auto"/>
        <w:ind w:left="720"/>
      </w:pPr>
      <w:r>
        <w:rPr>
          <w:lang w:val="en_US" w:bidi="en_US"/>
        </w:rPr>
      </w:r>
      <w:r>
        <w:rPr>
          <w:lang w:val="en_US" w:bidi="en_US"/>
        </w:rPr>
        <w:t xml:space="preserve">It refers to </w:t>
      </w:r>
      <w:r>
        <w:rPr>
          <w:u w:val="single"/>
          <w:lang w:val="en_US" w:bidi="en_US"/>
        </w:rPr>
        <w:t>thoughts</w:t>
      </w:r>
      <w:r>
        <w:rPr>
          <w:lang w:val="en_US" w:bidi="en_US"/>
        </w:rPr>
        <w:t>. The guests thought about the question in 7:49b without speaking out loud. For example:</w:t>
      </w:r>
      <w:r>
        <w:rPr>
          <w:lang w:val="en_US" w:bidi="en_US"/>
        </w:rPr>
        <w:t xml:space="preserve">say to themselves (GNT) </w:t>
      </w:r>
      <w:r>
        <w:rPr>
          <w:i/>
          <w:lang w:val="en_US" w:bidi="en_US"/>
        </w:rPr>
        <w:t>(BSB, NJB, GNT, NASB, KJV, REB, JBP, GW)</w:t>
      </w:r>
    </w:p>
    <w:p>
      <w:pPr>
        <w:pStyle w:val="ListNumber"/>
        <w:spacing w:line="240" w:lineRule="auto"/>
        <w:ind w:left="720"/>
      </w:pPr>
      <w:r>
        <w:rPr>
          <w:lang w:val="en_US" w:bidi="en_US"/>
        </w:rPr>
      </w:r>
      <w:r>
        <w:rPr>
          <w:lang w:val="en_US" w:bidi="en_US"/>
        </w:rPr>
        <w:t xml:space="preserve">It refers to </w:t>
      </w:r>
      <w:r>
        <w:rPr>
          <w:u w:val="single"/>
          <w:lang w:val="en_US" w:bidi="en_US"/>
        </w:rPr>
        <w:t>spoken words</w:t>
      </w:r>
      <w:r>
        <w:rPr>
          <w:lang w:val="en_US" w:bidi="en_US"/>
        </w:rPr>
        <w:t>. The guests spoke to each another about the question in 7:49b. For example:</w:t>
      </w:r>
      <w:r>
        <w:rPr>
          <w:lang w:val="en_US" w:bidi="en_US"/>
        </w:rPr>
        <w:t xml:space="preserve">saying to one another (CEV) </w:t>
      </w:r>
      <w:r>
        <w:rPr>
          <w:i/>
          <w:lang w:val="en_US" w:bidi="en_US"/>
        </w:rPr>
        <w:t>(RSV, NIV, NET, NLT, CEV, NCV)</w:t>
      </w:r>
    </w:p>
    <w:p>
      <w:pPr/>
      <w:r>
        <w:rPr>
          <w:lang w:val="en_US" w:bidi="en_US"/>
        </w:rPr>
      </w:r>
      <w:r>
        <w:rPr>
          <w:lang w:val="en_US" w:bidi="en_US"/>
        </w:rPr>
        <w:t>It is recommended that you follow interpretation (1). This view is favored by the majority of Bible scholars. The same Greek expression is used in 7:39a, where it is clear that the thought was not spoken aloud. Some other ways to translate this are:</w:t>
      </w:r>
    </w:p>
    <w:p>
      <w:pPr/>
      <w:r>
        <w:rPr>
          <w:lang w:val="en_US" w:bidi="en_US"/>
        </w:rPr>
      </w:r>
      <w:r>
        <w:rPr>
          <w:lang w:val="en_US" w:bidi="en_US"/>
        </w:rPr>
        <w:t>asked themselves</w:t>
      </w:r>
    </w:p>
    <w:p>
      <w:pPr/>
      <w:r>
        <w:rPr>
          <w:lang w:val="en_US" w:bidi="en_US"/>
        </w:rPr>
      </w:r>
      <w:r>
        <w:rPr>
          <w:lang w:val="en_US" w:bidi="en_US"/>
        </w:rPr>
        <w:t>thought (GW)</w:t>
      </w:r>
    </w:p>
    <w:p>
      <w:pPr/>
      <w:r>
        <w:rPr>
          <w:lang w:val="en_US" w:bidi="en_US"/>
        </w:rPr>
      </w:r>
      <w:r>
        <w:rPr>
          <w:b/>
          <w:lang w:val="en_US" w:bidi="en_US"/>
        </w:rPr>
        <w:t>those at the table:</w:t>
      </w:r>
      <w:r>
        <w:rPr>
          <w:lang w:val="en_US" w:bidi="en_US"/>
        </w:rPr>
        <w:t xml:space="preserve"> The Greek word that the BSB translates as </w:t>
      </w:r>
      <w:r>
        <w:rPr>
          <w:i/>
          <w:lang w:val="en_US" w:bidi="en_US"/>
        </w:rPr>
        <w:t>those at the table</w:t>
      </w:r>
      <w:r>
        <w:rPr>
          <w:lang w:val="en_US" w:bidi="en_US"/>
        </w:rPr>
        <w:t xml:space="preserve"> is literally “the ones who were reclining with (him).” This refers to the other men who were guests at the feast. Refer to them in a way that in natural in your language.</w:t>
      </w:r>
    </w:p>
    <w:p>
      <w:pPr>
        <w:pStyle w:val="Heading5"/>
      </w:pPr>
      <w:r>
        <w:rPr>
          <w:lang w:val="en_US" w:bidi="en_US"/>
        </w:rPr>
        <w:t>7:49b</w:t>
      </w:r>
    </w:p>
    <w:p>
      <w:pPr/>
      <w:r>
        <w:rPr>
          <w:lang w:val="en_US" w:bidi="en_US"/>
        </w:rPr>
      </w:r>
      <w:r>
        <w:rPr>
          <w:b/>
          <w:lang w:val="en_US" w:bidi="en_US"/>
        </w:rPr>
        <w:t>“Who is this who even forgives sins?”</w:t>
      </w:r>
    </w:p>
    <w:p>
      <w:pPr>
        <w:pStyle w:val="ListBullet"/>
        <w:spacing w:line="240" w:lineRule="auto"/>
        <w:ind w:left="720"/>
      </w:pPr>
      <w:r>
        <w:rPr>
          <w:lang w:val="en_US" w:bidi="en_US"/>
        </w:rPr>
      </w:r>
      <w:r>
        <w:rPr>
          <w:lang w:val="en_US" w:bidi="en_US"/>
        </w:rPr>
        <w:t>“Who is this who dares to even forgive sins?”</w:t>
      </w:r>
    </w:p>
    <w:p>
      <w:pPr>
        <w:pStyle w:val="ListBullet"/>
        <w:spacing w:line="240" w:lineRule="auto"/>
        <w:ind w:left="720"/>
      </w:pPr>
      <w:r>
        <w:rPr>
          <w:lang w:val="en_US" w:bidi="en_US"/>
        </w:rPr>
      </w:r>
      <w:r>
        <w:rPr>
          <w:lang w:val="en_US" w:bidi="en_US"/>
        </w:rPr>
        <w:t xml:space="preserve">“Who does this man think he is? He </w:t>
      </w:r>
      <w:r>
        <w:rPr>
          <w:lang w:val="en_US" w:bidi="en_US"/>
        </w:rPr>
        <w:t>claims to have authority</w:t>
      </w:r>
      <w:r>
        <w:rPr>
          <w:lang w:val="en_US" w:bidi="en_US"/>
        </w:rPr>
        <w:t xml:space="preserve"> to forgive sins </w:t>
      </w:r>
      <w:r>
        <w:rPr>
          <w:lang w:val="en_US" w:bidi="en_US"/>
        </w:rPr>
        <w:t>which only God can do</w:t>
      </w:r>
      <w:r>
        <w:rPr>
          <w:lang w:val="en_US" w:bidi="en_US"/>
        </w:rPr>
        <w:t>.”</w:t>
      </w:r>
    </w:p>
    <w:p>
      <w:pPr>
        <w:pStyle w:val="ListBullet"/>
        <w:spacing w:line="240" w:lineRule="auto"/>
        <w:ind w:left="720"/>
      </w:pPr>
      <w:r>
        <w:rPr>
          <w:lang w:val="en_US" w:bidi="en_US"/>
        </w:rPr>
      </w:r>
      <w:r>
        <w:rPr>
          <w:lang w:val="en_US" w:bidi="en_US"/>
        </w:rPr>
        <w:t xml:space="preserve">“This man does not have the authority to forgive people for their sins! </w:t>
      </w:r>
      <w:r>
        <w:rPr>
          <w:lang w:val="en_US" w:bidi="en_US"/>
        </w:rPr>
        <w:t>Only God does!</w:t>
      </w:r>
      <w:r>
        <w:rPr>
          <w:lang w:val="en_US" w:bidi="en_US"/>
        </w:rPr>
        <w:t>”</w:t>
      </w:r>
    </w:p>
    <w:p>
      <w:pPr/>
      <w:r>
        <w:rPr>
          <w:lang w:val="en_US" w:bidi="en_US"/>
        </w:rPr>
      </w:r>
      <w:r>
        <w:rPr>
          <w:b/>
          <w:lang w:val="en_US" w:bidi="en_US"/>
        </w:rPr>
        <w:t>Who is this who even forgives sins?:</w:t>
      </w:r>
      <w:r>
        <w:rPr>
          <w:lang w:val="en_US" w:bidi="en_US"/>
        </w:rPr>
        <w:t xml:space="preserve"> This is a rhetorical question. It does not imply that the people did not know who Jesus was. It expresses their surprise and disapproval that Jesus declared that the woman’s sins were forgiven. They believed that only God had the authority to forgive sins. There are two ways to translate this:</w:t>
      </w:r>
    </w:p>
    <w:p>
      <w:pPr>
        <w:pStyle w:val="ListBullet"/>
        <w:spacing w:line="240" w:lineRule="auto"/>
        <w:ind w:left="720"/>
      </w:pPr>
      <w:r>
        <w:rPr>
          <w:lang w:val="en_US" w:bidi="en_US"/>
        </w:rPr>
      </w:r>
      <w:r>
        <w:rPr>
          <w:lang w:val="en_US" w:bidi="en_US"/>
        </w:rPr>
        <w:t>As a rhetorical question that implies surprise or disapproval. For example:</w:t>
      </w:r>
      <w:r>
        <w:rPr>
          <w:lang w:val="en_US" w:bidi="en_US"/>
        </w:rPr>
        <w:t>Who does this man think he is, going around forgiving sins? (NLT96)</w:t>
      </w:r>
      <w:r>
        <w:rPr>
          <w:lang w:val="en_US" w:bidi="en_US"/>
        </w:rPr>
        <w:t>Who is this who dares to forgive sins? (CEV)</w:t>
      </w:r>
    </w:p>
    <w:p>
      <w:pPr>
        <w:pStyle w:val="ListBullet"/>
        <w:spacing w:line="240" w:lineRule="auto"/>
        <w:ind w:left="720"/>
      </w:pPr>
      <w:r>
        <w:rPr>
          <w:lang w:val="en_US" w:bidi="en_US"/>
        </w:rPr>
      </w:r>
      <w:r>
        <w:rPr>
          <w:lang w:val="en_US" w:bidi="en_US"/>
        </w:rPr>
        <w:t>As an exclamation that implies surprise or disapproval. For example:</w:t>
      </w:r>
      <w:r>
        <w:rPr>
          <w:lang w:val="en_US" w:bidi="en_US"/>
        </w:rPr>
        <w:t xml:space="preserve">This man dares to say that he forgives sins! </w:t>
      </w:r>
      <w:r>
        <w:rPr>
          <w:lang w:val="en_US" w:bidi="en_US"/>
        </w:rPr>
        <w:t>That is shocking!</w:t>
      </w:r>
      <w:r>
        <w:rPr>
          <w:lang w:val="en_US" w:bidi="en_US"/>
        </w:rPr>
        <w:t>I cannot understand why/how this man says that he forgives sins!</w:t>
      </w:r>
    </w:p>
    <w:p>
      <w:pPr/>
      <w:r>
        <w:rPr>
          <w:lang w:val="en_US" w:bidi="en_US"/>
        </w:rPr>
      </w:r>
      <w:r>
        <w:rPr>
          <w:lang w:val="en_US" w:bidi="en_US"/>
        </w:rPr>
        <w:t>The people who said this did not believe that Jesus had authority to forgive sins. You may need to make this explicit in your translation by saying something like:</w:t>
      </w:r>
    </w:p>
    <w:p>
      <w:pPr/>
      <w:r>
        <w:rPr>
          <w:lang w:val="en_US" w:bidi="en_US"/>
        </w:rPr>
      </w:r>
      <w:r>
        <w:rPr>
          <w:lang w:val="en_US" w:bidi="en_US"/>
        </w:rPr>
        <w:t xml:space="preserve">Who is this man who </w:t>
      </w:r>
      <w:r>
        <w:rPr>
          <w:u w:val="single"/>
          <w:lang w:val="en_US" w:bidi="en_US"/>
        </w:rPr>
        <w:t>claims the authority</w:t>
      </w:r>
      <w:r>
        <w:rPr>
          <w:lang w:val="en_US" w:bidi="en_US"/>
        </w:rPr>
        <w:t xml:space="preserve"> </w:t>
      </w:r>
      <w:r>
        <w:rPr>
          <w:lang w:val="en_US" w:bidi="en_US"/>
        </w:rPr>
        <w:t>that only God has</w:t>
      </w:r>
      <w:r>
        <w:rPr>
          <w:lang w:val="en_US" w:bidi="en_US"/>
        </w:rPr>
        <w:t xml:space="preserve"> to forgive sins?</w:t>
      </w:r>
    </w:p>
    <w:p>
      <w:pPr/>
      <w:r>
        <w:rPr>
          <w:lang w:val="en_US" w:bidi="en_US"/>
        </w:rPr>
      </w:r>
      <w:r>
        <w:rPr>
          <w:lang w:val="en_US" w:bidi="en_US"/>
        </w:rPr>
        <w:t xml:space="preserve">I am amazed/shocked that this man </w:t>
      </w:r>
      <w:r>
        <w:rPr>
          <w:u w:val="single"/>
          <w:lang w:val="en_US" w:bidi="en_US"/>
        </w:rPr>
        <w:t>believes that he can</w:t>
      </w:r>
      <w:r>
        <w:rPr>
          <w:lang w:val="en_US" w:bidi="en_US"/>
        </w:rPr>
        <w:t xml:space="preserve"> even forgive sins!</w:t>
      </w:r>
    </w:p>
    <w:p>
      <w:pPr/>
      <w:r>
        <w:rPr>
          <w:lang w:val="en_US" w:bidi="en_US"/>
        </w:rPr>
      </w:r>
      <w:r>
        <w:rPr>
          <w:lang w:val="en_US" w:bidi="en_US"/>
        </w:rPr>
        <w:t xml:space="preserve">This man does not have authority to forgive sins! </w:t>
      </w:r>
      <w:r>
        <w:rPr>
          <w:lang w:val="en_US" w:bidi="en_US"/>
        </w:rPr>
        <w:t>Only God does.</w:t>
      </w:r>
    </w:p>
    <w:p>
      <w:pPr/>
      <w:r>
        <w:rPr>
          <w:lang w:val="en_US" w:bidi="en_US"/>
        </w:rPr>
      </w:r>
      <w:r>
        <w:rPr>
          <w:b/>
          <w:lang w:val="en_US" w:bidi="en_US"/>
        </w:rPr>
        <w:t>even:</w:t>
      </w:r>
      <w:r>
        <w:rPr>
          <w:lang w:val="en_US" w:bidi="en_US"/>
        </w:rPr>
        <w:t xml:space="preserve"> The word </w:t>
      </w:r>
      <w:r>
        <w:rPr>
          <w:i/>
          <w:lang w:val="en_US" w:bidi="en_US"/>
        </w:rPr>
        <w:t>even</w:t>
      </w:r>
      <w:r>
        <w:rPr>
          <w:lang w:val="en_US" w:bidi="en_US"/>
        </w:rPr>
        <w:t xml:space="preserve"> emphasizes the greatness of the authority that Jesus was claiming. He claimed to have authority even to forgive sins. The people thought that only God had that authority, and to claim the authority to forgive sins was like claiming to be God. Since they did not believe that Jesus was God, they were offended. Some other ways to say this could be:</w:t>
      </w:r>
    </w:p>
    <w:p>
      <w:pPr/>
      <w:r>
        <w:rPr>
          <w:lang w:val="en_US" w:bidi="en_US"/>
        </w:rPr>
      </w:r>
      <w:r>
        <w:rPr>
          <w:lang w:val="en_US" w:bidi="en_US"/>
        </w:rPr>
        <w:t xml:space="preserve">Who is this man who claims such </w:t>
      </w:r>
      <w:r>
        <w:rPr>
          <w:lang w:val="en_US" w:bidi="en_US"/>
        </w:rPr>
        <w:t>divine</w:t>
      </w:r>
      <w:r>
        <w:rPr>
          <w:lang w:val="en_US" w:bidi="en_US"/>
        </w:rPr>
        <w:t xml:space="preserve"> authority as to forgive sins?</w:t>
      </w:r>
    </w:p>
    <w:p>
      <w:pPr/>
      <w:r>
        <w:rPr>
          <w:lang w:val="en_US" w:bidi="en_US"/>
        </w:rPr>
      </w:r>
      <w:r>
        <w:rPr>
          <w:lang w:val="en_US" w:bidi="en_US"/>
        </w:rPr>
        <w:t xml:space="preserve">Who is this man who </w:t>
      </w:r>
      <w:r>
        <w:rPr>
          <w:u w:val="single"/>
          <w:lang w:val="en_US" w:bidi="en_US"/>
        </w:rPr>
        <w:t>goes so far as</w:t>
      </w:r>
      <w:r>
        <w:rPr>
          <w:lang w:val="en_US" w:bidi="en_US"/>
        </w:rPr>
        <w:t xml:space="preserve"> to forgive sins?</w:t>
      </w:r>
      <w:r>
        <w:rPr>
          <w:lang w:val="en_US" w:bidi="en_US"/>
        </w:rPr>
      </w:r>
      <w:r>
        <w:rPr>
          <w:lang w:val="en_US" w:bidi="en_US"/>
        </w:rPr>
      </w:r>
    </w:p>
    <w:p>
      <w:pPr/>
      <w:r>
        <w:rPr>
          <w:lang w:val="en_US" w:bidi="en_US"/>
        </w:rPr>
      </w:r>
    </w:p>
    <w:p>
      <w:pPr>
        <w:pStyle w:val="Heading2"/>
      </w:pPr>
      <w:r>
        <w:rPr>
          <w:lang w:val="en_US" w:bidi="en_US"/>
        </w:rPr>
        <w:t>Luke 7:50</w:t>
      </w:r>
      <w:r>
        <w:rPr>
          <w:lang w:val="en_US" w:bidi="en_US"/>
        </w:rPr>
      </w:r>
    </w:p>
    <w:p>
      <w:pPr>
        <w:pStyle w:val="Heading4"/>
      </w:pPr>
      <w:r>
        <w:rPr>
          <w:lang w:val="en_US" w:bidi="en_US"/>
        </w:rPr>
        <w:t>Section 7:36–50: Jesus forgave a woman’s sins and taught a Pharisee about love</w:t>
      </w:r>
    </w:p>
    <w:p>
      <w:pPr/>
      <w:r>
        <w:rPr>
          <w:lang w:val="en_US" w:bidi="en_US"/>
        </w:rPr>
      </w:r>
      <w:r>
        <w:rPr>
          <w:lang w:val="en_US" w:bidi="en_US"/>
        </w:rPr>
        <w:t>In this section a Pharisee named Simon invited Jesus to be the guest of honor at a dinner in his home. While Jesus was there, a sinful woman came and washed his feet with her tears. She dried them with her hair, kissed them, and poured scented oil on them. By these unusual actions, the woman honored Jesus and showed that she loved him.</w:t>
      </w:r>
    </w:p>
    <w:p>
      <w:pPr/>
      <w:r>
        <w:rPr>
          <w:lang w:val="en_US" w:bidi="en_US"/>
        </w:rPr>
      </w:r>
      <w:r>
        <w:rPr>
          <w:lang w:val="en_US" w:bidi="en_US"/>
        </w:rPr>
        <w:t>By contrast, Simon neglected common ways to honor a guest. He did not greet Jesus with a kiss or give him water to wash his feet or put oil on his head. Jesus said that the woman’s acts of love showed that her sins had been forgiven. Simon’s failure to show love showed that his sins had not been forgiven.</w:t>
      </w:r>
    </w:p>
    <w:p>
      <w:pPr/>
      <w:r>
        <w:rPr>
          <w:lang w:val="en_US" w:bidi="en_US"/>
        </w:rPr>
      </w:r>
      <w:r>
        <w:rPr>
          <w:lang w:val="en_US" w:bidi="en_US"/>
        </w:rPr>
        <w:t>Certain Jewish customs help to explain some of the actions in this story:</w:t>
      </w:r>
    </w:p>
    <w:p>
      <w:pPr>
        <w:pStyle w:val="ListNumber"/>
        <w:numPr>
          <w:ilvl w:val="0"/>
          <w:numId w:val="170"/>
        </w:numPr>
        <w:spacing w:line="240" w:lineRule="auto"/>
        <w:ind w:left="720"/>
      </w:pPr>
      <w:r>
        <w:rPr>
          <w:lang w:val="en_US" w:bidi="en_US"/>
        </w:rPr>
      </w:r>
      <w:r>
        <w:rPr>
          <w:lang w:val="en_US" w:bidi="en_US"/>
        </w:rPr>
        <w:t>For special meals, the Jews usually ate at low tables and reclined on couches or cushions with their feet extended away from the table. This made it easier for the woman to kiss Jesus’ feet and pour perfume on them. (See the notes at 7:36b.)</w:t>
      </w:r>
    </w:p>
    <w:p>
      <w:pPr>
        <w:pStyle w:val="ListNumber"/>
        <w:spacing w:line="240" w:lineRule="auto"/>
        <w:ind w:left="720"/>
      </w:pPr>
      <w:r>
        <w:rPr>
          <w:lang w:val="en_US" w:bidi="en_US"/>
        </w:rPr>
      </w:r>
      <w:r>
        <w:rPr>
          <w:lang w:val="en_US" w:bidi="en_US"/>
        </w:rPr>
        <w:t>When a religious teacher such as Jesus was invited to a feast, he ate with the host and the other invited guests. People who had not been invited were allowed to come in quietly and listen to what the teacher said. They were not supposed to join the invited guests.</w:t>
      </w:r>
    </w:p>
    <w:p>
      <w:pPr>
        <w:pStyle w:val="ListNumber"/>
        <w:spacing w:line="240" w:lineRule="auto"/>
        <w:ind w:left="720"/>
      </w:pPr>
      <w:r>
        <w:rPr>
          <w:lang w:val="en_US" w:bidi="en_US"/>
        </w:rPr>
      </w:r>
      <w:r>
        <w:rPr>
          <w:lang w:val="en_US" w:bidi="en_US"/>
        </w:rPr>
        <w:t>Often a slave washed the feet of the guests. People considered feet to be dirty. When the woman washed Jesus’ feet and kissed them, she humbled herself and honored Jesus.</w:t>
      </w:r>
    </w:p>
    <w:p>
      <w:pPr/>
      <w:r>
        <w:rPr>
          <w:lang w:val="en_US" w:bidi="en_US"/>
        </w:rPr>
      </w:r>
      <w:r>
        <w:rPr>
          <w:lang w:val="en_US" w:bidi="en_US"/>
        </w:rPr>
        <w:t>This section is not explicitly connected to the preceding one, but it does illustrate some of the statements in 7:29–35. The woman was a person who “acknowledged God’s justice” (7:29). Simon the Pharisee was one of those who “rejected God’s purpose for themselves” (7:30).</w:t>
      </w:r>
    </w:p>
    <w:p>
      <w:pPr/>
      <w:r>
        <w:rPr>
          <w:lang w:val="en_US" w:bidi="en_US"/>
        </w:rPr>
      </w:r>
      <w:r>
        <w:rPr>
          <w:lang w:val="en_US" w:bidi="en_US"/>
        </w:rPr>
        <w:t>Some other possible headings for this section are:</w:t>
      </w:r>
    </w:p>
    <w:p>
      <w:pPr/>
      <w:r>
        <w:rPr>
          <w:lang w:val="en_US" w:bidi="en_US"/>
        </w:rPr>
      </w:r>
      <w:r>
        <w:rPr>
          <w:lang w:val="en_US" w:bidi="en_US"/>
        </w:rPr>
        <w:t>A sinful woman washes Jesus’ feet at the home of a Pharisee named Simon</w:t>
      </w:r>
    </w:p>
    <w:p>
      <w:pPr/>
      <w:r>
        <w:rPr>
          <w:lang w:val="en_US" w:bidi="en_US"/>
        </w:rPr>
      </w:r>
      <w:r>
        <w:rPr>
          <w:lang w:val="en_US" w:bidi="en_US"/>
        </w:rPr>
        <w:t>Jesus compares a Pharisee and a sinful woman</w:t>
      </w:r>
    </w:p>
    <w:p>
      <w:pPr>
        <w:pStyle w:val="Heading5"/>
      </w:pPr>
      <w:r>
        <w:rPr>
          <w:lang w:val="en_US" w:bidi="en_US"/>
        </w:rPr>
        <w:t>7:50a</w:t>
      </w:r>
    </w:p>
    <w:p>
      <w:pPr/>
      <w:r>
        <w:rPr>
          <w:lang w:val="en_US" w:bidi="en_US"/>
        </w:rPr>
      </w:r>
      <w:r>
        <w:rPr>
          <w:b/>
          <w:lang w:val="en_US" w:bidi="en_US"/>
        </w:rPr>
        <w:t>And Jesus told the woman, “Your faith has saved you;</w:t>
      </w:r>
    </w:p>
    <w:p>
      <w:pPr>
        <w:pStyle w:val="ListBullet"/>
        <w:spacing w:line="240" w:lineRule="auto"/>
        <w:ind w:left="720"/>
      </w:pPr>
      <w:r>
        <w:rPr>
          <w:lang w:val="en_US" w:bidi="en_US"/>
        </w:rPr>
      </w:r>
      <w:r>
        <w:rPr>
          <w:lang w:val="en_US" w:bidi="en_US"/>
        </w:rPr>
        <w:t>Jesus said to the woman, “You</w:t>
      </w:r>
      <w:r>
        <w:rPr>
          <w:vertAlign w:val="superscript"/>
          <w:lang w:val="en_US" w:bidi="en_US"/>
        </w:rPr>
        <w:t>(sing)</w:t>
      </w:r>
      <w:r>
        <w:rPr>
          <w:lang w:val="en_US" w:bidi="en_US"/>
        </w:rPr>
        <w:t xml:space="preserve"> are saved because you</w:t>
      </w:r>
      <w:r>
        <w:rPr>
          <w:vertAlign w:val="superscript"/>
          <w:lang w:val="en_US" w:bidi="en_US"/>
        </w:rPr>
        <w:t>(sing)</w:t>
      </w:r>
      <w:r>
        <w:rPr>
          <w:lang w:val="en_US" w:bidi="en_US"/>
        </w:rPr>
        <w:t xml:space="preserve"> believe </w:t>
      </w:r>
      <w:r>
        <w:rPr>
          <w:lang w:val="en_US" w:bidi="en_US"/>
        </w:rPr>
        <w:t>in me</w:t>
      </w:r>
      <w:r>
        <w:rPr>
          <w:lang w:val="en_US" w:bidi="en_US"/>
        </w:rPr>
        <w:t>.</w:t>
      </w:r>
    </w:p>
    <w:p>
      <w:pPr>
        <w:pStyle w:val="ListBullet"/>
        <w:spacing w:line="240" w:lineRule="auto"/>
        <w:ind w:left="720"/>
      </w:pPr>
      <w:r>
        <w:rPr>
          <w:lang w:val="en_US" w:bidi="en_US"/>
        </w:rPr>
      </w:r>
      <w:r>
        <w:rPr>
          <w:lang w:val="en_US" w:bidi="en_US"/>
        </w:rPr>
        <w:t xml:space="preserve">Jesus </w:t>
      </w:r>
      <w:r>
        <w:rPr>
          <w:lang w:val="en_US" w:bidi="en_US"/>
        </w:rPr>
        <w:t>continued</w:t>
      </w:r>
      <w:r>
        <w:rPr>
          <w:lang w:val="en_US" w:bidi="en_US"/>
        </w:rPr>
        <w:t xml:space="preserve"> to speak to the woman, “</w:t>
      </w:r>
      <w:r>
        <w:rPr>
          <w:lang w:val="en_US" w:bidi="en_US"/>
        </w:rPr>
        <w:t>God</w:t>
      </w:r>
      <w:r>
        <w:rPr>
          <w:lang w:val="en_US" w:bidi="en_US"/>
        </w:rPr>
        <w:t xml:space="preserve"> has rescued you</w:t>
      </w:r>
      <w:r>
        <w:rPr>
          <w:vertAlign w:val="superscript"/>
          <w:lang w:val="en_US" w:bidi="en_US"/>
        </w:rPr>
        <w:t>(sing)</w:t>
      </w:r>
      <w:r>
        <w:rPr>
          <w:lang w:val="en_US" w:bidi="en_US"/>
        </w:rPr>
        <w:t xml:space="preserve"> because you</w:t>
      </w:r>
      <w:r>
        <w:rPr>
          <w:vertAlign w:val="superscript"/>
          <w:lang w:val="en_US" w:bidi="en_US"/>
        </w:rPr>
        <w:t>(sing)</w:t>
      </w:r>
      <w:r>
        <w:rPr>
          <w:lang w:val="en_US" w:bidi="en_US"/>
        </w:rPr>
        <w:t xml:space="preserve"> trust </w:t>
      </w:r>
      <w:r>
        <w:rPr>
          <w:lang w:val="en_US" w:bidi="en_US"/>
        </w:rPr>
        <w:t>in me</w:t>
      </w:r>
      <w:r>
        <w:rPr>
          <w:lang w:val="en_US" w:bidi="en_US"/>
        </w:rPr>
        <w:t>.</w:t>
      </w:r>
    </w:p>
    <w:p>
      <w:pPr/>
      <w:r>
        <w:rPr>
          <w:lang w:val="en_US" w:bidi="en_US"/>
        </w:rPr>
      </w:r>
      <w:r>
        <w:rPr>
          <w:lang w:val="en_US" w:bidi="en_US"/>
        </w:rPr>
        <w:t>In this verse Jesus finished what he was saying to the woman in 7:48. He did not respond to what the people were thinking in 7:49. Introduce Jesus’ words to the woman in a way that is natural in your language. You may want to say something like:</w:t>
      </w:r>
    </w:p>
    <w:p>
      <w:pPr/>
      <w:r>
        <w:rPr>
          <w:lang w:val="en_US" w:bidi="en_US"/>
        </w:rPr>
      </w:r>
      <w:r>
        <w:rPr>
          <w:lang w:val="en_US" w:bidi="en_US"/>
        </w:rPr>
        <w:t xml:space="preserve">He/Jesus </w:t>
      </w:r>
      <w:r>
        <w:rPr>
          <w:u w:val="single"/>
          <w:lang w:val="en_US" w:bidi="en_US"/>
        </w:rPr>
        <w:t>continued</w:t>
      </w:r>
      <w:r>
        <w:rPr>
          <w:lang w:val="en_US" w:bidi="en_US"/>
        </w:rPr>
        <w:t xml:space="preserve"> to say to the woman…</w:t>
      </w:r>
    </w:p>
    <w:p>
      <w:pPr/>
      <w:r>
        <w:rPr>
          <w:lang w:val="en_US" w:bidi="en_US"/>
        </w:rPr>
      </w:r>
      <w:r>
        <w:rPr>
          <w:b/>
          <w:lang w:val="en_US" w:bidi="en_US"/>
        </w:rPr>
        <w:t>Your faith has saved you:</w:t>
      </w:r>
      <w:r>
        <w:rPr>
          <w:lang w:val="en_US" w:bidi="en_US"/>
        </w:rPr>
        <w:t xml:space="preserve"> The word </w:t>
      </w:r>
      <w:r>
        <w:rPr>
          <w:i/>
          <w:lang w:val="en_US" w:bidi="en_US"/>
        </w:rPr>
        <w:t>faith</w:t>
      </w:r>
      <w:r>
        <w:rPr>
          <w:lang w:val="en_US" w:bidi="en_US"/>
        </w:rPr>
        <w:t xml:space="preserve"> here refers to trust or reliance on God. See believe, Meaning 2, in the Glossary.</w:t>
      </w:r>
    </w:p>
    <w:p>
      <w:pPr/>
      <w:r>
        <w:rPr>
          <w:lang w:val="en_US" w:bidi="en_US"/>
        </w:rPr>
      </w:r>
      <w:r>
        <w:rPr>
          <w:lang w:val="en_US" w:bidi="en_US"/>
        </w:rPr>
        <w:t xml:space="preserve">In some languages it may be necessary to translate </w:t>
      </w:r>
      <w:r>
        <w:rPr>
          <w:i/>
          <w:lang w:val="en_US" w:bidi="en_US"/>
        </w:rPr>
        <w:t>faith</w:t>
      </w:r>
      <w:r>
        <w:rPr>
          <w:lang w:val="en_US" w:bidi="en_US"/>
        </w:rPr>
        <w:t xml:space="preserve"> as a verb. For example:</w:t>
      </w:r>
    </w:p>
    <w:p>
      <w:pPr/>
      <w:r>
        <w:rPr>
          <w:lang w:val="en_US" w:bidi="en_US"/>
        </w:rPr>
      </w:r>
      <w:r>
        <w:rPr>
          <w:lang w:val="en_US" w:bidi="en_US"/>
        </w:rPr>
        <w:t xml:space="preserve">You are saved because you believe/trust </w:t>
      </w:r>
      <w:r>
        <w:rPr>
          <w:lang w:val="en_US" w:bidi="en_US"/>
        </w:rPr>
        <w:t>in me</w:t>
      </w:r>
      <w:r>
        <w:rPr>
          <w:lang w:val="en_US" w:bidi="en_US"/>
        </w:rPr>
        <w:t>.</w:t>
      </w:r>
    </w:p>
    <w:p>
      <w:pPr/>
      <w:r>
        <w:rPr>
          <w:lang w:val="en_US" w:bidi="en_US"/>
        </w:rPr>
      </w:r>
      <w:r>
        <w:rPr>
          <w:lang w:val="en_US" w:bidi="en_US"/>
        </w:rPr>
        <w:t>God</w:t>
      </w:r>
      <w:r>
        <w:rPr>
          <w:lang w:val="en_US" w:bidi="en_US"/>
        </w:rPr>
        <w:t xml:space="preserve"> has saved you because you believe </w:t>
      </w:r>
      <w:r>
        <w:rPr>
          <w:lang w:val="en_US" w:bidi="en_US"/>
        </w:rPr>
        <w:t>in me</w:t>
      </w:r>
      <w:r>
        <w:rPr>
          <w:lang w:val="en_US" w:bidi="en_US"/>
        </w:rPr>
        <w:t>.</w:t>
      </w:r>
    </w:p>
    <w:p>
      <w:pPr/>
      <w:r>
        <w:rPr>
          <w:lang w:val="en_US" w:bidi="en_US"/>
        </w:rPr>
      </w:r>
      <w:r>
        <w:rPr>
          <w:b/>
          <w:lang w:val="en_US" w:bidi="en_US"/>
        </w:rPr>
        <w:t>saved:</w:t>
      </w:r>
      <w:r>
        <w:rPr>
          <w:lang w:val="en_US" w:bidi="en_US"/>
        </w:rPr>
        <w:t xml:space="preserve"> The Greek word that the BSB translates as </w:t>
      </w:r>
      <w:r>
        <w:rPr>
          <w:i/>
          <w:lang w:val="en_US" w:bidi="en_US"/>
        </w:rPr>
        <w:t>saved</w:t>
      </w:r>
      <w:r>
        <w:rPr>
          <w:lang w:val="en_US" w:bidi="en_US"/>
        </w:rPr>
        <w:t xml:space="preserve"> means “to rescue someone from danger or trouble.” In this context it refers to rescuing someone from the spiritual dangers of sin and the punishment that results from sin. Because of the woman’s faith, God rescued the woman from her sinful life and would not punish her for it. See save, Meaning 2, in the Glossary.</w:t>
      </w:r>
    </w:p>
    <w:p>
      <w:pPr/>
      <w:r>
        <w:rPr>
          <w:lang w:val="en_US" w:bidi="en_US"/>
        </w:rPr>
      </w:r>
      <w:r>
        <w:rPr>
          <w:lang w:val="en_US" w:bidi="en_US"/>
        </w:rPr>
        <w:t>In your translation, you may want or need to make explicit what the woman was saved from. For example:</w:t>
      </w:r>
    </w:p>
    <w:p>
      <w:pPr/>
      <w:r>
        <w:rPr>
          <w:lang w:val="en_US" w:bidi="en_US"/>
        </w:rPr>
      </w:r>
      <w:r>
        <w:rPr>
          <w:lang w:val="en_US" w:bidi="en_US"/>
        </w:rPr>
        <w:t xml:space="preserve">your faith has saved you </w:t>
      </w:r>
      <w:r>
        <w:rPr>
          <w:lang w:val="en_US" w:bidi="en_US"/>
        </w:rPr>
        <w:t>from sin</w:t>
      </w:r>
    </w:p>
    <w:p>
      <w:pPr/>
      <w:r>
        <w:rPr>
          <w:lang w:val="en_US" w:bidi="en_US"/>
        </w:rPr>
      </w:r>
      <w:r>
        <w:rPr>
          <w:lang w:val="en_US" w:bidi="en_US"/>
        </w:rPr>
        <w:t xml:space="preserve">your faith has rescued you </w:t>
      </w:r>
      <w:r>
        <w:rPr>
          <w:lang w:val="en_US" w:bidi="en_US"/>
        </w:rPr>
        <w:t>from sin and its punishment</w:t>
      </w:r>
    </w:p>
    <w:p>
      <w:pPr>
        <w:pStyle w:val="Heading5"/>
      </w:pPr>
      <w:r>
        <w:rPr>
          <w:lang w:val="en_US" w:bidi="en_US"/>
        </w:rPr>
        <w:t>7:50b</w:t>
      </w:r>
    </w:p>
    <w:p>
      <w:pPr/>
      <w:r>
        <w:rPr>
          <w:lang w:val="en_US" w:bidi="en_US"/>
        </w:rPr>
      </w:r>
      <w:r>
        <w:rPr>
          <w:b/>
          <w:lang w:val="en_US" w:bidi="en_US"/>
        </w:rPr>
        <w:t>go in peace.”</w:t>
      </w:r>
    </w:p>
    <w:p>
      <w:pPr>
        <w:pStyle w:val="ListBullet"/>
        <w:spacing w:line="240" w:lineRule="auto"/>
        <w:ind w:left="720"/>
      </w:pPr>
      <w:r>
        <w:rPr>
          <w:lang w:val="en_US" w:bidi="en_US"/>
        </w:rPr>
      </w:r>
      <w:r>
        <w:rPr>
          <w:lang w:val="en_US" w:bidi="en_US"/>
        </w:rPr>
        <w:t xml:space="preserve">Go, and may </w:t>
      </w:r>
      <w:r>
        <w:rPr>
          <w:lang w:val="en_US" w:bidi="en_US"/>
        </w:rPr>
        <w:t>God’s</w:t>
      </w:r>
      <w:r>
        <w:rPr>
          <w:lang w:val="en_US" w:bidi="en_US"/>
        </w:rPr>
        <w:t xml:space="preserve"> peace be with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may go, </w:t>
      </w:r>
      <w:r>
        <w:rPr>
          <w:lang w:val="en_US" w:bidi="en_US"/>
        </w:rPr>
        <w:t>knowing that</w:t>
      </w:r>
      <w:r>
        <w:rPr>
          <w:lang w:val="en_US" w:bidi="en_US"/>
        </w:rPr>
        <w:t xml:space="preserve"> you</w:t>
      </w:r>
      <w:r>
        <w:rPr>
          <w:vertAlign w:val="superscript"/>
          <w:lang w:val="en_US" w:bidi="en_US"/>
        </w:rPr>
        <w:t>(sing)</w:t>
      </w:r>
      <w:r>
        <w:rPr>
          <w:lang w:val="en_US" w:bidi="en_US"/>
        </w:rPr>
        <w:t xml:space="preserve"> have peace </w:t>
      </w:r>
      <w:r>
        <w:rPr>
          <w:lang w:val="en_US" w:bidi="en_US"/>
        </w:rPr>
        <w:t>with God</w:t>
      </w:r>
      <w:r>
        <w:rPr>
          <w:lang w:val="en_US" w:bidi="en_US"/>
        </w:rPr>
        <w:t>.”</w:t>
      </w:r>
    </w:p>
    <w:p>
      <w:pPr/>
      <w:r>
        <w:rPr>
          <w:lang w:val="en_US" w:bidi="en_US"/>
        </w:rPr>
      </w:r>
      <w:r>
        <w:rPr>
          <w:b/>
          <w:lang w:val="en_US" w:bidi="en_US"/>
        </w:rPr>
        <w:t>go in peace:</w:t>
      </w:r>
      <w:r>
        <w:rPr>
          <w:lang w:val="en_US" w:bidi="en_US"/>
        </w:rPr>
        <w:t xml:space="preserve"> The clause </w:t>
      </w:r>
      <w:r>
        <w:rPr>
          <w:i/>
          <w:lang w:val="en_US" w:bidi="en_US"/>
        </w:rPr>
        <w:t>go in peace</w:t>
      </w:r>
      <w:r>
        <w:rPr>
          <w:lang w:val="en_US" w:bidi="en_US"/>
        </w:rPr>
        <w:t xml:space="preserve"> was a common blessing that a Jewish person would give to someone who was leaving. This blessing means “may you go with peace.” It strongly implies to Jewish people that God is the one who gives that peace. Jesus used this blessing here to reassure the woman. Other ways to say this are:</w:t>
      </w:r>
    </w:p>
    <w:p>
      <w:pPr/>
      <w:r>
        <w:rPr>
          <w:lang w:val="en_US" w:bidi="en_US"/>
        </w:rPr>
      </w:r>
      <w:r>
        <w:rPr>
          <w:lang w:val="en_US" w:bidi="en_US"/>
        </w:rPr>
        <w:t xml:space="preserve">Go and may God </w:t>
      </w:r>
      <w:r>
        <w:rPr>
          <w:lang w:val="en_US" w:bidi="en_US"/>
        </w:rPr>
        <w:t>continue to</w:t>
      </w:r>
      <w:r>
        <w:rPr>
          <w:lang w:val="en_US" w:bidi="en_US"/>
        </w:rPr>
        <w:t xml:space="preserve"> give you his peace.</w:t>
      </w:r>
    </w:p>
    <w:p>
      <w:pPr/>
      <w:r>
        <w:rPr>
          <w:lang w:val="en_US" w:bidi="en_US"/>
        </w:rPr>
      </w:r>
      <w:r>
        <w:rPr>
          <w:lang w:val="en_US" w:bidi="en_US"/>
        </w:rPr>
        <w:t>You may go home now with the blessing of God’s peace.</w:t>
      </w:r>
    </w:p>
    <w:p>
      <w:pPr/>
      <w:r>
        <w:rPr>
          <w:lang w:val="en_US" w:bidi="en_US"/>
        </w:rPr>
      </w:r>
      <w:r>
        <w:rPr>
          <w:lang w:val="en_US" w:bidi="en_US"/>
        </w:rPr>
        <w:t>Go and may the peace of God rest upon you.</w:t>
      </w:r>
    </w:p>
    <w:p>
      <w:pPr/>
      <w:r>
        <w:rPr>
          <w:lang w:val="en_US" w:bidi="en_US"/>
        </w:rPr>
      </w:r>
      <w:r>
        <w:rPr>
          <w:lang w:val="en_US" w:bidi="en_US"/>
        </w:rPr>
        <w:t xml:space="preserve">You may go home now, </w:t>
      </w:r>
      <w:r>
        <w:rPr>
          <w:lang w:val="en_US" w:bidi="en_US"/>
        </w:rPr>
        <w:t>knowing that you are</w:t>
      </w:r>
      <w:r>
        <w:rPr>
          <w:lang w:val="en_US" w:bidi="en_US"/>
        </w:rPr>
        <w:t xml:space="preserve"> at peace </w:t>
      </w:r>
      <w:r>
        <w:rPr>
          <w:lang w:val="en_US" w:bidi="en_US"/>
        </w:rPr>
        <w:t>with God</w:t>
      </w:r>
      <w:r>
        <w:rPr>
          <w:lang w:val="en_US" w:bidi="en_US"/>
        </w:rPr>
        <w:t>.</w:t>
      </w:r>
    </w:p>
    <w:p>
      <w:pPr/>
      <w:r>
        <w:rPr>
          <w:lang w:val="en_US" w:bidi="en_US"/>
        </w:rPr>
      </w:r>
      <w:r>
        <w:rPr>
          <w:lang w:val="en_US" w:bidi="en_US"/>
        </w:rPr>
        <w:t>This same expression occurs in 8:48b. See also peace, Meaning 2, in the Glossary.</w:t>
      </w:r>
    </w:p>
    <w:p>
      <w:pPr/>
      <w:r>
        <w:rPr>
          <w:lang w:val="en_US" w:bidi="en_US"/>
        </w:rPr>
      </w:r>
      <w:r>
        <w:rPr>
          <w:b/>
          <w:lang w:val="en_US" w:bidi="en_US"/>
        </w:rPr>
        <w:t>peace:</w:t>
      </w:r>
      <w:r>
        <w:rPr>
          <w:lang w:val="en_US" w:bidi="en_US"/>
        </w:rPr>
        <w:t xml:space="preserve"> In Jewish cultures the word </w:t>
      </w:r>
      <w:r>
        <w:rPr>
          <w:i/>
          <w:lang w:val="en_US" w:bidi="en_US"/>
        </w:rPr>
        <w:t>peace</w:t>
      </w:r>
      <w:r>
        <w:rPr>
          <w:lang w:val="en_US" w:bidi="en_US"/>
        </w:rPr>
        <w:t xml:space="preserve">The word “peace” here is a translation of the Hebrew word </w:t>
      </w:r>
      <w:r>
        <w:rPr>
          <w:i/>
          <w:lang w:val="en_US" w:bidi="en_US"/>
        </w:rPr>
        <w:t>shalom</w:t>
      </w:r>
      <w:r>
        <w:rPr>
          <w:lang w:val="en_US" w:bidi="en_US"/>
        </w:rPr>
        <w:t xml:space="preserve"> (the word that Jesus probably spoke here).</w:t>
      </w:r>
      <w:r>
        <w:rPr>
          <w:lang w:val="en_US" w:bidi="en_US"/>
        </w:rPr>
        <w:t xml:space="preserve"> refers to serenity and absence of conflict. It often indicates a relationship with God and all the benefits that come from that relationship, such as security, health, and prosperity. Here Jesus’ blessing of peace focuses on health and the relationship with God that the woman had because she was no longer ritually impure.</w:t>
      </w:r>
    </w:p>
    <w:p>
      <w:pPr/>
      <w:r>
        <w:rPr>
          <w:lang w:val="en_US" w:bidi="en_US"/>
        </w:rPr>
      </w:r>
      <w:r>
        <w:rPr>
          <w:lang w:val="en_US" w:bidi="en_US"/>
        </w:rPr>
        <w:t>See peace, Meaning 6, in the Glossary.</w:t>
      </w:r>
      <w:r>
        <w:rPr>
          <w:lang w:val="en_US" w:bidi="en_US"/>
        </w:rPr>
      </w:r>
      <w:r>
        <w:rPr>
          <w:lang w:val="en_US" w:bidi="en_US"/>
        </w:rPr>
      </w:r>
    </w:p>
    <w:p>
      <w:pPr/>
      <w:r>
        <w:rPr>
          <w:lang w:val="en_US" w:bidi="en_US"/>
        </w:rPr>
      </w:r>
    </w:p>
    <w:p>
      <w:pPr>
        <w:pStyle w:val="Heading2"/>
      </w:pPr>
      <w:r>
        <w:rPr>
          <w:lang w:val="en_US" w:bidi="en_US"/>
        </w:rPr>
        <w:t>Luke 8:1</w:t>
      </w:r>
      <w:r>
        <w:rPr>
          <w:lang w:val="en_US" w:bidi="en_US"/>
        </w:rPr>
      </w:r>
    </w:p>
    <w:p>
      <w:pPr>
        <w:pStyle w:val="Heading4"/>
      </w:pPr>
      <w:r>
        <w:rPr>
          <w:lang w:val="en_US" w:bidi="en_US"/>
        </w:rPr>
        <w:t>Section 8:1–3: Some women helped Jesus and his disciples as they traveled</w:t>
      </w:r>
    </w:p>
    <w:p>
      <w:pPr/>
      <w:r>
        <w:rPr>
          <w:lang w:val="en_US" w:bidi="en_US"/>
        </w:rPr>
      </w:r>
      <w:r>
        <w:rPr>
          <w:lang w:val="en_US" w:bidi="en_US"/>
        </w:rPr>
        <w:t>In this section Jesus traveled from town to town, telling people about the kingdom of God. His twelve disciples went with him. Some women who had been healed of various diseases or delivered from demons also traveled with them and provided money for their needs. The text does not specify exactly when Jesus and his followers began to travel, but 8:1 indicates that it was sometime after the events in the preceding section (7:36–50).</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and his disciples preach in different towns and women support them</w:t>
      </w:r>
    </w:p>
    <w:p>
      <w:pPr/>
      <w:r>
        <w:rPr>
          <w:lang w:val="en_US" w:bidi="en_US"/>
        </w:rPr>
      </w:r>
      <w:r>
        <w:rPr>
          <w:lang w:val="en_US" w:bidi="en_US"/>
        </w:rPr>
        <w:t>Women Who Helped Jesus (CEV)</w:t>
      </w:r>
    </w:p>
    <w:p>
      <w:pPr/>
      <w:r>
        <w:rPr>
          <w:lang w:val="en_US" w:bidi="en_US"/>
        </w:rPr>
      </w:r>
      <w:r>
        <w:rPr>
          <w:lang w:val="en_US" w:bidi="en_US"/>
        </w:rPr>
        <w:t>Jesus’ Ministry and the Help of Women (NET)</w:t>
      </w:r>
    </w:p>
    <w:p>
      <w:pPr>
        <w:pStyle w:val="Heading5"/>
      </w:pPr>
      <w:r>
        <w:rPr>
          <w:lang w:val="en_US" w:bidi="en_US"/>
        </w:rPr>
        <w:t>8:1a</w:t>
      </w:r>
    </w:p>
    <w:p>
      <w:pPr/>
      <w:r>
        <w:rPr>
          <w:lang w:val="en_US" w:bidi="en_US"/>
        </w:rPr>
      </w:r>
      <w:r>
        <w:rPr>
          <w:b/>
          <w:lang w:val="en_US" w:bidi="en_US"/>
        </w:rPr>
        <w:t>Soon afterward, Jesus traveled from one town and village to another,</w:t>
      </w:r>
    </w:p>
    <w:p>
      <w:pPr>
        <w:pStyle w:val="ListBullet"/>
        <w:spacing w:line="240" w:lineRule="auto"/>
        <w:ind w:left="720"/>
      </w:pPr>
      <w:r>
        <w:rPr>
          <w:lang w:val="en_US" w:bidi="en_US"/>
        </w:rPr>
      </w:r>
      <w:r>
        <w:rPr>
          <w:lang w:val="en_US" w:bidi="en_US"/>
        </w:rPr>
        <w:t>¶ Sometime after this, Jesus went around to different towns and villages.</w:t>
      </w:r>
    </w:p>
    <w:p>
      <w:pPr>
        <w:pStyle w:val="ListBullet"/>
        <w:spacing w:line="240" w:lineRule="auto"/>
        <w:ind w:left="720"/>
      </w:pPr>
      <w:r>
        <w:rPr>
          <w:lang w:val="en_US" w:bidi="en_US"/>
        </w:rPr>
      </w:r>
      <w:r>
        <w:rPr>
          <w:lang w:val="en_US" w:bidi="en_US"/>
        </w:rPr>
        <w:t>¶ At a later time, Jesus journeyed to various towns and villages.</w:t>
      </w:r>
    </w:p>
    <w:p>
      <w:pPr>
        <w:pStyle w:val="ListBullet"/>
        <w:spacing w:line="240" w:lineRule="auto"/>
        <w:ind w:left="720"/>
      </w:pPr>
      <w:r>
        <w:rPr>
          <w:lang w:val="en_US" w:bidi="en_US"/>
        </w:rPr>
      </w:r>
      <w:r>
        <w:rPr>
          <w:lang w:val="en_US" w:bidi="en_US"/>
        </w:rPr>
        <w:t>¶ After these events, Jesus toured many towns, both large and small.</w:t>
      </w:r>
    </w:p>
    <w:p>
      <w:pPr/>
      <w:r>
        <w:rPr>
          <w:lang w:val="en_US" w:bidi="en_US"/>
        </w:rPr>
      </w:r>
      <w:r>
        <w:rPr>
          <w:b/>
          <w:lang w:val="en_US" w:bidi="en_US"/>
        </w:rPr>
        <w:t>Soon afterward:</w:t>
      </w:r>
      <w:r>
        <w:rPr>
          <w:lang w:val="en_US" w:bidi="en_US"/>
        </w:rPr>
        <w:t xml:space="preserve"> The Greek phrase that the BSB translates as </w:t>
      </w:r>
      <w:r>
        <w:rPr>
          <w:i/>
          <w:lang w:val="en_US" w:bidi="en_US"/>
        </w:rPr>
        <w:t>Soon afterward</w:t>
      </w:r>
      <w:r>
        <w:rPr>
          <w:lang w:val="en_US" w:bidi="en_US"/>
        </w:rPr>
        <w:t xml:space="preserve"> indicates that the events in the first few verses of chapter 8 happened after the events in chapter 7. The phrase is a general expression and does not necessarily mean “soon afterward.” Other ways to say this are:</w:t>
      </w:r>
    </w:p>
    <w:p>
      <w:pPr/>
      <w:r>
        <w:rPr>
          <w:lang w:val="en_US" w:bidi="en_US"/>
        </w:rPr>
      </w:r>
      <w:r>
        <w:rPr>
          <w:lang w:val="en_US" w:bidi="en_US"/>
        </w:rPr>
        <w:t>Some time afterward (NET)</w:t>
      </w:r>
    </w:p>
    <w:p>
      <w:pPr/>
      <w:r>
        <w:rPr>
          <w:lang w:val="en_US" w:bidi="en_US"/>
        </w:rPr>
      </w:r>
      <w:r>
        <w:rPr>
          <w:lang w:val="en_US" w:bidi="en_US"/>
        </w:rPr>
        <w:t>After this (NIV)</w:t>
      </w:r>
    </w:p>
    <w:p>
      <w:pPr/>
      <w:r>
        <w:rPr>
          <w:lang w:val="en_US" w:bidi="en_US"/>
        </w:rPr>
      </w:r>
      <w:r>
        <w:rPr>
          <w:lang w:val="en_US" w:bidi="en_US"/>
        </w:rPr>
        <w:t>After these events</w:t>
      </w:r>
    </w:p>
    <w:p>
      <w:pPr/>
      <w:r>
        <w:rPr>
          <w:lang w:val="en_US" w:bidi="en_US"/>
        </w:rPr>
      </w:r>
      <w:r>
        <w:rPr>
          <w:b/>
          <w:lang w:val="en_US" w:bidi="en_US"/>
        </w:rPr>
        <w:t>Jesus:</w:t>
      </w:r>
      <w:r>
        <w:rPr>
          <w:lang w:val="en_US" w:bidi="en_US"/>
        </w:rPr>
        <w:t xml:space="preserve"> The Greek word that the BSB translates as </w:t>
      </w:r>
      <w:r>
        <w:rPr>
          <w:i/>
          <w:lang w:val="en_US" w:bidi="en_US"/>
        </w:rPr>
        <w:t>Jesus</w:t>
      </w:r>
      <w:r>
        <w:rPr>
          <w:lang w:val="en_US" w:bidi="en_US"/>
        </w:rPr>
        <w:t xml:space="preserve"> is literally “he.” It is natural in English and some other languages to use Jesus’ name here at the beginning of a new section. Refer to him here in a natural way in your language.</w:t>
      </w:r>
    </w:p>
    <w:p>
      <w:pPr/>
      <w:r>
        <w:rPr>
          <w:lang w:val="en_US" w:bidi="en_US"/>
        </w:rPr>
      </w:r>
      <w:r>
        <w:rPr>
          <w:b/>
          <w:lang w:val="en_US" w:bidi="en_US"/>
        </w:rPr>
        <w:t>traveled from one town and village to another:</w:t>
      </w:r>
      <w:r>
        <w:rPr>
          <w:lang w:val="en_US" w:bidi="en_US"/>
        </w:rPr>
        <w:t xml:space="preserve"> The Greek phrase that the BSB translates as </w:t>
      </w:r>
      <w:r>
        <w:rPr>
          <w:i/>
          <w:lang w:val="en_US" w:bidi="en_US"/>
        </w:rPr>
        <w:t>traveled from one town and village to another</w:t>
      </w:r>
      <w:r>
        <w:rPr>
          <w:lang w:val="en_US" w:bidi="en_US"/>
        </w:rPr>
        <w:t xml:space="preserve"> indicates here that Jesus went to different cities, towns, and villages in the area. These towns or cities probably varied in size and in the number of people who lived in them. He went from one inhabited place to another without going back to any home place. Other ways to say this are:</w:t>
      </w:r>
    </w:p>
    <w:p>
      <w:pPr/>
      <w:r>
        <w:rPr>
          <w:lang w:val="en_US" w:bidi="en_US"/>
        </w:rPr>
      </w:r>
      <w:r>
        <w:rPr>
          <w:lang w:val="en_US" w:bidi="en_US"/>
        </w:rPr>
        <w:t>began a tour of the nearby towns and villages (NLT)</w:t>
      </w:r>
    </w:p>
    <w:p>
      <w:pPr/>
      <w:r>
        <w:rPr>
          <w:lang w:val="en_US" w:bidi="en_US"/>
        </w:rPr>
      </w:r>
      <w:r>
        <w:rPr>
          <w:lang w:val="en_US" w:bidi="en_US"/>
        </w:rPr>
        <w:t>was traveling through some cities and small towns (NCV)</w:t>
      </w:r>
    </w:p>
    <w:p>
      <w:pPr/>
      <w:r>
        <w:rPr>
          <w:lang w:val="en_US" w:bidi="en_US"/>
        </w:rPr>
      </w:r>
      <w:r>
        <w:rPr>
          <w:lang w:val="en_US" w:bidi="en_US"/>
        </w:rPr>
        <w:t>went journeying from town to town and village to village (REB)</w:t>
      </w:r>
    </w:p>
    <w:p>
      <w:pPr/>
      <w:r>
        <w:rPr>
          <w:lang w:val="en_US" w:bidi="en_US"/>
        </w:rPr>
      </w:r>
      <w:r>
        <w:rPr>
          <w:lang w:val="en_US" w:bidi="en_US"/>
        </w:rPr>
        <w:t>went around to many towns, both large and small</w:t>
      </w:r>
    </w:p>
    <w:p>
      <w:pPr>
        <w:pStyle w:val="Heading5"/>
      </w:pPr>
      <w:r>
        <w:rPr>
          <w:lang w:val="en_US" w:bidi="en_US"/>
        </w:rPr>
        <w:t>8:1b</w:t>
      </w:r>
    </w:p>
    <w:p>
      <w:pPr/>
      <w:r>
        <w:rPr>
          <w:lang w:val="en_US" w:bidi="en_US"/>
        </w:rPr>
      </w:r>
      <w:r>
        <w:rPr>
          <w:b/>
          <w:lang w:val="en_US" w:bidi="en_US"/>
        </w:rPr>
        <w:t>preaching and proclaiming the good news of the kingdom of God.</w:t>
      </w:r>
    </w:p>
    <w:p>
      <w:pPr>
        <w:pStyle w:val="ListBullet"/>
        <w:spacing w:line="240" w:lineRule="auto"/>
        <w:ind w:left="720"/>
      </w:pPr>
      <w:r>
        <w:rPr>
          <w:lang w:val="en_US" w:bidi="en_US"/>
        </w:rPr>
      </w:r>
      <w:r>
        <w:rPr>
          <w:lang w:val="en_US" w:bidi="en_US"/>
        </w:rPr>
        <w:t xml:space="preserve">He preached </w:t>
      </w:r>
      <w:r>
        <w:rPr>
          <w:lang w:val="en_US" w:bidi="en_US"/>
        </w:rPr>
        <w:t>in each one</w:t>
      </w:r>
      <w:r>
        <w:rPr>
          <w:lang w:val="en_US" w:bidi="en_US"/>
        </w:rPr>
        <w:t>, proclaiming the good news about the kingdom of God.</w:t>
      </w:r>
    </w:p>
    <w:p>
      <w:pPr>
        <w:pStyle w:val="ListBullet"/>
        <w:spacing w:line="240" w:lineRule="auto"/>
        <w:ind w:left="720"/>
      </w:pPr>
      <w:r>
        <w:rPr>
          <w:lang w:val="en_US" w:bidi="en_US"/>
        </w:rPr>
      </w:r>
      <w:r>
        <w:rPr>
          <w:lang w:val="en_US" w:bidi="en_US"/>
        </w:rPr>
        <w:t>As he went</w:t>
      </w:r>
      <w:r>
        <w:rPr>
          <w:lang w:val="en_US" w:bidi="en_US"/>
        </w:rPr>
        <w:t xml:space="preserve"> he preached, declaring </w:t>
      </w:r>
      <w:r>
        <w:rPr>
          <w:lang w:val="en_US" w:bidi="en_US"/>
        </w:rPr>
        <w:t>to people</w:t>
      </w:r>
      <w:r>
        <w:rPr>
          <w:lang w:val="en_US" w:bidi="en_US"/>
        </w:rPr>
        <w:t xml:space="preserve"> the good news concerning God’s rule/reign.</w:t>
      </w:r>
    </w:p>
    <w:p>
      <w:pPr>
        <w:pStyle w:val="ListBullet"/>
        <w:spacing w:line="240" w:lineRule="auto"/>
        <w:ind w:left="720"/>
      </w:pPr>
      <w:r>
        <w:rPr>
          <w:lang w:val="en_US" w:bidi="en_US"/>
        </w:rPr>
      </w:r>
      <w:r>
        <w:rPr>
          <w:lang w:val="en_US" w:bidi="en_US"/>
        </w:rPr>
        <w:t xml:space="preserve">He proclaimed </w:t>
      </w:r>
      <w:r>
        <w:rPr>
          <w:lang w:val="en_US" w:bidi="en_US"/>
        </w:rPr>
        <w:t>to their inhabitants</w:t>
      </w:r>
      <w:r>
        <w:rPr>
          <w:lang w:val="en_US" w:bidi="en_US"/>
        </w:rPr>
        <w:t xml:space="preserve"> the joyful news that the kingdom of God is near.</w:t>
      </w:r>
    </w:p>
    <w:p>
      <w:pPr/>
      <w:r>
        <w:rPr>
          <w:lang w:val="en_US" w:bidi="en_US"/>
        </w:rPr>
      </w:r>
      <w:r>
        <w:rPr>
          <w:b/>
          <w:lang w:val="en_US" w:bidi="en_US"/>
        </w:rPr>
        <w:t>preaching and proclaiming the good news of the kingdom of God:</w:t>
      </w:r>
      <w:r>
        <w:rPr>
          <w:lang w:val="en_US" w:bidi="en_US"/>
        </w:rPr>
        <w:t xml:space="preserve"> The Greek phrase that the BSB translates as </w:t>
      </w:r>
      <w:r>
        <w:rPr>
          <w:i/>
          <w:lang w:val="en_US" w:bidi="en_US"/>
        </w:rPr>
        <w:t>preaching and proclaiming the good news of the kingdom of God</w:t>
      </w:r>
      <w:r>
        <w:rPr>
          <w:lang w:val="en_US" w:bidi="en_US"/>
        </w:rPr>
        <w:t xml:space="preserve"> is more literally “preaching and telling good news of the kingdom of God.” Since the Greek verbs for “preaching” and “telling good news” refer to the same activity, some translations use only the verb “proclaiming.” Other ways to say this are:</w:t>
      </w:r>
    </w:p>
    <w:p>
      <w:pPr/>
      <w:r>
        <w:rPr>
          <w:lang w:val="en_US" w:bidi="en_US"/>
        </w:rPr>
      </w:r>
      <w:r>
        <w:rPr>
          <w:lang w:val="en_US" w:bidi="en_US"/>
        </w:rPr>
        <w:t>proclaiming the good news of the kingdom of God (NIV)</w:t>
      </w:r>
    </w:p>
    <w:p>
      <w:pPr/>
      <w:r>
        <w:rPr>
          <w:lang w:val="en_US" w:bidi="en_US"/>
        </w:rPr>
      </w:r>
      <w:r>
        <w:rPr>
          <w:lang w:val="en_US" w:bidi="en_US"/>
        </w:rPr>
        <w:t>he was preaching, telling people the Good News about God’s kingdom</w:t>
      </w:r>
    </w:p>
    <w:p>
      <w:pPr/>
      <w:r>
        <w:rPr>
          <w:lang w:val="en_US" w:bidi="en_US"/>
        </w:rPr>
      </w:r>
      <w:r>
        <w:rPr>
          <w:lang w:val="en_US" w:bidi="en_US"/>
        </w:rPr>
        <w:t>he announced to people the good news about the kingdom of God</w:t>
      </w:r>
    </w:p>
    <w:p>
      <w:pPr/>
      <w:r>
        <w:rPr>
          <w:lang w:val="en_US" w:bidi="en_US"/>
        </w:rPr>
      </w:r>
      <w:r>
        <w:rPr>
          <w:b/>
          <w:lang w:val="en_US" w:bidi="en_US"/>
        </w:rPr>
        <w:t>proclaiming:</w:t>
      </w:r>
      <w:r>
        <w:rPr>
          <w:lang w:val="en_US" w:bidi="en_US"/>
        </w:rPr>
        <w:t xml:space="preserve"> The Greek word that the BSB here translates as </w:t>
      </w:r>
      <w:r>
        <w:rPr>
          <w:i/>
          <w:lang w:val="en_US" w:bidi="en_US"/>
        </w:rPr>
        <w:t>proclaiming</w:t>
      </w:r>
      <w:r>
        <w:rPr>
          <w:lang w:val="en_US" w:bidi="en_US"/>
        </w:rPr>
        <w:t xml:space="preserve"> means to tell people something important publicly.</w:t>
      </w:r>
    </w:p>
    <w:p>
      <w:pPr/>
      <w:r>
        <w:rPr>
          <w:lang w:val="en_US" w:bidi="en_US"/>
        </w:rPr>
      </w:r>
      <w:r>
        <w:rPr>
          <w:lang w:val="en_US" w:bidi="en_US"/>
        </w:rPr>
        <w:t xml:space="preserve">Some other ways to translate </w:t>
      </w:r>
      <w:r>
        <w:rPr>
          <w:i/>
          <w:lang w:val="en_US" w:bidi="en_US"/>
        </w:rPr>
        <w:t>proclaiming</w:t>
      </w:r>
      <w:r>
        <w:rPr>
          <w:lang w:val="en_US" w:bidi="en_US"/>
        </w:rPr>
        <w:t xml:space="preserve"> are:</w:t>
      </w:r>
    </w:p>
    <w:p>
      <w:pPr/>
      <w:r>
        <w:rPr>
          <w:lang w:val="en_US" w:bidi="en_US"/>
        </w:rPr>
      </w:r>
      <w:r>
        <w:rPr>
          <w:lang w:val="en_US" w:bidi="en_US"/>
        </w:rPr>
        <w:t>announcing</w:t>
      </w:r>
    </w:p>
    <w:p>
      <w:pPr/>
      <w:r>
        <w:rPr>
          <w:lang w:val="en_US" w:bidi="en_US"/>
        </w:rPr>
      </w:r>
      <w:r>
        <w:rPr>
          <w:lang w:val="en_US" w:bidi="en_US"/>
        </w:rPr>
        <w:t>telling people</w:t>
      </w:r>
    </w:p>
    <w:p>
      <w:pPr/>
      <w:r>
        <w:rPr>
          <w:lang w:val="en_US" w:bidi="en_US"/>
        </w:rPr>
      </w:r>
      <w:r>
        <w:rPr>
          <w:b/>
          <w:lang w:val="en_US" w:bidi="en_US"/>
        </w:rPr>
        <w:t>the good news of the kingdom of God:</w:t>
      </w:r>
      <w:r>
        <w:rPr>
          <w:lang w:val="en_US" w:bidi="en_US"/>
        </w:rPr>
        <w:t xml:space="preserve"> The phrase </w:t>
      </w:r>
      <w:r>
        <w:rPr>
          <w:i/>
          <w:lang w:val="en_US" w:bidi="en_US"/>
        </w:rPr>
        <w:t>the good news of the kingdom of God</w:t>
      </w:r>
      <w:r>
        <w:rPr>
          <w:lang w:val="en_US" w:bidi="en_US"/>
        </w:rPr>
        <w:t xml:space="preserve"> means “the good news concerning God’s kingdom/reign.” The phrase </w:t>
      </w:r>
      <w:r>
        <w:rPr>
          <w:i/>
          <w:lang w:val="en_US" w:bidi="en_US"/>
        </w:rPr>
        <w:t>the kingdom of God</w:t>
      </w:r>
      <w:r>
        <w:rPr>
          <w:lang w:val="en_US" w:bidi="en_US"/>
        </w:rPr>
        <w:t xml:space="preserve"> refers to God’s activity of ruling and caring for his people as their king. It does not refer to a land or country that he rules. The term </w:t>
      </w:r>
      <w:r>
        <w:rPr>
          <w:i/>
          <w:lang w:val="en_US" w:bidi="en_US"/>
        </w:rPr>
        <w:t>kingdom of God</w:t>
      </w:r>
      <w:r>
        <w:rPr>
          <w:lang w:val="en_US" w:bidi="en_US"/>
        </w:rPr>
        <w:t xml:space="preserve"> also occurs in 7:28b. Other ways to say this are:</w:t>
      </w:r>
    </w:p>
    <w:p>
      <w:pPr/>
      <w:r>
        <w:rPr>
          <w:lang w:val="en_US" w:bidi="en_US"/>
        </w:rPr>
      </w:r>
      <w:r>
        <w:rPr>
          <w:lang w:val="en_US" w:bidi="en_US"/>
        </w:rPr>
        <w:t>the good news concerning God’s reign/rule</w:t>
      </w:r>
    </w:p>
    <w:p>
      <w:pPr/>
      <w:r>
        <w:rPr>
          <w:lang w:val="en_US" w:bidi="en_US"/>
        </w:rPr>
      </w:r>
      <w:r>
        <w:rPr>
          <w:lang w:val="en_US" w:bidi="en_US"/>
        </w:rPr>
        <w:t>the sweet message about God’s chieftaincy</w:t>
      </w:r>
    </w:p>
    <w:p>
      <w:pPr/>
      <w:r>
        <w:rPr>
          <w:lang w:val="en_US" w:bidi="en_US"/>
        </w:rPr>
      </w:r>
      <w:r>
        <w:rPr>
          <w:lang w:val="en_US" w:bidi="en_US"/>
        </w:rPr>
        <w:t xml:space="preserve">In some languages it may be necessary to translate </w:t>
      </w:r>
      <w:r>
        <w:rPr>
          <w:i/>
          <w:lang w:val="en_US" w:bidi="en_US"/>
        </w:rPr>
        <w:t>kingdom</w:t>
      </w:r>
      <w:r>
        <w:rPr>
          <w:lang w:val="en_US" w:bidi="en_US"/>
        </w:rPr>
        <w:t xml:space="preserve"> with a verb and supply an object. If that is true in your language, some ways to translate it are:</w:t>
      </w:r>
    </w:p>
    <w:p>
      <w:pPr/>
      <w:r>
        <w:rPr>
          <w:lang w:val="en_US" w:bidi="en_US"/>
        </w:rPr>
      </w:r>
      <w:r>
        <w:rPr>
          <w:lang w:val="en_US" w:bidi="en_US"/>
        </w:rPr>
        <w:t xml:space="preserve">the good/sweet news about God ruling </w:t>
      </w:r>
      <w:r>
        <w:rPr>
          <w:lang w:val="en_US" w:bidi="en_US"/>
        </w:rPr>
        <w:t>his people</w:t>
      </w:r>
    </w:p>
    <w:p>
      <w:pPr/>
      <w:r>
        <w:rPr>
          <w:lang w:val="en_US" w:bidi="en_US"/>
        </w:rPr>
      </w:r>
      <w:r>
        <w:rPr>
          <w:lang w:val="en_US" w:bidi="en_US"/>
        </w:rPr>
        <w:t xml:space="preserve">the message/report that caused joy. This message was about God reigning </w:t>
      </w:r>
      <w:r>
        <w:rPr>
          <w:lang w:val="en_US" w:bidi="en_US"/>
        </w:rPr>
        <w:t>over his people</w:t>
      </w:r>
    </w:p>
    <w:p>
      <w:pPr/>
      <w:r>
        <w:rPr>
          <w:lang w:val="en_US" w:bidi="en_US"/>
        </w:rPr>
      </w:r>
      <w:r>
        <w:rPr>
          <w:lang w:val="en_US" w:bidi="en_US"/>
        </w:rPr>
        <w:t xml:space="preserve">See also the note on 4:43a where the phrase </w:t>
      </w:r>
      <w:r>
        <w:rPr>
          <w:i/>
          <w:lang w:val="en_US" w:bidi="en_US"/>
        </w:rPr>
        <w:t>the good news of the kingdom of God</w:t>
      </w:r>
      <w:r>
        <w:rPr>
          <w:lang w:val="en_US" w:bidi="en_US"/>
        </w:rPr>
        <w:t xml:space="preserve"> also occurs. See also kingdom of God, Context 4, in the Glossary.</w:t>
      </w:r>
    </w:p>
    <w:p>
      <w:pPr>
        <w:pStyle w:val="Heading5"/>
      </w:pPr>
      <w:r>
        <w:rPr>
          <w:lang w:val="en_US" w:bidi="en_US"/>
        </w:rPr>
        <w:t>8:1c</w:t>
      </w:r>
    </w:p>
    <w:p>
      <w:pPr/>
      <w:r>
        <w:rPr>
          <w:lang w:val="en_US" w:bidi="en_US"/>
        </w:rPr>
      </w:r>
      <w:r>
        <w:rPr>
          <w:b/>
          <w:lang w:val="en_US" w:bidi="en_US"/>
        </w:rPr>
        <w:t>The Twelve were with Him,</w:t>
      </w:r>
    </w:p>
    <w:p>
      <w:pPr>
        <w:pStyle w:val="ListBullet"/>
        <w:spacing w:line="240" w:lineRule="auto"/>
        <w:ind w:left="720"/>
      </w:pPr>
      <w:r>
        <w:rPr>
          <w:lang w:val="en_US" w:bidi="en_US"/>
        </w:rPr>
      </w:r>
      <w:r>
        <w:rPr>
          <w:lang w:val="en_US" w:bidi="en_US"/>
        </w:rPr>
        <w:t>His</w:t>
      </w:r>
      <w:r>
        <w:rPr>
          <w:lang w:val="en_US" w:bidi="en_US"/>
        </w:rPr>
        <w:t xml:space="preserve"> twelve </w:t>
      </w:r>
      <w:r>
        <w:rPr>
          <w:lang w:val="en_US" w:bidi="en_US"/>
        </w:rPr>
        <w:t>apostles</w:t>
      </w:r>
      <w:r>
        <w:rPr>
          <w:lang w:val="en_US" w:bidi="en_US"/>
        </w:rPr>
        <w:t xml:space="preserve"> went with him,</w:t>
      </w:r>
    </w:p>
    <w:p>
      <w:pPr>
        <w:pStyle w:val="ListBullet"/>
        <w:spacing w:line="240" w:lineRule="auto"/>
        <w:ind w:left="720"/>
      </w:pPr>
      <w:r>
        <w:rPr>
          <w:lang w:val="en_US" w:bidi="en_US"/>
        </w:rPr>
      </w:r>
      <w:r>
        <w:rPr>
          <w:lang w:val="en_US" w:bidi="en_US"/>
        </w:rPr>
        <w:t xml:space="preserve">He was accompanied by the twelve </w:t>
      </w:r>
      <w:r>
        <w:rPr>
          <w:lang w:val="en_US" w:bidi="en_US"/>
        </w:rPr>
        <w:t>apostles</w:t>
      </w:r>
      <w:r>
        <w:rPr>
          <w:lang w:val="en_US" w:bidi="en_US"/>
        </w:rPr>
        <w:t>.</w:t>
      </w:r>
    </w:p>
    <w:p>
      <w:pPr/>
      <w:r>
        <w:rPr>
          <w:lang w:val="en_US" w:bidi="en_US"/>
        </w:rPr>
      </w:r>
      <w:r>
        <w:rPr>
          <w:b/>
          <w:lang w:val="en_US" w:bidi="en_US"/>
        </w:rPr>
        <w:t>The Twelve:</w:t>
      </w:r>
      <w:r>
        <w:rPr>
          <w:lang w:val="en_US" w:bidi="en_US"/>
        </w:rPr>
        <w:t xml:space="preserve"> The Greek phrase that the BSB translates literally as </w:t>
      </w:r>
      <w:r>
        <w:rPr>
          <w:i/>
          <w:lang w:val="en_US" w:bidi="en_US"/>
        </w:rPr>
        <w:t>The Twelve</w:t>
      </w:r>
      <w:r>
        <w:rPr>
          <w:lang w:val="en_US" w:bidi="en_US"/>
        </w:rPr>
        <w:t xml:space="preserve"> refers to the twelve disciples whom Jesus chose to be </w:t>
      </w:r>
      <w:r>
        <w:rPr>
          <w:u w:val="single"/>
          <w:lang w:val="en_US" w:bidi="en_US"/>
        </w:rPr>
        <w:t>apostles</w:t>
      </w:r>
      <w:r>
        <w:rPr>
          <w:lang w:val="en_US" w:bidi="en_US"/>
        </w:rPr>
        <w:t xml:space="preserve"> in 6:13–16. See apostle in the Glossary.</w:t>
      </w:r>
      <w:r>
        <w:rPr>
          <w:lang w:val="en_US" w:bidi="en_US"/>
        </w:rPr>
      </w:r>
      <w:r>
        <w:rPr>
          <w:lang w:val="en_US" w:bidi="en_US"/>
        </w:rPr>
      </w:r>
    </w:p>
    <w:p>
      <w:pPr/>
      <w:r>
        <w:rPr>
          <w:lang w:val="en_US" w:bidi="en_US"/>
        </w:rPr>
      </w:r>
    </w:p>
    <w:p>
      <w:pPr>
        <w:pStyle w:val="Heading2"/>
      </w:pPr>
      <w:r>
        <w:rPr>
          <w:lang w:val="en_US" w:bidi="en_US"/>
        </w:rPr>
        <w:t>Luke 8:2</w:t>
      </w:r>
      <w:r>
        <w:rPr>
          <w:lang w:val="en_US" w:bidi="en_US"/>
        </w:rPr>
      </w:r>
    </w:p>
    <w:p>
      <w:pPr>
        <w:pStyle w:val="Heading4"/>
      </w:pPr>
      <w:r>
        <w:rPr>
          <w:lang w:val="en_US" w:bidi="en_US"/>
        </w:rPr>
        <w:t>Section 8:1–3: Some women helped Jesus and his disciples as they traveled</w:t>
      </w:r>
    </w:p>
    <w:p>
      <w:pPr/>
      <w:r>
        <w:rPr>
          <w:lang w:val="en_US" w:bidi="en_US"/>
        </w:rPr>
      </w:r>
      <w:r>
        <w:rPr>
          <w:lang w:val="en_US" w:bidi="en_US"/>
        </w:rPr>
        <w:t>In this section Jesus traveled from town to town, telling people about the kingdom of God. His twelve disciples went with him. Some women who had been healed of various diseases or delivered from demons also traveled with them and provided money for their needs. The text does not specify exactly when Jesus and his followers began to travel, but 8:1 indicates that it was sometime after the events in the preceding section (7:36–50).</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and his disciples preach in different towns and women support them</w:t>
      </w:r>
    </w:p>
    <w:p>
      <w:pPr/>
      <w:r>
        <w:rPr>
          <w:lang w:val="en_US" w:bidi="en_US"/>
        </w:rPr>
      </w:r>
      <w:r>
        <w:rPr>
          <w:lang w:val="en_US" w:bidi="en_US"/>
        </w:rPr>
        <w:t>Women Who Helped Jesus (CEV)</w:t>
      </w:r>
    </w:p>
    <w:p>
      <w:pPr/>
      <w:r>
        <w:rPr>
          <w:lang w:val="en_US" w:bidi="en_US"/>
        </w:rPr>
      </w:r>
      <w:r>
        <w:rPr>
          <w:lang w:val="en_US" w:bidi="en_US"/>
        </w:rPr>
        <w:t>Jesus’ Ministry and the Help of Women (NET)</w:t>
      </w:r>
    </w:p>
    <w:p>
      <w:pPr>
        <w:pStyle w:val="Heading5"/>
      </w:pPr>
      <w:r>
        <w:rPr>
          <w:lang w:val="en_US" w:bidi="en_US"/>
        </w:rPr>
        <w:t>8:2a</w:t>
      </w:r>
    </w:p>
    <w:p>
      <w:pPr/>
      <w:r>
        <w:rPr>
          <w:lang w:val="en_US" w:bidi="en_US"/>
        </w:rPr>
      </w:r>
      <w:r>
        <w:rPr>
          <w:b/>
          <w:lang w:val="en_US" w:bidi="en_US"/>
        </w:rPr>
        <w:t>as well as some women who had been healed of evil spirits and infirmities:</w:t>
      </w:r>
    </w:p>
    <w:p>
      <w:pPr>
        <w:pStyle w:val="ListBullet"/>
        <w:spacing w:line="240" w:lineRule="auto"/>
        <w:ind w:left="720"/>
      </w:pPr>
      <w:r>
        <w:rPr>
          <w:lang w:val="en_US" w:bidi="en_US"/>
        </w:rPr>
      </w:r>
      <w:r>
        <w:rPr>
          <w:lang w:val="en_US" w:bidi="en_US"/>
        </w:rPr>
        <w:t xml:space="preserve">as well as some women whom </w:t>
      </w:r>
      <w:r>
        <w:rPr>
          <w:lang w:val="en_US" w:bidi="en_US"/>
        </w:rPr>
        <w:t>Jesus</w:t>
      </w:r>
      <w:r>
        <w:rPr>
          <w:lang w:val="en_US" w:bidi="en_US"/>
        </w:rPr>
        <w:t xml:space="preserve"> had healed of evil spirits and sicknesses.</w:t>
      </w:r>
    </w:p>
    <w:p>
      <w:pPr>
        <w:pStyle w:val="ListBullet"/>
        <w:spacing w:line="240" w:lineRule="auto"/>
        <w:ind w:left="720"/>
      </w:pPr>
      <w:r>
        <w:rPr>
          <w:lang w:val="en_US" w:bidi="en_US"/>
        </w:rPr>
      </w:r>
      <w:r>
        <w:rPr>
          <w:lang w:val="en_US" w:bidi="en_US"/>
        </w:rPr>
        <w:t xml:space="preserve">Some women also </w:t>
      </w:r>
      <w:r>
        <w:rPr>
          <w:lang w:val="en_US" w:bidi="en_US"/>
        </w:rPr>
        <w:t>traveled with him</w:t>
      </w:r>
      <w:r>
        <w:rPr>
          <w:lang w:val="en_US" w:bidi="en_US"/>
        </w:rPr>
        <w:t xml:space="preserve">. These women </w:t>
      </w:r>
      <w:r>
        <w:rPr>
          <w:lang w:val="en_US" w:bidi="en_US"/>
        </w:rPr>
        <w:t>had been sick/suffering with</w:t>
      </w:r>
      <w:r>
        <w:rPr>
          <w:lang w:val="en_US" w:bidi="en_US"/>
        </w:rPr>
        <w:t xml:space="preserve"> evil spirits or diseases, but </w:t>
      </w:r>
      <w:r>
        <w:rPr>
          <w:lang w:val="en_US" w:bidi="en_US"/>
        </w:rPr>
        <w:t>Jesus</w:t>
      </w:r>
      <w:r>
        <w:rPr>
          <w:lang w:val="en_US" w:bidi="en_US"/>
        </w:rPr>
        <w:t xml:space="preserve"> had made them well.</w:t>
      </w:r>
    </w:p>
    <w:p>
      <w:pPr>
        <w:pStyle w:val="ListBullet"/>
        <w:spacing w:line="240" w:lineRule="auto"/>
        <w:ind w:left="720"/>
      </w:pPr>
      <w:r>
        <w:rPr>
          <w:lang w:val="en_US" w:bidi="en_US"/>
        </w:rPr>
      </w:r>
      <w:r>
        <w:rPr>
          <w:lang w:val="en_US" w:bidi="en_US"/>
        </w:rPr>
        <w:t xml:space="preserve">Also </w:t>
      </w:r>
      <w:r>
        <w:rPr>
          <w:lang w:val="en_US" w:bidi="en_US"/>
        </w:rPr>
        <w:t>accompanying him</w:t>
      </w:r>
      <w:r>
        <w:rPr>
          <w:lang w:val="en_US" w:bidi="en_US"/>
        </w:rPr>
        <w:t xml:space="preserve"> were some women. He had cast out demons from some of these women, and he had healed others from sickness.</w:t>
      </w:r>
    </w:p>
    <w:p>
      <w:pPr/>
      <w:r>
        <w:rPr>
          <w:lang w:val="en_US" w:bidi="en_US"/>
        </w:rPr>
      </w:r>
      <w:r>
        <w:rPr>
          <w:b/>
          <w:lang w:val="en_US" w:bidi="en_US"/>
        </w:rPr>
        <w:t>some women:</w:t>
      </w:r>
      <w:r>
        <w:rPr>
          <w:lang w:val="en_US" w:bidi="en_US"/>
        </w:rPr>
        <w:t xml:space="preserve"> The Greek phrase that the BSB translates as </w:t>
      </w:r>
      <w:r>
        <w:rPr>
          <w:i/>
          <w:lang w:val="en_US" w:bidi="en_US"/>
        </w:rPr>
        <w:t>some women</w:t>
      </w:r>
      <w:r>
        <w:rPr>
          <w:lang w:val="en_US" w:bidi="en_US"/>
        </w:rPr>
        <w:t xml:space="preserve"> includes Mary, Joanna, and Susanna. It also includes the “many others” of 8:3b whose names are not mentioned.</w:t>
      </w:r>
    </w:p>
    <w:p>
      <w:pPr/>
      <w:r>
        <w:rPr>
          <w:lang w:val="en_US" w:bidi="en_US"/>
        </w:rPr>
      </w:r>
      <w:r>
        <w:rPr>
          <w:b/>
          <w:lang w:val="en_US" w:bidi="en_US"/>
        </w:rPr>
        <w:t>women who had been healed of evil spirits and infirmities:</w:t>
      </w:r>
      <w:r>
        <w:rPr>
          <w:lang w:val="en_US" w:bidi="en_US"/>
        </w:rPr>
        <w:t xml:space="preserve"> Some of the women had formerly been controlled by evil spirits, and some had been sick. The text does not imply that all the women had been controlled by evil spirits and had also suffered from diseases. One way to make this clear is:</w:t>
      </w:r>
    </w:p>
    <w:p>
      <w:pPr/>
      <w:r>
        <w:rPr>
          <w:lang w:val="en_US" w:bidi="en_US"/>
        </w:rPr>
      </w:r>
      <w:r>
        <w:rPr>
          <w:lang w:val="en_US" w:bidi="en_US"/>
        </w:rPr>
        <w:t xml:space="preserve">and also some women who had been cured of evil spirits </w:t>
      </w:r>
      <w:r>
        <w:rPr>
          <w:u w:val="single"/>
          <w:lang w:val="en_US" w:bidi="en_US"/>
        </w:rPr>
        <w:t>or</w:t>
      </w:r>
      <w:r>
        <w:rPr>
          <w:lang w:val="en_US" w:bidi="en_US"/>
        </w:rPr>
        <w:t xml:space="preserve"> diseases</w:t>
      </w:r>
    </w:p>
    <w:p>
      <w:pPr/>
      <w:r>
        <w:rPr>
          <w:lang w:val="en_US" w:bidi="en_US"/>
        </w:rPr>
      </w:r>
      <w:r>
        <w:rPr>
          <w:lang w:val="en_US" w:bidi="en_US"/>
        </w:rPr>
        <w:t xml:space="preserve">In some languages it may not be natural to speak of being </w:t>
      </w:r>
      <w:r>
        <w:rPr>
          <w:i/>
          <w:lang w:val="en_US" w:bidi="en_US"/>
        </w:rPr>
        <w:t>healed of evil spirits</w:t>
      </w:r>
      <w:r>
        <w:rPr>
          <w:lang w:val="en_US" w:bidi="en_US"/>
        </w:rPr>
        <w:t xml:space="preserve">. If that is true in your language, you may use a different verb. The phrase </w:t>
      </w:r>
      <w:r>
        <w:rPr>
          <w:i/>
          <w:lang w:val="en_US" w:bidi="en_US"/>
        </w:rPr>
        <w:t>healed of evil spirits</w:t>
      </w:r>
      <w:r>
        <w:rPr>
          <w:lang w:val="en_US" w:bidi="en_US"/>
        </w:rPr>
        <w:t xml:space="preserve"> implies that formerly the evil spirits were controlling the women. Then Jesus forced the evil spirits to release their control. Use natural terms in your language to talk about this. For example:</w:t>
      </w:r>
    </w:p>
    <w:p>
      <w:pPr/>
      <w:r>
        <w:rPr>
          <w:lang w:val="en_US" w:bidi="en_US"/>
        </w:rPr>
      </w:r>
      <w:r>
        <w:rPr>
          <w:lang w:val="en_US" w:bidi="en_US"/>
        </w:rPr>
        <w:t xml:space="preserve">who had been </w:t>
      </w:r>
      <w:r>
        <w:rPr>
          <w:u w:val="single"/>
          <w:lang w:val="en_US" w:bidi="en_US"/>
        </w:rPr>
        <w:t>delivered from</w:t>
      </w:r>
      <w:r>
        <w:rPr>
          <w:lang w:val="en_US" w:bidi="en_US"/>
        </w:rPr>
        <w:t xml:space="preserve"> evil spirits</w:t>
      </w:r>
    </w:p>
    <w:p>
      <w:pPr/>
      <w:r>
        <w:rPr>
          <w:lang w:val="en_US" w:bidi="en_US"/>
        </w:rPr>
      </w:r>
      <w:r>
        <w:rPr>
          <w:lang w:val="en_US" w:bidi="en_US"/>
        </w:rPr>
        <w:t xml:space="preserve">whom Jesus </w:t>
      </w:r>
      <w:r>
        <w:rPr>
          <w:u w:val="single"/>
          <w:lang w:val="en_US" w:bidi="en_US"/>
        </w:rPr>
        <w:t>freed from</w:t>
      </w:r>
      <w:r>
        <w:rPr>
          <w:lang w:val="en_US" w:bidi="en_US"/>
        </w:rPr>
        <w:t xml:space="preserve"> evil spirits</w:t>
      </w:r>
    </w:p>
    <w:p>
      <w:pPr/>
      <w:r>
        <w:rPr>
          <w:lang w:val="en_US" w:bidi="en_US"/>
        </w:rPr>
      </w:r>
      <w:r>
        <w:rPr>
          <w:b/>
          <w:lang w:val="en_US" w:bidi="en_US"/>
        </w:rPr>
        <w:t>evil spirits:</w:t>
      </w:r>
      <w:r>
        <w:rPr>
          <w:lang w:val="en_US" w:bidi="en_US"/>
        </w:rPr>
        <w:t xml:space="preserve"> The Greek phrase that the BSB translates as </w:t>
      </w:r>
      <w:r>
        <w:rPr>
          <w:i/>
          <w:lang w:val="en_US" w:bidi="en_US"/>
        </w:rPr>
        <w:t>evil spirits</w:t>
      </w:r>
      <w:r>
        <w:rPr>
          <w:lang w:val="en_US" w:bidi="en_US"/>
        </w:rPr>
        <w:t xml:space="preserve"> refers to spirits that are evil and can control people’s actions. The phrase </w:t>
      </w:r>
      <w:r>
        <w:rPr>
          <w:i/>
          <w:lang w:val="en_US" w:bidi="en_US"/>
        </w:rPr>
        <w:t>evil spirits</w:t>
      </w:r>
      <w:r>
        <w:rPr>
          <w:lang w:val="en_US" w:bidi="en_US"/>
        </w:rPr>
        <w:t xml:space="preserve"> refers to the same type of spirit as the Greek terms that are often translated as “demons” and “unclean spirits.” The Greek term for “demons” is used in 8:2b. In many languages it may be good to translate these two terms in the same way.</w:t>
      </w:r>
    </w:p>
    <w:p>
      <w:pPr/>
      <w:r>
        <w:rPr>
          <w:lang w:val="en_US" w:bidi="en_US"/>
        </w:rPr>
      </w:r>
      <w:r>
        <w:rPr>
          <w:lang w:val="en_US" w:bidi="en_US"/>
        </w:rPr>
        <w:t xml:space="preserve">Some ways to translate </w:t>
      </w:r>
      <w:r>
        <w:rPr>
          <w:i/>
          <w:lang w:val="en_US" w:bidi="en_US"/>
        </w:rPr>
        <w:t>evil spirits</w:t>
      </w:r>
      <w:r>
        <w:rPr>
          <w:lang w:val="en_US" w:bidi="en_US"/>
        </w:rPr>
        <w:t xml:space="preserve"> are:</w:t>
      </w:r>
    </w:p>
    <w:p>
      <w:pPr>
        <w:pStyle w:val="ListBullet"/>
        <w:spacing w:line="240" w:lineRule="auto"/>
        <w:ind w:left="720"/>
      </w:pPr>
      <w:r>
        <w:rPr>
          <w:lang w:val="en_US" w:bidi="en_US"/>
        </w:rPr>
      </w:r>
      <w:r>
        <w:rPr>
          <w:lang w:val="en_US" w:bidi="en_US"/>
        </w:rPr>
        <w:t xml:space="preserve">Use </w:t>
      </w:r>
      <w:r>
        <w:rPr>
          <w:u w:val="single"/>
          <w:lang w:val="en_US" w:bidi="en_US"/>
        </w:rPr>
        <w:t>a general term in your language</w:t>
      </w:r>
      <w:r>
        <w:rPr>
          <w:lang w:val="en_US" w:bidi="en_US"/>
        </w:rPr>
        <w:t xml:space="preserve"> that refers to spirits that are evil and can control people. If there is one word with this meaning, you may not need a separate word like “evil.” For example:</w:t>
      </w:r>
      <w:r>
        <w:rPr>
          <w:lang w:val="en_US" w:bidi="en_US"/>
        </w:rPr>
        <w:t>demons</w:t>
      </w:r>
    </w:p>
    <w:p>
      <w:pPr>
        <w:pStyle w:val="ListBullet"/>
        <w:spacing w:line="240" w:lineRule="auto"/>
        <w:ind w:left="720"/>
      </w:pPr>
      <w:r>
        <w:rPr>
          <w:lang w:val="en_US" w:bidi="en_US"/>
        </w:rPr>
      </w:r>
      <w:r>
        <w:rPr>
          <w:lang w:val="en_US" w:bidi="en_US"/>
        </w:rPr>
        <w:t xml:space="preserve">Use </w:t>
      </w:r>
      <w:r>
        <w:rPr>
          <w:u w:val="single"/>
          <w:lang w:val="en_US" w:bidi="en_US"/>
        </w:rPr>
        <w:t>a specific term in your language</w:t>
      </w:r>
      <w:r>
        <w:rPr>
          <w:lang w:val="en_US" w:bidi="en_US"/>
        </w:rPr>
        <w:t xml:space="preserve"> that refers to a certain type of spirit. This spirit should be able to do what is described in this context. Do not use a term that refers to the spirit of a dead person.</w:t>
      </w:r>
    </w:p>
    <w:p>
      <w:pPr>
        <w:pStyle w:val="ListBullet"/>
        <w:spacing w:line="240" w:lineRule="auto"/>
        <w:ind w:left="720"/>
      </w:pPr>
      <w:r>
        <w:rPr>
          <w:lang w:val="en_US" w:bidi="en_US"/>
        </w:rPr>
      </w:r>
      <w:r>
        <w:rPr>
          <w:lang w:val="en_US" w:bidi="en_US"/>
        </w:rPr>
        <w:t xml:space="preserve">Use </w:t>
      </w:r>
      <w:r>
        <w:rPr>
          <w:u w:val="single"/>
          <w:lang w:val="en_US" w:bidi="en_US"/>
        </w:rPr>
        <w:t>a descriptive phrase</w:t>
      </w:r>
      <w:r>
        <w:rPr>
          <w:lang w:val="en_US" w:bidi="en_US"/>
        </w:rPr>
        <w:t>. For example:</w:t>
      </w:r>
      <w:r>
        <w:rPr>
          <w:lang w:val="en_US" w:bidi="en_US"/>
        </w:rPr>
        <w:t>evil/bad spirits</w:t>
      </w:r>
      <w:r>
        <w:rPr>
          <w:lang w:val="en_US" w:bidi="en_US"/>
        </w:rPr>
        <w:t xml:space="preserve">unclean spirits </w:t>
      </w:r>
      <w:r>
        <w:rPr>
          <w:i/>
          <w:lang w:val="en_US" w:bidi="en_US"/>
        </w:rPr>
        <w:t>Be sure that an expression like “unclean spirits” does not imply that the spirits are literally dirty.</w:t>
      </w:r>
    </w:p>
    <w:p>
      <w:pPr/>
      <w:r>
        <w:rPr>
          <w:lang w:val="en_US" w:bidi="en_US"/>
        </w:rPr>
      </w:r>
      <w:r>
        <w:rPr>
          <w:lang w:val="en_US" w:bidi="en_US"/>
        </w:rPr>
        <w:t>See demon in the Glossary for more information.</w:t>
      </w:r>
    </w:p>
    <w:p>
      <w:pPr>
        <w:pStyle w:val="Heading5"/>
      </w:pPr>
      <w:r>
        <w:rPr>
          <w:lang w:val="en_US" w:bidi="en_US"/>
        </w:rPr>
        <w:t>8:2b</w:t>
      </w:r>
    </w:p>
    <w:p>
      <w:pPr/>
      <w:r>
        <w:rPr>
          <w:lang w:val="en_US" w:bidi="en_US"/>
        </w:rPr>
      </w:r>
      <w:r>
        <w:rPr>
          <w:b/>
          <w:lang w:val="en_US" w:bidi="en_US"/>
        </w:rPr>
        <w:t>Mary called Magdalene, from whom seven demons had gone out,</w:t>
      </w:r>
    </w:p>
    <w:p>
      <w:pPr>
        <w:pStyle w:val="ListBullet"/>
        <w:spacing w:line="240" w:lineRule="auto"/>
        <w:ind w:left="720"/>
      </w:pPr>
      <w:r>
        <w:rPr>
          <w:lang w:val="en_US" w:bidi="en_US"/>
        </w:rPr>
      </w:r>
      <w:r>
        <w:rPr>
          <w:lang w:val="en_US" w:bidi="en_US"/>
        </w:rPr>
        <w:t>One of these women was</w:t>
      </w:r>
      <w:r>
        <w:rPr>
          <w:lang w:val="en_US" w:bidi="en_US"/>
        </w:rPr>
        <w:t xml:space="preserve"> Mary, who was called </w:t>
      </w:r>
      <w:r>
        <w:rPr>
          <w:lang w:val="en_US" w:bidi="en_US"/>
        </w:rPr>
        <w:t>Mary</w:t>
      </w:r>
      <w:r>
        <w:rPr>
          <w:lang w:val="en_US" w:bidi="en_US"/>
        </w:rPr>
        <w:t xml:space="preserve"> of/from Magdala. </w:t>
      </w:r>
      <w:r>
        <w:rPr>
          <w:lang w:val="en_US" w:bidi="en_US"/>
        </w:rPr>
        <w:t>Jesus</w:t>
      </w:r>
      <w:r>
        <w:rPr>
          <w:lang w:val="en_US" w:bidi="en_US"/>
        </w:rPr>
        <w:t xml:space="preserve"> had cast seven demons out of her.</w:t>
      </w:r>
    </w:p>
    <w:p>
      <w:pPr>
        <w:pStyle w:val="ListBullet"/>
        <w:spacing w:line="240" w:lineRule="auto"/>
        <w:ind w:left="720"/>
      </w:pPr>
      <w:r>
        <w:rPr>
          <w:lang w:val="en_US" w:bidi="en_US"/>
        </w:rPr>
      </w:r>
      <w:r>
        <w:rPr>
          <w:lang w:val="en_US" w:bidi="en_US"/>
        </w:rPr>
        <w:t>These women included</w:t>
      </w:r>
      <w:r>
        <w:rPr>
          <w:lang w:val="en_US" w:bidi="en_US"/>
        </w:rPr>
        <w:t xml:space="preserve"> Mary who was called “the Magdalene” </w:t>
      </w:r>
      <w:r>
        <w:rPr>
          <w:lang w:val="en_US" w:bidi="en_US"/>
        </w:rPr>
        <w:t>because she came from the town of Magdala</w:t>
      </w:r>
      <w:r>
        <w:rPr>
          <w:lang w:val="en_US" w:bidi="en_US"/>
        </w:rPr>
        <w:t xml:space="preserve">. </w:t>
      </w:r>
      <w:r>
        <w:rPr>
          <w:lang w:val="en_US" w:bidi="en_US"/>
        </w:rPr>
        <w:t>Jesus had commanded</w:t>
      </w:r>
      <w:r>
        <w:rPr>
          <w:lang w:val="en_US" w:bidi="en_US"/>
        </w:rPr>
        <w:t xml:space="preserve"> seven evil spirits to come out from her.</w:t>
      </w:r>
    </w:p>
    <w:p>
      <w:pPr/>
      <w:r>
        <w:rPr>
          <w:lang w:val="en_US" w:bidi="en_US"/>
        </w:rPr>
      </w:r>
      <w:r>
        <w:rPr>
          <w:b/>
          <w:lang w:val="en_US" w:bidi="en_US"/>
        </w:rPr>
        <w:t>Mary called Magdalene:</w:t>
      </w:r>
      <w:r>
        <w:rPr>
          <w:lang w:val="en_US" w:bidi="en_US"/>
        </w:rPr>
        <w:t xml:space="preserve"> Scholars believe that Mary was </w:t>
      </w:r>
      <w:r>
        <w:rPr>
          <w:i/>
          <w:lang w:val="en_US" w:bidi="en_US"/>
        </w:rPr>
        <w:t>called Magdalene</w:t>
      </w:r>
      <w:r>
        <w:rPr>
          <w:lang w:val="en_US" w:bidi="en_US"/>
        </w:rPr>
        <w:t xml:space="preserve"> because she came from the town of Magdala. </w:t>
      </w:r>
      <w:r>
        <w:rPr>
          <w:i/>
          <w:lang w:val="en_US" w:bidi="en_US"/>
        </w:rPr>
        <w:t>Mary</w:t>
      </w:r>
      <w:r>
        <w:rPr>
          <w:lang w:val="en_US" w:bidi="en_US"/>
        </w:rPr>
        <w:t xml:space="preserve"> was a common name in New Testament times, and this distinguished her from the other women named Mary who are mentioned in Luke. Here are some ways to translate this phrase:</w:t>
      </w:r>
    </w:p>
    <w:p>
      <w:pPr/>
      <w:r>
        <w:rPr>
          <w:lang w:val="en_US" w:bidi="en_US"/>
        </w:rPr>
      </w:r>
      <w:r>
        <w:rPr>
          <w:lang w:val="en_US" w:bidi="en_US"/>
        </w:rPr>
        <w:t>Mary surnamed the Magdalene (NJB)</w:t>
      </w:r>
    </w:p>
    <w:p>
      <w:pPr/>
      <w:r>
        <w:rPr>
          <w:lang w:val="en_US" w:bidi="en_US"/>
        </w:rPr>
      </w:r>
      <w:r>
        <w:rPr>
          <w:lang w:val="en_US" w:bidi="en_US"/>
        </w:rPr>
        <w:t>Mary, known as Mary of Magdala (REB)</w:t>
      </w:r>
    </w:p>
    <w:p>
      <w:pPr/>
      <w:r>
        <w:rPr>
          <w:lang w:val="en_US" w:bidi="en_US"/>
        </w:rPr>
      </w:r>
      <w:r>
        <w:rPr>
          <w:b/>
          <w:lang w:val="en_US" w:bidi="en_US"/>
        </w:rPr>
        <w:t>from whom seven demons had gone out:</w:t>
      </w:r>
      <w:r>
        <w:rPr>
          <w:lang w:val="en_US" w:bidi="en_US"/>
        </w:rPr>
        <w:t xml:space="preserve"> When a demon controlled a person, the Jews thought of the demon being </w:t>
      </w:r>
      <w:r>
        <w:rPr>
          <w:u w:val="single"/>
          <w:lang w:val="en_US" w:bidi="en_US"/>
        </w:rPr>
        <w:t>in</w:t>
      </w:r>
      <w:r>
        <w:rPr>
          <w:lang w:val="en_US" w:bidi="en_US"/>
        </w:rPr>
        <w:t xml:space="preserve"> the person. Here the text says that the seven demons had </w:t>
      </w:r>
      <w:r>
        <w:rPr>
          <w:i/>
          <w:lang w:val="en_US" w:bidi="en_US"/>
        </w:rPr>
        <w:t>gone out</w:t>
      </w:r>
      <w:r>
        <w:rPr>
          <w:lang w:val="en_US" w:bidi="en_US"/>
        </w:rPr>
        <w:t xml:space="preserve"> of Mary. Your language may have a different expression to describe when a demon releases control of a person. Some other ways to say this are:</w:t>
      </w:r>
    </w:p>
    <w:p>
      <w:pPr/>
      <w:r>
        <w:rPr>
          <w:lang w:val="en_US" w:bidi="en_US"/>
        </w:rPr>
      </w:r>
      <w:r>
        <w:rPr>
          <w:lang w:val="en_US" w:bidi="en_US"/>
        </w:rPr>
        <w:t>whom seven demons had left</w:t>
      </w:r>
    </w:p>
    <w:p>
      <w:pPr/>
      <w:r>
        <w:rPr>
          <w:lang w:val="en_US" w:bidi="en_US"/>
        </w:rPr>
      </w:r>
      <w:r>
        <w:rPr>
          <w:lang w:val="en_US" w:bidi="en_US"/>
        </w:rPr>
        <w:t>who had been healed/rescued from seven demons</w:t>
      </w:r>
    </w:p>
    <w:p>
      <w:pPr/>
      <w:r>
        <w:rPr>
          <w:lang w:val="en_US" w:bidi="en_US"/>
        </w:rPr>
      </w:r>
      <w:r>
        <w:rPr>
          <w:lang w:val="en_US" w:bidi="en_US"/>
        </w:rPr>
        <w:t>who had been controlled by seven demons, but had been freed from their control</w:t>
      </w:r>
    </w:p>
    <w:p>
      <w:pPr/>
      <w:r>
        <w:rPr>
          <w:lang w:val="en_US" w:bidi="en_US"/>
        </w:rPr>
      </w:r>
      <w:r>
        <w:rPr>
          <w:lang w:val="en_US" w:bidi="en_US"/>
        </w:rPr>
        <w:t>The text implies that Jesus is the one who caused the demons to come out of Mary. If this is not clear to your readers, you may need to make it explicit. For example:</w:t>
      </w:r>
    </w:p>
    <w:p>
      <w:pPr/>
      <w:r>
        <w:rPr>
          <w:lang w:val="en_US" w:bidi="en_US"/>
        </w:rPr>
      </w:r>
      <w:r>
        <w:rPr>
          <w:lang w:val="en_US" w:bidi="en_US"/>
        </w:rPr>
        <w:t>from whom Jesus had cast out seven demons</w:t>
      </w:r>
    </w:p>
    <w:p>
      <w:pPr/>
      <w:r>
        <w:rPr>
          <w:lang w:val="en_US" w:bidi="en_US"/>
        </w:rPr>
      </w:r>
      <w:r>
        <w:rPr>
          <w:lang w:val="en_US" w:bidi="en_US"/>
        </w:rPr>
        <w:t>Jesus had commanded seven demons to leave her</w:t>
      </w:r>
    </w:p>
    <w:p>
      <w:pPr/>
      <w:r>
        <w:rPr>
          <w:lang w:val="en_US" w:bidi="en_US"/>
        </w:rPr>
      </w:r>
      <w:r>
        <w:rPr>
          <w:b/>
          <w:lang w:val="en_US" w:bidi="en_US"/>
        </w:rPr>
        <w:t>demons:</w:t>
      </w:r>
      <w:r>
        <w:rPr>
          <w:lang w:val="en_US" w:bidi="en_US"/>
        </w:rPr>
        <w:t xml:space="preserve"> The Greek word that the BSB translates as </w:t>
      </w:r>
      <w:r>
        <w:rPr>
          <w:i/>
          <w:lang w:val="en_US" w:bidi="en_US"/>
        </w:rPr>
        <w:t>demons</w:t>
      </w:r>
      <w:r>
        <w:rPr>
          <w:lang w:val="en_US" w:bidi="en_US"/>
        </w:rPr>
        <w:t xml:space="preserve"> is different from the term “evil spirits” in 8:2a, but it has the same meaning. Here are two ways to translate these terms:</w:t>
      </w:r>
    </w:p>
    <w:p>
      <w:pPr>
        <w:pStyle w:val="ListBullet"/>
        <w:spacing w:line="240" w:lineRule="auto"/>
        <w:ind w:left="720"/>
      </w:pPr>
      <w:r>
        <w:rPr>
          <w:lang w:val="en_US" w:bidi="en_US"/>
        </w:rPr>
      </w:r>
      <w:r>
        <w:rPr>
          <w:lang w:val="en_US" w:bidi="en_US"/>
        </w:rPr>
        <w:t>Use a different term here than the one you used in 8:2a, but be sure that it has the same meaning or a very similar meaning.</w:t>
      </w:r>
    </w:p>
    <w:p>
      <w:pPr>
        <w:pStyle w:val="ListBullet"/>
        <w:spacing w:line="240" w:lineRule="auto"/>
        <w:ind w:left="720"/>
      </w:pPr>
      <w:r>
        <w:rPr>
          <w:lang w:val="en_US" w:bidi="en_US"/>
        </w:rPr>
      </w:r>
      <w:r>
        <w:rPr>
          <w:lang w:val="en_US" w:bidi="en_US"/>
        </w:rPr>
        <w:t>Translate both terms in the same way.</w:t>
      </w:r>
    </w:p>
    <w:p>
      <w:pPr/>
      <w:r>
        <w:rPr>
          <w:lang w:val="en_US" w:bidi="en_US"/>
        </w:rPr>
      </w:r>
      <w:r>
        <w:rPr>
          <w:lang w:val="en_US" w:bidi="en_US"/>
        </w:rPr>
        <w:t>See demon in the Glossary.</w:t>
      </w:r>
      <w:r>
        <w:rPr>
          <w:lang w:val="en_US" w:bidi="en_US"/>
        </w:rPr>
      </w:r>
      <w:r>
        <w:rPr>
          <w:lang w:val="en_US" w:bidi="en_US"/>
        </w:rPr>
      </w:r>
    </w:p>
    <w:p>
      <w:pPr/>
      <w:r>
        <w:rPr>
          <w:lang w:val="en_US" w:bidi="en_US"/>
        </w:rPr>
      </w:r>
    </w:p>
    <w:p>
      <w:pPr>
        <w:pStyle w:val="Heading2"/>
      </w:pPr>
      <w:r>
        <w:rPr>
          <w:lang w:val="en_US" w:bidi="en_US"/>
        </w:rPr>
        <w:t>Luke 8:3</w:t>
      </w:r>
      <w:r>
        <w:rPr>
          <w:lang w:val="en_US" w:bidi="en_US"/>
        </w:rPr>
      </w:r>
    </w:p>
    <w:p>
      <w:pPr>
        <w:pStyle w:val="Heading4"/>
      </w:pPr>
      <w:r>
        <w:rPr>
          <w:lang w:val="en_US" w:bidi="en_US"/>
        </w:rPr>
        <w:t>Section 8:1–3: Some women helped Jesus and his disciples as they traveled</w:t>
      </w:r>
    </w:p>
    <w:p>
      <w:pPr/>
      <w:r>
        <w:rPr>
          <w:lang w:val="en_US" w:bidi="en_US"/>
        </w:rPr>
      </w:r>
      <w:r>
        <w:rPr>
          <w:lang w:val="en_US" w:bidi="en_US"/>
        </w:rPr>
        <w:t>In this section Jesus traveled from town to town, telling people about the kingdom of God. His twelve disciples went with him. Some women who had been healed of various diseases or delivered from demons also traveled with them and provided money for their needs. The text does not specify exactly when Jesus and his followers began to travel, but 8:1 indicates that it was sometime after the events in the preceding section (7:36–50).</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and his disciples preach in different towns and women support them</w:t>
      </w:r>
    </w:p>
    <w:p>
      <w:pPr/>
      <w:r>
        <w:rPr>
          <w:lang w:val="en_US" w:bidi="en_US"/>
        </w:rPr>
      </w:r>
      <w:r>
        <w:rPr>
          <w:lang w:val="en_US" w:bidi="en_US"/>
        </w:rPr>
        <w:t>Women Who Helped Jesus (CEV)</w:t>
      </w:r>
    </w:p>
    <w:p>
      <w:pPr/>
      <w:r>
        <w:rPr>
          <w:lang w:val="en_US" w:bidi="en_US"/>
        </w:rPr>
      </w:r>
      <w:r>
        <w:rPr>
          <w:lang w:val="en_US" w:bidi="en_US"/>
        </w:rPr>
        <w:t>Jesus’ Ministry and the Help of Women (NET)</w:t>
      </w:r>
    </w:p>
    <w:p>
      <w:pPr>
        <w:pStyle w:val="Heading5"/>
      </w:pPr>
      <w:r>
        <w:rPr>
          <w:lang w:val="en_US" w:bidi="en_US"/>
        </w:rPr>
        <w:t>8:3a</w:t>
      </w:r>
    </w:p>
    <w:p>
      <w:pPr/>
      <w:r>
        <w:rPr>
          <w:lang w:val="en_US" w:bidi="en_US"/>
        </w:rPr>
      </w:r>
      <w:r>
        <w:rPr>
          <w:b/>
          <w:lang w:val="en_US" w:bidi="en_US"/>
        </w:rPr>
        <w:t>Joanna the wife of Herod’s household manager Chuza,</w:t>
      </w:r>
    </w:p>
    <w:p>
      <w:pPr>
        <w:pStyle w:val="ListBullet"/>
        <w:spacing w:line="240" w:lineRule="auto"/>
        <w:ind w:left="720"/>
      </w:pPr>
      <w:r>
        <w:rPr>
          <w:lang w:val="en_US" w:bidi="en_US"/>
        </w:rPr>
      </w:r>
      <w:r>
        <w:rPr>
          <w:lang w:val="en_US" w:bidi="en_US"/>
        </w:rPr>
        <w:t>Another of the women was</w:t>
      </w:r>
      <w:r>
        <w:rPr>
          <w:lang w:val="en_US" w:bidi="en_US"/>
        </w:rPr>
        <w:t xml:space="preserve"> Joanna, the wife of Chuza. He/Chuza was the manager of Herod’s </w:t>
      </w:r>
      <w:r>
        <w:rPr>
          <w:lang w:val="en_US" w:bidi="en_US"/>
        </w:rPr>
        <w:t>personal business matters</w:t>
      </w:r>
      <w:r>
        <w:rPr>
          <w:lang w:val="en_US" w:bidi="en_US"/>
        </w:rPr>
        <w:t>.</w:t>
      </w:r>
    </w:p>
    <w:p>
      <w:pPr>
        <w:pStyle w:val="ListBullet"/>
        <w:spacing w:line="240" w:lineRule="auto"/>
        <w:ind w:left="720"/>
      </w:pPr>
      <w:r>
        <w:rPr>
          <w:lang w:val="en_US" w:bidi="en_US"/>
        </w:rPr>
      </w:r>
      <w:r>
        <w:rPr>
          <w:lang w:val="en_US" w:bidi="en_US"/>
        </w:rPr>
        <w:t>There was also</w:t>
      </w:r>
      <w:r>
        <w:rPr>
          <w:lang w:val="en_US" w:bidi="en_US"/>
        </w:rPr>
        <w:t xml:space="preserve"> Joanna, who was married to Kuza, who was Herod’s steward,</w:t>
      </w:r>
    </w:p>
    <w:p>
      <w:pPr/>
      <w:r>
        <w:rPr>
          <w:lang w:val="en_US" w:bidi="en_US"/>
        </w:rPr>
      </w:r>
      <w:r>
        <w:rPr>
          <w:b/>
          <w:lang w:val="en_US" w:bidi="en_US"/>
        </w:rPr>
        <w:t>Joanna the wife of Herod’s household manager Chuza:</w:t>
      </w:r>
      <w:r>
        <w:rPr>
          <w:lang w:val="en_US" w:bidi="en_US"/>
        </w:rPr>
        <w:t xml:space="preserve"> Some other ways to spell the name </w:t>
      </w:r>
      <w:r>
        <w:rPr>
          <w:i/>
          <w:lang w:val="en_US" w:bidi="en_US"/>
        </w:rPr>
        <w:t>Chuza</w:t>
      </w:r>
      <w:r>
        <w:rPr>
          <w:lang w:val="en_US" w:bidi="en_US"/>
        </w:rPr>
        <w:t xml:space="preserve"> are:</w:t>
      </w:r>
    </w:p>
    <w:p>
      <w:pPr/>
      <w:r>
        <w:rPr>
          <w:lang w:val="en_US" w:bidi="en_US"/>
        </w:rPr>
      </w:r>
      <w:r>
        <w:rPr>
          <w:lang w:val="en_US" w:bidi="en_US"/>
        </w:rPr>
        <w:t>Chusa</w:t>
      </w:r>
    </w:p>
    <w:p>
      <w:pPr/>
      <w:r>
        <w:rPr>
          <w:lang w:val="en_US" w:bidi="en_US"/>
        </w:rPr>
      </w:r>
      <w:r>
        <w:rPr>
          <w:lang w:val="en_US" w:bidi="en_US"/>
        </w:rPr>
        <w:t>Kuza</w:t>
      </w:r>
    </w:p>
    <w:p>
      <w:pPr/>
      <w:r>
        <w:rPr>
          <w:lang w:val="en_US" w:bidi="en_US"/>
        </w:rPr>
      </w:r>
      <w:r>
        <w:rPr>
          <w:b/>
          <w:lang w:val="en_US" w:bidi="en_US"/>
        </w:rPr>
        <w:t>Herod’s household manager:</w:t>
      </w:r>
      <w:r>
        <w:rPr>
          <w:lang w:val="en_US" w:bidi="en_US"/>
        </w:rPr>
        <w:t xml:space="preserve"> Chuza’s job was probably to manage King Herod’s personal business affairs. Some ways to translate </w:t>
      </w:r>
      <w:r>
        <w:rPr>
          <w:i/>
          <w:lang w:val="en_US" w:bidi="en_US"/>
        </w:rPr>
        <w:t>Herod’s household manager</w:t>
      </w:r>
      <w:r>
        <w:rPr>
          <w:lang w:val="en_US" w:bidi="en_US"/>
        </w:rPr>
        <w:t xml:space="preserve"> here are:</w:t>
      </w:r>
    </w:p>
    <w:p>
      <w:pPr/>
      <w:r>
        <w:rPr>
          <w:lang w:val="en_US" w:bidi="en_US"/>
        </w:rPr>
      </w:r>
      <w:r>
        <w:rPr>
          <w:lang w:val="en_US" w:bidi="en_US"/>
        </w:rPr>
        <w:t>Herod’s steward (RSV)</w:t>
      </w:r>
    </w:p>
    <w:p>
      <w:pPr/>
      <w:r>
        <w:rPr>
          <w:lang w:val="en_US" w:bidi="en_US"/>
        </w:rPr>
      </w:r>
      <w:r>
        <w:rPr>
          <w:lang w:val="en_US" w:bidi="en_US"/>
        </w:rPr>
        <w:t>Herod’s business manager (NLT)</w:t>
      </w:r>
    </w:p>
    <w:p>
      <w:pPr/>
      <w:r>
        <w:rPr>
          <w:lang w:val="en_US" w:bidi="en_US"/>
        </w:rPr>
      </w:r>
      <w:r>
        <w:rPr>
          <w:lang w:val="en_US" w:bidi="en_US"/>
        </w:rPr>
        <w:t>Herod’s chief official</w:t>
      </w:r>
    </w:p>
    <w:p>
      <w:pPr>
        <w:pStyle w:val="Heading5"/>
      </w:pPr>
      <w:r>
        <w:rPr>
          <w:lang w:val="en_US" w:bidi="en_US"/>
        </w:rPr>
        <w:t>8:3b</w:t>
      </w:r>
    </w:p>
    <w:p>
      <w:pPr/>
      <w:r>
        <w:rPr>
          <w:lang w:val="en_US" w:bidi="en_US"/>
        </w:rPr>
      </w:r>
      <w:r>
        <w:rPr>
          <w:b/>
          <w:lang w:val="en_US" w:bidi="en_US"/>
        </w:rPr>
        <w:t>Susanna, and many others.</w:t>
      </w:r>
    </w:p>
    <w:p>
      <w:pPr>
        <w:pStyle w:val="ListBullet"/>
        <w:spacing w:line="240" w:lineRule="auto"/>
        <w:ind w:left="720"/>
      </w:pPr>
      <w:r>
        <w:rPr>
          <w:lang w:val="en_US" w:bidi="en_US"/>
        </w:rPr>
      </w:r>
      <w:r>
        <w:rPr>
          <w:lang w:val="en_US" w:bidi="en_US"/>
        </w:rPr>
        <w:t>Another was</w:t>
      </w:r>
      <w:r>
        <w:rPr>
          <w:lang w:val="en_US" w:bidi="en_US"/>
        </w:rPr>
        <w:t xml:space="preserve"> Susanna. Many other women </w:t>
      </w:r>
      <w:r>
        <w:rPr>
          <w:lang w:val="en_US" w:bidi="en_US"/>
        </w:rPr>
        <w:t>who had been healed also went with Jesus</w:t>
      </w:r>
      <w:r>
        <w:rPr>
          <w:lang w:val="en_US" w:bidi="en_US"/>
        </w:rPr>
        <w:t>.</w:t>
      </w:r>
    </w:p>
    <w:p>
      <w:pPr>
        <w:pStyle w:val="ListBullet"/>
        <w:spacing w:line="240" w:lineRule="auto"/>
        <w:ind w:left="720"/>
      </w:pPr>
      <w:r>
        <w:rPr>
          <w:lang w:val="en_US" w:bidi="en_US"/>
        </w:rPr>
      </w:r>
      <w:r>
        <w:rPr>
          <w:lang w:val="en_US" w:bidi="en_US"/>
        </w:rPr>
        <w:t>and</w:t>
      </w:r>
      <w:r>
        <w:rPr>
          <w:lang w:val="en_US" w:bidi="en_US"/>
        </w:rPr>
        <w:t xml:space="preserve"> Susanna, and there were many others as well.</w:t>
      </w:r>
    </w:p>
    <w:p>
      <w:pPr/>
      <w:r>
        <w:rPr>
          <w:lang w:val="en_US" w:bidi="en_US"/>
        </w:rPr>
      </w:r>
      <w:r>
        <w:rPr>
          <w:b/>
          <w:lang w:val="en_US" w:bidi="en_US"/>
        </w:rPr>
        <w:t>and many others:</w:t>
      </w:r>
      <w:r>
        <w:rPr>
          <w:lang w:val="en_US" w:bidi="en_US"/>
        </w:rPr>
        <w:t xml:space="preserve"> The Greek phrase that the BSB translates as </w:t>
      </w:r>
      <w:r>
        <w:rPr>
          <w:i/>
          <w:lang w:val="en_US" w:bidi="en_US"/>
        </w:rPr>
        <w:t>many others</w:t>
      </w:r>
      <w:r>
        <w:rPr>
          <w:lang w:val="en_US" w:bidi="en_US"/>
        </w:rPr>
        <w:t xml:space="preserve"> refers to many other women besides the three just named. See also the note at 8:2a on “some women.”</w:t>
      </w:r>
    </w:p>
    <w:p>
      <w:pPr>
        <w:pStyle w:val="Heading5"/>
      </w:pPr>
      <w:r>
        <w:rPr>
          <w:lang w:val="en_US" w:bidi="en_US"/>
        </w:rPr>
        <w:t>8:3c</w:t>
      </w:r>
    </w:p>
    <w:p>
      <w:pPr/>
      <w:r>
        <w:rPr>
          <w:lang w:val="en_US" w:bidi="en_US"/>
        </w:rPr>
      </w:r>
      <w:r>
        <w:rPr>
          <w:b/>
          <w:lang w:val="en_US" w:bidi="en_US"/>
        </w:rPr>
        <w:t>These women were ministering to them out of their own means.</w:t>
      </w:r>
    </w:p>
    <w:p>
      <w:pPr>
        <w:pStyle w:val="ListBullet"/>
        <w:spacing w:line="240" w:lineRule="auto"/>
        <w:ind w:left="720"/>
      </w:pPr>
      <w:r>
        <w:rPr>
          <w:lang w:val="en_US" w:bidi="en_US"/>
        </w:rPr>
      </w:r>
      <w:r>
        <w:rPr>
          <w:lang w:val="en_US" w:bidi="en_US"/>
        </w:rPr>
        <w:t xml:space="preserve">All these women served </w:t>
      </w:r>
      <w:r>
        <w:rPr>
          <w:lang w:val="en_US" w:bidi="en_US"/>
        </w:rPr>
        <w:t>Jesus and the twelve apostles</w:t>
      </w:r>
      <w:r>
        <w:rPr>
          <w:lang w:val="en_US" w:bidi="en_US"/>
        </w:rPr>
        <w:t xml:space="preserve"> out of their own possessions/resources.</w:t>
      </w:r>
    </w:p>
    <w:p>
      <w:pPr>
        <w:pStyle w:val="ListBullet"/>
        <w:spacing w:line="240" w:lineRule="auto"/>
        <w:ind w:left="720"/>
      </w:pPr>
      <w:r>
        <w:rPr>
          <w:lang w:val="en_US" w:bidi="en_US"/>
        </w:rPr>
      </w:r>
      <w:r>
        <w:rPr>
          <w:lang w:val="en_US" w:bidi="en_US"/>
        </w:rPr>
        <w:t xml:space="preserve">They used their own money to pay for the things that </w:t>
      </w:r>
      <w:r>
        <w:rPr>
          <w:lang w:val="en_US" w:bidi="en_US"/>
        </w:rPr>
        <w:t>Jesus and his twelve apostles</w:t>
      </w:r>
      <w:r>
        <w:rPr>
          <w:lang w:val="en_US" w:bidi="en_US"/>
        </w:rPr>
        <w:t xml:space="preserve"> needed.</w:t>
      </w:r>
    </w:p>
    <w:p>
      <w:pPr/>
      <w:r>
        <w:rPr>
          <w:lang w:val="en_US" w:bidi="en_US"/>
        </w:rPr>
      </w:r>
      <w:r>
        <w:rPr>
          <w:b/>
          <w:lang w:val="en_US" w:bidi="en_US"/>
        </w:rPr>
        <w:t>These women:</w:t>
      </w:r>
      <w:r>
        <w:rPr>
          <w:lang w:val="en_US" w:bidi="en_US"/>
        </w:rPr>
        <w:t xml:space="preserve"> The Greek word that the BSB translates as </w:t>
      </w:r>
      <w:r>
        <w:rPr>
          <w:i/>
          <w:lang w:val="en_US" w:bidi="en_US"/>
        </w:rPr>
        <w:t>These women</w:t>
      </w:r>
      <w:r>
        <w:rPr>
          <w:lang w:val="en_US" w:bidi="en_US"/>
        </w:rPr>
        <w:t xml:space="preserve"> is literally “who.” It is a form that refers specifically to women. It probably refers to all of the women in 8:2–3, both those whose names are mentioned and the “many others.”</w:t>
      </w:r>
    </w:p>
    <w:p>
      <w:pPr/>
      <w:r>
        <w:rPr>
          <w:lang w:val="en_US" w:bidi="en_US"/>
        </w:rPr>
      </w:r>
      <w:r>
        <w:rPr>
          <w:b/>
          <w:lang w:val="en_US" w:bidi="en_US"/>
        </w:rPr>
        <w:t>were ministering to them:</w:t>
      </w:r>
      <w:r>
        <w:rPr>
          <w:lang w:val="en_US" w:bidi="en_US"/>
        </w:rPr>
        <w:t xml:space="preserve"> </w:t>
      </w:r>
      <w:r>
        <w:rPr>
          <w:lang w:val="en_US" w:bidi="en_US"/>
        </w:rPr>
        <w:t>There is a textual issue here. Some Greek manuscripts have the pronoun “them,” which refers to both Jesus and his disciples. Other manuscripts have “him,” which refers only to Jesus. The KJV follows the manuscripts that have “him.” It is recommended that you follow the BSB and the majority of English versions that have “them.” However, if the national language version has “him,” it is recommended that you put the support for this in a footnote. For example: “Other Greek manuscripts have ‘him’ which refers only to Jesus.”</w:t>
      </w:r>
      <w:r>
        <w:rPr>
          <w:lang w:val="en_US" w:bidi="en_US"/>
        </w:rPr>
        <w:t xml:space="preserve"> The Greek phrase that the BSB translates as </w:t>
      </w:r>
      <w:r>
        <w:rPr>
          <w:i/>
          <w:lang w:val="en_US" w:bidi="en_US"/>
        </w:rPr>
        <w:t>were ministering to them</w:t>
      </w:r>
      <w:r>
        <w:rPr>
          <w:lang w:val="en_US" w:bidi="en_US"/>
        </w:rPr>
        <w:t xml:space="preserve"> means “served them.” In this context it means that the women paid for the things that Jesus and the twelve apostles needed. The Greek verb indicates that the women did this regularly or continually. Other ways to say this are:</w:t>
      </w:r>
    </w:p>
    <w:p>
      <w:pPr/>
      <w:r>
        <w:rPr>
          <w:lang w:val="en_US" w:bidi="en_US"/>
        </w:rPr>
      </w:r>
      <w:r>
        <w:rPr>
          <w:lang w:val="en_US" w:bidi="en_US"/>
        </w:rPr>
        <w:t>provided for their financial needs</w:t>
      </w:r>
    </w:p>
    <w:p>
      <w:pPr/>
      <w:r>
        <w:rPr>
          <w:lang w:val="en_US" w:bidi="en_US"/>
        </w:rPr>
      </w:r>
      <w:r>
        <w:rPr>
          <w:lang w:val="en_US" w:bidi="en_US"/>
        </w:rPr>
        <w:t>provided financial support for Jesus and his disciples (GW)</w:t>
      </w:r>
    </w:p>
    <w:p>
      <w:pPr/>
      <w:r>
        <w:rPr>
          <w:lang w:val="en_US" w:bidi="en_US"/>
        </w:rPr>
      </w:r>
      <w:r>
        <w:rPr>
          <w:lang w:val="en_US" w:bidi="en_US"/>
        </w:rPr>
        <w:t>paid for what they needed</w:t>
      </w:r>
    </w:p>
    <w:p>
      <w:pPr/>
      <w:r>
        <w:rPr>
          <w:lang w:val="en_US" w:bidi="en_US"/>
        </w:rPr>
      </w:r>
      <w:r>
        <w:rPr>
          <w:b/>
          <w:lang w:val="en_US" w:bidi="en_US"/>
        </w:rPr>
        <w:t>out of their own means:</w:t>
      </w:r>
      <w:r>
        <w:rPr>
          <w:lang w:val="en_US" w:bidi="en_US"/>
        </w:rPr>
        <w:t xml:space="preserve"> The Greek phrase that the BSB translates as </w:t>
      </w:r>
      <w:r>
        <w:rPr>
          <w:i/>
          <w:lang w:val="en_US" w:bidi="en_US"/>
        </w:rPr>
        <w:t>out of their own means</w:t>
      </w:r>
      <w:r>
        <w:rPr>
          <w:lang w:val="en_US" w:bidi="en_US"/>
        </w:rPr>
        <w:t xml:space="preserve"> means “from their possessions/things.” In this context it indicates that the women used their own money to buy food and other things that Jesus and his twelve apostles needed. Other ways to say this could be:</w:t>
      </w:r>
    </w:p>
    <w:p>
      <w:pPr/>
      <w:r>
        <w:rPr>
          <w:lang w:val="en_US" w:bidi="en_US"/>
        </w:rPr>
      </w:r>
      <w:r>
        <w:rPr>
          <w:lang w:val="en_US" w:bidi="en_US"/>
        </w:rPr>
        <w:t>out of their own resources</w:t>
      </w:r>
    </w:p>
    <w:p>
      <w:pPr/>
      <w:r>
        <w:rPr>
          <w:lang w:val="en_US" w:bidi="en_US"/>
        </w:rPr>
      </w:r>
      <w:r>
        <w:rPr>
          <w:lang w:val="en_US" w:bidi="en_US"/>
        </w:rPr>
        <w:t>with their own money</w:t>
      </w:r>
    </w:p>
    <w:p>
      <w:pPr/>
      <w:r>
        <w:rPr>
          <w:lang w:val="en_US" w:bidi="en_US"/>
        </w:rPr>
      </w:r>
      <w:r>
        <w:rPr>
          <w:b/>
          <w:lang w:val="en_US" w:bidi="en_US"/>
        </w:rPr>
        <w:t>their:</w:t>
      </w:r>
      <w:r>
        <w:rPr>
          <w:lang w:val="en_US" w:bidi="en_US"/>
        </w:rPr>
        <w:t xml:space="preserve"> The word </w:t>
      </w:r>
      <w:r>
        <w:rPr>
          <w:i/>
          <w:lang w:val="en_US" w:bidi="en_US"/>
        </w:rPr>
        <w:t>their</w:t>
      </w:r>
      <w:r>
        <w:rPr>
          <w:lang w:val="en_US" w:bidi="en_US"/>
        </w:rPr>
        <w:t xml:space="preserve"> refers specifically to the women who are referred to in 8:2–3.</w:t>
      </w:r>
      <w:r>
        <w:rPr>
          <w:lang w:val="en_US" w:bidi="en_US"/>
        </w:rPr>
      </w:r>
      <w:r>
        <w:rPr>
          <w:lang w:val="en_US" w:bidi="en_US"/>
        </w:rPr>
      </w:r>
    </w:p>
    <w:p>
      <w:pPr/>
      <w:r>
        <w:rPr>
          <w:lang w:val="en_US" w:bidi="en_US"/>
        </w:rPr>
      </w:r>
    </w:p>
    <w:p>
      <w:pPr>
        <w:pStyle w:val="Heading2"/>
      </w:pPr>
      <w:r>
        <w:rPr>
          <w:lang w:val="en_US" w:bidi="en_US"/>
        </w:rPr>
        <w:t>Luke 8:4</w:t>
      </w:r>
      <w:r>
        <w:rPr>
          <w:lang w:val="en_US" w:bidi="en_US"/>
        </w:rPr>
      </w:r>
    </w:p>
    <w:p>
      <w:pPr>
        <w:pStyle w:val="Heading4"/>
      </w:pPr>
      <w:r>
        <w:rPr>
          <w:lang w:val="en_US" w:bidi="en_US"/>
        </w:rPr>
        <w:t>Section 8:4–8: Jesus told a parable about seeds falling on different types of soil</w:t>
      </w:r>
    </w:p>
    <w:p>
      <w:pPr/>
      <w:r>
        <w:rPr>
          <w:lang w:val="en_US" w:bidi="en_US"/>
        </w:rPr>
      </w:r>
      <w:r>
        <w:rPr>
          <w:lang w:val="en_US" w:bidi="en_US"/>
        </w:rPr>
        <w:t>In this section Jesus told a parable about different types of soil and what happens when seed falls on them. The parable illustrated how different people receive the word of God. In the parable, a man scattered seeds that fell on different types of soil (8:5–8). After Jesus told this parable, he explained why he used parables (8:9–10). He explained the meaning of the parable in 8:11–15. The same parable and discussion are in Matthew 13:3–23 and Mark 4:3–20.</w:t>
      </w:r>
    </w:p>
    <w:p>
      <w:pPr/>
      <w:r>
        <w:rPr>
          <w:lang w:val="en_US" w:bidi="en_US"/>
        </w:rPr>
      </w:r>
      <w:r>
        <w:rPr>
          <w:lang w:val="en_US" w:bidi="en_US"/>
        </w:rPr>
        <w:t>The events in this section probably happened during the period of time that was described in 8:1–3. At that time Jesus was traveling from town to town to preach to people about the kingdom of God.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 Story About a Farmer (GW)</w:t>
      </w:r>
    </w:p>
    <w:p>
      <w:pPr/>
      <w:r>
        <w:rPr>
          <w:lang w:val="en_US" w:bidi="en_US"/>
        </w:rPr>
      </w:r>
      <w:r>
        <w:rPr>
          <w:lang w:val="en_US" w:bidi="en_US"/>
        </w:rPr>
        <w:t>Parable of the Farmer Scattering Seed (NLT)</w:t>
      </w:r>
    </w:p>
    <w:p>
      <w:pPr/>
      <w:r>
        <w:rPr>
          <w:lang w:val="en_US" w:bidi="en_US"/>
        </w:rPr>
      </w:r>
      <w:r>
        <w:rPr>
          <w:lang w:val="en_US" w:bidi="en_US"/>
        </w:rPr>
        <w:t>Jesus illustrated different ways that people hear the word of God</w:t>
      </w:r>
    </w:p>
    <w:p>
      <w:pPr>
        <w:pStyle w:val="Heading5"/>
      </w:pPr>
      <w:r>
        <w:rPr>
          <w:lang w:val="en_US" w:bidi="en_US"/>
        </w:rPr>
        <w:t>8:4a</w:t>
      </w:r>
    </w:p>
    <w:p>
      <w:pPr/>
      <w:r>
        <w:rPr>
          <w:lang w:val="en_US" w:bidi="en_US"/>
        </w:rPr>
      </w:r>
      <w:r>
        <w:rPr>
          <w:b/>
          <w:lang w:val="en_US" w:bidi="en_US"/>
        </w:rPr>
        <w:t>While a large crowd was gathering and people were coming to Jesus from town after town,</w:t>
      </w:r>
    </w:p>
    <w:p>
      <w:pPr>
        <w:pStyle w:val="ListBullet"/>
        <w:spacing w:line="240" w:lineRule="auto"/>
        <w:ind w:left="720"/>
      </w:pPr>
      <w:r>
        <w:rPr>
          <w:lang w:val="en_US" w:bidi="en_US"/>
        </w:rPr>
      </w:r>
      <w:r>
        <w:rPr>
          <w:lang w:val="en_US" w:bidi="en_US"/>
        </w:rPr>
        <w:t xml:space="preserve">¶ </w:t>
      </w:r>
      <w:r>
        <w:rPr>
          <w:lang w:val="en_US" w:bidi="en_US"/>
        </w:rPr>
        <w:t>One day</w:t>
      </w:r>
      <w:r>
        <w:rPr>
          <w:lang w:val="en_US" w:bidi="en_US"/>
        </w:rPr>
        <w:t xml:space="preserve"> many people came together. They had come from different towns to </w:t>
      </w:r>
      <w:r>
        <w:rPr>
          <w:lang w:val="en_US" w:bidi="en_US"/>
        </w:rPr>
        <w:t>see/hear</w:t>
      </w:r>
      <w:r>
        <w:rPr>
          <w:lang w:val="en_US" w:bidi="en_US"/>
        </w:rPr>
        <w:t xml:space="preserve"> Jesus.</w:t>
      </w:r>
    </w:p>
    <w:p>
      <w:pPr>
        <w:pStyle w:val="ListBullet"/>
        <w:spacing w:line="240" w:lineRule="auto"/>
        <w:ind w:left="720"/>
      </w:pPr>
      <w:r>
        <w:rPr>
          <w:lang w:val="en_US" w:bidi="en_US"/>
        </w:rPr>
      </w:r>
      <w:r>
        <w:rPr>
          <w:lang w:val="en_US" w:bidi="en_US"/>
        </w:rPr>
        <w:t xml:space="preserve">¶ </w:t>
      </w:r>
      <w:r>
        <w:rPr>
          <w:lang w:val="en_US" w:bidi="en_US"/>
        </w:rPr>
        <w:t>Once while Jesus was proclaiming the good news,</w:t>
      </w:r>
      <w:r>
        <w:rPr>
          <w:lang w:val="en_US" w:bidi="en_US"/>
        </w:rPr>
        <w:t xml:space="preserve"> a large crowd was gathering around him. People were coming to him from various towns.</w:t>
      </w:r>
    </w:p>
    <w:p>
      <w:pPr>
        <w:pStyle w:val="ListBullet"/>
        <w:spacing w:line="240" w:lineRule="auto"/>
        <w:ind w:left="720"/>
      </w:pPr>
      <w:r>
        <w:rPr>
          <w:lang w:val="en_US" w:bidi="en_US"/>
        </w:rPr>
      </w:r>
      <w:r>
        <w:rPr>
          <w:lang w:val="en_US" w:bidi="en_US"/>
        </w:rPr>
        <w:t xml:space="preserve">¶ People kept coming to Jesus from many </w:t>
      </w:r>
      <w:r>
        <w:rPr>
          <w:lang w:val="en_US" w:bidi="en_US"/>
        </w:rPr>
        <w:t>nearby</w:t>
      </w:r>
      <w:r>
        <w:rPr>
          <w:lang w:val="en_US" w:bidi="en_US"/>
        </w:rPr>
        <w:t xml:space="preserve"> towns until a great crowd had gathered.</w:t>
      </w:r>
    </w:p>
    <w:p>
      <w:pPr/>
      <w:r>
        <w:rPr>
          <w:lang w:val="en_US" w:bidi="en_US"/>
        </w:rPr>
      </w:r>
      <w:r>
        <w:rPr>
          <w:b/>
          <w:lang w:val="en_US" w:bidi="en_US"/>
        </w:rPr>
        <w:t>While:</w:t>
      </w:r>
      <w:r>
        <w:rPr>
          <w:lang w:val="en_US" w:bidi="en_US"/>
        </w:rPr>
        <w:t xml:space="preserve"> This verse begins with a Greek conjunction that connects this paragraph to the preceding section. While Jesus was going from town to town (8:1), many people came to him and followed him from those towns. He told the parable in this section while those people were with him.</w:t>
      </w:r>
    </w:p>
    <w:p>
      <w:pPr/>
      <w:r>
        <w:rPr>
          <w:lang w:val="en_US" w:bidi="en_US"/>
        </w:rPr>
      </w:r>
      <w:r>
        <w:rPr>
          <w:lang w:val="en_US" w:bidi="en_US"/>
        </w:rPr>
        <w:t>Connect this verse to the preceding section in a natural way in your language. Some ways to do this in English are:</w:t>
      </w:r>
    </w:p>
    <w:p>
      <w:pPr/>
      <w:r>
        <w:rPr>
          <w:lang w:val="en_US" w:bidi="en_US"/>
        </w:rPr>
      </w:r>
      <w:r>
        <w:rPr>
          <w:lang w:val="en_US" w:bidi="en_US"/>
        </w:rPr>
        <w:t>When a large crowd had gathered (GW)</w:t>
      </w:r>
    </w:p>
    <w:p>
      <w:pPr/>
      <w:r>
        <w:rPr>
          <w:lang w:val="en_US" w:bidi="en_US"/>
        </w:rPr>
      </w:r>
      <w:r>
        <w:rPr>
          <w:lang w:val="en_US" w:bidi="en_US"/>
        </w:rPr>
        <w:t>People kept coming to Jesus…and when a great crowd gathered (GNT)</w:t>
      </w:r>
    </w:p>
    <w:p>
      <w:pPr/>
      <w:r>
        <w:rPr>
          <w:lang w:val="en_US" w:bidi="en_US"/>
        </w:rPr>
      </w:r>
      <w:r>
        <w:rPr>
          <w:b/>
          <w:lang w:val="en_US" w:bidi="en_US"/>
        </w:rPr>
        <w:t>a large crowd was gathering and people were coming to Jesus from town after town:</w:t>
      </w:r>
      <w:r>
        <w:rPr>
          <w:lang w:val="en_US" w:bidi="en_US"/>
        </w:rPr>
        <w:t xml:space="preserve"> This clause indicates that people were coming to Jesus from various towns. These people became a large crowd that continued to get larger as more people came. Other ways to translate this are:</w:t>
      </w:r>
    </w:p>
    <w:p>
      <w:pPr/>
      <w:r>
        <w:rPr>
          <w:lang w:val="en_US" w:bidi="en_US"/>
        </w:rPr>
      </w:r>
      <w:r>
        <w:rPr>
          <w:lang w:val="en_US" w:bidi="en_US"/>
        </w:rPr>
        <w:t>a large crowd was gathering as people came to Jesus from town after town</w:t>
      </w:r>
    </w:p>
    <w:p>
      <w:pPr/>
      <w:r>
        <w:rPr>
          <w:lang w:val="en_US" w:bidi="en_US"/>
        </w:rPr>
      </w:r>
      <w:r>
        <w:rPr>
          <w:lang w:val="en_US" w:bidi="en_US"/>
        </w:rPr>
        <w:t>as many people from different towns gathered around Jesus</w:t>
      </w:r>
    </w:p>
    <w:p>
      <w:pPr/>
      <w:r>
        <w:rPr>
          <w:lang w:val="en_US" w:bidi="en_US"/>
        </w:rPr>
      </w:r>
      <w:r>
        <w:rPr>
          <w:lang w:val="en_US" w:bidi="en_US"/>
        </w:rPr>
        <w:t>In some languages, it may be more natural to change the order of the clauses. For example:</w:t>
      </w:r>
    </w:p>
    <w:p>
      <w:pPr/>
      <w:r>
        <w:rPr>
          <w:lang w:val="en_US" w:bidi="en_US"/>
        </w:rPr>
      </w:r>
      <w:r>
        <w:rPr>
          <w:lang w:val="en_US" w:bidi="en_US"/>
        </w:rPr>
        <w:t>People kept coming to Jesus from one town after another; and when a great crowd gathered… (GNT)</w:t>
      </w:r>
    </w:p>
    <w:p>
      <w:pPr/>
      <w:r>
        <w:rPr>
          <w:lang w:val="en_US" w:bidi="en_US"/>
        </w:rPr>
      </w:r>
      <w:r>
        <w:rPr>
          <w:b/>
          <w:lang w:val="en_US" w:bidi="en_US"/>
        </w:rPr>
        <w:t>crowd:</w:t>
      </w:r>
      <w:r>
        <w:rPr>
          <w:lang w:val="en_US" w:bidi="en_US"/>
        </w:rPr>
        <w:t xml:space="preserve"> The word </w:t>
      </w:r>
      <w:r>
        <w:rPr>
          <w:i/>
          <w:lang w:val="en_US" w:bidi="en_US"/>
        </w:rPr>
        <w:t>crowd</w:t>
      </w:r>
      <w:r>
        <w:rPr>
          <w:lang w:val="en_US" w:bidi="en_US"/>
        </w:rPr>
        <w:t xml:space="preserve"> refers to a large number of people who are together in one place. Other ways to translate </w:t>
      </w:r>
      <w:r>
        <w:rPr>
          <w:i/>
          <w:lang w:val="en_US" w:bidi="en_US"/>
        </w:rPr>
        <w:t>crowd</w:t>
      </w:r>
      <w:r>
        <w:rPr>
          <w:lang w:val="en_US" w:bidi="en_US"/>
        </w:rPr>
        <w:t xml:space="preserve"> are:</w:t>
      </w:r>
    </w:p>
    <w:p>
      <w:pPr/>
      <w:r>
        <w:rPr>
          <w:lang w:val="en_US" w:bidi="en_US"/>
        </w:rPr>
      </w:r>
      <w:r>
        <w:rPr>
          <w:lang w:val="en_US" w:bidi="en_US"/>
        </w:rPr>
        <w:t>many people</w:t>
      </w:r>
    </w:p>
    <w:p>
      <w:pPr/>
      <w:r>
        <w:rPr>
          <w:lang w:val="en_US" w:bidi="en_US"/>
        </w:rPr>
      </w:r>
      <w:r>
        <w:rPr>
          <w:lang w:val="en_US" w:bidi="en_US"/>
        </w:rPr>
        <w:t>a big group of people</w:t>
      </w:r>
    </w:p>
    <w:p>
      <w:pPr/>
      <w:r>
        <w:rPr>
          <w:lang w:val="en_US" w:bidi="en_US"/>
        </w:rPr>
      </w:r>
      <w:r>
        <w:rPr>
          <w:b/>
          <w:lang w:val="en_US" w:bidi="en_US"/>
        </w:rPr>
        <w:t>was gathering…were coming:</w:t>
      </w:r>
      <w:r>
        <w:rPr>
          <w:lang w:val="en_US" w:bidi="en_US"/>
        </w:rPr>
        <w:t xml:space="preserve"> The forms of these verbs in Greek indicates that the actions continued over a period of time. More people continued to come until they formed a large crowd. If you have a way to indicate this type of continual or gradual action in your language, you may be able to use it here.</w:t>
      </w:r>
    </w:p>
    <w:p>
      <w:pPr/>
      <w:r>
        <w:rPr>
          <w:lang w:val="en_US" w:bidi="en_US"/>
        </w:rPr>
      </w:r>
      <w:r>
        <w:rPr>
          <w:b/>
          <w:lang w:val="en_US" w:bidi="en_US"/>
        </w:rPr>
        <w:t>town after town:</w:t>
      </w:r>
      <w:r>
        <w:rPr>
          <w:lang w:val="en_US" w:bidi="en_US"/>
        </w:rPr>
        <w:t xml:space="preserve"> The Greek phrase that the BSB translates as </w:t>
      </w:r>
      <w:r>
        <w:rPr>
          <w:i/>
          <w:lang w:val="en_US" w:bidi="en_US"/>
        </w:rPr>
        <w:t>town after town</w:t>
      </w:r>
      <w:r>
        <w:rPr>
          <w:lang w:val="en_US" w:bidi="en_US"/>
        </w:rPr>
        <w:t xml:space="preserve"> means “many different towns.”</w:t>
      </w:r>
    </w:p>
    <w:p>
      <w:pPr>
        <w:pStyle w:val="Heading5"/>
      </w:pPr>
      <w:r>
        <w:rPr>
          <w:lang w:val="en_US" w:bidi="en_US"/>
        </w:rPr>
        <w:t>8:4b</w:t>
      </w:r>
    </w:p>
    <w:p>
      <w:pPr/>
      <w:r>
        <w:rPr>
          <w:lang w:val="en_US" w:bidi="en_US"/>
        </w:rPr>
      </w:r>
      <w:r>
        <w:rPr>
          <w:b/>
          <w:lang w:val="en_US" w:bidi="en_US"/>
        </w:rPr>
        <w:t>He told them this parable:</w:t>
      </w:r>
    </w:p>
    <w:p>
      <w:pPr>
        <w:pStyle w:val="ListBullet"/>
        <w:spacing w:line="240" w:lineRule="auto"/>
        <w:ind w:left="720"/>
      </w:pPr>
      <w:r>
        <w:rPr>
          <w:lang w:val="en_US" w:bidi="en_US"/>
        </w:rPr>
      </w:r>
      <w:r>
        <w:rPr>
          <w:lang w:val="en_US" w:bidi="en_US"/>
        </w:rPr>
        <w:t>At that time</w:t>
      </w:r>
      <w:r>
        <w:rPr>
          <w:lang w:val="en_US" w:bidi="en_US"/>
        </w:rPr>
        <w:t xml:space="preserve"> he/Jesus told </w:t>
      </w:r>
      <w:r>
        <w:rPr>
          <w:lang w:val="en_US" w:bidi="en_US"/>
        </w:rPr>
        <w:t>them</w:t>
      </w:r>
      <w:r>
        <w:rPr>
          <w:lang w:val="en_US" w:bidi="en_US"/>
        </w:rPr>
        <w:t xml:space="preserve"> this parable/illustration:</w:t>
      </w:r>
    </w:p>
    <w:p>
      <w:pPr>
        <w:pStyle w:val="ListBullet"/>
        <w:spacing w:line="240" w:lineRule="auto"/>
        <w:ind w:left="720"/>
      </w:pPr>
      <w:r>
        <w:rPr>
          <w:lang w:val="en_US" w:bidi="en_US"/>
        </w:rPr>
      </w:r>
      <w:r>
        <w:rPr>
          <w:lang w:val="en_US" w:bidi="en_US"/>
        </w:rPr>
        <w:t>Then</w:t>
      </w:r>
      <w:r>
        <w:rPr>
          <w:lang w:val="en_US" w:bidi="en_US"/>
        </w:rPr>
        <w:t xml:space="preserve"> he used this comparison/metaphor </w:t>
      </w:r>
      <w:r>
        <w:rPr>
          <w:lang w:val="en_US" w:bidi="en_US"/>
        </w:rPr>
        <w:t>to teach them</w:t>
      </w:r>
      <w:r>
        <w:rPr>
          <w:lang w:val="en_US" w:bidi="en_US"/>
        </w:rPr>
        <w:t>:</w:t>
      </w:r>
    </w:p>
    <w:p>
      <w:pPr/>
      <w:r>
        <w:rPr>
          <w:lang w:val="en_US" w:bidi="en_US"/>
        </w:rPr>
      </w:r>
      <w:r>
        <w:rPr>
          <w:b/>
          <w:lang w:val="en_US" w:bidi="en_US"/>
        </w:rPr>
        <w:t>this parable:</w:t>
      </w:r>
      <w:r>
        <w:rPr>
          <w:lang w:val="en_US" w:bidi="en_US"/>
        </w:rPr>
        <w:t xml:space="preserve"> The phrase </w:t>
      </w:r>
      <w:r>
        <w:rPr>
          <w:i/>
          <w:lang w:val="en_US" w:bidi="en_US"/>
        </w:rPr>
        <w:t>this parable</w:t>
      </w:r>
      <w:r>
        <w:rPr>
          <w:lang w:val="en_US" w:bidi="en_US"/>
        </w:rPr>
        <w:t xml:space="preserve"> refers to the parable that follows in 8:5–8.</w:t>
      </w:r>
    </w:p>
    <w:p>
      <w:pPr/>
      <w:r>
        <w:rPr>
          <w:lang w:val="en_US" w:bidi="en_US"/>
        </w:rPr>
      </w:r>
      <w:r>
        <w:rPr>
          <w:b/>
          <w:lang w:val="en_US" w:bidi="en_US"/>
        </w:rPr>
        <w:t>parable:</w:t>
      </w:r>
      <w:r>
        <w:rPr>
          <w:lang w:val="en_US" w:bidi="en_US"/>
        </w:rPr>
        <w:t xml:space="preserve"> The Greek word that the BSB translates as </w:t>
      </w:r>
      <w:r>
        <w:rPr>
          <w:i/>
          <w:lang w:val="en_US" w:bidi="en_US"/>
        </w:rPr>
        <w:t>parable</w:t>
      </w:r>
      <w:r>
        <w:rPr>
          <w:lang w:val="en_US" w:bidi="en_US"/>
        </w:rPr>
        <w:t xml:space="preserve"> is literally “comparison.” A parable teaches a lesson or truth by showing how it is like something that people already know. Jesus used several types of parables including symbolic stories, metaphors, proverbs, illustrations, and wise sayings.</w:t>
      </w:r>
    </w:p>
    <w:p>
      <w:pPr/>
      <w:r>
        <w:rPr>
          <w:lang w:val="en_US" w:bidi="en_US"/>
        </w:rPr>
      </w:r>
      <w:r>
        <w:rPr>
          <w:lang w:val="en_US" w:bidi="en_US"/>
        </w:rPr>
        <w:t xml:space="preserve">Some ways to translate </w:t>
      </w:r>
      <w:r>
        <w:rPr>
          <w:i/>
          <w:lang w:val="en_US" w:bidi="en_US"/>
        </w:rPr>
        <w:t>parable</w:t>
      </w:r>
      <w:r>
        <w:rPr>
          <w:lang w:val="en_US" w:bidi="en_US"/>
        </w:rPr>
        <w:t xml:space="preserve"> are:</w:t>
      </w:r>
    </w:p>
    <w:p>
      <w:pPr>
        <w:pStyle w:val="ListBullet"/>
        <w:spacing w:line="240" w:lineRule="auto"/>
        <w:ind w:left="720"/>
      </w:pPr>
      <w:r>
        <w:rPr>
          <w:lang w:val="en_US" w:bidi="en_US"/>
        </w:rPr>
      </w:r>
      <w:r>
        <w:rPr>
          <w:lang w:val="en_US" w:bidi="en_US"/>
        </w:rPr>
        <w:t>Use a general term in your language that can be used to describe the different types of parables. Some English examples are:</w:t>
      </w:r>
      <w:r>
        <w:rPr>
          <w:lang w:val="en_US" w:bidi="en_US"/>
        </w:rPr>
        <w:t>illustration</w:t>
      </w:r>
      <w:r>
        <w:rPr>
          <w:lang w:val="en_US" w:bidi="en_US"/>
        </w:rPr>
        <w:t>metaphor</w:t>
      </w:r>
    </w:p>
    <w:p>
      <w:pPr>
        <w:pStyle w:val="ListBullet"/>
        <w:spacing w:line="240" w:lineRule="auto"/>
        <w:ind w:left="720"/>
      </w:pPr>
      <w:r>
        <w:rPr>
          <w:lang w:val="en_US" w:bidi="en_US"/>
        </w:rPr>
      </w:r>
      <w:r>
        <w:rPr>
          <w:lang w:val="en_US" w:bidi="en_US"/>
        </w:rPr>
        <w:t>Use a descriptive term. For example:</w:t>
      </w:r>
      <w:r>
        <w:rPr>
          <w:lang w:val="en_US" w:bidi="en_US"/>
        </w:rPr>
        <w:t>symbolic saying/words/story</w:t>
      </w:r>
      <w:r>
        <w:rPr>
          <w:lang w:val="en_US" w:bidi="en_US"/>
        </w:rPr>
        <w:t>comparison</w:t>
      </w:r>
    </w:p>
    <w:p>
      <w:pPr/>
      <w:r>
        <w:rPr>
          <w:lang w:val="en_US" w:bidi="en_US"/>
        </w:rPr>
      </w:r>
      <w:r>
        <w:rPr>
          <w:lang w:val="en_US" w:bidi="en_US"/>
        </w:rPr>
        <w:t>This word also occurs in 5:36a. See also parable, Type 2, in the Glossary.</w:t>
      </w:r>
      <w:r>
        <w:rPr>
          <w:lang w:val="en_US" w:bidi="en_US"/>
        </w:rPr>
      </w:r>
      <w:r>
        <w:rPr>
          <w:lang w:val="en_US" w:bidi="en_US"/>
        </w:rPr>
      </w:r>
    </w:p>
    <w:p>
      <w:pPr/>
      <w:r>
        <w:rPr>
          <w:lang w:val="en_US" w:bidi="en_US"/>
        </w:rPr>
      </w:r>
    </w:p>
    <w:p>
      <w:pPr>
        <w:pStyle w:val="Heading2"/>
      </w:pPr>
      <w:r>
        <w:rPr>
          <w:lang w:val="en_US" w:bidi="en_US"/>
        </w:rPr>
        <w:t>Luke 8:5</w:t>
      </w:r>
      <w:r>
        <w:rPr>
          <w:lang w:val="en_US" w:bidi="en_US"/>
        </w:rPr>
      </w:r>
    </w:p>
    <w:p>
      <w:pPr>
        <w:pStyle w:val="Heading4"/>
      </w:pPr>
      <w:r>
        <w:rPr>
          <w:lang w:val="en_US" w:bidi="en_US"/>
        </w:rPr>
        <w:t>Section 8:4–8: Jesus told a parable about seeds falling on different types of soil</w:t>
      </w:r>
    </w:p>
    <w:p>
      <w:pPr/>
      <w:r>
        <w:rPr>
          <w:lang w:val="en_US" w:bidi="en_US"/>
        </w:rPr>
      </w:r>
      <w:r>
        <w:rPr>
          <w:lang w:val="en_US" w:bidi="en_US"/>
        </w:rPr>
        <w:t>In this section Jesus told a parable about different types of soil and what happens when seed falls on them. The parable illustrated how different people receive the word of God. In the parable, a man scattered seeds that fell on different types of soil (8:5–8). After Jesus told this parable, he explained why he used parables (8:9–10). He explained the meaning of the parable in 8:11–15. The same parable and discussion are in Matthew 13:3–23 and Mark 4:3–20.</w:t>
      </w:r>
    </w:p>
    <w:p>
      <w:pPr/>
      <w:r>
        <w:rPr>
          <w:lang w:val="en_US" w:bidi="en_US"/>
        </w:rPr>
      </w:r>
      <w:r>
        <w:rPr>
          <w:lang w:val="en_US" w:bidi="en_US"/>
        </w:rPr>
        <w:t>The events in this section probably happened during the period of time that was described in 8:1–3. At that time Jesus was traveling from town to town to preach to people about the kingdom of God.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 Story About a Farmer (GW)</w:t>
      </w:r>
    </w:p>
    <w:p>
      <w:pPr/>
      <w:r>
        <w:rPr>
          <w:lang w:val="en_US" w:bidi="en_US"/>
        </w:rPr>
      </w:r>
      <w:r>
        <w:rPr>
          <w:lang w:val="en_US" w:bidi="en_US"/>
        </w:rPr>
        <w:t>Parable of the Farmer Scattering Seed (NLT)</w:t>
      </w:r>
    </w:p>
    <w:p>
      <w:pPr/>
      <w:r>
        <w:rPr>
          <w:lang w:val="en_US" w:bidi="en_US"/>
        </w:rPr>
      </w:r>
      <w:r>
        <w:rPr>
          <w:lang w:val="en_US" w:bidi="en_US"/>
        </w:rPr>
        <w:t>Jesus illustrated different ways that people hear the word of God</w:t>
      </w:r>
    </w:p>
    <w:p>
      <w:pPr>
        <w:pStyle w:val="Heading5"/>
      </w:pPr>
      <w:r>
        <w:rPr>
          <w:lang w:val="en_US" w:bidi="en_US"/>
        </w:rPr>
        <w:t>8:5</w:t>
      </w:r>
    </w:p>
    <w:p>
      <w:pPr/>
      <w:r>
        <w:rPr>
          <w:lang w:val="en_US" w:bidi="en_US"/>
        </w:rPr>
      </w:r>
      <w:r>
        <w:rPr>
          <w:lang w:val="en_US" w:bidi="en_US"/>
        </w:rPr>
        <w:t>In this verse Jesus began his parable. In some languages there may be a certain way to begin a parable. If that is true in your language, consider whether it is natural to begin this parable in that way.</w:t>
      </w:r>
    </w:p>
    <w:p>
      <w:pPr>
        <w:pStyle w:val="Heading5"/>
      </w:pPr>
      <w:r>
        <w:rPr>
          <w:lang w:val="en_US" w:bidi="en_US"/>
        </w:rPr>
        <w:t>8:5a</w:t>
      </w:r>
    </w:p>
    <w:p>
      <w:pPr/>
      <w:r>
        <w:rPr>
          <w:lang w:val="en_US" w:bidi="en_US"/>
        </w:rPr>
      </w:r>
      <w:r>
        <w:rPr>
          <w:b/>
          <w:lang w:val="en_US" w:bidi="en_US"/>
        </w:rPr>
        <w:t>“A farmer went out to sow his seed.</w:t>
      </w:r>
    </w:p>
    <w:p>
      <w:pPr>
        <w:pStyle w:val="ListBullet"/>
        <w:spacing w:line="240" w:lineRule="auto"/>
        <w:ind w:left="720"/>
      </w:pPr>
      <w:r>
        <w:rPr>
          <w:lang w:val="en_US" w:bidi="en_US"/>
        </w:rPr>
      </w:r>
      <w:r>
        <w:rPr>
          <w:lang w:val="en_US" w:bidi="en_US"/>
        </w:rPr>
        <w:t xml:space="preserve">“A farmer went out to sow/scatter seeds/grain </w:t>
      </w:r>
      <w:r>
        <w:rPr>
          <w:lang w:val="en_US" w:bidi="en_US"/>
        </w:rPr>
        <w:t>on his field</w:t>
      </w:r>
      <w:r>
        <w:rPr>
          <w:lang w:val="en_US" w:bidi="en_US"/>
        </w:rPr>
        <w:t>.</w:t>
      </w:r>
    </w:p>
    <w:p>
      <w:pPr>
        <w:pStyle w:val="ListBullet"/>
        <w:spacing w:line="240" w:lineRule="auto"/>
        <w:ind w:left="720"/>
      </w:pPr>
      <w:r>
        <w:rPr>
          <w:lang w:val="en_US" w:bidi="en_US"/>
        </w:rPr>
      </w:r>
      <w:r>
        <w:rPr>
          <w:lang w:val="en_US" w:bidi="en_US"/>
        </w:rPr>
        <w:t xml:space="preserve">“A man went </w:t>
      </w:r>
      <w:r>
        <w:rPr>
          <w:lang w:val="en_US" w:bidi="en_US"/>
        </w:rPr>
        <w:t>to his field/garden</w:t>
      </w:r>
      <w:r>
        <w:rPr>
          <w:lang w:val="en_US" w:bidi="en_US"/>
        </w:rPr>
        <w:t xml:space="preserve"> to sow/plant his grain seeds.</w:t>
      </w:r>
    </w:p>
    <w:p>
      <w:pPr>
        <w:pStyle w:val="ListBullet"/>
        <w:spacing w:line="240" w:lineRule="auto"/>
        <w:ind w:left="720"/>
      </w:pPr>
      <w:r>
        <w:rPr>
          <w:lang w:val="en_US" w:bidi="en_US"/>
        </w:rPr>
      </w:r>
      <w:r>
        <w:rPr>
          <w:lang w:val="en_US" w:bidi="en_US"/>
        </w:rPr>
        <w:t xml:space="preserve">There was once a man who went </w:t>
      </w:r>
      <w:r>
        <w:rPr>
          <w:lang w:val="en_US" w:bidi="en_US"/>
        </w:rPr>
        <w:t>to his prepared land</w:t>
      </w:r>
      <w:r>
        <w:rPr>
          <w:lang w:val="en_US" w:bidi="en_US"/>
        </w:rPr>
        <w:t xml:space="preserve"> to plant it by throwing seeds over it.</w:t>
      </w:r>
    </w:p>
    <w:p>
      <w:pPr/>
      <w:r>
        <w:rPr>
          <w:lang w:val="en_US" w:bidi="en_US"/>
        </w:rPr>
      </w:r>
      <w:r>
        <w:rPr>
          <w:b/>
          <w:lang w:val="en_US" w:bidi="en_US"/>
        </w:rPr>
        <w:t>A farmer went out to sow his seed:</w:t>
      </w:r>
      <w:r>
        <w:rPr>
          <w:lang w:val="en_US" w:bidi="en_US"/>
        </w:rPr>
        <w:t xml:space="preserve"> The Greek word that the BSB translates as </w:t>
      </w:r>
      <w:r>
        <w:rPr>
          <w:i/>
          <w:lang w:val="en_US" w:bidi="en_US"/>
        </w:rPr>
        <w:t>farmer</w:t>
      </w:r>
      <w:r>
        <w:rPr>
          <w:lang w:val="en_US" w:bidi="en_US"/>
        </w:rPr>
        <w:t xml:space="preserve"> is literally “one who sows/plants (seed).” Some English versions use a more specific term that reflects the Greek form. Others use a general term and allow the verb “sow” to explain what he was doing. This is the first time the </w:t>
      </w:r>
      <w:r>
        <w:rPr>
          <w:i/>
          <w:lang w:val="en_US" w:bidi="en_US"/>
        </w:rPr>
        <w:t>farmer</w:t>
      </w:r>
      <w:r>
        <w:rPr>
          <w:lang w:val="en_US" w:bidi="en_US"/>
        </w:rPr>
        <w:t xml:space="preserve"> is mentioned in the parable. Introduce him here in a natural way in your language for this context. For example:</w:t>
      </w:r>
    </w:p>
    <w:p>
      <w:pPr/>
      <w:r>
        <w:rPr>
          <w:lang w:val="en_US" w:bidi="en_US"/>
        </w:rPr>
      </w:r>
      <w:r>
        <w:rPr>
          <w:lang w:val="en_US" w:bidi="en_US"/>
        </w:rPr>
        <w:t>A sower went out to sow his seed (RSV)</w:t>
      </w:r>
    </w:p>
    <w:p>
      <w:pPr/>
      <w:r>
        <w:rPr>
          <w:lang w:val="en_US" w:bidi="en_US"/>
        </w:rPr>
      </w:r>
      <w:r>
        <w:rPr>
          <w:lang w:val="en_US" w:bidi="en_US"/>
        </w:rPr>
        <w:t>Once there was a man who went out to sow grain (GNT)</w:t>
      </w:r>
    </w:p>
    <w:p>
      <w:pPr/>
      <w:r>
        <w:rPr>
          <w:lang w:val="en_US" w:bidi="en_US"/>
        </w:rPr>
      </w:r>
      <w:r>
        <w:rPr>
          <w:b/>
          <w:lang w:val="en_US" w:bidi="en_US"/>
        </w:rPr>
        <w:t>went out to sow his seed:</w:t>
      </w:r>
      <w:r>
        <w:rPr>
          <w:lang w:val="en_US" w:bidi="en_US"/>
        </w:rPr>
        <w:t xml:space="preserve"> The verb </w:t>
      </w:r>
      <w:r>
        <w:rPr>
          <w:i/>
          <w:lang w:val="en_US" w:bidi="en_US"/>
        </w:rPr>
        <w:t>went out</w:t>
      </w:r>
      <w:r>
        <w:rPr>
          <w:lang w:val="en_US" w:bidi="en_US"/>
        </w:rPr>
        <w:t xml:space="preserve"> indicates that the farmer went to his field. In some languages a word such as </w:t>
      </w:r>
      <w:r>
        <w:rPr>
          <w:i/>
          <w:lang w:val="en_US" w:bidi="en_US"/>
        </w:rPr>
        <w:t>out</w:t>
      </w:r>
      <w:r>
        <w:rPr>
          <w:lang w:val="en_US" w:bidi="en_US"/>
        </w:rPr>
        <w:t xml:space="preserve"> may not be necessary. He went to the place where he hoped to grow grain, and he carried many seeds with him.</w:t>
      </w:r>
    </w:p>
    <w:p>
      <w:pPr/>
      <w:r>
        <w:rPr>
          <w:lang w:val="en_US" w:bidi="en_US"/>
        </w:rPr>
      </w:r>
      <w:r>
        <w:rPr>
          <w:b/>
          <w:lang w:val="en_US" w:bidi="en_US"/>
        </w:rPr>
        <w:t>sow:</w:t>
      </w:r>
      <w:r>
        <w:rPr>
          <w:lang w:val="en_US" w:bidi="en_US"/>
        </w:rPr>
        <w:t xml:space="preserve"> The Greek word that the BSB translates as </w:t>
      </w:r>
      <w:r>
        <w:rPr>
          <w:i/>
          <w:lang w:val="en_US" w:bidi="en_US"/>
        </w:rPr>
        <w:t>sow</w:t>
      </w:r>
      <w:r>
        <w:rPr>
          <w:lang w:val="en_US" w:bidi="en_US"/>
        </w:rPr>
        <w:t xml:space="preserve"> refers to throwing seeds to the side and in front of the farmer. This method allowed the farmer to plant a large area quickly. This was a common way in that culture to plant grain seeds. In that culture, farmers did not plant grain seeds by putting them in the ground one by one. It may be helpful to include a picture of a farmer scattering his seeds.</w:t>
      </w:r>
    </w:p>
    <w:p>
      <w:pPr/>
      <w:r>
        <w:rPr>
          <w:lang w:val="en_US" w:bidi="en_US"/>
        </w:rPr>
      </w:r>
      <w:r>
        <w:rPr>
          <w:lang w:val="en_US" w:bidi="en_US"/>
        </w:rPr>
        <w:t xml:space="preserve">If your readers know that this is the way the Jews planted seeds, they will more easily understand what the parable means. In languages that do not have a word for </w:t>
      </w:r>
      <w:r>
        <w:rPr>
          <w:i/>
          <w:lang w:val="en_US" w:bidi="en_US"/>
        </w:rPr>
        <w:t>sow</w:t>
      </w:r>
      <w:r>
        <w:rPr>
          <w:lang w:val="en_US" w:bidi="en_US"/>
        </w:rPr>
        <w:t>, you may be able to use a descriptive phrase such as:</w:t>
      </w:r>
    </w:p>
    <w:p>
      <w:pPr/>
      <w:r>
        <w:rPr>
          <w:lang w:val="en_US" w:bidi="en_US"/>
        </w:rPr>
      </w:r>
      <w:r>
        <w:rPr>
          <w:lang w:val="en_US" w:bidi="en_US"/>
        </w:rPr>
        <w:t>plant by throwing/scattering</w:t>
      </w:r>
    </w:p>
    <w:p>
      <w:pPr/>
      <w:r>
        <w:rPr>
          <w:lang w:val="en_US" w:bidi="en_US"/>
        </w:rPr>
      </w:r>
      <w:r>
        <w:rPr>
          <w:lang w:val="en_US" w:bidi="en_US"/>
        </w:rPr>
        <w:t>scatter to plant</w:t>
      </w:r>
    </w:p>
    <w:p>
      <w:pPr/>
      <w:r>
        <w:rPr>
          <w:lang w:val="en_US" w:bidi="en_US"/>
        </w:rPr>
      </w:r>
      <w:r>
        <w:rPr>
          <w:lang w:val="en_US" w:bidi="en_US"/>
        </w:rPr>
        <w:t>This method was the normal way for Jewish farmers to plant. It does not describe a foolish farmer. It may be helpful to include a footnote to explain this. For example:</w:t>
      </w:r>
    </w:p>
    <w:p>
      <w:pPr/>
      <w:r>
        <w:rPr>
          <w:lang w:val="en_US" w:bidi="en_US"/>
        </w:rPr>
      </w:r>
      <w:r>
        <w:rPr>
          <w:lang w:val="en_US" w:bidi="en_US"/>
        </w:rPr>
        <w:t>The Jews planted grain seeds by scattering the seeds over ground that the farmer had plowed, or that he would plow afterwards. In this way, the farmer could plant a large area quickly.</w:t>
      </w:r>
    </w:p>
    <w:p>
      <w:pPr/>
      <w:r>
        <w:rPr>
          <w:lang w:val="en_US" w:bidi="en_US"/>
        </w:rPr>
      </w:r>
      <w:r>
        <w:rPr>
          <w:b/>
          <w:lang w:val="en_US" w:bidi="en_US"/>
        </w:rPr>
        <w:t>seed:</w:t>
      </w:r>
      <w:r>
        <w:rPr>
          <w:lang w:val="en_US" w:bidi="en_US"/>
        </w:rPr>
        <w:t xml:space="preserve"> The Greek word that the BSB translates as </w:t>
      </w:r>
      <w:r>
        <w:rPr>
          <w:i/>
          <w:lang w:val="en_US" w:bidi="en_US"/>
        </w:rPr>
        <w:t>seed</w:t>
      </w:r>
      <w:r>
        <w:rPr>
          <w:lang w:val="en_US" w:bidi="en_US"/>
        </w:rPr>
        <w:t xml:space="preserve"> here refers to many individual seeds. In many languages, it will be necessary to use the plural form “seeds.” If you use a plural form here, you will also want to use plural pronouns throughout 8:5–8 and 8:11–15 to refer to these seeds. See, for example, the note on “it” at 8:5c.</w:t>
      </w:r>
    </w:p>
    <w:p>
      <w:pPr/>
      <w:r>
        <w:rPr>
          <w:lang w:val="en_US" w:bidi="en_US"/>
        </w:rPr>
      </w:r>
      <w:r>
        <w:rPr>
          <w:lang w:val="en_US" w:bidi="en_US"/>
        </w:rPr>
        <w:t>If you need to say what kind of seed the farmer was planting, here are some suggestions:</w:t>
      </w:r>
    </w:p>
    <w:p>
      <w:pPr>
        <w:pStyle w:val="ListBullet"/>
        <w:spacing w:line="240" w:lineRule="auto"/>
        <w:ind w:left="720"/>
      </w:pPr>
      <w:r>
        <w:rPr>
          <w:lang w:val="en_US" w:bidi="en_US"/>
        </w:rPr>
      </w:r>
      <w:r>
        <w:rPr>
          <w:lang w:val="en_US" w:bidi="en_US"/>
        </w:rPr>
        <w:t>Use a general word for grain.</w:t>
      </w:r>
    </w:p>
    <w:p>
      <w:pPr>
        <w:pStyle w:val="ListBullet"/>
        <w:spacing w:line="240" w:lineRule="auto"/>
        <w:ind w:left="720"/>
      </w:pPr>
      <w:r>
        <w:rPr>
          <w:lang w:val="en_US" w:bidi="en_US"/>
        </w:rPr>
      </w:r>
      <w:r>
        <w:rPr>
          <w:lang w:val="en_US" w:bidi="en_US"/>
        </w:rPr>
        <w:t>Supply the name of a specific crop that people farmed in Israel in New Testament times, such as wheat or barley.</w:t>
      </w:r>
    </w:p>
    <w:p>
      <w:pPr>
        <w:pStyle w:val="ListBullet"/>
        <w:spacing w:line="240" w:lineRule="auto"/>
        <w:ind w:left="720"/>
      </w:pPr>
      <w:r>
        <w:rPr>
          <w:lang w:val="en_US" w:bidi="en_US"/>
        </w:rPr>
      </w:r>
      <w:r>
        <w:rPr>
          <w:lang w:val="en_US" w:bidi="en_US"/>
        </w:rPr>
        <w:t>If you do not have a general word for grain and do not have wheat or barley in your area, compare this to something that is commonly grown in your area. For example, if rice or millet is common, you could say:</w:t>
      </w:r>
      <w:r>
        <w:rPr>
          <w:lang w:val="en_US" w:bidi="en_US"/>
        </w:rPr>
        <w:t xml:space="preserve">a farmer went out to plant </w:t>
      </w:r>
      <w:r>
        <w:rPr>
          <w:u w:val="single"/>
          <w:lang w:val="en_US" w:bidi="en_US"/>
        </w:rPr>
        <w:t>something like rice/millet</w:t>
      </w:r>
    </w:p>
    <w:p>
      <w:pPr>
        <w:pStyle w:val="Heading5"/>
      </w:pPr>
      <w:r>
        <w:rPr>
          <w:lang w:val="en_US" w:bidi="en_US"/>
        </w:rPr>
        <w:t>8:5b</w:t>
      </w:r>
    </w:p>
    <w:p>
      <w:pPr/>
      <w:r>
        <w:rPr>
          <w:lang w:val="en_US" w:bidi="en_US"/>
        </w:rPr>
      </w:r>
      <w:r>
        <w:rPr>
          <w:b/>
          <w:lang w:val="en_US" w:bidi="en_US"/>
        </w:rPr>
        <w:t>And as he was sowing, some seed fell along the path,</w:t>
      </w:r>
    </w:p>
    <w:p>
      <w:pPr>
        <w:pStyle w:val="ListBullet"/>
        <w:spacing w:line="240" w:lineRule="auto"/>
        <w:ind w:left="720"/>
      </w:pPr>
      <w:r>
        <w:rPr>
          <w:lang w:val="en_US" w:bidi="en_US"/>
        </w:rPr>
      </w:r>
      <w:r>
        <w:rPr>
          <w:lang w:val="en_US" w:bidi="en_US"/>
        </w:rPr>
        <w:t>While he was planting/scattering the seeds, some of them fell on the path.</w:t>
      </w:r>
    </w:p>
    <w:p>
      <w:pPr>
        <w:pStyle w:val="ListBullet"/>
        <w:spacing w:line="240" w:lineRule="auto"/>
        <w:ind w:left="720"/>
      </w:pPr>
      <w:r>
        <w:rPr>
          <w:lang w:val="en_US" w:bidi="en_US"/>
        </w:rPr>
      </w:r>
      <w:r>
        <w:rPr>
          <w:lang w:val="en_US" w:bidi="en_US"/>
        </w:rPr>
        <w:t>Some of the seeds that he was scattering landed on a footpath.</w:t>
      </w:r>
    </w:p>
    <w:p>
      <w:pPr/>
      <w:r>
        <w:rPr>
          <w:lang w:val="en_US" w:bidi="en_US"/>
        </w:rPr>
      </w:r>
      <w:r>
        <w:rPr>
          <w:b/>
          <w:lang w:val="en_US" w:bidi="en_US"/>
        </w:rPr>
        <w:t>And as he was sowing:</w:t>
      </w:r>
      <w:r>
        <w:rPr>
          <w:lang w:val="en_US" w:bidi="en_US"/>
        </w:rPr>
        <w:t xml:space="preserve"> The Greek verb that the BSB translates as </w:t>
      </w:r>
      <w:r>
        <w:rPr>
          <w:i/>
          <w:lang w:val="en_US" w:bidi="en_US"/>
        </w:rPr>
        <w:t>sowing</w:t>
      </w:r>
      <w:r>
        <w:rPr>
          <w:lang w:val="en_US" w:bidi="en_US"/>
        </w:rPr>
        <w:t xml:space="preserve"> is a form of the same verb that is translated as “sow” in 8:5a. It may be helpful in your language to specify what the farmer sowed. However, the Greek text does not specify this, and it may not be necessary in all languages. Other ways to translate this clause are:</w:t>
      </w:r>
    </w:p>
    <w:p>
      <w:pPr/>
      <w:r>
        <w:rPr>
          <w:lang w:val="en_US" w:bidi="en_US"/>
        </w:rPr>
      </w:r>
      <w:r>
        <w:rPr>
          <w:lang w:val="en_US" w:bidi="en_US"/>
        </w:rPr>
        <w:t xml:space="preserve">As he was scattering </w:t>
      </w:r>
      <w:r>
        <w:rPr>
          <w:u w:val="single"/>
          <w:lang w:val="en_US" w:bidi="en_US"/>
        </w:rPr>
        <w:t>the seed</w:t>
      </w:r>
      <w:r>
        <w:rPr>
          <w:lang w:val="en_US" w:bidi="en_US"/>
        </w:rPr>
        <w:t xml:space="preserve"> (NIV)</w:t>
      </w:r>
    </w:p>
    <w:p>
      <w:pPr/>
      <w:r>
        <w:rPr>
          <w:lang w:val="en_US" w:bidi="en_US"/>
        </w:rPr>
      </w:r>
      <w:r>
        <w:rPr>
          <w:lang w:val="en_US" w:bidi="en_US"/>
        </w:rPr>
        <w:t xml:space="preserve">As he scattered </w:t>
      </w:r>
      <w:r>
        <w:rPr>
          <w:u w:val="single"/>
          <w:lang w:val="en_US" w:bidi="en_US"/>
        </w:rPr>
        <w:t>it</w:t>
      </w:r>
      <w:r>
        <w:rPr>
          <w:lang w:val="en_US" w:bidi="en_US"/>
        </w:rPr>
        <w:t xml:space="preserve"> across his field (NLT)</w:t>
      </w:r>
    </w:p>
    <w:p>
      <w:pPr/>
      <w:r>
        <w:rPr>
          <w:lang w:val="en_US" w:bidi="en_US"/>
        </w:rPr>
      </w:r>
      <w:r>
        <w:rPr>
          <w:lang w:val="en_US" w:bidi="en_US"/>
        </w:rPr>
        <w:t>and while he was sowing (JBP)</w:t>
      </w:r>
    </w:p>
    <w:p>
      <w:pPr/>
      <w:r>
        <w:rPr>
          <w:lang w:val="en_US" w:bidi="en_US"/>
        </w:rPr>
      </w:r>
      <w:r>
        <w:rPr>
          <w:b/>
          <w:lang w:val="en_US" w:bidi="en_US"/>
        </w:rPr>
        <w:t>some seed fell along the path:</w:t>
      </w:r>
      <w:r>
        <w:rPr>
          <w:lang w:val="en_US" w:bidi="en_US"/>
        </w:rPr>
        <w:t xml:space="preserve"> The word </w:t>
      </w:r>
      <w:r>
        <w:rPr>
          <w:i/>
          <w:lang w:val="en_US" w:bidi="en_US"/>
        </w:rPr>
        <w:t>some</w:t>
      </w:r>
      <w:r>
        <w:rPr>
          <w:lang w:val="en_US" w:bidi="en_US"/>
        </w:rPr>
        <w:t xml:space="preserve"> refers to some of the grain seeds. These seeds </w:t>
      </w:r>
      <w:r>
        <w:rPr>
          <w:i/>
          <w:lang w:val="en_US" w:bidi="en_US"/>
        </w:rPr>
        <w:t>fell</w:t>
      </w:r>
      <w:r>
        <w:rPr>
          <w:lang w:val="en_US" w:bidi="en_US"/>
        </w:rPr>
        <w:t xml:space="preserve"> by accident on the path. Be careful not to use a word or expression that implies that the farmer </w:t>
      </w:r>
      <w:r>
        <w:rPr>
          <w:u w:val="single"/>
          <w:lang w:val="en_US" w:bidi="en_US"/>
        </w:rPr>
        <w:t>intended</w:t>
      </w:r>
      <w:r>
        <w:rPr>
          <w:lang w:val="en_US" w:bidi="en_US"/>
        </w:rPr>
        <w:t xml:space="preserve"> for some of the seeds to fall on the path. Since he was throwing the seeds around, it was natural for a few of the seeds to fall there.</w:t>
      </w:r>
    </w:p>
    <w:p>
      <w:pPr/>
      <w:r>
        <w:rPr>
          <w:lang w:val="en_US" w:bidi="en_US"/>
        </w:rPr>
      </w:r>
      <w:r>
        <w:rPr>
          <w:b/>
          <w:lang w:val="en_US" w:bidi="en_US"/>
        </w:rPr>
        <w:t>along the path:</w:t>
      </w:r>
      <w:r>
        <w:rPr>
          <w:lang w:val="en_US" w:bidi="en_US"/>
        </w:rPr>
        <w:t xml:space="preserve"> The Greek word that the BSB translates as </w:t>
      </w:r>
      <w:r>
        <w:rPr>
          <w:i/>
          <w:lang w:val="en_US" w:bidi="en_US"/>
        </w:rPr>
        <w:t>along</w:t>
      </w:r>
      <w:r>
        <w:rPr>
          <w:lang w:val="en_US" w:bidi="en_US"/>
        </w:rPr>
        <w:t xml:space="preserve"> usually means “near,” “beside,” or “alongside.” In this context, it may also mean “on.” English versions show a similar range of meaning. For example:</w:t>
      </w:r>
    </w:p>
    <w:p>
      <w:pPr/>
      <w:r>
        <w:rPr>
          <w:lang w:val="en_US" w:bidi="en_US"/>
        </w:rPr>
      </w:r>
      <w:r>
        <w:rPr>
          <w:lang w:val="en_US" w:bidi="en_US"/>
        </w:rPr>
        <w:t>some fell beside the road (NASB)</w:t>
      </w:r>
    </w:p>
    <w:p>
      <w:pPr/>
      <w:r>
        <w:rPr>
          <w:lang w:val="en_US" w:bidi="en_US"/>
        </w:rPr>
      </w:r>
      <w:r>
        <w:rPr>
          <w:lang w:val="en_US" w:bidi="en_US"/>
        </w:rPr>
        <w:t>some fell on the edge of the path (NJB)</w:t>
      </w:r>
    </w:p>
    <w:p>
      <w:pPr/>
      <w:r>
        <w:rPr>
          <w:lang w:val="en_US" w:bidi="en_US"/>
        </w:rPr>
      </w:r>
      <w:r>
        <w:rPr>
          <w:lang w:val="en_US" w:bidi="en_US"/>
        </w:rPr>
        <w:t>some seed fell on a footpath (NLT)</w:t>
      </w:r>
    </w:p>
    <w:p>
      <w:pPr/>
      <w:r>
        <w:rPr>
          <w:lang w:val="en_US" w:bidi="en_US"/>
        </w:rPr>
      </w:r>
      <w:r>
        <w:rPr>
          <w:lang w:val="en_US" w:bidi="en_US"/>
        </w:rPr>
        <w:t>Several English versions, including the BSB, have “along,” which can mean either “beside” or “upon.” If you have a similar word in your language, you may use that word here. Otherwise use a word with a more specific meaning that is natural in your language. All these meanings fit the parable equally well.</w:t>
      </w:r>
    </w:p>
    <w:p>
      <w:pPr/>
      <w:r>
        <w:rPr>
          <w:lang w:val="en_US" w:bidi="en_US"/>
        </w:rPr>
      </w:r>
      <w:r>
        <w:rPr>
          <w:b/>
          <w:lang w:val="en_US" w:bidi="en_US"/>
        </w:rPr>
        <w:t>the path:</w:t>
      </w:r>
      <w:r>
        <w:rPr>
          <w:lang w:val="en_US" w:bidi="en_US"/>
        </w:rPr>
        <w:t xml:space="preserve"> The Greek word that the BSB translates as </w:t>
      </w:r>
      <w:r>
        <w:rPr>
          <w:i/>
          <w:lang w:val="en_US" w:bidi="en_US"/>
        </w:rPr>
        <w:t>the path</w:t>
      </w:r>
      <w:r>
        <w:rPr>
          <w:lang w:val="en_US" w:bidi="en_US"/>
        </w:rPr>
        <w:t xml:space="preserve"> refers to a footpath through or alongside a field. People who walk there trample on the soil and make it hard.</w:t>
      </w:r>
    </w:p>
    <w:p>
      <w:pPr>
        <w:pStyle w:val="Heading5"/>
      </w:pPr>
      <w:r>
        <w:rPr>
          <w:lang w:val="en_US" w:bidi="en_US"/>
        </w:rPr>
        <w:t>8:5c</w:t>
      </w:r>
    </w:p>
    <w:p>
      <w:pPr/>
      <w:r>
        <w:rPr>
          <w:lang w:val="en_US" w:bidi="en_US"/>
        </w:rPr>
      </w:r>
      <w:r>
        <w:rPr>
          <w:b/>
          <w:lang w:val="en_US" w:bidi="en_US"/>
        </w:rPr>
        <w:t>where it was trampled, and the birds of the air devoured it.</w:t>
      </w:r>
    </w:p>
    <w:p>
      <w:pPr>
        <w:pStyle w:val="ListBullet"/>
        <w:spacing w:line="240" w:lineRule="auto"/>
        <w:ind w:left="720"/>
      </w:pPr>
      <w:r>
        <w:rPr>
          <w:lang w:val="en_US" w:bidi="en_US"/>
        </w:rPr>
      </w:r>
      <w:r>
        <w:rPr>
          <w:lang w:val="en_US" w:bidi="en_US"/>
        </w:rPr>
        <w:t>Later</w:t>
      </w:r>
      <w:r>
        <w:rPr>
          <w:lang w:val="en_US" w:bidi="en_US"/>
        </w:rPr>
        <w:t xml:space="preserve">, people stepped on them </w:t>
      </w:r>
      <w:r>
        <w:rPr>
          <w:lang w:val="en_US" w:bidi="en_US"/>
        </w:rPr>
        <w:t>as they walked by</w:t>
      </w:r>
      <w:r>
        <w:rPr>
          <w:lang w:val="en_US" w:bidi="en_US"/>
        </w:rPr>
        <w:t xml:space="preserve">, and birds </w:t>
      </w:r>
      <w:r>
        <w:rPr>
          <w:lang w:val="en_US" w:bidi="en_US"/>
        </w:rPr>
        <w:t>came down</w:t>
      </w:r>
      <w:r>
        <w:rPr>
          <w:lang w:val="en_US" w:bidi="en_US"/>
        </w:rPr>
        <w:t xml:space="preserve"> from the sky/air and devoured </w:t>
      </w:r>
      <w:r>
        <w:rPr>
          <w:lang w:val="en_US" w:bidi="en_US"/>
        </w:rPr>
        <w:t>those seeds</w:t>
      </w:r>
      <w:r>
        <w:rPr>
          <w:lang w:val="en_US" w:bidi="en_US"/>
        </w:rPr>
        <w:t>.</w:t>
      </w:r>
    </w:p>
    <w:p>
      <w:pPr>
        <w:pStyle w:val="ListBullet"/>
        <w:spacing w:line="240" w:lineRule="auto"/>
        <w:ind w:left="720"/>
      </w:pPr>
      <w:r>
        <w:rPr>
          <w:lang w:val="en_US" w:bidi="en_US"/>
        </w:rPr>
      </w:r>
      <w:r>
        <w:rPr>
          <w:lang w:val="en_US" w:bidi="en_US"/>
        </w:rPr>
        <w:t xml:space="preserve">People </w:t>
      </w:r>
      <w:r>
        <w:rPr>
          <w:lang w:val="en_US" w:bidi="en_US"/>
        </w:rPr>
        <w:t>walked by and</w:t>
      </w:r>
      <w:r>
        <w:rPr>
          <w:lang w:val="en_US" w:bidi="en_US"/>
        </w:rPr>
        <w:t xml:space="preserve"> stepped on them, and birds hungrily pecked/ate them.</w:t>
      </w:r>
    </w:p>
    <w:p>
      <w:pPr/>
      <w:r>
        <w:rPr>
          <w:lang w:val="en_US" w:bidi="en_US"/>
        </w:rPr>
      </w:r>
      <w:r>
        <w:rPr>
          <w:b/>
          <w:lang w:val="en_US" w:bidi="en_US"/>
        </w:rPr>
        <w:t>it was trampled:</w:t>
      </w:r>
      <w:r>
        <w:rPr>
          <w:lang w:val="en_US" w:bidi="en_US"/>
        </w:rPr>
        <w:t xml:space="preserve"> The passive Greek verb that the BSB translates as </w:t>
      </w:r>
      <w:r>
        <w:rPr>
          <w:i/>
          <w:lang w:val="en_US" w:bidi="en_US"/>
        </w:rPr>
        <w:t>it was trampled</w:t>
      </w:r>
      <w:r>
        <w:rPr>
          <w:lang w:val="en_US" w:bidi="en_US"/>
        </w:rPr>
        <w:t xml:space="preserve"> means “people trampled on it” or “people walked on the seeds.” You may wish to use an active expression such as one of those in your translation.</w:t>
      </w:r>
    </w:p>
    <w:p>
      <w:pPr/>
      <w:r>
        <w:rPr>
          <w:lang w:val="en_US" w:bidi="en_US"/>
        </w:rPr>
      </w:r>
      <w:r>
        <w:rPr>
          <w:b/>
          <w:lang w:val="en_US" w:bidi="en_US"/>
        </w:rPr>
        <w:t>it:</w:t>
      </w:r>
      <w:r>
        <w:rPr>
          <w:lang w:val="en_US" w:bidi="en_US"/>
        </w:rPr>
        <w:t xml:space="preserve"> If your word for “seeds” or “grain” is plural in form, be sure to use a plural pronoun here. For example:</w:t>
      </w:r>
    </w:p>
    <w:p>
      <w:pPr/>
      <w:r>
        <w:rPr>
          <w:lang w:val="en_US" w:bidi="en_US"/>
        </w:rPr>
      </w:r>
      <w:r>
        <w:rPr>
          <w:u w:val="single"/>
          <w:lang w:val="en_US" w:bidi="en_US"/>
        </w:rPr>
        <w:t>they</w:t>
      </w:r>
      <w:r>
        <w:rPr>
          <w:lang w:val="en_US" w:bidi="en_US"/>
        </w:rPr>
        <w:t xml:space="preserve"> were trampled on</w:t>
      </w:r>
    </w:p>
    <w:p>
      <w:pPr/>
      <w:r>
        <w:rPr>
          <w:lang w:val="en_US" w:bidi="en_US"/>
        </w:rPr>
      </w:r>
      <w:r>
        <w:rPr>
          <w:lang w:val="en_US" w:bidi="en_US"/>
        </w:rPr>
        <w:t>This applies to pronouns that refer to the seeds throughout 8:5–8:</w:t>
      </w:r>
    </w:p>
    <w:p>
      <w:pPr>
        <w:pStyle w:val="ListBullet"/>
        <w:spacing w:line="240" w:lineRule="auto"/>
        <w:ind w:left="720"/>
      </w:pPr>
      <w:r>
        <w:rPr>
          <w:lang w:val="en_US" w:bidi="en_US"/>
        </w:rPr>
      </w:r>
      <w:r>
        <w:rPr>
          <w:lang w:val="en_US" w:bidi="en_US"/>
        </w:rPr>
        <w:t xml:space="preserve">ate </w:t>
      </w:r>
      <w:r>
        <w:rPr>
          <w:u w:val="single"/>
          <w:lang w:val="en_US" w:bidi="en_US"/>
        </w:rPr>
        <w:t>it/them</w:t>
      </w:r>
      <w:r>
        <w:rPr>
          <w:lang w:val="en_US" w:bidi="en_US"/>
        </w:rPr>
        <w:t xml:space="preserve"> up (8:5c)</w:t>
      </w:r>
    </w:p>
    <w:p>
      <w:pPr>
        <w:pStyle w:val="ListBullet"/>
        <w:spacing w:line="240" w:lineRule="auto"/>
        <w:ind w:left="720"/>
      </w:pPr>
      <w:r>
        <w:rPr>
          <w:lang w:val="en_US" w:bidi="en_US"/>
        </w:rPr>
      </w:r>
      <w:r>
        <w:rPr>
          <w:lang w:val="en_US" w:bidi="en_US"/>
        </w:rPr>
        <w:t xml:space="preserve">when </w:t>
      </w:r>
      <w:r>
        <w:rPr>
          <w:u w:val="single"/>
          <w:lang w:val="en_US" w:bidi="en_US"/>
        </w:rPr>
        <w:t>it/they</w:t>
      </w:r>
      <w:r>
        <w:rPr>
          <w:lang w:val="en_US" w:bidi="en_US"/>
        </w:rPr>
        <w:t xml:space="preserve"> came up (8:6b)</w:t>
      </w:r>
    </w:p>
    <w:p>
      <w:pPr>
        <w:pStyle w:val="ListBullet"/>
        <w:spacing w:line="240" w:lineRule="auto"/>
        <w:ind w:left="720"/>
      </w:pPr>
      <w:r>
        <w:rPr>
          <w:lang w:val="en_US" w:bidi="en_US"/>
        </w:rPr>
      </w:r>
      <w:r>
        <w:rPr>
          <w:lang w:val="en_US" w:bidi="en_US"/>
        </w:rPr>
        <w:t xml:space="preserve">which grew up with </w:t>
      </w:r>
      <w:r>
        <w:rPr>
          <w:u w:val="single"/>
          <w:lang w:val="en_US" w:bidi="en_US"/>
        </w:rPr>
        <w:t>it/them</w:t>
      </w:r>
      <w:r>
        <w:rPr>
          <w:lang w:val="en_US" w:bidi="en_US"/>
        </w:rPr>
        <w:t xml:space="preserve"> (8:7b)</w:t>
      </w:r>
    </w:p>
    <w:p>
      <w:pPr>
        <w:pStyle w:val="ListBullet"/>
        <w:spacing w:line="240" w:lineRule="auto"/>
        <w:ind w:left="720"/>
      </w:pPr>
      <w:r>
        <w:rPr>
          <w:lang w:val="en_US" w:bidi="en_US"/>
        </w:rPr>
      </w:r>
      <w:r>
        <w:rPr>
          <w:u w:val="single"/>
          <w:lang w:val="en_US" w:bidi="en_US"/>
        </w:rPr>
        <w:t>It/They</w:t>
      </w:r>
      <w:r>
        <w:rPr>
          <w:lang w:val="en_US" w:bidi="en_US"/>
        </w:rPr>
        <w:t xml:space="preserve"> came up (8:8b)</w:t>
      </w:r>
    </w:p>
    <w:p>
      <w:pPr/>
      <w:r>
        <w:rPr>
          <w:lang w:val="en_US" w:bidi="en_US"/>
        </w:rPr>
      </w:r>
      <w:r>
        <w:rPr>
          <w:b/>
          <w:lang w:val="en_US" w:bidi="en_US"/>
        </w:rPr>
        <w:t>the birds of the air:</w:t>
      </w:r>
      <w:r>
        <w:rPr>
          <w:lang w:val="en_US" w:bidi="en_US"/>
        </w:rPr>
        <w:t xml:space="preserve"> The Greek phrase that the BSB translates as </w:t>
      </w:r>
      <w:r>
        <w:rPr>
          <w:i/>
          <w:lang w:val="en_US" w:bidi="en_US"/>
        </w:rPr>
        <w:t>the birds of the air</w:t>
      </w:r>
      <w:r>
        <w:rPr>
          <w:lang w:val="en_US" w:bidi="en_US"/>
        </w:rPr>
        <w:t xml:space="preserve"> means “birds that fly in the air.” Since most birds fly in the air, in many languages it may not be natural to describe birds in this way. If this is true in your language, you may leave this phrase implied. For example:</w:t>
      </w:r>
    </w:p>
    <w:p>
      <w:pPr/>
      <w:r>
        <w:rPr>
          <w:lang w:val="en_US" w:bidi="en_US"/>
        </w:rPr>
      </w:r>
      <w:r>
        <w:rPr>
          <w:lang w:val="en_US" w:bidi="en_US"/>
        </w:rPr>
        <w:t>birds (GNT)</w:t>
      </w:r>
    </w:p>
    <w:p>
      <w:pPr/>
      <w:r>
        <w:rPr>
          <w:lang w:val="en_US" w:bidi="en_US"/>
        </w:rPr>
      </w:r>
      <w:r>
        <w:rPr>
          <w:lang w:val="en_US" w:bidi="en_US"/>
        </w:rPr>
        <w:t>Another possibility is to say something such as:</w:t>
      </w:r>
    </w:p>
    <w:p>
      <w:pPr/>
      <w:r>
        <w:rPr>
          <w:lang w:val="en_US" w:bidi="en_US"/>
        </w:rPr>
      </w:r>
      <w:r>
        <w:rPr>
          <w:lang w:val="en_US" w:bidi="en_US"/>
        </w:rPr>
        <w:t>the birds?</w:t>
      </w:r>
      <w:r>
        <w:rPr>
          <w:lang w:val="en_US" w:bidi="en_US"/>
        </w:rPr>
        <w:t>swooped down</w:t>
      </w:r>
      <w:r>
        <w:rPr>
          <w:lang w:val="en_US" w:bidi="en_US"/>
        </w:rPr>
        <w:t xml:space="preserve"> from the sky and ate it up</w:t>
      </w:r>
    </w:p>
    <w:p>
      <w:pPr/>
      <w:r>
        <w:rPr>
          <w:lang w:val="en_US" w:bidi="en_US"/>
        </w:rPr>
      </w:r>
      <w:r>
        <w:rPr>
          <w:b/>
          <w:lang w:val="en_US" w:bidi="en_US"/>
        </w:rPr>
        <w:t>devoured it:</w:t>
      </w:r>
      <w:r>
        <w:rPr>
          <w:lang w:val="en_US" w:bidi="en_US"/>
        </w:rPr>
        <w:t xml:space="preserve"> The Greek word that the BSB translates as </w:t>
      </w:r>
      <w:r>
        <w:rPr>
          <w:i/>
          <w:lang w:val="en_US" w:bidi="en_US"/>
        </w:rPr>
        <w:t>devoured it</w:t>
      </w:r>
      <w:r>
        <w:rPr>
          <w:lang w:val="en_US" w:bidi="en_US"/>
        </w:rPr>
        <w:t xml:space="preserve"> refers to eating something hungrily and completely. Other ways to say this are:</w:t>
      </w:r>
    </w:p>
    <w:p>
      <w:pPr/>
      <w:r>
        <w:rPr>
          <w:lang w:val="en_US" w:bidi="en_US"/>
        </w:rPr>
      </w:r>
      <w:r>
        <w:rPr>
          <w:lang w:val="en_US" w:bidi="en_US"/>
        </w:rPr>
        <w:t>hungrily ate it all</w:t>
      </w:r>
    </w:p>
    <w:p>
      <w:pPr/>
      <w:r>
        <w:rPr>
          <w:lang w:val="en_US" w:bidi="en_US"/>
        </w:rPr>
      </w:r>
      <w:r>
        <w:rPr>
          <w:lang w:val="en_US" w:bidi="en_US"/>
        </w:rPr>
        <w:t>ate them until they were gone</w:t>
      </w:r>
    </w:p>
    <w:p>
      <w:pPr/>
      <w:r>
        <w:rPr>
          <w:lang w:val="en_US" w:bidi="en_US"/>
        </w:rPr>
      </w:r>
      <w:r>
        <w:rPr>
          <w:lang w:val="en_US" w:bidi="en_US"/>
        </w:rPr>
        <w:t>If you have a specific word or phrase that describes the way that birds eat, such as the English word “pecked,” you could translate in this way:</w:t>
      </w:r>
    </w:p>
    <w:p>
      <w:pPr/>
      <w:r>
        <w:rPr>
          <w:lang w:val="en_US" w:bidi="en_US"/>
        </w:rPr>
      </w:r>
      <w:r>
        <w:rPr>
          <w:lang w:val="en_US" w:bidi="en_US"/>
        </w:rPr>
        <w:t>pecked it hungrily</w:t>
      </w:r>
      <w:r>
        <w:rPr>
          <w:lang w:val="en_US" w:bidi="en_US"/>
        </w:rPr>
      </w:r>
      <w:r>
        <w:rPr>
          <w:lang w:val="en_US" w:bidi="en_US"/>
        </w:rPr>
      </w:r>
    </w:p>
    <w:p>
      <w:pPr/>
      <w:r>
        <w:rPr>
          <w:lang w:val="en_US" w:bidi="en_US"/>
        </w:rPr>
      </w:r>
    </w:p>
    <w:p>
      <w:pPr>
        <w:pStyle w:val="Heading2"/>
      </w:pPr>
      <w:r>
        <w:rPr>
          <w:lang w:val="en_US" w:bidi="en_US"/>
        </w:rPr>
        <w:t>Luke 8:6</w:t>
      </w:r>
      <w:r>
        <w:rPr>
          <w:lang w:val="en_US" w:bidi="en_US"/>
        </w:rPr>
      </w:r>
    </w:p>
    <w:p>
      <w:pPr>
        <w:pStyle w:val="Heading4"/>
      </w:pPr>
      <w:r>
        <w:rPr>
          <w:lang w:val="en_US" w:bidi="en_US"/>
        </w:rPr>
        <w:t>Section 8:4–8: Jesus told a parable about seeds falling on different types of soil</w:t>
      </w:r>
    </w:p>
    <w:p>
      <w:pPr/>
      <w:r>
        <w:rPr>
          <w:lang w:val="en_US" w:bidi="en_US"/>
        </w:rPr>
      </w:r>
      <w:r>
        <w:rPr>
          <w:lang w:val="en_US" w:bidi="en_US"/>
        </w:rPr>
        <w:t>In this section Jesus told a parable about different types of soil and what happens when seed falls on them. The parable illustrated how different people receive the word of God. In the parable, a man scattered seeds that fell on different types of soil (8:5–8). After Jesus told this parable, he explained why he used parables (8:9–10). He explained the meaning of the parable in 8:11–15. The same parable and discussion are in Matthew 13:3–23 and Mark 4:3–20.</w:t>
      </w:r>
    </w:p>
    <w:p>
      <w:pPr/>
      <w:r>
        <w:rPr>
          <w:lang w:val="en_US" w:bidi="en_US"/>
        </w:rPr>
      </w:r>
      <w:r>
        <w:rPr>
          <w:lang w:val="en_US" w:bidi="en_US"/>
        </w:rPr>
        <w:t>The events in this section probably happened during the period of time that was described in 8:1–3. At that time Jesus was traveling from town to town to preach to people about the kingdom of God.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 Story About a Farmer (GW)</w:t>
      </w:r>
    </w:p>
    <w:p>
      <w:pPr/>
      <w:r>
        <w:rPr>
          <w:lang w:val="en_US" w:bidi="en_US"/>
        </w:rPr>
      </w:r>
      <w:r>
        <w:rPr>
          <w:lang w:val="en_US" w:bidi="en_US"/>
        </w:rPr>
        <w:t>Parable of the Farmer Scattering Seed (NLT)</w:t>
      </w:r>
    </w:p>
    <w:p>
      <w:pPr/>
      <w:r>
        <w:rPr>
          <w:lang w:val="en_US" w:bidi="en_US"/>
        </w:rPr>
      </w:r>
      <w:r>
        <w:rPr>
          <w:lang w:val="en_US" w:bidi="en_US"/>
        </w:rPr>
        <w:t>Jesus illustrated different ways that people hear the word of God</w:t>
      </w:r>
    </w:p>
    <w:p>
      <w:pPr>
        <w:pStyle w:val="Heading5"/>
      </w:pPr>
      <w:r>
        <w:rPr>
          <w:lang w:val="en_US" w:bidi="en_US"/>
        </w:rPr>
        <w:t>8:6a</w:t>
      </w:r>
    </w:p>
    <w:p>
      <w:pPr/>
      <w:r>
        <w:rPr>
          <w:lang w:val="en_US" w:bidi="en_US"/>
        </w:rPr>
      </w:r>
      <w:r>
        <w:rPr>
          <w:b/>
          <w:lang w:val="en_US" w:bidi="en_US"/>
        </w:rPr>
        <w:t>Some fell on rocky ground,</w:t>
      </w:r>
    </w:p>
    <w:p>
      <w:pPr>
        <w:pStyle w:val="ListBullet"/>
        <w:spacing w:line="240" w:lineRule="auto"/>
        <w:ind w:left="720"/>
      </w:pPr>
      <w:r>
        <w:rPr>
          <w:lang w:val="en_US" w:bidi="en_US"/>
        </w:rPr>
      </w:r>
      <w:r>
        <w:rPr>
          <w:lang w:val="en_US" w:bidi="en_US"/>
        </w:rPr>
        <w:t xml:space="preserve">Some </w:t>
      </w:r>
      <w:r>
        <w:rPr>
          <w:lang w:val="en_US" w:bidi="en_US"/>
        </w:rPr>
        <w:t>seeds</w:t>
      </w:r>
      <w:r>
        <w:rPr>
          <w:lang w:val="en_US" w:bidi="en_US"/>
        </w:rPr>
        <w:t xml:space="preserve"> fell on </w:t>
      </w:r>
      <w:r>
        <w:rPr>
          <w:lang w:val="en_US" w:bidi="en_US"/>
        </w:rPr>
        <w:t>ground that had</w:t>
      </w:r>
      <w:r>
        <w:rPr>
          <w:lang w:val="en_US" w:bidi="en_US"/>
        </w:rPr>
        <w:t xml:space="preserve"> rock </w:t>
      </w:r>
      <w:r>
        <w:rPr>
          <w:lang w:val="en_US" w:bidi="en_US"/>
        </w:rPr>
        <w:t>underneath</w:t>
      </w:r>
      <w:r>
        <w:rPr>
          <w:lang w:val="en_US" w:bidi="en_US"/>
        </w:rPr>
        <w:t>.</w:t>
      </w:r>
    </w:p>
    <w:p>
      <w:pPr>
        <w:pStyle w:val="ListBullet"/>
        <w:spacing w:line="240" w:lineRule="auto"/>
        <w:ind w:left="720"/>
      </w:pPr>
      <w:r>
        <w:rPr>
          <w:lang w:val="en_US" w:bidi="en_US"/>
        </w:rPr>
      </w:r>
      <w:r>
        <w:rPr>
          <w:lang w:val="en_US" w:bidi="en_US"/>
        </w:rPr>
        <w:t xml:space="preserve">Other </w:t>
      </w:r>
      <w:r>
        <w:rPr>
          <w:lang w:val="en_US" w:bidi="en_US"/>
        </w:rPr>
        <w:t>seeds</w:t>
      </w:r>
      <w:r>
        <w:rPr>
          <w:lang w:val="en_US" w:bidi="en_US"/>
        </w:rPr>
        <w:t xml:space="preserve"> fell on </w:t>
      </w:r>
      <w:r>
        <w:rPr>
          <w:lang w:val="en_US" w:bidi="en_US"/>
        </w:rPr>
        <w:t>ground that had only a thin layer of soil over</w:t>
      </w:r>
      <w:r>
        <w:rPr>
          <w:lang w:val="en_US" w:bidi="en_US"/>
        </w:rPr>
        <w:t xml:space="preserve"> rock</w:t>
      </w:r>
    </w:p>
    <w:p>
      <w:pPr/>
      <w:r>
        <w:rPr>
          <w:lang w:val="en_US" w:bidi="en_US"/>
        </w:rPr>
      </w:r>
      <w:r>
        <w:rPr>
          <w:b/>
          <w:lang w:val="en_US" w:bidi="en_US"/>
        </w:rPr>
        <w:t>Some fell on rocky ground:</w:t>
      </w:r>
      <w:r>
        <w:rPr>
          <w:lang w:val="en_US" w:bidi="en_US"/>
        </w:rPr>
        <w:t xml:space="preserve"> Some of the seeds fell on ground that had a layer of rock underneath it. This layer of rock was probably not loose rocks mixed with dirt, but solid rock with shallow soil on top. Some ways to translate this are:</w:t>
      </w:r>
    </w:p>
    <w:p>
      <w:pPr/>
      <w:r>
        <w:rPr>
          <w:lang w:val="en_US" w:bidi="en_US"/>
        </w:rPr>
      </w:r>
      <w:r>
        <w:rPr>
          <w:lang w:val="en_US" w:bidi="en_US"/>
        </w:rPr>
        <w:t>Other seed fell on shallow soil with underlying rock. (NLT96)</w:t>
      </w:r>
    </w:p>
    <w:p>
      <w:pPr/>
      <w:r>
        <w:rPr>
          <w:lang w:val="en_US" w:bidi="en_US"/>
        </w:rPr>
      </w:r>
      <w:r>
        <w:rPr>
          <w:lang w:val="en_US" w:bidi="en_US"/>
        </w:rPr>
        <w:t>Some seeds fell on ground that had only a thin layer of soil over rock.</w:t>
      </w:r>
    </w:p>
    <w:p>
      <w:pPr/>
      <w:r>
        <w:rPr>
          <w:lang w:val="en_US" w:bidi="en_US"/>
        </w:rPr>
      </w:r>
      <w:r>
        <w:rPr>
          <w:b/>
          <w:lang w:val="en_US" w:bidi="en_US"/>
        </w:rPr>
        <w:t>Some:</w:t>
      </w:r>
      <w:r>
        <w:rPr>
          <w:lang w:val="en_US" w:bidi="en_US"/>
        </w:rPr>
        <w:t xml:space="preserve"> The Greek word that the BSB translates as </w:t>
      </w:r>
      <w:r>
        <w:rPr>
          <w:i/>
          <w:lang w:val="en_US" w:bidi="en_US"/>
        </w:rPr>
        <w:t>Some</w:t>
      </w:r>
      <w:r>
        <w:rPr>
          <w:lang w:val="en_US" w:bidi="en_US"/>
        </w:rPr>
        <w:t xml:space="preserve"> is literally “others.” It refers to another group of seeds.</w:t>
      </w:r>
    </w:p>
    <w:p>
      <w:pPr>
        <w:pStyle w:val="Heading5"/>
      </w:pPr>
      <w:r>
        <w:rPr>
          <w:lang w:val="en_US" w:bidi="en_US"/>
        </w:rPr>
        <w:t>8:6b</w:t>
      </w:r>
    </w:p>
    <w:p>
      <w:pPr/>
      <w:r>
        <w:rPr>
          <w:lang w:val="en_US" w:bidi="en_US"/>
        </w:rPr>
      </w:r>
      <w:r>
        <w:rPr>
          <w:b/>
          <w:lang w:val="en_US" w:bidi="en_US"/>
        </w:rPr>
        <w:t>and when it came up, the seedlings withered because they had no moisture.</w:t>
      </w:r>
    </w:p>
    <w:p>
      <w:pPr>
        <w:pStyle w:val="ListBullet"/>
        <w:spacing w:line="240" w:lineRule="auto"/>
        <w:ind w:left="720"/>
      </w:pPr>
      <w:r>
        <w:rPr>
          <w:lang w:val="en_US" w:bidi="en_US"/>
        </w:rPr>
      </w:r>
      <w:r>
        <w:rPr>
          <w:lang w:val="en_US" w:bidi="en_US"/>
        </w:rPr>
        <w:t>When these seeds started growing/sprouting, the plants became dry and died, because they did not have enough water.</w:t>
      </w:r>
    </w:p>
    <w:p>
      <w:pPr>
        <w:pStyle w:val="ListBullet"/>
        <w:spacing w:line="240" w:lineRule="auto"/>
        <w:ind w:left="720"/>
      </w:pPr>
      <w:r>
        <w:rPr>
          <w:lang w:val="en_US" w:bidi="en_US"/>
        </w:rPr>
      </w:r>
      <w:r>
        <w:rPr>
          <w:lang w:val="en_US" w:bidi="en_US"/>
        </w:rPr>
        <w:t xml:space="preserve">where the seedlings </w:t>
      </w:r>
      <w:r>
        <w:rPr>
          <w:lang w:val="en_US" w:bidi="en_US"/>
        </w:rPr>
        <w:t>soon</w:t>
      </w:r>
      <w:r>
        <w:rPr>
          <w:lang w:val="en_US" w:bidi="en_US"/>
        </w:rPr>
        <w:t xml:space="preserve"> died for lack of water.</w:t>
      </w:r>
    </w:p>
    <w:p>
      <w:pPr>
        <w:pStyle w:val="ListBullet"/>
        <w:spacing w:line="240" w:lineRule="auto"/>
        <w:ind w:left="720"/>
      </w:pPr>
      <w:r>
        <w:rPr>
          <w:lang w:val="en_US" w:bidi="en_US"/>
        </w:rPr>
      </w:r>
      <w:r>
        <w:rPr>
          <w:lang w:val="en_US" w:bidi="en_US"/>
        </w:rPr>
        <w:t>which could not provide/hold</w:t>
      </w:r>
      <w:r>
        <w:rPr>
          <w:lang w:val="en_US" w:bidi="en_US"/>
        </w:rPr>
        <w:t xml:space="preserve"> enough water for the seedlings, and so they died.</w:t>
      </w:r>
    </w:p>
    <w:p>
      <w:pPr/>
      <w:r>
        <w:rPr>
          <w:lang w:val="en_US" w:bidi="en_US"/>
        </w:rPr>
      </w:r>
      <w:r>
        <w:rPr>
          <w:b/>
          <w:lang w:val="en_US" w:bidi="en_US"/>
        </w:rPr>
        <w:t>when it came up, the seedlings withered:</w:t>
      </w:r>
      <w:r>
        <w:rPr>
          <w:lang w:val="en_US" w:bidi="en_US"/>
        </w:rPr>
        <w:t xml:space="preserve"> The Greek word that the BSB translates as </w:t>
      </w:r>
      <w:r>
        <w:rPr>
          <w:i/>
          <w:lang w:val="en_US" w:bidi="en_US"/>
        </w:rPr>
        <w:t>when it came up</w:t>
      </w:r>
      <w:r>
        <w:rPr>
          <w:lang w:val="en_US" w:bidi="en_US"/>
        </w:rPr>
        <w:t xml:space="preserve"> means “it grew.” It indicates that the seeds sprouted and started growing into young plants. The word </w:t>
      </w:r>
      <w:r>
        <w:rPr>
          <w:i/>
          <w:lang w:val="en_US" w:bidi="en_US"/>
        </w:rPr>
        <w:t>withered</w:t>
      </w:r>
      <w:r>
        <w:rPr>
          <w:lang w:val="en_US" w:bidi="en_US"/>
        </w:rPr>
        <w:t xml:space="preserve"> indicates that the young plants “dried up” or “died.” Other ways to translate these actions are:</w:t>
      </w:r>
    </w:p>
    <w:p>
      <w:pPr/>
      <w:r>
        <w:rPr>
          <w:lang w:val="en_US" w:bidi="en_US"/>
        </w:rPr>
      </w:r>
      <w:r>
        <w:rPr>
          <w:lang w:val="en_US" w:bidi="en_US"/>
        </w:rPr>
        <w:t>seeds…started growing. But the plants…soon dried up (CEV)</w:t>
      </w:r>
    </w:p>
    <w:p>
      <w:pPr/>
      <w:r>
        <w:rPr>
          <w:lang w:val="en_US" w:bidi="en_US"/>
        </w:rPr>
      </w:r>
      <w:r>
        <w:rPr>
          <w:lang w:val="en_US" w:bidi="en_US"/>
        </w:rPr>
        <w:t>When the plants came up, they withered (GW)</w:t>
      </w:r>
    </w:p>
    <w:p>
      <w:pPr/>
      <w:r>
        <w:rPr>
          <w:lang w:val="en_US" w:bidi="en_US"/>
        </w:rPr>
      </w:r>
      <w:r>
        <w:rPr>
          <w:lang w:val="en_US" w:bidi="en_US"/>
        </w:rPr>
        <w:t>and when the plants sprouted, they dried up (GNT)</w:t>
      </w:r>
    </w:p>
    <w:p>
      <w:pPr/>
      <w:r>
        <w:rPr>
          <w:lang w:val="en_US" w:bidi="en_US"/>
        </w:rPr>
      </w:r>
      <w:r>
        <w:rPr>
          <w:lang w:val="en_US" w:bidi="en_US"/>
        </w:rPr>
        <w:t>Be sure to speak of seeds becoming plants and beginning to grow in a natural way in your language.</w:t>
      </w:r>
    </w:p>
    <w:p>
      <w:pPr/>
      <w:r>
        <w:rPr>
          <w:lang w:val="en_US" w:bidi="en_US"/>
        </w:rPr>
      </w:r>
      <w:r>
        <w:rPr>
          <w:b/>
          <w:lang w:val="en_US" w:bidi="en_US"/>
        </w:rPr>
        <w:t>because they had no moisture:</w:t>
      </w:r>
      <w:r>
        <w:rPr>
          <w:lang w:val="en_US" w:bidi="en_US"/>
        </w:rPr>
        <w:t xml:space="preserve"> The reason why the plants dried up was that they did not have enough water. The plants did not have enough water because the soil</w:t>
      </w:r>
      <w:r>
        <w:rPr>
          <w:lang w:val="en_US" w:bidi="en_US"/>
        </w:rPr>
        <w:t>The thin soil had the double consequence that (a) it would not hold much water and would dry quickly in the sun and (b) it would not be possible for the plants to put down deep roots in this soil type, thus hindering the ability of the plants to receive adequate water. This second consequence is described in Matthew and Mark. However, because the roots are not mentioned in Luke and because the focus is ultimately on the soil, if it is necessary to be more explicit about how the seedlings in the soil type die, we recommend a model that follows the first consequence.</w:t>
      </w:r>
      <w:r>
        <w:rPr>
          <w:lang w:val="en_US" w:bidi="en_US"/>
        </w:rPr>
        <w:t xml:space="preserve"> was shallow. It was not because there was not enough rain. In some languages it may be helpful to make this clear. For example:</w:t>
      </w:r>
    </w:p>
    <w:p>
      <w:pPr/>
      <w:r>
        <w:rPr>
          <w:lang w:val="en_US" w:bidi="en_US"/>
        </w:rPr>
      </w:r>
      <w:r>
        <w:rPr>
          <w:lang w:val="en_US" w:bidi="en_US"/>
        </w:rPr>
        <w:t>the/this soil could not provide/hold enough water</w:t>
      </w:r>
      <w:r>
        <w:rPr>
          <w:lang w:val="en_US" w:bidi="en_US"/>
        </w:rPr>
      </w:r>
      <w:r>
        <w:rPr>
          <w:lang w:val="en_US" w:bidi="en_US"/>
        </w:rPr>
      </w:r>
    </w:p>
    <w:p>
      <w:pPr/>
      <w:r>
        <w:rPr>
          <w:lang w:val="en_US" w:bidi="en_US"/>
        </w:rPr>
      </w:r>
    </w:p>
    <w:p>
      <w:pPr>
        <w:pStyle w:val="Heading2"/>
      </w:pPr>
      <w:r>
        <w:rPr>
          <w:lang w:val="en_US" w:bidi="en_US"/>
        </w:rPr>
        <w:t>Luke 8:7</w:t>
      </w:r>
      <w:r>
        <w:rPr>
          <w:lang w:val="en_US" w:bidi="en_US"/>
        </w:rPr>
      </w:r>
    </w:p>
    <w:p>
      <w:pPr>
        <w:pStyle w:val="Heading4"/>
      </w:pPr>
      <w:r>
        <w:rPr>
          <w:lang w:val="en_US" w:bidi="en_US"/>
        </w:rPr>
        <w:t>Section 8:4–8: Jesus told a parable about seeds falling on different types of soil</w:t>
      </w:r>
    </w:p>
    <w:p>
      <w:pPr/>
      <w:r>
        <w:rPr>
          <w:lang w:val="en_US" w:bidi="en_US"/>
        </w:rPr>
      </w:r>
      <w:r>
        <w:rPr>
          <w:lang w:val="en_US" w:bidi="en_US"/>
        </w:rPr>
        <w:t>In this section Jesus told a parable about different types of soil and what happens when seed falls on them. The parable illustrated how different people receive the word of God. In the parable, a man scattered seeds that fell on different types of soil (8:5–8). After Jesus told this parable, he explained why he used parables (8:9–10). He explained the meaning of the parable in 8:11–15. The same parable and discussion are in Matthew 13:3–23 and Mark 4:3–20.</w:t>
      </w:r>
    </w:p>
    <w:p>
      <w:pPr/>
      <w:r>
        <w:rPr>
          <w:lang w:val="en_US" w:bidi="en_US"/>
        </w:rPr>
      </w:r>
      <w:r>
        <w:rPr>
          <w:lang w:val="en_US" w:bidi="en_US"/>
        </w:rPr>
        <w:t>The events in this section probably happened during the period of time that was described in 8:1–3. At that time Jesus was traveling from town to town to preach to people about the kingdom of God.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 Story About a Farmer (GW)</w:t>
      </w:r>
    </w:p>
    <w:p>
      <w:pPr/>
      <w:r>
        <w:rPr>
          <w:lang w:val="en_US" w:bidi="en_US"/>
        </w:rPr>
      </w:r>
      <w:r>
        <w:rPr>
          <w:lang w:val="en_US" w:bidi="en_US"/>
        </w:rPr>
        <w:t>Parable of the Farmer Scattering Seed (NLT)</w:t>
      </w:r>
    </w:p>
    <w:p>
      <w:pPr/>
      <w:r>
        <w:rPr>
          <w:lang w:val="en_US" w:bidi="en_US"/>
        </w:rPr>
      </w:r>
      <w:r>
        <w:rPr>
          <w:lang w:val="en_US" w:bidi="en_US"/>
        </w:rPr>
        <w:t>Jesus illustrated different ways that people hear the word of God</w:t>
      </w:r>
    </w:p>
    <w:p>
      <w:pPr>
        <w:pStyle w:val="Heading5"/>
      </w:pPr>
      <w:r>
        <w:rPr>
          <w:lang w:val="en_US" w:bidi="en_US"/>
        </w:rPr>
        <w:t>8:7a</w:t>
      </w:r>
    </w:p>
    <w:p>
      <w:pPr/>
      <w:r>
        <w:rPr>
          <w:lang w:val="en_US" w:bidi="en_US"/>
        </w:rPr>
      </w:r>
      <w:r>
        <w:rPr>
          <w:b/>
          <w:lang w:val="en_US" w:bidi="en_US"/>
        </w:rPr>
        <w:t>Other seed fell among thorns,</w:t>
      </w:r>
    </w:p>
    <w:p>
      <w:pPr>
        <w:pStyle w:val="ListBullet"/>
        <w:spacing w:line="240" w:lineRule="auto"/>
        <w:ind w:left="720"/>
      </w:pPr>
      <w:r>
        <w:rPr>
          <w:lang w:val="en_US" w:bidi="en_US"/>
        </w:rPr>
      </w:r>
      <w:r>
        <w:rPr>
          <w:lang w:val="en_US" w:bidi="en_US"/>
        </w:rPr>
        <w:t xml:space="preserve">Some seeds fell on </w:t>
      </w:r>
      <w:r>
        <w:rPr>
          <w:lang w:val="en_US" w:bidi="en_US"/>
        </w:rPr>
        <w:t>ground that had</w:t>
      </w:r>
      <w:r>
        <w:rPr>
          <w:lang w:val="en_US" w:bidi="en_US"/>
        </w:rPr>
        <w:t xml:space="preserve"> thorn </w:t>
      </w:r>
      <w:r>
        <w:rPr>
          <w:lang w:val="en_US" w:bidi="en_US"/>
        </w:rPr>
        <w:t>plants/bushes</w:t>
      </w:r>
      <w:r>
        <w:rPr>
          <w:lang w:val="en_US" w:bidi="en_US"/>
        </w:rPr>
        <w:t>.</w:t>
      </w:r>
    </w:p>
    <w:p>
      <w:pPr>
        <w:pStyle w:val="ListBullet"/>
        <w:spacing w:line="240" w:lineRule="auto"/>
        <w:ind w:left="720"/>
      </w:pPr>
      <w:r>
        <w:rPr>
          <w:lang w:val="en_US" w:bidi="en_US"/>
        </w:rPr>
      </w:r>
      <w:r>
        <w:rPr>
          <w:lang w:val="en_US" w:bidi="en_US"/>
        </w:rPr>
        <w:t xml:space="preserve">Other seeds fell where thorns/weeds </w:t>
      </w:r>
      <w:r>
        <w:rPr>
          <w:lang w:val="en_US" w:bidi="en_US"/>
        </w:rPr>
        <w:t>always</w:t>
      </w:r>
      <w:r>
        <w:rPr>
          <w:lang w:val="en_US" w:bidi="en_US"/>
        </w:rPr>
        <w:t xml:space="preserve"> grow.</w:t>
      </w:r>
    </w:p>
    <w:p>
      <w:pPr/>
      <w:r>
        <w:rPr>
          <w:lang w:val="en_US" w:bidi="en_US"/>
        </w:rPr>
      </w:r>
      <w:r>
        <w:rPr>
          <w:b/>
          <w:lang w:val="en_US" w:bidi="en_US"/>
        </w:rPr>
        <w:t>Other seed fell among thorns:</w:t>
      </w:r>
      <w:r>
        <w:rPr>
          <w:lang w:val="en_US" w:bidi="en_US"/>
        </w:rPr>
        <w:t xml:space="preserve"> The phrase </w:t>
      </w:r>
      <w:r>
        <w:rPr>
          <w:i/>
          <w:lang w:val="en_US" w:bidi="en_US"/>
        </w:rPr>
        <w:t>among thorns</w:t>
      </w:r>
      <w:r>
        <w:rPr>
          <w:lang w:val="en_US" w:bidi="en_US"/>
        </w:rPr>
        <w:t xml:space="preserve"> probably refers to soil where roots or seeds of thorny plants were present.</w:t>
      </w:r>
      <w:r>
        <w:rPr>
          <w:lang w:val="en_US" w:bidi="en_US"/>
        </w:rPr>
        <w:t>An alternative view is that these seeds fell near the edge of the field where thorny plants were still growing because the farmer had not plowed there. See, for example, Harrington’s commentary on Matthew (</w:t>
      </w:r>
      <w:r>
        <w:rPr>
          <w:i/>
          <w:lang w:val="en_US" w:bidi="en_US"/>
        </w:rPr>
        <w:t>Sacra Pagina</w:t>
      </w:r>
      <w:r>
        <w:rPr>
          <w:lang w:val="en_US" w:bidi="en_US"/>
        </w:rPr>
        <w:t>, p. 195) and Wight (</w:t>
      </w:r>
      <w:r>
        <w:rPr>
          <w:i/>
          <w:lang w:val="en_US" w:bidi="en_US"/>
        </w:rPr>
        <w:t>Manner and Customs of Bible Lands</w:t>
      </w:r>
      <w:r>
        <w:rPr>
          <w:lang w:val="en_US" w:bidi="en_US"/>
        </w:rPr>
        <w:t>, 1953, p. 175).</w:t>
      </w:r>
      <w:r>
        <w:rPr>
          <w:lang w:val="en_US" w:bidi="en_US"/>
        </w:rPr>
        <w:t xml:space="preserve"> So when the grain began to grow up, the thorn plants grew up with it. Here are some ways to translate the phrase </w:t>
      </w:r>
      <w:r>
        <w:rPr>
          <w:i/>
          <w:lang w:val="en_US" w:bidi="en_US"/>
        </w:rPr>
        <w:t>among thorns</w:t>
      </w:r>
      <w:r>
        <w:rPr>
          <w:lang w:val="en_US" w:bidi="en_US"/>
        </w:rPr>
        <w:t>:</w:t>
      </w:r>
    </w:p>
    <w:p>
      <w:pPr>
        <w:pStyle w:val="ListBullet"/>
        <w:spacing w:line="240" w:lineRule="auto"/>
        <w:ind w:left="720"/>
      </w:pPr>
      <w:r>
        <w:rPr>
          <w:lang w:val="en_US" w:bidi="en_US"/>
        </w:rPr>
      </w:r>
      <w:r>
        <w:rPr>
          <w:lang w:val="en_US" w:bidi="en_US"/>
        </w:rPr>
        <w:t>Translate this in a general way:</w:t>
      </w:r>
      <w:r>
        <w:rPr>
          <w:lang w:val="en_US" w:bidi="en_US"/>
        </w:rPr>
        <w:t>other seeds fell among thorns</w:t>
      </w:r>
    </w:p>
    <w:p>
      <w:pPr>
        <w:pStyle w:val="ListBullet"/>
        <w:spacing w:line="240" w:lineRule="auto"/>
        <w:ind w:left="720"/>
      </w:pPr>
      <w:r>
        <w:rPr>
          <w:lang w:val="en_US" w:bidi="en_US"/>
        </w:rPr>
      </w:r>
      <w:r>
        <w:rPr>
          <w:lang w:val="en_US" w:bidi="en_US"/>
        </w:rPr>
        <w:t>Translate more specifically:</w:t>
      </w:r>
      <w:r>
        <w:rPr>
          <w:lang w:val="en_US" w:bidi="en_US"/>
        </w:rPr>
        <w:t xml:space="preserve">Some other seeds fell </w:t>
      </w:r>
      <w:r>
        <w:rPr>
          <w:u w:val="single"/>
          <w:lang w:val="en_US" w:bidi="en_US"/>
        </w:rPr>
        <w:t>where thornbushes grew up</w:t>
      </w:r>
      <w:r>
        <w:rPr>
          <w:lang w:val="en_US" w:bidi="en_US"/>
        </w:rPr>
        <w:t xml:space="preserve"> (CEV)</w:t>
      </w:r>
      <w:r>
        <w:rPr>
          <w:lang w:val="en_US" w:bidi="en_US"/>
        </w:rPr>
        <w:t xml:space="preserve">Other seeds fell </w:t>
      </w:r>
      <w:r>
        <w:rPr>
          <w:u w:val="single"/>
          <w:lang w:val="en_US" w:bidi="en_US"/>
        </w:rPr>
        <w:t>where thorns habitually grow</w:t>
      </w:r>
      <w:r>
        <w:rPr>
          <w:lang w:val="en_US" w:bidi="en_US"/>
        </w:rPr>
        <w:t xml:space="preserve">Other seeds fell </w:t>
      </w:r>
      <w:r>
        <w:rPr>
          <w:u w:val="single"/>
          <w:lang w:val="en_US" w:bidi="en_US"/>
        </w:rPr>
        <w:t>on soil with thorn seeds/roots</w:t>
      </w:r>
    </w:p>
    <w:p>
      <w:pPr/>
      <w:r>
        <w:rPr>
          <w:lang w:val="en_US" w:bidi="en_US"/>
        </w:rPr>
      </w:r>
      <w:r>
        <w:rPr>
          <w:b/>
          <w:lang w:val="en_US" w:bidi="en_US"/>
        </w:rPr>
        <w:t>thorns:</w:t>
      </w:r>
      <w:r>
        <w:rPr>
          <w:lang w:val="en_US" w:bidi="en_US"/>
        </w:rPr>
        <w:t xml:space="preserve"> The Greek word that the BSB translates as </w:t>
      </w:r>
      <w:r>
        <w:rPr>
          <w:i/>
          <w:lang w:val="en_US" w:bidi="en_US"/>
        </w:rPr>
        <w:t>thorns</w:t>
      </w:r>
      <w:r>
        <w:rPr>
          <w:lang w:val="en_US" w:bidi="en_US"/>
        </w:rPr>
        <w:t xml:space="preserve"> refers to any kind of thorny plant. Some ways to translate </w:t>
      </w:r>
      <w:r>
        <w:rPr>
          <w:i/>
          <w:lang w:val="en_US" w:bidi="en_US"/>
        </w:rPr>
        <w:t>thorns</w:t>
      </w:r>
      <w:r>
        <w:rPr>
          <w:lang w:val="en_US" w:bidi="en_US"/>
        </w:rPr>
        <w:t xml:space="preserve"> here are:</w:t>
      </w:r>
    </w:p>
    <w:p>
      <w:pPr>
        <w:pStyle w:val="ListBullet"/>
        <w:spacing w:line="240" w:lineRule="auto"/>
        <w:ind w:left="720"/>
      </w:pPr>
      <w:r>
        <w:rPr>
          <w:lang w:val="en_US" w:bidi="en_US"/>
        </w:rPr>
      </w:r>
      <w:r>
        <w:rPr>
          <w:lang w:val="en_US" w:bidi="en_US"/>
        </w:rPr>
        <w:t>Use a general term in your language for thorny plants or for undesirable plants that compete with grain. For example:</w:t>
      </w:r>
      <w:r>
        <w:rPr>
          <w:lang w:val="en_US" w:bidi="en_US"/>
        </w:rPr>
        <w:t>thorny plants/bushes</w:t>
      </w:r>
      <w:r>
        <w:rPr>
          <w:lang w:val="en_US" w:bidi="en_US"/>
        </w:rPr>
        <w:t>weeds</w:t>
      </w:r>
    </w:p>
    <w:p>
      <w:pPr>
        <w:pStyle w:val="ListBullet"/>
        <w:spacing w:line="240" w:lineRule="auto"/>
        <w:ind w:left="720"/>
      </w:pPr>
      <w:r>
        <w:rPr>
          <w:lang w:val="en_US" w:bidi="en_US"/>
        </w:rPr>
      </w:r>
      <w:r>
        <w:rPr>
          <w:lang w:val="en_US" w:bidi="en_US"/>
        </w:rPr>
        <w:t>Use a specific word that describes a hardy, fast-growing plant from your area that is annoying to farmers. If this plant has thorns, that is good but not essential.</w:t>
      </w:r>
    </w:p>
    <w:p>
      <w:pPr>
        <w:pStyle w:val="Heading5"/>
      </w:pPr>
      <w:r>
        <w:rPr>
          <w:lang w:val="en_US" w:bidi="en_US"/>
        </w:rPr>
        <w:t>8:7b</w:t>
      </w:r>
    </w:p>
    <w:p>
      <w:pPr/>
      <w:r>
        <w:rPr>
          <w:lang w:val="en_US" w:bidi="en_US"/>
        </w:rPr>
      </w:r>
      <w:r>
        <w:rPr>
          <w:b/>
          <w:lang w:val="en_US" w:bidi="en_US"/>
        </w:rPr>
        <w:t>which grew up with it and choked the seedlings.</w:t>
      </w:r>
    </w:p>
    <w:p>
      <w:pPr>
        <w:pStyle w:val="ListBullet"/>
        <w:spacing w:line="240" w:lineRule="auto"/>
        <w:ind w:left="720"/>
      </w:pPr>
      <w:r>
        <w:rPr>
          <w:lang w:val="en_US" w:bidi="en_US"/>
        </w:rPr>
      </w:r>
      <w:r>
        <w:rPr>
          <w:lang w:val="en_US" w:bidi="en_US"/>
        </w:rPr>
        <w:t>These thorn plants</w:t>
      </w:r>
      <w:r>
        <w:rPr>
          <w:lang w:val="en_US" w:bidi="en_US"/>
        </w:rPr>
        <w:t xml:space="preserve"> grew up with the </w:t>
      </w:r>
      <w:r>
        <w:rPr>
          <w:lang w:val="en_US" w:bidi="en_US"/>
        </w:rPr>
        <w:t>grain</w:t>
      </w:r>
      <w:r>
        <w:rPr>
          <w:lang w:val="en_US" w:bidi="en_US"/>
        </w:rPr>
        <w:t xml:space="preserve"> plants and crowded them.</w:t>
      </w:r>
    </w:p>
    <w:p>
      <w:pPr>
        <w:pStyle w:val="ListBullet"/>
        <w:spacing w:line="240" w:lineRule="auto"/>
        <w:ind w:left="720"/>
      </w:pPr>
      <w:r>
        <w:rPr>
          <w:lang w:val="en_US" w:bidi="en_US"/>
        </w:rPr>
      </w:r>
      <w:r>
        <w:rPr>
          <w:lang w:val="en_US" w:bidi="en_US"/>
        </w:rPr>
        <w:t>The thorn plants</w:t>
      </w:r>
      <w:r>
        <w:rPr>
          <w:lang w:val="en_US" w:bidi="en_US"/>
        </w:rPr>
        <w:t xml:space="preserve"> grew up </w:t>
      </w:r>
      <w:r>
        <w:rPr>
          <w:lang w:val="en_US" w:bidi="en_US"/>
        </w:rPr>
        <w:t>at the same time</w:t>
      </w:r>
      <w:r>
        <w:rPr>
          <w:lang w:val="en_US" w:bidi="en_US"/>
        </w:rPr>
        <w:t xml:space="preserve"> as the good plants and prevented the good plants from producing </w:t>
      </w:r>
      <w:r>
        <w:rPr>
          <w:lang w:val="en_US" w:bidi="en_US"/>
        </w:rPr>
        <w:t>any grain</w:t>
      </w:r>
      <w:r>
        <w:rPr>
          <w:lang w:val="en_US" w:bidi="en_US"/>
        </w:rPr>
        <w:t>.</w:t>
      </w:r>
    </w:p>
    <w:p>
      <w:pPr/>
      <w:r>
        <w:rPr>
          <w:lang w:val="en_US" w:bidi="en_US"/>
        </w:rPr>
      </w:r>
      <w:r>
        <w:rPr>
          <w:b/>
          <w:lang w:val="en_US" w:bidi="en_US"/>
        </w:rPr>
        <w:t>which grew up with it:</w:t>
      </w:r>
      <w:r>
        <w:rPr>
          <w:lang w:val="en_US" w:bidi="en_US"/>
        </w:rPr>
        <w:t xml:space="preserve"> The thorn plants grew up along with the young grain plants. The BSB has supplied </w:t>
      </w:r>
      <w:r>
        <w:rPr>
          <w:i/>
          <w:lang w:val="en_US" w:bidi="en_US"/>
        </w:rPr>
        <w:t>it</w:t>
      </w:r>
      <w:r>
        <w:rPr>
          <w:lang w:val="en_US" w:bidi="en_US"/>
        </w:rPr>
        <w:t>, but in some languages it may be more natural to supply a form such as “them” or “the grain plants.”</w:t>
      </w:r>
    </w:p>
    <w:p>
      <w:pPr/>
      <w:r>
        <w:rPr>
          <w:lang w:val="en_US" w:bidi="en_US"/>
        </w:rPr>
      </w:r>
      <w:r>
        <w:rPr>
          <w:b/>
          <w:lang w:val="en_US" w:bidi="en_US"/>
        </w:rPr>
        <w:t>choked the seedlings:</w:t>
      </w:r>
      <w:r>
        <w:rPr>
          <w:lang w:val="en_US" w:bidi="en_US"/>
        </w:rPr>
        <w:t xml:space="preserve"> The Greek phrase that the BSB translates as </w:t>
      </w:r>
      <w:r>
        <w:rPr>
          <w:i/>
          <w:lang w:val="en_US" w:bidi="en_US"/>
        </w:rPr>
        <w:t>choked the seedlings</w:t>
      </w:r>
      <w:r>
        <w:rPr>
          <w:lang w:val="en_US" w:bidi="en_US"/>
        </w:rPr>
        <w:t xml:space="preserve"> refers to the way in which the thorns crowded out the grain plants. This caused the grain not to have enough room, soil, water, or sunlight to grow well. Some other ways to translate this are:</w:t>
      </w:r>
    </w:p>
    <w:p>
      <w:pPr/>
      <w:r>
        <w:rPr>
          <w:lang w:val="en_US" w:bidi="en_US"/>
        </w:rPr>
      </w:r>
      <w:r>
        <w:rPr>
          <w:lang w:val="en_US" w:bidi="en_US"/>
        </w:rPr>
        <w:t xml:space="preserve">crowded the </w:t>
      </w:r>
      <w:r>
        <w:rPr>
          <w:lang w:val="en_US" w:bidi="en_US"/>
        </w:rPr>
        <w:t>grain/good</w:t>
      </w:r>
      <w:r>
        <w:rPr>
          <w:lang w:val="en_US" w:bidi="en_US"/>
        </w:rPr>
        <w:t xml:space="preserve"> plants</w:t>
      </w:r>
    </w:p>
    <w:p>
      <w:pPr/>
      <w:r>
        <w:rPr>
          <w:lang w:val="en_US" w:bidi="en_US"/>
        </w:rPr>
      </w:r>
      <w:r>
        <w:rPr>
          <w:lang w:val="en_US" w:bidi="en_US"/>
        </w:rPr>
        <w:t>kept the grain from growing to maturity</w:t>
      </w:r>
    </w:p>
    <w:p>
      <w:pPr/>
      <w:r>
        <w:rPr>
          <w:lang w:val="en_US" w:bidi="en_US"/>
        </w:rPr>
      </w:r>
      <w:r>
        <w:rPr>
          <w:lang w:val="en_US" w:bidi="en_US"/>
        </w:rPr>
        <w:t xml:space="preserve">The thorns may have </w:t>
      </w:r>
      <w:r>
        <w:rPr>
          <w:i/>
          <w:lang w:val="en_US" w:bidi="en_US"/>
        </w:rPr>
        <w:t>choked</w:t>
      </w:r>
      <w:r>
        <w:rPr>
          <w:lang w:val="en_US" w:bidi="en_US"/>
        </w:rPr>
        <w:t xml:space="preserve"> the grain plants so severely that they died or only so that they did not yield any grain. The point in the parable is that the plants did not yield any grain for the farmer to harvest. Jesus’ comment in 8:14c (“their fruit does not mature”) implies that they did not yield any grain.</w:t>
      </w:r>
    </w:p>
    <w:p>
      <w:pPr/>
      <w:r>
        <w:rPr>
          <w:lang w:val="en_US" w:bidi="en_US"/>
        </w:rPr>
      </w:r>
      <w:r>
        <w:rPr>
          <w:lang w:val="en_US" w:bidi="en_US"/>
        </w:rPr>
        <w:t xml:space="preserve">Note that the BSB has supplied </w:t>
      </w:r>
      <w:r>
        <w:rPr>
          <w:i/>
          <w:lang w:val="en_US" w:bidi="en_US"/>
        </w:rPr>
        <w:t>the seedlings</w:t>
      </w:r>
      <w:r>
        <w:rPr>
          <w:lang w:val="en_US" w:bidi="en_US"/>
        </w:rPr>
        <w:t xml:space="preserve"> where the Greek text has the pronoun “it.” This may be helpful in other languages also.</w:t>
      </w:r>
      <w:r>
        <w:rPr>
          <w:lang w:val="en_US" w:bidi="en_US"/>
        </w:rPr>
      </w:r>
      <w:r>
        <w:rPr>
          <w:lang w:val="en_US" w:bidi="en_US"/>
        </w:rPr>
      </w:r>
    </w:p>
    <w:p>
      <w:pPr/>
      <w:r>
        <w:rPr>
          <w:lang w:val="en_US" w:bidi="en_US"/>
        </w:rPr>
      </w:r>
    </w:p>
    <w:p>
      <w:pPr>
        <w:pStyle w:val="Heading2"/>
      </w:pPr>
      <w:r>
        <w:rPr>
          <w:lang w:val="en_US" w:bidi="en_US"/>
        </w:rPr>
        <w:t>Luke 8:8</w:t>
      </w:r>
      <w:r>
        <w:rPr>
          <w:lang w:val="en_US" w:bidi="en_US"/>
        </w:rPr>
      </w:r>
    </w:p>
    <w:p>
      <w:pPr>
        <w:pStyle w:val="Heading4"/>
      </w:pPr>
      <w:r>
        <w:rPr>
          <w:lang w:val="en_US" w:bidi="en_US"/>
        </w:rPr>
        <w:t>Section 8:4–8: Jesus told a parable about seeds falling on different types of soil</w:t>
      </w:r>
    </w:p>
    <w:p>
      <w:pPr/>
      <w:r>
        <w:rPr>
          <w:lang w:val="en_US" w:bidi="en_US"/>
        </w:rPr>
      </w:r>
      <w:r>
        <w:rPr>
          <w:lang w:val="en_US" w:bidi="en_US"/>
        </w:rPr>
        <w:t>In this section Jesus told a parable about different types of soil and what happens when seed falls on them. The parable illustrated how different people receive the word of God. In the parable, a man scattered seeds that fell on different types of soil (8:5–8). After Jesus told this parable, he explained why he used parables (8:9–10). He explained the meaning of the parable in 8:11–15. The same parable and discussion are in Matthew 13:3–23 and Mark 4:3–20.</w:t>
      </w:r>
    </w:p>
    <w:p>
      <w:pPr/>
      <w:r>
        <w:rPr>
          <w:lang w:val="en_US" w:bidi="en_US"/>
        </w:rPr>
      </w:r>
      <w:r>
        <w:rPr>
          <w:lang w:val="en_US" w:bidi="en_US"/>
        </w:rPr>
        <w:t>The events in this section probably happened during the period of time that was described in 8:1–3. At that time Jesus was traveling from town to town to preach to people about the kingdom of God.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A Story About a Farmer (GW)</w:t>
      </w:r>
    </w:p>
    <w:p>
      <w:pPr/>
      <w:r>
        <w:rPr>
          <w:lang w:val="en_US" w:bidi="en_US"/>
        </w:rPr>
      </w:r>
      <w:r>
        <w:rPr>
          <w:lang w:val="en_US" w:bidi="en_US"/>
        </w:rPr>
        <w:t>Parable of the Farmer Scattering Seed (NLT)</w:t>
      </w:r>
    </w:p>
    <w:p>
      <w:pPr/>
      <w:r>
        <w:rPr>
          <w:lang w:val="en_US" w:bidi="en_US"/>
        </w:rPr>
      </w:r>
      <w:r>
        <w:rPr>
          <w:lang w:val="en_US" w:bidi="en_US"/>
        </w:rPr>
        <w:t>Jesus illustrated different ways that people hear the word of God</w:t>
      </w:r>
    </w:p>
    <w:p>
      <w:pPr>
        <w:pStyle w:val="Heading5"/>
      </w:pPr>
      <w:r>
        <w:rPr>
          <w:lang w:val="en_US" w:bidi="en_US"/>
        </w:rPr>
        <w:t>8:8a</w:t>
      </w:r>
    </w:p>
    <w:p>
      <w:pPr/>
      <w:r>
        <w:rPr>
          <w:lang w:val="en_US" w:bidi="en_US"/>
        </w:rPr>
      </w:r>
      <w:r>
        <w:rPr>
          <w:b/>
          <w:lang w:val="en_US" w:bidi="en_US"/>
        </w:rPr>
        <w:t>Still other seed fell on good soil,</w:t>
      </w:r>
    </w:p>
    <w:p>
      <w:pPr>
        <w:pStyle w:val="ListBullet"/>
        <w:spacing w:line="240" w:lineRule="auto"/>
        <w:ind w:left="720"/>
      </w:pPr>
      <w:r>
        <w:rPr>
          <w:lang w:val="en_US" w:bidi="en_US"/>
        </w:rPr>
      </w:r>
      <w:r>
        <w:rPr>
          <w:lang w:val="en_US" w:bidi="en_US"/>
        </w:rPr>
        <w:t>And some of the seeds landed on fertile soil.</w:t>
      </w:r>
    </w:p>
    <w:p>
      <w:pPr>
        <w:pStyle w:val="ListBullet"/>
        <w:spacing w:line="240" w:lineRule="auto"/>
        <w:ind w:left="720"/>
      </w:pPr>
      <w:r>
        <w:rPr>
          <w:lang w:val="en_US" w:bidi="en_US"/>
        </w:rPr>
      </w:r>
      <w:r>
        <w:rPr>
          <w:lang w:val="en_US" w:bidi="en_US"/>
        </w:rPr>
        <w:t>But</w:t>
      </w:r>
      <w:r>
        <w:rPr>
          <w:lang w:val="en_US" w:bidi="en_US"/>
        </w:rPr>
        <w:t xml:space="preserve"> other seeds fell on productive/useful ground.</w:t>
      </w:r>
    </w:p>
    <w:p>
      <w:pPr/>
      <w:r>
        <w:rPr>
          <w:lang w:val="en_US" w:bidi="en_US"/>
        </w:rPr>
      </w:r>
      <w:r>
        <w:rPr>
          <w:b/>
          <w:lang w:val="en_US" w:bidi="en_US"/>
        </w:rPr>
        <w:t>Still other seed:</w:t>
      </w:r>
      <w:r>
        <w:rPr>
          <w:lang w:val="en_US" w:bidi="en_US"/>
        </w:rPr>
        <w:t xml:space="preserve"> The Greek phrase that the BSB translates as </w:t>
      </w:r>
      <w:r>
        <w:rPr>
          <w:i/>
          <w:lang w:val="en_US" w:bidi="en_US"/>
        </w:rPr>
        <w:t>Still other seed</w:t>
      </w:r>
      <w:r>
        <w:rPr>
          <w:lang w:val="en_US" w:bidi="en_US"/>
        </w:rPr>
        <w:t xml:space="preserve"> introduces the fourth group of seeds. This is the final and most important group of seeds. Other ways to say this are:</w:t>
      </w:r>
    </w:p>
    <w:p>
      <w:pPr/>
      <w:r>
        <w:rPr>
          <w:lang w:val="en_US" w:bidi="en_US"/>
        </w:rPr>
      </w:r>
      <w:r>
        <w:rPr>
          <w:lang w:val="en_US" w:bidi="en_US"/>
        </w:rPr>
        <w:t>And some of the seed (REB)</w:t>
      </w:r>
    </w:p>
    <w:p>
      <w:pPr/>
      <w:r>
        <w:rPr>
          <w:lang w:val="en_US" w:bidi="en_US"/>
        </w:rPr>
      </w:r>
      <w:r>
        <w:rPr>
          <w:lang w:val="en_US" w:bidi="en_US"/>
        </w:rPr>
        <w:t>Other seed (NASB)</w:t>
      </w:r>
    </w:p>
    <w:p>
      <w:pPr/>
      <w:r>
        <w:rPr>
          <w:lang w:val="en_US" w:bidi="en_US"/>
        </w:rPr>
      </w:r>
      <w:r>
        <w:rPr>
          <w:b/>
          <w:lang w:val="en_US" w:bidi="en_US"/>
        </w:rPr>
        <w:t>fell:</w:t>
      </w:r>
      <w:r>
        <w:rPr>
          <w:lang w:val="en_US" w:bidi="en_US"/>
        </w:rPr>
        <w:t xml:space="preserve"> Note that in this case the seeds </w:t>
      </w:r>
      <w:r>
        <w:rPr>
          <w:i/>
          <w:lang w:val="en_US" w:bidi="en_US"/>
        </w:rPr>
        <w:t>fell</w:t>
      </w:r>
      <w:r>
        <w:rPr>
          <w:lang w:val="en_US" w:bidi="en_US"/>
        </w:rPr>
        <w:t>, or landed, where the farmer wished them to fall.</w:t>
      </w:r>
    </w:p>
    <w:p>
      <w:pPr/>
      <w:r>
        <w:rPr>
          <w:lang w:val="en_US" w:bidi="en_US"/>
        </w:rPr>
      </w:r>
      <w:r>
        <w:rPr>
          <w:b/>
          <w:lang w:val="en_US" w:bidi="en_US"/>
        </w:rPr>
        <w:t>good soil:</w:t>
      </w:r>
      <w:r>
        <w:rPr>
          <w:lang w:val="en_US" w:bidi="en_US"/>
        </w:rPr>
        <w:t xml:space="preserve"> The Greek word that the BSB translates as </w:t>
      </w:r>
      <w:r>
        <w:rPr>
          <w:i/>
          <w:lang w:val="en_US" w:bidi="en_US"/>
        </w:rPr>
        <w:t>good</w:t>
      </w:r>
      <w:r>
        <w:rPr>
          <w:lang w:val="en_US" w:bidi="en_US"/>
        </w:rPr>
        <w:t xml:space="preserve"> in this context means “fertile” or “productive.” The dirt itself was not of higher quality, but it was not packed down, shallow, or mixed with thorns. Consider what term is used in your language for soil in which plants grow well.</w:t>
      </w:r>
    </w:p>
    <w:p>
      <w:pPr>
        <w:pStyle w:val="Heading5"/>
      </w:pPr>
      <w:r>
        <w:rPr>
          <w:lang w:val="en_US" w:bidi="en_US"/>
        </w:rPr>
        <w:t>8:8b</w:t>
      </w:r>
    </w:p>
    <w:p>
      <w:pPr/>
      <w:r>
        <w:rPr>
          <w:lang w:val="en_US" w:bidi="en_US"/>
        </w:rPr>
      </w:r>
      <w:r>
        <w:rPr>
          <w:b/>
          <w:lang w:val="en_US" w:bidi="en_US"/>
        </w:rPr>
        <w:t>where it sprang up and produced a crop—a hundredfold.”</w:t>
      </w:r>
    </w:p>
    <w:p>
      <w:pPr>
        <w:pStyle w:val="ListBullet"/>
        <w:spacing w:line="240" w:lineRule="auto"/>
        <w:ind w:left="720"/>
      </w:pPr>
      <w:r>
        <w:rPr>
          <w:lang w:val="en_US" w:bidi="en_US"/>
        </w:rPr>
      </w:r>
      <w:r>
        <w:rPr>
          <w:lang w:val="en_US" w:bidi="en_US"/>
        </w:rPr>
        <w:t>These seeds sprouted and produced/gave a hundred times the amount of grain that the farmer had sown.”</w:t>
      </w:r>
    </w:p>
    <w:p>
      <w:pPr>
        <w:pStyle w:val="ListBullet"/>
        <w:spacing w:line="240" w:lineRule="auto"/>
        <w:ind w:left="720"/>
      </w:pPr>
      <w:r>
        <w:rPr>
          <w:lang w:val="en_US" w:bidi="en_US"/>
        </w:rPr>
      </w:r>
      <w:r>
        <w:rPr>
          <w:lang w:val="en_US" w:bidi="en_US"/>
        </w:rPr>
        <w:t xml:space="preserve">These grew into plants </w:t>
      </w:r>
      <w:r>
        <w:rPr>
          <w:lang w:val="en_US" w:bidi="en_US"/>
        </w:rPr>
        <w:t>that had heads</w:t>
      </w:r>
      <w:r>
        <w:rPr>
          <w:lang w:val="en_US" w:bidi="en_US"/>
        </w:rPr>
        <w:t xml:space="preserve"> with one hundred grains/seeds each.”</w:t>
      </w:r>
    </w:p>
    <w:p>
      <w:pPr/>
      <w:r>
        <w:rPr>
          <w:lang w:val="en_US" w:bidi="en_US"/>
        </w:rPr>
      </w:r>
      <w:r>
        <w:rPr>
          <w:b/>
          <w:lang w:val="en_US" w:bidi="en_US"/>
        </w:rPr>
        <w:t>it sprang up:</w:t>
      </w:r>
      <w:r>
        <w:rPr>
          <w:lang w:val="en_US" w:bidi="en_US"/>
        </w:rPr>
        <w:t xml:space="preserve"> This clause indicates that the seeds that fell on good soil sprouted and grew into mature plants. Other ways to translate it are:</w:t>
      </w:r>
    </w:p>
    <w:p>
      <w:pPr/>
      <w:r>
        <w:rPr>
          <w:lang w:val="en_US" w:bidi="en_US"/>
        </w:rPr>
      </w:r>
      <w:r>
        <w:rPr>
          <w:lang w:val="en_US" w:bidi="en_US"/>
        </w:rPr>
        <w:t>This seed grew (NLT)</w:t>
      </w:r>
    </w:p>
    <w:p>
      <w:pPr/>
      <w:r>
        <w:rPr>
          <w:lang w:val="en_US" w:bidi="en_US"/>
        </w:rPr>
      </w:r>
      <w:r>
        <w:rPr>
          <w:lang w:val="en_US" w:bidi="en_US"/>
        </w:rPr>
        <w:t>the plants grew (GNT)</w:t>
      </w:r>
    </w:p>
    <w:p>
      <w:pPr/>
      <w:r>
        <w:rPr>
          <w:lang w:val="en_US" w:bidi="en_US"/>
        </w:rPr>
      </w:r>
      <w:r>
        <w:rPr>
          <w:lang w:val="en_US" w:bidi="en_US"/>
        </w:rPr>
        <w:t xml:space="preserve">they sprouted and became </w:t>
      </w:r>
      <w:r>
        <w:rPr>
          <w:lang w:val="en_US" w:bidi="en_US"/>
        </w:rPr>
        <w:t>strong</w:t>
      </w:r>
      <w:r>
        <w:rPr>
          <w:lang w:val="en_US" w:bidi="en_US"/>
        </w:rPr>
        <w:t xml:space="preserve"> plants</w:t>
      </w:r>
    </w:p>
    <w:p>
      <w:pPr/>
      <w:r>
        <w:rPr>
          <w:lang w:val="en_US" w:bidi="en_US"/>
        </w:rPr>
      </w:r>
      <w:r>
        <w:rPr>
          <w:b/>
          <w:lang w:val="en_US" w:bidi="en_US"/>
        </w:rPr>
        <w:t>produced a crop:</w:t>
      </w:r>
      <w:r>
        <w:rPr>
          <w:lang w:val="en_US" w:bidi="en_US"/>
        </w:rPr>
        <w:t xml:space="preserve"> The Greek phrase that the BSB translates as </w:t>
      </w:r>
      <w:r>
        <w:rPr>
          <w:i/>
          <w:lang w:val="en_US" w:bidi="en_US"/>
        </w:rPr>
        <w:t>produced a crop</w:t>
      </w:r>
      <w:r>
        <w:rPr>
          <w:lang w:val="en_US" w:bidi="en_US"/>
        </w:rPr>
        <w:t xml:space="preserve"> here means “produced grain.”</w:t>
      </w:r>
    </w:p>
    <w:p>
      <w:pPr/>
      <w:r>
        <w:rPr>
          <w:lang w:val="en_US" w:bidi="en_US"/>
        </w:rPr>
      </w:r>
      <w:r>
        <w:rPr>
          <w:b/>
          <w:lang w:val="en_US" w:bidi="en_US"/>
        </w:rPr>
        <w:t>a hundredfold:</w:t>
      </w:r>
      <w:r>
        <w:rPr>
          <w:lang w:val="en_US" w:bidi="en_US"/>
        </w:rPr>
        <w:t xml:space="preserve"> The Greek word that the BSB translates with the phrase </w:t>
      </w:r>
      <w:r>
        <w:rPr>
          <w:i/>
          <w:lang w:val="en_US" w:bidi="en_US"/>
        </w:rPr>
        <w:t>a hundredfold</w:t>
      </w:r>
      <w:r>
        <w:rPr>
          <w:lang w:val="en_US" w:bidi="en_US"/>
        </w:rPr>
        <w:t xml:space="preserve"> literally means “a hundred times.” It means that the plants that grew from the seeds had a hundred times as many seeds as the farmer had planted. Another way to translate this is:</w:t>
      </w:r>
    </w:p>
    <w:p>
      <w:pPr/>
      <w:r>
        <w:rPr>
          <w:lang w:val="en_US" w:bidi="en_US"/>
        </w:rPr>
      </w:r>
      <w:r>
        <w:rPr>
          <w:lang w:val="en_US" w:bidi="en_US"/>
        </w:rPr>
        <w:t>…the plants grew and bore grain, one hundred grains each. (GNT)</w:t>
      </w:r>
    </w:p>
    <w:p>
      <w:pPr/>
      <w:r>
        <w:rPr>
          <w:lang w:val="en_US" w:bidi="en_US"/>
        </w:rPr>
      </w:r>
      <w:r>
        <w:rPr>
          <w:lang w:val="en_US" w:bidi="en_US"/>
        </w:rPr>
        <w:t>A harvest of one hundred grains for each seed planted was exceptional in Israel, though probably not impossible or miraculous. If you use footnotes to give background information, you might include one here. For example:</w:t>
      </w:r>
    </w:p>
    <w:p>
      <w:pPr/>
      <w:r>
        <w:rPr>
          <w:lang w:val="en_US" w:bidi="en_US"/>
        </w:rPr>
      </w:r>
      <w:r>
        <w:rPr>
          <w:lang w:val="en_US" w:bidi="en_US"/>
        </w:rPr>
        <w:t>An average harvest for the provinces of Galilee and Judea was around ten seeds for every seed that was planted. A harvest of one hundred seeds for every seed planted was possible but was considered exceptionally good.</w:t>
      </w:r>
    </w:p>
    <w:p>
      <w:pPr>
        <w:pStyle w:val="Heading5"/>
      </w:pPr>
      <w:r>
        <w:rPr>
          <w:lang w:val="en_US" w:bidi="en_US"/>
        </w:rPr>
        <w:t>8:8c</w:t>
      </w:r>
    </w:p>
    <w:p>
      <w:pPr/>
      <w:r>
        <w:rPr>
          <w:lang w:val="en_US" w:bidi="en_US"/>
        </w:rPr>
      </w:r>
      <w:r>
        <w:rPr>
          <w:b/>
          <w:lang w:val="en_US" w:bidi="en_US"/>
        </w:rPr>
        <w:t>As Jesus said this, He called out,</w:t>
      </w:r>
    </w:p>
    <w:p>
      <w:pPr>
        <w:pStyle w:val="ListBullet"/>
        <w:spacing w:line="240" w:lineRule="auto"/>
        <w:ind w:left="720"/>
      </w:pPr>
      <w:r>
        <w:rPr>
          <w:lang w:val="en_US" w:bidi="en_US"/>
        </w:rPr>
      </w:r>
      <w:r>
        <w:rPr>
          <w:lang w:val="en_US" w:bidi="en_US"/>
        </w:rPr>
        <w:t xml:space="preserve">When </w:t>
      </w:r>
      <w:r>
        <w:rPr>
          <w:lang w:val="en_US" w:bidi="en_US"/>
        </w:rPr>
        <w:t>Jesus</w:t>
      </w:r>
      <w:r>
        <w:rPr>
          <w:lang w:val="en_US" w:bidi="en_US"/>
        </w:rPr>
        <w:t xml:space="preserve"> had said this, he spoke loudly </w:t>
      </w:r>
      <w:r>
        <w:rPr>
          <w:lang w:val="en_US" w:bidi="en_US"/>
        </w:rPr>
        <w:t>to the people</w:t>
      </w:r>
      <w:r>
        <w:rPr>
          <w:lang w:val="en_US" w:bidi="en_US"/>
        </w:rPr>
        <w:t>,</w:t>
      </w:r>
    </w:p>
    <w:p>
      <w:pPr>
        <w:pStyle w:val="ListBullet"/>
        <w:spacing w:line="240" w:lineRule="auto"/>
        <w:ind w:left="720"/>
      </w:pPr>
      <w:r>
        <w:rPr>
          <w:lang w:val="en_US" w:bidi="en_US"/>
        </w:rPr>
      </w:r>
      <w:r>
        <w:rPr>
          <w:lang w:val="en_US" w:bidi="en_US"/>
        </w:rPr>
        <w:t xml:space="preserve">When he finished telling this </w:t>
      </w:r>
      <w:r>
        <w:rPr>
          <w:lang w:val="en_US" w:bidi="en_US"/>
        </w:rPr>
        <w:t>parable</w:t>
      </w:r>
      <w:r>
        <w:rPr>
          <w:lang w:val="en_US" w:bidi="en_US"/>
        </w:rPr>
        <w:t xml:space="preserve">, </w:t>
      </w:r>
      <w:r>
        <w:rPr>
          <w:lang w:val="en_US" w:bidi="en_US"/>
        </w:rPr>
        <w:t>Jesus</w:t>
      </w:r>
      <w:r>
        <w:rPr>
          <w:lang w:val="en_US" w:bidi="en_US"/>
        </w:rPr>
        <w:t xml:space="preserve"> called out </w:t>
      </w:r>
      <w:r>
        <w:rPr>
          <w:lang w:val="en_US" w:bidi="en_US"/>
        </w:rPr>
        <w:t>to the people</w:t>
      </w:r>
      <w:r>
        <w:rPr>
          <w:lang w:val="en_US" w:bidi="en_US"/>
        </w:rPr>
        <w:t>,</w:t>
      </w:r>
    </w:p>
    <w:p>
      <w:pPr/>
      <w:r>
        <w:rPr>
          <w:lang w:val="en_US" w:bidi="en_US"/>
        </w:rPr>
      </w:r>
      <w:r>
        <w:rPr>
          <w:b/>
          <w:lang w:val="en_US" w:bidi="en_US"/>
        </w:rPr>
        <w:t>As Jesus said this, He called out:</w:t>
      </w:r>
      <w:r>
        <w:rPr>
          <w:lang w:val="en_US" w:bidi="en_US"/>
        </w:rPr>
        <w:t xml:space="preserve"> This part of the verse indicates that Jesus told the parable in 8:1–8b and then said, “He who has ears to hear…” (8:8d).</w:t>
      </w:r>
      <w:r>
        <w:rPr>
          <w:lang w:val="en_US" w:bidi="en_US"/>
        </w:rPr>
        <w:t xml:space="preserve">However, some commentators (Arndt, Fitzmyer, Hendriksen, and Plummer) and versions (NASB, “As He said these things, He would call out”) suggest that the imperfect </w:t>
      </w:r>
      <w:r>
        <w:rPr>
          <w:i/>
          <w:lang w:val="en_US" w:bidi="en_US"/>
        </w:rPr>
        <w:t>ἐφώνει</w:t>
      </w:r>
      <w:r>
        <w:rPr>
          <w:lang w:val="en_US" w:bidi="en_US"/>
        </w:rPr>
        <w:t xml:space="preserve"> has iterative force. That is, he spoke these words repeatedly during or after the telling of the parable.</w:t>
      </w:r>
      <w:r>
        <w:rPr>
          <w:lang w:val="en_US" w:bidi="en_US"/>
        </w:rPr>
        <w:t xml:space="preserve"> Some other ways to say this part of the verse are:</w:t>
      </w:r>
    </w:p>
    <w:p>
      <w:pPr/>
      <w:r>
        <w:rPr>
          <w:lang w:val="en_US" w:bidi="en_US"/>
        </w:rPr>
      </w:r>
      <w:r>
        <w:rPr>
          <w:u w:val="single"/>
          <w:lang w:val="en_US" w:bidi="en_US"/>
        </w:rPr>
        <w:t>After</w:t>
      </w:r>
      <w:r>
        <w:rPr>
          <w:lang w:val="en_US" w:bidi="en_US"/>
        </w:rPr>
        <w:t xml:space="preserve"> he had said this, he called out (GW)</w:t>
      </w:r>
    </w:p>
    <w:p>
      <w:pPr/>
      <w:r>
        <w:rPr>
          <w:lang w:val="en_US" w:bidi="en_US"/>
        </w:rPr>
      </w:r>
      <w:r>
        <w:rPr>
          <w:lang w:val="en_US" w:bidi="en_US"/>
        </w:rPr>
        <w:t>When Jesus had finished speaking, he said (CEV)</w:t>
      </w:r>
    </w:p>
    <w:p>
      <w:pPr/>
      <w:r>
        <w:rPr>
          <w:lang w:val="en_US" w:bidi="en_US"/>
        </w:rPr>
      </w:r>
      <w:r>
        <w:rPr>
          <w:lang w:val="en_US" w:bidi="en_US"/>
        </w:rPr>
        <w:t>And Jesus concluded (GNT)</w:t>
      </w:r>
    </w:p>
    <w:p>
      <w:pPr/>
      <w:r>
        <w:rPr>
          <w:lang w:val="en_US" w:bidi="en_US"/>
        </w:rPr>
      </w:r>
      <w:r>
        <w:rPr>
          <w:lang w:val="en_US" w:bidi="en_US"/>
        </w:rPr>
        <w:t xml:space="preserve">Then Jesus said loudly </w:t>
      </w:r>
      <w:r>
        <w:rPr>
          <w:lang w:val="en_US" w:bidi="en_US"/>
        </w:rPr>
        <w:t>to the crowd</w:t>
      </w:r>
    </w:p>
    <w:p>
      <w:pPr/>
      <w:r>
        <w:rPr>
          <w:lang w:val="en_US" w:bidi="en_US"/>
        </w:rPr>
      </w:r>
      <w:r>
        <w:rPr>
          <w:b/>
          <w:lang w:val="en_US" w:bidi="en_US"/>
        </w:rPr>
        <w:t>He called out:</w:t>
      </w:r>
      <w:r>
        <w:rPr>
          <w:lang w:val="en_US" w:bidi="en_US"/>
        </w:rPr>
        <w:t xml:space="preserve"> The clause </w:t>
      </w:r>
      <w:r>
        <w:rPr>
          <w:i/>
          <w:lang w:val="en_US" w:bidi="en_US"/>
        </w:rPr>
        <w:t>He called out</w:t>
      </w:r>
      <w:r>
        <w:rPr>
          <w:lang w:val="en_US" w:bidi="en_US"/>
        </w:rPr>
        <w:t xml:space="preserve"> introduces the saying in 8:8d. The clause indicates that Jesus spoke in a loud voice.</w:t>
      </w:r>
    </w:p>
    <w:p>
      <w:pPr>
        <w:pStyle w:val="Heading5"/>
      </w:pPr>
      <w:r>
        <w:rPr>
          <w:lang w:val="en_US" w:bidi="en_US"/>
        </w:rPr>
        <w:t>8:8d</w:t>
      </w:r>
    </w:p>
    <w:p>
      <w:pPr/>
      <w:r>
        <w:rPr>
          <w:lang w:val="en_US" w:bidi="en_US"/>
        </w:rPr>
      </w:r>
      <w:r>
        <w:rPr>
          <w:b/>
          <w:lang w:val="en_US" w:bidi="en_US"/>
        </w:rPr>
        <w:t>“He who has ears to hear, let him hear.”</w:t>
      </w:r>
    </w:p>
    <w:p>
      <w:pPr>
        <w:pStyle w:val="ListBullet"/>
        <w:spacing w:line="240" w:lineRule="auto"/>
        <w:ind w:left="720"/>
      </w:pPr>
      <w:r>
        <w:rPr>
          <w:lang w:val="en_US" w:bidi="en_US"/>
        </w:rPr>
      </w:r>
      <w:r>
        <w:rPr>
          <w:lang w:val="en_US" w:bidi="en_US"/>
        </w:rPr>
        <w:t>“</w:t>
      </w:r>
      <w:r>
        <w:rPr>
          <w:lang w:val="en_US" w:bidi="en_US"/>
        </w:rPr>
        <w:t>If/since</w:t>
      </w:r>
      <w:r>
        <w:rPr>
          <w:lang w:val="en_US" w:bidi="en_US"/>
        </w:rPr>
        <w:t xml:space="preserve"> you</w:t>
      </w:r>
      <w:r>
        <w:rPr>
          <w:vertAlign w:val="superscript"/>
          <w:lang w:val="en_US" w:bidi="en_US"/>
        </w:rPr>
        <w:t>(plur)</w:t>
      </w:r>
      <w:r>
        <w:rPr>
          <w:lang w:val="en_US" w:bidi="en_US"/>
        </w:rPr>
        <w:t xml:space="preserve"> have ears for listening with, then listen</w:t>
      </w:r>
      <w:r>
        <w:rPr>
          <w:vertAlign w:val="superscript"/>
          <w:lang w:val="en_US" w:bidi="en_US"/>
        </w:rPr>
        <w:t>(plur)</w:t>
      </w:r>
      <w:r>
        <w:rPr>
          <w:lang w:val="en_US" w:bidi="en_US"/>
        </w:rPr>
        <w:t xml:space="preserve"> </w:t>
      </w:r>
      <w:r>
        <w:rPr>
          <w:lang w:val="en_US" w:bidi="en_US"/>
        </w:rPr>
        <w:t>well</w:t>
      </w:r>
      <w:r>
        <w:rPr>
          <w:lang w:val="en_US" w:bidi="en_US"/>
        </w:rPr>
        <w:t>!”</w:t>
      </w:r>
    </w:p>
    <w:p>
      <w:pPr>
        <w:pStyle w:val="ListBullet"/>
        <w:spacing w:line="240" w:lineRule="auto"/>
        <w:ind w:left="720"/>
      </w:pPr>
      <w:r>
        <w:rPr>
          <w:lang w:val="en_US" w:bidi="en_US"/>
        </w:rPr>
      </w:r>
      <w:r>
        <w:rPr>
          <w:lang w:val="en_US" w:bidi="en_US"/>
        </w:rPr>
        <w:t xml:space="preserve">“Everyone who has ears for hearing should give careful attention </w:t>
      </w:r>
      <w:r>
        <w:rPr>
          <w:lang w:val="en_US" w:bidi="en_US"/>
        </w:rPr>
        <w:t>to what I said</w:t>
      </w:r>
      <w:r>
        <w:rPr>
          <w:lang w:val="en_US" w:bidi="en_US"/>
        </w:rPr>
        <w:t>!”</w:t>
      </w:r>
    </w:p>
    <w:p>
      <w:pPr>
        <w:pStyle w:val="ListBullet"/>
        <w:spacing w:line="240" w:lineRule="auto"/>
        <w:ind w:left="720"/>
      </w:pPr>
      <w:r>
        <w:rPr>
          <w:lang w:val="en_US" w:bidi="en_US"/>
        </w:rPr>
      </w:r>
      <w:r>
        <w:rPr>
          <w:lang w:val="en_US" w:bidi="en_US"/>
        </w:rPr>
        <w:t xml:space="preserve">“Whoever is able to hear should understand and heed/obey </w:t>
      </w:r>
      <w:r>
        <w:rPr>
          <w:lang w:val="en_US" w:bidi="en_US"/>
        </w:rPr>
        <w:t>what I say</w:t>
      </w:r>
      <w:r>
        <w:rPr>
          <w:lang w:val="en_US" w:bidi="en_US"/>
        </w:rPr>
        <w:t>.”</w:t>
      </w:r>
    </w:p>
    <w:p>
      <w:pPr/>
      <w:r>
        <w:rPr>
          <w:lang w:val="en_US" w:bidi="en_US"/>
        </w:rPr>
      </w:r>
      <w:r>
        <w:rPr>
          <w:b/>
          <w:lang w:val="en_US" w:bidi="en_US"/>
        </w:rPr>
        <w:t>He who has ears to hear, let him hear:</w:t>
      </w:r>
      <w:r>
        <w:rPr>
          <w:lang w:val="en_US" w:bidi="en_US"/>
        </w:rPr>
        <w:t xml:space="preserve"> With this saying, Jesus urged the crowd to think carefully about the parable that they had just heard. He implied that they should do more than just listen to it. They should understand its meaning and then act on what they learned from it.</w:t>
      </w:r>
    </w:p>
    <w:p>
      <w:pPr/>
      <w:r>
        <w:rPr>
          <w:lang w:val="en_US" w:bidi="en_US"/>
        </w:rPr>
      </w:r>
      <w:r>
        <w:rPr>
          <w:lang w:val="en_US" w:bidi="en_US"/>
        </w:rPr>
        <w:t>This saying assumes that everyone in the crowd had ears that were able to hear. Jesus said it to everyone who was listening to him. Other ways to say this are:</w:t>
      </w:r>
    </w:p>
    <w:p>
      <w:pPr/>
      <w:r>
        <w:rPr>
          <w:lang w:val="en_US" w:bidi="en_US"/>
        </w:rPr>
      </w:r>
      <w:r>
        <w:rPr>
          <w:u w:val="single"/>
          <w:lang w:val="en_US" w:bidi="en_US"/>
        </w:rPr>
        <w:t>If</w:t>
      </w:r>
      <w:r>
        <w:rPr>
          <w:lang w:val="en_US" w:bidi="en_US"/>
        </w:rPr>
        <w:t>/</w:t>
      </w:r>
      <w:r>
        <w:rPr>
          <w:u w:val="single"/>
          <w:lang w:val="en_US" w:bidi="en_US"/>
        </w:rPr>
        <w:t>since</w:t>
      </w:r>
      <w:r>
        <w:rPr>
          <w:lang w:val="en_US" w:bidi="en_US"/>
        </w:rPr>
        <w:t xml:space="preserve"> you have ears that can hear, </w:t>
      </w:r>
      <w:r>
        <w:rPr>
          <w:u w:val="single"/>
          <w:lang w:val="en_US" w:bidi="en_US"/>
        </w:rPr>
        <w:t>then</w:t>
      </w:r>
      <w:r>
        <w:rPr>
          <w:lang w:val="en_US" w:bidi="en_US"/>
        </w:rPr>
        <w:t xml:space="preserve"> hear.</w:t>
      </w:r>
    </w:p>
    <w:p>
      <w:pPr/>
      <w:r>
        <w:rPr>
          <w:lang w:val="en_US" w:bidi="en_US"/>
        </w:rPr>
      </w:r>
      <w:r>
        <w:rPr>
          <w:lang w:val="en_US" w:bidi="en_US"/>
        </w:rPr>
        <w:t xml:space="preserve">Those who </w:t>
      </w:r>
      <w:r>
        <w:rPr>
          <w:u w:val="single"/>
          <w:lang w:val="en_US" w:bidi="en_US"/>
        </w:rPr>
        <w:t>do not have ears in vain</w:t>
      </w:r>
      <w:r>
        <w:rPr>
          <w:lang w:val="en_US" w:bidi="en_US"/>
        </w:rPr>
        <w:t>, let them hear.</w:t>
      </w:r>
    </w:p>
    <w:p>
      <w:pPr/>
      <w:r>
        <w:rPr>
          <w:lang w:val="en_US" w:bidi="en_US"/>
        </w:rPr>
      </w:r>
      <w:r>
        <w:rPr>
          <w:lang w:val="en_US" w:bidi="en_US"/>
        </w:rPr>
        <w:t>Notice that these examples use forms such as “you” or “them” instead of “he” and “him.” Use a natural way in your language to tell a saying like this to people.</w:t>
      </w:r>
    </w:p>
    <w:p>
      <w:pPr/>
      <w:r>
        <w:rPr>
          <w:lang w:val="en_US" w:bidi="en_US"/>
        </w:rPr>
      </w:r>
      <w:r>
        <w:rPr>
          <w:lang w:val="en_US" w:bidi="en_US"/>
        </w:rPr>
        <w:t xml:space="preserve">In some languages, it may be more natural to express the meaning without mentioning </w:t>
      </w:r>
      <w:r>
        <w:rPr>
          <w:i/>
          <w:lang w:val="en_US" w:bidi="en_US"/>
        </w:rPr>
        <w:t>ears</w:t>
      </w:r>
      <w:r>
        <w:rPr>
          <w:lang w:val="en_US" w:bidi="en_US"/>
        </w:rPr>
        <w:t>. For example:</w:t>
      </w:r>
    </w:p>
    <w:p>
      <w:pPr/>
      <w:r>
        <w:rPr>
          <w:lang w:val="en_US" w:bidi="en_US"/>
        </w:rPr>
      </w:r>
      <w:r>
        <w:rPr>
          <w:lang w:val="en_US" w:bidi="en_US"/>
        </w:rPr>
        <w:t xml:space="preserve">Whoever </w:t>
      </w:r>
      <w:r>
        <w:rPr>
          <w:u w:val="single"/>
          <w:lang w:val="en_US" w:bidi="en_US"/>
        </w:rPr>
        <w:t>can hear</w:t>
      </w:r>
      <w:r>
        <w:rPr>
          <w:lang w:val="en_US" w:bidi="en_US"/>
        </w:rPr>
        <w:t>, let him hear.</w:t>
      </w:r>
    </w:p>
    <w:p>
      <w:pPr/>
      <w:r>
        <w:rPr>
          <w:lang w:val="en_US" w:bidi="en_US"/>
        </w:rPr>
      </w:r>
      <w:r>
        <w:rPr>
          <w:b/>
          <w:lang w:val="en_US" w:bidi="en_US"/>
        </w:rPr>
        <w:t>hear…hear:</w:t>
      </w:r>
      <w:r>
        <w:rPr>
          <w:lang w:val="en_US" w:bidi="en_US"/>
        </w:rPr>
        <w:t xml:space="preserve"> The word </w:t>
      </w:r>
      <w:r>
        <w:rPr>
          <w:i/>
          <w:lang w:val="en_US" w:bidi="en_US"/>
        </w:rPr>
        <w:t>hear</w:t>
      </w:r>
      <w:r>
        <w:rPr>
          <w:lang w:val="en_US" w:bidi="en_US"/>
        </w:rPr>
        <w:t xml:space="preserve"> is used twice in this verse part but with slightly different meanings. The first </w:t>
      </w:r>
      <w:r>
        <w:rPr>
          <w:i/>
          <w:lang w:val="en_US" w:bidi="en_US"/>
        </w:rPr>
        <w:t>hear</w:t>
      </w:r>
      <w:r>
        <w:rPr>
          <w:lang w:val="en_US" w:bidi="en_US"/>
        </w:rPr>
        <w:t xml:space="preserve"> refers to the physical ability to hear. The second </w:t>
      </w:r>
      <w:r>
        <w:rPr>
          <w:i/>
          <w:lang w:val="en_US" w:bidi="en_US"/>
        </w:rPr>
        <w:t>hear</w:t>
      </w:r>
      <w:r>
        <w:rPr>
          <w:lang w:val="en_US" w:bidi="en_US"/>
        </w:rPr>
        <w:t xml:space="preserve"> has the sense of “listen attentively/carefully, understand, and be ready to obey.” Other ways to translate this are:</w:t>
      </w:r>
    </w:p>
    <w:p>
      <w:pPr/>
      <w:r>
        <w:rPr>
          <w:lang w:val="en_US" w:bidi="en_US"/>
        </w:rPr>
      </w:r>
      <w:r>
        <w:rPr>
          <w:lang w:val="en_US" w:bidi="en_US"/>
        </w:rPr>
        <w:t>listen well/carefully</w:t>
      </w:r>
    </w:p>
    <w:p>
      <w:pPr/>
      <w:r>
        <w:rPr>
          <w:lang w:val="en_US" w:bidi="en_US"/>
        </w:rPr>
      </w:r>
      <w:r>
        <w:rPr>
          <w:lang w:val="en_US" w:bidi="en_US"/>
        </w:rPr>
        <w:t>listen and understand (NLT)</w:t>
      </w:r>
    </w:p>
    <w:p>
      <w:pPr/>
      <w:r>
        <w:rPr>
          <w:lang w:val="en_US" w:bidi="en_US"/>
        </w:rPr>
      </w:r>
      <w:r>
        <w:rPr>
          <w:lang w:val="en_US" w:bidi="en_US"/>
        </w:rPr>
        <w:t>give attention</w:t>
      </w:r>
    </w:p>
    <w:p>
      <w:pPr/>
      <w:r>
        <w:rPr>
          <w:lang w:val="en_US" w:bidi="en_US"/>
        </w:rPr>
      </w:r>
      <w:r>
        <w:rPr>
          <w:lang w:val="en_US" w:bidi="en_US"/>
        </w:rPr>
        <w:t>consider/heed carefully what you hear</w:t>
      </w:r>
    </w:p>
    <w:p>
      <w:pPr/>
      <w:r>
        <w:rPr>
          <w:lang w:val="en_US" w:bidi="en_US"/>
        </w:rPr>
      </w:r>
      <w:r>
        <w:rPr>
          <w:b/>
          <w:lang w:val="en_US" w:bidi="en_US"/>
        </w:rPr>
        <w:t>let him hear:</w:t>
      </w:r>
      <w:r>
        <w:rPr>
          <w:lang w:val="en_US" w:bidi="en_US"/>
        </w:rPr>
        <w:t xml:space="preserve"> The Greek verb that the BSB translates as </w:t>
      </w:r>
      <w:r>
        <w:rPr>
          <w:i/>
          <w:lang w:val="en_US" w:bidi="en_US"/>
        </w:rPr>
        <w:t>let him hear</w:t>
      </w:r>
      <w:r>
        <w:rPr>
          <w:lang w:val="en_US" w:bidi="en_US"/>
        </w:rPr>
        <w:t xml:space="preserve"> is an indirect command. It does not express permission. Another way to translate this is to use a word like “should.” For example:</w:t>
      </w:r>
    </w:p>
    <w:p>
      <w:pPr/>
      <w:r>
        <w:rPr>
          <w:lang w:val="en_US" w:bidi="en_US"/>
        </w:rPr>
      </w:r>
      <w:r>
        <w:rPr>
          <w:lang w:val="en_US" w:bidi="en_US"/>
        </w:rPr>
        <w:t>Anyone who has ears for listening should listen! (NJB)</w:t>
      </w:r>
    </w:p>
    <w:p>
      <w:pPr/>
      <w:r>
        <w:rPr>
          <w:lang w:val="en_US" w:bidi="en_US"/>
        </w:rPr>
      </w:r>
      <w:r>
        <w:rPr>
          <w:lang w:val="en_US" w:bidi="en_US"/>
        </w:rPr>
        <w:t>In some languages it may be more natural to use a direct command. For example:</w:t>
      </w:r>
    </w:p>
    <w:p>
      <w:pPr/>
      <w:r>
        <w:rPr>
          <w:lang w:val="en_US" w:bidi="en_US"/>
        </w:rPr>
      </w:r>
      <w:r>
        <w:rPr>
          <w:lang w:val="en_US" w:bidi="en_US"/>
        </w:rPr>
        <w:t>You people who can hear me, listen! (NCV)</w:t>
      </w:r>
    </w:p>
    <w:p>
      <w:pPr/>
      <w:r>
        <w:rPr>
          <w:lang w:val="en_US" w:bidi="en_US"/>
        </w:rPr>
      </w:r>
      <w:r>
        <w:rPr>
          <w:lang w:val="en_US" w:bidi="en_US"/>
        </w:rPr>
        <w:t>In some languages it may be necessary to supply some information and indicate that the listener should listen to Jesus or to his parable/words. For example:</w:t>
      </w:r>
    </w:p>
    <w:p>
      <w:pPr/>
      <w:r>
        <w:rPr>
          <w:lang w:val="en_US" w:bidi="en_US"/>
        </w:rPr>
      </w:r>
      <w:r>
        <w:rPr>
          <w:lang w:val="en_US" w:bidi="en_US"/>
        </w:rPr>
        <w:t xml:space="preserve">If you have ears to hear, listen </w:t>
      </w:r>
      <w:r>
        <w:rPr>
          <w:lang w:val="en_US" w:bidi="en_US"/>
        </w:rPr>
        <w:t>to me</w:t>
      </w:r>
      <w:r>
        <w:rPr>
          <w:lang w:val="en_US" w:bidi="en_US"/>
        </w:rPr>
        <w:t>!</w:t>
      </w:r>
    </w:p>
    <w:p>
      <w:pPr/>
      <w:r>
        <w:rPr>
          <w:lang w:val="en_US" w:bidi="en_US"/>
        </w:rPr>
      </w:r>
      <w:r>
        <w:rPr>
          <w:lang w:val="en_US" w:bidi="en_US"/>
        </w:rPr>
        <w:t>You who have ears to hear should listen to my words/parable.</w:t>
      </w:r>
    </w:p>
    <w:p>
      <w:pPr>
        <w:pStyle w:val="Heading6"/>
      </w:pPr>
      <w:r>
        <w:rPr>
          <w:b/>
          <w:lang w:val="en_US" w:bidi="en_US"/>
        </w:rPr>
        <w:t>General Comment on 8:8d</w:t>
      </w:r>
    </w:p>
    <w:p>
      <w:pPr/>
      <w:r>
        <w:rPr>
          <w:lang w:val="en_US" w:bidi="en_US"/>
        </w:rPr>
      </w:r>
      <w:r>
        <w:rPr>
          <w:lang w:val="en_US" w:bidi="en_US"/>
        </w:rPr>
        <w:t>In some languages it may be more natural to reverse the order of the two verb clauses. For example:</w:t>
      </w:r>
    </w:p>
    <w:p>
      <w:pPr/>
      <w:r>
        <w:rPr>
          <w:lang w:val="en_US" w:bidi="en_US"/>
        </w:rPr>
      </w:r>
      <w:r>
        <w:rPr>
          <w:lang w:val="en_US" w:bidi="en_US"/>
        </w:rPr>
        <w:t>Listen, then, if you have ears! (GNT)</w:t>
      </w:r>
      <w:r>
        <w:rPr>
          <w:lang w:val="en_US" w:bidi="en_US"/>
        </w:rPr>
      </w:r>
      <w:r>
        <w:rPr>
          <w:lang w:val="en_US" w:bidi="en_US"/>
        </w:rPr>
      </w:r>
    </w:p>
    <w:p>
      <w:pPr/>
      <w:r>
        <w:rPr>
          <w:lang w:val="en_US" w:bidi="en_US"/>
        </w:rPr>
      </w:r>
    </w:p>
    <w:p>
      <w:pPr>
        <w:pStyle w:val="Heading2"/>
      </w:pPr>
      <w:r>
        <w:rPr>
          <w:lang w:val="en_US" w:bidi="en_US"/>
        </w:rPr>
        <w:t>Luke 8:9</w:t>
      </w:r>
      <w:r>
        <w:rPr>
          <w:lang w:val="en_US" w:bidi="en_US"/>
        </w:rPr>
      </w:r>
    </w:p>
    <w:p>
      <w:pPr>
        <w:pStyle w:val="Heading4"/>
      </w:pPr>
      <w:r>
        <w:rPr>
          <w:lang w:val="en_US" w:bidi="en_US"/>
        </w:rPr>
        <w:t>Section 8:9–15: Jesus explained the parable about four types of soil</w:t>
      </w:r>
    </w:p>
    <w:p>
      <w:pPr/>
      <w:r>
        <w:rPr>
          <w:lang w:val="en_US" w:bidi="en_US"/>
        </w:rPr>
      </w:r>
      <w:r>
        <w:rPr>
          <w:lang w:val="en_US" w:bidi="en_US"/>
        </w:rPr>
        <w:t>In 8:9–10 Jesus explained why he taught in parables. Then in 8:11–15 he explained the meaning of the parable in 8:1–8b. The basic meaning of Jesus’ explanation is clear. However, there are questions about the meaning of the seed in this section. In 8:11 the seed refers to the word of God. In 8:12–15 what is sown seems to refer to the people who hear the word. This has led to several interpretations for the seed in 8:12–15.</w:t>
      </w:r>
    </w:p>
    <w:p>
      <w:pPr/>
      <w:r>
        <w:rPr>
          <w:lang w:val="en_US" w:bidi="en_US"/>
        </w:rPr>
      </w:r>
      <w:r>
        <w:rPr>
          <w:lang w:val="en_US" w:bidi="en_US"/>
        </w:rPr>
        <w:t>The interpretation that the Notes follows is that in 8:12–15 the seed continues to represent the word. The introductory expressions such as “those on/beside/in…are…” (RSV) refer generally to four different ways in which people hear and respond to the word.</w:t>
      </w:r>
    </w:p>
    <w:p>
      <w:pPr/>
      <w:r>
        <w:rPr>
          <w:lang w:val="en_US" w:bidi="en_US"/>
        </w:rPr>
      </w:r>
      <w:r>
        <w:rPr>
          <w:lang w:val="en_US" w:bidi="en_US"/>
        </w:rPr>
        <w:t>Many scholars support this interpretation in their commentaries. In some versions the seed appears to refer to the people. However, even in these versions, the text implies that the seed of the word has different results in different kinds of people.</w:t>
      </w:r>
    </w:p>
    <w:p>
      <w:pPr/>
      <w:r>
        <w:rPr>
          <w:lang w:val="en_US" w:bidi="en_US"/>
        </w:rPr>
      </w:r>
      <w:r>
        <w:rPr>
          <w:lang w:val="en_US" w:bidi="en_US"/>
        </w:rPr>
        <w:t>Here is the meaning of the main metaphors in the parable:</w:t>
      </w:r>
    </w:p>
    <w:p>
      <w:pPr>
        <w:pStyle w:val="ListNumber"/>
        <w:numPr>
          <w:ilvl w:val="0"/>
          <w:numId w:val="171"/>
        </w:numPr>
        <w:spacing w:line="240" w:lineRule="auto"/>
        <w:ind w:left="720"/>
      </w:pPr>
      <w:r>
        <w:rPr>
          <w:lang w:val="en_US" w:bidi="en_US"/>
        </w:rPr>
      </w:r>
      <w:r>
        <w:rPr>
          <w:lang w:val="en_US" w:bidi="en_US"/>
        </w:rPr>
        <w:t xml:space="preserve">The </w:t>
      </w:r>
      <w:r>
        <w:rPr>
          <w:u w:val="single"/>
          <w:lang w:val="en_US" w:bidi="en_US"/>
        </w:rPr>
        <w:t>seeds</w:t>
      </w:r>
      <w:r>
        <w:rPr>
          <w:lang w:val="en_US" w:bidi="en_US"/>
        </w:rPr>
        <w:t xml:space="preserve"> represent </w:t>
      </w:r>
      <w:r>
        <w:rPr>
          <w:b/>
          <w:lang w:val="en_US" w:bidi="en_US"/>
        </w:rPr>
        <w:t>the word,</w:t>
      </w:r>
      <w:r>
        <w:rPr>
          <w:lang w:val="en_US" w:bidi="en_US"/>
        </w:rPr>
        <w:t xml:space="preserve"> which is </w:t>
      </w:r>
      <w:r>
        <w:rPr>
          <w:b/>
          <w:lang w:val="en_US" w:bidi="en_US"/>
        </w:rPr>
        <w:t>the message from God.</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b/>
          <w:lang w:val="en_US" w:bidi="en_US"/>
        </w:rPr>
        <w:t>telling the message to people.</w:t>
      </w:r>
    </w:p>
    <w:p>
      <w:pPr>
        <w:pStyle w:val="ListNumber"/>
        <w:spacing w:line="240" w:lineRule="auto"/>
        <w:ind w:left="720"/>
      </w:pPr>
      <w:r>
        <w:rPr>
          <w:lang w:val="en_US" w:bidi="en_US"/>
        </w:rPr>
      </w:r>
      <w:r>
        <w:rPr>
          <w:lang w:val="en_US" w:bidi="en_US"/>
        </w:rPr>
        <w:t xml:space="preserve">The </w:t>
      </w:r>
      <w:r>
        <w:rPr>
          <w:u w:val="single"/>
          <w:lang w:val="en_US" w:bidi="en_US"/>
        </w:rPr>
        <w:t>different kinds of soil</w:t>
      </w:r>
      <w:r>
        <w:rPr>
          <w:lang w:val="en_US" w:bidi="en_US"/>
        </w:rPr>
        <w:t xml:space="preserve"> represent </w:t>
      </w:r>
      <w:r>
        <w:rPr>
          <w:b/>
          <w:lang w:val="en_US" w:bidi="en_US"/>
        </w:rPr>
        <w:t>the way different people hear the message.</w:t>
      </w:r>
    </w:p>
    <w:p>
      <w:pPr/>
      <w:r>
        <w:rPr>
          <w:lang w:val="en_US" w:bidi="en_US"/>
        </w:rPr>
      </w:r>
      <w:r>
        <w:rPr>
          <w:lang w:val="en_US" w:bidi="en_US"/>
        </w:rPr>
        <w:t>This section heading should be similar to the section heading for 8:1–10. You may use the word “explained” or “Jesus explained” (instead of “Jesus told”).</w:t>
      </w:r>
    </w:p>
    <w:p>
      <w:pPr/>
      <w:r>
        <w:rPr>
          <w:lang w:val="en_US" w:bidi="en_US"/>
        </w:rPr>
      </w:r>
      <w:r>
        <w:rPr>
          <w:lang w:val="en_US" w:bidi="en_US"/>
        </w:rPr>
        <w:t>Some other possible headings for this section are:</w:t>
      </w:r>
    </w:p>
    <w:p>
      <w:pPr/>
      <w:r>
        <w:rPr>
          <w:lang w:val="en_US" w:bidi="en_US"/>
        </w:rPr>
      </w:r>
      <w:r>
        <w:rPr>
          <w:lang w:val="en_US" w:bidi="en_US"/>
        </w:rPr>
        <w:t xml:space="preserve">Jesus explained the parable of the sower </w:t>
      </w:r>
      <w:r>
        <w:rPr>
          <w:lang w:val="en_US" w:bidi="en_US"/>
        </w:rPr>
        <w:t>and the soils</w:t>
      </w:r>
    </w:p>
    <w:p>
      <w:pPr/>
      <w:r>
        <w:rPr>
          <w:lang w:val="en_US" w:bidi="en_US"/>
        </w:rPr>
      </w:r>
      <w:r>
        <w:rPr>
          <w:lang w:val="en_US" w:bidi="en_US"/>
        </w:rPr>
        <w:t>The parable/story/illustration about the four soils explained</w:t>
      </w:r>
    </w:p>
    <w:p>
      <w:pPr/>
      <w:r>
        <w:rPr>
          <w:lang w:val="en_US" w:bidi="en_US"/>
        </w:rPr>
      </w:r>
      <w:r>
        <w:rPr>
          <w:lang w:val="en_US" w:bidi="en_US"/>
        </w:rPr>
        <w:t>The explanation of the parable about four kinds of people</w:t>
      </w:r>
    </w:p>
    <w:p>
      <w:pPr/>
      <w:r>
        <w:rPr>
          <w:lang w:val="en_US" w:bidi="en_US"/>
        </w:rPr>
      </w:r>
      <w:r>
        <w:rPr>
          <w:lang w:val="en_US" w:bidi="en_US"/>
        </w:rPr>
        <w:t>The meaning of the parable of a man scattering seed</w:t>
      </w:r>
    </w:p>
    <w:p>
      <w:pPr/>
      <w:r>
        <w:rPr>
          <w:lang w:val="en_US" w:bidi="en_US"/>
        </w:rPr>
      </w:r>
      <w:r>
        <w:rPr>
          <w:lang w:val="en_US" w:bidi="en_US"/>
        </w:rPr>
        <w:t>There are parallel passages for this section in Matthew 13:18–23 and Mark 4:13–20.</w:t>
      </w:r>
    </w:p>
    <w:p>
      <w:pPr>
        <w:pStyle w:val="Heading5"/>
      </w:pPr>
      <w:r>
        <w:rPr>
          <w:lang w:val="en_US" w:bidi="en_US"/>
        </w:rPr>
        <w:t>8:9</w:t>
      </w:r>
    </w:p>
    <w:p>
      <w:pPr/>
      <w:r>
        <w:rPr>
          <w:lang w:val="en_US" w:bidi="en_US"/>
        </w:rPr>
      </w:r>
      <w:r>
        <w:rPr>
          <w:b/>
          <w:lang w:val="en_US" w:bidi="en_US"/>
        </w:rPr>
        <w:t>Then His disciples asked Him what this parable meant.</w:t>
      </w:r>
    </w:p>
    <w:p>
      <w:pPr>
        <w:pStyle w:val="ListBullet"/>
        <w:spacing w:line="240" w:lineRule="auto"/>
        <w:ind w:left="720"/>
      </w:pPr>
      <w:r>
        <w:rPr>
          <w:lang w:val="en_US" w:bidi="en_US"/>
        </w:rPr>
      </w:r>
      <w:r>
        <w:rPr>
          <w:lang w:val="en_US" w:bidi="en_US"/>
        </w:rPr>
        <w:t xml:space="preserve">¶ Jesus’ disciples asked him </w:t>
      </w:r>
      <w:r>
        <w:rPr>
          <w:lang w:val="en_US" w:bidi="en_US"/>
        </w:rPr>
        <w:t>about</w:t>
      </w:r>
      <w:r>
        <w:rPr>
          <w:lang w:val="en_US" w:bidi="en_US"/>
        </w:rPr>
        <w:t xml:space="preserve"> the </w:t>
      </w:r>
      <w:r>
        <w:rPr>
          <w:lang w:val="en_US" w:bidi="en_US"/>
        </w:rPr>
        <w:t>real/hidden</w:t>
      </w:r>
      <w:r>
        <w:rPr>
          <w:lang w:val="en_US" w:bidi="en_US"/>
        </w:rPr>
        <w:t xml:space="preserve"> meaning of this parable.</w:t>
      </w:r>
    </w:p>
    <w:p>
      <w:pPr>
        <w:pStyle w:val="ListBullet"/>
        <w:spacing w:line="240" w:lineRule="auto"/>
        <w:ind w:left="720"/>
      </w:pPr>
      <w:r>
        <w:rPr>
          <w:lang w:val="en_US" w:bidi="en_US"/>
        </w:rPr>
      </w:r>
      <w:r>
        <w:rPr>
          <w:lang w:val="en_US" w:bidi="en_US"/>
        </w:rPr>
        <w:t xml:space="preserve">¶ </w:t>
      </w:r>
      <w:r>
        <w:rPr>
          <w:lang w:val="en_US" w:bidi="en_US"/>
        </w:rPr>
        <w:t>Jesus’</w:t>
      </w:r>
      <w:r>
        <w:rPr>
          <w:lang w:val="en_US" w:bidi="en_US"/>
        </w:rPr>
        <w:t xml:space="preserve"> followers asked him </w:t>
      </w:r>
      <w:r>
        <w:rPr>
          <w:lang w:val="en_US" w:bidi="en_US"/>
        </w:rPr>
        <w:t>to explain to them</w:t>
      </w:r>
      <w:r>
        <w:rPr>
          <w:lang w:val="en_US" w:bidi="en_US"/>
        </w:rPr>
        <w:t xml:space="preserve"> the parable </w:t>
      </w:r>
      <w:r>
        <w:rPr>
          <w:lang w:val="en_US" w:bidi="en_US"/>
        </w:rPr>
        <w:t>that he had just told</w:t>
      </w:r>
      <w:r>
        <w:rPr>
          <w:lang w:val="en_US" w:bidi="en_US"/>
        </w:rPr>
        <w:t>.</w:t>
      </w:r>
    </w:p>
    <w:p>
      <w:pPr>
        <w:pStyle w:val="ListBullet"/>
        <w:spacing w:line="240" w:lineRule="auto"/>
        <w:ind w:left="720"/>
      </w:pPr>
      <w:r>
        <w:rPr>
          <w:lang w:val="en_US" w:bidi="en_US"/>
        </w:rPr>
      </w:r>
      <w:r>
        <w:rPr>
          <w:lang w:val="en_US" w:bidi="en_US"/>
        </w:rPr>
        <w:t>¶ Jesus’ disciples asked him, “What does this parable mean?”</w:t>
      </w:r>
    </w:p>
    <w:p>
      <w:pPr/>
      <w:r>
        <w:rPr>
          <w:lang w:val="en_US" w:bidi="en_US"/>
        </w:rPr>
      </w:r>
      <w:r>
        <w:rPr>
          <w:b/>
          <w:lang w:val="en_US" w:bidi="en_US"/>
        </w:rPr>
        <w:t>Then His disciples asked Him what this parable meant:</w:t>
      </w:r>
      <w:r>
        <w:rPr>
          <w:lang w:val="en_US" w:bidi="en_US"/>
        </w:rPr>
        <w:t xml:space="preserve"> The disciples wanted Jesus to explain what he was teaching through the parable of the sower.</w:t>
      </w:r>
    </w:p>
    <w:p>
      <w:pPr/>
      <w:r>
        <w:rPr>
          <w:lang w:val="en_US" w:bidi="en_US"/>
        </w:rPr>
      </w:r>
      <w:r>
        <w:rPr>
          <w:b/>
          <w:lang w:val="en_US" w:bidi="en_US"/>
        </w:rPr>
        <w:t>His disciples:</w:t>
      </w:r>
      <w:r>
        <w:rPr>
          <w:lang w:val="en_US" w:bidi="en_US"/>
        </w:rPr>
        <w:t xml:space="preserve"> In this context the phrase that the BSB translates as </w:t>
      </w:r>
      <w:r>
        <w:rPr>
          <w:i/>
          <w:lang w:val="en_US" w:bidi="en_US"/>
        </w:rPr>
        <w:t>His disciples</w:t>
      </w:r>
      <w:r>
        <w:rPr>
          <w:lang w:val="en_US" w:bidi="en_US"/>
        </w:rPr>
        <w:t xml:space="preserve"> probably includes the twelve apostles and other followers of Jesus. This includes the women mentioned in 8:1–2.</w:t>
      </w:r>
    </w:p>
    <w:p>
      <w:pPr/>
      <w:r>
        <w:rPr>
          <w:lang w:val="en_US" w:bidi="en_US"/>
        </w:rPr>
      </w:r>
      <w:r>
        <w:rPr>
          <w:lang w:val="en_US" w:bidi="en_US"/>
        </w:rPr>
        <w:t xml:space="preserve">The Greek word that the BSB translates as </w:t>
      </w:r>
      <w:r>
        <w:rPr>
          <w:i/>
          <w:lang w:val="en_US" w:bidi="en_US"/>
        </w:rPr>
        <w:t>disciples</w:t>
      </w:r>
      <w:r>
        <w:rPr>
          <w:lang w:val="en_US" w:bidi="en_US"/>
        </w:rPr>
        <w:t xml:space="preserve"> means “learners” who are in a special relationship with a teacher. Some ways to translate this are:</w:t>
      </w:r>
    </w:p>
    <w:p>
      <w:pPr/>
      <w:r>
        <w:rPr>
          <w:lang w:val="en_US" w:bidi="en_US"/>
        </w:rPr>
      </w:r>
      <w:r>
        <w:rPr>
          <w:lang w:val="en_US" w:bidi="en_US"/>
        </w:rPr>
        <w:t>students/learners</w:t>
      </w:r>
    </w:p>
    <w:p>
      <w:pPr/>
      <w:r>
        <w:rPr>
          <w:lang w:val="en_US" w:bidi="en_US"/>
        </w:rPr>
      </w:r>
      <w:r>
        <w:rPr>
          <w:lang w:val="en_US" w:bidi="en_US"/>
        </w:rPr>
        <w:t>followers</w:t>
      </w:r>
    </w:p>
    <w:p>
      <w:pPr/>
      <w:r>
        <w:rPr>
          <w:lang w:val="en_US" w:bidi="en_US"/>
        </w:rPr>
      </w:r>
      <w:r>
        <w:rPr>
          <w:lang w:val="en_US" w:bidi="en_US"/>
        </w:rPr>
        <w:t>See also disciple in the Glossary for more information.</w:t>
      </w:r>
    </w:p>
    <w:p>
      <w:pPr/>
      <w:r>
        <w:rPr>
          <w:lang w:val="en_US" w:bidi="en_US"/>
        </w:rPr>
      </w:r>
      <w:r>
        <w:rPr>
          <w:b/>
          <w:lang w:val="en_US" w:bidi="en_US"/>
        </w:rPr>
        <w:t>this parable:</w:t>
      </w:r>
      <w:r>
        <w:rPr>
          <w:lang w:val="en_US" w:bidi="en_US"/>
        </w:rPr>
        <w:t xml:space="preserve"> The phrase </w:t>
      </w:r>
      <w:r>
        <w:rPr>
          <w:i/>
          <w:lang w:val="en_US" w:bidi="en_US"/>
        </w:rPr>
        <w:t>this parable</w:t>
      </w:r>
      <w:r>
        <w:rPr>
          <w:lang w:val="en_US" w:bidi="en_US"/>
        </w:rPr>
        <w:t xml:space="preserve"> refers to what Jesus said in 8:1–8b. For advice on translating the word </w:t>
      </w:r>
      <w:r>
        <w:rPr>
          <w:i/>
          <w:lang w:val="en_US" w:bidi="en_US"/>
        </w:rPr>
        <w:t>parable</w:t>
      </w:r>
      <w:r>
        <w:rPr>
          <w:lang w:val="en_US" w:bidi="en_US"/>
        </w:rPr>
        <w:t>, see the note in 8:4b.</w:t>
      </w:r>
    </w:p>
    <w:p>
      <w:pPr>
        <w:pStyle w:val="Heading6"/>
      </w:pPr>
      <w:r>
        <w:rPr>
          <w:b/>
          <w:lang w:val="en_US" w:bidi="en_US"/>
        </w:rPr>
        <w:t>General Comment on 8:9</w:t>
      </w:r>
    </w:p>
    <w:p>
      <w:pPr/>
      <w:r>
        <w:rPr>
          <w:lang w:val="en_US" w:bidi="en_US"/>
        </w:rPr>
      </w:r>
      <w:r>
        <w:rPr>
          <w:lang w:val="en_US" w:bidi="en_US"/>
        </w:rPr>
        <w:t>In some languages it may be more natural to use direct speech in this verse. For example:</w:t>
      </w:r>
    </w:p>
    <w:p>
      <w:pPr/>
      <w:r>
        <w:rPr>
          <w:lang w:val="en_US" w:bidi="en_US"/>
        </w:rPr>
      </w:r>
      <w:r>
        <w:rPr>
          <w:lang w:val="en_US" w:bidi="en_US"/>
        </w:rPr>
        <w:t>His disciples asked him, “What does the parable mean?”</w:t>
      </w:r>
      <w:r>
        <w:rPr>
          <w:lang w:val="en_US" w:bidi="en_US"/>
        </w:rPr>
      </w:r>
      <w:r>
        <w:rPr>
          <w:lang w:val="en_US" w:bidi="en_US"/>
        </w:rPr>
      </w:r>
    </w:p>
    <w:p>
      <w:pPr/>
      <w:r>
        <w:rPr>
          <w:lang w:val="en_US" w:bidi="en_US"/>
        </w:rPr>
      </w:r>
    </w:p>
    <w:p>
      <w:pPr>
        <w:pStyle w:val="Heading2"/>
      </w:pPr>
      <w:r>
        <w:rPr>
          <w:lang w:val="en_US" w:bidi="en_US"/>
        </w:rPr>
        <w:t>Luke 8:10</w:t>
      </w:r>
      <w:r>
        <w:rPr>
          <w:lang w:val="en_US" w:bidi="en_US"/>
        </w:rPr>
      </w:r>
    </w:p>
    <w:p>
      <w:pPr>
        <w:pStyle w:val="Heading4"/>
      </w:pPr>
      <w:r>
        <w:rPr>
          <w:lang w:val="en_US" w:bidi="en_US"/>
        </w:rPr>
        <w:t>Section 8:9–15: Jesus explained the parable about four types of soil</w:t>
      </w:r>
    </w:p>
    <w:p>
      <w:pPr/>
      <w:r>
        <w:rPr>
          <w:lang w:val="en_US" w:bidi="en_US"/>
        </w:rPr>
      </w:r>
      <w:r>
        <w:rPr>
          <w:lang w:val="en_US" w:bidi="en_US"/>
        </w:rPr>
        <w:t>In 8:9–10 Jesus explained why he taught in parables. Then in 8:11–15 he explained the meaning of the parable in 8:1–8b. The basic meaning of Jesus’ explanation is clear. However, there are questions about the meaning of the seed in this section. In 8:11 the seed refers to the word of God. In 8:12–15 what is sown seems to refer to the people who hear the word. This has led to several interpretations for the seed in 8:12–15.</w:t>
      </w:r>
    </w:p>
    <w:p>
      <w:pPr/>
      <w:r>
        <w:rPr>
          <w:lang w:val="en_US" w:bidi="en_US"/>
        </w:rPr>
      </w:r>
      <w:r>
        <w:rPr>
          <w:lang w:val="en_US" w:bidi="en_US"/>
        </w:rPr>
        <w:t>The interpretation that the Notes follows is that in 8:12–15 the seed continues to represent the word. The introductory expressions such as “those on/beside/in…are…” (RSV) refer generally to four different ways in which people hear and respond to the word.</w:t>
      </w:r>
    </w:p>
    <w:p>
      <w:pPr/>
      <w:r>
        <w:rPr>
          <w:lang w:val="en_US" w:bidi="en_US"/>
        </w:rPr>
      </w:r>
      <w:r>
        <w:rPr>
          <w:lang w:val="en_US" w:bidi="en_US"/>
        </w:rPr>
        <w:t>Many scholars support this interpretation in their commentaries. In some versions the seed appears to refer to the people. However, even in these versions, the text implies that the seed of the word has different results in different kinds of people.</w:t>
      </w:r>
    </w:p>
    <w:p>
      <w:pPr/>
      <w:r>
        <w:rPr>
          <w:lang w:val="en_US" w:bidi="en_US"/>
        </w:rPr>
      </w:r>
      <w:r>
        <w:rPr>
          <w:lang w:val="en_US" w:bidi="en_US"/>
        </w:rPr>
        <w:t>Here is the meaning of the main metaphors in the parable:</w:t>
      </w:r>
    </w:p>
    <w:p>
      <w:pPr>
        <w:pStyle w:val="ListNumber"/>
        <w:numPr>
          <w:ilvl w:val="0"/>
          <w:numId w:val="172"/>
        </w:numPr>
        <w:spacing w:line="240" w:lineRule="auto"/>
        <w:ind w:left="720"/>
      </w:pPr>
      <w:r>
        <w:rPr>
          <w:lang w:val="en_US" w:bidi="en_US"/>
        </w:rPr>
      </w:r>
      <w:r>
        <w:rPr>
          <w:lang w:val="en_US" w:bidi="en_US"/>
        </w:rPr>
        <w:t xml:space="preserve">The </w:t>
      </w:r>
      <w:r>
        <w:rPr>
          <w:u w:val="single"/>
          <w:lang w:val="en_US" w:bidi="en_US"/>
        </w:rPr>
        <w:t>seeds</w:t>
      </w:r>
      <w:r>
        <w:rPr>
          <w:lang w:val="en_US" w:bidi="en_US"/>
        </w:rPr>
        <w:t xml:space="preserve"> represent </w:t>
      </w:r>
      <w:r>
        <w:rPr>
          <w:b/>
          <w:lang w:val="en_US" w:bidi="en_US"/>
        </w:rPr>
        <w:t>the word,</w:t>
      </w:r>
      <w:r>
        <w:rPr>
          <w:lang w:val="en_US" w:bidi="en_US"/>
        </w:rPr>
        <w:t xml:space="preserve"> which is </w:t>
      </w:r>
      <w:r>
        <w:rPr>
          <w:b/>
          <w:lang w:val="en_US" w:bidi="en_US"/>
        </w:rPr>
        <w:t>the message from God.</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b/>
          <w:lang w:val="en_US" w:bidi="en_US"/>
        </w:rPr>
        <w:t>telling the message to people.</w:t>
      </w:r>
    </w:p>
    <w:p>
      <w:pPr>
        <w:pStyle w:val="ListNumber"/>
        <w:spacing w:line="240" w:lineRule="auto"/>
        <w:ind w:left="720"/>
      </w:pPr>
      <w:r>
        <w:rPr>
          <w:lang w:val="en_US" w:bidi="en_US"/>
        </w:rPr>
      </w:r>
      <w:r>
        <w:rPr>
          <w:lang w:val="en_US" w:bidi="en_US"/>
        </w:rPr>
        <w:t xml:space="preserve">The </w:t>
      </w:r>
      <w:r>
        <w:rPr>
          <w:u w:val="single"/>
          <w:lang w:val="en_US" w:bidi="en_US"/>
        </w:rPr>
        <w:t>different kinds of soil</w:t>
      </w:r>
      <w:r>
        <w:rPr>
          <w:lang w:val="en_US" w:bidi="en_US"/>
        </w:rPr>
        <w:t xml:space="preserve"> represent </w:t>
      </w:r>
      <w:r>
        <w:rPr>
          <w:b/>
          <w:lang w:val="en_US" w:bidi="en_US"/>
        </w:rPr>
        <w:t>the way different people hear the message.</w:t>
      </w:r>
    </w:p>
    <w:p>
      <w:pPr/>
      <w:r>
        <w:rPr>
          <w:lang w:val="en_US" w:bidi="en_US"/>
        </w:rPr>
      </w:r>
      <w:r>
        <w:rPr>
          <w:lang w:val="en_US" w:bidi="en_US"/>
        </w:rPr>
        <w:t>This section heading should be similar to the section heading for 8:1–10. You may use the word “explained” or “Jesus explained” (instead of “Jesus told”).</w:t>
      </w:r>
    </w:p>
    <w:p>
      <w:pPr/>
      <w:r>
        <w:rPr>
          <w:lang w:val="en_US" w:bidi="en_US"/>
        </w:rPr>
      </w:r>
      <w:r>
        <w:rPr>
          <w:lang w:val="en_US" w:bidi="en_US"/>
        </w:rPr>
        <w:t>Some other possible headings for this section are:</w:t>
      </w:r>
    </w:p>
    <w:p>
      <w:pPr/>
      <w:r>
        <w:rPr>
          <w:lang w:val="en_US" w:bidi="en_US"/>
        </w:rPr>
      </w:r>
      <w:r>
        <w:rPr>
          <w:lang w:val="en_US" w:bidi="en_US"/>
        </w:rPr>
        <w:t xml:space="preserve">Jesus explained the parable of the sower </w:t>
      </w:r>
      <w:r>
        <w:rPr>
          <w:lang w:val="en_US" w:bidi="en_US"/>
        </w:rPr>
        <w:t>and the soils</w:t>
      </w:r>
    </w:p>
    <w:p>
      <w:pPr/>
      <w:r>
        <w:rPr>
          <w:lang w:val="en_US" w:bidi="en_US"/>
        </w:rPr>
      </w:r>
      <w:r>
        <w:rPr>
          <w:lang w:val="en_US" w:bidi="en_US"/>
        </w:rPr>
        <w:t>The parable/story/illustration about the four soils explained</w:t>
      </w:r>
    </w:p>
    <w:p>
      <w:pPr/>
      <w:r>
        <w:rPr>
          <w:lang w:val="en_US" w:bidi="en_US"/>
        </w:rPr>
      </w:r>
      <w:r>
        <w:rPr>
          <w:lang w:val="en_US" w:bidi="en_US"/>
        </w:rPr>
        <w:t>The explanation of the parable about four kinds of people</w:t>
      </w:r>
    </w:p>
    <w:p>
      <w:pPr/>
      <w:r>
        <w:rPr>
          <w:lang w:val="en_US" w:bidi="en_US"/>
        </w:rPr>
      </w:r>
      <w:r>
        <w:rPr>
          <w:lang w:val="en_US" w:bidi="en_US"/>
        </w:rPr>
        <w:t>The meaning of the parable of a man scattering seed</w:t>
      </w:r>
    </w:p>
    <w:p>
      <w:pPr/>
      <w:r>
        <w:rPr>
          <w:lang w:val="en_US" w:bidi="en_US"/>
        </w:rPr>
      </w:r>
      <w:r>
        <w:rPr>
          <w:lang w:val="en_US" w:bidi="en_US"/>
        </w:rPr>
        <w:t>There are parallel passages for this section in Matthew 13:18–23 and Mark 4:13–20.</w:t>
      </w:r>
    </w:p>
    <w:p>
      <w:pPr>
        <w:pStyle w:val="Heading5"/>
      </w:pPr>
      <w:r>
        <w:rPr>
          <w:lang w:val="en_US" w:bidi="en_US"/>
        </w:rPr>
        <w:t>8:10</w:t>
      </w:r>
    </w:p>
    <w:p>
      <w:pPr/>
      <w:r>
        <w:rPr>
          <w:lang w:val="en_US" w:bidi="en_US"/>
        </w:rPr>
      </w:r>
      <w:r>
        <w:rPr>
          <w:lang w:val="en_US" w:bidi="en_US"/>
        </w:rPr>
        <w:t>In this verse Jesus contrasted his disciples with other people who heard his parables. This contrast is emphatic in the Greek text. Some ways to express the contrast in English are:</w:t>
      </w:r>
    </w:p>
    <w:p>
      <w:pPr/>
      <w:r>
        <w:rPr>
          <w:lang w:val="en_US" w:bidi="en_US"/>
        </w:rPr>
      </w:r>
      <w:r>
        <w:rPr>
          <w:lang w:val="en_US" w:bidi="en_US"/>
        </w:rPr>
        <w:t>To you it has been given to know the secrets of the kingdom of God; but to others I speak in parables… (NRSV)</w:t>
      </w:r>
    </w:p>
    <w:p>
      <w:pPr/>
      <w:r>
        <w:rPr>
          <w:lang w:val="en_US" w:bidi="en_US"/>
        </w:rPr>
      </w:r>
      <w:r>
        <w:rPr>
          <w:u w:val="single"/>
          <w:lang w:val="en_US" w:bidi="en_US"/>
        </w:rPr>
        <w:t>You</w:t>
      </w:r>
      <w:r>
        <w:rPr>
          <w:lang w:val="en_US" w:bidi="en_US"/>
        </w:rPr>
        <w:t xml:space="preserve"> are allowed to know the secrets of the kingdom of God. </w:t>
      </w:r>
      <w:r>
        <w:rPr>
          <w:u w:val="single"/>
          <w:lang w:val="en_US" w:bidi="en_US"/>
        </w:rPr>
        <w:t>For other people</w:t>
      </w:r>
      <w:r>
        <w:rPr>
          <w:lang w:val="en_US" w:bidi="en_US"/>
        </w:rPr>
        <w:t xml:space="preserve">, I must use stories </w:t>
      </w:r>
      <w:r>
        <w:rPr>
          <w:lang w:val="en_US" w:bidi="en_US"/>
        </w:rPr>
        <w:t>to talk about those secrets</w:t>
      </w:r>
      <w:r>
        <w:rPr>
          <w:lang w:val="en_US" w:bidi="en_US"/>
        </w:rPr>
        <w:t>.</w:t>
      </w:r>
    </w:p>
    <w:p>
      <w:pPr/>
      <w:r>
        <w:rPr>
          <w:lang w:val="en_US" w:bidi="en_US"/>
        </w:rPr>
      </w:r>
      <w:r>
        <w:rPr>
          <w:lang w:val="en_US" w:bidi="en_US"/>
        </w:rPr>
        <w:t>Knowledge about the mysteries of the kingdom of God has been given [directly] to you. But it is given to others in stories. (GW)</w:t>
      </w:r>
    </w:p>
    <w:p>
      <w:pPr/>
      <w:r>
        <w:rPr>
          <w:lang w:val="en_US" w:bidi="en_US"/>
        </w:rPr>
      </w:r>
      <w:r>
        <w:rPr>
          <w:lang w:val="en_US" w:bidi="en_US"/>
        </w:rPr>
        <w:t>Express the contrast in a natural way in your language.</w:t>
      </w:r>
    </w:p>
    <w:p>
      <w:pPr>
        <w:pStyle w:val="Heading5"/>
      </w:pPr>
      <w:r>
        <w:rPr>
          <w:lang w:val="en_US" w:bidi="en_US"/>
        </w:rPr>
        <w:t>8:10a</w:t>
      </w:r>
    </w:p>
    <w:p>
      <w:pPr/>
      <w:r>
        <w:rPr>
          <w:lang w:val="en_US" w:bidi="en_US"/>
        </w:rPr>
      </w:r>
      <w:r>
        <w:rPr>
          <w:b/>
          <w:lang w:val="en_US" w:bidi="en_US"/>
        </w:rPr>
        <w:t>He replied,</w:t>
      </w:r>
    </w:p>
    <w:p>
      <w:pPr>
        <w:pStyle w:val="ListBullet"/>
        <w:spacing w:line="240" w:lineRule="auto"/>
        <w:ind w:left="720"/>
      </w:pPr>
      <w:r>
        <w:rPr>
          <w:lang w:val="en_US" w:bidi="en_US"/>
        </w:rPr>
      </w:r>
      <w:r>
        <w:rPr>
          <w:lang w:val="en_US" w:bidi="en_US"/>
        </w:rPr>
        <w:t>Jesus</w:t>
      </w:r>
      <w:r>
        <w:rPr>
          <w:lang w:val="en_US" w:bidi="en_US"/>
        </w:rPr>
        <w:t xml:space="preserve"> answered,</w:t>
      </w:r>
    </w:p>
    <w:p>
      <w:pPr>
        <w:pStyle w:val="ListBullet"/>
        <w:spacing w:line="240" w:lineRule="auto"/>
        <w:ind w:left="720"/>
      </w:pPr>
      <w:r>
        <w:rPr>
          <w:lang w:val="en_US" w:bidi="en_US"/>
        </w:rPr>
      </w:r>
      <w:r>
        <w:rPr>
          <w:lang w:val="en_US" w:bidi="en_US"/>
        </w:rPr>
        <w:t>He said to them,</w:t>
      </w:r>
    </w:p>
    <w:p>
      <w:pPr>
        <w:pStyle w:val="ListBullet"/>
        <w:spacing w:line="240" w:lineRule="auto"/>
        <w:ind w:left="720"/>
      </w:pPr>
      <w:r>
        <w:rPr>
          <w:lang w:val="en_US" w:bidi="en_US"/>
        </w:rPr>
      </w:r>
      <w:r>
        <w:rPr>
          <w:lang w:val="en_US" w:bidi="en_US"/>
        </w:rPr>
        <w:t>So</w:t>
      </w:r>
      <w:r>
        <w:rPr>
          <w:lang w:val="en_US" w:bidi="en_US"/>
        </w:rPr>
        <w:t xml:space="preserve"> he said to them,</w:t>
      </w:r>
    </w:p>
    <w:p>
      <w:pPr/>
      <w:r>
        <w:rPr>
          <w:lang w:val="en_US" w:bidi="en_US"/>
        </w:rPr>
      </w:r>
      <w:r>
        <w:rPr>
          <w:b/>
          <w:lang w:val="en_US" w:bidi="en_US"/>
        </w:rPr>
        <w:t>He replied:</w:t>
      </w:r>
      <w:r>
        <w:rPr>
          <w:lang w:val="en_US" w:bidi="en_US"/>
        </w:rPr>
        <w:t xml:space="preserve"> The words </w:t>
      </w:r>
      <w:r>
        <w:rPr>
          <w:i/>
          <w:lang w:val="en_US" w:bidi="en_US"/>
        </w:rPr>
        <w:t>He replied</w:t>
      </w:r>
      <w:r>
        <w:rPr>
          <w:lang w:val="en_US" w:bidi="en_US"/>
        </w:rPr>
        <w:t xml:space="preserve"> introduce the response that Jesus gave his disciples when they asked him to explain the parable. Use a natural phrase in your language. For example:</w:t>
      </w:r>
    </w:p>
    <w:p>
      <w:pPr/>
      <w:r>
        <w:rPr>
          <w:lang w:val="en_US" w:bidi="en_US"/>
        </w:rPr>
      </w:r>
      <w:r>
        <w:rPr>
          <w:lang w:val="en_US" w:bidi="en_US"/>
        </w:rPr>
        <w:t>Jesus answered (GW)</w:t>
      </w:r>
    </w:p>
    <w:p>
      <w:pPr/>
      <w:r>
        <w:rPr>
          <w:lang w:val="en_US" w:bidi="en_US"/>
        </w:rPr>
      </w:r>
      <w:r>
        <w:rPr>
          <w:lang w:val="en_US" w:bidi="en_US"/>
        </w:rPr>
        <w:t>and he replied (REB)</w:t>
      </w:r>
    </w:p>
    <w:p>
      <w:pPr>
        <w:pStyle w:val="Heading5"/>
      </w:pPr>
      <w:r>
        <w:rPr>
          <w:lang w:val="en_US" w:bidi="en_US"/>
        </w:rPr>
        <w:t>8:10b</w:t>
      </w:r>
    </w:p>
    <w:p>
      <w:pPr/>
      <w:r>
        <w:rPr>
          <w:lang w:val="en_US" w:bidi="en_US"/>
        </w:rPr>
      </w:r>
      <w:r>
        <w:rPr>
          <w:b/>
          <w:lang w:val="en_US" w:bidi="en_US"/>
        </w:rPr>
        <w:t>“The knowledge of the mysteries of the kingdom of God has been given to you,</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been allowed to understand the secret things about God’s rule/reign.</w:t>
      </w:r>
    </w:p>
    <w:p>
      <w:pPr>
        <w:pStyle w:val="ListBullet"/>
        <w:spacing w:line="240" w:lineRule="auto"/>
        <w:ind w:left="720"/>
      </w:pPr>
      <w:r>
        <w:rPr>
          <w:lang w:val="en_US" w:bidi="en_US"/>
        </w:rPr>
      </w:r>
      <w:r>
        <w:rPr>
          <w:lang w:val="en_US" w:bidi="en_US"/>
        </w:rPr>
        <w:t>“</w:t>
      </w:r>
      <w:r>
        <w:rPr>
          <w:lang w:val="en_US" w:bidi="en_US"/>
        </w:rPr>
        <w:t>God</w:t>
      </w:r>
      <w:r>
        <w:rPr>
          <w:lang w:val="en_US" w:bidi="en_US"/>
        </w:rPr>
        <w:t xml:space="preserve"> has revealed to you</w:t>
      </w:r>
      <w:r>
        <w:rPr>
          <w:vertAlign w:val="superscript"/>
          <w:lang w:val="en_US" w:bidi="en_US"/>
        </w:rPr>
        <w:t>(plur)</w:t>
      </w:r>
      <w:r>
        <w:rPr>
          <w:lang w:val="en_US" w:bidi="en_US"/>
        </w:rPr>
        <w:t xml:space="preserve"> things </w:t>
      </w:r>
      <w:r>
        <w:rPr>
          <w:lang w:val="en_US" w:bidi="en_US"/>
        </w:rPr>
        <w:t>that were not previously known</w:t>
      </w:r>
      <w:r>
        <w:rPr>
          <w:lang w:val="en_US" w:bidi="en_US"/>
        </w:rPr>
        <w:t xml:space="preserve"> concerning his kingdom.</w:t>
      </w:r>
    </w:p>
    <w:p>
      <w:pPr>
        <w:pStyle w:val="ListBullet"/>
        <w:spacing w:line="240" w:lineRule="auto"/>
        <w:ind w:left="720"/>
      </w:pPr>
      <w:r>
        <w:rPr>
          <w:lang w:val="en_US" w:bidi="en_US"/>
        </w:rPr>
      </w:r>
      <w:r>
        <w:rPr>
          <w:lang w:val="en_US" w:bidi="en_US"/>
        </w:rPr>
        <w:t>“</w:t>
      </w:r>
      <w:r>
        <w:rPr>
          <w:lang w:val="en_US" w:bidi="en_US"/>
        </w:rPr>
        <w:t>God</w:t>
      </w:r>
      <w:r>
        <w:rPr>
          <w:lang w:val="en_US" w:bidi="en_US"/>
        </w:rPr>
        <w:t xml:space="preserve"> has caused you</w:t>
      </w:r>
      <w:r>
        <w:rPr>
          <w:vertAlign w:val="superscript"/>
          <w:lang w:val="en_US" w:bidi="en_US"/>
        </w:rPr>
        <w:t>(plur)</w:t>
      </w:r>
      <w:r>
        <w:rPr>
          <w:lang w:val="en_US" w:bidi="en_US"/>
        </w:rPr>
        <w:t xml:space="preserve"> </w:t>
      </w:r>
      <w:r>
        <w:rPr>
          <w:lang w:val="en_US" w:bidi="en_US"/>
        </w:rPr>
        <w:t>disciples</w:t>
      </w:r>
      <w:r>
        <w:rPr>
          <w:lang w:val="en_US" w:bidi="en_US"/>
        </w:rPr>
        <w:t xml:space="preserve"> to understand the mysteries about the way he rules his people.</w:t>
      </w:r>
    </w:p>
    <w:p>
      <w:pPr/>
      <w:r>
        <w:rPr>
          <w:lang w:val="en_US" w:bidi="en_US"/>
        </w:rPr>
      </w:r>
      <w:r>
        <w:rPr>
          <w:b/>
          <w:lang w:val="en_US" w:bidi="en_US"/>
        </w:rPr>
        <w:t>The knowledge…has been given to you:</w:t>
      </w:r>
      <w:r>
        <w:rPr>
          <w:lang w:val="en_US" w:bidi="en_US"/>
        </w:rPr>
        <w:t xml:space="preserve"> This is a passive clause. Some ways to translate it are:</w:t>
      </w:r>
    </w:p>
    <w:p>
      <w:pPr/>
      <w:r>
        <w:rPr>
          <w:lang w:val="en_US" w:bidi="en_US"/>
        </w:rPr>
      </w:r>
      <w:r>
        <w:rPr>
          <w:lang w:val="en_US" w:bidi="en_US"/>
        </w:rPr>
        <w:t>God</w:t>
      </w:r>
      <w:r>
        <w:rPr>
          <w:lang w:val="en_US" w:bidi="en_US"/>
        </w:rPr>
        <w:t xml:space="preserve"> has given you the knowledge</w:t>
      </w:r>
    </w:p>
    <w:p>
      <w:pPr/>
      <w:r>
        <w:rPr>
          <w:lang w:val="en_US" w:bidi="en_US"/>
        </w:rPr>
      </w:r>
      <w:r>
        <w:rPr>
          <w:lang w:val="en_US" w:bidi="en_US"/>
        </w:rPr>
        <w:t>I have explained…to you (CEV)</w:t>
      </w:r>
    </w:p>
    <w:p>
      <w:pPr/>
      <w:r>
        <w:rPr>
          <w:lang w:val="en_US" w:bidi="en_US"/>
        </w:rPr>
      </w:r>
      <w:r>
        <w:rPr>
          <w:lang w:val="en_US" w:bidi="en_US"/>
        </w:rPr>
        <w:t>You have been given the opportunity to know (NET)</w:t>
      </w:r>
    </w:p>
    <w:p>
      <w:pPr/>
      <w:r>
        <w:rPr>
          <w:lang w:val="en_US" w:bidi="en_US"/>
        </w:rPr>
      </w:r>
      <w:r>
        <w:rPr>
          <w:lang w:val="en_US" w:bidi="en_US"/>
        </w:rPr>
        <w:t xml:space="preserve">In some languages, knowledge is not something that can be </w:t>
      </w:r>
      <w:r>
        <w:rPr>
          <w:i/>
          <w:lang w:val="en_US" w:bidi="en_US"/>
        </w:rPr>
        <w:t>given</w:t>
      </w:r>
      <w:r>
        <w:rPr>
          <w:lang w:val="en_US" w:bidi="en_US"/>
        </w:rPr>
        <w:t>. Other ways to express this idea are:</w:t>
      </w:r>
    </w:p>
    <w:p>
      <w:pPr/>
      <w:r>
        <w:rPr>
          <w:lang w:val="en_US" w:bidi="en_US"/>
        </w:rPr>
      </w:r>
      <w:r>
        <w:rPr>
          <w:lang w:val="en_US" w:bidi="en_US"/>
        </w:rPr>
        <w:t xml:space="preserve">God has allowed you </w:t>
      </w:r>
      <w:r>
        <w:rPr>
          <w:lang w:val="en_US" w:bidi="en_US"/>
        </w:rPr>
        <w:t>to know</w:t>
      </w:r>
    </w:p>
    <w:p>
      <w:pPr/>
      <w:r>
        <w:rPr>
          <w:lang w:val="en_US" w:bidi="en_US"/>
        </w:rPr>
      </w:r>
      <w:r>
        <w:rPr>
          <w:lang w:val="en_US" w:bidi="en_US"/>
        </w:rPr>
        <w:t>God has/I have revealed to you</w:t>
      </w:r>
    </w:p>
    <w:p>
      <w:pPr/>
      <w:r>
        <w:rPr>
          <w:lang w:val="en_US" w:bidi="en_US"/>
        </w:rPr>
      </w:r>
      <w:r>
        <w:rPr>
          <w:b/>
          <w:lang w:val="en_US" w:bidi="en_US"/>
        </w:rPr>
        <w:t>you:</w:t>
      </w:r>
      <w:r>
        <w:rPr>
          <w:lang w:val="en_US" w:bidi="en_US"/>
        </w:rPr>
        <w:t xml:space="preserve"> The Greek plural pronoun that the BSB translates as </w:t>
      </w:r>
      <w:r>
        <w:rPr>
          <w:i/>
          <w:lang w:val="en_US" w:bidi="en_US"/>
        </w:rPr>
        <w:t>you</w:t>
      </w:r>
      <w:r>
        <w:rPr>
          <w:lang w:val="en_US" w:bidi="en_US"/>
        </w:rPr>
        <w:t xml:space="preserve"> is plural. It refers to Jesus’ disciples; see the note on 8:10.</w:t>
      </w:r>
    </w:p>
    <w:p>
      <w:pPr/>
      <w:r>
        <w:rPr>
          <w:lang w:val="en_US" w:bidi="en_US"/>
        </w:rPr>
      </w:r>
      <w:r>
        <w:rPr>
          <w:b/>
          <w:lang w:val="en_US" w:bidi="en_US"/>
        </w:rPr>
        <w:t>The knowledge of the mysteries of the kingdom of God:</w:t>
      </w:r>
      <w:r>
        <w:rPr>
          <w:lang w:val="en_US" w:bidi="en_US"/>
        </w:rPr>
        <w:t xml:space="preserve"> The Greek phrase that the BSB translates as </w:t>
      </w:r>
      <w:r>
        <w:rPr>
          <w:i/>
          <w:lang w:val="en_US" w:bidi="en_US"/>
        </w:rPr>
        <w:t>The knowledge of the mysteries of the kingdom of God</w:t>
      </w:r>
      <w:r>
        <w:rPr>
          <w:lang w:val="en_US" w:bidi="en_US"/>
        </w:rPr>
        <w:t xml:space="preserve"> refers to understanding the secrets about God’s kingdom.</w:t>
      </w:r>
    </w:p>
    <w:p>
      <w:pPr/>
      <w:r>
        <w:rPr>
          <w:lang w:val="en_US" w:bidi="en_US"/>
        </w:rPr>
      </w:r>
      <w:r>
        <w:rPr>
          <w:b/>
          <w:lang w:val="en_US" w:bidi="en_US"/>
        </w:rPr>
        <w:t>the mysteries of the kingdom of God:</w:t>
      </w:r>
      <w:r>
        <w:rPr>
          <w:lang w:val="en_US" w:bidi="en_US"/>
        </w:rPr>
        <w:t xml:space="preserve"> The Greek word that the BSB translates as </w:t>
      </w:r>
      <w:r>
        <w:rPr>
          <w:i/>
          <w:lang w:val="en_US" w:bidi="en_US"/>
        </w:rPr>
        <w:t>mysteries</w:t>
      </w:r>
      <w:r>
        <w:rPr>
          <w:lang w:val="en_US" w:bidi="en_US"/>
        </w:rPr>
        <w:t xml:space="preserve"> refers to truths that were previously hidden or unknown. These truths are known or revealed only to certain people. Here </w:t>
      </w:r>
      <w:r>
        <w:rPr>
          <w:i/>
          <w:lang w:val="en_US" w:bidi="en_US"/>
        </w:rPr>
        <w:t>the mysteries</w:t>
      </w:r>
      <w:r>
        <w:rPr>
          <w:lang w:val="en_US" w:bidi="en_US"/>
        </w:rPr>
        <w:t xml:space="preserve"> were truths about the kingdom of God that people could not understand unless someone revealed the meaning to them. Jesus was now revealing that meaning to his disciples.</w:t>
      </w:r>
    </w:p>
    <w:p>
      <w:pPr/>
      <w:r>
        <w:rPr>
          <w:lang w:val="en_US" w:bidi="en_US"/>
        </w:rPr>
      </w:r>
      <w:r>
        <w:rPr>
          <w:lang w:val="en_US" w:bidi="en_US"/>
        </w:rPr>
        <w:t>Other ways to translate this are:</w:t>
      </w:r>
    </w:p>
    <w:p>
      <w:pPr/>
      <w:r>
        <w:rPr>
          <w:lang w:val="en_US" w:bidi="en_US"/>
        </w:rPr>
      </w:r>
      <w:r>
        <w:rPr>
          <w:lang w:val="en_US" w:bidi="en_US"/>
        </w:rPr>
        <w:t>the mysteries about God’s kingdom/reign</w:t>
      </w:r>
    </w:p>
    <w:p>
      <w:pPr/>
      <w:r>
        <w:rPr>
          <w:lang w:val="en_US" w:bidi="en_US"/>
        </w:rPr>
      </w:r>
      <w:r>
        <w:rPr>
          <w:lang w:val="en_US" w:bidi="en_US"/>
        </w:rPr>
        <w:t>what people have not known before about God’s chieftaincy/reign</w:t>
      </w:r>
    </w:p>
    <w:p>
      <w:pPr/>
      <w:r>
        <w:rPr>
          <w:lang w:val="en_US" w:bidi="en_US"/>
        </w:rPr>
      </w:r>
      <w:r>
        <w:rPr>
          <w:lang w:val="en_US" w:bidi="en_US"/>
        </w:rPr>
        <w:t xml:space="preserve">hidden truths about how God rules </w:t>
      </w:r>
      <w:r>
        <w:rPr>
          <w:lang w:val="en_US" w:bidi="en_US"/>
        </w:rPr>
        <w:t>his people</w:t>
      </w:r>
    </w:p>
    <w:p>
      <w:pPr/>
      <w:r>
        <w:rPr>
          <w:lang w:val="en_US" w:bidi="en_US"/>
        </w:rPr>
      </w:r>
      <w:r>
        <w:rPr>
          <w:lang w:val="en_US" w:bidi="en_US"/>
        </w:rPr>
        <w:t xml:space="preserve">The term </w:t>
      </w:r>
      <w:r>
        <w:rPr>
          <w:i/>
          <w:lang w:val="en_US" w:bidi="en_US"/>
        </w:rPr>
        <w:t>the kingdom of God</w:t>
      </w:r>
      <w:r>
        <w:rPr>
          <w:lang w:val="en_US" w:bidi="en_US"/>
        </w:rPr>
        <w:t xml:space="preserve"> also occurs in 8:1b. See also </w:t>
      </w:r>
      <w:r>
        <w:rPr>
          <w:u w:val="single"/>
          <w:lang w:val="en_US" w:bidi="en_US"/>
        </w:rPr>
        <w:t>kingdom of God</w:t>
      </w:r>
      <w:r>
        <w:rPr>
          <w:lang w:val="en_US" w:bidi="en_US"/>
        </w:rPr>
        <w:t xml:space="preserve"> in KBT.</w:t>
      </w:r>
    </w:p>
    <w:p>
      <w:pPr>
        <w:pStyle w:val="Heading5"/>
      </w:pPr>
      <w:r>
        <w:rPr>
          <w:lang w:val="en_US" w:bidi="en_US"/>
        </w:rPr>
        <w:t>8:10c</w:t>
      </w:r>
    </w:p>
    <w:p>
      <w:pPr/>
      <w:r>
        <w:rPr>
          <w:lang w:val="en_US" w:bidi="en_US"/>
        </w:rPr>
      </w:r>
      <w:r>
        <w:rPr>
          <w:b/>
          <w:lang w:val="en_US" w:bidi="en_US"/>
        </w:rPr>
        <w:t>but to others I speak in parables,</w:t>
      </w:r>
    </w:p>
    <w:p>
      <w:pPr>
        <w:pStyle w:val="ListBullet"/>
        <w:spacing w:line="240" w:lineRule="auto"/>
        <w:ind w:left="720"/>
      </w:pPr>
      <w:r>
        <w:rPr>
          <w:lang w:val="en_US" w:bidi="en_US"/>
        </w:rPr>
      </w:r>
      <w:r>
        <w:rPr>
          <w:lang w:val="en_US" w:bidi="en_US"/>
        </w:rPr>
        <w:t xml:space="preserve">Other </w:t>
      </w:r>
      <w:r>
        <w:rPr>
          <w:lang w:val="en_US" w:bidi="en_US"/>
        </w:rPr>
        <w:t>people</w:t>
      </w:r>
      <w:r>
        <w:rPr>
          <w:lang w:val="en_US" w:bidi="en_US"/>
        </w:rPr>
        <w:t>, however, hear them in parables,</w:t>
      </w:r>
    </w:p>
    <w:p>
      <w:pPr>
        <w:pStyle w:val="ListBullet"/>
        <w:spacing w:line="240" w:lineRule="auto"/>
        <w:ind w:left="720"/>
      </w:pPr>
      <w:r>
        <w:rPr>
          <w:lang w:val="en_US" w:bidi="en_US"/>
        </w:rPr>
      </w:r>
      <w:r>
        <w:rPr>
          <w:lang w:val="en_US" w:bidi="en_US"/>
        </w:rPr>
        <w:t xml:space="preserve">But to people </w:t>
      </w:r>
      <w:r>
        <w:rPr>
          <w:lang w:val="en_US" w:bidi="en_US"/>
        </w:rPr>
        <w:t>who are not my disciples</w:t>
      </w:r>
      <w:r>
        <w:rPr>
          <w:lang w:val="en_US" w:bidi="en_US"/>
        </w:rPr>
        <w:t xml:space="preserve">, I speak about these things </w:t>
      </w:r>
      <w:r>
        <w:rPr>
          <w:lang w:val="en_US" w:bidi="en_US"/>
        </w:rPr>
        <w:t>only</w:t>
      </w:r>
      <w:r>
        <w:rPr>
          <w:lang w:val="en_US" w:bidi="en_US"/>
        </w:rPr>
        <w:t xml:space="preserve"> in parables.</w:t>
      </w:r>
    </w:p>
    <w:p>
      <w:pPr/>
      <w:r>
        <w:rPr>
          <w:lang w:val="en_US" w:bidi="en_US"/>
        </w:rPr>
      </w:r>
      <w:r>
        <w:rPr>
          <w:b/>
          <w:lang w:val="en_US" w:bidi="en_US"/>
        </w:rPr>
        <w:t>to others I speak in parables:</w:t>
      </w:r>
      <w:r>
        <w:rPr>
          <w:lang w:val="en_US" w:bidi="en_US"/>
        </w:rPr>
        <w:t xml:space="preserve"> The Greek phrase that the BSB translates as </w:t>
      </w:r>
      <w:r>
        <w:rPr>
          <w:i/>
          <w:lang w:val="en_US" w:bidi="en_US"/>
        </w:rPr>
        <w:t>to others I speak in parables</w:t>
      </w:r>
      <w:r>
        <w:rPr>
          <w:lang w:val="en_US" w:bidi="en_US"/>
        </w:rPr>
        <w:t xml:space="preserve"> is literally “to others in parables.” The BSB has supplied </w:t>
      </w:r>
      <w:r>
        <w:rPr>
          <w:i/>
          <w:lang w:val="en_US" w:bidi="en_US"/>
        </w:rPr>
        <w:t>I speak</w:t>
      </w:r>
      <w:r>
        <w:rPr>
          <w:lang w:val="en_US" w:bidi="en_US"/>
        </w:rPr>
        <w:t xml:space="preserve"> to make a good English sentence. Other English versions have supplied fewer specific words. For example:</w:t>
      </w:r>
    </w:p>
    <w:p>
      <w:pPr/>
      <w:r>
        <w:rPr>
          <w:lang w:val="en_US" w:bidi="en_US"/>
        </w:rPr>
      </w:r>
      <w:r>
        <w:rPr>
          <w:lang w:val="en_US" w:bidi="en_US"/>
        </w:rPr>
        <w:t>for others they are in parables (NET)</w:t>
      </w:r>
    </w:p>
    <w:p>
      <w:pPr/>
      <w:r>
        <w:rPr>
          <w:lang w:val="en_US" w:bidi="en_US"/>
        </w:rPr>
      </w:r>
      <w:r>
        <w:rPr>
          <w:lang w:val="en_US" w:bidi="en_US"/>
        </w:rPr>
        <w:t>the others have only parables (REB)</w:t>
      </w:r>
    </w:p>
    <w:p>
      <w:pPr/>
      <w:r>
        <w:rPr>
          <w:lang w:val="en_US" w:bidi="en_US"/>
        </w:rPr>
      </w:r>
      <w:r>
        <w:rPr>
          <w:lang w:val="en_US" w:bidi="en_US"/>
        </w:rPr>
        <w:t>There is implied information here. The text implies that other people have not been permitted to know the secrets of the kingdom of God. (See Matthew 13:11.) Consider if it would be necessary to include this implied information in your translation. For example:</w:t>
      </w:r>
    </w:p>
    <w:p>
      <w:pPr/>
      <w:r>
        <w:rPr>
          <w:lang w:val="en_US" w:bidi="en_US"/>
        </w:rPr>
      </w:r>
      <w:r>
        <w:rPr>
          <w:lang w:val="en_US" w:bidi="en_US"/>
        </w:rPr>
        <w:t xml:space="preserve">To others </w:t>
      </w:r>
      <w:r>
        <w:rPr>
          <w:lang w:val="en_US" w:bidi="en_US"/>
        </w:rPr>
        <w:t>it has not been given to know these secrets. Instead, for them the secrets are hidden</w:t>
      </w:r>
      <w:r>
        <w:rPr>
          <w:lang w:val="en_US" w:bidi="en_US"/>
        </w:rPr>
        <w:t xml:space="preserve"> in parables</w:t>
      </w:r>
    </w:p>
    <w:p>
      <w:pPr/>
      <w:r>
        <w:rPr>
          <w:lang w:val="en_US" w:bidi="en_US"/>
        </w:rPr>
      </w:r>
      <w:r>
        <w:rPr>
          <w:b/>
          <w:lang w:val="en_US" w:bidi="en_US"/>
        </w:rPr>
        <w:t>others:</w:t>
      </w:r>
      <w:r>
        <w:rPr>
          <w:lang w:val="en_US" w:bidi="en_US"/>
        </w:rPr>
        <w:t xml:space="preserve"> The Greek word that the BSB translates as </w:t>
      </w:r>
      <w:r>
        <w:rPr>
          <w:i/>
          <w:lang w:val="en_US" w:bidi="en_US"/>
        </w:rPr>
        <w:t>others</w:t>
      </w:r>
      <w:r>
        <w:rPr>
          <w:lang w:val="en_US" w:bidi="en_US"/>
        </w:rPr>
        <w:t xml:space="preserve"> refers to people who were not Jesus’ disciples. See the note on “His disciples” in 8:9. In this context Jesus indicated that he used parables to speak about the kingdom of God to people who were not his disciples.</w:t>
      </w:r>
    </w:p>
    <w:p>
      <w:pPr/>
      <w:r>
        <w:rPr>
          <w:lang w:val="en_US" w:bidi="en_US"/>
        </w:rPr>
      </w:r>
      <w:r>
        <w:rPr>
          <w:b/>
          <w:lang w:val="en_US" w:bidi="en_US"/>
        </w:rPr>
        <w:t>parables:</w:t>
      </w:r>
      <w:r>
        <w:rPr>
          <w:lang w:val="en_US" w:bidi="en_US"/>
        </w:rPr>
        <w:t xml:space="preserve"> The word </w:t>
      </w:r>
      <w:r>
        <w:rPr>
          <w:i/>
          <w:lang w:val="en_US" w:bidi="en_US"/>
        </w:rPr>
        <w:t>parables</w:t>
      </w:r>
      <w:r>
        <w:rPr>
          <w:lang w:val="en_US" w:bidi="en_US"/>
        </w:rPr>
        <w:t xml:space="preserve"> refers here to all the types of comparisons that the Greek word can describe. Some of these comparisons are metaphors, illustrations, symbolic stories, and sayings.</w:t>
      </w:r>
    </w:p>
    <w:p>
      <w:pPr>
        <w:pStyle w:val="Heading5"/>
      </w:pPr>
      <w:r>
        <w:rPr>
          <w:lang w:val="en_US" w:bidi="en_US"/>
        </w:rPr>
        <w:t>8:10d</w:t>
      </w:r>
    </w:p>
    <w:p>
      <w:pPr/>
      <w:r>
        <w:rPr>
          <w:lang w:val="en_US" w:bidi="en_US"/>
        </w:rPr>
      </w:r>
      <w:r>
        <w:rPr>
          <w:b/>
          <w:lang w:val="en_US" w:bidi="en_US"/>
        </w:rPr>
        <w:t>so that, ‘though seeing, they may not see;</w:t>
      </w:r>
    </w:p>
    <w:p>
      <w:pPr>
        <w:pStyle w:val="ListBullet"/>
        <w:spacing w:line="240" w:lineRule="auto"/>
        <w:ind w:left="720"/>
      </w:pPr>
      <w:r>
        <w:rPr>
          <w:lang w:val="en_US" w:bidi="en_US"/>
        </w:rPr>
      </w:r>
      <w:r>
        <w:rPr>
          <w:lang w:val="en_US" w:bidi="en_US"/>
        </w:rPr>
        <w:t>so that ‘even though they see, they may not perceive,</w:t>
      </w:r>
    </w:p>
    <w:p>
      <w:pPr>
        <w:pStyle w:val="ListBullet"/>
        <w:spacing w:line="240" w:lineRule="auto"/>
        <w:ind w:left="720"/>
      </w:pPr>
      <w:r>
        <w:rPr>
          <w:lang w:val="en_US" w:bidi="en_US"/>
        </w:rPr>
      </w:r>
      <w:r>
        <w:rPr>
          <w:lang w:val="en_US" w:bidi="en_US"/>
        </w:rPr>
        <w:t>so that</w:t>
      </w:r>
      <w:r>
        <w:rPr>
          <w:lang w:val="en_US" w:bidi="en_US"/>
        </w:rPr>
        <w:t xml:space="preserve"> ‘they will see </w:t>
      </w:r>
      <w:r>
        <w:rPr>
          <w:lang w:val="en_US" w:bidi="en_US"/>
        </w:rPr>
        <w:t>what I do</w:t>
      </w:r>
      <w:r>
        <w:rPr>
          <w:lang w:val="en_US" w:bidi="en_US"/>
        </w:rPr>
        <w:t xml:space="preserve">, but they will not see/understand </w:t>
      </w:r>
      <w:r>
        <w:rPr>
          <w:lang w:val="en_US" w:bidi="en_US"/>
        </w:rPr>
        <w:t>what it really means</w:t>
      </w:r>
      <w:r>
        <w:rPr>
          <w:lang w:val="en_US" w:bidi="en_US"/>
        </w:rPr>
        <w:t>.</w:t>
      </w:r>
    </w:p>
    <w:p>
      <w:pPr>
        <w:pStyle w:val="Heading5"/>
      </w:pPr>
      <w:r>
        <w:rPr>
          <w:lang w:val="en_US" w:bidi="en_US"/>
        </w:rPr>
        <w:t>8:10d–e</w:t>
      </w:r>
    </w:p>
    <w:p>
      <w:pPr/>
      <w:r>
        <w:rPr>
          <w:lang w:val="en_US" w:bidi="en_US"/>
        </w:rPr>
      </w:r>
      <w:r>
        <w:rPr>
          <w:lang w:val="en_US" w:bidi="en_US"/>
        </w:rPr>
        <w:t>The words after “so that” in 8:10c–d are a quote from Isaiah 6:9. This is why the BSB uses quotation marks to introduce the saying that follows. It also indents the lines in a special way. If you usually introduce Old Testament Scripture in a particular way, you may want to do so here, as well. For example:</w:t>
      </w:r>
    </w:p>
    <w:p>
      <w:pPr/>
      <w:r>
        <w:rPr>
          <w:lang w:val="en_US" w:bidi="en_US"/>
        </w:rPr>
      </w:r>
      <w:r>
        <w:rPr>
          <w:lang w:val="en_US" w:bidi="en_US"/>
        </w:rPr>
        <w:t>…so that (as the Scriptures say),</w:t>
      </w:r>
    </w:p>
    <w:p>
      <w:pPr/>
      <w:r>
        <w:rPr>
          <w:lang w:val="en_US" w:bidi="en_US"/>
        </w:rPr>
      </w:r>
      <w:r>
        <w:rPr>
          <w:lang w:val="en_US" w:bidi="en_US"/>
        </w:rPr>
        <w:t>‘though seeing, they may not see,</w:t>
      </w:r>
    </w:p>
    <w:p>
      <w:pPr/>
      <w:r>
        <w:rPr>
          <w:lang w:val="en_US" w:bidi="en_US"/>
        </w:rPr>
      </w:r>
      <w:r>
        <w:rPr>
          <w:lang w:val="en_US" w:bidi="en_US"/>
        </w:rPr>
        <w:t>though hearing, they may not</w:t>
      </w:r>
    </w:p>
    <w:p>
      <w:pPr/>
      <w:r>
        <w:rPr>
          <w:lang w:val="en_US" w:bidi="en_US"/>
        </w:rPr>
      </w:r>
      <w:r>
        <w:rPr>
          <w:lang w:val="en_US" w:bidi="en_US"/>
        </w:rPr>
        <w:t>understand.’</w:t>
      </w:r>
    </w:p>
    <w:p>
      <w:pPr/>
      <w:r>
        <w:rPr>
          <w:lang w:val="en_US" w:bidi="en_US"/>
        </w:rPr>
      </w:r>
      <w:r>
        <w:rPr>
          <w:b/>
          <w:lang w:val="en_US" w:bidi="en_US"/>
        </w:rPr>
        <w:t>so that:</w:t>
      </w:r>
      <w:r>
        <w:rPr>
          <w:lang w:val="en_US" w:bidi="en_US"/>
        </w:rPr>
        <w:t xml:space="preserve"> The Greek word that the BSB translates as </w:t>
      </w:r>
      <w:r>
        <w:rPr>
          <w:i/>
          <w:lang w:val="en_US" w:bidi="en_US"/>
        </w:rPr>
        <w:t>so that</w:t>
      </w:r>
      <w:r>
        <w:rPr>
          <w:lang w:val="en_US" w:bidi="en_US"/>
        </w:rPr>
        <w:t xml:space="preserve"> here introduces a quotation from Isaiah 6:9. Jesus used this quotation to explain to his followers why he spoke in parables. He did this so that the people who did not want to believe and obey him would not understand the truths that the parables illustrated. Most English versions introduce this quotation with </w:t>
      </w:r>
      <w:r>
        <w:rPr>
          <w:i/>
          <w:lang w:val="en_US" w:bidi="en_US"/>
        </w:rPr>
        <w:t>so that</w:t>
      </w:r>
      <w:r>
        <w:rPr>
          <w:lang w:val="en_US" w:bidi="en_US"/>
        </w:rPr>
        <w:t xml:space="preserve"> (as in the BSB). Some do not use a connector. Translate this connection in a natural way in your language.</w:t>
      </w:r>
    </w:p>
    <w:p>
      <w:pPr/>
      <w:r>
        <w:rPr>
          <w:lang w:val="en_US" w:bidi="en_US"/>
        </w:rPr>
      </w:r>
      <w:r>
        <w:rPr>
          <w:b/>
          <w:lang w:val="en_US" w:bidi="en_US"/>
        </w:rPr>
        <w:t>though seeing, they may not see:</w:t>
      </w:r>
      <w:r>
        <w:rPr>
          <w:lang w:val="en_US" w:bidi="en_US"/>
        </w:rPr>
        <w:t xml:space="preserve"> There is a contrast here between </w:t>
      </w:r>
      <w:r>
        <w:rPr>
          <w:i/>
          <w:lang w:val="en_US" w:bidi="en_US"/>
        </w:rPr>
        <w:t>seeing</w:t>
      </w:r>
      <w:r>
        <w:rPr>
          <w:lang w:val="en_US" w:bidi="en_US"/>
        </w:rPr>
        <w:t xml:space="preserve"> and </w:t>
      </w:r>
      <w:r>
        <w:rPr>
          <w:i/>
          <w:lang w:val="en_US" w:bidi="en_US"/>
        </w:rPr>
        <w:t>they may not see</w:t>
      </w:r>
      <w:r>
        <w:rPr>
          <w:lang w:val="en_US" w:bidi="en_US"/>
        </w:rPr>
        <w:t xml:space="preserve">. The BSB has supplied the word </w:t>
      </w:r>
      <w:r>
        <w:rPr>
          <w:i/>
          <w:lang w:val="en_US" w:bidi="en_US"/>
        </w:rPr>
        <w:t>though</w:t>
      </w:r>
      <w:r>
        <w:rPr>
          <w:lang w:val="en_US" w:bidi="en_US"/>
        </w:rPr>
        <w:t xml:space="preserve"> to indicate that this is an unexpected contrast. Many English versions use the conjunction “but.” For example:</w:t>
      </w:r>
    </w:p>
    <w:p>
      <w:pPr/>
      <w:r>
        <w:rPr>
          <w:lang w:val="en_US" w:bidi="en_US"/>
        </w:rPr>
      </w:r>
      <w:r>
        <w:rPr>
          <w:lang w:val="en_US" w:bidi="en_US"/>
        </w:rPr>
        <w:t>they may look but see nothing (REB)</w:t>
      </w:r>
    </w:p>
    <w:p>
      <w:pPr/>
      <w:r>
        <w:rPr>
          <w:lang w:val="en_US" w:bidi="en_US"/>
        </w:rPr>
      </w:r>
      <w:r>
        <w:rPr>
          <w:lang w:val="en_US" w:bidi="en_US"/>
        </w:rPr>
        <w:t>This clause describes people who see, so we would expect them to also perceive and understand, but they do not.</w:t>
      </w:r>
    </w:p>
    <w:p>
      <w:pPr/>
      <w:r>
        <w:rPr>
          <w:lang w:val="en_US" w:bidi="en_US"/>
        </w:rPr>
      </w:r>
      <w:r>
        <w:rPr>
          <w:b/>
          <w:lang w:val="en_US" w:bidi="en_US"/>
        </w:rPr>
        <w:t>seeing, they may not see:</w:t>
      </w:r>
      <w:r>
        <w:rPr>
          <w:lang w:val="en_US" w:bidi="en_US"/>
        </w:rPr>
        <w:t xml:space="preserve"> The Greek words that the BSB translates as </w:t>
      </w:r>
      <w:r>
        <w:rPr>
          <w:i/>
          <w:lang w:val="en_US" w:bidi="en_US"/>
        </w:rPr>
        <w:t>seeing</w:t>
      </w:r>
      <w:r>
        <w:rPr>
          <w:lang w:val="en_US" w:bidi="en_US"/>
        </w:rPr>
        <w:t xml:space="preserve"> and </w:t>
      </w:r>
      <w:r>
        <w:rPr>
          <w:i/>
          <w:lang w:val="en_US" w:bidi="en_US"/>
        </w:rPr>
        <w:t>see</w:t>
      </w:r>
      <w:r>
        <w:rPr>
          <w:lang w:val="en_US" w:bidi="en_US"/>
        </w:rPr>
        <w:t xml:space="preserve"> are different forms of the same verb. However, they are used in different senses here. The first form, </w:t>
      </w:r>
      <w:r>
        <w:rPr>
          <w:i/>
          <w:lang w:val="en_US" w:bidi="en_US"/>
        </w:rPr>
        <w:t>seeing</w:t>
      </w:r>
      <w:r>
        <w:rPr>
          <w:lang w:val="en_US" w:bidi="en_US"/>
        </w:rPr>
        <w:t xml:space="preserve">, refers literally to seeing something such as a person, object, or event. The second form, </w:t>
      </w:r>
      <w:r>
        <w:rPr>
          <w:i/>
          <w:lang w:val="en_US" w:bidi="en_US"/>
        </w:rPr>
        <w:t>see</w:t>
      </w:r>
      <w:r>
        <w:rPr>
          <w:lang w:val="en_US" w:bidi="en_US"/>
        </w:rPr>
        <w:t>, refers figuratively to understanding the meaning of what is seen. In some languages it may be necessary to use different verbs for these ideas. For example:</w:t>
      </w:r>
    </w:p>
    <w:p>
      <w:pPr/>
      <w:r>
        <w:rPr>
          <w:lang w:val="en_US" w:bidi="en_US"/>
        </w:rPr>
      </w:r>
      <w:r>
        <w:rPr>
          <w:lang w:val="en_US" w:bidi="en_US"/>
        </w:rPr>
        <w:t>they may look but not perceive (NJB)</w:t>
      </w:r>
    </w:p>
    <w:p>
      <w:pPr/>
      <w:r>
        <w:rPr>
          <w:lang w:val="en_US" w:bidi="en_US"/>
        </w:rPr>
      </w:r>
      <w:r>
        <w:rPr>
          <w:lang w:val="en_US" w:bidi="en_US"/>
        </w:rPr>
        <w:t>When they look, they don’t see (GW)</w:t>
      </w:r>
    </w:p>
    <w:p>
      <w:pPr/>
      <w:r>
        <w:rPr>
          <w:lang w:val="en_US" w:bidi="en_US"/>
        </w:rPr>
      </w:r>
      <w:r>
        <w:rPr>
          <w:lang w:val="en_US" w:bidi="en_US"/>
        </w:rPr>
        <w:t>Another possibility is to modify one of the verbs. For example:</w:t>
      </w:r>
    </w:p>
    <w:p>
      <w:pPr/>
      <w:r>
        <w:rPr>
          <w:lang w:val="en_US" w:bidi="en_US"/>
        </w:rPr>
      </w:r>
      <w:r>
        <w:rPr>
          <w:lang w:val="en_US" w:bidi="en_US"/>
        </w:rPr>
        <w:t xml:space="preserve">even though they are seeing, they are not </w:t>
      </w:r>
      <w:r>
        <w:rPr>
          <w:u w:val="single"/>
          <w:lang w:val="en_US" w:bidi="en_US"/>
        </w:rPr>
        <w:t>really/truly</w:t>
      </w:r>
      <w:r>
        <w:rPr>
          <w:lang w:val="en_US" w:bidi="en_US"/>
        </w:rPr>
        <w:t xml:space="preserve"> seeing</w:t>
      </w:r>
    </w:p>
    <w:p>
      <w:pPr/>
      <w:r>
        <w:rPr>
          <w:lang w:val="en_US" w:bidi="en_US"/>
        </w:rPr>
      </w:r>
      <w:r>
        <w:rPr>
          <w:lang w:val="en_US" w:bidi="en_US"/>
        </w:rPr>
        <w:t>In some languages it may be necessary to supply objects for the two verbs. If this is true in your language you can:</w:t>
      </w:r>
    </w:p>
    <w:p>
      <w:pPr>
        <w:pStyle w:val="ListBullet"/>
        <w:spacing w:line="240" w:lineRule="auto"/>
        <w:ind w:left="720"/>
      </w:pPr>
      <w:r>
        <w:rPr>
          <w:lang w:val="en_US" w:bidi="en_US"/>
        </w:rPr>
      </w:r>
      <w:r>
        <w:rPr>
          <w:lang w:val="en_US" w:bidi="en_US"/>
        </w:rPr>
        <w:t>Use a general object such as “things” or “events”:</w:t>
      </w:r>
      <w:r>
        <w:rPr>
          <w:lang w:val="en_US" w:bidi="en_US"/>
        </w:rPr>
        <w:t xml:space="preserve">even though they see </w:t>
      </w:r>
      <w:r>
        <w:rPr>
          <w:lang w:val="en_US" w:bidi="en_US"/>
        </w:rPr>
        <w:t>things</w:t>
      </w:r>
      <w:r>
        <w:rPr>
          <w:lang w:val="en_US" w:bidi="en_US"/>
        </w:rPr>
        <w:t xml:space="preserve">, they do not perceive </w:t>
      </w:r>
      <w:r>
        <w:rPr>
          <w:lang w:val="en_US" w:bidi="en_US"/>
        </w:rPr>
        <w:t>them</w:t>
      </w:r>
    </w:p>
    <w:p>
      <w:pPr>
        <w:pStyle w:val="ListBullet"/>
        <w:spacing w:line="240" w:lineRule="auto"/>
        <w:ind w:left="720"/>
      </w:pPr>
      <w:r>
        <w:rPr>
          <w:lang w:val="en_US" w:bidi="en_US"/>
        </w:rPr>
      </w:r>
      <w:r>
        <w:rPr>
          <w:lang w:val="en_US" w:bidi="en_US"/>
        </w:rPr>
        <w:t>Use an object that refers to Jesus’ actions:</w:t>
      </w:r>
      <w:r>
        <w:rPr>
          <w:lang w:val="en_US" w:bidi="en_US"/>
        </w:rPr>
        <w:t xml:space="preserve">even though they look at </w:t>
      </w:r>
      <w:r>
        <w:rPr>
          <w:lang w:val="en_US" w:bidi="en_US"/>
        </w:rPr>
        <w:t>what I do</w:t>
      </w:r>
      <w:r>
        <w:rPr>
          <w:lang w:val="en_US" w:bidi="en_US"/>
        </w:rPr>
        <w:t xml:space="preserve">, they do not see </w:t>
      </w:r>
      <w:r>
        <w:rPr>
          <w:lang w:val="en_US" w:bidi="en_US"/>
        </w:rPr>
        <w:t>it</w:t>
      </w:r>
    </w:p>
    <w:p>
      <w:pPr>
        <w:pStyle w:val="Heading5"/>
      </w:pPr>
      <w:r>
        <w:rPr>
          <w:lang w:val="en_US" w:bidi="en_US"/>
        </w:rPr>
        <w:t>8:10e</w:t>
      </w:r>
    </w:p>
    <w:p>
      <w:pPr/>
      <w:r>
        <w:rPr>
          <w:lang w:val="en_US" w:bidi="en_US"/>
        </w:rPr>
      </w:r>
      <w:r>
        <w:rPr>
          <w:b/>
          <w:lang w:val="en_US" w:bidi="en_US"/>
        </w:rPr>
        <w:t>though hearing, they may not understand.’</w:t>
      </w:r>
    </w:p>
    <w:p>
      <w:pPr>
        <w:pStyle w:val="ListBullet"/>
        <w:spacing w:line="240" w:lineRule="auto"/>
        <w:ind w:left="720"/>
      </w:pPr>
      <w:r>
        <w:rPr>
          <w:lang w:val="en_US" w:bidi="en_US"/>
        </w:rPr>
      </w:r>
      <w:r>
        <w:rPr>
          <w:lang w:val="en_US" w:bidi="en_US"/>
        </w:rPr>
        <w:t>and even though they hear/listen, they may not comprehend/understand.'"</w:t>
      </w:r>
    </w:p>
    <w:p>
      <w:pPr>
        <w:pStyle w:val="ListBullet"/>
        <w:spacing w:line="240" w:lineRule="auto"/>
        <w:ind w:left="720"/>
      </w:pPr>
      <w:r>
        <w:rPr>
          <w:lang w:val="en_US" w:bidi="en_US"/>
        </w:rPr>
      </w:r>
      <w:r>
        <w:rPr>
          <w:lang w:val="en_US" w:bidi="en_US"/>
        </w:rPr>
        <w:t xml:space="preserve">And they will hear </w:t>
      </w:r>
      <w:r>
        <w:rPr>
          <w:lang w:val="en_US" w:bidi="en_US"/>
        </w:rPr>
        <w:t>what I say</w:t>
      </w:r>
      <w:r>
        <w:rPr>
          <w:lang w:val="en_US" w:bidi="en_US"/>
        </w:rPr>
        <w:t xml:space="preserve">, but they will not understand </w:t>
      </w:r>
      <w:r>
        <w:rPr>
          <w:lang w:val="en_US" w:bidi="en_US"/>
        </w:rPr>
        <w:t>what I mean</w:t>
      </w:r>
      <w:r>
        <w:rPr>
          <w:lang w:val="en_US" w:bidi="en_US"/>
        </w:rPr>
        <w:t>.’</w:t>
      </w:r>
    </w:p>
    <w:p>
      <w:pPr/>
      <w:r>
        <w:rPr>
          <w:lang w:val="en_US" w:bidi="en_US"/>
        </w:rPr>
      </w:r>
      <w:r>
        <w:rPr>
          <w:b/>
          <w:lang w:val="en_US" w:bidi="en_US"/>
        </w:rPr>
        <w:t>though:</w:t>
      </w:r>
      <w:r>
        <w:rPr>
          <w:lang w:val="en_US" w:bidi="en_US"/>
        </w:rPr>
        <w:t xml:space="preserve"> Here the word </w:t>
      </w:r>
      <w:r>
        <w:rPr>
          <w:i/>
          <w:lang w:val="en_US" w:bidi="en_US"/>
        </w:rPr>
        <w:t>though</w:t>
      </w:r>
      <w:r>
        <w:rPr>
          <w:lang w:val="en_US" w:bidi="en_US"/>
        </w:rPr>
        <w:t xml:space="preserve"> is used in the same way as in 8:10d. See the note on </w:t>
      </w:r>
      <w:r>
        <w:rPr>
          <w:i/>
          <w:lang w:val="en_US" w:bidi="en_US"/>
        </w:rPr>
        <w:t>though</w:t>
      </w:r>
      <w:r>
        <w:rPr>
          <w:lang w:val="en_US" w:bidi="en_US"/>
        </w:rPr>
        <w:t xml:space="preserve"> at 8:10d–e.</w:t>
      </w:r>
    </w:p>
    <w:p>
      <w:pPr/>
      <w:r>
        <w:rPr>
          <w:lang w:val="en_US" w:bidi="en_US"/>
        </w:rPr>
      </w:r>
      <w:r>
        <w:rPr>
          <w:b/>
          <w:lang w:val="en_US" w:bidi="en_US"/>
        </w:rPr>
        <w:t>hearing, they may not understand:</w:t>
      </w:r>
      <w:r>
        <w:rPr>
          <w:lang w:val="en_US" w:bidi="en_US"/>
        </w:rPr>
        <w:t xml:space="preserve"> The Greek verb that the BSB translates as </w:t>
      </w:r>
      <w:r>
        <w:rPr>
          <w:i/>
          <w:lang w:val="en_US" w:bidi="en_US"/>
        </w:rPr>
        <w:t>hearing</w:t>
      </w:r>
      <w:r>
        <w:rPr>
          <w:lang w:val="en_US" w:bidi="en_US"/>
        </w:rPr>
        <w:t xml:space="preserve"> refers to the physical act of hearing something. The Greek verb that the BSB translates as </w:t>
      </w:r>
      <w:r>
        <w:rPr>
          <w:i/>
          <w:lang w:val="en_US" w:bidi="en_US"/>
        </w:rPr>
        <w:t>understand</w:t>
      </w:r>
      <w:r>
        <w:rPr>
          <w:lang w:val="en_US" w:bidi="en_US"/>
        </w:rPr>
        <w:t xml:space="preserve"> refers to comprehending what is heard. Here there is a contrast between these two actions.</w:t>
      </w:r>
    </w:p>
    <w:p>
      <w:pPr/>
      <w:r>
        <w:rPr>
          <w:lang w:val="en_US" w:bidi="en_US"/>
        </w:rPr>
      </w:r>
      <w:r>
        <w:rPr>
          <w:lang w:val="en_US" w:bidi="en_US"/>
        </w:rPr>
        <w:t xml:space="preserve">In some languages it may be necessary to supply objects for </w:t>
      </w:r>
      <w:r>
        <w:rPr>
          <w:i/>
          <w:lang w:val="en_US" w:bidi="en_US"/>
        </w:rPr>
        <w:t>hearing</w:t>
      </w:r>
      <w:r>
        <w:rPr>
          <w:lang w:val="en_US" w:bidi="en_US"/>
        </w:rPr>
        <w:t xml:space="preserve"> and </w:t>
      </w:r>
      <w:r>
        <w:rPr>
          <w:i/>
          <w:lang w:val="en_US" w:bidi="en_US"/>
        </w:rPr>
        <w:t>understand</w:t>
      </w:r>
      <w:r>
        <w:rPr>
          <w:lang w:val="en_US" w:bidi="en_US"/>
        </w:rPr>
        <w:t>. If this is true in your language, you should choose an option that is similar to the one you chose in 8:10c. For example:</w:t>
      </w:r>
    </w:p>
    <w:p>
      <w:pPr>
        <w:pStyle w:val="ListBullet"/>
        <w:spacing w:line="240" w:lineRule="auto"/>
        <w:ind w:left="720"/>
      </w:pPr>
      <w:r>
        <w:rPr>
          <w:lang w:val="en_US" w:bidi="en_US"/>
        </w:rPr>
      </w:r>
      <w:r>
        <w:rPr>
          <w:lang w:val="en_US" w:bidi="en_US"/>
        </w:rPr>
        <w:t>Use a general object:</w:t>
      </w:r>
      <w:r>
        <w:rPr>
          <w:lang w:val="en_US" w:bidi="en_US"/>
        </w:rPr>
        <w:t>although they hear words, they do not understand them</w:t>
      </w:r>
    </w:p>
    <w:p>
      <w:pPr>
        <w:pStyle w:val="ListBullet"/>
        <w:spacing w:line="240" w:lineRule="auto"/>
        <w:ind w:left="720"/>
      </w:pPr>
      <w:r>
        <w:rPr>
          <w:lang w:val="en_US" w:bidi="en_US"/>
        </w:rPr>
      </w:r>
      <w:r>
        <w:rPr>
          <w:lang w:val="en_US" w:bidi="en_US"/>
        </w:rPr>
        <w:t>Use an object that refers specifically to Jesus’ teaching:</w:t>
      </w:r>
      <w:r>
        <w:rPr>
          <w:lang w:val="en_US" w:bidi="en_US"/>
        </w:rPr>
        <w:t xml:space="preserve">although they hear </w:t>
      </w:r>
      <w:r>
        <w:rPr>
          <w:lang w:val="en_US" w:bidi="en_US"/>
        </w:rPr>
        <w:t>what I teach</w:t>
      </w:r>
      <w:r>
        <w:rPr>
          <w:lang w:val="en_US" w:bidi="en_US"/>
        </w:rPr>
        <w:t xml:space="preserve">, they do not understand </w:t>
      </w:r>
      <w:r>
        <w:rPr>
          <w:lang w:val="en_US" w:bidi="en_US"/>
        </w:rPr>
        <w:t>what it means</w:t>
      </w:r>
      <w:r>
        <w:rPr>
          <w:lang w:val="en_US" w:bidi="en_US"/>
        </w:rPr>
      </w:r>
      <w:r>
        <w:rPr>
          <w:lang w:val="en_US" w:bidi="en_US"/>
        </w:rPr>
      </w:r>
    </w:p>
    <w:p>
      <w:pPr/>
      <w:r>
        <w:rPr>
          <w:lang w:val="en_US" w:bidi="en_US"/>
        </w:rPr>
      </w:r>
    </w:p>
    <w:p>
      <w:pPr>
        <w:pStyle w:val="Heading2"/>
      </w:pPr>
      <w:r>
        <w:rPr>
          <w:lang w:val="en_US" w:bidi="en_US"/>
        </w:rPr>
        <w:t>Luke 8:11</w:t>
      </w:r>
      <w:r>
        <w:rPr>
          <w:lang w:val="en_US" w:bidi="en_US"/>
        </w:rPr>
      </w:r>
    </w:p>
    <w:p>
      <w:pPr>
        <w:pStyle w:val="Heading4"/>
      </w:pPr>
      <w:r>
        <w:rPr>
          <w:lang w:val="en_US" w:bidi="en_US"/>
        </w:rPr>
        <w:t>Section 8:9–15: Jesus explained the parable about four types of soil</w:t>
      </w:r>
    </w:p>
    <w:p>
      <w:pPr/>
      <w:r>
        <w:rPr>
          <w:lang w:val="en_US" w:bidi="en_US"/>
        </w:rPr>
      </w:r>
      <w:r>
        <w:rPr>
          <w:lang w:val="en_US" w:bidi="en_US"/>
        </w:rPr>
        <w:t>In 8:9–10 Jesus explained why he taught in parables. Then in 8:11–15 he explained the meaning of the parable in 8:1–8b. The basic meaning of Jesus’ explanation is clear. However, there are questions about the meaning of the seed in this section. In 8:11 the seed refers to the word of God. In 8:12–15 what is sown seems to refer to the people who hear the word. This has led to several interpretations for the seed in 8:12–15.</w:t>
      </w:r>
    </w:p>
    <w:p>
      <w:pPr/>
      <w:r>
        <w:rPr>
          <w:lang w:val="en_US" w:bidi="en_US"/>
        </w:rPr>
      </w:r>
      <w:r>
        <w:rPr>
          <w:lang w:val="en_US" w:bidi="en_US"/>
        </w:rPr>
        <w:t>The interpretation that the Notes follows is that in 8:12–15 the seed continues to represent the word. The introductory expressions such as “those on/beside/in…are…” (RSV) refer generally to four different ways in which people hear and respond to the word.</w:t>
      </w:r>
    </w:p>
    <w:p>
      <w:pPr/>
      <w:r>
        <w:rPr>
          <w:lang w:val="en_US" w:bidi="en_US"/>
        </w:rPr>
      </w:r>
      <w:r>
        <w:rPr>
          <w:lang w:val="en_US" w:bidi="en_US"/>
        </w:rPr>
        <w:t>Many scholars support this interpretation in their commentaries. In some versions the seed appears to refer to the people. However, even in these versions, the text implies that the seed of the word has different results in different kinds of people.</w:t>
      </w:r>
    </w:p>
    <w:p>
      <w:pPr/>
      <w:r>
        <w:rPr>
          <w:lang w:val="en_US" w:bidi="en_US"/>
        </w:rPr>
      </w:r>
      <w:r>
        <w:rPr>
          <w:lang w:val="en_US" w:bidi="en_US"/>
        </w:rPr>
        <w:t>Here is the meaning of the main metaphors in the parable:</w:t>
      </w:r>
    </w:p>
    <w:p>
      <w:pPr>
        <w:pStyle w:val="ListNumber"/>
        <w:numPr>
          <w:ilvl w:val="0"/>
          <w:numId w:val="173"/>
        </w:numPr>
        <w:spacing w:line="240" w:lineRule="auto"/>
        <w:ind w:left="720"/>
      </w:pPr>
      <w:r>
        <w:rPr>
          <w:lang w:val="en_US" w:bidi="en_US"/>
        </w:rPr>
      </w:r>
      <w:r>
        <w:rPr>
          <w:lang w:val="en_US" w:bidi="en_US"/>
        </w:rPr>
        <w:t xml:space="preserve">The </w:t>
      </w:r>
      <w:r>
        <w:rPr>
          <w:u w:val="single"/>
          <w:lang w:val="en_US" w:bidi="en_US"/>
        </w:rPr>
        <w:t>seeds</w:t>
      </w:r>
      <w:r>
        <w:rPr>
          <w:lang w:val="en_US" w:bidi="en_US"/>
        </w:rPr>
        <w:t xml:space="preserve"> represent </w:t>
      </w:r>
      <w:r>
        <w:rPr>
          <w:b/>
          <w:lang w:val="en_US" w:bidi="en_US"/>
        </w:rPr>
        <w:t>the word,</w:t>
      </w:r>
      <w:r>
        <w:rPr>
          <w:lang w:val="en_US" w:bidi="en_US"/>
        </w:rPr>
        <w:t xml:space="preserve"> which is </w:t>
      </w:r>
      <w:r>
        <w:rPr>
          <w:b/>
          <w:lang w:val="en_US" w:bidi="en_US"/>
        </w:rPr>
        <w:t>the message from God.</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b/>
          <w:lang w:val="en_US" w:bidi="en_US"/>
        </w:rPr>
        <w:t>telling the message to people.</w:t>
      </w:r>
    </w:p>
    <w:p>
      <w:pPr>
        <w:pStyle w:val="ListNumber"/>
        <w:spacing w:line="240" w:lineRule="auto"/>
        <w:ind w:left="720"/>
      </w:pPr>
      <w:r>
        <w:rPr>
          <w:lang w:val="en_US" w:bidi="en_US"/>
        </w:rPr>
      </w:r>
      <w:r>
        <w:rPr>
          <w:lang w:val="en_US" w:bidi="en_US"/>
        </w:rPr>
        <w:t xml:space="preserve">The </w:t>
      </w:r>
      <w:r>
        <w:rPr>
          <w:u w:val="single"/>
          <w:lang w:val="en_US" w:bidi="en_US"/>
        </w:rPr>
        <w:t>different kinds of soil</w:t>
      </w:r>
      <w:r>
        <w:rPr>
          <w:lang w:val="en_US" w:bidi="en_US"/>
        </w:rPr>
        <w:t xml:space="preserve"> represent </w:t>
      </w:r>
      <w:r>
        <w:rPr>
          <w:b/>
          <w:lang w:val="en_US" w:bidi="en_US"/>
        </w:rPr>
        <w:t>the way different people hear the message.</w:t>
      </w:r>
    </w:p>
    <w:p>
      <w:pPr/>
      <w:r>
        <w:rPr>
          <w:lang w:val="en_US" w:bidi="en_US"/>
        </w:rPr>
      </w:r>
      <w:r>
        <w:rPr>
          <w:lang w:val="en_US" w:bidi="en_US"/>
        </w:rPr>
        <w:t>This section heading should be similar to the section heading for 8:1–10. You may use the word “explained” or “Jesus explained” (instead of “Jesus told”).</w:t>
      </w:r>
    </w:p>
    <w:p>
      <w:pPr/>
      <w:r>
        <w:rPr>
          <w:lang w:val="en_US" w:bidi="en_US"/>
        </w:rPr>
      </w:r>
      <w:r>
        <w:rPr>
          <w:lang w:val="en_US" w:bidi="en_US"/>
        </w:rPr>
        <w:t>Some other possible headings for this section are:</w:t>
      </w:r>
    </w:p>
    <w:p>
      <w:pPr/>
      <w:r>
        <w:rPr>
          <w:lang w:val="en_US" w:bidi="en_US"/>
        </w:rPr>
      </w:r>
      <w:r>
        <w:rPr>
          <w:lang w:val="en_US" w:bidi="en_US"/>
        </w:rPr>
        <w:t xml:space="preserve">Jesus explained the parable of the sower </w:t>
      </w:r>
      <w:r>
        <w:rPr>
          <w:lang w:val="en_US" w:bidi="en_US"/>
        </w:rPr>
        <w:t>and the soils</w:t>
      </w:r>
    </w:p>
    <w:p>
      <w:pPr/>
      <w:r>
        <w:rPr>
          <w:lang w:val="en_US" w:bidi="en_US"/>
        </w:rPr>
      </w:r>
      <w:r>
        <w:rPr>
          <w:lang w:val="en_US" w:bidi="en_US"/>
        </w:rPr>
        <w:t>The parable/story/illustration about the four soils explained</w:t>
      </w:r>
    </w:p>
    <w:p>
      <w:pPr/>
      <w:r>
        <w:rPr>
          <w:lang w:val="en_US" w:bidi="en_US"/>
        </w:rPr>
      </w:r>
      <w:r>
        <w:rPr>
          <w:lang w:val="en_US" w:bidi="en_US"/>
        </w:rPr>
        <w:t>The explanation of the parable about four kinds of people</w:t>
      </w:r>
    </w:p>
    <w:p>
      <w:pPr/>
      <w:r>
        <w:rPr>
          <w:lang w:val="en_US" w:bidi="en_US"/>
        </w:rPr>
      </w:r>
      <w:r>
        <w:rPr>
          <w:lang w:val="en_US" w:bidi="en_US"/>
        </w:rPr>
        <w:t>The meaning of the parable of a man scattering seed</w:t>
      </w:r>
    </w:p>
    <w:p>
      <w:pPr/>
      <w:r>
        <w:rPr>
          <w:lang w:val="en_US" w:bidi="en_US"/>
        </w:rPr>
      </w:r>
      <w:r>
        <w:rPr>
          <w:lang w:val="en_US" w:bidi="en_US"/>
        </w:rPr>
        <w:t>There are parallel passages for this section in Matthew 13:18–23 and Mark 4:13–20.</w:t>
      </w:r>
    </w:p>
    <w:p>
      <w:pPr>
        <w:pStyle w:val="Heading5"/>
      </w:pPr>
      <w:r>
        <w:rPr>
          <w:lang w:val="en_US" w:bidi="en_US"/>
        </w:rPr>
        <w:t>8:11a</w:t>
      </w:r>
    </w:p>
    <w:p>
      <w:pPr/>
      <w:r>
        <w:rPr>
          <w:lang w:val="en_US" w:bidi="en_US"/>
        </w:rPr>
      </w:r>
      <w:r>
        <w:rPr>
          <w:b/>
          <w:lang w:val="en_US" w:bidi="en_US"/>
        </w:rPr>
        <w:t>Now this is the meaning of the parable:</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“This is what the parable means:</w:t>
      </w:r>
    </w:p>
    <w:p>
      <w:pPr>
        <w:pStyle w:val="ListBullet"/>
        <w:spacing w:line="240" w:lineRule="auto"/>
        <w:ind w:left="720"/>
      </w:pPr>
      <w:r>
        <w:rPr>
          <w:lang w:val="en_US" w:bidi="en_US"/>
        </w:rPr>
      </w:r>
      <w:r>
        <w:rPr>
          <w:lang w:val="en_US" w:bidi="en_US"/>
        </w:rPr>
        <w:t>¶ “</w:t>
      </w:r>
      <w:r>
        <w:rPr>
          <w:lang w:val="en_US" w:bidi="en_US"/>
        </w:rPr>
        <w:t>Now I will tell you</w:t>
      </w:r>
      <w:r>
        <w:rPr>
          <w:lang w:val="en_US" w:bidi="en_US"/>
        </w:rPr>
        <w:t xml:space="preserve"> the meaning of the parable:</w:t>
      </w:r>
    </w:p>
    <w:p>
      <w:pPr/>
      <w:r>
        <w:rPr>
          <w:lang w:val="en_US" w:bidi="en_US"/>
        </w:rPr>
      </w:r>
      <w:r>
        <w:rPr>
          <w:lang w:val="en_US" w:bidi="en_US"/>
        </w:rPr>
        <w:t>In this paragraph Jesus continued to speak, but he did not continue the quotation from the Old Testament in 8:10. He began to answer the question that the disciples asked in 8:9. In some languages it may be natural to introduce this in some way. For example:</w:t>
      </w:r>
    </w:p>
    <w:p>
      <w:pPr/>
      <w:r>
        <w:rPr>
          <w:lang w:val="en_US" w:bidi="en_US"/>
        </w:rPr>
      </w:r>
      <w:r>
        <w:rPr>
          <w:lang w:val="en_US" w:bidi="en_US"/>
        </w:rPr>
        <w:t>Jesus continued</w:t>
      </w:r>
    </w:p>
    <w:p>
      <w:pPr/>
      <w:r>
        <w:rPr>
          <w:lang w:val="en_US" w:bidi="en_US"/>
        </w:rPr>
      </w:r>
      <w:r>
        <w:rPr>
          <w:lang w:val="en_US" w:bidi="en_US"/>
        </w:rPr>
        <w:t>Then Jesus said</w:t>
      </w:r>
    </w:p>
    <w:p>
      <w:pPr/>
      <w:r>
        <w:rPr>
          <w:lang w:val="en_US" w:bidi="en_US"/>
        </w:rPr>
      </w:r>
      <w:r>
        <w:rPr>
          <w:b/>
          <w:lang w:val="en_US" w:bidi="en_US"/>
        </w:rPr>
        <w:t>Now this is the meaning of the parable:</w:t>
      </w:r>
      <w:r>
        <w:rPr>
          <w:lang w:val="en_US" w:bidi="en_US"/>
        </w:rPr>
        <w:t xml:space="preserve"> The Greek clause that the BSB translates as </w:t>
      </w:r>
      <w:r>
        <w:rPr>
          <w:i/>
          <w:lang w:val="en_US" w:bidi="en_US"/>
        </w:rPr>
        <w:t>Now this is the meaning of the parable</w:t>
      </w:r>
      <w:r>
        <w:rPr>
          <w:lang w:val="en_US" w:bidi="en_US"/>
        </w:rPr>
        <w:t xml:space="preserve"> introduces the explanation of the parable in 8:1–8b. Introduce this explanation in a natural way in your language.</w:t>
      </w:r>
    </w:p>
    <w:p>
      <w:pPr/>
      <w:r>
        <w:rPr>
          <w:lang w:val="en_US" w:bidi="en_US"/>
        </w:rPr>
      </w:r>
      <w:r>
        <w:rPr>
          <w:lang w:val="en_US" w:bidi="en_US"/>
        </w:rPr>
        <w:t xml:space="preserve">For advice on ways to translate the word </w:t>
      </w:r>
      <w:r>
        <w:rPr>
          <w:i/>
          <w:lang w:val="en_US" w:bidi="en_US"/>
        </w:rPr>
        <w:t>parable</w:t>
      </w:r>
      <w:r>
        <w:rPr>
          <w:lang w:val="en_US" w:bidi="en_US"/>
        </w:rPr>
        <w:t>, see the note at 8:4b. This word also occurs in 8:9 and 8:10b.</w:t>
      </w:r>
    </w:p>
    <w:p>
      <w:pPr>
        <w:pStyle w:val="Heading5"/>
      </w:pPr>
      <w:r>
        <w:rPr>
          <w:lang w:val="en_US" w:bidi="en_US"/>
        </w:rPr>
        <w:t>8:11b</w:t>
      </w:r>
    </w:p>
    <w:p>
      <w:pPr/>
      <w:r>
        <w:rPr>
          <w:lang w:val="en_US" w:bidi="en_US"/>
        </w:rPr>
      </w:r>
      <w:r>
        <w:rPr>
          <w:b/>
          <w:lang w:val="en_US" w:bidi="en_US"/>
        </w:rPr>
        <w:t>The seed is the word of God.</w:t>
      </w:r>
    </w:p>
    <w:p>
      <w:pPr>
        <w:pStyle w:val="ListBullet"/>
        <w:spacing w:line="240" w:lineRule="auto"/>
        <w:ind w:left="720"/>
      </w:pPr>
      <w:r>
        <w:rPr>
          <w:lang w:val="en_US" w:bidi="en_US"/>
        </w:rPr>
      </w:r>
      <w:r>
        <w:rPr>
          <w:lang w:val="en_US" w:bidi="en_US"/>
        </w:rPr>
        <w:t>The seeds represent God’s word.</w:t>
      </w:r>
    </w:p>
    <w:p>
      <w:pPr>
        <w:pStyle w:val="ListBullet"/>
        <w:spacing w:line="240" w:lineRule="auto"/>
        <w:ind w:left="720"/>
      </w:pPr>
      <w:r>
        <w:rPr>
          <w:lang w:val="en_US" w:bidi="en_US"/>
        </w:rPr>
      </w:r>
      <w:r>
        <w:rPr>
          <w:lang w:val="en_US" w:bidi="en_US"/>
        </w:rPr>
        <w:t xml:space="preserve">The seeds are </w:t>
      </w:r>
      <w:r>
        <w:rPr>
          <w:lang w:val="en_US" w:bidi="en_US"/>
        </w:rPr>
        <w:t>like</w:t>
      </w:r>
      <w:r>
        <w:rPr>
          <w:lang w:val="en_US" w:bidi="en_US"/>
        </w:rPr>
        <w:t xml:space="preserve"> the message that God sends/gives </w:t>
      </w:r>
      <w:r>
        <w:rPr>
          <w:lang w:val="en_US" w:bidi="en_US"/>
        </w:rPr>
        <w:t>to people</w:t>
      </w:r>
      <w:r>
        <w:rPr>
          <w:lang w:val="en_US" w:bidi="en_US"/>
        </w:rPr>
        <w:t>.</w:t>
      </w:r>
    </w:p>
    <w:p>
      <w:pPr/>
      <w:r>
        <w:rPr>
          <w:lang w:val="en_US" w:bidi="en_US"/>
        </w:rPr>
      </w:r>
      <w:r>
        <w:rPr>
          <w:b/>
          <w:lang w:val="en_US" w:bidi="en_US"/>
        </w:rPr>
        <w:t>The seed is the word of God:</w:t>
      </w:r>
      <w:r>
        <w:rPr>
          <w:lang w:val="en_US" w:bidi="en_US"/>
        </w:rPr>
        <w:t xml:space="preserve"> </w:t>
      </w:r>
      <w:r>
        <w:rPr>
          <w:i/>
          <w:lang w:val="en_US" w:bidi="en_US"/>
        </w:rPr>
        <w:t>The seed</w:t>
      </w:r>
      <w:r>
        <w:rPr>
          <w:lang w:val="en_US" w:bidi="en_US"/>
        </w:rPr>
        <w:t xml:space="preserve"> is a metaphor for </w:t>
      </w:r>
      <w:r>
        <w:rPr>
          <w:i/>
          <w:lang w:val="en_US" w:bidi="en_US"/>
        </w:rPr>
        <w:t>the word of God</w:t>
      </w:r>
      <w:r>
        <w:rPr>
          <w:lang w:val="en_US" w:bidi="en_US"/>
        </w:rPr>
        <w:t>. Other ways to say this are:</w:t>
      </w:r>
    </w:p>
    <w:p>
      <w:pPr/>
      <w:r>
        <w:rPr>
          <w:lang w:val="en_US" w:bidi="en_US"/>
        </w:rPr>
      </w:r>
      <w:r>
        <w:rPr>
          <w:lang w:val="en_US" w:bidi="en_US"/>
        </w:rPr>
        <w:t>The seed represents God’s Word.</w:t>
      </w:r>
    </w:p>
    <w:p>
      <w:pPr/>
      <w:r>
        <w:rPr>
          <w:lang w:val="en_US" w:bidi="en_US"/>
        </w:rPr>
      </w:r>
      <w:r>
        <w:rPr>
          <w:lang w:val="en_US" w:bidi="en_US"/>
        </w:rPr>
        <w:t xml:space="preserve">The seed is </w:t>
      </w:r>
      <w:r>
        <w:rPr>
          <w:lang w:val="en_US" w:bidi="en_US"/>
        </w:rPr>
        <w:t>like</w:t>
      </w:r>
      <w:r>
        <w:rPr>
          <w:lang w:val="en_US" w:bidi="en_US"/>
        </w:rPr>
        <w:t xml:space="preserve"> God’s message.</w:t>
      </w:r>
    </w:p>
    <w:p>
      <w:pPr/>
      <w:r>
        <w:rPr>
          <w:lang w:val="en_US" w:bidi="en_US"/>
        </w:rPr>
      </w:r>
      <w:r>
        <w:rPr>
          <w:b/>
          <w:lang w:val="en_US" w:bidi="en_US"/>
        </w:rPr>
        <w:t>seed:</w:t>
      </w:r>
      <w:r>
        <w:rPr>
          <w:lang w:val="en_US" w:bidi="en_US"/>
        </w:rPr>
        <w:t xml:space="preserve"> The Greek word that the BSB translates as </w:t>
      </w:r>
      <w:r>
        <w:rPr>
          <w:i/>
          <w:lang w:val="en_US" w:bidi="en_US"/>
        </w:rPr>
        <w:t>seed</w:t>
      </w:r>
      <w:r>
        <w:rPr>
          <w:lang w:val="en_US" w:bidi="en_US"/>
        </w:rPr>
        <w:t xml:space="preserve"> and the English word </w:t>
      </w:r>
      <w:r>
        <w:rPr>
          <w:i/>
          <w:lang w:val="en_US" w:bidi="en_US"/>
        </w:rPr>
        <w:t>seed</w:t>
      </w:r>
      <w:r>
        <w:rPr>
          <w:lang w:val="en_US" w:bidi="en_US"/>
        </w:rPr>
        <w:t xml:space="preserve"> are singular in form. However, the same form is used to refer to many seeds. In some languages it may be necessary to use a plural form here. See the note on “seed” at 8:5a. The farmer was probably sowing a type of grain. As you translate 8:11–15, be sure to use the same word for </w:t>
      </w:r>
      <w:r>
        <w:rPr>
          <w:i/>
          <w:lang w:val="en_US" w:bidi="en_US"/>
        </w:rPr>
        <w:t>seed</w:t>
      </w:r>
      <w:r>
        <w:rPr>
          <w:lang w:val="en_US" w:bidi="en_US"/>
        </w:rPr>
        <w:t xml:space="preserve"> that you used in 8:4–8.</w:t>
      </w:r>
    </w:p>
    <w:p>
      <w:pPr/>
      <w:r>
        <w:rPr>
          <w:lang w:val="en_US" w:bidi="en_US"/>
        </w:rPr>
      </w:r>
      <w:r>
        <w:rPr>
          <w:b/>
          <w:lang w:val="en_US" w:bidi="en_US"/>
        </w:rPr>
        <w:t>the word of God:</w:t>
      </w:r>
      <w:r>
        <w:rPr>
          <w:lang w:val="en_US" w:bidi="en_US"/>
        </w:rPr>
        <w:t xml:space="preserve"> The Greek phrase that the BSB translates as </w:t>
      </w:r>
      <w:r>
        <w:rPr>
          <w:i/>
          <w:lang w:val="en_US" w:bidi="en_US"/>
        </w:rPr>
        <w:t>the word of God</w:t>
      </w:r>
      <w:r>
        <w:rPr>
          <w:lang w:val="en_US" w:bidi="en_US"/>
        </w:rPr>
        <w:t xml:space="preserve"> means “the word that comes from God” or “the message that God has sent.” Jesus was referring here primarily to his own teaching. He was probably referring specifically to what he taught about the kingdom of God, to which he referred in 8:10.</w:t>
      </w:r>
      <w:r>
        <w:rPr>
          <w:lang w:val="en_US" w:bidi="en_US"/>
        </w:rPr>
      </w:r>
      <w:r>
        <w:rPr>
          <w:lang w:val="en_US" w:bidi="en_US"/>
        </w:rPr>
      </w:r>
    </w:p>
    <w:p>
      <w:pPr/>
      <w:r>
        <w:rPr>
          <w:lang w:val="en_US" w:bidi="en_US"/>
        </w:rPr>
      </w:r>
    </w:p>
    <w:p>
      <w:pPr>
        <w:pStyle w:val="Heading2"/>
      </w:pPr>
      <w:r>
        <w:rPr>
          <w:lang w:val="en_US" w:bidi="en_US"/>
        </w:rPr>
        <w:t>Luke 8:12</w:t>
      </w:r>
      <w:r>
        <w:rPr>
          <w:lang w:val="en_US" w:bidi="en_US"/>
        </w:rPr>
      </w:r>
    </w:p>
    <w:p>
      <w:pPr>
        <w:pStyle w:val="Heading4"/>
      </w:pPr>
      <w:r>
        <w:rPr>
          <w:lang w:val="en_US" w:bidi="en_US"/>
        </w:rPr>
        <w:t>Section 8:9–15: Jesus explained the parable about four types of soil</w:t>
      </w:r>
    </w:p>
    <w:p>
      <w:pPr/>
      <w:r>
        <w:rPr>
          <w:lang w:val="en_US" w:bidi="en_US"/>
        </w:rPr>
      </w:r>
      <w:r>
        <w:rPr>
          <w:lang w:val="en_US" w:bidi="en_US"/>
        </w:rPr>
        <w:t>In 8:9–10 Jesus explained why he taught in parables. Then in 8:11–15 he explained the meaning of the parable in 8:1–8b. The basic meaning of Jesus’ explanation is clear. However, there are questions about the meaning of the seed in this section. In 8:11 the seed refers to the word of God. In 8:12–15 what is sown seems to refer to the people who hear the word. This has led to several interpretations for the seed in 8:12–15.</w:t>
      </w:r>
    </w:p>
    <w:p>
      <w:pPr/>
      <w:r>
        <w:rPr>
          <w:lang w:val="en_US" w:bidi="en_US"/>
        </w:rPr>
      </w:r>
      <w:r>
        <w:rPr>
          <w:lang w:val="en_US" w:bidi="en_US"/>
        </w:rPr>
        <w:t>The interpretation that the Notes follows is that in 8:12–15 the seed continues to represent the word. The introductory expressions such as “those on/beside/in…are…” (RSV) refer generally to four different ways in which people hear and respond to the word.</w:t>
      </w:r>
    </w:p>
    <w:p>
      <w:pPr/>
      <w:r>
        <w:rPr>
          <w:lang w:val="en_US" w:bidi="en_US"/>
        </w:rPr>
      </w:r>
      <w:r>
        <w:rPr>
          <w:lang w:val="en_US" w:bidi="en_US"/>
        </w:rPr>
        <w:t>Many scholars support this interpretation in their commentaries. In some versions the seed appears to refer to the people. However, even in these versions, the text implies that the seed of the word has different results in different kinds of people.</w:t>
      </w:r>
    </w:p>
    <w:p>
      <w:pPr/>
      <w:r>
        <w:rPr>
          <w:lang w:val="en_US" w:bidi="en_US"/>
        </w:rPr>
      </w:r>
      <w:r>
        <w:rPr>
          <w:lang w:val="en_US" w:bidi="en_US"/>
        </w:rPr>
        <w:t>Here is the meaning of the main metaphors in the parable:</w:t>
      </w:r>
    </w:p>
    <w:p>
      <w:pPr>
        <w:pStyle w:val="ListNumber"/>
        <w:numPr>
          <w:ilvl w:val="0"/>
          <w:numId w:val="174"/>
        </w:numPr>
        <w:spacing w:line="240" w:lineRule="auto"/>
        <w:ind w:left="720"/>
      </w:pPr>
      <w:r>
        <w:rPr>
          <w:lang w:val="en_US" w:bidi="en_US"/>
        </w:rPr>
      </w:r>
      <w:r>
        <w:rPr>
          <w:lang w:val="en_US" w:bidi="en_US"/>
        </w:rPr>
        <w:t xml:space="preserve">The </w:t>
      </w:r>
      <w:r>
        <w:rPr>
          <w:u w:val="single"/>
          <w:lang w:val="en_US" w:bidi="en_US"/>
        </w:rPr>
        <w:t>seeds</w:t>
      </w:r>
      <w:r>
        <w:rPr>
          <w:lang w:val="en_US" w:bidi="en_US"/>
        </w:rPr>
        <w:t xml:space="preserve"> represent </w:t>
      </w:r>
      <w:r>
        <w:rPr>
          <w:b/>
          <w:lang w:val="en_US" w:bidi="en_US"/>
        </w:rPr>
        <w:t>the word,</w:t>
      </w:r>
      <w:r>
        <w:rPr>
          <w:lang w:val="en_US" w:bidi="en_US"/>
        </w:rPr>
        <w:t xml:space="preserve"> which is </w:t>
      </w:r>
      <w:r>
        <w:rPr>
          <w:b/>
          <w:lang w:val="en_US" w:bidi="en_US"/>
        </w:rPr>
        <w:t>the message from God.</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b/>
          <w:lang w:val="en_US" w:bidi="en_US"/>
        </w:rPr>
        <w:t>telling the message to people.</w:t>
      </w:r>
    </w:p>
    <w:p>
      <w:pPr>
        <w:pStyle w:val="ListNumber"/>
        <w:spacing w:line="240" w:lineRule="auto"/>
        <w:ind w:left="720"/>
      </w:pPr>
      <w:r>
        <w:rPr>
          <w:lang w:val="en_US" w:bidi="en_US"/>
        </w:rPr>
      </w:r>
      <w:r>
        <w:rPr>
          <w:lang w:val="en_US" w:bidi="en_US"/>
        </w:rPr>
        <w:t xml:space="preserve">The </w:t>
      </w:r>
      <w:r>
        <w:rPr>
          <w:u w:val="single"/>
          <w:lang w:val="en_US" w:bidi="en_US"/>
        </w:rPr>
        <w:t>different kinds of soil</w:t>
      </w:r>
      <w:r>
        <w:rPr>
          <w:lang w:val="en_US" w:bidi="en_US"/>
        </w:rPr>
        <w:t xml:space="preserve"> represent </w:t>
      </w:r>
      <w:r>
        <w:rPr>
          <w:b/>
          <w:lang w:val="en_US" w:bidi="en_US"/>
        </w:rPr>
        <w:t>the way different people hear the message.</w:t>
      </w:r>
    </w:p>
    <w:p>
      <w:pPr/>
      <w:r>
        <w:rPr>
          <w:lang w:val="en_US" w:bidi="en_US"/>
        </w:rPr>
      </w:r>
      <w:r>
        <w:rPr>
          <w:lang w:val="en_US" w:bidi="en_US"/>
        </w:rPr>
        <w:t>This section heading should be similar to the section heading for 8:1–10. You may use the word “explained” or “Jesus explained” (instead of “Jesus told”).</w:t>
      </w:r>
    </w:p>
    <w:p>
      <w:pPr/>
      <w:r>
        <w:rPr>
          <w:lang w:val="en_US" w:bidi="en_US"/>
        </w:rPr>
      </w:r>
      <w:r>
        <w:rPr>
          <w:lang w:val="en_US" w:bidi="en_US"/>
        </w:rPr>
        <w:t>Some other possible headings for this section are:</w:t>
      </w:r>
    </w:p>
    <w:p>
      <w:pPr/>
      <w:r>
        <w:rPr>
          <w:lang w:val="en_US" w:bidi="en_US"/>
        </w:rPr>
      </w:r>
      <w:r>
        <w:rPr>
          <w:lang w:val="en_US" w:bidi="en_US"/>
        </w:rPr>
        <w:t xml:space="preserve">Jesus explained the parable of the sower </w:t>
      </w:r>
      <w:r>
        <w:rPr>
          <w:lang w:val="en_US" w:bidi="en_US"/>
        </w:rPr>
        <w:t>and the soils</w:t>
      </w:r>
    </w:p>
    <w:p>
      <w:pPr/>
      <w:r>
        <w:rPr>
          <w:lang w:val="en_US" w:bidi="en_US"/>
        </w:rPr>
      </w:r>
      <w:r>
        <w:rPr>
          <w:lang w:val="en_US" w:bidi="en_US"/>
        </w:rPr>
        <w:t>The parable/story/illustration about the four soils explained</w:t>
      </w:r>
    </w:p>
    <w:p>
      <w:pPr/>
      <w:r>
        <w:rPr>
          <w:lang w:val="en_US" w:bidi="en_US"/>
        </w:rPr>
      </w:r>
      <w:r>
        <w:rPr>
          <w:lang w:val="en_US" w:bidi="en_US"/>
        </w:rPr>
        <w:t>The explanation of the parable about four kinds of people</w:t>
      </w:r>
    </w:p>
    <w:p>
      <w:pPr/>
      <w:r>
        <w:rPr>
          <w:lang w:val="en_US" w:bidi="en_US"/>
        </w:rPr>
      </w:r>
      <w:r>
        <w:rPr>
          <w:lang w:val="en_US" w:bidi="en_US"/>
        </w:rPr>
        <w:t>The meaning of the parable of a man scattering seed</w:t>
      </w:r>
    </w:p>
    <w:p>
      <w:pPr/>
      <w:r>
        <w:rPr>
          <w:lang w:val="en_US" w:bidi="en_US"/>
        </w:rPr>
      </w:r>
      <w:r>
        <w:rPr>
          <w:lang w:val="en_US" w:bidi="en_US"/>
        </w:rPr>
        <w:t>There are parallel passages for this section in Matthew 13:18–23 and Mark 4:13–20.</w:t>
      </w:r>
    </w:p>
    <w:p>
      <w:pPr>
        <w:pStyle w:val="Heading5"/>
      </w:pPr>
      <w:r>
        <w:rPr>
          <w:lang w:val="en_US" w:bidi="en_US"/>
        </w:rPr>
        <w:t>8:12a</w:t>
      </w:r>
    </w:p>
    <w:p>
      <w:pPr/>
      <w:r>
        <w:rPr>
          <w:lang w:val="en_US" w:bidi="en_US"/>
        </w:rPr>
      </w:r>
      <w:r>
        <w:rPr>
          <w:b/>
          <w:lang w:val="en_US" w:bidi="en_US"/>
        </w:rPr>
        <w:t>The seeds along the path are those who hear,</w:t>
      </w:r>
    </w:p>
    <w:p>
      <w:pPr>
        <w:pStyle w:val="ListBullet"/>
        <w:spacing w:line="240" w:lineRule="auto"/>
        <w:ind w:left="720"/>
      </w:pPr>
      <w:r>
        <w:rPr>
          <w:lang w:val="en_US" w:bidi="en_US"/>
        </w:rPr>
      </w:r>
      <w:r>
        <w:rPr>
          <w:lang w:val="en_US" w:bidi="en_US"/>
        </w:rPr>
        <w:t xml:space="preserve">The seeds </w:t>
      </w:r>
      <w:r>
        <w:rPr>
          <w:lang w:val="en_US" w:bidi="en_US"/>
        </w:rPr>
        <w:t>scattered</w:t>
      </w:r>
      <w:r>
        <w:rPr>
          <w:lang w:val="en_US" w:bidi="en_US"/>
        </w:rPr>
        <w:t xml:space="preserve"> on the path illustrate people who hear </w:t>
      </w:r>
      <w:r>
        <w:rPr>
          <w:lang w:val="en_US" w:bidi="en_US"/>
        </w:rPr>
        <w:t>God’s word</w:t>
      </w:r>
      <w:r>
        <w:rPr>
          <w:lang w:val="en_US" w:bidi="en_US"/>
        </w:rPr>
        <w:t>.</w:t>
      </w:r>
    </w:p>
    <w:p>
      <w:pPr>
        <w:pStyle w:val="ListBullet"/>
        <w:spacing w:line="240" w:lineRule="auto"/>
        <w:ind w:left="720"/>
      </w:pPr>
      <w:r>
        <w:rPr>
          <w:lang w:val="en_US" w:bidi="en_US"/>
        </w:rPr>
      </w:r>
      <w:r>
        <w:rPr>
          <w:lang w:val="en_US" w:bidi="en_US"/>
        </w:rPr>
        <w:t>The example/picture of</w:t>
      </w:r>
      <w:r>
        <w:rPr>
          <w:lang w:val="en_US" w:bidi="en_US"/>
        </w:rPr>
        <w:t xml:space="preserve"> the seed </w:t>
      </w:r>
      <w:r>
        <w:rPr>
          <w:lang w:val="en_US" w:bidi="en_US"/>
        </w:rPr>
        <w:t>that fell</w:t>
      </w:r>
      <w:r>
        <w:rPr>
          <w:lang w:val="en_US" w:bidi="en_US"/>
        </w:rPr>
        <w:t xml:space="preserve"> on the path represents people who hear </w:t>
      </w:r>
      <w:r>
        <w:rPr>
          <w:lang w:val="en_US" w:bidi="en_US"/>
        </w:rPr>
        <w:t>the message</w:t>
      </w:r>
      <w:r>
        <w:rPr>
          <w:lang w:val="en_US" w:bidi="en_US"/>
        </w:rPr>
        <w:t>.</w:t>
      </w:r>
    </w:p>
    <w:p>
      <w:pPr/>
      <w:r>
        <w:rPr>
          <w:lang w:val="en_US" w:bidi="en_US"/>
        </w:rPr>
      </w:r>
      <w:r>
        <w:rPr>
          <w:b/>
          <w:lang w:val="en_US" w:bidi="en_US"/>
        </w:rPr>
        <w:t>The seeds along the path are those who hear:</w:t>
      </w:r>
      <w:r>
        <w:rPr>
          <w:lang w:val="en_US" w:bidi="en_US"/>
        </w:rPr>
        <w:t xml:space="preserve"> The Greek phrase that the BSB translates as </w:t>
      </w:r>
      <w:r>
        <w:rPr>
          <w:i/>
          <w:lang w:val="en_US" w:bidi="en_US"/>
        </w:rPr>
        <w:t>The seeds along the path</w:t>
      </w:r>
      <w:r>
        <w:rPr>
          <w:lang w:val="en_US" w:bidi="en_US"/>
        </w:rPr>
        <w:t xml:space="preserve"> introduces what happens when some seeds fall along the path.</w:t>
      </w:r>
      <w:r>
        <w:rPr>
          <w:lang w:val="en_US" w:bidi="en_US"/>
        </w:rPr>
        <w:t>There is disagreement among scholars as to whether the masculine plural form (</w:t>
      </w:r>
      <w:r>
        <w:rPr>
          <w:i/>
          <w:lang w:val="en_US" w:bidi="en_US"/>
        </w:rPr>
        <w:t>οἱ</w:t>
      </w:r>
      <w:r>
        <w:rPr>
          <w:lang w:val="en_US" w:bidi="en_US"/>
        </w:rPr>
        <w:t>) refers to “seeds” or to “people.” However, either way the global sense of Jesus’ explanation is that the whole image of the seed, soil, and what takes place are representative of different types of people based on the way they respond to the Word. So this may either be “they along the path (= the seeds that fall along the path together with all that happens there) are/represent the ones who hear….” or “they along the path (= the people represented by the seed along the path and all that happens there) are the ones who hear….”</w:t>
      </w:r>
      <w:r>
        <w:rPr>
          <w:lang w:val="en_US" w:bidi="en_US"/>
        </w:rPr>
        <w:t xml:space="preserve"> This general situation, not just the seeds, represents people who hear God’s message. It may be helpful to translate this as:</w:t>
      </w:r>
    </w:p>
    <w:p>
      <w:pPr/>
      <w:r>
        <w:rPr>
          <w:lang w:val="en_US" w:bidi="en_US"/>
        </w:rPr>
      </w:r>
      <w:r>
        <w:rPr>
          <w:lang w:val="en_US" w:bidi="en_US"/>
        </w:rPr>
        <w:t xml:space="preserve">When seeds fall on the path, that is like when people hear </w:t>
      </w:r>
      <w:r>
        <w:rPr>
          <w:lang w:val="en_US" w:bidi="en_US"/>
        </w:rPr>
        <w:t>God’s message</w:t>
      </w:r>
      <w:r>
        <w:rPr>
          <w:lang w:val="en_US" w:bidi="en_US"/>
        </w:rPr>
        <w:t>…</w:t>
      </w:r>
    </w:p>
    <w:p>
      <w:pPr/>
      <w:r>
        <w:rPr>
          <w:lang w:val="en_US" w:bidi="en_US"/>
        </w:rPr>
      </w:r>
      <w:r>
        <w:rPr>
          <w:lang w:val="en_US" w:bidi="en_US"/>
        </w:rPr>
        <w:t xml:space="preserve">The picture of the seeds </w:t>
      </w:r>
      <w:r>
        <w:rPr>
          <w:lang w:val="en_US" w:bidi="en_US"/>
        </w:rPr>
        <w:t>scattered</w:t>
      </w:r>
      <w:r>
        <w:rPr>
          <w:lang w:val="en_US" w:bidi="en_US"/>
        </w:rPr>
        <w:t xml:space="preserve"> on the path represent </w:t>
      </w:r>
      <w:r>
        <w:rPr>
          <w:lang w:val="en_US" w:bidi="en_US"/>
        </w:rPr>
        <w:t>the kind of</w:t>
      </w:r>
      <w:r>
        <w:rPr>
          <w:lang w:val="en_US" w:bidi="en_US"/>
        </w:rPr>
        <w:t xml:space="preserve"> people who hear </w:t>
      </w:r>
      <w:r>
        <w:rPr>
          <w:lang w:val="en_US" w:bidi="en_US"/>
        </w:rPr>
        <w:t>God’s message</w:t>
      </w:r>
      <w:r>
        <w:rPr>
          <w:lang w:val="en_US" w:bidi="en_US"/>
        </w:rPr>
        <w:t>…</w:t>
      </w:r>
    </w:p>
    <w:p>
      <w:pPr/>
      <w:r>
        <w:rPr>
          <w:lang w:val="en_US" w:bidi="en_US"/>
        </w:rPr>
      </w:r>
      <w:r>
        <w:rPr>
          <w:b/>
          <w:lang w:val="en_US" w:bidi="en_US"/>
        </w:rPr>
        <w:t>along the path:</w:t>
      </w:r>
      <w:r>
        <w:rPr>
          <w:lang w:val="en_US" w:bidi="en_US"/>
        </w:rPr>
        <w:t xml:space="preserve"> Translate this phrase as you did in 8:5b.</w:t>
      </w:r>
    </w:p>
    <w:p>
      <w:pPr>
        <w:pStyle w:val="Heading5"/>
      </w:pPr>
      <w:r>
        <w:rPr>
          <w:lang w:val="en_US" w:bidi="en_US"/>
        </w:rPr>
        <w:t>8:12b</w:t>
      </w:r>
    </w:p>
    <w:p>
      <w:pPr/>
      <w:r>
        <w:rPr>
          <w:lang w:val="en_US" w:bidi="en_US"/>
        </w:rPr>
      </w:r>
      <w:r>
        <w:rPr>
          <w:b/>
          <w:lang w:val="en_US" w:bidi="en_US"/>
        </w:rPr>
        <w:t>but the devil comes and takes away the word from their hearts,</w:t>
      </w:r>
    </w:p>
    <w:p>
      <w:pPr>
        <w:pStyle w:val="ListBullet"/>
        <w:spacing w:line="240" w:lineRule="auto"/>
        <w:ind w:left="720"/>
      </w:pPr>
      <w:r>
        <w:rPr>
          <w:lang w:val="en_US" w:bidi="en_US"/>
        </w:rPr>
      </w:r>
      <w:r>
        <w:rPr>
          <w:lang w:val="en_US" w:bidi="en_US"/>
        </w:rPr>
        <w:t xml:space="preserve">Then the devil comes and causes them to stop thinking about </w:t>
      </w:r>
      <w:r>
        <w:rPr>
          <w:lang w:val="en_US" w:bidi="en_US"/>
        </w:rPr>
        <w:t>God’s</w:t>
      </w:r>
      <w:r>
        <w:rPr>
          <w:lang w:val="en_US" w:bidi="en_US"/>
        </w:rPr>
        <w:t xml:space="preserve"> word</w:t>
      </w:r>
    </w:p>
    <w:p>
      <w:pPr>
        <w:pStyle w:val="ListBullet"/>
        <w:spacing w:line="240" w:lineRule="auto"/>
        <w:ind w:left="720"/>
      </w:pPr>
      <w:r>
        <w:rPr>
          <w:lang w:val="en_US" w:bidi="en_US"/>
        </w:rPr>
      </w:r>
      <w:r>
        <w:rPr>
          <w:lang w:val="en_US" w:bidi="en_US"/>
        </w:rPr>
        <w:t xml:space="preserve">Then, </w:t>
      </w:r>
      <w:r>
        <w:rPr>
          <w:lang w:val="en_US" w:bidi="en_US"/>
        </w:rPr>
        <w:t>just as the birds ate up the seeds,</w:t>
      </w:r>
      <w:r>
        <w:rPr>
          <w:lang w:val="en_US" w:bidi="en_US"/>
        </w:rPr>
        <w:t xml:space="preserve"> the devil takes away the message from their hearts/minds.</w:t>
      </w:r>
    </w:p>
    <w:p>
      <w:pPr/>
      <w:r>
        <w:rPr>
          <w:lang w:val="en_US" w:bidi="en_US"/>
        </w:rPr>
      </w:r>
      <w:r>
        <w:rPr>
          <w:b/>
          <w:lang w:val="en_US" w:bidi="en_US"/>
        </w:rPr>
        <w:t>but:</w:t>
      </w:r>
      <w:r>
        <w:rPr>
          <w:lang w:val="en_US" w:bidi="en_US"/>
        </w:rPr>
        <w:t xml:space="preserve"> In this context the Greek word that the BSB translates as </w:t>
      </w:r>
      <w:r>
        <w:rPr>
          <w:i/>
          <w:lang w:val="en_US" w:bidi="en_US"/>
        </w:rPr>
        <w:t>but</w:t>
      </w:r>
      <w:r>
        <w:rPr>
          <w:lang w:val="en_US" w:bidi="en_US"/>
        </w:rPr>
        <w:t xml:space="preserve"> implies that the devil comes soon after the people hear the word. Other English versions say “and then” (NIV), “then” (RSV), “or “but then” (NLT96). Use a natural connection in your language.</w:t>
      </w:r>
    </w:p>
    <w:p>
      <w:pPr/>
      <w:r>
        <w:rPr>
          <w:lang w:val="en_US" w:bidi="en_US"/>
        </w:rPr>
      </w:r>
      <w:r>
        <w:rPr>
          <w:b/>
          <w:lang w:val="en_US" w:bidi="en_US"/>
        </w:rPr>
        <w:t>the devil comes and takes away the word:</w:t>
      </w:r>
      <w:r>
        <w:rPr>
          <w:lang w:val="en_US" w:bidi="en_US"/>
        </w:rPr>
        <w:t xml:space="preserve"> This part of the verse explains the meaning of the birds devouring the seeds in 8:5. The devil is like the birds. In some languages it may be necessary to make this explanation more explicit. For example:</w:t>
      </w:r>
    </w:p>
    <w:p>
      <w:pPr/>
      <w:r>
        <w:rPr>
          <w:lang w:val="en_US" w:bidi="en_US"/>
        </w:rPr>
      </w:r>
      <w:r>
        <w:rPr>
          <w:lang w:val="en_US" w:bidi="en_US"/>
        </w:rPr>
        <w:t xml:space="preserve">the devil, </w:t>
      </w:r>
      <w:r>
        <w:rPr>
          <w:lang w:val="en_US" w:bidi="en_US"/>
        </w:rPr>
        <w:t>like the birds,</w:t>
      </w:r>
      <w:r>
        <w:rPr>
          <w:lang w:val="en_US" w:bidi="en_US"/>
        </w:rPr>
        <w:t xml:space="preserve"> comes and takes away the word</w:t>
      </w:r>
    </w:p>
    <w:p>
      <w:pPr/>
      <w:r>
        <w:rPr>
          <w:lang w:val="en_US" w:bidi="en_US"/>
        </w:rPr>
      </w:r>
      <w:r>
        <w:rPr>
          <w:lang w:val="en_US" w:bidi="en_US"/>
        </w:rPr>
        <w:t>like the birds that eat the seeds,</w:t>
      </w:r>
      <w:r>
        <w:rPr>
          <w:lang w:val="en_US" w:bidi="en_US"/>
        </w:rPr>
        <w:t xml:space="preserve"> the devil comes and takes away the word</w:t>
      </w:r>
    </w:p>
    <w:p>
      <w:pPr/>
      <w:r>
        <w:rPr>
          <w:lang w:val="en_US" w:bidi="en_US"/>
        </w:rPr>
      </w:r>
      <w:r>
        <w:rPr>
          <w:b/>
          <w:lang w:val="en_US" w:bidi="en_US"/>
        </w:rPr>
        <w:t>the devil:</w:t>
      </w:r>
      <w:r>
        <w:rPr>
          <w:lang w:val="en_US" w:bidi="en_US"/>
        </w:rPr>
        <w:t xml:space="preserve"> The phrase </w:t>
      </w:r>
      <w:r>
        <w:rPr>
          <w:i/>
          <w:lang w:val="en_US" w:bidi="en_US"/>
        </w:rPr>
        <w:t>the devil</w:t>
      </w:r>
      <w:r>
        <w:rPr>
          <w:lang w:val="en_US" w:bidi="en_US"/>
        </w:rPr>
        <w:t xml:space="preserve"> is another name for Satan. Both names refer to the same being. You may need to use the same term for Satan and </w:t>
      </w:r>
      <w:r>
        <w:rPr>
          <w:i/>
          <w:lang w:val="en_US" w:bidi="en_US"/>
        </w:rPr>
        <w:t>the devil</w:t>
      </w:r>
      <w:r>
        <w:rPr>
          <w:lang w:val="en_US" w:bidi="en_US"/>
        </w:rPr>
        <w:t xml:space="preserve"> in your translation to make this clear.</w:t>
      </w:r>
    </w:p>
    <w:p>
      <w:pPr/>
      <w:r>
        <w:rPr>
          <w:lang w:val="en_US" w:bidi="en_US"/>
        </w:rPr>
      </w:r>
      <w:r>
        <w:rPr>
          <w:lang w:val="en_US" w:bidi="en_US"/>
        </w:rPr>
        <w:t xml:space="preserve">The term </w:t>
      </w:r>
      <w:r>
        <w:rPr>
          <w:i/>
          <w:lang w:val="en_US" w:bidi="en_US"/>
        </w:rPr>
        <w:t>the devil</w:t>
      </w:r>
      <w:r>
        <w:rPr>
          <w:lang w:val="en_US" w:bidi="en_US"/>
        </w:rPr>
        <w:t xml:space="preserve"> refers to the chief or leader of all the evil spirits. He is the enemy of God and God’s people. Here are some ways to translate </w:t>
      </w:r>
      <w:r>
        <w:rPr>
          <w:i/>
          <w:lang w:val="en_US" w:bidi="en_US"/>
        </w:rPr>
        <w:t>the devil</w:t>
      </w:r>
      <w:r>
        <w:rPr>
          <w:lang w:val="en_US" w:bidi="en_US"/>
        </w:rPr>
        <w:t>:</w:t>
      </w:r>
    </w:p>
    <w:p>
      <w:pPr>
        <w:pStyle w:val="ListBullet"/>
        <w:spacing w:line="240" w:lineRule="auto"/>
        <w:ind w:left="720"/>
      </w:pPr>
      <w:r>
        <w:rPr>
          <w:lang w:val="en_US" w:bidi="en_US"/>
        </w:rPr>
      </w:r>
      <w:r>
        <w:rPr>
          <w:lang w:val="en_US" w:bidi="en_US"/>
        </w:rPr>
        <w:t>Use a local name or idiom that refers to the chief of all demons.</w:t>
      </w:r>
    </w:p>
    <w:p>
      <w:pPr>
        <w:pStyle w:val="ListBullet"/>
        <w:spacing w:line="240" w:lineRule="auto"/>
        <w:ind w:left="720"/>
      </w:pPr>
      <w:r>
        <w:rPr>
          <w:lang w:val="en_US" w:bidi="en_US"/>
        </w:rPr>
      </w:r>
      <w:r>
        <w:rPr>
          <w:lang w:val="en_US" w:bidi="en_US"/>
        </w:rPr>
        <w:t>Use a descriptive phrase such as</w:t>
      </w:r>
      <w:r>
        <w:rPr>
          <w:lang w:val="en_US" w:bidi="en_US"/>
        </w:rPr>
        <w:t>the chief/leader of the evil spirits</w:t>
      </w:r>
      <w:r>
        <w:rPr>
          <w:lang w:val="en_US" w:bidi="en_US"/>
        </w:rPr>
        <w:t>the spirit enemy of God</w:t>
      </w:r>
    </w:p>
    <w:p>
      <w:pPr/>
      <w:r>
        <w:rPr>
          <w:lang w:val="en_US" w:bidi="en_US"/>
        </w:rPr>
      </w:r>
      <w:r>
        <w:rPr>
          <w:lang w:val="en_US" w:bidi="en_US"/>
        </w:rPr>
        <w:t>Try to use a term that will be acceptable to churches in the area. It is suggested that you also add a footnote or glossary entry that further explains who the devil is. For example:</w:t>
      </w:r>
    </w:p>
    <w:p>
      <w:pPr/>
      <w:r>
        <w:rPr>
          <w:lang w:val="en_US" w:bidi="en_US"/>
        </w:rPr>
      </w:r>
      <w:r>
        <w:rPr>
          <w:lang w:val="en_US" w:bidi="en_US"/>
        </w:rPr>
        <w:t>The devil is the leader of all the evil spirits or demons. Once he was an angel in heaven, but he rebelled against God. God expelled him from heaven, and now he tempts people on earth. Other names for him in the Bible are “Beelzebul,” “Satan,” “the Evil One,” “the Enemy,” and “the Tempter.”</w:t>
      </w:r>
    </w:p>
    <w:p>
      <w:pPr/>
      <w:r>
        <w:rPr>
          <w:lang w:val="en_US" w:bidi="en_US"/>
        </w:rPr>
      </w:r>
      <w:r>
        <w:rPr>
          <w:b/>
          <w:lang w:val="en_US" w:bidi="en_US"/>
        </w:rPr>
        <w:t>takes away the word from their hearts:</w:t>
      </w:r>
      <w:r>
        <w:rPr>
          <w:lang w:val="en_US" w:bidi="en_US"/>
        </w:rPr>
        <w:t xml:space="preserve"> This phrase indicates that Satan causes people to forget or ignore God’s message. Another way to express this meaning is:</w:t>
      </w:r>
    </w:p>
    <w:p>
      <w:pPr/>
      <w:r>
        <w:rPr>
          <w:lang w:val="en_US" w:bidi="en_US"/>
        </w:rPr>
      </w:r>
      <w:r>
        <w:rPr>
          <w:lang w:val="en_US" w:bidi="en_US"/>
        </w:rPr>
        <w:t>causes them to forget the word/message</w:t>
      </w:r>
    </w:p>
    <w:p>
      <w:pPr/>
      <w:r>
        <w:rPr>
          <w:lang w:val="en_US" w:bidi="en_US"/>
        </w:rPr>
      </w:r>
      <w:r>
        <w:rPr>
          <w:lang w:val="en_US" w:bidi="en_US"/>
        </w:rPr>
        <w:t xml:space="preserve">The word </w:t>
      </w:r>
      <w:r>
        <w:rPr>
          <w:i/>
          <w:lang w:val="en_US" w:bidi="en_US"/>
        </w:rPr>
        <w:t>hearts</w:t>
      </w:r>
      <w:r>
        <w:rPr>
          <w:lang w:val="en_US" w:bidi="en_US"/>
        </w:rPr>
        <w:t xml:space="preserve"> is an idiom here. It does not refer literally to the part of the body called the heart. The Jews considered the heart to be the part of a person that thinks about things and remembers them. Some languages may have a similar idiom that uses a different part of the body, such as the stomach or liver. Other languages may express the meaning without an idiom, as in the example above.</w:t>
      </w:r>
    </w:p>
    <w:p>
      <w:pPr>
        <w:pStyle w:val="Heading5"/>
      </w:pPr>
      <w:r>
        <w:rPr>
          <w:lang w:val="en_US" w:bidi="en_US"/>
        </w:rPr>
        <w:t>8:12c</w:t>
      </w:r>
    </w:p>
    <w:p>
      <w:pPr/>
      <w:r>
        <w:rPr>
          <w:lang w:val="en_US" w:bidi="en_US"/>
        </w:rPr>
      </w:r>
      <w:r>
        <w:rPr>
          <w:b/>
          <w:lang w:val="en_US" w:bidi="en_US"/>
        </w:rPr>
        <w:t>so that they may not believe and be saved.</w:t>
      </w:r>
    </w:p>
    <w:p>
      <w:pPr>
        <w:pStyle w:val="ListBullet"/>
        <w:spacing w:line="240" w:lineRule="auto"/>
        <w:ind w:left="720"/>
      </w:pPr>
      <w:r>
        <w:rPr>
          <w:lang w:val="en_US" w:bidi="en_US"/>
        </w:rPr>
      </w:r>
      <w:r>
        <w:rPr>
          <w:lang w:val="en_US" w:bidi="en_US"/>
        </w:rPr>
        <w:t>in order to prevent them from believing and being saved/rescued.</w:t>
      </w:r>
    </w:p>
    <w:p>
      <w:pPr>
        <w:pStyle w:val="ListBullet"/>
        <w:spacing w:line="240" w:lineRule="auto"/>
        <w:ind w:left="720"/>
      </w:pPr>
      <w:r>
        <w:rPr>
          <w:lang w:val="en_US" w:bidi="en_US"/>
        </w:rPr>
      </w:r>
      <w:r>
        <w:rPr>
          <w:lang w:val="en_US" w:bidi="en_US"/>
        </w:rPr>
        <w:t>He does this</w:t>
      </w:r>
      <w:r>
        <w:rPr>
          <w:lang w:val="en_US" w:bidi="en_US"/>
        </w:rPr>
        <w:t xml:space="preserve"> to stop them from believing </w:t>
      </w:r>
      <w:r>
        <w:rPr>
          <w:lang w:val="en_US" w:bidi="en_US"/>
        </w:rPr>
        <w:t>God’s message, which would result in God</w:t>
      </w:r>
      <w:r>
        <w:rPr>
          <w:lang w:val="en_US" w:bidi="en_US"/>
        </w:rPr>
        <w:t xml:space="preserve"> saving them </w:t>
      </w:r>
      <w:r>
        <w:rPr>
          <w:lang w:val="en_US" w:bidi="en_US"/>
        </w:rPr>
        <w:t>from their sins</w:t>
      </w:r>
      <w:r>
        <w:rPr>
          <w:lang w:val="en_US" w:bidi="en_US"/>
        </w:rPr>
        <w:t>.</w:t>
      </w:r>
    </w:p>
    <w:p>
      <w:pPr/>
      <w:r>
        <w:rPr>
          <w:lang w:val="en_US" w:bidi="en_US"/>
        </w:rPr>
      </w:r>
      <w:r>
        <w:rPr>
          <w:b/>
          <w:lang w:val="en_US" w:bidi="en_US"/>
        </w:rPr>
        <w:t>so that they may not believe and be saved:</w:t>
      </w:r>
      <w:r>
        <w:rPr>
          <w:lang w:val="en_US" w:bidi="en_US"/>
        </w:rPr>
        <w:t xml:space="preserve"> This is a purpose clause. It explains the reason why the devil takes away the word from the hearts of some people who hear God’s word. The devil does not want them to believe the word and be saved. In some languages it may be helpful to make this clear by saying:</w:t>
      </w:r>
    </w:p>
    <w:p>
      <w:pPr/>
      <w:r>
        <w:rPr>
          <w:lang w:val="en_US" w:bidi="en_US"/>
        </w:rPr>
      </w:r>
      <w:r>
        <w:rPr>
          <w:lang w:val="en_US" w:bidi="en_US"/>
        </w:rPr>
        <w:t>He does not want them to believe and be saved.</w:t>
      </w:r>
    </w:p>
    <w:p>
      <w:pPr/>
      <w:r>
        <w:rPr>
          <w:lang w:val="en_US" w:bidi="en_US"/>
        </w:rPr>
      </w:r>
      <w:r>
        <w:rPr>
          <w:b/>
          <w:lang w:val="en_US" w:bidi="en_US"/>
        </w:rPr>
        <w:t>believe and be saved:</w:t>
      </w:r>
      <w:r>
        <w:rPr>
          <w:lang w:val="en_US" w:bidi="en_US"/>
        </w:rPr>
        <w:t xml:space="preserve"> The actions </w:t>
      </w:r>
      <w:r>
        <w:rPr>
          <w:i/>
          <w:lang w:val="en_US" w:bidi="en_US"/>
        </w:rPr>
        <w:t>believe</w:t>
      </w:r>
      <w:r>
        <w:rPr>
          <w:lang w:val="en_US" w:bidi="en_US"/>
        </w:rPr>
        <w:t xml:space="preserve"> and </w:t>
      </w:r>
      <w:r>
        <w:rPr>
          <w:i/>
          <w:lang w:val="en_US" w:bidi="en_US"/>
        </w:rPr>
        <w:t>be saved</w:t>
      </w:r>
      <w:r>
        <w:rPr>
          <w:lang w:val="en_US" w:bidi="en_US"/>
        </w:rPr>
        <w:t xml:space="preserve"> are closely connected. The text implies that a person is saved </w:t>
      </w:r>
      <w:r>
        <w:rPr>
          <w:u w:val="single"/>
          <w:lang w:val="en_US" w:bidi="en_US"/>
        </w:rPr>
        <w:t>by</w:t>
      </w:r>
      <w:r>
        <w:rPr>
          <w:lang w:val="en_US" w:bidi="en_US"/>
        </w:rPr>
        <w:t xml:space="preserve"> believing, It implies that being saved is the result of believing. Other ways to express this connection are:</w:t>
      </w:r>
    </w:p>
    <w:p>
      <w:pPr/>
      <w:r>
        <w:rPr>
          <w:lang w:val="en_US" w:bidi="en_US"/>
        </w:rPr>
      </w:r>
      <w:r>
        <w:rPr>
          <w:lang w:val="en_US" w:bidi="en_US"/>
        </w:rPr>
        <w:t>be saved by/through believing</w:t>
      </w:r>
    </w:p>
    <w:p>
      <w:pPr/>
      <w:r>
        <w:rPr>
          <w:lang w:val="en_US" w:bidi="en_US"/>
        </w:rPr>
      </w:r>
      <w:r>
        <w:rPr>
          <w:lang w:val="en_US" w:bidi="en_US"/>
        </w:rPr>
        <w:t>believe and be saved as a result</w:t>
      </w:r>
    </w:p>
    <w:p>
      <w:pPr/>
      <w:r>
        <w:rPr>
          <w:lang w:val="en_US" w:bidi="en_US"/>
        </w:rPr>
      </w:r>
      <w:r>
        <w:rPr>
          <w:b/>
          <w:lang w:val="en_US" w:bidi="en_US"/>
        </w:rPr>
        <w:t>believe:</w:t>
      </w:r>
      <w:r>
        <w:rPr>
          <w:lang w:val="en_US" w:bidi="en_US"/>
        </w:rPr>
        <w:t xml:space="preserve"> The Greek phrase that the BSB translates as </w:t>
      </w:r>
      <w:r>
        <w:rPr>
          <w:i/>
          <w:lang w:val="en_US" w:bidi="en_US"/>
        </w:rPr>
        <w:t>believe</w:t>
      </w:r>
      <w:r>
        <w:rPr>
          <w:lang w:val="en_US" w:bidi="en_US"/>
        </w:rPr>
        <w:t xml:space="preserve"> here refers to having confidence in God’s message. A person who has this confidence in the message accepts it and obeys it. In this context the word </w:t>
      </w:r>
      <w:r>
        <w:rPr>
          <w:i/>
          <w:lang w:val="en_US" w:bidi="en_US"/>
        </w:rPr>
        <w:t>believe</w:t>
      </w:r>
      <w:r>
        <w:rPr>
          <w:lang w:val="en_US" w:bidi="en_US"/>
        </w:rPr>
        <w:t xml:space="preserve"> implies that the person who accepts God’s message entrusts himself to God.</w:t>
      </w:r>
    </w:p>
    <w:p>
      <w:pPr/>
      <w:r>
        <w:rPr>
          <w:lang w:val="en_US" w:bidi="en_US"/>
        </w:rPr>
      </w:r>
      <w:r>
        <w:rPr>
          <w:lang w:val="en_US" w:bidi="en_US"/>
        </w:rPr>
        <w:t>Some other ways to translate this are:</w:t>
      </w:r>
    </w:p>
    <w:p>
      <w:pPr/>
      <w:r>
        <w:rPr>
          <w:lang w:val="en_US" w:bidi="en_US"/>
        </w:rPr>
      </w:r>
      <w:r>
        <w:rPr>
          <w:lang w:val="en_US" w:bidi="en_US"/>
        </w:rPr>
        <w:t xml:space="preserve">believe/accept </w:t>
      </w:r>
      <w:r>
        <w:rPr>
          <w:lang w:val="en_US" w:bidi="en_US"/>
        </w:rPr>
        <w:t>the word</w:t>
      </w:r>
    </w:p>
    <w:p>
      <w:pPr/>
      <w:r>
        <w:rPr>
          <w:lang w:val="en_US" w:bidi="en_US"/>
        </w:rPr>
      </w:r>
      <w:r>
        <w:rPr>
          <w:lang w:val="en_US" w:bidi="en_US"/>
        </w:rPr>
        <w:t xml:space="preserve">believe and trust </w:t>
      </w:r>
      <w:r>
        <w:rPr>
          <w:lang w:val="en_US" w:bidi="en_US"/>
        </w:rPr>
        <w:t>the word</w:t>
      </w:r>
    </w:p>
    <w:p>
      <w:pPr/>
      <w:r>
        <w:rPr>
          <w:lang w:val="en_US" w:bidi="en_US"/>
        </w:rPr>
      </w:r>
      <w:r>
        <w:rPr>
          <w:lang w:val="en_US" w:bidi="en_US"/>
        </w:rPr>
        <w:t>See believe, Meaning 1, in the Glossary.</w:t>
      </w:r>
    </w:p>
    <w:p>
      <w:pPr/>
      <w:r>
        <w:rPr>
          <w:lang w:val="en_US" w:bidi="en_US"/>
        </w:rPr>
      </w:r>
      <w:r>
        <w:rPr>
          <w:b/>
          <w:lang w:val="en_US" w:bidi="en_US"/>
        </w:rPr>
        <w:t>be saved:</w:t>
      </w:r>
      <w:r>
        <w:rPr>
          <w:lang w:val="en_US" w:bidi="en_US"/>
        </w:rPr>
        <w:t xml:space="preserve"> The Greek word that the BSB translates as </w:t>
      </w:r>
      <w:r>
        <w:rPr>
          <w:i/>
          <w:lang w:val="en_US" w:bidi="en_US"/>
        </w:rPr>
        <w:t>be saved</w:t>
      </w:r>
      <w:r>
        <w:rPr>
          <w:lang w:val="en_US" w:bidi="en_US"/>
        </w:rPr>
        <w:t xml:space="preserve"> means to “be rescued from danger or trouble.” In this context it refers to being rescued from the spiritual dangers of sin and the punishment from God that results from sinning.</w:t>
      </w:r>
    </w:p>
    <w:p>
      <w:pPr/>
      <w:r>
        <w:rPr>
          <w:lang w:val="en_US" w:bidi="en_US"/>
        </w:rPr>
      </w:r>
      <w:r>
        <w:rPr>
          <w:lang w:val="en_US" w:bidi="en_US"/>
        </w:rPr>
        <w:t xml:space="preserve">The verb </w:t>
      </w:r>
      <w:r>
        <w:rPr>
          <w:i/>
          <w:lang w:val="en_US" w:bidi="en_US"/>
        </w:rPr>
        <w:t>be saved</w:t>
      </w:r>
      <w:r>
        <w:rPr>
          <w:lang w:val="en_US" w:bidi="en_US"/>
        </w:rPr>
        <w:t xml:space="preserve"> is passive. It some languages it may be necessary to use an active verb form and indicate that God is the one who saves. For example:</w:t>
      </w:r>
    </w:p>
    <w:p>
      <w:pPr/>
      <w:r>
        <w:rPr>
          <w:lang w:val="en_US" w:bidi="en_US"/>
        </w:rPr>
      </w:r>
      <w:r>
        <w:rPr>
          <w:lang w:val="en_US" w:bidi="en_US"/>
        </w:rPr>
        <w:t xml:space="preserve">so that they may not believe and </w:t>
      </w:r>
      <w:r>
        <w:rPr>
          <w:lang w:val="en_US" w:bidi="en_US"/>
        </w:rPr>
        <w:t>God</w:t>
      </w:r>
      <w:r>
        <w:rPr>
          <w:lang w:val="en_US" w:bidi="en_US"/>
        </w:rPr>
        <w:t xml:space="preserve"> would save/rescue them</w:t>
      </w:r>
    </w:p>
    <w:p>
      <w:pPr/>
      <w:r>
        <w:rPr>
          <w:lang w:val="en_US" w:bidi="en_US"/>
        </w:rPr>
      </w:r>
      <w:r>
        <w:rPr>
          <w:lang w:val="en_US" w:bidi="en_US"/>
        </w:rPr>
        <w:t>In some languages it may be necessary to say what God would save these people from. For example:</w:t>
      </w:r>
    </w:p>
    <w:p>
      <w:pPr/>
      <w:r>
        <w:rPr>
          <w:lang w:val="en_US" w:bidi="en_US"/>
        </w:rPr>
      </w:r>
      <w:r>
        <w:rPr>
          <w:lang w:val="en_US" w:bidi="en_US"/>
        </w:rPr>
        <w:t xml:space="preserve">be saved </w:t>
      </w:r>
      <w:r>
        <w:rPr>
          <w:lang w:val="en_US" w:bidi="en_US"/>
        </w:rPr>
        <w:t>from sin</w:t>
      </w:r>
    </w:p>
    <w:p>
      <w:pPr/>
      <w:r>
        <w:rPr>
          <w:lang w:val="en_US" w:bidi="en_US"/>
        </w:rPr>
      </w:r>
      <w:r>
        <w:rPr>
          <w:lang w:val="en_US" w:bidi="en_US"/>
        </w:rPr>
        <w:t xml:space="preserve">be rescued </w:t>
      </w:r>
      <w:r>
        <w:rPr>
          <w:lang w:val="en_US" w:bidi="en_US"/>
        </w:rPr>
        <w:t>from punishment for sin</w:t>
      </w:r>
    </w:p>
    <w:p>
      <w:pPr/>
      <w:r>
        <w:rPr>
          <w:lang w:val="en_US" w:bidi="en_US"/>
        </w:rPr>
      </w:r>
      <w:r>
        <w:rPr>
          <w:lang w:val="en_US" w:bidi="en_US"/>
        </w:rPr>
        <w:t>See save, Meaning 2, in the Glossary.</w:t>
      </w:r>
      <w:r>
        <w:rPr>
          <w:lang w:val="en_US" w:bidi="en_US"/>
        </w:rPr>
      </w:r>
      <w:r>
        <w:rPr>
          <w:lang w:val="en_US" w:bidi="en_US"/>
        </w:rPr>
      </w:r>
    </w:p>
    <w:p>
      <w:pPr/>
      <w:r>
        <w:rPr>
          <w:lang w:val="en_US" w:bidi="en_US"/>
        </w:rPr>
      </w:r>
    </w:p>
    <w:p>
      <w:pPr>
        <w:pStyle w:val="Heading2"/>
      </w:pPr>
      <w:r>
        <w:rPr>
          <w:lang w:val="en_US" w:bidi="en_US"/>
        </w:rPr>
        <w:t>Luke 8:13</w:t>
      </w:r>
      <w:r>
        <w:rPr>
          <w:lang w:val="en_US" w:bidi="en_US"/>
        </w:rPr>
      </w:r>
    </w:p>
    <w:p>
      <w:pPr>
        <w:pStyle w:val="Heading4"/>
      </w:pPr>
      <w:r>
        <w:rPr>
          <w:lang w:val="en_US" w:bidi="en_US"/>
        </w:rPr>
        <w:t>Section 8:9–15: Jesus explained the parable about four types of soil</w:t>
      </w:r>
    </w:p>
    <w:p>
      <w:pPr/>
      <w:r>
        <w:rPr>
          <w:lang w:val="en_US" w:bidi="en_US"/>
        </w:rPr>
      </w:r>
      <w:r>
        <w:rPr>
          <w:lang w:val="en_US" w:bidi="en_US"/>
        </w:rPr>
        <w:t>In 8:9–10 Jesus explained why he taught in parables. Then in 8:11–15 he explained the meaning of the parable in 8:1–8b. The basic meaning of Jesus’ explanation is clear. However, there are questions about the meaning of the seed in this section. In 8:11 the seed refers to the word of God. In 8:12–15 what is sown seems to refer to the people who hear the word. This has led to several interpretations for the seed in 8:12–15.</w:t>
      </w:r>
    </w:p>
    <w:p>
      <w:pPr/>
      <w:r>
        <w:rPr>
          <w:lang w:val="en_US" w:bidi="en_US"/>
        </w:rPr>
      </w:r>
      <w:r>
        <w:rPr>
          <w:lang w:val="en_US" w:bidi="en_US"/>
        </w:rPr>
        <w:t>The interpretation that the Notes follows is that in 8:12–15 the seed continues to represent the word. The introductory expressions such as “those on/beside/in…are…” (RSV) refer generally to four different ways in which people hear and respond to the word.</w:t>
      </w:r>
    </w:p>
    <w:p>
      <w:pPr/>
      <w:r>
        <w:rPr>
          <w:lang w:val="en_US" w:bidi="en_US"/>
        </w:rPr>
      </w:r>
      <w:r>
        <w:rPr>
          <w:lang w:val="en_US" w:bidi="en_US"/>
        </w:rPr>
        <w:t>Many scholars support this interpretation in their commentaries. In some versions the seed appears to refer to the people. However, even in these versions, the text implies that the seed of the word has different results in different kinds of people.</w:t>
      </w:r>
    </w:p>
    <w:p>
      <w:pPr/>
      <w:r>
        <w:rPr>
          <w:lang w:val="en_US" w:bidi="en_US"/>
        </w:rPr>
      </w:r>
      <w:r>
        <w:rPr>
          <w:lang w:val="en_US" w:bidi="en_US"/>
        </w:rPr>
        <w:t>Here is the meaning of the main metaphors in the parable:</w:t>
      </w:r>
    </w:p>
    <w:p>
      <w:pPr>
        <w:pStyle w:val="ListNumber"/>
        <w:numPr>
          <w:ilvl w:val="0"/>
          <w:numId w:val="175"/>
        </w:numPr>
        <w:spacing w:line="240" w:lineRule="auto"/>
        <w:ind w:left="720"/>
      </w:pPr>
      <w:r>
        <w:rPr>
          <w:lang w:val="en_US" w:bidi="en_US"/>
        </w:rPr>
      </w:r>
      <w:r>
        <w:rPr>
          <w:lang w:val="en_US" w:bidi="en_US"/>
        </w:rPr>
        <w:t xml:space="preserve">The </w:t>
      </w:r>
      <w:r>
        <w:rPr>
          <w:u w:val="single"/>
          <w:lang w:val="en_US" w:bidi="en_US"/>
        </w:rPr>
        <w:t>seeds</w:t>
      </w:r>
      <w:r>
        <w:rPr>
          <w:lang w:val="en_US" w:bidi="en_US"/>
        </w:rPr>
        <w:t xml:space="preserve"> represent </w:t>
      </w:r>
      <w:r>
        <w:rPr>
          <w:b/>
          <w:lang w:val="en_US" w:bidi="en_US"/>
        </w:rPr>
        <w:t>the word,</w:t>
      </w:r>
      <w:r>
        <w:rPr>
          <w:lang w:val="en_US" w:bidi="en_US"/>
        </w:rPr>
        <w:t xml:space="preserve"> which is </w:t>
      </w:r>
      <w:r>
        <w:rPr>
          <w:b/>
          <w:lang w:val="en_US" w:bidi="en_US"/>
        </w:rPr>
        <w:t>the message from God.</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b/>
          <w:lang w:val="en_US" w:bidi="en_US"/>
        </w:rPr>
        <w:t>telling the message to people.</w:t>
      </w:r>
    </w:p>
    <w:p>
      <w:pPr>
        <w:pStyle w:val="ListNumber"/>
        <w:spacing w:line="240" w:lineRule="auto"/>
        <w:ind w:left="720"/>
      </w:pPr>
      <w:r>
        <w:rPr>
          <w:lang w:val="en_US" w:bidi="en_US"/>
        </w:rPr>
      </w:r>
      <w:r>
        <w:rPr>
          <w:lang w:val="en_US" w:bidi="en_US"/>
        </w:rPr>
        <w:t xml:space="preserve">The </w:t>
      </w:r>
      <w:r>
        <w:rPr>
          <w:u w:val="single"/>
          <w:lang w:val="en_US" w:bidi="en_US"/>
        </w:rPr>
        <w:t>different kinds of soil</w:t>
      </w:r>
      <w:r>
        <w:rPr>
          <w:lang w:val="en_US" w:bidi="en_US"/>
        </w:rPr>
        <w:t xml:space="preserve"> represent </w:t>
      </w:r>
      <w:r>
        <w:rPr>
          <w:b/>
          <w:lang w:val="en_US" w:bidi="en_US"/>
        </w:rPr>
        <w:t>the way different people hear the message.</w:t>
      </w:r>
    </w:p>
    <w:p>
      <w:pPr/>
      <w:r>
        <w:rPr>
          <w:lang w:val="en_US" w:bidi="en_US"/>
        </w:rPr>
      </w:r>
      <w:r>
        <w:rPr>
          <w:lang w:val="en_US" w:bidi="en_US"/>
        </w:rPr>
        <w:t>This section heading should be similar to the section heading for 8:1–10. You may use the word “explained” or “Jesus explained” (instead of “Jesus told”).</w:t>
      </w:r>
    </w:p>
    <w:p>
      <w:pPr/>
      <w:r>
        <w:rPr>
          <w:lang w:val="en_US" w:bidi="en_US"/>
        </w:rPr>
      </w:r>
      <w:r>
        <w:rPr>
          <w:lang w:val="en_US" w:bidi="en_US"/>
        </w:rPr>
        <w:t>Some other possible headings for this section are:</w:t>
      </w:r>
    </w:p>
    <w:p>
      <w:pPr/>
      <w:r>
        <w:rPr>
          <w:lang w:val="en_US" w:bidi="en_US"/>
        </w:rPr>
      </w:r>
      <w:r>
        <w:rPr>
          <w:lang w:val="en_US" w:bidi="en_US"/>
        </w:rPr>
        <w:t xml:space="preserve">Jesus explained the parable of the sower </w:t>
      </w:r>
      <w:r>
        <w:rPr>
          <w:lang w:val="en_US" w:bidi="en_US"/>
        </w:rPr>
        <w:t>and the soils</w:t>
      </w:r>
    </w:p>
    <w:p>
      <w:pPr/>
      <w:r>
        <w:rPr>
          <w:lang w:val="en_US" w:bidi="en_US"/>
        </w:rPr>
      </w:r>
      <w:r>
        <w:rPr>
          <w:lang w:val="en_US" w:bidi="en_US"/>
        </w:rPr>
        <w:t>The parable/story/illustration about the four soils explained</w:t>
      </w:r>
    </w:p>
    <w:p>
      <w:pPr/>
      <w:r>
        <w:rPr>
          <w:lang w:val="en_US" w:bidi="en_US"/>
        </w:rPr>
      </w:r>
      <w:r>
        <w:rPr>
          <w:lang w:val="en_US" w:bidi="en_US"/>
        </w:rPr>
        <w:t>The explanation of the parable about four kinds of people</w:t>
      </w:r>
    </w:p>
    <w:p>
      <w:pPr/>
      <w:r>
        <w:rPr>
          <w:lang w:val="en_US" w:bidi="en_US"/>
        </w:rPr>
      </w:r>
      <w:r>
        <w:rPr>
          <w:lang w:val="en_US" w:bidi="en_US"/>
        </w:rPr>
        <w:t>The meaning of the parable of a man scattering seed</w:t>
      </w:r>
    </w:p>
    <w:p>
      <w:pPr/>
      <w:r>
        <w:rPr>
          <w:lang w:val="en_US" w:bidi="en_US"/>
        </w:rPr>
      </w:r>
      <w:r>
        <w:rPr>
          <w:lang w:val="en_US" w:bidi="en_US"/>
        </w:rPr>
        <w:t>There are parallel passages for this section in Matthew 13:18–23 and Mark 4:13–20.</w:t>
      </w:r>
    </w:p>
    <w:p>
      <w:pPr>
        <w:pStyle w:val="Heading5"/>
      </w:pPr>
      <w:r>
        <w:rPr>
          <w:lang w:val="en_US" w:bidi="en_US"/>
        </w:rPr>
        <w:t>8:13a</w:t>
      </w:r>
    </w:p>
    <w:p>
      <w:pPr/>
      <w:r>
        <w:rPr>
          <w:lang w:val="en_US" w:bidi="en_US"/>
        </w:rPr>
      </w:r>
      <w:r>
        <w:rPr>
          <w:b/>
          <w:lang w:val="en_US" w:bidi="en_US"/>
        </w:rPr>
        <w:t>The seeds on rocky ground are those who hear the word and receive it with joy,</w:t>
      </w:r>
    </w:p>
    <w:p>
      <w:pPr>
        <w:pStyle w:val="ListBullet"/>
        <w:spacing w:line="240" w:lineRule="auto"/>
        <w:ind w:left="720"/>
      </w:pPr>
      <w:r>
        <w:rPr>
          <w:lang w:val="en_US" w:bidi="en_US"/>
        </w:rPr>
      </w:r>
      <w:r>
        <w:rPr>
          <w:lang w:val="en_US" w:bidi="en_US"/>
        </w:rPr>
        <w:t>The example/picture of</w:t>
      </w:r>
      <w:r>
        <w:rPr>
          <w:lang w:val="en_US" w:bidi="en_US"/>
        </w:rPr>
        <w:t xml:space="preserve"> the seeds </w:t>
      </w:r>
      <w:r>
        <w:rPr>
          <w:lang w:val="en_US" w:bidi="en_US"/>
        </w:rPr>
        <w:t>that fell</w:t>
      </w:r>
      <w:r>
        <w:rPr>
          <w:lang w:val="en_US" w:bidi="en_US"/>
        </w:rPr>
        <w:t xml:space="preserve"> on rock represents </w:t>
      </w:r>
      <w:r>
        <w:rPr>
          <w:lang w:val="en_US" w:bidi="en_US"/>
        </w:rPr>
        <w:t>other</w:t>
      </w:r>
      <w:r>
        <w:rPr>
          <w:lang w:val="en_US" w:bidi="en_US"/>
        </w:rPr>
        <w:t xml:space="preserve"> people who gladly accept the word </w:t>
      </w:r>
      <w:r>
        <w:rPr>
          <w:lang w:val="en_US" w:bidi="en_US"/>
        </w:rPr>
        <w:t>of God</w:t>
      </w:r>
      <w:r>
        <w:rPr>
          <w:lang w:val="en_US" w:bidi="en_US"/>
        </w:rPr>
        <w:t xml:space="preserve"> when they hear it.</w:t>
      </w:r>
    </w:p>
    <w:p>
      <w:pPr>
        <w:pStyle w:val="ListBullet"/>
        <w:spacing w:line="240" w:lineRule="auto"/>
        <w:ind w:left="720"/>
      </w:pPr>
      <w:r>
        <w:rPr>
          <w:lang w:val="en_US" w:bidi="en_US"/>
        </w:rPr>
      </w:r>
      <w:r>
        <w:rPr>
          <w:lang w:val="en_US" w:bidi="en_US"/>
        </w:rPr>
        <w:t xml:space="preserve">The seeds </w:t>
      </w:r>
      <w:r>
        <w:rPr>
          <w:lang w:val="en_US" w:bidi="en_US"/>
        </w:rPr>
        <w:t>scattered</w:t>
      </w:r>
      <w:r>
        <w:rPr>
          <w:lang w:val="en_US" w:bidi="en_US"/>
        </w:rPr>
        <w:t xml:space="preserve"> on </w:t>
      </w:r>
      <w:r>
        <w:rPr>
          <w:lang w:val="en_US" w:bidi="en_US"/>
        </w:rPr>
        <w:t>the ground that had</w:t>
      </w:r>
      <w:r>
        <w:rPr>
          <w:lang w:val="en_US" w:bidi="en_US"/>
        </w:rPr>
        <w:t xml:space="preserve"> rock </w:t>
      </w:r>
      <w:r>
        <w:rPr>
          <w:lang w:val="en_US" w:bidi="en_US"/>
        </w:rPr>
        <w:t>underneath</w:t>
      </w:r>
      <w:r>
        <w:rPr>
          <w:lang w:val="en_US" w:bidi="en_US"/>
        </w:rPr>
        <w:t xml:space="preserve"> illustrate people who hear </w:t>
      </w:r>
      <w:r>
        <w:rPr>
          <w:lang w:val="en_US" w:bidi="en_US"/>
        </w:rPr>
        <w:t>God’s</w:t>
      </w:r>
      <w:r>
        <w:rPr>
          <w:lang w:val="en_US" w:bidi="en_US"/>
        </w:rPr>
        <w:t xml:space="preserve"> message and happily receive/believe it.</w:t>
      </w:r>
    </w:p>
    <w:p>
      <w:pPr/>
      <w:r>
        <w:rPr>
          <w:lang w:val="en_US" w:bidi="en_US"/>
        </w:rPr>
      </w:r>
      <w:r>
        <w:rPr>
          <w:b/>
          <w:lang w:val="en_US" w:bidi="en_US"/>
        </w:rPr>
        <w:t>The seeds on rocky ground are those:</w:t>
      </w:r>
      <w:r>
        <w:rPr>
          <w:lang w:val="en_US" w:bidi="en_US"/>
        </w:rPr>
        <w:t xml:space="preserve"> The Greek phrase that the BSB translates as </w:t>
      </w:r>
      <w:r>
        <w:rPr>
          <w:i/>
          <w:lang w:val="en_US" w:bidi="en_US"/>
        </w:rPr>
        <w:t>The seeds on rocky ground are those</w:t>
      </w:r>
      <w:r>
        <w:rPr>
          <w:lang w:val="en_US" w:bidi="en_US"/>
        </w:rPr>
        <w:t xml:space="preserve"> introduces what happens when seeds fall on ground that has solid rock underneath. This general situation, not just the seeds, represents people who hear God’s message. Some ways to translate this are:</w:t>
      </w:r>
    </w:p>
    <w:p>
      <w:pPr/>
      <w:r>
        <w:rPr>
          <w:lang w:val="en_US" w:bidi="en_US"/>
        </w:rPr>
      </w:r>
      <w:r>
        <w:rPr>
          <w:lang w:val="en_US" w:bidi="en_US"/>
        </w:rPr>
        <w:t xml:space="preserve">When seeds fall on the rock, it is like when people hear </w:t>
      </w:r>
      <w:r>
        <w:rPr>
          <w:lang w:val="en_US" w:bidi="en_US"/>
        </w:rPr>
        <w:t>God’s message</w:t>
      </w:r>
      <w:r>
        <w:rPr>
          <w:lang w:val="en_US" w:bidi="en_US"/>
        </w:rPr>
        <w:t>…</w:t>
      </w:r>
    </w:p>
    <w:p>
      <w:pPr/>
      <w:r>
        <w:rPr>
          <w:lang w:val="en_US" w:bidi="en_US"/>
        </w:rPr>
      </w:r>
      <w:r>
        <w:rPr>
          <w:lang w:val="en_US" w:bidi="en_US"/>
        </w:rPr>
        <w:t xml:space="preserve">The picture of the seeds </w:t>
      </w:r>
      <w:r>
        <w:rPr>
          <w:lang w:val="en_US" w:bidi="en_US"/>
        </w:rPr>
        <w:t>scattered</w:t>
      </w:r>
      <w:r>
        <w:rPr>
          <w:lang w:val="en_US" w:bidi="en_US"/>
        </w:rPr>
        <w:t xml:space="preserve"> on the rock represent </w:t>
      </w:r>
      <w:r>
        <w:rPr>
          <w:lang w:val="en_US" w:bidi="en_US"/>
        </w:rPr>
        <w:t>the kind of</w:t>
      </w:r>
      <w:r>
        <w:rPr>
          <w:lang w:val="en_US" w:bidi="en_US"/>
        </w:rPr>
        <w:t xml:space="preserve"> people who hear </w:t>
      </w:r>
      <w:r>
        <w:rPr>
          <w:lang w:val="en_US" w:bidi="en_US"/>
        </w:rPr>
        <w:t>God’s message</w:t>
      </w:r>
      <w:r>
        <w:rPr>
          <w:lang w:val="en_US" w:bidi="en_US"/>
        </w:rPr>
        <w:t>…</w:t>
      </w:r>
    </w:p>
    <w:p>
      <w:pPr/>
      <w:r>
        <w:rPr>
          <w:lang w:val="en_US" w:bidi="en_US"/>
        </w:rPr>
      </w:r>
      <w:r>
        <w:rPr>
          <w:lang w:val="en_US" w:bidi="en_US"/>
        </w:rPr>
        <w:t xml:space="preserve">See the note at 8:6a for ways to translate </w:t>
      </w:r>
      <w:r>
        <w:rPr>
          <w:i/>
          <w:lang w:val="en_US" w:bidi="en_US"/>
        </w:rPr>
        <w:t>on rocky ground</w:t>
      </w:r>
      <w:r>
        <w:rPr>
          <w:lang w:val="en_US" w:bidi="en_US"/>
        </w:rPr>
        <w:t>. Translate this phrase in the same way as you did at 8:6a.</w:t>
      </w:r>
    </w:p>
    <w:p>
      <w:pPr/>
      <w:r>
        <w:rPr>
          <w:lang w:val="en_US" w:bidi="en_US"/>
        </w:rPr>
      </w:r>
      <w:r>
        <w:rPr>
          <w:b/>
          <w:lang w:val="en_US" w:bidi="en_US"/>
        </w:rPr>
        <w:t>who hear the word and receive it with joy:</w:t>
      </w:r>
      <w:r>
        <w:rPr>
          <w:lang w:val="en_US" w:bidi="en_US"/>
        </w:rPr>
        <w:t xml:space="preserve"> In some languages it may be helpful to change the order of events here. For example:</w:t>
      </w:r>
    </w:p>
    <w:p>
      <w:pPr/>
      <w:r>
        <w:rPr>
          <w:lang w:val="en_US" w:bidi="en_US"/>
        </w:rPr>
      </w:r>
      <w:r>
        <w:rPr>
          <w:lang w:val="en_US" w:bidi="en_US"/>
        </w:rPr>
        <w:t>who joyfully accept the word when they hear it</w:t>
      </w:r>
    </w:p>
    <w:p>
      <w:pPr/>
      <w:r>
        <w:rPr>
          <w:lang w:val="en_US" w:bidi="en_US"/>
        </w:rPr>
      </w:r>
      <w:r>
        <w:rPr>
          <w:b/>
          <w:lang w:val="en_US" w:bidi="en_US"/>
        </w:rPr>
        <w:t>receive it with joy:</w:t>
      </w:r>
      <w:r>
        <w:rPr>
          <w:lang w:val="en_US" w:bidi="en_US"/>
        </w:rPr>
        <w:t xml:space="preserve"> The Greek expression that the BSB translates as </w:t>
      </w:r>
      <w:r>
        <w:rPr>
          <w:i/>
          <w:lang w:val="en_US" w:bidi="en_US"/>
        </w:rPr>
        <w:t>receive it with joy</w:t>
      </w:r>
      <w:r>
        <w:rPr>
          <w:lang w:val="en_US" w:bidi="en_US"/>
        </w:rPr>
        <w:t xml:space="preserve"> means “are happy to accept/believe God’s message.”</w:t>
      </w:r>
    </w:p>
    <w:p>
      <w:pPr>
        <w:pStyle w:val="Heading5"/>
      </w:pPr>
      <w:r>
        <w:rPr>
          <w:lang w:val="en_US" w:bidi="en_US"/>
        </w:rPr>
        <w:t>8:13b</w:t>
      </w:r>
    </w:p>
    <w:p>
      <w:pPr/>
      <w:r>
        <w:rPr>
          <w:lang w:val="en_US" w:bidi="en_US"/>
        </w:rPr>
      </w:r>
      <w:r>
        <w:rPr>
          <w:b/>
          <w:lang w:val="en_US" w:bidi="en_US"/>
        </w:rPr>
        <w:t>but they have no root.</w:t>
      </w:r>
    </w:p>
    <w:p>
      <w:pPr>
        <w:pStyle w:val="ListBullet"/>
        <w:spacing w:line="240" w:lineRule="auto"/>
        <w:ind w:left="720"/>
      </w:pPr>
      <w:r>
        <w:rPr>
          <w:lang w:val="en_US" w:bidi="en_US"/>
        </w:rPr>
      </w:r>
      <w:r>
        <w:rPr>
          <w:lang w:val="en_US" w:bidi="en_US"/>
        </w:rPr>
        <w:t xml:space="preserve">But they are </w:t>
      </w:r>
      <w:r>
        <w:rPr>
          <w:lang w:val="en_US" w:bidi="en_US"/>
        </w:rPr>
        <w:t>like plants</w:t>
      </w:r>
      <w:r>
        <w:rPr>
          <w:lang w:val="en_US" w:bidi="en_US"/>
        </w:rPr>
        <w:t xml:space="preserve"> with no roots.</w:t>
      </w:r>
    </w:p>
    <w:p>
      <w:pPr>
        <w:pStyle w:val="ListBullet"/>
        <w:spacing w:line="240" w:lineRule="auto"/>
        <w:ind w:left="720"/>
      </w:pPr>
      <w:r>
        <w:rPr>
          <w:lang w:val="en_US" w:bidi="en_US"/>
        </w:rPr>
      </w:r>
      <w:r>
        <w:rPr>
          <w:lang w:val="en_US" w:bidi="en_US"/>
        </w:rPr>
        <w:t>But these people are unstable/changeable.</w:t>
      </w:r>
    </w:p>
    <w:p>
      <w:pPr/>
      <w:r>
        <w:rPr>
          <w:lang w:val="en_US" w:bidi="en_US"/>
        </w:rPr>
      </w:r>
      <w:r>
        <w:rPr>
          <w:b/>
          <w:lang w:val="en_US" w:bidi="en_US"/>
        </w:rPr>
        <w:t>but:</w:t>
      </w:r>
      <w:r>
        <w:rPr>
          <w:lang w:val="en_US" w:bidi="en_US"/>
        </w:rPr>
        <w:t xml:space="preserve"> The Greek conjunction that the BSB translates here as </w:t>
      </w:r>
      <w:r>
        <w:rPr>
          <w:i/>
          <w:lang w:val="en_US" w:bidi="en_US"/>
        </w:rPr>
        <w:t>but</w:t>
      </w:r>
      <w:r>
        <w:rPr>
          <w:lang w:val="en_US" w:bidi="en_US"/>
        </w:rPr>
        <w:t xml:space="preserve"> is often translated as “and” in English. However, here it introduces something that is the opposite of what one might expect from the previous verse part. That is the reason why most English versions translate it as “but” in this context. Translate this connection in a way that is natural in your language.</w:t>
      </w:r>
    </w:p>
    <w:p>
      <w:pPr/>
      <w:r>
        <w:rPr>
          <w:lang w:val="en_US" w:bidi="en_US"/>
        </w:rPr>
      </w:r>
      <w:r>
        <w:rPr>
          <w:b/>
          <w:lang w:val="en_US" w:bidi="en_US"/>
        </w:rPr>
        <w:t>they have no root:</w:t>
      </w:r>
      <w:r>
        <w:rPr>
          <w:lang w:val="en_US" w:bidi="en_US"/>
        </w:rPr>
        <w:t xml:space="preserve"> Here Jesus compared the people to the plants on the rock that could not develop strong roots. For these people, the phrase </w:t>
      </w:r>
      <w:r>
        <w:rPr>
          <w:i/>
          <w:lang w:val="en_US" w:bidi="en_US"/>
        </w:rPr>
        <w:t>have no root</w:t>
      </w:r>
      <w:r>
        <w:rPr>
          <w:lang w:val="en_US" w:bidi="en_US"/>
        </w:rPr>
        <w:t xml:space="preserve"> is a figure of speech. It probably means that they are not stable or firm in believing the word (8:13c).</w:t>
      </w:r>
    </w:p>
    <w:p>
      <w:pPr/>
      <w:r>
        <w:rPr>
          <w:lang w:val="en_US" w:bidi="en_US"/>
        </w:rPr>
      </w:r>
      <w:r>
        <w:rPr>
          <w:lang w:val="en_US" w:bidi="en_US"/>
        </w:rPr>
        <w:t>Some ways to translate this figure of speech are:</w:t>
      </w:r>
    </w:p>
    <w:p>
      <w:pPr>
        <w:pStyle w:val="ListBullet"/>
        <w:spacing w:line="240" w:lineRule="auto"/>
        <w:ind w:left="720"/>
      </w:pPr>
      <w:r>
        <w:rPr>
          <w:lang w:val="en_US" w:bidi="en_US"/>
        </w:rPr>
      </w:r>
      <w:r>
        <w:rPr>
          <w:lang w:val="en_US" w:bidi="en_US"/>
        </w:rPr>
        <w:t>Translate this as a simile:</w:t>
      </w:r>
      <w:r>
        <w:rPr>
          <w:lang w:val="en_US" w:bidi="en_US"/>
        </w:rPr>
        <w:t xml:space="preserve">they are </w:t>
      </w:r>
      <w:r>
        <w:rPr>
          <w:lang w:val="en_US" w:bidi="en_US"/>
        </w:rPr>
        <w:t>like plants</w:t>
      </w:r>
      <w:r>
        <w:rPr>
          <w:lang w:val="en_US" w:bidi="en_US"/>
        </w:rPr>
        <w:t xml:space="preserve"> without roots</w:t>
      </w:r>
      <w:r>
        <w:rPr>
          <w:lang w:val="en_US" w:bidi="en_US"/>
        </w:rPr>
        <w:t xml:space="preserve">they are </w:t>
      </w:r>
      <w:r>
        <w:rPr>
          <w:lang w:val="en_US" w:bidi="en_US"/>
        </w:rPr>
        <w:t>unstable like plants</w:t>
      </w:r>
      <w:r>
        <w:rPr>
          <w:lang w:val="en_US" w:bidi="en_US"/>
        </w:rPr>
        <w:t xml:space="preserve"> without roots</w:t>
      </w:r>
    </w:p>
    <w:p>
      <w:pPr>
        <w:pStyle w:val="ListBullet"/>
        <w:spacing w:line="240" w:lineRule="auto"/>
        <w:ind w:left="720"/>
      </w:pPr>
      <w:r>
        <w:rPr>
          <w:lang w:val="en_US" w:bidi="en_US"/>
        </w:rPr>
      </w:r>
      <w:r>
        <w:rPr>
          <w:lang w:val="en_US" w:bidi="en_US"/>
        </w:rPr>
        <w:t>Translate only the meaning of the phrase:</w:t>
      </w:r>
      <w:r>
        <w:rPr>
          <w:lang w:val="en_US" w:bidi="en_US"/>
        </w:rPr>
        <w:t>they are unstable</w:t>
      </w:r>
      <w:r>
        <w:rPr>
          <w:lang w:val="en_US" w:bidi="en_US"/>
        </w:rPr>
        <w:t>they are changeable</w:t>
      </w:r>
    </w:p>
    <w:p>
      <w:pPr>
        <w:pStyle w:val="Heading5"/>
      </w:pPr>
      <w:r>
        <w:rPr>
          <w:lang w:val="en_US" w:bidi="en_US"/>
        </w:rPr>
        <w:t>8:13c</w:t>
      </w:r>
    </w:p>
    <w:p>
      <w:pPr/>
      <w:r>
        <w:rPr>
          <w:lang w:val="en_US" w:bidi="en_US"/>
        </w:rPr>
      </w:r>
      <w:r>
        <w:rPr>
          <w:b/>
          <w:lang w:val="en_US" w:bidi="en_US"/>
        </w:rPr>
        <w:t>They believe for a season,</w:t>
      </w:r>
    </w:p>
    <w:p>
      <w:pPr>
        <w:pStyle w:val="ListBullet"/>
        <w:spacing w:line="240" w:lineRule="auto"/>
        <w:ind w:left="720"/>
      </w:pPr>
      <w:r>
        <w:rPr>
          <w:lang w:val="en_US" w:bidi="en_US"/>
        </w:rPr>
      </w:r>
      <w:r>
        <w:rPr>
          <w:lang w:val="en_US" w:bidi="en_US"/>
        </w:rPr>
        <w:t xml:space="preserve">They believe </w:t>
      </w:r>
      <w:r>
        <w:rPr>
          <w:lang w:val="en_US" w:bidi="en_US"/>
        </w:rPr>
        <w:t>God’s message</w:t>
      </w:r>
      <w:r>
        <w:rPr>
          <w:lang w:val="en_US" w:bidi="en_US"/>
        </w:rPr>
        <w:t xml:space="preserve"> for a short time,</w:t>
      </w:r>
    </w:p>
    <w:p>
      <w:pPr/>
      <w:r>
        <w:rPr>
          <w:lang w:val="en_US" w:bidi="en_US"/>
        </w:rPr>
      </w:r>
      <w:r>
        <w:rPr>
          <w:b/>
          <w:lang w:val="en_US" w:bidi="en_US"/>
        </w:rPr>
        <w:t>They believe for a season:</w:t>
      </w:r>
      <w:r>
        <w:rPr>
          <w:lang w:val="en_US" w:bidi="en_US"/>
        </w:rPr>
        <w:t xml:space="preserve"> The Greek phrase that the BSB translates as </w:t>
      </w:r>
      <w:r>
        <w:rPr>
          <w:i/>
          <w:lang w:val="en_US" w:bidi="en_US"/>
        </w:rPr>
        <w:t>They believe for a season</w:t>
      </w:r>
      <w:r>
        <w:rPr>
          <w:lang w:val="en_US" w:bidi="en_US"/>
        </w:rPr>
        <w:t xml:space="preserve"> indicates that these people believe God’s message for a short time.</w:t>
      </w:r>
    </w:p>
    <w:p>
      <w:pPr/>
      <w:r>
        <w:rPr>
          <w:lang w:val="en_US" w:bidi="en_US"/>
        </w:rPr>
      </w:r>
      <w:r>
        <w:rPr>
          <w:b/>
          <w:lang w:val="en_US" w:bidi="en_US"/>
        </w:rPr>
        <w:t>believe:</w:t>
      </w:r>
      <w:r>
        <w:rPr>
          <w:lang w:val="en_US" w:bidi="en_US"/>
        </w:rPr>
        <w:t xml:space="preserve"> The word </w:t>
      </w:r>
      <w:r>
        <w:rPr>
          <w:i/>
          <w:lang w:val="en_US" w:bidi="en_US"/>
        </w:rPr>
        <w:t>believe</w:t>
      </w:r>
      <w:r>
        <w:rPr>
          <w:lang w:val="en_US" w:bidi="en_US"/>
        </w:rPr>
        <w:t xml:space="preserve"> is the same word as in 8:12c. See the note there for translation advice.</w:t>
      </w:r>
    </w:p>
    <w:p>
      <w:pPr>
        <w:pStyle w:val="Heading5"/>
      </w:pPr>
      <w:r>
        <w:rPr>
          <w:lang w:val="en_US" w:bidi="en_US"/>
        </w:rPr>
        <w:t>8:13d</w:t>
      </w:r>
    </w:p>
    <w:p>
      <w:pPr/>
      <w:r>
        <w:rPr>
          <w:lang w:val="en_US" w:bidi="en_US"/>
        </w:rPr>
      </w:r>
      <w:r>
        <w:rPr>
          <w:b/>
          <w:lang w:val="en_US" w:bidi="en_US"/>
        </w:rPr>
        <w:t>but in the time of testing, they fall away.</w:t>
      </w:r>
    </w:p>
    <w:p>
      <w:pPr>
        <w:pStyle w:val="ListBullet"/>
        <w:spacing w:line="240" w:lineRule="auto"/>
        <w:ind w:left="720"/>
      </w:pPr>
      <w:r>
        <w:rPr>
          <w:lang w:val="en_US" w:bidi="en_US"/>
        </w:rPr>
      </w:r>
      <w:r>
        <w:rPr>
          <w:lang w:val="en_US" w:bidi="en_US"/>
        </w:rPr>
        <w:t xml:space="preserve">but when </w:t>
      </w:r>
      <w:r>
        <w:rPr>
          <w:lang w:val="en_US" w:bidi="en_US"/>
        </w:rPr>
        <w:t>difficult things happen that</w:t>
      </w:r>
      <w:r>
        <w:rPr>
          <w:lang w:val="en_US" w:bidi="en_US"/>
        </w:rPr>
        <w:t xml:space="preserve"> test </w:t>
      </w:r>
      <w:r>
        <w:rPr>
          <w:lang w:val="en_US" w:bidi="en_US"/>
        </w:rPr>
        <w:t>how much they believe</w:t>
      </w:r>
      <w:r>
        <w:rPr>
          <w:lang w:val="en_US" w:bidi="en_US"/>
        </w:rPr>
        <w:t>, they stop believing.</w:t>
      </w:r>
    </w:p>
    <w:p>
      <w:pPr>
        <w:pStyle w:val="ListBullet"/>
        <w:spacing w:line="240" w:lineRule="auto"/>
        <w:ind w:left="720"/>
      </w:pPr>
      <w:r>
        <w:rPr>
          <w:lang w:val="en_US" w:bidi="en_US"/>
        </w:rPr>
      </w:r>
      <w:r>
        <w:rPr>
          <w:lang w:val="en_US" w:bidi="en_US"/>
        </w:rPr>
        <w:t xml:space="preserve">but when they have trouble/problems, they turn away from following </w:t>
      </w:r>
      <w:r>
        <w:rPr>
          <w:lang w:val="en_US" w:bidi="en_US"/>
        </w:rPr>
        <w:t>God’s message</w:t>
      </w:r>
      <w:r>
        <w:rPr>
          <w:lang w:val="en_US" w:bidi="en_US"/>
        </w:rPr>
        <w:t>.</w:t>
      </w:r>
    </w:p>
    <w:p>
      <w:pPr/>
      <w:r>
        <w:rPr>
          <w:lang w:val="en_US" w:bidi="en_US"/>
        </w:rPr>
      </w:r>
      <w:r>
        <w:rPr>
          <w:b/>
          <w:lang w:val="en_US" w:bidi="en_US"/>
        </w:rPr>
        <w:t>in the time of testing:</w:t>
      </w:r>
      <w:r>
        <w:rPr>
          <w:lang w:val="en_US" w:bidi="en_US"/>
        </w:rPr>
        <w:t xml:space="preserve"> The Greek phrase that the BSB translates as </w:t>
      </w:r>
      <w:r>
        <w:rPr>
          <w:i/>
          <w:lang w:val="en_US" w:bidi="en_US"/>
        </w:rPr>
        <w:t>in the time of testing</w:t>
      </w:r>
      <w:r>
        <w:rPr>
          <w:lang w:val="en_US" w:bidi="en_US"/>
        </w:rPr>
        <w:t xml:space="preserve"> means “when they are tested” or “when hard things happen to them.” Sad or difficult things that happen to these people test whether they truly believe. If they continue to believe the word and act on it even when they are tested, they prove that they really believe.</w:t>
      </w:r>
    </w:p>
    <w:p>
      <w:pPr/>
      <w:r>
        <w:rPr>
          <w:lang w:val="en_US" w:bidi="en_US"/>
        </w:rPr>
      </w:r>
      <w:r>
        <w:rPr>
          <w:b/>
          <w:lang w:val="en_US" w:bidi="en_US"/>
        </w:rPr>
        <w:t>they fall away:</w:t>
      </w:r>
      <w:r>
        <w:rPr>
          <w:lang w:val="en_US" w:bidi="en_US"/>
        </w:rPr>
        <w:t xml:space="preserve"> The Greek phrase that the BSB translates as </w:t>
      </w:r>
      <w:r>
        <w:rPr>
          <w:i/>
          <w:lang w:val="en_US" w:bidi="en_US"/>
        </w:rPr>
        <w:t>they fall away</w:t>
      </w:r>
      <w:r>
        <w:rPr>
          <w:lang w:val="en_US" w:bidi="en_US"/>
        </w:rPr>
        <w:t xml:space="preserve"> means “they stop believing.”</w:t>
      </w:r>
      <w:r>
        <w:rPr>
          <w:lang w:val="en_US" w:bidi="en_US"/>
        </w:rPr>
      </w:r>
      <w:r>
        <w:rPr>
          <w:lang w:val="en_US" w:bidi="en_US"/>
        </w:rPr>
      </w:r>
    </w:p>
    <w:p>
      <w:pPr/>
      <w:r>
        <w:rPr>
          <w:lang w:val="en_US" w:bidi="en_US"/>
        </w:rPr>
      </w:r>
    </w:p>
    <w:p>
      <w:pPr>
        <w:pStyle w:val="Heading2"/>
      </w:pPr>
      <w:r>
        <w:rPr>
          <w:lang w:val="en_US" w:bidi="en_US"/>
        </w:rPr>
        <w:t>Luke 8:14</w:t>
      </w:r>
      <w:r>
        <w:rPr>
          <w:lang w:val="en_US" w:bidi="en_US"/>
        </w:rPr>
      </w:r>
    </w:p>
    <w:p>
      <w:pPr>
        <w:pStyle w:val="Heading4"/>
      </w:pPr>
      <w:r>
        <w:rPr>
          <w:lang w:val="en_US" w:bidi="en_US"/>
        </w:rPr>
        <w:t>Section 8:9–15: Jesus explained the parable about four types of soil</w:t>
      </w:r>
    </w:p>
    <w:p>
      <w:pPr/>
      <w:r>
        <w:rPr>
          <w:lang w:val="en_US" w:bidi="en_US"/>
        </w:rPr>
      </w:r>
      <w:r>
        <w:rPr>
          <w:lang w:val="en_US" w:bidi="en_US"/>
        </w:rPr>
        <w:t>In 8:9–10 Jesus explained why he taught in parables. Then in 8:11–15 he explained the meaning of the parable in 8:1–8b. The basic meaning of Jesus’ explanation is clear. However, there are questions about the meaning of the seed in this section. In 8:11 the seed refers to the word of God. In 8:12–15 what is sown seems to refer to the people who hear the word. This has led to several interpretations for the seed in 8:12–15.</w:t>
      </w:r>
    </w:p>
    <w:p>
      <w:pPr/>
      <w:r>
        <w:rPr>
          <w:lang w:val="en_US" w:bidi="en_US"/>
        </w:rPr>
      </w:r>
      <w:r>
        <w:rPr>
          <w:lang w:val="en_US" w:bidi="en_US"/>
        </w:rPr>
        <w:t>The interpretation that the Notes follows is that in 8:12–15 the seed continues to represent the word. The introductory expressions such as “those on/beside/in…are…” (RSV) refer generally to four different ways in which people hear and respond to the word.</w:t>
      </w:r>
    </w:p>
    <w:p>
      <w:pPr/>
      <w:r>
        <w:rPr>
          <w:lang w:val="en_US" w:bidi="en_US"/>
        </w:rPr>
      </w:r>
      <w:r>
        <w:rPr>
          <w:lang w:val="en_US" w:bidi="en_US"/>
        </w:rPr>
        <w:t>Many scholars support this interpretation in their commentaries. In some versions the seed appears to refer to the people. However, even in these versions, the text implies that the seed of the word has different results in different kinds of people.</w:t>
      </w:r>
    </w:p>
    <w:p>
      <w:pPr/>
      <w:r>
        <w:rPr>
          <w:lang w:val="en_US" w:bidi="en_US"/>
        </w:rPr>
      </w:r>
      <w:r>
        <w:rPr>
          <w:lang w:val="en_US" w:bidi="en_US"/>
        </w:rPr>
        <w:t>Here is the meaning of the main metaphors in the parable:</w:t>
      </w:r>
    </w:p>
    <w:p>
      <w:pPr>
        <w:pStyle w:val="ListNumber"/>
        <w:numPr>
          <w:ilvl w:val="0"/>
          <w:numId w:val="176"/>
        </w:numPr>
        <w:spacing w:line="240" w:lineRule="auto"/>
        <w:ind w:left="720"/>
      </w:pPr>
      <w:r>
        <w:rPr>
          <w:lang w:val="en_US" w:bidi="en_US"/>
        </w:rPr>
      </w:r>
      <w:r>
        <w:rPr>
          <w:lang w:val="en_US" w:bidi="en_US"/>
        </w:rPr>
        <w:t xml:space="preserve">The </w:t>
      </w:r>
      <w:r>
        <w:rPr>
          <w:u w:val="single"/>
          <w:lang w:val="en_US" w:bidi="en_US"/>
        </w:rPr>
        <w:t>seeds</w:t>
      </w:r>
      <w:r>
        <w:rPr>
          <w:lang w:val="en_US" w:bidi="en_US"/>
        </w:rPr>
        <w:t xml:space="preserve"> represent </w:t>
      </w:r>
      <w:r>
        <w:rPr>
          <w:b/>
          <w:lang w:val="en_US" w:bidi="en_US"/>
        </w:rPr>
        <w:t>the word,</w:t>
      </w:r>
      <w:r>
        <w:rPr>
          <w:lang w:val="en_US" w:bidi="en_US"/>
        </w:rPr>
        <w:t xml:space="preserve"> which is </w:t>
      </w:r>
      <w:r>
        <w:rPr>
          <w:b/>
          <w:lang w:val="en_US" w:bidi="en_US"/>
        </w:rPr>
        <w:t>the message from God.</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b/>
          <w:lang w:val="en_US" w:bidi="en_US"/>
        </w:rPr>
        <w:t>telling the message to people.</w:t>
      </w:r>
    </w:p>
    <w:p>
      <w:pPr>
        <w:pStyle w:val="ListNumber"/>
        <w:spacing w:line="240" w:lineRule="auto"/>
        <w:ind w:left="720"/>
      </w:pPr>
      <w:r>
        <w:rPr>
          <w:lang w:val="en_US" w:bidi="en_US"/>
        </w:rPr>
      </w:r>
      <w:r>
        <w:rPr>
          <w:lang w:val="en_US" w:bidi="en_US"/>
        </w:rPr>
        <w:t xml:space="preserve">The </w:t>
      </w:r>
      <w:r>
        <w:rPr>
          <w:u w:val="single"/>
          <w:lang w:val="en_US" w:bidi="en_US"/>
        </w:rPr>
        <w:t>different kinds of soil</w:t>
      </w:r>
      <w:r>
        <w:rPr>
          <w:lang w:val="en_US" w:bidi="en_US"/>
        </w:rPr>
        <w:t xml:space="preserve"> represent </w:t>
      </w:r>
      <w:r>
        <w:rPr>
          <w:b/>
          <w:lang w:val="en_US" w:bidi="en_US"/>
        </w:rPr>
        <w:t>the way different people hear the message.</w:t>
      </w:r>
    </w:p>
    <w:p>
      <w:pPr/>
      <w:r>
        <w:rPr>
          <w:lang w:val="en_US" w:bidi="en_US"/>
        </w:rPr>
      </w:r>
      <w:r>
        <w:rPr>
          <w:lang w:val="en_US" w:bidi="en_US"/>
        </w:rPr>
        <w:t>This section heading should be similar to the section heading for 8:1–10. You may use the word “explained” or “Jesus explained” (instead of “Jesus told”).</w:t>
      </w:r>
    </w:p>
    <w:p>
      <w:pPr/>
      <w:r>
        <w:rPr>
          <w:lang w:val="en_US" w:bidi="en_US"/>
        </w:rPr>
      </w:r>
      <w:r>
        <w:rPr>
          <w:lang w:val="en_US" w:bidi="en_US"/>
        </w:rPr>
        <w:t>Some other possible headings for this section are:</w:t>
      </w:r>
    </w:p>
    <w:p>
      <w:pPr/>
      <w:r>
        <w:rPr>
          <w:lang w:val="en_US" w:bidi="en_US"/>
        </w:rPr>
      </w:r>
      <w:r>
        <w:rPr>
          <w:lang w:val="en_US" w:bidi="en_US"/>
        </w:rPr>
        <w:t xml:space="preserve">Jesus explained the parable of the sower </w:t>
      </w:r>
      <w:r>
        <w:rPr>
          <w:lang w:val="en_US" w:bidi="en_US"/>
        </w:rPr>
        <w:t>and the soils</w:t>
      </w:r>
    </w:p>
    <w:p>
      <w:pPr/>
      <w:r>
        <w:rPr>
          <w:lang w:val="en_US" w:bidi="en_US"/>
        </w:rPr>
      </w:r>
      <w:r>
        <w:rPr>
          <w:lang w:val="en_US" w:bidi="en_US"/>
        </w:rPr>
        <w:t>The parable/story/illustration about the four soils explained</w:t>
      </w:r>
    </w:p>
    <w:p>
      <w:pPr/>
      <w:r>
        <w:rPr>
          <w:lang w:val="en_US" w:bidi="en_US"/>
        </w:rPr>
      </w:r>
      <w:r>
        <w:rPr>
          <w:lang w:val="en_US" w:bidi="en_US"/>
        </w:rPr>
        <w:t>The explanation of the parable about four kinds of people</w:t>
      </w:r>
    </w:p>
    <w:p>
      <w:pPr/>
      <w:r>
        <w:rPr>
          <w:lang w:val="en_US" w:bidi="en_US"/>
        </w:rPr>
      </w:r>
      <w:r>
        <w:rPr>
          <w:lang w:val="en_US" w:bidi="en_US"/>
        </w:rPr>
        <w:t>The meaning of the parable of a man scattering seed</w:t>
      </w:r>
    </w:p>
    <w:p>
      <w:pPr/>
      <w:r>
        <w:rPr>
          <w:lang w:val="en_US" w:bidi="en_US"/>
        </w:rPr>
      </w:r>
      <w:r>
        <w:rPr>
          <w:lang w:val="en_US" w:bidi="en_US"/>
        </w:rPr>
        <w:t>There are parallel passages for this section in Matthew 13:18–23 and Mark 4:13–20.</w:t>
      </w:r>
    </w:p>
    <w:p>
      <w:pPr>
        <w:pStyle w:val="Heading5"/>
      </w:pPr>
      <w:r>
        <w:rPr>
          <w:lang w:val="en_US" w:bidi="en_US"/>
        </w:rPr>
        <w:t>8:14a</w:t>
      </w:r>
    </w:p>
    <w:p>
      <w:pPr/>
      <w:r>
        <w:rPr>
          <w:lang w:val="en_US" w:bidi="en_US"/>
        </w:rPr>
      </w:r>
      <w:r>
        <w:rPr>
          <w:b/>
          <w:lang w:val="en_US" w:bidi="en_US"/>
        </w:rPr>
        <w:t>The seeds that fell among the thorns are those who hear,</w:t>
      </w:r>
    </w:p>
    <w:p>
      <w:pPr>
        <w:pStyle w:val="ListBullet"/>
        <w:spacing w:line="240" w:lineRule="auto"/>
        <w:ind w:left="720"/>
      </w:pPr>
      <w:r>
        <w:rPr>
          <w:lang w:val="en_US" w:bidi="en_US"/>
        </w:rPr>
      </w:r>
      <w:r>
        <w:rPr>
          <w:lang w:val="en_US" w:bidi="en_US"/>
        </w:rPr>
        <w:t>The example/picture of</w:t>
      </w:r>
      <w:r>
        <w:rPr>
          <w:lang w:val="en_US" w:bidi="en_US"/>
        </w:rPr>
        <w:t xml:space="preserve"> seeds that fell on </w:t>
      </w:r>
      <w:r>
        <w:rPr>
          <w:lang w:val="en_US" w:bidi="en_US"/>
        </w:rPr>
        <w:t>ground that had</w:t>
      </w:r>
      <w:r>
        <w:rPr>
          <w:lang w:val="en_US" w:bidi="en_US"/>
        </w:rPr>
        <w:t xml:space="preserve"> thorn </w:t>
      </w:r>
      <w:r>
        <w:rPr>
          <w:lang w:val="en_US" w:bidi="en_US"/>
        </w:rPr>
        <w:t>plants/bushes</w:t>
      </w:r>
      <w:r>
        <w:rPr>
          <w:lang w:val="en_US" w:bidi="en_US"/>
        </w:rPr>
        <w:t xml:space="preserve"> represents people who hear the word of God,</w:t>
      </w:r>
    </w:p>
    <w:p>
      <w:pPr>
        <w:pStyle w:val="ListBullet"/>
        <w:spacing w:line="240" w:lineRule="auto"/>
        <w:ind w:left="720"/>
      </w:pPr>
      <w:r>
        <w:rPr>
          <w:lang w:val="en_US" w:bidi="en_US"/>
        </w:rPr>
      </w:r>
      <w:r>
        <w:rPr>
          <w:lang w:val="en_US" w:bidi="en_US"/>
        </w:rPr>
        <w:t xml:space="preserve">The seeds scattered on </w:t>
      </w:r>
      <w:r>
        <w:rPr>
          <w:lang w:val="en_US" w:bidi="en_US"/>
        </w:rPr>
        <w:t>the ground where</w:t>
      </w:r>
      <w:r>
        <w:rPr>
          <w:lang w:val="en_US" w:bidi="en_US"/>
        </w:rPr>
        <w:t xml:space="preserve"> thorns/weeds </w:t>
      </w:r>
      <w:r>
        <w:rPr>
          <w:lang w:val="en_US" w:bidi="en_US"/>
        </w:rPr>
        <w:t>always grow</w:t>
      </w:r>
      <w:r>
        <w:rPr>
          <w:lang w:val="en_US" w:bidi="en_US"/>
        </w:rPr>
        <w:t xml:space="preserve"> illustrate people who hear God’s message,</w:t>
      </w:r>
    </w:p>
    <w:p>
      <w:pPr/>
      <w:r>
        <w:rPr>
          <w:lang w:val="en_US" w:bidi="en_US"/>
        </w:rPr>
      </w:r>
      <w:r>
        <w:rPr>
          <w:b/>
          <w:lang w:val="en_US" w:bidi="en_US"/>
        </w:rPr>
        <w:t>The seeds that fell among the thorns are those who hear:</w:t>
      </w:r>
      <w:r>
        <w:rPr>
          <w:lang w:val="en_US" w:bidi="en_US"/>
        </w:rPr>
        <w:t xml:space="preserve"> The Greek phrase that the BSB translates as </w:t>
      </w:r>
      <w:r>
        <w:rPr>
          <w:i/>
          <w:lang w:val="en_US" w:bidi="en_US"/>
        </w:rPr>
        <w:t>The seeds that fell among the thorns</w:t>
      </w:r>
      <w:r>
        <w:rPr>
          <w:lang w:val="en_US" w:bidi="en_US"/>
        </w:rPr>
        <w:t xml:space="preserve"> introduces what happens when seeds fall on thorny ground. This general situation, not just the seeds, represents people who hear God’s message.</w:t>
      </w:r>
      <w:r>
        <w:rPr>
          <w:lang w:val="en_US" w:bidi="en_US"/>
        </w:rPr>
        <w:t>The pronoun that introduces the third and fourth soils changes in the Greek text from masculine plural (</w:t>
      </w:r>
      <w:r>
        <w:rPr>
          <w:i/>
          <w:lang w:val="en_US" w:bidi="en_US"/>
        </w:rPr>
        <w:t>οἱ</w:t>
      </w:r>
      <w:r>
        <w:rPr>
          <w:lang w:val="en_US" w:bidi="en_US"/>
        </w:rPr>
        <w:t>) to neuter singular (</w:t>
      </w:r>
      <w:r>
        <w:rPr>
          <w:i/>
          <w:lang w:val="en_US" w:bidi="en_US"/>
        </w:rPr>
        <w:t>τὸ</w:t>
      </w:r>
      <w:r>
        <w:rPr>
          <w:lang w:val="en_US" w:bidi="en_US"/>
        </w:rPr>
        <w:t>). This may indicate “that part (of the seeds).” But this is quickly replaced again by the masculine plural (</w:t>
      </w:r>
      <w:r>
        <w:rPr>
          <w:i/>
          <w:lang w:val="en_US" w:bidi="en_US"/>
        </w:rPr>
        <w:t>οὗτοί</w:t>
      </w:r>
      <w:r>
        <w:rPr>
          <w:lang w:val="en_US" w:bidi="en_US"/>
        </w:rPr>
        <w:t>) in “these are the ones.” So the change does not appear that significant. The sense of Jesus’ explanation remains that the total image of seed and soil represents a type of people who respond to the Word in a certain way.</w:t>
      </w:r>
      <w:r>
        <w:rPr>
          <w:lang w:val="en_US" w:bidi="en_US"/>
        </w:rPr>
        <w:t xml:space="preserve"> Some ways to translate this are:</w:t>
      </w:r>
    </w:p>
    <w:p>
      <w:pPr/>
      <w:r>
        <w:rPr>
          <w:lang w:val="en_US" w:bidi="en_US"/>
        </w:rPr>
      </w:r>
      <w:r>
        <w:rPr>
          <w:lang w:val="en_US" w:bidi="en_US"/>
        </w:rPr>
        <w:t xml:space="preserve">When seeds fall among thorns, it is like when people hear </w:t>
      </w:r>
      <w:r>
        <w:rPr>
          <w:lang w:val="en_US" w:bidi="en_US"/>
        </w:rPr>
        <w:t>God’s message</w:t>
      </w:r>
      <w:r>
        <w:rPr>
          <w:lang w:val="en_US" w:bidi="en_US"/>
        </w:rPr>
        <w:t>…</w:t>
      </w:r>
    </w:p>
    <w:p>
      <w:pPr/>
      <w:r>
        <w:rPr>
          <w:lang w:val="en_US" w:bidi="en_US"/>
        </w:rPr>
      </w:r>
      <w:r>
        <w:rPr>
          <w:lang w:val="en_US" w:bidi="en_US"/>
        </w:rPr>
        <w:t xml:space="preserve">The picture of the seeds </w:t>
      </w:r>
      <w:r>
        <w:rPr>
          <w:lang w:val="en_US" w:bidi="en_US"/>
        </w:rPr>
        <w:t>scattered</w:t>
      </w:r>
      <w:r>
        <w:rPr>
          <w:lang w:val="en_US" w:bidi="en_US"/>
        </w:rPr>
        <w:t xml:space="preserve"> among thorns represent </w:t>
      </w:r>
      <w:r>
        <w:rPr>
          <w:lang w:val="en_US" w:bidi="en_US"/>
        </w:rPr>
        <w:t>the kind of</w:t>
      </w:r>
      <w:r>
        <w:rPr>
          <w:lang w:val="en_US" w:bidi="en_US"/>
        </w:rPr>
        <w:t xml:space="preserve"> people who hear </w:t>
      </w:r>
      <w:r>
        <w:rPr>
          <w:lang w:val="en_US" w:bidi="en_US"/>
        </w:rPr>
        <w:t>God’s message</w:t>
      </w:r>
      <w:r>
        <w:rPr>
          <w:lang w:val="en_US" w:bidi="en_US"/>
        </w:rPr>
        <w:t>…</w:t>
      </w:r>
    </w:p>
    <w:p>
      <w:pPr/>
      <w:r>
        <w:rPr>
          <w:lang w:val="en_US" w:bidi="en_US"/>
        </w:rPr>
      </w:r>
      <w:r>
        <w:rPr>
          <w:lang w:val="en_US" w:bidi="en_US"/>
        </w:rPr>
        <w:t xml:space="preserve">See the note at 8:7a for ways to translate </w:t>
      </w:r>
      <w:r>
        <w:rPr>
          <w:i/>
          <w:lang w:val="en_US" w:bidi="en_US"/>
        </w:rPr>
        <w:t>among the thorns</w:t>
      </w:r>
      <w:r>
        <w:rPr>
          <w:lang w:val="en_US" w:bidi="en_US"/>
        </w:rPr>
        <w:t xml:space="preserve">. Translate the term </w:t>
      </w:r>
      <w:r>
        <w:rPr>
          <w:i/>
          <w:lang w:val="en_US" w:bidi="en_US"/>
        </w:rPr>
        <w:t>thorns</w:t>
      </w:r>
      <w:r>
        <w:rPr>
          <w:lang w:val="en_US" w:bidi="en_US"/>
        </w:rPr>
        <w:t xml:space="preserve"> in the same way that you did at 8:7a.</w:t>
      </w:r>
    </w:p>
    <w:p>
      <w:pPr/>
      <w:r>
        <w:rPr>
          <w:lang w:val="en_US" w:bidi="en_US"/>
        </w:rPr>
      </w:r>
      <w:r>
        <w:rPr>
          <w:b/>
          <w:lang w:val="en_US" w:bidi="en_US"/>
        </w:rPr>
        <w:t>are those who:</w:t>
      </w:r>
      <w:r>
        <w:rPr>
          <w:lang w:val="en_US" w:bidi="en_US"/>
        </w:rPr>
        <w:t xml:space="preserve"> The Greek word that the BSB translates as </w:t>
      </w:r>
      <w:r>
        <w:rPr>
          <w:i/>
          <w:lang w:val="en_US" w:bidi="en_US"/>
        </w:rPr>
        <w:t>are those who</w:t>
      </w:r>
      <w:r>
        <w:rPr>
          <w:lang w:val="en_US" w:bidi="en_US"/>
        </w:rPr>
        <w:t xml:space="preserve"> is literally “are,” as in 8:13a. The BSB uses a different phrase here because that is natural style in English.</w:t>
      </w:r>
    </w:p>
    <w:p>
      <w:pPr>
        <w:pStyle w:val="Heading5"/>
      </w:pPr>
      <w:r>
        <w:rPr>
          <w:lang w:val="en_US" w:bidi="en_US"/>
        </w:rPr>
        <w:t>8:14b</w:t>
      </w:r>
    </w:p>
    <w:p>
      <w:pPr/>
      <w:r>
        <w:rPr>
          <w:lang w:val="en_US" w:bidi="en_US"/>
        </w:rPr>
      </w:r>
      <w:r>
        <w:rPr>
          <w:b/>
          <w:lang w:val="en_US" w:bidi="en_US"/>
        </w:rPr>
        <w:t>but as they go on their way, they are choked by the worries, riches, and pleasures of this life,</w:t>
      </w:r>
    </w:p>
    <w:p>
      <w:pPr>
        <w:pStyle w:val="ListBullet"/>
        <w:spacing w:line="240" w:lineRule="auto"/>
        <w:ind w:left="720"/>
      </w:pPr>
      <w:r>
        <w:rPr>
          <w:lang w:val="en_US" w:bidi="en_US"/>
        </w:rPr>
      </w:r>
      <w:r>
        <w:rPr>
          <w:lang w:val="en_US" w:bidi="en_US"/>
        </w:rPr>
        <w:t>but the worries, riches, and pleasures of this life/world gradually suffocate/overwhelm them</w:t>
      </w:r>
    </w:p>
    <w:p>
      <w:pPr>
        <w:pStyle w:val="ListBullet"/>
        <w:spacing w:line="240" w:lineRule="auto"/>
        <w:ind w:left="720"/>
      </w:pPr>
      <w:r>
        <w:rPr>
          <w:lang w:val="en_US" w:bidi="en_US"/>
        </w:rPr>
      </w:r>
      <w:r>
        <w:rPr>
          <w:lang w:val="en_US" w:bidi="en_US"/>
        </w:rPr>
        <w:t xml:space="preserve">but they worry about </w:t>
      </w:r>
      <w:r>
        <w:rPr>
          <w:lang w:val="en_US" w:bidi="en_US"/>
        </w:rPr>
        <w:t>many</w:t>
      </w:r>
      <w:r>
        <w:rPr>
          <w:lang w:val="en_US" w:bidi="en_US"/>
        </w:rPr>
        <w:t xml:space="preserve"> things and work hard to obtain wealth and pleasure, and little by little </w:t>
      </w:r>
      <w:r>
        <w:rPr>
          <w:lang w:val="en_US" w:bidi="en_US"/>
        </w:rPr>
        <w:t>their faith</w:t>
      </w:r>
      <w:r>
        <w:rPr>
          <w:lang w:val="en_US" w:bidi="en_US"/>
        </w:rPr>
        <w:t xml:space="preserve"> withers/fades away.</w:t>
      </w:r>
    </w:p>
    <w:p>
      <w:pPr>
        <w:pStyle w:val="ListBullet"/>
        <w:spacing w:line="240" w:lineRule="auto"/>
        <w:ind w:left="720"/>
      </w:pPr>
      <w:r>
        <w:rPr>
          <w:lang w:val="en_US" w:bidi="en_US"/>
        </w:rPr>
      </w:r>
      <w:r>
        <w:rPr>
          <w:lang w:val="en_US" w:bidi="en_US"/>
        </w:rPr>
        <w:t xml:space="preserve">but as time passes, they become more concerned about earthly things </w:t>
      </w:r>
      <w:r>
        <w:rPr>
          <w:lang w:val="en_US" w:bidi="en_US"/>
        </w:rPr>
        <w:t>than about God’s message</w:t>
      </w:r>
      <w:r>
        <w:rPr>
          <w:lang w:val="en_US" w:bidi="en_US"/>
        </w:rPr>
        <w:t xml:space="preserve">. They have many worries, and </w:t>
      </w:r>
      <w:r>
        <w:rPr>
          <w:lang w:val="en_US" w:bidi="en_US"/>
        </w:rPr>
        <w:t>they seek</w:t>
      </w:r>
      <w:r>
        <w:rPr>
          <w:lang w:val="en_US" w:bidi="en_US"/>
        </w:rPr>
        <w:t xml:space="preserve"> wealth and pleasure.</w:t>
      </w:r>
    </w:p>
    <w:p>
      <w:pPr/>
      <w:r>
        <w:rPr>
          <w:lang w:val="en_US" w:bidi="en_US"/>
        </w:rPr>
      </w:r>
      <w:r>
        <w:rPr>
          <w:b/>
          <w:lang w:val="en_US" w:bidi="en_US"/>
        </w:rPr>
        <w:t>but as they go on their way:</w:t>
      </w:r>
      <w:r>
        <w:rPr>
          <w:lang w:val="en_US" w:bidi="en_US"/>
        </w:rPr>
        <w:t xml:space="preserve"> The Greek word that the BSB translates as </w:t>
      </w:r>
      <w:r>
        <w:rPr>
          <w:i/>
          <w:lang w:val="en_US" w:bidi="en_US"/>
        </w:rPr>
        <w:t>as they go on their way</w:t>
      </w:r>
      <w:r>
        <w:rPr>
          <w:lang w:val="en_US" w:bidi="en_US"/>
        </w:rPr>
        <w:t xml:space="preserve"> is literally “going along.” It refers to the process of doing the normal activities of life. It also indicates that the “choking” of 8:14c is a gradual process. Some ways to express this are:</w:t>
      </w:r>
    </w:p>
    <w:p>
      <w:pPr/>
      <w:r>
        <w:rPr>
          <w:lang w:val="en_US" w:bidi="en_US"/>
        </w:rPr>
      </w:r>
      <w:r>
        <w:rPr>
          <w:lang w:val="en_US" w:bidi="en_US"/>
        </w:rPr>
        <w:t>as time/life continues, they are choked</w:t>
      </w:r>
    </w:p>
    <w:p>
      <w:pPr/>
      <w:r>
        <w:rPr>
          <w:lang w:val="en_US" w:bidi="en_US"/>
        </w:rPr>
      </w:r>
      <w:r>
        <w:rPr>
          <w:lang w:val="en_US" w:bidi="en_US"/>
        </w:rPr>
        <w:t xml:space="preserve">they are </w:t>
      </w:r>
      <w:r>
        <w:rPr>
          <w:u w:val="single"/>
          <w:lang w:val="en_US" w:bidi="en_US"/>
        </w:rPr>
        <w:t>gradually</w:t>
      </w:r>
      <w:r>
        <w:rPr>
          <w:lang w:val="en_US" w:bidi="en_US"/>
        </w:rPr>
        <w:t xml:space="preserve"> choked</w:t>
      </w:r>
    </w:p>
    <w:p>
      <w:pPr/>
      <w:r>
        <w:rPr>
          <w:lang w:val="en_US" w:bidi="en_US"/>
        </w:rPr>
      </w:r>
      <w:r>
        <w:rPr>
          <w:b/>
          <w:lang w:val="en_US" w:bidi="en_US"/>
        </w:rPr>
        <w:t>they are choked by the worries, riches, and pleasures of this life:</w:t>
      </w:r>
      <w:r>
        <w:rPr>
          <w:lang w:val="en_US" w:bidi="en_US"/>
        </w:rPr>
        <w:t xml:space="preserve"> This is a metaphor. Here Jesus implied that the people are like the grain plants that were choked by the thorns. These people worry too much about troubles and enjoy too many riches and pleasures. They have no time to act on God’s message, and their faith dies. That is, they do not continue to believe God’s message.</w:t>
      </w:r>
    </w:p>
    <w:p>
      <w:pPr/>
      <w:r>
        <w:rPr>
          <w:lang w:val="en_US" w:bidi="en_US"/>
        </w:rPr>
      </w:r>
      <w:r>
        <w:rPr>
          <w:lang w:val="en_US" w:bidi="en_US"/>
        </w:rPr>
        <w:t>Some ways to translate the metaphor are:</w:t>
      </w:r>
    </w:p>
    <w:p>
      <w:pPr>
        <w:pStyle w:val="ListBullet"/>
        <w:spacing w:line="240" w:lineRule="auto"/>
        <w:ind w:left="720"/>
      </w:pPr>
      <w:r>
        <w:rPr>
          <w:lang w:val="en_US" w:bidi="en_US"/>
        </w:rPr>
      </w:r>
      <w:r>
        <w:rPr>
          <w:lang w:val="en_US" w:bidi="en_US"/>
        </w:rPr>
        <w:t>Use a simile. For example:</w:t>
      </w:r>
      <w:r>
        <w:rPr>
          <w:lang w:val="en_US" w:bidi="en_US"/>
        </w:rPr>
        <w:t xml:space="preserve">They are choked/suffocated by the worries, riches, and pleasures of this life </w:t>
      </w:r>
      <w:r>
        <w:rPr>
          <w:lang w:val="en_US" w:bidi="en_US"/>
        </w:rPr>
        <w:t>like plants that are choked/suffocated by thorns</w:t>
      </w:r>
      <w:r>
        <w:rPr>
          <w:lang w:val="en_US" w:bidi="en_US"/>
        </w:rPr>
        <w:t>.</w:t>
      </w:r>
      <w:r>
        <w:rPr>
          <w:lang w:val="en_US" w:bidi="en_US"/>
        </w:rPr>
        <w:t xml:space="preserve">They are pressed upon by the worries, riches, and pleasures of this life </w:t>
      </w:r>
      <w:r>
        <w:rPr>
          <w:lang w:val="en_US" w:bidi="en_US"/>
        </w:rPr>
        <w:t>like plants that are crowded out by thorns</w:t>
      </w:r>
      <w:r>
        <w:rPr>
          <w:lang w:val="en_US" w:bidi="en_US"/>
        </w:rPr>
        <w:t>.</w:t>
      </w:r>
    </w:p>
    <w:p>
      <w:pPr>
        <w:pStyle w:val="ListBullet"/>
        <w:spacing w:line="240" w:lineRule="auto"/>
        <w:ind w:left="720"/>
      </w:pPr>
      <w:r>
        <w:rPr>
          <w:lang w:val="en_US" w:bidi="en_US"/>
        </w:rPr>
      </w:r>
      <w:r>
        <w:rPr>
          <w:lang w:val="en_US" w:bidi="en_US"/>
        </w:rPr>
        <w:t>Make the meaning more explicit. For example:</w:t>
      </w:r>
      <w:r>
        <w:rPr>
          <w:lang w:val="en_US" w:bidi="en_US"/>
        </w:rPr>
        <w:t>They are very concerned with the worries, riches, and pleasures of this life. These things crowd God’s message out of their minds just as thorns choke good plants.</w:t>
      </w:r>
    </w:p>
    <w:p>
      <w:pPr/>
      <w:r>
        <w:rPr>
          <w:lang w:val="en_US" w:bidi="en_US"/>
        </w:rPr>
      </w:r>
      <w:r>
        <w:rPr>
          <w:b/>
          <w:lang w:val="en_US" w:bidi="en_US"/>
        </w:rPr>
        <w:t>they are choked:</w:t>
      </w:r>
      <w:r>
        <w:rPr>
          <w:lang w:val="en_US" w:bidi="en_US"/>
        </w:rPr>
        <w:t xml:space="preserve"> See the note on “choked the seedlings” at 8:7b. It is good if you have an expression that can fit both choking by thorns and being busy with many concerns. Even if you do not have such an expression, make it clear that earthly concerns can hinder and destroy a person’s faith, just as thorns hinder the growth of good plants.</w:t>
      </w:r>
    </w:p>
    <w:p>
      <w:pPr/>
      <w:r>
        <w:rPr>
          <w:lang w:val="en_US" w:bidi="en_US"/>
        </w:rPr>
      </w:r>
      <w:r>
        <w:rPr>
          <w:b/>
          <w:lang w:val="en_US" w:bidi="en_US"/>
        </w:rPr>
        <w:t>the worries, riches, and pleasures of this life:</w:t>
      </w:r>
      <w:r>
        <w:rPr>
          <w:lang w:val="en_US" w:bidi="en_US"/>
        </w:rPr>
        <w:t xml:space="preserve"> The Greek phrase that the BSB translates as </w:t>
      </w:r>
      <w:r>
        <w:rPr>
          <w:i/>
          <w:lang w:val="en_US" w:bidi="en_US"/>
        </w:rPr>
        <w:t>the worries, riches, and pleasures of this life</w:t>
      </w:r>
      <w:r>
        <w:rPr>
          <w:lang w:val="en_US" w:bidi="en_US"/>
        </w:rPr>
        <w:t xml:space="preserve"> means “the worries of life, the riches of life, and the pleasures of life.” In this context, “life” refers to physical life and the normal activities that people do as they live. It implies a contrast with eternal life that is concerned with believing God’s message and obeying him.</w:t>
      </w:r>
    </w:p>
    <w:p>
      <w:pPr/>
      <w:r>
        <w:rPr>
          <w:lang w:val="en_US" w:bidi="en_US"/>
        </w:rPr>
      </w:r>
      <w:r>
        <w:rPr>
          <w:lang w:val="en_US" w:bidi="en_US"/>
        </w:rPr>
        <w:t>Some other ways to translate this are:</w:t>
      </w:r>
    </w:p>
    <w:p>
      <w:pPr/>
      <w:r>
        <w:rPr>
          <w:lang w:val="en_US" w:bidi="en_US"/>
        </w:rPr>
      </w:r>
      <w:r>
        <w:rPr>
          <w:lang w:val="en_US" w:bidi="en_US"/>
        </w:rPr>
        <w:t xml:space="preserve">the worries, riches, and pleasures of </w:t>
      </w:r>
      <w:r>
        <w:rPr>
          <w:u w:val="single"/>
          <w:lang w:val="en_US" w:bidi="en_US"/>
        </w:rPr>
        <w:t>ordinary/daily life</w:t>
      </w:r>
    </w:p>
    <w:p>
      <w:pPr/>
      <w:r>
        <w:rPr>
          <w:lang w:val="en_US" w:bidi="en_US"/>
        </w:rPr>
      </w:r>
      <w:r>
        <w:rPr>
          <w:lang w:val="en_US" w:bidi="en_US"/>
        </w:rPr>
        <w:t xml:space="preserve">the worries, riches, and pleasures of </w:t>
      </w:r>
      <w:r>
        <w:rPr>
          <w:u w:val="single"/>
          <w:lang w:val="en_US" w:bidi="en_US"/>
        </w:rPr>
        <w:t>life in this world</w:t>
      </w:r>
    </w:p>
    <w:p>
      <w:pPr/>
      <w:r>
        <w:rPr>
          <w:lang w:val="en_US" w:bidi="en_US"/>
        </w:rPr>
      </w:r>
      <w:r>
        <w:rPr>
          <w:lang w:val="en_US" w:bidi="en_US"/>
        </w:rPr>
        <w:t>In some languages it may be natural to use verbs for some or all of these ideas. For example:</w:t>
      </w:r>
    </w:p>
    <w:p>
      <w:pPr/>
      <w:r>
        <w:rPr>
          <w:lang w:val="en_US" w:bidi="en_US"/>
        </w:rPr>
      </w:r>
      <w:r>
        <w:rPr>
          <w:lang w:val="en_US" w:bidi="en_US"/>
        </w:rPr>
        <w:t>as they live, they absorb themselves in worrying, gaining riches, or pleasing themselves</w:t>
      </w:r>
    </w:p>
    <w:p>
      <w:pPr/>
      <w:r>
        <w:rPr>
          <w:lang w:val="en_US" w:bidi="en_US"/>
        </w:rPr>
      </w:r>
      <w:r>
        <w:rPr>
          <w:lang w:val="en_US" w:bidi="en_US"/>
        </w:rPr>
        <w:t>their lives are so busy as they worry about many things and enjoy wealth and pleasures</w:t>
      </w:r>
    </w:p>
    <w:p>
      <w:pPr/>
      <w:r>
        <w:rPr>
          <w:lang w:val="en_US" w:bidi="en_US"/>
        </w:rPr>
      </w:r>
      <w:r>
        <w:rPr>
          <w:b/>
          <w:lang w:val="en_US" w:bidi="en_US"/>
        </w:rPr>
        <w:t>worries:</w:t>
      </w:r>
      <w:r>
        <w:rPr>
          <w:lang w:val="en_US" w:bidi="en_US"/>
        </w:rPr>
        <w:t xml:space="preserve"> The word </w:t>
      </w:r>
      <w:r>
        <w:rPr>
          <w:i/>
          <w:lang w:val="en_US" w:bidi="en_US"/>
        </w:rPr>
        <w:t>worries</w:t>
      </w:r>
      <w:r>
        <w:rPr>
          <w:lang w:val="en_US" w:bidi="en_US"/>
        </w:rPr>
        <w:t xml:space="preserve"> refers to anxieties. It is a general word that includes anything that people are anxious about. Other ways to translate this are:</w:t>
      </w:r>
    </w:p>
    <w:p>
      <w:pPr/>
      <w:r>
        <w:rPr>
          <w:lang w:val="en_US" w:bidi="en_US"/>
        </w:rPr>
      </w:r>
      <w:r>
        <w:rPr>
          <w:lang w:val="en_US" w:bidi="en_US"/>
        </w:rPr>
        <w:t>cares (NLT)</w:t>
      </w:r>
    </w:p>
    <w:p>
      <w:pPr/>
      <w:r>
        <w:rPr>
          <w:lang w:val="en_US" w:bidi="en_US"/>
        </w:rPr>
      </w:r>
      <w:r>
        <w:rPr>
          <w:lang w:val="en_US" w:bidi="en_US"/>
        </w:rPr>
        <w:t>the things that people worry about</w:t>
      </w:r>
    </w:p>
    <w:p>
      <w:pPr/>
      <w:r>
        <w:rPr>
          <w:lang w:val="en_US" w:bidi="en_US"/>
        </w:rPr>
      </w:r>
      <w:r>
        <w:rPr>
          <w:b/>
          <w:lang w:val="en_US" w:bidi="en_US"/>
        </w:rPr>
        <w:t>riches:</w:t>
      </w:r>
      <w:r>
        <w:rPr>
          <w:lang w:val="en_US" w:bidi="en_US"/>
        </w:rPr>
        <w:t xml:space="preserve"> The word </w:t>
      </w:r>
      <w:r>
        <w:rPr>
          <w:i/>
          <w:lang w:val="en_US" w:bidi="en_US"/>
        </w:rPr>
        <w:t>riches</w:t>
      </w:r>
      <w:r>
        <w:rPr>
          <w:lang w:val="en_US" w:bidi="en_US"/>
        </w:rPr>
        <w:t xml:space="preserve"> refers to money, possessions, and other types of wealth.</w:t>
      </w:r>
    </w:p>
    <w:p>
      <w:pPr/>
      <w:r>
        <w:rPr>
          <w:lang w:val="en_US" w:bidi="en_US"/>
        </w:rPr>
      </w:r>
      <w:r>
        <w:rPr>
          <w:b/>
          <w:lang w:val="en_US" w:bidi="en_US"/>
        </w:rPr>
        <w:t>pleasures:</w:t>
      </w:r>
      <w:r>
        <w:rPr>
          <w:lang w:val="en_US" w:bidi="en_US"/>
        </w:rPr>
        <w:t xml:space="preserve"> The word </w:t>
      </w:r>
      <w:r>
        <w:rPr>
          <w:i/>
          <w:lang w:val="en_US" w:bidi="en_US"/>
        </w:rPr>
        <w:t>pleasures</w:t>
      </w:r>
      <w:r>
        <w:rPr>
          <w:lang w:val="en_US" w:bidi="en_US"/>
        </w:rPr>
        <w:t xml:space="preserve"> refers to whatever causes a person enjoyment or delight. Other ways to translate this are:</w:t>
      </w:r>
    </w:p>
    <w:p>
      <w:pPr/>
      <w:r>
        <w:rPr>
          <w:lang w:val="en_US" w:bidi="en_US"/>
        </w:rPr>
      </w:r>
      <w:r>
        <w:rPr>
          <w:lang w:val="en_US" w:bidi="en_US"/>
        </w:rPr>
        <w:t>enjoying themselves</w:t>
      </w:r>
    </w:p>
    <w:p>
      <w:pPr/>
      <w:r>
        <w:rPr>
          <w:lang w:val="en_US" w:bidi="en_US"/>
        </w:rPr>
      </w:r>
      <w:r>
        <w:rPr>
          <w:lang w:val="en_US" w:bidi="en_US"/>
        </w:rPr>
        <w:t>delights</w:t>
      </w:r>
    </w:p>
    <w:p>
      <w:pPr/>
      <w:r>
        <w:rPr>
          <w:lang w:val="en_US" w:bidi="en_US"/>
        </w:rPr>
      </w:r>
      <w:r>
        <w:rPr>
          <w:lang w:val="en_US" w:bidi="en_US"/>
        </w:rPr>
        <w:t>the things that people enjoy</w:t>
      </w:r>
    </w:p>
    <w:p>
      <w:pPr>
        <w:pStyle w:val="Heading5"/>
      </w:pPr>
      <w:r>
        <w:rPr>
          <w:lang w:val="en_US" w:bidi="en_US"/>
        </w:rPr>
        <w:t>8:14c</w:t>
      </w:r>
    </w:p>
    <w:p>
      <w:pPr/>
      <w:r>
        <w:rPr>
          <w:lang w:val="en_US" w:bidi="en_US"/>
        </w:rPr>
      </w:r>
      <w:r>
        <w:rPr>
          <w:b/>
          <w:lang w:val="en_US" w:bidi="en_US"/>
        </w:rPr>
        <w:t>and their fruit does not mature.</w:t>
      </w:r>
    </w:p>
    <w:p>
      <w:pPr>
        <w:pStyle w:val="ListBullet"/>
        <w:spacing w:line="240" w:lineRule="auto"/>
        <w:ind w:left="720"/>
      </w:pPr>
      <w:r>
        <w:rPr>
          <w:lang w:val="en_US" w:bidi="en_US"/>
        </w:rPr>
      </w:r>
      <w:r>
        <w:rPr>
          <w:lang w:val="en_US" w:bidi="en_US"/>
        </w:rPr>
        <w:t>so that</w:t>
      </w:r>
      <w:r>
        <w:rPr>
          <w:lang w:val="en_US" w:bidi="en_US"/>
        </w:rPr>
        <w:t xml:space="preserve"> </w:t>
      </w:r>
      <w:r>
        <w:rPr>
          <w:lang w:val="en_US" w:bidi="en_US"/>
        </w:rPr>
        <w:t>like plants choked by thorns</w:t>
      </w:r>
      <w:r>
        <w:rPr>
          <w:lang w:val="en_US" w:bidi="en_US"/>
        </w:rPr>
        <w:t xml:space="preserve"> they do not produce ripe/mature fruit.</w:t>
      </w:r>
    </w:p>
    <w:p>
      <w:pPr>
        <w:pStyle w:val="ListBullet"/>
        <w:spacing w:line="240" w:lineRule="auto"/>
        <w:ind w:left="720"/>
      </w:pPr>
      <w:r>
        <w:rPr>
          <w:lang w:val="en_US" w:bidi="en_US"/>
        </w:rPr>
      </w:r>
      <w:r>
        <w:rPr>
          <w:lang w:val="en_US" w:bidi="en_US"/>
        </w:rPr>
        <w:t>So</w:t>
      </w:r>
      <w:r>
        <w:rPr>
          <w:lang w:val="en_US" w:bidi="en_US"/>
        </w:rPr>
        <w:t xml:space="preserve"> </w:t>
      </w:r>
      <w:r>
        <w:rPr>
          <w:lang w:val="en_US" w:bidi="en_US"/>
        </w:rPr>
        <w:t>in the end</w:t>
      </w:r>
      <w:r>
        <w:rPr>
          <w:lang w:val="en_US" w:bidi="en_US"/>
        </w:rPr>
        <w:t xml:space="preserve"> they are not useful </w:t>
      </w:r>
      <w:r>
        <w:rPr>
          <w:lang w:val="en_US" w:bidi="en_US"/>
        </w:rPr>
        <w:t>to God</w:t>
      </w:r>
      <w:r>
        <w:rPr>
          <w:lang w:val="en_US" w:bidi="en_US"/>
        </w:rPr>
        <w:t xml:space="preserve"> </w:t>
      </w:r>
      <w:r>
        <w:rPr>
          <w:lang w:val="en_US" w:bidi="en_US"/>
        </w:rPr>
        <w:t>just as plants without ripe fruit/grain are not useful to the farmer</w:t>
      </w:r>
      <w:r>
        <w:rPr>
          <w:lang w:val="en_US" w:bidi="en_US"/>
        </w:rPr>
        <w:t>.</w:t>
      </w:r>
    </w:p>
    <w:p>
      <w:pPr>
        <w:pStyle w:val="ListBullet"/>
        <w:spacing w:line="240" w:lineRule="auto"/>
        <w:ind w:left="720"/>
      </w:pPr>
      <w:r>
        <w:rPr>
          <w:lang w:val="en_US" w:bidi="en_US"/>
        </w:rPr>
      </w:r>
      <w:r>
        <w:rPr>
          <w:lang w:val="en_US" w:bidi="en_US"/>
        </w:rPr>
        <w:t>As a result,</w:t>
      </w:r>
      <w:r>
        <w:rPr>
          <w:lang w:val="en_US" w:bidi="en_US"/>
        </w:rPr>
        <w:t xml:space="preserve"> they do not live as </w:t>
      </w:r>
      <w:r>
        <w:rPr>
          <w:lang w:val="en_US" w:bidi="en_US"/>
        </w:rPr>
        <w:t>God’s message teaches them to live</w:t>
      </w:r>
      <w:r>
        <w:rPr>
          <w:lang w:val="en_US" w:bidi="en_US"/>
        </w:rPr>
        <w:t>.</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introduces what happens as a result of 8:14b. Some English versions use a conjunction such as “so” that indicates result. Connect this part of the verse to 8:14b in a natural way in your language.</w:t>
      </w:r>
    </w:p>
    <w:p>
      <w:pPr/>
      <w:r>
        <w:rPr>
          <w:lang w:val="en_US" w:bidi="en_US"/>
        </w:rPr>
      </w:r>
      <w:r>
        <w:rPr>
          <w:b/>
          <w:lang w:val="en_US" w:bidi="en_US"/>
        </w:rPr>
        <w:t>and their fruit does not mature:</w:t>
      </w:r>
      <w:r>
        <w:rPr>
          <w:lang w:val="en_US" w:bidi="en_US"/>
        </w:rPr>
        <w:t xml:space="preserve"> The Greek verb that the BSB translates as </w:t>
      </w:r>
      <w:r>
        <w:rPr>
          <w:i/>
          <w:lang w:val="en_US" w:bidi="en_US"/>
        </w:rPr>
        <w:t>mature</w:t>
      </w:r>
      <w:r>
        <w:rPr>
          <w:lang w:val="en_US" w:bidi="en_US"/>
        </w:rPr>
        <w:t xml:space="preserve"> means “bear ripe fruit,” “bring fruit to maturity.” In this context the phrase </w:t>
      </w:r>
      <w:r>
        <w:rPr>
          <w:i/>
          <w:lang w:val="en_US" w:bidi="en_US"/>
        </w:rPr>
        <w:t>does not mature</w:t>
      </w:r>
      <w:r>
        <w:rPr>
          <w:lang w:val="en_US" w:bidi="en_US"/>
        </w:rPr>
        <w:t xml:space="preserve"> is a metaphor. It compares these people to the plants that are choked by thorns. The plants do not produce ripe fruit and so they are of no use to the farmer. In the same way, these people do not continue to believe God’s message and entrust themselves to him so that they please him.</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Use a simile. For example:</w:t>
      </w:r>
      <w:r>
        <w:rPr>
          <w:lang w:val="en_US" w:bidi="en_US"/>
        </w:rPr>
        <w:t xml:space="preserve">they </w:t>
      </w:r>
      <w:r>
        <w:rPr>
          <w:lang w:val="en_US" w:bidi="en_US"/>
        </w:rPr>
        <w:t>are like plants that</w:t>
      </w:r>
      <w:r>
        <w:rPr>
          <w:lang w:val="en_US" w:bidi="en_US"/>
        </w:rPr>
        <w:t xml:space="preserve"> do not give any fruit/harvest</w:t>
      </w:r>
    </w:p>
    <w:p>
      <w:pPr>
        <w:pStyle w:val="ListBullet"/>
        <w:spacing w:line="240" w:lineRule="auto"/>
        <w:ind w:left="720"/>
      </w:pPr>
      <w:r>
        <w:rPr>
          <w:lang w:val="en_US" w:bidi="en_US"/>
        </w:rPr>
      </w:r>
      <w:r>
        <w:rPr>
          <w:lang w:val="en_US" w:bidi="en_US"/>
        </w:rPr>
        <w:t>Make the meaning more explicit. For example:</w:t>
      </w:r>
      <w:r>
        <w:rPr>
          <w:lang w:val="en_US" w:bidi="en_US"/>
        </w:rPr>
        <w:t>they are as useless as plants that do not produce fruit/grain</w:t>
      </w:r>
      <w:r>
        <w:rPr>
          <w:lang w:val="en_US" w:bidi="en_US"/>
        </w:rPr>
        <w:t>God’s message does not produce good results</w:t>
      </w:r>
      <w:r>
        <w:rPr>
          <w:lang w:val="en_US" w:bidi="en_US"/>
        </w:rPr>
        <w:t>they do not live/act according to God’s message</w:t>
      </w:r>
      <w:r>
        <w:rPr>
          <w:lang w:val="en_US" w:bidi="en_US"/>
        </w:rPr>
      </w:r>
      <w:r>
        <w:rPr>
          <w:lang w:val="en_US" w:bidi="en_US"/>
        </w:rPr>
      </w:r>
    </w:p>
    <w:p>
      <w:pPr/>
      <w:r>
        <w:rPr>
          <w:lang w:val="en_US" w:bidi="en_US"/>
        </w:rPr>
      </w:r>
    </w:p>
    <w:p>
      <w:pPr>
        <w:pStyle w:val="Heading2"/>
      </w:pPr>
      <w:r>
        <w:rPr>
          <w:lang w:val="en_US" w:bidi="en_US"/>
        </w:rPr>
        <w:t>Luke 8:15</w:t>
      </w:r>
      <w:r>
        <w:rPr>
          <w:lang w:val="en_US" w:bidi="en_US"/>
        </w:rPr>
      </w:r>
    </w:p>
    <w:p>
      <w:pPr>
        <w:pStyle w:val="Heading4"/>
      </w:pPr>
      <w:r>
        <w:rPr>
          <w:lang w:val="en_US" w:bidi="en_US"/>
        </w:rPr>
        <w:t>Section 8:9–15: Jesus explained the parable about four types of soil</w:t>
      </w:r>
    </w:p>
    <w:p>
      <w:pPr/>
      <w:r>
        <w:rPr>
          <w:lang w:val="en_US" w:bidi="en_US"/>
        </w:rPr>
      </w:r>
      <w:r>
        <w:rPr>
          <w:lang w:val="en_US" w:bidi="en_US"/>
        </w:rPr>
        <w:t>In 8:9–10 Jesus explained why he taught in parables. Then in 8:11–15 he explained the meaning of the parable in 8:1–8b. The basic meaning of Jesus’ explanation is clear. However, there are questions about the meaning of the seed in this section. In 8:11 the seed refers to the word of God. In 8:12–15 what is sown seems to refer to the people who hear the word. This has led to several interpretations for the seed in 8:12–15.</w:t>
      </w:r>
    </w:p>
    <w:p>
      <w:pPr/>
      <w:r>
        <w:rPr>
          <w:lang w:val="en_US" w:bidi="en_US"/>
        </w:rPr>
      </w:r>
      <w:r>
        <w:rPr>
          <w:lang w:val="en_US" w:bidi="en_US"/>
        </w:rPr>
        <w:t>The interpretation that the Notes follows is that in 8:12–15 the seed continues to represent the word. The introductory expressions such as “those on/beside/in…are…” (RSV) refer generally to four different ways in which people hear and respond to the word.</w:t>
      </w:r>
    </w:p>
    <w:p>
      <w:pPr/>
      <w:r>
        <w:rPr>
          <w:lang w:val="en_US" w:bidi="en_US"/>
        </w:rPr>
      </w:r>
      <w:r>
        <w:rPr>
          <w:lang w:val="en_US" w:bidi="en_US"/>
        </w:rPr>
        <w:t>Many scholars support this interpretation in their commentaries. In some versions the seed appears to refer to the people. However, even in these versions, the text implies that the seed of the word has different results in different kinds of people.</w:t>
      </w:r>
    </w:p>
    <w:p>
      <w:pPr/>
      <w:r>
        <w:rPr>
          <w:lang w:val="en_US" w:bidi="en_US"/>
        </w:rPr>
      </w:r>
      <w:r>
        <w:rPr>
          <w:lang w:val="en_US" w:bidi="en_US"/>
        </w:rPr>
        <w:t>Here is the meaning of the main metaphors in the parable:</w:t>
      </w:r>
    </w:p>
    <w:p>
      <w:pPr>
        <w:pStyle w:val="ListNumber"/>
        <w:numPr>
          <w:ilvl w:val="0"/>
          <w:numId w:val="177"/>
        </w:numPr>
        <w:spacing w:line="240" w:lineRule="auto"/>
        <w:ind w:left="720"/>
      </w:pPr>
      <w:r>
        <w:rPr>
          <w:lang w:val="en_US" w:bidi="en_US"/>
        </w:rPr>
      </w:r>
      <w:r>
        <w:rPr>
          <w:lang w:val="en_US" w:bidi="en_US"/>
        </w:rPr>
        <w:t xml:space="preserve">The </w:t>
      </w:r>
      <w:r>
        <w:rPr>
          <w:u w:val="single"/>
          <w:lang w:val="en_US" w:bidi="en_US"/>
        </w:rPr>
        <w:t>seeds</w:t>
      </w:r>
      <w:r>
        <w:rPr>
          <w:lang w:val="en_US" w:bidi="en_US"/>
        </w:rPr>
        <w:t xml:space="preserve"> represent </w:t>
      </w:r>
      <w:r>
        <w:rPr>
          <w:b/>
          <w:lang w:val="en_US" w:bidi="en_US"/>
        </w:rPr>
        <w:t>the word,</w:t>
      </w:r>
      <w:r>
        <w:rPr>
          <w:lang w:val="en_US" w:bidi="en_US"/>
        </w:rPr>
        <w:t xml:space="preserve"> which is </w:t>
      </w:r>
      <w:r>
        <w:rPr>
          <w:b/>
          <w:lang w:val="en_US" w:bidi="en_US"/>
        </w:rPr>
        <w:t>the message from God.</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b/>
          <w:lang w:val="en_US" w:bidi="en_US"/>
        </w:rPr>
        <w:t>telling the message to people.</w:t>
      </w:r>
    </w:p>
    <w:p>
      <w:pPr>
        <w:pStyle w:val="ListNumber"/>
        <w:spacing w:line="240" w:lineRule="auto"/>
        <w:ind w:left="720"/>
      </w:pPr>
      <w:r>
        <w:rPr>
          <w:lang w:val="en_US" w:bidi="en_US"/>
        </w:rPr>
      </w:r>
      <w:r>
        <w:rPr>
          <w:lang w:val="en_US" w:bidi="en_US"/>
        </w:rPr>
        <w:t xml:space="preserve">The </w:t>
      </w:r>
      <w:r>
        <w:rPr>
          <w:u w:val="single"/>
          <w:lang w:val="en_US" w:bidi="en_US"/>
        </w:rPr>
        <w:t>different kinds of soil</w:t>
      </w:r>
      <w:r>
        <w:rPr>
          <w:lang w:val="en_US" w:bidi="en_US"/>
        </w:rPr>
        <w:t xml:space="preserve"> represent </w:t>
      </w:r>
      <w:r>
        <w:rPr>
          <w:b/>
          <w:lang w:val="en_US" w:bidi="en_US"/>
        </w:rPr>
        <w:t>the way different people hear the message.</w:t>
      </w:r>
    </w:p>
    <w:p>
      <w:pPr/>
      <w:r>
        <w:rPr>
          <w:lang w:val="en_US" w:bidi="en_US"/>
        </w:rPr>
      </w:r>
      <w:r>
        <w:rPr>
          <w:lang w:val="en_US" w:bidi="en_US"/>
        </w:rPr>
        <w:t>This section heading should be similar to the section heading for 8:1–10. You may use the word “explained” or “Jesus explained” (instead of “Jesus told”).</w:t>
      </w:r>
    </w:p>
    <w:p>
      <w:pPr/>
      <w:r>
        <w:rPr>
          <w:lang w:val="en_US" w:bidi="en_US"/>
        </w:rPr>
      </w:r>
      <w:r>
        <w:rPr>
          <w:lang w:val="en_US" w:bidi="en_US"/>
        </w:rPr>
        <w:t>Some other possible headings for this section are:</w:t>
      </w:r>
    </w:p>
    <w:p>
      <w:pPr/>
      <w:r>
        <w:rPr>
          <w:lang w:val="en_US" w:bidi="en_US"/>
        </w:rPr>
      </w:r>
      <w:r>
        <w:rPr>
          <w:lang w:val="en_US" w:bidi="en_US"/>
        </w:rPr>
        <w:t xml:space="preserve">Jesus explained the parable of the sower </w:t>
      </w:r>
      <w:r>
        <w:rPr>
          <w:lang w:val="en_US" w:bidi="en_US"/>
        </w:rPr>
        <w:t>and the soils</w:t>
      </w:r>
    </w:p>
    <w:p>
      <w:pPr/>
      <w:r>
        <w:rPr>
          <w:lang w:val="en_US" w:bidi="en_US"/>
        </w:rPr>
      </w:r>
      <w:r>
        <w:rPr>
          <w:lang w:val="en_US" w:bidi="en_US"/>
        </w:rPr>
        <w:t>The parable/story/illustration about the four soils explained</w:t>
      </w:r>
    </w:p>
    <w:p>
      <w:pPr/>
      <w:r>
        <w:rPr>
          <w:lang w:val="en_US" w:bidi="en_US"/>
        </w:rPr>
      </w:r>
      <w:r>
        <w:rPr>
          <w:lang w:val="en_US" w:bidi="en_US"/>
        </w:rPr>
        <w:t>The explanation of the parable about four kinds of people</w:t>
      </w:r>
    </w:p>
    <w:p>
      <w:pPr/>
      <w:r>
        <w:rPr>
          <w:lang w:val="en_US" w:bidi="en_US"/>
        </w:rPr>
      </w:r>
      <w:r>
        <w:rPr>
          <w:lang w:val="en_US" w:bidi="en_US"/>
        </w:rPr>
        <w:t>The meaning of the parable of a man scattering seed</w:t>
      </w:r>
    </w:p>
    <w:p>
      <w:pPr/>
      <w:r>
        <w:rPr>
          <w:lang w:val="en_US" w:bidi="en_US"/>
        </w:rPr>
      </w:r>
      <w:r>
        <w:rPr>
          <w:lang w:val="en_US" w:bidi="en_US"/>
        </w:rPr>
        <w:t>There are parallel passages for this section in Matthew 13:18–23 and Mark 4:13–20.</w:t>
      </w:r>
    </w:p>
    <w:p>
      <w:pPr>
        <w:pStyle w:val="Heading5"/>
      </w:pPr>
      <w:r>
        <w:rPr>
          <w:lang w:val="en_US" w:bidi="en_US"/>
        </w:rPr>
        <w:t>8:15a</w:t>
      </w:r>
    </w:p>
    <w:p>
      <w:pPr/>
      <w:r>
        <w:rPr>
          <w:lang w:val="en_US" w:bidi="en_US"/>
        </w:rPr>
      </w:r>
      <w:r>
        <w:rPr>
          <w:b/>
          <w:lang w:val="en_US" w:bidi="en_US"/>
        </w:rPr>
        <w:t>But the seeds on good soil are those</w:t>
      </w:r>
    </w:p>
    <w:p>
      <w:pPr>
        <w:pStyle w:val="ListBullet"/>
        <w:spacing w:line="240" w:lineRule="auto"/>
        <w:ind w:left="720"/>
      </w:pPr>
      <w:r>
        <w:rPr>
          <w:lang w:val="en_US" w:bidi="en_US"/>
        </w:rPr>
      </w:r>
      <w:r>
        <w:rPr>
          <w:lang w:val="en_US" w:bidi="en_US"/>
        </w:rPr>
        <w:t xml:space="preserve">But the </w:t>
      </w:r>
      <w:r>
        <w:rPr>
          <w:lang w:val="en_US" w:bidi="en_US"/>
        </w:rPr>
        <w:t>example/picture of</w:t>
      </w:r>
      <w:r>
        <w:rPr>
          <w:lang w:val="en_US" w:bidi="en_US"/>
        </w:rPr>
        <w:t xml:space="preserve"> seeds that fell on good ground represents people who</w:t>
      </w:r>
    </w:p>
    <w:p>
      <w:pPr>
        <w:pStyle w:val="ListBullet"/>
        <w:spacing w:line="240" w:lineRule="auto"/>
        <w:ind w:left="720"/>
      </w:pPr>
      <w:r>
        <w:rPr>
          <w:lang w:val="en_US" w:bidi="en_US"/>
        </w:rPr>
      </w:r>
      <w:r>
        <w:rPr>
          <w:lang w:val="en_US" w:bidi="en_US"/>
        </w:rPr>
        <w:t>But the seeds scattered on the good ground illustrate people who</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here introduces the last example in a series, the one that is different from the rest. In some languages a conjunction may not be needed. Introduce this example in a natural way in your language.</w:t>
      </w:r>
    </w:p>
    <w:p>
      <w:pPr/>
      <w:r>
        <w:rPr>
          <w:lang w:val="en_US" w:bidi="en_US"/>
        </w:rPr>
      </w:r>
      <w:r>
        <w:rPr>
          <w:b/>
          <w:lang w:val="en_US" w:bidi="en_US"/>
        </w:rPr>
        <w:t>the seeds on good soil are those:</w:t>
      </w:r>
      <w:r>
        <w:rPr>
          <w:lang w:val="en_US" w:bidi="en_US"/>
        </w:rPr>
        <w:t xml:space="preserve"> The Greek phrase that the BSB translates as </w:t>
      </w:r>
      <w:r>
        <w:rPr>
          <w:i/>
          <w:lang w:val="en_US" w:bidi="en_US"/>
        </w:rPr>
        <w:t>the seeds on good soil</w:t>
      </w:r>
      <w:r>
        <w:rPr>
          <w:lang w:val="en_US" w:bidi="en_US"/>
        </w:rPr>
        <w:t xml:space="preserve"> introduces what happens when seeds fall on good ground. This general situation, not just the seeds, represents people who hear God’s message. Some ways to translate this are:</w:t>
      </w:r>
    </w:p>
    <w:p>
      <w:pPr/>
      <w:r>
        <w:rPr>
          <w:lang w:val="en_US" w:bidi="en_US"/>
        </w:rPr>
      </w:r>
      <w:r>
        <w:rPr>
          <w:lang w:val="en_US" w:bidi="en_US"/>
        </w:rPr>
        <w:t xml:space="preserve">When seeds fall on good soil, it is like when people hear </w:t>
      </w:r>
      <w:r>
        <w:rPr>
          <w:lang w:val="en_US" w:bidi="en_US"/>
        </w:rPr>
        <w:t>God’s message</w:t>
      </w:r>
      <w:r>
        <w:rPr>
          <w:lang w:val="en_US" w:bidi="en_US"/>
        </w:rPr>
        <w:t>…</w:t>
      </w:r>
    </w:p>
    <w:p>
      <w:pPr/>
      <w:r>
        <w:rPr>
          <w:lang w:val="en_US" w:bidi="en_US"/>
        </w:rPr>
      </w:r>
      <w:r>
        <w:rPr>
          <w:lang w:val="en_US" w:bidi="en_US"/>
        </w:rPr>
        <w:t xml:space="preserve">The picture of the seeds </w:t>
      </w:r>
      <w:r>
        <w:rPr>
          <w:lang w:val="en_US" w:bidi="en_US"/>
        </w:rPr>
        <w:t>scattered</w:t>
      </w:r>
      <w:r>
        <w:rPr>
          <w:lang w:val="en_US" w:bidi="en_US"/>
        </w:rPr>
        <w:t xml:space="preserve"> on good soil represents </w:t>
      </w:r>
      <w:r>
        <w:rPr>
          <w:lang w:val="en_US" w:bidi="en_US"/>
        </w:rPr>
        <w:t>the kind of</w:t>
      </w:r>
      <w:r>
        <w:rPr>
          <w:lang w:val="en_US" w:bidi="en_US"/>
        </w:rPr>
        <w:t xml:space="preserve"> people who hear </w:t>
      </w:r>
      <w:r>
        <w:rPr>
          <w:lang w:val="en_US" w:bidi="en_US"/>
        </w:rPr>
        <w:t>God’s message</w:t>
      </w:r>
      <w:r>
        <w:rPr>
          <w:lang w:val="en_US" w:bidi="en_US"/>
        </w:rPr>
        <w:t>…</w:t>
      </w:r>
    </w:p>
    <w:p>
      <w:pPr/>
      <w:r>
        <w:rPr>
          <w:lang w:val="en_US" w:bidi="en_US"/>
        </w:rPr>
      </w:r>
      <w:r>
        <w:rPr>
          <w:b/>
          <w:lang w:val="en_US" w:bidi="en_US"/>
        </w:rPr>
        <w:t>are those:</w:t>
      </w:r>
      <w:r>
        <w:rPr>
          <w:lang w:val="en_US" w:bidi="en_US"/>
        </w:rPr>
        <w:t xml:space="preserve"> For the Greek word that the BSB translates literally as </w:t>
      </w:r>
      <w:r>
        <w:rPr>
          <w:i/>
          <w:lang w:val="en_US" w:bidi="en_US"/>
        </w:rPr>
        <w:t>are</w:t>
      </w:r>
      <w:r>
        <w:rPr>
          <w:lang w:val="en_US" w:bidi="en_US"/>
        </w:rPr>
        <w:t>, some English versions use a fuller phrase because that is natural style in English. For example:</w:t>
      </w:r>
    </w:p>
    <w:p>
      <w:pPr/>
      <w:r>
        <w:rPr>
          <w:lang w:val="en_US" w:bidi="en_US"/>
        </w:rPr>
      </w:r>
      <w:r>
        <w:rPr>
          <w:lang w:val="en_US" w:bidi="en_US"/>
        </w:rPr>
        <w:t>stands for those (NIV)</w:t>
      </w:r>
    </w:p>
    <w:p>
      <w:pPr>
        <w:pStyle w:val="Heading5"/>
      </w:pPr>
      <w:r>
        <w:rPr>
          <w:lang w:val="en_US" w:bidi="en_US"/>
        </w:rPr>
        <w:t>8:15b</w:t>
      </w:r>
    </w:p>
    <w:p>
      <w:pPr/>
      <w:r>
        <w:rPr>
          <w:lang w:val="en_US" w:bidi="en_US"/>
        </w:rPr>
      </w:r>
      <w:r>
        <w:rPr>
          <w:b/>
          <w:lang w:val="en_US" w:bidi="en_US"/>
        </w:rPr>
        <w:t>with a noble and good heart, who hear the word, cling to it,</w:t>
      </w:r>
    </w:p>
    <w:p>
      <w:pPr>
        <w:pStyle w:val="ListBullet"/>
        <w:spacing w:line="240" w:lineRule="auto"/>
        <w:ind w:left="720"/>
      </w:pPr>
      <w:r>
        <w:rPr>
          <w:lang w:val="en_US" w:bidi="en_US"/>
        </w:rPr>
      </w:r>
      <w:r>
        <w:rPr>
          <w:lang w:val="en_US" w:bidi="en_US"/>
        </w:rPr>
        <w:t xml:space="preserve">hear the word </w:t>
      </w:r>
      <w:r>
        <w:rPr>
          <w:lang w:val="en_US" w:bidi="en_US"/>
        </w:rPr>
        <w:t>of God</w:t>
      </w:r>
      <w:r>
        <w:rPr>
          <w:lang w:val="en_US" w:bidi="en_US"/>
        </w:rPr>
        <w:t xml:space="preserve"> and continue to think about it carefully/nobly with sincere hearts/minds.</w:t>
      </w:r>
    </w:p>
    <w:p>
      <w:pPr>
        <w:pStyle w:val="ListBullet"/>
        <w:spacing w:line="240" w:lineRule="auto"/>
        <w:ind w:left="720"/>
      </w:pPr>
      <w:r>
        <w:rPr>
          <w:lang w:val="en_US" w:bidi="en_US"/>
        </w:rPr>
      </w:r>
      <w:r>
        <w:rPr>
          <w:lang w:val="en_US" w:bidi="en_US"/>
        </w:rPr>
        <w:t xml:space="preserve">hear </w:t>
      </w:r>
      <w:r>
        <w:rPr>
          <w:lang w:val="en_US" w:bidi="en_US"/>
        </w:rPr>
        <w:t>God’s</w:t>
      </w:r>
      <w:r>
        <w:rPr>
          <w:lang w:val="en_US" w:bidi="en_US"/>
        </w:rPr>
        <w:t xml:space="preserve"> message and keep it in their minds with goodness and honesty.</w:t>
      </w:r>
    </w:p>
    <w:p>
      <w:pPr/>
      <w:r>
        <w:rPr>
          <w:lang w:val="en_US" w:bidi="en_US"/>
        </w:rPr>
      </w:r>
      <w:r>
        <w:rPr>
          <w:b/>
          <w:lang w:val="en_US" w:bidi="en_US"/>
        </w:rPr>
        <w:t>with a noble and good heart, who hear the word, cling to it:</w:t>
      </w:r>
      <w:r>
        <w:rPr>
          <w:lang w:val="en_US" w:bidi="en_US"/>
        </w:rPr>
        <w:t xml:space="preserve"> The phrase </w:t>
      </w:r>
      <w:r>
        <w:rPr>
          <w:i/>
          <w:lang w:val="en_US" w:bidi="en_US"/>
        </w:rPr>
        <w:t>a noble and good heart</w:t>
      </w:r>
      <w:r>
        <w:rPr>
          <w:lang w:val="en_US" w:bidi="en_US"/>
        </w:rPr>
        <w:t xml:space="preserve"> describes people who keep the word of God in their hearts/minds. There are two views about exactly what </w:t>
      </w:r>
      <w:r>
        <w:rPr>
          <w:i/>
          <w:lang w:val="en_US" w:bidi="en_US"/>
        </w:rPr>
        <w:t>a noble and good heart</w:t>
      </w:r>
      <w:r>
        <w:rPr>
          <w:lang w:val="en_US" w:bidi="en_US"/>
        </w:rPr>
        <w:t xml:space="preserve"> describes here:</w:t>
      </w:r>
    </w:p>
    <w:p>
      <w:pPr>
        <w:pStyle w:val="ListNumber"/>
        <w:numPr>
          <w:ilvl w:val="0"/>
          <w:numId w:val="178"/>
        </w:numPr>
        <w:spacing w:line="240" w:lineRule="auto"/>
        <w:ind w:left="720"/>
      </w:pPr>
      <w:r>
        <w:rPr>
          <w:lang w:val="en_US" w:bidi="en_US"/>
        </w:rPr>
      </w:r>
      <w:r>
        <w:rPr>
          <w:lang w:val="en_US" w:bidi="en_US"/>
        </w:rPr>
        <w:t xml:space="preserve">It describes the </w:t>
      </w:r>
      <w:r>
        <w:rPr>
          <w:u w:val="single"/>
          <w:lang w:val="en_US" w:bidi="en_US"/>
        </w:rPr>
        <w:t>manner</w:t>
      </w:r>
      <w:r>
        <w:rPr>
          <w:lang w:val="en_US" w:bidi="en_US"/>
        </w:rPr>
        <w:t xml:space="preserve"> in which the people retain the word. Most English versions express this idea by using an idiom that seems to express location. For example:</w:t>
      </w:r>
      <w:r>
        <w:rPr>
          <w:lang w:val="en_US" w:bidi="en_US"/>
        </w:rPr>
        <w:t xml:space="preserve">The seeds that fell in good soil stand for those who hear the message and retain it </w:t>
      </w:r>
      <w:r>
        <w:rPr>
          <w:u w:val="single"/>
          <w:lang w:val="en_US" w:bidi="en_US"/>
        </w:rPr>
        <w:t>in a good and obedient heart</w:t>
      </w:r>
      <w:r>
        <w:rPr>
          <w:lang w:val="en_US" w:bidi="en_US"/>
        </w:rPr>
        <w:t xml:space="preserve">… (GNT) </w:t>
      </w:r>
      <w:r>
        <w:rPr>
          <w:i/>
          <w:lang w:val="en_US" w:bidi="en_US"/>
        </w:rPr>
        <w:t>(GNT, RSV, CEV, KJV, GW, NET)</w:t>
      </w:r>
    </w:p>
    <w:p>
      <w:pPr>
        <w:pStyle w:val="ListNumber"/>
        <w:spacing w:line="240" w:lineRule="auto"/>
        <w:ind w:left="720"/>
      </w:pPr>
      <w:r>
        <w:rPr>
          <w:lang w:val="en_US" w:bidi="en_US"/>
        </w:rPr>
      </w:r>
      <w:r>
        <w:rPr>
          <w:lang w:val="en_US" w:bidi="en_US"/>
        </w:rPr>
        <w:t xml:space="preserve">It describes the </w:t>
      </w:r>
      <w:r>
        <w:rPr>
          <w:u w:val="single"/>
          <w:lang w:val="en_US" w:bidi="en_US"/>
        </w:rPr>
        <w:t>character</w:t>
      </w:r>
      <w:r>
        <w:rPr>
          <w:lang w:val="en_US" w:bidi="en_US"/>
        </w:rPr>
        <w:t xml:space="preserve"> of the people who hear the word. They have noble and good hearts. For example:</w:t>
      </w:r>
      <w:r>
        <w:rPr>
          <w:lang w:val="en_US" w:bidi="en_US"/>
        </w:rPr>
        <w:t xml:space="preserve">And the seeds that fell on the good soil represent honest, good-hearted people who hear God’s word, cling to it… (NLT) </w:t>
      </w:r>
      <w:r>
        <w:rPr>
          <w:i/>
          <w:lang w:val="en_US" w:bidi="en_US"/>
        </w:rPr>
        <w:t>(BSB, NIV, NLT, NJB, REB, NCV)</w:t>
      </w:r>
    </w:p>
    <w:p>
      <w:pPr/>
      <w:r>
        <w:rPr>
          <w:lang w:val="en_US" w:bidi="en_US"/>
        </w:rPr>
      </w:r>
      <w:r>
        <w:rPr>
          <w:lang w:val="en_US" w:bidi="en_US"/>
        </w:rPr>
        <w:t>It is recommended that you follow interpretation (1). However, the two interpretations are not very different, because people who retain God’s message in good and noble hearts must have good and noble hearts.</w:t>
      </w:r>
    </w:p>
    <w:p>
      <w:pPr/>
      <w:r>
        <w:rPr>
          <w:lang w:val="en_US" w:bidi="en_US"/>
        </w:rPr>
      </w:r>
      <w:r>
        <w:rPr>
          <w:lang w:val="en_US" w:bidi="en_US"/>
        </w:rPr>
        <w:t xml:space="preserve">In this context the word </w:t>
      </w:r>
      <w:r>
        <w:rPr>
          <w:i/>
          <w:lang w:val="en_US" w:bidi="en_US"/>
        </w:rPr>
        <w:t>heart</w:t>
      </w:r>
      <w:r>
        <w:rPr>
          <w:lang w:val="en_US" w:bidi="en_US"/>
        </w:rPr>
        <w:t xml:space="preserve"> is an idiom to describe the manner in which these people retain God’s word. Other ways to translate </w:t>
      </w:r>
      <w:r>
        <w:rPr>
          <w:i/>
          <w:lang w:val="en_US" w:bidi="en_US"/>
        </w:rPr>
        <w:t>with a noble and good heart…cling to it</w:t>
      </w:r>
      <w:r>
        <w:rPr>
          <w:lang w:val="en_US" w:bidi="en_US"/>
        </w:rPr>
        <w:t xml:space="preserve"> are:</w:t>
      </w:r>
    </w:p>
    <w:p>
      <w:pPr/>
      <w:r>
        <w:rPr>
          <w:lang w:val="en_US" w:bidi="en_US"/>
        </w:rPr>
      </w:r>
      <w:r>
        <w:rPr>
          <w:lang w:val="en_US" w:bidi="en_US"/>
        </w:rPr>
        <w:t>hold to it in a noble and good way</w:t>
      </w:r>
    </w:p>
    <w:p>
      <w:pPr/>
      <w:r>
        <w:rPr>
          <w:lang w:val="en_US" w:bidi="en_US"/>
        </w:rPr>
      </w:r>
      <w:r>
        <w:rPr>
          <w:lang w:val="en_US" w:bidi="en_US"/>
        </w:rPr>
        <w:t>cling to it with honesty and goodness</w:t>
      </w:r>
    </w:p>
    <w:p>
      <w:pPr/>
      <w:r>
        <w:rPr>
          <w:lang w:val="en_US" w:bidi="en_US"/>
        </w:rPr>
      </w:r>
      <w:r>
        <w:rPr>
          <w:lang w:val="en_US" w:bidi="en_US"/>
        </w:rPr>
        <w:t>keep thinking about it well and honestly</w:t>
      </w:r>
    </w:p>
    <w:p>
      <w:pPr/>
      <w:r>
        <w:rPr>
          <w:lang w:val="en_US" w:bidi="en_US"/>
        </w:rPr>
      </w:r>
      <w:r>
        <w:rPr>
          <w:b/>
          <w:lang w:val="en_US" w:bidi="en_US"/>
        </w:rPr>
        <w:t>noble and good heart:</w:t>
      </w:r>
      <w:r>
        <w:rPr>
          <w:lang w:val="en_US" w:bidi="en_US"/>
        </w:rPr>
        <w:t xml:space="preserve"> The Greek words that the BSB translates as </w:t>
      </w:r>
      <w:r>
        <w:rPr>
          <w:i/>
          <w:lang w:val="en_US" w:bidi="en_US"/>
        </w:rPr>
        <w:t>noble</w:t>
      </w:r>
      <w:r>
        <w:rPr>
          <w:lang w:val="en_US" w:bidi="en_US"/>
        </w:rPr>
        <w:t xml:space="preserve"> and </w:t>
      </w:r>
      <w:r>
        <w:rPr>
          <w:i/>
          <w:lang w:val="en_US" w:bidi="en_US"/>
        </w:rPr>
        <w:t>good</w:t>
      </w:r>
      <w:r>
        <w:rPr>
          <w:lang w:val="en_US" w:bidi="en_US"/>
        </w:rPr>
        <w:t xml:space="preserve"> are very close in meaning.</w:t>
      </w:r>
      <w:r>
        <w:rPr>
          <w:lang w:val="en_US" w:bidi="en_US"/>
        </w:rPr>
        <w:t>A number of commentators point out that this was a common expression in Greek literature which “conveys the Hellenistic ideal of an honourable character” (Marshall).</w:t>
      </w:r>
      <w:r>
        <w:rPr>
          <w:lang w:val="en_US" w:bidi="en_US"/>
        </w:rPr>
        <w:t xml:space="preserve"> Jesus had already used each of these Greek words alone to describe the soil as “good soil” (8:8a and 8:15a). The two words are probably used together here for emphasis. Both words can be used to describe many types of goodness. You should use a word or phrase in your language that is natural to describe a good way to cling to God’s word.</w:t>
      </w:r>
    </w:p>
    <w:p>
      <w:pPr/>
      <w:r>
        <w:rPr>
          <w:lang w:val="en_US" w:bidi="en_US"/>
        </w:rPr>
      </w:r>
      <w:r>
        <w:rPr>
          <w:lang w:val="en_US" w:bidi="en_US"/>
        </w:rPr>
        <w:t xml:space="preserve">Some ways to translate </w:t>
      </w:r>
      <w:r>
        <w:rPr>
          <w:i/>
          <w:lang w:val="en_US" w:bidi="en_US"/>
        </w:rPr>
        <w:t>noble and good heart</w:t>
      </w:r>
      <w:r>
        <w:rPr>
          <w:lang w:val="en_US" w:bidi="en_US"/>
        </w:rPr>
        <w:t xml:space="preserve"> here are:</w:t>
      </w:r>
    </w:p>
    <w:p>
      <w:pPr>
        <w:pStyle w:val="ListBullet"/>
        <w:spacing w:line="240" w:lineRule="auto"/>
        <w:ind w:left="720"/>
      </w:pPr>
      <w:r>
        <w:rPr>
          <w:lang w:val="en_US" w:bidi="en_US"/>
        </w:rPr>
      </w:r>
      <w:r>
        <w:rPr>
          <w:lang w:val="en_US" w:bidi="en_US"/>
        </w:rPr>
        <w:t>Use two different words for “good.” Some examples in English could be:</w:t>
      </w:r>
      <w:r>
        <w:rPr>
          <w:lang w:val="en_US" w:bidi="en_US"/>
        </w:rPr>
        <w:t>in a good and fitting/proper way</w:t>
      </w:r>
      <w:r>
        <w:rPr>
          <w:lang w:val="en_US" w:bidi="en_US"/>
        </w:rPr>
        <w:t>in a manner that is right and good</w:t>
      </w:r>
      <w:r>
        <w:rPr>
          <w:lang w:val="en_US" w:bidi="en_US"/>
        </w:rPr>
        <w:t>carefully and honestly</w:t>
      </w:r>
    </w:p>
    <w:p>
      <w:pPr>
        <w:pStyle w:val="ListBullet"/>
        <w:spacing w:line="240" w:lineRule="auto"/>
        <w:ind w:left="720"/>
      </w:pPr>
      <w:r>
        <w:rPr>
          <w:lang w:val="en_US" w:bidi="en_US"/>
        </w:rPr>
      </w:r>
      <w:r>
        <w:rPr>
          <w:lang w:val="en_US" w:bidi="en_US"/>
        </w:rPr>
        <w:t>Use one word or phrase that emphasizes the meaning of the Greek phrase. For example:</w:t>
      </w:r>
      <w:r>
        <w:rPr>
          <w:lang w:val="en_US" w:bidi="en_US"/>
        </w:rPr>
        <w:t>in a truly/very good way</w:t>
      </w:r>
      <w:r>
        <w:rPr>
          <w:lang w:val="en_US" w:bidi="en_US"/>
        </w:rPr>
        <w:t>with great carefulness</w:t>
      </w:r>
      <w:r>
        <w:rPr>
          <w:lang w:val="en_US" w:bidi="en_US"/>
        </w:rPr>
        <w:t>just as they should</w:t>
      </w:r>
    </w:p>
    <w:p>
      <w:pPr/>
      <w:r>
        <w:rPr>
          <w:lang w:val="en_US" w:bidi="en_US"/>
        </w:rPr>
      </w:r>
      <w:r>
        <w:rPr>
          <w:b/>
          <w:lang w:val="en_US" w:bidi="en_US"/>
        </w:rPr>
        <w:t>heart:</w:t>
      </w:r>
      <w:r>
        <w:rPr>
          <w:lang w:val="en_US" w:bidi="en_US"/>
        </w:rPr>
        <w:t xml:space="preserve"> See the note on “hearts” at 8:12b.</w:t>
      </w:r>
    </w:p>
    <w:p>
      <w:pPr/>
      <w:r>
        <w:rPr>
          <w:lang w:val="en_US" w:bidi="en_US"/>
        </w:rPr>
      </w:r>
      <w:r>
        <w:rPr>
          <w:b/>
          <w:lang w:val="en_US" w:bidi="en_US"/>
        </w:rPr>
        <w:t>hear the word, cling to it:</w:t>
      </w:r>
      <w:r>
        <w:rPr>
          <w:lang w:val="en_US" w:bidi="en_US"/>
        </w:rPr>
        <w:t xml:space="preserve"> The Greek phrases that the BSB translates as </w:t>
      </w:r>
      <w:r>
        <w:rPr>
          <w:i/>
          <w:lang w:val="en_US" w:bidi="en_US"/>
        </w:rPr>
        <w:t>hear the word, cling to it</w:t>
      </w:r>
      <w:r>
        <w:rPr>
          <w:lang w:val="en_US" w:bidi="en_US"/>
        </w:rPr>
        <w:t xml:space="preserve"> are literally “hearing the word, retain (it).” The verb “retain” is the main verb. It indicates that retaining the word is the action that is in focus here. Indicate that in a natural way in your language.</w:t>
      </w:r>
    </w:p>
    <w:p>
      <w:pPr/>
      <w:r>
        <w:rPr>
          <w:lang w:val="en_US" w:bidi="en_US"/>
        </w:rPr>
      </w:r>
      <w:r>
        <w:rPr>
          <w:b/>
          <w:lang w:val="en_US" w:bidi="en_US"/>
        </w:rPr>
        <w:t>cling to it:</w:t>
      </w:r>
      <w:r>
        <w:rPr>
          <w:lang w:val="en_US" w:bidi="en_US"/>
        </w:rPr>
        <w:t xml:space="preserve"> The Greek word that the BSB translates as </w:t>
      </w:r>
      <w:r>
        <w:rPr>
          <w:i/>
          <w:lang w:val="en_US" w:bidi="en_US"/>
        </w:rPr>
        <w:t>cling to it</w:t>
      </w:r>
      <w:r>
        <w:rPr>
          <w:lang w:val="en_US" w:bidi="en_US"/>
        </w:rPr>
        <w:t xml:space="preserve"> means “keep it” or “hold fast to it.” In this context, this indicates that the people remember it and continue to think about it and believe it. These people do not forget or discard the message from God that they have heard. They value it and treasure it.</w:t>
      </w:r>
    </w:p>
    <w:p>
      <w:pPr>
        <w:pStyle w:val="Heading5"/>
      </w:pPr>
      <w:r>
        <w:rPr>
          <w:lang w:val="en_US" w:bidi="en_US"/>
        </w:rPr>
        <w:t>8:15c</w:t>
      </w:r>
    </w:p>
    <w:p>
      <w:pPr/>
      <w:r>
        <w:rPr>
          <w:lang w:val="en_US" w:bidi="en_US"/>
        </w:rPr>
      </w:r>
      <w:r>
        <w:rPr>
          <w:b/>
          <w:lang w:val="en_US" w:bidi="en_US"/>
        </w:rPr>
        <w:t>and by persevering produce a crop.</w:t>
      </w:r>
    </w:p>
    <w:p>
      <w:pPr>
        <w:pStyle w:val="ListBullet"/>
        <w:spacing w:line="240" w:lineRule="auto"/>
        <w:ind w:left="720"/>
      </w:pPr>
      <w:r>
        <w:rPr>
          <w:lang w:val="en_US" w:bidi="en_US"/>
        </w:rPr>
      </w:r>
      <w:r>
        <w:rPr>
          <w:lang w:val="en_US" w:bidi="en_US"/>
        </w:rPr>
        <w:t xml:space="preserve">By remaining firm/steadfast they </w:t>
      </w:r>
      <w:r>
        <w:rPr>
          <w:lang w:val="en_US" w:bidi="en_US"/>
        </w:rPr>
        <w:t>are like plants that</w:t>
      </w:r>
      <w:r>
        <w:rPr>
          <w:lang w:val="en_US" w:bidi="en_US"/>
        </w:rPr>
        <w:t xml:space="preserve"> bring forth fruit/grain </w:t>
      </w:r>
      <w:r>
        <w:rPr>
          <w:lang w:val="en_US" w:bidi="en_US"/>
        </w:rPr>
        <w:t>for harvest</w:t>
      </w:r>
      <w:r>
        <w:rPr>
          <w:lang w:val="en_US" w:bidi="en_US"/>
        </w:rPr>
        <w:t>.</w:t>
      </w:r>
    </w:p>
    <w:p>
      <w:pPr>
        <w:pStyle w:val="ListBullet"/>
        <w:spacing w:line="240" w:lineRule="auto"/>
        <w:ind w:left="720"/>
      </w:pPr>
      <w:r>
        <w:rPr>
          <w:lang w:val="en_US" w:bidi="en_US"/>
        </w:rPr>
      </w:r>
      <w:r>
        <w:rPr>
          <w:lang w:val="en_US" w:bidi="en_US"/>
        </w:rPr>
        <w:t xml:space="preserve">And good things/deeds result from the way they continue to believe, </w:t>
      </w:r>
      <w:r>
        <w:rPr>
          <w:lang w:val="en_US" w:bidi="en_US"/>
        </w:rPr>
        <w:t>even when they face difficulties</w:t>
      </w:r>
      <w:r>
        <w:rPr>
          <w:lang w:val="en_US" w:bidi="en_US"/>
        </w:rPr>
        <w:t>.</w:t>
      </w:r>
    </w:p>
    <w:p>
      <w:pPr>
        <w:pStyle w:val="ListBullet"/>
        <w:spacing w:line="240" w:lineRule="auto"/>
        <w:ind w:left="720"/>
      </w:pPr>
      <w:r>
        <w:rPr>
          <w:lang w:val="en_US" w:bidi="en_US"/>
        </w:rPr>
      </w:r>
      <w:r>
        <w:rPr>
          <w:lang w:val="en_US" w:bidi="en_US"/>
        </w:rPr>
        <w:t>By continuing to believe God’s message, they live in a way that pleases God.</w:t>
      </w:r>
    </w:p>
    <w:p>
      <w:pPr/>
      <w:r>
        <w:rPr>
          <w:lang w:val="en_US" w:bidi="en_US"/>
        </w:rPr>
      </w:r>
      <w:r>
        <w:rPr>
          <w:b/>
          <w:lang w:val="en_US" w:bidi="en_US"/>
        </w:rPr>
        <w:t>by persevering produce a crop:</w:t>
      </w:r>
      <w:r>
        <w:rPr>
          <w:lang w:val="en_US" w:bidi="en_US"/>
        </w:rPr>
        <w:t xml:space="preserve"> The Greek phrase that the BSB translates as </w:t>
      </w:r>
      <w:r>
        <w:rPr>
          <w:i/>
          <w:lang w:val="en_US" w:bidi="en_US"/>
        </w:rPr>
        <w:t>by persevering</w:t>
      </w:r>
      <w:r>
        <w:rPr>
          <w:lang w:val="en_US" w:bidi="en_US"/>
        </w:rPr>
        <w:t xml:space="preserve"> is literally “in patience/perseverance.” It describes someone who patiently perseveres in spite of difficulties. In this context it describes people who patiently continue to believe God’s message and obey it. The result of this persevering is that they </w:t>
      </w:r>
      <w:r>
        <w:rPr>
          <w:i/>
          <w:lang w:val="en_US" w:bidi="en_US"/>
        </w:rPr>
        <w:t>produce a crop</w:t>
      </w:r>
      <w:r>
        <w:rPr>
          <w:lang w:val="en_US" w:bidi="en_US"/>
        </w:rPr>
        <w:t>, that is, God’s message produces good results through them. This contrasts with the people in 8:13–14 who stopped believing God’s message.</w:t>
      </w:r>
    </w:p>
    <w:p>
      <w:pPr/>
      <w:r>
        <w:rPr>
          <w:lang w:val="en_US" w:bidi="en_US"/>
        </w:rPr>
      </w:r>
      <w:r>
        <w:rPr>
          <w:b/>
          <w:lang w:val="en_US" w:bidi="en_US"/>
        </w:rPr>
        <w:t>produce a crop:</w:t>
      </w:r>
      <w:r>
        <w:rPr>
          <w:lang w:val="en_US" w:bidi="en_US"/>
        </w:rPr>
        <w:t xml:space="preserve"> The Greek word that the BSB translates as </w:t>
      </w:r>
      <w:r>
        <w:rPr>
          <w:i/>
          <w:lang w:val="en_US" w:bidi="en_US"/>
        </w:rPr>
        <w:t>produce a crop</w:t>
      </w:r>
      <w:r>
        <w:rPr>
          <w:lang w:val="en_US" w:bidi="en_US"/>
        </w:rPr>
        <w:t xml:space="preserve"> can also be translated as “bring forth fruit.” This is a metaphor. Jesus does not identify what the </w:t>
      </w:r>
      <w:r>
        <w:rPr>
          <w:i/>
          <w:lang w:val="en_US" w:bidi="en_US"/>
        </w:rPr>
        <w:t>crop</w:t>
      </w:r>
      <w:r>
        <w:rPr>
          <w:lang w:val="en_US" w:bidi="en_US"/>
        </w:rPr>
        <w:t xml:space="preserve"> or “fruit” refers to. It probably refers to good deeds that are the result of believing and obeying God’s message.</w:t>
      </w:r>
      <w:r>
        <w:rPr>
          <w:lang w:val="en_US" w:bidi="en_US"/>
        </w:rPr>
        <w:t>The majority of commentators understand “bear fruit” (here and in 8:14c) in the sense of some kind of good deeds. They are the results of or demonstration of faith. The alternative view is to see faith itself as the fruit. Just as grain that can be harvested accomplishes the purpose of the farmer, so the people represented by the seed scattered on the good soil accomplish the purpose for which Jesus proclaimed the message. They hear the word, retain it, and so produce the fruit of faith (= the fruit which is faith).</w:t>
      </w:r>
    </w:p>
    <w:p>
      <w:pPr/>
      <w:r>
        <w:rPr>
          <w:lang w:val="en_US" w:bidi="en_US"/>
        </w:rPr>
      </w:r>
      <w:r>
        <w:rPr>
          <w:lang w:val="en_US" w:bidi="en_US"/>
        </w:rPr>
        <w:t xml:space="preserve">Some other ways to translate </w:t>
      </w:r>
      <w:r>
        <w:rPr>
          <w:i/>
          <w:lang w:val="en_US" w:bidi="en_US"/>
        </w:rPr>
        <w:t>produce a crop</w:t>
      </w:r>
      <w:r>
        <w:rPr>
          <w:lang w:val="en_US" w:bidi="en_US"/>
        </w:rPr>
        <w:t xml:space="preserve"> here are:</w:t>
      </w:r>
    </w:p>
    <w:p>
      <w:pPr>
        <w:pStyle w:val="ListBullet"/>
        <w:spacing w:line="240" w:lineRule="auto"/>
        <w:ind w:left="720"/>
      </w:pPr>
      <w:r>
        <w:rPr>
          <w:lang w:val="en_US" w:bidi="en_US"/>
        </w:rPr>
      </w:r>
      <w:r>
        <w:rPr>
          <w:lang w:val="en_US" w:bidi="en_US"/>
        </w:rPr>
        <w:t>Use a simile. For example:</w:t>
      </w:r>
      <w:r>
        <w:rPr>
          <w:lang w:val="en_US" w:bidi="en_US"/>
        </w:rPr>
        <w:t xml:space="preserve">they </w:t>
      </w:r>
      <w:r>
        <w:rPr>
          <w:lang w:val="en_US" w:bidi="en_US"/>
        </w:rPr>
        <w:t>are like plants that</w:t>
      </w:r>
      <w:r>
        <w:rPr>
          <w:lang w:val="en_US" w:bidi="en_US"/>
        </w:rPr>
        <w:t xml:space="preserve"> produce fruit/grain for harvest</w:t>
      </w:r>
    </w:p>
    <w:p>
      <w:pPr>
        <w:pStyle w:val="ListBullet"/>
        <w:spacing w:line="240" w:lineRule="auto"/>
        <w:ind w:left="720"/>
      </w:pPr>
      <w:r>
        <w:rPr>
          <w:lang w:val="en_US" w:bidi="en_US"/>
        </w:rPr>
      </w:r>
      <w:r>
        <w:rPr>
          <w:lang w:val="en_US" w:bidi="en_US"/>
        </w:rPr>
        <w:t>Make the meaning more explicit. For example:</w:t>
      </w:r>
      <w:r>
        <w:rPr>
          <w:lang w:val="en_US" w:bidi="en_US"/>
        </w:rPr>
        <w:t>like plants that produce fruit, they produce good results</w:t>
      </w:r>
      <w:r>
        <w:rPr>
          <w:lang w:val="en_US" w:bidi="en_US"/>
        </w:rPr>
        <w:t>they live/act according to God’s message</w:t>
      </w:r>
      <w:r>
        <w:rPr>
          <w:lang w:val="en_US" w:bidi="en_US"/>
        </w:rPr>
        <w:t>they live in a way that pleases God</w:t>
      </w:r>
      <w:r>
        <w:rPr>
          <w:lang w:val="en_US" w:bidi="en_US"/>
        </w:rPr>
      </w:r>
      <w:r>
        <w:rPr>
          <w:lang w:val="en_US" w:bidi="en_US"/>
        </w:rPr>
      </w:r>
    </w:p>
    <w:p>
      <w:pPr/>
      <w:r>
        <w:rPr>
          <w:lang w:val="en_US" w:bidi="en_US"/>
        </w:rPr>
      </w:r>
    </w:p>
    <w:p>
      <w:pPr>
        <w:pStyle w:val="Heading2"/>
      </w:pPr>
      <w:r>
        <w:rPr>
          <w:lang w:val="en_US" w:bidi="en_US"/>
        </w:rPr>
        <w:t>Luke 8:16</w:t>
      </w:r>
      <w:r>
        <w:rPr>
          <w:lang w:val="en_US" w:bidi="en_US"/>
        </w:rPr>
      </w:r>
    </w:p>
    <w:p>
      <w:pPr>
        <w:pStyle w:val="Heading4"/>
      </w:pPr>
      <w:r>
        <w:rPr>
          <w:lang w:val="en_US" w:bidi="en_US"/>
        </w:rPr>
        <w:t>Section 8:16–18: People should listen carefully to Jesus</w:t>
      </w:r>
    </w:p>
    <w:p>
      <w:pPr/>
      <w:r>
        <w:rPr>
          <w:lang w:val="en_US" w:bidi="en_US"/>
        </w:rPr>
      </w:r>
      <w:r>
        <w:rPr>
          <w:lang w:val="en_US" w:bidi="en_US"/>
        </w:rPr>
        <w:t>This section has a similar theme to the parable of 8:4–15. In it Jesus used sayings that were like short proverbs or parables.</w:t>
      </w:r>
      <w:r>
        <w:rPr>
          <w:lang w:val="en_US" w:bidi="en_US"/>
        </w:rPr>
        <w:t xml:space="preserve">The sayings in these verses fall under the Greek category of </w:t>
      </w:r>
      <w:r>
        <w:rPr>
          <w:i/>
          <w:lang w:val="en_US" w:bidi="en_US"/>
        </w:rPr>
        <w:t>παραβολη</w:t>
      </w:r>
      <w:r>
        <w:rPr>
          <w:lang w:val="en_US" w:bidi="en_US"/>
        </w:rPr>
        <w:t>.</w:t>
      </w:r>
      <w:r>
        <w:rPr>
          <w:lang w:val="en_US" w:bidi="en_US"/>
        </w:rPr>
        <w:t xml:space="preserve"> Both this section and the parable of 8:4–15 teach that the disciples needed to listen carefully to Jesus’ teaching. These sayings also relate to 8:9–10, where Jesus explained that his parables would keep the message “hidden” for some, but his disciples should understand it.</w:t>
      </w:r>
    </w:p>
    <w:p>
      <w:pPr/>
      <w:r>
        <w:rPr>
          <w:lang w:val="en_US" w:bidi="en_US"/>
        </w:rPr>
      </w:r>
      <w:r>
        <w:rPr>
          <w:lang w:val="en_US" w:bidi="en_US"/>
        </w:rPr>
        <w:t>It is good to read this section carefully before you decide on a heading for it. Some other possible headings for this section are:</w:t>
      </w:r>
    </w:p>
    <w:p>
      <w:pPr/>
      <w:r>
        <w:rPr>
          <w:lang w:val="en_US" w:bidi="en_US"/>
        </w:rPr>
      </w:r>
      <w:r>
        <w:rPr>
          <w:lang w:val="en_US" w:bidi="en_US"/>
        </w:rPr>
        <w:t>Parable of the Lamp (NLT)</w:t>
      </w:r>
    </w:p>
    <w:p>
      <w:pPr/>
      <w:r>
        <w:rPr>
          <w:lang w:val="en_US" w:bidi="en_US"/>
        </w:rPr>
      </w:r>
      <w:r>
        <w:rPr>
          <w:lang w:val="en_US" w:bidi="en_US"/>
        </w:rPr>
        <w:t>Showing the Light (NET)</w:t>
      </w:r>
    </w:p>
    <w:p>
      <w:pPr/>
      <w:r>
        <w:rPr>
          <w:lang w:val="en_US" w:bidi="en_US"/>
        </w:rPr>
      </w:r>
      <w:r>
        <w:rPr>
          <w:lang w:val="en_US" w:bidi="en_US"/>
        </w:rPr>
        <w:t>Jesus’ words are like a lamp</w:t>
      </w:r>
    </w:p>
    <w:p>
      <w:pPr/>
      <w:r>
        <w:rPr>
          <w:lang w:val="en_US" w:bidi="en_US"/>
        </w:rPr>
      </w:r>
      <w:r>
        <w:rPr>
          <w:lang w:val="en_US" w:bidi="en_US"/>
        </w:rPr>
        <w:t>This is a short section, so some translators may choose to make these verses part of the preceding section, as the GW does.</w:t>
      </w:r>
    </w:p>
    <w:p>
      <w:pPr>
        <w:pStyle w:val="Heading5"/>
      </w:pPr>
      <w:r>
        <w:rPr>
          <w:lang w:val="en_US" w:bidi="en_US"/>
        </w:rPr>
        <w:t>8:16</w:t>
      </w:r>
    </w:p>
    <w:p>
      <w:pPr/>
      <w:r>
        <w:rPr>
          <w:lang w:val="en_US" w:bidi="en_US"/>
        </w:rPr>
      </w:r>
      <w:r>
        <w:rPr>
          <w:lang w:val="en_US" w:bidi="en_US"/>
        </w:rPr>
        <w:t>This verse is a proverb or saying that Jesus used to illustrate his teaching. It is recorded in a similar form in 11:33, Mark 4:21, and Matthew 5:15. The light of the lamp probably represents God’s message (word) that Jesus was teaching people.</w:t>
      </w:r>
    </w:p>
    <w:p>
      <w:pPr/>
      <w:r>
        <w:rPr>
          <w:lang w:val="en_US" w:bidi="en_US"/>
        </w:rPr>
      </w:r>
      <w:r>
        <w:rPr>
          <w:lang w:val="en_US" w:bidi="en_US"/>
        </w:rPr>
        <w:t>Express this saying in a natural way. You may be able to use a form that is used for sayings or proverbs in your language.</w:t>
      </w:r>
    </w:p>
    <w:p>
      <w:pPr/>
      <w:r>
        <w:rPr>
          <w:lang w:val="en_US" w:bidi="en_US"/>
        </w:rPr>
      </w:r>
      <w:r>
        <w:rPr>
          <w:lang w:val="en_US" w:bidi="en_US"/>
        </w:rPr>
        <w:t>In some areas people do not commonly use the objects mentioned in this verse such as oil lamps, lampstands, or a bed that is raised off the ground. If this is true in your area, you may be able to substitute similar objects. The meaning should always be that people do not cover up or hide their source of light.</w:t>
      </w:r>
    </w:p>
    <w:p>
      <w:pPr>
        <w:pStyle w:val="Heading5"/>
      </w:pPr>
      <w:r>
        <w:rPr>
          <w:lang w:val="en_US" w:bidi="en_US"/>
        </w:rPr>
        <w:t>8:16a</w:t>
      </w:r>
    </w:p>
    <w:p>
      <w:pPr/>
      <w:r>
        <w:rPr>
          <w:lang w:val="en_US" w:bidi="en_US"/>
        </w:rPr>
      </w:r>
      <w:r>
        <w:rPr>
          <w:b/>
          <w:lang w:val="en_US" w:bidi="en_US"/>
        </w:rPr>
        <w:t>No one lights a lamp and covers it with a jar or puts it under a bed.</w:t>
      </w:r>
    </w:p>
    <w:p>
      <w:pPr>
        <w:pStyle w:val="ListBullet"/>
        <w:spacing w:line="240" w:lineRule="auto"/>
        <w:ind w:left="720"/>
      </w:pPr>
      <w:r>
        <w:rPr>
          <w:lang w:val="en_US" w:bidi="en_US"/>
        </w:rPr>
      </w:r>
      <w:r>
        <w:rPr>
          <w:lang w:val="en_US" w:bidi="en_US"/>
        </w:rPr>
        <w:t xml:space="preserve">¶ “No person lights a lamp and </w:t>
      </w:r>
      <w:r>
        <w:rPr>
          <w:lang w:val="en_US" w:bidi="en_US"/>
        </w:rPr>
        <w:t>then</w:t>
      </w:r>
      <w:r>
        <w:rPr>
          <w:lang w:val="en_US" w:bidi="en_US"/>
        </w:rPr>
        <w:t xml:space="preserve"> hides it in a container or places it under a bed.</w:t>
      </w:r>
    </w:p>
    <w:p>
      <w:pPr>
        <w:pStyle w:val="ListBullet"/>
        <w:spacing w:line="240" w:lineRule="auto"/>
        <w:ind w:left="720"/>
      </w:pPr>
      <w:r>
        <w:rPr>
          <w:lang w:val="en_US" w:bidi="en_US"/>
        </w:rPr>
      </w:r>
      <w:r>
        <w:rPr>
          <w:lang w:val="en_US" w:bidi="en_US"/>
        </w:rPr>
        <w:t xml:space="preserve">¶ </w:t>
      </w:r>
      <w:r>
        <w:rPr>
          <w:lang w:val="en_US" w:bidi="en_US"/>
        </w:rPr>
        <w:t>Jesus continued with another parable/saying,</w:t>
      </w:r>
      <w:r>
        <w:rPr>
          <w:lang w:val="en_US" w:bidi="en_US"/>
        </w:rPr>
        <w:t xml:space="preserve"> “When/after someone lights a lamp, he does not conceal it by putting it under a bucket or a couch.</w:t>
      </w:r>
    </w:p>
    <w:p>
      <w:pPr/>
      <w:r>
        <w:rPr>
          <w:lang w:val="en_US" w:bidi="en_US"/>
        </w:rPr>
      </w:r>
      <w:r>
        <w:rPr>
          <w:b/>
          <w:lang w:val="en_US" w:bidi="en_US"/>
        </w:rPr>
        <w:t>No one lights a lamp and covers it with a jar or puts it under a bed:</w:t>
      </w:r>
      <w:r>
        <w:rPr>
          <w:lang w:val="en_US" w:bidi="en_US"/>
        </w:rPr>
        <w:t xml:space="preserve"> This part of the verse refers to an action that no one would do. People do not light a lamp and put it where its light is hidden, because they want others to see its light. The phrases </w:t>
      </w:r>
      <w:r>
        <w:rPr>
          <w:i/>
          <w:lang w:val="en_US" w:bidi="en_US"/>
        </w:rPr>
        <w:t>with a jar</w:t>
      </w:r>
      <w:r>
        <w:rPr>
          <w:lang w:val="en_US" w:bidi="en_US"/>
        </w:rPr>
        <w:t xml:space="preserve"> and </w:t>
      </w:r>
      <w:r>
        <w:rPr>
          <w:i/>
          <w:lang w:val="en_US" w:bidi="en_US"/>
        </w:rPr>
        <w:t>under a bed</w:t>
      </w:r>
      <w:r>
        <w:rPr>
          <w:lang w:val="en_US" w:bidi="en_US"/>
        </w:rPr>
        <w:t xml:space="preserve"> are examples of how someone could hide a lamp.</w:t>
      </w:r>
    </w:p>
    <w:p>
      <w:pPr/>
      <w:r>
        <w:rPr>
          <w:lang w:val="en_US" w:bidi="en_US"/>
        </w:rPr>
      </w:r>
      <w:r>
        <w:rPr>
          <w:lang w:val="en_US" w:bidi="en_US"/>
        </w:rPr>
        <w:t>In some languages a literal translation of this part of the verse may be complex and confusing. If that is true in your language, you may:</w:t>
      </w:r>
    </w:p>
    <w:p>
      <w:pPr>
        <w:pStyle w:val="ListBullet"/>
        <w:spacing w:line="240" w:lineRule="auto"/>
        <w:ind w:left="720"/>
      </w:pPr>
      <w:r>
        <w:rPr>
          <w:lang w:val="en_US" w:bidi="en_US"/>
        </w:rPr>
      </w:r>
      <w:r>
        <w:rPr>
          <w:lang w:val="en_US" w:bidi="en_US"/>
        </w:rPr>
        <w:t>Use one verb to translate “covers” and “puts…under.” For example:</w:t>
      </w:r>
      <w:r>
        <w:rPr>
          <w:lang w:val="en_US" w:bidi="en_US"/>
        </w:rPr>
        <w:t xml:space="preserve">No one lights a lamp and then </w:t>
      </w:r>
      <w:r>
        <w:rPr>
          <w:u w:val="single"/>
          <w:lang w:val="en_US" w:bidi="en_US"/>
        </w:rPr>
        <w:t>hides it under a jar or a bed</w:t>
      </w:r>
      <w:r>
        <w:rPr>
          <w:lang w:val="en_US" w:bidi="en_US"/>
        </w:rPr>
        <w:t>.</w:t>
      </w:r>
    </w:p>
    <w:p>
      <w:pPr>
        <w:pStyle w:val="ListBullet"/>
        <w:spacing w:line="240" w:lineRule="auto"/>
        <w:ind w:left="720"/>
      </w:pPr>
      <w:r>
        <w:rPr>
          <w:lang w:val="en_US" w:bidi="en_US"/>
        </w:rPr>
      </w:r>
      <w:r>
        <w:rPr>
          <w:lang w:val="en_US" w:bidi="en_US"/>
        </w:rPr>
        <w:t>Use a general statement without specific locations for hiding the lamp. For example:</w:t>
      </w:r>
      <w:r>
        <w:rPr>
          <w:lang w:val="en_US" w:bidi="en_US"/>
        </w:rPr>
        <w:t xml:space="preserve">No one lights a lamp and then </w:t>
      </w:r>
      <w:r>
        <w:rPr>
          <w:u w:val="single"/>
          <w:lang w:val="en_US" w:bidi="en_US"/>
        </w:rPr>
        <w:t>covers it with something</w:t>
      </w:r>
      <w:r>
        <w:rPr>
          <w:lang w:val="en_US" w:bidi="en_US"/>
        </w:rPr>
        <w:t>.</w:t>
      </w:r>
    </w:p>
    <w:p>
      <w:pPr>
        <w:pStyle w:val="ListBullet"/>
        <w:spacing w:line="240" w:lineRule="auto"/>
        <w:ind w:left="720"/>
      </w:pPr>
      <w:r>
        <w:rPr>
          <w:lang w:val="en_US" w:bidi="en_US"/>
        </w:rPr>
      </w:r>
      <w:r>
        <w:rPr>
          <w:lang w:val="en_US" w:bidi="en_US"/>
        </w:rPr>
        <w:t>Use two clauses or sentences for the two locations. For example:</w:t>
      </w:r>
      <w:r>
        <w:rPr>
          <w:lang w:val="en_US" w:bidi="en_US"/>
        </w:rPr>
        <w:t>No one would light a lamp and then cover it with a bowl. No one would put it under the bed.</w:t>
      </w:r>
    </w:p>
    <w:p>
      <w:pPr/>
      <w:r>
        <w:rPr>
          <w:lang w:val="en_US" w:bidi="en_US"/>
        </w:rPr>
      </w:r>
      <w:r>
        <w:rPr>
          <w:b/>
          <w:lang w:val="en_US" w:bidi="en_US"/>
        </w:rPr>
        <w:t>No one lights a lamp:</w:t>
      </w:r>
      <w:r>
        <w:rPr>
          <w:lang w:val="en_US" w:bidi="en_US"/>
        </w:rPr>
        <w:t xml:space="preserve"> This is a general statement about something that people do not do. People do not light a lamp and then hide it. Languages have different ways to express a general truth like this. Sometimes it may be more natural to use a different subject. For example:</w:t>
      </w:r>
    </w:p>
    <w:p>
      <w:pPr/>
      <w:r>
        <w:rPr>
          <w:lang w:val="en_US" w:bidi="en_US"/>
        </w:rPr>
      </w:r>
      <w:r>
        <w:rPr>
          <w:u w:val="single"/>
          <w:lang w:val="en_US" w:bidi="en_US"/>
        </w:rPr>
        <w:t>People</w:t>
      </w:r>
      <w:r>
        <w:rPr>
          <w:lang w:val="en_US" w:bidi="en_US"/>
        </w:rPr>
        <w:t xml:space="preserve"> do not light a lamp…</w:t>
      </w:r>
    </w:p>
    <w:p>
      <w:pPr/>
      <w:r>
        <w:rPr>
          <w:lang w:val="en_US" w:bidi="en_US"/>
        </w:rPr>
      </w:r>
      <w:r>
        <w:rPr>
          <w:u w:val="single"/>
          <w:lang w:val="en_US" w:bidi="en_US"/>
        </w:rPr>
        <w:t>You</w:t>
      </w:r>
      <w:r>
        <w:rPr>
          <w:lang w:val="en_US" w:bidi="en_US"/>
        </w:rPr>
        <w:t xml:space="preserve"> do not light a lamp…</w:t>
      </w:r>
    </w:p>
    <w:p>
      <w:pPr/>
      <w:r>
        <w:rPr>
          <w:lang w:val="en_US" w:bidi="en_US"/>
        </w:rPr>
      </w:r>
      <w:r>
        <w:rPr>
          <w:u w:val="single"/>
          <w:lang w:val="en_US" w:bidi="en_US"/>
        </w:rPr>
        <w:t>Only a fool</w:t>
      </w:r>
      <w:r>
        <w:rPr>
          <w:lang w:val="en_US" w:bidi="en_US"/>
        </w:rPr>
        <w:t xml:space="preserve"> would light a lamp…</w:t>
      </w:r>
    </w:p>
    <w:p>
      <w:pPr/>
      <w:r>
        <w:rPr>
          <w:lang w:val="en_US" w:bidi="en_US"/>
        </w:rPr>
      </w:r>
      <w:r>
        <w:rPr>
          <w:b/>
          <w:lang w:val="en_US" w:bidi="en_US"/>
        </w:rPr>
        <w:t>lamp:</w:t>
      </w:r>
      <w:r>
        <w:rPr>
          <w:lang w:val="en_US" w:bidi="en_US"/>
        </w:rPr>
        <w:t xml:space="preserve"> The Greek word that the BSB translates as </w:t>
      </w:r>
      <w:r>
        <w:rPr>
          <w:i/>
          <w:lang w:val="en_US" w:bidi="en_US"/>
        </w:rPr>
        <w:t>lamp</w:t>
      </w:r>
      <w:r>
        <w:rPr>
          <w:lang w:val="en_US" w:bidi="en_US"/>
        </w:rPr>
        <w:t xml:space="preserve"> here probably refers to a small clay lamp that burned olive oil. Every home in Jesus’ time had at least one lamp of this kind.</w:t>
      </w:r>
    </w:p>
    <w:p>
      <w:pPr/>
      <w:r>
        <w:rPr>
          <w:lang w:val="en_US" w:bidi="en_US"/>
        </w:rPr>
      </w:r>
      <w:r>
        <w:rPr>
          <w:lang w:val="en_US" w:bidi="en_US"/>
        </w:rPr>
        <w:t>The meaning of the lamp in this saying is more important than the type of lamp. If you do not use lamps of this kind in your area, here are some ways to translate it:</w:t>
      </w:r>
    </w:p>
    <w:p>
      <w:pPr>
        <w:pStyle w:val="ListBullet"/>
        <w:spacing w:line="240" w:lineRule="auto"/>
        <w:ind w:left="720"/>
      </w:pPr>
      <w:r>
        <w:rPr>
          <w:lang w:val="en_US" w:bidi="en_US"/>
        </w:rPr>
      </w:r>
      <w:r>
        <w:rPr>
          <w:lang w:val="en_US" w:bidi="en_US"/>
        </w:rPr>
        <w:t>Use a general word for a lamp or light.</w:t>
      </w:r>
    </w:p>
    <w:p>
      <w:pPr>
        <w:pStyle w:val="ListBullet"/>
        <w:spacing w:line="240" w:lineRule="auto"/>
        <w:ind w:left="720"/>
      </w:pPr>
      <w:r>
        <w:rPr>
          <w:lang w:val="en_US" w:bidi="en_US"/>
        </w:rPr>
      </w:r>
      <w:r>
        <w:rPr>
          <w:lang w:val="en_US" w:bidi="en_US"/>
        </w:rPr>
        <w:t>Use the name for a similar object that is used to give light in your culture, such as another kind of lamp, a candle, a lantern, or a flaming torch.</w:t>
      </w:r>
    </w:p>
    <w:p>
      <w:pPr/>
      <w:r>
        <w:rPr>
          <w:lang w:val="en_US" w:bidi="en_US"/>
        </w:rPr>
      </w:r>
      <w:r>
        <w:rPr>
          <w:b/>
          <w:lang w:val="en_US" w:bidi="en_US"/>
        </w:rPr>
        <w:t>covers it with a jar:</w:t>
      </w:r>
      <w:r>
        <w:rPr>
          <w:lang w:val="en_US" w:bidi="en_US"/>
        </w:rPr>
        <w:t xml:space="preserve"> The Greek word that the BSB translates as </w:t>
      </w:r>
      <w:r>
        <w:rPr>
          <w:i/>
          <w:lang w:val="en_US" w:bidi="en_US"/>
        </w:rPr>
        <w:t>jar</w:t>
      </w:r>
      <w:r>
        <w:rPr>
          <w:lang w:val="en_US" w:bidi="en_US"/>
        </w:rPr>
        <w:t xml:space="preserve"> refers to any kind of pot, bowl, or container that could hide a light. It does not refer to a clear glass jar. The form that the BSB translates as </w:t>
      </w:r>
      <w:r>
        <w:rPr>
          <w:i/>
          <w:lang w:val="en_US" w:bidi="en_US"/>
        </w:rPr>
        <w:t>with a jar</w:t>
      </w:r>
      <w:r>
        <w:rPr>
          <w:lang w:val="en_US" w:bidi="en_US"/>
        </w:rPr>
        <w:t xml:space="preserve"> implies here that the container covers the lamp and hides its light. Be sure that this meaning is clear in your language. Some ways to translate it are:</w:t>
      </w:r>
    </w:p>
    <w:p>
      <w:pPr/>
      <w:r>
        <w:rPr>
          <w:lang w:val="en_US" w:bidi="en_US"/>
        </w:rPr>
      </w:r>
      <w:r>
        <w:rPr>
          <w:lang w:val="en_US" w:bidi="en_US"/>
        </w:rPr>
        <w:t>covers its light with a basin</w:t>
      </w:r>
    </w:p>
    <w:p>
      <w:pPr/>
      <w:r>
        <w:rPr>
          <w:lang w:val="en_US" w:bidi="en_US"/>
        </w:rPr>
      </w:r>
      <w:r>
        <w:rPr>
          <w:lang w:val="en_US" w:bidi="en_US"/>
        </w:rPr>
        <w:t>hides it under a bowl (GW)</w:t>
      </w:r>
    </w:p>
    <w:p>
      <w:pPr/>
      <w:r>
        <w:rPr>
          <w:lang w:val="en_US" w:bidi="en_US"/>
        </w:rPr>
      </w:r>
      <w:r>
        <w:rPr>
          <w:lang w:val="en_US" w:bidi="en_US"/>
        </w:rPr>
        <w:t>As with “lamp,” you could use a general word for “container,” or you could use a specific word for a kind of container found in a house in your culture. You could also use a more general expression. For example:</w:t>
      </w:r>
    </w:p>
    <w:p>
      <w:pPr/>
      <w:r>
        <w:rPr>
          <w:lang w:val="en_US" w:bidi="en_US"/>
        </w:rPr>
      </w:r>
      <w:r>
        <w:rPr>
          <w:lang w:val="en_US" w:bidi="en_US"/>
        </w:rPr>
        <w:t>cover it up (NLT96)</w:t>
      </w:r>
    </w:p>
    <w:p>
      <w:pPr/>
      <w:r>
        <w:rPr>
          <w:lang w:val="en_US" w:bidi="en_US"/>
        </w:rPr>
      </w:r>
      <w:r>
        <w:rPr>
          <w:b/>
          <w:lang w:val="en_US" w:bidi="en_US"/>
        </w:rPr>
        <w:t>under a bed:</w:t>
      </w:r>
      <w:r>
        <w:rPr>
          <w:lang w:val="en_US" w:bidi="en_US"/>
        </w:rPr>
        <w:t xml:space="preserve"> The Greek word that the BSB translates as </w:t>
      </w:r>
      <w:r>
        <w:rPr>
          <w:i/>
          <w:lang w:val="en_US" w:bidi="en_US"/>
        </w:rPr>
        <w:t>bed</w:t>
      </w:r>
      <w:r>
        <w:rPr>
          <w:lang w:val="en_US" w:bidi="en_US"/>
        </w:rPr>
        <w:t xml:space="preserve"> refers to a piece of furniture on which people lie or recline in order to sleep or eat. Here the context implies that the bed or couch is raised off the floor in some way, so that a lamp could be hidden under it.</w:t>
      </w:r>
    </w:p>
    <w:p>
      <w:pPr/>
      <w:r>
        <w:rPr>
          <w:lang w:val="en_US" w:bidi="en_US"/>
        </w:rPr>
      </w:r>
      <w:r>
        <w:rPr>
          <w:lang w:val="en_US" w:bidi="en_US"/>
        </w:rPr>
        <w:t xml:space="preserve">In some cultures it is impossible to put something </w:t>
      </w:r>
      <w:r>
        <w:rPr>
          <w:i/>
          <w:lang w:val="en_US" w:bidi="en_US"/>
        </w:rPr>
        <w:t>under a bed</w:t>
      </w:r>
      <w:r>
        <w:rPr>
          <w:lang w:val="en_US" w:bidi="en_US"/>
        </w:rPr>
        <w:t xml:space="preserve"> because the bed is flat on the floor. If this is true in your culture, here are other ways to translate it:</w:t>
      </w:r>
    </w:p>
    <w:p>
      <w:pPr>
        <w:pStyle w:val="ListBullet"/>
        <w:spacing w:line="240" w:lineRule="auto"/>
        <w:ind w:left="720"/>
      </w:pPr>
      <w:r>
        <w:rPr>
          <w:lang w:val="en_US" w:bidi="en_US"/>
        </w:rPr>
      </w:r>
      <w:r>
        <w:rPr>
          <w:lang w:val="en_US" w:bidi="en_US"/>
        </w:rPr>
        <w:t>Use a different object that could hide a small lamp. For example:</w:t>
      </w:r>
      <w:r>
        <w:rPr>
          <w:lang w:val="en_US" w:bidi="en_US"/>
        </w:rPr>
        <w:t>put it under a bench/couch</w:t>
      </w:r>
    </w:p>
    <w:p>
      <w:pPr>
        <w:pStyle w:val="ListBullet"/>
        <w:spacing w:line="240" w:lineRule="auto"/>
        <w:ind w:left="720"/>
      </w:pPr>
      <w:r>
        <w:rPr>
          <w:lang w:val="en_US" w:bidi="en_US"/>
        </w:rPr>
      </w:r>
      <w:r>
        <w:rPr>
          <w:lang w:val="en_US" w:bidi="en_US"/>
        </w:rPr>
        <w:t>Use a general expression:</w:t>
      </w:r>
      <w:r>
        <w:rPr>
          <w:lang w:val="en_US" w:bidi="en_US"/>
        </w:rPr>
        <w:t>put it under something</w:t>
      </w:r>
    </w:p>
    <w:p>
      <w:pPr>
        <w:pStyle w:val="ListBullet"/>
        <w:spacing w:line="240" w:lineRule="auto"/>
        <w:ind w:left="720"/>
      </w:pPr>
      <w:r>
        <w:rPr>
          <w:lang w:val="en_US" w:bidi="en_US"/>
        </w:rPr>
      </w:r>
      <w:r>
        <w:rPr>
          <w:lang w:val="en_US" w:bidi="en_US"/>
        </w:rPr>
        <w:t>Substitute a similar hiding place in your culture. For example:</w:t>
      </w:r>
      <w:r>
        <w:rPr>
          <w:lang w:val="en_US" w:bidi="en_US"/>
        </w:rPr>
        <w:t>put it in a closet</w:t>
      </w:r>
      <w:r>
        <w:rPr>
          <w:lang w:val="en_US" w:bidi="en_US"/>
        </w:rPr>
        <w:t>hide it behind a barrel</w:t>
      </w:r>
    </w:p>
    <w:p>
      <w:pPr>
        <w:pStyle w:val="Heading5"/>
      </w:pPr>
      <w:r>
        <w:rPr>
          <w:lang w:val="en_US" w:bidi="en_US"/>
        </w:rPr>
        <w:t>8:16b</w:t>
      </w:r>
    </w:p>
    <w:p>
      <w:pPr/>
      <w:r>
        <w:rPr>
          <w:lang w:val="en_US" w:bidi="en_US"/>
        </w:rPr>
      </w:r>
      <w:r>
        <w:rPr>
          <w:b/>
          <w:lang w:val="en_US" w:bidi="en_US"/>
        </w:rPr>
        <w:t>Instead, he sets it on a stand, so those who enter can see the light.</w:t>
      </w:r>
    </w:p>
    <w:p>
      <w:pPr>
        <w:pStyle w:val="ListBullet"/>
        <w:spacing w:line="240" w:lineRule="auto"/>
        <w:ind w:left="720"/>
      </w:pPr>
      <w:r>
        <w:rPr>
          <w:lang w:val="en_US" w:bidi="en_US"/>
        </w:rPr>
      </w:r>
      <w:r>
        <w:rPr>
          <w:lang w:val="en_US" w:bidi="en_US"/>
        </w:rPr>
        <w:t xml:space="preserve">Instead/Rather, he puts it on a lampstand, so that the people who enter </w:t>
      </w:r>
      <w:r>
        <w:rPr>
          <w:lang w:val="en_US" w:bidi="en_US"/>
        </w:rPr>
        <w:t>his home</w:t>
      </w:r>
      <w:r>
        <w:rPr>
          <w:lang w:val="en_US" w:bidi="en_US"/>
        </w:rPr>
        <w:t xml:space="preserve"> can see </w:t>
      </w:r>
      <w:r>
        <w:rPr>
          <w:lang w:val="en_US" w:bidi="en_US"/>
        </w:rPr>
        <w:t>its</w:t>
      </w:r>
      <w:r>
        <w:rPr>
          <w:lang w:val="en_US" w:bidi="en_US"/>
        </w:rPr>
        <w:t xml:space="preserve"> light.</w:t>
      </w:r>
    </w:p>
    <w:p>
      <w:pPr>
        <w:pStyle w:val="ListBullet"/>
        <w:spacing w:line="240" w:lineRule="auto"/>
        <w:ind w:left="720"/>
      </w:pPr>
      <w:r>
        <w:rPr>
          <w:lang w:val="en_US" w:bidi="en_US"/>
        </w:rPr>
      </w:r>
      <w:r>
        <w:rPr>
          <w:lang w:val="en_US" w:bidi="en_US"/>
        </w:rPr>
        <w:t xml:space="preserve">No. He places it </w:t>
      </w:r>
      <w:r>
        <w:rPr>
          <w:lang w:val="en_US" w:bidi="en_US"/>
        </w:rPr>
        <w:t>high</w:t>
      </w:r>
      <w:r>
        <w:rPr>
          <w:lang w:val="en_US" w:bidi="en_US"/>
        </w:rPr>
        <w:t xml:space="preserve"> on a stand/holder so that people can have </w:t>
      </w:r>
      <w:r>
        <w:rPr>
          <w:lang w:val="en_US" w:bidi="en_US"/>
        </w:rPr>
        <w:t>its</w:t>
      </w:r>
      <w:r>
        <w:rPr>
          <w:lang w:val="en_US" w:bidi="en_US"/>
        </w:rPr>
        <w:t xml:space="preserve"> light to see </w:t>
      </w:r>
      <w:r>
        <w:rPr>
          <w:lang w:val="en_US" w:bidi="en_US"/>
        </w:rPr>
        <w:t>things</w:t>
      </w:r>
      <w:r>
        <w:rPr>
          <w:lang w:val="en_US" w:bidi="en_US"/>
        </w:rPr>
        <w:t xml:space="preserve"> when they come into the </w:t>
      </w:r>
      <w:r>
        <w:rPr>
          <w:lang w:val="en_US" w:bidi="en_US"/>
        </w:rPr>
        <w:t>room/house</w:t>
      </w:r>
      <w:r>
        <w:rPr>
          <w:lang w:val="en_US" w:bidi="en_US"/>
        </w:rPr>
        <w:t>.</w:t>
      </w:r>
    </w:p>
    <w:p>
      <w:pPr/>
      <w:r>
        <w:rPr>
          <w:lang w:val="en_US" w:bidi="en_US"/>
        </w:rPr>
      </w:r>
      <w:r>
        <w:rPr>
          <w:b/>
          <w:lang w:val="en_US" w:bidi="en_US"/>
        </w:rPr>
        <w:t>Instead:</w:t>
      </w:r>
      <w:r>
        <w:rPr>
          <w:lang w:val="en_US" w:bidi="en_US"/>
        </w:rPr>
        <w:t xml:space="preserve"> The Greek word that the BSB translates as </w:t>
      </w:r>
      <w:r>
        <w:rPr>
          <w:i/>
          <w:lang w:val="en_US" w:bidi="en_US"/>
        </w:rPr>
        <w:t>Instead</w:t>
      </w:r>
      <w:r>
        <w:rPr>
          <w:lang w:val="en_US" w:bidi="en_US"/>
        </w:rPr>
        <w:t xml:space="preserve"> introduces a statement that contrasts with 8:16a. It introduces what someone who lights a lamp normally does with it. Express the contrast in a natural way in your language.</w:t>
      </w:r>
    </w:p>
    <w:p>
      <w:pPr/>
      <w:r>
        <w:rPr>
          <w:lang w:val="en_US" w:bidi="en_US"/>
        </w:rPr>
      </w:r>
      <w:r>
        <w:rPr>
          <w:b/>
          <w:lang w:val="en_US" w:bidi="en_US"/>
        </w:rPr>
        <w:t>he sets it on a stand:</w:t>
      </w:r>
      <w:r>
        <w:rPr>
          <w:lang w:val="en_US" w:bidi="en_US"/>
        </w:rPr>
        <w:t xml:space="preserve"> Be sure that this part of the verse fits with 8:16a, where the BSB translated the subject as “No one.” Some other ways to do this in English are:</w:t>
      </w:r>
    </w:p>
    <w:p>
      <w:pPr/>
      <w:r>
        <w:rPr>
          <w:lang w:val="en_US" w:bidi="en_US"/>
        </w:rPr>
      </w:r>
      <w:r>
        <w:rPr>
          <w:lang w:val="en_US" w:bidi="en_US"/>
        </w:rPr>
        <w:t>No one.…Instead, the person (NCV)</w:t>
      </w:r>
    </w:p>
    <w:p>
      <w:pPr/>
      <w:r>
        <w:rPr>
          <w:lang w:val="en_US" w:bidi="en_US"/>
        </w:rPr>
      </w:r>
      <w:r>
        <w:rPr>
          <w:lang w:val="en_US" w:bidi="en_US"/>
        </w:rPr>
        <w:t>Nobody…. You (REB)</w:t>
      </w:r>
    </w:p>
    <w:p>
      <w:pPr/>
      <w:r>
        <w:rPr>
          <w:lang w:val="en_US" w:bidi="en_US"/>
        </w:rPr>
      </w:r>
      <w:r>
        <w:rPr>
          <w:lang w:val="en_US" w:bidi="en_US"/>
        </w:rPr>
        <w:t>People…. They</w:t>
      </w:r>
    </w:p>
    <w:p>
      <w:pPr/>
      <w:r>
        <w:rPr>
          <w:lang w:val="en_US" w:bidi="en_US"/>
        </w:rPr>
      </w:r>
      <w:r>
        <w:rPr>
          <w:lang w:val="en_US" w:bidi="en_US"/>
        </w:rPr>
        <w:t>In some languages it may be natural to use a passive form. For example:</w:t>
      </w:r>
    </w:p>
    <w:p>
      <w:pPr/>
      <w:r>
        <w:rPr>
          <w:lang w:val="en_US" w:bidi="en_US"/>
        </w:rPr>
      </w:r>
      <w:r>
        <w:rPr>
          <w:u w:val="single"/>
          <w:lang w:val="en_US" w:bidi="en_US"/>
        </w:rPr>
        <w:t>it</w:t>
      </w:r>
      <w:r>
        <w:rPr>
          <w:lang w:val="en_US" w:bidi="en_US"/>
        </w:rPr>
        <w:t xml:space="preserve"> is put on the lampstand (GNT)</w:t>
      </w:r>
    </w:p>
    <w:p>
      <w:pPr/>
      <w:r>
        <w:rPr>
          <w:lang w:val="en_US" w:bidi="en_US"/>
        </w:rPr>
      </w:r>
      <w:r>
        <w:rPr>
          <w:lang w:val="en_US" w:bidi="en_US"/>
        </w:rPr>
        <w:t>A lamp is placed on a stand (NLT)</w:t>
      </w:r>
    </w:p>
    <w:p>
      <w:pPr/>
      <w:r>
        <w:rPr>
          <w:lang w:val="en_US" w:bidi="en_US"/>
        </w:rPr>
      </w:r>
      <w:r>
        <w:rPr>
          <w:b/>
          <w:lang w:val="en_US" w:bidi="en_US"/>
        </w:rPr>
        <w:t>a stand:</w:t>
      </w:r>
      <w:r>
        <w:rPr>
          <w:lang w:val="en_US" w:bidi="en_US"/>
        </w:rPr>
        <w:t xml:space="preserve"> The Greek word that the BSB translates as </w:t>
      </w:r>
      <w:r>
        <w:rPr>
          <w:i/>
          <w:lang w:val="en_US" w:bidi="en_US"/>
        </w:rPr>
        <w:t>a stand</w:t>
      </w:r>
      <w:r>
        <w:rPr>
          <w:lang w:val="en_US" w:bidi="en_US"/>
        </w:rPr>
        <w:t xml:space="preserve"> refers to a piece of furniture that is used to lift up and support a lamp. It is often made of metal or wood. If you do not use lampstands in your culture, other ways to translate this are:</w:t>
      </w:r>
    </w:p>
    <w:p>
      <w:pPr>
        <w:pStyle w:val="ListBullet"/>
        <w:spacing w:line="240" w:lineRule="auto"/>
        <w:ind w:left="720"/>
      </w:pPr>
      <w:r>
        <w:rPr>
          <w:lang w:val="en_US" w:bidi="en_US"/>
        </w:rPr>
      </w:r>
      <w:r>
        <w:rPr>
          <w:lang w:val="en_US" w:bidi="en_US"/>
        </w:rPr>
        <w:t>Use a different object that can hold a lamp in a place where people can benefit from its light. For example:</w:t>
      </w:r>
      <w:r>
        <w:rPr>
          <w:lang w:val="en_US" w:bidi="en_US"/>
        </w:rPr>
        <w:t>on the table</w:t>
      </w:r>
      <w:r>
        <w:rPr>
          <w:lang w:val="en_US" w:bidi="en_US"/>
        </w:rPr>
        <w:t>on a shelf</w:t>
      </w:r>
    </w:p>
    <w:p>
      <w:pPr>
        <w:pStyle w:val="ListBullet"/>
        <w:spacing w:line="240" w:lineRule="auto"/>
        <w:ind w:left="720"/>
      </w:pPr>
      <w:r>
        <w:rPr>
          <w:lang w:val="en_US" w:bidi="en_US"/>
        </w:rPr>
      </w:r>
      <w:r>
        <w:rPr>
          <w:lang w:val="en_US" w:bidi="en_US"/>
        </w:rPr>
        <w:t>Use a general expression for a place where people will benefit from the light of the lamp. For example:</w:t>
      </w:r>
      <w:r>
        <w:rPr>
          <w:lang w:val="en_US" w:bidi="en_US"/>
        </w:rPr>
        <w:t>where it can be well seen</w:t>
      </w:r>
      <w:r>
        <w:rPr>
          <w:lang w:val="en_US" w:bidi="en_US"/>
        </w:rPr>
        <w:t>in the open (NLT96)</w:t>
      </w:r>
      <w:r>
        <w:rPr>
          <w:lang w:val="en_US" w:bidi="en_US"/>
        </w:rPr>
        <w:t>up high</w:t>
      </w:r>
    </w:p>
    <w:p>
      <w:pPr/>
      <w:r>
        <w:rPr>
          <w:lang w:val="en_US" w:bidi="en_US"/>
        </w:rPr>
      </w:r>
      <w:r>
        <w:rPr>
          <w:b/>
          <w:lang w:val="en_US" w:bidi="en_US"/>
        </w:rPr>
        <w:t>so those who enter can see the light:</w:t>
      </w:r>
      <w:r>
        <w:rPr>
          <w:lang w:val="en_US" w:bidi="en_US"/>
        </w:rPr>
        <w:t xml:space="preserve"> This clause expresses the purpose of putting the lamp on a stand.</w:t>
      </w:r>
    </w:p>
    <w:p>
      <w:pPr/>
      <w:r>
        <w:rPr>
          <w:lang w:val="en_US" w:bidi="en_US"/>
        </w:rPr>
      </w:r>
      <w:r>
        <w:rPr>
          <w:b/>
          <w:lang w:val="en_US" w:bidi="en_US"/>
        </w:rPr>
        <w:t>those who enter:</w:t>
      </w:r>
      <w:r>
        <w:rPr>
          <w:lang w:val="en_US" w:bidi="en_US"/>
        </w:rPr>
        <w:t xml:space="preserve"> The phrase </w:t>
      </w:r>
      <w:r>
        <w:rPr>
          <w:i/>
          <w:lang w:val="en_US" w:bidi="en_US"/>
        </w:rPr>
        <w:t>those who enter</w:t>
      </w:r>
      <w:r>
        <w:rPr>
          <w:lang w:val="en_US" w:bidi="en_US"/>
        </w:rPr>
        <w:t xml:space="preserve"> refers to people who enter the place where the lamp is. In some languages it may be necessary to mention a place that people enter. If that is true in your language, you should use a general place. For example:</w:t>
      </w:r>
    </w:p>
    <w:p>
      <w:pPr/>
      <w:r>
        <w:rPr>
          <w:lang w:val="en_US" w:bidi="en_US"/>
        </w:rPr>
      </w:r>
      <w:r>
        <w:rPr>
          <w:lang w:val="en_US" w:bidi="en_US"/>
        </w:rPr>
        <w:t xml:space="preserve">those who come into </w:t>
      </w:r>
      <w:r>
        <w:rPr>
          <w:lang w:val="en_US" w:bidi="en_US"/>
        </w:rPr>
        <w:t>the room</w:t>
      </w:r>
    </w:p>
    <w:p>
      <w:pPr/>
      <w:r>
        <w:rPr>
          <w:lang w:val="en_US" w:bidi="en_US"/>
        </w:rPr>
      </w:r>
      <w:r>
        <w:rPr>
          <w:lang w:val="en_US" w:bidi="en_US"/>
        </w:rPr>
        <w:t>all who enter the house (NLT)</w:t>
      </w:r>
    </w:p>
    <w:p>
      <w:pPr/>
      <w:r>
        <w:rPr>
          <w:lang w:val="en_US" w:bidi="en_US"/>
        </w:rPr>
      </w:r>
      <w:r>
        <w:rPr>
          <w:b/>
          <w:lang w:val="en_US" w:bidi="en_US"/>
        </w:rPr>
        <w:t>can see the light:</w:t>
      </w:r>
      <w:r>
        <w:rPr>
          <w:lang w:val="en_US" w:bidi="en_US"/>
        </w:rPr>
        <w:t xml:space="preserve"> In some languages it may be more natural to say that people can see </w:t>
      </w:r>
      <w:r>
        <w:rPr>
          <w:u w:val="single"/>
          <w:lang w:val="en_US" w:bidi="en_US"/>
        </w:rPr>
        <w:t>things</w:t>
      </w:r>
      <w:r>
        <w:rPr>
          <w:lang w:val="en_US" w:bidi="en_US"/>
        </w:rPr>
        <w:t xml:space="preserve"> in or because of the light rather than to say they see </w:t>
      </w:r>
      <w:r>
        <w:rPr>
          <w:u w:val="single"/>
          <w:lang w:val="en_US" w:bidi="en_US"/>
        </w:rPr>
        <w:t>the light</w:t>
      </w:r>
      <w:r>
        <w:rPr>
          <w:lang w:val="en_US" w:bidi="en_US"/>
        </w:rPr>
        <w:t>. For example:</w:t>
      </w:r>
    </w:p>
    <w:p>
      <w:pPr/>
      <w:r>
        <w:rPr>
          <w:lang w:val="en_US" w:bidi="en_US"/>
        </w:rPr>
      </w:r>
      <w:r>
        <w:rPr>
          <w:lang w:val="en_US" w:bidi="en_US"/>
        </w:rPr>
        <w:t xml:space="preserve">so that those who enter can see </w:t>
      </w:r>
      <w:r>
        <w:rPr>
          <w:lang w:val="en_US" w:bidi="en_US"/>
        </w:rPr>
        <w:t>things in/from</w:t>
      </w:r>
      <w:r>
        <w:rPr>
          <w:lang w:val="en_US" w:bidi="en_US"/>
        </w:rPr>
        <w:t xml:space="preserve"> its light</w:t>
      </w:r>
      <w:r>
        <w:rPr>
          <w:lang w:val="en_US" w:bidi="en_US"/>
        </w:rPr>
      </w:r>
      <w:r>
        <w:rPr>
          <w:lang w:val="en_US" w:bidi="en_US"/>
        </w:rPr>
      </w:r>
    </w:p>
    <w:p>
      <w:pPr/>
      <w:r>
        <w:rPr>
          <w:lang w:val="en_US" w:bidi="en_US"/>
        </w:rPr>
      </w:r>
    </w:p>
    <w:p>
      <w:pPr>
        <w:pStyle w:val="Heading2"/>
      </w:pPr>
      <w:r>
        <w:rPr>
          <w:lang w:val="en_US" w:bidi="en_US"/>
        </w:rPr>
        <w:t>Luke 8:17</w:t>
      </w:r>
      <w:r>
        <w:rPr>
          <w:lang w:val="en_US" w:bidi="en_US"/>
        </w:rPr>
      </w:r>
    </w:p>
    <w:p>
      <w:pPr>
        <w:pStyle w:val="Heading4"/>
      </w:pPr>
      <w:r>
        <w:rPr>
          <w:lang w:val="en_US" w:bidi="en_US"/>
        </w:rPr>
        <w:t>Section 8:16–18: People should listen carefully to Jesus</w:t>
      </w:r>
    </w:p>
    <w:p>
      <w:pPr/>
      <w:r>
        <w:rPr>
          <w:lang w:val="en_US" w:bidi="en_US"/>
        </w:rPr>
      </w:r>
      <w:r>
        <w:rPr>
          <w:lang w:val="en_US" w:bidi="en_US"/>
        </w:rPr>
        <w:t>This section has a similar theme to the parable of 8:4–15. In it Jesus used sayings that were like short proverbs or parables.</w:t>
      </w:r>
      <w:r>
        <w:rPr>
          <w:lang w:val="en_US" w:bidi="en_US"/>
        </w:rPr>
        <w:t xml:space="preserve">The sayings in these verses fall under the Greek category of </w:t>
      </w:r>
      <w:r>
        <w:rPr>
          <w:i/>
          <w:lang w:val="en_US" w:bidi="en_US"/>
        </w:rPr>
        <w:t>παραβολη</w:t>
      </w:r>
      <w:r>
        <w:rPr>
          <w:lang w:val="en_US" w:bidi="en_US"/>
        </w:rPr>
        <w:t>.</w:t>
      </w:r>
      <w:r>
        <w:rPr>
          <w:lang w:val="en_US" w:bidi="en_US"/>
        </w:rPr>
        <w:t xml:space="preserve"> Both this section and the parable of 8:4–15 teach that the disciples needed to listen carefully to Jesus’ teaching. These sayings also relate to 8:9–10, where Jesus explained that his parables would keep the message “hidden” for some, but his disciples should understand it.</w:t>
      </w:r>
    </w:p>
    <w:p>
      <w:pPr/>
      <w:r>
        <w:rPr>
          <w:lang w:val="en_US" w:bidi="en_US"/>
        </w:rPr>
      </w:r>
      <w:r>
        <w:rPr>
          <w:lang w:val="en_US" w:bidi="en_US"/>
        </w:rPr>
        <w:t>It is good to read this section carefully before you decide on a heading for it. Some other possible headings for this section are:</w:t>
      </w:r>
    </w:p>
    <w:p>
      <w:pPr/>
      <w:r>
        <w:rPr>
          <w:lang w:val="en_US" w:bidi="en_US"/>
        </w:rPr>
      </w:r>
      <w:r>
        <w:rPr>
          <w:lang w:val="en_US" w:bidi="en_US"/>
        </w:rPr>
        <w:t>Parable of the Lamp (NLT)</w:t>
      </w:r>
    </w:p>
    <w:p>
      <w:pPr/>
      <w:r>
        <w:rPr>
          <w:lang w:val="en_US" w:bidi="en_US"/>
        </w:rPr>
      </w:r>
      <w:r>
        <w:rPr>
          <w:lang w:val="en_US" w:bidi="en_US"/>
        </w:rPr>
        <w:t>Showing the Light (NET)</w:t>
      </w:r>
    </w:p>
    <w:p>
      <w:pPr/>
      <w:r>
        <w:rPr>
          <w:lang w:val="en_US" w:bidi="en_US"/>
        </w:rPr>
      </w:r>
      <w:r>
        <w:rPr>
          <w:lang w:val="en_US" w:bidi="en_US"/>
        </w:rPr>
        <w:t>Jesus’ words are like a lamp</w:t>
      </w:r>
    </w:p>
    <w:p>
      <w:pPr/>
      <w:r>
        <w:rPr>
          <w:lang w:val="en_US" w:bidi="en_US"/>
        </w:rPr>
      </w:r>
      <w:r>
        <w:rPr>
          <w:lang w:val="en_US" w:bidi="en_US"/>
        </w:rPr>
        <w:t>This is a short section, so some translators may choose to make these verses part of the preceding section, as the GW does.</w:t>
      </w:r>
    </w:p>
    <w:p>
      <w:pPr>
        <w:pStyle w:val="Heading5"/>
      </w:pPr>
      <w:r>
        <w:rPr>
          <w:lang w:val="en_US" w:bidi="en_US"/>
        </w:rPr>
        <w:t>8:17</w:t>
      </w:r>
    </w:p>
    <w:p>
      <w:pPr/>
      <w:r>
        <w:rPr>
          <w:lang w:val="en_US" w:bidi="en_US"/>
        </w:rPr>
      </w:r>
      <w:r>
        <w:rPr>
          <w:lang w:val="en_US" w:bidi="en_US"/>
        </w:rPr>
        <w:t>Like 8:16, this verse is a proverb or saying that Jesus used to illustrate his teaching. Similar words are found in Luke 12:2 and Matthew 10:26. However, the context is different in those verses, and the saying probably illustrates a different meaning.</w:t>
      </w:r>
    </w:p>
    <w:p>
      <w:pPr/>
      <w:r>
        <w:rPr>
          <w:lang w:val="en_US" w:bidi="en_US"/>
        </w:rPr>
      </w:r>
      <w:r>
        <w:rPr>
          <w:lang w:val="en_US" w:bidi="en_US"/>
        </w:rPr>
        <w:t>8:17a and 8:17b express the same meaning in slightly different ways. There are basically two ways to translate this:</w:t>
      </w:r>
    </w:p>
    <w:p>
      <w:pPr>
        <w:pStyle w:val="ListBullet"/>
        <w:spacing w:line="240" w:lineRule="auto"/>
        <w:ind w:left="720"/>
      </w:pPr>
      <w:r>
        <w:rPr>
          <w:lang w:val="en_US" w:bidi="en_US"/>
        </w:rPr>
      </w:r>
      <w:r>
        <w:rPr>
          <w:lang w:val="en_US" w:bidi="en_US"/>
        </w:rPr>
        <w:t>Use slightly different statements that have similar meanings. You may want to make one of them more figurative than the other. For example:</w:t>
      </w:r>
      <w:r>
        <w:rPr>
          <w:lang w:val="en_US" w:bidi="en_US"/>
        </w:rPr>
        <w:t>There is nothing hidden that will not be revealed.</w:t>
      </w:r>
      <w:r>
        <w:rPr>
          <w:lang w:val="en_US" w:bidi="en_US"/>
        </w:rPr>
        <w:t>There is nothing kept secret that will not come to light. (GW)</w:t>
      </w:r>
    </w:p>
    <w:p>
      <w:pPr>
        <w:pStyle w:val="ListBullet"/>
        <w:spacing w:line="240" w:lineRule="auto"/>
        <w:ind w:left="720"/>
      </w:pPr>
      <w:r>
        <w:rPr>
          <w:lang w:val="en_US" w:bidi="en_US"/>
        </w:rPr>
      </w:r>
      <w:r>
        <w:rPr>
          <w:lang w:val="en_US" w:bidi="en_US"/>
        </w:rPr>
        <w:t>Use one statement that expresses this meaning. For example:</w:t>
      </w:r>
      <w:r>
        <w:rPr>
          <w:lang w:val="en_US" w:bidi="en_US"/>
        </w:rPr>
        <w:t>For all the secret things that are hidden now will be openly revealed.</w:t>
      </w:r>
    </w:p>
    <w:p>
      <w:pPr>
        <w:pStyle w:val="Heading5"/>
      </w:pPr>
      <w:r>
        <w:rPr>
          <w:lang w:val="en_US" w:bidi="en_US"/>
        </w:rPr>
        <w:t>8:17a</w:t>
      </w:r>
    </w:p>
    <w:p>
      <w:pPr/>
      <w:r>
        <w:rPr>
          <w:lang w:val="en_US" w:bidi="en_US"/>
        </w:rPr>
      </w:r>
      <w:r>
        <w:rPr>
          <w:b/>
          <w:lang w:val="en_US" w:bidi="en_US"/>
        </w:rPr>
        <w:t>For there is nothing hidden that will not be disclosed,</w:t>
      </w:r>
    </w:p>
    <w:p>
      <w:pPr>
        <w:pStyle w:val="ListBullet"/>
        <w:spacing w:line="240" w:lineRule="auto"/>
        <w:ind w:left="720"/>
      </w:pPr>
      <w:r>
        <w:rPr>
          <w:lang w:val="en_US" w:bidi="en_US"/>
        </w:rPr>
      </w:r>
      <w:r>
        <w:rPr>
          <w:lang w:val="en_US" w:bidi="en_US"/>
        </w:rPr>
        <w:t xml:space="preserve">For whatever is covered/hidden </w:t>
      </w:r>
      <w:r>
        <w:rPr>
          <w:lang w:val="en_US" w:bidi="en_US"/>
        </w:rPr>
        <w:t>now</w:t>
      </w:r>
      <w:r>
        <w:rPr>
          <w:lang w:val="en_US" w:bidi="en_US"/>
        </w:rPr>
        <w:t xml:space="preserve"> will be made visible/obvious </w:t>
      </w:r>
      <w:r>
        <w:rPr>
          <w:lang w:val="en_US" w:bidi="en_US"/>
        </w:rPr>
        <w:t>someday</w:t>
      </w:r>
      <w:r>
        <w:rPr>
          <w:lang w:val="en_US" w:bidi="en_US"/>
        </w:rPr>
        <w:t>,</w:t>
      </w:r>
    </w:p>
    <w:p>
      <w:pPr>
        <w:pStyle w:val="ListBullet"/>
        <w:spacing w:line="240" w:lineRule="auto"/>
        <w:ind w:left="720"/>
      </w:pPr>
      <w:r>
        <w:rPr>
          <w:lang w:val="en_US" w:bidi="en_US"/>
        </w:rPr>
      </w:r>
      <w:r>
        <w:rPr>
          <w:lang w:val="en_US" w:bidi="en_US"/>
        </w:rPr>
        <w:t>One day</w:t>
      </w:r>
      <w:r>
        <w:rPr>
          <w:lang w:val="en_US" w:bidi="en_US"/>
        </w:rPr>
        <w:t xml:space="preserve"> all hidden things will become evident/plain</w:t>
      </w:r>
    </w:p>
    <w:p>
      <w:pPr>
        <w:pStyle w:val="ListBullet"/>
        <w:spacing w:line="240" w:lineRule="auto"/>
        <w:ind w:left="720"/>
      </w:pPr>
      <w:r>
        <w:rPr>
          <w:lang w:val="en_US" w:bidi="en_US"/>
        </w:rPr>
      </w:r>
      <w:r>
        <w:rPr>
          <w:lang w:val="en_US" w:bidi="en_US"/>
        </w:rPr>
        <w:t xml:space="preserve">For </w:t>
      </w:r>
      <w:r>
        <w:rPr>
          <w:lang w:val="en_US" w:bidi="en_US"/>
        </w:rPr>
        <w:t>God</w:t>
      </w:r>
      <w:r>
        <w:rPr>
          <w:lang w:val="en_US" w:bidi="en_US"/>
        </w:rPr>
        <w:t xml:space="preserve"> will reveal/show all secret things.</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indicates that this verse explains 8:16 in some way. This verse probably implies that God does not want his truth to remain secret or hidden like a lamp under a basin or bed. The verse also applies to Jesus’ teaching about the kingdom of God. Someday God will reveal its meaning to people (see 8:10). Connect 8:16 and 8:17 in a way that is natural in your language.</w:t>
      </w:r>
    </w:p>
    <w:p>
      <w:pPr/>
      <w:r>
        <w:rPr>
          <w:lang w:val="en_US" w:bidi="en_US"/>
        </w:rPr>
      </w:r>
      <w:r>
        <w:rPr>
          <w:b/>
          <w:lang w:val="en_US" w:bidi="en_US"/>
        </w:rPr>
        <w:t>there is nothing hidden that will not be disclosed:</w:t>
      </w:r>
      <w:r>
        <w:rPr>
          <w:lang w:val="en_US" w:bidi="en_US"/>
        </w:rPr>
        <w:t xml:space="preserve"> The Greek word that the BSB translates as </w:t>
      </w:r>
      <w:r>
        <w:rPr>
          <w:i/>
          <w:lang w:val="en_US" w:bidi="en_US"/>
        </w:rPr>
        <w:t>hidden</w:t>
      </w:r>
      <w:r>
        <w:rPr>
          <w:lang w:val="en_US" w:bidi="en_US"/>
        </w:rPr>
        <w:t xml:space="preserve"> refers to something that is not known because it has been kept secret. This statement in this part of the verse means that everything that is secret now will someday be revealed to people. Other ways to say this are:</w:t>
      </w:r>
    </w:p>
    <w:p>
      <w:pPr/>
      <w:r>
        <w:rPr>
          <w:lang w:val="en_US" w:bidi="en_US"/>
        </w:rPr>
      </w:r>
      <w:r>
        <w:rPr>
          <w:lang w:val="en_US" w:bidi="en_US"/>
        </w:rPr>
        <w:t>For nothing is hidden that will not become evident (NASB)</w:t>
      </w:r>
    </w:p>
    <w:p>
      <w:pPr/>
      <w:r>
        <w:rPr>
          <w:lang w:val="en_US" w:bidi="en_US"/>
        </w:rPr>
      </w:r>
      <w:r>
        <w:rPr>
          <w:lang w:val="en_US" w:bidi="en_US"/>
        </w:rPr>
        <w:t>For all that is secret will be disclosed</w:t>
      </w:r>
    </w:p>
    <w:p>
      <w:pPr/>
      <w:r>
        <w:rPr>
          <w:lang w:val="en_US" w:bidi="en_US"/>
        </w:rPr>
      </w:r>
      <w:r>
        <w:rPr>
          <w:lang w:val="en_US" w:bidi="en_US"/>
        </w:rPr>
        <w:t>This is a passive statement. In some languages it may be necessary to express it without using a passive verb. For example:</w:t>
      </w:r>
    </w:p>
    <w:p>
      <w:pPr/>
      <w:r>
        <w:rPr>
          <w:lang w:val="en_US" w:bidi="en_US"/>
        </w:rPr>
      </w:r>
      <w:r>
        <w:rPr>
          <w:lang w:val="en_US" w:bidi="en_US"/>
        </w:rPr>
        <w:t>Every secret thing will become clear</w:t>
      </w:r>
    </w:p>
    <w:p>
      <w:pPr/>
      <w:r>
        <w:rPr>
          <w:lang w:val="en_US" w:bidi="en_US"/>
        </w:rPr>
      </w:r>
      <w:r>
        <w:rPr>
          <w:lang w:val="en_US" w:bidi="en_US"/>
        </w:rPr>
        <w:t>If you must use an active verb and supply a subject, it may be necessary to supply God as the subject. For example:</w:t>
      </w:r>
    </w:p>
    <w:p>
      <w:pPr/>
      <w:r>
        <w:rPr>
          <w:lang w:val="en_US" w:bidi="en_US"/>
        </w:rPr>
      </w:r>
      <w:r>
        <w:rPr>
          <w:lang w:val="en_US" w:bidi="en_US"/>
        </w:rPr>
        <w:t>God</w:t>
      </w:r>
      <w:r>
        <w:rPr>
          <w:lang w:val="en_US" w:bidi="en_US"/>
        </w:rPr>
        <w:t xml:space="preserve"> will someday reveal every hidden/secret thing</w:t>
      </w:r>
    </w:p>
    <w:p>
      <w:pPr/>
      <w:r>
        <w:rPr>
          <w:lang w:val="en_US" w:bidi="en_US"/>
        </w:rPr>
      </w:r>
      <w:r>
        <w:rPr>
          <w:lang w:val="en_US" w:bidi="en_US"/>
        </w:rPr>
        <w:t>The text does not say what hidden things Jesus was referring to. In your translation, try to use a general term.</w:t>
      </w:r>
    </w:p>
    <w:p>
      <w:pPr/>
      <w:r>
        <w:rPr>
          <w:lang w:val="en_US" w:bidi="en_US"/>
        </w:rPr>
      </w:r>
      <w:r>
        <w:rPr>
          <w:b/>
          <w:lang w:val="en_US" w:bidi="en_US"/>
        </w:rPr>
        <w:t>will not be disclosed:</w:t>
      </w:r>
      <w:r>
        <w:rPr>
          <w:lang w:val="en_US" w:bidi="en_US"/>
        </w:rPr>
        <w:t xml:space="preserve"> The Greek verb that the BSB translates as </w:t>
      </w:r>
      <w:r>
        <w:rPr>
          <w:i/>
          <w:lang w:val="en_US" w:bidi="en_US"/>
        </w:rPr>
        <w:t>will not be disclosed</w:t>
      </w:r>
      <w:r>
        <w:rPr>
          <w:lang w:val="en_US" w:bidi="en_US"/>
        </w:rPr>
        <w:t xml:space="preserve"> is literally “will not become evident or visible.” In this context it indicates that the secret truth will become obvious so that people can know and understand it.</w:t>
      </w:r>
    </w:p>
    <w:p>
      <w:pPr>
        <w:pStyle w:val="Heading5"/>
      </w:pPr>
      <w:r>
        <w:rPr>
          <w:lang w:val="en_US" w:bidi="en_US"/>
        </w:rPr>
        <w:t>8:17b</w:t>
      </w:r>
    </w:p>
    <w:p>
      <w:pPr/>
      <w:r>
        <w:rPr>
          <w:lang w:val="en_US" w:bidi="en_US"/>
        </w:rPr>
      </w:r>
      <w:r>
        <w:rPr>
          <w:b/>
          <w:lang w:val="en_US" w:bidi="en_US"/>
        </w:rPr>
        <w:t>and nothing concealed that will not be made known and brought to light.</w:t>
      </w:r>
    </w:p>
    <w:p>
      <w:pPr>
        <w:pStyle w:val="ListBullet"/>
        <w:spacing w:line="240" w:lineRule="auto"/>
        <w:ind w:left="720"/>
      </w:pPr>
      <w:r>
        <w:rPr>
          <w:lang w:val="en_US" w:bidi="en_US"/>
        </w:rPr>
      </w:r>
      <w:r>
        <w:rPr>
          <w:lang w:val="en_US" w:bidi="en_US"/>
        </w:rPr>
        <w:t xml:space="preserve">and whatever is concealed/secret </w:t>
      </w:r>
      <w:r>
        <w:rPr>
          <w:lang w:val="en_US" w:bidi="en_US"/>
        </w:rPr>
        <w:t>now</w:t>
      </w:r>
      <w:r>
        <w:rPr>
          <w:lang w:val="en_US" w:bidi="en_US"/>
        </w:rPr>
        <w:t xml:space="preserve"> will </w:t>
      </w:r>
      <w:r>
        <w:rPr>
          <w:lang w:val="en_US" w:bidi="en_US"/>
        </w:rPr>
        <w:t>one day</w:t>
      </w:r>
      <w:r>
        <w:rPr>
          <w:lang w:val="en_US" w:bidi="en_US"/>
        </w:rPr>
        <w:t xml:space="preserve"> be made known and will be clear/plain.</w:t>
      </w:r>
    </w:p>
    <w:p>
      <w:pPr>
        <w:pStyle w:val="ListBullet"/>
        <w:spacing w:line="240" w:lineRule="auto"/>
        <w:ind w:left="720"/>
      </w:pPr>
      <w:r>
        <w:rPr>
          <w:lang w:val="en_US" w:bidi="en_US"/>
        </w:rPr>
      </w:r>
      <w:r>
        <w:rPr>
          <w:lang w:val="en_US" w:bidi="en_US"/>
        </w:rPr>
        <w:t xml:space="preserve">and </w:t>
      </w:r>
      <w:r>
        <w:rPr>
          <w:lang w:val="en_US" w:bidi="en_US"/>
        </w:rPr>
        <w:t>everyone</w:t>
      </w:r>
      <w:r>
        <w:rPr>
          <w:lang w:val="en_US" w:bidi="en_US"/>
        </w:rPr>
        <w:t xml:space="preserve"> will hear and know what they do not understand </w:t>
      </w:r>
      <w:r>
        <w:rPr>
          <w:lang w:val="en_US" w:bidi="en_US"/>
        </w:rPr>
        <w:t>now</w:t>
      </w:r>
      <w:r>
        <w:rPr>
          <w:lang w:val="en_US" w:bidi="en_US"/>
        </w:rPr>
        <w:t>.</w:t>
      </w:r>
    </w:p>
    <w:p>
      <w:pPr>
        <w:pStyle w:val="ListBullet"/>
        <w:spacing w:line="240" w:lineRule="auto"/>
        <w:ind w:left="720"/>
      </w:pPr>
      <w:r>
        <w:rPr>
          <w:lang w:val="en_US" w:bidi="en_US"/>
        </w:rPr>
      </w:r>
      <w:r>
        <w:rPr>
          <w:lang w:val="en_US" w:bidi="en_US"/>
        </w:rPr>
        <w:t xml:space="preserve">Everything that is mysterious </w:t>
      </w:r>
      <w:r>
        <w:rPr>
          <w:lang w:val="en_US" w:bidi="en_US"/>
        </w:rPr>
        <w:t>now</w:t>
      </w:r>
      <w:r>
        <w:rPr>
          <w:lang w:val="en_US" w:bidi="en_US"/>
        </w:rPr>
        <w:t xml:space="preserve">, </w:t>
      </w:r>
      <w:r>
        <w:rPr>
          <w:lang w:val="en_US" w:bidi="en_US"/>
        </w:rPr>
        <w:t>God</w:t>
      </w:r>
      <w:r>
        <w:rPr>
          <w:lang w:val="en_US" w:bidi="en_US"/>
        </w:rPr>
        <w:t xml:space="preserve"> will </w:t>
      </w:r>
      <w:r>
        <w:rPr>
          <w:lang w:val="en_US" w:bidi="en_US"/>
        </w:rPr>
        <w:t>later</w:t>
      </w:r>
      <w:r>
        <w:rPr>
          <w:lang w:val="en_US" w:bidi="en_US"/>
        </w:rPr>
        <w:t xml:space="preserve"> make its meaning clear.</w:t>
      </w:r>
    </w:p>
    <w:p>
      <w:pPr/>
      <w:r>
        <w:rPr>
          <w:lang w:val="en_US" w:bidi="en_US"/>
        </w:rPr>
      </w:r>
      <w:r>
        <w:rPr>
          <w:b/>
          <w:lang w:val="en_US" w:bidi="en_US"/>
        </w:rPr>
        <w:t>nothing concealed:</w:t>
      </w:r>
      <w:r>
        <w:rPr>
          <w:lang w:val="en_US" w:bidi="en_US"/>
        </w:rPr>
        <w:t xml:space="preserve"> The Greek word that the BSB translates as </w:t>
      </w:r>
      <w:r>
        <w:rPr>
          <w:i/>
          <w:lang w:val="en_US" w:bidi="en_US"/>
        </w:rPr>
        <w:t>concealed</w:t>
      </w:r>
      <w:r>
        <w:rPr>
          <w:lang w:val="en_US" w:bidi="en_US"/>
        </w:rPr>
        <w:t xml:space="preserve"> has almost the same meaning as the word that it translates as “hidden” in 8:17a. If there is a difference, the word here may add the idea that something is </w:t>
      </w:r>
      <w:r>
        <w:rPr>
          <w:u w:val="single"/>
          <w:lang w:val="en_US" w:bidi="en_US"/>
        </w:rPr>
        <w:t>intentionally</w:t>
      </w:r>
      <w:r>
        <w:rPr>
          <w:lang w:val="en_US" w:bidi="en_US"/>
        </w:rPr>
        <w:t xml:space="preserve"> kept secret or hidden. If you must say who has concealed something, try to use a word that can refer to both God and people. For example:</w:t>
      </w:r>
    </w:p>
    <w:p>
      <w:pPr/>
      <w:r>
        <w:rPr>
          <w:lang w:val="en_US" w:bidi="en_US"/>
        </w:rPr>
      </w:r>
      <w:r>
        <w:rPr>
          <w:lang w:val="en_US" w:bidi="en_US"/>
        </w:rPr>
        <w:t xml:space="preserve">nothing </w:t>
      </w:r>
      <w:r>
        <w:rPr>
          <w:lang w:val="en_US" w:bidi="en_US"/>
        </w:rPr>
        <w:t>that anyone has</w:t>
      </w:r>
      <w:r>
        <w:rPr>
          <w:lang w:val="en_US" w:bidi="en_US"/>
        </w:rPr>
        <w:t xml:space="preserve"> concealed</w:t>
      </w:r>
    </w:p>
    <w:p>
      <w:pPr/>
      <w:r>
        <w:rPr>
          <w:lang w:val="en_US" w:bidi="en_US"/>
        </w:rPr>
      </w:r>
      <w:r>
        <w:rPr>
          <w:b/>
          <w:lang w:val="en_US" w:bidi="en_US"/>
        </w:rPr>
        <w:t>that will not be made known and brought to light:</w:t>
      </w:r>
      <w:r>
        <w:rPr>
          <w:lang w:val="en_US" w:bidi="en_US"/>
        </w:rPr>
        <w:t xml:space="preserve"> The two phrases that the BSB connects with </w:t>
      </w:r>
      <w:r>
        <w:rPr>
          <w:i/>
          <w:lang w:val="en_US" w:bidi="en_US"/>
        </w:rPr>
        <w:t>and</w:t>
      </w:r>
      <w:r>
        <w:rPr>
          <w:lang w:val="en_US" w:bidi="en_US"/>
        </w:rPr>
        <w:t xml:space="preserve"> have almost the same meaning. In some languages it may be more natural to use only one phrase, as some English versions do. For example:</w:t>
      </w:r>
    </w:p>
    <w:p>
      <w:pPr/>
      <w:r>
        <w:rPr>
          <w:lang w:val="en_US" w:bidi="en_US"/>
        </w:rPr>
      </w:r>
      <w:r>
        <w:rPr>
          <w:lang w:val="en_US" w:bidi="en_US"/>
        </w:rPr>
        <w:t>that will not be well known (CEV)</w:t>
      </w:r>
    </w:p>
    <w:p>
      <w:pPr/>
      <w:r>
        <w:rPr>
          <w:lang w:val="en_US" w:bidi="en_US"/>
        </w:rPr>
      </w:r>
      <w:r>
        <w:rPr>
          <w:lang w:val="en_US" w:bidi="en_US"/>
        </w:rPr>
        <w:t>that will not come to light (GW)</w:t>
      </w:r>
    </w:p>
    <w:p>
      <w:pPr/>
      <w:r>
        <w:rPr>
          <w:lang w:val="en_US" w:bidi="en_US"/>
        </w:rPr>
      </w:r>
      <w:r>
        <w:rPr>
          <w:lang w:val="en_US" w:bidi="en_US"/>
        </w:rPr>
        <w:t>In some languages it may be necessary to say who will make it known and bring it into the open. If that is true in your language, you should supply “God.” For example:</w:t>
      </w:r>
    </w:p>
    <w:p>
      <w:pPr/>
      <w:r>
        <w:rPr>
          <w:lang w:val="en_US" w:bidi="en_US"/>
        </w:rPr>
      </w:r>
      <w:r>
        <w:rPr>
          <w:lang w:val="en_US" w:bidi="en_US"/>
        </w:rPr>
        <w:t xml:space="preserve">…that </w:t>
      </w:r>
      <w:r>
        <w:rPr>
          <w:lang w:val="en_US" w:bidi="en_US"/>
        </w:rPr>
        <w:t>God</w:t>
      </w:r>
      <w:r>
        <w:rPr>
          <w:lang w:val="en_US" w:bidi="en_US"/>
        </w:rPr>
        <w:t xml:space="preserve"> will not make known or/and bring into the open.</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here introduces another way to express the same meaning. In some languages a word such as “or” may be more natural. For example:</w:t>
      </w:r>
    </w:p>
    <w:p>
      <w:pPr/>
      <w:r>
        <w:rPr>
          <w:lang w:val="en_US" w:bidi="en_US"/>
        </w:rPr>
      </w:r>
      <w:r>
        <w:rPr>
          <w:lang w:val="en_US" w:bidi="en_US"/>
        </w:rPr>
        <w:t xml:space="preserve">be known </w:t>
      </w:r>
      <w:r>
        <w:rPr>
          <w:u w:val="single"/>
          <w:lang w:val="en_US" w:bidi="en_US"/>
        </w:rPr>
        <w:t>or</w:t>
      </w:r>
      <w:r>
        <w:rPr>
          <w:lang w:val="en_US" w:bidi="en_US"/>
        </w:rPr>
        <w:t xml:space="preserve"> brought out into the open (NIV)</w:t>
      </w:r>
    </w:p>
    <w:p>
      <w:pPr/>
      <w:r>
        <w:rPr>
          <w:lang w:val="en_US" w:bidi="en_US"/>
        </w:rPr>
      </w:r>
      <w:r>
        <w:rPr>
          <w:b/>
          <w:lang w:val="en_US" w:bidi="en_US"/>
        </w:rPr>
        <w:t>brought to light:</w:t>
      </w:r>
      <w:r>
        <w:rPr>
          <w:lang w:val="en_US" w:bidi="en_US"/>
        </w:rPr>
        <w:t xml:space="preserve"> The Greek phrase that the BSB translates as </w:t>
      </w:r>
      <w:r>
        <w:rPr>
          <w:i/>
          <w:lang w:val="en_US" w:bidi="en_US"/>
        </w:rPr>
        <w:t>brought to light</w:t>
      </w:r>
      <w:r>
        <w:rPr>
          <w:lang w:val="en_US" w:bidi="en_US"/>
        </w:rPr>
        <w:t xml:space="preserve"> means “made clear/evident/visible.” Try to translate it with a phrase that can refer to a fact or idea as well as to a physical object.</w:t>
      </w:r>
      <w:r>
        <w:rPr>
          <w:lang w:val="en_US" w:bidi="en_US"/>
        </w:rPr>
      </w:r>
      <w:r>
        <w:rPr>
          <w:lang w:val="en_US" w:bidi="en_US"/>
        </w:rPr>
      </w:r>
    </w:p>
    <w:p>
      <w:pPr/>
      <w:r>
        <w:rPr>
          <w:lang w:val="en_US" w:bidi="en_US"/>
        </w:rPr>
      </w:r>
    </w:p>
    <w:p>
      <w:pPr>
        <w:pStyle w:val="Heading2"/>
      </w:pPr>
      <w:r>
        <w:rPr>
          <w:lang w:val="en_US" w:bidi="en_US"/>
        </w:rPr>
        <w:t>Luke 8:18</w:t>
      </w:r>
      <w:r>
        <w:rPr>
          <w:lang w:val="en_US" w:bidi="en_US"/>
        </w:rPr>
      </w:r>
    </w:p>
    <w:p>
      <w:pPr>
        <w:pStyle w:val="Heading4"/>
      </w:pPr>
      <w:r>
        <w:rPr>
          <w:lang w:val="en_US" w:bidi="en_US"/>
        </w:rPr>
        <w:t>Section 8:16–18: People should listen carefully to Jesus</w:t>
      </w:r>
    </w:p>
    <w:p>
      <w:pPr/>
      <w:r>
        <w:rPr>
          <w:lang w:val="en_US" w:bidi="en_US"/>
        </w:rPr>
      </w:r>
      <w:r>
        <w:rPr>
          <w:lang w:val="en_US" w:bidi="en_US"/>
        </w:rPr>
        <w:t>This section has a similar theme to the parable of 8:4–15. In it Jesus used sayings that were like short proverbs or parables.</w:t>
      </w:r>
      <w:r>
        <w:rPr>
          <w:lang w:val="en_US" w:bidi="en_US"/>
        </w:rPr>
        <w:t xml:space="preserve">The sayings in these verses fall under the Greek category of </w:t>
      </w:r>
      <w:r>
        <w:rPr>
          <w:i/>
          <w:lang w:val="en_US" w:bidi="en_US"/>
        </w:rPr>
        <w:t>παραβολη</w:t>
      </w:r>
      <w:r>
        <w:rPr>
          <w:lang w:val="en_US" w:bidi="en_US"/>
        </w:rPr>
        <w:t>.</w:t>
      </w:r>
      <w:r>
        <w:rPr>
          <w:lang w:val="en_US" w:bidi="en_US"/>
        </w:rPr>
        <w:t xml:space="preserve"> Both this section and the parable of 8:4–15 teach that the disciples needed to listen carefully to Jesus’ teaching. These sayings also relate to 8:9–10, where Jesus explained that his parables would keep the message “hidden” for some, but his disciples should understand it.</w:t>
      </w:r>
    </w:p>
    <w:p>
      <w:pPr/>
      <w:r>
        <w:rPr>
          <w:lang w:val="en_US" w:bidi="en_US"/>
        </w:rPr>
      </w:r>
      <w:r>
        <w:rPr>
          <w:lang w:val="en_US" w:bidi="en_US"/>
        </w:rPr>
        <w:t>It is good to read this section carefully before you decide on a heading for it. Some other possible headings for this section are:</w:t>
      </w:r>
    </w:p>
    <w:p>
      <w:pPr/>
      <w:r>
        <w:rPr>
          <w:lang w:val="en_US" w:bidi="en_US"/>
        </w:rPr>
      </w:r>
      <w:r>
        <w:rPr>
          <w:lang w:val="en_US" w:bidi="en_US"/>
        </w:rPr>
        <w:t>Parable of the Lamp (NLT)</w:t>
      </w:r>
    </w:p>
    <w:p>
      <w:pPr/>
      <w:r>
        <w:rPr>
          <w:lang w:val="en_US" w:bidi="en_US"/>
        </w:rPr>
      </w:r>
      <w:r>
        <w:rPr>
          <w:lang w:val="en_US" w:bidi="en_US"/>
        </w:rPr>
        <w:t>Showing the Light (NET)</w:t>
      </w:r>
    </w:p>
    <w:p>
      <w:pPr/>
      <w:r>
        <w:rPr>
          <w:lang w:val="en_US" w:bidi="en_US"/>
        </w:rPr>
      </w:r>
      <w:r>
        <w:rPr>
          <w:lang w:val="en_US" w:bidi="en_US"/>
        </w:rPr>
        <w:t>Jesus’ words are like a lamp</w:t>
      </w:r>
    </w:p>
    <w:p>
      <w:pPr/>
      <w:r>
        <w:rPr>
          <w:lang w:val="en_US" w:bidi="en_US"/>
        </w:rPr>
      </w:r>
      <w:r>
        <w:rPr>
          <w:lang w:val="en_US" w:bidi="en_US"/>
        </w:rPr>
        <w:t>This is a short section, so some translators may choose to make these verses part of the preceding section, as the GW does.</w:t>
      </w:r>
    </w:p>
    <w:p>
      <w:pPr>
        <w:pStyle w:val="Heading5"/>
      </w:pPr>
      <w:r>
        <w:rPr>
          <w:lang w:val="en_US" w:bidi="en_US"/>
        </w:rPr>
        <w:t>8:18a</w:t>
      </w:r>
    </w:p>
    <w:p>
      <w:pPr/>
      <w:r>
        <w:rPr>
          <w:lang w:val="en_US" w:bidi="en_US"/>
        </w:rPr>
      </w:r>
      <w:r>
        <w:rPr>
          <w:b/>
          <w:lang w:val="en_US" w:bidi="en_US"/>
        </w:rPr>
        <w:t>Pay attention, therefore, to how you listen.</w:t>
      </w:r>
    </w:p>
    <w:p>
      <w:pPr>
        <w:pStyle w:val="ListBullet"/>
        <w:spacing w:line="240" w:lineRule="auto"/>
        <w:ind w:left="720"/>
      </w:pPr>
      <w:r>
        <w:rPr>
          <w:lang w:val="en_US" w:bidi="en_US"/>
        </w:rPr>
      </w:r>
      <w:r>
        <w:rPr>
          <w:lang w:val="en_US" w:bidi="en_US"/>
        </w:rPr>
        <w:t>So make sure that you</w:t>
      </w:r>
      <w:r>
        <w:rPr>
          <w:vertAlign w:val="superscript"/>
          <w:lang w:val="en_US" w:bidi="en_US"/>
        </w:rPr>
        <w:t>(plur)</w:t>
      </w:r>
      <w:r>
        <w:rPr>
          <w:lang w:val="en_US" w:bidi="en_US"/>
        </w:rPr>
        <w:t xml:space="preserve"> listen carefully/thoughtfully.</w:t>
      </w:r>
    </w:p>
    <w:p>
      <w:pPr>
        <w:pStyle w:val="ListBullet"/>
        <w:spacing w:line="240" w:lineRule="auto"/>
        <w:ind w:left="720"/>
      </w:pPr>
      <w:r>
        <w:rPr>
          <w:lang w:val="en_US" w:bidi="en_US"/>
        </w:rPr>
      </w:r>
      <w:r>
        <w:rPr>
          <w:lang w:val="en_US" w:bidi="en_US"/>
        </w:rPr>
        <w:t>So pay attention to the way in which you</w:t>
      </w:r>
      <w:r>
        <w:rPr>
          <w:vertAlign w:val="superscript"/>
          <w:lang w:val="en_US" w:bidi="en_US"/>
        </w:rPr>
        <w:t>(plur)</w:t>
      </w:r>
      <w:r>
        <w:rPr>
          <w:lang w:val="en_US" w:bidi="en_US"/>
        </w:rPr>
        <w:t xml:space="preserve"> listen </w:t>
      </w:r>
      <w:r>
        <w:rPr>
          <w:lang w:val="en_US" w:bidi="en_US"/>
        </w:rPr>
        <w:t>to my words</w:t>
      </w:r>
      <w:r>
        <w:rPr>
          <w:lang w:val="en_US" w:bidi="en_US"/>
        </w:rPr>
        <w:t>.</w:t>
      </w:r>
    </w:p>
    <w:p>
      <w:pPr/>
      <w:r>
        <w:rPr>
          <w:lang w:val="en_US" w:bidi="en_US"/>
        </w:rPr>
      </w:r>
      <w:r>
        <w:rPr>
          <w:b/>
          <w:lang w:val="en_US" w:bidi="en_US"/>
        </w:rPr>
        <w:t>Pay attention, therefore, to how you listen:</w:t>
      </w:r>
      <w:r>
        <w:rPr>
          <w:lang w:val="en_US" w:bidi="en_US"/>
        </w:rPr>
        <w:t xml:space="preserve"> The Greek verb that the BSB translates as </w:t>
      </w:r>
      <w:r>
        <w:rPr>
          <w:i/>
          <w:lang w:val="en_US" w:bidi="en_US"/>
        </w:rPr>
        <w:t>Pay attention</w:t>
      </w:r>
      <w:r>
        <w:rPr>
          <w:lang w:val="en_US" w:bidi="en_US"/>
        </w:rPr>
        <w:t xml:space="preserve"> is literally “look.” In this context, this refers to being mindful and listening carefully to the teachings. Other ways to translate it here are:</w:t>
      </w:r>
    </w:p>
    <w:p>
      <w:pPr/>
      <w:r>
        <w:rPr>
          <w:lang w:val="en_US" w:bidi="en_US"/>
        </w:rPr>
      </w:r>
      <w:r>
        <w:rPr>
          <w:lang w:val="en_US" w:bidi="en_US"/>
        </w:rPr>
        <w:t>Be careful…how you listen (GNT)</w:t>
      </w:r>
    </w:p>
    <w:p>
      <w:pPr/>
      <w:r>
        <w:rPr>
          <w:lang w:val="en_US" w:bidi="en_US"/>
        </w:rPr>
      </w:r>
      <w:r>
        <w:rPr>
          <w:lang w:val="en_US" w:bidi="en_US"/>
        </w:rPr>
        <w:t>consider carefully how you listen (NIV)</w:t>
      </w:r>
    </w:p>
    <w:p>
      <w:pPr/>
      <w:r>
        <w:rPr>
          <w:lang w:val="en_US" w:bidi="en_US"/>
        </w:rPr>
      </w:r>
      <w:r>
        <w:rPr>
          <w:lang w:val="en_US" w:bidi="en_US"/>
        </w:rPr>
        <w:t>listen carefully (NET)</w:t>
      </w:r>
    </w:p>
    <w:p>
      <w:pPr/>
      <w:r>
        <w:rPr>
          <w:lang w:val="en_US" w:bidi="en_US"/>
        </w:rPr>
      </w:r>
      <w:r>
        <w:rPr>
          <w:b/>
          <w:lang w:val="en_US" w:bidi="en_US"/>
        </w:rPr>
        <w:t>therefore:</w:t>
      </w:r>
      <w:r>
        <w:rPr>
          <w:lang w:val="en_US" w:bidi="en_US"/>
        </w:rPr>
        <w:t xml:space="preserve"> The Greek word that the BSB translates as </w:t>
      </w:r>
      <w:r>
        <w:rPr>
          <w:i/>
          <w:lang w:val="en_US" w:bidi="en_US"/>
        </w:rPr>
        <w:t>therefore</w:t>
      </w:r>
      <w:r>
        <w:rPr>
          <w:lang w:val="en_US" w:bidi="en_US"/>
        </w:rPr>
        <w:t xml:space="preserve"> introduces a command that is based on 8:16–17. Because God’s truth is being revealed, people should listen to it carefully and be ready to believe and obey it (see 8:15).</w:t>
      </w:r>
    </w:p>
    <w:p>
      <w:pPr/>
      <w:r>
        <w:rPr>
          <w:lang w:val="en_US" w:bidi="en_US"/>
        </w:rPr>
      </w:r>
      <w:r>
        <w:rPr>
          <w:b/>
          <w:lang w:val="en_US" w:bidi="en_US"/>
        </w:rPr>
        <w:t>to how you listen:</w:t>
      </w:r>
      <w:r>
        <w:rPr>
          <w:lang w:val="en_US" w:bidi="en_US"/>
        </w:rPr>
        <w:t xml:space="preserve"> The word </w:t>
      </w:r>
      <w:r>
        <w:rPr>
          <w:i/>
          <w:lang w:val="en_US" w:bidi="en_US"/>
        </w:rPr>
        <w:t>how</w:t>
      </w:r>
      <w:r>
        <w:rPr>
          <w:lang w:val="en_US" w:bidi="en_US"/>
        </w:rPr>
        <w:t xml:space="preserve"> refers here to the way a person listens. In some languages it may be necessary to say what people should </w:t>
      </w:r>
      <w:r>
        <w:rPr>
          <w:i/>
          <w:lang w:val="en_US" w:bidi="en_US"/>
        </w:rPr>
        <w:t>listen</w:t>
      </w:r>
      <w:r>
        <w:rPr>
          <w:lang w:val="en_US" w:bidi="en_US"/>
        </w:rPr>
        <w:t xml:space="preserve"> to. If that is true in your language, you could supply “to God’s message” or “to what I am saying.” The NLT makes this clear in 8:18b by saying:</w:t>
      </w:r>
    </w:p>
    <w:p>
      <w:pPr/>
      <w:r>
        <w:rPr>
          <w:lang w:val="en_US" w:bidi="en_US"/>
        </w:rPr>
      </w:r>
      <w:r>
        <w:rPr>
          <w:lang w:val="en_US" w:bidi="en_US"/>
        </w:rPr>
        <w:t>listen to my teaching</w:t>
      </w:r>
    </w:p>
    <w:p>
      <w:pPr>
        <w:pStyle w:val="Heading5"/>
      </w:pPr>
      <w:r>
        <w:rPr>
          <w:lang w:val="en_US" w:bidi="en_US"/>
        </w:rPr>
        <w:t>8:18b</w:t>
      </w:r>
    </w:p>
    <w:p>
      <w:pPr/>
      <w:r>
        <w:rPr>
          <w:lang w:val="en_US" w:bidi="en_US"/>
        </w:rPr>
      </w:r>
      <w:r>
        <w:rPr>
          <w:b/>
          <w:lang w:val="en_US" w:bidi="en_US"/>
        </w:rPr>
        <w:t>Whoever has will be given more,</w:t>
      </w:r>
    </w:p>
    <w:p>
      <w:pPr>
        <w:pStyle w:val="ListBullet"/>
        <w:spacing w:line="240" w:lineRule="auto"/>
        <w:ind w:left="720"/>
      </w:pPr>
      <w:r>
        <w:rPr>
          <w:lang w:val="en_US" w:bidi="en_US"/>
        </w:rPr>
      </w:r>
      <w:r>
        <w:rPr>
          <w:lang w:val="en_US" w:bidi="en_US"/>
        </w:rPr>
        <w:t xml:space="preserve">Those who have </w:t>
      </w:r>
      <w:r>
        <w:rPr>
          <w:lang w:val="en_US" w:bidi="en_US"/>
        </w:rPr>
        <w:t>something</w:t>
      </w:r>
      <w:r>
        <w:rPr>
          <w:lang w:val="en_US" w:bidi="en_US"/>
        </w:rPr>
        <w:t xml:space="preserve"> will receive more </w:t>
      </w:r>
      <w:r>
        <w:rPr>
          <w:lang w:val="en_US" w:bidi="en_US"/>
        </w:rPr>
        <w:t>of it</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will give more </w:t>
      </w:r>
      <w:r>
        <w:rPr>
          <w:lang w:val="en_US" w:bidi="en_US"/>
        </w:rPr>
        <w:t>understanding/knowledge</w:t>
      </w:r>
      <w:r>
        <w:rPr>
          <w:lang w:val="en_US" w:bidi="en_US"/>
        </w:rPr>
        <w:t xml:space="preserve"> to the person who already </w:t>
      </w:r>
      <w:r>
        <w:rPr>
          <w:lang w:val="en_US" w:bidi="en_US"/>
        </w:rPr>
        <w:t>understands/knows</w:t>
      </w:r>
      <w:r>
        <w:rPr>
          <w:lang w:val="en_US" w:bidi="en_US"/>
        </w:rPr>
        <w:t>.</w:t>
      </w:r>
    </w:p>
    <w:p>
      <w:pPr/>
      <w:r>
        <w:rPr>
          <w:lang w:val="en_US" w:bidi="en_US"/>
        </w:rPr>
      </w:r>
      <w:r>
        <w:rPr>
          <w:lang w:val="en_US" w:bidi="en_US"/>
        </w:rPr>
        <w:t>In the Greek text this part of the verse is connected to 8:18a with a conjunction that many English versions translate as “for.” It introduces a reason to obey the command given in 8:18a. The BSB does not translate this conjunction, and in some languages no conjunction will be needed either.</w:t>
      </w:r>
    </w:p>
    <w:p>
      <w:pPr/>
      <w:r>
        <w:rPr>
          <w:lang w:val="en_US" w:bidi="en_US"/>
        </w:rPr>
      </w:r>
      <w:r>
        <w:rPr>
          <w:b/>
          <w:lang w:val="en_US" w:bidi="en_US"/>
        </w:rPr>
        <w:t>Whoever has will be given more:</w:t>
      </w:r>
      <w:r>
        <w:rPr>
          <w:lang w:val="en_US" w:bidi="en_US"/>
        </w:rPr>
        <w:t xml:space="preserve"> The phrase </w:t>
      </w:r>
      <w:r>
        <w:rPr>
          <w:i/>
          <w:lang w:val="en_US" w:bidi="en_US"/>
        </w:rPr>
        <w:t>Whoever has</w:t>
      </w:r>
      <w:r>
        <w:rPr>
          <w:lang w:val="en_US" w:bidi="en_US"/>
        </w:rPr>
        <w:t xml:space="preserve"> does not say </w:t>
      </w:r>
      <w:r>
        <w:rPr>
          <w:u w:val="single"/>
          <w:lang w:val="en_US" w:bidi="en_US"/>
        </w:rPr>
        <w:t>what</w:t>
      </w:r>
      <w:r>
        <w:rPr>
          <w:lang w:val="en_US" w:bidi="en_US"/>
        </w:rPr>
        <w:t xml:space="preserve"> he has. In this context Jesus probably referred to having </w:t>
      </w:r>
      <w:r>
        <w:rPr>
          <w:u w:val="single"/>
          <w:lang w:val="en_US" w:bidi="en_US"/>
        </w:rPr>
        <w:t>understanding</w:t>
      </w:r>
      <w:r>
        <w:rPr>
          <w:lang w:val="en_US" w:bidi="en_US"/>
        </w:rPr>
        <w:t xml:space="preserve"> of his teaching. This would apply to someone who listens to his teaching, understands it, and believes it. If you need to supply an object for </w:t>
      </w:r>
      <w:r>
        <w:rPr>
          <w:i/>
          <w:lang w:val="en_US" w:bidi="en_US"/>
        </w:rPr>
        <w:t>has</w:t>
      </w:r>
      <w:r>
        <w:rPr>
          <w:lang w:val="en_US" w:bidi="en_US"/>
        </w:rPr>
        <w:t>, here are options to consider:</w:t>
      </w:r>
    </w:p>
    <w:p>
      <w:pPr>
        <w:pStyle w:val="ListBullet"/>
        <w:spacing w:line="240" w:lineRule="auto"/>
        <w:ind w:left="720"/>
      </w:pPr>
      <w:r>
        <w:rPr>
          <w:lang w:val="en_US" w:bidi="en_US"/>
        </w:rPr>
      </w:r>
      <w:r>
        <w:rPr>
          <w:lang w:val="en_US" w:bidi="en_US"/>
        </w:rPr>
        <w:t>Use a general object that can apply to different situations. This is common in proverbs or sayings. For example:</w:t>
      </w:r>
      <w:r>
        <w:rPr>
          <w:lang w:val="en_US" w:bidi="en_US"/>
        </w:rPr>
        <w:t xml:space="preserve">those who </w:t>
      </w:r>
      <w:r>
        <w:rPr>
          <w:u w:val="single"/>
          <w:lang w:val="en_US" w:bidi="en_US"/>
        </w:rPr>
        <w:t>have something</w:t>
      </w:r>
      <w:r>
        <w:rPr>
          <w:lang w:val="en_US" w:bidi="en_US"/>
        </w:rPr>
        <w:t xml:space="preserve"> will be given more (GNT)</w:t>
      </w:r>
    </w:p>
    <w:p>
      <w:pPr>
        <w:pStyle w:val="ListBullet"/>
        <w:spacing w:line="240" w:lineRule="auto"/>
        <w:ind w:left="720"/>
      </w:pPr>
      <w:r>
        <w:rPr>
          <w:lang w:val="en_US" w:bidi="en_US"/>
        </w:rPr>
      </w:r>
      <w:r>
        <w:rPr>
          <w:lang w:val="en_US" w:bidi="en_US"/>
        </w:rPr>
        <w:t>Use a more specific statement. For example:</w:t>
      </w:r>
      <w:r>
        <w:rPr>
          <w:lang w:val="en_US" w:bidi="en_US"/>
        </w:rPr>
        <w:t>Those who have understanding will be given more. (NCV)</w:t>
      </w:r>
    </w:p>
    <w:p>
      <w:pPr>
        <w:pStyle w:val="ListBullet"/>
        <w:spacing w:line="240" w:lineRule="auto"/>
        <w:ind w:left="720"/>
      </w:pPr>
      <w:r>
        <w:rPr>
          <w:lang w:val="en_US" w:bidi="en_US"/>
        </w:rPr>
      </w:r>
      <w:r>
        <w:rPr>
          <w:lang w:val="en_US" w:bidi="en_US"/>
        </w:rPr>
        <w:t>Connect the saying more specifically to the context. For example:</w:t>
      </w:r>
      <w:r>
        <w:rPr>
          <w:lang w:val="en_US" w:bidi="en_US"/>
        </w:rPr>
        <w:t xml:space="preserve">To those who </w:t>
      </w:r>
      <w:r>
        <w:rPr>
          <w:u w:val="single"/>
          <w:lang w:val="en_US" w:bidi="en_US"/>
        </w:rPr>
        <w:t>listen to my teaching</w:t>
      </w:r>
      <w:r>
        <w:rPr>
          <w:lang w:val="en_US" w:bidi="en_US"/>
        </w:rPr>
        <w:t>, more understanding will be given. (NLT)</w:t>
      </w:r>
      <w:r>
        <w:rPr>
          <w:lang w:val="en_US" w:bidi="en_US"/>
        </w:rPr>
        <w:t>Those who understand [these mysteries] will be given [more knowledge]. (GW)</w:t>
      </w:r>
    </w:p>
    <w:p>
      <w:pPr/>
      <w:r>
        <w:rPr>
          <w:lang w:val="en_US" w:bidi="en_US"/>
        </w:rPr>
      </w:r>
      <w:r>
        <w:rPr>
          <w:b/>
          <w:lang w:val="en_US" w:bidi="en_US"/>
        </w:rPr>
        <w:t>will be given more:</w:t>
      </w:r>
      <w:r>
        <w:rPr>
          <w:lang w:val="en_US" w:bidi="en_US"/>
        </w:rPr>
        <w:t xml:space="preserve"> The Greek verb that the BSB translates as </w:t>
      </w:r>
      <w:r>
        <w:rPr>
          <w:i/>
          <w:lang w:val="en_US" w:bidi="en_US"/>
        </w:rPr>
        <w:t>will be given</w:t>
      </w:r>
      <w:r>
        <w:rPr>
          <w:lang w:val="en_US" w:bidi="en_US"/>
        </w:rPr>
        <w:t xml:space="preserve"> is passive. In some languages it may be necessary to say who will give more. If this is true in your language, you should supply “God.” For example:</w:t>
      </w:r>
    </w:p>
    <w:p>
      <w:pPr/>
      <w:r>
        <w:rPr>
          <w:lang w:val="en_US" w:bidi="en_US"/>
        </w:rPr>
      </w:r>
      <w:r>
        <w:rPr>
          <w:lang w:val="en_US" w:bidi="en_US"/>
        </w:rPr>
        <w:t>God</w:t>
      </w:r>
      <w:r>
        <w:rPr>
          <w:lang w:val="en_US" w:bidi="en_US"/>
        </w:rPr>
        <w:t xml:space="preserve"> will give more</w:t>
      </w:r>
    </w:p>
    <w:p>
      <w:pPr>
        <w:pStyle w:val="Heading5"/>
      </w:pPr>
      <w:r>
        <w:rPr>
          <w:lang w:val="en_US" w:bidi="en_US"/>
        </w:rPr>
        <w:t>8:18c</w:t>
      </w:r>
    </w:p>
    <w:p>
      <w:pPr/>
      <w:r>
        <w:rPr>
          <w:lang w:val="en_US" w:bidi="en_US"/>
        </w:rPr>
      </w:r>
      <w:r>
        <w:rPr>
          <w:b/>
          <w:lang w:val="en_US" w:bidi="en_US"/>
        </w:rPr>
        <w:t>but whoever does not have, even what he thinks he has will be taken away from him.”</w:t>
      </w:r>
    </w:p>
    <w:p>
      <w:pPr>
        <w:pStyle w:val="ListBullet"/>
        <w:spacing w:line="240" w:lineRule="auto"/>
        <w:ind w:left="720"/>
      </w:pPr>
      <w:r>
        <w:rPr>
          <w:lang w:val="en_US" w:bidi="en_US"/>
        </w:rPr>
      </w:r>
      <w:r>
        <w:rPr>
          <w:lang w:val="en_US" w:bidi="en_US"/>
        </w:rPr>
        <w:t xml:space="preserve">Those who do not have </w:t>
      </w:r>
      <w:r>
        <w:rPr>
          <w:lang w:val="en_US" w:bidi="en_US"/>
        </w:rPr>
        <w:t>anything</w:t>
      </w:r>
      <w:r>
        <w:rPr>
          <w:lang w:val="en_US" w:bidi="en_US"/>
        </w:rPr>
        <w:t xml:space="preserve"> will lose even what they think/suppose they have.”</w:t>
      </w:r>
    </w:p>
    <w:p>
      <w:pPr>
        <w:pStyle w:val="ListBullet"/>
        <w:spacing w:line="240" w:lineRule="auto"/>
        <w:ind w:left="720"/>
      </w:pPr>
      <w:r>
        <w:rPr>
          <w:lang w:val="en_US" w:bidi="en_US"/>
        </w:rPr>
      </w:r>
      <w:r>
        <w:rPr>
          <w:lang w:val="en_US" w:bidi="en_US"/>
        </w:rPr>
        <w:t>But</w:t>
      </w:r>
      <w:r>
        <w:rPr>
          <w:lang w:val="en_US" w:bidi="en_US"/>
        </w:rPr>
        <w:t xml:space="preserve"> whoever does not have </w:t>
      </w:r>
      <w:r>
        <w:rPr>
          <w:lang w:val="en_US" w:bidi="en_US"/>
        </w:rPr>
        <w:t>understanding/knowledge</w:t>
      </w:r>
      <w:r>
        <w:rPr>
          <w:lang w:val="en_US" w:bidi="en_US"/>
        </w:rPr>
        <w:t xml:space="preserve">, </w:t>
      </w:r>
      <w:r>
        <w:rPr>
          <w:lang w:val="en_US" w:bidi="en_US"/>
        </w:rPr>
        <w:t>God</w:t>
      </w:r>
      <w:r>
        <w:rPr>
          <w:lang w:val="en_US" w:bidi="en_US"/>
        </w:rPr>
        <w:t xml:space="preserve"> will take away </w:t>
      </w:r>
      <w:r>
        <w:rPr>
          <w:lang w:val="en_US" w:bidi="en_US"/>
        </w:rPr>
        <w:t>the understanding/knowledge</w:t>
      </w:r>
      <w:r>
        <w:rPr>
          <w:lang w:val="en_US" w:bidi="en_US"/>
        </w:rPr>
        <w:t xml:space="preserve"> that he </w:t>
      </w:r>
      <w:r>
        <w:rPr>
          <w:lang w:val="en_US" w:bidi="en_US"/>
        </w:rPr>
        <w:t>wrongly</w:t>
      </w:r>
      <w:r>
        <w:rPr>
          <w:lang w:val="en_US" w:bidi="en_US"/>
        </w:rPr>
        <w:t xml:space="preserve"> believes he has.”</w:t>
      </w:r>
    </w:p>
    <w:p>
      <w:pPr/>
      <w:r>
        <w:rPr>
          <w:lang w:val="en_US" w:bidi="en_US"/>
        </w:rPr>
      </w:r>
      <w:r>
        <w:rPr>
          <w:b/>
          <w:lang w:val="en_US" w:bidi="en_US"/>
        </w:rPr>
        <w:t>but whoever does not have:</w:t>
      </w:r>
      <w:r>
        <w:rPr>
          <w:lang w:val="en_US" w:bidi="en_US"/>
        </w:rPr>
        <w:t xml:space="preserve"> As in 8:18b, there is no object for the verb </w:t>
      </w:r>
      <w:r>
        <w:rPr>
          <w:i/>
          <w:lang w:val="en_US" w:bidi="en_US"/>
        </w:rPr>
        <w:t>have</w:t>
      </w:r>
      <w:r>
        <w:rPr>
          <w:lang w:val="en_US" w:bidi="en_US"/>
        </w:rPr>
        <w:t xml:space="preserve"> here, either in the BSB or in the Greek text. If it is necessary in your language to supply an object, translate in a similar way as you did there. For example:</w:t>
      </w:r>
    </w:p>
    <w:p>
      <w:pPr>
        <w:pStyle w:val="ListBullet"/>
        <w:spacing w:line="240" w:lineRule="auto"/>
        <w:ind w:left="720"/>
      </w:pPr>
      <w:r>
        <w:rPr>
          <w:lang w:val="en_US" w:bidi="en_US"/>
        </w:rPr>
      </w:r>
      <w:r>
        <w:rPr>
          <w:lang w:val="en_US" w:bidi="en_US"/>
        </w:rPr>
        <w:t>Supply a general object, as is common in proverbial sayings. For example:</w:t>
      </w:r>
      <w:r>
        <w:rPr>
          <w:lang w:val="en_US" w:bidi="en_US"/>
        </w:rPr>
        <w:t xml:space="preserve">he who does not have </w:t>
      </w:r>
      <w:r>
        <w:rPr>
          <w:u w:val="single"/>
          <w:lang w:val="en_US" w:bidi="en_US"/>
        </w:rPr>
        <w:t>anything</w:t>
      </w:r>
    </w:p>
    <w:p>
      <w:pPr>
        <w:pStyle w:val="ListBullet"/>
        <w:spacing w:line="240" w:lineRule="auto"/>
        <w:ind w:left="720"/>
      </w:pPr>
      <w:r>
        <w:rPr>
          <w:lang w:val="en_US" w:bidi="en_US"/>
        </w:rPr>
      </w:r>
      <w:r>
        <w:rPr>
          <w:lang w:val="en_US" w:bidi="en_US"/>
        </w:rPr>
        <w:t>Make clear that the saying refers to understanding Jesus’ sayings. For example:</w:t>
      </w:r>
      <w:r>
        <w:rPr>
          <w:lang w:val="en_US" w:bidi="en_US"/>
        </w:rPr>
        <w:t xml:space="preserve">he who does not have </w:t>
      </w:r>
      <w:r>
        <w:rPr>
          <w:u w:val="single"/>
          <w:lang w:val="en_US" w:bidi="en_US"/>
        </w:rPr>
        <w:t>understanding/knowledge</w:t>
      </w:r>
      <w:r>
        <w:rPr>
          <w:lang w:val="en_US" w:bidi="en_US"/>
        </w:rPr>
        <w:t>However, some people don’t understand [these mysteries]. (GW)</w:t>
      </w:r>
    </w:p>
    <w:p>
      <w:pPr/>
      <w:r>
        <w:rPr>
          <w:lang w:val="en_US" w:bidi="en_US"/>
        </w:rPr>
      </w:r>
      <w:r>
        <w:rPr>
          <w:b/>
          <w:lang w:val="en_US" w:bidi="en_US"/>
        </w:rPr>
        <w:t>even what he thinks he has will be taken away from him:</w:t>
      </w:r>
      <w:r>
        <w:rPr>
          <w:lang w:val="en_US" w:bidi="en_US"/>
        </w:rPr>
        <w:t xml:space="preserve"> This clause describes a person who thinks that he understands what Jesus teaches, but actually he does not understand. That statement may indicate that he will realize that he has been wrong and actually has not had any understanding.</w:t>
      </w:r>
    </w:p>
    <w:p>
      <w:pPr/>
      <w:r>
        <w:rPr>
          <w:lang w:val="en_US" w:bidi="en_US"/>
        </w:rPr>
      </w:r>
      <w:r>
        <w:rPr>
          <w:lang w:val="en_US" w:bidi="en_US"/>
        </w:rPr>
        <w:t xml:space="preserve">The statement </w:t>
      </w:r>
      <w:r>
        <w:rPr>
          <w:i/>
          <w:lang w:val="en_US" w:bidi="en_US"/>
        </w:rPr>
        <w:t>even what he thinks he has will be taken away from him</w:t>
      </w:r>
      <w:r>
        <w:rPr>
          <w:lang w:val="en_US" w:bidi="en_US"/>
        </w:rPr>
        <w:t xml:space="preserve"> is a paradox. It seems impossible for something that does not exist to be taken away. Translate the paradox in a natural way in your language.</w:t>
      </w:r>
    </w:p>
    <w:p>
      <w:pPr/>
      <w:r>
        <w:rPr>
          <w:lang w:val="en_US" w:bidi="en_US"/>
        </w:rPr>
      </w:r>
      <w:r>
        <w:rPr>
          <w:b/>
          <w:lang w:val="en_US" w:bidi="en_US"/>
        </w:rPr>
        <w:t>will be taken away from him:</w:t>
      </w:r>
      <w:r>
        <w:rPr>
          <w:lang w:val="en_US" w:bidi="en_US"/>
        </w:rPr>
        <w:t xml:space="preserve"> The verb </w:t>
      </w:r>
      <w:r>
        <w:rPr>
          <w:i/>
          <w:lang w:val="en_US" w:bidi="en_US"/>
        </w:rPr>
        <w:t>will be taken</w:t>
      </w:r>
      <w:r>
        <w:rPr>
          <w:lang w:val="en_US" w:bidi="en_US"/>
        </w:rPr>
        <w:t xml:space="preserve"> is passive. In some languages it may be necessary to translate this without using a passive verb. For example:</w:t>
      </w:r>
    </w:p>
    <w:p>
      <w:pPr/>
      <w:r>
        <w:rPr>
          <w:lang w:val="en_US" w:bidi="en_US"/>
        </w:rPr>
      </w:r>
      <w:r>
        <w:rPr>
          <w:lang w:val="en_US" w:bidi="en_US"/>
        </w:rPr>
        <w:t>will lose what little they think they have (CEV)</w:t>
      </w:r>
    </w:p>
    <w:p>
      <w:pPr/>
      <w:r>
        <w:rPr>
          <w:lang w:val="en_US" w:bidi="en_US"/>
        </w:rPr>
      </w:r>
      <w:r>
        <w:rPr>
          <w:lang w:val="en_US" w:bidi="en_US"/>
        </w:rPr>
        <w:t>will forfeit even what they think they have (REB)</w:t>
      </w:r>
    </w:p>
    <w:p>
      <w:pPr/>
      <w:r>
        <w:rPr>
          <w:lang w:val="en_US" w:bidi="en_US"/>
        </w:rPr>
      </w:r>
      <w:r>
        <w:rPr>
          <w:lang w:val="en_US" w:bidi="en_US"/>
        </w:rPr>
        <w:t>In some languages it may be necessary to say who would take it from him. If this is true in your language, you may supply “God”:</w:t>
      </w:r>
      <w:r>
        <w:rPr>
          <w:lang w:val="en_US" w:bidi="en_US"/>
        </w:rPr>
        <w:t xml:space="preserve">An alternative view, given by Green, is that Satan is the implicit agent of “will be taken.” This is due to the fact that the verb </w:t>
      </w:r>
      <w:r>
        <w:rPr>
          <w:i/>
          <w:lang w:val="en_US" w:bidi="en_US"/>
        </w:rPr>
        <w:t>αἴρω</w:t>
      </w:r>
      <w:r>
        <w:rPr>
          <w:lang w:val="en_US" w:bidi="en_US"/>
        </w:rPr>
        <w:t xml:space="preserve"> was most recently used in verse 12 of the devil who “comes and takes away the word from the hearts.”</w:t>
      </w:r>
      <w:r>
        <w:rPr>
          <w:lang w:val="en_US" w:bidi="en_US"/>
        </w:rPr>
        <w:t xml:space="preserve"> For example:</w:t>
      </w:r>
    </w:p>
    <w:p>
      <w:pPr/>
      <w:r>
        <w:rPr>
          <w:lang w:val="en_US" w:bidi="en_US"/>
        </w:rPr>
      </w:r>
      <w:r>
        <w:rPr>
          <w:lang w:val="en_US" w:bidi="en_US"/>
        </w:rPr>
        <w:t>God</w:t>
      </w:r>
      <w:r>
        <w:rPr>
          <w:lang w:val="en_US" w:bidi="en_US"/>
        </w:rPr>
        <w:t xml:space="preserve"> will take </w:t>
      </w:r>
      <w:r>
        <w:rPr>
          <w:lang w:val="en_US" w:bidi="en_US"/>
        </w:rPr>
        <w:t>it</w:t>
      </w:r>
      <w:r>
        <w:rPr>
          <w:lang w:val="en_US" w:bidi="en_US"/>
        </w:rPr>
        <w:t xml:space="preserve"> away from him.</w:t>
      </w:r>
      <w:r>
        <w:rPr>
          <w:lang w:val="en_US" w:bidi="en_US"/>
        </w:rPr>
      </w:r>
      <w:r>
        <w:rPr>
          <w:lang w:val="en_US" w:bidi="en_US"/>
        </w:rPr>
      </w:r>
    </w:p>
    <w:p>
      <w:pPr/>
      <w:r>
        <w:rPr>
          <w:lang w:val="en_US" w:bidi="en_US"/>
        </w:rPr>
      </w:r>
    </w:p>
    <w:p>
      <w:pPr>
        <w:pStyle w:val="Heading2"/>
      </w:pPr>
      <w:r>
        <w:rPr>
          <w:lang w:val="en_US" w:bidi="en_US"/>
        </w:rPr>
        <w:t>Luke 8:19</w:t>
      </w:r>
      <w:r>
        <w:rPr>
          <w:lang w:val="en_US" w:bidi="en_US"/>
        </w:rPr>
      </w:r>
    </w:p>
    <w:p>
      <w:pPr>
        <w:pStyle w:val="Heading4"/>
      </w:pPr>
      <w:r>
        <w:rPr>
          <w:lang w:val="en_US" w:bidi="en_US"/>
        </w:rPr>
        <w:t>Section 8:19–21: Jesus said that people who obey God’s word are his real family</w:t>
      </w:r>
    </w:p>
    <w:p>
      <w:pPr/>
      <w:r>
        <w:rPr>
          <w:lang w:val="en_US" w:bidi="en_US"/>
        </w:rPr>
      </w:r>
      <w:r>
        <w:rPr>
          <w:lang w:val="en_US" w:bidi="en_US"/>
        </w:rPr>
        <w:t>In this section Jesus’ mother and brothers came to see him. However, they could not get to him because there were many other people around him. The theme of this section is similar to the theme of 8:4–18. In 8:4–18, the text emphasized that people should listen carefully to Jesus’ teaching. In this section, Jesus said that people who hear and obey God’s message are members of his family. They are as closely related to him as his own mother and brothers are.</w:t>
      </w:r>
    </w:p>
    <w:p>
      <w:pPr/>
      <w:r>
        <w:rPr>
          <w:lang w:val="en_US" w:bidi="en_US"/>
        </w:rPr>
      </w:r>
      <w:r>
        <w:rPr>
          <w:lang w:val="en_US" w:bidi="en_US"/>
        </w:rPr>
        <w:t>Some other possible headings for this section are:</w:t>
      </w:r>
    </w:p>
    <w:p>
      <w:pPr/>
      <w:r>
        <w:rPr>
          <w:lang w:val="en_US" w:bidi="en_US"/>
        </w:rPr>
      </w:r>
      <w:r>
        <w:rPr>
          <w:lang w:val="en_US" w:bidi="en_US"/>
        </w:rPr>
        <w:t>All who obey God are members of Jesus’ family</w:t>
      </w:r>
    </w:p>
    <w:p>
      <w:pPr/>
      <w:r>
        <w:rPr>
          <w:lang w:val="en_US" w:bidi="en_US"/>
        </w:rPr>
      </w:r>
      <w:r>
        <w:rPr>
          <w:lang w:val="en_US" w:bidi="en_US"/>
        </w:rPr>
        <w:t>Jesus’ True Family (NET)</w:t>
      </w:r>
    </w:p>
    <w:p>
      <w:pPr/>
      <w:r>
        <w:rPr>
          <w:lang w:val="en_US" w:bidi="en_US"/>
        </w:rPr>
      </w:r>
      <w:r>
        <w:rPr>
          <w:lang w:val="en_US" w:bidi="en_US"/>
        </w:rPr>
        <w:t>Jesus’ Mother and Brothers (GNT)</w:t>
      </w:r>
    </w:p>
    <w:p>
      <w:pPr/>
      <w:r>
        <w:rPr>
          <w:lang w:val="en_US" w:bidi="en_US"/>
        </w:rPr>
      </w:r>
      <w:r>
        <w:rPr>
          <w:lang w:val="en_US" w:bidi="en_US"/>
        </w:rPr>
        <w:t>There are parallel passages for this section in Matthew 12:46–50 and Mark 3:31–35.</w:t>
      </w:r>
    </w:p>
    <w:p>
      <w:pPr>
        <w:pStyle w:val="Heading5"/>
      </w:pPr>
      <w:r>
        <w:rPr>
          <w:lang w:val="en_US" w:bidi="en_US"/>
        </w:rPr>
        <w:t>8:19a</w:t>
      </w:r>
    </w:p>
    <w:p>
      <w:pPr/>
      <w:r>
        <w:rPr>
          <w:lang w:val="en_US" w:bidi="en_US"/>
        </w:rPr>
      </w:r>
      <w:r>
        <w:rPr>
          <w:b/>
          <w:lang w:val="en_US" w:bidi="en_US"/>
        </w:rPr>
        <w:t>Then Jesus’ mother and brothers came to see Him,</w:t>
      </w:r>
    </w:p>
    <w:p>
      <w:pPr>
        <w:pStyle w:val="ListBullet"/>
        <w:spacing w:line="240" w:lineRule="auto"/>
        <w:ind w:left="720"/>
      </w:pPr>
      <w:r>
        <w:rPr>
          <w:lang w:val="en_US" w:bidi="en_US"/>
        </w:rPr>
      </w:r>
      <w:r>
        <w:rPr>
          <w:lang w:val="en_US" w:bidi="en_US"/>
        </w:rPr>
        <w:t>¶ Then the mother and the brothers of Jesus came to see/meet him.</w:t>
      </w:r>
    </w:p>
    <w:p>
      <w:pPr>
        <w:pStyle w:val="ListBullet"/>
        <w:spacing w:line="240" w:lineRule="auto"/>
        <w:ind w:left="720"/>
      </w:pPr>
      <w:r>
        <w:rPr>
          <w:lang w:val="en_US" w:bidi="en_US"/>
        </w:rPr>
      </w:r>
      <w:r>
        <w:rPr>
          <w:lang w:val="en_US" w:bidi="en_US"/>
        </w:rPr>
        <w:t xml:space="preserve">¶ As </w:t>
      </w:r>
      <w:r>
        <w:rPr>
          <w:lang w:val="en_US" w:bidi="en_US"/>
        </w:rPr>
        <w:t>Jesus was teaching the people,</w:t>
      </w:r>
      <w:r>
        <w:rPr>
          <w:lang w:val="en_US" w:bidi="en_US"/>
        </w:rPr>
        <w:t xml:space="preserve"> his mother and brothers came </w:t>
      </w:r>
      <w:r>
        <w:rPr>
          <w:lang w:val="en_US" w:bidi="en_US"/>
        </w:rPr>
        <w:t>there</w:t>
      </w:r>
      <w:r>
        <w:rPr>
          <w:lang w:val="en_US" w:bidi="en_US"/>
        </w:rPr>
        <w:t xml:space="preserve"> </w:t>
      </w:r>
      <w:r>
        <w:rPr>
          <w:lang w:val="en_US" w:bidi="en_US"/>
        </w:rPr>
        <w:t>and wanted to talk</w:t>
      </w:r>
      <w:r>
        <w:rPr>
          <w:lang w:val="en_US" w:bidi="en_US"/>
        </w:rPr>
        <w:t xml:space="preserve"> to him.</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here introduces the next thing that Luke wanted to write about. It does not refer to time. The parallel passage in Matthew 12:46–13:1 indicates that the event in this section probably happened on the same day that Jesus taught the people using parables. Some English versions have “Now” or “And” here. Other versions do not use a conjunction. Connect this section to the preceding one in a natural way in your language.</w:t>
      </w:r>
    </w:p>
    <w:p>
      <w:pPr/>
      <w:r>
        <w:rPr>
          <w:lang w:val="en_US" w:bidi="en_US"/>
        </w:rPr>
      </w:r>
      <w:r>
        <w:rPr>
          <w:b/>
          <w:lang w:val="en_US" w:bidi="en_US"/>
        </w:rPr>
        <w:t>Jesus’ mother and brothers:</w:t>
      </w:r>
      <w:r>
        <w:rPr>
          <w:lang w:val="en_US" w:bidi="en_US"/>
        </w:rPr>
        <w:t xml:space="preserve"> Jesus’ mother and brothers are referred to in Mark 3:31 and also in Mark 6:3.</w:t>
      </w:r>
    </w:p>
    <w:p>
      <w:pPr/>
      <w:r>
        <w:rPr>
          <w:lang w:val="en_US" w:bidi="en_US"/>
        </w:rPr>
      </w:r>
      <w:r>
        <w:rPr>
          <w:b/>
          <w:lang w:val="en_US" w:bidi="en_US"/>
        </w:rPr>
        <w:t>Jesus’…brothers:</w:t>
      </w:r>
      <w:r>
        <w:rPr>
          <w:lang w:val="en_US" w:bidi="en_US"/>
        </w:rPr>
        <w:t xml:space="preserve"> Church groups differ in what they believe about </w:t>
      </w:r>
      <w:r>
        <w:rPr>
          <w:i/>
          <w:lang w:val="en_US" w:bidi="en_US"/>
        </w:rPr>
        <w:t>Jesus’…brothers</w:t>
      </w:r>
      <w:r>
        <w:rPr>
          <w:lang w:val="en_US" w:bidi="en_US"/>
        </w:rPr>
        <w:t>. The three main views are:</w:t>
      </w:r>
    </w:p>
    <w:p>
      <w:pPr>
        <w:pStyle w:val="ListNumber"/>
        <w:numPr>
          <w:ilvl w:val="0"/>
          <w:numId w:val="179"/>
        </w:numPr>
        <w:spacing w:line="240" w:lineRule="auto"/>
        <w:ind w:left="720"/>
      </w:pPr>
      <w:r>
        <w:rPr>
          <w:lang w:val="en_US" w:bidi="en_US"/>
        </w:rPr>
      </w:r>
      <w:r>
        <w:rPr>
          <w:lang w:val="en_US" w:bidi="en_US"/>
        </w:rPr>
        <w:t>They were the sons of Joseph and Mary, born after Jesus.</w:t>
      </w:r>
    </w:p>
    <w:p>
      <w:pPr>
        <w:pStyle w:val="ListNumber"/>
        <w:spacing w:line="240" w:lineRule="auto"/>
        <w:ind w:left="720"/>
      </w:pPr>
      <w:r>
        <w:rPr>
          <w:lang w:val="en_US" w:bidi="en_US"/>
        </w:rPr>
      </w:r>
      <w:r>
        <w:rPr>
          <w:lang w:val="en_US" w:bidi="en_US"/>
        </w:rPr>
        <w:t>They were Jesus’ cousins.</w:t>
      </w:r>
      <w:r>
        <w:rPr>
          <w:lang w:val="en_US" w:bidi="en_US"/>
        </w:rPr>
        <w:t>Scholars who follow this view most commonly think that they were the children of Clopas (Joseph’s brother or brother-in-law) and Mary (the sister of Jesus’ mother). For a good presentation and analysis of the various views, see Arndt’s commentary on 8:19.</w:t>
      </w:r>
    </w:p>
    <w:p>
      <w:pPr>
        <w:pStyle w:val="ListNumber"/>
        <w:spacing w:line="240" w:lineRule="auto"/>
        <w:ind w:left="720"/>
      </w:pPr>
      <w:r>
        <w:rPr>
          <w:lang w:val="en_US" w:bidi="en_US"/>
        </w:rPr>
      </w:r>
      <w:r>
        <w:rPr>
          <w:lang w:val="en_US" w:bidi="en_US"/>
        </w:rPr>
        <w:t>They were children of Joseph from a previous marriage. That is, they were Jesus’ step-brothers.</w:t>
      </w:r>
    </w:p>
    <w:p>
      <w:pPr/>
      <w:r>
        <w:rPr>
          <w:lang w:val="en_US" w:bidi="en_US"/>
        </w:rPr>
      </w:r>
      <w:r>
        <w:rPr>
          <w:lang w:val="en_US" w:bidi="en_US"/>
        </w:rPr>
        <w:t>The Hebrew and Aramaic words for “brother” do not distinguish between biological brothers and cousins. It is good to use a general word for “brother” that could apply to any of the views above. For example, you may have a word that could refer to:</w:t>
      </w:r>
    </w:p>
    <w:p>
      <w:pPr>
        <w:pStyle w:val="ListNumber"/>
        <w:numPr>
          <w:ilvl w:val="0"/>
          <w:numId w:val="180"/>
        </w:numPr>
        <w:spacing w:line="240" w:lineRule="auto"/>
        <w:ind w:left="720"/>
      </w:pPr>
      <w:r>
        <w:rPr>
          <w:lang w:val="en_US" w:bidi="en_US"/>
        </w:rPr>
      </w:r>
      <w:r>
        <w:rPr>
          <w:lang w:val="en_US" w:bidi="en_US"/>
        </w:rPr>
        <w:t>brothers with the same father and mother,</w:t>
      </w:r>
    </w:p>
    <w:p>
      <w:pPr>
        <w:pStyle w:val="ListNumber"/>
        <w:spacing w:line="240" w:lineRule="auto"/>
        <w:ind w:left="720"/>
      </w:pPr>
      <w:r>
        <w:rPr>
          <w:lang w:val="en_US" w:bidi="en_US"/>
        </w:rPr>
      </w:r>
      <w:r>
        <w:rPr>
          <w:lang w:val="en_US" w:bidi="en_US"/>
        </w:rPr>
        <w:t>brothers with the same father but different mothers, and</w:t>
      </w:r>
    </w:p>
    <w:p>
      <w:pPr>
        <w:pStyle w:val="ListNumber"/>
        <w:spacing w:line="240" w:lineRule="auto"/>
        <w:ind w:left="720"/>
      </w:pPr>
      <w:r>
        <w:rPr>
          <w:lang w:val="en_US" w:bidi="en_US"/>
        </w:rPr>
      </w:r>
      <w:r>
        <w:rPr>
          <w:lang w:val="en_US" w:bidi="en_US"/>
        </w:rPr>
        <w:t>cousins who are children of one of the parents’ brothers or sisters.</w:t>
      </w:r>
    </w:p>
    <w:p>
      <w:pPr/>
      <w:r>
        <w:rPr>
          <w:lang w:val="en_US" w:bidi="en_US"/>
        </w:rPr>
      </w:r>
      <w:r>
        <w:rPr>
          <w:lang w:val="en_US" w:bidi="en_US"/>
        </w:rPr>
        <w:t>If you must use a more specific word, it is recommended that you consult with all major church groups in your language area. You will want to choose a word that is acceptable to the churches.</w:t>
      </w:r>
    </w:p>
    <w:p>
      <w:pPr/>
      <w:r>
        <w:rPr>
          <w:lang w:val="en_US" w:bidi="en_US"/>
        </w:rPr>
      </w:r>
      <w:r>
        <w:rPr>
          <w:lang w:val="en_US" w:bidi="en_US"/>
        </w:rPr>
        <w:t>If your language must distinguish between “older” and “younger” brothers, it is recommended that you use a term for “younger brothers” here. If your language does not use terms that distinguish male and female, such as brother or sister, it may be more natural to use general terms. For example:</w:t>
      </w:r>
    </w:p>
    <w:p>
      <w:pPr/>
      <w:r>
        <w:rPr>
          <w:lang w:val="en_US" w:bidi="en_US"/>
        </w:rPr>
      </w:r>
      <w:r>
        <w:rPr>
          <w:lang w:val="en_US" w:bidi="en_US"/>
        </w:rPr>
        <w:t>siblings</w:t>
      </w:r>
    </w:p>
    <w:p>
      <w:pPr/>
      <w:r>
        <w:rPr>
          <w:lang w:val="en_US" w:bidi="en_US"/>
        </w:rPr>
      </w:r>
      <w:r>
        <w:rPr>
          <w:lang w:val="en_US" w:bidi="en_US"/>
        </w:rPr>
        <w:t>younger-siblings</w:t>
      </w:r>
    </w:p>
    <w:p>
      <w:pPr/>
      <w:r>
        <w:rPr>
          <w:lang w:val="en_US" w:bidi="en_US"/>
        </w:rPr>
      </w:r>
      <w:r>
        <w:rPr>
          <w:b/>
          <w:lang w:val="en_US" w:bidi="en_US"/>
        </w:rPr>
        <w:t>came to see Him:</w:t>
      </w:r>
      <w:r>
        <w:rPr>
          <w:lang w:val="en_US" w:bidi="en_US"/>
        </w:rPr>
        <w:t xml:space="preserve"> The Greek phrase that the BSB translates as </w:t>
      </w:r>
      <w:r>
        <w:rPr>
          <w:i/>
          <w:lang w:val="en_US" w:bidi="en_US"/>
        </w:rPr>
        <w:t>came to see Him</w:t>
      </w:r>
      <w:r>
        <w:rPr>
          <w:lang w:val="en_US" w:bidi="en_US"/>
        </w:rPr>
        <w:t xml:space="preserve"> is literally “came to Him.” Several English versions use the word </w:t>
      </w:r>
      <w:r>
        <w:rPr>
          <w:i/>
          <w:lang w:val="en_US" w:bidi="en_US"/>
        </w:rPr>
        <w:t>see</w:t>
      </w:r>
      <w:r>
        <w:rPr>
          <w:lang w:val="en_US" w:bidi="en_US"/>
        </w:rPr>
        <w:t xml:space="preserve"> here, since it occurs in 8:20c. Jesus’ mother and brothers wanted to see Jesus and talk to him. They did not simply want to look at him from a distance. In some languages it may be necessary to make this clear in some way. For example:</w:t>
      </w:r>
    </w:p>
    <w:p>
      <w:pPr/>
      <w:r>
        <w:rPr>
          <w:lang w:val="en_US" w:bidi="en_US"/>
        </w:rPr>
      </w:r>
      <w:r>
        <w:rPr>
          <w:lang w:val="en_US" w:bidi="en_US"/>
        </w:rPr>
        <w:t>came to him (GNT)</w:t>
      </w:r>
    </w:p>
    <w:p>
      <w:pPr/>
      <w:r>
        <w:rPr>
          <w:lang w:val="en_US" w:bidi="en_US"/>
        </w:rPr>
      </w:r>
      <w:r>
        <w:rPr>
          <w:lang w:val="en_US" w:bidi="en_US"/>
        </w:rPr>
        <w:t xml:space="preserve">came to </w:t>
      </w:r>
      <w:r>
        <w:rPr>
          <w:lang w:val="en_US" w:bidi="en_US"/>
        </w:rPr>
        <w:t>talk to</w:t>
      </w:r>
      <w:r>
        <w:rPr>
          <w:lang w:val="en_US" w:bidi="en_US"/>
        </w:rPr>
        <w:t xml:space="preserve"> him</w:t>
      </w:r>
    </w:p>
    <w:p>
      <w:pPr/>
      <w:r>
        <w:rPr>
          <w:lang w:val="en_US" w:bidi="en_US"/>
        </w:rPr>
      </w:r>
      <w:r>
        <w:rPr>
          <w:lang w:val="en_US" w:bidi="en_US"/>
        </w:rPr>
        <w:t xml:space="preserve">came to </w:t>
      </w:r>
      <w:r>
        <w:rPr>
          <w:lang w:val="en_US" w:bidi="en_US"/>
        </w:rPr>
        <w:t>meet with</w:t>
      </w:r>
      <w:r>
        <w:rPr>
          <w:lang w:val="en_US" w:bidi="en_US"/>
        </w:rPr>
        <w:t xml:space="preserve"> him</w:t>
      </w:r>
    </w:p>
    <w:p>
      <w:pPr>
        <w:pStyle w:val="Heading5"/>
      </w:pPr>
      <w:r>
        <w:rPr>
          <w:lang w:val="en_US" w:bidi="en_US"/>
        </w:rPr>
        <w:t>8:19b</w:t>
      </w:r>
    </w:p>
    <w:p>
      <w:pPr/>
      <w:r>
        <w:rPr>
          <w:lang w:val="en_US" w:bidi="en_US"/>
        </w:rPr>
      </w:r>
      <w:r>
        <w:rPr>
          <w:b/>
          <w:lang w:val="en_US" w:bidi="en_US"/>
        </w:rPr>
        <w:t>but they were unable to reach Him because of the crowd.</w:t>
      </w:r>
    </w:p>
    <w:p>
      <w:pPr>
        <w:pStyle w:val="ListBullet"/>
        <w:spacing w:line="240" w:lineRule="auto"/>
        <w:ind w:left="720"/>
      </w:pPr>
      <w:r>
        <w:rPr>
          <w:lang w:val="en_US" w:bidi="en_US"/>
        </w:rPr>
      </w:r>
      <w:r>
        <w:rPr>
          <w:lang w:val="en_US" w:bidi="en_US"/>
        </w:rPr>
        <w:t>But they could not get close to him because so many people were crowding around him.</w:t>
      </w:r>
    </w:p>
    <w:p>
      <w:pPr>
        <w:pStyle w:val="ListBullet"/>
        <w:spacing w:line="240" w:lineRule="auto"/>
        <w:ind w:left="720"/>
      </w:pPr>
      <w:r>
        <w:rPr>
          <w:lang w:val="en_US" w:bidi="en_US"/>
        </w:rPr>
      </w:r>
      <w:r>
        <w:rPr>
          <w:lang w:val="en_US" w:bidi="en_US"/>
        </w:rPr>
        <w:t xml:space="preserve">However, </w:t>
      </w:r>
      <w:r>
        <w:rPr>
          <w:lang w:val="en_US" w:bidi="en_US"/>
        </w:rPr>
        <w:t>Jesus was surrounded by</w:t>
      </w:r>
      <w:r>
        <w:rPr>
          <w:lang w:val="en_US" w:bidi="en_US"/>
        </w:rPr>
        <w:t xml:space="preserve"> </w:t>
      </w:r>
      <w:r>
        <w:rPr>
          <w:lang w:val="en_US" w:bidi="en_US"/>
        </w:rPr>
        <w:t>such a large</w:t>
      </w:r>
      <w:r>
        <w:rPr>
          <w:lang w:val="en_US" w:bidi="en_US"/>
        </w:rPr>
        <w:t xml:space="preserve"> crowd that his mother and brothers were unable to get near him.</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is most often translated into English as “and.” Here most English versions translate it as “but” because this part of the verse contrasts with 8:19a. Jesus’ mother and brothers were not able to see him as they wanted and expected to. Connect 8:19a to 8:19b in a way that is natural in your language.</w:t>
      </w:r>
    </w:p>
    <w:p>
      <w:pPr/>
      <w:r>
        <w:rPr>
          <w:lang w:val="en_US" w:bidi="en_US"/>
        </w:rPr>
      </w:r>
      <w:r>
        <w:rPr>
          <w:b/>
          <w:lang w:val="en_US" w:bidi="en_US"/>
        </w:rPr>
        <w:t>they were unable to reach Him because of the crowd:</w:t>
      </w:r>
      <w:r>
        <w:rPr>
          <w:lang w:val="en_US" w:bidi="en_US"/>
        </w:rPr>
        <w:t xml:space="preserve"> The phrase </w:t>
      </w:r>
      <w:r>
        <w:rPr>
          <w:i/>
          <w:lang w:val="en_US" w:bidi="en_US"/>
        </w:rPr>
        <w:t>because of the crowd</w:t>
      </w:r>
      <w:r>
        <w:rPr>
          <w:lang w:val="en_US" w:bidi="en_US"/>
        </w:rPr>
        <w:t xml:space="preserve"> indicates that many people were sitting around Jesus as he taught (see Mark 3:32). Jesus’ mother and brothers were not able to come to Jesus because they could not get through that large crowd of people. Other ways to say this are:</w:t>
      </w:r>
    </w:p>
    <w:p>
      <w:pPr/>
      <w:r>
        <w:rPr>
          <w:lang w:val="en_US" w:bidi="en_US"/>
        </w:rPr>
      </w:r>
      <w:r>
        <w:rPr>
          <w:lang w:val="en_US" w:bidi="en_US"/>
        </w:rPr>
        <w:t xml:space="preserve">they could not reach him because of the crowd </w:t>
      </w:r>
      <w:r>
        <w:rPr>
          <w:lang w:val="en_US" w:bidi="en_US"/>
        </w:rPr>
        <w:t>of people</w:t>
      </w:r>
      <w:r>
        <w:rPr>
          <w:lang w:val="en_US" w:bidi="en_US"/>
        </w:rPr>
        <w:t xml:space="preserve"> </w:t>
      </w:r>
      <w:r>
        <w:rPr>
          <w:lang w:val="en_US" w:bidi="en_US"/>
        </w:rPr>
        <w:t>around him</w:t>
      </w:r>
    </w:p>
    <w:p>
      <w:pPr/>
      <w:r>
        <w:rPr>
          <w:lang w:val="en_US" w:bidi="en_US"/>
        </w:rPr>
      </w:r>
      <w:r>
        <w:rPr>
          <w:lang w:val="en_US" w:bidi="en_US"/>
        </w:rPr>
        <w:t xml:space="preserve">but they could not </w:t>
      </w:r>
      <w:r>
        <w:rPr>
          <w:lang w:val="en_US" w:bidi="en_US"/>
        </w:rPr>
        <w:t>press through</w:t>
      </w:r>
      <w:r>
        <w:rPr>
          <w:lang w:val="en_US" w:bidi="en_US"/>
        </w:rPr>
        <w:t xml:space="preserve"> the crowd to join him</w:t>
      </w:r>
    </w:p>
    <w:p>
      <w:pPr/>
      <w:r>
        <w:rPr>
          <w:lang w:val="en_US" w:bidi="en_US"/>
        </w:rPr>
      </w:r>
      <w:r>
        <w:rPr>
          <w:lang w:val="en_US" w:bidi="en_US"/>
        </w:rPr>
        <w:t>In some languages it may be necessary to change the order of information here and first give the reason why Jesus’ mother and brothers could not get near him:</w:t>
      </w:r>
    </w:p>
    <w:p>
      <w:pPr/>
      <w:r>
        <w:rPr>
          <w:lang w:val="en_US" w:bidi="en_US"/>
        </w:rPr>
      </w:r>
      <w:r>
        <w:rPr>
          <w:lang w:val="en_US" w:bidi="en_US"/>
        </w:rPr>
        <w:t xml:space="preserve">there was a crowd </w:t>
      </w:r>
      <w:r>
        <w:rPr>
          <w:lang w:val="en_US" w:bidi="en_US"/>
        </w:rPr>
        <w:t>surrounding him</w:t>
      </w:r>
      <w:r>
        <w:rPr>
          <w:lang w:val="en_US" w:bidi="en_US"/>
        </w:rPr>
        <w:t>, so they could not get near</w:t>
      </w:r>
      <w:r>
        <w:rPr>
          <w:lang w:val="en_US" w:bidi="en_US"/>
        </w:rPr>
      </w:r>
      <w:r>
        <w:rPr>
          <w:lang w:val="en_US" w:bidi="en_US"/>
        </w:rPr>
      </w:r>
    </w:p>
    <w:p>
      <w:pPr/>
      <w:r>
        <w:rPr>
          <w:lang w:val="en_US" w:bidi="en_US"/>
        </w:rPr>
      </w:r>
    </w:p>
    <w:p>
      <w:pPr>
        <w:pStyle w:val="Heading2"/>
      </w:pPr>
      <w:r>
        <w:rPr>
          <w:lang w:val="en_US" w:bidi="en_US"/>
        </w:rPr>
        <w:t>Luke 8:20</w:t>
      </w:r>
      <w:r>
        <w:rPr>
          <w:lang w:val="en_US" w:bidi="en_US"/>
        </w:rPr>
      </w:r>
    </w:p>
    <w:p>
      <w:pPr>
        <w:pStyle w:val="Heading4"/>
      </w:pPr>
      <w:r>
        <w:rPr>
          <w:lang w:val="en_US" w:bidi="en_US"/>
        </w:rPr>
        <w:t>Section 8:19–21: Jesus said that people who obey God’s word are his real family</w:t>
      </w:r>
    </w:p>
    <w:p>
      <w:pPr/>
      <w:r>
        <w:rPr>
          <w:lang w:val="en_US" w:bidi="en_US"/>
        </w:rPr>
      </w:r>
      <w:r>
        <w:rPr>
          <w:lang w:val="en_US" w:bidi="en_US"/>
        </w:rPr>
        <w:t>In this section Jesus’ mother and brothers came to see him. However, they could not get to him because there were many other people around him. The theme of this section is similar to the theme of 8:4–18. In 8:4–18, the text emphasized that people should listen carefully to Jesus’ teaching. In this section, Jesus said that people who hear and obey God’s message are members of his family. They are as closely related to him as his own mother and brothers are.</w:t>
      </w:r>
    </w:p>
    <w:p>
      <w:pPr/>
      <w:r>
        <w:rPr>
          <w:lang w:val="en_US" w:bidi="en_US"/>
        </w:rPr>
      </w:r>
      <w:r>
        <w:rPr>
          <w:lang w:val="en_US" w:bidi="en_US"/>
        </w:rPr>
        <w:t>Some other possible headings for this section are:</w:t>
      </w:r>
    </w:p>
    <w:p>
      <w:pPr/>
      <w:r>
        <w:rPr>
          <w:lang w:val="en_US" w:bidi="en_US"/>
        </w:rPr>
      </w:r>
      <w:r>
        <w:rPr>
          <w:lang w:val="en_US" w:bidi="en_US"/>
        </w:rPr>
        <w:t>All who obey God are members of Jesus’ family</w:t>
      </w:r>
    </w:p>
    <w:p>
      <w:pPr/>
      <w:r>
        <w:rPr>
          <w:lang w:val="en_US" w:bidi="en_US"/>
        </w:rPr>
      </w:r>
      <w:r>
        <w:rPr>
          <w:lang w:val="en_US" w:bidi="en_US"/>
        </w:rPr>
        <w:t>Jesus’ True Family (NET)</w:t>
      </w:r>
    </w:p>
    <w:p>
      <w:pPr/>
      <w:r>
        <w:rPr>
          <w:lang w:val="en_US" w:bidi="en_US"/>
        </w:rPr>
      </w:r>
      <w:r>
        <w:rPr>
          <w:lang w:val="en_US" w:bidi="en_US"/>
        </w:rPr>
        <w:t>Jesus’ Mother and Brothers (GNT)</w:t>
      </w:r>
    </w:p>
    <w:p>
      <w:pPr/>
      <w:r>
        <w:rPr>
          <w:lang w:val="en_US" w:bidi="en_US"/>
        </w:rPr>
      </w:r>
      <w:r>
        <w:rPr>
          <w:lang w:val="en_US" w:bidi="en_US"/>
        </w:rPr>
        <w:t>There are parallel passages for this section in Matthew 12:46–50 and Mark 3:31–35.</w:t>
      </w:r>
    </w:p>
    <w:p>
      <w:pPr>
        <w:pStyle w:val="Heading5"/>
      </w:pPr>
      <w:r>
        <w:rPr>
          <w:lang w:val="en_US" w:bidi="en_US"/>
        </w:rPr>
        <w:t>8:20a</w:t>
      </w:r>
    </w:p>
    <w:p>
      <w:pPr/>
      <w:r>
        <w:rPr>
          <w:lang w:val="en_US" w:bidi="en_US"/>
        </w:rPr>
      </w:r>
      <w:r>
        <w:rPr>
          <w:b/>
          <w:lang w:val="en_US" w:bidi="en_US"/>
        </w:rPr>
        <w:t>He was told,</w:t>
      </w:r>
    </w:p>
    <w:p>
      <w:pPr>
        <w:pStyle w:val="ListBullet"/>
        <w:spacing w:line="240" w:lineRule="auto"/>
        <w:ind w:left="720"/>
      </w:pPr>
      <w:r>
        <w:rPr>
          <w:lang w:val="en_US" w:bidi="en_US"/>
        </w:rPr>
      </w:r>
      <w:r>
        <w:rPr>
          <w:lang w:val="en_US" w:bidi="en_US"/>
        </w:rPr>
        <w:t>Someone said to him,</w:t>
      </w:r>
    </w:p>
    <w:p>
      <w:pPr>
        <w:pStyle w:val="ListBullet"/>
        <w:spacing w:line="240" w:lineRule="auto"/>
        <w:ind w:left="720"/>
      </w:pPr>
      <w:r>
        <w:rPr>
          <w:lang w:val="en_US" w:bidi="en_US"/>
        </w:rPr>
      </w:r>
      <w:r>
        <w:rPr>
          <w:lang w:val="en_US" w:bidi="en_US"/>
        </w:rPr>
        <w:t>The message/report came to him,</w:t>
      </w:r>
    </w:p>
    <w:p>
      <w:pPr/>
      <w:r>
        <w:rPr>
          <w:lang w:val="en_US" w:bidi="en_US"/>
        </w:rPr>
      </w:r>
      <w:r>
        <w:rPr>
          <w:b/>
          <w:lang w:val="en_US" w:bidi="en_US"/>
        </w:rPr>
        <w:t>He was told:</w:t>
      </w:r>
      <w:r>
        <w:rPr>
          <w:lang w:val="en_US" w:bidi="en_US"/>
        </w:rPr>
        <w:t xml:space="preserve"> The Greek phrase that the BSB translates as </w:t>
      </w:r>
      <w:r>
        <w:rPr>
          <w:i/>
          <w:lang w:val="en_US" w:bidi="en_US"/>
        </w:rPr>
        <w:t>He was told</w:t>
      </w:r>
      <w:r>
        <w:rPr>
          <w:lang w:val="en_US" w:bidi="en_US"/>
        </w:rPr>
        <w:t xml:space="preserve"> is literally “it was reported to him” (as in the NASB). The text does not tell who said this to Jesus.</w:t>
      </w:r>
      <w:r>
        <w:rPr>
          <w:lang w:val="en_US" w:bidi="en_US"/>
        </w:rPr>
        <w:t>Matthew gives this as one man (Matthew 12:47) while Mark uses a plural verb (Mark 3:32).</w:t>
      </w:r>
      <w:r>
        <w:rPr>
          <w:lang w:val="en_US" w:bidi="en_US"/>
        </w:rPr>
        <w:t xml:space="preserve"> Other ways to say this are:</w:t>
      </w:r>
    </w:p>
    <w:p>
      <w:pPr/>
      <w:r>
        <w:rPr>
          <w:lang w:val="en_US" w:bidi="en_US"/>
        </w:rPr>
      </w:r>
      <w:r>
        <w:rPr>
          <w:lang w:val="en_US" w:bidi="en_US"/>
        </w:rPr>
        <w:t>Someone brought him the message that</w:t>
      </w:r>
    </w:p>
    <w:p>
      <w:pPr/>
      <w:r>
        <w:rPr>
          <w:lang w:val="en_US" w:bidi="en_US"/>
        </w:rPr>
      </w:r>
      <w:r>
        <w:rPr>
          <w:lang w:val="en_US" w:bidi="en_US"/>
        </w:rPr>
        <w:t>the message/report came to him</w:t>
      </w:r>
    </w:p>
    <w:p>
      <w:pPr/>
      <w:r>
        <w:rPr>
          <w:lang w:val="en_US" w:bidi="en_US"/>
        </w:rPr>
      </w:r>
      <w:r>
        <w:rPr>
          <w:lang w:val="en_US" w:bidi="en_US"/>
        </w:rPr>
        <w:t>Jesus was told</w:t>
      </w:r>
    </w:p>
    <w:p>
      <w:pPr>
        <w:pStyle w:val="Heading5"/>
      </w:pPr>
      <w:r>
        <w:rPr>
          <w:lang w:val="en_US" w:bidi="en_US"/>
        </w:rPr>
        <w:t>8:20b</w:t>
      </w:r>
    </w:p>
    <w:p>
      <w:pPr/>
      <w:r>
        <w:rPr>
          <w:lang w:val="en_US" w:bidi="en_US"/>
        </w:rPr>
      </w:r>
      <w:r>
        <w:rPr>
          <w:b/>
          <w:lang w:val="en_US" w:bidi="en_US"/>
        </w:rPr>
        <w:t>“Your mother and brothers are standing outside,</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mother and </w:t>
      </w:r>
      <w:r>
        <w:rPr>
          <w:lang w:val="en_US" w:bidi="en_US"/>
        </w:rPr>
        <w:t>your</w:t>
      </w:r>
      <w:r>
        <w:rPr>
          <w:lang w:val="en_US" w:bidi="en_US"/>
        </w:rPr>
        <w:t xml:space="preserve"> brothers are standing outside.</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mother and </w:t>
      </w:r>
      <w:r>
        <w:rPr>
          <w:lang w:val="en_US" w:bidi="en_US"/>
        </w:rPr>
        <w:t>your</w:t>
      </w:r>
      <w:r>
        <w:rPr>
          <w:lang w:val="en_US" w:bidi="en_US"/>
        </w:rPr>
        <w:t xml:space="preserve"> brothers are standing on the outskirts </w:t>
      </w:r>
      <w:r>
        <w:rPr>
          <w:lang w:val="en_US" w:bidi="en_US"/>
        </w:rPr>
        <w:t>of the crowd</w:t>
      </w:r>
    </w:p>
    <w:p>
      <w:pPr/>
      <w:r>
        <w:rPr>
          <w:lang w:val="en_US" w:bidi="en_US"/>
        </w:rPr>
      </w:r>
      <w:r>
        <w:rPr>
          <w:b/>
          <w:lang w:val="en_US" w:bidi="en_US"/>
        </w:rPr>
        <w:t>standing outside:</w:t>
      </w:r>
      <w:r>
        <w:rPr>
          <w:lang w:val="en_US" w:bidi="en_US"/>
        </w:rPr>
        <w:t xml:space="preserve"> The context implies that Jesus had been teaching outside, not in a house. If this is true, the phrase </w:t>
      </w:r>
      <w:r>
        <w:rPr>
          <w:i/>
          <w:lang w:val="en_US" w:bidi="en_US"/>
        </w:rPr>
        <w:t>standing outside</w:t>
      </w:r>
      <w:r>
        <w:rPr>
          <w:lang w:val="en_US" w:bidi="en_US"/>
        </w:rPr>
        <w:t xml:space="preserve"> indicates that his mother and brothers were on the outskirts of the crowd around Jesus.</w:t>
      </w:r>
      <w:r>
        <w:rPr>
          <w:lang w:val="en_US" w:bidi="en_US"/>
        </w:rPr>
        <w:t xml:space="preserve">See Lenski. The alternative position is that this refers to “outside of the house” as mentioned in Mark 3:20 and 3:31. It may be that </w:t>
      </w:r>
      <w:r>
        <w:rPr>
          <w:i/>
          <w:lang w:val="en_US" w:bidi="en_US"/>
        </w:rPr>
        <w:t>εξω</w:t>
      </w:r>
      <w:r>
        <w:rPr>
          <w:lang w:val="en_US" w:bidi="en_US"/>
        </w:rPr>
        <w:t xml:space="preserve"> used as an adverb (as opposed to as a preposition with specified object) and with no specific mention of place means “outside, out-of-doors” and so carried the implication that Jesus was inside (see Marshall on 8:20).</w:t>
      </w:r>
      <w:r>
        <w:rPr>
          <w:lang w:val="en_US" w:bidi="en_US"/>
        </w:rPr>
        <w:t xml:space="preserve"> You could make this explicit in your language if you need to. For example:</w:t>
      </w:r>
    </w:p>
    <w:p>
      <w:pPr/>
      <w:r>
        <w:rPr>
          <w:lang w:val="en_US" w:bidi="en_US"/>
        </w:rPr>
      </w:r>
      <w:r>
        <w:rPr>
          <w:lang w:val="en_US" w:bidi="en_US"/>
        </w:rPr>
        <w:t xml:space="preserve">standing on the edge </w:t>
      </w:r>
      <w:r>
        <w:rPr>
          <w:lang w:val="en_US" w:bidi="en_US"/>
        </w:rPr>
        <w:t>of the crowd</w:t>
      </w:r>
    </w:p>
    <w:p>
      <w:pPr>
        <w:pStyle w:val="Heading5"/>
      </w:pPr>
      <w:r>
        <w:rPr>
          <w:lang w:val="en_US" w:bidi="en_US"/>
        </w:rPr>
        <w:t>8:20c</w:t>
      </w:r>
    </w:p>
    <w:p>
      <w:pPr/>
      <w:r>
        <w:rPr>
          <w:lang w:val="en_US" w:bidi="en_US"/>
        </w:rPr>
      </w:r>
      <w:r>
        <w:rPr>
          <w:b/>
          <w:lang w:val="en_US" w:bidi="en_US"/>
        </w:rPr>
        <w:t>wanting to see You.”</w:t>
      </w:r>
    </w:p>
    <w:p>
      <w:pPr>
        <w:pStyle w:val="ListBullet"/>
        <w:spacing w:line="240" w:lineRule="auto"/>
        <w:ind w:left="720"/>
      </w:pPr>
      <w:r>
        <w:rPr>
          <w:lang w:val="en_US" w:bidi="en_US"/>
        </w:rPr>
      </w:r>
      <w:r>
        <w:rPr>
          <w:lang w:val="en_US" w:bidi="en_US"/>
        </w:rPr>
        <w:t>They want to see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hoping </w:t>
      </w:r>
      <w:r>
        <w:rPr>
          <w:lang w:val="en_US" w:bidi="en_US"/>
        </w:rPr>
        <w:t>to meet with</w:t>
      </w:r>
      <w:r>
        <w:rPr>
          <w:lang w:val="en_US" w:bidi="en_US"/>
        </w:rPr>
        <w:t xml:space="preserve">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and they want </w:t>
      </w:r>
      <w:r>
        <w:rPr>
          <w:lang w:val="en_US" w:bidi="en_US"/>
        </w:rPr>
        <w:t>to talk to</w:t>
      </w:r>
      <w:r>
        <w:rPr>
          <w:lang w:val="en_US" w:bidi="en_US"/>
        </w:rPr>
        <w:t xml:space="preserve"> you.”</w:t>
      </w:r>
    </w:p>
    <w:p>
      <w:pPr/>
      <w:r>
        <w:rPr>
          <w:lang w:val="en_US" w:bidi="en_US"/>
        </w:rPr>
      </w:r>
      <w:r>
        <w:rPr>
          <w:b/>
          <w:lang w:val="en_US" w:bidi="en_US"/>
        </w:rPr>
        <w:t>wanting to see You:</w:t>
      </w:r>
      <w:r>
        <w:rPr>
          <w:lang w:val="en_US" w:bidi="en_US"/>
        </w:rPr>
        <w:t xml:space="preserve"> This phrase explains the reason why Jesus’ mother and brothers had come to where he was. Express this reason in a natural way in your language. One way to translate it in English is:</w:t>
      </w:r>
    </w:p>
    <w:p>
      <w:pPr/>
      <w:r>
        <w:rPr>
          <w:lang w:val="en_US" w:bidi="en_US"/>
        </w:rPr>
      </w:r>
      <w:r>
        <w:rPr>
          <w:u w:val="single"/>
          <w:lang w:val="en_US" w:bidi="en_US"/>
        </w:rPr>
        <w:t>because</w:t>
      </w:r>
      <w:r>
        <w:rPr>
          <w:lang w:val="en_US" w:bidi="en_US"/>
        </w:rPr>
        <w:t xml:space="preserve"> they want to see you</w:t>
      </w:r>
    </w:p>
    <w:p>
      <w:pPr>
        <w:pStyle w:val="Heading6"/>
      </w:pPr>
      <w:r>
        <w:rPr>
          <w:b/>
          <w:lang w:val="en_US" w:bidi="en_US"/>
        </w:rPr>
        <w:t>General Comment on 8:20a–c</w:t>
      </w:r>
    </w:p>
    <w:p>
      <w:pPr/>
      <w:r>
        <w:rPr>
          <w:lang w:val="en_US" w:bidi="en_US"/>
        </w:rPr>
      </w:r>
      <w:r>
        <w:rPr>
          <w:lang w:val="en_US" w:bidi="en_US"/>
        </w:rPr>
        <w:t>If your language prefers indirect speech, you could say:</w:t>
      </w:r>
    </w:p>
    <w:p>
      <w:pPr/>
      <w:r>
        <w:rPr>
          <w:lang w:val="en_US" w:bidi="en_US"/>
        </w:rPr>
      </w:r>
      <w:r>
        <w:rPr>
          <w:lang w:val="en_US" w:bidi="en_US"/>
        </w:rPr>
        <w:t>Jesus heard that his mother and brothers were standing outside wanting to see him.</w:t>
      </w:r>
    </w:p>
    <w:p>
      <w:pPr/>
      <w:r>
        <w:rPr>
          <w:lang w:val="en_US" w:bidi="en_US"/>
        </w:rPr>
      </w:r>
      <w:r>
        <w:rPr>
          <w:lang w:val="en_US" w:bidi="en_US"/>
        </w:rPr>
        <w:t>In some languages it may be more natural to change the order of some information in this verse. For example:</w:t>
      </w:r>
    </w:p>
    <w:p>
      <w:pPr/>
      <w:r>
        <w:rPr>
          <w:lang w:val="en_US" w:bidi="en_US"/>
        </w:rPr>
      </w:r>
      <w:r>
        <w:rPr>
          <w:vertAlign w:val="superscript"/>
          <w:lang w:val="en_US" w:bidi="en_US"/>
        </w:rPr>
        <w:t>20a</w:t>
      </w:r>
      <w:r>
        <w:rPr>
          <w:lang w:val="en_US" w:bidi="en_US"/>
        </w:rPr>
        <w:t xml:space="preserve">Someone told Jesus, </w:t>
      </w:r>
      <w:r>
        <w:rPr>
          <w:vertAlign w:val="superscript"/>
          <w:lang w:val="en_US" w:bidi="en_US"/>
        </w:rPr>
        <w:t>20b</w:t>
      </w:r>
      <w:r>
        <w:rPr>
          <w:lang w:val="en_US" w:bidi="en_US"/>
        </w:rPr>
        <w:t xml:space="preserve">“Your mother and brothers </w:t>
      </w:r>
      <w:r>
        <w:rPr>
          <w:vertAlign w:val="superscript"/>
          <w:lang w:val="en_US" w:bidi="en_US"/>
        </w:rPr>
        <w:t>20c</w:t>
      </w:r>
      <w:r>
        <w:rPr>
          <w:lang w:val="en_US" w:bidi="en_US"/>
        </w:rPr>
        <w:t xml:space="preserve">are here to see you, </w:t>
      </w:r>
      <w:r>
        <w:rPr>
          <w:vertAlign w:val="superscript"/>
          <w:lang w:val="en_US" w:bidi="en_US"/>
        </w:rPr>
        <w:t>20b</w:t>
      </w:r>
      <w:r>
        <w:rPr>
          <w:lang w:val="en_US" w:bidi="en_US"/>
        </w:rPr>
        <w:t xml:space="preserve">and they are standing on the edge </w:t>
      </w:r>
      <w:r>
        <w:rPr>
          <w:lang w:val="en_US" w:bidi="en_US"/>
        </w:rPr>
        <w:t>of the crowd</w:t>
      </w:r>
      <w:r>
        <w:rPr>
          <w:lang w:val="en_US" w:bidi="en_US"/>
        </w:rPr>
        <w:t>.”</w:t>
      </w:r>
      <w:r>
        <w:rPr>
          <w:lang w:val="en_US" w:bidi="en_US"/>
        </w:rPr>
      </w:r>
      <w:r>
        <w:rPr>
          <w:lang w:val="en_US" w:bidi="en_US"/>
        </w:rPr>
      </w:r>
    </w:p>
    <w:p>
      <w:pPr/>
      <w:r>
        <w:rPr>
          <w:lang w:val="en_US" w:bidi="en_US"/>
        </w:rPr>
      </w:r>
    </w:p>
    <w:p>
      <w:pPr>
        <w:pStyle w:val="Heading2"/>
      </w:pPr>
      <w:r>
        <w:rPr>
          <w:lang w:val="en_US" w:bidi="en_US"/>
        </w:rPr>
        <w:t>Luke 8:21</w:t>
      </w:r>
      <w:r>
        <w:rPr>
          <w:lang w:val="en_US" w:bidi="en_US"/>
        </w:rPr>
      </w:r>
    </w:p>
    <w:p>
      <w:pPr>
        <w:pStyle w:val="Heading4"/>
      </w:pPr>
      <w:r>
        <w:rPr>
          <w:lang w:val="en_US" w:bidi="en_US"/>
        </w:rPr>
        <w:t>Section 8:19–21: Jesus said that people who obey God’s word are his real family</w:t>
      </w:r>
    </w:p>
    <w:p>
      <w:pPr/>
      <w:r>
        <w:rPr>
          <w:lang w:val="en_US" w:bidi="en_US"/>
        </w:rPr>
      </w:r>
      <w:r>
        <w:rPr>
          <w:lang w:val="en_US" w:bidi="en_US"/>
        </w:rPr>
        <w:t>In this section Jesus’ mother and brothers came to see him. However, they could not get to him because there were many other people around him. The theme of this section is similar to the theme of 8:4–18. In 8:4–18, the text emphasized that people should listen carefully to Jesus’ teaching. In this section, Jesus said that people who hear and obey God’s message are members of his family. They are as closely related to him as his own mother and brothers are.</w:t>
      </w:r>
    </w:p>
    <w:p>
      <w:pPr/>
      <w:r>
        <w:rPr>
          <w:lang w:val="en_US" w:bidi="en_US"/>
        </w:rPr>
      </w:r>
      <w:r>
        <w:rPr>
          <w:lang w:val="en_US" w:bidi="en_US"/>
        </w:rPr>
        <w:t>Some other possible headings for this section are:</w:t>
      </w:r>
    </w:p>
    <w:p>
      <w:pPr/>
      <w:r>
        <w:rPr>
          <w:lang w:val="en_US" w:bidi="en_US"/>
        </w:rPr>
      </w:r>
      <w:r>
        <w:rPr>
          <w:lang w:val="en_US" w:bidi="en_US"/>
        </w:rPr>
        <w:t>All who obey God are members of Jesus’ family</w:t>
      </w:r>
    </w:p>
    <w:p>
      <w:pPr/>
      <w:r>
        <w:rPr>
          <w:lang w:val="en_US" w:bidi="en_US"/>
        </w:rPr>
      </w:r>
      <w:r>
        <w:rPr>
          <w:lang w:val="en_US" w:bidi="en_US"/>
        </w:rPr>
        <w:t>Jesus’ True Family (NET)</w:t>
      </w:r>
    </w:p>
    <w:p>
      <w:pPr/>
      <w:r>
        <w:rPr>
          <w:lang w:val="en_US" w:bidi="en_US"/>
        </w:rPr>
      </w:r>
      <w:r>
        <w:rPr>
          <w:lang w:val="en_US" w:bidi="en_US"/>
        </w:rPr>
        <w:t>Jesus’ Mother and Brothers (GNT)</w:t>
      </w:r>
    </w:p>
    <w:p>
      <w:pPr/>
      <w:r>
        <w:rPr>
          <w:lang w:val="en_US" w:bidi="en_US"/>
        </w:rPr>
      </w:r>
      <w:r>
        <w:rPr>
          <w:lang w:val="en_US" w:bidi="en_US"/>
        </w:rPr>
        <w:t>There are parallel passages for this section in Matthew 12:46–50 and Mark 3:31–35.</w:t>
      </w:r>
    </w:p>
    <w:p>
      <w:pPr>
        <w:pStyle w:val="Heading5"/>
      </w:pPr>
      <w:r>
        <w:rPr>
          <w:lang w:val="en_US" w:bidi="en_US"/>
        </w:rPr>
        <w:t>8:21a</w:t>
      </w:r>
    </w:p>
    <w:p>
      <w:pPr/>
      <w:r>
        <w:rPr>
          <w:lang w:val="en_US" w:bidi="en_US"/>
        </w:rPr>
      </w:r>
      <w:r>
        <w:rPr>
          <w:b/>
          <w:lang w:val="en_US" w:bidi="en_US"/>
        </w:rPr>
        <w:t>But He replied,</w:t>
      </w:r>
    </w:p>
    <w:p>
      <w:pPr>
        <w:pStyle w:val="ListBullet"/>
        <w:spacing w:line="240" w:lineRule="auto"/>
        <w:ind w:left="720"/>
      </w:pPr>
      <w:r>
        <w:rPr>
          <w:lang w:val="en_US" w:bidi="en_US"/>
        </w:rPr>
      </w:r>
      <w:r>
        <w:rPr>
          <w:lang w:val="en_US" w:bidi="en_US"/>
        </w:rPr>
        <w:t>But he/Jesus answered by saying to them all,</w:t>
      </w:r>
    </w:p>
    <w:p>
      <w:pPr>
        <w:pStyle w:val="ListBullet"/>
        <w:spacing w:line="240" w:lineRule="auto"/>
        <w:ind w:left="720"/>
      </w:pPr>
      <w:r>
        <w:rPr>
          <w:lang w:val="en_US" w:bidi="en_US"/>
        </w:rPr>
      </w:r>
      <w:r>
        <w:rPr>
          <w:lang w:val="en_US" w:bidi="en_US"/>
        </w:rPr>
        <w:t>He said,</w:t>
      </w:r>
    </w:p>
    <w:p>
      <w:pPr/>
      <w:r>
        <w:rPr>
          <w:lang w:val="en_US" w:bidi="en_US"/>
        </w:rPr>
      </w:r>
      <w:r>
        <w:rPr>
          <w:b/>
          <w:lang w:val="en_US" w:bidi="en_US"/>
        </w:rPr>
        <w:t>But:</w:t>
      </w:r>
      <w:r>
        <w:rPr>
          <w:lang w:val="en_US" w:bidi="en_US"/>
        </w:rPr>
        <w:t xml:space="preserve"> This verse begins with a Greek conjunction that is often translated as “and.” Jesus’ reply was not what anyone expected, so the BSB and some other English versions (RSV, NJB) translate this conjunction as </w:t>
      </w:r>
      <w:r>
        <w:rPr>
          <w:i/>
          <w:lang w:val="en_US" w:bidi="en_US"/>
        </w:rPr>
        <w:t>But</w:t>
      </w:r>
      <w:r>
        <w:rPr>
          <w:lang w:val="en_US" w:bidi="en_US"/>
        </w:rPr>
        <w:t>. Other versions do not use a conjunction here (NIV, GNT). Connect this verse to 8:20 in a way that is natural in your language.</w:t>
      </w:r>
    </w:p>
    <w:p>
      <w:pPr/>
      <w:r>
        <w:rPr>
          <w:lang w:val="en_US" w:bidi="en_US"/>
        </w:rPr>
      </w:r>
      <w:r>
        <w:rPr>
          <w:b/>
          <w:lang w:val="en_US" w:bidi="en_US"/>
        </w:rPr>
        <w:t>He replied:</w:t>
      </w:r>
      <w:r>
        <w:rPr>
          <w:lang w:val="en_US" w:bidi="en_US"/>
        </w:rPr>
        <w:t xml:space="preserve"> The Greek phrase that the BSB translates as </w:t>
      </w:r>
      <w:r>
        <w:rPr>
          <w:i/>
          <w:lang w:val="en_US" w:bidi="en_US"/>
        </w:rPr>
        <w:t>He replied</w:t>
      </w:r>
      <w:r>
        <w:rPr>
          <w:lang w:val="en_US" w:bidi="en_US"/>
        </w:rPr>
        <w:t xml:space="preserve"> is literally “He replying said to </w:t>
      </w:r>
      <w:r>
        <w:rPr>
          <w:u w:val="single"/>
          <w:lang w:val="en_US" w:bidi="en_US"/>
        </w:rPr>
        <w:t>them</w:t>
      </w:r>
      <w:r>
        <w:rPr>
          <w:lang w:val="en_US" w:bidi="en_US"/>
        </w:rPr>
        <w:t>.” This probably indicates that his reply was given to the messenger or messengers in 8:20a and for all the people in the crowd who were listening to him. Some ways to translate this are:</w:t>
      </w:r>
    </w:p>
    <w:p>
      <w:pPr>
        <w:pStyle w:val="ListBullet"/>
        <w:spacing w:line="240" w:lineRule="auto"/>
        <w:ind w:left="720"/>
      </w:pPr>
      <w:r>
        <w:rPr>
          <w:lang w:val="en_US" w:bidi="en_US"/>
        </w:rPr>
      </w:r>
      <w:r>
        <w:rPr>
          <w:lang w:val="en_US" w:bidi="en_US"/>
        </w:rPr>
        <w:t>introduce Jesus’ answer in a general way. For example:</w:t>
      </w:r>
      <w:r>
        <w:rPr>
          <w:lang w:val="en_US" w:bidi="en_US"/>
        </w:rPr>
        <w:t>Jesus said</w:t>
      </w:r>
      <w:r>
        <w:rPr>
          <w:lang w:val="en_US" w:bidi="en_US"/>
        </w:rPr>
        <w:t>But he said in answer (NJB)</w:t>
      </w:r>
    </w:p>
    <w:p>
      <w:pPr>
        <w:pStyle w:val="ListBullet"/>
        <w:spacing w:line="240" w:lineRule="auto"/>
        <w:ind w:left="720"/>
      </w:pPr>
      <w:r>
        <w:rPr>
          <w:lang w:val="en_US" w:bidi="en_US"/>
        </w:rPr>
      </w:r>
      <w:r>
        <w:rPr>
          <w:lang w:val="en_US" w:bidi="en_US"/>
        </w:rPr>
        <w:t>Make it clear that “them” refers to more than just the messenger or messengers. For example:</w:t>
      </w:r>
      <w:r>
        <w:rPr>
          <w:lang w:val="en_US" w:bidi="en_US"/>
        </w:rPr>
        <w:t xml:space="preserve">Jesus said to </w:t>
      </w:r>
      <w:r>
        <w:rPr>
          <w:u w:val="single"/>
          <w:lang w:val="en_US" w:bidi="en_US"/>
        </w:rPr>
        <w:t>them all</w:t>
      </w:r>
      <w:r>
        <w:rPr>
          <w:lang w:val="en_US" w:bidi="en_US"/>
        </w:rPr>
        <w:t xml:space="preserve"> (GNT)</w:t>
      </w:r>
    </w:p>
    <w:p>
      <w:pPr>
        <w:pStyle w:val="Heading5"/>
      </w:pPr>
      <w:r>
        <w:rPr>
          <w:lang w:val="en_US" w:bidi="en_US"/>
        </w:rPr>
        <w:t>8:21b</w:t>
      </w:r>
    </w:p>
    <w:p>
      <w:pPr/>
      <w:r>
        <w:rPr>
          <w:lang w:val="en_US" w:bidi="en_US"/>
        </w:rPr>
      </w:r>
      <w:r>
        <w:rPr>
          <w:b/>
          <w:lang w:val="en_US" w:bidi="en_US"/>
        </w:rPr>
        <w:t>“My mother and brothers are those who hear the word of God and carry it out.”</w:t>
      </w:r>
    </w:p>
    <w:p>
      <w:pPr>
        <w:pStyle w:val="ListBullet"/>
        <w:spacing w:line="240" w:lineRule="auto"/>
        <w:ind w:left="720"/>
      </w:pPr>
      <w:r>
        <w:rPr>
          <w:lang w:val="en_US" w:bidi="en_US"/>
        </w:rPr>
      </w:r>
      <w:r>
        <w:rPr>
          <w:lang w:val="en_US" w:bidi="en_US"/>
        </w:rPr>
        <w:t>“My mother and brothers are those who hear and obey the word/message from God.”</w:t>
      </w:r>
    </w:p>
    <w:p>
      <w:pPr>
        <w:pStyle w:val="ListBullet"/>
        <w:spacing w:line="240" w:lineRule="auto"/>
        <w:ind w:left="720"/>
      </w:pPr>
      <w:r>
        <w:rPr>
          <w:lang w:val="en_US" w:bidi="en_US"/>
        </w:rPr>
      </w:r>
      <w:r>
        <w:rPr>
          <w:lang w:val="en_US" w:bidi="en_US"/>
        </w:rPr>
        <w:t xml:space="preserve">“People who listen to and follow what God says/commands are </w:t>
      </w:r>
      <w:r>
        <w:rPr>
          <w:lang w:val="en_US" w:bidi="en_US"/>
        </w:rPr>
        <w:t>like</w:t>
      </w:r>
      <w:r>
        <w:rPr>
          <w:lang w:val="en_US" w:bidi="en_US"/>
        </w:rPr>
        <w:t xml:space="preserve"> my mother and brothers.”</w:t>
      </w:r>
    </w:p>
    <w:p>
      <w:pPr/>
      <w:r>
        <w:rPr>
          <w:lang w:val="en_US" w:bidi="en_US"/>
        </w:rPr>
      </w:r>
      <w:r>
        <w:rPr>
          <w:b/>
          <w:lang w:val="en_US" w:bidi="en_US"/>
        </w:rPr>
        <w:t>My mother and brothers are those who hear the word of God and carry it out:</w:t>
      </w:r>
      <w:r>
        <w:rPr>
          <w:lang w:val="en_US" w:bidi="en_US"/>
        </w:rPr>
        <w:t xml:space="preserve"> Here Jesus used the phrase </w:t>
      </w:r>
      <w:r>
        <w:rPr>
          <w:i/>
          <w:lang w:val="en_US" w:bidi="en_US"/>
        </w:rPr>
        <w:t>My mother and brothers</w:t>
      </w:r>
      <w:r>
        <w:rPr>
          <w:lang w:val="en_US" w:bidi="en_US"/>
        </w:rPr>
        <w:t xml:space="preserve"> in a figurative way. His statement means that people who listen to God’s word and obey it are like blood relatives to him. He considers them as his family. He did not imply here that all people who obey God’s word are literally from his physical family. You may want to make this clear in your translation. For example:</w:t>
      </w:r>
    </w:p>
    <w:p>
      <w:pPr/>
      <w:r>
        <w:rPr>
          <w:lang w:val="en_US" w:bidi="en_US"/>
        </w:rPr>
      </w:r>
      <w:r>
        <w:rPr>
          <w:lang w:val="en_US" w:bidi="en_US"/>
        </w:rPr>
        <w:t xml:space="preserve">Those who hear the word and put it into practice are </w:t>
      </w:r>
      <w:r>
        <w:rPr>
          <w:u w:val="single"/>
          <w:lang w:val="en_US" w:bidi="en_US"/>
        </w:rPr>
        <w:t>just like</w:t>
      </w:r>
      <w:r>
        <w:rPr>
          <w:lang w:val="en_US" w:bidi="en_US"/>
        </w:rPr>
        <w:t xml:space="preserve"> a mother and brothers to me.</w:t>
      </w:r>
    </w:p>
    <w:p>
      <w:pPr/>
      <w:r>
        <w:rPr>
          <w:lang w:val="en_US" w:bidi="en_US"/>
        </w:rPr>
      </w:r>
      <w:r>
        <w:rPr>
          <w:u w:val="single"/>
          <w:lang w:val="en_US" w:bidi="en_US"/>
        </w:rPr>
        <w:t>The people that I call/consider</w:t>
      </w:r>
      <w:r>
        <w:rPr>
          <w:lang w:val="en_US" w:bidi="en_US"/>
        </w:rPr>
        <w:t xml:space="preserve"> my mother and my brothers are those who hear God’s word and put it into practice.</w:t>
      </w:r>
    </w:p>
    <w:p>
      <w:pPr/>
      <w:r>
        <w:rPr>
          <w:lang w:val="en_US" w:bidi="en_US"/>
        </w:rPr>
      </w:r>
      <w:r>
        <w:rPr>
          <w:b/>
          <w:lang w:val="en_US" w:bidi="en_US"/>
        </w:rPr>
        <w:t>the word of God:</w:t>
      </w:r>
      <w:r>
        <w:rPr>
          <w:lang w:val="en_US" w:bidi="en_US"/>
        </w:rPr>
        <w:t xml:space="preserve"> The Greek phrase that the BSB translates as </w:t>
      </w:r>
      <w:r>
        <w:rPr>
          <w:i/>
          <w:lang w:val="en_US" w:bidi="en_US"/>
        </w:rPr>
        <w:t>the word of God</w:t>
      </w:r>
      <w:r>
        <w:rPr>
          <w:lang w:val="en_US" w:bidi="en_US"/>
        </w:rPr>
        <w:t xml:space="preserve"> means God’s message, the message that comes/came from God. Translate this in a way that can include not only the written Scriptures, but also Jesus’ teaching.</w:t>
      </w:r>
    </w:p>
    <w:p>
      <w:pPr/>
      <w:r>
        <w:rPr>
          <w:lang w:val="en_US" w:bidi="en_US"/>
        </w:rPr>
      </w:r>
      <w:r>
        <w:rPr>
          <w:b/>
          <w:lang w:val="en_US" w:bidi="en_US"/>
        </w:rPr>
        <w:t>carry it out:</w:t>
      </w:r>
      <w:r>
        <w:rPr>
          <w:lang w:val="en_US" w:bidi="en_US"/>
        </w:rPr>
        <w:t xml:space="preserve"> The Greek word that the BSB translates as </w:t>
      </w:r>
      <w:r>
        <w:rPr>
          <w:i/>
          <w:lang w:val="en_US" w:bidi="en_US"/>
        </w:rPr>
        <w:t>carry it out</w:t>
      </w:r>
      <w:r>
        <w:rPr>
          <w:lang w:val="en_US" w:bidi="en_US"/>
        </w:rPr>
        <w:t xml:space="preserve"> is literally “doing.” It means “obey it” or “do what it says.”</w:t>
      </w:r>
      <w:r>
        <w:rPr>
          <w:lang w:val="en_US" w:bidi="en_US"/>
        </w:rPr>
      </w:r>
      <w:r>
        <w:rPr>
          <w:lang w:val="en_US" w:bidi="en_US"/>
        </w:rPr>
      </w:r>
    </w:p>
    <w:p>
      <w:pPr/>
      <w:r>
        <w:rPr>
          <w:lang w:val="en_US" w:bidi="en_US"/>
        </w:rPr>
      </w:r>
    </w:p>
    <w:p>
      <w:pPr>
        <w:pStyle w:val="Heading2"/>
      </w:pPr>
      <w:r>
        <w:rPr>
          <w:lang w:val="en_US" w:bidi="en_US"/>
        </w:rPr>
        <w:t>Luke 8:22</w:t>
      </w:r>
      <w:r>
        <w:rPr>
          <w:lang w:val="en_US" w:bidi="en_US"/>
        </w:rPr>
      </w:r>
    </w:p>
    <w:p>
      <w:pPr>
        <w:pStyle w:val="Heading4"/>
      </w:pPr>
      <w:r>
        <w:rPr>
          <w:lang w:val="en_US" w:bidi="en_US"/>
        </w:rPr>
        <w:t>Section 8:22–25: Jesus commanded a storm to stop and it obeyed him</w:t>
      </w:r>
    </w:p>
    <w:p>
      <w:pPr/>
      <w:r>
        <w:rPr>
          <w:lang w:val="en_US" w:bidi="en_US"/>
        </w:rPr>
      </w:r>
      <w:r>
        <w:rPr>
          <w:lang w:val="en_US" w:bidi="en_US"/>
        </w:rPr>
        <w:t>In this section Jesus showed his disciples that he had authority over the wind and the sea. While Jesus and his disciples were crossing Lake Galilee in a boat, a strong wind began to blow. The wind caused big waves on the lake. The waves were big enough to come into the boat. The boat was about to sink, but Jesus spoke to the waves. Because Jesus had the authority to command them to stop, the wind and the waves stopped.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 xml:space="preserve">Jesus calmed a storm </w:t>
      </w:r>
      <w:r>
        <w:rPr>
          <w:lang w:val="en_US" w:bidi="en_US"/>
        </w:rPr>
        <w:t>on the lake</w:t>
      </w:r>
    </w:p>
    <w:p>
      <w:pPr/>
      <w:r>
        <w:rPr>
          <w:lang w:val="en_US" w:bidi="en_US"/>
        </w:rPr>
      </w:r>
      <w:r>
        <w:rPr>
          <w:lang w:val="en_US" w:bidi="en_US"/>
        </w:rPr>
        <w:t>Jesus stopped the wind and waves</w:t>
      </w:r>
    </w:p>
    <w:p>
      <w:pPr/>
      <w:r>
        <w:rPr>
          <w:lang w:val="en_US" w:bidi="en_US"/>
        </w:rPr>
      </w:r>
      <w:r>
        <w:rPr>
          <w:lang w:val="en_US" w:bidi="en_US"/>
        </w:rPr>
        <w:t>A storm obeys Jesus</w:t>
      </w:r>
    </w:p>
    <w:p>
      <w:pPr/>
      <w:r>
        <w:rPr>
          <w:lang w:val="en_US" w:bidi="en_US"/>
        </w:rPr>
      </w:r>
      <w:r>
        <w:rPr>
          <w:lang w:val="en_US" w:bidi="en_US"/>
        </w:rPr>
        <w:t>There are parallel passages for this section in Matthew 8:23–27 and Mark 4:35–41.</w:t>
      </w:r>
    </w:p>
    <w:p>
      <w:pPr>
        <w:pStyle w:val="Heading5"/>
      </w:pPr>
      <w:r>
        <w:rPr>
          <w:lang w:val="en_US" w:bidi="en_US"/>
        </w:rPr>
        <w:t>8:22</w:t>
      </w:r>
    </w:p>
    <w:p>
      <w:pPr/>
      <w:r>
        <w:rPr>
          <w:lang w:val="en_US" w:bidi="en_US"/>
        </w:rPr>
      </w:r>
      <w:r>
        <w:rPr>
          <w:lang w:val="en_US" w:bidi="en_US"/>
        </w:rPr>
        <w:t>The BSB uses a different order for this verse than the Greek text does. Other English versions follow the Greek order. For example:</w:t>
      </w:r>
    </w:p>
    <w:p>
      <w:pPr/>
      <w:r>
        <w:rPr>
          <w:lang w:val="en_US" w:bidi="en_US"/>
        </w:rPr>
      </w:r>
      <w:r>
        <w:rPr>
          <w:vertAlign w:val="superscript"/>
          <w:lang w:val="en_US" w:bidi="en_US"/>
        </w:rPr>
        <w:t>22a</w:t>
      </w:r>
      <w:r>
        <w:rPr>
          <w:lang w:val="en_US" w:bidi="en_US"/>
        </w:rPr>
        <w:t xml:space="preserve">One day </w:t>
      </w:r>
      <w:r>
        <w:rPr>
          <w:vertAlign w:val="superscript"/>
          <w:lang w:val="en_US" w:bidi="en_US"/>
        </w:rPr>
        <w:t>22b</w:t>
      </w:r>
      <w:r>
        <w:rPr>
          <w:lang w:val="en_US" w:bidi="en_US"/>
        </w:rPr>
        <w:t xml:space="preserve">he got into a boat with his disciples, </w:t>
      </w:r>
      <w:r>
        <w:rPr>
          <w:vertAlign w:val="superscript"/>
          <w:lang w:val="en_US" w:bidi="en_US"/>
        </w:rPr>
        <w:t>22a</w:t>
      </w:r>
      <w:r>
        <w:rPr>
          <w:lang w:val="en_US" w:bidi="en_US"/>
        </w:rPr>
        <w:t xml:space="preserve">and he said to them, “Let us go across to the other side of the lake.” </w:t>
      </w:r>
      <w:r>
        <w:rPr>
          <w:vertAlign w:val="superscript"/>
          <w:lang w:val="en_US" w:bidi="en_US"/>
        </w:rPr>
        <w:t>22b</w:t>
      </w:r>
      <w:r>
        <w:rPr>
          <w:lang w:val="en_US" w:bidi="en_US"/>
        </w:rPr>
        <w:t>So they set out… (RSV)</w:t>
      </w:r>
    </w:p>
    <w:p>
      <w:pPr/>
      <w:r>
        <w:rPr>
          <w:lang w:val="en_US" w:bidi="en_US"/>
        </w:rPr>
      </w:r>
      <w:r>
        <w:rPr>
          <w:lang w:val="en_US" w:bidi="en_US"/>
        </w:rPr>
        <w:t>It is recommended that you follow this order, as most English versions do. This order is indicated in the Display with alternate source lines for 8:22a and 8:22c.</w:t>
      </w:r>
    </w:p>
    <w:p>
      <w:pPr>
        <w:pStyle w:val="Heading5"/>
      </w:pPr>
      <w:r>
        <w:rPr>
          <w:lang w:val="en_US" w:bidi="en_US"/>
        </w:rPr>
        <w:t>8:22a</w:t>
      </w:r>
    </w:p>
    <w:p>
      <w:pPr/>
      <w:r>
        <w:rPr>
          <w:lang w:val="en_US" w:bidi="en_US"/>
        </w:rPr>
      </w:r>
      <w:r>
        <w:rPr>
          <w:b/>
          <w:lang w:val="en_US" w:bidi="en_US"/>
        </w:rPr>
        <w:t>One day Jesus said to His disciples,</w:t>
      </w:r>
    </w:p>
    <w:p>
      <w:pPr>
        <w:pStyle w:val="ListBullet"/>
        <w:spacing w:line="240" w:lineRule="auto"/>
        <w:ind w:left="720"/>
      </w:pPr>
      <w:r>
        <w:rPr>
          <w:lang w:val="en_US" w:bidi="en_US"/>
        </w:rPr>
      </w:r>
      <w:r>
        <w:rPr>
          <w:lang w:val="en_US" w:bidi="en_US"/>
        </w:rPr>
        <w:t>¶ On one of those days, Jesus and his disciples got into a boat, and he said to them,</w:t>
      </w:r>
    </w:p>
    <w:p>
      <w:pPr>
        <w:pStyle w:val="ListBullet"/>
        <w:spacing w:line="240" w:lineRule="auto"/>
        <w:ind w:left="720"/>
      </w:pPr>
      <w:r>
        <w:rPr>
          <w:lang w:val="en_US" w:bidi="en_US"/>
        </w:rPr>
      </w:r>
      <w:r>
        <w:rPr>
          <w:lang w:val="en_US" w:bidi="en_US"/>
        </w:rPr>
        <w:t>¶ Around that time, Jesus and his followers entered/boarded a boat, and Jesus suggested</w:t>
      </w:r>
    </w:p>
    <w:p>
      <w:pPr/>
      <w:r>
        <w:rPr>
          <w:lang w:val="en_US" w:bidi="en_US"/>
        </w:rPr>
      </w:r>
      <w:r>
        <w:rPr>
          <w:b/>
          <w:lang w:val="en_US" w:bidi="en_US"/>
        </w:rPr>
        <w:t>One day:</w:t>
      </w:r>
      <w:r>
        <w:rPr>
          <w:lang w:val="en_US" w:bidi="en_US"/>
        </w:rPr>
        <w:t xml:space="preserve"> The Greek phrase that the BSB translates as </w:t>
      </w:r>
      <w:r>
        <w:rPr>
          <w:i/>
          <w:lang w:val="en_US" w:bidi="en_US"/>
        </w:rPr>
        <w:t>One day</w:t>
      </w:r>
      <w:r>
        <w:rPr>
          <w:lang w:val="en_US" w:bidi="en_US"/>
        </w:rPr>
        <w:t xml:space="preserve"> is literally “one of the days.” It introduces a new event and indicates that it happened sometime during the same period of time as the preceding events.</w:t>
      </w:r>
      <w:r>
        <w:rPr>
          <w:lang w:val="en_US" w:bidi="en_US"/>
        </w:rPr>
        <w:t>The Notes have chosen here to be somewhat more specific than the majority of English versions, which translate the Greek phrase generally as “one day.” In English the phrase “one day” would have function in the discourse to show disjunction with the previous events. But in Mark, as here, this event follows that of Jesus’ teaching in parables and that of his mother and brothers wanting to see him. (In Matthew it likewise follows the incident with his mother and brothers.) And Mark, as is somewhat rare for him, gives a specific time reference saying that this happened on the evening of the same day. It seems right to understand Luke’s expression to indicate a connection of the events, even if it is a vague one.</w:t>
      </w:r>
      <w:r>
        <w:rPr>
          <w:lang w:val="en_US" w:bidi="en_US"/>
        </w:rPr>
        <w:t xml:space="preserve"> Some ways to translate this are:</w:t>
      </w:r>
    </w:p>
    <w:p>
      <w:pPr/>
      <w:r>
        <w:rPr>
          <w:lang w:val="en_US" w:bidi="en_US"/>
        </w:rPr>
      </w:r>
      <w:r>
        <w:rPr>
          <w:lang w:val="en_US" w:bidi="en_US"/>
        </w:rPr>
        <w:t>At about that time</w:t>
      </w:r>
    </w:p>
    <w:p>
      <w:pPr/>
      <w:r>
        <w:rPr>
          <w:lang w:val="en_US" w:bidi="en_US"/>
        </w:rPr>
      </w:r>
      <w:r>
        <w:rPr>
          <w:lang w:val="en_US" w:bidi="en_US"/>
        </w:rPr>
        <w:t>Around that time</w:t>
      </w:r>
    </w:p>
    <w:p>
      <w:pPr/>
      <w:r>
        <w:rPr>
          <w:lang w:val="en_US" w:bidi="en_US"/>
        </w:rPr>
      </w:r>
      <w:r>
        <w:rPr>
          <w:lang w:val="en_US" w:bidi="en_US"/>
        </w:rPr>
        <w:t>on one of those days (NASB)</w:t>
      </w:r>
    </w:p>
    <w:p>
      <w:pPr/>
      <w:r>
        <w:rPr>
          <w:lang w:val="en_US" w:bidi="en_US"/>
        </w:rPr>
      </w:r>
      <w:r>
        <w:rPr>
          <w:b/>
          <w:lang w:val="en_US" w:bidi="en_US"/>
        </w:rPr>
        <w:t>Jesus said to His disciples:</w:t>
      </w:r>
      <w:r>
        <w:rPr>
          <w:lang w:val="en_US" w:bidi="en_US"/>
        </w:rPr>
        <w:t xml:space="preserve"> For help in translating the word </w:t>
      </w:r>
      <w:r>
        <w:rPr>
          <w:i/>
          <w:lang w:val="en_US" w:bidi="en_US"/>
        </w:rPr>
        <w:t>disciples</w:t>
      </w:r>
      <w:r>
        <w:rPr>
          <w:lang w:val="en_US" w:bidi="en_US"/>
        </w:rPr>
        <w:t xml:space="preserve">, see the note on </w:t>
      </w:r>
      <w:r>
        <w:rPr>
          <w:i/>
          <w:lang w:val="en_US" w:bidi="en_US"/>
        </w:rPr>
        <w:t>disciples</w:t>
      </w:r>
      <w:r>
        <w:rPr>
          <w:lang w:val="en_US" w:bidi="en_US"/>
        </w:rPr>
        <w:t xml:space="preserve"> at 5:30a. See also disciple in the Glossary for more information.</w:t>
      </w:r>
    </w:p>
    <w:p>
      <w:pPr/>
      <w:r>
        <w:rPr>
          <w:lang w:val="en_US" w:bidi="en_US"/>
        </w:rPr>
      </w:r>
      <w:r>
        <w:rPr>
          <w:b/>
          <w:lang w:val="en_US" w:bidi="en_US"/>
        </w:rPr>
        <w:t>Jesus:</w:t>
      </w:r>
      <w:r>
        <w:rPr>
          <w:lang w:val="en_US" w:bidi="en_US"/>
        </w:rPr>
        <w:t xml:space="preserve"> The Greek word that the BSB translates as </w:t>
      </w:r>
      <w:r>
        <w:rPr>
          <w:i/>
          <w:lang w:val="en_US" w:bidi="en_US"/>
        </w:rPr>
        <w:t>Jesus</w:t>
      </w:r>
      <w:r>
        <w:rPr>
          <w:lang w:val="en_US" w:bidi="en_US"/>
        </w:rPr>
        <w:t xml:space="preserve"> is literally “he.” Many English versions translate it that way. Refer to Jesus in the most natural way in your language for this context.</w:t>
      </w:r>
    </w:p>
    <w:p>
      <w:pPr>
        <w:pStyle w:val="Heading5"/>
      </w:pPr>
      <w:r>
        <w:rPr>
          <w:lang w:val="en_US" w:bidi="en_US"/>
        </w:rPr>
        <w:t>8:22b</w:t>
      </w:r>
    </w:p>
    <w:p>
      <w:pPr/>
      <w:r>
        <w:rPr>
          <w:lang w:val="en_US" w:bidi="en_US"/>
        </w:rPr>
      </w:r>
      <w:r>
        <w:rPr>
          <w:b/>
          <w:lang w:val="en_US" w:bidi="en_US"/>
        </w:rPr>
        <w:t>“Let us cross to the other side of the lake.”</w:t>
      </w:r>
    </w:p>
    <w:p>
      <w:pPr>
        <w:pStyle w:val="ListBullet"/>
        <w:spacing w:line="240" w:lineRule="auto"/>
        <w:ind w:left="720"/>
      </w:pPr>
      <w:r>
        <w:rPr>
          <w:lang w:val="en_US" w:bidi="en_US"/>
        </w:rPr>
      </w:r>
      <w:r>
        <w:rPr>
          <w:lang w:val="en_US" w:bidi="en_US"/>
        </w:rPr>
        <w:t>“Let us</w:t>
      </w:r>
      <w:r>
        <w:rPr>
          <w:vertAlign w:val="superscript"/>
          <w:lang w:val="en_US" w:bidi="en_US"/>
        </w:rPr>
        <w:t>(incl)</w:t>
      </w:r>
      <w:r>
        <w:rPr>
          <w:lang w:val="en_US" w:bidi="en_US"/>
        </w:rPr>
        <w:t xml:space="preserve"> go to the other side of the lake.”</w:t>
      </w:r>
    </w:p>
    <w:p>
      <w:pPr>
        <w:pStyle w:val="ListBullet"/>
        <w:spacing w:line="240" w:lineRule="auto"/>
        <w:ind w:left="720"/>
      </w:pPr>
      <w:r>
        <w:rPr>
          <w:lang w:val="en_US" w:bidi="en_US"/>
        </w:rPr>
      </w:r>
      <w:r>
        <w:rPr>
          <w:lang w:val="en_US" w:bidi="en_US"/>
        </w:rPr>
        <w:t>that he and they should all go/sail across the lake.</w:t>
      </w:r>
    </w:p>
    <w:p>
      <w:pPr/>
      <w:r>
        <w:rPr>
          <w:lang w:val="en_US" w:bidi="en_US"/>
        </w:rPr>
      </w:r>
      <w:r>
        <w:rPr>
          <w:b/>
          <w:lang w:val="en_US" w:bidi="en_US"/>
        </w:rPr>
        <w:t>Let us cross to the other side of the lake:</w:t>
      </w:r>
      <w:r>
        <w:rPr>
          <w:lang w:val="en_US" w:bidi="en_US"/>
        </w:rPr>
        <w:t xml:space="preserve"> The Greek verb that the BSB translates as </w:t>
      </w:r>
      <w:r>
        <w:rPr>
          <w:i/>
          <w:lang w:val="en_US" w:bidi="en_US"/>
        </w:rPr>
        <w:t>Let us cross</w:t>
      </w:r>
      <w:r>
        <w:rPr>
          <w:lang w:val="en_US" w:bidi="en_US"/>
        </w:rPr>
        <w:t xml:space="preserve"> is a polite command or request. In this context Jesus was telling his disciples that he wanted to cross with them to the other side of the lake. Other ways to express this request are:</w:t>
      </w:r>
    </w:p>
    <w:p>
      <w:pPr/>
      <w:r>
        <w:rPr>
          <w:lang w:val="en_US" w:bidi="en_US"/>
        </w:rPr>
      </w:r>
      <w:r>
        <w:rPr>
          <w:lang w:val="en_US" w:bidi="en_US"/>
        </w:rPr>
        <w:t>Let us cross over to the other side of the lake (NJB)</w:t>
      </w:r>
    </w:p>
    <w:p>
      <w:pPr/>
      <w:r>
        <w:rPr>
          <w:lang w:val="en_US" w:bidi="en_US"/>
        </w:rPr>
      </w:r>
      <w:r>
        <w:rPr>
          <w:lang w:val="en_US" w:bidi="en_US"/>
        </w:rPr>
        <w:t>Let’s cross the lake</w:t>
      </w:r>
    </w:p>
    <w:p>
      <w:pPr/>
      <w:r>
        <w:rPr>
          <w:lang w:val="en_US" w:bidi="en_US"/>
        </w:rPr>
      </w:r>
      <w:r>
        <w:rPr>
          <w:lang w:val="en_US" w:bidi="en_US"/>
        </w:rPr>
        <w:t>I want us to go to the other side of the lake</w:t>
      </w:r>
    </w:p>
    <w:p>
      <w:pPr/>
      <w:r>
        <w:rPr>
          <w:lang w:val="en_US" w:bidi="en_US"/>
        </w:rPr>
      </w:r>
      <w:r>
        <w:rPr>
          <w:lang w:val="en_US" w:bidi="en_US"/>
        </w:rPr>
        <w:t xml:space="preserve">We should go </w:t>
      </w:r>
      <w:r>
        <w:rPr>
          <w:lang w:val="en_US" w:bidi="en_US"/>
        </w:rPr>
        <w:t>now</w:t>
      </w:r>
      <w:r>
        <w:rPr>
          <w:lang w:val="en_US" w:bidi="en_US"/>
        </w:rPr>
        <w:t xml:space="preserve"> to the other side of the lake</w:t>
      </w:r>
    </w:p>
    <w:p>
      <w:pPr/>
      <w:r>
        <w:rPr>
          <w:lang w:val="en_US" w:bidi="en_US"/>
        </w:rPr>
      </w:r>
      <w:r>
        <w:rPr>
          <w:b/>
          <w:lang w:val="en_US" w:bidi="en_US"/>
        </w:rPr>
        <w:t>the other side of the lake:</w:t>
      </w:r>
      <w:r>
        <w:rPr>
          <w:lang w:val="en_US" w:bidi="en_US"/>
        </w:rPr>
        <w:t xml:space="preserve"> The word </w:t>
      </w:r>
      <w:r>
        <w:rPr>
          <w:i/>
          <w:lang w:val="en_US" w:bidi="en_US"/>
        </w:rPr>
        <w:t>lake</w:t>
      </w:r>
      <w:r>
        <w:rPr>
          <w:lang w:val="en_US" w:bidi="en_US"/>
        </w:rPr>
        <w:t xml:space="preserve"> here refers to “Lake Galilee.” Luke refers to this lake as the “Lake of Gennesaret” or simply as “the lake.” See the note at 5:1a. Here Jesus and his followers were going from Capernaum on the northwest coast of the lake to the northeast coast.</w:t>
      </w:r>
    </w:p>
    <w:p>
      <w:pPr>
        <w:pStyle w:val="Heading5"/>
      </w:pPr>
      <w:r>
        <w:rPr>
          <w:lang w:val="en_US" w:bidi="en_US"/>
        </w:rPr>
        <w:t>8:22c</w:t>
      </w:r>
    </w:p>
    <w:p>
      <w:pPr/>
      <w:r>
        <w:rPr>
          <w:lang w:val="en_US" w:bidi="en_US"/>
        </w:rPr>
      </w:r>
      <w:r>
        <w:rPr>
          <w:b/>
          <w:lang w:val="en_US" w:bidi="en_US"/>
        </w:rPr>
        <w:t>So He got into a boat with them and set out.</w:t>
      </w:r>
    </w:p>
    <w:p>
      <w:pPr>
        <w:pStyle w:val="ListBullet"/>
        <w:spacing w:line="240" w:lineRule="auto"/>
        <w:ind w:left="720"/>
      </w:pPr>
      <w:r>
        <w:rPr>
          <w:lang w:val="en_US" w:bidi="en_US"/>
        </w:rPr>
      </w:r>
      <w:r>
        <w:rPr>
          <w:lang w:val="en_US" w:bidi="en_US"/>
        </w:rPr>
        <w:t xml:space="preserve">Then they started going </w:t>
      </w:r>
      <w:r>
        <w:rPr>
          <w:lang w:val="en_US" w:bidi="en_US"/>
        </w:rPr>
        <w:t>there</w:t>
      </w:r>
      <w:r>
        <w:rPr>
          <w:lang w:val="en_US" w:bidi="en_US"/>
        </w:rPr>
        <w:t>.</w:t>
      </w:r>
    </w:p>
    <w:p>
      <w:pPr>
        <w:pStyle w:val="ListBullet"/>
        <w:spacing w:line="240" w:lineRule="auto"/>
        <w:ind w:left="720"/>
      </w:pPr>
      <w:r>
        <w:rPr>
          <w:lang w:val="en_US" w:bidi="en_US"/>
        </w:rPr>
      </w:r>
      <w:r>
        <w:rPr>
          <w:lang w:val="en_US" w:bidi="en_US"/>
        </w:rPr>
        <w:t xml:space="preserve">So they began to travel </w:t>
      </w:r>
      <w:r>
        <w:rPr>
          <w:lang w:val="en_US" w:bidi="en_US"/>
        </w:rPr>
        <w:t>across Lake Gennesaret/Galilee</w:t>
      </w:r>
      <w:r>
        <w:rPr>
          <w:lang w:val="en_US" w:bidi="en_US"/>
        </w:rPr>
        <w:t>.</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is most often translated as “and.” The BSB and some other English versions use </w:t>
      </w:r>
      <w:r>
        <w:rPr>
          <w:i/>
          <w:lang w:val="en_US" w:bidi="en_US"/>
        </w:rPr>
        <w:t>So</w:t>
      </w:r>
      <w:r>
        <w:rPr>
          <w:lang w:val="en_US" w:bidi="en_US"/>
        </w:rPr>
        <w:t xml:space="preserve"> because the disciples set out as a result of what Jesus said. Connect this verse to the context in a natural way in your language. If you use a conjunction such as “so” that indicates result, notice that it goes with the verb “set out.” It does not go with getting into the boat.</w:t>
      </w:r>
    </w:p>
    <w:p>
      <w:pPr/>
      <w:r>
        <w:rPr>
          <w:lang w:val="en_US" w:bidi="en_US"/>
        </w:rPr>
      </w:r>
      <w:r>
        <w:rPr>
          <w:b/>
          <w:lang w:val="en_US" w:bidi="en_US"/>
        </w:rPr>
        <w:t>got into a boat with them:</w:t>
      </w:r>
      <w:r>
        <w:rPr>
          <w:lang w:val="en_US" w:bidi="en_US"/>
        </w:rPr>
        <w:t xml:space="preserve"> This </w:t>
      </w:r>
      <w:r>
        <w:rPr>
          <w:i/>
          <w:lang w:val="en_US" w:bidi="en_US"/>
        </w:rPr>
        <w:t>boat</w:t>
      </w:r>
      <w:r>
        <w:rPr>
          <w:lang w:val="en_US" w:bidi="en_US"/>
        </w:rPr>
        <w:t xml:space="preserve"> was probably a fishing boat with sails and oars. It was probably about 9 meters long and 2.5 meters wide (30 feet long and 8 feet wide).</w:t>
      </w:r>
      <w:r>
        <w:rPr>
          <w:lang w:val="en_US" w:bidi="en_US"/>
        </w:rPr>
        <w:t>A boat with these dimensions was found in 1986 in the Sea of Galilee and dated to the first century A.D.</w:t>
      </w:r>
    </w:p>
    <w:p>
      <w:pPr/>
      <w:r>
        <w:rPr>
          <w:lang w:val="en_US" w:bidi="en_US"/>
        </w:rPr>
      </w:r>
      <w:r>
        <w:rPr>
          <w:lang w:val="en_US" w:bidi="en_US"/>
        </w:rPr>
        <w:t>In some languages there may be a special verb for getting into a boat. For example:</w:t>
      </w:r>
    </w:p>
    <w:p>
      <w:pPr/>
      <w:r>
        <w:rPr>
          <w:lang w:val="en_US" w:bidi="en_US"/>
        </w:rPr>
      </w:r>
      <w:r>
        <w:rPr>
          <w:lang w:val="en_US" w:bidi="en_US"/>
        </w:rPr>
        <w:t>boarded a boat</w:t>
      </w:r>
    </w:p>
    <w:p>
      <w:pPr/>
      <w:r>
        <w:rPr>
          <w:lang w:val="en_US" w:bidi="en_US"/>
        </w:rPr>
      </w:r>
      <w:r>
        <w:rPr>
          <w:lang w:val="en_US" w:bidi="en_US"/>
        </w:rPr>
        <w:t xml:space="preserve">Remember that in the Greek order, the phrase </w:t>
      </w:r>
      <w:r>
        <w:rPr>
          <w:i/>
          <w:lang w:val="en_US" w:bidi="en_US"/>
        </w:rPr>
        <w:t>got into a boat</w:t>
      </w:r>
      <w:r>
        <w:rPr>
          <w:lang w:val="en_US" w:bidi="en_US"/>
        </w:rPr>
        <w:t xml:space="preserve"> has already occurred in 8:22a. You do not need to translate this phrase twice in 8:22.</w:t>
      </w:r>
    </w:p>
    <w:p>
      <w:pPr/>
      <w:r>
        <w:rPr>
          <w:lang w:val="en_US" w:bidi="en_US"/>
        </w:rPr>
      </w:r>
      <w:r>
        <w:rPr>
          <w:b/>
          <w:lang w:val="en_US" w:bidi="en_US"/>
        </w:rPr>
        <w:t>set out:</w:t>
      </w:r>
      <w:r>
        <w:rPr>
          <w:lang w:val="en_US" w:bidi="en_US"/>
        </w:rPr>
        <w:t xml:space="preserve"> The words </w:t>
      </w:r>
      <w:r>
        <w:rPr>
          <w:i/>
          <w:lang w:val="en_US" w:bidi="en_US"/>
        </w:rPr>
        <w:t>set out</w:t>
      </w:r>
      <w:r>
        <w:rPr>
          <w:lang w:val="en_US" w:bidi="en_US"/>
        </w:rPr>
        <w:t xml:space="preserve"> indicate that the disciples began moving the boat across the lake. They probably put up a sail for the wind to move the boat.</w:t>
      </w:r>
      <w:r>
        <w:rPr>
          <w:lang w:val="en_US" w:bidi="en_US"/>
        </w:rPr>
      </w:r>
      <w:r>
        <w:rPr>
          <w:lang w:val="en_US" w:bidi="en_US"/>
        </w:rPr>
      </w:r>
    </w:p>
    <w:p>
      <w:pPr/>
      <w:r>
        <w:rPr>
          <w:lang w:val="en_US" w:bidi="en_US"/>
        </w:rPr>
      </w:r>
    </w:p>
    <w:p>
      <w:pPr>
        <w:pStyle w:val="Heading2"/>
      </w:pPr>
      <w:r>
        <w:rPr>
          <w:lang w:val="en_US" w:bidi="en_US"/>
        </w:rPr>
        <w:t>Luke 8:23</w:t>
      </w:r>
      <w:r>
        <w:rPr>
          <w:lang w:val="en_US" w:bidi="en_US"/>
        </w:rPr>
      </w:r>
    </w:p>
    <w:p>
      <w:pPr>
        <w:pStyle w:val="Heading4"/>
      </w:pPr>
      <w:r>
        <w:rPr>
          <w:lang w:val="en_US" w:bidi="en_US"/>
        </w:rPr>
        <w:t>Section 8:22–25: Jesus commanded a storm to stop and it obeyed him</w:t>
      </w:r>
    </w:p>
    <w:p>
      <w:pPr/>
      <w:r>
        <w:rPr>
          <w:lang w:val="en_US" w:bidi="en_US"/>
        </w:rPr>
      </w:r>
      <w:r>
        <w:rPr>
          <w:lang w:val="en_US" w:bidi="en_US"/>
        </w:rPr>
        <w:t>In this section Jesus showed his disciples that he had authority over the wind and the sea. While Jesus and his disciples were crossing Lake Galilee in a boat, a strong wind began to blow. The wind caused big waves on the lake. The waves were big enough to come into the boat. The boat was about to sink, but Jesus spoke to the waves. Because Jesus had the authority to command them to stop, the wind and the waves stopped.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 xml:space="preserve">Jesus calmed a storm </w:t>
      </w:r>
      <w:r>
        <w:rPr>
          <w:lang w:val="en_US" w:bidi="en_US"/>
        </w:rPr>
        <w:t>on the lake</w:t>
      </w:r>
    </w:p>
    <w:p>
      <w:pPr/>
      <w:r>
        <w:rPr>
          <w:lang w:val="en_US" w:bidi="en_US"/>
        </w:rPr>
      </w:r>
      <w:r>
        <w:rPr>
          <w:lang w:val="en_US" w:bidi="en_US"/>
        </w:rPr>
        <w:t>Jesus stopped the wind and waves</w:t>
      </w:r>
    </w:p>
    <w:p>
      <w:pPr/>
      <w:r>
        <w:rPr>
          <w:lang w:val="en_US" w:bidi="en_US"/>
        </w:rPr>
      </w:r>
      <w:r>
        <w:rPr>
          <w:lang w:val="en_US" w:bidi="en_US"/>
        </w:rPr>
        <w:t>A storm obeys Jesus</w:t>
      </w:r>
    </w:p>
    <w:p>
      <w:pPr/>
      <w:r>
        <w:rPr>
          <w:lang w:val="en_US" w:bidi="en_US"/>
        </w:rPr>
      </w:r>
      <w:r>
        <w:rPr>
          <w:lang w:val="en_US" w:bidi="en_US"/>
        </w:rPr>
        <w:t>There are parallel passages for this section in Matthew 8:23–27 and Mark 4:35–41.</w:t>
      </w:r>
    </w:p>
    <w:p>
      <w:pPr>
        <w:pStyle w:val="Heading5"/>
      </w:pPr>
      <w:r>
        <w:rPr>
          <w:lang w:val="en_US" w:bidi="en_US"/>
        </w:rPr>
        <w:t>8:23a</w:t>
      </w:r>
    </w:p>
    <w:p>
      <w:pPr/>
      <w:r>
        <w:rPr>
          <w:lang w:val="en_US" w:bidi="en_US"/>
        </w:rPr>
      </w:r>
      <w:r>
        <w:rPr>
          <w:b/>
          <w:lang w:val="en_US" w:bidi="en_US"/>
        </w:rPr>
        <w:t>As they sailed, He fell asleep,</w:t>
      </w:r>
    </w:p>
    <w:p>
      <w:pPr>
        <w:pStyle w:val="ListBullet"/>
        <w:spacing w:line="240" w:lineRule="auto"/>
        <w:ind w:left="720"/>
      </w:pPr>
      <w:r>
        <w:rPr>
          <w:lang w:val="en_US" w:bidi="en_US"/>
        </w:rPr>
      </w:r>
      <w:r>
        <w:rPr>
          <w:lang w:val="en_US" w:bidi="en_US"/>
        </w:rPr>
        <w:t>While they were sailing/going, he went to sleep.</w:t>
      </w:r>
    </w:p>
    <w:p>
      <w:pPr>
        <w:pStyle w:val="ListBullet"/>
        <w:spacing w:line="240" w:lineRule="auto"/>
        <w:ind w:left="720"/>
      </w:pPr>
      <w:r>
        <w:rPr>
          <w:lang w:val="en_US" w:bidi="en_US"/>
        </w:rPr>
      </w:r>
      <w:r>
        <w:rPr>
          <w:lang w:val="en_US" w:bidi="en_US"/>
        </w:rPr>
        <w:t xml:space="preserve">On the way, Jesus </w:t>
      </w:r>
      <w:r>
        <w:rPr>
          <w:lang w:val="en_US" w:bidi="en_US"/>
        </w:rPr>
        <w:t>began to</w:t>
      </w:r>
      <w:r>
        <w:rPr>
          <w:lang w:val="en_US" w:bidi="en_US"/>
        </w:rPr>
        <w:t xml:space="preserve"> sleep.</w:t>
      </w:r>
    </w:p>
    <w:p>
      <w:pPr/>
      <w:r>
        <w:rPr>
          <w:lang w:val="en_US" w:bidi="en_US"/>
        </w:rPr>
      </w:r>
      <w:r>
        <w:rPr>
          <w:b/>
          <w:lang w:val="en_US" w:bidi="en_US"/>
        </w:rPr>
        <w:t>As they sailed, He fell asleep:</w:t>
      </w:r>
      <w:r>
        <w:rPr>
          <w:lang w:val="en_US" w:bidi="en_US"/>
        </w:rPr>
        <w:t xml:space="preserve"> This part of the verse indicates that Jesus began to sleep in the boat while they were crossing the lake. The words </w:t>
      </w:r>
      <w:r>
        <w:rPr>
          <w:i/>
          <w:lang w:val="en_US" w:bidi="en_US"/>
        </w:rPr>
        <w:t>fell asleep</w:t>
      </w:r>
      <w:r>
        <w:rPr>
          <w:lang w:val="en_US" w:bidi="en_US"/>
        </w:rPr>
        <w:t xml:space="preserve"> are an idiom in English to say “began to sleep.” Use a natural verb in your language.</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Jesus and his disciples.</w:t>
      </w:r>
    </w:p>
    <w:p>
      <w:pPr/>
      <w:r>
        <w:rPr>
          <w:lang w:val="en_US" w:bidi="en_US"/>
        </w:rPr>
      </w:r>
      <w:r>
        <w:rPr>
          <w:b/>
          <w:lang w:val="en_US" w:bidi="en_US"/>
        </w:rPr>
        <w:t>sailed:</w:t>
      </w:r>
      <w:r>
        <w:rPr>
          <w:lang w:val="en_US" w:bidi="en_US"/>
        </w:rPr>
        <w:t xml:space="preserve"> The Greek verb that the BSB translates as </w:t>
      </w:r>
      <w:r>
        <w:rPr>
          <w:i/>
          <w:lang w:val="en_US" w:bidi="en_US"/>
        </w:rPr>
        <w:t>sailed</w:t>
      </w:r>
      <w:r>
        <w:rPr>
          <w:lang w:val="en_US" w:bidi="en_US"/>
        </w:rPr>
        <w:t xml:space="preserve"> refers to traveling in a boat on water. They could have used a sail or oars.</w:t>
      </w:r>
    </w:p>
    <w:p>
      <w:pPr>
        <w:pStyle w:val="Heading5"/>
      </w:pPr>
      <w:r>
        <w:rPr>
          <w:lang w:val="en_US" w:bidi="en_US"/>
        </w:rPr>
        <w:t>8:23b</w:t>
      </w:r>
    </w:p>
    <w:p>
      <w:pPr/>
      <w:r>
        <w:rPr>
          <w:lang w:val="en_US" w:bidi="en_US"/>
        </w:rPr>
      </w:r>
      <w:r>
        <w:rPr>
          <w:b/>
          <w:lang w:val="en_US" w:bidi="en_US"/>
        </w:rPr>
        <w:t>and a windstorm came down on the lake,</w:t>
      </w:r>
    </w:p>
    <w:p>
      <w:pPr>
        <w:pStyle w:val="ListBullet"/>
        <w:spacing w:line="240" w:lineRule="auto"/>
        <w:ind w:left="720"/>
      </w:pPr>
      <w:r>
        <w:rPr>
          <w:lang w:val="en_US" w:bidi="en_US"/>
        </w:rPr>
      </w:r>
      <w:r>
        <w:rPr>
          <w:lang w:val="en_US" w:bidi="en_US"/>
        </w:rPr>
        <w:t>Then</w:t>
      </w:r>
      <w:r>
        <w:rPr>
          <w:lang w:val="en_US" w:bidi="en_US"/>
        </w:rPr>
        <w:t xml:space="preserve"> a violent windstorm blew down onto the lake,</w:t>
      </w:r>
    </w:p>
    <w:p>
      <w:pPr>
        <w:pStyle w:val="ListBullet"/>
        <w:spacing w:line="240" w:lineRule="auto"/>
        <w:ind w:left="720"/>
      </w:pPr>
      <w:r>
        <w:rPr>
          <w:lang w:val="en_US" w:bidi="en_US"/>
        </w:rPr>
      </w:r>
      <w:r>
        <w:rPr>
          <w:lang w:val="en_US" w:bidi="en_US"/>
        </w:rPr>
        <w:t>Suddenly</w:t>
      </w:r>
      <w:r>
        <w:rPr>
          <w:lang w:val="en_US" w:bidi="en_US"/>
        </w:rPr>
        <w:t xml:space="preserve"> a very strong wind began to blow.</w:t>
      </w:r>
    </w:p>
    <w:p>
      <w:pPr/>
      <w:r>
        <w:rPr>
          <w:lang w:val="en_US" w:bidi="en_US"/>
        </w:rPr>
      </w:r>
      <w:r>
        <w:rPr>
          <w:b/>
          <w:lang w:val="en_US" w:bidi="en_US"/>
        </w:rPr>
        <w:t>a windstorm came down on the lake:</w:t>
      </w:r>
      <w:r>
        <w:rPr>
          <w:lang w:val="en_US" w:bidi="en_US"/>
        </w:rPr>
        <w:t xml:space="preserve"> The Greek phrase that the BSB translates as </w:t>
      </w:r>
      <w:r>
        <w:rPr>
          <w:i/>
          <w:lang w:val="en_US" w:bidi="en_US"/>
        </w:rPr>
        <w:t>windstorm</w:t>
      </w:r>
      <w:r>
        <w:rPr>
          <w:lang w:val="en_US" w:bidi="en_US"/>
        </w:rPr>
        <w:t xml:space="preserve"> refers to a very strong wind. This wind </w:t>
      </w:r>
      <w:r>
        <w:rPr>
          <w:i/>
          <w:lang w:val="en_US" w:bidi="en_US"/>
        </w:rPr>
        <w:t>came down</w:t>
      </w:r>
      <w:r>
        <w:rPr>
          <w:lang w:val="en_US" w:bidi="en_US"/>
        </w:rPr>
        <w:t xml:space="preserve"> from the hills surrounding the lake and blew violently across the lake. This caused large waves to form. Other ways that English versions have translated this are:</w:t>
      </w:r>
    </w:p>
    <w:p>
      <w:pPr/>
      <w:r>
        <w:rPr>
          <w:lang w:val="en_US" w:bidi="en_US"/>
        </w:rPr>
      </w:r>
      <w:r>
        <w:rPr>
          <w:lang w:val="en_US" w:bidi="en_US"/>
        </w:rPr>
        <w:t>A violent storm came across the lake (GW)</w:t>
      </w:r>
    </w:p>
    <w:p>
      <w:pPr/>
      <w:r>
        <w:rPr>
          <w:lang w:val="en_US" w:bidi="en_US"/>
        </w:rPr>
      </w:r>
      <w:r>
        <w:rPr>
          <w:lang w:val="en_US" w:bidi="en_US"/>
        </w:rPr>
        <w:t>Then a very strong wind started blowing on the lake</w:t>
      </w:r>
    </w:p>
    <w:p>
      <w:pPr/>
      <w:r>
        <w:rPr>
          <w:lang w:val="en_US" w:bidi="en_US"/>
        </w:rPr>
      </w:r>
      <w:r>
        <w:rPr>
          <w:lang w:val="en_US" w:bidi="en_US"/>
        </w:rPr>
        <w:t>Suddenly a windstorm struck the lake (CEV)</w:t>
      </w:r>
    </w:p>
    <w:p>
      <w:pPr>
        <w:pStyle w:val="Heading5"/>
      </w:pPr>
      <w:r>
        <w:rPr>
          <w:lang w:val="en_US" w:bidi="en_US"/>
        </w:rPr>
        <w:t>8:23c</w:t>
      </w:r>
    </w:p>
    <w:p>
      <w:pPr/>
      <w:r>
        <w:rPr>
          <w:lang w:val="en_US" w:bidi="en_US"/>
        </w:rPr>
      </w:r>
      <w:r>
        <w:rPr>
          <w:b/>
          <w:lang w:val="en_US" w:bidi="en_US"/>
        </w:rPr>
        <w:t>so that the boat was being swamped,</w:t>
      </w:r>
    </w:p>
    <w:p>
      <w:pPr>
        <w:pStyle w:val="ListBullet"/>
        <w:spacing w:line="240" w:lineRule="auto"/>
        <w:ind w:left="720"/>
      </w:pPr>
      <w:r>
        <w:rPr>
          <w:lang w:val="en_US" w:bidi="en_US"/>
        </w:rPr>
      </w:r>
      <w:r>
        <w:rPr>
          <w:lang w:val="en_US" w:bidi="en_US"/>
        </w:rPr>
        <w:t xml:space="preserve">and the boat started filling up with water </w:t>
      </w:r>
      <w:r>
        <w:rPr>
          <w:lang w:val="en_US" w:bidi="en_US"/>
        </w:rPr>
        <w:t>until it was about to sink</w:t>
      </w:r>
      <w:r>
        <w:rPr>
          <w:lang w:val="en_US" w:bidi="en_US"/>
        </w:rPr>
        <w:t>,</w:t>
      </w:r>
    </w:p>
    <w:p>
      <w:pPr>
        <w:pStyle w:val="ListBullet"/>
        <w:spacing w:line="240" w:lineRule="auto"/>
        <w:ind w:left="720"/>
      </w:pPr>
      <w:r>
        <w:rPr>
          <w:lang w:val="en_US" w:bidi="en_US"/>
        </w:rPr>
      </w:r>
      <w:r>
        <w:rPr>
          <w:lang w:val="en_US" w:bidi="en_US"/>
        </w:rPr>
        <w:t>It caused tall waves</w:t>
      </w:r>
      <w:r>
        <w:rPr>
          <w:lang w:val="en_US" w:bidi="en_US"/>
        </w:rPr>
        <w:t xml:space="preserve"> to fill the boat with water</w:t>
      </w:r>
    </w:p>
    <w:p>
      <w:pPr/>
      <w:r>
        <w:rPr>
          <w:lang w:val="en_US" w:bidi="en_US"/>
        </w:rPr>
      </w:r>
      <w:r>
        <w:rPr>
          <w:b/>
          <w:lang w:val="en_US" w:bidi="en_US"/>
        </w:rPr>
        <w:t>so that:</w:t>
      </w:r>
      <w:r>
        <w:rPr>
          <w:lang w:val="en_US" w:bidi="en_US"/>
        </w:rPr>
        <w:t xml:space="preserve"> The Greek conjunction that the BSB translates as </w:t>
      </w:r>
      <w:r>
        <w:rPr>
          <w:i/>
          <w:lang w:val="en_US" w:bidi="en_US"/>
        </w:rPr>
        <w:t>so that</w:t>
      </w:r>
      <w:r>
        <w:rPr>
          <w:lang w:val="en_US" w:bidi="en_US"/>
        </w:rPr>
        <w:t xml:space="preserve"> is most often translated in English as “and” (RSV). Here it introduces the </w:t>
      </w:r>
      <w:r>
        <w:rPr>
          <w:u w:val="single"/>
          <w:lang w:val="en_US" w:bidi="en_US"/>
        </w:rPr>
        <w:t>result</w:t>
      </w:r>
      <w:r>
        <w:rPr>
          <w:lang w:val="en_US" w:bidi="en_US"/>
        </w:rPr>
        <w:t xml:space="preserve"> that came from the strong wind. That is why some English versions (BSB, NIV) translate it as “so that.” Connect 8:23c to 8:23b in a way that is natural in your language.</w:t>
      </w:r>
    </w:p>
    <w:p>
      <w:pPr/>
      <w:r>
        <w:rPr>
          <w:lang w:val="en_US" w:bidi="en_US"/>
        </w:rPr>
      </w:r>
      <w:r>
        <w:rPr>
          <w:b/>
          <w:lang w:val="en_US" w:bidi="en_US"/>
        </w:rPr>
        <w:t>the boat was being swamped:</w:t>
      </w:r>
      <w:r>
        <w:rPr>
          <w:lang w:val="en_US" w:bidi="en_US"/>
        </w:rPr>
        <w:t xml:space="preserve"> The Greek expression that the BSB translates as </w:t>
      </w:r>
      <w:r>
        <w:rPr>
          <w:i/>
          <w:lang w:val="en_US" w:bidi="en_US"/>
        </w:rPr>
        <w:t>the boat was being swamped</w:t>
      </w:r>
      <w:r>
        <w:rPr>
          <w:lang w:val="en_US" w:bidi="en_US"/>
        </w:rPr>
        <w:t xml:space="preserve"> is literally “they were being filled with water.” It means that water was getting into the boat where Jesus and his disciples were. Other ways to say this are:</w:t>
      </w:r>
    </w:p>
    <w:p>
      <w:pPr/>
      <w:r>
        <w:rPr>
          <w:lang w:val="en_US" w:bidi="en_US"/>
        </w:rPr>
      </w:r>
      <w:r>
        <w:rPr>
          <w:lang w:val="en_US" w:bidi="en_US"/>
        </w:rPr>
        <w:t>The boat was filling with water (NLT)</w:t>
      </w:r>
    </w:p>
    <w:p>
      <w:pPr/>
      <w:r>
        <w:rPr>
          <w:lang w:val="en_US" w:bidi="en_US"/>
        </w:rPr>
      </w:r>
      <w:r>
        <w:rPr>
          <w:lang w:val="en_US" w:bidi="en_US"/>
        </w:rPr>
        <w:t>causing much water to come into the boat</w:t>
      </w:r>
    </w:p>
    <w:p>
      <w:pPr>
        <w:pStyle w:val="Heading5"/>
      </w:pPr>
      <w:r>
        <w:rPr>
          <w:lang w:val="en_US" w:bidi="en_US"/>
        </w:rPr>
        <w:t>8:23d</w:t>
      </w:r>
    </w:p>
    <w:p>
      <w:pPr/>
      <w:r>
        <w:rPr>
          <w:lang w:val="en_US" w:bidi="en_US"/>
        </w:rPr>
      </w:r>
      <w:r>
        <w:rPr>
          <w:b/>
          <w:lang w:val="en_US" w:bidi="en_US"/>
        </w:rPr>
        <w:t>and they were in great danger.</w:t>
      </w:r>
    </w:p>
    <w:p>
      <w:pPr>
        <w:pStyle w:val="ListBullet"/>
        <w:spacing w:line="240" w:lineRule="auto"/>
        <w:ind w:left="720"/>
      </w:pPr>
      <w:r>
        <w:rPr>
          <w:lang w:val="en_US" w:bidi="en_US"/>
        </w:rPr>
      </w:r>
      <w:r>
        <w:rPr>
          <w:lang w:val="en_US" w:bidi="en_US"/>
        </w:rPr>
        <w:t xml:space="preserve">so they were in danger </w:t>
      </w:r>
      <w:r>
        <w:rPr>
          <w:lang w:val="en_US" w:bidi="en_US"/>
        </w:rPr>
        <w:t>of drowning</w:t>
      </w:r>
      <w:r>
        <w:rPr>
          <w:lang w:val="en_US" w:bidi="en_US"/>
        </w:rPr>
        <w:t>.</w:t>
      </w:r>
    </w:p>
    <w:p>
      <w:pPr>
        <w:pStyle w:val="ListBullet"/>
        <w:spacing w:line="240" w:lineRule="auto"/>
        <w:ind w:left="720"/>
      </w:pPr>
      <w:r>
        <w:rPr>
          <w:lang w:val="en_US" w:bidi="en_US"/>
        </w:rPr>
      </w:r>
      <w:r>
        <w:rPr>
          <w:lang w:val="en_US" w:bidi="en_US"/>
        </w:rPr>
        <w:t xml:space="preserve">so that there was great risk </w:t>
      </w:r>
      <w:r>
        <w:rPr>
          <w:lang w:val="en_US" w:bidi="en_US"/>
        </w:rPr>
        <w:t>that the boat would sink and they would die in the storm</w:t>
      </w:r>
      <w:r>
        <w:rPr>
          <w:lang w:val="en_US" w:bidi="en_US"/>
        </w:rPr>
        <w: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is the same conjunction that was used in 8:23c. Here also, some English versions translate it as “so that” to indicate that being “in danger” was the result of the boat filling with water. For example:</w:t>
      </w:r>
    </w:p>
    <w:p>
      <w:pPr/>
      <w:r>
        <w:rPr>
          <w:lang w:val="en_US" w:bidi="en_US"/>
        </w:rPr>
      </w:r>
      <w:r>
        <w:rPr>
          <w:lang w:val="en_US" w:bidi="en_US"/>
        </w:rPr>
        <w:t xml:space="preserve">…a strong wind blew down on the lake, </w:t>
      </w:r>
      <w:r>
        <w:rPr>
          <w:u w:val="single"/>
          <w:lang w:val="en_US" w:bidi="en_US"/>
        </w:rPr>
        <w:t>and</w:t>
      </w:r>
      <w:r>
        <w:rPr>
          <w:lang w:val="en_US" w:bidi="en_US"/>
        </w:rPr>
        <w:t xml:space="preserve"> the boat began to fill with water, </w:t>
      </w:r>
      <w:r>
        <w:rPr>
          <w:u w:val="single"/>
          <w:lang w:val="en_US" w:bidi="en_US"/>
        </w:rPr>
        <w:t>so that</w:t>
      </w:r>
      <w:r>
        <w:rPr>
          <w:lang w:val="en_US" w:bidi="en_US"/>
        </w:rPr>
        <w:t xml:space="preserve"> they were all in great danger. (GNT)</w:t>
      </w:r>
    </w:p>
    <w:p>
      <w:pPr/>
      <w:r>
        <w:rPr>
          <w:lang w:val="en_US" w:bidi="en_US"/>
        </w:rPr>
      </w:r>
      <w:r>
        <w:rPr>
          <w:lang w:val="en_US" w:bidi="en_US"/>
        </w:rPr>
        <w:t>Connect 8:23d to the context in a natural way in your language. In some languages it may be natural to use a result conjunction only once, either in 8:23c or 8:23d.</w:t>
      </w:r>
    </w:p>
    <w:p>
      <w:pPr/>
      <w:r>
        <w:rPr>
          <w:lang w:val="en_US" w:bidi="en_US"/>
        </w:rPr>
      </w:r>
      <w:r>
        <w:rPr>
          <w:b/>
          <w:lang w:val="en_US" w:bidi="en_US"/>
        </w:rPr>
        <w:t>they were in great danger:</w:t>
      </w:r>
      <w:r>
        <w:rPr>
          <w:lang w:val="en_US" w:bidi="en_US"/>
        </w:rPr>
        <w:t xml:space="preserve"> The men were in danger of drowning. The boat was getting so much water in it that it seemed about to sink. If the boat sank in the storm, it was likely that the people in it would die.</w:t>
      </w:r>
      <w:r>
        <w:rPr>
          <w:lang w:val="en_US" w:bidi="en_US"/>
        </w:rPr>
      </w:r>
      <w:r>
        <w:rPr>
          <w:lang w:val="en_US" w:bidi="en_US"/>
        </w:rPr>
      </w:r>
    </w:p>
    <w:p>
      <w:pPr/>
      <w:r>
        <w:rPr>
          <w:lang w:val="en_US" w:bidi="en_US"/>
        </w:rPr>
      </w:r>
    </w:p>
    <w:p>
      <w:pPr>
        <w:pStyle w:val="Heading2"/>
      </w:pPr>
      <w:r>
        <w:rPr>
          <w:lang w:val="en_US" w:bidi="en_US"/>
        </w:rPr>
        <w:t>Luke 8:24</w:t>
      </w:r>
      <w:r>
        <w:rPr>
          <w:lang w:val="en_US" w:bidi="en_US"/>
        </w:rPr>
      </w:r>
    </w:p>
    <w:p>
      <w:pPr>
        <w:pStyle w:val="Heading4"/>
      </w:pPr>
      <w:r>
        <w:rPr>
          <w:lang w:val="en_US" w:bidi="en_US"/>
        </w:rPr>
        <w:t>Section 8:22–25: Jesus commanded a storm to stop and it obeyed him</w:t>
      </w:r>
    </w:p>
    <w:p>
      <w:pPr/>
      <w:r>
        <w:rPr>
          <w:lang w:val="en_US" w:bidi="en_US"/>
        </w:rPr>
      </w:r>
      <w:r>
        <w:rPr>
          <w:lang w:val="en_US" w:bidi="en_US"/>
        </w:rPr>
        <w:t>In this section Jesus showed his disciples that he had authority over the wind and the sea. While Jesus and his disciples were crossing Lake Galilee in a boat, a strong wind began to blow. The wind caused big waves on the lake. The waves were big enough to come into the boat. The boat was about to sink, but Jesus spoke to the waves. Because Jesus had the authority to command them to stop, the wind and the waves stopped.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 xml:space="preserve">Jesus calmed a storm </w:t>
      </w:r>
      <w:r>
        <w:rPr>
          <w:lang w:val="en_US" w:bidi="en_US"/>
        </w:rPr>
        <w:t>on the lake</w:t>
      </w:r>
    </w:p>
    <w:p>
      <w:pPr/>
      <w:r>
        <w:rPr>
          <w:lang w:val="en_US" w:bidi="en_US"/>
        </w:rPr>
      </w:r>
      <w:r>
        <w:rPr>
          <w:lang w:val="en_US" w:bidi="en_US"/>
        </w:rPr>
        <w:t>Jesus stopped the wind and waves</w:t>
      </w:r>
    </w:p>
    <w:p>
      <w:pPr/>
      <w:r>
        <w:rPr>
          <w:lang w:val="en_US" w:bidi="en_US"/>
        </w:rPr>
      </w:r>
      <w:r>
        <w:rPr>
          <w:lang w:val="en_US" w:bidi="en_US"/>
        </w:rPr>
        <w:t>A storm obeys Jesus</w:t>
      </w:r>
    </w:p>
    <w:p>
      <w:pPr/>
      <w:r>
        <w:rPr>
          <w:lang w:val="en_US" w:bidi="en_US"/>
        </w:rPr>
      </w:r>
      <w:r>
        <w:rPr>
          <w:lang w:val="en_US" w:bidi="en_US"/>
        </w:rPr>
        <w:t>There are parallel passages for this section in Matthew 8:23–27 and Mark 4:35–41.</w:t>
      </w:r>
    </w:p>
    <w:p>
      <w:pPr>
        <w:pStyle w:val="Heading5"/>
      </w:pPr>
      <w:r>
        <w:rPr>
          <w:lang w:val="en_US" w:bidi="en_US"/>
        </w:rPr>
        <w:t>8:24a</w:t>
      </w:r>
    </w:p>
    <w:p>
      <w:pPr/>
      <w:r>
        <w:rPr>
          <w:lang w:val="en_US" w:bidi="en_US"/>
        </w:rPr>
      </w:r>
      <w:r>
        <w:rPr>
          <w:b/>
          <w:lang w:val="en_US" w:bidi="en_US"/>
        </w:rPr>
        <w:t>The disciples went and woke Him, saying,</w:t>
      </w:r>
    </w:p>
    <w:p>
      <w:pPr>
        <w:pStyle w:val="ListBullet"/>
        <w:spacing w:line="240" w:lineRule="auto"/>
        <w:ind w:left="720"/>
      </w:pPr>
      <w:r>
        <w:rPr>
          <w:lang w:val="en_US" w:bidi="en_US"/>
        </w:rPr>
      </w:r>
      <w:r>
        <w:rPr>
          <w:lang w:val="en_US" w:bidi="en_US"/>
        </w:rPr>
        <w:t xml:space="preserve">The disciples went </w:t>
      </w:r>
      <w:r>
        <w:rPr>
          <w:lang w:val="en_US" w:bidi="en_US"/>
        </w:rPr>
        <w:t>to Jesus</w:t>
      </w:r>
      <w:r>
        <w:rPr>
          <w:lang w:val="en_US" w:bidi="en_US"/>
        </w:rPr>
        <w:t xml:space="preserve"> and woke him by saying/calling to him,</w:t>
      </w:r>
    </w:p>
    <w:p>
      <w:pPr>
        <w:pStyle w:val="ListBullet"/>
        <w:spacing w:line="240" w:lineRule="auto"/>
        <w:ind w:left="720"/>
      </w:pPr>
      <w:r>
        <w:rPr>
          <w:lang w:val="en_US" w:bidi="en_US"/>
        </w:rPr>
      </w:r>
      <w:r>
        <w:rPr>
          <w:lang w:val="en_US" w:bidi="en_US"/>
        </w:rPr>
        <w:t>Jesus’ followers went over to him and woke him up. They exclaimed/shouted,</w:t>
      </w:r>
    </w:p>
    <w:p>
      <w:pPr/>
      <w:r>
        <w:rPr>
          <w:lang w:val="en_US" w:bidi="en_US"/>
        </w:rPr>
      </w:r>
      <w:r>
        <w:rPr>
          <w:b/>
          <w:lang w:val="en_US" w:bidi="en_US"/>
        </w:rPr>
        <w:t>The disciples went and woke Him:</w:t>
      </w:r>
      <w:r>
        <w:rPr>
          <w:lang w:val="en_US" w:bidi="en_US"/>
        </w:rPr>
        <w:t xml:space="preserve"> This clause indicates that the disciples went to Jesus and woke him up. In some languages it may be natural to make explicit that the disciples went to Jesus. For example:</w:t>
      </w:r>
    </w:p>
    <w:p>
      <w:pPr/>
      <w:r>
        <w:rPr>
          <w:lang w:val="en_US" w:bidi="en_US"/>
        </w:rPr>
      </w:r>
      <w:r>
        <w:rPr>
          <w:lang w:val="en_US" w:bidi="en_US"/>
        </w:rPr>
        <w:t>The disciples went to Jesus and woke him up (GNT)</w:t>
      </w:r>
    </w:p>
    <w:p>
      <w:pPr/>
      <w:r>
        <w:rPr>
          <w:lang w:val="en_US" w:bidi="en_US"/>
        </w:rPr>
      </w:r>
      <w:r>
        <w:rPr>
          <w:lang w:val="en_US" w:bidi="en_US"/>
        </w:rPr>
        <w:t xml:space="preserve">The Greek text has literally “they” here instead of </w:t>
      </w:r>
      <w:r>
        <w:rPr>
          <w:i/>
          <w:lang w:val="en_US" w:bidi="en_US"/>
        </w:rPr>
        <w:t>The disciples</w:t>
      </w:r>
      <w:r>
        <w:rPr>
          <w:lang w:val="en_US" w:bidi="en_US"/>
        </w:rPr>
        <w:t>. Refer to the disciples here in a natural way in your language.</w:t>
      </w:r>
    </w:p>
    <w:p>
      <w:pPr/>
      <w:r>
        <w:rPr>
          <w:lang w:val="en_US" w:bidi="en_US"/>
        </w:rPr>
      </w:r>
      <w:r>
        <w:rPr>
          <w:b/>
          <w:lang w:val="en_US" w:bidi="en_US"/>
        </w:rPr>
        <w:t>went and woke:</w:t>
      </w:r>
      <w:r>
        <w:rPr>
          <w:lang w:val="en_US" w:bidi="en_US"/>
        </w:rPr>
        <w:t xml:space="preserve"> The disciples </w:t>
      </w:r>
      <w:r>
        <w:rPr>
          <w:i/>
          <w:lang w:val="en_US" w:bidi="en_US"/>
        </w:rPr>
        <w:t>went</w:t>
      </w:r>
      <w:r>
        <w:rPr>
          <w:lang w:val="en_US" w:bidi="en_US"/>
        </w:rPr>
        <w:t xml:space="preserve"> to Jesus, but they and he were all in a small fishing boat. Jesus would have been lying just a few feet away from where the disciples were. In some languages it may be more natural to leave the action of going implied. For example:</w:t>
      </w:r>
    </w:p>
    <w:p>
      <w:pPr/>
      <w:r>
        <w:rPr>
          <w:lang w:val="en_US" w:bidi="en_US"/>
        </w:rPr>
      </w:r>
      <w:r>
        <w:rPr>
          <w:lang w:val="en_US" w:bidi="en_US"/>
        </w:rPr>
        <w:t>the disciples woke him</w:t>
      </w:r>
    </w:p>
    <w:p>
      <w:pPr/>
      <w:r>
        <w:rPr>
          <w:lang w:val="en_US" w:bidi="en_US"/>
        </w:rPr>
      </w:r>
      <w:r>
        <w:rPr>
          <w:lang w:val="en_US" w:bidi="en_US"/>
        </w:rPr>
        <w:t>In some languages it may be more natural to use different verbs. For example:</w:t>
      </w:r>
    </w:p>
    <w:p>
      <w:pPr/>
      <w:r>
        <w:rPr>
          <w:lang w:val="en_US" w:bidi="en_US"/>
        </w:rPr>
      </w:r>
      <w:r>
        <w:rPr>
          <w:lang w:val="en_US" w:bidi="en_US"/>
        </w:rPr>
        <w:t>They came and roused him (REB)</w:t>
      </w:r>
    </w:p>
    <w:p>
      <w:pPr/>
      <w:r>
        <w:rPr>
          <w:lang w:val="en_US" w:bidi="en_US"/>
        </w:rPr>
      </w:r>
      <w:r>
        <w:rPr>
          <w:lang w:val="en_US" w:bidi="en_US"/>
        </w:rPr>
        <w:t>They approached Jesus and woke him</w:t>
      </w:r>
    </w:p>
    <w:p>
      <w:pPr/>
      <w:r>
        <w:rPr>
          <w:lang w:val="en_US" w:bidi="en_US"/>
        </w:rPr>
      </w:r>
      <w:r>
        <w:rPr>
          <w:b/>
          <w:lang w:val="en_US" w:bidi="en_US"/>
        </w:rPr>
        <w:t>saying:</w:t>
      </w:r>
      <w:r>
        <w:rPr>
          <w:lang w:val="en_US" w:bidi="en_US"/>
        </w:rPr>
        <w:t xml:space="preserve"> The Greek verb that the BSB translates as </w:t>
      </w:r>
      <w:r>
        <w:rPr>
          <w:i/>
          <w:lang w:val="en_US" w:bidi="en_US"/>
        </w:rPr>
        <w:t>saying</w:t>
      </w:r>
      <w:r>
        <w:rPr>
          <w:lang w:val="en_US" w:bidi="en_US"/>
        </w:rPr>
        <w:t xml:space="preserve"> is a general word for speaking. In some languages it may be natural to use a more specific verb like shouting or crying out in this context. For example:</w:t>
      </w:r>
    </w:p>
    <w:p>
      <w:pPr/>
      <w:r>
        <w:rPr>
          <w:lang w:val="en_US" w:bidi="en_US"/>
        </w:rPr>
      </w:r>
      <w:r>
        <w:rPr>
          <w:lang w:val="en_US" w:bidi="en_US"/>
        </w:rPr>
        <w:t xml:space="preserve">The disciples woke him up, </w:t>
      </w:r>
      <w:r>
        <w:rPr>
          <w:u w:val="single"/>
          <w:lang w:val="en_US" w:bidi="en_US"/>
        </w:rPr>
        <w:t>shouting</w:t>
      </w:r>
      <w:r>
        <w:rPr>
          <w:lang w:val="en_US" w:bidi="en_US"/>
        </w:rPr>
        <w:t>… (NLT96)</w:t>
      </w:r>
    </w:p>
    <w:p>
      <w:pPr>
        <w:pStyle w:val="Heading5"/>
      </w:pPr>
      <w:r>
        <w:rPr>
          <w:lang w:val="en_US" w:bidi="en_US"/>
        </w:rPr>
        <w:t>8:24b</w:t>
      </w:r>
    </w:p>
    <w:p>
      <w:pPr/>
      <w:r>
        <w:rPr>
          <w:lang w:val="en_US" w:bidi="en_US"/>
        </w:rPr>
      </w:r>
      <w:r>
        <w:rPr>
          <w:b/>
          <w:lang w:val="en_US" w:bidi="en_US"/>
        </w:rPr>
        <w:t>“Master, Master, we are perishing!”</w:t>
      </w:r>
    </w:p>
    <w:p>
      <w:pPr>
        <w:pStyle w:val="ListBullet"/>
        <w:spacing w:line="240" w:lineRule="auto"/>
        <w:ind w:left="720"/>
      </w:pPr>
      <w:r>
        <w:rPr>
          <w:lang w:val="en_US" w:bidi="en_US"/>
        </w:rPr>
      </w:r>
      <w:r>
        <w:rPr>
          <w:lang w:val="en_US" w:bidi="en_US"/>
        </w:rPr>
        <w:t>“Master, Master, we</w:t>
      </w:r>
      <w:r>
        <w:rPr>
          <w:vertAlign w:val="superscript"/>
          <w:lang w:val="en_US" w:bidi="en_US"/>
        </w:rPr>
        <w:t>(incl)</w:t>
      </w:r>
      <w:r>
        <w:rPr>
          <w:lang w:val="en_US" w:bidi="en_US"/>
        </w:rPr>
        <w:t xml:space="preserve"> are about to die!”</w:t>
      </w:r>
    </w:p>
    <w:p>
      <w:pPr>
        <w:pStyle w:val="ListBullet"/>
        <w:spacing w:line="240" w:lineRule="auto"/>
        <w:ind w:left="720"/>
      </w:pPr>
      <w:r>
        <w:rPr>
          <w:lang w:val="en_US" w:bidi="en_US"/>
        </w:rPr>
      </w:r>
      <w:r>
        <w:rPr>
          <w:lang w:val="en_US" w:bidi="en_US"/>
        </w:rPr>
        <w:t>“Lord, we</w:t>
      </w:r>
      <w:r>
        <w:rPr>
          <w:vertAlign w:val="superscript"/>
          <w:lang w:val="en_US" w:bidi="en_US"/>
        </w:rPr>
        <w:t>(incl)</w:t>
      </w:r>
      <w:r>
        <w:rPr>
          <w:lang w:val="en_US" w:bidi="en_US"/>
        </w:rPr>
        <w:t xml:space="preserve"> are in </w:t>
      </w:r>
      <w:r>
        <w:rPr>
          <w:lang w:val="en_US" w:bidi="en_US"/>
        </w:rPr>
        <w:t>danger</w:t>
      </w:r>
      <w:r>
        <w:rPr>
          <w:lang w:val="en_US" w:bidi="en_US"/>
        </w:rPr>
        <w:t xml:space="preserve"> of drowning! </w:t>
      </w:r>
      <w:r>
        <w:rPr>
          <w:lang w:val="en_US" w:bidi="en_US"/>
        </w:rPr>
        <w:t>Save/help us!</w:t>
      </w:r>
      <w:r>
        <w:rPr>
          <w:vertAlign w:val="superscript"/>
          <w:lang w:val="en_US" w:bidi="en_US"/>
        </w:rPr>
        <w:t>(incl)</w:t>
      </w:r>
      <w:r>
        <w:rPr>
          <w:lang w:val="en_US" w:bidi="en_US"/>
        </w:rPr>
        <w:t>”</w:t>
      </w:r>
    </w:p>
    <w:p>
      <w:pPr/>
      <w:r>
        <w:rPr>
          <w:lang w:val="en_US" w:bidi="en_US"/>
        </w:rPr>
      </w:r>
      <w:r>
        <w:rPr>
          <w:b/>
          <w:lang w:val="en_US" w:bidi="en_US"/>
        </w:rPr>
        <w:t>Master, Master:</w:t>
      </w:r>
      <w:r>
        <w:rPr>
          <w:lang w:val="en_US" w:bidi="en_US"/>
        </w:rPr>
        <w:t xml:space="preserve"> The Greek word that the BSB translates as </w:t>
      </w:r>
      <w:r>
        <w:rPr>
          <w:i/>
          <w:lang w:val="en_US" w:bidi="en_US"/>
        </w:rPr>
        <w:t>Master</w:t>
      </w:r>
      <w:r>
        <w:rPr>
          <w:lang w:val="en_US" w:bidi="en_US"/>
        </w:rPr>
        <w:t xml:space="preserve"> is a term that shows respect. It is a term that people used to address a person who has high position or status. See the note at 5:5a where the same term is used.</w:t>
      </w:r>
    </w:p>
    <w:p>
      <w:pPr/>
      <w:r>
        <w:rPr>
          <w:lang w:val="en_US" w:bidi="en_US"/>
        </w:rPr>
      </w:r>
      <w:r>
        <w:rPr>
          <w:i/>
          <w:lang w:val="en_US" w:bidi="en_US"/>
        </w:rPr>
        <w:t>Master</w:t>
      </w:r>
      <w:r>
        <w:rPr>
          <w:lang w:val="en_US" w:bidi="en_US"/>
        </w:rPr>
        <w:t xml:space="preserve"> is repeated twice for emphasis. It communicates the urgency and panic the disciples were feeling at that moment. In some languages this repetition may not communicate urgency, or repetition may not be natural. If that is true in your language, use a different way to indicate this urgency. For example:</w:t>
      </w:r>
    </w:p>
    <w:p>
      <w:pPr/>
      <w:r>
        <w:rPr>
          <w:lang w:val="en_US" w:bidi="en_US"/>
        </w:rPr>
      </w:r>
      <w:r>
        <w:rPr>
          <w:lang w:val="en_US" w:bidi="en_US"/>
        </w:rPr>
        <w:t>Oh, Master!</w:t>
      </w:r>
    </w:p>
    <w:p>
      <w:pPr/>
      <w:r>
        <w:rPr>
          <w:lang w:val="en_US" w:bidi="en_US"/>
        </w:rPr>
      </w:r>
      <w:r>
        <w:rPr>
          <w:lang w:val="en_US" w:bidi="en_US"/>
        </w:rPr>
        <w:t xml:space="preserve">Master, </w:t>
      </w:r>
      <w:r>
        <w:rPr>
          <w:lang w:val="en_US" w:bidi="en_US"/>
        </w:rPr>
        <w:t>help us!</w:t>
      </w:r>
    </w:p>
    <w:p>
      <w:pPr/>
      <w:r>
        <w:rPr>
          <w:lang w:val="en_US" w:bidi="en_US"/>
        </w:rPr>
      </w:r>
      <w:r>
        <w:rPr>
          <w:b/>
          <w:lang w:val="en_US" w:bidi="en_US"/>
        </w:rPr>
        <w:t>we are perishing:</w:t>
      </w:r>
      <w:r>
        <w:rPr>
          <w:lang w:val="en_US" w:bidi="en_US"/>
        </w:rPr>
        <w:t xml:space="preserve"> The Greek verb that the BSB translates literally as </w:t>
      </w:r>
      <w:r>
        <w:rPr>
          <w:i/>
          <w:lang w:val="en_US" w:bidi="en_US"/>
        </w:rPr>
        <w:t>we are perishing</w:t>
      </w:r>
      <w:r>
        <w:rPr>
          <w:lang w:val="en_US" w:bidi="en_US"/>
        </w:rPr>
        <w:t xml:space="preserve"> means “we are going to die.” Some English versions (CEV, NIV, NLT) use the word “drown,” which refers specifically to dying in water, so it is appropriate in this context. Use a word or an idiom that would be natural in this situation in your language.</w:t>
      </w:r>
    </w:p>
    <w:p>
      <w:pPr/>
      <w:r>
        <w:rPr>
          <w:lang w:val="en_US" w:bidi="en_US"/>
        </w:rPr>
      </w:r>
      <w:r>
        <w:rPr>
          <w:lang w:val="en_US" w:bidi="en_US"/>
        </w:rPr>
        <w:t xml:space="preserve">The disciples’ statement </w:t>
      </w:r>
      <w:r>
        <w:rPr>
          <w:i/>
          <w:lang w:val="en_US" w:bidi="en_US"/>
        </w:rPr>
        <w:t>we are perishing</w:t>
      </w:r>
      <w:r>
        <w:rPr>
          <w:lang w:val="en_US" w:bidi="en_US"/>
        </w:rPr>
        <w:t xml:space="preserve"> implied a request for Jesus to help and save them. If this may not be clear in your language, you may want to make it explicit. For example:</w:t>
      </w:r>
    </w:p>
    <w:p>
      <w:pPr/>
      <w:r>
        <w:rPr>
          <w:lang w:val="en_US" w:bidi="en_US"/>
        </w:rPr>
      </w:r>
      <w:r>
        <w:rPr>
          <w:lang w:val="en_US" w:bidi="en_US"/>
        </w:rPr>
        <w:t xml:space="preserve">Master, master, we are going to drown. </w:t>
      </w:r>
      <w:r>
        <w:rPr>
          <w:lang w:val="en_US" w:bidi="en_US"/>
        </w:rPr>
        <w:t>Please help/save us.</w:t>
      </w:r>
    </w:p>
    <w:p>
      <w:pPr/>
      <w:r>
        <w:rPr>
          <w:lang w:val="en_US" w:bidi="en_US"/>
        </w:rPr>
      </w:r>
      <w:r>
        <w:rPr>
          <w:lang w:val="en_US" w:bidi="en_US"/>
        </w:rPr>
        <w:t xml:space="preserve">Master, </w:t>
      </w:r>
      <w:r>
        <w:rPr>
          <w:lang w:val="en_US" w:bidi="en_US"/>
        </w:rPr>
        <w:t>save us!</w:t>
      </w:r>
      <w:r>
        <w:rPr>
          <w:lang w:val="en_US" w:bidi="en_US"/>
        </w:rPr>
        <w:t xml:space="preserve"> We are about to die!</w:t>
      </w:r>
    </w:p>
    <w:p>
      <w:pPr/>
      <w:r>
        <w:rPr>
          <w:lang w:val="en_US" w:bidi="en_US"/>
        </w:rPr>
      </w:r>
      <w:r>
        <w:rPr>
          <w:b/>
          <w:lang w:val="en_US" w:bidi="en_US"/>
        </w:rPr>
        <w:t>we are:</w:t>
      </w:r>
      <w:r>
        <w:rPr>
          <w:lang w:val="en_US" w:bidi="en_US"/>
        </w:rPr>
        <w:t xml:space="preserve"> In this context the disciples probably included Jesus in the word </w:t>
      </w:r>
      <w:r>
        <w:rPr>
          <w:i/>
          <w:lang w:val="en_US" w:bidi="en_US"/>
        </w:rPr>
        <w:t>we</w:t>
      </w:r>
      <w:r>
        <w:rPr>
          <w:lang w:val="en_US" w:bidi="en_US"/>
        </w:rPr>
        <w:t>. Use a form that includes all the people in the boat including Jesus. The disciples did not yet fully understand who Jesus was. So it was possible for them to believe that Jesus could die with them if he did not do something to stop the storm.</w:t>
      </w:r>
    </w:p>
    <w:p>
      <w:pPr>
        <w:pStyle w:val="Heading5"/>
      </w:pPr>
      <w:r>
        <w:rPr>
          <w:lang w:val="en_US" w:bidi="en_US"/>
        </w:rPr>
        <w:t>8:24c</w:t>
      </w:r>
    </w:p>
    <w:p>
      <w:pPr/>
      <w:r>
        <w:rPr>
          <w:lang w:val="en_US" w:bidi="en_US"/>
        </w:rPr>
      </w:r>
      <w:r>
        <w:rPr>
          <w:b/>
          <w:lang w:val="en_US" w:bidi="en_US"/>
        </w:rPr>
        <w:t>Then Jesus got up and rebuked the wind and the raging waters,</w:t>
      </w:r>
    </w:p>
    <w:p>
      <w:pPr>
        <w:pStyle w:val="ListBullet"/>
        <w:spacing w:line="240" w:lineRule="auto"/>
        <w:ind w:left="720"/>
      </w:pPr>
      <w:r>
        <w:rPr>
          <w:lang w:val="en_US" w:bidi="en_US"/>
        </w:rPr>
      </w:r>
      <w:r>
        <w:rPr>
          <w:lang w:val="en_US" w:bidi="en_US"/>
        </w:rPr>
        <w:t xml:space="preserve">¶ </w:t>
      </w:r>
      <w:r>
        <w:rPr>
          <w:lang w:val="en_US" w:bidi="en_US"/>
        </w:rPr>
        <w:t>Jesus</w:t>
      </w:r>
      <w:r>
        <w:rPr>
          <w:lang w:val="en_US" w:bidi="en_US"/>
        </w:rPr>
        <w:t xml:space="preserve"> woke up and rebuked the wind and the great/tall waves,</w:t>
      </w:r>
    </w:p>
    <w:p>
      <w:pPr>
        <w:pStyle w:val="ListBullet"/>
        <w:spacing w:line="240" w:lineRule="auto"/>
        <w:ind w:left="720"/>
      </w:pPr>
      <w:r>
        <w:rPr>
          <w:lang w:val="en_US" w:bidi="en_US"/>
        </w:rPr>
      </w:r>
      <w:r>
        <w:rPr>
          <w:lang w:val="en_US" w:bidi="en_US"/>
        </w:rPr>
        <w:t xml:space="preserve">¶ </w:t>
      </w:r>
      <w:r>
        <w:rPr>
          <w:lang w:val="en_US" w:bidi="en_US"/>
        </w:rPr>
        <w:t>Then/so</w:t>
      </w:r>
      <w:r>
        <w:rPr>
          <w:lang w:val="en_US" w:bidi="en_US"/>
        </w:rPr>
        <w:t xml:space="preserve"> having been awakened, he said to the wind and the rough water/waters, </w:t>
      </w:r>
      <w:r>
        <w:rPr>
          <w:lang w:val="en_US" w:bidi="en_US"/>
        </w:rPr>
        <w:t>“Be quiet! Be still!”</w:t>
      </w:r>
    </w:p>
    <w:p>
      <w:pPr>
        <w:pStyle w:val="ListBullet"/>
        <w:spacing w:line="240" w:lineRule="auto"/>
        <w:ind w:left="720"/>
      </w:pPr>
      <w:r>
        <w:rPr>
          <w:lang w:val="en_US" w:bidi="en_US"/>
        </w:rPr>
      </w:r>
      <w:r>
        <w:rPr>
          <w:lang w:val="en_US" w:bidi="en_US"/>
        </w:rPr>
        <w:t xml:space="preserve">¶ So Jesus woke up and </w:t>
      </w:r>
      <w:r>
        <w:rPr>
          <w:lang w:val="en_US" w:bidi="en_US"/>
        </w:rPr>
        <w:t>sternly</w:t>
      </w:r>
      <w:r>
        <w:rPr>
          <w:lang w:val="en_US" w:bidi="en_US"/>
        </w:rPr>
        <w:t xml:space="preserve"> told/commanded the strong wind and the surging waves to stop.</w:t>
      </w:r>
    </w:p>
    <w:p>
      <w:pPr/>
      <w:r>
        <w:rPr>
          <w:lang w:val="en_US" w:bidi="en_US"/>
        </w:rPr>
      </w:r>
      <w:r>
        <w:rPr>
          <w:b/>
          <w:lang w:val="en_US" w:bidi="en_US"/>
        </w:rPr>
        <w:t>Then:</w:t>
      </w:r>
      <w:r>
        <w:rPr>
          <w:lang w:val="en_US" w:bidi="en_US"/>
        </w:rPr>
        <w:t xml:space="preserve"> This verse begins with a Greek conjunction that is often translated as “and.” Some English versions, such as the ESV, translate it that way. The NET says “so” in order to show that Jesus acted in response to the plea for help from his disciples. Some versions, such as the NIV, do not translate this conjunction. But since this paragraph is the climax of this event, where Jesus rebuked the storm and it ended, other versions (BSB, GW, KJV) translate it as “then.” Consider whether it is natural to introduce or indicate this climax in a specific way in your language.</w:t>
      </w:r>
    </w:p>
    <w:p>
      <w:pPr/>
      <w:r>
        <w:rPr>
          <w:lang w:val="en_US" w:bidi="en_US"/>
        </w:rPr>
      </w:r>
      <w:r>
        <w:rPr>
          <w:b/>
          <w:lang w:val="en_US" w:bidi="en_US"/>
        </w:rPr>
        <w:t>Jesus got up:</w:t>
      </w:r>
      <w:r>
        <w:rPr>
          <w:lang w:val="en_US" w:bidi="en_US"/>
        </w:rPr>
        <w:t xml:space="preserve"> The Greek verb that the BSB translates as </w:t>
      </w:r>
      <w:r>
        <w:rPr>
          <w:i/>
          <w:lang w:val="en_US" w:bidi="en_US"/>
        </w:rPr>
        <w:t>got up</w:t>
      </w:r>
      <w:r>
        <w:rPr>
          <w:lang w:val="en_US" w:bidi="en_US"/>
        </w:rPr>
        <w:t xml:space="preserve"> is literally “having been awakened.” It does not mean “he stood up,” though Jesus may have stood when he spoke to the wind and water. The verb “having been awakened” is passive. Here it indicates that the disciples had awakened Jesus. Other ways to say this are:</w:t>
      </w:r>
    </w:p>
    <w:p>
      <w:pPr/>
      <w:r>
        <w:rPr>
          <w:lang w:val="en_US" w:bidi="en_US"/>
        </w:rPr>
      </w:r>
      <w:r>
        <w:rPr>
          <w:lang w:val="en_US" w:bidi="en_US"/>
        </w:rPr>
        <w:t xml:space="preserve">Being awake </w:t>
      </w:r>
      <w:r>
        <w:rPr>
          <w:lang w:val="en_US" w:bidi="en_US"/>
        </w:rPr>
        <w:t>now</w:t>
      </w:r>
    </w:p>
    <w:p>
      <w:pPr/>
      <w:r>
        <w:rPr>
          <w:lang w:val="en_US" w:bidi="en_US"/>
        </w:rPr>
      </w:r>
      <w:r>
        <w:rPr>
          <w:lang w:val="en_US" w:bidi="en_US"/>
        </w:rPr>
        <w:t xml:space="preserve">Having been awakened </w:t>
      </w:r>
      <w:r>
        <w:rPr>
          <w:lang w:val="en_US" w:bidi="en_US"/>
        </w:rPr>
        <w:t>by the disciples</w:t>
      </w:r>
    </w:p>
    <w:p>
      <w:pPr/>
      <w:r>
        <w:rPr>
          <w:lang w:val="en_US" w:bidi="en_US"/>
        </w:rPr>
      </w:r>
      <w:r>
        <w:rPr>
          <w:lang w:val="en_US" w:bidi="en_US"/>
        </w:rPr>
        <w:t>You may need to pay special attention to the way you translate the sequence of events here. It is not necessary to imply that Jesus did not hear what the disciples said to him because he was still sleeping. Jesus probably woke up immediately when the disciples came to him in 8:24a. When the disciples woke him by saying, “Master, master, we are drowning,” Jesus responded by speaking to the wind and water.</w:t>
      </w:r>
    </w:p>
    <w:p>
      <w:pPr/>
      <w:r>
        <w:rPr>
          <w:lang w:val="en_US" w:bidi="en_US"/>
        </w:rPr>
      </w:r>
      <w:r>
        <w:rPr>
          <w:b/>
          <w:lang w:val="en_US" w:bidi="en_US"/>
        </w:rPr>
        <w:t>rebuked the wind and the raging waters:</w:t>
      </w:r>
      <w:r>
        <w:rPr>
          <w:lang w:val="en_US" w:bidi="en_US"/>
        </w:rPr>
        <w:t xml:space="preserve"> The Greek word that the BSB translates as </w:t>
      </w:r>
      <w:r>
        <w:rPr>
          <w:i/>
          <w:lang w:val="en_US" w:bidi="en_US"/>
        </w:rPr>
        <w:t>rebuked</w:t>
      </w:r>
      <w:r>
        <w:rPr>
          <w:lang w:val="en_US" w:bidi="en_US"/>
        </w:rPr>
        <w:t xml:space="preserve"> means to express strong disapproval to someone who does wrong. It includes either an implied or explicit command to stop doing what is wrong. Here it means “ordered to stop.” For example:</w:t>
      </w:r>
    </w:p>
    <w:p>
      <w:pPr/>
      <w:r>
        <w:rPr>
          <w:lang w:val="en_US" w:bidi="en_US"/>
        </w:rPr>
      </w:r>
      <w:r>
        <w:rPr>
          <w:lang w:val="en_US" w:bidi="en_US"/>
        </w:rPr>
        <w:t>ordered the wind and waves to stop (CEV)</w:t>
      </w:r>
    </w:p>
    <w:p>
      <w:pPr/>
      <w:r>
        <w:rPr>
          <w:lang w:val="en_US" w:bidi="en_US"/>
        </w:rPr>
      </w:r>
      <w:r>
        <w:rPr>
          <w:lang w:val="en_US" w:bidi="en_US"/>
        </w:rPr>
        <w:t>Jesus spoke strongly to the wind and the waves as if they were people. He commanded the wind to stop blowing and the waves to be still. The same verb is used in 4:35a, 4:39a, and 4:41c.</w:t>
      </w:r>
    </w:p>
    <w:p>
      <w:pPr/>
      <w:r>
        <w:rPr>
          <w:lang w:val="en_US" w:bidi="en_US"/>
        </w:rPr>
      </w:r>
      <w:r>
        <w:rPr>
          <w:lang w:val="en_US" w:bidi="en_US"/>
        </w:rPr>
        <w:t>In some languages, it may be more natural to express Jesus’ commands to the wind and water as direct speech. If so, you may be able to use the words from your translation of Mark 4:39. For example:</w:t>
      </w:r>
    </w:p>
    <w:p>
      <w:pPr/>
      <w:r>
        <w:rPr>
          <w:lang w:val="en_US" w:bidi="en_US"/>
        </w:rPr>
      </w:r>
      <w:r>
        <w:rPr>
          <w:lang w:val="en_US" w:bidi="en_US"/>
        </w:rPr>
        <w:t>Be quiet and still!</w:t>
      </w:r>
    </w:p>
    <w:p>
      <w:pPr/>
      <w:r>
        <w:rPr>
          <w:lang w:val="en_US" w:bidi="en_US"/>
        </w:rPr>
      </w:r>
      <w:r>
        <w:rPr>
          <w:lang w:val="en_US" w:bidi="en_US"/>
        </w:rPr>
        <w:t>Stop! Be calm!</w:t>
      </w:r>
    </w:p>
    <w:p>
      <w:pPr/>
      <w:r>
        <w:rPr>
          <w:lang w:val="en_US" w:bidi="en_US"/>
        </w:rPr>
      </w:r>
      <w:r>
        <w:rPr>
          <w:b/>
          <w:lang w:val="en_US" w:bidi="en_US"/>
        </w:rPr>
        <w:t>raging waters:</w:t>
      </w:r>
      <w:r>
        <w:rPr>
          <w:lang w:val="en_US" w:bidi="en_US"/>
        </w:rPr>
        <w:t xml:space="preserve"> The Greek phrase that the BSB translates as </w:t>
      </w:r>
      <w:r>
        <w:rPr>
          <w:i/>
          <w:lang w:val="en_US" w:bidi="en_US"/>
        </w:rPr>
        <w:t>raging waters</w:t>
      </w:r>
      <w:r>
        <w:rPr>
          <w:lang w:val="en_US" w:bidi="en_US"/>
        </w:rPr>
        <w:t xml:space="preserve"> refers to large waves. English versions have translated this in various ways, including:</w:t>
      </w:r>
    </w:p>
    <w:p>
      <w:pPr/>
      <w:r>
        <w:rPr>
          <w:lang w:val="en_US" w:bidi="en_US"/>
        </w:rPr>
      </w:r>
      <w:r>
        <w:rPr>
          <w:lang w:val="en_US" w:bidi="en_US"/>
        </w:rPr>
        <w:t>rough water (NJB)</w:t>
      </w:r>
    </w:p>
    <w:p>
      <w:pPr/>
      <w:r>
        <w:rPr>
          <w:lang w:val="en_US" w:bidi="en_US"/>
        </w:rPr>
      </w:r>
      <w:r>
        <w:rPr>
          <w:lang w:val="en_US" w:bidi="en_US"/>
        </w:rPr>
        <w:t>turbulent waters (REB)</w:t>
      </w:r>
    </w:p>
    <w:p>
      <w:pPr/>
      <w:r>
        <w:rPr>
          <w:lang w:val="en_US" w:bidi="en_US"/>
        </w:rPr>
      </w:r>
      <w:r>
        <w:rPr>
          <w:lang w:val="en_US" w:bidi="en_US"/>
        </w:rPr>
        <w:t>surging waves (NASB)</w:t>
      </w:r>
    </w:p>
    <w:p>
      <w:pPr/>
      <w:r>
        <w:rPr>
          <w:lang w:val="en_US" w:bidi="en_US"/>
        </w:rPr>
      </w:r>
      <w:r>
        <w:rPr>
          <w:lang w:val="en_US" w:bidi="en_US"/>
        </w:rPr>
        <w:t>Translate this with a word or expression in your language that is natural for this situation.</w:t>
      </w:r>
    </w:p>
    <w:p>
      <w:pPr>
        <w:pStyle w:val="Heading5"/>
      </w:pPr>
      <w:r>
        <w:rPr>
          <w:lang w:val="en_US" w:bidi="en_US"/>
        </w:rPr>
        <w:t>8:24d</w:t>
      </w:r>
    </w:p>
    <w:p>
      <w:pPr/>
      <w:r>
        <w:rPr>
          <w:lang w:val="en_US" w:bidi="en_US"/>
        </w:rPr>
      </w:r>
      <w:r>
        <w:rPr>
          <w:b/>
          <w:lang w:val="en_US" w:bidi="en_US"/>
        </w:rPr>
        <w:t>and they subsided, and all was calm.</w:t>
      </w:r>
    </w:p>
    <w:p>
      <w:pPr>
        <w:pStyle w:val="ListBullet"/>
        <w:spacing w:line="240" w:lineRule="auto"/>
        <w:ind w:left="720"/>
      </w:pPr>
      <w:r>
        <w:rPr>
          <w:lang w:val="en_US" w:bidi="en_US"/>
        </w:rPr>
      </w:r>
      <w:r>
        <w:rPr>
          <w:lang w:val="en_US" w:bidi="en_US"/>
        </w:rPr>
        <w:t xml:space="preserve">and they stopped/ceased. </w:t>
      </w:r>
      <w:r>
        <w:rPr>
          <w:lang w:val="en_US" w:bidi="en_US"/>
        </w:rPr>
        <w:t>The lake</w:t>
      </w:r>
      <w:r>
        <w:rPr>
          <w:lang w:val="en_US" w:bidi="en_US"/>
        </w:rPr>
        <w:t xml:space="preserve"> became still.</w:t>
      </w:r>
    </w:p>
    <w:p>
      <w:pPr>
        <w:pStyle w:val="ListBullet"/>
        <w:spacing w:line="240" w:lineRule="auto"/>
        <w:ind w:left="720"/>
      </w:pPr>
      <w:r>
        <w:rPr>
          <w:lang w:val="en_US" w:bidi="en_US"/>
        </w:rPr>
      </w:r>
      <w:r>
        <w:rPr>
          <w:lang w:val="en_US" w:bidi="en_US"/>
        </w:rPr>
        <w:t>As a result,</w:t>
      </w:r>
      <w:r>
        <w:rPr>
          <w:lang w:val="en_US" w:bidi="en_US"/>
        </w:rPr>
        <w:t xml:space="preserve"> the wind stopped blowing, the waves ceased, and </w:t>
      </w:r>
      <w:r>
        <w:rPr>
          <w:lang w:val="en_US" w:bidi="en_US"/>
        </w:rPr>
        <w:t>the surface of the water</w:t>
      </w:r>
      <w:r>
        <w:rPr>
          <w:lang w:val="en_US" w:bidi="en_US"/>
        </w:rPr>
        <w:t xml:space="preserve"> was calm/still.</w:t>
      </w:r>
    </w:p>
    <w:p>
      <w:pPr/>
      <w:r>
        <w:rPr>
          <w:lang w:val="en_US" w:bidi="en_US"/>
        </w:rPr>
      </w:r>
      <w:r>
        <w:rPr>
          <w:b/>
          <w:lang w:val="en_US" w:bidi="en_US"/>
        </w:rPr>
        <w:t>and they subsided:</w:t>
      </w:r>
      <w:r>
        <w:rPr>
          <w:lang w:val="en_US" w:bidi="en_US"/>
        </w:rPr>
        <w:t xml:space="preserve"> The Greek phrase that the BSB translates as </w:t>
      </w:r>
      <w:r>
        <w:rPr>
          <w:i/>
          <w:lang w:val="en_US" w:bidi="en_US"/>
        </w:rPr>
        <w:t>and they subsided</w:t>
      </w:r>
      <w:r>
        <w:rPr>
          <w:lang w:val="en_US" w:bidi="en_US"/>
        </w:rPr>
        <w:t xml:space="preserve"> is literally “and they ceased/stopped.” The wind immediately stopped blowing and the waves stopped crashing against the boat.</w:t>
      </w:r>
    </w:p>
    <w:p>
      <w:pPr/>
      <w:r>
        <w:rPr>
          <w:lang w:val="en_US" w:bidi="en_US"/>
        </w:rPr>
      </w:r>
      <w:r>
        <w:rPr>
          <w:b/>
          <w:lang w:val="en_US" w:bidi="en_US"/>
        </w:rPr>
        <w:t>and all was calm:</w:t>
      </w:r>
      <w:r>
        <w:rPr>
          <w:lang w:val="en_US" w:bidi="en_US"/>
        </w:rPr>
        <w:t xml:space="preserve"> This phrase describes what the sea was like after the storm subsided. It became completely quiet and still. It implies that the surface of the water was smooth or flat, without waves.</w:t>
      </w:r>
    </w:p>
    <w:p>
      <w:pPr/>
      <w:r>
        <w:rPr>
          <w:lang w:val="en_US" w:bidi="en_US"/>
        </w:rPr>
      </w:r>
      <w:r>
        <w:rPr>
          <w:lang w:val="en_US" w:bidi="en_US"/>
        </w:rPr>
        <w:t xml:space="preserve">The BSB has supplied the word </w:t>
      </w:r>
      <w:r>
        <w:rPr>
          <w:i/>
          <w:lang w:val="en_US" w:bidi="en_US"/>
        </w:rPr>
        <w:t>all</w:t>
      </w:r>
      <w:r>
        <w:rPr>
          <w:lang w:val="en_US" w:bidi="en_US"/>
        </w:rPr>
        <w:t>, which is not in the Greek text. This Greek word normally describes a sea or lake, so it may be better to say:</w:t>
      </w:r>
    </w:p>
    <w:p>
      <w:pPr/>
      <w:r>
        <w:rPr>
          <w:lang w:val="en_US" w:bidi="en_US"/>
        </w:rPr>
      </w:r>
      <w:r>
        <w:rPr>
          <w:u w:val="single"/>
          <w:lang w:val="en_US" w:bidi="en_US"/>
        </w:rPr>
        <w:t>the lake/water</w:t>
      </w:r>
      <w:r>
        <w:rPr>
          <w:lang w:val="en_US" w:bidi="en_US"/>
        </w:rPr>
        <w:t xml:space="preserve"> was calm</w:t>
      </w:r>
    </w:p>
    <w:p>
      <w:pPr/>
      <w:r>
        <w:rPr>
          <w:lang w:val="en_US" w:bidi="en_US"/>
        </w:rPr>
      </w:r>
      <w:r>
        <w:rPr>
          <w:u w:val="single"/>
          <w:lang w:val="en_US" w:bidi="en_US"/>
        </w:rPr>
        <w:t>the surface of the water</w:t>
      </w:r>
      <w:r>
        <w:rPr>
          <w:lang w:val="en_US" w:bidi="en_US"/>
        </w:rPr>
        <w:t xml:space="preserve"> was smooth/flat</w:t>
      </w:r>
      <w:r>
        <w:rPr>
          <w:lang w:val="en_US" w:bidi="en_US"/>
        </w:rPr>
      </w:r>
      <w:r>
        <w:rPr>
          <w:lang w:val="en_US" w:bidi="en_US"/>
        </w:rPr>
      </w:r>
    </w:p>
    <w:p>
      <w:pPr/>
      <w:r>
        <w:rPr>
          <w:lang w:val="en_US" w:bidi="en_US"/>
        </w:rPr>
      </w:r>
    </w:p>
    <w:p>
      <w:pPr>
        <w:pStyle w:val="Heading2"/>
      </w:pPr>
      <w:r>
        <w:rPr>
          <w:lang w:val="en_US" w:bidi="en_US"/>
        </w:rPr>
        <w:t>Luke 8:25</w:t>
      </w:r>
      <w:r>
        <w:rPr>
          <w:lang w:val="en_US" w:bidi="en_US"/>
        </w:rPr>
      </w:r>
    </w:p>
    <w:p>
      <w:pPr>
        <w:pStyle w:val="Heading4"/>
      </w:pPr>
      <w:r>
        <w:rPr>
          <w:lang w:val="en_US" w:bidi="en_US"/>
        </w:rPr>
        <w:t>Section 8:22–25: Jesus commanded a storm to stop and it obeyed him</w:t>
      </w:r>
    </w:p>
    <w:p>
      <w:pPr/>
      <w:r>
        <w:rPr>
          <w:lang w:val="en_US" w:bidi="en_US"/>
        </w:rPr>
      </w:r>
      <w:r>
        <w:rPr>
          <w:lang w:val="en_US" w:bidi="en_US"/>
        </w:rPr>
        <w:t>In this section Jesus showed his disciples that he had authority over the wind and the sea. While Jesus and his disciples were crossing Lake Galilee in a boat, a strong wind began to blow. The wind caused big waves on the lake. The waves were big enough to come into the boat. The boat was about to sink, but Jesus spoke to the waves. Because Jesus had the authority to command them to stop, the wind and the waves stopped.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 xml:space="preserve">Jesus calmed a storm </w:t>
      </w:r>
      <w:r>
        <w:rPr>
          <w:lang w:val="en_US" w:bidi="en_US"/>
        </w:rPr>
        <w:t>on the lake</w:t>
      </w:r>
    </w:p>
    <w:p>
      <w:pPr/>
      <w:r>
        <w:rPr>
          <w:lang w:val="en_US" w:bidi="en_US"/>
        </w:rPr>
      </w:r>
      <w:r>
        <w:rPr>
          <w:lang w:val="en_US" w:bidi="en_US"/>
        </w:rPr>
        <w:t>Jesus stopped the wind and waves</w:t>
      </w:r>
    </w:p>
    <w:p>
      <w:pPr/>
      <w:r>
        <w:rPr>
          <w:lang w:val="en_US" w:bidi="en_US"/>
        </w:rPr>
      </w:r>
      <w:r>
        <w:rPr>
          <w:lang w:val="en_US" w:bidi="en_US"/>
        </w:rPr>
        <w:t>A storm obeys Jesus</w:t>
      </w:r>
    </w:p>
    <w:p>
      <w:pPr/>
      <w:r>
        <w:rPr>
          <w:lang w:val="en_US" w:bidi="en_US"/>
        </w:rPr>
      </w:r>
      <w:r>
        <w:rPr>
          <w:lang w:val="en_US" w:bidi="en_US"/>
        </w:rPr>
        <w:t>There are parallel passages for this section in Matthew 8:23–27 and Mark 4:35–41.</w:t>
      </w:r>
    </w:p>
    <w:p>
      <w:pPr>
        <w:pStyle w:val="Heading5"/>
      </w:pPr>
      <w:r>
        <w:rPr>
          <w:lang w:val="en_US" w:bidi="en_US"/>
        </w:rPr>
        <w:t>8:25a</w:t>
      </w:r>
    </w:p>
    <w:p>
      <w:pPr/>
      <w:r>
        <w:rPr>
          <w:lang w:val="en_US" w:bidi="en_US"/>
        </w:rPr>
      </w:r>
      <w:r>
        <w:rPr>
          <w:b/>
          <w:lang w:val="en_US" w:bidi="en_US"/>
        </w:rPr>
        <w:t>“Where is your faith?” He asked.</w:t>
      </w:r>
    </w:p>
    <w:p>
      <w:pPr>
        <w:pStyle w:val="ListBullet"/>
        <w:spacing w:line="240" w:lineRule="auto"/>
        <w:ind w:left="720"/>
      </w:pPr>
      <w:r>
        <w:rPr>
          <w:lang w:val="en_US" w:bidi="en_US"/>
        </w:rPr>
      </w:r>
      <w:r>
        <w:rPr>
          <w:lang w:val="en_US" w:bidi="en_US"/>
        </w:rPr>
        <w:t>Then</w:t>
      </w:r>
      <w:r>
        <w:rPr>
          <w:lang w:val="en_US" w:bidi="en_US"/>
        </w:rPr>
        <w:t xml:space="preserve"> he said to his disciples, “Why do/did you</w:t>
      </w:r>
      <w:r>
        <w:rPr>
          <w:vertAlign w:val="superscript"/>
          <w:lang w:val="en_US" w:bidi="en_US"/>
        </w:rPr>
        <w:t>(plur)</w:t>
      </w:r>
      <w:r>
        <w:rPr>
          <w:lang w:val="en_US" w:bidi="en_US"/>
        </w:rPr>
        <w:t xml:space="preserve"> not believe </w:t>
      </w:r>
      <w:r>
        <w:rPr>
          <w:lang w:val="en_US" w:bidi="en_US"/>
        </w:rPr>
        <w:t>in me</w:t>
      </w:r>
      <w:r>
        <w:rPr>
          <w:lang w:val="en_US" w:bidi="en_US"/>
        </w:rPr>
        <w:t>?”</w:t>
      </w:r>
    </w:p>
    <w:p>
      <w:pPr>
        <w:pStyle w:val="ListBullet"/>
        <w:spacing w:line="240" w:lineRule="auto"/>
        <w:ind w:left="720"/>
      </w:pPr>
      <w:r>
        <w:rPr>
          <w:lang w:val="en_US" w:bidi="en_US"/>
        </w:rPr>
      </w:r>
      <w:r>
        <w:rPr>
          <w:lang w:val="en_US" w:bidi="en_US"/>
        </w:rPr>
        <w:t xml:space="preserve">Jesus </w:t>
      </w:r>
      <w:r>
        <w:rPr>
          <w:lang w:val="en_US" w:bidi="en_US"/>
        </w:rPr>
        <w:t>turned</w:t>
      </w:r>
      <w:r>
        <w:rPr>
          <w:lang w:val="en_US" w:bidi="en_US"/>
        </w:rPr>
        <w:t xml:space="preserve"> to them and said, “I am amazed that you did not trust </w:t>
      </w:r>
      <w:r>
        <w:rPr>
          <w:lang w:val="en_US" w:bidi="en_US"/>
        </w:rPr>
        <w:t>me</w:t>
      </w:r>
      <w:r>
        <w:rPr>
          <w:lang w:val="en_US" w:bidi="en_US"/>
        </w:rPr>
        <w:t xml:space="preserve"> </w:t>
      </w:r>
      <w:r>
        <w:rPr>
          <w:lang w:val="en_US" w:bidi="en_US"/>
        </w:rPr>
        <w:t>more</w:t>
      </w:r>
      <w:r>
        <w:rPr>
          <w:lang w:val="en_US" w:bidi="en_US"/>
        </w:rPr>
        <w:t>!”</w:t>
      </w:r>
    </w:p>
    <w:p>
      <w:pPr/>
      <w:r>
        <w:rPr>
          <w:lang w:val="en_US" w:bidi="en_US"/>
        </w:rPr>
      </w:r>
      <w:r>
        <w:rPr>
          <w:lang w:val="en_US" w:bidi="en_US"/>
        </w:rPr>
        <w:t>In Greek this verse begins by introducing what Jesus said to his disciples. See the note on “he asked his disciples” in this part of the verse. Introduce the verse in a natural way in your language.</w:t>
      </w:r>
    </w:p>
    <w:p>
      <w:pPr/>
      <w:r>
        <w:rPr>
          <w:lang w:val="en_US" w:bidi="en_US"/>
        </w:rPr>
      </w:r>
      <w:r>
        <w:rPr>
          <w:b/>
          <w:lang w:val="en_US" w:bidi="en_US"/>
        </w:rPr>
        <w:t>Where is your faith?:</w:t>
      </w:r>
      <w:r>
        <w:rPr>
          <w:lang w:val="en_US" w:bidi="en_US"/>
        </w:rPr>
        <w:t xml:space="preserve"> In Greek the form of this question is literally “Where your faith?” There is no verb in the question. If you need to supply a verb such as “is” or “was,” use one that is natural in this context.</w:t>
      </w:r>
    </w:p>
    <w:p>
      <w:pPr/>
      <w:r>
        <w:rPr>
          <w:lang w:val="en_US" w:bidi="en_US"/>
        </w:rPr>
      </w:r>
      <w:r>
        <w:rPr>
          <w:lang w:val="en_US" w:bidi="en_US"/>
        </w:rPr>
        <w:t>This is a rhetorical question. Jesus used it here to rebuke the disciples for their lack of faith. There are two ways that you could translate this:</w:t>
      </w:r>
    </w:p>
    <w:p>
      <w:pPr>
        <w:pStyle w:val="ListBullet"/>
        <w:spacing w:line="240" w:lineRule="auto"/>
        <w:ind w:left="720"/>
      </w:pPr>
      <w:r>
        <w:rPr>
          <w:lang w:val="en_US" w:bidi="en_US"/>
        </w:rPr>
      </w:r>
      <w:r>
        <w:rPr>
          <w:lang w:val="en_US" w:bidi="en_US"/>
        </w:rPr>
        <w:t>As a question. For example:</w:t>
      </w:r>
      <w:r>
        <w:rPr>
          <w:lang w:val="en_US" w:bidi="en_US"/>
        </w:rPr>
        <w:t>Where is/was your faith?</w:t>
      </w:r>
    </w:p>
    <w:p>
      <w:pPr>
        <w:pStyle w:val="ListBullet"/>
        <w:spacing w:line="240" w:lineRule="auto"/>
        <w:ind w:left="720"/>
      </w:pPr>
      <w:r>
        <w:rPr>
          <w:lang w:val="en_US" w:bidi="en_US"/>
        </w:rPr>
      </w:r>
      <w:r>
        <w:rPr>
          <w:lang w:val="en_US" w:bidi="en_US"/>
        </w:rPr>
        <w:t>As a statement. For example:</w:t>
      </w:r>
      <w:r>
        <w:rPr>
          <w:lang w:val="en_US" w:bidi="en_US"/>
        </w:rPr>
        <w:t xml:space="preserve">You should have had faith </w:t>
      </w:r>
      <w:r>
        <w:rPr>
          <w:lang w:val="en_US" w:bidi="en_US"/>
        </w:rPr>
        <w:t>in me</w:t>
      </w:r>
      <w:r>
        <w:rPr>
          <w:lang w:val="en_US" w:bidi="en_US"/>
        </w:rPr>
        <w:t>.</w:t>
      </w:r>
      <w:r>
        <w:rPr>
          <w:lang w:val="en_US" w:bidi="en_US"/>
        </w:rPr>
        <w:t>I am amazed that</w:t>
      </w:r>
      <w:r>
        <w:rPr>
          <w:lang w:val="en_US" w:bidi="en_US"/>
        </w:rPr>
        <w:t xml:space="preserve"> you did not have </w:t>
      </w:r>
      <w:r>
        <w:rPr>
          <w:lang w:val="en_US" w:bidi="en_US"/>
        </w:rPr>
        <w:t>more</w:t>
      </w:r>
      <w:r>
        <w:rPr>
          <w:lang w:val="en_US" w:bidi="en_US"/>
        </w:rPr>
        <w:t xml:space="preserve"> faith in me!</w:t>
      </w:r>
    </w:p>
    <w:p>
      <w:pPr/>
      <w:r>
        <w:rPr>
          <w:lang w:val="en_US" w:bidi="en_US"/>
        </w:rPr>
      </w:r>
      <w:r>
        <w:rPr>
          <w:b/>
          <w:lang w:val="en_US" w:bidi="en_US"/>
        </w:rPr>
        <w:t>faith:</w:t>
      </w:r>
      <w:r>
        <w:rPr>
          <w:lang w:val="en_US" w:bidi="en_US"/>
        </w:rPr>
        <w:t xml:space="preserve"> The word </w:t>
      </w:r>
      <w:r>
        <w:rPr>
          <w:i/>
          <w:lang w:val="en_US" w:bidi="en_US"/>
        </w:rPr>
        <w:t>faith</w:t>
      </w:r>
      <w:r>
        <w:rPr>
          <w:lang w:val="en_US" w:bidi="en_US"/>
        </w:rPr>
        <w:t xml:space="preserve"> here refers to trust and confidence in Jesus. The disciples should have remained confident that Jesus would protect them during the storm. In some languages it may be necessary to translate </w:t>
      </w:r>
      <w:r>
        <w:rPr>
          <w:i/>
          <w:lang w:val="en_US" w:bidi="en_US"/>
        </w:rPr>
        <w:t>faith</w:t>
      </w:r>
      <w:r>
        <w:rPr>
          <w:lang w:val="en_US" w:bidi="en_US"/>
        </w:rPr>
        <w:t xml:space="preserve"> as a verb and supply an object. For example:</w:t>
      </w:r>
    </w:p>
    <w:p>
      <w:pPr/>
      <w:r>
        <w:rPr>
          <w:lang w:val="en_US" w:bidi="en_US"/>
        </w:rPr>
      </w:r>
      <w:r>
        <w:rPr>
          <w:lang w:val="en_US" w:bidi="en_US"/>
        </w:rPr>
        <w:t xml:space="preserve">Why do you not trust </w:t>
      </w:r>
      <w:r>
        <w:rPr>
          <w:lang w:val="en_US" w:bidi="en_US"/>
        </w:rPr>
        <w:t>me</w:t>
      </w:r>
      <w:r>
        <w:rPr>
          <w:lang w:val="en_US" w:bidi="en_US"/>
        </w:rPr>
        <w:t>?</w:t>
      </w:r>
    </w:p>
    <w:p>
      <w:pPr/>
      <w:r>
        <w:rPr>
          <w:lang w:val="en_US" w:bidi="en_US"/>
        </w:rPr>
      </w:r>
      <w:r>
        <w:rPr>
          <w:lang w:val="en_US" w:bidi="en_US"/>
        </w:rPr>
        <w:t>I am amazed that you did not</w:t>
      </w:r>
      <w:r>
        <w:rPr>
          <w:lang w:val="en_US" w:bidi="en_US"/>
        </w:rPr>
        <w:t xml:space="preserve"> have confidence in </w:t>
      </w:r>
      <w:r>
        <w:rPr>
          <w:lang w:val="en_US" w:bidi="en_US"/>
        </w:rPr>
        <w:t>me</w:t>
      </w:r>
      <w:r>
        <w:rPr>
          <w:lang w:val="en_US" w:bidi="en_US"/>
        </w:rPr>
        <w:t>.</w:t>
      </w:r>
    </w:p>
    <w:p>
      <w:pPr/>
      <w:r>
        <w:rPr>
          <w:lang w:val="en_US" w:bidi="en_US"/>
        </w:rPr>
      </w:r>
      <w:r>
        <w:rPr>
          <w:lang w:val="en_US" w:bidi="en_US"/>
        </w:rPr>
        <w:t>See believe, Meaning 2, in the Glossary.</w:t>
      </w:r>
    </w:p>
    <w:p>
      <w:pPr/>
      <w:r>
        <w:rPr>
          <w:lang w:val="en_US" w:bidi="en_US"/>
        </w:rPr>
      </w:r>
      <w:r>
        <w:rPr>
          <w:b/>
          <w:lang w:val="en_US" w:bidi="en_US"/>
        </w:rPr>
        <w:t>He asked:</w:t>
      </w:r>
      <w:r>
        <w:rPr>
          <w:lang w:val="en_US" w:bidi="en_US"/>
        </w:rPr>
        <w:t xml:space="preserve"> The Greek phrase that the BSB has translated </w:t>
      </w:r>
      <w:r>
        <w:rPr>
          <w:i/>
          <w:lang w:val="en_US" w:bidi="en_US"/>
        </w:rPr>
        <w:t>He asked</w:t>
      </w:r>
      <w:r>
        <w:rPr>
          <w:lang w:val="en_US" w:bidi="en_US"/>
        </w:rPr>
        <w:t xml:space="preserve"> is literally “he said to them.” The BSB does not include the word “them.” Other translations (NIV, CEV, GNT, NLT) supply the term “his disciples” for clarity. Translate this in a natural way in your language.</w:t>
      </w:r>
    </w:p>
    <w:p>
      <w:pPr/>
      <w:r>
        <w:rPr>
          <w:lang w:val="en_US" w:bidi="en_US"/>
        </w:rPr>
      </w:r>
      <w:r>
        <w:rPr>
          <w:lang w:val="en_US" w:bidi="en_US"/>
        </w:rPr>
        <w:t xml:space="preserve">In Greek, the phrase </w:t>
      </w:r>
      <w:r>
        <w:rPr>
          <w:i/>
          <w:lang w:val="en_US" w:bidi="en_US"/>
        </w:rPr>
        <w:t>He asked</w:t>
      </w:r>
      <w:r>
        <w:rPr>
          <w:lang w:val="en_US" w:bidi="en_US"/>
        </w:rPr>
        <w:t xml:space="preserve"> occurs before Jesus’ question. The BSB has placed this phrase at the end of the quotation for the sake of English style. Place it where it is natural in your language.</w:t>
      </w:r>
    </w:p>
    <w:p>
      <w:pPr>
        <w:pStyle w:val="Heading5"/>
      </w:pPr>
      <w:r>
        <w:rPr>
          <w:lang w:val="en_US" w:bidi="en_US"/>
        </w:rPr>
        <w:t>8:25b</w:t>
      </w:r>
    </w:p>
    <w:p>
      <w:pPr/>
      <w:r>
        <w:rPr>
          <w:lang w:val="en_US" w:bidi="en_US"/>
        </w:rPr>
      </w:r>
      <w:r>
        <w:rPr>
          <w:b/>
          <w:lang w:val="en_US" w:bidi="en_US"/>
        </w:rPr>
        <w:t>Frightened and amazed, they asked one another,</w:t>
      </w:r>
    </w:p>
    <w:p>
      <w:pPr>
        <w:pStyle w:val="ListBullet"/>
        <w:spacing w:line="240" w:lineRule="auto"/>
        <w:ind w:left="720"/>
      </w:pPr>
      <w:r>
        <w:rPr>
          <w:lang w:val="en_US" w:bidi="en_US"/>
        </w:rPr>
      </w:r>
      <w:r>
        <w:rPr>
          <w:lang w:val="en_US" w:bidi="en_US"/>
        </w:rPr>
        <w:t>Frightened and amazed, they asked one another,</w:t>
      </w:r>
    </w:p>
    <w:p>
      <w:pPr>
        <w:pStyle w:val="ListBullet"/>
        <w:spacing w:line="240" w:lineRule="auto"/>
        <w:ind w:left="720"/>
      </w:pPr>
      <w:r>
        <w:rPr>
          <w:lang w:val="en_US" w:bidi="en_US"/>
        </w:rPr>
      </w:r>
      <w:r>
        <w:rPr>
          <w:lang w:val="en_US" w:bidi="en_US"/>
        </w:rPr>
        <w:t xml:space="preserve">They were afraid and amazed </w:t>
      </w:r>
      <w:r>
        <w:rPr>
          <w:lang w:val="en_US" w:bidi="en_US"/>
        </w:rPr>
        <w:t>at what had happened</w:t>
      </w:r>
      <w:r>
        <w:rPr>
          <w:lang w:val="en_US" w:bidi="en_US"/>
        </w:rPr>
        <w:t>. They asked each other,</w:t>
      </w:r>
    </w:p>
    <w:p>
      <w:pPr/>
      <w:r>
        <w:rPr>
          <w:lang w:val="en_US" w:bidi="en_US"/>
        </w:rPr>
      </w:r>
      <w:r>
        <w:rPr>
          <w:b/>
          <w:lang w:val="en_US" w:bidi="en_US"/>
        </w:rPr>
        <w:t>Frightened and amazed:</w:t>
      </w:r>
      <w:r>
        <w:rPr>
          <w:lang w:val="en_US" w:bidi="en_US"/>
        </w:rPr>
        <w:t xml:space="preserve"> In some languages it may be necessary to translate </w:t>
      </w:r>
      <w:r>
        <w:rPr>
          <w:i/>
          <w:lang w:val="en_US" w:bidi="en_US"/>
        </w:rPr>
        <w:t>Frightened</w:t>
      </w:r>
      <w:r>
        <w:rPr>
          <w:lang w:val="en_US" w:bidi="en_US"/>
        </w:rPr>
        <w:t xml:space="preserve"> and </w:t>
      </w:r>
      <w:r>
        <w:rPr>
          <w:i/>
          <w:lang w:val="en_US" w:bidi="en_US"/>
        </w:rPr>
        <w:t>amazed</w:t>
      </w:r>
      <w:r>
        <w:rPr>
          <w:lang w:val="en_US" w:bidi="en_US"/>
        </w:rPr>
        <w:t xml:space="preserve"> as verbs. For example:</w:t>
      </w:r>
    </w:p>
    <w:p>
      <w:pPr/>
      <w:r>
        <w:rPr>
          <w:lang w:val="en_US" w:bidi="en_US"/>
        </w:rPr>
      </w:r>
      <w:r>
        <w:rPr>
          <w:lang w:val="en_US" w:bidi="en_US"/>
        </w:rPr>
        <w:t>They were afraid and they wondered</w:t>
      </w:r>
    </w:p>
    <w:p>
      <w:pPr/>
      <w:r>
        <w:rPr>
          <w:lang w:val="en_US" w:bidi="en_US"/>
        </w:rPr>
      </w:r>
      <w:r>
        <w:rPr>
          <w:lang w:val="en_US" w:bidi="en_US"/>
        </w:rPr>
        <w:t>The disciples were afraid because of the great power that Jesus had just shown. Their question, “Who is this?” in 8:25c shows that they were in awe of Jesus. They did not fear that Jesus would harm them, but they were amazed that he could cause the winds and water to obey him. Consider how to express this type of fear and amazement in a natural way in your language.</w:t>
      </w:r>
    </w:p>
    <w:p>
      <w:pPr>
        <w:pStyle w:val="Heading5"/>
      </w:pPr>
      <w:r>
        <w:rPr>
          <w:lang w:val="en_US" w:bidi="en_US"/>
        </w:rPr>
        <w:t>8:25c</w:t>
      </w:r>
    </w:p>
    <w:p>
      <w:pPr/>
      <w:r>
        <w:rPr>
          <w:lang w:val="en_US" w:bidi="en_US"/>
        </w:rPr>
      </w:r>
      <w:r>
        <w:rPr>
          <w:b/>
          <w:lang w:val="en_US" w:bidi="en_US"/>
        </w:rPr>
        <w:t>“Who is this?</w:t>
      </w:r>
    </w:p>
    <w:p>
      <w:pPr>
        <w:pStyle w:val="ListBullet"/>
        <w:spacing w:line="240" w:lineRule="auto"/>
        <w:ind w:left="720"/>
      </w:pPr>
      <w:r>
        <w:rPr>
          <w:lang w:val="en_US" w:bidi="en_US"/>
        </w:rPr>
      </w:r>
      <w:r>
        <w:rPr>
          <w:lang w:val="en_US" w:bidi="en_US"/>
        </w:rPr>
        <w:t xml:space="preserve">“Who is this </w:t>
      </w:r>
      <w:r>
        <w:rPr>
          <w:lang w:val="en_US" w:bidi="en_US"/>
        </w:rPr>
        <w:t>man</w:t>
      </w:r>
      <w:r>
        <w:rPr>
          <w:lang w:val="en_US" w:bidi="en_US"/>
        </w:rPr>
        <w:t>?</w:t>
      </w:r>
    </w:p>
    <w:p>
      <w:pPr>
        <w:pStyle w:val="ListBullet"/>
        <w:spacing w:line="240" w:lineRule="auto"/>
        <w:ind w:left="720"/>
      </w:pPr>
      <w:r>
        <w:rPr>
          <w:lang w:val="en_US" w:bidi="en_US"/>
        </w:rPr>
      </w:r>
      <w:r>
        <w:rPr>
          <w:lang w:val="en_US" w:bidi="en_US"/>
        </w:rPr>
        <w:t xml:space="preserve">“What sort/kind of person is this </w:t>
      </w:r>
      <w:r>
        <w:rPr>
          <w:lang w:val="en_US" w:bidi="en_US"/>
        </w:rPr>
        <w:t>Jesus</w:t>
      </w:r>
      <w:r>
        <w:rPr>
          <w:lang w:val="en_US" w:bidi="en_US"/>
        </w:rPr>
        <w:t>?</w:t>
      </w:r>
    </w:p>
    <w:p>
      <w:pPr>
        <w:pStyle w:val="Heading5"/>
      </w:pPr>
      <w:r>
        <w:rPr>
          <w:lang w:val="en_US" w:bidi="en_US"/>
        </w:rPr>
        <w:t>8:25d</w:t>
      </w:r>
    </w:p>
    <w:p>
      <w:pPr/>
      <w:r>
        <w:rPr>
          <w:lang w:val="en_US" w:bidi="en_US"/>
        </w:rPr>
      </w:r>
      <w:r>
        <w:rPr>
          <w:b/>
          <w:lang w:val="en_US" w:bidi="en_US"/>
        </w:rPr>
        <w:t>He commands even the winds and the water, and they obey Him!”</w:t>
      </w:r>
    </w:p>
    <w:p>
      <w:pPr>
        <w:pStyle w:val="ListBullet"/>
        <w:spacing w:line="240" w:lineRule="auto"/>
        <w:ind w:left="720"/>
      </w:pPr>
      <w:r>
        <w:rPr>
          <w:lang w:val="en_US" w:bidi="en_US"/>
        </w:rPr>
      </w:r>
      <w:r>
        <w:rPr>
          <w:lang w:val="en_US" w:bidi="en_US"/>
        </w:rPr>
        <w:t>When he commands the wind and the water, even they obey him!”</w:t>
      </w:r>
    </w:p>
    <w:p>
      <w:pPr>
        <w:pStyle w:val="ListBullet"/>
        <w:spacing w:line="240" w:lineRule="auto"/>
        <w:ind w:left="720"/>
      </w:pPr>
      <w:r>
        <w:rPr>
          <w:lang w:val="en_US" w:bidi="en_US"/>
        </w:rPr>
      </w:r>
      <w:r>
        <w:rPr>
          <w:lang w:val="en_US" w:bidi="en_US"/>
        </w:rPr>
        <w:t>Even the winds and the water of the sea/lake do exactly as he orders/tells them!”</w:t>
      </w:r>
    </w:p>
    <w:p>
      <w:pPr>
        <w:pStyle w:val="Heading5"/>
      </w:pPr>
      <w:r>
        <w:rPr>
          <w:lang w:val="en_US" w:bidi="en_US"/>
        </w:rPr>
        <w:t>8:25c–d</w:t>
      </w:r>
    </w:p>
    <w:p>
      <w:pPr/>
      <w:r>
        <w:rPr>
          <w:lang w:val="en_US" w:bidi="en_US"/>
        </w:rPr>
      </w:r>
      <w:r>
        <w:rPr>
          <w:b/>
          <w:lang w:val="en_US" w:bidi="en_US"/>
        </w:rPr>
        <w:t>Who is this? He commands even the winds and the water, and they obey Him:</w:t>
      </w:r>
      <w:r>
        <w:rPr>
          <w:lang w:val="en_US" w:bidi="en_US"/>
        </w:rPr>
        <w:t xml:space="preserve"> In Greek 8:25c–d is one long question. Another way to translate this is:</w:t>
      </w:r>
    </w:p>
    <w:p>
      <w:pPr/>
      <w:r>
        <w:rPr>
          <w:lang w:val="en_US" w:bidi="en_US"/>
        </w:rPr>
      </w:r>
      <w:r>
        <w:rPr>
          <w:lang w:val="en_US" w:bidi="en_US"/>
        </w:rPr>
        <w:t>Who then is this, that he commands even wind and water, and they obey him? (RSV)</w:t>
      </w:r>
    </w:p>
    <w:p>
      <w:pPr/>
      <w:r>
        <w:rPr>
          <w:lang w:val="en_US" w:bidi="en_US"/>
        </w:rPr>
      </w:r>
      <w:r>
        <w:rPr>
          <w:lang w:val="en_US" w:bidi="en_US"/>
        </w:rPr>
        <w:t>This is a rhetorical question. It expresses amazement that Jesus had such great authority and power.</w:t>
      </w:r>
    </w:p>
    <w:p>
      <w:pPr/>
      <w:r>
        <w:rPr>
          <w:lang w:val="en_US" w:bidi="en_US"/>
        </w:rPr>
      </w:r>
      <w:r>
        <w:rPr>
          <w:lang w:val="en_US" w:bidi="en_US"/>
        </w:rPr>
        <w:t>There are three ways to translate this rhetorical question:</w:t>
      </w:r>
    </w:p>
    <w:p>
      <w:pPr>
        <w:pStyle w:val="ListBullet"/>
        <w:spacing w:line="240" w:lineRule="auto"/>
        <w:ind w:left="720"/>
      </w:pPr>
      <w:r>
        <w:rPr>
          <w:lang w:val="en_US" w:bidi="en_US"/>
        </w:rPr>
      </w:r>
      <w:r>
        <w:rPr>
          <w:lang w:val="en_US" w:bidi="en_US"/>
        </w:rPr>
        <w:t>As a question. For example:</w:t>
      </w:r>
      <w:r>
        <w:rPr>
          <w:lang w:val="en_US" w:bidi="en_US"/>
        </w:rPr>
        <w:t>Who is this that commands even the wind and the water, and they obey him? (NCV)</w:t>
      </w:r>
    </w:p>
    <w:p>
      <w:pPr>
        <w:pStyle w:val="ListBullet"/>
        <w:spacing w:line="240" w:lineRule="auto"/>
        <w:ind w:left="720"/>
      </w:pPr>
      <w:r>
        <w:rPr>
          <w:lang w:val="en_US" w:bidi="en_US"/>
        </w:rPr>
      </w:r>
      <w:r>
        <w:rPr>
          <w:lang w:val="en_US" w:bidi="en_US"/>
        </w:rPr>
        <w:t>As a question and an exclamation. For example:</w:t>
      </w:r>
      <w:r>
        <w:rPr>
          <w:lang w:val="en_US" w:bidi="en_US"/>
        </w:rPr>
        <w:t>Who then is this? He commands even the winds and the water, and they obey him! (NET)</w:t>
      </w:r>
    </w:p>
    <w:p>
      <w:pPr>
        <w:pStyle w:val="ListBullet"/>
        <w:spacing w:line="240" w:lineRule="auto"/>
        <w:ind w:left="720"/>
      </w:pPr>
      <w:r>
        <w:rPr>
          <w:lang w:val="en_US" w:bidi="en_US"/>
        </w:rPr>
      </w:r>
      <w:r>
        <w:rPr>
          <w:lang w:val="en_US" w:bidi="en_US"/>
        </w:rPr>
        <w:t>As one or two exclamations:</w:t>
      </w:r>
      <w:r>
        <w:rPr>
          <w:lang w:val="en_US" w:bidi="en_US"/>
        </w:rPr>
        <w:t>See what a great and powerful man this is! He even commands the wind and water and they obey him!</w:t>
      </w:r>
    </w:p>
    <w:p>
      <w:pPr/>
      <w:r>
        <w:rPr>
          <w:lang w:val="en_US" w:bidi="en_US"/>
        </w:rPr>
      </w:r>
      <w:r>
        <w:rPr>
          <w:b/>
          <w:lang w:val="en_US" w:bidi="en_US"/>
        </w:rPr>
        <w:t>even the winds and the water:</w:t>
      </w:r>
      <w:r>
        <w:rPr>
          <w:lang w:val="en_US" w:bidi="en_US"/>
        </w:rPr>
        <w:t xml:space="preserve"> The Greek word that the BSB translates as </w:t>
      </w:r>
      <w:r>
        <w:rPr>
          <w:i/>
          <w:lang w:val="en_US" w:bidi="en_US"/>
        </w:rPr>
        <w:t>even</w:t>
      </w:r>
      <w:r>
        <w:rPr>
          <w:lang w:val="en_US" w:bidi="en_US"/>
        </w:rPr>
        <w:t xml:space="preserve"> means “also.” The word </w:t>
      </w:r>
      <w:r>
        <w:rPr>
          <w:i/>
          <w:lang w:val="en_US" w:bidi="en_US"/>
        </w:rPr>
        <w:t>even</w:t>
      </w:r>
      <w:r>
        <w:rPr>
          <w:lang w:val="en_US" w:bidi="en_US"/>
        </w:rPr>
        <w:t xml:space="preserve"> is an intensive form of “also” and is correct in this context. In addition to the amazing things the disciples had already seen Jesus do, they were amazed by the greatness of the miracle that he just did. Another way to translate this is:</w:t>
      </w:r>
    </w:p>
    <w:p>
      <w:pPr/>
      <w:r>
        <w:rPr>
          <w:lang w:val="en_US" w:bidi="en_US"/>
        </w:rPr>
      </w:r>
      <w:r>
        <w:rPr>
          <w:lang w:val="en_US" w:bidi="en_US"/>
        </w:rPr>
        <w:t>in addition to the great things he has done,</w:t>
      </w:r>
      <w:r>
        <w:rPr>
          <w:lang w:val="en_US" w:bidi="en_US"/>
        </w:rPr>
        <w:t xml:space="preserve"> he now commands the winds and the water and they obey him.</w:t>
      </w:r>
    </w:p>
    <w:p>
      <w:pPr/>
      <w:r>
        <w:rPr>
          <w:lang w:val="en_US" w:bidi="en_US"/>
        </w:rPr>
      </w:r>
      <w:r>
        <w:rPr>
          <w:b/>
          <w:lang w:val="en_US" w:bidi="en_US"/>
        </w:rPr>
        <w:t>the winds:</w:t>
      </w:r>
      <w:r>
        <w:rPr>
          <w:lang w:val="en_US" w:bidi="en_US"/>
        </w:rPr>
        <w:t xml:space="preserve"> The Greek word for </w:t>
      </w:r>
      <w:r>
        <w:rPr>
          <w:i/>
          <w:lang w:val="en_US" w:bidi="en_US"/>
        </w:rPr>
        <w:t>winds</w:t>
      </w:r>
      <w:r>
        <w:rPr>
          <w:lang w:val="en_US" w:bidi="en_US"/>
        </w:rPr>
        <w:t xml:space="preserve"> here is plural. In some languages it may be more natural to use a singular form. For example:</w:t>
      </w:r>
    </w:p>
    <w:p>
      <w:pPr/>
      <w:r>
        <w:rPr>
          <w:lang w:val="en_US" w:bidi="en_US"/>
        </w:rPr>
      </w:r>
      <w:r>
        <w:rPr>
          <w:lang w:val="en_US" w:bidi="en_US"/>
        </w:rPr>
        <w:t>the wind (NLT)</w:t>
      </w:r>
      <w:r>
        <w:rPr>
          <w:lang w:val="en_US" w:bidi="en_US"/>
        </w:rPr>
      </w:r>
      <w:r>
        <w:rPr>
          <w:lang w:val="en_US" w:bidi="en_US"/>
        </w:rPr>
      </w:r>
    </w:p>
    <w:p>
      <w:pPr/>
      <w:r>
        <w:rPr>
          <w:lang w:val="en_US" w:bidi="en_US"/>
        </w:rPr>
      </w:r>
    </w:p>
    <w:p>
      <w:pPr>
        <w:pStyle w:val="Heading2"/>
      </w:pPr>
      <w:r>
        <w:rPr>
          <w:lang w:val="en_US" w:bidi="en_US"/>
        </w:rPr>
        <w:t>Luke 8:26</w:t>
      </w:r>
      <w:r>
        <w:rPr>
          <w:lang w:val="en_US" w:bidi="en_US"/>
        </w:rPr>
      </w:r>
    </w:p>
    <w:p>
      <w:pPr>
        <w:pStyle w:val="Heading4"/>
      </w:pPr>
      <w:r>
        <w:rPr>
          <w:lang w:val="en_US" w:bidi="en_US"/>
        </w:rPr>
        <w:t>Section 8:26–39: Jesus freed a man whom many demons controlled</w:t>
      </w:r>
    </w:p>
    <w:p>
      <w:pPr/>
      <w:r>
        <w:rPr>
          <w:lang w:val="en_US" w:bidi="en_US"/>
        </w:rPr>
      </w:r>
      <w:r>
        <w:rPr>
          <w:lang w:val="en_US" w:bidi="en_US"/>
        </w:rP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pPr/>
      <w:r>
        <w:rPr>
          <w:lang w:val="en_US" w:bidi="en_US"/>
        </w:rPr>
      </w:r>
      <w:r>
        <w:rPr>
          <w:lang w:val="en_US" w:bidi="en_US"/>
        </w:rPr>
        <w:t>“Uncleanness” is a theme in this story. The spirits that controlled the man were considered “unclean” (and called “unclean” in 8:29a). Tombs were “unclean.” Jews also considered pigs to be “unclean.”</w:t>
      </w:r>
    </w:p>
    <w:p>
      <w:pPr/>
      <w:r>
        <w:rPr>
          <w:lang w:val="en_US" w:bidi="en_US"/>
        </w:rPr>
      </w:r>
      <w:r>
        <w:rPr>
          <w:lang w:val="en_US" w:bidi="en_US"/>
        </w:rP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pPr/>
      <w:r>
        <w:rPr>
          <w:lang w:val="en_US" w:bidi="en_US"/>
        </w:rPr>
      </w:r>
      <w:r>
        <w:rPr>
          <w:lang w:val="en_US" w:bidi="en_US"/>
        </w:rPr>
        <w:t>Some other possible headings for this section are:</w:t>
      </w:r>
    </w:p>
    <w:p>
      <w:pPr/>
      <w:r>
        <w:rPr>
          <w:lang w:val="en_US" w:bidi="en_US"/>
        </w:rPr>
      </w:r>
      <w:r>
        <w:rPr>
          <w:lang w:val="en_US" w:bidi="en_US"/>
        </w:rPr>
        <w:t>Jesus commanded many demons to leave a man</w:t>
      </w:r>
    </w:p>
    <w:p>
      <w:pPr/>
      <w:r>
        <w:rPr>
          <w:lang w:val="en_US" w:bidi="en_US"/>
        </w:rPr>
      </w:r>
      <w:r>
        <w:rPr>
          <w:lang w:val="en_US" w:bidi="en_US"/>
        </w:rPr>
        <w:t>The deliverance of a man who was controlled by many demons</w:t>
      </w:r>
    </w:p>
    <w:p>
      <w:pPr/>
      <w:r>
        <w:rPr>
          <w:lang w:val="en_US" w:bidi="en_US"/>
        </w:rPr>
      </w:r>
      <w:r>
        <w:rPr>
          <w:lang w:val="en_US" w:bidi="en_US"/>
        </w:rPr>
        <w:t>There are parallel passages for this section in Matthew 8:28–34 and Mark 5:1–20.</w:t>
      </w:r>
    </w:p>
    <w:p>
      <w:pPr>
        <w:pStyle w:val="Heading4"/>
      </w:pPr>
      <w:r>
        <w:rPr>
          <w:lang w:val="en_US" w:bidi="en_US"/>
        </w:rPr>
        <w:t>Paragraph 8:26–33</w:t>
      </w:r>
    </w:p>
    <w:p>
      <w:pPr/>
      <w:r>
        <w:rPr>
          <w:lang w:val="en_US" w:bidi="en_US"/>
        </w:rPr>
      </w:r>
      <w:r>
        <w:rPr>
          <w:lang w:val="en_US" w:bidi="en_US"/>
        </w:rPr>
        <w:t>In this paragraph Luke told about events that happened when Jesus and his disciples came to the other side of the lake. Several times Luke inserted background information about the past. In some languages speakers often shift in this way between telling events and giving background information to explain them. Use natural ways to do this in your language.</w:t>
      </w:r>
    </w:p>
    <w:p>
      <w:pPr/>
      <w:r>
        <w:rPr>
          <w:lang w:val="en_US" w:bidi="en_US"/>
        </w:rPr>
      </w:r>
      <w:r>
        <w:rPr>
          <w:lang w:val="en_US" w:bidi="en_US"/>
        </w:rPr>
        <w:t>In some languages this shift between actions and background information may be confusing. You may need to change the order of some information in these verses. See the General Comment on 8:27a–28a at the end of the notes on 8:28a and the longer General Comment on 8:27–29 at the end of the notes on 8:29e for suggestions.</w:t>
      </w:r>
    </w:p>
    <w:p>
      <w:pPr>
        <w:pStyle w:val="Heading5"/>
      </w:pPr>
      <w:r>
        <w:rPr>
          <w:lang w:val="en_US" w:bidi="en_US"/>
        </w:rPr>
        <w:t>8:26a</w:t>
      </w:r>
    </w:p>
    <w:p>
      <w:pPr/>
      <w:r>
        <w:rPr>
          <w:lang w:val="en_US" w:bidi="en_US"/>
        </w:rPr>
      </w:r>
      <w:r>
        <w:rPr>
          <w:b/>
          <w:lang w:val="en_US" w:bidi="en_US"/>
        </w:rPr>
        <w:t>Then they sailed to the region of the Gerasenes,</w:t>
      </w:r>
    </w:p>
    <w:p>
      <w:pPr>
        <w:pStyle w:val="ListBullet"/>
        <w:spacing w:line="240" w:lineRule="auto"/>
        <w:ind w:left="720"/>
      </w:pPr>
      <w:r>
        <w:rPr>
          <w:lang w:val="en_US" w:bidi="en_US"/>
        </w:rPr>
      </w:r>
      <w:r>
        <w:rPr>
          <w:lang w:val="en_US" w:bidi="en_US"/>
        </w:rPr>
        <w:t xml:space="preserve">¶ They arrived at the region where the people </w:t>
      </w:r>
      <w:r>
        <w:rPr>
          <w:lang w:val="en_US" w:bidi="en_US"/>
        </w:rPr>
        <w:t>called</w:t>
      </w:r>
      <w:r>
        <w:rPr>
          <w:lang w:val="en_US" w:bidi="en_US"/>
        </w:rPr>
        <w:t xml:space="preserve"> the Gerasenes lived,</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and his disciples/followers continued going in their boat and came to the area </w:t>
      </w:r>
      <w:r>
        <w:rPr>
          <w:lang w:val="en_US" w:bidi="en_US"/>
        </w:rPr>
        <w:t>around the town</w:t>
      </w:r>
      <w:r>
        <w:rPr>
          <w:lang w:val="en_US" w:bidi="en_US"/>
        </w:rPr>
        <w:t xml:space="preserve"> of Gerasa.</w:t>
      </w:r>
    </w:p>
    <w:p>
      <w:pPr/>
      <w:r>
        <w:rPr>
          <w:lang w:val="en_US" w:bidi="en_US"/>
        </w:rPr>
      </w:r>
      <w:r>
        <w:rPr>
          <w:b/>
          <w:lang w:val="en_US" w:bidi="en_US"/>
        </w:rPr>
        <w:t>Then:</w:t>
      </w:r>
      <w:r>
        <w:rPr>
          <w:lang w:val="en_US" w:bidi="en_US"/>
        </w:rPr>
        <w:t xml:space="preserve"> This verse begins with a Greek conjunction that is often translated as “and.” Some English versions, such as the KJV, translate it that way. Other versions, such as the NIV, CEV, and GNT, do not translate this conjunction. But other versions say “So” (NET, NLT) or “Then” (BSB, NASB, NRSV). Connect 4:4a to 4:3b in a way that is natural in your language.</w:t>
      </w:r>
    </w:p>
    <w:p>
      <w:pPr/>
      <w:r>
        <w:rPr>
          <w:lang w:val="en_US" w:bidi="en_US"/>
        </w:rPr>
      </w:r>
      <w:r>
        <w:rPr>
          <w:b/>
          <w:lang w:val="en_US" w:bidi="en_US"/>
        </w:rPr>
        <w:t>they:</w:t>
      </w:r>
      <w:r>
        <w:rPr>
          <w:lang w:val="en_US" w:bidi="en_US"/>
        </w:rPr>
        <w:t xml:space="preserve"> The word </w:t>
      </w:r>
      <w:r>
        <w:rPr>
          <w:i/>
          <w:lang w:val="en_US" w:bidi="en_US"/>
        </w:rPr>
        <w:t>they</w:t>
      </w:r>
      <w:r>
        <w:rPr>
          <w:lang w:val="en_US" w:bidi="en_US"/>
        </w:rPr>
        <w:t xml:space="preserve"> refers to Jesus and his disciples. Refer to them here at the beginning of this story in a natural way in your language.</w:t>
      </w:r>
    </w:p>
    <w:p>
      <w:pPr/>
      <w:r>
        <w:rPr>
          <w:lang w:val="en_US" w:bidi="en_US"/>
        </w:rPr>
      </w:r>
      <w:r>
        <w:rPr>
          <w:b/>
          <w:lang w:val="en_US" w:bidi="en_US"/>
        </w:rPr>
        <w:t>sailed:</w:t>
      </w:r>
      <w:r>
        <w:rPr>
          <w:lang w:val="en_US" w:bidi="en_US"/>
        </w:rPr>
        <w:t xml:space="preserve"> The Greek word that the BSB translates as </w:t>
      </w:r>
      <w:r>
        <w:rPr>
          <w:i/>
          <w:lang w:val="en_US" w:bidi="en_US"/>
        </w:rPr>
        <w:t>sailed</w:t>
      </w:r>
      <w:r>
        <w:rPr>
          <w:lang w:val="en_US" w:bidi="en_US"/>
        </w:rPr>
        <w:t xml:space="preserve"> refers to traveling by boat (using either oars or sails). It specifically means “to come from the deep water to the shore.” It refers here to the end of the trip that Jesus and his disciples started in 8:22. Some languages may have a specific word for this. For example:</w:t>
      </w:r>
    </w:p>
    <w:p>
      <w:pPr/>
      <w:r>
        <w:rPr>
          <w:lang w:val="en_US" w:bidi="en_US"/>
        </w:rPr>
      </w:r>
      <w:r>
        <w:rPr>
          <w:lang w:val="en_US" w:bidi="en_US"/>
        </w:rPr>
        <w:t>landed (REB)</w:t>
      </w:r>
    </w:p>
    <w:p>
      <w:pPr/>
      <w:r>
        <w:rPr>
          <w:lang w:val="en_US" w:bidi="en_US"/>
        </w:rPr>
      </w:r>
      <w:r>
        <w:rPr>
          <w:lang w:val="en_US" w:bidi="en_US"/>
        </w:rPr>
        <w:t>Other ways to indicate this are:</w:t>
      </w:r>
    </w:p>
    <w:p>
      <w:pPr/>
      <w:r>
        <w:rPr>
          <w:lang w:val="en_US" w:bidi="en_US"/>
        </w:rPr>
      </w:r>
      <w:r>
        <w:rPr>
          <w:lang w:val="en_US" w:bidi="en_US"/>
        </w:rPr>
        <w:t xml:space="preserve">they </w:t>
      </w:r>
      <w:r>
        <w:rPr>
          <w:u w:val="single"/>
          <w:lang w:val="en_US" w:bidi="en_US"/>
        </w:rPr>
        <w:t>arrived</w:t>
      </w:r>
      <w:r>
        <w:rPr>
          <w:lang w:val="en_US" w:bidi="en_US"/>
        </w:rPr>
        <w:t xml:space="preserve"> at the country of the Gerasenes (RSV)</w:t>
      </w:r>
    </w:p>
    <w:p>
      <w:pPr/>
      <w:r>
        <w:rPr>
          <w:lang w:val="en_US" w:bidi="en_US"/>
        </w:rPr>
      </w:r>
      <w:r>
        <w:rPr>
          <w:u w:val="single"/>
          <w:lang w:val="en_US" w:bidi="en_US"/>
        </w:rPr>
        <w:t>sailed across</w:t>
      </w:r>
      <w:r>
        <w:rPr>
          <w:lang w:val="en_US" w:bidi="en_US"/>
        </w:rPr>
        <w:t xml:space="preserve"> Lake Galilee </w:t>
      </w:r>
      <w:r>
        <w:rPr>
          <w:u w:val="single"/>
          <w:lang w:val="en_US" w:bidi="en_US"/>
        </w:rPr>
        <w:t>and came to shore</w:t>
      </w:r>
      <w:r>
        <w:rPr>
          <w:lang w:val="en_US" w:bidi="en_US"/>
        </w:rPr>
        <w:t xml:space="preserve"> (CEV)</w:t>
      </w:r>
    </w:p>
    <w:p>
      <w:pPr/>
      <w:r>
        <w:rPr>
          <w:lang w:val="en_US" w:bidi="en_US"/>
        </w:rPr>
      </w:r>
      <w:r>
        <w:rPr>
          <w:b/>
          <w:lang w:val="en_US" w:bidi="en_US"/>
        </w:rPr>
        <w:t>the region of the Gerasenes:</w:t>
      </w:r>
      <w:r>
        <w:rPr>
          <w:lang w:val="en_US" w:bidi="en_US"/>
        </w:rPr>
        <w:t xml:space="preserve"> The Greek phrase that the BSB translates as </w:t>
      </w:r>
      <w:r>
        <w:rPr>
          <w:i/>
          <w:lang w:val="en_US" w:bidi="en_US"/>
        </w:rPr>
        <w:t>the Gerasenes</w:t>
      </w:r>
      <w:r>
        <w:rPr>
          <w:lang w:val="en_US" w:bidi="en_US"/>
        </w:rPr>
        <w:t xml:space="preserve"> refers to people who lived in the city called “Gerasa”</w:t>
      </w:r>
      <w:r>
        <w:rPr>
          <w:lang w:val="en_US" w:bidi="en_US"/>
        </w:rPr>
        <w:t>Gerasa was about 35 miles (55 kilometers) from the southeast shore of Lake Galilee. So using this term in connection with Jesus’ arrival on the northeast shore of the Lake has troubled Bible scholars through the centuries (leading to the textual variants). One suggested resolution is that since Gerasa was one of the prominent cities of the Decapolis, the name may have been used to describe the whole region.</w:t>
      </w:r>
      <w:r>
        <w:rPr>
          <w:lang w:val="en_US" w:bidi="en_US"/>
        </w:rPr>
        <w:t xml:space="preserve"> and the countryside around it. </w:t>
      </w:r>
      <w:r>
        <w:rPr>
          <w:i/>
          <w:lang w:val="en_US" w:bidi="en_US"/>
        </w:rPr>
        <w:t>Gerasenes</w:t>
      </w:r>
      <w:r>
        <w:rPr>
          <w:lang w:val="en_US" w:bidi="en_US"/>
        </w:rPr>
        <w:t xml:space="preserve"> were mostly non-Jewish people. The phrase </w:t>
      </w:r>
      <w:r>
        <w:rPr>
          <w:i/>
          <w:lang w:val="en_US" w:bidi="en_US"/>
        </w:rPr>
        <w:t>the region of the Gerasenes</w:t>
      </w:r>
      <w:r>
        <w:rPr>
          <w:lang w:val="en_US" w:bidi="en_US"/>
        </w:rPr>
        <w:t xml:space="preserve"> means “the region where the Gerasene people lived.” Some other ways to translate this are:</w:t>
      </w:r>
    </w:p>
    <w:p>
      <w:pPr/>
      <w:r>
        <w:rPr>
          <w:lang w:val="en_US" w:bidi="en_US"/>
        </w:rPr>
      </w:r>
      <w:r>
        <w:rPr>
          <w:lang w:val="en_US" w:bidi="en_US"/>
        </w:rPr>
        <w:t>region/area of the Gerasa people</w:t>
      </w:r>
    </w:p>
    <w:p>
      <w:pPr/>
      <w:r>
        <w:rPr>
          <w:lang w:val="en_US" w:bidi="en_US"/>
        </w:rPr>
      </w:r>
      <w:r>
        <w:rPr>
          <w:lang w:val="en_US" w:bidi="en_US"/>
        </w:rPr>
        <w:t>place where people called the Gerasenes lived</w:t>
      </w:r>
    </w:p>
    <w:p>
      <w:pPr/>
      <w:r>
        <w:rPr>
          <w:lang w:val="en_US" w:bidi="en_US"/>
        </w:rPr>
      </w:r>
      <w:r>
        <w:rPr>
          <w:lang w:val="en_US" w:bidi="en_US"/>
        </w:rPr>
        <w:t>region of the city of Gerasa and around it</w:t>
      </w:r>
    </w:p>
    <w:p>
      <w:pPr/>
      <w:r>
        <w:rPr>
          <w:lang w:val="en_US" w:bidi="en_US"/>
        </w:rPr>
      </w:r>
      <w:r>
        <w:rPr>
          <w:b/>
          <w:lang w:val="en_US" w:bidi="en_US"/>
        </w:rPr>
        <w:t>Gerasenes:</w:t>
      </w:r>
      <w:r>
        <w:rPr>
          <w:lang w:val="en_US" w:bidi="en_US"/>
        </w:rPr>
        <w:t xml:space="preserve"> There is a textual issue in this verse:</w:t>
      </w:r>
    </w:p>
    <w:p>
      <w:pPr>
        <w:pStyle w:val="ListNumber"/>
        <w:numPr>
          <w:ilvl w:val="0"/>
          <w:numId w:val="181"/>
        </w:numPr>
        <w:spacing w:line="240" w:lineRule="auto"/>
        <w:ind w:left="720"/>
      </w:pPr>
      <w:r>
        <w:rPr>
          <w:lang w:val="en_US" w:bidi="en_US"/>
        </w:rPr>
      </w:r>
      <w:r>
        <w:rPr>
          <w:lang w:val="en_US" w:bidi="en_US"/>
        </w:rPr>
        <w:t xml:space="preserve">Some Greek manuscripts have </w:t>
      </w:r>
      <w:r>
        <w:rPr>
          <w:u w:val="single"/>
          <w:lang w:val="en_US" w:bidi="en_US"/>
        </w:rPr>
        <w:t>Gerasenes</w:t>
      </w:r>
      <w:r>
        <w:rPr>
          <w:lang w:val="en_US" w:bidi="en_US"/>
        </w:rPr>
        <w:t xml:space="preserve">, people from the town of Gerasa. </w:t>
      </w:r>
      <w:r>
        <w:rPr>
          <w:i/>
          <w:lang w:val="en_US" w:bidi="en_US"/>
        </w:rPr>
        <w:t>(BSB, NIV, GNT, CEV, GW, JBP, NASB, NET, NCV, NJB, NLT, NRSV, REB)</w:t>
      </w:r>
    </w:p>
    <w:p>
      <w:pPr>
        <w:pStyle w:val="ListNumber"/>
        <w:spacing w:line="240" w:lineRule="auto"/>
        <w:ind w:left="720"/>
      </w:pPr>
      <w:r>
        <w:rPr>
          <w:lang w:val="en_US" w:bidi="en_US"/>
        </w:rPr>
      </w:r>
      <w:r>
        <w:rPr>
          <w:lang w:val="en_US" w:bidi="en_US"/>
        </w:rPr>
        <w:t xml:space="preserve">Other Greek manuscripts have </w:t>
      </w:r>
      <w:r>
        <w:rPr>
          <w:u w:val="single"/>
          <w:lang w:val="en_US" w:bidi="en_US"/>
        </w:rPr>
        <w:t>Gadarenes</w:t>
      </w:r>
      <w:r>
        <w:rPr>
          <w:lang w:val="en_US" w:bidi="en_US"/>
        </w:rPr>
        <w:t xml:space="preserve">, people from the town of Gadara. </w:t>
      </w:r>
      <w:r>
        <w:rPr>
          <w:i/>
          <w:lang w:val="en_US" w:bidi="en_US"/>
        </w:rPr>
        <w:t>(KJV)</w:t>
      </w:r>
    </w:p>
    <w:p>
      <w:pPr/>
      <w:r>
        <w:rPr>
          <w:lang w:val="en_US" w:bidi="en_US"/>
        </w:rPr>
      </w:r>
      <w:r>
        <w:rPr>
          <w:lang w:val="en_US" w:bidi="en_US"/>
        </w:rPr>
        <w:t>It is recommended that you follow option (1), which is followed by most English versions.</w:t>
      </w:r>
      <w:r>
        <w:rPr>
          <w:lang w:val="en_US" w:bidi="en_US"/>
        </w:rPr>
        <w:t xml:space="preserve">The textual decision is a complicated one. The three main variants (common also to the parallel passages in Matthew 8:28 and Mark 5:1) all have points in their favor as well as difficulties:· Gerasenes (of the city of Gerasa): This reading is the choice of the UBS text committee on the basis of early attestation in both the Alexandrian and Western text types. However, Gerasa is geographically difficult in that it was about 35 miles (55 kilometers) from the lake and was not likely to control land along the lakeshore (the Decapolis cities of Gadara and Hippo were closer to the lake).· Gadarenes (of the city of Gadara): Gadara was about 5–6 miles (9 kilometers) from the lakeshore and according to Josephus did control land all the way to the shore. However this reading is less well attested in Luke and Mark.· Gergesenes (of the village of Gergesa): Many scholars identify Gergesa with a small village on the northeast coast of the lake whose ruins have been recently discovered. The area has steep banks going down to the lake and this seems to accord well with biblical account. But even if this is the likely location of the miracle, it does not necessarily solve the textual problem. Tony Pope points out (CONNOT, Mark 5:1) that it is not likely that the phrase “the region of” would be used in connection with a small village.For further reading, see Metzger for Matthew 8:28 and </w:t>
      </w:r>
      <w:r>
        <w:rPr>
          <w:i/>
          <w:lang w:val="en_US" w:bidi="en_US"/>
        </w:rPr>
        <w:t>Jerusalem Perspective</w:t>
      </w:r>
      <w:r>
        <w:rPr>
          <w:lang w:val="en_US" w:bidi="en_US"/>
        </w:rPr>
        <w:t xml:space="preserve"> articles “Gergesa: Site of the Demoniac’s Healing” by Mendel Nun (No. 50 January/March, 1996) and “Gergesa, Gerasa, or Gadara? Where Did Jesus’ Miracle Occur?” by Ze’ev Safrai (No. 51 April/June, 1996).</w:t>
      </w:r>
      <w:r>
        <w:rPr>
          <w:lang w:val="en_US" w:bidi="en_US"/>
        </w:rPr>
        <w:t xml:space="preserve"> However, if the national language version in the area follows option (2), it is recommended that you put this in a footnote. For example:</w:t>
      </w:r>
    </w:p>
    <w:p>
      <w:pPr/>
      <w:r>
        <w:rPr>
          <w:lang w:val="en_US" w:bidi="en_US"/>
        </w:rPr>
      </w:r>
      <w:r>
        <w:rPr>
          <w:lang w:val="en_US" w:bidi="en_US"/>
        </w:rPr>
        <w:t>Other Greek manuscripts and the [national language version] have “Gadarenes.”</w:t>
      </w:r>
    </w:p>
    <w:p>
      <w:pPr>
        <w:pStyle w:val="Heading5"/>
      </w:pPr>
      <w:r>
        <w:rPr>
          <w:lang w:val="en_US" w:bidi="en_US"/>
        </w:rPr>
        <w:t>8:26b</w:t>
      </w:r>
    </w:p>
    <w:p>
      <w:pPr/>
      <w:r>
        <w:rPr>
          <w:lang w:val="en_US" w:bidi="en_US"/>
        </w:rPr>
      </w:r>
      <w:r>
        <w:rPr>
          <w:b/>
          <w:lang w:val="en_US" w:bidi="en_US"/>
        </w:rPr>
        <w:t>across the lake from Galilee.</w:t>
      </w:r>
    </w:p>
    <w:p>
      <w:pPr>
        <w:pStyle w:val="ListBullet"/>
        <w:spacing w:line="240" w:lineRule="auto"/>
        <w:ind w:left="720"/>
      </w:pPr>
      <w:r>
        <w:rPr>
          <w:lang w:val="en_US" w:bidi="en_US"/>
        </w:rPr>
      </w:r>
      <w:r>
        <w:rPr>
          <w:lang w:val="en_US" w:bidi="en_US"/>
        </w:rPr>
        <w:t>which is on the opposite side of the lake from/to Galilee.</w:t>
      </w:r>
    </w:p>
    <w:p>
      <w:pPr>
        <w:pStyle w:val="ListBullet"/>
        <w:spacing w:line="240" w:lineRule="auto"/>
        <w:ind w:left="720"/>
      </w:pPr>
      <w:r>
        <w:rPr>
          <w:lang w:val="en_US" w:bidi="en_US"/>
        </w:rPr>
      </w:r>
      <w:r>
        <w:rPr>
          <w:lang w:val="en_US" w:bidi="en_US"/>
        </w:rPr>
        <w:t xml:space="preserve">This area was across the lake from </w:t>
      </w:r>
      <w:r>
        <w:rPr>
          <w:lang w:val="en_US" w:bidi="en_US"/>
        </w:rPr>
        <w:t>the region/province of</w:t>
      </w:r>
      <w:r>
        <w:rPr>
          <w:lang w:val="en_US" w:bidi="en_US"/>
        </w:rPr>
        <w:t xml:space="preserve"> Galilee.</w:t>
      </w:r>
    </w:p>
    <w:p>
      <w:pPr/>
      <w:r>
        <w:rPr>
          <w:lang w:val="en_US" w:bidi="en_US"/>
        </w:rPr>
      </w:r>
      <w:r>
        <w:rPr>
          <w:b/>
          <w:lang w:val="en_US" w:bidi="en_US"/>
        </w:rPr>
        <w:t>across the lake from Galilee:</w:t>
      </w:r>
      <w:r>
        <w:rPr>
          <w:lang w:val="en_US" w:bidi="en_US"/>
        </w:rPr>
        <w:t xml:space="preserve"> The Greek phrase that the BSB translates as </w:t>
      </w:r>
      <w:r>
        <w:rPr>
          <w:i/>
          <w:lang w:val="en_US" w:bidi="en_US"/>
        </w:rPr>
        <w:t>across the lake from Galilee</w:t>
      </w:r>
      <w:r>
        <w:rPr>
          <w:lang w:val="en_US" w:bidi="en_US"/>
        </w:rPr>
        <w:t xml:space="preserve"> is literally “opposite Galilee.” Because “opposite” here means “on the opposite side of the lake from Galilee,” it may be clearer to say </w:t>
      </w:r>
      <w:r>
        <w:rPr>
          <w:i/>
          <w:lang w:val="en_US" w:bidi="en_US"/>
        </w:rPr>
        <w:t>across the lake from Galilee</w:t>
      </w:r>
      <w:r>
        <w:rPr>
          <w:lang w:val="en_US" w:bidi="en_US"/>
        </w:rPr>
        <w:t>, as the BSB does.</w:t>
      </w:r>
    </w:p>
    <w:p>
      <w:pPr/>
      <w:r>
        <w:rPr>
          <w:lang w:val="en_US" w:bidi="en_US"/>
        </w:rPr>
      </w:r>
      <w:r>
        <w:rPr>
          <w:lang w:val="en_US" w:bidi="en_US"/>
        </w:rPr>
        <w:t>They sailed from the northwest shore of the lake in the province of Galilee to the northeast shore. If your language requires or prefers to indicate the direction of travel, indicate that they were sailing east.</w:t>
      </w:r>
      <w:r>
        <w:rPr>
          <w:lang w:val="en_US" w:bidi="en_US"/>
        </w:rPr>
      </w:r>
      <w:r>
        <w:rPr>
          <w:lang w:val="en_US" w:bidi="en_US"/>
        </w:rPr>
      </w:r>
    </w:p>
    <w:p>
      <w:pPr/>
      <w:r>
        <w:rPr>
          <w:lang w:val="en_US" w:bidi="en_US"/>
        </w:rPr>
      </w:r>
    </w:p>
    <w:p>
      <w:pPr>
        <w:pStyle w:val="Heading2"/>
      </w:pPr>
      <w:r>
        <w:rPr>
          <w:lang w:val="en_US" w:bidi="en_US"/>
        </w:rPr>
        <w:t>Luke 8:27</w:t>
      </w:r>
      <w:r>
        <w:rPr>
          <w:lang w:val="en_US" w:bidi="en_US"/>
        </w:rPr>
      </w:r>
    </w:p>
    <w:p>
      <w:pPr>
        <w:pStyle w:val="Heading4"/>
      </w:pPr>
      <w:r>
        <w:rPr>
          <w:lang w:val="en_US" w:bidi="en_US"/>
        </w:rPr>
        <w:t>Section 8:26–39: Jesus freed a man whom many demons controlled</w:t>
      </w:r>
    </w:p>
    <w:p>
      <w:pPr/>
      <w:r>
        <w:rPr>
          <w:lang w:val="en_US" w:bidi="en_US"/>
        </w:rPr>
      </w:r>
      <w:r>
        <w:rPr>
          <w:lang w:val="en_US" w:bidi="en_US"/>
        </w:rP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pPr/>
      <w:r>
        <w:rPr>
          <w:lang w:val="en_US" w:bidi="en_US"/>
        </w:rPr>
      </w:r>
      <w:r>
        <w:rPr>
          <w:lang w:val="en_US" w:bidi="en_US"/>
        </w:rPr>
        <w:t>“Uncleanness” is a theme in this story. The spirits that controlled the man were considered “unclean” (and called “unclean” in 8:29a). Tombs were “unclean.” Jews also considered pigs to be “unclean.”</w:t>
      </w:r>
    </w:p>
    <w:p>
      <w:pPr/>
      <w:r>
        <w:rPr>
          <w:lang w:val="en_US" w:bidi="en_US"/>
        </w:rPr>
      </w:r>
      <w:r>
        <w:rPr>
          <w:lang w:val="en_US" w:bidi="en_US"/>
        </w:rP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pPr/>
      <w:r>
        <w:rPr>
          <w:lang w:val="en_US" w:bidi="en_US"/>
        </w:rPr>
      </w:r>
      <w:r>
        <w:rPr>
          <w:lang w:val="en_US" w:bidi="en_US"/>
        </w:rPr>
        <w:t>Some other possible headings for this section are:</w:t>
      </w:r>
    </w:p>
    <w:p>
      <w:pPr/>
      <w:r>
        <w:rPr>
          <w:lang w:val="en_US" w:bidi="en_US"/>
        </w:rPr>
      </w:r>
      <w:r>
        <w:rPr>
          <w:lang w:val="en_US" w:bidi="en_US"/>
        </w:rPr>
        <w:t>Jesus commanded many demons to leave a man</w:t>
      </w:r>
    </w:p>
    <w:p>
      <w:pPr/>
      <w:r>
        <w:rPr>
          <w:lang w:val="en_US" w:bidi="en_US"/>
        </w:rPr>
      </w:r>
      <w:r>
        <w:rPr>
          <w:lang w:val="en_US" w:bidi="en_US"/>
        </w:rPr>
        <w:t>The deliverance of a man who was controlled by many demons</w:t>
      </w:r>
    </w:p>
    <w:p>
      <w:pPr/>
      <w:r>
        <w:rPr>
          <w:lang w:val="en_US" w:bidi="en_US"/>
        </w:rPr>
      </w:r>
      <w:r>
        <w:rPr>
          <w:lang w:val="en_US" w:bidi="en_US"/>
        </w:rPr>
        <w:t>There are parallel passages for this section in Matthew 8:28–34 and Mark 5:1–20.</w:t>
      </w:r>
    </w:p>
    <w:p>
      <w:pPr>
        <w:pStyle w:val="Heading4"/>
      </w:pPr>
      <w:r>
        <w:rPr>
          <w:lang w:val="en_US" w:bidi="en_US"/>
        </w:rPr>
        <w:t>Paragraph 8:26–33</w:t>
      </w:r>
    </w:p>
    <w:p>
      <w:pPr/>
      <w:r>
        <w:rPr>
          <w:lang w:val="en_US" w:bidi="en_US"/>
        </w:rPr>
      </w:r>
      <w:r>
        <w:rPr>
          <w:lang w:val="en_US" w:bidi="en_US"/>
        </w:rPr>
        <w:t>In this paragraph Luke told about events that happened when Jesus and his disciples came to the other side of the lake. Several times Luke inserted background information about the past. In some languages speakers often shift in this way between telling events and giving background information to explain them. Use natural ways to do this in your language.</w:t>
      </w:r>
    </w:p>
    <w:p>
      <w:pPr/>
      <w:r>
        <w:rPr>
          <w:lang w:val="en_US" w:bidi="en_US"/>
        </w:rPr>
      </w:r>
      <w:r>
        <w:rPr>
          <w:lang w:val="en_US" w:bidi="en_US"/>
        </w:rPr>
        <w:t>In some languages this shift between actions and background information may be confusing. You may need to change the order of some information in these verses. See the General Comment on 8:27a–28a at the end of the notes on 8:28a and the longer General Comment on 8:27–29 at the end of the notes on 8:29e for suggestions.</w:t>
      </w:r>
    </w:p>
    <w:p>
      <w:pPr>
        <w:pStyle w:val="Heading5"/>
      </w:pPr>
      <w:r>
        <w:rPr>
          <w:lang w:val="en_US" w:bidi="en_US"/>
        </w:rPr>
        <w:t>8:27a</w:t>
      </w:r>
    </w:p>
    <w:p>
      <w:pPr/>
      <w:r>
        <w:rPr>
          <w:lang w:val="en_US" w:bidi="en_US"/>
        </w:rPr>
      </w:r>
      <w:r>
        <w:rPr>
          <w:b/>
          <w:lang w:val="en_US" w:bidi="en_US"/>
        </w:rPr>
        <w:t>When Jesus stepped ashore,</w:t>
      </w:r>
    </w:p>
    <w:p>
      <w:pPr>
        <w:pStyle w:val="ListBullet"/>
        <w:spacing w:line="240" w:lineRule="auto"/>
        <w:ind w:left="720"/>
      </w:pPr>
      <w:r>
        <w:rPr>
          <w:lang w:val="en_US" w:bidi="en_US"/>
        </w:rPr>
      </w:r>
      <w:r>
        <w:rPr>
          <w:lang w:val="en_US" w:bidi="en_US"/>
        </w:rPr>
        <w:t>When/as Jesus stepped onto the land,</w:t>
      </w:r>
    </w:p>
    <w:p>
      <w:pPr>
        <w:pStyle w:val="ListBullet"/>
        <w:spacing w:line="240" w:lineRule="auto"/>
        <w:ind w:left="720"/>
      </w:pPr>
      <w:r>
        <w:rPr>
          <w:lang w:val="en_US" w:bidi="en_US"/>
        </w:rPr>
      </w:r>
      <w:r>
        <w:rPr>
          <w:lang w:val="en_US" w:bidi="en_US"/>
        </w:rPr>
        <w:t xml:space="preserve">Jesus </w:t>
      </w:r>
      <w:r>
        <w:rPr>
          <w:lang w:val="en_US" w:bidi="en_US"/>
        </w:rPr>
        <w:t>along with his disciples/followers</w:t>
      </w:r>
      <w:r>
        <w:rPr>
          <w:lang w:val="en_US" w:bidi="en_US"/>
        </w:rPr>
        <w:t xml:space="preserve"> went/climbed out </w:t>
      </w:r>
      <w:r>
        <w:rPr>
          <w:lang w:val="en_US" w:bidi="en_US"/>
        </w:rPr>
        <w:t>of the boat</w:t>
      </w:r>
      <w:r>
        <w:rPr>
          <w:lang w:val="en_US" w:bidi="en_US"/>
        </w:rPr>
        <w:t xml:space="preserve"> there.</w:t>
      </w:r>
    </w:p>
    <w:p>
      <w:pPr/>
      <w:r>
        <w:rPr>
          <w:lang w:val="en_US" w:bidi="en_US"/>
        </w:rPr>
      </w:r>
      <w:r>
        <w:rPr>
          <w:b/>
          <w:lang w:val="en_US" w:bidi="en_US"/>
        </w:rPr>
        <w:t>When Jesus stepped ashore:</w:t>
      </w:r>
      <w:r>
        <w:rPr>
          <w:lang w:val="en_US" w:bidi="en_US"/>
        </w:rPr>
        <w:t xml:space="preserve"> The Greek phrase that the BSB translates as </w:t>
      </w:r>
      <w:r>
        <w:rPr>
          <w:i/>
          <w:lang w:val="en_US" w:bidi="en_US"/>
        </w:rPr>
        <w:t>Jesus stepped ashore</w:t>
      </w:r>
      <w:r>
        <w:rPr>
          <w:lang w:val="en_US" w:bidi="en_US"/>
        </w:rPr>
        <w:t xml:space="preserve"> means that Jesus climbed out of the boat onto the land. Some languages may have a specific word for this action. For example:</w:t>
      </w:r>
    </w:p>
    <w:p>
      <w:pPr/>
      <w:r>
        <w:rPr>
          <w:lang w:val="en_US" w:bidi="en_US"/>
        </w:rPr>
      </w:r>
      <w:r>
        <w:rPr>
          <w:lang w:val="en_US" w:bidi="en_US"/>
        </w:rPr>
        <w:t>disembarked (JBP)</w:t>
      </w:r>
    </w:p>
    <w:p>
      <w:pPr/>
      <w:r>
        <w:rPr>
          <w:lang w:val="en_US" w:bidi="en_US"/>
        </w:rPr>
      </w:r>
      <w:r>
        <w:rPr>
          <w:lang w:val="en_US" w:bidi="en_US"/>
        </w:rPr>
        <w:t>You could also simply say that Jesus “stepped/climbed/went out of the boat.”</w:t>
      </w:r>
    </w:p>
    <w:p>
      <w:pPr/>
      <w:r>
        <w:rPr>
          <w:lang w:val="en_US" w:bidi="en_US"/>
        </w:rPr>
      </w:r>
      <w:r>
        <w:rPr>
          <w:lang w:val="en_US" w:bidi="en_US"/>
        </w:rPr>
        <w:t>When Jesus got out of the boat, his disciples probably also got out of it. The author does not mention the disciples here because Jesus is in focus.</w:t>
      </w:r>
    </w:p>
    <w:p>
      <w:pPr/>
      <w:r>
        <w:rPr>
          <w:lang w:val="en_US" w:bidi="en_US"/>
        </w:rPr>
      </w:r>
      <w:r>
        <w:rPr>
          <w:lang w:val="en_US" w:bidi="en_US"/>
        </w:rPr>
        <w:t>However, in some languages not mentioning the disciples might imply that they stayed in the boat. If that is true in your language, here are some ways you could include them:</w:t>
      </w:r>
    </w:p>
    <w:p>
      <w:pPr/>
      <w:r>
        <w:rPr>
          <w:lang w:val="en_US" w:bidi="en_US"/>
        </w:rPr>
      </w:r>
      <w:r>
        <w:rPr>
          <w:lang w:val="en_US" w:bidi="en_US"/>
        </w:rPr>
        <w:t xml:space="preserve">When Jesus </w:t>
      </w:r>
      <w:r>
        <w:rPr>
          <w:lang w:val="en_US" w:bidi="en_US"/>
        </w:rPr>
        <w:t>along with the disciples</w:t>
      </w:r>
      <w:r>
        <w:rPr>
          <w:lang w:val="en_US" w:bidi="en_US"/>
        </w:rPr>
        <w:t xml:space="preserve"> stepped ashore…</w:t>
      </w:r>
    </w:p>
    <w:p>
      <w:pPr/>
      <w:r>
        <w:rPr>
          <w:lang w:val="en_US" w:bidi="en_US"/>
        </w:rPr>
      </w:r>
      <w:r>
        <w:rPr>
          <w:lang w:val="en_US" w:bidi="en_US"/>
        </w:rPr>
        <w:t xml:space="preserve">When Jesus </w:t>
      </w:r>
      <w:r>
        <w:rPr>
          <w:lang w:val="en_US" w:bidi="en_US"/>
        </w:rPr>
        <w:t>and the disciples</w:t>
      </w:r>
      <w:r>
        <w:rPr>
          <w:lang w:val="en_US" w:bidi="en_US"/>
        </w:rPr>
        <w:t xml:space="preserve"> stepped ashore…</w:t>
      </w:r>
    </w:p>
    <w:p>
      <w:pPr>
        <w:pStyle w:val="Heading5"/>
      </w:pPr>
      <w:r>
        <w:rPr>
          <w:lang w:val="en_US" w:bidi="en_US"/>
        </w:rPr>
        <w:t>8:27b</w:t>
      </w:r>
    </w:p>
    <w:p>
      <w:pPr/>
      <w:r>
        <w:rPr>
          <w:lang w:val="en_US" w:bidi="en_US"/>
        </w:rPr>
      </w:r>
      <w:r>
        <w:rPr>
          <w:b/>
          <w:lang w:val="en_US" w:bidi="en_US"/>
        </w:rPr>
        <w:t>He was met by a demon-possessed man from the town.</w:t>
      </w:r>
    </w:p>
    <w:p>
      <w:pPr>
        <w:pStyle w:val="ListBullet"/>
        <w:spacing w:line="240" w:lineRule="auto"/>
        <w:ind w:left="720"/>
      </w:pPr>
      <w:r>
        <w:rPr>
          <w:lang w:val="en_US" w:bidi="en_US"/>
        </w:rPr>
      </w:r>
      <w:r>
        <w:rPr>
          <w:lang w:val="en_US" w:bidi="en_US"/>
        </w:rPr>
        <w:t xml:space="preserve">a man met him who was </w:t>
      </w:r>
      <w:r>
        <w:rPr>
          <w:lang w:val="en_US" w:bidi="en_US"/>
        </w:rPr>
        <w:t>formerly</w:t>
      </w:r>
      <w:r>
        <w:rPr>
          <w:lang w:val="en_US" w:bidi="en_US"/>
        </w:rPr>
        <w:t xml:space="preserve"> from the city and who was controlled by demons.</w:t>
      </w:r>
    </w:p>
    <w:p>
      <w:pPr>
        <w:pStyle w:val="ListBullet"/>
        <w:spacing w:line="240" w:lineRule="auto"/>
        <w:ind w:left="720"/>
      </w:pPr>
      <w:r>
        <w:rPr>
          <w:lang w:val="en_US" w:bidi="en_US"/>
        </w:rPr>
      </w:r>
      <w:r>
        <w:rPr>
          <w:lang w:val="en_US" w:bidi="en_US"/>
        </w:rPr>
        <w:t xml:space="preserve">Then a man </w:t>
      </w:r>
      <w:r>
        <w:rPr>
          <w:lang w:val="en_US" w:bidi="en_US"/>
        </w:rPr>
        <w:t>who previously lived in</w:t>
      </w:r>
      <w:r>
        <w:rPr>
          <w:lang w:val="en_US" w:bidi="en_US"/>
        </w:rPr>
        <w:t xml:space="preserve"> the town </w:t>
      </w:r>
      <w:r>
        <w:rPr>
          <w:lang w:val="en_US" w:bidi="en_US"/>
        </w:rPr>
        <w:t>of Gerasa</w:t>
      </w:r>
      <w:r>
        <w:rPr>
          <w:lang w:val="en_US" w:bidi="en_US"/>
        </w:rPr>
        <w:t xml:space="preserve"> came to him. This man had evil spirits in him,</w:t>
      </w:r>
    </w:p>
    <w:p>
      <w:pPr/>
      <w:r>
        <w:rPr>
          <w:lang w:val="en_US" w:bidi="en_US"/>
        </w:rPr>
      </w:r>
      <w:r>
        <w:rPr>
          <w:b/>
          <w:lang w:val="en_US" w:bidi="en_US"/>
        </w:rPr>
        <w:t>He was met by a demon-possessed man from the town:</w:t>
      </w:r>
      <w:r>
        <w:rPr>
          <w:lang w:val="en_US" w:bidi="en_US"/>
        </w:rPr>
        <w:t xml:space="preserve"> This clause describes:</w:t>
      </w:r>
    </w:p>
    <w:p>
      <w:pPr>
        <w:pStyle w:val="ListNumber"/>
        <w:numPr>
          <w:ilvl w:val="0"/>
          <w:numId w:val="182"/>
        </w:numPr>
        <w:spacing w:line="240" w:lineRule="auto"/>
        <w:ind w:left="720"/>
      </w:pPr>
      <w:r>
        <w:rPr>
          <w:lang w:val="en_US" w:bidi="en_US"/>
        </w:rPr>
      </w:r>
      <w:r>
        <w:rPr>
          <w:lang w:val="en_US" w:bidi="en_US"/>
        </w:rPr>
        <w:t>the problem that the man had;</w:t>
      </w:r>
    </w:p>
    <w:p>
      <w:pPr>
        <w:pStyle w:val="ListNumber"/>
        <w:spacing w:line="240" w:lineRule="auto"/>
        <w:ind w:left="720"/>
      </w:pPr>
      <w:r>
        <w:rPr>
          <w:lang w:val="en_US" w:bidi="en_US"/>
        </w:rPr>
      </w:r>
      <w:r>
        <w:rPr>
          <w:lang w:val="en_US" w:bidi="en_US"/>
        </w:rPr>
        <w:t>where he came from;</w:t>
      </w:r>
    </w:p>
    <w:p>
      <w:pPr>
        <w:pStyle w:val="ListNumber"/>
        <w:spacing w:line="240" w:lineRule="auto"/>
        <w:ind w:left="720"/>
      </w:pPr>
      <w:r>
        <w:rPr>
          <w:lang w:val="en_US" w:bidi="en_US"/>
        </w:rPr>
      </w:r>
      <w:r>
        <w:rPr>
          <w:lang w:val="en_US" w:bidi="en_US"/>
        </w:rPr>
        <w:t>that he came to meet Jesus.</w:t>
      </w:r>
    </w:p>
    <w:p>
      <w:pPr/>
      <w:r>
        <w:rPr>
          <w:lang w:val="en_US" w:bidi="en_US"/>
        </w:rPr>
      </w:r>
      <w:r>
        <w:rPr>
          <w:lang w:val="en_US" w:bidi="en_US"/>
        </w:rPr>
        <w:t>Consider what would be a natural way in your language to introduce a new person in a story. Also consider what is a natural order to give the details about him and what he does. Some other ways to say this are:</w:t>
      </w:r>
    </w:p>
    <w:p>
      <w:pPr/>
      <w:r>
        <w:rPr>
          <w:lang w:val="en_US" w:bidi="en_US"/>
        </w:rPr>
      </w:r>
      <w:r>
        <w:rPr>
          <w:lang w:val="en_US" w:bidi="en_US"/>
        </w:rPr>
        <w:t>There was a man there who was from the city and was demon-possessed. He came to meet Jesus.</w:t>
      </w:r>
    </w:p>
    <w:p>
      <w:pPr/>
      <w:r>
        <w:rPr>
          <w:lang w:val="en_US" w:bidi="en_US"/>
        </w:rPr>
      </w:r>
      <w:r>
        <w:rPr>
          <w:lang w:val="en_US" w:bidi="en_US"/>
        </w:rPr>
        <w:t>a man of the city who had demons met him (NRSV)</w:t>
      </w:r>
    </w:p>
    <w:p>
      <w:pPr/>
      <w:r>
        <w:rPr>
          <w:lang w:val="en_US" w:bidi="en_US"/>
        </w:rPr>
      </w:r>
      <w:r>
        <w:rPr>
          <w:b/>
          <w:lang w:val="en_US" w:bidi="en_US"/>
        </w:rPr>
        <w:t>He was met by a…man:</w:t>
      </w:r>
      <w:r>
        <w:rPr>
          <w:lang w:val="en_US" w:bidi="en_US"/>
        </w:rPr>
        <w:t xml:space="preserve"> The Greek verb that the BSB translates as </w:t>
      </w:r>
      <w:r>
        <w:rPr>
          <w:i/>
          <w:lang w:val="en_US" w:bidi="en_US"/>
        </w:rPr>
        <w:t>He was met</w:t>
      </w:r>
      <w:r>
        <w:rPr>
          <w:lang w:val="en_US" w:bidi="en_US"/>
        </w:rPr>
        <w:t xml:space="preserve"> indicates here that the man came to the place where Jesus was. The verb can be used for many contexts, including when people meet to fight or oppose each other. The context implies that the evil spirit in the man was hostile toward Jesus. Your translation should not imply that the man wanted to introduce himself to Jesus or to greet him politely. It should also not imply that Jesus and the man had already decided to meet together. Some English versions simply say:</w:t>
      </w:r>
    </w:p>
    <w:p>
      <w:pPr/>
      <w:r>
        <w:rPr>
          <w:lang w:val="en_US" w:bidi="en_US"/>
        </w:rPr>
      </w:r>
      <w:r>
        <w:rPr>
          <w:lang w:val="en_US" w:bidi="en_US"/>
        </w:rPr>
        <w:t>a man…came to Jesus (NCV)</w:t>
      </w:r>
    </w:p>
    <w:p>
      <w:pPr/>
      <w:r>
        <w:rPr>
          <w:lang w:val="en_US" w:bidi="en_US"/>
        </w:rPr>
      </w:r>
      <w:r>
        <w:rPr>
          <w:lang w:val="en_US" w:bidi="en_US"/>
        </w:rPr>
        <w:t>a man…came towards him (NJB)</w:t>
      </w:r>
    </w:p>
    <w:p>
      <w:pPr/>
      <w:r>
        <w:rPr>
          <w:lang w:val="en_US" w:bidi="en_US"/>
        </w:rPr>
      </w:r>
      <w:r>
        <w:rPr>
          <w:b/>
          <w:lang w:val="en_US" w:bidi="en_US"/>
        </w:rPr>
        <w:t>a demon-possessed man:</w:t>
      </w:r>
      <w:r>
        <w:rPr>
          <w:lang w:val="en_US" w:bidi="en_US"/>
        </w:rPr>
        <w:t xml:space="preserve"> The Greek phrase that the BSB translates as </w:t>
      </w:r>
      <w:r>
        <w:rPr>
          <w:i/>
          <w:lang w:val="en_US" w:bidi="en_US"/>
        </w:rPr>
        <w:t>a demon-possessed man</w:t>
      </w:r>
      <w:r>
        <w:rPr>
          <w:lang w:val="en_US" w:bidi="en_US"/>
        </w:rPr>
        <w:t xml:space="preserve"> is literally “a man…having demon</w:t>
      </w:r>
      <w:r>
        <w:rPr>
          <w:u w:val="single"/>
          <w:lang w:val="en_US" w:bidi="en_US"/>
        </w:rPr>
        <w:t>s</w:t>
      </w:r>
      <w:r>
        <w:rPr>
          <w:lang w:val="en_US" w:bidi="en_US"/>
        </w:rPr>
        <w:t>.” It indicates that many demons controlled the man’s thoughts and actions. Such demons are also described by Greek terms that are literally “evil spirits” or “unclean spirits.” Some ways to translate the word “demons” are:</w:t>
      </w:r>
    </w:p>
    <w:p>
      <w:pPr>
        <w:pStyle w:val="ListBullet"/>
        <w:spacing w:line="240" w:lineRule="auto"/>
        <w:ind w:left="720"/>
      </w:pPr>
      <w:r>
        <w:rPr>
          <w:lang w:val="en_US" w:bidi="en_US"/>
        </w:rPr>
      </w:r>
      <w:r>
        <w:rPr>
          <w:lang w:val="en_US" w:bidi="en_US"/>
        </w:rPr>
        <w:t xml:space="preserve">Use </w:t>
      </w:r>
      <w:r>
        <w:rPr>
          <w:u w:val="single"/>
          <w:lang w:val="en_US" w:bidi="en_US"/>
        </w:rPr>
        <w:t>a general term in your language</w:t>
      </w:r>
      <w:r>
        <w:rPr>
          <w:lang w:val="en_US" w:bidi="en_US"/>
        </w:rPr>
        <w:t xml:space="preserve"> that refers to spirits that are evil and can control people.</w:t>
      </w:r>
    </w:p>
    <w:p>
      <w:pPr>
        <w:pStyle w:val="ListBullet"/>
        <w:spacing w:line="240" w:lineRule="auto"/>
        <w:ind w:left="720"/>
      </w:pPr>
      <w:r>
        <w:rPr>
          <w:lang w:val="en_US" w:bidi="en_US"/>
        </w:rPr>
      </w:r>
      <w:r>
        <w:rPr>
          <w:lang w:val="en_US" w:bidi="en_US"/>
        </w:rPr>
        <w:t xml:space="preserve">Use </w:t>
      </w:r>
      <w:r>
        <w:rPr>
          <w:u w:val="single"/>
          <w:lang w:val="en_US" w:bidi="en_US"/>
        </w:rPr>
        <w:t>a specific term in your language</w:t>
      </w:r>
      <w:r>
        <w:rPr>
          <w:lang w:val="en_US" w:bidi="en_US"/>
        </w:rPr>
        <w:t xml:space="preserve"> that refers to spirits that are able to do what is described in this context. Do not use a term that refers to spirits of dead people.</w:t>
      </w:r>
    </w:p>
    <w:p>
      <w:pPr>
        <w:pStyle w:val="ListBullet"/>
        <w:spacing w:line="240" w:lineRule="auto"/>
        <w:ind w:left="720"/>
      </w:pPr>
      <w:r>
        <w:rPr>
          <w:lang w:val="en_US" w:bidi="en_US"/>
        </w:rPr>
      </w:r>
      <w:r>
        <w:rPr>
          <w:lang w:val="en_US" w:bidi="en_US"/>
        </w:rPr>
        <w:t xml:space="preserve">Use </w:t>
      </w:r>
      <w:r>
        <w:rPr>
          <w:u w:val="single"/>
          <w:lang w:val="en_US" w:bidi="en_US"/>
        </w:rPr>
        <w:t>a descriptive phrase</w:t>
      </w:r>
      <w:r>
        <w:rPr>
          <w:lang w:val="en_US" w:bidi="en_US"/>
        </w:rPr>
        <w:t>. For example:</w:t>
      </w:r>
      <w:r>
        <w:rPr>
          <w:lang w:val="en_US" w:bidi="en_US"/>
        </w:rPr>
        <w:t>evil/bad spirits</w:t>
      </w:r>
      <w:r>
        <w:rPr>
          <w:lang w:val="en_US" w:bidi="en_US"/>
        </w:rPr>
        <w:t xml:space="preserve">unclean spirits </w:t>
      </w:r>
      <w:r>
        <w:rPr>
          <w:i/>
          <w:lang w:val="en_US" w:bidi="en_US"/>
        </w:rPr>
        <w:t>Be sure that an expression like “unclean spirits” does not imply that the spirits are literally dirty.</w:t>
      </w:r>
    </w:p>
    <w:p>
      <w:pPr/>
      <w:r>
        <w:rPr>
          <w:lang w:val="en_US" w:bidi="en_US"/>
        </w:rPr>
      </w:r>
      <w:r>
        <w:rPr>
          <w:lang w:val="en_US" w:bidi="en_US"/>
        </w:rPr>
        <w:t xml:space="preserve">Some ways to translate </w:t>
      </w:r>
      <w:r>
        <w:rPr>
          <w:i/>
          <w:lang w:val="en_US" w:bidi="en_US"/>
        </w:rPr>
        <w:t>a demon-possessed man</w:t>
      </w:r>
      <w:r>
        <w:rPr>
          <w:lang w:val="en_US" w:bidi="en_US"/>
        </w:rPr>
        <w:t xml:space="preserve"> are:</w:t>
      </w:r>
    </w:p>
    <w:p>
      <w:pPr/>
      <w:r>
        <w:rPr>
          <w:lang w:val="en_US" w:bidi="en_US"/>
        </w:rPr>
      </w:r>
      <w:r>
        <w:rPr>
          <w:lang w:val="en_US" w:bidi="en_US"/>
        </w:rPr>
        <w:t>a man who was controlled by evil spirits</w:t>
      </w:r>
    </w:p>
    <w:p>
      <w:pPr/>
      <w:r>
        <w:rPr>
          <w:lang w:val="en_US" w:bidi="en_US"/>
        </w:rPr>
      </w:r>
      <w:r>
        <w:rPr>
          <w:lang w:val="en_US" w:bidi="en_US"/>
        </w:rPr>
        <w:t>a man…who had demons (RSV)</w:t>
      </w:r>
    </w:p>
    <w:p>
      <w:pPr/>
      <w:r>
        <w:rPr>
          <w:lang w:val="en_US" w:bidi="en_US"/>
        </w:rPr>
      </w:r>
      <w:r>
        <w:rPr>
          <w:lang w:val="en_US" w:bidi="en_US"/>
        </w:rPr>
        <w:t>The man had demons in him. (CEV)</w:t>
      </w:r>
    </w:p>
    <w:p>
      <w:pPr/>
      <w:r>
        <w:rPr>
          <w:lang w:val="en_US" w:bidi="en_US"/>
        </w:rPr>
      </w:r>
      <w:r>
        <w:rPr>
          <w:lang w:val="en_US" w:bidi="en_US"/>
        </w:rPr>
        <w:t>Use an expression that is natural in your language to refer to demons controlling a person. See demon in the Glossary for more information.</w:t>
      </w:r>
    </w:p>
    <w:p>
      <w:pPr/>
      <w:r>
        <w:rPr>
          <w:lang w:val="en_US" w:bidi="en_US"/>
        </w:rPr>
      </w:r>
      <w:r>
        <w:rPr>
          <w:b/>
          <w:lang w:val="en_US" w:bidi="en_US"/>
        </w:rPr>
        <w:t>from the town:</w:t>
      </w:r>
      <w:r>
        <w:rPr>
          <w:lang w:val="en_US" w:bidi="en_US"/>
        </w:rPr>
        <w:t xml:space="preserve"> The Greek phrase that the BSB translates as </w:t>
      </w:r>
      <w:r>
        <w:rPr>
          <w:i/>
          <w:lang w:val="en_US" w:bidi="en_US"/>
        </w:rPr>
        <w:t>from the town</w:t>
      </w:r>
      <w:r>
        <w:rPr>
          <w:lang w:val="en_US" w:bidi="en_US"/>
        </w:rPr>
        <w:t xml:space="preserve"> means that the man was formerly from the town of Gerasa. He used to live there, and his family probably still lived there. He himself no longer lived there. This does not mean that the man came from the town that day in order to meet Jesus.</w:t>
      </w:r>
    </w:p>
    <w:p>
      <w:pPr>
        <w:pStyle w:val="Heading5"/>
      </w:pPr>
      <w:r>
        <w:rPr>
          <w:lang w:val="en_US" w:bidi="en_US"/>
        </w:rPr>
        <w:t>8:27c</w:t>
      </w:r>
    </w:p>
    <w:p>
      <w:pPr/>
      <w:r>
        <w:rPr>
          <w:lang w:val="en_US" w:bidi="en_US"/>
        </w:rPr>
      </w:r>
      <w:r>
        <w:rPr>
          <w:b/>
          <w:lang w:val="en_US" w:bidi="en_US"/>
        </w:rPr>
        <w:t>For a long time this man had not worn clothing</w:t>
      </w:r>
    </w:p>
    <w:p>
      <w:pPr>
        <w:pStyle w:val="ListBullet"/>
        <w:spacing w:line="240" w:lineRule="auto"/>
        <w:ind w:left="720"/>
      </w:pPr>
      <w:r>
        <w:rPr>
          <w:lang w:val="en_US" w:bidi="en_US"/>
        </w:rPr>
      </w:r>
      <w:r>
        <w:rPr>
          <w:lang w:val="en_US" w:bidi="en_US"/>
        </w:rPr>
        <w:t>For a long time this man had been naked,</w:t>
      </w:r>
    </w:p>
    <w:p>
      <w:pPr>
        <w:pStyle w:val="ListBullet"/>
        <w:spacing w:line="240" w:lineRule="auto"/>
        <w:ind w:left="720"/>
      </w:pPr>
      <w:r>
        <w:rPr>
          <w:lang w:val="en_US" w:bidi="en_US"/>
        </w:rPr>
      </w:r>
      <w:r>
        <w:rPr>
          <w:lang w:val="en_US" w:bidi="en_US"/>
        </w:rPr>
        <w:t>and he had not put on clothes for a long time.</w:t>
      </w:r>
    </w:p>
    <w:p>
      <w:pPr>
        <w:pStyle w:val="Heading5"/>
      </w:pPr>
      <w:r>
        <w:rPr>
          <w:lang w:val="en_US" w:bidi="en_US"/>
        </w:rPr>
        <w:t>8:27d</w:t>
      </w:r>
    </w:p>
    <w:p>
      <w:pPr/>
      <w:r>
        <w:rPr>
          <w:lang w:val="en_US" w:bidi="en_US"/>
        </w:rPr>
      </w:r>
      <w:r>
        <w:rPr>
          <w:b/>
          <w:lang w:val="en_US" w:bidi="en_US"/>
        </w:rPr>
        <w:t>or lived in a house,</w:t>
      </w:r>
    </w:p>
    <w:p>
      <w:pPr>
        <w:pStyle w:val="ListBullet"/>
        <w:spacing w:line="240" w:lineRule="auto"/>
        <w:ind w:left="720"/>
      </w:pPr>
      <w:r>
        <w:rPr>
          <w:lang w:val="en_US" w:bidi="en_US"/>
        </w:rPr>
      </w:r>
      <w:r>
        <w:rPr>
          <w:lang w:val="en_US" w:bidi="en_US"/>
        </w:rPr>
        <w:t>and he had not dwelled/stayed in a house,</w:t>
      </w:r>
    </w:p>
    <w:p>
      <w:pPr>
        <w:pStyle w:val="ListBullet"/>
        <w:spacing w:line="240" w:lineRule="auto"/>
        <w:ind w:left="720"/>
      </w:pPr>
      <w:r>
        <w:rPr>
          <w:lang w:val="en_US" w:bidi="en_US"/>
        </w:rPr>
      </w:r>
      <w:r>
        <w:rPr>
          <w:lang w:val="en_US" w:bidi="en_US"/>
        </w:rPr>
        <w:t>He also was not living in a house,</w:t>
      </w:r>
    </w:p>
    <w:p>
      <w:pPr>
        <w:pStyle w:val="Heading5"/>
      </w:pPr>
      <w:r>
        <w:rPr>
          <w:lang w:val="en_US" w:bidi="en_US"/>
        </w:rPr>
        <w:t>8:27e</w:t>
      </w:r>
    </w:p>
    <w:p>
      <w:pPr/>
      <w:r>
        <w:rPr>
          <w:lang w:val="en_US" w:bidi="en_US"/>
        </w:rPr>
      </w:r>
      <w:r>
        <w:rPr>
          <w:b/>
          <w:lang w:val="en_US" w:bidi="en_US"/>
        </w:rPr>
        <w:t>but he stayed in the tombs.</w:t>
      </w:r>
    </w:p>
    <w:p>
      <w:pPr>
        <w:pStyle w:val="ListBullet"/>
        <w:spacing w:line="240" w:lineRule="auto"/>
        <w:ind w:left="720"/>
      </w:pPr>
      <w:r>
        <w:rPr>
          <w:lang w:val="en_US" w:bidi="en_US"/>
        </w:rPr>
      </w:r>
      <w:r>
        <w:rPr>
          <w:lang w:val="en_US" w:bidi="en_US"/>
        </w:rPr>
        <w:t>but he dwelled/stayed in burial caves.</w:t>
      </w:r>
    </w:p>
    <w:p>
      <w:pPr>
        <w:pStyle w:val="ListBullet"/>
        <w:spacing w:line="240" w:lineRule="auto"/>
        <w:ind w:left="720"/>
      </w:pPr>
      <w:r>
        <w:rPr>
          <w:lang w:val="en_US" w:bidi="en_US"/>
        </w:rPr>
      </w:r>
      <w:r>
        <w:rPr>
          <w:lang w:val="en_US" w:bidi="en_US"/>
        </w:rPr>
        <w:t>but instead he stayed in caves where dead bodies were put.</w:t>
      </w:r>
    </w:p>
    <w:p>
      <w:pPr>
        <w:pStyle w:val="Heading5"/>
      </w:pPr>
      <w:r>
        <w:rPr>
          <w:lang w:val="en_US" w:bidi="en_US"/>
        </w:rPr>
        <w:t>8:27c–e</w:t>
      </w:r>
    </w:p>
    <w:p>
      <w:pPr/>
      <w:r>
        <w:rPr>
          <w:lang w:val="en_US" w:bidi="en_US"/>
        </w:rPr>
      </w:r>
      <w:r>
        <w:rPr>
          <w:lang w:val="en_US" w:bidi="en_US"/>
        </w:rPr>
        <w:t>In 8:27c–e the text gives background information about the man whom Jesus met. It tells three things that had been true about his situation for a long time:</w:t>
      </w:r>
    </w:p>
    <w:p>
      <w:pPr>
        <w:pStyle w:val="ListNumber"/>
        <w:numPr>
          <w:ilvl w:val="0"/>
          <w:numId w:val="183"/>
        </w:numPr>
        <w:spacing w:line="240" w:lineRule="auto"/>
        <w:ind w:left="720"/>
      </w:pPr>
      <w:r>
        <w:rPr>
          <w:lang w:val="en_US" w:bidi="en_US"/>
        </w:rPr>
      </w:r>
      <w:r>
        <w:rPr>
          <w:lang w:val="en_US" w:bidi="en_US"/>
        </w:rPr>
        <w:t>He had not worn clothes for a long time;</w:t>
      </w:r>
    </w:p>
    <w:p>
      <w:pPr>
        <w:pStyle w:val="ListNumber"/>
        <w:spacing w:line="240" w:lineRule="auto"/>
        <w:ind w:left="720"/>
      </w:pPr>
      <w:r>
        <w:rPr>
          <w:lang w:val="en_US" w:bidi="en_US"/>
        </w:rPr>
      </w:r>
      <w:r>
        <w:rPr>
          <w:lang w:val="en_US" w:bidi="en_US"/>
        </w:rPr>
        <w:t>he had not lived in a house for a long time;</w:t>
      </w:r>
    </w:p>
    <w:p>
      <w:pPr>
        <w:pStyle w:val="ListNumber"/>
        <w:spacing w:line="240" w:lineRule="auto"/>
        <w:ind w:left="720"/>
      </w:pPr>
      <w:r>
        <w:rPr>
          <w:lang w:val="en_US" w:bidi="en_US"/>
        </w:rPr>
      </w:r>
      <w:r>
        <w:rPr>
          <w:lang w:val="en_US" w:bidi="en_US"/>
        </w:rPr>
        <w:t>he had lived in the tombs for a long time.</w:t>
      </w:r>
    </w:p>
    <w:p>
      <w:pPr/>
      <w:r>
        <w:rPr>
          <w:lang w:val="en_US" w:bidi="en_US"/>
        </w:rPr>
      </w:r>
      <w:r>
        <w:rPr>
          <w:lang w:val="en_US" w:bidi="en_US"/>
        </w:rPr>
        <w:t>The facts in (b) and (c) contrast with each other. He did not live in a house but in the tombs. There are different ways to connect these facts and different orders in which to arrange them. For example:</w:t>
      </w:r>
    </w:p>
    <w:p>
      <w:pPr/>
      <w:r>
        <w:rPr>
          <w:lang w:val="en_US" w:bidi="en_US"/>
        </w:rPr>
      </w:r>
      <w:r>
        <w:rPr>
          <w:lang w:val="en_US" w:bidi="en_US"/>
        </w:rPr>
        <w:t xml:space="preserve">For a long time he had been </w:t>
      </w:r>
      <w:r>
        <w:rPr>
          <w:vertAlign w:val="superscript"/>
          <w:lang w:val="en_US" w:bidi="en_US"/>
        </w:rPr>
        <w:t>27d</w:t>
      </w:r>
      <w:r>
        <w:rPr>
          <w:lang w:val="en_US" w:bidi="en_US"/>
        </w:rPr>
        <w:t xml:space="preserve">homeless </w:t>
      </w:r>
      <w:r>
        <w:rPr>
          <w:vertAlign w:val="superscript"/>
          <w:lang w:val="en_US" w:bidi="en_US"/>
        </w:rPr>
        <w:t>27c</w:t>
      </w:r>
      <w:r>
        <w:rPr>
          <w:lang w:val="en_US" w:bidi="en_US"/>
        </w:rPr>
        <w:t xml:space="preserve">and naked, </w:t>
      </w:r>
      <w:r>
        <w:rPr>
          <w:vertAlign w:val="superscript"/>
          <w:lang w:val="en_US" w:bidi="en_US"/>
        </w:rPr>
        <w:t>27e</w:t>
      </w:r>
      <w:r>
        <w:rPr>
          <w:lang w:val="en_US" w:bidi="en_US"/>
        </w:rPr>
        <w:t>living in a cemetery outside the town. (NLT)</w:t>
      </w:r>
    </w:p>
    <w:p>
      <w:pPr/>
      <w:r>
        <w:rPr>
          <w:lang w:val="en_US" w:bidi="en_US"/>
        </w:rPr>
      </w:r>
      <w:r>
        <w:rPr>
          <w:lang w:val="en_US" w:bidi="en_US"/>
        </w:rPr>
        <w:t xml:space="preserve">For a long time </w:t>
      </w:r>
      <w:r>
        <w:rPr>
          <w:vertAlign w:val="superscript"/>
          <w:lang w:val="en_US" w:bidi="en_US"/>
        </w:rPr>
        <w:t>27c</w:t>
      </w:r>
      <w:r>
        <w:rPr>
          <w:lang w:val="en_US" w:bidi="en_US"/>
        </w:rPr>
        <w:t xml:space="preserve">he had worn no clothes </w:t>
      </w:r>
      <w:r>
        <w:rPr>
          <w:vertAlign w:val="superscript"/>
          <w:lang w:val="en_US" w:bidi="en_US"/>
        </w:rPr>
        <w:t>27e</w:t>
      </w:r>
      <w:r>
        <w:rPr>
          <w:lang w:val="en_US" w:bidi="en_US"/>
        </w:rPr>
        <w:t xml:space="preserve">and had lived in the burial caves, </w:t>
      </w:r>
      <w:r>
        <w:rPr>
          <w:vertAlign w:val="superscript"/>
          <w:lang w:val="en_US" w:bidi="en_US"/>
        </w:rPr>
        <w:t>27d</w:t>
      </w:r>
      <w:r>
        <w:rPr>
          <w:lang w:val="en_US" w:bidi="en_US"/>
        </w:rPr>
        <w:t>not in a house. (NCV)</w:t>
      </w:r>
    </w:p>
    <w:p>
      <w:pPr/>
      <w:r>
        <w:rPr>
          <w:lang w:val="en_US" w:bidi="en_US"/>
        </w:rPr>
      </w:r>
      <w:r>
        <w:rPr>
          <w:lang w:val="en_US" w:bidi="en_US"/>
        </w:rPr>
        <w:t>The GW expresses the fact that the man was demon-possessed as another part of the background information:</w:t>
      </w:r>
      <w:r>
        <w:rPr>
          <w:lang w:val="en_US" w:bidi="en_US"/>
        </w:rPr>
        <w:t>There is a textual issue here that relates to the phrase that the BSB translates as “for a long time.” (1) Many Greek manuscripts connect this phrase to the clause “this man had not worn clothes.” Almost all English versions follow these manuscripts. (2) Other Greek manuscripts connect this phrase to the phrase that is literally “having demons.” The KJV is the only major English version that follows these manuscripts. It is recommended that you follow option (1) and the majority of English versions. However, if the major language version in your area follows option (2), you may choose to mention it in a footnote. For example: “Some Greek manuscripts and the [national language version] relate the phrase “for a long time” to the phrase “having demons.”</w:t>
      </w:r>
    </w:p>
    <w:p>
      <w:pPr/>
      <w:r>
        <w:rPr>
          <w:lang w:val="en_US" w:bidi="en_US"/>
        </w:rPr>
      </w:r>
      <w:r>
        <w:rPr>
          <w:lang w:val="en_US" w:bidi="en_US"/>
        </w:rPr>
        <w:t>The man was possessed by demons and had not worn clothes for a long time. He would not stay in a house but lived in the tombs.</w:t>
      </w:r>
    </w:p>
    <w:p>
      <w:pPr/>
      <w:r>
        <w:rPr>
          <w:lang w:val="en_US" w:bidi="en_US"/>
        </w:rPr>
      </w:r>
      <w:r>
        <w:rPr>
          <w:lang w:val="en_US" w:bidi="en_US"/>
        </w:rPr>
        <w:t>Express the background information in a natural way and order in your language.</w:t>
      </w:r>
    </w:p>
    <w:p>
      <w:pPr/>
      <w:r>
        <w:rPr>
          <w:lang w:val="en_US" w:bidi="en_US"/>
        </w:rPr>
      </w:r>
      <w:r>
        <w:rPr>
          <w:b/>
          <w:lang w:val="en_US" w:bidi="en_US"/>
        </w:rPr>
        <w:t>in the tombs:</w:t>
      </w:r>
      <w:r>
        <w:rPr>
          <w:lang w:val="en_US" w:bidi="en_US"/>
        </w:rPr>
        <w:t xml:space="preserve"> The Greek phrase that the BSB translates as </w:t>
      </w:r>
      <w:r>
        <w:rPr>
          <w:i/>
          <w:lang w:val="en_US" w:bidi="en_US"/>
        </w:rPr>
        <w:t>the tombs</w:t>
      </w:r>
      <w:r>
        <w:rPr>
          <w:lang w:val="en_US" w:bidi="en_US"/>
        </w:rPr>
        <w:t xml:space="preserve"> refers to places where people placed dead bodies. In that area, a tomb was either a cave or a small room cut out of a rock hillside. It may be helpful to say something like:</w:t>
      </w:r>
    </w:p>
    <w:p>
      <w:pPr/>
      <w:r>
        <w:rPr>
          <w:lang w:val="en_US" w:bidi="en_US"/>
        </w:rPr>
      </w:r>
      <w:r>
        <w:rPr>
          <w:lang w:val="en_US" w:bidi="en_US"/>
        </w:rPr>
        <w:t>had lived in caves where dead bodies were put</w:t>
      </w:r>
    </w:p>
    <w:p>
      <w:pPr/>
      <w:r>
        <w:rPr>
          <w:lang w:val="en_US" w:bidi="en_US"/>
        </w:rPr>
      </w:r>
      <w:r>
        <w:rPr>
          <w:lang w:val="en_US" w:bidi="en_US"/>
        </w:rPr>
        <w:t xml:space="preserve">The man probably actually lived </w:t>
      </w:r>
      <w:r>
        <w:rPr>
          <w:u w:val="single"/>
          <w:lang w:val="en_US" w:bidi="en_US"/>
        </w:rPr>
        <w:t>in</w:t>
      </w:r>
      <w:r>
        <w:rPr>
          <w:lang w:val="en_US" w:bidi="en_US"/>
        </w:rPr>
        <w:t xml:space="preserve"> them, not just </w:t>
      </w:r>
      <w:r>
        <w:rPr>
          <w:u w:val="single"/>
          <w:lang w:val="en_US" w:bidi="en_US"/>
        </w:rPr>
        <w:t>among</w:t>
      </w:r>
      <w:r>
        <w:rPr>
          <w:lang w:val="en_US" w:bidi="en_US"/>
        </w:rPr>
        <w:t xml:space="preserve"> them. In some languages it is not natural to say that someone lived </w:t>
      </w:r>
      <w:r>
        <w:rPr>
          <w:u w:val="single"/>
          <w:lang w:val="en_US" w:bidi="en_US"/>
        </w:rPr>
        <w:t>in</w:t>
      </w:r>
      <w:r>
        <w:rPr>
          <w:lang w:val="en_US" w:bidi="en_US"/>
        </w:rPr>
        <w:t xml:space="preserve"> the place where dead people are buried or bones are kept. If this is true in your language, you may need to say that the man lived </w:t>
      </w:r>
      <w:r>
        <w:rPr>
          <w:u w:val="single"/>
          <w:lang w:val="en_US" w:bidi="en_US"/>
        </w:rPr>
        <w:t>at</w:t>
      </w:r>
      <w:r>
        <w:rPr>
          <w:lang w:val="en_US" w:bidi="en_US"/>
        </w:rPr>
        <w:t xml:space="preserve"> that general place. For example:</w:t>
      </w:r>
    </w:p>
    <w:p>
      <w:pPr/>
      <w:r>
        <w:rPr>
          <w:lang w:val="en_US" w:bidi="en_US"/>
        </w:rPr>
      </w:r>
      <w:r>
        <w:rPr>
          <w:u w:val="single"/>
          <w:lang w:val="en_US" w:bidi="en_US"/>
        </w:rPr>
        <w:t>among</w:t>
      </w:r>
      <w:r>
        <w:rPr>
          <w:lang w:val="en_US" w:bidi="en_US"/>
        </w:rPr>
        <w:t xml:space="preserve"> the tombs</w:t>
      </w:r>
    </w:p>
    <w:p>
      <w:pPr/>
      <w:r>
        <w:rPr>
          <w:lang w:val="en_US" w:bidi="en_US"/>
        </w:rPr>
      </w:r>
      <w:r>
        <w:rPr>
          <w:u w:val="single"/>
          <w:lang w:val="en_US" w:bidi="en_US"/>
        </w:rPr>
        <w:t>at</w:t>
      </w:r>
      <w:r>
        <w:rPr>
          <w:lang w:val="en_US" w:bidi="en_US"/>
        </w:rPr>
        <w:t xml:space="preserve"> the cemetery</w:t>
      </w:r>
    </w:p>
    <w:p>
      <w:pPr/>
      <w:r>
        <w:rPr>
          <w:lang w:val="en_US" w:bidi="en_US"/>
        </w:rPr>
      </w:r>
      <w:r>
        <w:rPr>
          <w:u w:val="single"/>
          <w:lang w:val="en_US" w:bidi="en_US"/>
        </w:rPr>
        <w:t>at a place where</w:t>
      </w:r>
      <w:r>
        <w:rPr>
          <w:lang w:val="en_US" w:bidi="en_US"/>
        </w:rPr>
        <w:t xml:space="preserve"> dead bodies are put</w:t>
      </w:r>
    </w:p>
    <w:p>
      <w:pPr/>
      <w:r>
        <w:rPr>
          <w:lang w:val="en_US" w:bidi="en_US"/>
        </w:rPr>
      </w:r>
      <w:r>
        <w:rPr>
          <w:lang w:val="en_US" w:bidi="en_US"/>
        </w:rPr>
        <w:t>You may also want to consider using a footnote to explain the burial practices of the Jews and other peoples who lived nearby. For example:</w:t>
      </w:r>
    </w:p>
    <w:p>
      <w:pPr/>
      <w:r>
        <w:rPr>
          <w:lang w:val="en_US" w:bidi="en_US"/>
        </w:rPr>
      </w:r>
      <w:r>
        <w:rPr>
          <w:lang w:val="en_US" w:bidi="en_US"/>
        </w:rPr>
        <w:t>It was customary for Jews and nearby peoples to put the dead in natural caves or caves that were cut into rock hillsides.</w:t>
      </w:r>
      <w:r>
        <w:rPr>
          <w:lang w:val="en_US" w:bidi="en_US"/>
        </w:rPr>
      </w:r>
      <w:r>
        <w:rPr>
          <w:lang w:val="en_US" w:bidi="en_US"/>
        </w:rPr>
      </w:r>
    </w:p>
    <w:p>
      <w:pPr/>
      <w:r>
        <w:rPr>
          <w:lang w:val="en_US" w:bidi="en_US"/>
        </w:rPr>
      </w:r>
    </w:p>
    <w:p>
      <w:pPr>
        <w:pStyle w:val="Heading2"/>
      </w:pPr>
      <w:r>
        <w:rPr>
          <w:lang w:val="en_US" w:bidi="en_US"/>
        </w:rPr>
        <w:t>Luke 8:28</w:t>
      </w:r>
      <w:r>
        <w:rPr>
          <w:lang w:val="en_US" w:bidi="en_US"/>
        </w:rPr>
      </w:r>
    </w:p>
    <w:p>
      <w:pPr>
        <w:pStyle w:val="Heading4"/>
      </w:pPr>
      <w:r>
        <w:rPr>
          <w:lang w:val="en_US" w:bidi="en_US"/>
        </w:rPr>
        <w:t>Section 8:26–39: Jesus freed a man whom many demons controlled</w:t>
      </w:r>
    </w:p>
    <w:p>
      <w:pPr/>
      <w:r>
        <w:rPr>
          <w:lang w:val="en_US" w:bidi="en_US"/>
        </w:rPr>
      </w:r>
      <w:r>
        <w:rPr>
          <w:lang w:val="en_US" w:bidi="en_US"/>
        </w:rP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pPr/>
      <w:r>
        <w:rPr>
          <w:lang w:val="en_US" w:bidi="en_US"/>
        </w:rPr>
      </w:r>
      <w:r>
        <w:rPr>
          <w:lang w:val="en_US" w:bidi="en_US"/>
        </w:rPr>
        <w:t>“Uncleanness” is a theme in this story. The spirits that controlled the man were considered “unclean” (and called “unclean” in 8:29a). Tombs were “unclean.” Jews also considered pigs to be “unclean.”</w:t>
      </w:r>
    </w:p>
    <w:p>
      <w:pPr/>
      <w:r>
        <w:rPr>
          <w:lang w:val="en_US" w:bidi="en_US"/>
        </w:rPr>
      </w:r>
      <w:r>
        <w:rPr>
          <w:lang w:val="en_US" w:bidi="en_US"/>
        </w:rP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pPr/>
      <w:r>
        <w:rPr>
          <w:lang w:val="en_US" w:bidi="en_US"/>
        </w:rPr>
      </w:r>
      <w:r>
        <w:rPr>
          <w:lang w:val="en_US" w:bidi="en_US"/>
        </w:rPr>
        <w:t>Some other possible headings for this section are:</w:t>
      </w:r>
    </w:p>
    <w:p>
      <w:pPr/>
      <w:r>
        <w:rPr>
          <w:lang w:val="en_US" w:bidi="en_US"/>
        </w:rPr>
      </w:r>
      <w:r>
        <w:rPr>
          <w:lang w:val="en_US" w:bidi="en_US"/>
        </w:rPr>
        <w:t>Jesus commanded many demons to leave a man</w:t>
      </w:r>
    </w:p>
    <w:p>
      <w:pPr/>
      <w:r>
        <w:rPr>
          <w:lang w:val="en_US" w:bidi="en_US"/>
        </w:rPr>
      </w:r>
      <w:r>
        <w:rPr>
          <w:lang w:val="en_US" w:bidi="en_US"/>
        </w:rPr>
        <w:t>The deliverance of a man who was controlled by many demons</w:t>
      </w:r>
    </w:p>
    <w:p>
      <w:pPr/>
      <w:r>
        <w:rPr>
          <w:lang w:val="en_US" w:bidi="en_US"/>
        </w:rPr>
      </w:r>
      <w:r>
        <w:rPr>
          <w:lang w:val="en_US" w:bidi="en_US"/>
        </w:rPr>
        <w:t>There are parallel passages for this section in Matthew 8:28–34 and Mark 5:1–20.</w:t>
      </w:r>
    </w:p>
    <w:p>
      <w:pPr>
        <w:pStyle w:val="Heading4"/>
      </w:pPr>
      <w:r>
        <w:rPr>
          <w:lang w:val="en_US" w:bidi="en_US"/>
        </w:rPr>
        <w:t>Paragraph 8:26–33</w:t>
      </w:r>
    </w:p>
    <w:p>
      <w:pPr/>
      <w:r>
        <w:rPr>
          <w:lang w:val="en_US" w:bidi="en_US"/>
        </w:rPr>
      </w:r>
      <w:r>
        <w:rPr>
          <w:lang w:val="en_US" w:bidi="en_US"/>
        </w:rPr>
        <w:t>In this paragraph Luke told about events that happened when Jesus and his disciples came to the other side of the lake. Several times Luke inserted background information about the past. In some languages speakers often shift in this way between telling events and giving background information to explain them. Use natural ways to do this in your language.</w:t>
      </w:r>
    </w:p>
    <w:p>
      <w:pPr/>
      <w:r>
        <w:rPr>
          <w:lang w:val="en_US" w:bidi="en_US"/>
        </w:rPr>
      </w:r>
      <w:r>
        <w:rPr>
          <w:lang w:val="en_US" w:bidi="en_US"/>
        </w:rPr>
        <w:t>In some languages this shift between actions and background information may be confusing. You may need to change the order of some information in these verses. See the General Comment on 8:27a–28a at the end of the notes on 8:28a and the longer General Comment on 8:27–29 at the end of the notes on 8:29e for suggestions.</w:t>
      </w:r>
    </w:p>
    <w:p>
      <w:pPr>
        <w:pStyle w:val="Heading5"/>
      </w:pPr>
      <w:r>
        <w:rPr>
          <w:lang w:val="en_US" w:bidi="en_US"/>
        </w:rPr>
        <w:t>8:28</w:t>
      </w:r>
    </w:p>
    <w:p>
      <w:pPr/>
      <w:r>
        <w:rPr>
          <w:lang w:val="en_US" w:bidi="en_US"/>
        </w:rPr>
      </w:r>
      <w:r>
        <w:rPr>
          <w:lang w:val="en_US" w:bidi="en_US"/>
        </w:rPr>
        <w:t>This verse describes in more detail what the man did when he “met” Jesus. Some of the man’s actions, such as seeing Jesus and crying out, happened before he actually came and met Jesus.</w:t>
      </w:r>
    </w:p>
    <w:p>
      <w:pPr/>
      <w:r>
        <w:rPr>
          <w:lang w:val="en_US" w:bidi="en_US"/>
        </w:rPr>
      </w:r>
      <w:r>
        <w:rPr>
          <w:lang w:val="en_US" w:bidi="en_US"/>
        </w:rPr>
        <w:t>The man did these actions himself, but it is clear that the demons in him caused him to fall at Jesus’ feet and shout. In some languages there may be a special way to describe actions that a person does when controlled by a spirit. If that is true in your language, consider whether you can use it here.</w:t>
      </w:r>
    </w:p>
    <w:p>
      <w:pPr>
        <w:pStyle w:val="Heading5"/>
      </w:pPr>
      <w:r>
        <w:rPr>
          <w:lang w:val="en_US" w:bidi="en_US"/>
        </w:rPr>
        <w:t>8:28a</w:t>
      </w:r>
    </w:p>
    <w:p>
      <w:pPr/>
      <w:r>
        <w:rPr>
          <w:lang w:val="en_US" w:bidi="en_US"/>
        </w:rPr>
      </w:r>
      <w:r>
        <w:rPr>
          <w:b/>
          <w:lang w:val="en_US" w:bidi="en_US"/>
        </w:rPr>
        <w:t>When the man saw Jesus, he cried out and fell down before Him,</w:t>
      </w:r>
    </w:p>
    <w:p>
      <w:pPr>
        <w:pStyle w:val="ListBullet"/>
        <w:spacing w:line="240" w:lineRule="auto"/>
        <w:ind w:left="720"/>
      </w:pPr>
      <w:r>
        <w:rPr>
          <w:lang w:val="en_US" w:bidi="en_US"/>
        </w:rPr>
      </w:r>
      <w:r>
        <w:rPr>
          <w:lang w:val="en_US" w:bidi="en_US"/>
        </w:rPr>
        <w:t xml:space="preserve">When he saw Jesus, he screamed. </w:t>
      </w:r>
      <w:r>
        <w:rPr>
          <w:lang w:val="en_US" w:bidi="en_US"/>
        </w:rPr>
        <w:t>Then</w:t>
      </w:r>
      <w:r>
        <w:rPr>
          <w:lang w:val="en_US" w:bidi="en_US"/>
        </w:rPr>
        <w:t xml:space="preserve"> he knelt down at </w:t>
      </w:r>
      <w:r>
        <w:rPr>
          <w:lang w:val="en_US" w:bidi="en_US"/>
        </w:rPr>
        <w:t>Jesus’</w:t>
      </w:r>
      <w:r>
        <w:rPr>
          <w:lang w:val="en_US" w:bidi="en_US"/>
        </w:rPr>
        <w:t xml:space="preserve"> feet</w:t>
      </w:r>
    </w:p>
    <w:p>
      <w:pPr>
        <w:pStyle w:val="ListBullet"/>
        <w:spacing w:line="240" w:lineRule="auto"/>
        <w:ind w:left="720"/>
      </w:pPr>
      <w:r>
        <w:rPr>
          <w:lang w:val="en_US" w:bidi="en_US"/>
        </w:rPr>
      </w:r>
      <w:r>
        <w:rPr>
          <w:lang w:val="en_US" w:bidi="en_US"/>
        </w:rPr>
        <w:t>The man</w:t>
      </w:r>
      <w:r>
        <w:rPr>
          <w:lang w:val="en_US" w:bidi="en_US"/>
        </w:rPr>
        <w:t xml:space="preserve"> saw </w:t>
      </w:r>
      <w:r>
        <w:rPr>
          <w:lang w:val="en_US" w:bidi="en_US"/>
        </w:rPr>
        <w:t>and recognized</w:t>
      </w:r>
      <w:r>
        <w:rPr>
          <w:lang w:val="en_US" w:bidi="en_US"/>
        </w:rPr>
        <w:t xml:space="preserve"> Jesus and screamed. </w:t>
      </w:r>
      <w:r>
        <w:rPr>
          <w:lang w:val="en_US" w:bidi="en_US"/>
        </w:rPr>
        <w:t>Then</w:t>
      </w:r>
      <w:r>
        <w:rPr>
          <w:lang w:val="en_US" w:bidi="en_US"/>
        </w:rPr>
        <w:t xml:space="preserve"> he </w:t>
      </w:r>
      <w:r>
        <w:rPr>
          <w:lang w:val="en_US" w:bidi="en_US"/>
        </w:rPr>
        <w:t>came and</w:t>
      </w:r>
      <w:r>
        <w:rPr>
          <w:lang w:val="en_US" w:bidi="en_US"/>
        </w:rPr>
        <w:t xml:space="preserve"> dropped to the ground in front of him </w:t>
      </w:r>
      <w:r>
        <w:rPr>
          <w:lang w:val="en_US" w:bidi="en_US"/>
        </w:rPr>
        <w:t>to show submission</w:t>
      </w:r>
      <w:r>
        <w:rPr>
          <w:lang w:val="en_US" w:bidi="en_US"/>
        </w:rPr>
        <w:t>.</w:t>
      </w:r>
    </w:p>
    <w:p>
      <w:pPr/>
      <w:r>
        <w:rPr>
          <w:lang w:val="en_US" w:bidi="en_US"/>
        </w:rPr>
      </w:r>
      <w:r>
        <w:rPr>
          <w:lang w:val="en_US" w:bidi="en_US"/>
        </w:rPr>
        <w:t>This verse continues the action that was introduced in a general way in 8:27b and followed by background information in 8:27c–e. Languages have different ways to begin the action of a story again after giving background information. Use a natural way in your language to do that here.</w:t>
      </w:r>
    </w:p>
    <w:p>
      <w:pPr/>
      <w:r>
        <w:rPr>
          <w:lang w:val="en_US" w:bidi="en_US"/>
        </w:rPr>
      </w:r>
      <w:r>
        <w:rPr>
          <w:lang w:val="en_US" w:bidi="en_US"/>
        </w:rPr>
        <w:t>In some languages you may need to give the information in a different order. See the General Comment on 8:27a–28a at the end of the notes on 8:28a for a suggestion on how to reorder the verses.</w:t>
      </w:r>
    </w:p>
    <w:p>
      <w:pPr/>
      <w:r>
        <w:rPr>
          <w:lang w:val="en_US" w:bidi="en_US"/>
        </w:rPr>
      </w:r>
      <w:r>
        <w:rPr>
          <w:b/>
          <w:lang w:val="en_US" w:bidi="en_US"/>
        </w:rPr>
        <w:t>When the man saw Jesus:</w:t>
      </w:r>
      <w:r>
        <w:rPr>
          <w:lang w:val="en_US" w:bidi="en_US"/>
        </w:rPr>
        <w:t xml:space="preserve"> The demons living in the man realized who Jesus was. Mark 5:6 states that the man saw Jesus “from a distance.” That is probably the meaning here also. The man first saw Jesus from a distance. Then the demons recognized him and caused the man to cry out and come to where Jesus was.</w:t>
      </w:r>
    </w:p>
    <w:p>
      <w:pPr/>
      <w:r>
        <w:rPr>
          <w:lang w:val="en_US" w:bidi="en_US"/>
        </w:rPr>
      </w:r>
      <w:r>
        <w:rPr>
          <w:b/>
          <w:lang w:val="en_US" w:bidi="en_US"/>
        </w:rPr>
        <w:t>he cried out:</w:t>
      </w:r>
      <w:r>
        <w:rPr>
          <w:lang w:val="en_US" w:bidi="en_US"/>
        </w:rPr>
        <w:t xml:space="preserve"> Here the man probably screamed or gave a cry that was noise, but not words. In 8:28b–c he shouted out words.</w:t>
      </w:r>
    </w:p>
    <w:p>
      <w:pPr/>
      <w:r>
        <w:rPr>
          <w:lang w:val="en_US" w:bidi="en_US"/>
        </w:rPr>
      </w:r>
      <w:r>
        <w:rPr>
          <w:b/>
          <w:lang w:val="en_US" w:bidi="en_US"/>
        </w:rPr>
        <w:t>fell down before Him:</w:t>
      </w:r>
      <w:r>
        <w:rPr>
          <w:lang w:val="en_US" w:bidi="en_US"/>
        </w:rPr>
        <w:t xml:space="preserve"> The Greek word that the BSB translates as </w:t>
      </w:r>
      <w:r>
        <w:rPr>
          <w:i/>
          <w:lang w:val="en_US" w:bidi="en_US"/>
        </w:rPr>
        <w:t>fell down before Him</w:t>
      </w:r>
      <w:r>
        <w:rPr>
          <w:lang w:val="en_US" w:bidi="en_US"/>
        </w:rPr>
        <w:t xml:space="preserve"> means to kneel, bow, or lie flat in front of someone in order to show respect. It is common for someone to bow like this in order to plead for something. In this context, the man was under the control of an evil spirit. He knelt before Jesus because the evil spirit knew that Jesus’ power was greater than his.</w:t>
      </w:r>
    </w:p>
    <w:p>
      <w:pPr/>
      <w:r>
        <w:rPr>
          <w:lang w:val="en_US" w:bidi="en_US"/>
        </w:rPr>
      </w:r>
      <w:r>
        <w:rPr>
          <w:lang w:val="en_US" w:bidi="en_US"/>
        </w:rPr>
        <w:t>See how you translated the similar expressions at 5:8b and 5:12c.</w:t>
      </w:r>
    </w:p>
    <w:p>
      <w:pPr/>
      <w:r>
        <w:rPr>
          <w:lang w:val="en_US" w:bidi="en_US"/>
        </w:rPr>
      </w:r>
      <w:r>
        <w:rPr>
          <w:lang w:val="en_US" w:bidi="en_US"/>
        </w:rPr>
        <w:t xml:space="preserve">That the man bowed down in front of Jesus implies that he </w:t>
      </w:r>
      <w:r>
        <w:rPr>
          <w:u w:val="single"/>
          <w:lang w:val="en_US" w:bidi="en_US"/>
        </w:rPr>
        <w:t>came</w:t>
      </w:r>
      <w:r>
        <w:rPr>
          <w:lang w:val="en_US" w:bidi="en_US"/>
        </w:rPr>
        <w:t xml:space="preserve"> to Jesus (and this was also said in 8:27b). In some languages, it may be natural to make this explicit. For example:</w:t>
      </w:r>
    </w:p>
    <w:p>
      <w:pPr/>
      <w:r>
        <w:rPr>
          <w:lang w:val="en_US" w:bidi="en_US"/>
        </w:rPr>
      </w:r>
      <w:r>
        <w:rPr>
          <w:lang w:val="en_US" w:bidi="en_US"/>
        </w:rPr>
        <w:t xml:space="preserve">he </w:t>
      </w:r>
      <w:r>
        <w:rPr>
          <w:u w:val="single"/>
          <w:lang w:val="en_US" w:bidi="en_US"/>
        </w:rPr>
        <w:t>came to Jesus</w:t>
      </w:r>
      <w:r>
        <w:rPr>
          <w:lang w:val="en_US" w:bidi="en_US"/>
        </w:rPr>
        <w:t xml:space="preserve"> and bowed down in front of him</w:t>
      </w:r>
    </w:p>
    <w:p>
      <w:pPr>
        <w:pStyle w:val="Heading6"/>
      </w:pPr>
      <w:r>
        <w:rPr>
          <w:b/>
          <w:lang w:val="en_US" w:bidi="en_US"/>
        </w:rPr>
        <w:t>General Comment on 8:27a–28a</w:t>
      </w:r>
    </w:p>
    <w:p>
      <w:pPr/>
      <w:r>
        <w:rPr>
          <w:lang w:val="en_US" w:bidi="en_US"/>
        </w:rPr>
      </w:r>
      <w:r>
        <w:rPr>
          <w:lang w:val="en_US" w:bidi="en_US"/>
        </w:rPr>
        <w:t>In some languages, it may be more natural to tell the events in 8:27–28 in a different order or to give background information first. Here is one example:</w:t>
      </w:r>
    </w:p>
    <w:p>
      <w:pPr/>
      <w:r>
        <w:rPr>
          <w:lang w:val="en_US" w:bidi="en_US"/>
        </w:rPr>
      </w:r>
      <w:r>
        <w:rPr>
          <w:vertAlign w:val="superscript"/>
          <w:lang w:val="en_US" w:bidi="en_US"/>
        </w:rPr>
        <w:t>27a</w:t>
      </w:r>
      <w:r>
        <w:rPr>
          <w:lang w:val="en_US" w:bidi="en_US"/>
        </w:rPr>
        <w:t xml:space="preserve"> </w:t>
      </w:r>
      <w:r>
        <w:rPr>
          <w:lang w:val="en_US" w:bidi="en_US"/>
        </w:rPr>
        <w:t>On that side of the lake</w:t>
      </w:r>
      <w:r>
        <w:rPr>
          <w:lang w:val="en_US" w:bidi="en_US"/>
        </w:rPr>
        <w:t xml:space="preserve"> </w:t>
      </w:r>
      <w:r>
        <w:rPr>
          <w:vertAlign w:val="superscript"/>
          <w:lang w:val="en_US" w:bidi="en_US"/>
        </w:rPr>
        <w:t>27b</w:t>
      </w:r>
      <w:r>
        <w:rPr>
          <w:lang w:val="en_US" w:bidi="en_US"/>
        </w:rPr>
        <w:t xml:space="preserve">a man who had an evil spirit was living. He was from the town there, </w:t>
      </w:r>
      <w:r>
        <w:rPr>
          <w:vertAlign w:val="superscript"/>
          <w:lang w:val="en_US" w:bidi="en_US"/>
        </w:rPr>
        <w:t>27e</w:t>
      </w:r>
      <w:r>
        <w:rPr>
          <w:lang w:val="en_US" w:bidi="en_US"/>
        </w:rPr>
        <w:t xml:space="preserve">but he now lived in the tombs </w:t>
      </w:r>
      <w:r>
        <w:rPr>
          <w:lang w:val="en_US" w:bidi="en_US"/>
        </w:rPr>
        <w:t>near the lake</w:t>
      </w:r>
      <w:r>
        <w:rPr>
          <w:lang w:val="en_US" w:bidi="en_US"/>
        </w:rPr>
        <w:t xml:space="preserve">. </w:t>
      </w:r>
      <w:r>
        <w:rPr>
          <w:vertAlign w:val="superscript"/>
          <w:lang w:val="en_US" w:bidi="en_US"/>
        </w:rPr>
        <w:t>27d</w:t>
      </w:r>
      <w:r>
        <w:rPr>
          <w:lang w:val="en_US" w:bidi="en_US"/>
        </w:rPr>
        <w:t xml:space="preserve">For a long time, he had not lived in a house </w:t>
      </w:r>
      <w:r>
        <w:rPr>
          <w:vertAlign w:val="superscript"/>
          <w:lang w:val="en_US" w:bidi="en_US"/>
        </w:rPr>
        <w:t>27c</w:t>
      </w:r>
      <w:r>
        <w:rPr>
          <w:lang w:val="en_US" w:bidi="en_US"/>
        </w:rPr>
        <w:t xml:space="preserve">or worn clothes. </w:t>
      </w:r>
      <w:r>
        <w:rPr>
          <w:vertAlign w:val="superscript"/>
          <w:lang w:val="en_US" w:bidi="en_US"/>
        </w:rPr>
        <w:t>27a</w:t>
      </w:r>
      <w:r>
        <w:rPr>
          <w:lang w:val="en_US" w:bidi="en_US"/>
        </w:rPr>
        <w:t xml:space="preserve">As Jesus was stepping </w:t>
      </w:r>
      <w:r>
        <w:rPr>
          <w:lang w:val="en_US" w:bidi="en_US"/>
        </w:rPr>
        <w:t>out of the boat</w:t>
      </w:r>
      <w:r>
        <w:rPr>
          <w:lang w:val="en_US" w:bidi="en_US"/>
        </w:rPr>
        <w:t xml:space="preserve"> onto the land, </w:t>
      </w:r>
      <w:r>
        <w:rPr>
          <w:vertAlign w:val="superscript"/>
          <w:lang w:val="en_US" w:bidi="en_US"/>
        </w:rPr>
        <w:t>28a</w:t>
      </w:r>
      <w:r>
        <w:rPr>
          <w:lang w:val="en_US" w:bidi="en_US"/>
        </w:rPr>
        <w:t xml:space="preserve">this man saw Jesus </w:t>
      </w:r>
      <w:r>
        <w:rPr>
          <w:vertAlign w:val="superscript"/>
          <w:lang w:val="en_US" w:bidi="en_US"/>
        </w:rPr>
        <w:t>27b</w:t>
      </w:r>
      <w:r>
        <w:rPr>
          <w:lang w:val="en_US" w:bidi="en_US"/>
        </w:rPr>
        <w:t xml:space="preserve">and came to meet him. </w:t>
      </w:r>
      <w:r>
        <w:rPr>
          <w:vertAlign w:val="superscript"/>
          <w:lang w:val="en_US" w:bidi="en_US"/>
        </w:rPr>
        <w:t>28a</w:t>
      </w:r>
      <w:r>
        <w:rPr>
          <w:lang w:val="en_US" w:bidi="en_US"/>
        </w:rPr>
        <w:t>The man cried out and knelt at Jesus’ feet.</w:t>
      </w:r>
    </w:p>
    <w:p>
      <w:pPr>
        <w:pStyle w:val="Heading5"/>
      </w:pPr>
      <w:r>
        <w:rPr>
          <w:lang w:val="en_US" w:bidi="en_US"/>
        </w:rPr>
        <w:t>8:28b</w:t>
      </w:r>
    </w:p>
    <w:p>
      <w:pPr/>
      <w:r>
        <w:rPr>
          <w:lang w:val="en_US" w:bidi="en_US"/>
        </w:rPr>
      </w:r>
      <w:r>
        <w:rPr>
          <w:b/>
          <w:lang w:val="en_US" w:bidi="en_US"/>
        </w:rPr>
        <w:t>shouting in a loud voice,</w:t>
      </w:r>
    </w:p>
    <w:p>
      <w:pPr>
        <w:pStyle w:val="ListBullet"/>
        <w:spacing w:line="240" w:lineRule="auto"/>
        <w:ind w:left="720"/>
      </w:pPr>
      <w:r>
        <w:rPr>
          <w:lang w:val="en_US" w:bidi="en_US"/>
        </w:rPr>
      </w:r>
      <w:r>
        <w:rPr>
          <w:lang w:val="en_US" w:bidi="en_US"/>
        </w:rPr>
        <w:t>and shouted loudly,</w:t>
      </w:r>
    </w:p>
    <w:p>
      <w:pPr>
        <w:pStyle w:val="ListBullet"/>
        <w:spacing w:line="240" w:lineRule="auto"/>
        <w:ind w:left="720"/>
      </w:pPr>
      <w:r>
        <w:rPr>
          <w:lang w:val="en_US" w:bidi="en_US"/>
        </w:rPr>
      </w:r>
      <w:r>
        <w:rPr>
          <w:lang w:val="en_US" w:bidi="en_US"/>
        </w:rPr>
        <w:t>He yelled,</w:t>
      </w:r>
    </w:p>
    <w:p>
      <w:pPr/>
      <w:r>
        <w:rPr>
          <w:lang w:val="en_US" w:bidi="en_US"/>
        </w:rPr>
      </w:r>
      <w:r>
        <w:rPr>
          <w:b/>
          <w:lang w:val="en_US" w:bidi="en_US"/>
        </w:rPr>
        <w:t>shouting in a loud voice:</w:t>
      </w:r>
      <w:r>
        <w:rPr>
          <w:lang w:val="en_US" w:bidi="en_US"/>
        </w:rPr>
        <w:t xml:space="preserve"> The phrase </w:t>
      </w:r>
      <w:r>
        <w:rPr>
          <w:i/>
          <w:lang w:val="en_US" w:bidi="en_US"/>
        </w:rPr>
        <w:t>in a loud voice</w:t>
      </w:r>
      <w:r>
        <w:rPr>
          <w:lang w:val="en_US" w:bidi="en_US"/>
        </w:rPr>
        <w:t xml:space="preserve"> is an English idiom that means “very loudly.” The Greek phrase that the BSB translates as </w:t>
      </w:r>
      <w:r>
        <w:rPr>
          <w:i/>
          <w:lang w:val="en_US" w:bidi="en_US"/>
        </w:rPr>
        <w:t>shouting in a loud voice</w:t>
      </w:r>
      <w:r>
        <w:rPr>
          <w:lang w:val="en_US" w:bidi="en_US"/>
        </w:rPr>
        <w:t xml:space="preserve"> is literally “he said with a great/loud voice.” In some languages it may be sufficient to say “he shouted.” Use a word that is natural in your language to describe a person shouting under the influence of a demon.</w:t>
      </w:r>
    </w:p>
    <w:p>
      <w:pPr>
        <w:pStyle w:val="Heading5"/>
      </w:pPr>
      <w:r>
        <w:rPr>
          <w:lang w:val="en_US" w:bidi="en_US"/>
        </w:rPr>
        <w:t>8:28c</w:t>
      </w:r>
    </w:p>
    <w:p>
      <w:pPr/>
      <w:r>
        <w:rPr>
          <w:lang w:val="en_US" w:bidi="en_US"/>
        </w:rPr>
      </w:r>
      <w:r>
        <w:rPr>
          <w:b/>
          <w:lang w:val="en_US" w:bidi="en_US"/>
        </w:rPr>
        <w:t>“What do You want with me, Jesus, Son of the Most High God?</w:t>
      </w:r>
    </w:p>
    <w:p>
      <w:pPr>
        <w:pStyle w:val="ListBullet"/>
        <w:spacing w:line="240" w:lineRule="auto"/>
        <w:ind w:left="720"/>
      </w:pPr>
      <w:r>
        <w:rPr>
          <w:lang w:val="en_US" w:bidi="en_US"/>
        </w:rPr>
      </w:r>
      <w:r>
        <w:rPr>
          <w:lang w:val="en_US" w:bidi="en_US"/>
        </w:rPr>
        <w:t>“What connection/relation do you</w:t>
      </w:r>
      <w:r>
        <w:rPr>
          <w:vertAlign w:val="superscript"/>
          <w:lang w:val="en_US" w:bidi="en_US"/>
        </w:rPr>
        <w:t>(sing)</w:t>
      </w:r>
      <w:r>
        <w:rPr>
          <w:lang w:val="en_US" w:bidi="en_US"/>
        </w:rPr>
        <w:t xml:space="preserve"> and I have with each other, Jesus, Son of the Greatest God?</w:t>
      </w:r>
    </w:p>
    <w:p>
      <w:pPr>
        <w:pStyle w:val="ListBullet"/>
        <w:spacing w:line="240" w:lineRule="auto"/>
        <w:ind w:left="720"/>
      </w:pPr>
      <w:r>
        <w:rPr>
          <w:lang w:val="en_US" w:bidi="en_US"/>
        </w:rPr>
      </w:r>
      <w:r>
        <w:rPr>
          <w:lang w:val="en_US" w:bidi="en_US"/>
        </w:rPr>
        <w:t>“Jesus, son of God the Greatest One, do not trouble</w:t>
      </w:r>
      <w:r>
        <w:rPr>
          <w:vertAlign w:val="superscript"/>
          <w:lang w:val="en_US" w:bidi="en_US"/>
        </w:rPr>
        <w:t>(sing)</w:t>
      </w:r>
      <w:r>
        <w:rPr>
          <w:lang w:val="en_US" w:bidi="en_US"/>
        </w:rPr>
        <w:t xml:space="preserve"> me!</w:t>
      </w:r>
    </w:p>
    <w:p>
      <w:pPr/>
      <w:r>
        <w:rPr>
          <w:lang w:val="en_US" w:bidi="en_US"/>
        </w:rPr>
      </w:r>
      <w:r>
        <w:rPr>
          <w:b/>
          <w:lang w:val="en_US" w:bidi="en_US"/>
        </w:rPr>
        <w:t>What do You want with me, Jesus, Son of the Most High God?:</w:t>
      </w:r>
      <w:r>
        <w:rPr>
          <w:lang w:val="en_US" w:bidi="en_US"/>
        </w:rPr>
        <w:t xml:space="preserve"> The demons, speaking through the man, used both Jesus’ name and the title </w:t>
      </w:r>
      <w:r>
        <w:rPr>
          <w:i/>
          <w:lang w:val="en_US" w:bidi="en_US"/>
        </w:rPr>
        <w:t>Son of the Most High God</w:t>
      </w:r>
      <w:r>
        <w:rPr>
          <w:lang w:val="en_US" w:bidi="en_US"/>
        </w:rPr>
        <w:t xml:space="preserve"> to address him. If this would not be natural in your language, you may need to use a different way to express the ideas. For example:</w:t>
      </w:r>
    </w:p>
    <w:p>
      <w:pPr/>
      <w:r>
        <w:rPr>
          <w:lang w:val="en_US" w:bidi="en_US"/>
        </w:rPr>
      </w:r>
      <w:r>
        <w:rPr>
          <w:lang w:val="en_US" w:bidi="en_US"/>
        </w:rPr>
        <w:t>Jesus, Son of the Most High God! What do you want with me? (GNT)</w:t>
      </w:r>
    </w:p>
    <w:p>
      <w:pPr/>
      <w:r>
        <w:rPr>
          <w:lang w:val="en_US" w:bidi="en_US"/>
        </w:rPr>
      </w:r>
      <w:r>
        <w:rPr>
          <w:lang w:val="en_US" w:bidi="en_US"/>
        </w:rPr>
        <w:t>What do you want with me, Jesus? You are the Son of the Most High God!</w:t>
      </w:r>
    </w:p>
    <w:p>
      <w:pPr/>
      <w:r>
        <w:rPr>
          <w:lang w:val="en_US" w:bidi="en_US"/>
        </w:rPr>
      </w:r>
      <w:r>
        <w:rPr>
          <w:lang w:val="en_US" w:bidi="en_US"/>
        </w:rPr>
        <w:t>You are Jesus, the Son of the Most High God! What do you want with me?</w:t>
      </w:r>
    </w:p>
    <w:p>
      <w:pPr/>
      <w:r>
        <w:rPr>
          <w:lang w:val="en_US" w:bidi="en_US"/>
        </w:rPr>
      </w:r>
      <w:r>
        <w:rPr>
          <w:b/>
          <w:lang w:val="en_US" w:bidi="en_US"/>
        </w:rPr>
        <w:t>What do You want with me:</w:t>
      </w:r>
      <w:r>
        <w:rPr>
          <w:lang w:val="en_US" w:bidi="en_US"/>
        </w:rPr>
        <w:t xml:space="preserve"> The Greek clause that the BSB translates as </w:t>
      </w:r>
      <w:r>
        <w:rPr>
          <w:i/>
          <w:lang w:val="en_US" w:bidi="en_US"/>
        </w:rPr>
        <w:t>What do you want with me</w:t>
      </w:r>
      <w:r>
        <w:rPr>
          <w:lang w:val="en_US" w:bidi="en_US"/>
        </w:rPr>
        <w:t xml:space="preserve"> is literally “What to me and to you?” This is an idiom. It means “What connection/relation do I have with you?”</w:t>
      </w:r>
      <w:r>
        <w:rPr>
          <w:lang w:val="en_US" w:bidi="en_US"/>
        </w:rPr>
        <w:t>The commentaries and a detailed article by Nigel Turner (</w:t>
      </w:r>
      <w:r>
        <w:rPr>
          <w:i/>
          <w:lang w:val="en_US" w:bidi="en_US"/>
        </w:rPr>
        <w:t>Grammatical Insights Into the Greek NT</w:t>
      </w:r>
      <w:r>
        <w:rPr>
          <w:lang w:val="en_US" w:bidi="en_US"/>
        </w:rPr>
        <w:t>, pp. 43–47) discuss the differences in meaning between “What do we have in common?” and “What cause of enmity/injustice is there between us?” and “What business do we have with each other?” However, when the rhetorical nature of the question is appreciated, the differences between these renderings of the question largely dissolve. A sense close to “leave me alone” works well in all contexts where this is found, whether the occasion is some issue of injustice between parties, a request that someone get involved in a matter he felt was not his business, or a plea, as here, on the part of demons that Jesus refrain from punishing them.</w:t>
      </w:r>
    </w:p>
    <w:p>
      <w:pPr/>
      <w:r>
        <w:rPr>
          <w:lang w:val="en_US" w:bidi="en_US"/>
        </w:rPr>
      </w:r>
      <w:r>
        <w:rPr>
          <w:lang w:val="en_US" w:bidi="en_US"/>
        </w:rPr>
        <w:t xml:space="preserve">This is a rhetorical question that implies “we have </w:t>
      </w:r>
      <w:r>
        <w:rPr>
          <w:u w:val="single"/>
          <w:lang w:val="en_US" w:bidi="en_US"/>
        </w:rPr>
        <w:t>no</w:t>
      </w:r>
      <w:r>
        <w:rPr>
          <w:lang w:val="en_US" w:bidi="en_US"/>
        </w:rPr>
        <w:t xml:space="preserve"> connection/relation” or “we have </w:t>
      </w:r>
      <w:r>
        <w:rPr>
          <w:u w:val="single"/>
          <w:lang w:val="en_US" w:bidi="en_US"/>
        </w:rPr>
        <w:t>nothing</w:t>
      </w:r>
      <w:r>
        <w:rPr>
          <w:lang w:val="en_US" w:bidi="en_US"/>
        </w:rPr>
        <w:t xml:space="preserve"> in common.” It also implies a request or rebuke, that is, “since we have nothing in common, you should not trouble me.” In this context, the demons, in fear or panic, were pleading with Jesus not to cause them to leave the man.</w:t>
      </w:r>
    </w:p>
    <w:p>
      <w:pPr/>
      <w:r>
        <w:rPr>
          <w:lang w:val="en_US" w:bidi="en_US"/>
        </w:rPr>
      </w:r>
      <w:r>
        <w:rPr>
          <w:lang w:val="en_US" w:bidi="en_US"/>
        </w:rPr>
        <w:t>Here are some ways to translate this rhetorical question:</w:t>
      </w:r>
    </w:p>
    <w:p>
      <w:pPr>
        <w:pStyle w:val="ListBullet"/>
        <w:spacing w:line="240" w:lineRule="auto"/>
        <w:ind w:left="720"/>
      </w:pPr>
      <w:r>
        <w:rPr>
          <w:lang w:val="en_US" w:bidi="en_US"/>
        </w:rPr>
      </w:r>
      <w:r>
        <w:rPr>
          <w:lang w:val="en_US" w:bidi="en_US"/>
        </w:rPr>
        <w:t>As a question. For example:</w:t>
      </w:r>
      <w:r>
        <w:rPr>
          <w:lang w:val="en_US" w:bidi="en_US"/>
        </w:rPr>
        <w:t>What connection do we have with each other…?</w:t>
      </w:r>
      <w:r>
        <w:rPr>
          <w:lang w:val="en_US" w:bidi="en_US"/>
        </w:rPr>
        <w:t>Why are you troubling/disturbing me…?</w:t>
      </w:r>
      <w:r>
        <w:rPr>
          <w:lang w:val="en_US" w:bidi="en_US"/>
        </w:rPr>
        <w:t>Why are you interfering with me…?</w:t>
      </w:r>
    </w:p>
    <w:p>
      <w:pPr>
        <w:pStyle w:val="ListBullet"/>
        <w:spacing w:line="240" w:lineRule="auto"/>
        <w:ind w:left="720"/>
      </w:pPr>
      <w:r>
        <w:rPr>
          <w:lang w:val="en_US" w:bidi="en_US"/>
        </w:rPr>
      </w:r>
      <w:r>
        <w:rPr>
          <w:lang w:val="en_US" w:bidi="en_US"/>
        </w:rPr>
        <w:t>As a statement. For example:</w:t>
      </w:r>
      <w:r>
        <w:rPr>
          <w:lang w:val="en_US" w:bidi="en_US"/>
        </w:rPr>
        <w:t>We certainly do not have anything in common with one another…!</w:t>
      </w:r>
      <w:r>
        <w:rPr>
          <w:lang w:val="en_US" w:bidi="en_US"/>
        </w:rPr>
        <w:t>Do not trouble me…!</w:t>
      </w:r>
      <w:r>
        <w:rPr>
          <w:lang w:val="en_US" w:bidi="en_US"/>
        </w:rPr>
        <w:t>Leave me alone…! (NET)</w:t>
      </w:r>
    </w:p>
    <w:p>
      <w:pPr/>
      <w:r>
        <w:rPr>
          <w:lang w:val="en_US" w:bidi="en_US"/>
        </w:rPr>
      </w:r>
      <w:r>
        <w:rPr>
          <w:lang w:val="en_US" w:bidi="en_US"/>
        </w:rPr>
        <w:t>In some languages you may have an idiom that expresses this meaning. See how you translated the similar expression “What do You want with us…?” at 4:34a.</w:t>
      </w:r>
    </w:p>
    <w:p>
      <w:pPr/>
      <w:r>
        <w:rPr>
          <w:lang w:val="en_US" w:bidi="en_US"/>
        </w:rPr>
      </w:r>
      <w:r>
        <w:rPr>
          <w:b/>
          <w:lang w:val="en_US" w:bidi="en_US"/>
        </w:rPr>
        <w:t>Son of the Most High God:</w:t>
      </w:r>
      <w:r>
        <w:rPr>
          <w:lang w:val="en_US" w:bidi="en_US"/>
        </w:rPr>
        <w:t xml:space="preserve"> The Bible uses the title </w:t>
      </w:r>
      <w:r>
        <w:rPr>
          <w:i/>
          <w:lang w:val="en_US" w:bidi="en_US"/>
        </w:rPr>
        <w:t>Son</w:t>
      </w:r>
      <w:r>
        <w:rPr>
          <w:lang w:val="en_US" w:bidi="en_US"/>
        </w:rPr>
        <w:t xml:space="preserve"> to express the fact that Jesus has the same nature as God, and that he comes from God. See how you translated the expressions “the Son of the Most High” at 1:32b, “the Most High” in 1:35b, and “the Son of God” in 4:3a and 4:41b.</w:t>
      </w:r>
    </w:p>
    <w:p>
      <w:pPr/>
      <w:r>
        <w:rPr>
          <w:lang w:val="en_US" w:bidi="en_US"/>
        </w:rPr>
      </w:r>
      <w:r>
        <w:rPr>
          <w:b/>
          <w:lang w:val="en_US" w:bidi="en_US"/>
        </w:rPr>
        <w:t>the Most High God:</w:t>
      </w:r>
      <w:r>
        <w:rPr>
          <w:lang w:val="en_US" w:bidi="en_US"/>
        </w:rPr>
        <w:t xml:space="preserve"> The phrase </w:t>
      </w:r>
      <w:r>
        <w:rPr>
          <w:i/>
          <w:lang w:val="en_US" w:bidi="en_US"/>
        </w:rPr>
        <w:t>the Most High God</w:t>
      </w:r>
      <w:r>
        <w:rPr>
          <w:lang w:val="en_US" w:bidi="en_US"/>
        </w:rPr>
        <w:t xml:space="preserve"> is a title for God that is used several times in the Old and New Testaments. It indicates that God is greater and more powerful than any other god, being, or power that exists. The title does not refer to literal height or size. In some languages there may be a special way to indicate that a phrase like this is a title. The BSB has done this by using capital letters. Other ways to translate this include:</w:t>
      </w:r>
    </w:p>
    <w:p>
      <w:pPr/>
      <w:r>
        <w:rPr>
          <w:lang w:val="en_US" w:bidi="en_US"/>
        </w:rPr>
      </w:r>
      <w:r>
        <w:rPr>
          <w:lang w:val="en_US" w:bidi="en_US"/>
        </w:rPr>
        <w:t>son of the Greatest God</w:t>
      </w:r>
    </w:p>
    <w:p>
      <w:pPr/>
      <w:r>
        <w:rPr>
          <w:lang w:val="en_US" w:bidi="en_US"/>
        </w:rPr>
      </w:r>
      <w:r>
        <w:rPr>
          <w:lang w:val="en_US" w:bidi="en_US"/>
        </w:rPr>
        <w:t>son of God, the One who is more powerful than all other beings</w:t>
      </w:r>
    </w:p>
    <w:p>
      <w:pPr/>
      <w:r>
        <w:rPr>
          <w:lang w:val="en_US" w:bidi="en_US"/>
        </w:rPr>
      </w:r>
      <w:r>
        <w:rPr>
          <w:lang w:val="en_US" w:bidi="en_US"/>
        </w:rPr>
        <w:t>Son of God, the God who is so great that no one is great like him</w:t>
      </w:r>
    </w:p>
    <w:p>
      <w:pPr>
        <w:pStyle w:val="Heading5"/>
      </w:pPr>
      <w:r>
        <w:rPr>
          <w:lang w:val="en_US" w:bidi="en_US"/>
        </w:rPr>
        <w:t>8:28d</w:t>
      </w:r>
    </w:p>
    <w:p>
      <w:pPr/>
      <w:r>
        <w:rPr>
          <w:lang w:val="en_US" w:bidi="en_US"/>
        </w:rPr>
      </w:r>
      <w:r>
        <w:rPr>
          <w:b/>
          <w:lang w:val="en_US" w:bidi="en_US"/>
        </w:rPr>
        <w:t>I beg You not to torture me!”</w:t>
      </w:r>
    </w:p>
    <w:p>
      <w:pPr>
        <w:pStyle w:val="ListBullet"/>
        <w:spacing w:line="240" w:lineRule="auto"/>
        <w:ind w:left="720"/>
      </w:pPr>
      <w:r>
        <w:rPr>
          <w:lang w:val="en_US" w:bidi="en_US"/>
        </w:rPr>
      </w:r>
      <w:r>
        <w:rPr>
          <w:lang w:val="en_US" w:bidi="en_US"/>
        </w:rPr>
        <w:t>I plead with you</w:t>
      </w:r>
      <w:r>
        <w:rPr>
          <w:vertAlign w:val="superscript"/>
          <w:lang w:val="en_US" w:bidi="en_US"/>
        </w:rPr>
        <w:t>(sing)</w:t>
      </w:r>
      <w:r>
        <w:rPr>
          <w:lang w:val="en_US" w:bidi="en_US"/>
        </w:rPr>
        <w:t xml:space="preserve"> not to punish me!”</w:t>
      </w:r>
    </w:p>
    <w:p>
      <w:pPr>
        <w:pStyle w:val="ListBullet"/>
        <w:spacing w:line="240" w:lineRule="auto"/>
        <w:ind w:left="720"/>
      </w:pPr>
      <w:r>
        <w:rPr>
          <w:lang w:val="en_US" w:bidi="en_US"/>
        </w:rPr>
      </w:r>
      <w:r>
        <w:rPr>
          <w:lang w:val="en_US" w:bidi="en_US"/>
        </w:rPr>
        <w:t>Please do not torment</w:t>
      </w:r>
      <w:r>
        <w:rPr>
          <w:vertAlign w:val="superscript"/>
          <w:lang w:val="en_US" w:bidi="en_US"/>
        </w:rPr>
        <w:t>(sing)</w:t>
      </w:r>
      <w:r>
        <w:rPr>
          <w:lang w:val="en_US" w:bidi="en_US"/>
        </w:rPr>
        <w:t xml:space="preserve"> me!”</w:t>
      </w:r>
    </w:p>
    <w:p>
      <w:pPr/>
      <w:r>
        <w:rPr>
          <w:lang w:val="en_US" w:bidi="en_US"/>
        </w:rPr>
      </w:r>
      <w:r>
        <w:rPr>
          <w:b/>
          <w:lang w:val="en_US" w:bidi="en_US"/>
        </w:rPr>
        <w:t>I beg You:</w:t>
      </w:r>
      <w:r>
        <w:rPr>
          <w:lang w:val="en_US" w:bidi="en_US"/>
        </w:rPr>
        <w:t xml:space="preserve"> The Greek verb that the BSB translates as </w:t>
      </w:r>
      <w:r>
        <w:rPr>
          <w:i/>
          <w:lang w:val="en_US" w:bidi="en_US"/>
        </w:rPr>
        <w:t>I beg You</w:t>
      </w:r>
      <w:r>
        <w:rPr>
          <w:lang w:val="en_US" w:bidi="en_US"/>
        </w:rPr>
        <w:t xml:space="preserve"> introduces a strong request. In some languages it may be translated with a word that means “please.”</w:t>
      </w:r>
    </w:p>
    <w:p>
      <w:pPr/>
      <w:r>
        <w:rPr>
          <w:lang w:val="en_US" w:bidi="en_US"/>
        </w:rPr>
      </w:r>
      <w:r>
        <w:rPr>
          <w:b/>
          <w:lang w:val="en_US" w:bidi="en_US"/>
        </w:rPr>
        <w:t>not to torture me:</w:t>
      </w:r>
      <w:r>
        <w:rPr>
          <w:lang w:val="en_US" w:bidi="en_US"/>
        </w:rPr>
        <w:t xml:space="preserve"> Though this phrase is grammatically a command, it functions as a request or plea. Use the form in your language that is most natural for a plea. In this context, the word </w:t>
      </w:r>
      <w:r>
        <w:rPr>
          <w:i/>
          <w:lang w:val="en_US" w:bidi="en_US"/>
        </w:rPr>
        <w:t>torture</w:t>
      </w:r>
      <w:r>
        <w:rPr>
          <w:lang w:val="en_US" w:bidi="en_US"/>
        </w:rPr>
        <w:t xml:space="preserve"> means “to punish with suffering and pain.” Some other ways to translate this are:</w:t>
      </w:r>
    </w:p>
    <w:p>
      <w:pPr/>
      <w:r>
        <w:rPr>
          <w:lang w:val="en_US" w:bidi="en_US"/>
        </w:rPr>
      </w:r>
      <w:r>
        <w:rPr>
          <w:lang w:val="en_US" w:bidi="en_US"/>
        </w:rPr>
        <w:t>Do not punish me!</w:t>
      </w:r>
    </w:p>
    <w:p>
      <w:pPr/>
      <w:r>
        <w:rPr>
          <w:lang w:val="en_US" w:bidi="en_US"/>
        </w:rPr>
      </w:r>
      <w:r>
        <w:rPr>
          <w:lang w:val="en_US" w:bidi="en_US"/>
        </w:rPr>
        <w:t>Do not torment me!</w:t>
      </w:r>
    </w:p>
    <w:p>
      <w:pPr/>
      <w:r>
        <w:rPr>
          <w:lang w:val="en_US" w:bidi="en_US"/>
        </w:rPr>
      </w:r>
      <w:r>
        <w:rPr>
          <w:lang w:val="en_US" w:bidi="en_US"/>
        </w:rPr>
        <w:t>Do not cause me to suffer!</w:t>
      </w:r>
      <w:r>
        <w:rPr>
          <w:lang w:val="en_US" w:bidi="en_US"/>
        </w:rPr>
      </w:r>
      <w:r>
        <w:rPr>
          <w:lang w:val="en_US" w:bidi="en_US"/>
        </w:rPr>
      </w:r>
    </w:p>
    <w:p>
      <w:pPr/>
      <w:r>
        <w:rPr>
          <w:lang w:val="en_US" w:bidi="en_US"/>
        </w:rPr>
      </w:r>
    </w:p>
    <w:p>
      <w:pPr>
        <w:pStyle w:val="Heading2"/>
      </w:pPr>
      <w:r>
        <w:rPr>
          <w:lang w:val="en_US" w:bidi="en_US"/>
        </w:rPr>
        <w:t>Luke 8:29</w:t>
      </w:r>
      <w:r>
        <w:rPr>
          <w:lang w:val="en_US" w:bidi="en_US"/>
        </w:rPr>
      </w:r>
    </w:p>
    <w:p>
      <w:pPr>
        <w:pStyle w:val="Heading4"/>
      </w:pPr>
      <w:r>
        <w:rPr>
          <w:lang w:val="en_US" w:bidi="en_US"/>
        </w:rPr>
        <w:t>Section 8:26–39: Jesus freed a man whom many demons controlled</w:t>
      </w:r>
    </w:p>
    <w:p>
      <w:pPr/>
      <w:r>
        <w:rPr>
          <w:lang w:val="en_US" w:bidi="en_US"/>
        </w:rPr>
      </w:r>
      <w:r>
        <w:rPr>
          <w:lang w:val="en_US" w:bidi="en_US"/>
        </w:rP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pPr/>
      <w:r>
        <w:rPr>
          <w:lang w:val="en_US" w:bidi="en_US"/>
        </w:rPr>
      </w:r>
      <w:r>
        <w:rPr>
          <w:lang w:val="en_US" w:bidi="en_US"/>
        </w:rPr>
        <w:t>“Uncleanness” is a theme in this story. The spirits that controlled the man were considered “unclean” (and called “unclean” in 8:29a). Tombs were “unclean.” Jews also considered pigs to be “unclean.”</w:t>
      </w:r>
    </w:p>
    <w:p>
      <w:pPr/>
      <w:r>
        <w:rPr>
          <w:lang w:val="en_US" w:bidi="en_US"/>
        </w:rPr>
      </w:r>
      <w:r>
        <w:rPr>
          <w:lang w:val="en_US" w:bidi="en_US"/>
        </w:rP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pPr/>
      <w:r>
        <w:rPr>
          <w:lang w:val="en_US" w:bidi="en_US"/>
        </w:rPr>
      </w:r>
      <w:r>
        <w:rPr>
          <w:lang w:val="en_US" w:bidi="en_US"/>
        </w:rPr>
        <w:t>Some other possible headings for this section are:</w:t>
      </w:r>
    </w:p>
    <w:p>
      <w:pPr/>
      <w:r>
        <w:rPr>
          <w:lang w:val="en_US" w:bidi="en_US"/>
        </w:rPr>
      </w:r>
      <w:r>
        <w:rPr>
          <w:lang w:val="en_US" w:bidi="en_US"/>
        </w:rPr>
        <w:t>Jesus commanded many demons to leave a man</w:t>
      </w:r>
    </w:p>
    <w:p>
      <w:pPr/>
      <w:r>
        <w:rPr>
          <w:lang w:val="en_US" w:bidi="en_US"/>
        </w:rPr>
      </w:r>
      <w:r>
        <w:rPr>
          <w:lang w:val="en_US" w:bidi="en_US"/>
        </w:rPr>
        <w:t>The deliverance of a man who was controlled by many demons</w:t>
      </w:r>
    </w:p>
    <w:p>
      <w:pPr/>
      <w:r>
        <w:rPr>
          <w:lang w:val="en_US" w:bidi="en_US"/>
        </w:rPr>
      </w:r>
      <w:r>
        <w:rPr>
          <w:lang w:val="en_US" w:bidi="en_US"/>
        </w:rPr>
        <w:t>There are parallel passages for this section in Matthew 8:28–34 and Mark 5:1–20.</w:t>
      </w:r>
    </w:p>
    <w:p>
      <w:pPr>
        <w:pStyle w:val="Heading4"/>
      </w:pPr>
      <w:r>
        <w:rPr>
          <w:lang w:val="en_US" w:bidi="en_US"/>
        </w:rPr>
        <w:t>Paragraph 8:26–33</w:t>
      </w:r>
    </w:p>
    <w:p>
      <w:pPr/>
      <w:r>
        <w:rPr>
          <w:lang w:val="en_US" w:bidi="en_US"/>
        </w:rPr>
      </w:r>
      <w:r>
        <w:rPr>
          <w:lang w:val="en_US" w:bidi="en_US"/>
        </w:rPr>
        <w:t>In this paragraph Luke told about events that happened when Jesus and his disciples came to the other side of the lake. Several times Luke inserted background information about the past. In some languages speakers often shift in this way between telling events and giving background information to explain them. Use natural ways to do this in your language.</w:t>
      </w:r>
    </w:p>
    <w:p>
      <w:pPr/>
      <w:r>
        <w:rPr>
          <w:lang w:val="en_US" w:bidi="en_US"/>
        </w:rPr>
      </w:r>
      <w:r>
        <w:rPr>
          <w:lang w:val="en_US" w:bidi="en_US"/>
        </w:rPr>
        <w:t>In some languages this shift between actions and background information may be confusing. You may need to change the order of some information in these verses. See the General Comment on 8:27a–28a at the end of the notes on 8:28a and the longer General Comment on 8:27–29 at the end of the notes on 8:29e for suggestions.</w:t>
      </w:r>
    </w:p>
    <w:p>
      <w:pPr>
        <w:pStyle w:val="Heading5"/>
      </w:pPr>
      <w:r>
        <w:rPr>
          <w:lang w:val="en_US" w:bidi="en_US"/>
        </w:rPr>
        <w:t>8:29a</w:t>
      </w:r>
    </w:p>
    <w:p>
      <w:pPr/>
      <w:r>
        <w:rPr>
          <w:lang w:val="en_US" w:bidi="en_US"/>
        </w:rPr>
      </w:r>
      <w:r>
        <w:rPr>
          <w:b/>
          <w:lang w:val="en_US" w:bidi="en_US"/>
        </w:rPr>
        <w:t>For Jesus had commanded the unclean spirit to come out of the man.</w:t>
      </w:r>
    </w:p>
    <w:p>
      <w:pPr>
        <w:pStyle w:val="ListBullet"/>
        <w:spacing w:line="240" w:lineRule="auto"/>
        <w:ind w:left="720"/>
      </w:pPr>
      <w:r>
        <w:rPr>
          <w:lang w:val="en_US" w:bidi="en_US"/>
        </w:rPr>
      </w:r>
      <w:r>
        <w:rPr>
          <w:lang w:val="en_US" w:bidi="en_US"/>
        </w:rPr>
        <w:t xml:space="preserve">For Jesus had </w:t>
      </w:r>
      <w:r>
        <w:rPr>
          <w:lang w:val="en_US" w:bidi="en_US"/>
        </w:rPr>
        <w:t>already</w:t>
      </w:r>
      <w:r>
        <w:rPr>
          <w:lang w:val="en_US" w:bidi="en_US"/>
        </w:rPr>
        <w:t xml:space="preserve"> commanded the evil spirit to release control of him.</w:t>
      </w:r>
    </w:p>
    <w:p>
      <w:pPr>
        <w:pStyle w:val="ListBullet"/>
        <w:spacing w:line="240" w:lineRule="auto"/>
        <w:ind w:left="720"/>
      </w:pPr>
      <w:r>
        <w:rPr>
          <w:lang w:val="en_US" w:bidi="en_US"/>
        </w:rPr>
      </w:r>
      <w:r>
        <w:rPr>
          <w:lang w:val="en_US" w:bidi="en_US"/>
        </w:rPr>
        <w:t>The man said this</w:t>
      </w:r>
      <w:r>
        <w:rPr>
          <w:lang w:val="en_US" w:bidi="en_US"/>
        </w:rPr>
        <w:t xml:space="preserve"> because Jesus had </w:t>
      </w:r>
      <w:r>
        <w:rPr>
          <w:lang w:val="en_US" w:bidi="en_US"/>
        </w:rPr>
        <w:t>just</w:t>
      </w:r>
      <w:r>
        <w:rPr>
          <w:lang w:val="en_US" w:bidi="en_US"/>
        </w:rPr>
        <w:t xml:space="preserve"> told the demon/demons, “Leave this man!”</w:t>
      </w:r>
    </w:p>
    <w:p>
      <w:pPr/>
      <w:r>
        <w:rPr>
          <w:lang w:val="en_US" w:bidi="en_US"/>
        </w:rPr>
      </w:r>
      <w:r>
        <w:rPr>
          <w:b/>
          <w:lang w:val="en_US" w:bidi="en_US"/>
        </w:rPr>
        <w:t>For Jesus had commanded the unclean spirit to come out of the man:</w:t>
      </w:r>
      <w:r>
        <w:rPr>
          <w:lang w:val="en_US" w:bidi="en_US"/>
        </w:rPr>
        <w:t xml:space="preserve"> This verse describes what happened just before the man’s plea in 8:28. It explains the reason why the demons begged Jesus not to trouble or torment them. The BSB indicates this by using the connector </w:t>
      </w:r>
      <w:r>
        <w:rPr>
          <w:i/>
          <w:lang w:val="en_US" w:bidi="en_US"/>
        </w:rPr>
        <w:t>For</w:t>
      </w:r>
      <w:r>
        <w:rPr>
          <w:lang w:val="en_US" w:bidi="en_US"/>
        </w:rPr>
        <w:t xml:space="preserve"> and the verb form </w:t>
      </w:r>
      <w:r>
        <w:rPr>
          <w:i/>
          <w:lang w:val="en_US" w:bidi="en_US"/>
        </w:rPr>
        <w:t>had commanded</w:t>
      </w:r>
      <w:r>
        <w:rPr>
          <w:lang w:val="en_US" w:bidi="en_US"/>
        </w:rPr>
        <w:t>. Use a natural way in your language to indicate that 8:29 explains what happened in 8:28. Other ways to do this in English are:</w:t>
      </w:r>
    </w:p>
    <w:p>
      <w:pPr/>
      <w:r>
        <w:rPr>
          <w:lang w:val="en_US" w:bidi="en_US"/>
        </w:rPr>
      </w:r>
      <w:r>
        <w:rPr>
          <w:u w:val="single"/>
          <w:lang w:val="en_US" w:bidi="en_US"/>
        </w:rPr>
        <w:t>He said this because</w:t>
      </w:r>
      <w:r>
        <w:rPr>
          <w:lang w:val="en_US" w:bidi="en_US"/>
        </w:rPr>
        <w:t xml:space="preserve"> Jesus had already told the evil spirit to go out of him. (CEV)</w:t>
      </w:r>
    </w:p>
    <w:p>
      <w:pPr/>
      <w:r>
        <w:rPr>
          <w:lang w:val="en_US" w:bidi="en_US"/>
        </w:rPr>
      </w:r>
      <w:r>
        <w:rPr>
          <w:lang w:val="en_US" w:bidi="en_US"/>
        </w:rPr>
        <w:t xml:space="preserve">For Jesus had commanded the evil spirit to come out of the man </w:t>
      </w:r>
      <w:r>
        <w:rPr>
          <w:u w:val="single"/>
          <w:lang w:val="en_US" w:bidi="en_US"/>
        </w:rPr>
        <w:t>just before</w:t>
      </w:r>
      <w:r>
        <w:rPr>
          <w:lang w:val="en_US" w:bidi="en_US"/>
        </w:rPr>
        <w:t xml:space="preserve"> this.</w:t>
      </w:r>
    </w:p>
    <w:p>
      <w:pPr/>
      <w:r>
        <w:rPr>
          <w:lang w:val="en_US" w:bidi="en_US"/>
        </w:rPr>
      </w:r>
      <w:r>
        <w:rPr>
          <w:lang w:val="en_US" w:bidi="en_US"/>
        </w:rPr>
        <w:t>See also the General Comment on 8:28a–29a below for a suggested way to reorder these verses.</w:t>
      </w:r>
    </w:p>
    <w:p>
      <w:pPr/>
      <w:r>
        <w:rPr>
          <w:lang w:val="en_US" w:bidi="en_US"/>
        </w:rPr>
      </w:r>
      <w:r>
        <w:rPr>
          <w:lang w:val="en_US" w:bidi="en_US"/>
        </w:rPr>
        <w:t>In some languages, it may be more natural to give Jesus’ command in direct speech. For example:</w:t>
      </w:r>
    </w:p>
    <w:p>
      <w:pPr/>
      <w:r>
        <w:rPr>
          <w:lang w:val="en_US" w:bidi="en_US"/>
        </w:rPr>
      </w:r>
      <w:r>
        <w:rPr>
          <w:lang w:val="en_US" w:bidi="en_US"/>
        </w:rPr>
        <w:t>Jesus told/commanded the evil spirit: “Come out of the man!”</w:t>
      </w:r>
    </w:p>
    <w:p>
      <w:pPr/>
      <w:r>
        <w:rPr>
          <w:lang w:val="en_US" w:bidi="en_US"/>
        </w:rPr>
      </w:r>
      <w:r>
        <w:rPr>
          <w:b/>
          <w:lang w:val="en_US" w:bidi="en_US"/>
        </w:rPr>
        <w:t>unclean spirit:</w:t>
      </w:r>
      <w:r>
        <w:rPr>
          <w:lang w:val="en_US" w:bidi="en_US"/>
        </w:rPr>
        <w:t xml:space="preserve"> The Greek phrase that the BSB translates literally as </w:t>
      </w:r>
      <w:r>
        <w:rPr>
          <w:i/>
          <w:lang w:val="en_US" w:bidi="en_US"/>
        </w:rPr>
        <w:t>unclean spirit</w:t>
      </w:r>
      <w:r>
        <w:rPr>
          <w:lang w:val="en_US" w:bidi="en_US"/>
        </w:rPr>
        <w:t xml:space="preserve"> is another way to describe a demon like those mentioned in 8:27b. Luke used the terms “demon,” “evil spirit” and “unclean spirit” to refer to the same beings. See the note on “a demon-possessed man” in 8:27b and the note on “the spirit of an unclean demon” at 4:33a.</w:t>
      </w:r>
    </w:p>
    <w:p>
      <w:pPr/>
      <w:r>
        <w:rPr>
          <w:lang w:val="en_US" w:bidi="en_US"/>
        </w:rPr>
      </w:r>
      <w:r>
        <w:rPr>
          <w:lang w:val="en_US" w:bidi="en_US"/>
        </w:rPr>
        <w:t xml:space="preserve">Luke used the singular word for </w:t>
      </w:r>
      <w:r>
        <w:rPr>
          <w:i/>
          <w:lang w:val="en_US" w:bidi="en_US"/>
        </w:rPr>
        <w:t>spirit</w:t>
      </w:r>
      <w:r>
        <w:rPr>
          <w:lang w:val="en_US" w:bidi="en_US"/>
        </w:rPr>
        <w:t xml:space="preserve"> here. In 8:27 the plural form was used, indicating that more than one unclean spirit was in the man. The unclean spirit here in 8:29 may have been the leader of the other demons or he may have represented them as the spokesman. It is good to use a singular form here. However, if this would not be natural in your language, you may consider using the plural form.</w:t>
      </w:r>
    </w:p>
    <w:p>
      <w:pPr/>
      <w:r>
        <w:rPr>
          <w:lang w:val="en_US" w:bidi="en_US"/>
        </w:rPr>
      </w:r>
      <w:r>
        <w:rPr>
          <w:lang w:val="en_US" w:bidi="en_US"/>
        </w:rPr>
        <w:t>See demon in the Glossary for more information.</w:t>
      </w:r>
    </w:p>
    <w:p>
      <w:pPr/>
      <w:r>
        <w:rPr>
          <w:lang w:val="en_US" w:bidi="en_US"/>
        </w:rPr>
      </w:r>
      <w:r>
        <w:rPr>
          <w:b/>
          <w:lang w:val="en_US" w:bidi="en_US"/>
        </w:rPr>
        <w:t>come out:</w:t>
      </w:r>
      <w:r>
        <w:rPr>
          <w:lang w:val="en_US" w:bidi="en_US"/>
        </w:rPr>
        <w:t xml:space="preserve"> When a demon controlled a person, the Jews thought of the demon as being </w:t>
      </w:r>
      <w:r>
        <w:rPr>
          <w:u w:val="single"/>
          <w:lang w:val="en_US" w:bidi="en_US"/>
        </w:rPr>
        <w:t>in</w:t>
      </w:r>
      <w:r>
        <w:rPr>
          <w:lang w:val="en_US" w:bidi="en_US"/>
        </w:rPr>
        <w:t xml:space="preserve"> the person. So Jesus commanded the demon to </w:t>
      </w:r>
      <w:r>
        <w:rPr>
          <w:u w:val="single"/>
          <w:lang w:val="en_US" w:bidi="en_US"/>
        </w:rPr>
        <w:t>come out</w:t>
      </w:r>
      <w:r>
        <w:rPr>
          <w:lang w:val="en_US" w:bidi="en_US"/>
        </w:rPr>
        <w:t>. You may have a different expression that you naturally use to describe when a demon releases control of a person. Some other ways you could say this are:</w:t>
      </w:r>
    </w:p>
    <w:p>
      <w:pPr/>
      <w:r>
        <w:rPr>
          <w:lang w:val="en_US" w:bidi="en_US"/>
        </w:rPr>
      </w:r>
      <w:r>
        <w:rPr>
          <w:lang w:val="en_US" w:bidi="en_US"/>
        </w:rPr>
        <w:t xml:space="preserve">Jesus had commanded the evil spirit to </w:t>
      </w:r>
      <w:r>
        <w:rPr>
          <w:u w:val="single"/>
          <w:lang w:val="en_US" w:bidi="en_US"/>
        </w:rPr>
        <w:t>leave</w:t>
      </w:r>
      <w:r>
        <w:rPr>
          <w:lang w:val="en_US" w:bidi="en_US"/>
        </w:rPr>
        <w:t xml:space="preserve"> the man.</w:t>
      </w:r>
    </w:p>
    <w:p>
      <w:pPr/>
      <w:r>
        <w:rPr>
          <w:lang w:val="en_US" w:bidi="en_US"/>
        </w:rPr>
      </w:r>
      <w:r>
        <w:rPr>
          <w:lang w:val="en_US" w:bidi="en_US"/>
        </w:rPr>
        <w:t xml:space="preserve">Jesus had commanded the evil spirit to </w:t>
      </w:r>
      <w:r>
        <w:rPr>
          <w:u w:val="single"/>
          <w:lang w:val="en_US" w:bidi="en_US"/>
        </w:rPr>
        <w:t>release control</w:t>
      </w:r>
      <w:r>
        <w:rPr>
          <w:lang w:val="en_US" w:bidi="en_US"/>
        </w:rPr>
        <w:t xml:space="preserve"> of the man.</w:t>
      </w:r>
    </w:p>
    <w:p>
      <w:pPr/>
      <w:r>
        <w:rPr>
          <w:lang w:val="en_US" w:bidi="en_US"/>
        </w:rPr>
      </w:r>
      <w:r>
        <w:rPr>
          <w:lang w:val="en_US" w:bidi="en_US"/>
        </w:rPr>
        <w:t>See how you translated similar expressions at 4:35a, 4:41a, and 8:2b.</w:t>
      </w:r>
    </w:p>
    <w:p>
      <w:pPr>
        <w:pStyle w:val="Heading6"/>
      </w:pPr>
      <w:r>
        <w:rPr>
          <w:b/>
          <w:lang w:val="en_US" w:bidi="en_US"/>
        </w:rPr>
        <w:t>General Comment on 8:28a–29a</w:t>
      </w:r>
    </w:p>
    <w:p>
      <w:pPr/>
      <w:r>
        <w:rPr>
          <w:lang w:val="en_US" w:bidi="en_US"/>
        </w:rPr>
      </w:r>
      <w:r>
        <w:rPr>
          <w:lang w:val="en_US" w:bidi="en_US"/>
        </w:rPr>
        <w:t>In many languages, it is more natural to follow chronological order here. If that is true in your language, it may be necessary to reorder the information in these verses. Here is one example:</w:t>
      </w:r>
    </w:p>
    <w:p>
      <w:pPr/>
      <w:r>
        <w:rPr>
          <w:lang w:val="en_US" w:bidi="en_US"/>
        </w:rPr>
      </w:r>
      <w:r>
        <w:rPr>
          <w:vertAlign w:val="superscript"/>
          <w:lang w:val="en_US" w:bidi="en_US"/>
        </w:rPr>
        <w:t>28a</w:t>
      </w:r>
      <w:r>
        <w:rPr>
          <w:lang w:val="en_US" w:bidi="en_US"/>
        </w:rPr>
        <w:t xml:space="preserve">When he saw Jesus, he screamed, </w:t>
      </w:r>
      <w:r>
        <w:rPr>
          <w:lang w:val="en_US" w:bidi="en_US"/>
        </w:rPr>
        <w:t>came to him,</w:t>
      </w:r>
      <w:r>
        <w:rPr>
          <w:lang w:val="en_US" w:bidi="en_US"/>
        </w:rPr>
        <w:t xml:space="preserve"> and bowed down in front of him. </w:t>
      </w:r>
      <w:r>
        <w:rPr>
          <w:vertAlign w:val="superscript"/>
          <w:lang w:val="en_US" w:bidi="en_US"/>
        </w:rPr>
        <w:t>29a</w:t>
      </w:r>
      <w:r>
        <w:rPr>
          <w:lang w:val="en_US" w:bidi="en_US"/>
        </w:rPr>
        <w:t xml:space="preserve">Jesus commanded the evil spirit to come out of the man. </w:t>
      </w:r>
      <w:r>
        <w:rPr>
          <w:vertAlign w:val="superscript"/>
          <w:lang w:val="en_US" w:bidi="en_US"/>
        </w:rPr>
        <w:t>28b</w:t>
      </w:r>
      <w:r>
        <w:rPr>
          <w:lang w:val="en_US" w:bidi="en_US"/>
        </w:rPr>
        <w:t xml:space="preserve">The man shouted very loudly, </w:t>
      </w:r>
      <w:r>
        <w:rPr>
          <w:vertAlign w:val="superscript"/>
          <w:lang w:val="en_US" w:bidi="en_US"/>
        </w:rPr>
        <w:t>28c</w:t>
      </w:r>
      <w:r>
        <w:rPr>
          <w:lang w:val="en_US" w:bidi="en_US"/>
        </w:rPr>
        <w:t xml:space="preserve">“What connection do you and I have with each other, Jesus, Son of the Greatest God? </w:t>
      </w:r>
      <w:r>
        <w:rPr>
          <w:vertAlign w:val="superscript"/>
          <w:lang w:val="en_US" w:bidi="en_US"/>
        </w:rPr>
        <w:t>28d</w:t>
      </w:r>
      <w:r>
        <w:rPr>
          <w:lang w:val="en_US" w:bidi="en_US"/>
        </w:rPr>
        <w:t>I beg you not to punish me!”</w:t>
      </w:r>
    </w:p>
    <w:p>
      <w:pPr>
        <w:pStyle w:val="Heading5"/>
      </w:pPr>
      <w:r>
        <w:rPr>
          <w:lang w:val="en_US" w:bidi="en_US"/>
        </w:rPr>
        <w:t>8:29b–e</w:t>
      </w:r>
    </w:p>
    <w:p>
      <w:pPr/>
      <w:r>
        <w:rPr>
          <w:lang w:val="en_US" w:bidi="en_US"/>
        </w:rPr>
      </w:r>
      <w:r>
        <w:rPr>
          <w:lang w:val="en_US" w:bidi="en_US"/>
        </w:rPr>
        <w:t>In 8:29b–e Luke gave some background information. He described events that had happened at a time before Jesus met the man who was controlled by the demons. Many languages will have a way to indicate that these actions happened before the actions of this story. Some examples are:</w:t>
      </w:r>
    </w:p>
    <w:p>
      <w:pPr>
        <w:pStyle w:val="ListBullet"/>
        <w:spacing w:line="240" w:lineRule="auto"/>
        <w:ind w:left="720"/>
      </w:pPr>
      <w:r>
        <w:rPr>
          <w:lang w:val="en_US" w:bidi="en_US"/>
        </w:rPr>
      </w:r>
      <w:r>
        <w:rPr>
          <w:lang w:val="en_US" w:bidi="en_US"/>
        </w:rPr>
        <w:t>Use specific verb forms or other forms to indicate this. For example:</w:t>
      </w:r>
      <w:r>
        <w:rPr>
          <w:lang w:val="en_US" w:bidi="en_US"/>
        </w:rPr>
        <w:t xml:space="preserve">The evil spirit </w:t>
      </w:r>
      <w:r>
        <w:rPr>
          <w:u w:val="single"/>
          <w:lang w:val="en_US" w:bidi="en_US"/>
        </w:rPr>
        <w:t>had controlled</w:t>
      </w:r>
      <w:r>
        <w:rPr>
          <w:lang w:val="en_US" w:bidi="en_US"/>
        </w:rPr>
        <w:t xml:space="preserve"> the man for a long time. People </w:t>
      </w:r>
      <w:r>
        <w:rPr>
          <w:u w:val="single"/>
          <w:lang w:val="en_US" w:bidi="en_US"/>
        </w:rPr>
        <w:t>had kept</w:t>
      </w:r>
      <w:r>
        <w:rPr>
          <w:lang w:val="en_US" w:bidi="en_US"/>
        </w:rPr>
        <w:t xml:space="preserve"> him under guard. (GW)</w:t>
      </w:r>
    </w:p>
    <w:p>
      <w:pPr>
        <w:pStyle w:val="ListBullet"/>
        <w:spacing w:line="240" w:lineRule="auto"/>
        <w:ind w:left="720"/>
      </w:pPr>
      <w:r>
        <w:rPr>
          <w:lang w:val="en_US" w:bidi="en_US"/>
        </w:rPr>
      </w:r>
      <w:r>
        <w:rPr>
          <w:lang w:val="en_US" w:bidi="en_US"/>
        </w:rPr>
        <w:t>State explicitly that 8:29b–e describes something that happened in the past. For example:</w:t>
      </w:r>
      <w:r>
        <w:rPr>
          <w:lang w:val="en_US" w:bidi="en_US"/>
        </w:rPr>
        <w:t xml:space="preserve">For many times </w:t>
      </w:r>
      <w:r>
        <w:rPr>
          <w:u w:val="single"/>
          <w:lang w:val="en_US" w:bidi="en_US"/>
        </w:rPr>
        <w:t>in the past</w:t>
      </w:r>
      <w:r>
        <w:rPr>
          <w:lang w:val="en_US" w:bidi="en_US"/>
        </w:rPr>
        <w:t>, the demon had seized him…</w:t>
      </w:r>
    </w:p>
    <w:p>
      <w:pPr/>
      <w:r>
        <w:rPr>
          <w:lang w:val="en_US" w:bidi="en_US"/>
        </w:rPr>
      </w:r>
      <w:r>
        <w:rPr>
          <w:lang w:val="en_US" w:bidi="en_US"/>
        </w:rPr>
        <w:t>See the General Comment on 8:27–29 at the end of the notes on 8:29e for a suggestion about how to reorder these verses.</w:t>
      </w:r>
    </w:p>
    <w:p>
      <w:pPr>
        <w:pStyle w:val="Heading5"/>
      </w:pPr>
      <w:r>
        <w:rPr>
          <w:lang w:val="en_US" w:bidi="en_US"/>
        </w:rPr>
        <w:t>8:29b</w:t>
      </w:r>
    </w:p>
    <w:p>
      <w:pPr/>
      <w:r>
        <w:rPr>
          <w:lang w:val="en_US" w:bidi="en_US"/>
        </w:rPr>
      </w:r>
      <w:r>
        <w:rPr>
          <w:b/>
          <w:lang w:val="en_US" w:bidi="en_US"/>
        </w:rPr>
        <w:t>Many times it had seized him,</w:t>
      </w:r>
    </w:p>
    <w:p>
      <w:pPr>
        <w:pStyle w:val="ListBullet"/>
        <w:spacing w:line="240" w:lineRule="auto"/>
        <w:ind w:left="720"/>
      </w:pPr>
      <w:r>
        <w:rPr>
          <w:lang w:val="en_US" w:bidi="en_US"/>
        </w:rPr>
      </w:r>
      <w:r>
        <w:rPr>
          <w:lang w:val="en_US" w:bidi="en_US"/>
        </w:rPr>
        <w:t xml:space="preserve">Many times </w:t>
      </w:r>
      <w:r>
        <w:rPr>
          <w:lang w:val="en_US" w:bidi="en_US"/>
        </w:rPr>
        <w:t>in the past</w:t>
      </w:r>
      <w:r>
        <w:rPr>
          <w:lang w:val="en_US" w:bidi="en_US"/>
        </w:rPr>
        <w:t>, the evil spirit had forcefully/violently taken control of him.</w:t>
      </w:r>
    </w:p>
    <w:p>
      <w:pPr>
        <w:pStyle w:val="ListBullet"/>
        <w:spacing w:line="240" w:lineRule="auto"/>
        <w:ind w:left="720"/>
      </w:pPr>
      <w:r>
        <w:rPr>
          <w:lang w:val="en_US" w:bidi="en_US"/>
        </w:rPr>
      </w:r>
      <w:r>
        <w:rPr>
          <w:lang w:val="en_US" w:bidi="en_US"/>
        </w:rPr>
        <w:t xml:space="preserve">On many </w:t>
      </w:r>
      <w:r>
        <w:rPr>
          <w:lang w:val="en_US" w:bidi="en_US"/>
        </w:rPr>
        <w:t>previous</w:t>
      </w:r>
      <w:r>
        <w:rPr>
          <w:lang w:val="en_US" w:bidi="en_US"/>
        </w:rPr>
        <w:t xml:space="preserve"> occasions, the demon had attacked and controlled the man.</w:t>
      </w:r>
    </w:p>
    <w:p>
      <w:pPr/>
      <w:r>
        <w:rPr>
          <w:lang w:val="en_US" w:bidi="en_US"/>
        </w:rPr>
      </w:r>
      <w:r>
        <w:rPr>
          <w:b/>
          <w:lang w:val="en_US" w:bidi="en_US"/>
        </w:rPr>
        <w:t>Many times:</w:t>
      </w:r>
      <w:r>
        <w:rPr>
          <w:lang w:val="en_US" w:bidi="en_US"/>
        </w:rPr>
        <w:t xml:space="preserve"> </w:t>
      </w:r>
      <w:r>
        <w:rPr>
          <w:i/>
          <w:lang w:val="en_US" w:bidi="en_US"/>
        </w:rPr>
        <w:t>Many times</w:t>
      </w:r>
      <w:r>
        <w:rPr>
          <w:lang w:val="en_US" w:bidi="en_US"/>
        </w:rPr>
        <w:t xml:space="preserve"> here means “on many </w:t>
      </w:r>
      <w:r>
        <w:rPr>
          <w:u w:val="single"/>
          <w:lang w:val="en_US" w:bidi="en_US"/>
        </w:rPr>
        <w:t>previous</w:t>
      </w:r>
      <w:r>
        <w:rPr>
          <w:lang w:val="en_US" w:bidi="en_US"/>
        </w:rPr>
        <w:t xml:space="preserve"> occasions.”</w:t>
      </w:r>
    </w:p>
    <w:p>
      <w:pPr/>
      <w:r>
        <w:rPr>
          <w:lang w:val="en_US" w:bidi="en_US"/>
        </w:rPr>
      </w:r>
      <w:r>
        <w:rPr>
          <w:b/>
          <w:lang w:val="en_US" w:bidi="en_US"/>
        </w:rPr>
        <w:t>it had seized him:</w:t>
      </w:r>
      <w:r>
        <w:rPr>
          <w:lang w:val="en_US" w:bidi="en_US"/>
        </w:rPr>
        <w:t xml:space="preserve"> The Greek phrase that the BSB translates as </w:t>
      </w:r>
      <w:r>
        <w:rPr>
          <w:i/>
          <w:lang w:val="en_US" w:bidi="en_US"/>
        </w:rPr>
        <w:t>it had seized him</w:t>
      </w:r>
      <w:r>
        <w:rPr>
          <w:lang w:val="en_US" w:bidi="en_US"/>
        </w:rPr>
        <w:t xml:space="preserve"> means that the demon had taken control of the man. It implies that it took control violently.</w:t>
      </w:r>
    </w:p>
    <w:p>
      <w:pPr>
        <w:pStyle w:val="Heading5"/>
      </w:pPr>
      <w:r>
        <w:rPr>
          <w:lang w:val="en_US" w:bidi="en_US"/>
        </w:rPr>
        <w:t>8:29c</w:t>
      </w:r>
    </w:p>
    <w:p>
      <w:pPr/>
      <w:r>
        <w:rPr>
          <w:lang w:val="en_US" w:bidi="en_US"/>
        </w:rPr>
      </w:r>
      <w:r>
        <w:rPr>
          <w:b/>
          <w:lang w:val="en_US" w:bidi="en_US"/>
        </w:rPr>
        <w:t>and though he was bound with chains and shackles,</w:t>
      </w:r>
    </w:p>
    <w:p>
      <w:pPr>
        <w:pStyle w:val="ListBullet"/>
        <w:spacing w:line="240" w:lineRule="auto"/>
        <w:ind w:left="720"/>
      </w:pPr>
      <w:r>
        <w:rPr>
          <w:lang w:val="en_US" w:bidi="en_US"/>
        </w:rPr>
      </w:r>
      <w:r>
        <w:rPr>
          <w:lang w:val="en_US" w:bidi="en_US"/>
        </w:rPr>
        <w:t>So</w:t>
      </w:r>
      <w:r>
        <w:rPr>
          <w:lang w:val="en_US" w:bidi="en_US"/>
        </w:rPr>
        <w:t xml:space="preserve"> </w:t>
      </w:r>
      <w:r>
        <w:rPr>
          <w:lang w:val="en_US" w:bidi="en_US"/>
        </w:rPr>
        <w:t>people</w:t>
      </w:r>
      <w:r>
        <w:rPr>
          <w:lang w:val="en_US" w:bidi="en_US"/>
        </w:rPr>
        <w:t xml:space="preserve"> had bound him with chains and foot shackles and guarded him.</w:t>
      </w:r>
    </w:p>
    <w:p>
      <w:pPr>
        <w:pStyle w:val="ListBullet"/>
        <w:spacing w:line="240" w:lineRule="auto"/>
        <w:ind w:left="720"/>
      </w:pPr>
      <w:r>
        <w:rPr>
          <w:lang w:val="en_US" w:bidi="en_US"/>
        </w:rPr>
      </w:r>
      <w:r>
        <w:rPr>
          <w:lang w:val="en_US" w:bidi="en_US"/>
        </w:rPr>
        <w:t>Then</w:t>
      </w:r>
      <w:r>
        <w:rPr>
          <w:lang w:val="en_US" w:bidi="en_US"/>
        </w:rPr>
        <w:t xml:space="preserve"> </w:t>
      </w:r>
      <w:r>
        <w:rPr>
          <w:lang w:val="en_US" w:bidi="en_US"/>
        </w:rPr>
        <w:t>men</w:t>
      </w:r>
      <w:r>
        <w:rPr>
          <w:lang w:val="en_US" w:bidi="en_US"/>
        </w:rPr>
        <w:t xml:space="preserve"> had </w:t>
      </w:r>
      <w:r>
        <w:rPr>
          <w:lang w:val="en_US" w:bidi="en_US"/>
        </w:rPr>
        <w:t>repeatedly</w:t>
      </w:r>
      <w:r>
        <w:rPr>
          <w:lang w:val="en_US" w:bidi="en_US"/>
        </w:rPr>
        <w:t xml:space="preserve"> tied his arms and feet with chains, and watched him </w:t>
      </w:r>
      <w:r>
        <w:rPr>
          <w:lang w:val="en_US" w:bidi="en_US"/>
        </w:rPr>
        <w:t>so that he would not escape</w:t>
      </w:r>
      <w:r>
        <w:rPr>
          <w:lang w:val="en_US" w:bidi="en_US"/>
        </w:rPr>
        <w: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connects 8:29b to 8:29c. It introduces what people did to the man after and as a result of the demons seizing him. See the note on this connection in the General Comment on 8:29c–d at the end of the notes on 8:29d.</w:t>
      </w:r>
    </w:p>
    <w:p>
      <w:pPr/>
      <w:r>
        <w:rPr>
          <w:lang w:val="en_US" w:bidi="en_US"/>
        </w:rPr>
      </w:r>
      <w:r>
        <w:rPr>
          <w:b/>
          <w:lang w:val="en_US" w:bidi="en_US"/>
        </w:rPr>
        <w:t>he was bound with chains and shackles:</w:t>
      </w:r>
      <w:r>
        <w:rPr>
          <w:lang w:val="en_US" w:bidi="en_US"/>
        </w:rPr>
        <w:t xml:space="preserve"> In this context, the word </w:t>
      </w:r>
      <w:r>
        <w:rPr>
          <w:i/>
          <w:lang w:val="en_US" w:bidi="en_US"/>
        </w:rPr>
        <w:t>chains</w:t>
      </w:r>
      <w:r>
        <w:rPr>
          <w:lang w:val="en_US" w:bidi="en_US"/>
        </w:rPr>
        <w:t xml:space="preserve"> refers to metal chains that were placed on a person’s wrists to restrain his arms. The word </w:t>
      </w:r>
      <w:r>
        <w:rPr>
          <w:i/>
          <w:lang w:val="en_US" w:bidi="en_US"/>
        </w:rPr>
        <w:t>shackles</w:t>
      </w:r>
      <w:r>
        <w:rPr>
          <w:lang w:val="en_US" w:bidi="en_US"/>
        </w:rPr>
        <w:t xml:space="preserve"> describes metal shackles or manacles that were placed around a person’s ankles and then chained together.</w:t>
      </w:r>
    </w:p>
    <w:p>
      <w:pPr/>
      <w:r>
        <w:rPr>
          <w:lang w:val="en_US" w:bidi="en_US"/>
        </w:rPr>
      </w:r>
      <w:r>
        <w:rPr>
          <w:lang w:val="en_US" w:bidi="en_US"/>
        </w:rPr>
        <w:t>Other ways to translate this are:</w:t>
      </w:r>
    </w:p>
    <w:p>
      <w:pPr/>
      <w:r>
        <w:rPr>
          <w:lang w:val="en_US" w:bidi="en_US"/>
        </w:rPr>
      </w:r>
      <w:r>
        <w:rPr>
          <w:lang w:val="en_US" w:bidi="en_US"/>
        </w:rPr>
        <w:t>he was chained hand and foot (NIV)</w:t>
      </w:r>
    </w:p>
    <w:p>
      <w:pPr/>
      <w:r>
        <w:rPr>
          <w:lang w:val="en_US" w:bidi="en_US"/>
        </w:rPr>
      </w:r>
      <w:r>
        <w:rPr>
          <w:lang w:val="en_US" w:bidi="en_US"/>
        </w:rPr>
        <w:t>his wrists and his feet were put in chains</w:t>
      </w:r>
    </w:p>
    <w:p>
      <w:pPr/>
      <w:r>
        <w:rPr>
          <w:lang w:val="en_US" w:bidi="en_US"/>
        </w:rPr>
      </w:r>
      <w:r>
        <w:rPr>
          <w:b/>
          <w:lang w:val="en_US" w:bidi="en_US"/>
        </w:rPr>
        <w:t>he was bound with chains and shackles:</w:t>
      </w:r>
      <w:r>
        <w:rPr>
          <w:lang w:val="en_US" w:bidi="en_US"/>
        </w:rPr>
        <w:t xml:space="preserve"> This clause is passive. In some languages it may be more natural to make it active and supply a general subject such as “people” or “men.” For example:</w:t>
      </w:r>
    </w:p>
    <w:p>
      <w:pPr/>
      <w:r>
        <w:rPr>
          <w:lang w:val="en_US" w:bidi="en_US"/>
        </w:rPr>
      </w:r>
      <w:r>
        <w:rPr>
          <w:lang w:val="en_US" w:bidi="en_US"/>
        </w:rPr>
        <w:t>men had bound him with chains around his arms and shackles on his feet</w:t>
      </w:r>
    </w:p>
    <w:p>
      <w:pPr/>
      <w:r>
        <w:rPr>
          <w:lang w:val="en_US" w:bidi="en_US"/>
        </w:rPr>
      </w:r>
      <w:r>
        <w:rPr>
          <w:lang w:val="en_US" w:bidi="en_US"/>
        </w:rPr>
        <w:t>people had tied his arms with chains and put his feet in shackles</w:t>
      </w:r>
    </w:p>
    <w:p>
      <w:pPr/>
      <w:r>
        <w:rPr>
          <w:lang w:val="en_US" w:bidi="en_US"/>
        </w:rPr>
      </w:r>
      <w:r>
        <w:rPr>
          <w:lang w:val="en_US" w:bidi="en_US"/>
        </w:rPr>
        <w:t xml:space="preserve">The Greek phrase that the BSB translates as </w:t>
      </w:r>
      <w:r>
        <w:rPr>
          <w:i/>
          <w:lang w:val="en_US" w:bidi="en_US"/>
        </w:rPr>
        <w:t>bound with…shackles</w:t>
      </w:r>
      <w:r>
        <w:rPr>
          <w:lang w:val="en_US" w:bidi="en_US"/>
        </w:rPr>
        <w:t xml:space="preserve"> also indicates that men had guarded the man so that he would not escape and hurt someone. The text does not say who had guarded him. If you must say who had guarded the man, try to use a general word such as “men” or “guards.” Here are some ways to express this idea:</w:t>
      </w:r>
    </w:p>
    <w:p>
      <w:pPr/>
      <w:r>
        <w:rPr>
          <w:lang w:val="en_US" w:bidi="en_US"/>
        </w:rPr>
      </w:r>
      <w:r>
        <w:rPr>
          <w:lang w:val="en_US" w:bidi="en_US"/>
        </w:rPr>
        <w:t xml:space="preserve">he was chained hand and foot </w:t>
      </w:r>
      <w:r>
        <w:rPr>
          <w:u w:val="single"/>
          <w:lang w:val="en_US" w:bidi="en_US"/>
        </w:rPr>
        <w:t>and kept under guard</w:t>
      </w:r>
      <w:r>
        <w:rPr>
          <w:lang w:val="en_US" w:bidi="en_US"/>
        </w:rPr>
        <w:t xml:space="preserve"> (NIV)</w:t>
      </w:r>
    </w:p>
    <w:p>
      <w:pPr/>
      <w:r>
        <w:rPr>
          <w:lang w:val="en_US" w:bidi="en_US"/>
        </w:rPr>
      </w:r>
      <w:r>
        <w:rPr>
          <w:u w:val="single"/>
          <w:lang w:val="en_US" w:bidi="en_US"/>
        </w:rPr>
        <w:t>he was kept a prisoner</w:t>
      </w:r>
      <w:r>
        <w:rPr>
          <w:lang w:val="en_US" w:bidi="en_US"/>
        </w:rPr>
        <w:t>, his hands and feet tied with chains (GNT)</w:t>
      </w:r>
    </w:p>
    <w:p>
      <w:pPr>
        <w:pStyle w:val="Heading5"/>
      </w:pPr>
      <w:r>
        <w:rPr>
          <w:lang w:val="en_US" w:bidi="en_US"/>
        </w:rPr>
        <w:t>8:29d</w:t>
      </w:r>
    </w:p>
    <w:p>
      <w:pPr/>
      <w:r>
        <w:rPr>
          <w:lang w:val="en_US" w:bidi="en_US"/>
        </w:rPr>
      </w:r>
      <w:r>
        <w:rPr>
          <w:b/>
          <w:lang w:val="en_US" w:bidi="en_US"/>
        </w:rPr>
        <w:t>he had broken the chains</w:t>
      </w:r>
    </w:p>
    <w:p>
      <w:pPr>
        <w:pStyle w:val="ListBullet"/>
        <w:spacing w:line="240" w:lineRule="auto"/>
        <w:ind w:left="720"/>
      </w:pPr>
      <w:r>
        <w:rPr>
          <w:lang w:val="en_US" w:bidi="en_US"/>
        </w:rPr>
      </w:r>
      <w:r>
        <w:rPr>
          <w:lang w:val="en_US" w:bidi="en_US"/>
        </w:rPr>
        <w:t>And/then he had broken the bonds,</w:t>
      </w:r>
    </w:p>
    <w:p>
      <w:pPr>
        <w:pStyle w:val="ListBullet"/>
        <w:spacing w:line="240" w:lineRule="auto"/>
        <w:ind w:left="720"/>
      </w:pPr>
      <w:r>
        <w:rPr>
          <w:lang w:val="en_US" w:bidi="en_US"/>
        </w:rPr>
      </w:r>
      <w:r>
        <w:rPr>
          <w:lang w:val="en_US" w:bidi="en_US"/>
        </w:rPr>
        <w:t xml:space="preserve">But he </w:t>
      </w:r>
      <w:r>
        <w:rPr>
          <w:lang w:val="en_US" w:bidi="en_US"/>
        </w:rPr>
        <w:t>always</w:t>
      </w:r>
      <w:r>
        <w:rPr>
          <w:lang w:val="en_US" w:bidi="en_US"/>
        </w:rPr>
        <w:t xml:space="preserve"> broke the chains and shackles,</w:t>
      </w:r>
    </w:p>
    <w:p>
      <w:pPr/>
      <w:r>
        <w:rPr>
          <w:lang w:val="en_US" w:bidi="en_US"/>
        </w:rPr>
      </w:r>
      <w:r>
        <w:rPr>
          <w:lang w:val="en_US" w:bidi="en_US"/>
        </w:rPr>
        <w:t>See General Comment on 8:29c–d below for suggestions on how to translate this connection.</w:t>
      </w:r>
    </w:p>
    <w:p>
      <w:pPr/>
      <w:r>
        <w:rPr>
          <w:lang w:val="en_US" w:bidi="en_US"/>
        </w:rPr>
      </w:r>
      <w:r>
        <w:rPr>
          <w:b/>
          <w:lang w:val="en_US" w:bidi="en_US"/>
        </w:rPr>
        <w:t>he had broken the chains:</w:t>
      </w:r>
      <w:r>
        <w:rPr>
          <w:lang w:val="en_US" w:bidi="en_US"/>
        </w:rPr>
        <w:t xml:space="preserve"> The action </w:t>
      </w:r>
      <w:r>
        <w:rPr>
          <w:i/>
          <w:lang w:val="en_US" w:bidi="en_US"/>
        </w:rPr>
        <w:t>had broken the chains</w:t>
      </w:r>
      <w:r>
        <w:rPr>
          <w:lang w:val="en_US" w:bidi="en_US"/>
        </w:rPr>
        <w:t xml:space="preserve"> is something that happened several times. Each time the man had been bound, the demons caused him to be so strong that he was able to break the chains.</w:t>
      </w:r>
    </w:p>
    <w:p>
      <w:pPr/>
      <w:r>
        <w:rPr>
          <w:lang w:val="en_US" w:bidi="en_US"/>
        </w:rPr>
      </w:r>
      <w:r>
        <w:rPr>
          <w:b/>
          <w:lang w:val="en_US" w:bidi="en_US"/>
        </w:rPr>
        <w:t>the chains:</w:t>
      </w:r>
      <w:r>
        <w:rPr>
          <w:lang w:val="en_US" w:bidi="en_US"/>
        </w:rPr>
        <w:t xml:space="preserve"> The Greek word that the BSB translates as </w:t>
      </w:r>
      <w:r>
        <w:rPr>
          <w:i/>
          <w:lang w:val="en_US" w:bidi="en_US"/>
        </w:rPr>
        <w:t>chains</w:t>
      </w:r>
      <w:r>
        <w:rPr>
          <w:lang w:val="en_US" w:bidi="en_US"/>
        </w:rPr>
        <w:t xml:space="preserve"> means “bonds.” It refers here to something that is used to bind or restrain a person. It is a general word that includes both the chains that bound the man’s hands and the shackles around his feet. The Greek text literally says “the bonds.” Refer to these bonds in a clear and natural way in your language.</w:t>
      </w:r>
    </w:p>
    <w:p>
      <w:pPr>
        <w:pStyle w:val="Heading6"/>
      </w:pPr>
      <w:r>
        <w:rPr>
          <w:b/>
          <w:lang w:val="en_US" w:bidi="en_US"/>
        </w:rPr>
        <w:t>General Comment on 8:29c–d</w:t>
      </w:r>
    </w:p>
    <w:p>
      <w:pPr/>
      <w:r>
        <w:rPr>
          <w:lang w:val="en_US" w:bidi="en_US"/>
        </w:rPr>
      </w:r>
      <w:r>
        <w:rPr>
          <w:lang w:val="en_US" w:bidi="en_US"/>
        </w:rPr>
        <w:t>In Greek, 8:29d is introduced by the conjunction that is often translated as “and” in English:</w:t>
      </w:r>
    </w:p>
    <w:p>
      <w:pPr/>
      <w:r>
        <w:rPr>
          <w:lang w:val="en_US" w:bidi="en_US"/>
        </w:rPr>
      </w:r>
      <w:r>
        <w:rPr>
          <w:lang w:val="en_US" w:bidi="en_US"/>
        </w:rPr>
        <w:t>he had been chained…</w:t>
      </w:r>
      <w:r>
        <w:rPr>
          <w:u w:val="single"/>
          <w:lang w:val="en_US" w:bidi="en_US"/>
        </w:rPr>
        <w:t>and</w:t>
      </w:r>
      <w:r>
        <w:rPr>
          <w:lang w:val="en_US" w:bidi="en_US"/>
        </w:rPr>
        <w:t xml:space="preserve"> he had broken the chains</w:t>
      </w:r>
    </w:p>
    <w:p>
      <w:pPr/>
      <w:r>
        <w:rPr>
          <w:lang w:val="en_US" w:bidi="en_US"/>
        </w:rPr>
      </w:r>
      <w:r>
        <w:rPr>
          <w:lang w:val="en_US" w:bidi="en_US"/>
        </w:rPr>
        <w:t>However, there is a contrast between 8:29c and 8:29d. People wanted and expected the man to remain bound. Instead he broke the bonds. Some ways to express this contrast in English are:</w:t>
      </w:r>
    </w:p>
    <w:p>
      <w:pPr/>
      <w:r>
        <w:rPr>
          <w:lang w:val="en_US" w:bidi="en_US"/>
        </w:rPr>
      </w:r>
      <w:r>
        <w:rPr>
          <w:u w:val="single"/>
          <w:lang w:val="en_US" w:bidi="en_US"/>
        </w:rPr>
        <w:t>although</w:t>
      </w:r>
      <w:r>
        <w:rPr>
          <w:lang w:val="en_US" w:bidi="en_US"/>
        </w:rPr>
        <w:t xml:space="preserve"> he had been chained…he had broken the chains</w:t>
      </w:r>
    </w:p>
    <w:p>
      <w:pPr/>
      <w:r>
        <w:rPr>
          <w:lang w:val="en_US" w:bidi="en_US"/>
        </w:rPr>
      </w:r>
      <w:r>
        <w:rPr>
          <w:lang w:val="en_US" w:bidi="en_US"/>
        </w:rPr>
        <w:t>he had been chained…</w:t>
      </w:r>
      <w:r>
        <w:rPr>
          <w:u w:val="single"/>
          <w:lang w:val="en_US" w:bidi="en_US"/>
        </w:rPr>
        <w:t>but</w:t>
      </w:r>
      <w:r>
        <w:rPr>
          <w:lang w:val="en_US" w:bidi="en_US"/>
        </w:rPr>
        <w:t xml:space="preserve"> he had broken the chains</w:t>
      </w:r>
    </w:p>
    <w:p>
      <w:pPr/>
      <w:r>
        <w:rPr>
          <w:lang w:val="en_US" w:bidi="en_US"/>
        </w:rPr>
      </w:r>
      <w:r>
        <w:rPr>
          <w:lang w:val="en_US" w:bidi="en_US"/>
        </w:rPr>
        <w:t>Connect 8:29c to 8:29d in a way that is natural in your language.</w:t>
      </w:r>
    </w:p>
    <w:p>
      <w:pPr>
        <w:pStyle w:val="Heading5"/>
      </w:pPr>
      <w:r>
        <w:rPr>
          <w:lang w:val="en_US" w:bidi="en_US"/>
        </w:rPr>
        <w:t>8:29e</w:t>
      </w:r>
    </w:p>
    <w:p>
      <w:pPr/>
      <w:r>
        <w:rPr>
          <w:lang w:val="en_US" w:bidi="en_US"/>
        </w:rPr>
      </w:r>
      <w:r>
        <w:rPr>
          <w:b/>
          <w:lang w:val="en_US" w:bidi="en_US"/>
        </w:rPr>
        <w:t>and been driven by the demon into solitary places.</w:t>
      </w:r>
    </w:p>
    <w:p>
      <w:pPr>
        <w:pStyle w:val="ListBullet"/>
        <w:spacing w:line="240" w:lineRule="auto"/>
        <w:ind w:left="720"/>
      </w:pPr>
      <w:r>
        <w:rPr>
          <w:lang w:val="en_US" w:bidi="en_US"/>
        </w:rPr>
      </w:r>
      <w:r>
        <w:rPr>
          <w:lang w:val="en_US" w:bidi="en_US"/>
        </w:rPr>
        <w:t>and the demon had made him go into the wilderness.</w:t>
      </w:r>
    </w:p>
    <w:p>
      <w:pPr>
        <w:pStyle w:val="ListBullet"/>
        <w:spacing w:line="240" w:lineRule="auto"/>
        <w:ind w:left="720"/>
      </w:pPr>
      <w:r>
        <w:rPr>
          <w:lang w:val="en_US" w:bidi="en_US"/>
        </w:rPr>
      </w:r>
      <w:r>
        <w:rPr>
          <w:lang w:val="en_US" w:bidi="en_US"/>
        </w:rPr>
        <w:t xml:space="preserve">and the demon forced him to go </w:t>
      </w:r>
      <w:r>
        <w:rPr>
          <w:lang w:val="en_US" w:bidi="en_US"/>
        </w:rPr>
        <w:t>and live/stay where there were no other people</w:t>
      </w:r>
      <w:r>
        <w:rPr>
          <w:lang w:val="en_US" w:bidi="en_US"/>
        </w:rPr>
        <w:t>.</w:t>
      </w:r>
    </w:p>
    <w:p>
      <w:pPr/>
      <w:r>
        <w:rPr>
          <w:lang w:val="en_US" w:bidi="en_US"/>
        </w:rPr>
      </w:r>
      <w:r>
        <w:rPr>
          <w:b/>
          <w:lang w:val="en_US" w:bidi="en_US"/>
        </w:rPr>
        <w:t>been driven by the demon into solitary places:</w:t>
      </w:r>
      <w:r>
        <w:rPr>
          <w:lang w:val="en_US" w:bidi="en_US"/>
        </w:rPr>
        <w:t xml:space="preserve"> The Greek phrase that the BSB translates as </w:t>
      </w:r>
      <w:r>
        <w:rPr>
          <w:i/>
          <w:lang w:val="en_US" w:bidi="en_US"/>
        </w:rPr>
        <w:t>been driven by the demon into solitary places</w:t>
      </w:r>
      <w:r>
        <w:rPr>
          <w:lang w:val="en_US" w:bidi="en_US"/>
        </w:rPr>
        <w:t xml:space="preserve"> means that the demon had forced the man to go and stay in wild, deserted places.</w:t>
      </w:r>
    </w:p>
    <w:p>
      <w:pPr/>
      <w:r>
        <w:rPr>
          <w:lang w:val="en_US" w:bidi="en_US"/>
        </w:rPr>
      </w:r>
      <w:r>
        <w:rPr>
          <w:b/>
          <w:lang w:val="en_US" w:bidi="en_US"/>
        </w:rPr>
        <w:t>demon:</w:t>
      </w:r>
      <w:r>
        <w:rPr>
          <w:lang w:val="en_US" w:bidi="en_US"/>
        </w:rPr>
        <w:t xml:space="preserve"> The Greek word that the BSB translates as </w:t>
      </w:r>
      <w:r>
        <w:rPr>
          <w:i/>
          <w:lang w:val="en_US" w:bidi="en_US"/>
        </w:rPr>
        <w:t>demon</w:t>
      </w:r>
      <w:r>
        <w:rPr>
          <w:lang w:val="en_US" w:bidi="en_US"/>
        </w:rPr>
        <w:t xml:space="preserve"> is the singular form of the same word as in 8:27b.</w:t>
      </w:r>
    </w:p>
    <w:p>
      <w:pPr/>
      <w:r>
        <w:rPr>
          <w:lang w:val="en_US" w:bidi="en_US"/>
        </w:rPr>
      </w:r>
      <w:r>
        <w:rPr>
          <w:b/>
          <w:lang w:val="en_US" w:bidi="en_US"/>
        </w:rPr>
        <w:t>solitary places:</w:t>
      </w:r>
      <w:r>
        <w:rPr>
          <w:lang w:val="en_US" w:bidi="en_US"/>
        </w:rPr>
        <w:t xml:space="preserve"> The Greek word that the BSB translates as </w:t>
      </w:r>
      <w:r>
        <w:rPr>
          <w:i/>
          <w:lang w:val="en_US" w:bidi="en_US"/>
        </w:rPr>
        <w:t>solitary places</w:t>
      </w:r>
      <w:r>
        <w:rPr>
          <w:lang w:val="en_US" w:bidi="en_US"/>
        </w:rPr>
        <w:t xml:space="preserve"> can also be translated as “desert” or “wilderness.” It refers to wild or desolate areas where few people lived. In this context the land was suitable for grazing pigs. See how you translated the same Greek word at 1:80b, 3:2b, 4:1b, 5:16, and 7:24b.</w:t>
      </w:r>
    </w:p>
    <w:p>
      <w:pPr>
        <w:pStyle w:val="Heading6"/>
      </w:pPr>
      <w:r>
        <w:rPr>
          <w:b/>
          <w:lang w:val="en_US" w:bidi="en_US"/>
        </w:rPr>
        <w:t>General Comment on 8:27–29</w:t>
      </w:r>
    </w:p>
    <w:p>
      <w:pPr/>
      <w:r>
        <w:rPr>
          <w:lang w:val="en_US" w:bidi="en_US"/>
        </w:rPr>
      </w:r>
      <w:r>
        <w:rPr>
          <w:lang w:val="en_US" w:bidi="en_US"/>
        </w:rPr>
        <w:t>In many languages, it is more natural to follow chronological order here or to put background information before the events of the story. In these languages, it may be necessary to reorder the information in these verses. Here is one example:</w:t>
      </w:r>
    </w:p>
    <w:p>
      <w:pPr/>
      <w:r>
        <w:rPr>
          <w:lang w:val="en_US" w:bidi="en_US"/>
        </w:rPr>
      </w:r>
      <w:r>
        <w:rPr>
          <w:vertAlign w:val="superscript"/>
          <w:lang w:val="en_US" w:bidi="en_US"/>
        </w:rPr>
        <w:t>27b</w:t>
      </w:r>
      <w:r>
        <w:rPr>
          <w:lang w:val="en_US" w:bidi="en_US"/>
        </w:rPr>
        <w:t xml:space="preserve">There was a man there who was </w:t>
      </w:r>
      <w:r>
        <w:rPr>
          <w:lang w:val="en_US" w:bidi="en_US"/>
        </w:rPr>
        <w:t>formerly</w:t>
      </w:r>
      <w:r>
        <w:rPr>
          <w:lang w:val="en_US" w:bidi="en_US"/>
        </w:rPr>
        <w:t xml:space="preserve"> from the city and who was controlled by demons. </w:t>
      </w:r>
      <w:r>
        <w:rPr>
          <w:vertAlign w:val="superscript"/>
          <w:lang w:val="en_US" w:bidi="en_US"/>
        </w:rPr>
        <w:t>29b</w:t>
      </w:r>
      <w:r>
        <w:rPr>
          <w:lang w:val="en_US" w:bidi="en_US"/>
        </w:rPr>
        <w:t xml:space="preserve">Many times the demon had violently taken control of him, </w:t>
      </w:r>
      <w:r>
        <w:rPr>
          <w:vertAlign w:val="superscript"/>
          <w:lang w:val="en_US" w:bidi="en_US"/>
        </w:rPr>
        <w:t>29c</w:t>
      </w:r>
      <w:r>
        <w:rPr>
          <w:lang w:val="en_US" w:bidi="en_US"/>
        </w:rPr>
        <w:t xml:space="preserve">so people had bound him with chains and foot-shackles and guarded him. </w:t>
      </w:r>
      <w:r>
        <w:rPr>
          <w:vertAlign w:val="superscript"/>
          <w:lang w:val="en_US" w:bidi="en_US"/>
        </w:rPr>
        <w:t>29d</w:t>
      </w:r>
      <w:r>
        <w:rPr>
          <w:lang w:val="en_US" w:bidi="en_US"/>
        </w:rPr>
        <w:t xml:space="preserve">But he had broken the chains and shackles </w:t>
      </w:r>
      <w:r>
        <w:rPr>
          <w:vertAlign w:val="superscript"/>
          <w:lang w:val="en_US" w:bidi="en_US"/>
        </w:rPr>
        <w:t>29e</w:t>
      </w:r>
      <w:r>
        <w:rPr>
          <w:lang w:val="en_US" w:bidi="en_US"/>
        </w:rPr>
        <w:t xml:space="preserve">and the demon made him go into the wilderness. </w:t>
      </w:r>
      <w:r>
        <w:rPr>
          <w:vertAlign w:val="superscript"/>
          <w:lang w:val="en_US" w:bidi="en_US"/>
        </w:rPr>
        <w:t>27e</w:t>
      </w:r>
      <w:r>
        <w:rPr>
          <w:lang w:val="en_US" w:bidi="en_US"/>
        </w:rPr>
        <w:t xml:space="preserve">There he lived in burial caves. </w:t>
      </w:r>
      <w:r>
        <w:rPr>
          <w:vertAlign w:val="superscript"/>
          <w:lang w:val="en_US" w:bidi="en_US"/>
        </w:rPr>
        <w:t>27d</w:t>
      </w:r>
      <w:r>
        <w:rPr>
          <w:lang w:val="en_US" w:bidi="en_US"/>
        </w:rPr>
        <w:t xml:space="preserve">He had not lived in a house, </w:t>
      </w:r>
      <w:r>
        <w:rPr>
          <w:vertAlign w:val="superscript"/>
          <w:lang w:val="en_US" w:bidi="en_US"/>
        </w:rPr>
        <w:t>27c</w:t>
      </w:r>
      <w:r>
        <w:rPr>
          <w:lang w:val="en_US" w:bidi="en_US"/>
        </w:rPr>
        <w:t xml:space="preserve">or worn clothes for a long time. </w:t>
      </w:r>
      <w:r>
        <w:rPr>
          <w:vertAlign w:val="superscript"/>
          <w:lang w:val="en_US" w:bidi="en_US"/>
        </w:rPr>
        <w:t>28a</w:t>
      </w:r>
      <w:r>
        <w:rPr>
          <w:lang w:val="en_US" w:bidi="en_US"/>
        </w:rPr>
        <w:t xml:space="preserve">When he saw Jesus, he screamed, </w:t>
      </w:r>
      <w:r>
        <w:rPr>
          <w:vertAlign w:val="superscript"/>
          <w:lang w:val="en_US" w:bidi="en_US"/>
        </w:rPr>
        <w:t>27a</w:t>
      </w:r>
      <w:r>
        <w:rPr>
          <w:lang w:val="en_US" w:bidi="en_US"/>
        </w:rPr>
        <w:t xml:space="preserve">came to him, </w:t>
      </w:r>
      <w:r>
        <w:rPr>
          <w:vertAlign w:val="superscript"/>
          <w:lang w:val="en_US" w:bidi="en_US"/>
        </w:rPr>
        <w:t>28a</w:t>
      </w:r>
      <w:r>
        <w:rPr>
          <w:lang w:val="en_US" w:bidi="en_US"/>
        </w:rPr>
        <w:t xml:space="preserve">and bowed down in front of him. </w:t>
      </w:r>
      <w:r>
        <w:rPr>
          <w:vertAlign w:val="superscript"/>
          <w:lang w:val="en_US" w:bidi="en_US"/>
        </w:rPr>
        <w:t>29a</w:t>
      </w:r>
      <w:r>
        <w:rPr>
          <w:lang w:val="en_US" w:bidi="en_US"/>
        </w:rPr>
        <w:t xml:space="preserve">Jesus commanded the evil spirit to come out of the man. </w:t>
      </w:r>
      <w:r>
        <w:rPr>
          <w:vertAlign w:val="superscript"/>
          <w:lang w:val="en_US" w:bidi="en_US"/>
        </w:rPr>
        <w:t>28b</w:t>
      </w:r>
      <w:r>
        <w:rPr>
          <w:lang w:val="en_US" w:bidi="en_US"/>
        </w:rPr>
        <w:t xml:space="preserve">Then the man shouted very loudly, </w:t>
      </w:r>
      <w:r>
        <w:rPr>
          <w:vertAlign w:val="superscript"/>
          <w:lang w:val="en_US" w:bidi="en_US"/>
        </w:rPr>
        <w:t>28c</w:t>
      </w:r>
      <w:r>
        <w:rPr>
          <w:lang w:val="en_US" w:bidi="en_US"/>
        </w:rPr>
        <w:t xml:space="preserve">“What connection do you and I have with each other, Jesus, Son of the Greatest God? </w:t>
      </w:r>
      <w:r>
        <w:rPr>
          <w:vertAlign w:val="superscript"/>
          <w:lang w:val="en_US" w:bidi="en_US"/>
        </w:rPr>
        <w:t>28d</w:t>
      </w:r>
      <w:r>
        <w:rPr>
          <w:lang w:val="en_US" w:bidi="en_US"/>
        </w:rPr>
        <w:t>I beg you not to punish me!”</w:t>
      </w:r>
      <w:r>
        <w:rPr>
          <w:lang w:val="en_US" w:bidi="en_US"/>
        </w:rPr>
      </w:r>
      <w:r>
        <w:rPr>
          <w:lang w:val="en_US" w:bidi="en_US"/>
        </w:rPr>
      </w:r>
    </w:p>
    <w:p>
      <w:pPr/>
      <w:r>
        <w:rPr>
          <w:lang w:val="en_US" w:bidi="en_US"/>
        </w:rPr>
      </w:r>
    </w:p>
    <w:p>
      <w:pPr>
        <w:pStyle w:val="Heading2"/>
      </w:pPr>
      <w:r>
        <w:rPr>
          <w:lang w:val="en_US" w:bidi="en_US"/>
        </w:rPr>
        <w:t>Luke 8:30</w:t>
      </w:r>
      <w:r>
        <w:rPr>
          <w:lang w:val="en_US" w:bidi="en_US"/>
        </w:rPr>
      </w:r>
    </w:p>
    <w:p>
      <w:pPr>
        <w:pStyle w:val="Heading4"/>
      </w:pPr>
      <w:r>
        <w:rPr>
          <w:lang w:val="en_US" w:bidi="en_US"/>
        </w:rPr>
        <w:t>Section 8:26–39: Jesus freed a man whom many demons controlled</w:t>
      </w:r>
    </w:p>
    <w:p>
      <w:pPr/>
      <w:r>
        <w:rPr>
          <w:lang w:val="en_US" w:bidi="en_US"/>
        </w:rPr>
      </w:r>
      <w:r>
        <w:rPr>
          <w:lang w:val="en_US" w:bidi="en_US"/>
        </w:rP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pPr/>
      <w:r>
        <w:rPr>
          <w:lang w:val="en_US" w:bidi="en_US"/>
        </w:rPr>
      </w:r>
      <w:r>
        <w:rPr>
          <w:lang w:val="en_US" w:bidi="en_US"/>
        </w:rPr>
        <w:t>“Uncleanness” is a theme in this story. The spirits that controlled the man were considered “unclean” (and called “unclean” in 8:29a). Tombs were “unclean.” Jews also considered pigs to be “unclean.”</w:t>
      </w:r>
    </w:p>
    <w:p>
      <w:pPr/>
      <w:r>
        <w:rPr>
          <w:lang w:val="en_US" w:bidi="en_US"/>
        </w:rPr>
      </w:r>
      <w:r>
        <w:rPr>
          <w:lang w:val="en_US" w:bidi="en_US"/>
        </w:rP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pPr/>
      <w:r>
        <w:rPr>
          <w:lang w:val="en_US" w:bidi="en_US"/>
        </w:rPr>
      </w:r>
      <w:r>
        <w:rPr>
          <w:lang w:val="en_US" w:bidi="en_US"/>
        </w:rPr>
        <w:t>Some other possible headings for this section are:</w:t>
      </w:r>
    </w:p>
    <w:p>
      <w:pPr/>
      <w:r>
        <w:rPr>
          <w:lang w:val="en_US" w:bidi="en_US"/>
        </w:rPr>
      </w:r>
      <w:r>
        <w:rPr>
          <w:lang w:val="en_US" w:bidi="en_US"/>
        </w:rPr>
        <w:t>Jesus commanded many demons to leave a man</w:t>
      </w:r>
    </w:p>
    <w:p>
      <w:pPr/>
      <w:r>
        <w:rPr>
          <w:lang w:val="en_US" w:bidi="en_US"/>
        </w:rPr>
      </w:r>
      <w:r>
        <w:rPr>
          <w:lang w:val="en_US" w:bidi="en_US"/>
        </w:rPr>
        <w:t>The deliverance of a man who was controlled by many demons</w:t>
      </w:r>
    </w:p>
    <w:p>
      <w:pPr/>
      <w:r>
        <w:rPr>
          <w:lang w:val="en_US" w:bidi="en_US"/>
        </w:rPr>
      </w:r>
      <w:r>
        <w:rPr>
          <w:lang w:val="en_US" w:bidi="en_US"/>
        </w:rPr>
        <w:t>There are parallel passages for this section in Matthew 8:28–34 and Mark 5:1–20.</w:t>
      </w:r>
    </w:p>
    <w:p>
      <w:pPr>
        <w:pStyle w:val="Heading4"/>
      </w:pPr>
      <w:r>
        <w:rPr>
          <w:lang w:val="en_US" w:bidi="en_US"/>
        </w:rPr>
        <w:t>Paragraph 8:26–33</w:t>
      </w:r>
    </w:p>
    <w:p>
      <w:pPr/>
      <w:r>
        <w:rPr>
          <w:lang w:val="en_US" w:bidi="en_US"/>
        </w:rPr>
      </w:r>
      <w:r>
        <w:rPr>
          <w:lang w:val="en_US" w:bidi="en_US"/>
        </w:rPr>
        <w:t>In this paragraph Luke told about events that happened when Jesus and his disciples came to the other side of the lake. Several times Luke inserted background information about the past. In some languages speakers often shift in this way between telling events and giving background information to explain them. Use natural ways to do this in your language.</w:t>
      </w:r>
    </w:p>
    <w:p>
      <w:pPr/>
      <w:r>
        <w:rPr>
          <w:lang w:val="en_US" w:bidi="en_US"/>
        </w:rPr>
      </w:r>
      <w:r>
        <w:rPr>
          <w:lang w:val="en_US" w:bidi="en_US"/>
        </w:rPr>
        <w:t>In some languages this shift between actions and background information may be confusing. You may need to change the order of some information in these verses. See the General Comment on 8:27a–28a at the end of the notes on 8:28a and the longer General Comment on 8:27–29 at the end of the notes on 8:29e for suggestions.</w:t>
      </w:r>
    </w:p>
    <w:p>
      <w:pPr>
        <w:pStyle w:val="Heading5"/>
      </w:pPr>
      <w:r>
        <w:rPr>
          <w:lang w:val="en_US" w:bidi="en_US"/>
        </w:rPr>
        <w:t>8:30a</w:t>
      </w:r>
    </w:p>
    <w:p>
      <w:pPr/>
      <w:r>
        <w:rPr>
          <w:lang w:val="en_US" w:bidi="en_US"/>
        </w:rPr>
      </w:r>
      <w:r>
        <w:rPr>
          <w:b/>
          <w:lang w:val="en_US" w:bidi="en_US"/>
        </w:rPr>
        <w:t>“What is your name?” Jesus asked.</w:t>
      </w:r>
    </w:p>
    <w:p>
      <w:pPr>
        <w:pStyle w:val="ListBullet"/>
        <w:spacing w:line="240" w:lineRule="auto"/>
        <w:ind w:left="720"/>
      </w:pPr>
      <w:r>
        <w:rPr>
          <w:lang w:val="en_US" w:bidi="en_US"/>
        </w:rPr>
      </w:r>
      <w:r>
        <w:rPr>
          <w:lang w:val="en_US" w:bidi="en_US"/>
        </w:rPr>
        <w:t>Jesus asked him, “What is your</w:t>
      </w:r>
      <w:r>
        <w:rPr>
          <w:vertAlign w:val="superscript"/>
          <w:lang w:val="en_US" w:bidi="en_US"/>
        </w:rPr>
        <w:t>(sing)</w:t>
      </w:r>
      <w:r>
        <w:rPr>
          <w:lang w:val="en_US" w:bidi="en_US"/>
        </w:rPr>
        <w:t xml:space="preserve"> name?”</w:t>
      </w:r>
    </w:p>
    <w:p>
      <w:pPr>
        <w:pStyle w:val="ListBullet"/>
        <w:spacing w:line="240" w:lineRule="auto"/>
        <w:ind w:left="720"/>
      </w:pPr>
      <w:r>
        <w:rPr>
          <w:lang w:val="en_US" w:bidi="en_US"/>
        </w:rPr>
      </w:r>
      <w:r>
        <w:rPr>
          <w:lang w:val="en_US" w:bidi="en_US"/>
        </w:rPr>
        <w:t>Then Jesus asked the man, “How do you call yourself?</w:t>
      </w:r>
      <w:r>
        <w:rPr>
          <w:vertAlign w:val="superscript"/>
          <w:lang w:val="en_US" w:bidi="en_US"/>
        </w:rPr>
        <w:t>(sing)</w:t>
      </w:r>
      <w:r>
        <w:rPr>
          <w:lang w:val="en_US" w:bidi="en_US"/>
        </w:rPr>
        <w:t>”</w:t>
      </w:r>
    </w:p>
    <w:p>
      <w:pPr/>
      <w:r>
        <w:rPr>
          <w:lang w:val="en_US" w:bidi="en_US"/>
        </w:rPr>
      </w:r>
      <w:r>
        <w:rPr>
          <w:b/>
          <w:lang w:val="en_US" w:bidi="en_US"/>
        </w:rPr>
        <w:t>Jesus asked:</w:t>
      </w:r>
      <w:r>
        <w:rPr>
          <w:lang w:val="en_US" w:bidi="en_US"/>
        </w:rPr>
        <w:t xml:space="preserve"> Jesus asked </w:t>
      </w:r>
      <w:r>
        <w:rPr>
          <w:u w:val="single"/>
          <w:lang w:val="en_US" w:bidi="en_US"/>
        </w:rPr>
        <w:t>the man</w:t>
      </w:r>
      <w:r>
        <w:rPr>
          <w:lang w:val="en_US" w:bidi="en_US"/>
        </w:rPr>
        <w:t xml:space="preserve"> what his name was. But it was the demon who answered, speaking through the man.</w:t>
      </w:r>
    </w:p>
    <w:p>
      <w:pPr>
        <w:pStyle w:val="Heading5"/>
      </w:pPr>
      <w:r>
        <w:rPr>
          <w:lang w:val="en_US" w:bidi="en_US"/>
        </w:rPr>
        <w:t>8:30b</w:t>
      </w:r>
    </w:p>
    <w:p>
      <w:pPr/>
      <w:r>
        <w:rPr>
          <w:lang w:val="en_US" w:bidi="en_US"/>
        </w:rPr>
      </w:r>
      <w:r>
        <w:rPr>
          <w:b/>
          <w:lang w:val="en_US" w:bidi="en_US"/>
        </w:rPr>
        <w:t>“Legion,” he replied,</w:t>
      </w:r>
    </w:p>
    <w:p>
      <w:pPr>
        <w:pStyle w:val="ListBullet"/>
        <w:spacing w:line="240" w:lineRule="auto"/>
        <w:ind w:left="720"/>
      </w:pPr>
      <w:r>
        <w:rPr>
          <w:lang w:val="en_US" w:bidi="en_US"/>
        </w:rPr>
      </w:r>
      <w:r>
        <w:rPr>
          <w:lang w:val="en_US" w:bidi="en_US"/>
        </w:rPr>
        <w:t>And he said, “Army,”</w:t>
      </w:r>
    </w:p>
    <w:p>
      <w:pPr>
        <w:pStyle w:val="ListBullet"/>
        <w:spacing w:line="240" w:lineRule="auto"/>
        <w:ind w:left="720"/>
      </w:pPr>
      <w:r>
        <w:rPr>
          <w:lang w:val="en_US" w:bidi="en_US"/>
        </w:rPr>
      </w:r>
      <w:r>
        <w:rPr>
          <w:lang w:val="en_US" w:bidi="en_US"/>
        </w:rPr>
        <w:t>He answered, “</w:t>
      </w:r>
      <w:r>
        <w:rPr>
          <w:lang w:val="en_US" w:bidi="en_US"/>
        </w:rPr>
        <w:t>My/Our name is</w:t>
      </w:r>
      <w:r>
        <w:rPr>
          <w:lang w:val="en_US" w:bidi="en_US"/>
        </w:rPr>
        <w:t xml:space="preserve"> ‘Thousands.’”</w:t>
      </w:r>
    </w:p>
    <w:p>
      <w:pPr/>
      <w:r>
        <w:rPr>
          <w:lang w:val="en_US" w:bidi="en_US"/>
        </w:rPr>
      </w:r>
      <w:r>
        <w:rPr>
          <w:b/>
          <w:lang w:val="en_US" w:bidi="en_US"/>
        </w:rPr>
        <w:t>Legion:</w:t>
      </w:r>
      <w:r>
        <w:rPr>
          <w:lang w:val="en_US" w:bidi="en_US"/>
        </w:rPr>
        <w:t xml:space="preserve"> The word </w:t>
      </w:r>
      <w:r>
        <w:rPr>
          <w:i/>
          <w:lang w:val="en_US" w:bidi="en_US"/>
        </w:rPr>
        <w:t>Legion</w:t>
      </w:r>
      <w:r>
        <w:rPr>
          <w:lang w:val="en_US" w:bidi="en_US"/>
        </w:rPr>
        <w:t xml:space="preserve"> referred to the largest unit of soldiers in the Roman army. A legion had between four thousand and six thousand soldiers. The demon called himself </w:t>
      </w:r>
      <w:r>
        <w:rPr>
          <w:i/>
          <w:lang w:val="en_US" w:bidi="en_US"/>
        </w:rPr>
        <w:t>Legion</w:t>
      </w:r>
      <w:r>
        <w:rPr>
          <w:lang w:val="en_US" w:bidi="en_US"/>
        </w:rPr>
        <w:t xml:space="preserve"> because there were many demons along with him that were controlling the man.</w:t>
      </w:r>
    </w:p>
    <w:p>
      <w:pPr/>
      <w:r>
        <w:rPr>
          <w:lang w:val="en_US" w:bidi="en_US"/>
        </w:rPr>
      </w:r>
      <w:r>
        <w:rPr>
          <w:lang w:val="en_US" w:bidi="en_US"/>
        </w:rPr>
        <w:t xml:space="preserve">Here are some ways to translate </w:t>
      </w:r>
      <w:r>
        <w:rPr>
          <w:i/>
          <w:lang w:val="en_US" w:bidi="en_US"/>
        </w:rPr>
        <w:t>Legion</w:t>
      </w:r>
      <w:r>
        <w:rPr>
          <w:lang w:val="en_US" w:bidi="en_US"/>
        </w:rPr>
        <w:t xml:space="preserve"> in this context:</w:t>
      </w:r>
    </w:p>
    <w:p>
      <w:pPr>
        <w:pStyle w:val="ListBullet"/>
        <w:spacing w:line="240" w:lineRule="auto"/>
        <w:ind w:left="720"/>
      </w:pPr>
      <w:r>
        <w:rPr>
          <w:lang w:val="en_US" w:bidi="en_US"/>
        </w:rPr>
      </w:r>
      <w:r>
        <w:rPr>
          <w:lang w:val="en_US" w:bidi="en_US"/>
        </w:rPr>
        <w:t>Preferably, use a military word that describes a large group of soldiers. For example:</w:t>
      </w:r>
      <w:r>
        <w:rPr>
          <w:lang w:val="en_US" w:bidi="en_US"/>
        </w:rPr>
        <w:t>Army</w:t>
      </w:r>
      <w:r>
        <w:rPr>
          <w:lang w:val="en_US" w:bidi="en_US"/>
        </w:rPr>
        <w:t>Regiment</w:t>
      </w:r>
      <w:r>
        <w:rPr>
          <w:lang w:val="en_US" w:bidi="en_US"/>
        </w:rPr>
        <w:t>Thousands of Soldiers</w:t>
      </w:r>
    </w:p>
    <w:p>
      <w:pPr>
        <w:pStyle w:val="ListBullet"/>
        <w:spacing w:line="240" w:lineRule="auto"/>
        <w:ind w:left="720"/>
      </w:pPr>
      <w:r>
        <w:rPr>
          <w:lang w:val="en_US" w:bidi="en_US"/>
        </w:rPr>
      </w:r>
      <w:r>
        <w:rPr>
          <w:lang w:val="en_US" w:bidi="en_US"/>
        </w:rPr>
        <w:t>Use a word that describes a large number. It should be large enough to go well with the two thousand pigs mentioned in Mark 5:13. For example:</w:t>
      </w:r>
      <w:r>
        <w:rPr>
          <w:lang w:val="en_US" w:bidi="en_US"/>
        </w:rPr>
        <w:t>Hundreds/Thousands</w:t>
      </w:r>
    </w:p>
    <w:p>
      <w:pPr>
        <w:pStyle w:val="ListBullet"/>
        <w:spacing w:line="240" w:lineRule="auto"/>
        <w:ind w:left="720"/>
      </w:pPr>
      <w:r>
        <w:rPr>
          <w:lang w:val="en_US" w:bidi="en_US"/>
        </w:rPr>
      </w:r>
      <w:r>
        <w:rPr>
          <w:lang w:val="en_US" w:bidi="en_US"/>
        </w:rPr>
        <w:t>Use a word that describes a very large group of people. For example:</w:t>
      </w:r>
      <w:r>
        <w:rPr>
          <w:lang w:val="en_US" w:bidi="en_US"/>
        </w:rPr>
        <w:t>Crowd</w:t>
      </w:r>
      <w:r>
        <w:rPr>
          <w:lang w:val="en_US" w:bidi="en_US"/>
        </w:rPr>
        <w:t>Horde</w:t>
      </w:r>
      <w:r>
        <w:rPr>
          <w:lang w:val="en_US" w:bidi="en_US"/>
        </w:rPr>
        <w:t>Mob (GNT)</w:t>
      </w:r>
    </w:p>
    <w:p>
      <w:pPr/>
      <w:r>
        <w:rPr>
          <w:lang w:val="en_US" w:bidi="en_US"/>
        </w:rPr>
      </w:r>
      <w:r>
        <w:rPr>
          <w:b/>
          <w:lang w:val="en_US" w:bidi="en_US"/>
        </w:rPr>
        <w:t>he replied:</w:t>
      </w:r>
      <w:r>
        <w:rPr>
          <w:lang w:val="en_US" w:bidi="en_US"/>
        </w:rPr>
        <w:t xml:space="preserve"> In the Greek text, the words that the BSB translates as </w:t>
      </w:r>
      <w:r>
        <w:rPr>
          <w:i/>
          <w:lang w:val="en_US" w:bidi="en_US"/>
        </w:rPr>
        <w:t>he replied</w:t>
      </w:r>
      <w:r>
        <w:rPr>
          <w:lang w:val="en_US" w:bidi="en_US"/>
        </w:rPr>
        <w:t xml:space="preserve"> come before the demon’s speech. The BSB has placed the phrase </w:t>
      </w:r>
      <w:r>
        <w:rPr>
          <w:i/>
          <w:lang w:val="en_US" w:bidi="en_US"/>
        </w:rPr>
        <w:t>he replied</w:t>
      </w:r>
      <w:r>
        <w:rPr>
          <w:lang w:val="en_US" w:bidi="en_US"/>
        </w:rPr>
        <w:t xml:space="preserve"> after what the demon said because that is natural in English for this context. Place it where it is most natural in your language.</w:t>
      </w:r>
    </w:p>
    <w:p>
      <w:pPr>
        <w:pStyle w:val="Heading5"/>
      </w:pPr>
      <w:r>
        <w:rPr>
          <w:lang w:val="en_US" w:bidi="en_US"/>
        </w:rPr>
        <w:t>8:30c</w:t>
      </w:r>
    </w:p>
    <w:p>
      <w:pPr/>
      <w:r>
        <w:rPr>
          <w:lang w:val="en_US" w:bidi="en_US"/>
        </w:rPr>
      </w:r>
      <w:r>
        <w:rPr>
          <w:b/>
          <w:lang w:val="en_US" w:bidi="en_US"/>
        </w:rPr>
        <w:t>because many demons had gone into him.</w:t>
      </w:r>
    </w:p>
    <w:p>
      <w:pPr>
        <w:pStyle w:val="ListBullet"/>
        <w:spacing w:line="240" w:lineRule="auto"/>
        <w:ind w:left="720"/>
      </w:pPr>
      <w:r>
        <w:rPr>
          <w:lang w:val="en_US" w:bidi="en_US"/>
        </w:rPr>
      </w:r>
      <w:r>
        <w:rPr>
          <w:lang w:val="en_US" w:bidi="en_US"/>
        </w:rPr>
        <w:t>for/because many demons controlled him.</w:t>
      </w:r>
    </w:p>
    <w:p>
      <w:pPr>
        <w:pStyle w:val="ListBullet"/>
        <w:spacing w:line="240" w:lineRule="auto"/>
        <w:ind w:left="720"/>
      </w:pPr>
      <w:r>
        <w:rPr>
          <w:lang w:val="en_US" w:bidi="en_US"/>
        </w:rPr>
      </w:r>
      <w:r>
        <w:rPr>
          <w:lang w:val="en_US" w:bidi="en_US"/>
        </w:rPr>
        <w:t>He said this</w:t>
      </w:r>
      <w:r>
        <w:rPr>
          <w:lang w:val="en_US" w:bidi="en_US"/>
        </w:rPr>
        <w:t xml:space="preserve"> because many demons were </w:t>
      </w:r>
      <w:r>
        <w:rPr>
          <w:lang w:val="en_US" w:bidi="en_US"/>
        </w:rPr>
        <w:t>with him</w:t>
      </w:r>
      <w:r>
        <w:rPr>
          <w:lang w:val="en_US" w:bidi="en_US"/>
        </w:rPr>
        <w:t xml:space="preserve"> in the man.</w:t>
      </w:r>
    </w:p>
    <w:p>
      <w:pPr/>
      <w:r>
        <w:rPr>
          <w:lang w:val="en_US" w:bidi="en_US"/>
        </w:rPr>
      </w:r>
      <w:r>
        <w:rPr>
          <w:b/>
          <w:lang w:val="en_US" w:bidi="en_US"/>
        </w:rPr>
        <w:t>because many demons had gone into him:</w:t>
      </w:r>
      <w:r>
        <w:rPr>
          <w:lang w:val="en_US" w:bidi="en_US"/>
        </w:rPr>
        <w:t xml:space="preserve"> When a demon controlled a person, the Jews thought of the demon as being </w:t>
      </w:r>
      <w:r>
        <w:rPr>
          <w:u w:val="single"/>
          <w:lang w:val="en_US" w:bidi="en_US"/>
        </w:rPr>
        <w:t>in</w:t>
      </w:r>
      <w:r>
        <w:rPr>
          <w:lang w:val="en_US" w:bidi="en_US"/>
        </w:rPr>
        <w:t xml:space="preserve"> the person. Use a natural way in your language to describe when a demon begins to control a person.</w:t>
      </w:r>
    </w:p>
    <w:p>
      <w:pPr/>
      <w:r>
        <w:rPr>
          <w:lang w:val="en_US" w:bidi="en_US"/>
        </w:rPr>
      </w:r>
      <w:r>
        <w:rPr>
          <w:b/>
          <w:lang w:val="en_US" w:bidi="en_US"/>
        </w:rPr>
        <w:t>demons:</w:t>
      </w:r>
      <w:r>
        <w:rPr>
          <w:lang w:val="en_US" w:bidi="en_US"/>
        </w:rPr>
        <w:t xml:space="preserve"> The Greek word that the BSB translates as </w:t>
      </w:r>
      <w:r>
        <w:rPr>
          <w:i/>
          <w:lang w:val="en_US" w:bidi="en_US"/>
        </w:rPr>
        <w:t>demons</w:t>
      </w:r>
      <w:r>
        <w:rPr>
          <w:lang w:val="en_US" w:bidi="en_US"/>
        </w:rPr>
        <w:t xml:space="preserve"> is the same word as in 8:27b.</w:t>
      </w:r>
      <w:r>
        <w:rPr>
          <w:lang w:val="en_US" w:bidi="en_US"/>
        </w:rPr>
      </w:r>
      <w:r>
        <w:rPr>
          <w:lang w:val="en_US" w:bidi="en_US"/>
        </w:rPr>
      </w:r>
    </w:p>
    <w:p>
      <w:pPr/>
      <w:r>
        <w:rPr>
          <w:lang w:val="en_US" w:bidi="en_US"/>
        </w:rPr>
      </w:r>
    </w:p>
    <w:p>
      <w:pPr>
        <w:pStyle w:val="Heading2"/>
      </w:pPr>
      <w:r>
        <w:rPr>
          <w:lang w:val="en_US" w:bidi="en_US"/>
        </w:rPr>
        <w:t>Luke 8:31</w:t>
      </w:r>
      <w:r>
        <w:rPr>
          <w:lang w:val="en_US" w:bidi="en_US"/>
        </w:rPr>
      </w:r>
    </w:p>
    <w:p>
      <w:pPr>
        <w:pStyle w:val="Heading4"/>
      </w:pPr>
      <w:r>
        <w:rPr>
          <w:lang w:val="en_US" w:bidi="en_US"/>
        </w:rPr>
        <w:t>Section 8:26–39: Jesus freed a man whom many demons controlled</w:t>
      </w:r>
    </w:p>
    <w:p>
      <w:pPr/>
      <w:r>
        <w:rPr>
          <w:lang w:val="en_US" w:bidi="en_US"/>
        </w:rPr>
      </w:r>
      <w:r>
        <w:rPr>
          <w:lang w:val="en_US" w:bidi="en_US"/>
        </w:rP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pPr/>
      <w:r>
        <w:rPr>
          <w:lang w:val="en_US" w:bidi="en_US"/>
        </w:rPr>
      </w:r>
      <w:r>
        <w:rPr>
          <w:lang w:val="en_US" w:bidi="en_US"/>
        </w:rPr>
        <w:t>“Uncleanness” is a theme in this story. The spirits that controlled the man were considered “unclean” (and called “unclean” in 8:29a). Tombs were “unclean.” Jews also considered pigs to be “unclean.”</w:t>
      </w:r>
    </w:p>
    <w:p>
      <w:pPr/>
      <w:r>
        <w:rPr>
          <w:lang w:val="en_US" w:bidi="en_US"/>
        </w:rPr>
      </w:r>
      <w:r>
        <w:rPr>
          <w:lang w:val="en_US" w:bidi="en_US"/>
        </w:rP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pPr/>
      <w:r>
        <w:rPr>
          <w:lang w:val="en_US" w:bidi="en_US"/>
        </w:rPr>
      </w:r>
      <w:r>
        <w:rPr>
          <w:lang w:val="en_US" w:bidi="en_US"/>
        </w:rPr>
        <w:t>Some other possible headings for this section are:</w:t>
      </w:r>
    </w:p>
    <w:p>
      <w:pPr/>
      <w:r>
        <w:rPr>
          <w:lang w:val="en_US" w:bidi="en_US"/>
        </w:rPr>
      </w:r>
      <w:r>
        <w:rPr>
          <w:lang w:val="en_US" w:bidi="en_US"/>
        </w:rPr>
        <w:t>Jesus commanded many demons to leave a man</w:t>
      </w:r>
    </w:p>
    <w:p>
      <w:pPr/>
      <w:r>
        <w:rPr>
          <w:lang w:val="en_US" w:bidi="en_US"/>
        </w:rPr>
      </w:r>
      <w:r>
        <w:rPr>
          <w:lang w:val="en_US" w:bidi="en_US"/>
        </w:rPr>
        <w:t>The deliverance of a man who was controlled by many demons</w:t>
      </w:r>
    </w:p>
    <w:p>
      <w:pPr/>
      <w:r>
        <w:rPr>
          <w:lang w:val="en_US" w:bidi="en_US"/>
        </w:rPr>
      </w:r>
      <w:r>
        <w:rPr>
          <w:lang w:val="en_US" w:bidi="en_US"/>
        </w:rPr>
        <w:t>There are parallel passages for this section in Matthew 8:28–34 and Mark 5:1–20.</w:t>
      </w:r>
    </w:p>
    <w:p>
      <w:pPr>
        <w:pStyle w:val="Heading4"/>
      </w:pPr>
      <w:r>
        <w:rPr>
          <w:lang w:val="en_US" w:bidi="en_US"/>
        </w:rPr>
        <w:t>Paragraph 8:26–33</w:t>
      </w:r>
    </w:p>
    <w:p>
      <w:pPr/>
      <w:r>
        <w:rPr>
          <w:lang w:val="en_US" w:bidi="en_US"/>
        </w:rPr>
      </w:r>
      <w:r>
        <w:rPr>
          <w:lang w:val="en_US" w:bidi="en_US"/>
        </w:rPr>
        <w:t>In this paragraph Luke told about events that happened when Jesus and his disciples came to the other side of the lake. Several times Luke inserted background information about the past. In some languages speakers often shift in this way between telling events and giving background information to explain them. Use natural ways to do this in your language.</w:t>
      </w:r>
    </w:p>
    <w:p>
      <w:pPr/>
      <w:r>
        <w:rPr>
          <w:lang w:val="en_US" w:bidi="en_US"/>
        </w:rPr>
      </w:r>
      <w:r>
        <w:rPr>
          <w:lang w:val="en_US" w:bidi="en_US"/>
        </w:rPr>
        <w:t>In some languages this shift between actions and background information may be confusing. You may need to change the order of some information in these verses. See the General Comment on 8:27a–28a at the end of the notes on 8:28a and the longer General Comment on 8:27–29 at the end of the notes on 8:29e for suggestions.</w:t>
      </w:r>
    </w:p>
    <w:p>
      <w:pPr>
        <w:pStyle w:val="Heading5"/>
      </w:pPr>
      <w:r>
        <w:rPr>
          <w:lang w:val="en_US" w:bidi="en_US"/>
        </w:rPr>
        <w:t>8:31</w:t>
      </w:r>
    </w:p>
    <w:p>
      <w:pPr/>
      <w:r>
        <w:rPr>
          <w:lang w:val="en_US" w:bidi="en_US"/>
        </w:rPr>
      </w:r>
      <w:r>
        <w:rPr>
          <w:b/>
          <w:lang w:val="en_US" w:bidi="en_US"/>
        </w:rPr>
        <w:t>And the demons kept begging Jesus not to order them to go into the Abyss.</w:t>
      </w:r>
    </w:p>
    <w:p>
      <w:pPr>
        <w:pStyle w:val="ListBullet"/>
        <w:spacing w:line="240" w:lineRule="auto"/>
        <w:ind w:left="720"/>
      </w:pPr>
      <w:r>
        <w:rPr>
          <w:lang w:val="en_US" w:bidi="en_US"/>
        </w:rPr>
      </w:r>
      <w:r>
        <w:rPr>
          <w:lang w:val="en_US" w:bidi="en_US"/>
        </w:rPr>
        <w:t>And they continued to plead with Jesus not to command them to go to the prison for evil spirits.</w:t>
      </w:r>
    </w:p>
    <w:p>
      <w:pPr>
        <w:pStyle w:val="ListBullet"/>
        <w:spacing w:line="240" w:lineRule="auto"/>
        <w:ind w:left="720"/>
      </w:pPr>
      <w:r>
        <w:rPr>
          <w:lang w:val="en_US" w:bidi="en_US"/>
        </w:rPr>
      </w:r>
      <w:r>
        <w:rPr>
          <w:lang w:val="en_US" w:bidi="en_US"/>
        </w:rPr>
        <w:t xml:space="preserve">The demons begged him many times </w:t>
      </w:r>
      <w:r>
        <w:rPr>
          <w:lang w:val="en_US" w:bidi="en_US"/>
        </w:rPr>
        <w:t>saying</w:t>
      </w:r>
      <w:r>
        <w:rPr>
          <w:lang w:val="en_US" w:bidi="en_US"/>
        </w:rPr>
        <w:t>, “Please do not make us</w:t>
      </w:r>
      <w:r>
        <w:rPr>
          <w:vertAlign w:val="superscript"/>
          <w:lang w:val="en_US" w:bidi="en_US"/>
        </w:rPr>
        <w:t>(excl)</w:t>
      </w:r>
      <w:r>
        <w:rPr>
          <w:lang w:val="en_US" w:bidi="en_US"/>
        </w:rPr>
        <w:t xml:space="preserve"> go </w:t>
      </w:r>
      <w:r>
        <w:rPr>
          <w:lang w:val="en_US" w:bidi="en_US"/>
        </w:rPr>
        <w:t>down</w:t>
      </w:r>
      <w:r>
        <w:rPr>
          <w:lang w:val="en_US" w:bidi="en_US"/>
        </w:rPr>
        <w:t xml:space="preserve"> into the pit/hole that has no end!”</w:t>
      </w:r>
    </w:p>
    <w:p>
      <w:pPr/>
      <w:r>
        <w:rPr>
          <w:lang w:val="en_US" w:bidi="en_US"/>
        </w:rPr>
      </w:r>
      <w:r>
        <w:rPr>
          <w:b/>
          <w:lang w:val="en_US" w:bidi="en_US"/>
        </w:rPr>
        <w:t>the demons:</w:t>
      </w:r>
      <w:r>
        <w:rPr>
          <w:lang w:val="en_US" w:bidi="en_US"/>
        </w:rPr>
        <w:t xml:space="preserve"> At this point, the pronoun in Greek switches from “he” to “they,” referring to the many demons who were speaking through the man. For clarity, the BSB translates this pronoun as </w:t>
      </w:r>
      <w:r>
        <w:rPr>
          <w:i/>
          <w:lang w:val="en_US" w:bidi="en_US"/>
        </w:rPr>
        <w:t>the demons</w:t>
      </w:r>
      <w:r>
        <w:rPr>
          <w:lang w:val="en_US" w:bidi="en_US"/>
        </w:rPr>
        <w:t>.</w:t>
      </w:r>
    </w:p>
    <w:p>
      <w:pPr/>
      <w:r>
        <w:rPr>
          <w:lang w:val="en_US" w:bidi="en_US"/>
        </w:rPr>
      </w:r>
      <w:r>
        <w:rPr>
          <w:b/>
          <w:lang w:val="en_US" w:bidi="en_US"/>
        </w:rPr>
        <w:t>kept begging Jesus:</w:t>
      </w:r>
      <w:r>
        <w:rPr>
          <w:lang w:val="en_US" w:bidi="en_US"/>
        </w:rPr>
        <w:t xml:space="preserve"> The Greek verb that the BSB translates as </w:t>
      </w:r>
      <w:r>
        <w:rPr>
          <w:i/>
          <w:lang w:val="en_US" w:bidi="en_US"/>
        </w:rPr>
        <w:t>kept begging</w:t>
      </w:r>
      <w:r>
        <w:rPr>
          <w:lang w:val="en_US" w:bidi="en_US"/>
        </w:rPr>
        <w:t xml:space="preserve"> means to “plead for” something. This word is used when a request is earnestly desired. The Greek verb form probably indicates repeated action. It implies that the demons begged Jesus many times. Some ways to translate this are:</w:t>
      </w:r>
    </w:p>
    <w:p>
      <w:pPr/>
      <w:r>
        <w:rPr>
          <w:lang w:val="en_US" w:bidi="en_US"/>
        </w:rPr>
      </w:r>
      <w:r>
        <w:rPr>
          <w:lang w:val="en_US" w:bidi="en_US"/>
        </w:rPr>
        <w:t>begged him repeatedly (NIV)</w:t>
      </w:r>
    </w:p>
    <w:p>
      <w:pPr/>
      <w:r>
        <w:rPr>
          <w:lang w:val="en_US" w:bidi="en_US"/>
        </w:rPr>
      </w:r>
      <w:r>
        <w:rPr>
          <w:lang w:val="en_US" w:bidi="en_US"/>
        </w:rPr>
        <w:t>were now begging (JBP)</w:t>
      </w:r>
    </w:p>
    <w:p>
      <w:pPr/>
      <w:r>
        <w:rPr>
          <w:lang w:val="en_US" w:bidi="en_US"/>
        </w:rPr>
      </w:r>
      <w:r>
        <w:rPr>
          <w:lang w:val="en_US" w:bidi="en_US"/>
        </w:rPr>
        <w:t>were begging (NASB)</w:t>
      </w:r>
    </w:p>
    <w:p>
      <w:pPr/>
      <w:r>
        <w:rPr>
          <w:lang w:val="en_US" w:bidi="en_US"/>
        </w:rPr>
      </w:r>
      <w:r>
        <w:rPr>
          <w:b/>
          <w:lang w:val="en_US" w:bidi="en_US"/>
        </w:rPr>
        <w:t>not to order them to go into the Abyss:</w:t>
      </w:r>
      <w:r>
        <w:rPr>
          <w:lang w:val="en_US" w:bidi="en_US"/>
        </w:rPr>
        <w:t xml:space="preserve"> This request implies that the demons expected Jesus to command them to go into the Abyss. To obey this command, the demons would also have to leave the man. In some languages it may be natural to make this explicit. For example:</w:t>
      </w:r>
    </w:p>
    <w:p>
      <w:pPr/>
      <w:r>
        <w:rPr>
          <w:lang w:val="en_US" w:bidi="en_US"/>
        </w:rPr>
      </w:r>
      <w:r>
        <w:rPr>
          <w:lang w:val="en_US" w:bidi="en_US"/>
        </w:rPr>
        <w:t xml:space="preserve">they begged him that </w:t>
      </w:r>
      <w:r>
        <w:rPr>
          <w:lang w:val="en_US" w:bidi="en_US"/>
        </w:rPr>
        <w:t>after they left the man</w:t>
      </w:r>
      <w:r>
        <w:rPr>
          <w:lang w:val="en_US" w:bidi="en_US"/>
        </w:rPr>
        <w:t xml:space="preserve"> he would not order them to go into the Abyss</w:t>
      </w:r>
    </w:p>
    <w:p>
      <w:pPr/>
      <w:r>
        <w:rPr>
          <w:lang w:val="en_US" w:bidi="en_US"/>
        </w:rPr>
      </w:r>
      <w:r>
        <w:rPr>
          <w:b/>
          <w:lang w:val="en_US" w:bidi="en_US"/>
        </w:rPr>
        <w:t>Abyss:</w:t>
      </w:r>
      <w:r>
        <w:rPr>
          <w:lang w:val="en_US" w:bidi="en_US"/>
        </w:rPr>
        <w:t xml:space="preserve"> The word </w:t>
      </w:r>
      <w:r>
        <w:rPr>
          <w:i/>
          <w:lang w:val="en_US" w:bidi="en_US"/>
        </w:rPr>
        <w:t>Abyss</w:t>
      </w:r>
      <w:r>
        <w:rPr>
          <w:lang w:val="en_US" w:bidi="en_US"/>
        </w:rPr>
        <w:t xml:space="preserve"> is a transliteration of the Greek word </w:t>
      </w:r>
      <w:r>
        <w:rPr>
          <w:i/>
          <w:lang w:val="en_US" w:bidi="en_US"/>
        </w:rPr>
        <w:t>abussos</w:t>
      </w:r>
      <w:r>
        <w:rPr>
          <w:lang w:val="en_US" w:bidi="en_US"/>
        </w:rPr>
        <w:t>. It means a very deep pit, and it may imply a pit that has no bottom. Here this word refers to the place where unclean spirits are kept while waiting for their final punishment. The Jews thought of this place as being deep under the ground. Some ways you could translate this are:</w:t>
      </w:r>
    </w:p>
    <w:p>
      <w:pPr/>
      <w:r>
        <w:rPr>
          <w:lang w:val="en_US" w:bidi="en_US"/>
        </w:rPr>
      </w:r>
      <w:r>
        <w:rPr>
          <w:lang w:val="en_US" w:bidi="en_US"/>
        </w:rPr>
        <w:t>the bottomless pit (GW)</w:t>
      </w:r>
    </w:p>
    <w:p>
      <w:pPr/>
      <w:r>
        <w:rPr>
          <w:lang w:val="en_US" w:bidi="en_US"/>
        </w:rPr>
      </w:r>
      <w:r>
        <w:rPr>
          <w:lang w:val="en_US" w:bidi="en_US"/>
        </w:rPr>
        <w:t>the prison for evil spirits</w:t>
      </w:r>
    </w:p>
    <w:p>
      <w:pPr/>
      <w:r>
        <w:rPr>
          <w:lang w:val="en_US" w:bidi="en_US"/>
        </w:rPr>
      </w:r>
      <w:r>
        <w:rPr>
          <w:lang w:val="en_US" w:bidi="en_US"/>
        </w:rPr>
        <w:t>the place where God keeps evil spirits for punishment</w:t>
      </w:r>
    </w:p>
    <w:p>
      <w:pPr/>
      <w:r>
        <w:rPr>
          <w:lang w:val="en_US" w:bidi="en_US"/>
        </w:rPr>
      </w:r>
      <w:r>
        <w:rPr>
          <w:lang w:val="en_US" w:bidi="en_US"/>
        </w:rPr>
        <w:t>the deep pit, where they would be punished (CEV)</w:t>
      </w:r>
    </w:p>
    <w:p>
      <w:pPr/>
      <w:r>
        <w:rPr>
          <w:lang w:val="en_US" w:bidi="en_US"/>
        </w:rPr>
      </w:r>
      <w:r>
        <w:rPr>
          <w:lang w:val="en_US" w:bidi="en_US"/>
        </w:rPr>
        <w:t>You may want to include a note to explain more about the Abyss. For example:</w:t>
      </w:r>
    </w:p>
    <w:p>
      <w:pPr/>
      <w:r>
        <w:rPr>
          <w:lang w:val="en_US" w:bidi="en_US"/>
        </w:rPr>
      </w:r>
      <w:r>
        <w:rPr>
          <w:lang w:val="en_US" w:bidi="en_US"/>
        </w:rPr>
        <w:t>Jews believed that the place of the dead was deep underground. It was also the place where unclean spirits were kept while they waited for the day when God would punish them.</w:t>
      </w:r>
    </w:p>
    <w:p>
      <w:pPr>
        <w:pStyle w:val="Heading6"/>
      </w:pPr>
      <w:r>
        <w:rPr>
          <w:b/>
          <w:lang w:val="en_US" w:bidi="en_US"/>
        </w:rPr>
        <w:t>General Comment on 8:31</w:t>
      </w:r>
    </w:p>
    <w:p>
      <w:pPr/>
      <w:r>
        <w:rPr>
          <w:lang w:val="en_US" w:bidi="en_US"/>
        </w:rPr>
      </w:r>
      <w:r>
        <w:rPr>
          <w:lang w:val="en_US" w:bidi="en_US"/>
        </w:rPr>
        <w:t>In some languages it may be best to translate the demons’ request in this verse as direct speech. For example:</w:t>
      </w:r>
    </w:p>
    <w:p>
      <w:pPr/>
      <w:r>
        <w:rPr>
          <w:lang w:val="en_US" w:bidi="en_US"/>
        </w:rPr>
      </w:r>
      <w:r>
        <w:rPr>
          <w:lang w:val="en_US" w:bidi="en_US"/>
        </w:rPr>
        <w:t>they begged him repeatedly, “Do not send us</w:t>
      </w:r>
      <w:r>
        <w:rPr>
          <w:vertAlign w:val="superscript"/>
          <w:lang w:val="en_US" w:bidi="en_US"/>
        </w:rPr>
        <w:t>(excl)</w:t>
      </w:r>
      <w:r>
        <w:rPr>
          <w:lang w:val="en_US" w:bidi="en_US"/>
        </w:rPr>
        <w:t xml:space="preserve"> into the Abyss!”</w:t>
      </w:r>
      <w:r>
        <w:rPr>
          <w:lang w:val="en_US" w:bidi="en_US"/>
        </w:rPr>
      </w:r>
      <w:r>
        <w:rPr>
          <w:lang w:val="en_US" w:bidi="en_US"/>
        </w:rPr>
      </w:r>
    </w:p>
    <w:p>
      <w:pPr/>
      <w:r>
        <w:rPr>
          <w:lang w:val="en_US" w:bidi="en_US"/>
        </w:rPr>
      </w:r>
    </w:p>
    <w:p>
      <w:pPr>
        <w:pStyle w:val="Heading2"/>
      </w:pPr>
      <w:r>
        <w:rPr>
          <w:lang w:val="en_US" w:bidi="en_US"/>
        </w:rPr>
        <w:t>Luke 8:32</w:t>
      </w:r>
      <w:r>
        <w:rPr>
          <w:lang w:val="en_US" w:bidi="en_US"/>
        </w:rPr>
      </w:r>
    </w:p>
    <w:p>
      <w:pPr>
        <w:pStyle w:val="Heading4"/>
      </w:pPr>
      <w:r>
        <w:rPr>
          <w:lang w:val="en_US" w:bidi="en_US"/>
        </w:rPr>
        <w:t>Section 8:26–39: Jesus freed a man whom many demons controlled</w:t>
      </w:r>
    </w:p>
    <w:p>
      <w:pPr/>
      <w:r>
        <w:rPr>
          <w:lang w:val="en_US" w:bidi="en_US"/>
        </w:rPr>
      </w:r>
      <w:r>
        <w:rPr>
          <w:lang w:val="en_US" w:bidi="en_US"/>
        </w:rP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pPr/>
      <w:r>
        <w:rPr>
          <w:lang w:val="en_US" w:bidi="en_US"/>
        </w:rPr>
      </w:r>
      <w:r>
        <w:rPr>
          <w:lang w:val="en_US" w:bidi="en_US"/>
        </w:rPr>
        <w:t>“Uncleanness” is a theme in this story. The spirits that controlled the man were considered “unclean” (and called “unclean” in 8:29a). Tombs were “unclean.” Jews also considered pigs to be “unclean.”</w:t>
      </w:r>
    </w:p>
    <w:p>
      <w:pPr/>
      <w:r>
        <w:rPr>
          <w:lang w:val="en_US" w:bidi="en_US"/>
        </w:rPr>
      </w:r>
      <w:r>
        <w:rPr>
          <w:lang w:val="en_US" w:bidi="en_US"/>
        </w:rP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pPr/>
      <w:r>
        <w:rPr>
          <w:lang w:val="en_US" w:bidi="en_US"/>
        </w:rPr>
      </w:r>
      <w:r>
        <w:rPr>
          <w:lang w:val="en_US" w:bidi="en_US"/>
        </w:rPr>
        <w:t>Some other possible headings for this section are:</w:t>
      </w:r>
    </w:p>
    <w:p>
      <w:pPr/>
      <w:r>
        <w:rPr>
          <w:lang w:val="en_US" w:bidi="en_US"/>
        </w:rPr>
      </w:r>
      <w:r>
        <w:rPr>
          <w:lang w:val="en_US" w:bidi="en_US"/>
        </w:rPr>
        <w:t>Jesus commanded many demons to leave a man</w:t>
      </w:r>
    </w:p>
    <w:p>
      <w:pPr/>
      <w:r>
        <w:rPr>
          <w:lang w:val="en_US" w:bidi="en_US"/>
        </w:rPr>
      </w:r>
      <w:r>
        <w:rPr>
          <w:lang w:val="en_US" w:bidi="en_US"/>
        </w:rPr>
        <w:t>The deliverance of a man who was controlled by many demons</w:t>
      </w:r>
    </w:p>
    <w:p>
      <w:pPr/>
      <w:r>
        <w:rPr>
          <w:lang w:val="en_US" w:bidi="en_US"/>
        </w:rPr>
      </w:r>
      <w:r>
        <w:rPr>
          <w:lang w:val="en_US" w:bidi="en_US"/>
        </w:rPr>
        <w:t>There are parallel passages for this section in Matthew 8:28–34 and Mark 5:1–20.</w:t>
      </w:r>
    </w:p>
    <w:p>
      <w:pPr>
        <w:pStyle w:val="Heading4"/>
      </w:pPr>
      <w:r>
        <w:rPr>
          <w:lang w:val="en_US" w:bidi="en_US"/>
        </w:rPr>
        <w:t>Paragraph 8:26–33</w:t>
      </w:r>
    </w:p>
    <w:p>
      <w:pPr/>
      <w:r>
        <w:rPr>
          <w:lang w:val="en_US" w:bidi="en_US"/>
        </w:rPr>
      </w:r>
      <w:r>
        <w:rPr>
          <w:lang w:val="en_US" w:bidi="en_US"/>
        </w:rPr>
        <w:t>In this paragraph Luke told about events that happened when Jesus and his disciples came to the other side of the lake. Several times Luke inserted background information about the past. In some languages speakers often shift in this way between telling events and giving background information to explain them. Use natural ways to do this in your language.</w:t>
      </w:r>
    </w:p>
    <w:p>
      <w:pPr/>
      <w:r>
        <w:rPr>
          <w:lang w:val="en_US" w:bidi="en_US"/>
        </w:rPr>
      </w:r>
      <w:r>
        <w:rPr>
          <w:lang w:val="en_US" w:bidi="en_US"/>
        </w:rPr>
        <w:t>In some languages this shift between actions and background information may be confusing. You may need to change the order of some information in these verses. See the General Comment on 8:27a–28a at the end of the notes on 8:28a and the longer General Comment on 8:27–29 at the end of the notes on 8:29e for suggestions.</w:t>
      </w:r>
    </w:p>
    <w:p>
      <w:pPr>
        <w:pStyle w:val="Heading5"/>
      </w:pPr>
      <w:r>
        <w:rPr>
          <w:lang w:val="en_US" w:bidi="en_US"/>
        </w:rPr>
        <w:t>8:32a</w:t>
      </w:r>
    </w:p>
    <w:p>
      <w:pPr/>
      <w:r>
        <w:rPr>
          <w:lang w:val="en_US" w:bidi="en_US"/>
        </w:rPr>
      </w:r>
      <w:r>
        <w:rPr>
          <w:b/>
          <w:lang w:val="en_US" w:bidi="en_US"/>
        </w:rPr>
        <w:t>There on the hillside a large herd of pigs was feeding.</w:t>
      </w:r>
    </w:p>
    <w:p>
      <w:pPr>
        <w:pStyle w:val="ListBullet"/>
        <w:spacing w:line="240" w:lineRule="auto"/>
        <w:ind w:left="720"/>
      </w:pPr>
      <w:r>
        <w:rPr>
          <w:lang w:val="en_US" w:bidi="en_US"/>
        </w:rPr>
      </w:r>
      <w:r>
        <w:rPr>
          <w:lang w:val="en_US" w:bidi="en_US"/>
        </w:rPr>
        <w:t>A large group of pigs was nearby, eating/foraging on the side of a hill.</w:t>
      </w:r>
    </w:p>
    <w:p>
      <w:pPr>
        <w:pStyle w:val="ListBullet"/>
        <w:spacing w:line="240" w:lineRule="auto"/>
        <w:ind w:left="720"/>
      </w:pPr>
      <w:r>
        <w:rPr>
          <w:lang w:val="en_US" w:bidi="en_US"/>
        </w:rPr>
      </w:r>
      <w:r>
        <w:rPr>
          <w:lang w:val="en_US" w:bidi="en_US"/>
        </w:rPr>
        <w:t>While this was happening,</w:t>
      </w:r>
      <w:r>
        <w:rPr>
          <w:lang w:val="en_US" w:bidi="en_US"/>
        </w:rPr>
        <w:t xml:space="preserve"> there was a herd of </w:t>
      </w:r>
      <w:r>
        <w:rPr>
          <w:lang w:val="en_US" w:bidi="en_US"/>
        </w:rPr>
        <w:t>domestic</w:t>
      </w:r>
      <w:r>
        <w:rPr>
          <w:lang w:val="en_US" w:bidi="en_US"/>
        </w:rPr>
        <w:t xml:space="preserve"> pigs grazing on a hillside not far from there.</w:t>
      </w:r>
    </w:p>
    <w:p>
      <w:pPr/>
      <w:r>
        <w:rPr>
          <w:lang w:val="en_US" w:bidi="en_US"/>
        </w:rPr>
      </w:r>
      <w:r>
        <w:rPr>
          <w:lang w:val="en_US" w:bidi="en_US"/>
        </w:rPr>
        <w:t>In 8:32a Luke gave the background information that a herd of pigs was grazing nearby. In some languages there may be a special way to introduce the pigs into the story and to indicate that they were already grazing nearby. Use a natural way in your language to introduce this important background information.</w:t>
      </w:r>
    </w:p>
    <w:p>
      <w:pPr/>
      <w:r>
        <w:rPr>
          <w:lang w:val="en_US" w:bidi="en_US"/>
        </w:rPr>
      </w:r>
      <w:r>
        <w:rPr>
          <w:b/>
          <w:lang w:val="en_US" w:bidi="en_US"/>
        </w:rPr>
        <w:t>There on the hillside:</w:t>
      </w:r>
      <w:r>
        <w:rPr>
          <w:lang w:val="en_US" w:bidi="en_US"/>
        </w:rPr>
        <w:t xml:space="preserve"> Matthew 8:30 says the herd of pigs were “some distance away.” So they were not on or near the lakeshore where Jesus and the man with the demons were. However, Jesus and the man could see them from the lakeshore. Because this is the first time that hills or the hillside have been mentioned, you may want to say something like:</w:t>
      </w:r>
    </w:p>
    <w:p>
      <w:pPr/>
      <w:r>
        <w:rPr>
          <w:lang w:val="en_US" w:bidi="en_US"/>
        </w:rPr>
      </w:r>
      <w:r>
        <w:rPr>
          <w:lang w:val="en_US" w:bidi="en_US"/>
        </w:rPr>
        <w:t>On a hillside not far away</w:t>
      </w:r>
    </w:p>
    <w:p>
      <w:pPr/>
      <w:r>
        <w:rPr>
          <w:lang w:val="en_US" w:bidi="en_US"/>
        </w:rPr>
      </w:r>
      <w:r>
        <w:rPr>
          <w:lang w:val="en_US" w:bidi="en_US"/>
        </w:rPr>
        <w:t>On a nearby hillside</w:t>
      </w:r>
    </w:p>
    <w:p>
      <w:pPr/>
      <w:r>
        <w:rPr>
          <w:lang w:val="en_US" w:bidi="en_US"/>
        </w:rPr>
      </w:r>
      <w:r>
        <w:rPr>
          <w:b/>
          <w:lang w:val="en_US" w:bidi="en_US"/>
        </w:rPr>
        <w:t>a large herd of pigs:</w:t>
      </w:r>
      <w:r>
        <w:rPr>
          <w:lang w:val="en_US" w:bidi="en_US"/>
        </w:rPr>
        <w:t xml:space="preserve"> The phrase </w:t>
      </w:r>
      <w:r>
        <w:rPr>
          <w:i/>
          <w:lang w:val="en_US" w:bidi="en_US"/>
        </w:rPr>
        <w:t>a large herd of pigs</w:t>
      </w:r>
      <w:r>
        <w:rPr>
          <w:lang w:val="en_US" w:bidi="en_US"/>
        </w:rPr>
        <w:t xml:space="preserve"> refers to a large group of pigs. The number of pigs is given in Mark 5:13 as “about two thousand.”</w:t>
      </w:r>
    </w:p>
    <w:p>
      <w:pPr/>
      <w:r>
        <w:rPr>
          <w:lang w:val="en_US" w:bidi="en_US"/>
        </w:rPr>
      </w:r>
      <w:r>
        <w:rPr>
          <w:b/>
          <w:lang w:val="en_US" w:bidi="en_US"/>
        </w:rPr>
        <w:t>pigs:</w:t>
      </w:r>
      <w:r>
        <w:rPr>
          <w:lang w:val="en_US" w:bidi="en_US"/>
        </w:rPr>
        <w:t xml:space="preserve"> The animals known as </w:t>
      </w:r>
      <w:r>
        <w:rPr>
          <w:i/>
          <w:lang w:val="en_US" w:bidi="en_US"/>
        </w:rPr>
        <w:t>pigs</w:t>
      </w:r>
      <w:r>
        <w:rPr>
          <w:lang w:val="en_US" w:bidi="en_US"/>
        </w:rPr>
        <w:t xml:space="preserve"> are also called “hogs” or “swine” in English. These were domestic pigs, not wild pigs. Jews considered pigs to be ritually unclean, and they did not eat their meat. If you do not raise pigs in your area and you do not have a word in your language for them, here are possible ways to translate </w:t>
      </w:r>
      <w:r>
        <w:rPr>
          <w:i/>
          <w:lang w:val="en_US" w:bidi="en_US"/>
        </w:rPr>
        <w:t>pigs</w:t>
      </w:r>
      <w:r>
        <w:rPr>
          <w:lang w:val="en_US" w:bidi="en_US"/>
        </w:rPr>
        <w:t>:</w:t>
      </w:r>
    </w:p>
    <w:p>
      <w:pPr>
        <w:pStyle w:val="ListBullet"/>
        <w:spacing w:line="240" w:lineRule="auto"/>
        <w:ind w:left="720"/>
      </w:pPr>
      <w:r>
        <w:rPr>
          <w:lang w:val="en_US" w:bidi="en_US"/>
        </w:rPr>
      </w:r>
      <w:r>
        <w:rPr>
          <w:lang w:val="en_US" w:bidi="en_US"/>
        </w:rPr>
        <w:t>Use a general expression for farm animals. For example:</w:t>
      </w:r>
      <w:r>
        <w:rPr>
          <w:lang w:val="en_US" w:bidi="en_US"/>
        </w:rPr>
        <w:t>livestock</w:t>
      </w:r>
      <w:r>
        <w:rPr>
          <w:lang w:val="en_US" w:bidi="en_US"/>
        </w:rPr>
        <w:t>domestic animals</w:t>
      </w:r>
    </w:p>
    <w:p>
      <w:pPr>
        <w:pStyle w:val="ListBullet"/>
        <w:spacing w:line="240" w:lineRule="auto"/>
        <w:ind w:left="720"/>
      </w:pPr>
      <w:r>
        <w:rPr>
          <w:lang w:val="en_US" w:bidi="en_US"/>
        </w:rPr>
      </w:r>
      <w:r>
        <w:rPr>
          <w:lang w:val="en_US" w:bidi="en_US"/>
        </w:rPr>
        <w:t xml:space="preserve">Use a general expression along with the word for </w:t>
      </w:r>
      <w:r>
        <w:rPr>
          <w:i/>
          <w:lang w:val="en_US" w:bidi="en_US"/>
        </w:rPr>
        <w:t>pigs</w:t>
      </w:r>
      <w:r>
        <w:rPr>
          <w:lang w:val="en_US" w:bidi="en_US"/>
        </w:rPr>
        <w:t xml:space="preserve"> from another language. For example:</w:t>
      </w:r>
      <w:r>
        <w:rPr>
          <w:lang w:val="en_US" w:bidi="en_US"/>
        </w:rPr>
        <w:t>farm animals called “pigs”</w:t>
      </w:r>
    </w:p>
    <w:p>
      <w:pPr>
        <w:pStyle w:val="ListBullet"/>
        <w:spacing w:line="240" w:lineRule="auto"/>
        <w:ind w:left="720"/>
      </w:pPr>
      <w:r>
        <w:rPr>
          <w:lang w:val="en_US" w:bidi="en_US"/>
        </w:rPr>
      </w:r>
      <w:r>
        <w:rPr>
          <w:lang w:val="en_US" w:bidi="en_US"/>
        </w:rPr>
        <w:t>Use a descriptive phrase. For example:</w:t>
      </w:r>
      <w:r>
        <w:rPr>
          <w:lang w:val="en_US" w:bidi="en_US"/>
        </w:rPr>
        <w:t>farm animals that are ritually unclean</w:t>
      </w:r>
    </w:p>
    <w:p>
      <w:pPr/>
      <w:r>
        <w:rPr>
          <w:lang w:val="en_US" w:bidi="en_US"/>
        </w:rPr>
      </w:r>
      <w:r>
        <w:rPr>
          <w:lang w:val="en_US" w:bidi="en_US"/>
        </w:rPr>
        <w:t>You may also want to have a picture of pigs in your translation.</w:t>
      </w:r>
    </w:p>
    <w:p>
      <w:pPr/>
      <w:r>
        <w:rPr>
          <w:lang w:val="en_US" w:bidi="en_US"/>
        </w:rPr>
      </w:r>
      <w:r>
        <w:rPr>
          <w:b/>
          <w:lang w:val="en_US" w:bidi="en_US"/>
        </w:rPr>
        <w:t>was feeding:</w:t>
      </w:r>
      <w:r>
        <w:rPr>
          <w:lang w:val="en_US" w:bidi="en_US"/>
        </w:rPr>
        <w:t xml:space="preserve"> The word </w:t>
      </w:r>
      <w:r>
        <w:rPr>
          <w:i/>
          <w:lang w:val="en_US" w:bidi="en_US"/>
        </w:rPr>
        <w:t>feeding</w:t>
      </w:r>
      <w:r>
        <w:rPr>
          <w:lang w:val="en_US" w:bidi="en_US"/>
        </w:rPr>
        <w:t xml:space="preserve"> indicates that the pigs were eating whatever food they could find on the hillside. If your language has a specific word that describes the way pigs eat, you should use that here. For example:</w:t>
      </w:r>
    </w:p>
    <w:p>
      <w:pPr/>
      <w:r>
        <w:rPr>
          <w:lang w:val="en_US" w:bidi="en_US"/>
        </w:rPr>
      </w:r>
      <w:r>
        <w:rPr>
          <w:lang w:val="en_US" w:bidi="en_US"/>
        </w:rPr>
        <w:t>grazing</w:t>
      </w:r>
    </w:p>
    <w:p>
      <w:pPr/>
      <w:r>
        <w:rPr>
          <w:lang w:val="en_US" w:bidi="en_US"/>
        </w:rPr>
      </w:r>
      <w:r>
        <w:rPr>
          <w:lang w:val="en_US" w:bidi="en_US"/>
        </w:rPr>
        <w:t>rooting</w:t>
      </w:r>
    </w:p>
    <w:p>
      <w:pPr/>
      <w:r>
        <w:rPr>
          <w:lang w:val="en_US" w:bidi="en_US"/>
        </w:rPr>
      </w:r>
      <w:r>
        <w:rPr>
          <w:lang w:val="en_US" w:bidi="en_US"/>
        </w:rPr>
        <w:t>foraging</w:t>
      </w:r>
    </w:p>
    <w:p>
      <w:pPr>
        <w:pStyle w:val="Heading5"/>
      </w:pPr>
      <w:r>
        <w:rPr>
          <w:lang w:val="en_US" w:bidi="en_US"/>
        </w:rPr>
        <w:t>8:32b</w:t>
      </w:r>
    </w:p>
    <w:p>
      <w:pPr/>
      <w:r>
        <w:rPr>
          <w:lang w:val="en_US" w:bidi="en_US"/>
        </w:rPr>
      </w:r>
      <w:r>
        <w:rPr>
          <w:b/>
          <w:lang w:val="en_US" w:bidi="en_US"/>
        </w:rPr>
        <w:t>So the demons begged Jesus to let them enter the pigs,</w:t>
      </w:r>
    </w:p>
    <w:p>
      <w:pPr>
        <w:pStyle w:val="ListBullet"/>
        <w:spacing w:line="240" w:lineRule="auto"/>
        <w:ind w:left="720"/>
      </w:pPr>
      <w:r>
        <w:rPr>
          <w:lang w:val="en_US" w:bidi="en_US"/>
        </w:rPr>
      </w:r>
      <w:r>
        <w:rPr>
          <w:lang w:val="en_US" w:bidi="en_US"/>
        </w:rPr>
        <w:t>The demons pleaded with Jesus to allow them to enter the pigs,</w:t>
      </w:r>
    </w:p>
    <w:p>
      <w:pPr>
        <w:pStyle w:val="ListBullet"/>
        <w:spacing w:line="240" w:lineRule="auto"/>
        <w:ind w:left="720"/>
      </w:pPr>
      <w:r>
        <w:rPr>
          <w:lang w:val="en_US" w:bidi="en_US"/>
        </w:rPr>
      </w:r>
      <w:r>
        <w:rPr>
          <w:lang w:val="en_US" w:bidi="en_US"/>
        </w:rPr>
        <w:t>The evil spirits said to Jesus, “Please let us</w:t>
      </w:r>
      <w:r>
        <w:rPr>
          <w:vertAlign w:val="superscript"/>
          <w:lang w:val="en_US" w:bidi="en_US"/>
        </w:rPr>
        <w:t>(excl)</w:t>
      </w:r>
      <w:r>
        <w:rPr>
          <w:lang w:val="en_US" w:bidi="en_US"/>
        </w:rPr>
        <w:t xml:space="preserve"> go and take control of the pigs.”</w:t>
      </w:r>
    </w:p>
    <w:p>
      <w:pPr>
        <w:pStyle w:val="ListBullet"/>
        <w:spacing w:line="240" w:lineRule="auto"/>
        <w:ind w:left="720"/>
      </w:pPr>
      <w:r>
        <w:rPr>
          <w:lang w:val="en_US" w:bidi="en_US"/>
        </w:rPr>
      </w:r>
      <w:r>
        <w:rPr>
          <w:lang w:val="en_US" w:bidi="en_US"/>
        </w:rPr>
        <w:t>The demons begged him, “</w:t>
      </w:r>
      <w:r>
        <w:rPr>
          <w:lang w:val="en_US" w:bidi="en_US"/>
        </w:rPr>
        <w:t>If we</w:t>
      </w:r>
      <w:r>
        <w:rPr>
          <w:vertAlign w:val="superscript"/>
          <w:lang w:val="en_US" w:bidi="en_US"/>
        </w:rPr>
        <w:t>(excl)</w:t>
      </w:r>
      <w:r>
        <w:rPr>
          <w:lang w:val="en_US" w:bidi="en_US"/>
        </w:rPr>
        <w:t xml:space="preserve"> </w:t>
      </w:r>
      <w:r>
        <w:rPr>
          <w:lang w:val="en_US" w:bidi="en_US"/>
        </w:rPr>
        <w:t>must leave this man,</w:t>
      </w:r>
      <w:r>
        <w:rPr>
          <w:lang w:val="en_US" w:bidi="en_US"/>
        </w:rPr>
        <w:t xml:space="preserve"> may we</w:t>
      </w:r>
      <w:r>
        <w:rPr>
          <w:vertAlign w:val="superscript"/>
          <w:lang w:val="en_US" w:bidi="en_US"/>
        </w:rPr>
        <w:t>(excl)</w:t>
      </w:r>
      <w:r>
        <w:rPr>
          <w:lang w:val="en_US" w:bidi="en_US"/>
        </w:rPr>
        <w:t xml:space="preserve"> go and take control of the pigs </w:t>
      </w:r>
      <w:r>
        <w:rPr>
          <w:lang w:val="en_US" w:bidi="en_US"/>
        </w:rPr>
        <w:t>over there on the hillside</w:t>
      </w:r>
      <w:r>
        <w:rPr>
          <w:lang w:val="en_US" w:bidi="en_US"/>
        </w:rPr>
        <w:t>?”</w:t>
      </w:r>
    </w:p>
    <w:p>
      <w:pPr/>
      <w:r>
        <w:rPr>
          <w:lang w:val="en_US" w:bidi="en_US"/>
        </w:rPr>
      </w:r>
      <w:r>
        <w:rPr>
          <w:b/>
          <w:lang w:val="en_US" w:bidi="en_US"/>
        </w:rPr>
        <w:t>So:</w:t>
      </w:r>
      <w:r>
        <w:rPr>
          <w:lang w:val="en_US" w:bidi="en_US"/>
        </w:rPr>
        <w:t xml:space="preserve"> This verse begins with a Greek conjunction that is often translated as “and.” Several English versions, such as the ESV, NET, and NLT, translate it that way. Other versions, such as the NIV, do not translate this conjunction. But since the demons’ request was a result of the herd of pigs being nearby, the BSB translates this conjunction as </w:t>
      </w:r>
      <w:r>
        <w:rPr>
          <w:i/>
          <w:lang w:val="en_US" w:bidi="en_US"/>
        </w:rPr>
        <w:t>So</w:t>
      </w:r>
      <w:r>
        <w:rPr>
          <w:lang w:val="en_US" w:bidi="en_US"/>
        </w:rPr>
        <w:t>. Some other English versions (CEV, GNT, NKJV) also translate it as “so.” Connect 4:4a to 4:3b in a way that is natural in your language.</w:t>
      </w:r>
    </w:p>
    <w:p>
      <w:pPr/>
      <w:r>
        <w:rPr>
          <w:lang w:val="en_US" w:bidi="en_US"/>
        </w:rPr>
      </w:r>
      <w:r>
        <w:rPr>
          <w:b/>
          <w:lang w:val="en_US" w:bidi="en_US"/>
        </w:rPr>
        <w:t>the demons begged Jesus to let them enter the pigs:</w:t>
      </w:r>
      <w:r>
        <w:rPr>
          <w:lang w:val="en_US" w:bidi="en_US"/>
        </w:rPr>
        <w:t xml:space="preserve"> The phrase </w:t>
      </w:r>
      <w:r>
        <w:rPr>
          <w:i/>
          <w:lang w:val="en_US" w:bidi="en_US"/>
        </w:rPr>
        <w:t>to let them enter the pigs</w:t>
      </w:r>
      <w:r>
        <w:rPr>
          <w:lang w:val="en_US" w:bidi="en_US"/>
        </w:rPr>
        <w:t xml:space="preserve"> is a request that Jesus would allow the demons to control the pigs as they had controlled the man. The demons were not implying that they preferred the pigs to the man. They were implying that if they were forced to leave the man, they wanted to enter the pigs.</w:t>
      </w:r>
    </w:p>
    <w:p>
      <w:pPr/>
      <w:r>
        <w:rPr>
          <w:lang w:val="en_US" w:bidi="en_US"/>
        </w:rPr>
      </w:r>
      <w:r>
        <w:rPr>
          <w:lang w:val="en_US" w:bidi="en_US"/>
        </w:rPr>
        <w:t>In some languages it may be necessary to make that explicit. For example:</w:t>
      </w:r>
    </w:p>
    <w:p>
      <w:pPr/>
      <w:r>
        <w:rPr>
          <w:lang w:val="en_US" w:bidi="en_US"/>
        </w:rPr>
      </w:r>
      <w:r>
        <w:rPr>
          <w:lang w:val="en_US" w:bidi="en_US"/>
        </w:rPr>
        <w:t xml:space="preserve">that </w:t>
      </w:r>
      <w:r>
        <w:rPr>
          <w:lang w:val="en_US" w:bidi="en_US"/>
        </w:rPr>
        <w:t>if he would not allow them to stay in the man,</w:t>
      </w:r>
      <w:r>
        <w:rPr>
          <w:lang w:val="en_US" w:bidi="en_US"/>
        </w:rPr>
        <w:t xml:space="preserve"> he would allow them to go into the pigs </w:t>
      </w:r>
      <w:r>
        <w:rPr>
          <w:lang w:val="en_US" w:bidi="en_US"/>
        </w:rPr>
        <w:t>instead</w:t>
      </w:r>
    </w:p>
    <w:p>
      <w:pPr/>
      <w:r>
        <w:rPr>
          <w:lang w:val="en_US" w:bidi="en_US"/>
        </w:rPr>
      </w:r>
      <w:r>
        <w:rPr>
          <w:lang w:val="en_US" w:bidi="en_US"/>
        </w:rPr>
        <w:t>In some languages it may be more natural to use direct speech in this context. For example:</w:t>
      </w:r>
    </w:p>
    <w:p>
      <w:pPr/>
      <w:r>
        <w:rPr>
          <w:lang w:val="en_US" w:bidi="en_US"/>
        </w:rPr>
      </w:r>
      <w:r>
        <w:rPr>
          <w:lang w:val="en_US" w:bidi="en_US"/>
        </w:rPr>
        <w:t>…begged Jesus, “Let us enter into the pigs.”</w:t>
      </w:r>
    </w:p>
    <w:p>
      <w:pPr/>
      <w:r>
        <w:rPr>
          <w:lang w:val="en_US" w:bidi="en_US"/>
        </w:rPr>
      </w:r>
      <w:r>
        <w:rPr>
          <w:lang w:val="en_US" w:bidi="en_US"/>
        </w:rPr>
        <w:t>…begged Jesus, “Send us into the pigs.” (See Mark 5:12)</w:t>
      </w:r>
    </w:p>
    <w:p>
      <w:pPr/>
      <w:r>
        <w:rPr>
          <w:lang w:val="en_US" w:bidi="en_US"/>
        </w:rPr>
      </w:r>
      <w:r>
        <w:rPr>
          <w:lang w:val="en_US" w:bidi="en_US"/>
        </w:rPr>
        <w:t>…said to Jesus, “</w:t>
      </w:r>
      <w:r>
        <w:rPr>
          <w:lang w:val="en_US" w:bidi="en_US"/>
        </w:rPr>
        <w:t>Please</w:t>
      </w:r>
      <w:r>
        <w:rPr>
          <w:lang w:val="en_US" w:bidi="en_US"/>
        </w:rPr>
        <w:t xml:space="preserve"> allow us to go into the pigs </w:t>
      </w:r>
      <w:r>
        <w:rPr>
          <w:lang w:val="en_US" w:bidi="en_US"/>
        </w:rPr>
        <w:t>over there,</w:t>
      </w:r>
      <w:r>
        <w:rPr>
          <w:lang w:val="en_US" w:bidi="en_US"/>
        </w:rPr>
        <w:t xml:space="preserve"> </w:t>
      </w:r>
      <w:r>
        <w:rPr>
          <w:lang w:val="en_US" w:bidi="en_US"/>
        </w:rPr>
        <w:t>if we cannot stay in this man</w:t>
      </w:r>
      <w:r>
        <w:rPr>
          <w:lang w:val="en_US" w:bidi="en_US"/>
        </w:rPr>
        <w:t>.”</w:t>
      </w:r>
    </w:p>
    <w:p>
      <w:pPr/>
      <w:r>
        <w:rPr>
          <w:lang w:val="en_US" w:bidi="en_US"/>
        </w:rPr>
      </w:r>
      <w:r>
        <w:rPr>
          <w:b/>
          <w:lang w:val="en_US" w:bidi="en_US"/>
        </w:rPr>
        <w:t>begged:</w:t>
      </w:r>
      <w:r>
        <w:rPr>
          <w:lang w:val="en_US" w:bidi="en_US"/>
        </w:rPr>
        <w:t xml:space="preserve"> The Greek verb that the BSB translates as </w:t>
      </w:r>
      <w:r>
        <w:rPr>
          <w:i/>
          <w:lang w:val="en_US" w:bidi="en_US"/>
        </w:rPr>
        <w:t>begged</w:t>
      </w:r>
      <w:r>
        <w:rPr>
          <w:lang w:val="en_US" w:bidi="en_US"/>
        </w:rPr>
        <w:t xml:space="preserve"> means to “plead for” something. This verb was also used in 8:31, and you can translate it in a similar way here. However, the verb form does not indicate repeated action here, as it did in 8:31.</w:t>
      </w:r>
    </w:p>
    <w:p>
      <w:pPr/>
      <w:r>
        <w:rPr>
          <w:lang w:val="en_US" w:bidi="en_US"/>
        </w:rPr>
      </w:r>
      <w:r>
        <w:rPr>
          <w:b/>
          <w:lang w:val="en_US" w:bidi="en_US"/>
        </w:rPr>
        <w:t>to let them enter the pigs:</w:t>
      </w:r>
      <w:r>
        <w:rPr>
          <w:lang w:val="en_US" w:bidi="en_US"/>
        </w:rPr>
        <w:t xml:space="preserve"> The demons asked Jesus to allow them to control (possess) the pigs. In some languages it may not be natural to use the same expression to describe an unclean spirit controlling both animals and people. Use a natural expression in your language. For example:</w:t>
      </w:r>
    </w:p>
    <w:p>
      <w:pPr/>
      <w:r>
        <w:rPr>
          <w:lang w:val="en_US" w:bidi="en_US"/>
        </w:rPr>
      </w:r>
      <w:r>
        <w:rPr>
          <w:lang w:val="en_US" w:bidi="en_US"/>
        </w:rPr>
        <w:t>go/be upon them</w:t>
      </w:r>
    </w:p>
    <w:p>
      <w:pPr/>
      <w:r>
        <w:rPr>
          <w:lang w:val="en_US" w:bidi="en_US"/>
        </w:rPr>
      </w:r>
      <w:r>
        <w:rPr>
          <w:lang w:val="en_US" w:bidi="en_US"/>
        </w:rPr>
        <w:t>go behind them</w:t>
      </w:r>
    </w:p>
    <w:p>
      <w:pPr/>
      <w:r>
        <w:rPr>
          <w:lang w:val="en_US" w:bidi="en_US"/>
        </w:rPr>
      </w:r>
      <w:r>
        <w:rPr>
          <w:lang w:val="en_US" w:bidi="en_US"/>
        </w:rPr>
        <w:t>fasten upon them</w:t>
      </w:r>
    </w:p>
    <w:p>
      <w:pPr>
        <w:pStyle w:val="Heading5"/>
      </w:pPr>
      <w:r>
        <w:rPr>
          <w:lang w:val="en_US" w:bidi="en_US"/>
        </w:rPr>
        <w:t>8:32c</w:t>
      </w:r>
    </w:p>
    <w:p>
      <w:pPr/>
      <w:r>
        <w:rPr>
          <w:lang w:val="en_US" w:bidi="en_US"/>
        </w:rPr>
      </w:r>
      <w:r>
        <w:rPr>
          <w:b/>
          <w:lang w:val="en_US" w:bidi="en_US"/>
        </w:rPr>
        <w:t>and He gave them permission.</w:t>
      </w:r>
    </w:p>
    <w:p>
      <w:pPr>
        <w:pStyle w:val="ListBullet"/>
        <w:spacing w:line="240" w:lineRule="auto"/>
        <w:ind w:left="720"/>
      </w:pPr>
      <w:r>
        <w:rPr>
          <w:lang w:val="en_US" w:bidi="en_US"/>
        </w:rPr>
      </w:r>
      <w:r>
        <w:rPr>
          <w:lang w:val="en_US" w:bidi="en_US"/>
        </w:rPr>
        <w:t xml:space="preserve">and he permitted/allowed them </w:t>
      </w:r>
      <w:r>
        <w:rPr>
          <w:lang w:val="en_US" w:bidi="en_US"/>
        </w:rPr>
        <w:t>to do that</w:t>
      </w:r>
      <w:r>
        <w:rPr>
          <w:lang w:val="en_US" w:bidi="en_US"/>
        </w:rPr>
        <w:t>.</w:t>
      </w:r>
    </w:p>
    <w:p>
      <w:pPr>
        <w:pStyle w:val="ListBullet"/>
        <w:spacing w:line="240" w:lineRule="auto"/>
        <w:ind w:left="720"/>
      </w:pPr>
      <w:r>
        <w:rPr>
          <w:lang w:val="en_US" w:bidi="en_US"/>
        </w:rPr>
      </w:r>
      <w:r>
        <w:rPr>
          <w:lang w:val="en_US" w:bidi="en_US"/>
        </w:rPr>
        <w:t xml:space="preserve">He said that they might </w:t>
      </w:r>
      <w:r>
        <w:rPr>
          <w:lang w:val="en_US" w:bidi="en_US"/>
        </w:rPr>
        <w:t>do as they had asked</w:t>
      </w:r>
      <w:r>
        <w:rPr>
          <w:lang w:val="en_US" w:bidi="en_US"/>
        </w:rPr>
        <w:t>.</w:t>
      </w:r>
    </w:p>
    <w:p>
      <w:pPr>
        <w:pStyle w:val="ListBullet"/>
        <w:spacing w:line="240" w:lineRule="auto"/>
        <w:ind w:left="720"/>
      </w:pPr>
      <w:r>
        <w:rPr>
          <w:lang w:val="en_US" w:bidi="en_US"/>
        </w:rPr>
      </w:r>
      <w:r>
        <w:rPr>
          <w:lang w:val="en_US" w:bidi="en_US"/>
        </w:rPr>
        <w:t>Jesus replied, “Yes, you may.”</w:t>
      </w:r>
    </w:p>
    <w:p>
      <w:pPr/>
      <w:r>
        <w:rPr>
          <w:lang w:val="en_US" w:bidi="en_US"/>
        </w:rPr>
      </w:r>
      <w:r>
        <w:rPr>
          <w:b/>
          <w:lang w:val="en_US" w:bidi="en_US"/>
        </w:rPr>
        <w:t>and:</w:t>
      </w:r>
      <w:r>
        <w:rPr>
          <w:lang w:val="en_US" w:bidi="en_US"/>
        </w:rPr>
        <w:t xml:space="preserve"> This verse begins with a Greek conjunction that is often translated as “and.” Most English versions, including the BSB, translate it that way. However, since in 8:32c Jesus responded to what the unclean spirits requested in 8:32b, some English versions (ESV, GW, NLT) introduce the request with the connector “so.” Connect 8:32c to 8:32b in a way that is natural in your language for this context.</w:t>
      </w:r>
    </w:p>
    <w:p>
      <w:pPr/>
      <w:r>
        <w:rPr>
          <w:lang w:val="en_US" w:bidi="en_US"/>
        </w:rPr>
      </w:r>
      <w:r>
        <w:rPr>
          <w:b/>
          <w:lang w:val="en_US" w:bidi="en_US"/>
        </w:rPr>
        <w:t>He gave them permission:</w:t>
      </w:r>
      <w:r>
        <w:rPr>
          <w:lang w:val="en_US" w:bidi="en_US"/>
        </w:rPr>
        <w:t xml:space="preserve"> Jesus gave the demons permission to go to the pigs and control them. In some languages it may be necessary to make explicit what </w:t>
      </w:r>
      <w:r>
        <w:rPr>
          <w:i/>
          <w:lang w:val="en_US" w:bidi="en_US"/>
        </w:rPr>
        <w:t>permission</w:t>
      </w:r>
      <w:r>
        <w:rPr>
          <w:lang w:val="en_US" w:bidi="en_US"/>
        </w:rPr>
        <w:t xml:space="preserve"> Jesus gave the demons:</w:t>
      </w:r>
    </w:p>
    <w:p>
      <w:pPr/>
      <w:r>
        <w:rPr>
          <w:lang w:val="en_US" w:bidi="en_US"/>
        </w:rPr>
      </w:r>
      <w:r>
        <w:rPr>
          <w:lang w:val="en_US" w:bidi="en_US"/>
        </w:rPr>
        <w:t xml:space="preserve">he gave them permission </w:t>
      </w:r>
      <w:r>
        <w:rPr>
          <w:lang w:val="en_US" w:bidi="en_US"/>
        </w:rPr>
        <w:t>to do that</w:t>
      </w:r>
    </w:p>
    <w:p>
      <w:pPr/>
      <w:r>
        <w:rPr>
          <w:lang w:val="en_US" w:bidi="en_US"/>
        </w:rPr>
      </w:r>
      <w:r>
        <w:rPr>
          <w:lang w:val="en_US" w:bidi="en_US"/>
        </w:rPr>
        <w:t xml:space="preserve">he said that they might </w:t>
      </w:r>
      <w:r>
        <w:rPr>
          <w:lang w:val="en_US" w:bidi="en_US"/>
        </w:rPr>
        <w:t>enter them</w:t>
      </w:r>
    </w:p>
    <w:p>
      <w:pPr/>
      <w:r>
        <w:rPr>
          <w:lang w:val="en_US" w:bidi="en_US"/>
        </w:rPr>
      </w:r>
      <w:r>
        <w:rPr>
          <w:lang w:val="en_US" w:bidi="en_US"/>
        </w:rPr>
        <w:t>If your language prefers direct speech in this context, you may use it here. (See Matthew 8:32.) For example:</w:t>
      </w:r>
    </w:p>
    <w:p>
      <w:pPr/>
      <w:r>
        <w:rPr>
          <w:lang w:val="en_US" w:bidi="en_US"/>
        </w:rPr>
      </w:r>
      <w:r>
        <w:rPr>
          <w:lang w:val="en_US" w:bidi="en_US"/>
        </w:rPr>
        <w:t>So he said to them, “You may.”</w:t>
      </w:r>
    </w:p>
    <w:p>
      <w:pPr/>
      <w:r>
        <w:rPr>
          <w:lang w:val="en_US" w:bidi="en_US"/>
        </w:rPr>
      </w:r>
      <w:r>
        <w:rPr>
          <w:lang w:val="en_US" w:bidi="en_US"/>
        </w:rPr>
        <w:t>He said to them, “Go.”</w:t>
      </w:r>
      <w:r>
        <w:rPr>
          <w:lang w:val="en_US" w:bidi="en_US"/>
        </w:rPr>
      </w:r>
      <w:r>
        <w:rPr>
          <w:lang w:val="en_US" w:bidi="en_US"/>
        </w:rPr>
      </w:r>
    </w:p>
    <w:p>
      <w:pPr/>
      <w:r>
        <w:rPr>
          <w:lang w:val="en_US" w:bidi="en_US"/>
        </w:rPr>
      </w:r>
    </w:p>
    <w:p>
      <w:pPr>
        <w:pStyle w:val="Heading2"/>
      </w:pPr>
      <w:r>
        <w:rPr>
          <w:lang w:val="en_US" w:bidi="en_US"/>
        </w:rPr>
        <w:t>Luke 8:33</w:t>
      </w:r>
      <w:r>
        <w:rPr>
          <w:lang w:val="en_US" w:bidi="en_US"/>
        </w:rPr>
      </w:r>
    </w:p>
    <w:p>
      <w:pPr>
        <w:pStyle w:val="Heading4"/>
      </w:pPr>
      <w:r>
        <w:rPr>
          <w:lang w:val="en_US" w:bidi="en_US"/>
        </w:rPr>
        <w:t>Section 8:26–39: Jesus freed a man whom many demons controlled</w:t>
      </w:r>
    </w:p>
    <w:p>
      <w:pPr/>
      <w:r>
        <w:rPr>
          <w:lang w:val="en_US" w:bidi="en_US"/>
        </w:rPr>
      </w:r>
      <w:r>
        <w:rPr>
          <w:lang w:val="en_US" w:bidi="en_US"/>
        </w:rP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pPr/>
      <w:r>
        <w:rPr>
          <w:lang w:val="en_US" w:bidi="en_US"/>
        </w:rPr>
      </w:r>
      <w:r>
        <w:rPr>
          <w:lang w:val="en_US" w:bidi="en_US"/>
        </w:rPr>
        <w:t>“Uncleanness” is a theme in this story. The spirits that controlled the man were considered “unclean” (and called “unclean” in 8:29a). Tombs were “unclean.” Jews also considered pigs to be “unclean.”</w:t>
      </w:r>
    </w:p>
    <w:p>
      <w:pPr/>
      <w:r>
        <w:rPr>
          <w:lang w:val="en_US" w:bidi="en_US"/>
        </w:rPr>
      </w:r>
      <w:r>
        <w:rPr>
          <w:lang w:val="en_US" w:bidi="en_US"/>
        </w:rP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pPr/>
      <w:r>
        <w:rPr>
          <w:lang w:val="en_US" w:bidi="en_US"/>
        </w:rPr>
      </w:r>
      <w:r>
        <w:rPr>
          <w:lang w:val="en_US" w:bidi="en_US"/>
        </w:rPr>
        <w:t>Some other possible headings for this section are:</w:t>
      </w:r>
    </w:p>
    <w:p>
      <w:pPr/>
      <w:r>
        <w:rPr>
          <w:lang w:val="en_US" w:bidi="en_US"/>
        </w:rPr>
      </w:r>
      <w:r>
        <w:rPr>
          <w:lang w:val="en_US" w:bidi="en_US"/>
        </w:rPr>
        <w:t>Jesus commanded many demons to leave a man</w:t>
      </w:r>
    </w:p>
    <w:p>
      <w:pPr/>
      <w:r>
        <w:rPr>
          <w:lang w:val="en_US" w:bidi="en_US"/>
        </w:rPr>
      </w:r>
      <w:r>
        <w:rPr>
          <w:lang w:val="en_US" w:bidi="en_US"/>
        </w:rPr>
        <w:t>The deliverance of a man who was controlled by many demons</w:t>
      </w:r>
    </w:p>
    <w:p>
      <w:pPr/>
      <w:r>
        <w:rPr>
          <w:lang w:val="en_US" w:bidi="en_US"/>
        </w:rPr>
      </w:r>
      <w:r>
        <w:rPr>
          <w:lang w:val="en_US" w:bidi="en_US"/>
        </w:rPr>
        <w:t>There are parallel passages for this section in Matthew 8:28–34 and Mark 5:1–20.</w:t>
      </w:r>
    </w:p>
    <w:p>
      <w:pPr>
        <w:pStyle w:val="Heading4"/>
      </w:pPr>
      <w:r>
        <w:rPr>
          <w:lang w:val="en_US" w:bidi="en_US"/>
        </w:rPr>
        <w:t>Paragraph 8:26–33</w:t>
      </w:r>
    </w:p>
    <w:p>
      <w:pPr/>
      <w:r>
        <w:rPr>
          <w:lang w:val="en_US" w:bidi="en_US"/>
        </w:rPr>
      </w:r>
      <w:r>
        <w:rPr>
          <w:lang w:val="en_US" w:bidi="en_US"/>
        </w:rPr>
        <w:t>In this paragraph Luke told about events that happened when Jesus and his disciples came to the other side of the lake. Several times Luke inserted background information about the past. In some languages speakers often shift in this way between telling events and giving background information to explain them. Use natural ways to do this in your language.</w:t>
      </w:r>
    </w:p>
    <w:p>
      <w:pPr/>
      <w:r>
        <w:rPr>
          <w:lang w:val="en_US" w:bidi="en_US"/>
        </w:rPr>
      </w:r>
      <w:r>
        <w:rPr>
          <w:lang w:val="en_US" w:bidi="en_US"/>
        </w:rPr>
        <w:t>In some languages this shift between actions and background information may be confusing. You may need to change the order of some information in these verses. See the General Comment on 8:27a–28a at the end of the notes on 8:28a and the longer General Comment on 8:27–29 at the end of the notes on 8:29e for suggestions.</w:t>
      </w:r>
    </w:p>
    <w:p>
      <w:pPr>
        <w:pStyle w:val="Heading5"/>
      </w:pPr>
      <w:r>
        <w:rPr>
          <w:lang w:val="en_US" w:bidi="en_US"/>
        </w:rPr>
        <w:t>8:33a</w:t>
      </w:r>
    </w:p>
    <w:p>
      <w:pPr/>
      <w:r>
        <w:rPr>
          <w:lang w:val="en_US" w:bidi="en_US"/>
        </w:rPr>
      </w:r>
      <w:r>
        <w:rPr>
          <w:b/>
          <w:lang w:val="en_US" w:bidi="en_US"/>
        </w:rPr>
        <w:t>Then the demons came out of the man and went into the pigs,</w:t>
      </w:r>
    </w:p>
    <w:p>
      <w:pPr>
        <w:pStyle w:val="ListBullet"/>
        <w:spacing w:line="240" w:lineRule="auto"/>
        <w:ind w:left="720"/>
      </w:pPr>
      <w:r>
        <w:rPr>
          <w:lang w:val="en_US" w:bidi="en_US"/>
        </w:rPr>
      </w:r>
      <w:r>
        <w:rPr>
          <w:lang w:val="en_US" w:bidi="en_US"/>
        </w:rPr>
        <w:t>So</w:t>
      </w:r>
      <w:r>
        <w:rPr>
          <w:lang w:val="en_US" w:bidi="en_US"/>
        </w:rPr>
        <w:t xml:space="preserve"> after coming out of the man, the demons went into the pigs,</w:t>
      </w:r>
    </w:p>
    <w:p>
      <w:pPr>
        <w:pStyle w:val="ListBullet"/>
        <w:spacing w:line="240" w:lineRule="auto"/>
        <w:ind w:left="720"/>
      </w:pPr>
      <w:r>
        <w:rPr>
          <w:lang w:val="en_US" w:bidi="en_US"/>
        </w:rPr>
      </w:r>
      <w:r>
        <w:rPr>
          <w:lang w:val="en_US" w:bidi="en_US"/>
        </w:rPr>
        <w:t>Then</w:t>
      </w:r>
      <w:r>
        <w:rPr>
          <w:lang w:val="en_US" w:bidi="en_US"/>
        </w:rPr>
        <w:t xml:space="preserve"> the evil spirits left the man and took control of the pigs.</w:t>
      </w:r>
    </w:p>
    <w:p>
      <w:pPr/>
      <w:r>
        <w:rPr>
          <w:lang w:val="en_US" w:bidi="en_US"/>
        </w:rPr>
      </w:r>
      <w:r>
        <w:rPr>
          <w:b/>
          <w:lang w:val="en_US" w:bidi="en_US"/>
        </w:rPr>
        <w:t>Then:</w:t>
      </w:r>
      <w:r>
        <w:rPr>
          <w:lang w:val="en_US" w:bidi="en_US"/>
        </w:rPr>
        <w:t xml:space="preserve"> This verse begins with a Greek conjunction that is often translated as “and.” Some English versions, such as the NASB, translate it that way. However, since the action in 8:33a happened after Jesus granted the demons permission in 8:32 and as a result of that, many English versions (CEV, ESV, NLT) connect 8:33a to 8:32c with the conjunction “Then.” Some versions say “When” (NIV) or “So” (NET). A few versions (GNT, GW) do not use a conjunction. Connect 8:33a to 8:32c in a way that is natural in your language.</w:t>
      </w:r>
    </w:p>
    <w:p>
      <w:pPr/>
      <w:r>
        <w:rPr>
          <w:lang w:val="en_US" w:bidi="en_US"/>
        </w:rPr>
      </w:r>
      <w:r>
        <w:rPr>
          <w:b/>
          <w:lang w:val="en_US" w:bidi="en_US"/>
        </w:rPr>
        <w:t>demons:</w:t>
      </w:r>
      <w:r>
        <w:rPr>
          <w:lang w:val="en_US" w:bidi="en_US"/>
        </w:rPr>
        <w:t xml:space="preserve"> The Greek word that the BSB translates as </w:t>
      </w:r>
      <w:r>
        <w:rPr>
          <w:i/>
          <w:lang w:val="en_US" w:bidi="en_US"/>
        </w:rPr>
        <w:t>demons</w:t>
      </w:r>
      <w:r>
        <w:rPr>
          <w:lang w:val="en_US" w:bidi="en_US"/>
        </w:rPr>
        <w:t xml:space="preserve"> is the same word as in 8:27b and 8:30c.</w:t>
      </w:r>
    </w:p>
    <w:p>
      <w:pPr/>
      <w:r>
        <w:rPr>
          <w:lang w:val="en_US" w:bidi="en_US"/>
        </w:rPr>
      </w:r>
      <w:r>
        <w:rPr>
          <w:b/>
          <w:lang w:val="en_US" w:bidi="en_US"/>
        </w:rPr>
        <w:t>came out of the man:</w:t>
      </w:r>
      <w:r>
        <w:rPr>
          <w:lang w:val="en_US" w:bidi="en_US"/>
        </w:rPr>
        <w:t xml:space="preserve"> See the note on “come out” at 8:29a.</w:t>
      </w:r>
    </w:p>
    <w:p>
      <w:pPr>
        <w:pStyle w:val="Heading5"/>
      </w:pPr>
      <w:r>
        <w:rPr>
          <w:lang w:val="en_US" w:bidi="en_US"/>
        </w:rPr>
        <w:t>8:33b</w:t>
      </w:r>
    </w:p>
    <w:p>
      <w:pPr/>
      <w:r>
        <w:rPr>
          <w:lang w:val="en_US" w:bidi="en_US"/>
        </w:rPr>
      </w:r>
      <w:r>
        <w:rPr>
          <w:b/>
          <w:lang w:val="en_US" w:bidi="en_US"/>
        </w:rPr>
        <w:t>and the herd rushed down the steep bank into the lake</w:t>
      </w:r>
    </w:p>
    <w:p>
      <w:pPr>
        <w:pStyle w:val="ListBullet"/>
        <w:spacing w:line="240" w:lineRule="auto"/>
        <w:ind w:left="720"/>
      </w:pPr>
      <w:r>
        <w:rPr>
          <w:lang w:val="en_US" w:bidi="en_US"/>
        </w:rPr>
      </w:r>
      <w:r>
        <w:rPr>
          <w:lang w:val="en_US" w:bidi="en_US"/>
        </w:rPr>
        <w:t xml:space="preserve">and the herd/group </w:t>
      </w:r>
      <w:r>
        <w:rPr>
          <w:lang w:val="en_US" w:bidi="en_US"/>
        </w:rPr>
        <w:t>of pigs</w:t>
      </w:r>
      <w:r>
        <w:rPr>
          <w:lang w:val="en_US" w:bidi="en_US"/>
        </w:rPr>
        <w:t xml:space="preserve"> ran down the sharply sloping bank/edge </w:t>
      </w:r>
      <w:r>
        <w:rPr>
          <w:lang w:val="en_US" w:bidi="en_US"/>
        </w:rPr>
        <w:t>of the lake</w:t>
      </w:r>
      <w:r>
        <w:rPr>
          <w:lang w:val="en_US" w:bidi="en_US"/>
        </w:rPr>
        <w:t xml:space="preserve"> into the water</w:t>
      </w:r>
    </w:p>
    <w:p>
      <w:pPr>
        <w:pStyle w:val="ListBullet"/>
        <w:spacing w:line="240" w:lineRule="auto"/>
        <w:ind w:left="720"/>
      </w:pPr>
      <w:r>
        <w:rPr>
          <w:lang w:val="en_US" w:bidi="en_US"/>
        </w:rPr>
      </w:r>
      <w:r>
        <w:rPr>
          <w:lang w:val="en_US" w:bidi="en_US"/>
        </w:rPr>
        <w:t>The pigs stampeded down the steep hill into the lake,</w:t>
      </w:r>
    </w:p>
    <w:p>
      <w:pPr>
        <w:pStyle w:val="Heading5"/>
      </w:pPr>
      <w:r>
        <w:rPr>
          <w:lang w:val="en_US" w:bidi="en_US"/>
        </w:rPr>
        <w:t>8:33c</w:t>
      </w:r>
    </w:p>
    <w:p>
      <w:pPr/>
      <w:r>
        <w:rPr>
          <w:lang w:val="en_US" w:bidi="en_US"/>
        </w:rPr>
      </w:r>
      <w:r>
        <w:rPr>
          <w:b/>
          <w:lang w:val="en_US" w:bidi="en_US"/>
        </w:rPr>
        <w:t>and was drowned.</w:t>
      </w:r>
    </w:p>
    <w:p>
      <w:pPr>
        <w:pStyle w:val="ListBullet"/>
        <w:spacing w:line="240" w:lineRule="auto"/>
        <w:ind w:left="720"/>
      </w:pPr>
      <w:r>
        <w:rPr>
          <w:lang w:val="en_US" w:bidi="en_US"/>
        </w:rPr>
      </w:r>
      <w:r>
        <w:rPr>
          <w:lang w:val="en_US" w:bidi="en_US"/>
        </w:rPr>
        <w:t>and drowned.</w:t>
      </w:r>
    </w:p>
    <w:p>
      <w:pPr>
        <w:pStyle w:val="ListBullet"/>
        <w:spacing w:line="240" w:lineRule="auto"/>
        <w:ind w:left="720"/>
      </w:pPr>
      <w:r>
        <w:rPr>
          <w:lang w:val="en_US" w:bidi="en_US"/>
        </w:rPr>
      </w:r>
      <w:r>
        <w:rPr>
          <w:lang w:val="en_US" w:bidi="en_US"/>
        </w:rPr>
        <w:t>and they choked/died in the water.</w:t>
      </w:r>
    </w:p>
    <w:p>
      <w:pPr>
        <w:pStyle w:val="Heading5"/>
      </w:pPr>
      <w:r>
        <w:rPr>
          <w:lang w:val="en_US" w:bidi="en_US"/>
        </w:rPr>
        <w:t>8:33b–c</w:t>
      </w:r>
    </w:p>
    <w:p>
      <w:pPr/>
      <w:r>
        <w:rPr>
          <w:lang w:val="en_US" w:bidi="en_US"/>
        </w:rPr>
      </w:r>
      <w:r>
        <w:rPr>
          <w:b/>
          <w:lang w:val="en_US" w:bidi="en_US"/>
        </w:rPr>
        <w:t>the herd…was drowned:</w:t>
      </w:r>
      <w:r>
        <w:rPr>
          <w:lang w:val="en_US" w:bidi="en_US"/>
        </w:rPr>
        <w:t xml:space="preserve"> The phrase </w:t>
      </w:r>
      <w:r>
        <w:rPr>
          <w:i/>
          <w:lang w:val="en_US" w:bidi="en_US"/>
        </w:rPr>
        <w:t>the herd</w:t>
      </w:r>
      <w:r>
        <w:rPr>
          <w:lang w:val="en_US" w:bidi="en_US"/>
        </w:rPr>
        <w:t xml:space="preserve"> refers to all the pigs as a group, as in 8:32a. The verb </w:t>
      </w:r>
      <w:r>
        <w:rPr>
          <w:i/>
          <w:lang w:val="en_US" w:bidi="en_US"/>
        </w:rPr>
        <w:t>was drowned</w:t>
      </w:r>
      <w:r>
        <w:rPr>
          <w:lang w:val="en_US" w:bidi="en_US"/>
        </w:rPr>
        <w:t xml:space="preserve"> indicates that all the pigs died in the water. Consider whether you should use a singular or a plural verb here.</w:t>
      </w:r>
    </w:p>
    <w:p>
      <w:pPr/>
      <w:r>
        <w:rPr>
          <w:lang w:val="en_US" w:bidi="en_US"/>
        </w:rPr>
      </w:r>
      <w:r>
        <w:rPr>
          <w:b/>
          <w:lang w:val="en_US" w:bidi="en_US"/>
        </w:rPr>
        <w:t>was drowned:</w:t>
      </w:r>
      <w:r>
        <w:rPr>
          <w:lang w:val="en_US" w:bidi="en_US"/>
        </w:rPr>
        <w:t xml:space="preserve"> The Greek verb that the BSB translates as </w:t>
      </w:r>
      <w:r>
        <w:rPr>
          <w:i/>
          <w:lang w:val="en_US" w:bidi="en_US"/>
        </w:rPr>
        <w:t>was drowned</w:t>
      </w:r>
      <w:r>
        <w:rPr>
          <w:lang w:val="en_US" w:bidi="en_US"/>
        </w:rPr>
        <w:t xml:space="preserve"> is a passive form. However, its meaning may be expressed in many languages with an active verb. Other ways to translate it are:</w:t>
      </w:r>
    </w:p>
    <w:p>
      <w:pPr/>
      <w:r>
        <w:rPr>
          <w:lang w:val="en_US" w:bidi="en_US"/>
        </w:rPr>
      </w:r>
      <w:r>
        <w:rPr>
          <w:lang w:val="en_US" w:bidi="en_US"/>
        </w:rPr>
        <w:t>(they) drowned</w:t>
      </w:r>
    </w:p>
    <w:p>
      <w:pPr/>
      <w:r>
        <w:rPr>
          <w:lang w:val="en_US" w:bidi="en_US"/>
        </w:rPr>
      </w:r>
      <w:r>
        <w:rPr>
          <w:lang w:val="en_US" w:bidi="en_US"/>
        </w:rPr>
        <w:t>(they) died in the water</w:t>
      </w:r>
    </w:p>
    <w:p>
      <w:pPr/>
      <w:r>
        <w:rPr>
          <w:lang w:val="en_US" w:bidi="en_US"/>
        </w:rPr>
      </w:r>
      <w:r>
        <w:rPr>
          <w:b/>
          <w:lang w:val="en_US" w:bidi="en_US"/>
        </w:rPr>
        <w:t>rushed:</w:t>
      </w:r>
      <w:r>
        <w:rPr>
          <w:lang w:val="en_US" w:bidi="en_US"/>
        </w:rPr>
        <w:t xml:space="preserve"> The Greek word that the BSB translates as </w:t>
      </w:r>
      <w:r>
        <w:rPr>
          <w:i/>
          <w:lang w:val="en_US" w:bidi="en_US"/>
        </w:rPr>
        <w:t>rushed</w:t>
      </w:r>
      <w:r>
        <w:rPr>
          <w:lang w:val="en_US" w:bidi="en_US"/>
        </w:rPr>
        <w:t xml:space="preserve"> refers to fast movement. It implies movement that cannot easily be stopped after it has started. It could be translated simply as “run.” However, if your language has a more intense term than “run,” consider using it here.</w:t>
      </w:r>
    </w:p>
    <w:p>
      <w:pPr/>
      <w:r>
        <w:rPr>
          <w:lang w:val="en_US" w:bidi="en_US"/>
        </w:rPr>
      </w:r>
      <w:r>
        <w:rPr>
          <w:b/>
          <w:lang w:val="en_US" w:bidi="en_US"/>
        </w:rPr>
        <w:t>down the steep bank into the lake:</w:t>
      </w:r>
      <w:r>
        <w:rPr>
          <w:lang w:val="en_US" w:bidi="en_US"/>
        </w:rPr>
        <w:t xml:space="preserve"> The Greek word that the BSB translates as </w:t>
      </w:r>
      <w:r>
        <w:rPr>
          <w:i/>
          <w:lang w:val="en_US" w:bidi="en_US"/>
        </w:rPr>
        <w:t>steep bank</w:t>
      </w:r>
      <w:r>
        <w:rPr>
          <w:lang w:val="en_US" w:bidi="en_US"/>
        </w:rPr>
        <w:t xml:space="preserve"> describes a steep hill or cliff right at the edge of the lake. After the pigs started down this slope, it was impossible for them to stop, so they fell into the lake.</w:t>
      </w:r>
      <w:r>
        <w:rPr>
          <w:lang w:val="en_US" w:bidi="en_US"/>
        </w:rPr>
      </w:r>
      <w:r>
        <w:rPr>
          <w:lang w:val="en_US" w:bidi="en_US"/>
        </w:rPr>
      </w:r>
    </w:p>
    <w:p>
      <w:pPr/>
      <w:r>
        <w:rPr>
          <w:lang w:val="en_US" w:bidi="en_US"/>
        </w:rPr>
      </w:r>
    </w:p>
    <w:p>
      <w:pPr>
        <w:pStyle w:val="Heading2"/>
      </w:pPr>
      <w:r>
        <w:rPr>
          <w:lang w:val="en_US" w:bidi="en_US"/>
        </w:rPr>
        <w:t>Luke 8:34</w:t>
      </w:r>
      <w:r>
        <w:rPr>
          <w:lang w:val="en_US" w:bidi="en_US"/>
        </w:rPr>
      </w:r>
    </w:p>
    <w:p>
      <w:pPr>
        <w:pStyle w:val="Heading4"/>
      </w:pPr>
      <w:r>
        <w:rPr>
          <w:lang w:val="en_US" w:bidi="en_US"/>
        </w:rPr>
        <w:t>Section 8:26–39: Jesus freed a man whom many demons controlled</w:t>
      </w:r>
    </w:p>
    <w:p>
      <w:pPr/>
      <w:r>
        <w:rPr>
          <w:lang w:val="en_US" w:bidi="en_US"/>
        </w:rPr>
      </w:r>
      <w:r>
        <w:rPr>
          <w:lang w:val="en_US" w:bidi="en_US"/>
        </w:rP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pPr/>
      <w:r>
        <w:rPr>
          <w:lang w:val="en_US" w:bidi="en_US"/>
        </w:rPr>
      </w:r>
      <w:r>
        <w:rPr>
          <w:lang w:val="en_US" w:bidi="en_US"/>
        </w:rPr>
        <w:t>“Uncleanness” is a theme in this story. The spirits that controlled the man were considered “unclean” (and called “unclean” in 8:29a). Tombs were “unclean.” Jews also considered pigs to be “unclean.”</w:t>
      </w:r>
    </w:p>
    <w:p>
      <w:pPr/>
      <w:r>
        <w:rPr>
          <w:lang w:val="en_US" w:bidi="en_US"/>
        </w:rPr>
      </w:r>
      <w:r>
        <w:rPr>
          <w:lang w:val="en_US" w:bidi="en_US"/>
        </w:rP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pPr/>
      <w:r>
        <w:rPr>
          <w:lang w:val="en_US" w:bidi="en_US"/>
        </w:rPr>
      </w:r>
      <w:r>
        <w:rPr>
          <w:lang w:val="en_US" w:bidi="en_US"/>
        </w:rPr>
        <w:t>Some other possible headings for this section are:</w:t>
      </w:r>
    </w:p>
    <w:p>
      <w:pPr/>
      <w:r>
        <w:rPr>
          <w:lang w:val="en_US" w:bidi="en_US"/>
        </w:rPr>
      </w:r>
      <w:r>
        <w:rPr>
          <w:lang w:val="en_US" w:bidi="en_US"/>
        </w:rPr>
        <w:t>Jesus commanded many demons to leave a man</w:t>
      </w:r>
    </w:p>
    <w:p>
      <w:pPr/>
      <w:r>
        <w:rPr>
          <w:lang w:val="en_US" w:bidi="en_US"/>
        </w:rPr>
      </w:r>
      <w:r>
        <w:rPr>
          <w:lang w:val="en_US" w:bidi="en_US"/>
        </w:rPr>
        <w:t>The deliverance of a man who was controlled by many demons</w:t>
      </w:r>
    </w:p>
    <w:p>
      <w:pPr/>
      <w:r>
        <w:rPr>
          <w:lang w:val="en_US" w:bidi="en_US"/>
        </w:rPr>
      </w:r>
      <w:r>
        <w:rPr>
          <w:lang w:val="en_US" w:bidi="en_US"/>
        </w:rPr>
        <w:t>There are parallel passages for this section in Matthew 8:28–34 and Mark 5:1–20.</w:t>
      </w:r>
    </w:p>
    <w:p>
      <w:pPr>
        <w:pStyle w:val="Heading5"/>
      </w:pPr>
      <w:r>
        <w:rPr>
          <w:lang w:val="en_US" w:bidi="en_US"/>
        </w:rPr>
        <w:t>8:34a</w:t>
      </w:r>
    </w:p>
    <w:p>
      <w:pPr/>
      <w:r>
        <w:rPr>
          <w:lang w:val="en_US" w:bidi="en_US"/>
        </w:rPr>
      </w:r>
      <w:r>
        <w:rPr>
          <w:b/>
          <w:lang w:val="en_US" w:bidi="en_US"/>
        </w:rPr>
        <w:t>When those tending the pigs saw what had happened,</w:t>
      </w:r>
    </w:p>
    <w:p>
      <w:pPr>
        <w:pStyle w:val="ListBullet"/>
        <w:spacing w:line="240" w:lineRule="auto"/>
        <w:ind w:left="720"/>
      </w:pPr>
      <w:r>
        <w:rPr>
          <w:lang w:val="en_US" w:bidi="en_US"/>
        </w:rPr>
      </w:r>
      <w:r>
        <w:rPr>
          <w:lang w:val="en_US" w:bidi="en_US"/>
        </w:rPr>
        <w:t>¶ When the herdsmen saw this,</w:t>
      </w:r>
    </w:p>
    <w:p>
      <w:pPr>
        <w:pStyle w:val="ListBullet"/>
        <w:spacing w:line="240" w:lineRule="auto"/>
        <w:ind w:left="720"/>
      </w:pPr>
      <w:r>
        <w:rPr>
          <w:lang w:val="en_US" w:bidi="en_US"/>
        </w:rPr>
      </w:r>
      <w:r>
        <w:rPr>
          <w:lang w:val="en_US" w:bidi="en_US"/>
        </w:rPr>
        <w:t xml:space="preserve">¶ Some men were </w:t>
      </w:r>
      <w:r>
        <w:rPr>
          <w:lang w:val="en_US" w:bidi="en_US"/>
        </w:rPr>
        <w:t>there</w:t>
      </w:r>
      <w:r>
        <w:rPr>
          <w:lang w:val="en_US" w:bidi="en_US"/>
        </w:rPr>
        <w:t xml:space="preserve"> taking care of the pigs. They saw what happened </w:t>
      </w:r>
      <w:r>
        <w:rPr>
          <w:lang w:val="en_US" w:bidi="en_US"/>
        </w:rPr>
        <w:t>to the pigs</w:t>
      </w:r>
    </w:p>
    <w:p>
      <w:pPr/>
      <w:r>
        <w:rPr>
          <w:lang w:val="en_US" w:bidi="en_US"/>
        </w:rPr>
      </w:r>
      <w:r>
        <w:rPr>
          <w:b/>
          <w:lang w:val="en_US" w:bidi="en_US"/>
        </w:rPr>
        <w:t>those tending the pigs:</w:t>
      </w:r>
      <w:r>
        <w:rPr>
          <w:lang w:val="en_US" w:bidi="en_US"/>
        </w:rPr>
        <w:t xml:space="preserve"> The Greek word that the BSB translates as </w:t>
      </w:r>
      <w:r>
        <w:rPr>
          <w:i/>
          <w:lang w:val="en_US" w:bidi="en_US"/>
        </w:rPr>
        <w:t>those tending the pigs</w:t>
      </w:r>
      <w:r>
        <w:rPr>
          <w:lang w:val="en_US" w:bidi="en_US"/>
        </w:rPr>
        <w:t xml:space="preserve"> is more literally “those who were herding” or “the herdsmen.” It refers to the men who took care of the pigs as their job. Some languages will have a specific word for “pig herders.”</w:t>
      </w:r>
    </w:p>
    <w:p>
      <w:pPr/>
      <w:r>
        <w:rPr>
          <w:lang w:val="en_US" w:bidi="en_US"/>
        </w:rPr>
      </w:r>
      <w:r>
        <w:rPr>
          <w:lang w:val="en_US" w:bidi="en_US"/>
        </w:rPr>
        <w:t>This is the first time that the pig herders are mentioned in this story. Introduce them in a natural way in your language. Some ways to do this in English are:</w:t>
      </w:r>
    </w:p>
    <w:p>
      <w:pPr/>
      <w:r>
        <w:rPr>
          <w:lang w:val="en_US" w:bidi="en_US"/>
        </w:rPr>
      </w:r>
      <w:r>
        <w:rPr>
          <w:lang w:val="en_US" w:bidi="en_US"/>
        </w:rPr>
        <w:t>Some men were there taking care of the pigs. They…</w:t>
      </w:r>
    </w:p>
    <w:p>
      <w:pPr/>
      <w:r>
        <w:rPr>
          <w:lang w:val="en_US" w:bidi="en_US"/>
        </w:rPr>
      </w:r>
      <w:r>
        <w:rPr>
          <w:lang w:val="en_US" w:bidi="en_US"/>
        </w:rPr>
        <w:t>The men who had been tending the pigs…</w:t>
      </w:r>
    </w:p>
    <w:p>
      <w:pPr/>
      <w:r>
        <w:rPr>
          <w:lang w:val="en_US" w:bidi="en_US"/>
        </w:rPr>
      </w:r>
      <w:r>
        <w:rPr>
          <w:b/>
          <w:lang w:val="en_US" w:bidi="en_US"/>
        </w:rPr>
        <w:t>saw what had happened:</w:t>
      </w:r>
      <w:r>
        <w:rPr>
          <w:lang w:val="en_US" w:bidi="en_US"/>
        </w:rPr>
        <w:t xml:space="preserve"> The text does not indicate exactly what the phrase </w:t>
      </w:r>
      <w:r>
        <w:rPr>
          <w:i/>
          <w:lang w:val="en_US" w:bidi="en_US"/>
        </w:rPr>
        <w:t>what had happened</w:t>
      </w:r>
      <w:r>
        <w:rPr>
          <w:lang w:val="en_US" w:bidi="en_US"/>
        </w:rPr>
        <w:t xml:space="preserve"> refers to. At least these men saw that the pigs drowned. It is probably good to use a general expression here, as the BSB does.</w:t>
      </w:r>
    </w:p>
    <w:p>
      <w:pPr>
        <w:pStyle w:val="Heading5"/>
      </w:pPr>
      <w:r>
        <w:rPr>
          <w:lang w:val="en_US" w:bidi="en_US"/>
        </w:rPr>
        <w:t>8:34b</w:t>
      </w:r>
    </w:p>
    <w:p>
      <w:pPr/>
      <w:r>
        <w:rPr>
          <w:lang w:val="en_US" w:bidi="en_US"/>
        </w:rPr>
      </w:r>
      <w:r>
        <w:rPr>
          <w:b/>
          <w:lang w:val="en_US" w:bidi="en_US"/>
        </w:rPr>
        <w:t>they ran off and reported this in the town and countryside.</w:t>
      </w:r>
    </w:p>
    <w:p>
      <w:pPr>
        <w:pStyle w:val="ListBullet"/>
        <w:spacing w:line="240" w:lineRule="auto"/>
        <w:ind w:left="720"/>
      </w:pPr>
      <w:r>
        <w:rPr>
          <w:lang w:val="en_US" w:bidi="en_US"/>
        </w:rPr>
      </w:r>
      <w:r>
        <w:rPr>
          <w:lang w:val="en_US" w:bidi="en_US"/>
        </w:rPr>
        <w:t>they fled and spread the news in the city and in the surrounding area.</w:t>
      </w:r>
    </w:p>
    <w:p>
      <w:pPr>
        <w:pStyle w:val="ListBullet"/>
        <w:spacing w:line="240" w:lineRule="auto"/>
        <w:ind w:left="720"/>
      </w:pPr>
      <w:r>
        <w:rPr>
          <w:lang w:val="en_US" w:bidi="en_US"/>
        </w:rPr>
      </w:r>
      <w:r>
        <w:rPr>
          <w:lang w:val="en_US" w:bidi="en_US"/>
        </w:rPr>
        <w:t xml:space="preserve">and ran away from there </w:t>
      </w:r>
      <w:r>
        <w:rPr>
          <w:lang w:val="en_US" w:bidi="en_US"/>
        </w:rPr>
        <w:t>in fear</w:t>
      </w:r>
      <w:r>
        <w:rPr>
          <w:lang w:val="en_US" w:bidi="en_US"/>
        </w:rPr>
        <w:t xml:space="preserve">. They told </w:t>
      </w:r>
      <w:r>
        <w:rPr>
          <w:lang w:val="en_US" w:bidi="en_US"/>
        </w:rPr>
        <w:t>people</w:t>
      </w:r>
      <w:r>
        <w:rPr>
          <w:lang w:val="en_US" w:bidi="en_US"/>
        </w:rPr>
        <w:t xml:space="preserve"> </w:t>
      </w:r>
      <w:r>
        <w:rPr>
          <w:lang w:val="en_US" w:bidi="en_US"/>
        </w:rPr>
        <w:t>about this</w:t>
      </w:r>
      <w:r>
        <w:rPr>
          <w:lang w:val="en_US" w:bidi="en_US"/>
        </w:rPr>
        <w:t xml:space="preserve"> in the town </w:t>
      </w:r>
      <w:r>
        <w:rPr>
          <w:lang w:val="en_US" w:bidi="en_US"/>
        </w:rPr>
        <w:t>of Gerasa</w:t>
      </w:r>
      <w:r>
        <w:rPr>
          <w:lang w:val="en_US" w:bidi="en_US"/>
        </w:rPr>
        <w:t xml:space="preserve"> and in the countryside around it.</w:t>
      </w:r>
    </w:p>
    <w:p>
      <w:pPr/>
      <w:r>
        <w:rPr>
          <w:lang w:val="en_US" w:bidi="en_US"/>
        </w:rPr>
      </w:r>
      <w:r>
        <w:rPr>
          <w:b/>
          <w:lang w:val="en_US" w:bidi="en_US"/>
        </w:rPr>
        <w:t>ran off:</w:t>
      </w:r>
      <w:r>
        <w:rPr>
          <w:lang w:val="en_US" w:bidi="en_US"/>
        </w:rPr>
        <w:t xml:space="preserve"> The Greek word that the BSB translates as </w:t>
      </w:r>
      <w:r>
        <w:rPr>
          <w:i/>
          <w:lang w:val="en_US" w:bidi="en_US"/>
        </w:rPr>
        <w:t>ran off</w:t>
      </w:r>
      <w:r>
        <w:rPr>
          <w:lang w:val="en_US" w:bidi="en_US"/>
        </w:rPr>
        <w:t xml:space="preserve"> means “they ran away” or “they fled.” The herdsmen ran away because they were frightened by what had happened. This becomes clear in 8:35e and 8:37a–b. They did not run off because they were excited and happy that Jesus had healed the man with the demons.</w:t>
      </w:r>
    </w:p>
    <w:p>
      <w:pPr/>
      <w:r>
        <w:rPr>
          <w:lang w:val="en_US" w:bidi="en_US"/>
        </w:rPr>
      </w:r>
      <w:r>
        <w:rPr>
          <w:b/>
          <w:lang w:val="en_US" w:bidi="en_US"/>
        </w:rPr>
        <w:t>reported this:</w:t>
      </w:r>
      <w:r>
        <w:rPr>
          <w:lang w:val="en_US" w:bidi="en_US"/>
        </w:rPr>
        <w:t xml:space="preserve"> The phrase </w:t>
      </w:r>
      <w:r>
        <w:rPr>
          <w:i/>
          <w:lang w:val="en_US" w:bidi="en_US"/>
        </w:rPr>
        <w:t>reported this</w:t>
      </w:r>
      <w:r>
        <w:rPr>
          <w:lang w:val="en_US" w:bidi="en_US"/>
        </w:rPr>
        <w:t xml:space="preserve"> indicates that the herdsmen told people about what had happened. In some languages it may be necessary to make explicit </w:t>
      </w:r>
      <w:r>
        <w:rPr>
          <w:u w:val="single"/>
          <w:lang w:val="en_US" w:bidi="en_US"/>
        </w:rPr>
        <w:t>what</w:t>
      </w:r>
      <w:r>
        <w:rPr>
          <w:lang w:val="en_US" w:bidi="en_US"/>
        </w:rPr>
        <w:t xml:space="preserve"> the herdsmen told or </w:t>
      </w:r>
      <w:r>
        <w:rPr>
          <w:u w:val="single"/>
          <w:lang w:val="en_US" w:bidi="en_US"/>
        </w:rPr>
        <w:t>whom</w:t>
      </w:r>
      <w:r>
        <w:rPr>
          <w:lang w:val="en_US" w:bidi="en_US"/>
        </w:rPr>
        <w:t xml:space="preserve"> they told. For example:</w:t>
      </w:r>
    </w:p>
    <w:p>
      <w:pPr/>
      <w:r>
        <w:rPr>
          <w:lang w:val="en_US" w:bidi="en_US"/>
        </w:rPr>
      </w:r>
      <w:r>
        <w:rPr>
          <w:lang w:val="en_US" w:bidi="en_US"/>
        </w:rPr>
        <w:t xml:space="preserve">reported </w:t>
      </w:r>
      <w:r>
        <w:rPr>
          <w:u w:val="single"/>
          <w:lang w:val="en_US" w:bidi="en_US"/>
        </w:rPr>
        <w:t>everything that had happened</w:t>
      </w:r>
    </w:p>
    <w:p>
      <w:pPr/>
      <w:r>
        <w:rPr>
          <w:lang w:val="en_US" w:bidi="en_US"/>
        </w:rPr>
      </w:r>
      <w:r>
        <w:rPr>
          <w:lang w:val="en_US" w:bidi="en_US"/>
        </w:rPr>
        <w:t xml:space="preserve">telling </w:t>
      </w:r>
      <w:r>
        <w:rPr>
          <w:u w:val="single"/>
          <w:lang w:val="en_US" w:bidi="en_US"/>
        </w:rPr>
        <w:t>everyone</w:t>
      </w:r>
      <w:r>
        <w:rPr>
          <w:lang w:val="en_US" w:bidi="en_US"/>
        </w:rPr>
        <w:t xml:space="preserve"> about this</w:t>
      </w:r>
    </w:p>
    <w:p>
      <w:pPr/>
      <w:r>
        <w:rPr>
          <w:lang w:val="en_US" w:bidi="en_US"/>
        </w:rPr>
      </w:r>
      <w:r>
        <w:rPr>
          <w:b/>
          <w:lang w:val="en_US" w:bidi="en_US"/>
        </w:rPr>
        <w:t>town and countryside:</w:t>
      </w:r>
      <w:r>
        <w:rPr>
          <w:lang w:val="en_US" w:bidi="en_US"/>
        </w:rPr>
        <w:t xml:space="preserve"> The </w:t>
      </w:r>
      <w:r>
        <w:rPr>
          <w:i/>
          <w:lang w:val="en_US" w:bidi="en_US"/>
        </w:rPr>
        <w:t>town</w:t>
      </w:r>
      <w:r>
        <w:rPr>
          <w:lang w:val="en_US" w:bidi="en_US"/>
        </w:rPr>
        <w:t xml:space="preserve"> is not identified by name, but was probably Gerasa. See the note on “the region of the Gerasenes” at 8:26a. The </w:t>
      </w:r>
      <w:r>
        <w:rPr>
          <w:i/>
          <w:lang w:val="en_US" w:bidi="en_US"/>
        </w:rPr>
        <w:t>countryside</w:t>
      </w:r>
      <w:r>
        <w:rPr>
          <w:lang w:val="en_US" w:bidi="en_US"/>
        </w:rPr>
        <w:t xml:space="preserve"> refers to the farms and small villages surrounding the town.</w:t>
      </w:r>
      <w:r>
        <w:rPr>
          <w:lang w:val="en_US" w:bidi="en_US"/>
        </w:rPr>
      </w:r>
      <w:r>
        <w:rPr>
          <w:lang w:val="en_US" w:bidi="en_US"/>
        </w:rPr>
      </w:r>
    </w:p>
    <w:p>
      <w:pPr/>
      <w:r>
        <w:rPr>
          <w:lang w:val="en_US" w:bidi="en_US"/>
        </w:rPr>
      </w:r>
    </w:p>
    <w:p>
      <w:pPr>
        <w:pStyle w:val="Heading2"/>
      </w:pPr>
      <w:r>
        <w:rPr>
          <w:lang w:val="en_US" w:bidi="en_US"/>
        </w:rPr>
        <w:t>Luke 8:35</w:t>
      </w:r>
      <w:r>
        <w:rPr>
          <w:lang w:val="en_US" w:bidi="en_US"/>
        </w:rPr>
      </w:r>
    </w:p>
    <w:p>
      <w:pPr>
        <w:pStyle w:val="Heading4"/>
      </w:pPr>
      <w:r>
        <w:rPr>
          <w:lang w:val="en_US" w:bidi="en_US"/>
        </w:rPr>
        <w:t>Section 8:26–39: Jesus freed a man whom many demons controlled</w:t>
      </w:r>
    </w:p>
    <w:p>
      <w:pPr/>
      <w:r>
        <w:rPr>
          <w:lang w:val="en_US" w:bidi="en_US"/>
        </w:rPr>
      </w:r>
      <w:r>
        <w:rPr>
          <w:lang w:val="en_US" w:bidi="en_US"/>
        </w:rP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pPr/>
      <w:r>
        <w:rPr>
          <w:lang w:val="en_US" w:bidi="en_US"/>
        </w:rPr>
      </w:r>
      <w:r>
        <w:rPr>
          <w:lang w:val="en_US" w:bidi="en_US"/>
        </w:rPr>
        <w:t>“Uncleanness” is a theme in this story. The spirits that controlled the man were considered “unclean” (and called “unclean” in 8:29a). Tombs were “unclean.” Jews also considered pigs to be “unclean.”</w:t>
      </w:r>
    </w:p>
    <w:p>
      <w:pPr/>
      <w:r>
        <w:rPr>
          <w:lang w:val="en_US" w:bidi="en_US"/>
        </w:rPr>
      </w:r>
      <w:r>
        <w:rPr>
          <w:lang w:val="en_US" w:bidi="en_US"/>
        </w:rP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pPr/>
      <w:r>
        <w:rPr>
          <w:lang w:val="en_US" w:bidi="en_US"/>
        </w:rPr>
      </w:r>
      <w:r>
        <w:rPr>
          <w:lang w:val="en_US" w:bidi="en_US"/>
        </w:rPr>
        <w:t>Some other possible headings for this section are:</w:t>
      </w:r>
    </w:p>
    <w:p>
      <w:pPr/>
      <w:r>
        <w:rPr>
          <w:lang w:val="en_US" w:bidi="en_US"/>
        </w:rPr>
      </w:r>
      <w:r>
        <w:rPr>
          <w:lang w:val="en_US" w:bidi="en_US"/>
        </w:rPr>
        <w:t>Jesus commanded many demons to leave a man</w:t>
      </w:r>
    </w:p>
    <w:p>
      <w:pPr/>
      <w:r>
        <w:rPr>
          <w:lang w:val="en_US" w:bidi="en_US"/>
        </w:rPr>
      </w:r>
      <w:r>
        <w:rPr>
          <w:lang w:val="en_US" w:bidi="en_US"/>
        </w:rPr>
        <w:t>The deliverance of a man who was controlled by many demons</w:t>
      </w:r>
    </w:p>
    <w:p>
      <w:pPr/>
      <w:r>
        <w:rPr>
          <w:lang w:val="en_US" w:bidi="en_US"/>
        </w:rPr>
      </w:r>
      <w:r>
        <w:rPr>
          <w:lang w:val="en_US" w:bidi="en_US"/>
        </w:rPr>
        <w:t>There are parallel passages for this section in Matthew 8:28–34 and Mark 5:1–20.</w:t>
      </w:r>
    </w:p>
    <w:p>
      <w:pPr>
        <w:pStyle w:val="Heading5"/>
      </w:pPr>
      <w:r>
        <w:rPr>
          <w:lang w:val="en_US" w:bidi="en_US"/>
        </w:rPr>
        <w:t>8:35a</w:t>
      </w:r>
    </w:p>
    <w:p>
      <w:pPr/>
      <w:r>
        <w:rPr>
          <w:lang w:val="en_US" w:bidi="en_US"/>
        </w:rPr>
      </w:r>
      <w:r>
        <w:rPr>
          <w:b/>
          <w:lang w:val="en_US" w:bidi="en_US"/>
        </w:rPr>
        <w:t>So the people went out to see what had happened.</w:t>
      </w:r>
    </w:p>
    <w:p>
      <w:pPr>
        <w:pStyle w:val="ListBullet"/>
        <w:spacing w:line="240" w:lineRule="auto"/>
        <w:ind w:left="720"/>
      </w:pPr>
      <w:r>
        <w:rPr>
          <w:lang w:val="en_US" w:bidi="en_US"/>
        </w:rPr>
      </w:r>
      <w:r>
        <w:rPr>
          <w:lang w:val="en_US" w:bidi="en_US"/>
        </w:rPr>
        <w:t xml:space="preserve">Then the people </w:t>
      </w:r>
      <w:r>
        <w:rPr>
          <w:lang w:val="en_US" w:bidi="en_US"/>
        </w:rPr>
        <w:t>there</w:t>
      </w:r>
      <w:r>
        <w:rPr>
          <w:lang w:val="en_US" w:bidi="en_US"/>
        </w:rPr>
        <w:t xml:space="preserve"> went out in order to see what had happened.</w:t>
      </w:r>
    </w:p>
    <w:p>
      <w:pPr>
        <w:pStyle w:val="ListBullet"/>
        <w:spacing w:line="240" w:lineRule="auto"/>
        <w:ind w:left="720"/>
      </w:pPr>
      <w:r>
        <w:rPr>
          <w:lang w:val="en_US" w:bidi="en_US"/>
        </w:rPr>
      </w:r>
      <w:r>
        <w:rPr>
          <w:lang w:val="en_US" w:bidi="en_US"/>
        </w:rPr>
        <w:t>So</w:t>
      </w:r>
      <w:r>
        <w:rPr>
          <w:lang w:val="en_US" w:bidi="en_US"/>
        </w:rPr>
        <w:t xml:space="preserve"> </w:t>
      </w:r>
      <w:r>
        <w:rPr>
          <w:lang w:val="en_US" w:bidi="en_US"/>
        </w:rPr>
        <w:t>many</w:t>
      </w:r>
      <w:r>
        <w:rPr>
          <w:lang w:val="en_US" w:bidi="en_US"/>
        </w:rPr>
        <w:t xml:space="preserve"> people </w:t>
      </w:r>
      <w:r>
        <w:rPr>
          <w:lang w:val="en_US" w:bidi="en_US"/>
        </w:rPr>
        <w:t>who heard what they said</w:t>
      </w:r>
      <w:r>
        <w:rPr>
          <w:lang w:val="en_US" w:bidi="en_US"/>
        </w:rPr>
        <w:t xml:space="preserve"> went </w:t>
      </w:r>
      <w:r>
        <w:rPr>
          <w:lang w:val="en_US" w:bidi="en_US"/>
        </w:rPr>
        <w:t>there</w:t>
      </w:r>
      <w:r>
        <w:rPr>
          <w:lang w:val="en_US" w:bidi="en_US"/>
        </w:rPr>
        <w:t xml:space="preserve"> to see </w:t>
      </w:r>
      <w:r>
        <w:rPr>
          <w:lang w:val="en_US" w:bidi="en_US"/>
        </w:rPr>
        <w:t>for themselves</w:t>
      </w:r>
      <w:r>
        <w:rPr>
          <w:lang w:val="en_US" w:bidi="en_US"/>
        </w:rPr>
        <w:t xml:space="preserve"> what had happened.</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here introduces what happened next as a </w:t>
      </w:r>
      <w:r>
        <w:rPr>
          <w:u w:val="single"/>
          <w:lang w:val="en_US" w:bidi="en_US"/>
        </w:rPr>
        <w:t>result</w:t>
      </w:r>
      <w:r>
        <w:rPr>
          <w:lang w:val="en_US" w:bidi="en_US"/>
        </w:rPr>
        <w:t xml:space="preserve"> of what the herdsmen reported. Some English versions say “and” (NIV), while others (ESV) say “then.” Some versions (CEV, GW, NLT) do not use a conjunction. Connect 8:35a to 8:34 in a way that is natural in your language.</w:t>
      </w:r>
    </w:p>
    <w:p>
      <w:pPr/>
      <w:r>
        <w:rPr>
          <w:lang w:val="en_US" w:bidi="en_US"/>
        </w:rPr>
      </w:r>
      <w:r>
        <w:rPr>
          <w:b/>
          <w:lang w:val="en_US" w:bidi="en_US"/>
        </w:rPr>
        <w:t>the people went out:</w:t>
      </w:r>
      <w:r>
        <w:rPr>
          <w:lang w:val="en_US" w:bidi="en_US"/>
        </w:rPr>
        <w:t xml:space="preserve"> The Greek phrase that the BSB translates as </w:t>
      </w:r>
      <w:r>
        <w:rPr>
          <w:i/>
          <w:lang w:val="en_US" w:bidi="en_US"/>
        </w:rPr>
        <w:t>the people went out</w:t>
      </w:r>
      <w:r>
        <w:rPr>
          <w:lang w:val="en_US" w:bidi="en_US"/>
        </w:rPr>
        <w:t xml:space="preserve"> is literally “they went out.” It refers in general to the inhabitants of the city and countryside who heard the report of the herdsmen. In some languages it will be more natural to supply a subject such as “people” or “everyone,” as many English versions do.</w:t>
      </w:r>
    </w:p>
    <w:p>
      <w:pPr/>
      <w:r>
        <w:rPr>
          <w:lang w:val="en_US" w:bidi="en_US"/>
        </w:rPr>
      </w:r>
      <w:r>
        <w:rPr>
          <w:b/>
          <w:lang w:val="en_US" w:bidi="en_US"/>
        </w:rPr>
        <w:t>went out to see what had happened:</w:t>
      </w:r>
      <w:r>
        <w:rPr>
          <w:lang w:val="en_US" w:bidi="en_US"/>
        </w:rPr>
        <w:t xml:space="preserve"> This phrase indicates that people left the places where they were in order to go and see what had happened. They wanted to see for themselves what the herdsmen had told them about. Compare 8:35c–d, which indicates that they arrived where Jesus was.</w:t>
      </w:r>
    </w:p>
    <w:p>
      <w:pPr>
        <w:pStyle w:val="Heading5"/>
      </w:pPr>
      <w:r>
        <w:rPr>
          <w:lang w:val="en_US" w:bidi="en_US"/>
        </w:rPr>
        <w:t>8:35b</w:t>
      </w:r>
    </w:p>
    <w:p>
      <w:pPr/>
      <w:r>
        <w:rPr>
          <w:lang w:val="en_US" w:bidi="en_US"/>
        </w:rPr>
      </w:r>
      <w:r>
        <w:rPr>
          <w:b/>
          <w:lang w:val="en_US" w:bidi="en_US"/>
        </w:rPr>
        <w:t>They came to Jesus</w:t>
      </w:r>
    </w:p>
    <w:p>
      <w:pPr>
        <w:pStyle w:val="ListBullet"/>
        <w:spacing w:line="240" w:lineRule="auto"/>
        <w:ind w:left="720"/>
      </w:pPr>
      <w:r>
        <w:rPr>
          <w:lang w:val="en_US" w:bidi="en_US"/>
        </w:rPr>
      </w:r>
      <w:r>
        <w:rPr>
          <w:lang w:val="en_US" w:bidi="en_US"/>
        </w:rPr>
        <w:t>They came to Jesus,</w:t>
      </w:r>
    </w:p>
    <w:p>
      <w:pPr>
        <w:pStyle w:val="ListBullet"/>
        <w:spacing w:line="240" w:lineRule="auto"/>
        <w:ind w:left="720"/>
      </w:pPr>
      <w:r>
        <w:rPr>
          <w:lang w:val="en_US" w:bidi="en_US"/>
        </w:rPr>
      </w:r>
      <w:r>
        <w:rPr>
          <w:lang w:val="en_US" w:bidi="en_US"/>
        </w:rPr>
        <w:t xml:space="preserve">They reached </w:t>
      </w:r>
      <w:r>
        <w:rPr>
          <w:lang w:val="en_US" w:bidi="en_US"/>
        </w:rPr>
        <w:t>the place where</w:t>
      </w:r>
      <w:r>
        <w:rPr>
          <w:lang w:val="en_US" w:bidi="en_US"/>
        </w:rPr>
        <w:t xml:space="preserve"> Jesus </w:t>
      </w:r>
      <w:r>
        <w:rPr>
          <w:lang w:val="en_US" w:bidi="en_US"/>
        </w:rPr>
        <w:t>was</w:t>
      </w:r>
      <w:r>
        <w:rPr>
          <w:lang w:val="en_US" w:bidi="en_US"/>
        </w:rPr>
        <w:t>,</w:t>
      </w:r>
    </w:p>
    <w:p>
      <w:pPr/>
      <w:r>
        <w:rPr>
          <w:lang w:val="en_US" w:bidi="en_US"/>
        </w:rPr>
      </w:r>
      <w:r>
        <w:rPr>
          <w:b/>
          <w:lang w:val="en_US" w:bidi="en_US"/>
        </w:rPr>
        <w:t>They came to Jesus:</w:t>
      </w:r>
      <w:r>
        <w:rPr>
          <w:lang w:val="en_US" w:bidi="en_US"/>
        </w:rPr>
        <w:t xml:space="preserve"> This verse part begins with a Greek conjunction that many English versions, such as the ESV and NET, translate as “and.” Other versions, such as the NIV and CEV, translate it as as “when” to indicate the sequence of events. Some versions do not translate this conjunction. Translate this in a way that is natural in your language.</w:t>
      </w:r>
    </w:p>
    <w:p>
      <w:pPr/>
      <w:r>
        <w:rPr>
          <w:lang w:val="en_US" w:bidi="en_US"/>
        </w:rPr>
      </w:r>
      <w:r>
        <w:rPr>
          <w:lang w:val="en_US" w:bidi="en_US"/>
        </w:rPr>
        <w:t>Some languages may need to state first that the people arrived at the place where Jesus was and then that they came to him. For example:</w:t>
      </w:r>
    </w:p>
    <w:p>
      <w:pPr/>
      <w:r>
        <w:rPr>
          <w:lang w:val="en_US" w:bidi="en_US"/>
        </w:rPr>
      </w:r>
      <w:r>
        <w:rPr>
          <w:lang w:val="en_US" w:bidi="en_US"/>
        </w:rPr>
        <w:t>When they got to the place where Jesus was, they came to him</w:t>
      </w:r>
    </w:p>
    <w:p>
      <w:pPr>
        <w:pStyle w:val="Heading5"/>
      </w:pPr>
      <w:r>
        <w:rPr>
          <w:lang w:val="en_US" w:bidi="en_US"/>
        </w:rPr>
        <w:t>8:35c</w:t>
      </w:r>
    </w:p>
    <w:p>
      <w:pPr/>
      <w:r>
        <w:rPr>
          <w:lang w:val="en_US" w:bidi="en_US"/>
        </w:rPr>
      </w:r>
      <w:r>
        <w:rPr>
          <w:b/>
          <w:lang w:val="en_US" w:bidi="en_US"/>
        </w:rPr>
        <w:t>and found the man whom the demons had left,</w:t>
      </w:r>
    </w:p>
    <w:p>
      <w:pPr>
        <w:pStyle w:val="ListBullet"/>
        <w:spacing w:line="240" w:lineRule="auto"/>
        <w:ind w:left="720"/>
      </w:pPr>
      <w:r>
        <w:rPr>
          <w:lang w:val="en_US" w:bidi="en_US"/>
        </w:rPr>
      </w:r>
      <w:r>
        <w:rPr>
          <w:lang w:val="en_US" w:bidi="en_US"/>
        </w:rPr>
        <w:t>and they discovered/saw that the man whom the demons had left</w:t>
      </w:r>
    </w:p>
    <w:p>
      <w:pPr>
        <w:pStyle w:val="ListBullet"/>
        <w:spacing w:line="240" w:lineRule="auto"/>
        <w:ind w:left="720"/>
      </w:pPr>
      <w:r>
        <w:rPr>
          <w:lang w:val="en_US" w:bidi="en_US"/>
        </w:rPr>
      </w:r>
      <w:r>
        <w:rPr>
          <w:lang w:val="en_US" w:bidi="en_US"/>
        </w:rPr>
        <w:t>and there they found the man whom the evil spirits had previously controlled.</w:t>
      </w:r>
    </w:p>
    <w:p>
      <w:pPr>
        <w:pStyle w:val="Heading5"/>
      </w:pPr>
      <w:r>
        <w:rPr>
          <w:lang w:val="en_US" w:bidi="en_US"/>
        </w:rPr>
        <w:t>8:35d</w:t>
      </w:r>
    </w:p>
    <w:p>
      <w:pPr/>
      <w:r>
        <w:rPr>
          <w:lang w:val="en_US" w:bidi="en_US"/>
        </w:rPr>
      </w:r>
      <w:r>
        <w:rPr>
          <w:b/>
          <w:lang w:val="en_US" w:bidi="en_US"/>
        </w:rPr>
        <w:t>sitting at Jesus’ feet, clothed and in his right mind;</w:t>
      </w:r>
    </w:p>
    <w:p>
      <w:pPr>
        <w:pStyle w:val="ListBullet"/>
        <w:spacing w:line="240" w:lineRule="auto"/>
        <w:ind w:left="720"/>
      </w:pPr>
      <w:r>
        <w:rPr>
          <w:lang w:val="en_US" w:bidi="en_US"/>
        </w:rPr>
      </w:r>
      <w:r>
        <w:rPr>
          <w:lang w:val="en_US" w:bidi="en_US"/>
        </w:rPr>
        <w:t>was sitting by Jesus’ feet. He was properly dressed/clothed and fully sane/rational.</w:t>
      </w:r>
    </w:p>
    <w:p>
      <w:pPr>
        <w:pStyle w:val="ListBullet"/>
        <w:spacing w:line="240" w:lineRule="auto"/>
        <w:ind w:left="720"/>
      </w:pPr>
      <w:r>
        <w:rPr>
          <w:lang w:val="en_US" w:bidi="en_US"/>
        </w:rPr>
      </w:r>
      <w:r>
        <w:rPr>
          <w:lang w:val="en_US" w:bidi="en_US"/>
        </w:rPr>
        <w:t xml:space="preserve">They noticed especially that his mind was right/normal </w:t>
      </w:r>
      <w:r>
        <w:rPr>
          <w:lang w:val="en_US" w:bidi="en_US"/>
        </w:rPr>
        <w:t>again</w:t>
      </w:r>
      <w:r>
        <w:rPr>
          <w:lang w:val="en_US" w:bidi="en_US"/>
        </w:rPr>
        <w:t xml:space="preserve">. He was sitting </w:t>
      </w:r>
      <w:r>
        <w:rPr>
          <w:lang w:val="en_US" w:bidi="en_US"/>
        </w:rPr>
        <w:t>calmly/humbly</w:t>
      </w:r>
      <w:r>
        <w:rPr>
          <w:lang w:val="en_US" w:bidi="en_US"/>
        </w:rPr>
        <w:t xml:space="preserve"> </w:t>
      </w:r>
      <w:r>
        <w:rPr>
          <w:lang w:val="en_US" w:bidi="en_US"/>
        </w:rPr>
        <w:t>on the ground</w:t>
      </w:r>
      <w:r>
        <w:rPr>
          <w:lang w:val="en_US" w:bidi="en_US"/>
        </w:rPr>
        <w:t xml:space="preserve"> close to Jesus and was wearing clothes </w:t>
      </w:r>
      <w:r>
        <w:rPr>
          <w:lang w:val="en_US" w:bidi="en_US"/>
        </w:rPr>
        <w:t>again</w:t>
      </w:r>
      <w:r>
        <w:rPr>
          <w:lang w:val="en_US" w:bidi="en_US"/>
        </w:rPr>
        <w:t>.</w:t>
      </w:r>
    </w:p>
    <w:p>
      <w:pPr>
        <w:pStyle w:val="Heading5"/>
      </w:pPr>
      <w:r>
        <w:rPr>
          <w:lang w:val="en_US" w:bidi="en_US"/>
        </w:rPr>
        <w:t>8:35c–d</w:t>
      </w:r>
    </w:p>
    <w:p>
      <w:pPr/>
      <w:r>
        <w:rPr>
          <w:lang w:val="en_US" w:bidi="en_US"/>
        </w:rPr>
      </w:r>
      <w:r>
        <w:rPr>
          <w:b/>
          <w:lang w:val="en_US" w:bidi="en_US"/>
        </w:rPr>
        <w:t>found the man whom the demons had left, sitting at Jesus’ feet, clothed and in his right mind:</w:t>
      </w:r>
      <w:r>
        <w:rPr>
          <w:lang w:val="en_US" w:bidi="en_US"/>
        </w:rPr>
        <w:t xml:space="preserve"> In this context </w:t>
      </w:r>
      <w:r>
        <w:rPr>
          <w:i/>
          <w:lang w:val="en_US" w:bidi="en_US"/>
        </w:rPr>
        <w:t>found the man</w:t>
      </w:r>
      <w:r>
        <w:rPr>
          <w:lang w:val="en_US" w:bidi="en_US"/>
        </w:rPr>
        <w:t xml:space="preserve"> indicates that they came to the place where the man was. It indicates especially that they noticed that he was </w:t>
      </w:r>
      <w:r>
        <w:rPr>
          <w:i/>
          <w:lang w:val="en_US" w:bidi="en_US"/>
        </w:rPr>
        <w:t>sitting</w:t>
      </w:r>
      <w:r>
        <w:rPr>
          <w:lang w:val="en_US" w:bidi="en_US"/>
        </w:rPr>
        <w:t xml:space="preserve">, </w:t>
      </w:r>
      <w:r>
        <w:rPr>
          <w:i/>
          <w:lang w:val="en_US" w:bidi="en_US"/>
        </w:rPr>
        <w:t>clothed</w:t>
      </w:r>
      <w:r>
        <w:rPr>
          <w:lang w:val="en_US" w:bidi="en_US"/>
        </w:rPr>
        <w:t xml:space="preserve">, and </w:t>
      </w:r>
      <w:r>
        <w:rPr>
          <w:i/>
          <w:lang w:val="en_US" w:bidi="en_US"/>
        </w:rPr>
        <w:t>in his right mind</w:t>
      </w:r>
      <w:r>
        <w:rPr>
          <w:lang w:val="en_US" w:bidi="en_US"/>
        </w:rPr>
        <w:t xml:space="preserve">. The word </w:t>
      </w:r>
      <w:r>
        <w:rPr>
          <w:i/>
          <w:lang w:val="en_US" w:bidi="en_US"/>
        </w:rPr>
        <w:t>found</w:t>
      </w:r>
      <w:r>
        <w:rPr>
          <w:lang w:val="en_US" w:bidi="en_US"/>
        </w:rPr>
        <w:t xml:space="preserve"> does not imply that he was lost. Another way to translate this is:</w:t>
      </w:r>
    </w:p>
    <w:p>
      <w:pPr/>
      <w:r>
        <w:rPr>
          <w:lang w:val="en_US" w:bidi="en_US"/>
        </w:rPr>
      </w:r>
      <w:r>
        <w:rPr>
          <w:lang w:val="en_US" w:bidi="en_US"/>
        </w:rPr>
        <w:t xml:space="preserve">saw/discovered </w:t>
      </w:r>
      <w:r>
        <w:rPr>
          <w:u w:val="single"/>
          <w:lang w:val="en_US" w:bidi="en_US"/>
        </w:rPr>
        <w:t>that</w:t>
      </w:r>
      <w:r>
        <w:rPr>
          <w:lang w:val="en_US" w:bidi="en_US"/>
        </w:rPr>
        <w:t xml:space="preserve"> the man whom the demons had released was </w:t>
      </w:r>
      <w:r>
        <w:rPr>
          <w:u w:val="single"/>
          <w:lang w:val="en_US" w:bidi="en_US"/>
        </w:rPr>
        <w:t>now</w:t>
      </w:r>
      <w:r>
        <w:rPr>
          <w:lang w:val="en_US" w:bidi="en_US"/>
        </w:rPr>
        <w:t xml:space="preserve"> sitting at Jesus’ feet, wearing clothes, and in his right mind</w:t>
      </w:r>
    </w:p>
    <w:p>
      <w:pPr/>
      <w:r>
        <w:rPr>
          <w:lang w:val="en_US" w:bidi="en_US"/>
        </w:rPr>
      </w:r>
      <w:r>
        <w:rPr>
          <w:b/>
          <w:lang w:val="en_US" w:bidi="en_US"/>
        </w:rPr>
        <w:t>the man whom the demons had left:</w:t>
      </w:r>
      <w:r>
        <w:rPr>
          <w:lang w:val="en_US" w:bidi="en_US"/>
        </w:rPr>
        <w:t xml:space="preserve"> This phrase refers back to the man whom Jesus had released from the demons’ control. Refer to him in a natural way in your language. Some ways to do this are:</w:t>
      </w:r>
    </w:p>
    <w:p>
      <w:pPr/>
      <w:r>
        <w:rPr>
          <w:lang w:val="en_US" w:bidi="en_US"/>
        </w:rPr>
      </w:r>
      <w:r>
        <w:rPr>
          <w:lang w:val="en_US" w:bidi="en_US"/>
        </w:rPr>
        <w:t>the man, whom the evil spirits had left (JBP)</w:t>
      </w:r>
    </w:p>
    <w:p>
      <w:pPr/>
      <w:r>
        <w:rPr>
          <w:lang w:val="en_US" w:bidi="en_US"/>
        </w:rPr>
      </w:r>
      <w:r>
        <w:rPr>
          <w:lang w:val="en_US" w:bidi="en_US"/>
        </w:rPr>
        <w:t>the man (NCV)</w:t>
      </w:r>
    </w:p>
    <w:p>
      <w:pPr/>
      <w:r>
        <w:rPr>
          <w:lang w:val="en_US" w:bidi="en_US"/>
        </w:rPr>
      </w:r>
      <w:r>
        <w:rPr>
          <w:lang w:val="en_US" w:bidi="en_US"/>
        </w:rPr>
        <w:t>the man who had been freed from the demons (NLT)</w:t>
      </w:r>
    </w:p>
    <w:p>
      <w:pPr/>
      <w:r>
        <w:rPr>
          <w:lang w:val="en_US" w:bidi="en_US"/>
        </w:rPr>
      </w:r>
      <w:r>
        <w:rPr>
          <w:lang w:val="en_US" w:bidi="en_US"/>
        </w:rPr>
        <w:t>See the note on “a demon-possessed man” at 8:27b.</w:t>
      </w:r>
    </w:p>
    <w:p>
      <w:pPr/>
      <w:r>
        <w:rPr>
          <w:lang w:val="en_US" w:bidi="en_US"/>
        </w:rPr>
      </w:r>
      <w:r>
        <w:rPr>
          <w:b/>
          <w:lang w:val="en_US" w:bidi="en_US"/>
        </w:rPr>
        <w:t>demons:</w:t>
      </w:r>
      <w:r>
        <w:rPr>
          <w:lang w:val="en_US" w:bidi="en_US"/>
        </w:rPr>
        <w:t xml:space="preserve"> This is the same word as 8:27b, 8:30c, and 8:33a.</w:t>
      </w:r>
    </w:p>
    <w:p>
      <w:pPr/>
      <w:r>
        <w:rPr>
          <w:lang w:val="en_US" w:bidi="en_US"/>
        </w:rPr>
      </w:r>
      <w:r>
        <w:rPr>
          <w:b/>
          <w:lang w:val="en_US" w:bidi="en_US"/>
        </w:rPr>
        <w:t>sitting at Jesus’ feet, clothed and in his right mind:</w:t>
      </w:r>
      <w:r>
        <w:rPr>
          <w:lang w:val="en_US" w:bidi="en_US"/>
        </w:rPr>
        <w:t xml:space="preserve"> Of the three things said about the man, probably the fact that he was in his right mind is the most important. Consider if it would be more natural in your language to place this first in the list rather than last. For example:</w:t>
      </w:r>
    </w:p>
    <w:p>
      <w:pPr/>
      <w:r>
        <w:rPr>
          <w:lang w:val="en_US" w:bidi="en_US"/>
        </w:rPr>
      </w:r>
      <w:r>
        <w:rPr>
          <w:lang w:val="en_US" w:bidi="en_US"/>
        </w:rPr>
        <w:t xml:space="preserve">in his right mind, dressed, and sitting </w:t>
      </w:r>
      <w:r>
        <w:rPr>
          <w:lang w:val="en_US" w:bidi="en_US"/>
        </w:rPr>
        <w:t>calmly</w:t>
      </w:r>
      <w:r>
        <w:rPr>
          <w:lang w:val="en_US" w:bidi="en_US"/>
        </w:rPr>
        <w:t xml:space="preserve"> at Jesus’ feet</w:t>
      </w:r>
    </w:p>
    <w:p>
      <w:pPr/>
      <w:r>
        <w:rPr>
          <w:lang w:val="en_US" w:bidi="en_US"/>
        </w:rPr>
      </w:r>
      <w:r>
        <w:rPr>
          <w:b/>
          <w:lang w:val="en_US" w:bidi="en_US"/>
        </w:rPr>
        <w:t>sitting at Jesus’ feet:</w:t>
      </w:r>
      <w:r>
        <w:rPr>
          <w:lang w:val="en_US" w:bidi="en_US"/>
        </w:rPr>
        <w:t xml:space="preserve"> The man was sitting on the ground in front of Jesus. This was how people often sat in the presence of a teacher, and it implies a humble, submissive attitude. The people could see that the man was sitting quietly and peacefully. He was no longer wild and uncontrollable. Use a natural expression in your language to describe his position. Consider also if you have an expression that describes both the </w:t>
      </w:r>
      <w:r>
        <w:rPr>
          <w:u w:val="single"/>
          <w:lang w:val="en_US" w:bidi="en_US"/>
        </w:rPr>
        <w:t>position</w:t>
      </w:r>
      <w:r>
        <w:rPr>
          <w:lang w:val="en_US" w:bidi="en_US"/>
        </w:rPr>
        <w:t xml:space="preserve"> and </w:t>
      </w:r>
      <w:r>
        <w:rPr>
          <w:u w:val="single"/>
          <w:lang w:val="en_US" w:bidi="en_US"/>
        </w:rPr>
        <w:t>attitude</w:t>
      </w:r>
      <w:r>
        <w:rPr>
          <w:lang w:val="en_US" w:bidi="en_US"/>
        </w:rPr>
        <w:t xml:space="preserve"> of a learner with his teacher or master.</w:t>
      </w:r>
    </w:p>
    <w:p>
      <w:pPr/>
      <w:r>
        <w:rPr>
          <w:lang w:val="en_US" w:bidi="en_US"/>
        </w:rPr>
      </w:r>
      <w:r>
        <w:rPr>
          <w:b/>
          <w:lang w:val="en_US" w:bidi="en_US"/>
        </w:rPr>
        <w:t>in his right mind:</w:t>
      </w:r>
      <w:r>
        <w:rPr>
          <w:lang w:val="en_US" w:bidi="en_US"/>
        </w:rPr>
        <w:t xml:space="preserve"> The phrase </w:t>
      </w:r>
      <w:r>
        <w:rPr>
          <w:i/>
          <w:lang w:val="en_US" w:bidi="en_US"/>
        </w:rPr>
        <w:t>in his right mind</w:t>
      </w:r>
      <w:r>
        <w:rPr>
          <w:lang w:val="en_US" w:bidi="en_US"/>
        </w:rPr>
        <w:t xml:space="preserve"> indicates that the man’s mind was normal. He was no longer insane. In many languages this is expressed by an idiom. Other ways to say this are:</w:t>
      </w:r>
    </w:p>
    <w:p>
      <w:pPr/>
      <w:r>
        <w:rPr>
          <w:lang w:val="en_US" w:bidi="en_US"/>
        </w:rPr>
      </w:r>
      <w:r>
        <w:rPr>
          <w:lang w:val="en_US" w:bidi="en_US"/>
        </w:rPr>
        <w:t>his mind was right/healed</w:t>
      </w:r>
    </w:p>
    <w:p>
      <w:pPr/>
      <w:r>
        <w:rPr>
          <w:lang w:val="en_US" w:bidi="en_US"/>
        </w:rPr>
      </w:r>
      <w:r>
        <w:rPr>
          <w:lang w:val="en_US" w:bidi="en_US"/>
        </w:rPr>
        <w:t>his mind had returned</w:t>
      </w:r>
    </w:p>
    <w:p>
      <w:pPr/>
      <w:r>
        <w:rPr>
          <w:lang w:val="en_US" w:bidi="en_US"/>
        </w:rPr>
      </w:r>
      <w:r>
        <w:rPr>
          <w:lang w:val="en_US" w:bidi="en_US"/>
        </w:rPr>
        <w:t>he was thinking/acting normally</w:t>
      </w:r>
    </w:p>
    <w:p>
      <w:pPr>
        <w:pStyle w:val="Heading5"/>
      </w:pPr>
      <w:r>
        <w:rPr>
          <w:lang w:val="en_US" w:bidi="en_US"/>
        </w:rPr>
        <w:t>8:35e</w:t>
      </w:r>
    </w:p>
    <w:p>
      <w:pPr/>
      <w:r>
        <w:rPr>
          <w:lang w:val="en_US" w:bidi="en_US"/>
        </w:rPr>
      </w:r>
      <w:r>
        <w:rPr>
          <w:b/>
          <w:lang w:val="en_US" w:bidi="en_US"/>
        </w:rPr>
        <w:t>and they were afraid.</w:t>
      </w:r>
    </w:p>
    <w:p>
      <w:pPr>
        <w:pStyle w:val="ListBullet"/>
        <w:spacing w:line="240" w:lineRule="auto"/>
        <w:ind w:left="720"/>
      </w:pPr>
      <w:r>
        <w:rPr>
          <w:lang w:val="en_US" w:bidi="en_US"/>
        </w:rPr>
      </w:r>
      <w:r>
        <w:rPr>
          <w:lang w:val="en_US" w:bidi="en_US"/>
        </w:rPr>
        <w:t>Then they became afraid.</w:t>
      </w:r>
    </w:p>
    <w:p>
      <w:pPr>
        <w:pStyle w:val="ListBullet"/>
        <w:spacing w:line="240" w:lineRule="auto"/>
        <w:ind w:left="720"/>
      </w:pPr>
      <w:r>
        <w:rPr>
          <w:lang w:val="en_US" w:bidi="en_US"/>
        </w:rPr>
      </w:r>
      <w:r>
        <w:rPr>
          <w:lang w:val="en_US" w:bidi="en_US"/>
        </w:rPr>
        <w:t>Seeing this</w:t>
      </w:r>
      <w:r>
        <w:rPr>
          <w:lang w:val="en_US" w:bidi="en_US"/>
        </w:rPr>
        <w:t xml:space="preserve"> caused them to fear </w:t>
      </w:r>
      <w:r>
        <w:rPr>
          <w:lang w:val="en_US" w:bidi="en_US"/>
        </w:rPr>
        <w:t>Jesus</w:t>
      </w:r>
      <w:r>
        <w:rPr>
          <w:lang w:val="en_US" w:bidi="en_US"/>
        </w:rPr>
        <w:t>.</w:t>
      </w:r>
    </w:p>
    <w:p>
      <w:pPr/>
      <w:r>
        <w:rPr>
          <w:lang w:val="en_US" w:bidi="en_US"/>
        </w:rPr>
      </w:r>
      <w:r>
        <w:rPr>
          <w:b/>
          <w:lang w:val="en_US" w:bidi="en_US"/>
        </w:rPr>
        <w:t>and they were afraid:</w:t>
      </w:r>
      <w:r>
        <w:rPr>
          <w:lang w:val="en_US" w:bidi="en_US"/>
        </w:rPr>
        <w:t xml:space="preserve"> Although the people were looking at the rescued man, they were afraid because of Jesus. This is made clear in 8:37a–b. When Jesus delivered the man from the demons, he showed that he had great supernatural power. This caused the people to fear him. Translate </w:t>
      </w:r>
      <w:r>
        <w:rPr>
          <w:i/>
          <w:lang w:val="en_US" w:bidi="en_US"/>
        </w:rPr>
        <w:t>they were afraid</w:t>
      </w:r>
      <w:r>
        <w:rPr>
          <w:lang w:val="en_US" w:bidi="en_US"/>
        </w:rPr>
        <w:t xml:space="preserve"> with a natural expression that describes this type of “fear” or “dread” in your language. See how you translated the similar words and emotion at 8:25a.</w:t>
      </w:r>
      <w:r>
        <w:rPr>
          <w:lang w:val="en_US" w:bidi="en_US"/>
        </w:rPr>
      </w:r>
      <w:r>
        <w:rPr>
          <w:lang w:val="en_US" w:bidi="en_US"/>
        </w:rPr>
      </w:r>
    </w:p>
    <w:p>
      <w:pPr/>
      <w:r>
        <w:rPr>
          <w:lang w:val="en_US" w:bidi="en_US"/>
        </w:rPr>
      </w:r>
    </w:p>
    <w:p>
      <w:pPr>
        <w:pStyle w:val="Heading2"/>
      </w:pPr>
      <w:r>
        <w:rPr>
          <w:lang w:val="en_US" w:bidi="en_US"/>
        </w:rPr>
        <w:t>Luke 8:36</w:t>
      </w:r>
      <w:r>
        <w:rPr>
          <w:lang w:val="en_US" w:bidi="en_US"/>
        </w:rPr>
      </w:r>
    </w:p>
    <w:p>
      <w:pPr>
        <w:pStyle w:val="Heading4"/>
      </w:pPr>
      <w:r>
        <w:rPr>
          <w:lang w:val="en_US" w:bidi="en_US"/>
        </w:rPr>
        <w:t>Section 8:26–39: Jesus freed a man whom many demons controlled</w:t>
      </w:r>
    </w:p>
    <w:p>
      <w:pPr/>
      <w:r>
        <w:rPr>
          <w:lang w:val="en_US" w:bidi="en_US"/>
        </w:rPr>
      </w:r>
      <w:r>
        <w:rPr>
          <w:lang w:val="en_US" w:bidi="en_US"/>
        </w:rP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pPr/>
      <w:r>
        <w:rPr>
          <w:lang w:val="en_US" w:bidi="en_US"/>
        </w:rPr>
      </w:r>
      <w:r>
        <w:rPr>
          <w:lang w:val="en_US" w:bidi="en_US"/>
        </w:rPr>
        <w:t>“Uncleanness” is a theme in this story. The spirits that controlled the man were considered “unclean” (and called “unclean” in 8:29a). Tombs were “unclean.” Jews also considered pigs to be “unclean.”</w:t>
      </w:r>
    </w:p>
    <w:p>
      <w:pPr/>
      <w:r>
        <w:rPr>
          <w:lang w:val="en_US" w:bidi="en_US"/>
        </w:rPr>
      </w:r>
      <w:r>
        <w:rPr>
          <w:lang w:val="en_US" w:bidi="en_US"/>
        </w:rP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pPr/>
      <w:r>
        <w:rPr>
          <w:lang w:val="en_US" w:bidi="en_US"/>
        </w:rPr>
      </w:r>
      <w:r>
        <w:rPr>
          <w:lang w:val="en_US" w:bidi="en_US"/>
        </w:rPr>
        <w:t>Some other possible headings for this section are:</w:t>
      </w:r>
    </w:p>
    <w:p>
      <w:pPr/>
      <w:r>
        <w:rPr>
          <w:lang w:val="en_US" w:bidi="en_US"/>
        </w:rPr>
      </w:r>
      <w:r>
        <w:rPr>
          <w:lang w:val="en_US" w:bidi="en_US"/>
        </w:rPr>
        <w:t>Jesus commanded many demons to leave a man</w:t>
      </w:r>
    </w:p>
    <w:p>
      <w:pPr/>
      <w:r>
        <w:rPr>
          <w:lang w:val="en_US" w:bidi="en_US"/>
        </w:rPr>
      </w:r>
      <w:r>
        <w:rPr>
          <w:lang w:val="en_US" w:bidi="en_US"/>
        </w:rPr>
        <w:t>The deliverance of a man who was controlled by many demons</w:t>
      </w:r>
    </w:p>
    <w:p>
      <w:pPr/>
      <w:r>
        <w:rPr>
          <w:lang w:val="en_US" w:bidi="en_US"/>
        </w:rPr>
      </w:r>
      <w:r>
        <w:rPr>
          <w:lang w:val="en_US" w:bidi="en_US"/>
        </w:rPr>
        <w:t>There are parallel passages for this section in Matthew 8:28–34 and Mark 5:1–20.</w:t>
      </w:r>
    </w:p>
    <w:p>
      <w:pPr>
        <w:pStyle w:val="Heading5"/>
      </w:pPr>
      <w:r>
        <w:rPr>
          <w:lang w:val="en_US" w:bidi="en_US"/>
        </w:rPr>
        <w:t>8:36a</w:t>
      </w:r>
    </w:p>
    <w:p>
      <w:pPr/>
      <w:r>
        <w:rPr>
          <w:lang w:val="en_US" w:bidi="en_US"/>
        </w:rPr>
      </w:r>
      <w:r>
        <w:rPr>
          <w:b/>
          <w:lang w:val="en_US" w:bidi="en_US"/>
        </w:rPr>
        <w:t>Meanwhile, those who had seen it reported</w:t>
      </w:r>
    </w:p>
    <w:p>
      <w:pPr>
        <w:pStyle w:val="ListBullet"/>
        <w:spacing w:line="240" w:lineRule="auto"/>
        <w:ind w:left="720"/>
      </w:pPr>
      <w:r>
        <w:rPr>
          <w:lang w:val="en_US" w:bidi="en_US"/>
        </w:rPr>
      </w:r>
      <w:r>
        <w:rPr>
          <w:lang w:val="en_US" w:bidi="en_US"/>
        </w:rPr>
        <w:t>The people/men</w:t>
      </w:r>
      <w:r>
        <w:rPr>
          <w:lang w:val="en_US" w:bidi="en_US"/>
        </w:rPr>
        <w:t xml:space="preserve"> who had seen </w:t>
      </w:r>
      <w:r>
        <w:rPr>
          <w:lang w:val="en_US" w:bidi="en_US"/>
        </w:rPr>
        <w:t>what happened</w:t>
      </w:r>
      <w:r>
        <w:rPr>
          <w:lang w:val="en_US" w:bidi="en_US"/>
        </w:rPr>
        <w:t xml:space="preserve"> told the others</w:t>
      </w:r>
    </w:p>
    <w:p>
      <w:pPr>
        <w:pStyle w:val="ListBullet"/>
        <w:spacing w:line="240" w:lineRule="auto"/>
        <w:ind w:left="720"/>
      </w:pPr>
      <w:r>
        <w:rPr>
          <w:lang w:val="en_US" w:bidi="en_US"/>
        </w:rPr>
      </w:r>
      <w:r>
        <w:rPr>
          <w:lang w:val="en_US" w:bidi="en_US"/>
        </w:rPr>
        <w:t xml:space="preserve">Those who were eyewitnesses </w:t>
      </w:r>
      <w:r>
        <w:rPr>
          <w:lang w:val="en_US" w:bidi="en_US"/>
        </w:rPr>
        <w:t>to the healing/miracle</w:t>
      </w:r>
      <w:r>
        <w:rPr>
          <w:lang w:val="en_US" w:bidi="en_US"/>
        </w:rPr>
        <w:t xml:space="preserve"> explained to the people </w:t>
      </w:r>
      <w:r>
        <w:rPr>
          <w:lang w:val="en_US" w:bidi="en_US"/>
        </w:rPr>
        <w:t>who came</w:t>
      </w:r>
    </w:p>
    <w:p>
      <w:pPr/>
      <w:r>
        <w:rPr>
          <w:lang w:val="en_US" w:bidi="en_US"/>
        </w:rPr>
      </w:r>
      <w:r>
        <w:rPr>
          <w:b/>
          <w:lang w:val="en_US" w:bidi="en_US"/>
        </w:rPr>
        <w:t>Meanwhile:</w:t>
      </w:r>
      <w:r>
        <w:rPr>
          <w:lang w:val="en_US" w:bidi="en_US"/>
        </w:rPr>
        <w:t xml:space="preserve"> This verse begins with a Greek conjunction that is often translated as “and.” The BSB translates it as </w:t>
      </w:r>
      <w:r>
        <w:rPr>
          <w:i/>
          <w:lang w:val="en_US" w:bidi="en_US"/>
        </w:rPr>
        <w:t>Meanwhile</w:t>
      </w:r>
      <w:r>
        <w:rPr>
          <w:lang w:val="en_US" w:bidi="en_US"/>
        </w:rPr>
        <w:t xml:space="preserve"> to indicate that people reported what Jesus had done while others were looking at the man who was healed. Connect 4:4a to 4:3b in a way that is natural in your language.</w:t>
      </w:r>
    </w:p>
    <w:p>
      <w:pPr/>
      <w:r>
        <w:rPr>
          <w:lang w:val="en_US" w:bidi="en_US"/>
        </w:rPr>
      </w:r>
      <w:r>
        <w:rPr>
          <w:b/>
          <w:lang w:val="en_US" w:bidi="en_US"/>
        </w:rPr>
        <w:t>those who had seen it:</w:t>
      </w:r>
      <w:r>
        <w:rPr>
          <w:lang w:val="en_US" w:bidi="en_US"/>
        </w:rPr>
        <w:t xml:space="preserve"> The Greek phrase that the BSB translates as </w:t>
      </w:r>
      <w:r>
        <w:rPr>
          <w:i/>
          <w:lang w:val="en_US" w:bidi="en_US"/>
        </w:rPr>
        <w:t>those who had seen it</w:t>
      </w:r>
      <w:r>
        <w:rPr>
          <w:lang w:val="en_US" w:bidi="en_US"/>
        </w:rPr>
        <w:t xml:space="preserve"> refers to the people who had witnessed Jesus free the man from the demons. This could have included both the herdsmen and Jesus’ disciples. Since the text does not specify exactly who saw it, use a general expression. For example:</w:t>
      </w:r>
    </w:p>
    <w:p>
      <w:pPr/>
      <w:r>
        <w:rPr>
          <w:lang w:val="en_US" w:bidi="en_US"/>
        </w:rPr>
      </w:r>
      <w:r>
        <w:rPr>
          <w:lang w:val="en_US" w:bidi="en_US"/>
        </w:rPr>
        <w:t>those who had seen what happened (NLT)</w:t>
      </w:r>
    </w:p>
    <w:p>
      <w:pPr/>
      <w:r>
        <w:rPr>
          <w:lang w:val="en_US" w:bidi="en_US"/>
        </w:rPr>
      </w:r>
      <w:r>
        <w:rPr>
          <w:lang w:val="en_US" w:bidi="en_US"/>
        </w:rPr>
        <w:t>Eyewitnesses (REB)</w:t>
      </w:r>
    </w:p>
    <w:p>
      <w:pPr/>
      <w:r>
        <w:rPr>
          <w:lang w:val="en_US" w:bidi="en_US"/>
        </w:rPr>
      </w:r>
      <w:r>
        <w:rPr>
          <w:b/>
          <w:lang w:val="en_US" w:bidi="en_US"/>
        </w:rPr>
        <w:t>reported:</w:t>
      </w:r>
      <w:r>
        <w:rPr>
          <w:lang w:val="en_US" w:bidi="en_US"/>
        </w:rPr>
        <w:t xml:space="preserve"> The Greek phrase that the BSB translates as </w:t>
      </w:r>
      <w:r>
        <w:rPr>
          <w:i/>
          <w:lang w:val="en_US" w:bidi="en_US"/>
        </w:rPr>
        <w:t>reported</w:t>
      </w:r>
      <w:r>
        <w:rPr>
          <w:lang w:val="en_US" w:bidi="en_US"/>
        </w:rPr>
        <w:t xml:space="preserve"> is literally “reported to them.” The word “them” refers to the people who had come from the city and villages. These people had not seen the healing happen.</w:t>
      </w:r>
    </w:p>
    <w:p>
      <w:pPr>
        <w:pStyle w:val="Heading5"/>
      </w:pPr>
      <w:r>
        <w:rPr>
          <w:lang w:val="en_US" w:bidi="en_US"/>
        </w:rPr>
        <w:t>8:36b</w:t>
      </w:r>
    </w:p>
    <w:p>
      <w:pPr/>
      <w:r>
        <w:rPr>
          <w:lang w:val="en_US" w:bidi="en_US"/>
        </w:rPr>
      </w:r>
      <w:r>
        <w:rPr>
          <w:b/>
          <w:lang w:val="en_US" w:bidi="en_US"/>
        </w:rPr>
        <w:t>how the demon-possessed man had been healed.</w:t>
      </w:r>
    </w:p>
    <w:p>
      <w:pPr>
        <w:pStyle w:val="ListBullet"/>
        <w:spacing w:line="240" w:lineRule="auto"/>
        <w:ind w:left="720"/>
      </w:pPr>
      <w:r>
        <w:rPr>
          <w:lang w:val="en_US" w:bidi="en_US"/>
        </w:rPr>
      </w:r>
      <w:r>
        <w:rPr>
          <w:lang w:val="en_US" w:bidi="en_US"/>
        </w:rPr>
        <w:t xml:space="preserve">how the man who was </w:t>
      </w:r>
      <w:r>
        <w:rPr>
          <w:lang w:val="en_US" w:bidi="en_US"/>
        </w:rPr>
        <w:t>formerly</w:t>
      </w:r>
      <w:r>
        <w:rPr>
          <w:lang w:val="en_US" w:bidi="en_US"/>
        </w:rPr>
        <w:t xml:space="preserve"> controlled by demons had been saved/healed.</w:t>
      </w:r>
    </w:p>
    <w:p>
      <w:pPr>
        <w:pStyle w:val="ListBullet"/>
        <w:spacing w:line="240" w:lineRule="auto"/>
        <w:ind w:left="720"/>
      </w:pPr>
      <w:r>
        <w:rPr>
          <w:lang w:val="en_US" w:bidi="en_US"/>
        </w:rPr>
      </w:r>
      <w:r>
        <w:rPr>
          <w:lang w:val="en_US" w:bidi="en_US"/>
        </w:rPr>
        <w:t xml:space="preserve">how </w:t>
      </w:r>
      <w:r>
        <w:rPr>
          <w:lang w:val="en_US" w:bidi="en_US"/>
        </w:rPr>
        <w:t>Jesus</w:t>
      </w:r>
      <w:r>
        <w:rPr>
          <w:lang w:val="en_US" w:bidi="en_US"/>
        </w:rPr>
        <w:t xml:space="preserve"> had delivered/freed the man.</w:t>
      </w:r>
    </w:p>
    <w:p>
      <w:pPr/>
      <w:r>
        <w:rPr>
          <w:lang w:val="en_US" w:bidi="en_US"/>
        </w:rPr>
      </w:r>
      <w:r>
        <w:rPr>
          <w:b/>
          <w:lang w:val="en_US" w:bidi="en_US"/>
        </w:rPr>
        <w:t>the demon-possessed man:</w:t>
      </w:r>
      <w:r>
        <w:rPr>
          <w:lang w:val="en_US" w:bidi="en_US"/>
        </w:rPr>
        <w:t xml:space="preserve"> See how you translated the similar expressions at 8:27b and 8:35c–d. Use a natural expression to describe a man who is or was controlled by demons. If your expression is long, you might consider using a shorter expression to refer to the man here (and at 8:38a). For example:</w:t>
      </w:r>
    </w:p>
    <w:p>
      <w:pPr/>
      <w:r>
        <w:rPr>
          <w:lang w:val="en_US" w:bidi="en_US"/>
        </w:rPr>
      </w:r>
      <w:r>
        <w:rPr>
          <w:lang w:val="en_US" w:bidi="en_US"/>
        </w:rPr>
        <w:t>the man</w:t>
      </w:r>
    </w:p>
    <w:p>
      <w:pPr/>
      <w:r>
        <w:rPr>
          <w:lang w:val="en_US" w:bidi="en_US"/>
        </w:rPr>
      </w:r>
      <w:r>
        <w:rPr>
          <w:lang w:val="en_US" w:bidi="en_US"/>
        </w:rPr>
        <w:t>the healed/freed man</w:t>
      </w:r>
    </w:p>
    <w:p>
      <w:pPr/>
      <w:r>
        <w:rPr>
          <w:lang w:val="en_US" w:bidi="en_US"/>
        </w:rPr>
      </w:r>
      <w:r>
        <w:rPr>
          <w:lang w:val="en_US" w:bidi="en_US"/>
        </w:rPr>
        <w:t>See demon in the Glossary.</w:t>
      </w:r>
    </w:p>
    <w:p>
      <w:pPr/>
      <w:r>
        <w:rPr>
          <w:lang w:val="en_US" w:bidi="en_US"/>
        </w:rPr>
      </w:r>
      <w:r>
        <w:rPr>
          <w:b/>
          <w:lang w:val="en_US" w:bidi="en_US"/>
        </w:rPr>
        <w:t>healed:</w:t>
      </w:r>
      <w:r>
        <w:rPr>
          <w:lang w:val="en_US" w:bidi="en_US"/>
        </w:rPr>
        <w:t xml:space="preserve"> The Greek word that the BSB translates as </w:t>
      </w:r>
      <w:r>
        <w:rPr>
          <w:i/>
          <w:lang w:val="en_US" w:bidi="en_US"/>
        </w:rPr>
        <w:t>healed</w:t>
      </w:r>
      <w:r>
        <w:rPr>
          <w:lang w:val="en_US" w:bidi="en_US"/>
        </w:rPr>
        <w:t xml:space="preserve"> is the same word that is commonly used in the Bible to mean “saved, rescued.” It is often used in the spiritual sense of “saved from sins.” In this context, it clearly means “saved/rescued from the control of demons.” Use a word or expression that is natural in your language for this. It may be something like:</w:t>
      </w:r>
    </w:p>
    <w:p>
      <w:pPr/>
      <w:r>
        <w:rPr>
          <w:lang w:val="en_US" w:bidi="en_US"/>
        </w:rPr>
      </w:r>
      <w:r>
        <w:rPr>
          <w:lang w:val="en_US" w:bidi="en_US"/>
        </w:rPr>
        <w:t>healed</w:t>
      </w:r>
    </w:p>
    <w:p>
      <w:pPr/>
      <w:r>
        <w:rPr>
          <w:lang w:val="en_US" w:bidi="en_US"/>
        </w:rPr>
      </w:r>
      <w:r>
        <w:rPr>
          <w:lang w:val="en_US" w:bidi="en_US"/>
        </w:rPr>
        <w:t>delivered/freed</w:t>
      </w:r>
    </w:p>
    <w:p>
      <w:pPr/>
      <w:r>
        <w:rPr>
          <w:lang w:val="en_US" w:bidi="en_US"/>
        </w:rPr>
      </w:r>
      <w:r>
        <w:rPr>
          <w:lang w:val="en_US" w:bidi="en_US"/>
        </w:rPr>
        <w:t>saved/rescued</w:t>
      </w:r>
    </w:p>
    <w:p>
      <w:pPr/>
      <w:r>
        <w:rPr>
          <w:lang w:val="en_US" w:bidi="en_US"/>
        </w:rPr>
      </w:r>
      <w:r>
        <w:rPr>
          <w:lang w:val="en_US" w:bidi="en_US"/>
        </w:rPr>
        <w:t>If you have an expression that could be used for both “rescued from sins” and “rescued from demons,” consider using it here.</w:t>
      </w:r>
      <w:r>
        <w:rPr>
          <w:lang w:val="en_US" w:bidi="en_US"/>
        </w:rPr>
      </w:r>
      <w:r>
        <w:rPr>
          <w:lang w:val="en_US" w:bidi="en_US"/>
        </w:rPr>
      </w:r>
    </w:p>
    <w:p>
      <w:pPr/>
      <w:r>
        <w:rPr>
          <w:lang w:val="en_US" w:bidi="en_US"/>
        </w:rPr>
      </w:r>
    </w:p>
    <w:p>
      <w:pPr>
        <w:pStyle w:val="Heading2"/>
      </w:pPr>
      <w:r>
        <w:rPr>
          <w:lang w:val="en_US" w:bidi="en_US"/>
        </w:rPr>
        <w:t>Luke 8:37</w:t>
      </w:r>
      <w:r>
        <w:rPr>
          <w:lang w:val="en_US" w:bidi="en_US"/>
        </w:rPr>
      </w:r>
    </w:p>
    <w:p>
      <w:pPr>
        <w:pStyle w:val="Heading4"/>
      </w:pPr>
      <w:r>
        <w:rPr>
          <w:lang w:val="en_US" w:bidi="en_US"/>
        </w:rPr>
        <w:t>Section 8:26–39: Jesus freed a man whom many demons controlled</w:t>
      </w:r>
    </w:p>
    <w:p>
      <w:pPr/>
      <w:r>
        <w:rPr>
          <w:lang w:val="en_US" w:bidi="en_US"/>
        </w:rPr>
      </w:r>
      <w:r>
        <w:rPr>
          <w:lang w:val="en_US" w:bidi="en_US"/>
        </w:rP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pPr/>
      <w:r>
        <w:rPr>
          <w:lang w:val="en_US" w:bidi="en_US"/>
        </w:rPr>
      </w:r>
      <w:r>
        <w:rPr>
          <w:lang w:val="en_US" w:bidi="en_US"/>
        </w:rPr>
        <w:t>“Uncleanness” is a theme in this story. The spirits that controlled the man were considered “unclean” (and called “unclean” in 8:29a). Tombs were “unclean.” Jews also considered pigs to be “unclean.”</w:t>
      </w:r>
    </w:p>
    <w:p>
      <w:pPr/>
      <w:r>
        <w:rPr>
          <w:lang w:val="en_US" w:bidi="en_US"/>
        </w:rPr>
      </w:r>
      <w:r>
        <w:rPr>
          <w:lang w:val="en_US" w:bidi="en_US"/>
        </w:rP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pPr/>
      <w:r>
        <w:rPr>
          <w:lang w:val="en_US" w:bidi="en_US"/>
        </w:rPr>
      </w:r>
      <w:r>
        <w:rPr>
          <w:lang w:val="en_US" w:bidi="en_US"/>
        </w:rPr>
        <w:t>Some other possible headings for this section are:</w:t>
      </w:r>
    </w:p>
    <w:p>
      <w:pPr/>
      <w:r>
        <w:rPr>
          <w:lang w:val="en_US" w:bidi="en_US"/>
        </w:rPr>
      </w:r>
      <w:r>
        <w:rPr>
          <w:lang w:val="en_US" w:bidi="en_US"/>
        </w:rPr>
        <w:t>Jesus commanded many demons to leave a man</w:t>
      </w:r>
    </w:p>
    <w:p>
      <w:pPr/>
      <w:r>
        <w:rPr>
          <w:lang w:val="en_US" w:bidi="en_US"/>
        </w:rPr>
      </w:r>
      <w:r>
        <w:rPr>
          <w:lang w:val="en_US" w:bidi="en_US"/>
        </w:rPr>
        <w:t>The deliverance of a man who was controlled by many demons</w:t>
      </w:r>
    </w:p>
    <w:p>
      <w:pPr/>
      <w:r>
        <w:rPr>
          <w:lang w:val="en_US" w:bidi="en_US"/>
        </w:rPr>
      </w:r>
      <w:r>
        <w:rPr>
          <w:lang w:val="en_US" w:bidi="en_US"/>
        </w:rPr>
        <w:t>There are parallel passages for this section in Matthew 8:28–34 and Mark 5:1–20.</w:t>
      </w:r>
    </w:p>
    <w:p>
      <w:pPr>
        <w:pStyle w:val="Heading5"/>
      </w:pPr>
      <w:r>
        <w:rPr>
          <w:lang w:val="en_US" w:bidi="en_US"/>
        </w:rPr>
        <w:t>8:37a</w:t>
      </w:r>
    </w:p>
    <w:p>
      <w:pPr/>
      <w:r>
        <w:rPr>
          <w:lang w:val="en_US" w:bidi="en_US"/>
        </w:rPr>
      </w:r>
      <w:r>
        <w:rPr>
          <w:b/>
          <w:lang w:val="en_US" w:bidi="en_US"/>
        </w:rPr>
        <w:t>Then all the people of the region of the Gerasenes asked Jesus to depart from them,</w:t>
      </w:r>
    </w:p>
    <w:p>
      <w:pPr>
        <w:pStyle w:val="ListBullet"/>
        <w:spacing w:line="240" w:lineRule="auto"/>
        <w:ind w:left="720"/>
      </w:pPr>
      <w:r>
        <w:rPr>
          <w:lang w:val="en_US" w:bidi="en_US"/>
        </w:rPr>
      </w:r>
      <w:r>
        <w:rPr>
          <w:lang w:val="en_US" w:bidi="en_US"/>
        </w:rPr>
        <w:t>Then all the people of/from the Gerasa area asked Jesus to go away from them.</w:t>
      </w:r>
    </w:p>
    <w:p>
      <w:pPr>
        <w:pStyle w:val="ListBullet"/>
        <w:spacing w:line="240" w:lineRule="auto"/>
        <w:ind w:left="720"/>
      </w:pPr>
      <w:r>
        <w:rPr>
          <w:lang w:val="en_US" w:bidi="en_US"/>
        </w:rPr>
      </w:r>
      <w:r>
        <w:rPr>
          <w:lang w:val="en_US" w:bidi="en_US"/>
        </w:rPr>
        <w:t>As a result,</w:t>
      </w:r>
      <w:r>
        <w:rPr>
          <w:lang w:val="en_US" w:bidi="en_US"/>
        </w:rPr>
        <w:t xml:space="preserve"> the people from </w:t>
      </w:r>
      <w:r>
        <w:rPr>
          <w:lang w:val="en_US" w:bidi="en_US"/>
        </w:rPr>
        <w:t>the town of</w:t>
      </w:r>
      <w:r>
        <w:rPr>
          <w:lang w:val="en_US" w:bidi="en_US"/>
        </w:rPr>
        <w:t xml:space="preserve"> Gerasa and the surrounding area requested Jesus to leave their area,</w:t>
      </w:r>
    </w:p>
    <w:p>
      <w:pPr/>
      <w:r>
        <w:rPr>
          <w:lang w:val="en_US" w:bidi="en_US"/>
        </w:rPr>
      </w:r>
      <w:r>
        <w:rPr>
          <w:b/>
          <w:lang w:val="en_US" w:bidi="en_US"/>
        </w:rPr>
        <w:t>all the people of the region of the Gerasenes:</w:t>
      </w:r>
      <w:r>
        <w:rPr>
          <w:lang w:val="en_US" w:bidi="en_US"/>
        </w:rPr>
        <w:t xml:space="preserve"> The phrase that the BSB translates as </w:t>
      </w:r>
      <w:r>
        <w:rPr>
          <w:i/>
          <w:lang w:val="en_US" w:bidi="en_US"/>
        </w:rPr>
        <w:t>all the people</w:t>
      </w:r>
      <w:r>
        <w:rPr>
          <w:lang w:val="en_US" w:bidi="en_US"/>
        </w:rPr>
        <w:t xml:space="preserve"> is literally “all the multitude.” It is a hyperbole</w:t>
      </w:r>
      <w:r>
        <w:rPr>
          <w:lang w:val="en_US" w:bidi="en_US"/>
        </w:rPr>
        <w:t xml:space="preserve">The majority of English versions have translated this as hyperbole. However, an alternative is to understand </w:t>
      </w:r>
      <w:r>
        <w:rPr>
          <w:i/>
          <w:lang w:val="en_US" w:bidi="en_US"/>
        </w:rPr>
        <w:t>ἅπαν τὸ πλῆθος</w:t>
      </w:r>
      <w:r>
        <w:rPr>
          <w:lang w:val="en_US" w:bidi="en_US"/>
        </w:rPr>
        <w:t xml:space="preserve"> (“all the crowd”) as the crowd of people who came out to see Jesus and the demoniac. This is in keeping with how Luke uses the expression elsewhere to mean “all the gathered crowd” (1:10, 19:37, 23:1). “All” then modifies only “the crowd” and not “the region of the Gerasenes” which simply describes the origin of the crowd: “all the crowd [who had come out see what happened] who were from the region of the Gerasenes…”</w:t>
      </w:r>
      <w:r>
        <w:rPr>
          <w:lang w:val="en_US" w:bidi="en_US"/>
        </w:rPr>
        <w:t xml:space="preserve"> that emphasizes that the people of the region rejected Jesus. It refers to the population as a whole, but it probably does not mean that every person in the region asked him to leave. In some languages it may be good to translate this as “the people” rather than </w:t>
      </w:r>
      <w:r>
        <w:rPr>
          <w:i/>
          <w:lang w:val="en_US" w:bidi="en_US"/>
        </w:rPr>
        <w:t>all the people</w:t>
      </w:r>
      <w:r>
        <w:rPr>
          <w:lang w:val="en_US" w:bidi="en_US"/>
        </w:rPr>
        <w:t>.</w:t>
      </w:r>
    </w:p>
    <w:p>
      <w:pPr/>
      <w:r>
        <w:rPr>
          <w:lang w:val="en_US" w:bidi="en_US"/>
        </w:rPr>
      </w:r>
      <w:r>
        <w:rPr>
          <w:b/>
          <w:lang w:val="en_US" w:bidi="en_US"/>
        </w:rPr>
        <w:t>the region of the Gerasenes:</w:t>
      </w:r>
      <w:r>
        <w:rPr>
          <w:lang w:val="en_US" w:bidi="en_US"/>
        </w:rPr>
        <w:t xml:space="preserve"> See how you translated this phrase at 8:26a. A discussion of the textual issue concerning Gerasenes is found at 8:26a.</w:t>
      </w:r>
    </w:p>
    <w:p>
      <w:pPr/>
      <w:r>
        <w:rPr>
          <w:lang w:val="en_US" w:bidi="en_US"/>
        </w:rPr>
      </w:r>
      <w:r>
        <w:rPr>
          <w:b/>
          <w:lang w:val="en_US" w:bidi="en_US"/>
        </w:rPr>
        <w:t>asked Jesus to depart from them:</w:t>
      </w:r>
      <w:r>
        <w:rPr>
          <w:lang w:val="en_US" w:bidi="en_US"/>
        </w:rPr>
        <w:t xml:space="preserve"> The request for Jesus </w:t>
      </w:r>
      <w:r>
        <w:rPr>
          <w:i/>
          <w:lang w:val="en_US" w:bidi="en_US"/>
        </w:rPr>
        <w:t>to depart from them</w:t>
      </w:r>
      <w:r>
        <w:rPr>
          <w:lang w:val="en_US" w:bidi="en_US"/>
        </w:rPr>
        <w:t xml:space="preserve"> implies that the people wanted him to leave the area. There are two ways to translate this:</w:t>
      </w:r>
    </w:p>
    <w:p>
      <w:pPr>
        <w:pStyle w:val="ListBullet"/>
        <w:spacing w:line="240" w:lineRule="auto"/>
        <w:ind w:left="720"/>
      </w:pPr>
      <w:r>
        <w:rPr>
          <w:lang w:val="en_US" w:bidi="en_US"/>
        </w:rPr>
      </w:r>
      <w:r>
        <w:rPr>
          <w:lang w:val="en_US" w:bidi="en_US"/>
        </w:rPr>
        <w:t>As indirect speech. For example:</w:t>
      </w:r>
      <w:r>
        <w:rPr>
          <w:lang w:val="en_US" w:bidi="en_US"/>
        </w:rPr>
        <w:t>all the people…asked Jesus to leave (GW)</w:t>
      </w:r>
      <w:r>
        <w:rPr>
          <w:lang w:val="en_US" w:bidi="en_US"/>
        </w:rPr>
        <w:t>all the people…begged Jesus to go away and leave them alone (NLT)</w:t>
      </w:r>
    </w:p>
    <w:p>
      <w:pPr>
        <w:pStyle w:val="ListBullet"/>
        <w:spacing w:line="240" w:lineRule="auto"/>
        <w:ind w:left="720"/>
      </w:pPr>
      <w:r>
        <w:rPr>
          <w:lang w:val="en_US" w:bidi="en_US"/>
        </w:rPr>
      </w:r>
      <w:r>
        <w:rPr>
          <w:lang w:val="en_US" w:bidi="en_US"/>
        </w:rPr>
        <w:t>As direct speech. For example:</w:t>
      </w:r>
      <w:r>
        <w:rPr>
          <w:lang w:val="en_US" w:bidi="en_US"/>
        </w:rPr>
        <w:t>all the people…asked Jesus, “Please leave us.”</w:t>
      </w:r>
    </w:p>
    <w:p>
      <w:pPr>
        <w:pStyle w:val="Heading5"/>
      </w:pPr>
      <w:r>
        <w:rPr>
          <w:lang w:val="en_US" w:bidi="en_US"/>
        </w:rPr>
        <w:t>8:37b</w:t>
      </w:r>
    </w:p>
    <w:p>
      <w:pPr/>
      <w:r>
        <w:rPr>
          <w:lang w:val="en_US" w:bidi="en_US"/>
        </w:rPr>
      </w:r>
      <w:r>
        <w:rPr>
          <w:b/>
          <w:lang w:val="en_US" w:bidi="en_US"/>
        </w:rPr>
        <w:t>because great fear had taken hold of them.</w:t>
      </w:r>
    </w:p>
    <w:p>
      <w:pPr>
        <w:pStyle w:val="ListBullet"/>
        <w:spacing w:line="240" w:lineRule="auto"/>
        <w:ind w:left="720"/>
      </w:pPr>
      <w:r>
        <w:rPr>
          <w:lang w:val="en_US" w:bidi="en_US"/>
        </w:rPr>
      </w:r>
      <w:r>
        <w:rPr>
          <w:lang w:val="en_US" w:bidi="en_US"/>
        </w:rPr>
        <w:t>They asked him this</w:t>
      </w:r>
      <w:r>
        <w:rPr>
          <w:lang w:val="en_US" w:bidi="en_US"/>
        </w:rPr>
        <w:t xml:space="preserve"> because they were very much afraid.</w:t>
      </w:r>
    </w:p>
    <w:p>
      <w:pPr>
        <w:pStyle w:val="ListBullet"/>
        <w:spacing w:line="240" w:lineRule="auto"/>
        <w:ind w:left="720"/>
      </w:pPr>
      <w:r>
        <w:rPr>
          <w:lang w:val="en_US" w:bidi="en_US"/>
        </w:rPr>
      </w:r>
      <w:r>
        <w:rPr>
          <w:lang w:val="en_US" w:bidi="en_US"/>
        </w:rPr>
        <w:t xml:space="preserve">for they were absolutely terrified </w:t>
      </w:r>
      <w:r>
        <w:rPr>
          <w:lang w:val="en_US" w:bidi="en_US"/>
        </w:rPr>
        <w:t>at what had happened</w:t>
      </w:r>
      <w:r>
        <w:rPr>
          <w:lang w:val="en_US" w:bidi="en_US"/>
        </w:rPr>
        <w:t>.</w:t>
      </w:r>
    </w:p>
    <w:p>
      <w:pPr/>
      <w:r>
        <w:rPr>
          <w:lang w:val="en_US" w:bidi="en_US"/>
        </w:rPr>
      </w:r>
      <w:r>
        <w:rPr>
          <w:b/>
          <w:lang w:val="en_US" w:bidi="en_US"/>
        </w:rPr>
        <w:t>great fear had taken hold of them:</w:t>
      </w:r>
      <w:r>
        <w:rPr>
          <w:lang w:val="en_US" w:bidi="en_US"/>
        </w:rPr>
        <w:t xml:space="preserve"> The Greek phrase that the BSB translates as </w:t>
      </w:r>
      <w:r>
        <w:rPr>
          <w:i/>
          <w:lang w:val="en_US" w:bidi="en_US"/>
        </w:rPr>
        <w:t>great fear had taken hold of them</w:t>
      </w:r>
      <w:r>
        <w:rPr>
          <w:lang w:val="en_US" w:bidi="en_US"/>
        </w:rPr>
        <w:t xml:space="preserve"> is literally “they were distressed/tormented with great fear.” The phrase emphasizes that the people were very afraid. Use a strong expression in your language. Many languages may have an idiomatic expression to describe such fear. Some other ways to translate this in English are:</w:t>
      </w:r>
    </w:p>
    <w:p>
      <w:pPr/>
      <w:r>
        <w:rPr>
          <w:lang w:val="en_US" w:bidi="en_US"/>
        </w:rPr>
      </w:r>
      <w:r>
        <w:rPr>
          <w:lang w:val="en_US" w:bidi="en_US"/>
        </w:rPr>
        <w:t>they were seized with great fear (RSV)</w:t>
      </w:r>
    </w:p>
    <w:p>
      <w:pPr/>
      <w:r>
        <w:rPr>
          <w:lang w:val="en_US" w:bidi="en_US"/>
        </w:rPr>
      </w:r>
      <w:r>
        <w:rPr>
          <w:lang w:val="en_US" w:bidi="en_US"/>
        </w:rPr>
        <w:t>they were terribly afraid (GNT)</w:t>
      </w:r>
    </w:p>
    <w:p>
      <w:pPr/>
      <w:r>
        <w:rPr>
          <w:lang w:val="en_US" w:bidi="en_US"/>
        </w:rPr>
      </w:r>
      <w:r>
        <w:rPr>
          <w:lang w:val="en_US" w:bidi="en_US"/>
        </w:rPr>
        <w:t>they were thoroughly frightened (JBP)</w:t>
      </w:r>
    </w:p>
    <w:p>
      <w:pPr/>
      <w:r>
        <w:rPr>
          <w:lang w:val="en_US" w:bidi="en_US"/>
        </w:rPr>
      </w:r>
      <w:r>
        <w:rPr>
          <w:lang w:val="en_US" w:bidi="en_US"/>
        </w:rPr>
        <w:t>they were terrified (GW)</w:t>
      </w:r>
    </w:p>
    <w:p>
      <w:pPr>
        <w:pStyle w:val="Heading6"/>
      </w:pPr>
      <w:r>
        <w:rPr>
          <w:b/>
          <w:lang w:val="en_US" w:bidi="en_US"/>
        </w:rPr>
        <w:t>General Comment on 8:37a–b</w:t>
      </w:r>
    </w:p>
    <w:p>
      <w:pPr/>
      <w:r>
        <w:rPr>
          <w:lang w:val="en_US" w:bidi="en_US"/>
        </w:rPr>
      </w:r>
      <w:r>
        <w:rPr>
          <w:lang w:val="en_US" w:bidi="en_US"/>
        </w:rPr>
        <w:t>In some languages it may be more natural to place the reason in 8:37b before its result in 8:37a. For example:</w:t>
      </w:r>
    </w:p>
    <w:p>
      <w:pPr/>
      <w:r>
        <w:rPr>
          <w:lang w:val="en_US" w:bidi="en_US"/>
        </w:rPr>
      </w:r>
      <w:r>
        <w:rPr>
          <w:vertAlign w:val="superscript"/>
          <w:lang w:val="en_US" w:bidi="en_US"/>
        </w:rPr>
        <w:t>37b</w:t>
      </w:r>
      <w:r>
        <w:rPr>
          <w:lang w:val="en_US" w:bidi="en_US"/>
        </w:rPr>
        <w:t xml:space="preserve">Then all the people of the region of the Gerasenes were seized with great fear </w:t>
      </w:r>
      <w:r>
        <w:rPr>
          <w:vertAlign w:val="superscript"/>
          <w:lang w:val="en_US" w:bidi="en_US"/>
        </w:rPr>
        <w:t>37a</w:t>
      </w:r>
      <w:r>
        <w:rPr>
          <w:lang w:val="en_US" w:bidi="en_US"/>
        </w:rPr>
        <w:t>so they asked Jesus to go away from them.</w:t>
      </w:r>
    </w:p>
    <w:p>
      <w:pPr>
        <w:pStyle w:val="Heading5"/>
      </w:pPr>
      <w:r>
        <w:rPr>
          <w:lang w:val="en_US" w:bidi="en_US"/>
        </w:rPr>
        <w:t>8:37c</w:t>
      </w:r>
    </w:p>
    <w:p>
      <w:pPr/>
      <w:r>
        <w:rPr>
          <w:lang w:val="en_US" w:bidi="en_US"/>
        </w:rPr>
      </w:r>
      <w:r>
        <w:rPr>
          <w:b/>
          <w:lang w:val="en_US" w:bidi="en_US"/>
        </w:rPr>
        <w:t>So He got into the boat and started back.</w:t>
      </w:r>
    </w:p>
    <w:p>
      <w:pPr>
        <w:pStyle w:val="ListBullet"/>
        <w:spacing w:line="240" w:lineRule="auto"/>
        <w:ind w:left="720"/>
      </w:pPr>
      <w:r>
        <w:rPr>
          <w:lang w:val="en_US" w:bidi="en_US"/>
        </w:rPr>
      </w:r>
      <w:r>
        <w:rPr>
          <w:lang w:val="en_US" w:bidi="en_US"/>
        </w:rPr>
        <w:t xml:space="preserve">And Jesus boarded the boat </w:t>
      </w:r>
      <w:r>
        <w:rPr>
          <w:lang w:val="en_US" w:bidi="en_US"/>
        </w:rPr>
        <w:t>in order to</w:t>
      </w:r>
      <w:r>
        <w:rPr>
          <w:lang w:val="en_US" w:bidi="en_US"/>
        </w:rPr>
        <w:t xml:space="preserve"> leave.</w:t>
      </w:r>
    </w:p>
    <w:p>
      <w:pPr>
        <w:pStyle w:val="ListBullet"/>
        <w:spacing w:line="240" w:lineRule="auto"/>
        <w:ind w:left="720"/>
      </w:pPr>
      <w:r>
        <w:rPr>
          <w:lang w:val="en_US" w:bidi="en_US"/>
        </w:rPr>
      </w:r>
      <w:r>
        <w:rPr>
          <w:lang w:val="en_US" w:bidi="en_US"/>
        </w:rPr>
        <w:t xml:space="preserve">So he went/climbed into the boat </w:t>
      </w:r>
      <w:r>
        <w:rPr>
          <w:lang w:val="en_US" w:bidi="en_US"/>
        </w:rPr>
        <w:t>with his followers</w:t>
      </w:r>
      <w:r>
        <w:rPr>
          <w:lang w:val="en_US" w:bidi="en_US"/>
        </w:rPr>
        <w:t xml:space="preserve"> </w:t>
      </w:r>
      <w:r>
        <w:rPr>
          <w:lang w:val="en_US" w:bidi="en_US"/>
        </w:rPr>
        <w:t>and they were about to</w:t>
      </w:r>
      <w:r>
        <w:rPr>
          <w:lang w:val="en_US" w:bidi="en_US"/>
        </w:rPr>
        <w:t xml:space="preserve"> leave.</w:t>
      </w:r>
    </w:p>
    <w:p>
      <w:pPr/>
      <w:r>
        <w:rPr>
          <w:lang w:val="en_US" w:bidi="en_US"/>
        </w:rPr>
      </w:r>
      <w:r>
        <w:rPr>
          <w:b/>
          <w:lang w:val="en_US" w:bidi="en_US"/>
        </w:rPr>
        <w:t>He got into the boat and started back:</w:t>
      </w:r>
      <w:r>
        <w:rPr>
          <w:lang w:val="en_US" w:bidi="en_US"/>
        </w:rPr>
        <w:t xml:space="preserve"> Jesus did not actually leave until after he had talked with the man in 8:38–39. If this might be a problem in your language, here are options to consider:</w:t>
      </w:r>
    </w:p>
    <w:p>
      <w:pPr>
        <w:pStyle w:val="ListBullet"/>
        <w:spacing w:line="240" w:lineRule="auto"/>
        <w:ind w:left="720"/>
      </w:pPr>
      <w:r>
        <w:rPr>
          <w:lang w:val="en_US" w:bidi="en_US"/>
        </w:rPr>
      </w:r>
      <w:r>
        <w:rPr>
          <w:lang w:val="en_US" w:bidi="en_US"/>
        </w:rPr>
        <w:t>Translate 8:37c in a way that indicates intention to leave or preparation to leave. For example:</w:t>
      </w:r>
      <w:r>
        <w:rPr>
          <w:lang w:val="en_US" w:bidi="en_US"/>
        </w:rPr>
        <w:t>he got into the boat in order to return</w:t>
      </w:r>
      <w:r>
        <w:rPr>
          <w:lang w:val="en_US" w:bidi="en_US"/>
        </w:rPr>
        <w:t>he got into the boat and prepared to leave</w:t>
      </w:r>
    </w:p>
    <w:p>
      <w:pPr>
        <w:pStyle w:val="ListBullet"/>
        <w:spacing w:line="240" w:lineRule="auto"/>
        <w:ind w:left="720"/>
      </w:pPr>
      <w:r>
        <w:rPr>
          <w:lang w:val="en_US" w:bidi="en_US"/>
        </w:rPr>
      </w:r>
      <w:r>
        <w:rPr>
          <w:lang w:val="en_US" w:bidi="en_US"/>
        </w:rPr>
        <w:t>Translate 8:38a with an explanation that before Jesus actually left, the man asked him if he might go with him. For example:</w:t>
      </w:r>
      <w:r>
        <w:rPr>
          <w:lang w:val="en_US" w:bidi="en_US"/>
        </w:rPr>
        <w:t>But before he left,</w:t>
      </w:r>
      <w:r>
        <w:rPr>
          <w:lang w:val="en_US" w:bidi="en_US"/>
        </w:rPr>
        <w:t xml:space="preserve"> the man…</w:t>
      </w:r>
    </w:p>
    <w:p>
      <w:pPr/>
      <w:r>
        <w:rPr>
          <w:lang w:val="en_US" w:bidi="en_US"/>
        </w:rPr>
      </w:r>
      <w:r>
        <w:rPr>
          <w:b/>
          <w:lang w:val="en_US" w:bidi="en_US"/>
        </w:rPr>
        <w:t>He got into the boat:</w:t>
      </w:r>
      <w:r>
        <w:rPr>
          <w:lang w:val="en_US" w:bidi="en_US"/>
        </w:rPr>
        <w:t xml:space="preserve"> Some languages may have a specific word for this action such as “board” or “embark” in English. If not, you could simply say that Jesus “stepped/climbed/went into the boat.”</w:t>
      </w:r>
    </w:p>
    <w:p>
      <w:pPr/>
      <w:r>
        <w:rPr>
          <w:lang w:val="en_US" w:bidi="en_US"/>
        </w:rPr>
      </w:r>
      <w:r>
        <w:rPr>
          <w:lang w:val="en_US" w:bidi="en_US"/>
        </w:rPr>
        <w:t>When Jesus got into the boat, his disciples also got into it. The author does not mention the disciples here, because Jesus is in focus. However, in some languages if a translator does not mention the disciples, it may imply that they stayed in the region. This is especially true if the translation mentions in 8:27a that they got out of the boat. If that is true in your language, here are some ways that you could include them:</w:t>
      </w:r>
    </w:p>
    <w:p>
      <w:pPr/>
      <w:r>
        <w:rPr>
          <w:lang w:val="en_US" w:bidi="en_US"/>
        </w:rPr>
      </w:r>
      <w:r>
        <w:rPr>
          <w:lang w:val="en_US" w:bidi="en_US"/>
        </w:rPr>
        <w:t xml:space="preserve">Jesus </w:t>
      </w:r>
      <w:r>
        <w:rPr>
          <w:lang w:val="en_US" w:bidi="en_US"/>
        </w:rPr>
        <w:t>along with the disciples</w:t>
      </w:r>
      <w:r>
        <w:rPr>
          <w:lang w:val="en_US" w:bidi="en_US"/>
        </w:rPr>
        <w:t xml:space="preserve"> got into the boat…</w:t>
      </w:r>
    </w:p>
    <w:p>
      <w:pPr/>
      <w:r>
        <w:rPr>
          <w:lang w:val="en_US" w:bidi="en_US"/>
        </w:rPr>
      </w:r>
      <w:r>
        <w:rPr>
          <w:lang w:val="en_US" w:bidi="en_US"/>
        </w:rPr>
        <w:t xml:space="preserve">Jesus </w:t>
      </w:r>
      <w:r>
        <w:rPr>
          <w:lang w:val="en_US" w:bidi="en_US"/>
        </w:rPr>
        <w:t>and the disciples</w:t>
      </w:r>
      <w:r>
        <w:rPr>
          <w:lang w:val="en_US" w:bidi="en_US"/>
        </w:rPr>
        <w:t xml:space="preserve"> got into the boat…</w:t>
      </w:r>
      <w:r>
        <w:rPr>
          <w:lang w:val="en_US" w:bidi="en_US"/>
        </w:rPr>
      </w:r>
      <w:r>
        <w:rPr>
          <w:lang w:val="en_US" w:bidi="en_US"/>
        </w:rPr>
      </w:r>
    </w:p>
    <w:p>
      <w:pPr/>
      <w:r>
        <w:rPr>
          <w:lang w:val="en_US" w:bidi="en_US"/>
        </w:rPr>
      </w:r>
    </w:p>
    <w:p>
      <w:pPr>
        <w:pStyle w:val="Heading2"/>
      </w:pPr>
      <w:r>
        <w:rPr>
          <w:lang w:val="en_US" w:bidi="en_US"/>
        </w:rPr>
        <w:t>Luke 8:38</w:t>
      </w:r>
      <w:r>
        <w:rPr>
          <w:lang w:val="en_US" w:bidi="en_US"/>
        </w:rPr>
      </w:r>
    </w:p>
    <w:p>
      <w:pPr>
        <w:pStyle w:val="Heading4"/>
      </w:pPr>
      <w:r>
        <w:rPr>
          <w:lang w:val="en_US" w:bidi="en_US"/>
        </w:rPr>
        <w:t>Section 8:26–39: Jesus freed a man whom many demons controlled</w:t>
      </w:r>
    </w:p>
    <w:p>
      <w:pPr/>
      <w:r>
        <w:rPr>
          <w:lang w:val="en_US" w:bidi="en_US"/>
        </w:rPr>
      </w:r>
      <w:r>
        <w:rPr>
          <w:lang w:val="en_US" w:bidi="en_US"/>
        </w:rP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pPr/>
      <w:r>
        <w:rPr>
          <w:lang w:val="en_US" w:bidi="en_US"/>
        </w:rPr>
      </w:r>
      <w:r>
        <w:rPr>
          <w:lang w:val="en_US" w:bidi="en_US"/>
        </w:rPr>
        <w:t>“Uncleanness” is a theme in this story. The spirits that controlled the man were considered “unclean” (and called “unclean” in 8:29a). Tombs were “unclean.” Jews also considered pigs to be “unclean.”</w:t>
      </w:r>
    </w:p>
    <w:p>
      <w:pPr/>
      <w:r>
        <w:rPr>
          <w:lang w:val="en_US" w:bidi="en_US"/>
        </w:rPr>
      </w:r>
      <w:r>
        <w:rPr>
          <w:lang w:val="en_US" w:bidi="en_US"/>
        </w:rP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pPr/>
      <w:r>
        <w:rPr>
          <w:lang w:val="en_US" w:bidi="en_US"/>
        </w:rPr>
      </w:r>
      <w:r>
        <w:rPr>
          <w:lang w:val="en_US" w:bidi="en_US"/>
        </w:rPr>
        <w:t>Some other possible headings for this section are:</w:t>
      </w:r>
    </w:p>
    <w:p>
      <w:pPr/>
      <w:r>
        <w:rPr>
          <w:lang w:val="en_US" w:bidi="en_US"/>
        </w:rPr>
      </w:r>
      <w:r>
        <w:rPr>
          <w:lang w:val="en_US" w:bidi="en_US"/>
        </w:rPr>
        <w:t>Jesus commanded many demons to leave a man</w:t>
      </w:r>
    </w:p>
    <w:p>
      <w:pPr/>
      <w:r>
        <w:rPr>
          <w:lang w:val="en_US" w:bidi="en_US"/>
        </w:rPr>
      </w:r>
      <w:r>
        <w:rPr>
          <w:lang w:val="en_US" w:bidi="en_US"/>
        </w:rPr>
        <w:t>The deliverance of a man who was controlled by many demons</w:t>
      </w:r>
    </w:p>
    <w:p>
      <w:pPr/>
      <w:r>
        <w:rPr>
          <w:lang w:val="en_US" w:bidi="en_US"/>
        </w:rPr>
      </w:r>
      <w:r>
        <w:rPr>
          <w:lang w:val="en_US" w:bidi="en_US"/>
        </w:rPr>
        <w:t>There are parallel passages for this section in Matthew 8:28–34 and Mark 5:1–20.</w:t>
      </w:r>
    </w:p>
    <w:p>
      <w:pPr>
        <w:pStyle w:val="Heading5"/>
      </w:pPr>
      <w:r>
        <w:rPr>
          <w:lang w:val="en_US" w:bidi="en_US"/>
        </w:rPr>
        <w:t>8:38a</w:t>
      </w:r>
    </w:p>
    <w:p>
      <w:pPr/>
      <w:r>
        <w:rPr>
          <w:lang w:val="en_US" w:bidi="en_US"/>
        </w:rPr>
      </w:r>
      <w:r>
        <w:rPr>
          <w:b/>
          <w:lang w:val="en_US" w:bidi="en_US"/>
        </w:rPr>
        <w:t>The man whom the demons had left begged to go with Jesus.</w:t>
      </w:r>
    </w:p>
    <w:p>
      <w:pPr>
        <w:pStyle w:val="ListBullet"/>
        <w:spacing w:line="240" w:lineRule="auto"/>
        <w:ind w:left="720"/>
      </w:pPr>
      <w:r>
        <w:rPr>
          <w:lang w:val="en_US" w:bidi="en_US"/>
        </w:rPr>
      </w:r>
      <w:r>
        <w:rPr>
          <w:lang w:val="en_US" w:bidi="en_US"/>
        </w:rPr>
        <w:t xml:space="preserve">Then the man who had been controlled by demons begged </w:t>
      </w:r>
      <w:r>
        <w:rPr>
          <w:lang w:val="en_US" w:bidi="en_US"/>
        </w:rPr>
        <w:t>Jesus</w:t>
      </w:r>
      <w:r>
        <w:rPr>
          <w:lang w:val="en_US" w:bidi="en_US"/>
        </w:rPr>
        <w:t xml:space="preserve"> to let him be with him.</w:t>
      </w:r>
    </w:p>
    <w:p>
      <w:pPr>
        <w:pStyle w:val="ListBullet"/>
        <w:spacing w:line="240" w:lineRule="auto"/>
        <w:ind w:left="720"/>
      </w:pPr>
      <w:r>
        <w:rPr>
          <w:lang w:val="en_US" w:bidi="en_US"/>
        </w:rPr>
      </w:r>
      <w:r>
        <w:rPr>
          <w:lang w:val="en_US" w:bidi="en_US"/>
        </w:rPr>
        <w:t>The man whom Jesus had rescued/healed pleaded to go with Jesus and be/stay with him.</w:t>
      </w:r>
    </w:p>
    <w:p>
      <w:pPr>
        <w:pStyle w:val="ListBullet"/>
        <w:spacing w:line="240" w:lineRule="auto"/>
        <w:ind w:left="720"/>
      </w:pPr>
      <w:r>
        <w:rPr>
          <w:lang w:val="en_US" w:bidi="en_US"/>
        </w:rPr>
      </w:r>
      <w:r>
        <w:rPr>
          <w:lang w:val="en_US" w:bidi="en_US"/>
        </w:rPr>
        <w:t xml:space="preserve">Then the man begged him, “Please let me go with you and be </w:t>
      </w:r>
      <w:r>
        <w:rPr>
          <w:lang w:val="en_US" w:bidi="en_US"/>
        </w:rPr>
        <w:t>your</w:t>
      </w:r>
      <w:r>
        <w:rPr>
          <w:vertAlign w:val="superscript"/>
          <w:lang w:val="en_US" w:bidi="en_US"/>
        </w:rPr>
        <w:t>(sing)</w:t>
      </w:r>
      <w:r>
        <w:rPr>
          <w:lang w:val="en_US" w:bidi="en_US"/>
        </w:rPr>
        <w:t xml:space="preserve"> </w:t>
      </w:r>
      <w:r>
        <w:rPr>
          <w:lang w:val="en_US" w:bidi="en_US"/>
        </w:rPr>
        <w:t>disciple</w:t>
      </w:r>
      <w:r>
        <w:rPr>
          <w:lang w:val="en_US" w:bidi="en_US"/>
        </w:rPr>
        <w:t>.”</w:t>
      </w:r>
    </w:p>
    <w:p>
      <w:pPr/>
      <w:r>
        <w:rPr>
          <w:lang w:val="en_US" w:bidi="en_US"/>
        </w:rPr>
      </w:r>
      <w:r>
        <w:rPr>
          <w:b/>
          <w:lang w:val="en_US" w:bidi="en_US"/>
        </w:rPr>
        <w:t>The man whom the demons had left:</w:t>
      </w:r>
      <w:r>
        <w:rPr>
          <w:lang w:val="en_US" w:bidi="en_US"/>
        </w:rPr>
        <w:t xml:space="preserve"> Refer to this man here in a natural way in your language. See how you translated the similar phrase at 8:35c–d. In some languages it may be appropriate to use a shorter expression here than in earlier occurrences. See the note on “the demon-possessed man” at 8:36b.</w:t>
      </w:r>
    </w:p>
    <w:p>
      <w:pPr/>
      <w:r>
        <w:rPr>
          <w:lang w:val="en_US" w:bidi="en_US"/>
        </w:rPr>
      </w:r>
      <w:r>
        <w:rPr>
          <w:b/>
          <w:lang w:val="en_US" w:bidi="en_US"/>
        </w:rPr>
        <w:t>begged to go with Jesus:</w:t>
      </w:r>
      <w:r>
        <w:rPr>
          <w:lang w:val="en_US" w:bidi="en_US"/>
        </w:rPr>
        <w:t xml:space="preserve"> The man who had been freed from demons wanted to go with Jesus and be his follower. In some languages it may be more natural to translate the man’s request as direct speech. For example:</w:t>
      </w:r>
    </w:p>
    <w:p>
      <w:pPr/>
      <w:r>
        <w:rPr>
          <w:lang w:val="en_US" w:bidi="en_US"/>
        </w:rPr>
      </w:r>
      <w:r>
        <w:rPr>
          <w:lang w:val="en_US" w:bidi="en_US"/>
        </w:rPr>
        <w:t>The man…begged, “Please let me go with you</w:t>
      </w:r>
      <w:r>
        <w:rPr>
          <w:vertAlign w:val="superscript"/>
          <w:lang w:val="en_US" w:bidi="en_US"/>
        </w:rPr>
        <w:t>(sing)</w:t>
      </w:r>
      <w:r>
        <w:rPr>
          <w:lang w:val="en_US" w:bidi="en_US"/>
        </w:rPr>
        <w:t>.”</w:t>
      </w:r>
    </w:p>
    <w:p>
      <w:pPr/>
      <w:r>
        <w:rPr>
          <w:lang w:val="en_US" w:bidi="en_US"/>
        </w:rPr>
      </w:r>
      <w:r>
        <w:rPr>
          <w:b/>
          <w:lang w:val="en_US" w:bidi="en_US"/>
        </w:rPr>
        <w:t>begged:</w:t>
      </w:r>
      <w:r>
        <w:rPr>
          <w:lang w:val="en_US" w:bidi="en_US"/>
        </w:rPr>
        <w:t xml:space="preserve"> The Greek word that the BSB translates as </w:t>
      </w:r>
      <w:r>
        <w:rPr>
          <w:i/>
          <w:lang w:val="en_US" w:bidi="en_US"/>
        </w:rPr>
        <w:t>begged</w:t>
      </w:r>
      <w:r>
        <w:rPr>
          <w:lang w:val="en_US" w:bidi="en_US"/>
        </w:rPr>
        <w:t xml:space="preserve"> refers to making a strong or urgent request. The man very much wanted to go with Jesus.</w:t>
      </w:r>
    </w:p>
    <w:p>
      <w:pPr/>
      <w:r>
        <w:rPr>
          <w:lang w:val="en_US" w:bidi="en_US"/>
        </w:rPr>
      </w:r>
      <w:r>
        <w:rPr>
          <w:b/>
          <w:lang w:val="en_US" w:bidi="en_US"/>
        </w:rPr>
        <w:t>to go with Jesus:</w:t>
      </w:r>
      <w:r>
        <w:rPr>
          <w:lang w:val="en_US" w:bidi="en_US"/>
        </w:rPr>
        <w:t xml:space="preserve"> The Greek word that the BSB translates as </w:t>
      </w:r>
      <w:r>
        <w:rPr>
          <w:i/>
          <w:lang w:val="en_US" w:bidi="en_US"/>
        </w:rPr>
        <w:t>to go</w:t>
      </w:r>
      <w:r>
        <w:rPr>
          <w:lang w:val="en_US" w:bidi="en_US"/>
        </w:rPr>
        <w:t xml:space="preserve"> is literally “to be.” Use the verb that is natural in your language in this context. It should imply that the man wanted to remain with Jesus as his disciple. Some ways to say this in English are:</w:t>
      </w:r>
    </w:p>
    <w:p>
      <w:pPr/>
      <w:r>
        <w:rPr>
          <w:lang w:val="en_US" w:bidi="en_US"/>
        </w:rPr>
      </w:r>
      <w:r>
        <w:rPr>
          <w:u w:val="single"/>
          <w:lang w:val="en_US" w:bidi="en_US"/>
        </w:rPr>
        <w:t>go</w:t>
      </w:r>
      <w:r>
        <w:rPr>
          <w:lang w:val="en_US" w:bidi="en_US"/>
        </w:rPr>
        <w:t xml:space="preserve"> with him</w:t>
      </w:r>
    </w:p>
    <w:p>
      <w:pPr/>
      <w:r>
        <w:rPr>
          <w:lang w:val="en_US" w:bidi="en_US"/>
        </w:rPr>
      </w:r>
      <w:r>
        <w:rPr>
          <w:u w:val="single"/>
          <w:lang w:val="en_US" w:bidi="en_US"/>
        </w:rPr>
        <w:t>be</w:t>
      </w:r>
      <w:r>
        <w:rPr>
          <w:lang w:val="en_US" w:bidi="en_US"/>
        </w:rPr>
        <w:t xml:space="preserve"> with him</w:t>
      </w:r>
    </w:p>
    <w:p>
      <w:pPr/>
      <w:r>
        <w:rPr>
          <w:lang w:val="en_US" w:bidi="en_US"/>
        </w:rPr>
      </w:r>
      <w:r>
        <w:rPr>
          <w:u w:val="single"/>
          <w:lang w:val="en_US" w:bidi="en_US"/>
        </w:rPr>
        <w:t>stay</w:t>
      </w:r>
      <w:r>
        <w:rPr>
          <w:lang w:val="en_US" w:bidi="en_US"/>
        </w:rPr>
        <w:t xml:space="preserve"> with him</w:t>
      </w:r>
    </w:p>
    <w:p>
      <w:pPr/>
      <w:r>
        <w:rPr>
          <w:lang w:val="en_US" w:bidi="en_US"/>
        </w:rPr>
      </w:r>
      <w:r>
        <w:rPr>
          <w:b/>
          <w:lang w:val="en_US" w:bidi="en_US"/>
        </w:rPr>
        <w:t>Jesus:</w:t>
      </w:r>
      <w:r>
        <w:rPr>
          <w:lang w:val="en_US" w:bidi="en_US"/>
        </w:rPr>
        <w:t xml:space="preserve"> The Greek word that the BSB translates with the name </w:t>
      </w:r>
      <w:r>
        <w:rPr>
          <w:i/>
          <w:lang w:val="en_US" w:bidi="en_US"/>
        </w:rPr>
        <w:t>Jesus</w:t>
      </w:r>
      <w:r>
        <w:rPr>
          <w:lang w:val="en_US" w:bidi="en_US"/>
        </w:rPr>
        <w:t xml:space="preserve"> is literally the pronoun “him.” This pronoun refers to Jesus. The man was asking if he himself could go with Jesus. He was not asking Jesus to go with him. If translating this as something like “if he could go with him” would be unclear in your language, you may wish to use the name Jesus here in your translation.</w:t>
      </w:r>
    </w:p>
    <w:p>
      <w:pPr>
        <w:pStyle w:val="Heading5"/>
      </w:pPr>
      <w:r>
        <w:rPr>
          <w:lang w:val="en_US" w:bidi="en_US"/>
        </w:rPr>
        <w:t>8:38b</w:t>
      </w:r>
    </w:p>
    <w:p>
      <w:pPr/>
      <w:r>
        <w:rPr>
          <w:lang w:val="en_US" w:bidi="en_US"/>
        </w:rPr>
      </w:r>
      <w:r>
        <w:rPr>
          <w:b/>
          <w:lang w:val="en_US" w:bidi="en_US"/>
        </w:rPr>
        <w:t>But He sent him away, saying,</w:t>
      </w:r>
    </w:p>
    <w:p>
      <w:pPr>
        <w:pStyle w:val="ListBullet"/>
        <w:spacing w:line="240" w:lineRule="auto"/>
        <w:ind w:left="720"/>
      </w:pPr>
      <w:r>
        <w:rPr>
          <w:lang w:val="en_US" w:bidi="en_US"/>
        </w:rPr>
      </w:r>
      <w:r>
        <w:rPr>
          <w:lang w:val="en_US" w:bidi="en_US"/>
        </w:rPr>
        <w:t>But Jesus sent him off with these words:</w:t>
      </w:r>
    </w:p>
    <w:p>
      <w:pPr>
        <w:pStyle w:val="ListBullet"/>
        <w:spacing w:line="240" w:lineRule="auto"/>
        <w:ind w:left="720"/>
      </w:pPr>
      <w:r>
        <w:rPr>
          <w:lang w:val="en_US" w:bidi="en_US"/>
        </w:rPr>
      </w:r>
      <w:r>
        <w:rPr>
          <w:lang w:val="en_US" w:bidi="en_US"/>
        </w:rPr>
        <w:t>But Jesus refused.</w:t>
      </w:r>
      <w:r>
        <w:rPr>
          <w:lang w:val="en_US" w:bidi="en_US"/>
        </w:rPr>
        <w:t xml:space="preserve"> Instead he said to him,</w:t>
      </w:r>
    </w:p>
    <w:p>
      <w:pPr/>
      <w:r>
        <w:rPr>
          <w:lang w:val="en_US" w:bidi="en_US"/>
        </w:rPr>
      </w:r>
      <w:r>
        <w:rPr>
          <w:b/>
          <w:lang w:val="en_US" w:bidi="en_US"/>
        </w:rPr>
        <w:t>But He sent him away:</w:t>
      </w:r>
      <w:r>
        <w:rPr>
          <w:lang w:val="en_US" w:bidi="en_US"/>
        </w:rPr>
        <w:t xml:space="preserve"> Jesus’ response here contrasts with the man’s request in 8:38a. Jesus did not agree to let the man go with him. Instead, he sent him on a mission back to his own people and area. In some languages, you may want to make explicit that Jesus did not accept his request. For example:</w:t>
      </w:r>
    </w:p>
    <w:p>
      <w:pPr/>
      <w:r>
        <w:rPr>
          <w:lang w:val="en_US" w:bidi="en_US"/>
        </w:rPr>
      </w:r>
      <w:r>
        <w:rPr>
          <w:lang w:val="en_US" w:bidi="en_US"/>
        </w:rPr>
        <w:t>But Jesus did not let him.</w:t>
      </w:r>
      <w:r>
        <w:rPr>
          <w:lang w:val="en_US" w:bidi="en_US"/>
        </w:rPr>
        <w:t xml:space="preserve"> Instead, he sent him away…</w:t>
      </w:r>
    </w:p>
    <w:p>
      <w:pPr/>
      <w:r>
        <w:rPr>
          <w:lang w:val="en_US" w:bidi="en_US"/>
        </w:rPr>
      </w:r>
      <w:r>
        <w:rPr>
          <w:lang w:val="en_US" w:bidi="en_US"/>
        </w:rPr>
        <w:t xml:space="preserve">Notice that here </w:t>
      </w:r>
      <w:r>
        <w:rPr>
          <w:i/>
          <w:lang w:val="en_US" w:bidi="en_US"/>
        </w:rPr>
        <w:t>sent him away</w:t>
      </w:r>
      <w:r>
        <w:rPr>
          <w:lang w:val="en_US" w:bidi="en_US"/>
        </w:rPr>
        <w:t xml:space="preserve"> does not indicate any bad feeling such as rejection or anger.</w:t>
      </w:r>
    </w:p>
    <w:p>
      <w:pPr/>
      <w:r>
        <w:rPr>
          <w:lang w:val="en_US" w:bidi="en_US"/>
        </w:rPr>
      </w:r>
      <w:r>
        <w:rPr>
          <w:b/>
          <w:lang w:val="en_US" w:bidi="en_US"/>
        </w:rPr>
        <w:t>He sent him:</w:t>
      </w:r>
      <w:r>
        <w:rPr>
          <w:lang w:val="en_US" w:bidi="en_US"/>
        </w:rPr>
        <w:t xml:space="preserve"> If you did not use the name “Jesus” in 8:38a, you may wish to use it here, as many English versions do, to avoid the misunderstanding that the man sent Jesus away. Refer to Jesus here in a natural way in your language.</w:t>
      </w:r>
      <w:r>
        <w:rPr>
          <w:lang w:val="en_US" w:bidi="en_US"/>
        </w:rPr>
      </w:r>
      <w:r>
        <w:rPr>
          <w:lang w:val="en_US" w:bidi="en_US"/>
        </w:rPr>
      </w:r>
    </w:p>
    <w:p>
      <w:pPr/>
      <w:r>
        <w:rPr>
          <w:lang w:val="en_US" w:bidi="en_US"/>
        </w:rPr>
      </w:r>
    </w:p>
    <w:p>
      <w:pPr>
        <w:pStyle w:val="Heading2"/>
      </w:pPr>
      <w:r>
        <w:rPr>
          <w:lang w:val="en_US" w:bidi="en_US"/>
        </w:rPr>
        <w:t>Luke 8:39</w:t>
      </w:r>
      <w:r>
        <w:rPr>
          <w:lang w:val="en_US" w:bidi="en_US"/>
        </w:rPr>
      </w:r>
    </w:p>
    <w:p>
      <w:pPr>
        <w:pStyle w:val="Heading4"/>
      </w:pPr>
      <w:r>
        <w:rPr>
          <w:lang w:val="en_US" w:bidi="en_US"/>
        </w:rPr>
        <w:t>Section 8:26–39: Jesus freed a man whom many demons controlled</w:t>
      </w:r>
    </w:p>
    <w:p>
      <w:pPr/>
      <w:r>
        <w:rPr>
          <w:lang w:val="en_US" w:bidi="en_US"/>
        </w:rPr>
      </w:r>
      <w:r>
        <w:rPr>
          <w:lang w:val="en_US" w:bidi="en_US"/>
        </w:rPr>
        <w:t>After the storm in the preceding section, Jesus and his disciples arrived at the northeastern shore of Lake Galilee. Most of the people who lived in this region were Gentiles. A man who was controlled by many demons immediately came to Jesus. Jesus commanded the demons to leave the man. When they left, they went to control a large herd of pigs and destroyed them. When Jesus freed the man from these demons, he showed his great power over them.</w:t>
      </w:r>
    </w:p>
    <w:p>
      <w:pPr/>
      <w:r>
        <w:rPr>
          <w:lang w:val="en_US" w:bidi="en_US"/>
        </w:rPr>
      </w:r>
      <w:r>
        <w:rPr>
          <w:lang w:val="en_US" w:bidi="en_US"/>
        </w:rPr>
        <w:t>“Uncleanness” is a theme in this story. The spirits that controlled the man were considered “unclean” (and called “unclean” in 8:29a). Tombs were “unclean.” Jews also considered pigs to be “unclean.”</w:t>
      </w:r>
    </w:p>
    <w:p>
      <w:pPr/>
      <w:r>
        <w:rPr>
          <w:lang w:val="en_US" w:bidi="en_US"/>
        </w:rPr>
      </w:r>
      <w:r>
        <w:rPr>
          <w:lang w:val="en_US" w:bidi="en_US"/>
        </w:rPr>
        <w:t>When people saw that Jesus had caused the demons to leave the man and enter the pigs, they asked him to leave the area. Their response showed that even when people saw that Jesus was very powerful, sometimes they still would not believe in him or accept him as the Messiah.</w:t>
      </w:r>
    </w:p>
    <w:p>
      <w:pPr/>
      <w:r>
        <w:rPr>
          <w:lang w:val="en_US" w:bidi="en_US"/>
        </w:rPr>
      </w:r>
      <w:r>
        <w:rPr>
          <w:lang w:val="en_US" w:bidi="en_US"/>
        </w:rPr>
        <w:t>Some other possible headings for this section are:</w:t>
      </w:r>
    </w:p>
    <w:p>
      <w:pPr/>
      <w:r>
        <w:rPr>
          <w:lang w:val="en_US" w:bidi="en_US"/>
        </w:rPr>
      </w:r>
      <w:r>
        <w:rPr>
          <w:lang w:val="en_US" w:bidi="en_US"/>
        </w:rPr>
        <w:t>Jesus commanded many demons to leave a man</w:t>
      </w:r>
    </w:p>
    <w:p>
      <w:pPr/>
      <w:r>
        <w:rPr>
          <w:lang w:val="en_US" w:bidi="en_US"/>
        </w:rPr>
      </w:r>
      <w:r>
        <w:rPr>
          <w:lang w:val="en_US" w:bidi="en_US"/>
        </w:rPr>
        <w:t>The deliverance of a man who was controlled by many demons</w:t>
      </w:r>
    </w:p>
    <w:p>
      <w:pPr/>
      <w:r>
        <w:rPr>
          <w:lang w:val="en_US" w:bidi="en_US"/>
        </w:rPr>
      </w:r>
      <w:r>
        <w:rPr>
          <w:lang w:val="en_US" w:bidi="en_US"/>
        </w:rPr>
        <w:t>There are parallel passages for this section in Matthew 8:28–34 and Mark 5:1–20.</w:t>
      </w:r>
    </w:p>
    <w:p>
      <w:pPr>
        <w:pStyle w:val="Heading5"/>
      </w:pPr>
      <w:r>
        <w:rPr>
          <w:lang w:val="en_US" w:bidi="en_US"/>
        </w:rPr>
        <w:t>8:39a</w:t>
      </w:r>
    </w:p>
    <w:p>
      <w:pPr/>
      <w:r>
        <w:rPr>
          <w:lang w:val="en_US" w:bidi="en_US"/>
        </w:rPr>
      </w:r>
      <w:r>
        <w:rPr>
          <w:b/>
          <w:lang w:val="en_US" w:bidi="en_US"/>
        </w:rPr>
        <w:t>“Return home and describe how much God has done for you.”</w:t>
      </w:r>
    </w:p>
    <w:p>
      <w:pPr>
        <w:pStyle w:val="ListBullet"/>
        <w:spacing w:line="240" w:lineRule="auto"/>
        <w:ind w:left="720"/>
      </w:pPr>
      <w:r>
        <w:rPr>
          <w:lang w:val="en_US" w:bidi="en_US"/>
        </w:rPr>
      </w:r>
      <w:r>
        <w:rPr>
          <w:lang w:val="en_US" w:bidi="en_US"/>
        </w:rPr>
        <w:t xml:space="preserve">“Return to your home and describe in detail what God has done </w:t>
      </w:r>
      <w:r>
        <w:rPr>
          <w:lang w:val="en_US" w:bidi="en_US"/>
        </w:rPr>
        <w:t>to help</w:t>
      </w:r>
      <w:r>
        <w:rPr>
          <w:lang w:val="en_US" w:bidi="en_US"/>
        </w:rPr>
        <w:t xml:space="preserve"> you.”</w:t>
      </w:r>
    </w:p>
    <w:p>
      <w:pPr>
        <w:pStyle w:val="ListBullet"/>
        <w:spacing w:line="240" w:lineRule="auto"/>
        <w:ind w:left="720"/>
      </w:pPr>
      <w:r>
        <w:rPr>
          <w:lang w:val="en_US" w:bidi="en_US"/>
        </w:rPr>
      </w:r>
      <w:r>
        <w:rPr>
          <w:lang w:val="en_US" w:bidi="en_US"/>
        </w:rPr>
        <w:t xml:space="preserve">“Go back home and tell </w:t>
      </w:r>
      <w:r>
        <w:rPr>
          <w:lang w:val="en_US" w:bidi="en_US"/>
        </w:rPr>
        <w:t>the people there</w:t>
      </w:r>
      <w:r>
        <w:rPr>
          <w:lang w:val="en_US" w:bidi="en_US"/>
        </w:rPr>
        <w:t xml:space="preserve"> about the great </w:t>
      </w:r>
      <w:r>
        <w:rPr>
          <w:lang w:val="en_US" w:bidi="en_US"/>
        </w:rPr>
        <w:t>miracle/thing</w:t>
      </w:r>
      <w:r>
        <w:rPr>
          <w:lang w:val="en_US" w:bidi="en_US"/>
        </w:rPr>
        <w:t xml:space="preserve"> that God has done to </w:t>
      </w:r>
      <w:r>
        <w:rPr>
          <w:lang w:val="en_US" w:bidi="en_US"/>
        </w:rPr>
        <w:t>heal/save</w:t>
      </w:r>
      <w:r>
        <w:rPr>
          <w:lang w:val="en_US" w:bidi="en_US"/>
        </w:rPr>
        <w:t xml:space="preserve"> you.”</w:t>
      </w:r>
    </w:p>
    <w:p>
      <w:pPr/>
      <w:r>
        <w:rPr>
          <w:lang w:val="en_US" w:bidi="en_US"/>
        </w:rPr>
      </w:r>
      <w:r>
        <w:rPr>
          <w:b/>
          <w:lang w:val="en_US" w:bidi="en_US"/>
        </w:rPr>
        <w:t>describe how much God has done for you:</w:t>
      </w:r>
      <w:r>
        <w:rPr>
          <w:lang w:val="en_US" w:bidi="en_US"/>
        </w:rPr>
        <w:t xml:space="preserve"> The Greek verb that the BSB translates as </w:t>
      </w:r>
      <w:r>
        <w:rPr>
          <w:i/>
          <w:lang w:val="en_US" w:bidi="en_US"/>
        </w:rPr>
        <w:t>describe</w:t>
      </w:r>
      <w:r>
        <w:rPr>
          <w:lang w:val="en_US" w:bidi="en_US"/>
        </w:rPr>
        <w:t xml:space="preserve"> means to tell fully and with some detail. In some languages it may be necessary to say to whom the man was to describe these things. If that is necessary in your language, you can supply something like “the people here.”</w:t>
      </w:r>
    </w:p>
    <w:p>
      <w:pPr>
        <w:pStyle w:val="Heading5"/>
      </w:pPr>
      <w:r>
        <w:rPr>
          <w:lang w:val="en_US" w:bidi="en_US"/>
        </w:rPr>
        <w:t>8:39b</w:t>
      </w:r>
    </w:p>
    <w:p>
      <w:pPr/>
      <w:r>
        <w:rPr>
          <w:lang w:val="en_US" w:bidi="en_US"/>
        </w:rPr>
      </w:r>
      <w:r>
        <w:rPr>
          <w:b/>
          <w:lang w:val="en_US" w:bidi="en_US"/>
        </w:rPr>
        <w:t>So the man went away and proclaimed all over the town how much Jesus had done for him.</w:t>
      </w:r>
    </w:p>
    <w:p>
      <w:pPr>
        <w:pStyle w:val="ListBullet"/>
        <w:spacing w:line="240" w:lineRule="auto"/>
        <w:ind w:left="720"/>
      </w:pPr>
      <w:r>
        <w:rPr>
          <w:lang w:val="en_US" w:bidi="en_US"/>
        </w:rPr>
      </w:r>
      <w:r>
        <w:rPr>
          <w:lang w:val="en_US" w:bidi="en_US"/>
        </w:rPr>
        <w:t>And the man left and proclaimed throughout the city what Jesus had done for him.</w:t>
      </w:r>
    </w:p>
    <w:p>
      <w:pPr>
        <w:pStyle w:val="ListBullet"/>
        <w:spacing w:line="240" w:lineRule="auto"/>
        <w:ind w:left="720"/>
      </w:pPr>
      <w:r>
        <w:rPr>
          <w:lang w:val="en_US" w:bidi="en_US"/>
        </w:rPr>
      </w:r>
      <w:r>
        <w:rPr>
          <w:lang w:val="en_US" w:bidi="en_US"/>
        </w:rPr>
        <w:t xml:space="preserve">So the man went back home and told </w:t>
      </w:r>
      <w:r>
        <w:rPr>
          <w:lang w:val="en_US" w:bidi="en_US"/>
        </w:rPr>
        <w:t>people</w:t>
      </w:r>
      <w:r>
        <w:rPr>
          <w:lang w:val="en_US" w:bidi="en_US"/>
        </w:rPr>
        <w:t xml:space="preserve"> in all parts of his hometown the great things that Jesus had done </w:t>
      </w:r>
      <w:r>
        <w:rPr>
          <w:lang w:val="en_US" w:bidi="en_US"/>
        </w:rPr>
        <w:t>to help/save</w:t>
      </w:r>
      <w:r>
        <w:rPr>
          <w:lang w:val="en_US" w:bidi="en_US"/>
        </w:rPr>
        <w:t xml:space="preserve"> him.</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is a simple connector that is often translated as “and.” Many English versions translate it as “so” here because the man did what Jesus told him to do in 8:39a. Connect 8:39b to 8:39a in a way that is natural in your language.</w:t>
      </w:r>
    </w:p>
    <w:p>
      <w:pPr/>
      <w:r>
        <w:rPr>
          <w:lang w:val="en_US" w:bidi="en_US"/>
        </w:rPr>
      </w:r>
      <w:r>
        <w:rPr>
          <w:b/>
          <w:lang w:val="en_US" w:bidi="en_US"/>
        </w:rPr>
        <w:t>proclaimed:</w:t>
      </w:r>
      <w:r>
        <w:rPr>
          <w:lang w:val="en_US" w:bidi="en_US"/>
        </w:rPr>
        <w:t xml:space="preserve"> The Greek verb that the BSB translates as </w:t>
      </w:r>
      <w:r>
        <w:rPr>
          <w:i/>
          <w:lang w:val="en_US" w:bidi="en_US"/>
        </w:rPr>
        <w:t>proclaimed</w:t>
      </w:r>
      <w:r>
        <w:rPr>
          <w:lang w:val="en_US" w:bidi="en_US"/>
        </w:rPr>
        <w:t xml:space="preserve"> means to “announce.” It is one of the common verbs used in the Bible for proclaiming the good news about Jesus. You may use a verb that is natural for proclaiming any good news or for proclaiming the good news about Jesus. Be sure that the word you use does not refer only to what a preacher does in church.</w:t>
      </w:r>
    </w:p>
    <w:p>
      <w:pPr/>
      <w:r>
        <w:rPr>
          <w:lang w:val="en_US" w:bidi="en_US"/>
        </w:rPr>
      </w:r>
      <w:r>
        <w:rPr>
          <w:lang w:val="en_US" w:bidi="en_US"/>
        </w:rPr>
        <w:t xml:space="preserve">In some languages it may be necessary to say exactly to whom the man </w:t>
      </w:r>
      <w:r>
        <w:rPr>
          <w:i/>
          <w:lang w:val="en_US" w:bidi="en_US"/>
        </w:rPr>
        <w:t>proclaimed</w:t>
      </w:r>
      <w:r>
        <w:rPr>
          <w:lang w:val="en_US" w:bidi="en_US"/>
        </w:rPr>
        <w:t xml:space="preserve"> the news about Jesus:</w:t>
      </w:r>
    </w:p>
    <w:p>
      <w:pPr/>
      <w:r>
        <w:rPr>
          <w:lang w:val="en_US" w:bidi="en_US"/>
        </w:rPr>
      </w:r>
      <w:r>
        <w:rPr>
          <w:lang w:val="en_US" w:bidi="en_US"/>
        </w:rPr>
        <w:t xml:space="preserve">told </w:t>
      </w:r>
      <w:r>
        <w:rPr>
          <w:lang w:val="en_US" w:bidi="en_US"/>
        </w:rPr>
        <w:t>the inhabitants/people of</w:t>
      </w:r>
      <w:r>
        <w:rPr>
          <w:lang w:val="en_US" w:bidi="en_US"/>
        </w:rPr>
        <w:t xml:space="preserve"> the whole town</w:t>
      </w:r>
    </w:p>
    <w:p>
      <w:pPr/>
      <w:r>
        <w:rPr>
          <w:lang w:val="en_US" w:bidi="en_US"/>
        </w:rPr>
      </w:r>
      <w:r>
        <w:rPr>
          <w:b/>
          <w:lang w:val="en_US" w:bidi="en_US"/>
        </w:rPr>
        <w:t>all over the town:</w:t>
      </w:r>
      <w:r>
        <w:rPr>
          <w:lang w:val="en_US" w:bidi="en_US"/>
        </w:rPr>
        <w:t xml:space="preserve"> The Greek phrase that the BSB translates as </w:t>
      </w:r>
      <w:r>
        <w:rPr>
          <w:i/>
          <w:lang w:val="en_US" w:bidi="en_US"/>
        </w:rPr>
        <w:t>all over the town</w:t>
      </w:r>
      <w:r>
        <w:rPr>
          <w:lang w:val="en_US" w:bidi="en_US"/>
        </w:rPr>
        <w:t xml:space="preserve"> is literally “throughout the city/town.” That is, it refers to the man’s hometown, which was probably Gerasa. See the note on “from the town” at 8:27b.</w:t>
      </w:r>
      <w:r>
        <w:rPr>
          <w:lang w:val="en_US" w:bidi="en_US"/>
        </w:rPr>
      </w:r>
      <w:r>
        <w:rPr>
          <w:lang w:val="en_US" w:bidi="en_US"/>
        </w:rPr>
      </w:r>
    </w:p>
    <w:p>
      <w:pPr/>
      <w:r>
        <w:rPr>
          <w:lang w:val="en_US" w:bidi="en_US"/>
        </w:rPr>
      </w:r>
    </w:p>
    <w:p>
      <w:pPr>
        <w:pStyle w:val="Heading2"/>
      </w:pPr>
      <w:r>
        <w:rPr>
          <w:lang w:val="en_US" w:bidi="en_US"/>
        </w:rPr>
        <w:t>Luke 8:40</w:t>
      </w:r>
      <w:r>
        <w:rPr>
          <w:lang w:val="en_US" w:bidi="en_US"/>
        </w:rPr>
      </w:r>
    </w:p>
    <w:p>
      <w:pPr>
        <w:pStyle w:val="Heading4"/>
      </w:pPr>
      <w:r>
        <w:rPr>
          <w:lang w:val="en_US" w:bidi="en_US"/>
        </w:rPr>
        <w:t>Section 8:40–56: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pPr/>
      <w:r>
        <w:rPr>
          <w:lang w:val="en_US" w:bidi="en_US"/>
        </w:rPr>
      </w:r>
      <w:r>
        <w:rPr>
          <w:lang w:val="en_US" w:bidi="en_US"/>
        </w:rP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pPr/>
      <w:r>
        <w:rPr>
          <w:lang w:val="en_US" w:bidi="en_US"/>
        </w:rPr>
      </w:r>
      <w:r>
        <w:rPr>
          <w:lang w:val="en_US" w:bidi="en_US"/>
        </w:rPr>
        <w:t>Another important theme in this section is faith. Jesus said that the woman who was bleeding was healed because she believed that Jesus could heal her. Then he encouraged Jairus to keep believing that God could make his daughter well, even after she had died.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border/edge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Mark 5:21–43.</w:t>
      </w:r>
    </w:p>
    <w:p>
      <w:pPr>
        <w:pStyle w:val="Heading5"/>
      </w:pPr>
      <w:r>
        <w:rPr>
          <w:lang w:val="en_US" w:bidi="en_US"/>
        </w:rPr>
        <w:t>8:40a</w:t>
      </w:r>
    </w:p>
    <w:p>
      <w:pPr/>
      <w:r>
        <w:rPr>
          <w:lang w:val="en_US" w:bidi="en_US"/>
        </w:rPr>
      </w:r>
      <w:r>
        <w:rPr>
          <w:b/>
          <w:lang w:val="en_US" w:bidi="en_US"/>
        </w:rPr>
        <w:t>When Jesus returned,</w:t>
      </w:r>
    </w:p>
    <w:p>
      <w:pPr>
        <w:pStyle w:val="ListBullet"/>
        <w:spacing w:line="240" w:lineRule="auto"/>
        <w:ind w:left="720"/>
      </w:pPr>
      <w:r>
        <w:rPr>
          <w:lang w:val="en_US" w:bidi="en_US"/>
        </w:rPr>
      </w:r>
      <w:r>
        <w:rPr>
          <w:lang w:val="en_US" w:bidi="en_US"/>
        </w:rPr>
        <w:t xml:space="preserve">¶ When Jesus went/sailed back </w:t>
      </w:r>
      <w:r>
        <w:rPr>
          <w:lang w:val="en_US" w:bidi="en_US"/>
        </w:rPr>
        <w:t>across the lake</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Immediately after that</w:t>
      </w:r>
      <w:r>
        <w:rPr>
          <w:lang w:val="en_US" w:bidi="en_US"/>
        </w:rPr>
        <w:t xml:space="preserve">, Jesus returned to the other side of the lake </w:t>
      </w:r>
      <w:r>
        <w:rPr>
          <w:lang w:val="en_US" w:bidi="en_US"/>
        </w:rPr>
        <w:t>with his disciples</w:t>
      </w:r>
      <w:r>
        <w:rPr>
          <w:lang w:val="en_US" w:bidi="en_US"/>
        </w:rPr>
        <w:t>. When he arrived,</w:t>
      </w:r>
    </w:p>
    <w:p>
      <w:pPr/>
      <w:r>
        <w:rPr>
          <w:lang w:val="en_US" w:bidi="en_US"/>
        </w:rPr>
      </w:r>
      <w:r>
        <w:rPr>
          <w:b/>
          <w:lang w:val="en_US" w:bidi="en_US"/>
        </w:rPr>
        <w:t>When Jesus returned:</w:t>
      </w:r>
      <w:r>
        <w:rPr>
          <w:lang w:val="en_US" w:bidi="en_US"/>
        </w:rPr>
        <w:t xml:space="preserve"> </w:t>
      </w:r>
      <w:r>
        <w:rPr>
          <w:lang w:val="en_US" w:bidi="en_US"/>
        </w:rPr>
        <w:t xml:space="preserve">There is a textual issue here. Some manuscripts begin with </w:t>
      </w:r>
      <w:r>
        <w:rPr>
          <w:i/>
          <w:lang w:val="en_US" w:bidi="en_US"/>
        </w:rPr>
        <w:t>εγενετο</w:t>
      </w:r>
      <w:r>
        <w:rPr>
          <w:lang w:val="en_US" w:bidi="en_US"/>
        </w:rPr>
        <w:t xml:space="preserve"> (“it happened”). This reading is preserved in the Textus Receptus and so in the KJV. The difference in meaning is not significant.</w:t>
      </w:r>
      <w:r>
        <w:rPr>
          <w:lang w:val="en_US" w:bidi="en_US"/>
        </w:rPr>
        <w:t xml:space="preserve"> The Greek word that the BSB translates as </w:t>
      </w:r>
      <w:r>
        <w:rPr>
          <w:i/>
          <w:lang w:val="en_US" w:bidi="en_US"/>
        </w:rPr>
        <w:t>When</w:t>
      </w:r>
      <w:r>
        <w:rPr>
          <w:lang w:val="en_US" w:bidi="en_US"/>
        </w:rPr>
        <w:t xml:space="preserve"> here introduces the next events that Luke wanted to write about. See the note on “Then” at 8:19a. These events happened after Jesus returned to the other side of the lake from the place where he freed the man from demons in 8:26–39. He may have returned later that same day or the next day. Indicate this in a natural way in your language.</w:t>
      </w:r>
    </w:p>
    <w:p>
      <w:pPr/>
      <w:r>
        <w:rPr>
          <w:lang w:val="en_US" w:bidi="en_US"/>
        </w:rPr>
      </w:r>
      <w:r>
        <w:rPr>
          <w:lang w:val="en_US" w:bidi="en_US"/>
        </w:rPr>
        <w:t>It may be natural in your language to indicate where Jesus returned or that he traveled by boat. For example:</w:t>
      </w:r>
    </w:p>
    <w:p>
      <w:pPr/>
      <w:r>
        <w:rPr>
          <w:lang w:val="en_US" w:bidi="en_US"/>
        </w:rPr>
      </w:r>
      <w:r>
        <w:rPr>
          <w:lang w:val="en_US" w:bidi="en_US"/>
        </w:rPr>
        <w:t>When Jesus returned to the other side of the lake… (GNT)</w:t>
      </w:r>
    </w:p>
    <w:p>
      <w:pPr/>
      <w:r>
        <w:rPr>
          <w:lang w:val="en_US" w:bidi="en_US"/>
        </w:rPr>
      </w:r>
      <w:r>
        <w:rPr>
          <w:lang w:val="en_US" w:bidi="en_US"/>
        </w:rPr>
        <w:t>When Jesus got back to Galilee… (NCV)</w:t>
      </w:r>
    </w:p>
    <w:p>
      <w:pPr/>
      <w:r>
        <w:rPr>
          <w:lang w:val="en_US" w:bidi="en_US"/>
        </w:rPr>
      </w:r>
      <w:r>
        <w:rPr>
          <w:lang w:val="en_US" w:bidi="en_US"/>
        </w:rPr>
        <w:t xml:space="preserve">When Jesus returned </w:t>
      </w:r>
      <w:r>
        <w:rPr>
          <w:lang w:val="en_US" w:bidi="en_US"/>
        </w:rPr>
        <w:t>by boat</w:t>
      </w:r>
      <w:r>
        <w:rPr>
          <w:lang w:val="en_US" w:bidi="en_US"/>
        </w:rPr>
        <w:t xml:space="preserve"> </w:t>
      </w:r>
      <w:r>
        <w:rPr>
          <w:lang w:val="en_US" w:bidi="en_US"/>
        </w:rPr>
        <w:t>from the region of Gerasa</w:t>
      </w:r>
      <w:r>
        <w:rPr>
          <w:lang w:val="en_US" w:bidi="en_US"/>
        </w:rPr>
        <w:t>…</w:t>
      </w:r>
    </w:p>
    <w:p>
      <w:pPr/>
      <w:r>
        <w:rPr>
          <w:lang w:val="en_US" w:bidi="en_US"/>
        </w:rPr>
      </w:r>
      <w:r>
        <w:rPr>
          <w:lang w:val="en_US" w:bidi="en_US"/>
        </w:rPr>
        <w:t>In some languages it may be most natural to make this statement a complete sentence. For example:</w:t>
      </w:r>
    </w:p>
    <w:p>
      <w:pPr/>
      <w:r>
        <w:rPr>
          <w:lang w:val="en_US" w:bidi="en_US"/>
        </w:rPr>
      </w:r>
      <w:r>
        <w:rPr>
          <w:lang w:val="en_US" w:bidi="en_US"/>
        </w:rPr>
        <w:t>Then Jesus returned to the other side of the lake.</w:t>
      </w:r>
    </w:p>
    <w:p>
      <w:pPr/>
      <w:r>
        <w:rPr>
          <w:lang w:val="en_US" w:bidi="en_US"/>
        </w:rPr>
      </w:r>
      <w:r>
        <w:rPr>
          <w:b/>
          <w:lang w:val="en_US" w:bidi="en_US"/>
        </w:rPr>
        <w:t>When Jesus returned:</w:t>
      </w:r>
      <w:r>
        <w:rPr>
          <w:lang w:val="en_US" w:bidi="en_US"/>
        </w:rPr>
        <w:t xml:space="preserve"> Jesus traveled back to Galilee from the region of Gerasa where he had been in 8:26–39. Luke implied that he returned to the northwest side of Lake Galilee. He probably arrived at or near the place where he had sailed from in Luke 8:22, possibly to the town of Capernaum.</w:t>
      </w:r>
    </w:p>
    <w:p>
      <w:pPr/>
      <w:r>
        <w:rPr>
          <w:lang w:val="en_US" w:bidi="en_US"/>
        </w:rPr>
      </w:r>
      <w:r>
        <w:rPr>
          <w:b/>
          <w:lang w:val="en_US" w:bidi="en_US"/>
        </w:rPr>
        <w:t>Jesus:</w:t>
      </w:r>
      <w:r>
        <w:rPr>
          <w:lang w:val="en_US" w:bidi="en_US"/>
        </w:rPr>
        <w:t xml:space="preserve"> The context implies that Jesus’ disciples also went with him to the other side of the lake. Luke does not mention them here, because Jesus is in focus. However, in some languages it may be confusing not to include the disciples at this point in the story. (The first mention of any of the disciples in the story is at 8:45.) If that is true in your language, you may want to mention them. For example:</w:t>
      </w:r>
    </w:p>
    <w:p>
      <w:pPr/>
      <w:r>
        <w:rPr>
          <w:lang w:val="en_US" w:bidi="en_US"/>
        </w:rPr>
      </w:r>
      <w:r>
        <w:rPr>
          <w:lang w:val="en_US" w:bidi="en_US"/>
        </w:rPr>
        <w:t xml:space="preserve">When Jesus </w:t>
      </w:r>
      <w:r>
        <w:rPr>
          <w:lang w:val="en_US" w:bidi="en_US"/>
        </w:rPr>
        <w:t>and the disciples</w:t>
      </w:r>
      <w:r>
        <w:rPr>
          <w:lang w:val="en_US" w:bidi="en_US"/>
        </w:rPr>
        <w:t xml:space="preserve"> returned</w:t>
      </w:r>
    </w:p>
    <w:p>
      <w:pPr/>
      <w:r>
        <w:rPr>
          <w:lang w:val="en_US" w:bidi="en_US"/>
        </w:rPr>
      </w:r>
      <w:r>
        <w:rPr>
          <w:lang w:val="en_US" w:bidi="en_US"/>
        </w:rPr>
        <w:t xml:space="preserve">When Jesus returned </w:t>
      </w:r>
      <w:r>
        <w:rPr>
          <w:lang w:val="en_US" w:bidi="en_US"/>
        </w:rPr>
        <w:t>with the disciples</w:t>
      </w:r>
    </w:p>
    <w:p>
      <w:pPr>
        <w:pStyle w:val="Heading5"/>
      </w:pPr>
      <w:r>
        <w:rPr>
          <w:lang w:val="en_US" w:bidi="en_US"/>
        </w:rPr>
        <w:t>8:40b</w:t>
      </w:r>
    </w:p>
    <w:p>
      <w:pPr/>
      <w:r>
        <w:rPr>
          <w:lang w:val="en_US" w:bidi="en_US"/>
        </w:rPr>
      </w:r>
      <w:r>
        <w:rPr>
          <w:b/>
          <w:lang w:val="en_US" w:bidi="en_US"/>
        </w:rPr>
        <w:t>the crowd welcomed Him,</w:t>
      </w:r>
    </w:p>
    <w:p>
      <w:pPr>
        <w:pStyle w:val="ListBullet"/>
        <w:spacing w:line="240" w:lineRule="auto"/>
        <w:ind w:left="720"/>
      </w:pPr>
      <w:r>
        <w:rPr>
          <w:lang w:val="en_US" w:bidi="en_US"/>
        </w:rPr>
      </w:r>
      <w:r>
        <w:rPr>
          <w:lang w:val="en_US" w:bidi="en_US"/>
        </w:rPr>
        <w:t>the crowd welcomed him,</w:t>
      </w:r>
    </w:p>
    <w:p>
      <w:pPr>
        <w:pStyle w:val="ListBullet"/>
        <w:spacing w:line="240" w:lineRule="auto"/>
        <w:ind w:left="720"/>
      </w:pPr>
      <w:r>
        <w:rPr>
          <w:lang w:val="en_US" w:bidi="en_US"/>
        </w:rPr>
      </w:r>
      <w:r>
        <w:rPr>
          <w:lang w:val="en_US" w:bidi="en_US"/>
        </w:rPr>
        <w:t xml:space="preserve">many people </w:t>
      </w:r>
      <w:r>
        <w:rPr>
          <w:lang w:val="en_US" w:bidi="en_US"/>
        </w:rPr>
        <w:t>were there and they</w:t>
      </w:r>
      <w:r>
        <w:rPr>
          <w:lang w:val="en_US" w:bidi="en_US"/>
        </w:rPr>
        <w:t xml:space="preserve"> received him with joy.</w:t>
      </w:r>
    </w:p>
    <w:p>
      <w:pPr/>
      <w:r>
        <w:rPr>
          <w:lang w:val="en_US" w:bidi="en_US"/>
        </w:rPr>
      </w:r>
      <w:r>
        <w:rPr>
          <w:b/>
          <w:lang w:val="en_US" w:bidi="en_US"/>
        </w:rPr>
        <w:t>the crowd welcomed Him:</w:t>
      </w:r>
      <w:r>
        <w:rPr>
          <w:lang w:val="en_US" w:bidi="en_US"/>
        </w:rPr>
        <w:t xml:space="preserve"> The Greek phrase that the BSB translates literally as </w:t>
      </w:r>
      <w:r>
        <w:rPr>
          <w:i/>
          <w:lang w:val="en_US" w:bidi="en_US"/>
        </w:rPr>
        <w:t>the crowd</w:t>
      </w:r>
      <w:r>
        <w:rPr>
          <w:lang w:val="en_US" w:bidi="en_US"/>
        </w:rPr>
        <w:t xml:space="preserve"> implies that many people had been expecting Jesus to return. They were waiting there to welcome him. Many of these people may have often followed Jesus from place to place to listen to him.</w:t>
      </w:r>
    </w:p>
    <w:p>
      <w:pPr/>
      <w:r>
        <w:rPr>
          <w:lang w:val="en_US" w:bidi="en_US"/>
        </w:rPr>
      </w:r>
      <w:r>
        <w:rPr>
          <w:lang w:val="en_US" w:bidi="en_US"/>
        </w:rPr>
        <w:t xml:space="preserve">In some languages it may be confusing to refer back to a specific </w:t>
      </w:r>
      <w:r>
        <w:rPr>
          <w:i/>
          <w:lang w:val="en_US" w:bidi="en_US"/>
        </w:rPr>
        <w:t>crowd</w:t>
      </w:r>
      <w:r>
        <w:rPr>
          <w:lang w:val="en_US" w:bidi="en_US"/>
        </w:rPr>
        <w:t xml:space="preserve"> or group of people. If that is true in your language, you may translate in a more general way. For example:</w:t>
      </w:r>
    </w:p>
    <w:p>
      <w:pPr/>
      <w:r>
        <w:rPr>
          <w:lang w:val="en_US" w:bidi="en_US"/>
        </w:rPr>
      </w:r>
      <w:r>
        <w:rPr>
          <w:lang w:val="en_US" w:bidi="en_US"/>
        </w:rPr>
        <w:t>a crowd (NIV, NCV)</w:t>
      </w:r>
    </w:p>
    <w:p>
      <w:pPr/>
      <w:r>
        <w:rPr>
          <w:lang w:val="en_US" w:bidi="en_US"/>
        </w:rPr>
      </w:r>
      <w:r>
        <w:rPr>
          <w:lang w:val="en_US" w:bidi="en_US"/>
        </w:rPr>
        <w:t>many people</w:t>
      </w:r>
    </w:p>
    <w:p>
      <w:pPr>
        <w:pStyle w:val="Heading5"/>
      </w:pPr>
      <w:r>
        <w:rPr>
          <w:lang w:val="en_US" w:bidi="en_US"/>
        </w:rPr>
        <w:t>8:40c</w:t>
      </w:r>
    </w:p>
    <w:p>
      <w:pPr/>
      <w:r>
        <w:rPr>
          <w:lang w:val="en_US" w:bidi="en_US"/>
        </w:rPr>
      </w:r>
      <w:r>
        <w:rPr>
          <w:b/>
          <w:lang w:val="en_US" w:bidi="en_US"/>
        </w:rPr>
        <w:t>for they had all been waiting for Him.</w:t>
      </w:r>
    </w:p>
    <w:p>
      <w:pPr>
        <w:pStyle w:val="ListBullet"/>
        <w:spacing w:line="240" w:lineRule="auto"/>
        <w:ind w:left="720"/>
      </w:pPr>
      <w:r>
        <w:rPr>
          <w:lang w:val="en_US" w:bidi="en_US"/>
        </w:rPr>
      </w:r>
      <w:r>
        <w:rPr>
          <w:lang w:val="en_US" w:bidi="en_US"/>
        </w:rPr>
        <w:t xml:space="preserve">because all the people had been waiting for him </w:t>
      </w:r>
      <w:r>
        <w:rPr>
          <w:lang w:val="en_US" w:bidi="en_US"/>
        </w:rPr>
        <w:t>to come back</w:t>
      </w:r>
      <w:r>
        <w:rPr>
          <w:lang w:val="en_US" w:bidi="en_US"/>
        </w:rPr>
        <w:t>.</w:t>
      </w:r>
    </w:p>
    <w:p>
      <w:pPr>
        <w:pStyle w:val="ListBullet"/>
        <w:spacing w:line="240" w:lineRule="auto"/>
        <w:ind w:left="720"/>
      </w:pPr>
      <w:r>
        <w:rPr>
          <w:lang w:val="en_US" w:bidi="en_US"/>
        </w:rPr>
      </w:r>
      <w:r>
        <w:rPr>
          <w:lang w:val="en_US" w:bidi="en_US"/>
        </w:rPr>
        <w:t>They had been watching for him and hoping that he would return.</w:t>
      </w:r>
    </w:p>
    <w:p>
      <w:pPr/>
      <w:r>
        <w:rPr>
          <w:lang w:val="en_US" w:bidi="en_US"/>
        </w:rPr>
      </w:r>
      <w:r>
        <w:rPr>
          <w:b/>
          <w:lang w:val="en_US" w:bidi="en_US"/>
        </w:rPr>
        <w:t>for they had all been waiting for Him:</w:t>
      </w:r>
      <w:r>
        <w:rPr>
          <w:lang w:val="en_US" w:bidi="en_US"/>
        </w:rPr>
        <w:t xml:space="preserve"> The Greek conjunction that the BSB translates as </w:t>
      </w:r>
      <w:r>
        <w:rPr>
          <w:i/>
          <w:lang w:val="en_US" w:bidi="en_US"/>
        </w:rPr>
        <w:t>for</w:t>
      </w:r>
      <w:r>
        <w:rPr>
          <w:lang w:val="en_US" w:bidi="en_US"/>
        </w:rPr>
        <w:t xml:space="preserve"> indicates that this clause explains the reason for 8:40b. The crowd was ready to welcome Jesus as he arrived because they had been watching and waiting for his return.</w:t>
      </w:r>
      <w:r>
        <w:rPr>
          <w:lang w:val="en_US" w:bidi="en_US"/>
        </w:rPr>
        <w:t>Mark 5:21 mentions that the crowd met him on the shore.</w:t>
      </w:r>
      <w:r>
        <w:rPr>
          <w:lang w:val="en_US" w:bidi="en_US"/>
        </w:rPr>
        <w:t xml:space="preserve"> Another way to translate this is:</w:t>
      </w:r>
    </w:p>
    <w:p>
      <w:pPr/>
      <w:r>
        <w:rPr>
          <w:lang w:val="en_US" w:bidi="en_US"/>
        </w:rPr>
      </w:r>
      <w:r>
        <w:rPr>
          <w:u w:val="single"/>
          <w:lang w:val="en_US" w:bidi="en_US"/>
        </w:rPr>
        <w:t>because</w:t>
      </w:r>
      <w:r>
        <w:rPr>
          <w:lang w:val="en_US" w:bidi="en_US"/>
        </w:rPr>
        <w:t xml:space="preserve"> they had been waiting for him (NLT)</w:t>
      </w:r>
    </w:p>
    <w:p>
      <w:pPr/>
      <w:r>
        <w:rPr>
          <w:lang w:val="en_US" w:bidi="en_US"/>
        </w:rPr>
      </w:r>
      <w:r>
        <w:rPr>
          <w:lang w:val="en_US" w:bidi="en_US"/>
        </w:rPr>
        <w:t>Indicate this connection in a natural way in your language. In some languages a conjunction may not be needed. See the General Comment on 8:40a–c below for a suggestion about reordering.</w:t>
      </w:r>
    </w:p>
    <w:p>
      <w:pPr/>
      <w:r>
        <w:rPr>
          <w:lang w:val="en_US" w:bidi="en_US"/>
        </w:rPr>
      </w:r>
      <w:r>
        <w:rPr>
          <w:b/>
          <w:lang w:val="en_US" w:bidi="en_US"/>
        </w:rPr>
        <w:t>had…been waiting for Him:</w:t>
      </w:r>
      <w:r>
        <w:rPr>
          <w:lang w:val="en_US" w:bidi="en_US"/>
        </w:rPr>
        <w:t xml:space="preserve"> The Greek verb that the BSB translates as </w:t>
      </w:r>
      <w:r>
        <w:rPr>
          <w:i/>
          <w:lang w:val="en_US" w:bidi="en_US"/>
        </w:rPr>
        <w:t>had…been waiting for</w:t>
      </w:r>
      <w:r>
        <w:rPr>
          <w:lang w:val="en_US" w:bidi="en_US"/>
        </w:rPr>
        <w:t xml:space="preserve"> probably means here that the crowd was watching and waiting eagerly for Jesus to return. The people did not know when Jesus was coming, and they may not have been certain that he would return to that place. However, they hoped that he would return, so they waited for him at the side of the lake. Some other ways to translate this are:</w:t>
      </w:r>
    </w:p>
    <w:p>
      <w:pPr/>
      <w:r>
        <w:rPr>
          <w:lang w:val="en_US" w:bidi="en_US"/>
        </w:rPr>
      </w:r>
      <w:r>
        <w:rPr>
          <w:lang w:val="en_US" w:bidi="en_US"/>
        </w:rPr>
        <w:t>were…expecting him (NIV)</w:t>
      </w:r>
    </w:p>
    <w:p>
      <w:pPr/>
      <w:r>
        <w:rPr>
          <w:lang w:val="en_US" w:bidi="en_US"/>
        </w:rPr>
      </w:r>
      <w:r>
        <w:rPr>
          <w:lang w:val="en_US" w:bidi="en_US"/>
        </w:rPr>
        <w:t>had…been looking for him (JBP)</w:t>
      </w:r>
    </w:p>
    <w:p>
      <w:pPr>
        <w:pStyle w:val="Heading6"/>
      </w:pPr>
      <w:r>
        <w:rPr>
          <w:b/>
          <w:lang w:val="en_US" w:bidi="en_US"/>
        </w:rPr>
        <w:t>General Comment on 8:40a–c</w:t>
      </w:r>
    </w:p>
    <w:p>
      <w:pPr/>
      <w:r>
        <w:rPr>
          <w:lang w:val="en_US" w:bidi="en_US"/>
        </w:rPr>
      </w:r>
      <w:r>
        <w:rPr>
          <w:lang w:val="en_US" w:bidi="en_US"/>
        </w:rPr>
        <w:t>In some languages it may be helpful to reorder this verse to say at the beginning that the people were watching and waiting for Jesus. For example:</w:t>
      </w:r>
    </w:p>
    <w:p>
      <w:pPr/>
      <w:r>
        <w:rPr>
          <w:lang w:val="en_US" w:bidi="en_US"/>
        </w:rPr>
      </w:r>
      <w:r>
        <w:rPr>
          <w:vertAlign w:val="superscript"/>
          <w:lang w:val="en_US" w:bidi="en_US"/>
        </w:rPr>
        <w:t>40b</w:t>
      </w:r>
      <w:r>
        <w:rPr>
          <w:lang w:val="en_US" w:bidi="en_US"/>
        </w:rPr>
        <w:t xml:space="preserve">The people/crowd </w:t>
      </w:r>
      <w:r>
        <w:rPr>
          <w:lang w:val="en_US" w:bidi="en_US"/>
        </w:rPr>
        <w:t>back on the other side of the lake</w:t>
      </w:r>
      <w:r>
        <w:rPr>
          <w:lang w:val="en_US" w:bidi="en_US"/>
        </w:rPr>
        <w:t xml:space="preserve"> were waiting/looking for Jesus, </w:t>
      </w:r>
      <w:r>
        <w:rPr>
          <w:vertAlign w:val="superscript"/>
          <w:lang w:val="en_US" w:bidi="en_US"/>
        </w:rPr>
        <w:t>40a</w:t>
      </w:r>
      <w:r>
        <w:rPr>
          <w:lang w:val="en_US" w:bidi="en_US"/>
        </w:rPr>
        <w:t>so, when he returned, they all welcomed him.</w:t>
      </w:r>
      <w:r>
        <w:rPr>
          <w:lang w:val="en_US" w:bidi="en_US"/>
        </w:rPr>
      </w:r>
      <w:r>
        <w:rPr>
          <w:lang w:val="en_US" w:bidi="en_US"/>
        </w:rPr>
      </w:r>
    </w:p>
    <w:p>
      <w:pPr/>
      <w:r>
        <w:rPr>
          <w:lang w:val="en_US" w:bidi="en_US"/>
        </w:rPr>
      </w:r>
    </w:p>
    <w:p>
      <w:pPr>
        <w:pStyle w:val="Heading2"/>
      </w:pPr>
      <w:r>
        <w:rPr>
          <w:lang w:val="en_US" w:bidi="en_US"/>
        </w:rPr>
        <w:t>Luke 8:41</w:t>
      </w:r>
      <w:r>
        <w:rPr>
          <w:lang w:val="en_US" w:bidi="en_US"/>
        </w:rPr>
      </w:r>
    </w:p>
    <w:p>
      <w:pPr>
        <w:pStyle w:val="Heading4"/>
      </w:pPr>
      <w:r>
        <w:rPr>
          <w:lang w:val="en_US" w:bidi="en_US"/>
        </w:rPr>
        <w:t>Section 8:40–56: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pPr/>
      <w:r>
        <w:rPr>
          <w:lang w:val="en_US" w:bidi="en_US"/>
        </w:rPr>
      </w:r>
      <w:r>
        <w:rPr>
          <w:lang w:val="en_US" w:bidi="en_US"/>
        </w:rP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pPr/>
      <w:r>
        <w:rPr>
          <w:lang w:val="en_US" w:bidi="en_US"/>
        </w:rPr>
      </w:r>
      <w:r>
        <w:rPr>
          <w:lang w:val="en_US" w:bidi="en_US"/>
        </w:rPr>
        <w:t>Another important theme in this section is faith. Jesus said that the woman who was bleeding was healed because she believed that Jesus could heal her. Then he encouraged Jairus to keep believing that God could make his daughter well, even after she had died.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border/edge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Mark 5:21–43.</w:t>
      </w:r>
    </w:p>
    <w:p>
      <w:pPr>
        <w:pStyle w:val="Heading5"/>
      </w:pPr>
      <w:r>
        <w:rPr>
          <w:lang w:val="en_US" w:bidi="en_US"/>
        </w:rPr>
        <w:t>8:41a</w:t>
      </w:r>
    </w:p>
    <w:p>
      <w:pPr/>
      <w:r>
        <w:rPr>
          <w:lang w:val="en_US" w:bidi="en_US"/>
        </w:rPr>
      </w:r>
      <w:r>
        <w:rPr>
          <w:b/>
          <w:lang w:val="en_US" w:bidi="en_US"/>
        </w:rPr>
        <w:t>Just then a synagogue leader named Jairus came</w:t>
      </w:r>
    </w:p>
    <w:p>
      <w:pPr>
        <w:pStyle w:val="ListBullet"/>
        <w:spacing w:line="240" w:lineRule="auto"/>
        <w:ind w:left="720"/>
      </w:pPr>
      <w:r>
        <w:rPr>
          <w:lang w:val="en_US" w:bidi="en_US"/>
        </w:rPr>
      </w:r>
      <w:r>
        <w:rPr>
          <w:lang w:val="en_US" w:bidi="en_US"/>
        </w:rPr>
        <w:t xml:space="preserve">And look! A certain man came. His name was Jairus and he was a leader of the </w:t>
      </w:r>
      <w:r>
        <w:rPr>
          <w:lang w:val="en_US" w:bidi="en_US"/>
        </w:rPr>
        <w:t>local</w:t>
      </w:r>
      <w:r>
        <w:rPr>
          <w:lang w:val="en_US" w:bidi="en_US"/>
        </w:rPr>
        <w:t xml:space="preserve"> synagogue.</w:t>
      </w:r>
    </w:p>
    <w:p>
      <w:pPr>
        <w:pStyle w:val="ListBullet"/>
        <w:spacing w:line="240" w:lineRule="auto"/>
        <w:ind w:left="720"/>
      </w:pPr>
      <w:r>
        <w:rPr>
          <w:lang w:val="en_US" w:bidi="en_US"/>
        </w:rPr>
      </w:r>
      <w:r>
        <w:rPr>
          <w:lang w:val="en_US" w:bidi="en_US"/>
        </w:rPr>
        <w:t xml:space="preserve">Then listen to this! A leader of the </w:t>
      </w:r>
      <w:r>
        <w:rPr>
          <w:lang w:val="en_US" w:bidi="en_US"/>
        </w:rPr>
        <w:t>Jewish</w:t>
      </w:r>
      <w:r>
        <w:rPr>
          <w:lang w:val="en_US" w:bidi="en_US"/>
        </w:rPr>
        <w:t xml:space="preserve"> meeting house </w:t>
      </w:r>
      <w:r>
        <w:rPr>
          <w:lang w:val="en_US" w:bidi="en_US"/>
        </w:rPr>
        <w:t>in town</w:t>
      </w:r>
      <w:r>
        <w:rPr>
          <w:lang w:val="en_US" w:bidi="en_US"/>
        </w:rPr>
        <w:t xml:space="preserve"> came </w:t>
      </w:r>
      <w:r>
        <w:rPr>
          <w:lang w:val="en_US" w:bidi="en_US"/>
        </w:rPr>
        <w:t>to Jesus</w:t>
      </w:r>
      <w:r>
        <w:rPr>
          <w:lang w:val="en_US" w:bidi="en_US"/>
        </w:rPr>
        <w:t>. His name was Jairus.</w:t>
      </w:r>
    </w:p>
    <w:p>
      <w:pPr/>
      <w:r>
        <w:rPr>
          <w:lang w:val="en_US" w:bidi="en_US"/>
        </w:rPr>
      </w:r>
      <w:r>
        <w:rPr>
          <w:b/>
          <w:lang w:val="en_US" w:bidi="en_US"/>
        </w:rPr>
        <w:t>Just then:</w:t>
      </w:r>
      <w:r>
        <w:rPr>
          <w:lang w:val="en_US" w:bidi="en_US"/>
        </w:rPr>
        <w:t xml:space="preserve"> The Greek phrase that the BSB translates as </w:t>
      </w:r>
      <w:r>
        <w:rPr>
          <w:i/>
          <w:lang w:val="en_US" w:bidi="en_US"/>
        </w:rPr>
        <w:t>Just then</w:t>
      </w:r>
      <w:r>
        <w:rPr>
          <w:lang w:val="en_US" w:bidi="en_US"/>
        </w:rPr>
        <w:t xml:space="preserve"> is literally “and look.” It often indicates that the speaker will say something important or surprising, and he wants people to listen carefully to it. In this context it helps to introduce Jairus as an important person in the following events. Many English versions do not translate it here. Consider whether you have a natural way to translate it in this context. For example:</w:t>
      </w:r>
    </w:p>
    <w:p>
      <w:pPr/>
      <w:r>
        <w:rPr>
          <w:lang w:val="en_US" w:bidi="en_US"/>
        </w:rPr>
      </w:r>
      <w:r>
        <w:rPr>
          <w:lang w:val="en_US" w:bidi="en_US"/>
        </w:rPr>
        <w:t>Look!</w:t>
      </w:r>
    </w:p>
    <w:p>
      <w:pPr/>
      <w:r>
        <w:rPr>
          <w:lang w:val="en_US" w:bidi="en_US"/>
        </w:rPr>
      </w:r>
      <w:r>
        <w:rPr>
          <w:lang w:val="en_US" w:bidi="en_US"/>
        </w:rPr>
        <w:t>Listen to this!</w:t>
      </w:r>
    </w:p>
    <w:p>
      <w:pPr/>
      <w:r>
        <w:rPr>
          <w:lang w:val="en_US" w:bidi="en_US"/>
        </w:rPr>
      </w:r>
      <w:r>
        <w:rPr>
          <w:b/>
          <w:lang w:val="en_US" w:bidi="en_US"/>
        </w:rPr>
        <w:t>a synagogue leader named Jairus:</w:t>
      </w:r>
      <w:r>
        <w:rPr>
          <w:lang w:val="en_US" w:bidi="en_US"/>
        </w:rPr>
        <w:t xml:space="preserve"> This phrase introduces a main person in the story and gives information about him. Introduce him in a way that is natural in your language. Some ways to do this are:</w:t>
      </w:r>
    </w:p>
    <w:p>
      <w:pPr/>
      <w:r>
        <w:rPr>
          <w:lang w:val="en_US" w:bidi="en_US"/>
        </w:rPr>
      </w:r>
      <w:r>
        <w:rPr>
          <w:lang w:val="en_US" w:bidi="en_US"/>
        </w:rPr>
        <w:t xml:space="preserve">A man named Jairus </w:t>
      </w:r>
      <w:r>
        <w:rPr>
          <w:lang w:val="en_US" w:bidi="en_US"/>
        </w:rPr>
        <w:t>lived</w:t>
      </w:r>
      <w:r>
        <w:rPr>
          <w:lang w:val="en_US" w:bidi="en_US"/>
        </w:rPr>
        <w:t xml:space="preserve"> </w:t>
      </w:r>
      <w:r>
        <w:rPr>
          <w:lang w:val="en_US" w:bidi="en_US"/>
        </w:rPr>
        <w:t>in the town on/by the shore</w:t>
      </w:r>
      <w:r>
        <w:rPr>
          <w:lang w:val="en_US" w:bidi="en_US"/>
        </w:rPr>
        <w:t xml:space="preserve"> and was an official of the synagogue there. He came to Jesus.</w:t>
      </w:r>
    </w:p>
    <w:p>
      <w:pPr/>
      <w:r>
        <w:rPr>
          <w:lang w:val="en_US" w:bidi="en_US"/>
        </w:rPr>
      </w:r>
      <w:r>
        <w:rPr>
          <w:lang w:val="en_US" w:bidi="en_US"/>
        </w:rPr>
        <w:t>And then a certain man came to Jesus. His name was Jairus and he was an official of the synagogue.</w:t>
      </w:r>
    </w:p>
    <w:p>
      <w:pPr/>
      <w:r>
        <w:rPr>
          <w:lang w:val="en_US" w:bidi="en_US"/>
        </w:rPr>
      </w:r>
      <w:r>
        <w:rPr>
          <w:lang w:val="en_US" w:bidi="en_US"/>
        </w:rPr>
        <w:t>There was a man in that town who was in charge of the Jewish meeting place. His name was Jairus. He came to Jesus.</w:t>
      </w:r>
    </w:p>
    <w:p>
      <w:pPr/>
      <w:r>
        <w:rPr>
          <w:lang w:val="en_US" w:bidi="en_US"/>
        </w:rPr>
      </w:r>
      <w:r>
        <w:rPr>
          <w:b/>
          <w:lang w:val="en_US" w:bidi="en_US"/>
        </w:rPr>
        <w:t>a synagogue leader:</w:t>
      </w:r>
      <w:r>
        <w:rPr>
          <w:lang w:val="en_US" w:bidi="en_US"/>
        </w:rPr>
        <w:t xml:space="preserve"> Each synagogue had one or more leaders. These men were responsible to take care of the synagogue building and arrange the synagogue activities and services. Jairus was one of the men who was responsible for this at the synagogue in the town where Jesus was. Some other ways to translate this are:</w:t>
      </w:r>
    </w:p>
    <w:p>
      <w:pPr/>
      <w:r>
        <w:rPr>
          <w:lang w:val="en_US" w:bidi="en_US"/>
        </w:rPr>
      </w:r>
      <w:r>
        <w:rPr>
          <w:lang w:val="en_US" w:bidi="en_US"/>
        </w:rPr>
        <w:t xml:space="preserve">an </w:t>
      </w:r>
      <w:r>
        <w:rPr>
          <w:u w:val="single"/>
          <w:lang w:val="en_US" w:bidi="en_US"/>
        </w:rPr>
        <w:t>elder</w:t>
      </w:r>
      <w:r>
        <w:rPr>
          <w:lang w:val="en_US" w:bidi="en_US"/>
        </w:rPr>
        <w:t xml:space="preserve"> of the </w:t>
      </w:r>
      <w:r>
        <w:rPr>
          <w:lang w:val="en_US" w:bidi="en_US"/>
        </w:rPr>
        <w:t>local</w:t>
      </w:r>
      <w:r>
        <w:rPr>
          <w:lang w:val="en_US" w:bidi="en_US"/>
        </w:rPr>
        <w:t xml:space="preserve"> synagogue</w:t>
      </w:r>
    </w:p>
    <w:p>
      <w:pPr/>
      <w:r>
        <w:rPr>
          <w:lang w:val="en_US" w:bidi="en_US"/>
        </w:rPr>
      </w:r>
      <w:r>
        <w:rPr>
          <w:lang w:val="en_US" w:bidi="en_US"/>
        </w:rPr>
        <w:t xml:space="preserve">one of the men who was a </w:t>
      </w:r>
      <w:r>
        <w:rPr>
          <w:u w:val="single"/>
          <w:lang w:val="en_US" w:bidi="en_US"/>
        </w:rPr>
        <w:t>leader</w:t>
      </w:r>
      <w:r>
        <w:rPr>
          <w:lang w:val="en_US" w:bidi="en_US"/>
        </w:rPr>
        <w:t xml:space="preserve"> at the synagogue </w:t>
      </w:r>
      <w:r>
        <w:rPr>
          <w:lang w:val="en_US" w:bidi="en_US"/>
        </w:rPr>
        <w:t>in that town</w:t>
      </w:r>
    </w:p>
    <w:p>
      <w:pPr/>
      <w:r>
        <w:rPr>
          <w:lang w:val="en_US" w:bidi="en_US"/>
        </w:rPr>
      </w:r>
      <w:r>
        <w:rPr>
          <w:lang w:val="en_US" w:bidi="en_US"/>
        </w:rPr>
        <w:t>he directed the business affairs of the synagogue there</w:t>
      </w:r>
    </w:p>
    <w:p>
      <w:pPr/>
      <w:r>
        <w:rPr>
          <w:lang w:val="en_US" w:bidi="en_US"/>
        </w:rPr>
      </w:r>
      <w:r>
        <w:rPr>
          <w:lang w:val="en_US" w:bidi="en_US"/>
        </w:rPr>
        <w:t>If you use footnotes for background information, you may want to use one here. For example:</w:t>
      </w:r>
    </w:p>
    <w:p>
      <w:pPr/>
      <w:r>
        <w:rPr>
          <w:lang w:val="en_US" w:bidi="en_US"/>
        </w:rPr>
      </w:r>
      <w:r>
        <w:rPr>
          <w:lang w:val="en_US" w:bidi="en_US"/>
        </w:rPr>
        <w:t>Each synagogue had one or more leaders. These men were not priests or rabbis. They were responsible for taking care of the synagogue building and for arranging the worship services and other activities at the synagogue.</w:t>
      </w:r>
    </w:p>
    <w:p>
      <w:pPr/>
      <w:r>
        <w:rPr>
          <w:lang w:val="en_US" w:bidi="en_US"/>
        </w:rPr>
      </w:r>
      <w:r>
        <w:rPr>
          <w:b/>
          <w:lang w:val="en_US" w:bidi="en_US"/>
        </w:rPr>
        <w:t>synagogue:</w:t>
      </w:r>
      <w:r>
        <w:rPr>
          <w:lang w:val="en_US" w:bidi="en_US"/>
        </w:rPr>
        <w:t xml:space="preserve"> A </w:t>
      </w:r>
      <w:r>
        <w:rPr>
          <w:i/>
          <w:lang w:val="en_US" w:bidi="en_US"/>
        </w:rPr>
        <w:t>synagogue</w:t>
      </w:r>
      <w:r>
        <w:rPr>
          <w:lang w:val="en_US" w:bidi="en_US"/>
        </w:rPr>
        <w:t xml:space="preserve"> was a building where Jews gathered to pray, read Scripture, teach their beliefs, and worship. The Jews also used the synagogue as a place to gather for cultural activities. There was only one temple (in Jerusalem), but each Jewish community had a synagogue. Some ways to translate </w:t>
      </w:r>
      <w:r>
        <w:rPr>
          <w:i/>
          <w:lang w:val="en_US" w:bidi="en_US"/>
        </w:rPr>
        <w:t>synagogue</w:t>
      </w:r>
      <w:r>
        <w:rPr>
          <w:lang w:val="en_US" w:bidi="en_US"/>
        </w:rPr>
        <w:t xml:space="preserve"> are:</w:t>
      </w:r>
    </w:p>
    <w:p>
      <w:pPr/>
      <w:r>
        <w:rPr>
          <w:lang w:val="en_US" w:bidi="en_US"/>
        </w:rPr>
      </w:r>
      <w:r>
        <w:rPr>
          <w:lang w:val="en_US" w:bidi="en_US"/>
        </w:rPr>
        <w:t xml:space="preserve">prayer-house </w:t>
      </w:r>
      <w:r>
        <w:rPr>
          <w:lang w:val="en_US" w:bidi="en_US"/>
        </w:rPr>
        <w:t>of the Jews</w:t>
      </w:r>
    </w:p>
    <w:p>
      <w:pPr/>
      <w:r>
        <w:rPr>
          <w:lang w:val="en_US" w:bidi="en_US"/>
        </w:rPr>
      </w:r>
      <w:r>
        <w:rPr>
          <w:lang w:val="en_US" w:bidi="en_US"/>
        </w:rPr>
        <w:t xml:space="preserve">meeting-place </w:t>
      </w:r>
      <w:r>
        <w:rPr>
          <w:lang w:val="en_US" w:bidi="en_US"/>
        </w:rPr>
        <w:t>of the Jews</w:t>
      </w:r>
    </w:p>
    <w:p>
      <w:pPr/>
      <w:r>
        <w:rPr>
          <w:lang w:val="en_US" w:bidi="en_US"/>
        </w:rPr>
      </w:r>
      <w:r>
        <w:rPr>
          <w:lang w:val="en_US" w:bidi="en_US"/>
        </w:rPr>
        <w:t>worship building</w:t>
      </w:r>
    </w:p>
    <w:p>
      <w:pPr/>
      <w:r>
        <w:rPr>
          <w:lang w:val="en_US" w:bidi="en_US"/>
        </w:rPr>
      </w:r>
      <w:r>
        <w:rPr>
          <w:lang w:val="en_US" w:bidi="en_US"/>
        </w:rPr>
        <w:t>house for gathering together</w:t>
      </w:r>
    </w:p>
    <w:p>
      <w:pPr/>
      <w:r>
        <w:rPr>
          <w:lang w:val="en_US" w:bidi="en_US"/>
        </w:rPr>
      </w:r>
      <w:r>
        <w:rPr>
          <w:lang w:val="en_US" w:bidi="en_US"/>
        </w:rPr>
        <w:t>If you make explicit a phrase such as “of the Jews,” be sure that it does not imply that Jesus was not a Jew.</w:t>
      </w:r>
    </w:p>
    <w:p>
      <w:pPr/>
      <w:r>
        <w:rPr>
          <w:lang w:val="en_US" w:bidi="en_US"/>
        </w:rPr>
      </w:r>
      <w:r>
        <w:rPr>
          <w:lang w:val="en_US" w:bidi="en_US"/>
        </w:rPr>
        <w:t xml:space="preserve">If the word </w:t>
      </w:r>
      <w:r>
        <w:rPr>
          <w:i/>
          <w:lang w:val="en_US" w:bidi="en_US"/>
        </w:rPr>
        <w:t>synagogue</w:t>
      </w:r>
      <w:r>
        <w:rPr>
          <w:lang w:val="en_US" w:bidi="en_US"/>
        </w:rPr>
        <w:t xml:space="preserve"> is already known in your area, you may write it according to the sounds of your language. You may want to include a word or phrase to explain the meaning. For example:</w:t>
      </w:r>
    </w:p>
    <w:p>
      <w:pPr/>
      <w:r>
        <w:rPr>
          <w:lang w:val="en_US" w:bidi="en_US"/>
        </w:rPr>
      </w:r>
      <w:r>
        <w:rPr>
          <w:lang w:val="en_US" w:bidi="en_US"/>
        </w:rPr>
        <w:t>sinagog house/building</w:t>
      </w:r>
    </w:p>
    <w:p>
      <w:pPr/>
      <w:r>
        <w:rPr>
          <w:lang w:val="en_US" w:bidi="en_US"/>
        </w:rPr>
      </w:r>
      <w:r>
        <w:rPr>
          <w:lang w:val="en_US" w:bidi="en_US"/>
        </w:rPr>
        <w:t>Refer to how you translated this term at 7:5a–b. See synagogue in the Glossary.</w:t>
      </w:r>
    </w:p>
    <w:p>
      <w:pPr>
        <w:pStyle w:val="Heading5"/>
      </w:pPr>
      <w:r>
        <w:rPr>
          <w:lang w:val="en_US" w:bidi="en_US"/>
        </w:rPr>
        <w:t>8:41b</w:t>
      </w:r>
    </w:p>
    <w:p>
      <w:pPr/>
      <w:r>
        <w:rPr>
          <w:lang w:val="en_US" w:bidi="en_US"/>
        </w:rPr>
      </w:r>
      <w:r>
        <w:rPr>
          <w:b/>
          <w:lang w:val="en_US" w:bidi="en_US"/>
        </w:rPr>
        <w:t>and fell at Jesus’ feet. He begged Him to come to his house,</w:t>
      </w:r>
    </w:p>
    <w:p>
      <w:pPr>
        <w:pStyle w:val="ListBullet"/>
        <w:spacing w:line="240" w:lineRule="auto"/>
        <w:ind w:left="720"/>
      </w:pPr>
      <w:r>
        <w:rPr>
          <w:lang w:val="en_US" w:bidi="en_US"/>
        </w:rPr>
      </w:r>
      <w:r>
        <w:rPr>
          <w:lang w:val="en_US" w:bidi="en_US"/>
        </w:rPr>
        <w:t>He bowed down at/near Jesus’ feet, and begged him to come to his house,</w:t>
      </w:r>
    </w:p>
    <w:p>
      <w:pPr>
        <w:pStyle w:val="ListBullet"/>
        <w:spacing w:line="240" w:lineRule="auto"/>
        <w:ind w:left="720"/>
      </w:pPr>
      <w:r>
        <w:rPr>
          <w:lang w:val="en_US" w:bidi="en_US"/>
        </w:rPr>
      </w:r>
      <w:r>
        <w:rPr>
          <w:lang w:val="en_US" w:bidi="en_US"/>
        </w:rPr>
        <w:t xml:space="preserve">He </w:t>
      </w:r>
      <w:r>
        <w:rPr>
          <w:lang w:val="en_US" w:bidi="en_US"/>
        </w:rPr>
        <w:t>humbly</w:t>
      </w:r>
      <w:r>
        <w:rPr>
          <w:lang w:val="en_US" w:bidi="en_US"/>
        </w:rPr>
        <w:t xml:space="preserve"> knelt in front of Jesus and bowed low, saying, “Please, I earnestly beg you to come </w:t>
      </w:r>
      <w:r>
        <w:rPr>
          <w:lang w:val="en_US" w:bidi="en_US"/>
        </w:rPr>
        <w:t>with me</w:t>
      </w:r>
      <w:r>
        <w:rPr>
          <w:lang w:val="en_US" w:bidi="en_US"/>
        </w:rPr>
        <w:t xml:space="preserve"> to my house,</w:t>
      </w:r>
    </w:p>
    <w:p>
      <w:pPr/>
      <w:r>
        <w:rPr>
          <w:lang w:val="en_US" w:bidi="en_US"/>
        </w:rPr>
      </w:r>
      <w:r>
        <w:rPr>
          <w:lang w:val="en_US" w:bidi="en_US"/>
        </w:rPr>
        <w:t>In the Greek text 8:41–42 is one long sentence. If such a long sentence would not be natural in your language, you may want to begin a new sentence.</w:t>
      </w:r>
    </w:p>
    <w:p>
      <w:pPr/>
      <w:r>
        <w:rPr>
          <w:lang w:val="en_US" w:bidi="en_US"/>
        </w:rPr>
      </w:r>
      <w:r>
        <w:rPr>
          <w:b/>
          <w:lang w:val="en_US" w:bidi="en_US"/>
        </w:rPr>
        <w:t>fell at Jesus’ feet:</w:t>
      </w:r>
      <w:r>
        <w:rPr>
          <w:lang w:val="en_US" w:bidi="en_US"/>
        </w:rPr>
        <w:t xml:space="preserve"> The phrase </w:t>
      </w:r>
      <w:r>
        <w:rPr>
          <w:i/>
          <w:lang w:val="en_US" w:bidi="en_US"/>
        </w:rPr>
        <w:t>fell at Jesus’ feet</w:t>
      </w:r>
      <w:r>
        <w:rPr>
          <w:lang w:val="en_US" w:bidi="en_US"/>
        </w:rPr>
        <w:t xml:space="preserve"> means that Jairus knelt in front of Jesus and lowered his face to the ground. It does not mean that he fell accidentally. Bowing down like this was a way to show respect and honor to someone of high position. It was also appropriate for requesting something from such a person. See the notes on 5:8a and 5:12b. Some other ways to translate this are:</w:t>
      </w:r>
    </w:p>
    <w:p>
      <w:pPr/>
      <w:r>
        <w:rPr>
          <w:lang w:val="en_US" w:bidi="en_US"/>
        </w:rPr>
      </w:r>
      <w:r>
        <w:rPr>
          <w:lang w:val="en_US" w:bidi="en_US"/>
        </w:rPr>
        <w:t>bowed before Jesus</w:t>
      </w:r>
    </w:p>
    <w:p>
      <w:pPr/>
      <w:r>
        <w:rPr>
          <w:lang w:val="en_US" w:bidi="en_US"/>
        </w:rPr>
      </w:r>
      <w:r>
        <w:rPr>
          <w:lang w:val="en_US" w:bidi="en_US"/>
        </w:rPr>
        <w:t>knelt down in front of Jesus (CEV)</w:t>
      </w:r>
    </w:p>
    <w:p>
      <w:pPr/>
      <w:r>
        <w:rPr>
          <w:lang w:val="en_US" w:bidi="en_US"/>
        </w:rPr>
      </w:r>
      <w:r>
        <w:rPr>
          <w:lang w:val="en_US" w:bidi="en_US"/>
        </w:rPr>
        <w:t xml:space="preserve">bowed his face to the ground near Jesus’ feet </w:t>
      </w:r>
      <w:r>
        <w:rPr>
          <w:lang w:val="en_US" w:bidi="en_US"/>
        </w:rPr>
        <w:t>to show respect</w:t>
      </w:r>
    </w:p>
    <w:p>
      <w:pPr/>
      <w:r>
        <w:rPr>
          <w:lang w:val="en_US" w:bidi="en_US"/>
        </w:rPr>
      </w:r>
      <w:r>
        <w:rPr>
          <w:b/>
          <w:lang w:val="en_US" w:bidi="en_US"/>
        </w:rPr>
        <w:t>He begged Him:</w:t>
      </w:r>
      <w:r>
        <w:rPr>
          <w:lang w:val="en_US" w:bidi="en_US"/>
        </w:rPr>
        <w:t xml:space="preserve"> The Greek word that the BSB translates as </w:t>
      </w:r>
      <w:r>
        <w:rPr>
          <w:i/>
          <w:lang w:val="en_US" w:bidi="en_US"/>
        </w:rPr>
        <w:t>begged</w:t>
      </w:r>
      <w:r>
        <w:rPr>
          <w:lang w:val="en_US" w:bidi="en_US"/>
        </w:rPr>
        <w:t xml:space="preserve"> has several meanings. Here it means to appeal to someone for help. It indicates that Jairus earnestly desired for Jesus to help him. Other ways to translate this are:</w:t>
      </w:r>
    </w:p>
    <w:p>
      <w:pPr/>
      <w:r>
        <w:rPr>
          <w:lang w:val="en_US" w:bidi="en_US"/>
        </w:rPr>
      </w:r>
      <w:r>
        <w:rPr>
          <w:lang w:val="en_US" w:bidi="en_US"/>
        </w:rPr>
        <w:t>he pleaded with him (NET)</w:t>
      </w:r>
    </w:p>
    <w:p>
      <w:pPr/>
      <w:r>
        <w:rPr>
          <w:lang w:val="en_US" w:bidi="en_US"/>
        </w:rPr>
      </w:r>
      <w:r>
        <w:rPr>
          <w:lang w:val="en_US" w:bidi="en_US"/>
        </w:rPr>
        <w:t>he implored him (ESV)</w:t>
      </w:r>
    </w:p>
    <w:p>
      <w:pPr/>
      <w:r>
        <w:rPr>
          <w:lang w:val="en_US" w:bidi="en_US"/>
        </w:rPr>
      </w:r>
      <w:r>
        <w:rPr>
          <w:lang w:val="en_US" w:bidi="en_US"/>
        </w:rPr>
        <w:t>This is the same Greek word that the BSB translated as “kept begging” in 8:31 and as “begged” in 8:32b. You may want to use the same word that you used in those verses.</w:t>
      </w:r>
    </w:p>
    <w:p>
      <w:pPr/>
      <w:r>
        <w:rPr>
          <w:lang w:val="en_US" w:bidi="en_US"/>
        </w:rPr>
      </w:r>
      <w:r>
        <w:rPr>
          <w:lang w:val="en_US" w:bidi="en_US"/>
        </w:rPr>
        <w:t>In some languages it may be more natural to express a request such as this one in direct speech. For example:</w:t>
      </w:r>
    </w:p>
    <w:p>
      <w:pPr/>
      <w:r>
        <w:rPr>
          <w:lang w:val="en_US" w:bidi="en_US"/>
        </w:rPr>
      </w:r>
      <w:r>
        <w:rPr>
          <w:lang w:val="en_US" w:bidi="en_US"/>
        </w:rPr>
        <w:t>He said/begged, “Please come to my house….”</w:t>
      </w:r>
    </w:p>
    <w:p>
      <w:pPr/>
      <w:r>
        <w:rPr>
          <w:lang w:val="en_US" w:bidi="en_US"/>
        </w:rPr>
      </w:r>
      <w:r>
        <w:rPr>
          <w:b/>
          <w:lang w:val="en_US" w:bidi="en_US"/>
        </w:rPr>
        <w:t>to come to his house:</w:t>
      </w:r>
      <w:r>
        <w:rPr>
          <w:lang w:val="en_US" w:bidi="en_US"/>
        </w:rPr>
        <w:t xml:space="preserve"> The word that the BSB translates as </w:t>
      </w:r>
      <w:r>
        <w:rPr>
          <w:i/>
          <w:lang w:val="en_US" w:bidi="en_US"/>
        </w:rPr>
        <w:t>come</w:t>
      </w:r>
      <w:r>
        <w:rPr>
          <w:lang w:val="en_US" w:bidi="en_US"/>
        </w:rPr>
        <w:t xml:space="preserve"> is literally “enter.” Use the word that is most natural in your language to describe coming and visiting at the house of another person.</w:t>
      </w:r>
    </w:p>
    <w:p>
      <w:pPr/>
      <w:r>
        <w:rPr>
          <w:lang w:val="en_US" w:bidi="en_US"/>
        </w:rPr>
      </w:r>
      <w:r>
        <w:rPr>
          <w:lang w:val="en_US" w:bidi="en_US"/>
        </w:rPr>
        <w:t xml:space="preserve">It is clear that Jairus was begging Jesus to come to his house </w:t>
      </w:r>
      <w:r>
        <w:rPr>
          <w:u w:val="single"/>
          <w:lang w:val="en_US" w:bidi="en_US"/>
        </w:rPr>
        <w:t>in order to heal his daughter</w:t>
      </w:r>
      <w:r>
        <w:rPr>
          <w:lang w:val="en_US" w:bidi="en_US"/>
        </w:rPr>
        <w:t>. In some languages it may be helpful to make this explicit. For example:</w:t>
      </w:r>
    </w:p>
    <w:p>
      <w:pPr/>
      <w:r>
        <w:rPr>
          <w:lang w:val="en_US" w:bidi="en_US"/>
        </w:rPr>
      </w:r>
      <w:r>
        <w:rPr>
          <w:lang w:val="en_US" w:bidi="en_US"/>
        </w:rPr>
        <w:t xml:space="preserve">to come to his house </w:t>
      </w:r>
      <w:r>
        <w:rPr>
          <w:lang w:val="en_US" w:bidi="en_US"/>
        </w:rPr>
        <w:t>to heal his daughter</w:t>
      </w:r>
    </w:p>
    <w:p>
      <w:pPr/>
      <w:r>
        <w:rPr>
          <w:lang w:val="en_US" w:bidi="en_US"/>
        </w:rPr>
      </w:r>
      <w:r>
        <w:rPr>
          <w:lang w:val="en_US" w:bidi="en_US"/>
        </w:rPr>
        <w:t>See Mark 5:23, where this request is stated explicitly.</w:t>
      </w:r>
      <w:r>
        <w:rPr>
          <w:lang w:val="en_US" w:bidi="en_US"/>
        </w:rPr>
      </w:r>
      <w:r>
        <w:rPr>
          <w:lang w:val="en_US" w:bidi="en_US"/>
        </w:rPr>
      </w:r>
    </w:p>
    <w:p>
      <w:pPr/>
      <w:r>
        <w:rPr>
          <w:lang w:val="en_US" w:bidi="en_US"/>
        </w:rPr>
      </w:r>
    </w:p>
    <w:p>
      <w:pPr>
        <w:pStyle w:val="Heading2"/>
      </w:pPr>
      <w:r>
        <w:rPr>
          <w:lang w:val="en_US" w:bidi="en_US"/>
        </w:rPr>
        <w:t>Luke 8:42</w:t>
      </w:r>
      <w:r>
        <w:rPr>
          <w:lang w:val="en_US" w:bidi="en_US"/>
        </w:rPr>
      </w:r>
    </w:p>
    <w:p>
      <w:pPr>
        <w:pStyle w:val="Heading4"/>
      </w:pPr>
      <w:r>
        <w:rPr>
          <w:lang w:val="en_US" w:bidi="en_US"/>
        </w:rPr>
        <w:t>Section 8:40–56: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pPr/>
      <w:r>
        <w:rPr>
          <w:lang w:val="en_US" w:bidi="en_US"/>
        </w:rPr>
      </w:r>
      <w:r>
        <w:rPr>
          <w:lang w:val="en_US" w:bidi="en_US"/>
        </w:rP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pPr/>
      <w:r>
        <w:rPr>
          <w:lang w:val="en_US" w:bidi="en_US"/>
        </w:rPr>
      </w:r>
      <w:r>
        <w:rPr>
          <w:lang w:val="en_US" w:bidi="en_US"/>
        </w:rPr>
        <w:t>Another important theme in this section is faith. Jesus said that the woman who was bleeding was healed because she believed that Jesus could heal her. Then he encouraged Jairus to keep believing that God could make his daughter well, even after she had died.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border/edge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Mark 5:21–43.</w:t>
      </w:r>
    </w:p>
    <w:p>
      <w:pPr>
        <w:pStyle w:val="Heading5"/>
      </w:pPr>
      <w:r>
        <w:rPr>
          <w:lang w:val="en_US" w:bidi="en_US"/>
        </w:rPr>
        <w:t>8:42a</w:t>
      </w:r>
    </w:p>
    <w:p>
      <w:pPr/>
      <w:r>
        <w:rPr>
          <w:lang w:val="en_US" w:bidi="en_US"/>
        </w:rPr>
      </w:r>
      <w:r>
        <w:rPr>
          <w:b/>
          <w:lang w:val="en_US" w:bidi="en_US"/>
        </w:rPr>
        <w:t>because his only daughter, who was about twelve, was dying.</w:t>
      </w:r>
    </w:p>
    <w:p>
      <w:pPr>
        <w:pStyle w:val="ListBullet"/>
        <w:spacing w:line="240" w:lineRule="auto"/>
        <w:ind w:left="720"/>
      </w:pPr>
      <w:r>
        <w:rPr>
          <w:lang w:val="en_US" w:bidi="en_US"/>
        </w:rPr>
      </w:r>
      <w:r>
        <w:rPr>
          <w:lang w:val="en_US" w:bidi="en_US"/>
        </w:rPr>
        <w:t>because his only child, a girl about twelve years old, was dying.</w:t>
      </w:r>
    </w:p>
    <w:p>
      <w:pPr>
        <w:pStyle w:val="ListBullet"/>
        <w:spacing w:line="240" w:lineRule="auto"/>
        <w:ind w:left="720"/>
      </w:pPr>
      <w:r>
        <w:rPr>
          <w:lang w:val="en_US" w:bidi="en_US"/>
        </w:rPr>
      </w:r>
      <w:r>
        <w:rPr>
          <w:lang w:val="en_US" w:bidi="en_US"/>
        </w:rPr>
        <w:t>and heal</w:t>
      </w:r>
      <w:r>
        <w:rPr>
          <w:lang w:val="en_US" w:bidi="en_US"/>
        </w:rPr>
        <w:t xml:space="preserve"> my daughter. She is </w:t>
      </w:r>
      <w:r>
        <w:rPr>
          <w:lang w:val="en_US" w:bidi="en_US"/>
        </w:rPr>
        <w:t>very ill and</w:t>
      </w:r>
      <w:r>
        <w:rPr>
          <w:lang w:val="en_US" w:bidi="en_US"/>
        </w:rPr>
        <w:t xml:space="preserve"> close to death/dying.” This daughter was about twelve years old and was his only child.</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introduces the reason for Jairus’ request. Express this connection in a natural way in your language. See the General Comment on 8:41b–42a below for a suggestion about reordering.</w:t>
      </w:r>
    </w:p>
    <w:p>
      <w:pPr/>
      <w:r>
        <w:rPr>
          <w:lang w:val="en_US" w:bidi="en_US"/>
        </w:rPr>
      </w:r>
      <w:r>
        <w:rPr>
          <w:b/>
          <w:lang w:val="en_US" w:bidi="en_US"/>
        </w:rPr>
        <w:t>his only daughter:</w:t>
      </w:r>
      <w:r>
        <w:rPr>
          <w:lang w:val="en_US" w:bidi="en_US"/>
        </w:rPr>
        <w:t xml:space="preserve"> The Greek phrase that the BSB translates as </w:t>
      </w:r>
      <w:r>
        <w:rPr>
          <w:i/>
          <w:lang w:val="en_US" w:bidi="en_US"/>
        </w:rPr>
        <w:t>his only daughter</w:t>
      </w:r>
      <w:r>
        <w:rPr>
          <w:lang w:val="en_US" w:bidi="en_US"/>
        </w:rPr>
        <w:t xml:space="preserve"> means that Jairus had only one child, and that his child was a girl.</w:t>
      </w:r>
    </w:p>
    <w:p>
      <w:pPr/>
      <w:r>
        <w:rPr>
          <w:lang w:val="en_US" w:bidi="en_US"/>
        </w:rPr>
      </w:r>
      <w:r>
        <w:rPr>
          <w:b/>
          <w:lang w:val="en_US" w:bidi="en_US"/>
        </w:rPr>
        <w:t>who was about twelve:</w:t>
      </w:r>
      <w:r>
        <w:rPr>
          <w:lang w:val="en_US" w:bidi="en_US"/>
        </w:rPr>
        <w:t xml:space="preserve"> In the Jewish culture of that time, a girl who was twelve years old was becoming an adult. She was reaching the age when she could marry.</w:t>
      </w:r>
    </w:p>
    <w:p>
      <w:pPr/>
      <w:r>
        <w:rPr>
          <w:lang w:val="en_US" w:bidi="en_US"/>
        </w:rPr>
      </w:r>
      <w:r>
        <w:rPr>
          <w:b/>
          <w:lang w:val="en_US" w:bidi="en_US"/>
        </w:rPr>
        <w:t>was dying:</w:t>
      </w:r>
      <w:r>
        <w:rPr>
          <w:lang w:val="en_US" w:bidi="en_US"/>
        </w:rPr>
        <w:t xml:space="preserve"> In this context the form</w:t>
      </w:r>
      <w:r>
        <w:rPr>
          <w:lang w:val="en_US" w:bidi="en_US"/>
        </w:rPr>
        <w:t>Imperfect tense. Here the imperfect indicates “in the process of.”</w:t>
      </w:r>
      <w:r>
        <w:rPr>
          <w:lang w:val="en_US" w:bidi="en_US"/>
        </w:rPr>
        <w:t xml:space="preserve"> of the Greek verb that the BSB translates as </w:t>
      </w:r>
      <w:r>
        <w:rPr>
          <w:i/>
          <w:lang w:val="en_US" w:bidi="en_US"/>
        </w:rPr>
        <w:t>was dying</w:t>
      </w:r>
      <w:r>
        <w:rPr>
          <w:lang w:val="en_US" w:bidi="en_US"/>
        </w:rPr>
        <w:t xml:space="preserve"> indicates that the girl was in the process of dying. She had not yet died, but she was very ill and close to death.</w:t>
      </w:r>
    </w:p>
    <w:p>
      <w:pPr>
        <w:pStyle w:val="Heading6"/>
      </w:pPr>
      <w:r>
        <w:rPr>
          <w:b/>
          <w:lang w:val="en_US" w:bidi="en_US"/>
        </w:rPr>
        <w:t>General Comment on 8:41b–42a</w:t>
      </w:r>
    </w:p>
    <w:p>
      <w:pPr/>
      <w:r>
        <w:rPr>
          <w:lang w:val="en_US" w:bidi="en_US"/>
        </w:rPr>
      </w:r>
      <w:r>
        <w:rPr>
          <w:lang w:val="en_US" w:bidi="en_US"/>
        </w:rPr>
        <w:t>In some languages it may be more natural to give the reason for Jairus’ request before stating the request. For example:</w:t>
      </w:r>
    </w:p>
    <w:p>
      <w:pPr/>
      <w:r>
        <w:rPr>
          <w:lang w:val="en_US" w:bidi="en_US"/>
        </w:rPr>
      </w:r>
      <w:r>
        <w:rPr>
          <w:vertAlign w:val="superscript"/>
          <w:lang w:val="en_US" w:bidi="en_US"/>
        </w:rPr>
        <w:t>42a</w:t>
      </w:r>
      <w:r>
        <w:rPr>
          <w:lang w:val="en_US" w:bidi="en_US"/>
        </w:rPr>
        <w:t xml:space="preserve">He had a 12-year-old daughter, his only child, who was dying. </w:t>
      </w:r>
      <w:r>
        <w:rPr>
          <w:vertAlign w:val="superscript"/>
          <w:lang w:val="en_US" w:bidi="en_US"/>
        </w:rPr>
        <w:t>41b</w:t>
      </w:r>
      <w:r>
        <w:rPr>
          <w:lang w:val="en_US" w:bidi="en_US"/>
        </w:rPr>
        <w:t xml:space="preserve">So he begged Jesus to come to his house </w:t>
      </w:r>
      <w:r>
        <w:rPr>
          <w:lang w:val="en_US" w:bidi="en_US"/>
        </w:rPr>
        <w:t>and heal his daughter</w:t>
      </w:r>
      <w:r>
        <w:rPr>
          <w:lang w:val="en_US" w:bidi="en_US"/>
        </w:rPr>
        <w:t>.</w:t>
      </w:r>
    </w:p>
    <w:p>
      <w:pPr>
        <w:pStyle w:val="Heading4"/>
      </w:pPr>
      <w:r>
        <w:rPr>
          <w:lang w:val="en_US" w:bidi="en_US"/>
        </w:rPr>
        <w:t>Paragraph 8:42b–44</w:t>
      </w:r>
    </w:p>
    <w:p>
      <w:pPr/>
      <w:r>
        <w:rPr>
          <w:lang w:val="en_US" w:bidi="en_US"/>
        </w:rPr>
      </w:r>
      <w:r>
        <w:rPr>
          <w:lang w:val="en_US" w:bidi="en_US"/>
        </w:rPr>
        <w:t>This paragraph begins a new story that happens before the story of Jairus ends. It describes how Jesus helped someone else before he arrived at Jairus’ house. Introduce it in a way that is natural in your language for such a context.</w:t>
      </w:r>
    </w:p>
    <w:p>
      <w:pPr>
        <w:pStyle w:val="Heading5"/>
      </w:pPr>
      <w:r>
        <w:rPr>
          <w:lang w:val="en_US" w:bidi="en_US"/>
        </w:rPr>
        <w:t>8:42b</w:t>
      </w:r>
    </w:p>
    <w:p>
      <w:pPr/>
      <w:r>
        <w:rPr>
          <w:lang w:val="en_US" w:bidi="en_US"/>
        </w:rPr>
      </w:r>
      <w:r>
        <w:rPr>
          <w:b/>
          <w:lang w:val="en_US" w:bidi="en_US"/>
        </w:rPr>
        <w:t>As Jesus went with him,</w:t>
      </w:r>
    </w:p>
    <w:p>
      <w:pPr>
        <w:pStyle w:val="ListBullet"/>
        <w:spacing w:line="240" w:lineRule="auto"/>
        <w:ind w:left="720"/>
      </w:pPr>
      <w:r>
        <w:rPr>
          <w:lang w:val="en_US" w:bidi="en_US"/>
        </w:rPr>
      </w:r>
      <w:r>
        <w:rPr>
          <w:lang w:val="en_US" w:bidi="en_US"/>
        </w:rPr>
        <w:t xml:space="preserve">¶ </w:t>
      </w:r>
      <w:r>
        <w:rPr>
          <w:lang w:val="en_US" w:bidi="en_US"/>
        </w:rPr>
        <w:t>So</w:t>
      </w:r>
      <w:r>
        <w:rPr>
          <w:lang w:val="en_US" w:bidi="en_US"/>
        </w:rPr>
        <w:t xml:space="preserve"> Jesus went </w:t>
      </w:r>
      <w:r>
        <w:rPr>
          <w:lang w:val="en_US" w:bidi="en_US"/>
        </w:rPr>
        <w:t>with Jairus</w:t>
      </w:r>
      <w:r>
        <w:rPr>
          <w:lang w:val="en_US" w:bidi="en_US"/>
        </w:rPr>
        <w:t>. As Jesus was walking,</w:t>
      </w:r>
    </w:p>
    <w:p>
      <w:pPr>
        <w:pStyle w:val="ListBullet"/>
        <w:spacing w:line="240" w:lineRule="auto"/>
        <w:ind w:left="720"/>
      </w:pPr>
      <w:r>
        <w:rPr>
          <w:lang w:val="en_US" w:bidi="en_US"/>
        </w:rPr>
      </w:r>
      <w:r>
        <w:rPr>
          <w:lang w:val="en_US" w:bidi="en_US"/>
        </w:rPr>
        <w:t xml:space="preserve">¶ </w:t>
      </w:r>
      <w:r>
        <w:rPr>
          <w:lang w:val="en_US" w:bidi="en_US"/>
        </w:rPr>
        <w:t>Jesus agreed and started walking with him.</w:t>
      </w:r>
      <w:r>
        <w:rPr>
          <w:lang w:val="en_US" w:bidi="en_US"/>
        </w:rPr>
        <w:t xml:space="preserve"> As he was going </w:t>
      </w:r>
      <w:r>
        <w:rPr>
          <w:lang w:val="en_US" w:bidi="en_US"/>
        </w:rPr>
        <w:t>toward Jairus’ house</w:t>
      </w:r>
      <w:r>
        <w:rPr>
          <w:lang w:val="en_US" w:bidi="en_US"/>
        </w:rPr>
        <w:t>,</w:t>
      </w:r>
    </w:p>
    <w:p>
      <w:pPr/>
      <w:r>
        <w:rPr>
          <w:lang w:val="en_US" w:bidi="en_US"/>
        </w:rPr>
      </w:r>
      <w:r>
        <w:rPr>
          <w:b/>
          <w:lang w:val="en_US" w:bidi="en_US"/>
        </w:rPr>
        <w:t>As Jesus went with him:</w:t>
      </w:r>
      <w:r>
        <w:rPr>
          <w:lang w:val="en_US" w:bidi="en_US"/>
        </w:rPr>
        <w:t xml:space="preserve"> The clause </w:t>
      </w:r>
      <w:r>
        <w:rPr>
          <w:i/>
          <w:lang w:val="en_US" w:bidi="en_US"/>
        </w:rPr>
        <w:t>As Jesus went with him</w:t>
      </w:r>
      <w:r>
        <w:rPr>
          <w:lang w:val="en_US" w:bidi="en_US"/>
        </w:rPr>
        <w:t xml:space="preserve"> implies that Jesus agreed to do what Jairus requested in 8:41. Then he began going with Jairus to his house. In some languages it may be more natural to make this explicit. For example:</w:t>
      </w:r>
    </w:p>
    <w:p>
      <w:pPr/>
      <w:r>
        <w:rPr>
          <w:lang w:val="en_US" w:bidi="en_US"/>
        </w:rPr>
      </w:r>
      <w:r>
        <w:rPr>
          <w:lang w:val="en_US" w:bidi="en_US"/>
        </w:rPr>
        <w:t xml:space="preserve">Jesus </w:t>
      </w:r>
      <w:r>
        <w:rPr>
          <w:lang w:val="en_US" w:bidi="en_US"/>
        </w:rPr>
        <w:t>agreed and departed</w:t>
      </w:r>
      <w:r>
        <w:rPr>
          <w:lang w:val="en_US" w:bidi="en_US"/>
        </w:rPr>
        <w:t>. As he was on his way…</w:t>
      </w:r>
    </w:p>
    <w:p>
      <w:pPr/>
      <w:r>
        <w:rPr>
          <w:lang w:val="en_US" w:bidi="en_US"/>
        </w:rPr>
      </w:r>
      <w:r>
        <w:rPr>
          <w:lang w:val="en_US" w:bidi="en_US"/>
        </w:rPr>
        <w:t>So Jesus went with him. As he went…</w:t>
      </w:r>
    </w:p>
    <w:p>
      <w:pPr/>
      <w:r>
        <w:rPr>
          <w:lang w:val="en_US" w:bidi="en_US"/>
        </w:rPr>
      </w:r>
      <w:r>
        <w:rPr>
          <w:lang w:val="en_US" w:bidi="en_US"/>
        </w:rPr>
        <w:t>In the second example above, the first sentence is taken from the BSB text of Mark 5:24. You may also want to refer to your translation of Mark 5:24 and consider if some words from it would fit here.</w:t>
      </w:r>
    </w:p>
    <w:p>
      <w:pPr/>
      <w:r>
        <w:rPr>
          <w:lang w:val="en_US" w:bidi="en_US"/>
        </w:rPr>
      </w:r>
      <w:r>
        <w:rPr>
          <w:b/>
          <w:lang w:val="en_US" w:bidi="en_US"/>
        </w:rPr>
        <w:t>Jesus:</w:t>
      </w:r>
      <w:r>
        <w:rPr>
          <w:lang w:val="en_US" w:bidi="en_US"/>
        </w:rPr>
        <w:t xml:space="preserve"> The context shows that Jesus’ disciples went with him to Jairus’ house (see also Matthew 5:19). The crowd also followed him there. In some languages it may be more natural to mention this here. For example:</w:t>
      </w:r>
    </w:p>
    <w:p>
      <w:pPr/>
      <w:r>
        <w:rPr>
          <w:lang w:val="en_US" w:bidi="en_US"/>
        </w:rPr>
      </w:r>
      <w:r>
        <w:rPr>
          <w:lang w:val="en_US" w:bidi="en_US"/>
        </w:rPr>
        <w:t xml:space="preserve">As Jesus </w:t>
      </w:r>
      <w:r>
        <w:rPr>
          <w:lang w:val="en_US" w:bidi="en_US"/>
        </w:rPr>
        <w:t>and the/his disciples</w:t>
      </w:r>
      <w:r>
        <w:rPr>
          <w:lang w:val="en_US" w:bidi="en_US"/>
        </w:rPr>
        <w:t xml:space="preserve"> were on their way, the crowd </w:t>
      </w:r>
      <w:r>
        <w:rPr>
          <w:lang w:val="en_US" w:bidi="en_US"/>
        </w:rPr>
        <w:t>followed them</w:t>
      </w:r>
    </w:p>
    <w:p>
      <w:pPr/>
      <w:r>
        <w:rPr>
          <w:lang w:val="en_US" w:bidi="en_US"/>
        </w:rPr>
      </w:r>
      <w:r>
        <w:rPr>
          <w:b/>
          <w:lang w:val="en_US" w:bidi="en_US"/>
        </w:rPr>
        <w:t>went:</w:t>
      </w:r>
      <w:r>
        <w:rPr>
          <w:lang w:val="en_US" w:bidi="en_US"/>
        </w:rPr>
        <w:t xml:space="preserve"> The Greek expression that the BSB translates as </w:t>
      </w:r>
      <w:r>
        <w:rPr>
          <w:i/>
          <w:lang w:val="en_US" w:bidi="en_US"/>
        </w:rPr>
        <w:t>went</w:t>
      </w:r>
      <w:r>
        <w:rPr>
          <w:lang w:val="en_US" w:bidi="en_US"/>
        </w:rPr>
        <w:t xml:space="preserve"> here means “to continue to move or go in a certain direction.” The English expression “was on his way” is an idiom with the same meaning.</w:t>
      </w:r>
    </w:p>
    <w:p>
      <w:pPr>
        <w:pStyle w:val="Heading5"/>
      </w:pPr>
      <w:r>
        <w:rPr>
          <w:lang w:val="en_US" w:bidi="en_US"/>
        </w:rPr>
        <w:t>8:42c</w:t>
      </w:r>
    </w:p>
    <w:p>
      <w:pPr/>
      <w:r>
        <w:rPr>
          <w:lang w:val="en_US" w:bidi="en_US"/>
        </w:rPr>
      </w:r>
      <w:r>
        <w:rPr>
          <w:b/>
          <w:lang w:val="en_US" w:bidi="en_US"/>
        </w:rPr>
        <w:t>the crowds pressed around Him,</w:t>
      </w:r>
    </w:p>
    <w:p>
      <w:pPr>
        <w:pStyle w:val="ListBullet"/>
        <w:spacing w:line="240" w:lineRule="auto"/>
        <w:ind w:left="720"/>
      </w:pPr>
      <w:r>
        <w:rPr>
          <w:lang w:val="en_US" w:bidi="en_US"/>
        </w:rPr>
      </w:r>
      <w:r>
        <w:rPr>
          <w:lang w:val="en_US" w:bidi="en_US"/>
        </w:rPr>
        <w:t>many people from the crowd were pushing against him.</w:t>
      </w:r>
    </w:p>
    <w:p>
      <w:pPr>
        <w:pStyle w:val="ListBullet"/>
        <w:spacing w:line="240" w:lineRule="auto"/>
        <w:ind w:left="720"/>
      </w:pPr>
      <w:r>
        <w:rPr>
          <w:lang w:val="en_US" w:bidi="en_US"/>
        </w:rPr>
      </w:r>
      <w:r>
        <w:rPr>
          <w:lang w:val="en_US" w:bidi="en_US"/>
        </w:rPr>
        <w:t xml:space="preserve">the crowd of people </w:t>
      </w:r>
      <w:r>
        <w:rPr>
          <w:lang w:val="en_US" w:bidi="en_US"/>
        </w:rPr>
        <w:t>followed him and</w:t>
      </w:r>
      <w:r>
        <w:rPr>
          <w:lang w:val="en_US" w:bidi="en_US"/>
        </w:rPr>
        <w:t xml:space="preserve"> pressed around him so closely that he could hardly breathe.</w:t>
      </w:r>
    </w:p>
    <w:p>
      <w:pPr/>
      <w:r>
        <w:rPr>
          <w:lang w:val="en_US" w:bidi="en_US"/>
        </w:rPr>
      </w:r>
      <w:r>
        <w:rPr>
          <w:b/>
          <w:lang w:val="en_US" w:bidi="en_US"/>
        </w:rPr>
        <w:t>the crowds pressed around Him:</w:t>
      </w:r>
      <w:r>
        <w:rPr>
          <w:lang w:val="en_US" w:bidi="en_US"/>
        </w:rPr>
        <w:t xml:space="preserve"> The Greek verb that the BSB translates as </w:t>
      </w:r>
      <w:r>
        <w:rPr>
          <w:i/>
          <w:lang w:val="en_US" w:bidi="en_US"/>
        </w:rPr>
        <w:t>pressed around Him</w:t>
      </w:r>
      <w:r>
        <w:rPr>
          <w:lang w:val="en_US" w:bidi="en_US"/>
        </w:rPr>
        <w:t xml:space="preserve"> literally means “to choke” or “to cause someone to not be able to breathe.” (The same Greek word was used in 8:14b, where the BSB translated it as “choked.”) Here it is used figuratively as a hyperbole. It indicates that the people pressed very closely around Jesus as they walked. Some other ways to translate this in English are:</w:t>
      </w:r>
    </w:p>
    <w:p>
      <w:pPr/>
      <w:r>
        <w:rPr>
          <w:lang w:val="en_US" w:bidi="en_US"/>
        </w:rPr>
      </w:r>
      <w:r>
        <w:rPr>
          <w:lang w:val="en_US" w:bidi="en_US"/>
        </w:rPr>
        <w:t>the people pressed round him (RSV)</w:t>
      </w:r>
    </w:p>
    <w:p>
      <w:pPr/>
      <w:r>
        <w:rPr>
          <w:lang w:val="en_US" w:bidi="en_US"/>
        </w:rPr>
      </w:r>
      <w:r>
        <w:rPr>
          <w:lang w:val="en_US" w:bidi="en_US"/>
        </w:rPr>
        <w:t>the people were crowding him from every side (GNT)</w:t>
      </w:r>
    </w:p>
    <w:p>
      <w:pPr/>
      <w:r>
        <w:rPr>
          <w:lang w:val="en_US" w:bidi="en_US"/>
        </w:rPr>
      </w:r>
      <w:r>
        <w:rPr>
          <w:lang w:val="en_US" w:bidi="en_US"/>
        </w:rPr>
        <w:t>he was surrounded by the crowds (NLT)</w:t>
      </w:r>
    </w:p>
    <w:p>
      <w:pPr/>
      <w:r>
        <w:rPr>
          <w:lang w:val="en_US" w:bidi="en_US"/>
        </w:rPr>
      </w:r>
      <w:r>
        <w:rPr>
          <w:lang w:val="en_US" w:bidi="en_US"/>
        </w:rPr>
        <w:t>Some ways to preserve the hyperbole are:</w:t>
      </w:r>
    </w:p>
    <w:p>
      <w:pPr/>
      <w:r>
        <w:rPr>
          <w:lang w:val="en_US" w:bidi="en_US"/>
        </w:rPr>
      </w:r>
      <w:r>
        <w:rPr>
          <w:lang w:val="en_US" w:bidi="en_US"/>
        </w:rPr>
        <w:t>he could hardly breathe for the crowds (REB)</w:t>
      </w:r>
    </w:p>
    <w:p>
      <w:pPr/>
      <w:r>
        <w:rPr>
          <w:lang w:val="en_US" w:bidi="en_US"/>
        </w:rPr>
      </w:r>
      <w:r>
        <w:rPr>
          <w:lang w:val="en_US" w:bidi="en_US"/>
        </w:rPr>
        <w:t>the crowds were pressing so close around him that he could hardly breathe</w:t>
      </w:r>
    </w:p>
    <w:p>
      <w:pPr/>
      <w:r>
        <w:rPr>
          <w:lang w:val="en_US" w:bidi="en_US"/>
        </w:rPr>
      </w:r>
      <w:r>
        <w:rPr>
          <w:lang w:val="en_US" w:bidi="en_US"/>
        </w:rPr>
        <w:t>the crowds nearly suffocated him (JBP)</w:t>
      </w:r>
    </w:p>
    <w:p>
      <w:pPr/>
      <w:r>
        <w:rPr>
          <w:lang w:val="en_US" w:bidi="en_US"/>
        </w:rPr>
      </w:r>
      <w:r>
        <w:rPr>
          <w:lang w:val="en_US" w:bidi="en_US"/>
        </w:rPr>
        <w:t>You may have an idiom for this in your language.</w:t>
      </w:r>
    </w:p>
    <w:p>
      <w:pPr/>
      <w:r>
        <w:rPr>
          <w:lang w:val="en_US" w:bidi="en_US"/>
        </w:rPr>
      </w:r>
      <w:r>
        <w:rPr>
          <w:b/>
          <w:lang w:val="en_US" w:bidi="en_US"/>
        </w:rPr>
        <w:t>the crowds:</w:t>
      </w:r>
      <w:r>
        <w:rPr>
          <w:lang w:val="en_US" w:bidi="en_US"/>
        </w:rPr>
        <w:t xml:space="preserve"> The Greek phrase that the BSB translates as </w:t>
      </w:r>
      <w:r>
        <w:rPr>
          <w:i/>
          <w:lang w:val="en_US" w:bidi="en_US"/>
        </w:rPr>
        <w:t>the crowds</w:t>
      </w:r>
      <w:r>
        <w:rPr>
          <w:lang w:val="en_US" w:bidi="en_US"/>
        </w:rPr>
        <w:t xml:space="preserve"> refers to the large group of people mentioned in 8:40b. The BSB uses a plural form here, as the Greek text does. However, this does not imply that there were two distinct groups of people following Jesus. Some other ways to translate this are:</w:t>
      </w:r>
    </w:p>
    <w:p>
      <w:pPr/>
      <w:r>
        <w:rPr>
          <w:lang w:val="en_US" w:bidi="en_US"/>
        </w:rPr>
      </w:r>
      <w:r>
        <w:rPr>
          <w:lang w:val="en_US" w:bidi="en_US"/>
        </w:rPr>
        <w:t>the people (RSV)</w:t>
      </w:r>
    </w:p>
    <w:p>
      <w:pPr/>
      <w:r>
        <w:rPr>
          <w:lang w:val="en_US" w:bidi="en_US"/>
        </w:rPr>
      </w:r>
      <w:r>
        <w:rPr>
          <w:lang w:val="en_US" w:bidi="en_US"/>
        </w:rPr>
        <w:t>the crowd</w:t>
      </w:r>
    </w:p>
    <w:p>
      <w:pPr/>
      <w:r>
        <w:rPr>
          <w:lang w:val="en_US" w:bidi="en_US"/>
        </w:rPr>
      </w:r>
      <w:r>
        <w:rPr>
          <w:lang w:val="en_US" w:bidi="en_US"/>
        </w:rPr>
        <w:t>the crowd of people</w:t>
      </w:r>
      <w:r>
        <w:rPr>
          <w:lang w:val="en_US" w:bidi="en_US"/>
        </w:rPr>
      </w:r>
      <w:r>
        <w:rPr>
          <w:lang w:val="en_US" w:bidi="en_US"/>
        </w:rPr>
      </w:r>
    </w:p>
    <w:p>
      <w:pPr/>
      <w:r>
        <w:rPr>
          <w:lang w:val="en_US" w:bidi="en_US"/>
        </w:rPr>
      </w:r>
    </w:p>
    <w:p>
      <w:pPr>
        <w:pStyle w:val="Heading2"/>
      </w:pPr>
      <w:r>
        <w:rPr>
          <w:lang w:val="en_US" w:bidi="en_US"/>
        </w:rPr>
        <w:t>Luke 8:43</w:t>
      </w:r>
      <w:r>
        <w:rPr>
          <w:lang w:val="en_US" w:bidi="en_US"/>
        </w:rPr>
      </w:r>
    </w:p>
    <w:p>
      <w:pPr>
        <w:pStyle w:val="Heading4"/>
      </w:pPr>
      <w:r>
        <w:rPr>
          <w:lang w:val="en_US" w:bidi="en_US"/>
        </w:rPr>
        <w:t>Section 8:40–56: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pPr/>
      <w:r>
        <w:rPr>
          <w:lang w:val="en_US" w:bidi="en_US"/>
        </w:rPr>
      </w:r>
      <w:r>
        <w:rPr>
          <w:lang w:val="en_US" w:bidi="en_US"/>
        </w:rP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pPr/>
      <w:r>
        <w:rPr>
          <w:lang w:val="en_US" w:bidi="en_US"/>
        </w:rPr>
      </w:r>
      <w:r>
        <w:rPr>
          <w:lang w:val="en_US" w:bidi="en_US"/>
        </w:rPr>
        <w:t>Another important theme in this section is faith. Jesus said that the woman who was bleeding was healed because she believed that Jesus could heal her. Then he encouraged Jairus to keep believing that God could make his daughter well, even after she had died.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border/edge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Mark 5:21–43.</w:t>
      </w:r>
    </w:p>
    <w:p>
      <w:pPr>
        <w:pStyle w:val="Heading4"/>
      </w:pPr>
      <w:r>
        <w:rPr>
          <w:lang w:val="en_US" w:bidi="en_US"/>
        </w:rPr>
        <w:t>Paragraph 8:42b–44</w:t>
      </w:r>
    </w:p>
    <w:p>
      <w:pPr/>
      <w:r>
        <w:rPr>
          <w:lang w:val="en_US" w:bidi="en_US"/>
        </w:rPr>
      </w:r>
      <w:r>
        <w:rPr>
          <w:lang w:val="en_US" w:bidi="en_US"/>
        </w:rPr>
        <w:t>This paragraph begins a new story that happens before the story of Jairus ends. It describes how Jesus helped someone else before he arrived at Jairus’ house. Introduce it in a way that is natural in your language for such a context.</w:t>
      </w:r>
    </w:p>
    <w:p>
      <w:pPr>
        <w:pStyle w:val="Heading5"/>
      </w:pPr>
      <w:r>
        <w:rPr>
          <w:lang w:val="en_US" w:bidi="en_US"/>
        </w:rPr>
        <w:t>8:43a</w:t>
      </w:r>
    </w:p>
    <w:p>
      <w:pPr/>
      <w:r>
        <w:rPr>
          <w:lang w:val="en_US" w:bidi="en_US"/>
        </w:rPr>
      </w:r>
      <w:r>
        <w:rPr>
          <w:b/>
          <w:lang w:val="en_US" w:bidi="en_US"/>
        </w:rPr>
        <w:t>including a woman who had suffered from bleeding</w:t>
      </w:r>
    </w:p>
    <w:p>
      <w:pPr>
        <w:pStyle w:val="ListBullet"/>
        <w:spacing w:line="240" w:lineRule="auto"/>
        <w:ind w:left="720"/>
      </w:pPr>
      <w:r>
        <w:rPr>
          <w:lang w:val="en_US" w:bidi="en_US"/>
        </w:rPr>
      </w:r>
      <w:r>
        <w:rPr>
          <w:lang w:val="en_US" w:bidi="en_US"/>
        </w:rPr>
        <w:t xml:space="preserve">There was a woman </w:t>
      </w:r>
      <w:r>
        <w:rPr>
          <w:lang w:val="en_US" w:bidi="en_US"/>
        </w:rPr>
        <w:t>in the crowd</w:t>
      </w:r>
      <w:r>
        <w:rPr>
          <w:lang w:val="en_US" w:bidi="en_US"/>
        </w:rPr>
        <w:t xml:space="preserve"> who suffered from a female bleeding disorder</w:t>
      </w:r>
    </w:p>
    <w:p>
      <w:pPr>
        <w:pStyle w:val="ListBullet"/>
        <w:spacing w:line="240" w:lineRule="auto"/>
        <w:ind w:left="720"/>
      </w:pPr>
      <w:r>
        <w:rPr>
          <w:lang w:val="en_US" w:bidi="en_US"/>
        </w:rPr>
      </w:r>
      <w:r>
        <w:rPr>
          <w:lang w:val="en_US" w:bidi="en_US"/>
        </w:rPr>
        <w:t>Meanwhile,</w:t>
      </w:r>
      <w:r>
        <w:rPr>
          <w:lang w:val="en_US" w:bidi="en_US"/>
        </w:rPr>
        <w:t xml:space="preserve"> a woman was </w:t>
      </w:r>
      <w:r>
        <w:rPr>
          <w:lang w:val="en_US" w:bidi="en_US"/>
        </w:rPr>
        <w:t>also following</w:t>
      </w:r>
      <w:r>
        <w:rPr>
          <w:lang w:val="en_US" w:bidi="en_US"/>
        </w:rPr>
        <w:t xml:space="preserve">. She was troubled by constant bleeding </w:t>
      </w:r>
      <w:r>
        <w:rPr>
          <w:lang w:val="en_US" w:bidi="en_US"/>
        </w:rPr>
        <w:t>from her womb</w:t>
      </w:r>
      <w:r>
        <w:rPr>
          <w:lang w:val="en_US" w:bidi="en_US"/>
        </w:rPr>
        <w:t>,</w:t>
      </w:r>
    </w:p>
    <w:p>
      <w:pPr>
        <w:pStyle w:val="Heading5"/>
      </w:pPr>
      <w:r>
        <w:rPr>
          <w:lang w:val="en_US" w:bidi="en_US"/>
        </w:rPr>
        <w:t>8:43b</w:t>
      </w:r>
    </w:p>
    <w:p>
      <w:pPr/>
      <w:r>
        <w:rPr>
          <w:lang w:val="en_US" w:bidi="en_US"/>
        </w:rPr>
      </w:r>
      <w:r>
        <w:rPr>
          <w:b/>
          <w:lang w:val="en_US" w:bidi="en_US"/>
        </w:rPr>
        <w:t>for twelve years.</w:t>
      </w:r>
    </w:p>
    <w:p>
      <w:pPr>
        <w:pStyle w:val="ListBullet"/>
        <w:spacing w:line="240" w:lineRule="auto"/>
        <w:ind w:left="720"/>
      </w:pPr>
      <w:r>
        <w:rPr>
          <w:lang w:val="en_US" w:bidi="en_US"/>
        </w:rPr>
      </w:r>
      <w:r>
        <w:rPr>
          <w:lang w:val="en_US" w:bidi="en_US"/>
        </w:rPr>
        <w:t>that had started twelve years before.</w:t>
      </w:r>
    </w:p>
    <w:p>
      <w:pPr>
        <w:pStyle w:val="ListBullet"/>
        <w:spacing w:line="240" w:lineRule="auto"/>
        <w:ind w:left="720"/>
      </w:pPr>
      <w:r>
        <w:rPr>
          <w:lang w:val="en_US" w:bidi="en_US"/>
        </w:rPr>
      </w:r>
      <w:r>
        <w:rPr>
          <w:lang w:val="en_US" w:bidi="en_US"/>
        </w:rPr>
        <w:t>and she had had this problem</w:t>
      </w:r>
      <w:r>
        <w:rPr>
          <w:lang w:val="en_US" w:bidi="en_US"/>
        </w:rPr>
        <w:t xml:space="preserve"> for twelve years.</w:t>
      </w:r>
    </w:p>
    <w:p>
      <w:pPr>
        <w:pStyle w:val="Heading5"/>
      </w:pPr>
      <w:r>
        <w:rPr>
          <w:lang w:val="en_US" w:bidi="en_US"/>
        </w:rPr>
        <w:t>8:43a-b</w:t>
      </w:r>
    </w:p>
    <w:p>
      <w:pPr/>
      <w:r>
        <w:rPr>
          <w:lang w:val="en_US" w:bidi="en_US"/>
        </w:rPr>
      </w:r>
      <w:r>
        <w:rPr>
          <w:lang w:val="en_US" w:bidi="en_US"/>
        </w:rPr>
        <w:t>This part of the verse begins a new story within the story about Jairus. It introduces the woman who is a very important person in this new story. It also gives background information about her.</w:t>
      </w:r>
    </w:p>
    <w:p>
      <w:pPr/>
      <w:r>
        <w:rPr>
          <w:lang w:val="en_US" w:bidi="en_US"/>
        </w:rPr>
      </w:r>
      <w:r>
        <w:rPr>
          <w:b/>
          <w:lang w:val="en_US" w:bidi="en_US"/>
        </w:rPr>
        <w:t>including a woman:</w:t>
      </w:r>
      <w:r>
        <w:rPr>
          <w:lang w:val="en_US" w:bidi="en_US"/>
        </w:rPr>
        <w:t xml:space="preserve"> This part of the verse introduces the </w:t>
      </w:r>
      <w:r>
        <w:rPr>
          <w:i/>
          <w:lang w:val="en_US" w:bidi="en_US"/>
        </w:rPr>
        <w:t>woman</w:t>
      </w:r>
      <w:r>
        <w:rPr>
          <w:lang w:val="en_US" w:bidi="en_US"/>
        </w:rPr>
        <w:t xml:space="preserve"> as an important person in the events that follow. Introduce her in a natural way in your language. For example:</w:t>
      </w:r>
    </w:p>
    <w:p>
      <w:pPr/>
      <w:r>
        <w:rPr>
          <w:lang w:val="en_US" w:bidi="en_US"/>
        </w:rPr>
      </w:r>
      <w:r>
        <w:rPr>
          <w:lang w:val="en_US" w:bidi="en_US"/>
        </w:rPr>
        <w:t>Among them was a woman who (GNT)</w:t>
      </w:r>
    </w:p>
    <w:p>
      <w:pPr/>
      <w:r>
        <w:rPr>
          <w:lang w:val="en_US" w:bidi="en_US"/>
        </w:rPr>
      </w:r>
      <w:r>
        <w:rPr>
          <w:lang w:val="en_US" w:bidi="en_US"/>
        </w:rPr>
        <w:t>In the crowd was a woman who (CEV)</w:t>
      </w:r>
    </w:p>
    <w:p>
      <w:pPr/>
      <w:r>
        <w:rPr>
          <w:lang w:val="en_US" w:bidi="en_US"/>
        </w:rPr>
      </w:r>
      <w:r>
        <w:rPr>
          <w:lang w:val="en_US" w:bidi="en_US"/>
        </w:rPr>
        <w:t>Meanwhile, a woman had come into the crowd. She</w:t>
      </w:r>
    </w:p>
    <w:p>
      <w:pPr/>
      <w:r>
        <w:rPr>
          <w:lang w:val="en_US" w:bidi="en_US"/>
        </w:rPr>
      </w:r>
      <w:r>
        <w:rPr>
          <w:b/>
          <w:lang w:val="en_US" w:bidi="en_US"/>
        </w:rPr>
        <w:t>who had suffered from bleeding for twelve years:</w:t>
      </w:r>
      <w:r>
        <w:rPr>
          <w:lang w:val="en_US" w:bidi="en_US"/>
        </w:rPr>
        <w:t xml:space="preserve"> The Greek clause that the BSB translates as </w:t>
      </w:r>
      <w:r>
        <w:rPr>
          <w:i/>
          <w:lang w:val="en_US" w:bidi="en_US"/>
        </w:rPr>
        <w:t>who had suffered from bleeding</w:t>
      </w:r>
      <w:r>
        <w:rPr>
          <w:lang w:val="en_US" w:bidi="en_US"/>
        </w:rPr>
        <w:t xml:space="preserve"> is literally “being in a flow of blood.” It means that the woman had a sickness that caused her to bleed from her womb/uterus at times when it was not normal. Other ways to translate this are:</w:t>
      </w:r>
    </w:p>
    <w:p>
      <w:pPr/>
      <w:r>
        <w:rPr>
          <w:lang w:val="en_US" w:bidi="en_US"/>
        </w:rPr>
      </w:r>
      <w:r>
        <w:rPr>
          <w:lang w:val="en_US" w:bidi="en_US"/>
        </w:rPr>
        <w:t>who bled from her womb for twelve years without stopping</w:t>
      </w:r>
    </w:p>
    <w:p>
      <w:pPr/>
      <w:r>
        <w:rPr>
          <w:lang w:val="en_US" w:bidi="en_US"/>
        </w:rPr>
      </w:r>
      <w:r>
        <w:rPr>
          <w:lang w:val="en_US" w:bidi="en_US"/>
        </w:rPr>
        <w:t>who had had a female disorder for twelve years</w:t>
      </w:r>
    </w:p>
    <w:p>
      <w:pPr/>
      <w:r>
        <w:rPr>
          <w:lang w:val="en_US" w:bidi="en_US"/>
        </w:rPr>
      </w:r>
      <w:r>
        <w:rPr>
          <w:lang w:val="en_US" w:bidi="en_US"/>
        </w:rPr>
        <w:t>In some cultures it may be unacceptable to mention a condition like this explicitly. If this is true in your language, here are two other ways to translate this:</w:t>
      </w:r>
    </w:p>
    <w:p>
      <w:pPr>
        <w:pStyle w:val="ListBullet"/>
        <w:spacing w:line="240" w:lineRule="auto"/>
        <w:ind w:left="720"/>
      </w:pPr>
      <w:r>
        <w:rPr>
          <w:lang w:val="en_US" w:bidi="en_US"/>
        </w:rPr>
      </w:r>
      <w:r>
        <w:rPr>
          <w:lang w:val="en_US" w:bidi="en_US"/>
        </w:rPr>
        <w:t>Use a euphemism that is clearly understood and is suitable for public reading.</w:t>
      </w:r>
    </w:p>
    <w:p>
      <w:pPr>
        <w:pStyle w:val="ListBullet"/>
        <w:spacing w:line="240" w:lineRule="auto"/>
        <w:ind w:left="720"/>
      </w:pPr>
      <w:r>
        <w:rPr>
          <w:lang w:val="en_US" w:bidi="en_US"/>
        </w:rPr>
      </w:r>
      <w:r>
        <w:rPr>
          <w:lang w:val="en_US" w:bidi="en_US"/>
        </w:rPr>
        <w:t>Use a more general expression. For example:</w:t>
      </w:r>
      <w:r>
        <w:rPr>
          <w:lang w:val="en_US" w:bidi="en_US"/>
        </w:rPr>
        <w:t>had suffered for twelve years with constant bleeding (NLT)</w:t>
      </w:r>
      <w:r>
        <w:rPr>
          <w:lang w:val="en_US" w:bidi="en_US"/>
        </w:rPr>
        <w:t>had been bleeding for twelve years (CEV)</w:t>
      </w:r>
    </w:p>
    <w:p>
      <w:pPr/>
      <w:r>
        <w:rPr>
          <w:lang w:val="en_US" w:bidi="en_US"/>
        </w:rPr>
      </w:r>
      <w:r>
        <w:rPr>
          <w:lang w:val="en_US" w:bidi="en_US"/>
        </w:rPr>
        <w:t>The woman was unclean according to the law of Moses because of the bleeding that was caused by her sickness. You may want to include a footnote in your translation to give information about this. For example:</w:t>
      </w:r>
    </w:p>
    <w:p>
      <w:pPr/>
      <w:r>
        <w:rPr>
          <w:lang w:val="en_US" w:bidi="en_US"/>
        </w:rPr>
      </w:r>
      <w:r>
        <w:rPr>
          <w:lang w:val="en_US" w:bidi="en_US"/>
        </w:rPr>
        <w:t>According to the law of Moses (Leviticus 15:19–30), a woman was considered ritually unclean when she was menstruating. She was also considered ritually unclean when she was bleeding from her womb because of other causes.</w:t>
      </w:r>
    </w:p>
    <w:p>
      <w:pPr>
        <w:pStyle w:val="Heading5"/>
      </w:pPr>
      <w:r>
        <w:rPr>
          <w:lang w:val="en_US" w:bidi="en_US"/>
        </w:rPr>
        <w:t>8:43c</w:t>
      </w:r>
    </w:p>
    <w:p>
      <w:pPr/>
      <w:r>
        <w:rPr>
          <w:lang w:val="en_US" w:bidi="en_US"/>
        </w:rPr>
      </w:r>
      <w:r>
        <w:rPr>
          <w:b/>
          <w:lang w:val="en_US" w:bidi="en_US"/>
        </w:rPr>
        <w:t>She had spent all her money on physicians,</w:t>
      </w:r>
    </w:p>
    <w:p>
      <w:pPr>
        <w:pStyle w:val="ListBullet"/>
        <w:spacing w:line="240" w:lineRule="auto"/>
        <w:ind w:left="720"/>
      </w:pPr>
      <w:r>
        <w:rPr>
          <w:lang w:val="en_US" w:bidi="en_US"/>
        </w:rPr>
      </w:r>
      <w:r>
        <w:rPr>
          <w:lang w:val="en_US" w:bidi="en_US"/>
        </w:rPr>
        <w:t>She had paid out all her funds to doctors,</w:t>
      </w:r>
    </w:p>
    <w:p>
      <w:pPr>
        <w:pStyle w:val="ListBullet"/>
        <w:spacing w:line="240" w:lineRule="auto"/>
        <w:ind w:left="720"/>
      </w:pPr>
      <w:r>
        <w:rPr>
          <w:lang w:val="en_US" w:bidi="en_US"/>
        </w:rPr>
      </w:r>
      <w:r>
        <w:rPr>
          <w:lang w:val="en_US" w:bidi="en_US"/>
        </w:rPr>
        <w:t>All her money had gone to her doctors.</w:t>
      </w:r>
    </w:p>
    <w:p>
      <w:pPr/>
      <w:r>
        <w:rPr>
          <w:lang w:val="en_US" w:bidi="en_US"/>
        </w:rPr>
      </w:r>
      <w:r>
        <w:rPr>
          <w:lang w:val="en_US" w:bidi="en_US"/>
        </w:rPr>
        <w:t>There is a textual issue here.</w:t>
      </w:r>
    </w:p>
    <w:p>
      <w:pPr>
        <w:pStyle w:val="ListNumber"/>
        <w:numPr>
          <w:ilvl w:val="0"/>
          <w:numId w:val="184"/>
        </w:numPr>
        <w:spacing w:line="240" w:lineRule="auto"/>
        <w:ind w:left="720"/>
      </w:pPr>
      <w:r>
        <w:rPr>
          <w:lang w:val="en_US" w:bidi="en_US"/>
        </w:rPr>
      </w:r>
      <w:r>
        <w:rPr>
          <w:lang w:val="en_US" w:bidi="en_US"/>
        </w:rPr>
        <w:t xml:space="preserve">Some Greek manuscripts </w:t>
      </w:r>
      <w:r>
        <w:rPr>
          <w:u w:val="single"/>
          <w:lang w:val="en_US" w:bidi="en_US"/>
        </w:rPr>
        <w:t>do not include</w:t>
      </w:r>
      <w:r>
        <w:rPr>
          <w:lang w:val="en_US" w:bidi="en_US"/>
        </w:rPr>
        <w:t xml:space="preserve"> the words “she had spent all she had on doctors.” For example:</w:t>
      </w:r>
      <w:r>
        <w:rPr>
          <w:lang w:val="en_US" w:bidi="en_US"/>
        </w:rPr>
        <w:t xml:space="preserve">And a woman who had had a flow of blood for twelve years and could not be healed by any one… (RSV) </w:t>
      </w:r>
      <w:r>
        <w:rPr>
          <w:i/>
          <w:lang w:val="en_US" w:bidi="en_US"/>
        </w:rPr>
        <w:t>(RSV, NIV, NJB, NASB, REB, NET, GW, NCV, NLT)</w:t>
      </w:r>
    </w:p>
    <w:p>
      <w:pPr>
        <w:pStyle w:val="ListNumber"/>
        <w:spacing w:line="240" w:lineRule="auto"/>
        <w:ind w:left="720"/>
      </w:pPr>
      <w:r>
        <w:rPr>
          <w:lang w:val="en_US" w:bidi="en_US"/>
        </w:rPr>
      </w:r>
      <w:r>
        <w:rPr>
          <w:lang w:val="en_US" w:bidi="en_US"/>
        </w:rPr>
        <w:t xml:space="preserve">Other Greek manuscripts </w:t>
      </w:r>
      <w:r>
        <w:rPr>
          <w:u w:val="single"/>
          <w:lang w:val="en_US" w:bidi="en_US"/>
        </w:rPr>
        <w:t>include</w:t>
      </w:r>
      <w:r>
        <w:rPr>
          <w:lang w:val="en_US" w:bidi="en_US"/>
        </w:rPr>
        <w:t xml:space="preserve"> these words. For example:</w:t>
      </w:r>
      <w:r>
        <w:rPr>
          <w:lang w:val="en_US" w:bidi="en_US"/>
        </w:rPr>
        <w:t xml:space="preserve">Now there was a woman who had been suffering from hemorrhages for twelve years; and though </w:t>
      </w:r>
      <w:r>
        <w:rPr>
          <w:u w:val="single"/>
          <w:lang w:val="en_US" w:bidi="en_US"/>
        </w:rPr>
        <w:t>she had spent all she had on physicians</w:t>
      </w:r>
      <w:r>
        <w:rPr>
          <w:lang w:val="en_US" w:bidi="en_US"/>
        </w:rPr>
        <w:t xml:space="preserve">, no one could cure her. (NRSV) </w:t>
      </w:r>
      <w:r>
        <w:rPr>
          <w:i/>
          <w:lang w:val="en_US" w:bidi="en_US"/>
        </w:rPr>
        <w:t>(BSB, GNT, KJV, NRSV, ESV, CEV, NLT96)</w:t>
      </w:r>
    </w:p>
    <w:p>
      <w:pPr/>
      <w:r>
        <w:rPr>
          <w:lang w:val="en_US" w:bidi="en_US"/>
        </w:rPr>
      </w:r>
      <w:r>
        <w:rPr>
          <w:lang w:val="en_US" w:bidi="en_US"/>
        </w:rPr>
        <w:t>It is recommended that you follow option (1), as a slight majority of English versions do.</w:t>
      </w:r>
      <w:r>
        <w:rPr>
          <w:lang w:val="en_US" w:bidi="en_US"/>
        </w:rPr>
        <w:t>The choice between including or excluding these words is a difficult one. English versions and commentators are split fairly evenly on both sides. As for external evidence, there is early attestation for both readings, though a much greater number of manuscripts support the inclusion. On the other hand, the manuscripts that exclude these words are considered some of the best. The internal evidence is also divided. The inclusion can be explained as coming from Mark 5:26. But though the essence is similar to Mark, the actual wording differs greatly. This has led Metzger to conclude: “The question is whether anyone except Luke himself would rewrite Mark in this way….” (</w:t>
      </w:r>
      <w:r>
        <w:rPr>
          <w:i/>
          <w:lang w:val="en_US" w:bidi="en_US"/>
        </w:rPr>
        <w:t>Textual Commentary</w:t>
      </w:r>
      <w:r>
        <w:rPr>
          <w:lang w:val="en_US" w:bidi="en_US"/>
        </w:rPr>
        <w:t>, First Edition, p. 145.)</w:t>
      </w:r>
      <w:r>
        <w:rPr>
          <w:lang w:val="en_US" w:bidi="en_US"/>
        </w:rPr>
        <w:t xml:space="preserve"> However, if the national language version in your area follows option (2), consider following that option. It is good to include a footnote to mention the option that you do not follow. For example:</w:t>
      </w:r>
    </w:p>
    <w:p>
      <w:pPr/>
      <w:r>
        <w:rPr>
          <w:lang w:val="en_US" w:bidi="en_US"/>
        </w:rPr>
      </w:r>
      <w:r>
        <w:rPr>
          <w:lang w:val="en_US" w:bidi="en_US"/>
        </w:rPr>
        <w:t>Some early Greek manuscripts of this verse include/exclude the words “she had spent all she had on doctors.”</w:t>
      </w:r>
    </w:p>
    <w:p>
      <w:pPr>
        <w:pStyle w:val="Heading5"/>
      </w:pPr>
      <w:r>
        <w:rPr>
          <w:lang w:val="en_US" w:bidi="en_US"/>
        </w:rPr>
        <w:t>8:43d</w:t>
      </w:r>
    </w:p>
    <w:p>
      <w:pPr/>
      <w:r>
        <w:rPr>
          <w:lang w:val="en_US" w:bidi="en_US"/>
        </w:rPr>
      </w:r>
      <w:r>
        <w:rPr>
          <w:b/>
          <w:lang w:val="en_US" w:bidi="en_US"/>
        </w:rPr>
        <w:t>but no one was able to heal her.</w:t>
      </w:r>
    </w:p>
    <w:p>
      <w:pPr>
        <w:pStyle w:val="ListBullet"/>
        <w:spacing w:line="240" w:lineRule="auto"/>
        <w:ind w:left="720"/>
      </w:pPr>
      <w:r>
        <w:rPr>
          <w:lang w:val="en_US" w:bidi="en_US"/>
        </w:rPr>
      </w:r>
      <w:r>
        <w:rPr>
          <w:lang w:val="en_US" w:bidi="en_US"/>
        </w:rPr>
        <w:t>but she could not be healed/cured by anyone.</w:t>
      </w:r>
    </w:p>
    <w:p>
      <w:pPr>
        <w:pStyle w:val="ListBullet"/>
        <w:spacing w:line="240" w:lineRule="auto"/>
        <w:ind w:left="720"/>
      </w:pPr>
      <w:r>
        <w:rPr>
          <w:lang w:val="en_US" w:bidi="en_US"/>
        </w:rPr>
      </w:r>
      <w:r>
        <w:rPr>
          <w:lang w:val="en_US" w:bidi="en_US"/>
        </w:rPr>
        <w:t>Still, no one/no doctor had been able to stop the bleeding.</w:t>
      </w:r>
    </w:p>
    <w:p>
      <w:pPr/>
      <w:r>
        <w:rPr>
          <w:lang w:val="en_US" w:bidi="en_US"/>
        </w:rPr>
      </w:r>
      <w:r>
        <w:rPr>
          <w:b/>
          <w:lang w:val="en_US" w:bidi="en_US"/>
        </w:rPr>
        <w:t>but:</w:t>
      </w:r>
      <w:r>
        <w:rPr>
          <w:lang w:val="en_US" w:bidi="en_US"/>
        </w:rPr>
        <w:t xml:space="preserve"> The BSB has supplied the word </w:t>
      </w:r>
      <w:r>
        <w:rPr>
          <w:i/>
          <w:lang w:val="en_US" w:bidi="en_US"/>
        </w:rPr>
        <w:t>but</w:t>
      </w:r>
      <w:r>
        <w:rPr>
          <w:lang w:val="en_US" w:bidi="en_US"/>
        </w:rPr>
        <w:t>. There is no connector in the Greek text, and it is probably not necessary in this context.</w:t>
      </w:r>
    </w:p>
    <w:p>
      <w:pPr/>
      <w:r>
        <w:rPr>
          <w:lang w:val="en_US" w:bidi="en_US"/>
        </w:rPr>
      </w:r>
      <w:r>
        <w:rPr>
          <w:b/>
          <w:lang w:val="en_US" w:bidi="en_US"/>
        </w:rPr>
        <w:t>no one was able to heal her:</w:t>
      </w:r>
      <w:r>
        <w:rPr>
          <w:lang w:val="en_US" w:bidi="en_US"/>
        </w:rPr>
        <w:t xml:space="preserve"> The Greek clause that the BSB translates as </w:t>
      </w:r>
      <w:r>
        <w:rPr>
          <w:i/>
          <w:lang w:val="en_US" w:bidi="en_US"/>
        </w:rPr>
        <w:t>no one was able to heal her</w:t>
      </w:r>
      <w:r>
        <w:rPr>
          <w:lang w:val="en_US" w:bidi="en_US"/>
        </w:rPr>
        <w:t xml:space="preserve"> is passive. It is literally “she could not be healed by anyone.” Translate this in a way that is natural in your language. Some ways to translate this verb are:</w:t>
      </w:r>
    </w:p>
    <w:p>
      <w:pPr>
        <w:pStyle w:val="ListBullet"/>
        <w:spacing w:line="240" w:lineRule="auto"/>
        <w:ind w:left="720"/>
      </w:pPr>
      <w:r>
        <w:rPr>
          <w:lang w:val="en_US" w:bidi="en_US"/>
        </w:rPr>
      </w:r>
      <w:r>
        <w:rPr>
          <w:lang w:val="en_US" w:bidi="en_US"/>
        </w:rPr>
        <w:t>As a passive verb. For example:</w:t>
      </w:r>
      <w:r>
        <w:rPr>
          <w:lang w:val="en_US" w:bidi="en_US"/>
        </w:rPr>
        <w:t>and could not be healed by anyone (RSV)</w:t>
      </w:r>
    </w:p>
    <w:p>
      <w:pPr>
        <w:pStyle w:val="ListBullet"/>
        <w:spacing w:line="240" w:lineRule="auto"/>
        <w:ind w:left="720"/>
      </w:pPr>
      <w:r>
        <w:rPr>
          <w:lang w:val="en_US" w:bidi="en_US"/>
        </w:rPr>
      </w:r>
      <w:r>
        <w:rPr>
          <w:lang w:val="en_US" w:bidi="en_US"/>
        </w:rPr>
        <w:t>As an active verb. For example:</w:t>
      </w:r>
      <w:r>
        <w:rPr>
          <w:lang w:val="en_US" w:bidi="en_US"/>
        </w:rPr>
        <w:t>No one could cure her. (GW)</w:t>
      </w:r>
      <w:r>
        <w:rPr>
          <w:lang w:val="en_US" w:bidi="en_US"/>
        </w:rPr>
      </w:r>
      <w:r>
        <w:rPr>
          <w:lang w:val="en_US" w:bidi="en_US"/>
        </w:rPr>
      </w:r>
    </w:p>
    <w:p>
      <w:pPr/>
      <w:r>
        <w:rPr>
          <w:lang w:val="en_US" w:bidi="en_US"/>
        </w:rPr>
      </w:r>
    </w:p>
    <w:p>
      <w:pPr>
        <w:pStyle w:val="Heading2"/>
      </w:pPr>
      <w:r>
        <w:rPr>
          <w:lang w:val="en_US" w:bidi="en_US"/>
        </w:rPr>
        <w:t>Luke 8:44</w:t>
      </w:r>
      <w:r>
        <w:rPr>
          <w:lang w:val="en_US" w:bidi="en_US"/>
        </w:rPr>
      </w:r>
    </w:p>
    <w:p>
      <w:pPr>
        <w:pStyle w:val="Heading4"/>
      </w:pPr>
      <w:r>
        <w:rPr>
          <w:lang w:val="en_US" w:bidi="en_US"/>
        </w:rPr>
        <w:t>Section 8:40–56: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pPr/>
      <w:r>
        <w:rPr>
          <w:lang w:val="en_US" w:bidi="en_US"/>
        </w:rPr>
      </w:r>
      <w:r>
        <w:rPr>
          <w:lang w:val="en_US" w:bidi="en_US"/>
        </w:rP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pPr/>
      <w:r>
        <w:rPr>
          <w:lang w:val="en_US" w:bidi="en_US"/>
        </w:rPr>
      </w:r>
      <w:r>
        <w:rPr>
          <w:lang w:val="en_US" w:bidi="en_US"/>
        </w:rPr>
        <w:t>Another important theme in this section is faith. Jesus said that the woman who was bleeding was healed because she believed that Jesus could heal her. Then he encouraged Jairus to keep believing that God could make his daughter well, even after she had died.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border/edge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Mark 5:21–43.</w:t>
      </w:r>
    </w:p>
    <w:p>
      <w:pPr>
        <w:pStyle w:val="Heading4"/>
      </w:pPr>
      <w:r>
        <w:rPr>
          <w:lang w:val="en_US" w:bidi="en_US"/>
        </w:rPr>
        <w:t>Paragraph 8:42b–44</w:t>
      </w:r>
    </w:p>
    <w:p>
      <w:pPr/>
      <w:r>
        <w:rPr>
          <w:lang w:val="en_US" w:bidi="en_US"/>
        </w:rPr>
      </w:r>
      <w:r>
        <w:rPr>
          <w:lang w:val="en_US" w:bidi="en_US"/>
        </w:rPr>
        <w:t>This paragraph begins a new story that happens before the story of Jairus ends. It describes how Jesus helped someone else before he arrived at Jairus’ house. Introduce it in a way that is natural in your language for such a context.</w:t>
      </w:r>
    </w:p>
    <w:p>
      <w:pPr>
        <w:pStyle w:val="Heading5"/>
      </w:pPr>
      <w:r>
        <w:rPr>
          <w:lang w:val="en_US" w:bidi="en_US"/>
        </w:rPr>
        <w:t>8:44a</w:t>
      </w:r>
    </w:p>
    <w:p>
      <w:pPr/>
      <w:r>
        <w:rPr>
          <w:lang w:val="en_US" w:bidi="en_US"/>
        </w:rPr>
      </w:r>
      <w:r>
        <w:rPr>
          <w:b/>
          <w:lang w:val="en_US" w:bidi="en_US"/>
        </w:rPr>
        <w:t>She came up behind Jesus and touched the fringe of His cloak,</w:t>
      </w:r>
    </w:p>
    <w:p>
      <w:pPr>
        <w:pStyle w:val="ListBullet"/>
        <w:spacing w:line="240" w:lineRule="auto"/>
        <w:ind w:left="720"/>
      </w:pPr>
      <w:r>
        <w:rPr>
          <w:lang w:val="en_US" w:bidi="en_US"/>
        </w:rPr>
      </w:r>
      <w:r>
        <w:rPr>
          <w:lang w:val="en_US" w:bidi="en_US"/>
        </w:rPr>
        <w:t xml:space="preserve">She came close behind him and touched the fringe/tassel of his </w:t>
      </w:r>
      <w:r>
        <w:rPr>
          <w:lang w:val="en_US" w:bidi="en_US"/>
        </w:rPr>
        <w:t>outer</w:t>
      </w:r>
      <w:r>
        <w:rPr>
          <w:lang w:val="en_US" w:bidi="en_US"/>
        </w:rPr>
        <w:t xml:space="preserve"> garment.</w:t>
      </w:r>
    </w:p>
    <w:p>
      <w:pPr>
        <w:pStyle w:val="ListBullet"/>
        <w:spacing w:line="240" w:lineRule="auto"/>
        <w:ind w:left="720"/>
      </w:pPr>
      <w:r>
        <w:rPr>
          <w:lang w:val="en_US" w:bidi="en_US"/>
        </w:rPr>
      </w:r>
      <w:r>
        <w:rPr>
          <w:lang w:val="en_US" w:bidi="en_US"/>
        </w:rPr>
        <w:t>She approached Jesus from behind so that she could touch the hem/border of his robe.</w:t>
      </w:r>
    </w:p>
    <w:p>
      <w:pPr/>
      <w:r>
        <w:rPr>
          <w:lang w:val="en_US" w:bidi="en_US"/>
        </w:rPr>
      </w:r>
      <w:r>
        <w:rPr>
          <w:b/>
          <w:lang w:val="en_US" w:bidi="en_US"/>
        </w:rPr>
        <w:t>She came up behind Jesus:</w:t>
      </w:r>
      <w:r>
        <w:rPr>
          <w:lang w:val="en_US" w:bidi="en_US"/>
        </w:rPr>
        <w:t xml:space="preserve"> The woman probably came to Jesus from </w:t>
      </w:r>
      <w:r>
        <w:rPr>
          <w:i/>
          <w:lang w:val="en_US" w:bidi="en_US"/>
        </w:rPr>
        <w:t>behind</w:t>
      </w:r>
      <w:r>
        <w:rPr>
          <w:lang w:val="en_US" w:bidi="en_US"/>
        </w:rPr>
        <w:t xml:space="preserve"> him because she did not want him to notice her. In your language you may want to make this explicit. For example:</w:t>
      </w:r>
    </w:p>
    <w:p>
      <w:pPr/>
      <w:r>
        <w:rPr>
          <w:lang w:val="en_US" w:bidi="en_US"/>
        </w:rPr>
      </w:r>
      <w:r>
        <w:rPr>
          <w:lang w:val="en_US" w:bidi="en_US"/>
        </w:rPr>
        <w:t xml:space="preserve">she approached </w:t>
      </w:r>
      <w:r>
        <w:rPr>
          <w:lang w:val="en_US" w:bidi="en_US"/>
        </w:rPr>
        <w:t>quietly/secretly</w:t>
      </w:r>
      <w:r>
        <w:rPr>
          <w:lang w:val="en_US" w:bidi="en_US"/>
        </w:rPr>
        <w:t xml:space="preserve"> from behind</w:t>
      </w:r>
    </w:p>
    <w:p>
      <w:pPr/>
      <w:r>
        <w:rPr>
          <w:lang w:val="en_US" w:bidi="en_US"/>
        </w:rPr>
      </w:r>
      <w:r>
        <w:rPr>
          <w:b/>
          <w:lang w:val="en_US" w:bidi="en_US"/>
        </w:rPr>
        <w:t>and touched the fringe of His cloak:</w:t>
      </w:r>
      <w:r>
        <w:rPr>
          <w:lang w:val="en_US" w:bidi="en_US"/>
        </w:rPr>
        <w:t xml:space="preserve"> Mark 5:28 explains that the woman touched Jesus’ cloak because she believed that this would cause her to be healed. She did not touch him by accident. Translate this in a way that indicates that she touched him intentionally. For example:</w:t>
      </w:r>
    </w:p>
    <w:p>
      <w:pPr/>
      <w:r>
        <w:rPr>
          <w:lang w:val="en_US" w:bidi="en_US"/>
        </w:rPr>
      </w:r>
      <w:r>
        <w:rPr>
          <w:lang w:val="en_US" w:bidi="en_US"/>
        </w:rPr>
        <w:t>intentionally</w:t>
      </w:r>
      <w:r>
        <w:rPr>
          <w:lang w:val="en_US" w:bidi="en_US"/>
        </w:rPr>
        <w:t xml:space="preserve"> touched the edge of his cloak</w:t>
      </w:r>
    </w:p>
    <w:p>
      <w:pPr/>
      <w:r>
        <w:rPr>
          <w:lang w:val="en_US" w:bidi="en_US"/>
        </w:rPr>
      </w:r>
      <w:r>
        <w:rPr>
          <w:lang w:val="en_US" w:bidi="en_US"/>
        </w:rPr>
        <w:t xml:space="preserve">touched the edge of his cloak </w:t>
      </w:r>
      <w:r>
        <w:rPr>
          <w:lang w:val="en_US" w:bidi="en_US"/>
        </w:rPr>
        <w:t>in order to be healed</w:t>
      </w:r>
    </w:p>
    <w:p>
      <w:pPr/>
      <w:r>
        <w:rPr>
          <w:lang w:val="en_US" w:bidi="en_US"/>
        </w:rPr>
      </w:r>
      <w:r>
        <w:rPr>
          <w:lang w:val="en_US" w:bidi="en_US"/>
        </w:rPr>
        <w:t xml:space="preserve">touched the edge of his cloak </w:t>
      </w:r>
      <w:r>
        <w:rPr>
          <w:lang w:val="en_US" w:bidi="en_US"/>
        </w:rPr>
        <w:t>so that Jesus’ power would heal her</w:t>
      </w:r>
    </w:p>
    <w:p>
      <w:pPr/>
      <w:r>
        <w:rPr>
          <w:lang w:val="en_US" w:bidi="en_US"/>
        </w:rPr>
      </w:r>
      <w:r>
        <w:rPr>
          <w:b/>
          <w:lang w:val="en_US" w:bidi="en_US"/>
        </w:rPr>
        <w:t>the fringe of His cloak:</w:t>
      </w:r>
      <w:r>
        <w:rPr>
          <w:lang w:val="en_US" w:bidi="en_US"/>
        </w:rPr>
        <w:t xml:space="preserve"> The Greek word that the BSB translates as </w:t>
      </w:r>
      <w:r>
        <w:rPr>
          <w:i/>
          <w:lang w:val="en_US" w:bidi="en_US"/>
        </w:rPr>
        <w:t>fringe</w:t>
      </w:r>
      <w:r>
        <w:rPr>
          <w:lang w:val="en_US" w:bidi="en_US"/>
        </w:rPr>
        <w:t xml:space="preserve"> can refer generally to the edge or border of a piece of cloth. Or it can refer more specifically to the fringe or tassel that was sometimes part of the cloak that Jewish men wore. These fringes reminded them that they must stay devoted to God.</w:t>
      </w:r>
      <w:r>
        <w:rPr>
          <w:lang w:val="en_US" w:bidi="en_US"/>
        </w:rPr>
        <w:t>Though the majority of English versions have translated this as “edge” or “fringe,” the majority of commentators (for example, see Arndt, Bock, Marshall, Plummer) favor the position that it was probably one of the tassels that the woman touched.</w:t>
      </w:r>
      <w:r>
        <w:rPr>
          <w:lang w:val="en_US" w:bidi="en_US"/>
        </w:rPr>
        <w:t xml:space="preserve"> (See Numbers 15:38–39 and Deuteronomy 22:12 for instructions about tassels.)</w:t>
      </w:r>
    </w:p>
    <w:p>
      <w:pPr/>
      <w:r>
        <w:rPr>
          <w:lang w:val="en_US" w:bidi="en_US"/>
        </w:rPr>
      </w:r>
      <w:r>
        <w:rPr>
          <w:lang w:val="en_US" w:bidi="en_US"/>
        </w:rPr>
        <w:t>There are two ways to translate this:</w:t>
      </w:r>
    </w:p>
    <w:p>
      <w:pPr>
        <w:pStyle w:val="ListBullet"/>
        <w:spacing w:line="240" w:lineRule="auto"/>
        <w:ind w:left="720"/>
      </w:pPr>
      <w:r>
        <w:rPr>
          <w:lang w:val="en_US" w:bidi="en_US"/>
        </w:rPr>
      </w:r>
      <w:r>
        <w:rPr>
          <w:lang w:val="en_US" w:bidi="en_US"/>
        </w:rPr>
        <w:t>Use a word that refers to a “fringe” or “tassel” on the edge of a garment. For example:</w:t>
      </w:r>
      <w:r>
        <w:rPr>
          <w:lang w:val="en_US" w:bidi="en_US"/>
        </w:rPr>
        <w:t>threads that hang from the hem of his garment</w:t>
      </w:r>
    </w:p>
    <w:p>
      <w:pPr>
        <w:pStyle w:val="ListBullet"/>
        <w:spacing w:line="240" w:lineRule="auto"/>
        <w:ind w:left="720"/>
      </w:pPr>
      <w:r>
        <w:rPr>
          <w:lang w:val="en_US" w:bidi="en_US"/>
        </w:rPr>
      </w:r>
      <w:r>
        <w:rPr>
          <w:lang w:val="en_US" w:bidi="en_US"/>
        </w:rPr>
        <w:t>Use a more general term that refers to the hem or edge of the garment. For example:</w:t>
      </w:r>
      <w:r>
        <w:rPr>
          <w:lang w:val="en_US" w:bidi="en_US"/>
        </w:rPr>
        <w:t>edge</w:t>
      </w:r>
      <w:r>
        <w:rPr>
          <w:lang w:val="en_US" w:bidi="en_US"/>
        </w:rPr>
        <w:t>border</w:t>
      </w:r>
      <w:r>
        <w:rPr>
          <w:lang w:val="en_US" w:bidi="en_US"/>
        </w:rPr>
        <w:t>hem</w:t>
      </w:r>
    </w:p>
    <w:p>
      <w:pPr/>
      <w:r>
        <w:rPr>
          <w:lang w:val="en_US" w:bidi="en_US"/>
        </w:rPr>
      </w:r>
      <w:r>
        <w:rPr>
          <w:b/>
          <w:lang w:val="en_US" w:bidi="en_US"/>
        </w:rPr>
        <w:t>cloak:</w:t>
      </w:r>
      <w:r>
        <w:rPr>
          <w:lang w:val="en_US" w:bidi="en_US"/>
        </w:rPr>
        <w:t xml:space="preserve"> The Greek word that the BSB translates as </w:t>
      </w:r>
      <w:r>
        <w:rPr>
          <w:i/>
          <w:lang w:val="en_US" w:bidi="en_US"/>
        </w:rPr>
        <w:t>cloak</w:t>
      </w:r>
      <w:r>
        <w:rPr>
          <w:lang w:val="en_US" w:bidi="en_US"/>
        </w:rPr>
        <w:t xml:space="preserve"> refers to a long, loose outer garment like a coat or robe. If such a garment is not worn in your area, you may want to use a general expression. For example:</w:t>
      </w:r>
    </w:p>
    <w:p>
      <w:pPr/>
      <w:r>
        <w:rPr>
          <w:lang w:val="en_US" w:bidi="en_US"/>
        </w:rPr>
      </w:r>
      <w:r>
        <w:rPr>
          <w:lang w:val="en_US" w:bidi="en_US"/>
        </w:rPr>
        <w:t>clothing</w:t>
      </w:r>
    </w:p>
    <w:p>
      <w:pPr/>
      <w:r>
        <w:rPr>
          <w:lang w:val="en_US" w:bidi="en_US"/>
        </w:rPr>
      </w:r>
      <w:r>
        <w:rPr>
          <w:lang w:val="en_US" w:bidi="en_US"/>
        </w:rPr>
        <w:t>garment</w:t>
      </w:r>
    </w:p>
    <w:p>
      <w:pPr/>
      <w:r>
        <w:rPr>
          <w:lang w:val="en_US" w:bidi="en_US"/>
        </w:rPr>
      </w:r>
      <w:r>
        <w:rPr>
          <w:lang w:val="en_US" w:bidi="en_US"/>
        </w:rPr>
        <w:t>Be careful not to use a term that would imply foreign or expensive clothing.</w:t>
      </w:r>
    </w:p>
    <w:p>
      <w:pPr>
        <w:pStyle w:val="Heading5"/>
      </w:pPr>
      <w:r>
        <w:rPr>
          <w:lang w:val="en_US" w:bidi="en_US"/>
        </w:rPr>
        <w:t>8:44b</w:t>
      </w:r>
    </w:p>
    <w:p>
      <w:pPr/>
      <w:r>
        <w:rPr>
          <w:lang w:val="en_US" w:bidi="en_US"/>
        </w:rPr>
      </w:r>
      <w:r>
        <w:rPr>
          <w:b/>
          <w:lang w:val="en_US" w:bidi="en_US"/>
        </w:rPr>
        <w:t>and immediately her bleeding stopped.</w:t>
      </w:r>
    </w:p>
    <w:p>
      <w:pPr>
        <w:pStyle w:val="ListBullet"/>
        <w:spacing w:line="240" w:lineRule="auto"/>
        <w:ind w:left="720"/>
      </w:pPr>
      <w:r>
        <w:rPr>
          <w:lang w:val="en_US" w:bidi="en_US"/>
        </w:rPr>
      </w:r>
      <w:r>
        <w:rPr>
          <w:lang w:val="en_US" w:bidi="en_US"/>
        </w:rPr>
        <w:t xml:space="preserve">And </w:t>
      </w:r>
      <w:r>
        <w:rPr>
          <w:lang w:val="en_US" w:bidi="en_US"/>
        </w:rPr>
        <w:t>as a result,</w:t>
      </w:r>
      <w:r>
        <w:rPr>
          <w:lang w:val="en_US" w:bidi="en_US"/>
        </w:rPr>
        <w:t xml:space="preserve"> the bleeding disorder ceased at that very moment.</w:t>
      </w:r>
    </w:p>
    <w:p>
      <w:pPr>
        <w:pStyle w:val="ListBullet"/>
        <w:spacing w:line="240" w:lineRule="auto"/>
        <w:ind w:left="720"/>
      </w:pPr>
      <w:r>
        <w:rPr>
          <w:lang w:val="en_US" w:bidi="en_US"/>
        </w:rPr>
      </w:r>
      <w:r>
        <w:rPr>
          <w:lang w:val="en_US" w:bidi="en_US"/>
        </w:rPr>
        <w:t xml:space="preserve">As soon as she touched it, the bleeding stopped </w:t>
      </w:r>
      <w:r>
        <w:rPr>
          <w:lang w:val="en_US" w:bidi="en_US"/>
        </w:rPr>
        <w:t>and she became well</w:t>
      </w:r>
      <w:r>
        <w:rPr>
          <w:lang w:val="en_US" w:bidi="en_US"/>
        </w:rPr>
        <w:t>.</w:t>
      </w:r>
    </w:p>
    <w:p>
      <w:pPr/>
      <w:r>
        <w:rPr>
          <w:lang w:val="en_US" w:bidi="en_US"/>
        </w:rPr>
      </w:r>
      <w:r>
        <w:rPr>
          <w:b/>
          <w:lang w:val="en_US" w:bidi="en_US"/>
        </w:rPr>
        <w:t>her bleeding stopped:</w:t>
      </w:r>
      <w:r>
        <w:rPr>
          <w:lang w:val="en_US" w:bidi="en_US"/>
        </w:rPr>
        <w:t xml:space="preserve"> As in 8:43a, the </w:t>
      </w:r>
      <w:r>
        <w:rPr>
          <w:i/>
          <w:lang w:val="en_US" w:bidi="en_US"/>
        </w:rPr>
        <w:t>bleeding</w:t>
      </w:r>
      <w:r>
        <w:rPr>
          <w:lang w:val="en_US" w:bidi="en_US"/>
        </w:rPr>
        <w:t xml:space="preserve"> refers to blood coming from the woman’s womb. Use an appropriate expression in your language. See the note on 8:43a.</w:t>
      </w:r>
      <w:r>
        <w:rPr>
          <w:lang w:val="en_US" w:bidi="en_US"/>
        </w:rPr>
      </w:r>
      <w:r>
        <w:rPr>
          <w:lang w:val="en_US" w:bidi="en_US"/>
        </w:rPr>
      </w:r>
    </w:p>
    <w:p>
      <w:pPr/>
      <w:r>
        <w:rPr>
          <w:lang w:val="en_US" w:bidi="en_US"/>
        </w:rPr>
      </w:r>
    </w:p>
    <w:p>
      <w:pPr>
        <w:pStyle w:val="Heading2"/>
      </w:pPr>
      <w:r>
        <w:rPr>
          <w:lang w:val="en_US" w:bidi="en_US"/>
        </w:rPr>
        <w:t>Luke 8:45</w:t>
      </w:r>
      <w:r>
        <w:rPr>
          <w:lang w:val="en_US" w:bidi="en_US"/>
        </w:rPr>
      </w:r>
    </w:p>
    <w:p>
      <w:pPr>
        <w:pStyle w:val="Heading4"/>
      </w:pPr>
      <w:r>
        <w:rPr>
          <w:lang w:val="en_US" w:bidi="en_US"/>
        </w:rPr>
        <w:t>Section 8:40–56: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pPr/>
      <w:r>
        <w:rPr>
          <w:lang w:val="en_US" w:bidi="en_US"/>
        </w:rPr>
      </w:r>
      <w:r>
        <w:rPr>
          <w:lang w:val="en_US" w:bidi="en_US"/>
        </w:rP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pPr/>
      <w:r>
        <w:rPr>
          <w:lang w:val="en_US" w:bidi="en_US"/>
        </w:rPr>
      </w:r>
      <w:r>
        <w:rPr>
          <w:lang w:val="en_US" w:bidi="en_US"/>
        </w:rPr>
        <w:t>Another important theme in this section is faith. Jesus said that the woman who was bleeding was healed because she believed that Jesus could heal her. Then he encouraged Jairus to keep believing that God could make his daughter well, even after she had died.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border/edge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Mark 5:21–43.</w:t>
      </w:r>
    </w:p>
    <w:p>
      <w:pPr>
        <w:pStyle w:val="Heading5"/>
      </w:pPr>
      <w:r>
        <w:rPr>
          <w:lang w:val="en_US" w:bidi="en_US"/>
        </w:rPr>
        <w:t>8:45a</w:t>
      </w:r>
    </w:p>
    <w:p>
      <w:pPr/>
      <w:r>
        <w:rPr>
          <w:lang w:val="en_US" w:bidi="en_US"/>
        </w:rPr>
      </w:r>
      <w:r>
        <w:rPr>
          <w:b/>
          <w:lang w:val="en_US" w:bidi="en_US"/>
        </w:rPr>
        <w:t>“Who touched Me?” Jesus asked.</w:t>
      </w:r>
    </w:p>
    <w:p>
      <w:pPr>
        <w:pStyle w:val="ListBullet"/>
        <w:spacing w:line="240" w:lineRule="auto"/>
        <w:ind w:left="720"/>
      </w:pPr>
      <w:r>
        <w:rPr>
          <w:lang w:val="en_US" w:bidi="en_US"/>
        </w:rPr>
      </w:r>
      <w:r>
        <w:rPr>
          <w:lang w:val="en_US" w:bidi="en_US"/>
        </w:rPr>
        <w:t>¶ Jesus asked, “Who touched me?”</w:t>
      </w:r>
    </w:p>
    <w:p>
      <w:pPr>
        <w:pStyle w:val="ListBullet"/>
        <w:spacing w:line="240" w:lineRule="auto"/>
        <w:ind w:left="720"/>
      </w:pPr>
      <w:r>
        <w:rPr>
          <w:lang w:val="en_US" w:bidi="en_US"/>
        </w:rPr>
      </w:r>
      <w:r>
        <w:rPr>
          <w:lang w:val="en_US" w:bidi="en_US"/>
        </w:rPr>
        <w:t>¶ Jesus said, “Someone touched me. Who was it?”</w:t>
      </w:r>
    </w:p>
    <w:p>
      <w:pPr/>
      <w:r>
        <w:rPr>
          <w:lang w:val="en_US" w:bidi="en_US"/>
        </w:rPr>
      </w:r>
      <w:r>
        <w:rPr>
          <w:b/>
          <w:lang w:val="en_US" w:bidi="en_US"/>
        </w:rPr>
        <w:t>“Who touched Me?” Jesus asked:</w:t>
      </w:r>
      <w:r>
        <w:rPr>
          <w:lang w:val="en_US" w:bidi="en_US"/>
        </w:rPr>
        <w:t xml:space="preserve"> The BSB has placed the phrase </w:t>
      </w:r>
      <w:r>
        <w:rPr>
          <w:i/>
          <w:lang w:val="en_US" w:bidi="en_US"/>
        </w:rPr>
        <w:t>Jesus asked</w:t>
      </w:r>
      <w:r>
        <w:rPr>
          <w:lang w:val="en_US" w:bidi="en_US"/>
        </w:rPr>
        <w:t xml:space="preserve"> after the quotation. In the Greek text, it comes before the speech begins. Place it where it is most natural in your language.</w:t>
      </w:r>
    </w:p>
    <w:p>
      <w:pPr/>
      <w:r>
        <w:rPr>
          <w:lang w:val="en_US" w:bidi="en_US"/>
        </w:rPr>
      </w:r>
      <w:r>
        <w:rPr>
          <w:b/>
          <w:lang w:val="en_US" w:bidi="en_US"/>
        </w:rPr>
        <w:t>Jesus asked:</w:t>
      </w:r>
      <w:r>
        <w:rPr>
          <w:lang w:val="en_US" w:bidi="en_US"/>
        </w:rPr>
        <w:t xml:space="preserve"> The text does not indicate to whom Jesus spoke when he asked who touched him. It is likely that he spoke to the people who were near him in the crowd. He wanted the person who touched him to respond. In some languages you may need to indicate to whom Jesus was speaking: For example:</w:t>
      </w:r>
    </w:p>
    <w:p>
      <w:pPr/>
      <w:r>
        <w:rPr>
          <w:lang w:val="en_US" w:bidi="en_US"/>
        </w:rPr>
      </w:r>
      <w:r>
        <w:rPr>
          <w:lang w:val="en_US" w:bidi="en_US"/>
        </w:rPr>
        <w:t xml:space="preserve">Jesus asked </w:t>
      </w:r>
      <w:r>
        <w:rPr>
          <w:lang w:val="en_US" w:bidi="en_US"/>
        </w:rPr>
        <w:t>those near him</w:t>
      </w:r>
    </w:p>
    <w:p>
      <w:pPr/>
      <w:r>
        <w:rPr>
          <w:lang w:val="en_US" w:bidi="en_US"/>
        </w:rPr>
      </w:r>
      <w:r>
        <w:rPr>
          <w:lang w:val="en_US" w:bidi="en_US"/>
        </w:rPr>
        <w:t xml:space="preserve">Jesus asked </w:t>
      </w:r>
      <w:r>
        <w:rPr>
          <w:lang w:val="en_US" w:bidi="en_US"/>
        </w:rPr>
        <w:t>the crowd behind him</w:t>
      </w:r>
    </w:p>
    <w:p>
      <w:pPr>
        <w:pStyle w:val="Heading5"/>
      </w:pPr>
      <w:r>
        <w:rPr>
          <w:lang w:val="en_US" w:bidi="en_US"/>
        </w:rPr>
        <w:t>8:45b</w:t>
      </w:r>
    </w:p>
    <w:p>
      <w:pPr/>
      <w:r>
        <w:rPr>
          <w:lang w:val="en_US" w:bidi="en_US"/>
        </w:rPr>
      </w:r>
      <w:r>
        <w:rPr>
          <w:b/>
          <w:lang w:val="en_US" w:bidi="en_US"/>
        </w:rPr>
        <w:t>But they all denied it.</w:t>
      </w:r>
    </w:p>
    <w:p>
      <w:pPr>
        <w:pStyle w:val="ListBullet"/>
        <w:spacing w:line="240" w:lineRule="auto"/>
        <w:ind w:left="720"/>
      </w:pPr>
      <w:r>
        <w:rPr>
          <w:lang w:val="en_US" w:bidi="en_US"/>
        </w:rPr>
      </w:r>
      <w:r>
        <w:rPr>
          <w:lang w:val="en_US" w:bidi="en_US"/>
        </w:rPr>
        <w:t>When they all said that they had not touched him,</w:t>
      </w:r>
    </w:p>
    <w:p>
      <w:pPr>
        <w:pStyle w:val="ListBullet"/>
        <w:spacing w:line="240" w:lineRule="auto"/>
        <w:ind w:left="720"/>
      </w:pPr>
      <w:r>
        <w:rPr>
          <w:lang w:val="en_US" w:bidi="en_US"/>
        </w:rPr>
      </w:r>
      <w:r>
        <w:rPr>
          <w:lang w:val="en_US" w:bidi="en_US"/>
        </w:rPr>
        <w:t xml:space="preserve">All the people </w:t>
      </w:r>
      <w:r>
        <w:rPr>
          <w:lang w:val="en_US" w:bidi="en_US"/>
        </w:rPr>
        <w:t>around/near him</w:t>
      </w:r>
      <w:r>
        <w:rPr>
          <w:lang w:val="en_US" w:bidi="en_US"/>
        </w:rPr>
        <w:t xml:space="preserve"> said, “I am not the one who touched you.”</w:t>
      </w:r>
    </w:p>
    <w:p>
      <w:pPr/>
      <w:r>
        <w:rPr>
          <w:lang w:val="en_US" w:bidi="en_US"/>
        </w:rPr>
      </w:r>
      <w:r>
        <w:rPr>
          <w:b/>
          <w:lang w:val="en_US" w:bidi="en_US"/>
        </w:rPr>
        <w:t>they all denied it:</w:t>
      </w:r>
      <w:r>
        <w:rPr>
          <w:lang w:val="en_US" w:bidi="en_US"/>
        </w:rPr>
        <w:t xml:space="preserve"> The Greek word that the BSB translates as </w:t>
      </w:r>
      <w:r>
        <w:rPr>
          <w:i/>
          <w:lang w:val="en_US" w:bidi="en_US"/>
        </w:rPr>
        <w:t>they all</w:t>
      </w:r>
      <w:r>
        <w:rPr>
          <w:lang w:val="en_US" w:bidi="en_US"/>
        </w:rPr>
        <w:t xml:space="preserve"> refers to the various people around Jesus who heard his question.</w:t>
      </w:r>
    </w:p>
    <w:p>
      <w:pPr/>
      <w:r>
        <w:rPr>
          <w:lang w:val="en_US" w:bidi="en_US"/>
        </w:rPr>
      </w:r>
      <w:r>
        <w:rPr>
          <w:lang w:val="en_US" w:bidi="en_US"/>
        </w:rPr>
        <w:t>In some languages, it may be natural to use direct speech here. For example:</w:t>
      </w:r>
    </w:p>
    <w:p>
      <w:pPr/>
      <w:r>
        <w:rPr>
          <w:lang w:val="en_US" w:bidi="en_US"/>
        </w:rPr>
      </w:r>
      <w:r>
        <w:rPr>
          <w:lang w:val="en_US" w:bidi="en_US"/>
        </w:rPr>
        <w:t>Everyone around him said, “I did not touch you.”</w:t>
      </w:r>
    </w:p>
    <w:p>
      <w:pPr/>
      <w:r>
        <w:rPr>
          <w:lang w:val="en_US" w:bidi="en_US"/>
        </w:rPr>
      </w:r>
      <w:r>
        <w:rPr>
          <w:lang w:val="en_US" w:bidi="en_US"/>
        </w:rPr>
        <w:t>All the people near him denied it, saying, “I am not the one.”</w:t>
      </w:r>
    </w:p>
    <w:p>
      <w:pPr>
        <w:pStyle w:val="Heading5"/>
      </w:pPr>
      <w:r>
        <w:rPr>
          <w:lang w:val="en_US" w:bidi="en_US"/>
        </w:rPr>
        <w:t>8:45c</w:t>
      </w:r>
    </w:p>
    <w:p>
      <w:pPr/>
      <w:r>
        <w:rPr>
          <w:lang w:val="en_US" w:bidi="en_US"/>
        </w:rPr>
      </w:r>
      <w:r>
        <w:rPr>
          <w:b/>
          <w:lang w:val="en_US" w:bidi="en_US"/>
        </w:rPr>
        <w:t>“Master,” said Peter, “the people are crowding and pressing against You.”</w:t>
      </w:r>
    </w:p>
    <w:p>
      <w:pPr>
        <w:pStyle w:val="ListBullet"/>
        <w:spacing w:line="240" w:lineRule="auto"/>
        <w:ind w:left="720"/>
      </w:pPr>
      <w:r>
        <w:rPr>
          <w:lang w:val="en_US" w:bidi="en_US"/>
        </w:rPr>
      </w:r>
      <w:r>
        <w:rPr>
          <w:lang w:val="en_US" w:bidi="en_US"/>
        </w:rPr>
        <w:t xml:space="preserve">Peter said, “Master, a crowd of people surrounds you and presses against you.” </w:t>
      </w:r>
      <w:r>
        <w:rPr>
          <w:lang w:val="en_US" w:bidi="en_US"/>
        </w:rPr>
        <w:t>It seems very strange that you should ask, “Who touched me?”</w:t>
      </w:r>
    </w:p>
    <w:p>
      <w:pPr>
        <w:pStyle w:val="ListBullet"/>
        <w:spacing w:line="240" w:lineRule="auto"/>
        <w:ind w:left="720"/>
      </w:pPr>
      <w:r>
        <w:rPr>
          <w:lang w:val="en_US" w:bidi="en_US"/>
        </w:rPr>
      </w:r>
      <w:r>
        <w:rPr>
          <w:lang w:val="en_US" w:bidi="en_US"/>
        </w:rPr>
        <w:t>Then</w:t>
      </w:r>
      <w:r>
        <w:rPr>
          <w:lang w:val="en_US" w:bidi="en_US"/>
        </w:rPr>
        <w:t xml:space="preserve"> Peter said </w:t>
      </w:r>
      <w:r>
        <w:rPr>
          <w:lang w:val="en_US" w:bidi="en_US"/>
        </w:rPr>
        <w:t>to Jesus</w:t>
      </w:r>
      <w:r>
        <w:rPr>
          <w:lang w:val="en_US" w:bidi="en_US"/>
        </w:rPr>
        <w:t xml:space="preserve">, “Lord, </w:t>
      </w:r>
      <w:r>
        <w:rPr>
          <w:lang w:val="en_US" w:bidi="en_US"/>
        </w:rPr>
        <w:t>many people are touching you, because</w:t>
      </w:r>
      <w:r>
        <w:rPr>
          <w:lang w:val="en_US" w:bidi="en_US"/>
        </w:rPr>
        <w:t xml:space="preserve"> the crowd is encircling and pressing against you.”</w:t>
      </w:r>
    </w:p>
    <w:p>
      <w:pPr/>
      <w:r>
        <w:rPr>
          <w:lang w:val="en_US" w:bidi="en_US"/>
        </w:rPr>
      </w:r>
      <w:r>
        <w:rPr>
          <w:b/>
          <w:lang w:val="en_US" w:bidi="en_US"/>
        </w:rPr>
        <w:t>“Master,” said Peter:</w:t>
      </w:r>
      <w:r>
        <w:rPr>
          <w:lang w:val="en_US" w:bidi="en_US"/>
        </w:rPr>
        <w:t xml:space="preserve"> </w:t>
      </w:r>
      <w:r>
        <w:rPr>
          <w:lang w:val="en_US" w:bidi="en_US"/>
        </w:rPr>
        <w:t>There is a textual issue here. Some Greek manuscripts have only “Peter.” Other manuscripts have “Peter and those with him.” The KJV follows the manuscripts that have “Peter and those with him.” It is recommended that you follow the BSB and the majority of English versions that have only “Peter.” However, if the national language version has “Peter and those with him,” it is recommended that you mention this in a footnote. For example: Some Greek manuscripts and [the national language version] have “Peter and those with him.”</w:t>
      </w:r>
      <w:r>
        <w:rPr>
          <w:lang w:val="en_US" w:bidi="en_US"/>
        </w:rPr>
        <w:t xml:space="preserve"> The Greek word that the BSB translates as </w:t>
      </w:r>
      <w:r>
        <w:rPr>
          <w:i/>
          <w:lang w:val="en_US" w:bidi="en_US"/>
        </w:rPr>
        <w:t>Master</w:t>
      </w:r>
      <w:r>
        <w:rPr>
          <w:lang w:val="en_US" w:bidi="en_US"/>
        </w:rPr>
        <w:t xml:space="preserve"> is a term that shows respect. Peter used it to address Jesus as a person who had high status.</w:t>
      </w:r>
      <w:r>
        <w:rPr>
          <w:lang w:val="en_US" w:bidi="en_US"/>
        </w:rPr>
        <w:t xml:space="preserve">The Greek word here is </w:t>
      </w:r>
      <w:r>
        <w:rPr>
          <w:i/>
          <w:lang w:val="en_US" w:bidi="en_US"/>
        </w:rPr>
        <w:t>Ἐπιστάτα</w:t>
      </w:r>
      <w:r>
        <w:rPr>
          <w:lang w:val="en_US" w:bidi="en_US"/>
        </w:rPr>
        <w:t>.</w:t>
      </w:r>
      <w:r>
        <w:rPr>
          <w:lang w:val="en_US" w:bidi="en_US"/>
        </w:rPr>
        <w:t xml:space="preserve"> See the note at 5:5a where the same term is used.</w:t>
      </w:r>
    </w:p>
    <w:p>
      <w:pPr/>
      <w:r>
        <w:rPr>
          <w:lang w:val="en_US" w:bidi="en_US"/>
        </w:rPr>
      </w:r>
      <w:r>
        <w:rPr>
          <w:b/>
          <w:lang w:val="en_US" w:bidi="en_US"/>
        </w:rPr>
        <w:t>the people are crowding and pressing against You:</w:t>
      </w:r>
      <w:r>
        <w:rPr>
          <w:lang w:val="en_US" w:bidi="en_US"/>
        </w:rPr>
        <w:t xml:space="preserve"> </w:t>
      </w:r>
      <w:r>
        <w:rPr>
          <w:lang w:val="en_US" w:bidi="en_US"/>
        </w:rPr>
        <w:t>There is a textual issue here. Some Greek manuscripts add the words “and you say, ‘Who touched me?’” The KJV follows the manuscripts that include these words. It is recommended that you follow the BSB and the majority of English versions, which do not include these words. However, if the national language version includes these words, it is recommended that you mention this in a footnote. For example: “Some Greek manuscripts and [the national language version] add the words ‘and you say, “Who touched me?”’”</w:t>
      </w:r>
      <w:r>
        <w:rPr>
          <w:lang w:val="en_US" w:bidi="en_US"/>
        </w:rPr>
        <w:t xml:space="preserve"> By saying </w:t>
      </w:r>
      <w:r>
        <w:rPr>
          <w:i/>
          <w:lang w:val="en_US" w:bidi="en_US"/>
        </w:rPr>
        <w:t>the people are crowding and pressing against You</w:t>
      </w:r>
      <w:r>
        <w:rPr>
          <w:lang w:val="en_US" w:bidi="en_US"/>
        </w:rPr>
        <w:t>, Peter implied that many people had touched Jesus. He indicated that he did not understand why Jesus asked the question “Who touched me?” See Mark 5:31, which expresses this same lack of understanding with the question “and yet you can ask, ‘Who touched me?’”</w:t>
      </w:r>
    </w:p>
    <w:p>
      <w:pPr/>
      <w:r>
        <w:rPr>
          <w:lang w:val="en_US" w:bidi="en_US"/>
        </w:rPr>
      </w:r>
      <w:r>
        <w:rPr>
          <w:lang w:val="en_US" w:bidi="en_US"/>
        </w:rPr>
        <w:t>It may be necessary or helpful to make some of this explicit in your language. For example:</w:t>
      </w:r>
    </w:p>
    <w:p>
      <w:pPr/>
      <w:r>
        <w:rPr>
          <w:lang w:val="en_US" w:bidi="en_US"/>
        </w:rPr>
      </w:r>
      <w:r>
        <w:rPr>
          <w:lang w:val="en_US" w:bidi="en_US"/>
        </w:rPr>
        <w:t xml:space="preserve">…the people are crowding and pressing against you </w:t>
      </w:r>
      <w:r>
        <w:rPr>
          <w:lang w:val="en_US" w:bidi="en_US"/>
        </w:rPr>
        <w:t>so that many people are touching you</w:t>
      </w:r>
      <w:r>
        <w:rPr>
          <w:lang w:val="en_US" w:bidi="en_US"/>
        </w:rPr>
        <w:t>.</w:t>
      </w:r>
    </w:p>
    <w:p>
      <w:pPr/>
      <w:r>
        <w:rPr>
          <w:lang w:val="en_US" w:bidi="en_US"/>
        </w:rPr>
      </w:r>
      <w:r>
        <w:rPr>
          <w:lang w:val="en_US" w:bidi="en_US"/>
        </w:rPr>
        <w:t>…</w:t>
      </w:r>
      <w:r>
        <w:rPr>
          <w:lang w:val="en_US" w:bidi="en_US"/>
        </w:rPr>
        <w:t>so</w:t>
      </w:r>
      <w:r>
        <w:rPr>
          <w:lang w:val="en_US" w:bidi="en_US"/>
        </w:rPr>
        <w:t xml:space="preserve"> many people are crowding and pressing against you </w:t>
      </w:r>
      <w:r>
        <w:rPr>
          <w:lang w:val="en_US" w:bidi="en_US"/>
        </w:rPr>
        <w:t>that I do not understand how you can ask “Who touched me?”</w:t>
      </w:r>
    </w:p>
    <w:p>
      <w:pPr/>
      <w:r>
        <w:rPr>
          <w:lang w:val="en_US" w:bidi="en_US"/>
        </w:rPr>
      </w:r>
      <w:r>
        <w:rPr>
          <w:b/>
          <w:lang w:val="en_US" w:bidi="en_US"/>
        </w:rPr>
        <w:t>the people:</w:t>
      </w:r>
      <w:r>
        <w:rPr>
          <w:lang w:val="en_US" w:bidi="en_US"/>
        </w:rPr>
        <w:t xml:space="preserve"> The phrase that the BSB translates as </w:t>
      </w:r>
      <w:r>
        <w:rPr>
          <w:i/>
          <w:lang w:val="en_US" w:bidi="en_US"/>
        </w:rPr>
        <w:t>the people</w:t>
      </w:r>
      <w:r>
        <w:rPr>
          <w:lang w:val="en_US" w:bidi="en_US"/>
        </w:rPr>
        <w:t xml:space="preserve"> is literally “the crowds.” See the note on “the crowds” at 8:42c.</w:t>
      </w:r>
    </w:p>
    <w:p>
      <w:pPr/>
      <w:r>
        <w:rPr>
          <w:lang w:val="en_US" w:bidi="en_US"/>
        </w:rPr>
      </w:r>
      <w:r>
        <w:rPr>
          <w:b/>
          <w:lang w:val="en_US" w:bidi="en_US"/>
        </w:rPr>
        <w:t>are crowding and pressing against You:</w:t>
      </w:r>
      <w:r>
        <w:rPr>
          <w:lang w:val="en_US" w:bidi="en_US"/>
        </w:rPr>
        <w:t xml:space="preserve"> The two Greek verbs that the BSB translates as </w:t>
      </w:r>
      <w:r>
        <w:rPr>
          <w:i/>
          <w:lang w:val="en_US" w:bidi="en_US"/>
        </w:rPr>
        <w:t>are crowding</w:t>
      </w:r>
      <w:r>
        <w:rPr>
          <w:lang w:val="en_US" w:bidi="en_US"/>
        </w:rPr>
        <w:t xml:space="preserve"> and </w:t>
      </w:r>
      <w:r>
        <w:rPr>
          <w:i/>
          <w:lang w:val="en_US" w:bidi="en_US"/>
        </w:rPr>
        <w:t>are…pressing against</w:t>
      </w:r>
      <w:r>
        <w:rPr>
          <w:lang w:val="en_US" w:bidi="en_US"/>
        </w:rPr>
        <w:t xml:space="preserve"> are similar in meaning. The first one means “to surround or encircle.” The second means “to press against or squeeze.” Some languages may have one word or expression that combines these ideas. Some other ways to translate the clause are:</w:t>
      </w:r>
    </w:p>
    <w:p>
      <w:pPr/>
      <w:r>
        <w:rPr>
          <w:lang w:val="en_US" w:bidi="en_US"/>
        </w:rPr>
      </w:r>
      <w:r>
        <w:rPr>
          <w:lang w:val="en_US" w:bidi="en_US"/>
        </w:rPr>
        <w:t>people are crowding all around and pushing you from every side (CEV)</w:t>
      </w:r>
    </w:p>
    <w:p>
      <w:pPr/>
      <w:r>
        <w:rPr>
          <w:lang w:val="en_US" w:bidi="en_US"/>
        </w:rPr>
      </w:r>
      <w:r>
        <w:rPr>
          <w:lang w:val="en_US" w:bidi="en_US"/>
        </w:rPr>
        <w:t>this whole crowd is pressing up against you (NLT)</w:t>
      </w:r>
      <w:r>
        <w:rPr>
          <w:lang w:val="en_US" w:bidi="en_US"/>
        </w:rPr>
      </w:r>
      <w:r>
        <w:rPr>
          <w:lang w:val="en_US" w:bidi="en_US"/>
        </w:rPr>
      </w:r>
    </w:p>
    <w:p>
      <w:pPr/>
      <w:r>
        <w:rPr>
          <w:lang w:val="en_US" w:bidi="en_US"/>
        </w:rPr>
      </w:r>
    </w:p>
    <w:p>
      <w:pPr>
        <w:pStyle w:val="Heading2"/>
      </w:pPr>
      <w:r>
        <w:rPr>
          <w:lang w:val="en_US" w:bidi="en_US"/>
        </w:rPr>
        <w:t>Luke 8:46</w:t>
      </w:r>
      <w:r>
        <w:rPr>
          <w:lang w:val="en_US" w:bidi="en_US"/>
        </w:rPr>
      </w:r>
    </w:p>
    <w:p>
      <w:pPr>
        <w:pStyle w:val="Heading4"/>
      </w:pPr>
      <w:r>
        <w:rPr>
          <w:lang w:val="en_US" w:bidi="en_US"/>
        </w:rPr>
        <w:t>Section 8:40–56: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pPr/>
      <w:r>
        <w:rPr>
          <w:lang w:val="en_US" w:bidi="en_US"/>
        </w:rPr>
      </w:r>
      <w:r>
        <w:rPr>
          <w:lang w:val="en_US" w:bidi="en_US"/>
        </w:rP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pPr/>
      <w:r>
        <w:rPr>
          <w:lang w:val="en_US" w:bidi="en_US"/>
        </w:rPr>
      </w:r>
      <w:r>
        <w:rPr>
          <w:lang w:val="en_US" w:bidi="en_US"/>
        </w:rPr>
        <w:t>Another important theme in this section is faith. Jesus said that the woman who was bleeding was healed because she believed that Jesus could heal her. Then he encouraged Jairus to keep believing that God could make his daughter well, even after she had died.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border/edge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Mark 5:21–43.</w:t>
      </w:r>
    </w:p>
    <w:p>
      <w:pPr>
        <w:pStyle w:val="Heading5"/>
      </w:pPr>
      <w:r>
        <w:rPr>
          <w:lang w:val="en_US" w:bidi="en_US"/>
        </w:rPr>
        <w:t>8:46a</w:t>
      </w:r>
    </w:p>
    <w:p>
      <w:pPr/>
      <w:r>
        <w:rPr>
          <w:lang w:val="en_US" w:bidi="en_US"/>
        </w:rPr>
      </w:r>
      <w:r>
        <w:rPr>
          <w:b/>
          <w:lang w:val="en_US" w:bidi="en_US"/>
        </w:rPr>
        <w:t>But Jesus declared, “Someone touched Me,</w:t>
      </w:r>
    </w:p>
    <w:p>
      <w:pPr>
        <w:pStyle w:val="ListBullet"/>
        <w:spacing w:line="240" w:lineRule="auto"/>
        <w:ind w:left="720"/>
      </w:pPr>
      <w:r>
        <w:rPr>
          <w:lang w:val="en_US" w:bidi="en_US"/>
        </w:rPr>
      </w:r>
      <w:r>
        <w:rPr>
          <w:lang w:val="en_US" w:bidi="en_US"/>
        </w:rPr>
        <w:t xml:space="preserve">But Jesus said, “Someone touched me </w:t>
      </w:r>
      <w:r>
        <w:rPr>
          <w:lang w:val="en_US" w:bidi="en_US"/>
        </w:rPr>
        <w:t>on purpose</w:t>
      </w:r>
      <w:r>
        <w:rPr>
          <w:lang w:val="en_US" w:bidi="en_US"/>
        </w:rPr>
        <w:t>.</w:t>
      </w:r>
    </w:p>
    <w:p>
      <w:pPr>
        <w:pStyle w:val="ListBullet"/>
        <w:spacing w:line="240" w:lineRule="auto"/>
        <w:ind w:left="720"/>
      </w:pPr>
      <w:r>
        <w:rPr>
          <w:lang w:val="en_US" w:bidi="en_US"/>
        </w:rPr>
      </w:r>
      <w:r>
        <w:rPr>
          <w:lang w:val="en_US" w:bidi="en_US"/>
        </w:rPr>
        <w:t xml:space="preserve">Jesus replied </w:t>
      </w:r>
      <w:r>
        <w:rPr>
          <w:lang w:val="en_US" w:bidi="en_US"/>
        </w:rPr>
        <w:t>to him</w:t>
      </w:r>
      <w:r>
        <w:rPr>
          <w:lang w:val="en_US" w:bidi="en_US"/>
        </w:rPr>
        <w:t>, “</w:t>
      </w:r>
      <w:r>
        <w:rPr>
          <w:lang w:val="en_US" w:bidi="en_US"/>
        </w:rPr>
        <w:t>Yes, but I do not mean the kind of touching that happens in a crowd. I mean that</w:t>
      </w:r>
      <w:r>
        <w:rPr>
          <w:lang w:val="en_US" w:bidi="en_US"/>
        </w:rPr>
        <w:t xml:space="preserve"> somebody touched me </w:t>
      </w:r>
      <w:r>
        <w:rPr>
          <w:lang w:val="en_US" w:bidi="en_US"/>
        </w:rPr>
        <w:t>for a special reason</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Jesus’ response to Peter. Here there is also a contrast between 8:45 and 8:46. In 8:45, Peter implied that many people were touching Jesus, so it was useless for Jesus to look for any particular person who touched him. But in 8:46, Jesus explained that he was referring to a different kind of touching than the accidental touching of a crowd. Connect these verses in a natural way in your language.</w:t>
      </w:r>
    </w:p>
    <w:p>
      <w:pPr/>
      <w:r>
        <w:rPr>
          <w:lang w:val="en_US" w:bidi="en_US"/>
        </w:rPr>
      </w:r>
      <w:r>
        <w:rPr>
          <w:b/>
          <w:lang w:val="en_US" w:bidi="en_US"/>
        </w:rPr>
        <w:t>Someone touched Me:</w:t>
      </w:r>
      <w:r>
        <w:rPr>
          <w:lang w:val="en_US" w:bidi="en_US"/>
        </w:rPr>
        <w:t xml:space="preserve"> Jesus meant that someone had intentionally touched him for a special reason. He was not asking who touched him accidentally, as people are touched in the middle of a crowd.</w:t>
      </w:r>
    </w:p>
    <w:p>
      <w:pPr>
        <w:pStyle w:val="Heading5"/>
      </w:pPr>
      <w:r>
        <w:rPr>
          <w:lang w:val="en_US" w:bidi="en_US"/>
        </w:rPr>
        <w:t>8:46b</w:t>
      </w:r>
    </w:p>
    <w:p>
      <w:pPr/>
      <w:r>
        <w:rPr>
          <w:lang w:val="en_US" w:bidi="en_US"/>
        </w:rPr>
      </w:r>
      <w:r>
        <w:rPr>
          <w:b/>
          <w:lang w:val="en_US" w:bidi="en_US"/>
        </w:rPr>
        <w:t>for I know that power has gone out from Me.”</w:t>
      </w:r>
    </w:p>
    <w:p>
      <w:pPr>
        <w:pStyle w:val="ListBullet"/>
        <w:spacing w:line="240" w:lineRule="auto"/>
        <w:ind w:left="720"/>
      </w:pPr>
      <w:r>
        <w:rPr>
          <w:lang w:val="en_US" w:bidi="en_US"/>
        </w:rPr>
      </w:r>
      <w:r>
        <w:rPr>
          <w:lang w:val="en_US" w:bidi="en_US"/>
        </w:rPr>
        <w:t>For I perceived that power went out from me.”</w:t>
      </w:r>
    </w:p>
    <w:p>
      <w:pPr>
        <w:pStyle w:val="ListBullet"/>
        <w:spacing w:line="240" w:lineRule="auto"/>
        <w:ind w:left="720"/>
      </w:pPr>
      <w:r>
        <w:rPr>
          <w:lang w:val="en_US" w:bidi="en_US"/>
        </w:rPr>
      </w:r>
      <w:r>
        <w:rPr>
          <w:lang w:val="en_US" w:bidi="en_US"/>
        </w:rPr>
        <w:t>I know/say this</w:t>
      </w:r>
      <w:r>
        <w:rPr>
          <w:lang w:val="en_US" w:bidi="en_US"/>
        </w:rPr>
        <w:t xml:space="preserve"> because I felt </w:t>
      </w:r>
      <w:r>
        <w:rPr>
          <w:lang w:val="en_US" w:bidi="en_US"/>
        </w:rPr>
        <w:t>some</w:t>
      </w:r>
      <w:r>
        <w:rPr>
          <w:lang w:val="en_US" w:bidi="en_US"/>
        </w:rPr>
        <w:t xml:space="preserve"> healing power go out of me </w:t>
      </w:r>
      <w:r>
        <w:rPr>
          <w:lang w:val="en_US" w:bidi="en_US"/>
        </w:rPr>
        <w:t>to help someone</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an explanation. Jesus explained the reason for his question in 8:45a, “Who touched me?” Connect these verses in a way that is natural in your language.</w:t>
      </w:r>
    </w:p>
    <w:p>
      <w:pPr/>
      <w:r>
        <w:rPr>
          <w:lang w:val="en_US" w:bidi="en_US"/>
        </w:rPr>
      </w:r>
      <w:r>
        <w:rPr>
          <w:b/>
          <w:lang w:val="en_US" w:bidi="en_US"/>
        </w:rPr>
        <w:t>I know that power has gone out from Me:</w:t>
      </w:r>
      <w:r>
        <w:rPr>
          <w:lang w:val="en_US" w:bidi="en_US"/>
        </w:rPr>
        <w:t xml:space="preserve"> Jesus probably knew that power had gone out of him because he felt it in some way (see Mark 5:30). In some languages it may be natural to use a word that indicates this. For example:</w:t>
      </w:r>
    </w:p>
    <w:p>
      <w:pPr/>
      <w:r>
        <w:rPr>
          <w:lang w:val="en_US" w:bidi="en_US"/>
        </w:rPr>
      </w:r>
      <w:r>
        <w:rPr>
          <w:lang w:val="en_US" w:bidi="en_US"/>
        </w:rPr>
        <w:t>I sense/sensed power going out from me</w:t>
      </w:r>
    </w:p>
    <w:p>
      <w:pPr/>
      <w:r>
        <w:rPr>
          <w:lang w:val="en_US" w:bidi="en_US"/>
        </w:rPr>
      </w:r>
      <w:r>
        <w:rPr>
          <w:lang w:val="en_US" w:bidi="en_US"/>
        </w:rPr>
        <w:t>I perceive that virtue is gone out of me (KJV)</w:t>
      </w:r>
    </w:p>
    <w:p>
      <w:pPr/>
      <w:r>
        <w:rPr>
          <w:lang w:val="en_US" w:bidi="en_US"/>
        </w:rPr>
      </w:r>
      <w:r>
        <w:rPr>
          <w:lang w:val="en_US" w:bidi="en_US"/>
        </w:rPr>
        <w:t>I felt power go out from me (NCV)</w:t>
      </w:r>
    </w:p>
    <w:p>
      <w:pPr/>
      <w:r>
        <w:rPr>
          <w:lang w:val="en_US" w:bidi="en_US"/>
        </w:rPr>
      </w:r>
      <w:r>
        <w:rPr>
          <w:b/>
          <w:lang w:val="en_US" w:bidi="en_US"/>
        </w:rPr>
        <w:t>that power has gone out from Me:</w:t>
      </w:r>
      <w:r>
        <w:rPr>
          <w:lang w:val="en_US" w:bidi="en_US"/>
        </w:rPr>
        <w:t xml:space="preserve"> In this context, the word </w:t>
      </w:r>
      <w:r>
        <w:rPr>
          <w:i/>
          <w:lang w:val="en_US" w:bidi="en_US"/>
        </w:rPr>
        <w:t>power</w:t>
      </w:r>
      <w:r>
        <w:rPr>
          <w:lang w:val="en_US" w:bidi="en_US"/>
        </w:rPr>
        <w:t xml:space="preserve"> refers to Jesus’ power to heal people or work other miracles. It does not refer to physical strength. You may want to make this clear. For example:</w:t>
      </w:r>
    </w:p>
    <w:p>
      <w:pPr/>
      <w:r>
        <w:rPr>
          <w:lang w:val="en_US" w:bidi="en_US"/>
        </w:rPr>
      </w:r>
      <w:r>
        <w:rPr>
          <w:lang w:val="en_US" w:bidi="en_US"/>
        </w:rPr>
        <w:t>healing power (NLT)</w:t>
      </w:r>
    </w:p>
    <w:p>
      <w:pPr/>
      <w:r>
        <w:rPr>
          <w:lang w:val="en_US" w:bidi="en_US"/>
        </w:rPr>
      </w:r>
      <w:r>
        <w:rPr>
          <w:lang w:val="en_US" w:bidi="en_US"/>
        </w:rPr>
        <w:t>power to work/do miracles</w:t>
      </w:r>
    </w:p>
    <w:p>
      <w:pPr/>
      <w:r>
        <w:rPr>
          <w:lang w:val="en_US" w:bidi="en_US"/>
        </w:rPr>
      </w:r>
      <w:r>
        <w:rPr>
          <w:lang w:val="en_US" w:bidi="en_US"/>
        </w:rPr>
        <w:t>Be careful not to imply that Jesus had no power left or that he had less power than he had before. One way to avoid that in English is:</w:t>
      </w:r>
    </w:p>
    <w:p>
      <w:pPr/>
      <w:r>
        <w:rPr>
          <w:lang w:val="en_US" w:bidi="en_US"/>
        </w:rPr>
      </w:r>
      <w:r>
        <w:rPr>
          <w:lang w:val="en_US" w:bidi="en_US"/>
        </w:rPr>
        <w:t xml:space="preserve">I felt </w:t>
      </w:r>
      <w:r>
        <w:rPr>
          <w:lang w:val="en_US" w:bidi="en_US"/>
        </w:rPr>
        <w:t>some</w:t>
      </w:r>
      <w:r>
        <w:rPr>
          <w:lang w:val="en_US" w:bidi="en_US"/>
        </w:rPr>
        <w:t xml:space="preserve"> power go out from me</w:t>
      </w:r>
      <w:r>
        <w:rPr>
          <w:lang w:val="en_US" w:bidi="en_US"/>
        </w:rPr>
      </w:r>
      <w:r>
        <w:rPr>
          <w:lang w:val="en_US" w:bidi="en_US"/>
        </w:rPr>
      </w:r>
    </w:p>
    <w:p>
      <w:pPr/>
      <w:r>
        <w:rPr>
          <w:lang w:val="en_US" w:bidi="en_US"/>
        </w:rPr>
      </w:r>
    </w:p>
    <w:p>
      <w:pPr>
        <w:pStyle w:val="Heading2"/>
      </w:pPr>
      <w:r>
        <w:rPr>
          <w:lang w:val="en_US" w:bidi="en_US"/>
        </w:rPr>
        <w:t>Luke 8:47</w:t>
      </w:r>
      <w:r>
        <w:rPr>
          <w:lang w:val="en_US" w:bidi="en_US"/>
        </w:rPr>
      </w:r>
    </w:p>
    <w:p>
      <w:pPr>
        <w:pStyle w:val="Heading4"/>
      </w:pPr>
      <w:r>
        <w:rPr>
          <w:lang w:val="en_US" w:bidi="en_US"/>
        </w:rPr>
        <w:t>Section 8:40–56: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pPr/>
      <w:r>
        <w:rPr>
          <w:lang w:val="en_US" w:bidi="en_US"/>
        </w:rPr>
      </w:r>
      <w:r>
        <w:rPr>
          <w:lang w:val="en_US" w:bidi="en_US"/>
        </w:rP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pPr/>
      <w:r>
        <w:rPr>
          <w:lang w:val="en_US" w:bidi="en_US"/>
        </w:rPr>
      </w:r>
      <w:r>
        <w:rPr>
          <w:lang w:val="en_US" w:bidi="en_US"/>
        </w:rPr>
        <w:t>Another important theme in this section is faith. Jesus said that the woman who was bleeding was healed because she believed that Jesus could heal her. Then he encouraged Jairus to keep believing that God could make his daughter well, even after she had died.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border/edge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Mark 5:21–43.</w:t>
      </w:r>
    </w:p>
    <w:p>
      <w:pPr>
        <w:pStyle w:val="Heading5"/>
      </w:pPr>
      <w:r>
        <w:rPr>
          <w:lang w:val="en_US" w:bidi="en_US"/>
        </w:rPr>
        <w:t>8:47a</w:t>
      </w:r>
    </w:p>
    <w:p>
      <w:pPr/>
      <w:r>
        <w:rPr>
          <w:lang w:val="en_US" w:bidi="en_US"/>
        </w:rPr>
      </w:r>
      <w:r>
        <w:rPr>
          <w:b/>
          <w:lang w:val="en_US" w:bidi="en_US"/>
        </w:rPr>
        <w:t>Then the woman, seeing that she could not escape notice,</w:t>
      </w:r>
    </w:p>
    <w:p>
      <w:pPr>
        <w:pStyle w:val="ListBullet"/>
        <w:spacing w:line="240" w:lineRule="auto"/>
        <w:ind w:left="720"/>
      </w:pPr>
      <w:r>
        <w:rPr>
          <w:lang w:val="en_US" w:bidi="en_US"/>
        </w:rPr>
      </w:r>
      <w:r>
        <w:rPr>
          <w:lang w:val="en_US" w:bidi="en_US"/>
        </w:rPr>
        <w:t>When the woman knew that she could not hide/conceal herself,</w:t>
      </w:r>
    </w:p>
    <w:p>
      <w:pPr>
        <w:pStyle w:val="ListBullet"/>
        <w:spacing w:line="240" w:lineRule="auto"/>
        <w:ind w:left="720"/>
      </w:pPr>
      <w:r>
        <w:rPr>
          <w:lang w:val="en_US" w:bidi="en_US"/>
        </w:rPr>
      </w:r>
      <w:r>
        <w:rPr>
          <w:lang w:val="en_US" w:bidi="en_US"/>
        </w:rPr>
        <w:t xml:space="preserve">Then the woman realized/understood </w:t>
      </w:r>
      <w:r>
        <w:rPr>
          <w:lang w:val="en_US" w:bidi="en_US"/>
        </w:rPr>
        <w:t>that Jesus knew what she had done</w:t>
      </w:r>
      <w:r>
        <w:rPr>
          <w:lang w:val="en_US" w:bidi="en_US"/>
        </w:rPr>
        <w:t>.</w:t>
      </w:r>
    </w:p>
    <w:p>
      <w:pPr/>
      <w:r>
        <w:rPr>
          <w:lang w:val="en_US" w:bidi="en_US"/>
        </w:rPr>
      </w:r>
      <w:r>
        <w:rPr>
          <w:b/>
          <w:lang w:val="en_US" w:bidi="en_US"/>
        </w:rPr>
        <w:t>Then the woman, seeing that she could not escape notice:</w:t>
      </w:r>
      <w:r>
        <w:rPr>
          <w:lang w:val="en_US" w:bidi="en_US"/>
        </w:rPr>
        <w:t xml:space="preserve"> The woman realized from the conversation in 8:45–46 that Jesus was determined to discover who had touched him. Connect this verse to the context in a natural way in your language.</w:t>
      </w:r>
    </w:p>
    <w:p>
      <w:pPr/>
      <w:r>
        <w:rPr>
          <w:lang w:val="en_US" w:bidi="en_US"/>
        </w:rPr>
      </w:r>
      <w:r>
        <w:rPr>
          <w:b/>
          <w:lang w:val="en_US" w:bidi="en_US"/>
        </w:rPr>
        <w:t>seeing:</w:t>
      </w:r>
      <w:r>
        <w:rPr>
          <w:lang w:val="en_US" w:bidi="en_US"/>
        </w:rPr>
        <w:t xml:space="preserve"> The Greek word that the BSB translates as </w:t>
      </w:r>
      <w:r>
        <w:rPr>
          <w:i/>
          <w:lang w:val="en_US" w:bidi="en_US"/>
        </w:rPr>
        <w:t>seeing</w:t>
      </w:r>
      <w:r>
        <w:rPr>
          <w:lang w:val="en_US" w:bidi="en_US"/>
        </w:rPr>
        <w:t xml:space="preserve"> here means “realizing” or “understanding.” The woman realized that she could not avoid being noticed.</w:t>
      </w:r>
    </w:p>
    <w:p>
      <w:pPr/>
      <w:r>
        <w:rPr>
          <w:lang w:val="en_US" w:bidi="en_US"/>
        </w:rPr>
      </w:r>
      <w:r>
        <w:rPr>
          <w:b/>
          <w:lang w:val="en_US" w:bidi="en_US"/>
        </w:rPr>
        <w:t>she could not escape notice:</w:t>
      </w:r>
      <w:r>
        <w:rPr>
          <w:lang w:val="en_US" w:bidi="en_US"/>
        </w:rPr>
        <w:t xml:space="preserve"> The Greek phrase that the BSB translates as </w:t>
      </w:r>
      <w:r>
        <w:rPr>
          <w:i/>
          <w:lang w:val="en_US" w:bidi="en_US"/>
        </w:rPr>
        <w:t>she could not escape notice</w:t>
      </w:r>
      <w:r>
        <w:rPr>
          <w:lang w:val="en_US" w:bidi="en_US"/>
        </w:rPr>
        <w:t xml:space="preserve"> indicates that the woman realized that Jesus knew what she had done. She also knew that he would not allow her to slip quietly away. Some other ways to translate this are:</w:t>
      </w:r>
    </w:p>
    <w:p>
      <w:pPr/>
      <w:r>
        <w:rPr>
          <w:lang w:val="en_US" w:bidi="en_US"/>
        </w:rPr>
      </w:r>
      <w:r>
        <w:rPr>
          <w:lang w:val="en_US" w:bidi="en_US"/>
        </w:rPr>
        <w:t>she had not been able to hide</w:t>
      </w:r>
    </w:p>
    <w:p>
      <w:pPr/>
      <w:r>
        <w:rPr>
          <w:lang w:val="en_US" w:bidi="en_US"/>
        </w:rPr>
      </w:r>
      <w:r>
        <w:rPr>
          <w:lang w:val="en_US" w:bidi="en_US"/>
        </w:rPr>
        <w:t>what she had done was known</w:t>
      </w:r>
    </w:p>
    <w:p>
      <w:pPr/>
      <w:r>
        <w:rPr>
          <w:lang w:val="en_US" w:bidi="en_US"/>
        </w:rPr>
      </w:r>
      <w:r>
        <w:rPr>
          <w:lang w:val="en_US" w:bidi="en_US"/>
        </w:rPr>
        <w:t>In some languages it may be necessary to indicate who had noticed her. If that is true in your language, you may indicate that it was Jesus. For example:</w:t>
      </w:r>
    </w:p>
    <w:p>
      <w:pPr/>
      <w:r>
        <w:rPr>
          <w:lang w:val="en_US" w:bidi="en_US"/>
        </w:rPr>
      </w:r>
      <w:r>
        <w:rPr>
          <w:lang w:val="en_US" w:bidi="en_US"/>
        </w:rPr>
        <w:t>Jesus knew what she had done (similar to the NLT96)</w:t>
      </w:r>
    </w:p>
    <w:p>
      <w:pPr>
        <w:pStyle w:val="Heading5"/>
      </w:pPr>
      <w:r>
        <w:rPr>
          <w:lang w:val="en_US" w:bidi="en_US"/>
        </w:rPr>
        <w:t>8:47b</w:t>
      </w:r>
    </w:p>
    <w:p>
      <w:pPr/>
      <w:r>
        <w:rPr>
          <w:lang w:val="en_US" w:bidi="en_US"/>
        </w:rPr>
      </w:r>
      <w:r>
        <w:rPr>
          <w:b/>
          <w:lang w:val="en_US" w:bidi="en_US"/>
        </w:rPr>
        <w:t>came trembling and fell down before Him.</w:t>
      </w:r>
    </w:p>
    <w:p>
      <w:pPr>
        <w:pStyle w:val="ListBullet"/>
        <w:spacing w:line="240" w:lineRule="auto"/>
        <w:ind w:left="720"/>
      </w:pPr>
      <w:r>
        <w:rPr>
          <w:lang w:val="en_US" w:bidi="en_US"/>
        </w:rPr>
      </w:r>
      <w:r>
        <w:rPr>
          <w:lang w:val="en_US" w:bidi="en_US"/>
        </w:rPr>
        <w:t xml:space="preserve">she came </w:t>
      </w:r>
      <w:r>
        <w:rPr>
          <w:lang w:val="en_US" w:bidi="en_US"/>
        </w:rPr>
        <w:t>to Jesus</w:t>
      </w:r>
      <w:r>
        <w:rPr>
          <w:lang w:val="en_US" w:bidi="en_US"/>
        </w:rPr>
        <w:t xml:space="preserve"> shaking </w:t>
      </w:r>
      <w:r>
        <w:rPr>
          <w:lang w:val="en_US" w:bidi="en_US"/>
        </w:rPr>
        <w:t>in/with fear</w:t>
      </w:r>
      <w:r>
        <w:rPr>
          <w:lang w:val="en_US" w:bidi="en_US"/>
        </w:rPr>
        <w:t xml:space="preserve">, and she bowed low </w:t>
      </w:r>
      <w:r>
        <w:rPr>
          <w:lang w:val="en_US" w:bidi="en_US"/>
        </w:rPr>
        <w:t>before him</w:t>
      </w:r>
      <w:r>
        <w:rPr>
          <w:lang w:val="en_US" w:bidi="en_US"/>
        </w:rPr>
        <w:t>.</w:t>
      </w:r>
    </w:p>
    <w:p>
      <w:pPr>
        <w:pStyle w:val="ListBullet"/>
        <w:spacing w:line="240" w:lineRule="auto"/>
        <w:ind w:left="720"/>
      </w:pPr>
      <w:r>
        <w:rPr>
          <w:lang w:val="en_US" w:bidi="en_US"/>
        </w:rPr>
      </w:r>
      <w:r>
        <w:rPr>
          <w:lang w:val="en_US" w:bidi="en_US"/>
        </w:rPr>
        <w:t xml:space="preserve">She came close </w:t>
      </w:r>
      <w:r>
        <w:rPr>
          <w:lang w:val="en_US" w:bidi="en_US"/>
        </w:rPr>
        <w:t>to Jesus</w:t>
      </w:r>
      <w:r>
        <w:rPr>
          <w:lang w:val="en_US" w:bidi="en_US"/>
        </w:rPr>
        <w:t xml:space="preserve"> and knelt face down in front of him. </w:t>
      </w:r>
      <w:r>
        <w:rPr>
          <w:lang w:val="en_US" w:bidi="en_US"/>
        </w:rPr>
        <w:t>She was so afraid that</w:t>
      </w:r>
      <w:r>
        <w:rPr>
          <w:lang w:val="en_US" w:bidi="en_US"/>
        </w:rPr>
        <w:t xml:space="preserve"> her body shook.</w:t>
      </w:r>
    </w:p>
    <w:p>
      <w:pPr/>
      <w:r>
        <w:rPr>
          <w:lang w:val="en_US" w:bidi="en_US"/>
        </w:rPr>
      </w:r>
      <w:r>
        <w:rPr>
          <w:b/>
          <w:lang w:val="en_US" w:bidi="en_US"/>
        </w:rPr>
        <w:t>came:</w:t>
      </w:r>
      <w:r>
        <w:rPr>
          <w:lang w:val="en_US" w:bidi="en_US"/>
        </w:rPr>
        <w:t xml:space="preserve"> In some languages it may be necessary to say where the woman came:</w:t>
      </w:r>
    </w:p>
    <w:p>
      <w:pPr/>
      <w:r>
        <w:rPr>
          <w:lang w:val="en_US" w:bidi="en_US"/>
        </w:rPr>
      </w:r>
      <w:r>
        <w:rPr>
          <w:lang w:val="en_US" w:bidi="en_US"/>
        </w:rPr>
        <w:t xml:space="preserve">came </w:t>
      </w:r>
      <w:r>
        <w:rPr>
          <w:lang w:val="en_US" w:bidi="en_US"/>
        </w:rPr>
        <w:t>to Jesus</w:t>
      </w:r>
    </w:p>
    <w:p>
      <w:pPr/>
      <w:r>
        <w:rPr>
          <w:lang w:val="en_US" w:bidi="en_US"/>
        </w:rPr>
      </w:r>
      <w:r>
        <w:rPr>
          <w:b/>
          <w:lang w:val="en_US" w:bidi="en_US"/>
        </w:rPr>
        <w:t>trembling:</w:t>
      </w:r>
      <w:r>
        <w:rPr>
          <w:lang w:val="en_US" w:bidi="en_US"/>
        </w:rPr>
        <w:t xml:space="preserve"> The woman was </w:t>
      </w:r>
      <w:r>
        <w:rPr>
          <w:i/>
          <w:lang w:val="en_US" w:bidi="en_US"/>
        </w:rPr>
        <w:t>trembling</w:t>
      </w:r>
      <w:r>
        <w:rPr>
          <w:lang w:val="en_US" w:bidi="en_US"/>
        </w:rPr>
        <w:t xml:space="preserve"> or “shaking” because she was afraid (see Mark 5:33). In some languages it may be necessary to make this explicit:</w:t>
      </w:r>
    </w:p>
    <w:p>
      <w:pPr/>
      <w:r>
        <w:rPr>
          <w:lang w:val="en_US" w:bidi="en_US"/>
        </w:rPr>
      </w:r>
      <w:r>
        <w:rPr>
          <w:lang w:val="en_US" w:bidi="en_US"/>
        </w:rPr>
        <w:t xml:space="preserve">came trembling </w:t>
      </w:r>
      <w:r>
        <w:rPr>
          <w:lang w:val="en_US" w:bidi="en_US"/>
        </w:rPr>
        <w:t>with fear</w:t>
      </w:r>
    </w:p>
    <w:p>
      <w:pPr/>
      <w:r>
        <w:rPr>
          <w:lang w:val="en_US" w:bidi="en_US"/>
        </w:rPr>
      </w:r>
      <w:r>
        <w:rPr>
          <w:lang w:val="en_US" w:bidi="en_US"/>
        </w:rPr>
        <w:t>The text does not specify the exact reason why the woman was afraid. One reason may have been that her illness had made her ritually unclean. As an unclean person, she had broken the Jewish law by touching Jesus and also by being in the crowd. She may have been afraid that Jesus and the people would be angry.</w:t>
      </w:r>
    </w:p>
    <w:p>
      <w:pPr/>
      <w:r>
        <w:rPr>
          <w:lang w:val="en_US" w:bidi="en_US"/>
        </w:rPr>
      </w:r>
      <w:r>
        <w:rPr>
          <w:lang w:val="en_US" w:bidi="en_US"/>
        </w:rPr>
        <w:t>In some translations it may be helpful to include a footnote to explain the woman’s fear. For example:</w:t>
      </w:r>
    </w:p>
    <w:p>
      <w:pPr/>
      <w:r>
        <w:rPr>
          <w:lang w:val="en_US" w:bidi="en_US"/>
        </w:rPr>
      </w:r>
      <w:r>
        <w:rPr>
          <w:lang w:val="en_US" w:bidi="en_US"/>
        </w:rPr>
        <w:t>According to Jewish law, the woman’s illness made her ritually unclean. If she touched anyone, that person also became unclean. She was probably afraid that when Jesus and other people discovered that she had touched him, they would be angry.</w:t>
      </w:r>
    </w:p>
    <w:p>
      <w:pPr/>
      <w:r>
        <w:rPr>
          <w:lang w:val="en_US" w:bidi="en_US"/>
        </w:rPr>
      </w:r>
      <w:r>
        <w:rPr>
          <w:lang w:val="en_US" w:bidi="en_US"/>
        </w:rPr>
        <w:t>If you include a footnote here, you will probably not need one at 8:43.</w:t>
      </w:r>
    </w:p>
    <w:p>
      <w:pPr/>
      <w:r>
        <w:rPr>
          <w:lang w:val="en_US" w:bidi="en_US"/>
        </w:rPr>
      </w:r>
      <w:r>
        <w:rPr>
          <w:b/>
          <w:lang w:val="en_US" w:bidi="en_US"/>
        </w:rPr>
        <w:t>fell down before Him:</w:t>
      </w:r>
      <w:r>
        <w:rPr>
          <w:lang w:val="en_US" w:bidi="en_US"/>
        </w:rPr>
        <w:t xml:space="preserve"> The phrase </w:t>
      </w:r>
      <w:r>
        <w:rPr>
          <w:i/>
          <w:lang w:val="en_US" w:bidi="en_US"/>
        </w:rPr>
        <w:t>fell down before Him</w:t>
      </w:r>
      <w:r>
        <w:rPr>
          <w:lang w:val="en_US" w:bidi="en_US"/>
        </w:rPr>
        <w:t xml:space="preserve"> indicates that she knelt and bowed down with her face to the ground in front of Jesus. This showed her respect and submission to him. She did not fall accidentally. The same or similar expressions also occur at 5:8, 5:12, 8:27, and 8:41.</w:t>
      </w:r>
    </w:p>
    <w:p>
      <w:pPr>
        <w:pStyle w:val="Heading5"/>
      </w:pPr>
      <w:r>
        <w:rPr>
          <w:lang w:val="en_US" w:bidi="en_US"/>
        </w:rPr>
        <w:t>8:47c</w:t>
      </w:r>
    </w:p>
    <w:p>
      <w:pPr/>
      <w:r>
        <w:rPr>
          <w:lang w:val="en_US" w:bidi="en_US"/>
        </w:rPr>
      </w:r>
      <w:r>
        <w:rPr>
          <w:b/>
          <w:lang w:val="en_US" w:bidi="en_US"/>
        </w:rPr>
        <w:t>In the presence of all the people, she explained why she had touched Him</w:t>
      </w:r>
    </w:p>
    <w:p>
      <w:pPr>
        <w:pStyle w:val="ListBullet"/>
        <w:spacing w:line="240" w:lineRule="auto"/>
        <w:ind w:left="720"/>
      </w:pPr>
      <w:r>
        <w:rPr>
          <w:lang w:val="en_US" w:bidi="en_US"/>
        </w:rPr>
      </w:r>
      <w:r>
        <w:rPr>
          <w:lang w:val="en_US" w:bidi="en_US"/>
        </w:rPr>
        <w:t xml:space="preserve">In front of the whole crowd </w:t>
      </w:r>
      <w:r>
        <w:rPr>
          <w:lang w:val="en_US" w:bidi="en_US"/>
        </w:rPr>
        <w:t>that was there</w:t>
      </w:r>
      <w:r>
        <w:rPr>
          <w:lang w:val="en_US" w:bidi="en_US"/>
        </w:rPr>
        <w:t xml:space="preserve">, she told </w:t>
      </w:r>
      <w:r>
        <w:rPr>
          <w:lang w:val="en_US" w:bidi="en_US"/>
        </w:rPr>
        <w:t>him</w:t>
      </w:r>
      <w:r>
        <w:rPr>
          <w:lang w:val="en_US" w:bidi="en_US"/>
        </w:rPr>
        <w:t xml:space="preserve"> why she had touched him</w:t>
      </w:r>
    </w:p>
    <w:p>
      <w:pPr>
        <w:pStyle w:val="ListBullet"/>
        <w:spacing w:line="240" w:lineRule="auto"/>
        <w:ind w:left="720"/>
      </w:pPr>
      <w:r>
        <w:rPr>
          <w:lang w:val="en_US" w:bidi="en_US"/>
        </w:rPr>
      </w:r>
      <w:r>
        <w:rPr>
          <w:lang w:val="en_US" w:bidi="en_US"/>
        </w:rPr>
        <w:t xml:space="preserve">While everyone was listening she explained/reported </w:t>
      </w:r>
      <w:r>
        <w:rPr>
          <w:lang w:val="en_US" w:bidi="en_US"/>
        </w:rPr>
        <w:t>to Jesus</w:t>
      </w:r>
      <w:r>
        <w:rPr>
          <w:lang w:val="en_US" w:bidi="en_US"/>
        </w:rPr>
        <w:t xml:space="preserve"> the reason that she had touched his clothes.</w:t>
      </w:r>
    </w:p>
    <w:p>
      <w:pPr/>
      <w:r>
        <w:rPr>
          <w:lang w:val="en_US" w:bidi="en_US"/>
        </w:rPr>
      </w:r>
      <w:r>
        <w:rPr>
          <w:b/>
          <w:lang w:val="en_US" w:bidi="en_US"/>
        </w:rPr>
        <w:t>In the presence of all the people, she explained:</w:t>
      </w:r>
      <w:r>
        <w:rPr>
          <w:lang w:val="en_US" w:bidi="en_US"/>
        </w:rPr>
        <w:t xml:space="preserve"> The Greek phrase that the BSB translates as </w:t>
      </w:r>
      <w:r>
        <w:rPr>
          <w:i/>
          <w:lang w:val="en_US" w:bidi="en_US"/>
        </w:rPr>
        <w:t>In the presence of all the people, she explained</w:t>
      </w:r>
      <w:r>
        <w:rPr>
          <w:lang w:val="en_US" w:bidi="en_US"/>
        </w:rPr>
        <w:t xml:space="preserve"> indicates that the woman spoke so that the crowd surrounding Jesus heard what she said to him. Other ways to translate this are:</w:t>
      </w:r>
    </w:p>
    <w:p>
      <w:pPr/>
      <w:r>
        <w:rPr>
          <w:lang w:val="en_US" w:bidi="en_US"/>
        </w:rPr>
      </w:r>
      <w:r>
        <w:rPr>
          <w:lang w:val="en_US" w:bidi="en_US"/>
        </w:rPr>
        <w:t>While all the people listened, she told (NCV)</w:t>
      </w:r>
    </w:p>
    <w:p>
      <w:pPr/>
      <w:r>
        <w:rPr>
          <w:lang w:val="en_US" w:bidi="en_US"/>
        </w:rPr>
      </w:r>
      <w:r>
        <w:rPr>
          <w:lang w:val="en_US" w:bidi="en_US"/>
        </w:rPr>
        <w:t>Before all the people she explained (REB)</w:t>
      </w:r>
    </w:p>
    <w:p>
      <w:pPr/>
      <w:r>
        <w:rPr>
          <w:lang w:val="en_US" w:bidi="en_US"/>
        </w:rPr>
      </w:r>
      <w:r>
        <w:rPr>
          <w:lang w:val="en_US" w:bidi="en_US"/>
        </w:rPr>
        <w:t xml:space="preserve">She </w:t>
      </w:r>
      <w:r>
        <w:rPr>
          <w:lang w:val="en_US" w:bidi="en_US"/>
        </w:rPr>
        <w:t>spoke so that</w:t>
      </w:r>
      <w:r>
        <w:rPr>
          <w:lang w:val="en_US" w:bidi="en_US"/>
        </w:rPr>
        <w:t xml:space="preserve"> all the people could hear and told</w:t>
      </w:r>
    </w:p>
    <w:p>
      <w:pPr/>
      <w:r>
        <w:rPr>
          <w:lang w:val="en_US" w:bidi="en_US"/>
        </w:rPr>
      </w:r>
      <w:r>
        <w:rPr>
          <w:b/>
          <w:lang w:val="en_US" w:bidi="en_US"/>
        </w:rPr>
        <w:t>why she had touched Him:</w:t>
      </w:r>
      <w:r>
        <w:rPr>
          <w:lang w:val="en_US" w:bidi="en_US"/>
        </w:rPr>
        <w:t xml:space="preserve"> The Greek phrase that the BSB translates as </w:t>
      </w:r>
      <w:r>
        <w:rPr>
          <w:i/>
          <w:lang w:val="en_US" w:bidi="en_US"/>
        </w:rPr>
        <w:t>why</w:t>
      </w:r>
      <w:r>
        <w:rPr>
          <w:lang w:val="en_US" w:bidi="en_US"/>
        </w:rPr>
        <w:t xml:space="preserve"> refers to the cause or reason for something. Here it means that the woman publicly told the reason why she touched Jesus.</w:t>
      </w:r>
    </w:p>
    <w:p>
      <w:pPr>
        <w:pStyle w:val="Heading5"/>
      </w:pPr>
      <w:r>
        <w:rPr>
          <w:lang w:val="en_US" w:bidi="en_US"/>
        </w:rPr>
        <w:t>8:47d</w:t>
      </w:r>
    </w:p>
    <w:p>
      <w:pPr/>
      <w:r>
        <w:rPr>
          <w:lang w:val="en_US" w:bidi="en_US"/>
        </w:rPr>
      </w:r>
      <w:r>
        <w:rPr>
          <w:b/>
          <w:lang w:val="en_US" w:bidi="en_US"/>
        </w:rPr>
        <w:t>and how she had immediately been healed.</w:t>
      </w:r>
    </w:p>
    <w:p>
      <w:pPr>
        <w:pStyle w:val="ListBullet"/>
        <w:spacing w:line="240" w:lineRule="auto"/>
        <w:ind w:left="720"/>
      </w:pPr>
      <w:r>
        <w:rPr>
          <w:lang w:val="en_US" w:bidi="en_US"/>
        </w:rPr>
      </w:r>
      <w:r>
        <w:rPr>
          <w:lang w:val="en_US" w:bidi="en_US"/>
        </w:rPr>
        <w:t xml:space="preserve">and that </w:t>
      </w:r>
      <w:r>
        <w:rPr>
          <w:lang w:val="en_US" w:bidi="en_US"/>
        </w:rPr>
        <w:t>touching him</w:t>
      </w:r>
      <w:r>
        <w:rPr>
          <w:lang w:val="en_US" w:bidi="en_US"/>
        </w:rPr>
        <w:t xml:space="preserve"> had caused her to be well at once.</w:t>
      </w:r>
    </w:p>
    <w:p>
      <w:pPr>
        <w:pStyle w:val="ListBullet"/>
        <w:spacing w:line="240" w:lineRule="auto"/>
        <w:ind w:left="720"/>
      </w:pPr>
      <w:r>
        <w:rPr>
          <w:lang w:val="en_US" w:bidi="en_US"/>
        </w:rPr>
      </w:r>
      <w:r>
        <w:rPr>
          <w:lang w:val="en_US" w:bidi="en_US"/>
        </w:rPr>
        <w:t xml:space="preserve">And she told him that the bleeding had stopped at the instant </w:t>
      </w:r>
      <w:r>
        <w:rPr>
          <w:lang w:val="en_US" w:bidi="en_US"/>
        </w:rPr>
        <w:t>she touched him</w:t>
      </w:r>
      <w:r>
        <w:rPr>
          <w:lang w:val="en_US" w:bidi="en_US"/>
        </w:rPr>
        <w:t>.</w:t>
      </w:r>
    </w:p>
    <w:p>
      <w:pPr/>
      <w:r>
        <w:rPr>
          <w:lang w:val="en_US" w:bidi="en_US"/>
        </w:rPr>
      </w:r>
      <w:r>
        <w:rPr>
          <w:b/>
          <w:lang w:val="en_US" w:bidi="en_US"/>
        </w:rPr>
        <w:t>how she had immediately been healed:</w:t>
      </w:r>
      <w:r>
        <w:rPr>
          <w:lang w:val="en_US" w:bidi="en_US"/>
        </w:rPr>
        <w:t xml:space="preserve"> This is a passive clause. Some other ways to translate this are:</w:t>
      </w:r>
    </w:p>
    <w:p>
      <w:pPr/>
      <w:r>
        <w:rPr>
          <w:lang w:val="en_US" w:bidi="en_US"/>
        </w:rPr>
      </w:r>
      <w:r>
        <w:rPr>
          <w:lang w:val="en_US" w:bidi="en_US"/>
        </w:rPr>
        <w:t>how the bleeding instantly stopped</w:t>
      </w:r>
    </w:p>
    <w:p>
      <w:pPr/>
      <w:r>
        <w:rPr>
          <w:lang w:val="en_US" w:bidi="en_US"/>
        </w:rPr>
      </w:r>
      <w:r>
        <w:rPr>
          <w:lang w:val="en_US" w:bidi="en_US"/>
        </w:rPr>
        <w:t xml:space="preserve">how </w:t>
      </w:r>
      <w:r>
        <w:rPr>
          <w:lang w:val="en_US" w:bidi="en_US"/>
        </w:rPr>
        <w:t>touching his cloak</w:t>
      </w:r>
      <w:r>
        <w:rPr>
          <w:lang w:val="en_US" w:bidi="en_US"/>
        </w:rPr>
        <w:t xml:space="preserve"> had immediately caused her to be well</w:t>
      </w:r>
    </w:p>
    <w:p>
      <w:pPr/>
      <w:r>
        <w:rPr>
          <w:lang w:val="en_US" w:bidi="en_US"/>
        </w:rPr>
      </w:r>
      <w:r>
        <w:rPr>
          <w:lang w:val="en_US" w:bidi="en_US"/>
        </w:rPr>
        <w:t xml:space="preserve">how </w:t>
      </w:r>
      <w:r>
        <w:rPr>
          <w:lang w:val="en_US" w:bidi="en_US"/>
        </w:rPr>
        <w:t>Jesus’ power</w:t>
      </w:r>
      <w:r>
        <w:rPr>
          <w:lang w:val="en_US" w:bidi="en_US"/>
        </w:rPr>
        <w:t xml:space="preserve"> had instantly healed her</w:t>
      </w:r>
    </w:p>
    <w:p>
      <w:pPr/>
      <w:r>
        <w:rPr>
          <w:lang w:val="en_US" w:bidi="en_US"/>
        </w:rPr>
      </w:r>
      <w:r>
        <w:rPr>
          <w:b/>
          <w:lang w:val="en_US" w:bidi="en_US"/>
        </w:rPr>
        <w:t>how:</w:t>
      </w:r>
      <w:r>
        <w:rPr>
          <w:lang w:val="en_US" w:bidi="en_US"/>
        </w:rPr>
        <w:t xml:space="preserve"> The Greek word that the BSB translates as </w:t>
      </w:r>
      <w:r>
        <w:rPr>
          <w:i/>
          <w:lang w:val="en_US" w:bidi="en_US"/>
        </w:rPr>
        <w:t>how</w:t>
      </w:r>
      <w:r>
        <w:rPr>
          <w:lang w:val="en_US" w:bidi="en_US"/>
        </w:rPr>
        <w:t xml:space="preserve"> probably refers to the </w:t>
      </w:r>
      <w:r>
        <w:rPr>
          <w:u w:val="single"/>
          <w:lang w:val="en_US" w:bidi="en_US"/>
        </w:rPr>
        <w:t>fact</w:t>
      </w:r>
      <w:r>
        <w:rPr>
          <w:lang w:val="en_US" w:bidi="en_US"/>
        </w:rPr>
        <w:t xml:space="preserve"> that the woman was healed as soon as she touched Jesus’ cloak. The healing was immediate. It does not indicate that she explained the manner or process in which she was healed. Another way to translate this is:</w:t>
      </w:r>
    </w:p>
    <w:p>
      <w:pPr/>
      <w:r>
        <w:rPr>
          <w:lang w:val="en_US" w:bidi="en_US"/>
        </w:rPr>
      </w:r>
      <w:r>
        <w:rPr>
          <w:lang w:val="en_US" w:bidi="en_US"/>
        </w:rPr>
        <w:t>that she had been immediately healed (NLT)</w:t>
      </w:r>
    </w:p>
    <w:p>
      <w:pPr>
        <w:pStyle w:val="Heading6"/>
      </w:pPr>
      <w:r>
        <w:rPr>
          <w:b/>
          <w:lang w:val="en_US" w:bidi="en_US"/>
        </w:rPr>
        <w:t>General Comment on 8:47a–d</w:t>
      </w:r>
    </w:p>
    <w:p>
      <w:pPr/>
      <w:r>
        <w:rPr>
          <w:lang w:val="en_US" w:bidi="en_US"/>
        </w:rPr>
      </w:r>
      <w:r>
        <w:rPr>
          <w:lang w:val="en_US" w:bidi="en_US"/>
        </w:rPr>
        <w:t>In some languages it may be necessary to use direct speech to report what the woman said to Jesus in 8:47d. It may also be helpful to make the connections between the clauses in 8:47 more explicit. For example:</w:t>
      </w:r>
    </w:p>
    <w:p>
      <w:pPr/>
      <w:r>
        <w:rPr>
          <w:lang w:val="en_US" w:bidi="en_US"/>
        </w:rPr>
      </w:r>
      <w:r>
        <w:rPr>
          <w:vertAlign w:val="superscript"/>
          <w:lang w:val="en_US" w:bidi="en_US"/>
        </w:rPr>
        <w:t>47a</w:t>
      </w:r>
      <w:r>
        <w:rPr>
          <w:lang w:val="en_US" w:bidi="en_US"/>
        </w:rPr>
        <w:t xml:space="preserve">The woman realized then that she could not hide </w:t>
      </w:r>
      <w:r>
        <w:rPr>
          <w:lang w:val="en_US" w:bidi="en_US"/>
        </w:rPr>
        <w:t>what had happened</w:t>
      </w:r>
      <w:r>
        <w:rPr>
          <w:lang w:val="en_US" w:bidi="en_US"/>
        </w:rPr>
        <w:t xml:space="preserve">. </w:t>
      </w:r>
      <w:r>
        <w:rPr>
          <w:vertAlign w:val="superscript"/>
          <w:lang w:val="en_US" w:bidi="en_US"/>
        </w:rPr>
        <w:t>47b</w:t>
      </w:r>
      <w:r>
        <w:rPr>
          <w:lang w:val="en_US" w:bidi="en_US"/>
        </w:rPr>
        <w:t xml:space="preserve">So, even though she was very afraid, she came </w:t>
      </w:r>
      <w:r>
        <w:rPr>
          <w:lang w:val="en_US" w:bidi="en_US"/>
        </w:rPr>
        <w:t>forward</w:t>
      </w:r>
      <w:r>
        <w:rPr>
          <w:lang w:val="en_US" w:bidi="en_US"/>
        </w:rPr>
        <w:t xml:space="preserve"> and kneeled in front of Jesus. </w:t>
      </w:r>
      <w:r>
        <w:rPr>
          <w:vertAlign w:val="superscript"/>
          <w:lang w:val="en_US" w:bidi="en_US"/>
        </w:rPr>
        <w:t>47c</w:t>
      </w:r>
      <w:r>
        <w:rPr>
          <w:lang w:val="en_US" w:bidi="en_US"/>
        </w:rPr>
        <w:t xml:space="preserve">With everyone </w:t>
      </w:r>
      <w:r>
        <w:rPr>
          <w:lang w:val="en_US" w:bidi="en_US"/>
        </w:rPr>
        <w:t>watching and listening</w:t>
      </w:r>
      <w:r>
        <w:rPr>
          <w:lang w:val="en_US" w:bidi="en_US"/>
        </w:rPr>
        <w:t xml:space="preserve">, she said </w:t>
      </w:r>
      <w:r>
        <w:rPr>
          <w:lang w:val="en_US" w:bidi="en_US"/>
        </w:rPr>
        <w:t>to him</w:t>
      </w:r>
      <w:r>
        <w:rPr>
          <w:lang w:val="en_US" w:bidi="en_US"/>
        </w:rPr>
        <w:t xml:space="preserve">, “I touched you because </w:t>
      </w:r>
      <w:r>
        <w:rPr>
          <w:lang w:val="en_US" w:bidi="en_US"/>
        </w:rPr>
        <w:t>I have been bleeding for twelve years, and I believed that if I could touch you, I would become well. I did touch the edge of your clothing</w:t>
      </w:r>
      <w:r>
        <w:rPr>
          <w:lang w:val="en_US" w:bidi="en_US"/>
        </w:rPr>
        <w:t xml:space="preserve"> </w:t>
      </w:r>
      <w:r>
        <w:rPr>
          <w:vertAlign w:val="superscript"/>
          <w:lang w:val="en_US" w:bidi="en_US"/>
        </w:rPr>
        <w:t>47c</w:t>
      </w:r>
      <w:r>
        <w:rPr>
          <w:lang w:val="en_US" w:bidi="en_US"/>
        </w:rPr>
        <w:t>and I immediately became well.”</w:t>
      </w:r>
      <w:r>
        <w:rPr>
          <w:lang w:val="en_US" w:bidi="en_US"/>
        </w:rPr>
      </w:r>
      <w:r>
        <w:rPr>
          <w:lang w:val="en_US" w:bidi="en_US"/>
        </w:rPr>
      </w:r>
    </w:p>
    <w:p>
      <w:pPr/>
      <w:r>
        <w:rPr>
          <w:lang w:val="en_US" w:bidi="en_US"/>
        </w:rPr>
      </w:r>
    </w:p>
    <w:p>
      <w:pPr>
        <w:pStyle w:val="Heading2"/>
      </w:pPr>
      <w:r>
        <w:rPr>
          <w:lang w:val="en_US" w:bidi="en_US"/>
        </w:rPr>
        <w:t>Luke 8:48</w:t>
      </w:r>
      <w:r>
        <w:rPr>
          <w:lang w:val="en_US" w:bidi="en_US"/>
        </w:rPr>
      </w:r>
    </w:p>
    <w:p>
      <w:pPr>
        <w:pStyle w:val="Heading4"/>
      </w:pPr>
      <w:r>
        <w:rPr>
          <w:lang w:val="en_US" w:bidi="en_US"/>
        </w:rPr>
        <w:t>Section 8:40–56: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pPr/>
      <w:r>
        <w:rPr>
          <w:lang w:val="en_US" w:bidi="en_US"/>
        </w:rPr>
      </w:r>
      <w:r>
        <w:rPr>
          <w:lang w:val="en_US" w:bidi="en_US"/>
        </w:rP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pPr/>
      <w:r>
        <w:rPr>
          <w:lang w:val="en_US" w:bidi="en_US"/>
        </w:rPr>
      </w:r>
      <w:r>
        <w:rPr>
          <w:lang w:val="en_US" w:bidi="en_US"/>
        </w:rPr>
        <w:t>Another important theme in this section is faith. Jesus said that the woman who was bleeding was healed because she believed that Jesus could heal her. Then he encouraged Jairus to keep believing that God could make his daughter well, even after she had died.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border/edge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Mark 5:21–43.</w:t>
      </w:r>
    </w:p>
    <w:p>
      <w:pPr>
        <w:pStyle w:val="Heading5"/>
      </w:pPr>
      <w:r>
        <w:rPr>
          <w:lang w:val="en_US" w:bidi="en_US"/>
        </w:rPr>
        <w:t>8:48a</w:t>
      </w:r>
    </w:p>
    <w:p>
      <w:pPr/>
      <w:r>
        <w:rPr>
          <w:lang w:val="en_US" w:bidi="en_US"/>
        </w:rPr>
      </w:r>
      <w:r>
        <w:rPr>
          <w:b/>
          <w:lang w:val="en_US" w:bidi="en_US"/>
        </w:rPr>
        <w:t>“Daughter,” said Jesus, “your faith has healed you.</w:t>
      </w:r>
    </w:p>
    <w:p>
      <w:pPr>
        <w:pStyle w:val="ListBullet"/>
        <w:spacing w:line="240" w:lineRule="auto"/>
        <w:ind w:left="720"/>
      </w:pPr>
      <w:r>
        <w:rPr>
          <w:lang w:val="en_US" w:bidi="en_US"/>
        </w:rPr>
      </w:r>
      <w:r>
        <w:rPr>
          <w:lang w:val="en_US" w:bidi="en_US"/>
        </w:rPr>
        <w:t>He told the woman, “Daughter/Sister, you</w:t>
      </w:r>
      <w:r>
        <w:rPr>
          <w:vertAlign w:val="superscript"/>
          <w:lang w:val="en_US" w:bidi="en_US"/>
        </w:rPr>
        <w:t>(sing)</w:t>
      </w:r>
      <w:r>
        <w:rPr>
          <w:lang w:val="en_US" w:bidi="en_US"/>
        </w:rPr>
        <w:t xml:space="preserve"> are well </w:t>
      </w:r>
      <w:r>
        <w:rPr>
          <w:lang w:val="en_US" w:bidi="en_US"/>
        </w:rPr>
        <w:t>now</w:t>
      </w:r>
      <w:r>
        <w:rPr>
          <w:lang w:val="en_US" w:bidi="en_US"/>
        </w:rPr>
        <w:t xml:space="preserve"> because you trusted </w:t>
      </w:r>
      <w:r>
        <w:rPr>
          <w:lang w:val="en_US" w:bidi="en_US"/>
        </w:rPr>
        <w:t>in me</w:t>
      </w:r>
      <w:r>
        <w:rPr>
          <w:lang w:val="en_US" w:bidi="en_US"/>
        </w:rPr>
        <w:t>.</w:t>
      </w:r>
    </w:p>
    <w:p>
      <w:pPr>
        <w:pStyle w:val="ListBullet"/>
        <w:spacing w:line="240" w:lineRule="auto"/>
        <w:ind w:left="720"/>
      </w:pPr>
      <w:r>
        <w:rPr>
          <w:lang w:val="en_US" w:bidi="en_US"/>
        </w:rPr>
      </w:r>
      <w:r>
        <w:rPr>
          <w:lang w:val="en_US" w:bidi="en_US"/>
        </w:rPr>
        <w:t>Jesus said to her, “Dear woman, because you</w:t>
      </w:r>
      <w:r>
        <w:rPr>
          <w:vertAlign w:val="superscript"/>
          <w:lang w:val="en_US" w:bidi="en_US"/>
        </w:rPr>
        <w:t>(sing)</w:t>
      </w:r>
      <w:r>
        <w:rPr>
          <w:lang w:val="en_US" w:bidi="en_US"/>
        </w:rPr>
        <w:t xml:space="preserve"> had confidence that I could heal you, you have become well.</w:t>
      </w:r>
    </w:p>
    <w:p>
      <w:pPr>
        <w:pStyle w:val="ListBullet"/>
        <w:spacing w:line="240" w:lineRule="auto"/>
        <w:ind w:left="720"/>
      </w:pPr>
      <w:r>
        <w:rPr>
          <w:lang w:val="en_US" w:bidi="en_US"/>
        </w:rPr>
      </w:r>
      <w:r>
        <w:rPr>
          <w:lang w:val="en_US" w:bidi="en_US"/>
        </w:rPr>
        <w:t xml:space="preserve">Jesus spoke </w:t>
      </w:r>
      <w:r>
        <w:rPr>
          <w:lang w:val="en_US" w:bidi="en_US"/>
        </w:rPr>
        <w:t>kindly</w:t>
      </w:r>
      <w:r>
        <w:rPr>
          <w:lang w:val="en_US" w:bidi="en_US"/>
        </w:rPr>
        <w:t xml:space="preserve"> to the woman. He said, “The reason you</w:t>
      </w:r>
      <w:r>
        <w:rPr>
          <w:vertAlign w:val="superscript"/>
          <w:lang w:val="en_US" w:bidi="en_US"/>
        </w:rPr>
        <w:t>(sing)</w:t>
      </w:r>
      <w:r>
        <w:rPr>
          <w:lang w:val="en_US" w:bidi="en_US"/>
        </w:rPr>
        <w:t xml:space="preserve"> have been healed is because of your faith.</w:t>
      </w:r>
    </w:p>
    <w:p>
      <w:pPr/>
      <w:r>
        <w:rPr>
          <w:lang w:val="en_US" w:bidi="en_US"/>
        </w:rPr>
      </w:r>
      <w:r>
        <w:rPr>
          <w:b/>
          <w:lang w:val="en_US" w:bidi="en_US"/>
        </w:rPr>
        <w:t>Daughter:</w:t>
      </w:r>
      <w:r>
        <w:rPr>
          <w:lang w:val="en_US" w:bidi="en_US"/>
        </w:rPr>
        <w:t xml:space="preserve"> Jesus called the woman </w:t>
      </w:r>
      <w:r>
        <w:rPr>
          <w:i/>
          <w:lang w:val="en_US" w:bidi="en_US"/>
        </w:rPr>
        <w:t>Daughter</w:t>
      </w:r>
      <w:r>
        <w:rPr>
          <w:lang w:val="en_US" w:bidi="en_US"/>
        </w:rPr>
        <w:t xml:space="preserve"> to show his kind concern for her and so to reassure her. </w:t>
      </w:r>
      <w:r>
        <w:rPr>
          <w:i/>
          <w:lang w:val="en_US" w:bidi="en_US"/>
        </w:rPr>
        <w:t>Daughter</w:t>
      </w:r>
      <w:r>
        <w:rPr>
          <w:lang w:val="en_US" w:bidi="en_US"/>
        </w:rPr>
        <w:t xml:space="preserve"> was an appropriate term for a teacher like Jesus to use to speak kindly to a woman.</w:t>
      </w:r>
    </w:p>
    <w:p>
      <w:pPr/>
      <w:r>
        <w:rPr>
          <w:lang w:val="en_US" w:bidi="en_US"/>
        </w:rPr>
      </w:r>
      <w:r>
        <w:rPr>
          <w:lang w:val="en_US" w:bidi="en_US"/>
        </w:rPr>
        <w:t xml:space="preserve">The word </w:t>
      </w:r>
      <w:r>
        <w:rPr>
          <w:i/>
          <w:lang w:val="en_US" w:bidi="en_US"/>
        </w:rPr>
        <w:t>Daughter</w:t>
      </w:r>
      <w:r>
        <w:rPr>
          <w:lang w:val="en_US" w:bidi="en_US"/>
        </w:rPr>
        <w:t xml:space="preserve"> does not imply here that the woman was literally Jesus’ daughter. It also does not imply that she was much younger than Jesus. The text does not indicate whether she was younger or older. In some languages it may not be natural to use a word such as </w:t>
      </w:r>
      <w:r>
        <w:rPr>
          <w:i/>
          <w:lang w:val="en_US" w:bidi="en_US"/>
        </w:rPr>
        <w:t>Daughter</w:t>
      </w:r>
      <w:r>
        <w:rPr>
          <w:lang w:val="en_US" w:bidi="en_US"/>
        </w:rPr>
        <w:t xml:space="preserve"> here, or it may imply a wrong meaning. Use an appropriate term in your language for this context.</w:t>
      </w:r>
    </w:p>
    <w:p>
      <w:pPr/>
      <w:r>
        <w:rPr>
          <w:lang w:val="en_US" w:bidi="en_US"/>
        </w:rPr>
      </w:r>
      <w:r>
        <w:rPr>
          <w:b/>
          <w:lang w:val="en_US" w:bidi="en_US"/>
        </w:rPr>
        <w:t>your faith has healed you:</w:t>
      </w:r>
      <w:r>
        <w:rPr>
          <w:lang w:val="en_US" w:bidi="en_US"/>
        </w:rPr>
        <w:t xml:space="preserve"> The noun </w:t>
      </w:r>
      <w:r>
        <w:rPr>
          <w:i/>
          <w:lang w:val="en_US" w:bidi="en_US"/>
        </w:rPr>
        <w:t>faith</w:t>
      </w:r>
      <w:r>
        <w:rPr>
          <w:lang w:val="en_US" w:bidi="en_US"/>
        </w:rPr>
        <w:t xml:space="preserve"> refers here to the action of believing and trusting Jesus. The phrase </w:t>
      </w:r>
      <w:r>
        <w:rPr>
          <w:i/>
          <w:lang w:val="en_US" w:bidi="en_US"/>
        </w:rPr>
        <w:t>your faith has healed you</w:t>
      </w:r>
      <w:r>
        <w:rPr>
          <w:lang w:val="en_US" w:bidi="en_US"/>
        </w:rPr>
        <w:t xml:space="preserve"> implies that the woman believed that Jesus would heal her. In some languages it may be more natural to translate </w:t>
      </w:r>
      <w:r>
        <w:rPr>
          <w:i/>
          <w:lang w:val="en_US" w:bidi="en_US"/>
        </w:rPr>
        <w:t>faith</w:t>
      </w:r>
      <w:r>
        <w:rPr>
          <w:lang w:val="en_US" w:bidi="en_US"/>
        </w:rPr>
        <w:t xml:space="preserve"> as a verb. If that is true in your language, you may also need to make explicit who or what was believed. Some ways to translate this are:</w:t>
      </w:r>
    </w:p>
    <w:p>
      <w:pPr/>
      <w:r>
        <w:rPr>
          <w:lang w:val="en_US" w:bidi="en_US"/>
        </w:rPr>
      </w:r>
      <w:r>
        <w:rPr>
          <w:lang w:val="en_US" w:bidi="en_US"/>
        </w:rPr>
        <w:t xml:space="preserve">You trusted </w:t>
      </w:r>
      <w:r>
        <w:rPr>
          <w:lang w:val="en_US" w:bidi="en_US"/>
        </w:rPr>
        <w:t>in me</w:t>
      </w:r>
      <w:r>
        <w:rPr>
          <w:lang w:val="en_US" w:bidi="en_US"/>
        </w:rPr>
        <w:t xml:space="preserve"> and that has healed you.</w:t>
      </w:r>
    </w:p>
    <w:p>
      <w:pPr/>
      <w:r>
        <w:rPr>
          <w:lang w:val="en_US" w:bidi="en_US"/>
        </w:rPr>
      </w:r>
      <w:r>
        <w:rPr>
          <w:lang w:val="en_US" w:bidi="en_US"/>
        </w:rPr>
        <w:t xml:space="preserve">You are well because you believed </w:t>
      </w:r>
      <w:r>
        <w:rPr>
          <w:lang w:val="en_US" w:bidi="en_US"/>
        </w:rPr>
        <w:t>that I could heal you</w:t>
      </w:r>
      <w:r>
        <w:rPr>
          <w:lang w:val="en_US" w:bidi="en_US"/>
        </w:rPr>
        <w:t>.</w:t>
      </w:r>
    </w:p>
    <w:p>
      <w:pPr/>
      <w:r>
        <w:rPr>
          <w:lang w:val="en_US" w:bidi="en_US"/>
        </w:rPr>
      </w:r>
      <w:r>
        <w:rPr>
          <w:lang w:val="en_US" w:bidi="en_US"/>
        </w:rPr>
        <w:t>See believe, Meaning 2, in the Glossary.</w:t>
      </w:r>
    </w:p>
    <w:p>
      <w:pPr/>
      <w:r>
        <w:rPr>
          <w:lang w:val="en_US" w:bidi="en_US"/>
        </w:rPr>
      </w:r>
      <w:r>
        <w:rPr>
          <w:b/>
          <w:lang w:val="en_US" w:bidi="en_US"/>
        </w:rPr>
        <w:t>has healed you:</w:t>
      </w:r>
      <w:r>
        <w:rPr>
          <w:lang w:val="en_US" w:bidi="en_US"/>
        </w:rPr>
        <w:t xml:space="preserve"> The form of the Greek verb here implies that the woman was healed in the past, when she touched Jesus’ clothes. She was now well. Use the appropriate verb form in your language for this.</w:t>
      </w:r>
    </w:p>
    <w:p>
      <w:pPr/>
      <w:r>
        <w:rPr>
          <w:lang w:val="en_US" w:bidi="en_US"/>
        </w:rPr>
      </w:r>
      <w:r>
        <w:rPr>
          <w:b/>
          <w:lang w:val="en_US" w:bidi="en_US"/>
        </w:rPr>
        <w:t>healed:</w:t>
      </w:r>
      <w:r>
        <w:rPr>
          <w:lang w:val="en_US" w:bidi="en_US"/>
        </w:rPr>
        <w:t xml:space="preserve"> The Greek word that the BSB translates as </w:t>
      </w:r>
      <w:r>
        <w:rPr>
          <w:i/>
          <w:lang w:val="en_US" w:bidi="en_US"/>
        </w:rPr>
        <w:t>healed</w:t>
      </w:r>
      <w:r>
        <w:rPr>
          <w:lang w:val="en_US" w:bidi="en_US"/>
        </w:rPr>
        <w:t xml:space="preserve"> is the same word that is commonly used in the Bible to mean “saved, rescued.” In this context, it means “saved/rescued from illness” or “healed.” If you have an expression that could be used for both “rescue from sins” and “rescue from an illness,” consider using it here.</w:t>
      </w:r>
    </w:p>
    <w:p>
      <w:pPr>
        <w:pStyle w:val="Heading5"/>
      </w:pPr>
      <w:r>
        <w:rPr>
          <w:lang w:val="en_US" w:bidi="en_US"/>
        </w:rPr>
        <w:t>8:48b</w:t>
      </w:r>
    </w:p>
    <w:p>
      <w:pPr/>
      <w:r>
        <w:rPr>
          <w:lang w:val="en_US" w:bidi="en_US"/>
        </w:rPr>
      </w:r>
      <w:r>
        <w:rPr>
          <w:b/>
          <w:lang w:val="en_US" w:bidi="en_US"/>
        </w:rPr>
        <w:t>Go in peace.”</w:t>
      </w:r>
    </w:p>
    <w:p>
      <w:pPr>
        <w:pStyle w:val="ListBullet"/>
        <w:spacing w:line="240" w:lineRule="auto"/>
        <w:ind w:left="720"/>
      </w:pPr>
      <w:r>
        <w:rPr>
          <w:lang w:val="en_US" w:bidi="en_US"/>
        </w:rPr>
      </w:r>
      <w:r>
        <w:rPr>
          <w:lang w:val="en_US" w:bidi="en_US"/>
        </w:rPr>
        <w:t>Go</w:t>
      </w:r>
      <w:r>
        <w:rPr>
          <w:vertAlign w:val="superscript"/>
          <w:lang w:val="en_US" w:bidi="en_US"/>
        </w:rPr>
        <w:t>(sing)</w:t>
      </w:r>
      <w:r>
        <w:rPr>
          <w:lang w:val="en_US" w:bidi="en_US"/>
        </w:rPr>
        <w:t xml:space="preserve">, and may </w:t>
      </w:r>
      <w:r>
        <w:rPr>
          <w:lang w:val="en_US" w:bidi="en_US"/>
        </w:rPr>
        <w:t>God’s</w:t>
      </w:r>
      <w:r>
        <w:rPr>
          <w:lang w:val="en_US" w:bidi="en_US"/>
        </w:rPr>
        <w:t xml:space="preserve"> peace be with you.”</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may return </w:t>
      </w:r>
      <w:r>
        <w:rPr>
          <w:lang w:val="en_US" w:bidi="en_US"/>
        </w:rPr>
        <w:t>to your home</w:t>
      </w:r>
      <w:r>
        <w:rPr>
          <w:lang w:val="en_US" w:bidi="en_US"/>
        </w:rPr>
        <w:t xml:space="preserve"> with the peace </w:t>
      </w:r>
      <w:r>
        <w:rPr>
          <w:lang w:val="en_US" w:bidi="en_US"/>
        </w:rPr>
        <w:t>that comes from God</w:t>
      </w:r>
      <w:r>
        <w:rPr>
          <w:lang w:val="en_US" w:bidi="en_US"/>
        </w:rPr>
        <w:t>.”</w:t>
      </w:r>
    </w:p>
    <w:p>
      <w:pPr/>
      <w:r>
        <w:rPr>
          <w:lang w:val="en_US" w:bidi="en_US"/>
        </w:rPr>
      </w:r>
      <w:r>
        <w:rPr>
          <w:b/>
          <w:lang w:val="en_US" w:bidi="en_US"/>
        </w:rPr>
        <w:t>Go in peace:</w:t>
      </w:r>
      <w:r>
        <w:rPr>
          <w:lang w:val="en_US" w:bidi="en_US"/>
        </w:rPr>
        <w:t xml:space="preserve"> The phrase </w:t>
      </w:r>
      <w:r>
        <w:rPr>
          <w:i/>
          <w:lang w:val="en_US" w:bidi="en_US"/>
        </w:rPr>
        <w:t>Go in peace</w:t>
      </w:r>
      <w:r>
        <w:rPr>
          <w:lang w:val="en_US" w:bidi="en_US"/>
        </w:rPr>
        <w:t xml:space="preserve"> was a common blessing that a Jewish person gave to someone who was leaving. This blessing means “may you go with peace.” To Jewish people it strongly implies that God is the one who gives that peace. Jesus used this blessing here to reassure the woman. Other ways to say this are:</w:t>
      </w:r>
    </w:p>
    <w:p>
      <w:pPr/>
      <w:r>
        <w:rPr>
          <w:lang w:val="en_US" w:bidi="en_US"/>
        </w:rPr>
      </w:r>
      <w:r>
        <w:rPr>
          <w:lang w:val="en_US" w:bidi="en_US"/>
        </w:rPr>
        <w:t xml:space="preserve">Go and may God </w:t>
      </w:r>
      <w:r>
        <w:rPr>
          <w:lang w:val="en_US" w:bidi="en_US"/>
        </w:rPr>
        <w:t>continue to</w:t>
      </w:r>
      <w:r>
        <w:rPr>
          <w:lang w:val="en_US" w:bidi="en_US"/>
        </w:rPr>
        <w:t xml:space="preserve"> give you his peace</w:t>
      </w:r>
    </w:p>
    <w:p>
      <w:pPr/>
      <w:r>
        <w:rPr>
          <w:lang w:val="en_US" w:bidi="en_US"/>
        </w:rPr>
      </w:r>
      <w:r>
        <w:rPr>
          <w:lang w:val="en_US" w:bidi="en_US"/>
        </w:rPr>
        <w:t xml:space="preserve">You may go home now with </w:t>
      </w:r>
      <w:r>
        <w:rPr>
          <w:lang w:val="en_US" w:bidi="en_US"/>
        </w:rPr>
        <w:t>the blessing of</w:t>
      </w:r>
      <w:r>
        <w:rPr>
          <w:lang w:val="en_US" w:bidi="en_US"/>
        </w:rPr>
        <w:t xml:space="preserve"> God’s peace</w:t>
      </w:r>
    </w:p>
    <w:p>
      <w:pPr/>
      <w:r>
        <w:rPr>
          <w:lang w:val="en_US" w:bidi="en_US"/>
        </w:rPr>
      </w:r>
      <w:r>
        <w:rPr>
          <w:lang w:val="en_US" w:bidi="en_US"/>
        </w:rPr>
        <w:t>Go and may the peace of God rest upon you</w:t>
      </w:r>
    </w:p>
    <w:p>
      <w:pPr/>
      <w:r>
        <w:rPr>
          <w:lang w:val="en_US" w:bidi="en_US"/>
        </w:rPr>
      </w:r>
      <w:r>
        <w:rPr>
          <w:lang w:val="en_US" w:bidi="en_US"/>
        </w:rPr>
        <w:t xml:space="preserve">You may go home now, </w:t>
      </w:r>
      <w:r>
        <w:rPr>
          <w:lang w:val="en_US" w:bidi="en_US"/>
        </w:rPr>
        <w:t>knowing that you are</w:t>
      </w:r>
      <w:r>
        <w:rPr>
          <w:lang w:val="en_US" w:bidi="en_US"/>
        </w:rPr>
        <w:t xml:space="preserve"> at peace </w:t>
      </w:r>
      <w:r>
        <w:rPr>
          <w:lang w:val="en_US" w:bidi="en_US"/>
        </w:rPr>
        <w:t>with God</w:t>
      </w:r>
    </w:p>
    <w:p>
      <w:pPr/>
      <w:r>
        <w:rPr>
          <w:lang w:val="en_US" w:bidi="en_US"/>
        </w:rPr>
      </w:r>
      <w:r>
        <w:rPr>
          <w:lang w:val="en_US" w:bidi="en_US"/>
        </w:rPr>
        <w:t>This same expression occurs in 7:50b. See also peace, Meaning 6, in the Glossary.</w:t>
      </w:r>
      <w:r>
        <w:rPr>
          <w:lang w:val="en_US" w:bidi="en_US"/>
        </w:rPr>
      </w:r>
      <w:r>
        <w:rPr>
          <w:lang w:val="en_US" w:bidi="en_US"/>
        </w:rPr>
      </w:r>
    </w:p>
    <w:p>
      <w:pPr/>
      <w:r>
        <w:rPr>
          <w:lang w:val="en_US" w:bidi="en_US"/>
        </w:rPr>
      </w:r>
    </w:p>
    <w:p>
      <w:pPr>
        <w:pStyle w:val="Heading2"/>
      </w:pPr>
      <w:r>
        <w:rPr>
          <w:lang w:val="en_US" w:bidi="en_US"/>
        </w:rPr>
        <w:t>Luke 8:49</w:t>
      </w:r>
      <w:r>
        <w:rPr>
          <w:lang w:val="en_US" w:bidi="en_US"/>
        </w:rPr>
      </w:r>
    </w:p>
    <w:p>
      <w:pPr>
        <w:pStyle w:val="Heading4"/>
      </w:pPr>
      <w:r>
        <w:rPr>
          <w:lang w:val="en_US" w:bidi="en_US"/>
        </w:rPr>
        <w:t>Section 8:40–56: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pPr/>
      <w:r>
        <w:rPr>
          <w:lang w:val="en_US" w:bidi="en_US"/>
        </w:rPr>
      </w:r>
      <w:r>
        <w:rPr>
          <w:lang w:val="en_US" w:bidi="en_US"/>
        </w:rP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pPr/>
      <w:r>
        <w:rPr>
          <w:lang w:val="en_US" w:bidi="en_US"/>
        </w:rPr>
      </w:r>
      <w:r>
        <w:rPr>
          <w:lang w:val="en_US" w:bidi="en_US"/>
        </w:rPr>
        <w:t>Another important theme in this section is faith. Jesus said that the woman who was bleeding was healed because she believed that Jesus could heal her. Then he encouraged Jairus to keep believing that God could make his daughter well, even after she had died.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border/edge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Mark 5:21–43.</w:t>
      </w:r>
    </w:p>
    <w:p>
      <w:pPr>
        <w:pStyle w:val="Heading4"/>
      </w:pPr>
      <w:r>
        <w:rPr>
          <w:lang w:val="en_US" w:bidi="en_US"/>
        </w:rPr>
        <w:t>Paragraph 8:49–50</w:t>
      </w:r>
    </w:p>
    <w:p>
      <w:pPr/>
      <w:r>
        <w:rPr>
          <w:lang w:val="en_US" w:bidi="en_US"/>
        </w:rPr>
      </w:r>
      <w:r>
        <w:rPr>
          <w:lang w:val="en_US" w:bidi="en_US"/>
        </w:rPr>
        <w:t>In this paragraph, Luke returned to the story about Jairus and his daughter. Use a natural way in your language to focus again on the people who were introduced before the story about Jairus was interrupted in 8:43.</w:t>
      </w:r>
    </w:p>
    <w:p>
      <w:pPr>
        <w:pStyle w:val="Heading5"/>
      </w:pPr>
      <w:r>
        <w:rPr>
          <w:lang w:val="en_US" w:bidi="en_US"/>
        </w:rPr>
        <w:t>8:49a</w:t>
      </w:r>
    </w:p>
    <w:p>
      <w:pPr/>
      <w:r>
        <w:rPr>
          <w:lang w:val="en_US" w:bidi="en_US"/>
        </w:rPr>
      </w:r>
      <w:r>
        <w:rPr>
          <w:b/>
          <w:lang w:val="en_US" w:bidi="en_US"/>
        </w:rPr>
        <w:t>While He was still speaking,</w:t>
      </w:r>
    </w:p>
    <w:p>
      <w:pPr>
        <w:pStyle w:val="ListBullet"/>
        <w:spacing w:line="240" w:lineRule="auto"/>
        <w:ind w:left="720"/>
      </w:pPr>
      <w:r>
        <w:rPr>
          <w:lang w:val="en_US" w:bidi="en_US"/>
        </w:rPr>
      </w:r>
      <w:r>
        <w:rPr>
          <w:lang w:val="en_US" w:bidi="en_US"/>
        </w:rPr>
        <w:t>¶ While Jesus was still saying this,</w:t>
      </w:r>
    </w:p>
    <w:p>
      <w:pPr>
        <w:pStyle w:val="ListBullet"/>
        <w:spacing w:line="240" w:lineRule="auto"/>
        <w:ind w:left="720"/>
      </w:pPr>
      <w:r>
        <w:rPr>
          <w:lang w:val="en_US" w:bidi="en_US"/>
        </w:rPr>
      </w:r>
      <w:r>
        <w:rPr>
          <w:lang w:val="en_US" w:bidi="en_US"/>
        </w:rPr>
        <w:t xml:space="preserve">¶ Before Jesus finished speaking </w:t>
      </w:r>
      <w:r>
        <w:rPr>
          <w:lang w:val="en_US" w:bidi="en_US"/>
        </w:rPr>
        <w:t>to the woman</w:t>
      </w:r>
      <w:r>
        <w:rPr>
          <w:lang w:val="en_US" w:bidi="en_US"/>
        </w:rPr>
        <w:t>,</w:t>
      </w:r>
    </w:p>
    <w:p>
      <w:pPr>
        <w:pStyle w:val="Heading5"/>
      </w:pPr>
      <w:r>
        <w:rPr>
          <w:lang w:val="en_US" w:bidi="en_US"/>
        </w:rPr>
        <w:t>8:49b</w:t>
      </w:r>
    </w:p>
    <w:p>
      <w:pPr/>
      <w:r>
        <w:rPr>
          <w:lang w:val="en_US" w:bidi="en_US"/>
        </w:rPr>
      </w:r>
      <w:r>
        <w:rPr>
          <w:b/>
          <w:lang w:val="en_US" w:bidi="en_US"/>
        </w:rPr>
        <w:t>someone arrived from the house of the synagogue leader.</w:t>
      </w:r>
    </w:p>
    <w:p>
      <w:pPr>
        <w:pStyle w:val="ListBullet"/>
        <w:spacing w:line="240" w:lineRule="auto"/>
        <w:ind w:left="720"/>
      </w:pPr>
      <w:r>
        <w:rPr>
          <w:lang w:val="en_US" w:bidi="en_US"/>
        </w:rPr>
      </w:r>
      <w:r>
        <w:rPr>
          <w:lang w:val="en_US" w:bidi="en_US"/>
        </w:rPr>
        <w:t>someone arrived from the house of the synagogue leader/elder</w:t>
      </w:r>
    </w:p>
    <w:p>
      <w:pPr>
        <w:pStyle w:val="ListBullet"/>
        <w:spacing w:line="240" w:lineRule="auto"/>
        <w:ind w:left="720"/>
      </w:pPr>
      <w:r>
        <w:rPr>
          <w:lang w:val="en_US" w:bidi="en_US"/>
        </w:rPr>
      </w:r>
      <w:r>
        <w:rPr>
          <w:lang w:val="en_US" w:bidi="en_US"/>
        </w:rPr>
        <w:t>a man/messenger from the household of Jairus came.</w:t>
      </w:r>
    </w:p>
    <w:p>
      <w:pPr>
        <w:pStyle w:val="Heading5"/>
      </w:pPr>
      <w:r>
        <w:rPr>
          <w:lang w:val="en_US" w:bidi="en_US"/>
        </w:rPr>
        <w:t>8:49a–b</w:t>
      </w:r>
    </w:p>
    <w:p>
      <w:pPr/>
      <w:r>
        <w:rPr>
          <w:lang w:val="en_US" w:bidi="en_US"/>
        </w:rPr>
      </w:r>
      <w:r>
        <w:rPr>
          <w:b/>
          <w:lang w:val="en_US" w:bidi="en_US"/>
        </w:rPr>
        <w:t>While He was still speaking, someone arrived:</w:t>
      </w:r>
      <w:r>
        <w:rPr>
          <w:lang w:val="en_US" w:bidi="en_US"/>
        </w:rPr>
        <w:t xml:space="preserve"> Jesus was still speaking to the woman whom he healed when someone came with a message for Jairus. Express this timing in a natural way in your language.</w:t>
      </w:r>
    </w:p>
    <w:p>
      <w:pPr/>
      <w:r>
        <w:rPr>
          <w:lang w:val="en_US" w:bidi="en_US"/>
        </w:rPr>
      </w:r>
      <w:r>
        <w:rPr>
          <w:lang w:val="en_US" w:bidi="en_US"/>
        </w:rPr>
        <w:t>In some languages it may be helpful to mention who Jesus was speaking to. For example:</w:t>
      </w:r>
    </w:p>
    <w:p>
      <w:pPr/>
      <w:r>
        <w:rPr>
          <w:lang w:val="en_US" w:bidi="en_US"/>
        </w:rPr>
      </w:r>
      <w:r>
        <w:rPr>
          <w:lang w:val="en_US" w:bidi="en_US"/>
        </w:rPr>
        <w:t xml:space="preserve">While Jesus was still speaking to </w:t>
      </w:r>
      <w:r>
        <w:rPr>
          <w:u w:val="single"/>
          <w:lang w:val="en_US" w:bidi="en_US"/>
        </w:rPr>
        <w:t>her</w:t>
      </w:r>
    </w:p>
    <w:p>
      <w:pPr/>
      <w:r>
        <w:rPr>
          <w:lang w:val="en_US" w:bidi="en_US"/>
        </w:rPr>
      </w:r>
      <w:r>
        <w:rPr>
          <w:lang w:val="en_US" w:bidi="en_US"/>
        </w:rPr>
        <w:t xml:space="preserve">As Jesus was still talking to </w:t>
      </w:r>
      <w:r>
        <w:rPr>
          <w:u w:val="single"/>
          <w:lang w:val="en_US" w:bidi="en_US"/>
        </w:rPr>
        <w:t>the woman</w:t>
      </w:r>
    </w:p>
    <w:p>
      <w:pPr/>
      <w:r>
        <w:rPr>
          <w:lang w:val="en_US" w:bidi="en_US"/>
        </w:rPr>
      </w:r>
      <w:r>
        <w:rPr>
          <w:b/>
          <w:lang w:val="en_US" w:bidi="en_US"/>
        </w:rPr>
        <w:t>someone arrived:</w:t>
      </w:r>
      <w:r>
        <w:rPr>
          <w:lang w:val="en_US" w:bidi="en_US"/>
        </w:rPr>
        <w:t xml:space="preserve"> The person who came may have been a slave, or he may have been a friend or member of Jairus’ family. Translate this in a general way. For example:</w:t>
      </w:r>
    </w:p>
    <w:p>
      <w:pPr/>
      <w:r>
        <w:rPr>
          <w:lang w:val="en_US" w:bidi="en_US"/>
        </w:rPr>
      </w:r>
      <w:r>
        <w:rPr>
          <w:lang w:val="en_US" w:bidi="en_US"/>
        </w:rPr>
        <w:t>someone came (NIV)</w:t>
      </w:r>
    </w:p>
    <w:p>
      <w:pPr/>
      <w:r>
        <w:rPr>
          <w:lang w:val="en_US" w:bidi="en_US"/>
        </w:rPr>
      </w:r>
      <w:r>
        <w:rPr>
          <w:lang w:val="en_US" w:bidi="en_US"/>
        </w:rPr>
        <w:t>a man came (REB)</w:t>
      </w:r>
    </w:p>
    <w:p>
      <w:pPr/>
      <w:r>
        <w:rPr>
          <w:lang w:val="en_US" w:bidi="en_US"/>
        </w:rPr>
      </w:r>
      <w:r>
        <w:rPr>
          <w:lang w:val="en_US" w:bidi="en_US"/>
        </w:rPr>
        <w:t>a messenger came (GNT)</w:t>
      </w:r>
    </w:p>
    <w:p>
      <w:pPr/>
      <w:r>
        <w:rPr>
          <w:lang w:val="en_US" w:bidi="en_US"/>
        </w:rPr>
      </w:r>
      <w:r>
        <w:rPr>
          <w:b/>
          <w:lang w:val="en_US" w:bidi="en_US"/>
        </w:rPr>
        <w:t>from the house of the synagogue leader:</w:t>
      </w:r>
      <w:r>
        <w:rPr>
          <w:lang w:val="en_US" w:bidi="en_US"/>
        </w:rPr>
        <w:t xml:space="preserve"> The Greek phrase that the BSB translates as </w:t>
      </w:r>
      <w:r>
        <w:rPr>
          <w:i/>
          <w:lang w:val="en_US" w:bidi="en_US"/>
        </w:rPr>
        <w:t>from the house of the synagogue leader</w:t>
      </w:r>
      <w:r>
        <w:rPr>
          <w:lang w:val="en_US" w:bidi="en_US"/>
        </w:rPr>
        <w:t xml:space="preserve"> is literally “from the synagogue ruler.” The BSB and many other English versions supply </w:t>
      </w:r>
      <w:r>
        <w:rPr>
          <w:i/>
          <w:lang w:val="en_US" w:bidi="en_US"/>
        </w:rPr>
        <w:t>from the house of</w:t>
      </w:r>
      <w:r>
        <w:rPr>
          <w:lang w:val="en_US" w:bidi="en_US"/>
        </w:rPr>
        <w:t xml:space="preserve"> because Jairus himself was already with Jesus.</w:t>
      </w:r>
    </w:p>
    <w:p>
      <w:pPr/>
      <w:r>
        <w:rPr>
          <w:lang w:val="en_US" w:bidi="en_US"/>
        </w:rPr>
      </w:r>
      <w:r>
        <w:rPr>
          <w:lang w:val="en_US" w:bidi="en_US"/>
        </w:rPr>
        <w:t>Consider what would be the most natural way in your language to refer to Jairus, the synagogue ruler, here. In some languages it may be enough to simply say “Jairus.” In other languages it may be more natural to avoid using Jairus’ name here and to simply say “the synagogue leader.” See the note on “a synagogue leader” at 8:41a.</w:t>
      </w:r>
    </w:p>
    <w:p>
      <w:pPr>
        <w:pStyle w:val="Heading5"/>
      </w:pPr>
      <w:r>
        <w:rPr>
          <w:lang w:val="en_US" w:bidi="en_US"/>
        </w:rPr>
        <w:t>8:49c</w:t>
      </w:r>
    </w:p>
    <w:p>
      <w:pPr/>
      <w:r>
        <w:rPr>
          <w:lang w:val="en_US" w:bidi="en_US"/>
        </w:rPr>
      </w:r>
      <w:r>
        <w:rPr>
          <w:b/>
          <w:lang w:val="en_US" w:bidi="en_US"/>
        </w:rPr>
        <w:t>“Your daughter is dead,” he told Jairus.</w:t>
      </w:r>
    </w:p>
    <w:p>
      <w:pPr>
        <w:pStyle w:val="ListBullet"/>
        <w:spacing w:line="240" w:lineRule="auto"/>
        <w:ind w:left="720"/>
      </w:pPr>
      <w:r>
        <w:rPr>
          <w:lang w:val="en_US" w:bidi="en_US"/>
        </w:rPr>
      </w:r>
      <w:r>
        <w:rPr>
          <w:lang w:val="en_US" w:bidi="en_US"/>
        </w:rPr>
        <w:t xml:space="preserve">and told </w:t>
      </w:r>
      <w:r>
        <w:rPr>
          <w:lang w:val="en_US" w:bidi="en_US"/>
        </w:rPr>
        <w:t>him</w:t>
      </w:r>
      <w:r>
        <w:rPr>
          <w:lang w:val="en_US" w:bidi="en_US"/>
        </w:rPr>
        <w:t>, “Your daughter is dead.</w:t>
      </w:r>
    </w:p>
    <w:p>
      <w:pPr>
        <w:pStyle w:val="ListBullet"/>
        <w:spacing w:line="240" w:lineRule="auto"/>
        <w:ind w:left="720"/>
      </w:pPr>
      <w:r>
        <w:rPr>
          <w:lang w:val="en_US" w:bidi="en_US"/>
        </w:rPr>
      </w:r>
      <w:r>
        <w:rPr>
          <w:lang w:val="en_US" w:bidi="en_US"/>
        </w:rPr>
        <w:t xml:space="preserve">and said to </w:t>
      </w:r>
      <w:r>
        <w:rPr>
          <w:lang w:val="en_US" w:bidi="en_US"/>
        </w:rPr>
        <w:t>him</w:t>
      </w:r>
      <w:r>
        <w:rPr>
          <w:lang w:val="en_US" w:bidi="en_US"/>
        </w:rPr>
        <w:t xml:space="preserve">, “Your daughter has </w:t>
      </w:r>
      <w:r>
        <w:rPr>
          <w:lang w:val="en_US" w:bidi="en_US"/>
        </w:rPr>
        <w:t>just</w:t>
      </w:r>
      <w:r>
        <w:rPr>
          <w:lang w:val="en_US" w:bidi="en_US"/>
        </w:rPr>
        <w:t xml:space="preserve"> died.</w:t>
      </w:r>
    </w:p>
    <w:p>
      <w:pPr>
        <w:pStyle w:val="ListBullet"/>
        <w:spacing w:line="240" w:lineRule="auto"/>
        <w:ind w:left="720"/>
      </w:pPr>
      <w:r>
        <w:rPr>
          <w:lang w:val="en_US" w:bidi="en_US"/>
        </w:rPr>
      </w:r>
      <w:r>
        <w:rPr>
          <w:lang w:val="en_US" w:bidi="en_US"/>
        </w:rPr>
        <w:t>He told him that his daughter had died</w:t>
      </w:r>
    </w:p>
    <w:p>
      <w:pPr/>
      <w:r>
        <w:rPr>
          <w:lang w:val="en_US" w:bidi="en_US"/>
        </w:rPr>
      </w:r>
      <w:r>
        <w:rPr>
          <w:b/>
          <w:lang w:val="en_US" w:bidi="en_US"/>
        </w:rPr>
        <w:t>Your daughter is dead:</w:t>
      </w:r>
      <w:r>
        <w:rPr>
          <w:lang w:val="en_US" w:bidi="en_US"/>
        </w:rPr>
        <w:t xml:space="preserve"> The Greek phrase that the BSB translates as </w:t>
      </w:r>
      <w:r>
        <w:rPr>
          <w:i/>
          <w:lang w:val="en_US" w:bidi="en_US"/>
        </w:rPr>
        <w:t>Your daughter is dead</w:t>
      </w:r>
      <w:r>
        <w:rPr>
          <w:lang w:val="en_US" w:bidi="en_US"/>
        </w:rPr>
        <w:t xml:space="preserve"> is literally, “Your daughter has died.” Use a natural expression in your language to tell someone that a family member has died. In many languages, there will be a euphemism for this.</w:t>
      </w:r>
    </w:p>
    <w:p>
      <w:pPr/>
      <w:r>
        <w:rPr>
          <w:lang w:val="en_US" w:bidi="en_US"/>
        </w:rPr>
      </w:r>
      <w:r>
        <w:rPr>
          <w:b/>
          <w:lang w:val="en_US" w:bidi="en_US"/>
        </w:rPr>
        <w:t>he told Jairus:</w:t>
      </w:r>
      <w:r>
        <w:rPr>
          <w:lang w:val="en_US" w:bidi="en_US"/>
        </w:rPr>
        <w:t xml:space="preserve"> The Greek phrase that the BSB translates as </w:t>
      </w:r>
      <w:r>
        <w:rPr>
          <w:i/>
          <w:lang w:val="en_US" w:bidi="en_US"/>
        </w:rPr>
        <w:t>he told Jairus</w:t>
      </w:r>
      <w:r>
        <w:rPr>
          <w:lang w:val="en_US" w:bidi="en_US"/>
        </w:rPr>
        <w:t xml:space="preserve"> is literally “saying.” The man was talking to Jairus, who was still with Jesus. In some languages it may be necessary to make this explicit, as the BSB does. For example:</w:t>
      </w:r>
    </w:p>
    <w:p>
      <w:pPr/>
      <w:r>
        <w:rPr>
          <w:lang w:val="en_US" w:bidi="en_US"/>
        </w:rPr>
      </w:r>
      <w:r>
        <w:rPr>
          <w:lang w:val="en_US" w:bidi="en_US"/>
        </w:rPr>
        <w:t xml:space="preserve">He said </w:t>
      </w:r>
      <w:r>
        <w:rPr>
          <w:lang w:val="en_US" w:bidi="en_US"/>
        </w:rPr>
        <w:t>to Jairus</w:t>
      </w:r>
    </w:p>
    <w:p>
      <w:pPr/>
      <w:r>
        <w:rPr>
          <w:lang w:val="en_US" w:bidi="en_US"/>
        </w:rPr>
      </w:r>
      <w:r>
        <w:rPr>
          <w:lang w:val="en_US" w:bidi="en_US"/>
        </w:rPr>
        <w:t xml:space="preserve">He told </w:t>
      </w:r>
      <w:r>
        <w:rPr>
          <w:lang w:val="en_US" w:bidi="en_US"/>
        </w:rPr>
        <w:t>the synagogue leader</w:t>
      </w:r>
    </w:p>
    <w:p>
      <w:pPr/>
      <w:r>
        <w:rPr>
          <w:lang w:val="en_US" w:bidi="en_US"/>
        </w:rPr>
      </w:r>
      <w:r>
        <w:rPr>
          <w:lang w:val="en_US" w:bidi="en_US"/>
        </w:rPr>
        <w:t xml:space="preserve">The BSB has placed the phrase </w:t>
      </w:r>
      <w:r>
        <w:rPr>
          <w:i/>
          <w:lang w:val="en_US" w:bidi="en_US"/>
        </w:rPr>
        <w:t>he told Jairus</w:t>
      </w:r>
      <w:r>
        <w:rPr>
          <w:lang w:val="en_US" w:bidi="en_US"/>
        </w:rPr>
        <w:t xml:space="preserve"> after the words “Your daughter is dead.” In the Greek text, it comes before these words. Place it where it is most natural in your language.</w:t>
      </w:r>
    </w:p>
    <w:p>
      <w:pPr>
        <w:pStyle w:val="Heading5"/>
      </w:pPr>
      <w:r>
        <w:rPr>
          <w:lang w:val="en_US" w:bidi="en_US"/>
        </w:rPr>
        <w:t>8:49d</w:t>
      </w:r>
    </w:p>
    <w:p>
      <w:pPr/>
      <w:r>
        <w:rPr>
          <w:lang w:val="en_US" w:bidi="en_US"/>
        </w:rPr>
      </w:r>
      <w:r>
        <w:rPr>
          <w:b/>
          <w:lang w:val="en_US" w:bidi="en_US"/>
        </w:rPr>
        <w:t>“Do not bother the Teacher anymore.”</w:t>
      </w:r>
    </w:p>
    <w:p>
      <w:pPr>
        <w:pStyle w:val="ListBullet"/>
        <w:spacing w:line="240" w:lineRule="auto"/>
        <w:ind w:left="720"/>
      </w:pPr>
      <w:r>
        <w:rPr>
          <w:lang w:val="en_US" w:bidi="en_US"/>
        </w:rPr>
      </w:r>
      <w:r>
        <w:rPr>
          <w:lang w:val="en_US" w:bidi="en_US"/>
        </w:rPr>
        <w:t>So/therefore</w:t>
      </w:r>
      <w:r>
        <w:rPr>
          <w:lang w:val="en_US" w:bidi="en_US"/>
        </w:rPr>
        <w:t xml:space="preserve"> do not ask the teacher to trouble himself any more. </w:t>
      </w:r>
      <w:r>
        <w:rPr>
          <w:lang w:val="en_US" w:bidi="en_US"/>
        </w:rPr>
        <w:t>It would be useless.</w:t>
      </w:r>
      <w:r>
        <w:rPr>
          <w:lang w:val="en_US" w:bidi="en_US"/>
        </w:rPr>
        <w:t>”</w:t>
      </w:r>
    </w:p>
    <w:p>
      <w:pPr>
        <w:pStyle w:val="ListBullet"/>
        <w:spacing w:line="240" w:lineRule="auto"/>
        <w:ind w:left="720"/>
      </w:pPr>
      <w:r>
        <w:rPr>
          <w:lang w:val="en_US" w:bidi="en_US"/>
        </w:rPr>
      </w:r>
      <w:r>
        <w:rPr>
          <w:lang w:val="en_US" w:bidi="en_US"/>
        </w:rPr>
        <w:t>Let us leave the teacher, now that there is no reason to disturb him.”</w:t>
      </w:r>
    </w:p>
    <w:p>
      <w:pPr>
        <w:pStyle w:val="ListBullet"/>
        <w:spacing w:line="240" w:lineRule="auto"/>
        <w:ind w:left="720"/>
      </w:pPr>
      <w:r>
        <w:rPr>
          <w:lang w:val="en_US" w:bidi="en_US"/>
        </w:rPr>
      </w:r>
      <w:r>
        <w:rPr>
          <w:lang w:val="en_US" w:bidi="en_US"/>
        </w:rPr>
        <w:t>and that he should/need not bother the teacher any more.</w:t>
      </w:r>
    </w:p>
    <w:p>
      <w:pPr/>
      <w:r>
        <w:rPr>
          <w:lang w:val="en_US" w:bidi="en_US"/>
        </w:rPr>
      </w:r>
      <w:r>
        <w:rPr>
          <w:b/>
          <w:lang w:val="en_US" w:bidi="en_US"/>
        </w:rPr>
        <w:t>Do not bother the Teacher anymore:</w:t>
      </w:r>
      <w:r>
        <w:rPr>
          <w:lang w:val="en_US" w:bidi="en_US"/>
        </w:rPr>
        <w:t xml:space="preserve"> In this context, the words </w:t>
      </w:r>
      <w:r>
        <w:rPr>
          <w:i/>
          <w:lang w:val="en_US" w:bidi="en_US"/>
        </w:rPr>
        <w:t>Do not bother the Teacher anymore</w:t>
      </w:r>
      <w:r>
        <w:rPr>
          <w:lang w:val="en_US" w:bidi="en_US"/>
        </w:rPr>
        <w:t xml:space="preserve"> imply that Jairus should leave Jesus. He should no longer expect Jesus to go to his house. The man said this because he did not believe that Jesus could help someone who had already died. It may be helpful to supply some of this implied information. For example:</w:t>
      </w:r>
    </w:p>
    <w:p>
      <w:pPr/>
      <w:r>
        <w:rPr>
          <w:lang w:val="en_US" w:bidi="en_US"/>
        </w:rPr>
      </w:r>
      <w:r>
        <w:rPr>
          <w:lang w:val="en_US" w:bidi="en_US"/>
        </w:rPr>
        <w:t xml:space="preserve">So do not continue to bother the teacher. </w:t>
      </w:r>
      <w:r>
        <w:rPr>
          <w:lang w:val="en_US" w:bidi="en_US"/>
        </w:rPr>
        <w:t>He cannot do anything for her now.</w:t>
      </w:r>
    </w:p>
    <w:p>
      <w:pPr/>
      <w:r>
        <w:rPr>
          <w:lang w:val="en_US" w:bidi="en_US"/>
        </w:rPr>
      </w:r>
      <w:r>
        <w:rPr>
          <w:lang w:val="en_US" w:bidi="en_US"/>
        </w:rPr>
        <w:t>In Greek the man used a command form to make a polite suggestion. In some languages this form may sound harsh. Use a form that is polite and natural in your language for a suggestion of this kind. Also, translate it in a way that is appropriate for someone, possibly a slave, to speak to a respected man.</w:t>
      </w:r>
    </w:p>
    <w:p>
      <w:pPr/>
      <w:r>
        <w:rPr>
          <w:lang w:val="en_US" w:bidi="en_US"/>
        </w:rPr>
      </w:r>
      <w:r>
        <w:rPr>
          <w:lang w:val="en_US" w:bidi="en_US"/>
        </w:rPr>
        <w:t>A similar expression is found in 7:6c.</w:t>
      </w:r>
    </w:p>
    <w:p>
      <w:pPr/>
      <w:r>
        <w:rPr>
          <w:lang w:val="en_US" w:bidi="en_US"/>
        </w:rPr>
      </w:r>
      <w:r>
        <w:rPr>
          <w:b/>
          <w:lang w:val="en_US" w:bidi="en_US"/>
        </w:rPr>
        <w:t>bother:</w:t>
      </w:r>
      <w:r>
        <w:rPr>
          <w:lang w:val="en_US" w:bidi="en_US"/>
        </w:rPr>
        <w:t xml:space="preserve"> The Greek word that the BSB translates as </w:t>
      </w:r>
      <w:r>
        <w:rPr>
          <w:i/>
          <w:lang w:val="en_US" w:bidi="en_US"/>
        </w:rPr>
        <w:t>bother</w:t>
      </w:r>
      <w:r>
        <w:rPr>
          <w:lang w:val="en_US" w:bidi="en_US"/>
        </w:rPr>
        <w:t xml:space="preserve"> here means “to trouble (someone).” The man assumed that Jesus was a busy teacher and that Jairus had troubled Jesus by asking him to heal his daughter. In this context, </w:t>
      </w:r>
      <w:r>
        <w:rPr>
          <w:i/>
          <w:lang w:val="en_US" w:bidi="en_US"/>
        </w:rPr>
        <w:t>bother</w:t>
      </w:r>
      <w:r>
        <w:rPr>
          <w:lang w:val="en_US" w:bidi="en_US"/>
        </w:rPr>
        <w:t xml:space="preserve"> does not mean to do something purposely to annoy someone.</w:t>
      </w:r>
    </w:p>
    <w:p>
      <w:pPr/>
      <w:r>
        <w:rPr>
          <w:lang w:val="en_US" w:bidi="en_US"/>
        </w:rPr>
      </w:r>
      <w:r>
        <w:rPr>
          <w:lang w:val="en_US" w:bidi="en_US"/>
        </w:rPr>
        <w:t xml:space="preserve">In some languages, there may be another word or phrase that expresses this sense more clearly. In other languages it may be helpful to make explicit the sense of </w:t>
      </w:r>
      <w:r>
        <w:rPr>
          <w:i/>
          <w:lang w:val="en_US" w:bidi="en_US"/>
        </w:rPr>
        <w:t>bother</w:t>
      </w:r>
      <w:r>
        <w:rPr>
          <w:lang w:val="en_US" w:bidi="en_US"/>
        </w:rPr>
        <w:t>. For example:</w:t>
      </w:r>
    </w:p>
    <w:p>
      <w:pPr/>
      <w:r>
        <w:rPr>
          <w:lang w:val="en_US" w:bidi="en_US"/>
        </w:rPr>
      </w:r>
      <w:r>
        <w:rPr>
          <w:lang w:val="en_US" w:bidi="en_US"/>
        </w:rPr>
        <w:t xml:space="preserve">do not bother the teacher any longer </w:t>
      </w:r>
      <w:r>
        <w:rPr>
          <w:lang w:val="en_US" w:bidi="en_US"/>
        </w:rPr>
        <w:t>by urging/asking him to go to your house</w:t>
      </w:r>
    </w:p>
    <w:p>
      <w:pPr/>
      <w:r>
        <w:rPr>
          <w:lang w:val="en_US" w:bidi="en_US"/>
        </w:rPr>
      </w:r>
      <w:r>
        <w:rPr>
          <w:b/>
          <w:lang w:val="en_US" w:bidi="en_US"/>
        </w:rPr>
        <w:t>the Teacher:</w:t>
      </w:r>
      <w:r>
        <w:rPr>
          <w:lang w:val="en_US" w:bidi="en_US"/>
        </w:rPr>
        <w:t xml:space="preserve"> The phrase </w:t>
      </w:r>
      <w:r>
        <w:rPr>
          <w:i/>
          <w:lang w:val="en_US" w:bidi="en_US"/>
        </w:rPr>
        <w:t>the Teacher</w:t>
      </w:r>
      <w:r>
        <w:rPr>
          <w:lang w:val="en_US" w:bidi="en_US"/>
        </w:rPr>
        <w:t xml:space="preserve"> here refers to Jesus. The Greek word that the BSB translates as </w:t>
      </w:r>
      <w:r>
        <w:rPr>
          <w:i/>
          <w:lang w:val="en_US" w:bidi="en_US"/>
        </w:rPr>
        <w:t>Teacher</w:t>
      </w:r>
      <w:r>
        <w:rPr>
          <w:lang w:val="en_US" w:bidi="en_US"/>
        </w:rPr>
        <w:t xml:space="preserve"> was a polite title for a Jewish religious leader. It was a title of respect for a Jewish man who had authority to teach the things about God. If you have another term in your language to refer to a religious leader or teacher, it may be appropriate to use it here.</w:t>
      </w:r>
    </w:p>
    <w:p>
      <w:pPr/>
      <w:r>
        <w:rPr>
          <w:lang w:val="en_US" w:bidi="en_US"/>
        </w:rPr>
      </w:r>
      <w:r>
        <w:rPr>
          <w:lang w:val="en_US" w:bidi="en_US"/>
        </w:rPr>
        <w:t>Be careful not to use a term that can refer only to a schoolteacher. This term also occurs in 7:40, where it is used as a term of address.</w:t>
      </w:r>
      <w:r>
        <w:rPr>
          <w:lang w:val="en_US" w:bidi="en_US"/>
        </w:rPr>
      </w:r>
      <w:r>
        <w:rPr>
          <w:lang w:val="en_US" w:bidi="en_US"/>
        </w:rPr>
      </w:r>
    </w:p>
    <w:p>
      <w:pPr/>
      <w:r>
        <w:rPr>
          <w:lang w:val="en_US" w:bidi="en_US"/>
        </w:rPr>
      </w:r>
    </w:p>
    <w:p>
      <w:pPr>
        <w:pStyle w:val="Heading2"/>
      </w:pPr>
      <w:r>
        <w:rPr>
          <w:lang w:val="en_US" w:bidi="en_US"/>
        </w:rPr>
        <w:t>Luke 8:50</w:t>
      </w:r>
      <w:r>
        <w:rPr>
          <w:lang w:val="en_US" w:bidi="en_US"/>
        </w:rPr>
      </w:r>
    </w:p>
    <w:p>
      <w:pPr>
        <w:pStyle w:val="Heading4"/>
      </w:pPr>
      <w:r>
        <w:rPr>
          <w:lang w:val="en_US" w:bidi="en_US"/>
        </w:rPr>
        <w:t>Section 8:40–56: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pPr/>
      <w:r>
        <w:rPr>
          <w:lang w:val="en_US" w:bidi="en_US"/>
        </w:rPr>
      </w:r>
      <w:r>
        <w:rPr>
          <w:lang w:val="en_US" w:bidi="en_US"/>
        </w:rP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pPr/>
      <w:r>
        <w:rPr>
          <w:lang w:val="en_US" w:bidi="en_US"/>
        </w:rPr>
      </w:r>
      <w:r>
        <w:rPr>
          <w:lang w:val="en_US" w:bidi="en_US"/>
        </w:rPr>
        <w:t>Another important theme in this section is faith. Jesus said that the woman who was bleeding was healed because she believed that Jesus could heal her. Then he encouraged Jairus to keep believing that God could make his daughter well, even after she had died.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border/edge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Mark 5:21–43.</w:t>
      </w:r>
    </w:p>
    <w:p>
      <w:pPr>
        <w:pStyle w:val="Heading4"/>
      </w:pPr>
      <w:r>
        <w:rPr>
          <w:lang w:val="en_US" w:bidi="en_US"/>
        </w:rPr>
        <w:t>Paragraph 8:49–50</w:t>
      </w:r>
    </w:p>
    <w:p>
      <w:pPr/>
      <w:r>
        <w:rPr>
          <w:lang w:val="en_US" w:bidi="en_US"/>
        </w:rPr>
      </w:r>
      <w:r>
        <w:rPr>
          <w:lang w:val="en_US" w:bidi="en_US"/>
        </w:rPr>
        <w:t>In this paragraph, Luke returned to the story about Jairus and his daughter. Use a natural way in your language to focus again on the people who were introduced before the story about Jairus was interrupted in 8:43.</w:t>
      </w:r>
    </w:p>
    <w:p>
      <w:pPr>
        <w:pStyle w:val="Heading5"/>
      </w:pPr>
      <w:r>
        <w:rPr>
          <w:lang w:val="en_US" w:bidi="en_US"/>
        </w:rPr>
        <w:t>8:50a</w:t>
      </w:r>
    </w:p>
    <w:p>
      <w:pPr/>
      <w:r>
        <w:rPr>
          <w:lang w:val="en_US" w:bidi="en_US"/>
        </w:rPr>
      </w:r>
      <w:r>
        <w:rPr>
          <w:b/>
          <w:lang w:val="en_US" w:bidi="en_US"/>
        </w:rPr>
        <w:t>But Jesus overheard them and said to Jairus,</w:t>
      </w:r>
    </w:p>
    <w:p>
      <w:pPr>
        <w:pStyle w:val="ListBullet"/>
        <w:spacing w:line="240" w:lineRule="auto"/>
        <w:ind w:left="720"/>
      </w:pPr>
      <w:r>
        <w:rPr>
          <w:lang w:val="en_US" w:bidi="en_US"/>
        </w:rPr>
      </w:r>
      <w:r>
        <w:rPr>
          <w:lang w:val="en_US" w:bidi="en_US"/>
        </w:rPr>
        <w:t xml:space="preserve">When Jesus heard this, he responded </w:t>
      </w:r>
      <w:r>
        <w:rPr>
          <w:lang w:val="en_US" w:bidi="en_US"/>
        </w:rPr>
        <w:t>by</w:t>
      </w:r>
      <w:r>
        <w:rPr>
          <w:lang w:val="en_US" w:bidi="en_US"/>
        </w:rPr>
        <w:t xml:space="preserve"> saying to Jairus,</w:t>
      </w:r>
    </w:p>
    <w:p>
      <w:pPr>
        <w:pStyle w:val="ListBullet"/>
        <w:spacing w:line="240" w:lineRule="auto"/>
        <w:ind w:left="720"/>
      </w:pPr>
      <w:r>
        <w:rPr>
          <w:lang w:val="en_US" w:bidi="en_US"/>
        </w:rPr>
      </w:r>
      <w:r>
        <w:rPr>
          <w:lang w:val="en_US" w:bidi="en_US"/>
        </w:rPr>
        <w:t xml:space="preserve">Jesus heard </w:t>
      </w:r>
      <w:r>
        <w:rPr>
          <w:lang w:val="en_US" w:bidi="en_US"/>
        </w:rPr>
        <w:t>what the man/messenger said</w:t>
      </w:r>
      <w:r>
        <w:rPr>
          <w:lang w:val="en_US" w:bidi="en_US"/>
        </w:rPr>
        <w:t xml:space="preserve"> and </w:t>
      </w:r>
      <w:r>
        <w:rPr>
          <w:lang w:val="en_US" w:bidi="en_US"/>
        </w:rPr>
        <w:t>then</w:t>
      </w:r>
      <w:r>
        <w:rPr>
          <w:lang w:val="en_US" w:bidi="en_US"/>
        </w:rPr>
        <w:t xml:space="preserve"> he said to Jairus,</w:t>
      </w:r>
    </w:p>
    <w:p>
      <w:pPr/>
      <w:r>
        <w:rPr>
          <w:lang w:val="en_US" w:bidi="en_US"/>
        </w:rPr>
      </w:r>
      <w:r>
        <w:rPr>
          <w:b/>
          <w:lang w:val="en_US" w:bidi="en_US"/>
        </w:rPr>
        <w:t>But Jesus overheard them:</w:t>
      </w:r>
      <w:r>
        <w:rPr>
          <w:lang w:val="en_US" w:bidi="en_US"/>
        </w:rPr>
        <w:t xml:space="preserve"> The Greek phrase that the BSB translates as </w:t>
      </w:r>
      <w:r>
        <w:rPr>
          <w:i/>
          <w:lang w:val="en_US" w:bidi="en_US"/>
        </w:rPr>
        <w:t>But Jesus overheard them</w:t>
      </w:r>
      <w:r>
        <w:rPr>
          <w:lang w:val="en_US" w:bidi="en_US"/>
        </w:rPr>
        <w:t xml:space="preserve"> is literally “but Jesus, hearing.” It means that Jesus heard what the man said to Jairus. Since the man was not speaking directly to Jesus, it may be possible to translate this as “overhearing this,” as the BSB does similarly.</w:t>
      </w:r>
    </w:p>
    <w:p>
      <w:pPr/>
      <w:r>
        <w:rPr>
          <w:lang w:val="en_US" w:bidi="en_US"/>
        </w:rPr>
      </w:r>
      <w:r>
        <w:rPr>
          <w:b/>
          <w:lang w:val="en_US" w:bidi="en_US"/>
        </w:rPr>
        <w:t>and said to Jairus:</w:t>
      </w:r>
      <w:r>
        <w:rPr>
          <w:lang w:val="en_US" w:bidi="en_US"/>
        </w:rPr>
        <w:t xml:space="preserve"> When Jesus heard what the messenger said, he spoke to Jairus, not to the messenger. To clarify this, the BSB translates the Greek pronoun “him” as </w:t>
      </w:r>
      <w:r>
        <w:rPr>
          <w:i/>
          <w:lang w:val="en_US" w:bidi="en_US"/>
        </w:rPr>
        <w:t>Jairus</w:t>
      </w:r>
      <w:r>
        <w:rPr>
          <w:lang w:val="en_US" w:bidi="en_US"/>
        </w:rPr>
        <w:t xml:space="preserve">. The Greek word that the BSB translates as </w:t>
      </w:r>
      <w:r>
        <w:rPr>
          <w:i/>
          <w:lang w:val="en_US" w:bidi="en_US"/>
        </w:rPr>
        <w:t>said</w:t>
      </w:r>
      <w:r>
        <w:rPr>
          <w:lang w:val="en_US" w:bidi="en_US"/>
        </w:rPr>
        <w:t xml:space="preserve"> means “to answer or respond.” Here Jesus responded to what the messenger said by encouraging Jairus. In some languages it may be confusing to use a word such “respond” here. If that is true in your language, you may translate in a more general way, as the BSB does by saying “said.” For example:</w:t>
      </w:r>
    </w:p>
    <w:p>
      <w:pPr/>
      <w:r>
        <w:rPr>
          <w:lang w:val="en_US" w:bidi="en_US"/>
        </w:rPr>
      </w:r>
      <w:r>
        <w:rPr>
          <w:lang w:val="en_US" w:bidi="en_US"/>
        </w:rPr>
        <w:t>Jesus told Jairus</w:t>
      </w:r>
    </w:p>
    <w:p>
      <w:pPr>
        <w:pStyle w:val="Heading5"/>
      </w:pPr>
      <w:r>
        <w:rPr>
          <w:lang w:val="en_US" w:bidi="en_US"/>
        </w:rPr>
        <w:t>8:50b</w:t>
      </w:r>
    </w:p>
    <w:p>
      <w:pPr/>
      <w:r>
        <w:rPr>
          <w:lang w:val="en_US" w:bidi="en_US"/>
        </w:rPr>
      </w:r>
      <w:r>
        <w:rPr>
          <w:b/>
          <w:lang w:val="en_US" w:bidi="en_US"/>
        </w:rPr>
        <w:t>“Do not be afraid; just believe,</w:t>
      </w:r>
    </w:p>
    <w:p>
      <w:pPr>
        <w:pStyle w:val="ListBullet"/>
        <w:spacing w:line="240" w:lineRule="auto"/>
        <w:ind w:left="720"/>
      </w:pPr>
      <w:r>
        <w:rPr>
          <w:lang w:val="en_US" w:bidi="en_US"/>
        </w:rPr>
      </w:r>
      <w:r>
        <w:rPr>
          <w:lang w:val="en_US" w:bidi="en_US"/>
        </w:rPr>
        <w:t>“Do not fear</w:t>
      </w:r>
      <w:r>
        <w:rPr>
          <w:vertAlign w:val="superscript"/>
          <w:lang w:val="en_US" w:bidi="en_US"/>
        </w:rPr>
        <w:t>(sing)</w:t>
      </w:r>
      <w:r>
        <w:rPr>
          <w:lang w:val="en_US" w:bidi="en_US"/>
        </w:rPr>
        <w:t>. Just have</w:t>
      </w:r>
      <w:r>
        <w:rPr>
          <w:vertAlign w:val="superscript"/>
          <w:lang w:val="en_US" w:bidi="en_US"/>
        </w:rPr>
        <w:t>(sing)</w:t>
      </w:r>
      <w:r>
        <w:rPr>
          <w:lang w:val="en_US" w:bidi="en_US"/>
        </w:rPr>
        <w:t xml:space="preserve"> faith/confidence,</w:t>
      </w:r>
    </w:p>
    <w:p>
      <w:pPr>
        <w:pStyle w:val="ListBullet"/>
        <w:spacing w:line="240" w:lineRule="auto"/>
        <w:ind w:left="720"/>
      </w:pPr>
      <w:r>
        <w:rPr>
          <w:lang w:val="en_US" w:bidi="en_US"/>
        </w:rPr>
      </w:r>
      <w:r>
        <w:rPr>
          <w:lang w:val="en_US" w:bidi="en_US"/>
        </w:rPr>
        <w:t xml:space="preserve">“Do not be distressed/afraid. </w:t>
      </w:r>
      <w:r>
        <w:rPr>
          <w:lang w:val="en_US" w:bidi="en_US"/>
        </w:rPr>
        <w:t>Instead</w:t>
      </w:r>
      <w:r>
        <w:rPr>
          <w:lang w:val="en_US" w:bidi="en_US"/>
        </w:rPr>
        <w:t xml:space="preserve"> just keep</w:t>
      </w:r>
      <w:r>
        <w:rPr>
          <w:vertAlign w:val="superscript"/>
          <w:lang w:val="en_US" w:bidi="en_US"/>
        </w:rPr>
        <w:t>(sing)</w:t>
      </w:r>
      <w:r>
        <w:rPr>
          <w:lang w:val="en_US" w:bidi="en_US"/>
        </w:rPr>
        <w:t xml:space="preserve"> trusting </w:t>
      </w:r>
      <w:r>
        <w:rPr>
          <w:lang w:val="en_US" w:bidi="en_US"/>
        </w:rPr>
        <w:t>in me</w:t>
      </w:r>
      <w:r>
        <w:rPr>
          <w:lang w:val="en_US" w:bidi="en_US"/>
        </w:rPr>
        <w:t>,</w:t>
      </w:r>
    </w:p>
    <w:p>
      <w:pPr>
        <w:pStyle w:val="ListBullet"/>
        <w:spacing w:line="240" w:lineRule="auto"/>
        <w:ind w:left="720"/>
      </w:pPr>
      <w:r>
        <w:rPr>
          <w:lang w:val="en_US" w:bidi="en_US"/>
        </w:rPr>
      </w:r>
      <w:r>
        <w:rPr>
          <w:lang w:val="en_US" w:bidi="en_US"/>
        </w:rPr>
        <w:t>“Do not despair. Continue</w:t>
      </w:r>
      <w:r>
        <w:rPr>
          <w:vertAlign w:val="superscript"/>
          <w:lang w:val="en_US" w:bidi="en_US"/>
        </w:rPr>
        <w:t>(sing)</w:t>
      </w:r>
      <w:r>
        <w:rPr>
          <w:lang w:val="en_US" w:bidi="en_US"/>
        </w:rPr>
        <w:t xml:space="preserve"> to believe </w:t>
      </w:r>
      <w:r>
        <w:rPr>
          <w:lang w:val="en_US" w:bidi="en_US"/>
        </w:rPr>
        <w:t>that I can help/save your daughter</w:t>
      </w:r>
      <w:r>
        <w:rPr>
          <w:lang w:val="en_US" w:bidi="en_US"/>
        </w:rPr>
        <w:t>,</w:t>
      </w:r>
    </w:p>
    <w:p>
      <w:pPr>
        <w:pStyle w:val="Heading5"/>
      </w:pPr>
      <w:r>
        <w:rPr>
          <w:lang w:val="en_US" w:bidi="en_US"/>
        </w:rPr>
        <w:t>8:50c</w:t>
      </w:r>
    </w:p>
    <w:p>
      <w:pPr/>
      <w:r>
        <w:rPr>
          <w:lang w:val="en_US" w:bidi="en_US"/>
        </w:rPr>
      </w:r>
      <w:r>
        <w:rPr>
          <w:b/>
          <w:lang w:val="en_US" w:bidi="en_US"/>
        </w:rPr>
        <w:t>and she will be healed.”</w:t>
      </w:r>
    </w:p>
    <w:p>
      <w:pPr>
        <w:pStyle w:val="ListBullet"/>
        <w:spacing w:line="240" w:lineRule="auto"/>
        <w:ind w:left="720"/>
      </w:pPr>
      <w:r>
        <w:rPr>
          <w:lang w:val="en_US" w:bidi="en_US"/>
        </w:rPr>
      </w:r>
      <w:r>
        <w:rPr>
          <w:lang w:val="en_US" w:bidi="en_US"/>
        </w:rPr>
        <w:t xml:space="preserve">and she will be saved/rescued </w:t>
      </w:r>
      <w:r>
        <w:rPr>
          <w:lang w:val="en_US" w:bidi="en_US"/>
        </w:rPr>
        <w:t>from death</w:t>
      </w:r>
      <w:r>
        <w:rPr>
          <w:lang w:val="en_US" w:bidi="en_US"/>
        </w:rPr>
        <w:t>.”</w:t>
      </w:r>
    </w:p>
    <w:p>
      <w:pPr>
        <w:pStyle w:val="ListBullet"/>
        <w:spacing w:line="240" w:lineRule="auto"/>
        <w:ind w:left="720"/>
      </w:pPr>
      <w:r>
        <w:rPr>
          <w:lang w:val="en_US" w:bidi="en_US"/>
        </w:rPr>
      </w:r>
      <w:r>
        <w:rPr>
          <w:lang w:val="en_US" w:bidi="en_US"/>
        </w:rPr>
        <w:t xml:space="preserve">and then she will become well/alive </w:t>
      </w:r>
      <w:r>
        <w:rPr>
          <w:lang w:val="en_US" w:bidi="en_US"/>
        </w:rPr>
        <w:t>again</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I</w:t>
      </w:r>
      <w:r>
        <w:rPr>
          <w:lang w:val="en_US" w:bidi="en_US"/>
        </w:rPr>
        <w:t xml:space="preserve"> will cause her to live </w:t>
      </w:r>
      <w:r>
        <w:rPr>
          <w:lang w:val="en_US" w:bidi="en_US"/>
        </w:rPr>
        <w:t>again</w:t>
      </w:r>
      <w:r>
        <w:rPr>
          <w:lang w:val="en_US" w:bidi="en_US"/>
        </w:rPr>
        <w:t>.”</w:t>
      </w:r>
    </w:p>
    <w:p>
      <w:pPr>
        <w:pStyle w:val="Heading5"/>
      </w:pPr>
      <w:r>
        <w:rPr>
          <w:lang w:val="en_US" w:bidi="en_US"/>
        </w:rPr>
        <w:t>8:50b–c</w:t>
      </w:r>
    </w:p>
    <w:p>
      <w:pPr/>
      <w:r>
        <w:rPr>
          <w:lang w:val="en_US" w:bidi="en_US"/>
        </w:rPr>
      </w:r>
      <w:r>
        <w:rPr>
          <w:lang w:val="en_US" w:bidi="en_US"/>
        </w:rPr>
        <w:t>In 8:50b–c Jesus was reassuring Jairus that he could still help his daughter.</w:t>
      </w:r>
    </w:p>
    <w:p>
      <w:pPr/>
      <w:r>
        <w:rPr>
          <w:lang w:val="en_US" w:bidi="en_US"/>
        </w:rPr>
      </w:r>
      <w:r>
        <w:rPr>
          <w:b/>
          <w:lang w:val="en_US" w:bidi="en_US"/>
        </w:rPr>
        <w:t>Do not be afraid; just believe:</w:t>
      </w:r>
      <w:r>
        <w:rPr>
          <w:lang w:val="en_US" w:bidi="en_US"/>
        </w:rPr>
        <w:t xml:space="preserve"> The two expressions </w:t>
      </w:r>
      <w:r>
        <w:rPr>
          <w:i/>
          <w:lang w:val="en_US" w:bidi="en_US"/>
        </w:rPr>
        <w:t>Do not be afraid</w:t>
      </w:r>
      <w:r>
        <w:rPr>
          <w:lang w:val="en_US" w:bidi="en_US"/>
        </w:rPr>
        <w:t xml:space="preserve"> and </w:t>
      </w:r>
      <w:r>
        <w:rPr>
          <w:i/>
          <w:lang w:val="en_US" w:bidi="en_US"/>
        </w:rPr>
        <w:t>just believe</w:t>
      </w:r>
      <w:r>
        <w:rPr>
          <w:lang w:val="en_US" w:bidi="en_US"/>
        </w:rPr>
        <w:t xml:space="preserve"> contrast with each other. The first expression says what Jairus should not do; the second says what he should do. In some languages it may be natural to use a conjunction that indicates contrast. For example:</w:t>
      </w:r>
    </w:p>
    <w:p>
      <w:pPr/>
      <w:r>
        <w:rPr>
          <w:lang w:val="en_US" w:bidi="en_US"/>
        </w:rPr>
      </w:r>
      <w:r>
        <w:rPr>
          <w:lang w:val="en_US" w:bidi="en_US"/>
        </w:rPr>
        <w:t xml:space="preserve">Do not be afraid. </w:t>
      </w:r>
      <w:r>
        <w:rPr>
          <w:u w:val="single"/>
          <w:lang w:val="en_US" w:bidi="en_US"/>
        </w:rPr>
        <w:t>Instead</w:t>
      </w:r>
      <w:r>
        <w:rPr>
          <w:lang w:val="en_US" w:bidi="en_US"/>
        </w:rPr>
        <w:t>, just believe.</w:t>
      </w:r>
    </w:p>
    <w:p>
      <w:pPr/>
      <w:r>
        <w:rPr>
          <w:lang w:val="en_US" w:bidi="en_US"/>
        </w:rPr>
      </w:r>
      <w:r>
        <w:rPr>
          <w:b/>
          <w:lang w:val="en_US" w:bidi="en_US"/>
        </w:rPr>
        <w:t>Do not be afraid:</w:t>
      </w:r>
      <w:r>
        <w:rPr>
          <w:lang w:val="en_US" w:bidi="en_US"/>
        </w:rPr>
        <w:t xml:space="preserve"> When Jairus heard that his daughter was dead, he might fear that she could not get well again. In some languages there may be a different word to describe this reaction. For example:</w:t>
      </w:r>
    </w:p>
    <w:p>
      <w:pPr/>
      <w:r>
        <w:rPr>
          <w:lang w:val="en_US" w:bidi="en_US"/>
        </w:rPr>
      </w:r>
      <w:r>
        <w:rPr>
          <w:lang w:val="en_US" w:bidi="en_US"/>
        </w:rPr>
        <w:t xml:space="preserve">Do not be </w:t>
      </w:r>
      <w:r>
        <w:rPr>
          <w:u w:val="single"/>
          <w:lang w:val="en_US" w:bidi="en_US"/>
        </w:rPr>
        <w:t>distressed/troubled</w:t>
      </w:r>
    </w:p>
    <w:p>
      <w:pPr/>
      <w:r>
        <w:rPr>
          <w:lang w:val="en_US" w:bidi="en_US"/>
        </w:rPr>
      </w:r>
      <w:r>
        <w:rPr>
          <w:lang w:val="en_US" w:bidi="en_US"/>
        </w:rPr>
        <w:t xml:space="preserve">Do not </w:t>
      </w:r>
      <w:r>
        <w:rPr>
          <w:u w:val="single"/>
          <w:lang w:val="en_US" w:bidi="en_US"/>
        </w:rPr>
        <w:t>despair</w:t>
      </w:r>
    </w:p>
    <w:p>
      <w:pPr/>
      <w:r>
        <w:rPr>
          <w:lang w:val="en_US" w:bidi="en_US"/>
        </w:rPr>
      </w:r>
      <w:r>
        <w:rPr>
          <w:b/>
          <w:lang w:val="en_US" w:bidi="en_US"/>
        </w:rPr>
        <w:t>just believe:</w:t>
      </w:r>
      <w:r>
        <w:rPr>
          <w:lang w:val="en_US" w:bidi="en_US"/>
        </w:rPr>
        <w:t xml:space="preserve"> Jesus did not say explicitly what or whom Jairus should believe. In this context, it probably means that Jairus should continue to believe that Jesus could help his daughter. The word </w:t>
      </w:r>
      <w:r>
        <w:rPr>
          <w:i/>
          <w:lang w:val="en_US" w:bidi="en_US"/>
        </w:rPr>
        <w:t>just</w:t>
      </w:r>
      <w:r>
        <w:rPr>
          <w:lang w:val="en_US" w:bidi="en_US"/>
        </w:rPr>
        <w:t xml:space="preserve"> or “only” here means that Jairus’s confidence should not be combined with fear or doubt.</w:t>
      </w:r>
    </w:p>
    <w:p>
      <w:pPr/>
      <w:r>
        <w:rPr>
          <w:lang w:val="en_US" w:bidi="en_US"/>
        </w:rPr>
      </w:r>
      <w:r>
        <w:rPr>
          <w:lang w:val="en_US" w:bidi="en_US"/>
        </w:rPr>
        <w:t xml:space="preserve">In some languages a verb like </w:t>
      </w:r>
      <w:r>
        <w:rPr>
          <w:i/>
          <w:lang w:val="en_US" w:bidi="en_US"/>
        </w:rPr>
        <w:t>believe</w:t>
      </w:r>
      <w:r>
        <w:rPr>
          <w:lang w:val="en_US" w:bidi="en_US"/>
        </w:rPr>
        <w:t xml:space="preserve"> requires an object. If that is true in your language, you could translate here:</w:t>
      </w:r>
    </w:p>
    <w:p>
      <w:pPr/>
      <w:r>
        <w:rPr>
          <w:lang w:val="en_US" w:bidi="en_US"/>
        </w:rPr>
      </w:r>
      <w:r>
        <w:rPr>
          <w:lang w:val="en_US" w:bidi="en_US"/>
        </w:rPr>
        <w:t xml:space="preserve">just have confidence </w:t>
      </w:r>
      <w:r>
        <w:rPr>
          <w:lang w:val="en_US" w:bidi="en_US"/>
        </w:rPr>
        <w:t>in me</w:t>
      </w:r>
    </w:p>
    <w:p>
      <w:pPr/>
      <w:r>
        <w:rPr>
          <w:lang w:val="en_US" w:bidi="en_US"/>
        </w:rPr>
      </w:r>
      <w:r>
        <w:rPr>
          <w:lang w:val="en_US" w:bidi="en_US"/>
        </w:rPr>
        <w:t xml:space="preserve">only </w:t>
      </w:r>
      <w:r>
        <w:rPr>
          <w:lang w:val="en_US" w:bidi="en_US"/>
        </w:rPr>
        <w:t>keep</w:t>
      </w:r>
      <w:r>
        <w:rPr>
          <w:lang w:val="en_US" w:bidi="en_US"/>
        </w:rPr>
        <w:t xml:space="preserve"> trusting </w:t>
      </w:r>
      <w:r>
        <w:rPr>
          <w:lang w:val="en_US" w:bidi="en_US"/>
        </w:rPr>
        <w:t>me</w:t>
      </w:r>
    </w:p>
    <w:p>
      <w:pPr/>
      <w:r>
        <w:rPr>
          <w:lang w:val="en_US" w:bidi="en_US"/>
        </w:rPr>
      </w:r>
      <w:r>
        <w:rPr>
          <w:lang w:val="en_US" w:bidi="en_US"/>
        </w:rPr>
        <w:t xml:space="preserve">Instead </w:t>
      </w:r>
      <w:r>
        <w:rPr>
          <w:lang w:val="en_US" w:bidi="en_US"/>
        </w:rPr>
        <w:t>continue to</w:t>
      </w:r>
      <w:r>
        <w:rPr>
          <w:lang w:val="en_US" w:bidi="en_US"/>
        </w:rPr>
        <w:t xml:space="preserve"> believe </w:t>
      </w:r>
      <w:r>
        <w:rPr>
          <w:lang w:val="en_US" w:bidi="en_US"/>
        </w:rPr>
        <w:t>that I can save your daughter</w:t>
      </w:r>
    </w:p>
    <w:p>
      <w:pPr/>
      <w:r>
        <w:rPr>
          <w:lang w:val="en_US" w:bidi="en_US"/>
        </w:rPr>
      </w:r>
      <w:r>
        <w:rPr>
          <w:lang w:val="en_US" w:bidi="en_US"/>
        </w:rPr>
        <w:t>See believe, Meaning 2, in the Glossary.</w:t>
      </w:r>
    </w:p>
    <w:p>
      <w:pPr/>
      <w:r>
        <w:rPr>
          <w:lang w:val="en_US" w:bidi="en_US"/>
        </w:rPr>
      </w:r>
      <w:r>
        <w:rPr>
          <w:b/>
          <w:lang w:val="en_US" w:bidi="en_US"/>
        </w:rPr>
        <w:t>just believe, and she will be healed:</w:t>
      </w:r>
      <w:r>
        <w:rPr>
          <w:lang w:val="en_US" w:bidi="en_US"/>
        </w:rPr>
        <w:t xml:space="preserve"> Here Jesus indicated that if Jairus believed, his daughter would be healed. In some languages it will be necessary to make it clear that believing is necessary for the healing. For example:</w:t>
      </w:r>
    </w:p>
    <w:p>
      <w:pPr/>
      <w:r>
        <w:rPr>
          <w:lang w:val="en_US" w:bidi="en_US"/>
        </w:rPr>
      </w:r>
      <w:r>
        <w:rPr>
          <w:lang w:val="en_US" w:bidi="en_US"/>
        </w:rPr>
        <w:t xml:space="preserve">Only believe. </w:t>
      </w:r>
      <w:r>
        <w:rPr>
          <w:lang w:val="en_US" w:bidi="en_US"/>
        </w:rPr>
        <w:t>If you do, then</w:t>
      </w:r>
      <w:r>
        <w:rPr>
          <w:lang w:val="en_US" w:bidi="en_US"/>
        </w:rPr>
        <w:t xml:space="preserve"> she will be saved.</w:t>
      </w:r>
    </w:p>
    <w:p>
      <w:pPr/>
      <w:r>
        <w:rPr>
          <w:lang w:val="en_US" w:bidi="en_US"/>
        </w:rPr>
      </w:r>
      <w:r>
        <w:rPr>
          <w:lang w:val="en_US" w:bidi="en_US"/>
        </w:rPr>
        <w:t>If you will</w:t>
      </w:r>
      <w:r>
        <w:rPr>
          <w:lang w:val="en_US" w:bidi="en_US"/>
        </w:rPr>
        <w:t xml:space="preserve"> only believe, </w:t>
      </w:r>
      <w:r>
        <w:rPr>
          <w:lang w:val="en_US" w:bidi="en_US"/>
        </w:rPr>
        <w:t>then</w:t>
      </w:r>
      <w:r>
        <w:rPr>
          <w:lang w:val="en_US" w:bidi="en_US"/>
        </w:rPr>
        <w:t xml:space="preserve"> she will be rescued </w:t>
      </w:r>
      <w:r>
        <w:rPr>
          <w:lang w:val="en_US" w:bidi="en_US"/>
        </w:rPr>
        <w:t>from death</w:t>
      </w:r>
      <w:r>
        <w:rPr>
          <w:lang w:val="en_US" w:bidi="en_US"/>
        </w:rPr>
        <w:t>.</w:t>
      </w:r>
    </w:p>
    <w:p>
      <w:pPr/>
      <w:r>
        <w:rPr>
          <w:lang w:val="en_US" w:bidi="en_US"/>
        </w:rPr>
      </w:r>
      <w:r>
        <w:rPr>
          <w:b/>
          <w:lang w:val="en_US" w:bidi="en_US"/>
        </w:rPr>
        <w:t>and she will be healed:</w:t>
      </w:r>
      <w:r>
        <w:rPr>
          <w:lang w:val="en_US" w:bidi="en_US"/>
        </w:rPr>
        <w:t xml:space="preserve"> The Greek word that the BSB translates as </w:t>
      </w:r>
      <w:r>
        <w:rPr>
          <w:i/>
          <w:lang w:val="en_US" w:bidi="en_US"/>
        </w:rPr>
        <w:t>healed</w:t>
      </w:r>
      <w:r>
        <w:rPr>
          <w:lang w:val="en_US" w:bidi="en_US"/>
        </w:rPr>
        <w:t xml:space="preserve"> is the same word that is commonly used in the Bible to mean “saved, rescued.” In this context, it means “saved/rescued from death” by causing a person who had died to live again. If you have an expression that could be used for both “rescue from sins” and “rescue from an illness or death,” consider using it here. Some other ways to translate this are:</w:t>
      </w:r>
    </w:p>
    <w:p>
      <w:pPr/>
      <w:r>
        <w:rPr>
          <w:lang w:val="en_US" w:bidi="en_US"/>
        </w:rPr>
      </w:r>
      <w:r>
        <w:rPr>
          <w:lang w:val="en_US" w:bidi="en_US"/>
        </w:rPr>
        <w:t xml:space="preserve">and she will be saved/rescued </w:t>
      </w:r>
      <w:r>
        <w:rPr>
          <w:lang w:val="en_US" w:bidi="en_US"/>
        </w:rPr>
        <w:t>from death</w:t>
      </w:r>
    </w:p>
    <w:p>
      <w:pPr/>
      <w:r>
        <w:rPr>
          <w:lang w:val="en_US" w:bidi="en_US"/>
        </w:rPr>
      </w:r>
      <w:r>
        <w:rPr>
          <w:lang w:val="en_US" w:bidi="en_US"/>
        </w:rPr>
        <w:t>and she will live again</w:t>
      </w:r>
    </w:p>
    <w:p>
      <w:pPr/>
      <w:r>
        <w:rPr>
          <w:lang w:val="en_US" w:bidi="en_US"/>
        </w:rPr>
      </w:r>
      <w:r>
        <w:rPr>
          <w:lang w:val="en_US" w:bidi="en_US"/>
        </w:rPr>
        <w:t xml:space="preserve">The Greek verb that the BSB translates as </w:t>
      </w:r>
      <w:r>
        <w:rPr>
          <w:i/>
          <w:lang w:val="en_US" w:bidi="en_US"/>
        </w:rPr>
        <w:t>will be healed</w:t>
      </w:r>
      <w:r>
        <w:rPr>
          <w:lang w:val="en_US" w:bidi="en_US"/>
        </w:rPr>
        <w:t xml:space="preserve"> is a passive verb. In some languages it may be necessary to say who would heal the girl. If so, you could say:</w:t>
      </w:r>
    </w:p>
    <w:p>
      <w:pPr/>
      <w:r>
        <w:rPr>
          <w:lang w:val="en_US" w:bidi="en_US"/>
        </w:rPr>
      </w:r>
      <w:r>
        <w:rPr>
          <w:lang w:val="en_US" w:bidi="en_US"/>
        </w:rPr>
        <w:t xml:space="preserve">and </w:t>
      </w:r>
      <w:r>
        <w:rPr>
          <w:lang w:val="en_US" w:bidi="en_US"/>
        </w:rPr>
        <w:t>I</w:t>
      </w:r>
      <w:r>
        <w:rPr>
          <w:lang w:val="en_US" w:bidi="en_US"/>
        </w:rPr>
        <w:t xml:space="preserve"> will rescue/save her </w:t>
      </w:r>
      <w:r>
        <w:rPr>
          <w:lang w:val="en_US" w:bidi="en_US"/>
        </w:rPr>
        <w:t>from death</w:t>
      </w:r>
    </w:p>
    <w:p>
      <w:pPr/>
      <w:r>
        <w:rPr>
          <w:lang w:val="en_US" w:bidi="en_US"/>
        </w:rPr>
      </w:r>
      <w:r>
        <w:rPr>
          <w:lang w:val="en_US" w:bidi="en_US"/>
        </w:rPr>
        <w:t xml:space="preserve">and </w:t>
      </w:r>
      <w:r>
        <w:rPr>
          <w:lang w:val="en_US" w:bidi="en_US"/>
        </w:rPr>
        <w:t>I</w:t>
      </w:r>
      <w:r>
        <w:rPr>
          <w:lang w:val="en_US" w:bidi="en_US"/>
        </w:rPr>
        <w:t xml:space="preserve"> will cause her to live again</w:t>
      </w:r>
      <w:r>
        <w:rPr>
          <w:lang w:val="en_US" w:bidi="en_US"/>
        </w:rPr>
      </w:r>
      <w:r>
        <w:rPr>
          <w:lang w:val="en_US" w:bidi="en_US"/>
        </w:rPr>
      </w:r>
    </w:p>
    <w:p>
      <w:pPr/>
      <w:r>
        <w:rPr>
          <w:lang w:val="en_US" w:bidi="en_US"/>
        </w:rPr>
      </w:r>
    </w:p>
    <w:p>
      <w:pPr>
        <w:pStyle w:val="Heading2"/>
      </w:pPr>
      <w:r>
        <w:rPr>
          <w:lang w:val="en_US" w:bidi="en_US"/>
        </w:rPr>
        <w:t>Luke 8:51</w:t>
      </w:r>
      <w:r>
        <w:rPr>
          <w:lang w:val="en_US" w:bidi="en_US"/>
        </w:rPr>
      </w:r>
    </w:p>
    <w:p>
      <w:pPr>
        <w:pStyle w:val="Heading4"/>
      </w:pPr>
      <w:r>
        <w:rPr>
          <w:lang w:val="en_US" w:bidi="en_US"/>
        </w:rPr>
        <w:t>Section 8:40–56: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pPr/>
      <w:r>
        <w:rPr>
          <w:lang w:val="en_US" w:bidi="en_US"/>
        </w:rPr>
      </w:r>
      <w:r>
        <w:rPr>
          <w:lang w:val="en_US" w:bidi="en_US"/>
        </w:rP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pPr/>
      <w:r>
        <w:rPr>
          <w:lang w:val="en_US" w:bidi="en_US"/>
        </w:rPr>
      </w:r>
      <w:r>
        <w:rPr>
          <w:lang w:val="en_US" w:bidi="en_US"/>
        </w:rPr>
        <w:t>Another important theme in this section is faith. Jesus said that the woman who was bleeding was healed because she believed that Jesus could heal her. Then he encouraged Jairus to keep believing that God could make his daughter well, even after she had died.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border/edge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Mark 5:21–43.</w:t>
      </w:r>
    </w:p>
    <w:p>
      <w:pPr>
        <w:pStyle w:val="Heading5"/>
      </w:pPr>
      <w:r>
        <w:rPr>
          <w:lang w:val="en_US" w:bidi="en_US"/>
        </w:rPr>
        <w:t>8:51a</w:t>
      </w:r>
    </w:p>
    <w:p>
      <w:pPr/>
      <w:r>
        <w:rPr>
          <w:lang w:val="en_US" w:bidi="en_US"/>
        </w:rPr>
      </w:r>
      <w:r>
        <w:rPr>
          <w:b/>
          <w:lang w:val="en_US" w:bidi="en_US"/>
        </w:rPr>
        <w:t>When He entered the house,</w:t>
      </w:r>
    </w:p>
    <w:p>
      <w:pPr>
        <w:pStyle w:val="ListBullet"/>
        <w:spacing w:line="240" w:lineRule="auto"/>
        <w:ind w:left="720"/>
      </w:pPr>
      <w:r>
        <w:rPr>
          <w:lang w:val="en_US" w:bidi="en_US"/>
        </w:rPr>
      </w:r>
      <w:r>
        <w:rPr>
          <w:lang w:val="en_US" w:bidi="en_US"/>
        </w:rPr>
        <w:t xml:space="preserve">¶ When </w:t>
      </w:r>
      <w:r>
        <w:rPr>
          <w:lang w:val="en_US" w:bidi="en_US"/>
        </w:rPr>
        <w:t>Jesus</w:t>
      </w:r>
      <w:r>
        <w:rPr>
          <w:lang w:val="en_US" w:bidi="en_US"/>
        </w:rPr>
        <w:t xml:space="preserve"> arrived at/outside the house,</w:t>
      </w:r>
    </w:p>
    <w:p>
      <w:pPr>
        <w:pStyle w:val="ListBullet"/>
        <w:spacing w:line="240" w:lineRule="auto"/>
        <w:ind w:left="720"/>
      </w:pPr>
      <w:r>
        <w:rPr>
          <w:lang w:val="en_US" w:bidi="en_US"/>
        </w:rPr>
      </w:r>
      <w:r>
        <w:rPr>
          <w:lang w:val="en_US" w:bidi="en_US"/>
        </w:rPr>
        <w:t>¶ When they arrived at Jairus’ house,</w:t>
      </w:r>
    </w:p>
    <w:p>
      <w:pPr/>
      <w:r>
        <w:rPr>
          <w:lang w:val="en_US" w:bidi="en_US"/>
        </w:rPr>
      </w:r>
      <w:r>
        <w:rPr>
          <w:b/>
          <w:lang w:val="en_US" w:bidi="en_US"/>
        </w:rPr>
        <w:t>When He entered:</w:t>
      </w:r>
      <w:r>
        <w:rPr>
          <w:lang w:val="en_US" w:bidi="en_US"/>
        </w:rPr>
        <w:t xml:space="preserve"> The word </w:t>
      </w:r>
      <w:r>
        <w:rPr>
          <w:i/>
          <w:lang w:val="en_US" w:bidi="en_US"/>
        </w:rPr>
        <w:t>He</w:t>
      </w:r>
      <w:r>
        <w:rPr>
          <w:lang w:val="en_US" w:bidi="en_US"/>
        </w:rPr>
        <w:t xml:space="preserve"> refers to Jesus. Jesus came with other people, including at least Jairus, Peter, James, and John. In some languages it may be necessary to indicate this. For example:</w:t>
      </w:r>
    </w:p>
    <w:p>
      <w:pPr/>
      <w:r>
        <w:rPr>
          <w:lang w:val="en_US" w:bidi="en_US"/>
        </w:rPr>
      </w:r>
      <w:r>
        <w:rPr>
          <w:lang w:val="en_US" w:bidi="en_US"/>
        </w:rPr>
        <w:t xml:space="preserve">When </w:t>
      </w:r>
      <w:r>
        <w:rPr>
          <w:u w:val="single"/>
          <w:lang w:val="en_US" w:bidi="en_US"/>
        </w:rPr>
        <w:t>they</w:t>
      </w:r>
      <w:r>
        <w:rPr>
          <w:lang w:val="en_US" w:bidi="en_US"/>
        </w:rPr>
        <w:t xml:space="preserve"> arrived</w:t>
      </w:r>
    </w:p>
    <w:p>
      <w:pPr/>
      <w:r>
        <w:rPr>
          <w:lang w:val="en_US" w:bidi="en_US"/>
        </w:rPr>
      </w:r>
      <w:r>
        <w:rPr>
          <w:lang w:val="en_US" w:bidi="en_US"/>
        </w:rPr>
        <w:t xml:space="preserve">When Jesus </w:t>
      </w:r>
      <w:r>
        <w:rPr>
          <w:u w:val="single"/>
          <w:lang w:val="en_US" w:bidi="en_US"/>
        </w:rPr>
        <w:t>and those with him</w:t>
      </w:r>
      <w:r>
        <w:rPr>
          <w:lang w:val="en_US" w:bidi="en_US"/>
        </w:rPr>
        <w:t xml:space="preserve"> arrived</w:t>
      </w:r>
    </w:p>
    <w:p>
      <w:pPr/>
      <w:r>
        <w:rPr>
          <w:lang w:val="en_US" w:bidi="en_US"/>
        </w:rPr>
      </w:r>
      <w:r>
        <w:rPr>
          <w:b/>
          <w:lang w:val="en_US" w:bidi="en_US"/>
        </w:rPr>
        <w:t>the house:</w:t>
      </w:r>
      <w:r>
        <w:rPr>
          <w:lang w:val="en_US" w:bidi="en_US"/>
        </w:rPr>
        <w:t xml:space="preserve"> The Greek text says simply “the house.” Some versions supply further information to make clear what house is being referred to. For example:</w:t>
      </w:r>
    </w:p>
    <w:p>
      <w:pPr/>
      <w:r>
        <w:rPr>
          <w:lang w:val="en_US" w:bidi="en_US"/>
        </w:rPr>
      </w:r>
      <w:r>
        <w:rPr>
          <w:lang w:val="en_US" w:bidi="en_US"/>
        </w:rPr>
        <w:t>the house of Jairus (NIV)</w:t>
      </w:r>
    </w:p>
    <w:p>
      <w:pPr/>
      <w:r>
        <w:rPr>
          <w:lang w:val="en_US" w:bidi="en_US"/>
        </w:rPr>
      </w:r>
      <w:r>
        <w:rPr>
          <w:lang w:val="en_US" w:bidi="en_US"/>
        </w:rPr>
        <w:t>If it is not necessary in your language, you do not need to supply this information.</w:t>
      </w:r>
    </w:p>
    <w:p>
      <w:pPr>
        <w:pStyle w:val="Heading5"/>
      </w:pPr>
      <w:r>
        <w:rPr>
          <w:lang w:val="en_US" w:bidi="en_US"/>
        </w:rPr>
        <w:t>8:51b</w:t>
      </w:r>
    </w:p>
    <w:p>
      <w:pPr/>
      <w:r>
        <w:rPr>
          <w:lang w:val="en_US" w:bidi="en_US"/>
        </w:rPr>
      </w:r>
      <w:r>
        <w:rPr>
          <w:b/>
          <w:lang w:val="en_US" w:bidi="en_US"/>
        </w:rPr>
        <w:t>He did not allow anyone to go in with Him</w:t>
      </w:r>
    </w:p>
    <w:p>
      <w:pPr>
        <w:pStyle w:val="ListBullet"/>
        <w:spacing w:line="240" w:lineRule="auto"/>
        <w:ind w:left="720"/>
      </w:pPr>
      <w:r>
        <w:rPr>
          <w:lang w:val="en_US" w:bidi="en_US"/>
        </w:rPr>
      </w:r>
      <w:r>
        <w:rPr>
          <w:lang w:val="en_US" w:bidi="en_US"/>
        </w:rPr>
        <w:t>he did not permit/allow anyone to enter with him</w:t>
      </w:r>
    </w:p>
    <w:p>
      <w:pPr>
        <w:pStyle w:val="ListBullet"/>
        <w:spacing w:line="240" w:lineRule="auto"/>
        <w:ind w:left="720"/>
      </w:pPr>
      <w:r>
        <w:rPr>
          <w:lang w:val="en_US" w:bidi="en_US"/>
        </w:rPr>
      </w:r>
      <w:r>
        <w:rPr>
          <w:lang w:val="en_US" w:bidi="en_US"/>
        </w:rPr>
        <w:t>Jesus</w:t>
      </w:r>
      <w:r>
        <w:rPr>
          <w:lang w:val="en_US" w:bidi="en_US"/>
        </w:rPr>
        <w:t xml:space="preserve"> let </w:t>
      </w:r>
      <w:r>
        <w:rPr>
          <w:lang w:val="en_US" w:bidi="en_US"/>
        </w:rPr>
        <w:t>only certain people</w:t>
      </w:r>
      <w:r>
        <w:rPr>
          <w:lang w:val="en_US" w:bidi="en_US"/>
        </w:rPr>
        <w:t xml:space="preserve"> go into the house with him.</w:t>
      </w:r>
    </w:p>
    <w:p>
      <w:pPr>
        <w:pStyle w:val="Heading5"/>
      </w:pPr>
      <w:r>
        <w:rPr>
          <w:lang w:val="en_US" w:bidi="en_US"/>
        </w:rPr>
        <w:t>8:51c</w:t>
      </w:r>
    </w:p>
    <w:p>
      <w:pPr/>
      <w:r>
        <w:rPr>
          <w:lang w:val="en_US" w:bidi="en_US"/>
        </w:rPr>
      </w:r>
      <w:r>
        <w:rPr>
          <w:b/>
          <w:lang w:val="en_US" w:bidi="en_US"/>
        </w:rPr>
        <w:t>except Peter, John, James, and the child’s father and mother.</w:t>
      </w:r>
    </w:p>
    <w:p>
      <w:pPr>
        <w:pStyle w:val="ListBullet"/>
        <w:spacing w:line="240" w:lineRule="auto"/>
        <w:ind w:left="720"/>
      </w:pPr>
      <w:r>
        <w:rPr>
          <w:lang w:val="en_US" w:bidi="en_US"/>
        </w:rPr>
      </w:r>
      <w:r>
        <w:rPr>
          <w:lang w:val="en_US" w:bidi="en_US"/>
        </w:rPr>
        <w:t>except Peter, John, and James, as well as Jairus and the girl’s mother.</w:t>
      </w:r>
    </w:p>
    <w:p>
      <w:pPr>
        <w:pStyle w:val="ListBullet"/>
        <w:spacing w:line="240" w:lineRule="auto"/>
        <w:ind w:left="720"/>
      </w:pPr>
      <w:r>
        <w:rPr>
          <w:lang w:val="en_US" w:bidi="en_US"/>
        </w:rPr>
      </w:r>
      <w:r>
        <w:rPr>
          <w:lang w:val="en_US" w:bidi="en_US"/>
        </w:rPr>
        <w:t xml:space="preserve">They were Peter, John, James, Jairus, and </w:t>
      </w:r>
      <w:r>
        <w:rPr>
          <w:lang w:val="en_US" w:bidi="en_US"/>
        </w:rPr>
        <w:t>his wife</w:t>
      </w:r>
      <w:r>
        <w:rPr>
          <w:lang w:val="en_US" w:bidi="en_US"/>
        </w:rPr>
        <w:t xml:space="preserve"> (the girl’s mother).</w:t>
      </w:r>
    </w:p>
    <w:p>
      <w:pPr>
        <w:pStyle w:val="Heading5"/>
      </w:pPr>
      <w:r>
        <w:rPr>
          <w:lang w:val="en_US" w:bidi="en_US"/>
        </w:rPr>
        <w:t>8:51b–c</w:t>
      </w:r>
    </w:p>
    <w:p>
      <w:pPr/>
      <w:r>
        <w:rPr>
          <w:lang w:val="en_US" w:bidi="en_US"/>
        </w:rPr>
      </w:r>
      <w:r>
        <w:rPr>
          <w:b/>
          <w:lang w:val="en_US" w:bidi="en_US"/>
        </w:rPr>
        <w:t>He did not allow anyone to go in with Him except Peter, John, James, and the child’s father and mother:</w:t>
      </w:r>
      <w:r>
        <w:rPr>
          <w:lang w:val="en_US" w:bidi="en_US"/>
        </w:rPr>
        <w:t xml:space="preserve"> Jesus permitted these five people to go in with him when he entered the house. In some languages it may be more natural to translate this as a positive statement:</w:t>
      </w:r>
    </w:p>
    <w:p>
      <w:pPr/>
      <w:r>
        <w:rPr>
          <w:lang w:val="en_US" w:bidi="en_US"/>
        </w:rPr>
      </w:r>
      <w:r>
        <w:rPr>
          <w:lang w:val="en_US" w:bidi="en_US"/>
        </w:rPr>
        <w:t xml:space="preserve">he </w:t>
      </w:r>
      <w:r>
        <w:rPr>
          <w:u w:val="single"/>
          <w:lang w:val="en_US" w:bidi="en_US"/>
        </w:rPr>
        <w:t>only let</w:t>
      </w:r>
      <w:r>
        <w:rPr>
          <w:lang w:val="en_US" w:bidi="en_US"/>
        </w:rPr>
        <w:t xml:space="preserve"> Peter, John, and James, and the child’s father and mother enter with him</w:t>
      </w:r>
    </w:p>
    <w:p>
      <w:pPr/>
      <w:r>
        <w:rPr>
          <w:lang w:val="en_US" w:bidi="en_US"/>
        </w:rPr>
      </w:r>
      <w:r>
        <w:rPr>
          <w:b/>
          <w:lang w:val="en_US" w:bidi="en_US"/>
        </w:rPr>
        <w:t>the child’s father and mother:</w:t>
      </w:r>
      <w:r>
        <w:rPr>
          <w:lang w:val="en_US" w:bidi="en_US"/>
        </w:rPr>
        <w:t xml:space="preserve"> If you supplied “Jairus” in 8:51a, consider whether it is confusing to refer to the same individual both as “Jairus” and as </w:t>
      </w:r>
      <w:r>
        <w:rPr>
          <w:i/>
          <w:lang w:val="en_US" w:bidi="en_US"/>
        </w:rPr>
        <w:t>the child’s father</w:t>
      </w:r>
      <w:r>
        <w:rPr>
          <w:lang w:val="en_US" w:bidi="en_US"/>
        </w:rPr>
        <w:t xml:space="preserve"> in the same sentence. If this would cause your readers to think that Jairus was not the child’s father, you may need to translate this phrase as:</w:t>
      </w:r>
    </w:p>
    <w:p>
      <w:pPr/>
      <w:r>
        <w:rPr>
          <w:lang w:val="en_US" w:bidi="en_US"/>
        </w:rPr>
      </w:r>
      <w:r>
        <w:rPr>
          <w:lang w:val="en_US" w:bidi="en_US"/>
        </w:rPr>
        <w:t xml:space="preserve">Jairus and </w:t>
      </w:r>
      <w:r>
        <w:rPr>
          <w:lang w:val="en_US" w:bidi="en_US"/>
        </w:rPr>
        <w:t>his wife,</w:t>
      </w:r>
      <w:r>
        <w:rPr>
          <w:lang w:val="en_US" w:bidi="en_US"/>
        </w:rPr>
        <w:t xml:space="preserve"> the child’s mother</w:t>
      </w:r>
    </w:p>
    <w:p>
      <w:pPr/>
      <w:r>
        <w:rPr>
          <w:lang w:val="en_US" w:bidi="en_US"/>
        </w:rPr>
      </w:r>
      <w:r>
        <w:rPr>
          <w:b/>
          <w:lang w:val="en_US" w:bidi="en_US"/>
        </w:rPr>
        <w:t>child’s:</w:t>
      </w:r>
      <w:r>
        <w:rPr>
          <w:lang w:val="en_US" w:bidi="en_US"/>
        </w:rPr>
        <w:t xml:space="preserve"> The Greek word that the BSB translates as </w:t>
      </w:r>
      <w:r>
        <w:rPr>
          <w:i/>
          <w:lang w:val="en_US" w:bidi="en_US"/>
        </w:rPr>
        <w:t>child’s</w:t>
      </w:r>
      <w:r>
        <w:rPr>
          <w:lang w:val="en_US" w:bidi="en_US"/>
        </w:rPr>
        <w:t xml:space="preserve"> can refer to either a young boy or a young girl. Use a term that is appropriate for a twelve-year-old girl (see Mark 5:42).</w:t>
      </w:r>
      <w:r>
        <w:rPr>
          <w:lang w:val="en_US" w:bidi="en_US"/>
        </w:rPr>
      </w:r>
      <w:r>
        <w:rPr>
          <w:lang w:val="en_US" w:bidi="en_US"/>
        </w:rPr>
      </w:r>
    </w:p>
    <w:p>
      <w:pPr/>
      <w:r>
        <w:rPr>
          <w:lang w:val="en_US" w:bidi="en_US"/>
        </w:rPr>
      </w:r>
    </w:p>
    <w:p>
      <w:pPr>
        <w:pStyle w:val="Heading2"/>
      </w:pPr>
      <w:r>
        <w:rPr>
          <w:lang w:val="en_US" w:bidi="en_US"/>
        </w:rPr>
        <w:t>Luke 8:52</w:t>
      </w:r>
      <w:r>
        <w:rPr>
          <w:lang w:val="en_US" w:bidi="en_US"/>
        </w:rPr>
      </w:r>
    </w:p>
    <w:p>
      <w:pPr>
        <w:pStyle w:val="Heading4"/>
      </w:pPr>
      <w:r>
        <w:rPr>
          <w:lang w:val="en_US" w:bidi="en_US"/>
        </w:rPr>
        <w:t>Section 8:40–56: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pPr/>
      <w:r>
        <w:rPr>
          <w:lang w:val="en_US" w:bidi="en_US"/>
        </w:rPr>
      </w:r>
      <w:r>
        <w:rPr>
          <w:lang w:val="en_US" w:bidi="en_US"/>
        </w:rP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pPr/>
      <w:r>
        <w:rPr>
          <w:lang w:val="en_US" w:bidi="en_US"/>
        </w:rPr>
      </w:r>
      <w:r>
        <w:rPr>
          <w:lang w:val="en_US" w:bidi="en_US"/>
        </w:rPr>
        <w:t>Another important theme in this section is faith. Jesus said that the woman who was bleeding was healed because she believed that Jesus could heal her. Then he encouraged Jairus to keep believing that God could make his daughter well, even after she had died.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border/edge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Mark 5:21–43.</w:t>
      </w:r>
    </w:p>
    <w:p>
      <w:pPr>
        <w:pStyle w:val="Heading5"/>
      </w:pPr>
      <w:r>
        <w:rPr>
          <w:lang w:val="en_US" w:bidi="en_US"/>
        </w:rPr>
        <w:t>8:52a</w:t>
      </w:r>
    </w:p>
    <w:p>
      <w:pPr/>
      <w:r>
        <w:rPr>
          <w:lang w:val="en_US" w:bidi="en_US"/>
        </w:rPr>
      </w:r>
      <w:r>
        <w:rPr>
          <w:b/>
          <w:lang w:val="en_US" w:bidi="en_US"/>
        </w:rPr>
        <w:t>Meanwhile, everyone was weeping and mourning for her.</w:t>
      </w:r>
    </w:p>
    <w:p>
      <w:pPr>
        <w:pStyle w:val="ListBullet"/>
        <w:spacing w:line="240" w:lineRule="auto"/>
        <w:ind w:left="720"/>
      </w:pPr>
      <w:r>
        <w:rPr>
          <w:lang w:val="en_US" w:bidi="en_US"/>
        </w:rPr>
      </w:r>
      <w:r>
        <w:rPr>
          <w:lang w:val="en_US" w:bidi="en_US"/>
        </w:rPr>
        <w:t>When they entered,</w:t>
      </w:r>
      <w:r>
        <w:rPr>
          <w:lang w:val="en_US" w:bidi="en_US"/>
        </w:rPr>
        <w:t xml:space="preserve"> the people </w:t>
      </w:r>
      <w:r>
        <w:rPr>
          <w:lang w:val="en_US" w:bidi="en_US"/>
        </w:rPr>
        <w:t>there</w:t>
      </w:r>
      <w:r>
        <w:rPr>
          <w:lang w:val="en_US" w:bidi="en_US"/>
        </w:rPr>
        <w:t xml:space="preserve"> were crying loudly and beating their breasts in mourning for the </w:t>
      </w:r>
      <w:r>
        <w:rPr>
          <w:lang w:val="en_US" w:bidi="en_US"/>
        </w:rPr>
        <w:t>girl</w:t>
      </w:r>
      <w:r>
        <w:rPr>
          <w:lang w:val="en_US" w:bidi="en_US"/>
        </w:rPr>
        <w:t>.</w:t>
      </w:r>
    </w:p>
    <w:p>
      <w:pPr>
        <w:pStyle w:val="ListBullet"/>
        <w:spacing w:line="240" w:lineRule="auto"/>
        <w:ind w:left="720"/>
      </w:pPr>
      <w:r>
        <w:rPr>
          <w:lang w:val="en_US" w:bidi="en_US"/>
        </w:rPr>
      </w:r>
      <w:r>
        <w:rPr>
          <w:lang w:val="en_US" w:bidi="en_US"/>
        </w:rPr>
        <w:t xml:space="preserve">Everyone </w:t>
      </w:r>
      <w:r>
        <w:rPr>
          <w:lang w:val="en_US" w:bidi="en_US"/>
        </w:rPr>
        <w:t>who was already in the house</w:t>
      </w:r>
      <w:r>
        <w:rPr>
          <w:lang w:val="en_US" w:bidi="en_US"/>
        </w:rPr>
        <w:t xml:space="preserve"> was wailing and lamenting the </w:t>
      </w:r>
      <w:r>
        <w:rPr>
          <w:lang w:val="en_US" w:bidi="en_US"/>
        </w:rPr>
        <w:t>dead girl</w:t>
      </w:r>
      <w:r>
        <w:rPr>
          <w:lang w:val="en_US" w:bidi="en_US"/>
        </w:rPr>
        <w:t>.</w:t>
      </w:r>
    </w:p>
    <w:p>
      <w:pPr/>
      <w:r>
        <w:rPr>
          <w:lang w:val="en_US" w:bidi="en_US"/>
        </w:rPr>
      </w:r>
      <w:r>
        <w:rPr>
          <w:b/>
          <w:lang w:val="en_US" w:bidi="en_US"/>
        </w:rPr>
        <w:t>Meanwhile:</w:t>
      </w:r>
      <w:r>
        <w:rPr>
          <w:lang w:val="en_US" w:bidi="en_US"/>
        </w:rPr>
        <w:t xml:space="preserve"> The word </w:t>
      </w:r>
      <w:r>
        <w:rPr>
          <w:i/>
          <w:lang w:val="en_US" w:bidi="en_US"/>
        </w:rPr>
        <w:t>Meanwhile</w:t>
      </w:r>
      <w:r>
        <w:rPr>
          <w:lang w:val="en_US" w:bidi="en_US"/>
        </w:rPr>
        <w:t xml:space="preserve"> is not in the Greek text. The BSB has supplied it in order to make the order of events clear in English. In other languages it may not be necessary to supply anything.</w:t>
      </w:r>
    </w:p>
    <w:p>
      <w:pPr/>
      <w:r>
        <w:rPr>
          <w:lang w:val="en_US" w:bidi="en_US"/>
        </w:rPr>
      </w:r>
      <w:r>
        <w:rPr>
          <w:b/>
          <w:lang w:val="en_US" w:bidi="en_US"/>
        </w:rPr>
        <w:t>everyone:</w:t>
      </w:r>
      <w:r>
        <w:rPr>
          <w:lang w:val="en_US" w:bidi="en_US"/>
        </w:rPr>
        <w:t xml:space="preserve"> In this context </w:t>
      </w:r>
      <w:r>
        <w:rPr>
          <w:i/>
          <w:lang w:val="en_US" w:bidi="en_US"/>
        </w:rPr>
        <w:t>everyone</w:t>
      </w:r>
      <w:r>
        <w:rPr>
          <w:lang w:val="en_US" w:bidi="en_US"/>
        </w:rPr>
        <w:t xml:space="preserve"> refers to all the people who were in the house when Jesus came. These would have been neighbors, friends, and relatives of Jairus as well as professional mourners.</w:t>
      </w:r>
    </w:p>
    <w:p>
      <w:pPr/>
      <w:r>
        <w:rPr>
          <w:lang w:val="en_US" w:bidi="en_US"/>
        </w:rPr>
      </w:r>
      <w:r>
        <w:rPr>
          <w:b/>
          <w:lang w:val="en_US" w:bidi="en_US"/>
        </w:rPr>
        <w:t>weeping and mourning:</w:t>
      </w:r>
      <w:r>
        <w:rPr>
          <w:lang w:val="en_US" w:bidi="en_US"/>
        </w:rPr>
        <w:t xml:space="preserve"> The Greek verbs that the BSB translates as </w:t>
      </w:r>
      <w:r>
        <w:rPr>
          <w:i/>
          <w:lang w:val="en_US" w:bidi="en_US"/>
        </w:rPr>
        <w:t>weeping and mourning</w:t>
      </w:r>
      <w:r>
        <w:rPr>
          <w:lang w:val="en_US" w:bidi="en_US"/>
        </w:rPr>
        <w:t xml:space="preserve"> refer here to the way that Jews mourned when someone died. The verb </w:t>
      </w:r>
      <w:r>
        <w:rPr>
          <w:i/>
          <w:lang w:val="en_US" w:bidi="en_US"/>
        </w:rPr>
        <w:t>weeping</w:t>
      </w:r>
      <w:r>
        <w:rPr>
          <w:lang w:val="en_US" w:bidi="en_US"/>
        </w:rPr>
        <w:t xml:space="preserve"> refers to weeping or crying out loudly as an expression of grief or sorrow. The verb </w:t>
      </w:r>
      <w:r>
        <w:rPr>
          <w:i/>
          <w:lang w:val="en_US" w:bidi="en_US"/>
        </w:rPr>
        <w:t>mourning</w:t>
      </w:r>
      <w:r>
        <w:rPr>
          <w:lang w:val="en_US" w:bidi="en_US"/>
        </w:rPr>
        <w:t xml:space="preserve"> can have several meanings. Here it can refer in general to formal grieving. It can also refer specifically to a person beating his breast with his fists to express intense grief.</w:t>
      </w:r>
    </w:p>
    <w:p>
      <w:pPr/>
      <w:r>
        <w:rPr>
          <w:lang w:val="en_US" w:bidi="en_US"/>
        </w:rPr>
      </w:r>
      <w:r>
        <w:rPr>
          <w:lang w:val="en_US" w:bidi="en_US"/>
        </w:rPr>
        <w:t>Together these verbs describe the way that people weep and mourn when someone dies. Other ways to translate these two verbs are:</w:t>
      </w:r>
    </w:p>
    <w:p>
      <w:pPr/>
      <w:r>
        <w:rPr>
          <w:lang w:val="en_US" w:bidi="en_US"/>
        </w:rPr>
      </w:r>
      <w:r>
        <w:rPr>
          <w:lang w:val="en_US" w:bidi="en_US"/>
        </w:rPr>
        <w:t>weeping and lamenting (NASB)</w:t>
      </w:r>
    </w:p>
    <w:p>
      <w:pPr/>
      <w:r>
        <w:rPr>
          <w:lang w:val="en_US" w:bidi="en_US"/>
        </w:rPr>
      </w:r>
      <w:r>
        <w:rPr>
          <w:lang w:val="en_US" w:bidi="en_US"/>
        </w:rPr>
        <w:t>crying and showing how sad they were (GW)</w:t>
      </w:r>
    </w:p>
    <w:p>
      <w:pPr/>
      <w:r>
        <w:rPr>
          <w:lang w:val="en_US" w:bidi="en_US"/>
        </w:rPr>
      </w:r>
      <w:r>
        <w:rPr>
          <w:lang w:val="en_US" w:bidi="en_US"/>
        </w:rPr>
        <w:t>In some languages there may be one specific expression with this meaning. If that is true in your language, you can use it instead of two different expressions.</w:t>
      </w:r>
    </w:p>
    <w:p>
      <w:pPr>
        <w:pStyle w:val="Heading5"/>
      </w:pPr>
      <w:r>
        <w:rPr>
          <w:lang w:val="en_US" w:bidi="en_US"/>
        </w:rPr>
        <w:t>8:52b</w:t>
      </w:r>
    </w:p>
    <w:p>
      <w:pPr/>
      <w:r>
        <w:rPr>
          <w:lang w:val="en_US" w:bidi="en_US"/>
        </w:rPr>
      </w:r>
      <w:r>
        <w:rPr>
          <w:b/>
          <w:lang w:val="en_US" w:bidi="en_US"/>
        </w:rPr>
        <w:t>But Jesus said, “Stop weeping;</w:t>
      </w:r>
    </w:p>
    <w:p>
      <w:pPr>
        <w:pStyle w:val="ListBullet"/>
        <w:spacing w:line="240" w:lineRule="auto"/>
        <w:ind w:left="720"/>
      </w:pPr>
      <w:r>
        <w:rPr>
          <w:lang w:val="en_US" w:bidi="en_US"/>
        </w:rPr>
      </w:r>
      <w:r>
        <w:rPr>
          <w:lang w:val="en_US" w:bidi="en_US"/>
        </w:rPr>
        <w:t xml:space="preserve">Jesus said </w:t>
      </w:r>
      <w:r>
        <w:rPr>
          <w:lang w:val="en_US" w:bidi="en_US"/>
        </w:rPr>
        <w:t>to them</w:t>
      </w:r>
      <w:r>
        <w:rPr>
          <w:lang w:val="en_US" w:bidi="en_US"/>
        </w:rPr>
        <w:t>, “Stop crying,</w:t>
      </w:r>
    </w:p>
    <w:p>
      <w:pPr>
        <w:pStyle w:val="ListBullet"/>
        <w:spacing w:line="240" w:lineRule="auto"/>
        <w:ind w:left="720"/>
      </w:pPr>
      <w:r>
        <w:rPr>
          <w:lang w:val="en_US" w:bidi="en_US"/>
        </w:rPr>
      </w:r>
      <w:r>
        <w:rPr>
          <w:lang w:val="en_US" w:bidi="en_US"/>
        </w:rPr>
        <w:t>Jesus told them to stop wailing</w:t>
      </w:r>
    </w:p>
    <w:p>
      <w:pPr/>
      <w:r>
        <w:rPr>
          <w:lang w:val="en_US" w:bidi="en_US"/>
        </w:rPr>
      </w:r>
      <w:r>
        <w:rPr>
          <w:b/>
          <w:lang w:val="en_US" w:bidi="en_US"/>
        </w:rPr>
        <w:t>Stop weeping:</w:t>
      </w:r>
      <w:r>
        <w:rPr>
          <w:lang w:val="en_US" w:bidi="en_US"/>
        </w:rPr>
        <w:t xml:space="preserve"> The Greek phrase that the BSB translates as </w:t>
      </w:r>
      <w:r>
        <w:rPr>
          <w:i/>
          <w:lang w:val="en_US" w:bidi="en_US"/>
        </w:rPr>
        <w:t>Stop weeping</w:t>
      </w:r>
      <w:r>
        <w:rPr>
          <w:lang w:val="en_US" w:bidi="en_US"/>
        </w:rPr>
        <w:t xml:space="preserve"> is literally “do not cry.” In this context Jesus implied that the people should also stop all the other ways that they were mourning over the girl. Other ways to translate this are:</w:t>
      </w:r>
    </w:p>
    <w:p>
      <w:pPr/>
      <w:r>
        <w:rPr>
          <w:lang w:val="en_US" w:bidi="en_US"/>
        </w:rPr>
      </w:r>
      <w:r>
        <w:rPr>
          <w:lang w:val="en_US" w:bidi="en_US"/>
        </w:rPr>
        <w:t>Do not cry any more</w:t>
      </w:r>
    </w:p>
    <w:p>
      <w:pPr/>
      <w:r>
        <w:rPr>
          <w:lang w:val="en_US" w:bidi="en_US"/>
        </w:rPr>
      </w:r>
      <w:r>
        <w:rPr>
          <w:lang w:val="en_US" w:bidi="en_US"/>
        </w:rPr>
        <w:t>Do not weep (RSV)</w:t>
      </w:r>
    </w:p>
    <w:p>
      <w:pPr>
        <w:pStyle w:val="Heading5"/>
      </w:pPr>
      <w:r>
        <w:rPr>
          <w:lang w:val="en_US" w:bidi="en_US"/>
        </w:rPr>
        <w:t>8:52c</w:t>
      </w:r>
    </w:p>
    <w:p>
      <w:pPr/>
      <w:r>
        <w:rPr>
          <w:lang w:val="en_US" w:bidi="en_US"/>
        </w:rPr>
      </w:r>
      <w:r>
        <w:rPr>
          <w:b/>
          <w:lang w:val="en_US" w:bidi="en_US"/>
        </w:rPr>
        <w:t>she is not dead but asleep.”</w:t>
      </w:r>
    </w:p>
    <w:p>
      <w:pPr>
        <w:pStyle w:val="ListBullet"/>
        <w:spacing w:line="240" w:lineRule="auto"/>
        <w:ind w:left="720"/>
      </w:pPr>
      <w:r>
        <w:rPr>
          <w:lang w:val="en_US" w:bidi="en_US"/>
        </w:rPr>
      </w:r>
      <w:r>
        <w:rPr>
          <w:lang w:val="en_US" w:bidi="en_US"/>
        </w:rPr>
        <w:t xml:space="preserve">for she has not died, but is </w:t>
      </w:r>
      <w:r>
        <w:rPr>
          <w:lang w:val="en_US" w:bidi="en_US"/>
        </w:rPr>
        <w:t>only</w:t>
      </w:r>
      <w:r>
        <w:rPr>
          <w:lang w:val="en_US" w:bidi="en_US"/>
        </w:rPr>
        <w:t xml:space="preserve"> sleeping.”</w:t>
      </w:r>
    </w:p>
    <w:p>
      <w:pPr>
        <w:pStyle w:val="ListBullet"/>
        <w:spacing w:line="240" w:lineRule="auto"/>
        <w:ind w:left="720"/>
      </w:pPr>
      <w:r>
        <w:rPr>
          <w:lang w:val="en_US" w:bidi="en_US"/>
        </w:rPr>
      </w:r>
      <w:r>
        <w:rPr>
          <w:lang w:val="en_US" w:bidi="en_US"/>
        </w:rPr>
        <w:t xml:space="preserve">because the girl was not dead. She was </w:t>
      </w:r>
      <w:r>
        <w:rPr>
          <w:lang w:val="en_US" w:bidi="en_US"/>
        </w:rPr>
        <w:t>only</w:t>
      </w:r>
      <w:r>
        <w:rPr>
          <w:lang w:val="en_US" w:bidi="en_US"/>
        </w:rPr>
        <w:t xml:space="preserve"> asleep.</w:t>
      </w:r>
    </w:p>
    <w:p>
      <w:pPr/>
      <w:r>
        <w:rPr>
          <w:lang w:val="en_US" w:bidi="en_US"/>
        </w:rPr>
      </w:r>
      <w:r>
        <w:rPr>
          <w:lang w:val="en_US" w:bidi="en_US"/>
        </w:rPr>
        <w:t>In this part of the verse Jesus gave the reason why the people should stop wailing. The Greek text has a conjunction that several English versions translate as “for.” Most English versions do not translate the conjunction, since the connection is clearly implied. Use a natural way in your language to indicate that 8:52c is the reason or explanation for Jesus’ command in 8:52b.</w:t>
      </w:r>
    </w:p>
    <w:p>
      <w:pPr/>
      <w:r>
        <w:rPr>
          <w:lang w:val="en_US" w:bidi="en_US"/>
        </w:rPr>
      </w:r>
      <w:r>
        <w:rPr>
          <w:b/>
          <w:lang w:val="en_US" w:bidi="en_US"/>
        </w:rPr>
        <w:t>she is not dead but asleep:</w:t>
      </w:r>
      <w:r>
        <w:rPr>
          <w:lang w:val="en_US" w:bidi="en_US"/>
        </w:rPr>
        <w:t xml:space="preserve"> Jesus used the word </w:t>
      </w:r>
      <w:r>
        <w:rPr>
          <w:i/>
          <w:lang w:val="en_US" w:bidi="en_US"/>
        </w:rPr>
        <w:t>asleep</w:t>
      </w:r>
      <w:r>
        <w:rPr>
          <w:lang w:val="en_US" w:bidi="en_US"/>
        </w:rPr>
        <w:t xml:space="preserve"> here to refer to the death of a person who will be raised back to life. (See John 11:11–14 and 1 Thessalonians 5:10 for other examples of this meaning.) Jesus knew that the girl was actually dead, and he did not mean that she was only asleep or in a coma. However, the mourners wrongly understood Jesus’ words in this way, so you should translate them so that that interpretation is possible.</w:t>
      </w:r>
    </w:p>
    <w:p>
      <w:pPr/>
      <w:r>
        <w:rPr>
          <w:lang w:val="en_US" w:bidi="en_US"/>
        </w:rPr>
      </w:r>
      <w:r>
        <w:rPr>
          <w:lang w:val="en_US" w:bidi="en_US"/>
        </w:rPr>
        <w:t>You may want to include a footnote here to explain this. For example:</w:t>
      </w:r>
    </w:p>
    <w:p>
      <w:pPr/>
      <w:r>
        <w:rPr>
          <w:lang w:val="en_US" w:bidi="en_US"/>
        </w:rPr>
      </w:r>
      <w:r>
        <w:rPr>
          <w:lang w:val="en_US" w:bidi="en_US"/>
        </w:rPr>
        <w:t>Jesus knew that the girl was dead. He said that she was sleeping because he knew that he would soon make her live again. Jesus also used the word “sleep” to talk about the death of Lazarus (John 11:11–14), another person whom he raised from the dead.</w:t>
      </w:r>
    </w:p>
    <w:p>
      <w:pPr>
        <w:pStyle w:val="Heading6"/>
      </w:pPr>
      <w:r>
        <w:rPr>
          <w:b/>
          <w:lang w:val="en_US" w:bidi="en_US"/>
        </w:rPr>
        <w:t>General Comment on 8:52b–c</w:t>
      </w:r>
    </w:p>
    <w:p>
      <w:pPr/>
      <w:r>
        <w:rPr>
          <w:lang w:val="en_US" w:bidi="en_US"/>
        </w:rPr>
      </w:r>
      <w:r>
        <w:rPr>
          <w:lang w:val="en_US" w:bidi="en_US"/>
        </w:rPr>
        <w:t>In some languages it may be more natural to reorder 8:52b–c so that the reason for the exhortation is given first. For example:</w:t>
      </w:r>
    </w:p>
    <w:p>
      <w:pPr/>
      <w:r>
        <w:rPr>
          <w:lang w:val="en_US" w:bidi="en_US"/>
        </w:rPr>
      </w:r>
      <w:r>
        <w:rPr>
          <w:vertAlign w:val="superscript"/>
          <w:lang w:val="en_US" w:bidi="en_US"/>
        </w:rPr>
        <w:t>52c</w:t>
      </w:r>
      <w:r>
        <w:rPr>
          <w:lang w:val="en_US" w:bidi="en_US"/>
        </w:rPr>
        <w:t xml:space="preserve">She is not dead but only sleeping. </w:t>
      </w:r>
      <w:r>
        <w:rPr>
          <w:vertAlign w:val="superscript"/>
          <w:lang w:val="en_US" w:bidi="en_US"/>
        </w:rPr>
        <w:t>52b</w:t>
      </w:r>
      <w:r>
        <w:rPr>
          <w:lang w:val="en_US" w:bidi="en_US"/>
        </w:rPr>
        <w:t>So, do not wail.</w:t>
      </w:r>
      <w:r>
        <w:rPr>
          <w:lang w:val="en_US" w:bidi="en_US"/>
        </w:rPr>
      </w:r>
      <w:r>
        <w:rPr>
          <w:lang w:val="en_US" w:bidi="en_US"/>
        </w:rPr>
      </w:r>
    </w:p>
    <w:p>
      <w:pPr/>
      <w:r>
        <w:rPr>
          <w:lang w:val="en_US" w:bidi="en_US"/>
        </w:rPr>
      </w:r>
    </w:p>
    <w:p>
      <w:pPr>
        <w:pStyle w:val="Heading2"/>
      </w:pPr>
      <w:r>
        <w:rPr>
          <w:lang w:val="en_US" w:bidi="en_US"/>
        </w:rPr>
        <w:t>Luke 8:53</w:t>
      </w:r>
      <w:r>
        <w:rPr>
          <w:lang w:val="en_US" w:bidi="en_US"/>
        </w:rPr>
      </w:r>
    </w:p>
    <w:p>
      <w:pPr>
        <w:pStyle w:val="Heading4"/>
      </w:pPr>
      <w:r>
        <w:rPr>
          <w:lang w:val="en_US" w:bidi="en_US"/>
        </w:rPr>
        <w:t>Section 8:40–56: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pPr/>
      <w:r>
        <w:rPr>
          <w:lang w:val="en_US" w:bidi="en_US"/>
        </w:rPr>
      </w:r>
      <w:r>
        <w:rPr>
          <w:lang w:val="en_US" w:bidi="en_US"/>
        </w:rP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pPr/>
      <w:r>
        <w:rPr>
          <w:lang w:val="en_US" w:bidi="en_US"/>
        </w:rPr>
      </w:r>
      <w:r>
        <w:rPr>
          <w:lang w:val="en_US" w:bidi="en_US"/>
        </w:rPr>
        <w:t>Another important theme in this section is faith. Jesus said that the woman who was bleeding was healed because she believed that Jesus could heal her. Then he encouraged Jairus to keep believing that God could make his daughter well, even after she had died.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border/edge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Mark 5:21–43.</w:t>
      </w:r>
    </w:p>
    <w:p>
      <w:pPr>
        <w:pStyle w:val="Heading5"/>
      </w:pPr>
      <w:r>
        <w:rPr>
          <w:lang w:val="en_US" w:bidi="en_US"/>
        </w:rPr>
        <w:t>8:53a</w:t>
      </w:r>
    </w:p>
    <w:p>
      <w:pPr/>
      <w:r>
        <w:rPr>
          <w:lang w:val="en_US" w:bidi="en_US"/>
        </w:rPr>
      </w:r>
      <w:r>
        <w:rPr>
          <w:b/>
          <w:lang w:val="en_US" w:bidi="en_US"/>
        </w:rPr>
        <w:t>And they laughed at Him,</w:t>
      </w:r>
    </w:p>
    <w:p>
      <w:pPr>
        <w:pStyle w:val="ListBullet"/>
        <w:spacing w:line="240" w:lineRule="auto"/>
        <w:ind w:left="720"/>
      </w:pPr>
      <w:r>
        <w:rPr>
          <w:lang w:val="en_US" w:bidi="en_US"/>
        </w:rPr>
      </w:r>
      <w:r>
        <w:rPr>
          <w:lang w:val="en_US" w:bidi="en_US"/>
        </w:rPr>
        <w:t xml:space="preserve">They began to laugh at him </w:t>
      </w:r>
      <w:r>
        <w:rPr>
          <w:lang w:val="en_US" w:bidi="en_US"/>
        </w:rPr>
        <w:t>scornfully/mockingly</w:t>
      </w:r>
      <w:r>
        <w:rPr>
          <w:lang w:val="en_US" w:bidi="en_US"/>
        </w:rPr>
        <w:t>,</w:t>
      </w:r>
    </w:p>
    <w:p>
      <w:pPr>
        <w:pStyle w:val="ListBullet"/>
        <w:spacing w:line="240" w:lineRule="auto"/>
        <w:ind w:left="720"/>
      </w:pPr>
      <w:r>
        <w:rPr>
          <w:lang w:val="en_US" w:bidi="en_US"/>
        </w:rPr>
      </w:r>
      <w:r>
        <w:rPr>
          <w:lang w:val="en_US" w:bidi="en_US"/>
        </w:rPr>
        <w:t>But</w:t>
      </w:r>
      <w:r>
        <w:rPr>
          <w:lang w:val="en_US" w:bidi="en_US"/>
        </w:rPr>
        <w:t xml:space="preserve"> </w:t>
      </w:r>
      <w:r>
        <w:rPr>
          <w:lang w:val="en_US" w:bidi="en_US"/>
        </w:rPr>
        <w:t>when they heard that,</w:t>
      </w:r>
      <w:r>
        <w:rPr>
          <w:lang w:val="en_US" w:bidi="en_US"/>
        </w:rPr>
        <w:t xml:space="preserve"> they ridiculed him repeatedly,</w:t>
      </w:r>
    </w:p>
    <w:p>
      <w:pPr/>
      <w:r>
        <w:rPr>
          <w:lang w:val="en_US" w:bidi="en_US"/>
        </w:rPr>
      </w:r>
      <w:r>
        <w:rPr>
          <w:b/>
          <w:lang w:val="en_US" w:bidi="en_US"/>
        </w:rPr>
        <w:t>And:</w:t>
      </w:r>
      <w:r>
        <w:rPr>
          <w:lang w:val="en_US" w:bidi="en_US"/>
        </w:rPr>
        <w:t xml:space="preserve"> This verse in Greek begins with a conjunction that is often translated as “and” in English, as in the BSB. It introduces the way that the mourners responded to what Jesus said in 8:52c. When Jesus said that the child was not dead, they did not believe him. Instead, they laughed at him. Since there is a contrast between what Jesus said and how the mourners responded, you could also use a conjunction that indicates a contrast. For example:</w:t>
      </w:r>
    </w:p>
    <w:p>
      <w:pPr/>
      <w:r>
        <w:rPr>
          <w:lang w:val="en_US" w:bidi="en_US"/>
        </w:rPr>
      </w:r>
      <w:r>
        <w:rPr>
          <w:lang w:val="en_US" w:bidi="en_US"/>
        </w:rPr>
        <w:t>But (NLT)</w:t>
      </w:r>
    </w:p>
    <w:p>
      <w:pPr/>
      <w:r>
        <w:rPr>
          <w:lang w:val="en_US" w:bidi="en_US"/>
        </w:rPr>
      </w:r>
      <w:r>
        <w:rPr>
          <w:lang w:val="en_US" w:bidi="en_US"/>
        </w:rPr>
        <w:t>Connect this verse to 8:52 in a way that is natural in your language.</w:t>
      </w:r>
    </w:p>
    <w:p>
      <w:pPr/>
      <w:r>
        <w:rPr>
          <w:lang w:val="en_US" w:bidi="en_US"/>
        </w:rPr>
      </w:r>
      <w:r>
        <w:rPr>
          <w:b/>
          <w:lang w:val="en_US" w:bidi="en_US"/>
        </w:rPr>
        <w:t>they:</w:t>
      </w:r>
      <w:r>
        <w:rPr>
          <w:lang w:val="en_US" w:bidi="en_US"/>
        </w:rPr>
        <w:t xml:space="preserve"> The word </w:t>
      </w:r>
      <w:r>
        <w:rPr>
          <w:i/>
          <w:lang w:val="en_US" w:bidi="en_US"/>
        </w:rPr>
        <w:t>they</w:t>
      </w:r>
      <w:r>
        <w:rPr>
          <w:lang w:val="en_US" w:bidi="en_US"/>
        </w:rPr>
        <w:t xml:space="preserve"> refers to the mourners to whom Jesus had just spoken.</w:t>
      </w:r>
    </w:p>
    <w:p>
      <w:pPr/>
      <w:r>
        <w:rPr>
          <w:lang w:val="en_US" w:bidi="en_US"/>
        </w:rPr>
      </w:r>
      <w:r>
        <w:rPr>
          <w:b/>
          <w:lang w:val="en_US" w:bidi="en_US"/>
        </w:rPr>
        <w:t>laughed at Him:</w:t>
      </w:r>
      <w:r>
        <w:rPr>
          <w:lang w:val="en_US" w:bidi="en_US"/>
        </w:rPr>
        <w:t xml:space="preserve"> The Greek word that the BSB translates as </w:t>
      </w:r>
      <w:r>
        <w:rPr>
          <w:i/>
          <w:lang w:val="en_US" w:bidi="en_US"/>
        </w:rPr>
        <w:t>laughed at</w:t>
      </w:r>
      <w:r>
        <w:rPr>
          <w:lang w:val="en_US" w:bidi="en_US"/>
        </w:rPr>
        <w:t xml:space="preserve"> means “to mock” or “to laugh at with scorn.” The mourners treated Jesus as if he were a fool because they were sure that the girl was dead.</w:t>
      </w:r>
    </w:p>
    <w:p>
      <w:pPr/>
      <w:r>
        <w:rPr>
          <w:lang w:val="en_US" w:bidi="en_US"/>
        </w:rPr>
      </w:r>
      <w:r>
        <w:rPr>
          <w:lang w:val="en_US" w:bidi="en_US"/>
        </w:rPr>
        <w:t>The form of this Greek verb indicates that the people repeatedly mocked Jesus. They probably said several different things as they laughed at him. Some languages have verb forms that distinguish between actions that happen once and actions that are repeated. If that is true in your language, use a form here that indicates that the action was repeated. The form here may indicate that the people started and then continued. For example:</w:t>
      </w:r>
    </w:p>
    <w:p>
      <w:pPr/>
      <w:r>
        <w:rPr>
          <w:lang w:val="en_US" w:bidi="en_US"/>
        </w:rPr>
      </w:r>
      <w:r>
        <w:rPr>
          <w:lang w:val="en_US" w:bidi="en_US"/>
        </w:rPr>
        <w:t>began laughing at him (NASB)</w:t>
      </w:r>
    </w:p>
    <w:p>
      <w:pPr/>
      <w:r>
        <w:rPr>
          <w:lang w:val="en_US" w:bidi="en_US"/>
        </w:rPr>
      </w:r>
      <w:r>
        <w:rPr>
          <w:lang w:val="en_US" w:bidi="en_US"/>
        </w:rPr>
        <w:t>began making fun of him (NET)</w:t>
      </w:r>
    </w:p>
    <w:p>
      <w:pPr>
        <w:pStyle w:val="Heading5"/>
      </w:pPr>
      <w:r>
        <w:rPr>
          <w:lang w:val="en_US" w:bidi="en_US"/>
        </w:rPr>
        <w:t>8:53b</w:t>
      </w:r>
    </w:p>
    <w:p>
      <w:pPr/>
      <w:r>
        <w:rPr>
          <w:lang w:val="en_US" w:bidi="en_US"/>
        </w:rPr>
      </w:r>
      <w:r>
        <w:rPr>
          <w:b/>
          <w:lang w:val="en_US" w:bidi="en_US"/>
        </w:rPr>
        <w:t>knowing that she was dead.</w:t>
      </w:r>
    </w:p>
    <w:p>
      <w:pPr>
        <w:pStyle w:val="ListBullet"/>
        <w:spacing w:line="240" w:lineRule="auto"/>
        <w:ind w:left="720"/>
      </w:pPr>
      <w:r>
        <w:rPr>
          <w:lang w:val="en_US" w:bidi="en_US"/>
        </w:rPr>
      </w:r>
      <w:r>
        <w:rPr>
          <w:lang w:val="en_US" w:bidi="en_US"/>
        </w:rPr>
        <w:t>for they knew that the girl was dead.</w:t>
      </w:r>
    </w:p>
    <w:p>
      <w:pPr>
        <w:pStyle w:val="ListBullet"/>
        <w:spacing w:line="240" w:lineRule="auto"/>
        <w:ind w:left="720"/>
      </w:pPr>
      <w:r>
        <w:rPr>
          <w:lang w:val="en_US" w:bidi="en_US"/>
        </w:rPr>
      </w:r>
      <w:r>
        <w:rPr>
          <w:lang w:val="en_US" w:bidi="en_US"/>
        </w:rPr>
        <w:t>because they were certain that she had died.</w:t>
      </w:r>
    </w:p>
    <w:p>
      <w:pPr/>
      <w:r>
        <w:rPr>
          <w:lang w:val="en_US" w:bidi="en_US"/>
        </w:rPr>
      </w:r>
      <w:r>
        <w:rPr>
          <w:b/>
          <w:lang w:val="en_US" w:bidi="en_US"/>
        </w:rPr>
        <w:t>knowing that she was dead:</w:t>
      </w:r>
      <w:r>
        <w:rPr>
          <w:lang w:val="en_US" w:bidi="en_US"/>
        </w:rPr>
        <w:t xml:space="preserve"> The Greek clause that the BSB translates as </w:t>
      </w:r>
      <w:r>
        <w:rPr>
          <w:i/>
          <w:lang w:val="en_US" w:bidi="en_US"/>
        </w:rPr>
        <w:t>knowing that she was dead</w:t>
      </w:r>
      <w:r>
        <w:rPr>
          <w:lang w:val="en_US" w:bidi="en_US"/>
        </w:rPr>
        <w:t xml:space="preserve"> gives the reason why the mourners mocked Jesus. Other ways to translate this are:</w:t>
      </w:r>
    </w:p>
    <w:p>
      <w:pPr/>
      <w:r>
        <w:rPr>
          <w:lang w:val="en_US" w:bidi="en_US"/>
        </w:rPr>
      </w:r>
      <w:r>
        <w:rPr>
          <w:lang w:val="en_US" w:bidi="en_US"/>
        </w:rPr>
        <w:t>for they knew that she was dead</w:t>
      </w:r>
    </w:p>
    <w:p>
      <w:pPr/>
      <w:r>
        <w:rPr>
          <w:lang w:val="en_US" w:bidi="en_US"/>
        </w:rPr>
      </w:r>
      <w:r>
        <w:rPr>
          <w:lang w:val="en_US" w:bidi="en_US"/>
        </w:rPr>
        <w:t>because they were certain that she had died</w:t>
      </w:r>
    </w:p>
    <w:p>
      <w:pPr>
        <w:pStyle w:val="Heading6"/>
      </w:pPr>
      <w:r>
        <w:rPr>
          <w:b/>
          <w:lang w:val="en_US" w:bidi="en_US"/>
        </w:rPr>
        <w:t>General Comment on 8:53a–b</w:t>
      </w:r>
    </w:p>
    <w:p>
      <w:pPr/>
      <w:r>
        <w:rPr>
          <w:lang w:val="en_US" w:bidi="en_US"/>
        </w:rPr>
      </w:r>
      <w:r>
        <w:rPr>
          <w:lang w:val="en_US" w:bidi="en_US"/>
        </w:rPr>
        <w:t>In some languages, it may be more natural to give the reason before the result. If that is true in your language, you may want to reverse the order of the parts of this verse. For example:</w:t>
      </w:r>
    </w:p>
    <w:p>
      <w:pPr/>
      <w:r>
        <w:rPr>
          <w:lang w:val="en_US" w:bidi="en_US"/>
        </w:rPr>
      </w:r>
      <w:r>
        <w:rPr>
          <w:vertAlign w:val="superscript"/>
          <w:lang w:val="en_US" w:bidi="en_US"/>
        </w:rPr>
        <w:t>53b</w:t>
      </w:r>
      <w:r>
        <w:rPr>
          <w:lang w:val="en_US" w:bidi="en_US"/>
        </w:rPr>
        <w:t xml:space="preserve">They knew that she was dead, </w:t>
      </w:r>
      <w:r>
        <w:rPr>
          <w:vertAlign w:val="superscript"/>
          <w:lang w:val="en_US" w:bidi="en_US"/>
        </w:rPr>
        <w:t>53a</w:t>
      </w:r>
      <w:r>
        <w:rPr>
          <w:lang w:val="en_US" w:bidi="en_US"/>
        </w:rPr>
        <w:t>so they laughed at him.</w:t>
      </w:r>
    </w:p>
    <w:p>
      <w:pPr/>
      <w:r>
        <w:rPr>
          <w:lang w:val="en_US" w:bidi="en_US"/>
        </w:rPr>
      </w:r>
      <w:r>
        <w:rPr>
          <w:vertAlign w:val="superscript"/>
          <w:lang w:val="en_US" w:bidi="en_US"/>
        </w:rPr>
        <w:t>53b</w:t>
      </w:r>
      <w:r>
        <w:rPr>
          <w:lang w:val="en_US" w:bidi="en_US"/>
        </w:rPr>
        <w:t xml:space="preserve">Since they were sure that she had died, </w:t>
      </w:r>
      <w:r>
        <w:rPr>
          <w:vertAlign w:val="superscript"/>
          <w:lang w:val="en_US" w:bidi="en_US"/>
        </w:rPr>
        <w:t>53a</w:t>
      </w:r>
      <w:r>
        <w:rPr>
          <w:lang w:val="en_US" w:bidi="en_US"/>
        </w:rPr>
        <w:t>they began laughing at him.</w:t>
      </w:r>
      <w:r>
        <w:rPr>
          <w:lang w:val="en_US" w:bidi="en_US"/>
        </w:rPr>
      </w:r>
      <w:r>
        <w:rPr>
          <w:lang w:val="en_US" w:bidi="en_US"/>
        </w:rPr>
      </w:r>
    </w:p>
    <w:p>
      <w:pPr/>
      <w:r>
        <w:rPr>
          <w:lang w:val="en_US" w:bidi="en_US"/>
        </w:rPr>
      </w:r>
    </w:p>
    <w:p>
      <w:pPr>
        <w:pStyle w:val="Heading2"/>
      </w:pPr>
      <w:r>
        <w:rPr>
          <w:lang w:val="en_US" w:bidi="en_US"/>
        </w:rPr>
        <w:t>Luke 8:54</w:t>
      </w:r>
      <w:r>
        <w:rPr>
          <w:lang w:val="en_US" w:bidi="en_US"/>
        </w:rPr>
      </w:r>
    </w:p>
    <w:p>
      <w:pPr>
        <w:pStyle w:val="Heading4"/>
      </w:pPr>
      <w:r>
        <w:rPr>
          <w:lang w:val="en_US" w:bidi="en_US"/>
        </w:rPr>
        <w:t>Section 8:40–56: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pPr/>
      <w:r>
        <w:rPr>
          <w:lang w:val="en_US" w:bidi="en_US"/>
        </w:rPr>
      </w:r>
      <w:r>
        <w:rPr>
          <w:lang w:val="en_US" w:bidi="en_US"/>
        </w:rP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pPr/>
      <w:r>
        <w:rPr>
          <w:lang w:val="en_US" w:bidi="en_US"/>
        </w:rPr>
      </w:r>
      <w:r>
        <w:rPr>
          <w:lang w:val="en_US" w:bidi="en_US"/>
        </w:rPr>
        <w:t>Another important theme in this section is faith. Jesus said that the woman who was bleeding was healed because she believed that Jesus could heal her. Then he encouraged Jairus to keep believing that God could make his daughter well, even after she had died.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border/edge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Mark 5:21–43.</w:t>
      </w:r>
    </w:p>
    <w:p>
      <w:pPr>
        <w:pStyle w:val="Heading5"/>
      </w:pPr>
      <w:r>
        <w:rPr>
          <w:lang w:val="en_US" w:bidi="en_US"/>
        </w:rPr>
        <w:t>8:54</w:t>
      </w:r>
    </w:p>
    <w:p>
      <w:pPr/>
      <w:r>
        <w:rPr>
          <w:lang w:val="en_US" w:bidi="en_US"/>
        </w:rPr>
      </w:r>
      <w:r>
        <w:rPr>
          <w:b/>
          <w:lang w:val="en_US" w:bidi="en_US"/>
        </w:rPr>
        <w:t>But Jesus took her by the hand and called out, “Child, get up!”</w:t>
      </w:r>
    </w:p>
    <w:p>
      <w:pPr>
        <w:pStyle w:val="ListBullet"/>
        <w:spacing w:line="240" w:lineRule="auto"/>
        <w:ind w:left="720"/>
      </w:pPr>
      <w:r>
        <w:rPr>
          <w:lang w:val="en_US" w:bidi="en_US"/>
        </w:rPr>
      </w:r>
      <w:r>
        <w:rPr>
          <w:lang w:val="en_US" w:bidi="en_US"/>
        </w:rPr>
        <w:t>¶ But he grasped her hand and said in a loud voice, “Child, rise!”</w:t>
      </w:r>
    </w:p>
    <w:p>
      <w:pPr>
        <w:pStyle w:val="ListBullet"/>
        <w:spacing w:line="240" w:lineRule="auto"/>
        <w:ind w:left="720"/>
      </w:pPr>
      <w:r>
        <w:rPr>
          <w:lang w:val="en_US" w:bidi="en_US"/>
        </w:rPr>
      </w:r>
      <w:r>
        <w:rPr>
          <w:lang w:val="en_US" w:bidi="en_US"/>
        </w:rPr>
        <w:t xml:space="preserve">¶ Jesus </w:t>
      </w:r>
      <w:r>
        <w:rPr>
          <w:lang w:val="en_US" w:bidi="en_US"/>
        </w:rPr>
        <w:t>went up to the girl and</w:t>
      </w:r>
      <w:r>
        <w:rPr>
          <w:lang w:val="en_US" w:bidi="en_US"/>
        </w:rPr>
        <w:t xml:space="preserve"> held her hand. He called out, “Young girl, stand up!”</w:t>
      </w:r>
    </w:p>
    <w:p>
      <w:pPr/>
      <w:r>
        <w:rPr>
          <w:lang w:val="en_US" w:bidi="en_US"/>
        </w:rPr>
      </w:r>
      <w:r>
        <w:rPr>
          <w:lang w:val="en_US" w:bidi="en_US"/>
        </w:rPr>
        <w:t>There is implied information here. After Jesus spoke to the people in 8:53, he went to the place where the girl’s body was lying. See Mark 5:40. In some languages it may be necessary to make this explicit. For example:</w:t>
      </w:r>
    </w:p>
    <w:p>
      <w:pPr/>
      <w:r>
        <w:rPr>
          <w:lang w:val="en_US" w:bidi="en_US"/>
        </w:rPr>
      </w:r>
      <w:r>
        <w:rPr>
          <w:lang w:val="en_US" w:bidi="en_US"/>
        </w:rPr>
        <w:t>Jesus went to the place where the girl was lying</w:t>
      </w:r>
      <w:r>
        <w:rPr>
          <w:lang w:val="en_US" w:bidi="en_US"/>
        </w:rPr>
        <w:t xml:space="preserve"> and took her</w:t>
      </w:r>
    </w:p>
    <w:p>
      <w:pPr/>
      <w:r>
        <w:rPr>
          <w:lang w:val="en_US" w:bidi="en_US"/>
        </w:rPr>
      </w:r>
      <w:r>
        <w:rPr>
          <w:b/>
          <w:lang w:val="en_US" w:bidi="en_US"/>
        </w:rPr>
        <w:t>But Jesus:</w:t>
      </w:r>
      <w:r>
        <w:rPr>
          <w:lang w:val="en_US" w:bidi="en_US"/>
        </w:rPr>
        <w:t xml:space="preserve"> </w:t>
      </w:r>
      <w:r>
        <w:rPr>
          <w:lang w:val="en_US" w:bidi="en_US"/>
        </w:rPr>
        <w:t>There is a textual issue here. Following “But he,” some Greek manuscripts add the words “having put all outside and…” The KJV follows the manuscripts that include these words. The reading that does not include the words “having put all outside and…” has the earliest and strongest manuscript support. So it is recommended that you follow the BSB and the majority of English versions that do not include these words. However, if the national language version includes these words, it is recommended that you put the support for this in a footnote. For example: “Following ‘But he,’ some Greek manuscripts add the words ‘having put all outside and….’”</w:t>
      </w:r>
      <w:r>
        <w:rPr>
          <w:lang w:val="en_US" w:bidi="en_US"/>
        </w:rPr>
        <w:t xml:space="preserve"> In the Greek text, the pronoun “he,” which the BSB translates as </w:t>
      </w:r>
      <w:r>
        <w:rPr>
          <w:i/>
          <w:lang w:val="en_US" w:bidi="en_US"/>
        </w:rPr>
        <w:t>Jesus</w:t>
      </w:r>
      <w:r>
        <w:rPr>
          <w:lang w:val="en_US" w:bidi="en_US"/>
        </w:rPr>
        <w:t xml:space="preserve">, is emphatic. Along with the conjunction that the BSB translates as </w:t>
      </w:r>
      <w:r>
        <w:rPr>
          <w:i/>
          <w:lang w:val="en_US" w:bidi="en_US"/>
        </w:rPr>
        <w:t>But</w:t>
      </w:r>
      <w:r>
        <w:rPr>
          <w:lang w:val="en_US" w:bidi="en_US"/>
        </w:rPr>
        <w:t>, it indicates a contrast. The focus shifts from the people who were mocking Jesus to what Jesus did next. He went to the girl and raised her from the dead, as he had come with Jairus to do. Connect these verses in a way that is natural in your language. Another way to translate this is:</w:t>
      </w:r>
    </w:p>
    <w:p>
      <w:pPr/>
      <w:r>
        <w:rPr>
          <w:lang w:val="en_US" w:bidi="en_US"/>
        </w:rPr>
      </w:r>
      <w:r>
        <w:rPr>
          <w:u w:val="single"/>
          <w:lang w:val="en_US" w:bidi="en_US"/>
        </w:rPr>
        <w:t>As for Jesus, he</w:t>
      </w:r>
      <w:r>
        <w:rPr>
          <w:lang w:val="en_US" w:bidi="en_US"/>
        </w:rPr>
        <w:t xml:space="preserve"> </w:t>
      </w:r>
      <w:r>
        <w:rPr>
          <w:lang w:val="en_US" w:bidi="en_US"/>
        </w:rPr>
        <w:t>went and</w:t>
      </w:r>
      <w:r>
        <w:rPr>
          <w:lang w:val="en_US" w:bidi="en_US"/>
        </w:rPr>
        <w:t xml:space="preserve"> took</w:t>
      </w:r>
    </w:p>
    <w:p>
      <w:pPr/>
      <w:r>
        <w:rPr>
          <w:lang w:val="en_US" w:bidi="en_US"/>
        </w:rPr>
      </w:r>
      <w:r>
        <w:rPr>
          <w:b/>
          <w:lang w:val="en_US" w:bidi="en_US"/>
        </w:rPr>
        <w:t>Jesus took her by the hand:</w:t>
      </w:r>
      <w:r>
        <w:rPr>
          <w:lang w:val="en_US" w:bidi="en_US"/>
        </w:rPr>
        <w:t xml:space="preserve"> The Greek expression that the BSB translates as </w:t>
      </w:r>
      <w:r>
        <w:rPr>
          <w:i/>
          <w:lang w:val="en_US" w:bidi="en_US"/>
        </w:rPr>
        <w:t>Jesus took her by the hand</w:t>
      </w:r>
      <w:r>
        <w:rPr>
          <w:lang w:val="en_US" w:bidi="en_US"/>
        </w:rPr>
        <w:t xml:space="preserve"> means that Jesus held the hand of the girl in his own hand. Some languages may express this idea in different ways. For example:</w:t>
      </w:r>
    </w:p>
    <w:p>
      <w:pPr/>
      <w:r>
        <w:rPr>
          <w:lang w:val="en_US" w:bidi="en_US"/>
        </w:rPr>
      </w:r>
      <w:r>
        <w:rPr>
          <w:lang w:val="en_US" w:bidi="en_US"/>
        </w:rPr>
        <w:t>he grasped the girl’s hand</w:t>
      </w:r>
    </w:p>
    <w:p>
      <w:pPr/>
      <w:r>
        <w:rPr>
          <w:lang w:val="en_US" w:bidi="en_US"/>
        </w:rPr>
      </w:r>
      <w:r>
        <w:rPr>
          <w:lang w:val="en_US" w:bidi="en_US"/>
        </w:rPr>
        <w:t>he took her hand</w:t>
      </w:r>
    </w:p>
    <w:p>
      <w:pPr/>
      <w:r>
        <w:rPr>
          <w:lang w:val="en_US" w:bidi="en_US"/>
        </w:rPr>
      </w:r>
      <w:r>
        <w:rPr>
          <w:lang w:val="en_US" w:bidi="en_US"/>
        </w:rPr>
        <w:t>Jesus was gentle as he picked up her hand and held it. Your translation should not imply that it was a forceful action. For example:</w:t>
      </w:r>
    </w:p>
    <w:p>
      <w:pPr/>
      <w:r>
        <w:rPr>
          <w:lang w:val="en_US" w:bidi="en_US"/>
        </w:rPr>
      </w:r>
      <w:r>
        <w:rPr>
          <w:lang w:val="en_US" w:bidi="en_US"/>
        </w:rPr>
        <w:t>Jesus gently took her by the hand (NET)</w:t>
      </w:r>
    </w:p>
    <w:p>
      <w:pPr/>
      <w:r>
        <w:rPr>
          <w:lang w:val="en_US" w:bidi="en_US"/>
        </w:rPr>
      </w:r>
      <w:r>
        <w:rPr>
          <w:lang w:val="en_US" w:bidi="en_US"/>
        </w:rPr>
        <w:t>Express this action in a natural way in your language.</w:t>
      </w:r>
    </w:p>
    <w:p>
      <w:pPr/>
      <w:r>
        <w:rPr>
          <w:lang w:val="en_US" w:bidi="en_US"/>
        </w:rPr>
      </w:r>
      <w:r>
        <w:rPr>
          <w:b/>
          <w:lang w:val="en_US" w:bidi="en_US"/>
        </w:rPr>
        <w:t>and called out:</w:t>
      </w:r>
      <w:r>
        <w:rPr>
          <w:lang w:val="en_US" w:bidi="en_US"/>
        </w:rPr>
        <w:t xml:space="preserve"> The Greek verb phrase that the BSB translates as </w:t>
      </w:r>
      <w:r>
        <w:rPr>
          <w:i/>
          <w:lang w:val="en_US" w:bidi="en_US"/>
        </w:rPr>
        <w:t>called out</w:t>
      </w:r>
      <w:r>
        <w:rPr>
          <w:lang w:val="en_US" w:bidi="en_US"/>
        </w:rPr>
        <w:t xml:space="preserve"> is literally “called saying.” The word “called” indicates that Jesus spoke in a loud voice, and the word “saying” introduces what he said. Some other ways to translate this are:</w:t>
      </w:r>
    </w:p>
    <w:p>
      <w:pPr/>
      <w:r>
        <w:rPr>
          <w:lang w:val="en_US" w:bidi="en_US"/>
        </w:rPr>
      </w:r>
      <w:r>
        <w:rPr>
          <w:lang w:val="en_US" w:bidi="en_US"/>
        </w:rPr>
        <w:t>He…spoke forcefully (NASB)</w:t>
      </w:r>
    </w:p>
    <w:p>
      <w:pPr/>
      <w:r>
        <w:rPr>
          <w:lang w:val="en_US" w:bidi="en_US"/>
        </w:rPr>
      </w:r>
      <w:r>
        <w:rPr>
          <w:lang w:val="en_US" w:bidi="en_US"/>
        </w:rPr>
        <w:t>Jesus…said in a loud voice (NLT)</w:t>
      </w:r>
    </w:p>
    <w:p>
      <w:pPr/>
      <w:r>
        <w:rPr>
          <w:lang w:val="en_US" w:bidi="en_US"/>
        </w:rPr>
      </w:r>
      <w:r>
        <w:rPr>
          <w:lang w:val="en_US" w:bidi="en_US"/>
        </w:rPr>
        <w:t>Jesus…called to her (NCV)</w:t>
      </w:r>
    </w:p>
    <w:p>
      <w:pPr/>
      <w:r>
        <w:rPr>
          <w:lang w:val="en_US" w:bidi="en_US"/>
        </w:rPr>
      </w:r>
      <w:r>
        <w:rPr>
          <w:b/>
          <w:lang w:val="en_US" w:bidi="en_US"/>
        </w:rPr>
        <w:t>Child:</w:t>
      </w:r>
      <w:r>
        <w:rPr>
          <w:lang w:val="en_US" w:bidi="en_US"/>
        </w:rPr>
        <w:t xml:space="preserve"> In the parallel passage in Mark 5:41 Jesus’ word (in another language) is translated into Greek with the meaning “little girl/lady.” Use a term of address that would be appropriate in your culture for a man kindly to address a young girl who is twelve years old.</w:t>
      </w:r>
    </w:p>
    <w:p>
      <w:pPr/>
      <w:r>
        <w:rPr>
          <w:lang w:val="en_US" w:bidi="en_US"/>
        </w:rPr>
      </w:r>
      <w:r>
        <w:rPr>
          <w:b/>
          <w:lang w:val="en_US" w:bidi="en_US"/>
        </w:rPr>
        <w:t>get up:</w:t>
      </w:r>
      <w:r>
        <w:rPr>
          <w:lang w:val="en_US" w:bidi="en_US"/>
        </w:rPr>
        <w:t xml:space="preserve"> The Greek word that the BSB translates as </w:t>
      </w:r>
      <w:r>
        <w:rPr>
          <w:i/>
          <w:lang w:val="en_US" w:bidi="en_US"/>
        </w:rPr>
        <w:t>get up</w:t>
      </w:r>
      <w:r>
        <w:rPr>
          <w:lang w:val="en_US" w:bidi="en_US"/>
        </w:rPr>
        <w:t xml:space="preserve"> can mean:</w:t>
      </w:r>
    </w:p>
    <w:p>
      <w:pPr>
        <w:pStyle w:val="ListNumber"/>
        <w:numPr>
          <w:ilvl w:val="0"/>
          <w:numId w:val="185"/>
        </w:numPr>
        <w:spacing w:line="240" w:lineRule="auto"/>
        <w:ind w:left="720"/>
      </w:pPr>
      <w:r>
        <w:rPr>
          <w:lang w:val="en_US" w:bidi="en_US"/>
        </w:rPr>
      </w:r>
      <w:r>
        <w:rPr>
          <w:lang w:val="en_US" w:bidi="en_US"/>
        </w:rPr>
        <w:t>stand up from a lying or sitting position;</w:t>
      </w:r>
    </w:p>
    <w:p>
      <w:pPr>
        <w:pStyle w:val="ListNumber"/>
        <w:spacing w:line="240" w:lineRule="auto"/>
        <w:ind w:left="720"/>
      </w:pPr>
      <w:r>
        <w:rPr>
          <w:lang w:val="en_US" w:bidi="en_US"/>
        </w:rPr>
      </w:r>
      <w:r>
        <w:rPr>
          <w:lang w:val="en_US" w:bidi="en_US"/>
        </w:rPr>
        <w:t>wake up from sleep;</w:t>
      </w:r>
    </w:p>
    <w:p>
      <w:pPr>
        <w:pStyle w:val="ListNumber"/>
        <w:spacing w:line="240" w:lineRule="auto"/>
        <w:ind w:left="720"/>
      </w:pPr>
      <w:r>
        <w:rPr>
          <w:lang w:val="en_US" w:bidi="en_US"/>
        </w:rPr>
      </w:r>
      <w:r>
        <w:rPr>
          <w:lang w:val="en_US" w:bidi="en_US"/>
        </w:rPr>
        <w:t>live again after being dead.</w:t>
      </w:r>
    </w:p>
    <w:p>
      <w:pPr/>
      <w:r>
        <w:rPr>
          <w:lang w:val="en_US" w:bidi="en_US"/>
        </w:rPr>
      </w:r>
      <w:r>
        <w:rPr>
          <w:lang w:val="en_US" w:bidi="en_US"/>
        </w:rPr>
        <w:t>Option (c) is the clearest in this context. It emphasizes that Jesus was telling a dead person to live again. This is important in cultures where the other options might imply that the girl was not really dead, but asleep (8:52). However, option (a) is appropriate when it implies that the girl had been dead, as well as lying down. Some languages may have a word like the English word “rise” that can be used for all three meanings. If that is true in your language, it may be a good choice here.</w:t>
      </w:r>
      <w:r>
        <w:rPr>
          <w:lang w:val="en_US" w:bidi="en_US"/>
        </w:rPr>
      </w:r>
      <w:r>
        <w:rPr>
          <w:lang w:val="en_US" w:bidi="en_US"/>
        </w:rPr>
      </w:r>
    </w:p>
    <w:p>
      <w:pPr/>
      <w:r>
        <w:rPr>
          <w:lang w:val="en_US" w:bidi="en_US"/>
        </w:rPr>
      </w:r>
    </w:p>
    <w:p>
      <w:pPr>
        <w:pStyle w:val="Heading2"/>
      </w:pPr>
      <w:r>
        <w:rPr>
          <w:lang w:val="en_US" w:bidi="en_US"/>
        </w:rPr>
        <w:t>Luke 8:55</w:t>
      </w:r>
      <w:r>
        <w:rPr>
          <w:lang w:val="en_US" w:bidi="en_US"/>
        </w:rPr>
      </w:r>
    </w:p>
    <w:p>
      <w:pPr>
        <w:pStyle w:val="Heading4"/>
      </w:pPr>
      <w:r>
        <w:rPr>
          <w:lang w:val="en_US" w:bidi="en_US"/>
        </w:rPr>
        <w:t>Section 8:40–56: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pPr/>
      <w:r>
        <w:rPr>
          <w:lang w:val="en_US" w:bidi="en_US"/>
        </w:rPr>
      </w:r>
      <w:r>
        <w:rPr>
          <w:lang w:val="en_US" w:bidi="en_US"/>
        </w:rP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pPr/>
      <w:r>
        <w:rPr>
          <w:lang w:val="en_US" w:bidi="en_US"/>
        </w:rPr>
      </w:r>
      <w:r>
        <w:rPr>
          <w:lang w:val="en_US" w:bidi="en_US"/>
        </w:rPr>
        <w:t>Another important theme in this section is faith. Jesus said that the woman who was bleeding was healed because she believed that Jesus could heal her. Then he encouraged Jairus to keep believing that God could make his daughter well, even after she had died.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border/edge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Mark 5:21–43.</w:t>
      </w:r>
    </w:p>
    <w:p>
      <w:pPr>
        <w:pStyle w:val="Heading5"/>
      </w:pPr>
      <w:r>
        <w:rPr>
          <w:lang w:val="en_US" w:bidi="en_US"/>
        </w:rPr>
        <w:t>8:55a</w:t>
      </w:r>
    </w:p>
    <w:p>
      <w:pPr/>
      <w:r>
        <w:rPr>
          <w:lang w:val="en_US" w:bidi="en_US"/>
        </w:rPr>
      </w:r>
      <w:r>
        <w:rPr>
          <w:b/>
          <w:lang w:val="en_US" w:bidi="en_US"/>
        </w:rPr>
        <w:t>Her spirit returned, and at once she got up.</w:t>
      </w:r>
    </w:p>
    <w:p>
      <w:pPr>
        <w:pStyle w:val="ListBullet"/>
        <w:spacing w:line="240" w:lineRule="auto"/>
        <w:ind w:left="720"/>
      </w:pPr>
      <w:r>
        <w:rPr>
          <w:lang w:val="en_US" w:bidi="en_US"/>
        </w:rPr>
      </w:r>
      <w:r>
        <w:rPr>
          <w:lang w:val="en_US" w:bidi="en_US"/>
        </w:rPr>
        <w:t>The girl’s breath/life came back to her, and immediately she stood up!</w:t>
      </w:r>
    </w:p>
    <w:p>
      <w:pPr>
        <w:pStyle w:val="ListBullet"/>
        <w:spacing w:line="240" w:lineRule="auto"/>
        <w:ind w:left="720"/>
      </w:pPr>
      <w:r>
        <w:rPr>
          <w:lang w:val="en_US" w:bidi="en_US"/>
        </w:rPr>
      </w:r>
      <w:r>
        <w:rPr>
          <w:lang w:val="en_US" w:bidi="en_US"/>
        </w:rPr>
        <w:t>She became alive again and got up right then!</w:t>
      </w:r>
    </w:p>
    <w:p>
      <w:pPr/>
      <w:r>
        <w:rPr>
          <w:lang w:val="en_US" w:bidi="en_US"/>
        </w:rPr>
      </w:r>
      <w:r>
        <w:rPr>
          <w:b/>
          <w:lang w:val="en_US" w:bidi="en_US"/>
        </w:rPr>
        <w:t>Her spirit returned:</w:t>
      </w:r>
      <w:r>
        <w:rPr>
          <w:lang w:val="en_US" w:bidi="en_US"/>
        </w:rPr>
        <w:t xml:space="preserve"> The Greek expression that the BSB translates as </w:t>
      </w:r>
      <w:r>
        <w:rPr>
          <w:i/>
          <w:lang w:val="en_US" w:bidi="en_US"/>
        </w:rPr>
        <w:t>Her spirit returned</w:t>
      </w:r>
      <w:r>
        <w:rPr>
          <w:lang w:val="en_US" w:bidi="en_US"/>
        </w:rPr>
        <w:t xml:space="preserve"> means that the girl came back to life. Her spirit had left her body when she died, but it now returned to her, and she lived again.</w:t>
      </w:r>
    </w:p>
    <w:p>
      <w:pPr/>
      <w:r>
        <w:rPr>
          <w:lang w:val="en_US" w:bidi="en_US"/>
        </w:rPr>
      </w:r>
      <w:r>
        <w:rPr>
          <w:lang w:val="en_US" w:bidi="en_US"/>
        </w:rPr>
        <w:t>Many languages have an expression that refers to a person’s life or spirit leaving the body when he or she dies. In those languages you may be able to use a similar expression to describe coming back to life. For example:</w:t>
      </w:r>
    </w:p>
    <w:p>
      <w:pPr/>
      <w:r>
        <w:rPr>
          <w:lang w:val="en_US" w:bidi="en_US"/>
        </w:rPr>
      </w:r>
      <w:r>
        <w:rPr>
          <w:lang w:val="en_US" w:bidi="en_US"/>
        </w:rPr>
        <w:t>her spirit/soul returned</w:t>
      </w:r>
    </w:p>
    <w:p>
      <w:pPr/>
      <w:r>
        <w:rPr>
          <w:lang w:val="en_US" w:bidi="en_US"/>
        </w:rPr>
      </w:r>
      <w:r>
        <w:rPr>
          <w:lang w:val="en_US" w:bidi="en_US"/>
        </w:rPr>
        <w:t>her breath returned</w:t>
      </w:r>
    </w:p>
    <w:p>
      <w:pPr/>
      <w:r>
        <w:rPr>
          <w:lang w:val="en_US" w:bidi="en_US"/>
        </w:rPr>
      </w:r>
      <w:r>
        <w:rPr>
          <w:lang w:val="en_US" w:bidi="en_US"/>
        </w:rPr>
        <w:t>her life returned</w:t>
      </w:r>
    </w:p>
    <w:p>
      <w:pPr/>
      <w:r>
        <w:rPr>
          <w:lang w:val="en_US" w:bidi="en_US"/>
        </w:rPr>
      </w:r>
      <w:r>
        <w:rPr>
          <w:lang w:val="en_US" w:bidi="en_US"/>
        </w:rPr>
        <w:t xml:space="preserve">In some languages, the expression </w:t>
      </w:r>
      <w:r>
        <w:rPr>
          <w:i/>
          <w:lang w:val="en_US" w:bidi="en_US"/>
        </w:rPr>
        <w:t>Her spirit returned</w:t>
      </w:r>
      <w:r>
        <w:rPr>
          <w:lang w:val="en_US" w:bidi="en_US"/>
        </w:rPr>
        <w:t xml:space="preserve"> may have a different meaning such as “she became strong/courageous again.” If this is true in your language, you may want to say plainly:</w:t>
      </w:r>
    </w:p>
    <w:p>
      <w:pPr/>
      <w:r>
        <w:rPr>
          <w:lang w:val="en_US" w:bidi="en_US"/>
        </w:rPr>
      </w:r>
      <w:r>
        <w:rPr>
          <w:lang w:val="en_US" w:bidi="en_US"/>
        </w:rPr>
        <w:t>She came back to life (CEV)</w:t>
      </w:r>
    </w:p>
    <w:p>
      <w:pPr>
        <w:pStyle w:val="Heading5"/>
      </w:pPr>
      <w:r>
        <w:rPr>
          <w:lang w:val="en_US" w:bidi="en_US"/>
        </w:rPr>
        <w:t>8:55b</w:t>
      </w:r>
    </w:p>
    <w:p>
      <w:pPr/>
      <w:r>
        <w:rPr>
          <w:lang w:val="en_US" w:bidi="en_US"/>
        </w:rPr>
      </w:r>
      <w:r>
        <w:rPr>
          <w:b/>
          <w:lang w:val="en_US" w:bidi="en_US"/>
        </w:rPr>
        <w:t>And He directed that she be given something to eat.</w:t>
      </w:r>
    </w:p>
    <w:p>
      <w:pPr>
        <w:pStyle w:val="ListBullet"/>
        <w:spacing w:line="240" w:lineRule="auto"/>
        <w:ind w:left="720"/>
      </w:pPr>
      <w:r>
        <w:rPr>
          <w:lang w:val="en_US" w:bidi="en_US"/>
        </w:rPr>
      </w:r>
      <w:r>
        <w:rPr>
          <w:lang w:val="en_US" w:bidi="en_US"/>
        </w:rPr>
        <w:t>He ordered that something be given to her to eat.</w:t>
      </w:r>
    </w:p>
    <w:p>
      <w:pPr>
        <w:pStyle w:val="ListBullet"/>
        <w:spacing w:line="240" w:lineRule="auto"/>
        <w:ind w:left="720"/>
      </w:pPr>
      <w:r>
        <w:rPr>
          <w:lang w:val="en_US" w:bidi="en_US"/>
        </w:rPr>
      </w:r>
      <w:r>
        <w:rPr>
          <w:lang w:val="en_US" w:bidi="en_US"/>
        </w:rPr>
        <w:t xml:space="preserve">He ordered </w:t>
      </w:r>
      <w:r>
        <w:rPr>
          <w:lang w:val="en_US" w:bidi="en_US"/>
        </w:rPr>
        <w:t>the parents</w:t>
      </w:r>
      <w:r>
        <w:rPr>
          <w:lang w:val="en_US" w:bidi="en_US"/>
        </w:rPr>
        <w:t xml:space="preserve"> to bring her some food.</w:t>
      </w:r>
    </w:p>
    <w:p>
      <w:pPr>
        <w:pStyle w:val="ListBullet"/>
        <w:spacing w:line="240" w:lineRule="auto"/>
        <w:ind w:left="720"/>
      </w:pPr>
      <w:r>
        <w:rPr>
          <w:lang w:val="en_US" w:bidi="en_US"/>
        </w:rPr>
      </w:r>
      <w:r>
        <w:rPr>
          <w:lang w:val="en_US" w:bidi="en_US"/>
        </w:rPr>
        <w:t>And/Then Jesus said, “Give</w:t>
      </w:r>
      <w:r>
        <w:rPr>
          <w:vertAlign w:val="superscript"/>
          <w:lang w:val="en_US" w:bidi="en_US"/>
        </w:rPr>
        <w:t>(plur)</w:t>
      </w:r>
      <w:r>
        <w:rPr>
          <w:lang w:val="en_US" w:bidi="en_US"/>
        </w:rPr>
        <w:t xml:space="preserve"> her something to eat.”</w:t>
      </w:r>
    </w:p>
    <w:p>
      <w:pPr/>
      <w:r>
        <w:rPr>
          <w:lang w:val="en_US" w:bidi="en_US"/>
        </w:rPr>
      </w:r>
      <w:r>
        <w:rPr>
          <w:b/>
          <w:lang w:val="en_US" w:bidi="en_US"/>
        </w:rPr>
        <w:t>And He directed that she be given something to eat:</w:t>
      </w:r>
      <w:r>
        <w:rPr>
          <w:lang w:val="en_US" w:bidi="en_US"/>
        </w:rPr>
        <w:t xml:space="preserve"> The Greek verb that the BSB translates as </w:t>
      </w:r>
      <w:r>
        <w:rPr>
          <w:i/>
          <w:lang w:val="en_US" w:bidi="en_US"/>
        </w:rPr>
        <w:t>be given</w:t>
      </w:r>
      <w:r>
        <w:rPr>
          <w:lang w:val="en_US" w:bidi="en_US"/>
        </w:rPr>
        <w:t xml:space="preserve"> is passive. Some ways to translate this verb are:</w:t>
      </w:r>
    </w:p>
    <w:p>
      <w:pPr>
        <w:pStyle w:val="ListBullet"/>
        <w:spacing w:line="240" w:lineRule="auto"/>
        <w:ind w:left="720"/>
      </w:pPr>
      <w:r>
        <w:rPr>
          <w:lang w:val="en_US" w:bidi="en_US"/>
        </w:rPr>
      </w:r>
      <w:r>
        <w:rPr>
          <w:lang w:val="en_US" w:bidi="en_US"/>
        </w:rPr>
        <w:t>As a passive verb. For example:</w:t>
      </w:r>
      <w:r>
        <w:rPr>
          <w:lang w:val="en_US" w:bidi="en_US"/>
        </w:rPr>
        <w:t>He ordered that something be given to her to eat.</w:t>
      </w:r>
      <w:r>
        <w:rPr>
          <w:lang w:val="en_US" w:bidi="en_US"/>
        </w:rPr>
        <w:t>Jesus ordered food to be given to her. (JBP)</w:t>
      </w:r>
    </w:p>
    <w:p>
      <w:pPr>
        <w:pStyle w:val="ListBullet"/>
        <w:spacing w:line="240" w:lineRule="auto"/>
        <w:ind w:left="720"/>
      </w:pPr>
      <w:r>
        <w:rPr>
          <w:lang w:val="en_US" w:bidi="en_US"/>
        </w:rPr>
      </w:r>
      <w:r>
        <w:rPr>
          <w:lang w:val="en_US" w:bidi="en_US"/>
        </w:rPr>
        <w:t>As an active verb. The Greek text does not say to whom Jesus spoke. Jesus probably gave this instruction to the parents or to the mother. The parents may have called a servant to bring food for their daughter. For example:</w:t>
      </w:r>
      <w:r>
        <w:rPr>
          <w:lang w:val="en_US" w:bidi="en_US"/>
        </w:rPr>
        <w:t>He ordered her parents to give her something to eat. (GW)</w:t>
      </w:r>
      <w:r>
        <w:rPr>
          <w:lang w:val="en_US" w:bidi="en_US"/>
        </w:rPr>
        <w:t>He ordered that someone should give her something to eat.</w:t>
      </w:r>
    </w:p>
    <w:p>
      <w:pPr/>
      <w:r>
        <w:rPr>
          <w:lang w:val="en_US" w:bidi="en_US"/>
        </w:rPr>
      </w:r>
      <w:r>
        <w:rPr>
          <w:lang w:val="en_US" w:bidi="en_US"/>
        </w:rPr>
        <w:t>In some languages it may be more natural to use direct speech here. For example:</w:t>
      </w:r>
    </w:p>
    <w:p>
      <w:pPr/>
      <w:r>
        <w:rPr>
          <w:lang w:val="en_US" w:bidi="en_US"/>
        </w:rPr>
      </w:r>
      <w:r>
        <w:rPr>
          <w:lang w:val="en_US" w:bidi="en_US"/>
        </w:rPr>
        <w:t>…and he said, “Give her something to eat.”</w:t>
      </w:r>
    </w:p>
    <w:p>
      <w:pPr/>
      <w:r>
        <w:rPr>
          <w:lang w:val="en_US" w:bidi="en_US"/>
        </w:rPr>
      </w:r>
      <w:r>
        <w:rPr>
          <w:lang w:val="en_US" w:bidi="en_US"/>
        </w:rPr>
        <w:t xml:space="preserve">…and he told </w:t>
      </w:r>
      <w:r>
        <w:rPr>
          <w:lang w:val="en_US" w:bidi="en_US"/>
        </w:rPr>
        <w:t>the parents</w:t>
      </w:r>
      <w:r>
        <w:rPr>
          <w:lang w:val="en_US" w:bidi="en_US"/>
        </w:rPr>
        <w:t>, “Cause some food to be given to her so that she may eat.”</w:t>
      </w:r>
      <w:r>
        <w:rPr>
          <w:lang w:val="en_US" w:bidi="en_US"/>
        </w:rPr>
      </w:r>
      <w:r>
        <w:rPr>
          <w:lang w:val="en_US" w:bidi="en_US"/>
        </w:rPr>
      </w:r>
    </w:p>
    <w:p>
      <w:pPr/>
      <w:r>
        <w:rPr>
          <w:lang w:val="en_US" w:bidi="en_US"/>
        </w:rPr>
      </w:r>
    </w:p>
    <w:p>
      <w:pPr>
        <w:pStyle w:val="Heading2"/>
      </w:pPr>
      <w:r>
        <w:rPr>
          <w:lang w:val="en_US" w:bidi="en_US"/>
        </w:rPr>
        <w:t>Luke 8:56</w:t>
      </w:r>
      <w:r>
        <w:rPr>
          <w:lang w:val="en_US" w:bidi="en_US"/>
        </w:rPr>
      </w:r>
    </w:p>
    <w:p>
      <w:pPr>
        <w:pStyle w:val="Heading4"/>
      </w:pPr>
      <w:r>
        <w:rPr>
          <w:lang w:val="en_US" w:bidi="en_US"/>
        </w:rPr>
        <w:t>Section 8:40–56: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menstrual bleeding. The story about this woman is told in the middle of the story about a dead girl whom Jesus caused to live again. The situation was hopeless for both until Jesus miraculously helped them. His miracles showed the special power and authority that God had given to him as the Messiah.</w:t>
      </w:r>
    </w:p>
    <w:p>
      <w:pPr/>
      <w:r>
        <w:rPr>
          <w:lang w:val="en_US" w:bidi="en_US"/>
        </w:rPr>
      </w:r>
      <w:r>
        <w:rPr>
          <w:lang w:val="en_US" w:bidi="en_US"/>
        </w:rPr>
        <w:t>These stories include the concept of uncleanness,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Jesus did not become unclean himself when he touched them. Instead, he made them ritually clean by making them well.</w:t>
      </w:r>
    </w:p>
    <w:p>
      <w:pPr/>
      <w:r>
        <w:rPr>
          <w:lang w:val="en_US" w:bidi="en_US"/>
        </w:rPr>
      </w:r>
      <w:r>
        <w:rPr>
          <w:lang w:val="en_US" w:bidi="en_US"/>
        </w:rPr>
        <w:t>Another important theme in this section is faith. Jesus said that the woman who was bleeding was healed because she believed that Jesus could heal her. Then he encouraged Jairus to keep believing that God could make his daughter well, even after she had died.</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border/edge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Mark 5:21–43.</w:t>
      </w:r>
    </w:p>
    <w:p>
      <w:pPr>
        <w:pStyle w:val="Heading5"/>
      </w:pPr>
      <w:r>
        <w:rPr>
          <w:lang w:val="en_US" w:bidi="en_US"/>
        </w:rPr>
        <w:t>8:56a</w:t>
      </w:r>
    </w:p>
    <w:p>
      <w:pPr/>
      <w:r>
        <w:rPr>
          <w:lang w:val="en_US" w:bidi="en_US"/>
        </w:rPr>
      </w:r>
      <w:r>
        <w:rPr>
          <w:b/>
          <w:lang w:val="en_US" w:bidi="en_US"/>
        </w:rPr>
        <w:t>Her parents were astounded,</w:t>
      </w:r>
    </w:p>
    <w:p>
      <w:pPr>
        <w:pStyle w:val="ListBullet"/>
        <w:spacing w:line="240" w:lineRule="auto"/>
        <w:ind w:left="720"/>
      </w:pPr>
      <w:r>
        <w:rPr>
          <w:lang w:val="en_US" w:bidi="en_US"/>
        </w:rPr>
      </w:r>
      <w:r>
        <w:rPr>
          <w:lang w:val="en_US" w:bidi="en_US"/>
        </w:rPr>
        <w:t>The girl’s mother and father were amazed,</w:t>
      </w:r>
    </w:p>
    <w:p>
      <w:pPr/>
      <w:r>
        <w:rPr>
          <w:lang w:val="en_US" w:bidi="en_US"/>
        </w:rPr>
      </w:r>
      <w:r>
        <w:rPr>
          <w:b/>
          <w:lang w:val="en_US" w:bidi="en_US"/>
        </w:rPr>
        <w:t>Her parents were astounded:</w:t>
      </w:r>
      <w:r>
        <w:rPr>
          <w:lang w:val="en_US" w:bidi="en_US"/>
        </w:rPr>
        <w:t xml:space="preserve"> The Greek verb that the BSB translates as </w:t>
      </w:r>
      <w:r>
        <w:rPr>
          <w:i/>
          <w:lang w:val="en_US" w:bidi="en_US"/>
        </w:rPr>
        <w:t>were astounded</w:t>
      </w:r>
      <w:r>
        <w:rPr>
          <w:lang w:val="en_US" w:bidi="en_US"/>
        </w:rPr>
        <w:t xml:space="preserve"> describes a feeling of surprise mixed with fear or awe. The girl’s parents were surprised and awed by the miracle that Jesus had just done. Translate it with an expression in your language that could describe how people would feel if they saw someone raised from the dead. You may have an idiom for this.</w:t>
      </w:r>
    </w:p>
    <w:p>
      <w:pPr>
        <w:pStyle w:val="Heading5"/>
      </w:pPr>
      <w:r>
        <w:rPr>
          <w:lang w:val="en_US" w:bidi="en_US"/>
        </w:rPr>
        <w:t>8:56b</w:t>
      </w:r>
    </w:p>
    <w:p>
      <w:pPr/>
      <w:r>
        <w:rPr>
          <w:lang w:val="en_US" w:bidi="en_US"/>
        </w:rPr>
      </w:r>
      <w:r>
        <w:rPr>
          <w:b/>
          <w:lang w:val="en_US" w:bidi="en_US"/>
        </w:rPr>
        <w:t>but Jesus ordered them not to tell anyone what had happened.</w:t>
      </w:r>
    </w:p>
    <w:p>
      <w:pPr>
        <w:pStyle w:val="ListBullet"/>
        <w:spacing w:line="240" w:lineRule="auto"/>
        <w:ind w:left="720"/>
      </w:pPr>
      <w:r>
        <w:rPr>
          <w:lang w:val="en_US" w:bidi="en_US"/>
        </w:rPr>
      </w:r>
      <w:r>
        <w:rPr>
          <w:lang w:val="en_US" w:bidi="en_US"/>
        </w:rPr>
        <w:t>but Jesus commanded them not to tell other people about what had happened.</w:t>
      </w:r>
    </w:p>
    <w:p>
      <w:pPr>
        <w:pStyle w:val="ListBullet"/>
        <w:spacing w:line="240" w:lineRule="auto"/>
        <w:ind w:left="720"/>
      </w:pPr>
      <w:r>
        <w:rPr>
          <w:lang w:val="en_US" w:bidi="en_US"/>
        </w:rPr>
      </w:r>
      <w:r>
        <w:rPr>
          <w:lang w:val="en_US" w:bidi="en_US"/>
        </w:rPr>
        <w:t>He told them, “Do not tell</w:t>
      </w:r>
      <w:r>
        <w:rPr>
          <w:vertAlign w:val="superscript"/>
          <w:lang w:val="en_US" w:bidi="en_US"/>
        </w:rPr>
        <w:t>(plur)</w:t>
      </w:r>
      <w:r>
        <w:rPr>
          <w:lang w:val="en_US" w:bidi="en_US"/>
        </w:rPr>
        <w:t xml:space="preserve"> anyone what has happened.”</w:t>
      </w:r>
    </w:p>
    <w:p>
      <w:pPr>
        <w:pStyle w:val="ListBullet"/>
        <w:spacing w:line="240" w:lineRule="auto"/>
        <w:ind w:left="720"/>
      </w:pPr>
      <w:r>
        <w:rPr>
          <w:lang w:val="en_US" w:bidi="en_US"/>
        </w:rPr>
      </w:r>
      <w:r>
        <w:rPr>
          <w:lang w:val="en_US" w:bidi="en_US"/>
        </w:rPr>
        <w:t>Then</w:t>
      </w:r>
      <w:r>
        <w:rPr>
          <w:lang w:val="en_US" w:bidi="en_US"/>
        </w:rPr>
        <w:t xml:space="preserve"> Jesus warned </w:t>
      </w:r>
      <w:r>
        <w:rPr>
          <w:lang w:val="en_US" w:bidi="en_US"/>
        </w:rPr>
        <w:t>the parents</w:t>
      </w:r>
      <w:r>
        <w:rPr>
          <w:lang w:val="en_US" w:bidi="en_US"/>
        </w:rPr>
        <w:t xml:space="preserve"> not to spread the news </w:t>
      </w:r>
      <w:r>
        <w:rPr>
          <w:lang w:val="en_US" w:bidi="en_US"/>
        </w:rPr>
        <w:t>that he had raised the girl from the dead</w:t>
      </w:r>
      <w:r>
        <w:rPr>
          <w:lang w:val="en_US" w:bidi="en_US"/>
        </w:rPr>
        <w:t>.</w:t>
      </w:r>
    </w:p>
    <w:p>
      <w:pPr/>
      <w:r>
        <w:rPr>
          <w:lang w:val="en_US" w:bidi="en_US"/>
        </w:rPr>
      </w:r>
      <w:r>
        <w:rPr>
          <w:b/>
          <w:lang w:val="en_US" w:bidi="en_US"/>
        </w:rPr>
        <w:t>but:</w:t>
      </w:r>
      <w:r>
        <w:rPr>
          <w:lang w:val="en_US" w:bidi="en_US"/>
        </w:rPr>
        <w:t xml:space="preserve"> Most English versions begin this verse with the conjunction </w:t>
      </w:r>
      <w:r>
        <w:rPr>
          <w:i/>
          <w:lang w:val="en_US" w:bidi="en_US"/>
        </w:rPr>
        <w:t>but</w:t>
      </w:r>
      <w:r>
        <w:rPr>
          <w:lang w:val="en_US" w:bidi="en_US"/>
        </w:rPr>
        <w:t xml:space="preserve"> to show contrast with 8:56a. The parents’ astonishment in 8:56a would naturally cause them to want to tell people that Jesus had raised their daughter from the dead. However, Jesus commanded the parents not to tell other people. Connect 8:56b to 8:56a in a way that naturally fits this context in your language.</w:t>
      </w:r>
    </w:p>
    <w:p>
      <w:pPr/>
      <w:r>
        <w:rPr>
          <w:lang w:val="en_US" w:bidi="en_US"/>
        </w:rPr>
      </w:r>
      <w:r>
        <w:rPr>
          <w:b/>
          <w:lang w:val="en_US" w:bidi="en_US"/>
        </w:rPr>
        <w:t>Jesus ordered them not to tell anyone what had happened:</w:t>
      </w:r>
      <w:r>
        <w:rPr>
          <w:lang w:val="en_US" w:bidi="en_US"/>
        </w:rPr>
        <w:t xml:space="preserve"> See the note on 5:14a, where Jesus gave the same kind of command to the leper whom he had healed.</w:t>
      </w:r>
    </w:p>
    <w:p>
      <w:pPr/>
      <w:r>
        <w:rPr>
          <w:lang w:val="en_US" w:bidi="en_US"/>
        </w:rPr>
      </w:r>
      <w:r>
        <w:rPr>
          <w:lang w:val="en_US" w:bidi="en_US"/>
        </w:rPr>
        <w:t>In some languages it may be natural to translate this as direct speech:</w:t>
      </w:r>
    </w:p>
    <w:p>
      <w:pPr/>
      <w:r>
        <w:rPr>
          <w:lang w:val="en_US" w:bidi="en_US"/>
        </w:rPr>
      </w:r>
      <w:r>
        <w:rPr>
          <w:lang w:val="en_US" w:bidi="en_US"/>
        </w:rPr>
        <w:t>he ordered them, “Do not tell anyone what has happened.”</w:t>
      </w:r>
    </w:p>
    <w:p>
      <w:pPr/>
      <w:r>
        <w:rPr>
          <w:lang w:val="en_US" w:bidi="en_US"/>
        </w:rPr>
      </w:r>
      <w:r>
        <w:rPr>
          <w:lang w:val="en_US" w:bidi="en_US"/>
        </w:rPr>
        <w:t xml:space="preserve">Jesus commanded them, “You must not spread the news to other people </w:t>
      </w:r>
      <w:r>
        <w:rPr>
          <w:lang w:val="en_US" w:bidi="en_US"/>
        </w:rPr>
        <w:t>that I caused your daughter to live again</w:t>
      </w:r>
      <w:r>
        <w:rPr>
          <w:lang w:val="en_US" w:bidi="en_US"/>
        </w:rPr>
        <w:t>!”</w:t>
      </w:r>
      <w:r>
        <w:rPr>
          <w:lang w:val="en_US" w:bidi="en_US"/>
        </w:rPr>
      </w:r>
      <w:r>
        <w:rPr>
          <w:lang w:val="en_US" w:bidi="en_US"/>
        </w:rPr>
      </w:r>
    </w:p>
    <w:p>
      <w:pPr/>
      <w:r>
        <w:rPr>
          <w:lang w:val="en_US" w:bidi="en_US"/>
        </w:rPr>
      </w:r>
    </w:p>
    <w:p>
      <w:pPr>
        <w:pStyle w:val="Heading2"/>
      </w:pPr>
      <w:r>
        <w:rPr>
          <w:lang w:val="en_US" w:bidi="en_US"/>
        </w:rPr>
        <w:t>Luke 9:1</w:t>
      </w:r>
      <w:r>
        <w:rPr>
          <w:lang w:val="en_US" w:bidi="en_US"/>
        </w:rPr>
      </w:r>
    </w:p>
    <w:p>
      <w:pPr>
        <w:pStyle w:val="Heading4"/>
      </w:pPr>
      <w:r>
        <w:rPr>
          <w:lang w:val="en_US" w:bidi="en_US"/>
        </w:rPr>
        <w:t>Section 9:1–6: Jesus sent his twelve apostles to preach and heal people</w:t>
      </w:r>
    </w:p>
    <w:p>
      <w:pPr/>
      <w:r>
        <w:rPr>
          <w:lang w:val="en_US" w:bidi="en_US"/>
        </w:rPr>
      </w:r>
      <w:r>
        <w:rPr>
          <w:lang w:val="en_US" w:bidi="en_US"/>
        </w:rPr>
        <w:t>Jesus sent his twelve apostles to different towns to preach about God’s kingdom, to heal people, and to cast out demons. He gave them instructions about the trip (9:3), about where they should stay (9:4), and about what to do when people did not welcome them (9:5).</w:t>
      </w:r>
    </w:p>
    <w:p>
      <w:pPr/>
      <w:r>
        <w:rPr>
          <w:lang w:val="en_US" w:bidi="en_US"/>
        </w:rPr>
      </w:r>
      <w:r>
        <w:rPr>
          <w:lang w:val="en_US" w:bidi="en_US"/>
        </w:rPr>
        <w:t>It is good to translate this section before you decide on a heading for it. Another heading for this section is:</w:t>
      </w:r>
    </w:p>
    <w:p>
      <w:pPr/>
      <w:r>
        <w:rPr>
          <w:lang w:val="en_US" w:bidi="en_US"/>
        </w:rPr>
      </w:r>
      <w:r>
        <w:rPr>
          <w:lang w:val="en_US" w:bidi="en_US"/>
        </w:rPr>
        <w:t>Jesus sent out the twelve apostles/disciples</w:t>
      </w:r>
    </w:p>
    <w:p>
      <w:pPr/>
      <w:r>
        <w:rPr>
          <w:lang w:val="en_US" w:bidi="en_US"/>
        </w:rPr>
      </w:r>
      <w:r>
        <w:rPr>
          <w:lang w:val="en_US" w:bidi="en_US"/>
        </w:rPr>
        <w:t>The Sending of the Twelve Apostles (NET)</w:t>
      </w:r>
    </w:p>
    <w:p>
      <w:pPr/>
      <w:r>
        <w:rPr>
          <w:lang w:val="en_US" w:bidi="en_US"/>
        </w:rPr>
      </w:r>
      <w:r>
        <w:rPr>
          <w:lang w:val="en_US" w:bidi="en_US"/>
        </w:rPr>
        <w:t>There are parallel passages for this section in Matthew 9:35, 10:5–15, and Mark 6:6–13.</w:t>
      </w:r>
    </w:p>
    <w:p>
      <w:pPr>
        <w:pStyle w:val="Heading5"/>
      </w:pPr>
      <w:r>
        <w:rPr>
          <w:lang w:val="en_US" w:bidi="en_US"/>
        </w:rPr>
        <w:t>9:1a</w:t>
      </w:r>
    </w:p>
    <w:p>
      <w:pPr/>
      <w:r>
        <w:rPr>
          <w:lang w:val="en_US" w:bidi="en_US"/>
        </w:rPr>
      </w:r>
      <w:r>
        <w:rPr>
          <w:b/>
          <w:lang w:val="en_US" w:bidi="en_US"/>
        </w:rPr>
        <w:t>Then Jesus called the Twelve together</w:t>
      </w:r>
    </w:p>
    <w:p>
      <w:pPr>
        <w:pStyle w:val="ListBullet"/>
        <w:spacing w:line="240" w:lineRule="auto"/>
        <w:ind w:left="720"/>
      </w:pPr>
      <w:r>
        <w:rPr>
          <w:lang w:val="en_US" w:bidi="en_US"/>
        </w:rPr>
      </w:r>
      <w:r>
        <w:rPr>
          <w:lang w:val="en_US" w:bidi="en_US"/>
        </w:rPr>
        <w:t xml:space="preserve">¶ After calling together the twelve </w:t>
      </w:r>
      <w:r>
        <w:rPr>
          <w:lang w:val="en_US" w:bidi="en_US"/>
        </w:rPr>
        <w:t>apostles/disciples</w:t>
      </w:r>
      <w:r>
        <w:rPr>
          <w:lang w:val="en_US" w:bidi="en_US"/>
        </w:rPr>
        <w:t>,</w:t>
      </w:r>
    </w:p>
    <w:p>
      <w:pPr>
        <w:pStyle w:val="ListBullet"/>
        <w:spacing w:line="240" w:lineRule="auto"/>
        <w:ind w:left="720"/>
      </w:pPr>
      <w:r>
        <w:rPr>
          <w:lang w:val="en_US" w:bidi="en_US"/>
        </w:rPr>
      </w:r>
      <w:r>
        <w:rPr>
          <w:lang w:val="en_US" w:bidi="en_US"/>
        </w:rPr>
        <w:t xml:space="preserve">¶ Jesus summoned his twelve </w:t>
      </w:r>
      <w:r>
        <w:rPr>
          <w:lang w:val="en_US" w:bidi="en_US"/>
        </w:rPr>
        <w:t>disciples</w:t>
      </w:r>
      <w:r>
        <w:rPr>
          <w:lang w:val="en_US" w:bidi="en_US"/>
        </w:rPr>
        <w:t xml:space="preserve"> to come </w:t>
      </w:r>
      <w:r>
        <w:rPr>
          <w:lang w:val="en_US" w:bidi="en_US"/>
        </w:rPr>
        <w:t>to him</w:t>
      </w:r>
      <w:r>
        <w:rPr>
          <w:lang w:val="en_US" w:bidi="en_US"/>
        </w:rPr>
        <w:t>, and</w:t>
      </w:r>
    </w:p>
    <w:p>
      <w:pPr>
        <w:pStyle w:val="ListBullet"/>
        <w:spacing w:line="240" w:lineRule="auto"/>
        <w:ind w:left="720"/>
      </w:pPr>
      <w:r>
        <w:rPr>
          <w:lang w:val="en_US" w:bidi="en_US"/>
        </w:rPr>
      </w:r>
      <w:r>
        <w:rPr>
          <w:lang w:val="en_US" w:bidi="en_US"/>
        </w:rPr>
        <w:t xml:space="preserve">¶ Jesus caused his twelve </w:t>
      </w:r>
      <w:r>
        <w:rPr>
          <w:lang w:val="en_US" w:bidi="en_US"/>
        </w:rPr>
        <w:t>apostles</w:t>
      </w:r>
      <w:r>
        <w:rPr>
          <w:lang w:val="en_US" w:bidi="en_US"/>
        </w:rPr>
        <w:t xml:space="preserve"> to gather </w:t>
      </w:r>
      <w:r>
        <w:rPr>
          <w:lang w:val="en_US" w:bidi="en_US"/>
        </w:rPr>
        <w:t>before him</w:t>
      </w:r>
      <w:r>
        <w:rPr>
          <w:lang w:val="en_US" w:bidi="en_US"/>
        </w:rPr>
        <w:t xml:space="preserve">. </w:t>
      </w:r>
      <w:r>
        <w:rPr>
          <w:lang w:val="en_US" w:bidi="en_US"/>
        </w:rPr>
        <w:t>When they came,</w:t>
      </w:r>
    </w:p>
    <w:p>
      <w:pPr/>
      <w:r>
        <w:rPr>
          <w:lang w:val="en_US" w:bidi="en_US"/>
        </w:rPr>
      </w:r>
      <w:r>
        <w:rPr>
          <w:b/>
          <w:lang w:val="en_US" w:bidi="en_US"/>
        </w:rPr>
        <w:t>Then Jesus called the Twelve together:</w:t>
      </w:r>
      <w:r>
        <w:rPr>
          <w:lang w:val="en_US" w:bidi="en_US"/>
        </w:rPr>
        <w:t xml:space="preserve"> The Greek clause that the BSB translates as </w:t>
      </w:r>
      <w:r>
        <w:rPr>
          <w:i/>
          <w:lang w:val="en_US" w:bidi="en_US"/>
        </w:rPr>
        <w:t>Then Jesus called the Twelve together</w:t>
      </w:r>
      <w:r>
        <w:rPr>
          <w:lang w:val="en_US" w:bidi="en_US"/>
        </w:rPr>
        <w:t xml:space="preserve"> is the first event in this section. Jesus called together the twelve disciples whom he had chosen as apostles. He asked them to come where he was so that he could prepare them for what he wanted them to do.</w:t>
      </w:r>
    </w:p>
    <w:p>
      <w:pPr/>
      <w:r>
        <w:rPr>
          <w:lang w:val="en_US" w:bidi="en_US"/>
        </w:rPr>
      </w:r>
      <w:r>
        <w:rPr>
          <w:lang w:val="en_US" w:bidi="en_US"/>
        </w:rPr>
        <w:t xml:space="preserve">The verb </w:t>
      </w:r>
      <w:r>
        <w:rPr>
          <w:i/>
          <w:lang w:val="en_US" w:bidi="en_US"/>
        </w:rPr>
        <w:t>called…together</w:t>
      </w:r>
      <w:r>
        <w:rPr>
          <w:lang w:val="en_US" w:bidi="en_US"/>
        </w:rPr>
        <w:t xml:space="preserve"> implies that some of the Twelve were not with him at the time. Jesus may have sent a messenger to summon them.</w:t>
      </w:r>
    </w:p>
    <w:p>
      <w:pPr/>
      <w:r>
        <w:rPr>
          <w:lang w:val="en_US" w:bidi="en_US"/>
        </w:rPr>
      </w:r>
      <w:r>
        <w:rPr>
          <w:lang w:val="en_US" w:bidi="en_US"/>
        </w:rPr>
        <w:t>Other ways to introduce this section are:</w:t>
      </w:r>
    </w:p>
    <w:p>
      <w:pPr/>
      <w:r>
        <w:rPr>
          <w:lang w:val="en_US" w:bidi="en_US"/>
        </w:rPr>
      </w:r>
      <w:r>
        <w:rPr>
          <w:lang w:val="en_US" w:bidi="en_US"/>
        </w:rPr>
        <w:t>He summoned the Twelve (NAB)</w:t>
      </w:r>
    </w:p>
    <w:p>
      <w:pPr/>
      <w:r>
        <w:rPr>
          <w:lang w:val="en_US" w:bidi="en_US"/>
        </w:rPr>
      </w:r>
      <w:r>
        <w:rPr>
          <w:lang w:val="en_US" w:bidi="en_US"/>
        </w:rPr>
        <w:t>Jesus caused the Twelve to gather/come to him. When they came, he…</w:t>
      </w:r>
    </w:p>
    <w:p>
      <w:pPr/>
      <w:r>
        <w:rPr>
          <w:lang w:val="en_US" w:bidi="en_US"/>
        </w:rPr>
      </w:r>
      <w:r>
        <w:rPr>
          <w:lang w:val="en_US" w:bidi="en_US"/>
        </w:rPr>
        <w:t>One day Jesus called together his twelve disciples (NLT)</w:t>
      </w:r>
    </w:p>
    <w:p>
      <w:pPr/>
      <w:r>
        <w:rPr>
          <w:lang w:val="en_US" w:bidi="en_US"/>
        </w:rPr>
      </w:r>
      <w:r>
        <w:rPr>
          <w:lang w:val="en_US" w:bidi="en_US"/>
        </w:rPr>
        <w:t>You should begin this story in a way that is natural in your language.</w:t>
      </w:r>
    </w:p>
    <w:p>
      <w:pPr/>
      <w:r>
        <w:rPr>
          <w:lang w:val="en_US" w:bidi="en_US"/>
        </w:rPr>
      </w:r>
      <w:r>
        <w:rPr>
          <w:b/>
          <w:lang w:val="en_US" w:bidi="en_US"/>
        </w:rPr>
        <w:t>the Twelve:</w:t>
      </w:r>
      <w:r>
        <w:rPr>
          <w:lang w:val="en_US" w:bidi="en_US"/>
        </w:rPr>
        <w:t xml:space="preserve"> </w:t>
      </w:r>
      <w:r>
        <w:rPr>
          <w:lang w:val="en_US" w:bidi="en_US"/>
        </w:rPr>
        <w:t>There are textual differences concerning the phrase that the BSB translates as “the Twelve.” The Greek NT has “the twelve.” Some Greek manuscripts (followed by KJV) have “twelve disciples of him”; others have “disciples of him”; still others have “twelve apostles.” Some modern versions, such as the GNT and NLT, have “twelve disciples”; others, such as the CEV, NCV and GW, have “twelve apostles.” However, they may have supplied the words “disciples” or “apostles” for translation reasons rather than textual reasons. In 6:13c, Jesus chose twelve disciples and named them “apostles.”</w:t>
      </w:r>
      <w:r>
        <w:rPr>
          <w:lang w:val="en_US" w:bidi="en_US"/>
        </w:rPr>
        <w:t xml:space="preserve"> The phrase </w:t>
      </w:r>
      <w:r>
        <w:rPr>
          <w:i/>
          <w:lang w:val="en_US" w:bidi="en_US"/>
        </w:rPr>
        <w:t>the Twelve</w:t>
      </w:r>
      <w:r>
        <w:rPr>
          <w:lang w:val="en_US" w:bidi="en_US"/>
        </w:rPr>
        <w:t xml:space="preserve"> refers to the twelve apostles whom Jesus had chosen from among his disciples. See 6:12–16. Some English versions supply the word “apostles.” Others supply the word “disciples.” For example:</w:t>
      </w:r>
    </w:p>
    <w:p>
      <w:pPr/>
      <w:r>
        <w:rPr>
          <w:lang w:val="en_US" w:bidi="en_US"/>
        </w:rPr>
      </w:r>
      <w:r>
        <w:rPr>
          <w:lang w:val="en_US" w:bidi="en_US"/>
        </w:rPr>
        <w:t>the twelve disciples (GNT)</w:t>
      </w:r>
    </w:p>
    <w:p>
      <w:pPr/>
      <w:r>
        <w:rPr>
          <w:lang w:val="en_US" w:bidi="en_US"/>
        </w:rPr>
      </w:r>
      <w:r>
        <w:rPr>
          <w:lang w:val="en_US" w:bidi="en_US"/>
        </w:rPr>
        <w:t>his twelve apostles (CEV)</w:t>
      </w:r>
    </w:p>
    <w:p>
      <w:pPr/>
      <w:r>
        <w:rPr>
          <w:lang w:val="en_US" w:bidi="en_US"/>
        </w:rPr>
      </w:r>
      <w:r>
        <w:rPr>
          <w:lang w:val="en_US" w:bidi="en_US"/>
        </w:rPr>
        <w:t>You may use either option here. See the word that you used for “apostles” in 6:13b. In 9:10a, all the English versions as well as the Greek text use the word “apostles.” See the note there for more information on “apostles.” See the note in 9:14b for more information on “disciples.”</w:t>
      </w:r>
    </w:p>
    <w:p>
      <w:pPr>
        <w:pStyle w:val="Heading5"/>
      </w:pPr>
      <w:r>
        <w:rPr>
          <w:lang w:val="en_US" w:bidi="en_US"/>
        </w:rPr>
        <w:t>9:1b</w:t>
      </w:r>
    </w:p>
    <w:p>
      <w:pPr/>
      <w:r>
        <w:rPr>
          <w:lang w:val="en_US" w:bidi="en_US"/>
        </w:rPr>
      </w:r>
      <w:r>
        <w:rPr>
          <w:b/>
          <w:lang w:val="en_US" w:bidi="en_US"/>
        </w:rPr>
        <w:t>and gave them power and authority over all demons, and power to cure diseases.</w:t>
      </w:r>
    </w:p>
    <w:p>
      <w:pPr>
        <w:pStyle w:val="ListBullet"/>
        <w:spacing w:line="240" w:lineRule="auto"/>
        <w:ind w:left="720"/>
      </w:pPr>
      <w:r>
        <w:rPr>
          <w:lang w:val="en_US" w:bidi="en_US"/>
        </w:rPr>
      </w:r>
      <w:r>
        <w:rPr>
          <w:lang w:val="en_US" w:bidi="en_US"/>
        </w:rPr>
        <w:t xml:space="preserve">he authorized and enabled them to cast out every evil spirit and to heal </w:t>
      </w:r>
      <w:r>
        <w:rPr>
          <w:lang w:val="en_US" w:bidi="en_US"/>
        </w:rPr>
        <w:t>the sick</w:t>
      </w:r>
      <w:r>
        <w:rPr>
          <w:lang w:val="en_US" w:bidi="en_US"/>
        </w:rPr>
        <w:t>.</w:t>
      </w:r>
    </w:p>
    <w:p>
      <w:pPr>
        <w:pStyle w:val="ListBullet"/>
        <w:spacing w:line="240" w:lineRule="auto"/>
        <w:ind w:left="720"/>
      </w:pPr>
      <w:r>
        <w:rPr>
          <w:lang w:val="en_US" w:bidi="en_US"/>
        </w:rPr>
      </w:r>
      <w:r>
        <w:rPr>
          <w:lang w:val="en_US" w:bidi="en_US"/>
        </w:rPr>
        <w:t xml:space="preserve">he gave them power to cast out all </w:t>
      </w:r>
      <w:r>
        <w:rPr>
          <w:lang w:val="en_US" w:bidi="en_US"/>
        </w:rPr>
        <w:t>kinds of</w:t>
      </w:r>
      <w:r>
        <w:rPr>
          <w:lang w:val="en_US" w:bidi="en_US"/>
        </w:rPr>
        <w:t xml:space="preserve"> demons and to heal sick people. He gave them the right to do these things.</w:t>
      </w:r>
    </w:p>
    <w:p>
      <w:pPr/>
      <w:r>
        <w:rPr>
          <w:lang w:val="en_US" w:bidi="en_US"/>
        </w:rPr>
      </w:r>
      <w:r>
        <w:rPr>
          <w:b/>
          <w:lang w:val="en_US" w:bidi="en_US"/>
        </w:rPr>
        <w:t>and gave them power and authority:</w:t>
      </w:r>
      <w:r>
        <w:rPr>
          <w:lang w:val="en_US" w:bidi="en_US"/>
        </w:rPr>
        <w:t xml:space="preserve"> The word </w:t>
      </w:r>
      <w:r>
        <w:rPr>
          <w:i/>
          <w:lang w:val="en_US" w:bidi="en_US"/>
        </w:rPr>
        <w:t>power</w:t>
      </w:r>
      <w:r>
        <w:rPr>
          <w:lang w:val="en_US" w:bidi="en_US"/>
        </w:rPr>
        <w:t xml:space="preserve"> refers to the ability to do something, and </w:t>
      </w:r>
      <w:r>
        <w:rPr>
          <w:i/>
          <w:lang w:val="en_US" w:bidi="en_US"/>
        </w:rPr>
        <w:t>authority</w:t>
      </w:r>
      <w:r>
        <w:rPr>
          <w:lang w:val="en_US" w:bidi="en_US"/>
        </w:rPr>
        <w:t xml:space="preserve"> refers to the right to do something. Here Jesus gave the twelve apostles both the ability and the right to do the work that he was sending them to do.</w:t>
      </w:r>
    </w:p>
    <w:p>
      <w:pPr/>
      <w:r>
        <w:rPr>
          <w:lang w:val="en_US" w:bidi="en_US"/>
        </w:rPr>
      </w:r>
      <w:r>
        <w:rPr>
          <w:lang w:val="en_US" w:bidi="en_US"/>
        </w:rPr>
        <w:t>In some languages there may be one expression that covers both ideas. For example:</w:t>
      </w:r>
    </w:p>
    <w:p>
      <w:pPr/>
      <w:r>
        <w:rPr>
          <w:lang w:val="en_US" w:bidi="en_US"/>
        </w:rPr>
      </w:r>
      <w:r>
        <w:rPr>
          <w:lang w:val="en_US" w:bidi="en_US"/>
        </w:rPr>
        <w:t>gave them complete power (CEV)</w:t>
      </w:r>
    </w:p>
    <w:p>
      <w:pPr/>
      <w:r>
        <w:rPr>
          <w:lang w:val="en_US" w:bidi="en_US"/>
        </w:rPr>
      </w:r>
      <w:r>
        <w:rPr>
          <w:lang w:val="en_US" w:bidi="en_US"/>
        </w:rPr>
        <w:t>In 4:36d the same words also occur, but the nouns are reversed. Use whichever order is natural in your language. In some languages it may be more natural to use two clauses. For example:</w:t>
      </w:r>
    </w:p>
    <w:p>
      <w:pPr/>
      <w:r>
        <w:rPr>
          <w:lang w:val="en_US" w:bidi="en_US"/>
        </w:rPr>
      </w:r>
      <w:r>
        <w:rPr>
          <w:lang w:val="en_US" w:bidi="en_US"/>
        </w:rPr>
        <w:t>and he gave them power…. He also gave them the right to…</w:t>
      </w:r>
    </w:p>
    <w:p>
      <w:pPr/>
      <w:r>
        <w:rPr>
          <w:lang w:val="en_US" w:bidi="en_US"/>
        </w:rPr>
      </w:r>
      <w:r>
        <w:rPr>
          <w:lang w:val="en_US" w:bidi="en_US"/>
        </w:rPr>
        <w:t xml:space="preserve">In some languages you may need to use verbs to express the meaning of </w:t>
      </w:r>
      <w:r>
        <w:rPr>
          <w:i/>
          <w:lang w:val="en_US" w:bidi="en_US"/>
        </w:rPr>
        <w:t>power</w:t>
      </w:r>
      <w:r>
        <w:rPr>
          <w:lang w:val="en_US" w:bidi="en_US"/>
        </w:rPr>
        <w:t xml:space="preserve"> and </w:t>
      </w:r>
      <w:r>
        <w:rPr>
          <w:i/>
          <w:lang w:val="en_US" w:bidi="en_US"/>
        </w:rPr>
        <w:t>authority</w:t>
      </w:r>
      <w:r>
        <w:rPr>
          <w:lang w:val="en_US" w:bidi="en_US"/>
        </w:rPr>
        <w:t>. For example:</w:t>
      </w:r>
    </w:p>
    <w:p>
      <w:pPr/>
      <w:r>
        <w:rPr>
          <w:lang w:val="en_US" w:bidi="en_US"/>
        </w:rPr>
      </w:r>
      <w:r>
        <w:rPr>
          <w:lang w:val="en_US" w:bidi="en_US"/>
        </w:rPr>
        <w:t>he empowered and authorized them</w:t>
      </w:r>
    </w:p>
    <w:p>
      <w:pPr/>
      <w:r>
        <w:rPr>
          <w:lang w:val="en_US" w:bidi="en_US"/>
        </w:rPr>
      </w:r>
      <w:r>
        <w:rPr>
          <w:b/>
          <w:lang w:val="en_US" w:bidi="en_US"/>
        </w:rPr>
        <w:t>over all demons:</w:t>
      </w:r>
      <w:r>
        <w:rPr>
          <w:lang w:val="en_US" w:bidi="en_US"/>
        </w:rPr>
        <w:t xml:space="preserve"> The phrase </w:t>
      </w:r>
      <w:r>
        <w:rPr>
          <w:i/>
          <w:lang w:val="en_US" w:bidi="en_US"/>
        </w:rPr>
        <w:t>over all demons</w:t>
      </w:r>
      <w:r>
        <w:rPr>
          <w:lang w:val="en_US" w:bidi="en_US"/>
        </w:rPr>
        <w:t xml:space="preserve"> is literally “over all the demons.” It refers to causing evil spirits to leave people and stop controlling them. The disciples did this by commanding the spirit/spirits to leave.</w:t>
      </w:r>
    </w:p>
    <w:p>
      <w:pPr/>
      <w:r>
        <w:rPr>
          <w:lang w:val="en_US" w:bidi="en_US"/>
        </w:rPr>
      </w:r>
      <w:r>
        <w:rPr>
          <w:lang w:val="en_US" w:bidi="en_US"/>
        </w:rPr>
        <w:t xml:space="preserve">Jewish people often spoke of evil spirits as being </w:t>
      </w:r>
      <w:r>
        <w:rPr>
          <w:u w:val="single"/>
          <w:lang w:val="en_US" w:bidi="en_US"/>
        </w:rPr>
        <w:t>in</w:t>
      </w:r>
      <w:r>
        <w:rPr>
          <w:lang w:val="en_US" w:bidi="en_US"/>
        </w:rPr>
        <w:t xml:space="preserve"> someone. Different cultures have different ways of speaking about people being controlled by demons and being released from the control of demons. Use a natural expression for this in your language. Some ways to translate this are:</w:t>
      </w:r>
    </w:p>
    <w:p>
      <w:pPr/>
      <w:r>
        <w:rPr>
          <w:lang w:val="en_US" w:bidi="en_US"/>
        </w:rPr>
      </w:r>
      <w:r>
        <w:rPr>
          <w:lang w:val="en_US" w:bidi="en_US"/>
        </w:rPr>
        <w:t>to drive out all demons (NIV)</w:t>
      </w:r>
    </w:p>
    <w:p>
      <w:pPr/>
      <w:r>
        <w:rPr>
          <w:lang w:val="en_US" w:bidi="en_US"/>
        </w:rPr>
      </w:r>
      <w:r>
        <w:rPr>
          <w:lang w:val="en_US" w:bidi="en_US"/>
        </w:rPr>
        <w:t>to send the demons away</w:t>
      </w:r>
    </w:p>
    <w:p>
      <w:pPr/>
      <w:r>
        <w:rPr>
          <w:lang w:val="en_US" w:bidi="en_US"/>
        </w:rPr>
      </w:r>
      <w:r>
        <w:rPr>
          <w:lang w:val="en_US" w:bidi="en_US"/>
        </w:rPr>
        <w:t>to exorcize the demons</w:t>
      </w:r>
    </w:p>
    <w:p>
      <w:pPr/>
      <w:r>
        <w:rPr>
          <w:lang w:val="en_US" w:bidi="en_US"/>
        </w:rPr>
      </w:r>
      <w:r>
        <w:rPr>
          <w:lang w:val="en_US" w:bidi="en_US"/>
        </w:rPr>
        <w:t>to free people who were controlled by demons</w:t>
      </w:r>
    </w:p>
    <w:p>
      <w:pPr/>
      <w:r>
        <w:rPr>
          <w:lang w:val="en_US" w:bidi="en_US"/>
        </w:rPr>
      </w:r>
      <w:r>
        <w:rPr>
          <w:b/>
          <w:lang w:val="en_US" w:bidi="en_US"/>
        </w:rPr>
        <w:t>all:</w:t>
      </w:r>
      <w:r>
        <w:rPr>
          <w:lang w:val="en_US" w:bidi="en_US"/>
        </w:rPr>
        <w:t xml:space="preserve"> The word </w:t>
      </w:r>
      <w:r>
        <w:rPr>
          <w:i/>
          <w:lang w:val="en_US" w:bidi="en_US"/>
        </w:rPr>
        <w:t>all</w:t>
      </w:r>
      <w:r>
        <w:rPr>
          <w:lang w:val="en_US" w:bidi="en_US"/>
        </w:rPr>
        <w:t xml:space="preserve"> does not indicate that the disciples were to cast out every demon on earth. It indicates that they were able to cast out every demon that they encountered. There was no demon that they were not given the power and authority to cast out.</w:t>
      </w:r>
    </w:p>
    <w:p>
      <w:pPr/>
      <w:r>
        <w:rPr>
          <w:lang w:val="en_US" w:bidi="en_US"/>
        </w:rPr>
      </w:r>
      <w:r>
        <w:rPr>
          <w:b/>
          <w:lang w:val="en_US" w:bidi="en_US"/>
        </w:rPr>
        <w:t>demons:</w:t>
      </w:r>
      <w:r>
        <w:rPr>
          <w:lang w:val="en_US" w:bidi="en_US"/>
        </w:rPr>
        <w:t xml:space="preserve"> The Greek word that the BSB translates as </w:t>
      </w:r>
      <w:r>
        <w:rPr>
          <w:i/>
          <w:lang w:val="en_US" w:bidi="en_US"/>
        </w:rPr>
        <w:t>demons</w:t>
      </w:r>
      <w:r>
        <w:rPr>
          <w:lang w:val="en_US" w:bidi="en_US"/>
        </w:rPr>
        <w:t xml:space="preserve"> refers to spirits that are evil and can control people’s actions. The word </w:t>
      </w:r>
      <w:r>
        <w:rPr>
          <w:i/>
          <w:lang w:val="en_US" w:bidi="en_US"/>
        </w:rPr>
        <w:t>demons</w:t>
      </w:r>
      <w:r>
        <w:rPr>
          <w:lang w:val="en_US" w:bidi="en_US"/>
        </w:rPr>
        <w:t xml:space="preserve"> refers to the same type of spirit as the Greek terms that are often translated as “evil spirits” and “unclean spirits.”</w:t>
      </w:r>
    </w:p>
    <w:p>
      <w:pPr/>
      <w:r>
        <w:rPr>
          <w:lang w:val="en_US" w:bidi="en_US"/>
        </w:rPr>
      </w:r>
      <w:r>
        <w:rPr>
          <w:lang w:val="en_US" w:bidi="en_US"/>
        </w:rPr>
        <w:t xml:space="preserve">Some ways to translate </w:t>
      </w:r>
      <w:r>
        <w:rPr>
          <w:i/>
          <w:lang w:val="en_US" w:bidi="en_US"/>
        </w:rPr>
        <w:t>demon</w:t>
      </w:r>
      <w:r>
        <w:rPr>
          <w:lang w:val="en_US" w:bidi="en_US"/>
        </w:rPr>
        <w:t xml:space="preserve"> are:</w:t>
      </w:r>
    </w:p>
    <w:p>
      <w:pPr>
        <w:pStyle w:val="ListBullet"/>
        <w:spacing w:line="240" w:lineRule="auto"/>
        <w:ind w:left="720"/>
      </w:pPr>
      <w:r>
        <w:rPr>
          <w:lang w:val="en_US" w:bidi="en_US"/>
        </w:rPr>
      </w:r>
      <w:r>
        <w:rPr>
          <w:lang w:val="en_US" w:bidi="en_US"/>
        </w:rPr>
        <w:t xml:space="preserve">Use </w:t>
      </w:r>
      <w:r>
        <w:rPr>
          <w:u w:val="single"/>
          <w:lang w:val="en_US" w:bidi="en_US"/>
        </w:rPr>
        <w:t>a general term in your language</w:t>
      </w:r>
      <w:r>
        <w:rPr>
          <w:lang w:val="en_US" w:bidi="en_US"/>
        </w:rPr>
        <w:t xml:space="preserve"> that refers to spirits that are evil and can control people.</w:t>
      </w:r>
    </w:p>
    <w:p>
      <w:pPr>
        <w:pStyle w:val="ListBullet"/>
        <w:spacing w:line="240" w:lineRule="auto"/>
        <w:ind w:left="720"/>
      </w:pPr>
      <w:r>
        <w:rPr>
          <w:lang w:val="en_US" w:bidi="en_US"/>
        </w:rPr>
      </w:r>
      <w:r>
        <w:rPr>
          <w:lang w:val="en_US" w:bidi="en_US"/>
        </w:rPr>
        <w:t xml:space="preserve">Use </w:t>
      </w:r>
      <w:r>
        <w:rPr>
          <w:u w:val="single"/>
          <w:lang w:val="en_US" w:bidi="en_US"/>
        </w:rPr>
        <w:t>a specific term in your language</w:t>
      </w:r>
      <w:r>
        <w:rPr>
          <w:lang w:val="en_US" w:bidi="en_US"/>
        </w:rPr>
        <w:t xml:space="preserve"> that refers to a certain type of spirit. These spirits should be able to do evil things. Do not use a term that refers to spirits of dead people.</w:t>
      </w:r>
    </w:p>
    <w:p>
      <w:pPr>
        <w:pStyle w:val="ListBullet"/>
        <w:spacing w:line="240" w:lineRule="auto"/>
        <w:ind w:left="720"/>
      </w:pPr>
      <w:r>
        <w:rPr>
          <w:lang w:val="en_US" w:bidi="en_US"/>
        </w:rPr>
      </w:r>
      <w:r>
        <w:rPr>
          <w:lang w:val="en_US" w:bidi="en_US"/>
        </w:rPr>
        <w:t xml:space="preserve">Use </w:t>
      </w:r>
      <w:r>
        <w:rPr>
          <w:u w:val="single"/>
          <w:lang w:val="en_US" w:bidi="en_US"/>
        </w:rPr>
        <w:t>a descriptive phrase</w:t>
      </w:r>
      <w:r>
        <w:rPr>
          <w:lang w:val="en_US" w:bidi="en_US"/>
        </w:rPr>
        <w:t>. For example:</w:t>
      </w:r>
      <w:r>
        <w:rPr>
          <w:lang w:val="en_US" w:bidi="en_US"/>
        </w:rPr>
        <w:t>evil/bad spirits</w:t>
      </w:r>
      <w:r>
        <w:rPr>
          <w:lang w:val="en_US" w:bidi="en_US"/>
        </w:rPr>
        <w:t xml:space="preserve">unclean spirits </w:t>
      </w:r>
      <w:r>
        <w:rPr>
          <w:i/>
          <w:lang w:val="en_US" w:bidi="en_US"/>
        </w:rPr>
        <w:t>Be sure that an expression like “unclean spirits” does not imply that the spirits are literally dirty.</w:t>
      </w:r>
    </w:p>
    <w:p>
      <w:pPr/>
      <w:r>
        <w:rPr>
          <w:lang w:val="en_US" w:bidi="en_US"/>
        </w:rPr>
      </w:r>
      <w:r>
        <w:rPr>
          <w:lang w:val="en_US" w:bidi="en_US"/>
        </w:rPr>
        <w:t xml:space="preserve">See how you translated </w:t>
      </w:r>
      <w:r>
        <w:rPr>
          <w:i/>
          <w:lang w:val="en_US" w:bidi="en_US"/>
        </w:rPr>
        <w:t>demon</w:t>
      </w:r>
      <w:r>
        <w:rPr>
          <w:lang w:val="en_US" w:bidi="en_US"/>
        </w:rPr>
        <w:t xml:space="preserve"> in 4:33a. See demon in the Glossary for more information.</w:t>
      </w:r>
    </w:p>
    <w:p>
      <w:pPr/>
      <w:r>
        <w:rPr>
          <w:lang w:val="en_US" w:bidi="en_US"/>
        </w:rPr>
      </w:r>
      <w:r>
        <w:rPr>
          <w:b/>
          <w:lang w:val="en_US" w:bidi="en_US"/>
        </w:rPr>
        <w:t>and power to cure diseases:</w:t>
      </w:r>
      <w:r>
        <w:rPr>
          <w:lang w:val="en_US" w:bidi="en_US"/>
        </w:rPr>
        <w:t xml:space="preserve"> In some languages it is more natural to say that the apostles were to cure </w:t>
      </w:r>
      <w:r>
        <w:rPr>
          <w:u w:val="single"/>
          <w:lang w:val="en_US" w:bidi="en_US"/>
        </w:rPr>
        <w:t>people</w:t>
      </w:r>
      <w:r>
        <w:rPr>
          <w:lang w:val="en_US" w:bidi="en_US"/>
        </w:rPr>
        <w:t xml:space="preserve"> rather than diseases. If that is true in your language, you may need to make this explicit. For example:</w:t>
      </w:r>
    </w:p>
    <w:p>
      <w:pPr/>
      <w:r>
        <w:rPr>
          <w:lang w:val="en_US" w:bidi="en_US"/>
        </w:rPr>
      </w:r>
      <w:r>
        <w:rPr>
          <w:lang w:val="en_US" w:bidi="en_US"/>
        </w:rPr>
        <w:t xml:space="preserve">and to cure/heal </w:t>
      </w:r>
      <w:r>
        <w:rPr>
          <w:lang w:val="en_US" w:bidi="en_US"/>
        </w:rPr>
        <w:t>people</w:t>
      </w:r>
      <w:r>
        <w:rPr>
          <w:lang w:val="en_US" w:bidi="en_US"/>
        </w:rPr>
        <w:t xml:space="preserve"> from their diseases/sicknesses</w:t>
      </w:r>
    </w:p>
    <w:p>
      <w:pPr/>
      <w:r>
        <w:rPr>
          <w:lang w:val="en_US" w:bidi="en_US"/>
        </w:rPr>
      </w:r>
      <w:r>
        <w:rPr>
          <w:lang w:val="en_US" w:bidi="en_US"/>
        </w:rPr>
        <w:t xml:space="preserve">and to heal </w:t>
      </w:r>
      <w:r>
        <w:rPr>
          <w:lang w:val="en_US" w:bidi="en_US"/>
        </w:rPr>
        <w:t>the sick</w:t>
      </w:r>
      <w:r>
        <w:rPr>
          <w:lang w:val="en_US" w:bidi="en_US"/>
        </w:rPr>
      </w:r>
      <w:r>
        <w:rPr>
          <w:lang w:val="en_US" w:bidi="en_US"/>
        </w:rPr>
      </w:r>
    </w:p>
    <w:p>
      <w:pPr/>
      <w:r>
        <w:rPr>
          <w:lang w:val="en_US" w:bidi="en_US"/>
        </w:rPr>
      </w:r>
    </w:p>
    <w:p>
      <w:pPr>
        <w:pStyle w:val="Heading2"/>
      </w:pPr>
      <w:r>
        <w:rPr>
          <w:lang w:val="en_US" w:bidi="en_US"/>
        </w:rPr>
        <w:t>Luke 9:2</w:t>
      </w:r>
      <w:r>
        <w:rPr>
          <w:lang w:val="en_US" w:bidi="en_US"/>
        </w:rPr>
      </w:r>
    </w:p>
    <w:p>
      <w:pPr>
        <w:pStyle w:val="Heading4"/>
      </w:pPr>
      <w:r>
        <w:rPr>
          <w:lang w:val="en_US" w:bidi="en_US"/>
        </w:rPr>
        <w:t>Section 9:1–6: Jesus sent his twelve apostles to preach and heal people</w:t>
      </w:r>
    </w:p>
    <w:p>
      <w:pPr/>
      <w:r>
        <w:rPr>
          <w:lang w:val="en_US" w:bidi="en_US"/>
        </w:rPr>
      </w:r>
      <w:r>
        <w:rPr>
          <w:lang w:val="en_US" w:bidi="en_US"/>
        </w:rPr>
        <w:t>Jesus sent his twelve apostles to different towns to preach about God’s kingdom, to heal people, and to cast out demons. He gave them instructions about the trip (9:3), about where they should stay (9:4), and about what to do when people did not welcome them (9:5).</w:t>
      </w:r>
    </w:p>
    <w:p>
      <w:pPr/>
      <w:r>
        <w:rPr>
          <w:lang w:val="en_US" w:bidi="en_US"/>
        </w:rPr>
      </w:r>
      <w:r>
        <w:rPr>
          <w:lang w:val="en_US" w:bidi="en_US"/>
        </w:rPr>
        <w:t>It is good to translate this section before you decide on a heading for it. Another heading for this section is:</w:t>
      </w:r>
    </w:p>
    <w:p>
      <w:pPr/>
      <w:r>
        <w:rPr>
          <w:lang w:val="en_US" w:bidi="en_US"/>
        </w:rPr>
      </w:r>
      <w:r>
        <w:rPr>
          <w:lang w:val="en_US" w:bidi="en_US"/>
        </w:rPr>
        <w:t>Jesus sent out the twelve apostles/disciples</w:t>
      </w:r>
    </w:p>
    <w:p>
      <w:pPr/>
      <w:r>
        <w:rPr>
          <w:lang w:val="en_US" w:bidi="en_US"/>
        </w:rPr>
      </w:r>
      <w:r>
        <w:rPr>
          <w:lang w:val="en_US" w:bidi="en_US"/>
        </w:rPr>
        <w:t>The Sending of the Twelve Apostles (NET)</w:t>
      </w:r>
    </w:p>
    <w:p>
      <w:pPr/>
      <w:r>
        <w:rPr>
          <w:lang w:val="en_US" w:bidi="en_US"/>
        </w:rPr>
      </w:r>
      <w:r>
        <w:rPr>
          <w:lang w:val="en_US" w:bidi="en_US"/>
        </w:rPr>
        <w:t>There are parallel passages for this section in Matthew 9:35, 10:5–15, and Mark 6:6–13.</w:t>
      </w:r>
    </w:p>
    <w:p>
      <w:pPr>
        <w:pStyle w:val="Heading5"/>
      </w:pPr>
      <w:r>
        <w:rPr>
          <w:lang w:val="en_US" w:bidi="en_US"/>
        </w:rPr>
        <w:t>9:2a</w:t>
      </w:r>
    </w:p>
    <w:p>
      <w:pPr/>
      <w:r>
        <w:rPr>
          <w:lang w:val="en_US" w:bidi="en_US"/>
        </w:rPr>
      </w:r>
      <w:r>
        <w:rPr>
          <w:b/>
          <w:lang w:val="en_US" w:bidi="en_US"/>
        </w:rPr>
        <w:t>And He sent them out to proclaim the kingdom of God</w:t>
      </w:r>
    </w:p>
    <w:p>
      <w:pPr>
        <w:pStyle w:val="ListBullet"/>
        <w:spacing w:line="240" w:lineRule="auto"/>
        <w:ind w:left="720"/>
      </w:pPr>
      <w:r>
        <w:rPr>
          <w:lang w:val="en_US" w:bidi="en_US"/>
        </w:rPr>
      </w:r>
      <w:r>
        <w:rPr>
          <w:lang w:val="en_US" w:bidi="en_US"/>
        </w:rPr>
        <w:t xml:space="preserve">Then he sent them out </w:t>
      </w:r>
      <w:r>
        <w:rPr>
          <w:lang w:val="en_US" w:bidi="en_US"/>
        </w:rPr>
        <w:t>to the people/villages</w:t>
      </w:r>
      <w:r>
        <w:rPr>
          <w:lang w:val="en_US" w:bidi="en_US"/>
        </w:rPr>
        <w:t xml:space="preserve"> to preach concerning God’s reign/chieftaincy</w:t>
      </w:r>
    </w:p>
    <w:p>
      <w:pPr>
        <w:pStyle w:val="ListBullet"/>
        <w:spacing w:line="240" w:lineRule="auto"/>
        <w:ind w:left="720"/>
      </w:pPr>
      <w:r>
        <w:rPr>
          <w:lang w:val="en_US" w:bidi="en_US"/>
        </w:rPr>
      </w:r>
      <w:r>
        <w:rPr>
          <w:lang w:val="en_US" w:bidi="en_US"/>
        </w:rPr>
        <w:t xml:space="preserve">Then he told them to go and proclaim to people about how God reigns </w:t>
      </w:r>
      <w:r>
        <w:rPr>
          <w:lang w:val="en_US" w:bidi="en_US"/>
        </w:rPr>
        <w:t>over his people</w:t>
      </w:r>
      <w:r>
        <w:rPr>
          <w:lang w:val="en_US" w:bidi="en_US"/>
        </w:rPr>
        <w:t>.</w:t>
      </w:r>
    </w:p>
    <w:p>
      <w:pPr/>
      <w:r>
        <w:rPr>
          <w:lang w:val="en_US" w:bidi="en_US"/>
        </w:rPr>
      </w:r>
      <w:r>
        <w:rPr>
          <w:b/>
          <w:lang w:val="en_US" w:bidi="en_US"/>
        </w:rPr>
        <w:t>And He sent them out:</w:t>
      </w:r>
      <w:r>
        <w:rPr>
          <w:lang w:val="en_US" w:bidi="en_US"/>
        </w:rPr>
        <w:t xml:space="preserve"> In this context the word </w:t>
      </w:r>
      <w:r>
        <w:rPr>
          <w:i/>
          <w:lang w:val="en_US" w:bidi="en_US"/>
        </w:rPr>
        <w:t>sent</w:t>
      </w:r>
      <w:r>
        <w:rPr>
          <w:lang w:val="en_US" w:bidi="en_US"/>
        </w:rPr>
        <w:t xml:space="preserve"> means “told to go.” The disciples did not actually leave until 9:6. Jesus told the twelve apostles to go to where the people were. He told them to help the people by preaching about the kingdom of God and healing the sick.</w:t>
      </w:r>
    </w:p>
    <w:p>
      <w:pPr/>
      <w:r>
        <w:rPr>
          <w:lang w:val="en_US" w:bidi="en_US"/>
        </w:rPr>
      </w:r>
      <w:r>
        <w:rPr>
          <w:b/>
          <w:lang w:val="en_US" w:bidi="en_US"/>
        </w:rPr>
        <w:t>to proclaim the kingdom of God:</w:t>
      </w:r>
      <w:r>
        <w:rPr>
          <w:lang w:val="en_US" w:bidi="en_US"/>
        </w:rPr>
        <w:t xml:space="preserve"> The phrase </w:t>
      </w:r>
      <w:r>
        <w:rPr>
          <w:i/>
          <w:lang w:val="en_US" w:bidi="en_US"/>
        </w:rPr>
        <w:t>to proclaim the kingdom of God</w:t>
      </w:r>
      <w:r>
        <w:rPr>
          <w:lang w:val="en_US" w:bidi="en_US"/>
        </w:rPr>
        <w:t xml:space="preserve"> means “to speak to the people about the kingdom of God.” The phrase </w:t>
      </w:r>
      <w:r>
        <w:rPr>
          <w:i/>
          <w:lang w:val="en_US" w:bidi="en_US"/>
        </w:rPr>
        <w:t>the kingdom of God</w:t>
      </w:r>
      <w:r>
        <w:rPr>
          <w:lang w:val="en_US" w:bidi="en_US"/>
        </w:rPr>
        <w:t xml:space="preserve"> refers to God’s rule. It does not refer here to a land or country that he rules over. Instead, it refers to God ruling people through the Messiah, Jesus Christ. It refers to the relationship that he has with his people. He leads, protects, and cares for them. They trust and obey him as their king.</w:t>
      </w:r>
    </w:p>
    <w:p>
      <w:pPr/>
      <w:r>
        <w:rPr>
          <w:lang w:val="en_US" w:bidi="en_US"/>
        </w:rPr>
      </w:r>
      <w:r>
        <w:rPr>
          <w:lang w:val="en_US" w:bidi="en_US"/>
        </w:rPr>
        <w:t xml:space="preserve">Some ways to translate </w:t>
      </w:r>
      <w:r>
        <w:rPr>
          <w:i/>
          <w:lang w:val="en_US" w:bidi="en_US"/>
        </w:rPr>
        <w:t>the kingdom of God</w:t>
      </w:r>
      <w:r>
        <w:rPr>
          <w:lang w:val="en_US" w:bidi="en_US"/>
        </w:rPr>
        <w:t xml:space="preserve"> in this context are:</w:t>
      </w:r>
    </w:p>
    <w:p>
      <w:pPr>
        <w:pStyle w:val="ListBullet"/>
        <w:spacing w:line="240" w:lineRule="auto"/>
        <w:ind w:left="720"/>
      </w:pPr>
      <w:r>
        <w:rPr>
          <w:lang w:val="en_US" w:bidi="en_US"/>
        </w:rPr>
      </w:r>
      <w:r>
        <w:rPr>
          <w:lang w:val="en_US" w:bidi="en_US"/>
        </w:rPr>
        <w:t>As a noun. For example:</w:t>
      </w:r>
      <w:r>
        <w:rPr>
          <w:lang w:val="en_US" w:bidi="en_US"/>
        </w:rPr>
        <w:t>to preach about God’s rule/reign</w:t>
      </w:r>
      <w:r>
        <w:rPr>
          <w:lang w:val="en_US" w:bidi="en_US"/>
        </w:rPr>
        <w:t>to announce God’s kingship</w:t>
      </w:r>
      <w:r>
        <w:rPr>
          <w:lang w:val="en_US" w:bidi="en_US"/>
        </w:rPr>
        <w:t xml:space="preserve">to tell </w:t>
      </w:r>
      <w:r>
        <w:rPr>
          <w:lang w:val="en_US" w:bidi="en_US"/>
        </w:rPr>
        <w:t>people</w:t>
      </w:r>
      <w:r>
        <w:rPr>
          <w:lang w:val="en_US" w:bidi="en_US"/>
        </w:rPr>
        <w:t xml:space="preserve"> about God’s chieftaincy</w:t>
      </w:r>
      <w:r>
        <w:rPr>
          <w:lang w:val="en_US" w:bidi="en_US"/>
        </w:rPr>
        <w:t>to proclaim God’s government</w:t>
      </w:r>
    </w:p>
    <w:p>
      <w:pPr>
        <w:pStyle w:val="ListBullet"/>
        <w:spacing w:line="240" w:lineRule="auto"/>
        <w:ind w:left="720"/>
      </w:pPr>
      <w:r>
        <w:rPr>
          <w:lang w:val="en_US" w:bidi="en_US"/>
        </w:rPr>
      </w:r>
      <w:r>
        <w:rPr>
          <w:lang w:val="en_US" w:bidi="en_US"/>
        </w:rPr>
        <w:t>As a verbal expression:</w:t>
      </w:r>
      <w:r>
        <w:rPr>
          <w:lang w:val="en_US" w:bidi="en_US"/>
        </w:rPr>
        <w:t xml:space="preserve">to preach about God ruling </w:t>
      </w:r>
      <w:r>
        <w:rPr>
          <w:lang w:val="en_US" w:bidi="en_US"/>
        </w:rPr>
        <w:t>people</w:t>
      </w:r>
      <w:r>
        <w:rPr>
          <w:lang w:val="en_US" w:bidi="en_US"/>
        </w:rPr>
        <w:t xml:space="preserve">to proclaim that God </w:t>
      </w:r>
      <w:r>
        <w:rPr>
          <w:lang w:val="en_US" w:bidi="en_US"/>
        </w:rPr>
        <w:t>cares for his people as their</w:t>
      </w:r>
      <w:r>
        <w:rPr>
          <w:lang w:val="en_US" w:bidi="en_US"/>
        </w:rPr>
        <w:t xml:space="preserve"> king</w:t>
      </w:r>
      <w:r>
        <w:rPr>
          <w:lang w:val="en_US" w:bidi="en_US"/>
        </w:rPr>
        <w:t xml:space="preserve">to tell </w:t>
      </w:r>
      <w:r>
        <w:rPr>
          <w:lang w:val="en_US" w:bidi="en_US"/>
        </w:rPr>
        <w:t>people</w:t>
      </w:r>
      <w:r>
        <w:rPr>
          <w:lang w:val="en_US" w:bidi="en_US"/>
        </w:rPr>
        <w:t xml:space="preserve"> about the way God rules</w:t>
      </w:r>
    </w:p>
    <w:p>
      <w:pPr/>
      <w:r>
        <w:rPr>
          <w:lang w:val="en_US" w:bidi="en_US"/>
        </w:rPr>
      </w:r>
      <w:r>
        <w:rPr>
          <w:lang w:val="en_US" w:bidi="en_US"/>
        </w:rPr>
        <w:t>This phrase first occurred in Luke in 4:43a. See kingdom of God in the Glossary.</w:t>
      </w:r>
    </w:p>
    <w:p>
      <w:pPr/>
      <w:r>
        <w:rPr>
          <w:lang w:val="en_US" w:bidi="en_US"/>
        </w:rPr>
      </w:r>
      <w:r>
        <w:rPr>
          <w:b/>
          <w:lang w:val="en_US" w:bidi="en_US"/>
        </w:rPr>
        <w:t>to proclaim:</w:t>
      </w:r>
      <w:r>
        <w:rPr>
          <w:lang w:val="en_US" w:bidi="en_US"/>
        </w:rPr>
        <w:t xml:space="preserve"> The Greek word that the BSB translates as </w:t>
      </w:r>
      <w:r>
        <w:rPr>
          <w:i/>
          <w:lang w:val="en_US" w:bidi="en_US"/>
        </w:rPr>
        <w:t>proclaim</w:t>
      </w:r>
      <w:r>
        <w:rPr>
          <w:lang w:val="en_US" w:bidi="en_US"/>
        </w:rPr>
        <w:t xml:space="preserve"> means to tell people publicly something important. Some other ways to translate </w:t>
      </w:r>
      <w:r>
        <w:rPr>
          <w:i/>
          <w:lang w:val="en_US" w:bidi="en_US"/>
        </w:rPr>
        <w:t>proclaim</w:t>
      </w:r>
      <w:r>
        <w:rPr>
          <w:lang w:val="en_US" w:bidi="en_US"/>
        </w:rPr>
        <w:t xml:space="preserve"> in this context are:</w:t>
      </w:r>
    </w:p>
    <w:p>
      <w:pPr/>
      <w:r>
        <w:rPr>
          <w:lang w:val="en_US" w:bidi="en_US"/>
        </w:rPr>
      </w:r>
      <w:r>
        <w:rPr>
          <w:lang w:val="en_US" w:bidi="en_US"/>
        </w:rPr>
        <w:t>announce</w:t>
      </w:r>
    </w:p>
    <w:p>
      <w:pPr/>
      <w:r>
        <w:rPr>
          <w:lang w:val="en_US" w:bidi="en_US"/>
        </w:rPr>
      </w:r>
      <w:r>
        <w:rPr>
          <w:lang w:val="en_US" w:bidi="en_US"/>
        </w:rPr>
        <w:t>proclaim</w:t>
      </w:r>
    </w:p>
    <w:p>
      <w:pPr/>
      <w:r>
        <w:rPr>
          <w:lang w:val="en_US" w:bidi="en_US"/>
        </w:rPr>
      </w:r>
      <w:r>
        <w:rPr>
          <w:lang w:val="en_US" w:bidi="en_US"/>
        </w:rPr>
        <w:t xml:space="preserve">tell </w:t>
      </w:r>
      <w:r>
        <w:rPr>
          <w:lang w:val="en_US" w:bidi="en_US"/>
        </w:rPr>
        <w:t>people</w:t>
      </w:r>
    </w:p>
    <w:p>
      <w:pPr>
        <w:pStyle w:val="Heading5"/>
      </w:pPr>
      <w:r>
        <w:rPr>
          <w:lang w:val="en_US" w:bidi="en_US"/>
        </w:rPr>
        <w:t>9:2b</w:t>
      </w:r>
    </w:p>
    <w:p>
      <w:pPr/>
      <w:r>
        <w:rPr>
          <w:lang w:val="en_US" w:bidi="en_US"/>
        </w:rPr>
      </w:r>
      <w:r>
        <w:rPr>
          <w:b/>
          <w:lang w:val="en_US" w:bidi="en_US"/>
        </w:rPr>
        <w:t>and to heal the sick.</w:t>
      </w:r>
    </w:p>
    <w:p>
      <w:pPr>
        <w:pStyle w:val="ListBullet"/>
        <w:spacing w:line="240" w:lineRule="auto"/>
        <w:ind w:left="720"/>
      </w:pPr>
      <w:r>
        <w:rPr>
          <w:lang w:val="en_US" w:bidi="en_US"/>
        </w:rPr>
      </w:r>
      <w:r>
        <w:rPr>
          <w:lang w:val="en_US" w:bidi="en_US"/>
        </w:rPr>
        <w:t>and to heal people who were sick.</w:t>
      </w:r>
    </w:p>
    <w:p>
      <w:pPr>
        <w:pStyle w:val="ListBullet"/>
        <w:spacing w:line="240" w:lineRule="auto"/>
        <w:ind w:left="720"/>
      </w:pPr>
      <w:r>
        <w:rPr>
          <w:lang w:val="en_US" w:bidi="en_US"/>
        </w:rPr>
      </w:r>
      <w:r>
        <w:rPr>
          <w:lang w:val="en_US" w:bidi="en_US"/>
        </w:rPr>
        <w:t>He also told them to heal sick people.</w:t>
      </w:r>
    </w:p>
    <w:p>
      <w:pPr/>
      <w:r>
        <w:rPr>
          <w:lang w:val="en_US" w:bidi="en_US"/>
        </w:rPr>
      </w:r>
      <w:r>
        <w:rPr>
          <w:b/>
          <w:lang w:val="en_US" w:bidi="en_US"/>
        </w:rPr>
        <w:t>heal the sick:</w:t>
      </w:r>
      <w:r>
        <w:rPr>
          <w:lang w:val="en_US" w:bidi="en_US"/>
        </w:rPr>
        <w:t xml:space="preserve"> There is a textual issue here:</w:t>
      </w:r>
    </w:p>
    <w:p>
      <w:pPr>
        <w:pStyle w:val="ListNumber"/>
        <w:numPr>
          <w:ilvl w:val="0"/>
          <w:numId w:val="186"/>
        </w:numPr>
        <w:spacing w:line="240" w:lineRule="auto"/>
        <w:ind w:left="720"/>
      </w:pPr>
      <w:r>
        <w:rPr>
          <w:lang w:val="en_US" w:bidi="en_US"/>
        </w:rPr>
      </w:r>
      <w:r>
        <w:rPr>
          <w:lang w:val="en_US" w:bidi="en_US"/>
        </w:rPr>
        <w:t>Most Greek manuscripts have “heal the sick.” For example:</w:t>
      </w:r>
      <w:r>
        <w:rPr>
          <w:lang w:val="en_US" w:bidi="en_US"/>
        </w:rPr>
        <w:t xml:space="preserve">heal the sick (NCV) </w:t>
      </w:r>
      <w:r>
        <w:rPr>
          <w:i/>
          <w:lang w:val="en_US" w:bidi="en_US"/>
        </w:rPr>
        <w:t>(BSB, NIV, KJV, REB, NET, GNT, NLT, CEV, GW, NCV)</w:t>
      </w:r>
    </w:p>
    <w:p>
      <w:pPr>
        <w:pStyle w:val="ListNumber"/>
        <w:spacing w:line="240" w:lineRule="auto"/>
        <w:ind w:left="720"/>
      </w:pPr>
      <w:r>
        <w:rPr>
          <w:lang w:val="en_US" w:bidi="en_US"/>
        </w:rPr>
      </w:r>
      <w:r>
        <w:rPr>
          <w:lang w:val="en_US" w:bidi="en_US"/>
        </w:rPr>
        <w:t>One important Greek manuscript only has “heal.” For example:</w:t>
      </w:r>
      <w:r>
        <w:rPr>
          <w:lang w:val="en_US" w:bidi="en_US"/>
        </w:rPr>
        <w:t xml:space="preserve">heal (RSV) </w:t>
      </w:r>
      <w:r>
        <w:rPr>
          <w:i/>
          <w:lang w:val="en_US" w:bidi="en_US"/>
        </w:rPr>
        <w:t>(NASB, RSV, NJB)</w:t>
      </w:r>
    </w:p>
    <w:p>
      <w:pPr/>
      <w:r>
        <w:rPr>
          <w:lang w:val="en_US" w:bidi="en_US"/>
        </w:rPr>
      </w:r>
      <w:r>
        <w:rPr>
          <w:lang w:val="en_US" w:bidi="en_US"/>
        </w:rPr>
        <w:t>It is recommended that you follow option (1).</w:t>
      </w:r>
      <w:r>
        <w:rPr>
          <w:lang w:val="en_US" w:bidi="en_US"/>
        </w:rPr>
      </w:r>
      <w:r>
        <w:rPr>
          <w:lang w:val="en_US" w:bidi="en_US"/>
        </w:rPr>
      </w:r>
    </w:p>
    <w:p>
      <w:pPr/>
      <w:r>
        <w:rPr>
          <w:lang w:val="en_US" w:bidi="en_US"/>
        </w:rPr>
      </w:r>
    </w:p>
    <w:p>
      <w:pPr>
        <w:pStyle w:val="Heading2"/>
      </w:pPr>
      <w:r>
        <w:rPr>
          <w:lang w:val="en_US" w:bidi="en_US"/>
        </w:rPr>
        <w:t>Luke 9:3</w:t>
      </w:r>
      <w:r>
        <w:rPr>
          <w:lang w:val="en_US" w:bidi="en_US"/>
        </w:rPr>
      </w:r>
    </w:p>
    <w:p>
      <w:pPr>
        <w:pStyle w:val="Heading4"/>
      </w:pPr>
      <w:r>
        <w:rPr>
          <w:lang w:val="en_US" w:bidi="en_US"/>
        </w:rPr>
        <w:t>Section 9:1–6: Jesus sent his twelve apostles to preach and heal people</w:t>
      </w:r>
    </w:p>
    <w:p>
      <w:pPr/>
      <w:r>
        <w:rPr>
          <w:lang w:val="en_US" w:bidi="en_US"/>
        </w:rPr>
      </w:r>
      <w:r>
        <w:rPr>
          <w:lang w:val="en_US" w:bidi="en_US"/>
        </w:rPr>
        <w:t>Jesus sent his twelve apostles to different towns to preach about God’s kingdom, to heal people, and to cast out demons. He gave them instructions about the trip (9:3), about where they should stay (9:4), and about what to do when people did not welcome them (9:5).</w:t>
      </w:r>
    </w:p>
    <w:p>
      <w:pPr/>
      <w:r>
        <w:rPr>
          <w:lang w:val="en_US" w:bidi="en_US"/>
        </w:rPr>
      </w:r>
      <w:r>
        <w:rPr>
          <w:lang w:val="en_US" w:bidi="en_US"/>
        </w:rPr>
        <w:t>It is good to translate this section before you decide on a heading for it. Another heading for this section is:</w:t>
      </w:r>
    </w:p>
    <w:p>
      <w:pPr/>
      <w:r>
        <w:rPr>
          <w:lang w:val="en_US" w:bidi="en_US"/>
        </w:rPr>
      </w:r>
      <w:r>
        <w:rPr>
          <w:lang w:val="en_US" w:bidi="en_US"/>
        </w:rPr>
        <w:t>Jesus sent out the twelve apostles/disciples</w:t>
      </w:r>
    </w:p>
    <w:p>
      <w:pPr/>
      <w:r>
        <w:rPr>
          <w:lang w:val="en_US" w:bidi="en_US"/>
        </w:rPr>
      </w:r>
      <w:r>
        <w:rPr>
          <w:lang w:val="en_US" w:bidi="en_US"/>
        </w:rPr>
        <w:t>The Sending of the Twelve Apostles (NET)</w:t>
      </w:r>
    </w:p>
    <w:p>
      <w:pPr/>
      <w:r>
        <w:rPr>
          <w:lang w:val="en_US" w:bidi="en_US"/>
        </w:rPr>
      </w:r>
      <w:r>
        <w:rPr>
          <w:lang w:val="en_US" w:bidi="en_US"/>
        </w:rPr>
        <w:t>There are parallel passages for this section in Matthew 9:35, 10:5–15, and Mark 6:6–13.</w:t>
      </w:r>
    </w:p>
    <w:p>
      <w:pPr>
        <w:pStyle w:val="Heading5"/>
      </w:pPr>
      <w:r>
        <w:rPr>
          <w:lang w:val="en_US" w:bidi="en_US"/>
        </w:rPr>
        <w:t>9:3a–b</w:t>
      </w:r>
    </w:p>
    <w:p>
      <w:pPr/>
      <w:r>
        <w:rPr>
          <w:lang w:val="en_US" w:bidi="en_US"/>
        </w:rPr>
      </w:r>
      <w:r>
        <w:rPr>
          <w:lang w:val="en_US" w:bidi="en_US"/>
        </w:rPr>
        <w:t>Jesus told his apostles not to take anything with them on this trip. They should depend on God to provide what they needed as they preached and healed. God would provide for them through people who would give them a place to stay. See Matthew 10:10.</w:t>
      </w:r>
    </w:p>
    <w:p>
      <w:pPr/>
      <w:r>
        <w:rPr>
          <w:lang w:val="en_US" w:bidi="en_US"/>
        </w:rPr>
      </w:r>
      <w:r>
        <w:rPr>
          <w:lang w:val="en_US" w:bidi="en_US"/>
        </w:rPr>
        <w:t>The clause “Take nothing for the journey” in 9:3a is a general command. Specifically, Jesus told the disciples not to take the things listed in 9:3b.</w:t>
      </w:r>
    </w:p>
    <w:p>
      <w:pPr>
        <w:pStyle w:val="Heading5"/>
      </w:pPr>
      <w:r>
        <w:rPr>
          <w:lang w:val="en_US" w:bidi="en_US"/>
        </w:rPr>
        <w:t>9:3a</w:t>
      </w:r>
    </w:p>
    <w:p>
      <w:pPr/>
      <w:r>
        <w:rPr>
          <w:lang w:val="en_US" w:bidi="en_US"/>
        </w:rPr>
      </w:r>
      <w:r>
        <w:rPr>
          <w:b/>
          <w:lang w:val="en_US" w:bidi="en_US"/>
        </w:rPr>
        <w:t>“Take nothing for the journey,” He told them,</w:t>
      </w:r>
    </w:p>
    <w:p>
      <w:pPr>
        <w:pStyle w:val="ListBullet"/>
        <w:spacing w:line="240" w:lineRule="auto"/>
        <w:ind w:left="720"/>
      </w:pPr>
      <w:r>
        <w:rPr>
          <w:lang w:val="en_US" w:bidi="en_US"/>
        </w:rPr>
      </w:r>
      <w:r>
        <w:rPr>
          <w:lang w:val="en_US" w:bidi="en_US"/>
        </w:rPr>
        <w:t>Jesus told them, “Do not take anything with you</w:t>
      </w:r>
      <w:r>
        <w:rPr>
          <w:vertAlign w:val="superscript"/>
          <w:lang w:val="en_US" w:bidi="en_US"/>
        </w:rPr>
        <w:t>(plur)</w:t>
      </w:r>
      <w:r>
        <w:rPr>
          <w:lang w:val="en_US" w:bidi="en_US"/>
        </w:rPr>
        <w:t xml:space="preserve"> as you</w:t>
      </w:r>
      <w:r>
        <w:rPr>
          <w:vertAlign w:val="superscript"/>
          <w:lang w:val="en_US" w:bidi="en_US"/>
        </w:rPr>
        <w:t>(plur)</w:t>
      </w:r>
      <w:r>
        <w:rPr>
          <w:lang w:val="en_US" w:bidi="en_US"/>
        </w:rPr>
        <w:t xml:space="preserve"> travel.</w:t>
      </w:r>
    </w:p>
    <w:p>
      <w:pPr>
        <w:pStyle w:val="ListBullet"/>
        <w:spacing w:line="240" w:lineRule="auto"/>
        <w:ind w:left="720"/>
      </w:pPr>
      <w:r>
        <w:rPr>
          <w:lang w:val="en_US" w:bidi="en_US"/>
        </w:rPr>
      </w:r>
      <w:r>
        <w:rPr>
          <w:lang w:val="en_US" w:bidi="en_US"/>
        </w:rPr>
        <w:t xml:space="preserve">He said to them, “Do not take any </w:t>
      </w:r>
      <w:r>
        <w:rPr>
          <w:lang w:val="en_US" w:bidi="en_US"/>
        </w:rPr>
        <w:t>of these</w:t>
      </w:r>
      <w:r>
        <w:rPr>
          <w:lang w:val="en_US" w:bidi="en_US"/>
        </w:rPr>
        <w:t xml:space="preserve"> things on your</w:t>
      </w:r>
      <w:r>
        <w:rPr>
          <w:vertAlign w:val="superscript"/>
          <w:lang w:val="en_US" w:bidi="en_US"/>
        </w:rPr>
        <w:t>(plur)</w:t>
      </w:r>
      <w:r>
        <w:rPr>
          <w:lang w:val="en_US" w:bidi="en_US"/>
        </w:rPr>
        <w:t xml:space="preserve"> trip:</w:t>
      </w:r>
    </w:p>
    <w:p>
      <w:pPr/>
      <w:r>
        <w:rPr>
          <w:lang w:val="en_US" w:bidi="en_US"/>
        </w:rPr>
      </w:r>
      <w:r>
        <w:rPr>
          <w:b/>
          <w:lang w:val="en_US" w:bidi="en_US"/>
        </w:rPr>
        <w:t>Take nothing for the journey:</w:t>
      </w:r>
      <w:r>
        <w:rPr>
          <w:lang w:val="en_US" w:bidi="en_US"/>
        </w:rPr>
        <w:t xml:space="preserve"> The clause </w:t>
      </w:r>
      <w:r>
        <w:rPr>
          <w:i/>
          <w:lang w:val="en_US" w:bidi="en_US"/>
        </w:rPr>
        <w:t>Take nothing for the journey</w:t>
      </w:r>
      <w:r>
        <w:rPr>
          <w:lang w:val="en_US" w:bidi="en_US"/>
        </w:rPr>
        <w:t xml:space="preserve"> indicates that the disciples should not carry anything with them on their journey.</w:t>
      </w:r>
    </w:p>
    <w:p>
      <w:pPr>
        <w:pStyle w:val="Heading5"/>
      </w:pPr>
      <w:r>
        <w:rPr>
          <w:lang w:val="en_US" w:bidi="en_US"/>
        </w:rPr>
        <w:t>9:3b</w:t>
      </w:r>
    </w:p>
    <w:p>
      <w:pPr/>
      <w:r>
        <w:rPr>
          <w:lang w:val="en_US" w:bidi="en_US"/>
        </w:rPr>
      </w:r>
      <w:r>
        <w:rPr>
          <w:b/>
          <w:lang w:val="en_US" w:bidi="en_US"/>
        </w:rPr>
        <w:t>“no staff, no bag, no bread, no money, no second tunic.</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take a staff, a knapsack, food, money, or an extra shirt.</w:t>
      </w:r>
    </w:p>
    <w:p>
      <w:pPr>
        <w:pStyle w:val="ListBullet"/>
        <w:spacing w:line="240" w:lineRule="auto"/>
        <w:ind w:left="720"/>
      </w:pPr>
      <w:r>
        <w:rPr>
          <w:lang w:val="en_US" w:bidi="en_US"/>
        </w:rPr>
      </w:r>
      <w:r>
        <w:rPr>
          <w:lang w:val="en_US" w:bidi="en_US"/>
        </w:rPr>
        <w:t>a walking stick, a sack/pouch, food, money, or a change of clothes.</w:t>
      </w:r>
    </w:p>
    <w:p>
      <w:pPr/>
      <w:r>
        <w:rPr>
          <w:lang w:val="en_US" w:bidi="en_US"/>
        </w:rPr>
      </w:r>
      <w:r>
        <w:rPr>
          <w:b/>
          <w:lang w:val="en_US" w:bidi="en_US"/>
        </w:rPr>
        <w:t>no staff:</w:t>
      </w:r>
      <w:r>
        <w:rPr>
          <w:lang w:val="en_US" w:bidi="en_US"/>
        </w:rPr>
        <w:t xml:space="preserve"> A </w:t>
      </w:r>
      <w:r>
        <w:rPr>
          <w:i/>
          <w:lang w:val="en_US" w:bidi="en_US"/>
        </w:rPr>
        <w:t>staff</w:t>
      </w:r>
      <w:r>
        <w:rPr>
          <w:lang w:val="en_US" w:bidi="en_US"/>
        </w:rPr>
        <w:t xml:space="preserve"> was a walking stick.</w:t>
      </w:r>
    </w:p>
    <w:p>
      <w:pPr/>
      <w:r>
        <w:rPr>
          <w:lang w:val="en_US" w:bidi="en_US"/>
        </w:rPr>
      </w:r>
      <w:r>
        <w:rPr>
          <w:b/>
          <w:lang w:val="en_US" w:bidi="en_US"/>
        </w:rPr>
        <w:t>no bag:</w:t>
      </w:r>
      <w:r>
        <w:rPr>
          <w:lang w:val="en_US" w:bidi="en_US"/>
        </w:rPr>
        <w:t xml:space="preserve"> The term that the BSB translates as </w:t>
      </w:r>
      <w:r>
        <w:rPr>
          <w:i/>
          <w:lang w:val="en_US" w:bidi="en_US"/>
        </w:rPr>
        <w:t>bag</w:t>
      </w:r>
      <w:r>
        <w:rPr>
          <w:lang w:val="en_US" w:bidi="en_US"/>
        </w:rPr>
        <w:t xml:space="preserve"> could refer to one of two things:</w:t>
      </w:r>
    </w:p>
    <w:p>
      <w:pPr>
        <w:pStyle w:val="ListNumber"/>
        <w:numPr>
          <w:ilvl w:val="0"/>
          <w:numId w:val="187"/>
        </w:numPr>
        <w:spacing w:line="240" w:lineRule="auto"/>
        <w:ind w:left="720"/>
      </w:pPr>
      <w:r>
        <w:rPr>
          <w:lang w:val="en_US" w:bidi="en_US"/>
        </w:rPr>
      </w:r>
      <w:r>
        <w:rPr>
          <w:lang w:val="en_US" w:bidi="en_US"/>
        </w:rPr>
        <w:t>A traveler’s bag or knapsack. Such a bag would be for carrying things to be used on the trip. For example:</w:t>
      </w:r>
      <w:r>
        <w:rPr>
          <w:lang w:val="en_US" w:bidi="en_US"/>
        </w:rPr>
        <w:t xml:space="preserve">traveler’s bag (NLT) </w:t>
      </w:r>
      <w:r>
        <w:rPr>
          <w:i/>
          <w:lang w:val="en_US" w:bidi="en_US"/>
        </w:rPr>
        <w:t>(BSB, NJB, CEV, GW, NLT)</w:t>
      </w:r>
    </w:p>
    <w:p>
      <w:pPr>
        <w:pStyle w:val="ListNumber"/>
        <w:spacing w:line="240" w:lineRule="auto"/>
        <w:ind w:left="720"/>
      </w:pPr>
      <w:r>
        <w:rPr>
          <w:lang w:val="en_US" w:bidi="en_US"/>
        </w:rPr>
      </w:r>
      <w:r>
        <w:rPr>
          <w:lang w:val="en_US" w:bidi="en_US"/>
        </w:rPr>
        <w:t>A beggar’s bag. This kind of bag would be for putting in food or money that people would give them. For example:</w:t>
      </w:r>
      <w:r>
        <w:rPr>
          <w:lang w:val="en_US" w:bidi="en_US"/>
        </w:rPr>
        <w:t xml:space="preserve">beggar’s bag (GNT) </w:t>
      </w:r>
      <w:r>
        <w:rPr>
          <w:i/>
          <w:lang w:val="en_US" w:bidi="en_US"/>
        </w:rPr>
        <w:t>(GNT)</w:t>
      </w:r>
    </w:p>
    <w:p>
      <w:pPr/>
      <w:r>
        <w:rPr>
          <w:lang w:val="en_US" w:bidi="en_US"/>
        </w:rPr>
      </w:r>
      <w:r>
        <w:rPr>
          <w:lang w:val="en_US" w:bidi="en_US"/>
        </w:rPr>
        <w:t>If possible, use a general word, as most English versions do. If you must be specific, it is recommended that you follow interpretation (1). This interpretation fits the context well.</w:t>
      </w:r>
    </w:p>
    <w:p>
      <w:pPr/>
      <w:r>
        <w:rPr>
          <w:lang w:val="en_US" w:bidi="en_US"/>
        </w:rPr>
      </w:r>
      <w:r>
        <w:rPr>
          <w:b/>
          <w:lang w:val="en_US" w:bidi="en_US"/>
        </w:rPr>
        <w:t>no bread:</w:t>
      </w:r>
      <w:r>
        <w:rPr>
          <w:lang w:val="en_US" w:bidi="en_US"/>
        </w:rPr>
        <w:t xml:space="preserve"> The word </w:t>
      </w:r>
      <w:r>
        <w:rPr>
          <w:i/>
          <w:lang w:val="en_US" w:bidi="en_US"/>
        </w:rPr>
        <w:t>bread</w:t>
      </w:r>
      <w:r>
        <w:rPr>
          <w:lang w:val="en_US" w:bidi="en_US"/>
        </w:rPr>
        <w:t xml:space="preserve"> describes the main food of the Jewish people. Here the term </w:t>
      </w:r>
      <w:r>
        <w:rPr>
          <w:i/>
          <w:lang w:val="en_US" w:bidi="en_US"/>
        </w:rPr>
        <w:t>bread</w:t>
      </w:r>
      <w:r>
        <w:rPr>
          <w:lang w:val="en_US" w:bidi="en_US"/>
        </w:rPr>
        <w:t xml:space="preserve"> is used in a general way to refer to any type of food. Jesus did not want the apostles to take any food with them. Another way to translate this is:</w:t>
      </w:r>
    </w:p>
    <w:p>
      <w:pPr/>
      <w:r>
        <w:rPr>
          <w:lang w:val="en_US" w:bidi="en_US"/>
        </w:rPr>
      </w:r>
      <w:r>
        <w:rPr>
          <w:lang w:val="en_US" w:bidi="en_US"/>
        </w:rPr>
        <w:t>no food (GNT)</w:t>
      </w:r>
    </w:p>
    <w:p>
      <w:pPr/>
      <w:r>
        <w:rPr>
          <w:lang w:val="en_US" w:bidi="en_US"/>
        </w:rPr>
      </w:r>
      <w:r>
        <w:rPr>
          <w:b/>
          <w:lang w:val="en_US" w:bidi="en_US"/>
        </w:rPr>
        <w:t>no second tunic:</w:t>
      </w:r>
      <w:r>
        <w:rPr>
          <w:lang w:val="en_US" w:bidi="en_US"/>
        </w:rPr>
        <w:t xml:space="preserve"> A </w:t>
      </w:r>
      <w:r>
        <w:rPr>
          <w:i/>
          <w:lang w:val="en_US" w:bidi="en_US"/>
        </w:rPr>
        <w:t>tunic</w:t>
      </w:r>
      <w:r>
        <w:rPr>
          <w:lang w:val="en_US" w:bidi="en_US"/>
        </w:rPr>
        <w:t xml:space="preserve"> was a long undergarment. The disciples should not take an extra shirt or set of clothes. See the note on “tunics” at 3:11a. Some other ways to translate this expression are:</w:t>
      </w:r>
    </w:p>
    <w:p>
      <w:pPr/>
      <w:r>
        <w:rPr>
          <w:lang w:val="en_US" w:bidi="en_US"/>
        </w:rPr>
      </w:r>
      <w:r>
        <w:rPr>
          <w:lang w:val="en_US" w:bidi="en_US"/>
        </w:rPr>
        <w:t>or even a change of clothes (CEV)</w:t>
      </w:r>
    </w:p>
    <w:p>
      <w:pPr/>
      <w:r>
        <w:rPr>
          <w:lang w:val="en_US" w:bidi="en_US"/>
        </w:rPr>
      </w:r>
      <w:r>
        <w:rPr>
          <w:lang w:val="en_US" w:bidi="en_US"/>
        </w:rPr>
        <w:t>not even an extra shirt (GNT)</w:t>
      </w:r>
      <w:r>
        <w:rPr>
          <w:lang w:val="en_US" w:bidi="en_US"/>
        </w:rPr>
      </w:r>
      <w:r>
        <w:rPr>
          <w:lang w:val="en_US" w:bidi="en_US"/>
        </w:rPr>
      </w:r>
    </w:p>
    <w:p>
      <w:pPr/>
      <w:r>
        <w:rPr>
          <w:lang w:val="en_US" w:bidi="en_US"/>
        </w:rPr>
      </w:r>
    </w:p>
    <w:p>
      <w:pPr>
        <w:pStyle w:val="Heading2"/>
      </w:pPr>
      <w:r>
        <w:rPr>
          <w:lang w:val="en_US" w:bidi="en_US"/>
        </w:rPr>
        <w:t>Luke 9:4</w:t>
      </w:r>
      <w:r>
        <w:rPr>
          <w:lang w:val="en_US" w:bidi="en_US"/>
        </w:rPr>
      </w:r>
    </w:p>
    <w:p>
      <w:pPr>
        <w:pStyle w:val="Heading4"/>
      </w:pPr>
      <w:r>
        <w:rPr>
          <w:lang w:val="en_US" w:bidi="en_US"/>
        </w:rPr>
        <w:t>Section 9:1–6: Jesus sent his twelve apostles to preach and heal people</w:t>
      </w:r>
    </w:p>
    <w:p>
      <w:pPr/>
      <w:r>
        <w:rPr>
          <w:lang w:val="en_US" w:bidi="en_US"/>
        </w:rPr>
      </w:r>
      <w:r>
        <w:rPr>
          <w:lang w:val="en_US" w:bidi="en_US"/>
        </w:rPr>
        <w:t>Jesus sent his twelve apostles to different towns to preach about God’s kingdom, to heal people, and to cast out demons. He gave them instructions about the trip (9:3), about where they should stay (9:4), and about what to do when people did not welcome them (9:5).</w:t>
      </w:r>
    </w:p>
    <w:p>
      <w:pPr/>
      <w:r>
        <w:rPr>
          <w:lang w:val="en_US" w:bidi="en_US"/>
        </w:rPr>
      </w:r>
      <w:r>
        <w:rPr>
          <w:lang w:val="en_US" w:bidi="en_US"/>
        </w:rPr>
        <w:t>It is good to translate this section before you decide on a heading for it. Another heading for this section is:</w:t>
      </w:r>
    </w:p>
    <w:p>
      <w:pPr/>
      <w:r>
        <w:rPr>
          <w:lang w:val="en_US" w:bidi="en_US"/>
        </w:rPr>
      </w:r>
      <w:r>
        <w:rPr>
          <w:lang w:val="en_US" w:bidi="en_US"/>
        </w:rPr>
        <w:t>Jesus sent out the twelve apostles/disciples</w:t>
      </w:r>
    </w:p>
    <w:p>
      <w:pPr/>
      <w:r>
        <w:rPr>
          <w:lang w:val="en_US" w:bidi="en_US"/>
        </w:rPr>
      </w:r>
      <w:r>
        <w:rPr>
          <w:lang w:val="en_US" w:bidi="en_US"/>
        </w:rPr>
        <w:t>The Sending of the Twelve Apostles (NET)</w:t>
      </w:r>
    </w:p>
    <w:p>
      <w:pPr/>
      <w:r>
        <w:rPr>
          <w:lang w:val="en_US" w:bidi="en_US"/>
        </w:rPr>
      </w:r>
      <w:r>
        <w:rPr>
          <w:lang w:val="en_US" w:bidi="en_US"/>
        </w:rPr>
        <w:t>There are parallel passages for this section in Matthew 9:35, 10:5–15, and Mark 6:6–13.</w:t>
      </w:r>
    </w:p>
    <w:p>
      <w:pPr>
        <w:pStyle w:val="Heading5"/>
      </w:pPr>
      <w:r>
        <w:rPr>
          <w:lang w:val="en_US" w:bidi="en_US"/>
        </w:rPr>
        <w:t>9:4a</w:t>
      </w:r>
    </w:p>
    <w:p>
      <w:pPr/>
      <w:r>
        <w:rPr>
          <w:lang w:val="en_US" w:bidi="en_US"/>
        </w:rPr>
      </w:r>
      <w:r>
        <w:rPr>
          <w:b/>
          <w:lang w:val="en_US" w:bidi="en_US"/>
        </w:rPr>
        <w:t>Whatever house you enter,</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go into a house </w:t>
      </w:r>
      <w:r>
        <w:rPr>
          <w:lang w:val="en_US" w:bidi="en_US"/>
        </w:rPr>
        <w:t>as a guest</w:t>
      </w:r>
      <w:r>
        <w:rPr>
          <w:lang w:val="en_US" w:bidi="en_US"/>
        </w:rPr>
        <w:t>,</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w:t>
      </w:r>
      <w:r>
        <w:rPr>
          <w:lang w:val="en_US" w:bidi="en_US"/>
        </w:rPr>
        <w:t>arrive in a particular town and someone invites you to</w:t>
      </w:r>
      <w:r>
        <w:rPr>
          <w:lang w:val="en_US" w:bidi="en_US"/>
        </w:rPr>
        <w:t xml:space="preserve"> stay in </w:t>
      </w:r>
      <w:r>
        <w:rPr>
          <w:lang w:val="en_US" w:bidi="en_US"/>
        </w:rPr>
        <w:t>his</w:t>
      </w:r>
      <w:r>
        <w:rPr>
          <w:lang w:val="en_US" w:bidi="en_US"/>
        </w:rPr>
        <w:t xml:space="preserve"> house,</w:t>
      </w:r>
    </w:p>
    <w:p>
      <w:pPr>
        <w:pStyle w:val="Heading5"/>
      </w:pPr>
      <w:r>
        <w:rPr>
          <w:lang w:val="en_US" w:bidi="en_US"/>
        </w:rPr>
        <w:t>9:4b</w:t>
      </w:r>
    </w:p>
    <w:p>
      <w:pPr/>
      <w:r>
        <w:rPr>
          <w:lang w:val="en_US" w:bidi="en_US"/>
        </w:rPr>
      </w:r>
      <w:r>
        <w:rPr>
          <w:b/>
          <w:lang w:val="en_US" w:bidi="en_US"/>
        </w:rPr>
        <w:t>stay there until you leave that area.</w:t>
      </w:r>
    </w:p>
    <w:p>
      <w:pPr>
        <w:pStyle w:val="ListBullet"/>
        <w:spacing w:line="240" w:lineRule="auto"/>
        <w:ind w:left="720"/>
      </w:pPr>
      <w:r>
        <w:rPr>
          <w:lang w:val="en_US" w:bidi="en_US"/>
        </w:rPr>
      </w:r>
      <w:r>
        <w:rPr>
          <w:lang w:val="en_US" w:bidi="en_US"/>
        </w:rPr>
        <w:t>continue to reside in that house until you</w:t>
      </w:r>
      <w:r>
        <w:rPr>
          <w:vertAlign w:val="superscript"/>
          <w:lang w:val="en_US" w:bidi="en_US"/>
        </w:rPr>
        <w:t>(plur)</w:t>
      </w:r>
      <w:r>
        <w:rPr>
          <w:lang w:val="en_US" w:bidi="en_US"/>
        </w:rPr>
        <w:t xml:space="preserve"> leave that town.</w:t>
      </w:r>
    </w:p>
    <w:p>
      <w:pPr>
        <w:pStyle w:val="ListBullet"/>
        <w:spacing w:line="240" w:lineRule="auto"/>
        <w:ind w:left="720"/>
      </w:pPr>
      <w:r>
        <w:rPr>
          <w:lang w:val="en_US" w:bidi="en_US"/>
        </w:rPr>
      </w:r>
      <w:r>
        <w:rPr>
          <w:lang w:val="en_US" w:bidi="en_US"/>
        </w:rPr>
        <w:t>stay there all the time you</w:t>
      </w:r>
      <w:r>
        <w:rPr>
          <w:vertAlign w:val="superscript"/>
          <w:lang w:val="en_US" w:bidi="en_US"/>
        </w:rPr>
        <w:t>(plur)</w:t>
      </w:r>
      <w:r>
        <w:rPr>
          <w:lang w:val="en_US" w:bidi="en_US"/>
        </w:rPr>
        <w:t xml:space="preserve"> are </w:t>
      </w:r>
      <w:r>
        <w:rPr>
          <w:lang w:val="en_US" w:bidi="en_US"/>
        </w:rPr>
        <w:t>preaching</w:t>
      </w:r>
      <w:r>
        <w:rPr>
          <w:lang w:val="en_US" w:bidi="en_US"/>
        </w:rPr>
        <w:t xml:space="preserve"> in </w:t>
      </w:r>
      <w:r>
        <w:rPr>
          <w:lang w:val="en_US" w:bidi="en_US"/>
        </w:rPr>
        <w:t>his</w:t>
      </w:r>
      <w:r>
        <w:rPr>
          <w:lang w:val="en_US" w:bidi="en_US"/>
        </w:rPr>
        <w:t xml:space="preserve"> town.</w:t>
      </w:r>
    </w:p>
    <w:p>
      <w:pPr>
        <w:pStyle w:val="Heading5"/>
      </w:pPr>
      <w:r>
        <w:rPr>
          <w:lang w:val="en_US" w:bidi="en_US"/>
        </w:rPr>
        <w:t>9:4a–b</w:t>
      </w:r>
    </w:p>
    <w:p>
      <w:pPr/>
      <w:r>
        <w:rPr>
          <w:lang w:val="en_US" w:bidi="en_US"/>
        </w:rPr>
      </w:r>
      <w:r>
        <w:rPr>
          <w:b/>
          <w:lang w:val="en_US" w:bidi="en_US"/>
        </w:rPr>
        <w:t>Whatever house you enter, stay there until you leave that area:</w:t>
      </w:r>
      <w:r>
        <w:rPr>
          <w:lang w:val="en_US" w:bidi="en_US"/>
        </w:rPr>
        <w:t xml:space="preserve"> The phrase </w:t>
      </w:r>
      <w:r>
        <w:rPr>
          <w:i/>
          <w:lang w:val="en_US" w:bidi="en_US"/>
        </w:rPr>
        <w:t>Whatever house you enter</w:t>
      </w:r>
      <w:r>
        <w:rPr>
          <w:lang w:val="en_US" w:bidi="en_US"/>
        </w:rPr>
        <w:t xml:space="preserve"> refers to any house where the apostles were invited to stay as guests on their journey. Jesus told them that they should stay in that same home until they left that town. This implies that they should not go to other houses to look for a better place to stay.</w:t>
      </w:r>
    </w:p>
    <w:p>
      <w:pPr/>
      <w:r>
        <w:rPr>
          <w:lang w:val="en_US" w:bidi="en_US"/>
        </w:rPr>
      </w:r>
      <w:r>
        <w:rPr>
          <w:lang w:val="en_US" w:bidi="en_US"/>
        </w:rPr>
        <w:t>In some languages it may be necessary to make explicit some of this information or to reorder some of the parts of this verse. For example:</w:t>
      </w:r>
    </w:p>
    <w:p>
      <w:pPr/>
      <w:r>
        <w:rPr>
          <w:lang w:val="en_US" w:bidi="en_US"/>
        </w:rPr>
      </w:r>
      <w:r>
        <w:rPr>
          <w:lang w:val="en_US" w:bidi="en_US"/>
        </w:rPr>
        <w:t>Wherever you go, stay in the same house until you leave town (NLT)</w:t>
      </w:r>
    </w:p>
    <w:p>
      <w:pPr/>
      <w:r>
        <w:rPr>
          <w:lang w:val="en_US" w:bidi="en_US"/>
        </w:rPr>
      </w:r>
      <w:r>
        <w:rPr>
          <w:lang w:val="en_US" w:bidi="en_US"/>
        </w:rPr>
        <w:t>When you are welcomed into a home, stay there until you leave that town (CEV)</w:t>
      </w:r>
    </w:p>
    <w:p>
      <w:pPr/>
      <w:r>
        <w:rPr>
          <w:lang w:val="en_US" w:bidi="en_US"/>
        </w:rPr>
      </w:r>
      <w:r>
        <w:rPr>
          <w:lang w:val="en_US" w:bidi="en_US"/>
        </w:rPr>
        <w:t>When you arrive in a town and someone invites you to be his guest, stay at that person’s house until you leave that town</w:t>
      </w:r>
    </w:p>
    <w:p>
      <w:pPr/>
      <w:r>
        <w:rPr>
          <w:lang w:val="en_US" w:bidi="en_US"/>
        </w:rPr>
      </w:r>
      <w:r>
        <w:rPr>
          <w:b/>
          <w:lang w:val="en_US" w:bidi="en_US"/>
        </w:rPr>
        <w:t>stay there:</w:t>
      </w:r>
      <w:r>
        <w:rPr>
          <w:lang w:val="en_US" w:bidi="en_US"/>
        </w:rPr>
        <w:t xml:space="preserve"> The Greek phrase that the BSB translates as </w:t>
      </w:r>
      <w:r>
        <w:rPr>
          <w:i/>
          <w:lang w:val="en_US" w:bidi="en_US"/>
        </w:rPr>
        <w:t>stay there</w:t>
      </w:r>
      <w:r>
        <w:rPr>
          <w:lang w:val="en_US" w:bidi="en_US"/>
        </w:rPr>
        <w:t xml:space="preserve"> means “stay there as a guest,” that is, sleep there at night. It does not imply that the disciples should stay inside the house and never go outside.</w:t>
      </w:r>
    </w:p>
    <w:p>
      <w:pPr/>
      <w:r>
        <w:rPr>
          <w:lang w:val="en_US" w:bidi="en_US"/>
        </w:rPr>
      </w:r>
      <w:r>
        <w:rPr>
          <w:b/>
          <w:lang w:val="en_US" w:bidi="en_US"/>
        </w:rPr>
        <w:t>until you leave that area:</w:t>
      </w:r>
      <w:r>
        <w:rPr>
          <w:lang w:val="en_US" w:bidi="en_US"/>
        </w:rPr>
        <w:t xml:space="preserve"> The phrase that the BSB translates as </w:t>
      </w:r>
      <w:r>
        <w:rPr>
          <w:i/>
          <w:lang w:val="en_US" w:bidi="en_US"/>
        </w:rPr>
        <w:t>until you leave that area</w:t>
      </w:r>
      <w:r>
        <w:rPr>
          <w:lang w:val="en_US" w:bidi="en_US"/>
        </w:rPr>
        <w:t xml:space="preserve"> is literally “and from there depart.” Several English versions translate the phrase that way. The BSB has supplied the words </w:t>
      </w:r>
      <w:r>
        <w:rPr>
          <w:i/>
          <w:lang w:val="en_US" w:bidi="en_US"/>
        </w:rPr>
        <w:t>that area</w:t>
      </w:r>
      <w:r>
        <w:rPr>
          <w:lang w:val="en_US" w:bidi="en_US"/>
        </w:rPr>
        <w:t xml:space="preserve"> to make the meaning clear. Use a natural way to say this in your language.</w:t>
      </w:r>
      <w:r>
        <w:rPr>
          <w:lang w:val="en_US" w:bidi="en_US"/>
        </w:rPr>
      </w:r>
      <w:r>
        <w:rPr>
          <w:lang w:val="en_US" w:bidi="en_US"/>
        </w:rPr>
      </w:r>
    </w:p>
    <w:p>
      <w:pPr/>
      <w:r>
        <w:rPr>
          <w:lang w:val="en_US" w:bidi="en_US"/>
        </w:rPr>
      </w:r>
    </w:p>
    <w:p>
      <w:pPr>
        <w:pStyle w:val="Heading2"/>
      </w:pPr>
      <w:r>
        <w:rPr>
          <w:lang w:val="en_US" w:bidi="en_US"/>
        </w:rPr>
        <w:t>Luke 9:5</w:t>
      </w:r>
      <w:r>
        <w:rPr>
          <w:lang w:val="en_US" w:bidi="en_US"/>
        </w:rPr>
      </w:r>
    </w:p>
    <w:p>
      <w:pPr>
        <w:pStyle w:val="Heading4"/>
      </w:pPr>
      <w:r>
        <w:rPr>
          <w:lang w:val="en_US" w:bidi="en_US"/>
        </w:rPr>
        <w:t>Section 9:1–6: Jesus sent his twelve apostles to preach and heal people</w:t>
      </w:r>
    </w:p>
    <w:p>
      <w:pPr/>
      <w:r>
        <w:rPr>
          <w:lang w:val="en_US" w:bidi="en_US"/>
        </w:rPr>
      </w:r>
      <w:r>
        <w:rPr>
          <w:lang w:val="en_US" w:bidi="en_US"/>
        </w:rPr>
        <w:t>Jesus sent his twelve apostles to different towns to preach about God’s kingdom, to heal people, and to cast out demons. He gave them instructions about the trip (9:3), about where they should stay (9:4), and about what to do when people did not welcome them (9:5).</w:t>
      </w:r>
    </w:p>
    <w:p>
      <w:pPr/>
      <w:r>
        <w:rPr>
          <w:lang w:val="en_US" w:bidi="en_US"/>
        </w:rPr>
      </w:r>
      <w:r>
        <w:rPr>
          <w:lang w:val="en_US" w:bidi="en_US"/>
        </w:rPr>
        <w:t>It is good to translate this section before you decide on a heading for it. Another heading for this section is:</w:t>
      </w:r>
    </w:p>
    <w:p>
      <w:pPr/>
      <w:r>
        <w:rPr>
          <w:lang w:val="en_US" w:bidi="en_US"/>
        </w:rPr>
      </w:r>
      <w:r>
        <w:rPr>
          <w:lang w:val="en_US" w:bidi="en_US"/>
        </w:rPr>
        <w:t>Jesus sent out the twelve apostles/disciples</w:t>
      </w:r>
    </w:p>
    <w:p>
      <w:pPr/>
      <w:r>
        <w:rPr>
          <w:lang w:val="en_US" w:bidi="en_US"/>
        </w:rPr>
      </w:r>
      <w:r>
        <w:rPr>
          <w:lang w:val="en_US" w:bidi="en_US"/>
        </w:rPr>
        <w:t>The Sending of the Twelve Apostles (NET)</w:t>
      </w:r>
    </w:p>
    <w:p>
      <w:pPr/>
      <w:r>
        <w:rPr>
          <w:lang w:val="en_US" w:bidi="en_US"/>
        </w:rPr>
      </w:r>
      <w:r>
        <w:rPr>
          <w:lang w:val="en_US" w:bidi="en_US"/>
        </w:rPr>
        <w:t>There are parallel passages for this section in Matthew 9:35, 10:5–15, and Mark 6:6–13.</w:t>
      </w:r>
    </w:p>
    <w:p>
      <w:pPr>
        <w:pStyle w:val="Heading5"/>
      </w:pPr>
      <w:r>
        <w:rPr>
          <w:lang w:val="en_US" w:bidi="en_US"/>
        </w:rPr>
        <w:t>9:5a</w:t>
      </w:r>
    </w:p>
    <w:p>
      <w:pPr/>
      <w:r>
        <w:rPr>
          <w:lang w:val="en_US" w:bidi="en_US"/>
        </w:rPr>
      </w:r>
      <w:r>
        <w:rPr>
          <w:b/>
          <w:lang w:val="en_US" w:bidi="en_US"/>
        </w:rPr>
        <w:t>If anyone does not welcome you,</w:t>
      </w:r>
    </w:p>
    <w:p>
      <w:pPr>
        <w:pStyle w:val="ListBullet"/>
        <w:spacing w:line="240" w:lineRule="auto"/>
        <w:ind w:left="720"/>
      </w:pPr>
      <w:r>
        <w:rPr>
          <w:lang w:val="en_US" w:bidi="en_US"/>
        </w:rPr>
      </w:r>
      <w:r>
        <w:rPr>
          <w:lang w:val="en_US" w:bidi="en_US"/>
        </w:rPr>
        <w:t xml:space="preserve">If people </w:t>
      </w:r>
      <w:r>
        <w:rPr>
          <w:lang w:val="en_US" w:bidi="en_US"/>
        </w:rPr>
        <w:t>in a town</w:t>
      </w:r>
      <w:r>
        <w:rPr>
          <w:lang w:val="en_US" w:bidi="en_US"/>
        </w:rPr>
        <w:t xml:space="preserve"> do not accept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But</w:t>
      </w:r>
      <w:r>
        <w:rPr>
          <w:lang w:val="en_US" w:bidi="en_US"/>
        </w:rPr>
        <w:t xml:space="preserve"> wherever the people reject you</w:t>
      </w:r>
      <w:r>
        <w:rPr>
          <w:vertAlign w:val="superscript"/>
          <w:lang w:val="en_US" w:bidi="en_US"/>
        </w:rPr>
        <w:t>(plur)</w:t>
      </w:r>
      <w:r>
        <w:rPr>
          <w:lang w:val="en_US" w:bidi="en_US"/>
        </w:rPr>
        <w:t>,</w:t>
      </w:r>
    </w:p>
    <w:p>
      <w:pPr/>
      <w:r>
        <w:rPr>
          <w:lang w:val="en_US" w:bidi="en_US"/>
        </w:rPr>
      </w:r>
      <w:r>
        <w:rPr>
          <w:lang w:val="en_US" w:bidi="en_US"/>
        </w:rPr>
        <w:t>In Greek, 9:5a begins with a conjunction that is often translated as “and.” The BSB and some other English versions do not translate this conjunction. It introduces the possibility that the disciples would not be able to do as Jesus had told them in the previous verse. In some languages it may be natural to translate it as “But.”</w:t>
      </w:r>
    </w:p>
    <w:p>
      <w:pPr/>
      <w:r>
        <w:rPr>
          <w:lang w:val="en_US" w:bidi="en_US"/>
        </w:rPr>
      </w:r>
      <w:r>
        <w:rPr>
          <w:b/>
          <w:lang w:val="en_US" w:bidi="en_US"/>
        </w:rPr>
        <w:t>If anyone does not welcome you:</w:t>
      </w:r>
      <w:r>
        <w:rPr>
          <w:lang w:val="en_US" w:bidi="en_US"/>
        </w:rPr>
        <w:t xml:space="preserve"> The phrase </w:t>
      </w:r>
      <w:r>
        <w:rPr>
          <w:i/>
          <w:lang w:val="en_US" w:bidi="en_US"/>
        </w:rPr>
        <w:t>does not welcome you</w:t>
      </w:r>
      <w:r>
        <w:rPr>
          <w:lang w:val="en_US" w:bidi="en_US"/>
        </w:rPr>
        <w:t xml:space="preserve"> refers to a situation where the people of a town might not receive the apostles. This probably implies that the townspeople would refuse to accept the apostles’ message. It may also imply that they would refuse to allow the apostles to stay in the town as guests.</w:t>
      </w:r>
    </w:p>
    <w:p>
      <w:pPr/>
      <w:r>
        <w:rPr>
          <w:lang w:val="en_US" w:bidi="en_US"/>
        </w:rPr>
      </w:r>
      <w:r>
        <w:rPr>
          <w:lang w:val="en_US" w:bidi="en_US"/>
        </w:rPr>
        <w:t>In some languages it may be more natural to make explicit that this clause is referring to the people of certain towns. For example:</w:t>
      </w:r>
    </w:p>
    <w:p>
      <w:pPr/>
      <w:r>
        <w:rPr>
          <w:lang w:val="en_US" w:bidi="en_US"/>
        </w:rPr>
      </w:r>
      <w:r>
        <w:rPr>
          <w:lang w:val="en_US" w:bidi="en_US"/>
        </w:rPr>
        <w:t>wherever people don’t welcome you (GNT)</w:t>
      </w:r>
    </w:p>
    <w:p>
      <w:pPr/>
      <w:r>
        <w:rPr>
          <w:lang w:val="en_US" w:bidi="en_US"/>
        </w:rPr>
      </w:r>
      <w:r>
        <w:rPr>
          <w:lang w:val="en_US" w:bidi="en_US"/>
        </w:rPr>
        <w:t>But</w:t>
      </w:r>
      <w:r>
        <w:rPr>
          <w:lang w:val="en_US" w:bidi="en_US"/>
        </w:rPr>
        <w:t xml:space="preserve"> if </w:t>
      </w:r>
      <w:r>
        <w:rPr>
          <w:lang w:val="en_US" w:bidi="en_US"/>
        </w:rPr>
        <w:t>you go to a town where</w:t>
      </w:r>
      <w:r>
        <w:rPr>
          <w:lang w:val="en_US" w:bidi="en_US"/>
        </w:rPr>
        <w:t xml:space="preserve"> people reject you</w:t>
      </w:r>
    </w:p>
    <w:p>
      <w:pPr>
        <w:pStyle w:val="Heading5"/>
      </w:pPr>
      <w:r>
        <w:rPr>
          <w:lang w:val="en_US" w:bidi="en_US"/>
        </w:rPr>
        <w:t>9:5b</w:t>
      </w:r>
    </w:p>
    <w:p>
      <w:pPr/>
      <w:r>
        <w:rPr>
          <w:lang w:val="en_US" w:bidi="en_US"/>
        </w:rPr>
      </w:r>
      <w:r>
        <w:rPr>
          <w:b/>
          <w:lang w:val="en_US" w:bidi="en_US"/>
        </w:rPr>
        <w:t>shake the dust off your feet when you leave that town,</w:t>
      </w:r>
    </w:p>
    <w:p>
      <w:pPr>
        <w:pStyle w:val="ListBullet"/>
        <w:spacing w:line="240" w:lineRule="auto"/>
        <w:ind w:left="720"/>
      </w:pPr>
      <w:r>
        <w:rPr>
          <w:lang w:val="en_US" w:bidi="en_US"/>
        </w:rPr>
      </w:r>
      <w:r>
        <w:rPr>
          <w:lang w:val="en_US" w:bidi="en_US"/>
        </w:rPr>
        <w:t>shake its dust from your</w:t>
      </w:r>
      <w:r>
        <w:rPr>
          <w:vertAlign w:val="superscript"/>
          <w:lang w:val="en_US" w:bidi="en_US"/>
        </w:rPr>
        <w:t>(plur)</w:t>
      </w:r>
      <w:r>
        <w:rPr>
          <w:lang w:val="en_US" w:bidi="en_US"/>
        </w:rPr>
        <w:t xml:space="preserve"> feet as you go out/away</w:t>
      </w:r>
    </w:p>
    <w:p>
      <w:pPr>
        <w:pStyle w:val="ListBullet"/>
        <w:spacing w:line="240" w:lineRule="auto"/>
        <w:ind w:left="720"/>
      </w:pPr>
      <w:r>
        <w:rPr>
          <w:lang w:val="en_US" w:bidi="en_US"/>
        </w:rPr>
      </w:r>
      <w:r>
        <w:rPr>
          <w:lang w:val="en_US" w:bidi="en_US"/>
        </w:rPr>
        <w:t xml:space="preserve">leave that town, and, </w:t>
      </w:r>
      <w:r>
        <w:rPr>
          <w:lang w:val="en_US" w:bidi="en_US"/>
        </w:rPr>
        <w:t>as you</w:t>
      </w:r>
      <w:r>
        <w:rPr>
          <w:vertAlign w:val="superscript"/>
          <w:lang w:val="en_US" w:bidi="en_US"/>
        </w:rPr>
        <w:t>(plur)</w:t>
      </w:r>
      <w:r>
        <w:rPr>
          <w:lang w:val="en_US" w:bidi="en_US"/>
        </w:rPr>
        <w:t xml:space="preserve"> </w:t>
      </w:r>
      <w:r>
        <w:rPr>
          <w:lang w:val="en_US" w:bidi="en_US"/>
        </w:rPr>
        <w:t>go,</w:t>
      </w:r>
      <w:r>
        <w:rPr>
          <w:lang w:val="en_US" w:bidi="en_US"/>
        </w:rPr>
        <w:t xml:space="preserve"> brush off your feet to remove the dust </w:t>
      </w:r>
      <w:r>
        <w:rPr>
          <w:lang w:val="en_US" w:bidi="en_US"/>
        </w:rPr>
        <w:t>of that town</w:t>
      </w:r>
      <w:r>
        <w:rPr>
          <w:lang w:val="en_US" w:bidi="en_US"/>
        </w:rPr>
        <w:t>.</w:t>
      </w:r>
    </w:p>
    <w:p>
      <w:pPr/>
      <w:r>
        <w:rPr>
          <w:lang w:val="en_US" w:bidi="en_US"/>
        </w:rPr>
      </w:r>
      <w:r>
        <w:rPr>
          <w:b/>
          <w:lang w:val="en_US" w:bidi="en_US"/>
        </w:rPr>
        <w:t>shake the dust off your feet when you leave that town:</w:t>
      </w:r>
      <w:r>
        <w:rPr>
          <w:lang w:val="en_US" w:bidi="en_US"/>
        </w:rPr>
        <w:t xml:space="preserve"> In some languages it may be more natural to translate 9:5b as two commands. For example:</w:t>
      </w:r>
    </w:p>
    <w:p>
      <w:pPr/>
      <w:r>
        <w:rPr>
          <w:lang w:val="en_US" w:bidi="en_US"/>
        </w:rPr>
      </w:r>
      <w:r>
        <w:rPr>
          <w:lang w:val="en_US" w:bidi="en_US"/>
        </w:rPr>
        <w:t>leave that town and shake the dust off your feet (GNT)</w:t>
      </w:r>
    </w:p>
    <w:p>
      <w:pPr/>
      <w:r>
        <w:rPr>
          <w:lang w:val="en_US" w:bidi="en_US"/>
        </w:rPr>
      </w:r>
      <w:r>
        <w:rPr>
          <w:b/>
          <w:lang w:val="en_US" w:bidi="en_US"/>
        </w:rPr>
        <w:t>shake the dust off your feet:</w:t>
      </w:r>
      <w:r>
        <w:rPr>
          <w:lang w:val="en_US" w:bidi="en_US"/>
        </w:rPr>
        <w:t xml:space="preserve"> Here Jesus told the disciples to remove any of the town’s dust that stuck to their feet and sandals. The disciples probably did this by shaking their feet or by brushing off the dust with their hands. Consider how you would describe this kind of action in your language.</w:t>
      </w:r>
    </w:p>
    <w:p>
      <w:pPr/>
      <w:r>
        <w:rPr>
          <w:lang w:val="en_US" w:bidi="en_US"/>
        </w:rPr>
      </w:r>
      <w:r>
        <w:rPr>
          <w:lang w:val="en_US" w:bidi="en_US"/>
        </w:rPr>
        <w:t>To a Jewish person, shaking the dust of a place off his feet had a special meaning. It meant that he did not have any relationship with the people in that place. It implied that the people there were not God’s people.</w:t>
      </w:r>
    </w:p>
    <w:p>
      <w:pPr/>
      <w:r>
        <w:rPr>
          <w:lang w:val="en_US" w:bidi="en_US"/>
        </w:rPr>
      </w:r>
      <w:r>
        <w:rPr>
          <w:lang w:val="en_US" w:bidi="en_US"/>
        </w:rPr>
        <w:t>In this context, the disciples were also showing that they were not responsible for what happened to those people. God would punish the people because they did not accept the disciples and their message.</w:t>
      </w:r>
    </w:p>
    <w:p>
      <w:pPr/>
      <w:r>
        <w:rPr>
          <w:lang w:val="en_US" w:bidi="en_US"/>
        </w:rPr>
      </w:r>
      <w:r>
        <w:rPr>
          <w:lang w:val="en_US" w:bidi="en_US"/>
        </w:rPr>
        <w:t>It is important to translate this action literally here in 9:5b. Then you can explain the meaning in the next phrase (9:5c). Some ways to translate this are:</w:t>
      </w:r>
    </w:p>
    <w:p>
      <w:pPr/>
      <w:r>
        <w:rPr>
          <w:lang w:val="en_US" w:bidi="en_US"/>
        </w:rPr>
      </w:r>
      <w:r>
        <w:rPr>
          <w:lang w:val="en_US" w:bidi="en_US"/>
        </w:rPr>
        <w:t>shake off the dust of that town from the bottom of your feet when you leave</w:t>
      </w:r>
    </w:p>
    <w:p>
      <w:pPr/>
      <w:r>
        <w:rPr>
          <w:lang w:val="en_US" w:bidi="en_US"/>
        </w:rPr>
      </w:r>
      <w:r>
        <w:rPr>
          <w:lang w:val="en_US" w:bidi="en_US"/>
        </w:rPr>
        <w:t>when you leave, shake/brush/tap your feet to remove the dust</w:t>
      </w:r>
    </w:p>
    <w:p>
      <w:pPr/>
      <w:r>
        <w:rPr>
          <w:lang w:val="en_US" w:bidi="en_US"/>
        </w:rPr>
      </w:r>
      <w:r>
        <w:rPr>
          <w:b/>
          <w:lang w:val="en_US" w:bidi="en_US"/>
        </w:rPr>
        <w:t>the dust:</w:t>
      </w:r>
      <w:r>
        <w:rPr>
          <w:lang w:val="en_US" w:bidi="en_US"/>
        </w:rPr>
        <w:t xml:space="preserve"> The phrase </w:t>
      </w:r>
      <w:r>
        <w:rPr>
          <w:i/>
          <w:lang w:val="en_US" w:bidi="en_US"/>
        </w:rPr>
        <w:t>the dust</w:t>
      </w:r>
      <w:r>
        <w:rPr>
          <w:lang w:val="en_US" w:bidi="en_US"/>
        </w:rPr>
        <w:t xml:space="preserve"> refers to the dust of the town where people rejected them. In some languages it may be more natural to make this explicit. For example:</w:t>
      </w:r>
    </w:p>
    <w:p>
      <w:pPr/>
      <w:r>
        <w:rPr>
          <w:lang w:val="en_US" w:bidi="en_US"/>
        </w:rPr>
      </w:r>
      <w:r>
        <w:rPr>
          <w:lang w:val="en_US" w:bidi="en_US"/>
        </w:rPr>
        <w:t xml:space="preserve">shake </w:t>
      </w:r>
      <w:r>
        <w:rPr>
          <w:u w:val="single"/>
          <w:lang w:val="en_US" w:bidi="en_US"/>
        </w:rPr>
        <w:t>its</w:t>
      </w:r>
      <w:r>
        <w:rPr>
          <w:lang w:val="en_US" w:bidi="en_US"/>
        </w:rPr>
        <w:t xml:space="preserve"> dust from your feet</w:t>
      </w:r>
    </w:p>
    <w:p>
      <w:pPr/>
      <w:r>
        <w:rPr>
          <w:lang w:val="en_US" w:bidi="en_US"/>
        </w:rPr>
      </w:r>
      <w:r>
        <w:rPr>
          <w:b/>
          <w:lang w:val="en_US" w:bidi="en_US"/>
        </w:rPr>
        <w:t>your feet:</w:t>
      </w:r>
      <w:r>
        <w:rPr>
          <w:lang w:val="en_US" w:bidi="en_US"/>
        </w:rPr>
        <w:t xml:space="preserve"> If your language has specific words for the “lower leg and foot” or for the “sole of the foot,” consider which of these expressions is more natural for this context.</w:t>
      </w:r>
    </w:p>
    <w:p>
      <w:pPr>
        <w:pStyle w:val="Heading5"/>
      </w:pPr>
      <w:r>
        <w:rPr>
          <w:lang w:val="en_US" w:bidi="en_US"/>
        </w:rPr>
        <w:t>9:5c</w:t>
      </w:r>
    </w:p>
    <w:p>
      <w:pPr/>
      <w:r>
        <w:rPr>
          <w:lang w:val="en_US" w:bidi="en_US"/>
        </w:rPr>
      </w:r>
      <w:r>
        <w:rPr>
          <w:b/>
          <w:lang w:val="en_US" w:bidi="en_US"/>
        </w:rPr>
        <w:t>as a testimony against them.”</w:t>
      </w:r>
    </w:p>
    <w:p>
      <w:pPr>
        <w:pStyle w:val="ListBullet"/>
        <w:spacing w:line="240" w:lineRule="auto"/>
        <w:ind w:left="720"/>
      </w:pPr>
      <w:r>
        <w:rPr>
          <w:lang w:val="en_US" w:bidi="en_US"/>
        </w:rPr>
      </w:r>
      <w:r>
        <w:rPr>
          <w:lang w:val="en_US" w:bidi="en_US"/>
        </w:rPr>
        <w:t xml:space="preserve">to show them </w:t>
      </w:r>
      <w:r>
        <w:rPr>
          <w:lang w:val="en_US" w:bidi="en_US"/>
        </w:rPr>
        <w:t>that they are guilty/responsible for rejecting God’s message</w:t>
      </w:r>
      <w:r>
        <w:rPr>
          <w:lang w:val="en_US" w:bidi="en_US"/>
        </w:rPr>
        <w:t>.”</w:t>
      </w:r>
    </w:p>
    <w:p>
      <w:pPr>
        <w:pStyle w:val="ListBullet"/>
        <w:spacing w:line="240" w:lineRule="auto"/>
        <w:ind w:left="720"/>
      </w:pPr>
      <w:r>
        <w:rPr>
          <w:lang w:val="en_US" w:bidi="en_US"/>
        </w:rPr>
      </w:r>
      <w:r>
        <w:rPr>
          <w:lang w:val="en_US" w:bidi="en_US"/>
        </w:rPr>
        <w:t xml:space="preserve">This will warn the people of that town </w:t>
      </w:r>
      <w:r>
        <w:rPr>
          <w:lang w:val="en_US" w:bidi="en_US"/>
        </w:rPr>
        <w:t>that God will judge/punish them</w:t>
      </w:r>
      <w:r>
        <w:rPr>
          <w:lang w:val="en_US" w:bidi="en_US"/>
        </w:rPr>
        <w:t>.”</w:t>
      </w:r>
    </w:p>
    <w:p>
      <w:pPr/>
      <w:r>
        <w:rPr>
          <w:lang w:val="en_US" w:bidi="en_US"/>
        </w:rPr>
      </w:r>
      <w:r>
        <w:rPr>
          <w:b/>
          <w:lang w:val="en_US" w:bidi="en_US"/>
        </w:rPr>
        <w:t>as a testimony against them:</w:t>
      </w:r>
      <w:r>
        <w:rPr>
          <w:lang w:val="en_US" w:bidi="en_US"/>
        </w:rPr>
        <w:t xml:space="preserve"> The phrase </w:t>
      </w:r>
      <w:r>
        <w:rPr>
          <w:i/>
          <w:lang w:val="en_US" w:bidi="en_US"/>
        </w:rPr>
        <w:t>as a testimony against them</w:t>
      </w:r>
      <w:r>
        <w:rPr>
          <w:lang w:val="en_US" w:bidi="en_US"/>
        </w:rPr>
        <w:t xml:space="preserve"> gives the meaning of the symbolic action of shaking dust off one’s feet. When the apostles shook off the dust of a town from their feet, they were warning the people. They were saying that God would judge them if they did not repent. Other ways to translate this phrase are:</w:t>
      </w:r>
    </w:p>
    <w:p>
      <w:pPr/>
      <w:r>
        <w:rPr>
          <w:lang w:val="en_US" w:bidi="en_US"/>
        </w:rPr>
      </w:r>
      <w:r>
        <w:rPr>
          <w:lang w:val="en_US" w:bidi="en_US"/>
        </w:rPr>
        <w:t xml:space="preserve">as a warning to them </w:t>
      </w:r>
      <w:r>
        <w:rPr>
          <w:lang w:val="en_US" w:bidi="en_US"/>
        </w:rPr>
        <w:t>that God will judge/punish them</w:t>
      </w:r>
    </w:p>
    <w:p>
      <w:pPr/>
      <w:r>
        <w:rPr>
          <w:lang w:val="en_US" w:bidi="en_US"/>
        </w:rPr>
      </w:r>
      <w:r>
        <w:rPr>
          <w:lang w:val="en_US" w:bidi="en_US"/>
        </w:rPr>
        <w:t xml:space="preserve">as a sign to show them </w:t>
      </w:r>
      <w:r>
        <w:rPr>
          <w:lang w:val="en_US" w:bidi="en_US"/>
        </w:rPr>
        <w:t>that they are responsible/guilty</w:t>
      </w:r>
      <w:r>
        <w:rPr>
          <w:lang w:val="en_US" w:bidi="en_US"/>
        </w:rPr>
      </w:r>
      <w:r>
        <w:rPr>
          <w:lang w:val="en_US" w:bidi="en_US"/>
        </w:rPr>
      </w:r>
    </w:p>
    <w:p>
      <w:pPr/>
      <w:r>
        <w:rPr>
          <w:lang w:val="en_US" w:bidi="en_US"/>
        </w:rPr>
      </w:r>
    </w:p>
    <w:p>
      <w:pPr>
        <w:pStyle w:val="Heading2"/>
      </w:pPr>
      <w:r>
        <w:rPr>
          <w:lang w:val="en_US" w:bidi="en_US"/>
        </w:rPr>
        <w:t>Luke 9:6</w:t>
      </w:r>
      <w:r>
        <w:rPr>
          <w:lang w:val="en_US" w:bidi="en_US"/>
        </w:rPr>
      </w:r>
    </w:p>
    <w:p>
      <w:pPr>
        <w:pStyle w:val="Heading4"/>
      </w:pPr>
      <w:r>
        <w:rPr>
          <w:lang w:val="en_US" w:bidi="en_US"/>
        </w:rPr>
        <w:t>Section 9:1–6: Jesus sent his twelve apostles to preach and heal people</w:t>
      </w:r>
    </w:p>
    <w:p>
      <w:pPr/>
      <w:r>
        <w:rPr>
          <w:lang w:val="en_US" w:bidi="en_US"/>
        </w:rPr>
      </w:r>
      <w:r>
        <w:rPr>
          <w:lang w:val="en_US" w:bidi="en_US"/>
        </w:rPr>
        <w:t>Jesus sent his twelve apostles to different towns to preach about God’s kingdom, to heal people, and to cast out demons. He gave them instructions about the trip (9:3), about where they should stay (9:4), and about what to do when people did not welcome them (9:5).</w:t>
      </w:r>
    </w:p>
    <w:p>
      <w:pPr/>
      <w:r>
        <w:rPr>
          <w:lang w:val="en_US" w:bidi="en_US"/>
        </w:rPr>
      </w:r>
      <w:r>
        <w:rPr>
          <w:lang w:val="en_US" w:bidi="en_US"/>
        </w:rPr>
        <w:t>It is good to translate this section before you decide on a heading for it. Another heading for this section is:</w:t>
      </w:r>
    </w:p>
    <w:p>
      <w:pPr/>
      <w:r>
        <w:rPr>
          <w:lang w:val="en_US" w:bidi="en_US"/>
        </w:rPr>
      </w:r>
      <w:r>
        <w:rPr>
          <w:lang w:val="en_US" w:bidi="en_US"/>
        </w:rPr>
        <w:t>Jesus sent out the twelve apostles/disciples</w:t>
      </w:r>
    </w:p>
    <w:p>
      <w:pPr/>
      <w:r>
        <w:rPr>
          <w:lang w:val="en_US" w:bidi="en_US"/>
        </w:rPr>
      </w:r>
      <w:r>
        <w:rPr>
          <w:lang w:val="en_US" w:bidi="en_US"/>
        </w:rPr>
        <w:t>The Sending of the Twelve Apostles (NET)</w:t>
      </w:r>
    </w:p>
    <w:p>
      <w:pPr/>
      <w:r>
        <w:rPr>
          <w:lang w:val="en_US" w:bidi="en_US"/>
        </w:rPr>
      </w:r>
      <w:r>
        <w:rPr>
          <w:lang w:val="en_US" w:bidi="en_US"/>
        </w:rPr>
        <w:t>There are parallel passages for this section in Matthew 9:35, 10:5–15, and Mark 6:6–13.</w:t>
      </w:r>
    </w:p>
    <w:p>
      <w:pPr>
        <w:pStyle w:val="Heading5"/>
      </w:pPr>
      <w:r>
        <w:rPr>
          <w:lang w:val="en_US" w:bidi="en_US"/>
        </w:rPr>
        <w:t>9:6a</w:t>
      </w:r>
    </w:p>
    <w:p>
      <w:pPr/>
      <w:r>
        <w:rPr>
          <w:lang w:val="en_US" w:bidi="en_US"/>
        </w:rPr>
      </w:r>
      <w:r>
        <w:rPr>
          <w:b/>
          <w:lang w:val="en_US" w:bidi="en_US"/>
        </w:rPr>
        <w:t>So they set out and went from village to village,</w:t>
      </w:r>
    </w:p>
    <w:p>
      <w:pPr>
        <w:pStyle w:val="ListBullet"/>
        <w:spacing w:line="240" w:lineRule="auto"/>
        <w:ind w:left="720"/>
      </w:pPr>
      <w:r>
        <w:rPr>
          <w:lang w:val="en_US" w:bidi="en_US"/>
        </w:rPr>
      </w:r>
      <w:r>
        <w:rPr>
          <w:lang w:val="en_US" w:bidi="en_US"/>
        </w:rPr>
        <w:t xml:space="preserve">So </w:t>
      </w:r>
      <w:r>
        <w:rPr>
          <w:lang w:val="en_US" w:bidi="en_US"/>
        </w:rPr>
        <w:t>the apostles</w:t>
      </w:r>
      <w:r>
        <w:rPr>
          <w:lang w:val="en_US" w:bidi="en_US"/>
        </w:rPr>
        <w:t xml:space="preserve"> left and went from one village to another.</w:t>
      </w:r>
    </w:p>
    <w:p>
      <w:pPr>
        <w:pStyle w:val="ListBullet"/>
        <w:spacing w:line="240" w:lineRule="auto"/>
        <w:ind w:left="720"/>
      </w:pPr>
      <w:r>
        <w:rPr>
          <w:lang w:val="en_US" w:bidi="en_US"/>
        </w:rPr>
      </w:r>
      <w:r>
        <w:rPr>
          <w:lang w:val="en_US" w:bidi="en_US"/>
        </w:rPr>
        <w:t xml:space="preserve">So </w:t>
      </w:r>
      <w:r>
        <w:rPr>
          <w:lang w:val="en_US" w:bidi="en_US"/>
        </w:rPr>
        <w:t>the disciples</w:t>
      </w:r>
      <w:r>
        <w:rPr>
          <w:lang w:val="en_US" w:bidi="en_US"/>
        </w:rPr>
        <w:t xml:space="preserve"> departed and went to many villages.</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introduces what the apostles did in obedience to Jesus’ instructions. Other English versions translate it as “And” or “Then,” and some versions do not have a connector. Express the connection in a natural way in your language.</w:t>
      </w:r>
    </w:p>
    <w:p>
      <w:pPr/>
      <w:r>
        <w:rPr>
          <w:lang w:val="en_US" w:bidi="en_US"/>
        </w:rPr>
      </w:r>
      <w:r>
        <w:rPr>
          <w:b/>
          <w:lang w:val="en_US" w:bidi="en_US"/>
        </w:rPr>
        <w:t>they set out:</w:t>
      </w:r>
      <w:r>
        <w:rPr>
          <w:lang w:val="en_US" w:bidi="en_US"/>
        </w:rPr>
        <w:t xml:space="preserve"> The phrase </w:t>
      </w:r>
      <w:r>
        <w:rPr>
          <w:i/>
          <w:lang w:val="en_US" w:bidi="en_US"/>
        </w:rPr>
        <w:t>they set out</w:t>
      </w:r>
      <w:r>
        <w:rPr>
          <w:lang w:val="en_US" w:bidi="en_US"/>
        </w:rPr>
        <w:t xml:space="preserve"> indicates that the apostles left Jesus and started on their journey.</w:t>
      </w:r>
    </w:p>
    <w:p>
      <w:pPr/>
      <w:r>
        <w:rPr>
          <w:lang w:val="en_US" w:bidi="en_US"/>
        </w:rPr>
      </w:r>
      <w:r>
        <w:rPr>
          <w:b/>
          <w:lang w:val="en_US" w:bidi="en_US"/>
        </w:rPr>
        <w:t>went from village to village:</w:t>
      </w:r>
      <w:r>
        <w:rPr>
          <w:lang w:val="en_US" w:bidi="en_US"/>
        </w:rPr>
        <w:t xml:space="preserve"> The Greek phrase that the BSB translates as </w:t>
      </w:r>
      <w:r>
        <w:rPr>
          <w:i/>
          <w:lang w:val="en_US" w:bidi="en_US"/>
        </w:rPr>
        <w:t>went from village to village</w:t>
      </w:r>
      <w:r>
        <w:rPr>
          <w:lang w:val="en_US" w:bidi="en_US"/>
        </w:rPr>
        <w:t xml:space="preserve"> indicates that the apostles went to many villages in the area. In some villages they may have stayed for several days.</w:t>
      </w:r>
    </w:p>
    <w:p>
      <w:pPr/>
      <w:r>
        <w:rPr>
          <w:lang w:val="en_US" w:bidi="en_US"/>
        </w:rPr>
      </w:r>
      <w:r>
        <w:rPr>
          <w:b/>
          <w:lang w:val="en_US" w:bidi="en_US"/>
        </w:rPr>
        <w:t>village:</w:t>
      </w:r>
      <w:r>
        <w:rPr>
          <w:lang w:val="en_US" w:bidi="en_US"/>
        </w:rPr>
        <w:t xml:space="preserve"> The Greek word that the BSB translates as </w:t>
      </w:r>
      <w:r>
        <w:rPr>
          <w:i/>
          <w:lang w:val="en_US" w:bidi="en_US"/>
        </w:rPr>
        <w:t>village</w:t>
      </w:r>
      <w:r>
        <w:rPr>
          <w:lang w:val="en_US" w:bidi="en_US"/>
        </w:rPr>
        <w:t xml:space="preserve"> refers to a small country town.</w:t>
      </w:r>
    </w:p>
    <w:p>
      <w:pPr>
        <w:pStyle w:val="Heading5"/>
      </w:pPr>
      <w:r>
        <w:rPr>
          <w:lang w:val="en_US" w:bidi="en_US"/>
        </w:rPr>
        <w:t>9:6b</w:t>
      </w:r>
    </w:p>
    <w:p>
      <w:pPr/>
      <w:r>
        <w:rPr>
          <w:lang w:val="en_US" w:bidi="en_US"/>
        </w:rPr>
      </w:r>
      <w:r>
        <w:rPr>
          <w:b/>
          <w:lang w:val="en_US" w:bidi="en_US"/>
        </w:rPr>
        <w:t>preaching the gospel and healing people everywhere.</w:t>
      </w:r>
    </w:p>
    <w:p>
      <w:pPr>
        <w:pStyle w:val="ListBullet"/>
        <w:spacing w:line="240" w:lineRule="auto"/>
        <w:ind w:left="720"/>
      </w:pPr>
      <w:r>
        <w:rPr>
          <w:lang w:val="en_US" w:bidi="en_US"/>
        </w:rPr>
      </w:r>
      <w:r>
        <w:rPr>
          <w:lang w:val="en_US" w:bidi="en_US"/>
        </w:rPr>
        <w:t xml:space="preserve">They preached the good news and healed people everywhere </w:t>
      </w:r>
      <w:r>
        <w:rPr>
          <w:lang w:val="en_US" w:bidi="en_US"/>
        </w:rPr>
        <w:t>they went</w:t>
      </w:r>
      <w:r>
        <w:rPr>
          <w:lang w:val="en_US" w:bidi="en_US"/>
        </w:rPr>
        <w:t>.</w:t>
      </w:r>
    </w:p>
    <w:p>
      <w:pPr>
        <w:pStyle w:val="ListBullet"/>
        <w:spacing w:line="240" w:lineRule="auto"/>
        <w:ind w:left="720"/>
      </w:pPr>
      <w:r>
        <w:rPr>
          <w:lang w:val="en_US" w:bidi="en_US"/>
        </w:rPr>
      </w:r>
      <w:r>
        <w:rPr>
          <w:lang w:val="en_US" w:bidi="en_US"/>
        </w:rPr>
        <w:t xml:space="preserve">Everywhere </w:t>
      </w:r>
      <w:r>
        <w:rPr>
          <w:lang w:val="en_US" w:bidi="en_US"/>
        </w:rPr>
        <w:t>they went</w:t>
      </w:r>
      <w:r>
        <w:rPr>
          <w:lang w:val="en_US" w:bidi="en_US"/>
        </w:rPr>
        <w:t xml:space="preserve"> they told </w:t>
      </w:r>
      <w:r>
        <w:rPr>
          <w:lang w:val="en_US" w:bidi="en_US"/>
        </w:rPr>
        <w:t>people</w:t>
      </w:r>
      <w:r>
        <w:rPr>
          <w:lang w:val="en_US" w:bidi="en_US"/>
        </w:rPr>
        <w:t xml:space="preserve"> the good news </w:t>
      </w:r>
      <w:r>
        <w:rPr>
          <w:lang w:val="en_US" w:bidi="en_US"/>
        </w:rPr>
        <w:t>about God’s reign/rule</w:t>
      </w:r>
      <w:r>
        <w:rPr>
          <w:lang w:val="en_US" w:bidi="en_US"/>
        </w:rPr>
        <w:t xml:space="preserve"> and they healed </w:t>
      </w:r>
      <w:r>
        <w:rPr>
          <w:lang w:val="en_US" w:bidi="en_US"/>
        </w:rPr>
        <w:t>those who were sick</w:t>
      </w:r>
      <w:r>
        <w:rPr>
          <w:lang w:val="en_US" w:bidi="en_US"/>
        </w:rPr>
        <w:t>.</w:t>
      </w:r>
    </w:p>
    <w:p>
      <w:pPr/>
      <w:r>
        <w:rPr>
          <w:lang w:val="en_US" w:bidi="en_US"/>
        </w:rPr>
      </w:r>
      <w:r>
        <w:rPr>
          <w:b/>
          <w:lang w:val="en_US" w:bidi="en_US"/>
        </w:rPr>
        <w:t>preaching the gospel:</w:t>
      </w:r>
      <w:r>
        <w:rPr>
          <w:lang w:val="en_US" w:bidi="en_US"/>
        </w:rPr>
        <w:t xml:space="preserve"> The Greek word that the BSB translates as </w:t>
      </w:r>
      <w:r>
        <w:rPr>
          <w:i/>
          <w:lang w:val="en_US" w:bidi="en_US"/>
        </w:rPr>
        <w:t>preaching the gospel</w:t>
      </w:r>
      <w:r>
        <w:rPr>
          <w:lang w:val="en_US" w:bidi="en_US"/>
        </w:rPr>
        <w:t xml:space="preserve"> means to tell people publicly the good news about God’s kingdom. The word should not refer only to what a preacher does in church. Some other ways to translate </w:t>
      </w:r>
      <w:r>
        <w:rPr>
          <w:i/>
          <w:lang w:val="en_US" w:bidi="en_US"/>
        </w:rPr>
        <w:t>preaching the gospel</w:t>
      </w:r>
      <w:r>
        <w:rPr>
          <w:lang w:val="en_US" w:bidi="en_US"/>
        </w:rPr>
        <w:t xml:space="preserve"> are:</w:t>
      </w:r>
    </w:p>
    <w:p>
      <w:pPr/>
      <w:r>
        <w:rPr>
          <w:lang w:val="en_US" w:bidi="en_US"/>
        </w:rPr>
      </w:r>
      <w:r>
        <w:rPr>
          <w:lang w:val="en_US" w:bidi="en_US"/>
        </w:rPr>
        <w:t>announcing the good/sweet news</w:t>
      </w:r>
    </w:p>
    <w:p>
      <w:pPr/>
      <w:r>
        <w:rPr>
          <w:lang w:val="en_US" w:bidi="en_US"/>
        </w:rPr>
      </w:r>
      <w:r>
        <w:rPr>
          <w:lang w:val="en_US" w:bidi="en_US"/>
        </w:rPr>
        <w:t xml:space="preserve">bringing good news </w:t>
      </w:r>
      <w:r>
        <w:rPr>
          <w:lang w:val="en_US" w:bidi="en_US"/>
        </w:rPr>
        <w:t>about God’s rule</w:t>
      </w:r>
    </w:p>
    <w:p>
      <w:pPr/>
      <w:r>
        <w:rPr>
          <w:lang w:val="en_US" w:bidi="en_US"/>
        </w:rPr>
      </w:r>
      <w:r>
        <w:rPr>
          <w:lang w:val="en_US" w:bidi="en_US"/>
        </w:rPr>
        <w:t xml:space="preserve">preaching good news </w:t>
      </w:r>
      <w:r>
        <w:rPr>
          <w:lang w:val="en_US" w:bidi="en_US"/>
        </w:rPr>
        <w:t>from God</w:t>
      </w:r>
    </w:p>
    <w:p>
      <w:pPr/>
      <w:r>
        <w:rPr>
          <w:lang w:val="en_US" w:bidi="en_US"/>
        </w:rPr>
      </w:r>
      <w:r>
        <w:rPr>
          <w:lang w:val="en_US" w:bidi="en_US"/>
        </w:rPr>
        <w:t>telling the message/report that causes joy</w:t>
      </w:r>
    </w:p>
    <w:p>
      <w:pPr/>
      <w:r>
        <w:rPr>
          <w:lang w:val="en_US" w:bidi="en_US"/>
        </w:rPr>
      </w:r>
      <w:r>
        <w:rPr>
          <w:lang w:val="en_US" w:bidi="en_US"/>
        </w:rPr>
        <w:t>Be sure that the term you choose does not refer only to a news report or to a story that is not true.</w:t>
      </w:r>
    </w:p>
    <w:p>
      <w:pPr/>
      <w:r>
        <w:rPr>
          <w:lang w:val="en_US" w:bidi="en_US"/>
        </w:rPr>
      </w:r>
      <w:r>
        <w:rPr>
          <w:b/>
          <w:lang w:val="en_US" w:bidi="en_US"/>
        </w:rPr>
        <w:t>healing people everywhere:</w:t>
      </w:r>
      <w:r>
        <w:rPr>
          <w:lang w:val="en_US" w:bidi="en_US"/>
        </w:rPr>
        <w:t xml:space="preserve"> The phrase </w:t>
      </w:r>
      <w:r>
        <w:rPr>
          <w:i/>
          <w:lang w:val="en_US" w:bidi="en_US"/>
        </w:rPr>
        <w:t>healing people everywhere</w:t>
      </w:r>
      <w:r>
        <w:rPr>
          <w:lang w:val="en_US" w:bidi="en_US"/>
        </w:rPr>
        <w:t xml:space="preserve"> indicates that the apostles healed some people everywhere they went. It does not mean that they healed everyone in all of those places. The word </w:t>
      </w:r>
      <w:r>
        <w:rPr>
          <w:i/>
          <w:lang w:val="en_US" w:bidi="en_US"/>
        </w:rPr>
        <w:t>healing</w:t>
      </w:r>
      <w:r>
        <w:rPr>
          <w:lang w:val="en_US" w:bidi="en_US"/>
        </w:rPr>
        <w:t xml:space="preserve"> refers to curing sicknesses. It can also refer to casting out demons.</w:t>
      </w:r>
      <w:r>
        <w:rPr>
          <w:lang w:val="en_US" w:bidi="en_US"/>
        </w:rPr>
      </w:r>
      <w:r>
        <w:rPr>
          <w:lang w:val="en_US" w:bidi="en_US"/>
        </w:rPr>
      </w:r>
    </w:p>
    <w:p>
      <w:pPr/>
      <w:r>
        <w:rPr>
          <w:lang w:val="en_US" w:bidi="en_US"/>
        </w:rPr>
      </w:r>
    </w:p>
    <w:p>
      <w:pPr>
        <w:pStyle w:val="Heading2"/>
      </w:pPr>
      <w:r>
        <w:rPr>
          <w:lang w:val="en_US" w:bidi="en_US"/>
        </w:rPr>
        <w:t>Luke 9:7</w:t>
      </w:r>
      <w:r>
        <w:rPr>
          <w:lang w:val="en_US" w:bidi="en_US"/>
        </w:rPr>
      </w:r>
    </w:p>
    <w:p>
      <w:pPr>
        <w:pStyle w:val="Heading4"/>
      </w:pPr>
      <w:r>
        <w:rPr>
          <w:lang w:val="en_US" w:bidi="en_US"/>
        </w:rPr>
        <w:t>Section 9:7–9: Herod was confused by the reports about Jesus</w:t>
      </w:r>
    </w:p>
    <w:p>
      <w:pPr/>
      <w:r>
        <w:rPr>
          <w:lang w:val="en_US" w:bidi="en_US"/>
        </w:rPr>
      </w:r>
      <w:r>
        <w:rPr>
          <w:lang w:val="en_US" w:bidi="en_US"/>
        </w:rPr>
        <w:t>Herod the governor heard about the amazing things that Jesus and his apostles were doing. However, Herod did not know what that implied about the kind of person that Jesus was. People said that Jesus was a prophet who had become alive again (9:19), but they could not decide which prophet he was. Some people thought that Jesus was John the Baptizer. Herod had caused John to be executed, and he was confused about who Jesus was and how he got his power.</w:t>
      </w:r>
    </w:p>
    <w:p>
      <w:pPr/>
      <w:r>
        <w:rPr>
          <w:lang w:val="en_US" w:bidi="en_US"/>
        </w:rPr>
      </w:r>
      <w:r>
        <w:rPr>
          <w:lang w:val="en_US" w:bidi="en_US"/>
        </w:rPr>
        <w:t>Some other headings for this section are:</w:t>
      </w:r>
    </w:p>
    <w:p>
      <w:pPr/>
      <w:r>
        <w:rPr>
          <w:lang w:val="en_US" w:bidi="en_US"/>
        </w:rPr>
      </w:r>
      <w:r>
        <w:rPr>
          <w:lang w:val="en_US" w:bidi="en_US"/>
        </w:rPr>
        <w:t>Herod’s confusion about Jesus</w:t>
      </w:r>
    </w:p>
    <w:p>
      <w:pPr/>
      <w:r>
        <w:rPr>
          <w:lang w:val="en_US" w:bidi="en_US"/>
        </w:rPr>
      </w:r>
      <w:r>
        <w:rPr>
          <w:lang w:val="en_US" w:bidi="en_US"/>
        </w:rPr>
        <w:t>Herod was worried</w:t>
      </w:r>
    </w:p>
    <w:p>
      <w:pPr/>
      <w:r>
        <w:rPr>
          <w:lang w:val="en_US" w:bidi="en_US"/>
        </w:rPr>
      </w:r>
      <w:r>
        <w:rPr>
          <w:lang w:val="en_US" w:bidi="en_US"/>
        </w:rPr>
        <w:t>There are parallel passages for this section in Matthew 14:1–12 and Mark 6:14–29.</w:t>
      </w:r>
    </w:p>
    <w:p>
      <w:pPr>
        <w:pStyle w:val="Heading5"/>
      </w:pPr>
      <w:r>
        <w:rPr>
          <w:lang w:val="en_US" w:bidi="en_US"/>
        </w:rPr>
        <w:t>9:7a</w:t>
      </w:r>
    </w:p>
    <w:p>
      <w:pPr/>
      <w:r>
        <w:rPr>
          <w:lang w:val="en_US" w:bidi="en_US"/>
        </w:rPr>
      </w:r>
      <w:r>
        <w:rPr>
          <w:b/>
          <w:lang w:val="en_US" w:bidi="en_US"/>
        </w:rPr>
        <w:t>When Herod the tetrarch heard about all that was happening,</w:t>
      </w:r>
    </w:p>
    <w:p>
      <w:pPr>
        <w:pStyle w:val="ListBullet"/>
        <w:spacing w:line="240" w:lineRule="auto"/>
        <w:ind w:left="720"/>
      </w:pPr>
      <w:r>
        <w:rPr>
          <w:lang w:val="en_US" w:bidi="en_US"/>
        </w:rPr>
      </w:r>
      <w:r>
        <w:rPr>
          <w:lang w:val="en_US" w:bidi="en_US"/>
        </w:rPr>
        <w:t xml:space="preserve">¶ Herod the governor/ruler </w:t>
      </w:r>
      <w:r>
        <w:rPr>
          <w:lang w:val="en_US" w:bidi="en_US"/>
        </w:rPr>
        <w:t>of Galilee</w:t>
      </w:r>
      <w:r>
        <w:rPr>
          <w:lang w:val="en_US" w:bidi="en_US"/>
        </w:rPr>
        <w:t xml:space="preserve"> heard about all </w:t>
      </w:r>
      <w:r>
        <w:rPr>
          <w:lang w:val="en_US" w:bidi="en_US"/>
        </w:rPr>
        <w:t>the amazing things</w:t>
      </w:r>
      <w:r>
        <w:rPr>
          <w:lang w:val="en_US" w:bidi="en_US"/>
        </w:rPr>
        <w:t xml:space="preserve"> that </w:t>
      </w:r>
      <w:r>
        <w:rPr>
          <w:lang w:val="en_US" w:bidi="en_US"/>
        </w:rPr>
        <w:t>Jesus and his disciples</w:t>
      </w:r>
      <w:r>
        <w:rPr>
          <w:lang w:val="en_US" w:bidi="en_US"/>
        </w:rPr>
        <w:t xml:space="preserve"> were doing.</w:t>
      </w:r>
    </w:p>
    <w:p>
      <w:pPr>
        <w:pStyle w:val="ListBullet"/>
        <w:spacing w:line="240" w:lineRule="auto"/>
        <w:ind w:left="720"/>
      </w:pPr>
      <w:r>
        <w:rPr>
          <w:lang w:val="en_US" w:bidi="en_US"/>
        </w:rPr>
      </w:r>
      <w:r>
        <w:rPr>
          <w:lang w:val="en_US" w:bidi="en_US"/>
        </w:rPr>
        <w:t xml:space="preserve">¶ Meanwhile the one/man who ruled </w:t>
      </w:r>
      <w:r>
        <w:rPr>
          <w:lang w:val="en_US" w:bidi="en_US"/>
        </w:rPr>
        <w:t>Galilee</w:t>
      </w:r>
      <w:r>
        <w:rPr>
          <w:lang w:val="en_US" w:bidi="en_US"/>
        </w:rPr>
        <w:t xml:space="preserve">, Herod </w:t>
      </w:r>
      <w:r>
        <w:rPr>
          <w:lang w:val="en_US" w:bidi="en_US"/>
        </w:rPr>
        <w:t>Antipas</w:t>
      </w:r>
      <w:r>
        <w:rPr>
          <w:lang w:val="en_US" w:bidi="en_US"/>
        </w:rPr>
        <w:t xml:space="preserve">, heard about all these </w:t>
      </w:r>
      <w:r>
        <w:rPr>
          <w:lang w:val="en_US" w:bidi="en_US"/>
        </w:rPr>
        <w:t>amazing things</w:t>
      </w:r>
      <w:r>
        <w:rPr>
          <w:lang w:val="en_US" w:bidi="en_US"/>
        </w:rPr>
        <w:t xml:space="preserve"> that were happening.</w:t>
      </w:r>
    </w:p>
    <w:p>
      <w:pPr/>
      <w:r>
        <w:rPr>
          <w:lang w:val="en_US" w:bidi="en_US"/>
        </w:rPr>
      </w:r>
      <w:r>
        <w:rPr>
          <w:b/>
          <w:lang w:val="en_US" w:bidi="en_US"/>
        </w:rPr>
        <w:t>When:</w:t>
      </w:r>
      <w:r>
        <w:rPr>
          <w:lang w:val="en_US" w:bidi="en_US"/>
        </w:rPr>
        <w:t xml:space="preserve"> The Greek word that the BSB translates as </w:t>
      </w:r>
      <w:r>
        <w:rPr>
          <w:i/>
          <w:lang w:val="en_US" w:bidi="en_US"/>
        </w:rPr>
        <w:t>When</w:t>
      </w:r>
      <w:r>
        <w:rPr>
          <w:lang w:val="en_US" w:bidi="en_US"/>
        </w:rPr>
        <w:t xml:space="preserve"> introduces a change of topic in this story. It does not refer to present time. Some English versions do not translate this word here. Some other ways to introduce the topic are:</w:t>
      </w:r>
    </w:p>
    <w:p>
      <w:pPr/>
      <w:r>
        <w:rPr>
          <w:lang w:val="en_US" w:bidi="en_US"/>
        </w:rPr>
      </w:r>
      <w:r>
        <w:rPr>
          <w:lang w:val="en_US" w:bidi="en_US"/>
        </w:rPr>
        <w:t>When Herod Antipas, the ruler of Galilee, heard about everything Jesus was doing (NLT)</w:t>
      </w:r>
    </w:p>
    <w:p>
      <w:pPr/>
      <w:r>
        <w:rPr>
          <w:lang w:val="en_US" w:bidi="en_US"/>
        </w:rPr>
      </w:r>
      <w:r>
        <w:rPr>
          <w:lang w:val="en_US" w:bidi="en_US"/>
        </w:rPr>
        <w:t>Herod, the governor, heard about all the things that were happening (NCV)</w:t>
      </w:r>
    </w:p>
    <w:p>
      <w:pPr/>
      <w:r>
        <w:rPr>
          <w:lang w:val="en_US" w:bidi="en_US"/>
        </w:rPr>
      </w:r>
      <w:r>
        <w:rPr>
          <w:b/>
          <w:lang w:val="en_US" w:bidi="en_US"/>
        </w:rPr>
        <w:t>Herod:</w:t>
      </w:r>
      <w:r>
        <w:rPr>
          <w:lang w:val="en_US" w:bidi="en_US"/>
        </w:rPr>
        <w:t xml:space="preserve"> This </w:t>
      </w:r>
      <w:r>
        <w:rPr>
          <w:i/>
          <w:lang w:val="en_US" w:bidi="en_US"/>
        </w:rPr>
        <w:t>Herod</w:t>
      </w:r>
      <w:r>
        <w:rPr>
          <w:lang w:val="en_US" w:bidi="en_US"/>
        </w:rPr>
        <w:t xml:space="preserve"> was Herod Antipas. His father was Herod the Great.</w:t>
      </w:r>
    </w:p>
    <w:p>
      <w:pPr/>
      <w:r>
        <w:rPr>
          <w:lang w:val="en_US" w:bidi="en_US"/>
        </w:rPr>
      </w:r>
      <w:r>
        <w:rPr>
          <w:b/>
          <w:lang w:val="en_US" w:bidi="en_US"/>
        </w:rPr>
        <w:t>the tetrarch:</w:t>
      </w:r>
      <w:r>
        <w:rPr>
          <w:lang w:val="en_US" w:bidi="en_US"/>
        </w:rPr>
        <w:t xml:space="preserve"> A </w:t>
      </w:r>
      <w:r>
        <w:rPr>
          <w:i/>
          <w:lang w:val="en_US" w:bidi="en_US"/>
        </w:rPr>
        <w:t>tetrarch</w:t>
      </w:r>
      <w:r>
        <w:rPr>
          <w:lang w:val="en_US" w:bidi="en_US"/>
        </w:rPr>
        <w:t xml:space="preserve"> was the ruler or governor of a fourth part of a kingdom. When Herod the Great died, Caesar divided the land that he ruled. Caesar appointed some of Herod’s sons to rule different parts. Herod Antipas became the ruler of the province/district called Galilee.</w:t>
      </w:r>
    </w:p>
    <w:p>
      <w:pPr/>
      <w:r>
        <w:rPr>
          <w:lang w:val="en_US" w:bidi="en_US"/>
        </w:rPr>
      </w:r>
      <w:r>
        <w:rPr>
          <w:lang w:val="en_US" w:bidi="en_US"/>
        </w:rPr>
        <w:t xml:space="preserve">The focus here is not on the meaning of the word </w:t>
      </w:r>
      <w:r>
        <w:rPr>
          <w:i/>
          <w:lang w:val="en_US" w:bidi="en_US"/>
        </w:rPr>
        <w:t>tetrarch</w:t>
      </w:r>
      <w:r>
        <w:rPr>
          <w:lang w:val="en_US" w:bidi="en_US"/>
        </w:rPr>
        <w:t xml:space="preserve">. For this reason, you may translate </w:t>
      </w:r>
      <w:r>
        <w:rPr>
          <w:i/>
          <w:lang w:val="en_US" w:bidi="en_US"/>
        </w:rPr>
        <w:t>tetrarch</w:t>
      </w:r>
      <w:r>
        <w:rPr>
          <w:lang w:val="en_US" w:bidi="en_US"/>
        </w:rPr>
        <w:t xml:space="preserve"> in a general way. You may want to make “Galilee” explicit in order to distinguish this Herod from the other rulers in the New Testament who were also named Herod. For example:</w:t>
      </w:r>
    </w:p>
    <w:p>
      <w:pPr/>
      <w:r>
        <w:rPr>
          <w:lang w:val="en_US" w:bidi="en_US"/>
        </w:rPr>
      </w:r>
      <w:r>
        <w:rPr>
          <w:lang w:val="en_US" w:bidi="en_US"/>
        </w:rPr>
        <w:t>Herod Antipas, the ruler of Galilee (NLT)</w:t>
      </w:r>
    </w:p>
    <w:p>
      <w:pPr/>
      <w:r>
        <w:rPr>
          <w:lang w:val="en_US" w:bidi="en_US"/>
        </w:rPr>
      </w:r>
      <w:r>
        <w:rPr>
          <w:lang w:val="en_US" w:bidi="en_US"/>
        </w:rPr>
        <w:t xml:space="preserve">Herod, the leader/governor </w:t>
      </w:r>
      <w:r>
        <w:rPr>
          <w:lang w:val="en_US" w:bidi="en_US"/>
        </w:rPr>
        <w:t>of Galilee</w:t>
      </w:r>
    </w:p>
    <w:p>
      <w:pPr/>
      <w:r>
        <w:rPr>
          <w:lang w:val="en_US" w:bidi="en_US"/>
        </w:rPr>
      </w:r>
      <w:r>
        <w:rPr>
          <w:lang w:val="en_US" w:bidi="en_US"/>
        </w:rPr>
        <w:t xml:space="preserve">Herod ruled/governed </w:t>
      </w:r>
      <w:r>
        <w:rPr>
          <w:lang w:val="en_US" w:bidi="en_US"/>
        </w:rPr>
        <w:t>the province called Galilee</w:t>
      </w:r>
      <w:r>
        <w:rPr>
          <w:lang w:val="en_US" w:bidi="en_US"/>
        </w:rPr>
        <w:t>.</w:t>
      </w:r>
    </w:p>
    <w:p>
      <w:pPr/>
      <w:r>
        <w:rPr>
          <w:lang w:val="en_US" w:bidi="en_US"/>
        </w:rPr>
      </w:r>
      <w:r>
        <w:rPr>
          <w:lang w:val="en_US" w:bidi="en_US"/>
        </w:rPr>
        <w:t xml:space="preserve">The term </w:t>
      </w:r>
      <w:r>
        <w:rPr>
          <w:i/>
          <w:lang w:val="en_US" w:bidi="en_US"/>
        </w:rPr>
        <w:t>tetrarch</w:t>
      </w:r>
      <w:r>
        <w:rPr>
          <w:lang w:val="en_US" w:bidi="en_US"/>
        </w:rPr>
        <w:t xml:space="preserve"> also occurred in 3:1c.</w:t>
      </w:r>
    </w:p>
    <w:p>
      <w:pPr/>
      <w:r>
        <w:rPr>
          <w:lang w:val="en_US" w:bidi="en_US"/>
        </w:rPr>
      </w:r>
      <w:r>
        <w:rPr>
          <w:b/>
          <w:lang w:val="en_US" w:bidi="en_US"/>
        </w:rPr>
        <w:t>heard about all that was happening:</w:t>
      </w:r>
      <w:r>
        <w:rPr>
          <w:lang w:val="en_US" w:bidi="en_US"/>
        </w:rPr>
        <w:t xml:space="preserve"> The phrase </w:t>
      </w:r>
      <w:r>
        <w:rPr>
          <w:i/>
          <w:lang w:val="en_US" w:bidi="en_US"/>
        </w:rPr>
        <w:t>heard about all that was happening</w:t>
      </w:r>
      <w:r>
        <w:rPr>
          <w:lang w:val="en_US" w:bidi="en_US"/>
        </w:rPr>
        <w:t xml:space="preserve"> indicates that Herod heard about all the amazing things that Jesus and his apostles were doing.</w:t>
      </w:r>
    </w:p>
    <w:p>
      <w:pPr>
        <w:pStyle w:val="Heading5"/>
      </w:pPr>
      <w:r>
        <w:rPr>
          <w:lang w:val="en_US" w:bidi="en_US"/>
        </w:rPr>
        <w:t>9:7b</w:t>
      </w:r>
    </w:p>
    <w:p>
      <w:pPr/>
      <w:r>
        <w:rPr>
          <w:lang w:val="en_US" w:bidi="en_US"/>
        </w:rPr>
      </w:r>
      <w:r>
        <w:rPr>
          <w:b/>
          <w:lang w:val="en_US" w:bidi="en_US"/>
        </w:rPr>
        <w:t>he was perplexed.</w:t>
      </w:r>
    </w:p>
    <w:p>
      <w:pPr>
        <w:pStyle w:val="ListBullet"/>
        <w:spacing w:line="240" w:lineRule="auto"/>
        <w:ind w:left="720"/>
      </w:pPr>
      <w:r>
        <w:rPr>
          <w:lang w:val="en_US" w:bidi="en_US"/>
        </w:rPr>
      </w:r>
      <w:r>
        <w:rPr>
          <w:lang w:val="en_US" w:bidi="en_US"/>
        </w:rPr>
        <w:t>And he was confused/puzzled,</w:t>
      </w:r>
    </w:p>
    <w:p>
      <w:pPr>
        <w:pStyle w:val="ListBullet"/>
        <w:spacing w:line="240" w:lineRule="auto"/>
        <w:ind w:left="720"/>
      </w:pPr>
      <w:r>
        <w:rPr>
          <w:lang w:val="en_US" w:bidi="en_US"/>
        </w:rPr>
      </w:r>
      <w:r>
        <w:rPr>
          <w:lang w:val="en_US" w:bidi="en_US"/>
        </w:rPr>
        <w:t>He did not know what to think,</w:t>
      </w:r>
    </w:p>
    <w:p>
      <w:pPr/>
      <w:r>
        <w:rPr>
          <w:lang w:val="en_US" w:bidi="en_US"/>
        </w:rPr>
      </w:r>
      <w:r>
        <w:rPr>
          <w:lang w:val="en_US" w:bidi="en_US"/>
        </w:rPr>
        <w:t>This part of the verse expresses Herod’s reaction to the things that Jesus and his disciples were doing. Herod was perplexed. The next part of the verse (9:7c) gives the reason why he was perplexed. People were saying different things about Jesus, and Herod did not know which things were true. Express the connections in this verse in a natural way in your language. Here is one way to do this in English:</w:t>
      </w:r>
    </w:p>
    <w:p>
      <w:pPr/>
      <w:r>
        <w:rPr>
          <w:lang w:val="en_US" w:bidi="en_US"/>
        </w:rPr>
      </w:r>
      <w:r>
        <w:rPr>
          <w:vertAlign w:val="superscript"/>
          <w:lang w:val="en_US" w:bidi="en_US"/>
        </w:rPr>
        <w:t>7a</w:t>
      </w:r>
      <w:r>
        <w:rPr>
          <w:lang w:val="en_US" w:bidi="en_US"/>
        </w:rPr>
        <w:t xml:space="preserve">When Herod, the ruler of Galilee, heard about all the things that were happening, </w:t>
      </w:r>
      <w:r>
        <w:rPr>
          <w:vertAlign w:val="superscript"/>
          <w:lang w:val="en_US" w:bidi="en_US"/>
        </w:rPr>
        <w:t>7b</w:t>
      </w:r>
      <w:r>
        <w:rPr>
          <w:lang w:val="en_US" w:bidi="en_US"/>
        </w:rPr>
        <w:t xml:space="preserve">he was very confused, </w:t>
      </w:r>
      <w:r>
        <w:rPr>
          <w:vertAlign w:val="superscript"/>
          <w:lang w:val="en_US" w:bidi="en_US"/>
        </w:rPr>
        <w:t>7c</w:t>
      </w:r>
      <w:r>
        <w:rPr>
          <w:lang w:val="en_US" w:bidi="en_US"/>
        </w:rPr>
        <w:t>because some people were saying… (GNT)</w:t>
      </w:r>
    </w:p>
    <w:p>
      <w:pPr/>
      <w:r>
        <w:rPr>
          <w:lang w:val="en_US" w:bidi="en_US"/>
        </w:rPr>
      </w:r>
      <w:r>
        <w:rPr>
          <w:b/>
          <w:lang w:val="en_US" w:bidi="en_US"/>
        </w:rPr>
        <w:t>he was perplexed:</w:t>
      </w:r>
      <w:r>
        <w:rPr>
          <w:lang w:val="en_US" w:bidi="en_US"/>
        </w:rPr>
        <w:t xml:space="preserve"> The clause </w:t>
      </w:r>
      <w:r>
        <w:rPr>
          <w:i/>
          <w:lang w:val="en_US" w:bidi="en_US"/>
        </w:rPr>
        <w:t>he was perplexed</w:t>
      </w:r>
      <w:r>
        <w:rPr>
          <w:lang w:val="en_US" w:bidi="en_US"/>
        </w:rPr>
        <w:t xml:space="preserve"> means “he (Herod) was puzzled.” Herod did not know what to think about Jesus. He was confused because people had different ideas about who Jesus was. In some languages you may have an idiom to express this kind of confusion. Other ways to translate the clause in English are:</w:t>
      </w:r>
    </w:p>
    <w:p>
      <w:pPr/>
      <w:r>
        <w:rPr>
          <w:lang w:val="en_US" w:bidi="en_US"/>
        </w:rPr>
      </w:r>
      <w:r>
        <w:rPr>
          <w:lang w:val="en_US" w:bidi="en_US"/>
        </w:rPr>
        <w:t>He was very confused</w:t>
      </w:r>
    </w:p>
    <w:p>
      <w:pPr/>
      <w:r>
        <w:rPr>
          <w:lang w:val="en_US" w:bidi="en_US"/>
        </w:rPr>
      </w:r>
      <w:r>
        <w:rPr>
          <w:lang w:val="en_US" w:bidi="en_US"/>
        </w:rPr>
        <w:t>He did not know what to think about it</w:t>
      </w:r>
    </w:p>
    <w:p>
      <w:pPr>
        <w:pStyle w:val="Heading5"/>
      </w:pPr>
      <w:r>
        <w:rPr>
          <w:lang w:val="en_US" w:bidi="en_US"/>
        </w:rPr>
        <w:t>9:7c</w:t>
      </w:r>
    </w:p>
    <w:p>
      <w:pPr/>
      <w:r>
        <w:rPr>
          <w:lang w:val="en_US" w:bidi="en_US"/>
        </w:rPr>
      </w:r>
      <w:r>
        <w:rPr>
          <w:b/>
          <w:lang w:val="en_US" w:bidi="en_US"/>
        </w:rPr>
        <w:t>For some were saying that John had risen from the dead,</w:t>
      </w:r>
    </w:p>
    <w:p>
      <w:pPr>
        <w:pStyle w:val="ListBullet"/>
        <w:spacing w:line="240" w:lineRule="auto"/>
        <w:ind w:left="720"/>
      </w:pPr>
      <w:r>
        <w:rPr>
          <w:lang w:val="en_US" w:bidi="en_US"/>
        </w:rPr>
      </w:r>
      <w:r>
        <w:rPr>
          <w:lang w:val="en_US" w:bidi="en_US"/>
        </w:rPr>
        <w:t>because some people were saying that John had risen from the dead,</w:t>
      </w:r>
    </w:p>
    <w:p>
      <w:pPr>
        <w:pStyle w:val="ListBullet"/>
        <w:spacing w:line="240" w:lineRule="auto"/>
        <w:ind w:left="720"/>
      </w:pPr>
      <w:r>
        <w:rPr>
          <w:lang w:val="en_US" w:bidi="en_US"/>
        </w:rPr>
      </w:r>
      <w:r>
        <w:rPr>
          <w:lang w:val="en_US" w:bidi="en_US"/>
        </w:rPr>
        <w:t xml:space="preserve">because </w:t>
      </w:r>
      <w:r>
        <w:rPr>
          <w:lang w:val="en_US" w:bidi="en_US"/>
        </w:rPr>
        <w:t>people were saying different things about Jesus</w:t>
      </w:r>
      <w:r>
        <w:rPr>
          <w:lang w:val="en_US" w:bidi="en_US"/>
        </w:rPr>
        <w:t>. Some were saying, “</w:t>
      </w:r>
      <w:r>
        <w:rPr>
          <w:lang w:val="en_US" w:bidi="en_US"/>
        </w:rPr>
        <w:t>He is</w:t>
      </w:r>
      <w:r>
        <w:rPr>
          <w:lang w:val="en_US" w:bidi="en_US"/>
        </w:rPr>
        <w:t xml:space="preserve"> John </w:t>
      </w:r>
      <w:r>
        <w:rPr>
          <w:lang w:val="en_US" w:bidi="en_US"/>
        </w:rPr>
        <w:t>the Baptizer</w:t>
      </w:r>
      <w:r>
        <w:rPr>
          <w:lang w:val="en_US" w:bidi="en_US"/>
        </w:rPr>
        <w:t xml:space="preserve">. </w:t>
      </w:r>
      <w:r>
        <w:rPr>
          <w:lang w:val="en_US" w:bidi="en_US"/>
        </w:rPr>
        <w:t>God has caused him to</w:t>
      </w:r>
      <w:r>
        <w:rPr>
          <w:lang w:val="en_US" w:bidi="en_US"/>
        </w:rPr>
        <w:t xml:space="preserve"> become alive again!”</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why Herod was perplexed. Different people were saying different things about Jesus.</w:t>
      </w:r>
    </w:p>
    <w:p>
      <w:pPr/>
      <w:r>
        <w:rPr>
          <w:lang w:val="en_US" w:bidi="en_US"/>
        </w:rPr>
      </w:r>
      <w:r>
        <w:rPr>
          <w:b/>
          <w:lang w:val="en_US" w:bidi="en_US"/>
        </w:rPr>
        <w:t>some were saying that:</w:t>
      </w:r>
      <w:r>
        <w:rPr>
          <w:lang w:val="en_US" w:bidi="en_US"/>
        </w:rPr>
        <w:t xml:space="preserve"> The word </w:t>
      </w:r>
      <w:r>
        <w:rPr>
          <w:i/>
          <w:lang w:val="en_US" w:bidi="en_US"/>
        </w:rPr>
        <w:t>some</w:t>
      </w:r>
      <w:r>
        <w:rPr>
          <w:lang w:val="en_US" w:bidi="en_US"/>
        </w:rPr>
        <w:t xml:space="preserve"> means “some people” and refers to the first of three different groups of people who had different ideas about who Jesus was.</w:t>
      </w:r>
    </w:p>
    <w:p>
      <w:pPr/>
      <w:r>
        <w:rPr>
          <w:lang w:val="en_US" w:bidi="en_US"/>
        </w:rPr>
      </w:r>
      <w:r>
        <w:rPr>
          <w:b/>
          <w:lang w:val="en_US" w:bidi="en_US"/>
        </w:rPr>
        <w:t>John had risen from the dead:</w:t>
      </w:r>
      <w:r>
        <w:rPr>
          <w:lang w:val="en_US" w:bidi="en_US"/>
        </w:rPr>
        <w:t xml:space="preserve"> Some people said that Jesus was really John the Baptizer, who had become alive again. In some languages you may need to make the meaning more explicit. For example:</w:t>
      </w:r>
    </w:p>
    <w:p>
      <w:pPr/>
      <w:r>
        <w:rPr>
          <w:lang w:val="en_US" w:bidi="en_US"/>
        </w:rPr>
      </w:r>
      <w:r>
        <w:rPr>
          <w:lang w:val="en_US" w:bidi="en_US"/>
        </w:rPr>
        <w:t xml:space="preserve">Some were saying that </w:t>
      </w:r>
      <w:r>
        <w:rPr>
          <w:lang w:val="en_US" w:bidi="en_US"/>
        </w:rPr>
        <w:t>Jesus was</w:t>
      </w:r>
      <w:r>
        <w:rPr>
          <w:lang w:val="en_US" w:bidi="en_US"/>
        </w:rPr>
        <w:t xml:space="preserve"> John, who had been raised from the dead</w:t>
      </w:r>
    </w:p>
    <w:p>
      <w:pPr/>
      <w:r>
        <w:rPr>
          <w:lang w:val="en_US" w:bidi="en_US"/>
        </w:rPr>
      </w:r>
      <w:r>
        <w:rPr>
          <w:lang w:val="en_US" w:bidi="en_US"/>
        </w:rPr>
        <w:t xml:space="preserve">The verb phrase that the BSB translates with an active form, </w:t>
      </w:r>
      <w:r>
        <w:rPr>
          <w:i/>
          <w:lang w:val="en_US" w:bidi="en_US"/>
        </w:rPr>
        <w:t>had risen</w:t>
      </w:r>
      <w:r>
        <w:rPr>
          <w:lang w:val="en_US" w:bidi="en_US"/>
        </w:rPr>
        <w:t>, is passive in Greek. This indicates that John did not rise from the dead on his own. Someone raised him from the dead. In some languages it may be natural to use an active verb and say who did the action. For example:</w:t>
      </w:r>
    </w:p>
    <w:p>
      <w:pPr/>
      <w:r>
        <w:rPr>
          <w:lang w:val="en_US" w:bidi="en_US"/>
        </w:rPr>
      </w:r>
      <w:r>
        <w:rPr>
          <w:lang w:val="en_US" w:bidi="en_US"/>
        </w:rPr>
        <w:t>God</w:t>
      </w:r>
      <w:r>
        <w:rPr>
          <w:lang w:val="en_US" w:bidi="en_US"/>
        </w:rPr>
        <w:t xml:space="preserve"> had raised John from the dead</w:t>
      </w:r>
      <w:r>
        <w:rPr>
          <w:lang w:val="en_US" w:bidi="en_US"/>
        </w:rPr>
      </w:r>
      <w:r>
        <w:rPr>
          <w:lang w:val="en_US" w:bidi="en_US"/>
        </w:rPr>
      </w:r>
    </w:p>
    <w:p>
      <w:pPr/>
      <w:r>
        <w:rPr>
          <w:lang w:val="en_US" w:bidi="en_US"/>
        </w:rPr>
      </w:r>
    </w:p>
    <w:p>
      <w:pPr>
        <w:pStyle w:val="Heading2"/>
      </w:pPr>
      <w:r>
        <w:rPr>
          <w:lang w:val="en_US" w:bidi="en_US"/>
        </w:rPr>
        <w:t>Luke 9:8</w:t>
      </w:r>
      <w:r>
        <w:rPr>
          <w:lang w:val="en_US" w:bidi="en_US"/>
        </w:rPr>
      </w:r>
    </w:p>
    <w:p>
      <w:pPr>
        <w:pStyle w:val="Heading4"/>
      </w:pPr>
      <w:r>
        <w:rPr>
          <w:lang w:val="en_US" w:bidi="en_US"/>
        </w:rPr>
        <w:t>Section 9:7–9: Herod was confused by the reports about Jesus</w:t>
      </w:r>
    </w:p>
    <w:p>
      <w:pPr/>
      <w:r>
        <w:rPr>
          <w:lang w:val="en_US" w:bidi="en_US"/>
        </w:rPr>
      </w:r>
      <w:r>
        <w:rPr>
          <w:lang w:val="en_US" w:bidi="en_US"/>
        </w:rPr>
        <w:t>Herod the governor heard about the amazing things that Jesus and his apostles were doing. However, Herod did not know what that implied about the kind of person that Jesus was. People said that Jesus was a prophet who had become alive again (9:19), but they could not decide which prophet he was. Some people thought that Jesus was John the Baptizer. Herod had caused John to be executed, and he was confused about who Jesus was and how he got his power.</w:t>
      </w:r>
    </w:p>
    <w:p>
      <w:pPr/>
      <w:r>
        <w:rPr>
          <w:lang w:val="en_US" w:bidi="en_US"/>
        </w:rPr>
      </w:r>
      <w:r>
        <w:rPr>
          <w:lang w:val="en_US" w:bidi="en_US"/>
        </w:rPr>
        <w:t>Some other headings for this section are:</w:t>
      </w:r>
    </w:p>
    <w:p>
      <w:pPr/>
      <w:r>
        <w:rPr>
          <w:lang w:val="en_US" w:bidi="en_US"/>
        </w:rPr>
      </w:r>
      <w:r>
        <w:rPr>
          <w:lang w:val="en_US" w:bidi="en_US"/>
        </w:rPr>
        <w:t>Herod’s confusion about Jesus</w:t>
      </w:r>
    </w:p>
    <w:p>
      <w:pPr/>
      <w:r>
        <w:rPr>
          <w:lang w:val="en_US" w:bidi="en_US"/>
        </w:rPr>
      </w:r>
      <w:r>
        <w:rPr>
          <w:lang w:val="en_US" w:bidi="en_US"/>
        </w:rPr>
        <w:t>Herod was worried</w:t>
      </w:r>
    </w:p>
    <w:p>
      <w:pPr/>
      <w:r>
        <w:rPr>
          <w:lang w:val="en_US" w:bidi="en_US"/>
        </w:rPr>
      </w:r>
      <w:r>
        <w:rPr>
          <w:lang w:val="en_US" w:bidi="en_US"/>
        </w:rPr>
        <w:t>There are parallel passages for this section in Matthew 14:1–12 and Mark 6:14–29.</w:t>
      </w:r>
    </w:p>
    <w:p>
      <w:pPr>
        <w:pStyle w:val="Heading5"/>
      </w:pPr>
      <w:r>
        <w:rPr>
          <w:lang w:val="en_US" w:bidi="en_US"/>
        </w:rPr>
        <w:t>9:8a</w:t>
      </w:r>
    </w:p>
    <w:p>
      <w:pPr/>
      <w:r>
        <w:rPr>
          <w:lang w:val="en_US" w:bidi="en_US"/>
        </w:rPr>
      </w:r>
      <w:r>
        <w:rPr>
          <w:b/>
          <w:lang w:val="en_US" w:bidi="en_US"/>
        </w:rPr>
        <w:t>others that Elijah had appeared,</w:t>
      </w:r>
    </w:p>
    <w:p>
      <w:pPr>
        <w:pStyle w:val="ListBullet"/>
        <w:spacing w:line="240" w:lineRule="auto"/>
        <w:ind w:left="720"/>
      </w:pPr>
      <w:r>
        <w:rPr>
          <w:lang w:val="en_US" w:bidi="en_US"/>
        </w:rPr>
      </w:r>
      <w:r>
        <w:rPr>
          <w:lang w:val="en_US" w:bidi="en_US"/>
        </w:rPr>
        <w:t xml:space="preserve">other people were saying that Elijah had appeared </w:t>
      </w:r>
      <w:r>
        <w:rPr>
          <w:lang w:val="en_US" w:bidi="en_US"/>
        </w:rPr>
        <w:t>again on earth</w:t>
      </w:r>
      <w:r>
        <w:rPr>
          <w:lang w:val="en_US" w:bidi="en_US"/>
        </w:rPr>
        <w:t>,</w:t>
      </w:r>
    </w:p>
    <w:p>
      <w:pPr>
        <w:pStyle w:val="ListBullet"/>
        <w:spacing w:line="240" w:lineRule="auto"/>
        <w:ind w:left="720"/>
      </w:pPr>
      <w:r>
        <w:rPr>
          <w:lang w:val="en_US" w:bidi="en_US"/>
        </w:rPr>
      </w:r>
      <w:r>
        <w:rPr>
          <w:lang w:val="en_US" w:bidi="en_US"/>
        </w:rPr>
        <w:t>Other people were saying, “</w:t>
      </w:r>
      <w:r>
        <w:rPr>
          <w:lang w:val="en_US" w:bidi="en_US"/>
        </w:rPr>
        <w:t>He is the prophet</w:t>
      </w:r>
      <w:r>
        <w:rPr>
          <w:lang w:val="en_US" w:bidi="en_US"/>
        </w:rPr>
        <w:t xml:space="preserve"> Elijah, who has returned </w:t>
      </w:r>
      <w:r>
        <w:rPr>
          <w:lang w:val="en_US" w:bidi="en_US"/>
        </w:rPr>
        <w:t>from heaven</w:t>
      </w:r>
      <w:r>
        <w:rPr>
          <w:lang w:val="en_US" w:bidi="en_US"/>
        </w:rPr>
        <w:t>!”</w:t>
      </w:r>
    </w:p>
    <w:p>
      <w:pPr/>
      <w:r>
        <w:rPr>
          <w:lang w:val="en_US" w:bidi="en_US"/>
        </w:rPr>
      </w:r>
      <w:r>
        <w:rPr>
          <w:b/>
          <w:lang w:val="en_US" w:bidi="en_US"/>
        </w:rPr>
        <w:t>others that Elijah had appeared:</w:t>
      </w:r>
      <w:r>
        <w:rPr>
          <w:lang w:val="en_US" w:bidi="en_US"/>
        </w:rPr>
        <w:t xml:space="preserve"> A second group of people said that Jesus was really the prophet Elijah. They thought that Elijah had come back from heaven as the person Jesus. Another way to translate this is:</w:t>
      </w:r>
    </w:p>
    <w:p>
      <w:pPr/>
      <w:r>
        <w:rPr>
          <w:lang w:val="en_US" w:bidi="en_US"/>
        </w:rPr>
      </w:r>
      <w:r>
        <w:rPr>
          <w:lang w:val="en_US" w:bidi="en_US"/>
        </w:rPr>
        <w:t xml:space="preserve">other people said that </w:t>
      </w:r>
      <w:r>
        <w:rPr>
          <w:lang w:val="en_US" w:bidi="en_US"/>
        </w:rPr>
        <w:t>Jesus was</w:t>
      </w:r>
      <w:r>
        <w:rPr>
          <w:lang w:val="en_US" w:bidi="en_US"/>
        </w:rPr>
        <w:t xml:space="preserve"> Elijah, who had appeared again </w:t>
      </w:r>
      <w:r>
        <w:rPr>
          <w:lang w:val="en_US" w:bidi="en_US"/>
        </w:rPr>
        <w:t>on earth</w:t>
      </w:r>
    </w:p>
    <w:p>
      <w:pPr/>
      <w:r>
        <w:rPr>
          <w:lang w:val="en_US" w:bidi="en_US"/>
        </w:rPr>
      </w:r>
      <w:r>
        <w:rPr>
          <w:b/>
          <w:lang w:val="en_US" w:bidi="en_US"/>
        </w:rPr>
        <w:t>Elijah:</w:t>
      </w:r>
      <w:r>
        <w:rPr>
          <w:lang w:val="en_US" w:bidi="en_US"/>
        </w:rPr>
        <w:t xml:space="preserve"> Elijah was a prophet who lived more than five hundred years before Jesus. If people in your area do not know about Elijah, you may want to:</w:t>
      </w:r>
    </w:p>
    <w:p>
      <w:pPr>
        <w:pStyle w:val="ListBullet"/>
        <w:spacing w:line="240" w:lineRule="auto"/>
        <w:ind w:left="720"/>
      </w:pPr>
      <w:r>
        <w:rPr>
          <w:lang w:val="en_US" w:bidi="en_US"/>
        </w:rPr>
      </w:r>
      <w:r>
        <w:rPr>
          <w:lang w:val="en_US" w:bidi="en_US"/>
        </w:rPr>
        <w:t>Include some implied information in the text. For example:</w:t>
      </w:r>
      <w:r>
        <w:rPr>
          <w:lang w:val="en_US" w:bidi="en_US"/>
        </w:rPr>
        <w:t xml:space="preserve">Elijah </w:t>
      </w:r>
      <w:r>
        <w:rPr>
          <w:lang w:val="en_US" w:bidi="en_US"/>
        </w:rPr>
        <w:t>the prophet</w:t>
      </w:r>
    </w:p>
    <w:p>
      <w:pPr>
        <w:pStyle w:val="ListBullet"/>
        <w:spacing w:line="240" w:lineRule="auto"/>
        <w:ind w:left="720"/>
      </w:pPr>
      <w:r>
        <w:rPr>
          <w:lang w:val="en_US" w:bidi="en_US"/>
        </w:rPr>
      </w:r>
      <w:r>
        <w:rPr>
          <w:lang w:val="en_US" w:bidi="en_US"/>
        </w:rPr>
        <w:t>Include a footnote to give information about him. An example of a footnote is:</w:t>
      </w:r>
      <w:r>
        <w:rPr>
          <w:lang w:val="en_US" w:bidi="en_US"/>
        </w:rPr>
        <w:t>Elijah was a prophet who lived more than five hundred years before Jesus. Jews thought that Elijah would return before the Messiah came. They based this belief on Malachi 4:5–6. Elijah had not died, because God took him to heaven in a chariot (2 Kings chapter 2). This is probably why Luke used the phrase “had appeared” instead of the phrase “had come back from the dead.”</w:t>
      </w:r>
    </w:p>
    <w:p>
      <w:pPr>
        <w:pStyle w:val="Heading5"/>
      </w:pPr>
      <w:r>
        <w:rPr>
          <w:lang w:val="en_US" w:bidi="en_US"/>
        </w:rPr>
        <w:t>9:8b</w:t>
      </w:r>
    </w:p>
    <w:p>
      <w:pPr/>
      <w:r>
        <w:rPr>
          <w:lang w:val="en_US" w:bidi="en_US"/>
        </w:rPr>
      </w:r>
      <w:r>
        <w:rPr>
          <w:b/>
          <w:lang w:val="en_US" w:bidi="en_US"/>
        </w:rPr>
        <w:t>and still others that a prophet of old had arisen.</w:t>
      </w:r>
    </w:p>
    <w:p>
      <w:pPr>
        <w:pStyle w:val="ListBullet"/>
        <w:spacing w:line="240" w:lineRule="auto"/>
        <w:ind w:left="720"/>
      </w:pPr>
      <w:r>
        <w:rPr>
          <w:lang w:val="en_US" w:bidi="en_US"/>
        </w:rPr>
      </w:r>
      <w:r>
        <w:rPr>
          <w:lang w:val="en_US" w:bidi="en_US"/>
        </w:rPr>
        <w:t xml:space="preserve">and others </w:t>
      </w:r>
      <w:r>
        <w:rPr>
          <w:lang w:val="en_US" w:bidi="en_US"/>
        </w:rPr>
        <w:t>were saying</w:t>
      </w:r>
      <w:r>
        <w:rPr>
          <w:lang w:val="en_US" w:bidi="en_US"/>
        </w:rPr>
        <w:t xml:space="preserve"> that </w:t>
      </w:r>
      <w:r>
        <w:rPr>
          <w:lang w:val="en_US" w:bidi="en_US"/>
        </w:rPr>
        <w:t>another</w:t>
      </w:r>
      <w:r>
        <w:rPr>
          <w:lang w:val="en_US" w:bidi="en_US"/>
        </w:rPr>
        <w:t xml:space="preserve"> prophet from ancient times had become alive again.</w:t>
      </w:r>
    </w:p>
    <w:p>
      <w:pPr>
        <w:pStyle w:val="ListBullet"/>
        <w:spacing w:line="240" w:lineRule="auto"/>
        <w:ind w:left="720"/>
      </w:pPr>
      <w:r>
        <w:rPr>
          <w:lang w:val="en_US" w:bidi="en_US"/>
        </w:rPr>
      </w:r>
      <w:r>
        <w:rPr>
          <w:lang w:val="en_US" w:bidi="en_US"/>
        </w:rPr>
        <w:t>And some others were saying, “</w:t>
      </w:r>
      <w:r>
        <w:rPr>
          <w:lang w:val="en_US" w:bidi="en_US"/>
        </w:rPr>
        <w:t>He is another</w:t>
      </w:r>
      <w:r>
        <w:rPr>
          <w:lang w:val="en_US" w:bidi="en_US"/>
        </w:rPr>
        <w:t xml:space="preserve"> of the prophets who died long ago and is now alive again!”</w:t>
      </w:r>
    </w:p>
    <w:p>
      <w:pPr/>
      <w:r>
        <w:rPr>
          <w:lang w:val="en_US" w:bidi="en_US"/>
        </w:rPr>
      </w:r>
      <w:r>
        <w:rPr>
          <w:b/>
          <w:lang w:val="en_US" w:bidi="en_US"/>
        </w:rPr>
        <w:t>still others:</w:t>
      </w:r>
      <w:r>
        <w:rPr>
          <w:lang w:val="en_US" w:bidi="en_US"/>
        </w:rPr>
        <w:t xml:space="preserve"> The phrase </w:t>
      </w:r>
      <w:r>
        <w:rPr>
          <w:i/>
          <w:lang w:val="en_US" w:bidi="en_US"/>
        </w:rPr>
        <w:t>still others</w:t>
      </w:r>
      <w:r>
        <w:rPr>
          <w:lang w:val="en_US" w:bidi="en_US"/>
        </w:rPr>
        <w:t xml:space="preserve"> introduces a third group of people who had another wrong idea about who Jesus was.</w:t>
      </w:r>
    </w:p>
    <w:p>
      <w:pPr/>
      <w:r>
        <w:rPr>
          <w:lang w:val="en_US" w:bidi="en_US"/>
        </w:rPr>
      </w:r>
      <w:r>
        <w:rPr>
          <w:b/>
          <w:lang w:val="en_US" w:bidi="en_US"/>
        </w:rPr>
        <w:t>a prophet of old:</w:t>
      </w:r>
      <w:r>
        <w:rPr>
          <w:lang w:val="en_US" w:bidi="en_US"/>
        </w:rPr>
        <w:t xml:space="preserve"> A third group of people said that Jesus was another prophet who had lived and died many years before Jesus was born. Their statement implied that Jesus was not Elijah. Since Elijah was also one of the prophets of long ago, it may be necessary to translate this as:</w:t>
      </w:r>
    </w:p>
    <w:p>
      <w:pPr/>
      <w:r>
        <w:rPr>
          <w:lang w:val="en_US" w:bidi="en_US"/>
        </w:rPr>
      </w:r>
      <w:r>
        <w:rPr>
          <w:u w:val="single"/>
          <w:lang w:val="en_US" w:bidi="en_US"/>
        </w:rPr>
        <w:t>another</w:t>
      </w:r>
      <w:r>
        <w:rPr>
          <w:lang w:val="en_US" w:bidi="en_US"/>
        </w:rPr>
        <w:t xml:space="preserve"> prophet from long ago</w:t>
      </w:r>
    </w:p>
    <w:p>
      <w:pPr/>
      <w:r>
        <w:rPr>
          <w:lang w:val="en_US" w:bidi="en_US"/>
        </w:rPr>
      </w:r>
      <w:r>
        <w:rPr>
          <w:b/>
          <w:lang w:val="en_US" w:bidi="en_US"/>
        </w:rPr>
        <w:t>prophet:</w:t>
      </w:r>
      <w:r>
        <w:rPr>
          <w:lang w:val="en_US" w:bidi="en_US"/>
        </w:rPr>
        <w:t xml:space="preserve"> A </w:t>
      </w:r>
      <w:r>
        <w:rPr>
          <w:i/>
          <w:lang w:val="en_US" w:bidi="en_US"/>
        </w:rPr>
        <w:t>prophet</w:t>
      </w:r>
      <w:r>
        <w:rPr>
          <w:lang w:val="en_US" w:bidi="en_US"/>
        </w:rPr>
        <w:t xml:space="preserve"> was a person who spoke on behalf of God. He told people what God revealed to him. God gave some prophets power to work miracles. These miracles helped people realize that God sent the prophet. Some ways to translate </w:t>
      </w:r>
      <w:r>
        <w:rPr>
          <w:i/>
          <w:lang w:val="en_US" w:bidi="en_US"/>
        </w:rPr>
        <w:t>prophet</w:t>
      </w:r>
      <w:r>
        <w:rPr>
          <w:lang w:val="en_US" w:bidi="en_US"/>
        </w:rPr>
        <w:t xml:space="preserve"> are:</w:t>
      </w:r>
    </w:p>
    <w:p>
      <w:pPr/>
      <w:r>
        <w:rPr>
          <w:lang w:val="en_US" w:bidi="en_US"/>
        </w:rPr>
      </w:r>
      <w:r>
        <w:rPr>
          <w:lang w:val="en_US" w:bidi="en_US"/>
        </w:rPr>
        <w:t>a spokesman for God</w:t>
      </w:r>
    </w:p>
    <w:p>
      <w:pPr/>
      <w:r>
        <w:rPr>
          <w:lang w:val="en_US" w:bidi="en_US"/>
        </w:rPr>
      </w:r>
      <w:r>
        <w:rPr>
          <w:lang w:val="en_US" w:bidi="en_US"/>
        </w:rPr>
        <w:t>a man who speaks God’s words</w:t>
      </w:r>
    </w:p>
    <w:p>
      <w:pPr/>
      <w:r>
        <w:rPr>
          <w:lang w:val="en_US" w:bidi="en_US"/>
        </w:rPr>
      </w:r>
      <w:r>
        <w:rPr>
          <w:lang w:val="en_US" w:bidi="en_US"/>
        </w:rPr>
        <w:t>God’s message-speaker</w:t>
      </w:r>
    </w:p>
    <w:p>
      <w:pPr/>
      <w:r>
        <w:rPr>
          <w:lang w:val="en_US" w:bidi="en_US"/>
        </w:rPr>
      </w:r>
      <w:r>
        <w:rPr>
          <w:lang w:val="en_US" w:bidi="en_US"/>
        </w:rPr>
        <w:t>This word also occurs in 7:39b. See also prophet in the Glossary.</w:t>
      </w:r>
      <w:r>
        <w:rPr>
          <w:lang w:val="en_US" w:bidi="en_US"/>
        </w:rPr>
      </w:r>
      <w:r>
        <w:rPr>
          <w:lang w:val="en_US" w:bidi="en_US"/>
        </w:rPr>
      </w:r>
    </w:p>
    <w:p>
      <w:pPr/>
      <w:r>
        <w:rPr>
          <w:lang w:val="en_US" w:bidi="en_US"/>
        </w:rPr>
      </w:r>
    </w:p>
    <w:p>
      <w:pPr>
        <w:pStyle w:val="Heading2"/>
      </w:pPr>
      <w:r>
        <w:rPr>
          <w:lang w:val="en_US" w:bidi="en_US"/>
        </w:rPr>
        <w:t>Luke 9:9</w:t>
      </w:r>
      <w:r>
        <w:rPr>
          <w:lang w:val="en_US" w:bidi="en_US"/>
        </w:rPr>
      </w:r>
    </w:p>
    <w:p>
      <w:pPr>
        <w:pStyle w:val="Heading4"/>
      </w:pPr>
      <w:r>
        <w:rPr>
          <w:lang w:val="en_US" w:bidi="en_US"/>
        </w:rPr>
        <w:t>Section 9:7–9: Herod was confused by the reports about Jesus</w:t>
      </w:r>
    </w:p>
    <w:p>
      <w:pPr/>
      <w:r>
        <w:rPr>
          <w:lang w:val="en_US" w:bidi="en_US"/>
        </w:rPr>
      </w:r>
      <w:r>
        <w:rPr>
          <w:lang w:val="en_US" w:bidi="en_US"/>
        </w:rPr>
        <w:t>Herod the governor heard about the amazing things that Jesus and his apostles were doing. However, Herod did not know what that implied about the kind of person that Jesus was. People said that Jesus was a prophet who had become alive again (9:19), but they could not decide which prophet he was. Some people thought that Jesus was John the Baptizer. Herod had caused John to be executed, and he was confused about who Jesus was and how he got his power.</w:t>
      </w:r>
    </w:p>
    <w:p>
      <w:pPr/>
      <w:r>
        <w:rPr>
          <w:lang w:val="en_US" w:bidi="en_US"/>
        </w:rPr>
      </w:r>
      <w:r>
        <w:rPr>
          <w:lang w:val="en_US" w:bidi="en_US"/>
        </w:rPr>
        <w:t>Some other headings for this section are:</w:t>
      </w:r>
    </w:p>
    <w:p>
      <w:pPr/>
      <w:r>
        <w:rPr>
          <w:lang w:val="en_US" w:bidi="en_US"/>
        </w:rPr>
      </w:r>
      <w:r>
        <w:rPr>
          <w:lang w:val="en_US" w:bidi="en_US"/>
        </w:rPr>
        <w:t>Herod’s confusion about Jesus</w:t>
      </w:r>
    </w:p>
    <w:p>
      <w:pPr/>
      <w:r>
        <w:rPr>
          <w:lang w:val="en_US" w:bidi="en_US"/>
        </w:rPr>
      </w:r>
      <w:r>
        <w:rPr>
          <w:lang w:val="en_US" w:bidi="en_US"/>
        </w:rPr>
        <w:t>Herod was worried</w:t>
      </w:r>
    </w:p>
    <w:p>
      <w:pPr/>
      <w:r>
        <w:rPr>
          <w:lang w:val="en_US" w:bidi="en_US"/>
        </w:rPr>
      </w:r>
      <w:r>
        <w:rPr>
          <w:lang w:val="en_US" w:bidi="en_US"/>
        </w:rPr>
        <w:t>There are parallel passages for this section in Matthew 14:1–12 and Mark 6:14–29.</w:t>
      </w:r>
    </w:p>
    <w:p>
      <w:pPr>
        <w:pStyle w:val="Heading5"/>
      </w:pPr>
      <w:r>
        <w:rPr>
          <w:lang w:val="en_US" w:bidi="en_US"/>
        </w:rPr>
        <w:t>9:9a</w:t>
      </w:r>
    </w:p>
    <w:p>
      <w:pPr/>
      <w:r>
        <w:rPr>
          <w:lang w:val="en_US" w:bidi="en_US"/>
        </w:rPr>
      </w:r>
      <w:r>
        <w:rPr>
          <w:b/>
          <w:lang w:val="en_US" w:bidi="en_US"/>
        </w:rPr>
        <w:t>“I beheaded John,” Herod said,</w:t>
      </w:r>
    </w:p>
    <w:p>
      <w:pPr>
        <w:pStyle w:val="ListBullet"/>
        <w:spacing w:line="240" w:lineRule="auto"/>
        <w:ind w:left="720"/>
      </w:pPr>
      <w:r>
        <w:rPr>
          <w:lang w:val="en_US" w:bidi="en_US"/>
        </w:rPr>
      </w:r>
      <w:r>
        <w:rPr>
          <w:lang w:val="en_US" w:bidi="en_US"/>
        </w:rPr>
        <w:t xml:space="preserve">But Herod said, “I executed John. </w:t>
      </w:r>
      <w:r>
        <w:rPr>
          <w:lang w:val="en_US" w:bidi="en_US"/>
        </w:rPr>
        <w:t>My soldier</w:t>
      </w:r>
      <w:r>
        <w:rPr>
          <w:lang w:val="en_US" w:bidi="en_US"/>
        </w:rPr>
        <w:t xml:space="preserve"> cut off his head!</w:t>
      </w:r>
    </w:p>
    <w:p>
      <w:pPr>
        <w:pStyle w:val="ListBullet"/>
        <w:spacing w:line="240" w:lineRule="auto"/>
        <w:ind w:left="720"/>
      </w:pPr>
      <w:r>
        <w:rPr>
          <w:lang w:val="en_US" w:bidi="en_US"/>
        </w:rPr>
      </w:r>
      <w:r>
        <w:rPr>
          <w:lang w:val="en_US" w:bidi="en_US"/>
        </w:rPr>
        <w:t>But this is what Herod said: “I caused John’s head to be cut off!</w:t>
      </w:r>
    </w:p>
    <w:p>
      <w:pPr/>
      <w:r>
        <w:rPr>
          <w:lang w:val="en_US" w:bidi="en_US"/>
        </w:rPr>
      </w:r>
      <w:r>
        <w:rPr>
          <w:lang w:val="en_US" w:bidi="en_US"/>
        </w:rPr>
        <w:t>This verse begins with a Greek conjunction that is often translated as “and.” The BSB has not translated this conjunction. The NIV and CEV translate this word as “But” in order to indicate that Herod’s thoughts contrasted with what the other groups of people said. In some languages, it may be appropriate to emphasize that the subject has changed back to Herod. For example:</w:t>
      </w:r>
    </w:p>
    <w:p>
      <w:pPr/>
      <w:r>
        <w:rPr>
          <w:lang w:val="en_US" w:bidi="en_US"/>
        </w:rPr>
      </w:r>
      <w:r>
        <w:rPr>
          <w:lang w:val="en_US" w:bidi="en_US"/>
        </w:rPr>
        <w:t>But as for Herod, he said</w:t>
      </w:r>
    </w:p>
    <w:p>
      <w:pPr/>
      <w:r>
        <w:rPr>
          <w:lang w:val="en_US" w:bidi="en_US"/>
        </w:rPr>
      </w:r>
      <w:r>
        <w:rPr>
          <w:b/>
          <w:lang w:val="en_US" w:bidi="en_US"/>
        </w:rPr>
        <w:t>I beheaded John:</w:t>
      </w:r>
      <w:r>
        <w:rPr>
          <w:lang w:val="en_US" w:bidi="en_US"/>
        </w:rPr>
        <w:t xml:space="preserve"> The clause </w:t>
      </w:r>
      <w:r>
        <w:rPr>
          <w:i/>
          <w:lang w:val="en_US" w:bidi="en_US"/>
        </w:rPr>
        <w:t>I beheaded John</w:t>
      </w:r>
      <w:r>
        <w:rPr>
          <w:lang w:val="en_US" w:bidi="en_US"/>
        </w:rPr>
        <w:t xml:space="preserve"> implies here that Herod had ordered one of his soldiers to cut off John’s head. Herod himself did not cut off John’s head. Some other ways to translate this clause are:</w:t>
      </w:r>
    </w:p>
    <w:p>
      <w:pPr/>
      <w:r>
        <w:rPr>
          <w:lang w:val="en_US" w:bidi="en_US"/>
        </w:rPr>
      </w:r>
      <w:r>
        <w:rPr>
          <w:lang w:val="en_US" w:bidi="en_US"/>
        </w:rPr>
        <w:t>I had John’s head cut off (GNT)</w:t>
      </w:r>
    </w:p>
    <w:p>
      <w:pPr/>
      <w:r>
        <w:rPr>
          <w:lang w:val="en_US" w:bidi="en_US"/>
        </w:rPr>
      </w:r>
      <w:r>
        <w:rPr>
          <w:lang w:val="en_US" w:bidi="en_US"/>
        </w:rPr>
        <w:t>As for John, I myself ordered him to be beheaded</w:t>
      </w:r>
    </w:p>
    <w:p>
      <w:pPr/>
      <w:r>
        <w:rPr>
          <w:lang w:val="en_US" w:bidi="en_US"/>
        </w:rPr>
      </w:r>
      <w:r>
        <w:rPr>
          <w:b/>
          <w:lang w:val="en_US" w:bidi="en_US"/>
        </w:rPr>
        <w:t>said:</w:t>
      </w:r>
      <w:r>
        <w:rPr>
          <w:lang w:val="en_US" w:bidi="en_US"/>
        </w:rPr>
        <w:t xml:space="preserve"> Herod probably said these words to himself.</w:t>
      </w:r>
    </w:p>
    <w:p>
      <w:pPr>
        <w:pStyle w:val="Heading5"/>
      </w:pPr>
      <w:r>
        <w:rPr>
          <w:lang w:val="en_US" w:bidi="en_US"/>
        </w:rPr>
        <w:t>9:9b</w:t>
      </w:r>
    </w:p>
    <w:p>
      <w:pPr/>
      <w:r>
        <w:rPr>
          <w:lang w:val="en_US" w:bidi="en_US"/>
        </w:rPr>
      </w:r>
      <w:r>
        <w:rPr>
          <w:b/>
          <w:lang w:val="en_US" w:bidi="en_US"/>
        </w:rPr>
        <w:t>“but who is this man I hear such things about?”</w:t>
      </w:r>
    </w:p>
    <w:p>
      <w:pPr>
        <w:pStyle w:val="ListBullet"/>
        <w:spacing w:line="240" w:lineRule="auto"/>
        <w:ind w:left="720"/>
      </w:pPr>
      <w:r>
        <w:rPr>
          <w:lang w:val="en_US" w:bidi="en_US"/>
        </w:rPr>
      </w:r>
      <w:r>
        <w:rPr>
          <w:lang w:val="en_US" w:bidi="en_US"/>
        </w:rPr>
        <w:t xml:space="preserve">So who is this </w:t>
      </w:r>
      <w:r>
        <w:rPr>
          <w:lang w:val="en_US" w:bidi="en_US"/>
        </w:rPr>
        <w:t>man</w:t>
      </w:r>
      <w:r>
        <w:rPr>
          <w:lang w:val="en_US" w:bidi="en_US"/>
        </w:rPr>
        <w:t xml:space="preserve"> that I hear such </w:t>
      </w:r>
      <w:r>
        <w:rPr>
          <w:lang w:val="en_US" w:bidi="en_US"/>
        </w:rPr>
        <w:t>amazing</w:t>
      </w:r>
      <w:r>
        <w:rPr>
          <w:lang w:val="en_US" w:bidi="en_US"/>
        </w:rPr>
        <w:t xml:space="preserve"> things about?”</w:t>
      </w:r>
    </w:p>
    <w:p>
      <w:pPr>
        <w:pStyle w:val="ListBullet"/>
        <w:spacing w:line="240" w:lineRule="auto"/>
        <w:ind w:left="720"/>
      </w:pPr>
      <w:r>
        <w:rPr>
          <w:lang w:val="en_US" w:bidi="en_US"/>
        </w:rPr>
      </w:r>
      <w:r>
        <w:rPr>
          <w:lang w:val="en_US" w:bidi="en_US"/>
        </w:rPr>
        <w:t xml:space="preserve">So who could this </w:t>
      </w:r>
      <w:r>
        <w:rPr>
          <w:lang w:val="en_US" w:bidi="en_US"/>
        </w:rPr>
        <w:t>man</w:t>
      </w:r>
      <w:r>
        <w:rPr>
          <w:lang w:val="en_US" w:bidi="en_US"/>
        </w:rPr>
        <w:t xml:space="preserve"> be? I hear that he is doing some </w:t>
      </w:r>
      <w:r>
        <w:rPr>
          <w:lang w:val="en_US" w:bidi="en_US"/>
        </w:rPr>
        <w:t>amazing</w:t>
      </w:r>
      <w:r>
        <w:rPr>
          <w:lang w:val="en_US" w:bidi="en_US"/>
        </w:rPr>
        <w:t xml:space="preserve"> things.”</w:t>
      </w:r>
    </w:p>
    <w:p>
      <w:pPr/>
      <w:r>
        <w:rPr>
          <w:lang w:val="en_US" w:bidi="en_US"/>
        </w:rPr>
      </w:r>
      <w:r>
        <w:rPr>
          <w:b/>
          <w:lang w:val="en_US" w:bidi="en_US"/>
        </w:rPr>
        <w:t>but who is this man I hear such things about?:</w:t>
      </w:r>
      <w:r>
        <w:rPr>
          <w:lang w:val="en_US" w:bidi="en_US"/>
        </w:rPr>
        <w:t xml:space="preserve"> Herod was referring to Jesus when he asked this question. This is a rhetorical question. It expresses uncertainty. Herod probably knew that a man named Jesus had done these miraculous things. However, he was uncertain about what sort of person Jesus really was.</w:t>
      </w:r>
    </w:p>
    <w:p>
      <w:pPr/>
      <w:r>
        <w:rPr>
          <w:lang w:val="en_US" w:bidi="en_US"/>
        </w:rPr>
      </w:r>
      <w:r>
        <w:rPr>
          <w:lang w:val="en_US" w:bidi="en_US"/>
        </w:rPr>
        <w:t>Some ways to translate this expression of uncertainty are:</w:t>
      </w:r>
    </w:p>
    <w:p>
      <w:pPr>
        <w:pStyle w:val="ListBullet"/>
        <w:spacing w:line="240" w:lineRule="auto"/>
        <w:ind w:left="720"/>
      </w:pPr>
      <w:r>
        <w:rPr>
          <w:lang w:val="en_US" w:bidi="en_US"/>
        </w:rPr>
      </w:r>
      <w:r>
        <w:rPr>
          <w:lang w:val="en_US" w:bidi="en_US"/>
        </w:rPr>
        <w:t>As one or more rhetorical questions. For example:</w:t>
      </w:r>
      <w:r>
        <w:rPr>
          <w:lang w:val="en_US" w:bidi="en_US"/>
        </w:rPr>
        <w:t>What sort of person is this that I hear such things about?</w:t>
      </w:r>
      <w:r>
        <w:rPr>
          <w:lang w:val="en_US" w:bidi="en_US"/>
        </w:rPr>
        <w:t xml:space="preserve">How can this person do the </w:t>
      </w:r>
      <w:r>
        <w:rPr>
          <w:lang w:val="en_US" w:bidi="en_US"/>
        </w:rPr>
        <w:t>amazing</w:t>
      </w:r>
      <w:r>
        <w:rPr>
          <w:lang w:val="en_US" w:bidi="en_US"/>
        </w:rPr>
        <w:t xml:space="preserve"> things that I hear about him? Who is he?</w:t>
      </w:r>
    </w:p>
    <w:p>
      <w:pPr>
        <w:pStyle w:val="ListBullet"/>
        <w:spacing w:line="240" w:lineRule="auto"/>
        <w:ind w:left="720"/>
      </w:pPr>
      <w:r>
        <w:rPr>
          <w:lang w:val="en_US" w:bidi="en_US"/>
        </w:rPr>
      </w:r>
      <w:r>
        <w:rPr>
          <w:lang w:val="en_US" w:bidi="en_US"/>
        </w:rPr>
        <w:t>As one or more statements. For example:</w:t>
      </w:r>
      <w:r>
        <w:rPr>
          <w:lang w:val="en_US" w:bidi="en_US"/>
        </w:rPr>
        <w:t>I wonder who this man that I am hearing about really is.</w:t>
      </w:r>
    </w:p>
    <w:p>
      <w:pPr>
        <w:pStyle w:val="ListBullet"/>
        <w:spacing w:line="240" w:lineRule="auto"/>
        <w:ind w:left="720"/>
      </w:pPr>
      <w:r>
        <w:rPr>
          <w:lang w:val="en_US" w:bidi="en_US"/>
        </w:rPr>
      </w:r>
      <w:r>
        <w:rPr>
          <w:lang w:val="en_US" w:bidi="en_US"/>
        </w:rPr>
        <w:t>As both a statement and a question. For example:</w:t>
      </w:r>
      <w:r>
        <w:rPr>
          <w:lang w:val="en_US" w:bidi="en_US"/>
        </w:rPr>
        <w:t>So who could this man be? I hear that he is doing some amazing things.</w:t>
      </w:r>
      <w:r>
        <w:rPr>
          <w:lang w:val="en_US" w:bidi="en_US"/>
        </w:rPr>
        <w:t xml:space="preserve">I am hearing such </w:t>
      </w:r>
      <w:r>
        <w:rPr>
          <w:lang w:val="en_US" w:bidi="en_US"/>
        </w:rPr>
        <w:t>strange/wonderful</w:t>
      </w:r>
      <w:r>
        <w:rPr>
          <w:lang w:val="en_US" w:bidi="en_US"/>
        </w:rPr>
        <w:t xml:space="preserve"> things about this man. Who could he be?</w:t>
      </w:r>
    </w:p>
    <w:p>
      <w:pPr/>
      <w:r>
        <w:rPr>
          <w:lang w:val="en_US" w:bidi="en_US"/>
        </w:rPr>
      </w:r>
      <w:r>
        <w:rPr>
          <w:lang w:val="en_US" w:bidi="en_US"/>
        </w:rPr>
        <w:t>Use the form that is most natural in your language.</w:t>
      </w:r>
    </w:p>
    <w:p>
      <w:pPr/>
      <w:r>
        <w:rPr>
          <w:lang w:val="en_US" w:bidi="en_US"/>
        </w:rPr>
      </w:r>
      <w:r>
        <w:rPr>
          <w:b/>
          <w:lang w:val="en_US" w:bidi="en_US"/>
        </w:rPr>
        <w:t>I hear such things about:</w:t>
      </w:r>
      <w:r>
        <w:rPr>
          <w:lang w:val="en_US" w:bidi="en_US"/>
        </w:rPr>
        <w:t xml:space="preserve"> This clause indicates that Herod heard people say these things about Jesus. In some languages it may be more natural to make this explicit again here. For example:</w:t>
      </w:r>
    </w:p>
    <w:p>
      <w:pPr/>
      <w:r>
        <w:rPr>
          <w:lang w:val="en_US" w:bidi="en_US"/>
        </w:rPr>
      </w:r>
      <w:r>
        <w:rPr>
          <w:lang w:val="en_US" w:bidi="en_US"/>
        </w:rPr>
        <w:t>whom people say such things about</w:t>
      </w:r>
    </w:p>
    <w:p>
      <w:pPr/>
      <w:r>
        <w:rPr>
          <w:lang w:val="en_US" w:bidi="en_US"/>
        </w:rPr>
      </w:r>
      <w:r>
        <w:rPr>
          <w:b/>
          <w:lang w:val="en_US" w:bidi="en_US"/>
        </w:rPr>
        <w:t>such things:</w:t>
      </w:r>
      <w:r>
        <w:rPr>
          <w:lang w:val="en_US" w:bidi="en_US"/>
        </w:rPr>
        <w:t xml:space="preserve"> The phrase </w:t>
      </w:r>
      <w:r>
        <w:rPr>
          <w:i/>
          <w:lang w:val="en_US" w:bidi="en_US"/>
        </w:rPr>
        <w:t>such things</w:t>
      </w:r>
      <w:r>
        <w:rPr>
          <w:lang w:val="en_US" w:bidi="en_US"/>
        </w:rPr>
        <w:t xml:space="preserve"> refers to all that Jesus was doing at that time, including healing people and casting out demons. He was doing things that no one else could do. In some languages it may be natural to supply a word that describes the sort of things that Jesus was doing:</w:t>
      </w:r>
    </w:p>
    <w:p>
      <w:pPr/>
      <w:r>
        <w:rPr>
          <w:lang w:val="en_US" w:bidi="en_US"/>
        </w:rPr>
      </w:r>
      <w:r>
        <w:rPr>
          <w:lang w:val="en_US" w:bidi="en_US"/>
        </w:rPr>
        <w:t xml:space="preserve">such </w:t>
      </w:r>
      <w:r>
        <w:rPr>
          <w:lang w:val="en_US" w:bidi="en_US"/>
        </w:rPr>
        <w:t>amazing/powerful/awesome</w:t>
      </w:r>
      <w:r>
        <w:rPr>
          <w:lang w:val="en_US" w:bidi="en_US"/>
        </w:rPr>
        <w:t xml:space="preserve"> things</w:t>
      </w:r>
    </w:p>
    <w:p>
      <w:pPr>
        <w:pStyle w:val="Heading5"/>
      </w:pPr>
      <w:r>
        <w:rPr>
          <w:lang w:val="en_US" w:bidi="en_US"/>
        </w:rPr>
        <w:t>9:9c</w:t>
      </w:r>
    </w:p>
    <w:p>
      <w:pPr/>
      <w:r>
        <w:rPr>
          <w:lang w:val="en_US" w:bidi="en_US"/>
        </w:rPr>
      </w:r>
      <w:r>
        <w:rPr>
          <w:b/>
          <w:lang w:val="en_US" w:bidi="en_US"/>
        </w:rPr>
        <w:t>And he kept trying to see Jesus.</w:t>
      </w:r>
    </w:p>
    <w:p>
      <w:pPr>
        <w:pStyle w:val="ListBullet"/>
        <w:spacing w:line="240" w:lineRule="auto"/>
        <w:ind w:left="720"/>
      </w:pPr>
      <w:r>
        <w:rPr>
          <w:lang w:val="en_US" w:bidi="en_US"/>
        </w:rPr>
      </w:r>
      <w:r>
        <w:rPr>
          <w:lang w:val="en_US" w:bidi="en_US"/>
        </w:rPr>
        <w:t>And Herod tried to meet Jesus.</w:t>
      </w:r>
    </w:p>
    <w:p>
      <w:pPr>
        <w:pStyle w:val="ListBullet"/>
        <w:spacing w:line="240" w:lineRule="auto"/>
        <w:ind w:left="720"/>
      </w:pPr>
      <w:r>
        <w:rPr>
          <w:lang w:val="en_US" w:bidi="en_US"/>
        </w:rPr>
      </w:r>
      <w:r>
        <w:rPr>
          <w:lang w:val="en_US" w:bidi="en_US"/>
        </w:rPr>
        <w:t xml:space="preserve">So Herod kept trying </w:t>
      </w:r>
      <w:r>
        <w:rPr>
          <w:lang w:val="en_US" w:bidi="en_US"/>
        </w:rPr>
        <w:t>to find an opportunity</w:t>
      </w:r>
      <w:r>
        <w:rPr>
          <w:lang w:val="en_US" w:bidi="en_US"/>
        </w:rPr>
        <w:t xml:space="preserve"> to see Jesus.</w:t>
      </w:r>
    </w:p>
    <w:p>
      <w:pPr/>
      <w:r>
        <w:rPr>
          <w:lang w:val="en_US" w:bidi="en_US"/>
        </w:rPr>
      </w:r>
      <w:r>
        <w:rPr>
          <w:b/>
          <w:lang w:val="en_US" w:bidi="en_US"/>
        </w:rPr>
        <w:t>he kept trying to see Jesus:</w:t>
      </w:r>
      <w:r>
        <w:rPr>
          <w:lang w:val="en_US" w:bidi="en_US"/>
        </w:rPr>
        <w:t xml:space="preserve"> The clause </w:t>
      </w:r>
      <w:r>
        <w:rPr>
          <w:i/>
          <w:lang w:val="en_US" w:bidi="en_US"/>
        </w:rPr>
        <w:t>he kept trying to see Jesus</w:t>
      </w:r>
      <w:r>
        <w:rPr>
          <w:lang w:val="en_US" w:bidi="en_US"/>
        </w:rPr>
        <w:t xml:space="preserve"> is literally “was-seeking to see him.” The form of the Greek verb indicates that Herod kept trying to see Jesus. Herod probably wanted to meet Jesus so that he could see him and talk to him personally or see Jesus do a miracle. Your language may have a way to indicate that this was a continual action.</w:t>
      </w:r>
      <w:r>
        <w:rPr>
          <w:lang w:val="en_US" w:bidi="en_US"/>
        </w:rPr>
      </w:r>
      <w:r>
        <w:rPr>
          <w:lang w:val="en_US" w:bidi="en_US"/>
        </w:rPr>
      </w:r>
    </w:p>
    <w:p>
      <w:pPr/>
      <w:r>
        <w:rPr>
          <w:lang w:val="en_US" w:bidi="en_US"/>
        </w:rPr>
      </w:r>
    </w:p>
    <w:p>
      <w:pPr>
        <w:pStyle w:val="Heading2"/>
      </w:pPr>
      <w:r>
        <w:rPr>
          <w:lang w:val="en_US" w:bidi="en_US"/>
        </w:rPr>
        <w:t>Luke 9:10</w:t>
      </w:r>
      <w:r>
        <w:rPr>
          <w:lang w:val="en_US" w:bidi="en_US"/>
        </w:rPr>
      </w:r>
    </w:p>
    <w:p>
      <w:pPr>
        <w:pStyle w:val="Heading4"/>
      </w:pPr>
      <w:r>
        <w:rPr>
          <w:lang w:val="en_US" w:bidi="en_US"/>
        </w:rPr>
        <w:t>Section 9:10–17: Jesus did a miracle to feed more than five thousand people</w:t>
      </w:r>
    </w:p>
    <w:p>
      <w:pPr/>
      <w:r>
        <w:rPr>
          <w:lang w:val="en_US" w:bidi="en_US"/>
        </w:rPr>
      </w:r>
      <w:r>
        <w:rPr>
          <w:lang w:val="en_US" w:bidi="en_US"/>
        </w:rPr>
        <w:t>Jesus taught the people about the kingdom of God and he healed many sick people. Then he fed all of the people by multiplying a small amount of bread and fish. This is the only miracle besides Jesus’ resurrection that all four Gospels record.</w:t>
      </w:r>
    </w:p>
    <w:p>
      <w:pPr/>
      <w:r>
        <w:rPr>
          <w:lang w:val="en_US" w:bidi="en_US"/>
        </w:rPr>
      </w:r>
      <w:r>
        <w:rPr>
          <w:lang w:val="en_US" w:bidi="en_US"/>
        </w:rPr>
        <w:t>Some other headings for this section are:</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There are parallel passages for this section in Matthew 14:13–21, Mark 6:30–44, and John 6:1–14.</w:t>
      </w:r>
    </w:p>
    <w:p>
      <w:pPr>
        <w:pStyle w:val="Heading5"/>
      </w:pPr>
      <w:r>
        <w:rPr>
          <w:lang w:val="en_US" w:bidi="en_US"/>
        </w:rPr>
        <w:t>9:10a</w:t>
      </w:r>
    </w:p>
    <w:p>
      <w:pPr/>
      <w:r>
        <w:rPr>
          <w:lang w:val="en_US" w:bidi="en_US"/>
        </w:rPr>
      </w:r>
      <w:r>
        <w:rPr>
          <w:b/>
          <w:lang w:val="en_US" w:bidi="en_US"/>
        </w:rPr>
        <w:t>Then the apostles returned and reported to Jesus all that they had done.</w:t>
      </w:r>
    </w:p>
    <w:p>
      <w:pPr>
        <w:pStyle w:val="ListBullet"/>
        <w:spacing w:line="240" w:lineRule="auto"/>
        <w:ind w:left="720"/>
      </w:pPr>
      <w:r>
        <w:rPr>
          <w:lang w:val="en_US" w:bidi="en_US"/>
        </w:rPr>
      </w:r>
      <w:r>
        <w:rPr>
          <w:lang w:val="en_US" w:bidi="en_US"/>
        </w:rPr>
        <w:t xml:space="preserve">¶ When </w:t>
      </w:r>
      <w:r>
        <w:rPr>
          <w:lang w:val="en_US" w:bidi="en_US"/>
        </w:rPr>
        <w:t>Jesus’</w:t>
      </w:r>
      <w:r>
        <w:rPr>
          <w:lang w:val="en_US" w:bidi="en_US"/>
        </w:rPr>
        <w:t xml:space="preserve"> apostles came back </w:t>
      </w:r>
      <w:r>
        <w:rPr>
          <w:lang w:val="en_US" w:bidi="en_US"/>
        </w:rPr>
        <w:t>from their trip</w:t>
      </w:r>
      <w:r>
        <w:rPr>
          <w:lang w:val="en_US" w:bidi="en_US"/>
        </w:rPr>
        <w:t>, they told Jesus/him all the things that they had done.</w:t>
      </w:r>
    </w:p>
    <w:p>
      <w:pPr>
        <w:pStyle w:val="ListBullet"/>
        <w:spacing w:line="240" w:lineRule="auto"/>
        <w:ind w:left="720"/>
      </w:pPr>
      <w:r>
        <w:rPr>
          <w:lang w:val="en_US" w:bidi="en_US"/>
        </w:rPr>
      </w:r>
      <w:r>
        <w:rPr>
          <w:lang w:val="en_US" w:bidi="en_US"/>
        </w:rPr>
        <w:t xml:space="preserve">¶ The </w:t>
      </w:r>
      <w:r>
        <w:rPr>
          <w:lang w:val="en_US" w:bidi="en_US"/>
        </w:rPr>
        <w:t>twelve</w:t>
      </w:r>
      <w:r>
        <w:rPr>
          <w:lang w:val="en_US" w:bidi="en_US"/>
        </w:rPr>
        <w:t xml:space="preserve"> apostles returned </w:t>
      </w:r>
      <w:r>
        <w:rPr>
          <w:lang w:val="en_US" w:bidi="en_US"/>
        </w:rPr>
        <w:t>to Jesus</w:t>
      </w:r>
      <w:r>
        <w:rPr>
          <w:lang w:val="en_US" w:bidi="en_US"/>
        </w:rPr>
        <w:t xml:space="preserve"> and reported to him all that they had done.</w:t>
      </w:r>
    </w:p>
    <w:p>
      <w:pPr/>
      <w:r>
        <w:rPr>
          <w:lang w:val="en_US" w:bidi="en_US"/>
        </w:rPr>
      </w:r>
      <w:r>
        <w:rPr>
          <w:b/>
          <w:lang w:val="en_US" w:bidi="en_US"/>
        </w:rPr>
        <w:t>Then the apostles returned:</w:t>
      </w:r>
      <w:r>
        <w:rPr>
          <w:lang w:val="en_US" w:bidi="en_US"/>
        </w:rPr>
        <w:t xml:space="preserve"> Jesus’ twelve apostles came back from their trip through the villages, where they had preached and healed people. See 9:1–6. In some languages it may be necessary to say where they returned from and/or to:</w:t>
      </w:r>
    </w:p>
    <w:p>
      <w:pPr/>
      <w:r>
        <w:rPr>
          <w:lang w:val="en_US" w:bidi="en_US"/>
        </w:rPr>
      </w:r>
      <w:r>
        <w:rPr>
          <w:lang w:val="en_US" w:bidi="en_US"/>
        </w:rPr>
        <w:t xml:space="preserve">When the apostles returned </w:t>
      </w:r>
      <w:r>
        <w:rPr>
          <w:lang w:val="en_US" w:bidi="en_US"/>
        </w:rPr>
        <w:t>from their journey/tour</w:t>
      </w:r>
    </w:p>
    <w:p>
      <w:pPr/>
      <w:r>
        <w:rPr>
          <w:lang w:val="en_US" w:bidi="en_US"/>
        </w:rPr>
      </w:r>
      <w:r>
        <w:rPr>
          <w:lang w:val="en_US" w:bidi="en_US"/>
        </w:rPr>
        <w:t xml:space="preserve">When the apostles </w:t>
      </w:r>
      <w:r>
        <w:rPr>
          <w:lang w:val="en_US" w:bidi="en_US"/>
        </w:rPr>
        <w:t>had completed their trip, they</w:t>
      </w:r>
      <w:r>
        <w:rPr>
          <w:lang w:val="en_US" w:bidi="en_US"/>
        </w:rPr>
        <w:t xml:space="preserve"> came back </w:t>
      </w:r>
      <w:r>
        <w:rPr>
          <w:lang w:val="en_US" w:bidi="en_US"/>
        </w:rPr>
        <w:t>to Jesus</w:t>
      </w:r>
    </w:p>
    <w:p>
      <w:pPr/>
      <w:r>
        <w:rPr>
          <w:lang w:val="en_US" w:bidi="en_US"/>
        </w:rPr>
      </w:r>
      <w:r>
        <w:rPr>
          <w:b/>
          <w:lang w:val="en_US" w:bidi="en_US"/>
        </w:rPr>
        <w:t>the apostles:</w:t>
      </w:r>
      <w:r>
        <w:rPr>
          <w:lang w:val="en_US" w:bidi="en_US"/>
        </w:rPr>
        <w:t xml:space="preserve"> The Greek word that English versions translate as </w:t>
      </w:r>
      <w:r>
        <w:rPr>
          <w:i/>
          <w:lang w:val="en_US" w:bidi="en_US"/>
        </w:rPr>
        <w:t>apostles</w:t>
      </w:r>
      <w:r>
        <w:rPr>
          <w:lang w:val="en_US" w:bidi="en_US"/>
        </w:rPr>
        <w:t xml:space="preserve"> means “those who are sent.” Here it refers to the people whom Jesus sent with authority to accomplish the mission that he gave them in 9:1–2.</w:t>
      </w:r>
    </w:p>
    <w:p>
      <w:pPr/>
      <w:r>
        <w:rPr>
          <w:lang w:val="en_US" w:bidi="en_US"/>
        </w:rPr>
      </w:r>
      <w:r>
        <w:rPr>
          <w:lang w:val="en_US" w:bidi="en_US"/>
        </w:rPr>
        <w:t xml:space="preserve">In 9:1a these </w:t>
      </w:r>
      <w:r>
        <w:rPr>
          <w:i/>
          <w:lang w:val="en_US" w:bidi="en_US"/>
        </w:rPr>
        <w:t>apostles</w:t>
      </w:r>
      <w:r>
        <w:rPr>
          <w:lang w:val="en_US" w:bidi="en_US"/>
        </w:rPr>
        <w:t xml:space="preserve"> are called “the Twelve.” In some languages it may be necessary to make this explicit so that your readers know that it is the same group of people. For example:</w:t>
      </w:r>
    </w:p>
    <w:p>
      <w:pPr/>
      <w:r>
        <w:rPr>
          <w:lang w:val="en_US" w:bidi="en_US"/>
        </w:rPr>
      </w:r>
      <w:r>
        <w:rPr>
          <w:lang w:val="en_US" w:bidi="en_US"/>
        </w:rPr>
        <w:t>the twelve apostles (NCV)</w:t>
      </w:r>
    </w:p>
    <w:p>
      <w:pPr/>
      <w:r>
        <w:rPr>
          <w:lang w:val="en_US" w:bidi="en_US"/>
        </w:rPr>
      </w:r>
      <w:r>
        <w:rPr>
          <w:lang w:val="en_US" w:bidi="en_US"/>
        </w:rPr>
        <w:t xml:space="preserve">Some ways to translate </w:t>
      </w:r>
      <w:r>
        <w:rPr>
          <w:i/>
          <w:lang w:val="en_US" w:bidi="en_US"/>
        </w:rPr>
        <w:t>apostles</w:t>
      </w:r>
      <w:r>
        <w:rPr>
          <w:lang w:val="en_US" w:bidi="en_US"/>
        </w:rPr>
        <w:t xml:space="preserve"> are:</w:t>
      </w:r>
    </w:p>
    <w:p>
      <w:pPr>
        <w:pStyle w:val="ListBullet"/>
        <w:spacing w:line="240" w:lineRule="auto"/>
        <w:ind w:left="720"/>
      </w:pPr>
      <w:r>
        <w:rPr>
          <w:lang w:val="en_US" w:bidi="en_US"/>
        </w:rPr>
      </w:r>
      <w:r>
        <w:rPr>
          <w:lang w:val="en_US" w:bidi="en_US"/>
        </w:rPr>
        <w:t xml:space="preserve">Translate the meaning of the Greek word </w:t>
      </w:r>
      <w:r>
        <w:rPr>
          <w:i/>
          <w:lang w:val="en_US" w:bidi="en_US"/>
        </w:rPr>
        <w:t>apostles</w:t>
      </w:r>
      <w:r>
        <w:rPr>
          <w:lang w:val="en_US" w:bidi="en_US"/>
        </w:rPr>
        <w:t>. For example:</w:t>
      </w:r>
      <w:r>
        <w:rPr>
          <w:lang w:val="en_US" w:bidi="en_US"/>
        </w:rPr>
        <w:t xml:space="preserve">people sent </w:t>
      </w:r>
      <w:r>
        <w:rPr>
          <w:lang w:val="en_US" w:bidi="en_US"/>
        </w:rPr>
        <w:t>to speak/act for him</w:t>
      </w:r>
      <w:r>
        <w:rPr>
          <w:lang w:val="en_US" w:bidi="en_US"/>
        </w:rPr>
        <w:t>special</w:t>
      </w:r>
      <w:r>
        <w:rPr>
          <w:lang w:val="en_US" w:bidi="en_US"/>
        </w:rPr>
        <w:t xml:space="preserve"> messengers</w:t>
      </w:r>
      <w:r>
        <w:rPr>
          <w:lang w:val="en_US" w:bidi="en_US"/>
        </w:rPr>
        <w:t>representatives</w:t>
      </w:r>
      <w:r>
        <w:rPr>
          <w:lang w:val="en_US" w:bidi="en_US"/>
        </w:rPr>
        <w:t>men with authority from Jesus</w:t>
      </w:r>
    </w:p>
    <w:p>
      <w:pPr>
        <w:pStyle w:val="ListBullet"/>
        <w:spacing w:line="240" w:lineRule="auto"/>
        <w:ind w:left="720"/>
      </w:pPr>
      <w:r>
        <w:rPr>
          <w:lang w:val="en_US" w:bidi="en_US"/>
        </w:rPr>
      </w:r>
      <w:r>
        <w:rPr>
          <w:lang w:val="en_US" w:bidi="en_US"/>
        </w:rPr>
        <w:t>Indicate the role or function of apostles. For example:</w:t>
      </w:r>
      <w:r>
        <w:rPr>
          <w:lang w:val="en_US" w:bidi="en_US"/>
        </w:rPr>
        <w:t xml:space="preserve">chief leaders </w:t>
      </w:r>
      <w:r>
        <w:rPr>
          <w:lang w:val="en_US" w:bidi="en_US"/>
        </w:rPr>
        <w:t>of Jesus’ work</w:t>
      </w:r>
      <w:r>
        <w:rPr>
          <w:lang w:val="en_US" w:bidi="en_US"/>
        </w:rPr>
        <w:t xml:space="preserve">people who were in charge </w:t>
      </w:r>
      <w:r>
        <w:rPr>
          <w:lang w:val="en_US" w:bidi="en_US"/>
        </w:rPr>
        <w:t>of Jesus’ work</w:t>
      </w:r>
    </w:p>
    <w:p>
      <w:pPr/>
      <w:r>
        <w:rPr>
          <w:lang w:val="en_US" w:bidi="en_US"/>
        </w:rPr>
      </w:r>
      <w:r>
        <w:rPr>
          <w:lang w:val="en_US" w:bidi="en_US"/>
        </w:rPr>
        <w:t>Be careful to choose different terms for “apostles,” “angels,” “elders,” and “prophets.”</w:t>
      </w:r>
    </w:p>
    <w:p>
      <w:pPr/>
      <w:r>
        <w:rPr>
          <w:lang w:val="en_US" w:bidi="en_US"/>
        </w:rPr>
      </w:r>
      <w:r>
        <w:rPr>
          <w:lang w:val="en_US" w:bidi="en_US"/>
        </w:rPr>
        <w:t>See also apostle in the Glossary.</w:t>
      </w:r>
    </w:p>
    <w:p>
      <w:pPr/>
      <w:r>
        <w:rPr>
          <w:lang w:val="en_US" w:bidi="en_US"/>
        </w:rPr>
      </w:r>
      <w:r>
        <w:rPr>
          <w:b/>
          <w:lang w:val="en_US" w:bidi="en_US"/>
        </w:rPr>
        <w:t>and reported to Jesus all that they had done:</w:t>
      </w:r>
      <w:r>
        <w:rPr>
          <w:lang w:val="en_US" w:bidi="en_US"/>
        </w:rPr>
        <w:t xml:space="preserve"> The apostles told Jesus about what they had done on their preaching tour of the villages.</w:t>
      </w:r>
    </w:p>
    <w:p>
      <w:pPr>
        <w:pStyle w:val="Heading5"/>
      </w:pPr>
      <w:r>
        <w:rPr>
          <w:lang w:val="en_US" w:bidi="en_US"/>
        </w:rPr>
        <w:t>9:10b</w:t>
      </w:r>
    </w:p>
    <w:p>
      <w:pPr/>
      <w:r>
        <w:rPr>
          <w:lang w:val="en_US" w:bidi="en_US"/>
        </w:rPr>
      </w:r>
      <w:r>
        <w:rPr>
          <w:b/>
          <w:lang w:val="en_US" w:bidi="en_US"/>
        </w:rPr>
        <w:t>Taking them away privately, He withdrew to a town called Bethsaida.</w:t>
      </w:r>
    </w:p>
    <w:p>
      <w:pPr>
        <w:pStyle w:val="ListBullet"/>
        <w:spacing w:line="240" w:lineRule="auto"/>
        <w:ind w:left="720"/>
      </w:pPr>
      <w:r>
        <w:rPr>
          <w:lang w:val="en_US" w:bidi="en_US"/>
        </w:rPr>
      </w:r>
      <w:r>
        <w:rPr>
          <w:lang w:val="en_US" w:bidi="en_US"/>
        </w:rPr>
        <w:t>Then he and the apostles went alone towards a town called Bethsaida.</w:t>
      </w:r>
    </w:p>
    <w:p>
      <w:pPr>
        <w:pStyle w:val="ListBullet"/>
        <w:spacing w:line="240" w:lineRule="auto"/>
        <w:ind w:left="720"/>
      </w:pPr>
      <w:r>
        <w:rPr>
          <w:lang w:val="en_US" w:bidi="en_US"/>
        </w:rPr>
      </w:r>
      <w:r>
        <w:rPr>
          <w:lang w:val="en_US" w:bidi="en_US"/>
        </w:rPr>
        <w:t xml:space="preserve">Then he led them and they </w:t>
      </w:r>
      <w:r>
        <w:rPr>
          <w:lang w:val="en_US" w:bidi="en_US"/>
        </w:rPr>
        <w:t>all</w:t>
      </w:r>
      <w:r>
        <w:rPr>
          <w:lang w:val="en_US" w:bidi="en_US"/>
        </w:rPr>
        <w:t xml:space="preserve"> went to a place </w:t>
      </w:r>
      <w:r>
        <w:rPr>
          <w:lang w:val="en_US" w:bidi="en_US"/>
        </w:rPr>
        <w:t>near</w:t>
      </w:r>
      <w:r>
        <w:rPr>
          <w:lang w:val="en_US" w:bidi="en_US"/>
        </w:rPr>
        <w:t xml:space="preserve"> the town of Bethsaida where they could be alone.</w:t>
      </w:r>
    </w:p>
    <w:p>
      <w:pPr>
        <w:pStyle w:val="ListBullet"/>
        <w:spacing w:line="240" w:lineRule="auto"/>
        <w:ind w:left="720"/>
      </w:pPr>
      <w:r>
        <w:rPr>
          <w:lang w:val="en_US" w:bidi="en_US"/>
        </w:rPr>
      </w:r>
      <w:r>
        <w:rPr>
          <w:lang w:val="en_US" w:bidi="en_US"/>
        </w:rPr>
        <w:t xml:space="preserve">Then he told them to come with him away from </w:t>
      </w:r>
      <w:r>
        <w:rPr>
          <w:lang w:val="en_US" w:bidi="en_US"/>
        </w:rPr>
        <w:t>the crowd</w:t>
      </w:r>
      <w:r>
        <w:rPr>
          <w:lang w:val="en_US" w:bidi="en_US"/>
        </w:rPr>
        <w:t xml:space="preserve"> in the direction of the town that is called Bethsaida.</w:t>
      </w:r>
    </w:p>
    <w:p>
      <w:pPr/>
      <w:r>
        <w:rPr>
          <w:lang w:val="en_US" w:bidi="en_US"/>
        </w:rPr>
      </w:r>
      <w:r>
        <w:rPr>
          <w:b/>
          <w:lang w:val="en_US" w:bidi="en_US"/>
        </w:rPr>
        <w:t>Taking them away privately, He withdrew to a town called Bethsaida:</w:t>
      </w:r>
      <w:r>
        <w:rPr>
          <w:lang w:val="en_US" w:bidi="en_US"/>
        </w:rPr>
        <w:t xml:space="preserve"> This part of the verse indicates that Jesus took the disciples to a place where he and they could be alone together. The phrase </w:t>
      </w:r>
      <w:r>
        <w:rPr>
          <w:i/>
          <w:lang w:val="en_US" w:bidi="en_US"/>
        </w:rPr>
        <w:t>away privately</w:t>
      </w:r>
      <w:r>
        <w:rPr>
          <w:lang w:val="en_US" w:bidi="en_US"/>
        </w:rPr>
        <w:t xml:space="preserve"> means “alone, apart from others.” Jesus wanted to be with his apostles away from the many other people who followed him.</w:t>
      </w:r>
    </w:p>
    <w:p>
      <w:pPr/>
      <w:r>
        <w:rPr>
          <w:lang w:val="en_US" w:bidi="en_US"/>
        </w:rPr>
      </w:r>
      <w:r>
        <w:rPr>
          <w:lang w:val="en_US" w:bidi="en_US"/>
        </w:rPr>
        <w:t>Some other ways to translate it are:</w:t>
      </w:r>
    </w:p>
    <w:p>
      <w:pPr/>
      <w:r>
        <w:rPr>
          <w:lang w:val="en_US" w:bidi="en_US"/>
        </w:rPr>
      </w:r>
      <w:r>
        <w:rPr>
          <w:lang w:val="en_US" w:bidi="en_US"/>
        </w:rPr>
        <w:t>he led them to a town called Bethsaida where they could be alone together</w:t>
      </w:r>
    </w:p>
    <w:p>
      <w:pPr/>
      <w:r>
        <w:rPr>
          <w:lang w:val="en_US" w:bidi="en_US"/>
        </w:rPr>
      </w:r>
      <w:r>
        <w:rPr>
          <w:lang w:val="en_US" w:bidi="en_US"/>
        </w:rPr>
        <w:t>Then Jesus took them with him to a town called Bethsaida, where they could be alone together. (NCV)</w:t>
      </w:r>
    </w:p>
    <w:p>
      <w:pPr/>
      <w:r>
        <w:rPr>
          <w:lang w:val="en_US" w:bidi="en_US"/>
        </w:rPr>
      </w:r>
      <w:r>
        <w:rPr>
          <w:b/>
          <w:lang w:val="en_US" w:bidi="en_US"/>
        </w:rPr>
        <w:t>to a town called Bethsaida:</w:t>
      </w:r>
      <w:r>
        <w:rPr>
          <w:lang w:val="en_US" w:bidi="en_US"/>
        </w:rPr>
        <w:t xml:space="preserve"> The Greek word that the BSB translates as </w:t>
      </w:r>
      <w:r>
        <w:rPr>
          <w:i/>
          <w:lang w:val="en_US" w:bidi="en_US"/>
        </w:rPr>
        <w:t>to</w:t>
      </w:r>
      <w:r>
        <w:rPr>
          <w:lang w:val="en_US" w:bidi="en_US"/>
        </w:rPr>
        <w:t xml:space="preserve"> in this context probably means “toward.” The context implies that Jesus and his disciples remained in a quiet, deserted place some distance from the town. A way to express this meaning is:</w:t>
      </w:r>
    </w:p>
    <w:p>
      <w:pPr/>
      <w:r>
        <w:rPr>
          <w:lang w:val="en_US" w:bidi="en_US"/>
        </w:rPr>
      </w:r>
      <w:r>
        <w:rPr>
          <w:lang w:val="en_US" w:bidi="en_US"/>
        </w:rPr>
        <w:t>toward the town of Bethsaida (NLT)</w:t>
      </w:r>
    </w:p>
    <w:p>
      <w:pPr/>
      <w:r>
        <w:rPr>
          <w:lang w:val="en_US" w:bidi="en_US"/>
        </w:rPr>
      </w:r>
      <w:r>
        <w:rPr>
          <w:b/>
          <w:lang w:val="en_US" w:bidi="en_US"/>
        </w:rPr>
        <w:t>Bethsaida:</w:t>
      </w:r>
      <w:r>
        <w:rPr>
          <w:lang w:val="en_US" w:bidi="en_US"/>
        </w:rPr>
        <w:t xml:space="preserve"> </w:t>
      </w:r>
      <w:r>
        <w:rPr>
          <w:i/>
          <w:lang w:val="en_US" w:bidi="en_US"/>
        </w:rPr>
        <w:t>Bethsaida</w:t>
      </w:r>
      <w:r>
        <w:rPr>
          <w:lang w:val="en_US" w:bidi="en_US"/>
        </w:rPr>
        <w:t xml:space="preserve"> was a town on the northeast shore of Lake Galilee.</w:t>
      </w:r>
      <w:r>
        <w:rPr>
          <w:lang w:val="en_US" w:bidi="en_US"/>
        </w:rPr>
      </w:r>
      <w:r>
        <w:rPr>
          <w:lang w:val="en_US" w:bidi="en_US"/>
        </w:rPr>
      </w:r>
    </w:p>
    <w:p>
      <w:pPr/>
      <w:r>
        <w:rPr>
          <w:lang w:val="en_US" w:bidi="en_US"/>
        </w:rPr>
      </w:r>
    </w:p>
    <w:p>
      <w:pPr>
        <w:pStyle w:val="Heading2"/>
      </w:pPr>
      <w:r>
        <w:rPr>
          <w:lang w:val="en_US" w:bidi="en_US"/>
        </w:rPr>
        <w:t>Luke 9:11</w:t>
      </w:r>
      <w:r>
        <w:rPr>
          <w:lang w:val="en_US" w:bidi="en_US"/>
        </w:rPr>
      </w:r>
    </w:p>
    <w:p>
      <w:pPr>
        <w:pStyle w:val="Heading4"/>
      </w:pPr>
      <w:r>
        <w:rPr>
          <w:lang w:val="en_US" w:bidi="en_US"/>
        </w:rPr>
        <w:t>Section 9:10–17: Jesus did a miracle to feed more than five thousand people</w:t>
      </w:r>
    </w:p>
    <w:p>
      <w:pPr/>
      <w:r>
        <w:rPr>
          <w:lang w:val="en_US" w:bidi="en_US"/>
        </w:rPr>
      </w:r>
      <w:r>
        <w:rPr>
          <w:lang w:val="en_US" w:bidi="en_US"/>
        </w:rPr>
        <w:t>Jesus taught the people about the kingdom of God and he healed many sick people. Then he fed all of the people by multiplying a small amount of bread and fish. This is the only miracle besides Jesus’ resurrection that all four Gospels record.</w:t>
      </w:r>
    </w:p>
    <w:p>
      <w:pPr/>
      <w:r>
        <w:rPr>
          <w:lang w:val="en_US" w:bidi="en_US"/>
        </w:rPr>
      </w:r>
      <w:r>
        <w:rPr>
          <w:lang w:val="en_US" w:bidi="en_US"/>
        </w:rPr>
        <w:t>Some other headings for this section are:</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There are parallel passages for this section in Matthew 14:13–21, Mark 6:30–44, and John 6:1–14.</w:t>
      </w:r>
    </w:p>
    <w:p>
      <w:pPr>
        <w:pStyle w:val="Heading5"/>
      </w:pPr>
      <w:r>
        <w:rPr>
          <w:lang w:val="en_US" w:bidi="en_US"/>
        </w:rPr>
        <w:t>9:11a</w:t>
      </w:r>
    </w:p>
    <w:p>
      <w:pPr/>
      <w:r>
        <w:rPr>
          <w:lang w:val="en_US" w:bidi="en_US"/>
        </w:rPr>
      </w:r>
      <w:r>
        <w:rPr>
          <w:b/>
          <w:lang w:val="en_US" w:bidi="en_US"/>
        </w:rPr>
        <w:t>But the crowds found out and followed Him.</w:t>
      </w:r>
    </w:p>
    <w:p>
      <w:pPr>
        <w:pStyle w:val="ListBullet"/>
        <w:spacing w:line="240" w:lineRule="auto"/>
        <w:ind w:left="720"/>
      </w:pPr>
      <w:r>
        <w:rPr>
          <w:lang w:val="en_US" w:bidi="en_US"/>
        </w:rPr>
      </w:r>
      <w:r>
        <w:rPr>
          <w:lang w:val="en_US" w:bidi="en_US"/>
        </w:rPr>
        <w:t xml:space="preserve">But many people heard about </w:t>
      </w:r>
      <w:r>
        <w:rPr>
          <w:lang w:val="en_US" w:bidi="en_US"/>
        </w:rPr>
        <w:t>where Jesus and his apostles were going</w:t>
      </w:r>
      <w:r>
        <w:rPr>
          <w:lang w:val="en_US" w:bidi="en_US"/>
        </w:rPr>
        <w:t>, and they followed them.</w:t>
      </w:r>
    </w:p>
    <w:p>
      <w:pPr>
        <w:pStyle w:val="ListBullet"/>
        <w:spacing w:line="240" w:lineRule="auto"/>
        <w:ind w:left="720"/>
      </w:pPr>
      <w:r>
        <w:rPr>
          <w:lang w:val="en_US" w:bidi="en_US"/>
        </w:rPr>
      </w:r>
      <w:r>
        <w:rPr>
          <w:lang w:val="en_US" w:bidi="en_US"/>
        </w:rPr>
        <w:t xml:space="preserve">But the crowd found out </w:t>
      </w:r>
      <w:r>
        <w:rPr>
          <w:lang w:val="en_US" w:bidi="en_US"/>
        </w:rPr>
        <w:t>where he had gone</w:t>
      </w:r>
      <w:r>
        <w:rPr>
          <w:lang w:val="en_US" w:bidi="en_US"/>
        </w:rPr>
        <w:t>, and they went after him.</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something that happened to disturb or interrupt Jesus’ plans. Some English versions use an introductory clause instead of a conjunction here. For example:</w:t>
      </w:r>
    </w:p>
    <w:p>
      <w:pPr/>
      <w:r>
        <w:rPr>
          <w:lang w:val="en_US" w:bidi="en_US"/>
        </w:rPr>
      </w:r>
      <w:r>
        <w:rPr>
          <w:lang w:val="en_US" w:bidi="en_US"/>
        </w:rPr>
        <w:t>When the crowds heard about it (GNT)</w:t>
      </w:r>
    </w:p>
    <w:p>
      <w:pPr/>
      <w:r>
        <w:rPr>
          <w:lang w:val="en_US" w:bidi="en_US"/>
        </w:rPr>
      </w:r>
      <w:r>
        <w:rPr>
          <w:lang w:val="en_US" w:bidi="en_US"/>
        </w:rPr>
        <w:t>Use a natural way in your language to connect this verse with 9:10.</w:t>
      </w:r>
    </w:p>
    <w:p>
      <w:pPr/>
      <w:r>
        <w:rPr>
          <w:lang w:val="en_US" w:bidi="en_US"/>
        </w:rPr>
      </w:r>
      <w:r>
        <w:rPr>
          <w:b/>
          <w:lang w:val="en_US" w:bidi="en_US"/>
        </w:rPr>
        <w:t>the crowds found out:</w:t>
      </w:r>
      <w:r>
        <w:rPr>
          <w:lang w:val="en_US" w:bidi="en_US"/>
        </w:rPr>
        <w:t xml:space="preserve"> The phrase </w:t>
      </w:r>
      <w:r>
        <w:rPr>
          <w:i/>
          <w:lang w:val="en_US" w:bidi="en_US"/>
        </w:rPr>
        <w:t>found out</w:t>
      </w:r>
      <w:r>
        <w:rPr>
          <w:lang w:val="en_US" w:bidi="en_US"/>
        </w:rPr>
        <w:t xml:space="preserve"> indicates that the people had heard/discovered where Jesus had gone. Here is a way to show that:</w:t>
      </w:r>
    </w:p>
    <w:p>
      <w:pPr/>
      <w:r>
        <w:rPr>
          <w:lang w:val="en_US" w:bidi="en_US"/>
        </w:rPr>
      </w:r>
      <w:r>
        <w:rPr>
          <w:lang w:val="en_US" w:bidi="en_US"/>
        </w:rPr>
        <w:t>the crowds found out where Jesus was going (NLT)</w:t>
      </w:r>
    </w:p>
    <w:p>
      <w:pPr/>
      <w:r>
        <w:rPr>
          <w:lang w:val="en_US" w:bidi="en_US"/>
        </w:rPr>
      </w:r>
      <w:r>
        <w:rPr>
          <w:b/>
          <w:lang w:val="en_US" w:bidi="en_US"/>
        </w:rPr>
        <w:t>the crowds:</w:t>
      </w:r>
      <w:r>
        <w:rPr>
          <w:lang w:val="en_US" w:bidi="en_US"/>
        </w:rPr>
        <w:t xml:space="preserve"> The Greek phrase that the BSB translates as </w:t>
      </w:r>
      <w:r>
        <w:rPr>
          <w:i/>
          <w:lang w:val="en_US" w:bidi="en_US"/>
        </w:rPr>
        <w:t>the crowds</w:t>
      </w:r>
      <w:r>
        <w:rPr>
          <w:lang w:val="en_US" w:bidi="en_US"/>
        </w:rPr>
        <w:t xml:space="preserve"> refers to many people who are together in a place.</w:t>
      </w:r>
    </w:p>
    <w:p>
      <w:pPr/>
      <w:r>
        <w:rPr>
          <w:lang w:val="en_US" w:bidi="en_US"/>
        </w:rPr>
      </w:r>
      <w:r>
        <w:rPr>
          <w:lang w:val="en_US" w:bidi="en_US"/>
        </w:rPr>
        <w:t xml:space="preserve">The BSB uses a plural form here, as the Greek text does, to indicate that the crowd was very large. The plural form probably does not indicate that the author was referring to more than one distinct group of people. Some other ways to translate </w:t>
      </w:r>
      <w:r>
        <w:rPr>
          <w:i/>
          <w:lang w:val="en_US" w:bidi="en_US"/>
        </w:rPr>
        <w:t>the crowds</w:t>
      </w:r>
      <w:r>
        <w:rPr>
          <w:lang w:val="en_US" w:bidi="en_US"/>
        </w:rPr>
        <w:t xml:space="preserve"> here are:</w:t>
      </w:r>
    </w:p>
    <w:p>
      <w:pPr/>
      <w:r>
        <w:rPr>
          <w:lang w:val="en_US" w:bidi="en_US"/>
        </w:rPr>
      </w:r>
      <w:r>
        <w:rPr>
          <w:lang w:val="en_US" w:bidi="en_US"/>
        </w:rPr>
        <w:t>many people</w:t>
      </w:r>
    </w:p>
    <w:p>
      <w:pPr/>
      <w:r>
        <w:rPr>
          <w:lang w:val="en_US" w:bidi="en_US"/>
        </w:rPr>
      </w:r>
      <w:r>
        <w:rPr>
          <w:lang w:val="en_US" w:bidi="en_US"/>
        </w:rPr>
        <w:t>the crowd</w:t>
      </w:r>
    </w:p>
    <w:p>
      <w:pPr/>
      <w:r>
        <w:rPr>
          <w:lang w:val="en_US" w:bidi="en_US"/>
        </w:rPr>
      </w:r>
      <w:r>
        <w:rPr>
          <w:lang w:val="en_US" w:bidi="en_US"/>
        </w:rPr>
        <w:t>a lot of people (CEV)</w:t>
      </w:r>
    </w:p>
    <w:p>
      <w:pPr/>
      <w:r>
        <w:rPr>
          <w:lang w:val="en_US" w:bidi="en_US"/>
        </w:rPr>
      </w:r>
      <w:r>
        <w:rPr>
          <w:b/>
          <w:lang w:val="en_US" w:bidi="en_US"/>
        </w:rPr>
        <w:t>followed Him:</w:t>
      </w:r>
      <w:r>
        <w:rPr>
          <w:lang w:val="en_US" w:bidi="en_US"/>
        </w:rPr>
        <w:t xml:space="preserve"> The crowds went in the direction that they knew Jesus was going. The parallel passages in Matthew and Mark indicate that Jesus and his disciples crossed the lake in a boat. So your translation should not imply that the crowds were walking behind Jesus. Another way to translate the meaning of </w:t>
      </w:r>
      <w:r>
        <w:rPr>
          <w:i/>
          <w:lang w:val="en_US" w:bidi="en_US"/>
        </w:rPr>
        <w:t>followed Him</w:t>
      </w:r>
      <w:r>
        <w:rPr>
          <w:lang w:val="en_US" w:bidi="en_US"/>
        </w:rPr>
        <w:t xml:space="preserve"> here is:</w:t>
      </w:r>
    </w:p>
    <w:p>
      <w:pPr/>
      <w:r>
        <w:rPr>
          <w:lang w:val="en_US" w:bidi="en_US"/>
        </w:rPr>
      </w:r>
      <w:r>
        <w:rPr>
          <w:lang w:val="en_US" w:bidi="en_US"/>
        </w:rPr>
        <w:t>also went there</w:t>
      </w:r>
    </w:p>
    <w:p>
      <w:pPr>
        <w:pStyle w:val="Heading5"/>
      </w:pPr>
      <w:r>
        <w:rPr>
          <w:lang w:val="en_US" w:bidi="en_US"/>
        </w:rPr>
        <w:t>9:11b</w:t>
      </w:r>
    </w:p>
    <w:p>
      <w:pPr/>
      <w:r>
        <w:rPr>
          <w:lang w:val="en_US" w:bidi="en_US"/>
        </w:rPr>
      </w:r>
      <w:r>
        <w:rPr>
          <w:b/>
          <w:lang w:val="en_US" w:bidi="en_US"/>
        </w:rPr>
        <w:t>He welcomed them and spoke to them about the kingdom of God,</w:t>
      </w:r>
    </w:p>
    <w:p>
      <w:pPr>
        <w:pStyle w:val="ListBullet"/>
        <w:spacing w:line="240" w:lineRule="auto"/>
        <w:ind w:left="720"/>
      </w:pPr>
      <w:r>
        <w:rPr>
          <w:lang w:val="en_US" w:bidi="en_US"/>
        </w:rPr>
      </w:r>
      <w:r>
        <w:rPr>
          <w:lang w:val="en_US" w:bidi="en_US"/>
        </w:rPr>
        <w:t xml:space="preserve">Jesus welcomed </w:t>
      </w:r>
      <w:r>
        <w:rPr>
          <w:lang w:val="en_US" w:bidi="en_US"/>
        </w:rPr>
        <w:t>the people</w:t>
      </w:r>
      <w:r>
        <w:rPr>
          <w:lang w:val="en_US" w:bidi="en_US"/>
        </w:rPr>
        <w:t xml:space="preserve"> and told them about the reign/chieftaincy of God.</w:t>
      </w:r>
    </w:p>
    <w:p>
      <w:pPr>
        <w:pStyle w:val="ListBullet"/>
        <w:spacing w:line="240" w:lineRule="auto"/>
        <w:ind w:left="720"/>
      </w:pPr>
      <w:r>
        <w:rPr>
          <w:lang w:val="en_US" w:bidi="en_US"/>
        </w:rPr>
      </w:r>
      <w:r>
        <w:rPr>
          <w:lang w:val="en_US" w:bidi="en_US"/>
        </w:rPr>
        <w:t>Jesus gladly received them and talked to them about how God ruled people.</w:t>
      </w:r>
    </w:p>
    <w:p>
      <w:pPr/>
      <w:r>
        <w:rPr>
          <w:lang w:val="en_US" w:bidi="en_US"/>
        </w:rPr>
      </w:r>
      <w:r>
        <w:rPr>
          <w:b/>
          <w:lang w:val="en_US" w:bidi="en_US"/>
        </w:rPr>
        <w:t>He welcomed them:</w:t>
      </w:r>
      <w:r>
        <w:rPr>
          <w:lang w:val="en_US" w:bidi="en_US"/>
        </w:rPr>
        <w:t xml:space="preserve"> The clause </w:t>
      </w:r>
      <w:r>
        <w:rPr>
          <w:i/>
          <w:lang w:val="en_US" w:bidi="en_US"/>
        </w:rPr>
        <w:t>He welcomed them</w:t>
      </w:r>
      <w:r>
        <w:rPr>
          <w:lang w:val="en_US" w:bidi="en_US"/>
        </w:rPr>
        <w:t xml:space="preserve"> means that Jesus received the crowds kindly and politely. He did not send them away, even though he had planned to be alone with his disciples.</w:t>
      </w:r>
    </w:p>
    <w:p>
      <w:pPr/>
      <w:r>
        <w:rPr>
          <w:lang w:val="en_US" w:bidi="en_US"/>
        </w:rPr>
      </w:r>
      <w:r>
        <w:rPr>
          <w:b/>
          <w:lang w:val="en_US" w:bidi="en_US"/>
        </w:rPr>
        <w:t>spoke to them about the kingdom of God:</w:t>
      </w:r>
      <w:r>
        <w:rPr>
          <w:lang w:val="en_US" w:bidi="en_US"/>
        </w:rPr>
        <w:t xml:space="preserve"> The phrase </w:t>
      </w:r>
      <w:r>
        <w:rPr>
          <w:i/>
          <w:lang w:val="en_US" w:bidi="en_US"/>
        </w:rPr>
        <w:t>the kingdom of God</w:t>
      </w:r>
      <w:r>
        <w:rPr>
          <w:lang w:val="en_US" w:bidi="en_US"/>
        </w:rPr>
        <w:t xml:space="preserve"> refers to God’s reign or rule over his people. For more information, see the note on “to proclaim the kingdom of God” in 9:2.</w:t>
      </w:r>
    </w:p>
    <w:p>
      <w:pPr>
        <w:pStyle w:val="Heading5"/>
      </w:pPr>
      <w:r>
        <w:rPr>
          <w:lang w:val="en_US" w:bidi="en_US"/>
        </w:rPr>
        <w:t>9:11c</w:t>
      </w:r>
    </w:p>
    <w:p>
      <w:pPr/>
      <w:r>
        <w:rPr>
          <w:lang w:val="en_US" w:bidi="en_US"/>
        </w:rPr>
      </w:r>
      <w:r>
        <w:rPr>
          <w:b/>
          <w:lang w:val="en_US" w:bidi="en_US"/>
        </w:rPr>
        <w:t>and He healed those who needed healing.</w:t>
      </w:r>
    </w:p>
    <w:p>
      <w:pPr>
        <w:pStyle w:val="ListBullet"/>
        <w:spacing w:line="240" w:lineRule="auto"/>
        <w:ind w:left="720"/>
      </w:pPr>
      <w:r>
        <w:rPr>
          <w:lang w:val="en_US" w:bidi="en_US"/>
        </w:rPr>
      </w:r>
      <w:r>
        <w:rPr>
          <w:lang w:val="en_US" w:bidi="en_US"/>
        </w:rPr>
        <w:t>And he healed those who needed to be healed.</w:t>
      </w:r>
    </w:p>
    <w:p>
      <w:pPr>
        <w:pStyle w:val="ListBullet"/>
        <w:spacing w:line="240" w:lineRule="auto"/>
        <w:ind w:left="720"/>
      </w:pPr>
      <w:r>
        <w:rPr>
          <w:lang w:val="en_US" w:bidi="en_US"/>
        </w:rPr>
      </w:r>
      <w:r>
        <w:rPr>
          <w:lang w:val="en_US" w:bidi="en_US"/>
        </w:rPr>
        <w:t>He also caused the people who were sick to become well.</w:t>
      </w:r>
    </w:p>
    <w:p>
      <w:pPr/>
      <w:r>
        <w:rPr>
          <w:lang w:val="en_US" w:bidi="en_US"/>
        </w:rPr>
      </w:r>
      <w:r>
        <w:rPr>
          <w:b/>
          <w:lang w:val="en_US" w:bidi="en_US"/>
        </w:rPr>
        <w:t>He healed those who needed healing:</w:t>
      </w:r>
      <w:r>
        <w:rPr>
          <w:lang w:val="en_US" w:bidi="en_US"/>
        </w:rPr>
        <w:t xml:space="preserve"> The phrase </w:t>
      </w:r>
      <w:r>
        <w:rPr>
          <w:i/>
          <w:lang w:val="en_US" w:bidi="en_US"/>
        </w:rPr>
        <w:t>healed those who needed healing</w:t>
      </w:r>
      <w:r>
        <w:rPr>
          <w:lang w:val="en_US" w:bidi="en_US"/>
        </w:rPr>
        <w:t xml:space="preserve"> means “healed those people who were sick.” For example:</w:t>
      </w:r>
    </w:p>
    <w:p>
      <w:pPr/>
      <w:r>
        <w:rPr>
          <w:lang w:val="en_US" w:bidi="en_US"/>
        </w:rPr>
      </w:r>
      <w:r>
        <w:rPr>
          <w:lang w:val="en_US" w:bidi="en_US"/>
        </w:rPr>
        <w:t>cured those who were sick (GW)</w:t>
      </w:r>
      <w:r>
        <w:rPr>
          <w:lang w:val="en_US" w:bidi="en_US"/>
        </w:rPr>
      </w:r>
      <w:r>
        <w:rPr>
          <w:lang w:val="en_US" w:bidi="en_US"/>
        </w:rPr>
      </w:r>
    </w:p>
    <w:p>
      <w:pPr/>
      <w:r>
        <w:rPr>
          <w:lang w:val="en_US" w:bidi="en_US"/>
        </w:rPr>
      </w:r>
    </w:p>
    <w:p>
      <w:pPr>
        <w:pStyle w:val="Heading2"/>
      </w:pPr>
      <w:r>
        <w:rPr>
          <w:lang w:val="en_US" w:bidi="en_US"/>
        </w:rPr>
        <w:t>Luke 9:12</w:t>
      </w:r>
      <w:r>
        <w:rPr>
          <w:lang w:val="en_US" w:bidi="en_US"/>
        </w:rPr>
      </w:r>
    </w:p>
    <w:p>
      <w:pPr>
        <w:pStyle w:val="Heading4"/>
      </w:pPr>
      <w:r>
        <w:rPr>
          <w:lang w:val="en_US" w:bidi="en_US"/>
        </w:rPr>
        <w:t>Section 9:10–17: Jesus did a miracle to feed more than five thousand people</w:t>
      </w:r>
    </w:p>
    <w:p>
      <w:pPr/>
      <w:r>
        <w:rPr>
          <w:lang w:val="en_US" w:bidi="en_US"/>
        </w:rPr>
      </w:r>
      <w:r>
        <w:rPr>
          <w:lang w:val="en_US" w:bidi="en_US"/>
        </w:rPr>
        <w:t>Jesus taught the people about the kingdom of God and he healed many sick people. Then he fed all of the people by multiplying a small amount of bread and fish. This is the only miracle besides Jesus’ resurrection that all four Gospels record.</w:t>
      </w:r>
    </w:p>
    <w:p>
      <w:pPr/>
      <w:r>
        <w:rPr>
          <w:lang w:val="en_US" w:bidi="en_US"/>
        </w:rPr>
      </w:r>
      <w:r>
        <w:rPr>
          <w:lang w:val="en_US" w:bidi="en_US"/>
        </w:rPr>
        <w:t>Some other headings for this section are:</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There are parallel passages for this section in Matthew 14:13–21, Mark 6:30–44, and John 6:1–14.</w:t>
      </w:r>
    </w:p>
    <w:p>
      <w:pPr>
        <w:pStyle w:val="Heading5"/>
      </w:pPr>
      <w:r>
        <w:rPr>
          <w:lang w:val="en_US" w:bidi="en_US"/>
        </w:rPr>
        <w:t>9:12a</w:t>
      </w:r>
    </w:p>
    <w:p>
      <w:pPr/>
      <w:r>
        <w:rPr>
          <w:lang w:val="en_US" w:bidi="en_US"/>
        </w:rPr>
      </w:r>
      <w:r>
        <w:rPr>
          <w:b/>
          <w:lang w:val="en_US" w:bidi="en_US"/>
        </w:rPr>
        <w:t>As the day neared its end, the Twelve came to Jesus and said,</w:t>
      </w:r>
    </w:p>
    <w:p>
      <w:pPr>
        <w:pStyle w:val="ListBullet"/>
        <w:spacing w:line="240" w:lineRule="auto"/>
        <w:ind w:left="720"/>
      </w:pPr>
      <w:r>
        <w:rPr>
          <w:lang w:val="en_US" w:bidi="en_US"/>
        </w:rPr>
      </w:r>
      <w:r>
        <w:rPr>
          <w:lang w:val="en_US" w:bidi="en_US"/>
        </w:rPr>
        <w:t xml:space="preserve">¶ When the sun was beginning to set, the twelve </w:t>
      </w:r>
      <w:r>
        <w:rPr>
          <w:lang w:val="en_US" w:bidi="en_US"/>
        </w:rPr>
        <w:t>apostles</w:t>
      </w:r>
      <w:r>
        <w:rPr>
          <w:lang w:val="en_US" w:bidi="en_US"/>
        </w:rPr>
        <w:t xml:space="preserve"> approached Jesus and said,</w:t>
      </w:r>
    </w:p>
    <w:p>
      <w:pPr>
        <w:pStyle w:val="ListBullet"/>
        <w:spacing w:line="240" w:lineRule="auto"/>
        <w:ind w:left="720"/>
      </w:pPr>
      <w:r>
        <w:rPr>
          <w:lang w:val="en_US" w:bidi="en_US"/>
        </w:rPr>
      </w:r>
      <w:r>
        <w:rPr>
          <w:lang w:val="en_US" w:bidi="en_US"/>
        </w:rPr>
        <w:t xml:space="preserve">¶ When the day had almost ended, the twelve </w:t>
      </w:r>
      <w:r>
        <w:rPr>
          <w:lang w:val="en_US" w:bidi="en_US"/>
        </w:rPr>
        <w:t>disciples</w:t>
      </w:r>
      <w:r>
        <w:rPr>
          <w:lang w:val="en_US" w:bidi="en_US"/>
        </w:rPr>
        <w:t xml:space="preserve"> came to Jesus and said,</w:t>
      </w:r>
    </w:p>
    <w:p>
      <w:pPr/>
      <w:r>
        <w:rPr>
          <w:lang w:val="en_US" w:bidi="en_US"/>
        </w:rPr>
      </w:r>
      <w:r>
        <w:rPr>
          <w:b/>
          <w:lang w:val="en_US" w:bidi="en_US"/>
        </w:rPr>
        <w:t>As the day neared its end:</w:t>
      </w:r>
      <w:r>
        <w:rPr>
          <w:lang w:val="en_US" w:bidi="en_US"/>
        </w:rPr>
        <w:t xml:space="preserve"> The Greek phrase that the BSB translates as </w:t>
      </w:r>
      <w:r>
        <w:rPr>
          <w:i/>
          <w:lang w:val="en_US" w:bidi="en_US"/>
        </w:rPr>
        <w:t>As the day neared its end</w:t>
      </w:r>
      <w:r>
        <w:rPr>
          <w:lang w:val="en_US" w:bidi="en_US"/>
        </w:rPr>
        <w:t xml:space="preserve"> refers to the time around sunset, when people would normally eat their evening meal. Some other ways to translate this phrase are:</w:t>
      </w:r>
    </w:p>
    <w:p>
      <w:pPr/>
      <w:r>
        <w:rPr>
          <w:lang w:val="en_US" w:bidi="en_US"/>
        </w:rPr>
      </w:r>
      <w:r>
        <w:rPr>
          <w:lang w:val="en_US" w:bidi="en_US"/>
        </w:rPr>
        <w:t>Toward the end of the day (GW)</w:t>
      </w:r>
    </w:p>
    <w:p>
      <w:pPr/>
      <w:r>
        <w:rPr>
          <w:lang w:val="en_US" w:bidi="en_US"/>
        </w:rPr>
      </w:r>
      <w:r>
        <w:rPr>
          <w:lang w:val="en_US" w:bidi="en_US"/>
        </w:rPr>
        <w:t>When the sun was beginning to set (GNT)</w:t>
      </w:r>
    </w:p>
    <w:p>
      <w:pPr/>
      <w:r>
        <w:rPr>
          <w:lang w:val="en_US" w:bidi="en_US"/>
        </w:rPr>
      </w:r>
      <w:r>
        <w:rPr>
          <w:b/>
          <w:lang w:val="en_US" w:bidi="en_US"/>
        </w:rPr>
        <w:t>the Twelve:</w:t>
      </w:r>
      <w:r>
        <w:rPr>
          <w:lang w:val="en_US" w:bidi="en_US"/>
        </w:rPr>
        <w:t xml:space="preserve"> The phrase </w:t>
      </w:r>
      <w:r>
        <w:rPr>
          <w:i/>
          <w:lang w:val="en_US" w:bidi="en_US"/>
        </w:rPr>
        <w:t>the Twelve</w:t>
      </w:r>
      <w:r>
        <w:rPr>
          <w:lang w:val="en_US" w:bidi="en_US"/>
        </w:rPr>
        <w:t xml:space="preserve"> refers to the twelve apostles whom Jesus had chosen. See the note on 9:1a.</w:t>
      </w:r>
    </w:p>
    <w:p>
      <w:pPr/>
      <w:r>
        <w:rPr>
          <w:lang w:val="en_US" w:bidi="en_US"/>
        </w:rPr>
      </w:r>
      <w:r>
        <w:rPr>
          <w:b/>
          <w:lang w:val="en_US" w:bidi="en_US"/>
        </w:rPr>
        <w:t>came to Jesus:</w:t>
      </w:r>
      <w:r>
        <w:rPr>
          <w:lang w:val="en_US" w:bidi="en_US"/>
        </w:rPr>
        <w:t xml:space="preserve"> In this context, the words </w:t>
      </w:r>
      <w:r>
        <w:rPr>
          <w:i/>
          <w:lang w:val="en_US" w:bidi="en_US"/>
        </w:rPr>
        <w:t>came to Jesus</w:t>
      </w:r>
      <w:r>
        <w:rPr>
          <w:lang w:val="en_US" w:bidi="en_US"/>
        </w:rPr>
        <w:t xml:space="preserve"> mean that the apostles </w:t>
      </w:r>
      <w:r>
        <w:rPr>
          <w:u w:val="single"/>
          <w:lang w:val="en_US" w:bidi="en_US"/>
        </w:rPr>
        <w:t>approached</w:t>
      </w:r>
      <w:r>
        <w:rPr>
          <w:lang w:val="en_US" w:bidi="en_US"/>
        </w:rPr>
        <w:t xml:space="preserve"> Jesus to speak to him. The apostles were already with Jesus. They were probably sitting or standing close to Jesus as he taught. They did not come to him from a distance.</w:t>
      </w:r>
    </w:p>
    <w:p>
      <w:pPr/>
      <w:r>
        <w:rPr>
          <w:lang w:val="en_US" w:bidi="en_US"/>
        </w:rPr>
      </w:r>
      <w:r>
        <w:rPr>
          <w:lang w:val="en_US" w:bidi="en_US"/>
        </w:rPr>
        <w:t>Some other ways to translate this are:</w:t>
      </w:r>
    </w:p>
    <w:p>
      <w:pPr/>
      <w:r>
        <w:rPr>
          <w:lang w:val="en_US" w:bidi="en_US"/>
        </w:rPr>
      </w:r>
      <w:r>
        <w:rPr>
          <w:lang w:val="en_US" w:bidi="en_US"/>
        </w:rPr>
        <w:t xml:space="preserve">his apostles came </w:t>
      </w:r>
      <w:r>
        <w:rPr>
          <w:lang w:val="en_US" w:bidi="en_US"/>
        </w:rPr>
        <w:t>near</w:t>
      </w:r>
      <w:r>
        <w:rPr>
          <w:lang w:val="en_US" w:bidi="en_US"/>
        </w:rPr>
        <w:t xml:space="preserve"> to him</w:t>
      </w:r>
    </w:p>
    <w:p>
      <w:pPr/>
      <w:r>
        <w:rPr>
          <w:lang w:val="en_US" w:bidi="en_US"/>
        </w:rPr>
      </w:r>
      <w:r>
        <w:rPr>
          <w:lang w:val="en_US" w:bidi="en_US"/>
        </w:rPr>
        <w:t>his apostles approached him</w:t>
      </w:r>
    </w:p>
    <w:p>
      <w:pPr>
        <w:pStyle w:val="Heading5"/>
      </w:pPr>
      <w:r>
        <w:rPr>
          <w:lang w:val="en_US" w:bidi="en_US"/>
        </w:rPr>
        <w:t>9:12b</w:t>
      </w:r>
    </w:p>
    <w:p>
      <w:pPr/>
      <w:r>
        <w:rPr>
          <w:lang w:val="en_US" w:bidi="en_US"/>
        </w:rPr>
      </w:r>
      <w:r>
        <w:rPr>
          <w:b/>
          <w:lang w:val="en_US" w:bidi="en_US"/>
        </w:rPr>
        <w:t>“Dismiss the crowd</w:t>
      </w:r>
    </w:p>
    <w:p>
      <w:pPr>
        <w:pStyle w:val="ListBullet"/>
        <w:spacing w:line="240" w:lineRule="auto"/>
        <w:ind w:left="720"/>
      </w:pPr>
      <w:r>
        <w:rPr>
          <w:lang w:val="en_US" w:bidi="en_US"/>
        </w:rPr>
      </w:r>
      <w:r>
        <w:rPr>
          <w:lang w:val="en_US" w:bidi="en_US"/>
        </w:rPr>
        <w:t>“Tell</w:t>
      </w:r>
      <w:r>
        <w:rPr>
          <w:vertAlign w:val="superscript"/>
          <w:lang w:val="en_US" w:bidi="en_US"/>
        </w:rPr>
        <w:t>(sing)</w:t>
      </w:r>
      <w:r>
        <w:rPr>
          <w:lang w:val="en_US" w:bidi="en_US"/>
        </w:rPr>
        <w:t xml:space="preserve"> the people to leave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suggest that you</w:t>
      </w:r>
      <w:r>
        <w:rPr>
          <w:vertAlign w:val="superscript"/>
          <w:lang w:val="en_US" w:bidi="en_US"/>
        </w:rPr>
        <w:t>(sing)</w:t>
      </w:r>
      <w:r>
        <w:rPr>
          <w:lang w:val="en_US" w:bidi="en_US"/>
        </w:rPr>
        <w:t xml:space="preserve"> dismiss the people</w:t>
      </w:r>
    </w:p>
    <w:p>
      <w:pPr/>
      <w:r>
        <w:rPr>
          <w:lang w:val="en_US" w:bidi="en_US"/>
        </w:rPr>
      </w:r>
      <w:r>
        <w:rPr>
          <w:b/>
          <w:lang w:val="en_US" w:bidi="en_US"/>
        </w:rPr>
        <w:t>Dismiss the crowd:</w:t>
      </w:r>
      <w:r>
        <w:rPr>
          <w:lang w:val="en_US" w:bidi="en_US"/>
        </w:rPr>
        <w:t xml:space="preserve"> The Greek clause that the BSB translates literally as </w:t>
      </w:r>
      <w:r>
        <w:rPr>
          <w:i/>
          <w:lang w:val="en_US" w:bidi="en_US"/>
        </w:rPr>
        <w:t>Dismiss the crowd</w:t>
      </w:r>
      <w:r>
        <w:rPr>
          <w:lang w:val="en_US" w:bidi="en_US"/>
        </w:rPr>
        <w:t xml:space="preserve"> is in the form of a command. The disciples were suggesting what they thought was a reasonable thing to do. They were not speaking disrespectfully to Jesus. You should phrase this suggestion in a polite way in your culture. Some other ways to do this in English are:</w:t>
      </w:r>
    </w:p>
    <w:p>
      <w:pPr/>
      <w:r>
        <w:rPr>
          <w:lang w:val="en_US" w:bidi="en_US"/>
        </w:rPr>
      </w:r>
      <w:r>
        <w:rPr>
          <w:lang w:val="en_US" w:bidi="en_US"/>
        </w:rPr>
        <w:t>Please send the many people away</w:t>
      </w:r>
    </w:p>
    <w:p>
      <w:pPr/>
      <w:r>
        <w:rPr>
          <w:lang w:val="en_US" w:bidi="en_US"/>
        </w:rPr>
      </w:r>
      <w:r>
        <w:rPr>
          <w:lang w:val="en_US" w:bidi="en_US"/>
        </w:rPr>
        <w:t>We suggest that you send the crowds away</w:t>
      </w:r>
    </w:p>
    <w:p>
      <w:pPr/>
      <w:r>
        <w:rPr>
          <w:lang w:val="en_US" w:bidi="en_US"/>
        </w:rPr>
      </w:r>
      <w:r>
        <w:rPr>
          <w:b/>
          <w:lang w:val="en_US" w:bidi="en_US"/>
        </w:rPr>
        <w:t>Dismiss:</w:t>
      </w:r>
      <w:r>
        <w:rPr>
          <w:lang w:val="en_US" w:bidi="en_US"/>
        </w:rPr>
        <w:t xml:space="preserve"> The word </w:t>
      </w:r>
      <w:r>
        <w:rPr>
          <w:i/>
          <w:lang w:val="en_US" w:bidi="en_US"/>
        </w:rPr>
        <w:t>Dismiss</w:t>
      </w:r>
      <w:r>
        <w:rPr>
          <w:lang w:val="en_US" w:bidi="en_US"/>
        </w:rPr>
        <w:t xml:space="preserve"> in this context refers to telling the crowd that it was time for them to go home. Be careful not to translate this in a way that sounds rude. Some other ways to translate this are:</w:t>
      </w:r>
    </w:p>
    <w:p>
      <w:pPr/>
      <w:r>
        <w:rPr>
          <w:lang w:val="en_US" w:bidi="en_US"/>
        </w:rPr>
      </w:r>
      <w:r>
        <w:rPr>
          <w:lang w:val="en_US" w:bidi="en_US"/>
        </w:rPr>
        <w:t>release</w:t>
      </w:r>
    </w:p>
    <w:p>
      <w:pPr/>
      <w:r>
        <w:rPr>
          <w:lang w:val="en_US" w:bidi="en_US"/>
        </w:rPr>
      </w:r>
      <w:r>
        <w:rPr>
          <w:lang w:val="en_US" w:bidi="en_US"/>
        </w:rPr>
        <w:t>advise (them) to go</w:t>
      </w:r>
    </w:p>
    <w:p>
      <w:pPr>
        <w:pStyle w:val="Heading5"/>
      </w:pPr>
      <w:r>
        <w:rPr>
          <w:lang w:val="en_US" w:bidi="en_US"/>
        </w:rPr>
        <w:t>9:12c</w:t>
      </w:r>
    </w:p>
    <w:p>
      <w:pPr/>
      <w:r>
        <w:rPr>
          <w:lang w:val="en_US" w:bidi="en_US"/>
        </w:rPr>
      </w:r>
      <w:r>
        <w:rPr>
          <w:b/>
          <w:lang w:val="en_US" w:bidi="en_US"/>
        </w:rPr>
        <w:t>so they can go to the surrounding villages and countryside</w:t>
      </w:r>
    </w:p>
    <w:p>
      <w:pPr>
        <w:pStyle w:val="ListBullet"/>
        <w:spacing w:line="240" w:lineRule="auto"/>
        <w:ind w:left="720"/>
      </w:pPr>
      <w:r>
        <w:rPr>
          <w:lang w:val="en_US" w:bidi="en_US"/>
        </w:rPr>
      </w:r>
      <w:r>
        <w:rPr>
          <w:lang w:val="en_US" w:bidi="en_US"/>
        </w:rPr>
        <w:t>and go to the nearby farms and villages</w:t>
      </w:r>
    </w:p>
    <w:p>
      <w:pPr>
        <w:pStyle w:val="ListBullet"/>
        <w:spacing w:line="240" w:lineRule="auto"/>
        <w:ind w:left="720"/>
      </w:pPr>
      <w:r>
        <w:rPr>
          <w:lang w:val="en_US" w:bidi="en_US"/>
        </w:rPr>
      </w:r>
      <w:r>
        <w:rPr>
          <w:lang w:val="en_US" w:bidi="en_US"/>
        </w:rPr>
        <w:t>so that they can go to the villages and farms around here</w:t>
      </w:r>
    </w:p>
    <w:p>
      <w:pPr/>
      <w:r>
        <w:rPr>
          <w:lang w:val="en_US" w:bidi="en_US"/>
        </w:rPr>
      </w:r>
      <w:r>
        <w:rPr>
          <w:b/>
          <w:lang w:val="en_US" w:bidi="en_US"/>
        </w:rPr>
        <w:t>to the surrounding villages and countryside:</w:t>
      </w:r>
      <w:r>
        <w:rPr>
          <w:lang w:val="en_US" w:bidi="en_US"/>
        </w:rPr>
        <w:t xml:space="preserve"> The Greek word that the BSB translates here as </w:t>
      </w:r>
      <w:r>
        <w:rPr>
          <w:i/>
          <w:lang w:val="en_US" w:bidi="en_US"/>
        </w:rPr>
        <w:t>countryside</w:t>
      </w:r>
      <w:r>
        <w:rPr>
          <w:lang w:val="en_US" w:bidi="en_US"/>
        </w:rPr>
        <w:t xml:space="preserve"> can also be translated as “farms.” It refers to places where a small group of people lived and where there was food. Some other ways to translate the phrase </w:t>
      </w:r>
      <w:r>
        <w:rPr>
          <w:i/>
          <w:lang w:val="en_US" w:bidi="en_US"/>
        </w:rPr>
        <w:t>the surrounding villages and countryside</w:t>
      </w:r>
      <w:r>
        <w:rPr>
          <w:lang w:val="en_US" w:bidi="en_US"/>
        </w:rPr>
        <w:t xml:space="preserve"> are:</w:t>
      </w:r>
    </w:p>
    <w:p>
      <w:pPr/>
      <w:r>
        <w:rPr>
          <w:lang w:val="en_US" w:bidi="en_US"/>
        </w:rPr>
      </w:r>
      <w:r>
        <w:rPr>
          <w:lang w:val="en_US" w:bidi="en_US"/>
        </w:rPr>
        <w:t>the villages and farms around here (CEV, GNT)</w:t>
      </w:r>
    </w:p>
    <w:p>
      <w:pPr/>
      <w:r>
        <w:rPr>
          <w:lang w:val="en_US" w:bidi="en_US"/>
        </w:rPr>
      </w:r>
      <w:r>
        <w:rPr>
          <w:lang w:val="en_US" w:bidi="en_US"/>
        </w:rPr>
        <w:t>the nearby villages and farms (NLT)</w:t>
      </w:r>
    </w:p>
    <w:p>
      <w:pPr>
        <w:pStyle w:val="Heading5"/>
      </w:pPr>
      <w:r>
        <w:rPr>
          <w:lang w:val="en_US" w:bidi="en_US"/>
        </w:rPr>
        <w:t>9:12d</w:t>
      </w:r>
    </w:p>
    <w:p>
      <w:pPr/>
      <w:r>
        <w:rPr>
          <w:lang w:val="en_US" w:bidi="en_US"/>
        </w:rPr>
      </w:r>
      <w:r>
        <w:rPr>
          <w:b/>
          <w:lang w:val="en_US" w:bidi="en_US"/>
        </w:rPr>
        <w:t>for lodging and provisions.</w:t>
      </w:r>
    </w:p>
    <w:p>
      <w:pPr>
        <w:pStyle w:val="ListBullet"/>
        <w:spacing w:line="240" w:lineRule="auto"/>
        <w:ind w:left="720"/>
      </w:pPr>
      <w:r>
        <w:rPr>
          <w:lang w:val="en_US" w:bidi="en_US"/>
        </w:rPr>
      </w:r>
      <w:r>
        <w:rPr>
          <w:lang w:val="en_US" w:bidi="en_US"/>
        </w:rPr>
        <w:t>to obtain something to eat and find somewhere to sleep.</w:t>
      </w:r>
    </w:p>
    <w:p>
      <w:pPr>
        <w:pStyle w:val="ListBullet"/>
        <w:spacing w:line="240" w:lineRule="auto"/>
        <w:ind w:left="720"/>
      </w:pPr>
      <w:r>
        <w:rPr>
          <w:lang w:val="en_US" w:bidi="en_US"/>
        </w:rPr>
      </w:r>
      <w:r>
        <w:rPr>
          <w:lang w:val="en_US" w:bidi="en_US"/>
        </w:rPr>
        <w:t>to find a place to sleep tonight and to get some food.</w:t>
      </w:r>
    </w:p>
    <w:p>
      <w:pPr/>
      <w:r>
        <w:rPr>
          <w:lang w:val="en_US" w:bidi="en_US"/>
        </w:rPr>
      </w:r>
      <w:r>
        <w:rPr>
          <w:b/>
          <w:lang w:val="en_US" w:bidi="en_US"/>
        </w:rPr>
        <w:t>for lodging and provisions:</w:t>
      </w:r>
      <w:r>
        <w:rPr>
          <w:lang w:val="en_US" w:bidi="en_US"/>
        </w:rPr>
        <w:t xml:space="preserve"> The Greek phrase that the BSB translates as </w:t>
      </w:r>
      <w:r>
        <w:rPr>
          <w:i/>
          <w:lang w:val="en_US" w:bidi="en_US"/>
        </w:rPr>
        <w:t>for lodging and provisions</w:t>
      </w:r>
      <w:r>
        <w:rPr>
          <w:lang w:val="en_US" w:bidi="en_US"/>
        </w:rPr>
        <w:t xml:space="preserve"> indicates that the disciples wanted the crowds to buy or be given some food and shelter for the night. Other ways to translate this phrase are:</w:t>
      </w:r>
    </w:p>
    <w:p>
      <w:pPr/>
      <w:r>
        <w:rPr>
          <w:lang w:val="en_US" w:bidi="en_US"/>
        </w:rPr>
      </w:r>
      <w:r>
        <w:rPr>
          <w:lang w:val="en_US" w:bidi="en_US"/>
        </w:rPr>
        <w:t>so that they can find some food and a place to stay (GW)</w:t>
      </w:r>
    </w:p>
    <w:p>
      <w:pPr/>
      <w:r>
        <w:rPr>
          <w:lang w:val="en_US" w:bidi="en_US"/>
        </w:rPr>
      </w:r>
      <w:r>
        <w:rPr>
          <w:lang w:val="en_US" w:bidi="en_US"/>
        </w:rPr>
        <w:t>They need to get something to eat and find a place to sleep overnight.</w:t>
      </w:r>
    </w:p>
    <w:p>
      <w:pPr>
        <w:pStyle w:val="Heading5"/>
      </w:pPr>
      <w:r>
        <w:rPr>
          <w:lang w:val="en_US" w:bidi="en_US"/>
        </w:rPr>
        <w:t>9:12e</w:t>
      </w:r>
    </w:p>
    <w:p>
      <w:pPr/>
      <w:r>
        <w:rPr>
          <w:lang w:val="en_US" w:bidi="en_US"/>
        </w:rPr>
      </w:r>
      <w:r>
        <w:rPr>
          <w:b/>
          <w:lang w:val="en_US" w:bidi="en_US"/>
        </w:rPr>
        <w:t>For we are in a desolate place here.”</w:t>
      </w:r>
    </w:p>
    <w:p>
      <w:pPr>
        <w:pStyle w:val="ListBullet"/>
        <w:spacing w:line="240" w:lineRule="auto"/>
        <w:ind w:left="720"/>
      </w:pPr>
      <w:r>
        <w:rPr>
          <w:lang w:val="en_US" w:bidi="en_US"/>
        </w:rPr>
      </w:r>
      <w:r>
        <w:rPr>
          <w:lang w:val="en_US" w:bidi="en_US"/>
        </w:rPr>
        <w:t>They need to do this,</w:t>
      </w:r>
      <w:r>
        <w:rPr>
          <w:lang w:val="en_US" w:bidi="en_US"/>
        </w:rPr>
        <w:t xml:space="preserve"> because this place that we</w:t>
      </w:r>
      <w:r>
        <w:rPr>
          <w:vertAlign w:val="superscript"/>
          <w:lang w:val="en_US" w:bidi="en_US"/>
        </w:rPr>
        <w:t>(incl)</w:t>
      </w:r>
      <w:r>
        <w:rPr>
          <w:lang w:val="en_US" w:bidi="en_US"/>
        </w:rPr>
        <w:t xml:space="preserve"> are in is uninhabited.”</w:t>
      </w:r>
    </w:p>
    <w:p>
      <w:pPr>
        <w:pStyle w:val="ListBullet"/>
        <w:spacing w:line="240" w:lineRule="auto"/>
        <w:ind w:left="720"/>
      </w:pPr>
      <w:r>
        <w:rPr>
          <w:lang w:val="en_US" w:bidi="en_US"/>
        </w:rPr>
      </w:r>
      <w:r>
        <w:rPr>
          <w:lang w:val="en_US" w:bidi="en_US"/>
        </w:rPr>
        <w:t>There is no food or place to stay here.”</w:t>
      </w:r>
    </w:p>
    <w:p>
      <w:pPr/>
      <w:r>
        <w:rPr>
          <w:lang w:val="en_US" w:bidi="en_US"/>
        </w:rPr>
      </w:r>
      <w:r>
        <w:rPr>
          <w:b/>
          <w:lang w:val="en_US" w:bidi="en_US"/>
        </w:rPr>
        <w:t>For we are in a desolate place here:</w:t>
      </w:r>
      <w:r>
        <w:rPr>
          <w:lang w:val="en_US" w:bidi="en_US"/>
        </w:rPr>
        <w:t xml:space="preserve"> The clause </w:t>
      </w:r>
      <w:r>
        <w:rPr>
          <w:i/>
          <w:lang w:val="en_US" w:bidi="en_US"/>
        </w:rPr>
        <w:t>For we are in a desolate place here</w:t>
      </w:r>
      <w:r>
        <w:rPr>
          <w:lang w:val="en_US" w:bidi="en_US"/>
        </w:rPr>
        <w:t xml:space="preserve"> gives the reason for the command in 9:12b–c. See the General Comment on 9:12b–e below for a way to reorder these clauses.</w:t>
      </w:r>
    </w:p>
    <w:p>
      <w:pPr/>
      <w:r>
        <w:rPr>
          <w:lang w:val="en_US" w:bidi="en_US"/>
        </w:rPr>
      </w:r>
      <w:r>
        <w:rPr>
          <w:lang w:val="en_US" w:bidi="en_US"/>
        </w:rPr>
        <w:t xml:space="preserve">The Greek word that the BSB translates as </w:t>
      </w:r>
      <w:r>
        <w:rPr>
          <w:i/>
          <w:lang w:val="en_US" w:bidi="en_US"/>
        </w:rPr>
        <w:t>a desolate place</w:t>
      </w:r>
      <w:r>
        <w:rPr>
          <w:lang w:val="en_US" w:bidi="en_US"/>
        </w:rPr>
        <w:t xml:space="preserve"> refers to a place where few people lived. This place was some distance away from villages or farms where the people could obtain food and a place to sleep for the night. See also the note on 4:42a. Other ways to translate this phrase are:</w:t>
      </w:r>
    </w:p>
    <w:p>
      <w:pPr/>
      <w:r>
        <w:rPr>
          <w:lang w:val="en_US" w:bidi="en_US"/>
        </w:rPr>
      </w:r>
      <w:r>
        <w:rPr>
          <w:lang w:val="en_US" w:bidi="en_US"/>
        </w:rPr>
        <w:t>No one lives around here (GW)</w:t>
      </w:r>
    </w:p>
    <w:p>
      <w:pPr/>
      <w:r>
        <w:rPr>
          <w:lang w:val="en_US" w:bidi="en_US"/>
        </w:rPr>
      </w:r>
      <w:r>
        <w:rPr>
          <w:lang w:val="en_US" w:bidi="en_US"/>
        </w:rPr>
        <w:t>There is nothing to eat here in this remote place (NLT)</w:t>
      </w:r>
    </w:p>
    <w:p>
      <w:pPr>
        <w:pStyle w:val="Heading6"/>
      </w:pPr>
      <w:r>
        <w:rPr>
          <w:b/>
          <w:lang w:val="en_US" w:bidi="en_US"/>
        </w:rPr>
        <w:t>General Comment on 9:12b–e</w:t>
      </w:r>
    </w:p>
    <w:p>
      <w:pPr/>
      <w:r>
        <w:rPr>
          <w:lang w:val="en_US" w:bidi="en_US"/>
        </w:rPr>
      </w:r>
      <w:r>
        <w:rPr>
          <w:lang w:val="en_US" w:bidi="en_US"/>
        </w:rPr>
        <w:t>In 9:12e the disciples gave the reason for their suggestion in 9:12b–d. In some languages it may be more natural to give the reason before the suggestion. For example:</w:t>
      </w:r>
    </w:p>
    <w:p>
      <w:pPr/>
      <w:r>
        <w:rPr>
          <w:lang w:val="en_US" w:bidi="en_US"/>
        </w:rPr>
      </w:r>
      <w:r>
        <w:rPr>
          <w:vertAlign w:val="superscript"/>
          <w:lang w:val="en_US" w:bidi="en_US"/>
        </w:rPr>
        <w:t>12e</w:t>
      </w:r>
      <w:r>
        <w:rPr>
          <w:lang w:val="en_US" w:bidi="en_US"/>
        </w:rPr>
        <w:t xml:space="preserve">No one lives in this area. </w:t>
      </w:r>
      <w:r>
        <w:rPr>
          <w:vertAlign w:val="superscript"/>
          <w:lang w:val="en_US" w:bidi="en_US"/>
        </w:rPr>
        <w:t>12b</w:t>
      </w:r>
      <w:r>
        <w:rPr>
          <w:lang w:val="en_US" w:bidi="en_US"/>
        </w:rPr>
        <w:t xml:space="preserve">So it may be a good time to let the crowds leave. </w:t>
      </w:r>
      <w:r>
        <w:rPr>
          <w:vertAlign w:val="superscript"/>
          <w:lang w:val="en_US" w:bidi="en_US"/>
        </w:rPr>
        <w:t>12c</w:t>
      </w:r>
      <w:r>
        <w:rPr>
          <w:lang w:val="en_US" w:bidi="en_US"/>
        </w:rPr>
        <w:t xml:space="preserve">Then they can go to the nearby villages and farms </w:t>
      </w:r>
      <w:r>
        <w:rPr>
          <w:vertAlign w:val="superscript"/>
          <w:lang w:val="en_US" w:bidi="en_US"/>
        </w:rPr>
        <w:t>12d</w:t>
      </w:r>
      <w:r>
        <w:rPr>
          <w:lang w:val="en_US" w:bidi="en_US"/>
        </w:rPr>
        <w:t>so they can buy something to eat and find a place to stay for the night.</w:t>
      </w:r>
      <w:r>
        <w:rPr>
          <w:lang w:val="en_US" w:bidi="en_US"/>
        </w:rPr>
      </w:r>
      <w:r>
        <w:rPr>
          <w:lang w:val="en_US" w:bidi="en_US"/>
        </w:rPr>
      </w:r>
    </w:p>
    <w:p>
      <w:pPr/>
      <w:r>
        <w:rPr>
          <w:lang w:val="en_US" w:bidi="en_US"/>
        </w:rPr>
      </w:r>
    </w:p>
    <w:p>
      <w:pPr>
        <w:pStyle w:val="Heading2"/>
      </w:pPr>
      <w:r>
        <w:rPr>
          <w:lang w:val="en_US" w:bidi="en_US"/>
        </w:rPr>
        <w:t>Luke 9:13</w:t>
      </w:r>
      <w:r>
        <w:rPr>
          <w:lang w:val="en_US" w:bidi="en_US"/>
        </w:rPr>
      </w:r>
    </w:p>
    <w:p>
      <w:pPr>
        <w:pStyle w:val="Heading4"/>
      </w:pPr>
      <w:r>
        <w:rPr>
          <w:lang w:val="en_US" w:bidi="en_US"/>
        </w:rPr>
        <w:t>Section 9:10–17: Jesus did a miracle to feed more than five thousand people</w:t>
      </w:r>
    </w:p>
    <w:p>
      <w:pPr/>
      <w:r>
        <w:rPr>
          <w:lang w:val="en_US" w:bidi="en_US"/>
        </w:rPr>
      </w:r>
      <w:r>
        <w:rPr>
          <w:lang w:val="en_US" w:bidi="en_US"/>
        </w:rPr>
        <w:t>Jesus taught the people about the kingdom of God and he healed many sick people. Then he fed all of the people by multiplying a small amount of bread and fish. This is the only miracle besides Jesus’ resurrection that all four Gospels record.</w:t>
      </w:r>
    </w:p>
    <w:p>
      <w:pPr/>
      <w:r>
        <w:rPr>
          <w:lang w:val="en_US" w:bidi="en_US"/>
        </w:rPr>
      </w:r>
      <w:r>
        <w:rPr>
          <w:lang w:val="en_US" w:bidi="en_US"/>
        </w:rPr>
        <w:t>Some other headings for this section are:</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There are parallel passages for this section in Matthew 14:13–21, Mark 6:30–44, and John 6:1–14.</w:t>
      </w:r>
    </w:p>
    <w:p>
      <w:pPr>
        <w:pStyle w:val="Heading5"/>
      </w:pPr>
      <w:r>
        <w:rPr>
          <w:lang w:val="en_US" w:bidi="en_US"/>
        </w:rPr>
        <w:t>9:13a</w:t>
      </w:r>
    </w:p>
    <w:p>
      <w:pPr/>
      <w:r>
        <w:rPr>
          <w:lang w:val="en_US" w:bidi="en_US"/>
        </w:rPr>
      </w:r>
      <w:r>
        <w:rPr>
          <w:b/>
          <w:lang w:val="en_US" w:bidi="en_US"/>
        </w:rPr>
        <w:t>But Jesus told them, “You give them something to eat.”</w:t>
      </w:r>
    </w:p>
    <w:p>
      <w:pPr>
        <w:pStyle w:val="ListBullet"/>
        <w:spacing w:line="240" w:lineRule="auto"/>
        <w:ind w:left="720"/>
      </w:pPr>
      <w:r>
        <w:rPr>
          <w:lang w:val="en_US" w:bidi="en_US"/>
        </w:rPr>
      </w:r>
      <w:r>
        <w:rPr>
          <w:lang w:val="en_US" w:bidi="en_US"/>
        </w:rPr>
        <w:t xml:space="preserve">Jesus said </w:t>
      </w:r>
      <w:r>
        <w:rPr>
          <w:lang w:val="en_US" w:bidi="en_US"/>
        </w:rPr>
        <w:t>to them</w:t>
      </w:r>
      <w:r>
        <w:rPr>
          <w:lang w:val="en_US" w:bidi="en_US"/>
        </w:rPr>
        <w:t>, “You</w:t>
      </w:r>
      <w:r>
        <w:rPr>
          <w:vertAlign w:val="superscript"/>
          <w:lang w:val="en_US" w:bidi="en_US"/>
        </w:rPr>
        <w:t>(plur)</w:t>
      </w:r>
      <w:r>
        <w:rPr>
          <w:lang w:val="en_US" w:bidi="en_US"/>
        </w:rPr>
        <w:t xml:space="preserve"> yourselves give them some food!”</w:t>
      </w:r>
    </w:p>
    <w:p>
      <w:pPr>
        <w:pStyle w:val="ListBullet"/>
        <w:spacing w:line="240" w:lineRule="auto"/>
        <w:ind w:left="720"/>
      </w:pPr>
      <w:r>
        <w:rPr>
          <w:lang w:val="en_US" w:bidi="en_US"/>
        </w:rPr>
      </w:r>
      <w:r>
        <w:rPr>
          <w:lang w:val="en_US" w:bidi="en_US"/>
        </w:rPr>
        <w:t>But Jesus responded, “It is you</w:t>
      </w:r>
      <w:r>
        <w:rPr>
          <w:vertAlign w:val="superscript"/>
          <w:lang w:val="en_US" w:bidi="en_US"/>
        </w:rPr>
        <w:t>(plur)</w:t>
      </w:r>
      <w:r>
        <w:rPr>
          <w:lang w:val="en_US" w:bidi="en_US"/>
        </w:rPr>
        <w:t xml:space="preserve"> </w:t>
      </w:r>
      <w:r>
        <w:rPr>
          <w:lang w:val="en_US" w:bidi="en_US"/>
        </w:rPr>
        <w:t>who must</w:t>
      </w:r>
      <w:r>
        <w:rPr>
          <w:lang w:val="en_US" w:bidi="en_US"/>
        </w:rPr>
        <w:t xml:space="preserve"> give them something to eat.”</w:t>
      </w:r>
    </w:p>
    <w:p>
      <w:pPr/>
      <w:r>
        <w:rPr>
          <w:lang w:val="en_US" w:bidi="en_US"/>
        </w:rPr>
      </w:r>
      <w:r>
        <w:rPr>
          <w:b/>
          <w:lang w:val="en_US" w:bidi="en_US"/>
        </w:rPr>
        <w:t>But Jesus told them:</w:t>
      </w:r>
      <w:r>
        <w:rPr>
          <w:lang w:val="en_US" w:bidi="en_US"/>
        </w:rPr>
        <w:t xml:space="preserve"> The words </w:t>
      </w:r>
      <w:r>
        <w:rPr>
          <w:i/>
          <w:lang w:val="en_US" w:bidi="en_US"/>
        </w:rPr>
        <w:t>But Jesus told them</w:t>
      </w:r>
      <w:r>
        <w:rPr>
          <w:lang w:val="en_US" w:bidi="en_US"/>
        </w:rPr>
        <w:t xml:space="preserve"> introduce the response that Jesus made to what the disciples suggested. He did not say what the disciples expected him to say. In Greek the verse begins with the common conjunction that the BSB translates here as “But.” Some other English versions do not translate this conjunction. Introduce Jesus’ response in a natural way in your language.</w:t>
      </w:r>
    </w:p>
    <w:p>
      <w:pPr/>
      <w:r>
        <w:rPr>
          <w:lang w:val="en_US" w:bidi="en_US"/>
        </w:rPr>
      </w:r>
      <w:r>
        <w:rPr>
          <w:b/>
          <w:lang w:val="en_US" w:bidi="en_US"/>
        </w:rPr>
        <w:t>You give them something to eat:</w:t>
      </w:r>
      <w:r>
        <w:rPr>
          <w:lang w:val="en_US" w:bidi="en_US"/>
        </w:rPr>
        <w:t xml:space="preserve"> The word </w:t>
      </w:r>
      <w:r>
        <w:rPr>
          <w:i/>
          <w:lang w:val="en_US" w:bidi="en_US"/>
        </w:rPr>
        <w:t>You</w:t>
      </w:r>
      <w:r>
        <w:rPr>
          <w:lang w:val="en_US" w:bidi="en_US"/>
        </w:rPr>
        <w:t xml:space="preserve"> is emphasized here. Jesus was saying that the people should not have to find their own food. Instead, the disciples should give them food. Some ways to translate Jesus’ words here are:</w:t>
      </w:r>
    </w:p>
    <w:p>
      <w:pPr/>
      <w:r>
        <w:rPr>
          <w:lang w:val="en_US" w:bidi="en_US"/>
        </w:rPr>
      </w:r>
      <w:r>
        <w:rPr>
          <w:lang w:val="en_US" w:bidi="en_US"/>
        </w:rPr>
        <w:t>You yourselves give them something to eat. (GNT)</w:t>
      </w:r>
    </w:p>
    <w:p>
      <w:pPr/>
      <w:r>
        <w:rPr>
          <w:lang w:val="en_US" w:bidi="en_US"/>
        </w:rPr>
      </w:r>
      <w:r>
        <w:rPr>
          <w:lang w:val="en_US" w:bidi="en_US"/>
        </w:rPr>
        <w:t xml:space="preserve">It is you </w:t>
      </w:r>
      <w:r>
        <w:rPr>
          <w:lang w:val="en_US" w:bidi="en_US"/>
        </w:rPr>
        <w:t>who must</w:t>
      </w:r>
      <w:r>
        <w:rPr>
          <w:lang w:val="en_US" w:bidi="en_US"/>
        </w:rPr>
        <w:t xml:space="preserve"> feed them!</w:t>
      </w:r>
    </w:p>
    <w:p>
      <w:pPr>
        <w:pStyle w:val="Heading5"/>
      </w:pPr>
      <w:r>
        <w:rPr>
          <w:lang w:val="en_US" w:bidi="en_US"/>
        </w:rPr>
        <w:t>9:13b</w:t>
      </w:r>
    </w:p>
    <w:p>
      <w:pPr/>
      <w:r>
        <w:rPr>
          <w:lang w:val="en_US" w:bidi="en_US"/>
        </w:rPr>
      </w:r>
      <w:r>
        <w:rPr>
          <w:b/>
          <w:lang w:val="en_US" w:bidi="en_US"/>
        </w:rPr>
        <w:t>“We have only five loaves of bread and two fish,” they answered,</w:t>
      </w:r>
    </w:p>
    <w:p>
      <w:pPr>
        <w:pStyle w:val="ListBullet"/>
        <w:spacing w:line="240" w:lineRule="auto"/>
        <w:ind w:left="720"/>
      </w:pPr>
      <w:r>
        <w:rPr>
          <w:lang w:val="en_US" w:bidi="en_US"/>
        </w:rPr>
      </w:r>
      <w:r>
        <w:rPr>
          <w:lang w:val="en_US" w:bidi="en_US"/>
        </w:rPr>
        <w:t>¶ But they said, “</w:t>
      </w:r>
      <w:r>
        <w:rPr>
          <w:lang w:val="en_US" w:bidi="en_US"/>
        </w:rPr>
        <w:t>We</w:t>
      </w:r>
      <w:r>
        <w:rPr>
          <w:vertAlign w:val="superscript"/>
          <w:lang w:val="en_US" w:bidi="en_US"/>
        </w:rPr>
        <w:t>(excl)</w:t>
      </w:r>
      <w:r>
        <w:rPr>
          <w:lang w:val="en_US" w:bidi="en_US"/>
        </w:rPr>
        <w:t xml:space="preserve"> </w:t>
      </w:r>
      <w:r>
        <w:rPr>
          <w:lang w:val="en_US" w:bidi="en_US"/>
        </w:rPr>
        <w:t>cannot.</w:t>
      </w:r>
      <w:r>
        <w:rPr>
          <w:lang w:val="en_US" w:bidi="en_US"/>
        </w:rPr>
        <w:t xml:space="preserve"> We</w:t>
      </w:r>
      <w:r>
        <w:rPr>
          <w:vertAlign w:val="superscript"/>
          <w:lang w:val="en_US" w:bidi="en_US"/>
        </w:rPr>
        <w:t>(excl)</w:t>
      </w:r>
      <w:r>
        <w:rPr>
          <w:lang w:val="en_US" w:bidi="en_US"/>
        </w:rPr>
        <w:t xml:space="preserve"> have only five </w:t>
      </w:r>
      <w:r>
        <w:rPr>
          <w:lang w:val="en_US" w:bidi="en_US"/>
        </w:rPr>
        <w:t>small</w:t>
      </w:r>
      <w:r>
        <w:rPr>
          <w:lang w:val="en_US" w:bidi="en_US"/>
        </w:rPr>
        <w:t xml:space="preserve"> loaves/cakes of bread and two </w:t>
      </w:r>
      <w:r>
        <w:rPr>
          <w:lang w:val="en_US" w:bidi="en_US"/>
        </w:rPr>
        <w:t>small</w:t>
      </w:r>
      <w:r>
        <w:rPr>
          <w:lang w:val="en_US" w:bidi="en_US"/>
        </w:rPr>
        <w:t xml:space="preserve"> fish.</w:t>
      </w:r>
    </w:p>
    <w:p>
      <w:pPr>
        <w:pStyle w:val="ListBullet"/>
        <w:spacing w:line="240" w:lineRule="auto"/>
        <w:ind w:left="720"/>
      </w:pPr>
      <w:r>
        <w:rPr>
          <w:lang w:val="en_US" w:bidi="en_US"/>
        </w:rPr>
      </w:r>
      <w:r>
        <w:rPr>
          <w:lang w:val="en_US" w:bidi="en_US"/>
        </w:rPr>
        <w:t>¶ The disciples replied, “</w:t>
      </w:r>
      <w:r>
        <w:rPr>
          <w:lang w:val="en_US" w:bidi="en_US"/>
        </w:rPr>
        <w:t>But</w:t>
      </w:r>
      <w:r>
        <w:rPr>
          <w:lang w:val="en_US" w:bidi="en_US"/>
        </w:rPr>
        <w:t xml:space="preserve"> we only have five buns/rolls and two </w:t>
      </w:r>
      <w:r>
        <w:rPr>
          <w:lang w:val="en_US" w:bidi="en_US"/>
        </w:rPr>
        <w:t>dried/cooked</w:t>
      </w:r>
      <w:r>
        <w:rPr>
          <w:lang w:val="en_US" w:bidi="en_US"/>
        </w:rPr>
        <w:t xml:space="preserve"> fish.</w:t>
      </w:r>
    </w:p>
    <w:p>
      <w:pPr/>
      <w:r>
        <w:rPr>
          <w:lang w:val="en_US" w:bidi="en_US"/>
        </w:rPr>
      </w:r>
      <w:r>
        <w:rPr>
          <w:b/>
          <w:lang w:val="en_US" w:bidi="en_US"/>
        </w:rPr>
        <w:t>We have only five loaves of bread and two fish:</w:t>
      </w:r>
      <w:r>
        <w:rPr>
          <w:lang w:val="en_US" w:bidi="en_US"/>
        </w:rPr>
        <w:t xml:space="preserve"> In this clause the disciples implied that they did not have enough food to give the people something to eat. They implied that for this reason, they could not do what Jesus had told them. In some languages it may be necessary to make this implied information explicit in some way. For example:</w:t>
      </w:r>
    </w:p>
    <w:p>
      <w:pPr/>
      <w:r>
        <w:rPr>
          <w:lang w:val="en_US" w:bidi="en_US"/>
        </w:rPr>
      </w:r>
      <w:r>
        <w:rPr>
          <w:lang w:val="en_US" w:bidi="en_US"/>
        </w:rPr>
        <w:t>How can we do that?</w:t>
      </w:r>
      <w:r>
        <w:rPr>
          <w:lang w:val="en_US" w:bidi="en_US"/>
        </w:rPr>
        <w:t xml:space="preserve"> We have only…</w:t>
      </w:r>
    </w:p>
    <w:p>
      <w:pPr/>
      <w:r>
        <w:rPr>
          <w:lang w:val="en_US" w:bidi="en_US"/>
        </w:rPr>
      </w:r>
      <w:r>
        <w:rPr>
          <w:b/>
          <w:lang w:val="en_US" w:bidi="en_US"/>
        </w:rPr>
        <w:t>loaves of bread:</w:t>
      </w:r>
      <w:r>
        <w:rPr>
          <w:lang w:val="en_US" w:bidi="en_US"/>
        </w:rPr>
        <w:t xml:space="preserve"> The Greek word that the BSB translates as </w:t>
      </w:r>
      <w:r>
        <w:rPr>
          <w:i/>
          <w:lang w:val="en_US" w:bidi="en_US"/>
        </w:rPr>
        <w:t>loaves of bread</w:t>
      </w:r>
      <w:r>
        <w:rPr>
          <w:lang w:val="en_US" w:bidi="en_US"/>
        </w:rPr>
        <w:t xml:space="preserve"> is literally “loaves.” These were small, round loaves of flat bread, probably made from barley. The parallel passage in John 6:9 makes this clear. If people do not know a word for </w:t>
      </w:r>
      <w:r>
        <w:rPr>
          <w:i/>
          <w:lang w:val="en_US" w:bidi="en_US"/>
        </w:rPr>
        <w:t>bread</w:t>
      </w:r>
      <w:r>
        <w:rPr>
          <w:lang w:val="en_US" w:bidi="en_US"/>
        </w:rPr>
        <w:t>, you may use a general word such as “food” here. You should not substitute a different kind of food, because these verses tell about an event that actually happened.</w:t>
      </w:r>
    </w:p>
    <w:p>
      <w:pPr/>
      <w:r>
        <w:rPr>
          <w:lang w:val="en_US" w:bidi="en_US"/>
        </w:rPr>
      </w:r>
      <w:r>
        <w:rPr>
          <w:lang w:val="en_US" w:bidi="en_US"/>
        </w:rPr>
        <w:t>Languages have different ways to describe portions of bread or food. Some ways to do that are:</w:t>
      </w:r>
    </w:p>
    <w:p>
      <w:pPr>
        <w:pStyle w:val="ListBullet"/>
        <w:spacing w:line="240" w:lineRule="auto"/>
        <w:ind w:left="720"/>
      </w:pPr>
      <w:r>
        <w:rPr>
          <w:lang w:val="en_US" w:bidi="en_US"/>
        </w:rPr>
      </w:r>
      <w:r>
        <w:rPr>
          <w:lang w:val="en_US" w:bidi="en_US"/>
        </w:rPr>
        <w:t>Use a plural form of the word to refer to a certain number of portions. For example:</w:t>
      </w:r>
      <w:r>
        <w:rPr>
          <w:lang w:val="en_US" w:bidi="en_US"/>
        </w:rPr>
        <w:t>five breads</w:t>
      </w:r>
    </w:p>
    <w:p>
      <w:pPr>
        <w:pStyle w:val="ListBullet"/>
        <w:spacing w:line="240" w:lineRule="auto"/>
        <w:ind w:left="720"/>
      </w:pPr>
      <w:r>
        <w:rPr>
          <w:lang w:val="en_US" w:bidi="en_US"/>
        </w:rPr>
      </w:r>
      <w:r>
        <w:rPr>
          <w:lang w:val="en_US" w:bidi="en_US"/>
        </w:rPr>
        <w:t>Use a general word that refers to a unit or portion. For example:</w:t>
      </w:r>
      <w:r>
        <w:rPr>
          <w:lang w:val="en_US" w:bidi="en_US"/>
        </w:rPr>
        <w:t>five units/portions of bread</w:t>
      </w:r>
    </w:p>
    <w:p>
      <w:pPr/>
      <w:r>
        <w:rPr>
          <w:lang w:val="en_US" w:bidi="en_US"/>
        </w:rPr>
      </w:r>
      <w:r>
        <w:rPr>
          <w:lang w:val="en_US" w:bidi="en_US"/>
        </w:rPr>
        <w:t>In areas where people do not eat bread as their main food, it may be helpful to include a footnote. For example:</w:t>
      </w:r>
    </w:p>
    <w:p>
      <w:pPr/>
      <w:r>
        <w:rPr>
          <w:lang w:val="en_US" w:bidi="en_US"/>
        </w:rPr>
      </w:r>
      <w:r>
        <w:rPr>
          <w:lang w:val="en_US" w:bidi="en_US"/>
        </w:rPr>
        <w:t>Bread was one of the main foods that the Jews ate. The loaves of bread in this verse were round, thick, and flat in shape. One person would probably eat two of them for one meal.</w:t>
      </w:r>
    </w:p>
    <w:p>
      <w:pPr/>
      <w:r>
        <w:rPr>
          <w:lang w:val="en_US" w:bidi="en_US"/>
        </w:rPr>
      </w:r>
      <w:r>
        <w:rPr>
          <w:b/>
          <w:lang w:val="en_US" w:bidi="en_US"/>
        </w:rPr>
        <w:t>fish:</w:t>
      </w:r>
      <w:r>
        <w:rPr>
          <w:lang w:val="en_US" w:bidi="en_US"/>
        </w:rPr>
        <w:t xml:space="preserve"> This </w:t>
      </w:r>
      <w:r>
        <w:rPr>
          <w:i/>
          <w:lang w:val="en_US" w:bidi="en_US"/>
        </w:rPr>
        <w:t>fish</w:t>
      </w:r>
      <w:r>
        <w:rPr>
          <w:lang w:val="en_US" w:bidi="en_US"/>
        </w:rPr>
        <w:t xml:space="preserve"> was ready to eat, so it had already been cooked or dried or salted. It was probably a small kind of fresh-water fish from the nearby lake, the Lake of Galilee. Use a natural word in your language for this context.</w:t>
      </w:r>
    </w:p>
    <w:p>
      <w:pPr/>
      <w:r>
        <w:rPr>
          <w:lang w:val="en_US" w:bidi="en_US"/>
        </w:rPr>
      </w:r>
      <w:r>
        <w:rPr>
          <w:b/>
          <w:lang w:val="en_US" w:bidi="en_US"/>
        </w:rPr>
        <w:t>they answered:</w:t>
      </w:r>
      <w:r>
        <w:rPr>
          <w:lang w:val="en_US" w:bidi="en_US"/>
        </w:rPr>
        <w:t xml:space="preserve"> The disciples </w:t>
      </w:r>
      <w:r>
        <w:rPr>
          <w:i/>
          <w:lang w:val="en_US" w:bidi="en_US"/>
        </w:rPr>
        <w:t>answered</w:t>
      </w:r>
      <w:r>
        <w:rPr>
          <w:lang w:val="en_US" w:bidi="en_US"/>
        </w:rPr>
        <w:t xml:space="preserve"> by implying that they could not do what Jesus told them to do. Introduce the disciples’ response in a natural way in your language. In some languages it may be helpful to use a different verb. For example:</w:t>
      </w:r>
    </w:p>
    <w:p>
      <w:pPr/>
      <w:r>
        <w:rPr>
          <w:lang w:val="en_US" w:bidi="en_US"/>
        </w:rPr>
      </w:r>
      <w:r>
        <w:rPr>
          <w:lang w:val="en_US" w:bidi="en_US"/>
        </w:rPr>
        <w:t>But</w:t>
      </w:r>
      <w:r>
        <w:rPr>
          <w:lang w:val="en_US" w:bidi="en_US"/>
        </w:rPr>
        <w:t xml:space="preserve"> they said/objected</w:t>
      </w:r>
    </w:p>
    <w:p>
      <w:pPr>
        <w:pStyle w:val="Heading5"/>
      </w:pPr>
      <w:r>
        <w:rPr>
          <w:lang w:val="en_US" w:bidi="en_US"/>
        </w:rPr>
        <w:t>9:13c</w:t>
      </w:r>
    </w:p>
    <w:p>
      <w:pPr/>
      <w:r>
        <w:rPr>
          <w:lang w:val="en_US" w:bidi="en_US"/>
        </w:rPr>
      </w:r>
      <w:r>
        <w:rPr>
          <w:b/>
          <w:lang w:val="en_US" w:bidi="en_US"/>
        </w:rPr>
        <w:t>“unless we go and buy food for all these people.”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do not have enough food</w:t>
      </w:r>
      <w:r>
        <w:rPr>
          <w:lang w:val="en_US" w:bidi="en_US"/>
        </w:rPr>
        <w:t xml:space="preserve"> unless we</w:t>
      </w:r>
      <w:r>
        <w:rPr>
          <w:vertAlign w:val="superscript"/>
          <w:lang w:val="en_US" w:bidi="en_US"/>
        </w:rPr>
        <w:t>(excl)</w:t>
      </w:r>
      <w:r>
        <w:rPr>
          <w:lang w:val="en_US" w:bidi="en_US"/>
        </w:rPr>
        <w:t xml:space="preserve"> go and buy </w:t>
      </w:r>
      <w:r>
        <w:rPr>
          <w:lang w:val="en_US" w:bidi="en_US"/>
        </w:rPr>
        <w:t>a lot</w:t>
      </w:r>
      <w:r>
        <w:rPr>
          <w:lang w:val="en_US" w:bidi="en_US"/>
        </w:rPr>
        <w:t xml:space="preserve"> for all these people.”</w:t>
      </w:r>
    </w:p>
    <w:p>
      <w:pPr>
        <w:pStyle w:val="ListBullet"/>
        <w:spacing w:line="240" w:lineRule="auto"/>
        <w:ind w:left="720"/>
      </w:pPr>
      <w:r>
        <w:rPr>
          <w:lang w:val="en_US" w:bidi="en_US"/>
        </w:rPr>
      </w:r>
      <w:r>
        <w:rPr>
          <w:lang w:val="en_US" w:bidi="en_US"/>
        </w:rPr>
        <w:t>How</w:t>
      </w:r>
      <w:r>
        <w:rPr>
          <w:lang w:val="en_US" w:bidi="en_US"/>
        </w:rPr>
        <w:t xml:space="preserve"> could we </w:t>
      </w:r>
      <w:r>
        <w:rPr>
          <w:lang w:val="en_US" w:bidi="en_US"/>
        </w:rPr>
        <w:t>possibly</w:t>
      </w:r>
      <w:r>
        <w:rPr>
          <w:lang w:val="en_US" w:bidi="en_US"/>
        </w:rPr>
        <w:t xml:space="preserve"> go and buy </w:t>
      </w:r>
      <w:r>
        <w:rPr>
          <w:lang w:val="en_US" w:bidi="en_US"/>
        </w:rPr>
        <w:t>enough</w:t>
      </w:r>
      <w:r>
        <w:rPr>
          <w:lang w:val="en_US" w:bidi="en_US"/>
        </w:rPr>
        <w:t xml:space="preserve"> food for this big crowd of people?”</w:t>
      </w:r>
    </w:p>
    <w:p>
      <w:pPr/>
      <w:r>
        <w:rPr>
          <w:lang w:val="en_US" w:bidi="en_US"/>
        </w:rPr>
      </w:r>
      <w:r>
        <w:rPr>
          <w:b/>
          <w:lang w:val="en_US" w:bidi="en_US"/>
        </w:rPr>
        <w:t>unless we go and buy food for all these people:</w:t>
      </w:r>
      <w:r>
        <w:rPr>
          <w:lang w:val="en_US" w:bidi="en_US"/>
        </w:rPr>
        <w:t xml:space="preserve"> In this clause the disciples were suggesting that the only way to get enough food for everyone was to go and buy it. However, they did not think that this was what Jesus wanted them to do. They did not think it was possible to buy enough food for the crowd, because they did not have enough money (see John 6:7). Another way to translate this is:</w:t>
      </w:r>
    </w:p>
    <w:p>
      <w:pPr/>
      <w:r>
        <w:rPr>
          <w:lang w:val="en_US" w:bidi="en_US"/>
        </w:rPr>
      </w:r>
      <w:r>
        <w:rPr>
          <w:lang w:val="en_US" w:bidi="en_US"/>
        </w:rPr>
        <w:t>…or do you intend us to go and buy food for all these people? (REB)</w:t>
      </w:r>
    </w:p>
    <w:p>
      <w:pPr/>
      <w:r>
        <w:rPr>
          <w:lang w:val="en_US" w:bidi="en_US"/>
        </w:rPr>
      </w:r>
      <w:r>
        <w:rPr>
          <w:lang w:val="en_US" w:bidi="en_US"/>
        </w:rPr>
        <w:t>In some languages it may be more natural to start a new sentence with this clause. For example:</w:t>
      </w:r>
    </w:p>
    <w:p>
      <w:pPr/>
      <w:r>
        <w:rPr>
          <w:lang w:val="en_US" w:bidi="en_US"/>
        </w:rPr>
      </w:r>
      <w:r>
        <w:rPr>
          <w:lang w:val="en_US" w:bidi="en_US"/>
        </w:rPr>
        <w:t>Do you want us to go and buy food for this whole crowd? (GNT)</w:t>
      </w:r>
    </w:p>
    <w:p>
      <w:pPr/>
      <w:r>
        <w:rPr>
          <w:lang w:val="en_US" w:bidi="en_US"/>
        </w:rPr>
      </w:r>
      <w:r>
        <w:rPr>
          <w:lang w:val="en_US" w:bidi="en_US"/>
        </w:rPr>
        <w:t>If we are going to feed all these people, we will have to go and buy food. (CEV)</w:t>
      </w:r>
      <w:r>
        <w:rPr>
          <w:lang w:val="en_US" w:bidi="en_US"/>
        </w:rPr>
      </w:r>
      <w:r>
        <w:rPr>
          <w:lang w:val="en_US" w:bidi="en_US"/>
        </w:rPr>
      </w:r>
    </w:p>
    <w:p>
      <w:pPr/>
      <w:r>
        <w:rPr>
          <w:lang w:val="en_US" w:bidi="en_US"/>
        </w:rPr>
      </w:r>
    </w:p>
    <w:p>
      <w:pPr>
        <w:pStyle w:val="Heading2"/>
      </w:pPr>
      <w:r>
        <w:rPr>
          <w:lang w:val="en_US" w:bidi="en_US"/>
        </w:rPr>
        <w:t>Luke 9:14</w:t>
      </w:r>
      <w:r>
        <w:rPr>
          <w:lang w:val="en_US" w:bidi="en_US"/>
        </w:rPr>
      </w:r>
    </w:p>
    <w:p>
      <w:pPr>
        <w:pStyle w:val="Heading4"/>
      </w:pPr>
      <w:r>
        <w:rPr>
          <w:lang w:val="en_US" w:bidi="en_US"/>
        </w:rPr>
        <w:t>Section 9:10–17: Jesus did a miracle to feed more than five thousand people</w:t>
      </w:r>
    </w:p>
    <w:p>
      <w:pPr/>
      <w:r>
        <w:rPr>
          <w:lang w:val="en_US" w:bidi="en_US"/>
        </w:rPr>
      </w:r>
      <w:r>
        <w:rPr>
          <w:lang w:val="en_US" w:bidi="en_US"/>
        </w:rPr>
        <w:t>Jesus taught the people about the kingdom of God and he healed many sick people. Then he fed all of the people by multiplying a small amount of bread and fish. This is the only miracle besides Jesus’ resurrection that all four Gospels record.</w:t>
      </w:r>
    </w:p>
    <w:p>
      <w:pPr/>
      <w:r>
        <w:rPr>
          <w:lang w:val="en_US" w:bidi="en_US"/>
        </w:rPr>
      </w:r>
      <w:r>
        <w:rPr>
          <w:lang w:val="en_US" w:bidi="en_US"/>
        </w:rPr>
        <w:t>Some other headings for this section are:</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There are parallel passages for this section in Matthew 14:13–21, Mark 6:30–44, and John 6:1–14.</w:t>
      </w:r>
    </w:p>
    <w:p>
      <w:pPr>
        <w:pStyle w:val="Heading5"/>
      </w:pPr>
      <w:r>
        <w:rPr>
          <w:lang w:val="en_US" w:bidi="en_US"/>
        </w:rPr>
        <w:t>9:14a</w:t>
      </w:r>
    </w:p>
    <w:p>
      <w:pPr/>
      <w:r>
        <w:rPr>
          <w:lang w:val="en_US" w:bidi="en_US"/>
        </w:rPr>
      </w:r>
      <w:r>
        <w:rPr>
          <w:b/>
          <w:lang w:val="en_US" w:bidi="en_US"/>
        </w:rPr>
        <w:t>(There were about five thousand men.)</w:t>
      </w:r>
    </w:p>
    <w:p>
      <w:pPr>
        <w:pStyle w:val="ListBullet"/>
        <w:spacing w:line="240" w:lineRule="auto"/>
        <w:ind w:left="720"/>
      </w:pPr>
      <w:r>
        <w:rPr>
          <w:lang w:val="en_US" w:bidi="en_US"/>
        </w:rPr>
      </w:r>
      <w:r>
        <w:rPr>
          <w:lang w:val="en_US" w:bidi="en_US"/>
        </w:rPr>
        <w:t>(There were about five thousand men there.)</w:t>
      </w:r>
    </w:p>
    <w:p>
      <w:pPr>
        <w:pStyle w:val="ListBullet"/>
        <w:spacing w:line="240" w:lineRule="auto"/>
        <w:ind w:left="720"/>
      </w:pPr>
      <w:r>
        <w:rPr>
          <w:lang w:val="en_US" w:bidi="en_US"/>
        </w:rPr>
      </w:r>
      <w:r>
        <w:rPr>
          <w:lang w:val="en_US" w:bidi="en_US"/>
        </w:rPr>
        <w:t>They said that</w:t>
      </w:r>
      <w:r>
        <w:rPr>
          <w:lang w:val="en_US" w:bidi="en_US"/>
        </w:rPr>
        <w:t xml:space="preserve"> because there were about five thousand men </w:t>
      </w:r>
      <w:r>
        <w:rPr>
          <w:lang w:val="en_US" w:bidi="en_US"/>
        </w:rPr>
        <w:t>in the crowd of people</w:t>
      </w:r>
      <w:r>
        <w:rPr>
          <w:lang w:val="en_US" w:bidi="en_US"/>
        </w:rPr>
        <w:t xml:space="preserve"> who were there.</w:t>
      </w:r>
    </w:p>
    <w:p>
      <w:pPr/>
      <w:r>
        <w:rPr>
          <w:lang w:val="en_US" w:bidi="en_US"/>
        </w:rPr>
      </w:r>
      <w:r>
        <w:rPr>
          <w:b/>
          <w:lang w:val="en_US" w:bidi="en_US"/>
        </w:rPr>
        <w:t>There were about five thousand men:</w:t>
      </w:r>
      <w:r>
        <w:rPr>
          <w:lang w:val="en_US" w:bidi="en_US"/>
        </w:rPr>
        <w:t xml:space="preserve"> This is background information that explains what the disciples said in 9:13c. They did not think that Jesus wanted them to buy food for so many people. In Greek, 9:14 begins with a conjunction that is often translated as “for.” The BSB uses parentheses to indicate that this is an explanation. You should express the explanation in a natural way in your language. One way to do that in English is:</w:t>
      </w:r>
    </w:p>
    <w:p>
      <w:pPr/>
      <w:r>
        <w:rPr>
          <w:lang w:val="en_US" w:bidi="en_US"/>
        </w:rPr>
      </w:r>
      <w:r>
        <w:rPr>
          <w:lang w:val="en_US" w:bidi="en_US"/>
        </w:rPr>
        <w:t>They said this</w:t>
      </w:r>
      <w:r>
        <w:rPr>
          <w:lang w:val="en_US" w:bidi="en_US"/>
        </w:rPr>
        <w:t xml:space="preserve"> because there were five thousand men there.</w:t>
      </w:r>
    </w:p>
    <w:p>
      <w:pPr/>
      <w:r>
        <w:rPr>
          <w:lang w:val="en_US" w:bidi="en_US"/>
        </w:rPr>
      </w:r>
      <w:r>
        <w:rPr>
          <w:b/>
          <w:lang w:val="en_US" w:bidi="en_US"/>
        </w:rPr>
        <w:t>five thousand men:</w:t>
      </w:r>
      <w:r>
        <w:rPr>
          <w:lang w:val="en_US" w:bidi="en_US"/>
        </w:rPr>
        <w:t xml:space="preserve"> The number </w:t>
      </w:r>
      <w:r>
        <w:rPr>
          <w:i/>
          <w:lang w:val="en_US" w:bidi="en_US"/>
        </w:rPr>
        <w:t>five thousand</w:t>
      </w:r>
      <w:r>
        <w:rPr>
          <w:lang w:val="en_US" w:bidi="en_US"/>
        </w:rPr>
        <w:t xml:space="preserve"> refers only to the men who were in the crowd, but women and children were also there.</w:t>
      </w:r>
      <w:r>
        <w:rPr>
          <w:lang w:val="en_US" w:bidi="en_US"/>
        </w:rPr>
        <w:t>The place where Jesus and his disciples were was far from where people lived. So probably not many women and children came with the men to hear Jesus teach.</w:t>
      </w:r>
      <w:r>
        <w:rPr>
          <w:lang w:val="en_US" w:bidi="en_US"/>
        </w:rPr>
        <w:t xml:space="preserve"> It may be helpful in your translation to imply that there were more than five thousand people in the crowd. For example:</w:t>
      </w:r>
    </w:p>
    <w:p>
      <w:pPr/>
      <w:r>
        <w:rPr>
          <w:lang w:val="en_US" w:bidi="en_US"/>
        </w:rPr>
      </w:r>
      <w:r>
        <w:rPr>
          <w:lang w:val="en_US" w:bidi="en_US"/>
        </w:rPr>
        <w:t>There were about five thousand men in the crowd. (CEV)</w:t>
      </w:r>
    </w:p>
    <w:p>
      <w:pPr/>
      <w:r>
        <w:rPr>
          <w:lang w:val="en_US" w:bidi="en_US"/>
        </w:rPr>
      </w:r>
      <w:r>
        <w:rPr>
          <w:lang w:val="en_US" w:bidi="en_US"/>
        </w:rPr>
        <w:t>You may want to put a footnote in your translation to make this clear. You could also give a cross-reference to the parallel account in Matthew 14:21. The Matthew passage says, “The number of those who ate was about five thousand men, besides women and children.”</w:t>
      </w:r>
    </w:p>
    <w:p>
      <w:pPr>
        <w:pStyle w:val="Heading5"/>
      </w:pPr>
      <w:r>
        <w:rPr>
          <w:lang w:val="en_US" w:bidi="en_US"/>
        </w:rPr>
        <w:t>9:14b</w:t>
      </w:r>
    </w:p>
    <w:p>
      <w:pPr/>
      <w:r>
        <w:rPr>
          <w:lang w:val="en_US" w:bidi="en_US"/>
        </w:rPr>
      </w:r>
      <w:r>
        <w:rPr>
          <w:b/>
          <w:lang w:val="en_US" w:bidi="en_US"/>
        </w:rPr>
        <w:t>He told His disciples, “Have them sit down in groups of about fifty each.”</w:t>
      </w:r>
    </w:p>
    <w:p>
      <w:pPr>
        <w:pStyle w:val="ListBullet"/>
        <w:spacing w:line="240" w:lineRule="auto"/>
        <w:ind w:left="720"/>
      </w:pPr>
      <w:r>
        <w:rPr>
          <w:lang w:val="en_US" w:bidi="en_US"/>
        </w:rPr>
      </w:r>
      <w:r>
        <w:rPr>
          <w:lang w:val="en_US" w:bidi="en_US"/>
        </w:rPr>
        <w:t xml:space="preserve">But </w:t>
      </w:r>
      <w:r>
        <w:rPr>
          <w:lang w:val="en_US" w:bidi="en_US"/>
        </w:rPr>
        <w:t>Jesus</w:t>
      </w:r>
      <w:r>
        <w:rPr>
          <w:lang w:val="en_US" w:bidi="en_US"/>
        </w:rPr>
        <w:t xml:space="preserve"> said to the disciples, “Tell</w:t>
      </w:r>
      <w:r>
        <w:rPr>
          <w:vertAlign w:val="superscript"/>
          <w:lang w:val="en_US" w:bidi="en_US"/>
        </w:rPr>
        <w:t>(plur)</w:t>
      </w:r>
      <w:r>
        <w:rPr>
          <w:lang w:val="en_US" w:bidi="en_US"/>
        </w:rPr>
        <w:t xml:space="preserve"> them to sit down in groups, about fifty in each group.”</w:t>
      </w:r>
    </w:p>
    <w:p>
      <w:pPr>
        <w:pStyle w:val="ListBullet"/>
        <w:spacing w:line="240" w:lineRule="auto"/>
        <w:ind w:left="720"/>
      </w:pPr>
      <w:r>
        <w:rPr>
          <w:lang w:val="en_US" w:bidi="en_US"/>
        </w:rPr>
      </w:r>
      <w:r>
        <w:rPr>
          <w:lang w:val="en_US" w:bidi="en_US"/>
        </w:rPr>
        <w:t>Jesus replied, “Tell</w:t>
      </w:r>
      <w:r>
        <w:rPr>
          <w:vertAlign w:val="superscript"/>
          <w:lang w:val="en_US" w:bidi="en_US"/>
        </w:rPr>
        <w:t>(plur)</w:t>
      </w:r>
      <w:r>
        <w:rPr>
          <w:lang w:val="en_US" w:bidi="en_US"/>
        </w:rPr>
        <w:t xml:space="preserve"> the people to sit in groups of about fifty people each.”</w:t>
      </w:r>
    </w:p>
    <w:p>
      <w:pPr>
        <w:pStyle w:val="ListBullet"/>
        <w:spacing w:line="240" w:lineRule="auto"/>
        <w:ind w:left="720"/>
      </w:pPr>
      <w:r>
        <w:rPr>
          <w:lang w:val="en_US" w:bidi="en_US"/>
        </w:rPr>
      </w:r>
      <w:r>
        <w:rPr>
          <w:lang w:val="en_US" w:bidi="en_US"/>
        </w:rPr>
        <w:t>But Jesus told his disciples/apostles to seat everyone in groups with about fifty people in each group.</w:t>
      </w:r>
    </w:p>
    <w:p>
      <w:pPr/>
      <w:r>
        <w:rPr>
          <w:lang w:val="en_US" w:bidi="en_US"/>
        </w:rPr>
      </w:r>
      <w:r>
        <w:rPr>
          <w:lang w:val="en_US" w:bidi="en_US"/>
        </w:rPr>
        <w:t>This verse begins with a Greek conjunction that is often translated as “and.” Some English versions, such as the ESV, translate it that way. Other versions, such as the NASB and NIV, translate it as “But” because it introduces Jesus’ response to what his disciples said in 9:13b, and his response may imply a slight contrast with the disciples’ attitude. In some languages it may be more natural to leave this contrast implied. For example:</w:t>
      </w:r>
    </w:p>
    <w:p>
      <w:pPr/>
      <w:r>
        <w:rPr>
          <w:lang w:val="en_US" w:bidi="en_US"/>
        </w:rPr>
      </w:r>
      <w:r>
        <w:rPr>
          <w:lang w:val="en_US" w:bidi="en_US"/>
        </w:rPr>
        <w:t>Then he said to his disciples (REB)</w:t>
      </w:r>
    </w:p>
    <w:p>
      <w:pPr/>
      <w:r>
        <w:rPr>
          <w:lang w:val="en_US" w:bidi="en_US"/>
        </w:rPr>
      </w:r>
      <w:r>
        <w:rPr>
          <w:lang w:val="en_US" w:bidi="en_US"/>
        </w:rPr>
        <w:t>Some other versions simply start a new sentence. For example:</w:t>
      </w:r>
    </w:p>
    <w:p>
      <w:pPr/>
      <w:r>
        <w:rPr>
          <w:lang w:val="en_US" w:bidi="en_US"/>
        </w:rPr>
      </w:r>
      <w:r>
        <w:rPr>
          <w:lang w:val="en_US" w:bidi="en_US"/>
        </w:rPr>
        <w:t>Jesus said to his disciples (GNT)</w:t>
      </w:r>
    </w:p>
    <w:p>
      <w:pPr/>
      <w:r>
        <w:rPr>
          <w:lang w:val="en_US" w:bidi="en_US"/>
        </w:rPr>
      </w:r>
      <w:r>
        <w:rPr>
          <w:lang w:val="en_US" w:bidi="en_US"/>
        </w:rPr>
        <w:t>The BSB similarly has not translated this conjunction. Introduce Jesus’ response in a natural way in your language.</w:t>
      </w:r>
    </w:p>
    <w:p>
      <w:pPr/>
      <w:r>
        <w:rPr>
          <w:lang w:val="en_US" w:bidi="en_US"/>
        </w:rPr>
      </w:r>
      <w:r>
        <w:rPr>
          <w:b/>
          <w:lang w:val="en_US" w:bidi="en_US"/>
        </w:rPr>
        <w:t>He told His disciples:</w:t>
      </w:r>
      <w:r>
        <w:rPr>
          <w:lang w:val="en_US" w:bidi="en_US"/>
        </w:rPr>
        <w:t xml:space="preserve"> The word </w:t>
      </w:r>
      <w:r>
        <w:rPr>
          <w:i/>
          <w:lang w:val="en_US" w:bidi="en_US"/>
        </w:rPr>
        <w:t>disciples</w:t>
      </w:r>
      <w:r>
        <w:rPr>
          <w:lang w:val="en_US" w:bidi="en_US"/>
        </w:rPr>
        <w:t xml:space="preserve"> refers here to the same men as “the apostles” in 9:10 and “the twelve” in 9:12. Translate the clause </w:t>
      </w:r>
      <w:r>
        <w:rPr>
          <w:i/>
          <w:lang w:val="en_US" w:bidi="en_US"/>
        </w:rPr>
        <w:t>He told His disciples</w:t>
      </w:r>
      <w:r>
        <w:rPr>
          <w:lang w:val="en_US" w:bidi="en_US"/>
        </w:rPr>
        <w:t xml:space="preserve"> in a way that clearly indicates that Jesus was still talking to the same people.</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special relationship with a teacher. The learners commit themselves to their teacher in order to learn from him and live according to his teaching and example. Disciples often lived with their teacher and followed him wherever he went.</w:t>
      </w:r>
    </w:p>
    <w:p>
      <w:pPr/>
      <w:r>
        <w:rPr>
          <w:lang w:val="en_US" w:bidi="en_US"/>
        </w:rPr>
      </w:r>
      <w:r>
        <w:rPr>
          <w:lang w:val="en_US" w:bidi="en_US"/>
        </w:rPr>
        <w:t xml:space="preserve">Some ways to translate </w:t>
      </w:r>
      <w:r>
        <w:rPr>
          <w:i/>
          <w:lang w:val="en_US" w:bidi="en_US"/>
        </w:rPr>
        <w:t>disciples</w:t>
      </w:r>
      <w:r>
        <w:rPr>
          <w:lang w:val="en_US" w:bidi="en_US"/>
        </w:rPr>
        <w:t xml:space="preserve"> are:</w:t>
      </w:r>
    </w:p>
    <w:p>
      <w:pPr/>
      <w:r>
        <w:rPr>
          <w:lang w:val="en_US" w:bidi="en_US"/>
        </w:rPr>
      </w:r>
      <w:r>
        <w:rPr>
          <w:lang w:val="en_US" w:bidi="en_US"/>
        </w:rPr>
        <w:t>students/learners</w:t>
      </w:r>
    </w:p>
    <w:p>
      <w:pPr/>
      <w:r>
        <w:rPr>
          <w:lang w:val="en_US" w:bidi="en_US"/>
        </w:rPr>
      </w:r>
      <w:r>
        <w:rPr>
          <w:lang w:val="en_US" w:bidi="en_US"/>
        </w:rPr>
        <w:t>apprentices</w:t>
      </w:r>
    </w:p>
    <w:p>
      <w:pPr/>
      <w:r>
        <w:rPr>
          <w:lang w:val="en_US" w:bidi="en_US"/>
        </w:rPr>
      </w:r>
      <w:r>
        <w:rPr>
          <w:lang w:val="en_US" w:bidi="en_US"/>
        </w:rPr>
        <w:t>followers</w:t>
      </w:r>
    </w:p>
    <w:p>
      <w:pPr/>
      <w:r>
        <w:rPr>
          <w:lang w:val="en_US" w:bidi="en_US"/>
        </w:rPr>
      </w:r>
      <w:r>
        <w:rPr>
          <w:lang w:val="en_US" w:bidi="en_US"/>
        </w:rPr>
        <w:t>This word first occurs in Luke in 5:30a. See disciple in the Glossary for more information.</w:t>
      </w:r>
    </w:p>
    <w:p>
      <w:pPr/>
      <w:r>
        <w:rPr>
          <w:lang w:val="en_US" w:bidi="en_US"/>
        </w:rPr>
      </w:r>
      <w:r>
        <w:rPr>
          <w:b/>
          <w:lang w:val="en_US" w:bidi="en_US"/>
        </w:rPr>
        <w:t>Have them sit down in groups of about fifty each:</w:t>
      </w:r>
      <w:r>
        <w:rPr>
          <w:lang w:val="en_US" w:bidi="en_US"/>
        </w:rPr>
        <w:t xml:space="preserve"> </w:t>
      </w:r>
      <w:r>
        <w:rPr>
          <w:i/>
          <w:lang w:val="en_US" w:bidi="en_US"/>
        </w:rPr>
        <w:t>Have them sit down</w:t>
      </w:r>
      <w:r>
        <w:rPr>
          <w:lang w:val="en_US" w:bidi="en_US"/>
        </w:rPr>
        <w:t xml:space="preserve"> means “Cause them to sit down.” You may be able to translate this whole command as:</w:t>
      </w:r>
    </w:p>
    <w:p>
      <w:pPr/>
      <w:r>
        <w:rPr>
          <w:lang w:val="en_US" w:bidi="en_US"/>
        </w:rPr>
      </w:r>
      <w:r>
        <w:rPr>
          <w:lang w:val="en_US" w:bidi="en_US"/>
        </w:rPr>
        <w:t xml:space="preserve">Organize them into groups of fifty </w:t>
      </w:r>
      <w:r>
        <w:rPr>
          <w:lang w:val="en_US" w:bidi="en_US"/>
        </w:rPr>
        <w:t>people</w:t>
      </w:r>
      <w:r>
        <w:rPr>
          <w:lang w:val="en_US" w:bidi="en_US"/>
        </w:rPr>
        <w:t xml:space="preserve"> and tell them to sit down.</w:t>
      </w:r>
    </w:p>
    <w:p>
      <w:pPr/>
      <w:r>
        <w:rPr>
          <w:lang w:val="en_US" w:bidi="en_US"/>
        </w:rPr>
      </w:r>
      <w:r>
        <w:rPr>
          <w:lang w:val="en_US" w:bidi="en_US"/>
        </w:rPr>
        <w:t xml:space="preserve">Tell them to sit down in groups of about fifty </w:t>
      </w:r>
      <w:r>
        <w:rPr>
          <w:lang w:val="en_US" w:bidi="en_US"/>
        </w:rPr>
        <w:t>people</w:t>
      </w:r>
      <w:r>
        <w:rPr>
          <w:lang w:val="en_US" w:bidi="en_US"/>
        </w:rPr>
        <w:t>.</w:t>
      </w:r>
    </w:p>
    <w:p>
      <w:pPr/>
      <w:r>
        <w:rPr>
          <w:lang w:val="en_US" w:bidi="en_US"/>
        </w:rPr>
      </w:r>
      <w:r>
        <w:rPr>
          <w:lang w:val="en_US" w:bidi="en_US"/>
        </w:rPr>
        <w:t xml:space="preserve">Seat them in groups of fifty </w:t>
      </w:r>
      <w:r>
        <w:rPr>
          <w:lang w:val="en_US" w:bidi="en_US"/>
        </w:rPr>
        <w:t>people</w:t>
      </w:r>
      <w:r>
        <w:rPr>
          <w:lang w:val="en_US" w:bidi="en_US"/>
        </w:rPr>
        <w:t>.</w:t>
      </w:r>
      <w:r>
        <w:rPr>
          <w:lang w:val="en_US" w:bidi="en_US"/>
        </w:rPr>
      </w:r>
      <w:r>
        <w:rPr>
          <w:lang w:val="en_US" w:bidi="en_US"/>
        </w:rPr>
      </w:r>
    </w:p>
    <w:p>
      <w:pPr/>
      <w:r>
        <w:rPr>
          <w:lang w:val="en_US" w:bidi="en_US"/>
        </w:rPr>
      </w:r>
    </w:p>
    <w:p>
      <w:pPr>
        <w:pStyle w:val="Heading2"/>
      </w:pPr>
      <w:r>
        <w:rPr>
          <w:lang w:val="en_US" w:bidi="en_US"/>
        </w:rPr>
        <w:t>Luke 9:15</w:t>
      </w:r>
      <w:r>
        <w:rPr>
          <w:lang w:val="en_US" w:bidi="en_US"/>
        </w:rPr>
      </w:r>
    </w:p>
    <w:p>
      <w:pPr>
        <w:pStyle w:val="Heading4"/>
      </w:pPr>
      <w:r>
        <w:rPr>
          <w:lang w:val="en_US" w:bidi="en_US"/>
        </w:rPr>
        <w:t>Section 9:10–17: Jesus did a miracle to feed more than five thousand people</w:t>
      </w:r>
    </w:p>
    <w:p>
      <w:pPr/>
      <w:r>
        <w:rPr>
          <w:lang w:val="en_US" w:bidi="en_US"/>
        </w:rPr>
      </w:r>
      <w:r>
        <w:rPr>
          <w:lang w:val="en_US" w:bidi="en_US"/>
        </w:rPr>
        <w:t>Jesus taught the people about the kingdom of God and he healed many sick people. Then he fed all of the people by multiplying a small amount of bread and fish. This is the only miracle besides Jesus’ resurrection that all four Gospels record.</w:t>
      </w:r>
    </w:p>
    <w:p>
      <w:pPr/>
      <w:r>
        <w:rPr>
          <w:lang w:val="en_US" w:bidi="en_US"/>
        </w:rPr>
      </w:r>
      <w:r>
        <w:rPr>
          <w:lang w:val="en_US" w:bidi="en_US"/>
        </w:rPr>
        <w:t>Some other headings for this section are:</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There are parallel passages for this section in Matthew 14:13–21, Mark 6:30–44, and John 6:1–14.</w:t>
      </w:r>
    </w:p>
    <w:p>
      <w:pPr>
        <w:pStyle w:val="Heading5"/>
      </w:pPr>
      <w:r>
        <w:rPr>
          <w:lang w:val="en_US" w:bidi="en_US"/>
        </w:rPr>
        <w:t>9:15</w:t>
      </w:r>
    </w:p>
    <w:p>
      <w:pPr/>
      <w:r>
        <w:rPr>
          <w:lang w:val="en_US" w:bidi="en_US"/>
        </w:rPr>
      </w:r>
      <w:r>
        <w:rPr>
          <w:b/>
          <w:lang w:val="en_US" w:bidi="en_US"/>
        </w:rPr>
        <w:t>They did so, and everyone was seated.</w:t>
      </w:r>
    </w:p>
    <w:p>
      <w:pPr>
        <w:pStyle w:val="ListBullet"/>
        <w:spacing w:line="240" w:lineRule="auto"/>
        <w:ind w:left="720"/>
      </w:pPr>
      <w:r>
        <w:rPr>
          <w:lang w:val="en_US" w:bidi="en_US"/>
        </w:rPr>
      </w:r>
      <w:r>
        <w:rPr>
          <w:lang w:val="en_US" w:bidi="en_US"/>
        </w:rPr>
        <w:t>¶ The disciples did as he said, and all the people sat down.</w:t>
      </w:r>
    </w:p>
    <w:p>
      <w:pPr>
        <w:pStyle w:val="ListBullet"/>
        <w:spacing w:line="240" w:lineRule="auto"/>
        <w:ind w:left="720"/>
      </w:pPr>
      <w:r>
        <w:rPr>
          <w:lang w:val="en_US" w:bidi="en_US"/>
        </w:rPr>
      </w:r>
      <w:r>
        <w:rPr>
          <w:lang w:val="en_US" w:bidi="en_US"/>
        </w:rPr>
        <w:t>¶ They did as he said and seated everyone.</w:t>
      </w:r>
    </w:p>
    <w:p>
      <w:pPr>
        <w:pStyle w:val="ListBullet"/>
        <w:spacing w:line="240" w:lineRule="auto"/>
        <w:ind w:left="720"/>
      </w:pPr>
      <w:r>
        <w:rPr>
          <w:lang w:val="en_US" w:bidi="en_US"/>
        </w:rPr>
      </w:r>
      <w:r>
        <w:rPr>
          <w:lang w:val="en_US" w:bidi="en_US"/>
        </w:rPr>
        <w:t>¶ And/So that is what they did.</w:t>
      </w:r>
    </w:p>
    <w:p>
      <w:pPr/>
      <w:r>
        <w:rPr>
          <w:lang w:val="en_US" w:bidi="en_US"/>
        </w:rPr>
      </w:r>
      <w:r>
        <w:rPr>
          <w:b/>
          <w:lang w:val="en_US" w:bidi="en_US"/>
        </w:rPr>
        <w:t>They did so:</w:t>
      </w:r>
      <w:r>
        <w:rPr>
          <w:lang w:val="en_US" w:bidi="en_US"/>
        </w:rPr>
        <w:t xml:space="preserve"> The clause </w:t>
      </w:r>
      <w:r>
        <w:rPr>
          <w:i/>
          <w:lang w:val="en_US" w:bidi="en_US"/>
        </w:rPr>
        <w:t>They did so</w:t>
      </w:r>
      <w:r>
        <w:rPr>
          <w:lang w:val="en_US" w:bidi="en_US"/>
        </w:rPr>
        <w:t xml:space="preserve"> indicates that the disciples did what Jesus had told them to do and seated the people. Some versions, such as the NIV, repeat “the disciples” from 9:14b, but the Greek text has “they,” as in the BSB. Refer to the disciples here in a natural way in your language.</w:t>
      </w:r>
    </w:p>
    <w:p>
      <w:pPr/>
      <w:r>
        <w:rPr>
          <w:lang w:val="en_US" w:bidi="en_US"/>
        </w:rPr>
      </w:r>
      <w:r>
        <w:rPr>
          <w:b/>
          <w:lang w:val="en_US" w:bidi="en_US"/>
        </w:rPr>
        <w:t>and everyone was seated:</w:t>
      </w:r>
      <w:r>
        <w:rPr>
          <w:lang w:val="en_US" w:bidi="en_US"/>
        </w:rPr>
        <w:t xml:space="preserve"> This clause tells the result of the disciples telling the people to sit down. For example:</w:t>
      </w:r>
    </w:p>
    <w:p>
      <w:pPr/>
      <w:r>
        <w:rPr>
          <w:lang w:val="en_US" w:bidi="en_US"/>
        </w:rPr>
      </w:r>
      <w:r>
        <w:rPr>
          <w:lang w:val="en_US" w:bidi="en_US"/>
        </w:rPr>
        <w:t>So they did this. (GW)</w:t>
      </w:r>
    </w:p>
    <w:p>
      <w:pPr/>
      <w:r>
        <w:rPr>
          <w:lang w:val="en_US" w:bidi="en_US"/>
        </w:rPr>
      </w:r>
      <w:r>
        <w:rPr>
          <w:lang w:val="en_US" w:bidi="en_US"/>
        </w:rPr>
        <w:t xml:space="preserve">The word </w:t>
      </w:r>
      <w:r>
        <w:rPr>
          <w:i/>
          <w:lang w:val="en_US" w:bidi="en_US"/>
        </w:rPr>
        <w:t>everyone</w:t>
      </w:r>
      <w:r>
        <w:rPr>
          <w:lang w:val="en_US" w:bidi="en_US"/>
        </w:rPr>
        <w:t xml:space="preserve"> refers primarily to the five thousand men, but it includes everyone who was there. For example:</w:t>
      </w:r>
    </w:p>
    <w:p>
      <w:pPr/>
      <w:r>
        <w:rPr>
          <w:lang w:val="en_US" w:bidi="en_US"/>
        </w:rPr>
      </w:r>
      <w:r>
        <w:rPr>
          <w:lang w:val="en_US" w:bidi="en_US"/>
        </w:rPr>
        <w:t>and all the people sat down (CEV)</w:t>
      </w:r>
    </w:p>
    <w:p>
      <w:pPr>
        <w:pStyle w:val="Heading6"/>
      </w:pPr>
      <w:r>
        <w:rPr>
          <w:b/>
          <w:lang w:val="en_US" w:bidi="en_US"/>
        </w:rPr>
        <w:t>General Comment on 9:15</w:t>
      </w:r>
    </w:p>
    <w:p>
      <w:pPr/>
      <w:r>
        <w:rPr>
          <w:lang w:val="en_US" w:bidi="en_US"/>
        </w:rPr>
      </w:r>
      <w:r>
        <w:rPr>
          <w:lang w:val="en_US" w:bidi="en_US"/>
        </w:rPr>
        <w:t>In some languages it may be more natural to combine the two clauses of 9:15 into one clause. For example:</w:t>
      </w:r>
    </w:p>
    <w:p>
      <w:pPr/>
      <w:r>
        <w:rPr>
          <w:lang w:val="en_US" w:bidi="en_US"/>
        </w:rPr>
      </w:r>
      <w:r>
        <w:rPr>
          <w:lang w:val="en_US" w:bidi="en_US"/>
        </w:rPr>
        <w:t>After the disciples had done so (GNT)</w:t>
      </w:r>
      <w:r>
        <w:rPr>
          <w:lang w:val="en_US" w:bidi="en_US"/>
        </w:rPr>
      </w:r>
      <w:r>
        <w:rPr>
          <w:lang w:val="en_US" w:bidi="en_US"/>
        </w:rPr>
      </w:r>
    </w:p>
    <w:p>
      <w:pPr/>
      <w:r>
        <w:rPr>
          <w:lang w:val="en_US" w:bidi="en_US"/>
        </w:rPr>
      </w:r>
    </w:p>
    <w:p>
      <w:pPr>
        <w:pStyle w:val="Heading2"/>
      </w:pPr>
      <w:r>
        <w:rPr>
          <w:lang w:val="en_US" w:bidi="en_US"/>
        </w:rPr>
        <w:t>Luke 9:16</w:t>
      </w:r>
      <w:r>
        <w:rPr>
          <w:lang w:val="en_US" w:bidi="en_US"/>
        </w:rPr>
      </w:r>
    </w:p>
    <w:p>
      <w:pPr>
        <w:pStyle w:val="Heading4"/>
      </w:pPr>
      <w:r>
        <w:rPr>
          <w:lang w:val="en_US" w:bidi="en_US"/>
        </w:rPr>
        <w:t>Section 9:10–17: Jesus did a miracle to feed more than five thousand people</w:t>
      </w:r>
    </w:p>
    <w:p>
      <w:pPr/>
      <w:r>
        <w:rPr>
          <w:lang w:val="en_US" w:bidi="en_US"/>
        </w:rPr>
      </w:r>
      <w:r>
        <w:rPr>
          <w:lang w:val="en_US" w:bidi="en_US"/>
        </w:rPr>
        <w:t>Jesus taught the people about the kingdom of God and he healed many sick people. Then he fed all of the people by multiplying a small amount of bread and fish. This is the only miracle besides Jesus’ resurrection that all four Gospels record.</w:t>
      </w:r>
    </w:p>
    <w:p>
      <w:pPr/>
      <w:r>
        <w:rPr>
          <w:lang w:val="en_US" w:bidi="en_US"/>
        </w:rPr>
      </w:r>
      <w:r>
        <w:rPr>
          <w:lang w:val="en_US" w:bidi="en_US"/>
        </w:rPr>
        <w:t>Some other headings for this section are:</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There are parallel passages for this section in Matthew 14:13–21, Mark 6:30–44, and John 6:1–14.</w:t>
      </w:r>
    </w:p>
    <w:p>
      <w:pPr>
        <w:pStyle w:val="Heading5"/>
      </w:pPr>
      <w:r>
        <w:rPr>
          <w:lang w:val="en_US" w:bidi="en_US"/>
        </w:rPr>
        <w:t>9:16a</w:t>
      </w:r>
    </w:p>
    <w:p>
      <w:pPr/>
      <w:r>
        <w:rPr>
          <w:lang w:val="en_US" w:bidi="en_US"/>
        </w:rPr>
      </w:r>
      <w:r>
        <w:rPr>
          <w:b/>
          <w:lang w:val="en_US" w:bidi="en_US"/>
        </w:rPr>
        <w:t>Taking the five loaves and the two fish and looking up to heaven,</w:t>
      </w:r>
    </w:p>
    <w:p>
      <w:pPr>
        <w:pStyle w:val="ListBullet"/>
        <w:spacing w:line="240" w:lineRule="auto"/>
        <w:ind w:left="720"/>
      </w:pPr>
      <w:r>
        <w:rPr>
          <w:lang w:val="en_US" w:bidi="en_US"/>
        </w:rPr>
      </w:r>
      <w:r>
        <w:rPr>
          <w:lang w:val="en_US" w:bidi="en_US"/>
        </w:rPr>
        <w:t xml:space="preserve">Jesus took the five loaves </w:t>
      </w:r>
      <w:r>
        <w:rPr>
          <w:lang w:val="en_US" w:bidi="en_US"/>
        </w:rPr>
        <w:t>of bread</w:t>
      </w:r>
      <w:r>
        <w:rPr>
          <w:lang w:val="en_US" w:bidi="en_US"/>
        </w:rPr>
        <w:t xml:space="preserve"> and the two fish and looked up toward heaven.</w:t>
      </w:r>
    </w:p>
    <w:p>
      <w:pPr>
        <w:pStyle w:val="ListBullet"/>
        <w:spacing w:line="240" w:lineRule="auto"/>
        <w:ind w:left="720"/>
      </w:pPr>
      <w:r>
        <w:rPr>
          <w:lang w:val="en_US" w:bidi="en_US"/>
        </w:rPr>
      </w:r>
      <w:r>
        <w:rPr>
          <w:lang w:val="en_US" w:bidi="en_US"/>
        </w:rPr>
        <w:t>Then</w:t>
      </w:r>
      <w:r>
        <w:rPr>
          <w:lang w:val="en_US" w:bidi="en_US"/>
        </w:rPr>
        <w:t xml:space="preserve"> Jesus took/held </w:t>
      </w:r>
      <w:r>
        <w:rPr>
          <w:lang w:val="en_US" w:bidi="en_US"/>
        </w:rPr>
        <w:t>in his hands</w:t>
      </w:r>
      <w:r>
        <w:rPr>
          <w:lang w:val="en_US" w:bidi="en_US"/>
        </w:rPr>
        <w:t xml:space="preserve"> the five loaves </w:t>
      </w:r>
      <w:r>
        <w:rPr>
          <w:lang w:val="en_US" w:bidi="en_US"/>
        </w:rPr>
        <w:t>of bread</w:t>
      </w:r>
      <w:r>
        <w:rPr>
          <w:lang w:val="en_US" w:bidi="en_US"/>
        </w:rPr>
        <w:t xml:space="preserve"> and the two </w:t>
      </w:r>
      <w:r>
        <w:rPr>
          <w:lang w:val="en_US" w:bidi="en_US"/>
        </w:rPr>
        <w:t>dried/cooked</w:t>
      </w:r>
      <w:r>
        <w:rPr>
          <w:lang w:val="en_US" w:bidi="en_US"/>
        </w:rPr>
        <w:t xml:space="preserve"> fish. He looked up toward the sky.</w:t>
      </w:r>
    </w:p>
    <w:p>
      <w:pPr/>
      <w:r>
        <w:rPr>
          <w:lang w:val="en_US" w:bidi="en_US"/>
        </w:rPr>
      </w:r>
      <w:r>
        <w:rPr>
          <w:b/>
          <w:lang w:val="en_US" w:bidi="en_US"/>
        </w:rPr>
        <w:t>Taking the five loaves and the two fish:</w:t>
      </w:r>
      <w:r>
        <w:rPr>
          <w:lang w:val="en_US" w:bidi="en_US"/>
        </w:rPr>
        <w:t xml:space="preserve"> In this clause the subject changes to Jesus, after the disciples had seated the people. Someone probably handed the loaves and fish to Jesus, and he received them. Some other ways to translate this are:</w:t>
      </w:r>
    </w:p>
    <w:p>
      <w:pPr/>
      <w:r>
        <w:rPr>
          <w:lang w:val="en_US" w:bidi="en_US"/>
        </w:rPr>
      </w:r>
      <w:r>
        <w:rPr>
          <w:lang w:val="en_US" w:bidi="en_US"/>
        </w:rPr>
        <w:t>Jesus took the five loaves and two fish (GNT)</w:t>
      </w:r>
    </w:p>
    <w:p>
      <w:pPr/>
      <w:r>
        <w:rPr>
          <w:lang w:val="en_US" w:bidi="en_US"/>
        </w:rPr>
      </w:r>
      <w:r>
        <w:rPr>
          <w:lang w:val="en_US" w:bidi="en_US"/>
        </w:rPr>
        <w:t xml:space="preserve">Jesus held the five loaves and two fish </w:t>
      </w:r>
      <w:r>
        <w:rPr>
          <w:lang w:val="en_US" w:bidi="en_US"/>
        </w:rPr>
        <w:t>in his hands</w:t>
      </w:r>
    </w:p>
    <w:p>
      <w:pPr/>
      <w:r>
        <w:rPr>
          <w:lang w:val="en_US" w:bidi="en_US"/>
        </w:rPr>
      </w:r>
      <w:r>
        <w:rPr>
          <w:b/>
          <w:lang w:val="en_US" w:bidi="en_US"/>
        </w:rPr>
        <w:t>looking up to heaven:</w:t>
      </w:r>
      <w:r>
        <w:rPr>
          <w:lang w:val="en_US" w:bidi="en_US"/>
        </w:rPr>
        <w:t xml:space="preserve"> Jesus looked up to heaven because he was about to thank God. Jewish people commonly looked upward toward heaven while they were praying.</w:t>
      </w:r>
    </w:p>
    <w:p>
      <w:pPr/>
      <w:r>
        <w:rPr>
          <w:lang w:val="en_US" w:bidi="en_US"/>
        </w:rPr>
      </w:r>
      <w:r>
        <w:rPr>
          <w:b/>
          <w:lang w:val="en_US" w:bidi="en_US"/>
        </w:rPr>
        <w:t>heaven:</w:t>
      </w:r>
      <w:r>
        <w:rPr>
          <w:lang w:val="en_US" w:bidi="en_US"/>
        </w:rPr>
        <w:t xml:space="preserve"> The Greek word that the BSB translates as </w:t>
      </w:r>
      <w:r>
        <w:rPr>
          <w:i/>
          <w:lang w:val="en_US" w:bidi="en_US"/>
        </w:rPr>
        <w:t>heaven</w:t>
      </w:r>
      <w:r>
        <w:rPr>
          <w:lang w:val="en_US" w:bidi="en_US"/>
        </w:rPr>
        <w:t xml:space="preserve"> here refers to the sky as a symbol of God’s dwelling place. Since Jesus literally looked upward at the sky, you could translate the word </w:t>
      </w:r>
      <w:r>
        <w:rPr>
          <w:i/>
          <w:lang w:val="en_US" w:bidi="en_US"/>
        </w:rPr>
        <w:t>heaven</w:t>
      </w:r>
      <w:r>
        <w:rPr>
          <w:lang w:val="en_US" w:bidi="en_US"/>
        </w:rPr>
        <w:t xml:space="preserve"> here with the usual word for sky. You do not have to use a special term that refers to the place where God lives. See heaven in the Glossary.</w:t>
      </w:r>
    </w:p>
    <w:p>
      <w:pPr>
        <w:pStyle w:val="Heading5"/>
      </w:pPr>
      <w:r>
        <w:rPr>
          <w:lang w:val="en_US" w:bidi="en_US"/>
        </w:rPr>
        <w:t>9:16b</w:t>
      </w:r>
    </w:p>
    <w:p>
      <w:pPr/>
      <w:r>
        <w:rPr>
          <w:lang w:val="en_US" w:bidi="en_US"/>
        </w:rPr>
      </w:r>
      <w:r>
        <w:rPr>
          <w:b/>
          <w:lang w:val="en_US" w:bidi="en_US"/>
        </w:rPr>
        <w:t>Jesus spoke a blessing and broke them.</w:t>
      </w:r>
    </w:p>
    <w:p>
      <w:pPr>
        <w:pStyle w:val="ListBullet"/>
        <w:spacing w:line="240" w:lineRule="auto"/>
        <w:ind w:left="720"/>
      </w:pPr>
      <w:r>
        <w:rPr>
          <w:lang w:val="en_US" w:bidi="en_US"/>
        </w:rPr>
      </w:r>
      <w:r>
        <w:rPr>
          <w:lang w:val="en_US" w:bidi="en_US"/>
        </w:rPr>
        <w:t xml:space="preserve">He thanked </w:t>
      </w:r>
      <w:r>
        <w:rPr>
          <w:lang w:val="en_US" w:bidi="en_US"/>
        </w:rPr>
        <w:t>God</w:t>
      </w:r>
      <w:r>
        <w:rPr>
          <w:lang w:val="en_US" w:bidi="en_US"/>
        </w:rPr>
        <w:t xml:space="preserve"> and broke/tore </w:t>
      </w:r>
      <w:r>
        <w:rPr>
          <w:lang w:val="en_US" w:bidi="en_US"/>
        </w:rPr>
        <w:t>the bread and the fish</w:t>
      </w:r>
      <w:r>
        <w:rPr>
          <w:lang w:val="en_US" w:bidi="en_US"/>
        </w:rPr>
        <w:t xml:space="preserve"> into pieces.</w:t>
      </w:r>
    </w:p>
    <w:p>
      <w:pPr>
        <w:pStyle w:val="ListBullet"/>
        <w:spacing w:line="240" w:lineRule="auto"/>
        <w:ind w:left="720"/>
      </w:pPr>
      <w:r>
        <w:rPr>
          <w:lang w:val="en_US" w:bidi="en_US"/>
        </w:rPr>
      </w:r>
      <w:r>
        <w:rPr>
          <w:lang w:val="en_US" w:bidi="en_US"/>
        </w:rPr>
        <w:t>Then</w:t>
      </w:r>
      <w:r>
        <w:rPr>
          <w:lang w:val="en_US" w:bidi="en_US"/>
        </w:rPr>
        <w:t xml:space="preserve"> he thanked </w:t>
      </w:r>
      <w:r>
        <w:rPr>
          <w:lang w:val="en_US" w:bidi="en_US"/>
        </w:rPr>
        <w:t>God</w:t>
      </w:r>
      <w:r>
        <w:rPr>
          <w:lang w:val="en_US" w:bidi="en_US"/>
        </w:rPr>
        <w:t xml:space="preserve"> </w:t>
      </w:r>
      <w:r>
        <w:rPr>
          <w:lang w:val="en_US" w:bidi="en_US"/>
        </w:rPr>
        <w:t>for the food</w:t>
      </w:r>
      <w:r>
        <w:rPr>
          <w:lang w:val="en_US" w:bidi="en_US"/>
        </w:rPr>
        <w:t xml:space="preserve"> and divided/tore it into pieces.</w:t>
      </w:r>
    </w:p>
    <w:p>
      <w:pPr/>
      <w:r>
        <w:rPr>
          <w:lang w:val="en_US" w:bidi="en_US"/>
        </w:rPr>
      </w:r>
      <w:r>
        <w:rPr>
          <w:b/>
          <w:lang w:val="en_US" w:bidi="en_US"/>
        </w:rPr>
        <w:t>Jesus spoke a blessing:</w:t>
      </w:r>
      <w:r>
        <w:rPr>
          <w:lang w:val="en_US" w:bidi="en_US"/>
        </w:rPr>
        <w:t xml:space="preserve"> The Greek phrase that the BSB translates as </w:t>
      </w:r>
      <w:r>
        <w:rPr>
          <w:i/>
          <w:lang w:val="en_US" w:bidi="en_US"/>
        </w:rPr>
        <w:t>Jesus spoke a blessing</w:t>
      </w:r>
      <w:r>
        <w:rPr>
          <w:lang w:val="en_US" w:bidi="en_US"/>
        </w:rPr>
        <w:t xml:space="preserve"> is literally “he blessed them.” The word “them” refers to the loaves and fish. There are two ways to interpret the phrase “he blessed them” in this context:</w:t>
      </w:r>
    </w:p>
    <w:p>
      <w:pPr>
        <w:pStyle w:val="ListNumber"/>
        <w:numPr>
          <w:ilvl w:val="0"/>
          <w:numId w:val="188"/>
        </w:numPr>
        <w:spacing w:line="240" w:lineRule="auto"/>
        <w:ind w:left="720"/>
      </w:pPr>
      <w:r>
        <w:rPr>
          <w:lang w:val="en_US" w:bidi="en_US"/>
        </w:rPr>
      </w:r>
      <w:r>
        <w:rPr>
          <w:lang w:val="en_US" w:bidi="en_US"/>
        </w:rPr>
        <w:t xml:space="preserve">It refers to </w:t>
      </w:r>
      <w:r>
        <w:rPr>
          <w:u w:val="single"/>
          <w:lang w:val="en_US" w:bidi="en_US"/>
        </w:rPr>
        <w:t>thanking God</w:t>
      </w:r>
      <w:r>
        <w:rPr>
          <w:lang w:val="en_US" w:bidi="en_US"/>
        </w:rPr>
        <w:t xml:space="preserve"> for the food. For example:</w:t>
      </w:r>
      <w:r>
        <w:rPr>
          <w:lang w:val="en_US" w:bidi="en_US"/>
        </w:rPr>
        <w:t xml:space="preserve">he thanked God for the food (NCV) </w:t>
      </w:r>
      <w:r>
        <w:rPr>
          <w:i/>
          <w:lang w:val="en_US" w:bidi="en_US"/>
        </w:rPr>
        <w:t>(NIV, GNT, JBP, NET, NCV)</w:t>
      </w:r>
    </w:p>
    <w:p>
      <w:pPr>
        <w:pStyle w:val="ListNumber"/>
        <w:spacing w:line="240" w:lineRule="auto"/>
        <w:ind w:left="720"/>
      </w:pPr>
      <w:r>
        <w:rPr>
          <w:lang w:val="en_US" w:bidi="en_US"/>
        </w:rPr>
      </w:r>
      <w:r>
        <w:rPr>
          <w:lang w:val="en_US" w:bidi="en_US"/>
        </w:rPr>
        <w:t xml:space="preserve">It refers to </w:t>
      </w:r>
      <w:r>
        <w:rPr>
          <w:u w:val="single"/>
          <w:lang w:val="en_US" w:bidi="en_US"/>
        </w:rPr>
        <w:t>blessing</w:t>
      </w:r>
      <w:r>
        <w:rPr>
          <w:lang w:val="en_US" w:bidi="en_US"/>
        </w:rPr>
        <w:t xml:space="preserve"> the food. For example:</w:t>
      </w:r>
      <w:r>
        <w:rPr>
          <w:lang w:val="en_US" w:bidi="en_US"/>
        </w:rPr>
        <w:t xml:space="preserve">blessed the food (CEV) </w:t>
      </w:r>
      <w:r>
        <w:rPr>
          <w:i/>
          <w:lang w:val="en_US" w:bidi="en_US"/>
        </w:rPr>
        <w:t>(BSB, RSV, NLT, NASB, GW, CEV, REB, KJV, NJB)</w:t>
      </w:r>
    </w:p>
    <w:p>
      <w:pPr/>
      <w:r>
        <w:rPr>
          <w:lang w:val="en_US" w:bidi="en_US"/>
        </w:rPr>
      </w:r>
      <w:r>
        <w:rPr>
          <w:lang w:val="en_US" w:bidi="en_US"/>
        </w:rPr>
        <w:t>It is recommended that you follow interpretation (1). As a custom, Jews praised God and thanked him for the food that he provided for them. Another way to translate this is:</w:t>
      </w:r>
    </w:p>
    <w:p>
      <w:pPr/>
      <w:r>
        <w:rPr>
          <w:lang w:val="en_US" w:bidi="en_US"/>
        </w:rPr>
      </w:r>
      <w:r>
        <w:rPr>
          <w:lang w:val="en_US" w:bidi="en_US"/>
        </w:rPr>
        <w:t>He gave thanks to God for the food</w:t>
      </w:r>
    </w:p>
    <w:p>
      <w:pPr/>
      <w:r>
        <w:rPr>
          <w:lang w:val="en_US" w:bidi="en_US"/>
        </w:rPr>
      </w:r>
      <w:r>
        <w:rPr>
          <w:lang w:val="en_US" w:bidi="en_US"/>
        </w:rPr>
        <w:t xml:space="preserve">In some languages the meaning of </w:t>
      </w:r>
      <w:r>
        <w:rPr>
          <w:i/>
          <w:lang w:val="en_US" w:bidi="en_US"/>
        </w:rPr>
        <w:t>spoke a blessing</w:t>
      </w:r>
      <w:r>
        <w:rPr>
          <w:lang w:val="en_US" w:bidi="en_US"/>
        </w:rPr>
        <w:t xml:space="preserve"> needs to be expressed with a direct quote. For example:</w:t>
      </w:r>
    </w:p>
    <w:p>
      <w:pPr/>
      <w:r>
        <w:rPr>
          <w:lang w:val="en_US" w:bidi="en_US"/>
        </w:rPr>
      </w:r>
      <w:r>
        <w:rPr>
          <w:lang w:val="en_US" w:bidi="en_US"/>
        </w:rPr>
        <w:t>He said, “Thank you.”</w:t>
      </w:r>
    </w:p>
    <w:p>
      <w:pPr/>
      <w:r>
        <w:rPr>
          <w:lang w:val="en_US" w:bidi="en_US"/>
        </w:rPr>
      </w:r>
      <w:r>
        <w:rPr>
          <w:lang w:val="en_US" w:bidi="en_US"/>
        </w:rPr>
        <w:t>See bless, Meaning 5, in the Glossary.</w:t>
      </w:r>
    </w:p>
    <w:p>
      <w:pPr/>
      <w:r>
        <w:rPr>
          <w:lang w:val="en_US" w:bidi="en_US"/>
        </w:rPr>
      </w:r>
      <w:r>
        <w:rPr>
          <w:b/>
          <w:lang w:val="en_US" w:bidi="en_US"/>
        </w:rPr>
        <w:t>broke them:</w:t>
      </w:r>
      <w:r>
        <w:rPr>
          <w:lang w:val="en_US" w:bidi="en_US"/>
        </w:rPr>
        <w:t xml:space="preserve"> The Greek verb that the BSB translates as </w:t>
      </w:r>
      <w:r>
        <w:rPr>
          <w:i/>
          <w:lang w:val="en_US" w:bidi="en_US"/>
        </w:rPr>
        <w:t>broke them</w:t>
      </w:r>
      <w:r>
        <w:rPr>
          <w:lang w:val="en_US" w:bidi="en_US"/>
        </w:rPr>
        <w:t xml:space="preserve"> refers to tearing the bread and fish into pieces. This was the normal way that a meal was begun. Use a verb in your language that refers to dividing bread and fish into pieces.</w:t>
      </w:r>
    </w:p>
    <w:p>
      <w:pPr/>
      <w:r>
        <w:rPr>
          <w:lang w:val="en_US" w:bidi="en_US"/>
        </w:rPr>
      </w:r>
      <w:r>
        <w:rPr>
          <w:lang w:val="en_US" w:bidi="en_US"/>
        </w:rPr>
        <w:t xml:space="preserve">Some other ways to translate </w:t>
      </w:r>
      <w:r>
        <w:rPr>
          <w:i/>
          <w:lang w:val="en_US" w:bidi="en_US"/>
        </w:rPr>
        <w:t>broke them</w:t>
      </w:r>
      <w:r>
        <w:rPr>
          <w:lang w:val="en_US" w:bidi="en_US"/>
        </w:rPr>
        <w:t xml:space="preserve"> are:</w:t>
      </w:r>
    </w:p>
    <w:p>
      <w:pPr/>
      <w:r>
        <w:rPr>
          <w:lang w:val="en_US" w:bidi="en_US"/>
        </w:rPr>
      </w:r>
      <w:r>
        <w:rPr>
          <w:lang w:val="en_US" w:bidi="en_US"/>
        </w:rPr>
        <w:t>divided the food (NCV)</w:t>
      </w:r>
    </w:p>
    <w:p>
      <w:pPr/>
      <w:r>
        <w:rPr>
          <w:lang w:val="en_US" w:bidi="en_US"/>
        </w:rPr>
      </w:r>
      <w:r>
        <w:rPr>
          <w:lang w:val="en_US" w:bidi="en_US"/>
        </w:rPr>
        <w:t>tore the loaves and fish into portions</w:t>
      </w:r>
    </w:p>
    <w:p>
      <w:pPr>
        <w:pStyle w:val="Heading5"/>
      </w:pPr>
      <w:r>
        <w:rPr>
          <w:lang w:val="en_US" w:bidi="en_US"/>
        </w:rPr>
        <w:t>9:16c</w:t>
      </w:r>
    </w:p>
    <w:p>
      <w:pPr/>
      <w:r>
        <w:rPr>
          <w:lang w:val="en_US" w:bidi="en_US"/>
        </w:rPr>
      </w:r>
      <w:r>
        <w:rPr>
          <w:b/>
          <w:lang w:val="en_US" w:bidi="en_US"/>
        </w:rPr>
        <w:t>Then He gave them to the disciples to set before the people.</w:t>
      </w:r>
    </w:p>
    <w:p>
      <w:pPr>
        <w:pStyle w:val="ListBullet"/>
        <w:spacing w:line="240" w:lineRule="auto"/>
        <w:ind w:left="720"/>
      </w:pPr>
      <w:r>
        <w:rPr>
          <w:lang w:val="en_US" w:bidi="en_US"/>
        </w:rPr>
      </w:r>
      <w:r>
        <w:rPr>
          <w:lang w:val="en_US" w:bidi="en_US"/>
        </w:rPr>
        <w:t>Then he gave them to the disciples to give to the people.</w:t>
      </w:r>
    </w:p>
    <w:p>
      <w:pPr>
        <w:pStyle w:val="ListBullet"/>
        <w:spacing w:line="240" w:lineRule="auto"/>
        <w:ind w:left="720"/>
      </w:pPr>
      <w:r>
        <w:rPr>
          <w:lang w:val="en_US" w:bidi="en_US"/>
        </w:rPr>
      </w:r>
      <w:r>
        <w:rPr>
          <w:lang w:val="en_US" w:bidi="en_US"/>
        </w:rPr>
        <w:t xml:space="preserve">He handed it to </w:t>
      </w:r>
      <w:r>
        <w:rPr>
          <w:lang w:val="en_US" w:bidi="en_US"/>
        </w:rPr>
        <w:t>his twelve</w:t>
      </w:r>
      <w:r>
        <w:rPr>
          <w:lang w:val="en_US" w:bidi="en_US"/>
        </w:rPr>
        <w:t xml:space="preserve"> disciples/apostles and told them to serve/distribute it to the people.</w:t>
      </w:r>
    </w:p>
    <w:p>
      <w:pPr/>
      <w:r>
        <w:rPr>
          <w:lang w:val="en_US" w:bidi="en_US"/>
        </w:rPr>
      </w:r>
      <w:r>
        <w:rPr>
          <w:b/>
          <w:lang w:val="en_US" w:bidi="en_US"/>
        </w:rPr>
        <w:t>Then He gave them to the disciples:</w:t>
      </w:r>
      <w:r>
        <w:rPr>
          <w:lang w:val="en_US" w:bidi="en_US"/>
        </w:rPr>
        <w:t xml:space="preserve"> This clause indicates that Jesus handed the bread and fish to the disciples. In some languages it may be more natural to use a different verb rather than </w:t>
      </w:r>
      <w:r>
        <w:rPr>
          <w:i/>
          <w:lang w:val="en_US" w:bidi="en_US"/>
        </w:rPr>
        <w:t>gave</w:t>
      </w:r>
      <w:r>
        <w:rPr>
          <w:lang w:val="en_US" w:bidi="en_US"/>
        </w:rPr>
        <w:t xml:space="preserve"> here. For example:</w:t>
      </w:r>
    </w:p>
    <w:p>
      <w:pPr/>
      <w:r>
        <w:rPr>
          <w:lang w:val="en_US" w:bidi="en_US"/>
        </w:rPr>
      </w:r>
      <w:r>
        <w:rPr>
          <w:lang w:val="en_US" w:bidi="en_US"/>
        </w:rPr>
        <w:t>he…passed them to his disciples (JBP)</w:t>
      </w:r>
    </w:p>
    <w:p>
      <w:pPr/>
      <w:r>
        <w:rPr>
          <w:lang w:val="en_US" w:bidi="en_US"/>
        </w:rPr>
      </w:r>
      <w:r>
        <w:rPr>
          <w:lang w:val="en_US" w:bidi="en_US"/>
        </w:rPr>
        <w:t>he handed them to his disciples</w:t>
      </w:r>
    </w:p>
    <w:p>
      <w:pPr/>
      <w:r>
        <w:rPr>
          <w:lang w:val="en_US" w:bidi="en_US"/>
        </w:rPr>
      </w:r>
      <w:r>
        <w:rPr>
          <w:lang w:val="en_US" w:bidi="en_US"/>
        </w:rPr>
        <w:t>The form of the Greek verb may imply that Jesus did this action more than once. A few English versions make this explicit. For example:</w:t>
      </w:r>
    </w:p>
    <w:p>
      <w:pPr/>
      <w:r>
        <w:rPr>
          <w:lang w:val="en_US" w:bidi="en_US"/>
        </w:rPr>
      </w:r>
      <w:r>
        <w:rPr>
          <w:lang w:val="en_US" w:bidi="en_US"/>
        </w:rPr>
        <w:t>and kept giving them to the disciples (GW)</w:t>
      </w:r>
    </w:p>
    <w:p>
      <w:pPr/>
      <w:r>
        <w:rPr>
          <w:lang w:val="en_US" w:bidi="en_US"/>
        </w:rPr>
      </w:r>
      <w:r>
        <w:rPr>
          <w:b/>
          <w:lang w:val="en_US" w:bidi="en_US"/>
        </w:rPr>
        <w:t>to set before the people:</w:t>
      </w:r>
      <w:r>
        <w:rPr>
          <w:lang w:val="en_US" w:bidi="en_US"/>
        </w:rPr>
        <w:t xml:space="preserve"> This is a purpose clause. Jesus gave the bread and fish to his disciples </w:t>
      </w:r>
      <w:r>
        <w:rPr>
          <w:u w:val="single"/>
          <w:lang w:val="en_US" w:bidi="en_US"/>
        </w:rPr>
        <w:t>so that</w:t>
      </w:r>
      <w:r>
        <w:rPr>
          <w:lang w:val="en_US" w:bidi="en_US"/>
        </w:rPr>
        <w:t xml:space="preserve"> they would give it to the people.</w:t>
      </w:r>
    </w:p>
    <w:p>
      <w:pPr/>
      <w:r>
        <w:rPr>
          <w:lang w:val="en_US" w:bidi="en_US"/>
        </w:rPr>
      </w:r>
      <w:r>
        <w:rPr>
          <w:b/>
          <w:lang w:val="en_US" w:bidi="en_US"/>
        </w:rPr>
        <w:t>set before the people:</w:t>
      </w:r>
      <w:r>
        <w:rPr>
          <w:lang w:val="en_US" w:bidi="en_US"/>
        </w:rPr>
        <w:t xml:space="preserve"> The words </w:t>
      </w:r>
      <w:r>
        <w:rPr>
          <w:i/>
          <w:lang w:val="en_US" w:bidi="en_US"/>
        </w:rPr>
        <w:t>set before the people</w:t>
      </w:r>
      <w:r>
        <w:rPr>
          <w:lang w:val="en_US" w:bidi="en_US"/>
        </w:rPr>
        <w:t xml:space="preserve"> imply that the disciples should go to the groups of people to give them the bread and fish. Some other ways to translate this are:</w:t>
      </w:r>
    </w:p>
    <w:p>
      <w:pPr/>
      <w:r>
        <w:rPr>
          <w:lang w:val="en_US" w:bidi="en_US"/>
        </w:rPr>
      </w:r>
      <w:r>
        <w:rPr>
          <w:lang w:val="en_US" w:bidi="en_US"/>
        </w:rPr>
        <w:t>to distribute to the people (GNT)</w:t>
      </w:r>
    </w:p>
    <w:p>
      <w:pPr/>
      <w:r>
        <w:rPr>
          <w:lang w:val="en_US" w:bidi="en_US"/>
        </w:rPr>
      </w:r>
      <w:r>
        <w:rPr>
          <w:lang w:val="en_US" w:bidi="en_US"/>
        </w:rPr>
        <w:t>to give to the people (NCV)</w:t>
      </w:r>
    </w:p>
    <w:p>
      <w:pPr/>
      <w:r>
        <w:rPr>
          <w:lang w:val="en_US" w:bidi="en_US"/>
        </w:rPr>
      </w:r>
      <w:r>
        <w:rPr>
          <w:lang w:val="en_US" w:bidi="en_US"/>
        </w:rPr>
        <w:t>You may need to put implied information after this to show that the disciples did give the food to the people. For example:</w:t>
      </w:r>
    </w:p>
    <w:p>
      <w:pPr/>
      <w:r>
        <w:rPr>
          <w:lang w:val="en_US" w:bidi="en_US"/>
        </w:rPr>
      </w:r>
      <w:r>
        <w:rPr>
          <w:lang w:val="en_US" w:bidi="en_US"/>
        </w:rPr>
        <w:t>The disciples did this.</w:t>
      </w:r>
    </w:p>
    <w:p>
      <w:pPr>
        <w:pStyle w:val="Heading6"/>
      </w:pPr>
      <w:r>
        <w:rPr>
          <w:b/>
          <w:lang w:val="en_US" w:bidi="en_US"/>
        </w:rPr>
        <w:t>General Comment on 9:16a–c</w:t>
      </w:r>
    </w:p>
    <w:p>
      <w:pPr/>
      <w:r>
        <w:rPr>
          <w:lang w:val="en_US" w:bidi="en_US"/>
        </w:rPr>
      </w:r>
      <w:r>
        <w:rPr>
          <w:lang w:val="en_US" w:bidi="en_US"/>
        </w:rPr>
        <w:t>In Greek this verse is one long sentence. In some languages it may be natural to break the sentence up even more than the BSB has done. For example:</w:t>
      </w:r>
    </w:p>
    <w:p>
      <w:pPr/>
      <w:r>
        <w:rPr>
          <w:lang w:val="en_US" w:bidi="en_US"/>
        </w:rPr>
      </w:r>
      <w:r>
        <w:rPr>
          <w:lang w:val="en_US" w:bidi="en_US"/>
        </w:rPr>
        <w:t xml:space="preserve">Jesus took the five loaves and the two fish. He looked up to heaven and thanked God for the food. Then he began to break </w:t>
      </w:r>
      <w:r>
        <w:rPr>
          <w:lang w:val="en_US" w:bidi="en_US"/>
        </w:rPr>
        <w:t>the bread and fish</w:t>
      </w:r>
      <w:r>
        <w:rPr>
          <w:lang w:val="en_US" w:bidi="en_US"/>
        </w:rPr>
        <w:t xml:space="preserve"> </w:t>
      </w:r>
      <w:r>
        <w:rPr>
          <w:lang w:val="en_US" w:bidi="en_US"/>
        </w:rPr>
        <w:t>into pieces</w:t>
      </w:r>
      <w:r>
        <w:rPr>
          <w:lang w:val="en_US" w:bidi="en_US"/>
        </w:rPr>
        <w:t>. Then he gave them to the disciples to give to the people.</w:t>
      </w:r>
      <w:r>
        <w:rPr>
          <w:lang w:val="en_US" w:bidi="en_US"/>
        </w:rPr>
      </w:r>
      <w:r>
        <w:rPr>
          <w:lang w:val="en_US" w:bidi="en_US"/>
        </w:rPr>
      </w:r>
    </w:p>
    <w:p>
      <w:pPr/>
      <w:r>
        <w:rPr>
          <w:lang w:val="en_US" w:bidi="en_US"/>
        </w:rPr>
      </w:r>
    </w:p>
    <w:p>
      <w:pPr>
        <w:pStyle w:val="Heading2"/>
      </w:pPr>
      <w:r>
        <w:rPr>
          <w:lang w:val="en_US" w:bidi="en_US"/>
        </w:rPr>
        <w:t>Luke 9:17</w:t>
      </w:r>
      <w:r>
        <w:rPr>
          <w:lang w:val="en_US" w:bidi="en_US"/>
        </w:rPr>
      </w:r>
    </w:p>
    <w:p>
      <w:pPr>
        <w:pStyle w:val="Heading4"/>
      </w:pPr>
      <w:r>
        <w:rPr>
          <w:lang w:val="en_US" w:bidi="en_US"/>
        </w:rPr>
        <w:t>Section 9:10–17: Jesus did a miracle to feed more than five thousand people</w:t>
      </w:r>
    </w:p>
    <w:p>
      <w:pPr/>
      <w:r>
        <w:rPr>
          <w:lang w:val="en_US" w:bidi="en_US"/>
        </w:rPr>
      </w:r>
      <w:r>
        <w:rPr>
          <w:lang w:val="en_US" w:bidi="en_US"/>
        </w:rPr>
        <w:t>Jesus taught the people about the kingdom of God and he healed many sick people. Then he fed all of the people by multiplying a small amount of bread and fish. This is the only miracle besides Jesus’ resurrection that all four Gospels record.</w:t>
      </w:r>
    </w:p>
    <w:p>
      <w:pPr/>
      <w:r>
        <w:rPr>
          <w:lang w:val="en_US" w:bidi="en_US"/>
        </w:rPr>
      </w:r>
      <w:r>
        <w:rPr>
          <w:lang w:val="en_US" w:bidi="en_US"/>
        </w:rPr>
        <w:t>Some other headings for this section are:</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There are parallel passages for this section in Matthew 14:13–21, Mark 6:30–44, and John 6:1–14.</w:t>
      </w:r>
    </w:p>
    <w:p>
      <w:pPr>
        <w:pStyle w:val="Heading5"/>
      </w:pPr>
      <w:r>
        <w:rPr>
          <w:lang w:val="en_US" w:bidi="en_US"/>
        </w:rPr>
        <w:t>9:17a</w:t>
      </w:r>
    </w:p>
    <w:p>
      <w:pPr/>
      <w:r>
        <w:rPr>
          <w:lang w:val="en_US" w:bidi="en_US"/>
        </w:rPr>
      </w:r>
      <w:r>
        <w:rPr>
          <w:b/>
          <w:lang w:val="en_US" w:bidi="en_US"/>
        </w:rPr>
        <w:t>They all ate and were satisfied,</w:t>
      </w:r>
    </w:p>
    <w:p>
      <w:pPr>
        <w:pStyle w:val="ListBullet"/>
        <w:spacing w:line="240" w:lineRule="auto"/>
        <w:ind w:left="720"/>
      </w:pPr>
      <w:r>
        <w:rPr>
          <w:lang w:val="en_US" w:bidi="en_US"/>
        </w:rPr>
      </w:r>
      <w:r>
        <w:rPr>
          <w:lang w:val="en_US" w:bidi="en_US"/>
        </w:rPr>
        <w:t>They all ate as much as they wanted. (NJB)</w:t>
      </w:r>
    </w:p>
    <w:p>
      <w:pPr>
        <w:pStyle w:val="ListBullet"/>
        <w:spacing w:line="240" w:lineRule="auto"/>
        <w:ind w:left="720"/>
      </w:pPr>
      <w:r>
        <w:rPr>
          <w:lang w:val="en_US" w:bidi="en_US"/>
        </w:rPr>
      </w:r>
      <w:r>
        <w:rPr>
          <w:lang w:val="en_US" w:bidi="en_US"/>
        </w:rPr>
        <w:t xml:space="preserve">Everyone ate all </w:t>
      </w:r>
      <w:r>
        <w:rPr>
          <w:lang w:val="en_US" w:bidi="en_US"/>
        </w:rPr>
        <w:t>the bread and fish</w:t>
      </w:r>
      <w:r>
        <w:rPr>
          <w:lang w:val="en_US" w:bidi="en_US"/>
        </w:rPr>
        <w:t xml:space="preserve"> that they wanted.</w:t>
      </w:r>
    </w:p>
    <w:p>
      <w:pPr>
        <w:pStyle w:val="ListBullet"/>
        <w:spacing w:line="240" w:lineRule="auto"/>
        <w:ind w:left="720"/>
      </w:pPr>
      <w:r>
        <w:rPr>
          <w:lang w:val="en_US" w:bidi="en_US"/>
        </w:rPr>
      </w:r>
      <w:r>
        <w:rPr>
          <w:lang w:val="en_US" w:bidi="en_US"/>
        </w:rPr>
        <w:t>Everyone ate until they were full.</w:t>
      </w:r>
    </w:p>
    <w:p>
      <w:pPr/>
      <w:r>
        <w:rPr>
          <w:lang w:val="en_US" w:bidi="en_US"/>
        </w:rPr>
      </w:r>
      <w:r>
        <w:rPr>
          <w:b/>
          <w:lang w:val="en_US" w:bidi="en_US"/>
        </w:rPr>
        <w:t>They all ate and were satisfied:</w:t>
      </w:r>
      <w:r>
        <w:rPr>
          <w:lang w:val="en_US" w:bidi="en_US"/>
        </w:rPr>
        <w:t xml:space="preserve"> The Greek words that the BSB translates as </w:t>
      </w:r>
      <w:r>
        <w:rPr>
          <w:i/>
          <w:lang w:val="en_US" w:bidi="en_US"/>
        </w:rPr>
        <w:t>all ate and were satisfied</w:t>
      </w:r>
      <w:r>
        <w:rPr>
          <w:lang w:val="en_US" w:bidi="en_US"/>
        </w:rPr>
        <w:t xml:space="preserve"> means that the whole crowd of people had all the food that they wanted to eat. Other ways to translate this are:</w:t>
      </w:r>
    </w:p>
    <w:p>
      <w:pPr/>
      <w:r>
        <w:rPr>
          <w:lang w:val="en_US" w:bidi="en_US"/>
        </w:rPr>
      </w:r>
      <w:r>
        <w:rPr>
          <w:lang w:val="en_US" w:bidi="en_US"/>
        </w:rPr>
        <w:t>They all ate and had enough (GNT)</w:t>
      </w:r>
    </w:p>
    <w:p>
      <w:pPr/>
      <w:r>
        <w:rPr>
          <w:lang w:val="en_US" w:bidi="en_US"/>
        </w:rPr>
      </w:r>
      <w:r>
        <w:rPr>
          <w:lang w:val="en_US" w:bidi="en_US"/>
        </w:rPr>
        <w:t>They all ate as much as they wanted (NJB)</w:t>
      </w:r>
    </w:p>
    <w:p>
      <w:pPr/>
      <w:r>
        <w:rPr>
          <w:lang w:val="en_US" w:bidi="en_US"/>
        </w:rPr>
      </w:r>
      <w:r>
        <w:rPr>
          <w:lang w:val="en_US" w:bidi="en_US"/>
        </w:rPr>
        <w:t>In some languages it may be necessary to make it clear that the people were able to do this because there was sufficient food:</w:t>
      </w:r>
    </w:p>
    <w:p>
      <w:pPr/>
      <w:r>
        <w:rPr>
          <w:lang w:val="en_US" w:bidi="en_US"/>
        </w:rPr>
      </w:r>
      <w:r>
        <w:rPr>
          <w:lang w:val="en_US" w:bidi="en_US"/>
        </w:rPr>
        <w:t>There was enough food for</w:t>
      </w:r>
      <w:r>
        <w:rPr>
          <w:lang w:val="en_US" w:bidi="en_US"/>
        </w:rPr>
        <w:t xml:space="preserve"> everyone to eat and be satisfied.</w:t>
      </w:r>
    </w:p>
    <w:p>
      <w:pPr>
        <w:pStyle w:val="Heading5"/>
      </w:pPr>
      <w:r>
        <w:rPr>
          <w:lang w:val="en_US" w:bidi="en_US"/>
        </w:rPr>
        <w:t>9:17b</w:t>
      </w:r>
    </w:p>
    <w:p>
      <w:pPr/>
      <w:r>
        <w:rPr>
          <w:lang w:val="en_US" w:bidi="en_US"/>
        </w:rPr>
      </w:r>
      <w:r>
        <w:rPr>
          <w:b/>
          <w:lang w:val="en_US" w:bidi="en_US"/>
        </w:rPr>
        <w:t>and the disciples picked up twelve basketfuls of broken pieces that were left over.</w:t>
      </w:r>
    </w:p>
    <w:p>
      <w:pPr>
        <w:pStyle w:val="ListBullet"/>
        <w:spacing w:line="240" w:lineRule="auto"/>
        <w:ind w:left="720"/>
      </w:pPr>
      <w:r>
        <w:rPr>
          <w:lang w:val="en_US" w:bidi="en_US"/>
        </w:rPr>
      </w:r>
      <w:r>
        <w:rPr>
          <w:lang w:val="en_US" w:bidi="en_US"/>
        </w:rPr>
        <w:t>And the disciples picked up the broken pieces of leftover food and filled twelve baskets with them.</w:t>
      </w:r>
    </w:p>
    <w:p>
      <w:pPr>
        <w:pStyle w:val="ListBullet"/>
        <w:spacing w:line="240" w:lineRule="auto"/>
        <w:ind w:left="720"/>
      </w:pPr>
      <w:r>
        <w:rPr>
          <w:lang w:val="en_US" w:bidi="en_US"/>
        </w:rPr>
      </w:r>
      <w:r>
        <w:rPr>
          <w:lang w:val="en_US" w:bidi="en_US"/>
        </w:rPr>
        <w:t>Afterwards</w:t>
      </w:r>
      <w:r>
        <w:rPr>
          <w:lang w:val="en_US" w:bidi="en_US"/>
        </w:rPr>
        <w:t xml:space="preserve"> the disciples/apostles filled twelve baskets with all the pieces of fish and bread that no one had eaten.</w:t>
      </w:r>
    </w:p>
    <w:p>
      <w:pPr>
        <w:pStyle w:val="ListBullet"/>
        <w:spacing w:line="240" w:lineRule="auto"/>
        <w:ind w:left="720"/>
      </w:pPr>
      <w:r>
        <w:rPr>
          <w:lang w:val="en_US" w:bidi="en_US"/>
        </w:rPr>
      </w:r>
      <w:r>
        <w:rPr>
          <w:lang w:val="en_US" w:bidi="en_US"/>
        </w:rPr>
        <w:t>After everyone had eaten,</w:t>
      </w:r>
      <w:r>
        <w:rPr>
          <w:lang w:val="en_US" w:bidi="en_US"/>
        </w:rPr>
        <w:t xml:space="preserve"> the pieces of food that were left over were collected. There was enough food to fill twelve baskets.</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the next action in the story. It may be natural in some languages to begin a new sentence here. It may also be natural to include a time word or phrase. For example:</w:t>
      </w:r>
    </w:p>
    <w:p>
      <w:pPr/>
      <w:r>
        <w:rPr>
          <w:lang w:val="en_US" w:bidi="en_US"/>
        </w:rPr>
      </w:r>
      <w:r>
        <w:rPr>
          <w:lang w:val="en_US" w:bidi="en_US"/>
        </w:rPr>
        <w:t>Then</w:t>
      </w:r>
    </w:p>
    <w:p>
      <w:pPr/>
      <w:r>
        <w:rPr>
          <w:lang w:val="en_US" w:bidi="en_US"/>
        </w:rPr>
      </w:r>
      <w:r>
        <w:rPr>
          <w:lang w:val="en_US" w:bidi="en_US"/>
        </w:rPr>
        <w:t>and afterward (NLT)</w:t>
      </w:r>
    </w:p>
    <w:p>
      <w:pPr/>
      <w:r>
        <w:rPr>
          <w:lang w:val="en_US" w:bidi="en_US"/>
        </w:rPr>
      </w:r>
      <w:r>
        <w:rPr>
          <w:lang w:val="en_US" w:bidi="en_US"/>
        </w:rPr>
        <w:t>After they were finished eating</w:t>
      </w:r>
    </w:p>
    <w:p>
      <w:pPr/>
      <w:r>
        <w:rPr>
          <w:lang w:val="en_US" w:bidi="en_US"/>
        </w:rPr>
      </w:r>
      <w:r>
        <w:rPr>
          <w:b/>
          <w:lang w:val="en_US" w:bidi="en_US"/>
        </w:rPr>
        <w:t>the disciples picked up:</w:t>
      </w:r>
      <w:r>
        <w:rPr>
          <w:lang w:val="en_US" w:bidi="en_US"/>
        </w:rPr>
        <w:t xml:space="preserve"> The Greek verb that the BSB translates as </w:t>
      </w:r>
      <w:r>
        <w:rPr>
          <w:i/>
          <w:lang w:val="en_US" w:bidi="en_US"/>
        </w:rPr>
        <w:t>the disciples picked up</w:t>
      </w:r>
      <w:r>
        <w:rPr>
          <w:lang w:val="en_US" w:bidi="en_US"/>
        </w:rPr>
        <w:t xml:space="preserve"> is literally “was-picked-up.” It is a passive verb. It implies that someone/people picked up the leftover food. In this context it was the disciples who picked up this food, as Mark 8:19 indicates. Some ways to translate this are:</w:t>
      </w:r>
    </w:p>
    <w:p>
      <w:pPr>
        <w:pStyle w:val="ListBullet"/>
        <w:spacing w:line="240" w:lineRule="auto"/>
        <w:ind w:left="720"/>
      </w:pPr>
      <w:r>
        <w:rPr>
          <w:lang w:val="en_US" w:bidi="en_US"/>
        </w:rPr>
      </w:r>
      <w:r>
        <w:rPr>
          <w:lang w:val="en_US" w:bidi="en_US"/>
        </w:rPr>
        <w:t>As a passive clause. For example:</w:t>
      </w:r>
      <w:r>
        <w:rPr>
          <w:lang w:val="en_US" w:bidi="en_US"/>
        </w:rPr>
        <w:t>What was left over was gathered up (NCV)</w:t>
      </w:r>
    </w:p>
    <w:p>
      <w:pPr>
        <w:pStyle w:val="ListBullet"/>
        <w:spacing w:line="240" w:lineRule="auto"/>
        <w:ind w:left="720"/>
      </w:pPr>
      <w:r>
        <w:rPr>
          <w:lang w:val="en_US" w:bidi="en_US"/>
        </w:rPr>
      </w:r>
      <w:r>
        <w:rPr>
          <w:lang w:val="en_US" w:bidi="en_US"/>
        </w:rPr>
        <w:t>As an active clause. For example:</w:t>
      </w:r>
      <w:r>
        <w:rPr>
          <w:lang w:val="en_US" w:bidi="en_US"/>
        </w:rPr>
        <w:t>the disciples took up twelve baskets of what was left over (GNT)</w:t>
      </w:r>
      <w:r>
        <w:rPr>
          <w:lang w:val="en_US" w:bidi="en_US"/>
        </w:rPr>
        <w:t>What was left over filled twelve baskets. (CEV)</w:t>
      </w:r>
      <w:r>
        <w:rPr>
          <w:lang w:val="en_US" w:bidi="en_US"/>
        </w:rPr>
        <w:t>they picked up the leftover pieces (GW)</w:t>
      </w:r>
    </w:p>
    <w:p>
      <w:pPr/>
      <w:r>
        <w:rPr>
          <w:lang w:val="en_US" w:bidi="en_US"/>
        </w:rPr>
      </w:r>
      <w:r>
        <w:rPr>
          <w:lang w:val="en_US" w:bidi="en_US"/>
        </w:rPr>
        <w:t>Express this in the way that is most natural in your language.</w:t>
      </w:r>
    </w:p>
    <w:p>
      <w:pPr/>
      <w:r>
        <w:rPr>
          <w:lang w:val="en_US" w:bidi="en_US"/>
        </w:rPr>
      </w:r>
      <w:r>
        <w:rPr>
          <w:b/>
          <w:lang w:val="en_US" w:bidi="en_US"/>
        </w:rPr>
        <w:t>picked up:</w:t>
      </w:r>
      <w:r>
        <w:rPr>
          <w:lang w:val="en_US" w:bidi="en_US"/>
        </w:rPr>
        <w:t xml:space="preserve"> The Greek word that the BSB translates as </w:t>
      </w:r>
      <w:r>
        <w:rPr>
          <w:i/>
          <w:lang w:val="en_US" w:bidi="en_US"/>
        </w:rPr>
        <w:t>picked up</w:t>
      </w:r>
      <w:r>
        <w:rPr>
          <w:lang w:val="en_US" w:bidi="en_US"/>
        </w:rPr>
        <w:t xml:space="preserve"> means to lift up and carry away. In this context it probably indicates that the disciples gathered or collected pieces of uneaten food from the crowd. It probably does not refer to crumbs being picked up from the ground.</w:t>
      </w:r>
    </w:p>
    <w:p>
      <w:pPr/>
      <w:r>
        <w:rPr>
          <w:lang w:val="en_US" w:bidi="en_US"/>
        </w:rPr>
      </w:r>
      <w:r>
        <w:rPr>
          <w:lang w:val="en_US" w:bidi="en_US"/>
        </w:rPr>
        <w:t>Some other ways to translate this are:</w:t>
      </w:r>
    </w:p>
    <w:p>
      <w:pPr/>
      <w:r>
        <w:rPr>
          <w:lang w:val="en_US" w:bidi="en_US"/>
        </w:rPr>
      </w:r>
      <w:r>
        <w:rPr>
          <w:lang w:val="en_US" w:bidi="en_US"/>
        </w:rPr>
        <w:t>gathered up (NCV)</w:t>
      </w:r>
    </w:p>
    <w:p>
      <w:pPr/>
      <w:r>
        <w:rPr>
          <w:lang w:val="en_US" w:bidi="en_US"/>
        </w:rPr>
      </w:r>
      <w:r>
        <w:rPr>
          <w:lang w:val="en_US" w:bidi="en_US"/>
        </w:rPr>
        <w:t>collected (NJB)</w:t>
      </w:r>
    </w:p>
    <w:p>
      <w:pPr/>
      <w:r>
        <w:rPr>
          <w:lang w:val="en_US" w:bidi="en_US"/>
        </w:rPr>
      </w:r>
      <w:r>
        <w:rPr>
          <w:b/>
          <w:lang w:val="en_US" w:bidi="en_US"/>
        </w:rPr>
        <w:t>twelve basketfuls:</w:t>
      </w:r>
      <w:r>
        <w:rPr>
          <w:lang w:val="en_US" w:bidi="en_US"/>
        </w:rPr>
        <w:t xml:space="preserve"> The amount of food that the disciples collected was enough to fill twelve baskets. We do not know what kind of baskets they used. They may have been small wicker baskets normally used by travelers or larger baskets used to carry produce to and from the marketplace.</w:t>
      </w:r>
      <w:r>
        <w:rPr>
          <w:lang w:val="en_US" w:bidi="en_US"/>
        </w:rPr>
        <w:t xml:space="preserve">BDAG (p. 563) and Louw &amp; Nida (p. 71) define </w:t>
      </w:r>
      <w:r>
        <w:rPr>
          <w:i/>
          <w:lang w:val="en_US" w:bidi="en_US"/>
        </w:rPr>
        <w:t>kophinos</w:t>
      </w:r>
      <w:r>
        <w:rPr>
          <w:lang w:val="en_US" w:bidi="en_US"/>
        </w:rPr>
        <w:t xml:space="preserve"> as a large basket for carrying food and produce. Marshall (p. 363) also understands this to be large basket, as do the following commentators on Mark: France (p. 268), Swete (p. 135), and Taylor (p. 325). Lenski (p. 509) takes this basket to refer to a basket that was normally used by Jewish laborers and travelers to carry their food and other essentials during the day. It seems unlikely that the crowd would have run from the various towns along the lake carrying large produce baskets. If these were large baskets, they may have been in the boat used by Jesus and his disciples.</w:t>
      </w:r>
      <w:r>
        <w:rPr>
          <w:lang w:val="en_US" w:bidi="en_US"/>
        </w:rPr>
        <w:t xml:space="preserve"> If possible, use a general word for “basket.”</w:t>
      </w:r>
    </w:p>
    <w:p>
      <w:pPr/>
      <w:r>
        <w:rPr>
          <w:lang w:val="en_US" w:bidi="en_US"/>
        </w:rPr>
      </w:r>
      <w:r>
        <w:rPr>
          <w:lang w:val="en_US" w:bidi="en_US"/>
        </w:rPr>
        <w:t>If you need to use a specific word, use a word that refers to a medium-sized basket suitable for carrying food.</w:t>
      </w:r>
    </w:p>
    <w:p>
      <w:pPr/>
      <w:r>
        <w:rPr>
          <w:lang w:val="en_US" w:bidi="en_US"/>
        </w:rPr>
      </w:r>
      <w:r>
        <w:rPr>
          <w:b/>
          <w:lang w:val="en_US" w:bidi="en_US"/>
        </w:rPr>
        <w:t>of broken pieces that were left over:</w:t>
      </w:r>
      <w:r>
        <w:rPr>
          <w:lang w:val="en_US" w:bidi="en_US"/>
        </w:rPr>
        <w:t xml:space="preserve"> The phrase </w:t>
      </w:r>
      <w:r>
        <w:rPr>
          <w:i/>
          <w:lang w:val="en_US" w:bidi="en_US"/>
        </w:rPr>
        <w:t>broken pieces that were left over</w:t>
      </w:r>
      <w:r>
        <w:rPr>
          <w:lang w:val="en_US" w:bidi="en_US"/>
        </w:rPr>
        <w:t xml:space="preserve"> refers here to the pieces of food that remained after everyone had eaten. There was so much food that people could not eat it all. In some languages the phrase </w:t>
      </w:r>
      <w:r>
        <w:rPr>
          <w:i/>
          <w:lang w:val="en_US" w:bidi="en_US"/>
        </w:rPr>
        <w:t>broken pieces</w:t>
      </w:r>
      <w:r>
        <w:rPr>
          <w:lang w:val="en_US" w:bidi="en_US"/>
        </w:rPr>
        <w:t xml:space="preserve"> may be understood without being stated explicitly. For example:</w:t>
      </w:r>
    </w:p>
    <w:p>
      <w:pPr/>
      <w:r>
        <w:rPr>
          <w:lang w:val="en_US" w:bidi="en_US"/>
        </w:rPr>
      </w:r>
      <w:r>
        <w:rPr>
          <w:lang w:val="en_US" w:bidi="en_US"/>
        </w:rPr>
        <w:t>what was left over (GNT)</w:t>
      </w:r>
    </w:p>
    <w:p>
      <w:pPr/>
      <w:r>
        <w:rPr>
          <w:lang w:val="en_US" w:bidi="en_US"/>
        </w:rPr>
      </w:r>
      <w:r>
        <w:rPr>
          <w:lang w:val="en_US" w:bidi="en_US"/>
        </w:rPr>
        <w:t>leftovers (NLT)</w:t>
      </w:r>
      <w:r>
        <w:rPr>
          <w:lang w:val="en_US" w:bidi="en_US"/>
        </w:rPr>
      </w:r>
      <w:r>
        <w:rPr>
          <w:lang w:val="en_US" w:bidi="en_US"/>
        </w:rPr>
      </w:r>
    </w:p>
    <w:p>
      <w:pPr/>
      <w:r>
        <w:rPr>
          <w:lang w:val="en_US" w:bidi="en_US"/>
        </w:rPr>
      </w:r>
    </w:p>
    <w:p>
      <w:pPr>
        <w:pStyle w:val="Heading2"/>
      </w:pPr>
      <w:r>
        <w:rPr>
          <w:lang w:val="en_US" w:bidi="en_US"/>
        </w:rPr>
        <w:t>Luke 9:18</w:t>
      </w:r>
      <w:r>
        <w:rPr>
          <w:lang w:val="en_US" w:bidi="en_US"/>
        </w:rPr>
      </w:r>
    </w:p>
    <w:p>
      <w:pPr>
        <w:pStyle w:val="Heading4"/>
      </w:pPr>
      <w:r>
        <w:rPr>
          <w:lang w:val="en_US" w:bidi="en_US"/>
        </w:rPr>
        <w:t>Section 9:18–22: Peter declared that Jesus is the Christ</w:t>
      </w:r>
    </w:p>
    <w:p>
      <w:pPr/>
      <w:r>
        <w:rPr>
          <w:lang w:val="en_US" w:bidi="en_US"/>
        </w:rPr>
      </w:r>
      <w:r>
        <w:rPr>
          <w:lang w:val="en_US" w:bidi="en_US"/>
        </w:rPr>
        <w:t>In Section 9:7–9, Herod was confused about what kind of person Jesus was. In Section 9:10–17, when Jesus fed more than five thousand people, he showed that he was someone with miraculous power. In this Section, 9:18–22, Jesus asked his disciples what people were saying about who he was. This question implies that he wanted to know whether people thought that God had sent him. He also wanted to know what they thought his mission was. Their answers were very similar to the reports that Herod had heard in 9:7–9.</w:t>
      </w:r>
    </w:p>
    <w:p>
      <w:pPr/>
      <w:r>
        <w:rPr>
          <w:lang w:val="en_US" w:bidi="en_US"/>
        </w:rPr>
      </w:r>
      <w:r>
        <w:rPr>
          <w:lang w:val="en_US" w:bidi="en_US"/>
        </w:rPr>
        <w:t>Jesus then asked the disciples what they themselves thought about him. Peter replied that Jesus was the Christ, the Messiah. Jesus ordered them not to tell others who he was. He explained to the disciples what would happen to him as the Messiah. In contrast to what the disciples thought that Jesus would do as their Messiah, God planned for him to suffer, die, and live again.</w:t>
      </w:r>
    </w:p>
    <w:p>
      <w:pPr/>
      <w:r>
        <w:rPr>
          <w:lang w:val="en_US" w:bidi="en_US"/>
        </w:rPr>
      </w:r>
      <w:r>
        <w:rPr>
          <w:lang w:val="en_US" w:bidi="en_US"/>
        </w:rPr>
        <w:t>It is good to translate this section before you decide on a heading for it. Some other headings for this section are:</w:t>
      </w:r>
    </w:p>
    <w:p>
      <w:pPr/>
      <w:r>
        <w:rPr>
          <w:lang w:val="en_US" w:bidi="en_US"/>
        </w:rPr>
      </w:r>
      <w:r>
        <w:rPr>
          <w:lang w:val="en_US" w:bidi="en_US"/>
        </w:rPr>
        <w:t>Peter’s declaration that Jesus was the Messiah</w:t>
      </w:r>
    </w:p>
    <w:p>
      <w:pPr/>
      <w:r>
        <w:rPr>
          <w:lang w:val="en_US" w:bidi="en_US"/>
        </w:rPr>
      </w:r>
      <w:r>
        <w:rPr>
          <w:lang w:val="en_US" w:bidi="en_US"/>
        </w:rPr>
        <w:t>Peter stated his belief about who Jesus was</w:t>
      </w:r>
    </w:p>
    <w:p>
      <w:pPr/>
      <w:r>
        <w:rPr>
          <w:lang w:val="en_US" w:bidi="en_US"/>
        </w:rPr>
      </w:r>
      <w:r>
        <w:rPr>
          <w:lang w:val="en_US" w:bidi="en_US"/>
        </w:rPr>
        <w:t>There are parallel passages for this section in Matthew 16:13–16 and Mark 8:27–30.</w:t>
      </w:r>
    </w:p>
    <w:p>
      <w:pPr>
        <w:pStyle w:val="Heading5"/>
      </w:pPr>
      <w:r>
        <w:rPr>
          <w:lang w:val="en_US" w:bidi="en_US"/>
        </w:rPr>
        <w:t>9:18a</w:t>
      </w:r>
    </w:p>
    <w:p>
      <w:pPr/>
      <w:r>
        <w:rPr>
          <w:lang w:val="en_US" w:bidi="en_US"/>
        </w:rPr>
      </w:r>
      <w:r>
        <w:rPr>
          <w:b/>
          <w:lang w:val="en_US" w:bidi="en_US"/>
        </w:rPr>
        <w:t>One day as Jesus was praying in private and the disciples were with Him,</w:t>
      </w:r>
    </w:p>
    <w:p>
      <w:pPr>
        <w:pStyle w:val="ListBullet"/>
        <w:spacing w:line="240" w:lineRule="auto"/>
        <w:ind w:left="720"/>
      </w:pPr>
      <w:r>
        <w:rPr>
          <w:lang w:val="en_US" w:bidi="en_US"/>
        </w:rPr>
      </w:r>
      <w:r>
        <w:rPr>
          <w:lang w:val="en_US" w:bidi="en_US"/>
        </w:rPr>
        <w:t>¶ One time/day Jesus was alone with his disciples, and he was praying.</w:t>
      </w:r>
    </w:p>
    <w:p>
      <w:pPr>
        <w:pStyle w:val="ListBullet"/>
        <w:spacing w:line="240" w:lineRule="auto"/>
        <w:ind w:left="720"/>
      </w:pPr>
      <w:r>
        <w:rPr>
          <w:lang w:val="en_US" w:bidi="en_US"/>
        </w:rPr>
      </w:r>
      <w:r>
        <w:rPr>
          <w:lang w:val="en_US" w:bidi="en_US"/>
        </w:rPr>
        <w:t xml:space="preserve">¶ On one occasion, after Jesus had been praying by himself, </w:t>
      </w:r>
      <w:r>
        <w:rPr>
          <w:lang w:val="en_US" w:bidi="en_US"/>
        </w:rPr>
        <w:t>he turned to</w:t>
      </w:r>
      <w:r>
        <w:rPr>
          <w:lang w:val="en_US" w:bidi="en_US"/>
        </w:rPr>
        <w:t xml:space="preserve"> his followers, who were with him,</w:t>
      </w:r>
    </w:p>
    <w:p>
      <w:pPr/>
      <w:r>
        <w:rPr>
          <w:lang w:val="en_US" w:bidi="en_US"/>
        </w:rPr>
      </w:r>
      <w:r>
        <w:rPr>
          <w:b/>
          <w:lang w:val="en_US" w:bidi="en_US"/>
        </w:rPr>
        <w:t>One day as:</w:t>
      </w:r>
      <w:r>
        <w:rPr>
          <w:lang w:val="en_US" w:bidi="en_US"/>
        </w:rPr>
        <w:t xml:space="preserve"> The Greek phrase that the BSB translates as </w:t>
      </w:r>
      <w:r>
        <w:rPr>
          <w:i/>
          <w:lang w:val="en_US" w:bidi="en_US"/>
        </w:rPr>
        <w:t>One day as</w:t>
      </w:r>
      <w:r>
        <w:rPr>
          <w:lang w:val="en_US" w:bidi="en_US"/>
        </w:rPr>
        <w:t xml:space="preserve"> is literally “And it happened that.” This phrase simply introduces another event that happened. It does not say when it happened. Translate it with a phrase that is natural in your language for introducing a new incident. For example:</w:t>
      </w:r>
    </w:p>
    <w:p>
      <w:pPr/>
      <w:r>
        <w:rPr>
          <w:lang w:val="en_US" w:bidi="en_US"/>
        </w:rPr>
      </w:r>
      <w:r>
        <w:rPr>
          <w:lang w:val="en_US" w:bidi="en_US"/>
        </w:rPr>
        <w:t>Once when (NIV)</w:t>
      </w:r>
    </w:p>
    <w:p>
      <w:pPr/>
      <w:r>
        <w:rPr>
          <w:lang w:val="en_US" w:bidi="en_US"/>
        </w:rPr>
      </w:r>
      <w:r>
        <w:rPr>
          <w:lang w:val="en_US" w:bidi="en_US"/>
        </w:rPr>
        <w:t>One time when (NCV)</w:t>
      </w:r>
    </w:p>
    <w:p>
      <w:pPr/>
      <w:r>
        <w:rPr>
          <w:lang w:val="en_US" w:bidi="en_US"/>
        </w:rPr>
      </w:r>
      <w:r>
        <w:rPr>
          <w:b/>
          <w:lang w:val="en_US" w:bidi="en_US"/>
        </w:rPr>
        <w:t>Jesus was praying in private and the disciples were with Him:</w:t>
      </w:r>
      <w:r>
        <w:rPr>
          <w:lang w:val="en_US" w:bidi="en_US"/>
        </w:rPr>
        <w:t xml:space="preserve"> These two clauses indicate that Jesus was alone with his disciples. They were away from the crowds of people. Jesus was praying to God, and a small group of his disciples was near him while he prayed. Some other ways to translate these clauses are:</w:t>
      </w:r>
    </w:p>
    <w:p>
      <w:pPr/>
      <w:r>
        <w:rPr>
          <w:lang w:val="en_US" w:bidi="en_US"/>
        </w:rPr>
      </w:r>
      <w:r>
        <w:rPr>
          <w:lang w:val="en_US" w:bidi="en_US"/>
        </w:rPr>
        <w:t>he had been praying by himself in the company of his disciples (REB)</w:t>
      </w:r>
    </w:p>
    <w:p>
      <w:pPr/>
      <w:r>
        <w:rPr>
          <w:lang w:val="en_US" w:bidi="en_US"/>
        </w:rPr>
      </w:r>
      <w:r>
        <w:rPr>
          <w:lang w:val="en_US" w:bidi="en_US"/>
        </w:rPr>
        <w:t>Jesus left the crowds to pray alone. Only his disciples were with him (NLT)</w:t>
      </w:r>
    </w:p>
    <w:p>
      <w:pPr/>
      <w:r>
        <w:rPr>
          <w:lang w:val="en_US" w:bidi="en_US"/>
        </w:rPr>
      </w:r>
      <w:r>
        <w:rPr>
          <w:b/>
          <w:lang w:val="en_US" w:bidi="en_US"/>
        </w:rPr>
        <w:t>was praying:</w:t>
      </w:r>
      <w:r>
        <w:rPr>
          <w:lang w:val="en_US" w:bidi="en_US"/>
        </w:rPr>
        <w:t xml:space="preserve"> The Greek word that the BSB translates as </w:t>
      </w:r>
      <w:r>
        <w:rPr>
          <w:i/>
          <w:lang w:val="en_US" w:bidi="en_US"/>
        </w:rPr>
        <w:t>was praying</w:t>
      </w:r>
      <w:r>
        <w:rPr>
          <w:lang w:val="en_US" w:bidi="en_US"/>
        </w:rPr>
        <w:t xml:space="preserve"> indicates here that Jesus was speaking to God.</w:t>
      </w:r>
    </w:p>
    <w:p>
      <w:pPr/>
      <w:r>
        <w:rPr>
          <w:lang w:val="en_US" w:bidi="en_US"/>
        </w:rPr>
      </w:r>
      <w:r>
        <w:rPr>
          <w:lang w:val="en_US" w:bidi="en_US"/>
        </w:rPr>
        <w:t>Some languages may use different words to refer to specific kinds of prayer, such as requests, thanks, or praise. Here you should use a word or expression that has a general meaning. Avoid a term that may imply magical or meaningless words.</w:t>
      </w:r>
    </w:p>
    <w:p>
      <w:pPr/>
      <w:r>
        <w:rPr>
          <w:lang w:val="en_US" w:bidi="en_US"/>
        </w:rPr>
      </w:r>
      <w:r>
        <w:rPr>
          <w:b/>
          <w:lang w:val="en_US" w:bidi="en_US"/>
        </w:rPr>
        <w:t>the disciples were with Him:</w:t>
      </w:r>
      <w:r>
        <w:rPr>
          <w:lang w:val="en_US" w:bidi="en_US"/>
        </w:rPr>
        <w:t xml:space="preserve"> There is a textual issue in this clause:</w:t>
      </w:r>
    </w:p>
    <w:p>
      <w:pPr>
        <w:pStyle w:val="ListNumber"/>
        <w:numPr>
          <w:ilvl w:val="0"/>
          <w:numId w:val="189"/>
        </w:numPr>
        <w:spacing w:line="240" w:lineRule="auto"/>
        <w:ind w:left="720"/>
      </w:pPr>
      <w:r>
        <w:rPr>
          <w:lang w:val="en_US" w:bidi="en_US"/>
        </w:rPr>
      </w:r>
      <w:r>
        <w:rPr>
          <w:lang w:val="en_US" w:bidi="en_US"/>
        </w:rPr>
        <w:t xml:space="preserve">Some Greek manuscripts have “they </w:t>
      </w:r>
      <w:r>
        <w:rPr>
          <w:u w:val="single"/>
          <w:lang w:val="en_US" w:bidi="en_US"/>
        </w:rPr>
        <w:t>were with</w:t>
      </w:r>
      <w:r>
        <w:rPr>
          <w:lang w:val="en_US" w:bidi="en_US"/>
        </w:rPr>
        <w:t>.” For example:</w:t>
      </w:r>
      <w:r>
        <w:rPr>
          <w:lang w:val="en_US" w:bidi="en_US"/>
        </w:rPr>
        <w:t xml:space="preserve">with only the disciples near him (NRSV) </w:t>
      </w:r>
      <w:r>
        <w:rPr>
          <w:i/>
          <w:lang w:val="en_US" w:bidi="en_US"/>
        </w:rPr>
        <w:t>(BSB, NRSV, NIV, REB, NCV, GW, NLT, ESV, NET)</w:t>
      </w:r>
    </w:p>
    <w:p>
      <w:pPr>
        <w:pStyle w:val="ListNumber"/>
        <w:spacing w:line="240" w:lineRule="auto"/>
        <w:ind w:left="720"/>
      </w:pPr>
      <w:r>
        <w:rPr>
          <w:lang w:val="en_US" w:bidi="en_US"/>
        </w:rPr>
      </w:r>
      <w:r>
        <w:rPr>
          <w:lang w:val="en_US" w:bidi="en_US"/>
        </w:rPr>
        <w:t xml:space="preserve">Some Greek manuscripts have “they </w:t>
      </w:r>
      <w:r>
        <w:rPr>
          <w:u w:val="single"/>
          <w:lang w:val="en_US" w:bidi="en_US"/>
        </w:rPr>
        <w:t>joined</w:t>
      </w:r>
      <w:r>
        <w:rPr>
          <w:lang w:val="en_US" w:bidi="en_US"/>
        </w:rPr>
        <w:t>.” For example:</w:t>
      </w:r>
      <w:r>
        <w:rPr>
          <w:lang w:val="en_US" w:bidi="en_US"/>
        </w:rPr>
        <w:t xml:space="preserve">his disciples came to him (NJB) </w:t>
      </w:r>
      <w:r>
        <w:rPr>
          <w:i/>
          <w:lang w:val="en_US" w:bidi="en_US"/>
        </w:rPr>
        <w:t>(NJB, GNT, CEV)</w:t>
      </w:r>
    </w:p>
    <w:p>
      <w:pPr/>
      <w:r>
        <w:rPr>
          <w:lang w:val="en_US" w:bidi="en_US"/>
        </w:rPr>
      </w:r>
      <w:r>
        <w:rPr>
          <w:lang w:val="en_US" w:bidi="en_US"/>
        </w:rPr>
        <w:t>It is recommended that you follow option (1), since it has the best manuscript support.</w:t>
      </w:r>
      <w:r>
        <w:rPr>
          <w:lang w:val="en_US" w:bidi="en_US"/>
        </w:rPr>
        <w:t>Greek NT does not even mention option (2), nor do most commentators. According to Marshall (p. 366), the reading “joined” is not necessary. He mentions that the same phrase occurs in Mark 4:10, where Jesus is clearly with his disciples.</w:t>
      </w:r>
      <w:r>
        <w:rPr>
          <w:lang w:val="en_US" w:bidi="en_US"/>
        </w:rPr>
        <w:t xml:space="preserve"> Also most English versions follow this option.</w:t>
      </w:r>
    </w:p>
    <w:p>
      <w:pPr>
        <w:pStyle w:val="Heading5"/>
      </w:pPr>
      <w:r>
        <w:rPr>
          <w:lang w:val="en_US" w:bidi="en_US"/>
        </w:rPr>
        <w:t>9:18b</w:t>
      </w:r>
    </w:p>
    <w:p>
      <w:pPr/>
      <w:r>
        <w:rPr>
          <w:lang w:val="en_US" w:bidi="en_US"/>
        </w:rPr>
      </w:r>
      <w:r>
        <w:rPr>
          <w:b/>
          <w:lang w:val="en_US" w:bidi="en_US"/>
        </w:rPr>
        <w:t>He questioned them: “Who do the crowds say I am?”</w:t>
      </w:r>
    </w:p>
    <w:p>
      <w:pPr>
        <w:pStyle w:val="ListBullet"/>
        <w:spacing w:line="240" w:lineRule="auto"/>
        <w:ind w:left="720"/>
      </w:pPr>
      <w:r>
        <w:rPr>
          <w:lang w:val="en_US" w:bidi="en_US"/>
        </w:rPr>
      </w:r>
      <w:r>
        <w:rPr>
          <w:lang w:val="en_US" w:bidi="en_US"/>
        </w:rPr>
        <w:t xml:space="preserve">When he </w:t>
      </w:r>
      <w:r>
        <w:rPr>
          <w:lang w:val="en_US" w:bidi="en_US"/>
        </w:rPr>
        <w:t>finished praying</w:t>
      </w:r>
      <w:r>
        <w:rPr>
          <w:lang w:val="en_US" w:bidi="en_US"/>
        </w:rPr>
        <w:t xml:space="preserve"> he asked them, “Who do the people say that I am?”</w:t>
      </w:r>
    </w:p>
    <w:p>
      <w:pPr>
        <w:pStyle w:val="ListBullet"/>
        <w:spacing w:line="240" w:lineRule="auto"/>
        <w:ind w:left="720"/>
      </w:pPr>
      <w:r>
        <w:rPr>
          <w:lang w:val="en_US" w:bidi="en_US"/>
        </w:rPr>
      </w:r>
      <w:r>
        <w:rPr>
          <w:lang w:val="en_US" w:bidi="en_US"/>
        </w:rPr>
        <w:t>and asked them, “What do people think/believe about me?”</w:t>
      </w:r>
    </w:p>
    <w:p>
      <w:pPr>
        <w:pStyle w:val="ListBullet"/>
        <w:spacing w:line="240" w:lineRule="auto"/>
        <w:ind w:left="720"/>
      </w:pPr>
      <w:r>
        <w:rPr>
          <w:lang w:val="en_US" w:bidi="en_US"/>
        </w:rPr>
      </w:r>
      <w:r>
        <w:rPr>
          <w:lang w:val="en_US" w:bidi="en_US"/>
        </w:rPr>
        <w:t>and asked them who other people thought he was.</w:t>
      </w:r>
    </w:p>
    <w:p>
      <w:pPr/>
      <w:r>
        <w:rPr>
          <w:lang w:val="en_US" w:bidi="en_US"/>
        </w:rPr>
      </w:r>
      <w:r>
        <w:rPr>
          <w:lang w:val="en_US" w:bidi="en_US"/>
        </w:rPr>
        <w:t>It is implied that Jesus finished praying and then asked his disciples the question in 9:18b. In some languages this implied information may need to be made explicit. For example:</w:t>
      </w:r>
    </w:p>
    <w:p>
      <w:pPr/>
      <w:r>
        <w:rPr>
          <w:lang w:val="en_US" w:bidi="en_US"/>
        </w:rPr>
      </w:r>
      <w:r>
        <w:rPr>
          <w:lang w:val="en_US" w:bidi="en_US"/>
        </w:rPr>
        <w:t>After he finished praying,</w:t>
      </w:r>
      <w:r>
        <w:rPr>
          <w:lang w:val="en_US" w:bidi="en_US"/>
        </w:rPr>
        <w:t xml:space="preserve"> he asked them</w:t>
      </w:r>
    </w:p>
    <w:p>
      <w:pPr/>
      <w:r>
        <w:rPr>
          <w:lang w:val="en_US" w:bidi="en_US"/>
        </w:rPr>
      </w:r>
      <w:r>
        <w:rPr>
          <w:b/>
          <w:lang w:val="en_US" w:bidi="en_US"/>
        </w:rPr>
        <w:t>He questioned them: “Who do the crowds say I am?”:</w:t>
      </w:r>
      <w:r>
        <w:rPr>
          <w:lang w:val="en_US" w:bidi="en_US"/>
        </w:rPr>
        <w:t xml:space="preserve"> The crowds already knew Jesus’ name and family and hometown. Jesus was asking what the common people in the crowds thought about his role in God’s plan.</w:t>
      </w:r>
    </w:p>
    <w:p>
      <w:pPr/>
      <w:r>
        <w:rPr>
          <w:lang w:val="en_US" w:bidi="en_US"/>
        </w:rPr>
      </w:r>
      <w:r>
        <w:rPr>
          <w:b/>
          <w:lang w:val="en_US" w:bidi="en_US"/>
        </w:rPr>
        <w:t>crowds:</w:t>
      </w:r>
      <w:r>
        <w:rPr>
          <w:lang w:val="en_US" w:bidi="en_US"/>
        </w:rPr>
        <w:t xml:space="preserve"> The word that the BSB translates as </w:t>
      </w:r>
      <w:r>
        <w:rPr>
          <w:i/>
          <w:lang w:val="en_US" w:bidi="en_US"/>
        </w:rPr>
        <w:t>crowds</w:t>
      </w:r>
      <w:r>
        <w:rPr>
          <w:lang w:val="en_US" w:bidi="en_US"/>
        </w:rPr>
        <w:t xml:space="preserve"> refers here to the common people in general. It does not imply that “crowds” of people said anything as a group about Jesus. Other ways to translate this question are:</w:t>
      </w:r>
    </w:p>
    <w:p>
      <w:pPr/>
      <w:r>
        <w:rPr>
          <w:lang w:val="en_US" w:bidi="en_US"/>
        </w:rPr>
      </w:r>
      <w:r>
        <w:rPr>
          <w:lang w:val="en_US" w:bidi="en_US"/>
        </w:rPr>
        <w:t>What do people say about me? (CEV)</w:t>
      </w:r>
    </w:p>
    <w:p>
      <w:pPr/>
      <w:r>
        <w:rPr>
          <w:lang w:val="en_US" w:bidi="en_US"/>
        </w:rPr>
      </w:r>
      <w:r>
        <w:rPr>
          <w:lang w:val="en_US" w:bidi="en_US"/>
        </w:rPr>
        <w:t>Who do people say I am? (NLT)</w:t>
      </w:r>
    </w:p>
    <w:p>
      <w:pPr/>
      <w:r>
        <w:rPr>
          <w:lang w:val="en_US" w:bidi="en_US"/>
        </w:rPr>
      </w:r>
      <w:r>
        <w:rPr>
          <w:b/>
          <w:lang w:val="en_US" w:bidi="en_US"/>
        </w:rPr>
        <w:t>say:</w:t>
      </w:r>
      <w:r>
        <w:rPr>
          <w:lang w:val="en_US" w:bidi="en_US"/>
        </w:rPr>
        <w:t xml:space="preserve"> In this context the verb </w:t>
      </w:r>
      <w:r>
        <w:rPr>
          <w:i/>
          <w:lang w:val="en_US" w:bidi="en_US"/>
        </w:rPr>
        <w:t>say</w:t>
      </w:r>
      <w:r>
        <w:rPr>
          <w:lang w:val="en_US" w:bidi="en_US"/>
        </w:rPr>
        <w:t xml:space="preserve"> refers to what the people thought or believed, as well as to what they said. In some languages it may be more natural to use a verb like “think” or “believe” here.</w:t>
      </w:r>
      <w:r>
        <w:rPr>
          <w:lang w:val="en_US" w:bidi="en_US"/>
        </w:rPr>
      </w:r>
      <w:r>
        <w:rPr>
          <w:lang w:val="en_US" w:bidi="en_US"/>
        </w:rPr>
      </w:r>
    </w:p>
    <w:p>
      <w:pPr/>
      <w:r>
        <w:rPr>
          <w:lang w:val="en_US" w:bidi="en_US"/>
        </w:rPr>
      </w:r>
    </w:p>
    <w:p>
      <w:pPr>
        <w:pStyle w:val="Heading2"/>
      </w:pPr>
      <w:r>
        <w:rPr>
          <w:lang w:val="en_US" w:bidi="en_US"/>
        </w:rPr>
        <w:t>Luke 9:19</w:t>
      </w:r>
      <w:r>
        <w:rPr>
          <w:lang w:val="en_US" w:bidi="en_US"/>
        </w:rPr>
      </w:r>
    </w:p>
    <w:p>
      <w:pPr>
        <w:pStyle w:val="Heading4"/>
      </w:pPr>
      <w:r>
        <w:rPr>
          <w:lang w:val="en_US" w:bidi="en_US"/>
        </w:rPr>
        <w:t>Section 9:18–22: Peter declared that Jesus is the Christ</w:t>
      </w:r>
    </w:p>
    <w:p>
      <w:pPr/>
      <w:r>
        <w:rPr>
          <w:lang w:val="en_US" w:bidi="en_US"/>
        </w:rPr>
      </w:r>
      <w:r>
        <w:rPr>
          <w:lang w:val="en_US" w:bidi="en_US"/>
        </w:rPr>
        <w:t>In Section 9:7–9, Herod was confused about what kind of person Jesus was. In Section 9:10–17, when Jesus fed more than five thousand people, he showed that he was someone with miraculous power. In this Section, 9:18–22, Jesus asked his disciples what people were saying about who he was. This question implies that he wanted to know whether people thought that God had sent him. He also wanted to know what they thought his mission was. Their answers were very similar to the reports that Herod had heard in 9:7–9.</w:t>
      </w:r>
    </w:p>
    <w:p>
      <w:pPr/>
      <w:r>
        <w:rPr>
          <w:lang w:val="en_US" w:bidi="en_US"/>
        </w:rPr>
      </w:r>
      <w:r>
        <w:rPr>
          <w:lang w:val="en_US" w:bidi="en_US"/>
        </w:rPr>
        <w:t>Jesus then asked the disciples what they themselves thought about him. Peter replied that Jesus was the Christ, the Messiah. Jesus ordered them not to tell others who he was. He explained to the disciples what would happen to him as the Messiah. In contrast to what the disciples thought that Jesus would do as their Messiah, God planned for him to suffer, die, and live again.</w:t>
      </w:r>
    </w:p>
    <w:p>
      <w:pPr/>
      <w:r>
        <w:rPr>
          <w:lang w:val="en_US" w:bidi="en_US"/>
        </w:rPr>
      </w:r>
      <w:r>
        <w:rPr>
          <w:lang w:val="en_US" w:bidi="en_US"/>
        </w:rPr>
        <w:t>It is good to translate this section before you decide on a heading for it. Some other headings for this section are:</w:t>
      </w:r>
    </w:p>
    <w:p>
      <w:pPr/>
      <w:r>
        <w:rPr>
          <w:lang w:val="en_US" w:bidi="en_US"/>
        </w:rPr>
      </w:r>
      <w:r>
        <w:rPr>
          <w:lang w:val="en_US" w:bidi="en_US"/>
        </w:rPr>
        <w:t>Peter’s declaration that Jesus was the Messiah</w:t>
      </w:r>
    </w:p>
    <w:p>
      <w:pPr/>
      <w:r>
        <w:rPr>
          <w:lang w:val="en_US" w:bidi="en_US"/>
        </w:rPr>
      </w:r>
      <w:r>
        <w:rPr>
          <w:lang w:val="en_US" w:bidi="en_US"/>
        </w:rPr>
        <w:t>Peter stated his belief about who Jesus was</w:t>
      </w:r>
    </w:p>
    <w:p>
      <w:pPr/>
      <w:r>
        <w:rPr>
          <w:lang w:val="en_US" w:bidi="en_US"/>
        </w:rPr>
      </w:r>
      <w:r>
        <w:rPr>
          <w:lang w:val="en_US" w:bidi="en_US"/>
        </w:rPr>
        <w:t>There are parallel passages for this section in Matthew 16:13–16 and Mark 8:27–30.</w:t>
      </w:r>
    </w:p>
    <w:p>
      <w:pPr>
        <w:pStyle w:val="Heading5"/>
      </w:pPr>
      <w:r>
        <w:rPr>
          <w:lang w:val="en_US" w:bidi="en_US"/>
        </w:rPr>
        <w:t>9:19a</w:t>
      </w:r>
    </w:p>
    <w:p>
      <w:pPr/>
      <w:r>
        <w:rPr>
          <w:lang w:val="en_US" w:bidi="en_US"/>
        </w:rPr>
      </w:r>
      <w:r>
        <w:rPr>
          <w:b/>
          <w:lang w:val="en_US" w:bidi="en_US"/>
        </w:rPr>
        <w:t>They replied, “Some say John the Baptist;</w:t>
      </w:r>
    </w:p>
    <w:p>
      <w:pPr>
        <w:pStyle w:val="ListBullet"/>
        <w:spacing w:line="240" w:lineRule="auto"/>
        <w:ind w:left="720"/>
      </w:pPr>
      <w:r>
        <w:rPr>
          <w:lang w:val="en_US" w:bidi="en_US"/>
        </w:rPr>
      </w:r>
      <w:r>
        <w:rPr>
          <w:lang w:val="en_US" w:bidi="en_US"/>
        </w:rPr>
        <w:t xml:space="preserve">The disciples answered, “Some say </w:t>
      </w:r>
      <w:r>
        <w:rPr>
          <w:lang w:val="en_US" w:bidi="en_US"/>
        </w:rPr>
        <w:t>that you are</w:t>
      </w:r>
      <w:r>
        <w:rPr>
          <w:lang w:val="en_US" w:bidi="en_US"/>
        </w:rPr>
        <w:t xml:space="preserve"> John the Baptizer.</w:t>
      </w:r>
    </w:p>
    <w:p>
      <w:pPr>
        <w:pStyle w:val="ListBullet"/>
        <w:spacing w:line="240" w:lineRule="auto"/>
        <w:ind w:left="720"/>
      </w:pPr>
      <w:r>
        <w:rPr>
          <w:lang w:val="en_US" w:bidi="en_US"/>
        </w:rPr>
      </w:r>
      <w:r>
        <w:rPr>
          <w:lang w:val="en_US" w:bidi="en_US"/>
        </w:rPr>
        <w:t xml:space="preserve">They told him, “Some people think/believe </w:t>
      </w:r>
      <w:r>
        <w:rPr>
          <w:lang w:val="en_US" w:bidi="en_US"/>
        </w:rPr>
        <w:t>that you are</w:t>
      </w:r>
      <w:r>
        <w:rPr>
          <w:lang w:val="en_US" w:bidi="en_US"/>
        </w:rPr>
        <w:t xml:space="preserve"> John who baptized </w:t>
      </w:r>
      <w:r>
        <w:rPr>
          <w:lang w:val="en_US" w:bidi="en_US"/>
        </w:rPr>
        <w:t>people</w:t>
      </w:r>
      <w:r>
        <w:rPr>
          <w:lang w:val="en_US" w:bidi="en_US"/>
        </w:rPr>
        <w:t>.</w:t>
      </w:r>
    </w:p>
    <w:p>
      <w:pPr/>
      <w:r>
        <w:rPr>
          <w:lang w:val="en_US" w:bidi="en_US"/>
        </w:rPr>
      </w:r>
      <w:r>
        <w:rPr>
          <w:b/>
          <w:lang w:val="en_US" w:bidi="en_US"/>
        </w:rPr>
        <w:t>Some say John the Baptist:</w:t>
      </w:r>
      <w:r>
        <w:rPr>
          <w:lang w:val="en_US" w:bidi="en_US"/>
        </w:rPr>
        <w:t xml:space="preserve"> In Greek, the text says only “John the Baptist.” This was a natural way for the disciples to answer Jesus’ question. They left some information implied because the meaning was clear from his question. In some languages it is natural to make some or all of the information explicit. For example:</w:t>
      </w:r>
    </w:p>
    <w:p>
      <w:pPr/>
      <w:r>
        <w:rPr>
          <w:lang w:val="en_US" w:bidi="en_US"/>
        </w:rPr>
      </w:r>
      <w:r>
        <w:rPr>
          <w:lang w:val="en_US" w:bidi="en_US"/>
        </w:rPr>
        <w:t xml:space="preserve">Some </w:t>
      </w:r>
      <w:r>
        <w:rPr>
          <w:lang w:val="en_US" w:bidi="en_US"/>
        </w:rPr>
        <w:t>of the people</w:t>
      </w:r>
      <w:r>
        <w:rPr>
          <w:lang w:val="en_US" w:bidi="en_US"/>
        </w:rPr>
        <w:t xml:space="preserve"> say </w:t>
      </w:r>
      <w:r>
        <w:rPr>
          <w:lang w:val="en_US" w:bidi="en_US"/>
        </w:rPr>
        <w:t>that you are</w:t>
      </w:r>
      <w:r>
        <w:rPr>
          <w:lang w:val="en_US" w:bidi="en_US"/>
        </w:rPr>
        <w:t xml:space="preserve"> John the Baptizer</w:t>
      </w:r>
    </w:p>
    <w:p>
      <w:pPr/>
      <w:r>
        <w:rPr>
          <w:lang w:val="en_US" w:bidi="en_US"/>
        </w:rPr>
      </w:r>
      <w:r>
        <w:rPr>
          <w:b/>
          <w:lang w:val="en_US" w:bidi="en_US"/>
        </w:rPr>
        <w:t>John the Baptist:</w:t>
      </w:r>
      <w:r>
        <w:rPr>
          <w:lang w:val="en_US" w:bidi="en_US"/>
        </w:rPr>
        <w:t xml:space="preserve"> </w:t>
      </w:r>
      <w:r>
        <w:rPr>
          <w:i/>
          <w:lang w:val="en_US" w:bidi="en_US"/>
        </w:rPr>
        <w:t>John</w:t>
      </w:r>
      <w:r>
        <w:rPr>
          <w:lang w:val="en_US" w:bidi="en_US"/>
        </w:rPr>
        <w:t xml:space="preserve"> was called </w:t>
      </w:r>
      <w:r>
        <w:rPr>
          <w:i/>
          <w:lang w:val="en_US" w:bidi="en_US"/>
        </w:rPr>
        <w:t>the Baptist</w:t>
      </w:r>
      <w:r>
        <w:rPr>
          <w:lang w:val="en_US" w:bidi="en_US"/>
        </w:rPr>
        <w:t xml:space="preserve"> or “the Baptizer” because he had baptized many people.</w:t>
      </w:r>
    </w:p>
    <w:p>
      <w:pPr/>
      <w:r>
        <w:rPr>
          <w:lang w:val="en_US" w:bidi="en_US"/>
        </w:rPr>
      </w:r>
      <w:r>
        <w:rPr>
          <w:lang w:val="en_US" w:bidi="en_US"/>
        </w:rPr>
        <w:t xml:space="preserve">You may choose to use a verbal expression, such as “John the Baptizer” or “John who baptizes </w:t>
      </w:r>
      <w:r>
        <w:rPr>
          <w:lang w:val="en_US" w:bidi="en_US"/>
        </w:rPr>
        <w:t>people</w:t>
      </w:r>
      <w:r>
        <w:rPr>
          <w:lang w:val="en_US" w:bidi="en_US"/>
        </w:rPr>
        <w:t xml:space="preserve">.” If you do this, be sure that you do not imply that John was still baptizing people at this time. He was in prison. (See the note on </w:t>
      </w:r>
      <w:r>
        <w:rPr>
          <w:i/>
          <w:lang w:val="en_US" w:bidi="en_US"/>
        </w:rPr>
        <w:t>John</w:t>
      </w:r>
      <w:r>
        <w:rPr>
          <w:lang w:val="en_US" w:bidi="en_US"/>
        </w:rPr>
        <w:t xml:space="preserve"> at 7:18a.) For example, you could say:</w:t>
      </w:r>
    </w:p>
    <w:p>
      <w:pPr/>
      <w:r>
        <w:rPr>
          <w:lang w:val="en_US" w:bidi="en_US"/>
        </w:rPr>
      </w:r>
      <w:r>
        <w:rPr>
          <w:lang w:val="en_US" w:bidi="en_US"/>
        </w:rPr>
        <w:t xml:space="preserve">John who baptized </w:t>
      </w:r>
      <w:r>
        <w:rPr>
          <w:lang w:val="en_US" w:bidi="en_US"/>
        </w:rPr>
        <w:t>people</w:t>
      </w:r>
    </w:p>
    <w:p>
      <w:pPr/>
      <w:r>
        <w:rPr>
          <w:lang w:val="en_US" w:bidi="en_US"/>
        </w:rPr>
      </w:r>
      <w:r>
        <w:rPr>
          <w:lang w:val="en_US" w:bidi="en_US"/>
        </w:rPr>
        <w:t xml:space="preserve">John who was baptizing </w:t>
      </w:r>
      <w:r>
        <w:rPr>
          <w:lang w:val="en_US" w:bidi="en_US"/>
        </w:rPr>
        <w:t>people</w:t>
      </w:r>
    </w:p>
    <w:p>
      <w:pPr/>
      <w:r>
        <w:rPr>
          <w:lang w:val="en_US" w:bidi="en_US"/>
        </w:rPr>
      </w:r>
      <w:r>
        <w:rPr>
          <w:lang w:val="en_US" w:bidi="en_US"/>
        </w:rPr>
        <w:t xml:space="preserve">In many parts of the world, there are churches that are called Baptist churches. If possible, translate </w:t>
      </w:r>
      <w:r>
        <w:rPr>
          <w:i/>
          <w:lang w:val="en_US" w:bidi="en_US"/>
        </w:rPr>
        <w:t>the Baptist</w:t>
      </w:r>
      <w:r>
        <w:rPr>
          <w:lang w:val="en_US" w:bidi="en_US"/>
        </w:rPr>
        <w:t xml:space="preserve"> in a way that means that John baptized people and not that he was the member of a Baptist church.</w:t>
      </w:r>
    </w:p>
    <w:p>
      <w:pPr/>
      <w:r>
        <w:rPr>
          <w:lang w:val="en_US" w:bidi="en_US"/>
        </w:rPr>
      </w:r>
      <w:r>
        <w:rPr>
          <w:lang w:val="en_US" w:bidi="en_US"/>
        </w:rPr>
        <w:t>See also baptize, Meaning 1, in the Glossary.</w:t>
      </w:r>
    </w:p>
    <w:p>
      <w:pPr/>
      <w:r>
        <w:rPr>
          <w:lang w:val="en_US" w:bidi="en_US"/>
        </w:rPr>
      </w:r>
      <w:r>
        <w:rPr>
          <w:b/>
          <w:lang w:val="en_US" w:bidi="en_US"/>
        </w:rPr>
        <w:t>Baptist:</w:t>
      </w:r>
      <w:r>
        <w:rPr>
          <w:lang w:val="en_US" w:bidi="en_US"/>
        </w:rPr>
        <w:t xml:space="preserve"> The word </w:t>
      </w:r>
      <w:r>
        <w:rPr>
          <w:i/>
          <w:lang w:val="en_US" w:bidi="en_US"/>
        </w:rPr>
        <w:t>Baptist</w:t>
      </w:r>
      <w:r>
        <w:rPr>
          <w:lang w:val="en_US" w:bidi="en_US"/>
        </w:rPr>
        <w:t xml:space="preserve"> here refers to a person who baptizes people. The verb “baptize” means to purify people with a special ritual that uses water. In this context the ritual involved purification from sin. It did not mean that the person was cleaned to remove dirt. Baptism was an initiation that marked the beginning of a person’s life as one of God’s pure people.</w:t>
      </w:r>
    </w:p>
    <w:p>
      <w:pPr/>
      <w:r>
        <w:rPr>
          <w:lang w:val="en_US" w:bidi="en_US"/>
        </w:rPr>
      </w:r>
      <w:r>
        <w:rPr>
          <w:lang w:val="en_US" w:bidi="en_US"/>
        </w:rPr>
        <w:t>You will probably need to decide how to translate the verb “baptize” before you translate the title “John the Baptist/Baptizer.” Here are some ways to translate “baptize”:</w:t>
      </w:r>
    </w:p>
    <w:p>
      <w:pPr>
        <w:pStyle w:val="ListBullet"/>
        <w:spacing w:line="240" w:lineRule="auto"/>
        <w:ind w:left="720"/>
      </w:pPr>
      <w:r>
        <w:rPr>
          <w:lang w:val="en_US" w:bidi="en_US"/>
        </w:rPr>
      </w:r>
      <w:r>
        <w:rPr>
          <w:lang w:val="en_US" w:bidi="en_US"/>
        </w:rPr>
        <w:t>Use a descriptive term. For example:</w:t>
      </w:r>
      <w:r>
        <w:rPr>
          <w:lang w:val="en_US" w:bidi="en_US"/>
        </w:rPr>
        <w:t>ritually</w:t>
      </w:r>
      <w:r>
        <w:rPr>
          <w:lang w:val="en_US" w:bidi="en_US"/>
        </w:rPr>
        <w:t xml:space="preserve"> wash</w:t>
      </w:r>
      <w:r>
        <w:rPr>
          <w:lang w:val="en_US" w:bidi="en_US"/>
        </w:rPr>
        <w:t xml:space="preserve">initiate </w:t>
      </w:r>
      <w:r>
        <w:rPr>
          <w:lang w:val="en_US" w:bidi="en_US"/>
        </w:rPr>
        <w:t>people</w:t>
      </w:r>
      <w:r>
        <w:rPr>
          <w:lang w:val="en_US" w:bidi="en_US"/>
        </w:rPr>
        <w:t xml:space="preserve"> in/with water</w:t>
      </w:r>
      <w:r>
        <w:rPr>
          <w:lang w:val="en_US" w:bidi="en_US"/>
        </w:rPr>
        <w:t>immerse people in water for God</w:t>
      </w:r>
      <w:r>
        <w:rPr>
          <w:lang w:val="en_US" w:bidi="en_US"/>
        </w:rPr>
        <w:t>sprinkle/shower people with God’s initiation water</w:t>
      </w:r>
    </w:p>
    <w:p>
      <w:pPr>
        <w:pStyle w:val="ListBullet"/>
        <w:spacing w:line="240" w:lineRule="auto"/>
        <w:ind w:left="720"/>
      </w:pPr>
      <w:r>
        <w:rPr>
          <w:lang w:val="en_US" w:bidi="en_US"/>
        </w:rPr>
      </w:r>
      <w:r>
        <w:rPr>
          <w:lang w:val="en_US" w:bidi="en_US"/>
        </w:rPr>
        <w:t>Use a term for a similar ritual that is already used in your culture. You may need to indicate that in this context it has a special connection with God. For example:</w:t>
      </w:r>
      <w:r>
        <w:rPr>
          <w:lang w:val="en_US" w:bidi="en_US"/>
        </w:rPr>
        <w:t xml:space="preserve">purifies people with </w:t>
      </w:r>
      <w:r>
        <w:rPr>
          <w:u w:val="single"/>
          <w:lang w:val="en_US" w:bidi="en_US"/>
        </w:rPr>
        <w:t>God’s</w:t>
      </w:r>
      <w:r>
        <w:rPr>
          <w:lang w:val="en_US" w:bidi="en_US"/>
        </w:rPr>
        <w:t xml:space="preserve"> ceremonial bath</w:t>
      </w:r>
      <w:r>
        <w:rPr>
          <w:lang w:val="en_US" w:bidi="en_US"/>
        </w:rPr>
        <w:t xml:space="preserve">washes people in initiation water </w:t>
      </w:r>
      <w:r>
        <w:rPr>
          <w:u w:val="single"/>
          <w:lang w:val="en_US" w:bidi="en_US"/>
        </w:rPr>
        <w:t>for God</w:t>
      </w:r>
    </w:p>
    <w:p>
      <w:pPr>
        <w:pStyle w:val="ListBullet"/>
        <w:spacing w:line="240" w:lineRule="auto"/>
        <w:ind w:left="720"/>
      </w:pPr>
      <w:r>
        <w:rPr>
          <w:lang w:val="en_US" w:bidi="en_US"/>
        </w:rPr>
      </w:r>
      <w:r>
        <w:rPr>
          <w:lang w:val="en_US" w:bidi="en_US"/>
        </w:rPr>
        <w:t>Use a term that is already accepted by the local churches. In some areas this term may have been borrowed from the national language or transliterated from Greek or English.</w:t>
      </w:r>
    </w:p>
    <w:p>
      <w:pPr/>
      <w:r>
        <w:rPr>
          <w:lang w:val="en_US" w:bidi="en_US"/>
        </w:rPr>
      </w:r>
      <w:r>
        <w:rPr>
          <w:lang w:val="en_US" w:bidi="en_US"/>
        </w:rPr>
        <w:t>Churches use different ways to baptize people. Choose a term that is acceptable to the different churches in your area.</w:t>
      </w:r>
    </w:p>
    <w:p>
      <w:pPr/>
      <w:r>
        <w:rPr>
          <w:lang w:val="en_US" w:bidi="en_US"/>
        </w:rPr>
      </w:r>
      <w:r>
        <w:rPr>
          <w:lang w:val="en_US" w:bidi="en_US"/>
        </w:rPr>
        <w:t>Some other ways to translate the title “John the Baptist” are:</w:t>
      </w:r>
    </w:p>
    <w:p>
      <w:pPr/>
      <w:r>
        <w:rPr>
          <w:lang w:val="en_US" w:bidi="en_US"/>
        </w:rPr>
      </w:r>
      <w:r>
        <w:rPr>
          <w:lang w:val="en_US" w:bidi="en_US"/>
        </w:rPr>
        <w:t xml:space="preserve">John who cleansed </w:t>
      </w:r>
      <w:r>
        <w:rPr>
          <w:lang w:val="en_US" w:bidi="en_US"/>
        </w:rPr>
        <w:t>people</w:t>
      </w:r>
      <w:r>
        <w:rPr>
          <w:lang w:val="en_US" w:bidi="en_US"/>
        </w:rPr>
        <w:t xml:space="preserve"> </w:t>
      </w:r>
      <w:r>
        <w:rPr>
          <w:lang w:val="en_US" w:bidi="en_US"/>
        </w:rPr>
        <w:t>for God</w:t>
      </w:r>
    </w:p>
    <w:p>
      <w:pPr/>
      <w:r>
        <w:rPr>
          <w:lang w:val="en_US" w:bidi="en_US"/>
        </w:rPr>
      </w:r>
      <w:r>
        <w:rPr>
          <w:lang w:val="en_US" w:bidi="en_US"/>
        </w:rPr>
        <w:t xml:space="preserve">John the </w:t>
      </w:r>
      <w:r>
        <w:rPr>
          <w:lang w:val="en_US" w:bidi="en_US"/>
        </w:rPr>
        <w:t>Ritual</w:t>
      </w:r>
      <w:r>
        <w:rPr>
          <w:lang w:val="en_US" w:bidi="en_US"/>
        </w:rPr>
        <w:t xml:space="preserve"> Purifier</w:t>
      </w:r>
    </w:p>
    <w:p>
      <w:pPr/>
      <w:r>
        <w:rPr>
          <w:lang w:val="en_US" w:bidi="en_US"/>
        </w:rPr>
      </w:r>
      <w:r>
        <w:rPr>
          <w:lang w:val="en_US" w:bidi="en_US"/>
        </w:rPr>
        <w:t xml:space="preserve">John who initiated </w:t>
      </w:r>
      <w:r>
        <w:rPr>
          <w:lang w:val="en_US" w:bidi="en_US"/>
        </w:rPr>
        <w:t>people</w:t>
      </w:r>
      <w:r>
        <w:rPr>
          <w:lang w:val="en_US" w:bidi="en_US"/>
        </w:rPr>
        <w:t xml:space="preserve"> with God’s washing</w:t>
      </w:r>
    </w:p>
    <w:p>
      <w:pPr/>
      <w:r>
        <w:rPr>
          <w:lang w:val="en_US" w:bidi="en_US"/>
        </w:rPr>
      </w:r>
      <w:r>
        <w:rPr>
          <w:lang w:val="en_US" w:bidi="en_US"/>
        </w:rPr>
        <w:t>See how you translated “John the Baptist” in 7:20b.</w:t>
      </w:r>
    </w:p>
    <w:p>
      <w:pPr>
        <w:pStyle w:val="Heading5"/>
      </w:pPr>
      <w:r>
        <w:rPr>
          <w:lang w:val="en_US" w:bidi="en_US"/>
        </w:rPr>
        <w:t>9:19b</w:t>
      </w:r>
    </w:p>
    <w:p>
      <w:pPr/>
      <w:r>
        <w:rPr>
          <w:lang w:val="en_US" w:bidi="en_US"/>
        </w:rPr>
      </w:r>
      <w:r>
        <w:rPr>
          <w:b/>
          <w:lang w:val="en_US" w:bidi="en_US"/>
        </w:rPr>
        <w:t>others say Elijah;</w:t>
      </w:r>
    </w:p>
    <w:p>
      <w:pPr>
        <w:pStyle w:val="ListBullet"/>
        <w:spacing w:line="240" w:lineRule="auto"/>
        <w:ind w:left="720"/>
      </w:pPr>
      <w:r>
        <w:rPr>
          <w:lang w:val="en_US" w:bidi="en_US"/>
        </w:rPr>
      </w:r>
      <w:r>
        <w:rPr>
          <w:lang w:val="en_US" w:bidi="en_US"/>
        </w:rPr>
        <w:t xml:space="preserve">Other </w:t>
      </w:r>
      <w:r>
        <w:rPr>
          <w:lang w:val="en_US" w:bidi="en_US"/>
        </w:rPr>
        <w:t>people</w:t>
      </w:r>
      <w:r>
        <w:rPr>
          <w:lang w:val="en_US" w:bidi="en_US"/>
        </w:rPr>
        <w:t xml:space="preserve"> are saying </w:t>
      </w:r>
      <w:r>
        <w:rPr>
          <w:lang w:val="en_US" w:bidi="en_US"/>
        </w:rPr>
        <w:t>that you are</w:t>
      </w:r>
      <w:r>
        <w:rPr>
          <w:lang w:val="en_US" w:bidi="en_US"/>
        </w:rPr>
        <w:t xml:space="preserve"> </w:t>
      </w:r>
      <w:r>
        <w:rPr>
          <w:lang w:val="en_US" w:bidi="en_US"/>
        </w:rPr>
        <w:t>the prophet</w:t>
      </w:r>
      <w:r>
        <w:rPr>
          <w:lang w:val="en_US" w:bidi="en_US"/>
        </w:rPr>
        <w:t xml:space="preserve"> Elijah.</w:t>
      </w:r>
    </w:p>
    <w:p>
      <w:pPr>
        <w:pStyle w:val="ListBullet"/>
        <w:spacing w:line="240" w:lineRule="auto"/>
        <w:ind w:left="720"/>
      </w:pPr>
      <w:r>
        <w:rPr>
          <w:lang w:val="en_US" w:bidi="en_US"/>
        </w:rPr>
      </w:r>
      <w:r>
        <w:rPr>
          <w:lang w:val="en_US" w:bidi="en_US"/>
        </w:rPr>
        <w:t xml:space="preserve">Other </w:t>
      </w:r>
      <w:r>
        <w:rPr>
          <w:lang w:val="en_US" w:bidi="en_US"/>
        </w:rPr>
        <w:t>people</w:t>
      </w:r>
      <w:r>
        <w:rPr>
          <w:lang w:val="en_US" w:bidi="en_US"/>
        </w:rPr>
        <w:t xml:space="preserve"> think/believe that </w:t>
      </w:r>
      <w:r>
        <w:rPr>
          <w:lang w:val="en_US" w:bidi="en_US"/>
        </w:rPr>
        <w:t>you are</w:t>
      </w:r>
      <w:r>
        <w:rPr>
          <w:lang w:val="en_US" w:bidi="en_US"/>
        </w:rPr>
        <w:t xml:space="preserve"> Elijah </w:t>
      </w:r>
      <w:r>
        <w:rPr>
          <w:lang w:val="en_US" w:bidi="en_US"/>
        </w:rPr>
        <w:t>the prophet</w:t>
      </w:r>
      <w:r>
        <w:rPr>
          <w:lang w:val="en_US" w:bidi="en_US"/>
        </w:rPr>
        <w:t>.</w:t>
      </w:r>
    </w:p>
    <w:p>
      <w:pPr/>
      <w:r>
        <w:rPr>
          <w:lang w:val="en_US" w:bidi="en_US"/>
        </w:rPr>
      </w:r>
      <w:r>
        <w:rPr>
          <w:b/>
          <w:lang w:val="en_US" w:bidi="en_US"/>
        </w:rPr>
        <w:t>others say Elijah:</w:t>
      </w:r>
      <w:r>
        <w:rPr>
          <w:lang w:val="en_US" w:bidi="en_US"/>
        </w:rPr>
        <w:t xml:space="preserve"> In this clause the disciples told Jesus what other people said about him. They again left some information implied. In some languages it is natural to make this information explicit. For example:</w:t>
      </w:r>
    </w:p>
    <w:p>
      <w:pPr/>
      <w:r>
        <w:rPr>
          <w:lang w:val="en_US" w:bidi="en_US"/>
        </w:rPr>
      </w:r>
      <w:r>
        <w:rPr>
          <w:lang w:val="en_US" w:bidi="en_US"/>
        </w:rPr>
        <w:t xml:space="preserve">Other </w:t>
      </w:r>
      <w:r>
        <w:rPr>
          <w:lang w:val="en_US" w:bidi="en_US"/>
        </w:rPr>
        <w:t>people</w:t>
      </w:r>
      <w:r>
        <w:rPr>
          <w:lang w:val="en_US" w:bidi="en_US"/>
        </w:rPr>
        <w:t xml:space="preserve"> say </w:t>
      </w:r>
      <w:r>
        <w:rPr>
          <w:lang w:val="en_US" w:bidi="en_US"/>
        </w:rPr>
        <w:t>that you are</w:t>
      </w:r>
      <w:r>
        <w:rPr>
          <w:lang w:val="en_US" w:bidi="en_US"/>
        </w:rPr>
        <w:t xml:space="preserve"> Elijah</w:t>
      </w:r>
    </w:p>
    <w:p>
      <w:pPr/>
      <w:r>
        <w:rPr>
          <w:lang w:val="en_US" w:bidi="en_US"/>
        </w:rPr>
      </w:r>
      <w:r>
        <w:rPr>
          <w:lang w:val="en_US" w:bidi="en_US"/>
        </w:rPr>
        <w:t>This clause is similar to 9:8a. See the note there for more information about Elijah.</w:t>
      </w:r>
    </w:p>
    <w:p>
      <w:pPr>
        <w:pStyle w:val="Heading5"/>
      </w:pPr>
      <w:r>
        <w:rPr>
          <w:lang w:val="en_US" w:bidi="en_US"/>
        </w:rPr>
        <w:t>9:19c</w:t>
      </w:r>
    </w:p>
    <w:p>
      <w:pPr/>
      <w:r>
        <w:rPr>
          <w:lang w:val="en_US" w:bidi="en_US"/>
        </w:rPr>
      </w:r>
      <w:r>
        <w:rPr>
          <w:b/>
          <w:lang w:val="en_US" w:bidi="en_US"/>
        </w:rPr>
        <w:t>and still others, that a prophet of old has arisen.”</w:t>
      </w:r>
    </w:p>
    <w:p>
      <w:pPr>
        <w:pStyle w:val="ListBullet"/>
        <w:spacing w:line="240" w:lineRule="auto"/>
        <w:ind w:left="720"/>
      </w:pPr>
      <w:r>
        <w:rPr>
          <w:lang w:val="en_US" w:bidi="en_US"/>
        </w:rPr>
      </w:r>
      <w:r>
        <w:rPr>
          <w:lang w:val="en_US" w:bidi="en_US"/>
        </w:rPr>
        <w:t xml:space="preserve">And other </w:t>
      </w:r>
      <w:r>
        <w:rPr>
          <w:lang w:val="en_US" w:bidi="en_US"/>
        </w:rPr>
        <w:t>people</w:t>
      </w:r>
      <w:r>
        <w:rPr>
          <w:lang w:val="en_US" w:bidi="en_US"/>
        </w:rPr>
        <w:t xml:space="preserve"> say that you are </w:t>
      </w:r>
      <w:r>
        <w:rPr>
          <w:lang w:val="en_US" w:bidi="en_US"/>
        </w:rPr>
        <w:t>another</w:t>
      </w:r>
      <w:r>
        <w:rPr>
          <w:lang w:val="en_US" w:bidi="en_US"/>
        </w:rPr>
        <w:t xml:space="preserve"> one of the prophets who lived </w:t>
      </w:r>
      <w:r>
        <w:rPr>
          <w:lang w:val="en_US" w:bidi="en_US"/>
        </w:rPr>
        <w:t>and died</w:t>
      </w:r>
      <w:r>
        <w:rPr>
          <w:lang w:val="en_US" w:bidi="en_US"/>
        </w:rPr>
        <w:t xml:space="preserve"> long ago and who is alive again.”</w:t>
      </w:r>
    </w:p>
    <w:p>
      <w:pPr>
        <w:pStyle w:val="ListBullet"/>
        <w:spacing w:line="240" w:lineRule="auto"/>
        <w:ind w:left="720"/>
      </w:pPr>
      <w:r>
        <w:rPr>
          <w:lang w:val="en_US" w:bidi="en_US"/>
        </w:rPr>
      </w:r>
      <w:r>
        <w:rPr>
          <w:lang w:val="en_US" w:bidi="en_US"/>
        </w:rPr>
        <w:t xml:space="preserve">But other </w:t>
      </w:r>
      <w:r>
        <w:rPr>
          <w:lang w:val="en_US" w:bidi="en_US"/>
        </w:rPr>
        <w:t>people</w:t>
      </w:r>
      <w:r>
        <w:rPr>
          <w:lang w:val="en_US" w:bidi="en_US"/>
        </w:rPr>
        <w:t xml:space="preserve"> think/believe that you are a </w:t>
      </w:r>
      <w:r>
        <w:rPr>
          <w:lang w:val="en_US" w:bidi="en_US"/>
        </w:rPr>
        <w:t>different</w:t>
      </w:r>
      <w:r>
        <w:rPr>
          <w:lang w:val="en_US" w:bidi="en_US"/>
        </w:rPr>
        <w:t xml:space="preserve"> prophet from long ago who has risen from the dead.”</w:t>
      </w:r>
    </w:p>
    <w:p>
      <w:pPr/>
      <w:r>
        <w:rPr>
          <w:lang w:val="en_US" w:bidi="en_US"/>
        </w:rPr>
      </w:r>
      <w:r>
        <w:rPr>
          <w:b/>
          <w:lang w:val="en_US" w:bidi="en_US"/>
        </w:rPr>
        <w:t>and still others, that a prophet of old has arisen:</w:t>
      </w:r>
      <w:r>
        <w:rPr>
          <w:lang w:val="en_US" w:bidi="en_US"/>
        </w:rPr>
        <w:t xml:space="preserve"> The phrase </w:t>
      </w:r>
      <w:r>
        <w:rPr>
          <w:i/>
          <w:lang w:val="en_US" w:bidi="en_US"/>
        </w:rPr>
        <w:t>still others</w:t>
      </w:r>
      <w:r>
        <w:rPr>
          <w:lang w:val="en_US" w:bidi="en_US"/>
        </w:rPr>
        <w:t xml:space="preserve"> indicates that the disciples referred to another group of people who had a different opinion about Jesus. In this part of the verse the disciples again left some of the information in their reply implied. In some languages it may be necessary to make this information explicit, as in the previous two verse parts. For example:</w:t>
      </w:r>
    </w:p>
    <w:p>
      <w:pPr/>
      <w:r>
        <w:rPr>
          <w:lang w:val="en_US" w:bidi="en_US"/>
        </w:rPr>
      </w:r>
      <w:r>
        <w:rPr>
          <w:lang w:val="en_US" w:bidi="en_US"/>
        </w:rPr>
        <w:t xml:space="preserve">and some other </w:t>
      </w:r>
      <w:r>
        <w:rPr>
          <w:lang w:val="en_US" w:bidi="en_US"/>
        </w:rPr>
        <w:t>people</w:t>
      </w:r>
      <w:r>
        <w:rPr>
          <w:lang w:val="en_US" w:bidi="en_US"/>
        </w:rPr>
        <w:t xml:space="preserve"> </w:t>
      </w:r>
      <w:r>
        <w:rPr>
          <w:lang w:val="en_US" w:bidi="en_US"/>
        </w:rPr>
        <w:t>say that you are</w:t>
      </w:r>
      <w:r>
        <w:rPr>
          <w:lang w:val="en_US" w:bidi="en_US"/>
        </w:rPr>
        <w:t xml:space="preserve"> one of the prophets of long ago who has come back to life</w:t>
      </w:r>
    </w:p>
    <w:p>
      <w:pPr/>
      <w:r>
        <w:rPr>
          <w:lang w:val="en_US" w:bidi="en_US"/>
        </w:rPr>
      </w:r>
      <w:r>
        <w:rPr>
          <w:lang w:val="en_US" w:bidi="en_US"/>
        </w:rPr>
        <w:t>This part of the verse is similar to 9:8b.</w:t>
      </w:r>
    </w:p>
    <w:p>
      <w:pPr/>
      <w:r>
        <w:rPr>
          <w:lang w:val="en_US" w:bidi="en_US"/>
        </w:rPr>
      </w:r>
      <w:r>
        <w:rPr>
          <w:b/>
          <w:lang w:val="en_US" w:bidi="en_US"/>
        </w:rPr>
        <w:t>a prophet of old:</w:t>
      </w:r>
      <w:r>
        <w:rPr>
          <w:lang w:val="en_US" w:bidi="en_US"/>
        </w:rPr>
        <w:t xml:space="preserve"> The phrase </w:t>
      </w:r>
      <w:r>
        <w:rPr>
          <w:i/>
          <w:lang w:val="en_US" w:bidi="en_US"/>
        </w:rPr>
        <w:t>a prophet of old</w:t>
      </w:r>
      <w:r>
        <w:rPr>
          <w:lang w:val="en_US" w:bidi="en_US"/>
        </w:rPr>
        <w:t xml:space="preserve"> refers to a prophet who lived and died a long time before Jesus and his disciples were born. The word </w:t>
      </w:r>
      <w:r>
        <w:rPr>
          <w:i/>
          <w:lang w:val="en_US" w:bidi="en_US"/>
        </w:rPr>
        <w:t>prophet</w:t>
      </w:r>
      <w:r>
        <w:rPr>
          <w:lang w:val="en_US" w:bidi="en_US"/>
        </w:rPr>
        <w:t xml:space="preserve"> is the same word as in 9:8b. See also prophet in the Glossary.</w:t>
      </w:r>
    </w:p>
    <w:p>
      <w:pPr/>
      <w:r>
        <w:rPr>
          <w:lang w:val="en_US" w:bidi="en_US"/>
        </w:rPr>
      </w:r>
      <w:r>
        <w:rPr>
          <w:b/>
          <w:lang w:val="en_US" w:bidi="en_US"/>
        </w:rPr>
        <w:t>has arisen:</w:t>
      </w:r>
      <w:r>
        <w:rPr>
          <w:lang w:val="en_US" w:bidi="en_US"/>
        </w:rPr>
        <w:t xml:space="preserve"> In this context the phrase </w:t>
      </w:r>
      <w:r>
        <w:rPr>
          <w:i/>
          <w:lang w:val="en_US" w:bidi="en_US"/>
        </w:rPr>
        <w:t>has arisen</w:t>
      </w:r>
      <w:r>
        <w:rPr>
          <w:lang w:val="en_US" w:bidi="en_US"/>
        </w:rPr>
        <w:t xml:space="preserve"> means “has risen from the dead.”</w:t>
      </w:r>
      <w:r>
        <w:rPr>
          <w:lang w:val="en_US" w:bidi="en_US"/>
        </w:rPr>
      </w:r>
      <w:r>
        <w:rPr>
          <w:lang w:val="en_US" w:bidi="en_US"/>
        </w:rPr>
      </w:r>
    </w:p>
    <w:p>
      <w:pPr/>
      <w:r>
        <w:rPr>
          <w:lang w:val="en_US" w:bidi="en_US"/>
        </w:rPr>
      </w:r>
    </w:p>
    <w:p>
      <w:pPr>
        <w:pStyle w:val="Heading2"/>
      </w:pPr>
      <w:r>
        <w:rPr>
          <w:lang w:val="en_US" w:bidi="en_US"/>
        </w:rPr>
        <w:t>Luke 9:20</w:t>
      </w:r>
      <w:r>
        <w:rPr>
          <w:lang w:val="en_US" w:bidi="en_US"/>
        </w:rPr>
      </w:r>
    </w:p>
    <w:p>
      <w:pPr>
        <w:pStyle w:val="Heading4"/>
      </w:pPr>
      <w:r>
        <w:rPr>
          <w:lang w:val="en_US" w:bidi="en_US"/>
        </w:rPr>
        <w:t>Section 9:18–22: Peter declared that Jesus is the Christ</w:t>
      </w:r>
    </w:p>
    <w:p>
      <w:pPr/>
      <w:r>
        <w:rPr>
          <w:lang w:val="en_US" w:bidi="en_US"/>
        </w:rPr>
      </w:r>
      <w:r>
        <w:rPr>
          <w:lang w:val="en_US" w:bidi="en_US"/>
        </w:rPr>
        <w:t>In Section 9:7–9, Herod was confused about what kind of person Jesus was. In Section 9:10–17, when Jesus fed more than five thousand people, he showed that he was someone with miraculous power. In this Section, 9:18–22, Jesus asked his disciples what people were saying about who he was. This question implies that he wanted to know whether people thought that God had sent him. He also wanted to know what they thought his mission was. Their answers were very similar to the reports that Herod had heard in 9:7–9.</w:t>
      </w:r>
    </w:p>
    <w:p>
      <w:pPr/>
      <w:r>
        <w:rPr>
          <w:lang w:val="en_US" w:bidi="en_US"/>
        </w:rPr>
      </w:r>
      <w:r>
        <w:rPr>
          <w:lang w:val="en_US" w:bidi="en_US"/>
        </w:rPr>
        <w:t>Jesus then asked the disciples what they themselves thought about him. Peter replied that Jesus was the Christ, the Messiah. Jesus ordered them not to tell others who he was. He explained to the disciples what would happen to him as the Messiah. In contrast to what the disciples thought that Jesus would do as their Messiah, God planned for him to suffer, die, and live again.</w:t>
      </w:r>
    </w:p>
    <w:p>
      <w:pPr/>
      <w:r>
        <w:rPr>
          <w:lang w:val="en_US" w:bidi="en_US"/>
        </w:rPr>
      </w:r>
      <w:r>
        <w:rPr>
          <w:lang w:val="en_US" w:bidi="en_US"/>
        </w:rPr>
        <w:t>It is good to translate this section before you decide on a heading for it. Some other headings for this section are:</w:t>
      </w:r>
    </w:p>
    <w:p>
      <w:pPr/>
      <w:r>
        <w:rPr>
          <w:lang w:val="en_US" w:bidi="en_US"/>
        </w:rPr>
      </w:r>
      <w:r>
        <w:rPr>
          <w:lang w:val="en_US" w:bidi="en_US"/>
        </w:rPr>
        <w:t>Peter’s declaration that Jesus was the Messiah</w:t>
      </w:r>
    </w:p>
    <w:p>
      <w:pPr/>
      <w:r>
        <w:rPr>
          <w:lang w:val="en_US" w:bidi="en_US"/>
        </w:rPr>
      </w:r>
      <w:r>
        <w:rPr>
          <w:lang w:val="en_US" w:bidi="en_US"/>
        </w:rPr>
        <w:t>Peter stated his belief about who Jesus was</w:t>
      </w:r>
    </w:p>
    <w:p>
      <w:pPr/>
      <w:r>
        <w:rPr>
          <w:lang w:val="en_US" w:bidi="en_US"/>
        </w:rPr>
      </w:r>
      <w:r>
        <w:rPr>
          <w:lang w:val="en_US" w:bidi="en_US"/>
        </w:rPr>
        <w:t>There are parallel passages for this section in Matthew 16:13–16 and Mark 8:27–30.</w:t>
      </w:r>
    </w:p>
    <w:p>
      <w:pPr>
        <w:pStyle w:val="Heading5"/>
      </w:pPr>
      <w:r>
        <w:rPr>
          <w:lang w:val="en_US" w:bidi="en_US"/>
        </w:rPr>
        <w:t>9:20a</w:t>
      </w:r>
    </w:p>
    <w:p>
      <w:pPr/>
      <w:r>
        <w:rPr>
          <w:lang w:val="en_US" w:bidi="en_US"/>
        </w:rPr>
      </w:r>
      <w:r>
        <w:rPr>
          <w:b/>
          <w:lang w:val="en_US" w:bidi="en_US"/>
        </w:rPr>
        <w:t>“But what about you?” Jesus asked. “Who do you say I am?”</w:t>
      </w:r>
    </w:p>
    <w:p>
      <w:pPr>
        <w:pStyle w:val="ListBullet"/>
        <w:spacing w:line="240" w:lineRule="auto"/>
        <w:ind w:left="720"/>
      </w:pPr>
      <w:r>
        <w:rPr>
          <w:lang w:val="en_US" w:bidi="en_US"/>
        </w:rPr>
      </w:r>
      <w:r>
        <w:rPr>
          <w:lang w:val="en_US" w:bidi="en_US"/>
        </w:rPr>
        <w:t>Then he asked them, “But what do you</w:t>
      </w:r>
      <w:r>
        <w:rPr>
          <w:vertAlign w:val="superscript"/>
          <w:lang w:val="en_US" w:bidi="en_US"/>
        </w:rPr>
        <w:t>(plur)</w:t>
      </w:r>
      <w:r>
        <w:rPr>
          <w:lang w:val="en_US" w:bidi="en_US"/>
        </w:rPr>
        <w:t xml:space="preserve"> yourselves </w:t>
      </w:r>
      <w:r>
        <w:rPr>
          <w:lang w:val="en_US" w:bidi="en_US"/>
        </w:rPr>
        <w:t>think about me</w:t>
      </w:r>
      <w:r>
        <w:rPr>
          <w:lang w:val="en_US" w:bidi="en_US"/>
        </w:rPr>
        <w:t>? Who do you say that I am?”</w:t>
      </w:r>
    </w:p>
    <w:p>
      <w:pPr>
        <w:pStyle w:val="ListBullet"/>
        <w:spacing w:line="240" w:lineRule="auto"/>
        <w:ind w:left="720"/>
      </w:pPr>
      <w:r>
        <w:rPr>
          <w:lang w:val="en_US" w:bidi="en_US"/>
        </w:rPr>
      </w:r>
      <w:r>
        <w:rPr>
          <w:lang w:val="en_US" w:bidi="en_US"/>
        </w:rPr>
        <w:t>Jesus then asked his disciples, “But as for you</w:t>
      </w:r>
      <w:r>
        <w:rPr>
          <w:vertAlign w:val="superscript"/>
          <w:lang w:val="en_US" w:bidi="en_US"/>
        </w:rPr>
        <w:t>(plur)</w:t>
      </w:r>
      <w:r>
        <w:rPr>
          <w:lang w:val="en_US" w:bidi="en_US"/>
        </w:rPr>
        <w:t>, who do you think/believe that I am?”</w:t>
      </w:r>
    </w:p>
    <w:p>
      <w:pPr/>
      <w:r>
        <w:rPr>
          <w:lang w:val="en_US" w:bidi="en_US"/>
        </w:rPr>
      </w:r>
      <w:r>
        <w:rPr>
          <w:b/>
          <w:lang w:val="en_US" w:bidi="en_US"/>
        </w:rPr>
        <w:t>But what about you?:</w:t>
      </w:r>
      <w:r>
        <w:rPr>
          <w:lang w:val="en_US" w:bidi="en_US"/>
        </w:rPr>
        <w:t xml:space="preserve"> The Greek phrase that the BSB translates as “But what about you” is literally “But you.” The pronoun </w:t>
      </w:r>
      <w:r>
        <w:rPr>
          <w:i/>
          <w:lang w:val="en_US" w:bidi="en_US"/>
        </w:rPr>
        <w:t>you</w:t>
      </w:r>
      <w:r>
        <w:rPr>
          <w:lang w:val="en_US" w:bidi="en_US"/>
        </w:rPr>
        <w:t xml:space="preserve"> is emphatic and contrasts the disciples with the crowds in the previous verse.</w:t>
      </w:r>
    </w:p>
    <w:p>
      <w:pPr/>
      <w:r>
        <w:rPr>
          <w:lang w:val="en_US" w:bidi="en_US"/>
        </w:rPr>
      </w:r>
      <w:r>
        <w:rPr>
          <w:b/>
          <w:lang w:val="en_US" w:bidi="en_US"/>
        </w:rPr>
        <w:t>Jesus asked:</w:t>
      </w:r>
      <w:r>
        <w:rPr>
          <w:lang w:val="en_US" w:bidi="en_US"/>
        </w:rPr>
        <w:t xml:space="preserve"> The BSB has placed the clause </w:t>
      </w:r>
      <w:r>
        <w:rPr>
          <w:i/>
          <w:lang w:val="en_US" w:bidi="en_US"/>
        </w:rPr>
        <w:t>Jesus asked</w:t>
      </w:r>
      <w:r>
        <w:rPr>
          <w:lang w:val="en_US" w:bidi="en_US"/>
        </w:rPr>
        <w:t xml:space="preserve"> in the middle of what Jesus said. In the Greek text it comes before the speech begins. Place it where it is most natural in your language.</w:t>
      </w:r>
    </w:p>
    <w:p>
      <w:pPr/>
      <w:r>
        <w:rPr>
          <w:lang w:val="en_US" w:bidi="en_US"/>
        </w:rPr>
      </w:r>
      <w:r>
        <w:rPr>
          <w:b/>
          <w:lang w:val="en_US" w:bidi="en_US"/>
        </w:rPr>
        <w:t>Who do you say I am?:</w:t>
      </w:r>
      <w:r>
        <w:rPr>
          <w:lang w:val="en_US" w:bidi="en_US"/>
        </w:rPr>
        <w:t xml:space="preserve"> Jesus asked the disciples to tell him who </w:t>
      </w:r>
      <w:r>
        <w:rPr>
          <w:u w:val="single"/>
          <w:lang w:val="en_US" w:bidi="en_US"/>
        </w:rPr>
        <w:t>they</w:t>
      </w:r>
      <w:r>
        <w:rPr>
          <w:lang w:val="en_US" w:bidi="en_US"/>
        </w:rPr>
        <w:t xml:space="preserve"> thought he was. This question is similar to the one in 9:18b.</w:t>
      </w:r>
    </w:p>
    <w:p>
      <w:pPr>
        <w:pStyle w:val="Heading5"/>
      </w:pPr>
      <w:r>
        <w:rPr>
          <w:lang w:val="en_US" w:bidi="en_US"/>
        </w:rPr>
        <w:t>9:20b</w:t>
      </w:r>
    </w:p>
    <w:p>
      <w:pPr/>
      <w:r>
        <w:rPr>
          <w:lang w:val="en_US" w:bidi="en_US"/>
        </w:rPr>
      </w:r>
      <w:r>
        <w:rPr>
          <w:b/>
          <w:lang w:val="en_US" w:bidi="en_US"/>
        </w:rPr>
        <w:t>Peter answered, “The Christ of God.”</w:t>
      </w:r>
    </w:p>
    <w:p>
      <w:pPr>
        <w:pStyle w:val="ListBullet"/>
        <w:spacing w:line="240" w:lineRule="auto"/>
        <w:ind w:left="720"/>
      </w:pPr>
      <w:r>
        <w:rPr>
          <w:lang w:val="en_US" w:bidi="en_US"/>
        </w:rPr>
      </w:r>
      <w:r>
        <w:rPr>
          <w:lang w:val="en_US" w:bidi="en_US"/>
        </w:rPr>
        <w:t>Peter replied, “</w:t>
      </w:r>
      <w:r>
        <w:rPr>
          <w:lang w:val="en_US" w:bidi="en_US"/>
        </w:rPr>
        <w:t>You</w:t>
      </w:r>
      <w:r>
        <w:rPr>
          <w:vertAlign w:val="superscript"/>
          <w:lang w:val="en_US" w:bidi="en_US"/>
        </w:rPr>
        <w:t>(sing)</w:t>
      </w:r>
      <w:r>
        <w:rPr>
          <w:lang w:val="en_US" w:bidi="en_US"/>
        </w:rPr>
        <w:t xml:space="preserve"> </w:t>
      </w:r>
      <w:r>
        <w:rPr>
          <w:lang w:val="en_US" w:bidi="en_US"/>
        </w:rPr>
        <w:t>are</w:t>
      </w:r>
      <w:r>
        <w:rPr>
          <w:lang w:val="en_US" w:bidi="en_US"/>
        </w:rPr>
        <w:t xml:space="preserve"> the Christ/Messiah from God.”</w:t>
      </w:r>
    </w:p>
    <w:p>
      <w:pPr>
        <w:pStyle w:val="ListBullet"/>
        <w:spacing w:line="240" w:lineRule="auto"/>
        <w:ind w:left="720"/>
      </w:pPr>
      <w:r>
        <w:rPr>
          <w:lang w:val="en_US" w:bidi="en_US"/>
        </w:rPr>
      </w:r>
      <w:r>
        <w:rPr>
          <w:lang w:val="en_US" w:bidi="en_US"/>
        </w:rPr>
        <w:t>And Peter answered Jesus, “</w:t>
      </w:r>
      <w:r>
        <w:rPr>
          <w:lang w:val="en_US" w:bidi="en_US"/>
        </w:rPr>
        <w:t>You</w:t>
      </w:r>
      <w:r>
        <w:rPr>
          <w:vertAlign w:val="superscript"/>
          <w:lang w:val="en_US" w:bidi="en_US"/>
        </w:rPr>
        <w:t>(sing)</w:t>
      </w:r>
      <w:r>
        <w:rPr>
          <w:lang w:val="en_US" w:bidi="en_US"/>
        </w:rPr>
        <w:t xml:space="preserve"> </w:t>
      </w:r>
      <w:r>
        <w:rPr>
          <w:lang w:val="en_US" w:bidi="en_US"/>
        </w:rPr>
        <w:t>are</w:t>
      </w:r>
      <w:r>
        <w:rPr>
          <w:lang w:val="en_US" w:bidi="en_US"/>
        </w:rPr>
        <w:t xml:space="preserve"> the Christ/Messiah, the one whom God </w:t>
      </w:r>
      <w:r>
        <w:rPr>
          <w:lang w:val="en_US" w:bidi="en_US"/>
        </w:rPr>
        <w:t>promised to send</w:t>
      </w:r>
      <w:r>
        <w:rPr>
          <w:lang w:val="en_US" w:bidi="en_US"/>
        </w:rPr>
        <w:t>.”</w:t>
      </w:r>
    </w:p>
    <w:p>
      <w:pPr/>
      <w:r>
        <w:rPr>
          <w:lang w:val="en_US" w:bidi="en_US"/>
        </w:rPr>
      </w:r>
      <w:r>
        <w:rPr>
          <w:b/>
          <w:lang w:val="en_US" w:bidi="en_US"/>
        </w:rPr>
        <w:t>Peter answered, “The Christ of God”:</w:t>
      </w:r>
      <w:r>
        <w:rPr>
          <w:lang w:val="en_US" w:bidi="en_US"/>
        </w:rPr>
        <w:t xml:space="preserve"> As in previous verse parts, Peter’s answer left some information implied. In some languages it may be natural to make this information explicit. For example:</w:t>
      </w:r>
    </w:p>
    <w:p>
      <w:pPr/>
      <w:r>
        <w:rPr>
          <w:lang w:val="en_US" w:bidi="en_US"/>
        </w:rPr>
      </w:r>
      <w:r>
        <w:rPr>
          <w:u w:val="single"/>
          <w:lang w:val="en_US" w:bidi="en_US"/>
        </w:rPr>
        <w:t>You are</w:t>
      </w:r>
      <w:r>
        <w:rPr>
          <w:lang w:val="en_US" w:bidi="en_US"/>
        </w:rPr>
        <w:t xml:space="preserve"> the Christ from God. (NCV)</w:t>
      </w:r>
    </w:p>
    <w:p>
      <w:pPr/>
      <w:r>
        <w:rPr>
          <w:lang w:val="en_US" w:bidi="en_US"/>
        </w:rPr>
      </w:r>
      <w:r>
        <w:rPr>
          <w:lang w:val="en_US" w:bidi="en_US"/>
        </w:rPr>
        <w:t xml:space="preserve">The phrase that the BSB translates literally as </w:t>
      </w:r>
      <w:r>
        <w:rPr>
          <w:i/>
          <w:lang w:val="en_US" w:bidi="en_US"/>
        </w:rPr>
        <w:t>The Christ of God</w:t>
      </w:r>
      <w:r>
        <w:rPr>
          <w:lang w:val="en_US" w:bidi="en_US"/>
        </w:rPr>
        <w:t xml:space="preserve"> means:</w:t>
      </w:r>
    </w:p>
    <w:p>
      <w:pPr/>
      <w:r>
        <w:rPr>
          <w:lang w:val="en_US" w:bidi="en_US"/>
        </w:rPr>
      </w:r>
      <w:r>
        <w:rPr>
          <w:lang w:val="en_US" w:bidi="en_US"/>
        </w:rPr>
        <w:t>the Christ from God (NCV)</w:t>
      </w:r>
    </w:p>
    <w:p>
      <w:pPr/>
      <w:r>
        <w:rPr>
          <w:lang w:val="en_US" w:bidi="en_US"/>
        </w:rPr>
      </w:r>
      <w:r>
        <w:rPr>
          <w:lang w:val="en_US" w:bidi="en_US"/>
        </w:rPr>
        <w:t>the Messiah whom God has sent (GW)</w:t>
      </w:r>
    </w:p>
    <w:p>
      <w:pPr/>
      <w:r>
        <w:rPr>
          <w:lang w:val="en_US" w:bidi="en_US"/>
        </w:rPr>
      </w:r>
      <w:r>
        <w:rPr>
          <w:lang w:val="en_US" w:bidi="en_US"/>
        </w:rPr>
        <w:t>Be careful that you do not use a phrase that means “the Christ who belongs to God.”</w:t>
      </w:r>
    </w:p>
    <w:p>
      <w:pPr/>
      <w:r>
        <w:rPr>
          <w:lang w:val="en_US" w:bidi="en_US"/>
        </w:rPr>
      </w:r>
      <w:r>
        <w:rPr>
          <w:b/>
          <w:lang w:val="en_US" w:bidi="en_US"/>
        </w:rPr>
        <w:t>Christ:</w:t>
      </w:r>
      <w:r>
        <w:rPr>
          <w:lang w:val="en_US" w:bidi="en_US"/>
        </w:rPr>
        <w:t xml:space="preserve"> Here the word </w:t>
      </w:r>
      <w:r>
        <w:rPr>
          <w:i/>
          <w:lang w:val="en_US" w:bidi="en_US"/>
        </w:rPr>
        <w:t>Christ</w:t>
      </w:r>
      <w:r>
        <w:rPr>
          <w:lang w:val="en_US" w:bidi="en_US"/>
        </w:rPr>
        <w:t xml:space="preserve"> is used as a title. It is not just one of Jesus’ names. The Jews used this title to refer to the person whom God had appointed and promised to send as king and savior. The title </w:t>
      </w:r>
      <w:r>
        <w:rPr>
          <w:i/>
          <w:lang w:val="en_US" w:bidi="en_US"/>
        </w:rPr>
        <w:t>Christ</w:t>
      </w:r>
      <w:r>
        <w:rPr>
          <w:lang w:val="en_US" w:bidi="en_US"/>
        </w:rPr>
        <w:t xml:space="preserve"> is the Greek translation of the Hebrew word “Messiah,” and the two words have the same meaning.</w:t>
      </w:r>
    </w:p>
    <w:p>
      <w:pPr/>
      <w:r>
        <w:rPr>
          <w:lang w:val="en_US" w:bidi="en_US"/>
        </w:rPr>
      </w:r>
      <w:r>
        <w:rPr>
          <w:lang w:val="en_US" w:bidi="en_US"/>
        </w:rPr>
        <w:t xml:space="preserve">Some ways to translate </w:t>
      </w:r>
      <w:r>
        <w:rPr>
          <w:i/>
          <w:lang w:val="en_US" w:bidi="en_US"/>
        </w:rPr>
        <w:t>Christ</w:t>
      </w:r>
      <w:r>
        <w:rPr>
          <w:lang w:val="en_US" w:bidi="en_US"/>
        </w:rPr>
        <w:t xml:space="preserve"> are:</w:t>
      </w:r>
    </w:p>
    <w:p>
      <w:pPr>
        <w:pStyle w:val="ListBullet"/>
        <w:spacing w:line="240" w:lineRule="auto"/>
        <w:ind w:left="720"/>
      </w:pPr>
      <w:r>
        <w:rPr>
          <w:lang w:val="en_US" w:bidi="en_US"/>
        </w:rPr>
      </w:r>
      <w:r>
        <w:rPr>
          <w:lang w:val="en_US" w:bidi="en_US"/>
        </w:rPr>
        <w:t xml:space="preserve">Use a title or a descriptive phrase in your language that has the same meaning as </w:t>
      </w:r>
      <w:r>
        <w:rPr>
          <w:i/>
          <w:lang w:val="en_US" w:bidi="en_US"/>
        </w:rPr>
        <w:t>Christ</w:t>
      </w:r>
      <w:r>
        <w:rPr>
          <w:lang w:val="en_US" w:bidi="en_US"/>
        </w:rPr>
        <w:t>. For example:</w:t>
      </w:r>
      <w:r>
        <w:rPr>
          <w:lang w:val="en_US" w:bidi="en_US"/>
        </w:rPr>
        <w:t>Messiah (GNT)</w:t>
      </w:r>
      <w:r>
        <w:rPr>
          <w:lang w:val="en_US" w:bidi="en_US"/>
        </w:rPr>
        <w:t>Promised Deliverer</w:t>
      </w:r>
      <w:r>
        <w:rPr>
          <w:lang w:val="en_US" w:bidi="en_US"/>
        </w:rPr>
        <w:t>the Rescuer-King whom God sent</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or “Messiah” and include a phrase that explains the meaning. For example:</w:t>
      </w:r>
      <w:r>
        <w:rPr>
          <w:lang w:val="en_US" w:bidi="en_US"/>
        </w:rPr>
        <w:t>Karisiti, the appointed one</w:t>
      </w:r>
      <w:r>
        <w:rPr>
          <w:lang w:val="en_US" w:bidi="en_US"/>
        </w:rPr>
        <w:t>Cristo, the Savior whom God promised to send</w:t>
      </w:r>
      <w:r>
        <w:rPr>
          <w:lang w:val="en_US" w:bidi="en_US"/>
        </w:rPr>
        <w:t>the Messiah sent from God (CEV)</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indicate in some way that it is a title. For example:</w:t>
      </w:r>
      <w:r>
        <w:rPr>
          <w:lang w:val="en_US" w:bidi="en_US"/>
        </w:rPr>
        <w:t>the Kirisita</w:t>
      </w:r>
    </w:p>
    <w:p>
      <w:pPr/>
      <w:r>
        <w:rPr>
          <w:lang w:val="en_US" w:bidi="en_US"/>
        </w:rPr>
      </w:r>
      <w:r>
        <w:rPr>
          <w:lang w:val="en_US" w:bidi="en_US"/>
        </w:rPr>
        <w:t xml:space="preserve">You may want to explain the meaning of </w:t>
      </w:r>
      <w:r>
        <w:rPr>
          <w:i/>
          <w:lang w:val="en_US" w:bidi="en_US"/>
        </w:rPr>
        <w:t>Christ</w:t>
      </w:r>
      <w:r>
        <w:rPr>
          <w:lang w:val="en_US" w:bidi="en_US"/>
        </w:rPr>
        <w:t xml:space="preserve"> in a footnote or in a glossary. For example:</w:t>
      </w:r>
    </w:p>
    <w:p>
      <w:pPr/>
      <w:r>
        <w:rPr>
          <w:lang w:val="en_US" w:bidi="en_US"/>
        </w:rPr>
      </w:r>
      <w:r>
        <w:rPr>
          <w:lang w:val="en_US" w:bidi="en_US"/>
        </w:rPr>
        <w:t>The word/title “Christ” refers to the king and savior whom God had promised to send.</w:t>
      </w:r>
    </w:p>
    <w:p>
      <w:pPr/>
      <w:r>
        <w:rPr>
          <w:lang w:val="en_US" w:bidi="en_US"/>
        </w:rPr>
      </w:r>
      <w:r>
        <w:rPr>
          <w:lang w:val="en_US" w:bidi="en_US"/>
        </w:rPr>
        <w:t>See also Christ in the Glossary.</w:t>
      </w:r>
      <w:r>
        <w:rPr>
          <w:lang w:val="en_US" w:bidi="en_US"/>
        </w:rPr>
      </w:r>
      <w:r>
        <w:rPr>
          <w:lang w:val="en_US" w:bidi="en_US"/>
        </w:rPr>
      </w:r>
    </w:p>
    <w:p>
      <w:pPr/>
      <w:r>
        <w:rPr>
          <w:lang w:val="en_US" w:bidi="en_US"/>
        </w:rPr>
      </w:r>
    </w:p>
    <w:p>
      <w:pPr>
        <w:pStyle w:val="Heading2"/>
      </w:pPr>
      <w:r>
        <w:rPr>
          <w:lang w:val="en_US" w:bidi="en_US"/>
        </w:rPr>
        <w:t>Luke 9:21</w:t>
      </w:r>
      <w:r>
        <w:rPr>
          <w:lang w:val="en_US" w:bidi="en_US"/>
        </w:rPr>
      </w:r>
    </w:p>
    <w:p>
      <w:pPr>
        <w:pStyle w:val="Heading4"/>
      </w:pPr>
      <w:r>
        <w:rPr>
          <w:lang w:val="en_US" w:bidi="en_US"/>
        </w:rPr>
        <w:t>Section 9:18–22: Peter declared that Jesus is the Christ</w:t>
      </w:r>
    </w:p>
    <w:p>
      <w:pPr/>
      <w:r>
        <w:rPr>
          <w:lang w:val="en_US" w:bidi="en_US"/>
        </w:rPr>
      </w:r>
      <w:r>
        <w:rPr>
          <w:lang w:val="en_US" w:bidi="en_US"/>
        </w:rPr>
        <w:t>In Section 9:7–9, Herod was confused about what kind of person Jesus was. In Section 9:10–17, when Jesus fed more than five thousand people, he showed that he was someone with miraculous power. In this Section, 9:18–22, Jesus asked his disciples what people were saying about who he was. This question implies that he wanted to know whether people thought that God had sent him. He also wanted to know what they thought his mission was. Their answers were very similar to the reports that Herod had heard in 9:7–9.</w:t>
      </w:r>
    </w:p>
    <w:p>
      <w:pPr/>
      <w:r>
        <w:rPr>
          <w:lang w:val="en_US" w:bidi="en_US"/>
        </w:rPr>
      </w:r>
      <w:r>
        <w:rPr>
          <w:lang w:val="en_US" w:bidi="en_US"/>
        </w:rPr>
        <w:t>Jesus then asked the disciples what they themselves thought about him. Peter replied that Jesus was the Christ, the Messiah. Jesus ordered them not to tell others who he was. He explained to the disciples what would happen to him as the Messiah. In contrast to what the disciples thought that Jesus would do as their Messiah, God planned for him to suffer, die, and live again.</w:t>
      </w:r>
    </w:p>
    <w:p>
      <w:pPr/>
      <w:r>
        <w:rPr>
          <w:lang w:val="en_US" w:bidi="en_US"/>
        </w:rPr>
      </w:r>
      <w:r>
        <w:rPr>
          <w:lang w:val="en_US" w:bidi="en_US"/>
        </w:rPr>
        <w:t>It is good to translate this section before you decide on a heading for it. Some other headings for this section are:</w:t>
      </w:r>
    </w:p>
    <w:p>
      <w:pPr/>
      <w:r>
        <w:rPr>
          <w:lang w:val="en_US" w:bidi="en_US"/>
        </w:rPr>
      </w:r>
      <w:r>
        <w:rPr>
          <w:lang w:val="en_US" w:bidi="en_US"/>
        </w:rPr>
        <w:t>Peter’s declaration that Jesus was the Messiah</w:t>
      </w:r>
    </w:p>
    <w:p>
      <w:pPr/>
      <w:r>
        <w:rPr>
          <w:lang w:val="en_US" w:bidi="en_US"/>
        </w:rPr>
      </w:r>
      <w:r>
        <w:rPr>
          <w:lang w:val="en_US" w:bidi="en_US"/>
        </w:rPr>
        <w:t>Peter stated his belief about who Jesus was</w:t>
      </w:r>
    </w:p>
    <w:p>
      <w:pPr/>
      <w:r>
        <w:rPr>
          <w:lang w:val="en_US" w:bidi="en_US"/>
        </w:rPr>
      </w:r>
      <w:r>
        <w:rPr>
          <w:lang w:val="en_US" w:bidi="en_US"/>
        </w:rPr>
        <w:t>There are parallel passages for this section in Matthew 16:13–16 and Mark 8:27–30.</w:t>
      </w:r>
    </w:p>
    <w:p>
      <w:pPr>
        <w:pStyle w:val="Heading5"/>
      </w:pPr>
      <w:r>
        <w:rPr>
          <w:lang w:val="en_US" w:bidi="en_US"/>
        </w:rPr>
        <w:t>9:21</w:t>
      </w:r>
    </w:p>
    <w:p>
      <w:pPr/>
      <w:r>
        <w:rPr>
          <w:lang w:val="en_US" w:bidi="en_US"/>
        </w:rPr>
      </w:r>
      <w:r>
        <w:rPr>
          <w:b/>
          <w:lang w:val="en_US" w:bidi="en_US"/>
        </w:rPr>
        <w:t>Jesus strictly warned them not to tell this to anyone.</w:t>
      </w:r>
    </w:p>
    <w:p>
      <w:pPr>
        <w:pStyle w:val="ListBullet"/>
        <w:spacing w:line="240" w:lineRule="auto"/>
        <w:ind w:left="720"/>
      </w:pPr>
      <w:r>
        <w:rPr>
          <w:lang w:val="en_US" w:bidi="en_US"/>
        </w:rPr>
      </w:r>
      <w:r>
        <w:rPr>
          <w:lang w:val="en_US" w:bidi="en_US"/>
        </w:rPr>
        <w:t>¶ Jesus gave them firm/strict orders not to tell anyone about this.</w:t>
      </w:r>
    </w:p>
    <w:p>
      <w:pPr>
        <w:pStyle w:val="ListBullet"/>
        <w:spacing w:line="240" w:lineRule="auto"/>
        <w:ind w:left="720"/>
      </w:pPr>
      <w:r>
        <w:rPr>
          <w:lang w:val="en_US" w:bidi="en_US"/>
        </w:rPr>
      </w:r>
      <w:r>
        <w:rPr>
          <w:lang w:val="en_US" w:bidi="en_US"/>
        </w:rPr>
        <w:t>¶ Jesus strongly commanded them, “Do</w:t>
      </w:r>
      <w:r>
        <w:rPr>
          <w:vertAlign w:val="superscript"/>
          <w:lang w:val="en_US" w:bidi="en_US"/>
        </w:rPr>
        <w:t>(plur)</w:t>
      </w:r>
      <w:r>
        <w:rPr>
          <w:lang w:val="en_US" w:bidi="en_US"/>
        </w:rPr>
        <w:t xml:space="preserve"> not tell this to anyone.”</w:t>
      </w:r>
    </w:p>
    <w:p>
      <w:pPr/>
      <w:r>
        <w:rPr>
          <w:lang w:val="en_US" w:bidi="en_US"/>
        </w:rPr>
      </w:r>
      <w:r>
        <w:rPr>
          <w:lang w:val="en_US" w:bidi="en_US"/>
        </w:rPr>
        <w:t>In this verse Jesus commanded the disciples not to tell others what they had just said to him. Even though it was true, they should keep quiet about it. Connect this verse to 9:20 in a way that is natural in your language.</w:t>
      </w:r>
    </w:p>
    <w:p>
      <w:pPr/>
      <w:r>
        <w:rPr>
          <w:lang w:val="en_US" w:bidi="en_US"/>
        </w:rPr>
      </w:r>
      <w:r>
        <w:rPr>
          <w:b/>
          <w:lang w:val="en_US" w:bidi="en_US"/>
        </w:rPr>
        <w:t>Jesus strictly warned them:</w:t>
      </w:r>
      <w:r>
        <w:rPr>
          <w:lang w:val="en_US" w:bidi="en_US"/>
        </w:rPr>
        <w:t xml:space="preserve"> The Greek phrase that the BSB translates as </w:t>
      </w:r>
      <w:r>
        <w:rPr>
          <w:i/>
          <w:lang w:val="en_US" w:bidi="en_US"/>
        </w:rPr>
        <w:t>strictly warned</w:t>
      </w:r>
      <w:r>
        <w:rPr>
          <w:lang w:val="en_US" w:bidi="en_US"/>
        </w:rPr>
        <w:t xml:space="preserve"> contains two verbs that mean almost the same thing. For example:</w:t>
      </w:r>
    </w:p>
    <w:p>
      <w:pPr/>
      <w:r>
        <w:rPr>
          <w:lang w:val="en_US" w:bidi="en_US"/>
        </w:rPr>
      </w:r>
      <w:r>
        <w:rPr>
          <w:lang w:val="en_US" w:bidi="en_US"/>
        </w:rPr>
        <w:t>he charged and commanded them (RSV)</w:t>
      </w:r>
    </w:p>
    <w:p>
      <w:pPr/>
      <w:r>
        <w:rPr>
          <w:lang w:val="en_US" w:bidi="en_US"/>
        </w:rPr>
      </w:r>
      <w:r>
        <w:rPr>
          <w:lang w:val="en_US" w:bidi="en_US"/>
        </w:rPr>
        <w:t>The two verbs together emphasize that Jesus was giving the disciples a strong command. Another way to translate this phrase is:</w:t>
      </w:r>
    </w:p>
    <w:p>
      <w:pPr/>
      <w:r>
        <w:rPr>
          <w:lang w:val="en_US" w:bidi="en_US"/>
        </w:rPr>
      </w:r>
      <w:r>
        <w:rPr>
          <w:lang w:val="en_US" w:bidi="en_US"/>
        </w:rPr>
        <w:t>Jesus gave them strict orders (GNT)</w:t>
      </w:r>
    </w:p>
    <w:p>
      <w:pPr/>
      <w:r>
        <w:rPr>
          <w:lang w:val="en_US" w:bidi="en_US"/>
        </w:rPr>
      </w:r>
      <w:r>
        <w:rPr>
          <w:b/>
          <w:lang w:val="en_US" w:bidi="en_US"/>
        </w:rPr>
        <w:t>not to tell this to anyone:</w:t>
      </w:r>
      <w:r>
        <w:rPr>
          <w:lang w:val="en_US" w:bidi="en_US"/>
        </w:rPr>
        <w:t xml:space="preserve"> Jesus told the disciples not to tell anyone what Peter had said about him. It was true, but it was not the right time yet for all the people to hear that he was the Messiah.</w:t>
      </w:r>
    </w:p>
    <w:p>
      <w:pPr/>
      <w:r>
        <w:rPr>
          <w:lang w:val="en_US" w:bidi="en_US"/>
        </w:rPr>
      </w:r>
      <w:r>
        <w:rPr>
          <w:lang w:val="en_US" w:bidi="en_US"/>
        </w:rPr>
        <w:t>In some languages it may be more natural to translate this verse using direct speech. For example:</w:t>
      </w:r>
    </w:p>
    <w:p>
      <w:pPr/>
      <w:r>
        <w:rPr>
          <w:lang w:val="en_US" w:bidi="en_US"/>
        </w:rPr>
      </w:r>
      <w:r>
        <w:rPr>
          <w:lang w:val="en_US" w:bidi="en_US"/>
        </w:rPr>
        <w:t>Jesus strictly warned them, “Do not tell this to anyone.”</w:t>
      </w:r>
      <w:r>
        <w:rPr>
          <w:lang w:val="en_US" w:bidi="en_US"/>
        </w:rPr>
      </w:r>
      <w:r>
        <w:rPr>
          <w:lang w:val="en_US" w:bidi="en_US"/>
        </w:rPr>
      </w:r>
    </w:p>
    <w:p>
      <w:pPr/>
      <w:r>
        <w:rPr>
          <w:lang w:val="en_US" w:bidi="en_US"/>
        </w:rPr>
      </w:r>
    </w:p>
    <w:p>
      <w:pPr>
        <w:pStyle w:val="Heading2"/>
      </w:pPr>
      <w:r>
        <w:rPr>
          <w:lang w:val="en_US" w:bidi="en_US"/>
        </w:rPr>
        <w:t>Luke 9:22</w:t>
      </w:r>
      <w:r>
        <w:rPr>
          <w:lang w:val="en_US" w:bidi="en_US"/>
        </w:rPr>
      </w:r>
    </w:p>
    <w:p>
      <w:pPr>
        <w:pStyle w:val="Heading4"/>
      </w:pPr>
      <w:r>
        <w:rPr>
          <w:lang w:val="en_US" w:bidi="en_US"/>
        </w:rPr>
        <w:t>Section 9:18–22: Peter declared that Jesus is the Christ</w:t>
      </w:r>
    </w:p>
    <w:p>
      <w:pPr/>
      <w:r>
        <w:rPr>
          <w:lang w:val="en_US" w:bidi="en_US"/>
        </w:rPr>
      </w:r>
      <w:r>
        <w:rPr>
          <w:lang w:val="en_US" w:bidi="en_US"/>
        </w:rPr>
        <w:t>In Section 9:7–9, Herod was confused about what kind of person Jesus was. In Section 9:10–17, when Jesus fed more than five thousand people, he showed that he was someone with miraculous power. In this Section, 9:18–22, Jesus asked his disciples what people were saying about who he was. This question implies that he wanted to know whether people thought that God had sent him. He also wanted to know what they thought his mission was. Their answers were very similar to the reports that Herod had heard in 9:7–9.</w:t>
      </w:r>
    </w:p>
    <w:p>
      <w:pPr/>
      <w:r>
        <w:rPr>
          <w:lang w:val="en_US" w:bidi="en_US"/>
        </w:rPr>
      </w:r>
      <w:r>
        <w:rPr>
          <w:lang w:val="en_US" w:bidi="en_US"/>
        </w:rPr>
        <w:t>Jesus then asked the disciples what they themselves thought about him. Peter replied that Jesus was the Christ, the Messiah. Jesus ordered them not to tell others who he was. He explained to the disciples what would happen to him as the Messiah. In contrast to what the disciples thought that Jesus would do as their Messiah, God planned for him to suffer, die, and live again.</w:t>
      </w:r>
    </w:p>
    <w:p>
      <w:pPr/>
      <w:r>
        <w:rPr>
          <w:lang w:val="en_US" w:bidi="en_US"/>
        </w:rPr>
      </w:r>
      <w:r>
        <w:rPr>
          <w:lang w:val="en_US" w:bidi="en_US"/>
        </w:rPr>
        <w:t>It is good to translate this section before you decide on a heading for it. Some other headings for this section are:</w:t>
      </w:r>
    </w:p>
    <w:p>
      <w:pPr/>
      <w:r>
        <w:rPr>
          <w:lang w:val="en_US" w:bidi="en_US"/>
        </w:rPr>
      </w:r>
      <w:r>
        <w:rPr>
          <w:lang w:val="en_US" w:bidi="en_US"/>
        </w:rPr>
        <w:t>Peter’s declaration that Jesus was the Messiah</w:t>
      </w:r>
    </w:p>
    <w:p>
      <w:pPr/>
      <w:r>
        <w:rPr>
          <w:lang w:val="en_US" w:bidi="en_US"/>
        </w:rPr>
      </w:r>
      <w:r>
        <w:rPr>
          <w:lang w:val="en_US" w:bidi="en_US"/>
        </w:rPr>
        <w:t>Peter stated his belief about who Jesus was</w:t>
      </w:r>
    </w:p>
    <w:p>
      <w:pPr/>
      <w:r>
        <w:rPr>
          <w:lang w:val="en_US" w:bidi="en_US"/>
        </w:rPr>
      </w:r>
      <w:r>
        <w:rPr>
          <w:lang w:val="en_US" w:bidi="en_US"/>
        </w:rPr>
        <w:t>There are parallel passages for this section in Matthew 16:13–16 and Mark 8:27–30.</w:t>
      </w:r>
    </w:p>
    <w:p>
      <w:pPr>
        <w:pStyle w:val="Heading5"/>
      </w:pPr>
      <w:r>
        <w:rPr>
          <w:lang w:val="en_US" w:bidi="en_US"/>
        </w:rPr>
        <w:t>9:22a</w:t>
      </w:r>
    </w:p>
    <w:p>
      <w:pPr/>
      <w:r>
        <w:rPr>
          <w:lang w:val="en_US" w:bidi="en_US"/>
        </w:rPr>
      </w:r>
      <w:r>
        <w:rPr>
          <w:b/>
          <w:lang w:val="en_US" w:bidi="en_US"/>
        </w:rPr>
        <w:t>“The Son of Man must suffer many things,” He said.</w:t>
      </w:r>
    </w:p>
    <w:p>
      <w:pPr>
        <w:pStyle w:val="ListBullet"/>
        <w:spacing w:line="240" w:lineRule="auto"/>
        <w:ind w:left="720"/>
      </w:pPr>
      <w:r>
        <w:rPr>
          <w:lang w:val="en_US" w:bidi="en_US"/>
        </w:rPr>
      </w:r>
      <w:r>
        <w:rPr>
          <w:lang w:val="en_US" w:bidi="en_US"/>
        </w:rPr>
        <w:t>And he said/explained, “It is necessary that the Son of Man suffer much/greatly.</w:t>
      </w:r>
    </w:p>
    <w:p>
      <w:pPr>
        <w:pStyle w:val="ListBullet"/>
        <w:spacing w:line="240" w:lineRule="auto"/>
        <w:ind w:left="720"/>
      </w:pPr>
      <w:r>
        <w:rPr>
          <w:lang w:val="en_US" w:bidi="en_US"/>
        </w:rPr>
      </w:r>
      <w:r>
        <w:rPr>
          <w:lang w:val="en_US" w:bidi="en_US"/>
        </w:rPr>
        <w:t>Then he added/said, “</w:t>
      </w:r>
      <w:r>
        <w:rPr>
          <w:lang w:val="en_US" w:bidi="en_US"/>
        </w:rPr>
        <w:t>I,</w:t>
      </w:r>
      <w:r>
        <w:rPr>
          <w:lang w:val="en_US" w:bidi="en_US"/>
        </w:rPr>
        <w:t xml:space="preserve"> the Son of Man, must endure great/much suffering.</w:t>
      </w:r>
    </w:p>
    <w:p>
      <w:pPr/>
      <w:r>
        <w:rPr>
          <w:lang w:val="en_US" w:bidi="en_US"/>
        </w:rPr>
      </w:r>
      <w:r>
        <w:rPr>
          <w:b/>
          <w:lang w:val="en_US" w:bidi="en_US"/>
        </w:rPr>
        <w:t>“The Son of Man must suffer many things,” He said:</w:t>
      </w:r>
      <w:r>
        <w:rPr>
          <w:lang w:val="en_US" w:bidi="en_US"/>
        </w:rPr>
        <w:t xml:space="preserve"> The Greek word that the BSB translates as </w:t>
      </w:r>
      <w:r>
        <w:rPr>
          <w:i/>
          <w:lang w:val="en_US" w:bidi="en_US"/>
        </w:rPr>
        <w:t>He said</w:t>
      </w:r>
      <w:r>
        <w:rPr>
          <w:lang w:val="en_US" w:bidi="en_US"/>
        </w:rPr>
        <w:t xml:space="preserve"> is literally “having-said.” Another way to translate this is:</w:t>
      </w:r>
    </w:p>
    <w:p>
      <w:pPr/>
      <w:r>
        <w:rPr>
          <w:lang w:val="en_US" w:bidi="en_US"/>
        </w:rPr>
      </w:r>
      <w:r>
        <w:rPr>
          <w:lang w:val="en_US" w:bidi="en_US"/>
        </w:rPr>
        <w:t>saying (NRSV)</w:t>
      </w:r>
    </w:p>
    <w:p>
      <w:pPr/>
      <w:r>
        <w:rPr>
          <w:lang w:val="en_US" w:bidi="en_US"/>
        </w:rPr>
      </w:r>
      <w:r>
        <w:rPr>
          <w:lang w:val="en_US" w:bidi="en_US"/>
        </w:rPr>
        <w:t>This form of the word probably indicates that Jesus’ next statement about the Son of Man is an explanation of his warning in 9:21.</w:t>
      </w:r>
      <w:r>
        <w:rPr>
          <w:lang w:val="en_US" w:bidi="en_US"/>
        </w:rPr>
        <w:t>Commentators who hold this view include TH, Geldenhuys, and Green. Green’s explanation (p. 370) is especially helpful.</w:t>
      </w:r>
      <w:r>
        <w:rPr>
          <w:lang w:val="en_US" w:bidi="en_US"/>
        </w:rPr>
        <w:t xml:space="preserve"> Jesus did not want the disciples to tell people about his identity, because his disciples did not yet fully understand what this identity implied. Also, it was not yet the proper time for the disciples to publicly announce Jesus’ identity as the Christ/Messiah.</w:t>
      </w:r>
    </w:p>
    <w:p>
      <w:pPr/>
      <w:r>
        <w:rPr>
          <w:lang w:val="en_US" w:bidi="en_US"/>
        </w:rPr>
      </w:r>
      <w:r>
        <w:rPr>
          <w:lang w:val="en_US" w:bidi="en_US"/>
        </w:rPr>
        <w:t>Many English versions begin a new sentence at the start of this verse, as the BSB does.</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literally “the Son of the human/person.” It is a title that Jesus often used to refer to himself. It implies that:</w:t>
      </w:r>
    </w:p>
    <w:p>
      <w:pPr>
        <w:pStyle w:val="ListNumber"/>
        <w:numPr>
          <w:ilvl w:val="0"/>
          <w:numId w:val="190"/>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Some ways to translate this title are:</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In some languages it may be necessary to indicate explicitly that Jesus was referring to himself here. For example:</w:t>
      </w:r>
    </w:p>
    <w:p>
      <w:pPr/>
      <w:r>
        <w:rPr>
          <w:lang w:val="en_US" w:bidi="en_US"/>
        </w:rPr>
      </w:r>
      <w:r>
        <w:rPr>
          <w:lang w:val="en_US" w:bidi="en_US"/>
        </w:rPr>
        <w:t>I, the Son of Man</w:t>
      </w:r>
    </w:p>
    <w:p>
      <w:pPr/>
      <w:r>
        <w:rPr>
          <w:lang w:val="en_US" w:bidi="en_US"/>
        </w:rPr>
      </w:r>
      <w:r>
        <w:rPr>
          <w:lang w:val="en_US" w:bidi="en_US"/>
        </w:rPr>
        <w:t>This term first occurs in Luke at 5:24a.</w:t>
      </w:r>
    </w:p>
    <w:p>
      <w:pPr/>
      <w:r>
        <w:rPr>
          <w:lang w:val="en_US" w:bidi="en_US"/>
        </w:rPr>
      </w:r>
      <w:r>
        <w:rPr>
          <w:b/>
          <w:lang w:val="en_US" w:bidi="en_US"/>
        </w:rPr>
        <w:t>must:</w:t>
      </w:r>
      <w:r>
        <w:rPr>
          <w:lang w:val="en_US" w:bidi="en_US"/>
        </w:rPr>
        <w:t xml:space="preserve"> The Greek word that the BSB translates as </w:t>
      </w:r>
      <w:r>
        <w:rPr>
          <w:i/>
          <w:lang w:val="en_US" w:bidi="en_US"/>
        </w:rPr>
        <w:t>must</w:t>
      </w:r>
      <w:r>
        <w:rPr>
          <w:lang w:val="en_US" w:bidi="en_US"/>
        </w:rPr>
        <w:t xml:space="preserve"> applies to all the following verbs in this verse: “suffer,” “be rejected,” “be killed,” and “be raised.” The verb indicates that it was necessary for all these things to happen. It is implied from other verses that it was necessary because God had planned for them to happen. Be sure to indicate that in some way in your language.</w:t>
      </w:r>
    </w:p>
    <w:p>
      <w:pPr/>
      <w:r>
        <w:rPr>
          <w:lang w:val="en_US" w:bidi="en_US"/>
        </w:rPr>
      </w:r>
      <w:r>
        <w:rPr>
          <w:b/>
          <w:lang w:val="en_US" w:bidi="en_US"/>
        </w:rPr>
        <w:t>suffer many things:</w:t>
      </w:r>
      <w:r>
        <w:rPr>
          <w:lang w:val="en_US" w:bidi="en_US"/>
        </w:rPr>
        <w:t xml:space="preserve"> In this context the Greek word that the BSB translates as </w:t>
      </w:r>
      <w:r>
        <w:rPr>
          <w:i/>
          <w:lang w:val="en_US" w:bidi="en_US"/>
        </w:rPr>
        <w:t>many things</w:t>
      </w:r>
      <w:r>
        <w:rPr>
          <w:lang w:val="en_US" w:bidi="en_US"/>
        </w:rPr>
        <w:t xml:space="preserve"> indicates that Jesus would have to suffer in various ways. It also implies that the suffering was terrible and was not just for a short time. Some other ways to translate this phrase are:</w:t>
      </w:r>
    </w:p>
    <w:p>
      <w:pPr/>
      <w:r>
        <w:rPr>
          <w:lang w:val="en_US" w:bidi="en_US"/>
        </w:rPr>
      </w:r>
      <w:r>
        <w:rPr>
          <w:lang w:val="en_US" w:bidi="en_US"/>
        </w:rPr>
        <w:t>suffer a lot (GW)</w:t>
      </w:r>
    </w:p>
    <w:p>
      <w:pPr/>
      <w:r>
        <w:rPr>
          <w:lang w:val="en_US" w:bidi="en_US"/>
        </w:rPr>
      </w:r>
      <w:r>
        <w:rPr>
          <w:lang w:val="en_US" w:bidi="en_US"/>
        </w:rPr>
        <w:t>undergo many sufferings</w:t>
      </w:r>
    </w:p>
    <w:p>
      <w:pPr/>
      <w:r>
        <w:rPr>
          <w:lang w:val="en_US" w:bidi="en_US"/>
        </w:rPr>
      </w:r>
      <w:r>
        <w:rPr>
          <w:lang w:val="en_US" w:bidi="en_US"/>
        </w:rPr>
        <w:t>suffer many terrible things (NLT)</w:t>
      </w:r>
    </w:p>
    <w:p>
      <w:pPr>
        <w:pStyle w:val="Heading5"/>
      </w:pPr>
      <w:r>
        <w:rPr>
          <w:lang w:val="en_US" w:bidi="en_US"/>
        </w:rPr>
        <w:t>9:22b</w:t>
      </w:r>
    </w:p>
    <w:p>
      <w:pPr/>
      <w:r>
        <w:rPr>
          <w:lang w:val="en_US" w:bidi="en_US"/>
        </w:rPr>
      </w:r>
      <w:r>
        <w:rPr>
          <w:b/>
          <w:lang w:val="en_US" w:bidi="en_US"/>
        </w:rPr>
        <w:t>“He must be rejected by the elders, chief priests, and scribes,</w:t>
      </w:r>
    </w:p>
    <w:p>
      <w:pPr>
        <w:pStyle w:val="ListBullet"/>
        <w:spacing w:line="240" w:lineRule="auto"/>
        <w:ind w:left="720"/>
      </w:pPr>
      <w:r>
        <w:rPr>
          <w:lang w:val="en_US" w:bidi="en_US"/>
        </w:rPr>
      </w:r>
      <w:r>
        <w:rPr>
          <w:lang w:val="en_US" w:bidi="en_US"/>
        </w:rPr>
        <w:t>The Jewish elders/rulers, the leading priests, and the teachers of the law must/will reject him,</w:t>
      </w:r>
    </w:p>
    <w:p>
      <w:pPr>
        <w:pStyle w:val="ListBullet"/>
        <w:spacing w:line="240" w:lineRule="auto"/>
        <w:ind w:left="720"/>
      </w:pPr>
      <w:r>
        <w:rPr>
          <w:lang w:val="en_US" w:bidi="en_US"/>
        </w:rPr>
      </w:r>
      <w:r>
        <w:rPr>
          <w:lang w:val="en_US" w:bidi="en_US"/>
        </w:rPr>
        <w:t xml:space="preserve">The leaders of the Jewish people, the leaders of the priests, and the experts in the law must/will refuse to accept </w:t>
      </w:r>
      <w:r>
        <w:rPr>
          <w:lang w:val="en_US" w:bidi="en_US"/>
        </w:rPr>
        <w:t>me as the Messiah</w:t>
      </w:r>
      <w:r>
        <w:rPr>
          <w:lang w:val="en_US" w:bidi="en_US"/>
        </w:rPr>
        <w:t>.</w:t>
      </w:r>
    </w:p>
    <w:p>
      <w:pPr/>
      <w:r>
        <w:rPr>
          <w:lang w:val="en_US" w:bidi="en_US"/>
        </w:rPr>
      </w:r>
      <w:r>
        <w:rPr>
          <w:b/>
          <w:lang w:val="en_US" w:bidi="en_US"/>
        </w:rPr>
        <w:t>He must be rejected by the elders, chief priests, and scribes:</w:t>
      </w:r>
      <w:r>
        <w:rPr>
          <w:lang w:val="en_US" w:bidi="en_US"/>
        </w:rPr>
        <w:t xml:space="preserve"> The clause </w:t>
      </w:r>
      <w:r>
        <w:rPr>
          <w:i/>
          <w:lang w:val="en_US" w:bidi="en_US"/>
        </w:rPr>
        <w:t>be rejected by the elders, chief priests, and scribes</w:t>
      </w:r>
      <w:r>
        <w:rPr>
          <w:lang w:val="en_US" w:bidi="en_US"/>
        </w:rPr>
        <w:t xml:space="preserve"> is passive. If it is more natural in your language to use an active verb, you could say:</w:t>
      </w:r>
    </w:p>
    <w:p>
      <w:pPr/>
      <w:r>
        <w:rPr>
          <w:lang w:val="en_US" w:bidi="en_US"/>
        </w:rPr>
      </w:r>
      <w:r>
        <w:rPr>
          <w:lang w:val="en_US" w:bidi="en_US"/>
        </w:rPr>
        <w:t>and the elders, chief priests, and teachers of the law must reject him/me</w:t>
      </w:r>
    </w:p>
    <w:p>
      <w:pPr/>
      <w:r>
        <w:rPr>
          <w:lang w:val="en_US" w:bidi="en_US"/>
        </w:rPr>
      </w:r>
      <w:r>
        <w:rPr>
          <w:b/>
          <w:lang w:val="en_US" w:bidi="en_US"/>
        </w:rPr>
        <w:t>be rejected:</w:t>
      </w:r>
      <w:r>
        <w:rPr>
          <w:lang w:val="en_US" w:bidi="en_US"/>
        </w:rPr>
        <w:t xml:space="preserve"> To </w:t>
      </w:r>
      <w:r>
        <w:rPr>
          <w:i/>
          <w:lang w:val="en_US" w:bidi="en_US"/>
        </w:rPr>
        <w:t>be rejected</w:t>
      </w:r>
      <w:r>
        <w:rPr>
          <w:lang w:val="en_US" w:bidi="en_US"/>
        </w:rPr>
        <w:t xml:space="preserve"> means to be “judged by someone as being unworthy or unfit and thus not accepted.” In this verse it indicates that the groups of Jewish leaders would refuse to accept Jesus as their Messiah.</w:t>
      </w:r>
    </w:p>
    <w:p>
      <w:pPr/>
      <w:r>
        <w:rPr>
          <w:lang w:val="en_US" w:bidi="en_US"/>
        </w:rPr>
      </w:r>
      <w:r>
        <w:rPr>
          <w:b/>
          <w:lang w:val="en_US" w:bidi="en_US"/>
        </w:rPr>
        <w:t>by the elders, chief priests, and scribes:</w:t>
      </w:r>
      <w:r>
        <w:rPr>
          <w:lang w:val="en_US" w:bidi="en_US"/>
        </w:rPr>
        <w:t xml:space="preserve"> These three groups together represented all the leaders of the Jews.</w:t>
      </w:r>
    </w:p>
    <w:p>
      <w:pPr/>
      <w:r>
        <w:rPr>
          <w:lang w:val="en_US" w:bidi="en_US"/>
        </w:rPr>
      </w:r>
      <w:r>
        <w:rPr>
          <w:b/>
          <w:lang w:val="en_US" w:bidi="en_US"/>
        </w:rPr>
        <w:t>elders:</w:t>
      </w:r>
      <w:r>
        <w:rPr>
          <w:lang w:val="en_US" w:bidi="en_US"/>
        </w:rPr>
        <w:t xml:space="preserve"> The </w:t>
      </w:r>
      <w:r>
        <w:rPr>
          <w:i/>
          <w:lang w:val="en_US" w:bidi="en_US"/>
        </w:rPr>
        <w:t>elders</w:t>
      </w:r>
      <w:r>
        <w:rPr>
          <w:lang w:val="en_US" w:bidi="en_US"/>
        </w:rPr>
        <w:t xml:space="preserve"> were respected leaders in the community. They were not necessarily religious leaders. They were generally older men.</w:t>
      </w:r>
    </w:p>
    <w:p>
      <w:pPr/>
      <w:r>
        <w:rPr>
          <w:lang w:val="en_US" w:bidi="en_US"/>
        </w:rPr>
      </w:r>
      <w:r>
        <w:rPr>
          <w:lang w:val="en_US" w:bidi="en_US"/>
        </w:rPr>
        <w:t>In some cultures a term such as “old men” may not imply that the men were leaders. If that is true in your language, you may need to use a different term. Some other ways to translate this are:</w:t>
      </w:r>
    </w:p>
    <w:p>
      <w:pPr/>
      <w:r>
        <w:rPr>
          <w:lang w:val="en_US" w:bidi="en_US"/>
        </w:rPr>
      </w:r>
      <w:r>
        <w:rPr>
          <w:lang w:val="en_US" w:bidi="en_US"/>
        </w:rPr>
        <w:t>leaders</w:t>
      </w:r>
    </w:p>
    <w:p>
      <w:pPr/>
      <w:r>
        <w:rPr>
          <w:lang w:val="en_US" w:bidi="en_US"/>
        </w:rPr>
      </w:r>
      <w:r>
        <w:rPr>
          <w:lang w:val="en_US" w:bidi="en_US"/>
        </w:rPr>
        <w:t>important men</w:t>
      </w:r>
    </w:p>
    <w:p>
      <w:pPr/>
      <w:r>
        <w:rPr>
          <w:lang w:val="en_US" w:bidi="en_US"/>
        </w:rPr>
      </w:r>
      <w:r>
        <w:rPr>
          <w:lang w:val="en_US" w:bidi="en_US"/>
        </w:rPr>
        <w:t>leading men among the people</w:t>
      </w:r>
    </w:p>
    <w:p>
      <w:pPr/>
      <w:r>
        <w:rPr>
          <w:lang w:val="en_US" w:bidi="en_US"/>
        </w:rPr>
      </w:r>
      <w:r>
        <w:rPr>
          <w:lang w:val="en_US" w:bidi="en_US"/>
        </w:rPr>
        <w:t xml:space="preserve">The term </w:t>
      </w:r>
      <w:r>
        <w:rPr>
          <w:i/>
          <w:lang w:val="en_US" w:bidi="en_US"/>
        </w:rPr>
        <w:t>elders</w:t>
      </w:r>
      <w:r>
        <w:rPr>
          <w:lang w:val="en_US" w:bidi="en_US"/>
        </w:rPr>
        <w:t xml:space="preserve"> also occurs at 7:3b.</w:t>
      </w:r>
    </w:p>
    <w:p>
      <w:pPr/>
      <w:r>
        <w:rPr>
          <w:lang w:val="en_US" w:bidi="en_US"/>
        </w:rPr>
      </w:r>
      <w:r>
        <w:rPr>
          <w:b/>
          <w:lang w:val="en_US" w:bidi="en_US"/>
        </w:rPr>
        <w:t>chief priests:</w:t>
      </w:r>
      <w:r>
        <w:rPr>
          <w:lang w:val="en_US" w:bidi="en_US"/>
        </w:rPr>
        <w:t xml:space="preserve"> A Jewish </w:t>
      </w:r>
      <w:r>
        <w:rPr>
          <w:i/>
          <w:lang w:val="en_US" w:bidi="en_US"/>
        </w:rPr>
        <w:t>priest</w:t>
      </w:r>
      <w:r>
        <w:rPr>
          <w:lang w:val="en_US" w:bidi="en_US"/>
        </w:rPr>
        <w:t xml:space="preserve"> was a man who offered sacrifices to God on behalf of the people. He also performed other rituals for them. The phrase </w:t>
      </w:r>
      <w:r>
        <w:rPr>
          <w:i/>
          <w:lang w:val="en_US" w:bidi="en_US"/>
        </w:rPr>
        <w:t>chief priests</w:t>
      </w:r>
      <w:r>
        <w:rPr>
          <w:lang w:val="en_US" w:bidi="en_US"/>
        </w:rPr>
        <w:t xml:space="preserve"> refers to the leaders among these priests. Some ways to translate </w:t>
      </w:r>
      <w:r>
        <w:rPr>
          <w:i/>
          <w:lang w:val="en_US" w:bidi="en_US"/>
        </w:rPr>
        <w:t>chief priests</w:t>
      </w:r>
      <w:r>
        <w:rPr>
          <w:lang w:val="en_US" w:bidi="en_US"/>
        </w:rPr>
        <w:t xml:space="preserve"> are:</w:t>
      </w:r>
    </w:p>
    <w:p>
      <w:pPr/>
      <w:r>
        <w:rPr>
          <w:lang w:val="en_US" w:bidi="en_US"/>
        </w:rPr>
      </w:r>
      <w:r>
        <w:rPr>
          <w:lang w:val="en_US" w:bidi="en_US"/>
        </w:rPr>
        <w:t>the leading/ruling priests</w:t>
      </w:r>
    </w:p>
    <w:p>
      <w:pPr/>
      <w:r>
        <w:rPr>
          <w:lang w:val="en_US" w:bidi="en_US"/>
        </w:rPr>
      </w:r>
      <w:r>
        <w:rPr>
          <w:lang w:val="en_US" w:bidi="en_US"/>
        </w:rPr>
        <w:t>the elders among the Jewish sacrificers</w:t>
      </w:r>
    </w:p>
    <w:p>
      <w:pPr/>
      <w:r>
        <w:rPr>
          <w:lang w:val="en_US" w:bidi="en_US"/>
        </w:rPr>
      </w:r>
      <w:r>
        <w:rPr>
          <w:lang w:val="en_US" w:bidi="en_US"/>
        </w:rPr>
        <w:t>the most prominent priests</w:t>
      </w:r>
    </w:p>
    <w:p>
      <w:pPr/>
      <w:r>
        <w:rPr>
          <w:lang w:val="en_US" w:bidi="en_US"/>
        </w:rPr>
      </w:r>
      <w:r>
        <w:rPr>
          <w:lang w:val="en_US" w:bidi="en_US"/>
        </w:rPr>
        <w:t>See also priest in the Glossary.</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refers to men who studied, interpreted, and taught the Law of Moses. This was their most important work at the time of Jesus. The original work of these men was to copy the laws of Moses by hand. But in New Testament times, this was no longer their main task, and so this word is sometimes translated as “teachers of the law,” as in the NIV.</w:t>
      </w:r>
    </w:p>
    <w:p>
      <w:pPr/>
      <w:r>
        <w:rPr>
          <w:lang w:val="en_US" w:bidi="en_US"/>
        </w:rPr>
      </w:r>
      <w:r>
        <w:rPr>
          <w:lang w:val="en_US" w:bidi="en_US"/>
        </w:rPr>
        <w:t>Some ways to translate this term are:</w:t>
      </w:r>
    </w:p>
    <w:p>
      <w:pPr/>
      <w:r>
        <w:rPr>
          <w:lang w:val="en_US" w:bidi="en_US"/>
        </w:rPr>
      </w:r>
      <w:r>
        <w:rPr>
          <w:lang w:val="en_US" w:bidi="en_US"/>
        </w:rPr>
        <w:t>teachers of the Law of Moses (CEV)</w:t>
      </w:r>
    </w:p>
    <w:p>
      <w:pPr/>
      <w:r>
        <w:rPr>
          <w:lang w:val="en_US" w:bidi="en_US"/>
        </w:rPr>
      </w:r>
      <w:r>
        <w:rPr>
          <w:lang w:val="en_US" w:bidi="en_US"/>
        </w:rPr>
        <w:t>teachers of religious law</w:t>
      </w:r>
    </w:p>
    <w:p>
      <w:pPr/>
      <w:r>
        <w:rPr>
          <w:lang w:val="en_US" w:bidi="en_US"/>
        </w:rPr>
      </w:r>
      <w:r>
        <w:rPr>
          <w:lang w:val="en_US" w:bidi="en_US"/>
        </w:rPr>
        <w:t>experts in the law (NET)</w:t>
      </w:r>
    </w:p>
    <w:p>
      <w:pPr/>
      <w:r>
        <w:rPr>
          <w:lang w:val="en_US" w:bidi="en_US"/>
        </w:rPr>
      </w:r>
      <w:r>
        <w:rPr>
          <w:lang w:val="en_US" w:bidi="en_US"/>
        </w:rPr>
        <w:t>Before you decide how to translate this term, see the note on “expert in the law” in 10:25a. That is the BSB’s translation of a different Greek word. Both words have the same meaning and refer to the same group of men. It is recommended that you translate both terms in the same way.</w:t>
      </w:r>
    </w:p>
    <w:p>
      <w:pPr/>
      <w:r>
        <w:rPr>
          <w:lang w:val="en_US" w:bidi="en_US"/>
        </w:rPr>
      </w:r>
      <w:r>
        <w:rPr>
          <w:lang w:val="en_US" w:bidi="en_US"/>
        </w:rPr>
        <w:t>See also teacher of the law and expert in the law in the Glossary.</w:t>
      </w:r>
    </w:p>
    <w:p>
      <w:pPr>
        <w:pStyle w:val="Heading5"/>
      </w:pPr>
      <w:r>
        <w:rPr>
          <w:lang w:val="en_US" w:bidi="en_US"/>
        </w:rPr>
        <w:t>9:22c</w:t>
      </w:r>
    </w:p>
    <w:p>
      <w:pPr/>
      <w:r>
        <w:rPr>
          <w:lang w:val="en_US" w:bidi="en_US"/>
        </w:rPr>
      </w:r>
      <w:r>
        <w:rPr>
          <w:b/>
          <w:lang w:val="en_US" w:bidi="en_US"/>
        </w:rPr>
        <w:t>and He must be killed and on the third day be raised to life.”</w:t>
      </w:r>
    </w:p>
    <w:p>
      <w:pPr>
        <w:pStyle w:val="ListBullet"/>
        <w:spacing w:line="240" w:lineRule="auto"/>
        <w:ind w:left="720"/>
      </w:pPr>
      <w:r>
        <w:rPr>
          <w:lang w:val="en_US" w:bidi="en_US"/>
        </w:rPr>
      </w:r>
      <w:r>
        <w:rPr>
          <w:lang w:val="en_US" w:bidi="en_US"/>
        </w:rPr>
        <w:t xml:space="preserve">and he must </w:t>
      </w:r>
      <w:r>
        <w:rPr>
          <w:lang w:val="en_US" w:bidi="en_US"/>
        </w:rPr>
        <w:t>also</w:t>
      </w:r>
      <w:r>
        <w:rPr>
          <w:lang w:val="en_US" w:bidi="en_US"/>
        </w:rPr>
        <w:t xml:space="preserve"> be put to death and be made alive again on the third day.”</w:t>
      </w:r>
    </w:p>
    <w:p>
      <w:pPr>
        <w:pStyle w:val="ListBullet"/>
        <w:spacing w:line="240" w:lineRule="auto"/>
        <w:ind w:left="720"/>
      </w:pPr>
      <w:r>
        <w:rPr>
          <w:lang w:val="en_US" w:bidi="en_US"/>
        </w:rPr>
      </w:r>
      <w:r>
        <w:rPr>
          <w:lang w:val="en_US" w:bidi="en_US"/>
        </w:rPr>
        <w:t>It is also necessary that</w:t>
      </w:r>
      <w:r>
        <w:rPr>
          <w:lang w:val="en_US" w:bidi="en_US"/>
        </w:rPr>
        <w:t xml:space="preserve"> people will kill </w:t>
      </w:r>
      <w:r>
        <w:rPr>
          <w:lang w:val="en_US" w:bidi="en_US"/>
        </w:rPr>
        <w:t>me</w:t>
      </w:r>
      <w:r>
        <w:rPr>
          <w:lang w:val="en_US" w:bidi="en_US"/>
        </w:rPr>
        <w:t xml:space="preserve">, but three days after </w:t>
      </w:r>
      <w:r>
        <w:rPr>
          <w:lang w:val="en_US" w:bidi="en_US"/>
        </w:rPr>
        <w:t>I die</w:t>
      </w:r>
      <w:r>
        <w:rPr>
          <w:lang w:val="en_US" w:bidi="en_US"/>
        </w:rPr>
        <w:t xml:space="preserve">, </w:t>
      </w:r>
      <w:r>
        <w:rPr>
          <w:lang w:val="en_US" w:bidi="en_US"/>
        </w:rPr>
        <w:t>God</w:t>
      </w:r>
      <w:r>
        <w:rPr>
          <w:lang w:val="en_US" w:bidi="en_US"/>
        </w:rPr>
        <w:t xml:space="preserve"> will cause </w:t>
      </w:r>
      <w:r>
        <w:rPr>
          <w:lang w:val="en_US" w:bidi="en_US"/>
        </w:rPr>
        <w:t>me</w:t>
      </w:r>
      <w:r>
        <w:rPr>
          <w:lang w:val="en_US" w:bidi="en_US"/>
        </w:rPr>
        <w:t xml:space="preserve"> to live again.”</w:t>
      </w:r>
    </w:p>
    <w:p>
      <w:pPr/>
      <w:r>
        <w:rPr>
          <w:lang w:val="en_US" w:bidi="en_US"/>
        </w:rPr>
      </w:r>
      <w:r>
        <w:rPr>
          <w:b/>
          <w:lang w:val="en_US" w:bidi="en_US"/>
        </w:rPr>
        <w:t>He must be killed:</w:t>
      </w:r>
      <w:r>
        <w:rPr>
          <w:lang w:val="en_US" w:bidi="en_US"/>
        </w:rPr>
        <w:t xml:space="preserve"> This is a passive clause. The pronoun </w:t>
      </w:r>
      <w:r>
        <w:rPr>
          <w:i/>
          <w:lang w:val="en_US" w:bidi="en_US"/>
        </w:rPr>
        <w:t>He</w:t>
      </w:r>
      <w:r>
        <w:rPr>
          <w:lang w:val="en_US" w:bidi="en_US"/>
        </w:rPr>
        <w:t xml:space="preserve"> refers to Jesus as the Son of Man, and the focus is still on him. If it is more natural in your language to use an active verb here, you can supply a general subject and say:</w:t>
      </w:r>
    </w:p>
    <w:p>
      <w:pPr/>
      <w:r>
        <w:rPr>
          <w:lang w:val="en_US" w:bidi="en_US"/>
        </w:rPr>
      </w:r>
      <w:r>
        <w:rPr>
          <w:lang w:val="en_US" w:bidi="en_US"/>
        </w:rPr>
        <w:t>people</w:t>
      </w:r>
      <w:r>
        <w:rPr>
          <w:lang w:val="en_US" w:bidi="en_US"/>
        </w:rPr>
        <w:t xml:space="preserve"> must kill him</w:t>
      </w:r>
    </w:p>
    <w:p>
      <w:pPr/>
      <w:r>
        <w:rPr>
          <w:lang w:val="en_US" w:bidi="en_US"/>
        </w:rPr>
      </w:r>
      <w:r>
        <w:rPr>
          <w:b/>
          <w:lang w:val="en_US" w:bidi="en_US"/>
        </w:rPr>
        <w:t>killed:</w:t>
      </w:r>
      <w:r>
        <w:rPr>
          <w:lang w:val="en_US" w:bidi="en_US"/>
        </w:rPr>
        <w:t xml:space="preserve"> The Greek verb that the BSB translates as </w:t>
      </w:r>
      <w:r>
        <w:rPr>
          <w:i/>
          <w:lang w:val="en_US" w:bidi="en_US"/>
        </w:rPr>
        <w:t>killed</w:t>
      </w:r>
      <w:r>
        <w:rPr>
          <w:lang w:val="en_US" w:bidi="en_US"/>
        </w:rPr>
        <w:t xml:space="preserve"> means “to cause a person to die.” In this context people would kill or execute Jesus. Use an appropriate verb for this in your language. For example:</w:t>
      </w:r>
    </w:p>
    <w:p>
      <w:pPr/>
      <w:r>
        <w:rPr>
          <w:lang w:val="en_US" w:bidi="en_US"/>
        </w:rPr>
      </w:r>
      <w:r>
        <w:rPr>
          <w:lang w:val="en_US" w:bidi="en_US"/>
        </w:rPr>
        <w:t>put to death (GNT, NJB)</w:t>
      </w:r>
    </w:p>
    <w:p>
      <w:pPr/>
      <w:r>
        <w:rPr>
          <w:lang w:val="en_US" w:bidi="en_US"/>
        </w:rPr>
      </w:r>
      <w:r>
        <w:rPr>
          <w:b/>
          <w:lang w:val="en_US" w:bidi="en_US"/>
        </w:rPr>
        <w:t>and on the third day:</w:t>
      </w:r>
      <w:r>
        <w:rPr>
          <w:lang w:val="en_US" w:bidi="en_US"/>
        </w:rPr>
        <w:t xml:space="preserve"> The phrase </w:t>
      </w:r>
      <w:r>
        <w:rPr>
          <w:i/>
          <w:lang w:val="en_US" w:bidi="en_US"/>
        </w:rPr>
        <w:t>on the third day</w:t>
      </w:r>
      <w:r>
        <w:rPr>
          <w:lang w:val="en_US" w:bidi="en_US"/>
        </w:rPr>
        <w:t xml:space="preserve"> refers to the third day after Jesus died. The Jews counted any part of a day as a whole day. The day on which Jesus died was counted as one day. The complete day that he was in the tomb was counted as the second day. The part of the day before he rose from the dead was counted as the third day.</w:t>
      </w:r>
    </w:p>
    <w:p>
      <w:pPr/>
      <w:r>
        <w:rPr>
          <w:lang w:val="en_US" w:bidi="en_US"/>
        </w:rPr>
      </w:r>
      <w:r>
        <w:rPr>
          <w:b/>
          <w:lang w:val="en_US" w:bidi="en_US"/>
        </w:rPr>
        <w:t>be raised to life:</w:t>
      </w:r>
      <w:r>
        <w:rPr>
          <w:lang w:val="en_US" w:bidi="en_US"/>
        </w:rPr>
        <w:t xml:space="preserve"> The Greek phrase that the BSB translates as </w:t>
      </w:r>
      <w:r>
        <w:rPr>
          <w:i/>
          <w:lang w:val="en_US" w:bidi="en_US"/>
        </w:rPr>
        <w:t>be raised to life</w:t>
      </w:r>
      <w:r>
        <w:rPr>
          <w:lang w:val="en_US" w:bidi="en_US"/>
        </w:rPr>
        <w:t xml:space="preserve"> is literally “be raised.” It indicates here that the Son of Man (Jesus) must become alive again after he died. This is a passive phrase. The focus is still on what will happen to the Son of Man.</w:t>
      </w:r>
      <w:r>
        <w:rPr>
          <w:lang w:val="en_US" w:bidi="en_US"/>
        </w:rPr>
        <w:t>The same verb is used in Matthew 16:21. An active form of a different verb is used in Mark 8:31. Marshall (p. 371) comments that the passive form of the verb used here in Luke gives more emphasis to the idea that God raised Jesus from the dead. However, Luke does not make God explicit as the subject, and the focus of this section is on what will happen to the Son of Man.</w:t>
      </w:r>
      <w:r>
        <w:rPr>
          <w:lang w:val="en_US" w:bidi="en_US"/>
        </w:rPr>
        <w:t xml:space="preserve"> If it is more natural in your language to use an active form, here are some ways to translate it:</w:t>
      </w:r>
    </w:p>
    <w:p>
      <w:pPr/>
      <w:r>
        <w:rPr>
          <w:lang w:val="en_US" w:bidi="en_US"/>
        </w:rPr>
      </w:r>
      <w:r>
        <w:rPr>
          <w:lang w:val="en_US" w:bidi="en_US"/>
        </w:rPr>
        <w:t>he will rise to life (CEV)</w:t>
      </w:r>
    </w:p>
    <w:p>
      <w:pPr/>
      <w:r>
        <w:rPr>
          <w:lang w:val="en_US" w:bidi="en_US"/>
        </w:rPr>
      </w:r>
      <w:r>
        <w:rPr>
          <w:lang w:val="en_US" w:bidi="en_US"/>
        </w:rPr>
        <w:t>he will live again</w:t>
      </w:r>
    </w:p>
    <w:p>
      <w:pPr/>
      <w:r>
        <w:rPr>
          <w:lang w:val="en_US" w:bidi="en_US"/>
        </w:rPr>
      </w:r>
      <w:r>
        <w:rPr>
          <w:lang w:val="en_US" w:bidi="en_US"/>
        </w:rPr>
        <w:t>God will cause</w:t>
      </w:r>
      <w:r>
        <w:rPr>
          <w:lang w:val="en_US" w:bidi="en_US"/>
        </w:rPr>
        <w:t xml:space="preserve"> him to live again</w:t>
      </w:r>
      <w:r>
        <w:rPr>
          <w:lang w:val="en_US" w:bidi="en_US"/>
        </w:rPr>
      </w:r>
      <w:r>
        <w:rPr>
          <w:lang w:val="en_US" w:bidi="en_US"/>
        </w:rPr>
      </w:r>
    </w:p>
    <w:p>
      <w:pPr/>
      <w:r>
        <w:rPr>
          <w:lang w:val="en_US" w:bidi="en_US"/>
        </w:rPr>
      </w:r>
    </w:p>
    <w:p>
      <w:pPr>
        <w:pStyle w:val="Heading2"/>
      </w:pPr>
      <w:r>
        <w:rPr>
          <w:lang w:val="en_US" w:bidi="en_US"/>
        </w:rPr>
        <w:t>Luke 9:23</w:t>
      </w:r>
      <w:r>
        <w:rPr>
          <w:lang w:val="en_US" w:bidi="en_US"/>
        </w:rPr>
      </w:r>
    </w:p>
    <w:p>
      <w:pPr>
        <w:pStyle w:val="Heading4"/>
      </w:pPr>
      <w:r>
        <w:rPr>
          <w:lang w:val="en_US" w:bidi="en_US"/>
        </w:rPr>
        <w:t>Section 9:23–27: Jesus spoke about what a person must do to be his disciple</w:t>
      </w:r>
    </w:p>
    <w:p>
      <w:pPr/>
      <w:r>
        <w:rPr>
          <w:lang w:val="en_US" w:bidi="en_US"/>
        </w:rPr>
      </w:r>
      <w:r>
        <w:rPr>
          <w:lang w:val="en_US" w:bidi="en_US"/>
        </w:rPr>
        <w:t>In the preceding section Jesus was speaking to his disciples. This section is addressed to “all.” According to the parallel passage in Mark, Jesus called the crowd of people who were there to come and listen to him. Luke does not make this detail explicit, but it is implied by the word “all.” So in these verses Jesus was speaking to the crowd, as well as to his disciples. This meant that most of the people to whom Jesus spoke were not his followers.</w:t>
      </w:r>
    </w:p>
    <w:p>
      <w:pPr/>
      <w:r>
        <w:rPr>
          <w:lang w:val="en_US" w:bidi="en_US"/>
        </w:rPr>
      </w:r>
      <w:r>
        <w:rPr>
          <w:lang w:val="en_US" w:bidi="en_US"/>
        </w:rPr>
        <w:t>In 9:23 Jesus told the people what a person must do in order to be his disciple. A person must deny himself, take up his cross every day, and follow Jesus. In the next verses (9:24–26) Jesus explained why a person must do this. Sometimes a person chooses not to follow Jesus because he wants to avoid death and shame in the present life. If, for that reason, he does not follow Jesus, he will be shamed in the future at the final judgment. He will forfeit true life with God. By contrast, a person who chooses to follow Christ may lose his present life, but he will gain true life with God.</w:t>
      </w:r>
    </w:p>
    <w:p>
      <w:pPr/>
      <w:r>
        <w:rPr>
          <w:lang w:val="en_US" w:bidi="en_US"/>
        </w:rPr>
      </w:r>
      <w:r>
        <w:rPr>
          <w:lang w:val="en_US" w:bidi="en_US"/>
        </w:rPr>
        <w:t>It is good to translate this section before you decide on a heading for it. Some other headings for this section are:</w:t>
      </w:r>
    </w:p>
    <w:p>
      <w:pPr/>
      <w:r>
        <w:rPr>
          <w:lang w:val="en_US" w:bidi="en_US"/>
        </w:rPr>
      </w:r>
      <w:r>
        <w:rPr>
          <w:lang w:val="en_US" w:bidi="en_US"/>
        </w:rPr>
        <w:t>Jesus told people how to be his true disciples</w:t>
      </w:r>
    </w:p>
    <w:p>
      <w:pPr/>
      <w:r>
        <w:rPr>
          <w:lang w:val="en_US" w:bidi="en_US"/>
        </w:rPr>
      </w:r>
      <w:r>
        <w:rPr>
          <w:lang w:val="en_US" w:bidi="en_US"/>
        </w:rPr>
        <w:t>The Life of a Person who Becomes Jesus’ Disciple</w:t>
      </w:r>
    </w:p>
    <w:p>
      <w:pPr/>
      <w:r>
        <w:rPr>
          <w:lang w:val="en_US" w:bidi="en_US"/>
        </w:rPr>
      </w:r>
      <w:r>
        <w:rPr>
          <w:lang w:val="en_US" w:bidi="en_US"/>
        </w:rPr>
        <w:t>What it Means to Follow Jesus</w:t>
      </w:r>
    </w:p>
    <w:p>
      <w:pPr/>
      <w:r>
        <w:rPr>
          <w:lang w:val="en_US" w:bidi="en_US"/>
        </w:rPr>
      </w:r>
      <w:r>
        <w:rPr>
          <w:lang w:val="en_US" w:bidi="en_US"/>
        </w:rPr>
        <w:t>There are parallel passages for this section in Matthew 16:24–28 and Mark 8:34–9:1. See also Luke 14:27, 17:33; John 12:25.</w:t>
      </w:r>
    </w:p>
    <w:p>
      <w:pPr>
        <w:pStyle w:val="Heading5"/>
      </w:pPr>
      <w:r>
        <w:rPr>
          <w:lang w:val="en_US" w:bidi="en_US"/>
        </w:rPr>
        <w:t>9:23a</w:t>
      </w:r>
    </w:p>
    <w:p>
      <w:pPr/>
      <w:r>
        <w:rPr>
          <w:lang w:val="en_US" w:bidi="en_US"/>
        </w:rPr>
      </w:r>
      <w:r>
        <w:rPr>
          <w:b/>
          <w:lang w:val="en_US" w:bidi="en_US"/>
        </w:rPr>
        <w:t>Then Jesus said to all of them,</w:t>
      </w:r>
    </w:p>
    <w:p>
      <w:pPr>
        <w:pStyle w:val="ListBullet"/>
        <w:spacing w:line="240" w:lineRule="auto"/>
        <w:ind w:left="720"/>
      </w:pPr>
      <w:r>
        <w:rPr>
          <w:lang w:val="en_US" w:bidi="en_US"/>
        </w:rPr>
      </w:r>
      <w:r>
        <w:rPr>
          <w:lang w:val="en_US" w:bidi="en_US"/>
        </w:rPr>
        <w:t xml:space="preserve">¶ Then he said to all </w:t>
      </w:r>
      <w:r>
        <w:rPr>
          <w:lang w:val="en_US" w:bidi="en_US"/>
        </w:rPr>
        <w:t>the people</w:t>
      </w:r>
      <w:r>
        <w:rPr>
          <w:lang w:val="en_US" w:bidi="en_US"/>
        </w:rPr>
        <w:t>,</w:t>
      </w:r>
    </w:p>
    <w:p>
      <w:pPr>
        <w:pStyle w:val="ListBullet"/>
        <w:spacing w:line="240" w:lineRule="auto"/>
        <w:ind w:left="720"/>
      </w:pPr>
      <w:r>
        <w:rPr>
          <w:lang w:val="en_US" w:bidi="en_US"/>
        </w:rPr>
      </w:r>
      <w:r>
        <w:rPr>
          <w:lang w:val="en_US" w:bidi="en_US"/>
        </w:rPr>
        <w:t xml:space="preserve">¶ Then Jesus began speaking to all </w:t>
      </w:r>
      <w:r>
        <w:rPr>
          <w:lang w:val="en_US" w:bidi="en_US"/>
        </w:rPr>
        <w:t>the people who were there, as well as to his disciples</w:t>
      </w:r>
      <w:r>
        <w:rPr>
          <w:lang w:val="en_US" w:bidi="en_US"/>
        </w:rPr>
        <w:t>.</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here introduces the next event in the story. It happened immediately after the event in the preceding section. Some English versions do not begin a new section here. Introduce this new event in a natural way in your language.</w:t>
      </w:r>
    </w:p>
    <w:p>
      <w:pPr/>
      <w:r>
        <w:rPr>
          <w:lang w:val="en_US" w:bidi="en_US"/>
        </w:rPr>
      </w:r>
      <w:r>
        <w:rPr>
          <w:b/>
          <w:lang w:val="en_US" w:bidi="en_US"/>
        </w:rPr>
        <w:t>Jesus said to all of them:</w:t>
      </w:r>
      <w:r>
        <w:rPr>
          <w:lang w:val="en_US" w:bidi="en_US"/>
        </w:rPr>
        <w:t xml:space="preserve"> In the preceding section, Jesus had been addressing only his twelve apostles. Now he began to speak to all the other people along with his disciples. See the introduction to Section 9:23–27.</w:t>
      </w:r>
    </w:p>
    <w:p>
      <w:pPr/>
      <w:r>
        <w:rPr>
          <w:lang w:val="en_US" w:bidi="en_US"/>
        </w:rPr>
      </w:r>
      <w:r>
        <w:rPr>
          <w:lang w:val="en_US" w:bidi="en_US"/>
        </w:rPr>
        <w:t xml:space="preserve">In some languages it may be necessary to make explicit to whom the word </w:t>
      </w:r>
      <w:r>
        <w:rPr>
          <w:i/>
          <w:lang w:val="en_US" w:bidi="en_US"/>
        </w:rPr>
        <w:t>all</w:t>
      </w:r>
      <w:r>
        <w:rPr>
          <w:lang w:val="en_US" w:bidi="en_US"/>
        </w:rPr>
        <w:t xml:space="preserve"> refers. It should not mean “all the disciples.” Other ways to express this meaning include:</w:t>
      </w:r>
    </w:p>
    <w:p>
      <w:pPr/>
      <w:r>
        <w:rPr>
          <w:lang w:val="en_US" w:bidi="en_US"/>
        </w:rPr>
      </w:r>
      <w:r>
        <w:rPr>
          <w:lang w:val="en_US" w:bidi="en_US"/>
        </w:rPr>
        <w:t>Then Jesus said to all the people (CEV)</w:t>
      </w:r>
    </w:p>
    <w:p>
      <w:pPr/>
      <w:r>
        <w:rPr>
          <w:lang w:val="en_US" w:bidi="en_US"/>
        </w:rPr>
      </w:r>
      <w:r>
        <w:rPr>
          <w:lang w:val="en_US" w:bidi="en_US"/>
        </w:rPr>
        <w:t xml:space="preserve">Then Jesus began to speak to all </w:t>
      </w:r>
      <w:r>
        <w:rPr>
          <w:lang w:val="en_US" w:bidi="en_US"/>
        </w:rPr>
        <w:t>the people who were there, including his disciples</w:t>
      </w:r>
    </w:p>
    <w:p>
      <w:pPr>
        <w:pStyle w:val="Heading5"/>
      </w:pPr>
      <w:r>
        <w:rPr>
          <w:lang w:val="en_US" w:bidi="en_US"/>
        </w:rPr>
        <w:t>9:23b–27</w:t>
      </w:r>
    </w:p>
    <w:p>
      <w:pPr/>
      <w:r>
        <w:rPr>
          <w:lang w:val="en_US" w:bidi="en_US"/>
        </w:rPr>
      </w:r>
      <w:r>
        <w:rPr>
          <w:lang w:val="en_US" w:bidi="en_US"/>
        </w:rPr>
        <w:t>In these verses Jesus talked about anyone and everyone who wanted to be his disciple. Indicate this in a natural way in your language. In some languages it may be more natural to use a plural subject. For example:</w:t>
      </w:r>
    </w:p>
    <w:p>
      <w:pPr/>
      <w:r>
        <w:rPr>
          <w:lang w:val="en_US" w:bidi="en_US"/>
        </w:rPr>
      </w:r>
      <w:r>
        <w:rPr>
          <w:lang w:val="en_US" w:bidi="en_US"/>
        </w:rPr>
        <w:t>If people want to follow me, they must give up the things they want. They must be willing to give up their lives daily to follow me. (NCV)</w:t>
      </w:r>
    </w:p>
    <w:p>
      <w:pPr/>
      <w:r>
        <w:rPr>
          <w:lang w:val="en_US" w:bidi="en_US"/>
        </w:rPr>
      </w:r>
      <w:r>
        <w:rPr>
          <w:lang w:val="en_US" w:bidi="en_US"/>
        </w:rPr>
        <w:t>In other languages it may be more natural to use a pronoun like “you.” For example:</w:t>
      </w:r>
    </w:p>
    <w:p>
      <w:pPr/>
      <w:r>
        <w:rPr>
          <w:lang w:val="en_US" w:bidi="en_US"/>
        </w:rPr>
      </w:r>
      <w:r>
        <w:rPr>
          <w:lang w:val="en_US" w:bidi="en_US"/>
        </w:rPr>
        <w:t>If any of you want to be my followers, you must forget about yourself. You must take up your cross each day and follow me. (CEV)</w:t>
      </w:r>
    </w:p>
    <w:p>
      <w:pPr/>
      <w:r>
        <w:rPr>
          <w:lang w:val="en_US" w:bidi="en_US"/>
        </w:rPr>
      </w:r>
      <w:r>
        <w:rPr>
          <w:lang w:val="en_US" w:bidi="en_US"/>
        </w:rPr>
        <w:t>If you want to come with me, you must forget yourself, take up your cross every day, and follow me. (GNT)</w:t>
      </w:r>
    </w:p>
    <w:p>
      <w:pPr>
        <w:pStyle w:val="Heading5"/>
      </w:pPr>
      <w:r>
        <w:rPr>
          <w:lang w:val="en_US" w:bidi="en_US"/>
        </w:rPr>
        <w:t>9:23b</w:t>
      </w:r>
    </w:p>
    <w:p>
      <w:pPr/>
      <w:r>
        <w:rPr>
          <w:lang w:val="en_US" w:bidi="en_US"/>
        </w:rPr>
      </w:r>
      <w:r>
        <w:rPr>
          <w:b/>
          <w:lang w:val="en_US" w:bidi="en_US"/>
        </w:rPr>
        <w:t>“If anyone wants to come after Me,</w:t>
      </w:r>
    </w:p>
    <w:p>
      <w:pPr>
        <w:pStyle w:val="ListBullet"/>
        <w:spacing w:line="240" w:lineRule="auto"/>
        <w:ind w:left="720"/>
      </w:pPr>
      <w:r>
        <w:rPr>
          <w:lang w:val="en_US" w:bidi="en_US"/>
        </w:rPr>
      </w:r>
      <w:r>
        <w:rPr>
          <w:lang w:val="en_US" w:bidi="en_US"/>
        </w:rPr>
        <w:t>“If any of you</w:t>
      </w:r>
      <w:r>
        <w:rPr>
          <w:vertAlign w:val="superscript"/>
          <w:lang w:val="en_US" w:bidi="en_US"/>
        </w:rPr>
        <w:t>(plur)</w:t>
      </w:r>
      <w:r>
        <w:rPr>
          <w:lang w:val="en_US" w:bidi="en_US"/>
        </w:rPr>
        <w:t xml:space="preserve"> </w:t>
      </w:r>
      <w:r>
        <w:rPr>
          <w:lang w:val="en_US" w:bidi="en_US"/>
        </w:rPr>
        <w:t>truly</w:t>
      </w:r>
      <w:r>
        <w:rPr>
          <w:lang w:val="en_US" w:bidi="en_US"/>
        </w:rPr>
        <w:t xml:space="preserve"> desires to follow me,</w:t>
      </w:r>
    </w:p>
    <w:p>
      <w:pPr>
        <w:pStyle w:val="ListBullet"/>
        <w:spacing w:line="240" w:lineRule="auto"/>
        <w:ind w:left="720"/>
      </w:pPr>
      <w:r>
        <w:rPr>
          <w:lang w:val="en_US" w:bidi="en_US"/>
        </w:rPr>
      </w:r>
      <w:r>
        <w:rPr>
          <w:lang w:val="en_US" w:bidi="en_US"/>
        </w:rPr>
        <w:t>He said to them, “Anyone who wants to be/become my follower/disciple</w:t>
      </w:r>
    </w:p>
    <w:p>
      <w:pPr/>
      <w:r>
        <w:rPr>
          <w:lang w:val="en_US" w:bidi="en_US"/>
        </w:rPr>
      </w:r>
      <w:r>
        <w:rPr>
          <w:b/>
          <w:lang w:val="en_US" w:bidi="en_US"/>
        </w:rPr>
        <w:t>If anyone wants to come after Me:</w:t>
      </w:r>
      <w:r>
        <w:rPr>
          <w:lang w:val="en_US" w:bidi="en_US"/>
        </w:rPr>
        <w:t xml:space="preserve"> The Greek phrase that the BSB translates as </w:t>
      </w:r>
      <w:r>
        <w:rPr>
          <w:i/>
          <w:lang w:val="en_US" w:bidi="en_US"/>
        </w:rPr>
        <w:t>wants to come after Me</w:t>
      </w:r>
      <w:r>
        <w:rPr>
          <w:lang w:val="en_US" w:bidi="en_US"/>
        </w:rPr>
        <w:t xml:space="preserve"> is literally “wants/desires after me to come.” It refers to anyone who wanted to become Jesus’ disciple and follow him. Other ways to translate this are:</w:t>
      </w:r>
    </w:p>
    <w:p>
      <w:pPr/>
      <w:r>
        <w:rPr>
          <w:lang w:val="en_US" w:bidi="en_US"/>
        </w:rPr>
      </w:r>
      <w:r>
        <w:rPr>
          <w:lang w:val="en_US" w:bidi="en_US"/>
        </w:rPr>
        <w:t>If any want to become my followers (NRSV)</w:t>
      </w:r>
    </w:p>
    <w:p>
      <w:pPr/>
      <w:r>
        <w:rPr>
          <w:lang w:val="en_US" w:bidi="en_US"/>
        </w:rPr>
      </w:r>
      <w:r>
        <w:rPr>
          <w:lang w:val="en_US" w:bidi="en_US"/>
        </w:rPr>
        <w:t>Anyone who desires/decides to be my disciple</w:t>
      </w:r>
    </w:p>
    <w:p>
      <w:pPr/>
      <w:r>
        <w:rPr>
          <w:lang w:val="en_US" w:bidi="en_US"/>
        </w:rPr>
      </w:r>
      <w:r>
        <w:rPr>
          <w:b/>
          <w:lang w:val="en_US" w:bidi="en_US"/>
        </w:rPr>
        <w:t>wants to:</w:t>
      </w:r>
      <w:r>
        <w:rPr>
          <w:lang w:val="en_US" w:bidi="en_US"/>
        </w:rPr>
        <w:t xml:space="preserve"> The Greek verb that the BSB translates as </w:t>
      </w:r>
      <w:r>
        <w:rPr>
          <w:i/>
          <w:lang w:val="en_US" w:bidi="en_US"/>
        </w:rPr>
        <w:t>wants to</w:t>
      </w:r>
      <w:r>
        <w:rPr>
          <w:lang w:val="en_US" w:bidi="en_US"/>
        </w:rPr>
        <w:t xml:space="preserve"> means “desires to,” “wishes to,” or “wants to.” In this context, it may imply “</w:t>
      </w:r>
      <w:r>
        <w:rPr>
          <w:lang w:val="en_US" w:bidi="en_US"/>
        </w:rPr>
        <w:t>truly</w:t>
      </w:r>
      <w:r>
        <w:rPr>
          <w:lang w:val="en_US" w:bidi="en_US"/>
        </w:rPr>
        <w:t xml:space="preserve"> wants to.”</w:t>
      </w:r>
    </w:p>
    <w:p>
      <w:pPr>
        <w:pStyle w:val="Heading5"/>
      </w:pPr>
      <w:r>
        <w:rPr>
          <w:lang w:val="en_US" w:bidi="en_US"/>
        </w:rPr>
        <w:t>9:23c–e</w:t>
      </w:r>
    </w:p>
    <w:p>
      <w:pPr/>
      <w:r>
        <w:rPr>
          <w:lang w:val="en_US" w:bidi="en_US"/>
        </w:rPr>
      </w:r>
      <w:r>
        <w:rPr>
          <w:b/>
          <w:lang w:val="en_US" w:bidi="en_US"/>
        </w:rPr>
        <w:t>he must deny himself and take up his cross daily and follow Me:</w:t>
      </w:r>
      <w:r>
        <w:rPr>
          <w:lang w:val="en_US" w:bidi="en_US"/>
        </w:rPr>
        <w:t xml:space="preserve"> The Greek phrases that the BSB translates as </w:t>
      </w:r>
      <w:r>
        <w:rPr>
          <w:i/>
          <w:lang w:val="en_US" w:bidi="en_US"/>
        </w:rPr>
        <w:t>must deny himself</w:t>
      </w:r>
      <w:r>
        <w:rPr>
          <w:lang w:val="en_US" w:bidi="en_US"/>
        </w:rPr>
        <w:t xml:space="preserve"> and </w:t>
      </w:r>
      <w:r>
        <w:rPr>
          <w:i/>
          <w:lang w:val="en_US" w:bidi="en_US"/>
        </w:rPr>
        <w:t>take up his cross daily</w:t>
      </w:r>
      <w:r>
        <w:rPr>
          <w:lang w:val="en_US" w:bidi="en_US"/>
        </w:rPr>
        <w:t xml:space="preserve"> and </w:t>
      </w:r>
      <w:r>
        <w:rPr>
          <w:i/>
          <w:lang w:val="en_US" w:bidi="en_US"/>
        </w:rPr>
        <w:t>follow Me</w:t>
      </w:r>
      <w:r>
        <w:rPr>
          <w:lang w:val="en_US" w:bidi="en_US"/>
        </w:rPr>
        <w:t xml:space="preserve"> are three indirect commands. A person who desires to be one of Jesus’ disciples must do three things:</w:t>
      </w:r>
    </w:p>
    <w:p>
      <w:pPr>
        <w:pStyle w:val="ListNumber"/>
        <w:numPr>
          <w:ilvl w:val="0"/>
          <w:numId w:val="191"/>
        </w:numPr>
        <w:spacing w:line="240" w:lineRule="auto"/>
        <w:ind w:left="720"/>
      </w:pPr>
      <w:r>
        <w:rPr>
          <w:lang w:val="en_US" w:bidi="en_US"/>
        </w:rPr>
      </w:r>
      <w:r>
        <w:rPr>
          <w:lang w:val="en_US" w:bidi="en_US"/>
        </w:rPr>
        <w:t>He must deny himself.</w:t>
      </w:r>
    </w:p>
    <w:p>
      <w:pPr>
        <w:pStyle w:val="ListNumber"/>
        <w:spacing w:line="240" w:lineRule="auto"/>
        <w:ind w:left="720"/>
      </w:pPr>
      <w:r>
        <w:rPr>
          <w:lang w:val="en_US" w:bidi="en_US"/>
        </w:rPr>
      </w:r>
      <w:r>
        <w:rPr>
          <w:lang w:val="en_US" w:bidi="en_US"/>
        </w:rPr>
        <w:t>He must take up his cross daily.</w:t>
      </w:r>
    </w:p>
    <w:p>
      <w:pPr>
        <w:pStyle w:val="ListNumber"/>
        <w:spacing w:line="240" w:lineRule="auto"/>
        <w:ind w:left="720"/>
      </w:pPr>
      <w:r>
        <w:rPr>
          <w:lang w:val="en_US" w:bidi="en_US"/>
        </w:rPr>
      </w:r>
      <w:r>
        <w:rPr>
          <w:lang w:val="en_US" w:bidi="en_US"/>
        </w:rPr>
        <w:t>He must follow Jesus as a disciple.</w:t>
      </w:r>
    </w:p>
    <w:p>
      <w:pPr/>
      <w:r>
        <w:rPr>
          <w:lang w:val="en_US" w:bidi="en_US"/>
        </w:rPr>
      </w:r>
      <w:r>
        <w:rPr>
          <w:lang w:val="en_US" w:bidi="en_US"/>
        </w:rPr>
        <w:t>Indicate in a natural way in your language that a person must do each of these actions in order to be a follower of Jesus.</w:t>
      </w:r>
    </w:p>
    <w:p>
      <w:pPr>
        <w:pStyle w:val="Heading5"/>
      </w:pPr>
      <w:r>
        <w:rPr>
          <w:lang w:val="en_US" w:bidi="en_US"/>
        </w:rPr>
        <w:t>9:23c</w:t>
      </w:r>
    </w:p>
    <w:p>
      <w:pPr/>
      <w:r>
        <w:rPr>
          <w:lang w:val="en_US" w:bidi="en_US"/>
        </w:rPr>
      </w:r>
      <w:r>
        <w:rPr>
          <w:b/>
          <w:lang w:val="en_US" w:bidi="en_US"/>
        </w:rPr>
        <w:t>he must deny himself</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renounce/reject/disown yourselves.</w:t>
      </w:r>
    </w:p>
    <w:p>
      <w:pPr>
        <w:pStyle w:val="ListBullet"/>
        <w:spacing w:line="240" w:lineRule="auto"/>
        <w:ind w:left="720"/>
      </w:pPr>
      <w:r>
        <w:rPr>
          <w:lang w:val="en_US" w:bidi="en_US"/>
        </w:rPr>
      </w:r>
      <w:r>
        <w:rPr>
          <w:lang w:val="en_US" w:bidi="en_US"/>
        </w:rPr>
        <w:t>must refuse to live for his own benefit.</w:t>
      </w:r>
    </w:p>
    <w:p>
      <w:pPr/>
      <w:r>
        <w:rPr>
          <w:lang w:val="en_US" w:bidi="en_US"/>
        </w:rPr>
      </w:r>
      <w:r>
        <w:rPr>
          <w:b/>
          <w:lang w:val="en_US" w:bidi="en_US"/>
        </w:rPr>
        <w:t>he must deny himself:</w:t>
      </w:r>
      <w:r>
        <w:rPr>
          <w:lang w:val="en_US" w:bidi="en_US"/>
        </w:rPr>
        <w:t xml:space="preserve"> The Greek phrase that the BSB translates literally as </w:t>
      </w:r>
      <w:r>
        <w:rPr>
          <w:i/>
          <w:lang w:val="en_US" w:bidi="en_US"/>
        </w:rPr>
        <w:t>deny himself</w:t>
      </w:r>
      <w:r>
        <w:rPr>
          <w:lang w:val="en_US" w:bidi="en_US"/>
        </w:rPr>
        <w:t xml:space="preserve"> means “reject oneself” or “refuse to please oneself.” A disciple must do what his master wants him to do, whether or not it is what the disciple himself wants to do. Disciples of Jesus must give up the right to fulfill their own ambitions. Some other ways to translate </w:t>
      </w:r>
      <w:r>
        <w:rPr>
          <w:i/>
          <w:lang w:val="en_US" w:bidi="en_US"/>
        </w:rPr>
        <w:t>deny himself</w:t>
      </w:r>
      <w:r>
        <w:rPr>
          <w:lang w:val="en_US" w:bidi="en_US"/>
        </w:rPr>
        <w:t xml:space="preserve"> include:</w:t>
      </w:r>
    </w:p>
    <w:p>
      <w:pPr/>
      <w:r>
        <w:rPr>
          <w:lang w:val="en_US" w:bidi="en_US"/>
        </w:rPr>
      </w:r>
      <w:r>
        <w:rPr>
          <w:lang w:val="en_US" w:bidi="en_US"/>
        </w:rPr>
        <w:t>forget about yourself (CEV)</w:t>
      </w:r>
    </w:p>
    <w:p>
      <w:pPr/>
      <w:r>
        <w:rPr>
          <w:lang w:val="en_US" w:bidi="en_US"/>
        </w:rPr>
      </w:r>
      <w:r>
        <w:rPr>
          <w:lang w:val="en_US" w:bidi="en_US"/>
        </w:rPr>
        <w:t>turn from your selfish ways (NLT)</w:t>
      </w:r>
    </w:p>
    <w:p>
      <w:pPr/>
      <w:r>
        <w:rPr>
          <w:lang w:val="en_US" w:bidi="en_US"/>
        </w:rPr>
      </w:r>
      <w:r>
        <w:rPr>
          <w:lang w:val="en_US" w:bidi="en_US"/>
        </w:rPr>
        <w:t>renounce self (REB)</w:t>
      </w:r>
    </w:p>
    <w:p>
      <w:pPr/>
      <w:r>
        <w:rPr>
          <w:lang w:val="en_US" w:bidi="en_US"/>
        </w:rPr>
      </w:r>
      <w:r>
        <w:rPr>
          <w:lang w:val="en_US" w:bidi="en_US"/>
        </w:rPr>
        <w:t>refuse his own desires</w:t>
      </w:r>
    </w:p>
    <w:p>
      <w:pPr>
        <w:pStyle w:val="Heading5"/>
      </w:pPr>
      <w:r>
        <w:rPr>
          <w:lang w:val="en_US" w:bidi="en_US"/>
        </w:rPr>
        <w:t>9:23d</w:t>
      </w:r>
    </w:p>
    <w:p>
      <w:pPr/>
      <w:r>
        <w:rPr>
          <w:lang w:val="en_US" w:bidi="en_US"/>
        </w:rPr>
      </w:r>
      <w:r>
        <w:rPr>
          <w:b/>
          <w:lang w:val="en_US" w:bidi="en_US"/>
        </w:rPr>
        <w:t>and take up his cross daily</w:t>
      </w:r>
    </w:p>
    <w:p>
      <w:pPr>
        <w:pStyle w:val="ListBullet"/>
        <w:spacing w:line="240" w:lineRule="auto"/>
        <w:ind w:left="720"/>
      </w:pPr>
      <w:r>
        <w:rPr>
          <w:lang w:val="en_US" w:bidi="en_US"/>
        </w:rPr>
      </w:r>
      <w:r>
        <w:rPr>
          <w:lang w:val="en_US" w:bidi="en_US"/>
        </w:rPr>
        <w:t>Day after day you</w:t>
      </w:r>
      <w:r>
        <w:rPr>
          <w:vertAlign w:val="superscript"/>
          <w:lang w:val="en_US" w:bidi="en_US"/>
        </w:rPr>
        <w:t>(plur)</w:t>
      </w:r>
      <w:r>
        <w:rPr>
          <w:lang w:val="en_US" w:bidi="en_US"/>
        </w:rPr>
        <w:t xml:space="preserve"> must pick up your cross</w:t>
      </w:r>
    </w:p>
    <w:p>
      <w:pPr>
        <w:pStyle w:val="ListBullet"/>
        <w:spacing w:line="240" w:lineRule="auto"/>
        <w:ind w:left="720"/>
      </w:pPr>
      <w:r>
        <w:rPr>
          <w:lang w:val="en_US" w:bidi="en_US"/>
        </w:rPr>
      </w:r>
      <w:r>
        <w:rPr>
          <w:lang w:val="en_US" w:bidi="en_US"/>
        </w:rPr>
        <w:t xml:space="preserve">Each day he must consider himself to be dead </w:t>
      </w:r>
      <w:r>
        <w:rPr>
          <w:lang w:val="en_US" w:bidi="en_US"/>
        </w:rPr>
        <w:t>as far as his own life is concerned</w:t>
      </w:r>
      <w:r>
        <w:rPr>
          <w:lang w:val="en_US" w:bidi="en_US"/>
        </w:rPr>
        <w:t>,</w:t>
      </w:r>
    </w:p>
    <w:p>
      <w:pPr/>
      <w:r>
        <w:rPr>
          <w:lang w:val="en_US" w:bidi="en_US"/>
        </w:rPr>
      </w:r>
      <w:r>
        <w:rPr>
          <w:b/>
          <w:lang w:val="en_US" w:bidi="en_US"/>
        </w:rPr>
        <w:t>take up his cross:</w:t>
      </w:r>
      <w:r>
        <w:rPr>
          <w:lang w:val="en_US" w:bidi="en_US"/>
        </w:rPr>
        <w:t xml:space="preserve"> The phrase </w:t>
      </w:r>
      <w:r>
        <w:rPr>
          <w:i/>
          <w:lang w:val="en_US" w:bidi="en_US"/>
        </w:rPr>
        <w:t>take up his cross</w:t>
      </w:r>
      <w:r>
        <w:rPr>
          <w:lang w:val="en_US" w:bidi="en_US"/>
        </w:rPr>
        <w:t xml:space="preserve"> refers to the way that Roman soldiers executed criminals. They forced a condemned criminal to pick up a large wooden cross. He had to carry it to the place where he would be put to death. Then the soldiers nailed him on the cross to die.</w:t>
      </w:r>
    </w:p>
    <w:p>
      <w:pPr/>
      <w:r>
        <w:rPr>
          <w:lang w:val="en_US" w:bidi="en_US"/>
        </w:rPr>
      </w:r>
      <w:r>
        <w:rPr>
          <w:lang w:val="en_US" w:bidi="en_US"/>
        </w:rPr>
        <w:t>When Jesus used this phrase, he knew that the Romans would soon force him to carry a literal cross. But in this context, he used the phrase figuratively. Jesus probably meant that anyone who wanted to become his disciple should live each day as if he were already dead to his own desires. He may also have meant that anyone who wanted to become his disciple had to be willing to suffer and die in order to obey him.</w:t>
      </w:r>
      <w:r>
        <w:rPr>
          <w:lang w:val="en_US" w:bidi="en_US"/>
        </w:rPr>
        <w:t>A number of commentators (e.g., Bratcher, Geldenhuys, Summers, Lenski) understand this figure of speech to refer to being willing to suffer persecution even to the point of death. However, Marshall (p. 373) advances another view, which makes a lot of sense in light of Paul’s concept of dying to self. He says that a person who picked up his cross was already condemned to die. He knew he was as good as dead. So what Jesus meant is that a disciple must daily consider himself to be dead and follow/obey his master’s desires, not his own. Other commentators who support this view include Liefield, Green, Fitzmyer, Pate, TH, Morris, Bock and Nolland.</w:t>
      </w:r>
    </w:p>
    <w:p>
      <w:pPr/>
      <w:r>
        <w:rPr>
          <w:lang w:val="en_US" w:bidi="en_US"/>
        </w:rPr>
      </w:r>
      <w:r>
        <w:rPr>
          <w:lang w:val="en_US" w:bidi="en_US"/>
        </w:rPr>
        <w:t xml:space="preserve">Some ways to translate the phrase </w:t>
      </w:r>
      <w:r>
        <w:rPr>
          <w:i/>
          <w:lang w:val="en_US" w:bidi="en_US"/>
        </w:rPr>
        <w:t>take up his cross</w:t>
      </w:r>
      <w:r>
        <w:rPr>
          <w:lang w:val="en_US" w:bidi="en_US"/>
        </w:rPr>
        <w:t xml:space="preserve"> are:</w:t>
      </w:r>
    </w:p>
    <w:p>
      <w:pPr>
        <w:pStyle w:val="ListBullet"/>
        <w:spacing w:line="240" w:lineRule="auto"/>
        <w:ind w:left="720"/>
      </w:pPr>
      <w:r>
        <w:rPr>
          <w:lang w:val="en_US" w:bidi="en_US"/>
        </w:rPr>
      </w:r>
      <w:r>
        <w:rPr>
          <w:lang w:val="en_US" w:bidi="en_US"/>
        </w:rPr>
        <w:t>Translate the figure of speech literally and add a footnote that explains the meaning. A sample footnote is:</w:t>
      </w:r>
      <w:r>
        <w:rPr>
          <w:lang w:val="en_US" w:bidi="en_US"/>
        </w:rPr>
        <w:t>In the time of Jesus, a person who was condemned to be crucified was forced to carry the cross to the place where he would be nailed to it. Jesus probably means here that a person who follows him must consider himself to be like a dead person. He must obey Jesus and not choose his own way. Jesus may also mean that a person must be ready to suffer and die in order to follow him</w:t>
      </w:r>
    </w:p>
    <w:p>
      <w:pPr>
        <w:pStyle w:val="ListBullet"/>
        <w:spacing w:line="240" w:lineRule="auto"/>
        <w:ind w:left="720"/>
      </w:pPr>
      <w:r>
        <w:rPr>
          <w:lang w:val="en_US" w:bidi="en_US"/>
        </w:rPr>
      </w:r>
      <w:r>
        <w:rPr>
          <w:lang w:val="en_US" w:bidi="en_US"/>
        </w:rPr>
        <w:t>Omit the figure of speech and translate the meaning directly. For example:</w:t>
      </w:r>
      <w:r>
        <w:rPr>
          <w:lang w:val="en_US" w:bidi="en_US"/>
        </w:rPr>
        <w:t>must consider themselves daily to be dead as far as their own lives/desires are concerned</w:t>
      </w:r>
      <w:r>
        <w:rPr>
          <w:lang w:val="en_US" w:bidi="en_US"/>
        </w:rPr>
        <w:t xml:space="preserve">must be willing to give up their lives daily (NCV) </w:t>
      </w:r>
      <w:r>
        <w:rPr>
          <w:i/>
          <w:lang w:val="en_US" w:bidi="en_US"/>
        </w:rPr>
        <w:t>If you follow this option, consider adding a footnote that gives Jesus’ literal words.</w:t>
      </w:r>
    </w:p>
    <w:p>
      <w:pPr/>
      <w:r>
        <w:rPr>
          <w:lang w:val="en_US" w:bidi="en_US"/>
        </w:rPr>
      </w:r>
      <w:r>
        <w:rPr>
          <w:lang w:val="en_US" w:bidi="en_US"/>
        </w:rPr>
        <w:t>Translate this phrase in the way that is most natural in your language.</w:t>
      </w:r>
    </w:p>
    <w:p>
      <w:pPr/>
      <w:r>
        <w:rPr>
          <w:lang w:val="en_US" w:bidi="en_US"/>
        </w:rPr>
      </w:r>
      <w:r>
        <w:rPr>
          <w:b/>
          <w:lang w:val="en_US" w:bidi="en_US"/>
        </w:rPr>
        <w:t>cross:</w:t>
      </w:r>
      <w:r>
        <w:rPr>
          <w:lang w:val="en_US" w:bidi="en_US"/>
        </w:rPr>
        <w:t xml:space="preserve"> A </w:t>
      </w:r>
      <w:r>
        <w:rPr>
          <w:i/>
          <w:lang w:val="en_US" w:bidi="en_US"/>
        </w:rPr>
        <w:t>cross</w:t>
      </w:r>
      <w:r>
        <w:rPr>
          <w:lang w:val="en_US" w:bidi="en_US"/>
        </w:rPr>
        <w:t xml:space="preserve"> refers to two large wooden boards or beams that were attached to each other. Roman soldiers used crosses to kill criminals. They nailed or tied a criminal to these wooden beams, then set them upright. They did this in order to cause the criminal to die slowly and painfully.</w:t>
      </w:r>
    </w:p>
    <w:p>
      <w:pPr/>
      <w:r>
        <w:rPr>
          <w:lang w:val="en_US" w:bidi="en_US"/>
        </w:rPr>
      </w:r>
      <w:r>
        <w:rPr>
          <w:lang w:val="en_US" w:bidi="en_US"/>
        </w:rPr>
        <w:t xml:space="preserve">The word </w:t>
      </w:r>
      <w:r>
        <w:rPr>
          <w:i/>
          <w:lang w:val="en_US" w:bidi="en_US"/>
        </w:rPr>
        <w:t>cross</w:t>
      </w:r>
      <w:r>
        <w:rPr>
          <w:lang w:val="en_US" w:bidi="en_US"/>
        </w:rPr>
        <w:t xml:space="preserve"> comes from the fact that the beams were </w:t>
      </w:r>
      <w:r>
        <w:rPr>
          <w:u w:val="single"/>
          <w:lang w:val="en_US" w:bidi="en_US"/>
        </w:rPr>
        <w:t>crossed</w:t>
      </w:r>
      <w:r>
        <w:rPr>
          <w:lang w:val="en_US" w:bidi="en_US"/>
        </w:rPr>
        <w:t xml:space="preserve"> and attached. This made the shape of a </w:t>
      </w:r>
      <w:r>
        <w:rPr>
          <w:b/>
          <w:lang w:val="en_US" w:bidi="en_US"/>
        </w:rPr>
        <w:t>+</w:t>
      </w:r>
      <w:r>
        <w:rPr>
          <w:lang w:val="en_US" w:bidi="en_US"/>
        </w:rPr>
        <w:t xml:space="preserve"> or </w:t>
      </w:r>
      <w:r>
        <w:rPr>
          <w:b/>
          <w:lang w:val="en_US" w:bidi="en_US"/>
        </w:rPr>
        <w:t>✝</w:t>
      </w:r>
      <w:r>
        <w:rPr>
          <w:lang w:val="en_US" w:bidi="en_US"/>
        </w:rPr>
        <w:t xml:space="preserve"> (or sometimes a </w:t>
      </w:r>
      <w:r>
        <w:rPr>
          <w:b/>
          <w:lang w:val="en_US" w:bidi="en_US"/>
        </w:rPr>
        <w:t>T</w:t>
      </w:r>
      <w:r>
        <w:rPr>
          <w:lang w:val="en_US" w:bidi="en_US"/>
        </w:rPr>
        <w:t>).</w:t>
      </w:r>
    </w:p>
    <w:p>
      <w:pPr/>
      <w:r>
        <w:rPr>
          <w:lang w:val="en_US" w:bidi="en_US"/>
        </w:rPr>
      </w:r>
      <w:r>
        <w:rPr>
          <w:lang w:val="en_US" w:bidi="en_US"/>
        </w:rPr>
        <w:t xml:space="preserve">In many languages there may be no word for </w:t>
      </w:r>
      <w:r>
        <w:rPr>
          <w:i/>
          <w:lang w:val="en_US" w:bidi="en_US"/>
        </w:rPr>
        <w:t>cross</w:t>
      </w:r>
      <w:r>
        <w:rPr>
          <w:lang w:val="en_US" w:bidi="en_US"/>
        </w:rPr>
        <w:t>. If that is true in your language, you may need to use a descriptive phrase. For example:</w:t>
      </w:r>
    </w:p>
    <w:p>
      <w:pPr/>
      <w:r>
        <w:rPr>
          <w:lang w:val="en_US" w:bidi="en_US"/>
        </w:rPr>
      </w:r>
      <w:r>
        <w:rPr>
          <w:lang w:val="en_US" w:bidi="en_US"/>
        </w:rPr>
        <w:t>board/wood of death</w:t>
      </w:r>
    </w:p>
    <w:p>
      <w:pPr/>
      <w:r>
        <w:rPr>
          <w:lang w:val="en_US" w:bidi="en_US"/>
        </w:rPr>
      </w:r>
      <w:r>
        <w:rPr>
          <w:lang w:val="en_US" w:bidi="en_US"/>
        </w:rPr>
        <w:t>crossed-beam(s) of death</w:t>
      </w:r>
    </w:p>
    <w:p>
      <w:pPr/>
      <w:r>
        <w:rPr>
          <w:lang w:val="en_US" w:bidi="en_US"/>
        </w:rPr>
      </w:r>
      <w:r>
        <w:rPr>
          <w:lang w:val="en_US" w:bidi="en_US"/>
        </w:rPr>
        <w:t>a tree for killing people</w:t>
      </w:r>
    </w:p>
    <w:p>
      <w:pPr/>
      <w:r>
        <w:rPr>
          <w:lang w:val="en_US" w:bidi="en_US"/>
        </w:rPr>
      </w:r>
      <w:r>
        <w:rPr>
          <w:lang w:val="en_US" w:bidi="en_US"/>
        </w:rPr>
        <w:t>a stake/plank to which they fasten/nail someone to kill him</w:t>
      </w:r>
    </w:p>
    <w:p>
      <w:pPr/>
      <w:r>
        <w:rPr>
          <w:lang w:val="en_US" w:bidi="en_US"/>
        </w:rPr>
      </w:r>
      <w:r>
        <w:rPr>
          <w:b/>
          <w:lang w:val="en_US" w:bidi="en_US"/>
        </w:rPr>
        <w:t>daily:</w:t>
      </w:r>
      <w:r>
        <w:rPr>
          <w:lang w:val="en_US" w:bidi="en_US"/>
        </w:rPr>
        <w:t xml:space="preserve"> The Greek phrase that the BSB translates as </w:t>
      </w:r>
      <w:r>
        <w:rPr>
          <w:i/>
          <w:lang w:val="en_US" w:bidi="en_US"/>
        </w:rPr>
        <w:t>daily</w:t>
      </w:r>
      <w:r>
        <w:rPr>
          <w:lang w:val="en_US" w:bidi="en_US"/>
        </w:rPr>
        <w:t xml:space="preserve"> means “every day.” Other ways to translate this include:</w:t>
      </w:r>
    </w:p>
    <w:p>
      <w:pPr/>
      <w:r>
        <w:rPr>
          <w:lang w:val="en_US" w:bidi="en_US"/>
        </w:rPr>
      </w:r>
      <w:r>
        <w:rPr>
          <w:lang w:val="en_US" w:bidi="en_US"/>
        </w:rPr>
        <w:t>day by day</w:t>
      </w:r>
    </w:p>
    <w:p>
      <w:pPr/>
      <w:r>
        <w:rPr>
          <w:lang w:val="en_US" w:bidi="en_US"/>
        </w:rPr>
      </w:r>
      <w:r>
        <w:rPr>
          <w:lang w:val="en_US" w:bidi="en_US"/>
        </w:rPr>
        <w:t>day after day</w:t>
      </w:r>
    </w:p>
    <w:p>
      <w:pPr>
        <w:pStyle w:val="Heading5"/>
      </w:pPr>
      <w:r>
        <w:rPr>
          <w:lang w:val="en_US" w:bidi="en_US"/>
        </w:rPr>
        <w:t>9:23e</w:t>
      </w:r>
    </w:p>
    <w:p>
      <w:pPr/>
      <w:r>
        <w:rPr>
          <w:lang w:val="en_US" w:bidi="en_US"/>
        </w:rPr>
      </w:r>
      <w:r>
        <w:rPr>
          <w:b/>
          <w:lang w:val="en_US" w:bidi="en_US"/>
        </w:rPr>
        <w:t>and follow Me.</w:t>
      </w:r>
    </w:p>
    <w:p>
      <w:pPr>
        <w:pStyle w:val="ListBullet"/>
        <w:spacing w:line="240" w:lineRule="auto"/>
        <w:ind w:left="720"/>
      </w:pPr>
      <w:r>
        <w:rPr>
          <w:lang w:val="en_US" w:bidi="en_US"/>
        </w:rPr>
      </w:r>
      <w:r>
        <w:rPr>
          <w:lang w:val="en_US" w:bidi="en_US"/>
        </w:rPr>
        <w:t>and be my disciple.</w:t>
      </w:r>
    </w:p>
    <w:p>
      <w:pPr>
        <w:pStyle w:val="ListBullet"/>
        <w:spacing w:line="240" w:lineRule="auto"/>
        <w:ind w:left="720"/>
      </w:pPr>
      <w:r>
        <w:rPr>
          <w:lang w:val="en_US" w:bidi="en_US"/>
        </w:rPr>
      </w:r>
      <w:r>
        <w:rPr>
          <w:lang w:val="en_US" w:bidi="en_US"/>
        </w:rPr>
        <w:t xml:space="preserve">and he must follow me </w:t>
      </w:r>
      <w:r>
        <w:rPr>
          <w:lang w:val="en_US" w:bidi="en_US"/>
        </w:rPr>
        <w:t>and not his own desires</w:t>
      </w:r>
      <w:r>
        <w:rPr>
          <w:lang w:val="en_US" w:bidi="en_US"/>
        </w:rPr>
        <w:t>.</w:t>
      </w:r>
    </w:p>
    <w:p>
      <w:pPr/>
      <w:r>
        <w:rPr>
          <w:lang w:val="en_US" w:bidi="en_US"/>
        </w:rPr>
      </w:r>
      <w:r>
        <w:rPr>
          <w:b/>
          <w:lang w:val="en_US" w:bidi="en_US"/>
        </w:rPr>
        <w:t>follow Me:</w:t>
      </w:r>
      <w:r>
        <w:rPr>
          <w:lang w:val="en_US" w:bidi="en_US"/>
        </w:rPr>
        <w:t xml:space="preserve"> The Greek phrase that the BSB translates as </w:t>
      </w:r>
      <w:r>
        <w:rPr>
          <w:i/>
          <w:lang w:val="en_US" w:bidi="en_US"/>
        </w:rPr>
        <w:t>follow</w:t>
      </w:r>
      <w:r>
        <w:rPr>
          <w:lang w:val="en_US" w:bidi="en_US"/>
        </w:rPr>
        <w:t xml:space="preserve"> means “be my disciple.” This means the same thing as “come after me” in 9:23b.</w:t>
      </w:r>
      <w:r>
        <w:rPr>
          <w:lang w:val="en_US" w:bidi="en_US"/>
        </w:rPr>
      </w:r>
      <w:r>
        <w:rPr>
          <w:lang w:val="en_US" w:bidi="en_US"/>
        </w:rPr>
      </w:r>
    </w:p>
    <w:p>
      <w:pPr/>
      <w:r>
        <w:rPr>
          <w:lang w:val="en_US" w:bidi="en_US"/>
        </w:rPr>
      </w:r>
    </w:p>
    <w:p>
      <w:pPr>
        <w:pStyle w:val="Heading2"/>
      </w:pPr>
      <w:r>
        <w:rPr>
          <w:lang w:val="en_US" w:bidi="en_US"/>
        </w:rPr>
        <w:t>Luke 9:24</w:t>
      </w:r>
      <w:r>
        <w:rPr>
          <w:lang w:val="en_US" w:bidi="en_US"/>
        </w:rPr>
      </w:r>
    </w:p>
    <w:p>
      <w:pPr>
        <w:pStyle w:val="Heading4"/>
      </w:pPr>
      <w:r>
        <w:rPr>
          <w:lang w:val="en_US" w:bidi="en_US"/>
        </w:rPr>
        <w:t>Section 9:23–27: Jesus spoke about what a person must do to be his disciple</w:t>
      </w:r>
    </w:p>
    <w:p>
      <w:pPr/>
      <w:r>
        <w:rPr>
          <w:lang w:val="en_US" w:bidi="en_US"/>
        </w:rPr>
      </w:r>
      <w:r>
        <w:rPr>
          <w:lang w:val="en_US" w:bidi="en_US"/>
        </w:rPr>
        <w:t>In the preceding section Jesus was speaking to his disciples. This section is addressed to “all.” According to the parallel passage in Mark, Jesus called the crowd of people who were there to come and listen to him. Luke does not make this detail explicit, but it is implied by the word “all.” So in these verses Jesus was speaking to the crowd, as well as to his disciples. This meant that most of the people to whom Jesus spoke were not his followers.</w:t>
      </w:r>
    </w:p>
    <w:p>
      <w:pPr/>
      <w:r>
        <w:rPr>
          <w:lang w:val="en_US" w:bidi="en_US"/>
        </w:rPr>
      </w:r>
      <w:r>
        <w:rPr>
          <w:lang w:val="en_US" w:bidi="en_US"/>
        </w:rPr>
        <w:t>In 9:23 Jesus told the people what a person must do in order to be his disciple. A person must deny himself, take up his cross every day, and follow Jesus. In the next verses (9:24–26) Jesus explained why a person must do this. Sometimes a person chooses not to follow Jesus because he wants to avoid death and shame in the present life. If, for that reason, he does not follow Jesus, he will be shamed in the future at the final judgment. He will forfeit true life with God. By contrast, a person who chooses to follow Christ may lose his present life, but he will gain true life with God.</w:t>
      </w:r>
    </w:p>
    <w:p>
      <w:pPr/>
      <w:r>
        <w:rPr>
          <w:lang w:val="en_US" w:bidi="en_US"/>
        </w:rPr>
      </w:r>
      <w:r>
        <w:rPr>
          <w:lang w:val="en_US" w:bidi="en_US"/>
        </w:rPr>
        <w:t>It is good to translate this section before you decide on a heading for it. Some other headings for this section are:</w:t>
      </w:r>
    </w:p>
    <w:p>
      <w:pPr/>
      <w:r>
        <w:rPr>
          <w:lang w:val="en_US" w:bidi="en_US"/>
        </w:rPr>
      </w:r>
      <w:r>
        <w:rPr>
          <w:lang w:val="en_US" w:bidi="en_US"/>
        </w:rPr>
        <w:t>Jesus told people how to be his true disciples</w:t>
      </w:r>
    </w:p>
    <w:p>
      <w:pPr/>
      <w:r>
        <w:rPr>
          <w:lang w:val="en_US" w:bidi="en_US"/>
        </w:rPr>
      </w:r>
      <w:r>
        <w:rPr>
          <w:lang w:val="en_US" w:bidi="en_US"/>
        </w:rPr>
        <w:t>The Life of a Person who Becomes Jesus’ Disciple</w:t>
      </w:r>
    </w:p>
    <w:p>
      <w:pPr/>
      <w:r>
        <w:rPr>
          <w:lang w:val="en_US" w:bidi="en_US"/>
        </w:rPr>
      </w:r>
      <w:r>
        <w:rPr>
          <w:lang w:val="en_US" w:bidi="en_US"/>
        </w:rPr>
        <w:t>What it Means to Follow Jesus</w:t>
      </w:r>
    </w:p>
    <w:p>
      <w:pPr/>
      <w:r>
        <w:rPr>
          <w:lang w:val="en_US" w:bidi="en_US"/>
        </w:rPr>
      </w:r>
      <w:r>
        <w:rPr>
          <w:lang w:val="en_US" w:bidi="en_US"/>
        </w:rPr>
        <w:t>There are parallel passages for this section in Matthew 16:24–28 and Mark 8:34–9:1. See also Luke 14:27, 17:33; John 12:25.</w:t>
      </w:r>
    </w:p>
    <w:p>
      <w:pPr>
        <w:pStyle w:val="Heading5"/>
      </w:pPr>
      <w:r>
        <w:rPr>
          <w:lang w:val="en_US" w:bidi="en_US"/>
        </w:rPr>
        <w:t>9:24a</w:t>
      </w:r>
    </w:p>
    <w:p>
      <w:pPr/>
      <w:r>
        <w:rPr>
          <w:lang w:val="en_US" w:bidi="en_US"/>
        </w:rPr>
      </w:r>
      <w:r>
        <w:rPr>
          <w:b/>
          <w:lang w:val="en_US" w:bidi="en_US"/>
        </w:rPr>
        <w:t>For whoever wants to save his life will lose it,</w:t>
      </w:r>
    </w:p>
    <w:p>
      <w:pPr>
        <w:pStyle w:val="ListBullet"/>
        <w:spacing w:line="240" w:lineRule="auto"/>
        <w:ind w:left="720"/>
      </w:pPr>
      <w:r>
        <w:rPr>
          <w:lang w:val="en_US" w:bidi="en_US"/>
        </w:rPr>
      </w:r>
      <w:r>
        <w:rPr>
          <w:lang w:val="en_US" w:bidi="en_US"/>
        </w:rPr>
        <w:t>For you</w:t>
      </w:r>
      <w:r>
        <w:rPr>
          <w:vertAlign w:val="superscript"/>
          <w:lang w:val="en_US" w:bidi="en_US"/>
        </w:rPr>
        <w:t>(plur)</w:t>
      </w:r>
      <w:r>
        <w:rPr>
          <w:lang w:val="en_US" w:bidi="en_US"/>
        </w:rPr>
        <w:t xml:space="preserve"> who try to protect/guard your life on this earth will lose/forfeit </w:t>
      </w:r>
      <w:r>
        <w:rPr>
          <w:lang w:val="en_US" w:bidi="en_US"/>
        </w:rPr>
        <w:t>true</w:t>
      </w:r>
      <w:r>
        <w:rPr>
          <w:lang w:val="en_US" w:bidi="en_US"/>
        </w:rPr>
        <w:t xml:space="preserve"> life,</w:t>
      </w:r>
    </w:p>
    <w:p>
      <w:pPr>
        <w:pStyle w:val="ListBullet"/>
        <w:spacing w:line="240" w:lineRule="auto"/>
        <w:ind w:left="720"/>
      </w:pPr>
      <w:r>
        <w:rPr>
          <w:lang w:val="en_US" w:bidi="en_US"/>
        </w:rPr>
      </w:r>
      <w:r>
        <w:rPr>
          <w:lang w:val="en_US" w:bidi="en_US"/>
        </w:rPr>
        <w:t xml:space="preserve">If a person wants to save/preserve his </w:t>
      </w:r>
      <w:r>
        <w:rPr>
          <w:lang w:val="en_US" w:bidi="en_US"/>
        </w:rPr>
        <w:t>earthly</w:t>
      </w:r>
      <w:r>
        <w:rPr>
          <w:lang w:val="en_US" w:bidi="en_US"/>
        </w:rPr>
        <w:t xml:space="preserve"> </w:t>
      </w:r>
      <w:r>
        <w:rPr>
          <w:lang w:val="en_US" w:bidi="en_US"/>
        </w:rPr>
        <w:t>way of</w:t>
      </w:r>
      <w:r>
        <w:rPr>
          <w:lang w:val="en_US" w:bidi="en_US"/>
        </w:rPr>
        <w:t xml:space="preserve"> life, he will not gain </w:t>
      </w:r>
      <w:r>
        <w:rPr>
          <w:lang w:val="en_US" w:bidi="en_US"/>
        </w:rPr>
        <w:t>eternal</w:t>
      </w:r>
      <w:r>
        <w:rPr>
          <w:lang w:val="en_US" w:bidi="en_US"/>
        </w:rPr>
        <w:t xml:space="preserve"> life </w:t>
      </w:r>
      <w:r>
        <w:rPr>
          <w:lang w:val="en_US" w:bidi="en_US"/>
        </w:rPr>
        <w:t>with God</w:t>
      </w:r>
      <w:r>
        <w:rPr>
          <w:lang w:val="en_US" w:bidi="en_US"/>
        </w:rPr>
        <w:t>.</w:t>
      </w:r>
    </w:p>
    <w:p>
      <w:pPr/>
      <w:r>
        <w:rPr>
          <w:lang w:val="en_US" w:bidi="en_US"/>
        </w:rPr>
      </w:r>
      <w:r>
        <w:rPr>
          <w:b/>
          <w:lang w:val="en_US" w:bidi="en_US"/>
        </w:rPr>
        <w:t>For:</w:t>
      </w:r>
      <w:r>
        <w:rPr>
          <w:lang w:val="en_US" w:bidi="en_US"/>
        </w:rPr>
        <w:t xml:space="preserve"> The word that the BSB translates as </w:t>
      </w:r>
      <w:r>
        <w:rPr>
          <w:i/>
          <w:lang w:val="en_US" w:bidi="en_US"/>
        </w:rPr>
        <w:t>For</w:t>
      </w:r>
      <w:r>
        <w:rPr>
          <w:lang w:val="en_US" w:bidi="en_US"/>
        </w:rPr>
        <w:t xml:space="preserve"> introduces a reason or explanation for what Jesus said in 9:23. In some languages an explicit connecting word or phrase may not be needed. Show this connection in a way that is natural in your language.</w:t>
      </w:r>
    </w:p>
    <w:p>
      <w:pPr/>
      <w:r>
        <w:rPr>
          <w:lang w:val="en_US" w:bidi="en_US"/>
        </w:rPr>
      </w:r>
      <w:r>
        <w:rPr>
          <w:b/>
          <w:lang w:val="en_US" w:bidi="en_US"/>
        </w:rPr>
        <w:t>whoever wants to save his life will lose it:</w:t>
      </w:r>
      <w:r>
        <w:rPr>
          <w:lang w:val="en_US" w:bidi="en_US"/>
        </w:rPr>
        <w:t xml:space="preserve"> In this part of the verse the word </w:t>
      </w:r>
      <w:r>
        <w:rPr>
          <w:i/>
          <w:lang w:val="en_US" w:bidi="en_US"/>
        </w:rPr>
        <w:t>life</w:t>
      </w:r>
      <w:r>
        <w:rPr>
          <w:lang w:val="en_US" w:bidi="en_US"/>
        </w:rPr>
        <w:t xml:space="preserve"> and the pronoun </w:t>
      </w:r>
      <w:r>
        <w:rPr>
          <w:i/>
          <w:lang w:val="en_US" w:bidi="en_US"/>
        </w:rPr>
        <w:t>it</w:t>
      </w:r>
      <w:r>
        <w:rPr>
          <w:lang w:val="en_US" w:bidi="en_US"/>
        </w:rPr>
        <w:t xml:space="preserve"> refer to two different meanings of “life.” The word </w:t>
      </w:r>
      <w:r>
        <w:rPr>
          <w:i/>
          <w:lang w:val="en_US" w:bidi="en_US"/>
        </w:rPr>
        <w:t>life</w:t>
      </w:r>
      <w:r>
        <w:rPr>
          <w:lang w:val="en_US" w:bidi="en_US"/>
        </w:rPr>
        <w:t xml:space="preserve"> refers to a person’s own way of life in this world. The pronoun </w:t>
      </w:r>
      <w:r>
        <w:rPr>
          <w:i/>
          <w:lang w:val="en_US" w:bidi="en_US"/>
        </w:rPr>
        <w:t>it</w:t>
      </w:r>
      <w:r>
        <w:rPr>
          <w:lang w:val="en_US" w:bidi="en_US"/>
        </w:rPr>
        <w:t xml:space="preserve"> refers to a person’s true life with God.</w:t>
      </w:r>
    </w:p>
    <w:p>
      <w:pPr/>
      <w:r>
        <w:rPr>
          <w:lang w:val="en_US" w:bidi="en_US"/>
        </w:rPr>
      </w:r>
      <w:r>
        <w:rPr>
          <w:b/>
          <w:lang w:val="en_US" w:bidi="en_US"/>
        </w:rPr>
        <w:t>whoever wants to save his life:</w:t>
      </w:r>
      <w:r>
        <w:rPr>
          <w:lang w:val="en_US" w:bidi="en_US"/>
        </w:rPr>
        <w:t xml:space="preserve"> The phrase </w:t>
      </w:r>
      <w:r>
        <w:rPr>
          <w:i/>
          <w:lang w:val="en_US" w:bidi="en_US"/>
        </w:rPr>
        <w:t>whoever wants to save his life</w:t>
      </w:r>
      <w:r>
        <w:rPr>
          <w:lang w:val="en_US" w:bidi="en_US"/>
        </w:rPr>
        <w:t xml:space="preserve"> refers to a person who is not willing to deny himself and suffer for Jesus (9:23). Instead, he wants to save or preserve his own way of life. See save, Meaning 1, in the Glossary. Some ways to translate this are:</w:t>
      </w:r>
    </w:p>
    <w:p>
      <w:pPr/>
      <w:r>
        <w:rPr>
          <w:lang w:val="en_US" w:bidi="en_US"/>
        </w:rPr>
      </w:r>
      <w:r>
        <w:rPr>
          <w:lang w:val="en_US" w:bidi="en_US"/>
        </w:rPr>
        <w:t>whoever wants to protect his own life</w:t>
      </w:r>
    </w:p>
    <w:p>
      <w:pPr/>
      <w:r>
        <w:rPr>
          <w:lang w:val="en_US" w:bidi="en_US"/>
        </w:rPr>
      </w:r>
      <w:r>
        <w:rPr>
          <w:lang w:val="en_US" w:bidi="en_US"/>
        </w:rPr>
        <w:t>if you want to guard your life on this earth</w:t>
      </w:r>
    </w:p>
    <w:p>
      <w:pPr/>
      <w:r>
        <w:rPr>
          <w:lang w:val="en_US" w:bidi="en_US"/>
        </w:rPr>
      </w:r>
      <w:r>
        <w:rPr>
          <w:b/>
          <w:lang w:val="en_US" w:bidi="en_US"/>
        </w:rPr>
        <w:t>his life:</w:t>
      </w:r>
      <w:r>
        <w:rPr>
          <w:lang w:val="en_US" w:bidi="en_US"/>
        </w:rPr>
        <w:t xml:space="preserve"> The Greek word that the BSB translates as </w:t>
      </w:r>
      <w:r>
        <w:rPr>
          <w:i/>
          <w:lang w:val="en_US" w:bidi="en_US"/>
        </w:rPr>
        <w:t>life</w:t>
      </w:r>
      <w:r>
        <w:rPr>
          <w:lang w:val="en_US" w:bidi="en_US"/>
        </w:rPr>
        <w:t xml:space="preserve"> is literally “soul.” It refers to a person’s inner being or true self, as well as his physical life.</w:t>
      </w:r>
    </w:p>
    <w:p>
      <w:pPr/>
      <w:r>
        <w:rPr>
          <w:lang w:val="en_US" w:bidi="en_US"/>
        </w:rPr>
      </w:r>
      <w:r>
        <w:rPr>
          <w:b/>
          <w:lang w:val="en_US" w:bidi="en_US"/>
        </w:rPr>
        <w:t>will lose it:</w:t>
      </w:r>
      <w:r>
        <w:rPr>
          <w:lang w:val="en_US" w:bidi="en_US"/>
        </w:rPr>
        <w:t xml:space="preserve"> The phrase </w:t>
      </w:r>
      <w:r>
        <w:rPr>
          <w:i/>
          <w:lang w:val="en_US" w:bidi="en_US"/>
        </w:rPr>
        <w:t>lose it</w:t>
      </w:r>
      <w:r>
        <w:rPr>
          <w:lang w:val="en_US" w:bidi="en_US"/>
        </w:rPr>
        <w:t xml:space="preserve"> refers to losing true life, that is, life with God that lasts forever. The person will fail to experience that life either here on earth or in heaven after he dies. He will eventually lose his physical life because no one can live forever. He will also lose the opportunity to gain true life with God.</w:t>
      </w:r>
    </w:p>
    <w:p>
      <w:pPr/>
      <w:r>
        <w:rPr>
          <w:lang w:val="en_US" w:bidi="en_US"/>
        </w:rPr>
      </w:r>
      <w:r>
        <w:rPr>
          <w:lang w:val="en_US" w:bidi="en_US"/>
        </w:rPr>
        <w:t>In some languages, a literal translation of “lose” may imply that a person misplaces something and is unable to find it. It may also imply that a person who already has eternal life will lose it. Be careful to avoid both these implications. Some ways to express the correct meaning are:</w:t>
      </w:r>
    </w:p>
    <w:p>
      <w:pPr/>
      <w:r>
        <w:rPr>
          <w:lang w:val="en_US" w:bidi="en_US"/>
        </w:rPr>
      </w:r>
      <w:r>
        <w:rPr>
          <w:lang w:val="en_US" w:bidi="en_US"/>
        </w:rPr>
        <w:t>will forfeit true life</w:t>
      </w:r>
    </w:p>
    <w:p>
      <w:pPr/>
      <w:r>
        <w:rPr>
          <w:lang w:val="en_US" w:bidi="en_US"/>
        </w:rPr>
      </w:r>
      <w:r>
        <w:rPr>
          <w:lang w:val="en_US" w:bidi="en_US"/>
        </w:rPr>
        <w:t>will lose the opportunity to gain eternal life</w:t>
      </w:r>
    </w:p>
    <w:p>
      <w:pPr/>
      <w:r>
        <w:rPr>
          <w:lang w:val="en_US" w:bidi="en_US"/>
        </w:rPr>
      </w:r>
      <w:r>
        <w:rPr>
          <w:lang w:val="en_US" w:bidi="en_US"/>
        </w:rPr>
        <w:t>will not gain life with God</w:t>
      </w:r>
    </w:p>
    <w:p>
      <w:pPr>
        <w:pStyle w:val="Heading5"/>
      </w:pPr>
      <w:r>
        <w:rPr>
          <w:lang w:val="en_US" w:bidi="en_US"/>
        </w:rPr>
        <w:t>9:24b</w:t>
      </w:r>
    </w:p>
    <w:p>
      <w:pPr/>
      <w:r>
        <w:rPr>
          <w:lang w:val="en_US" w:bidi="en_US"/>
        </w:rPr>
      </w:r>
      <w:r>
        <w:rPr>
          <w:b/>
          <w:lang w:val="en_US" w:bidi="en_US"/>
        </w:rPr>
        <w:t>but whoever loses his life for My sake will save it.</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who give up </w:t>
      </w:r>
      <w:r>
        <w:rPr>
          <w:lang w:val="en_US" w:bidi="en_US"/>
        </w:rPr>
        <w:t>your right to</w:t>
      </w:r>
      <w:r>
        <w:rPr>
          <w:lang w:val="en_US" w:bidi="en_US"/>
        </w:rPr>
        <w:t xml:space="preserve"> your </w:t>
      </w:r>
      <w:r>
        <w:rPr>
          <w:lang w:val="en_US" w:bidi="en_US"/>
        </w:rPr>
        <w:t>earthly</w:t>
      </w:r>
      <w:r>
        <w:rPr>
          <w:lang w:val="en_US" w:bidi="en_US"/>
        </w:rPr>
        <w:t xml:space="preserve"> life because </w:t>
      </w:r>
      <w:r>
        <w:rPr>
          <w:lang w:val="en_US" w:bidi="en_US"/>
        </w:rPr>
        <w:t>you are</w:t>
      </w:r>
      <w:r>
        <w:rPr>
          <w:lang w:val="en_US" w:bidi="en_US"/>
        </w:rPr>
        <w:t xml:space="preserve"> my </w:t>
      </w:r>
      <w:r>
        <w:rPr>
          <w:lang w:val="en_US" w:bidi="en_US"/>
        </w:rPr>
        <w:t>disciples</w:t>
      </w:r>
      <w:r>
        <w:rPr>
          <w:lang w:val="en_US" w:bidi="en_US"/>
        </w:rPr>
        <w:t xml:space="preserve"> will receive </w:t>
      </w:r>
      <w:r>
        <w:rPr>
          <w:lang w:val="en_US" w:bidi="en_US"/>
        </w:rPr>
        <w:t>true</w:t>
      </w:r>
      <w:r>
        <w:rPr>
          <w:lang w:val="en_US" w:bidi="en_US"/>
        </w:rPr>
        <w:t xml:space="preserve"> life.</w:t>
      </w:r>
    </w:p>
    <w:p>
      <w:pPr>
        <w:pStyle w:val="ListBullet"/>
        <w:spacing w:line="240" w:lineRule="auto"/>
        <w:ind w:left="720"/>
      </w:pPr>
      <w:r>
        <w:rPr>
          <w:lang w:val="en_US" w:bidi="en_US"/>
        </w:rPr>
      </w:r>
      <w:r>
        <w:rPr>
          <w:lang w:val="en_US" w:bidi="en_US"/>
        </w:rPr>
        <w:t xml:space="preserve">But if anyone surrenders/renounces his life because </w:t>
      </w:r>
      <w:r>
        <w:rPr>
          <w:lang w:val="en_US" w:bidi="en_US"/>
        </w:rPr>
        <w:t>he believes in</w:t>
      </w:r>
      <w:r>
        <w:rPr>
          <w:lang w:val="en_US" w:bidi="en_US"/>
        </w:rPr>
        <w:t xml:space="preserve"> me, he will gain/experience </w:t>
      </w:r>
      <w:r>
        <w:rPr>
          <w:lang w:val="en_US" w:bidi="en_US"/>
        </w:rPr>
        <w:t>eternal</w:t>
      </w:r>
      <w:r>
        <w:rPr>
          <w:lang w:val="en_US" w:bidi="en_US"/>
        </w:rPr>
        <w:t xml:space="preserve"> life </w:t>
      </w:r>
      <w:r>
        <w:rPr>
          <w:lang w:val="en_US" w:bidi="en_US"/>
        </w:rPr>
        <w:t>with God</w:t>
      </w:r>
      <w:r>
        <w:rPr>
          <w:lang w:val="en_US" w:bidi="en_US"/>
        </w:rPr>
        <w:t>.</w:t>
      </w:r>
    </w:p>
    <w:p>
      <w:pPr/>
      <w:r>
        <w:rPr>
          <w:lang w:val="en_US" w:bidi="en_US"/>
        </w:rPr>
      </w:r>
      <w:r>
        <w:rPr>
          <w:b/>
          <w:lang w:val="en_US" w:bidi="en_US"/>
        </w:rPr>
        <w:t>whoever loses his life for My sake:</w:t>
      </w:r>
      <w:r>
        <w:rPr>
          <w:lang w:val="en_US" w:bidi="en_US"/>
        </w:rPr>
        <w:t xml:space="preserve"> The phrase </w:t>
      </w:r>
      <w:r>
        <w:rPr>
          <w:i/>
          <w:lang w:val="en_US" w:bidi="en_US"/>
        </w:rPr>
        <w:t>whoever loses his life for My sake</w:t>
      </w:r>
      <w:r>
        <w:rPr>
          <w:lang w:val="en_US" w:bidi="en_US"/>
        </w:rPr>
        <w:t xml:space="preserve"> refers to anyone who renounces or gives up his right to follow his own way of life in order to follow Jesus. It also includes anyone who dies or is killed for Jesus.</w:t>
      </w:r>
    </w:p>
    <w:p>
      <w:pPr/>
      <w:r>
        <w:rPr>
          <w:lang w:val="en_US" w:bidi="en_US"/>
        </w:rPr>
      </w:r>
      <w:r>
        <w:rPr>
          <w:b/>
          <w:lang w:val="en_US" w:bidi="en_US"/>
        </w:rPr>
        <w:t>for My sake:</w:t>
      </w:r>
      <w:r>
        <w:rPr>
          <w:lang w:val="en_US" w:bidi="en_US"/>
        </w:rPr>
        <w:t xml:space="preserve"> The phrase </w:t>
      </w:r>
      <w:r>
        <w:rPr>
          <w:i/>
          <w:lang w:val="en_US" w:bidi="en_US"/>
        </w:rPr>
        <w:t>for My sake</w:t>
      </w:r>
      <w:r>
        <w:rPr>
          <w:lang w:val="en_US" w:bidi="en_US"/>
        </w:rPr>
        <w:t xml:space="preserve"> gives the reason for which a disciple must be willing to give up his own life. He must renounce his own way of life because of his faith in Christ and his desire to obey Christ. Some other ways to translate this phrase are:</w:t>
      </w:r>
    </w:p>
    <w:p>
      <w:pPr/>
      <w:r>
        <w:rPr>
          <w:lang w:val="en_US" w:bidi="en_US"/>
        </w:rPr>
      </w:r>
      <w:r>
        <w:rPr>
          <w:lang w:val="en_US" w:bidi="en_US"/>
        </w:rPr>
        <w:t>because you believe in me</w:t>
      </w:r>
    </w:p>
    <w:p>
      <w:pPr/>
      <w:r>
        <w:rPr>
          <w:lang w:val="en_US" w:bidi="en_US"/>
        </w:rPr>
      </w:r>
      <w:r>
        <w:rPr>
          <w:lang w:val="en_US" w:bidi="en_US"/>
        </w:rPr>
        <w:t>on account of his loyalty to me</w:t>
      </w:r>
    </w:p>
    <w:p>
      <w:pPr/>
      <w:r>
        <w:rPr>
          <w:lang w:val="en_US" w:bidi="en_US"/>
        </w:rPr>
      </w:r>
      <w:r>
        <w:rPr>
          <w:lang w:val="en_US" w:bidi="en_US"/>
        </w:rPr>
        <w:t>because of his following/serving me</w:t>
      </w:r>
    </w:p>
    <w:p>
      <w:pPr/>
      <w:r>
        <w:rPr>
          <w:lang w:val="en_US" w:bidi="en_US"/>
        </w:rPr>
      </w:r>
      <w:r>
        <w:rPr>
          <w:lang w:val="en_US" w:bidi="en_US"/>
        </w:rPr>
        <w:t xml:space="preserve">Be careful not to translate the phrase </w:t>
      </w:r>
      <w:r>
        <w:rPr>
          <w:i/>
          <w:lang w:val="en_US" w:bidi="en_US"/>
        </w:rPr>
        <w:t>for My sake</w:t>
      </w:r>
      <w:r>
        <w:rPr>
          <w:lang w:val="en_US" w:bidi="en_US"/>
        </w:rPr>
        <w:t xml:space="preserve"> in the sense of “for my benefit” or “in my place.” That is often the correct meaning in the context of Christ dying for us. It is not correct in the context of a disciple giving up his life for Christ.</w:t>
      </w:r>
    </w:p>
    <w:p>
      <w:pPr/>
      <w:r>
        <w:rPr>
          <w:lang w:val="en_US" w:bidi="en_US"/>
        </w:rPr>
      </w:r>
      <w:r>
        <w:rPr>
          <w:b/>
          <w:lang w:val="en_US" w:bidi="en_US"/>
        </w:rPr>
        <w:t>will save it:</w:t>
      </w:r>
      <w:r>
        <w:rPr>
          <w:lang w:val="en_US" w:bidi="en_US"/>
        </w:rPr>
        <w:t xml:space="preserve"> The pronoun </w:t>
      </w:r>
      <w:r>
        <w:rPr>
          <w:i/>
          <w:lang w:val="en_US" w:bidi="en_US"/>
        </w:rPr>
        <w:t>it</w:t>
      </w:r>
      <w:r>
        <w:rPr>
          <w:lang w:val="en_US" w:bidi="en_US"/>
        </w:rPr>
        <w:t xml:space="preserve"> refers to a person’s eternal life with God. The person who gives up his earthly life for Jesus will save himself from spiritual death. He will gain true life with God in this world and in heaven. Some other ways to translate </w:t>
      </w:r>
      <w:r>
        <w:rPr>
          <w:i/>
          <w:lang w:val="en_US" w:bidi="en_US"/>
        </w:rPr>
        <w:t>will save it</w:t>
      </w:r>
      <w:r>
        <w:rPr>
          <w:lang w:val="en_US" w:bidi="en_US"/>
        </w:rPr>
        <w:t xml:space="preserve"> are:</w:t>
      </w:r>
    </w:p>
    <w:p>
      <w:pPr/>
      <w:r>
        <w:rPr>
          <w:lang w:val="en_US" w:bidi="en_US"/>
        </w:rPr>
      </w:r>
      <w:r>
        <w:rPr>
          <w:lang w:val="en_US" w:bidi="en_US"/>
        </w:rPr>
        <w:t>will find true life (NLT96)</w:t>
      </w:r>
    </w:p>
    <w:p>
      <w:pPr/>
      <w:r>
        <w:rPr>
          <w:lang w:val="en_US" w:bidi="en_US"/>
        </w:rPr>
      </w:r>
      <w:r>
        <w:rPr>
          <w:lang w:val="en_US" w:bidi="en_US"/>
        </w:rPr>
        <w:t>will gain/experience life that is forever</w:t>
      </w:r>
    </w:p>
    <w:p>
      <w:pPr/>
      <w:r>
        <w:rPr>
          <w:lang w:val="en_US" w:bidi="en_US"/>
        </w:rPr>
      </w:r>
      <w:r>
        <w:rPr>
          <w:lang w:val="en_US" w:bidi="en_US"/>
        </w:rPr>
        <w:t>will have true life (NCV)</w:t>
      </w:r>
    </w:p>
    <w:p>
      <w:pPr/>
      <w:r>
        <w:rPr>
          <w:lang w:val="en_US" w:bidi="en_US"/>
        </w:rPr>
      </w:r>
      <w:r>
        <w:rPr>
          <w:lang w:val="en_US" w:bidi="en_US"/>
        </w:rPr>
        <w:t>See save, Meaning 2, in the Glossary.</w:t>
      </w:r>
    </w:p>
    <w:p>
      <w:pPr>
        <w:pStyle w:val="Heading6"/>
      </w:pPr>
      <w:r>
        <w:rPr>
          <w:b/>
          <w:lang w:val="en_US" w:bidi="en_US"/>
        </w:rPr>
        <w:t>General Comment on 9:24a–b</w:t>
      </w:r>
    </w:p>
    <w:p>
      <w:pPr/>
      <w:r>
        <w:rPr>
          <w:lang w:val="en_US" w:bidi="en_US"/>
        </w:rPr>
      </w:r>
      <w:r>
        <w:rPr>
          <w:lang w:val="en_US" w:bidi="en_US"/>
        </w:rPr>
        <w:t>In some languages it may be unnatural or impossible to translate “life” as a noun here. It also may not be natural to refer to it as something that can be lost or kept. Here is an example of how to translate “life” as a verb:</w:t>
      </w:r>
    </w:p>
    <w:p>
      <w:pPr/>
      <w:r>
        <w:rPr>
          <w:lang w:val="en_US" w:bidi="en_US"/>
        </w:rPr>
      </w:r>
      <w:r>
        <w:rPr>
          <w:lang w:val="en_US" w:bidi="en_US"/>
        </w:rPr>
        <w:t>For whoever is determined to keep on living his own way will never truly live. But whoever is willing to stop living for himself in order to devote himself to me will be able to live with God eternally/forever.</w:t>
      </w:r>
      <w:r>
        <w:rPr>
          <w:lang w:val="en_US" w:bidi="en_US"/>
        </w:rPr>
      </w:r>
      <w:r>
        <w:rPr>
          <w:lang w:val="en_US" w:bidi="en_US"/>
        </w:rPr>
      </w:r>
    </w:p>
    <w:p>
      <w:pPr/>
      <w:r>
        <w:rPr>
          <w:lang w:val="en_US" w:bidi="en_US"/>
        </w:rPr>
      </w:r>
    </w:p>
    <w:p>
      <w:pPr>
        <w:pStyle w:val="Heading2"/>
      </w:pPr>
      <w:r>
        <w:rPr>
          <w:lang w:val="en_US" w:bidi="en_US"/>
        </w:rPr>
        <w:t>Luke 9:25</w:t>
      </w:r>
      <w:r>
        <w:rPr>
          <w:lang w:val="en_US" w:bidi="en_US"/>
        </w:rPr>
      </w:r>
    </w:p>
    <w:p>
      <w:pPr>
        <w:pStyle w:val="Heading4"/>
      </w:pPr>
      <w:r>
        <w:rPr>
          <w:lang w:val="en_US" w:bidi="en_US"/>
        </w:rPr>
        <w:t>Section 9:23–27: Jesus spoke about what a person must do to be his disciple</w:t>
      </w:r>
    </w:p>
    <w:p>
      <w:pPr/>
      <w:r>
        <w:rPr>
          <w:lang w:val="en_US" w:bidi="en_US"/>
        </w:rPr>
      </w:r>
      <w:r>
        <w:rPr>
          <w:lang w:val="en_US" w:bidi="en_US"/>
        </w:rPr>
        <w:t>In the preceding section Jesus was speaking to his disciples. This section is addressed to “all.” According to the parallel passage in Mark, Jesus called the crowd of people who were there to come and listen to him. Luke does not make this detail explicit, but it is implied by the word “all.” So in these verses Jesus was speaking to the crowd, as well as to his disciples. This meant that most of the people to whom Jesus spoke were not his followers.</w:t>
      </w:r>
    </w:p>
    <w:p>
      <w:pPr/>
      <w:r>
        <w:rPr>
          <w:lang w:val="en_US" w:bidi="en_US"/>
        </w:rPr>
      </w:r>
      <w:r>
        <w:rPr>
          <w:lang w:val="en_US" w:bidi="en_US"/>
        </w:rPr>
        <w:t>In 9:23 Jesus told the people what a person must do in order to be his disciple. A person must deny himself, take up his cross every day, and follow Jesus. In the next verses (9:24–26) Jesus explained why a person must do this. Sometimes a person chooses not to follow Jesus because he wants to avoid death and shame in the present life. If, for that reason, he does not follow Jesus, he will be shamed in the future at the final judgment. He will forfeit true life with God. By contrast, a person who chooses to follow Christ may lose his present life, but he will gain true life with God.</w:t>
      </w:r>
    </w:p>
    <w:p>
      <w:pPr/>
      <w:r>
        <w:rPr>
          <w:lang w:val="en_US" w:bidi="en_US"/>
        </w:rPr>
      </w:r>
      <w:r>
        <w:rPr>
          <w:lang w:val="en_US" w:bidi="en_US"/>
        </w:rPr>
        <w:t>It is good to translate this section before you decide on a heading for it. Some other headings for this section are:</w:t>
      </w:r>
    </w:p>
    <w:p>
      <w:pPr/>
      <w:r>
        <w:rPr>
          <w:lang w:val="en_US" w:bidi="en_US"/>
        </w:rPr>
      </w:r>
      <w:r>
        <w:rPr>
          <w:lang w:val="en_US" w:bidi="en_US"/>
        </w:rPr>
        <w:t>Jesus told people how to be his true disciples</w:t>
      </w:r>
    </w:p>
    <w:p>
      <w:pPr/>
      <w:r>
        <w:rPr>
          <w:lang w:val="en_US" w:bidi="en_US"/>
        </w:rPr>
      </w:r>
      <w:r>
        <w:rPr>
          <w:lang w:val="en_US" w:bidi="en_US"/>
        </w:rPr>
        <w:t>The Life of a Person who Becomes Jesus’ Disciple</w:t>
      </w:r>
    </w:p>
    <w:p>
      <w:pPr/>
      <w:r>
        <w:rPr>
          <w:lang w:val="en_US" w:bidi="en_US"/>
        </w:rPr>
      </w:r>
      <w:r>
        <w:rPr>
          <w:lang w:val="en_US" w:bidi="en_US"/>
        </w:rPr>
        <w:t>What it Means to Follow Jesus</w:t>
      </w:r>
    </w:p>
    <w:p>
      <w:pPr/>
      <w:r>
        <w:rPr>
          <w:lang w:val="en_US" w:bidi="en_US"/>
        </w:rPr>
      </w:r>
      <w:r>
        <w:rPr>
          <w:lang w:val="en_US" w:bidi="en_US"/>
        </w:rPr>
        <w:t>There are parallel passages for this section in Matthew 16:24–28 and Mark 8:34–9:1. See also Luke 14:27, 17:33; John 12:25.</w:t>
      </w:r>
    </w:p>
    <w:p>
      <w:pPr>
        <w:pStyle w:val="Heading5"/>
      </w:pPr>
      <w:r>
        <w:rPr>
          <w:lang w:val="en_US" w:bidi="en_US"/>
        </w:rPr>
        <w:t>9:25</w:t>
      </w:r>
    </w:p>
    <w:p>
      <w:pPr/>
      <w:r>
        <w:rPr>
          <w:lang w:val="en_US" w:bidi="en_US"/>
        </w:rPr>
      </w:r>
      <w:r>
        <w:rPr>
          <w:lang w:val="en_US" w:bidi="en_US"/>
        </w:rPr>
        <w:t>This verse is a rhetorical question. Jesus used this question to emphasize that it is not at all valuable to gain the whole world but lose the opportunity to live forever with God. There are several ways to translate this:</w:t>
      </w:r>
    </w:p>
    <w:p>
      <w:pPr>
        <w:pStyle w:val="ListBullet"/>
        <w:spacing w:line="240" w:lineRule="auto"/>
        <w:ind w:left="720"/>
      </w:pPr>
      <w:r>
        <w:rPr>
          <w:lang w:val="en_US" w:bidi="en_US"/>
        </w:rPr>
      </w:r>
      <w:r>
        <w:rPr>
          <w:lang w:val="en_US" w:bidi="en_US"/>
        </w:rPr>
        <w:t>As a rhetorical question. For example:</w:t>
      </w:r>
      <w:r>
        <w:rPr>
          <w:lang w:val="en_US" w:bidi="en_US"/>
        </w:rPr>
        <w:t>What does anyone gain by winning the whole world at the cost of destroying himself? (REB)</w:t>
      </w:r>
    </w:p>
    <w:p>
      <w:pPr>
        <w:pStyle w:val="ListBullet"/>
        <w:spacing w:line="240" w:lineRule="auto"/>
        <w:ind w:left="720"/>
      </w:pPr>
      <w:r>
        <w:rPr>
          <w:lang w:val="en_US" w:bidi="en_US"/>
        </w:rPr>
      </w:r>
      <w:r>
        <w:rPr>
          <w:lang w:val="en_US" w:bidi="en_US"/>
        </w:rPr>
        <w:t>As a question with the answer supplied. For example:</w:t>
      </w:r>
      <w:r>
        <w:rPr>
          <w:lang w:val="en_US" w:bidi="en_US"/>
        </w:rPr>
        <w:t>Will you gain anything if you win the whole world but are yourself lost or defeated? Of course not! (GNT)</w:t>
      </w:r>
    </w:p>
    <w:p>
      <w:pPr>
        <w:pStyle w:val="ListBullet"/>
        <w:spacing w:line="240" w:lineRule="auto"/>
        <w:ind w:left="720"/>
      </w:pPr>
      <w:r>
        <w:rPr>
          <w:lang w:val="en_US" w:bidi="en_US"/>
        </w:rPr>
      </w:r>
      <w:r>
        <w:rPr>
          <w:lang w:val="en_US" w:bidi="en_US"/>
        </w:rPr>
        <w:t>As a statement. For example:</w:t>
      </w:r>
      <w:r>
        <w:rPr>
          <w:lang w:val="en_US" w:bidi="en_US"/>
        </w:rPr>
        <w:t>It is worth nothing for them to have the whole world if they themselves are destroyed or lost. (NCV)</w:t>
      </w:r>
    </w:p>
    <w:p>
      <w:pPr/>
      <w:r>
        <w:rPr>
          <w:lang w:val="en_US" w:bidi="en_US"/>
        </w:rPr>
      </w:r>
      <w:r>
        <w:rPr>
          <w:lang w:val="en_US" w:bidi="en_US"/>
        </w:rPr>
        <w:t>Use whichever form is most natural in your language to emphasize what Jesus was teaching here.</w:t>
      </w:r>
    </w:p>
    <w:p>
      <w:pPr>
        <w:pStyle w:val="Heading5"/>
      </w:pPr>
      <w:r>
        <w:rPr>
          <w:lang w:val="en_US" w:bidi="en_US"/>
        </w:rPr>
        <w:t>9:25a</w:t>
      </w:r>
    </w:p>
    <w:p>
      <w:pPr/>
      <w:r>
        <w:rPr>
          <w:lang w:val="en_US" w:bidi="en_US"/>
        </w:rPr>
      </w:r>
      <w:r>
        <w:rPr>
          <w:b/>
          <w:lang w:val="en_US" w:bidi="en_US"/>
        </w:rPr>
        <w:t>What does it profit a man to gain the whole world,</w:t>
      </w:r>
    </w:p>
    <w:p>
      <w:pPr>
        <w:pStyle w:val="ListBullet"/>
        <w:spacing w:line="240" w:lineRule="auto"/>
        <w:ind w:left="720"/>
      </w:pPr>
      <w:r>
        <w:rPr>
          <w:lang w:val="en_US" w:bidi="en_US"/>
        </w:rPr>
      </w:r>
      <w:r>
        <w:rPr>
          <w:lang w:val="en_US" w:bidi="en_US"/>
        </w:rPr>
        <w:t>For do you gain anything if you own everything in the entire world</w:t>
      </w:r>
    </w:p>
    <w:p>
      <w:pPr>
        <w:pStyle w:val="ListBullet"/>
        <w:spacing w:line="240" w:lineRule="auto"/>
        <w:ind w:left="720"/>
      </w:pPr>
      <w:r>
        <w:rPr>
          <w:lang w:val="en_US" w:bidi="en_US"/>
        </w:rPr>
      </w:r>
      <w:r>
        <w:rPr>
          <w:lang w:val="en_US" w:bidi="en_US"/>
        </w:rPr>
        <w:t>After all,</w:t>
      </w:r>
      <w:r>
        <w:rPr>
          <w:lang w:val="en_US" w:bidi="en_US"/>
        </w:rPr>
        <w:t xml:space="preserve"> a person does not gain any benefit from getting everything in this world</w:t>
      </w:r>
    </w:p>
    <w:p>
      <w:pPr/>
      <w:r>
        <w:rPr>
          <w:lang w:val="en_US" w:bidi="en_US"/>
        </w:rPr>
      </w:r>
      <w:r>
        <w:rPr>
          <w:b/>
          <w:lang w:val="en_US" w:bidi="en_US"/>
        </w:rPr>
        <w:t>What does it profit:</w:t>
      </w:r>
      <w:r>
        <w:rPr>
          <w:lang w:val="en_US" w:bidi="en_US"/>
        </w:rPr>
        <w:t xml:space="preserve"> The phrase </w:t>
      </w:r>
      <w:r>
        <w:rPr>
          <w:i/>
          <w:lang w:val="en_US" w:bidi="en_US"/>
        </w:rPr>
        <w:t>What does it profit</w:t>
      </w:r>
      <w:r>
        <w:rPr>
          <w:lang w:val="en_US" w:bidi="en_US"/>
        </w:rPr>
        <w:t xml:space="preserve"> is asking about the worth or value of something. You could also translate this as:</w:t>
      </w:r>
    </w:p>
    <w:p>
      <w:pPr/>
      <w:r>
        <w:rPr>
          <w:lang w:val="en_US" w:bidi="en_US"/>
        </w:rPr>
      </w:r>
      <w:r>
        <w:rPr>
          <w:lang w:val="en_US" w:bidi="en_US"/>
        </w:rPr>
        <w:t>What use is it…?</w:t>
      </w:r>
    </w:p>
    <w:p>
      <w:pPr/>
      <w:r>
        <w:rPr>
          <w:lang w:val="en_US" w:bidi="en_US"/>
        </w:rPr>
      </w:r>
      <w:r>
        <w:rPr>
          <w:lang w:val="en_US" w:bidi="en_US"/>
        </w:rPr>
        <w:t>What benefit/value is it…?</w:t>
      </w:r>
    </w:p>
    <w:p>
      <w:pPr/>
      <w:r>
        <w:rPr>
          <w:lang w:val="en_US" w:bidi="en_US"/>
        </w:rPr>
      </w:r>
      <w:r>
        <w:rPr>
          <w:b/>
          <w:lang w:val="en_US" w:bidi="en_US"/>
        </w:rPr>
        <w:t>a man:</w:t>
      </w:r>
      <w:r>
        <w:rPr>
          <w:lang w:val="en_US" w:bidi="en_US"/>
        </w:rPr>
        <w:t xml:space="preserve"> In this context the Greek word that the BSB translates as </w:t>
      </w:r>
      <w:r>
        <w:rPr>
          <w:i/>
          <w:lang w:val="en_US" w:bidi="en_US"/>
        </w:rPr>
        <w:t>man</w:t>
      </w:r>
      <w:r>
        <w:rPr>
          <w:lang w:val="en_US" w:bidi="en_US"/>
        </w:rPr>
        <w:t xml:space="preserve"> refers to anyone, male or female.</w:t>
      </w:r>
    </w:p>
    <w:p>
      <w:pPr/>
      <w:r>
        <w:rPr>
          <w:lang w:val="en_US" w:bidi="en_US"/>
        </w:rPr>
      </w:r>
      <w:r>
        <w:rPr>
          <w:b/>
          <w:lang w:val="en_US" w:bidi="en_US"/>
        </w:rPr>
        <w:t>gain the whole world:</w:t>
      </w:r>
      <w:r>
        <w:rPr>
          <w:lang w:val="en_US" w:bidi="en_US"/>
        </w:rPr>
        <w:t xml:space="preserve"> The phrase </w:t>
      </w:r>
      <w:r>
        <w:rPr>
          <w:i/>
          <w:lang w:val="en_US" w:bidi="en_US"/>
        </w:rPr>
        <w:t>gain the whole world</w:t>
      </w:r>
      <w:r>
        <w:rPr>
          <w:lang w:val="en_US" w:bidi="en_US"/>
        </w:rPr>
        <w:t xml:space="preserve"> literally means to own the world and everything in it. This is a hyperbole. It refers to being very successful in earning money and obtaining material goods.</w:t>
      </w:r>
    </w:p>
    <w:p>
      <w:pPr/>
      <w:r>
        <w:rPr>
          <w:lang w:val="en_US" w:bidi="en_US"/>
        </w:rPr>
      </w:r>
      <w:r>
        <w:rPr>
          <w:lang w:val="en_US" w:bidi="en_US"/>
        </w:rPr>
        <w:t xml:space="preserve">Some other ways to translate </w:t>
      </w:r>
      <w:r>
        <w:rPr>
          <w:i/>
          <w:lang w:val="en_US" w:bidi="en_US"/>
        </w:rPr>
        <w:t>gain the whole world</w:t>
      </w:r>
      <w:r>
        <w:rPr>
          <w:lang w:val="en_US" w:bidi="en_US"/>
        </w:rPr>
        <w:t xml:space="preserve"> are:</w:t>
      </w:r>
    </w:p>
    <w:p>
      <w:pPr/>
      <w:r>
        <w:rPr>
          <w:lang w:val="en_US" w:bidi="en_US"/>
        </w:rPr>
      </w:r>
      <w:r>
        <w:rPr>
          <w:lang w:val="en_US" w:bidi="en_US"/>
        </w:rPr>
        <w:t>win the whole world (GNT)</w:t>
      </w:r>
    </w:p>
    <w:p>
      <w:pPr/>
      <w:r>
        <w:rPr>
          <w:lang w:val="en_US" w:bidi="en_US"/>
        </w:rPr>
      </w:r>
      <w:r>
        <w:rPr>
          <w:lang w:val="en_US" w:bidi="en_US"/>
        </w:rPr>
        <w:t>own the whole world (CEV)</w:t>
      </w:r>
    </w:p>
    <w:p>
      <w:pPr/>
      <w:r>
        <w:rPr>
          <w:lang w:val="en_US" w:bidi="en_US"/>
        </w:rPr>
      </w:r>
      <w:r>
        <w:rPr>
          <w:lang w:val="en_US" w:bidi="en_US"/>
        </w:rPr>
        <w:t>This figure of speech emphasizes that even the whole world is worthless compared to the worth of a person’s soul. If a literal translation gives a wrong meaning in your language, you may need to express the emphasis in another way. For example:</w:t>
      </w:r>
    </w:p>
    <w:p>
      <w:pPr/>
      <w:r>
        <w:rPr>
          <w:lang w:val="en_US" w:bidi="en_US"/>
        </w:rPr>
      </w:r>
      <w:r>
        <w:rPr>
          <w:lang w:val="en_US" w:bidi="en_US"/>
        </w:rPr>
        <w:t>obtain immense riches</w:t>
      </w:r>
    </w:p>
    <w:p>
      <w:pPr/>
      <w:r>
        <w:rPr>
          <w:lang w:val="en_US" w:bidi="en_US"/>
        </w:rPr>
      </w:r>
      <w:r>
        <w:rPr>
          <w:lang w:val="en_US" w:bidi="en_US"/>
        </w:rPr>
        <w:t>be the wealthiest person in the world</w:t>
      </w:r>
    </w:p>
    <w:p>
      <w:pPr>
        <w:pStyle w:val="Heading5"/>
      </w:pPr>
      <w:r>
        <w:rPr>
          <w:lang w:val="en_US" w:bidi="en_US"/>
        </w:rPr>
        <w:t>9:25b</w:t>
      </w:r>
    </w:p>
    <w:p>
      <w:pPr/>
      <w:r>
        <w:rPr>
          <w:lang w:val="en_US" w:bidi="en_US"/>
        </w:rPr>
      </w:r>
      <w:r>
        <w:rPr>
          <w:b/>
          <w:lang w:val="en_US" w:bidi="en_US"/>
        </w:rPr>
        <w:t>yet lose or forfeit his very self?</w:t>
      </w:r>
    </w:p>
    <w:p>
      <w:pPr>
        <w:pStyle w:val="ListBullet"/>
        <w:spacing w:line="240" w:lineRule="auto"/>
        <w:ind w:left="720"/>
      </w:pPr>
      <w:r>
        <w:rPr>
          <w:lang w:val="en_US" w:bidi="en_US"/>
        </w:rPr>
      </w:r>
      <w:r>
        <w:rPr>
          <w:lang w:val="en_US" w:bidi="en_US"/>
        </w:rPr>
        <w:t xml:space="preserve">but lose your </w:t>
      </w:r>
      <w:r>
        <w:rPr>
          <w:lang w:val="en_US" w:bidi="en_US"/>
        </w:rPr>
        <w:t>opportunity to have</w:t>
      </w:r>
      <w:r>
        <w:rPr>
          <w:lang w:val="en_US" w:bidi="en_US"/>
        </w:rPr>
        <w:t xml:space="preserve"> true life </w:t>
      </w:r>
      <w:r>
        <w:rPr>
          <w:lang w:val="en_US" w:bidi="en_US"/>
        </w:rPr>
        <w:t>with God</w:t>
      </w:r>
      <w:r>
        <w:rPr>
          <w:lang w:val="en_US" w:bidi="en_US"/>
        </w:rPr>
        <w:t xml:space="preserve">? </w:t>
      </w:r>
      <w:r>
        <w:rPr>
          <w:lang w:val="en_US" w:bidi="en_US"/>
        </w:rPr>
        <w:t>Of course not!</w:t>
      </w:r>
    </w:p>
    <w:p>
      <w:pPr>
        <w:pStyle w:val="ListBullet"/>
        <w:spacing w:line="240" w:lineRule="auto"/>
        <w:ind w:left="720"/>
      </w:pPr>
      <w:r>
        <w:rPr>
          <w:lang w:val="en_US" w:bidi="en_US"/>
        </w:rPr>
      </w:r>
      <w:r>
        <w:rPr>
          <w:lang w:val="en_US" w:bidi="en_US"/>
        </w:rPr>
        <w:t>if he does not gain life that is forever.</w:t>
      </w:r>
    </w:p>
    <w:p>
      <w:pPr/>
      <w:r>
        <w:rPr>
          <w:lang w:val="en_US" w:bidi="en_US"/>
        </w:rPr>
      </w:r>
      <w:r>
        <w:rPr>
          <w:b/>
          <w:lang w:val="en_US" w:bidi="en_US"/>
        </w:rPr>
        <w:t>lose or forfeit his very self:</w:t>
      </w:r>
      <w:r>
        <w:rPr>
          <w:lang w:val="en_US" w:bidi="en_US"/>
        </w:rPr>
        <w:t xml:space="preserve"> The phrase </w:t>
      </w:r>
      <w:r>
        <w:rPr>
          <w:i/>
          <w:lang w:val="en_US" w:bidi="en_US"/>
        </w:rPr>
        <w:t>lose or forfeit his very self</w:t>
      </w:r>
      <w:r>
        <w:rPr>
          <w:lang w:val="en_US" w:bidi="en_US"/>
        </w:rPr>
        <w:t xml:space="preserve"> refers to not only dying but also losing the opportunity to experience true life with God.</w:t>
      </w:r>
    </w:p>
    <w:p>
      <w:pPr/>
      <w:r>
        <w:rPr>
          <w:lang w:val="en_US" w:bidi="en_US"/>
        </w:rPr>
      </w:r>
      <w:r>
        <w:rPr>
          <w:b/>
          <w:lang w:val="en_US" w:bidi="en_US"/>
        </w:rPr>
        <w:t>lose or forfeit:</w:t>
      </w:r>
      <w:r>
        <w:rPr>
          <w:lang w:val="en_US" w:bidi="en_US"/>
        </w:rPr>
        <w:t xml:space="preserve"> In this context the Greek words that the BSB translates as </w:t>
      </w:r>
      <w:r>
        <w:rPr>
          <w:i/>
          <w:lang w:val="en_US" w:bidi="en_US"/>
        </w:rPr>
        <w:t>lose or forfeit</w:t>
      </w:r>
      <w:r>
        <w:rPr>
          <w:lang w:val="en_US" w:bidi="en_US"/>
        </w:rPr>
        <w:t xml:space="preserve"> mean “to fail to obtain something.” These two words have the same meaning in this context. So in some languages it may be more natural to use one word to translate this meaning.</w:t>
      </w:r>
    </w:p>
    <w:p>
      <w:pPr/>
      <w:r>
        <w:rPr>
          <w:lang w:val="en_US" w:bidi="en_US"/>
        </w:rPr>
      </w:r>
      <w:r>
        <w:rPr>
          <w:b/>
          <w:lang w:val="en_US" w:bidi="en_US"/>
        </w:rPr>
        <w:t>his very self:</w:t>
      </w:r>
      <w:r>
        <w:rPr>
          <w:lang w:val="en_US" w:bidi="en_US"/>
        </w:rPr>
        <w:t xml:space="preserve"> The Greek word that the BSB translates as </w:t>
      </w:r>
      <w:r>
        <w:rPr>
          <w:i/>
          <w:lang w:val="en_US" w:bidi="en_US"/>
        </w:rPr>
        <w:t>his very self</w:t>
      </w:r>
      <w:r>
        <w:rPr>
          <w:lang w:val="en_US" w:bidi="en_US"/>
        </w:rPr>
        <w:t xml:space="preserve"> is literally “himself.” It means the same thing as “his life/soul” in 9:24. This refers to a person’s real self, the part of a person that never dies.</w:t>
      </w:r>
      <w:r>
        <w:rPr>
          <w:lang w:val="en_US" w:bidi="en_US"/>
        </w:rPr>
      </w:r>
      <w:r>
        <w:rPr>
          <w:lang w:val="en_US" w:bidi="en_US"/>
        </w:rPr>
      </w:r>
    </w:p>
    <w:p>
      <w:pPr/>
      <w:r>
        <w:rPr>
          <w:lang w:val="en_US" w:bidi="en_US"/>
        </w:rPr>
      </w:r>
    </w:p>
    <w:p>
      <w:pPr>
        <w:pStyle w:val="Heading2"/>
      </w:pPr>
      <w:r>
        <w:rPr>
          <w:lang w:val="en_US" w:bidi="en_US"/>
        </w:rPr>
        <w:t>Luke 9:26</w:t>
      </w:r>
      <w:r>
        <w:rPr>
          <w:lang w:val="en_US" w:bidi="en_US"/>
        </w:rPr>
      </w:r>
    </w:p>
    <w:p>
      <w:pPr>
        <w:pStyle w:val="Heading4"/>
      </w:pPr>
      <w:r>
        <w:rPr>
          <w:lang w:val="en_US" w:bidi="en_US"/>
        </w:rPr>
        <w:t>Section 9:23–27: Jesus spoke about what a person must do to be his disciple</w:t>
      </w:r>
    </w:p>
    <w:p>
      <w:pPr/>
      <w:r>
        <w:rPr>
          <w:lang w:val="en_US" w:bidi="en_US"/>
        </w:rPr>
      </w:r>
      <w:r>
        <w:rPr>
          <w:lang w:val="en_US" w:bidi="en_US"/>
        </w:rPr>
        <w:t>In the preceding section Jesus was speaking to his disciples. This section is addressed to “all.” According to the parallel passage in Mark, Jesus called the crowd of people who were there to come and listen to him. Luke does not make this detail explicit, but it is implied by the word “all.” So in these verses Jesus was speaking to the crowd, as well as to his disciples. This meant that most of the people to whom Jesus spoke were not his followers.</w:t>
      </w:r>
    </w:p>
    <w:p>
      <w:pPr/>
      <w:r>
        <w:rPr>
          <w:lang w:val="en_US" w:bidi="en_US"/>
        </w:rPr>
      </w:r>
      <w:r>
        <w:rPr>
          <w:lang w:val="en_US" w:bidi="en_US"/>
        </w:rPr>
        <w:t>In 9:23 Jesus told the people what a person must do in order to be his disciple. A person must deny himself, take up his cross every day, and follow Jesus. In the next verses (9:24–26) Jesus explained why a person must do this. Sometimes a person chooses not to follow Jesus because he wants to avoid death and shame in the present life. If, for that reason, he does not follow Jesus, he will be shamed in the future at the final judgment. He will forfeit true life with God. By contrast, a person who chooses to follow Christ may lose his present life, but he will gain true life with God.</w:t>
      </w:r>
    </w:p>
    <w:p>
      <w:pPr/>
      <w:r>
        <w:rPr>
          <w:lang w:val="en_US" w:bidi="en_US"/>
        </w:rPr>
      </w:r>
      <w:r>
        <w:rPr>
          <w:lang w:val="en_US" w:bidi="en_US"/>
        </w:rPr>
        <w:t>It is good to translate this section before you decide on a heading for it. Some other headings for this section are:</w:t>
      </w:r>
    </w:p>
    <w:p>
      <w:pPr/>
      <w:r>
        <w:rPr>
          <w:lang w:val="en_US" w:bidi="en_US"/>
        </w:rPr>
      </w:r>
      <w:r>
        <w:rPr>
          <w:lang w:val="en_US" w:bidi="en_US"/>
        </w:rPr>
        <w:t>Jesus told people how to be his true disciples</w:t>
      </w:r>
    </w:p>
    <w:p>
      <w:pPr/>
      <w:r>
        <w:rPr>
          <w:lang w:val="en_US" w:bidi="en_US"/>
        </w:rPr>
      </w:r>
      <w:r>
        <w:rPr>
          <w:lang w:val="en_US" w:bidi="en_US"/>
        </w:rPr>
        <w:t>The Life of a Person who Becomes Jesus’ Disciple</w:t>
      </w:r>
    </w:p>
    <w:p>
      <w:pPr/>
      <w:r>
        <w:rPr>
          <w:lang w:val="en_US" w:bidi="en_US"/>
        </w:rPr>
      </w:r>
      <w:r>
        <w:rPr>
          <w:lang w:val="en_US" w:bidi="en_US"/>
        </w:rPr>
        <w:t>What it Means to Follow Jesus</w:t>
      </w:r>
    </w:p>
    <w:p>
      <w:pPr/>
      <w:r>
        <w:rPr>
          <w:lang w:val="en_US" w:bidi="en_US"/>
        </w:rPr>
      </w:r>
      <w:r>
        <w:rPr>
          <w:lang w:val="en_US" w:bidi="en_US"/>
        </w:rPr>
        <w:t>There are parallel passages for this section in Matthew 16:24–28 and Mark 8:34–9:1. See also Luke 14:27, 17:33; John 12:25.</w:t>
      </w:r>
    </w:p>
    <w:p>
      <w:pPr>
        <w:pStyle w:val="Heading5"/>
      </w:pPr>
      <w:r>
        <w:rPr>
          <w:lang w:val="en_US" w:bidi="en_US"/>
        </w:rPr>
        <w:t>9:26</w:t>
      </w:r>
    </w:p>
    <w:p>
      <w:pPr/>
      <w:r>
        <w:rPr>
          <w:lang w:val="en_US" w:bidi="en_US"/>
        </w:rPr>
      </w:r>
      <w:r>
        <w:rPr>
          <w:lang w:val="en_US" w:bidi="en_US"/>
        </w:rPr>
        <w:t>This part of the verse gives another reason why a person should deny himself and be ready to die as a disciple (9:23). The reason is that a person who chooses to avoid shame in the present life will be shamed in the future at the final judgment. Express this reason/explanation in a natural way in your language.</w:t>
      </w:r>
    </w:p>
    <w:p>
      <w:pPr>
        <w:pStyle w:val="Heading5"/>
      </w:pPr>
      <w:r>
        <w:rPr>
          <w:lang w:val="en_US" w:bidi="en_US"/>
        </w:rPr>
        <w:t>9:26a</w:t>
      </w:r>
    </w:p>
    <w:p>
      <w:pPr/>
      <w:r>
        <w:rPr>
          <w:lang w:val="en_US" w:bidi="en_US"/>
        </w:rPr>
      </w:r>
      <w:r>
        <w:rPr>
          <w:b/>
          <w:lang w:val="en_US" w:bidi="en_US"/>
        </w:rPr>
        <w:t>If anyone is ashamed of Me and My words,</w:t>
      </w:r>
    </w:p>
    <w:p>
      <w:pPr>
        <w:pStyle w:val="ListBullet"/>
        <w:spacing w:line="240" w:lineRule="auto"/>
        <w:ind w:left="720"/>
      </w:pPr>
      <w:r>
        <w:rPr>
          <w:lang w:val="en_US" w:bidi="en_US"/>
        </w:rPr>
      </w:r>
      <w:r>
        <w:rPr>
          <w:lang w:val="en_US" w:bidi="en_US"/>
        </w:rPr>
        <w:t>For if anyone is ashamed of me and of what I teach,</w:t>
      </w:r>
    </w:p>
    <w:p>
      <w:pPr>
        <w:pStyle w:val="ListBullet"/>
        <w:spacing w:line="240" w:lineRule="auto"/>
        <w:ind w:left="720"/>
      </w:pPr>
      <w:r>
        <w:rPr>
          <w:lang w:val="en_US" w:bidi="en_US"/>
        </w:rPr>
      </w:r>
      <w:r>
        <w:rPr>
          <w:lang w:val="en_US" w:bidi="en_US"/>
        </w:rPr>
        <w:t>If any of you</w:t>
      </w:r>
      <w:r>
        <w:rPr>
          <w:vertAlign w:val="superscript"/>
          <w:lang w:val="en_US" w:bidi="en_US"/>
        </w:rPr>
        <w:t>(plur)</w:t>
      </w:r>
      <w:r>
        <w:rPr>
          <w:lang w:val="en_US" w:bidi="en_US"/>
        </w:rPr>
        <w:t xml:space="preserve"> refuse to acknowledge me </w:t>
      </w:r>
      <w:r>
        <w:rPr>
          <w:lang w:val="en_US" w:bidi="en_US"/>
        </w:rPr>
        <w:t>as your master</w:t>
      </w:r>
      <w:r>
        <w:rPr>
          <w:lang w:val="en_US" w:bidi="en_US"/>
        </w:rPr>
        <w:t xml:space="preserve"> and to follow my teachings,</w:t>
      </w:r>
    </w:p>
    <w:p>
      <w:pPr/>
      <w:r>
        <w:rPr>
          <w:lang w:val="en_US" w:bidi="en_US"/>
        </w:rPr>
      </w:r>
      <w:r>
        <w:rPr>
          <w:b/>
          <w:lang w:val="en_US" w:bidi="en_US"/>
        </w:rPr>
        <w:t>If anyone is ashamed of Me and My words:</w:t>
      </w:r>
      <w:r>
        <w:rPr>
          <w:lang w:val="en_US" w:bidi="en_US"/>
        </w:rPr>
        <w:t xml:space="preserve"> This clause describes a person who refuses to become Jesus’ disciple and follow his teachings because he feels ashamed in front of other people. He is unwilling to acknowledge that he follows Jesus because he is afraid that others will mock him.</w:t>
      </w:r>
    </w:p>
    <w:p>
      <w:pPr/>
      <w:r>
        <w:rPr>
          <w:lang w:val="en_US" w:bidi="en_US"/>
        </w:rPr>
      </w:r>
      <w:r>
        <w:rPr>
          <w:lang w:val="en_US" w:bidi="en_US"/>
        </w:rPr>
        <w:t xml:space="preserve">In your translation, avoid suggesting that Jesus might have done something wrong that would cause someone to be ashamed. Some other ways to translate </w:t>
      </w:r>
      <w:r>
        <w:rPr>
          <w:i/>
          <w:lang w:val="en_US" w:bidi="en_US"/>
        </w:rPr>
        <w:t>If anyone is ashamed of Me and My words</w:t>
      </w:r>
      <w:r>
        <w:rPr>
          <w:lang w:val="en_US" w:bidi="en_US"/>
        </w:rPr>
        <w:t xml:space="preserve"> include:</w:t>
      </w:r>
    </w:p>
    <w:p>
      <w:pPr/>
      <w:r>
        <w:rPr>
          <w:lang w:val="en_US" w:bidi="en_US"/>
        </w:rPr>
      </w:r>
      <w:r>
        <w:rPr>
          <w:lang w:val="en_US" w:bidi="en_US"/>
        </w:rPr>
        <w:t xml:space="preserve">If anyone is ashamed to become my disciple and </w:t>
      </w:r>
      <w:r>
        <w:rPr>
          <w:lang w:val="en_US" w:bidi="en_US"/>
        </w:rPr>
        <w:t>to believe/obey</w:t>
      </w:r>
      <w:r>
        <w:rPr>
          <w:lang w:val="en_US" w:bidi="en_US"/>
        </w:rPr>
        <w:t xml:space="preserve"> my words</w:t>
      </w:r>
    </w:p>
    <w:p>
      <w:pPr/>
      <w:r>
        <w:rPr>
          <w:lang w:val="en_US" w:bidi="en_US"/>
        </w:rPr>
      </w:r>
      <w:r>
        <w:rPr>
          <w:lang w:val="en_US" w:bidi="en_US"/>
        </w:rPr>
        <w:t xml:space="preserve">If anyone is not willing to acknowledge me </w:t>
      </w:r>
      <w:r>
        <w:rPr>
          <w:lang w:val="en_US" w:bidi="en_US"/>
        </w:rPr>
        <w:t>as his master</w:t>
      </w:r>
      <w:r>
        <w:rPr>
          <w:lang w:val="en_US" w:bidi="en_US"/>
        </w:rPr>
        <w:t xml:space="preserve"> and </w:t>
      </w:r>
      <w:r>
        <w:rPr>
          <w:lang w:val="en_US" w:bidi="en_US"/>
        </w:rPr>
        <w:t>to obey</w:t>
      </w:r>
      <w:r>
        <w:rPr>
          <w:lang w:val="en_US" w:bidi="en_US"/>
        </w:rPr>
        <w:t xml:space="preserve"> what I teach because </w:t>
      </w:r>
      <w:r>
        <w:rPr>
          <w:lang w:val="en_US" w:bidi="en_US"/>
        </w:rPr>
        <w:t>people</w:t>
      </w:r>
      <w:r>
        <w:rPr>
          <w:lang w:val="en_US" w:bidi="en_US"/>
        </w:rPr>
        <w:t xml:space="preserve"> would humiliate him</w:t>
      </w:r>
    </w:p>
    <w:p>
      <w:pPr/>
      <w:r>
        <w:rPr>
          <w:lang w:val="en_US" w:bidi="en_US"/>
        </w:rPr>
      </w:r>
      <w:r>
        <w:rPr>
          <w:b/>
          <w:lang w:val="en_US" w:bidi="en_US"/>
        </w:rPr>
        <w:t>My words:</w:t>
      </w:r>
      <w:r>
        <w:rPr>
          <w:lang w:val="en_US" w:bidi="en_US"/>
        </w:rPr>
        <w:t xml:space="preserve"> The phrase </w:t>
      </w:r>
      <w:r>
        <w:rPr>
          <w:i/>
          <w:lang w:val="en_US" w:bidi="en_US"/>
        </w:rPr>
        <w:t>My words</w:t>
      </w:r>
      <w:r>
        <w:rPr>
          <w:lang w:val="en_US" w:bidi="en_US"/>
        </w:rPr>
        <w:t xml:space="preserve"> refers to what Jesus has said, that is, to his teachings.</w:t>
      </w:r>
    </w:p>
    <w:p>
      <w:pPr>
        <w:pStyle w:val="Heading5"/>
      </w:pPr>
      <w:r>
        <w:rPr>
          <w:lang w:val="en_US" w:bidi="en_US"/>
        </w:rPr>
        <w:t>9:26b</w:t>
      </w:r>
    </w:p>
    <w:p>
      <w:pPr/>
      <w:r>
        <w:rPr>
          <w:lang w:val="en_US" w:bidi="en_US"/>
        </w:rPr>
      </w:r>
      <w:r>
        <w:rPr>
          <w:b/>
          <w:lang w:val="en_US" w:bidi="en_US"/>
        </w:rPr>
        <w:t>the Son of Man will be ashamed of him</w:t>
      </w:r>
    </w:p>
    <w:p>
      <w:pPr>
        <w:pStyle w:val="ListBullet"/>
        <w:spacing w:line="240" w:lineRule="auto"/>
        <w:ind w:left="720"/>
      </w:pPr>
      <w:r>
        <w:rPr>
          <w:lang w:val="en_US" w:bidi="en_US"/>
        </w:rPr>
      </w:r>
      <w:r>
        <w:rPr>
          <w:lang w:val="en_US" w:bidi="en_US"/>
        </w:rPr>
        <w:t>then the Son of Man will be ashamed of him</w:t>
      </w:r>
    </w:p>
    <w:p>
      <w:pPr>
        <w:pStyle w:val="ListBullet"/>
        <w:spacing w:line="240" w:lineRule="auto"/>
        <w:ind w:left="720"/>
      </w:pPr>
      <w:r>
        <w:rPr>
          <w:lang w:val="en_US" w:bidi="en_US"/>
        </w:rPr>
      </w:r>
      <w:r>
        <w:rPr>
          <w:lang w:val="en_US" w:bidi="en_US"/>
        </w:rPr>
        <w:t xml:space="preserve">then </w:t>
      </w:r>
      <w:r>
        <w:rPr>
          <w:lang w:val="en_US" w:bidi="en_US"/>
        </w:rPr>
        <w:t>I,</w:t>
      </w:r>
      <w:r>
        <w:rPr>
          <w:lang w:val="en_US" w:bidi="en_US"/>
        </w:rPr>
        <w:t xml:space="preserve"> the Son of Man, will deny that you</w:t>
      </w:r>
      <w:r>
        <w:rPr>
          <w:vertAlign w:val="superscript"/>
          <w:lang w:val="en_US" w:bidi="en_US"/>
        </w:rPr>
        <w:t>(sing)</w:t>
      </w:r>
      <w:r>
        <w:rPr>
          <w:lang w:val="en_US" w:bidi="en_US"/>
        </w:rPr>
        <w:t xml:space="preserve"> are my follower</w:t>
      </w:r>
    </w:p>
    <w:p>
      <w:pPr>
        <w:pStyle w:val="ListBullet"/>
        <w:spacing w:line="240" w:lineRule="auto"/>
        <w:ind w:left="720"/>
      </w:pPr>
      <w:r>
        <w:rPr>
          <w:lang w:val="en_US" w:bidi="en_US"/>
        </w:rPr>
      </w:r>
      <w:r>
        <w:rPr>
          <w:lang w:val="en_US" w:bidi="en_US"/>
        </w:rPr>
        <w:t xml:space="preserve">then </w:t>
      </w:r>
      <w:r>
        <w:rPr>
          <w:lang w:val="en_US" w:bidi="en_US"/>
        </w:rPr>
        <w:t>I,</w:t>
      </w:r>
      <w:r>
        <w:rPr>
          <w:lang w:val="en_US" w:bidi="en_US"/>
        </w:rPr>
        <w:t xml:space="preserve"> the Son of Man, will say that you</w:t>
      </w:r>
      <w:r>
        <w:rPr>
          <w:vertAlign w:val="superscript"/>
          <w:lang w:val="en_US" w:bidi="en_US"/>
        </w:rPr>
        <w:t>(sing)</w:t>
      </w:r>
      <w:r>
        <w:rPr>
          <w:lang w:val="en_US" w:bidi="en_US"/>
        </w:rPr>
        <w:t xml:space="preserve"> are not my disciple.</w:t>
      </w:r>
    </w:p>
    <w:p>
      <w:pPr/>
      <w:r>
        <w:rPr>
          <w:lang w:val="en_US" w:bidi="en_US"/>
        </w:rPr>
      </w:r>
      <w:r>
        <w:rPr>
          <w:b/>
          <w:lang w:val="en_US" w:bidi="en_US"/>
        </w:rPr>
        <w:t>the Son of Man will be ashamed of him:</w:t>
      </w:r>
      <w:r>
        <w:rPr>
          <w:lang w:val="en_US" w:bidi="en_US"/>
        </w:rPr>
        <w:t xml:space="preserve"> This part of the verse indicates that Jesus, </w:t>
      </w:r>
      <w:r>
        <w:rPr>
          <w:i/>
          <w:lang w:val="en_US" w:bidi="en_US"/>
        </w:rPr>
        <w:t>the Son of Man</w:t>
      </w:r>
      <w:r>
        <w:rPr>
          <w:lang w:val="en_US" w:bidi="en_US"/>
        </w:rPr>
        <w:t xml:space="preserve">, will be ashamed of any person who was ashamed to become his follower. In this context, for Jesus to be ashamed of someone does not mean that Jesus will feel embarrassed. It means that Jesus will deny that such a person belongs to him. He will be unwilling to say that such a person was his disciple. See how you translated </w:t>
      </w:r>
      <w:r>
        <w:rPr>
          <w:i/>
          <w:lang w:val="en_US" w:bidi="en_US"/>
        </w:rPr>
        <w:t>ashamed</w:t>
      </w:r>
      <w:r>
        <w:rPr>
          <w:lang w:val="en_US" w:bidi="en_US"/>
        </w:rPr>
        <w:t xml:space="preserve"> in 9:26a.</w:t>
      </w:r>
    </w:p>
    <w:p>
      <w:pPr/>
      <w:r>
        <w:rPr>
          <w:lang w:val="en_US" w:bidi="en_US"/>
        </w:rPr>
      </w:r>
      <w:r>
        <w:rPr>
          <w:b/>
          <w:lang w:val="en_US" w:bidi="en_US"/>
        </w:rPr>
        <w:t>Son of Man:</w:t>
      </w:r>
      <w:r>
        <w:rPr>
          <w:lang w:val="en_US" w:bidi="en_US"/>
        </w:rPr>
        <w:t xml:space="preserve"> Jesus often referred to himself as the </w:t>
      </w:r>
      <w:r>
        <w:rPr>
          <w:i/>
          <w:lang w:val="en_US" w:bidi="en_US"/>
        </w:rPr>
        <w:t>Son of Man</w:t>
      </w:r>
      <w:r>
        <w:rPr>
          <w:lang w:val="en_US" w:bidi="en_US"/>
        </w:rPr>
        <w:t>. In some languages it may be necessary to make it clear that Jesus was referring to himself:</w:t>
      </w:r>
    </w:p>
    <w:p>
      <w:pPr/>
      <w:r>
        <w:rPr>
          <w:lang w:val="en_US" w:bidi="en_US"/>
        </w:rPr>
      </w:r>
      <w:r>
        <w:rPr>
          <w:lang w:val="en_US" w:bidi="en_US"/>
        </w:rPr>
        <w:t>I,</w:t>
      </w:r>
      <w:r>
        <w:rPr>
          <w:lang w:val="en_US" w:bidi="en_US"/>
        </w:rPr>
        <w:t xml:space="preserve"> the Son of Man</w:t>
      </w:r>
    </w:p>
    <w:p>
      <w:pPr/>
      <w:r>
        <w:rPr>
          <w:lang w:val="en_US" w:bidi="en_US"/>
        </w:rPr>
      </w:r>
      <w:r>
        <w:rPr>
          <w:lang w:val="en_US" w:bidi="en_US"/>
        </w:rPr>
        <w:t xml:space="preserve">The phrase </w:t>
      </w:r>
      <w:r>
        <w:rPr>
          <w:i/>
          <w:lang w:val="en_US" w:bidi="en_US"/>
        </w:rPr>
        <w:t>Son of Man</w:t>
      </w:r>
      <w:r>
        <w:rPr>
          <w:lang w:val="en_US" w:bidi="en_US"/>
        </w:rPr>
        <w:t xml:space="preserve"> also occurs in 9:22a. See the note there for more information.</w:t>
      </w:r>
    </w:p>
    <w:p>
      <w:pPr>
        <w:pStyle w:val="Heading5"/>
      </w:pPr>
      <w:r>
        <w:rPr>
          <w:lang w:val="en_US" w:bidi="en_US"/>
        </w:rPr>
        <w:t>9:26c</w:t>
      </w:r>
    </w:p>
    <w:p>
      <w:pPr/>
      <w:r>
        <w:rPr>
          <w:lang w:val="en_US" w:bidi="en_US"/>
        </w:rPr>
      </w:r>
      <w:r>
        <w:rPr>
          <w:b/>
          <w:lang w:val="en_US" w:bidi="en_US"/>
        </w:rPr>
        <w:t>when He comes in His glory</w:t>
      </w:r>
    </w:p>
    <w:p>
      <w:pPr>
        <w:pStyle w:val="ListBullet"/>
        <w:spacing w:line="240" w:lineRule="auto"/>
        <w:ind w:left="720"/>
      </w:pPr>
      <w:r>
        <w:rPr>
          <w:lang w:val="en_US" w:bidi="en_US"/>
        </w:rPr>
      </w:r>
      <w:r>
        <w:rPr>
          <w:lang w:val="en_US" w:bidi="en_US"/>
        </w:rPr>
        <w:t>when he comes with/showing his greatness</w:t>
      </w:r>
    </w:p>
    <w:p>
      <w:pPr>
        <w:pStyle w:val="ListBullet"/>
        <w:spacing w:line="240" w:lineRule="auto"/>
        <w:ind w:left="720"/>
      </w:pPr>
      <w:r>
        <w:rPr>
          <w:lang w:val="en_US" w:bidi="en_US"/>
        </w:rPr>
      </w:r>
      <w:r>
        <w:rPr>
          <w:lang w:val="en_US" w:bidi="en_US"/>
        </w:rPr>
        <w:t xml:space="preserve">when I return </w:t>
      </w:r>
      <w:r>
        <w:rPr>
          <w:lang w:val="en_US" w:bidi="en_US"/>
        </w:rPr>
        <w:t>to earth</w:t>
      </w:r>
      <w:r>
        <w:rPr>
          <w:lang w:val="en_US" w:bidi="en_US"/>
        </w:rPr>
        <w:t xml:space="preserve">. </w:t>
      </w:r>
      <w:r>
        <w:rPr>
          <w:lang w:val="en_US" w:bidi="en_US"/>
        </w:rPr>
        <w:t>At that time</w:t>
      </w:r>
      <w:r>
        <w:rPr>
          <w:lang w:val="en_US" w:bidi="en_US"/>
        </w:rPr>
        <w:t xml:space="preserve"> I will be surrounded by the same dazzling splendor</w:t>
      </w:r>
    </w:p>
    <w:p>
      <w:pPr>
        <w:pStyle w:val="ListBullet"/>
        <w:spacing w:line="240" w:lineRule="auto"/>
        <w:ind w:left="720"/>
      </w:pPr>
      <w:r>
        <w:rPr>
          <w:lang w:val="en_US" w:bidi="en_US"/>
        </w:rPr>
      </w:r>
      <w:r>
        <w:rPr>
          <w:lang w:val="en_US" w:bidi="en_US"/>
        </w:rPr>
        <w:t>This will happen</w:t>
      </w:r>
      <w:r>
        <w:rPr>
          <w:lang w:val="en_US" w:bidi="en_US"/>
        </w:rPr>
        <w:t xml:space="preserve"> when I come back </w:t>
      </w:r>
      <w:r>
        <w:rPr>
          <w:lang w:val="en_US" w:bidi="en_US"/>
        </w:rPr>
        <w:t>to earth</w:t>
      </w:r>
      <w:r>
        <w:rPr>
          <w:lang w:val="en_US" w:bidi="en_US"/>
        </w:rPr>
        <w:t xml:space="preserve">. </w:t>
      </w:r>
      <w:r>
        <w:rPr>
          <w:lang w:val="en_US" w:bidi="en_US"/>
        </w:rPr>
        <w:t>Then</w:t>
      </w:r>
      <w:r>
        <w:rPr>
          <w:lang w:val="en_US" w:bidi="en_US"/>
        </w:rPr>
        <w:t xml:space="preserve"> </w:t>
      </w:r>
      <w:r>
        <w:rPr>
          <w:lang w:val="en_US" w:bidi="en_US"/>
        </w:rPr>
        <w:t>everyone will see</w:t>
      </w:r>
      <w:r>
        <w:rPr>
          <w:lang w:val="en_US" w:bidi="en_US"/>
        </w:rPr>
        <w:t xml:space="preserve"> my radiant majesty</w:t>
      </w:r>
    </w:p>
    <w:p>
      <w:pPr/>
      <w:r>
        <w:rPr>
          <w:lang w:val="en_US" w:bidi="en_US"/>
        </w:rPr>
      </w:r>
      <w:r>
        <w:rPr>
          <w:b/>
          <w:lang w:val="en_US" w:bidi="en_US"/>
        </w:rPr>
        <w:t>when He comes in His glory:</w:t>
      </w:r>
      <w:r>
        <w:rPr>
          <w:lang w:val="en_US" w:bidi="en_US"/>
        </w:rPr>
        <w:t xml:space="preserve"> The clause </w:t>
      </w:r>
      <w:r>
        <w:rPr>
          <w:i/>
          <w:lang w:val="en_US" w:bidi="en_US"/>
        </w:rPr>
        <w:t>when He comes in His glory</w:t>
      </w:r>
      <w:r>
        <w:rPr>
          <w:lang w:val="en_US" w:bidi="en_US"/>
        </w:rPr>
        <w:t xml:space="preserve"> refers to the time when Jesus will return to earth. He will return in a way that will show people his divine greatness and dazzling brightness. Jesus continued to refer to himself here. Consider if it is more natural in your language to use forms such as “I” and “my.” For example:</w:t>
      </w:r>
    </w:p>
    <w:p>
      <w:pPr/>
      <w:r>
        <w:rPr>
          <w:lang w:val="en_US" w:bidi="en_US"/>
        </w:rPr>
      </w:r>
      <w:r>
        <w:rPr>
          <w:lang w:val="en_US" w:bidi="en_US"/>
        </w:rPr>
        <w:t xml:space="preserve">when </w:t>
      </w:r>
      <w:r>
        <w:rPr>
          <w:u w:val="single"/>
          <w:lang w:val="en_US" w:bidi="en_US"/>
        </w:rPr>
        <w:t>I</w:t>
      </w:r>
      <w:r>
        <w:rPr>
          <w:lang w:val="en_US" w:bidi="en_US"/>
        </w:rPr>
        <w:t xml:space="preserve"> come in </w:t>
      </w:r>
      <w:r>
        <w:rPr>
          <w:u w:val="single"/>
          <w:lang w:val="en_US" w:bidi="en_US"/>
        </w:rPr>
        <w:t>my</w:t>
      </w:r>
      <w:r>
        <w:rPr>
          <w:lang w:val="en_US" w:bidi="en_US"/>
        </w:rPr>
        <w:t xml:space="preserve"> glory</w:t>
      </w:r>
    </w:p>
    <w:p>
      <w:pPr/>
      <w:r>
        <w:rPr>
          <w:lang w:val="en_US" w:bidi="en_US"/>
        </w:rPr>
      </w:r>
      <w:r>
        <w:rPr>
          <w:lang w:val="en_US" w:bidi="en_US"/>
        </w:rPr>
        <w:t xml:space="preserve">Some ways to translate the phrase </w:t>
      </w:r>
      <w:r>
        <w:rPr>
          <w:i/>
          <w:lang w:val="en_US" w:bidi="en_US"/>
        </w:rPr>
        <w:t>in His glory</w:t>
      </w:r>
      <w:r>
        <w:rPr>
          <w:lang w:val="en_US" w:bidi="en_US"/>
        </w:rPr>
        <w:t xml:space="preserve"> here are:</w:t>
      </w:r>
    </w:p>
    <w:p>
      <w:pPr/>
      <w:r>
        <w:rPr>
          <w:lang w:val="en_US" w:bidi="en_US"/>
        </w:rPr>
      </w:r>
      <w:r>
        <w:rPr>
          <w:lang w:val="en_US" w:bidi="en_US"/>
        </w:rPr>
        <w:t>with/showing his greatness</w:t>
      </w:r>
    </w:p>
    <w:p>
      <w:pPr/>
      <w:r>
        <w:rPr>
          <w:lang w:val="en_US" w:bidi="en_US"/>
        </w:rPr>
      </w:r>
      <w:r>
        <w:rPr>
          <w:lang w:val="en_US" w:bidi="en_US"/>
        </w:rPr>
        <w:t>with/showing his dazzling brightness</w:t>
      </w:r>
    </w:p>
    <w:p>
      <w:pPr/>
      <w:r>
        <w:rPr>
          <w:lang w:val="en_US" w:bidi="en_US"/>
        </w:rPr>
      </w:r>
      <w:r>
        <w:rPr>
          <w:lang w:val="en_US" w:bidi="en_US"/>
        </w:rPr>
        <w:t>people will see his radiant majesty</w:t>
      </w:r>
    </w:p>
    <w:p>
      <w:pPr/>
      <w:r>
        <w:rPr>
          <w:lang w:val="en_US" w:bidi="en_US"/>
        </w:rPr>
      </w:r>
      <w:r>
        <w:rPr>
          <w:b/>
          <w:lang w:val="en_US" w:bidi="en_US"/>
        </w:rPr>
        <w:t>glory:</w:t>
      </w:r>
      <w:r>
        <w:rPr>
          <w:lang w:val="en_US" w:bidi="en_US"/>
        </w:rPr>
        <w:t xml:space="preserve"> In the Old Testament, God’s </w:t>
      </w:r>
      <w:r>
        <w:rPr>
          <w:i/>
          <w:lang w:val="en_US" w:bidi="en_US"/>
        </w:rPr>
        <w:t>glory</w:t>
      </w:r>
      <w:r>
        <w:rPr>
          <w:lang w:val="en_US" w:bidi="en_US"/>
        </w:rPr>
        <w:t xml:space="preserve"> refers to the bright light or cloud that people saw when God was present with them. The way God appeared to them symbolized how powerful and great he was.</w:t>
      </w:r>
    </w:p>
    <w:p>
      <w:pPr/>
      <w:r>
        <w:rPr>
          <w:lang w:val="en_US" w:bidi="en_US"/>
        </w:rPr>
      </w:r>
      <w:r>
        <w:rPr>
          <w:lang w:val="en_US" w:bidi="en_US"/>
        </w:rPr>
        <w:t xml:space="preserve">In the New Testament, when </w:t>
      </w:r>
      <w:r>
        <w:rPr>
          <w:i/>
          <w:lang w:val="en_US" w:bidi="en_US"/>
        </w:rPr>
        <w:t>glory</w:t>
      </w:r>
      <w:r>
        <w:rPr>
          <w:lang w:val="en_US" w:bidi="en_US"/>
        </w:rPr>
        <w:t xml:space="preserve"> describes Jesus, it sometimes refers in general to his divine character or attributes. Sometimes, as here, the word </w:t>
      </w:r>
      <w:r>
        <w:rPr>
          <w:i/>
          <w:lang w:val="en_US" w:bidi="en_US"/>
        </w:rPr>
        <w:t>glory</w:t>
      </w:r>
      <w:r>
        <w:rPr>
          <w:lang w:val="en_US" w:bidi="en_US"/>
        </w:rPr>
        <w:t xml:space="preserve"> refers specifically to his power and greatness or to his dazzling brightness.</w:t>
      </w:r>
    </w:p>
    <w:p>
      <w:pPr>
        <w:pStyle w:val="Heading5"/>
      </w:pPr>
      <w:r>
        <w:rPr>
          <w:lang w:val="en_US" w:bidi="en_US"/>
        </w:rPr>
        <w:t>9:26d</w:t>
      </w:r>
    </w:p>
    <w:p>
      <w:pPr/>
      <w:r>
        <w:rPr>
          <w:lang w:val="en_US" w:bidi="en_US"/>
        </w:rPr>
      </w:r>
      <w:r>
        <w:rPr>
          <w:b/>
          <w:lang w:val="en_US" w:bidi="en_US"/>
        </w:rPr>
        <w:t>and in the glory of the Father and of the holy angels.</w:t>
      </w:r>
    </w:p>
    <w:p>
      <w:pPr>
        <w:pStyle w:val="ListBullet"/>
        <w:spacing w:line="240" w:lineRule="auto"/>
        <w:ind w:left="720"/>
      </w:pPr>
      <w:r>
        <w:rPr>
          <w:lang w:val="en_US" w:bidi="en_US"/>
        </w:rPr>
      </w:r>
      <w:r>
        <w:rPr>
          <w:lang w:val="en_US" w:bidi="en_US"/>
        </w:rPr>
        <w:t xml:space="preserve">and the greatness of his Father </w:t>
      </w:r>
      <w:r>
        <w:rPr>
          <w:lang w:val="en_US" w:bidi="en_US"/>
        </w:rPr>
        <w:t>God</w:t>
      </w:r>
      <w:r>
        <w:rPr>
          <w:lang w:val="en_US" w:bidi="en_US"/>
        </w:rPr>
        <w:t xml:space="preserve">, and </w:t>
      </w:r>
      <w:r>
        <w:rPr>
          <w:lang w:val="en_US" w:bidi="en_US"/>
        </w:rPr>
        <w:t>the greatness</w:t>
      </w:r>
      <w:r>
        <w:rPr>
          <w:lang w:val="en_US" w:bidi="en_US"/>
        </w:rPr>
        <w:t xml:space="preserve"> of the holy angels.</w:t>
      </w:r>
    </w:p>
    <w:p>
      <w:pPr>
        <w:pStyle w:val="ListBullet"/>
        <w:spacing w:line="240" w:lineRule="auto"/>
        <w:ind w:left="720"/>
      </w:pPr>
      <w:r>
        <w:rPr>
          <w:lang w:val="en_US" w:bidi="en_US"/>
        </w:rPr>
      </w:r>
      <w:r>
        <w:rPr>
          <w:lang w:val="en_US" w:bidi="en_US"/>
        </w:rPr>
        <w:t xml:space="preserve">that </w:t>
      </w:r>
      <w:r>
        <w:rPr>
          <w:lang w:val="en_US" w:bidi="en_US"/>
        </w:rPr>
        <w:t>God</w:t>
      </w:r>
      <w:r>
        <w:rPr>
          <w:lang w:val="en_US" w:bidi="en_US"/>
        </w:rPr>
        <w:t xml:space="preserve"> my Father and the holy angels have.</w:t>
      </w:r>
    </w:p>
    <w:p>
      <w:pPr>
        <w:pStyle w:val="ListBullet"/>
        <w:spacing w:line="240" w:lineRule="auto"/>
        <w:ind w:left="720"/>
      </w:pPr>
      <w:r>
        <w:rPr>
          <w:lang w:val="en_US" w:bidi="en_US"/>
        </w:rPr>
      </w:r>
      <w:r>
        <w:rPr>
          <w:lang w:val="en_US" w:bidi="en_US"/>
        </w:rPr>
        <w:t>that will be like</w:t>
      </w:r>
      <w:r>
        <w:rPr>
          <w:lang w:val="en_US" w:bidi="en_US"/>
        </w:rPr>
        <w:t xml:space="preserve"> the radiant majesty of my Father and of the holy angels.</w:t>
      </w:r>
    </w:p>
    <w:p>
      <w:pPr/>
      <w:r>
        <w:rPr>
          <w:lang w:val="en_US" w:bidi="en_US"/>
        </w:rPr>
      </w:r>
      <w:r>
        <w:rPr>
          <w:b/>
          <w:lang w:val="en_US" w:bidi="en_US"/>
        </w:rPr>
        <w:t>and in the glory of the Father and of the holy angels:</w:t>
      </w:r>
      <w:r>
        <w:rPr>
          <w:lang w:val="en_US" w:bidi="en_US"/>
        </w:rPr>
        <w:t xml:space="preserve"> When Jesus returns, he will also show the same glory that his Father God and the holy angels have. He will have the same greatness and will be surrounded by the same brightness. Another way to translate this phrase is:</w:t>
      </w:r>
    </w:p>
    <w:p>
      <w:pPr/>
      <w:r>
        <w:rPr>
          <w:lang w:val="en_US" w:bidi="en_US"/>
        </w:rPr>
      </w:r>
      <w:r>
        <w:rPr>
          <w:lang w:val="en_US" w:bidi="en_US"/>
        </w:rPr>
        <w:t>and the greatness of his Father God and the greatness of the holy angels</w:t>
      </w:r>
    </w:p>
    <w:p>
      <w:pPr/>
      <w:r>
        <w:rPr>
          <w:lang w:val="en_US" w:bidi="en_US"/>
        </w:rPr>
      </w:r>
      <w:r>
        <w:rPr>
          <w:lang w:val="en_US" w:bidi="en_US"/>
        </w:rPr>
        <w:t>They will also see</w:t>
      </w:r>
      <w:r>
        <w:rPr>
          <w:lang w:val="en_US" w:bidi="en_US"/>
        </w:rPr>
        <w:t xml:space="preserve"> the radiant majesty of my Father and of the holy angels.</w:t>
      </w:r>
    </w:p>
    <w:p>
      <w:pPr/>
      <w:r>
        <w:rPr>
          <w:lang w:val="en_US" w:bidi="en_US"/>
        </w:rPr>
      </w:r>
      <w:r>
        <w:rPr>
          <w:b/>
          <w:lang w:val="en_US" w:bidi="en_US"/>
        </w:rPr>
        <w:t>holy angels:</w:t>
      </w:r>
      <w:r>
        <w:rPr>
          <w:lang w:val="en_US" w:bidi="en_US"/>
        </w:rPr>
        <w:t xml:space="preserve"> The Greek word that the BSB translates as </w:t>
      </w:r>
      <w:r>
        <w:rPr>
          <w:i/>
          <w:lang w:val="en_US" w:bidi="en_US"/>
        </w:rPr>
        <w:t>angels</w:t>
      </w:r>
      <w:r>
        <w:rPr>
          <w:lang w:val="en_US" w:bidi="en_US"/>
        </w:rPr>
        <w:t xml:space="preserve"> means “messengers.” The phrase </w:t>
      </w:r>
      <w:r>
        <w:rPr>
          <w:i/>
          <w:lang w:val="en_US" w:bidi="en_US"/>
        </w:rPr>
        <w:t>holy angels</w:t>
      </w:r>
      <w:r>
        <w:rPr>
          <w:lang w:val="en_US" w:bidi="en_US"/>
        </w:rPr>
        <w:t xml:space="preserve"> refers to spirit beings who serve God.</w:t>
      </w:r>
    </w:p>
    <w:p>
      <w:pPr/>
      <w:r>
        <w:rPr>
          <w:lang w:val="en_US" w:bidi="en_US"/>
        </w:rPr>
      </w:r>
      <w:r>
        <w:rPr>
          <w:lang w:val="en_US" w:bidi="en_US"/>
        </w:rPr>
        <w:t xml:space="preserve">The angels are </w:t>
      </w:r>
      <w:r>
        <w:rPr>
          <w:i/>
          <w:lang w:val="en_US" w:bidi="en_US"/>
        </w:rPr>
        <w:t>holy</w:t>
      </w:r>
      <w:r>
        <w:rPr>
          <w:lang w:val="en_US" w:bidi="en_US"/>
        </w:rPr>
        <w:t xml:space="preserve"> because they are dedicated to God. They are also </w:t>
      </w:r>
      <w:r>
        <w:rPr>
          <w:i/>
          <w:lang w:val="en_US" w:bidi="en_US"/>
        </w:rPr>
        <w:t>holy</w:t>
      </w:r>
      <w:r>
        <w:rPr>
          <w:lang w:val="en_US" w:bidi="en_US"/>
        </w:rPr>
        <w:t xml:space="preserve"> because they are pure. In some languages the term for </w:t>
      </w:r>
      <w:r>
        <w:rPr>
          <w:i/>
          <w:lang w:val="en_US" w:bidi="en_US"/>
        </w:rPr>
        <w:t>angels</w:t>
      </w:r>
      <w:r>
        <w:rPr>
          <w:lang w:val="en_US" w:bidi="en_US"/>
        </w:rPr>
        <w:t xml:space="preserve"> already includes one of these ideas.</w:t>
      </w:r>
    </w:p>
    <w:p>
      <w:pPr/>
      <w:r>
        <w:rPr>
          <w:lang w:val="en_US" w:bidi="en_US"/>
        </w:rPr>
      </w:r>
      <w:r>
        <w:rPr>
          <w:lang w:val="en_US" w:bidi="en_US"/>
        </w:rPr>
        <w:t xml:space="preserve">Some ways to translate </w:t>
      </w:r>
      <w:r>
        <w:rPr>
          <w:i/>
          <w:lang w:val="en_US" w:bidi="en_US"/>
        </w:rPr>
        <w:t>holy angels</w:t>
      </w:r>
      <w:r>
        <w:rPr>
          <w:lang w:val="en_US" w:bidi="en_US"/>
        </w:rPr>
        <w:t xml:space="preserve"> here are:</w:t>
      </w:r>
    </w:p>
    <w:p>
      <w:pPr>
        <w:pStyle w:val="ListBullet"/>
        <w:spacing w:line="240" w:lineRule="auto"/>
        <w:ind w:left="720"/>
      </w:pPr>
      <w:r>
        <w:rPr>
          <w:lang w:val="en_US" w:bidi="en_US"/>
        </w:rPr>
      </w:r>
      <w:r>
        <w:rPr>
          <w:lang w:val="en_US" w:bidi="en_US"/>
        </w:rPr>
        <w:t>Use a descriptive word or phrase. For example:</w:t>
      </w:r>
      <w:r>
        <w:rPr>
          <w:lang w:val="en_US" w:bidi="en_US"/>
        </w:rPr>
        <w:t>messengers from God/heaven</w:t>
      </w:r>
      <w:r>
        <w:rPr>
          <w:lang w:val="en_US" w:bidi="en_US"/>
        </w:rPr>
        <w:t>good/holy spirit-beings</w:t>
      </w:r>
    </w:p>
    <w:p>
      <w:pPr>
        <w:pStyle w:val="ListBullet"/>
        <w:spacing w:line="240" w:lineRule="auto"/>
        <w:ind w:left="720"/>
      </w:pPr>
      <w:r>
        <w:rPr>
          <w:lang w:val="en_US" w:bidi="en_US"/>
        </w:rPr>
      </w:r>
      <w:r>
        <w:rPr>
          <w:lang w:val="en_US" w:bidi="en_US"/>
        </w:rPr>
        <w:t>Use a local term that fits the biblical meaning.</w:t>
      </w:r>
    </w:p>
    <w:p>
      <w:pPr>
        <w:pStyle w:val="ListBullet"/>
        <w:spacing w:line="240" w:lineRule="auto"/>
        <w:ind w:left="720"/>
      </w:pPr>
      <w:r>
        <w:rPr>
          <w:lang w:val="en_US" w:bidi="en_US"/>
        </w:rPr>
      </w:r>
      <w:r>
        <w:rPr>
          <w:lang w:val="en_US" w:bidi="en_US"/>
        </w:rPr>
        <w:t xml:space="preserve">Use a borrowed term or a transliterated word for “angel” that is already being used by churches in the area. If you use this term, you may need to indicate the meaning and add the idea of </w:t>
      </w:r>
      <w:r>
        <w:rPr>
          <w:i/>
          <w:lang w:val="en_US" w:bidi="en_US"/>
        </w:rPr>
        <w:t>holy</w:t>
      </w:r>
      <w:r>
        <w:rPr>
          <w:lang w:val="en_US" w:bidi="en_US"/>
        </w:rPr>
        <w:t>. For example:</w:t>
      </w:r>
      <w:r>
        <w:rPr>
          <w:u w:val="single"/>
          <w:lang w:val="en_US" w:bidi="en_US"/>
        </w:rPr>
        <w:t>angelos</w:t>
      </w:r>
      <w:r>
        <w:rPr>
          <w:lang w:val="en_US" w:bidi="en_US"/>
        </w:rPr>
        <w:t xml:space="preserve"> messengers from God</w:t>
      </w:r>
      <w:r>
        <w:rPr>
          <w:lang w:val="en_US" w:bidi="en_US"/>
        </w:rPr>
        <w:t xml:space="preserve">sacred/holy </w:t>
      </w:r>
      <w:r>
        <w:rPr>
          <w:u w:val="single"/>
          <w:lang w:val="en_US" w:bidi="en_US"/>
        </w:rPr>
        <w:t>angelos</w:t>
      </w:r>
      <w:r>
        <w:rPr>
          <w:lang w:val="en_US" w:bidi="en_US"/>
        </w:rPr>
        <w:t xml:space="preserve"> spirits</w:t>
      </w:r>
    </w:p>
    <w:p>
      <w:pPr/>
      <w:r>
        <w:rPr>
          <w:lang w:val="en_US" w:bidi="en_US"/>
        </w:rPr>
      </w:r>
      <w:r>
        <w:rPr>
          <w:lang w:val="en_US" w:bidi="en_US"/>
        </w:rPr>
        <w:t>Be sure that your term for “angel” is different from your terms for “prophet” and “apostle.” See angel, Meaning 1, in the Glossary for a chart that shows the differences in these three terms.</w:t>
      </w:r>
    </w:p>
    <w:p>
      <w:pPr>
        <w:pStyle w:val="Heading6"/>
      </w:pPr>
      <w:r>
        <w:rPr>
          <w:b/>
          <w:lang w:val="en_US" w:bidi="en_US"/>
        </w:rPr>
        <w:t>General Comment on 9:26a–d</w:t>
      </w:r>
    </w:p>
    <w:p>
      <w:pPr/>
      <w:r>
        <w:rPr>
          <w:lang w:val="en_US" w:bidi="en_US"/>
        </w:rPr>
      </w:r>
      <w:r>
        <w:rPr>
          <w:lang w:val="en_US" w:bidi="en_US"/>
        </w:rPr>
        <w:t>In 9:26a, Jesus referred to himself with the forms “Me” and “My.” In 9:26c–d he purposely used different forms and spoke of himself as the “Son of Man” and “he.” If this is confusing in your language, you may need to use forms such as “me” and “my” in the whole verse. For example:</w:t>
      </w:r>
    </w:p>
    <w:p>
      <w:pPr/>
      <w:r>
        <w:rPr>
          <w:lang w:val="en_US" w:bidi="en_US"/>
        </w:rPr>
      </w:r>
      <w:r>
        <w:rPr>
          <w:lang w:val="en_US" w:bidi="en_US"/>
        </w:rPr>
        <w:t>If a person is ashamed of me and my message in these adulterous and sinful days, I, the Son of Man, will be ashamed of that person when I return in my glory and in the glory of the Father and the holy angels. (NLT96)</w:t>
      </w:r>
      <w:r>
        <w:rPr>
          <w:lang w:val="en_US" w:bidi="en_US"/>
        </w:rPr>
      </w:r>
      <w:r>
        <w:rPr>
          <w:lang w:val="en_US" w:bidi="en_US"/>
        </w:rPr>
      </w:r>
    </w:p>
    <w:p>
      <w:pPr/>
      <w:r>
        <w:rPr>
          <w:lang w:val="en_US" w:bidi="en_US"/>
        </w:rPr>
      </w:r>
    </w:p>
    <w:p>
      <w:pPr>
        <w:pStyle w:val="Heading2"/>
      </w:pPr>
      <w:r>
        <w:rPr>
          <w:lang w:val="en_US" w:bidi="en_US"/>
        </w:rPr>
        <w:t>Luke 9:27</w:t>
      </w:r>
      <w:r>
        <w:rPr>
          <w:lang w:val="en_US" w:bidi="en_US"/>
        </w:rPr>
      </w:r>
    </w:p>
    <w:p>
      <w:pPr>
        <w:pStyle w:val="Heading4"/>
      </w:pPr>
      <w:r>
        <w:rPr>
          <w:lang w:val="en_US" w:bidi="en_US"/>
        </w:rPr>
        <w:t>Section 9:23–27: Jesus spoke about what a person must do to be his disciple</w:t>
      </w:r>
    </w:p>
    <w:p>
      <w:pPr/>
      <w:r>
        <w:rPr>
          <w:lang w:val="en_US" w:bidi="en_US"/>
        </w:rPr>
      </w:r>
      <w:r>
        <w:rPr>
          <w:lang w:val="en_US" w:bidi="en_US"/>
        </w:rPr>
        <w:t>In the preceding section Jesus was speaking to his disciples. This section is addressed to “all.” According to the parallel passage in Mark, Jesus called the crowd of people who were there to come and listen to him. Luke does not make this detail explicit, but it is implied by the word “all.” So in these verses Jesus was speaking to the crowd, as well as to his disciples. This meant that most of the people to whom Jesus spoke were not his followers.</w:t>
      </w:r>
    </w:p>
    <w:p>
      <w:pPr/>
      <w:r>
        <w:rPr>
          <w:lang w:val="en_US" w:bidi="en_US"/>
        </w:rPr>
      </w:r>
      <w:r>
        <w:rPr>
          <w:lang w:val="en_US" w:bidi="en_US"/>
        </w:rPr>
        <w:t>In 9:23 Jesus told the people what a person must do in order to be his disciple. A person must deny himself, take up his cross every day, and follow Jesus. In the next verses (9:24–26) Jesus explained why a person must do this. Sometimes a person chooses not to follow Jesus because he wants to avoid death and shame in the present life. If, for that reason, he does not follow Jesus, he will be shamed in the future at the final judgment. He will forfeit true life with God. By contrast, a person who chooses to follow Christ may lose his present life, but he will gain true life with God.</w:t>
      </w:r>
    </w:p>
    <w:p>
      <w:pPr/>
      <w:r>
        <w:rPr>
          <w:lang w:val="en_US" w:bidi="en_US"/>
        </w:rPr>
      </w:r>
      <w:r>
        <w:rPr>
          <w:lang w:val="en_US" w:bidi="en_US"/>
        </w:rPr>
        <w:t>It is good to translate this section before you decide on a heading for it. Some other headings for this section are:</w:t>
      </w:r>
    </w:p>
    <w:p>
      <w:pPr/>
      <w:r>
        <w:rPr>
          <w:lang w:val="en_US" w:bidi="en_US"/>
        </w:rPr>
      </w:r>
      <w:r>
        <w:rPr>
          <w:lang w:val="en_US" w:bidi="en_US"/>
        </w:rPr>
        <w:t>Jesus told people how to be his true disciples</w:t>
      </w:r>
    </w:p>
    <w:p>
      <w:pPr/>
      <w:r>
        <w:rPr>
          <w:lang w:val="en_US" w:bidi="en_US"/>
        </w:rPr>
      </w:r>
      <w:r>
        <w:rPr>
          <w:lang w:val="en_US" w:bidi="en_US"/>
        </w:rPr>
        <w:t>The Life of a Person who Becomes Jesus’ Disciple</w:t>
      </w:r>
    </w:p>
    <w:p>
      <w:pPr/>
      <w:r>
        <w:rPr>
          <w:lang w:val="en_US" w:bidi="en_US"/>
        </w:rPr>
      </w:r>
      <w:r>
        <w:rPr>
          <w:lang w:val="en_US" w:bidi="en_US"/>
        </w:rPr>
        <w:t>What it Means to Follow Jesus</w:t>
      </w:r>
    </w:p>
    <w:p>
      <w:pPr/>
      <w:r>
        <w:rPr>
          <w:lang w:val="en_US" w:bidi="en_US"/>
        </w:rPr>
      </w:r>
      <w:r>
        <w:rPr>
          <w:lang w:val="en_US" w:bidi="en_US"/>
        </w:rPr>
        <w:t>There are parallel passages for this section in Matthew 16:24–28 and Mark 8:34–9:1. See also Luke 14:27, 17:33; John 12:25.</w:t>
      </w:r>
    </w:p>
    <w:p>
      <w:pPr>
        <w:pStyle w:val="Heading5"/>
      </w:pPr>
      <w:r>
        <w:rPr>
          <w:lang w:val="en_US" w:bidi="en_US"/>
        </w:rPr>
        <w:t>9:27a</w:t>
      </w:r>
    </w:p>
    <w:p>
      <w:pPr/>
      <w:r>
        <w:rPr>
          <w:lang w:val="en_US" w:bidi="en_US"/>
        </w:rPr>
      </w:r>
      <w:r>
        <w:rPr>
          <w:b/>
          <w:lang w:val="en_US" w:bidi="en_US"/>
        </w:rPr>
        <w:t>But I tell you truthfully, some who are standing here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can rely on this truth: Some of you people who are standing here</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xml:space="preserve"> that some of you here today</w:t>
      </w:r>
    </w:p>
    <w:p>
      <w:pPr/>
      <w:r>
        <w:rPr>
          <w:lang w:val="en_US" w:bidi="en_US"/>
        </w:rPr>
      </w:r>
      <w:r>
        <w:rPr>
          <w:b/>
          <w:lang w:val="en_US" w:bidi="en_US"/>
        </w:rPr>
        <w:t>But I tell you truthfully:</w:t>
      </w:r>
      <w:r>
        <w:rPr>
          <w:lang w:val="en_US" w:bidi="en_US"/>
        </w:rPr>
        <w:t xml:space="preserve"> Jesus often used the words that the BSB translates as </w:t>
      </w:r>
      <w:r>
        <w:rPr>
          <w:i/>
          <w:lang w:val="en_US" w:bidi="en_US"/>
        </w:rPr>
        <w:t>I tell you truthfully</w:t>
      </w:r>
      <w:r>
        <w:rPr>
          <w:lang w:val="en_US" w:bidi="en_US"/>
        </w:rPr>
        <w:t xml:space="preserve"> to introduce a statement that he wanted to emphasize. It indicates that the statement was important and totally reliable, and people should listen carefully to it. Sometimes it introduces a serious warning or prediction. Here Jesus predicted the coming of the kingdom of God.</w:t>
      </w:r>
    </w:p>
    <w:p>
      <w:pPr/>
      <w:r>
        <w:rPr>
          <w:lang w:val="en_US" w:bidi="en_US"/>
        </w:rPr>
      </w:r>
      <w:r>
        <w:rPr>
          <w:lang w:val="en_US" w:bidi="en_US"/>
        </w:rPr>
        <w:t>See how you translated this expression in 4:24a. In some languages you may need to translate the phrase differently in different contexts. Do not translate in a way that implies that Jesus had not been telling the truth at other times.</w:t>
      </w:r>
    </w:p>
    <w:p>
      <w:pPr/>
      <w:r>
        <w:rPr>
          <w:lang w:val="en_US" w:bidi="en_US"/>
        </w:rPr>
      </w:r>
      <w:r>
        <w:rPr>
          <w:lang w:val="en_US" w:bidi="en_US"/>
        </w:rPr>
        <w:t>Here are some ways to translate the phrase in this context:</w:t>
      </w:r>
    </w:p>
    <w:p>
      <w:pPr/>
      <w:r>
        <w:rPr>
          <w:lang w:val="en_US" w:bidi="en_US"/>
        </w:rPr>
      </w:r>
      <w:r>
        <w:rPr>
          <w:lang w:val="en_US" w:bidi="en_US"/>
        </w:rPr>
        <w:t>I assure you that (GNT)</w:t>
      </w:r>
    </w:p>
    <w:p>
      <w:pPr/>
      <w:r>
        <w:rPr>
          <w:lang w:val="en_US" w:bidi="en_US"/>
        </w:rPr>
      </w:r>
      <w:r>
        <w:rPr>
          <w:lang w:val="en_US" w:bidi="en_US"/>
        </w:rPr>
        <w:t>I can promise you that</w:t>
      </w:r>
    </w:p>
    <w:p>
      <w:pPr/>
      <w:r>
        <w:rPr>
          <w:lang w:val="en_US" w:bidi="en_US"/>
        </w:rPr>
      </w:r>
      <w:r>
        <w:rPr>
          <w:lang w:val="en_US" w:bidi="en_US"/>
        </w:rPr>
        <w:t>I can guarantee this truth (GW)</w:t>
      </w:r>
    </w:p>
    <w:p>
      <w:pPr/>
      <w:r>
        <w:rPr>
          <w:lang w:val="en_US" w:bidi="en_US"/>
        </w:rPr>
      </w:r>
      <w:r>
        <w:rPr>
          <w:b/>
          <w:lang w:val="en_US" w:bidi="en_US"/>
        </w:rPr>
        <w:t>some who are standing here:</w:t>
      </w:r>
      <w:r>
        <w:rPr>
          <w:lang w:val="en_US" w:bidi="en_US"/>
        </w:rPr>
        <w:t xml:space="preserve"> The phrase </w:t>
      </w:r>
      <w:r>
        <w:rPr>
          <w:i/>
          <w:lang w:val="en_US" w:bidi="en_US"/>
        </w:rPr>
        <w:t>some who are standing here</w:t>
      </w:r>
      <w:r>
        <w:rPr>
          <w:lang w:val="en_US" w:bidi="en_US"/>
        </w:rPr>
        <w:t xml:space="preserve"> refers to some of Jesus’ disciples or people in the crowd that Jesus was talking to.</w:t>
      </w:r>
    </w:p>
    <w:p>
      <w:pPr>
        <w:pStyle w:val="Heading5"/>
      </w:pPr>
      <w:r>
        <w:rPr>
          <w:lang w:val="en_US" w:bidi="en_US"/>
        </w:rPr>
        <w:t>9:27b</w:t>
      </w:r>
    </w:p>
    <w:p>
      <w:pPr/>
      <w:r>
        <w:rPr>
          <w:lang w:val="en_US" w:bidi="en_US"/>
        </w:rPr>
      </w:r>
      <w:r>
        <w:rPr>
          <w:b/>
          <w:lang w:val="en_US" w:bidi="en_US"/>
        </w:rPr>
        <w:t>will not taste death before they see the kingdom of God.”</w:t>
      </w:r>
    </w:p>
    <w:p>
      <w:pPr>
        <w:pStyle w:val="ListBullet"/>
        <w:spacing w:line="240" w:lineRule="auto"/>
        <w:ind w:left="720"/>
      </w:pPr>
      <w:r>
        <w:rPr>
          <w:lang w:val="en_US" w:bidi="en_US"/>
        </w:rPr>
      </w:r>
      <w:r>
        <w:rPr>
          <w:lang w:val="en_US" w:bidi="en_US"/>
        </w:rPr>
        <w:t>will not die before you see/experience God ruling as king.”</w:t>
      </w:r>
    </w:p>
    <w:p>
      <w:pPr>
        <w:pStyle w:val="ListBullet"/>
        <w:spacing w:line="240" w:lineRule="auto"/>
        <w:ind w:left="720"/>
      </w:pPr>
      <w:r>
        <w:rPr>
          <w:lang w:val="en_US" w:bidi="en_US"/>
        </w:rPr>
      </w:r>
      <w:r>
        <w:rPr>
          <w:lang w:val="en_US" w:bidi="en_US"/>
        </w:rPr>
        <w:t xml:space="preserve">will see God reigning </w:t>
      </w:r>
      <w:r>
        <w:rPr>
          <w:lang w:val="en_US" w:bidi="en_US"/>
        </w:rPr>
        <w:t>over his people</w:t>
      </w:r>
      <w:r>
        <w:rPr>
          <w:lang w:val="en_US" w:bidi="en_US"/>
        </w:rPr>
        <w:t xml:space="preserve"> before you die.”</w:t>
      </w:r>
    </w:p>
    <w:p>
      <w:pPr/>
      <w:r>
        <w:rPr>
          <w:lang w:val="en_US" w:bidi="en_US"/>
        </w:rPr>
      </w:r>
      <w:r>
        <w:rPr>
          <w:b/>
          <w:lang w:val="en_US" w:bidi="en_US"/>
        </w:rPr>
        <w:t>will not taste death before they see the kingdom of God:</w:t>
      </w:r>
      <w:r>
        <w:rPr>
          <w:lang w:val="en_US" w:bidi="en_US"/>
        </w:rPr>
        <w:t xml:space="preserve"> The phrase </w:t>
      </w:r>
      <w:r>
        <w:rPr>
          <w:i/>
          <w:lang w:val="en_US" w:bidi="en_US"/>
        </w:rPr>
        <w:t>will not taste death</w:t>
      </w:r>
      <w:r>
        <w:rPr>
          <w:lang w:val="en_US" w:bidi="en_US"/>
        </w:rPr>
        <w:t xml:space="preserve"> is an idiom. Another way to translate it is:</w:t>
      </w:r>
    </w:p>
    <w:p>
      <w:pPr/>
      <w:r>
        <w:rPr>
          <w:lang w:val="en_US" w:bidi="en_US"/>
        </w:rPr>
      </w:r>
      <w:r>
        <w:rPr>
          <w:lang w:val="en_US" w:bidi="en_US"/>
        </w:rPr>
        <w:t>will not die until they have seen the kingdom of God (GNT).</w:t>
      </w:r>
    </w:p>
    <w:p>
      <w:pPr/>
      <w:r>
        <w:rPr>
          <w:lang w:val="en_US" w:bidi="en_US"/>
        </w:rPr>
      </w:r>
      <w:r>
        <w:rPr>
          <w:lang w:val="en_US" w:bidi="en_US"/>
        </w:rPr>
        <w:t>In some languages it may be more natural to translate this as a positive statement. For example:</w:t>
      </w:r>
    </w:p>
    <w:p>
      <w:pPr/>
      <w:r>
        <w:rPr>
          <w:lang w:val="en_US" w:bidi="en_US"/>
        </w:rPr>
      </w:r>
      <w:r>
        <w:rPr>
          <w:lang w:val="en_US" w:bidi="en_US"/>
        </w:rPr>
        <w:t>will see the kingdom of God before they die (NCV)</w:t>
      </w:r>
    </w:p>
    <w:p>
      <w:pPr/>
      <w:r>
        <w:rPr>
          <w:lang w:val="en_US" w:bidi="en_US"/>
        </w:rPr>
      </w:r>
      <w:r>
        <w:rPr>
          <w:b/>
          <w:lang w:val="en_US" w:bidi="en_US"/>
        </w:rPr>
        <w:t>before they see the kingdom of God:</w:t>
      </w:r>
      <w:r>
        <w:rPr>
          <w:lang w:val="en_US" w:bidi="en_US"/>
        </w:rPr>
        <w:t xml:space="preserve"> This clause indicates that people will see God establish his rule over his people.</w:t>
      </w:r>
    </w:p>
    <w:p>
      <w:pPr/>
      <w:r>
        <w:rPr>
          <w:lang w:val="en_US" w:bidi="en_US"/>
        </w:rPr>
      </w:r>
      <w:r>
        <w:rPr>
          <w:lang w:val="en_US" w:bidi="en_US"/>
        </w:rPr>
        <w:t>Scholars have different ideas about what event Jesus referred to here. He may have been referring to:</w:t>
      </w:r>
    </w:p>
    <w:p>
      <w:pPr>
        <w:pStyle w:val="ListNumber"/>
        <w:numPr>
          <w:ilvl w:val="0"/>
          <w:numId w:val="192"/>
        </w:numPr>
        <w:spacing w:line="240" w:lineRule="auto"/>
        <w:ind w:left="720"/>
      </w:pPr>
      <w:r>
        <w:rPr>
          <w:lang w:val="en_US" w:bidi="en_US"/>
        </w:rPr>
      </w:r>
      <w:r>
        <w:rPr>
          <w:lang w:val="en_US" w:bidi="en_US"/>
        </w:rPr>
        <w:t>the time when several of his disciples would see God glorify Jesus on the mountain at the Transfiguration (Luke 9:28–36);</w:t>
      </w:r>
    </w:p>
    <w:p>
      <w:pPr>
        <w:pStyle w:val="ListNumber"/>
        <w:spacing w:line="240" w:lineRule="auto"/>
        <w:ind w:left="720"/>
      </w:pPr>
      <w:r>
        <w:rPr>
          <w:lang w:val="en_US" w:bidi="en_US"/>
        </w:rPr>
      </w:r>
      <w:r>
        <w:rPr>
          <w:lang w:val="en_US" w:bidi="en_US"/>
        </w:rPr>
        <w:t>the time when Jesus would die, and God would powerfully raise him from the dead (Mark chapters 15–16);</w:t>
      </w:r>
    </w:p>
    <w:p>
      <w:pPr>
        <w:pStyle w:val="ListNumber"/>
        <w:spacing w:line="240" w:lineRule="auto"/>
        <w:ind w:left="720"/>
      </w:pPr>
      <w:r>
        <w:rPr>
          <w:lang w:val="en_US" w:bidi="en_US"/>
        </w:rPr>
      </w:r>
      <w:r>
        <w:rPr>
          <w:lang w:val="en_US" w:bidi="en_US"/>
        </w:rPr>
        <w:t>the time when the Holy Spirit would come with power (Acts 2:1–4).</w:t>
      </w:r>
    </w:p>
    <w:p>
      <w:pPr/>
      <w:r>
        <w:rPr>
          <w:lang w:val="en_US" w:bidi="en_US"/>
        </w:rPr>
      </w:r>
      <w:r>
        <w:rPr>
          <w:lang w:val="en_US" w:bidi="en_US"/>
        </w:rPr>
        <w:t>Since the text does not specify exactly what Jesus was referring to, you should translate in a general way. In some cultures it may not be natural to speak of people “seeing” a kingdom. In your translation of this clause, you will need to be especially careful to ask local speakers what this implies. Do not use a phrase that would imply that God was not already sovereign. Jesus was referring to a new way that God would establish his kingdom and rule as king.</w:t>
      </w:r>
    </w:p>
    <w:p>
      <w:pPr/>
      <w:r>
        <w:rPr>
          <w:lang w:val="en_US" w:bidi="en_US"/>
        </w:rPr>
      </w:r>
      <w:r>
        <w:rPr>
          <w:lang w:val="en_US" w:bidi="en_US"/>
        </w:rPr>
        <w:t>Another way to translate this may be:</w:t>
      </w:r>
    </w:p>
    <w:p>
      <w:pPr/>
      <w:r>
        <w:rPr>
          <w:lang w:val="en_US" w:bidi="en_US"/>
        </w:rPr>
      </w:r>
      <w:r>
        <w:rPr>
          <w:lang w:val="en_US" w:bidi="en_US"/>
        </w:rPr>
        <w:t>before they experience God ruling</w:t>
      </w:r>
    </w:p>
    <w:p>
      <w:pPr/>
      <w:r>
        <w:rPr>
          <w:lang w:val="en_US" w:bidi="en_US"/>
        </w:rPr>
      </w:r>
      <w:r>
        <w:rPr>
          <w:b/>
          <w:lang w:val="en_US" w:bidi="en_US"/>
        </w:rPr>
        <w:t>the kingdom of God:</w:t>
      </w:r>
      <w:r>
        <w:rPr>
          <w:lang w:val="en_US" w:bidi="en_US"/>
        </w:rPr>
        <w:t xml:space="preserve"> The phrase </w:t>
      </w:r>
      <w:r>
        <w:rPr>
          <w:i/>
          <w:lang w:val="en_US" w:bidi="en_US"/>
        </w:rPr>
        <w:t>the kingdom of God</w:t>
      </w:r>
      <w:r>
        <w:rPr>
          <w:lang w:val="en_US" w:bidi="en_US"/>
        </w:rPr>
        <w:t xml:space="preserve"> also occurs in 9:2. See the note there for more information.</w:t>
      </w:r>
      <w:r>
        <w:rPr>
          <w:lang w:val="en_US" w:bidi="en_US"/>
        </w:rPr>
      </w:r>
      <w:r>
        <w:rPr>
          <w:lang w:val="en_US" w:bidi="en_US"/>
        </w:rPr>
      </w:r>
    </w:p>
    <w:p>
      <w:pPr/>
      <w:r>
        <w:rPr>
          <w:lang w:val="en_US" w:bidi="en_US"/>
        </w:rPr>
      </w:r>
    </w:p>
    <w:p>
      <w:pPr>
        <w:pStyle w:val="Heading2"/>
      </w:pPr>
      <w:r>
        <w:rPr>
          <w:lang w:val="en_US" w:bidi="en_US"/>
        </w:rPr>
        <w:t>Luke 9:28</w:t>
      </w:r>
      <w:r>
        <w:rPr>
          <w:lang w:val="en_US" w:bidi="en_US"/>
        </w:rPr>
      </w:r>
    </w:p>
    <w:p>
      <w:pPr>
        <w:pStyle w:val="Heading4"/>
      </w:pPr>
      <w:r>
        <w:rPr>
          <w:lang w:val="en_US" w:bidi="en_US"/>
        </w:rPr>
        <w:t>Section 9:28–36: Three disciples saw Jesus’ glory</w:t>
      </w:r>
    </w:p>
    <w:p>
      <w:pPr/>
      <w:r>
        <w:rPr>
          <w:lang w:val="en_US" w:bidi="en_US"/>
        </w:rPr>
      </w:r>
      <w:r>
        <w:rPr>
          <w:lang w:val="en_US" w:bidi="en_US"/>
        </w:rPr>
        <w:t>In 9:26 Jesus spoke about the time when he would return to earth and people would see his glory. Then in 9:28–36 God caused Jesus to be glorified for a short time. Peter, James, and John saw this. 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Some other examples of headings for this section are:</w:t>
      </w:r>
    </w:p>
    <w:p>
      <w:pPr/>
      <w:r>
        <w:rPr>
          <w:lang w:val="en_US" w:bidi="en_US"/>
        </w:rPr>
      </w:r>
      <w:r>
        <w:rPr>
          <w:lang w:val="en_US" w:bidi="en_US"/>
        </w:rPr>
        <w:t>Jesus Talks with Moses and Elijah (NCV)</w:t>
      </w:r>
    </w:p>
    <w:p>
      <w:pPr/>
      <w:r>
        <w:rPr>
          <w:lang w:val="en_US" w:bidi="en_US"/>
        </w:rPr>
      </w:r>
      <w:r>
        <w:rPr>
          <w:lang w:val="en_US" w:bidi="en_US"/>
        </w:rPr>
        <w:t>God showed three disciples who Jesus really was</w:t>
      </w:r>
    </w:p>
    <w:p>
      <w:pPr/>
      <w:r>
        <w:rPr>
          <w:lang w:val="en_US" w:bidi="en_US"/>
        </w:rPr>
      </w:r>
      <w:r>
        <w:rPr>
          <w:lang w:val="en_US" w:bidi="en_US"/>
        </w:rPr>
        <w:t>There are parallel passages for this section in Matthew 17:1–12 and Mark 9:2–13.</w:t>
      </w:r>
    </w:p>
    <w:p>
      <w:pPr>
        <w:pStyle w:val="Heading5"/>
      </w:pPr>
      <w:r>
        <w:rPr>
          <w:lang w:val="en_US" w:bidi="en_US"/>
        </w:rPr>
        <w:t>9:28a</w:t>
      </w:r>
    </w:p>
    <w:p>
      <w:pPr/>
      <w:r>
        <w:rPr>
          <w:lang w:val="en_US" w:bidi="en_US"/>
        </w:rPr>
      </w:r>
      <w:r>
        <w:rPr>
          <w:b/>
          <w:lang w:val="en_US" w:bidi="en_US"/>
        </w:rPr>
        <w:t>About eight days after Jesus had said these things,</w:t>
      </w:r>
    </w:p>
    <w:p>
      <w:pPr>
        <w:pStyle w:val="ListBullet"/>
        <w:spacing w:line="240" w:lineRule="auto"/>
        <w:ind w:left="720"/>
      </w:pPr>
      <w:r>
        <w:rPr>
          <w:lang w:val="en_US" w:bidi="en_US"/>
        </w:rPr>
      </w:r>
      <w:r>
        <w:rPr>
          <w:lang w:val="en_US" w:bidi="en_US"/>
        </w:rPr>
        <w:t>¶ About eight days after Jesus had said these things,</w:t>
      </w:r>
    </w:p>
    <w:p>
      <w:pPr>
        <w:pStyle w:val="ListBullet"/>
        <w:spacing w:line="240" w:lineRule="auto"/>
        <w:ind w:left="720"/>
      </w:pPr>
      <w:r>
        <w:rPr>
          <w:lang w:val="en_US" w:bidi="en_US"/>
        </w:rPr>
      </w:r>
      <w:r>
        <w:rPr>
          <w:lang w:val="en_US" w:bidi="en_US"/>
        </w:rPr>
        <w:t>¶ About a week after he had said this,</w:t>
      </w:r>
    </w:p>
    <w:p>
      <w:pPr/>
      <w:r>
        <w:rPr>
          <w:lang w:val="en_US" w:bidi="en_US"/>
        </w:rPr>
      </w:r>
      <w:r>
        <w:rPr>
          <w:b/>
          <w:lang w:val="en_US" w:bidi="en_US"/>
        </w:rPr>
        <w:t>About eight days after Jesus had said these things:</w:t>
      </w:r>
      <w:r>
        <w:rPr>
          <w:lang w:val="en_US" w:bidi="en_US"/>
        </w:rPr>
        <w:t xml:space="preserve"> This clause indicates that about eight days passed after Jesus spoke the words in 9:27. Then the events of this paragraph began.</w:t>
      </w:r>
      <w:r>
        <w:rPr>
          <w:lang w:val="en_US" w:bidi="en_US"/>
        </w:rPr>
        <w:t>According to the parallel passages in Matthew and Mark, six days passed between these two events. The time period indicated by Matthew and Mark is probably the exact number of days between the two events, whereas Luke probably included the day on which Jesus spoke the words of 9:27 and the day on which the transfiguration occurred.</w:t>
      </w:r>
      <w:r>
        <w:rPr>
          <w:lang w:val="en_US" w:bidi="en_US"/>
        </w:rPr>
        <w:t xml:space="preserve"> In some languages it may be more natural to translate this as the GNT has done:</w:t>
      </w:r>
    </w:p>
    <w:p>
      <w:pPr/>
      <w:r>
        <w:rPr>
          <w:lang w:val="en_US" w:bidi="en_US"/>
        </w:rPr>
      </w:r>
      <w:r>
        <w:rPr>
          <w:lang w:val="en_US" w:bidi="en_US"/>
        </w:rPr>
        <w:t>About a week after he had said these things, Jesus…</w:t>
      </w:r>
    </w:p>
    <w:p>
      <w:pPr>
        <w:pStyle w:val="Heading5"/>
      </w:pPr>
      <w:r>
        <w:rPr>
          <w:lang w:val="en_US" w:bidi="en_US"/>
        </w:rPr>
        <w:t>9:28b</w:t>
      </w:r>
    </w:p>
    <w:p>
      <w:pPr/>
      <w:r>
        <w:rPr>
          <w:lang w:val="en_US" w:bidi="en_US"/>
        </w:rPr>
      </w:r>
      <w:r>
        <w:rPr>
          <w:b/>
          <w:lang w:val="en_US" w:bidi="en_US"/>
        </w:rPr>
        <w:t>He took with Him Peter, John, and James,</w:t>
      </w:r>
    </w:p>
    <w:p>
      <w:pPr>
        <w:pStyle w:val="ListBullet"/>
        <w:spacing w:line="240" w:lineRule="auto"/>
        <w:ind w:left="720"/>
      </w:pPr>
      <w:r>
        <w:rPr>
          <w:lang w:val="en_US" w:bidi="en_US"/>
        </w:rPr>
      </w:r>
      <w:r>
        <w:rPr>
          <w:lang w:val="en_US" w:bidi="en_US"/>
        </w:rPr>
        <w:t>he told/asked Peter, John, and James to accompany him</w:t>
      </w:r>
    </w:p>
    <w:p>
      <w:pPr>
        <w:pStyle w:val="ListBullet"/>
        <w:spacing w:line="240" w:lineRule="auto"/>
        <w:ind w:left="720"/>
      </w:pPr>
      <w:r>
        <w:rPr>
          <w:lang w:val="en_US" w:bidi="en_US"/>
        </w:rPr>
      </w:r>
      <w:r>
        <w:rPr>
          <w:lang w:val="en_US" w:bidi="en_US"/>
        </w:rPr>
        <w:t>Jesus</w:t>
      </w:r>
      <w:r>
        <w:rPr>
          <w:lang w:val="en_US" w:bidi="en_US"/>
        </w:rPr>
        <w:t xml:space="preserve"> brought Peter, John, and James along with him,</w:t>
      </w:r>
    </w:p>
    <w:p>
      <w:pPr/>
      <w:r>
        <w:rPr>
          <w:lang w:val="en_US" w:bidi="en_US"/>
        </w:rPr>
      </w:r>
      <w:r>
        <w:rPr>
          <w:b/>
          <w:lang w:val="en_US" w:bidi="en_US"/>
        </w:rPr>
        <w:t>He took with Him Peter, John, and James:</w:t>
      </w:r>
      <w:r>
        <w:rPr>
          <w:lang w:val="en_US" w:bidi="en_US"/>
        </w:rPr>
        <w:t xml:space="preserve"> In this context, the clause </w:t>
      </w:r>
      <w:r>
        <w:rPr>
          <w:i/>
          <w:lang w:val="en_US" w:bidi="en_US"/>
        </w:rPr>
        <w:t>took…with Him</w:t>
      </w:r>
      <w:r>
        <w:rPr>
          <w:lang w:val="en_US" w:bidi="en_US"/>
        </w:rPr>
        <w:t xml:space="preserve"> implies that Jesus asked Peter, John, and James to go with him. They went willingly with Jesus. In some languages, it may be more natural to say:</w:t>
      </w:r>
    </w:p>
    <w:p>
      <w:pPr/>
      <w:r>
        <w:rPr>
          <w:lang w:val="en_US" w:bidi="en_US"/>
        </w:rPr>
      </w:r>
      <w:r>
        <w:rPr>
          <w:lang w:val="en_US" w:bidi="en_US"/>
        </w:rPr>
        <w:t>Jesus told/asked Peter, John, and James to accompany him</w:t>
      </w:r>
    </w:p>
    <w:p>
      <w:pPr/>
      <w:r>
        <w:rPr>
          <w:lang w:val="en_US" w:bidi="en_US"/>
        </w:rPr>
      </w:r>
      <w:r>
        <w:rPr>
          <w:lang w:val="en_US" w:bidi="en_US"/>
        </w:rPr>
        <w:t xml:space="preserve">The verb </w:t>
      </w:r>
      <w:r>
        <w:rPr>
          <w:i/>
          <w:lang w:val="en_US" w:bidi="en_US"/>
        </w:rPr>
        <w:t>took</w:t>
      </w:r>
      <w:r>
        <w:rPr>
          <w:lang w:val="en_US" w:bidi="en_US"/>
        </w:rPr>
        <w:t xml:space="preserve"> is closely connected to the verb phrase “went up” in 9:28c. In some languages it may be more natural to combine these ideas here. For example:</w:t>
      </w:r>
    </w:p>
    <w:p>
      <w:pPr/>
      <w:r>
        <w:rPr>
          <w:lang w:val="en_US" w:bidi="en_US"/>
        </w:rPr>
      </w:r>
      <w:r>
        <w:rPr>
          <w:lang w:val="en_US" w:bidi="en_US"/>
        </w:rPr>
        <w:t>took Peter, John, and James up (NLT)</w:t>
      </w:r>
    </w:p>
    <w:p>
      <w:pPr/>
      <w:r>
        <w:rPr>
          <w:lang w:val="en_US" w:bidi="en_US"/>
        </w:rPr>
      </w:r>
      <w:r>
        <w:rPr>
          <w:lang w:val="en_US" w:bidi="en_US"/>
        </w:rPr>
        <w:t xml:space="preserve">The words </w:t>
      </w:r>
      <w:r>
        <w:rPr>
          <w:i/>
          <w:lang w:val="en_US" w:bidi="en_US"/>
        </w:rPr>
        <w:t>with Him</w:t>
      </w:r>
      <w:r>
        <w:rPr>
          <w:lang w:val="en_US" w:bidi="en_US"/>
        </w:rPr>
        <w:t xml:space="preserve"> may not be necessary in some languages. For example:</w:t>
      </w:r>
    </w:p>
    <w:p>
      <w:pPr/>
      <w:r>
        <w:rPr>
          <w:lang w:val="en_US" w:bidi="en_US"/>
        </w:rPr>
      </w:r>
      <w:r>
        <w:rPr>
          <w:lang w:val="en_US" w:bidi="en_US"/>
        </w:rPr>
        <w:t>he took Peter, John, and James (NCV)</w:t>
      </w:r>
    </w:p>
    <w:p>
      <w:pPr>
        <w:pStyle w:val="Heading5"/>
      </w:pPr>
      <w:r>
        <w:rPr>
          <w:lang w:val="en_US" w:bidi="en_US"/>
        </w:rPr>
        <w:t>9:28c</w:t>
      </w:r>
    </w:p>
    <w:p>
      <w:pPr/>
      <w:r>
        <w:rPr>
          <w:lang w:val="en_US" w:bidi="en_US"/>
        </w:rPr>
      </w:r>
      <w:r>
        <w:rPr>
          <w:b/>
          <w:lang w:val="en_US" w:bidi="en_US"/>
        </w:rPr>
        <w:t>and went up on a mountain to pray.</w:t>
      </w:r>
    </w:p>
    <w:p>
      <w:pPr>
        <w:pStyle w:val="ListBullet"/>
        <w:spacing w:line="240" w:lineRule="auto"/>
        <w:ind w:left="720"/>
      </w:pPr>
      <w:r>
        <w:rPr>
          <w:lang w:val="en_US" w:bidi="en_US"/>
        </w:rPr>
      </w:r>
      <w:r>
        <w:rPr>
          <w:lang w:val="en_US" w:bidi="en_US"/>
        </w:rPr>
        <w:t xml:space="preserve">and climbed a mountain to pray </w:t>
      </w:r>
      <w:r>
        <w:rPr>
          <w:lang w:val="en_US" w:bidi="en_US"/>
        </w:rPr>
        <w:t>to God</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they</w:t>
      </w:r>
      <w:r>
        <w:rPr>
          <w:lang w:val="en_US" w:bidi="en_US"/>
        </w:rPr>
        <w:t xml:space="preserve"> went up a mountain in order for him to pray </w:t>
      </w:r>
      <w:r>
        <w:rPr>
          <w:lang w:val="en_US" w:bidi="en_US"/>
        </w:rPr>
        <w:t>to God</w:t>
      </w:r>
      <w:r>
        <w:rPr>
          <w:lang w:val="en_US" w:bidi="en_US"/>
        </w:rPr>
        <w:t xml:space="preserve"> </w:t>
      </w:r>
      <w:r>
        <w:rPr>
          <w:lang w:val="en_US" w:bidi="en_US"/>
        </w:rPr>
        <w:t>there</w:t>
      </w:r>
      <w:r>
        <w:rPr>
          <w:lang w:val="en_US" w:bidi="en_US"/>
        </w:rPr>
        <w:t>.</w:t>
      </w:r>
    </w:p>
    <w:p>
      <w:pPr/>
      <w:r>
        <w:rPr>
          <w:lang w:val="en_US" w:bidi="en_US"/>
        </w:rPr>
      </w:r>
      <w:r>
        <w:rPr>
          <w:b/>
          <w:lang w:val="en_US" w:bidi="en_US"/>
        </w:rPr>
        <w:t>and went up on a mountain to pray:</w:t>
      </w:r>
      <w:r>
        <w:rPr>
          <w:lang w:val="en_US" w:bidi="en_US"/>
        </w:rPr>
        <w:t xml:space="preserve"> Jesus went up a mountain because he wanted to pray to God there.</w:t>
      </w:r>
      <w:r>
        <w:rPr>
          <w:lang w:val="en_US" w:bidi="en_US"/>
        </w:rPr>
        <w:t>In the Old Testament, God often revealed things to his people on mountains. For example, God revealed his glory to Moses on a mountain. (Moses’ face shone, and in Luke Jesus’ face and appearance changed and became radiant.) God also answered Elijah’s prayer in a powerful way on a mountain.</w:t>
      </w:r>
    </w:p>
    <w:p>
      <w:pPr/>
      <w:r>
        <w:rPr>
          <w:lang w:val="en_US" w:bidi="en_US"/>
        </w:rPr>
      </w:r>
      <w:r>
        <w:rPr>
          <w:b/>
          <w:lang w:val="en_US" w:bidi="en_US"/>
        </w:rPr>
        <w:t>mountain:</w:t>
      </w:r>
      <w:r>
        <w:rPr>
          <w:lang w:val="en_US" w:bidi="en_US"/>
        </w:rPr>
        <w:t xml:space="preserve"> Some scholars believe that this mountain was Mount Hermon (9320 feet or 2814 meters in altitude).</w:t>
      </w:r>
      <w:r>
        <w:rPr>
          <w:lang w:val="en_US" w:bidi="en_US"/>
        </w:rPr>
        <w:t>According to the parallel passage in Mark, Jesus had been in the area of Caesarea Philippi, so some scholars think that the mountain in this passage is Mount Hermon. According to a footnote in the NIV, Mt. Tabor (1800 ft.) is the traditional site of the transfiguration. But Mt. Hermon is a more likely site, since it is higher and closer to Caesarea Philippi. Mt. Tabor also had a fortress located on it, so it would be a less likely choice for a place to pray.</w:t>
      </w:r>
      <w:r>
        <w:rPr>
          <w:lang w:val="en_US" w:bidi="en_US"/>
        </w:rPr>
        <w:t xml:space="preserve"> Mark calls this a “high” mountain (Mark 9:2). Use a term that would be appropriate in your language.</w:t>
      </w:r>
    </w:p>
    <w:p>
      <w:pPr/>
      <w:r>
        <w:rPr>
          <w:lang w:val="en_US" w:bidi="en_US"/>
        </w:rPr>
      </w:r>
      <w:r>
        <w:rPr>
          <w:b/>
          <w:lang w:val="en_US" w:bidi="en_US"/>
        </w:rPr>
        <w:t>pray:</w:t>
      </w:r>
      <w:r>
        <w:rPr>
          <w:lang w:val="en_US" w:bidi="en_US"/>
        </w:rPr>
        <w:t xml:space="preserve"> The same verb that the BSB translates as </w:t>
      </w:r>
      <w:r>
        <w:rPr>
          <w:i/>
          <w:lang w:val="en_US" w:bidi="en_US"/>
        </w:rPr>
        <w:t>pray</w:t>
      </w:r>
      <w:r>
        <w:rPr>
          <w:lang w:val="en_US" w:bidi="en_US"/>
        </w:rPr>
        <w:t xml:space="preserve"> here also occurs in the form “praying” in 9:18a.</w:t>
      </w:r>
      <w:r>
        <w:rPr>
          <w:lang w:val="en_US" w:bidi="en_US"/>
        </w:rPr>
      </w:r>
      <w:r>
        <w:rPr>
          <w:lang w:val="en_US" w:bidi="en_US"/>
        </w:rPr>
      </w:r>
    </w:p>
    <w:p>
      <w:pPr/>
      <w:r>
        <w:rPr>
          <w:lang w:val="en_US" w:bidi="en_US"/>
        </w:rPr>
      </w:r>
    </w:p>
    <w:p>
      <w:pPr>
        <w:pStyle w:val="Heading2"/>
      </w:pPr>
      <w:r>
        <w:rPr>
          <w:lang w:val="en_US" w:bidi="en_US"/>
        </w:rPr>
        <w:t>Luke 9:29</w:t>
      </w:r>
      <w:r>
        <w:rPr>
          <w:lang w:val="en_US" w:bidi="en_US"/>
        </w:rPr>
      </w:r>
    </w:p>
    <w:p>
      <w:pPr>
        <w:pStyle w:val="Heading4"/>
      </w:pPr>
      <w:r>
        <w:rPr>
          <w:lang w:val="en_US" w:bidi="en_US"/>
        </w:rPr>
        <w:t>Section 9:28–36: Three disciples saw Jesus’ glory</w:t>
      </w:r>
    </w:p>
    <w:p>
      <w:pPr/>
      <w:r>
        <w:rPr>
          <w:lang w:val="en_US" w:bidi="en_US"/>
        </w:rPr>
      </w:r>
      <w:r>
        <w:rPr>
          <w:lang w:val="en_US" w:bidi="en_US"/>
        </w:rPr>
        <w:t>In 9:26 Jesus spoke about the time when he would return to earth and people would see his glory. Then in 9:28–36 God caused Jesus to be glorified for a short time. Peter, James, and John saw this. 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Some other examples of headings for this section are:</w:t>
      </w:r>
    </w:p>
    <w:p>
      <w:pPr/>
      <w:r>
        <w:rPr>
          <w:lang w:val="en_US" w:bidi="en_US"/>
        </w:rPr>
      </w:r>
      <w:r>
        <w:rPr>
          <w:lang w:val="en_US" w:bidi="en_US"/>
        </w:rPr>
        <w:t>Jesus Talks with Moses and Elijah (NCV)</w:t>
      </w:r>
    </w:p>
    <w:p>
      <w:pPr/>
      <w:r>
        <w:rPr>
          <w:lang w:val="en_US" w:bidi="en_US"/>
        </w:rPr>
      </w:r>
      <w:r>
        <w:rPr>
          <w:lang w:val="en_US" w:bidi="en_US"/>
        </w:rPr>
        <w:t>God showed three disciples who Jesus really was</w:t>
      </w:r>
    </w:p>
    <w:p>
      <w:pPr/>
      <w:r>
        <w:rPr>
          <w:lang w:val="en_US" w:bidi="en_US"/>
        </w:rPr>
      </w:r>
      <w:r>
        <w:rPr>
          <w:lang w:val="en_US" w:bidi="en_US"/>
        </w:rPr>
        <w:t>There are parallel passages for this section in Matthew 17:1–12 and Mark 9:2–13.</w:t>
      </w:r>
    </w:p>
    <w:p>
      <w:pPr>
        <w:pStyle w:val="Heading5"/>
      </w:pPr>
      <w:r>
        <w:rPr>
          <w:lang w:val="en_US" w:bidi="en_US"/>
        </w:rPr>
        <w:t>9:29a</w:t>
      </w:r>
    </w:p>
    <w:p>
      <w:pPr/>
      <w:r>
        <w:rPr>
          <w:lang w:val="en_US" w:bidi="en_US"/>
        </w:rPr>
      </w:r>
      <w:r>
        <w:rPr>
          <w:b/>
          <w:lang w:val="en_US" w:bidi="en_US"/>
        </w:rPr>
        <w:t>And as He was praying, the appearance of His face changed,</w:t>
      </w:r>
    </w:p>
    <w:p>
      <w:pPr>
        <w:pStyle w:val="ListBullet"/>
        <w:spacing w:line="240" w:lineRule="auto"/>
        <w:ind w:left="720"/>
      </w:pPr>
      <w:r>
        <w:rPr>
          <w:lang w:val="en_US" w:bidi="en_US"/>
        </w:rPr>
      </w:r>
      <w:r>
        <w:rPr>
          <w:lang w:val="en_US" w:bidi="en_US"/>
        </w:rPr>
        <w:t xml:space="preserve">While </w:t>
      </w:r>
      <w:r>
        <w:rPr>
          <w:lang w:val="en_US" w:bidi="en_US"/>
        </w:rPr>
        <w:t>Jesus</w:t>
      </w:r>
      <w:r>
        <w:rPr>
          <w:lang w:val="en_US" w:bidi="en_US"/>
        </w:rPr>
        <w:t xml:space="preserve"> was praying, his face became different,</w:t>
      </w:r>
    </w:p>
    <w:p>
      <w:pPr>
        <w:pStyle w:val="ListBullet"/>
        <w:spacing w:line="240" w:lineRule="auto"/>
        <w:ind w:left="720"/>
      </w:pPr>
      <w:r>
        <w:rPr>
          <w:lang w:val="en_US" w:bidi="en_US"/>
        </w:rPr>
      </w:r>
      <w:r>
        <w:rPr>
          <w:lang w:val="en_US" w:bidi="en_US"/>
        </w:rPr>
        <w:t xml:space="preserve">While </w:t>
      </w:r>
      <w:r>
        <w:rPr>
          <w:lang w:val="en_US" w:bidi="en_US"/>
        </w:rPr>
        <w:t>Jesus</w:t>
      </w:r>
      <w:r>
        <w:rPr>
          <w:lang w:val="en_US" w:bidi="en_US"/>
        </w:rPr>
        <w:t xml:space="preserve"> was praying, his face changed </w:t>
      </w:r>
      <w:r>
        <w:rPr>
          <w:lang w:val="en_US" w:bidi="en_US"/>
        </w:rPr>
        <w:t>and began to shine brightly</w:t>
      </w:r>
      <w:r>
        <w:rPr>
          <w:lang w:val="en_US" w:bidi="en_US"/>
        </w:rPr>
        <w:t>.</w:t>
      </w:r>
    </w:p>
    <w:p>
      <w:pPr/>
      <w:r>
        <w:rPr>
          <w:lang w:val="en_US" w:bidi="en_US"/>
        </w:rPr>
      </w:r>
      <w:r>
        <w:rPr>
          <w:b/>
          <w:lang w:val="en_US" w:bidi="en_US"/>
        </w:rPr>
        <w:t>the appearance of His face changed:</w:t>
      </w:r>
      <w:r>
        <w:rPr>
          <w:lang w:val="en_US" w:bidi="en_US"/>
        </w:rPr>
        <w:t xml:space="preserve"> The phrase </w:t>
      </w:r>
      <w:r>
        <w:rPr>
          <w:i/>
          <w:lang w:val="en_US" w:bidi="en_US"/>
        </w:rPr>
        <w:t>the appearance of His face changed</w:t>
      </w:r>
      <w:r>
        <w:rPr>
          <w:lang w:val="en_US" w:bidi="en_US"/>
        </w:rPr>
        <w:t xml:space="preserve"> means that Jesus’ face looked different in some way. The context implies that it began to shine with heavenly glory. Choose a word or phrase that can be used of a good change.</w:t>
      </w:r>
    </w:p>
    <w:p>
      <w:pPr>
        <w:pStyle w:val="Heading5"/>
      </w:pPr>
      <w:r>
        <w:rPr>
          <w:lang w:val="en_US" w:bidi="en_US"/>
        </w:rPr>
        <w:t>9:29b</w:t>
      </w:r>
    </w:p>
    <w:p>
      <w:pPr/>
      <w:r>
        <w:rPr>
          <w:lang w:val="en_US" w:bidi="en_US"/>
        </w:rPr>
      </w:r>
      <w:r>
        <w:rPr>
          <w:b/>
          <w:lang w:val="en_US" w:bidi="en_US"/>
        </w:rPr>
        <w:t>and His clothes became radiantly white.</w:t>
      </w:r>
    </w:p>
    <w:p>
      <w:pPr>
        <w:pStyle w:val="ListBullet"/>
        <w:spacing w:line="240" w:lineRule="auto"/>
        <w:ind w:left="720"/>
      </w:pPr>
      <w:r>
        <w:rPr>
          <w:lang w:val="en_US" w:bidi="en_US"/>
        </w:rPr>
      </w:r>
      <w:r>
        <w:rPr>
          <w:lang w:val="en_US" w:bidi="en_US"/>
        </w:rPr>
        <w:t>and his clothes became dazzlingly white like lightning.</w:t>
      </w:r>
    </w:p>
    <w:p>
      <w:pPr>
        <w:pStyle w:val="ListBullet"/>
        <w:spacing w:line="240" w:lineRule="auto"/>
        <w:ind w:left="720"/>
      </w:pPr>
      <w:r>
        <w:rPr>
          <w:lang w:val="en_US" w:bidi="en_US"/>
        </w:rPr>
      </w:r>
      <w:r>
        <w:rPr>
          <w:lang w:val="en_US" w:bidi="en_US"/>
        </w:rPr>
        <w:t xml:space="preserve">His clothes </w:t>
      </w:r>
      <w:r>
        <w:rPr>
          <w:lang w:val="en_US" w:bidi="en_US"/>
        </w:rPr>
        <w:t>also</w:t>
      </w:r>
      <w:r>
        <w:rPr>
          <w:lang w:val="en_US" w:bidi="en_US"/>
        </w:rPr>
        <w:t xml:space="preserve"> changed. They became extremely white and bright/shining.</w:t>
      </w:r>
    </w:p>
    <w:p>
      <w:pPr/>
      <w:r>
        <w:rPr>
          <w:lang w:val="en_US" w:bidi="en_US"/>
        </w:rPr>
      </w:r>
      <w:r>
        <w:rPr>
          <w:b/>
          <w:lang w:val="en_US" w:bidi="en_US"/>
        </w:rPr>
        <w:t>His clothes became radiantly white:</w:t>
      </w:r>
      <w:r>
        <w:rPr>
          <w:lang w:val="en_US" w:bidi="en_US"/>
        </w:rPr>
        <w:t xml:space="preserve"> Jesus’ clothes became white and shining. The Greek phrase that the BSB translates as </w:t>
      </w:r>
      <w:r>
        <w:rPr>
          <w:i/>
          <w:lang w:val="en_US" w:bidi="en_US"/>
        </w:rPr>
        <w:t>radiantly white</w:t>
      </w:r>
      <w:r>
        <w:rPr>
          <w:lang w:val="en_US" w:bidi="en_US"/>
        </w:rPr>
        <w:t xml:space="preserve"> is literally “white, gleaming like lightning.” This means “flashing white” or “dazzling white.” It is not necessary to refer to lightning in your translation. For example:</w:t>
      </w:r>
    </w:p>
    <w:p>
      <w:pPr/>
      <w:r>
        <w:rPr>
          <w:lang w:val="en_US" w:bidi="en_US"/>
        </w:rPr>
      </w:r>
      <w:r>
        <w:rPr>
          <w:lang w:val="en_US" w:bidi="en_US"/>
        </w:rPr>
        <w:t>shining white (NCV)</w:t>
      </w:r>
    </w:p>
    <w:p>
      <w:pPr/>
      <w:r>
        <w:rPr>
          <w:lang w:val="en_US" w:bidi="en_US"/>
        </w:rPr>
      </w:r>
      <w:r>
        <w:rPr>
          <w:lang w:val="en_US" w:bidi="en_US"/>
        </w:rPr>
        <w:t>In some languages it may be more natural to express this phrase with two separate terms. For example:</w:t>
      </w:r>
    </w:p>
    <w:p>
      <w:pPr/>
      <w:r>
        <w:rPr>
          <w:lang w:val="en_US" w:bidi="en_US"/>
        </w:rPr>
      </w:r>
      <w:r>
        <w:rPr>
          <w:lang w:val="en_US" w:bidi="en_US"/>
        </w:rPr>
        <w:t>extremely white and shining</w:t>
      </w:r>
      <w:r>
        <w:rPr>
          <w:lang w:val="en_US" w:bidi="en_US"/>
        </w:rPr>
      </w:r>
      <w:r>
        <w:rPr>
          <w:lang w:val="en_US" w:bidi="en_US"/>
        </w:rPr>
      </w:r>
    </w:p>
    <w:p>
      <w:pPr/>
      <w:r>
        <w:rPr>
          <w:lang w:val="en_US" w:bidi="en_US"/>
        </w:rPr>
      </w:r>
    </w:p>
    <w:p>
      <w:pPr>
        <w:pStyle w:val="Heading2"/>
      </w:pPr>
      <w:r>
        <w:rPr>
          <w:lang w:val="en_US" w:bidi="en_US"/>
        </w:rPr>
        <w:t>Luke 9:30</w:t>
      </w:r>
      <w:r>
        <w:rPr>
          <w:lang w:val="en_US" w:bidi="en_US"/>
        </w:rPr>
      </w:r>
    </w:p>
    <w:p>
      <w:pPr>
        <w:pStyle w:val="Heading4"/>
      </w:pPr>
      <w:r>
        <w:rPr>
          <w:lang w:val="en_US" w:bidi="en_US"/>
        </w:rPr>
        <w:t>Section 9:28–36: Three disciples saw Jesus’ glory</w:t>
      </w:r>
    </w:p>
    <w:p>
      <w:pPr/>
      <w:r>
        <w:rPr>
          <w:lang w:val="en_US" w:bidi="en_US"/>
        </w:rPr>
      </w:r>
      <w:r>
        <w:rPr>
          <w:lang w:val="en_US" w:bidi="en_US"/>
        </w:rPr>
        <w:t>In 9:26 Jesus spoke about the time when he would return to earth and people would see his glory. Then in 9:28–36 God caused Jesus to be glorified for a short time. Peter, James, and John saw this. 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Some other examples of headings for this section are:</w:t>
      </w:r>
    </w:p>
    <w:p>
      <w:pPr/>
      <w:r>
        <w:rPr>
          <w:lang w:val="en_US" w:bidi="en_US"/>
        </w:rPr>
      </w:r>
      <w:r>
        <w:rPr>
          <w:lang w:val="en_US" w:bidi="en_US"/>
        </w:rPr>
        <w:t>Jesus Talks with Moses and Elijah (NCV)</w:t>
      </w:r>
    </w:p>
    <w:p>
      <w:pPr/>
      <w:r>
        <w:rPr>
          <w:lang w:val="en_US" w:bidi="en_US"/>
        </w:rPr>
      </w:r>
      <w:r>
        <w:rPr>
          <w:lang w:val="en_US" w:bidi="en_US"/>
        </w:rPr>
        <w:t>God showed three disciples who Jesus really was</w:t>
      </w:r>
    </w:p>
    <w:p>
      <w:pPr/>
      <w:r>
        <w:rPr>
          <w:lang w:val="en_US" w:bidi="en_US"/>
        </w:rPr>
      </w:r>
      <w:r>
        <w:rPr>
          <w:lang w:val="en_US" w:bidi="en_US"/>
        </w:rPr>
        <w:t>There are parallel passages for this section in Matthew 17:1–12 and Mark 9:2–13.</w:t>
      </w:r>
    </w:p>
    <w:p>
      <w:pPr>
        <w:pStyle w:val="Heading5"/>
      </w:pPr>
      <w:r>
        <w:rPr>
          <w:lang w:val="en_US" w:bidi="en_US"/>
        </w:rPr>
        <w:t>9:30</w:t>
      </w:r>
    </w:p>
    <w:p>
      <w:pPr/>
      <w:r>
        <w:rPr>
          <w:lang w:val="en_US" w:bidi="en_US"/>
        </w:rPr>
      </w:r>
      <w:r>
        <w:rPr>
          <w:lang w:val="en_US" w:bidi="en_US"/>
        </w:rPr>
        <w:t>The BSB changes the Greek order of the phrases in 9:30. Some other versions, such as the NIV and the NLT, include some part of 9:31 in 9:30 for clarity. See the General Comment on 9:30–31b at the end of the notes on 9:31b-c for suggestions about how to order all of these phrases.</w:t>
      </w:r>
    </w:p>
    <w:p>
      <w:pPr>
        <w:pStyle w:val="Heading5"/>
      </w:pPr>
      <w:r>
        <w:rPr>
          <w:lang w:val="en_US" w:bidi="en_US"/>
        </w:rPr>
        <w:t>9:30a</w:t>
      </w:r>
    </w:p>
    <w:p>
      <w:pPr/>
      <w:r>
        <w:rPr>
          <w:lang w:val="en_US" w:bidi="en_US"/>
        </w:rPr>
      </w:r>
      <w:r>
        <w:rPr>
          <w:b/>
          <w:lang w:val="en_US" w:bidi="en_US"/>
        </w:rPr>
        <w:t>Suddenly two men, Moses and Elijah,</w:t>
      </w:r>
    </w:p>
    <w:p>
      <w:pPr>
        <w:pStyle w:val="ListBullet"/>
        <w:spacing w:line="240" w:lineRule="auto"/>
        <w:ind w:left="720"/>
      </w:pPr>
      <w:r>
        <w:rPr>
          <w:lang w:val="en_US" w:bidi="en_US"/>
        </w:rPr>
      </w:r>
      <w:r>
        <w:rPr>
          <w:lang w:val="en_US" w:bidi="en_US"/>
        </w:rPr>
        <w:t>Suddenly two men appeared. They were Moses and Elijah.</w:t>
      </w:r>
    </w:p>
    <w:p>
      <w:pPr>
        <w:pStyle w:val="ListBullet"/>
        <w:spacing w:line="240" w:lineRule="auto"/>
        <w:ind w:left="720"/>
      </w:pPr>
      <w:r>
        <w:rPr>
          <w:lang w:val="en_US" w:bidi="en_US"/>
        </w:rPr>
      </w:r>
      <w:r>
        <w:rPr>
          <w:lang w:val="en_US" w:bidi="en_US"/>
        </w:rPr>
        <w:t xml:space="preserve">Suddenly there were two </w:t>
      </w:r>
      <w:r>
        <w:rPr>
          <w:lang w:val="en_US" w:bidi="en_US"/>
        </w:rPr>
        <w:t>other</w:t>
      </w:r>
      <w:r>
        <w:rPr>
          <w:lang w:val="en_US" w:bidi="en_US"/>
        </w:rPr>
        <w:t xml:space="preserve"> men there, Moses and Elijah,</w:t>
      </w:r>
    </w:p>
    <w:p>
      <w:pPr/>
      <w:r>
        <w:rPr>
          <w:lang w:val="en_US" w:bidi="en_US"/>
        </w:rPr>
      </w:r>
      <w:r>
        <w:rPr>
          <w:b/>
          <w:lang w:val="en_US" w:bidi="en_US"/>
        </w:rPr>
        <w:t>Suddenly two men:</w:t>
      </w:r>
      <w:r>
        <w:rPr>
          <w:lang w:val="en_US" w:bidi="en_US"/>
        </w:rPr>
        <w:t xml:space="preserve"> The Greek phrase that the BSB translates as </w:t>
      </w:r>
      <w:r>
        <w:rPr>
          <w:i/>
          <w:lang w:val="en_US" w:bidi="en_US"/>
        </w:rPr>
        <w:t>Suddenly two men</w:t>
      </w:r>
      <w:r>
        <w:rPr>
          <w:lang w:val="en_US" w:bidi="en_US"/>
        </w:rPr>
        <w:t xml:space="preserve"> is literally “And behold, two men.” Several English versions translate the phrase this way. The Greek word that the BSB translates as </w:t>
      </w:r>
      <w:r>
        <w:rPr>
          <w:i/>
          <w:lang w:val="en_US" w:bidi="en_US"/>
        </w:rPr>
        <w:t>Suddenly</w:t>
      </w:r>
      <w:r>
        <w:rPr>
          <w:lang w:val="en_US" w:bidi="en_US"/>
        </w:rPr>
        <w:t xml:space="preserve"> here, literally “behold,” calls the readers to notice something surprising and sudden. Your language may have an expression of its own that indicates this. For example:</w:t>
      </w:r>
    </w:p>
    <w:p>
      <w:pPr/>
      <w:r>
        <w:rPr>
          <w:lang w:val="en_US" w:bidi="en_US"/>
        </w:rPr>
      </w:r>
      <w:r>
        <w:rPr>
          <w:lang w:val="en_US" w:bidi="en_US"/>
        </w:rPr>
        <w:t>All at once two men</w:t>
      </w:r>
    </w:p>
    <w:p>
      <w:pPr>
        <w:pStyle w:val="Heading5"/>
      </w:pPr>
      <w:r>
        <w:rPr>
          <w:lang w:val="en_US" w:bidi="en_US"/>
        </w:rPr>
        <w:t>9:30b</w:t>
      </w:r>
    </w:p>
    <w:p>
      <w:pPr/>
      <w:r>
        <w:rPr>
          <w:lang w:val="en_US" w:bidi="en_US"/>
        </w:rPr>
      </w:r>
      <w:r>
        <w:rPr>
          <w:b/>
          <w:lang w:val="en_US" w:bidi="en_US"/>
        </w:rPr>
        <w:t>began talking with Jesus.</w:t>
      </w:r>
    </w:p>
    <w:p>
      <w:pPr>
        <w:pStyle w:val="ListBullet"/>
        <w:spacing w:line="240" w:lineRule="auto"/>
        <w:ind w:left="720"/>
      </w:pPr>
      <w:r>
        <w:rPr>
          <w:lang w:val="en_US" w:bidi="en_US"/>
        </w:rPr>
      </w:r>
      <w:r>
        <w:rPr>
          <w:lang w:val="en_US" w:bidi="en_US"/>
        </w:rPr>
        <w:t>They started to speak with Jesus.</w:t>
      </w:r>
    </w:p>
    <w:p>
      <w:pPr>
        <w:pStyle w:val="ListBullet"/>
        <w:spacing w:line="240" w:lineRule="auto"/>
        <w:ind w:left="720"/>
      </w:pPr>
      <w:r>
        <w:rPr>
          <w:lang w:val="en_US" w:bidi="en_US"/>
        </w:rPr>
      </w:r>
      <w:r>
        <w:rPr>
          <w:lang w:val="en_US" w:bidi="en_US"/>
        </w:rPr>
        <w:t>and they were speaking with Jesus.</w:t>
      </w:r>
    </w:p>
    <w:p>
      <w:pPr/>
      <w:r>
        <w:rPr>
          <w:lang w:val="en_US" w:bidi="en_US"/>
        </w:rPr>
      </w:r>
      <w:r>
        <w:rPr>
          <w:b/>
          <w:lang w:val="en_US" w:bidi="en_US"/>
        </w:rPr>
        <w:t>Moses and Elijah:</w:t>
      </w:r>
      <w:r>
        <w:rPr>
          <w:lang w:val="en_US" w:bidi="en_US"/>
        </w:rPr>
        <w:t xml:space="preserve"> </w:t>
      </w:r>
      <w:r>
        <w:rPr>
          <w:i/>
          <w:lang w:val="en_US" w:bidi="en_US"/>
        </w:rPr>
        <w:t>Moses and Elijah</w:t>
      </w:r>
      <w:r>
        <w:rPr>
          <w:lang w:val="en_US" w:bidi="en_US"/>
        </w:rPr>
        <w:t xml:space="preserve"> were both Old Testament prophets who lived many years before Jesus. But God brought them to the mountain to talk with Jesus.</w:t>
      </w:r>
    </w:p>
    <w:p>
      <w:pPr/>
      <w:r>
        <w:rPr>
          <w:lang w:val="en_US" w:bidi="en_US"/>
        </w:rPr>
      </w:r>
      <w:r>
        <w:rPr>
          <w:lang w:val="en_US" w:bidi="en_US"/>
        </w:rPr>
        <w:t xml:space="preserve">Some people may not know that </w:t>
      </w:r>
      <w:r>
        <w:rPr>
          <w:i/>
          <w:lang w:val="en_US" w:bidi="en_US"/>
        </w:rPr>
        <w:t>Moses and Elijah</w:t>
      </w:r>
      <w:r>
        <w:rPr>
          <w:lang w:val="en_US" w:bidi="en_US"/>
        </w:rPr>
        <w:t xml:space="preserve"> lived long before Jesus. If that is true in your area, you may want to include some implied information in the text or in a footnote. For example:</w:t>
      </w:r>
    </w:p>
    <w:p>
      <w:pPr/>
      <w:r>
        <w:rPr>
          <w:lang w:val="en_US" w:bidi="en_US"/>
        </w:rPr>
      </w:r>
      <w:r>
        <w:rPr>
          <w:lang w:val="en_US" w:bidi="en_US"/>
        </w:rPr>
        <w:t xml:space="preserve">Moses and Elijah, </w:t>
      </w:r>
      <w:r>
        <w:rPr>
          <w:lang w:val="en_US" w:bidi="en_US"/>
        </w:rPr>
        <w:t>prophets of long ago</w:t>
      </w:r>
    </w:p>
    <w:p>
      <w:pPr/>
      <w:r>
        <w:rPr>
          <w:lang w:val="en_US" w:bidi="en_US"/>
        </w:rPr>
      </w:r>
      <w:r>
        <w:rPr>
          <w:b/>
          <w:lang w:val="en_US" w:bidi="en_US"/>
        </w:rPr>
        <w:t>began talking with Jesus:</w:t>
      </w:r>
      <w:r>
        <w:rPr>
          <w:lang w:val="en_US" w:bidi="en_US"/>
        </w:rPr>
        <w:t xml:space="preserve"> The Greek verb that the BSB translates as </w:t>
      </w:r>
      <w:r>
        <w:rPr>
          <w:i/>
          <w:lang w:val="en_US" w:bidi="en_US"/>
        </w:rPr>
        <w:t>began talking</w:t>
      </w:r>
      <w:r>
        <w:rPr>
          <w:lang w:val="en_US" w:bidi="en_US"/>
        </w:rPr>
        <w:t xml:space="preserve"> can indicate either an ongoing action or an action that is just starting. Another way to translate this is:</w:t>
      </w:r>
    </w:p>
    <w:p>
      <w:pPr/>
      <w:r>
        <w:rPr>
          <w:lang w:val="en_US" w:bidi="en_US"/>
        </w:rPr>
      </w:r>
      <w:r>
        <w:rPr>
          <w:lang w:val="en_US" w:bidi="en_US"/>
        </w:rPr>
        <w:t>were talking with Jesus (NCV)</w:t>
      </w:r>
    </w:p>
    <w:p>
      <w:pPr/>
      <w:r>
        <w:rPr>
          <w:lang w:val="en_US" w:bidi="en_US"/>
        </w:rPr>
      </w:r>
      <w:r>
        <w:rPr>
          <w:lang w:val="en_US" w:bidi="en_US"/>
        </w:rPr>
        <w:t xml:space="preserve">It may be natural in your language to express the idea of </w:t>
      </w:r>
      <w:r>
        <w:rPr>
          <w:i/>
          <w:lang w:val="en_US" w:bidi="en_US"/>
        </w:rPr>
        <w:t>talking</w:t>
      </w:r>
      <w:r>
        <w:rPr>
          <w:lang w:val="en_US" w:bidi="en_US"/>
        </w:rPr>
        <w:t xml:space="preserve"> with a term such as “conversing” or “speaking.”</w:t>
      </w:r>
      <w:r>
        <w:rPr>
          <w:lang w:val="en_US" w:bidi="en_US"/>
        </w:rPr>
      </w:r>
      <w:r>
        <w:rPr>
          <w:lang w:val="en_US" w:bidi="en_US"/>
        </w:rPr>
      </w:r>
    </w:p>
    <w:p>
      <w:pPr/>
      <w:r>
        <w:rPr>
          <w:lang w:val="en_US" w:bidi="en_US"/>
        </w:rPr>
      </w:r>
    </w:p>
    <w:p>
      <w:pPr>
        <w:pStyle w:val="Heading2"/>
      </w:pPr>
      <w:r>
        <w:rPr>
          <w:lang w:val="en_US" w:bidi="en_US"/>
        </w:rPr>
        <w:t>Luke 9:31</w:t>
      </w:r>
      <w:r>
        <w:rPr>
          <w:lang w:val="en_US" w:bidi="en_US"/>
        </w:rPr>
      </w:r>
    </w:p>
    <w:p>
      <w:pPr>
        <w:pStyle w:val="Heading4"/>
      </w:pPr>
      <w:r>
        <w:rPr>
          <w:lang w:val="en_US" w:bidi="en_US"/>
        </w:rPr>
        <w:t>Section 9:28–36: Three disciples saw Jesus’ glory</w:t>
      </w:r>
    </w:p>
    <w:p>
      <w:pPr/>
      <w:r>
        <w:rPr>
          <w:lang w:val="en_US" w:bidi="en_US"/>
        </w:rPr>
      </w:r>
      <w:r>
        <w:rPr>
          <w:lang w:val="en_US" w:bidi="en_US"/>
        </w:rPr>
        <w:t>In 9:26 Jesus spoke about the time when he would return to earth and people would see his glory. Then in 9:28–36 God caused Jesus to be glorified for a short time. Peter, James, and John saw this. 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Some other examples of headings for this section are:</w:t>
      </w:r>
    </w:p>
    <w:p>
      <w:pPr/>
      <w:r>
        <w:rPr>
          <w:lang w:val="en_US" w:bidi="en_US"/>
        </w:rPr>
      </w:r>
      <w:r>
        <w:rPr>
          <w:lang w:val="en_US" w:bidi="en_US"/>
        </w:rPr>
        <w:t>Jesus Talks with Moses and Elijah (NCV)</w:t>
      </w:r>
    </w:p>
    <w:p>
      <w:pPr/>
      <w:r>
        <w:rPr>
          <w:lang w:val="en_US" w:bidi="en_US"/>
        </w:rPr>
      </w:r>
      <w:r>
        <w:rPr>
          <w:lang w:val="en_US" w:bidi="en_US"/>
        </w:rPr>
        <w:t>God showed three disciples who Jesus really was</w:t>
      </w:r>
    </w:p>
    <w:p>
      <w:pPr/>
      <w:r>
        <w:rPr>
          <w:lang w:val="en_US" w:bidi="en_US"/>
        </w:rPr>
      </w:r>
      <w:r>
        <w:rPr>
          <w:lang w:val="en_US" w:bidi="en_US"/>
        </w:rPr>
        <w:t>There are parallel passages for this section in Matthew 17:1–12 and Mark 9:2–13.</w:t>
      </w:r>
    </w:p>
    <w:p>
      <w:pPr>
        <w:pStyle w:val="Heading5"/>
      </w:pPr>
      <w:r>
        <w:rPr>
          <w:lang w:val="en_US" w:bidi="en_US"/>
        </w:rPr>
        <w:t>9:31a</w:t>
      </w:r>
    </w:p>
    <w:p>
      <w:pPr/>
      <w:r>
        <w:rPr>
          <w:lang w:val="en_US" w:bidi="en_US"/>
        </w:rPr>
      </w:r>
      <w:r>
        <w:rPr>
          <w:b/>
          <w:lang w:val="en_US" w:bidi="en_US"/>
        </w:rPr>
        <w:t>They appeared in glory</w:t>
      </w:r>
    </w:p>
    <w:p>
      <w:pPr>
        <w:pStyle w:val="ListBullet"/>
        <w:spacing w:line="240" w:lineRule="auto"/>
        <w:ind w:left="720"/>
      </w:pPr>
      <w:r>
        <w:rPr>
          <w:lang w:val="en_US" w:bidi="en_US"/>
        </w:rPr>
      </w:r>
      <w:r>
        <w:rPr>
          <w:lang w:val="en_US" w:bidi="en_US"/>
        </w:rPr>
        <w:t xml:space="preserve">Those two </w:t>
      </w:r>
      <w:r>
        <w:rPr>
          <w:lang w:val="en_US" w:bidi="en_US"/>
        </w:rPr>
        <w:t>also</w:t>
      </w:r>
      <w:r>
        <w:rPr>
          <w:lang w:val="en_US" w:bidi="en_US"/>
        </w:rPr>
        <w:t xml:space="preserve"> had a </w:t>
      </w:r>
      <w:r>
        <w:rPr>
          <w:lang w:val="en_US" w:bidi="en_US"/>
        </w:rPr>
        <w:t>heavenly</w:t>
      </w:r>
      <w:r>
        <w:rPr>
          <w:lang w:val="en_US" w:bidi="en_US"/>
        </w:rPr>
        <w:t xml:space="preserve"> glory/radiance,</w:t>
      </w:r>
    </w:p>
    <w:p>
      <w:pPr>
        <w:pStyle w:val="ListBullet"/>
        <w:spacing w:line="240" w:lineRule="auto"/>
        <w:ind w:left="720"/>
      </w:pPr>
      <w:r>
        <w:rPr>
          <w:lang w:val="en_US" w:bidi="en_US"/>
        </w:rPr>
      </w:r>
      <w:r>
        <w:rPr>
          <w:lang w:val="en_US" w:bidi="en_US"/>
        </w:rPr>
        <w:t xml:space="preserve">They </w:t>
      </w:r>
      <w:r>
        <w:rPr>
          <w:lang w:val="en_US" w:bidi="en_US"/>
        </w:rPr>
        <w:t>also</w:t>
      </w:r>
      <w:r>
        <w:rPr>
          <w:lang w:val="en_US" w:bidi="en_US"/>
        </w:rPr>
        <w:t xml:space="preserve"> shone brightly.</w:t>
      </w:r>
    </w:p>
    <w:p>
      <w:pPr/>
      <w:r>
        <w:rPr>
          <w:lang w:val="en_US" w:bidi="en_US"/>
        </w:rPr>
      </w:r>
      <w:r>
        <w:rPr>
          <w:b/>
          <w:lang w:val="en_US" w:bidi="en_US"/>
        </w:rPr>
        <w:t>They appeared in glory:</w:t>
      </w:r>
      <w:r>
        <w:rPr>
          <w:lang w:val="en_US" w:bidi="en_US"/>
        </w:rPr>
        <w:t xml:space="preserve"> The phrase </w:t>
      </w:r>
      <w:r>
        <w:rPr>
          <w:i/>
          <w:lang w:val="en_US" w:bidi="en_US"/>
        </w:rPr>
        <w:t>appeared in glory</w:t>
      </w:r>
      <w:r>
        <w:rPr>
          <w:lang w:val="en_US" w:bidi="en_US"/>
        </w:rPr>
        <w:t xml:space="preserve"> indicates that Moses and Elijah shone brightly. They were surrounded with a dazzling light, as Jesus was. Another way to translate this is:</w:t>
      </w:r>
    </w:p>
    <w:p>
      <w:pPr/>
      <w:r>
        <w:rPr>
          <w:lang w:val="en_US" w:bidi="en_US"/>
        </w:rPr>
      </w:r>
      <w:r>
        <w:rPr>
          <w:lang w:val="en_US" w:bidi="en_US"/>
        </w:rPr>
        <w:t>appeared in heavenly glory (NCV)</w:t>
      </w:r>
    </w:p>
    <w:p>
      <w:pPr>
        <w:pStyle w:val="Heading5"/>
      </w:pPr>
      <w:r>
        <w:rPr>
          <w:lang w:val="en_US" w:bidi="en_US"/>
        </w:rPr>
        <w:t>9:31b</w:t>
      </w:r>
    </w:p>
    <w:p>
      <w:pPr/>
      <w:r>
        <w:rPr>
          <w:lang w:val="en_US" w:bidi="en_US"/>
        </w:rPr>
      </w:r>
      <w:r>
        <w:rPr>
          <w:b/>
          <w:lang w:val="en_US" w:bidi="en_US"/>
        </w:rPr>
        <w:t>and spoke about His departure,</w:t>
      </w:r>
    </w:p>
    <w:p>
      <w:pPr>
        <w:pStyle w:val="ListBullet"/>
        <w:spacing w:line="240" w:lineRule="auto"/>
        <w:ind w:left="720"/>
      </w:pPr>
      <w:r>
        <w:rPr>
          <w:lang w:val="en_US" w:bidi="en_US"/>
        </w:rPr>
      </w:r>
      <w:r>
        <w:rPr>
          <w:lang w:val="en_US" w:bidi="en_US"/>
        </w:rPr>
        <w:t>The three of</w:t>
      </w:r>
      <w:r>
        <w:rPr>
          <w:lang w:val="en_US" w:bidi="en_US"/>
        </w:rPr>
        <w:t xml:space="preserve"> them talked about how Jesus would leave </w:t>
      </w:r>
      <w:r>
        <w:rPr>
          <w:lang w:val="en_US" w:bidi="en_US"/>
        </w:rPr>
        <w:t>his life</w:t>
      </w:r>
      <w:r>
        <w:rPr>
          <w:lang w:val="en_US" w:bidi="en_US"/>
        </w:rPr>
        <w:t xml:space="preserve"> </w:t>
      </w:r>
      <w:r>
        <w:rPr>
          <w:lang w:val="en_US" w:bidi="en_US"/>
        </w:rPr>
        <w:t>in this world</w:t>
      </w:r>
      <w:r>
        <w:rPr>
          <w:lang w:val="en_US" w:bidi="en_US"/>
        </w:rPr>
        <w:t>.</w:t>
      </w:r>
    </w:p>
    <w:p>
      <w:pPr>
        <w:pStyle w:val="ListBullet"/>
        <w:spacing w:line="240" w:lineRule="auto"/>
        <w:ind w:left="720"/>
      </w:pPr>
      <w:r>
        <w:rPr>
          <w:lang w:val="en_US" w:bidi="en_US"/>
        </w:rPr>
      </w:r>
      <w:r>
        <w:rPr>
          <w:lang w:val="en_US" w:bidi="en_US"/>
        </w:rPr>
        <w:t>about his coming death</w:t>
      </w:r>
    </w:p>
    <w:p>
      <w:pPr>
        <w:pStyle w:val="Heading5"/>
      </w:pPr>
      <w:r>
        <w:rPr>
          <w:lang w:val="en_US" w:bidi="en_US"/>
        </w:rPr>
        <w:t>9:31c</w:t>
      </w:r>
    </w:p>
    <w:p>
      <w:pPr/>
      <w:r>
        <w:rPr>
          <w:lang w:val="en_US" w:bidi="en_US"/>
        </w:rPr>
      </w:r>
      <w:r>
        <w:rPr>
          <w:b/>
          <w:lang w:val="en_US" w:bidi="en_US"/>
        </w:rPr>
        <w:t>which He was about to accomplish at Jerusalem.</w:t>
      </w:r>
    </w:p>
    <w:p>
      <w:pPr>
        <w:pStyle w:val="ListBullet"/>
        <w:spacing w:line="240" w:lineRule="auto"/>
        <w:ind w:left="720"/>
      </w:pPr>
      <w:r>
        <w:rPr>
          <w:lang w:val="en_US" w:bidi="en_US"/>
        </w:rPr>
      </w:r>
      <w:r>
        <w:rPr>
          <w:lang w:val="en_US" w:bidi="en_US"/>
        </w:rPr>
        <w:t xml:space="preserve">He would soon do this in Jerusalem, and in this way he would fulfill </w:t>
      </w:r>
      <w:r>
        <w:rPr>
          <w:lang w:val="en_US" w:bidi="en_US"/>
        </w:rPr>
        <w:t>God’s purpose</w:t>
      </w:r>
      <w:r>
        <w:rPr>
          <w:lang w:val="en_US" w:bidi="en_US"/>
        </w:rPr>
        <w:t xml:space="preserve"> for him.</w:t>
      </w:r>
    </w:p>
    <w:p>
      <w:pPr>
        <w:pStyle w:val="ListBullet"/>
        <w:spacing w:line="240" w:lineRule="auto"/>
        <w:ind w:left="720"/>
      </w:pPr>
      <w:r>
        <w:rPr>
          <w:lang w:val="en_US" w:bidi="en_US"/>
        </w:rPr>
      </w:r>
      <w:r>
        <w:rPr>
          <w:lang w:val="en_US" w:bidi="en_US"/>
        </w:rPr>
        <w:t xml:space="preserve">in Jerusalem, through which he would accomplish what </w:t>
      </w:r>
      <w:r>
        <w:rPr>
          <w:lang w:val="en_US" w:bidi="en_US"/>
        </w:rPr>
        <w:t>God</w:t>
      </w:r>
      <w:r>
        <w:rPr>
          <w:lang w:val="en_US" w:bidi="en_US"/>
        </w:rPr>
        <w:t xml:space="preserve"> had planned.</w:t>
      </w:r>
    </w:p>
    <w:p>
      <w:pPr>
        <w:pStyle w:val="Heading5"/>
      </w:pPr>
      <w:r>
        <w:rPr>
          <w:lang w:val="en_US" w:bidi="en_US"/>
        </w:rPr>
        <w:t>9:31b–c</w:t>
      </w:r>
    </w:p>
    <w:p>
      <w:pPr/>
      <w:r>
        <w:rPr>
          <w:lang w:val="en_US" w:bidi="en_US"/>
        </w:rPr>
      </w:r>
      <w:r>
        <w:rPr>
          <w:b/>
          <w:lang w:val="en_US" w:bidi="en_US"/>
        </w:rPr>
        <w:t>and spoke about His departure:</w:t>
      </w:r>
      <w:r>
        <w:rPr>
          <w:lang w:val="en_US" w:bidi="en_US"/>
        </w:rPr>
        <w:t xml:space="preserve"> Moses and Elijah spoke with Jesus about </w:t>
      </w:r>
      <w:r>
        <w:rPr>
          <w:i/>
          <w:lang w:val="en_US" w:bidi="en_US"/>
        </w:rPr>
        <w:t>His departure</w:t>
      </w:r>
      <w:r>
        <w:rPr>
          <w:lang w:val="en_US" w:bidi="en_US"/>
        </w:rPr>
        <w:t xml:space="preserve"> from the world. The Greek word that the BSB translates as </w:t>
      </w:r>
      <w:r>
        <w:rPr>
          <w:i/>
          <w:lang w:val="en_US" w:bidi="en_US"/>
        </w:rPr>
        <w:t>departure</w:t>
      </w:r>
      <w:r>
        <w:rPr>
          <w:lang w:val="en_US" w:bidi="en_US"/>
        </w:rPr>
        <w:t xml:space="preserve"> is </w:t>
      </w:r>
      <w:r>
        <w:rPr>
          <w:i/>
          <w:lang w:val="en_US" w:bidi="en_US"/>
        </w:rPr>
        <w:t>exodos</w:t>
      </w:r>
      <w:r>
        <w:rPr>
          <w:lang w:val="en_US" w:bidi="en_US"/>
        </w:rPr>
        <w:t>. It refers mainly here to Jesus’ death. However, it could also include his rising from the dead and ascending to heaven. If you can translate it in a way that includes both meanings, you should do so. For example:</w:t>
      </w:r>
    </w:p>
    <w:p>
      <w:pPr/>
      <w:r>
        <w:rPr>
          <w:lang w:val="en_US" w:bidi="en_US"/>
        </w:rPr>
      </w:r>
      <w:r>
        <w:rPr>
          <w:lang w:val="en_US" w:bidi="en_US"/>
        </w:rPr>
        <w:t>Jesus’ leaving this life</w:t>
      </w:r>
    </w:p>
    <w:p>
      <w:pPr/>
      <w:r>
        <w:rPr>
          <w:lang w:val="en_US" w:bidi="en_US"/>
        </w:rPr>
      </w:r>
      <w:r>
        <w:rPr>
          <w:lang w:val="en_US" w:bidi="en_US"/>
        </w:rPr>
        <w:t>how/when Jesus would depart from this world</w:t>
      </w:r>
    </w:p>
    <w:p>
      <w:pPr/>
      <w:r>
        <w:rPr>
          <w:lang w:val="en_US" w:bidi="en_US"/>
        </w:rPr>
      </w:r>
      <w:r>
        <w:rPr>
          <w:lang w:val="en_US" w:bidi="en_US"/>
        </w:rPr>
        <w:t>If it is not possible to imply both meanings, you should use an expression that refers to Jesus’ death. For example:</w:t>
      </w:r>
    </w:p>
    <w:p>
      <w:pPr/>
      <w:r>
        <w:rPr>
          <w:lang w:val="en_US" w:bidi="en_US"/>
        </w:rPr>
      </w:r>
      <w:r>
        <w:rPr>
          <w:lang w:val="en_US" w:bidi="en_US"/>
        </w:rPr>
        <w:t>Jesus’ approaching death (GW)</w:t>
      </w:r>
    </w:p>
    <w:p>
      <w:pPr/>
      <w:r>
        <w:rPr>
          <w:lang w:val="en_US" w:bidi="en_US"/>
        </w:rPr>
      </w:r>
      <w:r>
        <w:rPr>
          <w:b/>
          <w:lang w:val="en_US" w:bidi="en_US"/>
        </w:rPr>
        <w:t>which He was about to accomplish at Jerusalem:</w:t>
      </w:r>
      <w:r>
        <w:rPr>
          <w:lang w:val="en_US" w:bidi="en_US"/>
        </w:rPr>
        <w:t xml:space="preserve"> The Greek word that the BSB translates as </w:t>
      </w:r>
      <w:r>
        <w:rPr>
          <w:i/>
          <w:lang w:val="en_US" w:bidi="en_US"/>
        </w:rPr>
        <w:t>accomplish</w:t>
      </w:r>
      <w:r>
        <w:rPr>
          <w:lang w:val="en_US" w:bidi="en_US"/>
        </w:rPr>
        <w:t xml:space="preserve"> implies that Jesus would accomplish what God had sent him (into the world) to do. Jesus would cause God’s plan to happen, just as God had said.</w:t>
      </w:r>
    </w:p>
    <w:p>
      <w:pPr/>
      <w:r>
        <w:rPr>
          <w:lang w:val="en_US" w:bidi="en_US"/>
        </w:rPr>
      </w:r>
      <w:r>
        <w:rPr>
          <w:lang w:val="en_US" w:bidi="en_US"/>
        </w:rPr>
        <w:t>In some languages it is not natural to speak of accomplishing or fulfilling a departure/death. The meaning here is that Jesus was about to fulfill God’s plan through his death. It may be necessary to make this meaning more explicit. For example:</w:t>
      </w:r>
    </w:p>
    <w:p>
      <w:pPr/>
      <w:r>
        <w:rPr>
          <w:lang w:val="en_US" w:bidi="en_US"/>
        </w:rPr>
      </w:r>
      <w:r>
        <w:rPr>
          <w:lang w:val="en_US" w:bidi="en_US"/>
        </w:rPr>
        <w:t>he would soon fulfill God’s purpose by dying in Jerusalem (GNT)</w:t>
      </w:r>
    </w:p>
    <w:p>
      <w:pPr>
        <w:pStyle w:val="Heading6"/>
      </w:pPr>
      <w:r>
        <w:rPr>
          <w:b/>
          <w:lang w:val="en_US" w:bidi="en_US"/>
        </w:rPr>
        <w:t>General Comment on 9:30–31b</w:t>
      </w:r>
    </w:p>
    <w:p>
      <w:pPr/>
      <w:r>
        <w:rPr>
          <w:lang w:val="en_US" w:bidi="en_US"/>
        </w:rPr>
      </w:r>
      <w:r>
        <w:rPr>
          <w:lang w:val="en_US" w:bidi="en_US"/>
        </w:rPr>
        <w:t>The BSB has changed the order of the phrases in verse 30. Other versions, such as the NIV and the NLT, include some part of 9:31 in 9:30 for clarity. The ESV follows the Greek order. Compare the order of the phrases in the NIV and ESV below.</w:t>
      </w:r>
    </w:p>
    <w:p>
      <w:pPr/>
      <w:r>
        <w:rPr>
          <w:lang w:val="en_US" w:bidi="en_US"/>
        </w:rPr>
      </w:r>
      <w:r>
        <w:rPr>
          <w:vertAlign w:val="superscript"/>
          <w:lang w:val="en_US" w:bidi="en_US"/>
        </w:rPr>
        <w:t>30</w:t>
      </w:r>
      <w:r>
        <w:rPr>
          <w:lang w:val="en_US" w:bidi="en_US"/>
        </w:rPr>
        <w:t xml:space="preserve">Two men, Moses and Elijah, </w:t>
      </w:r>
      <w:r>
        <w:rPr>
          <w:vertAlign w:val="superscript"/>
          <w:lang w:val="en_US" w:bidi="en_US"/>
        </w:rPr>
        <w:t>31a</w:t>
      </w:r>
      <w:r>
        <w:rPr>
          <w:lang w:val="en_US" w:bidi="en_US"/>
        </w:rPr>
        <w:t xml:space="preserve">appeared in glorious splendor, </w:t>
      </w:r>
      <w:r>
        <w:rPr>
          <w:vertAlign w:val="superscript"/>
          <w:lang w:val="en_US" w:bidi="en_US"/>
        </w:rPr>
        <w:t>30</w:t>
      </w:r>
      <w:r>
        <w:rPr>
          <w:lang w:val="en_US" w:bidi="en_US"/>
        </w:rPr>
        <w:t xml:space="preserve">talking with Jesus. </w:t>
      </w:r>
      <w:r>
        <w:rPr>
          <w:vertAlign w:val="superscript"/>
          <w:lang w:val="en_US" w:bidi="en_US"/>
        </w:rPr>
        <w:t>31b</w:t>
      </w:r>
      <w:r>
        <w:rPr>
          <w:lang w:val="en_US" w:bidi="en_US"/>
        </w:rPr>
        <w:t>They spoke about his departure… (NIV)</w:t>
      </w:r>
    </w:p>
    <w:p>
      <w:pPr/>
      <w:r>
        <w:rPr>
          <w:lang w:val="en_US" w:bidi="en_US"/>
        </w:rPr>
      </w:r>
      <w:r>
        <w:rPr>
          <w:vertAlign w:val="superscript"/>
          <w:lang w:val="en_US" w:bidi="en_US"/>
        </w:rPr>
        <w:t>30</w:t>
      </w:r>
      <w:r>
        <w:rPr>
          <w:lang w:val="en_US" w:bidi="en_US"/>
        </w:rPr>
        <w:t xml:space="preserve">And behold, two men were talking with him, Moses and Elijah, </w:t>
      </w:r>
      <w:r>
        <w:rPr>
          <w:vertAlign w:val="superscript"/>
          <w:lang w:val="en_US" w:bidi="en_US"/>
        </w:rPr>
        <w:t>31a</w:t>
      </w:r>
      <w:r>
        <w:rPr>
          <w:lang w:val="en_US" w:bidi="en_US"/>
        </w:rPr>
        <w:t xml:space="preserve">who appeared in glory </w:t>
      </w:r>
      <w:r>
        <w:rPr>
          <w:vertAlign w:val="superscript"/>
          <w:lang w:val="en_US" w:bidi="en_US"/>
        </w:rPr>
        <w:t>31b</w:t>
      </w:r>
      <w:r>
        <w:rPr>
          <w:lang w:val="en_US" w:bidi="en_US"/>
        </w:rPr>
        <w:t>and spoke of his departure… (ESV)</w:t>
      </w:r>
    </w:p>
    <w:p>
      <w:pPr/>
      <w:r>
        <w:rPr>
          <w:lang w:val="en_US" w:bidi="en_US"/>
        </w:rPr>
      </w:r>
      <w:r>
        <w:rPr>
          <w:lang w:val="en_US" w:bidi="en_US"/>
        </w:rPr>
        <w:t>The NLT has used a different order from either the NIV or ESV. It says:</w:t>
      </w:r>
    </w:p>
    <w:p>
      <w:pPr/>
      <w:r>
        <w:rPr>
          <w:lang w:val="en_US" w:bidi="en_US"/>
        </w:rPr>
      </w:r>
      <w:r>
        <w:rPr>
          <w:vertAlign w:val="superscript"/>
          <w:lang w:val="en_US" w:bidi="en_US"/>
        </w:rPr>
        <w:t>30</w:t>
      </w:r>
      <w:r>
        <w:rPr>
          <w:lang w:val="en_US" w:bidi="en_US"/>
        </w:rPr>
        <w:t xml:space="preserve">Suddenly, two men, Moses and Elijah, </w:t>
      </w:r>
      <w:r>
        <w:rPr>
          <w:vertAlign w:val="superscript"/>
          <w:lang w:val="en_US" w:bidi="en_US"/>
        </w:rPr>
        <w:t>31a</w:t>
      </w:r>
      <w:r>
        <w:rPr>
          <w:lang w:val="en_US" w:bidi="en_US"/>
        </w:rPr>
        <w:t xml:space="preserve">appeared </w:t>
      </w:r>
      <w:r>
        <w:rPr>
          <w:vertAlign w:val="superscript"/>
          <w:lang w:val="en_US" w:bidi="en_US"/>
        </w:rPr>
        <w:t>30</w:t>
      </w:r>
      <w:r>
        <w:rPr>
          <w:lang w:val="en_US" w:bidi="en_US"/>
        </w:rPr>
        <w:t xml:space="preserve">and began talking with Jesus. </w:t>
      </w:r>
      <w:r>
        <w:rPr>
          <w:vertAlign w:val="superscript"/>
          <w:lang w:val="en_US" w:bidi="en_US"/>
        </w:rPr>
        <w:t>31a</w:t>
      </w:r>
      <w:r>
        <w:rPr>
          <w:lang w:val="en_US" w:bidi="en_US"/>
        </w:rPr>
        <w:t xml:space="preserve">They were glorious to see. </w:t>
      </w:r>
      <w:r>
        <w:rPr>
          <w:vertAlign w:val="superscript"/>
          <w:lang w:val="en_US" w:bidi="en_US"/>
        </w:rPr>
        <w:t>31b</w:t>
      </w:r>
      <w:r>
        <w:rPr>
          <w:lang w:val="en_US" w:bidi="en_US"/>
        </w:rPr>
        <w:t>And they were speaking about his exodus from this world… (NLT)</w:t>
      </w:r>
    </w:p>
    <w:p>
      <w:pPr/>
      <w:r>
        <w:rPr>
          <w:lang w:val="en_US" w:bidi="en_US"/>
        </w:rPr>
      </w:r>
      <w:r>
        <w:rPr>
          <w:lang w:val="en_US" w:bidi="en_US"/>
        </w:rPr>
        <w:t>You should arrange the phrases in 9:30–31b in a way that is natural in your language. You may especially wish to reorder the Greek phrases if it would be unusual for you to describe Moses and Elijah speaking with Jesus before saying that they appeared.</w:t>
      </w:r>
      <w:r>
        <w:rPr>
          <w:lang w:val="en_US" w:bidi="en_US"/>
        </w:rPr>
      </w:r>
      <w:r>
        <w:rPr>
          <w:lang w:val="en_US" w:bidi="en_US"/>
        </w:rPr>
      </w:r>
    </w:p>
    <w:p>
      <w:pPr/>
      <w:r>
        <w:rPr>
          <w:lang w:val="en_US" w:bidi="en_US"/>
        </w:rPr>
      </w:r>
    </w:p>
    <w:p>
      <w:pPr>
        <w:pStyle w:val="Heading2"/>
      </w:pPr>
      <w:r>
        <w:rPr>
          <w:lang w:val="en_US" w:bidi="en_US"/>
        </w:rPr>
        <w:t>Luke 9:32</w:t>
      </w:r>
      <w:r>
        <w:rPr>
          <w:lang w:val="en_US" w:bidi="en_US"/>
        </w:rPr>
      </w:r>
    </w:p>
    <w:p>
      <w:pPr>
        <w:pStyle w:val="Heading4"/>
      </w:pPr>
      <w:r>
        <w:rPr>
          <w:lang w:val="en_US" w:bidi="en_US"/>
        </w:rPr>
        <w:t>Section 9:28–36: Three disciples saw Jesus’ glory</w:t>
      </w:r>
    </w:p>
    <w:p>
      <w:pPr/>
      <w:r>
        <w:rPr>
          <w:lang w:val="en_US" w:bidi="en_US"/>
        </w:rPr>
      </w:r>
      <w:r>
        <w:rPr>
          <w:lang w:val="en_US" w:bidi="en_US"/>
        </w:rPr>
        <w:t>In 9:26 Jesus spoke about the time when he would return to earth and people would see his glory. Then in 9:28–36 God caused Jesus to be glorified for a short time. Peter, James, and John saw this. 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Some other examples of headings for this section are:</w:t>
      </w:r>
    </w:p>
    <w:p>
      <w:pPr/>
      <w:r>
        <w:rPr>
          <w:lang w:val="en_US" w:bidi="en_US"/>
        </w:rPr>
      </w:r>
      <w:r>
        <w:rPr>
          <w:lang w:val="en_US" w:bidi="en_US"/>
        </w:rPr>
        <w:t>Jesus Talks with Moses and Elijah (NCV)</w:t>
      </w:r>
    </w:p>
    <w:p>
      <w:pPr/>
      <w:r>
        <w:rPr>
          <w:lang w:val="en_US" w:bidi="en_US"/>
        </w:rPr>
      </w:r>
      <w:r>
        <w:rPr>
          <w:lang w:val="en_US" w:bidi="en_US"/>
        </w:rPr>
        <w:t>God showed three disciples who Jesus really was</w:t>
      </w:r>
    </w:p>
    <w:p>
      <w:pPr/>
      <w:r>
        <w:rPr>
          <w:lang w:val="en_US" w:bidi="en_US"/>
        </w:rPr>
      </w:r>
      <w:r>
        <w:rPr>
          <w:lang w:val="en_US" w:bidi="en_US"/>
        </w:rPr>
        <w:t>There are parallel passages for this section in Matthew 17:1–12 and Mark 9:2–13.</w:t>
      </w:r>
    </w:p>
    <w:p>
      <w:pPr>
        <w:pStyle w:val="Heading5"/>
      </w:pPr>
      <w:r>
        <w:rPr>
          <w:lang w:val="en_US" w:bidi="en_US"/>
        </w:rPr>
        <w:t>9:32a</w:t>
      </w:r>
    </w:p>
    <w:p>
      <w:pPr/>
      <w:r>
        <w:rPr>
          <w:lang w:val="en_US" w:bidi="en_US"/>
        </w:rPr>
      </w:r>
      <w:r>
        <w:rPr>
          <w:b/>
          <w:lang w:val="en_US" w:bidi="en_US"/>
        </w:rPr>
        <w:t>Meanwhile Peter and his companions were overcome by sleep,</w:t>
      </w:r>
    </w:p>
    <w:p>
      <w:pPr>
        <w:pStyle w:val="ListBullet"/>
        <w:spacing w:line="240" w:lineRule="auto"/>
        <w:ind w:left="720"/>
      </w:pPr>
      <w:r>
        <w:rPr>
          <w:lang w:val="en_US" w:bidi="en_US"/>
        </w:rPr>
      </w:r>
      <w:r>
        <w:rPr>
          <w:lang w:val="en_US" w:bidi="en_US"/>
        </w:rPr>
        <w:t>Peter and his friends/companions had fallen asleep,</w:t>
      </w:r>
    </w:p>
    <w:p>
      <w:pPr>
        <w:pStyle w:val="ListBullet"/>
        <w:spacing w:line="240" w:lineRule="auto"/>
        <w:ind w:left="720"/>
      </w:pPr>
      <w:r>
        <w:rPr>
          <w:lang w:val="en_US" w:bidi="en_US"/>
        </w:rPr>
      </w:r>
      <w:r>
        <w:rPr>
          <w:lang w:val="en_US" w:bidi="en_US"/>
        </w:rPr>
        <w:t>Meanwhile,</w:t>
      </w:r>
      <w:r>
        <w:rPr>
          <w:lang w:val="en_US" w:bidi="en_US"/>
        </w:rPr>
        <w:t xml:space="preserve"> Peter and the other </w:t>
      </w:r>
      <w:r>
        <w:rPr>
          <w:lang w:val="en_US" w:bidi="en_US"/>
        </w:rPr>
        <w:t>two</w:t>
      </w:r>
      <w:r>
        <w:rPr>
          <w:lang w:val="en_US" w:bidi="en_US"/>
        </w:rPr>
        <w:t xml:space="preserve"> disciples had begun to sleep.</w:t>
      </w:r>
    </w:p>
    <w:p>
      <w:pPr>
        <w:pStyle w:val="Heading5"/>
      </w:pPr>
      <w:r>
        <w:rPr>
          <w:lang w:val="en_US" w:bidi="en_US"/>
        </w:rPr>
        <w:t>9:32a–b</w:t>
      </w:r>
    </w:p>
    <w:p>
      <w:pPr/>
      <w:r>
        <w:rPr>
          <w:lang w:val="en_US" w:bidi="en_US"/>
        </w:rPr>
      </w:r>
      <w:r>
        <w:rPr>
          <w:lang w:val="en_US" w:bidi="en_US"/>
        </w:rPr>
        <w:t>In this verse Luke indicated that the disciples had fallen asleep. They were asleep during the time when Moses and Elijah talked with Jesus (9:31). Languages have different ways to talk about events that happen at the same time like this. Some ways to do this in English are:</w:t>
      </w:r>
    </w:p>
    <w:p>
      <w:pPr/>
      <w:r>
        <w:rPr>
          <w:lang w:val="en_US" w:bidi="en_US"/>
        </w:rPr>
      </w:r>
      <w:r>
        <w:rPr>
          <w:lang w:val="en_US" w:bidi="en_US"/>
        </w:rPr>
        <w:t>Peter and the other two disciples had been sound asleep (CEV)</w:t>
      </w:r>
    </w:p>
    <w:p>
      <w:pPr/>
      <w:r>
        <w:rPr>
          <w:lang w:val="en_US" w:bidi="en_US"/>
        </w:rPr>
      </w:r>
      <w:r>
        <w:rPr>
          <w:lang w:val="en_US" w:bidi="en_US"/>
        </w:rPr>
        <w:t>While they were talking, Peter and his companions were sleeping soundly</w:t>
      </w:r>
    </w:p>
    <w:p>
      <w:pPr/>
      <w:r>
        <w:rPr>
          <w:lang w:val="en_US" w:bidi="en_US"/>
        </w:rPr>
      </w:r>
      <w:r>
        <w:rPr>
          <w:lang w:val="en_US" w:bidi="en_US"/>
        </w:rPr>
        <w:t>Use a natural way in your language to make this connection clear.</w:t>
      </w:r>
    </w:p>
    <w:p>
      <w:pPr/>
      <w:r>
        <w:rPr>
          <w:lang w:val="en_US" w:bidi="en_US"/>
        </w:rPr>
      </w:r>
      <w:r>
        <w:rPr>
          <w:b/>
          <w:lang w:val="en_US" w:bidi="en_US"/>
        </w:rPr>
        <w:t>Meanwhile:</w:t>
      </w:r>
      <w:r>
        <w:rPr>
          <w:lang w:val="en_US" w:bidi="en_US"/>
        </w:rPr>
        <w:t xml:space="preserve"> This verse begins with a Greek conjunction that the BSB translates as </w:t>
      </w:r>
      <w:r>
        <w:rPr>
          <w:i/>
          <w:lang w:val="en_US" w:bidi="en_US"/>
        </w:rPr>
        <w:t>Meanwhile</w:t>
      </w:r>
      <w:r>
        <w:rPr>
          <w:lang w:val="en_US" w:bidi="en_US"/>
        </w:rPr>
        <w:t>. Some English versions, such as the ESV, NASB, and NET, see it as introducing background information and translate it as “Now.” Other versions, such as the KJV and NLV, see it as introducing a contrast and translate it as “But.” Still other versions, such as the CEV, GNT, NIV, and NLT, do not translate this conjunction. Connect 9:32a to 9:31c in a way that is natural in your language.</w:t>
      </w:r>
    </w:p>
    <w:p>
      <w:pPr/>
      <w:r>
        <w:rPr>
          <w:lang w:val="en_US" w:bidi="en_US"/>
        </w:rPr>
      </w:r>
      <w:r>
        <w:rPr>
          <w:b/>
          <w:lang w:val="en_US" w:bidi="en_US"/>
        </w:rPr>
        <w:t>Peter and his companions were overcome by sleep, but when they awoke:</w:t>
      </w:r>
      <w:r>
        <w:rPr>
          <w:lang w:val="en_US" w:bidi="en_US"/>
        </w:rPr>
        <w:t xml:space="preserve"> The Greek idiom that the BSB translates as </w:t>
      </w:r>
      <w:r>
        <w:rPr>
          <w:i/>
          <w:lang w:val="en_US" w:bidi="en_US"/>
        </w:rPr>
        <w:t>were overcome by sleep</w:t>
      </w:r>
      <w:r>
        <w:rPr>
          <w:lang w:val="en_US" w:bidi="en_US"/>
        </w:rPr>
        <w:t xml:space="preserve"> is literally “were burdened with sleep.” There are two ways to interpret this idiom, along with the word </w:t>
      </w:r>
      <w:r>
        <w:rPr>
          <w:i/>
          <w:lang w:val="en_US" w:bidi="en_US"/>
        </w:rPr>
        <w:t>awoke</w:t>
      </w:r>
      <w:r>
        <w:rPr>
          <w:lang w:val="en_US" w:bidi="en_US"/>
        </w:rPr>
        <w:t xml:space="preserve"> in this verse:</w:t>
      </w:r>
    </w:p>
    <w:p>
      <w:pPr>
        <w:pStyle w:val="ListNumber"/>
        <w:numPr>
          <w:ilvl w:val="0"/>
          <w:numId w:val="193"/>
        </w:numPr>
        <w:spacing w:line="240" w:lineRule="auto"/>
        <w:ind w:left="720"/>
      </w:pPr>
      <w:r>
        <w:rPr>
          <w:lang w:val="en_US" w:bidi="en_US"/>
        </w:rPr>
      </w:r>
      <w:r>
        <w:rPr>
          <w:lang w:val="en_US" w:bidi="en_US"/>
        </w:rPr>
        <w:t xml:space="preserve">It indicates that the disciples </w:t>
      </w:r>
      <w:r>
        <w:rPr>
          <w:u w:val="single"/>
          <w:lang w:val="en_US" w:bidi="en_US"/>
        </w:rPr>
        <w:t>were completely asleep</w:t>
      </w:r>
      <w:r>
        <w:rPr>
          <w:lang w:val="en_US" w:bidi="en_US"/>
        </w:rPr>
        <w:t xml:space="preserve"> for a short time and then woke up. For example:</w:t>
      </w:r>
      <w:r>
        <w:rPr>
          <w:lang w:val="en_US" w:bidi="en_US"/>
        </w:rPr>
        <w:t xml:space="preserve">Peter and his companions were sound asleep, but they woke up (GNT) </w:t>
      </w:r>
      <w:r>
        <w:rPr>
          <w:i/>
          <w:lang w:val="en_US" w:bidi="en_US"/>
        </w:rPr>
        <w:t>(BSB, GNT, NASB, RSV, NJB, REB, GW, NLT, CEV)</w:t>
      </w:r>
    </w:p>
    <w:p>
      <w:pPr>
        <w:pStyle w:val="ListNumber"/>
        <w:spacing w:line="240" w:lineRule="auto"/>
        <w:ind w:left="720"/>
      </w:pPr>
      <w:r>
        <w:rPr>
          <w:lang w:val="en_US" w:bidi="en_US"/>
        </w:rPr>
      </w:r>
      <w:r>
        <w:rPr>
          <w:lang w:val="en_US" w:bidi="en_US"/>
        </w:rPr>
        <w:t xml:space="preserve">It indicates that the disciples </w:t>
      </w:r>
      <w:r>
        <w:rPr>
          <w:u w:val="single"/>
          <w:lang w:val="en_US" w:bidi="en_US"/>
        </w:rPr>
        <w:t>were very sleepy</w:t>
      </w:r>
      <w:r>
        <w:rPr>
          <w:lang w:val="en_US" w:bidi="en_US"/>
        </w:rPr>
        <w:t xml:space="preserve"> but stayed awake. For example:</w:t>
      </w:r>
      <w:r>
        <w:rPr>
          <w:lang w:val="en_US" w:bidi="en_US"/>
        </w:rPr>
        <w:t xml:space="preserve">Peter and those with him were quite sleepy, but as they became fully awake (NET) </w:t>
      </w:r>
      <w:r>
        <w:rPr>
          <w:i/>
          <w:lang w:val="en_US" w:bidi="en_US"/>
        </w:rPr>
        <w:t>(NIV, NRSV, NET)</w:t>
      </w:r>
    </w:p>
    <w:p>
      <w:pPr/>
      <w:r>
        <w:rPr>
          <w:lang w:val="en_US" w:bidi="en_US"/>
        </w:rPr>
      </w:r>
      <w:r>
        <w:rPr>
          <w:lang w:val="en_US" w:bidi="en_US"/>
        </w:rPr>
        <w:t>It is recommended that you follow interpretation (1), along with a majority of scholars and English versions. The GW has been used as the source line in the Display.</w:t>
      </w:r>
    </w:p>
    <w:p>
      <w:pPr>
        <w:pStyle w:val="Heading5"/>
      </w:pPr>
      <w:r>
        <w:rPr>
          <w:lang w:val="en_US" w:bidi="en_US"/>
        </w:rPr>
        <w:t>9:32b</w:t>
      </w:r>
    </w:p>
    <w:p>
      <w:pPr/>
      <w:r>
        <w:rPr>
          <w:lang w:val="en_US" w:bidi="en_US"/>
        </w:rPr>
      </w:r>
      <w:r>
        <w:rPr>
          <w:b/>
          <w:lang w:val="en_US" w:bidi="en_US"/>
        </w:rPr>
        <w:t>but when they awoke,</w:t>
      </w:r>
    </w:p>
    <w:p>
      <w:pPr>
        <w:pStyle w:val="ListBullet"/>
        <w:spacing w:line="240" w:lineRule="auto"/>
        <w:ind w:left="720"/>
      </w:pPr>
      <w:r>
        <w:rPr>
          <w:lang w:val="en_US" w:bidi="en_US"/>
        </w:rPr>
      </w:r>
      <w:r>
        <w:rPr>
          <w:lang w:val="en_US" w:bidi="en_US"/>
        </w:rPr>
        <w:t xml:space="preserve">but </w:t>
      </w:r>
      <w:r>
        <w:rPr>
          <w:lang w:val="en_US" w:bidi="en_US"/>
        </w:rPr>
        <w:t>then/suddenly</w:t>
      </w:r>
      <w:r>
        <w:rPr>
          <w:lang w:val="en_US" w:bidi="en_US"/>
        </w:rPr>
        <w:t xml:space="preserve"> they awoke.</w:t>
      </w:r>
    </w:p>
    <w:p>
      <w:pPr>
        <w:pStyle w:val="ListBullet"/>
        <w:spacing w:line="240" w:lineRule="auto"/>
        <w:ind w:left="720"/>
      </w:pPr>
      <w:r>
        <w:rPr>
          <w:lang w:val="en_US" w:bidi="en_US"/>
        </w:rPr>
      </w:r>
      <w:r>
        <w:rPr>
          <w:lang w:val="en_US" w:bidi="en_US"/>
        </w:rPr>
        <w:t>When they awoke,</w:t>
      </w:r>
    </w:p>
    <w:p>
      <w:pPr/>
      <w:r>
        <w:rPr>
          <w:lang w:val="en_US" w:bidi="en_US"/>
        </w:rPr>
      </w:r>
      <w:r>
        <w:rPr>
          <w:lang w:val="en_US" w:bidi="en_US"/>
        </w:rPr>
        <w:t>In Greek this verse part begins with a conjunction that the BSB translates as “but.” It is a common conjunction that can be translated in different ways in different contexts. Some English versions, such as the NLT and GW, do not translate a conjunction here. Do what is natural in your language for this context.</w:t>
      </w:r>
    </w:p>
    <w:p>
      <w:pPr/>
      <w:r>
        <w:rPr>
          <w:lang w:val="en_US" w:bidi="en_US"/>
        </w:rPr>
      </w:r>
      <w:r>
        <w:rPr>
          <w:b/>
          <w:lang w:val="en_US" w:bidi="en_US"/>
        </w:rPr>
        <w:t>when they awoke:</w:t>
      </w:r>
      <w:r>
        <w:rPr>
          <w:lang w:val="en_US" w:bidi="en_US"/>
        </w:rPr>
        <w:t xml:space="preserve"> The Greek verb here is literally “having awakened.” It introduces what the disciples saw in 9:32c. Some English versions translate it with an introductory clause, as the BSB does. Other versions start a new sentence here. For example:</w:t>
      </w:r>
    </w:p>
    <w:p>
      <w:pPr/>
      <w:r>
        <w:rPr>
          <w:lang w:val="en_US" w:bidi="en_US"/>
        </w:rPr>
      </w:r>
      <w:r>
        <w:rPr>
          <w:lang w:val="en_US" w:bidi="en_US"/>
        </w:rPr>
        <w:t>All at once they woke up (CEV)</w:t>
      </w:r>
    </w:p>
    <w:p>
      <w:pPr>
        <w:pStyle w:val="Heading5"/>
      </w:pPr>
      <w:r>
        <w:rPr>
          <w:lang w:val="en_US" w:bidi="en_US"/>
        </w:rPr>
        <w:t>9:32c</w:t>
      </w:r>
    </w:p>
    <w:p>
      <w:pPr/>
      <w:r>
        <w:rPr>
          <w:lang w:val="en_US" w:bidi="en_US"/>
        </w:rPr>
      </w:r>
      <w:r>
        <w:rPr>
          <w:b/>
          <w:lang w:val="en_US" w:bidi="en_US"/>
        </w:rPr>
        <w:t>they saw Jesus’ glory and the two men standing with Him.</w:t>
      </w:r>
    </w:p>
    <w:p>
      <w:pPr>
        <w:pStyle w:val="ListBullet"/>
        <w:spacing w:line="240" w:lineRule="auto"/>
        <w:ind w:left="720"/>
      </w:pPr>
      <w:r>
        <w:rPr>
          <w:lang w:val="en_US" w:bidi="en_US"/>
        </w:rPr>
      </w:r>
      <w:r>
        <w:rPr>
          <w:lang w:val="en_US" w:bidi="en_US"/>
        </w:rPr>
        <w:t xml:space="preserve">They saw how brightly Jesus shone, and </w:t>
      </w:r>
      <w:r>
        <w:rPr>
          <w:lang w:val="en_US" w:bidi="en_US"/>
        </w:rPr>
        <w:t>they also saw</w:t>
      </w:r>
      <w:r>
        <w:rPr>
          <w:lang w:val="en_US" w:bidi="en_US"/>
        </w:rPr>
        <w:t xml:space="preserve"> the two men who were standing with him.</w:t>
      </w:r>
    </w:p>
    <w:p>
      <w:pPr>
        <w:pStyle w:val="ListBullet"/>
        <w:spacing w:line="240" w:lineRule="auto"/>
        <w:ind w:left="720"/>
      </w:pPr>
      <w:r>
        <w:rPr>
          <w:lang w:val="en_US" w:bidi="en_US"/>
        </w:rPr>
      </w:r>
      <w:r>
        <w:rPr>
          <w:lang w:val="en_US" w:bidi="en_US"/>
        </w:rPr>
        <w:t xml:space="preserve">they saw the dazzling light that came from Jesus. </w:t>
      </w:r>
      <w:r>
        <w:rPr>
          <w:lang w:val="en_US" w:bidi="en_US"/>
        </w:rPr>
        <w:t>They also saw</w:t>
      </w:r>
      <w:r>
        <w:rPr>
          <w:lang w:val="en_US" w:bidi="en_US"/>
        </w:rPr>
        <w:t xml:space="preserve"> the two men who were standing near him.</w:t>
      </w:r>
    </w:p>
    <w:p>
      <w:pPr/>
      <w:r>
        <w:rPr>
          <w:lang w:val="en_US" w:bidi="en_US"/>
        </w:rPr>
      </w:r>
      <w:r>
        <w:rPr>
          <w:b/>
          <w:lang w:val="en_US" w:bidi="en_US"/>
        </w:rPr>
        <w:t>they saw Jesus’ glory:</w:t>
      </w:r>
      <w:r>
        <w:rPr>
          <w:lang w:val="en_US" w:bidi="en_US"/>
        </w:rPr>
        <w:t xml:space="preserve"> The clause </w:t>
      </w:r>
      <w:r>
        <w:rPr>
          <w:i/>
          <w:lang w:val="en_US" w:bidi="en_US"/>
        </w:rPr>
        <w:t>they saw Jesus’ glory</w:t>
      </w:r>
      <w:r>
        <w:rPr>
          <w:lang w:val="en_US" w:bidi="en_US"/>
        </w:rPr>
        <w:t xml:space="preserve"> means that the three disciples saw the shining/bright light that came from Jesus and surrounded him. They saw that Jesus was shining brightly like a heavenly being. Another way to translate this is:</w:t>
      </w:r>
    </w:p>
    <w:p>
      <w:pPr/>
      <w:r>
        <w:rPr>
          <w:lang w:val="en_US" w:bidi="en_US"/>
        </w:rPr>
      </w:r>
      <w:r>
        <w:rPr>
          <w:lang w:val="en_US" w:bidi="en_US"/>
        </w:rPr>
        <w:t>saw how glorious Jesus was (CEV)</w:t>
      </w:r>
    </w:p>
    <w:p>
      <w:pPr/>
      <w:r>
        <w:rPr>
          <w:lang w:val="en_US" w:bidi="en_US"/>
        </w:rPr>
      </w:r>
      <w:r>
        <w:rPr>
          <w:b/>
          <w:lang w:val="en_US" w:bidi="en_US"/>
        </w:rPr>
        <w:t>and the two men standing with Him:</w:t>
      </w:r>
      <w:r>
        <w:rPr>
          <w:lang w:val="en_US" w:bidi="en_US"/>
        </w:rPr>
        <w:t xml:space="preserve"> The disciples also saw that two men were standing with him. It is clear from 9:33c that they somehow recognized the men to be Moses and Elijah.</w:t>
      </w:r>
      <w:r>
        <w:rPr>
          <w:lang w:val="en_US" w:bidi="en_US"/>
        </w:rPr>
      </w:r>
      <w:r>
        <w:rPr>
          <w:lang w:val="en_US" w:bidi="en_US"/>
        </w:rPr>
      </w:r>
    </w:p>
    <w:p>
      <w:pPr/>
      <w:r>
        <w:rPr>
          <w:lang w:val="en_US" w:bidi="en_US"/>
        </w:rPr>
      </w:r>
    </w:p>
    <w:p>
      <w:pPr>
        <w:pStyle w:val="Heading2"/>
      </w:pPr>
      <w:r>
        <w:rPr>
          <w:lang w:val="en_US" w:bidi="en_US"/>
        </w:rPr>
        <w:t>Luke 9:33</w:t>
      </w:r>
      <w:r>
        <w:rPr>
          <w:lang w:val="en_US" w:bidi="en_US"/>
        </w:rPr>
      </w:r>
    </w:p>
    <w:p>
      <w:pPr>
        <w:pStyle w:val="Heading4"/>
      </w:pPr>
      <w:r>
        <w:rPr>
          <w:lang w:val="en_US" w:bidi="en_US"/>
        </w:rPr>
        <w:t>Section 9:28–36: Three disciples saw Jesus’ glory</w:t>
      </w:r>
    </w:p>
    <w:p>
      <w:pPr/>
      <w:r>
        <w:rPr>
          <w:lang w:val="en_US" w:bidi="en_US"/>
        </w:rPr>
      </w:r>
      <w:r>
        <w:rPr>
          <w:lang w:val="en_US" w:bidi="en_US"/>
        </w:rPr>
        <w:t>In 9:26 Jesus spoke about the time when he would return to earth and people would see his glory. Then in 9:28–36 God caused Jesus to be glorified for a short time. Peter, James, and John saw this. 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Some other examples of headings for this section are:</w:t>
      </w:r>
    </w:p>
    <w:p>
      <w:pPr/>
      <w:r>
        <w:rPr>
          <w:lang w:val="en_US" w:bidi="en_US"/>
        </w:rPr>
      </w:r>
      <w:r>
        <w:rPr>
          <w:lang w:val="en_US" w:bidi="en_US"/>
        </w:rPr>
        <w:t>Jesus Talks with Moses and Elijah (NCV)</w:t>
      </w:r>
    </w:p>
    <w:p>
      <w:pPr/>
      <w:r>
        <w:rPr>
          <w:lang w:val="en_US" w:bidi="en_US"/>
        </w:rPr>
      </w:r>
      <w:r>
        <w:rPr>
          <w:lang w:val="en_US" w:bidi="en_US"/>
        </w:rPr>
        <w:t>God showed three disciples who Jesus really was</w:t>
      </w:r>
    </w:p>
    <w:p>
      <w:pPr/>
      <w:r>
        <w:rPr>
          <w:lang w:val="en_US" w:bidi="en_US"/>
        </w:rPr>
      </w:r>
      <w:r>
        <w:rPr>
          <w:lang w:val="en_US" w:bidi="en_US"/>
        </w:rPr>
        <w:t>There are parallel passages for this section in Matthew 17:1–12 and Mark 9:2–13.</w:t>
      </w:r>
    </w:p>
    <w:p>
      <w:pPr>
        <w:pStyle w:val="Heading5"/>
      </w:pPr>
      <w:r>
        <w:rPr>
          <w:lang w:val="en_US" w:bidi="en_US"/>
        </w:rPr>
        <w:t>9:33a</w:t>
      </w:r>
    </w:p>
    <w:p>
      <w:pPr/>
      <w:r>
        <w:rPr>
          <w:lang w:val="en_US" w:bidi="en_US"/>
        </w:rPr>
      </w:r>
      <w:r>
        <w:rPr>
          <w:b/>
          <w:lang w:val="en_US" w:bidi="en_US"/>
        </w:rPr>
        <w:t>As Moses and Elijah were leaving, Peter said to Jesus,</w:t>
      </w:r>
    </w:p>
    <w:p>
      <w:pPr>
        <w:pStyle w:val="ListBullet"/>
        <w:spacing w:line="240" w:lineRule="auto"/>
        <w:ind w:left="720"/>
      </w:pPr>
      <w:r>
        <w:rPr>
          <w:lang w:val="en_US" w:bidi="en_US"/>
        </w:rPr>
      </w:r>
      <w:r>
        <w:rPr>
          <w:lang w:val="en_US" w:bidi="en_US"/>
        </w:rPr>
        <w:t xml:space="preserve">When </w:t>
      </w:r>
      <w:r>
        <w:rPr>
          <w:lang w:val="en_US" w:bidi="en_US"/>
        </w:rPr>
        <w:t>Moses and Elijah</w:t>
      </w:r>
      <w:r>
        <w:rPr>
          <w:lang w:val="en_US" w:bidi="en_US"/>
        </w:rPr>
        <w:t xml:space="preserve"> were starting to leave Jesus, Peter said to </w:t>
      </w:r>
      <w:r>
        <w:rPr>
          <w:lang w:val="en_US" w:bidi="en_US"/>
        </w:rPr>
        <w:t>Jesus</w:t>
      </w:r>
      <w:r>
        <w:rPr>
          <w:lang w:val="en_US" w:bidi="en_US"/>
        </w:rPr>
        <w:t>,</w:t>
      </w:r>
    </w:p>
    <w:p>
      <w:pPr>
        <w:pStyle w:val="ListBullet"/>
        <w:spacing w:line="240" w:lineRule="auto"/>
        <w:ind w:left="720"/>
      </w:pPr>
      <w:r>
        <w:rPr>
          <w:lang w:val="en_US" w:bidi="en_US"/>
        </w:rPr>
      </w:r>
      <w:r>
        <w:rPr>
          <w:lang w:val="en_US" w:bidi="en_US"/>
        </w:rPr>
        <w:t xml:space="preserve">As the </w:t>
      </w:r>
      <w:r>
        <w:rPr>
          <w:lang w:val="en_US" w:bidi="en_US"/>
        </w:rPr>
        <w:t>two</w:t>
      </w:r>
      <w:r>
        <w:rPr>
          <w:lang w:val="en_US" w:bidi="en_US"/>
        </w:rPr>
        <w:t xml:space="preserve"> men were about to leave Jesus, Peter said to him,</w:t>
      </w:r>
    </w:p>
    <w:p>
      <w:pPr/>
      <w:r>
        <w:rPr>
          <w:lang w:val="en_US" w:bidi="en_US"/>
        </w:rPr>
      </w:r>
      <w:r>
        <w:rPr>
          <w:b/>
          <w:lang w:val="en_US" w:bidi="en_US"/>
        </w:rPr>
        <w:t>As Moses and Elijah were leaving, Peter said to Jesus:</w:t>
      </w:r>
      <w:r>
        <w:rPr>
          <w:lang w:val="en_US" w:bidi="en_US"/>
        </w:rPr>
        <w:t xml:space="preserve"> The two men, Moses and Elijah, started to leave Jesus. But before they left, Peter spoke to Jesus.</w:t>
      </w:r>
    </w:p>
    <w:p>
      <w:pPr>
        <w:pStyle w:val="Heading5"/>
      </w:pPr>
      <w:r>
        <w:rPr>
          <w:lang w:val="en_US" w:bidi="en_US"/>
        </w:rPr>
        <w:t>9:33b</w:t>
      </w:r>
    </w:p>
    <w:p>
      <w:pPr/>
      <w:r>
        <w:rPr>
          <w:lang w:val="en_US" w:bidi="en_US"/>
        </w:rPr>
      </w:r>
      <w:r>
        <w:rPr>
          <w:b/>
          <w:lang w:val="en_US" w:bidi="en_US"/>
        </w:rPr>
        <w:t>“Master, it is good for us to be here.</w:t>
      </w:r>
    </w:p>
    <w:p>
      <w:pPr>
        <w:pStyle w:val="ListBullet"/>
        <w:spacing w:line="240" w:lineRule="auto"/>
        <w:ind w:left="720"/>
      </w:pPr>
      <w:r>
        <w:rPr>
          <w:lang w:val="en_US" w:bidi="en_US"/>
        </w:rPr>
      </w:r>
      <w:r>
        <w:rPr>
          <w:lang w:val="en_US" w:bidi="en_US"/>
        </w:rPr>
        <w:t>“Teacher, it is good that we</w:t>
      </w:r>
      <w:r>
        <w:rPr>
          <w:vertAlign w:val="superscript"/>
          <w:lang w:val="en_US" w:bidi="en_US"/>
        </w:rPr>
        <w:t>(incl)</w:t>
      </w:r>
      <w:r>
        <w:rPr>
          <w:lang w:val="en_US" w:bidi="en_US"/>
        </w:rPr>
        <w:t xml:space="preserve"> are here.</w:t>
      </w:r>
    </w:p>
    <w:p>
      <w:pPr>
        <w:pStyle w:val="ListBullet"/>
        <w:spacing w:line="240" w:lineRule="auto"/>
        <w:ind w:left="720"/>
      </w:pPr>
      <w:r>
        <w:rPr>
          <w:lang w:val="en_US" w:bidi="en_US"/>
        </w:rPr>
      </w:r>
      <w:r>
        <w:rPr>
          <w:lang w:val="en_US" w:bidi="en_US"/>
        </w:rPr>
        <w:t>“Sir/Teacher, our</w:t>
      </w:r>
      <w:r>
        <w:rPr>
          <w:vertAlign w:val="superscript"/>
          <w:lang w:val="en_US" w:bidi="en_US"/>
        </w:rPr>
        <w:t>(excl)</w:t>
      </w:r>
      <w:r>
        <w:rPr>
          <w:lang w:val="en_US" w:bidi="en_US"/>
        </w:rPr>
        <w:t xml:space="preserve"> being/presence here is </w:t>
      </w:r>
      <w:r>
        <w:rPr>
          <w:lang w:val="en_US" w:bidi="en_US"/>
        </w:rPr>
        <w:t>really</w:t>
      </w:r>
      <w:r>
        <w:rPr>
          <w:lang w:val="en_US" w:bidi="en_US"/>
        </w:rPr>
        <w:t xml:space="preserve"> good/wonderful.</w:t>
      </w:r>
    </w:p>
    <w:p>
      <w:pPr/>
      <w:r>
        <w:rPr>
          <w:lang w:val="en_US" w:bidi="en_US"/>
        </w:rPr>
      </w:r>
      <w:r>
        <w:rPr>
          <w:b/>
          <w:lang w:val="en_US" w:bidi="en_US"/>
        </w:rPr>
        <w:t>Master:</w:t>
      </w:r>
      <w:r>
        <w:rPr>
          <w:lang w:val="en_US" w:bidi="en_US"/>
        </w:rPr>
        <w:t xml:space="preserve"> The Greek word that the BSB translates as </w:t>
      </w:r>
      <w:r>
        <w:rPr>
          <w:i/>
          <w:lang w:val="en_US" w:bidi="en_US"/>
        </w:rPr>
        <w:t>Master</w:t>
      </w:r>
      <w:r>
        <w:rPr>
          <w:lang w:val="en_US" w:bidi="en_US"/>
        </w:rPr>
        <w:t xml:space="preserve"> often refers to the owner or boss of a servant/slave. People also used this word to show respect when they addressed a person who had authority over them. Peter called Jesus </w:t>
      </w:r>
      <w:r>
        <w:rPr>
          <w:i/>
          <w:lang w:val="en_US" w:bidi="en_US"/>
        </w:rPr>
        <w:t>Master</w:t>
      </w:r>
      <w:r>
        <w:rPr>
          <w:lang w:val="en_US" w:bidi="en_US"/>
        </w:rPr>
        <w:t xml:space="preserve"> here to show respect for him. It also implies that Peter had a close relationship with Jesus as his teacher and spiritual leader.</w:t>
      </w:r>
    </w:p>
    <w:p>
      <w:pPr/>
      <w:r>
        <w:rPr>
          <w:lang w:val="en_US" w:bidi="en_US"/>
        </w:rPr>
      </w:r>
      <w:r>
        <w:rPr>
          <w:lang w:val="en_US" w:bidi="en_US"/>
        </w:rPr>
        <w:t xml:space="preserve">Be careful not to use a word that refers only to the owner of a slave. Some other ways to translate </w:t>
      </w:r>
      <w:r>
        <w:rPr>
          <w:i/>
          <w:lang w:val="en_US" w:bidi="en_US"/>
        </w:rPr>
        <w:t>Master</w:t>
      </w:r>
      <w:r>
        <w:rPr>
          <w:lang w:val="en_US" w:bidi="en_US"/>
        </w:rPr>
        <w:t xml:space="preserve"> in this context are:</w:t>
      </w:r>
    </w:p>
    <w:p>
      <w:pPr/>
      <w:r>
        <w:rPr>
          <w:lang w:val="en_US" w:bidi="en_US"/>
        </w:rPr>
      </w:r>
      <w:r>
        <w:rPr>
          <w:lang w:val="en_US" w:bidi="en_US"/>
        </w:rPr>
        <w:t>Lord</w:t>
      </w:r>
    </w:p>
    <w:p>
      <w:pPr/>
      <w:r>
        <w:rPr>
          <w:lang w:val="en_US" w:bidi="en_US"/>
        </w:rPr>
      </w:r>
      <w:r>
        <w:rPr>
          <w:lang w:val="en_US" w:bidi="en_US"/>
        </w:rPr>
        <w:t>Sir</w:t>
      </w:r>
    </w:p>
    <w:p>
      <w:pPr/>
      <w:r>
        <w:rPr>
          <w:lang w:val="en_US" w:bidi="en_US"/>
        </w:rPr>
      </w:r>
      <w:r>
        <w:rPr>
          <w:lang w:val="en_US" w:bidi="en_US"/>
        </w:rPr>
        <w:t>This word first occurs in Luke in 5:5a.</w:t>
      </w:r>
    </w:p>
    <w:p>
      <w:pPr/>
      <w:r>
        <w:rPr>
          <w:lang w:val="en_US" w:bidi="en_US"/>
        </w:rPr>
      </w:r>
      <w:r>
        <w:rPr>
          <w:b/>
          <w:lang w:val="en_US" w:bidi="en_US"/>
        </w:rPr>
        <w:t>it is good for us to be here:</w:t>
      </w:r>
      <w:r>
        <w:rPr>
          <w:lang w:val="en_US" w:bidi="en_US"/>
        </w:rPr>
        <w:t xml:space="preserve"> The clause </w:t>
      </w:r>
      <w:r>
        <w:rPr>
          <w:i/>
          <w:lang w:val="en_US" w:bidi="en_US"/>
        </w:rPr>
        <w:t>it is good for us to be here</w:t>
      </w:r>
      <w:r>
        <w:rPr>
          <w:lang w:val="en_US" w:bidi="en_US"/>
        </w:rPr>
        <w:t xml:space="preserve"> expresses Peter’s feelings. He felt that it was good, wonderful, or fortunate that they were there to see and experience this amazing event.</w:t>
      </w:r>
    </w:p>
    <w:p>
      <w:pPr/>
      <w:r>
        <w:rPr>
          <w:lang w:val="en_US" w:bidi="en_US"/>
        </w:rPr>
      </w:r>
      <w:r>
        <w:rPr>
          <w:lang w:val="en_US" w:bidi="en_US"/>
        </w:rPr>
        <w:t>Some other ways to translate this are:</w:t>
      </w:r>
    </w:p>
    <w:p>
      <w:pPr/>
      <w:r>
        <w:rPr>
          <w:lang w:val="en_US" w:bidi="en_US"/>
        </w:rPr>
      </w:r>
      <w:r>
        <w:rPr>
          <w:lang w:val="en_US" w:bidi="en_US"/>
        </w:rPr>
        <w:t>it is good that we are here (REB)</w:t>
      </w:r>
    </w:p>
    <w:p>
      <w:pPr/>
      <w:r>
        <w:rPr>
          <w:lang w:val="en_US" w:bidi="en_US"/>
        </w:rPr>
      </w:r>
      <w:r>
        <w:rPr>
          <w:lang w:val="en_US" w:bidi="en_US"/>
        </w:rPr>
        <w:t xml:space="preserve">our presence here is </w:t>
      </w:r>
      <w:r>
        <w:rPr>
          <w:lang w:val="en_US" w:bidi="en_US"/>
        </w:rPr>
        <w:t>really</w:t>
      </w:r>
      <w:r>
        <w:rPr>
          <w:lang w:val="en_US" w:bidi="en_US"/>
        </w:rPr>
        <w:t xml:space="preserve"> good</w:t>
      </w:r>
    </w:p>
    <w:p>
      <w:pPr/>
      <w:r>
        <w:rPr>
          <w:lang w:val="en_US" w:bidi="en_US"/>
        </w:rPr>
      </w:r>
      <w:r>
        <w:rPr>
          <w:lang w:val="en_US" w:bidi="en_US"/>
        </w:rPr>
        <w:t>how wonderful that we are here</w:t>
      </w:r>
    </w:p>
    <w:p>
      <w:pPr/>
      <w:r>
        <w:rPr>
          <w:lang w:val="en_US" w:bidi="en_US"/>
        </w:rPr>
      </w:r>
      <w:r>
        <w:rPr>
          <w:b/>
          <w:lang w:val="en_US" w:bidi="en_US"/>
        </w:rPr>
        <w:t>us:</w:t>
      </w:r>
      <w:r>
        <w:rPr>
          <w:lang w:val="en_US" w:bidi="en_US"/>
        </w:rPr>
        <w:t xml:space="preserve"> There are two ways to interpret the pronoun </w:t>
      </w:r>
      <w:r>
        <w:rPr>
          <w:i/>
          <w:lang w:val="en_US" w:bidi="en_US"/>
        </w:rPr>
        <w:t>us</w:t>
      </w:r>
      <w:r>
        <w:rPr>
          <w:lang w:val="en_US" w:bidi="en_US"/>
        </w:rPr>
        <w:t xml:space="preserve"> here:</w:t>
      </w:r>
    </w:p>
    <w:p>
      <w:pPr>
        <w:pStyle w:val="ListNumber"/>
        <w:numPr>
          <w:ilvl w:val="0"/>
          <w:numId w:val="194"/>
        </w:numPr>
        <w:spacing w:line="240" w:lineRule="auto"/>
        <w:ind w:left="720"/>
      </w:pPr>
      <w:r>
        <w:rPr>
          <w:lang w:val="en_US" w:bidi="en_US"/>
        </w:rPr>
      </w:r>
      <w:r>
        <w:rPr>
          <w:lang w:val="en_US" w:bidi="en_US"/>
        </w:rPr>
        <w:t>It is inclusive, referring to the three disciples and Jesus. It means:</w:t>
      </w:r>
      <w:r>
        <w:rPr>
          <w:lang w:val="en_US" w:bidi="en_US"/>
        </w:rPr>
        <w:t xml:space="preserve">It is good for </w:t>
      </w:r>
      <w:r>
        <w:rPr>
          <w:lang w:val="en_US" w:bidi="en_US"/>
        </w:rPr>
        <w:t>all of</w:t>
      </w:r>
      <w:r>
        <w:rPr>
          <w:lang w:val="en_US" w:bidi="en_US"/>
        </w:rPr>
        <w:t xml:space="preserve"> us</w:t>
      </w:r>
      <w:r>
        <w:rPr>
          <w:vertAlign w:val="superscript"/>
          <w:lang w:val="en_US" w:bidi="en_US"/>
        </w:rPr>
        <w:t>(incl)</w:t>
      </w:r>
      <w:r>
        <w:rPr>
          <w:lang w:val="en_US" w:bidi="en_US"/>
        </w:rPr>
        <w:t xml:space="preserve"> to be here </w:t>
      </w:r>
      <w:r>
        <w:rPr>
          <w:lang w:val="en_US" w:bidi="en_US"/>
        </w:rPr>
        <w:t>together</w:t>
      </w:r>
    </w:p>
    <w:p>
      <w:pPr>
        <w:pStyle w:val="ListNumber"/>
        <w:spacing w:line="240" w:lineRule="auto"/>
        <w:ind w:left="720"/>
      </w:pPr>
      <w:r>
        <w:rPr>
          <w:lang w:val="en_US" w:bidi="en_US"/>
        </w:rPr>
      </w:r>
      <w:r>
        <w:rPr>
          <w:lang w:val="en_US" w:bidi="en_US"/>
        </w:rPr>
        <w:t>It is exclusive, referring to the three disciples only. It means:</w:t>
      </w:r>
      <w:r>
        <w:rPr>
          <w:lang w:val="en_US" w:bidi="en_US"/>
        </w:rPr>
        <w:t>It is good for us</w:t>
      </w:r>
      <w:r>
        <w:rPr>
          <w:vertAlign w:val="superscript"/>
          <w:lang w:val="en_US" w:bidi="en_US"/>
        </w:rPr>
        <w:t>(excl)</w:t>
      </w:r>
      <w:r>
        <w:rPr>
          <w:lang w:val="en_US" w:bidi="en_US"/>
        </w:rPr>
        <w:t xml:space="preserve"> </w:t>
      </w:r>
      <w:r>
        <w:rPr>
          <w:lang w:val="en_US" w:bidi="en_US"/>
        </w:rPr>
        <w:t>disciples</w:t>
      </w:r>
      <w:r>
        <w:rPr>
          <w:lang w:val="en_US" w:bidi="en_US"/>
        </w:rPr>
        <w:t xml:space="preserve"> to be here</w:t>
      </w:r>
    </w:p>
    <w:p>
      <w:pPr/>
      <w:r>
        <w:rPr>
          <w:lang w:val="en_US" w:bidi="en_US"/>
        </w:rPr>
      </w:r>
      <w:r>
        <w:rPr>
          <w:lang w:val="en_US" w:bidi="en_US"/>
        </w:rPr>
        <w:t>You should translate ambiguously if your language allows you to do so. If you need to choose an exclusive or inclusive “us,” you may choose either one. Be sure to consider carefully the implications of either choice for speakers of your language. You should also consider whether a major language translation in your area has followed one interpretation or the other.</w:t>
      </w:r>
      <w:r>
        <w:rPr>
          <w:lang w:val="en_US" w:bidi="en_US"/>
        </w:rPr>
        <w:t>Using an exclusive pronoun here may incorrectly imply in some languages that being there was good only for the disciples, not for Jesus. It is likely that Jesus, as well as the disciples, was encouraged by this experience. On the other hand, using an exclusive pronoun here may acceptably imply only that the disciples were focusing on the benefit to them as disciples, since Jesus had specifically taken them with him. In the Philippines, the Ang Bagong Magandang Balita Biblia translation (Tagalog 2004) used an exclusive pronoun here. In Indonesia, several national language translations used an inclusive pronoun.</w:t>
      </w:r>
    </w:p>
    <w:p>
      <w:pPr>
        <w:pStyle w:val="Heading5"/>
      </w:pPr>
      <w:r>
        <w:rPr>
          <w:lang w:val="en_US" w:bidi="en_US"/>
        </w:rPr>
        <w:t>9:33c</w:t>
      </w:r>
    </w:p>
    <w:p>
      <w:pPr/>
      <w:r>
        <w:rPr>
          <w:lang w:val="en_US" w:bidi="en_US"/>
        </w:rPr>
      </w:r>
      <w:r>
        <w:rPr>
          <w:b/>
          <w:lang w:val="en_US" w:bidi="en_US"/>
        </w:rPr>
        <w:t>Let us put up three shelters—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will build three huts,</w:t>
      </w:r>
    </w:p>
    <w:p>
      <w:pPr>
        <w:pStyle w:val="ListBullet"/>
        <w:spacing w:line="240" w:lineRule="auto"/>
        <w:ind w:left="720"/>
      </w:pPr>
      <w:r>
        <w:rPr>
          <w:lang w:val="en_US" w:bidi="en_US"/>
        </w:rPr>
      </w:r>
      <w:r>
        <w:rPr>
          <w:lang w:val="en_US" w:bidi="en_US"/>
        </w:rPr>
        <w:t>I would like for us</w:t>
      </w:r>
      <w:r>
        <w:rPr>
          <w:vertAlign w:val="superscript"/>
          <w:lang w:val="en_US" w:bidi="en_US"/>
        </w:rPr>
        <w:t>(excl)</w:t>
      </w:r>
      <w:r>
        <w:rPr>
          <w:lang w:val="en_US" w:bidi="en_US"/>
        </w:rPr>
        <w:t xml:space="preserve"> to make three shelters/booths.</w:t>
      </w:r>
    </w:p>
    <w:p>
      <w:pPr>
        <w:pStyle w:val="Heading5"/>
      </w:pPr>
      <w:r>
        <w:rPr>
          <w:lang w:val="en_US" w:bidi="en_US"/>
        </w:rPr>
        <w:t>9:33d</w:t>
      </w:r>
    </w:p>
    <w:p>
      <w:pPr/>
      <w:r>
        <w:rPr>
          <w:lang w:val="en_US" w:bidi="en_US"/>
        </w:rPr>
      </w:r>
      <w:r>
        <w:rPr>
          <w:b/>
          <w:lang w:val="en_US" w:bidi="en_US"/>
        </w:rPr>
        <w:t>one for You, one for Moses, and one for Elijah.”</w:t>
      </w:r>
    </w:p>
    <w:p>
      <w:pPr>
        <w:pStyle w:val="ListBullet"/>
        <w:spacing w:line="240" w:lineRule="auto"/>
        <w:ind w:left="720"/>
      </w:pPr>
      <w:r>
        <w:rPr>
          <w:lang w:val="en_US" w:bidi="en_US"/>
        </w:rPr>
      </w:r>
      <w:r>
        <w:rPr>
          <w:lang w:val="en_US" w:bidi="en_US"/>
        </w:rPr>
        <w:t>one for you</w:t>
      </w:r>
      <w:r>
        <w:rPr>
          <w:vertAlign w:val="superscript"/>
          <w:lang w:val="en_US" w:bidi="en_US"/>
        </w:rPr>
        <w:t>(sing)</w:t>
      </w:r>
      <w:r>
        <w:rPr>
          <w:lang w:val="en_US" w:bidi="en_US"/>
        </w:rPr>
        <w:t>, one for Moses, and one for Elijah.”</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can make</w:t>
      </w:r>
      <w:r>
        <w:rPr>
          <w:lang w:val="en_US" w:bidi="en_US"/>
        </w:rPr>
        <w:t xml:space="preserve"> one shelter/booth for you</w:t>
      </w:r>
      <w:r>
        <w:rPr>
          <w:vertAlign w:val="superscript"/>
          <w:lang w:val="en_US" w:bidi="en_US"/>
        </w:rPr>
        <w:t>(sing)</w:t>
      </w:r>
      <w:r>
        <w:rPr>
          <w:lang w:val="en_US" w:bidi="en_US"/>
        </w:rPr>
        <w:t xml:space="preserve">, </w:t>
      </w:r>
      <w:r>
        <w:rPr>
          <w:lang w:val="en_US" w:bidi="en_US"/>
        </w:rPr>
        <w:t>another</w:t>
      </w:r>
      <w:r>
        <w:rPr>
          <w:lang w:val="en_US" w:bidi="en_US"/>
        </w:rPr>
        <w:t xml:space="preserve"> for Moses, and </w:t>
      </w:r>
      <w:r>
        <w:rPr>
          <w:lang w:val="en_US" w:bidi="en_US"/>
        </w:rPr>
        <w:t>another</w:t>
      </w:r>
      <w:r>
        <w:rPr>
          <w:lang w:val="en_US" w:bidi="en_US"/>
        </w:rPr>
        <w:t xml:space="preserve"> for Elijah.”</w:t>
      </w:r>
    </w:p>
    <w:p>
      <w:pPr>
        <w:pStyle w:val="Heading5"/>
      </w:pPr>
      <w:r>
        <w:rPr>
          <w:lang w:val="en_US" w:bidi="en_US"/>
        </w:rPr>
        <w:t>9:33c–d</w:t>
      </w:r>
    </w:p>
    <w:p>
      <w:pPr/>
      <w:r>
        <w:rPr>
          <w:lang w:val="en_US" w:bidi="en_US"/>
        </w:rPr>
      </w:r>
      <w:r>
        <w:rPr>
          <w:b/>
          <w:lang w:val="en_US" w:bidi="en_US"/>
        </w:rPr>
        <w:t>Let us put up:</w:t>
      </w:r>
      <w:r>
        <w:rPr>
          <w:lang w:val="en_US" w:bidi="en_US"/>
        </w:rPr>
        <w:t xml:space="preserve"> The Greek verb that the BSB translates as </w:t>
      </w:r>
      <w:r>
        <w:rPr>
          <w:i/>
          <w:lang w:val="en_US" w:bidi="en_US"/>
        </w:rPr>
        <w:t>Let us put up</w:t>
      </w:r>
      <w:r>
        <w:rPr>
          <w:lang w:val="en_US" w:bidi="en_US"/>
        </w:rPr>
        <w:t xml:space="preserve"> expresses a suggestion. It is not a request for permission.</w:t>
      </w:r>
    </w:p>
    <w:p>
      <w:pPr/>
      <w:r>
        <w:rPr>
          <w:lang w:val="en_US" w:bidi="en_US"/>
        </w:rPr>
      </w:r>
      <w:r>
        <w:rPr>
          <w:lang w:val="en_US" w:bidi="en_US"/>
        </w:rPr>
        <w:t>Some other ways to translate this are:</w:t>
      </w:r>
    </w:p>
    <w:p>
      <w:pPr/>
      <w:r>
        <w:rPr>
          <w:lang w:val="en_US" w:bidi="en_US"/>
        </w:rPr>
      </w:r>
      <w:r>
        <w:rPr>
          <w:lang w:val="en_US" w:bidi="en_US"/>
        </w:rPr>
        <w:t>We shall make</w:t>
      </w:r>
    </w:p>
    <w:p>
      <w:pPr/>
      <w:r>
        <w:rPr>
          <w:lang w:val="en_US" w:bidi="en_US"/>
        </w:rPr>
      </w:r>
      <w:r>
        <w:rPr>
          <w:lang w:val="en_US" w:bidi="en_US"/>
        </w:rPr>
        <w:t>I would like for us to make</w:t>
      </w:r>
    </w:p>
    <w:p>
      <w:pPr/>
      <w:r>
        <w:rPr>
          <w:lang w:val="en_US" w:bidi="en_US"/>
        </w:rPr>
      </w:r>
      <w:r>
        <w:rPr>
          <w:b/>
          <w:lang w:val="en_US" w:bidi="en_US"/>
        </w:rPr>
        <w:t>us:</w:t>
      </w:r>
      <w:r>
        <w:rPr>
          <w:lang w:val="en_US" w:bidi="en_US"/>
        </w:rPr>
        <w:t xml:space="preserve"> In this context the pronoun </w:t>
      </w:r>
      <w:r>
        <w:rPr>
          <w:i/>
          <w:lang w:val="en_US" w:bidi="en_US"/>
        </w:rPr>
        <w:t>us</w:t>
      </w:r>
      <w:r>
        <w:rPr>
          <w:lang w:val="en_US" w:bidi="en_US"/>
        </w:rPr>
        <w:t xml:space="preserve"> refers to only Peter, James, and John. Peter did not expect Jesus (or Moses or Elijah) to help them make the shelters.</w:t>
      </w:r>
    </w:p>
    <w:p>
      <w:pPr/>
      <w:r>
        <w:rPr>
          <w:lang w:val="en_US" w:bidi="en_US"/>
        </w:rPr>
      </w:r>
      <w:r>
        <w:rPr>
          <w:b/>
          <w:lang w:val="en_US" w:bidi="en_US"/>
        </w:rPr>
        <w:t>put up:</w:t>
      </w:r>
      <w:r>
        <w:rPr>
          <w:lang w:val="en_US" w:bidi="en_US"/>
        </w:rPr>
        <w:t xml:space="preserve"> The Greek word that the BSB translates as </w:t>
      </w:r>
      <w:r>
        <w:rPr>
          <w:i/>
          <w:lang w:val="en_US" w:bidi="en_US"/>
        </w:rPr>
        <w:t>put up</w:t>
      </w:r>
      <w:r>
        <w:rPr>
          <w:lang w:val="en_US" w:bidi="en_US"/>
        </w:rPr>
        <w:t xml:space="preserve"> is literally “make.” Peter was suggesting that he, James, and John build shelters from materials that were there on the mountain.</w:t>
      </w:r>
    </w:p>
    <w:p>
      <w:pPr/>
      <w:r>
        <w:rPr>
          <w:lang w:val="en_US" w:bidi="en_US"/>
        </w:rPr>
      </w:r>
      <w:r>
        <w:rPr>
          <w:lang w:val="en_US" w:bidi="en_US"/>
        </w:rPr>
        <w:t>Some other ways to translate this are:</w:t>
      </w:r>
    </w:p>
    <w:p>
      <w:pPr/>
      <w:r>
        <w:rPr>
          <w:lang w:val="en_US" w:bidi="en_US"/>
        </w:rPr>
      </w:r>
      <w:r>
        <w:rPr>
          <w:lang w:val="en_US" w:bidi="en_US"/>
        </w:rPr>
        <w:t>build</w:t>
      </w:r>
    </w:p>
    <w:p>
      <w:pPr/>
      <w:r>
        <w:rPr>
          <w:lang w:val="en_US" w:bidi="en_US"/>
        </w:rPr>
      </w:r>
      <w:r>
        <w:rPr>
          <w:lang w:val="en_US" w:bidi="en_US"/>
        </w:rPr>
        <w:t>make (NJB)</w:t>
      </w:r>
    </w:p>
    <w:p>
      <w:pPr/>
      <w:r>
        <w:rPr>
          <w:lang w:val="en_US" w:bidi="en_US"/>
        </w:rPr>
      </w:r>
      <w:r>
        <w:rPr>
          <w:b/>
          <w:lang w:val="en_US" w:bidi="en_US"/>
        </w:rPr>
        <w:t>three shelters:</w:t>
      </w:r>
      <w:r>
        <w:rPr>
          <w:lang w:val="en_US" w:bidi="en_US"/>
        </w:rPr>
        <w:t xml:space="preserve"> There are two ways to interpret the Greek word that the BSB translates as </w:t>
      </w:r>
      <w:r>
        <w:rPr>
          <w:i/>
          <w:lang w:val="en_US" w:bidi="en_US"/>
        </w:rPr>
        <w:t>shelters</w:t>
      </w:r>
      <w:r>
        <w:rPr>
          <w:lang w:val="en_US" w:bidi="en_US"/>
        </w:rPr>
        <w:t>:</w:t>
      </w:r>
    </w:p>
    <w:p>
      <w:pPr>
        <w:pStyle w:val="ListNumber"/>
        <w:numPr>
          <w:ilvl w:val="0"/>
          <w:numId w:val="195"/>
        </w:numPr>
        <w:spacing w:line="240" w:lineRule="auto"/>
        <w:ind w:left="720"/>
      </w:pPr>
      <w:r>
        <w:rPr>
          <w:lang w:val="en_US" w:bidi="en_US"/>
        </w:rPr>
      </w:r>
      <w:r>
        <w:rPr>
          <w:lang w:val="en_US" w:bidi="en_US"/>
        </w:rPr>
        <w:t xml:space="preserve">It refers to </w:t>
      </w:r>
      <w:r>
        <w:rPr>
          <w:u w:val="single"/>
          <w:lang w:val="en_US" w:bidi="en_US"/>
        </w:rPr>
        <w:t>temporary shelters</w:t>
      </w:r>
      <w:r>
        <w:rPr>
          <w:lang w:val="en_US" w:bidi="en_US"/>
        </w:rPr>
        <w:t xml:space="preserve"> made from branches, leaves, and other things that were easy to find. They were used for shade or to block the wind. For example:</w:t>
      </w:r>
      <w:r>
        <w:rPr>
          <w:lang w:val="en_US" w:bidi="en_US"/>
        </w:rPr>
        <w:t xml:space="preserve">three shelters (NET) </w:t>
      </w:r>
      <w:r>
        <w:rPr>
          <w:i/>
          <w:lang w:val="en_US" w:bidi="en_US"/>
        </w:rPr>
        <w:t>(BSB, NIV, NJB, CEV, NET, JBP, REB, NLT)</w:t>
      </w:r>
    </w:p>
    <w:p>
      <w:pPr>
        <w:pStyle w:val="ListNumber"/>
        <w:spacing w:line="240" w:lineRule="auto"/>
        <w:ind w:left="720"/>
      </w:pPr>
      <w:r>
        <w:rPr>
          <w:lang w:val="en_US" w:bidi="en_US"/>
        </w:rPr>
      </w:r>
      <w:r>
        <w:rPr>
          <w:lang w:val="en_US" w:bidi="en_US"/>
        </w:rPr>
        <w:t xml:space="preserve">It refers to </w:t>
      </w:r>
      <w:r>
        <w:rPr>
          <w:u w:val="single"/>
          <w:lang w:val="en_US" w:bidi="en_US"/>
        </w:rPr>
        <w:t>tents</w:t>
      </w:r>
      <w:r>
        <w:rPr>
          <w:lang w:val="en_US" w:bidi="en_US"/>
        </w:rPr>
        <w:t>. Tents are made of cloth or animal skins. They were used to block the rain or the wind. God’s worship tent in the Old Testament was made of skins. For example:</w:t>
      </w:r>
      <w:r>
        <w:rPr>
          <w:lang w:val="en_US" w:bidi="en_US"/>
        </w:rPr>
        <w:t xml:space="preserve">three tents (NCV) </w:t>
      </w:r>
      <w:r>
        <w:rPr>
          <w:i/>
          <w:lang w:val="en_US" w:bidi="en_US"/>
        </w:rPr>
        <w:t>(GNT, GW, NCV, ESV)</w:t>
      </w:r>
    </w:p>
    <w:p>
      <w:pPr/>
      <w:r>
        <w:rPr>
          <w:lang w:val="en_US" w:bidi="en_US"/>
        </w:rPr>
      </w:r>
      <w:r>
        <w:rPr>
          <w:lang w:val="en_US" w:bidi="en_US"/>
        </w:rPr>
        <w:t>It is recommended that you follow interpretation (1). Leafy branches were available on the mountain to use in making a shelter, booth, or hut. Animal skins, used for making tents, would not have been available.</w:t>
      </w:r>
    </w:p>
    <w:p>
      <w:pPr>
        <w:pStyle w:val="Heading5"/>
      </w:pPr>
      <w:r>
        <w:rPr>
          <w:lang w:val="en_US" w:bidi="en_US"/>
        </w:rPr>
        <w:t>9:33e</w:t>
      </w:r>
    </w:p>
    <w:p>
      <w:pPr/>
      <w:r>
        <w:rPr>
          <w:lang w:val="en_US" w:bidi="en_US"/>
        </w:rPr>
      </w:r>
      <w:r>
        <w:rPr>
          <w:b/>
          <w:lang w:val="en_US" w:bidi="en_US"/>
        </w:rPr>
        <w:t>(He did not know what he was saying.)</w:t>
      </w:r>
    </w:p>
    <w:p>
      <w:pPr>
        <w:pStyle w:val="ListBullet"/>
        <w:spacing w:line="240" w:lineRule="auto"/>
        <w:ind w:left="720"/>
      </w:pPr>
      <w:r>
        <w:rPr>
          <w:lang w:val="en_US" w:bidi="en_US"/>
        </w:rPr>
      </w:r>
      <w:r>
        <w:rPr>
          <w:lang w:val="en_US" w:bidi="en_US"/>
        </w:rPr>
        <w:t>(Peter did not really know what he was saying.)</w:t>
      </w:r>
    </w:p>
    <w:p>
      <w:pPr>
        <w:pStyle w:val="ListBullet"/>
        <w:spacing w:line="240" w:lineRule="auto"/>
        <w:ind w:left="720"/>
      </w:pPr>
      <w:r>
        <w:rPr>
          <w:lang w:val="en_US" w:bidi="en_US"/>
        </w:rPr>
      </w:r>
      <w:r>
        <w:rPr>
          <w:lang w:val="en_US" w:bidi="en_US"/>
        </w:rPr>
        <w:t xml:space="preserve">Peter did not realize that what he said </w:t>
      </w:r>
      <w:r>
        <w:rPr>
          <w:lang w:val="en_US" w:bidi="en_US"/>
        </w:rPr>
        <w:t>was not useful</w:t>
      </w:r>
      <w:r>
        <w:rPr>
          <w:lang w:val="en_US" w:bidi="en_US"/>
        </w:rPr>
        <w:t>.</w:t>
      </w:r>
    </w:p>
    <w:p>
      <w:pPr/>
      <w:r>
        <w:rPr>
          <w:lang w:val="en_US" w:bidi="en_US"/>
        </w:rPr>
      </w:r>
      <w:r>
        <w:rPr>
          <w:b/>
          <w:lang w:val="en_US" w:bidi="en_US"/>
        </w:rPr>
        <w:t>(He did not know what he was saying.):</w:t>
      </w:r>
      <w:r>
        <w:rPr>
          <w:lang w:val="en_US" w:bidi="en_US"/>
        </w:rPr>
        <w:t xml:space="preserve"> The clause </w:t>
      </w:r>
      <w:r>
        <w:rPr>
          <w:i/>
          <w:lang w:val="en_US" w:bidi="en_US"/>
        </w:rPr>
        <w:t>He did not know what he was saying</w:t>
      </w:r>
      <w:r>
        <w:rPr>
          <w:lang w:val="en_US" w:bidi="en_US"/>
        </w:rPr>
        <w:t xml:space="preserve"> means that Peter did not realize what his words meant or implied. He did not think carefully before he spoke. Three men in their heavenly bodies would not need any earthly shelter.</w:t>
      </w:r>
    </w:p>
    <w:p>
      <w:pPr/>
      <w:r>
        <w:rPr>
          <w:lang w:val="en_US" w:bidi="en_US"/>
        </w:rPr>
      </w:r>
      <w:r>
        <w:rPr>
          <w:lang w:val="en_US" w:bidi="en_US"/>
        </w:rPr>
        <w:t>In the Greek text, this clause is connected to the previous sentence. It explains why Peter said what he did. The BSB and GNT indicate that this is an explanation by using parentheses. Another approach is to use a dash. For example:</w:t>
      </w:r>
    </w:p>
    <w:p>
      <w:pPr/>
      <w:r>
        <w:rPr>
          <w:lang w:val="en_US" w:bidi="en_US"/>
        </w:rPr>
      </w:r>
      <w:r>
        <w:rPr>
          <w:lang w:val="en_US" w:bidi="en_US"/>
        </w:rPr>
        <w:t>—not knowing what he said (RSV)</w:t>
      </w:r>
    </w:p>
    <w:p>
      <w:pPr/>
      <w:r>
        <w:rPr>
          <w:lang w:val="en_US" w:bidi="en_US"/>
        </w:rPr>
      </w:r>
      <w:r>
        <w:rPr>
          <w:lang w:val="en_US" w:bidi="en_US"/>
        </w:rPr>
        <w:t>You could also introduce this clause with a word that would imply that Peter had spoken inappropriately. For example:</w:t>
      </w:r>
    </w:p>
    <w:p>
      <w:pPr/>
      <w:r>
        <w:rPr>
          <w:lang w:val="en_US" w:bidi="en_US"/>
        </w:rPr>
      </w:r>
      <w:r>
        <w:rPr>
          <w:lang w:val="en_US" w:bidi="en_US"/>
        </w:rPr>
        <w:t>But Peter did not know what he was talking about. (CEV)</w:t>
      </w:r>
    </w:p>
    <w:p>
      <w:pPr/>
      <w:r>
        <w:rPr>
          <w:lang w:val="en_US" w:bidi="en_US"/>
        </w:rPr>
      </w:r>
      <w:r>
        <w:rPr>
          <w:lang w:val="en_US" w:bidi="en_US"/>
        </w:rPr>
        <w:t>In some languages, it may be clearer to introduce this clause by referring again to what Peter said in 9:33b–c. For example:</w:t>
      </w:r>
    </w:p>
    <w:p>
      <w:pPr/>
      <w:r>
        <w:rPr>
          <w:lang w:val="en_US" w:bidi="en_US"/>
        </w:rPr>
      </w:r>
      <w:r>
        <w:rPr>
          <w:lang w:val="en_US" w:bidi="en_US"/>
        </w:rPr>
        <w:t>He said this because</w:t>
      </w:r>
      <w:r>
        <w:rPr>
          <w:lang w:val="en_US" w:bidi="en_US"/>
        </w:rPr>
        <w:t xml:space="preserve"> he did not know what to say.</w:t>
      </w:r>
    </w:p>
    <w:p>
      <w:pPr>
        <w:pStyle w:val="Heading6"/>
      </w:pPr>
      <w:r>
        <w:rPr>
          <w:b/>
          <w:lang w:val="en_US" w:bidi="en_US"/>
        </w:rPr>
        <w:t>General Comment on 9:33a–e</w:t>
      </w:r>
    </w:p>
    <w:p>
      <w:pPr/>
      <w:r>
        <w:rPr>
          <w:lang w:val="en_US" w:bidi="en_US"/>
        </w:rPr>
      </w:r>
      <w:r>
        <w:rPr>
          <w:lang w:val="en_US" w:bidi="en_US"/>
        </w:rPr>
        <w:t>In some languages, it may be more natural to place 9:33e before what Peter said. For example:</w:t>
      </w:r>
    </w:p>
    <w:p>
      <w:pPr/>
      <w:r>
        <w:rPr>
          <w:lang w:val="en_US" w:bidi="en_US"/>
        </w:rPr>
      </w:r>
      <w:r>
        <w:rPr>
          <w:vertAlign w:val="superscript"/>
          <w:lang w:val="en_US" w:bidi="en_US"/>
        </w:rPr>
        <w:t>33a</w:t>
      </w:r>
      <w:r>
        <w:rPr>
          <w:lang w:val="en_US" w:bidi="en_US"/>
        </w:rPr>
        <w:t xml:space="preserve">As Moses and Elijah were starting to leave, Peter, </w:t>
      </w:r>
      <w:r>
        <w:rPr>
          <w:vertAlign w:val="superscript"/>
          <w:lang w:val="en_US" w:bidi="en_US"/>
        </w:rPr>
        <w:t>33e</w:t>
      </w:r>
      <w:r>
        <w:rPr>
          <w:lang w:val="en_US" w:bidi="en_US"/>
        </w:rPr>
        <w:t xml:space="preserve">not even knowing what he was saying, blurted out, </w:t>
      </w:r>
      <w:r>
        <w:rPr>
          <w:vertAlign w:val="superscript"/>
          <w:lang w:val="en_US" w:bidi="en_US"/>
        </w:rPr>
        <w:t>33b</w:t>
      </w:r>
      <w:r>
        <w:rPr>
          <w:lang w:val="en_US" w:bidi="en_US"/>
        </w:rPr>
        <w:t>“Master, it’s wonderful for us to be here!…” (NLT)</w:t>
      </w:r>
    </w:p>
    <w:p>
      <w:pPr/>
      <w:r>
        <w:rPr>
          <w:lang w:val="en_US" w:bidi="en_US"/>
        </w:rPr>
      </w:r>
      <w:r>
        <w:rPr>
          <w:lang w:val="en_US" w:bidi="en_US"/>
        </w:rPr>
        <w:t>Arrange these verse parts in a way that is natural in your language.</w:t>
      </w:r>
      <w:r>
        <w:rPr>
          <w:lang w:val="en_US" w:bidi="en_US"/>
        </w:rPr>
      </w:r>
      <w:r>
        <w:rPr>
          <w:lang w:val="en_US" w:bidi="en_US"/>
        </w:rPr>
      </w:r>
    </w:p>
    <w:p>
      <w:pPr/>
      <w:r>
        <w:rPr>
          <w:lang w:val="en_US" w:bidi="en_US"/>
        </w:rPr>
      </w:r>
    </w:p>
    <w:p>
      <w:pPr>
        <w:pStyle w:val="Heading2"/>
      </w:pPr>
      <w:r>
        <w:rPr>
          <w:lang w:val="en_US" w:bidi="en_US"/>
        </w:rPr>
        <w:t>Luke 9:34</w:t>
      </w:r>
      <w:r>
        <w:rPr>
          <w:lang w:val="en_US" w:bidi="en_US"/>
        </w:rPr>
      </w:r>
    </w:p>
    <w:p>
      <w:pPr>
        <w:pStyle w:val="Heading4"/>
      </w:pPr>
      <w:r>
        <w:rPr>
          <w:lang w:val="en_US" w:bidi="en_US"/>
        </w:rPr>
        <w:t>Section 9:28–36: Three disciples saw Jesus’ glory</w:t>
      </w:r>
    </w:p>
    <w:p>
      <w:pPr/>
      <w:r>
        <w:rPr>
          <w:lang w:val="en_US" w:bidi="en_US"/>
        </w:rPr>
      </w:r>
      <w:r>
        <w:rPr>
          <w:lang w:val="en_US" w:bidi="en_US"/>
        </w:rPr>
        <w:t>In 9:26 Jesus spoke about the time when he would return to earth and people would see his glory. Then in 9:28–36 God caused Jesus to be glorified for a short time. Peter, James, and John saw this. 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Some other examples of headings for this section are:</w:t>
      </w:r>
    </w:p>
    <w:p>
      <w:pPr/>
      <w:r>
        <w:rPr>
          <w:lang w:val="en_US" w:bidi="en_US"/>
        </w:rPr>
      </w:r>
      <w:r>
        <w:rPr>
          <w:lang w:val="en_US" w:bidi="en_US"/>
        </w:rPr>
        <w:t>Jesus Talks with Moses and Elijah (NCV)</w:t>
      </w:r>
    </w:p>
    <w:p>
      <w:pPr/>
      <w:r>
        <w:rPr>
          <w:lang w:val="en_US" w:bidi="en_US"/>
        </w:rPr>
      </w:r>
      <w:r>
        <w:rPr>
          <w:lang w:val="en_US" w:bidi="en_US"/>
        </w:rPr>
        <w:t>God showed three disciples who Jesus really was</w:t>
      </w:r>
    </w:p>
    <w:p>
      <w:pPr/>
      <w:r>
        <w:rPr>
          <w:lang w:val="en_US" w:bidi="en_US"/>
        </w:rPr>
      </w:r>
      <w:r>
        <w:rPr>
          <w:lang w:val="en_US" w:bidi="en_US"/>
        </w:rPr>
        <w:t>There are parallel passages for this section in Matthew 17:1–12 and Mark 9:2–13.</w:t>
      </w:r>
    </w:p>
    <w:p>
      <w:pPr>
        <w:pStyle w:val="Heading5"/>
      </w:pPr>
      <w:r>
        <w:rPr>
          <w:lang w:val="en_US" w:bidi="en_US"/>
        </w:rPr>
        <w:t>9:34a–b</w:t>
      </w:r>
    </w:p>
    <w:p>
      <w:pPr/>
      <w:r>
        <w:rPr>
          <w:lang w:val="en_US" w:bidi="en_US"/>
        </w:rPr>
      </w:r>
      <w:r>
        <w:rPr>
          <w:b/>
          <w:lang w:val="en_US" w:bidi="en_US"/>
        </w:rPr>
        <w:t>a cloud…enveloped them…as they entered the cloud:</w:t>
      </w:r>
      <w:r>
        <w:rPr>
          <w:lang w:val="en_US" w:bidi="en_US"/>
        </w:rPr>
        <w:t xml:space="preserve"> There are at least three views about which people the cloud </w:t>
      </w:r>
      <w:r>
        <w:rPr>
          <w:i/>
          <w:lang w:val="en_US" w:bidi="en_US"/>
        </w:rPr>
        <w:t>enveloped</w:t>
      </w:r>
      <w:r>
        <w:rPr>
          <w:lang w:val="en_US" w:bidi="en_US"/>
        </w:rPr>
        <w:t xml:space="preserve"> and who </w:t>
      </w:r>
      <w:r>
        <w:rPr>
          <w:i/>
          <w:lang w:val="en_US" w:bidi="en_US"/>
        </w:rPr>
        <w:t>entered the cloud</w:t>
      </w:r>
      <w:r>
        <w:rPr>
          <w:lang w:val="en_US" w:bidi="en_US"/>
        </w:rPr>
        <w:t>:</w:t>
      </w:r>
      <w:r>
        <w:rPr>
          <w:lang w:val="en_US" w:bidi="en_US"/>
        </w:rPr>
        <w:t>See Blight 2007a, pp. 415–16, for the scholars who support each view. In addition to these three views, TH, p. 384, supports a variation of views (1) and (3): The cloud overshadowed everyone; only Moses and Elijah entered the cloud.</w:t>
      </w:r>
    </w:p>
    <w:p>
      <w:pPr>
        <w:pStyle w:val="ListNumber"/>
        <w:numPr>
          <w:ilvl w:val="0"/>
          <w:numId w:val="196"/>
        </w:numPr>
        <w:spacing w:line="240" w:lineRule="auto"/>
        <w:ind w:left="720"/>
      </w:pPr>
      <w:r>
        <w:rPr>
          <w:lang w:val="en_US" w:bidi="en_US"/>
        </w:rPr>
      </w:r>
      <w:r>
        <w:rPr>
          <w:lang w:val="en_US" w:bidi="en_US"/>
        </w:rPr>
        <w:t>A cloud enveloped everyone there (Jesus, the disciples, Moses, and Elijah). Everyone entered the cloud.</w:t>
      </w:r>
    </w:p>
    <w:p>
      <w:pPr>
        <w:pStyle w:val="ListNumber"/>
        <w:spacing w:line="240" w:lineRule="auto"/>
        <w:ind w:left="720"/>
      </w:pPr>
      <w:r>
        <w:rPr>
          <w:lang w:val="en_US" w:bidi="en_US"/>
        </w:rPr>
      </w:r>
      <w:r>
        <w:rPr>
          <w:lang w:val="en_US" w:bidi="en_US"/>
        </w:rPr>
        <w:t>A cloud enveloped Jesus, Moses, and Elijah. Jesus, Moses, and Elijah entered the cloud.</w:t>
      </w:r>
    </w:p>
    <w:p>
      <w:pPr>
        <w:pStyle w:val="ListNumber"/>
        <w:spacing w:line="240" w:lineRule="auto"/>
        <w:ind w:left="720"/>
      </w:pPr>
      <w:r>
        <w:rPr>
          <w:lang w:val="en_US" w:bidi="en_US"/>
        </w:rPr>
      </w:r>
      <w:r>
        <w:rPr>
          <w:lang w:val="en_US" w:bidi="en_US"/>
        </w:rPr>
        <w:t>A cloud enveloped only Moses and Elijah. Moses and Elijah entered the cloud.</w:t>
      </w:r>
    </w:p>
    <w:p>
      <w:pPr/>
      <w:r>
        <w:rPr>
          <w:lang w:val="en_US" w:bidi="en_US"/>
        </w:rPr>
      </w:r>
      <w:r>
        <w:rPr>
          <w:lang w:val="en_US" w:bidi="en_US"/>
        </w:rPr>
        <w:t>English versions do not indicate which interpretation they follow. If possible, you should translate in a way that does not make explicit who was enveloped by the cloud and who entered it. However, if you need to choose an interpretation, it is recommended that you follow interpretation (1).</w:t>
      </w:r>
    </w:p>
    <w:p>
      <w:pPr>
        <w:pStyle w:val="Heading5"/>
      </w:pPr>
      <w:r>
        <w:rPr>
          <w:lang w:val="en_US" w:bidi="en_US"/>
        </w:rPr>
        <w:t>9:34a</w:t>
      </w:r>
    </w:p>
    <w:p>
      <w:pPr/>
      <w:r>
        <w:rPr>
          <w:lang w:val="en_US" w:bidi="en_US"/>
        </w:rPr>
      </w:r>
      <w:r>
        <w:rPr>
          <w:b/>
          <w:lang w:val="en_US" w:bidi="en_US"/>
        </w:rPr>
        <w:t>While Peter was speaking, a cloud appeared and enveloped them,</w:t>
      </w:r>
    </w:p>
    <w:p>
      <w:pPr>
        <w:pStyle w:val="ListBullet"/>
        <w:spacing w:line="240" w:lineRule="auto"/>
        <w:ind w:left="720"/>
      </w:pPr>
      <w:r>
        <w:rPr>
          <w:lang w:val="en_US" w:bidi="en_US"/>
        </w:rPr>
      </w:r>
      <w:r>
        <w:rPr>
          <w:lang w:val="en_US" w:bidi="en_US"/>
        </w:rPr>
        <w:t>¶ While Peter/he was still talking, a cloud came/arrived and overshadowed them.</w:t>
      </w:r>
    </w:p>
    <w:p>
      <w:pPr>
        <w:pStyle w:val="ListBullet"/>
        <w:spacing w:line="240" w:lineRule="auto"/>
        <w:ind w:left="720"/>
      </w:pPr>
      <w:r>
        <w:rPr>
          <w:lang w:val="en_US" w:bidi="en_US"/>
        </w:rPr>
      </w:r>
      <w:r>
        <w:rPr>
          <w:lang w:val="en_US" w:bidi="en_US"/>
        </w:rPr>
        <w:t>¶ As he was speaking, a cloud developed/formed and covered them with its shadow.</w:t>
      </w:r>
    </w:p>
    <w:p>
      <w:pPr/>
      <w:r>
        <w:rPr>
          <w:lang w:val="en_US" w:bidi="en_US"/>
        </w:rPr>
      </w:r>
      <w:r>
        <w:rPr>
          <w:b/>
          <w:lang w:val="en_US" w:bidi="en_US"/>
        </w:rPr>
        <w:t>While Peter was speaking:</w:t>
      </w:r>
      <w:r>
        <w:rPr>
          <w:lang w:val="en_US" w:bidi="en_US"/>
        </w:rPr>
        <w:t xml:space="preserve"> The clause </w:t>
      </w:r>
      <w:r>
        <w:rPr>
          <w:i/>
          <w:lang w:val="en_US" w:bidi="en_US"/>
        </w:rPr>
        <w:t>While Peter was speaking</w:t>
      </w:r>
      <w:r>
        <w:rPr>
          <w:lang w:val="en_US" w:bidi="en_US"/>
        </w:rPr>
        <w:t xml:space="preserve"> refers to when Peter was still speaking the words in 9:33b–c.</w:t>
      </w:r>
    </w:p>
    <w:p>
      <w:pPr/>
      <w:r>
        <w:rPr>
          <w:lang w:val="en_US" w:bidi="en_US"/>
        </w:rPr>
      </w:r>
      <w:r>
        <w:rPr>
          <w:b/>
          <w:lang w:val="en_US" w:bidi="en_US"/>
        </w:rPr>
        <w:t>a cloud:</w:t>
      </w:r>
      <w:r>
        <w:rPr>
          <w:lang w:val="en_US" w:bidi="en_US"/>
        </w:rPr>
        <w:t xml:space="preserve"> The </w:t>
      </w:r>
      <w:r>
        <w:rPr>
          <w:i/>
          <w:lang w:val="en_US" w:bidi="en_US"/>
        </w:rPr>
        <w:t>cloud</w:t>
      </w:r>
      <w:r>
        <w:rPr>
          <w:lang w:val="en_US" w:bidi="en_US"/>
        </w:rPr>
        <w:t xml:space="preserve"> represented the presence of God. Use a general expression that could refer to any type of </w:t>
      </w:r>
      <w:r>
        <w:rPr>
          <w:i/>
          <w:lang w:val="en_US" w:bidi="en_US"/>
        </w:rPr>
        <w:t>cloud</w:t>
      </w:r>
      <w:r>
        <w:rPr>
          <w:lang w:val="en_US" w:bidi="en_US"/>
        </w:rPr>
        <w:t>. If your language only has specific terms for each type of cloud, use the term that would be appropriate here. In some languages the term for a white, puffy, fair-weather cloud would fit this context.</w:t>
      </w:r>
    </w:p>
    <w:p>
      <w:pPr/>
      <w:r>
        <w:rPr>
          <w:lang w:val="en_US" w:bidi="en_US"/>
        </w:rPr>
      </w:r>
      <w:r>
        <w:rPr>
          <w:b/>
          <w:lang w:val="en_US" w:bidi="en_US"/>
        </w:rPr>
        <w:t>appeared and enveloped:</w:t>
      </w:r>
      <w:r>
        <w:rPr>
          <w:lang w:val="en_US" w:bidi="en_US"/>
        </w:rPr>
        <w:t xml:space="preserve"> The actions of a cloud appearing and enveloping people often happen almost at the same time. Here are two ways to translate the two verbs:</w:t>
      </w:r>
    </w:p>
    <w:p>
      <w:pPr>
        <w:pStyle w:val="ListBullet"/>
        <w:spacing w:line="240" w:lineRule="auto"/>
        <w:ind w:left="720"/>
      </w:pPr>
      <w:r>
        <w:rPr>
          <w:lang w:val="en_US" w:bidi="en_US"/>
        </w:rPr>
      </w:r>
      <w:r>
        <w:rPr>
          <w:lang w:val="en_US" w:bidi="en_US"/>
        </w:rPr>
        <w:t>Use two or more verbs. For example:</w:t>
      </w:r>
      <w:r>
        <w:rPr>
          <w:lang w:val="en_US" w:bidi="en_US"/>
        </w:rPr>
        <w:t>a cloud appeared and covered them with its shadow (GNT)</w:t>
      </w:r>
    </w:p>
    <w:p>
      <w:pPr>
        <w:pStyle w:val="ListBullet"/>
        <w:spacing w:line="240" w:lineRule="auto"/>
        <w:ind w:left="720"/>
      </w:pPr>
      <w:r>
        <w:rPr>
          <w:lang w:val="en_US" w:bidi="en_US"/>
        </w:rPr>
      </w:r>
      <w:r>
        <w:rPr>
          <w:lang w:val="en_US" w:bidi="en_US"/>
        </w:rPr>
        <w:t>Use only one verb. It may be possible to make the verb “appeared” implicit. For example:</w:t>
      </w:r>
      <w:r>
        <w:rPr>
          <w:lang w:val="en_US" w:bidi="en_US"/>
        </w:rPr>
        <w:t>a cloud overshadowed them (NLT)</w:t>
      </w:r>
    </w:p>
    <w:p>
      <w:pPr/>
      <w:r>
        <w:rPr>
          <w:lang w:val="en_US" w:bidi="en_US"/>
        </w:rPr>
      </w:r>
      <w:r>
        <w:rPr>
          <w:lang w:val="en_US" w:bidi="en_US"/>
        </w:rPr>
        <w:t>Describe these actions in a natural way in your language.</w:t>
      </w:r>
    </w:p>
    <w:p>
      <w:pPr/>
      <w:r>
        <w:rPr>
          <w:lang w:val="en_US" w:bidi="en_US"/>
        </w:rPr>
      </w:r>
      <w:r>
        <w:rPr>
          <w:b/>
          <w:lang w:val="en_US" w:bidi="en_US"/>
        </w:rPr>
        <w:t>appeared:</w:t>
      </w:r>
      <w:r>
        <w:rPr>
          <w:lang w:val="en_US" w:bidi="en_US"/>
        </w:rPr>
        <w:t xml:space="preserve"> In this context, the Greek verb that the BSB translates as </w:t>
      </w:r>
      <w:r>
        <w:rPr>
          <w:i/>
          <w:lang w:val="en_US" w:bidi="en_US"/>
        </w:rPr>
        <w:t>appeared</w:t>
      </w:r>
      <w:r>
        <w:rPr>
          <w:lang w:val="en_US" w:bidi="en_US"/>
        </w:rPr>
        <w:t xml:space="preserve"> means “came” or “appeared.” Use a natural way in your language to speak of a cloud forming. Some ways to do this in English are:</w:t>
      </w:r>
    </w:p>
    <w:p>
      <w:pPr/>
      <w:r>
        <w:rPr>
          <w:lang w:val="en_US" w:bidi="en_US"/>
        </w:rPr>
      </w:r>
      <w:r>
        <w:rPr>
          <w:lang w:val="en_US" w:bidi="en_US"/>
        </w:rPr>
        <w:t>came (NJB)</w:t>
      </w:r>
    </w:p>
    <w:p>
      <w:pPr/>
      <w:r>
        <w:rPr>
          <w:lang w:val="en_US" w:bidi="en_US"/>
        </w:rPr>
      </w:r>
      <w:r>
        <w:rPr>
          <w:lang w:val="en_US" w:bidi="en_US"/>
        </w:rPr>
        <w:t>formed (NASB)</w:t>
      </w:r>
    </w:p>
    <w:p>
      <w:pPr/>
      <w:r>
        <w:rPr>
          <w:lang w:val="en_US" w:bidi="en_US"/>
        </w:rPr>
      </w:r>
      <w:r>
        <w:rPr>
          <w:b/>
          <w:lang w:val="en_US" w:bidi="en_US"/>
        </w:rPr>
        <w:t>enveloped:</w:t>
      </w:r>
      <w:r>
        <w:rPr>
          <w:lang w:val="en_US" w:bidi="en_US"/>
        </w:rPr>
        <w:t xml:space="preserve"> There are two ways to interpret the Greek word that the BSB translates as </w:t>
      </w:r>
      <w:r>
        <w:rPr>
          <w:i/>
          <w:lang w:val="en_US" w:bidi="en_US"/>
        </w:rPr>
        <w:t>enveloped</w:t>
      </w:r>
      <w:r>
        <w:rPr>
          <w:lang w:val="en_US" w:bidi="en_US"/>
        </w:rPr>
        <w:t>:</w:t>
      </w:r>
    </w:p>
    <w:p>
      <w:pPr>
        <w:pStyle w:val="ListNumber"/>
        <w:numPr>
          <w:ilvl w:val="0"/>
          <w:numId w:val="197"/>
        </w:numPr>
        <w:spacing w:line="240" w:lineRule="auto"/>
        <w:ind w:left="720"/>
      </w:pPr>
      <w:r>
        <w:rPr>
          <w:lang w:val="en_US" w:bidi="en_US"/>
        </w:rPr>
      </w:r>
      <w:r>
        <w:rPr>
          <w:lang w:val="en_US" w:bidi="en_US"/>
        </w:rPr>
        <w:t xml:space="preserve">It means </w:t>
      </w:r>
      <w:r>
        <w:rPr>
          <w:u w:val="single"/>
          <w:lang w:val="en_US" w:bidi="en_US"/>
        </w:rPr>
        <w:t>cast its shadow</w:t>
      </w:r>
      <w:r>
        <w:rPr>
          <w:lang w:val="en_US" w:bidi="en_US"/>
        </w:rPr>
        <w:t xml:space="preserve"> or </w:t>
      </w:r>
      <w:r>
        <w:rPr>
          <w:u w:val="single"/>
          <w:lang w:val="en_US" w:bidi="en_US"/>
        </w:rPr>
        <w:t>overshadowed</w:t>
      </w:r>
      <w:r>
        <w:rPr>
          <w:lang w:val="en_US" w:bidi="en_US"/>
        </w:rPr>
        <w:t>. The cloud passed between them and the sun, and they were in its shadow. For example:</w:t>
      </w:r>
      <w:r>
        <w:rPr>
          <w:lang w:val="en_US" w:bidi="en_US"/>
        </w:rPr>
        <w:t xml:space="preserve">covered…with its shadow (GNT) </w:t>
      </w:r>
      <w:r>
        <w:rPr>
          <w:i/>
          <w:lang w:val="en_US" w:bidi="en_US"/>
        </w:rPr>
        <w:t>(RSV, GNT, NJB, NASB, GW, NLT, NET, JBP, REB, KJV, ESV)</w:t>
      </w:r>
    </w:p>
    <w:p>
      <w:pPr>
        <w:pStyle w:val="ListNumber"/>
        <w:spacing w:line="240" w:lineRule="auto"/>
        <w:ind w:left="720"/>
      </w:pPr>
      <w:r>
        <w:rPr>
          <w:lang w:val="en_US" w:bidi="en_US"/>
        </w:rPr>
      </w:r>
      <w:r>
        <w:rPr>
          <w:lang w:val="en_US" w:bidi="en_US"/>
        </w:rPr>
        <w:t xml:space="preserve">It means </w:t>
      </w:r>
      <w:r>
        <w:rPr>
          <w:u w:val="single"/>
          <w:lang w:val="en_US" w:bidi="en_US"/>
        </w:rPr>
        <w:t>surrounded</w:t>
      </w:r>
      <w:r>
        <w:rPr>
          <w:lang w:val="en_US" w:bidi="en_US"/>
        </w:rPr>
        <w:t xml:space="preserve"> or </w:t>
      </w:r>
      <w:r>
        <w:rPr>
          <w:u w:val="single"/>
          <w:lang w:val="en_US" w:bidi="en_US"/>
        </w:rPr>
        <w:t>enveloped</w:t>
      </w:r>
      <w:r>
        <w:rPr>
          <w:lang w:val="en_US" w:bidi="en_US"/>
        </w:rPr>
        <w:t>. They were on a mountain. So when the cloud came, it surrounded them so that they were in the middle of the cloud. It was like being in a fog. For example:</w:t>
      </w:r>
      <w:r>
        <w:rPr>
          <w:lang w:val="en_US" w:bidi="en_US"/>
        </w:rPr>
        <w:t>enveloped (NIV)</w:t>
      </w:r>
      <w:r>
        <w:rPr>
          <w:lang w:val="en_US" w:bidi="en_US"/>
        </w:rPr>
        <w:t xml:space="preserve">came in around (NLV) </w:t>
      </w:r>
      <w:r>
        <w:rPr>
          <w:i/>
          <w:lang w:val="en_US" w:bidi="en_US"/>
        </w:rPr>
        <w:t>(BSB, NIV, NLV)</w:t>
      </w:r>
    </w:p>
    <w:p>
      <w:pPr/>
      <w:r>
        <w:rPr>
          <w:lang w:val="en_US" w:bidi="en_US"/>
        </w:rPr>
      </w:r>
      <w:r>
        <w:rPr>
          <w:lang w:val="en_US" w:bidi="en_US"/>
        </w:rPr>
        <w:t>It is recommended that you follow interpretation (1) along with most English versions.</w:t>
      </w:r>
      <w:r>
        <w:rPr>
          <w:lang w:val="en_US" w:bidi="en_US"/>
        </w:rPr>
        <w:t>Some wording of some English versions, such as “covering them in shadow” (NJB) and “covered them” (NCV), may be ambiguous or may have essentially the same meaning as “enveloped.” Even so, most English versions do support interpretation (1). However, many commentaries support interpretation (2). Louw &amp; Nida (p. 177 14.62) indicates that in this event the cloud may function more like a covering than a shadow. See also BDAG p. 378.</w:t>
      </w:r>
    </w:p>
    <w:p>
      <w:pPr>
        <w:pStyle w:val="Heading5"/>
      </w:pPr>
      <w:r>
        <w:rPr>
          <w:lang w:val="en_US" w:bidi="en_US"/>
        </w:rPr>
        <w:t>9:34b</w:t>
      </w:r>
    </w:p>
    <w:p>
      <w:pPr/>
      <w:r>
        <w:rPr>
          <w:lang w:val="en_US" w:bidi="en_US"/>
        </w:rPr>
      </w:r>
      <w:r>
        <w:rPr>
          <w:b/>
          <w:lang w:val="en_US" w:bidi="en_US"/>
        </w:rPr>
        <w:t>and they were afraid as they entered the cloud.</w:t>
      </w:r>
    </w:p>
    <w:p>
      <w:pPr>
        <w:pStyle w:val="ListBullet"/>
        <w:spacing w:line="240" w:lineRule="auto"/>
        <w:ind w:left="720"/>
      </w:pPr>
      <w:r>
        <w:rPr>
          <w:lang w:val="en_US" w:bidi="en_US"/>
        </w:rPr>
      </w:r>
      <w:r>
        <w:rPr>
          <w:lang w:val="en_US" w:bidi="en_US"/>
        </w:rPr>
        <w:t>The disciples</w:t>
      </w:r>
      <w:r>
        <w:rPr>
          <w:lang w:val="en_US" w:bidi="en_US"/>
        </w:rPr>
        <w:t xml:space="preserve"> were afraid as the cloud covered/overshadowed them.</w:t>
      </w:r>
    </w:p>
    <w:p>
      <w:pPr>
        <w:pStyle w:val="ListBullet"/>
        <w:spacing w:line="240" w:lineRule="auto"/>
        <w:ind w:left="720"/>
      </w:pPr>
      <w:r>
        <w:rPr>
          <w:lang w:val="en_US" w:bidi="en_US"/>
        </w:rPr>
      </w:r>
      <w:r>
        <w:rPr>
          <w:lang w:val="en_US" w:bidi="en_US"/>
        </w:rPr>
        <w:t xml:space="preserve">As they entered the cloud, </w:t>
      </w:r>
      <w:r>
        <w:rPr>
          <w:lang w:val="en_US" w:bidi="en_US"/>
        </w:rPr>
        <w:t>Peter, James, and John</w:t>
      </w:r>
      <w:r>
        <w:rPr>
          <w:lang w:val="en_US" w:bidi="en_US"/>
        </w:rPr>
        <w:t xml:space="preserve"> became afraid.</w:t>
      </w:r>
    </w:p>
    <w:p>
      <w:pPr/>
      <w:r>
        <w:rPr>
          <w:lang w:val="en_US" w:bidi="en_US"/>
        </w:rPr>
      </w:r>
      <w:r>
        <w:rPr>
          <w:b/>
          <w:lang w:val="en_US" w:bidi="en_US"/>
        </w:rPr>
        <w:t>they were afraid as they entered the cloud:</w:t>
      </w:r>
      <w:r>
        <w:rPr>
          <w:lang w:val="en_US" w:bidi="en_US"/>
        </w:rPr>
        <w:t xml:space="preserve"> The words </w:t>
      </w:r>
      <w:r>
        <w:rPr>
          <w:i/>
          <w:lang w:val="en_US" w:bidi="en_US"/>
        </w:rPr>
        <w:t>they were afraid as they entered the cloud</w:t>
      </w:r>
      <w:r>
        <w:rPr>
          <w:lang w:val="en_US" w:bidi="en_US"/>
        </w:rPr>
        <w:t xml:space="preserve"> indicate that the three disciples were frightened when the cloud began to cover them and the others who were there.</w:t>
      </w:r>
    </w:p>
    <w:p>
      <w:pPr/>
      <w:r>
        <w:rPr>
          <w:lang w:val="en_US" w:bidi="en_US"/>
        </w:rPr>
      </w:r>
      <w:r>
        <w:rPr>
          <w:b/>
          <w:lang w:val="en_US" w:bidi="en_US"/>
        </w:rPr>
        <w:t>entered the cloud:</w:t>
      </w:r>
      <w:r>
        <w:rPr>
          <w:lang w:val="en_US" w:bidi="en_US"/>
        </w:rPr>
        <w:t xml:space="preserve"> The words </w:t>
      </w:r>
      <w:r>
        <w:rPr>
          <w:i/>
          <w:lang w:val="en_US" w:bidi="en_US"/>
        </w:rPr>
        <w:t>entered the cloud</w:t>
      </w:r>
      <w:r>
        <w:rPr>
          <w:lang w:val="en_US" w:bidi="en_US"/>
        </w:rPr>
        <w:t xml:space="preserve"> means that the shadow of the cloud moved until it completely covered them. It does not mean that anyone moved forward and went inside the cloud. Other ways to translate this clause are:</w:t>
      </w:r>
    </w:p>
    <w:p>
      <w:pPr/>
      <w:r>
        <w:rPr>
          <w:lang w:val="en_US" w:bidi="en_US"/>
        </w:rPr>
      </w:r>
      <w:r>
        <w:rPr>
          <w:lang w:val="en_US" w:bidi="en_US"/>
        </w:rPr>
        <w:t>the cloud covered them (NCV)</w:t>
      </w:r>
    </w:p>
    <w:p>
      <w:pPr/>
      <w:r>
        <w:rPr>
          <w:lang w:val="en_US" w:bidi="en_US"/>
        </w:rPr>
      </w:r>
      <w:r>
        <w:rPr>
          <w:lang w:val="en_US" w:bidi="en_US"/>
        </w:rPr>
        <w:t>the cloud came over them (GNT)</w:t>
      </w:r>
    </w:p>
    <w:p>
      <w:pPr>
        <w:pStyle w:val="Heading6"/>
      </w:pPr>
      <w:r>
        <w:rPr>
          <w:b/>
          <w:lang w:val="en_US" w:bidi="en_US"/>
        </w:rPr>
        <w:t>General Comment on 9:34a–b</w:t>
      </w:r>
    </w:p>
    <w:p>
      <w:pPr/>
      <w:r>
        <w:rPr>
          <w:lang w:val="en_US" w:bidi="en_US"/>
        </w:rPr>
      </w:r>
      <w:r>
        <w:rPr>
          <w:lang w:val="en_US" w:bidi="en_US"/>
        </w:rPr>
        <w:t>In some languages the phrases “a cloud appeared and covered them with its shadow” (9:34a in the GNT) and “they entered the cloud” (9:34b) may seem redundant. One way to avoid this problem is to use the word “began.” For example:</w:t>
      </w:r>
    </w:p>
    <w:p>
      <w:pPr/>
      <w:r>
        <w:rPr>
          <w:lang w:val="en_US" w:bidi="en_US"/>
        </w:rPr>
      </w:r>
      <w:r>
        <w:rPr>
          <w:vertAlign w:val="superscript"/>
          <w:lang w:val="en_US" w:bidi="en_US"/>
        </w:rPr>
        <w:t>34a</w:t>
      </w:r>
      <w:r>
        <w:rPr>
          <w:lang w:val="en_US" w:bidi="en_US"/>
        </w:rPr>
        <w:t xml:space="preserve">a cloud formed and began to overshadow them; and </w:t>
      </w:r>
      <w:r>
        <w:rPr>
          <w:vertAlign w:val="superscript"/>
          <w:lang w:val="en_US" w:bidi="en_US"/>
        </w:rPr>
        <w:t>34b</w:t>
      </w:r>
      <w:r>
        <w:rPr>
          <w:lang w:val="en_US" w:bidi="en_US"/>
        </w:rPr>
        <w:t>…they entered the cloud (NASB)</w:t>
      </w:r>
      <w:r>
        <w:rPr>
          <w:lang w:val="en_US" w:bidi="en_US"/>
        </w:rPr>
      </w:r>
      <w:r>
        <w:rPr>
          <w:lang w:val="en_US" w:bidi="en_US"/>
        </w:rPr>
      </w:r>
    </w:p>
    <w:p>
      <w:pPr/>
      <w:r>
        <w:rPr>
          <w:lang w:val="en_US" w:bidi="en_US"/>
        </w:rPr>
      </w:r>
    </w:p>
    <w:p>
      <w:pPr>
        <w:pStyle w:val="Heading2"/>
      </w:pPr>
      <w:r>
        <w:rPr>
          <w:lang w:val="en_US" w:bidi="en_US"/>
        </w:rPr>
        <w:t>Luke 9:35</w:t>
      </w:r>
      <w:r>
        <w:rPr>
          <w:lang w:val="en_US" w:bidi="en_US"/>
        </w:rPr>
      </w:r>
    </w:p>
    <w:p>
      <w:pPr>
        <w:pStyle w:val="Heading4"/>
      </w:pPr>
      <w:r>
        <w:rPr>
          <w:lang w:val="en_US" w:bidi="en_US"/>
        </w:rPr>
        <w:t>Section 9:28–36: Three disciples saw Jesus’ glory</w:t>
      </w:r>
    </w:p>
    <w:p>
      <w:pPr/>
      <w:r>
        <w:rPr>
          <w:lang w:val="en_US" w:bidi="en_US"/>
        </w:rPr>
      </w:r>
      <w:r>
        <w:rPr>
          <w:lang w:val="en_US" w:bidi="en_US"/>
        </w:rPr>
        <w:t>In 9:26 Jesus spoke about the time when he would return to earth and people would see his glory. Then in 9:28–36 God caused Jesus to be glorified for a short time. Peter, James, and John saw this. 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Some other examples of headings for this section are:</w:t>
      </w:r>
    </w:p>
    <w:p>
      <w:pPr/>
      <w:r>
        <w:rPr>
          <w:lang w:val="en_US" w:bidi="en_US"/>
        </w:rPr>
      </w:r>
      <w:r>
        <w:rPr>
          <w:lang w:val="en_US" w:bidi="en_US"/>
        </w:rPr>
        <w:t>Jesus Talks with Moses and Elijah (NCV)</w:t>
      </w:r>
    </w:p>
    <w:p>
      <w:pPr/>
      <w:r>
        <w:rPr>
          <w:lang w:val="en_US" w:bidi="en_US"/>
        </w:rPr>
      </w:r>
      <w:r>
        <w:rPr>
          <w:lang w:val="en_US" w:bidi="en_US"/>
        </w:rPr>
        <w:t>God showed three disciples who Jesus really was</w:t>
      </w:r>
    </w:p>
    <w:p>
      <w:pPr/>
      <w:r>
        <w:rPr>
          <w:lang w:val="en_US" w:bidi="en_US"/>
        </w:rPr>
      </w:r>
      <w:r>
        <w:rPr>
          <w:lang w:val="en_US" w:bidi="en_US"/>
        </w:rPr>
        <w:t>There are parallel passages for this section in Matthew 17:1–12 and Mark 9:2–13.</w:t>
      </w:r>
    </w:p>
    <w:p>
      <w:pPr>
        <w:pStyle w:val="Heading5"/>
      </w:pPr>
      <w:r>
        <w:rPr>
          <w:lang w:val="en_US" w:bidi="en_US"/>
        </w:rPr>
        <w:t>9:35a</w:t>
      </w:r>
    </w:p>
    <w:p>
      <w:pPr/>
      <w:r>
        <w:rPr>
          <w:lang w:val="en_US" w:bidi="en_US"/>
        </w:rPr>
      </w:r>
      <w:r>
        <w:rPr>
          <w:b/>
          <w:lang w:val="en_US" w:bidi="en_US"/>
        </w:rPr>
        <w:t>And a voice came from the cloud, saying,</w:t>
      </w:r>
    </w:p>
    <w:p>
      <w:pPr>
        <w:pStyle w:val="ListBullet"/>
        <w:spacing w:line="240" w:lineRule="auto"/>
        <w:ind w:left="720"/>
      </w:pPr>
      <w:r>
        <w:rPr>
          <w:lang w:val="en_US" w:bidi="en_US"/>
        </w:rPr>
      </w:r>
      <w:r>
        <w:rPr>
          <w:lang w:val="en_US" w:bidi="en_US"/>
        </w:rPr>
        <w:t>Then</w:t>
      </w:r>
      <w:r>
        <w:rPr>
          <w:lang w:val="en_US" w:bidi="en_US"/>
        </w:rPr>
        <w:t xml:space="preserve"> a voice from the cloud said,</w:t>
      </w:r>
    </w:p>
    <w:p>
      <w:pPr>
        <w:pStyle w:val="ListBullet"/>
        <w:spacing w:line="240" w:lineRule="auto"/>
        <w:ind w:left="720"/>
      </w:pPr>
      <w:r>
        <w:rPr>
          <w:lang w:val="en_US" w:bidi="en_US"/>
        </w:rPr>
      </w:r>
      <w:r>
        <w:rPr>
          <w:lang w:val="en_US" w:bidi="en_US"/>
        </w:rPr>
        <w:t>God</w:t>
      </w:r>
      <w:r>
        <w:rPr>
          <w:lang w:val="en_US" w:bidi="en_US"/>
        </w:rPr>
        <w:t xml:space="preserve"> spoke from inside the cloud and he said,</w:t>
      </w:r>
    </w:p>
    <w:p>
      <w:pPr/>
      <w:r>
        <w:rPr>
          <w:lang w:val="en_US" w:bidi="en_US"/>
        </w:rPr>
      </w:r>
      <w:r>
        <w:rPr>
          <w:b/>
          <w:lang w:val="en_US" w:bidi="en_US"/>
        </w:rPr>
        <w:t>And:</w:t>
      </w:r>
      <w:r>
        <w:rPr>
          <w:lang w:val="en_US" w:bidi="en_US"/>
        </w:rPr>
        <w:t xml:space="preserve"> This verse begins with a Greek conjunction that is often translated as “and.” Some English versions, such as the BSB, ESV, and RSV, translate it that way. Some other versions, including the NET, NLT, and NRSV, translate it as “Then,” since it introduces the next event in the story. Several other versions, including the CEV, GNT, NCV, and NIV, do not translate this conjunction. Introduce this next event in a natural way in your language.</w:t>
      </w:r>
    </w:p>
    <w:p>
      <w:pPr/>
      <w:r>
        <w:rPr>
          <w:lang w:val="en_US" w:bidi="en_US"/>
        </w:rPr>
      </w:r>
      <w:r>
        <w:rPr>
          <w:b/>
          <w:lang w:val="en_US" w:bidi="en_US"/>
        </w:rPr>
        <w:t>a voice came from the cloud, saying:</w:t>
      </w:r>
      <w:r>
        <w:rPr>
          <w:lang w:val="en_US" w:bidi="en_US"/>
        </w:rPr>
        <w:t xml:space="preserve"> In some languages it may not be natural to say that a voice “came.” Other ways to translate this are:</w:t>
      </w:r>
    </w:p>
    <w:p>
      <w:pPr/>
      <w:r>
        <w:rPr>
          <w:lang w:val="en_US" w:bidi="en_US"/>
        </w:rPr>
      </w:r>
      <w:r>
        <w:rPr>
          <w:lang w:val="en_US" w:bidi="en_US"/>
        </w:rPr>
        <w:t>There was a voice from the cloud that said</w:t>
      </w:r>
    </w:p>
    <w:p>
      <w:pPr/>
      <w:r>
        <w:rPr>
          <w:lang w:val="en_US" w:bidi="en_US"/>
        </w:rPr>
      </w:r>
      <w:r>
        <w:rPr>
          <w:lang w:val="en_US" w:bidi="en_US"/>
        </w:rPr>
        <w:t>They heard a voice that came from the cloud</w:t>
      </w:r>
    </w:p>
    <w:p>
      <w:pPr/>
      <w:r>
        <w:rPr>
          <w:lang w:val="en_US" w:bidi="en_US"/>
        </w:rPr>
      </w:r>
      <w:r>
        <w:rPr>
          <w:lang w:val="en_US" w:bidi="en_US"/>
        </w:rPr>
        <w:t xml:space="preserve">The </w:t>
      </w:r>
      <w:r>
        <w:rPr>
          <w:i/>
          <w:lang w:val="en_US" w:bidi="en_US"/>
        </w:rPr>
        <w:t>voice</w:t>
      </w:r>
      <w:r>
        <w:rPr>
          <w:lang w:val="en_US" w:bidi="en_US"/>
        </w:rPr>
        <w:t xml:space="preserve"> was the voice of God. In some languages it may be more natural to say that God was speaking rather than that his voice </w:t>
      </w:r>
      <w:r>
        <w:rPr>
          <w:i/>
          <w:lang w:val="en_US" w:bidi="en_US"/>
        </w:rPr>
        <w:t>came</w:t>
      </w:r>
      <w:r>
        <w:rPr>
          <w:lang w:val="en_US" w:bidi="en_US"/>
        </w:rPr>
        <w:t>. For example:</w:t>
      </w:r>
    </w:p>
    <w:p>
      <w:pPr/>
      <w:r>
        <w:rPr>
          <w:lang w:val="en_US" w:bidi="en_US"/>
        </w:rPr>
      </w:r>
      <w:r>
        <w:rPr>
          <w:lang w:val="en_US" w:bidi="en_US"/>
        </w:rPr>
        <w:t>God</w:t>
      </w:r>
      <w:r>
        <w:rPr>
          <w:lang w:val="en_US" w:bidi="en_US"/>
        </w:rPr>
        <w:t xml:space="preserve"> spoke from the cloud, and he said…</w:t>
      </w:r>
    </w:p>
    <w:p>
      <w:pPr/>
      <w:r>
        <w:rPr>
          <w:lang w:val="en_US" w:bidi="en_US"/>
        </w:rPr>
      </w:r>
      <w:r>
        <w:rPr>
          <w:lang w:val="en_US" w:bidi="en_US"/>
        </w:rPr>
        <w:t>They heard God</w:t>
      </w:r>
      <w:r>
        <w:rPr>
          <w:lang w:val="en_US" w:bidi="en_US"/>
        </w:rPr>
        <w:t xml:space="preserve"> speaking from the cloud. He said…</w:t>
      </w:r>
    </w:p>
    <w:p>
      <w:pPr>
        <w:pStyle w:val="Heading5"/>
      </w:pPr>
      <w:r>
        <w:rPr>
          <w:lang w:val="en_US" w:bidi="en_US"/>
        </w:rPr>
        <w:t>9:35b</w:t>
      </w:r>
    </w:p>
    <w:p>
      <w:pPr/>
      <w:r>
        <w:rPr>
          <w:lang w:val="en_US" w:bidi="en_US"/>
        </w:rPr>
      </w:r>
      <w:r>
        <w:rPr>
          <w:b/>
          <w:lang w:val="en_US" w:bidi="en_US"/>
        </w:rPr>
        <w:t>“This is My Son, whom I have chosen.</w:t>
      </w:r>
    </w:p>
    <w:p>
      <w:pPr>
        <w:pStyle w:val="ListBullet"/>
        <w:spacing w:line="240" w:lineRule="auto"/>
        <w:ind w:left="720"/>
      </w:pPr>
      <w:r>
        <w:rPr>
          <w:lang w:val="en_US" w:bidi="en_US"/>
        </w:rPr>
      </w:r>
      <w:r>
        <w:rPr>
          <w:lang w:val="en_US" w:bidi="en_US"/>
        </w:rPr>
        <w:t>“Here is my Son, the/my chosen one.</w:t>
      </w:r>
    </w:p>
    <w:p>
      <w:pPr>
        <w:pStyle w:val="ListBullet"/>
        <w:spacing w:line="240" w:lineRule="auto"/>
        <w:ind w:left="720"/>
      </w:pPr>
      <w:r>
        <w:rPr>
          <w:lang w:val="en_US" w:bidi="en_US"/>
        </w:rPr>
      </w:r>
      <w:r>
        <w:rPr>
          <w:lang w:val="en_US" w:bidi="en_US"/>
        </w:rPr>
        <w:t>“This is my Son. I have chosen/appointed him.</w:t>
      </w:r>
    </w:p>
    <w:p>
      <w:pPr/>
      <w:r>
        <w:rPr>
          <w:lang w:val="en_US" w:bidi="en_US"/>
        </w:rPr>
      </w:r>
      <w:r>
        <w:rPr>
          <w:b/>
          <w:lang w:val="en_US" w:bidi="en_US"/>
        </w:rPr>
        <w:t>This is My Son, whom I have chosen:</w:t>
      </w:r>
      <w:r>
        <w:rPr>
          <w:lang w:val="en_US" w:bidi="en_US"/>
        </w:rPr>
        <w:t xml:space="preserve"> The Greek clause that the BSB translates as </w:t>
      </w:r>
      <w:r>
        <w:rPr>
          <w:i/>
          <w:lang w:val="en_US" w:bidi="en_US"/>
        </w:rPr>
        <w:t>This is My Son, whom I have chosen</w:t>
      </w:r>
      <w:r>
        <w:rPr>
          <w:lang w:val="en_US" w:bidi="en_US"/>
        </w:rPr>
        <w:t xml:space="preserve"> is literally “This is my Son, the chosen one.”</w:t>
      </w:r>
      <w:r>
        <w:rPr>
          <w:lang w:val="en_US" w:bidi="en_US"/>
        </w:rPr>
        <w:t>There is a textual issue here. (1) Most Greek manuscripts have “the chosen one.” (2) Many other manuscripts have “the beloved” (as in Mark 9:7). (3) A few other manuscripts have “the beloved, in whom I am well pleased” (as in Matthew 17:5). It is recommended that you follow option (1), since it has the earliest and strongest manuscript support. Also, most English versions follow this option. However, if the national language version in your area follows option (2), you may want to include that option in a footnote. An example of a possible footnote is: Some Greek manuscripts have “the beloved” instead of “the chosen one.” For more information, see Swanson p. 171, Greek NT UBS 4</w:t>
      </w:r>
      <w:r>
        <w:rPr>
          <w:vertAlign w:val="superscript"/>
          <w:lang w:val="en_US" w:bidi="en_US"/>
        </w:rPr>
        <w:t>th</w:t>
      </w:r>
      <w:r>
        <w:rPr>
          <w:lang w:val="en_US" w:bidi="en_US"/>
        </w:rPr>
        <w:t xml:space="preserve"> ed., p. 238; Metzger, p. 148; and Blight 2007a, pp. 416–17.</w:t>
      </w:r>
      <w:r>
        <w:rPr>
          <w:lang w:val="en_US" w:bidi="en_US"/>
        </w:rPr>
        <w:t xml:space="preserve"> The BSB has supplied the information that it was God who chose Jesus.</w:t>
      </w:r>
    </w:p>
    <w:p>
      <w:pPr/>
      <w:r>
        <w:rPr>
          <w:lang w:val="en_US" w:bidi="en_US"/>
        </w:rPr>
      </w:r>
      <w:r>
        <w:rPr>
          <w:lang w:val="en_US" w:bidi="en_US"/>
        </w:rPr>
        <w:t>God chose Jesus in the sense that he appointed Jesus for a special purpose. Only Jesus could fulfill that purpose, because he is God’s only Son. Your translation should not imply that God selected Jesus from among many other sons. Some other ways to translate this clause are:</w:t>
      </w:r>
    </w:p>
    <w:p>
      <w:pPr/>
      <w:r>
        <w:rPr>
          <w:lang w:val="en_US" w:bidi="en_US"/>
        </w:rPr>
      </w:r>
      <w:r>
        <w:rPr>
          <w:lang w:val="en_US" w:bidi="en_US"/>
        </w:rPr>
        <w:t>This is my Son, my Chosen One (NLT)</w:t>
      </w:r>
    </w:p>
    <w:p>
      <w:pPr/>
      <w:r>
        <w:rPr>
          <w:lang w:val="en_US" w:bidi="en_US"/>
        </w:rPr>
      </w:r>
      <w:r>
        <w:rPr>
          <w:lang w:val="en_US" w:bidi="en_US"/>
        </w:rPr>
        <w:t>This is my Son. He is the one whom I have appointed</w:t>
      </w:r>
    </w:p>
    <w:p>
      <w:pPr/>
      <w:r>
        <w:rPr>
          <w:lang w:val="en_US" w:bidi="en_US"/>
        </w:rPr>
      </w:r>
      <w:r>
        <w:rPr>
          <w:b/>
          <w:lang w:val="en_US" w:bidi="en_US"/>
        </w:rPr>
        <w:t>My Son:</w:t>
      </w:r>
      <w:r>
        <w:rPr>
          <w:lang w:val="en_US" w:bidi="en_US"/>
        </w:rPr>
        <w:t xml:space="preserve"> Here the words </w:t>
      </w:r>
      <w:r>
        <w:rPr>
          <w:i/>
          <w:lang w:val="en_US" w:bidi="en_US"/>
        </w:rPr>
        <w:t>My Son</w:t>
      </w:r>
      <w:r>
        <w:rPr>
          <w:lang w:val="en_US" w:bidi="en_US"/>
        </w:rPr>
        <w:t xml:space="preserve"> indicate that Jesus has the same nature as God and that he comes from God. They also indicate that the relationship between God and Jesus, his Son, is similar in some way to the relationship of human fathers and sons. God does not have a physical body, and he did not create/produce Jesus the way a human father produces a son. Jesus existed eternally as the Son with his Father.</w:t>
      </w:r>
    </w:p>
    <w:p>
      <w:pPr/>
      <w:r>
        <w:rPr>
          <w:lang w:val="en_US" w:bidi="en_US"/>
        </w:rPr>
      </w:r>
      <w:r>
        <w:rPr>
          <w:lang w:val="en_US" w:bidi="en_US"/>
        </w:rPr>
        <w:t xml:space="preserve">In some areas people may not understand the way </w:t>
      </w:r>
      <w:r>
        <w:rPr>
          <w:i/>
          <w:lang w:val="en_US" w:bidi="en_US"/>
        </w:rPr>
        <w:t>My Son</w:t>
      </w:r>
      <w:r>
        <w:rPr>
          <w:lang w:val="en_US" w:bidi="en_US"/>
        </w:rPr>
        <w:t xml:space="preserve"> is used in this context. If that is true in your area, you may wish to include a footnote. For example:</w:t>
      </w:r>
    </w:p>
    <w:p>
      <w:pPr/>
      <w:r>
        <w:rPr>
          <w:lang w:val="en_US" w:bidi="en_US"/>
        </w:rPr>
      </w:r>
      <w:r>
        <w:rPr>
          <w:lang w:val="en_US" w:bidi="en_US"/>
        </w:rPr>
        <w:t>God is the Father of Jesus the Son in a different way than human males are fathers of their sons. The Bible uses the word Son to express the fact that Jesus has the same nature as God. It also indicates that the relationship between God and Jesus, his Son, is similar in some way to the relationship of human fathers and sons.</w:t>
      </w:r>
    </w:p>
    <w:p>
      <w:pPr/>
      <w:r>
        <w:rPr>
          <w:lang w:val="en_US" w:bidi="en_US"/>
        </w:rPr>
      </w:r>
      <w:r>
        <w:rPr>
          <w:lang w:val="en_US" w:bidi="en_US"/>
        </w:rPr>
        <w:t xml:space="preserve">The word </w:t>
      </w:r>
      <w:r>
        <w:rPr>
          <w:i/>
          <w:lang w:val="en_US" w:bidi="en_US"/>
        </w:rPr>
        <w:t>Son</w:t>
      </w:r>
      <w:r>
        <w:rPr>
          <w:lang w:val="en_US" w:bidi="en_US"/>
        </w:rPr>
        <w:t>, referring to the Son of God, first occurs in Luke in 1:32b.</w:t>
      </w:r>
    </w:p>
    <w:p>
      <w:pPr/>
      <w:r>
        <w:rPr>
          <w:lang w:val="en_US" w:bidi="en_US"/>
        </w:rPr>
      </w:r>
      <w:r>
        <w:rPr>
          <w:lang w:val="en_US" w:bidi="en_US"/>
        </w:rPr>
        <w:t xml:space="preserve">In languages where there is no single word for </w:t>
      </w:r>
      <w:r>
        <w:rPr>
          <w:i/>
          <w:lang w:val="en_US" w:bidi="en_US"/>
        </w:rPr>
        <w:t>Son</w:t>
      </w:r>
      <w:r>
        <w:rPr>
          <w:lang w:val="en_US" w:bidi="en_US"/>
        </w:rPr>
        <w:t>, many translators have used a more general expression, such as:</w:t>
      </w:r>
    </w:p>
    <w:p>
      <w:pPr/>
      <w:r>
        <w:rPr>
          <w:lang w:val="en_US" w:bidi="en_US"/>
        </w:rPr>
      </w:r>
      <w:r>
        <w:rPr>
          <w:lang w:val="en_US" w:bidi="en_US"/>
        </w:rPr>
        <w:t>my child</w:t>
      </w:r>
    </w:p>
    <w:p>
      <w:pPr/>
      <w:r>
        <w:rPr>
          <w:lang w:val="en_US" w:bidi="en_US"/>
        </w:rPr>
      </w:r>
      <w:r>
        <w:rPr>
          <w:lang w:val="en_US" w:bidi="en_US"/>
        </w:rPr>
        <w:t>my male child</w:t>
      </w:r>
    </w:p>
    <w:p>
      <w:pPr/>
      <w:r>
        <w:rPr>
          <w:lang w:val="en_US" w:bidi="en_US"/>
        </w:rPr>
      </w:r>
      <w:r>
        <w:rPr>
          <w:lang w:val="en_US" w:bidi="en_US"/>
        </w:rPr>
        <w:t>If you decide to use “my male child,” be sure that this expression does not imply that God had another child who was female.</w:t>
      </w:r>
    </w:p>
    <w:p>
      <w:pPr/>
      <w:r>
        <w:rPr>
          <w:lang w:val="en_US" w:bidi="en_US"/>
        </w:rPr>
      </w:r>
      <w:r>
        <w:rPr>
          <w:b/>
          <w:lang w:val="en_US" w:bidi="en_US"/>
        </w:rPr>
        <w:t>whom I have chosen:</w:t>
      </w:r>
      <w:r>
        <w:rPr>
          <w:lang w:val="en_US" w:bidi="en_US"/>
        </w:rPr>
        <w:t xml:space="preserve"> In some languages it may be necessary to specify the purpose for which God chose his Son. If that is true in your language, try to use a general expression. For example:</w:t>
      </w:r>
    </w:p>
    <w:p>
      <w:pPr/>
      <w:r>
        <w:rPr>
          <w:lang w:val="en_US" w:bidi="en_US"/>
        </w:rPr>
      </w:r>
      <w:r>
        <w:rPr>
          <w:lang w:val="en_US" w:bidi="en_US"/>
        </w:rPr>
        <w:t xml:space="preserve">chosen </w:t>
      </w:r>
      <w:r>
        <w:rPr>
          <w:lang w:val="en_US" w:bidi="en_US"/>
        </w:rPr>
        <w:t>by Me</w:t>
      </w:r>
      <w:r>
        <w:rPr>
          <w:lang w:val="en_US" w:bidi="en_US"/>
        </w:rPr>
        <w:t xml:space="preserve"> </w:t>
      </w:r>
      <w:r>
        <w:rPr>
          <w:lang w:val="en_US" w:bidi="en_US"/>
        </w:rPr>
        <w:t>to do My will</w:t>
      </w:r>
      <w:r>
        <w:rPr>
          <w:lang w:val="en_US" w:bidi="en_US"/>
        </w:rPr>
        <w:t xml:space="preserve"> (TRT)</w:t>
      </w:r>
    </w:p>
    <w:p>
      <w:pPr>
        <w:pStyle w:val="Heading5"/>
      </w:pPr>
      <w:r>
        <w:rPr>
          <w:lang w:val="en_US" w:bidi="en_US"/>
        </w:rPr>
        <w:t>9:35c</w:t>
      </w:r>
    </w:p>
    <w:p>
      <w:pPr/>
      <w:r>
        <w:rPr>
          <w:lang w:val="en_US" w:bidi="en_US"/>
        </w:rPr>
      </w:r>
      <w:r>
        <w:rPr>
          <w:b/>
          <w:lang w:val="en_US" w:bidi="en_US"/>
        </w:rPr>
        <w:t>Listen to Him!”</w:t>
      </w:r>
    </w:p>
    <w:p>
      <w:pPr>
        <w:pStyle w:val="ListBullet"/>
        <w:spacing w:line="240" w:lineRule="auto"/>
        <w:ind w:left="720"/>
      </w:pPr>
      <w:r>
        <w:rPr>
          <w:lang w:val="en_US" w:bidi="en_US"/>
        </w:rPr>
      </w:r>
      <w:r>
        <w:rPr>
          <w:lang w:val="en_US" w:bidi="en_US"/>
        </w:rPr>
        <w:t xml:space="preserve">Pay attention to him </w:t>
      </w:r>
      <w:r>
        <w:rPr>
          <w:lang w:val="en_US" w:bidi="en_US"/>
        </w:rPr>
        <w:t>alone/only</w:t>
      </w:r>
      <w:r>
        <w:rPr>
          <w:lang w:val="en_US" w:bidi="en_US"/>
        </w:rPr>
        <w:t>.”</w:t>
      </w:r>
    </w:p>
    <w:p>
      <w:pPr>
        <w:pStyle w:val="ListBullet"/>
        <w:spacing w:line="240" w:lineRule="auto"/>
        <w:ind w:left="720"/>
      </w:pPr>
      <w:r>
        <w:rPr>
          <w:lang w:val="en_US" w:bidi="en_US"/>
        </w:rPr>
      </w:r>
      <w:r>
        <w:rPr>
          <w:lang w:val="en_US" w:bidi="en_US"/>
        </w:rPr>
        <w:t>He is the one to whom you should listen.”</w:t>
      </w:r>
    </w:p>
    <w:p>
      <w:pPr>
        <w:pStyle w:val="ListBullet"/>
        <w:spacing w:line="240" w:lineRule="auto"/>
        <w:ind w:left="720"/>
      </w:pPr>
      <w:r>
        <w:rPr>
          <w:lang w:val="en_US" w:bidi="en_US"/>
        </w:rPr>
      </w:r>
      <w:r>
        <w:rPr>
          <w:lang w:val="en_US" w:bidi="en_US"/>
        </w:rPr>
        <w:t>Listen</w:t>
      </w:r>
      <w:r>
        <w:rPr>
          <w:vertAlign w:val="superscript"/>
          <w:lang w:val="en_US" w:bidi="en_US"/>
        </w:rPr>
        <w:t>(plur)</w:t>
      </w:r>
      <w:r>
        <w:rPr>
          <w:lang w:val="en_US" w:bidi="en_US"/>
        </w:rPr>
        <w:t xml:space="preserve"> to </w:t>
      </w:r>
      <w:r>
        <w:rPr>
          <w:lang w:val="en_US" w:bidi="en_US"/>
        </w:rPr>
        <w:t>what</w:t>
      </w:r>
      <w:r>
        <w:rPr>
          <w:lang w:val="en_US" w:bidi="en_US"/>
        </w:rPr>
        <w:t xml:space="preserve"> he </w:t>
      </w:r>
      <w:r>
        <w:rPr>
          <w:lang w:val="en_US" w:bidi="en_US"/>
        </w:rPr>
        <w:t>says</w:t>
      </w:r>
      <w:r>
        <w:rPr>
          <w:lang w:val="en_US" w:bidi="en_US"/>
        </w:rPr>
        <w:t xml:space="preserve"> </w:t>
      </w:r>
      <w:r>
        <w:rPr>
          <w:lang w:val="en_US" w:bidi="en_US"/>
        </w:rPr>
        <w:t>and obey him</w:t>
      </w:r>
      <w:r>
        <w:rPr>
          <w:lang w:val="en_US" w:bidi="en_US"/>
        </w:rPr>
        <w:t>!”</w:t>
      </w:r>
    </w:p>
    <w:p>
      <w:pPr/>
      <w:r>
        <w:rPr>
          <w:lang w:val="en_US" w:bidi="en_US"/>
        </w:rPr>
      </w:r>
      <w:r>
        <w:rPr>
          <w:b/>
          <w:lang w:val="en_US" w:bidi="en_US"/>
        </w:rPr>
        <w:t>Listen to Him!:</w:t>
      </w:r>
      <w:r>
        <w:rPr>
          <w:lang w:val="en_US" w:bidi="en_US"/>
        </w:rPr>
        <w:t xml:space="preserve"> This is a command addressed to the three disciples. The Greek text emphasizes the word </w:t>
      </w:r>
      <w:r>
        <w:rPr>
          <w:i/>
          <w:lang w:val="en_US" w:bidi="en_US"/>
        </w:rPr>
        <w:t>Him</w:t>
      </w:r>
      <w:r>
        <w:rPr>
          <w:lang w:val="en_US" w:bidi="en_US"/>
        </w:rPr>
        <w:t>. Jesus the Messiah was the one they should listen to, in contrast to Moses and Elijah. Show this emphasis in a natural way in your language. Some ways to do this in English are:</w:t>
      </w:r>
    </w:p>
    <w:p>
      <w:pPr/>
      <w:r>
        <w:rPr>
          <w:lang w:val="en_US" w:bidi="en_US"/>
        </w:rPr>
      </w:r>
      <w:r>
        <w:rPr>
          <w:lang w:val="en_US" w:bidi="en_US"/>
        </w:rPr>
        <w:t>he is the one to whom you should listen</w:t>
      </w:r>
    </w:p>
    <w:p>
      <w:pPr/>
      <w:r>
        <w:rPr>
          <w:lang w:val="en_US" w:bidi="en_US"/>
        </w:rPr>
      </w:r>
      <w:r>
        <w:rPr>
          <w:lang w:val="en_US" w:bidi="en_US"/>
        </w:rPr>
        <w:t xml:space="preserve">listen to him </w:t>
      </w:r>
      <w:r>
        <w:rPr>
          <w:u w:val="single"/>
          <w:lang w:val="en_US" w:bidi="en_US"/>
        </w:rPr>
        <w:t>alone/only</w:t>
      </w:r>
    </w:p>
    <w:p>
      <w:pPr/>
      <w:r>
        <w:rPr>
          <w:lang w:val="en_US" w:bidi="en_US"/>
        </w:rPr>
      </w:r>
      <w:r>
        <w:rPr>
          <w:b/>
          <w:lang w:val="en_US" w:bidi="en_US"/>
        </w:rPr>
        <w:t>Listen:</w:t>
      </w:r>
      <w:r>
        <w:rPr>
          <w:lang w:val="en_US" w:bidi="en_US"/>
        </w:rPr>
        <w:t xml:space="preserve"> The verb </w:t>
      </w:r>
      <w:r>
        <w:rPr>
          <w:i/>
          <w:lang w:val="en_US" w:bidi="en_US"/>
        </w:rPr>
        <w:t>Listen</w:t>
      </w:r>
      <w:r>
        <w:rPr>
          <w:lang w:val="en_US" w:bidi="en_US"/>
        </w:rPr>
        <w:t xml:space="preserve"> implies obeying as well as hearing. If people in your area would not understand that the word </w:t>
      </w:r>
      <w:r>
        <w:rPr>
          <w:i/>
          <w:lang w:val="en_US" w:bidi="en_US"/>
        </w:rPr>
        <w:t>Listen</w:t>
      </w:r>
      <w:r>
        <w:rPr>
          <w:lang w:val="en_US" w:bidi="en_US"/>
        </w:rPr>
        <w:t xml:space="preserve"> implies “obey,” you may want to include this implied information. For example:</w:t>
      </w:r>
    </w:p>
    <w:p>
      <w:pPr/>
      <w:r>
        <w:rPr>
          <w:lang w:val="en_US" w:bidi="en_US"/>
        </w:rPr>
      </w:r>
      <w:r>
        <w:rPr>
          <w:lang w:val="en_US" w:bidi="en_US"/>
        </w:rPr>
        <w:t xml:space="preserve">listen to him </w:t>
      </w:r>
      <w:r>
        <w:rPr>
          <w:lang w:val="en_US" w:bidi="en_US"/>
        </w:rPr>
        <w:t>and obey him</w:t>
      </w:r>
      <w:r>
        <w:rPr>
          <w:lang w:val="en_US" w:bidi="en_US"/>
        </w:rPr>
      </w:r>
      <w:r>
        <w:rPr>
          <w:lang w:val="en_US" w:bidi="en_US"/>
        </w:rPr>
      </w:r>
    </w:p>
    <w:p>
      <w:pPr/>
      <w:r>
        <w:rPr>
          <w:lang w:val="en_US" w:bidi="en_US"/>
        </w:rPr>
      </w:r>
    </w:p>
    <w:p>
      <w:pPr>
        <w:pStyle w:val="Heading2"/>
      </w:pPr>
      <w:r>
        <w:rPr>
          <w:lang w:val="en_US" w:bidi="en_US"/>
        </w:rPr>
        <w:t>Luke 9:36</w:t>
      </w:r>
      <w:r>
        <w:rPr>
          <w:lang w:val="en_US" w:bidi="en_US"/>
        </w:rPr>
      </w:r>
    </w:p>
    <w:p>
      <w:pPr>
        <w:pStyle w:val="Heading4"/>
      </w:pPr>
      <w:r>
        <w:rPr>
          <w:lang w:val="en_US" w:bidi="en_US"/>
        </w:rPr>
        <w:t>Section 9:28–36: Three disciples saw Jesus’ glory</w:t>
      </w:r>
    </w:p>
    <w:p>
      <w:pPr/>
      <w:r>
        <w:rPr>
          <w:lang w:val="en_US" w:bidi="en_US"/>
        </w:rPr>
      </w:r>
      <w:r>
        <w:rPr>
          <w:lang w:val="en_US" w:bidi="en_US"/>
        </w:rPr>
        <w:t>In 9:26 Jesus spoke about the time when he would return to earth and people would see his glory. Then in 9:28–36 God caused Jesus to be glorified for a short time. Peter, James, and John saw this. 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Some other examples of headings for this section are:</w:t>
      </w:r>
    </w:p>
    <w:p>
      <w:pPr/>
      <w:r>
        <w:rPr>
          <w:lang w:val="en_US" w:bidi="en_US"/>
        </w:rPr>
      </w:r>
      <w:r>
        <w:rPr>
          <w:lang w:val="en_US" w:bidi="en_US"/>
        </w:rPr>
        <w:t>Jesus Talks with Moses and Elijah (NCV)</w:t>
      </w:r>
    </w:p>
    <w:p>
      <w:pPr/>
      <w:r>
        <w:rPr>
          <w:lang w:val="en_US" w:bidi="en_US"/>
        </w:rPr>
      </w:r>
      <w:r>
        <w:rPr>
          <w:lang w:val="en_US" w:bidi="en_US"/>
        </w:rPr>
        <w:t>God showed three disciples who Jesus really was</w:t>
      </w:r>
    </w:p>
    <w:p>
      <w:pPr/>
      <w:r>
        <w:rPr>
          <w:lang w:val="en_US" w:bidi="en_US"/>
        </w:rPr>
      </w:r>
      <w:r>
        <w:rPr>
          <w:lang w:val="en_US" w:bidi="en_US"/>
        </w:rPr>
        <w:t>There are parallel passages for this section in Matthew 17:1–12 and Mark 9:2–13.</w:t>
      </w:r>
    </w:p>
    <w:p>
      <w:pPr>
        <w:pStyle w:val="Heading5"/>
      </w:pPr>
      <w:r>
        <w:rPr>
          <w:lang w:val="en_US" w:bidi="en_US"/>
        </w:rPr>
        <w:t>9:36a</w:t>
      </w:r>
    </w:p>
    <w:p>
      <w:pPr/>
      <w:r>
        <w:rPr>
          <w:lang w:val="en_US" w:bidi="en_US"/>
        </w:rPr>
      </w:r>
      <w:r>
        <w:rPr>
          <w:b/>
          <w:lang w:val="en_US" w:bidi="en_US"/>
        </w:rPr>
        <w:t>After the voice had spoken, only Jesus was present with them.</w:t>
      </w:r>
    </w:p>
    <w:p>
      <w:pPr>
        <w:pStyle w:val="ListBullet"/>
        <w:spacing w:line="240" w:lineRule="auto"/>
        <w:ind w:left="720"/>
      </w:pPr>
      <w:r>
        <w:rPr>
          <w:lang w:val="en_US" w:bidi="en_US"/>
        </w:rPr>
      </w:r>
      <w:r>
        <w:rPr>
          <w:lang w:val="en_US" w:bidi="en_US"/>
        </w:rPr>
        <w:t>After the voice had stopped, the disciples realized that only Jesus was with them.</w:t>
      </w:r>
    </w:p>
    <w:p>
      <w:pPr>
        <w:pStyle w:val="ListBullet"/>
        <w:spacing w:line="240" w:lineRule="auto"/>
        <w:ind w:left="720"/>
      </w:pPr>
      <w:r>
        <w:rPr>
          <w:lang w:val="en_US" w:bidi="en_US"/>
        </w:rPr>
      </w:r>
      <w:r>
        <w:rPr>
          <w:lang w:val="en_US" w:bidi="en_US"/>
        </w:rPr>
        <w:t xml:space="preserve">When </w:t>
      </w:r>
      <w:r>
        <w:rPr>
          <w:lang w:val="en_US" w:bidi="en_US"/>
        </w:rPr>
        <w:t>God</w:t>
      </w:r>
      <w:r>
        <w:rPr>
          <w:lang w:val="en_US" w:bidi="en_US"/>
        </w:rPr>
        <w:t xml:space="preserve"> had finished speaking, the followers saw that Jesus was by himself.</w:t>
      </w:r>
    </w:p>
    <w:p>
      <w:pPr/>
      <w:r>
        <w:rPr>
          <w:lang w:val="en_US" w:bidi="en_US"/>
        </w:rPr>
      </w:r>
      <w:r>
        <w:rPr>
          <w:b/>
          <w:lang w:val="en_US" w:bidi="en_US"/>
        </w:rPr>
        <w:t>After the voice had spoken:</w:t>
      </w:r>
      <w:r>
        <w:rPr>
          <w:lang w:val="en_US" w:bidi="en_US"/>
        </w:rPr>
        <w:t xml:space="preserve"> As in 9:35a, it may be necessary to say that it was God who had spoken. There may also be other ways to express this idea. For example:</w:t>
      </w:r>
    </w:p>
    <w:p>
      <w:pPr/>
      <w:r>
        <w:rPr>
          <w:lang w:val="en_US" w:bidi="en_US"/>
        </w:rPr>
      </w:r>
      <w:r>
        <w:rPr>
          <w:lang w:val="en_US" w:bidi="en_US"/>
        </w:rPr>
        <w:t xml:space="preserve">When </w:t>
      </w:r>
      <w:r>
        <w:rPr>
          <w:lang w:val="en_US" w:bidi="en_US"/>
        </w:rPr>
        <w:t>God</w:t>
      </w:r>
      <w:r>
        <w:rPr>
          <w:lang w:val="en_US" w:bidi="en_US"/>
        </w:rPr>
        <w:t xml:space="preserve"> had spoken</w:t>
      </w:r>
    </w:p>
    <w:p>
      <w:pPr/>
      <w:r>
        <w:rPr>
          <w:lang w:val="en_US" w:bidi="en_US"/>
        </w:rPr>
      </w:r>
      <w:r>
        <w:rPr>
          <w:lang w:val="en_US" w:bidi="en_US"/>
        </w:rPr>
        <w:t>When the voice stopped (GNT)</w:t>
      </w:r>
    </w:p>
    <w:p>
      <w:pPr/>
      <w:r>
        <w:rPr>
          <w:lang w:val="en_US" w:bidi="en_US"/>
        </w:rPr>
      </w:r>
      <w:r>
        <w:rPr>
          <w:b/>
          <w:lang w:val="en_US" w:bidi="en_US"/>
        </w:rPr>
        <w:t>only Jesus was present with them:</w:t>
      </w:r>
      <w:r>
        <w:rPr>
          <w:lang w:val="en_US" w:bidi="en_US"/>
        </w:rPr>
        <w:t xml:space="preserve"> The Greek phrase that the BSB translates as </w:t>
      </w:r>
      <w:r>
        <w:rPr>
          <w:i/>
          <w:lang w:val="en_US" w:bidi="en_US"/>
        </w:rPr>
        <w:t>only Jesus was present with them</w:t>
      </w:r>
      <w:r>
        <w:rPr>
          <w:lang w:val="en_US" w:bidi="en_US"/>
        </w:rPr>
        <w:t xml:space="preserve"> is literally “Jesus was found alone.” This is a passive phrase. In this context, the word “found” indicates that Jesus </w:t>
      </w:r>
      <w:r>
        <w:rPr>
          <w:u w:val="single"/>
          <w:lang w:val="en_US" w:bidi="en_US"/>
        </w:rPr>
        <w:t>was</w:t>
      </w:r>
      <w:r>
        <w:rPr>
          <w:lang w:val="en_US" w:bidi="en_US"/>
        </w:rPr>
        <w:t xml:space="preserve"> alone and that the disciples </w:t>
      </w:r>
      <w:r>
        <w:rPr>
          <w:u w:val="single"/>
          <w:lang w:val="en_US" w:bidi="en_US"/>
        </w:rPr>
        <w:t>saw</w:t>
      </w:r>
      <w:r>
        <w:rPr>
          <w:lang w:val="en_US" w:bidi="en_US"/>
        </w:rPr>
        <w:t xml:space="preserve"> or recognized that. The disciples saw that Moses and Elijah had gone. Of the three, only Jesus was left. Other ways to translate this clause are:</w:t>
      </w:r>
    </w:p>
    <w:p>
      <w:pPr/>
      <w:r>
        <w:rPr>
          <w:lang w:val="en_US" w:bidi="en_US"/>
        </w:rPr>
      </w:r>
      <w:r>
        <w:rPr>
          <w:lang w:val="en_US" w:bidi="en_US"/>
        </w:rPr>
        <w:t>they saw that Jesus was alone (GW)</w:t>
      </w:r>
    </w:p>
    <w:p>
      <w:pPr/>
      <w:r>
        <w:rPr>
          <w:lang w:val="en_US" w:bidi="en_US"/>
        </w:rPr>
      </w:r>
      <w:r>
        <w:rPr>
          <w:lang w:val="en_US" w:bidi="en_US"/>
        </w:rPr>
        <w:t>Peter, John, and James saw only Jesus</w:t>
      </w:r>
    </w:p>
    <w:p>
      <w:pPr>
        <w:pStyle w:val="Heading5"/>
      </w:pPr>
      <w:r>
        <w:rPr>
          <w:lang w:val="en_US" w:bidi="en_US"/>
        </w:rPr>
        <w:t>9:36b</w:t>
      </w:r>
    </w:p>
    <w:p>
      <w:pPr/>
      <w:r>
        <w:rPr>
          <w:lang w:val="en_US" w:bidi="en_US"/>
        </w:rPr>
      </w:r>
      <w:r>
        <w:rPr>
          <w:b/>
          <w:lang w:val="en_US" w:bidi="en_US"/>
        </w:rPr>
        <w:t>The disciples kept this to themselves,</w:t>
      </w:r>
    </w:p>
    <w:p>
      <w:pPr>
        <w:pStyle w:val="ListBullet"/>
        <w:spacing w:line="240" w:lineRule="auto"/>
        <w:ind w:left="720"/>
      </w:pPr>
      <w:r>
        <w:rPr>
          <w:lang w:val="en_US" w:bidi="en_US"/>
        </w:rPr>
      </w:r>
      <w:r>
        <w:rPr>
          <w:lang w:val="en_US" w:bidi="en_US"/>
        </w:rPr>
        <w:t>The disciples remained quiet about this,</w:t>
      </w:r>
    </w:p>
    <w:p>
      <w:pPr>
        <w:pStyle w:val="ListBullet"/>
        <w:spacing w:line="240" w:lineRule="auto"/>
        <w:ind w:left="720"/>
      </w:pPr>
      <w:r>
        <w:rPr>
          <w:lang w:val="en_US" w:bidi="en_US"/>
        </w:rPr>
      </w:r>
      <w:r>
        <w:rPr>
          <w:lang w:val="en_US" w:bidi="en_US"/>
        </w:rPr>
        <w:t xml:space="preserve">The </w:t>
      </w:r>
      <w:r>
        <w:rPr>
          <w:lang w:val="en_US" w:bidi="en_US"/>
        </w:rPr>
        <w:t>three</w:t>
      </w:r>
      <w:r>
        <w:rPr>
          <w:lang w:val="en_US" w:bidi="en_US"/>
        </w:rPr>
        <w:t xml:space="preserve"> followers did not speak about this </w:t>
      </w:r>
      <w:r>
        <w:rPr>
          <w:lang w:val="en_US" w:bidi="en_US"/>
        </w:rPr>
        <w:t>to others</w:t>
      </w:r>
      <w:r>
        <w:rPr>
          <w:lang w:val="en_US" w:bidi="en_US"/>
        </w:rPr>
        <w:t>.</w:t>
      </w:r>
    </w:p>
    <w:p>
      <w:pPr/>
      <w:r>
        <w:rPr>
          <w:lang w:val="en_US" w:bidi="en_US"/>
        </w:rPr>
      </w:r>
      <w:r>
        <w:rPr>
          <w:b/>
          <w:lang w:val="en_US" w:bidi="en_US"/>
        </w:rPr>
        <w:t>The disciples kept this to themselves:</w:t>
      </w:r>
      <w:r>
        <w:rPr>
          <w:lang w:val="en_US" w:bidi="en_US"/>
        </w:rPr>
        <w:t xml:space="preserve"> The phrase that the BSB translates as </w:t>
      </w:r>
      <w:r>
        <w:rPr>
          <w:i/>
          <w:lang w:val="en_US" w:bidi="en_US"/>
        </w:rPr>
        <w:t>kept this to themselves</w:t>
      </w:r>
      <w:r>
        <w:rPr>
          <w:lang w:val="en_US" w:bidi="en_US"/>
        </w:rPr>
        <w:t xml:space="preserve"> is literally “kept silent” in Greek. It does not mean that they did not speak at all. It means that the three disciples kept quiet about what had happened. They did not talk to anyone else about the amazing things they had seen. Your language may have an expression that describes not speaking about something specific. For example:</w:t>
      </w:r>
    </w:p>
    <w:p>
      <w:pPr/>
      <w:r>
        <w:rPr>
          <w:lang w:val="en_US" w:bidi="en_US"/>
        </w:rPr>
      </w:r>
      <w:r>
        <w:rPr>
          <w:lang w:val="en_US" w:bidi="en_US"/>
        </w:rPr>
        <w:t>they held their peace</w:t>
      </w:r>
    </w:p>
    <w:p>
      <w:pPr>
        <w:pStyle w:val="Heading5"/>
      </w:pPr>
      <w:r>
        <w:rPr>
          <w:lang w:val="en_US" w:bidi="en_US"/>
        </w:rPr>
        <w:t>9:36c</w:t>
      </w:r>
    </w:p>
    <w:p>
      <w:pPr/>
      <w:r>
        <w:rPr>
          <w:lang w:val="en_US" w:bidi="en_US"/>
        </w:rPr>
      </w:r>
      <w:r>
        <w:rPr>
          <w:b/>
          <w:lang w:val="en_US" w:bidi="en_US"/>
        </w:rPr>
        <w:t>and in those days they did not tell anyone what they had seen.</w:t>
      </w:r>
    </w:p>
    <w:p>
      <w:pPr>
        <w:pStyle w:val="ListBullet"/>
        <w:spacing w:line="240" w:lineRule="auto"/>
        <w:ind w:left="720"/>
      </w:pPr>
      <w:r>
        <w:rPr>
          <w:lang w:val="en_US" w:bidi="en_US"/>
        </w:rPr>
      </w:r>
      <w:r>
        <w:rPr>
          <w:lang w:val="en_US" w:bidi="en_US"/>
        </w:rPr>
        <w:t xml:space="preserve">and in those days they told no one </w:t>
      </w:r>
      <w:r>
        <w:rPr>
          <w:lang w:val="en_US" w:bidi="en_US"/>
        </w:rPr>
        <w:t>else</w:t>
      </w:r>
      <w:r>
        <w:rPr>
          <w:lang w:val="en_US" w:bidi="en_US"/>
        </w:rPr>
        <w:t xml:space="preserve"> what they had seen.</w:t>
      </w:r>
    </w:p>
    <w:p>
      <w:pPr>
        <w:pStyle w:val="ListBullet"/>
        <w:spacing w:line="240" w:lineRule="auto"/>
        <w:ind w:left="720"/>
      </w:pPr>
      <w:r>
        <w:rPr>
          <w:lang w:val="en_US" w:bidi="en_US"/>
        </w:rPr>
      </w:r>
      <w:r>
        <w:rPr>
          <w:lang w:val="en_US" w:bidi="en_US"/>
        </w:rPr>
        <w:t xml:space="preserve">They did not tell anyone about the </w:t>
      </w:r>
      <w:r>
        <w:rPr>
          <w:lang w:val="en_US" w:bidi="en_US"/>
        </w:rPr>
        <w:t>amazing</w:t>
      </w:r>
      <w:r>
        <w:rPr>
          <w:lang w:val="en_US" w:bidi="en_US"/>
        </w:rPr>
        <w:t xml:space="preserve"> things they had seen </w:t>
      </w:r>
      <w:r>
        <w:rPr>
          <w:lang w:val="en_US" w:bidi="en_US"/>
        </w:rPr>
        <w:t>and heard</w:t>
      </w:r>
      <w:r>
        <w:rPr>
          <w:lang w:val="en_US" w:bidi="en_US"/>
        </w:rPr>
        <w:t xml:space="preserve"> </w:t>
      </w:r>
      <w:r>
        <w:rPr>
          <w:lang w:val="en_US" w:bidi="en_US"/>
        </w:rPr>
        <w:t>until a later time</w:t>
      </w:r>
      <w:r>
        <w:rPr>
          <w:lang w:val="en_US" w:bidi="en_US"/>
        </w:rPr>
        <w:t>.</w:t>
      </w:r>
    </w:p>
    <w:p>
      <w:pPr/>
      <w:r>
        <w:rPr>
          <w:lang w:val="en_US" w:bidi="en_US"/>
        </w:rPr>
      </w:r>
      <w:r>
        <w:rPr>
          <w:b/>
          <w:lang w:val="en_US" w:bidi="en_US"/>
        </w:rPr>
        <w:t>in those days they did not tell anyone what they had seen:</w:t>
      </w:r>
      <w:r>
        <w:rPr>
          <w:lang w:val="en_US" w:bidi="en_US"/>
        </w:rPr>
        <w:t xml:space="preserve"> The phrase </w:t>
      </w:r>
      <w:r>
        <w:rPr>
          <w:i/>
          <w:lang w:val="en_US" w:bidi="en_US"/>
        </w:rPr>
        <w:t>did not tell anyone what they had seen</w:t>
      </w:r>
      <w:r>
        <w:rPr>
          <w:lang w:val="en_US" w:bidi="en_US"/>
        </w:rPr>
        <w:t xml:space="preserve"> is literally “reported to no one…anything of what they had seen.” This statement repeats the same meaning as 9:36b. The repetition emphasizes the meaning that the disciples said absolutely nothing about this event.</w:t>
      </w:r>
    </w:p>
    <w:p>
      <w:pPr/>
      <w:r>
        <w:rPr>
          <w:lang w:val="en_US" w:bidi="en_US"/>
        </w:rPr>
      </w:r>
      <w:r>
        <w:rPr>
          <w:lang w:val="en_US" w:bidi="en_US"/>
        </w:rPr>
        <w:t xml:space="preserve">This part of the verse adds the phrase </w:t>
      </w:r>
      <w:r>
        <w:rPr>
          <w:i/>
          <w:lang w:val="en_US" w:bidi="en_US"/>
        </w:rPr>
        <w:t>in those days</w:t>
      </w:r>
      <w:r>
        <w:rPr>
          <w:lang w:val="en_US" w:bidi="en_US"/>
        </w:rPr>
        <w:t>. This implies that later the disciples did tell others about what they had seen.</w:t>
      </w:r>
    </w:p>
    <w:p>
      <w:pPr/>
      <w:r>
        <w:rPr>
          <w:lang w:val="en_US" w:bidi="en_US"/>
        </w:rPr>
      </w:r>
      <w:r>
        <w:rPr>
          <w:b/>
          <w:lang w:val="en_US" w:bidi="en_US"/>
        </w:rPr>
        <w:t>in those days:</w:t>
      </w:r>
      <w:r>
        <w:rPr>
          <w:lang w:val="en_US" w:bidi="en_US"/>
        </w:rPr>
        <w:t xml:space="preserve"> The phrase </w:t>
      </w:r>
      <w:r>
        <w:rPr>
          <w:i/>
          <w:lang w:val="en_US" w:bidi="en_US"/>
        </w:rPr>
        <w:t>in those days</w:t>
      </w:r>
      <w:r>
        <w:rPr>
          <w:lang w:val="en_US" w:bidi="en_US"/>
        </w:rPr>
        <w:t xml:space="preserve"> refers to the remaining time of Jesus’ ministry on this earth. In the parallel verses in Matthew 17:9 and Mark 9:9, Jesus specifically ordered his disciples not to tell anyone about this until after he had risen from the dead. If it would be helpful to your readers, you may want to put this information in a footnote.</w:t>
      </w:r>
    </w:p>
    <w:p>
      <w:pPr/>
      <w:r>
        <w:rPr>
          <w:lang w:val="en_US" w:bidi="en_US"/>
        </w:rPr>
      </w:r>
      <w:r>
        <w:rPr>
          <w:b/>
          <w:lang w:val="en_US" w:bidi="en_US"/>
        </w:rPr>
        <w:t>what they had seen:</w:t>
      </w:r>
      <w:r>
        <w:rPr>
          <w:lang w:val="en_US" w:bidi="en_US"/>
        </w:rPr>
        <w:t xml:space="preserve"> The phrase </w:t>
      </w:r>
      <w:r>
        <w:rPr>
          <w:i/>
          <w:lang w:val="en_US" w:bidi="en_US"/>
        </w:rPr>
        <w:t>what they had seen</w:t>
      </w:r>
      <w:r>
        <w:rPr>
          <w:lang w:val="en_US" w:bidi="en_US"/>
        </w:rPr>
        <w:t xml:space="preserve"> includes all that the disciples had seen, heard, and experienced on the mountain. In some languages it may be necessary to make some of this information explicit. For example:</w:t>
      </w:r>
    </w:p>
    <w:p>
      <w:pPr/>
      <w:r>
        <w:rPr>
          <w:lang w:val="en_US" w:bidi="en_US"/>
        </w:rPr>
      </w:r>
      <w:r>
        <w:rPr>
          <w:lang w:val="en_US" w:bidi="en_US"/>
        </w:rPr>
        <w:t xml:space="preserve">what they had seen </w:t>
      </w:r>
      <w:r>
        <w:rPr>
          <w:lang w:val="en_US" w:bidi="en_US"/>
        </w:rPr>
        <w:t>and heard</w:t>
      </w:r>
    </w:p>
    <w:p>
      <w:pPr>
        <w:pStyle w:val="Heading6"/>
      </w:pPr>
      <w:r>
        <w:rPr>
          <w:b/>
          <w:lang w:val="en_US" w:bidi="en_US"/>
        </w:rPr>
        <w:t>General Comment on 9:36b–c</w:t>
      </w:r>
    </w:p>
    <w:p>
      <w:pPr/>
      <w:r>
        <w:rPr>
          <w:lang w:val="en_US" w:bidi="en_US"/>
        </w:rPr>
      </w:r>
      <w:r>
        <w:rPr>
          <w:lang w:val="en_US" w:bidi="en_US"/>
        </w:rPr>
        <w:t>Some other ways to translate 9:36b–c are:</w:t>
      </w:r>
    </w:p>
    <w:p>
      <w:pPr/>
      <w:r>
        <w:rPr>
          <w:lang w:val="en_US" w:bidi="en_US"/>
        </w:rPr>
      </w:r>
      <w:r>
        <w:rPr>
          <w:lang w:val="en_US" w:bidi="en_US"/>
        </w:rPr>
        <w:t>Peter, John, and James said nothing and told no one at that time what they had seen. (NCV)</w:t>
      </w:r>
    </w:p>
    <w:p>
      <w:pPr/>
      <w:r>
        <w:rPr>
          <w:lang w:val="en_US" w:bidi="en_US"/>
        </w:rPr>
      </w:r>
      <w:r>
        <w:rPr>
          <w:lang w:val="en_US" w:bidi="en_US"/>
        </w:rPr>
        <w:t>The disciples kept quiet about all this and told no one at that time anything they had seen. (GNT)</w:t>
      </w:r>
    </w:p>
    <w:p>
      <w:pPr/>
      <w:r>
        <w:rPr>
          <w:lang w:val="en_US" w:bidi="en_US"/>
        </w:rPr>
      </w:r>
      <w:r>
        <w:rPr>
          <w:lang w:val="en_US" w:bidi="en_US"/>
        </w:rPr>
        <w:t>The disciples kept these things that they had seen a secret. They did not say anything to anyone else.</w:t>
      </w:r>
      <w:r>
        <w:rPr>
          <w:lang w:val="en_US" w:bidi="en_US"/>
        </w:rPr>
      </w:r>
      <w:r>
        <w:rPr>
          <w:lang w:val="en_US" w:bidi="en_US"/>
        </w:rPr>
      </w:r>
    </w:p>
    <w:p>
      <w:pPr/>
      <w:r>
        <w:rPr>
          <w:lang w:val="en_US" w:bidi="en_US"/>
        </w:rPr>
      </w:r>
    </w:p>
    <w:p>
      <w:pPr>
        <w:pStyle w:val="Heading2"/>
      </w:pPr>
      <w:r>
        <w:rPr>
          <w:lang w:val="en_US" w:bidi="en_US"/>
        </w:rPr>
        <w:t>Luke 9:37</w:t>
      </w:r>
      <w:r>
        <w:rPr>
          <w:lang w:val="en_US" w:bidi="en_US"/>
        </w:rPr>
      </w:r>
    </w:p>
    <w:p>
      <w:pPr>
        <w:pStyle w:val="Heading4"/>
      </w:pPr>
      <w:r>
        <w:rPr>
          <w:lang w:val="en_US" w:bidi="en_US"/>
        </w:rPr>
        <w:t>Section 9:37–43a: Jesus expelled an evil spirit from a boy</w:t>
      </w:r>
    </w:p>
    <w:p>
      <w:pPr/>
      <w:r>
        <w:rPr>
          <w:lang w:val="en_US" w:bidi="en_US"/>
        </w:rPr>
      </w:r>
      <w:r>
        <w:rPr>
          <w:lang w:val="en_US" w:bidi="en_US"/>
        </w:rPr>
        <w:t>Earlier Jesus had given power to his twelve apostles to cast out demons (9:1). However, after Jesus came down from the mountain with Peter, James, and John, he heard that the other disciples had not been able to make an evil spirit leave a man’s son. When the boy approached Jesus, the unclean spirit caused the boy to convulse violently. Then Jesus cast out the unclean spirit, and the people were filled with awe.</w:t>
      </w:r>
    </w:p>
    <w:p>
      <w:pPr/>
      <w:r>
        <w:rPr>
          <w:lang w:val="en_US" w:bidi="en_US"/>
        </w:rPr>
      </w:r>
      <w:r>
        <w:rPr>
          <w:lang w:val="en_US" w:bidi="en_US"/>
        </w:rPr>
        <w:t>Some other examples of headings for this section are:</w:t>
      </w:r>
    </w:p>
    <w:p>
      <w:pPr/>
      <w:r>
        <w:rPr>
          <w:lang w:val="en_US" w:bidi="en_US"/>
        </w:rPr>
      </w:r>
      <w:r>
        <w:rPr>
          <w:lang w:val="en_US" w:bidi="en_US"/>
        </w:rPr>
        <w:t>The Healing of a Boy with an Evil Spirit (NIV)</w:t>
      </w:r>
    </w:p>
    <w:p>
      <w:pPr/>
      <w:r>
        <w:rPr>
          <w:lang w:val="en_US" w:bidi="en_US"/>
        </w:rPr>
      </w:r>
      <w:r>
        <w:rPr>
          <w:lang w:val="en_US" w:bidi="en_US"/>
        </w:rPr>
        <w:t>Jesus Heals a Boy with an Evil Spirit (GNT)</w:t>
      </w:r>
    </w:p>
    <w:p>
      <w:pPr/>
      <w:r>
        <w:rPr>
          <w:lang w:val="en_US" w:bidi="en_US"/>
        </w:rPr>
      </w:r>
      <w:r>
        <w:rPr>
          <w:lang w:val="en_US" w:bidi="en_US"/>
        </w:rPr>
        <w:t>There are parallel passages for this section in Matthew 17:14–21 and Mark 9:14–29.</w:t>
      </w:r>
    </w:p>
    <w:p>
      <w:pPr/>
      <w:r>
        <w:rPr>
          <w:lang w:val="en_US" w:bidi="en_US"/>
        </w:rPr>
      </w:r>
    </w:p>
    <w:p>
      <w:pPr>
        <w:pStyle w:val="Heading5"/>
      </w:pPr>
      <w:r>
        <w:rPr>
          <w:lang w:val="en_US" w:bidi="en_US"/>
        </w:rPr>
        <w:t>9:37a</w:t>
      </w:r>
    </w:p>
    <w:p>
      <w:pPr/>
      <w:r>
        <w:rPr>
          <w:lang w:val="en_US" w:bidi="en_US"/>
        </w:rPr>
      </w:r>
      <w:r>
        <w:rPr>
          <w:b/>
          <w:lang w:val="en_US" w:bidi="en_US"/>
        </w:rPr>
        <w:t>The next day, when they came down from the mountain,</w:t>
      </w:r>
    </w:p>
    <w:p>
      <w:pPr>
        <w:pStyle w:val="ListBullet"/>
        <w:spacing w:line="240" w:lineRule="auto"/>
        <w:ind w:left="720"/>
      </w:pPr>
      <w:r>
        <w:rPr>
          <w:lang w:val="en_US" w:bidi="en_US"/>
        </w:rPr>
      </w:r>
      <w:r>
        <w:rPr>
          <w:lang w:val="en_US" w:bidi="en_US"/>
        </w:rPr>
        <w:t xml:space="preserve">¶ The following day, when </w:t>
      </w:r>
      <w:r>
        <w:rPr>
          <w:lang w:val="en_US" w:bidi="en_US"/>
        </w:rPr>
        <w:t>Jesus and his three disciples</w:t>
      </w:r>
      <w:r>
        <w:rPr>
          <w:lang w:val="en_US" w:bidi="en_US"/>
        </w:rPr>
        <w:t xml:space="preserve"> came down the mountain,</w:t>
      </w:r>
    </w:p>
    <w:p>
      <w:pPr>
        <w:pStyle w:val="ListBullet"/>
        <w:spacing w:line="240" w:lineRule="auto"/>
        <w:ind w:left="720"/>
      </w:pPr>
      <w:r>
        <w:rPr>
          <w:lang w:val="en_US" w:bidi="en_US"/>
        </w:rPr>
      </w:r>
      <w:r>
        <w:rPr>
          <w:lang w:val="en_US" w:bidi="en_US"/>
        </w:rPr>
        <w:t xml:space="preserve">¶ The next day </w:t>
      </w:r>
      <w:r>
        <w:rPr>
          <w:lang w:val="en_US" w:bidi="en_US"/>
        </w:rPr>
        <w:t>Jesus</w:t>
      </w:r>
      <w:r>
        <w:rPr>
          <w:lang w:val="en_US" w:bidi="en_US"/>
        </w:rPr>
        <w:t xml:space="preserve"> walked back down the mountain with his three disciples,</w:t>
      </w:r>
    </w:p>
    <w:p>
      <w:pPr/>
      <w:r>
        <w:rPr>
          <w:lang w:val="en_US" w:bidi="en_US"/>
        </w:rPr>
      </w:r>
      <w:r>
        <w:rPr>
          <w:lang w:val="en_US" w:bidi="en_US"/>
        </w:rPr>
        <w:t>In Greek, 9:37 starts with the phrase “And it happened that.” While versions such as the NJB include this phrase, most English versions omit it. Luke used this phrase to introduce a new event that took place the day after the events in the previous section.</w:t>
      </w:r>
    </w:p>
    <w:p>
      <w:pPr/>
      <w:r>
        <w:rPr>
          <w:lang w:val="en_US" w:bidi="en_US"/>
        </w:rPr>
      </w:r>
      <w:r>
        <w:rPr>
          <w:b/>
          <w:lang w:val="en_US" w:bidi="en_US"/>
        </w:rPr>
        <w:t>The next day, when they came down from the mountain:</w:t>
      </w:r>
      <w:r>
        <w:rPr>
          <w:lang w:val="en_US" w:bidi="en_US"/>
        </w:rPr>
        <w:t xml:space="preserve"> Apparently Jesus and the three disciples spent the night on the mountain. In the morning, they went down. Since a new section begins here, consider whether it is natural in your language to make explicit to whom the word </w:t>
      </w:r>
      <w:r>
        <w:rPr>
          <w:i/>
          <w:lang w:val="en_US" w:bidi="en_US"/>
        </w:rPr>
        <w:t>they</w:t>
      </w:r>
      <w:r>
        <w:rPr>
          <w:lang w:val="en_US" w:bidi="en_US"/>
        </w:rPr>
        <w:t xml:space="preserve"> refers. For example:</w:t>
      </w:r>
    </w:p>
    <w:p>
      <w:pPr/>
      <w:r>
        <w:rPr>
          <w:lang w:val="en_US" w:bidi="en_US"/>
        </w:rPr>
      </w:r>
      <w:r>
        <w:rPr>
          <w:lang w:val="en_US" w:bidi="en_US"/>
        </w:rPr>
        <w:t>The next day Jesus and his three disciples came down from the mountain (CEV)</w:t>
      </w:r>
    </w:p>
    <w:p>
      <w:pPr/>
      <w:r>
        <w:rPr>
          <w:lang w:val="en_US" w:bidi="en_US"/>
        </w:rPr>
      </w:r>
      <w:r>
        <w:rPr>
          <w:lang w:val="en_US" w:bidi="en_US"/>
        </w:rPr>
        <w:t>In the next clause (9:37b), the focus is on Jesus, not on the three disciples. In some languages it may be more natural to keep Jesus as the subject of 9:37a. For example:</w:t>
      </w:r>
    </w:p>
    <w:p>
      <w:pPr/>
      <w:r>
        <w:rPr>
          <w:lang w:val="en_US" w:bidi="en_US"/>
        </w:rPr>
      </w:r>
      <w:r>
        <w:rPr>
          <w:lang w:val="en_US" w:bidi="en_US"/>
        </w:rPr>
        <w:t>On the following day, Jesus descended the mountain along with his three disciples.</w:t>
      </w:r>
    </w:p>
    <w:p>
      <w:pPr>
        <w:pStyle w:val="Heading5"/>
      </w:pPr>
      <w:r>
        <w:rPr>
          <w:lang w:val="en_US" w:bidi="en_US"/>
        </w:rPr>
        <w:t>9:37b</w:t>
      </w:r>
    </w:p>
    <w:p>
      <w:pPr/>
      <w:r>
        <w:rPr>
          <w:lang w:val="en_US" w:bidi="en_US"/>
        </w:rPr>
      </w:r>
      <w:r>
        <w:rPr>
          <w:b/>
          <w:lang w:val="en_US" w:bidi="en_US"/>
        </w:rPr>
        <w:t>Jesus was met by a large crowd.</w:t>
      </w:r>
    </w:p>
    <w:p>
      <w:pPr>
        <w:pStyle w:val="ListBullet"/>
        <w:spacing w:line="240" w:lineRule="auto"/>
        <w:ind w:left="720"/>
      </w:pPr>
      <w:r>
        <w:rPr>
          <w:lang w:val="en_US" w:bidi="en_US"/>
        </w:rPr>
      </w:r>
      <w:r>
        <w:rPr>
          <w:lang w:val="en_US" w:bidi="en_US"/>
        </w:rPr>
        <w:t xml:space="preserve">a great crowd </w:t>
      </w:r>
      <w:r>
        <w:rPr>
          <w:lang w:val="en_US" w:bidi="en_US"/>
        </w:rPr>
        <w:t>was there to</w:t>
      </w:r>
      <w:r>
        <w:rPr>
          <w:lang w:val="en_US" w:bidi="en_US"/>
        </w:rPr>
        <w:t xml:space="preserve"> meet Jesus.</w:t>
      </w:r>
    </w:p>
    <w:p>
      <w:pPr>
        <w:pStyle w:val="ListBullet"/>
        <w:spacing w:line="240" w:lineRule="auto"/>
        <w:ind w:left="720"/>
      </w:pPr>
      <w:r>
        <w:rPr>
          <w:lang w:val="en_US" w:bidi="en_US"/>
        </w:rPr>
      </w:r>
      <w:r>
        <w:rPr>
          <w:lang w:val="en_US" w:bidi="en_US"/>
        </w:rPr>
        <w:t xml:space="preserve">and many people </w:t>
      </w:r>
      <w:r>
        <w:rPr>
          <w:lang w:val="en_US" w:bidi="en_US"/>
        </w:rPr>
        <w:t>came to</w:t>
      </w:r>
      <w:r>
        <w:rPr>
          <w:lang w:val="en_US" w:bidi="en_US"/>
        </w:rPr>
        <w:t xml:space="preserve"> meet him.</w:t>
      </w:r>
    </w:p>
    <w:p>
      <w:pPr/>
      <w:r>
        <w:rPr>
          <w:lang w:val="en_US" w:bidi="en_US"/>
        </w:rPr>
      </w:r>
      <w:r>
        <w:rPr>
          <w:b/>
          <w:lang w:val="en_US" w:bidi="en_US"/>
        </w:rPr>
        <w:t>Jesus was met by a large crowd:</w:t>
      </w:r>
      <w:r>
        <w:rPr>
          <w:lang w:val="en_US" w:bidi="en_US"/>
        </w:rPr>
        <w:t xml:space="preserve"> In order to introduce the action in the following verses, Luke describes here how many people came to meet Jesus at the bottom of the mountain. While the BSB translates this as a passive clause, in Greek it is active, literally “a large crowd met him.” The other English versions translate this as an active clause, and it may be natural for you to translate it that way in your language.</w:t>
      </w:r>
      <w:r>
        <w:rPr>
          <w:lang w:val="en_US" w:bidi="en_US"/>
        </w:rPr>
      </w:r>
      <w:r>
        <w:rPr>
          <w:lang w:val="en_US" w:bidi="en_US"/>
        </w:rPr>
      </w:r>
    </w:p>
    <w:p>
      <w:pPr/>
      <w:r>
        <w:rPr>
          <w:lang w:val="en_US" w:bidi="en_US"/>
        </w:rPr>
      </w:r>
    </w:p>
    <w:p>
      <w:pPr>
        <w:pStyle w:val="Heading2"/>
      </w:pPr>
      <w:r>
        <w:rPr>
          <w:lang w:val="en_US" w:bidi="en_US"/>
        </w:rPr>
        <w:t>Luke 9:38</w:t>
      </w:r>
      <w:r>
        <w:rPr>
          <w:lang w:val="en_US" w:bidi="en_US"/>
        </w:rPr>
      </w:r>
    </w:p>
    <w:p>
      <w:pPr>
        <w:pStyle w:val="Heading4"/>
      </w:pPr>
      <w:r>
        <w:rPr>
          <w:lang w:val="en_US" w:bidi="en_US"/>
        </w:rPr>
        <w:t>Section 9:37–43a: Jesus expelled an evil spirit from a boy</w:t>
      </w:r>
    </w:p>
    <w:p>
      <w:pPr/>
      <w:r>
        <w:rPr>
          <w:lang w:val="en_US" w:bidi="en_US"/>
        </w:rPr>
      </w:r>
      <w:r>
        <w:rPr>
          <w:lang w:val="en_US" w:bidi="en_US"/>
        </w:rPr>
        <w:t>Earlier Jesus had given power to his twelve apostles to cast out demons (9:1). However, after Jesus came down from the mountain with Peter, James, and John, he heard that the other disciples had not been able to make an evil spirit leave a man’s son. When the boy approached Jesus, the unclean spirit caused the boy to convulse violently. Then Jesus cast out the unclean spirit, and the people were filled with awe.</w:t>
      </w:r>
    </w:p>
    <w:p>
      <w:pPr/>
      <w:r>
        <w:rPr>
          <w:lang w:val="en_US" w:bidi="en_US"/>
        </w:rPr>
      </w:r>
      <w:r>
        <w:rPr>
          <w:lang w:val="en_US" w:bidi="en_US"/>
        </w:rPr>
        <w:t>Some other examples of headings for this section are:</w:t>
      </w:r>
    </w:p>
    <w:p>
      <w:pPr/>
      <w:r>
        <w:rPr>
          <w:lang w:val="en_US" w:bidi="en_US"/>
        </w:rPr>
      </w:r>
      <w:r>
        <w:rPr>
          <w:lang w:val="en_US" w:bidi="en_US"/>
        </w:rPr>
        <w:t>The Healing of a Boy with an Evil Spirit (NIV)</w:t>
      </w:r>
    </w:p>
    <w:p>
      <w:pPr/>
      <w:r>
        <w:rPr>
          <w:lang w:val="en_US" w:bidi="en_US"/>
        </w:rPr>
      </w:r>
      <w:r>
        <w:rPr>
          <w:lang w:val="en_US" w:bidi="en_US"/>
        </w:rPr>
        <w:t>Jesus Heals a Boy with an Evil Spirit (GNT)</w:t>
      </w:r>
    </w:p>
    <w:p>
      <w:pPr/>
      <w:r>
        <w:rPr>
          <w:lang w:val="en_US" w:bidi="en_US"/>
        </w:rPr>
      </w:r>
      <w:r>
        <w:rPr>
          <w:lang w:val="en_US" w:bidi="en_US"/>
        </w:rPr>
        <w:t>There are parallel passages for this section in Matthew 17:14–21 and Mark 9:14–29.</w:t>
      </w:r>
    </w:p>
    <w:p>
      <w:pPr/>
      <w:r>
        <w:rPr>
          <w:lang w:val="en_US" w:bidi="en_US"/>
        </w:rPr>
      </w:r>
    </w:p>
    <w:p>
      <w:pPr>
        <w:pStyle w:val="Heading5"/>
      </w:pPr>
      <w:r>
        <w:rPr>
          <w:lang w:val="en_US" w:bidi="en_US"/>
        </w:rPr>
        <w:t>9:38a</w:t>
      </w:r>
    </w:p>
    <w:p>
      <w:pPr/>
      <w:r>
        <w:rPr>
          <w:lang w:val="en_US" w:bidi="en_US"/>
        </w:rPr>
      </w:r>
      <w:r>
        <w:rPr>
          <w:b/>
          <w:lang w:val="en_US" w:bidi="en_US"/>
        </w:rPr>
        <w:t>Suddenly a man in the crowd cried out,</w:t>
      </w:r>
    </w:p>
    <w:p>
      <w:pPr>
        <w:pStyle w:val="ListBullet"/>
        <w:spacing w:line="240" w:lineRule="auto"/>
        <w:ind w:left="720"/>
      </w:pPr>
      <w:r>
        <w:rPr>
          <w:lang w:val="en_US" w:bidi="en_US"/>
        </w:rPr>
      </w:r>
      <w:r>
        <w:rPr>
          <w:lang w:val="en_US" w:bidi="en_US"/>
        </w:rPr>
        <w:t xml:space="preserve">Suddenly a man shouted from the crowd, </w:t>
      </w:r>
      <w:r>
        <w:rPr>
          <w:lang w:val="en_US" w:bidi="en_US"/>
        </w:rPr>
        <w:t>saying,</w:t>
      </w:r>
    </w:p>
    <w:p>
      <w:pPr>
        <w:pStyle w:val="ListBullet"/>
        <w:spacing w:line="240" w:lineRule="auto"/>
        <w:ind w:left="720"/>
      </w:pPr>
      <w:r>
        <w:rPr>
          <w:lang w:val="en_US" w:bidi="en_US"/>
        </w:rPr>
      </w:r>
      <w:r>
        <w:rPr>
          <w:lang w:val="en_US" w:bidi="en_US"/>
        </w:rPr>
        <w:t xml:space="preserve">Just then one of them called out </w:t>
      </w:r>
      <w:r>
        <w:rPr>
          <w:lang w:val="en_US" w:bidi="en_US"/>
        </w:rPr>
        <w:t>to Jesus</w:t>
      </w:r>
      <w:r>
        <w:rPr>
          <w:lang w:val="en_US" w:bidi="en_US"/>
        </w:rPr>
        <w:t>,</w:t>
      </w:r>
    </w:p>
    <w:p>
      <w:pPr/>
      <w:r>
        <w:rPr>
          <w:lang w:val="en_US" w:bidi="en_US"/>
        </w:rPr>
      </w:r>
      <w:r>
        <w:rPr>
          <w:b/>
          <w:lang w:val="en_US" w:bidi="en_US"/>
        </w:rPr>
        <w:t>Suddenly:</w:t>
      </w:r>
      <w:r>
        <w:rPr>
          <w:lang w:val="en_US" w:bidi="en_US"/>
        </w:rPr>
        <w:t xml:space="preserve"> The phrase that the BSB translates as </w:t>
      </w:r>
      <w:r>
        <w:rPr>
          <w:i/>
          <w:lang w:val="en_US" w:bidi="en_US"/>
        </w:rPr>
        <w:t>Suddenly</w:t>
      </w:r>
      <w:r>
        <w:rPr>
          <w:lang w:val="en_US" w:bidi="en_US"/>
        </w:rPr>
        <w:t xml:space="preserve"> calls readers to notice to something surprising and sudden. Other ways to express the meaning of this Greek phrase are:</w:t>
      </w:r>
    </w:p>
    <w:p>
      <w:pPr/>
      <w:r>
        <w:rPr>
          <w:lang w:val="en_US" w:bidi="en_US"/>
        </w:rPr>
      </w:r>
      <w:r>
        <w:rPr>
          <w:lang w:val="en_US" w:bidi="en_US"/>
        </w:rPr>
        <w:t>Just then (NRSV)</w:t>
      </w:r>
    </w:p>
    <w:p>
      <w:pPr/>
      <w:r>
        <w:rPr>
          <w:lang w:val="en_US" w:bidi="en_US"/>
        </w:rPr>
      </w:r>
      <w:r>
        <w:rPr>
          <w:lang w:val="en_US" w:bidi="en_US"/>
        </w:rPr>
        <w:t>And suddenly (NJB)</w:t>
      </w:r>
    </w:p>
    <w:p>
      <w:pPr/>
      <w:r>
        <w:rPr>
          <w:lang w:val="en_US" w:bidi="en_US"/>
        </w:rPr>
      </w:r>
      <w:r>
        <w:rPr>
          <w:lang w:val="en_US" w:bidi="en_US"/>
        </w:rPr>
        <w:t>Use a natural way in your language to introduce something that is sudden or surprising.</w:t>
      </w:r>
    </w:p>
    <w:p>
      <w:pPr/>
      <w:r>
        <w:rPr>
          <w:lang w:val="en_US" w:bidi="en_US"/>
        </w:rPr>
      </w:r>
      <w:r>
        <w:rPr>
          <w:b/>
          <w:lang w:val="en_US" w:bidi="en_US"/>
        </w:rPr>
        <w:t>a man in the crowd:</w:t>
      </w:r>
      <w:r>
        <w:rPr>
          <w:lang w:val="en_US" w:bidi="en_US"/>
        </w:rPr>
        <w:t xml:space="preserve"> In some languages it may be more natural not to specify the gender of the person who called to Jesus. For example:</w:t>
      </w:r>
    </w:p>
    <w:p>
      <w:pPr/>
      <w:r>
        <w:rPr>
          <w:lang w:val="en_US" w:bidi="en_US"/>
        </w:rPr>
      </w:r>
      <w:r>
        <w:rPr>
          <w:lang w:val="en_US" w:bidi="en_US"/>
        </w:rPr>
        <w:t>someone in the crowd (CEV)</w:t>
      </w:r>
    </w:p>
    <w:p>
      <w:pPr/>
      <w:r>
        <w:rPr>
          <w:lang w:val="en_US" w:bidi="en_US"/>
        </w:rPr>
      </w:r>
      <w:r>
        <w:rPr>
          <w:lang w:val="en_US" w:bidi="en_US"/>
        </w:rPr>
        <w:t>This may be a good option if it is clear from the rest of the story that this is referring to a man with a son.</w:t>
      </w:r>
    </w:p>
    <w:p>
      <w:pPr/>
      <w:r>
        <w:rPr>
          <w:lang w:val="en_US" w:bidi="en_US"/>
        </w:rPr>
      </w:r>
      <w:r>
        <w:rPr>
          <w:b/>
          <w:lang w:val="en_US" w:bidi="en_US"/>
        </w:rPr>
        <w:t>cried out:</w:t>
      </w:r>
      <w:r>
        <w:rPr>
          <w:lang w:val="en_US" w:bidi="en_US"/>
        </w:rPr>
        <w:t xml:space="preserve"> The Greek word that the BSB translates as </w:t>
      </w:r>
      <w:r>
        <w:rPr>
          <w:i/>
          <w:lang w:val="en_US" w:bidi="en_US"/>
        </w:rPr>
        <w:t>cried out</w:t>
      </w:r>
      <w:r>
        <w:rPr>
          <w:lang w:val="en_US" w:bidi="en_US"/>
        </w:rPr>
        <w:t xml:space="preserve"> means “shouted” or “spoke loudly.” It implies that the man was standing farther back in the crowd or that the crowd was making a lot of noise. The man had to speak loudly in order for Jesus to hear him. Do not use a term that implies that the man was angry.</w:t>
      </w:r>
    </w:p>
    <w:p>
      <w:pPr>
        <w:pStyle w:val="Heading5"/>
      </w:pPr>
      <w:r>
        <w:rPr>
          <w:lang w:val="en_US" w:bidi="en_US"/>
        </w:rPr>
        <w:t>9:38b</w:t>
      </w:r>
    </w:p>
    <w:p>
      <w:pPr/>
      <w:r>
        <w:rPr>
          <w:lang w:val="en_US" w:bidi="en_US"/>
        </w:rPr>
      </w:r>
      <w:r>
        <w:rPr>
          <w:b/>
          <w:lang w:val="en_US" w:bidi="en_US"/>
        </w:rPr>
        <w:t>“Teacher, I beg You to look at my son,</w:t>
      </w:r>
    </w:p>
    <w:p>
      <w:pPr>
        <w:pStyle w:val="ListBullet"/>
        <w:spacing w:line="240" w:lineRule="auto"/>
        <w:ind w:left="720"/>
      </w:pPr>
      <w:r>
        <w:rPr>
          <w:lang w:val="en_US" w:bidi="en_US"/>
        </w:rPr>
      </w:r>
      <w:r>
        <w:rPr>
          <w:lang w:val="en_US" w:bidi="en_US"/>
        </w:rPr>
        <w:t xml:space="preserve">“Teacher, I plead with you to look </w:t>
      </w:r>
      <w:r>
        <w:rPr>
          <w:lang w:val="en_US" w:bidi="en_US"/>
        </w:rPr>
        <w:t>with pity/mercy</w:t>
      </w:r>
      <w:r>
        <w:rPr>
          <w:lang w:val="en_US" w:bidi="en_US"/>
        </w:rPr>
        <w:t xml:space="preserve"> on my son,</w:t>
      </w:r>
    </w:p>
    <w:p>
      <w:pPr>
        <w:pStyle w:val="ListBullet"/>
        <w:spacing w:line="240" w:lineRule="auto"/>
        <w:ind w:left="720"/>
      </w:pPr>
      <w:r>
        <w:rPr>
          <w:lang w:val="en_US" w:bidi="en_US"/>
        </w:rPr>
      </w:r>
      <w:r>
        <w:rPr>
          <w:lang w:val="en_US" w:bidi="en_US"/>
        </w:rPr>
        <w:t xml:space="preserve">“Sir Teacher, please be merciful to my son </w:t>
      </w:r>
      <w:r>
        <w:rPr>
          <w:lang w:val="en_US" w:bidi="en_US"/>
        </w:rPr>
        <w:t>and help him</w:t>
      </w:r>
      <w:r>
        <w:rPr>
          <w:lang w:val="en_US" w:bidi="en_US"/>
        </w:rPr>
        <w:t>.</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was a polite title for a Jewish religious leader. It was a title of respect for a Jewish man who had authority to teach the things about God. In some languages the appropriate way to address a religious teacher may be:</w:t>
      </w:r>
    </w:p>
    <w:p>
      <w:pPr/>
      <w:r>
        <w:rPr>
          <w:lang w:val="en_US" w:bidi="en_US"/>
        </w:rPr>
      </w:r>
      <w:r>
        <w:rPr>
          <w:lang w:val="en_US" w:bidi="en_US"/>
        </w:rPr>
        <w:t>Sir Teacher</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lang w:val="en_US" w:bidi="en_US"/>
        </w:rPr>
        <w:t>Be careful not to use a term that can refer only to a school teacher.</w:t>
      </w:r>
    </w:p>
    <w:p>
      <w:pPr/>
      <w:r>
        <w:rPr>
          <w:lang w:val="en_US" w:bidi="en_US"/>
        </w:rPr>
      </w:r>
      <w:r>
        <w:rPr>
          <w:b/>
          <w:lang w:val="en_US" w:bidi="en_US"/>
        </w:rPr>
        <w:t>I beg You:</w:t>
      </w:r>
      <w:r>
        <w:rPr>
          <w:lang w:val="en_US" w:bidi="en_US"/>
        </w:rPr>
        <w:t xml:space="preserve"> The Greek word that the BSB translates as </w:t>
      </w:r>
      <w:r>
        <w:rPr>
          <w:i/>
          <w:lang w:val="en_US" w:bidi="en_US"/>
        </w:rPr>
        <w:t>beg</w:t>
      </w:r>
      <w:r>
        <w:rPr>
          <w:lang w:val="en_US" w:bidi="en_US"/>
        </w:rPr>
        <w:t xml:space="preserve"> means to ask or plead urgently for something in a humble way. Other ways to translate this word are:</w:t>
      </w:r>
    </w:p>
    <w:p>
      <w:pPr/>
      <w:r>
        <w:rPr>
          <w:lang w:val="en_US" w:bidi="en_US"/>
        </w:rPr>
      </w:r>
      <w:r>
        <w:rPr>
          <w:lang w:val="en_US" w:bidi="en_US"/>
        </w:rPr>
        <w:t>I implore you (NJB)</w:t>
      </w:r>
    </w:p>
    <w:p>
      <w:pPr/>
      <w:r>
        <w:rPr>
          <w:lang w:val="en_US" w:bidi="en_US"/>
        </w:rPr>
      </w:r>
      <w:r>
        <w:rPr>
          <w:lang w:val="en_US" w:bidi="en_US"/>
        </w:rPr>
        <w:t>please (NCV)</w:t>
      </w:r>
    </w:p>
    <w:p>
      <w:pPr/>
      <w:r>
        <w:rPr>
          <w:lang w:val="en_US" w:bidi="en_US"/>
        </w:rPr>
      </w:r>
      <w:r>
        <w:rPr>
          <w:b/>
          <w:lang w:val="en_US" w:bidi="en_US"/>
        </w:rPr>
        <w:t>look at my son:</w:t>
      </w:r>
      <w:r>
        <w:rPr>
          <w:lang w:val="en_US" w:bidi="en_US"/>
        </w:rPr>
        <w:t xml:space="preserve"> The Greek word that the BSB translates as </w:t>
      </w:r>
      <w:r>
        <w:rPr>
          <w:i/>
          <w:lang w:val="en_US" w:bidi="en_US"/>
        </w:rPr>
        <w:t>look at</w:t>
      </w:r>
      <w:r>
        <w:rPr>
          <w:lang w:val="en_US" w:bidi="en_US"/>
        </w:rPr>
        <w:t xml:space="preserve"> is a literal translation of a Hebrew idiom. The Hebrew idiom means “to help, to be concerned with, to look upon and help.”</w:t>
      </w:r>
      <w:r>
        <w:rPr>
          <w:lang w:val="en_US" w:bidi="en_US"/>
        </w:rPr>
        <w:t>Louw &amp; Nida, p. 459.</w:t>
      </w:r>
      <w:r>
        <w:rPr>
          <w:lang w:val="en_US" w:bidi="en_US"/>
        </w:rPr>
        <w:t xml:space="preserve"> The same verb occurs in 1:48a, where the BSB translates it as “looked with favor on.” The boy’s father wanted Jesus to do more than merely look at his son. He wanted Jesus to help his son by casting out the demon. Other ways to translate this idiom are:</w:t>
      </w:r>
    </w:p>
    <w:p>
      <w:pPr/>
      <w:r>
        <w:rPr>
          <w:lang w:val="en_US" w:bidi="en_US"/>
        </w:rPr>
      </w:r>
      <w:r>
        <w:rPr>
          <w:lang w:val="en_US" w:bidi="en_US"/>
        </w:rPr>
        <w:t>do something for my son (CEV)</w:t>
      </w:r>
    </w:p>
    <w:p>
      <w:pPr/>
      <w:r>
        <w:rPr>
          <w:lang w:val="en_US" w:bidi="en_US"/>
        </w:rPr>
      </w:r>
      <w:r>
        <w:rPr>
          <w:lang w:val="en_US" w:bidi="en_US"/>
        </w:rPr>
        <w:t>have mercy on my son and help him</w:t>
      </w:r>
    </w:p>
    <w:p>
      <w:pPr/>
      <w:r>
        <w:rPr>
          <w:lang w:val="en_US" w:bidi="en_US"/>
        </w:rPr>
      </w:r>
      <w:r>
        <w:rPr>
          <w:lang w:val="en_US" w:bidi="en_US"/>
        </w:rPr>
        <w:t>look with pity on my son</w:t>
      </w:r>
    </w:p>
    <w:p>
      <w:pPr/>
      <w:r>
        <w:rPr>
          <w:lang w:val="en_US" w:bidi="en_US"/>
        </w:rPr>
      </w:r>
      <w:r>
        <w:rPr>
          <w:lang w:val="en_US" w:bidi="en_US"/>
        </w:rPr>
        <w:t>Notice from the following context in 9:41–42 that someone needed to bring the boy to Jesus. So it is probable that Jesus could not “see” the boy from where he was standing.</w:t>
      </w:r>
    </w:p>
    <w:p>
      <w:pPr>
        <w:pStyle w:val="Heading5"/>
      </w:pPr>
      <w:r>
        <w:rPr>
          <w:lang w:val="en_US" w:bidi="en_US"/>
        </w:rPr>
        <w:t>9:38c</w:t>
      </w:r>
    </w:p>
    <w:p>
      <w:pPr/>
      <w:r>
        <w:rPr>
          <w:lang w:val="en_US" w:bidi="en_US"/>
        </w:rPr>
      </w:r>
      <w:r>
        <w:rPr>
          <w:b/>
          <w:lang w:val="en_US" w:bidi="en_US"/>
        </w:rPr>
        <w:t>for he is my only child.</w:t>
      </w:r>
    </w:p>
    <w:p>
      <w:pPr>
        <w:pStyle w:val="ListBullet"/>
        <w:spacing w:line="240" w:lineRule="auto"/>
        <w:ind w:left="720"/>
      </w:pPr>
      <w:r>
        <w:rPr>
          <w:lang w:val="en_US" w:bidi="en_US"/>
        </w:rPr>
      </w:r>
      <w:r>
        <w:rPr>
          <w:lang w:val="en_US" w:bidi="en_US"/>
        </w:rPr>
        <w:t>because he is the only child I have.</w:t>
      </w:r>
    </w:p>
    <w:p>
      <w:pPr>
        <w:pStyle w:val="ListBullet"/>
        <w:spacing w:line="240" w:lineRule="auto"/>
        <w:ind w:left="720"/>
      </w:pPr>
      <w:r>
        <w:rPr>
          <w:lang w:val="en_US" w:bidi="en_US"/>
        </w:rPr>
      </w:r>
      <w:r>
        <w:rPr>
          <w:lang w:val="en_US" w:bidi="en_US"/>
        </w:rPr>
        <w:t>I have no other child!</w:t>
      </w:r>
    </w:p>
    <w:p>
      <w:pPr/>
      <w:r>
        <w:rPr>
          <w:lang w:val="en_US" w:bidi="en_US"/>
        </w:rPr>
      </w:r>
      <w:r>
        <w:rPr>
          <w:b/>
          <w:lang w:val="en_US" w:bidi="en_US"/>
        </w:rPr>
        <w:t>for he is my only child:</w:t>
      </w:r>
      <w:r>
        <w:rPr>
          <w:lang w:val="en_US" w:bidi="en_US"/>
        </w:rPr>
        <w:t xml:space="preserve"> The clause </w:t>
      </w:r>
      <w:r>
        <w:rPr>
          <w:i/>
          <w:lang w:val="en_US" w:bidi="en_US"/>
        </w:rPr>
        <w:t>for he is my only child</w:t>
      </w:r>
      <w:r>
        <w:rPr>
          <w:lang w:val="en_US" w:bidi="en_US"/>
        </w:rPr>
        <w:t xml:space="preserve"> gives the reason for the father’s urgent request that Jesus heal the boy. If the boy died, the man would have no other child left. Some English versions introduce this reason as a separate sentence. For example:</w:t>
      </w:r>
    </w:p>
    <w:p>
      <w:pPr/>
      <w:r>
        <w:rPr>
          <w:lang w:val="en_US" w:bidi="en_US"/>
        </w:rPr>
      </w:r>
      <w:r>
        <w:rPr>
          <w:lang w:val="en_US" w:bidi="en_US"/>
        </w:rPr>
        <w:t>He’s my only child! (GW)</w:t>
      </w:r>
    </w:p>
    <w:p>
      <w:pPr/>
      <w:r>
        <w:rPr>
          <w:lang w:val="en_US" w:bidi="en_US"/>
        </w:rPr>
      </w:r>
      <w:r>
        <w:rPr>
          <w:lang w:val="en_US" w:bidi="en_US"/>
        </w:rPr>
        <w:t>Express this reason in a way that is natural in your language.</w:t>
      </w:r>
      <w:r>
        <w:rPr>
          <w:lang w:val="en_US" w:bidi="en_US"/>
        </w:rPr>
      </w:r>
      <w:r>
        <w:rPr>
          <w:lang w:val="en_US" w:bidi="en_US"/>
        </w:rPr>
      </w:r>
    </w:p>
    <w:p>
      <w:pPr/>
      <w:r>
        <w:rPr>
          <w:lang w:val="en_US" w:bidi="en_US"/>
        </w:rPr>
      </w:r>
    </w:p>
    <w:p>
      <w:pPr>
        <w:pStyle w:val="Heading2"/>
      </w:pPr>
      <w:r>
        <w:rPr>
          <w:lang w:val="en_US" w:bidi="en_US"/>
        </w:rPr>
        <w:t>Luke 9:39</w:t>
      </w:r>
      <w:r>
        <w:rPr>
          <w:lang w:val="en_US" w:bidi="en_US"/>
        </w:rPr>
      </w:r>
    </w:p>
    <w:p>
      <w:pPr>
        <w:pStyle w:val="Heading4"/>
      </w:pPr>
      <w:r>
        <w:rPr>
          <w:lang w:val="en_US" w:bidi="en_US"/>
        </w:rPr>
        <w:t>Section 9:37–43a: Jesus expelled an evil spirit from a boy</w:t>
      </w:r>
    </w:p>
    <w:p>
      <w:pPr/>
      <w:r>
        <w:rPr>
          <w:lang w:val="en_US" w:bidi="en_US"/>
        </w:rPr>
      </w:r>
      <w:r>
        <w:rPr>
          <w:lang w:val="en_US" w:bidi="en_US"/>
        </w:rPr>
        <w:t>Earlier Jesus had given power to his twelve apostles to cast out demons (9:1). However, after Jesus came down from the mountain with Peter, James, and John, he heard that the other disciples had not been able to make an evil spirit leave a man’s son. When the boy approached Jesus, the unclean spirit caused the boy to convulse violently. Then Jesus cast out the unclean spirit, and the people were filled with awe.</w:t>
      </w:r>
    </w:p>
    <w:p>
      <w:pPr/>
      <w:r>
        <w:rPr>
          <w:lang w:val="en_US" w:bidi="en_US"/>
        </w:rPr>
      </w:r>
      <w:r>
        <w:rPr>
          <w:lang w:val="en_US" w:bidi="en_US"/>
        </w:rPr>
        <w:t>Some other examples of headings for this section are:</w:t>
      </w:r>
    </w:p>
    <w:p>
      <w:pPr/>
      <w:r>
        <w:rPr>
          <w:lang w:val="en_US" w:bidi="en_US"/>
        </w:rPr>
      </w:r>
      <w:r>
        <w:rPr>
          <w:lang w:val="en_US" w:bidi="en_US"/>
        </w:rPr>
        <w:t>The Healing of a Boy with an Evil Spirit (NIV)</w:t>
      </w:r>
    </w:p>
    <w:p>
      <w:pPr/>
      <w:r>
        <w:rPr>
          <w:lang w:val="en_US" w:bidi="en_US"/>
        </w:rPr>
      </w:r>
      <w:r>
        <w:rPr>
          <w:lang w:val="en_US" w:bidi="en_US"/>
        </w:rPr>
        <w:t>Jesus Heals a Boy with an Evil Spirit (GNT)</w:t>
      </w:r>
    </w:p>
    <w:p>
      <w:pPr/>
      <w:r>
        <w:rPr>
          <w:lang w:val="en_US" w:bidi="en_US"/>
        </w:rPr>
      </w:r>
      <w:r>
        <w:rPr>
          <w:lang w:val="en_US" w:bidi="en_US"/>
        </w:rPr>
        <w:t>There are parallel passages for this section in Matthew 17:14–21 and Mark 9:14–29.</w:t>
      </w:r>
    </w:p>
    <w:p>
      <w:pPr/>
      <w:r>
        <w:rPr>
          <w:lang w:val="en_US" w:bidi="en_US"/>
        </w:rPr>
      </w:r>
    </w:p>
    <w:p>
      <w:pPr>
        <w:pStyle w:val="Heading5"/>
      </w:pPr>
      <w:r>
        <w:rPr>
          <w:lang w:val="en_US" w:bidi="en_US"/>
        </w:rPr>
        <w:t>9:39a</w:t>
      </w:r>
    </w:p>
    <w:p>
      <w:pPr/>
      <w:r>
        <w:rPr>
          <w:lang w:val="en_US" w:bidi="en_US"/>
        </w:rPr>
      </w:r>
      <w:r>
        <w:rPr>
          <w:b/>
          <w:lang w:val="en_US" w:bidi="en_US"/>
        </w:rPr>
        <w:t>A spirit keeps seizing him, and he screams abruptly.</w:t>
      </w:r>
    </w:p>
    <w:p>
      <w:pPr>
        <w:pStyle w:val="ListBullet"/>
        <w:spacing w:line="240" w:lineRule="auto"/>
        <w:ind w:left="720"/>
      </w:pPr>
      <w:r>
        <w:rPr>
          <w:lang w:val="en_US" w:bidi="en_US"/>
        </w:rPr>
      </w:r>
      <w:r>
        <w:rPr>
          <w:lang w:val="en_US" w:bidi="en_US"/>
        </w:rPr>
        <w:t>What happens is this:</w:t>
      </w:r>
      <w:r>
        <w:rPr>
          <w:lang w:val="en_US" w:bidi="en_US"/>
        </w:rPr>
        <w:t xml:space="preserve"> An evil spirit </w:t>
      </w:r>
      <w:r>
        <w:rPr>
          <w:lang w:val="en_US" w:bidi="en_US"/>
        </w:rPr>
        <w:t>often</w:t>
      </w:r>
      <w:r>
        <w:rPr>
          <w:lang w:val="en_US" w:bidi="en_US"/>
        </w:rPr>
        <w:t xml:space="preserve"> grabs/possesses him and immediately makes him scream!</w:t>
      </w:r>
    </w:p>
    <w:p>
      <w:pPr>
        <w:pStyle w:val="ListBullet"/>
        <w:spacing w:line="240" w:lineRule="auto"/>
        <w:ind w:left="720"/>
      </w:pPr>
      <w:r>
        <w:rPr>
          <w:lang w:val="en_US" w:bidi="en_US"/>
        </w:rPr>
      </w:r>
      <w:r>
        <w:rPr>
          <w:lang w:val="en_US" w:bidi="en_US"/>
        </w:rPr>
        <w:t>Often</w:t>
      </w:r>
      <w:r>
        <w:rPr>
          <w:lang w:val="en_US" w:bidi="en_US"/>
        </w:rPr>
        <w:t xml:space="preserve"> a demon suddenly attacks/controls him and causes him to shriek/screech!</w:t>
      </w:r>
    </w:p>
    <w:p>
      <w:pPr/>
      <w:r>
        <w:rPr>
          <w:lang w:val="en_US" w:bidi="en_US"/>
        </w:rPr>
      </w:r>
      <w:r>
        <w:rPr>
          <w:lang w:val="en_US" w:bidi="en_US"/>
        </w:rPr>
        <w:t>9:39 begins with a phrase that is literally “and behold” in Greek. The BSB and most English versions do not translate this phrase. In this context, this phrase introduces significant information in the story. Here is another way to translate this phrase:</w:t>
      </w:r>
    </w:p>
    <w:p>
      <w:pPr/>
      <w:r>
        <w:rPr>
          <w:lang w:val="en_US" w:bidi="en_US"/>
        </w:rPr>
      </w:r>
      <w:r>
        <w:rPr>
          <w:lang w:val="en_US" w:bidi="en_US"/>
        </w:rPr>
        <w:t>what happens is: (TRT)</w:t>
      </w:r>
    </w:p>
    <w:p>
      <w:pPr/>
      <w:r>
        <w:rPr>
          <w:lang w:val="en_US" w:bidi="en_US"/>
        </w:rPr>
      </w:r>
      <w:r>
        <w:rPr>
          <w:b/>
          <w:lang w:val="en_US" w:bidi="en_US"/>
        </w:rPr>
        <w:t>A spirit:</w:t>
      </w:r>
      <w:r>
        <w:rPr>
          <w:lang w:val="en_US" w:bidi="en_US"/>
        </w:rPr>
        <w:t xml:space="preserve"> The Greek word that the BSB translates literally as </w:t>
      </w:r>
      <w:r>
        <w:rPr>
          <w:i/>
          <w:lang w:val="en_US" w:bidi="en_US"/>
        </w:rPr>
        <w:t>spirit</w:t>
      </w:r>
      <w:r>
        <w:rPr>
          <w:lang w:val="en_US" w:bidi="en_US"/>
        </w:rPr>
        <w:t xml:space="preserve"> here refers to an unclean spirit or a demon. Later in the story this same spirit is referred to as a “demon” (9:42b) and an “unclean spirit” (9:42c). In some languages it may be natural to refer to the spirit in the same way in all these places. See the note on “demons” in 9:1b. See also demon in the Glossary.</w:t>
      </w:r>
    </w:p>
    <w:p>
      <w:pPr/>
      <w:r>
        <w:rPr>
          <w:lang w:val="en_US" w:bidi="en_US"/>
        </w:rPr>
      </w:r>
      <w:r>
        <w:rPr>
          <w:b/>
          <w:lang w:val="en_US" w:bidi="en_US"/>
        </w:rPr>
        <w:t>keeps seizing him:</w:t>
      </w:r>
      <w:r>
        <w:rPr>
          <w:lang w:val="en_US" w:bidi="en_US"/>
        </w:rPr>
        <w:t xml:space="preserve"> The Greek verb that the BSB translates as </w:t>
      </w:r>
      <w:r>
        <w:rPr>
          <w:i/>
          <w:lang w:val="en_US" w:bidi="en_US"/>
        </w:rPr>
        <w:t>keeps seizing</w:t>
      </w:r>
      <w:r>
        <w:rPr>
          <w:lang w:val="en_US" w:bidi="en_US"/>
        </w:rPr>
        <w:t xml:space="preserve"> means “takes possession of” or “takes control of.” The form of the verb indicates that this action occurred from time to time or repeatedly. Another way to translate this is:</w:t>
      </w:r>
    </w:p>
    <w:p>
      <w:pPr/>
      <w:r>
        <w:rPr>
          <w:lang w:val="en_US" w:bidi="en_US"/>
        </w:rPr>
      </w:r>
      <w:r>
        <w:rPr>
          <w:lang w:val="en_US" w:bidi="en_US"/>
        </w:rPr>
        <w:t>attacks him (GNT)</w:t>
      </w:r>
    </w:p>
    <w:p>
      <w:pPr/>
      <w:r>
        <w:rPr>
          <w:lang w:val="en_US" w:bidi="en_US"/>
        </w:rPr>
      </w:r>
      <w:r>
        <w:rPr>
          <w:b/>
          <w:lang w:val="en_US" w:bidi="en_US"/>
        </w:rPr>
        <w:t>and he screams abruptly:</w:t>
      </w:r>
      <w:r>
        <w:rPr>
          <w:lang w:val="en_US" w:bidi="en_US"/>
        </w:rPr>
        <w:t xml:space="preserve"> This clause tells the result of the spirit seizing the boy. There are two ways to interpret the Greek words that the BSB translates as </w:t>
      </w:r>
      <w:r>
        <w:rPr>
          <w:i/>
          <w:lang w:val="en_US" w:bidi="en_US"/>
        </w:rPr>
        <w:t>he screams abruptly</w:t>
      </w:r>
      <w:r>
        <w:rPr>
          <w:lang w:val="en_US" w:bidi="en_US"/>
        </w:rPr>
        <w:t>:</w:t>
      </w:r>
    </w:p>
    <w:p>
      <w:pPr>
        <w:pStyle w:val="ListNumber"/>
        <w:numPr>
          <w:ilvl w:val="0"/>
          <w:numId w:val="198"/>
        </w:numPr>
        <w:spacing w:line="240" w:lineRule="auto"/>
        <w:ind w:left="720"/>
      </w:pPr>
      <w:r>
        <w:rPr>
          <w:lang w:val="en_US" w:bidi="en_US"/>
        </w:rPr>
      </w:r>
      <w:r>
        <w:rPr>
          <w:lang w:val="en_US" w:bidi="en_US"/>
        </w:rPr>
        <w:t xml:space="preserve">It means that </w:t>
      </w:r>
      <w:r>
        <w:rPr>
          <w:u w:val="single"/>
          <w:lang w:val="en_US" w:bidi="en_US"/>
        </w:rPr>
        <w:t>the boy screamed</w:t>
      </w:r>
      <w:r>
        <w:rPr>
          <w:lang w:val="en_US" w:bidi="en_US"/>
        </w:rPr>
        <w:t xml:space="preserve"> whenever the spirit seized him. For example:</w:t>
      </w:r>
      <w:r>
        <w:rPr>
          <w:lang w:val="en_US" w:bidi="en_US"/>
        </w:rPr>
        <w:t xml:space="preserve">he shrieks (GW) </w:t>
      </w:r>
      <w:r>
        <w:rPr>
          <w:i/>
          <w:lang w:val="en_US" w:bidi="en_US"/>
        </w:rPr>
        <w:t>(BSB, NIV, KJV, NASB, RSV, NET, NLT, CEV, NCV, GW)</w:t>
      </w:r>
    </w:p>
    <w:p>
      <w:pPr>
        <w:pStyle w:val="ListNumber"/>
        <w:spacing w:line="240" w:lineRule="auto"/>
        <w:ind w:left="720"/>
      </w:pPr>
      <w:r>
        <w:rPr>
          <w:lang w:val="en_US" w:bidi="en_US"/>
        </w:rPr>
      </w:r>
      <w:r>
        <w:rPr>
          <w:lang w:val="en_US" w:bidi="en_US"/>
        </w:rPr>
        <w:t xml:space="preserve">It means that </w:t>
      </w:r>
      <w:r>
        <w:rPr>
          <w:u w:val="single"/>
          <w:lang w:val="en_US" w:bidi="en_US"/>
        </w:rPr>
        <w:t>the spirit screamed</w:t>
      </w:r>
      <w:r>
        <w:rPr>
          <w:lang w:val="en_US" w:bidi="en_US"/>
        </w:rPr>
        <w:t xml:space="preserve"> when it seized the boy. For example:</w:t>
      </w:r>
      <w:r>
        <w:rPr>
          <w:lang w:val="en_US" w:bidi="en_US"/>
        </w:rPr>
        <w:t xml:space="preserve">all at once it gives a sudden cry (NJB) </w:t>
      </w:r>
      <w:r>
        <w:rPr>
          <w:i/>
          <w:lang w:val="en_US" w:bidi="en_US"/>
        </w:rPr>
        <w:t>(REB, GNT, NJB)</w:t>
      </w:r>
    </w:p>
    <w:p>
      <w:pPr/>
      <w:r>
        <w:rPr>
          <w:lang w:val="en_US" w:bidi="en_US"/>
        </w:rPr>
      </w:r>
      <w:r>
        <w:rPr>
          <w:lang w:val="en_US" w:bidi="en_US"/>
        </w:rPr>
        <w:t>In Greek, the subject of “screamed” is ambiguous. It can mean either “he” or “it.” If it is natural in your language to translate ambiguously, as the Greek does, you should do so. If you need to specify the subject, it is recommended that you follow interpretation (1), along with most English versions.</w:t>
      </w:r>
    </w:p>
    <w:p>
      <w:pPr>
        <w:pStyle w:val="Heading5"/>
      </w:pPr>
      <w:r>
        <w:rPr>
          <w:lang w:val="en_US" w:bidi="en_US"/>
        </w:rPr>
        <w:t>9:39b</w:t>
      </w:r>
    </w:p>
    <w:p>
      <w:pPr/>
      <w:r>
        <w:rPr>
          <w:lang w:val="en_US" w:bidi="en_US"/>
        </w:rPr>
      </w:r>
      <w:r>
        <w:rPr>
          <w:b/>
          <w:lang w:val="en_US" w:bidi="en_US"/>
        </w:rPr>
        <w:t>It throws him into convulsions so that he foams at the mouth.</w:t>
      </w:r>
    </w:p>
    <w:p>
      <w:pPr>
        <w:pStyle w:val="ListBullet"/>
        <w:spacing w:line="240" w:lineRule="auto"/>
        <w:ind w:left="720"/>
      </w:pPr>
      <w:r>
        <w:rPr>
          <w:lang w:val="en_US" w:bidi="en_US"/>
        </w:rPr>
      </w:r>
      <w:r>
        <w:rPr>
          <w:lang w:val="en_US" w:bidi="en_US"/>
        </w:rPr>
        <w:t xml:space="preserve">It makes him shake/jerk around so </w:t>
      </w:r>
      <w:r>
        <w:rPr>
          <w:lang w:val="en_US" w:bidi="en_US"/>
        </w:rPr>
        <w:t>much/badly</w:t>
      </w:r>
      <w:r>
        <w:rPr>
          <w:lang w:val="en_US" w:bidi="en_US"/>
        </w:rPr>
        <w:t xml:space="preserve"> that foam/froth comes from his mouth.</w:t>
      </w:r>
    </w:p>
    <w:p>
      <w:pPr>
        <w:pStyle w:val="ListBullet"/>
        <w:spacing w:line="240" w:lineRule="auto"/>
        <w:ind w:left="720"/>
      </w:pPr>
      <w:r>
        <w:rPr>
          <w:lang w:val="en_US" w:bidi="en_US"/>
        </w:rPr>
      </w:r>
      <w:r>
        <w:rPr>
          <w:lang w:val="en_US" w:bidi="en_US"/>
        </w:rPr>
        <w:t>The demon causes the boy to have convulsions/seizures, and this makes him foam at the mouth.</w:t>
      </w:r>
    </w:p>
    <w:p>
      <w:pPr/>
      <w:r>
        <w:rPr>
          <w:lang w:val="en_US" w:bidi="en_US"/>
        </w:rPr>
      </w:r>
      <w:r>
        <w:rPr>
          <w:b/>
          <w:lang w:val="en_US" w:bidi="en_US"/>
        </w:rPr>
        <w:t>It throws him into convulsions:</w:t>
      </w:r>
      <w:r>
        <w:rPr>
          <w:lang w:val="en_US" w:bidi="en_US"/>
        </w:rPr>
        <w:t xml:space="preserve"> The Greek clause that the BSB translates as </w:t>
      </w:r>
      <w:r>
        <w:rPr>
          <w:i/>
          <w:lang w:val="en_US" w:bidi="en_US"/>
        </w:rPr>
        <w:t>It throws him into convulsions</w:t>
      </w:r>
      <w:r>
        <w:rPr>
          <w:lang w:val="en_US" w:bidi="en_US"/>
        </w:rPr>
        <w:t xml:space="preserve"> indicates that the demon caused the boy to have seizures. These seizures made him roll around on the ground and jerk uncontrollably. Such seizures are sometimes a symptom of the disease called epilepsy. Here Luke identified the cause as an unclean spirit. Other ways to translate this are:</w:t>
      </w:r>
    </w:p>
    <w:p>
      <w:pPr/>
      <w:r>
        <w:rPr>
          <w:lang w:val="en_US" w:bidi="en_US"/>
        </w:rPr>
      </w:r>
      <w:r>
        <w:rPr>
          <w:lang w:val="en_US" w:bidi="en_US"/>
        </w:rPr>
        <w:t>causes him to have seizures</w:t>
      </w:r>
    </w:p>
    <w:p>
      <w:pPr/>
      <w:r>
        <w:rPr>
          <w:lang w:val="en_US" w:bidi="en_US"/>
        </w:rPr>
      </w:r>
      <w:r>
        <w:rPr>
          <w:lang w:val="en_US" w:bidi="en_US"/>
        </w:rPr>
        <w:t>convulses him</w:t>
      </w:r>
    </w:p>
    <w:p>
      <w:pPr/>
      <w:r>
        <w:rPr>
          <w:lang w:val="en_US" w:bidi="en_US"/>
        </w:rPr>
      </w:r>
      <w:r>
        <w:rPr>
          <w:lang w:val="en_US" w:bidi="en_US"/>
        </w:rPr>
        <w:t>shakes him (CEV)</w:t>
      </w:r>
    </w:p>
    <w:p>
      <w:pPr/>
      <w:r>
        <w:rPr>
          <w:lang w:val="en_US" w:bidi="en_US"/>
        </w:rPr>
      </w:r>
      <w:r>
        <w:rPr>
          <w:b/>
          <w:lang w:val="en_US" w:bidi="en_US"/>
        </w:rPr>
        <w:t>so that he foams at the mouth:</w:t>
      </w:r>
      <w:r>
        <w:rPr>
          <w:lang w:val="en_US" w:bidi="en_US"/>
        </w:rPr>
        <w:t xml:space="preserve"> The Greek phrase that the BSB translates as </w:t>
      </w:r>
      <w:r>
        <w:rPr>
          <w:i/>
          <w:lang w:val="en_US" w:bidi="en_US"/>
        </w:rPr>
        <w:t>so that he foams at the mouth</w:t>
      </w:r>
      <w:r>
        <w:rPr>
          <w:lang w:val="en_US" w:bidi="en_US"/>
        </w:rPr>
        <w:t xml:space="preserve"> is literally “with foam.” In addition to causing the boy to have convulsions, the unclean spirit caused him to foam at the mouth. Use an expression in your language that describes what happens when a person has a seizure and white froth or bubbles come out of his mouth. For example:</w:t>
      </w:r>
    </w:p>
    <w:p>
      <w:pPr/>
      <w:r>
        <w:rPr>
          <w:lang w:val="en_US" w:bidi="en_US"/>
        </w:rPr>
      </w:r>
      <w:r>
        <w:rPr>
          <w:lang w:val="en_US" w:bidi="en_US"/>
        </w:rPr>
        <w:t>and causes him to foam at the mouth (NET)</w:t>
      </w:r>
    </w:p>
    <w:p>
      <w:pPr/>
      <w:r>
        <w:rPr>
          <w:lang w:val="en_US" w:bidi="en_US"/>
        </w:rPr>
      </w:r>
      <w:r>
        <w:rPr>
          <w:lang w:val="en_US" w:bidi="en_US"/>
        </w:rPr>
        <w:t>until he foams at the mouth (NRSV)</w:t>
      </w:r>
    </w:p>
    <w:p>
      <w:pPr/>
      <w:r>
        <w:rPr>
          <w:lang w:val="en_US" w:bidi="en_US"/>
        </w:rPr>
      </w:r>
      <w:r>
        <w:rPr>
          <w:lang w:val="en_US" w:bidi="en_US"/>
        </w:rPr>
        <w:t>and froth/bubbles come from his mouth</w:t>
      </w:r>
    </w:p>
    <w:p>
      <w:pPr>
        <w:pStyle w:val="Heading5"/>
      </w:pPr>
      <w:r>
        <w:rPr>
          <w:lang w:val="en_US" w:bidi="en_US"/>
        </w:rPr>
        <w:t>9:39c</w:t>
      </w:r>
    </w:p>
    <w:p>
      <w:pPr/>
      <w:r>
        <w:rPr>
          <w:lang w:val="en_US" w:bidi="en_US"/>
        </w:rPr>
      </w:r>
      <w:r>
        <w:rPr>
          <w:b/>
          <w:lang w:val="en_US" w:bidi="en_US"/>
        </w:rPr>
        <w:t>It keeps mauling him and rarely departs from him.</w:t>
      </w:r>
    </w:p>
    <w:p>
      <w:pPr>
        <w:pStyle w:val="ListBullet"/>
        <w:spacing w:line="240" w:lineRule="auto"/>
        <w:ind w:left="720"/>
      </w:pPr>
      <w:r>
        <w:rPr>
          <w:lang w:val="en_US" w:bidi="en_US"/>
        </w:rPr>
      </w:r>
      <w:r>
        <w:rPr>
          <w:lang w:val="en_US" w:bidi="en_US"/>
        </w:rPr>
        <w:t>It almost never leaves him, and it is destroying/injuring him.</w:t>
      </w:r>
    </w:p>
    <w:p>
      <w:pPr>
        <w:pStyle w:val="ListBullet"/>
        <w:spacing w:line="240" w:lineRule="auto"/>
        <w:ind w:left="720"/>
      </w:pPr>
      <w:r>
        <w:rPr>
          <w:lang w:val="en_US" w:bidi="en_US"/>
        </w:rPr>
      </w:r>
      <w:r>
        <w:rPr>
          <w:lang w:val="en_US" w:bidi="en_US"/>
        </w:rPr>
        <w:t>The demon is doing him great harm and is almost always controlling/possessing him.</w:t>
      </w:r>
    </w:p>
    <w:p>
      <w:pPr/>
      <w:r>
        <w:rPr>
          <w:lang w:val="en_US" w:bidi="en_US"/>
        </w:rPr>
      </w:r>
      <w:r>
        <w:rPr>
          <w:b/>
          <w:lang w:val="en_US" w:bidi="en_US"/>
        </w:rPr>
        <w:t>It keeps mauling him:</w:t>
      </w:r>
      <w:r>
        <w:rPr>
          <w:lang w:val="en_US" w:bidi="en_US"/>
        </w:rPr>
        <w:t xml:space="preserve"> The Greek verb that the BSB translates as </w:t>
      </w:r>
      <w:r>
        <w:rPr>
          <w:i/>
          <w:lang w:val="en_US" w:bidi="en_US"/>
        </w:rPr>
        <w:t>mauling</w:t>
      </w:r>
      <w:r>
        <w:rPr>
          <w:lang w:val="en_US" w:bidi="en_US"/>
        </w:rPr>
        <w:t xml:space="preserve"> is translated in various ways in different contexts. In this context, it probably means to mistreat, wound, bruise badly, or torture. The demon was badly hurting the boy. Other ways to translate this include:</w:t>
      </w:r>
    </w:p>
    <w:p>
      <w:pPr/>
      <w:r>
        <w:rPr>
          <w:lang w:val="en_US" w:bidi="en_US"/>
        </w:rPr>
      </w:r>
      <w:r>
        <w:rPr>
          <w:lang w:val="en_US" w:bidi="en_US"/>
        </w:rPr>
        <w:t>destroying him (NIV)</w:t>
      </w:r>
    </w:p>
    <w:p>
      <w:pPr/>
      <w:r>
        <w:rPr>
          <w:lang w:val="en_US" w:bidi="en_US"/>
        </w:rPr>
      </w:r>
      <w:r>
        <w:rPr>
          <w:lang w:val="en_US" w:bidi="en_US"/>
        </w:rPr>
        <w:t>torturing him severely (NET)</w:t>
      </w:r>
    </w:p>
    <w:p>
      <w:pPr/>
      <w:r>
        <w:rPr>
          <w:lang w:val="en_US" w:bidi="en_US"/>
        </w:rPr>
      </w:r>
      <w:r>
        <w:rPr>
          <w:lang w:val="en_US" w:bidi="en_US"/>
        </w:rPr>
        <w:t>keeps on tormenting him (REB)</w:t>
      </w:r>
    </w:p>
    <w:p>
      <w:pPr/>
      <w:r>
        <w:rPr>
          <w:lang w:val="en_US" w:bidi="en_US"/>
        </w:rPr>
      </w:r>
      <w:r>
        <w:rPr>
          <w:b/>
          <w:lang w:val="en_US" w:bidi="en_US"/>
        </w:rPr>
        <w:t>and rarely departs from him:</w:t>
      </w:r>
      <w:r>
        <w:rPr>
          <w:lang w:val="en_US" w:bidi="en_US"/>
        </w:rPr>
        <w:t xml:space="preserve"> The clause </w:t>
      </w:r>
      <w:r>
        <w:rPr>
          <w:i/>
          <w:lang w:val="en_US" w:bidi="en_US"/>
        </w:rPr>
        <w:t>rarely departs from him</w:t>
      </w:r>
      <w:r>
        <w:rPr>
          <w:lang w:val="en_US" w:bidi="en_US"/>
        </w:rPr>
        <w:t xml:space="preserve"> means that the demon rarely left the boy alone. Most of the time it was possessing and controlling him. In some languages it may be more natural to translate this as:</w:t>
      </w:r>
    </w:p>
    <w:p>
      <w:pPr/>
      <w:r>
        <w:rPr>
          <w:lang w:val="en_US" w:bidi="en_US"/>
        </w:rPr>
      </w:r>
      <w:r>
        <w:rPr>
          <w:lang w:val="en_US" w:bidi="en_US"/>
        </w:rPr>
        <w:t>It is almost always in control of him</w:t>
      </w:r>
    </w:p>
    <w:p>
      <w:pPr/>
      <w:r>
        <w:rPr>
          <w:lang w:val="en_US" w:bidi="en_US"/>
        </w:rPr>
      </w:r>
      <w:r>
        <w:rPr>
          <w:lang w:val="en_US" w:bidi="en_US"/>
        </w:rPr>
        <w:t>It has him in its grip/power almost all of the time</w:t>
      </w:r>
    </w:p>
    <w:p>
      <w:pPr>
        <w:pStyle w:val="Heading6"/>
      </w:pPr>
      <w:r>
        <w:rPr>
          <w:b/>
          <w:lang w:val="en_US" w:bidi="en_US"/>
        </w:rPr>
        <w:t>General Comment on 9:39c</w:t>
      </w:r>
    </w:p>
    <w:p>
      <w:pPr/>
      <w:r>
        <w:rPr>
          <w:lang w:val="en_US" w:bidi="en_US"/>
        </w:rPr>
      </w:r>
      <w:r>
        <w:rPr>
          <w:lang w:val="en_US" w:bidi="en_US"/>
        </w:rPr>
        <w:t>The BSB reverses the order of the two clauses in 9:39c. It may be more natural in your language to follow the Greek order. For example:</w:t>
      </w:r>
    </w:p>
    <w:p>
      <w:pPr/>
      <w:r>
        <w:rPr>
          <w:lang w:val="en_US" w:bidi="en_US"/>
        </w:rPr>
      </w:r>
      <w:r>
        <w:rPr>
          <w:lang w:val="en_US" w:bidi="en_US"/>
        </w:rPr>
        <w:t>It hardly ever leaves him alone, torturing him severely. (NET)</w:t>
      </w:r>
      <w:r>
        <w:rPr>
          <w:lang w:val="en_US" w:bidi="en_US"/>
        </w:rPr>
      </w:r>
      <w:r>
        <w:rPr>
          <w:lang w:val="en_US" w:bidi="en_US"/>
        </w:rPr>
      </w:r>
    </w:p>
    <w:p>
      <w:pPr/>
      <w:r>
        <w:rPr>
          <w:lang w:val="en_US" w:bidi="en_US"/>
        </w:rPr>
      </w:r>
    </w:p>
    <w:p>
      <w:pPr>
        <w:pStyle w:val="Heading2"/>
      </w:pPr>
      <w:r>
        <w:rPr>
          <w:lang w:val="en_US" w:bidi="en_US"/>
        </w:rPr>
        <w:t>Luke 9:40</w:t>
      </w:r>
      <w:r>
        <w:rPr>
          <w:lang w:val="en_US" w:bidi="en_US"/>
        </w:rPr>
      </w:r>
    </w:p>
    <w:p>
      <w:pPr>
        <w:pStyle w:val="Heading4"/>
      </w:pPr>
      <w:r>
        <w:rPr>
          <w:lang w:val="en_US" w:bidi="en_US"/>
        </w:rPr>
        <w:t>Section 9:37–43a: Jesus expelled an evil spirit from a boy</w:t>
      </w:r>
    </w:p>
    <w:p>
      <w:pPr/>
      <w:r>
        <w:rPr>
          <w:lang w:val="en_US" w:bidi="en_US"/>
        </w:rPr>
      </w:r>
      <w:r>
        <w:rPr>
          <w:lang w:val="en_US" w:bidi="en_US"/>
        </w:rPr>
        <w:t>Earlier Jesus had given power to his twelve apostles to cast out demons (9:1). However, after Jesus came down from the mountain with Peter, James, and John, he heard that the other disciples had not been able to make an evil spirit leave a man’s son. When the boy approached Jesus, the unclean spirit caused the boy to convulse violently. Then Jesus cast out the unclean spirit, and the people were filled with awe.</w:t>
      </w:r>
    </w:p>
    <w:p>
      <w:pPr/>
      <w:r>
        <w:rPr>
          <w:lang w:val="en_US" w:bidi="en_US"/>
        </w:rPr>
      </w:r>
      <w:r>
        <w:rPr>
          <w:lang w:val="en_US" w:bidi="en_US"/>
        </w:rPr>
        <w:t>Some other examples of headings for this section are:</w:t>
      </w:r>
    </w:p>
    <w:p>
      <w:pPr/>
      <w:r>
        <w:rPr>
          <w:lang w:val="en_US" w:bidi="en_US"/>
        </w:rPr>
      </w:r>
      <w:r>
        <w:rPr>
          <w:lang w:val="en_US" w:bidi="en_US"/>
        </w:rPr>
        <w:t>The Healing of a Boy with an Evil Spirit (NIV)</w:t>
      </w:r>
    </w:p>
    <w:p>
      <w:pPr/>
      <w:r>
        <w:rPr>
          <w:lang w:val="en_US" w:bidi="en_US"/>
        </w:rPr>
      </w:r>
      <w:r>
        <w:rPr>
          <w:lang w:val="en_US" w:bidi="en_US"/>
        </w:rPr>
        <w:t>Jesus Heals a Boy with an Evil Spirit (GNT)</w:t>
      </w:r>
    </w:p>
    <w:p>
      <w:pPr/>
      <w:r>
        <w:rPr>
          <w:lang w:val="en_US" w:bidi="en_US"/>
        </w:rPr>
      </w:r>
      <w:r>
        <w:rPr>
          <w:lang w:val="en_US" w:bidi="en_US"/>
        </w:rPr>
        <w:t>There are parallel passages for this section in Matthew 17:14–21 and Mark 9:14–29.</w:t>
      </w:r>
    </w:p>
    <w:p>
      <w:pPr/>
      <w:r>
        <w:rPr>
          <w:lang w:val="en_US" w:bidi="en_US"/>
        </w:rPr>
      </w:r>
    </w:p>
    <w:p>
      <w:pPr>
        <w:pStyle w:val="Heading5"/>
      </w:pPr>
      <w:r>
        <w:rPr>
          <w:lang w:val="en_US" w:bidi="en_US"/>
        </w:rPr>
        <w:t>9:40</w:t>
      </w:r>
    </w:p>
    <w:p>
      <w:pPr/>
      <w:r>
        <w:rPr>
          <w:lang w:val="en_US" w:bidi="en_US"/>
        </w:rPr>
      </w:r>
      <w:r>
        <w:rPr>
          <w:b/>
          <w:lang w:val="en_US" w:bidi="en_US"/>
        </w:rPr>
        <w:t>I begged Your disciples to drive it out, but they were unable.”</w:t>
      </w:r>
    </w:p>
    <w:p>
      <w:pPr>
        <w:pStyle w:val="ListBullet"/>
        <w:spacing w:line="240" w:lineRule="auto"/>
        <w:ind w:left="720"/>
      </w:pPr>
      <w:r>
        <w:rPr>
          <w:lang w:val="en_US" w:bidi="en_US"/>
        </w:rPr>
      </w:r>
      <w:r>
        <w:rPr>
          <w:lang w:val="en_US" w:bidi="en_US"/>
        </w:rPr>
        <w:t xml:space="preserve">I pleaded with your disciples to make the </w:t>
      </w:r>
      <w:r>
        <w:rPr>
          <w:lang w:val="en_US" w:bidi="en_US"/>
        </w:rPr>
        <w:t>evil</w:t>
      </w:r>
      <w:r>
        <w:rPr>
          <w:lang w:val="en_US" w:bidi="en_US"/>
        </w:rPr>
        <w:t xml:space="preserve"> spirit leave, but they were not able </w:t>
      </w:r>
      <w:r>
        <w:rPr>
          <w:lang w:val="en_US" w:bidi="en_US"/>
        </w:rPr>
        <w:t>to do it</w:t>
      </w:r>
      <w:r>
        <w:rPr>
          <w:lang w:val="en_US" w:bidi="en_US"/>
        </w:rPr>
        <w:t>.”</w:t>
      </w:r>
    </w:p>
    <w:p>
      <w:pPr>
        <w:pStyle w:val="ListBullet"/>
        <w:spacing w:line="240" w:lineRule="auto"/>
        <w:ind w:left="720"/>
      </w:pPr>
      <w:r>
        <w:rPr>
          <w:lang w:val="en_US" w:bidi="en_US"/>
        </w:rPr>
      </w:r>
      <w:r>
        <w:rPr>
          <w:lang w:val="en_US" w:bidi="en_US"/>
        </w:rPr>
        <w:t>I asked your followers, ‘Please cause this demon to go out of my son.’ But they did not have the power/ability to do that.”</w:t>
      </w:r>
    </w:p>
    <w:p>
      <w:pPr/>
      <w:r>
        <w:rPr>
          <w:lang w:val="en_US" w:bidi="en_US"/>
        </w:rPr>
      </w:r>
      <w:r>
        <w:rPr>
          <w:b/>
          <w:lang w:val="en_US" w:bidi="en_US"/>
        </w:rPr>
        <w:t>I begged Your disciples to drive it out:</w:t>
      </w:r>
      <w:r>
        <w:rPr>
          <w:lang w:val="en_US" w:bidi="en_US"/>
        </w:rPr>
        <w:t xml:space="preserve"> The father had already pleaded with the other disciples to cast out the demon. This apparently happened before Jesus and the three disciples came back down the mountain.</w:t>
      </w:r>
    </w:p>
    <w:p>
      <w:pPr/>
      <w:r>
        <w:rPr>
          <w:lang w:val="en_US" w:bidi="en_US"/>
        </w:rPr>
      </w:r>
      <w:r>
        <w:rPr>
          <w:b/>
          <w:lang w:val="en_US" w:bidi="en_US"/>
        </w:rPr>
        <w:t>disciples:</w:t>
      </w:r>
      <w:r>
        <w:rPr>
          <w:lang w:val="en_US" w:bidi="en_US"/>
        </w:rPr>
        <w:t xml:space="preserve"> The word </w:t>
      </w:r>
      <w:r>
        <w:rPr>
          <w:i/>
          <w:lang w:val="en_US" w:bidi="en_US"/>
        </w:rPr>
        <w:t>disciples</w:t>
      </w:r>
      <w:r>
        <w:rPr>
          <w:lang w:val="en_US" w:bidi="en_US"/>
        </w:rPr>
        <w:t xml:space="preserve"> also occurs in 9:14b. See the note there for a more complete description of this term.</w:t>
      </w:r>
    </w:p>
    <w:p>
      <w:pPr/>
      <w:r>
        <w:rPr>
          <w:lang w:val="en_US" w:bidi="en_US"/>
        </w:rPr>
      </w:r>
      <w:r>
        <w:rPr>
          <w:b/>
          <w:lang w:val="en_US" w:bidi="en_US"/>
        </w:rPr>
        <w:t>to drive it out:</w:t>
      </w:r>
      <w:r>
        <w:rPr>
          <w:lang w:val="en_US" w:bidi="en_US"/>
        </w:rPr>
        <w:t xml:space="preserve"> The Greek word that the BSB translates as </w:t>
      </w:r>
      <w:r>
        <w:rPr>
          <w:i/>
          <w:lang w:val="en_US" w:bidi="en_US"/>
        </w:rPr>
        <w:t>to drive it out</w:t>
      </w:r>
      <w:r>
        <w:rPr>
          <w:lang w:val="en_US" w:bidi="en_US"/>
        </w:rPr>
        <w:t xml:space="preserve"> is literally “to cast/throw it out.” To drive out an unclean spirit means to cause an evil spirit to stop controlling a person. Jesus (or the disciples) did this by commanding the spirit/spirits to leave. See the note at 9:1b for more information.</w:t>
      </w:r>
    </w:p>
    <w:p>
      <w:pPr/>
      <w:r>
        <w:rPr>
          <w:lang w:val="en_US" w:bidi="en_US"/>
        </w:rPr>
      </w:r>
      <w:r>
        <w:rPr>
          <w:b/>
          <w:lang w:val="en_US" w:bidi="en_US"/>
        </w:rPr>
        <w:t>but they were unable:</w:t>
      </w:r>
      <w:r>
        <w:rPr>
          <w:lang w:val="en_US" w:bidi="en_US"/>
        </w:rPr>
        <w:t xml:space="preserve"> The phrase </w:t>
      </w:r>
      <w:r>
        <w:rPr>
          <w:i/>
          <w:lang w:val="en_US" w:bidi="en_US"/>
        </w:rPr>
        <w:t>they were unable</w:t>
      </w:r>
      <w:r>
        <w:rPr>
          <w:lang w:val="en_US" w:bidi="en_US"/>
        </w:rPr>
        <w:t xml:space="preserve"> means that the disciples were not able to make the demon leave the man’s son. They tried, but they were not successful.</w:t>
      </w:r>
      <w:r>
        <w:rPr>
          <w:lang w:val="en_US" w:bidi="en_US"/>
        </w:rPr>
      </w:r>
      <w:r>
        <w:rPr>
          <w:lang w:val="en_US" w:bidi="en_US"/>
        </w:rPr>
      </w:r>
    </w:p>
    <w:p>
      <w:pPr/>
      <w:r>
        <w:rPr>
          <w:lang w:val="en_US" w:bidi="en_US"/>
        </w:rPr>
      </w:r>
    </w:p>
    <w:p>
      <w:pPr>
        <w:pStyle w:val="Heading2"/>
      </w:pPr>
      <w:r>
        <w:rPr>
          <w:lang w:val="en_US" w:bidi="en_US"/>
        </w:rPr>
        <w:t>Luke 9:41</w:t>
      </w:r>
      <w:r>
        <w:rPr>
          <w:lang w:val="en_US" w:bidi="en_US"/>
        </w:rPr>
      </w:r>
    </w:p>
    <w:p>
      <w:pPr>
        <w:pStyle w:val="Heading4"/>
      </w:pPr>
      <w:r>
        <w:rPr>
          <w:lang w:val="en_US" w:bidi="en_US"/>
        </w:rPr>
        <w:t>Section 9:37–43a: Jesus expelled an evil spirit from a boy</w:t>
      </w:r>
    </w:p>
    <w:p>
      <w:pPr/>
      <w:r>
        <w:rPr>
          <w:lang w:val="en_US" w:bidi="en_US"/>
        </w:rPr>
      </w:r>
      <w:r>
        <w:rPr>
          <w:lang w:val="en_US" w:bidi="en_US"/>
        </w:rPr>
        <w:t>Earlier Jesus had given power to his twelve apostles to cast out demons (9:1). However, after Jesus came down from the mountain with Peter, James, and John, he heard that the other disciples had not been able to make an evil spirit leave a man’s son. When the boy approached Jesus, the unclean spirit caused the boy to convulse violently. Then Jesus cast out the unclean spirit, and the people were filled with awe.</w:t>
      </w:r>
    </w:p>
    <w:p>
      <w:pPr/>
      <w:r>
        <w:rPr>
          <w:lang w:val="en_US" w:bidi="en_US"/>
        </w:rPr>
      </w:r>
      <w:r>
        <w:rPr>
          <w:lang w:val="en_US" w:bidi="en_US"/>
        </w:rPr>
        <w:t>Some other examples of headings for this section are:</w:t>
      </w:r>
    </w:p>
    <w:p>
      <w:pPr/>
      <w:r>
        <w:rPr>
          <w:lang w:val="en_US" w:bidi="en_US"/>
        </w:rPr>
      </w:r>
      <w:r>
        <w:rPr>
          <w:lang w:val="en_US" w:bidi="en_US"/>
        </w:rPr>
        <w:t>The Healing of a Boy with an Evil Spirit (NIV)</w:t>
      </w:r>
    </w:p>
    <w:p>
      <w:pPr/>
      <w:r>
        <w:rPr>
          <w:lang w:val="en_US" w:bidi="en_US"/>
        </w:rPr>
      </w:r>
      <w:r>
        <w:rPr>
          <w:lang w:val="en_US" w:bidi="en_US"/>
        </w:rPr>
        <w:t>Jesus Heals a Boy with an Evil Spirit (GNT)</w:t>
      </w:r>
    </w:p>
    <w:p>
      <w:pPr/>
      <w:r>
        <w:rPr>
          <w:lang w:val="en_US" w:bidi="en_US"/>
        </w:rPr>
      </w:r>
      <w:r>
        <w:rPr>
          <w:lang w:val="en_US" w:bidi="en_US"/>
        </w:rPr>
        <w:t>There are parallel passages for this section in Matthew 17:14–21 and Mark 9:14–29.</w:t>
      </w:r>
    </w:p>
    <w:p>
      <w:pPr/>
      <w:r>
        <w:rPr>
          <w:lang w:val="en_US" w:bidi="en_US"/>
        </w:rPr>
      </w:r>
    </w:p>
    <w:p>
      <w:pPr>
        <w:pStyle w:val="Heading5"/>
      </w:pPr>
      <w:r>
        <w:rPr>
          <w:lang w:val="en_US" w:bidi="en_US"/>
        </w:rPr>
        <w:t>9:41a</w:t>
      </w:r>
    </w:p>
    <w:p>
      <w:pPr/>
      <w:r>
        <w:rPr>
          <w:lang w:val="en_US" w:bidi="en_US"/>
        </w:rPr>
      </w:r>
      <w:r>
        <w:rPr>
          <w:b/>
          <w:lang w:val="en_US" w:bidi="en_US"/>
        </w:rPr>
        <w:t>“O unbelieving and perverse generation!” Jesus replied.</w:t>
      </w:r>
    </w:p>
    <w:p>
      <w:pPr>
        <w:pStyle w:val="ListBullet"/>
        <w:spacing w:line="240" w:lineRule="auto"/>
        <w:ind w:left="720"/>
      </w:pPr>
      <w:r>
        <w:rPr>
          <w:lang w:val="en_US" w:bidi="en_US"/>
        </w:rPr>
      </w:r>
      <w:r>
        <w:rPr>
          <w:lang w:val="en_US" w:bidi="en_US"/>
        </w:rPr>
        <w:t>¶ Jesus responded, “You</w:t>
      </w:r>
      <w:r>
        <w:rPr>
          <w:vertAlign w:val="superscript"/>
          <w:lang w:val="en_US" w:bidi="en_US"/>
        </w:rPr>
        <w:t>(plur)</w:t>
      </w:r>
      <w:r>
        <w:rPr>
          <w:lang w:val="en_US" w:bidi="en_US"/>
        </w:rPr>
        <w:t xml:space="preserve"> people living at this time lack faith and your ways </w:t>
      </w:r>
      <w:r>
        <w:rPr>
          <w:lang w:val="en_US" w:bidi="en_US"/>
        </w:rPr>
        <w:t>of thinking/acting</w:t>
      </w:r>
      <w:r>
        <w:rPr>
          <w:lang w:val="en_US" w:bidi="en_US"/>
        </w:rPr>
        <w:t xml:space="preserve"> are so wrong!</w:t>
      </w:r>
    </w:p>
    <w:p>
      <w:pPr>
        <w:pStyle w:val="ListBullet"/>
        <w:spacing w:line="240" w:lineRule="auto"/>
        <w:ind w:left="720"/>
      </w:pPr>
      <w:r>
        <w:rPr>
          <w:lang w:val="en_US" w:bidi="en_US"/>
        </w:rPr>
      </w:r>
      <w:r>
        <w:rPr>
          <w:lang w:val="en_US" w:bidi="en_US"/>
        </w:rPr>
        <w:t xml:space="preserve">¶ Jesus said </w:t>
      </w:r>
      <w:r>
        <w:rPr>
          <w:lang w:val="en_US" w:bidi="en_US"/>
        </w:rPr>
        <w:t>to them all</w:t>
      </w:r>
      <w:r>
        <w:rPr>
          <w:lang w:val="en_US" w:bidi="en_US"/>
        </w:rPr>
        <w:t>, “You</w:t>
      </w:r>
      <w:r>
        <w:rPr>
          <w:vertAlign w:val="superscript"/>
          <w:lang w:val="en_US" w:bidi="en_US"/>
        </w:rPr>
        <w:t>(plur)</w:t>
      </w:r>
      <w:r>
        <w:rPr>
          <w:lang w:val="en_US" w:bidi="en_US"/>
        </w:rPr>
        <w:t xml:space="preserve"> people do not trust </w:t>
      </w:r>
      <w:r>
        <w:rPr>
          <w:lang w:val="en_US" w:bidi="en_US"/>
        </w:rPr>
        <w:t>God</w:t>
      </w:r>
      <w:r>
        <w:rPr>
          <w:lang w:val="en_US" w:bidi="en_US"/>
        </w:rPr>
        <w:t>! Your lives are full of sin/crookedness!</w:t>
      </w:r>
    </w:p>
    <w:p>
      <w:pPr/>
      <w:r>
        <w:rPr>
          <w:lang w:val="en_US" w:bidi="en_US"/>
        </w:rPr>
      </w:r>
      <w:r>
        <w:rPr>
          <w:b/>
          <w:lang w:val="en_US" w:bidi="en_US"/>
        </w:rPr>
        <w:t>O unbelieving and perverse generation!:</w:t>
      </w:r>
      <w:r>
        <w:rPr>
          <w:lang w:val="en_US" w:bidi="en_US"/>
        </w:rPr>
        <w:t xml:space="preserve"> The words </w:t>
      </w:r>
      <w:r>
        <w:rPr>
          <w:i/>
          <w:lang w:val="en_US" w:bidi="en_US"/>
        </w:rPr>
        <w:t>unbelieving and perverse generation</w:t>
      </w:r>
      <w:r>
        <w:rPr>
          <w:lang w:val="en_US" w:bidi="en_US"/>
        </w:rPr>
        <w:t xml:space="preserve"> are similar to the expressions that Moses used in Deuteronomy 32:5 and Deuteronomy 32:20, when he described the people of Israel. Jesus may have been implying that the people who were listening to him were just like their ancestors. You may want to add a footnote with this information.</w:t>
      </w:r>
    </w:p>
    <w:p>
      <w:pPr/>
      <w:r>
        <w:rPr>
          <w:lang w:val="en_US" w:bidi="en_US"/>
        </w:rPr>
      </w:r>
      <w:r>
        <w:rPr>
          <w:lang w:val="en_US" w:bidi="en_US"/>
        </w:rPr>
        <w:t xml:space="preserve">The word </w:t>
      </w:r>
      <w:r>
        <w:rPr>
          <w:i/>
          <w:lang w:val="en_US" w:bidi="en_US"/>
        </w:rPr>
        <w:t>O</w:t>
      </w:r>
      <w:r>
        <w:rPr>
          <w:lang w:val="en_US" w:bidi="en_US"/>
        </w:rPr>
        <w:t xml:space="preserve"> indicates here that Jesus was speaking directly to the people.</w:t>
      </w:r>
      <w:r>
        <w:rPr>
          <w:lang w:val="en_US" w:bidi="en_US"/>
        </w:rPr>
        <w:t>Some scholars think that Jesus was primarily addressing the disciples, but most scholars think that he was addressing the crowd in general, including the boy’s father and his disciples.</w:t>
      </w:r>
      <w:r>
        <w:rPr>
          <w:lang w:val="en_US" w:bidi="en_US"/>
        </w:rPr>
        <w:t xml:space="preserve"> It also indicates that they had frustrated and disappointed him.</w:t>
      </w:r>
    </w:p>
    <w:p>
      <w:pPr/>
      <w:r>
        <w:rPr>
          <w:lang w:val="en_US" w:bidi="en_US"/>
        </w:rPr>
      </w:r>
      <w:r>
        <w:rPr>
          <w:lang w:val="en_US" w:bidi="en_US"/>
        </w:rPr>
        <w:t>In some languages it may not be natural to address people directly with a phrase such as this. If that is true in your language, you may need to make this phrase a separate sentence. For example:</w:t>
      </w:r>
    </w:p>
    <w:p>
      <w:pPr/>
      <w:r>
        <w:rPr>
          <w:lang w:val="en_US" w:bidi="en_US"/>
        </w:rPr>
      </w:r>
      <w:r>
        <w:rPr>
          <w:lang w:val="en_US" w:bidi="en_US"/>
        </w:rPr>
        <w:t>You people have no faith and your lives are all wrong. (NCV)</w:t>
      </w:r>
    </w:p>
    <w:p>
      <w:pPr/>
      <w:r>
        <w:rPr>
          <w:lang w:val="en_US" w:bidi="en_US"/>
        </w:rPr>
      </w:r>
      <w:r>
        <w:rPr>
          <w:b/>
          <w:lang w:val="en_US" w:bidi="en_US"/>
        </w:rPr>
        <w:t>unbelieving:</w:t>
      </w:r>
      <w:r>
        <w:rPr>
          <w:lang w:val="en_US" w:bidi="en_US"/>
        </w:rPr>
        <w:t xml:space="preserve"> The Greek word that the BSB translates as </w:t>
      </w:r>
      <w:r>
        <w:rPr>
          <w:i/>
          <w:lang w:val="en_US" w:bidi="en_US"/>
        </w:rPr>
        <w:t>unbelieving</w:t>
      </w:r>
      <w:r>
        <w:rPr>
          <w:lang w:val="en_US" w:bidi="en_US"/>
        </w:rPr>
        <w:t xml:space="preserve"> here describes people who did not believe or trust God as they should have. In this context, they specifically lacked faith in God’s power to heal and do other miraculous things through Jesus. In some languages it may be necessary to make some of this information explicit. For example:</w:t>
      </w:r>
    </w:p>
    <w:p>
      <w:pPr/>
      <w:r>
        <w:rPr>
          <w:lang w:val="en_US" w:bidi="en_US"/>
        </w:rPr>
      </w:r>
      <w:r>
        <w:rPr>
          <w:lang w:val="en_US" w:bidi="en_US"/>
        </w:rPr>
        <w:t xml:space="preserve">You people have no faith </w:t>
      </w:r>
      <w:r>
        <w:rPr>
          <w:lang w:val="en_US" w:bidi="en_US"/>
        </w:rPr>
        <w:t>in God</w:t>
      </w:r>
    </w:p>
    <w:p>
      <w:pPr/>
      <w:r>
        <w:rPr>
          <w:lang w:val="en_US" w:bidi="en_US"/>
        </w:rPr>
      </w:r>
      <w:r>
        <w:rPr>
          <w:lang w:val="en_US" w:bidi="en_US"/>
        </w:rPr>
        <w:t xml:space="preserve">You people truly do not trust </w:t>
      </w:r>
      <w:r>
        <w:rPr>
          <w:lang w:val="en_US" w:bidi="en_US"/>
        </w:rPr>
        <w:t>God</w:t>
      </w:r>
    </w:p>
    <w:p>
      <w:pPr/>
      <w:r>
        <w:rPr>
          <w:lang w:val="en_US" w:bidi="en_US"/>
        </w:rPr>
      </w:r>
      <w:r>
        <w:rPr>
          <w:lang w:val="en_US" w:bidi="en_US"/>
        </w:rPr>
        <w:t>See believe, Meaning 2, in the Glossary.</w:t>
      </w:r>
    </w:p>
    <w:p>
      <w:pPr/>
      <w:r>
        <w:rPr>
          <w:lang w:val="en_US" w:bidi="en_US"/>
        </w:rPr>
      </w:r>
      <w:r>
        <w:rPr>
          <w:b/>
          <w:lang w:val="en_US" w:bidi="en_US"/>
        </w:rPr>
        <w:t>perverse:</w:t>
      </w:r>
      <w:r>
        <w:rPr>
          <w:lang w:val="en_US" w:bidi="en_US"/>
        </w:rPr>
        <w:t xml:space="preserve"> The Greek word that the BSB translates as </w:t>
      </w:r>
      <w:r>
        <w:rPr>
          <w:i/>
          <w:lang w:val="en_US" w:bidi="en_US"/>
        </w:rPr>
        <w:t>perverse</w:t>
      </w:r>
      <w:r>
        <w:rPr>
          <w:lang w:val="en_US" w:bidi="en_US"/>
        </w:rPr>
        <w:t xml:space="preserve"> sometimes refers to things that are twisted or crooked. Here it refers to people who do not think and act in right ways. Instead, they change the standards of right and wrong in their minds, and they follow ways that are morally wrong. Other ways to translate this include:</w:t>
      </w:r>
    </w:p>
    <w:p>
      <w:pPr/>
      <w:r>
        <w:rPr>
          <w:lang w:val="en_US" w:bidi="en_US"/>
        </w:rPr>
      </w:r>
      <w:r>
        <w:rPr>
          <w:lang w:val="en_US" w:bidi="en_US"/>
        </w:rPr>
        <w:t>How…wrong you people are! (GNT)</w:t>
      </w:r>
    </w:p>
    <w:p>
      <w:pPr/>
      <w:r>
        <w:rPr>
          <w:lang w:val="en_US" w:bidi="en_US"/>
        </w:rPr>
      </w:r>
      <w:r>
        <w:rPr>
          <w:lang w:val="en_US" w:bidi="en_US"/>
        </w:rPr>
        <w:t>you have strayed from the right path</w:t>
      </w:r>
    </w:p>
    <w:p>
      <w:pPr/>
      <w:r>
        <w:rPr>
          <w:lang w:val="en_US" w:bidi="en_US"/>
        </w:rPr>
      </w:r>
      <w:r>
        <w:rPr>
          <w:b/>
          <w:lang w:val="en_US" w:bidi="en_US"/>
        </w:rPr>
        <w:t>generation:</w:t>
      </w:r>
      <w:r>
        <w:rPr>
          <w:lang w:val="en_US" w:bidi="en_US"/>
        </w:rPr>
        <w:t xml:space="preserve"> The Greek word that the BSB translates as </w:t>
      </w:r>
      <w:r>
        <w:rPr>
          <w:i/>
          <w:lang w:val="en_US" w:bidi="en_US"/>
        </w:rPr>
        <w:t>generation</w:t>
      </w:r>
      <w:r>
        <w:rPr>
          <w:lang w:val="en_US" w:bidi="en_US"/>
        </w:rPr>
        <w:t xml:space="preserve"> probably refers here to the majority of Israelites who were alive at that time. It indicates that they were a group of people who shared the same character.</w:t>
      </w:r>
      <w:r>
        <w:rPr>
          <w:lang w:val="en_US" w:bidi="en_US"/>
        </w:rPr>
        <w:t>Colin Brown writes of the use of “this generation” in this and other New Testament contexts: “In these passages the demonstrative has a pejorative character, i.e., the reference is to a class of people who in this world stand over against the children of light and are further described as faithless (Matt. 17:17), adulterous (Mk. 8:38), evil and adulterous (Matt. 12:39), evil (Lk. 11:29), crooked (Acts 2:40), crooked and perverse (Phil. 2:15). The Song of Moses in Deut. 32 (vv. 5 and 20) seems here to have had a certain influence on the wording. In these passages the temporal ‘genealogical’ element is completely absent. The emphasis lies entirely on the sinfulness of this class, this type of people” (C. Brown, Vol. 2, p. 36). Notice that Mark 9:19 is parallel to Luke 9:41.</w:t>
      </w:r>
    </w:p>
    <w:p>
      <w:pPr/>
      <w:r>
        <w:rPr>
          <w:lang w:val="en_US" w:bidi="en_US"/>
        </w:rPr>
      </w:r>
      <w:r>
        <w:rPr>
          <w:lang w:val="en_US" w:bidi="en_US"/>
        </w:rPr>
        <w:t>Other ways to translate the phrase “O unbelieving and perverse generation” are:</w:t>
      </w:r>
    </w:p>
    <w:p>
      <w:pPr/>
      <w:r>
        <w:rPr>
          <w:lang w:val="en_US" w:bidi="en_US"/>
        </w:rPr>
      </w:r>
      <w:r>
        <w:rPr>
          <w:lang w:val="en_US" w:bidi="en_US"/>
        </w:rPr>
        <w:t>What faithless and evil people you are!</w:t>
      </w:r>
    </w:p>
    <w:p>
      <w:pPr/>
      <w:r>
        <w:rPr>
          <w:lang w:val="en_US" w:bidi="en_US"/>
        </w:rPr>
      </w:r>
      <w:r>
        <w:rPr>
          <w:lang w:val="en_US" w:bidi="en_US"/>
        </w:rPr>
        <w:t>You people are all alike! You lack trust/faith in God. You have turned away from the right path.</w:t>
      </w:r>
    </w:p>
    <w:p>
      <w:pPr/>
      <w:r>
        <w:rPr>
          <w:lang w:val="en_US" w:bidi="en_US"/>
        </w:rPr>
      </w:r>
      <w:r>
        <w:rPr>
          <w:b/>
          <w:lang w:val="en_US" w:bidi="en_US"/>
        </w:rPr>
        <w:t>Jesus replied:</w:t>
      </w:r>
      <w:r>
        <w:rPr>
          <w:lang w:val="en_US" w:bidi="en_US"/>
        </w:rPr>
        <w:t xml:space="preserve"> Jesus replied to the man’s statement about the disciples, but he was probably </w:t>
      </w:r>
      <w:r>
        <w:rPr>
          <w:u w:val="single"/>
          <w:lang w:val="en_US" w:bidi="en_US"/>
        </w:rPr>
        <w:t>not</w:t>
      </w:r>
      <w:r>
        <w:rPr>
          <w:lang w:val="en_US" w:bidi="en_US"/>
        </w:rPr>
        <w:t xml:space="preserve"> speaking directly to the boy’s father. So it may be better to translate as the BSB has done and not specify to whom Jesus replied.</w:t>
      </w:r>
    </w:p>
    <w:p>
      <w:pPr/>
      <w:r>
        <w:rPr>
          <w:lang w:val="en_US" w:bidi="en_US"/>
        </w:rPr>
      </w:r>
      <w:r>
        <w:rPr>
          <w:lang w:val="en_US" w:bidi="en_US"/>
        </w:rPr>
        <w:t xml:space="preserve">The BSB has placed the clause </w:t>
      </w:r>
      <w:r>
        <w:rPr>
          <w:i/>
          <w:lang w:val="en_US" w:bidi="en_US"/>
        </w:rPr>
        <w:t>Jesus replied</w:t>
      </w:r>
      <w:r>
        <w:rPr>
          <w:lang w:val="en_US" w:bidi="en_US"/>
        </w:rPr>
        <w:t xml:space="preserve"> in the middle of what Jesus was saying. In the Greek text the clause comes before the speech begins. Place it where it is most natural in your language.</w:t>
      </w:r>
    </w:p>
    <w:p>
      <w:pPr>
        <w:pStyle w:val="Heading5"/>
      </w:pPr>
      <w:r>
        <w:rPr>
          <w:lang w:val="en_US" w:bidi="en_US"/>
        </w:rPr>
        <w:t>9:41b</w:t>
      </w:r>
    </w:p>
    <w:p>
      <w:pPr/>
      <w:r>
        <w:rPr>
          <w:lang w:val="en_US" w:bidi="en_US"/>
        </w:rPr>
      </w:r>
      <w:r>
        <w:rPr>
          <w:b/>
          <w:lang w:val="en_US" w:bidi="en_US"/>
        </w:rPr>
        <w:t>“How long must I remain with you and put up with you?</w:t>
      </w:r>
    </w:p>
    <w:p>
      <w:pPr>
        <w:pStyle w:val="ListBullet"/>
        <w:spacing w:line="240" w:lineRule="auto"/>
        <w:ind w:left="720"/>
      </w:pPr>
      <w:r>
        <w:rPr>
          <w:lang w:val="en_US" w:bidi="en_US"/>
        </w:rPr>
      </w:r>
      <w:r>
        <w:rPr>
          <w:lang w:val="en_US" w:bidi="en_US"/>
        </w:rPr>
        <w:t>How much longer must I be with you?</w:t>
      </w:r>
      <w:r>
        <w:rPr>
          <w:vertAlign w:val="superscript"/>
          <w:lang w:val="en_US" w:bidi="en_US"/>
        </w:rPr>
        <w:t>(plur)</w:t>
      </w:r>
      <w:r>
        <w:rPr>
          <w:lang w:val="en_US" w:bidi="en_US"/>
        </w:rPr>
        <w:t xml:space="preserve"> Why must I keep enduring your</w:t>
      </w:r>
      <w:r>
        <w:rPr>
          <w:vertAlign w:val="superscript"/>
          <w:lang w:val="en_US" w:bidi="en_US"/>
        </w:rPr>
        <w:t>(plur)</w:t>
      </w:r>
      <w:r>
        <w:rPr>
          <w:lang w:val="en_US" w:bidi="en_US"/>
        </w:rPr>
        <w:t xml:space="preserve"> </w:t>
      </w:r>
      <w:r>
        <w:rPr>
          <w:lang w:val="en_US" w:bidi="en_US"/>
        </w:rPr>
        <w:t>lack of faith</w:t>
      </w:r>
      <w:r>
        <w:rPr>
          <w:lang w:val="en_US" w:bidi="en_US"/>
        </w:rPr>
        <w:t>?”</w:t>
      </w:r>
    </w:p>
    <w:p>
      <w:pPr>
        <w:pStyle w:val="ListBullet"/>
        <w:spacing w:line="240" w:lineRule="auto"/>
        <w:ind w:left="720"/>
      </w:pPr>
      <w:r>
        <w:rPr>
          <w:lang w:val="en_US" w:bidi="en_US"/>
        </w:rPr>
      </w:r>
      <w:r>
        <w:rPr>
          <w:lang w:val="en_US" w:bidi="en_US"/>
        </w:rPr>
        <w:t>I am very weary/frustrated from waiting for you</w:t>
      </w:r>
      <w:r>
        <w:rPr>
          <w:vertAlign w:val="superscript"/>
          <w:lang w:val="en_US" w:bidi="en_US"/>
        </w:rPr>
        <w:t>(plur)</w:t>
      </w:r>
      <w:r>
        <w:rPr>
          <w:lang w:val="en_US" w:bidi="en_US"/>
        </w:rPr>
        <w:t xml:space="preserve"> </w:t>
      </w:r>
      <w:r>
        <w:rPr>
          <w:lang w:val="en_US" w:bidi="en_US"/>
        </w:rPr>
        <w:t>to change your ways</w:t>
      </w:r>
      <w:r>
        <w:rPr>
          <w:lang w:val="en_US" w:bidi="en_US"/>
        </w:rPr>
        <w:t>.”</w:t>
      </w:r>
    </w:p>
    <w:p>
      <w:pPr/>
      <w:r>
        <w:rPr>
          <w:lang w:val="en_US" w:bidi="en_US"/>
        </w:rPr>
      </w:r>
      <w:r>
        <w:rPr>
          <w:b/>
          <w:lang w:val="en_US" w:bidi="en_US"/>
        </w:rPr>
        <w:t>How long must I remain with you and put up with you?:</w:t>
      </w:r>
      <w:r>
        <w:rPr>
          <w:lang w:val="en_US" w:bidi="en_US"/>
        </w:rPr>
        <w:t xml:space="preserve"> This is a rhetorical question. It expresses the frustration that Jesus felt because these people did not trust God. It is also a rebuke to the people because they did not trust him. In some languages it may be necessary to make this explicit. For example:</w:t>
      </w:r>
    </w:p>
    <w:p>
      <w:pPr/>
      <w:r>
        <w:rPr>
          <w:lang w:val="en_US" w:bidi="en_US"/>
        </w:rPr>
      </w:r>
      <w:r>
        <w:rPr>
          <w:lang w:val="en_US" w:bidi="en_US"/>
        </w:rPr>
        <w:t xml:space="preserve">How long must I stay with you and endure your </w:t>
      </w:r>
      <w:r>
        <w:rPr>
          <w:lang w:val="en_US" w:bidi="en_US"/>
        </w:rPr>
        <w:t>unbelief</w:t>
      </w:r>
      <w:r>
        <w:rPr>
          <w:lang w:val="en_US" w:bidi="en_US"/>
        </w:rPr>
        <w:t>?</w:t>
      </w:r>
    </w:p>
    <w:p>
      <w:pPr/>
      <w:r>
        <w:rPr>
          <w:lang w:val="en_US" w:bidi="en_US"/>
        </w:rPr>
      </w:r>
      <w:r>
        <w:rPr>
          <w:lang w:val="en_US" w:bidi="en_US"/>
        </w:rPr>
        <w:t>Some other ways to translate this part of the verse are:</w:t>
      </w:r>
    </w:p>
    <w:p>
      <w:pPr>
        <w:pStyle w:val="ListBullet"/>
        <w:spacing w:line="240" w:lineRule="auto"/>
        <w:ind w:left="720"/>
      </w:pPr>
      <w:r>
        <w:rPr>
          <w:lang w:val="en_US" w:bidi="en_US"/>
        </w:rPr>
      </w:r>
      <w:r>
        <w:rPr>
          <w:lang w:val="en_US" w:bidi="en_US"/>
        </w:rPr>
        <w:t>As a rhetorical question or questions. For example:</w:t>
      </w:r>
      <w:r>
        <w:rPr>
          <w:lang w:val="en_US" w:bidi="en_US"/>
        </w:rPr>
        <w:t>How much longer must I be with you? Why do I have to put up with you? (CEV)</w:t>
      </w:r>
    </w:p>
    <w:p>
      <w:pPr>
        <w:pStyle w:val="ListBullet"/>
        <w:spacing w:line="240" w:lineRule="auto"/>
        <w:ind w:left="720"/>
      </w:pPr>
      <w:r>
        <w:rPr>
          <w:lang w:val="en_US" w:bidi="en_US"/>
        </w:rPr>
      </w:r>
      <w:r>
        <w:rPr>
          <w:lang w:val="en_US" w:bidi="en_US"/>
        </w:rPr>
        <w:t>As an exclamation. For example:</w:t>
      </w:r>
      <w:r>
        <w:rPr>
          <w:lang w:val="en_US" w:bidi="en_US"/>
        </w:rPr>
        <w:t xml:space="preserve">I do not wish to stay with you and endure your </w:t>
      </w:r>
      <w:r>
        <w:rPr>
          <w:lang w:val="en_US" w:bidi="en_US"/>
        </w:rPr>
        <w:t>unbelief</w:t>
      </w:r>
      <w:r>
        <w:rPr>
          <w:lang w:val="en_US" w:bidi="en_US"/>
        </w:rPr>
        <w:t xml:space="preserve"> for much longer!</w:t>
      </w:r>
      <w:r>
        <w:rPr>
          <w:lang w:val="en_US" w:bidi="en_US"/>
        </w:rPr>
        <w:t>I am weary/frustrated</w:t>
      </w:r>
      <w:r>
        <w:rPr>
          <w:lang w:val="en_US" w:bidi="en_US"/>
        </w:rPr>
        <w:t xml:space="preserve"> that you still </w:t>
      </w:r>
      <w:r>
        <w:rPr>
          <w:lang w:val="en_US" w:bidi="en_US"/>
        </w:rPr>
        <w:t>do not believe</w:t>
      </w:r>
      <w:r>
        <w:rPr>
          <w:lang w:val="en_US" w:bidi="en_US"/>
        </w:rPr>
        <w:t xml:space="preserve"> even after/though I have been with you for so long!</w:t>
      </w:r>
    </w:p>
    <w:p>
      <w:pPr/>
      <w:r>
        <w:rPr>
          <w:lang w:val="en_US" w:bidi="en_US"/>
        </w:rPr>
      </w:r>
      <w:r>
        <w:rPr>
          <w:lang w:val="en_US" w:bidi="en_US"/>
        </w:rPr>
        <w:t>Use whichever form is most natural for expressing this kind of frustration and rebuke in your language.</w:t>
      </w:r>
    </w:p>
    <w:p>
      <w:pPr/>
      <w:r>
        <w:rPr>
          <w:lang w:val="en_US" w:bidi="en_US"/>
        </w:rPr>
      </w:r>
      <w:r>
        <w:rPr>
          <w:b/>
          <w:lang w:val="en_US" w:bidi="en_US"/>
        </w:rPr>
        <w:t>you and put up with you:</w:t>
      </w:r>
      <w:r>
        <w:rPr>
          <w:lang w:val="en_US" w:bidi="en_US"/>
        </w:rPr>
        <w:t xml:space="preserve"> The forms of the word </w:t>
      </w:r>
      <w:r>
        <w:rPr>
          <w:i/>
          <w:lang w:val="en_US" w:bidi="en_US"/>
        </w:rPr>
        <w:t>you</w:t>
      </w:r>
      <w:r>
        <w:rPr>
          <w:lang w:val="en_US" w:bidi="en_US"/>
        </w:rPr>
        <w:t xml:space="preserve"> in this part of the verse are plural.</w:t>
      </w:r>
    </w:p>
    <w:p>
      <w:pPr>
        <w:pStyle w:val="Heading5"/>
      </w:pPr>
      <w:r>
        <w:rPr>
          <w:lang w:val="en_US" w:bidi="en_US"/>
        </w:rPr>
        <w:t>9:41c</w:t>
      </w:r>
    </w:p>
    <w:p>
      <w:pPr/>
      <w:r>
        <w:rPr>
          <w:lang w:val="en_US" w:bidi="en_US"/>
        </w:rPr>
      </w:r>
      <w:r>
        <w:rPr>
          <w:b/>
          <w:lang w:val="en_US" w:bidi="en_US"/>
        </w:rPr>
        <w:t>Bring your son here.”</w:t>
      </w:r>
    </w:p>
    <w:p>
      <w:pPr>
        <w:pStyle w:val="ListBullet"/>
        <w:spacing w:line="240" w:lineRule="auto"/>
        <w:ind w:left="720"/>
      </w:pPr>
      <w:r>
        <w:rPr>
          <w:lang w:val="en_US" w:bidi="en_US"/>
        </w:rPr>
      </w:r>
      <w:r>
        <w:rPr>
          <w:lang w:val="en_US" w:bidi="en_US"/>
        </w:rPr>
        <w:t>Then Jesus said to the man,</w:t>
      </w:r>
      <w:r>
        <w:rPr>
          <w:lang w:val="en_US" w:bidi="en_US"/>
        </w:rPr>
        <w:t xml:space="preserve"> “Bring</w:t>
      </w:r>
      <w:r>
        <w:rPr>
          <w:vertAlign w:val="superscript"/>
          <w:lang w:val="en_US" w:bidi="en_US"/>
        </w:rPr>
        <w:t>(sing)</w:t>
      </w:r>
      <w:r>
        <w:rPr>
          <w:lang w:val="en_US" w:bidi="en_US"/>
        </w:rPr>
        <w:t xml:space="preserve"> your son to me.”</w:t>
      </w:r>
    </w:p>
    <w:p>
      <w:pPr/>
      <w:r>
        <w:rPr>
          <w:lang w:val="en_US" w:bidi="en_US"/>
        </w:rPr>
      </w:r>
      <w:r>
        <w:rPr>
          <w:b/>
          <w:lang w:val="en_US" w:bidi="en_US"/>
        </w:rPr>
        <w:t>Bring your son here:</w:t>
      </w:r>
      <w:r>
        <w:rPr>
          <w:lang w:val="en_US" w:bidi="en_US"/>
        </w:rPr>
        <w:t xml:space="preserve"> The text uses a singular form of the verb </w:t>
      </w:r>
      <w:r>
        <w:rPr>
          <w:i/>
          <w:lang w:val="en_US" w:bidi="en_US"/>
        </w:rPr>
        <w:t>Bring</w:t>
      </w:r>
      <w:r>
        <w:rPr>
          <w:lang w:val="en_US" w:bidi="en_US"/>
        </w:rPr>
        <w:t xml:space="preserve"> here. This indicates that now Jesus was speaking to the boy’s father instead of to the whole crowd. In some languages it may be necessary to make this explicit, for example:</w:t>
      </w:r>
    </w:p>
    <w:p>
      <w:pPr/>
      <w:r>
        <w:rPr>
          <w:lang w:val="en_US" w:bidi="en_US"/>
        </w:rPr>
      </w:r>
      <w:r>
        <w:rPr>
          <w:lang w:val="en_US" w:bidi="en_US"/>
        </w:rPr>
        <w:t>Then he said to the man (GNT)</w:t>
      </w:r>
    </w:p>
    <w:p>
      <w:pPr/>
      <w:r>
        <w:rPr>
          <w:lang w:val="en_US" w:bidi="en_US"/>
        </w:rPr>
      </w:r>
      <w:r>
        <w:rPr>
          <w:lang w:val="en_US" w:bidi="en_US"/>
        </w:rPr>
        <w:t>Then Jesus said to the man (CEV)</w:t>
      </w:r>
      <w:r>
        <w:rPr>
          <w:lang w:val="en_US" w:bidi="en_US"/>
        </w:rPr>
      </w:r>
      <w:r>
        <w:rPr>
          <w:lang w:val="en_US" w:bidi="en_US"/>
        </w:rPr>
      </w:r>
    </w:p>
    <w:p>
      <w:pPr/>
      <w:r>
        <w:rPr>
          <w:lang w:val="en_US" w:bidi="en_US"/>
        </w:rPr>
      </w:r>
    </w:p>
    <w:p>
      <w:pPr>
        <w:pStyle w:val="Heading2"/>
      </w:pPr>
      <w:r>
        <w:rPr>
          <w:lang w:val="en_US" w:bidi="en_US"/>
        </w:rPr>
        <w:t>Luke 9:42</w:t>
      </w:r>
      <w:r>
        <w:rPr>
          <w:lang w:val="en_US" w:bidi="en_US"/>
        </w:rPr>
      </w:r>
    </w:p>
    <w:p>
      <w:pPr>
        <w:pStyle w:val="Heading4"/>
      </w:pPr>
      <w:r>
        <w:rPr>
          <w:lang w:val="en_US" w:bidi="en_US"/>
        </w:rPr>
        <w:t>Section 9:37–43a: Jesus expelled an evil spirit from a boy</w:t>
      </w:r>
    </w:p>
    <w:p>
      <w:pPr/>
      <w:r>
        <w:rPr>
          <w:lang w:val="en_US" w:bidi="en_US"/>
        </w:rPr>
      </w:r>
      <w:r>
        <w:rPr>
          <w:lang w:val="en_US" w:bidi="en_US"/>
        </w:rPr>
        <w:t>Earlier Jesus had given power to his twelve apostles to cast out demons (9:1). However, after Jesus came down from the mountain with Peter, James, and John, he heard that the other disciples had not been able to make an evil spirit leave a man’s son. When the boy approached Jesus, the unclean spirit caused the boy to convulse violently. Then Jesus cast out the unclean spirit, and the people were filled with awe.</w:t>
      </w:r>
    </w:p>
    <w:p>
      <w:pPr/>
      <w:r>
        <w:rPr>
          <w:lang w:val="en_US" w:bidi="en_US"/>
        </w:rPr>
      </w:r>
      <w:r>
        <w:rPr>
          <w:lang w:val="en_US" w:bidi="en_US"/>
        </w:rPr>
        <w:t>Some other examples of headings for this section are:</w:t>
      </w:r>
    </w:p>
    <w:p>
      <w:pPr/>
      <w:r>
        <w:rPr>
          <w:lang w:val="en_US" w:bidi="en_US"/>
        </w:rPr>
      </w:r>
      <w:r>
        <w:rPr>
          <w:lang w:val="en_US" w:bidi="en_US"/>
        </w:rPr>
        <w:t>The Healing of a Boy with an Evil Spirit (NIV)</w:t>
      </w:r>
    </w:p>
    <w:p>
      <w:pPr/>
      <w:r>
        <w:rPr>
          <w:lang w:val="en_US" w:bidi="en_US"/>
        </w:rPr>
      </w:r>
      <w:r>
        <w:rPr>
          <w:lang w:val="en_US" w:bidi="en_US"/>
        </w:rPr>
        <w:t>Jesus Heals a Boy with an Evil Spirit (GNT)</w:t>
      </w:r>
    </w:p>
    <w:p>
      <w:pPr/>
      <w:r>
        <w:rPr>
          <w:lang w:val="en_US" w:bidi="en_US"/>
        </w:rPr>
      </w:r>
      <w:r>
        <w:rPr>
          <w:lang w:val="en_US" w:bidi="en_US"/>
        </w:rPr>
        <w:t>There are parallel passages for this section in Matthew 17:14–21 and Mark 9:14–29.</w:t>
      </w:r>
    </w:p>
    <w:p>
      <w:pPr/>
      <w:r>
        <w:rPr>
          <w:lang w:val="en_US" w:bidi="en_US"/>
        </w:rPr>
      </w:r>
    </w:p>
    <w:p>
      <w:pPr>
        <w:pStyle w:val="Heading5"/>
      </w:pPr>
      <w:r>
        <w:rPr>
          <w:lang w:val="en_US" w:bidi="en_US"/>
        </w:rPr>
        <w:t>9:42a</w:t>
      </w:r>
    </w:p>
    <w:p>
      <w:pPr/>
      <w:r>
        <w:rPr>
          <w:lang w:val="en_US" w:bidi="en_US"/>
        </w:rPr>
      </w:r>
      <w:r>
        <w:rPr>
          <w:b/>
          <w:lang w:val="en_US" w:bidi="en_US"/>
        </w:rPr>
        <w:t>Even while the boy was approaching,</w:t>
      </w:r>
    </w:p>
    <w:p>
      <w:pPr>
        <w:pStyle w:val="ListBullet"/>
        <w:spacing w:line="240" w:lineRule="auto"/>
        <w:ind w:left="720"/>
      </w:pPr>
      <w:r>
        <w:rPr>
          <w:lang w:val="en_US" w:bidi="en_US"/>
        </w:rPr>
      </w:r>
      <w:r>
        <w:rPr>
          <w:lang w:val="en_US" w:bidi="en_US"/>
        </w:rPr>
        <w:t xml:space="preserve">As the boy approached </w:t>
      </w:r>
      <w:r>
        <w:rPr>
          <w:lang w:val="en_US" w:bidi="en_US"/>
        </w:rPr>
        <w:t>Jesus</w:t>
      </w:r>
      <w:r>
        <w:rPr>
          <w:lang w:val="en_US" w:bidi="en_US"/>
        </w:rPr>
        <w:t>,</w:t>
      </w:r>
    </w:p>
    <w:p>
      <w:pPr>
        <w:pStyle w:val="ListBullet"/>
        <w:spacing w:line="240" w:lineRule="auto"/>
        <w:ind w:left="720"/>
      </w:pPr>
      <w:r>
        <w:rPr>
          <w:lang w:val="en_US" w:bidi="en_US"/>
        </w:rPr>
      </w:r>
      <w:r>
        <w:rPr>
          <w:lang w:val="en_US" w:bidi="en_US"/>
        </w:rPr>
        <w:t>But</w:t>
      </w:r>
      <w:r>
        <w:rPr>
          <w:lang w:val="en_US" w:bidi="en_US"/>
        </w:rPr>
        <w:t xml:space="preserve"> before the child reached </w:t>
      </w:r>
      <w:r>
        <w:rPr>
          <w:lang w:val="en_US" w:bidi="en_US"/>
        </w:rPr>
        <w:t>Jesus</w:t>
      </w:r>
      <w:r>
        <w:rPr>
          <w:lang w:val="en_US" w:bidi="en_US"/>
        </w:rPr>
        <w:t>,</w:t>
      </w:r>
    </w:p>
    <w:p>
      <w:pPr/>
      <w:r>
        <w:rPr>
          <w:lang w:val="en_US" w:bidi="en_US"/>
        </w:rPr>
      </w:r>
      <w:r>
        <w:rPr>
          <w:b/>
          <w:lang w:val="en_US" w:bidi="en_US"/>
        </w:rPr>
        <w:t>Even while the boy was approaching:</w:t>
      </w:r>
      <w:r>
        <w:rPr>
          <w:lang w:val="en_US" w:bidi="en_US"/>
        </w:rPr>
        <w:t xml:space="preserve"> The BSB has supplied the phrase </w:t>
      </w:r>
      <w:r>
        <w:rPr>
          <w:i/>
          <w:lang w:val="en_US" w:bidi="en_US"/>
        </w:rPr>
        <w:t>the boy</w:t>
      </w:r>
      <w:r>
        <w:rPr>
          <w:lang w:val="en_US" w:bidi="en_US"/>
        </w:rPr>
        <w:t>. The Greek text says “While he was coming,” and several English versions translate the phrase that way. Your translation should clearly indicate that it was the son who was coming. It should also indicate clearly that he was coming to Jesus. Some ways to do this in English are:</w:t>
      </w:r>
    </w:p>
    <w:p>
      <w:pPr/>
      <w:r>
        <w:rPr>
          <w:lang w:val="en_US" w:bidi="en_US"/>
        </w:rPr>
      </w:r>
      <w:r>
        <w:rPr>
          <w:lang w:val="en_US" w:bidi="en_US"/>
        </w:rPr>
        <w:t xml:space="preserve">Even while the boy was approaching </w:t>
      </w:r>
      <w:r>
        <w:rPr>
          <w:lang w:val="en_US" w:bidi="en_US"/>
        </w:rPr>
        <w:t>Jesus</w:t>
      </w:r>
    </w:p>
    <w:p>
      <w:pPr/>
      <w:r>
        <w:rPr>
          <w:lang w:val="en_US" w:bidi="en_US"/>
        </w:rPr>
      </w:r>
      <w:r>
        <w:rPr>
          <w:lang w:val="en_US" w:bidi="en_US"/>
        </w:rPr>
        <w:t>But before the boy could reach him (REB)</w:t>
      </w:r>
    </w:p>
    <w:p>
      <w:pPr/>
      <w:r>
        <w:rPr>
          <w:lang w:val="en_US" w:bidi="en_US"/>
        </w:rPr>
      </w:r>
      <w:r>
        <w:rPr>
          <w:b/>
          <w:lang w:val="en_US" w:bidi="en_US"/>
        </w:rPr>
        <w:t>the boy:</w:t>
      </w:r>
      <w:r>
        <w:rPr>
          <w:lang w:val="en_US" w:bidi="en_US"/>
        </w:rPr>
        <w:t xml:space="preserve"> If you use a term such as </w:t>
      </w:r>
      <w:r>
        <w:rPr>
          <w:i/>
          <w:lang w:val="en_US" w:bidi="en_US"/>
        </w:rPr>
        <w:t>the boy</w:t>
      </w:r>
      <w:r>
        <w:rPr>
          <w:lang w:val="en_US" w:bidi="en_US"/>
        </w:rPr>
        <w:t xml:space="preserve"> here, it should refer to a male probably less than thirteen years old and more than three years old.</w:t>
      </w:r>
    </w:p>
    <w:p>
      <w:pPr>
        <w:pStyle w:val="Heading5"/>
      </w:pPr>
      <w:r>
        <w:rPr>
          <w:lang w:val="en_US" w:bidi="en_US"/>
        </w:rPr>
        <w:t>9:42b</w:t>
      </w:r>
    </w:p>
    <w:p>
      <w:pPr/>
      <w:r>
        <w:rPr>
          <w:lang w:val="en_US" w:bidi="en_US"/>
        </w:rPr>
      </w:r>
      <w:r>
        <w:rPr>
          <w:b/>
          <w:lang w:val="en_US" w:bidi="en_US"/>
        </w:rPr>
        <w:t>the demon slammed him to the ground in a convulsion.</w:t>
      </w:r>
    </w:p>
    <w:p>
      <w:pPr>
        <w:pStyle w:val="ListBullet"/>
        <w:spacing w:line="240" w:lineRule="auto"/>
        <w:ind w:left="720"/>
      </w:pPr>
      <w:r>
        <w:rPr>
          <w:lang w:val="en_US" w:bidi="en_US"/>
        </w:rPr>
      </w:r>
      <w:r>
        <w:rPr>
          <w:lang w:val="en_US" w:bidi="en_US"/>
        </w:rPr>
        <w:t>the demon caused him to fall to the ground in a fit.</w:t>
      </w:r>
    </w:p>
    <w:p>
      <w:pPr>
        <w:pStyle w:val="ListBullet"/>
        <w:spacing w:line="240" w:lineRule="auto"/>
        <w:ind w:left="720"/>
      </w:pPr>
      <w:r>
        <w:rPr>
          <w:lang w:val="en_US" w:bidi="en_US"/>
        </w:rPr>
      </w:r>
      <w:r>
        <w:rPr>
          <w:lang w:val="en_US" w:bidi="en_US"/>
        </w:rPr>
        <w:t>the evil spirit knocked/threw him to the ground and caused him to convulse/jerk violently.</w:t>
      </w:r>
    </w:p>
    <w:p>
      <w:pPr/>
      <w:r>
        <w:rPr>
          <w:lang w:val="en_US" w:bidi="en_US"/>
        </w:rPr>
      </w:r>
      <w:r>
        <w:rPr>
          <w:b/>
          <w:lang w:val="en_US" w:bidi="en_US"/>
        </w:rPr>
        <w:t>the demon slammed him to the ground in a convulsion:</w:t>
      </w:r>
      <w:r>
        <w:rPr>
          <w:lang w:val="en_US" w:bidi="en_US"/>
        </w:rPr>
        <w:t xml:space="preserve"> In Greek, the clause that the BSB translates as </w:t>
      </w:r>
      <w:r>
        <w:rPr>
          <w:i/>
          <w:lang w:val="en_US" w:bidi="en_US"/>
        </w:rPr>
        <w:t>slammed him to the ground in a convulsion</w:t>
      </w:r>
      <w:r>
        <w:rPr>
          <w:lang w:val="en_US" w:bidi="en_US"/>
        </w:rPr>
        <w:t xml:space="preserve"> is literally “the demon threw him down and convulsed him.” It means that the demon caused the boy to fall violently to the ground and to jerk around in a fit or convulsion. Other ways to translate this include:</w:t>
      </w:r>
    </w:p>
    <w:p>
      <w:pPr/>
      <w:r>
        <w:rPr>
          <w:lang w:val="en_US" w:bidi="en_US"/>
        </w:rPr>
      </w:r>
      <w:r>
        <w:rPr>
          <w:lang w:val="en_US" w:bidi="en_US"/>
        </w:rPr>
        <w:t>the demon violently caused him to fall down and made him shake/jerk all over</w:t>
      </w:r>
    </w:p>
    <w:p>
      <w:pPr/>
      <w:r>
        <w:rPr>
          <w:lang w:val="en_US" w:bidi="en_US"/>
        </w:rPr>
      </w:r>
      <w:r>
        <w:rPr>
          <w:lang w:val="en_US" w:bidi="en_US"/>
        </w:rPr>
        <w:t>the demon knocked the boy to the ground and threw him into convulsions (GW)</w:t>
      </w:r>
    </w:p>
    <w:p>
      <w:pPr/>
      <w:r>
        <w:rPr>
          <w:lang w:val="en_US" w:bidi="en_US"/>
        </w:rPr>
      </w:r>
      <w:r>
        <w:rPr>
          <w:b/>
          <w:lang w:val="en_US" w:bidi="en_US"/>
        </w:rPr>
        <w:t>demon:</w:t>
      </w:r>
      <w:r>
        <w:rPr>
          <w:lang w:val="en_US" w:bidi="en_US"/>
        </w:rPr>
        <w:t xml:space="preserve"> The word </w:t>
      </w:r>
      <w:r>
        <w:rPr>
          <w:i/>
          <w:lang w:val="en_US" w:bidi="en_US"/>
        </w:rPr>
        <w:t>demon</w:t>
      </w:r>
      <w:r>
        <w:rPr>
          <w:lang w:val="en_US" w:bidi="en_US"/>
        </w:rPr>
        <w:t xml:space="preserve"> occurs in 9:1b. See the note there for information about translating this term.</w:t>
      </w:r>
    </w:p>
    <w:p>
      <w:pPr>
        <w:pStyle w:val="Heading5"/>
      </w:pPr>
      <w:r>
        <w:rPr>
          <w:lang w:val="en_US" w:bidi="en_US"/>
        </w:rPr>
        <w:t>9:42c</w:t>
      </w:r>
    </w:p>
    <w:p>
      <w:pPr/>
      <w:r>
        <w:rPr>
          <w:lang w:val="en_US" w:bidi="en_US"/>
        </w:rPr>
      </w:r>
      <w:r>
        <w:rPr>
          <w:b/>
          <w:lang w:val="en_US" w:bidi="en_US"/>
        </w:rPr>
        <w:t>But Jesus rebuked the unclean spirit,</w:t>
      </w:r>
    </w:p>
    <w:p>
      <w:pPr>
        <w:pStyle w:val="ListBullet"/>
        <w:spacing w:line="240" w:lineRule="auto"/>
        <w:ind w:left="720"/>
      </w:pPr>
      <w:r>
        <w:rPr>
          <w:lang w:val="en_US" w:bidi="en_US"/>
        </w:rPr>
      </w:r>
      <w:r>
        <w:rPr>
          <w:lang w:val="en_US" w:bidi="en_US"/>
        </w:rPr>
        <w:t>But Jesus spoke sternly to the evil spirit.</w:t>
      </w:r>
    </w:p>
    <w:p>
      <w:pPr>
        <w:pStyle w:val="ListBullet"/>
        <w:spacing w:line="240" w:lineRule="auto"/>
        <w:ind w:left="720"/>
      </w:pPr>
      <w:r>
        <w:rPr>
          <w:lang w:val="en_US" w:bidi="en_US"/>
        </w:rPr>
      </w:r>
      <w:r>
        <w:rPr>
          <w:lang w:val="en_US" w:bidi="en_US"/>
        </w:rPr>
        <w:t xml:space="preserve">Jesus commanded the demon </w:t>
      </w:r>
      <w:r>
        <w:rPr>
          <w:lang w:val="en_US" w:bidi="en_US"/>
        </w:rPr>
        <w:t>to leave the boy</w:t>
      </w:r>
      <w:r>
        <w:rPr>
          <w:lang w:val="en_US" w:bidi="en_US"/>
        </w:rPr>
        <w:t xml:space="preserve">, </w:t>
      </w:r>
      <w:r>
        <w:rPr>
          <w:lang w:val="en_US" w:bidi="en_US"/>
        </w:rPr>
        <w:t>and it left</w:t>
      </w:r>
      <w:r>
        <w:rPr>
          <w:lang w:val="en_US" w:bidi="en_US"/>
        </w:rPr>
        <w:t>!</w:t>
      </w:r>
    </w:p>
    <w:p>
      <w:pPr/>
      <w:r>
        <w:rPr>
          <w:lang w:val="en_US" w:bidi="en_US"/>
        </w:rPr>
      </w:r>
      <w:r>
        <w:rPr>
          <w:b/>
          <w:lang w:val="en_US" w:bidi="en_US"/>
        </w:rPr>
        <w:t>Jesus rebuked the unclean spirit:</w:t>
      </w:r>
      <w:r>
        <w:rPr>
          <w:lang w:val="en_US" w:bidi="en_US"/>
        </w:rPr>
        <w:t xml:space="preserve"> The clause </w:t>
      </w:r>
      <w:r>
        <w:rPr>
          <w:i/>
          <w:lang w:val="en_US" w:bidi="en_US"/>
        </w:rPr>
        <w:t>Jesus rebuked the unclean spirit</w:t>
      </w:r>
      <w:r>
        <w:rPr>
          <w:lang w:val="en_US" w:bidi="en_US"/>
        </w:rPr>
        <w:t xml:space="preserve"> means that Jesus gave a stern command to the demon. It does </w:t>
      </w:r>
      <w:r>
        <w:rPr>
          <w:u w:val="single"/>
          <w:lang w:val="en_US" w:bidi="en_US"/>
        </w:rPr>
        <w:t>not</w:t>
      </w:r>
      <w:r>
        <w:rPr>
          <w:lang w:val="en_US" w:bidi="en_US"/>
        </w:rPr>
        <w:t xml:space="preserve"> mean here that Jesus merely scolded the demon. Luke did not record what Jesus said, but it is clear from the parallel passages that Jesus commanded the unclean spirit to leave the boy. In some languages it may be necessary to make this information explicit. For example:</w:t>
      </w:r>
    </w:p>
    <w:p>
      <w:pPr/>
      <w:r>
        <w:rPr>
          <w:lang w:val="en_US" w:bidi="en_US"/>
        </w:rPr>
      </w:r>
      <w:r>
        <w:rPr>
          <w:lang w:val="en_US" w:bidi="en_US"/>
        </w:rPr>
        <w:t xml:space="preserve">Jesus sternly commanded the evil spirit </w:t>
      </w:r>
      <w:r>
        <w:rPr>
          <w:lang w:val="en_US" w:bidi="en_US"/>
        </w:rPr>
        <w:t>to leave the boy</w:t>
      </w:r>
    </w:p>
    <w:p>
      <w:pPr/>
      <w:r>
        <w:rPr>
          <w:lang w:val="en_US" w:bidi="en_US"/>
        </w:rPr>
      </w:r>
      <w:r>
        <w:rPr>
          <w:b/>
          <w:lang w:val="en_US" w:bidi="en_US"/>
        </w:rPr>
        <w:t>unclean spirit:</w:t>
      </w:r>
      <w:r>
        <w:rPr>
          <w:lang w:val="en_US" w:bidi="en_US"/>
        </w:rPr>
        <w:t xml:space="preserve"> The Greek phrase that the BSB translates literally as </w:t>
      </w:r>
      <w:r>
        <w:rPr>
          <w:i/>
          <w:lang w:val="en_US" w:bidi="en_US"/>
        </w:rPr>
        <w:t>unclean spirit</w:t>
      </w:r>
      <w:r>
        <w:rPr>
          <w:lang w:val="en_US" w:bidi="en_US"/>
        </w:rPr>
        <w:t xml:space="preserve"> refers to the same type of spirit as the terms “evil spirit” and “demon.” These terms all refer to a spirit that is evil and can control people’s actions.</w:t>
      </w:r>
    </w:p>
    <w:p>
      <w:pPr/>
      <w:r>
        <w:rPr>
          <w:lang w:val="en_US" w:bidi="en_US"/>
        </w:rPr>
      </w:r>
      <w:r>
        <w:rPr>
          <w:lang w:val="en_US" w:bidi="en_US"/>
        </w:rPr>
        <w:t xml:space="preserve">See the note on 4:33a. You may translate </w:t>
      </w:r>
      <w:r>
        <w:rPr>
          <w:i/>
          <w:lang w:val="en_US" w:bidi="en_US"/>
        </w:rPr>
        <w:t>unclean spirit</w:t>
      </w:r>
      <w:r>
        <w:rPr>
          <w:lang w:val="en_US" w:bidi="en_US"/>
        </w:rPr>
        <w:t xml:space="preserve"> the same way that you translated the word “demon” in 9:42b, or you may use a different term. Be sure to use an expression that clearly refers to the same being as the word “demon” in 9:42b.</w:t>
      </w:r>
    </w:p>
    <w:p>
      <w:pPr/>
      <w:r>
        <w:rPr>
          <w:lang w:val="en_US" w:bidi="en_US"/>
        </w:rPr>
      </w:r>
      <w:r>
        <w:rPr>
          <w:lang w:val="en_US" w:bidi="en_US"/>
        </w:rPr>
        <w:t xml:space="preserve">If the term for “unclean spirit” is a single word in your language, you can omit the word for </w:t>
      </w:r>
      <w:r>
        <w:rPr>
          <w:i/>
          <w:lang w:val="en_US" w:bidi="en_US"/>
        </w:rPr>
        <w:t>unclean</w:t>
      </w:r>
      <w:r>
        <w:rPr>
          <w:lang w:val="en_US" w:bidi="en_US"/>
        </w:rPr>
        <w:t xml:space="preserve">. In other words, it is not necessary to say “unclean demon” if a demon is already unclean. Do not literally translate the words </w:t>
      </w:r>
      <w:r>
        <w:rPr>
          <w:i/>
          <w:lang w:val="en_US" w:bidi="en_US"/>
        </w:rPr>
        <w:t>unclean</w:t>
      </w:r>
      <w:r>
        <w:rPr>
          <w:lang w:val="en_US" w:bidi="en_US"/>
        </w:rPr>
        <w:t xml:space="preserve"> and </w:t>
      </w:r>
      <w:r>
        <w:rPr>
          <w:i/>
          <w:lang w:val="en_US" w:bidi="en_US"/>
        </w:rPr>
        <w:t>spirit</w:t>
      </w:r>
      <w:r>
        <w:rPr>
          <w:lang w:val="en_US" w:bidi="en_US"/>
        </w:rPr>
        <w:t xml:space="preserve"> unless this is a natural way in your language to refer to this type of being.</w:t>
      </w:r>
    </w:p>
    <w:p>
      <w:pPr/>
      <w:r>
        <w:rPr>
          <w:lang w:val="en_US" w:bidi="en_US"/>
        </w:rPr>
      </w:r>
      <w:r>
        <w:rPr>
          <w:lang w:val="en_US" w:bidi="en_US"/>
        </w:rPr>
        <w:t>See the word demon in the Glossary.</w:t>
      </w:r>
    </w:p>
    <w:p>
      <w:pPr>
        <w:pStyle w:val="Heading5"/>
      </w:pPr>
      <w:r>
        <w:rPr>
          <w:lang w:val="en_US" w:bidi="en_US"/>
        </w:rPr>
        <w:t>9:42d</w:t>
      </w:r>
    </w:p>
    <w:p>
      <w:pPr/>
      <w:r>
        <w:rPr>
          <w:lang w:val="en_US" w:bidi="en_US"/>
        </w:rPr>
      </w:r>
      <w:r>
        <w:rPr>
          <w:b/>
          <w:lang w:val="en_US" w:bidi="en_US"/>
        </w:rPr>
        <w:t>healed the boy, and gave him back to his father.</w:t>
      </w:r>
    </w:p>
    <w:p>
      <w:pPr>
        <w:pStyle w:val="ListBullet"/>
        <w:spacing w:line="240" w:lineRule="auto"/>
        <w:ind w:left="720"/>
      </w:pPr>
      <w:r>
        <w:rPr>
          <w:lang w:val="en_US" w:bidi="en_US"/>
        </w:rPr>
      </w:r>
      <w:r>
        <w:rPr>
          <w:lang w:val="en_US" w:bidi="en_US"/>
        </w:rPr>
        <w:t>He healed the boy and presented/led him to his father.</w:t>
      </w:r>
    </w:p>
    <w:p>
      <w:pPr>
        <w:pStyle w:val="ListBullet"/>
        <w:spacing w:line="240" w:lineRule="auto"/>
        <w:ind w:left="720"/>
      </w:pPr>
      <w:r>
        <w:rPr>
          <w:lang w:val="en_US" w:bidi="en_US"/>
        </w:rPr>
      </w:r>
      <w:r>
        <w:rPr>
          <w:lang w:val="en_US" w:bidi="en_US"/>
        </w:rPr>
        <w:t>He healed the boy and said to the boy’s father, “Here is your son.”</w:t>
      </w:r>
    </w:p>
    <w:p>
      <w:pPr/>
      <w:r>
        <w:rPr>
          <w:lang w:val="en_US" w:bidi="en_US"/>
        </w:rPr>
      </w:r>
      <w:r>
        <w:rPr>
          <w:b/>
          <w:lang w:val="en_US" w:bidi="en_US"/>
        </w:rPr>
        <w:t>healed the boy:</w:t>
      </w:r>
      <w:r>
        <w:rPr>
          <w:lang w:val="en_US" w:bidi="en_US"/>
        </w:rPr>
        <w:t xml:space="preserve"> There are two ways to interpret the phrase </w:t>
      </w:r>
      <w:r>
        <w:rPr>
          <w:i/>
          <w:lang w:val="en_US" w:bidi="en_US"/>
        </w:rPr>
        <w:t>healed the boy</w:t>
      </w:r>
      <w:r>
        <w:rPr>
          <w:lang w:val="en_US" w:bidi="en_US"/>
        </w:rPr>
        <w:t>:</w:t>
      </w:r>
    </w:p>
    <w:p>
      <w:pPr>
        <w:pStyle w:val="ListNumber"/>
        <w:numPr>
          <w:ilvl w:val="0"/>
          <w:numId w:val="199"/>
        </w:numPr>
        <w:spacing w:line="240" w:lineRule="auto"/>
        <w:ind w:left="720"/>
      </w:pPr>
      <w:r>
        <w:rPr>
          <w:lang w:val="en_US" w:bidi="en_US"/>
        </w:rPr>
      </w:r>
      <w:r>
        <w:rPr>
          <w:lang w:val="en_US" w:bidi="en_US"/>
        </w:rPr>
        <w:t xml:space="preserve">Jesus healed the boy </w:t>
      </w:r>
      <w:r>
        <w:rPr>
          <w:u w:val="single"/>
          <w:lang w:val="en_US" w:bidi="en_US"/>
        </w:rPr>
        <w:t>by</w:t>
      </w:r>
      <w:r>
        <w:rPr>
          <w:lang w:val="en_US" w:bidi="en_US"/>
        </w:rPr>
        <w:t xml:space="preserve"> casting out the demon. For example:</w:t>
      </w:r>
      <w:r>
        <w:rPr>
          <w:lang w:val="en_US" w:bidi="en_US"/>
        </w:rPr>
        <w:t xml:space="preserve">and </w:t>
      </w:r>
      <w:r>
        <w:rPr>
          <w:lang w:val="en_US" w:bidi="en_US"/>
        </w:rPr>
        <w:t>thus</w:t>
      </w:r>
      <w:r>
        <w:rPr>
          <w:lang w:val="en_US" w:bidi="en_US"/>
        </w:rPr>
        <w:t xml:space="preserve"> healed the boy</w:t>
      </w:r>
    </w:p>
    <w:p>
      <w:pPr>
        <w:pStyle w:val="ListNumber"/>
        <w:spacing w:line="240" w:lineRule="auto"/>
        <w:ind w:left="720"/>
      </w:pPr>
      <w:r>
        <w:rPr>
          <w:lang w:val="en_US" w:bidi="en_US"/>
        </w:rPr>
      </w:r>
      <w:r>
        <w:rPr>
          <w:lang w:val="en_US" w:bidi="en_US"/>
        </w:rPr>
        <w:t xml:space="preserve">Jesus cast out the demon </w:t>
      </w:r>
      <w:r>
        <w:rPr>
          <w:u w:val="single"/>
          <w:lang w:val="en_US" w:bidi="en_US"/>
        </w:rPr>
        <w:t>and also</w:t>
      </w:r>
      <w:r>
        <w:rPr>
          <w:lang w:val="en_US" w:bidi="en_US"/>
        </w:rPr>
        <w:t xml:space="preserve"> healed the boy of his injuries. For example:</w:t>
      </w:r>
      <w:r>
        <w:rPr>
          <w:lang w:val="en_US" w:bidi="en_US"/>
        </w:rPr>
        <w:t xml:space="preserve">He </w:t>
      </w:r>
      <w:r>
        <w:rPr>
          <w:lang w:val="en_US" w:bidi="en_US"/>
        </w:rPr>
        <w:t>also/then</w:t>
      </w:r>
      <w:r>
        <w:rPr>
          <w:lang w:val="en_US" w:bidi="en_US"/>
        </w:rPr>
        <w:t xml:space="preserve"> healed the boy</w:t>
      </w:r>
    </w:p>
    <w:p>
      <w:pPr/>
      <w:r>
        <w:rPr>
          <w:lang w:val="en_US" w:bidi="en_US"/>
        </w:rPr>
      </w:r>
      <w:r>
        <w:rPr>
          <w:lang w:val="en_US" w:bidi="en_US"/>
        </w:rPr>
        <w:t>The English versions are ambiguous. If possible, you should translate in a way that allows either meaning. If you cannot do this, it is recommended that you follow interpretation (1). This interpretation is supported by a majority of scholars.</w:t>
      </w:r>
    </w:p>
    <w:p>
      <w:pPr/>
      <w:r>
        <w:rPr>
          <w:lang w:val="en_US" w:bidi="en_US"/>
        </w:rPr>
      </w:r>
      <w:r>
        <w:rPr>
          <w:b/>
          <w:lang w:val="en_US" w:bidi="en_US"/>
        </w:rPr>
        <w:t>gave him back to his father:</w:t>
      </w:r>
      <w:r>
        <w:rPr>
          <w:lang w:val="en_US" w:bidi="en_US"/>
        </w:rPr>
        <w:t xml:space="preserve"> The phrase </w:t>
      </w:r>
      <w:r>
        <w:rPr>
          <w:i/>
          <w:lang w:val="en_US" w:bidi="en_US"/>
        </w:rPr>
        <w:t>gave him back to his father</w:t>
      </w:r>
      <w:r>
        <w:rPr>
          <w:lang w:val="en_US" w:bidi="en_US"/>
        </w:rPr>
        <w:t xml:space="preserve"> means that Jesus led or presented the boy to his father. See the note on 7:15b.</w:t>
      </w:r>
      <w:r>
        <w:rPr>
          <w:lang w:val="en_US" w:bidi="en_US"/>
        </w:rPr>
      </w:r>
      <w:r>
        <w:rPr>
          <w:lang w:val="en_US" w:bidi="en_US"/>
        </w:rPr>
      </w:r>
    </w:p>
    <w:p>
      <w:pPr/>
      <w:r>
        <w:rPr>
          <w:lang w:val="en_US" w:bidi="en_US"/>
        </w:rPr>
      </w:r>
    </w:p>
    <w:p>
      <w:pPr>
        <w:pStyle w:val="Heading2"/>
      </w:pPr>
      <w:r>
        <w:rPr>
          <w:lang w:val="en_US" w:bidi="en_US"/>
        </w:rPr>
        <w:t>Luke 9:43</w:t>
      </w:r>
      <w:r>
        <w:rPr>
          <w:lang w:val="en_US" w:bidi="en_US"/>
        </w:rPr>
      </w:r>
    </w:p>
    <w:p>
      <w:pPr>
        <w:pStyle w:val="Heading4"/>
      </w:pPr>
      <w:r>
        <w:rPr>
          <w:lang w:val="en_US" w:bidi="en_US"/>
        </w:rPr>
        <w:t>Section 9:37–43a: Jesus expelled an evil spirit from a boy</w:t>
      </w:r>
    </w:p>
    <w:p>
      <w:pPr/>
      <w:r>
        <w:rPr>
          <w:lang w:val="en_US" w:bidi="en_US"/>
        </w:rPr>
      </w:r>
      <w:r>
        <w:rPr>
          <w:lang w:val="en_US" w:bidi="en_US"/>
        </w:rPr>
        <w:t>Earlier Jesus had given power to his twelve apostles to cast out demons (9:1). However, after Jesus came down from the mountain with Peter, James, and John, he heard that the other disciples had not been able to make an evil spirit leave a man’s son. When the boy approached Jesus, the unclean spirit caused the boy to convulse violently. Then Jesus cast out the unclean spirit, and the people were filled with awe.</w:t>
      </w:r>
    </w:p>
    <w:p>
      <w:pPr/>
      <w:r>
        <w:rPr>
          <w:lang w:val="en_US" w:bidi="en_US"/>
        </w:rPr>
      </w:r>
      <w:r>
        <w:rPr>
          <w:lang w:val="en_US" w:bidi="en_US"/>
        </w:rPr>
        <w:t>Some other examples of headings for this section are:</w:t>
      </w:r>
    </w:p>
    <w:p>
      <w:pPr/>
      <w:r>
        <w:rPr>
          <w:lang w:val="en_US" w:bidi="en_US"/>
        </w:rPr>
      </w:r>
      <w:r>
        <w:rPr>
          <w:lang w:val="en_US" w:bidi="en_US"/>
        </w:rPr>
        <w:t>The Healing of a Boy with an Evil Spirit (NIV)</w:t>
      </w:r>
    </w:p>
    <w:p>
      <w:pPr/>
      <w:r>
        <w:rPr>
          <w:lang w:val="en_US" w:bidi="en_US"/>
        </w:rPr>
      </w:r>
      <w:r>
        <w:rPr>
          <w:lang w:val="en_US" w:bidi="en_US"/>
        </w:rPr>
        <w:t>Jesus Heals a Boy with an Evil Spirit (GNT)</w:t>
      </w:r>
    </w:p>
    <w:p>
      <w:pPr/>
      <w:r>
        <w:rPr>
          <w:lang w:val="en_US" w:bidi="en_US"/>
        </w:rPr>
      </w:r>
      <w:r>
        <w:rPr>
          <w:lang w:val="en_US" w:bidi="en_US"/>
        </w:rPr>
        <w:t>There are parallel passages for this section in Matthew 17:14–21 and Mark 9:14–29.</w:t>
      </w:r>
    </w:p>
    <w:p>
      <w:pPr/>
      <w:r>
        <w:rPr>
          <w:lang w:val="en_US" w:bidi="en_US"/>
        </w:rPr>
      </w:r>
    </w:p>
    <w:p>
      <w:pPr>
        <w:pStyle w:val="Heading5"/>
      </w:pPr>
      <w:r>
        <w:rPr>
          <w:lang w:val="en_US" w:bidi="en_US"/>
        </w:rPr>
        <w:t>9:43a</w:t>
      </w:r>
    </w:p>
    <w:p>
      <w:pPr/>
      <w:r>
        <w:rPr>
          <w:lang w:val="en_US" w:bidi="en_US"/>
        </w:rPr>
      </w:r>
      <w:r>
        <w:rPr>
          <w:b/>
          <w:lang w:val="en_US" w:bidi="en_US"/>
        </w:rPr>
        <w:t>And they were all astonished at the greatness of God.</w:t>
      </w:r>
    </w:p>
    <w:p>
      <w:pPr>
        <w:pStyle w:val="ListBullet"/>
        <w:spacing w:line="240" w:lineRule="auto"/>
        <w:ind w:left="720"/>
      </w:pPr>
      <w:r>
        <w:rPr>
          <w:lang w:val="en_US" w:bidi="en_US"/>
        </w:rPr>
      </w:r>
      <w:r>
        <w:rPr>
          <w:lang w:val="en_US" w:bidi="en_US"/>
        </w:rPr>
        <w:t xml:space="preserve">All the people were amazed to see the power of God </w:t>
      </w:r>
      <w:r>
        <w:rPr>
          <w:lang w:val="en_US" w:bidi="en_US"/>
        </w:rPr>
        <w:t>as Jesus did this miracle</w:t>
      </w:r>
      <w:r>
        <w:rPr>
          <w:lang w:val="en_US" w:bidi="en_US"/>
        </w:rPr>
        <w:t>.</w:t>
      </w:r>
    </w:p>
    <w:p>
      <w:pPr>
        <w:pStyle w:val="ListBullet"/>
        <w:spacing w:line="240" w:lineRule="auto"/>
        <w:ind w:left="720"/>
      </w:pPr>
      <w:r>
        <w:rPr>
          <w:lang w:val="en_US" w:bidi="en_US"/>
        </w:rPr>
      </w:r>
      <w:r>
        <w:rPr>
          <w:lang w:val="en_US" w:bidi="en_US"/>
        </w:rPr>
        <w:t>As a result,</w:t>
      </w:r>
      <w:r>
        <w:rPr>
          <w:lang w:val="en_US" w:bidi="en_US"/>
        </w:rPr>
        <w:t xml:space="preserve"> everyone was astonished/awestruck at the powerful way that God </w:t>
      </w:r>
      <w:r>
        <w:rPr>
          <w:lang w:val="en_US" w:bidi="en_US"/>
        </w:rPr>
        <w:t>had acted</w:t>
      </w:r>
      <w:r>
        <w:rPr>
          <w:lang w:val="en_US" w:bidi="en_US"/>
        </w:rPr>
        <w:t>.</w:t>
      </w:r>
    </w:p>
    <w:p>
      <w:pPr/>
      <w:r>
        <w:rPr>
          <w:lang w:val="en_US" w:bidi="en_US"/>
        </w:rPr>
      </w:r>
      <w:r>
        <w:rPr>
          <w:b/>
          <w:lang w:val="en_US" w:bidi="en_US"/>
        </w:rPr>
        <w:t>And:</w:t>
      </w:r>
      <w:r>
        <w:rPr>
          <w:lang w:val="en_US" w:bidi="en_US"/>
        </w:rPr>
        <w:t xml:space="preserve"> The Greek conjunction that the BSB translates here as </w:t>
      </w:r>
      <w:r>
        <w:rPr>
          <w:i/>
          <w:lang w:val="en_US" w:bidi="en_US"/>
        </w:rPr>
        <w:t>And</w:t>
      </w:r>
      <w:r>
        <w:rPr>
          <w:lang w:val="en_US" w:bidi="en_US"/>
        </w:rPr>
        <w:t xml:space="preserve"> introduces the concluding result of this story. Some English versions do not translate this word. Other ways to translate this conclusion are:</w:t>
      </w:r>
    </w:p>
    <w:p>
      <w:pPr/>
      <w:r>
        <w:rPr>
          <w:lang w:val="en_US" w:bidi="en_US"/>
        </w:rPr>
      </w:r>
      <w:r>
        <w:rPr>
          <w:lang w:val="en_US" w:bidi="en_US"/>
        </w:rPr>
        <w:t>And so</w:t>
      </w:r>
    </w:p>
    <w:p>
      <w:pPr/>
      <w:r>
        <w:rPr>
          <w:lang w:val="en_US" w:bidi="en_US"/>
        </w:rPr>
      </w:r>
      <w:r>
        <w:rPr>
          <w:lang w:val="en_US" w:bidi="en_US"/>
        </w:rPr>
        <w:t>As a result</w:t>
      </w:r>
    </w:p>
    <w:p>
      <w:pPr/>
      <w:r>
        <w:rPr>
          <w:lang w:val="en_US" w:bidi="en_US"/>
        </w:rPr>
      </w:r>
      <w:r>
        <w:rPr>
          <w:lang w:val="en_US" w:bidi="en_US"/>
        </w:rPr>
        <w:t>When the people saw this</w:t>
      </w:r>
    </w:p>
    <w:p>
      <w:pPr/>
      <w:r>
        <w:rPr>
          <w:lang w:val="en_US" w:bidi="en_US"/>
        </w:rPr>
      </w:r>
      <w:r>
        <w:rPr>
          <w:b/>
          <w:lang w:val="en_US" w:bidi="en_US"/>
        </w:rPr>
        <w:t>they were all astonished at the greatness of God:</w:t>
      </w:r>
      <w:r>
        <w:rPr>
          <w:lang w:val="en_US" w:bidi="en_US"/>
        </w:rPr>
        <w:t xml:space="preserve"> The phrase </w:t>
      </w:r>
      <w:r>
        <w:rPr>
          <w:i/>
          <w:lang w:val="en_US" w:bidi="en_US"/>
        </w:rPr>
        <w:t>they…all</w:t>
      </w:r>
      <w:r>
        <w:rPr>
          <w:lang w:val="en_US" w:bidi="en_US"/>
        </w:rPr>
        <w:t xml:space="preserve"> refers to all the people who were present when Jesus healed the boy. The clause </w:t>
      </w:r>
      <w:r>
        <w:rPr>
          <w:i/>
          <w:lang w:val="en_US" w:bidi="en_US"/>
        </w:rPr>
        <w:t>they were all astonished at the greatness of God</w:t>
      </w:r>
      <w:r>
        <w:rPr>
          <w:lang w:val="en_US" w:bidi="en_US"/>
        </w:rPr>
        <w:t xml:space="preserve"> indicates that all the people there were amazed at God’s power. They had seen Jesus heal the boy, and they understood that Jesus had used this power to heal the boy.</w:t>
      </w:r>
    </w:p>
    <w:p>
      <w:pPr/>
      <w:r>
        <w:rPr>
          <w:lang w:val="en_US" w:bidi="en_US"/>
        </w:rPr>
      </w:r>
      <w:r>
        <w:rPr>
          <w:lang w:val="en_US" w:bidi="en_US"/>
        </w:rPr>
        <w:t>In some languages people may not understand the connection between Jesus healing the boy and the people being amazed at God’s greatness. If that is true in your language, you may need to make it explicit. For example:</w:t>
      </w:r>
    </w:p>
    <w:p>
      <w:pPr/>
      <w:r>
        <w:rPr>
          <w:lang w:val="en_US" w:bidi="en_US"/>
        </w:rPr>
      </w:r>
      <w:r>
        <w:rPr>
          <w:lang w:val="en_US" w:bidi="en_US"/>
        </w:rPr>
        <w:t>The way that Jesus showed</w:t>
      </w:r>
      <w:r>
        <w:rPr>
          <w:lang w:val="en_US" w:bidi="en_US"/>
        </w:rPr>
        <w:t xml:space="preserve"> God’s great power amazed all the people.</w:t>
      </w:r>
    </w:p>
    <w:p>
      <w:pPr/>
      <w:r>
        <w:rPr>
          <w:lang w:val="en_US" w:bidi="en_US"/>
        </w:rPr>
      </w:r>
      <w:r>
        <w:rPr>
          <w:b/>
          <w:lang w:val="en_US" w:bidi="en_US"/>
        </w:rPr>
        <w:t>greatness:</w:t>
      </w:r>
      <w:r>
        <w:rPr>
          <w:lang w:val="en_US" w:bidi="en_US"/>
        </w:rPr>
        <w:t xml:space="preserve"> The Greek word that the BSB translates as </w:t>
      </w:r>
      <w:r>
        <w:rPr>
          <w:i/>
          <w:lang w:val="en_US" w:bidi="en_US"/>
        </w:rPr>
        <w:t>greatness</w:t>
      </w:r>
      <w:r>
        <w:rPr>
          <w:lang w:val="en_US" w:bidi="en_US"/>
        </w:rPr>
        <w:t xml:space="preserve"> refers here to God’s great power. Other ways to translate it are:</w:t>
      </w:r>
    </w:p>
    <w:p>
      <w:pPr/>
      <w:r>
        <w:rPr>
          <w:lang w:val="en_US" w:bidi="en_US"/>
        </w:rPr>
      </w:r>
      <w:r>
        <w:rPr>
          <w:lang w:val="en_US" w:bidi="en_US"/>
        </w:rPr>
        <w:t>the mighty power of God (GNT)</w:t>
      </w:r>
    </w:p>
    <w:p>
      <w:pPr/>
      <w:r>
        <w:rPr>
          <w:lang w:val="en_US" w:bidi="en_US"/>
        </w:rPr>
      </w:r>
      <w:r>
        <w:rPr>
          <w:lang w:val="en_US" w:bidi="en_US"/>
        </w:rPr>
        <w:t xml:space="preserve">the powerful way that God </w:t>
      </w:r>
      <w:r>
        <w:rPr>
          <w:lang w:val="en_US" w:bidi="en_US"/>
        </w:rPr>
        <w:t>had acted</w:t>
      </w:r>
    </w:p>
    <w:p>
      <w:pPr>
        <w:pStyle w:val="Heading4"/>
      </w:pPr>
      <w:r>
        <w:rPr>
          <w:lang w:val="en_US" w:bidi="en_US"/>
        </w:rPr>
        <w:t>Section 9:43b–45: Jesus predicted his death a second time</w:t>
      </w:r>
    </w:p>
    <w:p>
      <w:pPr/>
      <w:r>
        <w:rPr>
          <w:lang w:val="en_US" w:bidi="en_US"/>
        </w:rPr>
      </w:r>
      <w:r>
        <w:rPr>
          <w:lang w:val="en_US" w:bidi="en_US"/>
        </w:rPr>
        <w:t>In 9:22 Jesus told his disciples that his enemies would reject and kill him and that God would cause him to live again. Here in 9:43b–45, Jesus told his disciples the same thing again. But they still did not understand what he was talking about.</w:t>
      </w:r>
    </w:p>
    <w:p>
      <w:pPr/>
      <w:r>
        <w:rPr>
          <w:lang w:val="en_US" w:bidi="en_US"/>
        </w:rPr>
      </w:r>
      <w:r>
        <w:rPr>
          <w:lang w:val="en_US" w:bidi="en_US"/>
        </w:rPr>
        <w:t>Luke placed this section immediately after the healing of the boy with an unclean spirit (9:37–43a). He did this in order to contrast the people’s amazement at the wonderful things Jesus was doing with the future suffering that Jesus knew he must endure. However, this section does not occur immediately following the miracle in the preceding section. According to the parallel passage in Mark, Jesus and his disciples left on a trip through Galilee. It was on this trip that Jesus spoke to them the second time about his coming death.</w:t>
      </w:r>
    </w:p>
    <w:p>
      <w:pPr/>
      <w:r>
        <w:rPr>
          <w:lang w:val="en_US" w:bidi="en_US"/>
        </w:rPr>
      </w:r>
      <w:r>
        <w:rPr>
          <w:lang w:val="en_US" w:bidi="en_US"/>
        </w:rPr>
        <w:t>Other examples for this section heading are:</w:t>
      </w:r>
    </w:p>
    <w:p>
      <w:pPr/>
      <w:r>
        <w:rPr>
          <w:lang w:val="en_US" w:bidi="en_US"/>
        </w:rPr>
      </w:r>
      <w:r>
        <w:rPr>
          <w:lang w:val="en_US" w:bidi="en_US"/>
        </w:rPr>
        <w:t>Jesus again predicted that he would die and come back to life</w:t>
      </w:r>
    </w:p>
    <w:p>
      <w:pPr/>
      <w:r>
        <w:rPr>
          <w:lang w:val="en_US" w:bidi="en_US"/>
        </w:rPr>
      </w:r>
      <w:r>
        <w:rPr>
          <w:lang w:val="en_US" w:bidi="en_US"/>
        </w:rPr>
        <w:t>Death and resurrection foretold a second time</w:t>
      </w:r>
    </w:p>
    <w:p>
      <w:pPr/>
      <w:r>
        <w:rPr>
          <w:lang w:val="en_US" w:bidi="en_US"/>
        </w:rPr>
      </w:r>
      <w:r>
        <w:rPr>
          <w:lang w:val="en_US" w:bidi="en_US"/>
        </w:rPr>
        <w:t>Jesus again tells his disciples that he will be killed but then God will raise him from the dead</w:t>
      </w:r>
    </w:p>
    <w:p>
      <w:pPr/>
      <w:r>
        <w:rPr>
          <w:lang w:val="en_US" w:bidi="en_US"/>
        </w:rPr>
      </w:r>
      <w:r>
        <w:rPr>
          <w:lang w:val="en_US" w:bidi="en_US"/>
        </w:rPr>
        <w:t>There are parallel passages for this section in Matthew 17:22–23 and Mark 9:30–32.</w:t>
      </w:r>
    </w:p>
    <w:p>
      <w:pPr>
        <w:pStyle w:val="Heading5"/>
      </w:pPr>
      <w:r>
        <w:rPr>
          <w:lang w:val="en_US" w:bidi="en_US"/>
        </w:rPr>
        <w:t>9:43b</w:t>
      </w:r>
    </w:p>
    <w:p>
      <w:pPr/>
      <w:r>
        <w:rPr>
          <w:lang w:val="en_US" w:bidi="en_US"/>
        </w:rPr>
      </w:r>
      <w:r>
        <w:rPr>
          <w:b/>
          <w:lang w:val="en_US" w:bidi="en_US"/>
        </w:rPr>
        <w:t>While everyone was marveling at all that Jesus was doing, He said to His disciples,</w:t>
      </w:r>
    </w:p>
    <w:p>
      <w:pPr>
        <w:pStyle w:val="ListBullet"/>
        <w:spacing w:line="240" w:lineRule="auto"/>
        <w:ind w:left="720"/>
      </w:pPr>
      <w:r>
        <w:rPr>
          <w:lang w:val="en_US" w:bidi="en_US"/>
        </w:rPr>
      </w:r>
      <w:r>
        <w:rPr>
          <w:lang w:val="en_US" w:bidi="en_US"/>
        </w:rPr>
        <w:t xml:space="preserve">¶ While all the people were amazed at all </w:t>
      </w:r>
      <w:r>
        <w:rPr>
          <w:lang w:val="en_US" w:bidi="en_US"/>
        </w:rPr>
        <w:t>the miracles</w:t>
      </w:r>
      <w:r>
        <w:rPr>
          <w:lang w:val="en_US" w:bidi="en_US"/>
        </w:rPr>
        <w:t xml:space="preserve"> that Jesus did, he said to his disciples,</w:t>
      </w:r>
    </w:p>
    <w:p>
      <w:pPr>
        <w:pStyle w:val="ListBullet"/>
        <w:spacing w:line="240" w:lineRule="auto"/>
        <w:ind w:left="720"/>
      </w:pPr>
      <w:r>
        <w:rPr>
          <w:lang w:val="en_US" w:bidi="en_US"/>
        </w:rPr>
      </w:r>
      <w:r>
        <w:rPr>
          <w:lang w:val="en_US" w:bidi="en_US"/>
        </w:rPr>
        <w:t xml:space="preserve">¶ Everyone was amazed at all </w:t>
      </w:r>
      <w:r>
        <w:rPr>
          <w:lang w:val="en_US" w:bidi="en_US"/>
        </w:rPr>
        <w:t>the things</w:t>
      </w:r>
      <w:r>
        <w:rPr>
          <w:lang w:val="en_US" w:bidi="en_US"/>
        </w:rPr>
        <w:t xml:space="preserve"> that Jesus had been doing. </w:t>
      </w:r>
      <w:r>
        <w:rPr>
          <w:lang w:val="en_US" w:bidi="en_US"/>
        </w:rPr>
        <w:t>Meanwhile</w:t>
      </w:r>
      <w:r>
        <w:rPr>
          <w:lang w:val="en_US" w:bidi="en_US"/>
        </w:rPr>
        <w:t xml:space="preserve"> he said to his followers,</w:t>
      </w:r>
    </w:p>
    <w:p>
      <w:pPr/>
      <w:r>
        <w:rPr>
          <w:lang w:val="en_US" w:bidi="en_US"/>
        </w:rPr>
      </w:r>
      <w:r>
        <w:rPr>
          <w:lang w:val="en_US" w:bidi="en_US"/>
        </w:rPr>
        <w:t>In Greek, 9:43b begins with a conjunction that is often translated as “but.” The BSB and some other English versions do not translate this conjunction.</w:t>
      </w:r>
    </w:p>
    <w:p>
      <w:pPr/>
      <w:r>
        <w:rPr>
          <w:lang w:val="en_US" w:bidi="en_US"/>
        </w:rPr>
      </w:r>
      <w:r>
        <w:rPr>
          <w:lang w:val="en_US" w:bidi="en_US"/>
        </w:rPr>
        <w:t>As mentioned in the section introduction, this section that predicts Jesus’ death contrasts with the fact that people were amazed at what Jesus had been doing. You should show this contrast in a way that is natural in your language.</w:t>
      </w:r>
    </w:p>
    <w:p>
      <w:pPr/>
      <w:r>
        <w:rPr>
          <w:lang w:val="en_US" w:bidi="en_US"/>
        </w:rPr>
      </w:r>
      <w:r>
        <w:rPr>
          <w:b/>
          <w:lang w:val="en_US" w:bidi="en_US"/>
        </w:rPr>
        <w:t>While everyone was marveling at all that Jesus was doing:</w:t>
      </w:r>
      <w:r>
        <w:rPr>
          <w:lang w:val="en_US" w:bidi="en_US"/>
        </w:rPr>
        <w:t xml:space="preserve"> The clause </w:t>
      </w:r>
      <w:r>
        <w:rPr>
          <w:i/>
          <w:lang w:val="en_US" w:bidi="en_US"/>
        </w:rPr>
        <w:t>While everyone was marveling at all that Jesus was doing</w:t>
      </w:r>
      <w:r>
        <w:rPr>
          <w:lang w:val="en_US" w:bidi="en_US"/>
        </w:rPr>
        <w:t xml:space="preserve"> indicates that the people were amazed at all the things that Jesus had been doing and teaching. It was not only the miracle of healing the boy that amazed them. See the introduction to Section 9:43b–45. Other ways to translate this clause are:</w:t>
      </w:r>
    </w:p>
    <w:p>
      <w:pPr/>
      <w:r>
        <w:rPr>
          <w:lang w:val="en_US" w:bidi="en_US"/>
        </w:rPr>
      </w:r>
      <w:r>
        <w:rPr>
          <w:lang w:val="en_US" w:bidi="en_US"/>
        </w:rPr>
        <w:t>Amid the general astonishment at all he was doing (REB)</w:t>
      </w:r>
    </w:p>
    <w:p>
      <w:pPr/>
      <w:r>
        <w:rPr>
          <w:lang w:val="en_US" w:bidi="en_US"/>
        </w:rPr>
      </w:r>
      <w:r>
        <w:rPr>
          <w:lang w:val="en_US" w:bidi="en_US"/>
        </w:rPr>
        <w:t>Everyone was amazed at all the things that Jesus was doing. (GW)</w:t>
      </w:r>
      <w:r>
        <w:rPr>
          <w:lang w:val="en_US" w:bidi="en_US"/>
        </w:rPr>
      </w:r>
      <w:r>
        <w:rPr>
          <w:lang w:val="en_US" w:bidi="en_US"/>
        </w:rPr>
      </w:r>
    </w:p>
    <w:p>
      <w:pPr/>
      <w:r>
        <w:rPr>
          <w:lang w:val="en_US" w:bidi="en_US"/>
        </w:rPr>
      </w:r>
    </w:p>
    <w:p>
      <w:pPr>
        <w:pStyle w:val="Heading2"/>
      </w:pPr>
      <w:r>
        <w:rPr>
          <w:lang w:val="en_US" w:bidi="en_US"/>
        </w:rPr>
        <w:t>Luke 9:44</w:t>
      </w:r>
      <w:r>
        <w:rPr>
          <w:lang w:val="en_US" w:bidi="en_US"/>
        </w:rPr>
      </w:r>
    </w:p>
    <w:p>
      <w:pPr>
        <w:pStyle w:val="Heading4"/>
      </w:pPr>
      <w:r>
        <w:rPr>
          <w:lang w:val="en_US" w:bidi="en_US"/>
        </w:rPr>
        <w:t>Section 9:43b–45: Jesus predicted his death a second time</w:t>
      </w:r>
    </w:p>
    <w:p>
      <w:pPr/>
      <w:r>
        <w:rPr>
          <w:lang w:val="en_US" w:bidi="en_US"/>
        </w:rPr>
      </w:r>
      <w:r>
        <w:rPr>
          <w:lang w:val="en_US" w:bidi="en_US"/>
        </w:rPr>
        <w:t>In 9:22 Jesus told his disciples that his enemies would reject and kill him and that God would cause him to live again. Here in 9:43b–45, Jesus told his disciples the same thing again. But they still did not understand what he was talking about.</w:t>
      </w:r>
    </w:p>
    <w:p>
      <w:pPr/>
      <w:r>
        <w:rPr>
          <w:lang w:val="en_US" w:bidi="en_US"/>
        </w:rPr>
      </w:r>
      <w:r>
        <w:rPr>
          <w:lang w:val="en_US" w:bidi="en_US"/>
        </w:rPr>
        <w:t>Luke placed this section immediately after the healing of the boy with an unclean spirit (9:37–43a). He did this in order to contrast the people’s amazement at the wonderful things Jesus was doing with the future suffering that Jesus knew he must endure. However, this section does not occur immediately following the miracle in the preceding section. According to the parallel passage in Mark, Jesus and his disciples left on a trip through Galilee. It was on this trip that Jesus spoke to them the second time about his coming death.</w:t>
      </w:r>
    </w:p>
    <w:p>
      <w:pPr/>
      <w:r>
        <w:rPr>
          <w:lang w:val="en_US" w:bidi="en_US"/>
        </w:rPr>
      </w:r>
      <w:r>
        <w:rPr>
          <w:lang w:val="en_US" w:bidi="en_US"/>
        </w:rPr>
        <w:t>Other examples for this section heading are:</w:t>
      </w:r>
    </w:p>
    <w:p>
      <w:pPr/>
      <w:r>
        <w:rPr>
          <w:lang w:val="en_US" w:bidi="en_US"/>
        </w:rPr>
      </w:r>
      <w:r>
        <w:rPr>
          <w:lang w:val="en_US" w:bidi="en_US"/>
        </w:rPr>
        <w:t>Jesus again predicted that he would die and come back to life</w:t>
      </w:r>
    </w:p>
    <w:p>
      <w:pPr/>
      <w:r>
        <w:rPr>
          <w:lang w:val="en_US" w:bidi="en_US"/>
        </w:rPr>
      </w:r>
      <w:r>
        <w:rPr>
          <w:lang w:val="en_US" w:bidi="en_US"/>
        </w:rPr>
        <w:t>Death and resurrection foretold a second time</w:t>
      </w:r>
    </w:p>
    <w:p>
      <w:pPr/>
      <w:r>
        <w:rPr>
          <w:lang w:val="en_US" w:bidi="en_US"/>
        </w:rPr>
      </w:r>
      <w:r>
        <w:rPr>
          <w:lang w:val="en_US" w:bidi="en_US"/>
        </w:rPr>
        <w:t>Jesus again tells his disciples that he will be killed but then God will raise him from the dead</w:t>
      </w:r>
    </w:p>
    <w:p>
      <w:pPr/>
      <w:r>
        <w:rPr>
          <w:lang w:val="en_US" w:bidi="en_US"/>
        </w:rPr>
      </w:r>
      <w:r>
        <w:rPr>
          <w:lang w:val="en_US" w:bidi="en_US"/>
        </w:rPr>
        <w:t>There are parallel passages for this section in Matthew 17:22–23 and Mark 9:30–32.</w:t>
      </w:r>
    </w:p>
    <w:p>
      <w:pPr>
        <w:pStyle w:val="Heading5"/>
      </w:pPr>
      <w:r>
        <w:rPr>
          <w:lang w:val="en_US" w:bidi="en_US"/>
        </w:rPr>
        <w:t>9:44a</w:t>
      </w:r>
    </w:p>
    <w:p>
      <w:pPr/>
      <w:r>
        <w:rPr>
          <w:lang w:val="en_US" w:bidi="en_US"/>
        </w:rPr>
      </w:r>
      <w:r>
        <w:rPr>
          <w:b/>
          <w:lang w:val="en_US" w:bidi="en_US"/>
        </w:rPr>
        <w:t>“Let these words sink into your ears:</w:t>
      </w:r>
    </w:p>
    <w:p>
      <w:pPr>
        <w:pStyle w:val="ListBullet"/>
        <w:spacing w:line="240" w:lineRule="auto"/>
        <w:ind w:left="720"/>
      </w:pPr>
      <w:r>
        <w:rPr>
          <w:lang w:val="en_US" w:bidi="en_US"/>
        </w:rPr>
      </w:r>
      <w:r>
        <w:rPr>
          <w:lang w:val="en_US" w:bidi="en_US"/>
        </w:rPr>
        <w:t>“As for you</w:t>
      </w:r>
      <w:r>
        <w:rPr>
          <w:vertAlign w:val="superscript"/>
          <w:lang w:val="en_US" w:bidi="en_US"/>
        </w:rPr>
        <w:t>(plur)</w:t>
      </w:r>
      <w:r>
        <w:rPr>
          <w:lang w:val="en_US" w:bidi="en_US"/>
        </w:rPr>
        <w:t>, listen closely/attentively to this:</w:t>
      </w:r>
    </w:p>
    <w:p>
      <w:pPr>
        <w:pStyle w:val="ListBullet"/>
        <w:spacing w:line="240" w:lineRule="auto"/>
        <w:ind w:left="720"/>
      </w:pPr>
      <w:r>
        <w:rPr>
          <w:lang w:val="en_US" w:bidi="en_US"/>
        </w:rPr>
      </w:r>
      <w:r>
        <w:rPr>
          <w:lang w:val="en_US" w:bidi="en_US"/>
        </w:rPr>
        <w:t>“I am going to tell you</w:t>
      </w:r>
      <w:r>
        <w:rPr>
          <w:vertAlign w:val="superscript"/>
          <w:lang w:val="en_US" w:bidi="en_US"/>
        </w:rPr>
        <w:t>(plur)</w:t>
      </w:r>
      <w:r>
        <w:rPr>
          <w:lang w:val="en_US" w:bidi="en_US"/>
        </w:rPr>
        <w:t xml:space="preserve"> something </w:t>
      </w:r>
      <w:r>
        <w:rPr>
          <w:lang w:val="en_US" w:bidi="en_US"/>
        </w:rPr>
        <w:t>very important</w:t>
      </w:r>
      <w:r>
        <w:rPr>
          <w:lang w:val="en_US" w:bidi="en_US"/>
        </w:rPr>
        <w:t xml:space="preserve">. </w:t>
      </w:r>
      <w:r>
        <w:rPr>
          <w:lang w:val="en_US" w:bidi="en_US"/>
        </w:rPr>
        <w:t>So</w:t>
      </w:r>
      <w:r>
        <w:rPr>
          <w:lang w:val="en_US" w:bidi="en_US"/>
        </w:rPr>
        <w:t xml:space="preserve"> you must listen carefully and remember what I say.</w:t>
      </w:r>
    </w:p>
    <w:p>
      <w:pPr/>
      <w:r>
        <w:rPr>
          <w:lang w:val="en_US" w:bidi="en_US"/>
        </w:rPr>
      </w:r>
      <w:r>
        <w:rPr>
          <w:lang w:val="en_US" w:bidi="en_US"/>
        </w:rPr>
        <w:t>In Greek this verse contains the pronoun “you,” even though the verb is already marked for the second person. This emphatic pronoun focuses on the disciples, in contrast to the people in general. Some ways to express this emphasis are:</w:t>
      </w:r>
    </w:p>
    <w:p>
      <w:pPr/>
      <w:r>
        <w:rPr>
          <w:lang w:val="en_US" w:bidi="en_US"/>
        </w:rPr>
      </w:r>
      <w:r>
        <w:rPr>
          <w:lang w:val="en_US" w:bidi="en_US"/>
        </w:rPr>
        <w:t>For your part,… (NJB)</w:t>
      </w:r>
    </w:p>
    <w:p>
      <w:pPr/>
      <w:r>
        <w:rPr>
          <w:lang w:val="en_US" w:bidi="en_US"/>
        </w:rPr>
      </w:r>
      <w:r>
        <w:rPr>
          <w:lang w:val="en_US" w:bidi="en_US"/>
        </w:rPr>
        <w:t>As for you,…</w:t>
      </w:r>
    </w:p>
    <w:p>
      <w:pPr/>
      <w:r>
        <w:rPr>
          <w:lang w:val="en_US" w:bidi="en_US"/>
        </w:rPr>
      </w:r>
      <w:r>
        <w:rPr>
          <w:b/>
          <w:lang w:val="en_US" w:bidi="en_US"/>
        </w:rPr>
        <w:t>Let these words sink into your ears:</w:t>
      </w:r>
      <w:r>
        <w:rPr>
          <w:lang w:val="en_US" w:bidi="en_US"/>
        </w:rPr>
        <w:t xml:space="preserve"> The Greek command that the BSB translates as </w:t>
      </w:r>
      <w:r>
        <w:rPr>
          <w:i/>
          <w:lang w:val="en_US" w:bidi="en_US"/>
        </w:rPr>
        <w:t>Let these words sink into your ears</w:t>
      </w:r>
      <w:r>
        <w:rPr>
          <w:lang w:val="en_US" w:bidi="en_US"/>
        </w:rPr>
        <w:t xml:space="preserve"> is literally “Put these words into your ears.” This idiom means two things:</w:t>
      </w:r>
    </w:p>
    <w:p>
      <w:pPr>
        <w:pStyle w:val="ListNumber"/>
        <w:numPr>
          <w:ilvl w:val="0"/>
          <w:numId w:val="200"/>
        </w:numPr>
        <w:spacing w:line="240" w:lineRule="auto"/>
        <w:ind w:left="720"/>
      </w:pPr>
      <w:r>
        <w:rPr>
          <w:lang w:val="en_US" w:bidi="en_US"/>
        </w:rPr>
      </w:r>
      <w:r>
        <w:rPr>
          <w:lang w:val="en_US" w:bidi="en_US"/>
        </w:rPr>
        <w:t>a person should listen carefully;</w:t>
      </w:r>
    </w:p>
    <w:p>
      <w:pPr>
        <w:pStyle w:val="ListNumber"/>
        <w:spacing w:line="240" w:lineRule="auto"/>
        <w:ind w:left="720"/>
      </w:pPr>
      <w:r>
        <w:rPr>
          <w:lang w:val="en_US" w:bidi="en_US"/>
        </w:rPr>
      </w:r>
      <w:r>
        <w:rPr>
          <w:lang w:val="en_US" w:bidi="en_US"/>
        </w:rPr>
        <w:t>he should not forget what he has heard.</w:t>
      </w:r>
    </w:p>
    <w:p>
      <w:pPr/>
      <w:r>
        <w:rPr>
          <w:lang w:val="en_US" w:bidi="en_US"/>
        </w:rPr>
      </w:r>
      <w:r>
        <w:rPr>
          <w:lang w:val="en_US" w:bidi="en_US"/>
        </w:rPr>
        <w:t>You may translate either or both aspects of meaning. Both imply that Jesus is going to say something that is very important. For example:</w:t>
      </w:r>
    </w:p>
    <w:p>
      <w:pPr/>
      <w:r>
        <w:rPr>
          <w:lang w:val="en_US" w:bidi="en_US"/>
        </w:rPr>
      </w:r>
      <w:r>
        <w:rPr>
          <w:lang w:val="en_US" w:bidi="en_US"/>
        </w:rPr>
        <w:t>Pay close attention (CEV)</w:t>
      </w:r>
    </w:p>
    <w:p>
      <w:pPr/>
      <w:r>
        <w:rPr>
          <w:lang w:val="en_US" w:bidi="en_US"/>
        </w:rPr>
      </w:r>
      <w:r>
        <w:rPr>
          <w:lang w:val="en_US" w:bidi="en_US"/>
        </w:rPr>
        <w:t>Don’t forget (NCV)</w:t>
      </w:r>
    </w:p>
    <w:p>
      <w:pPr/>
      <w:r>
        <w:rPr>
          <w:lang w:val="en_US" w:bidi="en_US"/>
        </w:rPr>
      </w:r>
      <w:r>
        <w:rPr>
          <w:lang w:val="en_US" w:bidi="en_US"/>
        </w:rPr>
        <w:t>Listen to me and remember (NLT)</w:t>
      </w:r>
    </w:p>
    <w:p>
      <w:pPr/>
      <w:r>
        <w:rPr>
          <w:lang w:val="en_US" w:bidi="en_US"/>
        </w:rPr>
      </w:r>
      <w:r>
        <w:rPr>
          <w:b/>
          <w:lang w:val="en_US" w:bidi="en_US"/>
        </w:rPr>
        <w:t>these words:</w:t>
      </w:r>
      <w:r>
        <w:rPr>
          <w:lang w:val="en_US" w:bidi="en_US"/>
        </w:rPr>
        <w:t xml:space="preserve"> The Greek phrase that the BSB translates literally as </w:t>
      </w:r>
      <w:r>
        <w:rPr>
          <w:i/>
          <w:lang w:val="en_US" w:bidi="en_US"/>
        </w:rPr>
        <w:t>these words</w:t>
      </w:r>
      <w:r>
        <w:rPr>
          <w:lang w:val="en_US" w:bidi="en_US"/>
        </w:rPr>
        <w:t xml:space="preserve"> refers to what Jesus was about to say. Another way to translate this is:</w:t>
      </w:r>
    </w:p>
    <w:p>
      <w:pPr/>
      <w:r>
        <w:rPr>
          <w:lang w:val="en_US" w:bidi="en_US"/>
        </w:rPr>
      </w:r>
      <w:r>
        <w:rPr>
          <w:lang w:val="en_US" w:bidi="en_US"/>
        </w:rPr>
        <w:t>what I am about to tell you (NIV)</w:t>
      </w:r>
    </w:p>
    <w:p>
      <w:pPr>
        <w:pStyle w:val="Heading5"/>
      </w:pPr>
      <w:r>
        <w:rPr>
          <w:lang w:val="en_US" w:bidi="en_US"/>
        </w:rPr>
        <w:t>9:44b</w:t>
      </w:r>
    </w:p>
    <w:p>
      <w:pPr/>
      <w:r>
        <w:rPr>
          <w:lang w:val="en_US" w:bidi="en_US"/>
        </w:rPr>
      </w:r>
      <w:r>
        <w:rPr>
          <w:b/>
          <w:lang w:val="en_US" w:bidi="en_US"/>
        </w:rPr>
        <w:t>The Son of Man is about to be delivered into the hands of men.”</w:t>
      </w:r>
    </w:p>
    <w:p>
      <w:pPr>
        <w:pStyle w:val="ListBullet"/>
        <w:spacing w:line="240" w:lineRule="auto"/>
        <w:ind w:left="720"/>
      </w:pPr>
      <w:r>
        <w:rPr>
          <w:lang w:val="en_US" w:bidi="en_US"/>
        </w:rPr>
      </w:r>
      <w:r>
        <w:rPr>
          <w:lang w:val="en_US" w:bidi="en_US"/>
        </w:rPr>
        <w:t xml:space="preserve">The Son of Man is about to be turned/handed over to the control of </w:t>
      </w:r>
      <w:r>
        <w:rPr>
          <w:lang w:val="en_US" w:bidi="en_US"/>
        </w:rPr>
        <w:t>evil</w:t>
      </w:r>
      <w:r>
        <w:rPr>
          <w:lang w:val="en_US" w:bidi="en_US"/>
        </w:rPr>
        <w:t xml:space="preserve"> men/people.”</w:t>
      </w:r>
    </w:p>
    <w:p>
      <w:pPr>
        <w:pStyle w:val="ListBullet"/>
        <w:spacing w:line="240" w:lineRule="auto"/>
        <w:ind w:left="720"/>
      </w:pPr>
      <w:r>
        <w:rPr>
          <w:lang w:val="en_US" w:bidi="en_US"/>
        </w:rPr>
      </w:r>
      <w:r>
        <w:rPr>
          <w:lang w:val="en_US" w:bidi="en_US"/>
        </w:rPr>
        <w:t>Someone</w:t>
      </w:r>
      <w:r>
        <w:rPr>
          <w:lang w:val="en_US" w:bidi="en_US"/>
        </w:rPr>
        <w:t xml:space="preserve"> will </w:t>
      </w:r>
      <w:r>
        <w:rPr>
          <w:lang w:val="en_US" w:bidi="en_US"/>
        </w:rPr>
        <w:t>soon</w:t>
      </w:r>
      <w:r>
        <w:rPr>
          <w:lang w:val="en_US" w:bidi="en_US"/>
        </w:rPr>
        <w:t xml:space="preserve"> betray/deliver me, the Son of Man, to </w:t>
      </w:r>
      <w:r>
        <w:rPr>
          <w:lang w:val="en_US" w:bidi="en_US"/>
        </w:rPr>
        <w:t>the power/authority of</w:t>
      </w:r>
      <w:r>
        <w:rPr>
          <w:lang w:val="en_US" w:bidi="en_US"/>
        </w:rPr>
        <w:t xml:space="preserve"> my enemies.”</w:t>
      </w:r>
    </w:p>
    <w:p>
      <w:pPr/>
      <w:r>
        <w:rPr>
          <w:lang w:val="en_US" w:bidi="en_US"/>
        </w:rPr>
      </w:r>
      <w:r>
        <w:rPr>
          <w:b/>
          <w:lang w:val="en_US" w:bidi="en_US"/>
        </w:rPr>
        <w:t>The Son of Man:</w:t>
      </w:r>
      <w:r>
        <w:rPr>
          <w:lang w:val="en_US" w:bidi="en_US"/>
        </w:rPr>
        <w:t xml:space="preserve"> Jesus often referred to himself as the </w:t>
      </w:r>
      <w:r>
        <w:rPr>
          <w:i/>
          <w:lang w:val="en_US" w:bidi="en_US"/>
        </w:rPr>
        <w:t>Son of Man</w:t>
      </w:r>
      <w:r>
        <w:rPr>
          <w:lang w:val="en_US" w:bidi="en_US"/>
        </w:rPr>
        <w:t>. In some languages it may be necessary to make it clear that Jesus was referring to himself:</w:t>
      </w:r>
    </w:p>
    <w:p>
      <w:pPr/>
      <w:r>
        <w:rPr>
          <w:lang w:val="en_US" w:bidi="en_US"/>
        </w:rPr>
      </w:r>
      <w:r>
        <w:rPr>
          <w:lang w:val="en_US" w:bidi="en_US"/>
        </w:rPr>
        <w:t>I,</w:t>
      </w:r>
      <w:r>
        <w:rPr>
          <w:lang w:val="en_US" w:bidi="en_US"/>
        </w:rPr>
        <w:t xml:space="preserve"> the Son of Man</w:t>
      </w:r>
    </w:p>
    <w:p>
      <w:pPr/>
      <w:r>
        <w:rPr>
          <w:lang w:val="en_US" w:bidi="en_US"/>
        </w:rPr>
      </w:r>
      <w:r>
        <w:rPr>
          <w:lang w:val="en_US" w:bidi="en_US"/>
        </w:rPr>
        <w:t xml:space="preserve">The phrase </w:t>
      </w:r>
      <w:r>
        <w:rPr>
          <w:i/>
          <w:lang w:val="en_US" w:bidi="en_US"/>
        </w:rPr>
        <w:t>Son of Man</w:t>
      </w:r>
      <w:r>
        <w:rPr>
          <w:lang w:val="en_US" w:bidi="en_US"/>
        </w:rPr>
        <w:t xml:space="preserve"> also occurs in 9:22a. See how you translated this title there.</w:t>
      </w:r>
    </w:p>
    <w:p>
      <w:pPr/>
      <w:r>
        <w:rPr>
          <w:lang w:val="en_US" w:bidi="en_US"/>
        </w:rPr>
      </w:r>
      <w:r>
        <w:rPr>
          <w:b/>
          <w:lang w:val="en_US" w:bidi="en_US"/>
        </w:rPr>
        <w:t>is about to be delivered:</w:t>
      </w:r>
      <w:r>
        <w:rPr>
          <w:lang w:val="en_US" w:bidi="en_US"/>
        </w:rPr>
        <w:t xml:space="preserve"> The Greek verb that the BSB translates as </w:t>
      </w:r>
      <w:r>
        <w:rPr>
          <w:i/>
          <w:lang w:val="en_US" w:bidi="en_US"/>
        </w:rPr>
        <w:t>is about to be delivered</w:t>
      </w:r>
      <w:r>
        <w:rPr>
          <w:lang w:val="en_US" w:bidi="en_US"/>
        </w:rPr>
        <w:t xml:space="preserve"> refers to something that would definitely happen in the near future. Some other ways to translate this are:</w:t>
      </w:r>
    </w:p>
    <w:p>
      <w:pPr/>
      <w:r>
        <w:rPr>
          <w:lang w:val="en_US" w:bidi="en_US"/>
        </w:rPr>
      </w:r>
      <w:r>
        <w:rPr>
          <w:lang w:val="en_US" w:bidi="en_US"/>
        </w:rPr>
        <w:t>will soon be betrayed</w:t>
      </w:r>
    </w:p>
    <w:p>
      <w:pPr/>
      <w:r>
        <w:rPr>
          <w:lang w:val="en_US" w:bidi="en_US"/>
        </w:rPr>
      </w:r>
      <w:r>
        <w:rPr>
          <w:lang w:val="en_US" w:bidi="en_US"/>
        </w:rPr>
        <w:t>is about to be handed over</w:t>
      </w:r>
    </w:p>
    <w:p>
      <w:pPr/>
      <w:r>
        <w:rPr>
          <w:lang w:val="en_US" w:bidi="en_US"/>
        </w:rPr>
      </w:r>
      <w:r>
        <w:rPr>
          <w:b/>
          <w:lang w:val="en_US" w:bidi="en_US"/>
        </w:rPr>
        <w:t>be delivered:</w:t>
      </w:r>
      <w:r>
        <w:rPr>
          <w:lang w:val="en_US" w:bidi="en_US"/>
        </w:rPr>
        <w:t xml:space="preserve"> In this context, the Greek word that the BSB translates as </w:t>
      </w:r>
      <w:r>
        <w:rPr>
          <w:i/>
          <w:lang w:val="en_US" w:bidi="en_US"/>
        </w:rPr>
        <w:t>delivered</w:t>
      </w:r>
      <w:r>
        <w:rPr>
          <w:lang w:val="en_US" w:bidi="en_US"/>
        </w:rPr>
        <w:t xml:space="preserve"> means “handed over to the power of someone else.” It often refers to a person being delivered to his enemies.</w:t>
      </w:r>
    </w:p>
    <w:p>
      <w:pPr/>
      <w:r>
        <w:rPr>
          <w:lang w:val="en_US" w:bidi="en_US"/>
        </w:rPr>
      </w:r>
      <w:r>
        <w:rPr>
          <w:lang w:val="en_US" w:bidi="en_US"/>
        </w:rPr>
        <w:t>This is a passive verb. The text does not specify who would betray Jesus. From later in Luke, it is clear that Judas would betray Jesus. This would fulfill God’s plan. However, you should not make either God or Judas explicit here. If you need to use an active verb, translate in a general way. For example:</w:t>
      </w:r>
    </w:p>
    <w:p>
      <w:pPr/>
      <w:r>
        <w:rPr>
          <w:lang w:val="en_US" w:bidi="en_US"/>
        </w:rPr>
      </w:r>
      <w:r>
        <w:rPr>
          <w:lang w:val="en_US" w:bidi="en_US"/>
        </w:rPr>
        <w:t>someone</w:t>
      </w:r>
      <w:r>
        <w:rPr>
          <w:lang w:val="en_US" w:bidi="en_US"/>
        </w:rPr>
        <w:t xml:space="preserve"> is going to betray</w:t>
      </w:r>
    </w:p>
    <w:p>
      <w:pPr/>
      <w:r>
        <w:rPr>
          <w:lang w:val="en_US" w:bidi="en_US"/>
        </w:rPr>
      </w:r>
      <w:r>
        <w:rPr>
          <w:b/>
          <w:lang w:val="en_US" w:bidi="en_US"/>
        </w:rPr>
        <w:t>into the hands of men:</w:t>
      </w:r>
      <w:r>
        <w:rPr>
          <w:lang w:val="en_US" w:bidi="en_US"/>
        </w:rPr>
        <w:t xml:space="preserve"> The phrase </w:t>
      </w:r>
      <w:r>
        <w:rPr>
          <w:i/>
          <w:lang w:val="en_US" w:bidi="en_US"/>
        </w:rPr>
        <w:t>into the hands of men</w:t>
      </w:r>
      <w:r>
        <w:rPr>
          <w:lang w:val="en_US" w:bidi="en_US"/>
        </w:rPr>
        <w:t xml:space="preserve"> is a figure of speech. It refers to people gaining power or control over someone. In this context, this expression refers to Jesus being under the power of people </w:t>
      </w:r>
      <w:r>
        <w:rPr>
          <w:u w:val="single"/>
          <w:lang w:val="en_US" w:bidi="en_US"/>
        </w:rPr>
        <w:t>who will harm him</w:t>
      </w:r>
      <w:r>
        <w:rPr>
          <w:lang w:val="en_US" w:bidi="en_US"/>
        </w:rPr>
        <w:t>. People who want to harm him will gain the power to do that. In some languages, this expression may already be implied in the verb “delivered.” If so, it does not need to be explicitly translated. For example:</w:t>
      </w:r>
    </w:p>
    <w:p>
      <w:pPr/>
      <w:r>
        <w:rPr>
          <w:lang w:val="en_US" w:bidi="en_US"/>
        </w:rPr>
      </w:r>
      <w:r>
        <w:rPr>
          <w:lang w:val="en_US" w:bidi="en_US"/>
        </w:rPr>
        <w:t>over to people (NCV)</w:t>
      </w:r>
    </w:p>
    <w:p>
      <w:pPr/>
      <w:r>
        <w:rPr>
          <w:lang w:val="en_US" w:bidi="en_US"/>
        </w:rPr>
      </w:r>
      <w:r>
        <w:rPr>
          <w:lang w:val="en_US" w:bidi="en_US"/>
        </w:rPr>
        <w:t>Do not translate this in a way that means people will protect him. In some languages it may be necessary to make it clear that these people wish to do him harm. For example:</w:t>
      </w:r>
    </w:p>
    <w:p>
      <w:pPr/>
      <w:r>
        <w:rPr>
          <w:lang w:val="en_US" w:bidi="en_US"/>
        </w:rPr>
      </w:r>
      <w:r>
        <w:rPr>
          <w:lang w:val="en_US" w:bidi="en_US"/>
        </w:rPr>
        <w:t>into the power of his/my enemies</w:t>
      </w:r>
      <w:r>
        <w:rPr>
          <w:lang w:val="en_US" w:bidi="en_US"/>
        </w:rPr>
      </w:r>
      <w:r>
        <w:rPr>
          <w:lang w:val="en_US" w:bidi="en_US"/>
        </w:rPr>
      </w:r>
    </w:p>
    <w:p>
      <w:pPr/>
      <w:r>
        <w:rPr>
          <w:lang w:val="en_US" w:bidi="en_US"/>
        </w:rPr>
      </w:r>
    </w:p>
    <w:p>
      <w:pPr>
        <w:pStyle w:val="Heading2"/>
      </w:pPr>
      <w:r>
        <w:rPr>
          <w:lang w:val="en_US" w:bidi="en_US"/>
        </w:rPr>
        <w:t>Luke 9:45</w:t>
      </w:r>
      <w:r>
        <w:rPr>
          <w:lang w:val="en_US" w:bidi="en_US"/>
        </w:rPr>
      </w:r>
    </w:p>
    <w:p>
      <w:pPr>
        <w:pStyle w:val="Heading4"/>
      </w:pPr>
      <w:r>
        <w:rPr>
          <w:lang w:val="en_US" w:bidi="en_US"/>
        </w:rPr>
        <w:t>Section 9:43b–45: Jesus predicted his death a second time</w:t>
      </w:r>
    </w:p>
    <w:p>
      <w:pPr/>
      <w:r>
        <w:rPr>
          <w:lang w:val="en_US" w:bidi="en_US"/>
        </w:rPr>
      </w:r>
      <w:r>
        <w:rPr>
          <w:lang w:val="en_US" w:bidi="en_US"/>
        </w:rPr>
        <w:t>In 9:22 Jesus told his disciples that his enemies would reject and kill him and that God would cause him to live again. Here in 9:43b–45, Jesus told his disciples the same thing again. But they still did not understand what he was talking about.</w:t>
      </w:r>
    </w:p>
    <w:p>
      <w:pPr/>
      <w:r>
        <w:rPr>
          <w:lang w:val="en_US" w:bidi="en_US"/>
        </w:rPr>
      </w:r>
      <w:r>
        <w:rPr>
          <w:lang w:val="en_US" w:bidi="en_US"/>
        </w:rPr>
        <w:t>Luke placed this section immediately after the healing of the boy with an unclean spirit (9:37–43a). He did this in order to contrast the people’s amazement at the wonderful things Jesus was doing with the future suffering that Jesus knew he must endure. However, this section does not occur immediately following the miracle in the preceding section. According to the parallel passage in Mark, Jesus and his disciples left on a trip through Galilee. It was on this trip that Jesus spoke to them the second time about his coming death.</w:t>
      </w:r>
    </w:p>
    <w:p>
      <w:pPr/>
      <w:r>
        <w:rPr>
          <w:lang w:val="en_US" w:bidi="en_US"/>
        </w:rPr>
      </w:r>
      <w:r>
        <w:rPr>
          <w:lang w:val="en_US" w:bidi="en_US"/>
        </w:rPr>
        <w:t>Other examples for this section heading are:</w:t>
      </w:r>
    </w:p>
    <w:p>
      <w:pPr/>
      <w:r>
        <w:rPr>
          <w:lang w:val="en_US" w:bidi="en_US"/>
        </w:rPr>
      </w:r>
      <w:r>
        <w:rPr>
          <w:lang w:val="en_US" w:bidi="en_US"/>
        </w:rPr>
        <w:t>Jesus again predicted that he would die and come back to life</w:t>
      </w:r>
    </w:p>
    <w:p>
      <w:pPr/>
      <w:r>
        <w:rPr>
          <w:lang w:val="en_US" w:bidi="en_US"/>
        </w:rPr>
      </w:r>
      <w:r>
        <w:rPr>
          <w:lang w:val="en_US" w:bidi="en_US"/>
        </w:rPr>
        <w:t>Death and resurrection foretold a second time</w:t>
      </w:r>
    </w:p>
    <w:p>
      <w:pPr/>
      <w:r>
        <w:rPr>
          <w:lang w:val="en_US" w:bidi="en_US"/>
        </w:rPr>
      </w:r>
      <w:r>
        <w:rPr>
          <w:lang w:val="en_US" w:bidi="en_US"/>
        </w:rPr>
        <w:t>Jesus again tells his disciples that he will be killed but then God will raise him from the dead</w:t>
      </w:r>
    </w:p>
    <w:p>
      <w:pPr/>
      <w:r>
        <w:rPr>
          <w:lang w:val="en_US" w:bidi="en_US"/>
        </w:rPr>
      </w:r>
      <w:r>
        <w:rPr>
          <w:lang w:val="en_US" w:bidi="en_US"/>
        </w:rPr>
        <w:t>There are parallel passages for this section in Matthew 17:22–23 and Mark 9:30–32.</w:t>
      </w:r>
    </w:p>
    <w:p>
      <w:pPr>
        <w:pStyle w:val="Heading5"/>
      </w:pPr>
      <w:r>
        <w:rPr>
          <w:lang w:val="en_US" w:bidi="en_US"/>
        </w:rPr>
        <w:t>9:45a–c</w:t>
      </w:r>
    </w:p>
    <w:p>
      <w:pPr/>
      <w:r>
        <w:rPr>
          <w:lang w:val="en_US" w:bidi="en_US"/>
        </w:rPr>
      </w:r>
      <w:r>
        <w:rPr>
          <w:lang w:val="en_US" w:bidi="en_US"/>
        </w:rPr>
        <w:t>The main idea in this verse is that the disciples did not understand Jesus’ words in 9:44b. This main idea is stated in 9:45a. It is then further explained in 9:45b–c. See the General Comment on 9:45a–c at the end of 9:45c for other ways to organize the ideas in this verse.</w:t>
      </w:r>
    </w:p>
    <w:p>
      <w:pPr>
        <w:pStyle w:val="Heading5"/>
      </w:pPr>
      <w:r>
        <w:rPr>
          <w:lang w:val="en_US" w:bidi="en_US"/>
        </w:rPr>
        <w:t>9:45a</w:t>
      </w:r>
    </w:p>
    <w:p>
      <w:pPr/>
      <w:r>
        <w:rPr>
          <w:lang w:val="en_US" w:bidi="en_US"/>
        </w:rPr>
      </w:r>
      <w:r>
        <w:rPr>
          <w:b/>
          <w:lang w:val="en_US" w:bidi="en_US"/>
        </w:rPr>
        <w:t>But they did not understand this statement.</w:t>
      </w:r>
    </w:p>
    <w:p>
      <w:pPr>
        <w:pStyle w:val="ListBullet"/>
        <w:spacing w:line="240" w:lineRule="auto"/>
        <w:ind w:left="720"/>
      </w:pPr>
      <w:r>
        <w:rPr>
          <w:lang w:val="en_US" w:bidi="en_US"/>
        </w:rPr>
      </w:r>
      <w:r>
        <w:rPr>
          <w:lang w:val="en_US" w:bidi="en_US"/>
        </w:rPr>
        <w:t xml:space="preserve">But </w:t>
      </w:r>
      <w:r>
        <w:rPr>
          <w:lang w:val="en_US" w:bidi="en_US"/>
        </w:rPr>
        <w:t>the disciples</w:t>
      </w:r>
      <w:r>
        <w:rPr>
          <w:lang w:val="en_US" w:bidi="en_US"/>
        </w:rPr>
        <w:t xml:space="preserve"> did not understand what </w:t>
      </w:r>
      <w:r>
        <w:rPr>
          <w:lang w:val="en_US" w:bidi="en_US"/>
        </w:rPr>
        <w:t>Jesus/he</w:t>
      </w:r>
      <w:r>
        <w:rPr>
          <w:lang w:val="en_US" w:bidi="en_US"/>
        </w:rPr>
        <w:t xml:space="preserve"> meant by this.</w:t>
      </w:r>
    </w:p>
    <w:p>
      <w:pPr>
        <w:pStyle w:val="ListBullet"/>
        <w:spacing w:line="240" w:lineRule="auto"/>
        <w:ind w:left="720"/>
      </w:pPr>
      <w:r>
        <w:rPr>
          <w:lang w:val="en_US" w:bidi="en_US"/>
        </w:rPr>
      </w:r>
      <w:r>
        <w:rPr>
          <w:lang w:val="en_US" w:bidi="en_US"/>
        </w:rPr>
        <w:t xml:space="preserve">But </w:t>
      </w:r>
      <w:r>
        <w:rPr>
          <w:lang w:val="en_US" w:bidi="en_US"/>
        </w:rPr>
        <w:t>his followers</w:t>
      </w:r>
      <w:r>
        <w:rPr>
          <w:lang w:val="en_US" w:bidi="en_US"/>
        </w:rPr>
        <w:t xml:space="preserve"> did not know what </w:t>
      </w:r>
      <w:r>
        <w:rPr>
          <w:lang w:val="en_US" w:bidi="en_US"/>
        </w:rPr>
        <w:t>Jesus/he</w:t>
      </w:r>
      <w:r>
        <w:rPr>
          <w:lang w:val="en_US" w:bidi="en_US"/>
        </w:rPr>
        <w:t xml:space="preserve"> was talking about.</w:t>
      </w:r>
    </w:p>
    <w:p>
      <w:pPr/>
      <w:r>
        <w:rPr>
          <w:lang w:val="en_US" w:bidi="en_US"/>
        </w:rPr>
      </w:r>
      <w:r>
        <w:rPr>
          <w:b/>
          <w:lang w:val="en_US" w:bidi="en_US"/>
        </w:rPr>
        <w:t>But they did not understand this statement:</w:t>
      </w:r>
      <w:r>
        <w:rPr>
          <w:lang w:val="en_US" w:bidi="en_US"/>
        </w:rPr>
        <w:t xml:space="preserve"> This clause indicates that the disciples did not understand what Jesus meant by the statement in 9:44. Connect 9:44 and 9:45 in a natural way in your language. Be sure that people understand that the pronoun </w:t>
      </w:r>
      <w:r>
        <w:rPr>
          <w:i/>
          <w:lang w:val="en_US" w:bidi="en_US"/>
        </w:rPr>
        <w:t>they</w:t>
      </w:r>
      <w:r>
        <w:rPr>
          <w:lang w:val="en_US" w:bidi="en_US"/>
        </w:rPr>
        <w:t xml:space="preserve"> refers to the disciples, not to the people who would gain power over Jesus (9:44b). For example:</w:t>
      </w:r>
    </w:p>
    <w:p>
      <w:pPr/>
      <w:r>
        <w:rPr>
          <w:lang w:val="en_US" w:bidi="en_US"/>
        </w:rPr>
      </w:r>
      <w:r>
        <w:rPr>
          <w:lang w:val="en_US" w:bidi="en_US"/>
        </w:rPr>
        <w:t>But the disciples did not know what this meant. (GNT)</w:t>
      </w:r>
    </w:p>
    <w:p>
      <w:pPr/>
      <w:r>
        <w:rPr>
          <w:lang w:val="en_US" w:bidi="en_US"/>
        </w:rPr>
      </w:r>
      <w:r>
        <w:rPr>
          <w:b/>
          <w:lang w:val="en_US" w:bidi="en_US"/>
        </w:rPr>
        <w:t>this statement:</w:t>
      </w:r>
      <w:r>
        <w:rPr>
          <w:lang w:val="en_US" w:bidi="en_US"/>
        </w:rPr>
        <w:t xml:space="preserve"> The phrase </w:t>
      </w:r>
      <w:r>
        <w:rPr>
          <w:i/>
          <w:lang w:val="en_US" w:bidi="en_US"/>
        </w:rPr>
        <w:t>this statement</w:t>
      </w:r>
      <w:r>
        <w:rPr>
          <w:lang w:val="en_US" w:bidi="en_US"/>
        </w:rPr>
        <w:t>, literally “this word,” refers back to Jesus’ statement that he would be betrayed into the hands of men. Another way to translate this phrase is:</w:t>
      </w:r>
    </w:p>
    <w:p>
      <w:pPr/>
      <w:r>
        <w:rPr>
          <w:lang w:val="en_US" w:bidi="en_US"/>
        </w:rPr>
      </w:r>
      <w:r>
        <w:rPr>
          <w:lang w:val="en_US" w:bidi="en_US"/>
        </w:rPr>
        <w:t>what Jesus meant by this prediction/statement</w:t>
      </w:r>
    </w:p>
    <w:p>
      <w:pPr>
        <w:pStyle w:val="Heading5"/>
      </w:pPr>
      <w:r>
        <w:rPr>
          <w:lang w:val="en_US" w:bidi="en_US"/>
        </w:rPr>
        <w:t>9:45b</w:t>
      </w:r>
    </w:p>
    <w:p>
      <w:pPr/>
      <w:r>
        <w:rPr>
          <w:lang w:val="en_US" w:bidi="en_US"/>
        </w:rPr>
      </w:r>
      <w:r>
        <w:rPr>
          <w:b/>
          <w:lang w:val="en_US" w:bidi="en_US"/>
        </w:rPr>
        <w:t>It was veiled from them so that they could not comprehend it,</w:t>
      </w:r>
    </w:p>
    <w:p>
      <w:pPr>
        <w:pStyle w:val="ListBullet"/>
        <w:spacing w:line="240" w:lineRule="auto"/>
        <w:ind w:left="720"/>
      </w:pPr>
      <w:r>
        <w:rPr>
          <w:lang w:val="en_US" w:bidi="en_US"/>
        </w:rPr>
      </w:r>
      <w:r>
        <w:rPr>
          <w:lang w:val="en_US" w:bidi="en_US"/>
        </w:rPr>
        <w:t xml:space="preserve">The meaning was concealed/kept from them, so they could not understand </w:t>
      </w:r>
      <w:r>
        <w:rPr>
          <w:lang w:val="en_US" w:bidi="en_US"/>
        </w:rPr>
        <w:t>the significance of his words</w:t>
      </w:r>
      <w:r>
        <w:rPr>
          <w:lang w:val="en_US" w:bidi="en_US"/>
        </w:rPr>
        <w:t>.</w:t>
      </w:r>
    </w:p>
    <w:p>
      <w:pPr>
        <w:pStyle w:val="ListBullet"/>
        <w:spacing w:line="240" w:lineRule="auto"/>
        <w:ind w:left="720"/>
      </w:pPr>
      <w:r>
        <w:rPr>
          <w:lang w:val="en_US" w:bidi="en_US"/>
        </w:rPr>
      </w:r>
      <w:r>
        <w:rPr>
          <w:lang w:val="en_US" w:bidi="en_US"/>
        </w:rPr>
        <w:t>Something</w:t>
      </w:r>
      <w:r>
        <w:rPr>
          <w:lang w:val="en_US" w:bidi="en_US"/>
        </w:rPr>
        <w:t xml:space="preserve"> prevented them from knowing/understanding </w:t>
      </w:r>
      <w:r>
        <w:rPr>
          <w:lang w:val="en_US" w:bidi="en_US"/>
        </w:rPr>
        <w:t>what Jesus meant</w:t>
      </w:r>
      <w:r>
        <w:rPr>
          <w:lang w:val="en_US" w:bidi="en_US"/>
        </w:rPr>
        <w:t>.</w:t>
      </w:r>
    </w:p>
    <w:p>
      <w:pPr/>
      <w:r>
        <w:rPr>
          <w:lang w:val="en_US" w:bidi="en_US"/>
        </w:rPr>
      </w:r>
      <w:r>
        <w:rPr>
          <w:lang w:val="en_US" w:bidi="en_US"/>
        </w:rPr>
        <w:t>In Greek 9:45b begins with a conjunction that many English versions translate as “and.” The BSB does not translate this word. Logically it introduces a reason why the disciples did not understand. Another way to introduce this reason is:</w:t>
      </w:r>
    </w:p>
    <w:p>
      <w:pPr/>
      <w:r>
        <w:rPr>
          <w:lang w:val="en_US" w:bidi="en_US"/>
        </w:rPr>
      </w:r>
      <w:r>
        <w:rPr>
          <w:u w:val="single"/>
          <w:lang w:val="en_US" w:bidi="en_US"/>
        </w:rPr>
        <w:t>because</w:t>
      </w:r>
      <w:r>
        <w:rPr>
          <w:lang w:val="en_US" w:bidi="en_US"/>
        </w:rPr>
        <w:t xml:space="preserve"> it was hidden from them</w:t>
      </w:r>
    </w:p>
    <w:p>
      <w:pPr/>
      <w:r>
        <w:rPr>
          <w:lang w:val="en_US" w:bidi="en_US"/>
        </w:rPr>
      </w:r>
      <w:r>
        <w:rPr>
          <w:b/>
          <w:lang w:val="en_US" w:bidi="en_US"/>
        </w:rPr>
        <w:t>It was veiled from them:</w:t>
      </w:r>
      <w:r>
        <w:rPr>
          <w:lang w:val="en_US" w:bidi="en_US"/>
        </w:rPr>
        <w:t xml:space="preserve"> The Greek verb that the BSB translates as </w:t>
      </w:r>
      <w:r>
        <w:rPr>
          <w:i/>
          <w:lang w:val="en_US" w:bidi="en_US"/>
        </w:rPr>
        <w:t>was veiled</w:t>
      </w:r>
      <w:r>
        <w:rPr>
          <w:lang w:val="en_US" w:bidi="en_US"/>
        </w:rPr>
        <w:t xml:space="preserve"> is a passive verb. It means that someone or something had prevented the disciples from understanding what Jesus meant. Scholars disagree about whether God, the disciples’ own thoughts, or Satan might be implied as the subject.</w:t>
      </w:r>
      <w:r>
        <w:rPr>
          <w:lang w:val="en_US" w:bidi="en_US"/>
        </w:rPr>
        <w:t>Scholars who support the interpretation that God hid it from them include: Fitzmyer, Alford, Godet, Hendriksen, Plummer, Caird, Meyer, Geldenhuys, Marshall, Bratcher, and TH. Scholars who support the interpretation that the disciples’ incorrect ideas caused them not to understand include: Lenski, Stein, Green, and Summers. Scholars who support the interpretation that the devil or other evil forces kept them from understanding include Morris and Nolland.</w:t>
      </w:r>
      <w:r>
        <w:rPr>
          <w:lang w:val="en_US" w:bidi="en_US"/>
        </w:rPr>
        <w:t xml:space="preserve"> All English versions use passive verbs and so are ambiguous.</w:t>
      </w:r>
    </w:p>
    <w:p>
      <w:pPr/>
      <w:r>
        <w:rPr>
          <w:lang w:val="en_US" w:bidi="en_US"/>
        </w:rPr>
      </w:r>
      <w:r>
        <w:rPr>
          <w:lang w:val="en_US" w:bidi="en_US"/>
        </w:rPr>
        <w:t>Some ways to translate this verb are:</w:t>
      </w:r>
    </w:p>
    <w:p>
      <w:pPr>
        <w:pStyle w:val="ListBullet"/>
        <w:spacing w:line="240" w:lineRule="auto"/>
        <w:ind w:left="720"/>
      </w:pPr>
      <w:r>
        <w:rPr>
          <w:lang w:val="en_US" w:bidi="en_US"/>
        </w:rPr>
      </w:r>
      <w:r>
        <w:rPr>
          <w:lang w:val="en_US" w:bidi="en_US"/>
        </w:rPr>
        <w:t>As a passive verb. For example:</w:t>
      </w:r>
      <w:r>
        <w:rPr>
          <w:lang w:val="en_US" w:bidi="en_US"/>
        </w:rPr>
        <w:t>The meaning was hidden from them. (CEV)</w:t>
      </w:r>
      <w:r>
        <w:rPr>
          <w:lang w:val="en_US" w:bidi="en_US"/>
        </w:rPr>
        <w:t>They were prevented from understanding its meaning.</w:t>
      </w:r>
    </w:p>
    <w:p>
      <w:pPr>
        <w:pStyle w:val="ListBullet"/>
        <w:spacing w:line="240" w:lineRule="auto"/>
        <w:ind w:left="720"/>
      </w:pPr>
      <w:r>
        <w:rPr>
          <w:lang w:val="en_US" w:bidi="en_US"/>
        </w:rPr>
      </w:r>
      <w:r>
        <w:rPr>
          <w:lang w:val="en_US" w:bidi="en_US"/>
        </w:rPr>
        <w:t>As an active verb. Try to use a subject with a general meaning. For example:</w:t>
      </w:r>
      <w:r>
        <w:rPr>
          <w:lang w:val="en_US" w:bidi="en_US"/>
        </w:rPr>
        <w:t>Something</w:t>
      </w:r>
      <w:r>
        <w:rPr>
          <w:lang w:val="en_US" w:bidi="en_US"/>
        </w:rPr>
        <w:t xml:space="preserve"> had kept them from understanding the meaning.</w:t>
      </w:r>
    </w:p>
    <w:p>
      <w:pPr/>
      <w:r>
        <w:rPr>
          <w:lang w:val="en_US" w:bidi="en_US"/>
        </w:rPr>
      </w:r>
      <w:r>
        <w:rPr>
          <w:lang w:val="en_US" w:bidi="en_US"/>
        </w:rPr>
        <w:t>Translate this in the way that is most natural in your language.</w:t>
      </w:r>
    </w:p>
    <w:p>
      <w:pPr/>
      <w:r>
        <w:rPr>
          <w:lang w:val="en_US" w:bidi="en_US"/>
        </w:rPr>
      </w:r>
      <w:r>
        <w:rPr>
          <w:b/>
          <w:lang w:val="en_US" w:bidi="en_US"/>
        </w:rPr>
        <w:t>so that they could not comprehend it:</w:t>
      </w:r>
      <w:r>
        <w:rPr>
          <w:lang w:val="en_US" w:bidi="en_US"/>
        </w:rPr>
        <w:t xml:space="preserve"> There are two ways to interpret the Greek clause that the BSB translates as </w:t>
      </w:r>
      <w:r>
        <w:rPr>
          <w:i/>
          <w:lang w:val="en_US" w:bidi="en_US"/>
        </w:rPr>
        <w:t>so that they could not comprehend it</w:t>
      </w:r>
      <w:r>
        <w:rPr>
          <w:lang w:val="en_US" w:bidi="en_US"/>
        </w:rPr>
        <w:t>:</w:t>
      </w:r>
    </w:p>
    <w:p>
      <w:pPr>
        <w:pStyle w:val="ListNumber"/>
        <w:numPr>
          <w:ilvl w:val="0"/>
          <w:numId w:val="201"/>
        </w:numPr>
        <w:spacing w:line="240" w:lineRule="auto"/>
        <w:ind w:left="720"/>
      </w:pPr>
      <w:r>
        <w:rPr>
          <w:lang w:val="en_US" w:bidi="en_US"/>
        </w:rPr>
      </w:r>
      <w:r>
        <w:rPr>
          <w:lang w:val="en_US" w:bidi="en_US"/>
        </w:rPr>
        <w:t xml:space="preserve">It is a </w:t>
      </w:r>
      <w:r>
        <w:rPr>
          <w:u w:val="single"/>
          <w:lang w:val="en_US" w:bidi="en_US"/>
        </w:rPr>
        <w:t>result clause</w:t>
      </w:r>
      <w:r>
        <w:rPr>
          <w:lang w:val="en_US" w:bidi="en_US"/>
        </w:rPr>
        <w:t>. The meaning of Jesus’ words was hidden from the disciples, with the result that they could not understand it. For example:</w:t>
      </w:r>
      <w:r>
        <w:rPr>
          <w:lang w:val="en_US" w:bidi="en_US"/>
        </w:rPr>
        <w:t xml:space="preserve">Its significance was hidden from them, so they couldn’t understand it. (NLT) </w:t>
      </w:r>
      <w:r>
        <w:rPr>
          <w:i/>
          <w:lang w:val="en_US" w:bidi="en_US"/>
        </w:rPr>
        <w:t>(NIV, NLT)</w:t>
      </w:r>
    </w:p>
    <w:p>
      <w:pPr>
        <w:pStyle w:val="ListNumber"/>
        <w:spacing w:line="240" w:lineRule="auto"/>
        <w:ind w:left="720"/>
      </w:pPr>
      <w:r>
        <w:rPr>
          <w:lang w:val="en_US" w:bidi="en_US"/>
        </w:rPr>
      </w:r>
      <w:r>
        <w:rPr>
          <w:lang w:val="en_US" w:bidi="en_US"/>
        </w:rPr>
        <w:t xml:space="preserve">It is a </w:t>
      </w:r>
      <w:r>
        <w:rPr>
          <w:u w:val="single"/>
          <w:lang w:val="en_US" w:bidi="en_US"/>
        </w:rPr>
        <w:t>purpose clause</w:t>
      </w:r>
      <w:r>
        <w:rPr>
          <w:lang w:val="en_US" w:bidi="en_US"/>
        </w:rPr>
        <w:t>. God or Satan hid the meaning of Jesus’ words from the disciples in order that they would not be able to understand it. For example:</w:t>
      </w:r>
      <w:r>
        <w:rPr>
          <w:lang w:val="en_US" w:bidi="en_US"/>
        </w:rPr>
        <w:t xml:space="preserve">it was hidden from them that they should not perceive it (RSV) </w:t>
      </w:r>
      <w:r>
        <w:rPr>
          <w:i/>
          <w:lang w:val="en_US" w:bidi="en_US"/>
        </w:rPr>
        <w:t>(BSB, NASB, RSV, NJB)</w:t>
      </w:r>
    </w:p>
    <w:p>
      <w:pPr/>
      <w:r>
        <w:rPr>
          <w:lang w:val="en_US" w:bidi="en_US"/>
        </w:rPr>
      </w:r>
      <w:r>
        <w:rPr>
          <w:lang w:val="en_US" w:bidi="en_US"/>
        </w:rPr>
        <w:t xml:space="preserve">Both interpretations are well supported by scholars, and both fit the context. If you must choose between them, it is recommended that you follow interpretation (1). This interpretation fits with any of the possible agents of </w:t>
      </w:r>
      <w:r>
        <w:rPr>
          <w:i/>
          <w:lang w:val="en_US" w:bidi="en_US"/>
        </w:rPr>
        <w:t>veiled</w:t>
      </w:r>
      <w:r>
        <w:rPr>
          <w:lang w:val="en_US" w:bidi="en_US"/>
        </w:rPr>
        <w:t xml:space="preserve"> in the preceding clause.</w:t>
      </w:r>
    </w:p>
    <w:p>
      <w:pPr>
        <w:pStyle w:val="Heading5"/>
      </w:pPr>
      <w:r>
        <w:rPr>
          <w:lang w:val="en_US" w:bidi="en_US"/>
        </w:rPr>
        <w:t>9:45c</w:t>
      </w:r>
    </w:p>
    <w:p>
      <w:pPr/>
      <w:r>
        <w:rPr>
          <w:lang w:val="en_US" w:bidi="en_US"/>
        </w:rPr>
      </w:r>
      <w:r>
        <w:rPr>
          <w:b/>
          <w:lang w:val="en_US" w:bidi="en_US"/>
        </w:rPr>
        <w:t>and they were afraid to ask Him about it.</w:t>
      </w:r>
    </w:p>
    <w:p>
      <w:pPr>
        <w:pStyle w:val="ListBullet"/>
        <w:spacing w:line="240" w:lineRule="auto"/>
        <w:ind w:left="720"/>
      </w:pPr>
      <w:r>
        <w:rPr>
          <w:lang w:val="en_US" w:bidi="en_US"/>
        </w:rPr>
      </w:r>
      <w:r>
        <w:rPr>
          <w:lang w:val="en_US" w:bidi="en_US"/>
        </w:rPr>
        <w:t>And they were afraid to ask Jesus to explain it.</w:t>
      </w:r>
    </w:p>
    <w:p>
      <w:pPr>
        <w:pStyle w:val="ListBullet"/>
        <w:spacing w:line="240" w:lineRule="auto"/>
        <w:ind w:left="720"/>
      </w:pPr>
      <w:r>
        <w:rPr>
          <w:lang w:val="en_US" w:bidi="en_US"/>
        </w:rPr>
      </w:r>
      <w:r>
        <w:rPr>
          <w:lang w:val="en_US" w:bidi="en_US"/>
        </w:rPr>
        <w:t>Besides, they lacked the courage to ask him.</w:t>
      </w:r>
    </w:p>
    <w:p>
      <w:pPr/>
      <w:r>
        <w:rPr>
          <w:lang w:val="en_US" w:bidi="en_US"/>
        </w:rPr>
      </w:r>
      <w:r>
        <w:rPr>
          <w:b/>
          <w:lang w:val="en_US" w:bidi="en_US"/>
        </w:rPr>
        <w:t>and they were afraid to ask Him about it:</w:t>
      </w:r>
      <w:r>
        <w:rPr>
          <w:lang w:val="en_US" w:bidi="en_US"/>
        </w:rPr>
        <w:t xml:space="preserve"> This clause indicates that the disciples were afraid to ask Jesus what his words in 9:44b meant. In some languages it may be more natural to change this clause to a direct quote. For example:</w:t>
      </w:r>
    </w:p>
    <w:p>
      <w:pPr/>
      <w:r>
        <w:rPr>
          <w:lang w:val="en_US" w:bidi="en_US"/>
        </w:rPr>
      </w:r>
      <w:r>
        <w:rPr>
          <w:lang w:val="en_US" w:bidi="en_US"/>
        </w:rPr>
        <w:t>and they were afraid to ask, “</w:t>
      </w:r>
      <w:r>
        <w:rPr>
          <w:u w:val="single"/>
          <w:lang w:val="en_US" w:bidi="en_US"/>
        </w:rPr>
        <w:t>What do You mean</w:t>
      </w:r>
      <w:r>
        <w:rPr>
          <w:lang w:val="en_US" w:bidi="en_US"/>
        </w:rPr>
        <w:t>?”</w:t>
      </w:r>
    </w:p>
    <w:p>
      <w:pPr/>
      <w:r>
        <w:rPr>
          <w:lang w:val="en_US" w:bidi="en_US"/>
        </w:rPr>
      </w:r>
      <w:r>
        <w:rPr>
          <w:b/>
          <w:lang w:val="en_US" w:bidi="en_US"/>
        </w:rPr>
        <w:t>they were afraid:</w:t>
      </w:r>
      <w:r>
        <w:rPr>
          <w:lang w:val="en_US" w:bidi="en_US"/>
        </w:rPr>
        <w:t xml:space="preserve"> Another way to translate the phrase </w:t>
      </w:r>
      <w:r>
        <w:rPr>
          <w:i/>
          <w:lang w:val="en_US" w:bidi="en_US"/>
        </w:rPr>
        <w:t>they were afraid</w:t>
      </w:r>
      <w:r>
        <w:rPr>
          <w:lang w:val="en_US" w:bidi="en_US"/>
        </w:rPr>
        <w:t xml:space="preserve"> is:</w:t>
      </w:r>
    </w:p>
    <w:p>
      <w:pPr/>
      <w:r>
        <w:rPr>
          <w:lang w:val="en_US" w:bidi="en_US"/>
        </w:rPr>
      </w:r>
      <w:r>
        <w:rPr>
          <w:lang w:val="en_US" w:bidi="en_US"/>
        </w:rPr>
        <w:t>they did not have the courage (TRT)</w:t>
      </w:r>
    </w:p>
    <w:p>
      <w:pPr>
        <w:pStyle w:val="Heading6"/>
      </w:pPr>
      <w:r>
        <w:rPr>
          <w:b/>
          <w:lang w:val="en_US" w:bidi="en_US"/>
        </w:rPr>
        <w:t>General Comment on 9:45a–c</w:t>
      </w:r>
    </w:p>
    <w:p>
      <w:pPr/>
      <w:r>
        <w:rPr>
          <w:lang w:val="en_US" w:bidi="en_US"/>
        </w:rPr>
      </w:r>
      <w:r>
        <w:rPr>
          <w:lang w:val="en_US" w:bidi="en_US"/>
        </w:rPr>
        <w:t>The clauses “they did not understand this statement” in 9:45a and “they did could not comprehend it” in 9:45b have essentially the same meaning. In some languages it may sound redundant to use two similar statements like this. If that is true in your language, you may need to phrase the statements in a different way. For example:</w:t>
      </w:r>
    </w:p>
    <w:p>
      <w:pPr/>
      <w:r>
        <w:rPr>
          <w:lang w:val="en_US" w:bidi="en_US"/>
        </w:rPr>
      </w:r>
      <w:r>
        <w:rPr>
          <w:lang w:val="en_US" w:bidi="en_US"/>
        </w:rPr>
        <w:t>But the disciples did not know what Jesus meant by this. They were prevented from understanding it, and they were afraid to ask him.</w:t>
      </w:r>
      <w:r>
        <w:rPr>
          <w:lang w:val="en_US" w:bidi="en_US"/>
        </w:rPr>
      </w:r>
      <w:r>
        <w:rPr>
          <w:lang w:val="en_US" w:bidi="en_US"/>
        </w:rPr>
      </w:r>
    </w:p>
    <w:p>
      <w:pPr/>
      <w:r>
        <w:rPr>
          <w:lang w:val="en_US" w:bidi="en_US"/>
        </w:rPr>
      </w:r>
    </w:p>
    <w:p>
      <w:pPr>
        <w:pStyle w:val="Heading2"/>
      </w:pPr>
      <w:r>
        <w:rPr>
          <w:lang w:val="en_US" w:bidi="en_US"/>
        </w:rPr>
        <w:t>Luke 9:46</w:t>
      </w:r>
      <w:r>
        <w:rPr>
          <w:lang w:val="en_US" w:bidi="en_US"/>
        </w:rPr>
      </w:r>
    </w:p>
    <w:p>
      <w:pPr>
        <w:pStyle w:val="Heading4"/>
      </w:pPr>
      <w:r>
        <w:rPr>
          <w:lang w:val="en_US" w:bidi="en_US"/>
        </w:rPr>
        <w:t>Section 9:46–48: Jesus told his disciples that they must be humble</w:t>
      </w:r>
    </w:p>
    <w:p>
      <w:pPr/>
      <w:r>
        <w:rPr>
          <w:lang w:val="en_US" w:bidi="en_US"/>
        </w:rPr>
      </w:r>
      <w:r>
        <w:rPr>
          <w:lang w:val="en_US" w:bidi="en_US"/>
        </w:rPr>
        <w:t>In Section 9:28–36, the disciples saw Jesus’ glory on the Mount of Transfiguration. In Section 9:37–43a, they saw further evidence of his power when he cast out the demon from the boy (9:37–43a). In the previous Section 9:43b–45, Jesus told his disciples that he would soon be handed over to his enemies. However, his disciples did not understand what would happen. In this Section 9:46–48, Luke showed the contrast between Jesus predicting his approaching death and the disciples being preoccupied over which of them was the greatest. In response to the disciples’ attitude, Jesus showed that being truly humble was the way to be great in God’s opinion.</w:t>
      </w:r>
    </w:p>
    <w:p>
      <w:pPr/>
      <w:r>
        <w:rPr>
          <w:lang w:val="en_US" w:bidi="en_US"/>
        </w:rPr>
      </w:r>
      <w:r>
        <w:rPr>
          <w:lang w:val="en_US" w:bidi="en_US"/>
        </w:rPr>
        <w:t>Some other examples of headings for this section are:</w:t>
      </w:r>
    </w:p>
    <w:p>
      <w:pPr/>
      <w:r>
        <w:rPr>
          <w:lang w:val="en_US" w:bidi="en_US"/>
        </w:rPr>
      </w:r>
      <w:r>
        <w:rPr>
          <w:lang w:val="en_US" w:bidi="en_US"/>
        </w:rPr>
        <w:t>Greatness in the Kingdom (GW)</w:t>
      </w:r>
    </w:p>
    <w:p>
      <w:pPr/>
      <w:r>
        <w:rPr>
          <w:lang w:val="en_US" w:bidi="en_US"/>
        </w:rPr>
      </w:r>
      <w:r>
        <w:rPr>
          <w:lang w:val="en_US" w:bidi="en_US"/>
        </w:rPr>
        <w:t>Who Is the Greatest? (NCV)</w:t>
      </w:r>
    </w:p>
    <w:p>
      <w:pPr/>
      <w:r>
        <w:rPr>
          <w:lang w:val="en_US" w:bidi="en_US"/>
        </w:rPr>
      </w:r>
      <w:r>
        <w:rPr>
          <w:lang w:val="en_US" w:bidi="en_US"/>
        </w:rPr>
        <w:t>There are parallel passages for this section in Matthew 18:1–5 and Mark 9:33–37.</w:t>
      </w:r>
    </w:p>
    <w:p>
      <w:pPr/>
      <w:r>
        <w:rPr>
          <w:lang w:val="en_US" w:bidi="en_US"/>
        </w:rPr>
      </w:r>
    </w:p>
    <w:p>
      <w:pPr>
        <w:pStyle w:val="Heading5"/>
      </w:pPr>
      <w:r>
        <w:rPr>
          <w:lang w:val="en_US" w:bidi="en_US"/>
        </w:rPr>
        <w:t>9:46a</w:t>
      </w:r>
    </w:p>
    <w:p>
      <w:pPr/>
      <w:r>
        <w:rPr>
          <w:lang w:val="en_US" w:bidi="en_US"/>
        </w:rPr>
      </w:r>
      <w:r>
        <w:rPr>
          <w:b/>
          <w:lang w:val="en_US" w:bidi="en_US"/>
        </w:rPr>
        <w:t>Then an argument started among the disciples</w:t>
      </w:r>
    </w:p>
    <w:p>
      <w:pPr>
        <w:pStyle w:val="ListBullet"/>
        <w:spacing w:line="240" w:lineRule="auto"/>
        <w:ind w:left="720"/>
      </w:pPr>
      <w:r>
        <w:rPr>
          <w:lang w:val="en_US" w:bidi="en_US"/>
        </w:rPr>
      </w:r>
      <w:r>
        <w:rPr>
          <w:lang w:val="en_US" w:bidi="en_US"/>
        </w:rPr>
        <w:t>¶ The disciples began arguing with one another</w:t>
      </w:r>
    </w:p>
    <w:p>
      <w:pPr/>
      <w:r>
        <w:rPr>
          <w:lang w:val="en_US" w:bidi="en_US"/>
        </w:rPr>
      </w:r>
      <w:r>
        <w:rPr>
          <w:lang w:val="en_US" w:bidi="en_US"/>
        </w:rPr>
        <w:t>Luke did not make explicit where or when the event in this section occurred. According to the parallel passage in Mark, it happened while Jesus and his disciples were traveling to Capernaum. Introduce this event in an appropriate way in your language.</w:t>
      </w:r>
    </w:p>
    <w:p>
      <w:pPr/>
      <w:r>
        <w:rPr>
          <w:lang w:val="en_US" w:bidi="en_US"/>
        </w:rPr>
      </w:r>
      <w:r>
        <w:rPr>
          <w:b/>
          <w:lang w:val="en_US" w:bidi="en_US"/>
        </w:rPr>
        <w:t>Then:</w:t>
      </w:r>
      <w:r>
        <w:rPr>
          <w:lang w:val="en_US" w:bidi="en_US"/>
        </w:rPr>
        <w:t xml:space="preserve"> This verse begins with a Greek conjunction. The BSB translates it as </w:t>
      </w:r>
      <w:r>
        <w:rPr>
          <w:i/>
          <w:lang w:val="en_US" w:bidi="en_US"/>
        </w:rPr>
        <w:t>Then</w:t>
      </w:r>
      <w:r>
        <w:rPr>
          <w:lang w:val="en_US" w:bidi="en_US"/>
        </w:rPr>
        <w:t>, as do some other versions (KJV, NLT), in order to show that it introduces the next event in the story. Some other versions translate this conjunction as “And” (RSV) or “Now” (NASB, NET), while still others do not translate it (CEV, ESV, NIV, NRSV). Introduce this new event in a natural way in your language.</w:t>
      </w:r>
    </w:p>
    <w:p>
      <w:pPr/>
      <w:r>
        <w:rPr>
          <w:lang w:val="en_US" w:bidi="en_US"/>
        </w:rPr>
      </w:r>
      <w:r>
        <w:rPr>
          <w:b/>
          <w:lang w:val="en_US" w:bidi="en_US"/>
        </w:rPr>
        <w:t>an argument started among the disciples:</w:t>
      </w:r>
      <w:r>
        <w:rPr>
          <w:lang w:val="en_US" w:bidi="en_US"/>
        </w:rPr>
        <w:t xml:space="preserve"> The clause </w:t>
      </w:r>
      <w:r>
        <w:rPr>
          <w:i/>
          <w:lang w:val="en_US" w:bidi="en_US"/>
        </w:rPr>
        <w:t>an argument started among the disciples</w:t>
      </w:r>
      <w:r>
        <w:rPr>
          <w:lang w:val="en_US" w:bidi="en_US"/>
        </w:rPr>
        <w:t xml:space="preserve"> means that the disciples started to argue with each other. Another way to translate this is:</w:t>
      </w:r>
    </w:p>
    <w:p>
      <w:pPr/>
      <w:r>
        <w:rPr>
          <w:lang w:val="en_US" w:bidi="en_US"/>
        </w:rPr>
      </w:r>
      <w:r>
        <w:rPr>
          <w:lang w:val="en_US" w:bidi="en_US"/>
        </w:rPr>
        <w:t>his disciples began arguing (NLT)</w:t>
      </w:r>
    </w:p>
    <w:p>
      <w:pPr>
        <w:pStyle w:val="Heading5"/>
      </w:pPr>
      <w:r>
        <w:rPr>
          <w:lang w:val="en_US" w:bidi="en_US"/>
        </w:rPr>
        <w:t>9:46b</w:t>
      </w:r>
    </w:p>
    <w:p>
      <w:pPr/>
      <w:r>
        <w:rPr>
          <w:lang w:val="en_US" w:bidi="en_US"/>
        </w:rPr>
      </w:r>
      <w:r>
        <w:rPr>
          <w:b/>
          <w:lang w:val="en_US" w:bidi="en_US"/>
        </w:rPr>
        <w:t>as to which of them would be the greatest.</w:t>
      </w:r>
    </w:p>
    <w:p>
      <w:pPr>
        <w:pStyle w:val="ListBullet"/>
        <w:spacing w:line="240" w:lineRule="auto"/>
        <w:ind w:left="720"/>
      </w:pPr>
      <w:r>
        <w:rPr>
          <w:lang w:val="en_US" w:bidi="en_US"/>
        </w:rPr>
      </w:r>
      <w:r>
        <w:rPr>
          <w:lang w:val="en_US" w:bidi="en_US"/>
        </w:rPr>
        <w:t>about who among them was the most important.</w:t>
      </w:r>
    </w:p>
    <w:p>
      <w:pPr>
        <w:pStyle w:val="ListBullet"/>
        <w:spacing w:line="240" w:lineRule="auto"/>
        <w:ind w:left="720"/>
      </w:pPr>
      <w:r>
        <w:rPr>
          <w:lang w:val="en_US" w:bidi="en_US"/>
        </w:rPr>
      </w:r>
      <w:r>
        <w:rPr>
          <w:lang w:val="en_US" w:bidi="en_US"/>
        </w:rPr>
        <w:t xml:space="preserve">about which of them was the greatest/highest </w:t>
      </w:r>
      <w:r>
        <w:rPr>
          <w:lang w:val="en_US" w:bidi="en_US"/>
        </w:rPr>
        <w:t>in rank/status</w:t>
      </w:r>
      <w:r>
        <w:rPr>
          <w:lang w:val="en_US" w:bidi="en_US"/>
        </w:rPr>
        <w:t>.</w:t>
      </w:r>
    </w:p>
    <w:p>
      <w:pPr/>
      <w:r>
        <w:rPr>
          <w:lang w:val="en_US" w:bidi="en_US"/>
        </w:rPr>
      </w:r>
      <w:r>
        <w:rPr>
          <w:b/>
          <w:lang w:val="en_US" w:bidi="en_US"/>
        </w:rPr>
        <w:t>as to which of them would be the greatest:</w:t>
      </w:r>
      <w:r>
        <w:rPr>
          <w:lang w:val="en_US" w:bidi="en_US"/>
        </w:rPr>
        <w:t xml:space="preserve"> The context implies that the phrase </w:t>
      </w:r>
      <w:r>
        <w:rPr>
          <w:i/>
          <w:lang w:val="en_US" w:bidi="en_US"/>
        </w:rPr>
        <w:t>which of them</w:t>
      </w:r>
      <w:r>
        <w:rPr>
          <w:lang w:val="en_US" w:bidi="en_US"/>
        </w:rPr>
        <w:t xml:space="preserve"> refers to which one </w:t>
      </w:r>
      <w:r>
        <w:rPr>
          <w:u w:val="single"/>
          <w:lang w:val="en_US" w:bidi="en_US"/>
        </w:rPr>
        <w:t>among the disciples</w:t>
      </w:r>
      <w:r>
        <w:rPr>
          <w:lang w:val="en_US" w:bidi="en_US"/>
        </w:rPr>
        <w:t>.</w:t>
      </w:r>
    </w:p>
    <w:p>
      <w:pPr/>
      <w:r>
        <w:rPr>
          <w:lang w:val="en_US" w:bidi="en_US"/>
        </w:rPr>
      </w:r>
      <w:r>
        <w:rPr>
          <w:b/>
          <w:lang w:val="en_US" w:bidi="en_US"/>
        </w:rPr>
        <w:t>would be the greatest:</w:t>
      </w:r>
      <w:r>
        <w:rPr>
          <w:lang w:val="en_US" w:bidi="en_US"/>
        </w:rPr>
        <w:t xml:space="preserve"> There are two ways to interpret the phrase </w:t>
      </w:r>
      <w:r>
        <w:rPr>
          <w:i/>
          <w:lang w:val="en_US" w:bidi="en_US"/>
        </w:rPr>
        <w:t>would be the greatest</w:t>
      </w:r>
      <w:r>
        <w:rPr>
          <w:lang w:val="en_US" w:bidi="en_US"/>
        </w:rPr>
        <w:t xml:space="preserve"> here:</w:t>
      </w:r>
    </w:p>
    <w:p>
      <w:pPr>
        <w:pStyle w:val="ListNumber"/>
        <w:numPr>
          <w:ilvl w:val="0"/>
          <w:numId w:val="202"/>
        </w:numPr>
        <w:spacing w:line="240" w:lineRule="auto"/>
        <w:ind w:left="720"/>
      </w:pPr>
      <w:r>
        <w:rPr>
          <w:lang w:val="en_US" w:bidi="en_US"/>
        </w:rPr>
      </w:r>
      <w:r>
        <w:rPr>
          <w:lang w:val="en_US" w:bidi="en_US"/>
        </w:rPr>
        <w:t xml:space="preserve">It refers to which disciple </w:t>
      </w:r>
      <w:r>
        <w:rPr>
          <w:u w:val="single"/>
          <w:lang w:val="en_US" w:bidi="en_US"/>
        </w:rPr>
        <w:t>was</w:t>
      </w:r>
      <w:r>
        <w:rPr>
          <w:lang w:val="en_US" w:bidi="en_US"/>
        </w:rPr>
        <w:t xml:space="preserve"> the most important </w:t>
      </w:r>
      <w:r>
        <w:rPr>
          <w:u w:val="single"/>
          <w:lang w:val="en_US" w:bidi="en_US"/>
        </w:rPr>
        <w:t>at that time</w:t>
      </w:r>
      <w:r>
        <w:rPr>
          <w:lang w:val="en_US" w:bidi="en_US"/>
        </w:rPr>
        <w:t>. For example:</w:t>
      </w:r>
      <w:r>
        <w:rPr>
          <w:lang w:val="en_US" w:bidi="en_US"/>
        </w:rPr>
        <w:t xml:space="preserve">about which of them was the greatest (NLT) </w:t>
      </w:r>
      <w:r>
        <w:rPr>
          <w:i/>
          <w:lang w:val="en_US" w:bidi="en_US"/>
        </w:rPr>
        <w:t>(RSV, NASB, NJB, REB, CEV, NCV, NET, GNT, NLT)</w:t>
      </w:r>
    </w:p>
    <w:p>
      <w:pPr>
        <w:pStyle w:val="ListNumber"/>
        <w:spacing w:line="240" w:lineRule="auto"/>
        <w:ind w:left="720"/>
      </w:pPr>
      <w:r>
        <w:rPr>
          <w:lang w:val="en_US" w:bidi="en_US"/>
        </w:rPr>
      </w:r>
      <w:r>
        <w:rPr>
          <w:lang w:val="en_US" w:bidi="en_US"/>
        </w:rPr>
        <w:t xml:space="preserve">It refers to which disciple </w:t>
      </w:r>
      <w:r>
        <w:rPr>
          <w:u w:val="single"/>
          <w:lang w:val="en_US" w:bidi="en_US"/>
        </w:rPr>
        <w:t>would be</w:t>
      </w:r>
      <w:r>
        <w:rPr>
          <w:lang w:val="en_US" w:bidi="en_US"/>
        </w:rPr>
        <w:t xml:space="preserve"> the greatest </w:t>
      </w:r>
      <w:r>
        <w:rPr>
          <w:u w:val="single"/>
          <w:lang w:val="en_US" w:bidi="en_US"/>
        </w:rPr>
        <w:t>in the future</w:t>
      </w:r>
      <w:r>
        <w:rPr>
          <w:lang w:val="en_US" w:bidi="en_US"/>
        </w:rPr>
        <w:t xml:space="preserve"> in God’s kingdom. For example:</w:t>
      </w:r>
      <w:r>
        <w:rPr>
          <w:lang w:val="en_US" w:bidi="en_US"/>
        </w:rPr>
        <w:t xml:space="preserve">about who would be the greatest (GW) </w:t>
      </w:r>
      <w:r>
        <w:rPr>
          <w:i/>
          <w:lang w:val="en_US" w:bidi="en_US"/>
        </w:rPr>
        <w:t>(BSB, NIV, KJV, NLT96, GW)</w:t>
      </w:r>
    </w:p>
    <w:p>
      <w:pPr/>
      <w:r>
        <w:rPr>
          <w:lang w:val="en_US" w:bidi="en_US"/>
        </w:rPr>
      </w:r>
      <w:r>
        <w:rPr>
          <w:lang w:val="en_US" w:bidi="en_US"/>
        </w:rPr>
        <w:t>It is recommended that you follow interpretation (1), along with most English versions. Since the BSB follows interpretation (2), the GNT is used as the source line of the Display.</w:t>
      </w:r>
      <w:r>
        <w:rPr>
          <w:lang w:val="en_US" w:bidi="en_US"/>
        </w:rPr>
        <w:t>The Greek verb is in the optative mood. Here this appears to mean that the answer is doubtful. See the NET footnote: “The use of the optative mood means the answer is not clear.” The NET translates this as “as to which of them might be the greatest.”</w:t>
      </w:r>
    </w:p>
    <w:p>
      <w:pPr/>
      <w:r>
        <w:rPr>
          <w:lang w:val="en_US" w:bidi="en_US"/>
        </w:rPr>
      </w:r>
      <w:r>
        <w:rPr>
          <w:b/>
          <w:lang w:val="en_US" w:bidi="en_US"/>
        </w:rPr>
        <w:t>the greatest:</w:t>
      </w:r>
      <w:r>
        <w:rPr>
          <w:lang w:val="en_US" w:bidi="en_US"/>
        </w:rPr>
        <w:t xml:space="preserve"> The word </w:t>
      </w:r>
      <w:r>
        <w:rPr>
          <w:i/>
          <w:lang w:val="en_US" w:bidi="en_US"/>
        </w:rPr>
        <w:t>greatest</w:t>
      </w:r>
      <w:r>
        <w:rPr>
          <w:lang w:val="en_US" w:bidi="en_US"/>
        </w:rPr>
        <w:t xml:space="preserve"> refers to having the highest status. The disciples wanted to know who among them was the most important person.</w:t>
      </w:r>
    </w:p>
    <w:p>
      <w:pPr/>
      <w:r>
        <w:rPr>
          <w:lang w:val="en_US" w:bidi="en_US"/>
        </w:rPr>
      </w:r>
      <w:r>
        <w:rPr>
          <w:lang w:val="en_US" w:bidi="en_US"/>
        </w:rPr>
        <w:t>Some other ways to translate this are:</w:t>
      </w:r>
    </w:p>
    <w:p>
      <w:pPr/>
      <w:r>
        <w:rPr>
          <w:lang w:val="en_US" w:bidi="en_US"/>
        </w:rPr>
      </w:r>
      <w:r>
        <w:rPr>
          <w:lang w:val="en_US" w:bidi="en_US"/>
        </w:rPr>
        <w:t>who was the most important</w:t>
      </w:r>
    </w:p>
    <w:p>
      <w:pPr/>
      <w:r>
        <w:rPr>
          <w:lang w:val="en_US" w:bidi="en_US"/>
        </w:rPr>
      </w:r>
      <w:r>
        <w:rPr>
          <w:lang w:val="en_US" w:bidi="en_US"/>
        </w:rPr>
        <w:t xml:space="preserve">who was greatest </w:t>
      </w:r>
      <w:r>
        <w:rPr>
          <w:lang w:val="en_US" w:bidi="en_US"/>
        </w:rPr>
        <w:t>in rank</w:t>
      </w:r>
    </w:p>
    <w:p>
      <w:pPr/>
      <w:r>
        <w:rPr>
          <w:lang w:val="en_US" w:bidi="en_US"/>
        </w:rPr>
      </w:r>
      <w:r>
        <w:rPr>
          <w:lang w:val="en_US" w:bidi="en_US"/>
        </w:rPr>
        <w:t xml:space="preserve">who was highest </w:t>
      </w:r>
      <w:r>
        <w:rPr>
          <w:lang w:val="en_US" w:bidi="en_US"/>
        </w:rPr>
        <w:t>in status/name</w:t>
      </w:r>
    </w:p>
    <w:p>
      <w:pPr/>
      <w:r>
        <w:rPr>
          <w:lang w:val="en_US" w:bidi="en_US"/>
        </w:rPr>
      </w:r>
      <w:r>
        <w:rPr>
          <w:lang w:val="en_US" w:bidi="en_US"/>
        </w:rPr>
        <w:t>who was more important than all the others</w:t>
      </w:r>
      <w:r>
        <w:rPr>
          <w:lang w:val="en_US" w:bidi="en_US"/>
        </w:rPr>
      </w:r>
      <w:r>
        <w:rPr>
          <w:lang w:val="en_US" w:bidi="en_US"/>
        </w:rPr>
      </w:r>
    </w:p>
    <w:p>
      <w:pPr/>
      <w:r>
        <w:rPr>
          <w:lang w:val="en_US" w:bidi="en_US"/>
        </w:rPr>
      </w:r>
    </w:p>
    <w:p>
      <w:pPr>
        <w:pStyle w:val="Heading2"/>
      </w:pPr>
      <w:r>
        <w:rPr>
          <w:lang w:val="en_US" w:bidi="en_US"/>
        </w:rPr>
        <w:t>Luke 9:47</w:t>
      </w:r>
      <w:r>
        <w:rPr>
          <w:lang w:val="en_US" w:bidi="en_US"/>
        </w:rPr>
      </w:r>
    </w:p>
    <w:p>
      <w:pPr>
        <w:pStyle w:val="Heading4"/>
      </w:pPr>
      <w:r>
        <w:rPr>
          <w:lang w:val="en_US" w:bidi="en_US"/>
        </w:rPr>
        <w:t>Section 9:46–48: Jesus told his disciples that they must be humble</w:t>
      </w:r>
    </w:p>
    <w:p>
      <w:pPr/>
      <w:r>
        <w:rPr>
          <w:lang w:val="en_US" w:bidi="en_US"/>
        </w:rPr>
      </w:r>
      <w:r>
        <w:rPr>
          <w:lang w:val="en_US" w:bidi="en_US"/>
        </w:rPr>
        <w:t>In Section 9:28–36, the disciples saw Jesus’ glory on the Mount of Transfiguration. In Section 9:37–43a, they saw further evidence of his power when he cast out the demon from the boy (9:37–43a). In the previous Section 9:43b–45, Jesus told his disciples that he would soon be handed over to his enemies. However, his disciples did not understand what would happen. In this Section 9:46–48, Luke showed the contrast between Jesus predicting his approaching death and the disciples being preoccupied over which of them was the greatest. In response to the disciples’ attitude, Jesus showed that being truly humble was the way to be great in God’s opinion.</w:t>
      </w:r>
    </w:p>
    <w:p>
      <w:pPr/>
      <w:r>
        <w:rPr>
          <w:lang w:val="en_US" w:bidi="en_US"/>
        </w:rPr>
      </w:r>
      <w:r>
        <w:rPr>
          <w:lang w:val="en_US" w:bidi="en_US"/>
        </w:rPr>
        <w:t>Some other examples of headings for this section are:</w:t>
      </w:r>
    </w:p>
    <w:p>
      <w:pPr/>
      <w:r>
        <w:rPr>
          <w:lang w:val="en_US" w:bidi="en_US"/>
        </w:rPr>
      </w:r>
      <w:r>
        <w:rPr>
          <w:lang w:val="en_US" w:bidi="en_US"/>
        </w:rPr>
        <w:t>Greatness in the Kingdom (GW)</w:t>
      </w:r>
    </w:p>
    <w:p>
      <w:pPr/>
      <w:r>
        <w:rPr>
          <w:lang w:val="en_US" w:bidi="en_US"/>
        </w:rPr>
      </w:r>
      <w:r>
        <w:rPr>
          <w:lang w:val="en_US" w:bidi="en_US"/>
        </w:rPr>
        <w:t>Who Is the Greatest? (NCV)</w:t>
      </w:r>
    </w:p>
    <w:p>
      <w:pPr/>
      <w:r>
        <w:rPr>
          <w:lang w:val="en_US" w:bidi="en_US"/>
        </w:rPr>
      </w:r>
      <w:r>
        <w:rPr>
          <w:lang w:val="en_US" w:bidi="en_US"/>
        </w:rPr>
        <w:t>There are parallel passages for this section in Matthew 18:1–5 and Mark 9:33–37.</w:t>
      </w:r>
    </w:p>
    <w:p>
      <w:pPr/>
      <w:r>
        <w:rPr>
          <w:lang w:val="en_US" w:bidi="en_US"/>
        </w:rPr>
      </w:r>
    </w:p>
    <w:p>
      <w:pPr>
        <w:pStyle w:val="Heading5"/>
      </w:pPr>
      <w:r>
        <w:rPr>
          <w:lang w:val="en_US" w:bidi="en_US"/>
        </w:rPr>
        <w:t>9:47a</w:t>
      </w:r>
    </w:p>
    <w:p>
      <w:pPr/>
      <w:r>
        <w:rPr>
          <w:lang w:val="en_US" w:bidi="en_US"/>
        </w:rPr>
      </w:r>
      <w:r>
        <w:rPr>
          <w:b/>
          <w:lang w:val="en_US" w:bidi="en_US"/>
        </w:rPr>
        <w:t>But Jesus, knowing the thoughts of their hearts,</w:t>
      </w:r>
    </w:p>
    <w:p>
      <w:pPr>
        <w:pStyle w:val="ListBullet"/>
        <w:spacing w:line="240" w:lineRule="auto"/>
        <w:ind w:left="720"/>
      </w:pPr>
      <w:r>
        <w:rPr>
          <w:lang w:val="en_US" w:bidi="en_US"/>
        </w:rPr>
      </w:r>
      <w:r>
        <w:rPr>
          <w:lang w:val="en_US" w:bidi="en_US"/>
        </w:rPr>
        <w:t>Jesus knew what they were thinking,</w:t>
      </w:r>
    </w:p>
    <w:p>
      <w:pPr>
        <w:pStyle w:val="ListBullet"/>
        <w:spacing w:line="240" w:lineRule="auto"/>
        <w:ind w:left="720"/>
      </w:pPr>
      <w:r>
        <w:rPr>
          <w:lang w:val="en_US" w:bidi="en_US"/>
        </w:rPr>
      </w:r>
      <w:r>
        <w:rPr>
          <w:lang w:val="en_US" w:bidi="en_US"/>
        </w:rPr>
        <w:t>But Jesus realized what was in their minds/hearts,</w:t>
      </w:r>
    </w:p>
    <w:p>
      <w:pPr/>
      <w:r>
        <w:rPr>
          <w:lang w:val="en_US" w:bidi="en_US"/>
        </w:rPr>
      </w:r>
      <w:r>
        <w:rPr>
          <w:lang w:val="en_US" w:bidi="en_US"/>
        </w:rPr>
        <w:t>According to Mark 9:33–34, the disciples argued on the way to Capernaum. Jesus talked to them about it after they arrived in Capernaum and were in a house.</w:t>
      </w:r>
    </w:p>
    <w:p>
      <w:pPr/>
      <w:r>
        <w:rPr>
          <w:lang w:val="en_US" w:bidi="en_US"/>
        </w:rPr>
      </w:r>
      <w:r>
        <w:rPr>
          <w:b/>
          <w:lang w:val="en_US" w:bidi="en_US"/>
        </w:rPr>
        <w:t>But:</w:t>
      </w:r>
      <w:r>
        <w:rPr>
          <w:lang w:val="en_US" w:bidi="en_US"/>
        </w:rPr>
        <w:t xml:space="preserve"> This verse begins with a Greek conjunction that is often translated as “and.” Some English versions, such as the KJV, translate it that way. The BSB translates it as </w:t>
      </w:r>
      <w:r>
        <w:rPr>
          <w:i/>
          <w:lang w:val="en_US" w:bidi="en_US"/>
        </w:rPr>
        <w:t>But</w:t>
      </w:r>
      <w:r>
        <w:rPr>
          <w:lang w:val="en_US" w:bidi="en_US"/>
        </w:rPr>
        <w:t>, as do some other versions (ESV, NET, NLT), in order to show that it introduces a contrast. Other versions, such as the CEV, GW, and NIV, do not translate this conjunction. Connect 9:47a to 9:46a-b in a way that is natural in your language.</w:t>
      </w:r>
    </w:p>
    <w:p>
      <w:pPr/>
      <w:r>
        <w:rPr>
          <w:lang w:val="en_US" w:bidi="en_US"/>
        </w:rPr>
      </w:r>
      <w:r>
        <w:rPr>
          <w:b/>
          <w:lang w:val="en_US" w:bidi="en_US"/>
        </w:rPr>
        <w:t>Jesus, knowing the thoughts of their hearts:</w:t>
      </w:r>
      <w:r>
        <w:rPr>
          <w:lang w:val="en_US" w:bidi="en_US"/>
        </w:rPr>
        <w:t xml:space="preserve"> The Greek phrase that the BSB translates literally as </w:t>
      </w:r>
      <w:r>
        <w:rPr>
          <w:i/>
          <w:lang w:val="en_US" w:bidi="en_US"/>
        </w:rPr>
        <w:t>knowing the thoughts of their hearts</w:t>
      </w:r>
      <w:r>
        <w:rPr>
          <w:lang w:val="en_US" w:bidi="en_US"/>
        </w:rPr>
        <w:t xml:space="preserve"> means that Jesus realized what the disciples were thinking. It is not clear whether Jesus was close enough to hear what they said (see Mark 9:33–34). But he knew what they were thinking and why they were arguing. Some other ways to translate this phrase are:</w:t>
      </w:r>
    </w:p>
    <w:p>
      <w:pPr/>
      <w:r>
        <w:rPr>
          <w:lang w:val="en_US" w:bidi="en_US"/>
        </w:rPr>
      </w:r>
      <w:r>
        <w:rPr>
          <w:lang w:val="en_US" w:bidi="en_US"/>
        </w:rPr>
        <w:t>But Jesus, aware of their inner thoughts (NRSV)</w:t>
      </w:r>
    </w:p>
    <w:p>
      <w:pPr/>
      <w:r>
        <w:rPr>
          <w:lang w:val="en_US" w:bidi="en_US"/>
        </w:rPr>
      </w:r>
      <w:r>
        <w:rPr>
          <w:lang w:val="en_US" w:bidi="en_US"/>
        </w:rPr>
        <w:t>Jesus knew what they were thinking (NCV)</w:t>
      </w:r>
    </w:p>
    <w:p>
      <w:pPr/>
      <w:r>
        <w:rPr>
          <w:lang w:val="en_US" w:bidi="en_US"/>
        </w:rPr>
      </w:r>
      <w:r>
        <w:rPr>
          <w:lang w:val="en_US" w:bidi="en_US"/>
        </w:rPr>
        <w:t>Jesus, who knew what was going on in their minds (REB)</w:t>
      </w:r>
    </w:p>
    <w:p>
      <w:pPr>
        <w:pStyle w:val="Heading5"/>
      </w:pPr>
      <w:r>
        <w:rPr>
          <w:lang w:val="en_US" w:bidi="en_US"/>
        </w:rPr>
        <w:t>9:47b</w:t>
      </w:r>
    </w:p>
    <w:p>
      <w:pPr/>
      <w:r>
        <w:rPr>
          <w:lang w:val="en_US" w:bidi="en_US"/>
        </w:rPr>
      </w:r>
      <w:r>
        <w:rPr>
          <w:b/>
          <w:lang w:val="en_US" w:bidi="en_US"/>
        </w:rPr>
        <w:t>had a little child stand beside Him.</w:t>
      </w:r>
    </w:p>
    <w:p>
      <w:pPr>
        <w:pStyle w:val="ListBullet"/>
        <w:spacing w:line="240" w:lineRule="auto"/>
        <w:ind w:left="720"/>
      </w:pPr>
      <w:r>
        <w:rPr>
          <w:lang w:val="en_US" w:bidi="en_US"/>
        </w:rPr>
      </w:r>
      <w:r>
        <w:rPr>
          <w:lang w:val="en_US" w:bidi="en_US"/>
        </w:rPr>
        <w:t xml:space="preserve">so he took/brought a little child </w:t>
      </w:r>
      <w:r>
        <w:rPr>
          <w:lang w:val="en_US" w:bidi="en_US"/>
        </w:rPr>
        <w:t>by the hand</w:t>
      </w:r>
      <w:r>
        <w:rPr>
          <w:lang w:val="en_US" w:bidi="en_US"/>
        </w:rPr>
        <w:t xml:space="preserve"> and caused him to stand next to himself.</w:t>
      </w:r>
    </w:p>
    <w:p>
      <w:pPr>
        <w:pStyle w:val="ListBullet"/>
        <w:spacing w:line="240" w:lineRule="auto"/>
        <w:ind w:left="720"/>
      </w:pPr>
      <w:r>
        <w:rPr>
          <w:lang w:val="en_US" w:bidi="en_US"/>
        </w:rPr>
      </w:r>
      <w:r>
        <w:rPr>
          <w:lang w:val="en_US" w:bidi="en_US"/>
        </w:rPr>
        <w:t xml:space="preserve">so he caused a child to </w:t>
      </w:r>
      <w:r>
        <w:rPr>
          <w:lang w:val="en_US" w:bidi="en_US"/>
        </w:rPr>
        <w:t>come and</w:t>
      </w:r>
      <w:r>
        <w:rPr>
          <w:lang w:val="en_US" w:bidi="en_US"/>
        </w:rPr>
        <w:t xml:space="preserve"> stand by his side</w:t>
      </w:r>
    </w:p>
    <w:p>
      <w:pPr/>
      <w:r>
        <w:rPr>
          <w:lang w:val="en_US" w:bidi="en_US"/>
        </w:rPr>
      </w:r>
      <w:r>
        <w:rPr>
          <w:b/>
          <w:lang w:val="en_US" w:bidi="en_US"/>
        </w:rPr>
        <w:t>had a little child:</w:t>
      </w:r>
      <w:r>
        <w:rPr>
          <w:lang w:val="en_US" w:bidi="en_US"/>
        </w:rPr>
        <w:t xml:space="preserve"> The Greek verb that the BSB translates as </w:t>
      </w:r>
      <w:r>
        <w:rPr>
          <w:i/>
          <w:lang w:val="en_US" w:bidi="en_US"/>
        </w:rPr>
        <w:t>had</w:t>
      </w:r>
      <w:r>
        <w:rPr>
          <w:lang w:val="en_US" w:bidi="en_US"/>
        </w:rPr>
        <w:t xml:space="preserve"> is literally “took hold of” or “grasped.” In this context it probably indicates that Jesus took a child by the hand or shoulder in order to position the child next to himself.</w:t>
      </w:r>
    </w:p>
    <w:p>
      <w:pPr/>
      <w:r>
        <w:rPr>
          <w:lang w:val="en_US" w:bidi="en_US"/>
        </w:rPr>
      </w:r>
      <w:r>
        <w:rPr>
          <w:lang w:val="en_US" w:bidi="en_US"/>
        </w:rPr>
        <w:t>According to Mark 9:33, Jesus and his disciples were inside a house at this time. The child probably lived in that house. Your translation should not imply that Jesus went somewhere else to find a child.</w:t>
      </w:r>
    </w:p>
    <w:p>
      <w:pPr/>
      <w:r>
        <w:rPr>
          <w:lang w:val="en_US" w:bidi="en_US"/>
        </w:rPr>
      </w:r>
      <w:r>
        <w:rPr>
          <w:b/>
          <w:lang w:val="en_US" w:bidi="en_US"/>
        </w:rPr>
        <w:t>a little child:</w:t>
      </w:r>
      <w:r>
        <w:rPr>
          <w:lang w:val="en_US" w:bidi="en_US"/>
        </w:rPr>
        <w:t xml:space="preserve"> The Greek word that the BSB translates as </w:t>
      </w:r>
      <w:r>
        <w:rPr>
          <w:i/>
          <w:lang w:val="en_US" w:bidi="en_US"/>
        </w:rPr>
        <w:t>a little child</w:t>
      </w:r>
      <w:r>
        <w:rPr>
          <w:lang w:val="en_US" w:bidi="en_US"/>
        </w:rPr>
        <w:t xml:space="preserve"> refers to a young child who was probably less than ten years old. Try to use a general term that can refer to either a young boy or a young girl. If you must choose between a boy or girl, you should probably use a word that refers to a young boy. The Greek text does not have a separate word meaning </w:t>
      </w:r>
      <w:r>
        <w:rPr>
          <w:i/>
          <w:lang w:val="en_US" w:bidi="en_US"/>
        </w:rPr>
        <w:t>little</w:t>
      </w:r>
      <w:r>
        <w:rPr>
          <w:lang w:val="en_US" w:bidi="en_US"/>
        </w:rPr>
        <w:t>. Consider if it is necessary to translate this word explicitly in your language.</w:t>
      </w:r>
    </w:p>
    <w:p>
      <w:pPr/>
      <w:r>
        <w:rPr>
          <w:lang w:val="en_US" w:bidi="en_US"/>
        </w:rPr>
      </w:r>
      <w:r>
        <w:rPr>
          <w:b/>
          <w:lang w:val="en_US" w:bidi="en_US"/>
        </w:rPr>
        <w:t>had…stand beside Him:</w:t>
      </w:r>
      <w:r>
        <w:rPr>
          <w:lang w:val="en_US" w:bidi="en_US"/>
        </w:rPr>
        <w:t xml:space="preserve"> The Greek phrase that the BSB translates as </w:t>
      </w:r>
      <w:r>
        <w:rPr>
          <w:i/>
          <w:lang w:val="en_US" w:bidi="en_US"/>
        </w:rPr>
        <w:t>had…stand beside Him</w:t>
      </w:r>
      <w:r>
        <w:rPr>
          <w:lang w:val="en_US" w:bidi="en_US"/>
        </w:rPr>
        <w:t xml:space="preserve"> is literally “set/put him by his side.” It means that Jesus led or gently pulled the child to his side. For example:</w:t>
      </w:r>
    </w:p>
    <w:p>
      <w:pPr/>
      <w:r>
        <w:rPr>
          <w:lang w:val="en_US" w:bidi="en_US"/>
        </w:rPr>
      </w:r>
      <w:r>
        <w:rPr>
          <w:lang w:val="en_US" w:bidi="en_US"/>
        </w:rPr>
        <w:t>stood him by his side (GNT)</w:t>
      </w:r>
    </w:p>
    <w:p>
      <w:pPr>
        <w:pStyle w:val="Heading6"/>
      </w:pPr>
      <w:r>
        <w:rPr>
          <w:b/>
          <w:lang w:val="en_US" w:bidi="en_US"/>
        </w:rPr>
        <w:t>General Comment on 9:47b</w:t>
      </w:r>
    </w:p>
    <w:p>
      <w:pPr/>
      <w:r>
        <w:rPr>
          <w:lang w:val="en_US" w:bidi="en_US"/>
        </w:rPr>
      </w:r>
      <w:r>
        <w:rPr>
          <w:lang w:val="en_US" w:bidi="en_US"/>
        </w:rPr>
        <w:t>In some languages, it may be natural to combine the ideas in the phrase “had a little child” and the phrase “stand beside him,” as the BSB does. For example:</w:t>
      </w:r>
    </w:p>
    <w:p>
      <w:pPr/>
      <w:r>
        <w:rPr>
          <w:lang w:val="en_US" w:bidi="en_US"/>
        </w:rPr>
      </w:r>
      <w:r>
        <w:rPr>
          <w:lang w:val="en_US" w:bidi="en_US"/>
        </w:rPr>
        <w:t>he had a child stand there beside him (CEV)</w:t>
      </w:r>
    </w:p>
    <w:p>
      <w:pPr/>
      <w:r>
        <w:rPr>
          <w:lang w:val="en_US" w:bidi="en_US"/>
        </w:rPr>
      </w:r>
      <w:r>
        <w:rPr>
          <w:lang w:val="en_US" w:bidi="en_US"/>
        </w:rPr>
        <w:t>he brought a little child to his side (NLT)</w:t>
      </w:r>
    </w:p>
    <w:p>
      <w:pPr/>
      <w:r>
        <w:rPr>
          <w:lang w:val="en_US" w:bidi="en_US"/>
        </w:rPr>
      </w:r>
      <w:r>
        <w:rPr>
          <w:lang w:val="en_US" w:bidi="en_US"/>
        </w:rPr>
        <w:t>In other languages, it may be more natural to present these ideas separately. For example:</w:t>
      </w:r>
    </w:p>
    <w:p>
      <w:pPr/>
      <w:r>
        <w:rPr>
          <w:lang w:val="en_US" w:bidi="en_US"/>
        </w:rPr>
      </w:r>
      <w:r>
        <w:rPr>
          <w:lang w:val="en_US" w:bidi="en_US"/>
        </w:rPr>
        <w:t>Jesus…took a little child and had him stand beside him (NIV)</w:t>
      </w:r>
      <w:r>
        <w:rPr>
          <w:lang w:val="en_US" w:bidi="en_US"/>
        </w:rPr>
      </w:r>
      <w:r>
        <w:rPr>
          <w:lang w:val="en_US" w:bidi="en_US"/>
        </w:rPr>
      </w:r>
    </w:p>
    <w:p>
      <w:pPr/>
      <w:r>
        <w:rPr>
          <w:lang w:val="en_US" w:bidi="en_US"/>
        </w:rPr>
      </w:r>
    </w:p>
    <w:p>
      <w:pPr>
        <w:pStyle w:val="Heading2"/>
      </w:pPr>
      <w:r>
        <w:rPr>
          <w:lang w:val="en_US" w:bidi="en_US"/>
        </w:rPr>
        <w:t>Luke 9:48</w:t>
      </w:r>
      <w:r>
        <w:rPr>
          <w:lang w:val="en_US" w:bidi="en_US"/>
        </w:rPr>
      </w:r>
    </w:p>
    <w:p>
      <w:pPr>
        <w:pStyle w:val="Heading4"/>
      </w:pPr>
      <w:r>
        <w:rPr>
          <w:lang w:val="en_US" w:bidi="en_US"/>
        </w:rPr>
        <w:t>Section 9:46–48: Jesus told his disciples that they must be humble</w:t>
      </w:r>
    </w:p>
    <w:p>
      <w:pPr/>
      <w:r>
        <w:rPr>
          <w:lang w:val="en_US" w:bidi="en_US"/>
        </w:rPr>
      </w:r>
      <w:r>
        <w:rPr>
          <w:lang w:val="en_US" w:bidi="en_US"/>
        </w:rPr>
        <w:t>In Section 9:28–36, the disciples saw Jesus’ glory on the Mount of Transfiguration. In Section 9:37–43a, they saw further evidence of his power when he cast out the demon from the boy (9:37–43a). In the previous Section 9:43b–45, Jesus told his disciples that he would soon be handed over to his enemies. However, his disciples did not understand what would happen. In this Section 9:46–48, Luke showed the contrast between Jesus predicting his approaching death and the disciples being preoccupied over which of them was the greatest. In response to the disciples’ attitude, Jesus showed that being truly humble was the way to be great in God’s opinion.</w:t>
      </w:r>
    </w:p>
    <w:p>
      <w:pPr/>
      <w:r>
        <w:rPr>
          <w:lang w:val="en_US" w:bidi="en_US"/>
        </w:rPr>
      </w:r>
      <w:r>
        <w:rPr>
          <w:lang w:val="en_US" w:bidi="en_US"/>
        </w:rPr>
        <w:t>Some other examples of headings for this section are:</w:t>
      </w:r>
    </w:p>
    <w:p>
      <w:pPr/>
      <w:r>
        <w:rPr>
          <w:lang w:val="en_US" w:bidi="en_US"/>
        </w:rPr>
      </w:r>
      <w:r>
        <w:rPr>
          <w:lang w:val="en_US" w:bidi="en_US"/>
        </w:rPr>
        <w:t>Greatness in the Kingdom (GW)</w:t>
      </w:r>
    </w:p>
    <w:p>
      <w:pPr/>
      <w:r>
        <w:rPr>
          <w:lang w:val="en_US" w:bidi="en_US"/>
        </w:rPr>
      </w:r>
      <w:r>
        <w:rPr>
          <w:lang w:val="en_US" w:bidi="en_US"/>
        </w:rPr>
        <w:t>Who Is the Greatest? (NCV)</w:t>
      </w:r>
    </w:p>
    <w:p>
      <w:pPr/>
      <w:r>
        <w:rPr>
          <w:lang w:val="en_US" w:bidi="en_US"/>
        </w:rPr>
      </w:r>
      <w:r>
        <w:rPr>
          <w:lang w:val="en_US" w:bidi="en_US"/>
        </w:rPr>
        <w:t>There are parallel passages for this section in Matthew 18:1–5 and Mark 9:33–37.</w:t>
      </w:r>
    </w:p>
    <w:p>
      <w:pPr/>
      <w:r>
        <w:rPr>
          <w:lang w:val="en_US" w:bidi="en_US"/>
        </w:rPr>
      </w:r>
    </w:p>
    <w:p>
      <w:pPr>
        <w:pStyle w:val="Heading5"/>
      </w:pPr>
      <w:r>
        <w:rPr>
          <w:lang w:val="en_US" w:bidi="en_US"/>
        </w:rPr>
        <w:t>9:48a</w:t>
      </w:r>
    </w:p>
    <w:p>
      <w:pPr/>
      <w:r>
        <w:rPr>
          <w:lang w:val="en_US" w:bidi="en_US"/>
        </w:rPr>
      </w:r>
      <w:r>
        <w:rPr>
          <w:b/>
          <w:lang w:val="en_US" w:bidi="en_US"/>
        </w:rPr>
        <w:t>And He said to them, “Whoever welcomes this little child in My name welcomes Me,</w:t>
      </w:r>
    </w:p>
    <w:p>
      <w:pPr>
        <w:pStyle w:val="ListBullet"/>
        <w:spacing w:line="240" w:lineRule="auto"/>
        <w:ind w:left="720"/>
      </w:pPr>
      <w:r>
        <w:rPr>
          <w:lang w:val="en_US" w:bidi="en_US"/>
        </w:rPr>
      </w:r>
      <w:r>
        <w:rPr>
          <w:lang w:val="en_US" w:bidi="en_US"/>
        </w:rPr>
        <w:t>And Jesus said to them, “Anyone who receives this little/young one for my sake receives me,</w:t>
      </w:r>
    </w:p>
    <w:p>
      <w:pPr>
        <w:pStyle w:val="ListBullet"/>
        <w:spacing w:line="240" w:lineRule="auto"/>
        <w:ind w:left="720"/>
      </w:pPr>
      <w:r>
        <w:rPr>
          <w:lang w:val="en_US" w:bidi="en_US"/>
        </w:rPr>
      </w:r>
      <w:r>
        <w:rPr>
          <w:lang w:val="en_US" w:bidi="en_US"/>
        </w:rPr>
        <w:t xml:space="preserve">Then he said to his disciples, “Anyone who welcomes </w:t>
      </w:r>
      <w:r>
        <w:rPr>
          <w:lang w:val="en_US" w:bidi="en_US"/>
        </w:rPr>
        <w:t>and helps</w:t>
      </w:r>
      <w:r>
        <w:rPr>
          <w:lang w:val="en_US" w:bidi="en_US"/>
        </w:rPr>
        <w:t xml:space="preserve"> a child like this one on my behalf, </w:t>
      </w:r>
      <w:r>
        <w:rPr>
          <w:lang w:val="en_US" w:bidi="en_US"/>
        </w:rPr>
        <w:t>it is the same as</w:t>
      </w:r>
      <w:r>
        <w:rPr>
          <w:lang w:val="en_US" w:bidi="en_US"/>
        </w:rPr>
        <w:t xml:space="preserve"> welcoming me.</w:t>
      </w:r>
    </w:p>
    <w:p>
      <w:pPr>
        <w:pStyle w:val="ListBullet"/>
        <w:spacing w:line="240" w:lineRule="auto"/>
        <w:ind w:left="720"/>
      </w:pPr>
      <w:r>
        <w:rPr>
          <w:lang w:val="en_US" w:bidi="en_US"/>
        </w:rPr>
      </w:r>
      <w:r>
        <w:rPr>
          <w:lang w:val="en_US" w:bidi="en_US"/>
        </w:rPr>
        <w:t xml:space="preserve">and said, “If a person shows hospitality/kindness to a child like this one because of </w:t>
      </w:r>
      <w:r>
        <w:rPr>
          <w:lang w:val="en_US" w:bidi="en_US"/>
        </w:rPr>
        <w:t>his faith in</w:t>
      </w:r>
      <w:r>
        <w:rPr>
          <w:lang w:val="en_US" w:bidi="en_US"/>
        </w:rPr>
        <w:t xml:space="preserve"> me, it is really/actually me that he is honoring.</w:t>
      </w:r>
    </w:p>
    <w:p>
      <w:pPr/>
      <w:r>
        <w:rPr>
          <w:lang w:val="en_US" w:bidi="en_US"/>
        </w:rPr>
      </w:r>
      <w:r>
        <w:rPr>
          <w:b/>
          <w:lang w:val="en_US" w:bidi="en_US"/>
        </w:rPr>
        <w:t>Whoever welcomes:</w:t>
      </w:r>
      <w:r>
        <w:rPr>
          <w:lang w:val="en_US" w:bidi="en_US"/>
        </w:rPr>
        <w:t xml:space="preserve"> The Greek word that the BSB translates as </w:t>
      </w:r>
      <w:r>
        <w:rPr>
          <w:i/>
          <w:lang w:val="en_US" w:bidi="en_US"/>
        </w:rPr>
        <w:t>welcomes</w:t>
      </w:r>
      <w:r>
        <w:rPr>
          <w:lang w:val="en_US" w:bidi="en_US"/>
        </w:rPr>
        <w:t xml:space="preserve"> is literally “receives.” Several English versions translate it that way. It refers here to accepting or receiving someone as a guest. It also implies doing it willingly.</w:t>
      </w:r>
    </w:p>
    <w:p>
      <w:pPr/>
      <w:r>
        <w:rPr>
          <w:lang w:val="en_US" w:bidi="en_US"/>
        </w:rPr>
      </w:r>
      <w:r>
        <w:rPr>
          <w:lang w:val="en_US" w:bidi="en_US"/>
        </w:rPr>
        <w:t>Some other ways to translate this are:</w:t>
      </w:r>
    </w:p>
    <w:p>
      <w:pPr/>
      <w:r>
        <w:rPr>
          <w:lang w:val="en_US" w:bidi="en_US"/>
        </w:rPr>
      </w:r>
      <w:r>
        <w:rPr>
          <w:lang w:val="en_US" w:bidi="en_US"/>
        </w:rPr>
        <w:t>Whoever accepts (NCV)</w:t>
      </w:r>
    </w:p>
    <w:p>
      <w:pPr/>
      <w:r>
        <w:rPr>
          <w:lang w:val="en_US" w:bidi="en_US"/>
        </w:rPr>
      </w:r>
      <w:r>
        <w:rPr>
          <w:lang w:val="en_US" w:bidi="en_US"/>
        </w:rPr>
        <w:t xml:space="preserve">Anyone who welcomes </w:t>
      </w:r>
      <w:r>
        <w:rPr>
          <w:lang w:val="en_US" w:bidi="en_US"/>
        </w:rPr>
        <w:t>and helps</w:t>
      </w:r>
    </w:p>
    <w:p>
      <w:pPr/>
      <w:r>
        <w:rPr>
          <w:lang w:val="en_US" w:bidi="en_US"/>
        </w:rPr>
      </w:r>
      <w:r>
        <w:rPr>
          <w:lang w:val="en_US" w:bidi="en_US"/>
        </w:rPr>
        <w:t>Whoever shows hospitality to</w:t>
      </w:r>
    </w:p>
    <w:p>
      <w:pPr/>
      <w:r>
        <w:rPr>
          <w:lang w:val="en_US" w:bidi="en_US"/>
        </w:rPr>
      </w:r>
      <w:r>
        <w:rPr>
          <w:b/>
          <w:lang w:val="en_US" w:bidi="en_US"/>
        </w:rPr>
        <w:t>this little child:</w:t>
      </w:r>
      <w:r>
        <w:rPr>
          <w:lang w:val="en_US" w:bidi="en_US"/>
        </w:rPr>
        <w:t xml:space="preserve"> Jesus was using this child as an example of any child. In some languages a literal translation may give the wrong meaning that Jesus was thinking only of that particular child. If this is true in your language, you may need to translate this in a more general way. For example:</w:t>
      </w:r>
    </w:p>
    <w:p>
      <w:pPr/>
      <w:r>
        <w:rPr>
          <w:lang w:val="en_US" w:bidi="en_US"/>
        </w:rPr>
      </w:r>
      <w:r>
        <w:rPr>
          <w:lang w:val="en_US" w:bidi="en_US"/>
        </w:rPr>
        <w:t>a little child like this (NLT)</w:t>
      </w:r>
    </w:p>
    <w:p>
      <w:pPr/>
      <w:r>
        <w:rPr>
          <w:lang w:val="en_US" w:bidi="en_US"/>
        </w:rPr>
      </w:r>
      <w:r>
        <w:rPr>
          <w:b/>
          <w:lang w:val="en_US" w:bidi="en_US"/>
        </w:rPr>
        <w:t>in My name:</w:t>
      </w:r>
      <w:r>
        <w:rPr>
          <w:lang w:val="en_US" w:bidi="en_US"/>
        </w:rPr>
        <w:t xml:space="preserve"> The </w:t>
      </w:r>
      <w:r>
        <w:rPr>
          <w:i/>
          <w:lang w:val="en_US" w:bidi="en_US"/>
        </w:rPr>
        <w:t>name</w:t>
      </w:r>
      <w:r>
        <w:rPr>
          <w:lang w:val="en_US" w:bidi="en_US"/>
        </w:rPr>
        <w:t xml:space="preserve"> of a person represented that person himself. So the phrase </w:t>
      </w:r>
      <w:r>
        <w:rPr>
          <w:i/>
          <w:lang w:val="en_US" w:bidi="en_US"/>
        </w:rPr>
        <w:t>in My name</w:t>
      </w:r>
      <w:r>
        <w:rPr>
          <w:lang w:val="en_US" w:bidi="en_US"/>
        </w:rPr>
        <w:t xml:space="preserve"> indicates here that someone welcomes and helps others because he is a follower or representative of Jesus. Some ways to translate this are:</w:t>
      </w:r>
    </w:p>
    <w:p>
      <w:pPr/>
      <w:r>
        <w:rPr>
          <w:lang w:val="en_US" w:bidi="en_US"/>
        </w:rPr>
      </w:r>
      <w:r>
        <w:rPr>
          <w:lang w:val="en_US" w:bidi="en_US"/>
        </w:rPr>
        <w:t>on my behalf (NLT)</w:t>
      </w:r>
    </w:p>
    <w:p>
      <w:pPr/>
      <w:r>
        <w:rPr>
          <w:lang w:val="en_US" w:bidi="en_US"/>
        </w:rPr>
      </w:r>
      <w:r>
        <w:rPr>
          <w:lang w:val="en_US" w:bidi="en_US"/>
        </w:rPr>
        <w:t>because of me (CEV)</w:t>
      </w:r>
    </w:p>
    <w:p>
      <w:pPr/>
      <w:r>
        <w:rPr>
          <w:lang w:val="en_US" w:bidi="en_US"/>
        </w:rPr>
      </w:r>
      <w:r>
        <w:rPr>
          <w:lang w:val="en_US" w:bidi="en_US"/>
        </w:rPr>
        <w:t>because of his faith in me</w:t>
      </w:r>
    </w:p>
    <w:p>
      <w:pPr/>
      <w:r>
        <w:rPr>
          <w:lang w:val="en_US" w:bidi="en_US"/>
        </w:rPr>
      </w:r>
      <w:r>
        <w:rPr>
          <w:lang w:val="en_US" w:bidi="en_US"/>
        </w:rPr>
        <w:t>as my representative</w:t>
      </w:r>
    </w:p>
    <w:p>
      <w:pPr/>
      <w:r>
        <w:rPr>
          <w:lang w:val="en_US" w:bidi="en_US"/>
        </w:rPr>
      </w:r>
      <w:r>
        <w:rPr>
          <w:b/>
          <w:lang w:val="en_US" w:bidi="en_US"/>
        </w:rPr>
        <w:t>welcomes Me:</w:t>
      </w:r>
      <w:r>
        <w:rPr>
          <w:lang w:val="en_US" w:bidi="en_US"/>
        </w:rPr>
        <w:t xml:space="preserve"> The verb </w:t>
      </w:r>
      <w:r>
        <w:rPr>
          <w:i/>
          <w:lang w:val="en_US" w:bidi="en_US"/>
        </w:rPr>
        <w:t>welcomes</w:t>
      </w:r>
      <w:r>
        <w:rPr>
          <w:lang w:val="en_US" w:bidi="en_US"/>
        </w:rPr>
        <w:t xml:space="preserve"> is the same verb that was used earlier in the verse, but it is used in a figurative way here. By welcoming a child, you honor Jesus.</w:t>
      </w:r>
    </w:p>
    <w:p>
      <w:pPr/>
      <w:r>
        <w:rPr>
          <w:lang w:val="en_US" w:bidi="en_US"/>
        </w:rPr>
      </w:r>
      <w:r>
        <w:rPr>
          <w:lang w:val="en_US" w:bidi="en_US"/>
        </w:rPr>
        <w:t xml:space="preserve">If people in your area will think that the words </w:t>
      </w:r>
      <w:r>
        <w:rPr>
          <w:i/>
          <w:lang w:val="en_US" w:bidi="en_US"/>
        </w:rPr>
        <w:t>welcomes Me</w:t>
      </w:r>
      <w:r>
        <w:rPr>
          <w:lang w:val="en_US" w:bidi="en_US"/>
        </w:rPr>
        <w:t xml:space="preserve"> only refer to literally welcoming Jesus himself, you may want to include some implied information. For example:</w:t>
      </w:r>
    </w:p>
    <w:p>
      <w:pPr/>
      <w:r>
        <w:rPr>
          <w:lang w:val="en_US" w:bidi="en_US"/>
        </w:rPr>
      </w:r>
      <w:r>
        <w:rPr>
          <w:lang w:val="en_US" w:bidi="en_US"/>
        </w:rPr>
        <w:t>it is the same as</w:t>
      </w:r>
      <w:r>
        <w:rPr>
          <w:lang w:val="en_US" w:bidi="en_US"/>
        </w:rPr>
        <w:t xml:space="preserve"> welcoming me</w:t>
      </w:r>
    </w:p>
    <w:p>
      <w:pPr/>
      <w:r>
        <w:rPr>
          <w:lang w:val="en_US" w:bidi="en_US"/>
        </w:rPr>
      </w:r>
      <w:r>
        <w:rPr>
          <w:lang w:val="en_US" w:bidi="en_US"/>
        </w:rPr>
        <w:t>it is as if he is</w:t>
      </w:r>
      <w:r>
        <w:rPr>
          <w:lang w:val="en_US" w:bidi="en_US"/>
        </w:rPr>
        <w:t xml:space="preserve"> welcoming me</w:t>
      </w:r>
    </w:p>
    <w:p>
      <w:pPr/>
      <w:r>
        <w:rPr>
          <w:lang w:val="en_US" w:bidi="en_US"/>
        </w:rPr>
      </w:r>
      <w:r>
        <w:rPr>
          <w:lang w:val="en_US" w:bidi="en_US"/>
        </w:rPr>
        <w:t>honors me</w:t>
      </w:r>
    </w:p>
    <w:p>
      <w:pPr/>
      <w:r>
        <w:rPr>
          <w:lang w:val="en_US" w:bidi="en_US"/>
        </w:rPr>
      </w:r>
      <w:r>
        <w:rPr>
          <w:lang w:val="en_US" w:bidi="en_US"/>
        </w:rPr>
        <w:t xml:space="preserve">The word </w:t>
      </w:r>
      <w:r>
        <w:rPr>
          <w:i/>
          <w:lang w:val="en_US" w:bidi="en_US"/>
        </w:rPr>
        <w:t>Me</w:t>
      </w:r>
      <w:r>
        <w:rPr>
          <w:lang w:val="en_US" w:bidi="en_US"/>
        </w:rPr>
        <w:t xml:space="preserve"> is emphasized in the Greek. If your language has a natural way to emphasize the word </w:t>
      </w:r>
      <w:r>
        <w:rPr>
          <w:i/>
          <w:lang w:val="en_US" w:bidi="en_US"/>
        </w:rPr>
        <w:t>me</w:t>
      </w:r>
      <w:r>
        <w:rPr>
          <w:lang w:val="en_US" w:bidi="en_US"/>
        </w:rPr>
        <w:t>, you may want to do so. For example:</w:t>
      </w:r>
    </w:p>
    <w:p>
      <w:pPr/>
      <w:r>
        <w:rPr>
          <w:lang w:val="en_US" w:bidi="en_US"/>
        </w:rPr>
      </w:r>
      <w:r>
        <w:rPr>
          <w:lang w:val="en_US" w:bidi="en_US"/>
        </w:rPr>
        <w:t>I am the one whom he is welcoming</w:t>
      </w:r>
    </w:p>
    <w:p>
      <w:pPr>
        <w:pStyle w:val="Heading5"/>
      </w:pPr>
      <w:r>
        <w:rPr>
          <w:lang w:val="en_US" w:bidi="en_US"/>
        </w:rPr>
        <w:t>9:48b</w:t>
      </w:r>
    </w:p>
    <w:p>
      <w:pPr/>
      <w:r>
        <w:rPr>
          <w:lang w:val="en_US" w:bidi="en_US"/>
        </w:rPr>
      </w:r>
      <w:r>
        <w:rPr>
          <w:b/>
          <w:lang w:val="en_US" w:bidi="en_US"/>
        </w:rPr>
        <w:t>and whoever welcomes Me welcomes the One who sent Me.</w:t>
      </w:r>
    </w:p>
    <w:p>
      <w:pPr>
        <w:pStyle w:val="ListBullet"/>
        <w:spacing w:line="240" w:lineRule="auto"/>
        <w:ind w:left="720"/>
      </w:pPr>
      <w:r>
        <w:rPr>
          <w:lang w:val="en_US" w:bidi="en_US"/>
        </w:rPr>
      </w:r>
      <w:r>
        <w:rPr>
          <w:lang w:val="en_US" w:bidi="en_US"/>
        </w:rPr>
        <w:t xml:space="preserve">and anyone who receives me </w:t>
      </w:r>
      <w:r>
        <w:rPr>
          <w:lang w:val="en_US" w:bidi="en_US"/>
        </w:rPr>
        <w:t>also</w:t>
      </w:r>
      <w:r>
        <w:rPr>
          <w:lang w:val="en_US" w:bidi="en_US"/>
        </w:rPr>
        <w:t xml:space="preserve"> receives the one who sent me.</w:t>
      </w:r>
    </w:p>
    <w:p>
      <w:pPr>
        <w:pStyle w:val="ListBullet"/>
        <w:spacing w:line="240" w:lineRule="auto"/>
        <w:ind w:left="720"/>
      </w:pPr>
      <w:r>
        <w:rPr>
          <w:lang w:val="en_US" w:bidi="en_US"/>
        </w:rPr>
      </w:r>
      <w:r>
        <w:rPr>
          <w:lang w:val="en_US" w:bidi="en_US"/>
        </w:rPr>
        <w:t xml:space="preserve">And if anyone welcomes me, </w:t>
      </w:r>
      <w:r>
        <w:rPr>
          <w:lang w:val="en_US" w:bidi="en_US"/>
        </w:rPr>
        <w:t>it is like</w:t>
      </w:r>
      <w:r>
        <w:rPr>
          <w:lang w:val="en_US" w:bidi="en_US"/>
        </w:rPr>
        <w:t xml:space="preserve"> he is welcoming </w:t>
      </w:r>
      <w:r>
        <w:rPr>
          <w:lang w:val="en_US" w:bidi="en_US"/>
        </w:rPr>
        <w:t>God</w:t>
      </w:r>
      <w:r>
        <w:rPr>
          <w:lang w:val="en_US" w:bidi="en_US"/>
        </w:rPr>
        <w:t xml:space="preserve"> who sent me.</w:t>
      </w:r>
    </w:p>
    <w:p>
      <w:pPr>
        <w:pStyle w:val="ListBullet"/>
        <w:spacing w:line="240" w:lineRule="auto"/>
        <w:ind w:left="720"/>
      </w:pPr>
      <w:r>
        <w:rPr>
          <w:lang w:val="en_US" w:bidi="en_US"/>
        </w:rPr>
      </w:r>
      <w:r>
        <w:rPr>
          <w:lang w:val="en_US" w:bidi="en_US"/>
        </w:rPr>
        <w:t xml:space="preserve">And if a person honors me, he is really/actually honoring </w:t>
      </w:r>
      <w:r>
        <w:rPr>
          <w:lang w:val="en_US" w:bidi="en_US"/>
        </w:rPr>
        <w:t>God</w:t>
      </w:r>
      <w:r>
        <w:rPr>
          <w:lang w:val="en_US" w:bidi="en_US"/>
        </w:rPr>
        <w:t xml:space="preserve"> who sent me.”</w:t>
      </w:r>
    </w:p>
    <w:p>
      <w:pPr/>
      <w:r>
        <w:rPr>
          <w:lang w:val="en_US" w:bidi="en_US"/>
        </w:rPr>
      </w:r>
      <w:r>
        <w:rPr>
          <w:b/>
          <w:lang w:val="en_US" w:bidi="en_US"/>
        </w:rPr>
        <w:t>and whoever welcomes Me welcomes the One who sent Me:</w:t>
      </w:r>
      <w:r>
        <w:rPr>
          <w:lang w:val="en_US" w:bidi="en_US"/>
        </w:rPr>
        <w:t xml:space="preserve"> This expression indicates that welcoming Jesus is the same as welcoming God. When someone welcomes Jesus, he also welcomes the one who sent Jesus. For example:</w:t>
      </w:r>
    </w:p>
    <w:p>
      <w:pPr/>
      <w:r>
        <w:rPr>
          <w:lang w:val="en_US" w:bidi="en_US"/>
        </w:rPr>
      </w:r>
      <w:r>
        <w:rPr>
          <w:lang w:val="en_US" w:bidi="en_US"/>
        </w:rPr>
        <w:t>also welcomes the one who sent me (GNT)</w:t>
      </w:r>
    </w:p>
    <w:p>
      <w:pPr/>
      <w:r>
        <w:rPr>
          <w:lang w:val="en_US" w:bidi="en_US"/>
        </w:rPr>
      </w:r>
      <w:r>
        <w:rPr>
          <w:b/>
          <w:lang w:val="en_US" w:bidi="en_US"/>
        </w:rPr>
        <w:t>the One who sent Me:</w:t>
      </w:r>
      <w:r>
        <w:rPr>
          <w:lang w:val="en_US" w:bidi="en_US"/>
        </w:rPr>
        <w:t xml:space="preserve"> The phrase </w:t>
      </w:r>
      <w:r>
        <w:rPr>
          <w:i/>
          <w:lang w:val="en_US" w:bidi="en_US"/>
        </w:rPr>
        <w:t>the One who sent Me</w:t>
      </w:r>
      <w:r>
        <w:rPr>
          <w:lang w:val="en_US" w:bidi="en_US"/>
        </w:rPr>
        <w:t xml:space="preserve"> refers to God. If people in your area would not understand that this phrase refers to God, you may need to make this explicit. For example:</w:t>
      </w:r>
    </w:p>
    <w:p>
      <w:pPr/>
      <w:r>
        <w:rPr>
          <w:lang w:val="en_US" w:bidi="en_US"/>
        </w:rPr>
      </w:r>
      <w:r>
        <w:rPr>
          <w:lang w:val="en_US" w:bidi="en_US"/>
        </w:rPr>
        <w:t>my Father who sent me (NLT)</w:t>
      </w:r>
    </w:p>
    <w:p>
      <w:pPr/>
      <w:r>
        <w:rPr>
          <w:lang w:val="en_US" w:bidi="en_US"/>
        </w:rPr>
      </w:r>
      <w:r>
        <w:rPr>
          <w:lang w:val="en_US" w:bidi="en_US"/>
        </w:rPr>
        <w:t>God who sent me</w:t>
      </w:r>
    </w:p>
    <w:p>
      <w:pPr>
        <w:pStyle w:val="Heading5"/>
      </w:pPr>
      <w:r>
        <w:rPr>
          <w:lang w:val="en_US" w:bidi="en_US"/>
        </w:rPr>
        <w:t>9:48c</w:t>
      </w:r>
    </w:p>
    <w:p>
      <w:pPr/>
      <w:r>
        <w:rPr>
          <w:lang w:val="en_US" w:bidi="en_US"/>
        </w:rPr>
      </w:r>
      <w:r>
        <w:rPr>
          <w:b/>
          <w:lang w:val="en_US" w:bidi="en_US"/>
        </w:rPr>
        <w:t>For whoever is the least among all of you, he is the greatest.”</w:t>
      </w:r>
    </w:p>
    <w:p>
      <w:pPr>
        <w:pStyle w:val="ListBullet"/>
        <w:spacing w:line="240" w:lineRule="auto"/>
        <w:ind w:left="720"/>
      </w:pPr>
      <w:r>
        <w:rPr>
          <w:lang w:val="en_US" w:bidi="en_US"/>
        </w:rPr>
      </w:r>
      <w:r>
        <w:rPr>
          <w:lang w:val="en_US" w:bidi="en_US"/>
        </w:rPr>
        <w:t>For the one among you</w:t>
      </w:r>
      <w:r>
        <w:rPr>
          <w:vertAlign w:val="superscript"/>
          <w:lang w:val="en_US" w:bidi="en_US"/>
        </w:rPr>
        <w:t>(plur)</w:t>
      </w:r>
      <w:r>
        <w:rPr>
          <w:lang w:val="en_US" w:bidi="en_US"/>
        </w:rPr>
        <w:t xml:space="preserve"> all who is the most humble/lowly, he is the one who is </w:t>
      </w:r>
      <w:r>
        <w:rPr>
          <w:lang w:val="en_US" w:bidi="en_US"/>
        </w:rPr>
        <w:t>truly/really</w:t>
      </w:r>
      <w:r>
        <w:rPr>
          <w:lang w:val="en_US" w:bidi="en_US"/>
        </w:rPr>
        <w:t xml:space="preserve"> the greatest.”</w:t>
      </w:r>
    </w:p>
    <w:p>
      <w:pPr>
        <w:pStyle w:val="ListBullet"/>
        <w:spacing w:line="240" w:lineRule="auto"/>
        <w:ind w:left="720"/>
      </w:pPr>
      <w:r>
        <w:rPr>
          <w:lang w:val="en_US" w:bidi="en_US"/>
        </w:rPr>
      </w:r>
      <w:r>
        <w:rPr>
          <w:lang w:val="en_US" w:bidi="en_US"/>
        </w:rPr>
        <w:t>This is true</w:t>
      </w:r>
      <w:r>
        <w:rPr>
          <w:lang w:val="en_US" w:bidi="en_US"/>
        </w:rPr>
        <w:t xml:space="preserve"> because </w:t>
      </w:r>
      <w:r>
        <w:rPr>
          <w:lang w:val="en_US" w:bidi="en_US"/>
        </w:rPr>
        <w:t>God considers to be</w:t>
      </w:r>
      <w:r>
        <w:rPr>
          <w:lang w:val="en_US" w:bidi="en_US"/>
        </w:rPr>
        <w:t xml:space="preserve"> important </w:t>
      </w:r>
      <w:r>
        <w:rPr>
          <w:lang w:val="en_US" w:bidi="en_US"/>
        </w:rPr>
        <w:t>any</w:t>
      </w:r>
      <w:r>
        <w:rPr>
          <w:lang w:val="en_US" w:bidi="en_US"/>
        </w:rPr>
        <w:t xml:space="preserve"> person among all of you</w:t>
      </w:r>
      <w:r>
        <w:rPr>
          <w:vertAlign w:val="superscript"/>
          <w:lang w:val="en_US" w:bidi="en_US"/>
        </w:rPr>
        <w:t>(plur)</w:t>
      </w:r>
      <w:r>
        <w:rPr>
          <w:lang w:val="en_US" w:bidi="en_US"/>
        </w:rPr>
        <w:t xml:space="preserve"> who humbly </w:t>
      </w:r>
      <w:r>
        <w:rPr>
          <w:lang w:val="en_US" w:bidi="en_US"/>
        </w:rPr>
        <w:t>serves others</w:t>
      </w:r>
      <w:r>
        <w:rPr>
          <w:lang w:val="en_US" w:bidi="en_US"/>
        </w:rPr>
        <w:t>.”</w:t>
      </w:r>
    </w:p>
    <w:p>
      <w:pPr>
        <w:pStyle w:val="ListBullet"/>
        <w:spacing w:line="240" w:lineRule="auto"/>
        <w:ind w:left="720"/>
      </w:pPr>
      <w:r>
        <w:rPr>
          <w:lang w:val="en_US" w:bidi="en_US"/>
        </w:rPr>
      </w:r>
      <w:r>
        <w:rPr>
          <w:lang w:val="en_US" w:bidi="en_US"/>
        </w:rPr>
        <w:t>Then Jesus concluded, “Whoever among you</w:t>
      </w:r>
      <w:r>
        <w:rPr>
          <w:vertAlign w:val="superscript"/>
          <w:lang w:val="en_US" w:bidi="en_US"/>
        </w:rPr>
        <w:t>(plur)</w:t>
      </w:r>
      <w:r>
        <w:rPr>
          <w:lang w:val="en_US" w:bidi="en_US"/>
        </w:rPr>
        <w:t xml:space="preserve"> </w:t>
      </w:r>
      <w:r>
        <w:rPr>
          <w:lang w:val="en_US" w:bidi="en_US"/>
        </w:rPr>
        <w:t>thinks that he deserves</w:t>
      </w:r>
      <w:r>
        <w:rPr>
          <w:lang w:val="en_US" w:bidi="en_US"/>
        </w:rPr>
        <w:t xml:space="preserve"> the least important </w:t>
      </w:r>
      <w:r>
        <w:rPr>
          <w:lang w:val="en_US" w:bidi="en_US"/>
        </w:rPr>
        <w:t>status</w:t>
      </w:r>
      <w:r>
        <w:rPr>
          <w:lang w:val="en_US" w:bidi="en_US"/>
        </w:rPr>
        <w:t xml:space="preserve">, that person is </w:t>
      </w:r>
      <w:r>
        <w:rPr>
          <w:lang w:val="en_US" w:bidi="en_US"/>
        </w:rPr>
        <w:t>truly</w:t>
      </w:r>
      <w:r>
        <w:rPr>
          <w:lang w:val="en_US" w:bidi="en_US"/>
        </w:rPr>
        <w:t xml:space="preserve"> great </w:t>
      </w:r>
      <w:r>
        <w:rPr>
          <w:lang w:val="en_US" w:bidi="en_US"/>
        </w:rPr>
        <w:t>in God’s opinion</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the conclusion to Jesus’ teaching in this verse. This conclusion also answers the disciples’ argument about who was the greatest. You should introduce this connection in a natural way in your language. Some other ways to do this in English are:</w:t>
      </w:r>
    </w:p>
    <w:p>
      <w:pPr/>
      <w:r>
        <w:rPr>
          <w:lang w:val="en_US" w:bidi="en_US"/>
        </w:rPr>
      </w:r>
      <w:r>
        <w:rPr>
          <w:u w:val="single"/>
          <w:lang w:val="en_US" w:bidi="en_US"/>
        </w:rPr>
        <w:t>Jesus concluded</w:t>
      </w:r>
      <w:r>
        <w:rPr>
          <w:lang w:val="en_US" w:bidi="en_US"/>
        </w:rPr>
        <w:t>, “He who is least…”</w:t>
      </w:r>
    </w:p>
    <w:p>
      <w:pPr/>
      <w:r>
        <w:rPr>
          <w:lang w:val="en_US" w:bidi="en_US"/>
        </w:rPr>
      </w:r>
      <w:r>
        <w:rPr>
          <w:u w:val="single"/>
          <w:lang w:val="en_US" w:bidi="en_US"/>
        </w:rPr>
        <w:t>What I want you to understand is this</w:t>
      </w:r>
      <w:r>
        <w:rPr>
          <w:lang w:val="en_US" w:bidi="en_US"/>
        </w:rPr>
        <w:t>: He who is least…</w:t>
      </w:r>
    </w:p>
    <w:p>
      <w:pPr/>
      <w:r>
        <w:rPr>
          <w:lang w:val="en_US" w:bidi="en_US"/>
        </w:rPr>
      </w:r>
      <w:r>
        <w:rPr>
          <w:lang w:val="en_US" w:bidi="en_US"/>
        </w:rPr>
        <w:t>In some languages a conjunction or an introductory phrase will not be needed.</w:t>
      </w:r>
    </w:p>
    <w:p>
      <w:pPr/>
      <w:r>
        <w:rPr>
          <w:lang w:val="en_US" w:bidi="en_US"/>
        </w:rPr>
      </w:r>
      <w:r>
        <w:rPr>
          <w:b/>
          <w:lang w:val="en_US" w:bidi="en_US"/>
        </w:rPr>
        <w:t>whoever is the least among all of you, he is the greatest:</w:t>
      </w:r>
      <w:r>
        <w:rPr>
          <w:lang w:val="en_US" w:bidi="en_US"/>
        </w:rPr>
        <w:t xml:space="preserve"> There is an implied contrast here between what people think and what God thinks. People may think of someone as the </w:t>
      </w:r>
      <w:r>
        <w:rPr>
          <w:i/>
          <w:lang w:val="en_US" w:bidi="en_US"/>
        </w:rPr>
        <w:t>least</w:t>
      </w:r>
      <w:r>
        <w:rPr>
          <w:lang w:val="en_US" w:bidi="en_US"/>
        </w:rPr>
        <w:t xml:space="preserve"> important, but God may consider that person to be the </w:t>
      </w:r>
      <w:r>
        <w:rPr>
          <w:i/>
          <w:lang w:val="en_US" w:bidi="en_US"/>
        </w:rPr>
        <w:t>greatest</w:t>
      </w:r>
      <w:r>
        <w:rPr>
          <w:lang w:val="en_US" w:bidi="en_US"/>
        </w:rPr>
        <w:t>. In this context Jesus probably also referred to what people think of themselves. The disciple who thinks that he deserves the lowest status in the group is the one whom God considers to be truly great. This kind of person would welcome children and serve others.</w:t>
      </w:r>
    </w:p>
    <w:p>
      <w:pPr/>
      <w:r>
        <w:rPr>
          <w:lang w:val="en_US" w:bidi="en_US"/>
        </w:rPr>
      </w:r>
      <w:r>
        <w:rPr>
          <w:lang w:val="en_US" w:bidi="en_US"/>
        </w:rPr>
        <w:t>In some languages it may be necessary to make the meaning more explicit. For example:</w:t>
      </w:r>
    </w:p>
    <w:p>
      <w:pPr/>
      <w:r>
        <w:rPr>
          <w:lang w:val="en_US" w:bidi="en_US"/>
        </w:rPr>
      </w:r>
      <w:r>
        <w:rPr>
          <w:lang w:val="en_US" w:bidi="en_US"/>
        </w:rPr>
        <w:t xml:space="preserve">Whoever among you </w:t>
      </w:r>
      <w:r>
        <w:rPr>
          <w:lang w:val="en_US" w:bidi="en_US"/>
        </w:rPr>
        <w:t>considers himself to</w:t>
      </w:r>
      <w:r>
        <w:rPr>
          <w:lang w:val="en_US" w:bidi="en_US"/>
        </w:rPr>
        <w:t xml:space="preserve"> have the lowest status is the greatest </w:t>
      </w:r>
      <w:r>
        <w:rPr>
          <w:lang w:val="en_US" w:bidi="en_US"/>
        </w:rPr>
        <w:t>in God’s opinion</w:t>
      </w:r>
      <w:r>
        <w:rPr>
          <w:lang w:val="en_US" w:bidi="en_US"/>
        </w:rPr>
        <w:t>.</w:t>
      </w:r>
    </w:p>
    <w:p>
      <w:pPr/>
      <w:r>
        <w:rPr>
          <w:lang w:val="en_US" w:bidi="en_US"/>
        </w:rPr>
      </w:r>
      <w:r>
        <w:rPr>
          <w:lang w:val="en_US" w:bidi="en_US"/>
        </w:rPr>
        <w:t>It is the humblest among you all who is really the greatest. (JBP)</w:t>
      </w:r>
    </w:p>
    <w:p>
      <w:pPr/>
      <w:r>
        <w:rPr>
          <w:lang w:val="en_US" w:bidi="en_US"/>
        </w:rPr>
      </w:r>
      <w:r>
        <w:rPr>
          <w:b/>
          <w:lang w:val="en_US" w:bidi="en_US"/>
        </w:rPr>
        <w:t>he is the greatest:</w:t>
      </w:r>
      <w:r>
        <w:rPr>
          <w:lang w:val="en_US" w:bidi="en_US"/>
        </w:rPr>
        <w:t xml:space="preserve"> The Greek word that the BSB translates as </w:t>
      </w:r>
      <w:r>
        <w:rPr>
          <w:i/>
          <w:lang w:val="en_US" w:bidi="en_US"/>
        </w:rPr>
        <w:t>greatest</w:t>
      </w:r>
      <w:r>
        <w:rPr>
          <w:lang w:val="en_US" w:bidi="en_US"/>
        </w:rPr>
        <w:t xml:space="preserve"> is literally “great.” In this context it may mean “greatest” in contrast to “least” in the previous phrase. Many English versions translate it this way. For example:</w:t>
      </w:r>
    </w:p>
    <w:p>
      <w:pPr/>
      <w:r>
        <w:rPr>
          <w:lang w:val="en_US" w:bidi="en_US"/>
        </w:rPr>
      </w:r>
      <w:r>
        <w:rPr>
          <w:lang w:val="en_US" w:bidi="en_US"/>
        </w:rPr>
        <w:t>…is really the greatest (NCV)</w:t>
      </w:r>
    </w:p>
    <w:p>
      <w:pPr/>
      <w:r>
        <w:rPr>
          <w:lang w:val="en_US" w:bidi="en_US"/>
        </w:rPr>
      </w:r>
      <w:r>
        <w:rPr>
          <w:lang w:val="en_US" w:bidi="en_US"/>
        </w:rPr>
        <w:t>It may also mean “truly great.” It refers here to someone whom God considers great. This person may be very poor, and other people may not respect him. But this is the person who is truly great. For example:</w:t>
      </w:r>
    </w:p>
    <w:p>
      <w:pPr/>
      <w:r>
        <w:rPr>
          <w:lang w:val="en_US" w:bidi="en_US"/>
        </w:rPr>
      </w:r>
      <w:r>
        <w:rPr>
          <w:lang w:val="en_US" w:bidi="en_US"/>
        </w:rPr>
        <w:t>he who is least among you all is the one who is great (ESV)</w:t>
      </w:r>
    </w:p>
    <w:p>
      <w:pPr/>
      <w:r>
        <w:rPr>
          <w:lang w:val="en_US" w:bidi="en_US"/>
        </w:rPr>
      </w:r>
      <w:r>
        <w:rPr>
          <w:lang w:val="en_US" w:bidi="en_US"/>
        </w:rPr>
        <w:t xml:space="preserve">that person is </w:t>
      </w:r>
      <w:r>
        <w:rPr>
          <w:lang w:val="en_US" w:bidi="en_US"/>
        </w:rPr>
        <w:t>truly</w:t>
      </w:r>
      <w:r>
        <w:rPr>
          <w:lang w:val="en_US" w:bidi="en_US"/>
        </w:rPr>
        <w:t xml:space="preserve"> great/important </w:t>
      </w:r>
      <w:r>
        <w:rPr>
          <w:lang w:val="en_US" w:bidi="en_US"/>
        </w:rPr>
        <w:t>in God’s eyes/opinion</w:t>
      </w:r>
    </w:p>
    <w:p>
      <w:pPr/>
      <w:r>
        <w:rPr>
          <w:lang w:val="en_US" w:bidi="en_US"/>
        </w:rPr>
      </w:r>
      <w:r>
        <w:rPr>
          <w:lang w:val="en_US" w:bidi="en_US"/>
        </w:rPr>
        <w:t>Both “great” and “greatest” fit the context. You may use either one. The expression that you use should be compatible with your translation of “greatest” in 9:46b.</w:t>
      </w:r>
    </w:p>
    <w:p>
      <w:pPr>
        <w:pStyle w:val="Heading6"/>
      </w:pPr>
      <w:r>
        <w:rPr>
          <w:b/>
          <w:lang w:val="en_US" w:bidi="en_US"/>
        </w:rPr>
        <w:t>General Comment on 9:48c</w:t>
      </w:r>
    </w:p>
    <w:p>
      <w:pPr/>
      <w:r>
        <w:rPr>
          <w:lang w:val="en_US" w:bidi="en_US"/>
        </w:rPr>
      </w:r>
      <w:r>
        <w:rPr>
          <w:lang w:val="en_US" w:bidi="en_US"/>
        </w:rPr>
        <w:t>In some languages it may be more natural to reorder the two phrases in 9:48c. For example:</w:t>
      </w:r>
    </w:p>
    <w:p>
      <w:pPr/>
      <w:r>
        <w:rPr>
          <w:lang w:val="en_US" w:bidi="en_US"/>
        </w:rPr>
      </w:r>
      <w:r>
        <w:rPr>
          <w:lang w:val="en_US" w:bidi="en_US"/>
        </w:rPr>
        <w:t>So remember this: The one whom God considers to be truly great is the one who is the humblest among you.</w:t>
      </w:r>
      <w:r>
        <w:rPr>
          <w:lang w:val="en_US" w:bidi="en_US"/>
        </w:rPr>
      </w:r>
      <w:r>
        <w:rPr>
          <w:lang w:val="en_US" w:bidi="en_US"/>
        </w:rPr>
      </w:r>
    </w:p>
    <w:p>
      <w:pPr/>
      <w:r>
        <w:rPr>
          <w:lang w:val="en_US" w:bidi="en_US"/>
        </w:rPr>
      </w:r>
    </w:p>
    <w:p>
      <w:pPr>
        <w:pStyle w:val="Heading2"/>
      </w:pPr>
      <w:r>
        <w:rPr>
          <w:lang w:val="en_US" w:bidi="en_US"/>
        </w:rPr>
        <w:t>Luke 9:49</w:t>
      </w:r>
      <w:r>
        <w:rPr>
          <w:lang w:val="en_US" w:bidi="en_US"/>
        </w:rPr>
      </w:r>
    </w:p>
    <w:p>
      <w:pPr>
        <w:pStyle w:val="Heading4"/>
      </w:pPr>
      <w:r>
        <w:rPr>
          <w:lang w:val="en_US" w:bidi="en_US"/>
        </w:rPr>
        <w:t>Section 9:49–50: Jesus told who is for him and who is against him</w:t>
      </w:r>
    </w:p>
    <w:p>
      <w:pPr/>
      <w:r>
        <w:rPr>
          <w:lang w:val="en_US" w:bidi="en_US"/>
        </w:rPr>
      </w:r>
      <w:r>
        <w:rPr>
          <w:lang w:val="en_US" w:bidi="en_US"/>
        </w:rPr>
        <w:t>The connection of this section to the previous section is probably in the phrase “in my name.” In the previous Section 9:46–48, Jesus taught his disciples that a truly great person was one who humbly welcomed even a little child in his name. In this section, the disciple John responded that he and the other disciples had tried to stop a man from expelling demons in Jesus’ name. They did this because the man was not one of the twelve disciples. Jesus then taught them that anyone who did not oppose them was on their side.</w:t>
      </w:r>
    </w:p>
    <w:p>
      <w:pPr/>
      <w:r>
        <w:rPr>
          <w:lang w:val="en_US" w:bidi="en_US"/>
        </w:rPr>
      </w:r>
      <w:r>
        <w:rPr>
          <w:lang w:val="en_US" w:bidi="en_US"/>
        </w:rPr>
        <w:t>Some other examples of headings for this section are:</w:t>
      </w:r>
    </w:p>
    <w:p>
      <w:pPr/>
      <w:r>
        <w:rPr>
          <w:lang w:val="en_US" w:bidi="en_US"/>
        </w:rPr>
      </w:r>
      <w:r>
        <w:rPr>
          <w:lang w:val="en_US" w:bidi="en_US"/>
        </w:rPr>
        <w:t>Whoever Is Not against You Is for You (GNT)</w:t>
      </w:r>
    </w:p>
    <w:p>
      <w:pPr/>
      <w:r>
        <w:rPr>
          <w:lang w:val="en_US" w:bidi="en_US"/>
        </w:rPr>
      </w:r>
      <w:r>
        <w:rPr>
          <w:lang w:val="en_US" w:bidi="en_US"/>
        </w:rPr>
        <w:t>Those who do not oppose you help you</w:t>
      </w:r>
    </w:p>
    <w:p>
      <w:pPr/>
      <w:r>
        <w:rPr>
          <w:lang w:val="en_US" w:bidi="en_US"/>
        </w:rPr>
      </w:r>
      <w:r>
        <w:rPr>
          <w:lang w:val="en_US" w:bidi="en_US"/>
        </w:rPr>
        <w:t>There is a parallel passage for this section in Mark 9:38–40.</w:t>
      </w:r>
    </w:p>
    <w:p>
      <w:pPr/>
      <w:r>
        <w:rPr>
          <w:lang w:val="en_US" w:bidi="en_US"/>
        </w:rPr>
      </w:r>
    </w:p>
    <w:p>
      <w:pPr>
        <w:pStyle w:val="Heading5"/>
      </w:pPr>
      <w:r>
        <w:rPr>
          <w:lang w:val="en_US" w:bidi="en_US"/>
        </w:rPr>
        <w:t>9:49a</w:t>
      </w:r>
    </w:p>
    <w:p>
      <w:pPr/>
      <w:r>
        <w:rPr>
          <w:lang w:val="en_US" w:bidi="en_US"/>
        </w:rPr>
      </w:r>
      <w:r>
        <w:rPr>
          <w:b/>
          <w:lang w:val="en_US" w:bidi="en_US"/>
        </w:rPr>
        <w:t>“Master,” said John, “we saw someone driving out demons in Your name,</w:t>
      </w:r>
    </w:p>
    <w:p>
      <w:pPr>
        <w:pStyle w:val="ListBullet"/>
        <w:spacing w:line="240" w:lineRule="auto"/>
        <w:ind w:left="720"/>
      </w:pPr>
      <w:r>
        <w:rPr>
          <w:lang w:val="en_US" w:bidi="en_US"/>
        </w:rPr>
      </w:r>
      <w:r>
        <w:rPr>
          <w:lang w:val="en_US" w:bidi="en_US"/>
        </w:rPr>
        <w:t xml:space="preserve">¶ Then John said </w:t>
      </w:r>
      <w:r>
        <w:rPr>
          <w:lang w:val="en_US" w:bidi="en_US"/>
        </w:rPr>
        <w:t>to Jesus</w:t>
      </w:r>
      <w:r>
        <w:rPr>
          <w:lang w:val="en_US" w:bidi="en_US"/>
        </w:rPr>
        <w:t>, “Master, we</w:t>
      </w:r>
      <w:r>
        <w:rPr>
          <w:vertAlign w:val="superscript"/>
          <w:lang w:val="en_US" w:bidi="en_US"/>
        </w:rPr>
        <w:t>(excl)</w:t>
      </w:r>
      <w:r>
        <w:rPr>
          <w:lang w:val="en_US" w:bidi="en_US"/>
        </w:rPr>
        <w:t xml:space="preserve"> saw someone using your</w:t>
      </w:r>
      <w:r>
        <w:rPr>
          <w:vertAlign w:val="superscript"/>
          <w:lang w:val="en_US" w:bidi="en_US"/>
        </w:rPr>
        <w:t>(sing)</w:t>
      </w:r>
      <w:r>
        <w:rPr>
          <w:lang w:val="en_US" w:bidi="en_US"/>
        </w:rPr>
        <w:t xml:space="preserve"> name/authority to cast demons out </w:t>
      </w:r>
      <w:r>
        <w:rPr>
          <w:lang w:val="en_US" w:bidi="en_US"/>
        </w:rPr>
        <w:t>of people</w:t>
      </w:r>
      <w:r>
        <w:rPr>
          <w:lang w:val="en_US" w:bidi="en_US"/>
        </w:rPr>
        <w:t>,</w:t>
      </w:r>
    </w:p>
    <w:p>
      <w:pPr>
        <w:pStyle w:val="ListBullet"/>
        <w:spacing w:line="240" w:lineRule="auto"/>
        <w:ind w:left="720"/>
      </w:pPr>
      <w:r>
        <w:rPr>
          <w:lang w:val="en_US" w:bidi="en_US"/>
        </w:rPr>
      </w:r>
      <w:r>
        <w:rPr>
          <w:lang w:val="en_US" w:bidi="en_US"/>
        </w:rPr>
        <w:t>¶ Then John responded, saying, “Sir, we</w:t>
      </w:r>
      <w:r>
        <w:rPr>
          <w:vertAlign w:val="superscript"/>
          <w:lang w:val="en_US" w:bidi="en_US"/>
        </w:rPr>
        <w:t>(excl)</w:t>
      </w:r>
      <w:r>
        <w:rPr>
          <w:lang w:val="en_US" w:bidi="en_US"/>
        </w:rPr>
        <w:t xml:space="preserve"> saw a man/person forcing demons out </w:t>
      </w:r>
      <w:r>
        <w:rPr>
          <w:lang w:val="en_US" w:bidi="en_US"/>
        </w:rPr>
        <w:t>of people</w:t>
      </w:r>
      <w:r>
        <w:rPr>
          <w:lang w:val="en_US" w:bidi="en_US"/>
        </w:rPr>
        <w:t xml:space="preserve"> by using </w:t>
      </w:r>
      <w:r>
        <w:rPr>
          <w:lang w:val="en_US" w:bidi="en_US"/>
        </w:rPr>
        <w:t>the power/authority of</w:t>
      </w:r>
      <w:r>
        <w:rPr>
          <w:lang w:val="en_US" w:bidi="en_US"/>
        </w:rPr>
        <w:t xml:space="preserve"> your</w:t>
      </w:r>
      <w:r>
        <w:rPr>
          <w:vertAlign w:val="superscript"/>
          <w:lang w:val="en_US" w:bidi="en_US"/>
        </w:rPr>
        <w:t>(sing)</w:t>
      </w:r>
      <w:r>
        <w:rPr>
          <w:lang w:val="en_US" w:bidi="en_US"/>
        </w:rPr>
        <w:t xml:space="preserve"> name.</w:t>
      </w:r>
    </w:p>
    <w:p>
      <w:pPr/>
      <w:r>
        <w:rPr>
          <w:lang w:val="en_US" w:bidi="en_US"/>
        </w:rPr>
      </w:r>
      <w:r>
        <w:rPr>
          <w:lang w:val="en_US" w:bidi="en_US"/>
        </w:rPr>
        <w:t>In Greek, this verse begins literally, “And answering, John said.” One way to translate this is:</w:t>
      </w:r>
    </w:p>
    <w:p>
      <w:pPr/>
      <w:r>
        <w:rPr>
          <w:lang w:val="en_US" w:bidi="en_US"/>
        </w:rPr>
      </w:r>
      <w:r>
        <w:rPr>
          <w:lang w:val="en_US" w:bidi="en_US"/>
        </w:rPr>
        <w:t>John answered and said (NASB)</w:t>
      </w:r>
    </w:p>
    <w:p>
      <w:pPr/>
      <w:r>
        <w:rPr>
          <w:lang w:val="en_US" w:bidi="en_US"/>
        </w:rPr>
      </w:r>
      <w:r>
        <w:rPr>
          <w:lang w:val="en_US" w:bidi="en_US"/>
        </w:rPr>
        <w:t>However, John was not answering a question. He was probably responding to Jesus’ statement in the previous section about welcoming a little child in his name. Therefore the BSB and some other English versions do not use a verb such as “answer.” Here are other ways to translate this:</w:t>
      </w:r>
    </w:p>
    <w:p>
      <w:pPr/>
      <w:r>
        <w:rPr>
          <w:lang w:val="en_US" w:bidi="en_US"/>
        </w:rPr>
      </w:r>
      <w:r>
        <w:rPr>
          <w:lang w:val="en_US" w:bidi="en_US"/>
        </w:rPr>
        <w:t>Then John responded and said (TRT)</w:t>
      </w:r>
    </w:p>
    <w:p>
      <w:pPr/>
      <w:r>
        <w:rPr>
          <w:lang w:val="en_US" w:bidi="en_US"/>
        </w:rPr>
      </w:r>
      <w:r>
        <w:rPr>
          <w:lang w:val="en_US" w:bidi="en_US"/>
        </w:rPr>
        <w:t>When John heard what Jesus said, he responded/said to him</w:t>
      </w:r>
    </w:p>
    <w:p>
      <w:pPr/>
      <w:r>
        <w:rPr>
          <w:lang w:val="en_US" w:bidi="en_US"/>
        </w:rPr>
      </w:r>
      <w:r>
        <w:rPr>
          <w:lang w:val="en_US" w:bidi="en_US"/>
        </w:rPr>
        <w:t>John spoke up (GNT)</w:t>
      </w:r>
    </w:p>
    <w:p>
      <w:pPr/>
      <w:r>
        <w:rPr>
          <w:lang w:val="en_US" w:bidi="en_US"/>
        </w:rPr>
      </w:r>
      <w:r>
        <w:rPr>
          <w:b/>
          <w:lang w:val="en_US" w:bidi="en_US"/>
        </w:rPr>
        <w:t>Master:</w:t>
      </w:r>
      <w:r>
        <w:rPr>
          <w:lang w:val="en_US" w:bidi="en_US"/>
        </w:rPr>
        <w:t xml:space="preserve"> The Greek word that the BSB translates as </w:t>
      </w:r>
      <w:r>
        <w:rPr>
          <w:i/>
          <w:lang w:val="en_US" w:bidi="en_US"/>
        </w:rPr>
        <w:t>Master</w:t>
      </w:r>
      <w:r>
        <w:rPr>
          <w:lang w:val="en_US" w:bidi="en_US"/>
        </w:rPr>
        <w:t xml:space="preserve"> was used to show respect when people addressed a person who had authority over them. John used this word here to show his respect for Jesus as well as his close relationship with him as his teacher and spiritual leader. See the note on 9:33b, where the same word is used.</w:t>
      </w:r>
    </w:p>
    <w:p>
      <w:pPr/>
      <w:r>
        <w:rPr>
          <w:lang w:val="en_US" w:bidi="en_US"/>
        </w:rPr>
      </w:r>
      <w:r>
        <w:rPr>
          <w:b/>
          <w:lang w:val="en_US" w:bidi="en_US"/>
        </w:rPr>
        <w:t>said John:</w:t>
      </w:r>
      <w:r>
        <w:rPr>
          <w:lang w:val="en_US" w:bidi="en_US"/>
        </w:rPr>
        <w:t xml:space="preserve"> The BSB places the words </w:t>
      </w:r>
      <w:r>
        <w:rPr>
          <w:i/>
          <w:lang w:val="en_US" w:bidi="en_US"/>
        </w:rPr>
        <w:t>said John</w:t>
      </w:r>
      <w:r>
        <w:rPr>
          <w:lang w:val="en_US" w:bidi="en_US"/>
        </w:rPr>
        <w:t xml:space="preserve"> in the middle of John’s spoken words. It also puts the subject </w:t>
      </w:r>
      <w:r>
        <w:rPr>
          <w:i/>
          <w:lang w:val="en_US" w:bidi="en_US"/>
        </w:rPr>
        <w:t>John</w:t>
      </w:r>
      <w:r>
        <w:rPr>
          <w:lang w:val="en_US" w:bidi="en_US"/>
        </w:rPr>
        <w:t xml:space="preserve"> after the verb </w:t>
      </w:r>
      <w:r>
        <w:rPr>
          <w:i/>
          <w:lang w:val="en_US" w:bidi="en_US"/>
        </w:rPr>
        <w:t>said</w:t>
      </w:r>
      <w:r>
        <w:rPr>
          <w:lang w:val="en_US" w:bidi="en_US"/>
        </w:rPr>
        <w:t xml:space="preserve">. In Greek, these words occur at the beginning of 9:49, as part of the clause “And answering, John said.” Place the words </w:t>
      </w:r>
      <w:r>
        <w:rPr>
          <w:i/>
          <w:lang w:val="en_US" w:bidi="en_US"/>
        </w:rPr>
        <w:t>said John</w:t>
      </w:r>
      <w:r>
        <w:rPr>
          <w:lang w:val="en_US" w:bidi="en_US"/>
        </w:rPr>
        <w:t xml:space="preserve"> or “John replied” where it is natural in your language.</w:t>
      </w:r>
    </w:p>
    <w:p>
      <w:pPr/>
      <w:r>
        <w:rPr>
          <w:lang w:val="en_US" w:bidi="en_US"/>
        </w:rPr>
      </w:r>
      <w:r>
        <w:rPr>
          <w:b/>
          <w:lang w:val="en_US" w:bidi="en_US"/>
        </w:rPr>
        <w:t>John:</w:t>
      </w:r>
      <w:r>
        <w:rPr>
          <w:lang w:val="en_US" w:bidi="en_US"/>
        </w:rPr>
        <w:t xml:space="preserve"> Here the name </w:t>
      </w:r>
      <w:r>
        <w:rPr>
          <w:i/>
          <w:lang w:val="en_US" w:bidi="en_US"/>
        </w:rPr>
        <w:t>John</w:t>
      </w:r>
      <w:r>
        <w:rPr>
          <w:lang w:val="en_US" w:bidi="en_US"/>
        </w:rPr>
        <w:t xml:space="preserve"> refers to one of Jesus’ twelve disciples. It does not refer to John the Baptizer. If people in your area will think that this name refers to John the Baptizer, you may want to include some implied information. For example:</w:t>
      </w:r>
    </w:p>
    <w:p>
      <w:pPr/>
      <w:r>
        <w:rPr>
          <w:lang w:val="en_US" w:bidi="en_US"/>
        </w:rPr>
      </w:r>
      <w:r>
        <w:rPr>
          <w:lang w:val="en_US" w:bidi="en_US"/>
        </w:rPr>
        <w:t>the disciple</w:t>
      </w:r>
      <w:r>
        <w:rPr>
          <w:lang w:val="en_US" w:bidi="en_US"/>
        </w:rPr>
        <w:t xml:space="preserve"> John</w:t>
      </w:r>
    </w:p>
    <w:p>
      <w:pPr/>
      <w:r>
        <w:rPr>
          <w:lang w:val="en_US" w:bidi="en_US"/>
        </w:rPr>
      </w:r>
      <w:r>
        <w:rPr>
          <w:lang w:val="en_US" w:bidi="en_US"/>
        </w:rPr>
        <w:t>Another option would be to add a footnote giving this information.</w:t>
      </w:r>
    </w:p>
    <w:p>
      <w:pPr/>
      <w:r>
        <w:rPr>
          <w:lang w:val="en_US" w:bidi="en_US"/>
        </w:rPr>
      </w:r>
      <w:r>
        <w:rPr>
          <w:b/>
          <w:lang w:val="en_US" w:bidi="en_US"/>
        </w:rPr>
        <w:t>driving out:</w:t>
      </w:r>
      <w:r>
        <w:rPr>
          <w:lang w:val="en_US" w:bidi="en_US"/>
        </w:rPr>
        <w:t xml:space="preserve"> The Greek verb that the BSB translates as </w:t>
      </w:r>
      <w:r>
        <w:rPr>
          <w:i/>
          <w:lang w:val="en_US" w:bidi="en_US"/>
        </w:rPr>
        <w:t>driving out</w:t>
      </w:r>
      <w:r>
        <w:rPr>
          <w:lang w:val="en_US" w:bidi="en_US"/>
        </w:rPr>
        <w:t xml:space="preserve"> was also used in 9:40. See the note there for translation suggestions.</w:t>
      </w:r>
    </w:p>
    <w:p>
      <w:pPr/>
      <w:r>
        <w:rPr>
          <w:lang w:val="en_US" w:bidi="en_US"/>
        </w:rPr>
      </w:r>
      <w:r>
        <w:rPr>
          <w:b/>
          <w:lang w:val="en_US" w:bidi="en_US"/>
        </w:rPr>
        <w:t>demons:</w:t>
      </w:r>
      <w:r>
        <w:rPr>
          <w:lang w:val="en_US" w:bidi="en_US"/>
        </w:rPr>
        <w:t xml:space="preserve"> The word </w:t>
      </w:r>
      <w:r>
        <w:rPr>
          <w:i/>
          <w:lang w:val="en_US" w:bidi="en_US"/>
        </w:rPr>
        <w:t>demons</w:t>
      </w:r>
      <w:r>
        <w:rPr>
          <w:lang w:val="en_US" w:bidi="en_US"/>
        </w:rPr>
        <w:t xml:space="preserve"> also occurs in 9:1b. See the note there for information about translating this term.</w:t>
      </w:r>
    </w:p>
    <w:p>
      <w:pPr/>
      <w:r>
        <w:rPr>
          <w:lang w:val="en_US" w:bidi="en_US"/>
        </w:rPr>
      </w:r>
      <w:r>
        <w:rPr>
          <w:b/>
          <w:lang w:val="en_US" w:bidi="en_US"/>
        </w:rPr>
        <w:t>in Your name:</w:t>
      </w:r>
      <w:r>
        <w:rPr>
          <w:lang w:val="en_US" w:bidi="en_US"/>
        </w:rPr>
        <w:t xml:space="preserve"> In this context the phrase </w:t>
      </w:r>
      <w:r>
        <w:rPr>
          <w:i/>
          <w:lang w:val="en_US" w:bidi="en_US"/>
        </w:rPr>
        <w:t>in Your name</w:t>
      </w:r>
      <w:r>
        <w:rPr>
          <w:lang w:val="en_US" w:bidi="en_US"/>
        </w:rPr>
        <w:t xml:space="preserve"> refers to invoking or using Jesus’ name, with all the power and authority associated with that name. Some ways to translate it are:</w:t>
      </w:r>
    </w:p>
    <w:p>
      <w:pPr/>
      <w:r>
        <w:rPr>
          <w:lang w:val="en_US" w:bidi="en_US"/>
        </w:rPr>
      </w:r>
      <w:r>
        <w:rPr>
          <w:lang w:val="en_US" w:bidi="en_US"/>
        </w:rPr>
        <w:t>by using the power and authority of your name (GW)</w:t>
      </w:r>
    </w:p>
    <w:p>
      <w:pPr/>
      <w:r>
        <w:rPr>
          <w:lang w:val="en_US" w:bidi="en_US"/>
        </w:rPr>
      </w:r>
      <w:r>
        <w:rPr>
          <w:lang w:val="en_US" w:bidi="en_US"/>
        </w:rPr>
        <w:t>using your name (NCV)</w:t>
      </w:r>
    </w:p>
    <w:p>
      <w:pPr/>
      <w:r>
        <w:rPr>
          <w:lang w:val="en_US" w:bidi="en_US"/>
        </w:rPr>
      </w:r>
      <w:r>
        <w:rPr>
          <w:lang w:val="en_US" w:bidi="en_US"/>
        </w:rPr>
        <w:t>through your power</w:t>
      </w:r>
    </w:p>
    <w:p>
      <w:pPr/>
      <w:r>
        <w:rPr>
          <w:lang w:val="en_US" w:bidi="en_US"/>
        </w:rPr>
      </w:r>
      <w:r>
        <w:rPr>
          <w:lang w:val="en_US" w:bidi="en_US"/>
        </w:rPr>
        <w:t>A similar phrase “in my name” occurs in 9:48a. Both phrases refer to Jesus’ name, but the context here is different. In some languages it may be possible to use the same expression in both contexts. In other languages, you will have to use different expressions.</w:t>
      </w:r>
    </w:p>
    <w:p>
      <w:pPr>
        <w:pStyle w:val="Heading5"/>
      </w:pPr>
      <w:r>
        <w:rPr>
          <w:lang w:val="en_US" w:bidi="en_US"/>
        </w:rPr>
        <w:t>9:49b</w:t>
      </w:r>
    </w:p>
    <w:p>
      <w:pPr/>
      <w:r>
        <w:rPr>
          <w:lang w:val="en_US" w:bidi="en_US"/>
        </w:rPr>
      </w:r>
      <w:r>
        <w:rPr>
          <w:b/>
          <w:lang w:val="en_US" w:bidi="en_US"/>
        </w:rPr>
        <w:t>and we tried to stop him, because he does not accompany us.”</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tried to stop/prevent him because he does not belong to our</w:t>
      </w:r>
      <w:r>
        <w:rPr>
          <w:vertAlign w:val="superscript"/>
          <w:lang w:val="en_US" w:bidi="en_US"/>
        </w:rPr>
        <w:t>(incl)</w:t>
      </w:r>
      <w:r>
        <w:rPr>
          <w:lang w:val="en_US" w:bidi="en_US"/>
        </w:rPr>
        <w:t xml:space="preserve"> group.”</w:t>
      </w:r>
    </w:p>
    <w:p>
      <w:pPr>
        <w:pStyle w:val="ListBullet"/>
        <w:spacing w:line="240" w:lineRule="auto"/>
        <w:ind w:left="720"/>
      </w:pPr>
      <w:r>
        <w:rPr>
          <w:lang w:val="en_US" w:bidi="en_US"/>
        </w:rPr>
      </w:r>
      <w:r>
        <w:rPr>
          <w:lang w:val="en_US" w:bidi="en_US"/>
        </w:rPr>
        <w:t>He does not follow you</w:t>
      </w:r>
      <w:r>
        <w:rPr>
          <w:vertAlign w:val="superscript"/>
          <w:lang w:val="en_US" w:bidi="en_US"/>
        </w:rPr>
        <w:t>(sing)</w:t>
      </w:r>
      <w:r>
        <w:rPr>
          <w:lang w:val="en_US" w:bidi="en_US"/>
        </w:rPr>
        <w:t xml:space="preserve"> as we</w:t>
      </w:r>
      <w:r>
        <w:rPr>
          <w:vertAlign w:val="superscript"/>
          <w:lang w:val="en_US" w:bidi="en_US"/>
        </w:rPr>
        <w:t>(excl)</w:t>
      </w:r>
      <w:r>
        <w:rPr>
          <w:lang w:val="en_US" w:bidi="en_US"/>
        </w:rPr>
        <w:t xml:space="preserve"> do, so we</w:t>
      </w:r>
      <w:r>
        <w:rPr>
          <w:vertAlign w:val="superscript"/>
          <w:lang w:val="en_US" w:bidi="en_US"/>
        </w:rPr>
        <w:t>(excl)</w:t>
      </w:r>
      <w:r>
        <w:rPr>
          <w:lang w:val="en_US" w:bidi="en_US"/>
        </w:rPr>
        <w:t xml:space="preserve"> were telling him not to do that.”</w:t>
      </w:r>
    </w:p>
    <w:p>
      <w:pPr/>
      <w:r>
        <w:rPr>
          <w:lang w:val="en_US" w:bidi="en_US"/>
        </w:rPr>
      </w:r>
      <w:r>
        <w:rPr>
          <w:b/>
          <w:lang w:val="en_US" w:bidi="en_US"/>
        </w:rPr>
        <w:t>we tried to stop him:</w:t>
      </w:r>
      <w:r>
        <w:rPr>
          <w:lang w:val="en_US" w:bidi="en_US"/>
        </w:rPr>
        <w:t xml:space="preserve"> </w:t>
      </w:r>
      <w:r>
        <w:rPr>
          <w:lang w:val="en_US" w:bidi="en_US"/>
        </w:rPr>
        <w:t>There is a textual issue here. (1) Some Greek manuscripts have the imperfect tense of the verb, meaning in this context “tried to stop.” (2) Other Greek manuscripts (followed by the KJV) have the past tense, meaning “stopped.” It is recommended that you follow option (1).</w:t>
      </w:r>
      <w:r>
        <w:rPr>
          <w:lang w:val="en_US" w:bidi="en_US"/>
        </w:rPr>
        <w:t xml:space="preserve"> The Greek word that the BSB translates as </w:t>
      </w:r>
      <w:r>
        <w:rPr>
          <w:i/>
          <w:lang w:val="en_US" w:bidi="en_US"/>
        </w:rPr>
        <w:t>tried to stop</w:t>
      </w:r>
      <w:r>
        <w:rPr>
          <w:lang w:val="en_US" w:bidi="en_US"/>
        </w:rPr>
        <w:t xml:space="preserve"> is literally “were preventing” or “were forbidding.” The tense indicates that the disciples tried to make the man stop. They did this with words. They did not try to restrain him physically. Probably more than one of the disciples told him to stop. But the man probably continued to cast out demons.</w:t>
      </w:r>
    </w:p>
    <w:p>
      <w:pPr/>
      <w:r>
        <w:rPr>
          <w:lang w:val="en_US" w:bidi="en_US"/>
        </w:rPr>
      </w:r>
      <w:r>
        <w:rPr>
          <w:lang w:val="en_US" w:bidi="en_US"/>
        </w:rPr>
        <w:t>Some other ways to translate this are:</w:t>
      </w:r>
    </w:p>
    <w:p>
      <w:pPr/>
      <w:r>
        <w:rPr>
          <w:lang w:val="en_US" w:bidi="en_US"/>
        </w:rPr>
      </w:r>
      <w:r>
        <w:rPr>
          <w:lang w:val="en_US" w:bidi="en_US"/>
        </w:rPr>
        <w:t>we tried to hinder him (NASB)</w:t>
      </w:r>
    </w:p>
    <w:p>
      <w:pPr/>
      <w:r>
        <w:rPr>
          <w:lang w:val="en_US" w:bidi="en_US"/>
        </w:rPr>
      </w:r>
      <w:r>
        <w:rPr>
          <w:lang w:val="en_US" w:bidi="en_US"/>
        </w:rPr>
        <w:t>we were forbidding him to do that</w:t>
      </w:r>
    </w:p>
    <w:p>
      <w:pPr/>
      <w:r>
        <w:rPr>
          <w:lang w:val="en_US" w:bidi="en_US"/>
        </w:rPr>
      </w:r>
      <w:r>
        <w:rPr>
          <w:lang w:val="en_US" w:bidi="en_US"/>
        </w:rPr>
        <w:t>We told him to stop (NCV)</w:t>
      </w:r>
    </w:p>
    <w:p>
      <w:pPr/>
      <w:r>
        <w:rPr>
          <w:lang w:val="en_US" w:bidi="en_US"/>
        </w:rPr>
      </w:r>
      <w:r>
        <w:rPr>
          <w:b/>
          <w:lang w:val="en_US" w:bidi="en_US"/>
        </w:rPr>
        <w:t>to stop:</w:t>
      </w:r>
      <w:r>
        <w:rPr>
          <w:lang w:val="en_US" w:bidi="en_US"/>
        </w:rPr>
        <w:t xml:space="preserve"> It is implied that the disciples tried to make the man stop using Jesus’ name to cast out demons. If your language needs to say what was stopped, you could say:</w:t>
      </w:r>
    </w:p>
    <w:p>
      <w:pPr/>
      <w:r>
        <w:rPr>
          <w:lang w:val="en_US" w:bidi="en_US"/>
        </w:rPr>
      </w:r>
      <w:r>
        <w:rPr>
          <w:lang w:val="en_US" w:bidi="en_US"/>
        </w:rPr>
        <w:t xml:space="preserve">to stop </w:t>
      </w:r>
      <w:r>
        <w:rPr>
          <w:lang w:val="en_US" w:bidi="en_US"/>
        </w:rPr>
        <w:t>doing that</w:t>
      </w:r>
    </w:p>
    <w:p>
      <w:pPr/>
      <w:r>
        <w:rPr>
          <w:lang w:val="en_US" w:bidi="en_US"/>
        </w:rPr>
      </w:r>
      <w:r>
        <w:rPr>
          <w:lang w:val="en_US" w:bidi="en_US"/>
        </w:rPr>
        <w:t xml:space="preserve">to stop </w:t>
      </w:r>
      <w:r>
        <w:rPr>
          <w:lang w:val="en_US" w:bidi="en_US"/>
        </w:rPr>
        <w:t>driving/casting out demons using your name</w:t>
      </w:r>
    </w:p>
    <w:p>
      <w:pPr/>
      <w:r>
        <w:rPr>
          <w:lang w:val="en_US" w:bidi="en_US"/>
        </w:rPr>
      </w:r>
      <w:r>
        <w:rPr>
          <w:b/>
          <w:lang w:val="en_US" w:bidi="en_US"/>
        </w:rPr>
        <w:t>because he does not accompany us:</w:t>
      </w:r>
      <w:r>
        <w:rPr>
          <w:lang w:val="en_US" w:bidi="en_US"/>
        </w:rPr>
        <w:t xml:space="preserve"> The Greek clause that the BSB translates as </w:t>
      </w:r>
      <w:r>
        <w:rPr>
          <w:i/>
          <w:lang w:val="en_US" w:bidi="en_US"/>
        </w:rPr>
        <w:t>he does not accompany us</w:t>
      </w:r>
      <w:r>
        <w:rPr>
          <w:lang w:val="en_US" w:bidi="en_US"/>
        </w:rPr>
        <w:t xml:space="preserve"> is literally “he does not follow with us.” The word </w:t>
      </w:r>
      <w:r>
        <w:rPr>
          <w:i/>
          <w:lang w:val="en_US" w:bidi="en_US"/>
        </w:rPr>
        <w:t>us</w:t>
      </w:r>
      <w:r>
        <w:rPr>
          <w:lang w:val="en_US" w:bidi="en_US"/>
        </w:rPr>
        <w:t xml:space="preserve"> probably refers to Jesus and the twelve disciples. Some other ways to translate this are:</w:t>
      </w:r>
    </w:p>
    <w:p>
      <w:pPr/>
      <w:r>
        <w:rPr>
          <w:lang w:val="en_US" w:bidi="en_US"/>
        </w:rPr>
      </w:r>
      <w:r>
        <w:rPr>
          <w:lang w:val="en_US" w:bidi="en_US"/>
        </w:rPr>
        <w:t>he doesn’t belong to our group (GNT)</w:t>
      </w:r>
    </w:p>
    <w:p>
      <w:pPr/>
      <w:r>
        <w:rPr>
          <w:lang w:val="en_US" w:bidi="en_US"/>
        </w:rPr>
      </w:r>
      <w:r>
        <w:rPr>
          <w:lang w:val="en_US" w:bidi="en_US"/>
        </w:rPr>
        <w:t>he is not associated with us</w:t>
      </w:r>
      <w:r>
        <w:rPr>
          <w:vertAlign w:val="superscript"/>
          <w:lang w:val="en_US" w:bidi="en_US"/>
        </w:rPr>
        <w:t>(incl)</w:t>
      </w:r>
    </w:p>
    <w:p>
      <w:pPr>
        <w:pStyle w:val="Heading6"/>
      </w:pPr>
      <w:r>
        <w:rPr>
          <w:b/>
          <w:lang w:val="en_US" w:bidi="en_US"/>
        </w:rPr>
        <w:t>General Comment on 9:49b</w:t>
      </w:r>
    </w:p>
    <w:p>
      <w:pPr/>
      <w:r>
        <w:rPr>
          <w:lang w:val="en_US" w:bidi="en_US"/>
        </w:rPr>
      </w:r>
      <w:r>
        <w:rPr>
          <w:lang w:val="en_US" w:bidi="en_US"/>
        </w:rPr>
        <w:t>In some languages it may be more natural to reverse the order of the two clauses in 9:49b. It may be necessary to say first why the disciples tried to stop the man:</w:t>
      </w:r>
    </w:p>
    <w:p>
      <w:pPr/>
      <w:r>
        <w:rPr>
          <w:lang w:val="en_US" w:bidi="en_US"/>
        </w:rPr>
      </w:r>
      <w:r>
        <w:rPr>
          <w:lang w:val="en_US" w:bidi="en_US"/>
        </w:rPr>
        <w:t>He is not one of us</w:t>
      </w:r>
      <w:r>
        <w:rPr>
          <w:vertAlign w:val="superscript"/>
          <w:lang w:val="en_US" w:bidi="en_US"/>
        </w:rPr>
        <w:t>(incl)</w:t>
      </w:r>
      <w:r>
        <w:rPr>
          <w:lang w:val="en_US" w:bidi="en_US"/>
        </w:rPr>
        <w:t>, so we</w:t>
      </w:r>
      <w:r>
        <w:rPr>
          <w:vertAlign w:val="superscript"/>
          <w:lang w:val="en_US" w:bidi="en_US"/>
        </w:rPr>
        <w:t>(excl)</w:t>
      </w:r>
      <w:r>
        <w:rPr>
          <w:lang w:val="en_US" w:bidi="en_US"/>
        </w:rPr>
        <w:t xml:space="preserve"> tried to stop him.</w:t>
      </w:r>
    </w:p>
    <w:p>
      <w:pPr/>
      <w:r>
        <w:rPr>
          <w:lang w:val="en_US" w:bidi="en_US"/>
        </w:rPr>
      </w:r>
      <w:r>
        <w:rPr>
          <w:lang w:val="en_US" w:bidi="en_US"/>
        </w:rPr>
        <w:t>He does not follow you</w:t>
      </w:r>
      <w:r>
        <w:rPr>
          <w:vertAlign w:val="superscript"/>
          <w:lang w:val="en_US" w:bidi="en_US"/>
        </w:rPr>
        <w:t>(sing)</w:t>
      </w:r>
      <w:r>
        <w:rPr>
          <w:lang w:val="en_US" w:bidi="en_US"/>
        </w:rPr>
        <w:t xml:space="preserve"> as we</w:t>
      </w:r>
      <w:r>
        <w:rPr>
          <w:vertAlign w:val="superscript"/>
          <w:lang w:val="en_US" w:bidi="en_US"/>
        </w:rPr>
        <w:t>(excl)</w:t>
      </w:r>
      <w:r>
        <w:rPr>
          <w:lang w:val="en_US" w:bidi="en_US"/>
        </w:rPr>
        <w:t xml:space="preserve"> do. That is why we</w:t>
      </w:r>
      <w:r>
        <w:rPr>
          <w:vertAlign w:val="superscript"/>
          <w:lang w:val="en_US" w:bidi="en_US"/>
        </w:rPr>
        <w:t>(excl)</w:t>
      </w:r>
      <w:r>
        <w:rPr>
          <w:lang w:val="en_US" w:bidi="en_US"/>
        </w:rPr>
        <w:t xml:space="preserve"> tried to stop him.</w:t>
      </w:r>
      <w:r>
        <w:rPr>
          <w:lang w:val="en_US" w:bidi="en_US"/>
        </w:rPr>
      </w:r>
      <w:r>
        <w:rPr>
          <w:lang w:val="en_US" w:bidi="en_US"/>
        </w:rPr>
      </w:r>
    </w:p>
    <w:p>
      <w:pPr/>
      <w:r>
        <w:rPr>
          <w:lang w:val="en_US" w:bidi="en_US"/>
        </w:rPr>
      </w:r>
    </w:p>
    <w:p>
      <w:pPr>
        <w:pStyle w:val="Heading2"/>
      </w:pPr>
      <w:r>
        <w:rPr>
          <w:lang w:val="en_US" w:bidi="en_US"/>
        </w:rPr>
        <w:t>Luke 9:50</w:t>
      </w:r>
      <w:r>
        <w:rPr>
          <w:lang w:val="en_US" w:bidi="en_US"/>
        </w:rPr>
      </w:r>
    </w:p>
    <w:p>
      <w:pPr>
        <w:pStyle w:val="Heading4"/>
      </w:pPr>
      <w:r>
        <w:rPr>
          <w:lang w:val="en_US" w:bidi="en_US"/>
        </w:rPr>
        <w:t>Section 9:49–50: Jesus told who is for him and who is against him</w:t>
      </w:r>
    </w:p>
    <w:p>
      <w:pPr/>
      <w:r>
        <w:rPr>
          <w:lang w:val="en_US" w:bidi="en_US"/>
        </w:rPr>
      </w:r>
      <w:r>
        <w:rPr>
          <w:lang w:val="en_US" w:bidi="en_US"/>
        </w:rPr>
        <w:t>The connection of this section to the previous section is probably in the phrase “in my name.” In the previous Section 9:46–48, Jesus taught his disciples that a truly great person was one who humbly welcomed even a little child in his name. In this section, the disciple John responded that he and the other disciples had tried to stop a man from expelling demons in Jesus’ name. They did this because the man was not one of the twelve disciples. Jesus then taught them that anyone who did not oppose them was on their side.</w:t>
      </w:r>
    </w:p>
    <w:p>
      <w:pPr/>
      <w:r>
        <w:rPr>
          <w:lang w:val="en_US" w:bidi="en_US"/>
        </w:rPr>
      </w:r>
      <w:r>
        <w:rPr>
          <w:lang w:val="en_US" w:bidi="en_US"/>
        </w:rPr>
        <w:t>Some other examples of headings for this section are:</w:t>
      </w:r>
    </w:p>
    <w:p>
      <w:pPr/>
      <w:r>
        <w:rPr>
          <w:lang w:val="en_US" w:bidi="en_US"/>
        </w:rPr>
      </w:r>
      <w:r>
        <w:rPr>
          <w:lang w:val="en_US" w:bidi="en_US"/>
        </w:rPr>
        <w:t>Whoever Is Not against You Is for You (GNT)</w:t>
      </w:r>
    </w:p>
    <w:p>
      <w:pPr/>
      <w:r>
        <w:rPr>
          <w:lang w:val="en_US" w:bidi="en_US"/>
        </w:rPr>
      </w:r>
      <w:r>
        <w:rPr>
          <w:lang w:val="en_US" w:bidi="en_US"/>
        </w:rPr>
        <w:t>Those who do not oppose you help you</w:t>
      </w:r>
    </w:p>
    <w:p>
      <w:pPr/>
      <w:r>
        <w:rPr>
          <w:lang w:val="en_US" w:bidi="en_US"/>
        </w:rPr>
      </w:r>
      <w:r>
        <w:rPr>
          <w:lang w:val="en_US" w:bidi="en_US"/>
        </w:rPr>
        <w:t>There is a parallel passage for this section in Mark 9:38–40.</w:t>
      </w:r>
    </w:p>
    <w:p>
      <w:pPr/>
      <w:r>
        <w:rPr>
          <w:lang w:val="en_US" w:bidi="en_US"/>
        </w:rPr>
      </w:r>
    </w:p>
    <w:p>
      <w:pPr>
        <w:pStyle w:val="Heading5"/>
      </w:pPr>
      <w:r>
        <w:rPr>
          <w:lang w:val="en_US" w:bidi="en_US"/>
        </w:rPr>
        <w:t>9:50a</w:t>
      </w:r>
    </w:p>
    <w:p>
      <w:pPr/>
      <w:r>
        <w:rPr>
          <w:lang w:val="en_US" w:bidi="en_US"/>
        </w:rPr>
      </w:r>
      <w:r>
        <w:rPr>
          <w:b/>
          <w:lang w:val="en_US" w:bidi="en_US"/>
        </w:rPr>
        <w:t>“Do not stop him,” Jesus replied,</w:t>
      </w:r>
    </w:p>
    <w:p>
      <w:pPr>
        <w:pStyle w:val="ListBullet"/>
        <w:spacing w:line="240" w:lineRule="auto"/>
        <w:ind w:left="720"/>
      </w:pPr>
      <w:r>
        <w:rPr>
          <w:lang w:val="en_US" w:bidi="en_US"/>
        </w:rPr>
      </w:r>
      <w:r>
        <w:rPr>
          <w:lang w:val="en_US" w:bidi="en_US"/>
        </w:rPr>
        <w:t>But Jesus said, “Do</w:t>
      </w:r>
      <w:r>
        <w:rPr>
          <w:vertAlign w:val="superscript"/>
          <w:lang w:val="en_US" w:bidi="en_US"/>
        </w:rPr>
        <w:t>(plur)</w:t>
      </w:r>
      <w:r>
        <w:rPr>
          <w:lang w:val="en_US" w:bidi="en_US"/>
        </w:rPr>
        <w:t xml:space="preserve"> not stop him,</w:t>
      </w:r>
    </w:p>
    <w:p>
      <w:pPr>
        <w:pStyle w:val="ListBullet"/>
        <w:spacing w:line="240" w:lineRule="auto"/>
        <w:ind w:left="720"/>
      </w:pPr>
      <w:r>
        <w:rPr>
          <w:lang w:val="en_US" w:bidi="en_US"/>
        </w:rPr>
      </w:r>
      <w:r>
        <w:rPr>
          <w:lang w:val="en_US" w:bidi="en_US"/>
        </w:rPr>
        <w:t>Jesus replied, “Do</w:t>
      </w:r>
      <w:r>
        <w:rPr>
          <w:vertAlign w:val="superscript"/>
          <w:lang w:val="en_US" w:bidi="en_US"/>
        </w:rPr>
        <w:t>(plur)</w:t>
      </w:r>
      <w:r>
        <w:rPr>
          <w:lang w:val="en_US" w:bidi="en_US"/>
        </w:rPr>
        <w:t xml:space="preserve"> not forbid </w:t>
      </w:r>
      <w:r>
        <w:rPr>
          <w:lang w:val="en_US" w:bidi="en_US"/>
        </w:rPr>
        <w:t>people like</w:t>
      </w:r>
      <w:r>
        <w:rPr>
          <w:lang w:val="en_US" w:bidi="en_US"/>
        </w:rPr>
        <w:t xml:space="preserve"> him </w:t>
      </w:r>
      <w:r>
        <w:rPr>
          <w:lang w:val="en_US" w:bidi="en_US"/>
        </w:rPr>
        <w:t>from using my name</w:t>
      </w:r>
      <w:r>
        <w:rPr>
          <w:lang w:val="en_US" w:bidi="en_US"/>
        </w:rPr>
        <w:t xml:space="preserve"> </w:t>
      </w:r>
      <w:r>
        <w:rPr>
          <w:lang w:val="en_US" w:bidi="en_US"/>
        </w:rPr>
        <w:t>to do that</w:t>
      </w:r>
      <w:r>
        <w:rPr>
          <w:lang w:val="en_US" w:bidi="en_US"/>
        </w:rPr>
        <w:t>,</w:t>
      </w:r>
    </w:p>
    <w:p>
      <w:pPr/>
      <w:r>
        <w:rPr>
          <w:lang w:val="en_US" w:bidi="en_US"/>
        </w:rPr>
      </w:r>
      <w:r>
        <w:rPr>
          <w:b/>
          <w:lang w:val="en_US" w:bidi="en_US"/>
        </w:rPr>
        <w:t>Jesus replied</w:t>
      </w:r>
      <w:r>
        <w:rPr>
          <w:lang w:val="en_US" w:bidi="en_US"/>
        </w:rPr>
        <w:t xml:space="preserve"> In Greek this verse is literally “And/But Jesus said to him.” Jesus told John that they should not stop the man. Introduce Jesus’ words in a natural way in your language.</w:t>
      </w:r>
    </w:p>
    <w:p>
      <w:pPr/>
      <w:r>
        <w:rPr>
          <w:lang w:val="en_US" w:bidi="en_US"/>
        </w:rPr>
      </w:r>
      <w:r>
        <w:rPr>
          <w:lang w:val="en_US" w:bidi="en_US"/>
        </w:rPr>
        <w:t>The Greek text specifies “to him.” Most English versions include these words. However, the verb phrase “Do not stop” is plural. This indicates that Jesus addressed this phrase not only to John but also to the other disciples. Another way to translate this is:</w:t>
      </w:r>
    </w:p>
    <w:p>
      <w:pPr/>
      <w:r>
        <w:rPr>
          <w:lang w:val="en_US" w:bidi="en_US"/>
        </w:rPr>
      </w:r>
      <w:r>
        <w:rPr>
          <w:lang w:val="en_US" w:bidi="en_US"/>
        </w:rPr>
        <w:t>Jesus said to him and to the other disciples (GNT)</w:t>
      </w:r>
    </w:p>
    <w:p>
      <w:pPr/>
      <w:r>
        <w:rPr>
          <w:lang w:val="en_US" w:bidi="en_US"/>
        </w:rPr>
      </w:r>
      <w:r>
        <w:rPr>
          <w:lang w:val="en_US" w:bidi="en_US"/>
        </w:rPr>
        <w:t xml:space="preserve">The BSB says only </w:t>
      </w:r>
      <w:r>
        <w:rPr>
          <w:i/>
          <w:lang w:val="en_US" w:bidi="en_US"/>
        </w:rPr>
        <w:t>Jesus replied</w:t>
      </w:r>
      <w:r>
        <w:rPr>
          <w:lang w:val="en_US" w:bidi="en_US"/>
        </w:rPr>
        <w:t>. It does not specify to whom Jesus was talking. Consider whether you need to make this information explicit in your translation.</w:t>
      </w:r>
    </w:p>
    <w:p>
      <w:pPr/>
      <w:r>
        <w:rPr>
          <w:lang w:val="en_US" w:bidi="en_US"/>
        </w:rPr>
      </w:r>
      <w:r>
        <w:rPr>
          <w:b/>
          <w:lang w:val="en_US" w:bidi="en_US"/>
        </w:rPr>
        <w:t>Do not stop him:</w:t>
      </w:r>
      <w:r>
        <w:rPr>
          <w:lang w:val="en_US" w:bidi="en_US"/>
        </w:rPr>
        <w:t xml:space="preserve"> The command </w:t>
      </w:r>
      <w:r>
        <w:rPr>
          <w:i/>
          <w:lang w:val="en_US" w:bidi="en_US"/>
        </w:rPr>
        <w:t>Do not stop</w:t>
      </w:r>
      <w:r>
        <w:rPr>
          <w:lang w:val="en_US" w:bidi="en_US"/>
        </w:rPr>
        <w:t xml:space="preserve"> is in the present tense in Greek. In this context, this tense indicates a general principle: “Do not be stopping.” You should translate this as a general principle. For example:</w:t>
      </w:r>
    </w:p>
    <w:p>
      <w:pPr/>
      <w:r>
        <w:rPr>
          <w:lang w:val="en_US" w:bidi="en_US"/>
        </w:rPr>
      </w:r>
      <w:r>
        <w:rPr>
          <w:lang w:val="en_US" w:bidi="en_US"/>
        </w:rPr>
        <w:t xml:space="preserve">Do not stop </w:t>
      </w:r>
      <w:r>
        <w:rPr>
          <w:lang w:val="en_US" w:bidi="en_US"/>
        </w:rPr>
        <w:t>people like</w:t>
      </w:r>
      <w:r>
        <w:rPr>
          <w:lang w:val="en_US" w:bidi="en_US"/>
        </w:rPr>
        <w:t xml:space="preserve"> him.</w:t>
      </w:r>
    </w:p>
    <w:p>
      <w:pPr/>
      <w:r>
        <w:rPr>
          <w:lang w:val="en_US" w:bidi="en_US"/>
        </w:rPr>
      </w:r>
      <w:r>
        <w:rPr>
          <w:b/>
          <w:lang w:val="en_US" w:bidi="en_US"/>
        </w:rPr>
        <w:t>stop him:</w:t>
      </w:r>
      <w:r>
        <w:rPr>
          <w:lang w:val="en_US" w:bidi="en_US"/>
        </w:rPr>
        <w:t xml:space="preserve"> As in 9:49b, it may be necessary to say explicitly what action was stopped. If this is true in your language, use an expression that is similar to the expression in 9:49b.</w:t>
      </w:r>
    </w:p>
    <w:p>
      <w:pPr/>
      <w:r>
        <w:rPr>
          <w:lang w:val="en_US" w:bidi="en_US"/>
        </w:rPr>
      </w:r>
      <w:r>
        <w:rPr>
          <w:b/>
          <w:lang w:val="en_US" w:bidi="en_US"/>
        </w:rPr>
        <w:t>Jesus replied:</w:t>
      </w:r>
      <w:r>
        <w:rPr>
          <w:lang w:val="en_US" w:bidi="en_US"/>
        </w:rPr>
        <w:t xml:space="preserve"> The Greek phrase that the BSB translates as </w:t>
      </w:r>
      <w:r>
        <w:rPr>
          <w:i/>
          <w:lang w:val="en_US" w:bidi="en_US"/>
        </w:rPr>
        <w:t>Jesus replied</w:t>
      </w:r>
      <w:r>
        <w:rPr>
          <w:lang w:val="en_US" w:bidi="en_US"/>
        </w:rPr>
        <w:t xml:space="preserve"> is literally “Jesus said.” In some languages it may be more natural to translate the clause the way the BSB does, since Jesus responded to what John said. See the note at the beginning of 9:50a.</w:t>
      </w:r>
    </w:p>
    <w:p>
      <w:pPr/>
      <w:r>
        <w:rPr>
          <w:lang w:val="en_US" w:bidi="en_US"/>
        </w:rPr>
      </w:r>
      <w:r>
        <w:rPr>
          <w:lang w:val="en_US" w:bidi="en_US"/>
        </w:rPr>
        <w:t xml:space="preserve">In Greek, these words occur at the beginning of 9:50. Most English versions put them there. The BSB places the words </w:t>
      </w:r>
      <w:r>
        <w:rPr>
          <w:i/>
          <w:lang w:val="en_US" w:bidi="en_US"/>
        </w:rPr>
        <w:t>Jesus replied</w:t>
      </w:r>
      <w:r>
        <w:rPr>
          <w:lang w:val="en_US" w:bidi="en_US"/>
        </w:rPr>
        <w:t xml:space="preserve"> in the middle of Jesus’ response. Place the clause that introduces the quote where it is natural in your language.</w:t>
      </w:r>
    </w:p>
    <w:p>
      <w:pPr>
        <w:pStyle w:val="Heading5"/>
      </w:pPr>
      <w:r>
        <w:rPr>
          <w:lang w:val="en_US" w:bidi="en_US"/>
        </w:rPr>
        <w:t>9:50b</w:t>
      </w:r>
    </w:p>
    <w:p>
      <w:pPr/>
      <w:r>
        <w:rPr>
          <w:lang w:val="en_US" w:bidi="en_US"/>
        </w:rPr>
      </w:r>
      <w:r>
        <w:rPr>
          <w:b/>
          <w:lang w:val="en_US" w:bidi="en_US"/>
        </w:rPr>
        <w:t>“for whoever is not against you is for you.”</w:t>
      </w:r>
    </w:p>
    <w:p>
      <w:pPr>
        <w:pStyle w:val="ListBullet"/>
        <w:spacing w:line="240" w:lineRule="auto"/>
        <w:ind w:left="720"/>
      </w:pPr>
      <w:r>
        <w:rPr>
          <w:lang w:val="en_US" w:bidi="en_US"/>
        </w:rPr>
      </w:r>
      <w:r>
        <w:rPr>
          <w:lang w:val="en_US" w:bidi="en_US"/>
        </w:rPr>
        <w:t>because anyone who is not opposing you</w:t>
      </w:r>
      <w:r>
        <w:rPr>
          <w:vertAlign w:val="superscript"/>
          <w:lang w:val="en_US" w:bidi="en_US"/>
        </w:rPr>
        <w:t>(plur)</w:t>
      </w:r>
      <w:r>
        <w:rPr>
          <w:lang w:val="en_US" w:bidi="en_US"/>
        </w:rPr>
        <w:t xml:space="preserve"> is helping you.”</w:t>
      </w:r>
    </w:p>
    <w:p>
      <w:pPr>
        <w:pStyle w:val="ListBullet"/>
        <w:spacing w:line="240" w:lineRule="auto"/>
        <w:ind w:left="720"/>
      </w:pPr>
      <w:r>
        <w:rPr>
          <w:lang w:val="en_US" w:bidi="en_US"/>
        </w:rPr>
      </w:r>
      <w:r>
        <w:rPr>
          <w:lang w:val="en_US" w:bidi="en_US"/>
        </w:rPr>
        <w:t>because whoever is not against you</w:t>
      </w:r>
      <w:r>
        <w:rPr>
          <w:vertAlign w:val="superscript"/>
          <w:lang w:val="en_US" w:bidi="en_US"/>
        </w:rPr>
        <w:t>(plur)</w:t>
      </w:r>
      <w:r>
        <w:rPr>
          <w:lang w:val="en_US" w:bidi="en_US"/>
        </w:rPr>
        <w:t xml:space="preserve"> is on your side.”</w:t>
      </w:r>
    </w:p>
    <w:p>
      <w:pPr>
        <w:pStyle w:val="ListBullet"/>
        <w:spacing w:line="240" w:lineRule="auto"/>
        <w:ind w:left="720"/>
      </w:pPr>
      <w:r>
        <w:rPr>
          <w:lang w:val="en_US" w:bidi="en_US"/>
        </w:rPr>
      </w:r>
      <w:r>
        <w:rPr>
          <w:lang w:val="en_US" w:bidi="en_US"/>
        </w:rPr>
        <w:t>because anyone who is not your</w:t>
      </w:r>
      <w:r>
        <w:rPr>
          <w:vertAlign w:val="superscript"/>
          <w:lang w:val="en_US" w:bidi="en_US"/>
        </w:rPr>
        <w:t>(plur)</w:t>
      </w:r>
      <w:r>
        <w:rPr>
          <w:lang w:val="en_US" w:bidi="en_US"/>
        </w:rPr>
        <w:t xml:space="preserve"> enemy is your friend.”</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reason/basis for the command in 9:50a.</w:t>
      </w:r>
    </w:p>
    <w:p>
      <w:pPr/>
      <w:r>
        <w:rPr>
          <w:lang w:val="en_US" w:bidi="en_US"/>
        </w:rPr>
      </w:r>
      <w:r>
        <w:rPr>
          <w:lang w:val="en_US" w:bidi="en_US"/>
        </w:rPr>
        <w:t>For a way to change the order of 9:50a–b, see the General Comment on 9:50a–b below.</w:t>
      </w:r>
    </w:p>
    <w:p>
      <w:pPr/>
      <w:r>
        <w:rPr>
          <w:lang w:val="en_US" w:bidi="en_US"/>
        </w:rPr>
      </w:r>
      <w:r>
        <w:rPr>
          <w:b/>
          <w:lang w:val="en_US" w:bidi="en_US"/>
        </w:rPr>
        <w:t>whoever is not against you is for you:</w:t>
      </w:r>
      <w:r>
        <w:rPr>
          <w:lang w:val="en_US" w:bidi="en_US"/>
        </w:rPr>
        <w:t xml:space="preserve"> This expression states that there are two groups of people:</w:t>
      </w:r>
    </w:p>
    <w:p>
      <w:pPr>
        <w:pStyle w:val="ListNumber"/>
        <w:numPr>
          <w:ilvl w:val="0"/>
          <w:numId w:val="203"/>
        </w:numPr>
        <w:spacing w:line="240" w:lineRule="auto"/>
        <w:ind w:left="720"/>
      </w:pPr>
      <w:r>
        <w:rPr>
          <w:lang w:val="en_US" w:bidi="en_US"/>
        </w:rPr>
      </w:r>
      <w:r>
        <w:rPr>
          <w:lang w:val="en_US" w:bidi="en_US"/>
        </w:rPr>
        <w:t>Those who are for Jesus.</w:t>
      </w:r>
    </w:p>
    <w:p>
      <w:pPr>
        <w:pStyle w:val="ListNumber"/>
        <w:spacing w:line="240" w:lineRule="auto"/>
        <w:ind w:left="720"/>
      </w:pPr>
      <w:r>
        <w:rPr>
          <w:lang w:val="en_US" w:bidi="en_US"/>
        </w:rPr>
      </w:r>
      <w:r>
        <w:rPr>
          <w:lang w:val="en_US" w:bidi="en_US"/>
        </w:rPr>
        <w:t>Those who are against Jesus.</w:t>
      </w:r>
    </w:p>
    <w:p>
      <w:pPr/>
      <w:r>
        <w:rPr>
          <w:lang w:val="en_US" w:bidi="en_US"/>
        </w:rPr>
      </w:r>
      <w:r>
        <w:rPr>
          <w:lang w:val="en_US" w:bidi="en_US"/>
        </w:rPr>
        <w:t xml:space="preserve">All people are in one of these two groups. So if someone is </w:t>
      </w:r>
      <w:r>
        <w:rPr>
          <w:i/>
          <w:lang w:val="en_US" w:bidi="en_US"/>
        </w:rPr>
        <w:t>not against you</w:t>
      </w:r>
      <w:r>
        <w:rPr>
          <w:lang w:val="en_US" w:bidi="en_US"/>
        </w:rPr>
        <w:t xml:space="preserve">, then he </w:t>
      </w:r>
      <w:r>
        <w:rPr>
          <w:i/>
          <w:lang w:val="en_US" w:bidi="en_US"/>
        </w:rPr>
        <w:t>is for you</w:t>
      </w:r>
      <w:r>
        <w:rPr>
          <w:lang w:val="en_US" w:bidi="en_US"/>
        </w:rPr>
        <w:t xml:space="preserve">. The pronoun </w:t>
      </w:r>
      <w:r>
        <w:rPr>
          <w:i/>
          <w:lang w:val="en_US" w:bidi="en_US"/>
        </w:rPr>
        <w:t>you</w:t>
      </w:r>
      <w:r>
        <w:rPr>
          <w:lang w:val="en_US" w:bidi="en_US"/>
        </w:rPr>
        <w:t xml:space="preserve"> refers primarily to Jesus’ disciples. The parallel verse in Mark 9:40 uses the pronoun “us,” referring to both Jesus and his disciples, but Luke focused here on the disciples. Some other ways to translate this are:</w:t>
      </w:r>
    </w:p>
    <w:p>
      <w:pPr/>
      <w:r>
        <w:rPr>
          <w:lang w:val="en_US" w:bidi="en_US"/>
        </w:rPr>
      </w:r>
      <w:r>
        <w:rPr>
          <w:lang w:val="en_US" w:bidi="en_US"/>
        </w:rPr>
        <w:t>The man who is not against you is on your side. (JBP)</w:t>
      </w:r>
    </w:p>
    <w:p>
      <w:pPr/>
      <w:r>
        <w:rPr>
          <w:lang w:val="en_US" w:bidi="en_US"/>
        </w:rPr>
      </w:r>
      <w:r>
        <w:rPr>
          <w:lang w:val="en_US" w:bidi="en_US"/>
        </w:rPr>
        <w:t>the person who is not your enemy is your friend</w:t>
      </w:r>
    </w:p>
    <w:p>
      <w:pPr>
        <w:pStyle w:val="Heading6"/>
      </w:pPr>
      <w:r>
        <w:rPr>
          <w:b/>
          <w:lang w:val="en_US" w:bidi="en_US"/>
        </w:rPr>
        <w:t>General Comment on 9:50a–b</w:t>
      </w:r>
    </w:p>
    <w:p>
      <w:pPr/>
      <w:r>
        <w:rPr>
          <w:lang w:val="en_US" w:bidi="en_US"/>
        </w:rPr>
      </w:r>
      <w:r>
        <w:rPr>
          <w:lang w:val="en_US" w:bidi="en_US"/>
        </w:rPr>
        <w:t>In some languages, it may be more natural to put the basis for Jesus’ command (9:50b) before the command (9:50a). For example:</w:t>
      </w:r>
    </w:p>
    <w:p>
      <w:pPr/>
      <w:r>
        <w:rPr>
          <w:lang w:val="en_US" w:bidi="en_US"/>
        </w:rPr>
      </w:r>
      <w:r>
        <w:rPr>
          <w:vertAlign w:val="superscript"/>
          <w:lang w:val="en_US" w:bidi="en_US"/>
        </w:rPr>
        <w:t>50b</w:t>
      </w:r>
      <w:r>
        <w:rPr>
          <w:lang w:val="en_US" w:bidi="en_US"/>
        </w:rPr>
        <w:t xml:space="preserve">Whoever is not against you is for you. </w:t>
      </w:r>
      <w:r>
        <w:rPr>
          <w:vertAlign w:val="superscript"/>
          <w:lang w:val="en_US" w:bidi="en_US"/>
        </w:rPr>
        <w:t>50a</w:t>
      </w:r>
      <w:r>
        <w:rPr>
          <w:lang w:val="en_US" w:bidi="en_US"/>
        </w:rPr>
        <w:t>So/Therefore do not stop him.</w:t>
      </w:r>
    </w:p>
    <w:p>
      <w:pPr/>
      <w:r>
        <w:rPr>
          <w:lang w:val="en_US" w:bidi="en_US"/>
        </w:rPr>
      </w:r>
      <w:r>
        <w:rPr>
          <w:lang w:val="en_US" w:bidi="en_US"/>
        </w:rPr>
        <w:t>Another major division of the Gospel of Luke begins here at 9:51 and continues through 19:27. Jesus, with his disciples, started on a trip from Galilee to Jerusalem. They went through the districts of Samaria and Perea and entered the district of Judea on the way to Jerusalem.</w:t>
      </w:r>
      <w:r>
        <w:rPr>
          <w:lang w:val="en_US" w:bidi="en_US"/>
        </w:rPr>
      </w:r>
      <w:r>
        <w:rPr>
          <w:lang w:val="en_US" w:bidi="en_US"/>
        </w:rPr>
      </w:r>
    </w:p>
    <w:p>
      <w:pPr/>
      <w:r>
        <w:rPr>
          <w:lang w:val="en_US" w:bidi="en_US"/>
        </w:rPr>
      </w:r>
    </w:p>
    <w:p>
      <w:pPr>
        <w:pStyle w:val="Heading2"/>
      </w:pPr>
      <w:r>
        <w:rPr>
          <w:lang w:val="en_US" w:bidi="en_US"/>
        </w:rPr>
        <w:t>Luke 9:51</w:t>
      </w:r>
      <w:r>
        <w:rPr>
          <w:lang w:val="en_US" w:bidi="en_US"/>
        </w:rPr>
      </w:r>
    </w:p>
    <w:p>
      <w:pPr>
        <w:pStyle w:val="Heading4"/>
      </w:pPr>
      <w:r>
        <w:rPr>
          <w:lang w:val="en_US" w:bidi="en_US"/>
        </w:rPr>
        <w:t>Section 9:51–56: The people of a Samaritan village refused to receive Jesus</w:t>
      </w:r>
    </w:p>
    <w:p>
      <w:pPr/>
      <w:r>
        <w:rPr>
          <w:lang w:val="en_US" w:bidi="en_US"/>
        </w:rPr>
      </w:r>
      <w:r>
        <w:rPr>
          <w:lang w:val="en_US" w:bidi="en_US"/>
        </w:rPr>
        <w:t>Even though the Samaritan people were partly Jewish (2 Kings 17:24–41), they worshiped God differently than the Jews did. Their main place of worship was on Mount Gerazim, while the Jews’ main place of worship was in Jerusalem (John 4:20). The Samaritans did not want Jews to travel through their district on the way to worship in Jerusalem. That is why they rejected Jesus and his disciples.</w:t>
      </w:r>
    </w:p>
    <w:p>
      <w:pPr/>
      <w:r>
        <w:rPr>
          <w:lang w:val="en_US" w:bidi="en_US"/>
        </w:rPr>
      </w:r>
      <w:r>
        <w:rPr>
          <w:lang w:val="en_US" w:bidi="en_US"/>
        </w:rPr>
        <w:t>Some other examples of headings for this section are:</w:t>
      </w:r>
    </w:p>
    <w:p>
      <w:pPr/>
      <w:r>
        <w:rPr>
          <w:lang w:val="en_US" w:bidi="en_US"/>
        </w:rPr>
      </w:r>
      <w:r>
        <w:rPr>
          <w:lang w:val="en_US" w:bidi="en_US"/>
        </w:rPr>
        <w:t>People From a Samaritan Village Reject Jesus (GW)</w:t>
      </w:r>
    </w:p>
    <w:p>
      <w:pPr/>
      <w:r>
        <w:rPr>
          <w:lang w:val="en_US" w:bidi="en_US"/>
        </w:rPr>
      </w:r>
      <w:r>
        <w:rPr>
          <w:lang w:val="en_US" w:bidi="en_US"/>
        </w:rPr>
        <w:t>Samaritan Opposition (NIV)</w:t>
      </w:r>
    </w:p>
    <w:p>
      <w:pPr>
        <w:pStyle w:val="Heading5"/>
      </w:pPr>
      <w:r>
        <w:rPr>
          <w:lang w:val="en_US" w:bidi="en_US"/>
        </w:rPr>
        <w:t>9:51a</w:t>
      </w:r>
    </w:p>
    <w:p>
      <w:pPr/>
      <w:r>
        <w:rPr>
          <w:lang w:val="en_US" w:bidi="en_US"/>
        </w:rPr>
      </w:r>
      <w:r>
        <w:rPr>
          <w:b/>
          <w:lang w:val="en_US" w:bidi="en_US"/>
        </w:rPr>
        <w:t>As the day of His ascension approached,</w:t>
      </w:r>
    </w:p>
    <w:p>
      <w:pPr>
        <w:pStyle w:val="ListBullet"/>
        <w:spacing w:line="240" w:lineRule="auto"/>
        <w:ind w:left="720"/>
      </w:pPr>
      <w:r>
        <w:rPr>
          <w:lang w:val="en_US" w:bidi="en_US"/>
        </w:rPr>
      </w:r>
      <w:r>
        <w:rPr>
          <w:lang w:val="en_US" w:bidi="en_US"/>
        </w:rPr>
        <w:t>¶ When the time for Jesus’ ascension was approaching,</w:t>
      </w:r>
    </w:p>
    <w:p>
      <w:pPr>
        <w:pStyle w:val="ListBullet"/>
        <w:spacing w:line="240" w:lineRule="auto"/>
        <w:ind w:left="720"/>
      </w:pPr>
      <w:r>
        <w:rPr>
          <w:lang w:val="en_US" w:bidi="en_US"/>
        </w:rPr>
      </w:r>
      <w:r>
        <w:rPr>
          <w:lang w:val="en_US" w:bidi="en_US"/>
        </w:rPr>
        <w:t xml:space="preserve">¶ The time </w:t>
      </w:r>
      <w:r>
        <w:rPr>
          <w:lang w:val="en_US" w:bidi="en_US"/>
        </w:rPr>
        <w:t>for God</w:t>
      </w:r>
      <w:r>
        <w:rPr>
          <w:lang w:val="en_US" w:bidi="en_US"/>
        </w:rPr>
        <w:t xml:space="preserve"> to take Jesus </w:t>
      </w:r>
      <w:r>
        <w:rPr>
          <w:lang w:val="en_US" w:bidi="en_US"/>
        </w:rPr>
        <w:t>back</w:t>
      </w:r>
      <w:r>
        <w:rPr>
          <w:lang w:val="en_US" w:bidi="en_US"/>
        </w:rPr>
        <w:t xml:space="preserve"> up to heaven was getting near.</w:t>
      </w:r>
    </w:p>
    <w:p>
      <w:pPr>
        <w:pStyle w:val="ListBullet"/>
        <w:spacing w:line="240" w:lineRule="auto"/>
        <w:ind w:left="720"/>
      </w:pPr>
      <w:r>
        <w:rPr>
          <w:lang w:val="en_US" w:bidi="en_US"/>
        </w:rPr>
      </w:r>
      <w:r>
        <w:rPr>
          <w:lang w:val="en_US" w:bidi="en_US"/>
        </w:rPr>
        <w:t xml:space="preserve">¶ It was almost time for Jesus to go </w:t>
      </w:r>
      <w:r>
        <w:rPr>
          <w:lang w:val="en_US" w:bidi="en_US"/>
        </w:rPr>
        <w:t>back</w:t>
      </w:r>
      <w:r>
        <w:rPr>
          <w:lang w:val="en_US" w:bidi="en_US"/>
        </w:rPr>
        <w:t xml:space="preserve"> up to heaven.</w:t>
      </w:r>
    </w:p>
    <w:p>
      <w:pPr/>
      <w:r>
        <w:rPr>
          <w:lang w:val="en_US" w:bidi="en_US"/>
        </w:rPr>
      </w:r>
      <w:r>
        <w:rPr>
          <w:lang w:val="en_US" w:bidi="en_US"/>
        </w:rPr>
        <w:t>In Greek, this verse starts with the phrase “And it happened that.” Some English versions translate this clause. For example:</w:t>
      </w:r>
    </w:p>
    <w:p>
      <w:pPr/>
      <w:r>
        <w:rPr>
          <w:lang w:val="en_US" w:bidi="en_US"/>
        </w:rPr>
      </w:r>
      <w:r>
        <w:rPr>
          <w:lang w:val="en_US" w:bidi="en_US"/>
        </w:rPr>
        <w:t>Now it happened that (NJB)</w:t>
      </w:r>
    </w:p>
    <w:p>
      <w:pPr/>
      <w:r>
        <w:rPr>
          <w:lang w:val="en_US" w:bidi="en_US"/>
        </w:rPr>
      </w:r>
      <w:r>
        <w:rPr>
          <w:lang w:val="en_US" w:bidi="en_US"/>
        </w:rPr>
        <w:t>However, most English versions omit this clause. Luke used this clause to introduce a new event. You should introduce this event in a way that is natural in your language.</w:t>
      </w:r>
    </w:p>
    <w:p>
      <w:pPr/>
      <w:r>
        <w:rPr>
          <w:lang w:val="en_US" w:bidi="en_US"/>
        </w:rPr>
      </w:r>
      <w:r>
        <w:rPr>
          <w:b/>
          <w:lang w:val="en_US" w:bidi="en_US"/>
        </w:rPr>
        <w:t>As the day…approached:</w:t>
      </w:r>
      <w:r>
        <w:rPr>
          <w:lang w:val="en_US" w:bidi="en_US"/>
        </w:rPr>
        <w:t xml:space="preserve"> The Greek clause that the BSB translates as </w:t>
      </w:r>
      <w:r>
        <w:rPr>
          <w:i/>
          <w:lang w:val="en_US" w:bidi="en_US"/>
        </w:rPr>
        <w:t>the day…approached</w:t>
      </w:r>
      <w:r>
        <w:rPr>
          <w:lang w:val="en_US" w:bidi="en_US"/>
        </w:rPr>
        <w:t xml:space="preserve"> is more literally “the days were approaching” or “the days were being completed/fulfilled.” In this context the clause indicates that it was nearly time for Jesus to go back up to heaven. This clause also implies that God had already planned the number of days before that would happen.</w:t>
      </w:r>
      <w:r>
        <w:rPr>
          <w:lang w:val="en_US" w:bidi="en_US"/>
        </w:rPr>
        <w:t>Quite a few scholars (including Fitzmyer, Alford, Bock, Godet, Plummer, Stein, Hendriksen, Marshall, and Nolland) understand this phrase to imply completion or fulfillment of a predetermined number of days according to God’s plan. Few English versions make this implication explicit.</w:t>
      </w:r>
      <w:r>
        <w:rPr>
          <w:lang w:val="en_US" w:bidi="en_US"/>
        </w:rPr>
        <w:t xml:space="preserve"> Some other ways to translate this clause are:</w:t>
      </w:r>
    </w:p>
    <w:p>
      <w:pPr/>
      <w:r>
        <w:rPr>
          <w:lang w:val="en_US" w:bidi="en_US"/>
        </w:rPr>
      </w:r>
      <w:r>
        <w:rPr>
          <w:lang w:val="en_US" w:bidi="en_US"/>
        </w:rPr>
        <w:t>When the days were approaching (NASB)</w:t>
      </w:r>
    </w:p>
    <w:p>
      <w:pPr/>
      <w:r>
        <w:rPr>
          <w:lang w:val="en_US" w:bidi="en_US"/>
        </w:rPr>
      </w:r>
      <w:r>
        <w:rPr>
          <w:lang w:val="en_US" w:bidi="en_US"/>
        </w:rPr>
        <w:t>Not long before it was time (CEV)</w:t>
      </w:r>
    </w:p>
    <w:p>
      <w:pPr/>
      <w:r>
        <w:rPr>
          <w:lang w:val="en_US" w:bidi="en_US"/>
        </w:rPr>
      </w:r>
      <w:r>
        <w:rPr>
          <w:lang w:val="en_US" w:bidi="en_US"/>
        </w:rPr>
        <w:t>The time was coming closer (GW)</w:t>
      </w:r>
    </w:p>
    <w:p>
      <w:pPr/>
      <w:r>
        <w:rPr>
          <w:lang w:val="en_US" w:bidi="en_US"/>
        </w:rPr>
      </w:r>
      <w:r>
        <w:rPr>
          <w:b/>
          <w:lang w:val="en_US" w:bidi="en_US"/>
        </w:rPr>
        <w:t>of His ascension:</w:t>
      </w:r>
      <w:r>
        <w:rPr>
          <w:lang w:val="en_US" w:bidi="en_US"/>
        </w:rPr>
        <w:t xml:space="preserve"> The Greek phrase that the BSB translates as </w:t>
      </w:r>
      <w:r>
        <w:rPr>
          <w:i/>
          <w:lang w:val="en_US" w:bidi="en_US"/>
        </w:rPr>
        <w:t>of His ascension</w:t>
      </w:r>
      <w:r>
        <w:rPr>
          <w:lang w:val="en_US" w:bidi="en_US"/>
        </w:rPr>
        <w:t xml:space="preserve"> is literally “of his receiving up.” This probably refers to the time when God would take Jesus back to heaven. Other ways to translate this phrase are:</w:t>
      </w:r>
    </w:p>
    <w:p>
      <w:pPr/>
      <w:r>
        <w:rPr>
          <w:lang w:val="en_US" w:bidi="en_US"/>
        </w:rPr>
      </w:r>
      <w:r>
        <w:rPr>
          <w:lang w:val="en_US" w:bidi="en_US"/>
        </w:rPr>
        <w:t>for his ascension (NASB)</w:t>
      </w:r>
    </w:p>
    <w:p>
      <w:pPr/>
      <w:r>
        <w:rPr>
          <w:lang w:val="en_US" w:bidi="en_US"/>
        </w:rPr>
      </w:r>
      <w:r>
        <w:rPr>
          <w:lang w:val="en_US" w:bidi="en_US"/>
        </w:rPr>
        <w:t xml:space="preserve">for </w:t>
      </w:r>
      <w:r>
        <w:rPr>
          <w:lang w:val="en_US" w:bidi="en_US"/>
        </w:rPr>
        <w:t>God</w:t>
      </w:r>
      <w:r>
        <w:rPr>
          <w:lang w:val="en_US" w:bidi="en_US"/>
        </w:rPr>
        <w:t xml:space="preserve"> to take him back to heaven</w:t>
      </w:r>
    </w:p>
    <w:p>
      <w:pPr/>
      <w:r>
        <w:rPr>
          <w:lang w:val="en_US" w:bidi="en_US"/>
        </w:rPr>
      </w:r>
      <w:r>
        <w:rPr>
          <w:lang w:val="en_US" w:bidi="en_US"/>
        </w:rPr>
        <w:t>for him to ascend to heaven (NLT)</w:t>
      </w:r>
    </w:p>
    <w:p>
      <w:pPr/>
      <w:r>
        <w:rPr>
          <w:lang w:val="en_US" w:bidi="en_US"/>
        </w:rPr>
      </w:r>
      <w:r>
        <w:rPr>
          <w:lang w:val="en_US" w:bidi="en_US"/>
        </w:rPr>
        <w:t>for him to be taken up to heaven (NIV)</w:t>
      </w:r>
    </w:p>
    <w:p>
      <w:pPr/>
      <w:r>
        <w:rPr>
          <w:lang w:val="en_US" w:bidi="en_US"/>
        </w:rPr>
      </w:r>
      <w:r>
        <w:rPr>
          <w:lang w:val="en_US" w:bidi="en_US"/>
        </w:rPr>
        <w:t>See heaven in the Glossary.</w:t>
      </w:r>
    </w:p>
    <w:p>
      <w:pPr>
        <w:pStyle w:val="Heading5"/>
      </w:pPr>
      <w:r>
        <w:rPr>
          <w:lang w:val="en_US" w:bidi="en_US"/>
        </w:rPr>
        <w:t>9:51b</w:t>
      </w:r>
    </w:p>
    <w:p>
      <w:pPr/>
      <w:r>
        <w:rPr>
          <w:lang w:val="en_US" w:bidi="en_US"/>
        </w:rPr>
      </w:r>
      <w:r>
        <w:rPr>
          <w:b/>
          <w:lang w:val="en_US" w:bidi="en_US"/>
        </w:rPr>
        <w:t>Jesus resolutely set out for Jerusalem.</w:t>
      </w:r>
    </w:p>
    <w:p>
      <w:pPr>
        <w:pStyle w:val="ListBullet"/>
        <w:spacing w:line="240" w:lineRule="auto"/>
        <w:ind w:left="720"/>
      </w:pPr>
      <w:r>
        <w:rPr>
          <w:lang w:val="en_US" w:bidi="en_US"/>
        </w:rPr>
      </w:r>
      <w:r>
        <w:rPr>
          <w:lang w:val="en_US" w:bidi="en_US"/>
        </w:rPr>
        <w:t>he made a definite decision to go to Jerusalem.</w:t>
      </w:r>
    </w:p>
    <w:p>
      <w:pPr>
        <w:pStyle w:val="ListBullet"/>
        <w:spacing w:line="240" w:lineRule="auto"/>
        <w:ind w:left="720"/>
      </w:pPr>
      <w:r>
        <w:rPr>
          <w:lang w:val="en_US" w:bidi="en_US"/>
        </w:rPr>
      </w:r>
      <w:r>
        <w:rPr>
          <w:lang w:val="en_US" w:bidi="en_US"/>
        </w:rPr>
        <w:t>Then</w:t>
      </w:r>
      <w:r>
        <w:rPr>
          <w:lang w:val="en_US" w:bidi="en_US"/>
        </w:rPr>
        <w:t xml:space="preserve"> Jesus determined to leave for Jerusalem.</w:t>
      </w:r>
    </w:p>
    <w:p>
      <w:pPr>
        <w:pStyle w:val="ListBullet"/>
        <w:spacing w:line="240" w:lineRule="auto"/>
        <w:ind w:left="720"/>
      </w:pPr>
      <w:r>
        <w:rPr>
          <w:lang w:val="en_US" w:bidi="en_US"/>
        </w:rPr>
      </w:r>
      <w:r>
        <w:rPr>
          <w:lang w:val="en_US" w:bidi="en_US"/>
        </w:rPr>
        <w:t>So</w:t>
      </w:r>
      <w:r>
        <w:rPr>
          <w:lang w:val="en_US" w:bidi="en_US"/>
        </w:rPr>
        <w:t xml:space="preserve"> he firmly decided that he would begin his journey to </w:t>
      </w:r>
      <w:r>
        <w:rPr>
          <w:lang w:val="en_US" w:bidi="en_US"/>
        </w:rPr>
        <w:t>the city of</w:t>
      </w:r>
      <w:r>
        <w:rPr>
          <w:lang w:val="en_US" w:bidi="en_US"/>
        </w:rPr>
        <w:t xml:space="preserve"> Jerusalem, </w:t>
      </w:r>
      <w:r>
        <w:rPr>
          <w:lang w:val="en_US" w:bidi="en_US"/>
        </w:rPr>
        <w:t>along with his disciples</w:t>
      </w:r>
      <w:r>
        <w:rPr>
          <w:lang w:val="en_US" w:bidi="en_US"/>
        </w:rPr>
        <w:t>.</w:t>
      </w:r>
    </w:p>
    <w:p>
      <w:pPr/>
      <w:r>
        <w:rPr>
          <w:lang w:val="en_US" w:bidi="en_US"/>
        </w:rPr>
      </w:r>
      <w:r>
        <w:rPr>
          <w:b/>
          <w:lang w:val="en_US" w:bidi="en_US"/>
        </w:rPr>
        <w:t>Jesus resolutely set out for Jerusalem:</w:t>
      </w:r>
      <w:r>
        <w:rPr>
          <w:lang w:val="en_US" w:bidi="en_US"/>
        </w:rPr>
        <w:t xml:space="preserve"> The Greek clause that the BSB translates as </w:t>
      </w:r>
      <w:r>
        <w:rPr>
          <w:i/>
          <w:lang w:val="en_US" w:bidi="en_US"/>
        </w:rPr>
        <w:t>Jesus resolutely set out for Jerusalem</w:t>
      </w:r>
      <w:r>
        <w:rPr>
          <w:lang w:val="en_US" w:bidi="en_US"/>
        </w:rPr>
        <w:t xml:space="preserve"> is literally “he set his face to go to Jerusalem.” Several English versions translate the clause that way. It means that Jesus firmly decided to go to Jerusalem. It also implies here that he started out on the journey. Other ways to translate this clause are:</w:t>
      </w:r>
    </w:p>
    <w:p>
      <w:pPr/>
      <w:r>
        <w:rPr>
          <w:lang w:val="en_US" w:bidi="en_US"/>
        </w:rPr>
      </w:r>
      <w:r>
        <w:rPr>
          <w:lang w:val="en_US" w:bidi="en_US"/>
        </w:rPr>
        <w:t>he was determined to go to Jerusalem (GW)</w:t>
      </w:r>
    </w:p>
    <w:p>
      <w:pPr/>
      <w:r>
        <w:rPr>
          <w:lang w:val="en_US" w:bidi="en_US"/>
        </w:rPr>
      </w:r>
      <w:r>
        <w:rPr>
          <w:lang w:val="en_US" w:bidi="en_US"/>
        </w:rPr>
        <w:t>he firmly decided to start out for Jerusalem</w:t>
      </w:r>
    </w:p>
    <w:p>
      <w:pPr/>
      <w:r>
        <w:rPr>
          <w:lang w:val="en_US" w:bidi="en_US"/>
        </w:rPr>
      </w:r>
      <w:r>
        <w:rPr>
          <w:lang w:val="en_US" w:bidi="en_US"/>
        </w:rPr>
        <w:t>The context shows that his disciples also went with Jesus on the journey. In some languages it may be necessary to make that explicit. If this is true in your language, try to keep the focus on Jesus. For example:</w:t>
      </w:r>
    </w:p>
    <w:p>
      <w:pPr/>
      <w:r>
        <w:rPr>
          <w:lang w:val="en_US" w:bidi="en_US"/>
        </w:rPr>
      </w:r>
      <w:r>
        <w:rPr>
          <w:lang w:val="en_US" w:bidi="en_US"/>
        </w:rPr>
        <w:t xml:space="preserve">Jesus firmly/purposefully set out for Jerusalem, </w:t>
      </w:r>
      <w:r>
        <w:rPr>
          <w:lang w:val="en_US" w:bidi="en_US"/>
        </w:rPr>
        <w:t>along with his disciples</w:t>
      </w:r>
      <w:r>
        <w:rPr>
          <w:lang w:val="en_US" w:bidi="en_US"/>
        </w:rPr>
        <w:t>.</w:t>
      </w:r>
      <w:r>
        <w:rPr>
          <w:lang w:val="en_US" w:bidi="en_US"/>
        </w:rPr>
      </w:r>
      <w:r>
        <w:rPr>
          <w:lang w:val="en_US" w:bidi="en_US"/>
        </w:rPr>
      </w:r>
    </w:p>
    <w:p>
      <w:pPr/>
      <w:r>
        <w:rPr>
          <w:lang w:val="en_US" w:bidi="en_US"/>
        </w:rPr>
      </w:r>
    </w:p>
    <w:p>
      <w:pPr>
        <w:pStyle w:val="Heading2"/>
      </w:pPr>
      <w:r>
        <w:rPr>
          <w:lang w:val="en_US" w:bidi="en_US"/>
        </w:rPr>
        <w:t>Luke 9:52</w:t>
      </w:r>
      <w:r>
        <w:rPr>
          <w:lang w:val="en_US" w:bidi="en_US"/>
        </w:rPr>
      </w:r>
    </w:p>
    <w:p>
      <w:pPr>
        <w:pStyle w:val="Heading4"/>
      </w:pPr>
      <w:r>
        <w:rPr>
          <w:lang w:val="en_US" w:bidi="en_US"/>
        </w:rPr>
        <w:t>Section 9:51–56: The people of a Samaritan village refused to receive Jesus</w:t>
      </w:r>
    </w:p>
    <w:p>
      <w:pPr/>
      <w:r>
        <w:rPr>
          <w:lang w:val="en_US" w:bidi="en_US"/>
        </w:rPr>
      </w:r>
      <w:r>
        <w:rPr>
          <w:lang w:val="en_US" w:bidi="en_US"/>
        </w:rPr>
        <w:t>Even though the Samaritan people were partly Jewish (2 Kings 17:24–41), they worshiped God differently than the Jews did. Their main place of worship was on Mount Gerazim, while the Jews’ main place of worship was in Jerusalem (John 4:20). The Samaritans did not want Jews to travel through their district on the way to worship in Jerusalem. That is why they rejected Jesus and his disciples.</w:t>
      </w:r>
    </w:p>
    <w:p>
      <w:pPr/>
      <w:r>
        <w:rPr>
          <w:lang w:val="en_US" w:bidi="en_US"/>
        </w:rPr>
      </w:r>
      <w:r>
        <w:rPr>
          <w:lang w:val="en_US" w:bidi="en_US"/>
        </w:rPr>
        <w:t>Some other examples of headings for this section are:</w:t>
      </w:r>
    </w:p>
    <w:p>
      <w:pPr/>
      <w:r>
        <w:rPr>
          <w:lang w:val="en_US" w:bidi="en_US"/>
        </w:rPr>
      </w:r>
      <w:r>
        <w:rPr>
          <w:lang w:val="en_US" w:bidi="en_US"/>
        </w:rPr>
        <w:t>People From a Samaritan Village Reject Jesus (GW)</w:t>
      </w:r>
    </w:p>
    <w:p>
      <w:pPr/>
      <w:r>
        <w:rPr>
          <w:lang w:val="en_US" w:bidi="en_US"/>
        </w:rPr>
      </w:r>
      <w:r>
        <w:rPr>
          <w:lang w:val="en_US" w:bidi="en_US"/>
        </w:rPr>
        <w:t>Samaritan Opposition (NIV)</w:t>
      </w:r>
    </w:p>
    <w:p>
      <w:pPr>
        <w:pStyle w:val="Heading5"/>
      </w:pPr>
      <w:r>
        <w:rPr>
          <w:lang w:val="en_US" w:bidi="en_US"/>
        </w:rPr>
        <w:t>9:52a</w:t>
      </w:r>
    </w:p>
    <w:p>
      <w:pPr/>
      <w:r>
        <w:rPr>
          <w:lang w:val="en_US" w:bidi="en_US"/>
        </w:rPr>
      </w:r>
      <w:r>
        <w:rPr>
          <w:b/>
          <w:lang w:val="en_US" w:bidi="en_US"/>
        </w:rPr>
        <w:t>He sent messengers on ahead,</w:t>
      </w:r>
    </w:p>
    <w:p>
      <w:pPr>
        <w:pStyle w:val="ListBullet"/>
        <w:spacing w:line="240" w:lineRule="auto"/>
        <w:ind w:left="720"/>
      </w:pPr>
      <w:r>
        <w:rPr>
          <w:lang w:val="en_US" w:bidi="en_US"/>
        </w:rPr>
      </w:r>
      <w:r>
        <w:rPr>
          <w:lang w:val="en_US" w:bidi="en_US"/>
        </w:rPr>
        <w:t>He told/asked some messengers to go ahead of him.</w:t>
      </w:r>
    </w:p>
    <w:p>
      <w:pPr>
        <w:pStyle w:val="ListBullet"/>
        <w:spacing w:line="240" w:lineRule="auto"/>
        <w:ind w:left="720"/>
      </w:pPr>
      <w:r>
        <w:rPr>
          <w:lang w:val="en_US" w:bidi="en_US"/>
        </w:rPr>
      </w:r>
      <w:r>
        <w:rPr>
          <w:lang w:val="en_US" w:bidi="en_US"/>
        </w:rPr>
        <w:t xml:space="preserve">He sent some men ahead of </w:t>
      </w:r>
      <w:r>
        <w:rPr>
          <w:lang w:val="en_US" w:bidi="en_US"/>
        </w:rPr>
        <w:t>the rest of</w:t>
      </w:r>
      <w:r>
        <w:rPr>
          <w:lang w:val="en_US" w:bidi="en_US"/>
        </w:rPr>
        <w:t xml:space="preserve"> them.</w:t>
      </w:r>
    </w:p>
    <w:p>
      <w:pPr/>
      <w:r>
        <w:rPr>
          <w:lang w:val="en_US" w:bidi="en_US"/>
        </w:rPr>
      </w:r>
      <w:r>
        <w:rPr>
          <w:b/>
          <w:lang w:val="en_US" w:bidi="en_US"/>
        </w:rPr>
        <w:t>He sent messengers on ahead:</w:t>
      </w:r>
      <w:r>
        <w:rPr>
          <w:lang w:val="en_US" w:bidi="en_US"/>
        </w:rPr>
        <w:t xml:space="preserve"> The clause </w:t>
      </w:r>
      <w:r>
        <w:rPr>
          <w:i/>
          <w:lang w:val="en_US" w:bidi="en_US"/>
        </w:rPr>
        <w:t>He sent messengers on ahead</w:t>
      </w:r>
      <w:r>
        <w:rPr>
          <w:lang w:val="en_US" w:bidi="en_US"/>
        </w:rPr>
        <w:t xml:space="preserve"> indicates here that Jesus told some men to go ahead of him and his other disciples to prepare people for his coming. Another way to translate this is:</w:t>
      </w:r>
    </w:p>
    <w:p>
      <w:pPr/>
      <w:r>
        <w:rPr>
          <w:lang w:val="en_US" w:bidi="en_US"/>
        </w:rPr>
      </w:r>
      <w:r>
        <w:rPr>
          <w:lang w:val="en_US" w:bidi="en_US"/>
        </w:rPr>
        <w:t>He sent some men ahead of him (NCV)</w:t>
      </w:r>
    </w:p>
    <w:p>
      <w:pPr>
        <w:pStyle w:val="Heading5"/>
      </w:pPr>
      <w:r>
        <w:rPr>
          <w:lang w:val="en_US" w:bidi="en_US"/>
        </w:rPr>
        <w:t>9:52b</w:t>
      </w:r>
    </w:p>
    <w:p>
      <w:pPr/>
      <w:r>
        <w:rPr>
          <w:lang w:val="en_US" w:bidi="en_US"/>
        </w:rPr>
      </w:r>
      <w:r>
        <w:rPr>
          <w:b/>
          <w:lang w:val="en_US" w:bidi="en_US"/>
        </w:rPr>
        <w:t>who went into a village of the Samaritans</w:t>
      </w:r>
    </w:p>
    <w:p>
      <w:pPr>
        <w:pStyle w:val="ListBullet"/>
        <w:spacing w:line="240" w:lineRule="auto"/>
        <w:ind w:left="720"/>
      </w:pPr>
      <w:r>
        <w:rPr>
          <w:lang w:val="en_US" w:bidi="en_US"/>
        </w:rPr>
      </w:r>
      <w:r>
        <w:rPr>
          <w:lang w:val="en_US" w:bidi="en_US"/>
        </w:rPr>
        <w:t>The messengers left and</w:t>
      </w:r>
      <w:r>
        <w:rPr>
          <w:lang w:val="en_US" w:bidi="en_US"/>
        </w:rPr>
        <w:t xml:space="preserve"> went into a village </w:t>
      </w:r>
      <w:r>
        <w:rPr>
          <w:lang w:val="en_US" w:bidi="en_US"/>
        </w:rPr>
        <w:t>in the district/province</w:t>
      </w:r>
      <w:r>
        <w:rPr>
          <w:lang w:val="en_US" w:bidi="en_US"/>
        </w:rPr>
        <w:t xml:space="preserve"> of Samaria</w:t>
      </w:r>
    </w:p>
    <w:p>
      <w:pPr>
        <w:pStyle w:val="ListBullet"/>
        <w:spacing w:line="240" w:lineRule="auto"/>
        <w:ind w:left="720"/>
      </w:pPr>
      <w:r>
        <w:rPr>
          <w:lang w:val="en_US" w:bidi="en_US"/>
        </w:rPr>
      </w:r>
      <w:r>
        <w:rPr>
          <w:lang w:val="en_US" w:bidi="en_US"/>
        </w:rPr>
        <w:t xml:space="preserve">They went to a village where Samaria people </w:t>
      </w:r>
      <w:r>
        <w:rPr>
          <w:lang w:val="en_US" w:bidi="en_US"/>
        </w:rPr>
        <w:t>lived</w:t>
      </w:r>
    </w:p>
    <w:p>
      <w:pPr>
        <w:pStyle w:val="Heading5"/>
      </w:pPr>
      <w:r>
        <w:rPr>
          <w:lang w:val="en_US" w:bidi="en_US"/>
        </w:rPr>
        <w:t>9:52c</w:t>
      </w:r>
    </w:p>
    <w:p>
      <w:pPr/>
      <w:r>
        <w:rPr>
          <w:lang w:val="en_US" w:bidi="en_US"/>
        </w:rPr>
      </w:r>
      <w:r>
        <w:rPr>
          <w:b/>
          <w:lang w:val="en_US" w:bidi="en_US"/>
        </w:rPr>
        <w:t>to make arrangements for Him.</w:t>
      </w:r>
    </w:p>
    <w:p>
      <w:pPr>
        <w:pStyle w:val="ListBullet"/>
        <w:spacing w:line="240" w:lineRule="auto"/>
        <w:ind w:left="720"/>
      </w:pPr>
      <w:r>
        <w:rPr>
          <w:lang w:val="en_US" w:bidi="en_US"/>
        </w:rPr>
      </w:r>
      <w:r>
        <w:rPr>
          <w:lang w:val="en_US" w:bidi="en_US"/>
        </w:rPr>
        <w:t xml:space="preserve">to make preparations/arrangements for him </w:t>
      </w:r>
      <w:r>
        <w:rPr>
          <w:lang w:val="en_US" w:bidi="en_US"/>
        </w:rPr>
        <w:t>to come</w:t>
      </w:r>
      <w:r>
        <w:rPr>
          <w:lang w:val="en_US" w:bidi="en_US"/>
        </w:rPr>
        <w:t>.</w:t>
      </w:r>
    </w:p>
    <w:p>
      <w:pPr>
        <w:pStyle w:val="ListBullet"/>
        <w:spacing w:line="240" w:lineRule="auto"/>
        <w:ind w:left="720"/>
      </w:pPr>
      <w:r>
        <w:rPr>
          <w:lang w:val="en_US" w:bidi="en_US"/>
        </w:rPr>
      </w:r>
      <w:r>
        <w:rPr>
          <w:lang w:val="en_US" w:bidi="en_US"/>
        </w:rPr>
        <w:t xml:space="preserve">in order to prepare/arrange for the visit/arrival of Jesus </w:t>
      </w:r>
      <w:r>
        <w:rPr>
          <w:lang w:val="en_US" w:bidi="en_US"/>
        </w:rPr>
        <w:t>and his other disciples</w:t>
      </w:r>
      <w:r>
        <w:rPr>
          <w:lang w:val="en_US" w:bidi="en_US"/>
        </w:rPr>
        <w:t>.</w:t>
      </w:r>
    </w:p>
    <w:p>
      <w:pPr>
        <w:pStyle w:val="Heading5"/>
      </w:pPr>
      <w:r>
        <w:rPr>
          <w:lang w:val="en_US" w:bidi="en_US"/>
        </w:rPr>
        <w:t>9:52b–c</w:t>
      </w:r>
    </w:p>
    <w:p>
      <w:pPr/>
      <w:r>
        <w:rPr>
          <w:lang w:val="en_US" w:bidi="en_US"/>
        </w:rPr>
      </w:r>
      <w:r>
        <w:rPr>
          <w:b/>
          <w:lang w:val="en_US" w:bidi="en_US"/>
        </w:rPr>
        <w:t>who went into a village of the Samaritans:</w:t>
      </w:r>
      <w:r>
        <w:rPr>
          <w:lang w:val="en_US" w:bidi="en_US"/>
        </w:rPr>
        <w:t xml:space="preserve"> The Greek phrase that the BSB translates as </w:t>
      </w:r>
      <w:r>
        <w:rPr>
          <w:i/>
          <w:lang w:val="en_US" w:bidi="en_US"/>
        </w:rPr>
        <w:t>who went into</w:t>
      </w:r>
      <w:r>
        <w:rPr>
          <w:lang w:val="en_US" w:bidi="en_US"/>
        </w:rPr>
        <w:t xml:space="preserve"> is literally “And going they entered.” Another way to translate this is:</w:t>
      </w:r>
    </w:p>
    <w:p>
      <w:pPr/>
      <w:r>
        <w:rPr>
          <w:lang w:val="en_US" w:bidi="en_US"/>
        </w:rPr>
      </w:r>
      <w:r>
        <w:rPr>
          <w:lang w:val="en_US" w:bidi="en_US"/>
        </w:rPr>
        <w:t>who went and entered (RSV)</w:t>
      </w:r>
    </w:p>
    <w:p>
      <w:pPr/>
      <w:r>
        <w:rPr>
          <w:lang w:val="en_US" w:bidi="en_US"/>
        </w:rPr>
      </w:r>
      <w:r>
        <w:rPr>
          <w:lang w:val="en_US" w:bidi="en_US"/>
        </w:rPr>
        <w:t>In some languages it may be more natural to start a new sentence here. For example:</w:t>
      </w:r>
    </w:p>
    <w:p>
      <w:pPr/>
      <w:r>
        <w:rPr>
          <w:lang w:val="en_US" w:bidi="en_US"/>
        </w:rPr>
      </w:r>
      <w:r>
        <w:rPr>
          <w:lang w:val="en_US" w:bidi="en_US"/>
        </w:rPr>
        <w:t>They went into a Samaritan village (GW)</w:t>
      </w:r>
    </w:p>
    <w:p>
      <w:pPr/>
      <w:r>
        <w:rPr>
          <w:lang w:val="en_US" w:bidi="en_US"/>
        </w:rPr>
      </w:r>
      <w:r>
        <w:rPr>
          <w:b/>
          <w:lang w:val="en_US" w:bidi="en_US"/>
        </w:rPr>
        <w:t>a village of the Samaritans:</w:t>
      </w:r>
      <w:r>
        <w:rPr>
          <w:lang w:val="en_US" w:bidi="en_US"/>
        </w:rPr>
        <w:t xml:space="preserve"> The Greek phrase that the BSB translates literally as </w:t>
      </w:r>
      <w:r>
        <w:rPr>
          <w:i/>
          <w:lang w:val="en_US" w:bidi="en_US"/>
        </w:rPr>
        <w:t>a village of the Samaritans</w:t>
      </w:r>
      <w:r>
        <w:rPr>
          <w:lang w:val="en_US" w:bidi="en_US"/>
        </w:rPr>
        <w:t xml:space="preserve"> refers to a village in Samaria in which Samaritan people lived. Samaria was a province or district between Galilee and Judea. The people there were partly Jewish and partly Gentile. For more information, see the introduction to Section 9:51–56. Other ways to translate this phrase are:</w:t>
      </w:r>
    </w:p>
    <w:p>
      <w:pPr/>
      <w:r>
        <w:rPr>
          <w:lang w:val="en_US" w:bidi="en_US"/>
        </w:rPr>
      </w:r>
      <w:r>
        <w:rPr>
          <w:lang w:val="en_US" w:bidi="en_US"/>
        </w:rPr>
        <w:t>a village of Samaria people</w:t>
      </w:r>
    </w:p>
    <w:p>
      <w:pPr/>
      <w:r>
        <w:rPr>
          <w:lang w:val="en_US" w:bidi="en_US"/>
        </w:rPr>
      </w:r>
      <w:r>
        <w:rPr>
          <w:lang w:val="en_US" w:bidi="en_US"/>
        </w:rPr>
        <w:t xml:space="preserve">a village in Samaria </w:t>
      </w:r>
      <w:r>
        <w:rPr>
          <w:lang w:val="en_US" w:bidi="en_US"/>
        </w:rPr>
        <w:t>Province</w:t>
      </w:r>
    </w:p>
    <w:p>
      <w:pPr/>
      <w:r>
        <w:rPr>
          <w:lang w:val="en_US" w:bidi="en_US"/>
        </w:rPr>
      </w:r>
      <w:r>
        <w:rPr>
          <w:b/>
          <w:lang w:val="en_US" w:bidi="en_US"/>
        </w:rPr>
        <w:t>village:</w:t>
      </w:r>
      <w:r>
        <w:rPr>
          <w:lang w:val="en_US" w:bidi="en_US"/>
        </w:rPr>
        <w:t xml:space="preserve"> The Greek word that the BSB translates as </w:t>
      </w:r>
      <w:r>
        <w:rPr>
          <w:i/>
          <w:lang w:val="en_US" w:bidi="en_US"/>
        </w:rPr>
        <w:t>village</w:t>
      </w:r>
      <w:r>
        <w:rPr>
          <w:lang w:val="en_US" w:bidi="en_US"/>
        </w:rPr>
        <w:t xml:space="preserve"> refers here to a small town or community. The same word occurs in 9:6a.</w:t>
      </w:r>
    </w:p>
    <w:p>
      <w:pPr/>
      <w:r>
        <w:rPr>
          <w:lang w:val="en_US" w:bidi="en_US"/>
        </w:rPr>
      </w:r>
      <w:r>
        <w:rPr>
          <w:b/>
          <w:lang w:val="en_US" w:bidi="en_US"/>
        </w:rPr>
        <w:t>to make arrangements for Him:</w:t>
      </w:r>
      <w:r>
        <w:rPr>
          <w:lang w:val="en_US" w:bidi="en_US"/>
        </w:rPr>
        <w:t xml:space="preserve"> The phrase </w:t>
      </w:r>
      <w:r>
        <w:rPr>
          <w:i/>
          <w:lang w:val="en_US" w:bidi="en_US"/>
        </w:rPr>
        <w:t>to make arrangements for Him</w:t>
      </w:r>
      <w:r>
        <w:rPr>
          <w:lang w:val="en_US" w:bidi="en_US"/>
        </w:rPr>
        <w:t xml:space="preserve"> expresses purpose. The messengers went to a village in the district of Samaria in order to make preparations before Jesus and his other disciples arrived. These preparations mainly involved arranging for food and lodging. But the disciples may also have announced that the Messiah was coming. If possible, you should translate this phrase in a general way that does not limit the kinds of preparation that Jesus asked the messengers to make. For example:</w:t>
      </w:r>
    </w:p>
    <w:p>
      <w:pPr/>
      <w:r>
        <w:rPr>
          <w:lang w:val="en_US" w:bidi="en_US"/>
        </w:rPr>
      </w:r>
      <w:r>
        <w:rPr>
          <w:lang w:val="en_US" w:bidi="en_US"/>
        </w:rPr>
        <w:t>to prepare for his arrival (NLT)</w:t>
      </w:r>
    </w:p>
    <w:p>
      <w:pPr/>
      <w:r>
        <w:rPr>
          <w:lang w:val="en_US" w:bidi="en_US"/>
        </w:rPr>
      </w:r>
      <w:r>
        <w:rPr>
          <w:lang w:val="en_US" w:bidi="en_US"/>
        </w:rPr>
        <w:t>to make arrangements for their visit</w:t>
      </w:r>
      <w:r>
        <w:rPr>
          <w:lang w:val="en_US" w:bidi="en_US"/>
        </w:rPr>
      </w:r>
      <w:r>
        <w:rPr>
          <w:lang w:val="en_US" w:bidi="en_US"/>
        </w:rPr>
      </w:r>
    </w:p>
    <w:p>
      <w:pPr/>
      <w:r>
        <w:rPr>
          <w:lang w:val="en_US" w:bidi="en_US"/>
        </w:rPr>
      </w:r>
    </w:p>
    <w:p>
      <w:pPr>
        <w:pStyle w:val="Heading2"/>
      </w:pPr>
      <w:r>
        <w:rPr>
          <w:lang w:val="en_US" w:bidi="en_US"/>
        </w:rPr>
        <w:t>Luke 9:53</w:t>
      </w:r>
      <w:r>
        <w:rPr>
          <w:lang w:val="en_US" w:bidi="en_US"/>
        </w:rPr>
      </w:r>
    </w:p>
    <w:p>
      <w:pPr>
        <w:pStyle w:val="Heading4"/>
      </w:pPr>
      <w:r>
        <w:rPr>
          <w:lang w:val="en_US" w:bidi="en_US"/>
        </w:rPr>
        <w:t>Section 9:51–56: The people of a Samaritan village refused to receive Jesus</w:t>
      </w:r>
    </w:p>
    <w:p>
      <w:pPr/>
      <w:r>
        <w:rPr>
          <w:lang w:val="en_US" w:bidi="en_US"/>
        </w:rPr>
      </w:r>
      <w:r>
        <w:rPr>
          <w:lang w:val="en_US" w:bidi="en_US"/>
        </w:rPr>
        <w:t>Even though the Samaritan people were partly Jewish (2 Kings 17:24–41), they worshiped God differently than the Jews did. Their main place of worship was on Mount Gerazim, while the Jews’ main place of worship was in Jerusalem (John 4:20). The Samaritans did not want Jews to travel through their district on the way to worship in Jerusalem. That is why they rejected Jesus and his disciples.</w:t>
      </w:r>
    </w:p>
    <w:p>
      <w:pPr/>
      <w:r>
        <w:rPr>
          <w:lang w:val="en_US" w:bidi="en_US"/>
        </w:rPr>
      </w:r>
      <w:r>
        <w:rPr>
          <w:lang w:val="en_US" w:bidi="en_US"/>
        </w:rPr>
        <w:t>Some other examples of headings for this section are:</w:t>
      </w:r>
    </w:p>
    <w:p>
      <w:pPr/>
      <w:r>
        <w:rPr>
          <w:lang w:val="en_US" w:bidi="en_US"/>
        </w:rPr>
      </w:r>
      <w:r>
        <w:rPr>
          <w:lang w:val="en_US" w:bidi="en_US"/>
        </w:rPr>
        <w:t>People From a Samaritan Village Reject Jesus (GW)</w:t>
      </w:r>
    </w:p>
    <w:p>
      <w:pPr/>
      <w:r>
        <w:rPr>
          <w:lang w:val="en_US" w:bidi="en_US"/>
        </w:rPr>
      </w:r>
      <w:r>
        <w:rPr>
          <w:lang w:val="en_US" w:bidi="en_US"/>
        </w:rPr>
        <w:t>Samaritan Opposition (NIV)</w:t>
      </w:r>
    </w:p>
    <w:p>
      <w:pPr>
        <w:pStyle w:val="Heading5"/>
      </w:pPr>
      <w:r>
        <w:rPr>
          <w:lang w:val="en_US" w:bidi="en_US"/>
        </w:rPr>
        <w:t>9:53a</w:t>
      </w:r>
    </w:p>
    <w:p>
      <w:pPr/>
      <w:r>
        <w:rPr>
          <w:lang w:val="en_US" w:bidi="en_US"/>
        </w:rPr>
      </w:r>
      <w:r>
        <w:rPr>
          <w:b/>
          <w:lang w:val="en_US" w:bidi="en_US"/>
        </w:rPr>
        <w:t>But the people there refused to welcome Him,</w:t>
      </w:r>
    </w:p>
    <w:p>
      <w:pPr>
        <w:pStyle w:val="ListBullet"/>
        <w:spacing w:line="240" w:lineRule="auto"/>
        <w:ind w:left="720"/>
      </w:pPr>
      <w:r>
        <w:rPr>
          <w:lang w:val="en_US" w:bidi="en_US"/>
        </w:rPr>
      </w:r>
      <w:r>
        <w:rPr>
          <w:lang w:val="en_US" w:bidi="en_US"/>
        </w:rPr>
        <w:t>But the residents of that village refused to receive Jesus,</w:t>
      </w:r>
    </w:p>
    <w:p>
      <w:pPr>
        <w:pStyle w:val="ListBullet"/>
        <w:spacing w:line="240" w:lineRule="auto"/>
        <w:ind w:left="720"/>
      </w:pPr>
      <w:r>
        <w:rPr>
          <w:lang w:val="en_US" w:bidi="en_US"/>
        </w:rPr>
      </w:r>
      <w:r>
        <w:rPr>
          <w:lang w:val="en_US" w:bidi="en_US"/>
        </w:rPr>
        <w:t xml:space="preserve">But those villagers said that they did not want Jesus </w:t>
      </w:r>
      <w:r>
        <w:rPr>
          <w:lang w:val="en_US" w:bidi="en_US"/>
        </w:rPr>
        <w:t>and his disciples</w:t>
      </w:r>
      <w:r>
        <w:rPr>
          <w:lang w:val="en_US" w:bidi="en_US"/>
        </w:rPr>
        <w:t xml:space="preserve"> to enter their village</w:t>
      </w:r>
    </w:p>
    <w:p>
      <w:pPr/>
      <w:r>
        <w:rPr>
          <w:lang w:val="en_US" w:bidi="en_US"/>
        </w:rPr>
      </w:r>
      <w:r>
        <w:rPr>
          <w:b/>
          <w:lang w:val="en_US" w:bidi="en_US"/>
        </w:rPr>
        <w:t>But the people there refused to welcome Him:</w:t>
      </w:r>
      <w:r>
        <w:rPr>
          <w:lang w:val="en_US" w:bidi="en_US"/>
        </w:rPr>
        <w:t xml:space="preserve"> The clause </w:t>
      </w:r>
      <w:r>
        <w:rPr>
          <w:i/>
          <w:lang w:val="en_US" w:bidi="en_US"/>
        </w:rPr>
        <w:t>But the people there refused to welcome Him</w:t>
      </w:r>
      <w:r>
        <w:rPr>
          <w:lang w:val="en_US" w:bidi="en_US"/>
        </w:rPr>
        <w:t xml:space="preserve"> probably indicates that the people in that Samaritan village did not accept the messengers whom Jesus had sent on ahead. They told the messengers that they would not offer hospitality to Jesus and his disciples, so the messengers were not able to get things ready. Some other ways to translate this are:</w:t>
      </w:r>
    </w:p>
    <w:p>
      <w:pPr/>
      <w:r>
        <w:rPr>
          <w:lang w:val="en_US" w:bidi="en_US"/>
        </w:rPr>
      </w:r>
      <w:r>
        <w:rPr>
          <w:lang w:val="en_US" w:bidi="en_US"/>
        </w:rPr>
        <w:t>But the people there would not receive him (GNT)</w:t>
      </w:r>
    </w:p>
    <w:p>
      <w:pPr/>
      <w:r>
        <w:rPr>
          <w:lang w:val="en_US" w:bidi="en_US"/>
        </w:rPr>
      </w:r>
      <w:r>
        <w:rPr>
          <w:lang w:val="en_US" w:bidi="en_US"/>
        </w:rPr>
        <w:t>But the residents there said that they did not want Jesus to enter their village.</w:t>
      </w:r>
    </w:p>
    <w:p>
      <w:pPr>
        <w:pStyle w:val="Heading5"/>
      </w:pPr>
      <w:r>
        <w:rPr>
          <w:lang w:val="en_US" w:bidi="en_US"/>
        </w:rPr>
        <w:t>9:53b</w:t>
      </w:r>
    </w:p>
    <w:p>
      <w:pPr/>
      <w:r>
        <w:rPr>
          <w:lang w:val="en_US" w:bidi="en_US"/>
        </w:rPr>
      </w:r>
      <w:r>
        <w:rPr>
          <w:b/>
          <w:lang w:val="en_US" w:bidi="en_US"/>
        </w:rPr>
        <w:t>because He was heading for Jerusalem.</w:t>
      </w:r>
    </w:p>
    <w:p>
      <w:pPr>
        <w:pStyle w:val="ListBullet"/>
        <w:spacing w:line="240" w:lineRule="auto"/>
        <w:ind w:left="720"/>
      </w:pPr>
      <w:r>
        <w:rPr>
          <w:lang w:val="en_US" w:bidi="en_US"/>
        </w:rPr>
      </w:r>
      <w:r>
        <w:rPr>
          <w:lang w:val="en_US" w:bidi="en_US"/>
        </w:rPr>
        <w:t xml:space="preserve">because </w:t>
      </w:r>
      <w:r>
        <w:rPr>
          <w:lang w:val="en_US" w:bidi="en_US"/>
        </w:rPr>
        <w:t>it was clear that</w:t>
      </w:r>
      <w:r>
        <w:rPr>
          <w:lang w:val="en_US" w:bidi="en_US"/>
        </w:rPr>
        <w:t xml:space="preserve"> he was journeying toward Jerusalem.</w:t>
      </w:r>
    </w:p>
    <w:p>
      <w:pPr>
        <w:pStyle w:val="ListBullet"/>
        <w:spacing w:line="240" w:lineRule="auto"/>
        <w:ind w:left="720"/>
      </w:pPr>
      <w:r>
        <w:rPr>
          <w:lang w:val="en_US" w:bidi="en_US"/>
        </w:rPr>
      </w:r>
      <w:r>
        <w:rPr>
          <w:lang w:val="en_US" w:bidi="en_US"/>
        </w:rPr>
        <w:t xml:space="preserve">because Jesus </w:t>
      </w:r>
      <w:r>
        <w:rPr>
          <w:lang w:val="en_US" w:bidi="en_US"/>
        </w:rPr>
        <w:t>and his disciples</w:t>
      </w:r>
      <w:r>
        <w:rPr>
          <w:lang w:val="en_US" w:bidi="en_US"/>
        </w:rPr>
        <w:t xml:space="preserve"> were on </w:t>
      </w:r>
      <w:r>
        <w:rPr>
          <w:lang w:val="en_US" w:bidi="en_US"/>
        </w:rPr>
        <w:t>their</w:t>
      </w:r>
      <w:r>
        <w:rPr>
          <w:lang w:val="en_US" w:bidi="en_US"/>
        </w:rPr>
        <w:t xml:space="preserve"> way to </w:t>
      </w:r>
      <w:r>
        <w:rPr>
          <w:lang w:val="en_US" w:bidi="en_US"/>
        </w:rPr>
        <w:t>worship in</w:t>
      </w:r>
      <w:r>
        <w:rPr>
          <w:lang w:val="en_US" w:bidi="en_US"/>
        </w:rPr>
        <w:t xml:space="preserve"> Jerusalem.</w:t>
      </w:r>
    </w:p>
    <w:p>
      <w:pPr/>
      <w:r>
        <w:rPr>
          <w:lang w:val="en_US" w:bidi="en_US"/>
        </w:rPr>
      </w:r>
      <w:r>
        <w:rPr>
          <w:b/>
          <w:lang w:val="en_US" w:bidi="en_US"/>
        </w:rPr>
        <w:t>because He was heading for Jerusalem:</w:t>
      </w:r>
      <w:r>
        <w:rPr>
          <w:lang w:val="en_US" w:bidi="en_US"/>
        </w:rPr>
        <w:t xml:space="preserve"> The clause that the BSB translates as </w:t>
      </w:r>
      <w:r>
        <w:rPr>
          <w:i/>
          <w:lang w:val="en_US" w:bidi="en_US"/>
        </w:rPr>
        <w:t>because He was heading for Jerusalem</w:t>
      </w:r>
      <w:r>
        <w:rPr>
          <w:lang w:val="en_US" w:bidi="en_US"/>
        </w:rPr>
        <w:t xml:space="preserve"> is literally “because his face was set toward Jerusalem.” Several English versions translate the clause that way. The reason why the Samaritan villagers refused to welcome Jesus was that Jesus was on his way to Jerusalem. The Samaritans worshiped on Mount Gerazim in Samaria. For this reason, they were not friendly towards Jews who went through their territory to worship at the temple in Jerusalem.</w:t>
      </w:r>
    </w:p>
    <w:p>
      <w:pPr/>
      <w:r>
        <w:rPr>
          <w:lang w:val="en_US" w:bidi="en_US"/>
        </w:rPr>
      </w:r>
      <w:r>
        <w:rPr>
          <w:lang w:val="en_US" w:bidi="en_US"/>
        </w:rPr>
        <w:t>The people of the Samaritan village did not personally see Jesus heading toward Jerusalem. This information was probably clear because they heard it from the messengers. For example:</w:t>
      </w:r>
    </w:p>
    <w:p>
      <w:pPr/>
      <w:r>
        <w:rPr>
          <w:lang w:val="en_US" w:bidi="en_US"/>
        </w:rPr>
      </w:r>
      <w:r>
        <w:rPr>
          <w:lang w:val="en_US" w:bidi="en_US"/>
        </w:rPr>
        <w:t>because it was clear that he was on his way to Jerusalem (GNT)</w:t>
      </w:r>
    </w:p>
    <w:p>
      <w:pPr>
        <w:pStyle w:val="Heading6"/>
      </w:pPr>
      <w:r>
        <w:rPr>
          <w:b/>
          <w:lang w:val="en_US" w:bidi="en_US"/>
        </w:rPr>
        <w:t>General Comment on 9:53a–b</w:t>
      </w:r>
    </w:p>
    <w:p>
      <w:pPr/>
      <w:r>
        <w:rPr>
          <w:lang w:val="en_US" w:bidi="en_US"/>
        </w:rPr>
      </w:r>
      <w:r>
        <w:rPr>
          <w:lang w:val="en_US" w:bidi="en_US"/>
        </w:rPr>
        <w:t>In some languages it may be more natural to change the order of the clauses in these two verse parts so that the reason (9:53b) precedes the result (9:53a). For example:</w:t>
      </w:r>
    </w:p>
    <w:p>
      <w:pPr/>
      <w:r>
        <w:rPr>
          <w:lang w:val="en_US" w:bidi="en_US"/>
        </w:rPr>
      </w:r>
      <w:r>
        <w:rPr>
          <w:vertAlign w:val="superscript"/>
          <w:lang w:val="en_US" w:bidi="en_US"/>
        </w:rPr>
        <w:t>53b</w:t>
      </w:r>
      <w:r>
        <w:rPr>
          <w:lang w:val="en_US" w:bidi="en_US"/>
        </w:rPr>
        <w:t xml:space="preserve">but he was heading for Jerusalem, </w:t>
      </w:r>
      <w:r>
        <w:rPr>
          <w:vertAlign w:val="superscript"/>
          <w:lang w:val="en_US" w:bidi="en_US"/>
        </w:rPr>
        <w:t>53a</w:t>
      </w:r>
      <w:r>
        <w:rPr>
          <w:lang w:val="en_US" w:bidi="en_US"/>
        </w:rPr>
        <w:t>so the people there did not welcome him</w:t>
      </w:r>
    </w:p>
    <w:p>
      <w:pPr/>
      <w:r>
        <w:rPr>
          <w:lang w:val="en_US" w:bidi="en_US"/>
        </w:rPr>
      </w:r>
      <w:r>
        <w:rPr>
          <w:lang w:val="en_US" w:bidi="en_US"/>
        </w:rPr>
        <w:t>Use a natural order in your language.</w:t>
      </w:r>
      <w:r>
        <w:rPr>
          <w:lang w:val="en_US" w:bidi="en_US"/>
        </w:rPr>
      </w:r>
      <w:r>
        <w:rPr>
          <w:lang w:val="en_US" w:bidi="en_US"/>
        </w:rPr>
      </w:r>
    </w:p>
    <w:p>
      <w:pPr/>
      <w:r>
        <w:rPr>
          <w:lang w:val="en_US" w:bidi="en_US"/>
        </w:rPr>
      </w:r>
    </w:p>
    <w:p>
      <w:pPr>
        <w:pStyle w:val="Heading2"/>
      </w:pPr>
      <w:r>
        <w:rPr>
          <w:lang w:val="en_US" w:bidi="en_US"/>
        </w:rPr>
        <w:t>Luke 9:54</w:t>
      </w:r>
      <w:r>
        <w:rPr>
          <w:lang w:val="en_US" w:bidi="en_US"/>
        </w:rPr>
      </w:r>
    </w:p>
    <w:p>
      <w:pPr>
        <w:pStyle w:val="Heading4"/>
      </w:pPr>
      <w:r>
        <w:rPr>
          <w:lang w:val="en_US" w:bidi="en_US"/>
        </w:rPr>
        <w:t>Section 9:51–56: The people of a Samaritan village refused to receive Jesus</w:t>
      </w:r>
    </w:p>
    <w:p>
      <w:pPr/>
      <w:r>
        <w:rPr>
          <w:lang w:val="en_US" w:bidi="en_US"/>
        </w:rPr>
      </w:r>
      <w:r>
        <w:rPr>
          <w:lang w:val="en_US" w:bidi="en_US"/>
        </w:rPr>
        <w:t>Even though the Samaritan people were partly Jewish (2 Kings 17:24–41), they worshiped God differently than the Jews did. Their main place of worship was on Mount Gerazim, while the Jews’ main place of worship was in Jerusalem (John 4:20). The Samaritans did not want Jews to travel through their district on the way to worship in Jerusalem. That is why they rejected Jesus and his disciples.</w:t>
      </w:r>
    </w:p>
    <w:p>
      <w:pPr/>
      <w:r>
        <w:rPr>
          <w:lang w:val="en_US" w:bidi="en_US"/>
        </w:rPr>
      </w:r>
      <w:r>
        <w:rPr>
          <w:lang w:val="en_US" w:bidi="en_US"/>
        </w:rPr>
        <w:t>Some other examples of headings for this section are:</w:t>
      </w:r>
    </w:p>
    <w:p>
      <w:pPr/>
      <w:r>
        <w:rPr>
          <w:lang w:val="en_US" w:bidi="en_US"/>
        </w:rPr>
      </w:r>
      <w:r>
        <w:rPr>
          <w:lang w:val="en_US" w:bidi="en_US"/>
        </w:rPr>
        <w:t>People From a Samaritan Village Reject Jesus (GW)</w:t>
      </w:r>
    </w:p>
    <w:p>
      <w:pPr/>
      <w:r>
        <w:rPr>
          <w:lang w:val="en_US" w:bidi="en_US"/>
        </w:rPr>
      </w:r>
      <w:r>
        <w:rPr>
          <w:lang w:val="en_US" w:bidi="en_US"/>
        </w:rPr>
        <w:t>Samaritan Opposition (NIV)</w:t>
      </w:r>
    </w:p>
    <w:p>
      <w:pPr>
        <w:pStyle w:val="Heading5"/>
      </w:pPr>
      <w:r>
        <w:rPr>
          <w:lang w:val="en_US" w:bidi="en_US"/>
        </w:rPr>
        <w:t>9:54a</w:t>
      </w:r>
    </w:p>
    <w:p>
      <w:pPr/>
      <w:r>
        <w:rPr>
          <w:lang w:val="en_US" w:bidi="en_US"/>
        </w:rPr>
      </w:r>
      <w:r>
        <w:rPr>
          <w:b/>
          <w:lang w:val="en_US" w:bidi="en_US"/>
        </w:rPr>
        <w:t>When the disciples James and John saw this, they asked,</w:t>
      </w:r>
    </w:p>
    <w:p>
      <w:pPr>
        <w:pStyle w:val="ListBullet"/>
        <w:spacing w:line="240" w:lineRule="auto"/>
        <w:ind w:left="720"/>
      </w:pPr>
      <w:r>
        <w:rPr>
          <w:lang w:val="en_US" w:bidi="en_US"/>
        </w:rPr>
      </w:r>
      <w:r>
        <w:rPr>
          <w:lang w:val="en_US" w:bidi="en_US"/>
        </w:rPr>
        <w:t xml:space="preserve">When James and John, two of his disciples, realized </w:t>
      </w:r>
      <w:r>
        <w:rPr>
          <w:lang w:val="en_US" w:bidi="en_US"/>
        </w:rPr>
        <w:t>that the Samaritans had refused to welcome Jesus</w:t>
      </w:r>
      <w:r>
        <w:rPr>
          <w:lang w:val="en_US" w:bidi="en_US"/>
        </w:rPr>
        <w:t xml:space="preserve">, they said </w:t>
      </w:r>
      <w:r>
        <w:rPr>
          <w:lang w:val="en_US" w:bidi="en_US"/>
        </w:rPr>
        <w:t>to him</w:t>
      </w:r>
      <w:r>
        <w:rPr>
          <w:lang w:val="en_US" w:bidi="en_US"/>
        </w:rPr>
        <w:t>,</w:t>
      </w:r>
    </w:p>
    <w:p>
      <w:pPr>
        <w:pStyle w:val="ListBullet"/>
        <w:spacing w:line="240" w:lineRule="auto"/>
        <w:ind w:left="720"/>
      </w:pPr>
      <w:r>
        <w:rPr>
          <w:lang w:val="en_US" w:bidi="en_US"/>
        </w:rPr>
      </w:r>
      <w:r>
        <w:rPr>
          <w:lang w:val="en_US" w:bidi="en_US"/>
        </w:rPr>
        <w:t xml:space="preserve">Jesus’ followers James and John found out what had happened. They told </w:t>
      </w:r>
      <w:r>
        <w:rPr>
          <w:lang w:val="en_US" w:bidi="en_US"/>
        </w:rPr>
        <w:t>Jesus</w:t>
      </w:r>
      <w:r>
        <w:rPr>
          <w:lang w:val="en_US" w:bidi="en_US"/>
        </w:rPr>
        <w:t>,</w:t>
      </w:r>
    </w:p>
    <w:p>
      <w:pPr/>
      <w:r>
        <w:rPr>
          <w:lang w:val="en_US" w:bidi="en_US"/>
        </w:rPr>
      </w:r>
      <w:r>
        <w:rPr>
          <w:b/>
          <w:lang w:val="en_US" w:bidi="en_US"/>
        </w:rPr>
        <w:t>When the disciples James and John saw this:</w:t>
      </w:r>
      <w:r>
        <w:rPr>
          <w:lang w:val="en_US" w:bidi="en_US"/>
        </w:rPr>
        <w:t xml:space="preserve"> This clause indicates that James and John heard about the people in the village not welcoming Jesus. The text does not indicate whether James and John were the messengers or whether they heard the messengers’ report. If possible, translate in a way that allows either meaning.</w:t>
      </w:r>
    </w:p>
    <w:p>
      <w:pPr/>
      <w:r>
        <w:rPr>
          <w:lang w:val="en_US" w:bidi="en_US"/>
        </w:rPr>
      </w:r>
      <w:r>
        <w:rPr>
          <w:lang w:val="en_US" w:bidi="en_US"/>
        </w:rPr>
        <w:t>In some languages it may not be natural to use a verb like “saw” for this situation. Some other ways to translate it are:</w:t>
      </w:r>
    </w:p>
    <w:p>
      <w:pPr/>
      <w:r>
        <w:rPr>
          <w:lang w:val="en_US" w:bidi="en_US"/>
        </w:rPr>
      </w:r>
      <w:r>
        <w:rPr>
          <w:lang w:val="en_US" w:bidi="en_US"/>
        </w:rPr>
        <w:t>The disciples James and John heard about this.</w:t>
      </w:r>
    </w:p>
    <w:p>
      <w:pPr/>
      <w:r>
        <w:rPr>
          <w:lang w:val="en_US" w:bidi="en_US"/>
        </w:rPr>
      </w:r>
      <w:r>
        <w:rPr>
          <w:lang w:val="en_US" w:bidi="en_US"/>
        </w:rPr>
        <w:t>The disciples James and John learned that the people would not welcome him.</w:t>
      </w:r>
    </w:p>
    <w:p>
      <w:pPr/>
      <w:r>
        <w:rPr>
          <w:lang w:val="en_US" w:bidi="en_US"/>
        </w:rPr>
      </w:r>
      <w:r>
        <w:rPr>
          <w:b/>
          <w:lang w:val="en_US" w:bidi="en_US"/>
        </w:rPr>
        <w:t>this:</w:t>
      </w:r>
      <w:r>
        <w:rPr>
          <w:lang w:val="en_US" w:bidi="en_US"/>
        </w:rPr>
        <w:t xml:space="preserve"> In some languages it may be necessary to make explicit what </w:t>
      </w:r>
      <w:r>
        <w:rPr>
          <w:i/>
          <w:lang w:val="en_US" w:bidi="en_US"/>
        </w:rPr>
        <w:t>this</w:t>
      </w:r>
      <w:r>
        <w:rPr>
          <w:lang w:val="en_US" w:bidi="en_US"/>
        </w:rPr>
        <w:t xml:space="preserve"> refers to. For example:</w:t>
      </w:r>
    </w:p>
    <w:p>
      <w:pPr/>
      <w:r>
        <w:rPr>
          <w:lang w:val="en_US" w:bidi="en_US"/>
        </w:rPr>
      </w:r>
      <w:r>
        <w:rPr>
          <w:lang w:val="en_US" w:bidi="en_US"/>
        </w:rPr>
        <w:t>what was happening (CEV)</w:t>
      </w:r>
    </w:p>
    <w:p>
      <w:pPr/>
      <w:r>
        <w:rPr>
          <w:lang w:val="en_US" w:bidi="en_US"/>
        </w:rPr>
      </w:r>
      <w:r>
        <w:rPr>
          <w:lang w:val="en_US" w:bidi="en_US"/>
        </w:rPr>
        <w:t>that the Samaritans had refused to welcome Jesus</w:t>
      </w:r>
    </w:p>
    <w:p>
      <w:pPr/>
      <w:r>
        <w:rPr>
          <w:lang w:val="en_US" w:bidi="en_US"/>
        </w:rPr>
      </w:r>
      <w:r>
        <w:rPr>
          <w:b/>
          <w:lang w:val="en_US" w:bidi="en_US"/>
        </w:rPr>
        <w:t>they asked:</w:t>
      </w:r>
      <w:r>
        <w:rPr>
          <w:lang w:val="en_US" w:bidi="en_US"/>
        </w:rPr>
        <w:t xml:space="preserve"> This clause indicates that James and John asked Jesus a question as a result of hearing what the Samaritans did.</w:t>
      </w:r>
    </w:p>
    <w:p>
      <w:pPr>
        <w:pStyle w:val="Heading5"/>
      </w:pPr>
      <w:r>
        <w:rPr>
          <w:lang w:val="en_US" w:bidi="en_US"/>
        </w:rPr>
        <w:t>9:54b</w:t>
      </w:r>
    </w:p>
    <w:p>
      <w:pPr/>
      <w:r>
        <w:rPr>
          <w:lang w:val="en_US" w:bidi="en_US"/>
        </w:rPr>
      </w:r>
      <w:r>
        <w:rPr>
          <w:b/>
          <w:lang w:val="en_US" w:bidi="en_US"/>
        </w:rPr>
        <w:t>“Lord, do You want us to call down fire from heaven to consume them?”</w:t>
      </w:r>
    </w:p>
    <w:p>
      <w:pPr>
        <w:pStyle w:val="ListBullet"/>
        <w:spacing w:line="240" w:lineRule="auto"/>
        <w:ind w:left="720"/>
      </w:pPr>
      <w:r>
        <w:rPr>
          <w:lang w:val="en_US" w:bidi="en_US"/>
        </w:rPr>
      </w:r>
      <w:r>
        <w:rPr>
          <w:lang w:val="en_US" w:bidi="en_US"/>
        </w:rPr>
        <w:t>“Lord/Master, would you</w:t>
      </w:r>
      <w:r>
        <w:rPr>
          <w:vertAlign w:val="superscript"/>
          <w:lang w:val="en_US" w:bidi="en_US"/>
        </w:rPr>
        <w:t>(sing)</w:t>
      </w:r>
      <w:r>
        <w:rPr>
          <w:lang w:val="en_US" w:bidi="en_US"/>
        </w:rPr>
        <w:t xml:space="preserve"> like us</w:t>
      </w:r>
      <w:r>
        <w:rPr>
          <w:vertAlign w:val="superscript"/>
          <w:lang w:val="en_US" w:bidi="en_US"/>
        </w:rPr>
        <w:t>(dual/excl)</w:t>
      </w:r>
      <w:r>
        <w:rPr>
          <w:lang w:val="en_US" w:bidi="en_US"/>
        </w:rPr>
        <w:t xml:space="preserve"> to summon/order fire to come down from heaven and consume/kill those people?”</w:t>
      </w:r>
    </w:p>
    <w:p>
      <w:pPr>
        <w:pStyle w:val="ListBullet"/>
        <w:spacing w:line="240" w:lineRule="auto"/>
        <w:ind w:left="720"/>
      </w:pPr>
      <w:r>
        <w:rPr>
          <w:lang w:val="en_US" w:bidi="en_US"/>
        </w:rPr>
      </w:r>
      <w:r>
        <w:rPr>
          <w:lang w:val="en_US" w:bidi="en_US"/>
        </w:rPr>
        <w:t>“Lord, if you</w:t>
      </w:r>
      <w:r>
        <w:rPr>
          <w:vertAlign w:val="superscript"/>
          <w:lang w:val="en_US" w:bidi="en_US"/>
        </w:rPr>
        <w:t>(sing)</w:t>
      </w:r>
      <w:r>
        <w:rPr>
          <w:lang w:val="en_US" w:bidi="en_US"/>
        </w:rPr>
        <w:t xml:space="preserve"> want, we</w:t>
      </w:r>
      <w:r>
        <w:rPr>
          <w:vertAlign w:val="superscript"/>
          <w:lang w:val="en_US" w:bidi="en_US"/>
        </w:rPr>
        <w:t>(dual/excl)</w:t>
      </w:r>
      <w:r>
        <w:rPr>
          <w:lang w:val="en_US" w:bidi="en_US"/>
        </w:rPr>
        <w:t xml:space="preserve"> will ask God to send fire to burn up those </w:t>
      </w:r>
      <w:r>
        <w:rPr>
          <w:lang w:val="en_US" w:bidi="en_US"/>
        </w:rPr>
        <w:t>villagers/Samaritans</w:t>
      </w:r>
      <w:r>
        <w:rPr>
          <w:lang w:val="en_US" w:bidi="en_US"/>
        </w:rPr>
        <w:t>!”</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“lord” or “master.” It was a respectful way to address someone who had authority, such as a religious teacher. It is also a word the Jews used to address God. It is not the same Greek word as the word translated as “Master” in 9:49a. But in some languages, it may be natural to use the same term of address for “Master,” “Teacher,” and “Lord.” Other ways to translate </w:t>
      </w:r>
      <w:r>
        <w:rPr>
          <w:i/>
          <w:lang w:val="en_US" w:bidi="en_US"/>
        </w:rPr>
        <w:t>Lord</w:t>
      </w:r>
      <w:r>
        <w:rPr>
          <w:lang w:val="en_US" w:bidi="en_US"/>
        </w:rPr>
        <w:t xml:space="preserve"> in this context are:</w:t>
      </w:r>
    </w:p>
    <w:p>
      <w:pPr/>
      <w:r>
        <w:rPr>
          <w:lang w:val="en_US" w:bidi="en_US"/>
        </w:rPr>
      </w:r>
      <w:r>
        <w:rPr>
          <w:lang w:val="en_US" w:bidi="en_US"/>
        </w:rPr>
        <w:t>Master</w:t>
      </w:r>
    </w:p>
    <w:p>
      <w:pPr/>
      <w:r>
        <w:rPr>
          <w:lang w:val="en_US" w:bidi="en_US"/>
        </w:rPr>
      </w:r>
      <w:r>
        <w:rPr>
          <w:lang w:val="en_US" w:bidi="en_US"/>
        </w:rPr>
        <w:t>Sir</w:t>
      </w:r>
    </w:p>
    <w:p>
      <w:pPr/>
      <w:r>
        <w:rPr>
          <w:lang w:val="en_US" w:bidi="en_US"/>
        </w:rPr>
      </w:r>
      <w:r>
        <w:rPr>
          <w:lang w:val="en_US" w:bidi="en_US"/>
        </w:rPr>
        <w:t>See Lord, Context 3, in the Glossary.</w:t>
      </w:r>
    </w:p>
    <w:p>
      <w:pPr/>
      <w:r>
        <w:rPr>
          <w:lang w:val="en_US" w:bidi="en_US"/>
        </w:rPr>
      </w:r>
      <w:r>
        <w:rPr>
          <w:b/>
          <w:lang w:val="en_US" w:bidi="en_US"/>
        </w:rPr>
        <w:t>do You want us to call down fire from heaven to consume them?:</w:t>
      </w:r>
      <w:r>
        <w:rPr>
          <w:lang w:val="en_US" w:bidi="en_US"/>
        </w:rPr>
        <w:t xml:space="preserve"> </w:t>
      </w:r>
      <w:r>
        <w:rPr>
          <w:lang w:val="en_US" w:bidi="en_US"/>
        </w:rPr>
        <w:t>There is a textual issue here. After the word “them,” some manuscripts add the phrase “as Elijah also did.” The KJV is the only English version on TW that follows this option. It is recommended that you not add this phrase.</w:t>
      </w:r>
      <w:r>
        <w:rPr>
          <w:lang w:val="en_US" w:bidi="en_US"/>
        </w:rPr>
        <w:t xml:space="preserve"> James and John were making a suggestion here. They may have been thinking of what Elijah did (2 Kings 1:10–12) when he commanded fire to come down from heaven and destroy the Lord’s enemies. They were expecting Jesus to answer, “Yes.”</w:t>
      </w:r>
    </w:p>
    <w:p>
      <w:pPr/>
      <w:r>
        <w:rPr>
          <w:lang w:val="en_US" w:bidi="en_US"/>
        </w:rPr>
      </w:r>
      <w:r>
        <w:rPr>
          <w:b/>
          <w:lang w:val="en_US" w:bidi="en_US"/>
        </w:rPr>
        <w:t>call down fire from heaven:</w:t>
      </w:r>
      <w:r>
        <w:rPr>
          <w:lang w:val="en_US" w:bidi="en_US"/>
        </w:rPr>
        <w:t xml:space="preserve"> The disciples were suggesting that they should command fire to appear from heaven. In this context, the phrase </w:t>
      </w:r>
      <w:r>
        <w:rPr>
          <w:i/>
          <w:lang w:val="en_US" w:bidi="en_US"/>
        </w:rPr>
        <w:t>from heaven</w:t>
      </w:r>
      <w:r>
        <w:rPr>
          <w:lang w:val="en_US" w:bidi="en_US"/>
        </w:rPr>
        <w:t xml:space="preserve"> implies “from God.” The Jews often referred indirectly to God in order to show their great respect for his name.</w:t>
      </w:r>
    </w:p>
    <w:p>
      <w:pPr/>
      <w:r>
        <w:rPr>
          <w:lang w:val="en_US" w:bidi="en_US"/>
        </w:rPr>
      </w:r>
      <w:r>
        <w:rPr>
          <w:lang w:val="en_US" w:bidi="en_US"/>
        </w:rPr>
        <w:t xml:space="preserve">Some other ways to translate the phrase </w:t>
      </w:r>
      <w:r>
        <w:rPr>
          <w:i/>
          <w:lang w:val="en_US" w:bidi="en_US"/>
        </w:rPr>
        <w:t>call down fire from heaven</w:t>
      </w:r>
      <w:r>
        <w:rPr>
          <w:lang w:val="en_US" w:bidi="en_US"/>
        </w:rPr>
        <w:t xml:space="preserve"> in this context are:</w:t>
      </w:r>
    </w:p>
    <w:p>
      <w:pPr/>
      <w:r>
        <w:rPr>
          <w:lang w:val="en_US" w:bidi="en_US"/>
        </w:rPr>
      </w:r>
      <w:r>
        <w:rPr>
          <w:lang w:val="en_US" w:bidi="en_US"/>
        </w:rPr>
        <w:t xml:space="preserve">cause fire to come down from </w:t>
      </w:r>
      <w:r>
        <w:rPr>
          <w:lang w:val="en_US" w:bidi="en_US"/>
        </w:rPr>
        <w:t>God in</w:t>
      </w:r>
      <w:r>
        <w:rPr>
          <w:lang w:val="en_US" w:bidi="en_US"/>
        </w:rPr>
        <w:t xml:space="preserve"> heaven</w:t>
      </w:r>
    </w:p>
    <w:p>
      <w:pPr/>
      <w:r>
        <w:rPr>
          <w:lang w:val="en_US" w:bidi="en_US"/>
        </w:rPr>
      </w:r>
      <w:r>
        <w:rPr>
          <w:lang w:val="en_US" w:bidi="en_US"/>
        </w:rPr>
        <w:t xml:space="preserve">ask </w:t>
      </w:r>
      <w:r>
        <w:rPr>
          <w:lang w:val="en_US" w:bidi="en_US"/>
        </w:rPr>
        <w:t>God</w:t>
      </w:r>
      <w:r>
        <w:rPr>
          <w:lang w:val="en_US" w:bidi="en_US"/>
        </w:rPr>
        <w:t xml:space="preserve"> to send fire</w:t>
      </w:r>
    </w:p>
    <w:p>
      <w:pPr/>
      <w:r>
        <w:rPr>
          <w:lang w:val="en_US" w:bidi="en_US"/>
        </w:rPr>
      </w:r>
      <w:r>
        <w:rPr>
          <w:lang w:val="en_US" w:bidi="en_US"/>
        </w:rPr>
        <w:t>See heaven, Meaning 3, in the Glossary.</w:t>
      </w:r>
    </w:p>
    <w:p>
      <w:pPr/>
      <w:r>
        <w:rPr>
          <w:lang w:val="en_US" w:bidi="en_US"/>
        </w:rPr>
      </w:r>
      <w:r>
        <w:rPr>
          <w:b/>
          <w:lang w:val="en_US" w:bidi="en_US"/>
        </w:rPr>
        <w:t>to consume them:</w:t>
      </w:r>
      <w:r>
        <w:rPr>
          <w:lang w:val="en_US" w:bidi="en_US"/>
        </w:rPr>
        <w:t xml:space="preserve"> The phrase </w:t>
      </w:r>
      <w:r>
        <w:rPr>
          <w:i/>
          <w:lang w:val="en_US" w:bidi="en_US"/>
        </w:rPr>
        <w:t>to consume them</w:t>
      </w:r>
      <w:r>
        <w:rPr>
          <w:lang w:val="en_US" w:bidi="en_US"/>
        </w:rPr>
        <w:t xml:space="preserve"> expresses the purpose for the fire. The Greek verb that the BSB translates as </w:t>
      </w:r>
      <w:r>
        <w:rPr>
          <w:i/>
          <w:lang w:val="en_US" w:bidi="en_US"/>
        </w:rPr>
        <w:t>consume</w:t>
      </w:r>
      <w:r>
        <w:rPr>
          <w:lang w:val="en_US" w:bidi="en_US"/>
        </w:rPr>
        <w:t xml:space="preserve"> refers here to the way in which fire burns something up. Use an appropriate verb for people being killed by fire. For example:</w:t>
      </w:r>
    </w:p>
    <w:p>
      <w:pPr/>
      <w:r>
        <w:rPr>
          <w:lang w:val="en_US" w:bidi="en_US"/>
        </w:rPr>
      </w:r>
      <w:r>
        <w:rPr>
          <w:lang w:val="en_US" w:bidi="en_US"/>
        </w:rPr>
        <w:t>destroy them (NIV)</w:t>
      </w:r>
    </w:p>
    <w:p>
      <w:pPr/>
      <w:r>
        <w:rPr>
          <w:lang w:val="en_US" w:bidi="en_US"/>
        </w:rPr>
      </w:r>
      <w:r>
        <w:rPr>
          <w:lang w:val="en_US" w:bidi="en_US"/>
        </w:rPr>
        <w:t>burn them up (GW)</w:t>
      </w:r>
    </w:p>
    <w:p>
      <w:pPr/>
      <w:r>
        <w:rPr>
          <w:lang w:val="en_US" w:bidi="en_US"/>
        </w:rPr>
      </w:r>
      <w:r>
        <w:rPr>
          <w:lang w:val="en_US" w:bidi="en_US"/>
        </w:rPr>
        <w:t>Use a natural expression in your language to express this idea.</w:t>
      </w:r>
      <w:r>
        <w:rPr>
          <w:lang w:val="en_US" w:bidi="en_US"/>
        </w:rPr>
      </w:r>
      <w:r>
        <w:rPr>
          <w:lang w:val="en_US" w:bidi="en_US"/>
        </w:rPr>
      </w:r>
    </w:p>
    <w:p>
      <w:pPr/>
      <w:r>
        <w:rPr>
          <w:lang w:val="en_US" w:bidi="en_US"/>
        </w:rPr>
      </w:r>
    </w:p>
    <w:p>
      <w:pPr>
        <w:pStyle w:val="Heading2"/>
      </w:pPr>
      <w:r>
        <w:rPr>
          <w:lang w:val="en_US" w:bidi="en_US"/>
        </w:rPr>
        <w:t>Luke 9:55</w:t>
      </w:r>
      <w:r>
        <w:rPr>
          <w:lang w:val="en_US" w:bidi="en_US"/>
        </w:rPr>
      </w:r>
    </w:p>
    <w:p>
      <w:pPr>
        <w:pStyle w:val="Heading4"/>
      </w:pPr>
      <w:r>
        <w:rPr>
          <w:lang w:val="en_US" w:bidi="en_US"/>
        </w:rPr>
        <w:t>Section 9:51–56: The people of a Samaritan village refused to receive Jesus</w:t>
      </w:r>
    </w:p>
    <w:p>
      <w:pPr/>
      <w:r>
        <w:rPr>
          <w:lang w:val="en_US" w:bidi="en_US"/>
        </w:rPr>
      </w:r>
      <w:r>
        <w:rPr>
          <w:lang w:val="en_US" w:bidi="en_US"/>
        </w:rPr>
        <w:t>Even though the Samaritan people were partly Jewish (2 Kings 17:24–41), they worshiped God differently than the Jews did. Their main place of worship was on Mount Gerazim, while the Jews’ main place of worship was in Jerusalem (John 4:20). The Samaritans did not want Jews to travel through their district on the way to worship in Jerusalem. That is why they rejected Jesus and his disciples.</w:t>
      </w:r>
    </w:p>
    <w:p>
      <w:pPr/>
      <w:r>
        <w:rPr>
          <w:lang w:val="en_US" w:bidi="en_US"/>
        </w:rPr>
      </w:r>
      <w:r>
        <w:rPr>
          <w:lang w:val="en_US" w:bidi="en_US"/>
        </w:rPr>
        <w:t>Some other examples of headings for this section are:</w:t>
      </w:r>
    </w:p>
    <w:p>
      <w:pPr/>
      <w:r>
        <w:rPr>
          <w:lang w:val="en_US" w:bidi="en_US"/>
        </w:rPr>
      </w:r>
      <w:r>
        <w:rPr>
          <w:lang w:val="en_US" w:bidi="en_US"/>
        </w:rPr>
        <w:t>People From a Samaritan Village Reject Jesus (GW)</w:t>
      </w:r>
    </w:p>
    <w:p>
      <w:pPr/>
      <w:r>
        <w:rPr>
          <w:lang w:val="en_US" w:bidi="en_US"/>
        </w:rPr>
      </w:r>
      <w:r>
        <w:rPr>
          <w:lang w:val="en_US" w:bidi="en_US"/>
        </w:rPr>
        <w:t>Samaritan Opposition (NIV)</w:t>
      </w:r>
    </w:p>
    <w:p>
      <w:pPr>
        <w:pStyle w:val="Heading5"/>
      </w:pPr>
      <w:r>
        <w:rPr>
          <w:lang w:val="en_US" w:bidi="en_US"/>
        </w:rPr>
        <w:t>9:55</w:t>
      </w:r>
    </w:p>
    <w:p>
      <w:pPr/>
      <w:r>
        <w:rPr>
          <w:lang w:val="en_US" w:bidi="en_US"/>
        </w:rPr>
      </w:r>
      <w:r>
        <w:rPr>
          <w:b/>
          <w:lang w:val="en_US" w:bidi="en_US"/>
        </w:rPr>
        <w:t>But Jesus turned and rebuked them.</w:t>
      </w:r>
    </w:p>
    <w:p>
      <w:pPr>
        <w:pStyle w:val="ListBullet"/>
        <w:spacing w:line="240" w:lineRule="auto"/>
        <w:ind w:left="720"/>
      </w:pPr>
      <w:r>
        <w:rPr>
          <w:lang w:val="en_US" w:bidi="en_US"/>
        </w:rPr>
      </w:r>
      <w:r>
        <w:rPr>
          <w:lang w:val="en_US" w:bidi="en_US"/>
        </w:rPr>
        <w:t xml:space="preserve">But Jesus turned around and scolded them </w:t>
      </w:r>
      <w:r>
        <w:rPr>
          <w:lang w:val="en_US" w:bidi="en_US"/>
        </w:rPr>
        <w:t>because of what they had said</w:t>
      </w:r>
      <w:r>
        <w:rPr>
          <w:lang w:val="en_US" w:bidi="en_US"/>
        </w:rPr>
        <w:t>.</w:t>
      </w:r>
    </w:p>
    <w:p>
      <w:pPr>
        <w:pStyle w:val="ListBullet"/>
        <w:spacing w:line="240" w:lineRule="auto"/>
        <w:ind w:left="720"/>
      </w:pPr>
      <w:r>
        <w:rPr>
          <w:lang w:val="en_US" w:bidi="en_US"/>
        </w:rPr>
      </w:r>
      <w:r>
        <w:rPr>
          <w:lang w:val="en_US" w:bidi="en_US"/>
        </w:rPr>
        <w:t>But Jesus turned and told them that they had said the wrong thing.</w:t>
      </w:r>
    </w:p>
    <w:p>
      <w:pPr/>
      <w:r>
        <w:rPr>
          <w:lang w:val="en_US" w:bidi="en_US"/>
        </w:rPr>
      </w:r>
      <w:r>
        <w:rPr>
          <w:b/>
          <w:lang w:val="en_US" w:bidi="en_US"/>
        </w:rPr>
        <w:t>But Jesus turned and rebuked them:</w:t>
      </w:r>
      <w:r>
        <w:rPr>
          <w:lang w:val="en_US" w:bidi="en_US"/>
        </w:rPr>
        <w:t xml:space="preserve"> </w:t>
      </w:r>
      <w:r>
        <w:rPr>
          <w:lang w:val="en_US" w:bidi="en_US"/>
        </w:rPr>
        <w:t>There is a textual issue here. After the word “them” in 9:55, some Greek manuscripts add the words, “You do not know of what sort of spirit you are.” These manuscripts begin 9:56 with the words “For the Son of Man did not come to destroy souls of men but to save.” Most English versions do not include this addition. It is recommended that you not add these words.</w:t>
      </w:r>
      <w:r>
        <w:rPr>
          <w:lang w:val="en_US" w:bidi="en_US"/>
        </w:rPr>
        <w:t xml:space="preserve"> Jesus was probably leading the disciples along the road. He turned around to speak to James and John. He answered them by rebuking them, that is, by telling them that they were thinking in a wrong way. Jesus did not want them to ask God to kill the Samaritan villagers. Another way to translate this clause is:</w:t>
      </w:r>
    </w:p>
    <w:p>
      <w:pPr/>
      <w:r>
        <w:rPr>
          <w:lang w:val="en_US" w:bidi="en_US"/>
        </w:rPr>
      </w:r>
      <w:r>
        <w:rPr>
          <w:lang w:val="en_US" w:bidi="en_US"/>
        </w:rPr>
        <w:t>But Jesus turned and scolded them (NCV)</w:t>
      </w:r>
    </w:p>
    <w:p>
      <w:pPr/>
      <w:r>
        <w:rPr>
          <w:lang w:val="en_US" w:bidi="en_US"/>
        </w:rPr>
      </w:r>
      <w:r>
        <w:rPr>
          <w:lang w:val="en_US" w:bidi="en_US"/>
        </w:rPr>
        <w:t>But Jesus turned and corrected them for what they had said (CEV)</w:t>
      </w:r>
    </w:p>
    <w:p>
      <w:pPr/>
      <w:r>
        <w:rPr>
          <w:lang w:val="en_US" w:bidi="en_US"/>
        </w:rPr>
      </w:r>
      <w:r>
        <w:rPr>
          <w:b/>
          <w:lang w:val="en_US" w:bidi="en_US"/>
        </w:rPr>
        <w:t>rebuked:</w:t>
      </w:r>
      <w:r>
        <w:rPr>
          <w:lang w:val="en_US" w:bidi="en_US"/>
        </w:rPr>
        <w:t xml:space="preserve"> The word </w:t>
      </w:r>
      <w:r>
        <w:rPr>
          <w:i/>
          <w:lang w:val="en_US" w:bidi="en_US"/>
        </w:rPr>
        <w:t>rebuked</w:t>
      </w:r>
      <w:r>
        <w:rPr>
          <w:lang w:val="en_US" w:bidi="en_US"/>
        </w:rPr>
        <w:t xml:space="preserve"> means that Jesus made it clear that what the disciples had said was wrong. They had a wrong attitude. In some languages it may be necessary to use direct speech. Supply something general such as:</w:t>
      </w:r>
    </w:p>
    <w:p>
      <w:pPr/>
      <w:r>
        <w:rPr>
          <w:lang w:val="en_US" w:bidi="en_US"/>
        </w:rPr>
      </w:r>
      <w:r>
        <w:rPr>
          <w:lang w:val="en_US" w:bidi="en_US"/>
        </w:rPr>
        <w:t>said, “No. That is wrong.”</w:t>
      </w:r>
      <w:r>
        <w:rPr>
          <w:lang w:val="en_US" w:bidi="en_US"/>
        </w:rPr>
      </w:r>
      <w:r>
        <w:rPr>
          <w:lang w:val="en_US" w:bidi="en_US"/>
        </w:rPr>
      </w:r>
    </w:p>
    <w:p>
      <w:pPr/>
      <w:r>
        <w:rPr>
          <w:lang w:val="en_US" w:bidi="en_US"/>
        </w:rPr>
      </w:r>
    </w:p>
    <w:p>
      <w:pPr>
        <w:pStyle w:val="Heading2"/>
      </w:pPr>
      <w:r>
        <w:rPr>
          <w:lang w:val="en_US" w:bidi="en_US"/>
        </w:rPr>
        <w:t>Luke 9:56</w:t>
      </w:r>
      <w:r>
        <w:rPr>
          <w:lang w:val="en_US" w:bidi="en_US"/>
        </w:rPr>
      </w:r>
    </w:p>
    <w:p>
      <w:pPr>
        <w:pStyle w:val="Heading4"/>
      </w:pPr>
      <w:r>
        <w:rPr>
          <w:lang w:val="en_US" w:bidi="en_US"/>
        </w:rPr>
        <w:t>Section 9:51–56: The people of a Samaritan village refused to receive Jesus</w:t>
      </w:r>
    </w:p>
    <w:p>
      <w:pPr/>
      <w:r>
        <w:rPr>
          <w:lang w:val="en_US" w:bidi="en_US"/>
        </w:rPr>
      </w:r>
      <w:r>
        <w:rPr>
          <w:lang w:val="en_US" w:bidi="en_US"/>
        </w:rPr>
        <w:t>Even though the Samaritan people were partly Jewish (2 Kings 17:24–41), they worshiped God differently than the Jews did. Their main place of worship was on Mount Gerazim, while the Jews’ main place of worship was in Jerusalem (John 4:20). The Samaritans did not want Jews to travel through their district on the way to worship in Jerusalem. That is why they rejected Jesus and his disciples.</w:t>
      </w:r>
    </w:p>
    <w:p>
      <w:pPr/>
      <w:r>
        <w:rPr>
          <w:lang w:val="en_US" w:bidi="en_US"/>
        </w:rPr>
      </w:r>
      <w:r>
        <w:rPr>
          <w:lang w:val="en_US" w:bidi="en_US"/>
        </w:rPr>
        <w:t>Some other examples of headings for this section are:</w:t>
      </w:r>
    </w:p>
    <w:p>
      <w:pPr/>
      <w:r>
        <w:rPr>
          <w:lang w:val="en_US" w:bidi="en_US"/>
        </w:rPr>
      </w:r>
      <w:r>
        <w:rPr>
          <w:lang w:val="en_US" w:bidi="en_US"/>
        </w:rPr>
        <w:t>People From a Samaritan Village Reject Jesus (GW)</w:t>
      </w:r>
    </w:p>
    <w:p>
      <w:pPr/>
      <w:r>
        <w:rPr>
          <w:lang w:val="en_US" w:bidi="en_US"/>
        </w:rPr>
      </w:r>
      <w:r>
        <w:rPr>
          <w:lang w:val="en_US" w:bidi="en_US"/>
        </w:rPr>
        <w:t>Samaritan Opposition (NIV)</w:t>
      </w:r>
    </w:p>
    <w:p>
      <w:pPr>
        <w:pStyle w:val="Heading5"/>
      </w:pPr>
      <w:r>
        <w:rPr>
          <w:lang w:val="en_US" w:bidi="en_US"/>
        </w:rPr>
        <w:t>9:56</w:t>
      </w:r>
    </w:p>
    <w:p>
      <w:pPr/>
      <w:r>
        <w:rPr>
          <w:lang w:val="en_US" w:bidi="en_US"/>
        </w:rPr>
      </w:r>
      <w:r>
        <w:rPr>
          <w:b/>
          <w:lang w:val="en_US" w:bidi="en_US"/>
        </w:rPr>
        <w:t>And He and His disciples went on to another village.</w:t>
      </w:r>
    </w:p>
    <w:p>
      <w:pPr>
        <w:pStyle w:val="ListBullet"/>
        <w:spacing w:line="240" w:lineRule="auto"/>
        <w:ind w:left="720"/>
      </w:pPr>
      <w:r>
        <w:rPr>
          <w:lang w:val="en_US" w:bidi="en_US"/>
        </w:rPr>
      </w:r>
      <w:r>
        <w:rPr>
          <w:lang w:val="en_US" w:bidi="en_US"/>
        </w:rPr>
        <w:t xml:space="preserve">Then </w:t>
      </w:r>
      <w:r>
        <w:rPr>
          <w:lang w:val="en_US" w:bidi="en_US"/>
        </w:rPr>
        <w:t>he and his disciples</w:t>
      </w:r>
      <w:r>
        <w:rPr>
          <w:lang w:val="en_US" w:bidi="en_US"/>
        </w:rPr>
        <w:t xml:space="preserve"> went on to a different village.</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the next action in the story. Other ways to introduce the next clause are:</w:t>
      </w:r>
    </w:p>
    <w:p>
      <w:pPr/>
      <w:r>
        <w:rPr>
          <w:lang w:val="en_US" w:bidi="en_US"/>
        </w:rPr>
      </w:r>
      <w:r>
        <w:rPr>
          <w:lang w:val="en_US" w:bidi="en_US"/>
        </w:rPr>
        <w:t>Then they went to another town. (NCV)</w:t>
      </w:r>
    </w:p>
    <w:p>
      <w:pPr/>
      <w:r>
        <w:rPr>
          <w:lang w:val="en_US" w:bidi="en_US"/>
        </w:rPr>
      </w:r>
      <w:r>
        <w:rPr>
          <w:lang w:val="en_US" w:bidi="en_US"/>
        </w:rPr>
        <w:t>So they went to another village. (GW)</w:t>
      </w:r>
    </w:p>
    <w:p>
      <w:pPr/>
      <w:r>
        <w:rPr>
          <w:lang w:val="en_US" w:bidi="en_US"/>
        </w:rPr>
      </w:r>
      <w:r>
        <w:rPr>
          <w:b/>
          <w:lang w:val="en_US" w:bidi="en_US"/>
        </w:rPr>
        <w:t>He and His disciples:</w:t>
      </w:r>
      <w:r>
        <w:rPr>
          <w:lang w:val="en_US" w:bidi="en_US"/>
        </w:rPr>
        <w:t xml:space="preserve"> For clarity, the BSB translates the Greek pronoun “they” (which is implicit in the verb form “went”) as </w:t>
      </w:r>
      <w:r>
        <w:rPr>
          <w:i/>
          <w:lang w:val="en_US" w:bidi="en_US"/>
        </w:rPr>
        <w:t>He and His disciples</w:t>
      </w:r>
      <w:r>
        <w:rPr>
          <w:lang w:val="en_US" w:bidi="en_US"/>
        </w:rPr>
        <w:t>. It may be helpful in your language to make this reference explicit. For example:</w:t>
      </w:r>
    </w:p>
    <w:p>
      <w:pPr/>
      <w:r>
        <w:rPr>
          <w:lang w:val="en_US" w:bidi="en_US"/>
        </w:rPr>
      </w:r>
      <w:r>
        <w:rPr>
          <w:lang w:val="en_US" w:bidi="en_US"/>
        </w:rPr>
        <w:t>Jesus and his disciples (GNT)</w:t>
      </w:r>
    </w:p>
    <w:p>
      <w:pPr/>
      <w:r>
        <w:rPr>
          <w:lang w:val="en_US" w:bidi="en_US"/>
        </w:rPr>
      </w:r>
      <w:r>
        <w:rPr>
          <w:lang w:val="en_US" w:bidi="en_US"/>
        </w:rPr>
        <w:t>they all (CEV)</w:t>
      </w:r>
    </w:p>
    <w:p>
      <w:pPr/>
      <w:r>
        <w:rPr>
          <w:lang w:val="en_US" w:bidi="en_US"/>
        </w:rPr>
      </w:r>
      <w:r>
        <w:rPr>
          <w:b/>
          <w:lang w:val="en_US" w:bidi="en_US"/>
        </w:rPr>
        <w:t>went on to another village:</w:t>
      </w:r>
      <w:r>
        <w:rPr>
          <w:lang w:val="en_US" w:bidi="en_US"/>
        </w:rPr>
        <w:t xml:space="preserve"> The text does not say whether the village they went to next was Samaritan or Jewish. You should not specify either one in your translation.</w:t>
      </w:r>
      <w:r>
        <w:rPr>
          <w:lang w:val="en_US" w:bidi="en_US"/>
        </w:rPr>
      </w:r>
      <w:r>
        <w:rPr>
          <w:lang w:val="en_US" w:bidi="en_US"/>
        </w:rPr>
      </w:r>
    </w:p>
    <w:p>
      <w:pPr/>
      <w:r>
        <w:rPr>
          <w:lang w:val="en_US" w:bidi="en_US"/>
        </w:rPr>
      </w:r>
    </w:p>
    <w:p>
      <w:pPr>
        <w:pStyle w:val="Heading2"/>
      </w:pPr>
      <w:r>
        <w:rPr>
          <w:lang w:val="en_US" w:bidi="en_US"/>
        </w:rPr>
        <w:t>Luke 9:57</w:t>
      </w:r>
      <w:r>
        <w:rPr>
          <w:lang w:val="en_US" w:bidi="en_US"/>
        </w:rPr>
      </w:r>
    </w:p>
    <w:p>
      <w:pPr>
        <w:pStyle w:val="Heading4"/>
      </w:pPr>
      <w:r>
        <w:rPr>
          <w:lang w:val="en_US" w:bidi="en_US"/>
        </w:rPr>
        <w:t>Section 9:57–62: It is hard to follow Jesus</w:t>
      </w:r>
    </w:p>
    <w:p>
      <w:pPr/>
      <w:r>
        <w:rPr>
          <w:lang w:val="en_US" w:bidi="en_US"/>
        </w:rPr>
      </w:r>
      <w:r>
        <w:rPr>
          <w:lang w:val="en_US" w:bidi="en_US"/>
        </w:rPr>
        <w:t>In the previous section, Luke spoke about the unwillingness of people in a Samaritan village to receive Jesus. In this Section 9:57–62, Luke told about three men who said that they were willing to follow Jesus. However, they did not understand the difficulties involved. Jesus warned each of them that it would not be easy. He told them that they must put the kingdom of God above everything else in their lives.</w:t>
      </w:r>
    </w:p>
    <w:p>
      <w:pPr/>
      <w:r>
        <w:rPr>
          <w:lang w:val="en_US" w:bidi="en_US"/>
        </w:rPr>
      </w:r>
      <w:r>
        <w:rPr>
          <w:lang w:val="en_US" w:bidi="en_US"/>
        </w:rPr>
        <w:t>Some other examples of headings for this section are:</w:t>
      </w:r>
    </w:p>
    <w:p>
      <w:pPr/>
      <w:r>
        <w:rPr>
          <w:lang w:val="en_US" w:bidi="en_US"/>
        </w:rPr>
      </w:r>
      <w:r>
        <w:rPr>
          <w:lang w:val="en_US" w:bidi="en_US"/>
        </w:rPr>
        <w:t>The Difficulty of Following Jesus</w:t>
      </w:r>
    </w:p>
    <w:p>
      <w:pPr/>
      <w:r>
        <w:rPr>
          <w:lang w:val="en_US" w:bidi="en_US"/>
        </w:rPr>
      </w:r>
      <w:r>
        <w:rPr>
          <w:lang w:val="en_US" w:bidi="en_US"/>
        </w:rPr>
        <w:t>Three People Who Wanted To Be Jesus’ Followers</w:t>
      </w:r>
    </w:p>
    <w:p>
      <w:pPr/>
      <w:r>
        <w:rPr>
          <w:lang w:val="en_US" w:bidi="en_US"/>
        </w:rPr>
      </w:r>
      <w:r>
        <w:rPr>
          <w:lang w:val="en_US" w:bidi="en_US"/>
        </w:rPr>
        <w:t>There is a parallel passage for this section in Matthew 8:19–22.</w:t>
      </w:r>
    </w:p>
    <w:p>
      <w:pPr>
        <w:pStyle w:val="Heading4"/>
      </w:pPr>
      <w:r>
        <w:rPr>
          <w:lang w:val="en_US" w:bidi="en_US"/>
        </w:rPr>
        <w:t>Paragraph 9:57–58</w:t>
      </w:r>
    </w:p>
    <w:p>
      <w:pPr/>
      <w:r>
        <w:rPr>
          <w:lang w:val="en_US" w:bidi="en_US"/>
        </w:rPr>
      </w:r>
      <w:r>
        <w:rPr>
          <w:lang w:val="en_US" w:bidi="en_US"/>
        </w:rPr>
        <w:t>The previous Section 9:51–56 indicated that Jesus was on his way to Jerusalem, so “the road” that Luke mentioned in 9:57a may be the road to Jerusalem. However, the setting for the parallel passage in Matthew 8:19–22 is different, so specific details about the location should not be made explicit here.</w:t>
      </w:r>
    </w:p>
    <w:p>
      <w:pPr>
        <w:pStyle w:val="Heading5"/>
      </w:pPr>
      <w:r>
        <w:rPr>
          <w:lang w:val="en_US" w:bidi="en_US"/>
        </w:rPr>
        <w:t>9:57a</w:t>
      </w:r>
    </w:p>
    <w:p>
      <w:pPr/>
      <w:r>
        <w:rPr>
          <w:lang w:val="en_US" w:bidi="en_US"/>
        </w:rPr>
      </w:r>
      <w:r>
        <w:rPr>
          <w:b/>
          <w:lang w:val="en_US" w:bidi="en_US"/>
        </w:rPr>
        <w:t>As they were walking along the road, someone said to Jesus,</w:t>
      </w:r>
    </w:p>
    <w:p>
      <w:pPr>
        <w:pStyle w:val="ListBullet"/>
        <w:spacing w:line="240" w:lineRule="auto"/>
        <w:ind w:left="720"/>
      </w:pPr>
      <w:r>
        <w:rPr>
          <w:lang w:val="en_US" w:bidi="en_US"/>
        </w:rPr>
      </w:r>
      <w:r>
        <w:rPr>
          <w:lang w:val="en_US" w:bidi="en_US"/>
        </w:rPr>
        <w:t xml:space="preserve">¶ As Jesus and his disciples were walking along, someone </w:t>
      </w:r>
      <w:r>
        <w:rPr>
          <w:lang w:val="en_US" w:bidi="en_US"/>
        </w:rPr>
        <w:t>came up</w:t>
      </w:r>
      <w:r>
        <w:rPr>
          <w:lang w:val="en_US" w:bidi="en_US"/>
        </w:rPr>
        <w:t xml:space="preserve"> to him and said,</w:t>
      </w:r>
    </w:p>
    <w:p>
      <w:pPr>
        <w:pStyle w:val="ListBullet"/>
        <w:spacing w:line="240" w:lineRule="auto"/>
        <w:ind w:left="720"/>
      </w:pPr>
      <w:r>
        <w:rPr>
          <w:lang w:val="en_US" w:bidi="en_US"/>
        </w:rPr>
      </w:r>
      <w:r>
        <w:rPr>
          <w:lang w:val="en_US" w:bidi="en_US"/>
        </w:rPr>
        <w:t xml:space="preserve">¶ While they were walking on the road, </w:t>
      </w:r>
      <w:r>
        <w:rPr>
          <w:lang w:val="en_US" w:bidi="en_US"/>
        </w:rPr>
        <w:t>there was</w:t>
      </w:r>
      <w:r>
        <w:rPr>
          <w:lang w:val="en_US" w:bidi="en_US"/>
        </w:rPr>
        <w:t xml:space="preserve"> a man </w:t>
      </w:r>
      <w:r>
        <w:rPr>
          <w:lang w:val="en_US" w:bidi="en_US"/>
        </w:rPr>
        <w:t>who approached and</w:t>
      </w:r>
      <w:r>
        <w:rPr>
          <w:lang w:val="en_US" w:bidi="en_US"/>
        </w:rPr>
        <w:t xml:space="preserve"> said to Jesus,</w:t>
      </w:r>
    </w:p>
    <w:p>
      <w:pPr/>
      <w:r>
        <w:rPr>
          <w:lang w:val="en_US" w:bidi="en_US"/>
        </w:rPr>
      </w:r>
      <w:r>
        <w:rPr>
          <w:b/>
          <w:lang w:val="en_US" w:bidi="en_US"/>
        </w:rPr>
        <w:t>As they were walking along the road:</w:t>
      </w:r>
      <w:r>
        <w:rPr>
          <w:lang w:val="en_US" w:bidi="en_US"/>
        </w:rPr>
        <w:t xml:space="preserve"> The pronoun </w:t>
      </w:r>
      <w:r>
        <w:rPr>
          <w:i/>
          <w:lang w:val="en_US" w:bidi="en_US"/>
        </w:rPr>
        <w:t>they</w:t>
      </w:r>
      <w:r>
        <w:rPr>
          <w:lang w:val="en_US" w:bidi="en_US"/>
        </w:rPr>
        <w:t xml:space="preserve"> refers to Jesus and his disciples. The phrase </w:t>
      </w:r>
      <w:r>
        <w:rPr>
          <w:i/>
          <w:lang w:val="en_US" w:bidi="en_US"/>
        </w:rPr>
        <w:t>the road</w:t>
      </w:r>
      <w:r>
        <w:rPr>
          <w:lang w:val="en_US" w:bidi="en_US"/>
        </w:rPr>
        <w:t xml:space="preserve"> does not refer to any specific place or time. You should translate this setting in a general way. For example:</w:t>
      </w:r>
    </w:p>
    <w:p>
      <w:pPr/>
      <w:r>
        <w:rPr>
          <w:lang w:val="en_US" w:bidi="en_US"/>
        </w:rPr>
      </w:r>
      <w:r>
        <w:rPr>
          <w:lang w:val="en_US" w:bidi="en_US"/>
        </w:rPr>
        <w:t>As they were walking along (NLT)</w:t>
      </w:r>
    </w:p>
    <w:p>
      <w:pPr/>
      <w:r>
        <w:rPr>
          <w:lang w:val="en_US" w:bidi="en_US"/>
        </w:rPr>
      </w:r>
      <w:r>
        <w:rPr>
          <w:lang w:val="en_US" w:bidi="en_US"/>
        </w:rPr>
        <w:t>One day</w:t>
      </w:r>
      <w:r>
        <w:rPr>
          <w:lang w:val="en_US" w:bidi="en_US"/>
        </w:rPr>
        <w:t xml:space="preserve"> as they walked along the road</w:t>
      </w:r>
    </w:p>
    <w:p>
      <w:pPr/>
      <w:r>
        <w:rPr>
          <w:lang w:val="en_US" w:bidi="en_US"/>
        </w:rPr>
      </w:r>
      <w:r>
        <w:rPr>
          <w:b/>
          <w:lang w:val="en_US" w:bidi="en_US"/>
        </w:rPr>
        <w:t>someone said to Jesus:</w:t>
      </w:r>
      <w:r>
        <w:rPr>
          <w:lang w:val="en_US" w:bidi="en_US"/>
        </w:rPr>
        <w:t xml:space="preserve"> Luke does not identify this man in any way. The text does not indicate whether he was walking with Jesus and his disciples or whether he approached Jesus at some place along the way. In some languages it may be necessary to introduce this man into the story in a general way. For example:</w:t>
      </w:r>
    </w:p>
    <w:p>
      <w:pPr/>
      <w:r>
        <w:rPr>
          <w:lang w:val="en_US" w:bidi="en_US"/>
        </w:rPr>
      </w:r>
      <w:r>
        <w:rPr>
          <w:lang w:val="en_US" w:bidi="en_US"/>
        </w:rPr>
        <w:t>there was</w:t>
      </w:r>
      <w:r>
        <w:rPr>
          <w:lang w:val="en_US" w:bidi="en_US"/>
        </w:rPr>
        <w:t xml:space="preserve"> a man </w:t>
      </w:r>
      <w:r>
        <w:rPr>
          <w:lang w:val="en_US" w:bidi="en_US"/>
        </w:rPr>
        <w:t>who approached</w:t>
      </w:r>
      <w:r>
        <w:rPr>
          <w:lang w:val="en_US" w:bidi="en_US"/>
        </w:rPr>
        <w:t xml:space="preserve"> Jesus and said</w:t>
      </w:r>
    </w:p>
    <w:p>
      <w:pPr>
        <w:pStyle w:val="Heading5"/>
      </w:pPr>
      <w:r>
        <w:rPr>
          <w:lang w:val="en_US" w:bidi="en_US"/>
        </w:rPr>
        <w:t>9:57b</w:t>
      </w:r>
    </w:p>
    <w:p>
      <w:pPr/>
      <w:r>
        <w:rPr>
          <w:lang w:val="en_US" w:bidi="en_US"/>
        </w:rPr>
      </w:r>
      <w:r>
        <w:rPr>
          <w:b/>
          <w:lang w:val="en_US" w:bidi="en_US"/>
        </w:rPr>
        <w:t>“I will follow You wherever You go.”</w:t>
      </w:r>
    </w:p>
    <w:p>
      <w:pPr>
        <w:pStyle w:val="ListBullet"/>
        <w:spacing w:line="240" w:lineRule="auto"/>
        <w:ind w:left="720"/>
      </w:pPr>
      <w:r>
        <w:rPr>
          <w:lang w:val="en_US" w:bidi="en_US"/>
        </w:rPr>
      </w:r>
      <w:r>
        <w:rPr>
          <w:lang w:val="en_US" w:bidi="en_US"/>
        </w:rPr>
        <w:t xml:space="preserve">“I will </w:t>
      </w:r>
      <w:r>
        <w:rPr>
          <w:lang w:val="en_US" w:bidi="en_US"/>
        </w:rPr>
        <w:t>become your</w:t>
      </w:r>
      <w:r>
        <w:rPr>
          <w:vertAlign w:val="superscript"/>
          <w:lang w:val="en_US" w:bidi="en_US"/>
        </w:rPr>
        <w:t>(sing)</w:t>
      </w:r>
      <w:r>
        <w:rPr>
          <w:lang w:val="en_US" w:bidi="en_US"/>
        </w:rPr>
        <w:t xml:space="preserve"> </w:t>
      </w:r>
      <w:r>
        <w:rPr>
          <w:lang w:val="en_US" w:bidi="en_US"/>
        </w:rPr>
        <w:t>disciple and</w:t>
      </w:r>
      <w:r>
        <w:rPr>
          <w:lang w:val="en_US" w:bidi="en_US"/>
        </w:rPr>
        <w:t xml:space="preserve"> follow you no matter where you</w:t>
      </w:r>
      <w:r>
        <w:rPr>
          <w:vertAlign w:val="superscript"/>
          <w:lang w:val="en_US" w:bidi="en_US"/>
        </w:rPr>
        <w:t>(sing)</w:t>
      </w:r>
      <w:r>
        <w:rPr>
          <w:lang w:val="en_US" w:bidi="en_US"/>
        </w:rPr>
        <w:t xml:space="preserve"> go.”</w:t>
      </w:r>
    </w:p>
    <w:p>
      <w:pPr>
        <w:pStyle w:val="ListBullet"/>
        <w:spacing w:line="240" w:lineRule="auto"/>
        <w:ind w:left="720"/>
      </w:pPr>
      <w:r>
        <w:rPr>
          <w:lang w:val="en_US" w:bidi="en_US"/>
        </w:rPr>
      </w:r>
      <w:r>
        <w:rPr>
          <w:lang w:val="en_US" w:bidi="en_US"/>
        </w:rPr>
        <w:t>“I will go with you</w:t>
      </w:r>
      <w:r>
        <w:rPr>
          <w:vertAlign w:val="superscript"/>
          <w:lang w:val="en_US" w:bidi="en_US"/>
        </w:rPr>
        <w:t>(sing)</w:t>
      </w:r>
      <w:r>
        <w:rPr>
          <w:lang w:val="en_US" w:bidi="en_US"/>
        </w:rPr>
        <w:t xml:space="preserve"> as your disciple wherever you go.”</w:t>
      </w:r>
    </w:p>
    <w:p>
      <w:pPr/>
      <w:r>
        <w:rPr>
          <w:lang w:val="en_US" w:bidi="en_US"/>
        </w:rPr>
      </w:r>
      <w:r>
        <w:rPr>
          <w:b/>
          <w:lang w:val="en_US" w:bidi="en_US"/>
        </w:rPr>
        <w:t>I will follow You wherever You go:</w:t>
      </w:r>
      <w:r>
        <w:rPr>
          <w:lang w:val="en_US" w:bidi="en_US"/>
        </w:rPr>
        <w:t xml:space="preserve"> </w:t>
      </w:r>
      <w:r>
        <w:rPr>
          <w:lang w:val="en_US" w:bidi="en_US"/>
        </w:rPr>
        <w:t>There is a textual issue here concerning whether or not the word “Lord” occurs at the beginning of 9:57b. (1) The earliest Greek manuscripts do not have “Lord.” (2) Many other Greek manuscripts have the word “Lord” here. It is recommended that you follow option (1). However, if the national language version follows option (2), you may want to include the word “Lord” in the text or in a footnote. For more information, see Swanson, p. 180, and Blight 2007a, p. 442.</w:t>
      </w:r>
      <w:r>
        <w:rPr>
          <w:lang w:val="en_US" w:bidi="en_US"/>
        </w:rPr>
        <w:t xml:space="preserve"> The phrase </w:t>
      </w:r>
      <w:r>
        <w:rPr>
          <w:i/>
          <w:lang w:val="en_US" w:bidi="en_US"/>
        </w:rPr>
        <w:t>I will follow You</w:t>
      </w:r>
      <w:r>
        <w:rPr>
          <w:lang w:val="en_US" w:bidi="en_US"/>
        </w:rPr>
        <w:t xml:space="preserve"> indicates here that the man wanted to be one of Jesus’ disciples. In Jesus’ time, a disciple followed his master wherever he went and learned from him. In some languages some of this information may need to be made explicit. For example:</w:t>
      </w:r>
    </w:p>
    <w:p>
      <w:pPr/>
      <w:r>
        <w:rPr>
          <w:lang w:val="en_US" w:bidi="en_US"/>
        </w:rPr>
      </w:r>
      <w:r>
        <w:rPr>
          <w:lang w:val="en_US" w:bidi="en_US"/>
        </w:rPr>
        <w:t xml:space="preserve">I will </w:t>
      </w:r>
      <w:r>
        <w:rPr>
          <w:lang w:val="en_US" w:bidi="en_US"/>
        </w:rPr>
        <w:t>be your disciple and</w:t>
      </w:r>
      <w:r>
        <w:rPr>
          <w:lang w:val="en_US" w:bidi="en_US"/>
        </w:rPr>
        <w:t xml:space="preserve"> follow you anywhere you go.</w:t>
      </w:r>
    </w:p>
    <w:p>
      <w:pPr/>
      <w:r>
        <w:rPr>
          <w:lang w:val="en_US" w:bidi="en_US"/>
        </w:rPr>
      </w:r>
      <w:r>
        <w:rPr>
          <w:lang w:val="en_US" w:bidi="en_US"/>
        </w:rPr>
        <w:t xml:space="preserve">I want to become your follower </w:t>
      </w:r>
      <w:r>
        <w:rPr>
          <w:lang w:val="en_US" w:bidi="en_US"/>
        </w:rPr>
        <w:t>always</w:t>
      </w:r>
      <w:r>
        <w:rPr>
          <w:lang w:val="en_US" w:bidi="en_US"/>
        </w:rPr>
        <w:t>. Wherever you go, I will go also.</w:t>
      </w:r>
      <w:r>
        <w:rPr>
          <w:lang w:val="en_US" w:bidi="en_US"/>
        </w:rPr>
      </w:r>
      <w:r>
        <w:rPr>
          <w:lang w:val="en_US" w:bidi="en_US"/>
        </w:rPr>
      </w:r>
    </w:p>
    <w:p>
      <w:pPr/>
      <w:r>
        <w:rPr>
          <w:lang w:val="en_US" w:bidi="en_US"/>
        </w:rPr>
      </w:r>
    </w:p>
    <w:p>
      <w:pPr>
        <w:pStyle w:val="Heading2"/>
      </w:pPr>
      <w:r>
        <w:rPr>
          <w:lang w:val="en_US" w:bidi="en_US"/>
        </w:rPr>
        <w:t>Luke 9:58</w:t>
      </w:r>
      <w:r>
        <w:rPr>
          <w:lang w:val="en_US" w:bidi="en_US"/>
        </w:rPr>
      </w:r>
    </w:p>
    <w:p>
      <w:pPr>
        <w:pStyle w:val="Heading4"/>
      </w:pPr>
      <w:r>
        <w:rPr>
          <w:lang w:val="en_US" w:bidi="en_US"/>
        </w:rPr>
        <w:t>Section 9:57–62: It is hard to follow Jesus</w:t>
      </w:r>
    </w:p>
    <w:p>
      <w:pPr/>
      <w:r>
        <w:rPr>
          <w:lang w:val="en_US" w:bidi="en_US"/>
        </w:rPr>
      </w:r>
      <w:r>
        <w:rPr>
          <w:lang w:val="en_US" w:bidi="en_US"/>
        </w:rPr>
        <w:t>In the previous section, Luke spoke about the unwillingness of people in a Samaritan village to receive Jesus. In this Section 9:57–62, Luke told about three men who said that they were willing to follow Jesus. However, they did not understand the difficulties involved. Jesus warned each of them that it would not be easy. He told them that they must put the kingdom of God above everything else in their lives.</w:t>
      </w:r>
    </w:p>
    <w:p>
      <w:pPr/>
      <w:r>
        <w:rPr>
          <w:lang w:val="en_US" w:bidi="en_US"/>
        </w:rPr>
      </w:r>
      <w:r>
        <w:rPr>
          <w:lang w:val="en_US" w:bidi="en_US"/>
        </w:rPr>
        <w:t>Some other examples of headings for this section are:</w:t>
      </w:r>
    </w:p>
    <w:p>
      <w:pPr/>
      <w:r>
        <w:rPr>
          <w:lang w:val="en_US" w:bidi="en_US"/>
        </w:rPr>
      </w:r>
      <w:r>
        <w:rPr>
          <w:lang w:val="en_US" w:bidi="en_US"/>
        </w:rPr>
        <w:t>The Difficulty of Following Jesus</w:t>
      </w:r>
    </w:p>
    <w:p>
      <w:pPr/>
      <w:r>
        <w:rPr>
          <w:lang w:val="en_US" w:bidi="en_US"/>
        </w:rPr>
      </w:r>
      <w:r>
        <w:rPr>
          <w:lang w:val="en_US" w:bidi="en_US"/>
        </w:rPr>
        <w:t>Three People Who Wanted To Be Jesus’ Followers</w:t>
      </w:r>
    </w:p>
    <w:p>
      <w:pPr/>
      <w:r>
        <w:rPr>
          <w:lang w:val="en_US" w:bidi="en_US"/>
        </w:rPr>
      </w:r>
      <w:r>
        <w:rPr>
          <w:lang w:val="en_US" w:bidi="en_US"/>
        </w:rPr>
        <w:t>There is a parallel passage for this section in Matthew 8:19–22.</w:t>
      </w:r>
    </w:p>
    <w:p>
      <w:pPr>
        <w:pStyle w:val="Heading4"/>
      </w:pPr>
      <w:r>
        <w:rPr>
          <w:lang w:val="en_US" w:bidi="en_US"/>
        </w:rPr>
        <w:t>Paragraph 9:57–58</w:t>
      </w:r>
    </w:p>
    <w:p>
      <w:pPr/>
      <w:r>
        <w:rPr>
          <w:lang w:val="en_US" w:bidi="en_US"/>
        </w:rPr>
      </w:r>
      <w:r>
        <w:rPr>
          <w:lang w:val="en_US" w:bidi="en_US"/>
        </w:rPr>
        <w:t>The previous Section 9:51–56 indicated that Jesus was on his way to Jerusalem, so “the road” that Luke mentioned in 9:57a may be the road to Jerusalem. However, the setting for the parallel passage in Matthew 8:19–22 is different, so specific details about the location should not be made explicit here.</w:t>
      </w:r>
    </w:p>
    <w:p>
      <w:pPr>
        <w:pStyle w:val="Heading5"/>
      </w:pPr>
      <w:r>
        <w:rPr>
          <w:lang w:val="en_US" w:bidi="en_US"/>
        </w:rPr>
        <w:t>9:58a</w:t>
      </w:r>
    </w:p>
    <w:p>
      <w:pPr/>
      <w:r>
        <w:rPr>
          <w:lang w:val="en_US" w:bidi="en_US"/>
        </w:rPr>
      </w:r>
      <w:r>
        <w:rPr>
          <w:b/>
          <w:lang w:val="en_US" w:bidi="en_US"/>
        </w:rPr>
        <w:t>Jesus replied, “Foxes have dens and birds of the air have nests,</w:t>
      </w:r>
    </w:p>
    <w:p>
      <w:pPr>
        <w:pStyle w:val="ListBullet"/>
        <w:spacing w:line="240" w:lineRule="auto"/>
        <w:ind w:left="720"/>
      </w:pPr>
      <w:r>
        <w:rPr>
          <w:lang w:val="en_US" w:bidi="en_US"/>
        </w:rPr>
      </w:r>
      <w:r>
        <w:rPr>
          <w:lang w:val="en_US" w:bidi="en_US"/>
        </w:rPr>
        <w:t xml:space="preserve">Jesus answered, “Foxes have holes/dens </w:t>
      </w:r>
      <w:r>
        <w:rPr>
          <w:lang w:val="en_US" w:bidi="en_US"/>
        </w:rPr>
        <w:t>to sleep in</w:t>
      </w:r>
      <w:r>
        <w:rPr>
          <w:lang w:val="en_US" w:bidi="en_US"/>
        </w:rPr>
        <w:t xml:space="preserve">, and wild birds have nests </w:t>
      </w:r>
      <w:r>
        <w:rPr>
          <w:lang w:val="en_US" w:bidi="en_US"/>
        </w:rPr>
        <w:t>for their homes</w:t>
      </w:r>
      <w:r>
        <w:rPr>
          <w:lang w:val="en_US" w:bidi="en_US"/>
        </w:rPr>
        <w:t>,</w:t>
      </w:r>
    </w:p>
    <w:p>
      <w:pPr>
        <w:pStyle w:val="ListBullet"/>
        <w:spacing w:line="240" w:lineRule="auto"/>
        <w:ind w:left="720"/>
      </w:pPr>
      <w:r>
        <w:rPr>
          <w:lang w:val="en_US" w:bidi="en_US"/>
        </w:rPr>
      </w:r>
      <w:r>
        <w:rPr>
          <w:lang w:val="en_US" w:bidi="en_US"/>
        </w:rPr>
        <w:t xml:space="preserve">Jesus said to him, “Foxes can sleep in their own holes/burrows, and birds have places where they </w:t>
      </w:r>
      <w:r>
        <w:rPr>
          <w:lang w:val="en_US" w:bidi="en_US"/>
        </w:rPr>
        <w:t>return to</w:t>
      </w:r>
      <w:r>
        <w:rPr>
          <w:lang w:val="en_US" w:bidi="en_US"/>
        </w:rPr>
        <w:t xml:space="preserve"> rest/roost,</w:t>
      </w:r>
    </w:p>
    <w:p>
      <w:pPr/>
      <w:r>
        <w:rPr>
          <w:lang w:val="en_US" w:bidi="en_US"/>
        </w:rPr>
      </w:r>
      <w:r>
        <w:rPr>
          <w:lang w:val="en_US" w:bidi="en_US"/>
        </w:rPr>
        <w:t>This verse begins with a Greek conjunction that is often translated as “and.” Some English versions (ESV, NASB) translate it that way. The NLT translates it as “But” in order to show a contrast, since Jesus’ response implied that the life of a disciple was more difficult than the man may have expected. The BSB has not translated this conjunction, and several other versions (CEV, GNT, NIV, NET) also do not translate it. Connect 9:58a to 9:57b in a way that is natural in your language.</w:t>
      </w:r>
    </w:p>
    <w:p>
      <w:pPr/>
      <w:r>
        <w:rPr>
          <w:lang w:val="en_US" w:bidi="en_US"/>
        </w:rPr>
      </w:r>
      <w:r>
        <w:rPr>
          <w:b/>
          <w:lang w:val="en_US" w:bidi="en_US"/>
        </w:rPr>
        <w:t>Jesus replied:</w:t>
      </w:r>
      <w:r>
        <w:rPr>
          <w:lang w:val="en_US" w:bidi="en_US"/>
        </w:rPr>
        <w:t xml:space="preserve"> The phrase that the BSB translates as </w:t>
      </w:r>
      <w:r>
        <w:rPr>
          <w:i/>
          <w:lang w:val="en_US" w:bidi="en_US"/>
        </w:rPr>
        <w:t>Jesus replied</w:t>
      </w:r>
      <w:r>
        <w:rPr>
          <w:lang w:val="en_US" w:bidi="en_US"/>
        </w:rPr>
        <w:t xml:space="preserve"> is literally “And Jesus said to him.” Several English versions translate it that way. Use a natural way in your language to introduce a response like this.</w:t>
      </w:r>
    </w:p>
    <w:p>
      <w:pPr/>
      <w:r>
        <w:rPr>
          <w:lang w:val="en_US" w:bidi="en_US"/>
        </w:rPr>
      </w:r>
      <w:r>
        <w:rPr>
          <w:b/>
          <w:lang w:val="en_US" w:bidi="en_US"/>
        </w:rPr>
        <w:t>Foxes have dens:</w:t>
      </w:r>
      <w:r>
        <w:rPr>
          <w:lang w:val="en_US" w:bidi="en_US"/>
        </w:rPr>
        <w:t xml:space="preserve"> The clause </w:t>
      </w:r>
      <w:r>
        <w:rPr>
          <w:i/>
          <w:lang w:val="en_US" w:bidi="en_US"/>
        </w:rPr>
        <w:t>Foxes have dens</w:t>
      </w:r>
      <w:r>
        <w:rPr>
          <w:lang w:val="en_US" w:bidi="en_US"/>
        </w:rPr>
        <w:t xml:space="preserve"> implies that foxes have dens </w:t>
      </w:r>
      <w:r>
        <w:rPr>
          <w:u w:val="single"/>
          <w:lang w:val="en_US" w:bidi="en_US"/>
        </w:rPr>
        <w:t>to sleep in</w:t>
      </w:r>
      <w:r>
        <w:rPr>
          <w:lang w:val="en_US" w:bidi="en_US"/>
        </w:rPr>
        <w:t>. Foxes move around a lot, but they have a definite place they can return to that is their home. In some languages it is helpful to make this explicit. For example:</w:t>
      </w:r>
    </w:p>
    <w:p>
      <w:pPr/>
      <w:r>
        <w:rPr>
          <w:lang w:val="en_US" w:bidi="en_US"/>
        </w:rPr>
      </w:r>
      <w:r>
        <w:rPr>
          <w:lang w:val="en_US" w:bidi="en_US"/>
        </w:rPr>
        <w:t xml:space="preserve">Foxes have </w:t>
      </w:r>
      <w:r>
        <w:rPr>
          <w:lang w:val="en_US" w:bidi="en_US"/>
        </w:rPr>
        <w:t>their own</w:t>
      </w:r>
      <w:r>
        <w:rPr>
          <w:lang w:val="en_US" w:bidi="en_US"/>
        </w:rPr>
        <w:t xml:space="preserve"> dens </w:t>
      </w:r>
      <w:r>
        <w:rPr>
          <w:lang w:val="en_US" w:bidi="en_US"/>
        </w:rPr>
        <w:t>to sleep in</w:t>
      </w:r>
    </w:p>
    <w:p>
      <w:pPr/>
      <w:r>
        <w:rPr>
          <w:lang w:val="en_US" w:bidi="en_US"/>
        </w:rPr>
      </w:r>
      <w:r>
        <w:rPr>
          <w:b/>
          <w:lang w:val="en_US" w:bidi="en_US"/>
        </w:rPr>
        <w:t>Foxes:</w:t>
      </w:r>
      <w:r>
        <w:rPr>
          <w:lang w:val="en_US" w:bidi="en_US"/>
        </w:rPr>
        <w:t xml:space="preserve"> </w:t>
      </w:r>
      <w:r>
        <w:rPr>
          <w:i/>
          <w:lang w:val="en_US" w:bidi="en_US"/>
        </w:rPr>
        <w:t>Foxes</w:t>
      </w:r>
      <w:r>
        <w:rPr>
          <w:lang w:val="en_US" w:bidi="en_US"/>
        </w:rPr>
        <w:t xml:space="preserve"> are wild animals that look like small dogs. They live in holes/burrows or dens in the ground or in natural shelters such as caves. In languages where there is no word for “foxes,” you can:</w:t>
      </w:r>
    </w:p>
    <w:p>
      <w:pPr>
        <w:pStyle w:val="ListBullet"/>
        <w:spacing w:line="240" w:lineRule="auto"/>
        <w:ind w:left="720"/>
      </w:pPr>
      <w:r>
        <w:rPr>
          <w:lang w:val="en_US" w:bidi="en_US"/>
        </w:rPr>
      </w:r>
      <w:r>
        <w:rPr>
          <w:lang w:val="en_US" w:bidi="en_US"/>
        </w:rPr>
        <w:t>Use a more general expression. For example:</w:t>
      </w:r>
      <w:r>
        <w:rPr>
          <w:lang w:val="en_US" w:bidi="en_US"/>
        </w:rPr>
        <w:t>small wild animals</w:t>
      </w:r>
    </w:p>
    <w:p>
      <w:pPr>
        <w:pStyle w:val="ListBullet"/>
        <w:spacing w:line="240" w:lineRule="auto"/>
        <w:ind w:left="720"/>
      </w:pPr>
      <w:r>
        <w:rPr>
          <w:lang w:val="en_US" w:bidi="en_US"/>
        </w:rPr>
      </w:r>
      <w:r>
        <w:rPr>
          <w:lang w:val="en_US" w:bidi="en_US"/>
        </w:rPr>
        <w:t>Use the term in your language for a local animal that lives in a hole or burrow. Choose an animal that is as similar to a fox as possible. For example:</w:t>
      </w:r>
      <w:r>
        <w:rPr>
          <w:lang w:val="en_US" w:bidi="en_US"/>
        </w:rPr>
        <w:t>coyote</w:t>
      </w:r>
      <w:r>
        <w:rPr>
          <w:lang w:val="en_US" w:bidi="en_US"/>
        </w:rPr>
        <w:t>wild dog</w:t>
      </w:r>
      <w:r>
        <w:rPr>
          <w:lang w:val="en_US" w:bidi="en_US"/>
        </w:rPr>
        <w:t>civet cat</w:t>
      </w:r>
    </w:p>
    <w:p>
      <w:pPr/>
      <w:r>
        <w:rPr>
          <w:lang w:val="en_US" w:bidi="en_US"/>
        </w:rPr>
      </w:r>
      <w:r>
        <w:rPr>
          <w:lang w:val="en_US" w:bidi="en_US"/>
        </w:rPr>
        <w:t>Translate this term in the way that is most natural in your language.</w:t>
      </w:r>
    </w:p>
    <w:p>
      <w:pPr/>
      <w:r>
        <w:rPr>
          <w:lang w:val="en_US" w:bidi="en_US"/>
        </w:rPr>
      </w:r>
      <w:r>
        <w:rPr>
          <w:b/>
          <w:lang w:val="en_US" w:bidi="en_US"/>
        </w:rPr>
        <w:t>birds of the air have nests:</w:t>
      </w:r>
      <w:r>
        <w:rPr>
          <w:lang w:val="en_US" w:bidi="en_US"/>
        </w:rPr>
        <w:t xml:space="preserve"> The clause </w:t>
      </w:r>
      <w:r>
        <w:rPr>
          <w:i/>
          <w:lang w:val="en_US" w:bidi="en_US"/>
        </w:rPr>
        <w:t>birds of the air have nests</w:t>
      </w:r>
      <w:r>
        <w:rPr>
          <w:lang w:val="en_US" w:bidi="en_US"/>
        </w:rPr>
        <w:t xml:space="preserve"> implies that birds have nests where they raise their young or roosts (resting places) where they regularly sleep. Other ways to translate this are:</w:t>
      </w:r>
    </w:p>
    <w:p>
      <w:pPr/>
      <w:r>
        <w:rPr>
          <w:lang w:val="en_US" w:bidi="en_US"/>
        </w:rPr>
      </w:r>
      <w:r>
        <w:rPr>
          <w:lang w:val="en_US" w:bidi="en_US"/>
        </w:rPr>
        <w:t>birds live/sleep in nests</w:t>
      </w:r>
    </w:p>
    <w:p>
      <w:pPr/>
      <w:r>
        <w:rPr>
          <w:lang w:val="en_US" w:bidi="en_US"/>
        </w:rPr>
      </w:r>
      <w:r>
        <w:rPr>
          <w:lang w:val="en_US" w:bidi="en_US"/>
        </w:rPr>
        <w:t>wild birds have places where they go to rest/roost</w:t>
      </w:r>
    </w:p>
    <w:p>
      <w:pPr/>
      <w:r>
        <w:rPr>
          <w:lang w:val="en_US" w:bidi="en_US"/>
        </w:rPr>
      </w:r>
      <w:r>
        <w:rPr>
          <w:b/>
          <w:lang w:val="en_US" w:bidi="en_US"/>
        </w:rPr>
        <w:t>birds of the air:</w:t>
      </w:r>
      <w:r>
        <w:rPr>
          <w:lang w:val="en_US" w:bidi="en_US"/>
        </w:rPr>
        <w:t xml:space="preserve"> The Greek phrase that the BSB translates as </w:t>
      </w:r>
      <w:r>
        <w:rPr>
          <w:i/>
          <w:lang w:val="en_US" w:bidi="en_US"/>
        </w:rPr>
        <w:t>birds of the air</w:t>
      </w:r>
      <w:r>
        <w:rPr>
          <w:lang w:val="en_US" w:bidi="en_US"/>
        </w:rPr>
        <w:t xml:space="preserve"> was a common way to refer to wild birds that fly in the air. Another way to translate this is:</w:t>
      </w:r>
    </w:p>
    <w:p>
      <w:pPr/>
      <w:r>
        <w:rPr>
          <w:lang w:val="en_US" w:bidi="en_US"/>
        </w:rPr>
      </w:r>
      <w:r>
        <w:rPr>
          <w:lang w:val="en_US" w:bidi="en_US"/>
        </w:rPr>
        <w:t>birds of the sky (NET)</w:t>
      </w:r>
    </w:p>
    <w:p>
      <w:pPr/>
      <w:r>
        <w:rPr>
          <w:lang w:val="en_US" w:bidi="en_US"/>
        </w:rPr>
      </w:r>
      <w:r>
        <w:rPr>
          <w:lang w:val="en_US" w:bidi="en_US"/>
        </w:rPr>
        <w:t>In some languages it may be more natural to leave some of this information implicit. For example:</w:t>
      </w:r>
    </w:p>
    <w:p>
      <w:pPr/>
      <w:r>
        <w:rPr>
          <w:lang w:val="en_US" w:bidi="en_US"/>
        </w:rPr>
      </w:r>
      <w:r>
        <w:rPr>
          <w:lang w:val="en_US" w:bidi="en_US"/>
        </w:rPr>
        <w:t>wild birds</w:t>
      </w:r>
    </w:p>
    <w:p>
      <w:pPr/>
      <w:r>
        <w:rPr>
          <w:lang w:val="en_US" w:bidi="en_US"/>
        </w:rPr>
      </w:r>
      <w:r>
        <w:rPr>
          <w:lang w:val="en_US" w:bidi="en_US"/>
        </w:rPr>
        <w:t>birds (GNT)</w:t>
      </w:r>
    </w:p>
    <w:p>
      <w:pPr/>
      <w:r>
        <w:rPr>
          <w:lang w:val="en_US" w:bidi="en_US"/>
        </w:rPr>
      </w:r>
      <w:r>
        <w:rPr>
          <w:lang w:val="en_US" w:bidi="en_US"/>
        </w:rPr>
        <w:t>The phrase “birds of the air” also occurs in 8:5c.</w:t>
      </w:r>
    </w:p>
    <w:p>
      <w:pPr/>
      <w:r>
        <w:rPr>
          <w:lang w:val="en_US" w:bidi="en_US"/>
        </w:rPr>
      </w:r>
      <w:r>
        <w:rPr>
          <w:b/>
          <w:lang w:val="en_US" w:bidi="en_US"/>
        </w:rPr>
        <w:t>nests:</w:t>
      </w:r>
      <w:r>
        <w:rPr>
          <w:lang w:val="en_US" w:bidi="en_US"/>
        </w:rPr>
        <w:t xml:space="preserve"> The Greek word that the BSB translates as </w:t>
      </w:r>
      <w:r>
        <w:rPr>
          <w:i/>
          <w:lang w:val="en_US" w:bidi="en_US"/>
        </w:rPr>
        <w:t>nests</w:t>
      </w:r>
      <w:r>
        <w:rPr>
          <w:lang w:val="en_US" w:bidi="en_US"/>
        </w:rPr>
        <w:t xml:space="preserve"> can refer to either “nests” or “roosts.” Use a term in your language that refers to a place where birds normally return at night to sleep.</w:t>
      </w:r>
    </w:p>
    <w:p>
      <w:pPr>
        <w:pStyle w:val="Heading5"/>
      </w:pPr>
      <w:r>
        <w:rPr>
          <w:lang w:val="en_US" w:bidi="en_US"/>
        </w:rPr>
        <w:t>9:58b</w:t>
      </w:r>
    </w:p>
    <w:p>
      <w:pPr/>
      <w:r>
        <w:rPr>
          <w:lang w:val="en_US" w:bidi="en_US"/>
        </w:rPr>
      </w:r>
      <w:r>
        <w:rPr>
          <w:b/>
          <w:lang w:val="en_US" w:bidi="en_US"/>
        </w:rPr>
        <w:t>but the Son of Man has no place to lay His head.”</w:t>
      </w:r>
    </w:p>
    <w:p>
      <w:pPr>
        <w:pStyle w:val="ListBullet"/>
        <w:spacing w:line="240" w:lineRule="auto"/>
        <w:ind w:left="720"/>
      </w:pPr>
      <w:r>
        <w:rPr>
          <w:lang w:val="en_US" w:bidi="en_US"/>
        </w:rPr>
      </w:r>
      <w:r>
        <w:rPr>
          <w:lang w:val="en_US" w:bidi="en_US"/>
        </w:rPr>
        <w:t xml:space="preserve">but </w:t>
      </w:r>
      <w:r>
        <w:rPr>
          <w:lang w:val="en_US" w:bidi="en_US"/>
        </w:rPr>
        <w:t>I,</w:t>
      </w:r>
      <w:r>
        <w:rPr>
          <w:lang w:val="en_US" w:bidi="en_US"/>
        </w:rPr>
        <w:t xml:space="preserve"> the Son of Man, have no place to rest/sleep </w:t>
      </w:r>
      <w:r>
        <w:rPr>
          <w:lang w:val="en_US" w:bidi="en_US"/>
        </w:rPr>
        <w:t>that I can call/consider home</w:t>
      </w:r>
      <w:r>
        <w:rPr>
          <w:lang w:val="en_US" w:bidi="en_US"/>
        </w:rPr>
        <w:t>.”</w:t>
      </w:r>
    </w:p>
    <w:p>
      <w:pPr>
        <w:pStyle w:val="ListBullet"/>
        <w:spacing w:line="240" w:lineRule="auto"/>
        <w:ind w:left="720"/>
      </w:pPr>
      <w:r>
        <w:rPr>
          <w:lang w:val="en_US" w:bidi="en_US"/>
        </w:rPr>
      </w:r>
      <w:r>
        <w:rPr>
          <w:lang w:val="en_US" w:bidi="en_US"/>
        </w:rPr>
        <w:t>but as for me, the Son of Man, I do not have my own place to sleep.”</w:t>
      </w:r>
    </w:p>
    <w:p>
      <w:pPr/>
      <w:r>
        <w:rPr>
          <w:lang w:val="en_US" w:bidi="en_US"/>
        </w:rPr>
      </w:r>
      <w:r>
        <w:rPr>
          <w:b/>
          <w:lang w:val="en_US" w:bidi="en_US"/>
        </w:rPr>
        <w:t>but the Son of Man has no place to lay His head:</w:t>
      </w:r>
      <w:r>
        <w:rPr>
          <w:lang w:val="en_US" w:bidi="en_US"/>
        </w:rPr>
        <w:t xml:space="preserve"> The Greek conjunction that the BSB translates as </w:t>
      </w:r>
      <w:r>
        <w:rPr>
          <w:i/>
          <w:lang w:val="en_US" w:bidi="en_US"/>
        </w:rPr>
        <w:t>but</w:t>
      </w:r>
      <w:r>
        <w:rPr>
          <w:lang w:val="en_US" w:bidi="en_US"/>
        </w:rPr>
        <w:t xml:space="preserve"> here introduces a contrast with the previous verse part. Foxes and birds had regular places to sleep. In contrast to them, Jesus had no regular home where he and his disciples could sleep at night. People in Nazareth had forced Jesus to leave, and he himself had decided to leave Capernaum. The Samaritans had also refused to welcome him.</w:t>
      </w:r>
    </w:p>
    <w:p>
      <w:pPr/>
      <w:r>
        <w:rPr>
          <w:lang w:val="en_US" w:bidi="en_US"/>
        </w:rPr>
      </w:r>
      <w:r>
        <w:rPr>
          <w:b/>
          <w:lang w:val="en_US" w:bidi="en_US"/>
        </w:rPr>
        <w:t>the Son of Man:</w:t>
      </w:r>
      <w:r>
        <w:rPr>
          <w:lang w:val="en_US" w:bidi="en_US"/>
        </w:rPr>
        <w:t xml:space="preserve"> Jesus often referred to himself as the </w:t>
      </w:r>
      <w:r>
        <w:rPr>
          <w:i/>
          <w:lang w:val="en_US" w:bidi="en_US"/>
        </w:rPr>
        <w:t>Son of Man</w:t>
      </w:r>
      <w:r>
        <w:rPr>
          <w:lang w:val="en_US" w:bidi="en_US"/>
        </w:rPr>
        <w:t>. In some languages it may be necessary to make it clear that Jesus was referring to himself:</w:t>
      </w:r>
    </w:p>
    <w:p>
      <w:pPr/>
      <w:r>
        <w:rPr>
          <w:lang w:val="en_US" w:bidi="en_US"/>
        </w:rPr>
      </w:r>
      <w:r>
        <w:rPr>
          <w:lang w:val="en_US" w:bidi="en_US"/>
        </w:rPr>
        <w:t>I,</w:t>
      </w:r>
      <w:r>
        <w:rPr>
          <w:lang w:val="en_US" w:bidi="en_US"/>
        </w:rPr>
        <w:t xml:space="preserve"> the Son of Man</w:t>
      </w:r>
    </w:p>
    <w:p>
      <w:pPr/>
      <w:r>
        <w:rPr>
          <w:lang w:val="en_US" w:bidi="en_US"/>
        </w:rPr>
      </w:r>
      <w:r>
        <w:rPr>
          <w:lang w:val="en_US" w:bidi="en_US"/>
        </w:rPr>
        <w:t xml:space="preserve">The phrase </w:t>
      </w:r>
      <w:r>
        <w:rPr>
          <w:i/>
          <w:lang w:val="en_US" w:bidi="en_US"/>
        </w:rPr>
        <w:t>Son of Man</w:t>
      </w:r>
      <w:r>
        <w:rPr>
          <w:lang w:val="en_US" w:bidi="en_US"/>
        </w:rPr>
        <w:t xml:space="preserve"> also occurs in 9:22a.</w:t>
      </w:r>
    </w:p>
    <w:p>
      <w:pPr/>
      <w:r>
        <w:rPr>
          <w:lang w:val="en_US" w:bidi="en_US"/>
        </w:rPr>
      </w:r>
      <w:r>
        <w:rPr>
          <w:b/>
          <w:lang w:val="en_US" w:bidi="en_US"/>
        </w:rPr>
        <w:t>has no place to lay His head:</w:t>
      </w:r>
      <w:r>
        <w:rPr>
          <w:lang w:val="en_US" w:bidi="en_US"/>
        </w:rPr>
        <w:t xml:space="preserve"> The phrase </w:t>
      </w:r>
      <w:r>
        <w:rPr>
          <w:i/>
          <w:lang w:val="en_US" w:bidi="en_US"/>
        </w:rPr>
        <w:t>has no place to lay His head</w:t>
      </w:r>
      <w:r>
        <w:rPr>
          <w:lang w:val="en_US" w:bidi="en_US"/>
        </w:rPr>
        <w:t xml:space="preserve"> means here that Jesus had no permanent house where he and his disciples could sleep at night. He did not mean that he never put his head down or that he never slept anywhere. Other ways to translate this phrase include:</w:t>
      </w:r>
    </w:p>
    <w:p>
      <w:pPr/>
      <w:r>
        <w:rPr>
          <w:lang w:val="en_US" w:bidi="en_US"/>
        </w:rPr>
      </w:r>
      <w:r>
        <w:rPr>
          <w:lang w:val="en_US" w:bidi="en_US"/>
        </w:rPr>
        <w:t>doesn’t have a place to call his own (CEV)</w:t>
      </w:r>
    </w:p>
    <w:p>
      <w:pPr/>
      <w:r>
        <w:rPr>
          <w:lang w:val="en_US" w:bidi="en_US"/>
        </w:rPr>
      </w:r>
      <w:r>
        <w:rPr>
          <w:lang w:val="en_US" w:bidi="en_US"/>
        </w:rPr>
        <w:t>has no regular place to sleep</w:t>
      </w:r>
      <w:r>
        <w:rPr>
          <w:lang w:val="en_US" w:bidi="en_US"/>
        </w:rPr>
      </w:r>
      <w:r>
        <w:rPr>
          <w:lang w:val="en_US" w:bidi="en_US"/>
        </w:rPr>
      </w:r>
    </w:p>
    <w:p>
      <w:pPr/>
      <w:r>
        <w:rPr>
          <w:lang w:val="en_US" w:bidi="en_US"/>
        </w:rPr>
      </w:r>
    </w:p>
    <w:p>
      <w:pPr>
        <w:pStyle w:val="Heading2"/>
      </w:pPr>
      <w:r>
        <w:rPr>
          <w:lang w:val="en_US" w:bidi="en_US"/>
        </w:rPr>
        <w:t>Luke 9:59</w:t>
      </w:r>
      <w:r>
        <w:rPr>
          <w:lang w:val="en_US" w:bidi="en_US"/>
        </w:rPr>
      </w:r>
    </w:p>
    <w:p>
      <w:pPr>
        <w:pStyle w:val="Heading4"/>
      </w:pPr>
      <w:r>
        <w:rPr>
          <w:lang w:val="en_US" w:bidi="en_US"/>
        </w:rPr>
        <w:t>Section 9:57–62: It is hard to follow Jesus</w:t>
      </w:r>
    </w:p>
    <w:p>
      <w:pPr/>
      <w:r>
        <w:rPr>
          <w:lang w:val="en_US" w:bidi="en_US"/>
        </w:rPr>
      </w:r>
      <w:r>
        <w:rPr>
          <w:lang w:val="en_US" w:bidi="en_US"/>
        </w:rPr>
        <w:t>In the previous section, Luke spoke about the unwillingness of people in a Samaritan village to receive Jesus. In this Section 9:57–62, Luke told about three men who said that they were willing to follow Jesus. However, they did not understand the difficulties involved. Jesus warned each of them that it would not be easy. He told them that they must put the kingdom of God above everything else in their lives.</w:t>
      </w:r>
    </w:p>
    <w:p>
      <w:pPr/>
      <w:r>
        <w:rPr>
          <w:lang w:val="en_US" w:bidi="en_US"/>
        </w:rPr>
      </w:r>
      <w:r>
        <w:rPr>
          <w:lang w:val="en_US" w:bidi="en_US"/>
        </w:rPr>
        <w:t>Some other examples of headings for this section are:</w:t>
      </w:r>
    </w:p>
    <w:p>
      <w:pPr/>
      <w:r>
        <w:rPr>
          <w:lang w:val="en_US" w:bidi="en_US"/>
        </w:rPr>
      </w:r>
      <w:r>
        <w:rPr>
          <w:lang w:val="en_US" w:bidi="en_US"/>
        </w:rPr>
        <w:t>The Difficulty of Following Jesus</w:t>
      </w:r>
    </w:p>
    <w:p>
      <w:pPr/>
      <w:r>
        <w:rPr>
          <w:lang w:val="en_US" w:bidi="en_US"/>
        </w:rPr>
      </w:r>
      <w:r>
        <w:rPr>
          <w:lang w:val="en_US" w:bidi="en_US"/>
        </w:rPr>
        <w:t>Three People Who Wanted To Be Jesus’ Followers</w:t>
      </w:r>
    </w:p>
    <w:p>
      <w:pPr/>
      <w:r>
        <w:rPr>
          <w:lang w:val="en_US" w:bidi="en_US"/>
        </w:rPr>
      </w:r>
      <w:r>
        <w:rPr>
          <w:lang w:val="en_US" w:bidi="en_US"/>
        </w:rPr>
        <w:t>There is a parallel passage for this section in Matthew 8:19–22.</w:t>
      </w:r>
    </w:p>
    <w:p>
      <w:pPr>
        <w:pStyle w:val="Heading5"/>
      </w:pPr>
      <w:r>
        <w:rPr>
          <w:lang w:val="en_US" w:bidi="en_US"/>
        </w:rPr>
        <w:t>9:59a</w:t>
      </w:r>
    </w:p>
    <w:p>
      <w:pPr/>
      <w:r>
        <w:rPr>
          <w:lang w:val="en_US" w:bidi="en_US"/>
        </w:rPr>
      </w:r>
      <w:r>
        <w:rPr>
          <w:b/>
          <w:lang w:val="en_US" w:bidi="en_US"/>
        </w:rPr>
        <w:t>Then He said to another man, “Follow Me.”</w:t>
      </w:r>
    </w:p>
    <w:p>
      <w:pPr>
        <w:pStyle w:val="ListBullet"/>
        <w:spacing w:line="240" w:lineRule="auto"/>
        <w:ind w:left="720"/>
      </w:pPr>
      <w:r>
        <w:rPr>
          <w:lang w:val="en_US" w:bidi="en_US"/>
        </w:rPr>
      </w:r>
      <w:r>
        <w:rPr>
          <w:lang w:val="en_US" w:bidi="en_US"/>
        </w:rPr>
        <w:t xml:space="preserve">¶ Then Jesus said to a different man, “Come with me </w:t>
      </w:r>
      <w:r>
        <w:rPr>
          <w:lang w:val="en_US" w:bidi="en_US"/>
        </w:rPr>
        <w:t>and be my disciple</w:t>
      </w:r>
      <w:r>
        <w:rPr>
          <w:lang w:val="en_US" w:bidi="en_US"/>
        </w:rPr>
        <w:t>.”</w:t>
      </w:r>
    </w:p>
    <w:p>
      <w:pPr>
        <w:pStyle w:val="ListBullet"/>
        <w:spacing w:line="240" w:lineRule="auto"/>
        <w:ind w:left="720"/>
      </w:pPr>
      <w:r>
        <w:rPr>
          <w:lang w:val="en_US" w:bidi="en_US"/>
        </w:rPr>
      </w:r>
      <w:r>
        <w:rPr>
          <w:lang w:val="en_US" w:bidi="en_US"/>
        </w:rPr>
        <w:t>¶ Later, Jesus told/asked someone else to become his disciple.</w:t>
      </w:r>
    </w:p>
    <w:p>
      <w:pPr/>
      <w:r>
        <w:rPr>
          <w:lang w:val="en_US" w:bidi="en_US"/>
        </w:rPr>
      </w:r>
      <w:r>
        <w:rPr>
          <w:b/>
          <w:lang w:val="en_US" w:bidi="en_US"/>
        </w:rPr>
        <w:t>Then:</w:t>
      </w:r>
      <w:r>
        <w:rPr>
          <w:lang w:val="en_US" w:bidi="en_US"/>
        </w:rPr>
        <w:t xml:space="preserve"> This verse begins with a Greek conjunction. The BSB translates it as </w:t>
      </w:r>
      <w:r>
        <w:rPr>
          <w:i/>
          <w:lang w:val="en_US" w:bidi="en_US"/>
        </w:rPr>
        <w:t>Then</w:t>
      </w:r>
      <w:r>
        <w:rPr>
          <w:lang w:val="en_US" w:bidi="en_US"/>
        </w:rPr>
        <w:t xml:space="preserve"> in order to show that it introduces the next event in the story. Some other versions translate this conjunction as “And” (KJV, NASB). Most English versions do not translate it. Introduce this event in a natural way in your language.</w:t>
      </w:r>
    </w:p>
    <w:p>
      <w:pPr/>
      <w:r>
        <w:rPr>
          <w:lang w:val="en_US" w:bidi="en_US"/>
        </w:rPr>
      </w:r>
      <w:r>
        <w:rPr>
          <w:b/>
          <w:lang w:val="en_US" w:bidi="en_US"/>
        </w:rPr>
        <w:t>He said to another man:</w:t>
      </w:r>
      <w:r>
        <w:rPr>
          <w:lang w:val="en_US" w:bidi="en_US"/>
        </w:rPr>
        <w:t xml:space="preserve"> In the previous paragraph, a man asked Jesus if he could follow him all the time as a disciple. This time Jesus himself invited someone else to follow him as a disciple. According to the parallel verse in Matthew 8:21, this person was already a disciple in some sense, but he did not follow Jesus all the time. Jesus was here asking him to join the group of disciples who followed him regularly.</w:t>
      </w:r>
    </w:p>
    <w:p>
      <w:pPr/>
      <w:r>
        <w:rPr>
          <w:lang w:val="en_US" w:bidi="en_US"/>
        </w:rPr>
      </w:r>
      <w:r>
        <w:rPr>
          <w:b/>
          <w:lang w:val="en_US" w:bidi="en_US"/>
        </w:rPr>
        <w:t>Follow Me:</w:t>
      </w:r>
      <w:r>
        <w:rPr>
          <w:lang w:val="en_US" w:bidi="en_US"/>
        </w:rPr>
        <w:t xml:space="preserve"> In this context the clause </w:t>
      </w:r>
      <w:r>
        <w:rPr>
          <w:i/>
          <w:lang w:val="en_US" w:bidi="en_US"/>
        </w:rPr>
        <w:t>Follow Me</w:t>
      </w:r>
      <w:r>
        <w:rPr>
          <w:lang w:val="en_US" w:bidi="en_US"/>
        </w:rPr>
        <w:t xml:space="preserve"> means “Come and learn from me” or “Be my disciple.” See the note on 9:57b. In some languages it may be more natural to translate this clause as an indirect quote. For example:</w:t>
      </w:r>
    </w:p>
    <w:p>
      <w:pPr/>
      <w:r>
        <w:rPr>
          <w:lang w:val="en_US" w:bidi="en_US"/>
        </w:rPr>
      </w:r>
      <w:r>
        <w:rPr>
          <w:lang w:val="en_US" w:bidi="en_US"/>
        </w:rPr>
        <w:t>Jesus told someone else to come with him as his disciple.</w:t>
      </w:r>
    </w:p>
    <w:p>
      <w:pPr>
        <w:pStyle w:val="Heading5"/>
      </w:pPr>
      <w:r>
        <w:rPr>
          <w:lang w:val="en_US" w:bidi="en_US"/>
        </w:rPr>
        <w:t>9:59b</w:t>
      </w:r>
    </w:p>
    <w:p>
      <w:pPr/>
      <w:r>
        <w:rPr>
          <w:lang w:val="en_US" w:bidi="en_US"/>
        </w:rPr>
      </w:r>
      <w:r>
        <w:rPr>
          <w:b/>
          <w:lang w:val="en_US" w:bidi="en_US"/>
        </w:rPr>
        <w:t>The man replied, “Lord, first let me go and bury my father.”</w:t>
      </w:r>
    </w:p>
    <w:p>
      <w:pPr>
        <w:pStyle w:val="ListBullet"/>
        <w:spacing w:line="240" w:lineRule="auto"/>
        <w:ind w:left="720"/>
      </w:pPr>
      <w:r>
        <w:rPr>
          <w:lang w:val="en_US" w:bidi="en_US"/>
        </w:rPr>
      </w:r>
      <w:r>
        <w:rPr>
          <w:lang w:val="en_US" w:bidi="en_US"/>
        </w:rPr>
        <w:t>But the man said, “Lord, allow me to go home first and arrange for my father’s funeral.”</w:t>
      </w:r>
    </w:p>
    <w:p>
      <w:pPr>
        <w:pStyle w:val="ListBullet"/>
        <w:spacing w:line="240" w:lineRule="auto"/>
        <w:ind w:left="720"/>
      </w:pPr>
      <w:r>
        <w:rPr>
          <w:lang w:val="en_US" w:bidi="en_US"/>
        </w:rPr>
      </w:r>
      <w:r>
        <w:rPr>
          <w:lang w:val="en_US" w:bidi="en_US"/>
        </w:rPr>
        <w:t>But that person asked Jesus respectfully to let him wait until he could bury his father.</w:t>
      </w:r>
    </w:p>
    <w:p>
      <w:pPr/>
      <w:r>
        <w:rPr>
          <w:lang w:val="en_US" w:bidi="en_US"/>
        </w:rPr>
      </w:r>
      <w:r>
        <w:rPr>
          <w:lang w:val="en_US" w:bidi="en_US"/>
        </w:rPr>
        <w:t>This verse begins with a Greek conjunction. Most English versions translate it as “but” in order to show the contrast between Jesus’ invitation and the man’s response. The BSB has not translated this conjunction, and a few other English versions also do not translate it. Consider whether a connecting word would be natural in your language here.</w:t>
      </w:r>
    </w:p>
    <w:p>
      <w:pPr/>
      <w:r>
        <w:rPr>
          <w:lang w:val="en_US" w:bidi="en_US"/>
        </w:rPr>
      </w:r>
      <w:r>
        <w:rPr>
          <w:b/>
          <w:lang w:val="en_US" w:bidi="en_US"/>
        </w:rPr>
        <w:t>The man replied:</w:t>
      </w:r>
      <w:r>
        <w:rPr>
          <w:lang w:val="en_US" w:bidi="en_US"/>
        </w:rPr>
        <w:t xml:space="preserve"> The clause </w:t>
      </w:r>
      <w:r>
        <w:rPr>
          <w:i/>
          <w:lang w:val="en_US" w:bidi="en_US"/>
        </w:rPr>
        <w:t>The man replied</w:t>
      </w:r>
      <w:r>
        <w:rPr>
          <w:lang w:val="en_US" w:bidi="en_US"/>
        </w:rPr>
        <w:t xml:space="preserve"> introduces the man’s response to Jesus. He replied politely, but he did not agree to accept Jesus’ invitation. Introduce the response in a natural way in your language.</w:t>
      </w:r>
    </w:p>
    <w:p>
      <w:pPr/>
      <w:r>
        <w:rPr>
          <w:lang w:val="en_US" w:bidi="en_US"/>
        </w:rPr>
      </w:r>
      <w:r>
        <w:rPr>
          <w:b/>
          <w:lang w:val="en_US" w:bidi="en_US"/>
        </w:rPr>
        <w:t>Lord:</w:t>
      </w:r>
      <w:r>
        <w:rPr>
          <w:lang w:val="en_US" w:bidi="en_US"/>
        </w:rPr>
        <w:t xml:space="preserve"> </w:t>
      </w:r>
      <w:r>
        <w:rPr>
          <w:lang w:val="en_US" w:bidi="en_US"/>
        </w:rPr>
        <w:t xml:space="preserve">There is a textual issue here. (1) Most Greek manuscripts have the word “Lord” here, and most English versions include it. (2) A few Greek manuscripts do not have the word “Lord.” The NJB follows these manuscripts and does not include it. It is recommended that you follow option (1). For more information, see Swanson, p. 180; Greek NT UBS 4 </w:t>
      </w:r>
      <w:r>
        <w:rPr>
          <w:vertAlign w:val="superscript"/>
          <w:lang w:val="en_US" w:bidi="en_US"/>
        </w:rPr>
        <w:t>th</w:t>
      </w:r>
      <w:r>
        <w:rPr>
          <w:lang w:val="en_US" w:bidi="en_US"/>
        </w:rPr>
        <w:t xml:space="preserve"> edition, p. 241; Metzger, p. 149; and Blight 2007a, p. 445.</w:t>
      </w:r>
      <w:r>
        <w:rPr>
          <w:lang w:val="en_US" w:bidi="en_US"/>
        </w:rPr>
        <w:t xml:space="preserve"> The Greek word that the BSB translates as </w:t>
      </w:r>
      <w:r>
        <w:rPr>
          <w:i/>
          <w:lang w:val="en_US" w:bidi="en_US"/>
        </w:rPr>
        <w:t>Lord</w:t>
      </w:r>
      <w:r>
        <w:rPr>
          <w:lang w:val="en_US" w:bidi="en_US"/>
        </w:rPr>
        <w:t xml:space="preserve"> was the respectful term that the disciples often used to address Jesus. Another way to translate this is:</w:t>
      </w:r>
    </w:p>
    <w:p>
      <w:pPr/>
      <w:r>
        <w:rPr>
          <w:lang w:val="en_US" w:bidi="en_US"/>
        </w:rPr>
      </w:r>
      <w:r>
        <w:rPr>
          <w:lang w:val="en_US" w:bidi="en_US"/>
        </w:rPr>
        <w:t>Sir (GNT)</w:t>
      </w:r>
    </w:p>
    <w:p>
      <w:pPr/>
      <w:r>
        <w:rPr>
          <w:lang w:val="en_US" w:bidi="en_US"/>
        </w:rPr>
      </w:r>
      <w:r>
        <w:rPr>
          <w:lang w:val="en_US" w:bidi="en_US"/>
        </w:rPr>
        <w:t>See the note on 9:54b. See also Lord, Context 3, in the Glossary.</w:t>
      </w:r>
    </w:p>
    <w:p>
      <w:pPr/>
      <w:r>
        <w:rPr>
          <w:lang w:val="en_US" w:bidi="en_US"/>
        </w:rPr>
      </w:r>
      <w:r>
        <w:rPr>
          <w:b/>
          <w:lang w:val="en_US" w:bidi="en_US"/>
        </w:rPr>
        <w:t>first let me go and bury my father:</w:t>
      </w:r>
      <w:r>
        <w:rPr>
          <w:lang w:val="en_US" w:bidi="en_US"/>
        </w:rPr>
        <w:t xml:space="preserve"> This clause indicates that the man did not want to follow Jesus right away. He felt that it was more important first to fulfill his duty as a son. It is not clear from the man’s words whether his father had already died, was near death, or was an old man who might die in the next few years. If possible, translate this clause in a way that allows for any of these options. For example:</w:t>
      </w:r>
    </w:p>
    <w:p>
      <w:pPr/>
      <w:r>
        <w:rPr>
          <w:lang w:val="en_US" w:bidi="en_US"/>
        </w:rPr>
      </w:r>
      <w:r>
        <w:rPr>
          <w:lang w:val="en_US" w:bidi="en_US"/>
        </w:rPr>
        <w:t>let me wait until I bury my father (CEV)</w:t>
      </w:r>
    </w:p>
    <w:p>
      <w:pPr/>
      <w:r>
        <w:rPr>
          <w:lang w:val="en_US" w:bidi="en_US"/>
        </w:rPr>
      </w:r>
      <w:r>
        <w:rPr>
          <w:lang w:val="en_US" w:bidi="en_US"/>
        </w:rPr>
        <w:t>let me go home first and arrange for my father’s funeral</w:t>
      </w:r>
      <w:r>
        <w:rPr>
          <w:lang w:val="en_US" w:bidi="en_US"/>
        </w:rPr>
      </w:r>
      <w:r>
        <w:rPr>
          <w:lang w:val="en_US" w:bidi="en_US"/>
        </w:rPr>
      </w:r>
    </w:p>
    <w:p>
      <w:pPr/>
      <w:r>
        <w:rPr>
          <w:lang w:val="en_US" w:bidi="en_US"/>
        </w:rPr>
      </w:r>
    </w:p>
    <w:p>
      <w:pPr>
        <w:pStyle w:val="Heading2"/>
      </w:pPr>
      <w:r>
        <w:rPr>
          <w:lang w:val="en_US" w:bidi="en_US"/>
        </w:rPr>
        <w:t>Luke 9:60</w:t>
      </w:r>
      <w:r>
        <w:rPr>
          <w:lang w:val="en_US" w:bidi="en_US"/>
        </w:rPr>
      </w:r>
    </w:p>
    <w:p>
      <w:pPr>
        <w:pStyle w:val="Heading4"/>
      </w:pPr>
      <w:r>
        <w:rPr>
          <w:lang w:val="en_US" w:bidi="en_US"/>
        </w:rPr>
        <w:t>Section 9:57–62: It is hard to follow Jesus</w:t>
      </w:r>
    </w:p>
    <w:p>
      <w:pPr/>
      <w:r>
        <w:rPr>
          <w:lang w:val="en_US" w:bidi="en_US"/>
        </w:rPr>
      </w:r>
      <w:r>
        <w:rPr>
          <w:lang w:val="en_US" w:bidi="en_US"/>
        </w:rPr>
        <w:t>In the previous section, Luke spoke about the unwillingness of people in a Samaritan village to receive Jesus. In this Section 9:57–62, Luke told about three men who said that they were willing to follow Jesus. However, they did not understand the difficulties involved. Jesus warned each of them that it would not be easy. He told them that they must put the kingdom of God above everything else in their lives.</w:t>
      </w:r>
    </w:p>
    <w:p>
      <w:pPr/>
      <w:r>
        <w:rPr>
          <w:lang w:val="en_US" w:bidi="en_US"/>
        </w:rPr>
      </w:r>
      <w:r>
        <w:rPr>
          <w:lang w:val="en_US" w:bidi="en_US"/>
        </w:rPr>
        <w:t>Some other examples of headings for this section are:</w:t>
      </w:r>
    </w:p>
    <w:p>
      <w:pPr/>
      <w:r>
        <w:rPr>
          <w:lang w:val="en_US" w:bidi="en_US"/>
        </w:rPr>
      </w:r>
      <w:r>
        <w:rPr>
          <w:lang w:val="en_US" w:bidi="en_US"/>
        </w:rPr>
        <w:t>The Difficulty of Following Jesus</w:t>
      </w:r>
    </w:p>
    <w:p>
      <w:pPr/>
      <w:r>
        <w:rPr>
          <w:lang w:val="en_US" w:bidi="en_US"/>
        </w:rPr>
      </w:r>
      <w:r>
        <w:rPr>
          <w:lang w:val="en_US" w:bidi="en_US"/>
        </w:rPr>
        <w:t>Three People Who Wanted To Be Jesus’ Followers</w:t>
      </w:r>
    </w:p>
    <w:p>
      <w:pPr/>
      <w:r>
        <w:rPr>
          <w:lang w:val="en_US" w:bidi="en_US"/>
        </w:rPr>
      </w:r>
      <w:r>
        <w:rPr>
          <w:lang w:val="en_US" w:bidi="en_US"/>
        </w:rPr>
        <w:t>There is a parallel passage for this section in Matthew 8:19–22.</w:t>
      </w:r>
    </w:p>
    <w:p>
      <w:pPr>
        <w:pStyle w:val="Heading5"/>
      </w:pPr>
      <w:r>
        <w:rPr>
          <w:lang w:val="en_US" w:bidi="en_US"/>
        </w:rPr>
        <w:t>9:60a</w:t>
      </w:r>
    </w:p>
    <w:p>
      <w:pPr/>
      <w:r>
        <w:rPr>
          <w:lang w:val="en_US" w:bidi="en_US"/>
        </w:rPr>
      </w:r>
      <w:r>
        <w:rPr>
          <w:b/>
          <w:lang w:val="en_US" w:bidi="en_US"/>
        </w:rPr>
        <w:t>But Jesus told him, “Let the dead bury their own dead.</w:t>
      </w:r>
    </w:p>
    <w:p>
      <w:pPr>
        <w:pStyle w:val="ListBullet"/>
        <w:spacing w:line="240" w:lineRule="auto"/>
        <w:ind w:left="720"/>
      </w:pPr>
      <w:r>
        <w:rPr>
          <w:lang w:val="en_US" w:bidi="en_US"/>
        </w:rPr>
      </w:r>
      <w:r>
        <w:rPr>
          <w:lang w:val="en_US" w:bidi="en_US"/>
        </w:rPr>
        <w:t xml:space="preserve">Jesus told him, “Let those people who are </w:t>
      </w:r>
      <w:r>
        <w:rPr>
          <w:lang w:val="en_US" w:bidi="en_US"/>
        </w:rPr>
        <w:t>spiritually</w:t>
      </w:r>
      <w:r>
        <w:rPr>
          <w:lang w:val="en_US" w:bidi="en_US"/>
        </w:rPr>
        <w:t xml:space="preserve"> dead bury those among them who are </w:t>
      </w:r>
      <w:r>
        <w:rPr>
          <w:lang w:val="en_US" w:bidi="en_US"/>
        </w:rPr>
        <w:t>physically</w:t>
      </w:r>
      <w:r>
        <w:rPr>
          <w:lang w:val="en_US" w:bidi="en_US"/>
        </w:rPr>
        <w:t xml:space="preserve"> dead.</w:t>
      </w:r>
    </w:p>
    <w:p>
      <w:pPr>
        <w:pStyle w:val="ListBullet"/>
        <w:spacing w:line="240" w:lineRule="auto"/>
        <w:ind w:left="720"/>
      </w:pPr>
      <w:r>
        <w:rPr>
          <w:lang w:val="en_US" w:bidi="en_US"/>
        </w:rPr>
      </w:r>
      <w:r>
        <w:rPr>
          <w:lang w:val="en_US" w:bidi="en_US"/>
        </w:rPr>
        <w:t xml:space="preserve">Jesus said to him, “Those </w:t>
      </w:r>
      <w:r>
        <w:rPr>
          <w:lang w:val="en_US" w:bidi="en_US"/>
        </w:rPr>
        <w:t>who do not obey God</w:t>
      </w:r>
      <w:r>
        <w:rPr>
          <w:lang w:val="en_US" w:bidi="en_US"/>
        </w:rPr>
        <w:t xml:space="preserve"> are </w:t>
      </w:r>
      <w:r>
        <w:rPr>
          <w:lang w:val="en_US" w:bidi="en_US"/>
        </w:rPr>
        <w:t>like</w:t>
      </w:r>
      <w:r>
        <w:rPr>
          <w:lang w:val="en_US" w:bidi="en_US"/>
        </w:rPr>
        <w:t xml:space="preserve"> dead people. Let them bury those among them who have died.</w:t>
      </w:r>
    </w:p>
    <w:p>
      <w:pPr>
        <w:pStyle w:val="ListBullet"/>
        <w:spacing w:line="240" w:lineRule="auto"/>
        <w:ind w:left="720"/>
      </w:pPr>
      <w:r>
        <w:rPr>
          <w:lang w:val="en_US" w:bidi="en_US"/>
        </w:rPr>
      </w:r>
      <w:r>
        <w:rPr>
          <w:lang w:val="en_US" w:bidi="en_US"/>
        </w:rPr>
        <w:t xml:space="preserve">But Jesus replied, “The people who do not have life </w:t>
      </w:r>
      <w:r>
        <w:rPr>
          <w:lang w:val="en_US" w:bidi="en_US"/>
        </w:rPr>
        <w:t>with God</w:t>
      </w:r>
      <w:r>
        <w:rPr>
          <w:lang w:val="en_US" w:bidi="en_US"/>
        </w:rPr>
        <w:t xml:space="preserve"> are the ones who should bury those like them who die.</w:t>
      </w:r>
    </w:p>
    <w:p>
      <w:pPr/>
      <w:r>
        <w:rPr>
          <w:lang w:val="en_US" w:bidi="en_US"/>
        </w:rPr>
      </w:r>
      <w:r>
        <w:rPr>
          <w:b/>
          <w:lang w:val="en_US" w:bidi="en_US"/>
        </w:rPr>
        <w:t>But Jesus told him, “Let the dead bury their own dead:</w:t>
      </w:r>
      <w:r>
        <w:rPr>
          <w:lang w:val="en_US" w:bidi="en_US"/>
        </w:rPr>
        <w:t xml:space="preserve"> The clause </w:t>
      </w:r>
      <w:r>
        <w:rPr>
          <w:i/>
          <w:lang w:val="en_US" w:bidi="en_US"/>
        </w:rPr>
        <w:t>Let the dead bury their own dead</w:t>
      </w:r>
      <w:r>
        <w:rPr>
          <w:lang w:val="en_US" w:bidi="en_US"/>
        </w:rPr>
        <w:t xml:space="preserve"> is a command. Jesus commanded the man not to wait for his father’s burial. He told him to leave the work of burying the dead for dead people to do.</w:t>
      </w:r>
    </w:p>
    <w:p>
      <w:pPr/>
      <w:r>
        <w:rPr>
          <w:lang w:val="en_US" w:bidi="en_US"/>
        </w:rPr>
      </w:r>
      <w:r>
        <w:rPr>
          <w:lang w:val="en_US" w:bidi="en_US"/>
        </w:rPr>
        <w:t xml:space="preserve">Of course, dead people cannot actually bury other dead people. The first word for </w:t>
      </w:r>
      <w:r>
        <w:rPr>
          <w:i/>
          <w:lang w:val="en_US" w:bidi="en_US"/>
        </w:rPr>
        <w:t>dead</w:t>
      </w:r>
      <w:r>
        <w:rPr>
          <w:lang w:val="en_US" w:bidi="en_US"/>
        </w:rPr>
        <w:t xml:space="preserve"> that Jesus used here probably refers to those who were spiritually dead, those who did not have true life with God. The second word for </w:t>
      </w:r>
      <w:r>
        <w:rPr>
          <w:i/>
          <w:lang w:val="en_US" w:bidi="en_US"/>
        </w:rPr>
        <w:t>dead</w:t>
      </w:r>
      <w:r>
        <w:rPr>
          <w:lang w:val="en_US" w:bidi="en_US"/>
        </w:rPr>
        <w:t xml:space="preserve"> probably refers to those who had died physically.</w:t>
      </w:r>
    </w:p>
    <w:p>
      <w:pPr/>
      <w:r>
        <w:rPr>
          <w:lang w:val="en_US" w:bidi="en_US"/>
        </w:rPr>
      </w:r>
      <w:r>
        <w:rPr>
          <w:b/>
          <w:lang w:val="en_US" w:bidi="en_US"/>
        </w:rPr>
        <w:t>their own dead:</w:t>
      </w:r>
      <w:r>
        <w:rPr>
          <w:lang w:val="en_US" w:bidi="en_US"/>
        </w:rPr>
        <w:t xml:space="preserve"> The phrase </w:t>
      </w:r>
      <w:r>
        <w:rPr>
          <w:i/>
          <w:lang w:val="en_US" w:bidi="en_US"/>
        </w:rPr>
        <w:t>their own dead</w:t>
      </w:r>
      <w:r>
        <w:rPr>
          <w:lang w:val="en_US" w:bidi="en_US"/>
        </w:rPr>
        <w:t xml:space="preserve"> would normally refer to people from their own families. However, in this context it may refer more specifically to people who are spiritually dead like them. When such people die physically and need to be buried, others who are spiritually dead should bury them.</w:t>
      </w:r>
    </w:p>
    <w:p>
      <w:pPr/>
      <w:r>
        <w:rPr>
          <w:lang w:val="en_US" w:bidi="en_US"/>
        </w:rPr>
      </w:r>
      <w:r>
        <w:rPr>
          <w:lang w:val="en_US" w:bidi="en_US"/>
        </w:rPr>
        <w:t>Other ways of translating this whole clause include:</w:t>
      </w:r>
    </w:p>
    <w:p>
      <w:pPr/>
      <w:r>
        <w:rPr>
          <w:lang w:val="en_US" w:bidi="en_US"/>
        </w:rPr>
      </w:r>
      <w:r>
        <w:rPr>
          <w:lang w:val="en_US" w:bidi="en_US"/>
        </w:rPr>
        <w:t xml:space="preserve">Let the people who are </w:t>
      </w:r>
      <w:r>
        <w:rPr>
          <w:lang w:val="en_US" w:bidi="en_US"/>
        </w:rPr>
        <w:t>spiritually</w:t>
      </w:r>
      <w:r>
        <w:rPr>
          <w:lang w:val="en_US" w:bidi="en_US"/>
        </w:rPr>
        <w:t xml:space="preserve"> dead bury those in their own group who have died.</w:t>
      </w:r>
    </w:p>
    <w:p>
      <w:pPr/>
      <w:r>
        <w:rPr>
          <w:lang w:val="en_US" w:bidi="en_US"/>
        </w:rPr>
      </w:r>
      <w:r>
        <w:rPr>
          <w:lang w:val="en_US" w:bidi="en_US"/>
        </w:rPr>
        <w:t>Those who do not obey God are like</w:t>
      </w:r>
      <w:r>
        <w:rPr>
          <w:lang w:val="en_US" w:bidi="en_US"/>
        </w:rPr>
        <w:t xml:space="preserve"> dead people. Let them bury those among them who have died.</w:t>
      </w:r>
    </w:p>
    <w:p>
      <w:pPr/>
      <w:r>
        <w:rPr>
          <w:lang w:val="en_US" w:bidi="en_US"/>
        </w:rPr>
      </w:r>
      <w:r>
        <w:rPr>
          <w:lang w:val="en_US" w:bidi="en_US"/>
        </w:rPr>
        <w:t xml:space="preserve">Those who are already </w:t>
      </w:r>
      <w:r>
        <w:rPr>
          <w:lang w:val="en_US" w:bidi="en_US"/>
        </w:rPr>
        <w:t>as if</w:t>
      </w:r>
      <w:r>
        <w:rPr>
          <w:lang w:val="en_US" w:bidi="en_US"/>
        </w:rPr>
        <w:t xml:space="preserve"> dead </w:t>
      </w:r>
      <w:r>
        <w:rPr>
          <w:lang w:val="en_US" w:bidi="en_US"/>
        </w:rPr>
        <w:t>because they have no life with God</w:t>
      </w:r>
      <w:r>
        <w:rPr>
          <w:lang w:val="en_US" w:bidi="en_US"/>
        </w:rPr>
        <w:t xml:space="preserve">, they should be the ones to bury their </w:t>
      </w:r>
      <w:r>
        <w:rPr>
          <w:lang w:val="en_US" w:bidi="en_US"/>
        </w:rPr>
        <w:t>people</w:t>
      </w:r>
      <w:r>
        <w:rPr>
          <w:lang w:val="en_US" w:bidi="en_US"/>
        </w:rPr>
        <w:t xml:space="preserve"> who also have no life </w:t>
      </w:r>
      <w:r>
        <w:rPr>
          <w:lang w:val="en_US" w:bidi="en_US"/>
        </w:rPr>
        <w:t>with God</w:t>
      </w:r>
      <w:r>
        <w:rPr>
          <w:lang w:val="en_US" w:bidi="en_US"/>
        </w:rPr>
        <w:t>.</w:t>
      </w:r>
    </w:p>
    <w:p>
      <w:pPr>
        <w:pStyle w:val="Heading5"/>
      </w:pPr>
      <w:r>
        <w:rPr>
          <w:lang w:val="en_US" w:bidi="en_US"/>
        </w:rPr>
        <w:t>9:60b</w:t>
      </w:r>
    </w:p>
    <w:p>
      <w:pPr/>
      <w:r>
        <w:rPr>
          <w:lang w:val="en_US" w:bidi="en_US"/>
        </w:rPr>
      </w:r>
      <w:r>
        <w:rPr>
          <w:b/>
          <w:lang w:val="en_US" w:bidi="en_US"/>
        </w:rPr>
        <w:t>You, however, go and proclaim the kingdom of God.”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however, are to go and preach </w:t>
      </w:r>
      <w:r>
        <w:rPr>
          <w:lang w:val="en_US" w:bidi="en_US"/>
        </w:rPr>
        <w:t>to people</w:t>
      </w:r>
      <w:r>
        <w:rPr>
          <w:lang w:val="en_US" w:bidi="en_US"/>
        </w:rPr>
        <w:t xml:space="preserve"> about God’s reign/chieftaincy.”</w:t>
      </w:r>
    </w:p>
    <w:p>
      <w:pPr>
        <w:pStyle w:val="ListBullet"/>
        <w:spacing w:line="240" w:lineRule="auto"/>
        <w:ind w:left="720"/>
      </w:pPr>
      <w:r>
        <w:rPr>
          <w:lang w:val="en_US" w:bidi="en_US"/>
        </w:rPr>
      </w:r>
      <w:r>
        <w:rPr>
          <w:lang w:val="en_US" w:bidi="en_US"/>
        </w:rPr>
        <w:t xml:space="preserve">But </w:t>
      </w:r>
      <w:r>
        <w:rPr>
          <w:lang w:val="en_US" w:bidi="en_US"/>
        </w:rPr>
        <w:t>as for you,</w:t>
      </w:r>
      <w:r>
        <w:rPr>
          <w:vertAlign w:val="superscript"/>
          <w:lang w:val="en_US" w:bidi="en_US"/>
        </w:rPr>
        <w:t>(sing)</w:t>
      </w:r>
      <w:r>
        <w:rPr>
          <w:lang w:val="en_US" w:bidi="en_US"/>
        </w:rPr>
        <w:t xml:space="preserve"> you</w:t>
      </w:r>
      <w:r>
        <w:rPr>
          <w:vertAlign w:val="superscript"/>
          <w:lang w:val="en_US" w:bidi="en_US"/>
        </w:rPr>
        <w:t>(sing)</w:t>
      </w:r>
      <w:r>
        <w:rPr>
          <w:lang w:val="en_US" w:bidi="en_US"/>
        </w:rPr>
        <w:t xml:space="preserve"> go and announce/declare how God rules </w:t>
      </w:r>
      <w:r>
        <w:rPr>
          <w:lang w:val="en_US" w:bidi="en_US"/>
        </w:rPr>
        <w:t>his people</w:t>
      </w:r>
      <w:r>
        <w:rPr>
          <w:lang w:val="en_US" w:bidi="en_US"/>
        </w:rPr>
        <w:t>.”</w:t>
      </w:r>
    </w:p>
    <w:p>
      <w:pPr/>
      <w:r>
        <w:rPr>
          <w:lang w:val="en_US" w:bidi="en_US"/>
        </w:rPr>
      </w:r>
      <w:r>
        <w:rPr>
          <w:b/>
          <w:lang w:val="en_US" w:bidi="en_US"/>
        </w:rPr>
        <w:t>You, however:</w:t>
      </w:r>
      <w:r>
        <w:rPr>
          <w:lang w:val="en_US" w:bidi="en_US"/>
        </w:rPr>
        <w:t xml:space="preserve"> The Greek pronoun meaning </w:t>
      </w:r>
      <w:r>
        <w:rPr>
          <w:i/>
          <w:lang w:val="en_US" w:bidi="en_US"/>
        </w:rPr>
        <w:t>You</w:t>
      </w:r>
      <w:r>
        <w:rPr>
          <w:lang w:val="en_US" w:bidi="en_US"/>
        </w:rPr>
        <w:t xml:space="preserve"> is emphatic. It implies a contrast between what the dead people should do and what Jesus’ disciple should do. It is implied that the disciple was not one of the (spiritually) dead people and he was not to spend his time burying dead people. Another way to translate this is:</w:t>
      </w:r>
    </w:p>
    <w:p>
      <w:pPr/>
      <w:r>
        <w:rPr>
          <w:lang w:val="en_US" w:bidi="en_US"/>
        </w:rPr>
      </w:r>
      <w:r>
        <w:rPr>
          <w:lang w:val="en_US" w:bidi="en_US"/>
        </w:rPr>
        <w:t>but as for you (RSV)</w:t>
      </w:r>
    </w:p>
    <w:p>
      <w:pPr/>
      <w:r>
        <w:rPr>
          <w:lang w:val="en_US" w:bidi="en_US"/>
        </w:rPr>
      </w:r>
      <w:r>
        <w:rPr>
          <w:b/>
          <w:lang w:val="en_US" w:bidi="en_US"/>
        </w:rPr>
        <w:t>go and proclaim the kingdom of God:</w:t>
      </w:r>
      <w:r>
        <w:rPr>
          <w:lang w:val="en_US" w:bidi="en_US"/>
        </w:rPr>
        <w:t xml:space="preserve"> Jesus was saying here that the most important thing for that man to do was to tell people the good news about the kingdom of God.</w:t>
      </w:r>
    </w:p>
    <w:p>
      <w:pPr/>
      <w:r>
        <w:rPr>
          <w:lang w:val="en_US" w:bidi="en_US"/>
        </w:rPr>
      </w:r>
      <w:r>
        <w:rPr>
          <w:b/>
          <w:lang w:val="en_US" w:bidi="en_US"/>
        </w:rPr>
        <w:t>proclaim:</w:t>
      </w:r>
      <w:r>
        <w:rPr>
          <w:lang w:val="en_US" w:bidi="en_US"/>
        </w:rPr>
        <w:t xml:space="preserve"> The Greek verb that the BSB translates as </w:t>
      </w:r>
      <w:r>
        <w:rPr>
          <w:i/>
          <w:lang w:val="en_US" w:bidi="en_US"/>
        </w:rPr>
        <w:t>proclaim</w:t>
      </w:r>
      <w:r>
        <w:rPr>
          <w:lang w:val="en_US" w:bidi="en_US"/>
        </w:rPr>
        <w:t xml:space="preserve"> means to tell, declare, or announce to people in general. For example:</w:t>
      </w:r>
    </w:p>
    <w:p>
      <w:pPr/>
      <w:r>
        <w:rPr>
          <w:lang w:val="en_US" w:bidi="en_US"/>
        </w:rPr>
      </w:r>
      <w:r>
        <w:rPr>
          <w:lang w:val="en_US" w:bidi="en_US"/>
        </w:rPr>
        <w:t>tell about (GW)</w:t>
      </w:r>
    </w:p>
    <w:p>
      <w:pPr/>
      <w:r>
        <w:rPr>
          <w:lang w:val="en_US" w:bidi="en_US"/>
        </w:rPr>
      </w:r>
      <w:r>
        <w:rPr>
          <w:lang w:val="en_US" w:bidi="en_US"/>
        </w:rPr>
        <w:t>preach about (NLT)</w:t>
      </w:r>
    </w:p>
    <w:p>
      <w:pPr/>
      <w:r>
        <w:rPr>
          <w:lang w:val="en_US" w:bidi="en_US"/>
        </w:rPr>
      </w:r>
      <w:r>
        <w:rPr>
          <w:b/>
          <w:lang w:val="en_US" w:bidi="en_US"/>
        </w:rPr>
        <w:t>the kingdom of God:</w:t>
      </w:r>
      <w:r>
        <w:rPr>
          <w:lang w:val="en_US" w:bidi="en_US"/>
        </w:rPr>
        <w:t xml:space="preserve"> The phrase </w:t>
      </w:r>
      <w:r>
        <w:rPr>
          <w:i/>
          <w:lang w:val="en_US" w:bidi="en_US"/>
        </w:rPr>
        <w:t>the kingdom of God</w:t>
      </w:r>
      <w:r>
        <w:rPr>
          <w:lang w:val="en_US" w:bidi="en_US"/>
        </w:rPr>
        <w:t xml:space="preserve"> refers to God ruling over his people. This phrase was used in a similar way in 9:2 and 4:43a. See how you translated it there. See also kingdom of God in the Glossary.</w:t>
      </w:r>
      <w:r>
        <w:rPr>
          <w:lang w:val="en_US" w:bidi="en_US"/>
        </w:rPr>
      </w:r>
      <w:r>
        <w:rPr>
          <w:lang w:val="en_US" w:bidi="en_US"/>
        </w:rPr>
      </w:r>
    </w:p>
    <w:p>
      <w:pPr/>
      <w:r>
        <w:rPr>
          <w:lang w:val="en_US" w:bidi="en_US"/>
        </w:rPr>
      </w:r>
    </w:p>
    <w:p>
      <w:pPr>
        <w:pStyle w:val="Heading2"/>
      </w:pPr>
      <w:r>
        <w:rPr>
          <w:lang w:val="en_US" w:bidi="en_US"/>
        </w:rPr>
        <w:t>Luke 9:61</w:t>
      </w:r>
      <w:r>
        <w:rPr>
          <w:lang w:val="en_US" w:bidi="en_US"/>
        </w:rPr>
      </w:r>
    </w:p>
    <w:p>
      <w:pPr>
        <w:pStyle w:val="Heading4"/>
      </w:pPr>
      <w:r>
        <w:rPr>
          <w:lang w:val="en_US" w:bidi="en_US"/>
        </w:rPr>
        <w:t>Section 9:57–62: It is hard to follow Jesus</w:t>
      </w:r>
    </w:p>
    <w:p>
      <w:pPr/>
      <w:r>
        <w:rPr>
          <w:lang w:val="en_US" w:bidi="en_US"/>
        </w:rPr>
      </w:r>
      <w:r>
        <w:rPr>
          <w:lang w:val="en_US" w:bidi="en_US"/>
        </w:rPr>
        <w:t>In the previous section, Luke spoke about the unwillingness of people in a Samaritan village to receive Jesus. In this Section 9:57–62, Luke told about three men who said that they were willing to follow Jesus. However, they did not understand the difficulties involved. Jesus warned each of them that it would not be easy. He told them that they must put the kingdom of God above everything else in their lives.</w:t>
      </w:r>
    </w:p>
    <w:p>
      <w:pPr/>
      <w:r>
        <w:rPr>
          <w:lang w:val="en_US" w:bidi="en_US"/>
        </w:rPr>
      </w:r>
      <w:r>
        <w:rPr>
          <w:lang w:val="en_US" w:bidi="en_US"/>
        </w:rPr>
        <w:t>Some other examples of headings for this section are:</w:t>
      </w:r>
    </w:p>
    <w:p>
      <w:pPr/>
      <w:r>
        <w:rPr>
          <w:lang w:val="en_US" w:bidi="en_US"/>
        </w:rPr>
      </w:r>
      <w:r>
        <w:rPr>
          <w:lang w:val="en_US" w:bidi="en_US"/>
        </w:rPr>
        <w:t>The Difficulty of Following Jesus</w:t>
      </w:r>
    </w:p>
    <w:p>
      <w:pPr/>
      <w:r>
        <w:rPr>
          <w:lang w:val="en_US" w:bidi="en_US"/>
        </w:rPr>
      </w:r>
      <w:r>
        <w:rPr>
          <w:lang w:val="en_US" w:bidi="en_US"/>
        </w:rPr>
        <w:t>Three People Who Wanted To Be Jesus’ Followers</w:t>
      </w:r>
    </w:p>
    <w:p>
      <w:pPr/>
      <w:r>
        <w:rPr>
          <w:lang w:val="en_US" w:bidi="en_US"/>
        </w:rPr>
      </w:r>
      <w:r>
        <w:rPr>
          <w:lang w:val="en_US" w:bidi="en_US"/>
        </w:rPr>
        <w:t>There is a parallel passage for this section in Matthew 8:19–22.</w:t>
      </w:r>
    </w:p>
    <w:p>
      <w:pPr>
        <w:pStyle w:val="Heading5"/>
      </w:pPr>
      <w:r>
        <w:rPr>
          <w:lang w:val="en_US" w:bidi="en_US"/>
        </w:rPr>
        <w:t>9:61a</w:t>
      </w:r>
    </w:p>
    <w:p>
      <w:pPr/>
      <w:r>
        <w:rPr>
          <w:lang w:val="en_US" w:bidi="en_US"/>
        </w:rPr>
      </w:r>
      <w:r>
        <w:rPr>
          <w:b/>
          <w:lang w:val="en_US" w:bidi="en_US"/>
        </w:rPr>
        <w:t>Still another said, “I will follow You, Lord;</w:t>
      </w:r>
    </w:p>
    <w:p>
      <w:pPr>
        <w:pStyle w:val="ListBullet"/>
        <w:spacing w:line="240" w:lineRule="auto"/>
        <w:ind w:left="720"/>
      </w:pPr>
      <w:r>
        <w:rPr>
          <w:lang w:val="en_US" w:bidi="en_US"/>
        </w:rPr>
      </w:r>
      <w:r>
        <w:rPr>
          <w:lang w:val="en_US" w:bidi="en_US"/>
        </w:rPr>
        <w:t xml:space="preserve">¶ Another person said </w:t>
      </w:r>
      <w:r>
        <w:rPr>
          <w:lang w:val="en_US" w:bidi="en_US"/>
        </w:rPr>
        <w:t>to Jesus</w:t>
      </w:r>
      <w:r>
        <w:rPr>
          <w:lang w:val="en_US" w:bidi="en_US"/>
        </w:rPr>
        <w:t>, “Lord/Master, I will become your</w:t>
      </w:r>
      <w:r>
        <w:rPr>
          <w:vertAlign w:val="superscript"/>
          <w:lang w:val="en_US" w:bidi="en_US"/>
        </w:rPr>
        <w:t>(sing)</w:t>
      </w:r>
      <w:r>
        <w:rPr>
          <w:lang w:val="en_US" w:bidi="en_US"/>
        </w:rPr>
        <w:t xml:space="preserve"> disciple.</w:t>
      </w:r>
    </w:p>
    <w:p>
      <w:pPr>
        <w:pStyle w:val="ListBullet"/>
        <w:spacing w:line="240" w:lineRule="auto"/>
        <w:ind w:left="720"/>
      </w:pPr>
      <w:r>
        <w:rPr>
          <w:lang w:val="en_US" w:bidi="en_US"/>
        </w:rPr>
      </w:r>
      <w:r>
        <w:rPr>
          <w:lang w:val="en_US" w:bidi="en_US"/>
        </w:rPr>
        <w:t>¶ There was yet someone else who said, “Lord/Sir, I will go with you as your</w:t>
      </w:r>
      <w:r>
        <w:rPr>
          <w:vertAlign w:val="superscript"/>
          <w:lang w:val="en_US" w:bidi="en_US"/>
        </w:rPr>
        <w:t>(sing)</w:t>
      </w:r>
      <w:r>
        <w:rPr>
          <w:lang w:val="en_US" w:bidi="en_US"/>
        </w:rPr>
        <w:t xml:space="preserve"> disciple.</w:t>
      </w:r>
    </w:p>
    <w:p>
      <w:pPr/>
      <w:r>
        <w:rPr>
          <w:lang w:val="en_US" w:bidi="en_US"/>
        </w:rPr>
      </w:r>
      <w:r>
        <w:rPr>
          <w:b/>
          <w:lang w:val="en_US" w:bidi="en_US"/>
        </w:rPr>
        <w:t>Still another said:</w:t>
      </w:r>
      <w:r>
        <w:rPr>
          <w:lang w:val="en_US" w:bidi="en_US"/>
        </w:rPr>
        <w:t xml:space="preserve"> The Greek phrase that the BSB translates as </w:t>
      </w:r>
      <w:r>
        <w:rPr>
          <w:i/>
          <w:lang w:val="en_US" w:bidi="en_US"/>
        </w:rPr>
        <w:t>Still another</w:t>
      </w:r>
      <w:r>
        <w:rPr>
          <w:lang w:val="en_US" w:bidi="en_US"/>
        </w:rPr>
        <w:t xml:space="preserve"> is literally “and also another.” Here it refers to the third person in a series.</w:t>
      </w:r>
    </w:p>
    <w:p>
      <w:pPr/>
      <w:r>
        <w:rPr>
          <w:lang w:val="en_US" w:bidi="en_US"/>
        </w:rPr>
      </w:r>
      <w:r>
        <w:rPr>
          <w:b/>
          <w:lang w:val="en_US" w:bidi="en_US"/>
        </w:rPr>
        <w:t>I will follow You:</w:t>
      </w:r>
      <w:r>
        <w:rPr>
          <w:lang w:val="en_US" w:bidi="en_US"/>
        </w:rPr>
        <w:t xml:space="preserve"> The statement </w:t>
      </w:r>
      <w:r>
        <w:rPr>
          <w:i/>
          <w:lang w:val="en_US" w:bidi="en_US"/>
        </w:rPr>
        <w:t>I will follow You</w:t>
      </w:r>
      <w:r>
        <w:rPr>
          <w:lang w:val="en_US" w:bidi="en_US"/>
        </w:rPr>
        <w:t xml:space="preserve"> is identical to the first clause of 9:57b. It indicates that this man wanted to become a regular disciple of Jesus.</w:t>
      </w:r>
    </w:p>
    <w:p>
      <w:pPr/>
      <w:r>
        <w:rPr>
          <w:lang w:val="en_US" w:bidi="en_US"/>
        </w:rPr>
      </w:r>
      <w:r>
        <w:rPr>
          <w:b/>
          <w:lang w:val="en_US" w:bidi="en_US"/>
        </w:rPr>
        <w:t>Lord:</w:t>
      </w:r>
      <w:r>
        <w:rPr>
          <w:lang w:val="en_US" w:bidi="en_US"/>
        </w:rPr>
        <w:t xml:space="preserve"> The title </w:t>
      </w:r>
      <w:r>
        <w:rPr>
          <w:i/>
          <w:lang w:val="en_US" w:bidi="en_US"/>
        </w:rPr>
        <w:t>Lord</w:t>
      </w:r>
      <w:r>
        <w:rPr>
          <w:lang w:val="en_US" w:bidi="en_US"/>
        </w:rPr>
        <w:t xml:space="preserve"> also occurs in 9:54b. See Lord, Context 3, in the Glossary.</w:t>
      </w:r>
    </w:p>
    <w:p>
      <w:pPr>
        <w:pStyle w:val="Heading5"/>
      </w:pPr>
      <w:r>
        <w:rPr>
          <w:lang w:val="en_US" w:bidi="en_US"/>
        </w:rPr>
        <w:t>9:61b</w:t>
      </w:r>
    </w:p>
    <w:p>
      <w:pPr/>
      <w:r>
        <w:rPr>
          <w:lang w:val="en_US" w:bidi="en_US"/>
        </w:rPr>
      </w:r>
      <w:r>
        <w:rPr>
          <w:b/>
          <w:lang w:val="en_US" w:bidi="en_US"/>
        </w:rPr>
        <w:t>but first let me bid farewell to my family.”</w:t>
      </w:r>
    </w:p>
    <w:p>
      <w:pPr>
        <w:pStyle w:val="ListBullet"/>
        <w:spacing w:line="240" w:lineRule="auto"/>
        <w:ind w:left="720"/>
      </w:pPr>
      <w:r>
        <w:rPr>
          <w:lang w:val="en_US" w:bidi="en_US"/>
        </w:rPr>
      </w:r>
      <w:r>
        <w:rPr>
          <w:lang w:val="en_US" w:bidi="en_US"/>
        </w:rPr>
        <w:t xml:space="preserve">But first, allow me to return to my family </w:t>
      </w:r>
      <w:r>
        <w:rPr>
          <w:lang w:val="en_US" w:bidi="en_US"/>
        </w:rPr>
        <w:t>for a while</w:t>
      </w:r>
      <w:r>
        <w:rPr>
          <w:lang w:val="en_US" w:bidi="en_US"/>
        </w:rPr>
        <w:t xml:space="preserve"> and say good-bye to them.”</w:t>
      </w:r>
    </w:p>
    <w:p>
      <w:pPr>
        <w:pStyle w:val="ListBullet"/>
        <w:spacing w:line="240" w:lineRule="auto"/>
        <w:ind w:left="720"/>
      </w:pPr>
      <w:r>
        <w:rPr>
          <w:lang w:val="en_US" w:bidi="en_US"/>
        </w:rPr>
      </w:r>
      <w:r>
        <w:rPr>
          <w:lang w:val="en_US" w:bidi="en_US"/>
        </w:rPr>
        <w:t xml:space="preserve">But before </w:t>
      </w:r>
      <w:r>
        <w:rPr>
          <w:lang w:val="en_US" w:bidi="en_US"/>
        </w:rPr>
        <w:t>I do that</w:t>
      </w:r>
      <w:r>
        <w:rPr>
          <w:lang w:val="en_US" w:bidi="en_US"/>
        </w:rPr>
        <w:t>, I would like to go home and say good-bye to my household/relatives.”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request that interferes or contrasts with the man’s desire to follow Jesus. Introduce it in a natural way in your language.</w:t>
      </w:r>
    </w:p>
    <w:p>
      <w:pPr/>
      <w:r>
        <w:rPr>
          <w:lang w:val="en_US" w:bidi="en_US"/>
        </w:rPr>
      </w:r>
      <w:r>
        <w:rPr>
          <w:b/>
          <w:lang w:val="en_US" w:bidi="en_US"/>
        </w:rPr>
        <w:t>first let me bid farewell to my family:</w:t>
      </w:r>
      <w:r>
        <w:rPr>
          <w:lang w:val="en_US" w:bidi="en_US"/>
        </w:rPr>
        <w:t xml:space="preserve"> This statement is a request. The man asked Jesus’ permission to go home and say goodbye to his family before he became Jesus’ disciple. This could have involved a lot of time spent in feasting and visiting.</w:t>
      </w:r>
    </w:p>
    <w:p>
      <w:pPr/>
      <w:r>
        <w:rPr>
          <w:lang w:val="en_US" w:bidi="en_US"/>
        </w:rPr>
      </w:r>
      <w:r>
        <w:rPr>
          <w:b/>
          <w:lang w:val="en_US" w:bidi="en_US"/>
        </w:rPr>
        <w:t>my family:</w:t>
      </w:r>
      <w:r>
        <w:rPr>
          <w:lang w:val="en_US" w:bidi="en_US"/>
        </w:rPr>
        <w:t xml:space="preserve"> The Greek phrase that the BSB translates as </w:t>
      </w:r>
      <w:r>
        <w:rPr>
          <w:i/>
          <w:lang w:val="en_US" w:bidi="en_US"/>
        </w:rPr>
        <w:t>my family</w:t>
      </w:r>
      <w:r>
        <w:rPr>
          <w:lang w:val="en_US" w:bidi="en_US"/>
        </w:rPr>
        <w:t xml:space="preserve"> is literally “the ones in my house.” It refers to all of the man’s relatives who were living in his household. It can also include other relatives in the same area, even if they were not living in the same house. Other ways to translate this phrase are:</w:t>
      </w:r>
    </w:p>
    <w:p>
      <w:pPr/>
      <w:r>
        <w:rPr>
          <w:lang w:val="en_US" w:bidi="en_US"/>
        </w:rPr>
      </w:r>
      <w:r>
        <w:rPr>
          <w:lang w:val="en_US" w:bidi="en_US"/>
        </w:rPr>
        <w:t>my relatives</w:t>
      </w:r>
    </w:p>
    <w:p>
      <w:pPr/>
      <w:r>
        <w:rPr>
          <w:lang w:val="en_US" w:bidi="en_US"/>
        </w:rPr>
      </w:r>
      <w:r>
        <w:rPr>
          <w:lang w:val="en_US" w:bidi="en_US"/>
        </w:rPr>
        <w:t>our</w:t>
      </w:r>
      <w:r>
        <w:rPr>
          <w:vertAlign w:val="superscript"/>
          <w:lang w:val="en_US" w:bidi="en_US"/>
        </w:rPr>
        <w:t>(excl)</w:t>
      </w:r>
      <w:r>
        <w:rPr>
          <w:lang w:val="en_US" w:bidi="en_US"/>
        </w:rPr>
        <w:t xml:space="preserve"> household</w:t>
      </w:r>
      <w:r>
        <w:rPr>
          <w:lang w:val="en_US" w:bidi="en_US"/>
        </w:rPr>
      </w:r>
      <w:r>
        <w:rPr>
          <w:lang w:val="en_US" w:bidi="en_US"/>
        </w:rPr>
      </w:r>
    </w:p>
    <w:p>
      <w:pPr/>
      <w:r>
        <w:rPr>
          <w:lang w:val="en_US" w:bidi="en_US"/>
        </w:rPr>
      </w:r>
    </w:p>
    <w:p>
      <w:pPr>
        <w:pStyle w:val="Heading2"/>
      </w:pPr>
      <w:r>
        <w:rPr>
          <w:lang w:val="en_US" w:bidi="en_US"/>
        </w:rPr>
        <w:t>Luke 9:62</w:t>
      </w:r>
      <w:r>
        <w:rPr>
          <w:lang w:val="en_US" w:bidi="en_US"/>
        </w:rPr>
      </w:r>
    </w:p>
    <w:p>
      <w:pPr>
        <w:pStyle w:val="Heading4"/>
      </w:pPr>
      <w:r>
        <w:rPr>
          <w:lang w:val="en_US" w:bidi="en_US"/>
        </w:rPr>
        <w:t>Section 9:57–62: It is hard to follow Jesus</w:t>
      </w:r>
    </w:p>
    <w:p>
      <w:pPr/>
      <w:r>
        <w:rPr>
          <w:lang w:val="en_US" w:bidi="en_US"/>
        </w:rPr>
      </w:r>
      <w:r>
        <w:rPr>
          <w:lang w:val="en_US" w:bidi="en_US"/>
        </w:rPr>
        <w:t>In the previous section, Luke spoke about the unwillingness of people in a Samaritan village to receive Jesus. In this Section 9:57–62, Luke told about three men who said that they were willing to follow Jesus. However, they did not understand the difficulties involved. Jesus warned each of them that it would not be easy. He told them that they must put the kingdom of God above everything else in their lives.</w:t>
      </w:r>
    </w:p>
    <w:p>
      <w:pPr/>
      <w:r>
        <w:rPr>
          <w:lang w:val="en_US" w:bidi="en_US"/>
        </w:rPr>
      </w:r>
      <w:r>
        <w:rPr>
          <w:lang w:val="en_US" w:bidi="en_US"/>
        </w:rPr>
        <w:t>Some other examples of headings for this section are:</w:t>
      </w:r>
    </w:p>
    <w:p>
      <w:pPr/>
      <w:r>
        <w:rPr>
          <w:lang w:val="en_US" w:bidi="en_US"/>
        </w:rPr>
      </w:r>
      <w:r>
        <w:rPr>
          <w:lang w:val="en_US" w:bidi="en_US"/>
        </w:rPr>
        <w:t>The Difficulty of Following Jesus</w:t>
      </w:r>
    </w:p>
    <w:p>
      <w:pPr/>
      <w:r>
        <w:rPr>
          <w:lang w:val="en_US" w:bidi="en_US"/>
        </w:rPr>
      </w:r>
      <w:r>
        <w:rPr>
          <w:lang w:val="en_US" w:bidi="en_US"/>
        </w:rPr>
        <w:t>Three People Who Wanted To Be Jesus’ Followers</w:t>
      </w:r>
    </w:p>
    <w:p>
      <w:pPr/>
      <w:r>
        <w:rPr>
          <w:lang w:val="en_US" w:bidi="en_US"/>
        </w:rPr>
      </w:r>
      <w:r>
        <w:rPr>
          <w:lang w:val="en_US" w:bidi="en_US"/>
        </w:rPr>
        <w:t>There is a parallel passage for this section in Matthew 8:19–22.</w:t>
      </w:r>
    </w:p>
    <w:p>
      <w:pPr>
        <w:pStyle w:val="Heading5"/>
      </w:pPr>
      <w:r>
        <w:rPr>
          <w:lang w:val="en_US" w:bidi="en_US"/>
        </w:rPr>
        <w:t>9:62a–b</w:t>
      </w:r>
    </w:p>
    <w:p>
      <w:pPr/>
      <w:r>
        <w:rPr>
          <w:lang w:val="en_US" w:bidi="en_US"/>
        </w:rPr>
      </w:r>
      <w:r>
        <w:rPr>
          <w:b/>
          <w:lang w:val="en_US" w:bidi="en_US"/>
        </w:rPr>
        <w:t>No one who puts his hand to the plow and then looks back is fit for the kingdom of God:</w:t>
      </w:r>
      <w:r>
        <w:rPr>
          <w:lang w:val="en_US" w:bidi="en_US"/>
        </w:rPr>
        <w:t xml:space="preserve"> In this verse Jesus used a metaphor about farming with a plow. Jesus indicated here that a person who says he will follow Jesus but then wants to return to his former way of life cannot do useful work in God’s kingdom. He is like a person who looks behind him as he uses a plow. The similarity between these people is that neither one is able to do useful work. A person who looks backward while plowing a field will make crooked furrows. Similarly, a person who is sidetracked by his former way of life will not serve God effectively in his kingdom.</w:t>
      </w:r>
    </w:p>
    <w:p>
      <w:pPr/>
      <w:r>
        <w:rPr>
          <w:lang w:val="en_US" w:bidi="en_US"/>
        </w:rPr>
      </w:r>
      <w:r>
        <w:rPr>
          <w:lang w:val="en_US" w:bidi="en_US"/>
        </w:rPr>
        <w:t>In some languages the meaning of this metaphor may be clear. If it is not clear, other ways to translate this metaphor are:</w:t>
      </w:r>
    </w:p>
    <w:p>
      <w:pPr>
        <w:pStyle w:val="ListBullet"/>
        <w:spacing w:line="240" w:lineRule="auto"/>
        <w:ind w:left="720"/>
      </w:pPr>
      <w:r>
        <w:rPr>
          <w:lang w:val="en_US" w:bidi="en_US"/>
        </w:rPr>
      </w:r>
      <w:r>
        <w:rPr>
          <w:lang w:val="en_US" w:bidi="en_US"/>
        </w:rPr>
        <w:t>Change the metaphor to a simile. Make the implied topic explicit. For example:</w:t>
      </w:r>
      <w:r>
        <w:rPr>
          <w:lang w:val="en_US" w:bidi="en_US"/>
        </w:rPr>
        <w:t>No one who starts to be my disciple and then turns back to his former way of life</w:t>
      </w:r>
      <w:r>
        <w:rPr>
          <w:lang w:val="en_US" w:bidi="en_US"/>
        </w:rPr>
        <w:t xml:space="preserve"> will be useful to serve/work in God’s kingdom. He is like someone who begins to plow a field but then he looks backwards.</w:t>
      </w:r>
    </w:p>
    <w:p>
      <w:pPr>
        <w:pStyle w:val="ListBullet"/>
        <w:spacing w:line="240" w:lineRule="auto"/>
        <w:ind w:left="720"/>
      </w:pPr>
      <w:r>
        <w:rPr>
          <w:lang w:val="en_US" w:bidi="en_US"/>
        </w:rPr>
      </w:r>
      <w:r>
        <w:rPr>
          <w:lang w:val="en_US" w:bidi="en_US"/>
        </w:rPr>
        <w:t>Make the topic explicit. State each part of the metaphor as a separate sentence. For example:</w:t>
      </w:r>
      <w:r>
        <w:rPr>
          <w:lang w:val="en_US" w:bidi="en_US"/>
        </w:rPr>
        <w:t xml:space="preserve">If anyone starts to plow a field and then looks back, </w:t>
      </w:r>
      <w:r>
        <w:rPr>
          <w:lang w:val="en_US" w:bidi="en_US"/>
        </w:rPr>
        <w:t>his work will be useless. In the same way, if anyone starts to follow me and turns aside to do other things,</w:t>
      </w:r>
      <w:r>
        <w:rPr>
          <w:lang w:val="en_US" w:bidi="en_US"/>
        </w:rPr>
        <w:t xml:space="preserve"> he will not be able to do useful work in God’s kingdom.</w:t>
      </w:r>
    </w:p>
    <w:p>
      <w:pPr>
        <w:pStyle w:val="ListBullet"/>
        <w:spacing w:line="240" w:lineRule="auto"/>
        <w:ind w:left="720"/>
      </w:pPr>
      <w:r>
        <w:rPr>
          <w:lang w:val="en_US" w:bidi="en_US"/>
        </w:rPr>
      </w:r>
      <w:r>
        <w:rPr>
          <w:lang w:val="en_US" w:bidi="en_US"/>
        </w:rPr>
        <w:t>State the meaning directly. For example:</w:t>
      </w:r>
      <w:r>
        <w:rPr>
          <w:lang w:val="en_US" w:bidi="en_US"/>
        </w:rPr>
        <w:t>Whoever starts to follow me and then looks back is of no use in serving God in his kingdom.</w:t>
      </w:r>
    </w:p>
    <w:p>
      <w:pPr/>
      <w:r>
        <w:rPr>
          <w:lang w:val="en_US" w:bidi="en_US"/>
        </w:rPr>
      </w:r>
      <w:r>
        <w:rPr>
          <w:lang w:val="en_US" w:bidi="en_US"/>
        </w:rPr>
        <w:t>Translate this metaphor in the way that is most natural in your language.</w:t>
      </w:r>
    </w:p>
    <w:p>
      <w:pPr>
        <w:pStyle w:val="Heading5"/>
      </w:pPr>
      <w:r>
        <w:rPr>
          <w:lang w:val="en_US" w:bidi="en_US"/>
        </w:rPr>
        <w:t>9:62a</w:t>
      </w:r>
    </w:p>
    <w:p>
      <w:pPr/>
      <w:r>
        <w:rPr>
          <w:lang w:val="en_US" w:bidi="en_US"/>
        </w:rPr>
      </w:r>
      <w:r>
        <w:rPr>
          <w:b/>
          <w:lang w:val="en_US" w:bidi="en_US"/>
        </w:rPr>
        <w:t>Then Jesus declared, “No one who puts his hand to the plow and then looks back</w:t>
      </w:r>
    </w:p>
    <w:p>
      <w:pPr>
        <w:pStyle w:val="ListBullet"/>
        <w:spacing w:line="240" w:lineRule="auto"/>
        <w:ind w:left="720"/>
      </w:pPr>
      <w:r>
        <w:rPr>
          <w:lang w:val="en_US" w:bidi="en_US"/>
        </w:rPr>
      </w:r>
      <w:r>
        <w:rPr>
          <w:lang w:val="en_US" w:bidi="en_US"/>
        </w:rPr>
        <w:t xml:space="preserve">Jesus said </w:t>
      </w:r>
      <w:r>
        <w:rPr>
          <w:lang w:val="en_US" w:bidi="en_US"/>
        </w:rPr>
        <w:t>to him</w:t>
      </w:r>
      <w:r>
        <w:rPr>
          <w:lang w:val="en_US" w:bidi="en_US"/>
        </w:rPr>
        <w:t xml:space="preserve">, “Whoever starts to plow and </w:t>
      </w:r>
      <w:r>
        <w:rPr>
          <w:lang w:val="en_US" w:bidi="en_US"/>
        </w:rPr>
        <w:t>then</w:t>
      </w:r>
      <w:r>
        <w:rPr>
          <w:lang w:val="en_US" w:bidi="en_US"/>
        </w:rPr>
        <w:t xml:space="preserve"> looks behind him</w:t>
      </w:r>
    </w:p>
    <w:p>
      <w:pPr>
        <w:pStyle w:val="ListBullet"/>
        <w:spacing w:line="240" w:lineRule="auto"/>
        <w:ind w:left="720"/>
      </w:pPr>
      <w:r>
        <w:rPr>
          <w:lang w:val="en_US" w:bidi="en_US"/>
        </w:rPr>
      </w:r>
      <w:r>
        <w:rPr>
          <w:lang w:val="en_US" w:bidi="en_US"/>
        </w:rPr>
        <w:t xml:space="preserve">But Jesus said, “If anyone starts to plow a field and then looks back, </w:t>
      </w:r>
      <w:r>
        <w:rPr>
          <w:lang w:val="en_US" w:bidi="en_US"/>
        </w:rPr>
        <w:t>his work will be useless. In the same way, if anyone starts to follow me and turns aside to do other things,</w:t>
      </w:r>
    </w:p>
    <w:p>
      <w:pPr>
        <w:pStyle w:val="ListBullet"/>
        <w:spacing w:line="240" w:lineRule="auto"/>
        <w:ind w:left="720"/>
      </w:pPr>
      <w:r>
        <w:rPr>
          <w:lang w:val="en_US" w:bidi="en_US"/>
        </w:rPr>
      </w:r>
      <w:r>
        <w:rPr>
          <w:lang w:val="en_US" w:bidi="en_US"/>
        </w:rPr>
        <w:t xml:space="preserve">But Jesus responded, “Any man who becomes my disciple and then </w:t>
      </w:r>
      <w:r>
        <w:rPr>
          <w:lang w:val="en_US" w:bidi="en_US"/>
        </w:rPr>
        <w:t>wants to go back to his former way of life</w:t>
      </w:r>
    </w:p>
    <w:p>
      <w:pPr/>
      <w:r>
        <w:rPr>
          <w:lang w:val="en_US" w:bidi="en_US"/>
        </w:rPr>
      </w:r>
      <w:r>
        <w:rPr>
          <w:b/>
          <w:lang w:val="en_US" w:bidi="en_US"/>
        </w:rPr>
        <w:t>puts his hand to the plow:</w:t>
      </w:r>
      <w:r>
        <w:rPr>
          <w:lang w:val="en_US" w:bidi="en_US"/>
        </w:rPr>
        <w:t xml:space="preserve"> The phrase </w:t>
      </w:r>
      <w:r>
        <w:rPr>
          <w:i/>
          <w:lang w:val="en_US" w:bidi="en_US"/>
        </w:rPr>
        <w:t>puts his hand to the plow</w:t>
      </w:r>
      <w:r>
        <w:rPr>
          <w:lang w:val="en_US" w:bidi="en_US"/>
        </w:rPr>
        <w:t xml:space="preserve"> describes someone who grasps a plow to begin to use it to prepare his field for planting. Other ways to translate this phrase are:</w:t>
      </w:r>
    </w:p>
    <w:p>
      <w:pPr/>
      <w:r>
        <w:rPr>
          <w:lang w:val="en_US" w:bidi="en_US"/>
        </w:rPr>
      </w:r>
      <w:r>
        <w:rPr>
          <w:lang w:val="en_US" w:bidi="en_US"/>
        </w:rPr>
        <w:t>begins to plow a field (NCV)</w:t>
      </w:r>
    </w:p>
    <w:p>
      <w:pPr/>
      <w:r>
        <w:rPr>
          <w:lang w:val="en_US" w:bidi="en_US"/>
        </w:rPr>
      </w:r>
      <w:r>
        <w:rPr>
          <w:lang w:val="en_US" w:bidi="en_US"/>
        </w:rPr>
        <w:t>starts plowing (CEV)</w:t>
      </w:r>
    </w:p>
    <w:p>
      <w:pPr/>
      <w:r>
        <w:rPr>
          <w:lang w:val="en_US" w:bidi="en_US"/>
        </w:rPr>
      </w:r>
      <w:r>
        <w:rPr>
          <w:b/>
          <w:lang w:val="en_US" w:bidi="en_US"/>
        </w:rPr>
        <w:t>plow:</w:t>
      </w:r>
      <w:r>
        <w:rPr>
          <w:lang w:val="en_US" w:bidi="en_US"/>
        </w:rPr>
        <w:t xml:space="preserve"> A </w:t>
      </w:r>
      <w:r>
        <w:rPr>
          <w:i/>
          <w:lang w:val="en_US" w:bidi="en_US"/>
        </w:rPr>
        <w:t>plow</w:t>
      </w:r>
      <w:r>
        <w:rPr>
          <w:lang w:val="en_US" w:bidi="en_US"/>
        </w:rPr>
        <w:t xml:space="preserve"> (or plough) was a sharply pointed wooden tool used for breaking up the soil before planting seeds. It was pulled by a horse or an ox. The farmer held the plow in order to keep it going in a straight line.</w:t>
      </w:r>
    </w:p>
    <w:p>
      <w:pPr/>
      <w:r>
        <w:rPr>
          <w:lang w:val="en_US" w:bidi="en_US"/>
        </w:rPr>
      </w:r>
      <w:r>
        <w:rPr>
          <w:b/>
          <w:lang w:val="en_US" w:bidi="en_US"/>
        </w:rPr>
        <w:t>and then looks back:</w:t>
      </w:r>
      <w:r>
        <w:rPr>
          <w:lang w:val="en_US" w:bidi="en_US"/>
        </w:rPr>
        <w:t xml:space="preserve"> The Greek verb that the BSB translates as </w:t>
      </w:r>
      <w:r>
        <w:rPr>
          <w:i/>
          <w:lang w:val="en_US" w:bidi="en_US"/>
        </w:rPr>
        <w:t>looks back</w:t>
      </w:r>
      <w:r>
        <w:rPr>
          <w:lang w:val="en_US" w:bidi="en_US"/>
        </w:rPr>
        <w:t xml:space="preserve"> means “looks behind him.” If a farmer looks behind him as he plows, he will not be able to guide the plow in a straight line. Figuratively, this refers to a disciple who thinks longingly about how he used to live before he followed Jesus. This prevents him from following Jesus with all his heart.</w:t>
      </w:r>
    </w:p>
    <w:p>
      <w:pPr>
        <w:pStyle w:val="Heading5"/>
      </w:pPr>
      <w:r>
        <w:rPr>
          <w:lang w:val="en_US" w:bidi="en_US"/>
        </w:rPr>
        <w:t>9:62b</w:t>
      </w:r>
    </w:p>
    <w:p>
      <w:pPr/>
      <w:r>
        <w:rPr>
          <w:lang w:val="en_US" w:bidi="en_US"/>
        </w:rPr>
      </w:r>
      <w:r>
        <w:rPr>
          <w:b/>
          <w:lang w:val="en_US" w:bidi="en_US"/>
        </w:rPr>
        <w:t>is fit for the kingdom of God.”</w:t>
      </w:r>
    </w:p>
    <w:p>
      <w:pPr>
        <w:pStyle w:val="ListBullet"/>
        <w:spacing w:line="240" w:lineRule="auto"/>
        <w:ind w:left="720"/>
      </w:pPr>
      <w:r>
        <w:rPr>
          <w:lang w:val="en_US" w:bidi="en_US"/>
        </w:rPr>
      </w:r>
      <w:r>
        <w:rPr>
          <w:lang w:val="en_US" w:bidi="en_US"/>
        </w:rPr>
        <w:t>is of no use in serving God in his kingdom.”</w:t>
      </w:r>
    </w:p>
    <w:p>
      <w:pPr>
        <w:pStyle w:val="ListBullet"/>
        <w:spacing w:line="240" w:lineRule="auto"/>
        <w:ind w:left="720"/>
      </w:pPr>
      <w:r>
        <w:rPr>
          <w:lang w:val="en_US" w:bidi="en_US"/>
        </w:rPr>
      </w:r>
      <w:r>
        <w:rPr>
          <w:lang w:val="en_US" w:bidi="en_US"/>
        </w:rPr>
        <w:t>he will not be able to do useful work to benefit God’s reign/chieftaincy.”</w:t>
      </w:r>
    </w:p>
    <w:p>
      <w:pPr>
        <w:pStyle w:val="ListBullet"/>
        <w:spacing w:line="240" w:lineRule="auto"/>
        <w:ind w:left="720"/>
      </w:pPr>
      <w:r>
        <w:rPr>
          <w:lang w:val="en_US" w:bidi="en_US"/>
        </w:rPr>
      </w:r>
      <w:r>
        <w:rPr>
          <w:lang w:val="en_US" w:bidi="en_US"/>
        </w:rPr>
        <w:t>is not useful as a servant/worker for God as God rules over people.”</w:t>
      </w:r>
    </w:p>
    <w:p>
      <w:pPr/>
      <w:r>
        <w:rPr>
          <w:lang w:val="en_US" w:bidi="en_US"/>
        </w:rPr>
      </w:r>
      <w:r>
        <w:rPr>
          <w:b/>
          <w:lang w:val="en_US" w:bidi="en_US"/>
        </w:rPr>
        <w:t>is fit for the kingdom of God:</w:t>
      </w:r>
      <w:r>
        <w:rPr>
          <w:lang w:val="en_US" w:bidi="en_US"/>
        </w:rPr>
        <w:t xml:space="preserve"> Jesus was saying here that no one who commits himself to be a disciple of Christ and then wants to go back to his former life can serve God in a useful way in his kingdom.</w:t>
      </w:r>
    </w:p>
    <w:p>
      <w:pPr/>
      <w:r>
        <w:rPr>
          <w:lang w:val="en_US" w:bidi="en_US"/>
        </w:rPr>
      </w:r>
      <w:r>
        <w:rPr>
          <w:lang w:val="en_US" w:bidi="en_US"/>
        </w:rPr>
        <w:t xml:space="preserve">In this context </w:t>
      </w:r>
      <w:r>
        <w:rPr>
          <w:i/>
          <w:lang w:val="en_US" w:bidi="en_US"/>
        </w:rPr>
        <w:t>is fit for the kingdom of God</w:t>
      </w:r>
      <w:r>
        <w:rPr>
          <w:lang w:val="en_US" w:bidi="en_US"/>
        </w:rPr>
        <w:t xml:space="preserve"> probably refers to the way a person serves and obeys God in order to benefit God’s kingdom. That would include telling people about God ruling his people through the Messiah. It would also include helping people to believe in Jesus (as in 9:60b) and other types of service. Some ways to translate </w:t>
      </w:r>
      <w:r>
        <w:rPr>
          <w:i/>
          <w:lang w:val="en_US" w:bidi="en_US"/>
        </w:rPr>
        <w:t>fit for the kingdom of God</w:t>
      </w:r>
      <w:r>
        <w:rPr>
          <w:lang w:val="en_US" w:bidi="en_US"/>
        </w:rPr>
        <w:t xml:space="preserve"> are:</w:t>
      </w:r>
    </w:p>
    <w:p>
      <w:pPr/>
      <w:r>
        <w:rPr>
          <w:lang w:val="en_US" w:bidi="en_US"/>
        </w:rPr>
      </w:r>
      <w:r>
        <w:rPr>
          <w:lang w:val="en_US" w:bidi="en_US"/>
        </w:rPr>
        <w:t>serve God effectively to benefit his reign/chieftaincy</w:t>
      </w:r>
    </w:p>
    <w:p>
      <w:pPr/>
      <w:r>
        <w:rPr>
          <w:lang w:val="en_US" w:bidi="en_US"/>
        </w:rPr>
      </w:r>
      <w:r>
        <w:rPr>
          <w:lang w:val="en_US" w:bidi="en_US"/>
        </w:rPr>
        <w:t>serve God in a useful way as he rules his people</w:t>
      </w:r>
    </w:p>
    <w:p>
      <w:pPr/>
      <w:r>
        <w:rPr>
          <w:lang w:val="en_US" w:bidi="en_US"/>
        </w:rPr>
      </w:r>
      <w:r>
        <w:rPr>
          <w:b/>
          <w:lang w:val="en_US" w:bidi="en_US"/>
        </w:rPr>
        <w:t>fit for:</w:t>
      </w:r>
      <w:r>
        <w:rPr>
          <w:lang w:val="en_US" w:bidi="en_US"/>
        </w:rPr>
        <w:t xml:space="preserve"> In this context the Greek word that the BSB translates as </w:t>
      </w:r>
      <w:r>
        <w:rPr>
          <w:i/>
          <w:lang w:val="en_US" w:bidi="en_US"/>
        </w:rPr>
        <w:t>fit</w:t>
      </w:r>
      <w:r>
        <w:rPr>
          <w:lang w:val="en_US" w:bidi="en_US"/>
        </w:rPr>
        <w:t xml:space="preserve"> means to be useful or able to serve effectively.</w:t>
      </w:r>
    </w:p>
    <w:p>
      <w:pPr/>
      <w:r>
        <w:rPr>
          <w:lang w:val="en_US" w:bidi="en_US"/>
        </w:rPr>
      </w:r>
      <w:r>
        <w:rPr>
          <w:b/>
          <w:lang w:val="en_US" w:bidi="en_US"/>
        </w:rPr>
        <w:t>the kingdom of God:</w:t>
      </w:r>
      <w:r>
        <w:rPr>
          <w:lang w:val="en_US" w:bidi="en_US"/>
        </w:rPr>
        <w:t xml:space="preserve"> The phrase </w:t>
      </w:r>
      <w:r>
        <w:rPr>
          <w:i/>
          <w:lang w:val="en_US" w:bidi="en_US"/>
        </w:rPr>
        <w:t>the kingdom of God</w:t>
      </w:r>
      <w:r>
        <w:rPr>
          <w:lang w:val="en_US" w:bidi="en_US"/>
        </w:rPr>
        <w:t xml:space="preserve"> refers to God ruling as king over his people. This same phrase occurs in 9:60b. See also the first note in this part of the verse for translation suggestions for this context.</w:t>
      </w:r>
    </w:p>
    <w:p>
      <w:pPr>
        <w:pStyle w:val="Heading6"/>
      </w:pPr>
      <w:r>
        <w:rPr>
          <w:b/>
          <w:lang w:val="en_US" w:bidi="en_US"/>
        </w:rPr>
        <w:t>General Comment on 9:62a–b</w:t>
      </w:r>
    </w:p>
    <w:p>
      <w:pPr/>
      <w:r>
        <w:rPr>
          <w:lang w:val="en_US" w:bidi="en_US"/>
        </w:rPr>
      </w:r>
      <w:r>
        <w:rPr>
          <w:lang w:val="en_US" w:bidi="en_US"/>
        </w:rPr>
        <w:t>In some languages it may be more natural to begin this verse without using a negative phrase such as “no one.” For example:</w:t>
      </w:r>
    </w:p>
    <w:p>
      <w:pPr/>
      <w:r>
        <w:rPr>
          <w:lang w:val="en_US" w:bidi="en_US"/>
        </w:rPr>
      </w:r>
      <w:r>
        <w:rPr>
          <w:lang w:val="en_US" w:bidi="en_US"/>
        </w:rPr>
        <w:t>Anyone who starts to plow and then keeps looking back is of no use for the Kingdom of God. (GNT)</w:t>
      </w:r>
    </w:p>
    <w:p>
      <w:pPr/>
      <w:r>
        <w:rPr>
          <w:lang w:val="en_US" w:bidi="en_US"/>
        </w:rPr>
      </w:r>
      <w:r>
        <w:rPr>
          <w:lang w:val="en_US" w:bidi="en_US"/>
        </w:rPr>
        <w:t>If someone starts to plow and then looks backward, his work in God’s kingdom will be useless.</w:t>
      </w:r>
      <w:r>
        <w:rPr>
          <w:lang w:val="en_US" w:bidi="en_US"/>
        </w:rPr>
      </w:r>
      <w:r>
        <w:rPr>
          <w:lang w:val="en_US" w:bidi="en_US"/>
        </w:rPr>
      </w:r>
    </w:p>
    <w:p>
      <w:pPr/>
      <w:r>
        <w:rPr>
          <w:lang w:val="en_US" w:bidi="en_US"/>
        </w:rPr>
      </w:r>
    </w:p>
    <w:p>
      <w:pPr>
        <w:pStyle w:val="Heading2"/>
      </w:pPr>
      <w:r>
        <w:rPr>
          <w:lang w:val="en_US" w:bidi="en_US"/>
        </w:rPr>
        <w:t>Luke 10:1</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5"/>
      </w:pPr>
      <w:r>
        <w:rPr>
          <w:lang w:val="en_US" w:bidi="en_US"/>
        </w:rPr>
        <w:t>10:1–2</w:t>
      </w:r>
    </w:p>
    <w:p>
      <w:pPr/>
      <w:r>
        <w:rPr>
          <w:lang w:val="en_US" w:bidi="en_US"/>
        </w:rPr>
      </w:r>
      <w:r>
        <w:rPr>
          <w:lang w:val="en_US" w:bidi="en_US"/>
        </w:rPr>
        <w:t>In 10:1 Jesus chose seventy-two of his disciples to go ahead of him to the places where he planned to go. In 10:2–16 Luke quoted the specific instructions that Jesus gave the disciples.</w:t>
      </w:r>
    </w:p>
    <w:p>
      <w:pPr/>
      <w:r>
        <w:rPr>
          <w:lang w:val="en_US" w:bidi="en_US"/>
        </w:rPr>
      </w:r>
      <w:r>
        <w:rPr>
          <w:lang w:val="en_US" w:bidi="en_US"/>
        </w:rPr>
        <w:t>Your translation should not imply that the disciples left before Jesus gave them these instructions. In some languages, you may need to make some information explicit. For example:</w:t>
      </w:r>
    </w:p>
    <w:p>
      <w:pPr/>
      <w:r>
        <w:rPr>
          <w:lang w:val="en_US" w:bidi="en_US"/>
        </w:rPr>
      </w:r>
      <w:r>
        <w:rPr>
          <w:vertAlign w:val="superscript"/>
          <w:lang w:val="en_US" w:bidi="en_US"/>
        </w:rPr>
        <w:t>1</w:t>
      </w:r>
      <w:r>
        <w:rPr>
          <w:lang w:val="en_US" w:bidi="en_US"/>
        </w:rPr>
        <w:t xml:space="preserve">…the Lord chose seventy-two other disciples/followers to go ahead of him…. </w:t>
      </w:r>
      <w:r>
        <w:rPr>
          <w:vertAlign w:val="superscript"/>
          <w:lang w:val="en_US" w:bidi="en_US"/>
        </w:rPr>
        <w:t>2</w:t>
      </w:r>
      <w:r>
        <w:rPr>
          <w:lang w:val="en_US" w:bidi="en_US"/>
        </w:rPr>
        <w:t>Before they left,</w:t>
      </w:r>
      <w:r>
        <w:rPr>
          <w:lang w:val="en_US" w:bidi="en_US"/>
        </w:rPr>
        <w:t xml:space="preserve"> he told them…</w:t>
      </w:r>
    </w:p>
    <w:p>
      <w:pPr>
        <w:pStyle w:val="Heading5"/>
      </w:pPr>
      <w:r>
        <w:rPr>
          <w:lang w:val="en_US" w:bidi="en_US"/>
        </w:rPr>
        <w:t>10:1a</w:t>
      </w:r>
    </w:p>
    <w:p>
      <w:pPr/>
      <w:r>
        <w:rPr>
          <w:lang w:val="en_US" w:bidi="en_US"/>
        </w:rPr>
      </w:r>
      <w:r>
        <w:rPr>
          <w:b/>
          <w:lang w:val="en_US" w:bidi="en_US"/>
        </w:rPr>
        <w:t>After this, the Lord appointed seventy-two others</w:t>
      </w:r>
    </w:p>
    <w:p>
      <w:pPr>
        <w:pStyle w:val="ListBullet"/>
        <w:spacing w:line="240" w:lineRule="auto"/>
        <w:ind w:left="720"/>
      </w:pPr>
      <w:r>
        <w:rPr>
          <w:lang w:val="en_US" w:bidi="en_US"/>
        </w:rPr>
      </w:r>
      <w:r>
        <w:rPr>
          <w:lang w:val="en_US" w:bidi="en_US"/>
        </w:rPr>
        <w:t xml:space="preserve">¶ Afterwards, the Lord chose/commissioned seventy-two other </w:t>
      </w:r>
      <w:r>
        <w:rPr>
          <w:lang w:val="en_US" w:bidi="en_US"/>
        </w:rPr>
        <w:t>followers/disciples</w:t>
      </w:r>
    </w:p>
    <w:p>
      <w:pPr>
        <w:pStyle w:val="ListBullet"/>
        <w:spacing w:line="240" w:lineRule="auto"/>
        <w:ind w:left="720"/>
      </w:pPr>
      <w:r>
        <w:rPr>
          <w:lang w:val="en_US" w:bidi="en_US"/>
        </w:rPr>
      </w:r>
      <w:r>
        <w:rPr>
          <w:lang w:val="en_US" w:bidi="en_US"/>
        </w:rPr>
        <w:t xml:space="preserve">¶ Then the Lord </w:t>
      </w:r>
      <w:r>
        <w:rPr>
          <w:lang w:val="en_US" w:bidi="en_US"/>
        </w:rPr>
        <w:t>Jesus</w:t>
      </w:r>
      <w:r>
        <w:rPr>
          <w:lang w:val="en_US" w:bidi="en_US"/>
        </w:rPr>
        <w:t xml:space="preserve"> gave special work to seventy-two other </w:t>
      </w:r>
      <w:r>
        <w:rPr>
          <w:lang w:val="en_US" w:bidi="en_US"/>
        </w:rPr>
        <w:t>disciples/men</w:t>
      </w:r>
      <w:r>
        <w:rPr>
          <w:lang w:val="en_US" w:bidi="en_US"/>
        </w:rPr>
        <w:t>.</w:t>
      </w:r>
    </w:p>
    <w:p>
      <w:pPr/>
      <w:r>
        <w:rPr>
          <w:lang w:val="en_US" w:bidi="en_US"/>
        </w:rPr>
      </w:r>
      <w:r>
        <w:rPr>
          <w:b/>
          <w:lang w:val="en_US" w:bidi="en_US"/>
        </w:rPr>
        <w:t>After this:</w:t>
      </w:r>
      <w:r>
        <w:rPr>
          <w:lang w:val="en_US" w:bidi="en_US"/>
        </w:rPr>
        <w:t xml:space="preserve"> The Greek phrase that the BSB translates as </w:t>
      </w:r>
      <w:r>
        <w:rPr>
          <w:i/>
          <w:lang w:val="en_US" w:bidi="en_US"/>
        </w:rPr>
        <w:t>After this</w:t>
      </w:r>
      <w:r>
        <w:rPr>
          <w:lang w:val="en_US" w:bidi="en_US"/>
        </w:rPr>
        <w:t xml:space="preserve"> is literally “After these things.” It is a general expression that refers to some time after the events Luke had just recorded. Another way to translate this phrase is:</w:t>
      </w:r>
    </w:p>
    <w:p>
      <w:pPr/>
      <w:r>
        <w:rPr>
          <w:lang w:val="en_US" w:bidi="en_US"/>
        </w:rPr>
      </w:r>
      <w:r>
        <w:rPr>
          <w:lang w:val="en_US" w:bidi="en_US"/>
        </w:rPr>
        <w:t>Later (CEV)</w:t>
      </w:r>
    </w:p>
    <w:p>
      <w:pPr/>
      <w:r>
        <w:rPr>
          <w:lang w:val="en_US" w:bidi="en_US"/>
        </w:rPr>
      </w:r>
      <w:r>
        <w:rPr>
          <w:b/>
          <w:lang w:val="en_US" w:bidi="en_US"/>
        </w:rPr>
        <w:t>the Lord:</w:t>
      </w:r>
      <w:r>
        <w:rPr>
          <w:lang w:val="en_US" w:bidi="en_US"/>
        </w:rPr>
        <w:t xml:space="preserve"> In this context </w:t>
      </w:r>
      <w:r>
        <w:rPr>
          <w:i/>
          <w:lang w:val="en_US" w:bidi="en_US"/>
        </w:rPr>
        <w:t>the Lord</w:t>
      </w:r>
      <w:r>
        <w:rPr>
          <w:lang w:val="en_US" w:bidi="en_US"/>
        </w:rPr>
        <w:t xml:space="preserve"> is a title for Jesus. Some other ways to translate this title are:</w:t>
      </w:r>
    </w:p>
    <w:p>
      <w:pPr/>
      <w:r>
        <w:rPr>
          <w:lang w:val="en_US" w:bidi="en_US"/>
        </w:rPr>
      </w:r>
      <w:r>
        <w:rPr>
          <w:lang w:val="en_US" w:bidi="en_US"/>
        </w:rPr>
        <w:t>the Master</w:t>
      </w:r>
    </w:p>
    <w:p>
      <w:pPr/>
      <w:r>
        <w:rPr>
          <w:lang w:val="en_US" w:bidi="en_US"/>
        </w:rPr>
      </w:r>
      <w:r>
        <w:rPr>
          <w:lang w:val="en_US" w:bidi="en_US"/>
        </w:rPr>
        <w:t>the Chief</w:t>
      </w:r>
    </w:p>
    <w:p>
      <w:pPr/>
      <w:r>
        <w:rPr>
          <w:lang w:val="en_US" w:bidi="en_US"/>
        </w:rPr>
      </w:r>
      <w:r>
        <w:rPr>
          <w:lang w:val="en_US" w:bidi="en_US"/>
        </w:rPr>
        <w:t xml:space="preserve">In some languages it may be necessary to make clear that the word </w:t>
      </w:r>
      <w:r>
        <w:rPr>
          <w:i/>
          <w:lang w:val="en_US" w:bidi="en_US"/>
        </w:rPr>
        <w:t>Lord</w:t>
      </w:r>
      <w:r>
        <w:rPr>
          <w:lang w:val="en_US" w:bidi="en_US"/>
        </w:rPr>
        <w:t xml:space="preserve"> here refers to Jesus. For example:</w:t>
      </w:r>
    </w:p>
    <w:p>
      <w:pPr/>
      <w:r>
        <w:rPr>
          <w:lang w:val="en_US" w:bidi="en_US"/>
        </w:rPr>
      </w:r>
      <w:r>
        <w:rPr>
          <w:lang w:val="en_US" w:bidi="en_US"/>
        </w:rPr>
        <w:t>the Lord Jesus</w:t>
      </w:r>
    </w:p>
    <w:p>
      <w:pPr/>
      <w:r>
        <w:rPr>
          <w:lang w:val="en_US" w:bidi="en_US"/>
        </w:rPr>
      </w:r>
      <w:r>
        <w:rPr>
          <w:lang w:val="en_US" w:bidi="en_US"/>
        </w:rPr>
        <w:t>Jesus, the Master</w:t>
      </w:r>
    </w:p>
    <w:p>
      <w:pPr/>
      <w:r>
        <w:rPr>
          <w:lang w:val="en_US" w:bidi="en_US"/>
        </w:rPr>
      </w:r>
      <w:r>
        <w:rPr>
          <w:lang w:val="en_US" w:bidi="en_US"/>
        </w:rPr>
        <w:t>In other languages it may be necessary to indicate whose Lord is referred to. If that is true in your language, it is probably good in this context to use an inclusive form like “our.” For example:</w:t>
      </w:r>
    </w:p>
    <w:p>
      <w:pPr/>
      <w:r>
        <w:rPr>
          <w:lang w:val="en_US" w:bidi="en_US"/>
        </w:rPr>
      </w:r>
      <w:r>
        <w:rPr>
          <w:lang w:val="en_US" w:bidi="en_US"/>
        </w:rPr>
        <w:t>our</w:t>
      </w:r>
      <w:r>
        <w:rPr>
          <w:vertAlign w:val="superscript"/>
          <w:lang w:val="en_US" w:bidi="en_US"/>
        </w:rPr>
        <w:t>(incl)</w:t>
      </w:r>
      <w:r>
        <w:rPr>
          <w:lang w:val="en_US" w:bidi="en_US"/>
        </w:rPr>
        <w:t xml:space="preserve"> Lord</w:t>
      </w:r>
    </w:p>
    <w:p>
      <w:pPr/>
      <w:r>
        <w:rPr>
          <w:lang w:val="en_US" w:bidi="en_US"/>
        </w:rPr>
      </w:r>
      <w:r>
        <w:rPr>
          <w:lang w:val="en_US" w:bidi="en_US"/>
        </w:rPr>
        <w:t>The title “the Lord” occurs in a similar context in 7:13a. See Lord, Context 2, in the Glossary.</w:t>
      </w:r>
    </w:p>
    <w:p>
      <w:pPr/>
      <w:r>
        <w:rPr>
          <w:lang w:val="en_US" w:bidi="en_US"/>
        </w:rPr>
      </w:r>
      <w:r>
        <w:rPr>
          <w:b/>
          <w:lang w:val="en_US" w:bidi="en_US"/>
        </w:rPr>
        <w:t>appointed seventy-two others:</w:t>
      </w:r>
      <w:r>
        <w:rPr>
          <w:lang w:val="en_US" w:bidi="en_US"/>
        </w:rPr>
        <w:t xml:space="preserve"> The Greek word that the BSB translates as </w:t>
      </w:r>
      <w:r>
        <w:rPr>
          <w:i/>
          <w:lang w:val="en_US" w:bidi="en_US"/>
        </w:rPr>
        <w:t>appointed</w:t>
      </w:r>
      <w:r>
        <w:rPr>
          <w:lang w:val="en_US" w:bidi="en_US"/>
        </w:rPr>
        <w:t xml:space="preserve"> means to select or commission people to do a particular task. The word </w:t>
      </w:r>
      <w:r>
        <w:rPr>
          <w:i/>
          <w:lang w:val="en_US" w:bidi="en_US"/>
        </w:rPr>
        <w:t>others</w:t>
      </w:r>
      <w:r>
        <w:rPr>
          <w:lang w:val="en_US" w:bidi="en_US"/>
        </w:rPr>
        <w:t xml:space="preserve"> indicates that the people whom Jesus appointed did not include the twelve disciples whom he had commissioned in 9:1–6. Jesus probably chose the </w:t>
      </w:r>
      <w:r>
        <w:rPr>
          <w:i/>
          <w:lang w:val="en_US" w:bidi="en_US"/>
        </w:rPr>
        <w:t>others</w:t>
      </w:r>
      <w:r>
        <w:rPr>
          <w:lang w:val="en_US" w:bidi="en_US"/>
        </w:rPr>
        <w:t xml:space="preserve"> from among the large group who regularly followed him. For example:</w:t>
      </w:r>
    </w:p>
    <w:p>
      <w:pPr/>
      <w:r>
        <w:rPr>
          <w:lang w:val="en_US" w:bidi="en_US"/>
        </w:rPr>
      </w:r>
      <w:r>
        <w:rPr>
          <w:lang w:val="en_US" w:bidi="en_US"/>
        </w:rPr>
        <w:t>chose seventy-two other followers (CEV)</w:t>
      </w:r>
    </w:p>
    <w:p>
      <w:pPr/>
      <w:r>
        <w:rPr>
          <w:lang w:val="en_US" w:bidi="en_US"/>
        </w:rPr>
      </w:r>
      <w:r>
        <w:rPr>
          <w:b/>
          <w:lang w:val="en_US" w:bidi="en_US"/>
        </w:rPr>
        <w:t>seventy-two:</w:t>
      </w:r>
      <w:r>
        <w:rPr>
          <w:lang w:val="en_US" w:bidi="en_US"/>
        </w:rPr>
        <w:t xml:space="preserve"> There is a textual issue here:</w:t>
      </w:r>
    </w:p>
    <w:p>
      <w:pPr>
        <w:pStyle w:val="ListNumber"/>
        <w:numPr>
          <w:ilvl w:val="0"/>
          <w:numId w:val="204"/>
        </w:numPr>
        <w:spacing w:line="240" w:lineRule="auto"/>
        <w:ind w:left="720"/>
      </w:pPr>
      <w:r>
        <w:rPr>
          <w:lang w:val="en_US" w:bidi="en_US"/>
        </w:rPr>
      </w:r>
      <w:r>
        <w:rPr>
          <w:lang w:val="en_US" w:bidi="en_US"/>
        </w:rPr>
        <w:t xml:space="preserve">Some Greek manuscripts have </w:t>
      </w:r>
      <w:r>
        <w:rPr>
          <w:u w:val="single"/>
          <w:lang w:val="en_US" w:bidi="en_US"/>
        </w:rPr>
        <w:t>seventy-two</w:t>
      </w:r>
      <w:r>
        <w:rPr>
          <w:lang w:val="en_US" w:bidi="en_US"/>
        </w:rPr>
        <w:t xml:space="preserve">. </w:t>
      </w:r>
      <w:r>
        <w:rPr>
          <w:i/>
          <w:lang w:val="en_US" w:bidi="en_US"/>
        </w:rPr>
        <w:t>(BSB, NIV, GNT, NJB, REB, NET, NLT, CEV, NCV)</w:t>
      </w:r>
    </w:p>
    <w:p>
      <w:pPr>
        <w:pStyle w:val="ListNumber"/>
        <w:spacing w:line="240" w:lineRule="auto"/>
        <w:ind w:left="720"/>
      </w:pPr>
      <w:r>
        <w:rPr>
          <w:lang w:val="en_US" w:bidi="en_US"/>
        </w:rPr>
      </w:r>
      <w:r>
        <w:rPr>
          <w:lang w:val="en_US" w:bidi="en_US"/>
        </w:rPr>
        <w:t xml:space="preserve">Other Greek manuscripts have </w:t>
      </w:r>
      <w:r>
        <w:rPr>
          <w:u w:val="single"/>
          <w:lang w:val="en_US" w:bidi="en_US"/>
        </w:rPr>
        <w:t>seventy</w:t>
      </w:r>
      <w:r>
        <w:rPr>
          <w:lang w:val="en_US" w:bidi="en_US"/>
        </w:rPr>
        <w:t xml:space="preserve">. </w:t>
      </w:r>
      <w:r>
        <w:rPr>
          <w:i/>
          <w:lang w:val="en_US" w:bidi="en_US"/>
        </w:rPr>
        <w:t>(RSV, KJV, NASB, GW)</w:t>
      </w:r>
    </w:p>
    <w:p>
      <w:pPr/>
      <w:r>
        <w:rPr>
          <w:lang w:val="en_US" w:bidi="en_US"/>
        </w:rPr>
      </w:r>
      <w:r>
        <w:rPr>
          <w:lang w:val="en_US" w:bidi="en_US"/>
        </w:rPr>
        <w:t>It is recommended that you follow option (1). However, there is strong support for both options. If a major language version in your area follows option (2), you may follow that option. Whichever option you choose, you may want to give the other option in a footnote.</w:t>
      </w:r>
    </w:p>
    <w:p>
      <w:pPr>
        <w:pStyle w:val="Heading5"/>
      </w:pPr>
      <w:r>
        <w:rPr>
          <w:lang w:val="en_US" w:bidi="en_US"/>
        </w:rPr>
        <w:t>10:1b</w:t>
      </w:r>
    </w:p>
    <w:p>
      <w:pPr/>
      <w:r>
        <w:rPr>
          <w:lang w:val="en_US" w:bidi="en_US"/>
        </w:rPr>
      </w:r>
      <w:r>
        <w:rPr>
          <w:b/>
          <w:lang w:val="en_US" w:bidi="en_US"/>
        </w:rPr>
        <w:t>and sent them two by two ahead of Him</w:t>
      </w:r>
    </w:p>
    <w:p>
      <w:pPr>
        <w:pStyle w:val="ListBullet"/>
        <w:spacing w:line="240" w:lineRule="auto"/>
        <w:ind w:left="720"/>
      </w:pPr>
      <w:r>
        <w:rPr>
          <w:lang w:val="en_US" w:bidi="en_US"/>
        </w:rPr>
      </w:r>
      <w:r>
        <w:rPr>
          <w:lang w:val="en_US" w:bidi="en_US"/>
        </w:rPr>
        <w:t>to go ahead of him in groups of two</w:t>
      </w:r>
    </w:p>
    <w:p>
      <w:pPr>
        <w:pStyle w:val="ListBullet"/>
        <w:spacing w:line="240" w:lineRule="auto"/>
        <w:ind w:left="720"/>
      </w:pPr>
      <w:r>
        <w:rPr>
          <w:lang w:val="en_US" w:bidi="en_US"/>
        </w:rPr>
      </w:r>
      <w:r>
        <w:rPr>
          <w:lang w:val="en_US" w:bidi="en_US"/>
        </w:rPr>
        <w:t>He told them to go in twos/pairs ahead of him</w:t>
      </w:r>
    </w:p>
    <w:p>
      <w:pPr>
        <w:pStyle w:val="Heading5"/>
      </w:pPr>
      <w:r>
        <w:rPr>
          <w:lang w:val="en_US" w:bidi="en_US"/>
        </w:rPr>
        <w:t>10:1c</w:t>
      </w:r>
    </w:p>
    <w:p>
      <w:pPr/>
      <w:r>
        <w:rPr>
          <w:lang w:val="en_US" w:bidi="en_US"/>
        </w:rPr>
      </w:r>
      <w:r>
        <w:rPr>
          <w:b/>
          <w:lang w:val="en_US" w:bidi="en_US"/>
        </w:rPr>
        <w:t>to every town and place He was about to visit.</w:t>
      </w:r>
    </w:p>
    <w:p>
      <w:pPr>
        <w:pStyle w:val="ListBullet"/>
        <w:spacing w:line="240" w:lineRule="auto"/>
        <w:ind w:left="720"/>
      </w:pPr>
      <w:r>
        <w:rPr>
          <w:lang w:val="en_US" w:bidi="en_US"/>
        </w:rPr>
      </w:r>
      <w:r>
        <w:rPr>
          <w:lang w:val="en_US" w:bidi="en_US"/>
        </w:rPr>
        <w:t>to every place where he was preparing to go.</w:t>
      </w:r>
    </w:p>
    <w:p>
      <w:pPr>
        <w:pStyle w:val="ListBullet"/>
        <w:spacing w:line="240" w:lineRule="auto"/>
        <w:ind w:left="720"/>
      </w:pPr>
      <w:r>
        <w:rPr>
          <w:lang w:val="en_US" w:bidi="en_US"/>
        </w:rPr>
      </w:r>
      <w:r>
        <w:rPr>
          <w:lang w:val="en_US" w:bidi="en_US"/>
        </w:rPr>
        <w:t xml:space="preserve">to all the places where he </w:t>
      </w:r>
      <w:r>
        <w:rPr>
          <w:lang w:val="en_US" w:bidi="en_US"/>
        </w:rPr>
        <w:t>himself</w:t>
      </w:r>
      <w:r>
        <w:rPr>
          <w:lang w:val="en_US" w:bidi="en_US"/>
        </w:rPr>
        <w:t xml:space="preserve"> was planning to go.</w:t>
      </w:r>
    </w:p>
    <w:p>
      <w:pPr>
        <w:pStyle w:val="Heading5"/>
      </w:pPr>
      <w:r>
        <w:rPr>
          <w:lang w:val="en_US" w:bidi="en_US"/>
        </w:rPr>
        <w:t>10:1b–c</w:t>
      </w:r>
    </w:p>
    <w:p>
      <w:pPr/>
      <w:r>
        <w:rPr>
          <w:lang w:val="en_US" w:bidi="en_US"/>
        </w:rPr>
      </w:r>
      <w:r>
        <w:rPr>
          <w:b/>
          <w:lang w:val="en_US" w:bidi="en_US"/>
        </w:rPr>
        <w:t>and sent them…ahead of Him:</w:t>
      </w:r>
      <w:r>
        <w:rPr>
          <w:lang w:val="en_US" w:bidi="en_US"/>
        </w:rPr>
        <w:t xml:space="preserve"> The phrase </w:t>
      </w:r>
      <w:r>
        <w:rPr>
          <w:i/>
          <w:lang w:val="en_US" w:bidi="en_US"/>
        </w:rPr>
        <w:t>sent them</w:t>
      </w:r>
      <w:r>
        <w:rPr>
          <w:lang w:val="en_US" w:bidi="en_US"/>
        </w:rPr>
        <w:t xml:space="preserve"> here means “told them to go.” See the note in 10:2a for more information. Notice also that Luke never stated explicitly that they went. He only mentioned that they returned (10:17). See the note on 10:17a for a way to make the order of events clear.</w:t>
      </w:r>
    </w:p>
    <w:p>
      <w:pPr/>
      <w:r>
        <w:rPr>
          <w:lang w:val="en_US" w:bidi="en_US"/>
        </w:rPr>
      </w:r>
      <w:r>
        <w:rPr>
          <w:b/>
          <w:lang w:val="en_US" w:bidi="en_US"/>
        </w:rPr>
        <w:t>two by two…to every town and place:</w:t>
      </w:r>
      <w:r>
        <w:rPr>
          <w:lang w:val="en_US" w:bidi="en_US"/>
        </w:rPr>
        <w:t xml:space="preserve"> The phrase </w:t>
      </w:r>
      <w:r>
        <w:rPr>
          <w:i/>
          <w:lang w:val="en_US" w:bidi="en_US"/>
        </w:rPr>
        <w:t>two by two</w:t>
      </w:r>
      <w:r>
        <w:rPr>
          <w:lang w:val="en_US" w:bidi="en_US"/>
        </w:rPr>
        <w:t xml:space="preserve"> means “in groups of twos.” The seventy-two disciples traveled in pairs. Each pair of two disciples went to a different town or place where Jesus planned to go.</w:t>
      </w:r>
    </w:p>
    <w:p>
      <w:pPr/>
      <w:r>
        <w:rPr>
          <w:lang w:val="en_US" w:bidi="en_US"/>
        </w:rPr>
      </w:r>
      <w:r>
        <w:rPr>
          <w:lang w:val="en_US" w:bidi="en_US"/>
        </w:rPr>
        <w:t>In some languages it may be more natural to put this phrase in a separate sentence. For example:</w:t>
      </w:r>
    </w:p>
    <w:p>
      <w:pPr/>
      <w:r>
        <w:rPr>
          <w:lang w:val="en_US" w:bidi="en_US"/>
        </w:rPr>
      </w:r>
      <w:r>
        <w:rPr>
          <w:lang w:val="en_US" w:bidi="en_US"/>
        </w:rPr>
        <w:t>He told them to travel in pairs and go to every town and place</w:t>
      </w:r>
    </w:p>
    <w:p>
      <w:pPr/>
      <w:r>
        <w:rPr>
          <w:lang w:val="en_US" w:bidi="en_US"/>
        </w:rPr>
      </w:r>
      <w:r>
        <w:rPr>
          <w:b/>
          <w:lang w:val="en_US" w:bidi="en_US"/>
        </w:rPr>
        <w:t>every town and place:</w:t>
      </w:r>
      <w:r>
        <w:rPr>
          <w:lang w:val="en_US" w:bidi="en_US"/>
        </w:rPr>
        <w:t xml:space="preserve"> The phrase that the BSB translates literally as </w:t>
      </w:r>
      <w:r>
        <w:rPr>
          <w:i/>
          <w:lang w:val="en_US" w:bidi="en_US"/>
        </w:rPr>
        <w:t>every town and place</w:t>
      </w:r>
      <w:r>
        <w:rPr>
          <w:lang w:val="en_US" w:bidi="en_US"/>
        </w:rPr>
        <w:t xml:space="preserve"> refers to all the inhabited places in the area, both large and small. Since towns are themselves “places,” the CEV has translated this as:</w:t>
      </w:r>
    </w:p>
    <w:p>
      <w:pPr/>
      <w:r>
        <w:rPr>
          <w:lang w:val="en_US" w:bidi="en_US"/>
        </w:rPr>
      </w:r>
      <w:r>
        <w:rPr>
          <w:lang w:val="en_US" w:bidi="en_US"/>
        </w:rPr>
        <w:t>every town and village</w:t>
      </w:r>
      <w:r>
        <w:rPr>
          <w:lang w:val="en_US" w:bidi="en_US"/>
        </w:rPr>
      </w:r>
      <w:r>
        <w:rPr>
          <w:lang w:val="en_US" w:bidi="en_US"/>
        </w:rPr>
      </w:r>
    </w:p>
    <w:p>
      <w:pPr/>
      <w:r>
        <w:rPr>
          <w:lang w:val="en_US" w:bidi="en_US"/>
        </w:rPr>
      </w:r>
    </w:p>
    <w:p>
      <w:pPr>
        <w:pStyle w:val="Heading2"/>
      </w:pPr>
      <w:r>
        <w:rPr>
          <w:lang w:val="en_US" w:bidi="en_US"/>
        </w:rPr>
        <w:t>Luke 10:2</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5"/>
      </w:pPr>
      <w:r>
        <w:rPr>
          <w:lang w:val="en_US" w:bidi="en_US"/>
        </w:rPr>
        <w:t>10:2a</w:t>
      </w:r>
    </w:p>
    <w:p>
      <w:pPr/>
      <w:r>
        <w:rPr>
          <w:lang w:val="en_US" w:bidi="en_US"/>
        </w:rPr>
      </w:r>
      <w:r>
        <w:rPr>
          <w:b/>
          <w:lang w:val="en_US" w:bidi="en_US"/>
        </w:rPr>
        <w:t>And He told them, “The harvest is plentiful, but the workers are few.</w:t>
      </w:r>
    </w:p>
    <w:p>
      <w:pPr>
        <w:pStyle w:val="ListBullet"/>
        <w:spacing w:line="240" w:lineRule="auto"/>
        <w:ind w:left="720"/>
      </w:pPr>
      <w:r>
        <w:rPr>
          <w:lang w:val="en_US" w:bidi="en_US"/>
        </w:rPr>
      </w:r>
      <w:r>
        <w:rPr>
          <w:lang w:val="en_US" w:bidi="en_US"/>
        </w:rPr>
        <w:t xml:space="preserve">He told them </w:t>
      </w:r>
      <w:r>
        <w:rPr>
          <w:lang w:val="en_US" w:bidi="en_US"/>
        </w:rPr>
        <w:t>this illustration/parable</w:t>
      </w:r>
      <w:r>
        <w:rPr>
          <w:lang w:val="en_US" w:bidi="en_US"/>
        </w:rPr>
        <w:t xml:space="preserve">: “There is much </w:t>
      </w:r>
      <w:r>
        <w:rPr>
          <w:lang w:val="en_US" w:bidi="en_US"/>
        </w:rPr>
        <w:t>ripe grain</w:t>
      </w:r>
      <w:r>
        <w:rPr>
          <w:lang w:val="en_US" w:bidi="en_US"/>
        </w:rPr>
        <w:t xml:space="preserve"> to be harvested, but there are not many people/workers </w:t>
      </w:r>
      <w:r>
        <w:rPr>
          <w:lang w:val="en_US" w:bidi="en_US"/>
        </w:rPr>
        <w:t>who are able to harvest/reap it</w:t>
      </w:r>
      <w:r>
        <w:rPr>
          <w:lang w:val="en_US" w:bidi="en_US"/>
        </w:rPr>
        <w:t>.</w:t>
      </w:r>
    </w:p>
    <w:p>
      <w:pPr>
        <w:pStyle w:val="ListBullet"/>
        <w:spacing w:line="240" w:lineRule="auto"/>
        <w:ind w:left="720"/>
      </w:pPr>
      <w:r>
        <w:rPr>
          <w:lang w:val="en_US" w:bidi="en_US"/>
        </w:rPr>
      </w:r>
      <w:r>
        <w:rPr>
          <w:lang w:val="en_US" w:bidi="en_US"/>
        </w:rPr>
        <w:t>Before they left,</w:t>
      </w:r>
      <w:r>
        <w:rPr>
          <w:lang w:val="en_US" w:bidi="en_US"/>
        </w:rPr>
        <w:t xml:space="preserve"> he/Jesus said to them, “There are many </w:t>
      </w:r>
      <w:r>
        <w:rPr>
          <w:lang w:val="en_US" w:bidi="en_US"/>
        </w:rPr>
        <w:t>people who are ready to believe in me</w:t>
      </w:r>
      <w:r>
        <w:rPr>
          <w:lang w:val="en_US" w:bidi="en_US"/>
        </w:rPr>
        <w:t xml:space="preserve">. </w:t>
      </w:r>
      <w:r>
        <w:rPr>
          <w:lang w:val="en_US" w:bidi="en_US"/>
        </w:rPr>
        <w:t>They are like</w:t>
      </w:r>
      <w:r>
        <w:rPr>
          <w:lang w:val="en_US" w:bidi="en_US"/>
        </w:rPr>
        <w:t xml:space="preserve"> a ripe crop, but there are few harvesters/pickers.</w:t>
      </w:r>
    </w:p>
    <w:p>
      <w:pPr/>
      <w:r>
        <w:rPr>
          <w:lang w:val="en_US" w:bidi="en_US"/>
        </w:rPr>
      </w:r>
      <w:r>
        <w:rPr>
          <w:lang w:val="en_US" w:bidi="en_US"/>
        </w:rPr>
        <w:t>In this verse Luke began to quote what Jesus told the seventy-two disciples before they left. Be sure that the sequence of events is clear. See the note on 10:1–2.</w:t>
      </w:r>
    </w:p>
    <w:p>
      <w:pPr/>
      <w:r>
        <w:rPr>
          <w:lang w:val="en_US" w:bidi="en_US"/>
        </w:rPr>
      </w:r>
      <w:r>
        <w:rPr>
          <w:b/>
          <w:lang w:val="en_US" w:bidi="en_US"/>
        </w:rPr>
        <w:t>And:</w:t>
      </w:r>
      <w:r>
        <w:rPr>
          <w:lang w:val="en_US" w:bidi="en_US"/>
        </w:rPr>
        <w:t xml:space="preserve"> This verse begins with a Greek conjunction that the BSB translates as </w:t>
      </w:r>
      <w:r>
        <w:rPr>
          <w:i/>
          <w:lang w:val="en_US" w:bidi="en_US"/>
        </w:rPr>
        <w:t>And</w:t>
      </w:r>
      <w:r>
        <w:rPr>
          <w:lang w:val="en_US" w:bidi="en_US"/>
        </w:rPr>
        <w:t>, as do some other English versions (ESV, NASB). Many other versions do not translate this conjunction. Connect 10:2a to 10:1 in a way that is natural in your language.</w:t>
      </w:r>
    </w:p>
    <w:p>
      <w:pPr/>
      <w:r>
        <w:rPr>
          <w:lang w:val="en_US" w:bidi="en_US"/>
        </w:rPr>
      </w:r>
      <w:r>
        <w:rPr>
          <w:b/>
          <w:lang w:val="en_US" w:bidi="en_US"/>
        </w:rPr>
        <w:t>He told them, “The harvest is plentiful, but the workers are few…”:</w:t>
      </w:r>
      <w:r>
        <w:rPr>
          <w:lang w:val="en_US" w:bidi="en_US"/>
        </w:rPr>
        <w:t xml:space="preserve"> Jesus spoke here of a large crop with only a few people to harvest it. This is a metaphor. It means that many people were ready to hear Jesus’ message, but there were only a few people to tell them.</w:t>
      </w:r>
    </w:p>
    <w:p>
      <w:pPr/>
      <w:r>
        <w:rPr>
          <w:lang w:val="en_US" w:bidi="en_US"/>
        </w:rPr>
      </w:r>
      <w:r>
        <w:rPr>
          <w:lang w:val="en_US" w:bidi="en_US"/>
        </w:rPr>
        <w:t>In some languages people may not understand that Jesus was using a metaphor here, or they may not understand its meaning. If that is true in your language, some other ways to translate this metaphor are:</w:t>
      </w:r>
    </w:p>
    <w:p>
      <w:pPr>
        <w:pStyle w:val="ListBullet"/>
        <w:spacing w:line="240" w:lineRule="auto"/>
        <w:ind w:left="720"/>
      </w:pPr>
      <w:r>
        <w:rPr>
          <w:lang w:val="en_US" w:bidi="en_US"/>
        </w:rPr>
      </w:r>
      <w:r>
        <w:rPr>
          <w:lang w:val="en_US" w:bidi="en_US"/>
        </w:rPr>
        <w:t>Keep the entire metaphor, but make explicit in some way that Jesus was using figurative language. For example:</w:t>
      </w:r>
      <w:r>
        <w:rPr>
          <w:lang w:val="en_US" w:bidi="en_US"/>
        </w:rPr>
        <w:t xml:space="preserve">He told them </w:t>
      </w:r>
      <w:r>
        <w:rPr>
          <w:lang w:val="en_US" w:bidi="en_US"/>
        </w:rPr>
        <w:t>this illustration/parable:</w:t>
      </w:r>
      <w:r>
        <w:rPr>
          <w:lang w:val="en_US" w:bidi="en_US"/>
        </w:rPr>
        <w:t xml:space="preserve"> “The…”</w:t>
      </w:r>
      <w:r>
        <w:rPr>
          <w:lang w:val="en_US" w:bidi="en_US"/>
        </w:rPr>
        <w:t>Jesus told them, “</w:t>
      </w:r>
      <w:r>
        <w:rPr>
          <w:lang w:val="en_US" w:bidi="en_US"/>
        </w:rPr>
        <w:t>I am sending you out like</w:t>
      </w:r>
      <w:r>
        <w:rPr>
          <w:lang w:val="en_US" w:bidi="en_US"/>
        </w:rPr>
        <w:t xml:space="preserve"> workers who will harvest a crop. The harvest…”</w:t>
      </w:r>
    </w:p>
    <w:p>
      <w:pPr>
        <w:pStyle w:val="ListBullet"/>
        <w:spacing w:line="240" w:lineRule="auto"/>
        <w:ind w:left="720"/>
      </w:pPr>
      <w:r>
        <w:rPr>
          <w:lang w:val="en_US" w:bidi="en_US"/>
        </w:rPr>
      </w:r>
      <w:r>
        <w:rPr>
          <w:lang w:val="en_US" w:bidi="en_US"/>
        </w:rPr>
        <w:t>Keep part of the metaphor. Make part of the meaning explicit. For example:</w:t>
      </w:r>
      <w:r>
        <w:rPr>
          <w:lang w:val="en_US" w:bidi="en_US"/>
        </w:rPr>
        <w:t>There are a great many people to harvest, but there are only a few workers. (NCV)</w:t>
      </w:r>
    </w:p>
    <w:p>
      <w:pPr>
        <w:pStyle w:val="ListBullet"/>
        <w:spacing w:line="240" w:lineRule="auto"/>
        <w:ind w:left="720"/>
      </w:pPr>
      <w:r>
        <w:rPr>
          <w:lang w:val="en_US" w:bidi="en_US"/>
        </w:rPr>
      </w:r>
      <w:r>
        <w:rPr>
          <w:lang w:val="en_US" w:bidi="en_US"/>
        </w:rPr>
        <w:t>Change the metaphor to a simile. Make one or both parts of the topic explicit. For example:</w:t>
      </w:r>
      <w:r>
        <w:rPr>
          <w:lang w:val="en_US" w:bidi="en_US"/>
        </w:rPr>
        <w:t>Many people are ready to believe in me,</w:t>
      </w:r>
      <w:r>
        <w:rPr>
          <w:lang w:val="en_US" w:bidi="en_US"/>
        </w:rPr>
        <w:t xml:space="preserve"> </w:t>
      </w:r>
      <w:r>
        <w:rPr>
          <w:lang w:val="en_US" w:bidi="en_US"/>
        </w:rPr>
        <w:t>but there are not many people to tell them the good news.</w:t>
      </w:r>
      <w:r>
        <w:rPr>
          <w:lang w:val="en_US" w:bidi="en_US"/>
        </w:rPr>
        <w:t xml:space="preserve"> </w:t>
      </w:r>
      <w:r>
        <w:rPr>
          <w:lang w:val="en_US" w:bidi="en_US"/>
        </w:rPr>
        <w:t>They are like</w:t>
      </w:r>
      <w:r>
        <w:rPr>
          <w:lang w:val="en_US" w:bidi="en_US"/>
        </w:rPr>
        <w:t xml:space="preserve"> a big grain field that is ripe, and there are not enough workers to harvest the ripe grain.</w:t>
      </w:r>
    </w:p>
    <w:p>
      <w:pPr>
        <w:pStyle w:val="ListBullet"/>
        <w:spacing w:line="240" w:lineRule="auto"/>
        <w:ind w:left="720"/>
      </w:pPr>
      <w:r>
        <w:rPr>
          <w:lang w:val="en_US" w:bidi="en_US"/>
        </w:rPr>
      </w:r>
      <w:r>
        <w:rPr>
          <w:lang w:val="en_US" w:bidi="en_US"/>
        </w:rPr>
        <w:t>Translate the meaning without the metaphor. For example:</w:t>
      </w:r>
      <w:r>
        <w:rPr>
          <w:lang w:val="en_US" w:bidi="en_US"/>
        </w:rPr>
        <w:t xml:space="preserve">There are many people who are ready to believe in me, but there are not many who can help/invite them. </w:t>
      </w:r>
      <w:r>
        <w:rPr>
          <w:i/>
          <w:lang w:val="en_US" w:bidi="en_US"/>
        </w:rPr>
        <w:t>This option should only be used if the other options are not clear or natural.</w:t>
      </w:r>
    </w:p>
    <w:p>
      <w:pPr/>
      <w:r>
        <w:rPr>
          <w:lang w:val="en_US" w:bidi="en_US"/>
        </w:rPr>
      </w:r>
      <w:r>
        <w:rPr>
          <w:lang w:val="en_US" w:bidi="en_US"/>
        </w:rPr>
        <w:t>Try to keep at least part of the metaphor if possible. If you translate the metaphor literally, you may want to include a footnote with an explanation. For example:</w:t>
      </w:r>
    </w:p>
    <w:p>
      <w:pPr/>
      <w:r>
        <w:rPr>
          <w:lang w:val="en_US" w:bidi="en_US"/>
        </w:rPr>
      </w:r>
      <w:r>
        <w:rPr>
          <w:lang w:val="en_US" w:bidi="en_US"/>
        </w:rPr>
        <w:t>The “harvest” symbolizes people who need to hear Jesus’ message. The “workers” symbolize people who tell them his message.</w:t>
      </w:r>
    </w:p>
    <w:p>
      <w:pPr/>
      <w:r>
        <w:rPr>
          <w:lang w:val="en_US" w:bidi="en_US"/>
        </w:rPr>
      </w:r>
      <w:r>
        <w:rPr>
          <w:b/>
          <w:lang w:val="en_US" w:bidi="en_US"/>
        </w:rPr>
        <w:t>The harvest is plentiful:</w:t>
      </w:r>
      <w:r>
        <w:rPr>
          <w:lang w:val="en_US" w:bidi="en_US"/>
        </w:rPr>
        <w:t xml:space="preserve"> The word </w:t>
      </w:r>
      <w:r>
        <w:rPr>
          <w:i/>
          <w:lang w:val="en_US" w:bidi="en_US"/>
        </w:rPr>
        <w:t>harvest</w:t>
      </w:r>
      <w:r>
        <w:rPr>
          <w:lang w:val="en_US" w:bidi="en_US"/>
        </w:rPr>
        <w:t xml:space="preserve"> refers here to a crop that is ready to be gathered. It is a general word that can refer to different types of crops, for example, ripe grain or fruit. See also Matthew 9:37–38. Other ways to translate this clause are:</w:t>
      </w:r>
    </w:p>
    <w:p>
      <w:pPr/>
      <w:r>
        <w:rPr>
          <w:lang w:val="en_US" w:bidi="en_US"/>
        </w:rPr>
      </w:r>
      <w:r>
        <w:rPr>
          <w:lang w:val="en_US" w:bidi="en_US"/>
        </w:rPr>
        <w:t>There is a large crop ready to be harvested</w:t>
      </w:r>
    </w:p>
    <w:p>
      <w:pPr/>
      <w:r>
        <w:rPr>
          <w:lang w:val="en_US" w:bidi="en_US"/>
        </w:rPr>
      </w:r>
      <w:r>
        <w:rPr>
          <w:lang w:val="en_US" w:bidi="en_US"/>
        </w:rPr>
        <w:t>The fields are full of ripe grain</w:t>
      </w:r>
    </w:p>
    <w:p>
      <w:pPr/>
      <w:r>
        <w:rPr>
          <w:lang w:val="en_US" w:bidi="en_US"/>
        </w:rPr>
      </w:r>
      <w:r>
        <w:rPr>
          <w:b/>
          <w:lang w:val="en_US" w:bidi="en_US"/>
        </w:rPr>
        <w:t>the workers are few:</w:t>
      </w:r>
      <w:r>
        <w:rPr>
          <w:lang w:val="en_US" w:bidi="en_US"/>
        </w:rPr>
        <w:t xml:space="preserve"> The clause </w:t>
      </w:r>
      <w:r>
        <w:rPr>
          <w:i/>
          <w:lang w:val="en_US" w:bidi="en_US"/>
        </w:rPr>
        <w:t>the workers are few</w:t>
      </w:r>
      <w:r>
        <w:rPr>
          <w:lang w:val="en_US" w:bidi="en_US"/>
        </w:rPr>
        <w:t xml:space="preserve"> means that not many people were working in the field to harvest the crop.</w:t>
      </w:r>
    </w:p>
    <w:p>
      <w:pPr/>
      <w:r>
        <w:rPr>
          <w:lang w:val="en_US" w:bidi="en_US"/>
        </w:rPr>
      </w:r>
      <w:r>
        <w:rPr>
          <w:b/>
          <w:lang w:val="en_US" w:bidi="en_US"/>
        </w:rPr>
        <w:t>the workers:</w:t>
      </w:r>
      <w:r>
        <w:rPr>
          <w:lang w:val="en_US" w:bidi="en_US"/>
        </w:rPr>
        <w:t xml:space="preserve"> In some languages it may be more natural to translate this phrase with a word that refers specifically to harvest workers. For example:</w:t>
      </w:r>
    </w:p>
    <w:p>
      <w:pPr/>
      <w:r>
        <w:rPr>
          <w:lang w:val="en_US" w:bidi="en_US"/>
        </w:rPr>
      </w:r>
      <w:r>
        <w:rPr>
          <w:lang w:val="en_US" w:bidi="en_US"/>
        </w:rPr>
        <w:t>the reapers</w:t>
      </w:r>
    </w:p>
    <w:p>
      <w:pPr/>
      <w:r>
        <w:rPr>
          <w:lang w:val="en_US" w:bidi="en_US"/>
        </w:rPr>
      </w:r>
      <w:r>
        <w:rPr>
          <w:lang w:val="en_US" w:bidi="en_US"/>
        </w:rPr>
        <w:t>the harvesters</w:t>
      </w:r>
    </w:p>
    <w:p>
      <w:pPr>
        <w:pStyle w:val="Heading5"/>
      </w:pPr>
      <w:r>
        <w:rPr>
          <w:lang w:val="en_US" w:bidi="en_US"/>
        </w:rPr>
        <w:t>10:2b</w:t>
      </w:r>
    </w:p>
    <w:p>
      <w:pPr/>
      <w:r>
        <w:rPr>
          <w:lang w:val="en_US" w:bidi="en_US"/>
        </w:rPr>
      </w:r>
      <w:r>
        <w:rPr>
          <w:b/>
          <w:lang w:val="en_US" w:bidi="en_US"/>
        </w:rPr>
        <w:t>Ask the Lord of the harvest, therefore, to send out workers into His harvest.</w:t>
      </w:r>
    </w:p>
    <w:p>
      <w:pPr>
        <w:pStyle w:val="ListBullet"/>
        <w:spacing w:line="240" w:lineRule="auto"/>
        <w:ind w:left="720"/>
      </w:pPr>
      <w:r>
        <w:rPr>
          <w:lang w:val="en_US" w:bidi="en_US"/>
        </w:rPr>
      </w:r>
      <w:r>
        <w:rPr>
          <w:lang w:val="en_US" w:bidi="en_US"/>
        </w:rPr>
        <w:t>So ask/beg</w:t>
      </w:r>
      <w:r>
        <w:rPr>
          <w:vertAlign w:val="superscript"/>
          <w:lang w:val="en_US" w:bidi="en_US"/>
        </w:rPr>
        <w:t>(plur)</w:t>
      </w:r>
      <w:r>
        <w:rPr>
          <w:lang w:val="en_US" w:bidi="en_US"/>
        </w:rPr>
        <w:t xml:space="preserve"> the owner of the grain field to send </w:t>
      </w:r>
      <w:r>
        <w:rPr>
          <w:lang w:val="en_US" w:bidi="en_US"/>
        </w:rPr>
        <w:t>more</w:t>
      </w:r>
      <w:r>
        <w:rPr>
          <w:lang w:val="en_US" w:bidi="en_US"/>
        </w:rPr>
        <w:t xml:space="preserve"> people who can harvest the ripe grain.</w:t>
      </w:r>
    </w:p>
    <w:p>
      <w:pPr>
        <w:pStyle w:val="ListBullet"/>
        <w:spacing w:line="240" w:lineRule="auto"/>
        <w:ind w:left="720"/>
      </w:pPr>
      <w:r>
        <w:rPr>
          <w:lang w:val="en_US" w:bidi="en_US"/>
        </w:rPr>
      </w:r>
      <w:r>
        <w:rPr>
          <w:lang w:val="en_US" w:bidi="en_US"/>
        </w:rPr>
        <w:t>So pray</w:t>
      </w:r>
      <w:r>
        <w:rPr>
          <w:vertAlign w:val="superscript"/>
          <w:lang w:val="en_US" w:bidi="en_US"/>
        </w:rPr>
        <w:t>(plur)</w:t>
      </w:r>
      <w:r>
        <w:rPr>
          <w:lang w:val="en_US" w:bidi="en_US"/>
        </w:rPr>
        <w:t xml:space="preserve"> to </w:t>
      </w:r>
      <w:r>
        <w:rPr>
          <w:lang w:val="en_US" w:bidi="en_US"/>
        </w:rPr>
        <w:t>God,</w:t>
      </w:r>
      <w:r>
        <w:rPr>
          <w:lang w:val="en_US" w:bidi="en_US"/>
        </w:rPr>
        <w:t xml:space="preserve"> who is in charge of the harvesting. Plead with him to send </w:t>
      </w:r>
      <w:r>
        <w:rPr>
          <w:lang w:val="en_US" w:bidi="en_US"/>
        </w:rPr>
        <w:t>more</w:t>
      </w:r>
      <w:r>
        <w:rPr>
          <w:lang w:val="en_US" w:bidi="en_US"/>
        </w:rPr>
        <w:t xml:space="preserve"> people to do this work.</w:t>
      </w:r>
    </w:p>
    <w:p>
      <w:pPr/>
      <w:r>
        <w:rPr>
          <w:lang w:val="en_US" w:bidi="en_US"/>
        </w:rPr>
      </w:r>
      <w:r>
        <w:rPr>
          <w:b/>
          <w:lang w:val="en_US" w:bidi="en_US"/>
        </w:rPr>
        <w:t>Ask:</w:t>
      </w:r>
      <w:r>
        <w:rPr>
          <w:lang w:val="en_US" w:bidi="en_US"/>
        </w:rPr>
        <w:t xml:space="preserve"> The Greek word that the BSB translates as </w:t>
      </w:r>
      <w:r>
        <w:rPr>
          <w:i/>
          <w:lang w:val="en_US" w:bidi="en_US"/>
        </w:rPr>
        <w:t>Ask</w:t>
      </w:r>
      <w:r>
        <w:rPr>
          <w:lang w:val="en_US" w:bidi="en_US"/>
        </w:rPr>
        <w:t xml:space="preserve"> means to ask urgently or plead. In this context it can also mean to pray. You may use a word that is appropriate for pleading with a literal human owner of the harvest or for praying to God, the figurative owner. For example:</w:t>
      </w:r>
    </w:p>
    <w:p>
      <w:pPr/>
      <w:r>
        <w:rPr>
          <w:lang w:val="en_US" w:bidi="en_US"/>
        </w:rPr>
      </w:r>
      <w:r>
        <w:rPr>
          <w:lang w:val="en_US" w:bidi="en_US"/>
        </w:rPr>
        <w:t>beseech (NASB)</w:t>
      </w:r>
    </w:p>
    <w:p>
      <w:pPr/>
      <w:r>
        <w:rPr>
          <w:lang w:val="en_US" w:bidi="en_US"/>
        </w:rPr>
      </w:r>
      <w:r>
        <w:rPr>
          <w:lang w:val="en_US" w:bidi="en_US"/>
        </w:rPr>
        <w:t>pray to (NLT)</w:t>
      </w:r>
    </w:p>
    <w:p>
      <w:pPr/>
      <w:r>
        <w:rPr>
          <w:lang w:val="en_US" w:bidi="en_US"/>
        </w:rPr>
      </w:r>
      <w:r>
        <w:rPr>
          <w:b/>
          <w:lang w:val="en_US" w:bidi="en_US"/>
        </w:rPr>
        <w:t>the Lord of the harvest:</w:t>
      </w:r>
      <w:r>
        <w:rPr>
          <w:lang w:val="en_US" w:bidi="en_US"/>
        </w:rPr>
        <w:t xml:space="preserve"> The Greek phrase that the BSB translates as </w:t>
      </w:r>
      <w:r>
        <w:rPr>
          <w:i/>
          <w:lang w:val="en_US" w:bidi="en_US"/>
        </w:rPr>
        <w:t>the Lord</w:t>
      </w:r>
      <w:r>
        <w:rPr>
          <w:lang w:val="en_US" w:bidi="en_US"/>
        </w:rPr>
        <w:t xml:space="preserve"> was used in 10:1a to refer to Jesus. Here it has both a literal and a figurative meaning. In the illustration it refers literally to the owner of a field. He is the one who gets workers to come and harvest the crop. Figuratively, it refers to God. It does not refer here to Jesus. The Greek word meaning “owner” or “master” was the same word that the Jews used for God. That is why the BSB translates it as </w:t>
      </w:r>
      <w:r>
        <w:rPr>
          <w:i/>
          <w:lang w:val="en_US" w:bidi="en_US"/>
        </w:rPr>
        <w:t>Lord</w:t>
      </w:r>
      <w:r>
        <w:rPr>
          <w:lang w:val="en_US" w:bidi="en_US"/>
        </w:rPr>
        <w:t>.</w:t>
      </w:r>
    </w:p>
    <w:p>
      <w:pPr/>
      <w:r>
        <w:rPr>
          <w:lang w:val="en_US" w:bidi="en_US"/>
        </w:rPr>
      </w:r>
      <w:r>
        <w:rPr>
          <w:lang w:val="en_US" w:bidi="en_US"/>
        </w:rPr>
        <w:t>In some languages you may be able to use a word that could refer to both a master/owner or to God. For example:</w:t>
      </w:r>
    </w:p>
    <w:p>
      <w:pPr/>
      <w:r>
        <w:rPr>
          <w:lang w:val="en_US" w:bidi="en_US"/>
        </w:rPr>
      </w:r>
      <w:r>
        <w:rPr>
          <w:lang w:val="en_US" w:bidi="en_US"/>
        </w:rPr>
        <w:t>the owner of the harvest (GNT)</w:t>
      </w:r>
    </w:p>
    <w:p>
      <w:pPr/>
      <w:r>
        <w:rPr>
          <w:lang w:val="en_US" w:bidi="en_US"/>
        </w:rPr>
      </w:r>
      <w:r>
        <w:rPr>
          <w:lang w:val="en_US" w:bidi="en_US"/>
        </w:rPr>
        <w:t>the master who is in charge of the harvest</w:t>
      </w:r>
    </w:p>
    <w:p>
      <w:pPr/>
      <w:r>
        <w:rPr>
          <w:lang w:val="en_US" w:bidi="en_US"/>
        </w:rPr>
      </w:r>
      <w:r>
        <w:rPr>
          <w:lang w:val="en_US" w:bidi="en_US"/>
        </w:rPr>
        <w:t>In other languages it may be more appropriate to refer specifically to God. For example:</w:t>
      </w:r>
    </w:p>
    <w:p>
      <w:pPr/>
      <w:r>
        <w:rPr>
          <w:lang w:val="en_US" w:bidi="en_US"/>
        </w:rPr>
      </w:r>
      <w:r>
        <w:rPr>
          <w:lang w:val="en_US" w:bidi="en_US"/>
        </w:rPr>
        <w:t>God, who is</w:t>
      </w:r>
      <w:r>
        <w:rPr>
          <w:lang w:val="en_US" w:bidi="en_US"/>
        </w:rPr>
        <w:t xml:space="preserve"> the Lord of the harvest</w:t>
      </w:r>
    </w:p>
    <w:p>
      <w:pPr/>
      <w:r>
        <w:rPr>
          <w:lang w:val="en_US" w:bidi="en_US"/>
        </w:rPr>
      </w:r>
      <w:r>
        <w:rPr>
          <w:lang w:val="en_US" w:bidi="en_US"/>
        </w:rPr>
        <w:t>God, who owns the harvest (NCV)</w:t>
      </w:r>
    </w:p>
    <w:p>
      <w:pPr/>
      <w:r>
        <w:rPr>
          <w:lang w:val="en_US" w:bidi="en_US"/>
        </w:rPr>
      </w:r>
      <w:r>
        <w:rPr>
          <w:b/>
          <w:lang w:val="en_US" w:bidi="en_US"/>
        </w:rPr>
        <w:t>therefore:</w:t>
      </w:r>
      <w:r>
        <w:rPr>
          <w:lang w:val="en_US" w:bidi="en_US"/>
        </w:rPr>
        <w:t xml:space="preserve"> The Greek conjunction that the BSB translates as </w:t>
      </w:r>
      <w:r>
        <w:rPr>
          <w:i/>
          <w:lang w:val="en_US" w:bidi="en_US"/>
        </w:rPr>
        <w:t>therefore</w:t>
      </w:r>
      <w:r>
        <w:rPr>
          <w:lang w:val="en_US" w:bidi="en_US"/>
        </w:rPr>
        <w:t xml:space="preserve"> introduces 10:2b as the logical conclusion of 10:2a. The BSB has placed this word in the middle of the sentence. In some languages it may be more natural to place it at the beginning of 10:2b. For example:</w:t>
      </w:r>
    </w:p>
    <w:p>
      <w:pPr/>
      <w:r>
        <w:rPr>
          <w:lang w:val="en_US" w:bidi="en_US"/>
        </w:rPr>
      </w:r>
      <w:r>
        <w:rPr>
          <w:lang w:val="en_US" w:bidi="en_US"/>
        </w:rPr>
        <w:t>therefore ask… (NRSV)</w:t>
      </w:r>
    </w:p>
    <w:p>
      <w:pPr/>
      <w:r>
        <w:rPr>
          <w:lang w:val="en_US" w:bidi="en_US"/>
        </w:rPr>
      </w:r>
      <w:r>
        <w:rPr>
          <w:b/>
          <w:lang w:val="en_US" w:bidi="en_US"/>
        </w:rPr>
        <w:t>to send out workers into His harvest:</w:t>
      </w:r>
      <w:r>
        <w:rPr>
          <w:lang w:val="en_US" w:bidi="en_US"/>
        </w:rPr>
        <w:t xml:space="preserve"> In this context the word </w:t>
      </w:r>
      <w:r>
        <w:rPr>
          <w:i/>
          <w:lang w:val="en_US" w:bidi="en_US"/>
        </w:rPr>
        <w:t>workers</w:t>
      </w:r>
      <w:r>
        <w:rPr>
          <w:lang w:val="en_US" w:bidi="en_US"/>
        </w:rPr>
        <w:t xml:space="preserve"> implies </w:t>
      </w:r>
      <w:r>
        <w:rPr>
          <w:u w:val="single"/>
          <w:lang w:val="en_US" w:bidi="en_US"/>
        </w:rPr>
        <w:t>more</w:t>
      </w:r>
      <w:r>
        <w:rPr>
          <w:lang w:val="en_US" w:bidi="en_US"/>
        </w:rPr>
        <w:t xml:space="preserve"> workers. The disciples were to ask the field owner to send more people to work in his field to harvest the crop. Some other ways to express this request are:</w:t>
      </w:r>
    </w:p>
    <w:p>
      <w:pPr/>
      <w:r>
        <w:rPr>
          <w:lang w:val="en_US" w:bidi="en_US"/>
        </w:rPr>
      </w:r>
      <w:r>
        <w:rPr>
          <w:lang w:val="en_US" w:bidi="en_US"/>
        </w:rPr>
        <w:t>that he will send more workers to help gather his harvest (NCV)</w:t>
      </w:r>
    </w:p>
    <w:p>
      <w:pPr/>
      <w:r>
        <w:rPr>
          <w:lang w:val="en_US" w:bidi="en_US"/>
        </w:rPr>
      </w:r>
      <w:r>
        <w:rPr>
          <w:lang w:val="en_US" w:bidi="en_US"/>
        </w:rPr>
        <w:t>to send more workers into his fields (NLT)</w:t>
      </w:r>
    </w:p>
    <w:p>
      <w:pPr/>
      <w:r>
        <w:rPr>
          <w:lang w:val="en_US" w:bidi="en_US"/>
        </w:rPr>
      </w:r>
      <w:r>
        <w:rPr>
          <w:lang w:val="en_US" w:bidi="en_US"/>
        </w:rPr>
        <w:t xml:space="preserve">Here </w:t>
      </w:r>
      <w:r>
        <w:rPr>
          <w:i/>
          <w:lang w:val="en_US" w:bidi="en_US"/>
        </w:rPr>
        <w:t>His harvest</w:t>
      </w:r>
      <w:r>
        <w:rPr>
          <w:lang w:val="en_US" w:bidi="en_US"/>
        </w:rPr>
        <w:t xml:space="preserve"> is a metaphor that refers to the many people in the world who had not heard Jesus’ message. In many languages it will be possible to keep this figure of speech. However, if it gives the wrong meaning in your language, you may translate the meaning without using a figure of speech. For example:</w:t>
      </w:r>
    </w:p>
    <w:p>
      <w:pPr/>
      <w:r>
        <w:rPr>
          <w:lang w:val="en_US" w:bidi="en_US"/>
        </w:rPr>
      </w:r>
      <w:r>
        <w:rPr>
          <w:lang w:val="en_US" w:bidi="en_US"/>
        </w:rPr>
        <w:t xml:space="preserve">So pray to God, </w:t>
      </w:r>
      <w:r>
        <w:rPr>
          <w:lang w:val="en_US" w:bidi="en_US"/>
        </w:rPr>
        <w:t>who has been making these people ready to believe</w:t>
      </w:r>
      <w:r>
        <w:rPr>
          <w:lang w:val="en_US" w:bidi="en_US"/>
        </w:rPr>
        <w:t xml:space="preserve">. Ask him to send more </w:t>
      </w:r>
      <w:r>
        <w:rPr>
          <w:lang w:val="en_US" w:bidi="en_US"/>
        </w:rPr>
        <w:t>disciples</w:t>
      </w:r>
      <w:r>
        <w:rPr>
          <w:lang w:val="en_US" w:bidi="en_US"/>
        </w:rPr>
        <w:t xml:space="preserve"> </w:t>
      </w:r>
      <w:r>
        <w:rPr>
          <w:lang w:val="en_US" w:bidi="en_US"/>
        </w:rPr>
        <w:t>to help people to come to me</w:t>
      </w:r>
      <w:r>
        <w:rPr>
          <w:lang w:val="en_US" w:bidi="en_US"/>
        </w:rPr>
        <w:t>.</w:t>
      </w:r>
      <w:r>
        <w:rPr>
          <w:lang w:val="en_US" w:bidi="en_US"/>
        </w:rPr>
      </w:r>
      <w:r>
        <w:rPr>
          <w:lang w:val="en_US" w:bidi="en_US"/>
        </w:rPr>
      </w:r>
    </w:p>
    <w:p>
      <w:pPr/>
      <w:r>
        <w:rPr>
          <w:lang w:val="en_US" w:bidi="en_US"/>
        </w:rPr>
      </w:r>
    </w:p>
    <w:p>
      <w:pPr>
        <w:pStyle w:val="Heading2"/>
      </w:pPr>
      <w:r>
        <w:rPr>
          <w:lang w:val="en_US" w:bidi="en_US"/>
        </w:rPr>
        <w:t>Luke 10:3</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5"/>
      </w:pPr>
      <w:r>
        <w:rPr>
          <w:lang w:val="en_US" w:bidi="en_US"/>
        </w:rPr>
        <w:t>10:3</w:t>
      </w:r>
    </w:p>
    <w:p>
      <w:pPr/>
      <w:r>
        <w:rPr>
          <w:lang w:val="en_US" w:bidi="en_US"/>
        </w:rPr>
      </w:r>
      <w:r>
        <w:rPr>
          <w:b/>
          <w:lang w:val="en_US" w:bidi="en_US"/>
        </w:rPr>
        <w:t>Go! I am sending you out like lambs among wolves:</w:t>
      </w:r>
      <w:r>
        <w:rPr>
          <w:lang w:val="en_US" w:bidi="en_US"/>
        </w:rPr>
        <w:t xml:space="preserve"> This statement indicates that Jesus was sending his disciples to places where some of the people would oppose them.</w:t>
      </w:r>
    </w:p>
    <w:p>
      <w:pPr>
        <w:pStyle w:val="Heading5"/>
      </w:pPr>
      <w:r>
        <w:rPr>
          <w:lang w:val="en_US" w:bidi="en_US"/>
        </w:rPr>
        <w:t>10:3a</w:t>
      </w:r>
    </w:p>
    <w:p>
      <w:pPr/>
      <w:r>
        <w:rPr>
          <w:lang w:val="en_US" w:bidi="en_US"/>
        </w:rPr>
      </w:r>
      <w:r>
        <w:rPr>
          <w:b/>
          <w:lang w:val="en_US" w:bidi="en_US"/>
        </w:rPr>
        <w:t>Go! I am sending you out</w:t>
      </w:r>
    </w:p>
    <w:p>
      <w:pPr>
        <w:pStyle w:val="ListBullet"/>
        <w:spacing w:line="240" w:lineRule="auto"/>
        <w:ind w:left="720"/>
      </w:pPr>
      <w:r>
        <w:rPr>
          <w:lang w:val="en_US" w:bidi="en_US"/>
        </w:rPr>
      </w:r>
      <w:r>
        <w:rPr>
          <w:lang w:val="en_US" w:bidi="en_US"/>
        </w:rPr>
        <w:t>Go! I am sending you</w:t>
      </w:r>
      <w:r>
        <w:rPr>
          <w:vertAlign w:val="superscript"/>
          <w:lang w:val="en_US" w:bidi="en_US"/>
        </w:rPr>
        <w:t>(plur)</w:t>
      </w:r>
      <w:r>
        <w:rPr>
          <w:lang w:val="en_US" w:bidi="en_US"/>
        </w:rPr>
        <w:t xml:space="preserve"> </w:t>
      </w:r>
      <w:r>
        <w:rPr>
          <w:lang w:val="en_US" w:bidi="en_US"/>
        </w:rPr>
        <w:t>to the people</w:t>
      </w:r>
      <w:r>
        <w:rPr>
          <w:lang w:val="en_US" w:bidi="en_US"/>
        </w:rPr>
        <w:t xml:space="preserve">. </w:t>
      </w:r>
      <w:r>
        <w:rPr>
          <w:lang w:val="en_US" w:bidi="en_US"/>
        </w:rPr>
        <w:t>But be careful.</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may go now, but be aware of this: When I send you,</w:t>
      </w:r>
    </w:p>
    <w:p>
      <w:pPr/>
      <w:r>
        <w:rPr>
          <w:lang w:val="en_US" w:bidi="en_US"/>
        </w:rPr>
      </w:r>
      <w:r>
        <w:rPr>
          <w:b/>
          <w:lang w:val="en_US" w:bidi="en_US"/>
        </w:rPr>
        <w:t>Go!:</w:t>
      </w:r>
      <w:r>
        <w:rPr>
          <w:lang w:val="en_US" w:bidi="en_US"/>
        </w:rPr>
        <w:t xml:space="preserve"> If the command </w:t>
      </w:r>
      <w:r>
        <w:rPr>
          <w:i/>
          <w:lang w:val="en_US" w:bidi="en_US"/>
        </w:rPr>
        <w:t>Go!</w:t>
      </w:r>
      <w:r>
        <w:rPr>
          <w:lang w:val="en_US" w:bidi="en_US"/>
        </w:rPr>
        <w:t xml:space="preserve"> sounds too abrupt, you may wish to use a more gentle expression. For example:</w:t>
      </w:r>
    </w:p>
    <w:p>
      <w:pPr/>
      <w:r>
        <w:rPr>
          <w:lang w:val="en_US" w:bidi="en_US"/>
        </w:rPr>
      </w:r>
      <w:r>
        <w:rPr>
          <w:lang w:val="en_US" w:bidi="en_US"/>
        </w:rPr>
        <w:t>Be on your way… (REB)</w:t>
      </w:r>
    </w:p>
    <w:p>
      <w:pPr/>
      <w:r>
        <w:rPr>
          <w:lang w:val="en_US" w:bidi="en_US"/>
        </w:rPr>
      </w:r>
      <w:r>
        <w:rPr>
          <w:lang w:val="en_US" w:bidi="en_US"/>
        </w:rPr>
        <w:t>It’s time to</w:t>
      </w:r>
      <w:r>
        <w:rPr>
          <w:lang w:val="en_US" w:bidi="en_US"/>
        </w:rPr>
        <w:t xml:space="preserve"> go </w:t>
      </w:r>
      <w:r>
        <w:rPr>
          <w:lang w:val="en_US" w:bidi="en_US"/>
        </w:rPr>
        <w:t>now</w:t>
      </w:r>
      <w:r>
        <w:rPr>
          <w:lang w:val="en_US" w:bidi="en_US"/>
        </w:rPr>
        <w:t xml:space="preserve"> (TRT)</w:t>
      </w:r>
    </w:p>
    <w:p>
      <w:pPr/>
      <w:r>
        <w:rPr>
          <w:lang w:val="en_US" w:bidi="en_US"/>
        </w:rPr>
      </w:r>
      <w:r>
        <w:rPr>
          <w:lang w:val="en_US" w:bidi="en_US"/>
        </w:rPr>
        <w:t>In the Greek text, the next clause begins with a word that many English versions translate as “behold.” The BSB and some other English versions do not translate this word. The word is used here to introduce something surprising or unexpected. Some other ways to translate this word are:</w:t>
      </w:r>
    </w:p>
    <w:p>
      <w:pPr/>
      <w:r>
        <w:rPr>
          <w:lang w:val="en_US" w:bidi="en_US"/>
        </w:rPr>
      </w:r>
      <w:r>
        <w:rPr>
          <w:lang w:val="en_US" w:bidi="en_US"/>
        </w:rPr>
        <w:t xml:space="preserve">Go now, but </w:t>
      </w:r>
      <w:r>
        <w:rPr>
          <w:u w:val="single"/>
          <w:lang w:val="en_US" w:bidi="en_US"/>
        </w:rPr>
        <w:t>listen</w:t>
      </w:r>
      <w:r>
        <w:rPr>
          <w:lang w:val="en_US" w:bidi="en_US"/>
        </w:rPr>
        <w:t>! (NCV)</w:t>
      </w:r>
    </w:p>
    <w:p>
      <w:pPr/>
      <w:r>
        <w:rPr>
          <w:lang w:val="en_US" w:bidi="en_US"/>
        </w:rPr>
      </w:r>
      <w:r>
        <w:rPr>
          <w:lang w:val="en_US" w:bidi="en_US"/>
        </w:rPr>
        <w:t xml:space="preserve">Now go, but </w:t>
      </w:r>
      <w:r>
        <w:rPr>
          <w:u w:val="single"/>
          <w:lang w:val="en_US" w:bidi="en_US"/>
        </w:rPr>
        <w:t>remember</w:t>
      </w:r>
      <w:r>
        <w:rPr>
          <w:lang w:val="en_US" w:bidi="en_US"/>
        </w:rPr>
        <w:t xml:space="preserve"> (CEV)</w:t>
      </w:r>
    </w:p>
    <w:p>
      <w:pPr/>
      <w:r>
        <w:rPr>
          <w:lang w:val="en_US" w:bidi="en_US"/>
        </w:rPr>
      </w:r>
      <w:r>
        <w:rPr>
          <w:lang w:val="en_US" w:bidi="en_US"/>
        </w:rPr>
        <w:t>In some languages there are special expressions or verb prefixes that have this meaning. If you have something like this in your language, you may be able to use it here.</w:t>
      </w:r>
    </w:p>
    <w:p>
      <w:pPr/>
      <w:r>
        <w:rPr>
          <w:lang w:val="en_US" w:bidi="en_US"/>
        </w:rPr>
      </w:r>
      <w:r>
        <w:rPr>
          <w:lang w:val="en_US" w:bidi="en_US"/>
        </w:rPr>
        <w:t>In some languages it may be more natural to translate “behold” in a different place in the verse. For example:</w:t>
      </w:r>
    </w:p>
    <w:p>
      <w:pPr/>
      <w:r>
        <w:rPr>
          <w:lang w:val="en_US" w:bidi="en_US"/>
        </w:rPr>
      </w:r>
      <w:r>
        <w:rPr>
          <w:lang w:val="en_US" w:bidi="en_US"/>
        </w:rPr>
        <w:t xml:space="preserve">Go! I am sending you. But </w:t>
      </w:r>
      <w:r>
        <w:rPr>
          <w:u w:val="single"/>
          <w:lang w:val="en_US" w:bidi="en_US"/>
        </w:rPr>
        <w:t>remember</w:t>
      </w:r>
      <w:r>
        <w:rPr>
          <w:lang w:val="en_US" w:bidi="en_US"/>
        </w:rPr>
        <w:t>, you will be like lambs that are among wolves.</w:t>
      </w:r>
    </w:p>
    <w:p>
      <w:pPr/>
      <w:r>
        <w:rPr>
          <w:lang w:val="en_US" w:bidi="en_US"/>
        </w:rPr>
      </w:r>
      <w:r>
        <w:rPr>
          <w:b/>
          <w:lang w:val="en_US" w:bidi="en_US"/>
        </w:rPr>
        <w:t>I am sending you out:</w:t>
      </w:r>
      <w:r>
        <w:rPr>
          <w:lang w:val="en_US" w:bidi="en_US"/>
        </w:rPr>
        <w:t xml:space="preserve"> The Greek verb that the BSB translates as </w:t>
      </w:r>
      <w:r>
        <w:rPr>
          <w:i/>
          <w:lang w:val="en_US" w:bidi="en_US"/>
        </w:rPr>
        <w:t>am sending…out</w:t>
      </w:r>
      <w:r>
        <w:rPr>
          <w:lang w:val="en_US" w:bidi="en_US"/>
        </w:rPr>
        <w:t xml:space="preserve"> is literally “send.” The word “apostle” is a different form of the same Greek word. There is no need to translate the word </w:t>
      </w:r>
      <w:r>
        <w:rPr>
          <w:i/>
          <w:lang w:val="en_US" w:bidi="en_US"/>
        </w:rPr>
        <w:t>out</w:t>
      </w:r>
      <w:r>
        <w:rPr>
          <w:lang w:val="en_US" w:bidi="en_US"/>
        </w:rPr>
        <w:t xml:space="preserve"> unless it is natural in your language. For example:</w:t>
      </w:r>
    </w:p>
    <w:p>
      <w:pPr/>
      <w:r>
        <w:rPr>
          <w:lang w:val="en_US" w:bidi="en_US"/>
        </w:rPr>
      </w:r>
      <w:r>
        <w:rPr>
          <w:lang w:val="en_US" w:bidi="en_US"/>
        </w:rPr>
        <w:t>am sending you (CEV)</w:t>
      </w:r>
    </w:p>
    <w:p>
      <w:pPr>
        <w:pStyle w:val="Heading5"/>
      </w:pPr>
      <w:r>
        <w:rPr>
          <w:lang w:val="en_US" w:bidi="en_US"/>
        </w:rPr>
        <w:t>10:3b</w:t>
      </w:r>
    </w:p>
    <w:p>
      <w:pPr/>
      <w:r>
        <w:rPr>
          <w:lang w:val="en_US" w:bidi="en_US"/>
        </w:rPr>
      </w:r>
      <w:r>
        <w:rPr>
          <w:b/>
          <w:lang w:val="en_US" w:bidi="en_US"/>
        </w:rPr>
        <w:t>like lambs among wolves.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be like young sheep among wolves.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face danger like a helpless small animal that is in a place where there are dangerous animals/enemies.</w:t>
      </w:r>
    </w:p>
    <w:p>
      <w:pPr/>
      <w:r>
        <w:rPr>
          <w:lang w:val="en_US" w:bidi="en_US"/>
        </w:rPr>
      </w:r>
      <w:r>
        <w:rPr>
          <w:b/>
          <w:lang w:val="en_US" w:bidi="en_US"/>
        </w:rPr>
        <w:t>like lambs among wolves:</w:t>
      </w:r>
      <w:r>
        <w:rPr>
          <w:lang w:val="en_US" w:bidi="en_US"/>
        </w:rPr>
        <w:t xml:space="preserve"> This is a simile. It compares the disciples to lambs in an area where there are wolves. The disciples were going to towns where some people would strongly oppose them and want to harm them.</w:t>
      </w:r>
    </w:p>
    <w:p>
      <w:pPr/>
      <w:r>
        <w:rPr>
          <w:lang w:val="en_US" w:bidi="en_US"/>
        </w:rPr>
      </w:r>
      <w:r>
        <w:rPr>
          <w:lang w:val="en_US" w:bidi="en_US"/>
        </w:rPr>
        <w:t>The disciples were similar to lambs because they would be helpless and unable to defend themselves. Their opponents were similar to wolves because they were dangerous and vicious.</w:t>
      </w:r>
    </w:p>
    <w:p>
      <w:pPr/>
      <w:r>
        <w:rPr>
          <w:lang w:val="en_US" w:bidi="en_US"/>
        </w:rPr>
      </w:r>
      <w:r>
        <w:rPr>
          <w:lang w:val="en_US" w:bidi="en_US"/>
        </w:rPr>
        <w:t>If the point of the comparison is not clear, it may be necessary to make some of the implied meaning explicit. For example:</w:t>
      </w:r>
    </w:p>
    <w:p>
      <w:pPr/>
      <w:r>
        <w:rPr>
          <w:lang w:val="en_US" w:bidi="en_US"/>
        </w:rPr>
      </w:r>
      <w:r>
        <w:rPr>
          <w:lang w:val="en_US" w:bidi="en_US"/>
        </w:rPr>
        <w:t>you will face danger</w:t>
      </w:r>
      <w:r>
        <w:rPr>
          <w:lang w:val="en_US" w:bidi="en_US"/>
        </w:rPr>
        <w:t xml:space="preserve"> like lambs among wolves</w:t>
      </w:r>
    </w:p>
    <w:p>
      <w:pPr/>
      <w:r>
        <w:rPr>
          <w:lang w:val="en_US" w:bidi="en_US"/>
        </w:rPr>
      </w:r>
      <w:r>
        <w:rPr>
          <w:lang w:val="en_US" w:bidi="en_US"/>
        </w:rPr>
        <w:t xml:space="preserve">like </w:t>
      </w:r>
      <w:r>
        <w:rPr>
          <w:lang w:val="en_US" w:bidi="en_US"/>
        </w:rPr>
        <w:t>helpless</w:t>
      </w:r>
      <w:r>
        <w:rPr>
          <w:lang w:val="en_US" w:bidi="en_US"/>
        </w:rPr>
        <w:t xml:space="preserve"> lambs in an area where there are </w:t>
      </w:r>
      <w:r>
        <w:rPr>
          <w:lang w:val="en_US" w:bidi="en_US"/>
        </w:rPr>
        <w:t>dangerous</w:t>
      </w:r>
      <w:r>
        <w:rPr>
          <w:lang w:val="en_US" w:bidi="en_US"/>
        </w:rPr>
        <w:t xml:space="preserve"> wolves</w:t>
      </w:r>
    </w:p>
    <w:p>
      <w:pPr/>
      <w:r>
        <w:rPr>
          <w:lang w:val="en_US" w:bidi="en_US"/>
        </w:rPr>
      </w:r>
      <w:r>
        <w:rPr>
          <w:b/>
          <w:lang w:val="en_US" w:bidi="en_US"/>
        </w:rPr>
        <w:t>lambs:</w:t>
      </w:r>
      <w:r>
        <w:rPr>
          <w:lang w:val="en_US" w:bidi="en_US"/>
        </w:rPr>
        <w:t xml:space="preserve"> The word </w:t>
      </w:r>
      <w:r>
        <w:rPr>
          <w:i/>
          <w:lang w:val="en_US" w:bidi="en_US"/>
        </w:rPr>
        <w:t>lambs</w:t>
      </w:r>
      <w:r>
        <w:rPr>
          <w:lang w:val="en_US" w:bidi="en_US"/>
        </w:rPr>
        <w:t xml:space="preserve"> refers here to young sheep. In areas where people are not familiar with lambs, you may:</w:t>
      </w:r>
    </w:p>
    <w:p>
      <w:pPr>
        <w:pStyle w:val="ListBullet"/>
        <w:spacing w:line="240" w:lineRule="auto"/>
        <w:ind w:left="720"/>
      </w:pPr>
      <w:r>
        <w:rPr>
          <w:lang w:val="en_US" w:bidi="en_US"/>
        </w:rPr>
      </w:r>
      <w:r>
        <w:rPr>
          <w:lang w:val="en_US" w:bidi="en_US"/>
        </w:rPr>
        <w:t>Use a more general expression, with or without the implied point of similarity. For example:</w:t>
      </w:r>
      <w:r>
        <w:rPr>
          <w:lang w:val="en_US" w:bidi="en_US"/>
        </w:rPr>
        <w:t xml:space="preserve">a young animal </w:t>
      </w:r>
      <w:r>
        <w:rPr>
          <w:lang w:val="en_US" w:bidi="en_US"/>
        </w:rPr>
        <w:t>that cannot defend itself</w:t>
      </w:r>
    </w:p>
    <w:p>
      <w:pPr>
        <w:pStyle w:val="ListBullet"/>
        <w:spacing w:line="240" w:lineRule="auto"/>
        <w:ind w:left="720"/>
      </w:pPr>
      <w:r>
        <w:rPr>
          <w:lang w:val="en_US" w:bidi="en_US"/>
        </w:rPr>
      </w:r>
      <w:r>
        <w:rPr>
          <w:lang w:val="en_US" w:bidi="en_US"/>
        </w:rPr>
        <w:t>Use a term for another young animal that people in your culture consider to be helpless. Choose an animal that is as similar to a lamb as possible.</w:t>
      </w:r>
    </w:p>
    <w:p>
      <w:pPr/>
      <w:r>
        <w:rPr>
          <w:lang w:val="en_US" w:bidi="en_US"/>
        </w:rPr>
      </w:r>
      <w:r>
        <w:rPr>
          <w:lang w:val="en_US" w:bidi="en_US"/>
        </w:rPr>
        <w:t>Translate this in the way that is most natural in your language.</w:t>
      </w:r>
    </w:p>
    <w:p>
      <w:pPr/>
      <w:r>
        <w:rPr>
          <w:lang w:val="en_US" w:bidi="en_US"/>
        </w:rPr>
      </w:r>
      <w:r>
        <w:rPr>
          <w:b/>
          <w:lang w:val="en_US" w:bidi="en_US"/>
        </w:rPr>
        <w:t>wolves:</w:t>
      </w:r>
      <w:r>
        <w:rPr>
          <w:lang w:val="en_US" w:bidi="en_US"/>
        </w:rPr>
        <w:t xml:space="preserve"> The term </w:t>
      </w:r>
      <w:r>
        <w:rPr>
          <w:i/>
          <w:lang w:val="en_US" w:bidi="en_US"/>
        </w:rPr>
        <w:t>wolves</w:t>
      </w:r>
      <w:r>
        <w:rPr>
          <w:lang w:val="en_US" w:bidi="en_US"/>
        </w:rPr>
        <w:t xml:space="preserve"> describes animals that are like wild dogs. They often attack and eat smaller animals such as lambs. If you do not have wolves in your area, you may:</w:t>
      </w:r>
    </w:p>
    <w:p>
      <w:pPr>
        <w:pStyle w:val="ListBullet"/>
        <w:spacing w:line="240" w:lineRule="auto"/>
        <w:ind w:left="720"/>
      </w:pPr>
      <w:r>
        <w:rPr>
          <w:lang w:val="en_US" w:bidi="en_US"/>
        </w:rPr>
      </w:r>
      <w:r>
        <w:rPr>
          <w:lang w:val="en_US" w:bidi="en_US"/>
        </w:rPr>
        <w:t>Use a general expression for a dangerous animal. For example:</w:t>
      </w:r>
      <w:r>
        <w:rPr>
          <w:lang w:val="en_US" w:bidi="en_US"/>
        </w:rPr>
        <w:t>a fierce/wild animal</w:t>
      </w:r>
    </w:p>
    <w:p>
      <w:pPr>
        <w:pStyle w:val="ListBullet"/>
        <w:spacing w:line="240" w:lineRule="auto"/>
        <w:ind w:left="720"/>
      </w:pPr>
      <w:r>
        <w:rPr>
          <w:lang w:val="en_US" w:bidi="en_US"/>
        </w:rPr>
      </w:r>
      <w:r>
        <w:rPr>
          <w:lang w:val="en_US" w:bidi="en_US"/>
        </w:rPr>
        <w:t>Use a term in your culture for a similar fierce animal or predator. For example:</w:t>
      </w:r>
      <w:r>
        <w:rPr>
          <w:lang w:val="en_US" w:bidi="en_US"/>
        </w:rPr>
        <w:t>wild dogs</w:t>
      </w:r>
    </w:p>
    <w:p>
      <w:pPr/>
      <w:r>
        <w:rPr>
          <w:lang w:val="en_US" w:bidi="en_US"/>
        </w:rPr>
      </w:r>
      <w:r>
        <w:rPr>
          <w:lang w:val="en_US" w:bidi="en_US"/>
        </w:rPr>
        <w:t>Translate this in the way that is most natural in your language.</w:t>
      </w:r>
      <w:r>
        <w:rPr>
          <w:lang w:val="en_US" w:bidi="en_US"/>
        </w:rPr>
      </w:r>
      <w:r>
        <w:rPr>
          <w:lang w:val="en_US" w:bidi="en_US"/>
        </w:rPr>
      </w:r>
    </w:p>
    <w:p>
      <w:pPr/>
      <w:r>
        <w:rPr>
          <w:lang w:val="en_US" w:bidi="en_US"/>
        </w:rPr>
      </w:r>
    </w:p>
    <w:p>
      <w:pPr>
        <w:pStyle w:val="Heading2"/>
      </w:pPr>
      <w:r>
        <w:rPr>
          <w:lang w:val="en_US" w:bidi="en_US"/>
        </w:rPr>
        <w:t>Luke 10:4</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5"/>
      </w:pPr>
      <w:r>
        <w:rPr>
          <w:lang w:val="en_US" w:bidi="en_US"/>
        </w:rPr>
        <w:t>10:4a</w:t>
      </w:r>
    </w:p>
    <w:p>
      <w:pPr/>
      <w:r>
        <w:rPr>
          <w:lang w:val="en_US" w:bidi="en_US"/>
        </w:rPr>
      </w:r>
      <w:r>
        <w:rPr>
          <w:b/>
          <w:lang w:val="en_US" w:bidi="en_US"/>
        </w:rPr>
        <w:t>Carry no purse or bag or sandals.</w:t>
      </w:r>
    </w:p>
    <w:p>
      <w:pPr>
        <w:pStyle w:val="ListBullet"/>
        <w:spacing w:line="240" w:lineRule="auto"/>
        <w:ind w:left="720"/>
      </w:pPr>
      <w:r>
        <w:rPr>
          <w:lang w:val="en_US" w:bidi="en_US"/>
        </w:rPr>
      </w:r>
      <w:r>
        <w:rPr>
          <w:lang w:val="en_US" w:bidi="en_US"/>
        </w:rPr>
        <w:t>Do not take with you</w:t>
      </w:r>
      <w:r>
        <w:rPr>
          <w:vertAlign w:val="superscript"/>
          <w:lang w:val="en_US" w:bidi="en_US"/>
        </w:rPr>
        <w:t>(plur)</w:t>
      </w:r>
      <w:r>
        <w:rPr>
          <w:lang w:val="en_US" w:bidi="en_US"/>
        </w:rPr>
        <w:t xml:space="preserve"> any purse </w:t>
      </w:r>
      <w:r>
        <w:rPr>
          <w:lang w:val="en_US" w:bidi="en_US"/>
        </w:rPr>
        <w:t>for money</w:t>
      </w:r>
      <w:r>
        <w:rPr>
          <w:lang w:val="en_US" w:bidi="en_US"/>
        </w:rPr>
        <w:t xml:space="preserve"> or a </w:t>
      </w:r>
      <w:r>
        <w:rPr>
          <w:lang w:val="en_US" w:bidi="en_US"/>
        </w:rPr>
        <w:t>traveling</w:t>
      </w:r>
      <w:r>
        <w:rPr>
          <w:lang w:val="en_US" w:bidi="en_US"/>
        </w:rPr>
        <w:t xml:space="preserve"> bag or </w:t>
      </w:r>
      <w:r>
        <w:rPr>
          <w:lang w:val="en_US" w:bidi="en_US"/>
        </w:rPr>
        <w:t>extra</w:t>
      </w:r>
      <w:r>
        <w:rPr>
          <w:lang w:val="en_US" w:bidi="en_US"/>
        </w:rPr>
        <w:t xml:space="preserve"> shoes.</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carry a wallet, pack/knapsack, or </w:t>
      </w:r>
      <w:r>
        <w:rPr>
          <w:lang w:val="en_US" w:bidi="en_US"/>
        </w:rPr>
        <w:t>spare</w:t>
      </w:r>
      <w:r>
        <w:rPr>
          <w:lang w:val="en_US" w:bidi="en_US"/>
        </w:rPr>
        <w:t xml:space="preserve"> sandals/thongs.</w:t>
      </w:r>
    </w:p>
    <w:p>
      <w:pPr/>
      <w:r>
        <w:rPr>
          <w:lang w:val="en_US" w:bidi="en_US"/>
        </w:rPr>
      </w:r>
      <w:r>
        <w:rPr>
          <w:b/>
          <w:lang w:val="en_US" w:bidi="en_US"/>
        </w:rPr>
        <w:t>Carry no purse or bag or sandals:</w:t>
      </w:r>
      <w:r>
        <w:rPr>
          <w:lang w:val="en_US" w:bidi="en_US"/>
        </w:rPr>
        <w:t xml:space="preserve"> The Greek word that the BSB translates literally as </w:t>
      </w:r>
      <w:r>
        <w:rPr>
          <w:i/>
          <w:lang w:val="en_US" w:bidi="en_US"/>
        </w:rPr>
        <w:t>Carry</w:t>
      </w:r>
      <w:r>
        <w:rPr>
          <w:lang w:val="en_US" w:bidi="en_US"/>
        </w:rPr>
        <w:t xml:space="preserve"> indicates that Jesus did not want the disciples to take along or bring extra items with them.</w:t>
      </w:r>
    </w:p>
    <w:p>
      <w:pPr/>
      <w:r>
        <w:rPr>
          <w:lang w:val="en_US" w:bidi="en_US"/>
        </w:rPr>
      </w:r>
      <w:r>
        <w:rPr>
          <w:b/>
          <w:lang w:val="en_US" w:bidi="en_US"/>
        </w:rPr>
        <w:t>purse:</w:t>
      </w:r>
      <w:r>
        <w:rPr>
          <w:lang w:val="en_US" w:bidi="en_US"/>
        </w:rPr>
        <w:t xml:space="preserve"> The Greek word that the BSB translates as </w:t>
      </w:r>
      <w:r>
        <w:rPr>
          <w:i/>
          <w:lang w:val="en_US" w:bidi="en_US"/>
        </w:rPr>
        <w:t>purse</w:t>
      </w:r>
      <w:r>
        <w:rPr>
          <w:lang w:val="en_US" w:bidi="en_US"/>
        </w:rPr>
        <w:t xml:space="preserve"> refers to a pouch or bag for carrying or collecting money.</w:t>
      </w:r>
    </w:p>
    <w:p>
      <w:pPr/>
      <w:r>
        <w:rPr>
          <w:lang w:val="en_US" w:bidi="en_US"/>
        </w:rPr>
      </w:r>
      <w:r>
        <w:rPr>
          <w:b/>
          <w:lang w:val="en_US" w:bidi="en_US"/>
        </w:rPr>
        <w:t>bag:</w:t>
      </w:r>
      <w:r>
        <w:rPr>
          <w:lang w:val="en_US" w:bidi="en_US"/>
        </w:rPr>
        <w:t xml:space="preserve"> The Greek word that the BSB translates as </w:t>
      </w:r>
      <w:r>
        <w:rPr>
          <w:i/>
          <w:lang w:val="en_US" w:bidi="en_US"/>
        </w:rPr>
        <w:t>bag</w:t>
      </w:r>
      <w:r>
        <w:rPr>
          <w:lang w:val="en_US" w:bidi="en_US"/>
        </w:rPr>
        <w:t xml:space="preserve"> probably refers to a knapsack or traveler’s bag. It could be used for carrying extra food or clothes. See the note on 9:3b. The same word occurs there.</w:t>
      </w:r>
    </w:p>
    <w:p>
      <w:pPr/>
      <w:r>
        <w:rPr>
          <w:lang w:val="en_US" w:bidi="en_US"/>
        </w:rPr>
      </w:r>
      <w:r>
        <w:rPr>
          <w:b/>
          <w:lang w:val="en_US" w:bidi="en_US"/>
        </w:rPr>
        <w:t>sandals:</w:t>
      </w:r>
      <w:r>
        <w:rPr>
          <w:lang w:val="en_US" w:bidi="en_US"/>
        </w:rPr>
        <w:t xml:space="preserve"> The word </w:t>
      </w:r>
      <w:r>
        <w:rPr>
          <w:i/>
          <w:lang w:val="en_US" w:bidi="en_US"/>
        </w:rPr>
        <w:t>sandals</w:t>
      </w:r>
      <w:r>
        <w:rPr>
          <w:lang w:val="en_US" w:bidi="en_US"/>
        </w:rPr>
        <w:t xml:space="preserve"> refers here to open shoes that were tied to a person’s foot with straps. The phrase </w:t>
      </w:r>
      <w:r>
        <w:rPr>
          <w:i/>
          <w:lang w:val="en_US" w:bidi="en_US"/>
        </w:rPr>
        <w:t>Carry no…sandals</w:t>
      </w:r>
      <w:r>
        <w:rPr>
          <w:lang w:val="en_US" w:bidi="en_US"/>
        </w:rPr>
        <w:t xml:space="preserve"> indicates that the disciples should not take along an </w:t>
      </w:r>
      <w:r>
        <w:rPr>
          <w:u w:val="single"/>
          <w:lang w:val="en_US" w:bidi="en_US"/>
        </w:rPr>
        <w:t>extra</w:t>
      </w:r>
      <w:r>
        <w:rPr>
          <w:lang w:val="en_US" w:bidi="en_US"/>
        </w:rPr>
        <w:t xml:space="preserve"> pair of sandals. Jesus did not mean that the disciples could not wear any sandals at all. For example:</w:t>
      </w:r>
    </w:p>
    <w:p>
      <w:pPr/>
      <w:r>
        <w:rPr>
          <w:lang w:val="en_US" w:bidi="en_US"/>
        </w:rPr>
      </w:r>
      <w:r>
        <w:rPr>
          <w:lang w:val="en_US" w:bidi="en_US"/>
        </w:rPr>
        <w:t>an extra pair of sandals (NLT)</w:t>
      </w:r>
    </w:p>
    <w:p>
      <w:pPr/>
      <w:r>
        <w:rPr>
          <w:lang w:val="en_US" w:bidi="en_US"/>
        </w:rPr>
      </w:r>
      <w:r>
        <w:rPr>
          <w:lang w:val="en_US" w:bidi="en_US"/>
        </w:rPr>
        <w:t>If people in your area are not familiar with sandals, you may use a general term for footwear or the term for a similar kind of local footwear. For example:</w:t>
      </w:r>
    </w:p>
    <w:p>
      <w:pPr/>
      <w:r>
        <w:rPr>
          <w:lang w:val="en_US" w:bidi="en_US"/>
        </w:rPr>
      </w:r>
      <w:r>
        <w:rPr>
          <w:lang w:val="en_US" w:bidi="en_US"/>
        </w:rPr>
        <w:t>shoes (GNT)</w:t>
      </w:r>
    </w:p>
    <w:p>
      <w:pPr/>
      <w:r>
        <w:rPr>
          <w:lang w:val="en_US" w:bidi="en_US"/>
        </w:rPr>
      </w:r>
      <w:r>
        <w:rPr>
          <w:lang w:val="en_US" w:bidi="en_US"/>
        </w:rPr>
        <w:t>thongs/flip-flops</w:t>
      </w:r>
    </w:p>
    <w:p>
      <w:pPr>
        <w:pStyle w:val="Heading5"/>
      </w:pPr>
      <w:r>
        <w:rPr>
          <w:lang w:val="en_US" w:bidi="en_US"/>
        </w:rPr>
        <w:t>10:4b</w:t>
      </w:r>
    </w:p>
    <w:p>
      <w:pPr/>
      <w:r>
        <w:rPr>
          <w:lang w:val="en_US" w:bidi="en_US"/>
        </w:rPr>
      </w:r>
      <w:r>
        <w:rPr>
          <w:b/>
          <w:lang w:val="en_US" w:bidi="en_US"/>
        </w:rPr>
        <w:t>Do not greet anyone along the road.</w:t>
      </w:r>
    </w:p>
    <w:p>
      <w:pPr>
        <w:pStyle w:val="ListBullet"/>
        <w:spacing w:line="240" w:lineRule="auto"/>
        <w:ind w:left="720"/>
      </w:pPr>
      <w:r>
        <w:rPr>
          <w:lang w:val="en_US" w:bidi="en_US"/>
        </w:rPr>
      </w:r>
      <w:r>
        <w:rPr>
          <w:lang w:val="en_US" w:bidi="en_US"/>
        </w:rPr>
        <w:t xml:space="preserve">And do not </w:t>
      </w:r>
      <w:r>
        <w:rPr>
          <w:lang w:val="en_US" w:bidi="en_US"/>
        </w:rPr>
        <w:t>stop and</w:t>
      </w:r>
      <w:r>
        <w:rPr>
          <w:lang w:val="en_US" w:bidi="en_US"/>
        </w:rPr>
        <w:t xml:space="preserve"> talk with people </w:t>
      </w:r>
      <w:r>
        <w:rPr>
          <w:lang w:val="en_US" w:bidi="en_US"/>
        </w:rPr>
        <w:t>while you</w:t>
      </w:r>
      <w:r>
        <w:rPr>
          <w:vertAlign w:val="superscript"/>
          <w:lang w:val="en_US" w:bidi="en_US"/>
        </w:rPr>
        <w:t>(plur)</w:t>
      </w:r>
      <w:r>
        <w:rPr>
          <w:lang w:val="en_US" w:bidi="en_US"/>
        </w:rPr>
        <w:t xml:space="preserve"> </w:t>
      </w:r>
      <w:r>
        <w:rPr>
          <w:lang w:val="en_US" w:bidi="en_US"/>
        </w:rPr>
        <w:t>are walking</w:t>
      </w:r>
      <w:r>
        <w:rPr>
          <w:lang w:val="en_US" w:bidi="en_US"/>
        </w:rPr>
        <w:t xml:space="preserve"> along the road.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also not </w:t>
      </w:r>
      <w:r>
        <w:rPr>
          <w:lang w:val="en_US" w:bidi="en_US"/>
        </w:rPr>
        <w:t>delay</w:t>
      </w:r>
      <w:r>
        <w:rPr>
          <w:lang w:val="en_US" w:bidi="en_US"/>
        </w:rPr>
        <w:t xml:space="preserve"> your journey </w:t>
      </w:r>
      <w:r>
        <w:rPr>
          <w:lang w:val="en_US" w:bidi="en_US"/>
        </w:rPr>
        <w:t>by stopping</w:t>
      </w:r>
      <w:r>
        <w:rPr>
          <w:lang w:val="en_US" w:bidi="en_US"/>
        </w:rPr>
        <w:t xml:space="preserve"> to talk with people.</w:t>
      </w:r>
    </w:p>
    <w:p>
      <w:pPr/>
      <w:r>
        <w:rPr>
          <w:lang w:val="en_US" w:bidi="en_US"/>
        </w:rPr>
      </w:r>
      <w:r>
        <w:rPr>
          <w:b/>
          <w:lang w:val="en_US" w:bidi="en_US"/>
        </w:rPr>
        <w:t>Do not greet anyone along the road:</w:t>
      </w:r>
      <w:r>
        <w:rPr>
          <w:lang w:val="en_US" w:bidi="en_US"/>
        </w:rPr>
        <w:t xml:space="preserve"> It was customary in those days for greetings to take a long time. So the command </w:t>
      </w:r>
      <w:r>
        <w:rPr>
          <w:i/>
          <w:lang w:val="en_US" w:bidi="en_US"/>
        </w:rPr>
        <w:t>Do not greet anyone along the road</w:t>
      </w:r>
      <w:r>
        <w:rPr>
          <w:lang w:val="en_US" w:bidi="en_US"/>
        </w:rPr>
        <w:t xml:space="preserve"> probably implies that the disciples should not delay their journey in order to give people lengthy greetings. Jesus was sending the disciples on an urgent mission to prepare people for his coming. He wanted the disciples to complete this mission without wasting time. Some English translations make this explicit. For example:</w:t>
      </w:r>
    </w:p>
    <w:p>
      <w:pPr/>
      <w:r>
        <w:rPr>
          <w:lang w:val="en_US" w:bidi="en_US"/>
        </w:rPr>
      </w:r>
      <w:r>
        <w:rPr>
          <w:lang w:val="en_US" w:bidi="en_US"/>
        </w:rPr>
        <w:t>don’t waste time talking to people on the road (NCV)</w:t>
      </w:r>
    </w:p>
    <w:p>
      <w:pPr/>
      <w:r>
        <w:rPr>
          <w:lang w:val="en_US" w:bidi="en_US"/>
        </w:rPr>
      </w:r>
      <w:r>
        <w:rPr>
          <w:lang w:val="en_US" w:bidi="en_US"/>
        </w:rPr>
        <w:t>don’t stop to greet anyone on the road (GNT)</w:t>
      </w:r>
      <w:r>
        <w:rPr>
          <w:lang w:val="en_US" w:bidi="en_US"/>
        </w:rPr>
      </w:r>
      <w:r>
        <w:rPr>
          <w:lang w:val="en_US" w:bidi="en_US"/>
        </w:rPr>
      </w:r>
    </w:p>
    <w:p>
      <w:pPr/>
      <w:r>
        <w:rPr>
          <w:lang w:val="en_US" w:bidi="en_US"/>
        </w:rPr>
      </w:r>
    </w:p>
    <w:p>
      <w:pPr>
        <w:pStyle w:val="Heading2"/>
      </w:pPr>
      <w:r>
        <w:rPr>
          <w:lang w:val="en_US" w:bidi="en_US"/>
        </w:rPr>
        <w:t>Luke 10:5</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5"/>
      </w:pPr>
      <w:r>
        <w:rPr>
          <w:lang w:val="en_US" w:bidi="en_US"/>
        </w:rPr>
        <w:t>10:5a</w:t>
      </w:r>
    </w:p>
    <w:p>
      <w:pPr/>
      <w:r>
        <w:rPr>
          <w:lang w:val="en_US" w:bidi="en_US"/>
        </w:rPr>
      </w:r>
      <w:r>
        <w:rPr>
          <w:b/>
          <w:lang w:val="en_US" w:bidi="en_US"/>
        </w:rPr>
        <w:t>Whatever house you enter,</w:t>
      </w:r>
    </w:p>
    <w:p>
      <w:pPr>
        <w:pStyle w:val="ListBullet"/>
        <w:spacing w:line="240" w:lineRule="auto"/>
        <w:ind w:left="720"/>
      </w:pPr>
      <w:r>
        <w:rPr>
          <w:lang w:val="en_US" w:bidi="en_US"/>
        </w:rPr>
      </w:r>
      <w:r>
        <w:rPr>
          <w:lang w:val="en_US" w:bidi="en_US"/>
        </w:rPr>
        <w:t xml:space="preserve">¶ “Whenever </w:t>
      </w:r>
      <w:r>
        <w:rPr>
          <w:lang w:val="en_US" w:bidi="en_US"/>
        </w:rPr>
        <w:t>someone invites</w:t>
      </w:r>
      <w:r>
        <w:rPr>
          <w:lang w:val="en_US" w:bidi="en_US"/>
        </w:rPr>
        <w:t xml:space="preserve"> you</w:t>
      </w:r>
      <w:r>
        <w:rPr>
          <w:vertAlign w:val="superscript"/>
          <w:lang w:val="en_US" w:bidi="en_US"/>
        </w:rPr>
        <w:t>(plur)</w:t>
      </w:r>
      <w:r>
        <w:rPr>
          <w:lang w:val="en_US" w:bidi="en_US"/>
        </w:rPr>
        <w:t xml:space="preserve"> </w:t>
      </w:r>
      <w:r>
        <w:rPr>
          <w:lang w:val="en_US" w:bidi="en_US"/>
        </w:rPr>
        <w:t>to stay</w:t>
      </w:r>
      <w:r>
        <w:rPr>
          <w:lang w:val="en_US" w:bidi="en_US"/>
        </w:rPr>
        <w:t xml:space="preserve"> in his house,</w:t>
      </w:r>
    </w:p>
    <w:p>
      <w:pPr>
        <w:pStyle w:val="ListBullet"/>
        <w:spacing w:line="240" w:lineRule="auto"/>
        <w:ind w:left="720"/>
      </w:pPr>
      <w:r>
        <w:rPr>
          <w:lang w:val="en_US" w:bidi="en_US"/>
        </w:rPr>
      </w:r>
      <w:r>
        <w:rPr>
          <w:lang w:val="en_US" w:bidi="en_US"/>
        </w:rPr>
        <w:t>¶ “When you</w:t>
      </w:r>
      <w:r>
        <w:rPr>
          <w:vertAlign w:val="superscript"/>
          <w:lang w:val="en_US" w:bidi="en_US"/>
        </w:rPr>
        <w:t>(plur)</w:t>
      </w:r>
      <w:r>
        <w:rPr>
          <w:lang w:val="en_US" w:bidi="en_US"/>
        </w:rPr>
        <w:t xml:space="preserve"> first enter a home </w:t>
      </w:r>
      <w:r>
        <w:rPr>
          <w:lang w:val="en_US" w:bidi="en_US"/>
        </w:rPr>
        <w:t>as a guest</w:t>
      </w:r>
      <w:r>
        <w:rPr>
          <w:lang w:val="en_US" w:bidi="en_US"/>
        </w:rPr>
        <w:t>,</w:t>
      </w:r>
    </w:p>
    <w:p>
      <w:pPr/>
      <w:r>
        <w:rPr>
          <w:lang w:val="en_US" w:bidi="en_US"/>
        </w:rPr>
      </w:r>
      <w:r>
        <w:rPr>
          <w:b/>
          <w:lang w:val="en_US" w:bidi="en_US"/>
        </w:rPr>
        <w:t>Whatever house you enter:</w:t>
      </w:r>
      <w:r>
        <w:rPr>
          <w:lang w:val="en_US" w:bidi="en_US"/>
        </w:rPr>
        <w:t xml:space="preserve"> The clause </w:t>
      </w:r>
      <w:r>
        <w:rPr>
          <w:i/>
          <w:lang w:val="en_US" w:bidi="en_US"/>
        </w:rPr>
        <w:t>Whatever house you enter</w:t>
      </w:r>
      <w:r>
        <w:rPr>
          <w:lang w:val="en_US" w:bidi="en_US"/>
        </w:rPr>
        <w:t xml:space="preserve"> introduces a general instruction. It applies to any time when the disciples arrived in a town and went to a particular house where they hoped to stay as guests.</w:t>
      </w:r>
    </w:p>
    <w:p>
      <w:pPr/>
      <w:r>
        <w:rPr>
          <w:lang w:val="en_US" w:bidi="en_US"/>
        </w:rPr>
      </w:r>
      <w:r>
        <w:rPr>
          <w:lang w:val="en_US" w:bidi="en_US"/>
        </w:rPr>
        <w:t>In some languages it may be necessary to make explicit some of the implied information. For example:</w:t>
      </w:r>
    </w:p>
    <w:p>
      <w:pPr/>
      <w:r>
        <w:rPr>
          <w:lang w:val="en_US" w:bidi="en_US"/>
        </w:rPr>
      </w:r>
      <w:r>
        <w:rPr>
          <w:lang w:val="en_US" w:bidi="en_US"/>
        </w:rPr>
        <w:t>Whenever you enter someone’s home (NLT)</w:t>
      </w:r>
    </w:p>
    <w:p>
      <w:pPr/>
      <w:r>
        <w:rPr>
          <w:lang w:val="en_US" w:bidi="en_US"/>
        </w:rPr>
      </w:r>
      <w:r>
        <w:rPr>
          <w:lang w:val="en_US" w:bidi="en_US"/>
        </w:rPr>
        <w:t xml:space="preserve">Whenever </w:t>
      </w:r>
      <w:r>
        <w:rPr>
          <w:lang w:val="en_US" w:bidi="en_US"/>
        </w:rPr>
        <w:t>someone invites</w:t>
      </w:r>
      <w:r>
        <w:rPr>
          <w:lang w:val="en_US" w:bidi="en_US"/>
        </w:rPr>
        <w:t xml:space="preserve"> you to stay at their house</w:t>
      </w:r>
    </w:p>
    <w:p>
      <w:pPr/>
      <w:r>
        <w:rPr>
          <w:lang w:val="en_US" w:bidi="en_US"/>
        </w:rPr>
      </w:r>
      <w:r>
        <w:rPr>
          <w:lang w:val="en_US" w:bidi="en_US"/>
        </w:rPr>
        <w:t xml:space="preserve">Whenever you </w:t>
      </w:r>
      <w:r>
        <w:rPr>
          <w:lang w:val="en_US" w:bidi="en_US"/>
        </w:rPr>
        <w:t>arrive in a town and you</w:t>
      </w:r>
      <w:r>
        <w:rPr>
          <w:lang w:val="en_US" w:bidi="en_US"/>
        </w:rPr>
        <w:t xml:space="preserve"> go to a particular house to stay</w:t>
      </w:r>
    </w:p>
    <w:p>
      <w:pPr>
        <w:pStyle w:val="Heading5"/>
      </w:pPr>
      <w:r>
        <w:rPr>
          <w:lang w:val="en_US" w:bidi="en_US"/>
        </w:rPr>
        <w:t>10:5b</w:t>
      </w:r>
    </w:p>
    <w:p>
      <w:pPr/>
      <w:r>
        <w:rPr>
          <w:lang w:val="en_US" w:bidi="en_US"/>
        </w:rPr>
      </w:r>
      <w:r>
        <w:rPr>
          <w:b/>
          <w:lang w:val="en_US" w:bidi="en_US"/>
        </w:rPr>
        <w:t>begin by saying, ‘Peace to this house.’</w:t>
      </w:r>
    </w:p>
    <w:p>
      <w:pPr>
        <w:pStyle w:val="ListBullet"/>
        <w:spacing w:line="240" w:lineRule="auto"/>
        <w:ind w:left="720"/>
      </w:pPr>
      <w:r>
        <w:rPr>
          <w:lang w:val="en_US" w:bidi="en_US"/>
        </w:rPr>
      </w:r>
      <w:r>
        <w:rPr>
          <w:lang w:val="en_US" w:bidi="en_US"/>
        </w:rPr>
        <w:t>first greet/bless</w:t>
      </w:r>
      <w:r>
        <w:rPr>
          <w:vertAlign w:val="superscript"/>
          <w:lang w:val="en_US" w:bidi="en_US"/>
        </w:rPr>
        <w:t>(plur)</w:t>
      </w:r>
      <w:r>
        <w:rPr>
          <w:lang w:val="en_US" w:bidi="en_US"/>
        </w:rPr>
        <w:t xml:space="preserve"> the family by saying, ‘May </w:t>
      </w:r>
      <w:r>
        <w:rPr>
          <w:lang w:val="en_US" w:bidi="en_US"/>
        </w:rPr>
        <w:t>God</w:t>
      </w:r>
      <w:r>
        <w:rPr>
          <w:lang w:val="en_US" w:bidi="en_US"/>
        </w:rPr>
        <w:t xml:space="preserve"> bless you all and give you peace.’</w:t>
      </w:r>
    </w:p>
    <w:p>
      <w:pPr>
        <w:pStyle w:val="ListBullet"/>
        <w:spacing w:line="240" w:lineRule="auto"/>
        <w:ind w:left="720"/>
      </w:pPr>
      <w:r>
        <w:rPr>
          <w:lang w:val="en_US" w:bidi="en_US"/>
        </w:rPr>
      </w:r>
      <w:r>
        <w:rPr>
          <w:lang w:val="en_US" w:bidi="en_US"/>
        </w:rPr>
        <w:t>the first thing you</w:t>
      </w:r>
      <w:r>
        <w:rPr>
          <w:vertAlign w:val="superscript"/>
          <w:lang w:val="en_US" w:bidi="en_US"/>
        </w:rPr>
        <w:t>(plur)</w:t>
      </w:r>
      <w:r>
        <w:rPr>
          <w:lang w:val="en_US" w:bidi="en_US"/>
        </w:rPr>
        <w:t xml:space="preserve"> should say is, ‘May you</w:t>
      </w:r>
      <w:r>
        <w:rPr>
          <w:vertAlign w:val="superscript"/>
          <w:lang w:val="en_US" w:bidi="en_US"/>
        </w:rPr>
        <w:t>(plur)</w:t>
      </w:r>
      <w:r>
        <w:rPr>
          <w:lang w:val="en_US" w:bidi="en_US"/>
        </w:rPr>
        <w:t xml:space="preserve"> in this household experience peace and blessing </w:t>
      </w:r>
      <w:r>
        <w:rPr>
          <w:lang w:val="en_US" w:bidi="en_US"/>
        </w:rPr>
        <w:t>from God</w:t>
      </w:r>
      <w:r>
        <w:rPr>
          <w:lang w:val="en_US" w:bidi="en_US"/>
        </w:rPr>
        <w:t>.’</w:t>
      </w:r>
    </w:p>
    <w:p>
      <w:pPr>
        <w:pStyle w:val="ListBullet"/>
        <w:spacing w:line="240" w:lineRule="auto"/>
        <w:ind w:left="720"/>
      </w:pPr>
      <w:r>
        <w:rPr>
          <w:lang w:val="en_US" w:bidi="en_US"/>
        </w:rPr>
      </w:r>
      <w:r>
        <w:rPr>
          <w:lang w:val="en_US" w:bidi="en_US"/>
        </w:rPr>
        <w:t>greet</w:t>
      </w:r>
      <w:r>
        <w:rPr>
          <w:vertAlign w:val="superscript"/>
          <w:lang w:val="en_US" w:bidi="en_US"/>
        </w:rPr>
        <w:t>(plur)</w:t>
      </w:r>
      <w:r>
        <w:rPr>
          <w:lang w:val="en_US" w:bidi="en_US"/>
        </w:rPr>
        <w:t xml:space="preserve"> those who live there and pray that God will cause them to experience/enjoy his goodness/kindness.</w:t>
      </w:r>
    </w:p>
    <w:p>
      <w:pPr/>
      <w:r>
        <w:rPr>
          <w:lang w:val="en_US" w:bidi="en_US"/>
        </w:rPr>
      </w:r>
      <w:r>
        <w:rPr>
          <w:b/>
          <w:lang w:val="en_US" w:bidi="en_US"/>
        </w:rPr>
        <w:t>begin by saying:</w:t>
      </w:r>
      <w:r>
        <w:rPr>
          <w:lang w:val="en_US" w:bidi="en_US"/>
        </w:rPr>
        <w:t xml:space="preserve"> Jesus’ command </w:t>
      </w:r>
      <w:r>
        <w:rPr>
          <w:i/>
          <w:lang w:val="en_US" w:bidi="en_US"/>
        </w:rPr>
        <w:t>begin by saying</w:t>
      </w:r>
      <w:r>
        <w:rPr>
          <w:lang w:val="en_US" w:bidi="en_US"/>
        </w:rPr>
        <w:t xml:space="preserve"> indicates that he wanted the disciples to speak a blessing on those in the household before they said or did anything else. Other ways to translate this command are:</w:t>
      </w:r>
    </w:p>
    <w:p>
      <w:pPr/>
      <w:r>
        <w:rPr>
          <w:lang w:val="en_US" w:bidi="en_US"/>
        </w:rPr>
      </w:r>
      <w:r>
        <w:rPr>
          <w:lang w:val="en_US" w:bidi="en_US"/>
        </w:rPr>
        <w:t>As soon as you enter a home, say (CEV)</w:t>
      </w:r>
    </w:p>
    <w:p>
      <w:pPr/>
      <w:r>
        <w:rPr>
          <w:lang w:val="en_US" w:bidi="en_US"/>
        </w:rPr>
      </w:r>
      <w:r>
        <w:rPr>
          <w:lang w:val="en_US" w:bidi="en_US"/>
        </w:rPr>
        <w:t>greet the family right away with the words (GW)</w:t>
      </w:r>
    </w:p>
    <w:p>
      <w:pPr/>
      <w:r>
        <w:rPr>
          <w:lang w:val="en_US" w:bidi="en_US"/>
        </w:rPr>
      </w:r>
      <w:r>
        <w:rPr>
          <w:b/>
          <w:lang w:val="en_US" w:bidi="en_US"/>
        </w:rPr>
        <w:t>Peace to this house:</w:t>
      </w:r>
      <w:r>
        <w:rPr>
          <w:lang w:val="en_US" w:bidi="en_US"/>
        </w:rPr>
        <w:t xml:space="preserve"> The clause </w:t>
      </w:r>
      <w:r>
        <w:rPr>
          <w:i/>
          <w:lang w:val="en_US" w:bidi="en_US"/>
        </w:rPr>
        <w:t>Peace to this house</w:t>
      </w:r>
      <w:r>
        <w:rPr>
          <w:lang w:val="en_US" w:bidi="en_US"/>
        </w:rPr>
        <w:t xml:space="preserve"> was a normal way for a Jew to greet people when he entered their home. The greeting implied that the speaker was asking God to bless the people in the house by giving them peace. Some other ways to translate this are:</w:t>
      </w:r>
    </w:p>
    <w:p>
      <w:pPr/>
      <w:r>
        <w:rPr>
          <w:lang w:val="en_US" w:bidi="en_US"/>
        </w:rPr>
      </w:r>
      <w:r>
        <w:rPr>
          <w:lang w:val="en_US" w:bidi="en_US"/>
        </w:rPr>
        <w:t xml:space="preserve">May God give peace to </w:t>
      </w:r>
      <w:r>
        <w:rPr>
          <w:lang w:val="en_US" w:bidi="en_US"/>
        </w:rPr>
        <w:t>all/you</w:t>
      </w:r>
      <w:r>
        <w:rPr>
          <w:vertAlign w:val="superscript"/>
          <w:lang w:val="en_US" w:bidi="en_US"/>
        </w:rPr>
        <w:t>(plur)</w:t>
      </w:r>
      <w:r>
        <w:rPr>
          <w:lang w:val="en_US" w:bidi="en_US"/>
        </w:rPr>
        <w:t xml:space="preserve"> in this home</w:t>
      </w:r>
    </w:p>
    <w:p>
      <w:pPr/>
      <w:r>
        <w:rPr>
          <w:lang w:val="en_US" w:bidi="en_US"/>
        </w:rPr>
      </w:r>
      <w:r>
        <w:rPr>
          <w:lang w:val="en_US" w:bidi="en_US"/>
        </w:rPr>
        <w:t>May God bless/prosper this family</w:t>
      </w:r>
    </w:p>
    <w:p>
      <w:pPr/>
      <w:r>
        <w:rPr>
          <w:lang w:val="en_US" w:bidi="en_US"/>
        </w:rPr>
      </w:r>
      <w:r>
        <w:rPr>
          <w:lang w:val="en_US" w:bidi="en_US"/>
        </w:rPr>
        <w:t>In some languages it may be more natural to translate 10:5b as indirect speech. For example:</w:t>
      </w:r>
    </w:p>
    <w:p>
      <w:pPr/>
      <w:r>
        <w:rPr>
          <w:lang w:val="en_US" w:bidi="en_US"/>
        </w:rPr>
      </w:r>
      <w:r>
        <w:rPr>
          <w:lang w:val="en_US" w:bidi="en_US"/>
        </w:rPr>
        <w:t>the first thing you should do is to ask God aloud to bless everyone in the household with peace</w:t>
      </w:r>
    </w:p>
    <w:p>
      <w:pPr/>
      <w:r>
        <w:rPr>
          <w:lang w:val="en_US" w:bidi="en_US"/>
        </w:rPr>
      </w:r>
      <w:r>
        <w:rPr>
          <w:b/>
          <w:lang w:val="en_US" w:bidi="en_US"/>
        </w:rPr>
        <w:t>Peace:</w:t>
      </w:r>
      <w:r>
        <w:rPr>
          <w:lang w:val="en_US" w:bidi="en_US"/>
        </w:rPr>
        <w:t xml:space="preserve"> The Jewish concept of </w:t>
      </w:r>
      <w:r>
        <w:rPr>
          <w:i/>
          <w:lang w:val="en_US" w:bidi="en_US"/>
        </w:rPr>
        <w:t>Peace</w:t>
      </w:r>
      <w:r>
        <w:rPr>
          <w:lang w:val="en_US" w:bidi="en_US"/>
        </w:rPr>
        <w:t xml:space="preserve"> includes both an absence of war or conflict and a state of well-being, safety, health, and prosperity. All this comes from God for those who are in a relationship with him.</w:t>
      </w:r>
    </w:p>
    <w:p>
      <w:pPr/>
      <w:r>
        <w:rPr>
          <w:lang w:val="en_US" w:bidi="en_US"/>
        </w:rPr>
      </w:r>
      <w:r>
        <w:rPr>
          <w:lang w:val="en_US" w:bidi="en_US"/>
        </w:rPr>
        <w:t>Some languages will have one word to describe the absence of war or conflict and a different word to describe well-being in general. Choose a word that includes as many different senses of the word “peace” as possible. If you must choose a specific sense, a word that means “well-being” fits this context better than a word that means “absence of conflict.”</w:t>
      </w:r>
    </w:p>
    <w:p>
      <w:pPr/>
      <w:r>
        <w:rPr>
          <w:lang w:val="en_US" w:bidi="en_US"/>
        </w:rPr>
      </w:r>
      <w:r>
        <w:rPr>
          <w:lang w:val="en_US" w:bidi="en_US"/>
        </w:rPr>
        <w:t>See peace in the Glossary.</w:t>
      </w:r>
      <w:r>
        <w:rPr>
          <w:lang w:val="en_US" w:bidi="en_US"/>
        </w:rPr>
      </w:r>
      <w:r>
        <w:rPr>
          <w:lang w:val="en_US" w:bidi="en_US"/>
        </w:rPr>
      </w:r>
    </w:p>
    <w:p>
      <w:pPr/>
      <w:r>
        <w:rPr>
          <w:lang w:val="en_US" w:bidi="en_US"/>
        </w:rPr>
      </w:r>
    </w:p>
    <w:p>
      <w:pPr>
        <w:pStyle w:val="Heading2"/>
      </w:pPr>
      <w:r>
        <w:rPr>
          <w:lang w:val="en_US" w:bidi="en_US"/>
        </w:rPr>
        <w:t>Luke 10:6</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5"/>
      </w:pPr>
      <w:r>
        <w:rPr>
          <w:lang w:val="en_US" w:bidi="en_US"/>
        </w:rPr>
        <w:t>10:6a</w:t>
      </w:r>
    </w:p>
    <w:p>
      <w:pPr/>
      <w:r>
        <w:rPr>
          <w:lang w:val="en_US" w:bidi="en_US"/>
        </w:rPr>
      </w:r>
      <w:r>
        <w:rPr>
          <w:b/>
          <w:lang w:val="en_US" w:bidi="en_US"/>
        </w:rPr>
        <w:t>If a man of peace is there, your peace will rest on him;</w:t>
      </w:r>
    </w:p>
    <w:p>
      <w:pPr>
        <w:pStyle w:val="ListBullet"/>
        <w:spacing w:line="240" w:lineRule="auto"/>
        <w:ind w:left="720"/>
      </w:pPr>
      <w:r>
        <w:rPr>
          <w:lang w:val="en_US" w:bidi="en_US"/>
        </w:rPr>
      </w:r>
      <w:r>
        <w:rPr>
          <w:lang w:val="en_US" w:bidi="en_US"/>
        </w:rPr>
        <w:t xml:space="preserve">If the person who lives there </w:t>
      </w:r>
      <w:r>
        <w:rPr>
          <w:lang w:val="en_US" w:bidi="en_US"/>
        </w:rPr>
        <w:t>loves/seeks</w:t>
      </w:r>
      <w:r>
        <w:rPr>
          <w:lang w:val="en_US" w:bidi="en_US"/>
        </w:rPr>
        <w:t xml:space="preserve"> peace, then the peace/blessing that you</w:t>
      </w:r>
      <w:r>
        <w:rPr>
          <w:vertAlign w:val="superscript"/>
          <w:lang w:val="en_US" w:bidi="en_US"/>
        </w:rPr>
        <w:t>(plur)</w:t>
      </w:r>
      <w:r>
        <w:rPr>
          <w:lang w:val="en_US" w:bidi="en_US"/>
        </w:rPr>
        <w:t xml:space="preserve"> requested will be/remain with him.</w:t>
      </w:r>
    </w:p>
    <w:p>
      <w:pPr>
        <w:pStyle w:val="ListBullet"/>
        <w:spacing w:line="240" w:lineRule="auto"/>
        <w:ind w:left="720"/>
      </w:pPr>
      <w:r>
        <w:rPr>
          <w:lang w:val="en_US" w:bidi="en_US"/>
        </w:rPr>
      </w:r>
      <w:r>
        <w:rPr>
          <w:lang w:val="en_US" w:bidi="en_US"/>
        </w:rPr>
        <w:t xml:space="preserve">If the head of the house wants God to bless him, then </w:t>
      </w:r>
      <w:r>
        <w:rPr>
          <w:lang w:val="en_US" w:bidi="en_US"/>
        </w:rPr>
        <w:t>God</w:t>
      </w:r>
      <w:r>
        <w:rPr>
          <w:lang w:val="en_US" w:bidi="en_US"/>
        </w:rPr>
        <w:t xml:space="preserve"> will </w:t>
      </w:r>
      <w:r>
        <w:rPr>
          <w:lang w:val="en_US" w:bidi="en_US"/>
        </w:rPr>
        <w:t>give</w:t>
      </w:r>
      <w:r>
        <w:rPr>
          <w:lang w:val="en_US" w:bidi="en_US"/>
        </w:rPr>
        <w:t xml:space="preserve"> that household the peace/blessing that you</w:t>
      </w:r>
      <w:r>
        <w:rPr>
          <w:vertAlign w:val="superscript"/>
          <w:lang w:val="en_US" w:bidi="en_US"/>
        </w:rPr>
        <w:t>(plur)</w:t>
      </w:r>
      <w:r>
        <w:rPr>
          <w:lang w:val="en_US" w:bidi="en_US"/>
        </w:rPr>
        <w:t xml:space="preserve"> </w:t>
      </w:r>
      <w:r>
        <w:rPr>
          <w:lang w:val="en_US" w:bidi="en_US"/>
        </w:rPr>
        <w:t>asked/prayed for</w:t>
      </w:r>
      <w:r>
        <w:rPr>
          <w:lang w:val="en_US" w:bidi="en_US"/>
        </w:rPr>
        <w:t>.</w:t>
      </w:r>
    </w:p>
    <w:p>
      <w:pPr>
        <w:pStyle w:val="ListBullet"/>
        <w:spacing w:line="240" w:lineRule="auto"/>
        <w:ind w:left="720"/>
      </w:pPr>
      <w:r>
        <w:rPr>
          <w:lang w:val="en_US" w:bidi="en_US"/>
        </w:rPr>
      </w:r>
      <w:r>
        <w:rPr>
          <w:lang w:val="en_US" w:bidi="en_US"/>
        </w:rPr>
        <w:t xml:space="preserve">If the leader of the household </w:t>
      </w:r>
      <w:r>
        <w:rPr>
          <w:lang w:val="en_US" w:bidi="en_US"/>
        </w:rPr>
        <w:t>wants to experience</w:t>
      </w:r>
      <w:r>
        <w:rPr>
          <w:lang w:val="en_US" w:bidi="en_US"/>
        </w:rPr>
        <w:t xml:space="preserve"> this goodness and kindness, then God will indeed give it to him </w:t>
      </w:r>
      <w:r>
        <w:rPr>
          <w:lang w:val="en_US" w:bidi="en_US"/>
        </w:rPr>
        <w:t>and his family</w:t>
      </w:r>
      <w:r>
        <w:rPr>
          <w:lang w:val="en_US" w:bidi="en_US"/>
        </w:rPr>
        <w:t>.</w:t>
      </w:r>
    </w:p>
    <w:p>
      <w:pPr/>
      <w:r>
        <w:rPr>
          <w:lang w:val="en_US" w:bidi="en_US"/>
        </w:rPr>
      </w:r>
      <w:r>
        <w:rPr>
          <w:b/>
          <w:lang w:val="en_US" w:bidi="en_US"/>
        </w:rPr>
        <w:t>If a man of peace is there:</w:t>
      </w:r>
      <w:r>
        <w:rPr>
          <w:lang w:val="en_US" w:bidi="en_US"/>
        </w:rPr>
        <w:t xml:space="preserve"> The clause </w:t>
      </w:r>
      <w:r>
        <w:rPr>
          <w:i/>
          <w:lang w:val="en_US" w:bidi="en_US"/>
        </w:rPr>
        <w:t>If a man of peace is there</w:t>
      </w:r>
      <w:r>
        <w:rPr>
          <w:lang w:val="en_US" w:bidi="en_US"/>
        </w:rPr>
        <w:t xml:space="preserve"> refers primarily to the head or leader of the household. It means, “If the head of the household is a man of peace.” But this clause probably includes the other people who live in the house. For example:</w:t>
      </w:r>
    </w:p>
    <w:p>
      <w:pPr/>
      <w:r>
        <w:rPr>
          <w:lang w:val="en_US" w:bidi="en_US"/>
        </w:rPr>
      </w:r>
      <w:r>
        <w:rPr>
          <w:lang w:val="en_US" w:bidi="en_US"/>
        </w:rPr>
        <w:t>If the people living there are peace-loving (CEV)</w:t>
      </w:r>
    </w:p>
    <w:p>
      <w:pPr/>
      <w:r>
        <w:rPr>
          <w:lang w:val="en_US" w:bidi="en_US"/>
        </w:rPr>
      </w:r>
      <w:r>
        <w:rPr>
          <w:b/>
          <w:lang w:val="en_US" w:bidi="en_US"/>
        </w:rPr>
        <w:t>a man of peace:</w:t>
      </w:r>
      <w:r>
        <w:rPr>
          <w:lang w:val="en_US" w:bidi="en_US"/>
        </w:rPr>
        <w:t xml:space="preserve"> The Greek phrase that the BSB translates as </w:t>
      </w:r>
      <w:r>
        <w:rPr>
          <w:i/>
          <w:lang w:val="en_US" w:bidi="en_US"/>
        </w:rPr>
        <w:t>a man of peace</w:t>
      </w:r>
      <w:r>
        <w:rPr>
          <w:lang w:val="en_US" w:bidi="en_US"/>
        </w:rPr>
        <w:t xml:space="preserve"> is literally “a son of peace.” It refers to a person who seeks and loves peace. A person like this would desire to have peace with God and to experience his blessing. So the person would welcome the disciples into his home and receive what they taught.</w:t>
      </w:r>
    </w:p>
    <w:p>
      <w:pPr/>
      <w:r>
        <w:rPr>
          <w:lang w:val="en_US" w:bidi="en_US"/>
        </w:rPr>
      </w:r>
      <w:r>
        <w:rPr>
          <w:lang w:val="en_US" w:bidi="en_US"/>
        </w:rPr>
        <w:t>In some languages, you may need to make some of this implied meaning explicit. For example:</w:t>
      </w:r>
    </w:p>
    <w:p>
      <w:pPr/>
      <w:r>
        <w:rPr>
          <w:lang w:val="en_US" w:bidi="en_US"/>
        </w:rPr>
      </w:r>
      <w:r>
        <w:rPr>
          <w:lang w:val="en_US" w:bidi="en_US"/>
        </w:rPr>
        <w:t>loves peace and is willing to listen to you</w:t>
      </w:r>
    </w:p>
    <w:p>
      <w:pPr/>
      <w:r>
        <w:rPr>
          <w:lang w:val="en_US" w:bidi="en_US"/>
        </w:rPr>
      </w:r>
      <w:r>
        <w:rPr>
          <w:lang w:val="en_US" w:bidi="en_US"/>
        </w:rPr>
        <w:t xml:space="preserve">desires to receive peace and blessing </w:t>
      </w:r>
      <w:r>
        <w:rPr>
          <w:lang w:val="en_US" w:bidi="en_US"/>
        </w:rPr>
        <w:t>from God</w:t>
      </w:r>
    </w:p>
    <w:p>
      <w:pPr/>
      <w:r>
        <w:rPr>
          <w:lang w:val="en_US" w:bidi="en_US"/>
        </w:rPr>
      </w:r>
      <w:r>
        <w:rPr>
          <w:lang w:val="en_US" w:bidi="en_US"/>
        </w:rPr>
        <w:t>wants God to bless/proper him</w:t>
      </w:r>
    </w:p>
    <w:p>
      <w:pPr/>
      <w:r>
        <w:rPr>
          <w:lang w:val="en_US" w:bidi="en_US"/>
        </w:rPr>
      </w:r>
      <w:r>
        <w:rPr>
          <w:b/>
          <w:lang w:val="en_US" w:bidi="en_US"/>
        </w:rPr>
        <w:t>your peace will rest on him:</w:t>
      </w:r>
      <w:r>
        <w:rPr>
          <w:lang w:val="en_US" w:bidi="en_US"/>
        </w:rPr>
        <w:t xml:space="preserve"> The phrase </w:t>
      </w:r>
      <w:r>
        <w:rPr>
          <w:i/>
          <w:lang w:val="en_US" w:bidi="en_US"/>
        </w:rPr>
        <w:t>your peace</w:t>
      </w:r>
      <w:r>
        <w:rPr>
          <w:lang w:val="en_US" w:bidi="en_US"/>
        </w:rPr>
        <w:t xml:space="preserve"> means “the peace/blessing that you have spoken/requested from God.” The phrase </w:t>
      </w:r>
      <w:r>
        <w:rPr>
          <w:i/>
          <w:lang w:val="en_US" w:bidi="en_US"/>
        </w:rPr>
        <w:t>will rest on him</w:t>
      </w:r>
      <w:r>
        <w:rPr>
          <w:lang w:val="en_US" w:bidi="en_US"/>
        </w:rPr>
        <w:t xml:space="preserve"> means that he will truly receive this peace/blessing. Some other ways to translate this whole clause are:</w:t>
      </w:r>
    </w:p>
    <w:p>
      <w:pPr/>
      <w:r>
        <w:rPr>
          <w:lang w:val="en_US" w:bidi="en_US"/>
        </w:rPr>
      </w:r>
      <w:r>
        <w:rPr>
          <w:lang w:val="en_US" w:bidi="en_US"/>
        </w:rPr>
        <w:t>the peace that you asked God to give him will remain with him</w:t>
      </w:r>
    </w:p>
    <w:p>
      <w:pPr/>
      <w:r>
        <w:rPr>
          <w:lang w:val="en_US" w:bidi="en_US"/>
        </w:rPr>
      </w:r>
      <w:r>
        <w:rPr>
          <w:lang w:val="en_US" w:bidi="en_US"/>
        </w:rPr>
        <w:t>your prayer for peace will bless them (CEV)</w:t>
      </w:r>
    </w:p>
    <w:p>
      <w:pPr/>
      <w:r>
        <w:rPr>
          <w:lang w:val="en_US" w:bidi="en_US"/>
        </w:rPr>
      </w:r>
      <w:r>
        <w:rPr>
          <w:lang w:val="en_US" w:bidi="en_US"/>
        </w:rPr>
        <w:t>God will prosper/bless him</w:t>
      </w:r>
    </w:p>
    <w:p>
      <w:pPr>
        <w:pStyle w:val="Heading5"/>
      </w:pPr>
      <w:r>
        <w:rPr>
          <w:lang w:val="en_US" w:bidi="en_US"/>
        </w:rPr>
        <w:t>10:6b</w:t>
      </w:r>
    </w:p>
    <w:p>
      <w:pPr/>
      <w:r>
        <w:rPr>
          <w:lang w:val="en_US" w:bidi="en_US"/>
        </w:rPr>
      </w:r>
      <w:r>
        <w:rPr>
          <w:b/>
          <w:lang w:val="en_US" w:bidi="en_US"/>
        </w:rPr>
        <w:t>if not, it will return to you.</w:t>
      </w:r>
    </w:p>
    <w:p>
      <w:pPr>
        <w:pStyle w:val="ListBullet"/>
        <w:spacing w:line="240" w:lineRule="auto"/>
        <w:ind w:left="720"/>
      </w:pPr>
      <w:r>
        <w:rPr>
          <w:lang w:val="en_US" w:bidi="en_US"/>
        </w:rPr>
      </w:r>
      <w:r>
        <w:rPr>
          <w:lang w:val="en_US" w:bidi="en_US"/>
        </w:rPr>
        <w:t xml:space="preserve">But if he does not </w:t>
      </w:r>
      <w:r>
        <w:rPr>
          <w:lang w:val="en_US" w:bidi="en_US"/>
        </w:rPr>
        <w:t>love/seek peace</w:t>
      </w:r>
      <w:r>
        <w:rPr>
          <w:lang w:val="en_US" w:bidi="en_US"/>
        </w:rPr>
        <w:t xml:space="preserve">, he will not receive </w:t>
      </w:r>
      <w:r>
        <w:rPr>
          <w:lang w:val="en_US" w:bidi="en_US"/>
        </w:rPr>
        <w:t>your</w:t>
      </w:r>
      <w:r>
        <w:rPr>
          <w:vertAlign w:val="superscript"/>
          <w:lang w:val="en_US" w:bidi="en_US"/>
        </w:rPr>
        <w:t>(plur)</w:t>
      </w:r>
      <w:r>
        <w:rPr>
          <w:lang w:val="en_US" w:bidi="en_US"/>
        </w:rPr>
        <w:t xml:space="preserve"> </w:t>
      </w:r>
      <w:r>
        <w:rPr>
          <w:lang w:val="en_US" w:bidi="en_US"/>
        </w:rPr>
        <w:t>peace/blessing</w:t>
      </w:r>
      <w:r>
        <w:rPr>
          <w:lang w:val="en_US" w:bidi="en_US"/>
        </w:rPr>
        <w:t>.</w:t>
      </w:r>
    </w:p>
    <w:p>
      <w:pPr>
        <w:pStyle w:val="ListBullet"/>
        <w:spacing w:line="240" w:lineRule="auto"/>
        <w:ind w:left="720"/>
      </w:pPr>
      <w:r>
        <w:rPr>
          <w:lang w:val="en_US" w:bidi="en_US"/>
        </w:rPr>
      </w:r>
      <w:r>
        <w:rPr>
          <w:lang w:val="en_US" w:bidi="en_US"/>
        </w:rPr>
        <w:t xml:space="preserve">But if he does not </w:t>
      </w:r>
      <w:r>
        <w:rPr>
          <w:lang w:val="en_US" w:bidi="en_US"/>
        </w:rPr>
        <w:t>want God’s blessing</w:t>
      </w:r>
      <w:r>
        <w:rPr>
          <w:lang w:val="en_US" w:bidi="en_US"/>
        </w:rPr>
        <w:t xml:space="preserve">, </w:t>
      </w:r>
      <w:r>
        <w:rPr>
          <w:lang w:val="en_US" w:bidi="en_US"/>
        </w:rPr>
        <w:t>God</w:t>
      </w:r>
      <w:r>
        <w:rPr>
          <w:lang w:val="en_US" w:bidi="en_US"/>
        </w:rPr>
        <w:t xml:space="preserve"> will not give it to him.</w:t>
      </w:r>
    </w:p>
    <w:p>
      <w:pPr>
        <w:pStyle w:val="ListBullet"/>
        <w:spacing w:line="240" w:lineRule="auto"/>
        <w:ind w:left="720"/>
      </w:pPr>
      <w:r>
        <w:rPr>
          <w:lang w:val="en_US" w:bidi="en_US"/>
        </w:rPr>
      </w:r>
      <w:r>
        <w:rPr>
          <w:lang w:val="en_US" w:bidi="en_US"/>
        </w:rPr>
        <w:t xml:space="preserve">But if he does not </w:t>
      </w:r>
      <w:r>
        <w:rPr>
          <w:lang w:val="en_US" w:bidi="en_US"/>
        </w:rPr>
        <w:t>want to receive these blessings</w:t>
      </w:r>
      <w:r>
        <w:rPr>
          <w:lang w:val="en_US" w:bidi="en_US"/>
        </w:rPr>
        <w:t xml:space="preserve">, then </w:t>
      </w:r>
      <w:r>
        <w:rPr>
          <w:lang w:val="en_US" w:bidi="en_US"/>
        </w:rPr>
        <w:t>God will not bless that home</w:t>
      </w:r>
      <w:r>
        <w:rPr>
          <w:lang w:val="en_US" w:bidi="en_US"/>
        </w:rPr>
        <w:t>.</w:t>
      </w:r>
    </w:p>
    <w:p>
      <w:pPr/>
      <w:r>
        <w:rPr>
          <w:lang w:val="en_US" w:bidi="en_US"/>
        </w:rPr>
      </w:r>
      <w:r>
        <w:rPr>
          <w:b/>
          <w:lang w:val="en_US" w:bidi="en_US"/>
        </w:rPr>
        <w:t>if not:</w:t>
      </w:r>
      <w:r>
        <w:rPr>
          <w:lang w:val="en_US" w:bidi="en_US"/>
        </w:rPr>
        <w:t xml:space="preserve"> The phrase </w:t>
      </w:r>
      <w:r>
        <w:rPr>
          <w:i/>
          <w:lang w:val="en_US" w:bidi="en_US"/>
        </w:rPr>
        <w:t>if not</w:t>
      </w:r>
      <w:r>
        <w:rPr>
          <w:lang w:val="en_US" w:bidi="en_US"/>
        </w:rPr>
        <w:t xml:space="preserve"> is an ellipsis. The complete clause would be “if </w:t>
      </w:r>
      <w:r>
        <w:rPr>
          <w:lang w:val="en_US" w:bidi="en_US"/>
        </w:rPr>
        <w:t>a man of peace is</w:t>
      </w:r>
      <w:r>
        <w:rPr>
          <w:lang w:val="en_US" w:bidi="en_US"/>
        </w:rPr>
        <w:t xml:space="preserve"> not </w:t>
      </w:r>
      <w:r>
        <w:rPr>
          <w:lang w:val="en_US" w:bidi="en_US"/>
        </w:rPr>
        <w:t>there</w:t>
      </w:r>
      <w:r>
        <w:rPr>
          <w:lang w:val="en_US" w:bidi="en_US"/>
        </w:rPr>
        <w:t>.” This implies, “If the leader of the home does not receive you.” Here is a way to fill in the missing information:</w:t>
      </w:r>
    </w:p>
    <w:p>
      <w:pPr/>
      <w:r>
        <w:rPr>
          <w:lang w:val="en_US" w:bidi="en_US"/>
        </w:rPr>
      </w:r>
      <w:r>
        <w:rPr>
          <w:lang w:val="en_US" w:bidi="en_US"/>
        </w:rPr>
        <w:t>But if they are not peace-loving (CEV)</w:t>
      </w:r>
    </w:p>
    <w:p>
      <w:pPr/>
      <w:r>
        <w:rPr>
          <w:lang w:val="en_US" w:bidi="en_US"/>
        </w:rPr>
      </w:r>
      <w:r>
        <w:rPr>
          <w:b/>
          <w:lang w:val="en_US" w:bidi="en_US"/>
        </w:rPr>
        <w:t>it will return to you:</w:t>
      </w:r>
      <w:r>
        <w:rPr>
          <w:lang w:val="en_US" w:bidi="en_US"/>
        </w:rPr>
        <w:t xml:space="preserve"> The clause </w:t>
      </w:r>
      <w:r>
        <w:rPr>
          <w:i/>
          <w:lang w:val="en_US" w:bidi="en_US"/>
        </w:rPr>
        <w:t>it will return to you</w:t>
      </w:r>
      <w:r>
        <w:rPr>
          <w:lang w:val="en_US" w:bidi="en_US"/>
        </w:rPr>
        <w:t xml:space="preserve"> indicates that the family would not receive the blessing that the disciples spoke when they entered the home. It would be as if the disciples had never spoken the words of blessing. This phrase probably does not mean that the disciples would receive the blessing instead of the family. Other ways to translate this clause are:</w:t>
      </w:r>
    </w:p>
    <w:p>
      <w:pPr/>
      <w:r>
        <w:rPr>
          <w:lang w:val="en_US" w:bidi="en_US"/>
        </w:rPr>
      </w:r>
      <w:r>
        <w:rPr>
          <w:lang w:val="en_US" w:bidi="en_US"/>
        </w:rPr>
        <w:t xml:space="preserve">he will not receive the blessing/peace you </w:t>
      </w:r>
      <w:r>
        <w:rPr>
          <w:lang w:val="en_US" w:bidi="en_US"/>
        </w:rPr>
        <w:t>asked God to give him</w:t>
      </w:r>
    </w:p>
    <w:p>
      <w:pPr/>
      <w:r>
        <w:rPr>
          <w:lang w:val="en_US" w:bidi="en_US"/>
        </w:rPr>
      </w:r>
      <w:r>
        <w:rPr>
          <w:lang w:val="en_US" w:bidi="en_US"/>
        </w:rPr>
        <w:t>God</w:t>
      </w:r>
      <w:r>
        <w:rPr>
          <w:lang w:val="en_US" w:bidi="en_US"/>
        </w:rPr>
        <w:t xml:space="preserve"> will not give it to him</w:t>
      </w:r>
      <w:r>
        <w:rPr>
          <w:lang w:val="en_US" w:bidi="en_US"/>
        </w:rPr>
      </w:r>
      <w:r>
        <w:rPr>
          <w:lang w:val="en_US" w:bidi="en_US"/>
        </w:rPr>
      </w:r>
    </w:p>
    <w:p>
      <w:pPr/>
      <w:r>
        <w:rPr>
          <w:lang w:val="en_US" w:bidi="en_US"/>
        </w:rPr>
      </w:r>
    </w:p>
    <w:p>
      <w:pPr>
        <w:pStyle w:val="Heading2"/>
      </w:pPr>
      <w:r>
        <w:rPr>
          <w:lang w:val="en_US" w:bidi="en_US"/>
        </w:rPr>
        <w:t>Luke 10:7</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5"/>
      </w:pPr>
      <w:r>
        <w:rPr>
          <w:lang w:val="en_US" w:bidi="en_US"/>
        </w:rPr>
        <w:t>10:7a</w:t>
      </w:r>
    </w:p>
    <w:p>
      <w:pPr/>
      <w:r>
        <w:rPr>
          <w:lang w:val="en_US" w:bidi="en_US"/>
        </w:rPr>
      </w:r>
      <w:r>
        <w:rPr>
          <w:b/>
          <w:lang w:val="en_US" w:bidi="en_US"/>
        </w:rPr>
        <w:t>Stay at the same house,</w:t>
      </w:r>
    </w:p>
    <w:p>
      <w:pPr>
        <w:pStyle w:val="ListBullet"/>
        <w:spacing w:line="240" w:lineRule="auto"/>
        <w:ind w:left="720"/>
      </w:pPr>
      <w:r>
        <w:rPr>
          <w:lang w:val="en_US" w:bidi="en_US"/>
        </w:rPr>
      </w:r>
      <w:r>
        <w:rPr>
          <w:lang w:val="en_US" w:bidi="en_US"/>
        </w:rPr>
        <w:t>Live/remain</w:t>
      </w:r>
      <w:r>
        <w:rPr>
          <w:vertAlign w:val="superscript"/>
          <w:lang w:val="en_US" w:bidi="en_US"/>
        </w:rPr>
        <w:t>(plur)</w:t>
      </w:r>
      <w:r>
        <w:rPr>
          <w:lang w:val="en_US" w:bidi="en_US"/>
        </w:rPr>
        <w:t xml:space="preserve"> in that/his house,</w:t>
      </w:r>
    </w:p>
    <w:p>
      <w:pPr>
        <w:pStyle w:val="ListBullet"/>
        <w:spacing w:line="240" w:lineRule="auto"/>
        <w:ind w:left="720"/>
      </w:pPr>
      <w:r>
        <w:rPr>
          <w:lang w:val="en_US" w:bidi="en_US"/>
        </w:rPr>
      </w:r>
      <w:r>
        <w:rPr>
          <w:lang w:val="en_US" w:bidi="en_US"/>
        </w:rPr>
        <w:t>Stay</w:t>
      </w:r>
      <w:r>
        <w:rPr>
          <w:vertAlign w:val="superscript"/>
          <w:lang w:val="en_US" w:bidi="en_US"/>
        </w:rPr>
        <w:t>(plur)</w:t>
      </w:r>
      <w:r>
        <w:rPr>
          <w:lang w:val="en_US" w:bidi="en_US"/>
        </w:rPr>
        <w:t xml:space="preserve"> with the family </w:t>
      </w:r>
      <w:r>
        <w:rPr>
          <w:lang w:val="en_US" w:bidi="en_US"/>
        </w:rPr>
        <w:t>that received/invited you</w:t>
      </w:r>
      <w:r>
        <w:rPr>
          <w:lang w:val="en_US" w:bidi="en_US"/>
        </w:rPr>
        <w:t>,</w:t>
      </w:r>
    </w:p>
    <w:p>
      <w:pPr/>
      <w:r>
        <w:rPr>
          <w:lang w:val="en_US" w:bidi="en_US"/>
        </w:rPr>
      </w:r>
      <w:r>
        <w:rPr>
          <w:b/>
          <w:lang w:val="en_US" w:bidi="en_US"/>
        </w:rPr>
        <w:t>Stay at the same house:</w:t>
      </w:r>
      <w:r>
        <w:rPr>
          <w:lang w:val="en_US" w:bidi="en_US"/>
        </w:rPr>
        <w:t xml:space="preserve"> Jesus wanted the disciples to return to that house to sleep each night. He did not mean they could not leave that house for any reason. See the note on 9:4a–b. Other ways to translate this command are:</w:t>
      </w:r>
    </w:p>
    <w:p>
      <w:pPr/>
      <w:r>
        <w:rPr>
          <w:lang w:val="en_US" w:bidi="en_US"/>
        </w:rPr>
      </w:r>
      <w:r>
        <w:rPr>
          <w:lang w:val="en_US" w:bidi="en_US"/>
        </w:rPr>
        <w:t>Stay with the same family (CEV)</w:t>
      </w:r>
    </w:p>
    <w:p>
      <w:pPr/>
      <w:r>
        <w:rPr>
          <w:lang w:val="en_US" w:bidi="en_US"/>
        </w:rPr>
      </w:r>
      <w:r>
        <w:rPr>
          <w:lang w:val="en_US" w:bidi="en_US"/>
        </w:rPr>
        <w:t>Stay with the family that accepts you. (GW)</w:t>
      </w:r>
    </w:p>
    <w:p>
      <w:pPr/>
      <w:r>
        <w:rPr>
          <w:lang w:val="en_US" w:bidi="en_US"/>
        </w:rPr>
      </w:r>
      <w:r>
        <w:rPr>
          <w:b/>
          <w:lang w:val="en_US" w:bidi="en_US"/>
        </w:rPr>
        <w:t>the same house:</w:t>
      </w:r>
      <w:r>
        <w:rPr>
          <w:lang w:val="en_US" w:bidi="en_US"/>
        </w:rPr>
        <w:t xml:space="preserve"> The phrase </w:t>
      </w:r>
      <w:r>
        <w:rPr>
          <w:i/>
          <w:lang w:val="en_US" w:bidi="en_US"/>
        </w:rPr>
        <w:t>the same house</w:t>
      </w:r>
      <w:r>
        <w:rPr>
          <w:lang w:val="en_US" w:bidi="en_US"/>
        </w:rPr>
        <w:t xml:space="preserve"> refers to the house where there was a man of peace who was willing to receive them.</w:t>
      </w:r>
    </w:p>
    <w:p>
      <w:pPr>
        <w:pStyle w:val="Heading5"/>
      </w:pPr>
      <w:r>
        <w:rPr>
          <w:lang w:val="en_US" w:bidi="en_US"/>
        </w:rPr>
        <w:t>10:7b</w:t>
      </w:r>
    </w:p>
    <w:p>
      <w:pPr/>
      <w:r>
        <w:rPr>
          <w:lang w:val="en_US" w:bidi="en_US"/>
        </w:rPr>
      </w:r>
      <w:r>
        <w:rPr>
          <w:b/>
          <w:lang w:val="en_US" w:bidi="en_US"/>
        </w:rPr>
        <w:t>eating and drinking whatever you are offered.</w:t>
      </w:r>
    </w:p>
    <w:p>
      <w:pPr>
        <w:pStyle w:val="ListBullet"/>
        <w:spacing w:line="240" w:lineRule="auto"/>
        <w:ind w:left="720"/>
      </w:pPr>
      <w:r>
        <w:rPr>
          <w:lang w:val="en_US" w:bidi="en_US"/>
        </w:rPr>
      </w:r>
      <w:r>
        <w:rPr>
          <w:lang w:val="en_US" w:bidi="en_US"/>
        </w:rPr>
        <w:t>and eat and drink whatever the people there feed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and eat the meals that they put before you</w:t>
      </w:r>
      <w:r>
        <w:rPr>
          <w:vertAlign w:val="superscript"/>
          <w:lang w:val="en_US" w:bidi="en_US"/>
        </w:rPr>
        <w:t>(plur)</w:t>
      </w:r>
      <w:r>
        <w:rPr>
          <w:lang w:val="en_US" w:bidi="en_US"/>
        </w:rPr>
        <w:t>.</w:t>
      </w:r>
    </w:p>
    <w:p>
      <w:pPr/>
      <w:r>
        <w:rPr>
          <w:lang w:val="en_US" w:bidi="en_US"/>
        </w:rPr>
      </w:r>
      <w:r>
        <w:rPr>
          <w:b/>
          <w:lang w:val="en_US" w:bidi="en_US"/>
        </w:rPr>
        <w:t>eating and drinking whatever you are offered:</w:t>
      </w:r>
      <w:r>
        <w:rPr>
          <w:lang w:val="en_US" w:bidi="en_US"/>
        </w:rPr>
        <w:t xml:space="preserve"> Jesus wanted the disciples to feel free to eat whatever their hosts gave them to eat. He implied that they would not pay for this food.</w:t>
      </w:r>
    </w:p>
    <w:p>
      <w:pPr/>
      <w:r>
        <w:rPr>
          <w:lang w:val="en_US" w:bidi="en_US"/>
        </w:rPr>
      </w:r>
      <w:r>
        <w:rPr>
          <w:b/>
          <w:lang w:val="en_US" w:bidi="en_US"/>
        </w:rPr>
        <w:t>whatever you are offered:</w:t>
      </w:r>
      <w:r>
        <w:rPr>
          <w:lang w:val="en_US" w:bidi="en_US"/>
        </w:rPr>
        <w:t xml:space="preserve"> The Greek phrase that the BSB translates as </w:t>
      </w:r>
      <w:r>
        <w:rPr>
          <w:i/>
          <w:lang w:val="en_US" w:bidi="en_US"/>
        </w:rPr>
        <w:t>whatever you are offered</w:t>
      </w:r>
      <w:r>
        <w:rPr>
          <w:lang w:val="en_US" w:bidi="en_US"/>
        </w:rPr>
        <w:t xml:space="preserve"> is literally “the [things] from them.” The pronoun “them” refers to the people in the house where the disciples stayed. For example:</w:t>
      </w:r>
    </w:p>
    <w:p>
      <w:pPr/>
      <w:r>
        <w:rPr>
          <w:lang w:val="en_US" w:bidi="en_US"/>
        </w:rPr>
      </w:r>
      <w:r>
        <w:rPr>
          <w:lang w:val="en_US" w:bidi="en_US"/>
        </w:rPr>
        <w:t xml:space="preserve">eating and drinking what </w:t>
      </w:r>
      <w:r>
        <w:rPr>
          <w:u w:val="single"/>
          <w:lang w:val="en_US" w:bidi="en_US"/>
        </w:rPr>
        <w:t>the people there</w:t>
      </w:r>
      <w:r>
        <w:rPr>
          <w:lang w:val="en_US" w:bidi="en_US"/>
        </w:rPr>
        <w:t xml:space="preserve"> give you (NCV)</w:t>
      </w:r>
    </w:p>
    <w:p>
      <w:pPr>
        <w:pStyle w:val="Heading5"/>
      </w:pPr>
      <w:r>
        <w:rPr>
          <w:lang w:val="en_US" w:bidi="en_US"/>
        </w:rPr>
        <w:t>10:7c</w:t>
      </w:r>
    </w:p>
    <w:p>
      <w:pPr/>
      <w:r>
        <w:rPr>
          <w:lang w:val="en_US" w:bidi="en_US"/>
        </w:rPr>
      </w:r>
      <w:r>
        <w:rPr>
          <w:b/>
          <w:lang w:val="en_US" w:bidi="en_US"/>
        </w:rPr>
        <w:t>For the worker is worthy of his wages.</w:t>
      </w:r>
    </w:p>
    <w:p>
      <w:pPr>
        <w:pStyle w:val="ListBullet"/>
        <w:spacing w:line="240" w:lineRule="auto"/>
        <w:ind w:left="720"/>
      </w:pPr>
      <w:r>
        <w:rPr>
          <w:lang w:val="en_US" w:bidi="en_US"/>
        </w:rPr>
      </w:r>
      <w:r>
        <w:rPr>
          <w:lang w:val="en_US" w:bidi="en_US"/>
        </w:rPr>
        <w:t>because those who work deserve their pay. (NLT)</w:t>
      </w:r>
    </w:p>
    <w:p>
      <w:pPr>
        <w:pStyle w:val="ListBullet"/>
        <w:spacing w:line="240" w:lineRule="auto"/>
        <w:ind w:left="720"/>
      </w:pPr>
      <w:r>
        <w:rPr>
          <w:lang w:val="en_US" w:bidi="en_US"/>
        </w:rPr>
      </w:r>
      <w:r>
        <w:rPr>
          <w:lang w:val="en_US" w:bidi="en_US"/>
        </w:rPr>
        <w:t>I say this</w:t>
      </w:r>
      <w:r>
        <w:rPr>
          <w:lang w:val="en_US" w:bidi="en_US"/>
        </w:rPr>
        <w:t xml:space="preserve"> because it is right for a/the worker to receive pay for the work he does.</w:t>
      </w:r>
    </w:p>
    <w:p>
      <w:pPr>
        <w:pStyle w:val="ListBullet"/>
        <w:spacing w:line="240" w:lineRule="auto"/>
        <w:ind w:left="720"/>
      </w:pPr>
      <w:r>
        <w:rPr>
          <w:lang w:val="en_US" w:bidi="en_US"/>
        </w:rPr>
      </w:r>
      <w:r>
        <w:rPr>
          <w:lang w:val="en_US" w:bidi="en_US"/>
        </w:rPr>
        <w:t>It is proper/appropriate for you</w:t>
      </w:r>
      <w:r>
        <w:rPr>
          <w:vertAlign w:val="superscript"/>
          <w:lang w:val="en_US" w:bidi="en_US"/>
        </w:rPr>
        <w:t>(plur)</w:t>
      </w:r>
      <w:r>
        <w:rPr>
          <w:lang w:val="en_US" w:bidi="en_US"/>
        </w:rPr>
        <w:t xml:space="preserve"> </w:t>
      </w:r>
      <w:r>
        <w:rPr>
          <w:lang w:val="en_US" w:bidi="en_US"/>
        </w:rPr>
        <w:t>to do this,</w:t>
      </w:r>
      <w:r>
        <w:rPr>
          <w:lang w:val="en_US" w:bidi="en_US"/>
        </w:rPr>
        <w:t xml:space="preserve"> because you deserve </w:t>
      </w:r>
      <w:r>
        <w:rPr>
          <w:lang w:val="en_US" w:bidi="en_US"/>
        </w:rPr>
        <w:t>to be fed</w:t>
      </w:r>
      <w:r>
        <w:rPr>
          <w:lang w:val="en_US" w:bidi="en_US"/>
        </w:rPr>
        <w:t xml:space="preserve"> as payment for the work that you are doing.</w:t>
      </w:r>
    </w:p>
    <w:p>
      <w:pPr/>
      <w:r>
        <w:rPr>
          <w:lang w:val="en_US" w:bidi="en_US"/>
        </w:rPr>
      </w:r>
      <w:r>
        <w:rPr>
          <w:b/>
          <w:lang w:val="en_US" w:bidi="en_US"/>
        </w:rPr>
        <w:t>For:</w:t>
      </w:r>
      <w:r>
        <w:rPr>
          <w:lang w:val="en_US" w:bidi="en_US"/>
        </w:rPr>
        <w:t xml:space="preserve"> The Greek conjunction </w:t>
      </w:r>
      <w:r>
        <w:rPr>
          <w:i/>
          <w:lang w:val="en_US" w:bidi="en_US"/>
        </w:rPr>
        <w:t>gar</w:t>
      </w:r>
      <w:r>
        <w:rPr>
          <w:lang w:val="en_US" w:bidi="en_US"/>
        </w:rPr>
        <w:t xml:space="preserve"> that the BSB translates as </w:t>
      </w:r>
      <w:r>
        <w:rPr>
          <w:i/>
          <w:lang w:val="en_US" w:bidi="en_US"/>
        </w:rPr>
        <w:t>For</w:t>
      </w:r>
      <w:r>
        <w:rPr>
          <w:lang w:val="en_US" w:bidi="en_US"/>
        </w:rPr>
        <w:t xml:space="preserve"> here introduces a proverb. The proverb implies that the disciples have the right to eat and drink what their hosts give them. If it is not clear how this proverb gives the basis for the previous statement in 10:7b, you may want to supply the implied connection. For example:</w:t>
      </w:r>
    </w:p>
    <w:p>
      <w:pPr/>
      <w:r>
        <w:rPr>
          <w:lang w:val="en_US" w:bidi="en_US"/>
        </w:rPr>
      </w:r>
      <w:r>
        <w:rPr>
          <w:lang w:val="en_US" w:bidi="en_US"/>
        </w:rPr>
        <w:t>It is appropriate for you to do this</w:t>
      </w:r>
      <w:r>
        <w:rPr>
          <w:lang w:val="en_US" w:bidi="en_US"/>
        </w:rPr>
        <w:t xml:space="preserve"> because the worker…</w:t>
      </w:r>
    </w:p>
    <w:p>
      <w:pPr/>
      <w:r>
        <w:rPr>
          <w:lang w:val="en_US" w:bidi="en_US"/>
        </w:rPr>
      </w:r>
      <w:r>
        <w:rPr>
          <w:b/>
          <w:lang w:val="en_US" w:bidi="en_US"/>
        </w:rPr>
        <w:t>the worker is worthy of his wages:</w:t>
      </w:r>
      <w:r>
        <w:rPr>
          <w:lang w:val="en_US" w:bidi="en_US"/>
        </w:rPr>
        <w:t xml:space="preserve"> The clause </w:t>
      </w:r>
      <w:r>
        <w:rPr>
          <w:i/>
          <w:lang w:val="en_US" w:bidi="en_US"/>
        </w:rPr>
        <w:t>the worker is worthy of his wages</w:t>
      </w:r>
      <w:r>
        <w:rPr>
          <w:lang w:val="en_US" w:bidi="en_US"/>
        </w:rPr>
        <w:t xml:space="preserve"> was probably a proverb or common saying in Jesus’ time. It meant that anyone who did work had the right to receive payment for his work. Jesus used this proverb to say that it was right for his disciples to receive food and a place to sleep from those whom they were teaching and serving. They did not need to pay their hosts for this. See also 1 Timothy 5:18, where this same proverb is quoted. Some other ways to translate this proverb include:</w:t>
      </w:r>
    </w:p>
    <w:p>
      <w:pPr/>
      <w:r>
        <w:rPr>
          <w:lang w:val="en_US" w:bidi="en_US"/>
        </w:rPr>
      </w:r>
      <w:r>
        <w:rPr>
          <w:lang w:val="en_US" w:bidi="en_US"/>
        </w:rPr>
        <w:t>those who work deserve their pay (NLT)</w:t>
      </w:r>
    </w:p>
    <w:p>
      <w:pPr/>
      <w:r>
        <w:rPr>
          <w:lang w:val="en_US" w:bidi="en_US"/>
        </w:rPr>
      </w:r>
      <w:r>
        <w:rPr>
          <w:lang w:val="en_US" w:bidi="en_US"/>
        </w:rPr>
        <w:t>workers are worth what they earn (CEV)</w:t>
      </w:r>
    </w:p>
    <w:p>
      <w:pPr/>
      <w:r>
        <w:rPr>
          <w:lang w:val="en_US" w:bidi="en_US"/>
        </w:rPr>
      </w:r>
      <w:r>
        <w:rPr>
          <w:lang w:val="en_US" w:bidi="en_US"/>
        </w:rPr>
        <w:t>A worker should be given his pay. (NCV)</w:t>
      </w:r>
    </w:p>
    <w:p>
      <w:pPr>
        <w:pStyle w:val="Heading5"/>
      </w:pPr>
      <w:r>
        <w:rPr>
          <w:lang w:val="en_US" w:bidi="en_US"/>
        </w:rPr>
        <w:t>10:7d</w:t>
      </w:r>
    </w:p>
    <w:p>
      <w:pPr/>
      <w:r>
        <w:rPr>
          <w:lang w:val="en_US" w:bidi="en_US"/>
        </w:rPr>
      </w:r>
      <w:r>
        <w:rPr>
          <w:b/>
          <w:lang w:val="en_US" w:bidi="en_US"/>
        </w:rPr>
        <w:t>Do not move around from house to house.</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stay in different houses </w:t>
      </w:r>
      <w:r>
        <w:rPr>
          <w:lang w:val="en_US" w:bidi="en_US"/>
        </w:rPr>
        <w:t>in the same town</w:t>
      </w:r>
      <w:r>
        <w:rPr>
          <w:lang w:val="en_US" w:bidi="en_US"/>
        </w:rPr>
        <w:t>.</w:t>
      </w:r>
    </w:p>
    <w:p>
      <w:pPr/>
      <w:r>
        <w:rPr>
          <w:lang w:val="en_US" w:bidi="en_US"/>
        </w:rPr>
      </w:r>
      <w:r>
        <w:rPr>
          <w:b/>
          <w:lang w:val="en_US" w:bidi="en_US"/>
        </w:rPr>
        <w:t>Do not move around from house to house:</w:t>
      </w:r>
      <w:r>
        <w:rPr>
          <w:lang w:val="en_US" w:bidi="en_US"/>
        </w:rPr>
        <w:t xml:space="preserve"> The command </w:t>
      </w:r>
      <w:r>
        <w:rPr>
          <w:i/>
          <w:lang w:val="en_US" w:bidi="en_US"/>
        </w:rPr>
        <w:t>Do not move around from house to house</w:t>
      </w:r>
      <w:r>
        <w:rPr>
          <w:lang w:val="en_US" w:bidi="en_US"/>
        </w:rPr>
        <w:t xml:space="preserve"> indicates that the disciples should sleep and eat with the family that had first invited them. They should not sleep in different houses. See the note on 9:4a–b.</w:t>
      </w:r>
    </w:p>
    <w:p>
      <w:pPr>
        <w:pStyle w:val="Heading6"/>
      </w:pPr>
      <w:r>
        <w:rPr>
          <w:b/>
          <w:lang w:val="en_US" w:bidi="en_US"/>
        </w:rPr>
        <w:t>General Comment on 10:7a–d</w:t>
      </w:r>
    </w:p>
    <w:p>
      <w:pPr/>
      <w:r>
        <w:rPr>
          <w:lang w:val="en_US" w:bidi="en_US"/>
        </w:rPr>
      </w:r>
      <w:r>
        <w:rPr>
          <w:lang w:val="en_US" w:bidi="en_US"/>
        </w:rPr>
        <w:t>In some languages it may be more natural to change the order of the parts in this verse. For example:</w:t>
      </w:r>
    </w:p>
    <w:p>
      <w:pPr/>
      <w:r>
        <w:rPr>
          <w:lang w:val="en_US" w:bidi="en_US"/>
        </w:rPr>
      </w:r>
      <w:r>
        <w:rPr>
          <w:vertAlign w:val="superscript"/>
          <w:lang w:val="en_US" w:bidi="en_US"/>
        </w:rPr>
        <w:t>7d</w:t>
      </w:r>
      <w:r>
        <w:rPr>
          <w:lang w:val="en_US" w:bidi="en_US"/>
        </w:rPr>
        <w:t xml:space="preserve">Don’t move around from home to home. </w:t>
      </w:r>
      <w:r>
        <w:rPr>
          <w:vertAlign w:val="superscript"/>
          <w:lang w:val="en_US" w:bidi="en_US"/>
        </w:rPr>
        <w:t>7a</w:t>
      </w:r>
      <w:r>
        <w:rPr>
          <w:lang w:val="en_US" w:bidi="en_US"/>
        </w:rPr>
        <w:t xml:space="preserve">Stay in one place, </w:t>
      </w:r>
      <w:r>
        <w:rPr>
          <w:vertAlign w:val="superscript"/>
          <w:lang w:val="en_US" w:bidi="en_US"/>
        </w:rPr>
        <w:t>7b</w:t>
      </w:r>
      <w:r>
        <w:rPr>
          <w:lang w:val="en_US" w:bidi="en_US"/>
        </w:rPr>
        <w:t xml:space="preserve">eating and drinking what they provide. </w:t>
      </w:r>
      <w:r>
        <w:rPr>
          <w:vertAlign w:val="superscript"/>
          <w:lang w:val="en_US" w:bidi="en_US"/>
        </w:rPr>
        <w:t>7c</w:t>
      </w:r>
      <w:r>
        <w:rPr>
          <w:lang w:val="en_US" w:bidi="en_US"/>
        </w:rPr>
        <w:t>Don’t hesitate to accept hospitality, because those who work deserve their pay. (NLT)</w:t>
      </w:r>
      <w:r>
        <w:rPr>
          <w:lang w:val="en_US" w:bidi="en_US"/>
        </w:rPr>
      </w:r>
      <w:r>
        <w:rPr>
          <w:lang w:val="en_US" w:bidi="en_US"/>
        </w:rPr>
      </w:r>
    </w:p>
    <w:p>
      <w:pPr/>
      <w:r>
        <w:rPr>
          <w:lang w:val="en_US" w:bidi="en_US"/>
        </w:rPr>
      </w:r>
    </w:p>
    <w:p>
      <w:pPr>
        <w:pStyle w:val="Heading2"/>
      </w:pPr>
      <w:r>
        <w:rPr>
          <w:lang w:val="en_US" w:bidi="en_US"/>
        </w:rPr>
        <w:t>Luke 10:8</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5"/>
      </w:pPr>
      <w:r>
        <w:rPr>
          <w:lang w:val="en_US" w:bidi="en_US"/>
        </w:rPr>
        <w:t>10:8a</w:t>
      </w:r>
    </w:p>
    <w:p>
      <w:pPr/>
      <w:r>
        <w:rPr>
          <w:lang w:val="en_US" w:bidi="en_US"/>
        </w:rPr>
      </w:r>
      <w:r>
        <w:rPr>
          <w:b/>
          <w:lang w:val="en_US" w:bidi="en_US"/>
        </w:rPr>
        <w:t>If you enter a town and they welcome you,</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go into a town and </w:t>
      </w:r>
      <w:r>
        <w:rPr>
          <w:lang w:val="en_US" w:bidi="en_US"/>
        </w:rPr>
        <w:t>the people</w:t>
      </w:r>
      <w:r>
        <w:rPr>
          <w:lang w:val="en_US" w:bidi="en_US"/>
        </w:rPr>
        <w:t xml:space="preserve"> happily receive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Whenever you</w:t>
      </w:r>
      <w:r>
        <w:rPr>
          <w:vertAlign w:val="superscript"/>
          <w:lang w:val="en_US" w:bidi="en_US"/>
        </w:rPr>
        <w:t>(plur)</w:t>
      </w:r>
      <w:r>
        <w:rPr>
          <w:lang w:val="en_US" w:bidi="en_US"/>
        </w:rPr>
        <w:t xml:space="preserve"> arrive in a town where </w:t>
      </w:r>
      <w:r>
        <w:rPr>
          <w:lang w:val="en_US" w:bidi="en_US"/>
        </w:rPr>
        <w:t>the inhabitants</w:t>
      </w:r>
      <w:r>
        <w:rPr>
          <w:lang w:val="en_US" w:bidi="en_US"/>
        </w:rPr>
        <w:t xml:space="preserve"> welcome you,</w:t>
      </w:r>
    </w:p>
    <w:p>
      <w:pPr/>
      <w:r>
        <w:rPr>
          <w:lang w:val="en_US" w:bidi="en_US"/>
        </w:rPr>
      </w:r>
      <w:r>
        <w:rPr>
          <w:b/>
          <w:lang w:val="en_US" w:bidi="en_US"/>
        </w:rPr>
        <w:t>If you enter a town:</w:t>
      </w:r>
      <w:r>
        <w:rPr>
          <w:lang w:val="en_US" w:bidi="en_US"/>
        </w:rPr>
        <w:t xml:space="preserve"> The clause </w:t>
      </w:r>
      <w:r>
        <w:rPr>
          <w:i/>
          <w:lang w:val="en_US" w:bidi="en_US"/>
        </w:rPr>
        <w:t>If you enter a town</w:t>
      </w:r>
      <w:r>
        <w:rPr>
          <w:lang w:val="en_US" w:bidi="en_US"/>
        </w:rPr>
        <w:t xml:space="preserve"> is a general principle. It refers to any time when the disciples arrived in a town. For example:</w:t>
      </w:r>
    </w:p>
    <w:p>
      <w:pPr/>
      <w:r>
        <w:rPr>
          <w:lang w:val="en_US" w:bidi="en_US"/>
        </w:rPr>
      </w:r>
      <w:r>
        <w:rPr>
          <w:lang w:val="en_US" w:bidi="en_US"/>
        </w:rPr>
        <w:t>Whenever you go into a town (GNT)</w:t>
      </w:r>
    </w:p>
    <w:p>
      <w:pPr/>
      <w:r>
        <w:rPr>
          <w:lang w:val="en_US" w:bidi="en_US"/>
        </w:rPr>
      </w:r>
      <w:r>
        <w:rPr>
          <w:b/>
          <w:lang w:val="en_US" w:bidi="en_US"/>
        </w:rPr>
        <w:t>and they welcome you:</w:t>
      </w:r>
      <w:r>
        <w:rPr>
          <w:lang w:val="en_US" w:bidi="en_US"/>
        </w:rPr>
        <w:t xml:space="preserve"> The Greek verb that the BSB translates as </w:t>
      </w:r>
      <w:r>
        <w:rPr>
          <w:i/>
          <w:lang w:val="en_US" w:bidi="en_US"/>
        </w:rPr>
        <w:t>and they welcome you</w:t>
      </w:r>
      <w:r>
        <w:rPr>
          <w:lang w:val="en_US" w:bidi="en_US"/>
        </w:rPr>
        <w:t xml:space="preserve"> is literally “they receive you.” The pronoun </w:t>
      </w:r>
      <w:r>
        <w:rPr>
          <w:i/>
          <w:lang w:val="en_US" w:bidi="en_US"/>
        </w:rPr>
        <w:t>they</w:t>
      </w:r>
      <w:r>
        <w:rPr>
          <w:lang w:val="en_US" w:bidi="en_US"/>
        </w:rPr>
        <w:t xml:space="preserve"> refers to the people of that town who would happily receive the disciples. Some ways to translate this verb are:</w:t>
      </w:r>
    </w:p>
    <w:p>
      <w:pPr>
        <w:pStyle w:val="ListBullet"/>
        <w:spacing w:line="240" w:lineRule="auto"/>
        <w:ind w:left="720"/>
      </w:pPr>
      <w:r>
        <w:rPr>
          <w:lang w:val="en_US" w:bidi="en_US"/>
        </w:rPr>
      </w:r>
      <w:r>
        <w:rPr>
          <w:lang w:val="en_US" w:bidi="en_US"/>
        </w:rPr>
        <w:t>As a passive verb. For example:</w:t>
      </w:r>
      <w:r>
        <w:rPr>
          <w:lang w:val="en_US" w:bidi="en_US"/>
        </w:rPr>
        <w:t>and are made welcome (GNT)</w:t>
      </w:r>
    </w:p>
    <w:p>
      <w:pPr>
        <w:pStyle w:val="ListBullet"/>
        <w:spacing w:line="240" w:lineRule="auto"/>
        <w:ind w:left="720"/>
      </w:pPr>
      <w:r>
        <w:rPr>
          <w:lang w:val="en_US" w:bidi="en_US"/>
        </w:rPr>
      </w:r>
      <w:r>
        <w:rPr>
          <w:lang w:val="en_US" w:bidi="en_US"/>
        </w:rPr>
        <w:t>As an active verb. For example:</w:t>
      </w:r>
      <w:r>
        <w:rPr>
          <w:lang w:val="en_US" w:bidi="en_US"/>
        </w:rPr>
        <w:t>and the people welcome you (GW)</w:t>
      </w:r>
      <w:r>
        <w:rPr>
          <w:lang w:val="en_US" w:bidi="en_US"/>
        </w:rPr>
        <w:t>where the inhabitants receive/accept what you say</w:t>
      </w:r>
    </w:p>
    <w:p>
      <w:pPr/>
      <w:r>
        <w:rPr>
          <w:lang w:val="en_US" w:bidi="en_US"/>
        </w:rPr>
      </w:r>
      <w:r>
        <w:rPr>
          <w:lang w:val="en_US" w:bidi="en_US"/>
        </w:rPr>
        <w:t>Translate this in the way that is most natural in your language.</w:t>
      </w:r>
    </w:p>
    <w:p>
      <w:pPr>
        <w:pStyle w:val="Heading5"/>
      </w:pPr>
      <w:r>
        <w:rPr>
          <w:lang w:val="en_US" w:bidi="en_US"/>
        </w:rPr>
        <w:t>10:8b</w:t>
      </w:r>
    </w:p>
    <w:p>
      <w:pPr/>
      <w:r>
        <w:rPr>
          <w:lang w:val="en_US" w:bidi="en_US"/>
        </w:rPr>
      </w:r>
      <w:r>
        <w:rPr>
          <w:b/>
          <w:lang w:val="en_US" w:bidi="en_US"/>
        </w:rPr>
        <w:t>eat whatever is set before you.</w:t>
      </w:r>
    </w:p>
    <w:p>
      <w:pPr>
        <w:pStyle w:val="ListBullet"/>
        <w:spacing w:line="240" w:lineRule="auto"/>
        <w:ind w:left="720"/>
      </w:pPr>
      <w:r>
        <w:rPr>
          <w:lang w:val="en_US" w:bidi="en_US"/>
        </w:rPr>
      </w:r>
      <w:r>
        <w:rPr>
          <w:lang w:val="en_US" w:bidi="en_US"/>
        </w:rPr>
        <w:t>eat the food that they give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eat whatever food that they prepare for you</w:t>
      </w:r>
      <w:r>
        <w:rPr>
          <w:vertAlign w:val="superscript"/>
          <w:lang w:val="en_US" w:bidi="en_US"/>
        </w:rPr>
        <w:t>(plur)</w:t>
      </w:r>
      <w:r>
        <w:rPr>
          <w:lang w:val="en_US" w:bidi="en_US"/>
        </w:rPr>
        <w:t>.</w:t>
      </w:r>
    </w:p>
    <w:p>
      <w:pPr/>
      <w:r>
        <w:rPr>
          <w:lang w:val="en_US" w:bidi="en_US"/>
        </w:rPr>
      </w:r>
      <w:r>
        <w:rPr>
          <w:b/>
          <w:lang w:val="en_US" w:bidi="en_US"/>
        </w:rPr>
        <w:t>eat whatever is set before you:</w:t>
      </w:r>
      <w:r>
        <w:rPr>
          <w:lang w:val="en_US" w:bidi="en_US"/>
        </w:rPr>
        <w:t xml:space="preserve"> The clause </w:t>
      </w:r>
      <w:r>
        <w:rPr>
          <w:i/>
          <w:lang w:val="en_US" w:bidi="en_US"/>
        </w:rPr>
        <w:t>eat whatever is set before you</w:t>
      </w:r>
      <w:r>
        <w:rPr>
          <w:lang w:val="en_US" w:bidi="en_US"/>
        </w:rPr>
        <w:t xml:space="preserve"> is a command. It means that the disciples should eat whatever food the people in the house give them. This clause is very similar in meaning to 10:7b.</w:t>
      </w:r>
    </w:p>
    <w:p>
      <w:pPr/>
      <w:r>
        <w:rPr>
          <w:lang w:val="en_US" w:bidi="en_US"/>
        </w:rPr>
      </w:r>
      <w:r>
        <w:rPr>
          <w:b/>
          <w:lang w:val="en_US" w:bidi="en_US"/>
        </w:rPr>
        <w:t>whatever is set before you:</w:t>
      </w:r>
      <w:r>
        <w:rPr>
          <w:lang w:val="en_US" w:bidi="en_US"/>
        </w:rPr>
        <w:t xml:space="preserve"> The Greek phrase that the BSB translates as </w:t>
      </w:r>
      <w:r>
        <w:rPr>
          <w:i/>
          <w:lang w:val="en_US" w:bidi="en_US"/>
        </w:rPr>
        <w:t>is set before you</w:t>
      </w:r>
      <w:r>
        <w:rPr>
          <w:lang w:val="en_US" w:bidi="en_US"/>
        </w:rPr>
        <w:t xml:space="preserve"> is passive. Some ways to translate this phrase are:</w:t>
      </w:r>
    </w:p>
    <w:p>
      <w:pPr>
        <w:pStyle w:val="ListBullet"/>
        <w:spacing w:line="240" w:lineRule="auto"/>
        <w:ind w:left="720"/>
      </w:pPr>
      <w:r>
        <w:rPr>
          <w:lang w:val="en_US" w:bidi="en_US"/>
        </w:rPr>
      </w:r>
      <w:r>
        <w:rPr>
          <w:lang w:val="en_US" w:bidi="en_US"/>
        </w:rPr>
        <w:t>As a passive phrase. For example:</w:t>
      </w:r>
      <w:r>
        <w:rPr>
          <w:lang w:val="en_US" w:bidi="en_US"/>
        </w:rPr>
        <w:t>the food provided for you (REB)</w:t>
      </w:r>
    </w:p>
    <w:p>
      <w:pPr>
        <w:pStyle w:val="ListBullet"/>
        <w:spacing w:line="240" w:lineRule="auto"/>
        <w:ind w:left="720"/>
      </w:pPr>
      <w:r>
        <w:rPr>
          <w:lang w:val="en_US" w:bidi="en_US"/>
        </w:rPr>
      </w:r>
      <w:r>
        <w:rPr>
          <w:lang w:val="en_US" w:bidi="en_US"/>
        </w:rPr>
        <w:t>As an active phrase. For example:</w:t>
      </w:r>
      <w:r>
        <w:rPr>
          <w:lang w:val="en_US" w:bidi="en_US"/>
        </w:rPr>
        <w:t>whatever they serve you (GW)</w:t>
      </w:r>
      <w:r>
        <w:rPr>
          <w:lang w:val="en_US" w:bidi="en_US"/>
        </w:rPr>
        <w:t>whatever food they prepare for you</w:t>
      </w:r>
    </w:p>
    <w:p>
      <w:pPr/>
      <w:r>
        <w:rPr>
          <w:lang w:val="en_US" w:bidi="en_US"/>
        </w:rPr>
      </w:r>
      <w:r>
        <w:rPr>
          <w:lang w:val="en_US" w:bidi="en_US"/>
        </w:rPr>
        <w:t>Translate this in the way that is most natural in your language.</w:t>
      </w:r>
      <w:r>
        <w:rPr>
          <w:lang w:val="en_US" w:bidi="en_US"/>
        </w:rPr>
      </w:r>
      <w:r>
        <w:rPr>
          <w:lang w:val="en_US" w:bidi="en_US"/>
        </w:rPr>
      </w:r>
    </w:p>
    <w:p>
      <w:pPr/>
      <w:r>
        <w:rPr>
          <w:lang w:val="en_US" w:bidi="en_US"/>
        </w:rPr>
      </w:r>
    </w:p>
    <w:p>
      <w:pPr>
        <w:pStyle w:val="Heading2"/>
      </w:pPr>
      <w:r>
        <w:rPr>
          <w:lang w:val="en_US" w:bidi="en_US"/>
        </w:rPr>
        <w:t>Luke 10:9</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5"/>
      </w:pPr>
      <w:r>
        <w:rPr>
          <w:lang w:val="en_US" w:bidi="en_US"/>
        </w:rPr>
        <w:t>10:9a</w:t>
      </w:r>
    </w:p>
    <w:p>
      <w:pPr/>
      <w:r>
        <w:rPr>
          <w:lang w:val="en_US" w:bidi="en_US"/>
        </w:rPr>
      </w:r>
      <w:r>
        <w:rPr>
          <w:b/>
          <w:lang w:val="en_US" w:bidi="en_US"/>
        </w:rPr>
        <w:t>Heal the sick who are there</w:t>
      </w:r>
    </w:p>
    <w:p>
      <w:pPr>
        <w:pStyle w:val="ListBullet"/>
        <w:spacing w:line="240" w:lineRule="auto"/>
        <w:ind w:left="720"/>
      </w:pPr>
      <w:r>
        <w:rPr>
          <w:lang w:val="en_US" w:bidi="en_US"/>
        </w:rPr>
      </w:r>
      <w:r>
        <w:rPr>
          <w:lang w:val="en_US" w:bidi="en_US"/>
        </w:rPr>
        <w:t>Heal</w:t>
      </w:r>
      <w:r>
        <w:rPr>
          <w:vertAlign w:val="superscript"/>
          <w:lang w:val="en_US" w:bidi="en_US"/>
        </w:rPr>
        <w:t>(plur)</w:t>
      </w:r>
      <w:r>
        <w:rPr>
          <w:lang w:val="en_US" w:bidi="en_US"/>
        </w:rPr>
        <w:t xml:space="preserve"> the sick people in that town,</w:t>
      </w:r>
    </w:p>
    <w:p>
      <w:pPr>
        <w:pStyle w:val="ListBullet"/>
        <w:spacing w:line="240" w:lineRule="auto"/>
        <w:ind w:left="720"/>
      </w:pPr>
      <w:r>
        <w:rPr>
          <w:lang w:val="en_US" w:bidi="en_US"/>
        </w:rPr>
      </w:r>
      <w:r>
        <w:rPr>
          <w:lang w:val="en_US" w:bidi="en_US"/>
        </w:rPr>
        <w:t>As for those who are sick there, make</w:t>
      </w:r>
      <w:r>
        <w:rPr>
          <w:vertAlign w:val="superscript"/>
          <w:lang w:val="en_US" w:bidi="en_US"/>
        </w:rPr>
        <w:t>(plur)</w:t>
      </w:r>
      <w:r>
        <w:rPr>
          <w:lang w:val="en_US" w:bidi="en_US"/>
        </w:rPr>
        <w:t xml:space="preserve"> them well.</w:t>
      </w:r>
    </w:p>
    <w:p>
      <w:pPr/>
      <w:r>
        <w:rPr>
          <w:lang w:val="en_US" w:bidi="en_US"/>
        </w:rPr>
      </w:r>
      <w:r>
        <w:rPr>
          <w:b/>
          <w:lang w:val="en_US" w:bidi="en_US"/>
        </w:rPr>
        <w:t>Heal the sick who are there:</w:t>
      </w:r>
      <w:r>
        <w:rPr>
          <w:lang w:val="en_US" w:bidi="en_US"/>
        </w:rPr>
        <w:t xml:space="preserve"> In this context the phrase </w:t>
      </w:r>
      <w:r>
        <w:rPr>
          <w:i/>
          <w:lang w:val="en_US" w:bidi="en_US"/>
        </w:rPr>
        <w:t>the sick who are there</w:t>
      </w:r>
      <w:r>
        <w:rPr>
          <w:lang w:val="en_US" w:bidi="en_US"/>
        </w:rPr>
        <w:t xml:space="preserve"> means “the people in that town who are sick.”</w:t>
      </w:r>
    </w:p>
    <w:p>
      <w:pPr>
        <w:pStyle w:val="Heading5"/>
      </w:pPr>
      <w:r>
        <w:rPr>
          <w:lang w:val="en_US" w:bidi="en_US"/>
        </w:rPr>
        <w:t>10:9b</w:t>
      </w:r>
    </w:p>
    <w:p>
      <w:pPr/>
      <w:r>
        <w:rPr>
          <w:lang w:val="en_US" w:bidi="en_US"/>
        </w:rPr>
      </w:r>
      <w:r>
        <w:rPr>
          <w:b/>
          <w:lang w:val="en_US" w:bidi="en_US"/>
        </w:rPr>
        <w:t>and tell them, ‘The kingdom of God is near you.’</w:t>
      </w:r>
    </w:p>
    <w:p>
      <w:pPr>
        <w:pStyle w:val="ListBullet"/>
        <w:spacing w:line="240" w:lineRule="auto"/>
        <w:ind w:left="720"/>
      </w:pPr>
      <w:r>
        <w:rPr>
          <w:lang w:val="en_US" w:bidi="en_US"/>
        </w:rPr>
      </w:r>
      <w:r>
        <w:rPr>
          <w:lang w:val="en_US" w:bidi="en_US"/>
        </w:rPr>
        <w:t>and tell</w:t>
      </w:r>
      <w:r>
        <w:rPr>
          <w:vertAlign w:val="superscript"/>
          <w:lang w:val="en_US" w:bidi="en_US"/>
        </w:rPr>
        <w:t>(plur)</w:t>
      </w:r>
      <w:r>
        <w:rPr>
          <w:lang w:val="en_US" w:bidi="en_US"/>
        </w:rPr>
        <w:t xml:space="preserve"> all the people, ‘The time for God to rule over you</w:t>
      </w:r>
      <w:r>
        <w:rPr>
          <w:vertAlign w:val="superscript"/>
          <w:lang w:val="en_US" w:bidi="en_US"/>
        </w:rPr>
        <w:t>(plur)</w:t>
      </w:r>
      <w:r>
        <w:rPr>
          <w:lang w:val="en_US" w:bidi="en_US"/>
        </w:rPr>
        <w:t xml:space="preserve"> has already arrived.’</w:t>
      </w:r>
    </w:p>
    <w:p>
      <w:pPr>
        <w:pStyle w:val="ListBullet"/>
        <w:spacing w:line="240" w:lineRule="auto"/>
        <w:ind w:left="720"/>
      </w:pPr>
      <w:r>
        <w:rPr>
          <w:lang w:val="en_US" w:bidi="en_US"/>
        </w:rPr>
      </w:r>
      <w:r>
        <w:rPr>
          <w:lang w:val="en_US" w:bidi="en_US"/>
        </w:rPr>
        <w:t>and tell</w:t>
      </w:r>
      <w:r>
        <w:rPr>
          <w:vertAlign w:val="superscript"/>
          <w:lang w:val="en_US" w:bidi="en_US"/>
        </w:rPr>
        <w:t>(plur)</w:t>
      </w:r>
      <w:r>
        <w:rPr>
          <w:lang w:val="en_US" w:bidi="en_US"/>
        </w:rPr>
        <w:t xml:space="preserve"> everyone </w:t>
      </w:r>
      <w:r>
        <w:rPr>
          <w:lang w:val="en_US" w:bidi="en_US"/>
        </w:rPr>
        <w:t>there</w:t>
      </w:r>
      <w:r>
        <w:rPr>
          <w:lang w:val="en_US" w:bidi="en_US"/>
        </w:rPr>
        <w:t>, ‘God has already come to rule over you.’</w:t>
      </w:r>
    </w:p>
    <w:p>
      <w:pPr>
        <w:pStyle w:val="ListBullet"/>
        <w:spacing w:line="240" w:lineRule="auto"/>
        <w:ind w:left="720"/>
      </w:pPr>
      <w:r>
        <w:rPr>
          <w:lang w:val="en_US" w:bidi="en_US"/>
        </w:rPr>
      </w:r>
      <w:r>
        <w:rPr>
          <w:lang w:val="en_US" w:bidi="en_US"/>
        </w:rPr>
        <w:t>Declare</w:t>
      </w:r>
      <w:r>
        <w:rPr>
          <w:vertAlign w:val="superscript"/>
          <w:lang w:val="en_US" w:bidi="en_US"/>
        </w:rPr>
        <w:t>(plur)</w:t>
      </w:r>
      <w:r>
        <w:rPr>
          <w:lang w:val="en_US" w:bidi="en_US"/>
        </w:rPr>
        <w:t xml:space="preserve"> to </w:t>
      </w:r>
      <w:r>
        <w:rPr>
          <w:lang w:val="en_US" w:bidi="en_US"/>
        </w:rPr>
        <w:t>everyone</w:t>
      </w:r>
      <w:r>
        <w:rPr>
          <w:lang w:val="en_US" w:bidi="en_US"/>
        </w:rPr>
        <w:t xml:space="preserve"> that the reign/chieftaincy of God has already approached them.</w:t>
      </w:r>
    </w:p>
    <w:p>
      <w:pPr/>
      <w:r>
        <w:rPr>
          <w:lang w:val="en_US" w:bidi="en_US"/>
        </w:rPr>
      </w:r>
      <w:r>
        <w:rPr>
          <w:lang w:val="en_US" w:bidi="en_US"/>
        </w:rPr>
        <w:t>In some languages it may be more natural to use indirect speech for 10:9b. See the General Comment on 10:9b for a suggestion.</w:t>
      </w:r>
    </w:p>
    <w:p>
      <w:pPr/>
      <w:r>
        <w:rPr>
          <w:lang w:val="en_US" w:bidi="en_US"/>
        </w:rPr>
      </w:r>
      <w:r>
        <w:rPr>
          <w:b/>
          <w:lang w:val="en_US" w:bidi="en_US"/>
        </w:rPr>
        <w:t>and tell them:</w:t>
      </w:r>
      <w:r>
        <w:rPr>
          <w:lang w:val="en_US" w:bidi="en_US"/>
        </w:rPr>
        <w:t xml:space="preserve"> The pronoun </w:t>
      </w:r>
      <w:r>
        <w:rPr>
          <w:i/>
          <w:lang w:val="en_US" w:bidi="en_US"/>
        </w:rPr>
        <w:t>them</w:t>
      </w:r>
      <w:r>
        <w:rPr>
          <w:lang w:val="en_US" w:bidi="en_US"/>
        </w:rPr>
        <w:t xml:space="preserve"> refers to all the people in the town, not only the people whom the disciples healed.</w:t>
      </w:r>
    </w:p>
    <w:p>
      <w:pPr/>
      <w:r>
        <w:rPr>
          <w:lang w:val="en_US" w:bidi="en_US"/>
        </w:rPr>
      </w:r>
      <w:r>
        <w:rPr>
          <w:b/>
          <w:lang w:val="en_US" w:bidi="en_US"/>
        </w:rPr>
        <w:t>The kingdom of God is near you:</w:t>
      </w:r>
      <w:r>
        <w:rPr>
          <w:lang w:val="en_US" w:bidi="en_US"/>
        </w:rPr>
        <w:t xml:space="preserve"> The Greek clause that the BSB translates as </w:t>
      </w:r>
      <w:r>
        <w:rPr>
          <w:i/>
          <w:lang w:val="en_US" w:bidi="en_US"/>
        </w:rPr>
        <w:t>The kingdom of God is near you</w:t>
      </w:r>
      <w:r>
        <w:rPr>
          <w:lang w:val="en_US" w:bidi="en_US"/>
        </w:rPr>
        <w:t xml:space="preserve"> is literally “the kingdom of God has approached you” or “the kingdom of God has come near to you.” This clause probably means here that God’s kingdom had already arrived. God had already begun to rule and save his people through Jesus’ teaching and miracles. Some other ways to translate this clause are:</w:t>
      </w:r>
    </w:p>
    <w:p>
      <w:pPr/>
      <w:r>
        <w:rPr>
          <w:lang w:val="en_US" w:bidi="en_US"/>
        </w:rPr>
      </w:r>
      <w:r>
        <w:rPr>
          <w:lang w:val="en_US" w:bidi="en_US"/>
        </w:rPr>
        <w:t>God has already come to rule and save you as king.</w:t>
      </w:r>
    </w:p>
    <w:p>
      <w:pPr/>
      <w:r>
        <w:rPr>
          <w:lang w:val="en_US" w:bidi="en_US"/>
        </w:rPr>
      </w:r>
      <w:r>
        <w:rPr>
          <w:lang w:val="en_US" w:bidi="en_US"/>
        </w:rPr>
        <w:t xml:space="preserve">God is </w:t>
      </w:r>
      <w:r>
        <w:rPr>
          <w:lang w:val="en_US" w:bidi="en_US"/>
        </w:rPr>
        <w:t>even now</w:t>
      </w:r>
      <w:r>
        <w:rPr>
          <w:lang w:val="en_US" w:bidi="en_US"/>
        </w:rPr>
        <w:t xml:space="preserve"> among you to rule and deliver you</w:t>
      </w:r>
    </w:p>
    <w:p>
      <w:pPr/>
      <w:r>
        <w:rPr>
          <w:lang w:val="en_US" w:bidi="en_US"/>
        </w:rPr>
      </w:r>
      <w:r>
        <w:rPr>
          <w:b/>
          <w:lang w:val="en_US" w:bidi="en_US"/>
        </w:rPr>
        <w:t>The kingdom of God:</w:t>
      </w:r>
      <w:r>
        <w:rPr>
          <w:lang w:val="en_US" w:bidi="en_US"/>
        </w:rPr>
        <w:t xml:space="preserve"> The phrase </w:t>
      </w:r>
      <w:r>
        <w:rPr>
          <w:i/>
          <w:lang w:val="en_US" w:bidi="en_US"/>
        </w:rPr>
        <w:t>The kingdom of God</w:t>
      </w:r>
      <w:r>
        <w:rPr>
          <w:lang w:val="en_US" w:bidi="en_US"/>
        </w:rPr>
        <w:t xml:space="preserve"> does not refer here to a land or country that God rules over. It refers to the relationship that God has with his people. He rules them, and leads, protects, and cares for them. They obey, trust, and submit to him as their king.</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As a noun. For example:</w:t>
      </w:r>
      <w:r>
        <w:rPr>
          <w:lang w:val="en_US" w:bidi="en_US"/>
        </w:rPr>
        <w:t>God’s rule/reign</w:t>
      </w:r>
      <w:r>
        <w:rPr>
          <w:lang w:val="en_US" w:bidi="en_US"/>
        </w:rPr>
        <w:t>God’s kingship</w:t>
      </w:r>
      <w:r>
        <w:rPr>
          <w:lang w:val="en_US" w:bidi="en_US"/>
        </w:rPr>
        <w:t>God’s chieftaincy</w:t>
      </w:r>
      <w:r>
        <w:rPr>
          <w:lang w:val="en_US" w:bidi="en_US"/>
        </w:rPr>
        <w:t>God’s government</w:t>
      </w:r>
    </w:p>
    <w:p>
      <w:pPr>
        <w:pStyle w:val="ListBullet"/>
        <w:spacing w:line="240" w:lineRule="auto"/>
        <w:ind w:left="720"/>
      </w:pPr>
      <w:r>
        <w:rPr>
          <w:lang w:val="en_US" w:bidi="en_US"/>
        </w:rPr>
      </w:r>
      <w:r>
        <w:rPr>
          <w:lang w:val="en_US" w:bidi="en_US"/>
        </w:rPr>
        <w:t>As a verbal expression:</w:t>
      </w:r>
      <w:r>
        <w:rPr>
          <w:lang w:val="en_US" w:bidi="en_US"/>
        </w:rPr>
        <w:t>the way God rules his people</w:t>
      </w:r>
      <w:r>
        <w:rPr>
          <w:lang w:val="en_US" w:bidi="en_US"/>
        </w:rPr>
        <w:t>the way God cares for his people as king</w:t>
      </w:r>
    </w:p>
    <w:p>
      <w:pPr/>
      <w:r>
        <w:rPr>
          <w:lang w:val="en_US" w:bidi="en_US"/>
        </w:rPr>
      </w:r>
      <w:r>
        <w:rPr>
          <w:lang w:val="en_US" w:bidi="en_US"/>
        </w:rPr>
        <w:t>See the notes on 4:43a and 9:2 and kingdom of God in the Glossary.</w:t>
      </w:r>
    </w:p>
    <w:p>
      <w:pPr>
        <w:pStyle w:val="Heading6"/>
      </w:pPr>
      <w:r>
        <w:rPr>
          <w:b/>
          <w:lang w:val="en_US" w:bidi="en_US"/>
        </w:rPr>
        <w:t>General Comment on 10:9b</w:t>
      </w:r>
    </w:p>
    <w:p>
      <w:pPr/>
      <w:r>
        <w:rPr>
          <w:lang w:val="en_US" w:bidi="en_US"/>
        </w:rPr>
      </w:r>
      <w:r>
        <w:rPr>
          <w:lang w:val="en_US" w:bidi="en_US"/>
        </w:rPr>
        <w:t>In some languages it may be more natural to translate 10:9b as indirect speech. For example:</w:t>
      </w:r>
    </w:p>
    <w:p>
      <w:pPr/>
      <w:r>
        <w:rPr>
          <w:lang w:val="en_US" w:bidi="en_US"/>
        </w:rPr>
      </w:r>
      <w:r>
        <w:rPr>
          <w:lang w:val="en_US" w:bidi="en_US"/>
        </w:rPr>
        <w:t>and tell the people that the kingdom of God has come near them</w:t>
      </w:r>
      <w:r>
        <w:rPr>
          <w:lang w:val="en_US" w:bidi="en_US"/>
        </w:rPr>
      </w:r>
      <w:r>
        <w:rPr>
          <w:lang w:val="en_US" w:bidi="en_US"/>
        </w:rPr>
      </w:r>
    </w:p>
    <w:p>
      <w:pPr/>
      <w:r>
        <w:rPr>
          <w:lang w:val="en_US" w:bidi="en_US"/>
        </w:rPr>
      </w:r>
    </w:p>
    <w:p>
      <w:pPr>
        <w:pStyle w:val="Heading2"/>
      </w:pPr>
      <w:r>
        <w:rPr>
          <w:lang w:val="en_US" w:bidi="en_US"/>
        </w:rPr>
        <w:t>Luke 10:10</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5"/>
      </w:pPr>
      <w:r>
        <w:rPr>
          <w:lang w:val="en_US" w:bidi="en_US"/>
        </w:rPr>
        <w:t>10:10a</w:t>
      </w:r>
    </w:p>
    <w:p>
      <w:pPr/>
      <w:r>
        <w:rPr>
          <w:lang w:val="en_US" w:bidi="en_US"/>
        </w:rPr>
      </w:r>
      <w:r>
        <w:rPr>
          <w:b/>
          <w:lang w:val="en_US" w:bidi="en_US"/>
        </w:rPr>
        <w:t>But if you enter a town and they do not welcome you,</w:t>
      </w:r>
    </w:p>
    <w:p>
      <w:pPr>
        <w:pStyle w:val="ListBullet"/>
        <w:spacing w:line="240" w:lineRule="auto"/>
        <w:ind w:left="720"/>
      </w:pPr>
      <w:r>
        <w:rPr>
          <w:lang w:val="en_US" w:bidi="en_US"/>
        </w:rPr>
      </w:r>
      <w:r>
        <w:rPr>
          <w:lang w:val="en_US" w:bidi="en_US"/>
        </w:rPr>
        <w:t>But whenever you</w:t>
      </w:r>
      <w:r>
        <w:rPr>
          <w:vertAlign w:val="superscript"/>
          <w:lang w:val="en_US" w:bidi="en_US"/>
        </w:rPr>
        <w:t>(plur)</w:t>
      </w:r>
      <w:r>
        <w:rPr>
          <w:lang w:val="en_US" w:bidi="en_US"/>
        </w:rPr>
        <w:t xml:space="preserve"> go into a town and </w:t>
      </w:r>
      <w:r>
        <w:rPr>
          <w:lang w:val="en_US" w:bidi="en_US"/>
        </w:rPr>
        <w:t>its people</w:t>
      </w:r>
      <w:r>
        <w:rPr>
          <w:lang w:val="en_US" w:bidi="en_US"/>
        </w:rPr>
        <w:t xml:space="preserve"> do not accept/receive you,</w:t>
      </w:r>
    </w:p>
    <w:p>
      <w:pPr>
        <w:pStyle w:val="ListBullet"/>
        <w:spacing w:line="240" w:lineRule="auto"/>
        <w:ind w:left="720"/>
      </w:pPr>
      <w:r>
        <w:rPr>
          <w:lang w:val="en_US" w:bidi="en_US"/>
        </w:rPr>
      </w:r>
      <w:r>
        <w:rPr>
          <w:lang w:val="en_US" w:bidi="en_US"/>
        </w:rPr>
        <w:t>But people will not receive you</w:t>
      </w:r>
      <w:r>
        <w:rPr>
          <w:vertAlign w:val="superscript"/>
          <w:lang w:val="en_US" w:bidi="en_US"/>
        </w:rPr>
        <w:t>(plur)</w:t>
      </w:r>
      <w:r>
        <w:rPr>
          <w:lang w:val="en_US" w:bidi="en_US"/>
        </w:rPr>
        <w:t xml:space="preserve"> when you go into some towns.</w:t>
      </w:r>
    </w:p>
    <w:p>
      <w:pPr/>
      <w:r>
        <w:rPr>
          <w:lang w:val="en_US" w:bidi="en_US"/>
        </w:rPr>
      </w:r>
      <w:r>
        <w:rPr>
          <w:b/>
          <w:lang w:val="en_US" w:bidi="en_US"/>
        </w:rPr>
        <w:t>But:</w:t>
      </w:r>
      <w:r>
        <w:rPr>
          <w:lang w:val="en_US" w:bidi="en_US"/>
        </w:rPr>
        <w:t xml:space="preserve"> In this context, the Greek conjunction that the BSB translates as </w:t>
      </w:r>
      <w:r>
        <w:rPr>
          <w:i/>
          <w:lang w:val="en_US" w:bidi="en_US"/>
        </w:rPr>
        <w:t>But</w:t>
      </w:r>
      <w:r>
        <w:rPr>
          <w:lang w:val="en_US" w:bidi="en_US"/>
        </w:rPr>
        <w:t xml:space="preserve"> introduces a contrast to the situation described in 10:8–9. Most English versions also translate it that way.</w:t>
      </w:r>
    </w:p>
    <w:p>
      <w:pPr/>
      <w:r>
        <w:rPr>
          <w:lang w:val="en_US" w:bidi="en_US"/>
        </w:rPr>
      </w:r>
      <w:r>
        <w:rPr>
          <w:b/>
          <w:lang w:val="en_US" w:bidi="en_US"/>
        </w:rPr>
        <w:t>if you enter a town:</w:t>
      </w:r>
      <w:r>
        <w:rPr>
          <w:lang w:val="en_US" w:bidi="en_US"/>
        </w:rPr>
        <w:t xml:space="preserve"> This clause is identical to 10:8a. See how you translated the same clause there.</w:t>
      </w:r>
    </w:p>
    <w:p>
      <w:pPr/>
      <w:r>
        <w:rPr>
          <w:lang w:val="en_US" w:bidi="en_US"/>
        </w:rPr>
      </w:r>
      <w:r>
        <w:rPr>
          <w:b/>
          <w:lang w:val="en_US" w:bidi="en_US"/>
        </w:rPr>
        <w:t>and they do not welcome you:</w:t>
      </w:r>
      <w:r>
        <w:rPr>
          <w:lang w:val="en_US" w:bidi="en_US"/>
        </w:rPr>
        <w:t xml:space="preserve"> The Greek phrase that the BSB translates as </w:t>
      </w:r>
      <w:r>
        <w:rPr>
          <w:i/>
          <w:lang w:val="en_US" w:bidi="en_US"/>
        </w:rPr>
        <w:t>they do not welcome you</w:t>
      </w:r>
      <w:r>
        <w:rPr>
          <w:lang w:val="en_US" w:bidi="en_US"/>
        </w:rPr>
        <w:t xml:space="preserve"> is literally “they do not receive you.” This phrase is identical to 10:8a except for the word </w:t>
      </w:r>
      <w:r>
        <w:rPr>
          <w:i/>
          <w:lang w:val="en_US" w:bidi="en_US"/>
        </w:rPr>
        <w:t>not</w:t>
      </w:r>
      <w:r>
        <w:rPr>
          <w:lang w:val="en_US" w:bidi="en_US"/>
        </w:rPr>
        <w:t>. Translate this phrase in a way that clearly shows the contrast to the opposite situation in 10:8a. See the note there.</w:t>
      </w:r>
    </w:p>
    <w:p>
      <w:pPr>
        <w:pStyle w:val="Heading5"/>
      </w:pPr>
      <w:r>
        <w:rPr>
          <w:lang w:val="en_US" w:bidi="en_US"/>
        </w:rPr>
        <w:t>10:10b</w:t>
      </w:r>
    </w:p>
    <w:p>
      <w:pPr/>
      <w:r>
        <w:rPr>
          <w:lang w:val="en_US" w:bidi="en_US"/>
        </w:rPr>
      </w:r>
      <w:r>
        <w:rPr>
          <w:b/>
          <w:lang w:val="en_US" w:bidi="en_US"/>
        </w:rPr>
        <w:t>go into the streets and declare,</w:t>
      </w:r>
    </w:p>
    <w:p>
      <w:pPr>
        <w:pStyle w:val="ListBullet"/>
        <w:spacing w:line="240" w:lineRule="auto"/>
        <w:ind w:left="720"/>
      </w:pPr>
      <w:r>
        <w:rPr>
          <w:lang w:val="en_US" w:bidi="en_US"/>
        </w:rPr>
      </w:r>
      <w:r>
        <w:rPr>
          <w:lang w:val="en_US" w:bidi="en_US"/>
        </w:rPr>
        <w:t>walk</w:t>
      </w:r>
      <w:r>
        <w:rPr>
          <w:vertAlign w:val="superscript"/>
          <w:lang w:val="en_US" w:bidi="en_US"/>
        </w:rPr>
        <w:t>(plur)</w:t>
      </w:r>
      <w:r>
        <w:rPr>
          <w:lang w:val="en_US" w:bidi="en_US"/>
        </w:rPr>
        <w:t xml:space="preserve"> out into the streets </w:t>
      </w:r>
      <w:r>
        <w:rPr>
          <w:lang w:val="en_US" w:bidi="en_US"/>
        </w:rPr>
        <w:t>of that town</w:t>
      </w:r>
      <w:r>
        <w:rPr>
          <w:lang w:val="en_US" w:bidi="en_US"/>
        </w:rPr>
        <w:t xml:space="preserve"> and declare </w:t>
      </w:r>
      <w:r>
        <w:rPr>
          <w:lang w:val="en_US" w:bidi="en_US"/>
        </w:rPr>
        <w:t>to the people</w:t>
      </w:r>
      <w:r>
        <w:rPr>
          <w:lang w:val="en_US" w:bidi="en_US"/>
        </w:rPr>
        <w:t>,</w:t>
      </w:r>
    </w:p>
    <w:p>
      <w:pPr>
        <w:pStyle w:val="ListBullet"/>
        <w:spacing w:line="240" w:lineRule="auto"/>
        <w:ind w:left="720"/>
      </w:pPr>
      <w:r>
        <w:rPr>
          <w:lang w:val="en_US" w:bidi="en_US"/>
        </w:rPr>
      </w:r>
      <w:r>
        <w:rPr>
          <w:lang w:val="en_US" w:bidi="en_US"/>
        </w:rPr>
        <w:t>When that happens,</w:t>
      </w:r>
      <w:r>
        <w:rPr>
          <w:lang w:val="en_US" w:bidi="en_US"/>
        </w:rPr>
        <w:t xml:space="preserve"> go</w:t>
      </w:r>
      <w:r>
        <w:rPr>
          <w:vertAlign w:val="superscript"/>
          <w:lang w:val="en_US" w:bidi="en_US"/>
        </w:rPr>
        <w:t>(plur)</w:t>
      </w:r>
      <w:r>
        <w:rPr>
          <w:lang w:val="en_US" w:bidi="en_US"/>
        </w:rPr>
        <w:t xml:space="preserve"> into the streets </w:t>
      </w:r>
      <w:r>
        <w:rPr>
          <w:lang w:val="en_US" w:bidi="en_US"/>
        </w:rPr>
        <w:t>where many people will hear you</w:t>
      </w:r>
      <w:r>
        <w:rPr>
          <w:lang w:val="en_US" w:bidi="en_US"/>
        </w:rPr>
        <w:t xml:space="preserve"> and say this:</w:t>
      </w:r>
    </w:p>
    <w:p>
      <w:pPr/>
      <w:r>
        <w:rPr>
          <w:lang w:val="en_US" w:bidi="en_US"/>
        </w:rPr>
      </w:r>
      <w:r>
        <w:rPr>
          <w:b/>
          <w:lang w:val="en_US" w:bidi="en_US"/>
        </w:rPr>
        <w:t>go into the streets and declare:</w:t>
      </w:r>
      <w:r>
        <w:rPr>
          <w:lang w:val="en_US" w:bidi="en_US"/>
        </w:rPr>
        <w:t xml:space="preserve"> The </w:t>
      </w:r>
      <w:r>
        <w:rPr>
          <w:i/>
          <w:lang w:val="en_US" w:bidi="en_US"/>
        </w:rPr>
        <w:t>streets</w:t>
      </w:r>
      <w:r>
        <w:rPr>
          <w:lang w:val="en_US" w:bidi="en_US"/>
        </w:rPr>
        <w:t xml:space="preserve"> of a town were places where many people gathered to buy and sell things. The command </w:t>
      </w:r>
      <w:r>
        <w:rPr>
          <w:i/>
          <w:lang w:val="en_US" w:bidi="en_US"/>
        </w:rPr>
        <w:t>go into the streets</w:t>
      </w:r>
      <w:r>
        <w:rPr>
          <w:lang w:val="en_US" w:bidi="en_US"/>
        </w:rPr>
        <w:t xml:space="preserve"> indicates that Jesus wanted his disciples to go to a place in the town where many people could hear them.</w:t>
      </w:r>
    </w:p>
    <w:p>
      <w:pPr/>
      <w:r>
        <w:rPr>
          <w:lang w:val="en_US" w:bidi="en_US"/>
        </w:rPr>
      </w:r>
      <w:r>
        <w:rPr>
          <w:lang w:val="en_US" w:bidi="en_US"/>
        </w:rPr>
        <w:t>In some areas streets have a different use, so people will not understand why Jesus told the disciples to go into the streets. If that is true in your area, you may:</w:t>
      </w:r>
    </w:p>
    <w:p>
      <w:pPr>
        <w:pStyle w:val="ListBullet"/>
        <w:spacing w:line="240" w:lineRule="auto"/>
        <w:ind w:left="720"/>
      </w:pPr>
      <w:r>
        <w:rPr>
          <w:lang w:val="en_US" w:bidi="en_US"/>
        </w:rPr>
      </w:r>
      <w:r>
        <w:rPr>
          <w:lang w:val="en_US" w:bidi="en_US"/>
        </w:rPr>
        <w:t>Make explicit the function of streets. For example:</w:t>
      </w:r>
      <w:r>
        <w:rPr>
          <w:lang w:val="en_US" w:bidi="en_US"/>
        </w:rPr>
        <w:t xml:space="preserve">go in its/the streets </w:t>
      </w:r>
      <w:r>
        <w:rPr>
          <w:lang w:val="en_US" w:bidi="en_US"/>
        </w:rPr>
        <w:t>where everyone can see/hear you</w:t>
      </w:r>
      <w:r>
        <w:rPr>
          <w:lang w:val="en_US" w:bidi="en_US"/>
        </w:rPr>
        <w:t xml:space="preserve"> (TRT)</w:t>
      </w:r>
    </w:p>
    <w:p>
      <w:pPr>
        <w:pStyle w:val="ListBullet"/>
        <w:spacing w:line="240" w:lineRule="auto"/>
        <w:ind w:left="720"/>
      </w:pPr>
      <w:r>
        <w:rPr>
          <w:lang w:val="en_US" w:bidi="en_US"/>
        </w:rPr>
      </w:r>
      <w:r>
        <w:rPr>
          <w:lang w:val="en_US" w:bidi="en_US"/>
        </w:rPr>
        <w:t>Omit the reference to streets and translate the function of streets directly. For example:</w:t>
      </w:r>
      <w:r>
        <w:rPr>
          <w:lang w:val="en_US" w:bidi="en_US"/>
        </w:rPr>
        <w:t>go to a place in the town where there are lots of people</w:t>
      </w:r>
      <w:r>
        <w:rPr>
          <w:lang w:val="en_US" w:bidi="en_US"/>
        </w:rPr>
        <w:t>go where many people in the town will be able to see/hear you</w:t>
      </w:r>
    </w:p>
    <w:p>
      <w:pPr/>
      <w:r>
        <w:rPr>
          <w:lang w:val="en_US" w:bidi="en_US"/>
        </w:rPr>
      </w:r>
      <w:r>
        <w:rPr>
          <w:lang w:val="en_US" w:bidi="en_US"/>
        </w:rPr>
        <w:t>Translate this in the way that is most natural in your language.</w:t>
      </w:r>
      <w:r>
        <w:rPr>
          <w:lang w:val="en_US" w:bidi="en_US"/>
        </w:rPr>
      </w:r>
      <w:r>
        <w:rPr>
          <w:lang w:val="en_US" w:bidi="en_US"/>
        </w:rPr>
      </w:r>
    </w:p>
    <w:p>
      <w:pPr/>
      <w:r>
        <w:rPr>
          <w:lang w:val="en_US" w:bidi="en_US"/>
        </w:rPr>
      </w:r>
    </w:p>
    <w:p>
      <w:pPr>
        <w:pStyle w:val="Heading2"/>
      </w:pPr>
      <w:r>
        <w:rPr>
          <w:lang w:val="en_US" w:bidi="en_US"/>
        </w:rPr>
        <w:t>Luke 10:11</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5"/>
      </w:pPr>
      <w:r>
        <w:rPr>
          <w:lang w:val="en_US" w:bidi="en_US"/>
        </w:rPr>
        <w:t>10:11a</w:t>
      </w:r>
    </w:p>
    <w:p>
      <w:pPr/>
      <w:r>
        <w:rPr>
          <w:lang w:val="en_US" w:bidi="en_US"/>
        </w:rPr>
      </w:r>
      <w:r>
        <w:rPr>
          <w:b/>
          <w:lang w:val="en_US" w:bidi="en_US"/>
        </w:rPr>
        <w:t>‘Even the dust of your town that clings to our feet, we wipe off</w:t>
      </w:r>
    </w:p>
    <w:p>
      <w:pPr>
        <w:pStyle w:val="ListBullet"/>
        <w:spacing w:line="240" w:lineRule="auto"/>
        <w:ind w:left="720"/>
      </w:pPr>
      <w:r>
        <w:rPr>
          <w:lang w:val="en_US" w:bidi="en_US"/>
        </w:rPr>
      </w:r>
      <w:r>
        <w:rPr>
          <w:lang w:val="en_US" w:bidi="en_US"/>
        </w:rPr>
        <w:t>‘We</w:t>
      </w:r>
      <w:r>
        <w:rPr>
          <w:vertAlign w:val="superscript"/>
          <w:lang w:val="en_US" w:bidi="en_US"/>
        </w:rPr>
        <w:t>(dual/excl)</w:t>
      </w:r>
      <w:r>
        <w:rPr>
          <w:lang w:val="en_US" w:bidi="en_US"/>
        </w:rPr>
        <w:t xml:space="preserve"> are wiping off the dust of your town that has stuck to our feet</w:t>
      </w:r>
    </w:p>
    <w:p>
      <w:pPr>
        <w:pStyle w:val="ListBullet"/>
        <w:spacing w:line="240" w:lineRule="auto"/>
        <w:ind w:left="720"/>
      </w:pPr>
      <w:r>
        <w:rPr>
          <w:lang w:val="en_US" w:bidi="en_US"/>
        </w:rPr>
      </w:r>
      <w:r>
        <w:rPr>
          <w:lang w:val="en_US" w:bidi="en_US"/>
        </w:rPr>
        <w:t>‘We</w:t>
      </w:r>
      <w:r>
        <w:rPr>
          <w:vertAlign w:val="superscript"/>
          <w:lang w:val="en_US" w:bidi="en_US"/>
        </w:rPr>
        <w:t>(dual/excl)</w:t>
      </w:r>
      <w:r>
        <w:rPr>
          <w:lang w:val="en_US" w:bidi="en_US"/>
        </w:rPr>
        <w:t xml:space="preserve"> are brushing/wiping our feet to remove even the dust from your</w:t>
      </w:r>
      <w:r>
        <w:rPr>
          <w:vertAlign w:val="superscript"/>
          <w:lang w:val="en_US" w:bidi="en_US"/>
        </w:rPr>
        <w:t>(plur)</w:t>
      </w:r>
      <w:r>
        <w:rPr>
          <w:lang w:val="en_US" w:bidi="en_US"/>
        </w:rPr>
        <w:t xml:space="preserve"> town.</w:t>
      </w:r>
    </w:p>
    <w:p>
      <w:pPr/>
      <w:r>
        <w:rPr>
          <w:lang w:val="en_US" w:bidi="en_US"/>
        </w:rPr>
      </w:r>
      <w:r>
        <w:rPr>
          <w:b/>
          <w:lang w:val="en_US" w:bidi="en_US"/>
        </w:rPr>
        <w:t>Even the dust of your town that clings to our feet, we wipe off as a testimony:</w:t>
      </w:r>
      <w:r>
        <w:rPr>
          <w:lang w:val="en_US" w:bidi="en_US"/>
        </w:rPr>
        <w:t xml:space="preserve"> Jesus instructed his disciples to say these words to the people. It is implied that they performed the action as they said the words. The disciples said that they were wiping off any dust from the town that was stuck to their feet and sandals. They probably did this by carefully brushing off the dust with their hands.</w:t>
      </w:r>
    </w:p>
    <w:p>
      <w:pPr/>
      <w:r>
        <w:rPr>
          <w:lang w:val="en_US" w:bidi="en_US"/>
        </w:rPr>
      </w:r>
      <w:r>
        <w:rPr>
          <w:lang w:val="en_US" w:bidi="en_US"/>
        </w:rPr>
        <w:t>Wiping the dust from their feet was a cultural gesture that had a symbolic meaning. An almost identical gesture was described in 9:5b. See the note there for more information. It occurred in the same context and had the same meaning. The difference is that in 9:5b the disciples were to “shake” the dust from their feet. Here in 10:11a they were to wipe it from their feet. Some ways to translate this are:</w:t>
      </w:r>
    </w:p>
    <w:p>
      <w:pPr/>
      <w:r>
        <w:rPr>
          <w:lang w:val="en_US" w:bidi="en_US"/>
        </w:rPr>
      </w:r>
      <w:r>
        <w:rPr>
          <w:lang w:val="en_US" w:bidi="en_US"/>
        </w:rPr>
        <w:t>Even the dust from your town that has stuck to our feet, we wipe it off</w:t>
      </w:r>
    </w:p>
    <w:p>
      <w:pPr/>
      <w:r>
        <w:rPr>
          <w:lang w:val="en_US" w:bidi="en_US"/>
        </w:rPr>
      </w:r>
      <w:r>
        <w:rPr>
          <w:lang w:val="en_US" w:bidi="en_US"/>
        </w:rPr>
        <w:t>We will have nothing more to do with you.</w:t>
      </w:r>
      <w:r>
        <w:rPr>
          <w:lang w:val="en_US" w:bidi="en_US"/>
        </w:rPr>
        <w:t xml:space="preserve"> We will brush off even this dust from your town that is clinging to our feet.</w:t>
      </w:r>
    </w:p>
    <w:p>
      <w:pPr/>
      <w:r>
        <w:rPr>
          <w:lang w:val="en_US" w:bidi="en_US"/>
        </w:rPr>
      </w:r>
      <w:r>
        <w:rPr>
          <w:b/>
          <w:lang w:val="en_US" w:bidi="en_US"/>
        </w:rPr>
        <w:t>Even:</w:t>
      </w:r>
      <w:r>
        <w:rPr>
          <w:lang w:val="en_US" w:bidi="en_US"/>
        </w:rPr>
        <w:t xml:space="preserve"> The Greek word that the BSB translates as </w:t>
      </w:r>
      <w:r>
        <w:rPr>
          <w:i/>
          <w:lang w:val="en_US" w:bidi="en_US"/>
        </w:rPr>
        <w:t>Even</w:t>
      </w:r>
      <w:r>
        <w:rPr>
          <w:lang w:val="en_US" w:bidi="en_US"/>
        </w:rPr>
        <w:t xml:space="preserve"> implies that dust is a very small and insignificant thing. The disciples were to say that they would not associate with those people in any way.</w:t>
      </w:r>
    </w:p>
    <w:p>
      <w:pPr/>
      <w:r>
        <w:rPr>
          <w:lang w:val="en_US" w:bidi="en_US"/>
        </w:rPr>
      </w:r>
      <w:r>
        <w:rPr>
          <w:b/>
          <w:lang w:val="en_US" w:bidi="en_US"/>
        </w:rPr>
        <w:t>our feet:</w:t>
      </w:r>
      <w:r>
        <w:rPr>
          <w:lang w:val="en_US" w:bidi="en_US"/>
        </w:rPr>
        <w:t xml:space="preserve"> Some languages have specific words for the “lower leg and foot” or for the “sole of the foot.” If that is true in your language, consider whether one of these expressions would be more natural in this context.</w:t>
      </w:r>
    </w:p>
    <w:p>
      <w:pPr/>
      <w:r>
        <w:rPr>
          <w:lang w:val="en_US" w:bidi="en_US"/>
        </w:rPr>
      </w:r>
      <w:r>
        <w:rPr>
          <w:b/>
          <w:lang w:val="en_US" w:bidi="en_US"/>
        </w:rPr>
        <w:t>our…we:</w:t>
      </w:r>
      <w:r>
        <w:rPr>
          <w:lang w:val="en_US" w:bidi="en_US"/>
        </w:rPr>
        <w:t xml:space="preserve"> The disciples would go out in pairs (see 10:1), so here you should use a form that would be appropriate for two people. See the Display for 10:11a and 10:11b.</w:t>
      </w:r>
    </w:p>
    <w:p>
      <w:pPr>
        <w:pStyle w:val="Heading5"/>
      </w:pPr>
      <w:r>
        <w:rPr>
          <w:lang w:val="en_US" w:bidi="en_US"/>
        </w:rPr>
        <w:t>10:11b</w:t>
      </w:r>
    </w:p>
    <w:p>
      <w:pPr/>
      <w:r>
        <w:rPr>
          <w:lang w:val="en_US" w:bidi="en_US"/>
        </w:rPr>
      </w:r>
      <w:r>
        <w:rPr>
          <w:b/>
          <w:lang w:val="en_US" w:bidi="en_US"/>
        </w:rPr>
        <w:t>as a testimony against you.</w:t>
      </w:r>
    </w:p>
    <w:p>
      <w:pPr>
        <w:pStyle w:val="ListBullet"/>
        <w:spacing w:line="240" w:lineRule="auto"/>
        <w:ind w:left="720"/>
      </w:pPr>
      <w:r>
        <w:rPr>
          <w:lang w:val="en_US" w:bidi="en_US"/>
        </w:rPr>
      </w:r>
      <w:r>
        <w:rPr>
          <w:lang w:val="en_US" w:bidi="en_US"/>
        </w:rPr>
        <w:t>to warn you</w:t>
      </w:r>
      <w:r>
        <w:rPr>
          <w:vertAlign w:val="superscript"/>
          <w:lang w:val="en_US" w:bidi="en_US"/>
        </w:rPr>
        <w:t>(plur)</w:t>
      </w:r>
      <w:r>
        <w:rPr>
          <w:lang w:val="en_US" w:bidi="en_US"/>
        </w:rPr>
        <w:t xml:space="preserve"> </w:t>
      </w:r>
      <w:r>
        <w:rPr>
          <w:lang w:val="en_US" w:bidi="en_US"/>
        </w:rPr>
        <w:t>that we are not responsible if God punishes you</w:t>
      </w:r>
      <w:r>
        <w:rPr>
          <w:lang w:val="en_US" w:bidi="en_US"/>
        </w:rPr>
        <w:t>.</w:t>
      </w:r>
    </w:p>
    <w:p>
      <w:pPr>
        <w:pStyle w:val="ListBullet"/>
        <w:spacing w:line="240" w:lineRule="auto"/>
        <w:ind w:left="720"/>
      </w:pPr>
      <w:r>
        <w:rPr>
          <w:lang w:val="en_US" w:bidi="en_US"/>
        </w:rPr>
      </w:r>
      <w:r>
        <w:rPr>
          <w:lang w:val="en_US" w:bidi="en_US"/>
        </w:rPr>
        <w:t>This is a sign to show you</w:t>
      </w:r>
      <w:r>
        <w:rPr>
          <w:vertAlign w:val="superscript"/>
          <w:lang w:val="en_US" w:bidi="en_US"/>
        </w:rPr>
        <w:t>(plur)</w:t>
      </w:r>
      <w:r>
        <w:rPr>
          <w:lang w:val="en_US" w:bidi="en_US"/>
        </w:rPr>
        <w:t xml:space="preserve"> </w:t>
      </w:r>
      <w:r>
        <w:rPr>
          <w:lang w:val="en_US" w:bidi="en_US"/>
        </w:rPr>
        <w:t>that God will judge/punish you</w:t>
      </w:r>
      <w:r>
        <w:rPr>
          <w:lang w:val="en_US" w:bidi="en_US"/>
        </w:rPr>
        <w:t>.</w:t>
      </w:r>
    </w:p>
    <w:p>
      <w:pPr/>
      <w:r>
        <w:rPr>
          <w:lang w:val="en_US" w:bidi="en_US"/>
        </w:rPr>
      </w:r>
      <w:r>
        <w:rPr>
          <w:b/>
          <w:lang w:val="en_US" w:bidi="en_US"/>
        </w:rPr>
        <w:t>as a testimony against you:</w:t>
      </w:r>
      <w:r>
        <w:rPr>
          <w:lang w:val="en_US" w:bidi="en_US"/>
        </w:rPr>
        <w:t xml:space="preserve"> Here the Greek literally says just “against you,” although in the corresponding phrase in 9:5c it says “as a testimony against them.” The BSB adds the phrase “as a testimony” here to indicate the meaning of the action that the disciples would do when a town rejected them. They would remove the dust of that town from their feet. This action would be a testimony, sign, and warning that God would judge the people of that town if they did not repent. Other ways to translate this phrase are:</w:t>
      </w:r>
    </w:p>
    <w:p>
      <w:pPr/>
      <w:r>
        <w:rPr>
          <w:lang w:val="en_US" w:bidi="en_US"/>
        </w:rPr>
      </w:r>
      <w:r>
        <w:rPr>
          <w:lang w:val="en_US" w:bidi="en_US"/>
        </w:rPr>
        <w:t xml:space="preserve">as a warning to you </w:t>
      </w:r>
      <w:r>
        <w:rPr>
          <w:lang w:val="en_US" w:bidi="en_US"/>
        </w:rPr>
        <w:t>that God will judge/punish you</w:t>
      </w:r>
    </w:p>
    <w:p>
      <w:pPr/>
      <w:r>
        <w:rPr>
          <w:lang w:val="en_US" w:bidi="en_US"/>
        </w:rPr>
      </w:r>
      <w:r>
        <w:rPr>
          <w:lang w:val="en_US" w:bidi="en_US"/>
        </w:rPr>
        <w:t xml:space="preserve">as a sign to show you </w:t>
      </w:r>
      <w:r>
        <w:rPr>
          <w:lang w:val="en_US" w:bidi="en_US"/>
        </w:rPr>
        <w:t>that you are guilty</w:t>
      </w:r>
    </w:p>
    <w:p>
      <w:pPr>
        <w:pStyle w:val="Heading5"/>
      </w:pPr>
      <w:r>
        <w:rPr>
          <w:lang w:val="en_US" w:bidi="en_US"/>
        </w:rPr>
        <w:t>10:11c</w:t>
      </w:r>
    </w:p>
    <w:p>
      <w:pPr/>
      <w:r>
        <w:rPr>
          <w:lang w:val="en_US" w:bidi="en_US"/>
        </w:rPr>
      </w:r>
      <w:r>
        <w:rPr>
          <w:b/>
          <w:lang w:val="en_US" w:bidi="en_US"/>
        </w:rPr>
        <w:t>Yet be sure of this: The kingdom of God is near.’</w:t>
      </w:r>
    </w:p>
    <w:p>
      <w:pPr>
        <w:pStyle w:val="ListBullet"/>
        <w:spacing w:line="240" w:lineRule="auto"/>
        <w:ind w:left="720"/>
      </w:pPr>
      <w:r>
        <w:rPr>
          <w:lang w:val="en_US" w:bidi="en_US"/>
        </w:rPr>
      </w:r>
      <w:r>
        <w:rPr>
          <w:lang w:val="en_US" w:bidi="en_US"/>
        </w:rPr>
        <w:t>But it is important that you</w:t>
      </w:r>
      <w:r>
        <w:rPr>
          <w:vertAlign w:val="superscript"/>
          <w:lang w:val="en_US" w:bidi="en_US"/>
        </w:rPr>
        <w:t>(plur)</w:t>
      </w:r>
      <w:r>
        <w:rPr>
          <w:lang w:val="en_US" w:bidi="en_US"/>
        </w:rPr>
        <w:t xml:space="preserve"> know this: The time for God to rule over you has already arrived!’</w:t>
      </w:r>
    </w:p>
    <w:p>
      <w:pPr>
        <w:pStyle w:val="ListBullet"/>
        <w:spacing w:line="240" w:lineRule="auto"/>
        <w:ind w:left="720"/>
      </w:pPr>
      <w:r>
        <w:rPr>
          <w:lang w:val="en_US" w:bidi="en_US"/>
        </w:rPr>
      </w:r>
      <w:r>
        <w:rPr>
          <w:lang w:val="en_US" w:bidi="en_US"/>
        </w:rPr>
        <w:t>But we</w:t>
      </w:r>
      <w:r>
        <w:rPr>
          <w:vertAlign w:val="superscript"/>
          <w:lang w:val="en_US" w:bidi="en_US"/>
        </w:rPr>
        <w:t>(dual/excl)</w:t>
      </w:r>
      <w:r>
        <w:rPr>
          <w:lang w:val="en_US" w:bidi="en_US"/>
        </w:rPr>
        <w:t xml:space="preserve"> want you</w:t>
      </w:r>
      <w:r>
        <w:rPr>
          <w:vertAlign w:val="superscript"/>
          <w:lang w:val="en_US" w:bidi="en_US"/>
        </w:rPr>
        <w:t>(plur)</w:t>
      </w:r>
      <w:r>
        <w:rPr>
          <w:lang w:val="en_US" w:bidi="en_US"/>
        </w:rPr>
        <w:t xml:space="preserve"> to understand this: God has already come to rule over you, </w:t>
      </w:r>
      <w:r>
        <w:rPr>
          <w:lang w:val="en_US" w:bidi="en_US"/>
        </w:rPr>
        <w:t>and you have rejected his rule</w:t>
      </w:r>
      <w:r>
        <w:rPr>
          <w:lang w:val="en_US" w:bidi="en_US"/>
        </w:rPr>
        <w:t xml:space="preserve">!’ </w:t>
      </w:r>
      <w:r>
        <w:rPr>
          <w:lang w:val="en_US" w:bidi="en_US"/>
        </w:rPr>
        <w:t>That is what you must tell them.</w:t>
      </w:r>
      <w:r>
        <w:rPr>
          <w:lang w:val="en_US" w:bidi="en_US"/>
        </w:rPr>
        <w:t>”</w:t>
      </w:r>
    </w:p>
    <w:p>
      <w:pPr/>
      <w:r>
        <w:rPr>
          <w:lang w:val="en_US" w:bidi="en_US"/>
        </w:rPr>
      </w:r>
      <w:r>
        <w:rPr>
          <w:b/>
          <w:lang w:val="en_US" w:bidi="en_US"/>
        </w:rPr>
        <w:t>Yet:</w:t>
      </w:r>
      <w:r>
        <w:rPr>
          <w:lang w:val="en_US" w:bidi="en_US"/>
        </w:rPr>
        <w:t xml:space="preserve"> The Greek word that the BSB translates as </w:t>
      </w:r>
      <w:r>
        <w:rPr>
          <w:i/>
          <w:lang w:val="en_US" w:bidi="en_US"/>
        </w:rPr>
        <w:t>Yet</w:t>
      </w:r>
      <w:r>
        <w:rPr>
          <w:lang w:val="en_US" w:bidi="en_US"/>
        </w:rPr>
        <w:t xml:space="preserve"> can also be translated as “nevertheless,” “however,” or “but.” Although the disciples were leaving the town and did not plan to come back, there was still one thing they wanted the people to know: that God’s kingdom had come near.</w:t>
      </w:r>
    </w:p>
    <w:p>
      <w:pPr/>
      <w:r>
        <w:rPr>
          <w:lang w:val="en_US" w:bidi="en_US"/>
        </w:rPr>
      </w:r>
      <w:r>
        <w:rPr>
          <w:b/>
          <w:lang w:val="en_US" w:bidi="en_US"/>
        </w:rPr>
        <w:t>be sure of this:</w:t>
      </w:r>
      <w:r>
        <w:rPr>
          <w:lang w:val="en_US" w:bidi="en_US"/>
        </w:rPr>
        <w:t xml:space="preserve"> The Greek clause that the BSB translates as </w:t>
      </w:r>
      <w:r>
        <w:rPr>
          <w:i/>
          <w:lang w:val="en_US" w:bidi="en_US"/>
        </w:rPr>
        <w:t>be sure of this</w:t>
      </w:r>
      <w:r>
        <w:rPr>
          <w:lang w:val="en_US" w:bidi="en_US"/>
        </w:rPr>
        <w:t xml:space="preserve"> is literally “know this.” The phrase implies that what the disciples would say was true and very important. Other ways to translate this clause include:</w:t>
      </w:r>
    </w:p>
    <w:p>
      <w:pPr/>
      <w:r>
        <w:rPr>
          <w:lang w:val="en_US" w:bidi="en_US"/>
        </w:rPr>
      </w:r>
      <w:r>
        <w:rPr>
          <w:lang w:val="en_US" w:bidi="en_US"/>
        </w:rPr>
        <w:t>be sure you realize this:</w:t>
      </w:r>
    </w:p>
    <w:p>
      <w:pPr/>
      <w:r>
        <w:rPr>
          <w:lang w:val="en_US" w:bidi="en_US"/>
        </w:rPr>
      </w:r>
      <w:r>
        <w:rPr>
          <w:lang w:val="en_US" w:bidi="en_US"/>
        </w:rPr>
        <w:t>we want you to know this:</w:t>
      </w:r>
    </w:p>
    <w:p>
      <w:pPr/>
      <w:r>
        <w:rPr>
          <w:lang w:val="en_US" w:bidi="en_US"/>
        </w:rPr>
      </w:r>
      <w:r>
        <w:rPr>
          <w:b/>
          <w:lang w:val="en_US" w:bidi="en_US"/>
        </w:rPr>
        <w:t>The kingdom of God is near:</w:t>
      </w:r>
      <w:r>
        <w:rPr>
          <w:lang w:val="en_US" w:bidi="en_US"/>
        </w:rPr>
        <w:t xml:space="preserve"> The clause </w:t>
      </w:r>
      <w:r>
        <w:rPr>
          <w:i/>
          <w:lang w:val="en_US" w:bidi="en_US"/>
        </w:rPr>
        <w:t>The kingdom of God is near</w:t>
      </w:r>
      <w:r>
        <w:rPr>
          <w:lang w:val="en_US" w:bidi="en_US"/>
        </w:rPr>
        <w:t xml:space="preserve"> is the same as in 10:9b, except that it does not contain the word “you.” However, “you” is implied. This clause follows a gesture of warning (10:11a–b) for those who would reject the disciples. It occurs before Jesus’ warning in 10:12 that any town that rejected the message would be severely judged. In this context, you should translate </w:t>
      </w:r>
      <w:r>
        <w:rPr>
          <w:i/>
          <w:lang w:val="en_US" w:bidi="en_US"/>
        </w:rPr>
        <w:t>The kingdom of God is near</w:t>
      </w:r>
      <w:r>
        <w:rPr>
          <w:lang w:val="en_US" w:bidi="en_US"/>
        </w:rPr>
        <w:t xml:space="preserve"> in a way that fits with these warnings. You may need to add implied information. For example:</w:t>
      </w:r>
    </w:p>
    <w:p>
      <w:pPr/>
      <w:r>
        <w:rPr>
          <w:lang w:val="en_US" w:bidi="en_US"/>
        </w:rPr>
      </w:r>
      <w:r>
        <w:rPr>
          <w:lang w:val="en_US" w:bidi="en_US"/>
        </w:rPr>
        <w:t xml:space="preserve">God has already come to rule over you, </w:t>
      </w:r>
      <w:r>
        <w:rPr>
          <w:lang w:val="en_US" w:bidi="en_US"/>
        </w:rPr>
        <w:t>but you have rejected his rule</w:t>
      </w:r>
      <w:r>
        <w:rPr>
          <w:lang w:val="en_US" w:bidi="en_US"/>
        </w:rPr>
        <w:t>.</w:t>
      </w:r>
    </w:p>
    <w:p>
      <w:pPr>
        <w:pStyle w:val="Heading6"/>
      </w:pPr>
      <w:r>
        <w:rPr>
          <w:b/>
          <w:lang w:val="en_US" w:bidi="en_US"/>
        </w:rPr>
        <w:t>General Comment on 10:10b–11c</w:t>
      </w:r>
    </w:p>
    <w:p>
      <w:pPr/>
      <w:r>
        <w:rPr>
          <w:lang w:val="en_US" w:bidi="en_US"/>
        </w:rPr>
      </w:r>
      <w:r>
        <w:rPr>
          <w:lang w:val="en_US" w:bidi="en_US"/>
        </w:rPr>
        <w:t>10:11a–c is a quote within a quote. It contains the words that Jesus told his disciples to say to the people in a town. In some languages it may be more natural to translate these lines as indirect speech. For example:</w:t>
      </w:r>
    </w:p>
    <w:p>
      <w:pPr/>
      <w:r>
        <w:rPr>
          <w:lang w:val="en_US" w:bidi="en_US"/>
        </w:rPr>
      </w:r>
      <w:r>
        <w:rPr>
          <w:vertAlign w:val="superscript"/>
          <w:lang w:val="en_US" w:bidi="en_US"/>
        </w:rPr>
        <w:t>10b</w:t>
      </w:r>
      <w:r>
        <w:rPr>
          <w:lang w:val="en_US" w:bidi="en_US"/>
        </w:rPr>
        <w:t xml:space="preserve">…and tell the people that </w:t>
      </w:r>
      <w:r>
        <w:rPr>
          <w:vertAlign w:val="superscript"/>
          <w:lang w:val="en_US" w:bidi="en_US"/>
        </w:rPr>
        <w:t>11a</w:t>
      </w:r>
      <w:r>
        <w:rPr>
          <w:lang w:val="en_US" w:bidi="en_US"/>
        </w:rPr>
        <w:t xml:space="preserve">you are wiping even the dust from their town from your feet </w:t>
      </w:r>
      <w:r>
        <w:rPr>
          <w:vertAlign w:val="superscript"/>
          <w:lang w:val="en_US" w:bidi="en_US"/>
        </w:rPr>
        <w:t>11b</w:t>
      </w:r>
      <w:r>
        <w:rPr>
          <w:lang w:val="en_US" w:bidi="en_US"/>
        </w:rPr>
        <w:t xml:space="preserve">to warn them </w:t>
      </w:r>
      <w:r>
        <w:rPr>
          <w:lang w:val="en_US" w:bidi="en_US"/>
        </w:rPr>
        <w:t>that you are no longer responsible if God punishes them</w:t>
      </w:r>
      <w:r>
        <w:rPr>
          <w:lang w:val="en_US" w:bidi="en_US"/>
        </w:rPr>
        <w:t xml:space="preserve">. </w:t>
      </w:r>
      <w:r>
        <w:rPr>
          <w:vertAlign w:val="superscript"/>
          <w:lang w:val="en_US" w:bidi="en_US"/>
        </w:rPr>
        <w:t>11c</w:t>
      </w:r>
      <w:r>
        <w:rPr>
          <w:lang w:val="en_US" w:bidi="en_US"/>
        </w:rPr>
        <w:t>Then tell them that although they have rejected God’s rule, you want them to understand that the time for him to rule his people has arrived.</w:t>
      </w:r>
      <w:r>
        <w:rPr>
          <w:lang w:val="en_US" w:bidi="en_US"/>
        </w:rPr>
      </w:r>
      <w:r>
        <w:rPr>
          <w:lang w:val="en_US" w:bidi="en_US"/>
        </w:rPr>
      </w:r>
    </w:p>
    <w:p>
      <w:pPr/>
      <w:r>
        <w:rPr>
          <w:lang w:val="en_US" w:bidi="en_US"/>
        </w:rPr>
      </w:r>
    </w:p>
    <w:p>
      <w:pPr>
        <w:pStyle w:val="Heading2"/>
      </w:pPr>
      <w:r>
        <w:rPr>
          <w:lang w:val="en_US" w:bidi="en_US"/>
        </w:rPr>
        <w:t>Luke 10:12</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5"/>
      </w:pPr>
      <w:r>
        <w:rPr>
          <w:lang w:val="en_US" w:bidi="en_US"/>
        </w:rPr>
        <w:t>10:12</w:t>
      </w:r>
    </w:p>
    <w:p>
      <w:pPr/>
      <w:r>
        <w:rPr>
          <w:lang w:val="en_US" w:bidi="en_US"/>
        </w:rPr>
      </w:r>
      <w:r>
        <w:rPr>
          <w:b/>
          <w:lang w:val="en_US" w:bidi="en_US"/>
        </w:rPr>
        <w:t>I tell you, it will be more bearable on that day for Sodom than for that town.</w:t>
      </w:r>
    </w:p>
    <w:p>
      <w:pPr>
        <w:pStyle w:val="ListBullet"/>
        <w:spacing w:line="240" w:lineRule="auto"/>
        <w:ind w:left="720"/>
      </w:pPr>
      <w:r>
        <w:rPr>
          <w:lang w:val="en_US" w:bidi="en_US"/>
        </w:rPr>
      </w:r>
      <w:r>
        <w:rPr>
          <w:lang w:val="en_US" w:bidi="en_US"/>
        </w:rPr>
        <w:t>Listen</w:t>
      </w:r>
      <w:r>
        <w:rPr>
          <w:vertAlign w:val="superscript"/>
          <w:lang w:val="en_US" w:bidi="en_US"/>
        </w:rPr>
        <w:t>(plur)</w:t>
      </w:r>
      <w:r>
        <w:rPr>
          <w:lang w:val="en_US" w:bidi="en_US"/>
        </w:rPr>
        <w:t xml:space="preserve"> to this! On the future day </w:t>
      </w:r>
      <w:r>
        <w:rPr>
          <w:lang w:val="en_US" w:bidi="en_US"/>
        </w:rPr>
        <w:t>of judgment</w:t>
      </w:r>
      <w:r>
        <w:rPr>
          <w:lang w:val="en_US" w:bidi="en_US"/>
        </w:rPr>
        <w:t xml:space="preserve">, </w:t>
      </w:r>
      <w:r>
        <w:rPr>
          <w:lang w:val="en_US" w:bidi="en_US"/>
        </w:rPr>
        <w:t>God</w:t>
      </w:r>
      <w:r>
        <w:rPr>
          <w:lang w:val="en_US" w:bidi="en_US"/>
        </w:rPr>
        <w:t xml:space="preserve"> will be more merciful to </w:t>
      </w:r>
      <w:r>
        <w:rPr>
          <w:lang w:val="en_US" w:bidi="en_US"/>
        </w:rPr>
        <w:t>the people of</w:t>
      </w:r>
      <w:r>
        <w:rPr>
          <w:lang w:val="en_US" w:bidi="en_US"/>
        </w:rPr>
        <w:t xml:space="preserve"> Sodom than to </w:t>
      </w:r>
      <w:r>
        <w:rPr>
          <w:lang w:val="en_US" w:bidi="en_US"/>
        </w:rPr>
        <w:t>the people of</w:t>
      </w:r>
      <w:r>
        <w:rPr>
          <w:lang w:val="en_US" w:bidi="en_US"/>
        </w:rPr>
        <w:t xml:space="preserve"> that town!”</w:t>
      </w:r>
    </w:p>
    <w:p>
      <w:pPr>
        <w:pStyle w:val="ListBullet"/>
        <w:spacing w:line="240" w:lineRule="auto"/>
        <w:ind w:left="720"/>
      </w:pPr>
      <w:r>
        <w:rPr>
          <w:lang w:val="en_US" w:bidi="en_US"/>
        </w:rPr>
      </w:r>
      <w:r>
        <w:rPr>
          <w:lang w:val="en_US" w:bidi="en_US"/>
        </w:rPr>
        <w:t>Then Jesus continued,</w:t>
      </w:r>
      <w:r>
        <w:rPr>
          <w:lang w:val="en_US" w:bidi="en_US"/>
        </w:rPr>
        <w:t xml:space="preserve"> “I tell/assure you</w:t>
      </w:r>
      <w:r>
        <w:rPr>
          <w:vertAlign w:val="superscript"/>
          <w:lang w:val="en_US" w:bidi="en_US"/>
        </w:rPr>
        <w:t>(plur)</w:t>
      </w:r>
      <w:r>
        <w:rPr>
          <w:lang w:val="en_US" w:bidi="en_US"/>
        </w:rPr>
        <w:t xml:space="preserve"> that </w:t>
      </w:r>
      <w:r>
        <w:rPr>
          <w:lang w:val="en_US" w:bidi="en_US"/>
        </w:rPr>
        <w:t>when God judges people</w:t>
      </w:r>
      <w:r>
        <w:rPr>
          <w:lang w:val="en_US" w:bidi="en_US"/>
        </w:rPr>
        <w:t xml:space="preserve"> the punishment that he gives to </w:t>
      </w:r>
      <w:r>
        <w:rPr>
          <w:lang w:val="en_US" w:bidi="en_US"/>
        </w:rPr>
        <w:t>the people of</w:t>
      </w:r>
      <w:r>
        <w:rPr>
          <w:lang w:val="en_US" w:bidi="en_US"/>
        </w:rPr>
        <w:t xml:space="preserve"> the town </w:t>
      </w:r>
      <w:r>
        <w:rPr>
          <w:lang w:val="en_US" w:bidi="en_US"/>
        </w:rPr>
        <w:t>who did not accept you</w:t>
      </w:r>
      <w:r>
        <w:rPr>
          <w:lang w:val="en_US" w:bidi="en_US"/>
        </w:rPr>
        <w:t xml:space="preserve"> will be worse than the punishment that he gives to </w:t>
      </w:r>
      <w:r>
        <w:rPr>
          <w:lang w:val="en_US" w:bidi="en_US"/>
        </w:rPr>
        <w:t>the people of</w:t>
      </w:r>
      <w:r>
        <w:rPr>
          <w:lang w:val="en_US" w:bidi="en_US"/>
        </w:rPr>
        <w:t xml:space="preserve"> Sodom!</w:t>
      </w:r>
    </w:p>
    <w:p>
      <w:pPr/>
      <w:r>
        <w:rPr>
          <w:lang w:val="en_US" w:bidi="en_US"/>
        </w:rPr>
      </w:r>
      <w:r>
        <w:rPr>
          <w:lang w:val="en_US" w:bidi="en_US"/>
        </w:rPr>
        <w:t>Jesus’ instructions to his disciples about what they were to say to people ended at the end of 10:11c. In 10:12 Jesus told the disciples about God’s punishment for a town that rejected his message.</w:t>
      </w:r>
    </w:p>
    <w:p>
      <w:pPr/>
      <w:r>
        <w:rPr>
          <w:lang w:val="en_US" w:bidi="en_US"/>
        </w:rPr>
      </w:r>
      <w:r>
        <w:rPr>
          <w:lang w:val="en_US" w:bidi="en_US"/>
        </w:rPr>
        <w:t>In some languages it may be necessary to make explicit that 10:12 does not continue the words that the disciples were supposed to speak. The TRT suggests two ways to do this. For example:</w:t>
      </w:r>
    </w:p>
    <w:p>
      <w:pPr/>
      <w:r>
        <w:rPr>
          <w:lang w:val="en_US" w:bidi="en_US"/>
        </w:rPr>
      </w:r>
      <w:r>
        <w:rPr>
          <w:lang w:val="en_US" w:bidi="en_US"/>
        </w:rPr>
        <w:t>Jesus continued,</w:t>
      </w:r>
    </w:p>
    <w:p>
      <w:pPr/>
      <w:r>
        <w:rPr>
          <w:lang w:val="en_US" w:bidi="en_US"/>
        </w:rPr>
      </w:r>
      <w:r>
        <w:rPr>
          <w:lang w:val="en_US" w:bidi="en_US"/>
        </w:rPr>
        <w:t>After giving those instructions, Jesus said,</w:t>
      </w:r>
    </w:p>
    <w:p>
      <w:pPr/>
      <w:r>
        <w:rPr>
          <w:lang w:val="en_US" w:bidi="en_US"/>
        </w:rPr>
      </w:r>
      <w:r>
        <w:rPr>
          <w:b/>
          <w:lang w:val="en_US" w:bidi="en_US"/>
        </w:rPr>
        <w:t>I tell you:</w:t>
      </w:r>
      <w:r>
        <w:rPr>
          <w:lang w:val="en_US" w:bidi="en_US"/>
        </w:rPr>
        <w:t xml:space="preserve"> Jesus often used the words </w:t>
      </w:r>
      <w:r>
        <w:rPr>
          <w:i/>
          <w:lang w:val="en_US" w:bidi="en_US"/>
        </w:rPr>
        <w:t>I tell you</w:t>
      </w:r>
      <w:r>
        <w:rPr>
          <w:lang w:val="en_US" w:bidi="en_US"/>
        </w:rPr>
        <w:t xml:space="preserve"> to begin a statement that he wanted to emphasize. He wanted people to listen with extra attention. Some ways to show this emphasis could be:</w:t>
      </w:r>
    </w:p>
    <w:p>
      <w:pPr>
        <w:pStyle w:val="ListBullet"/>
        <w:spacing w:line="240" w:lineRule="auto"/>
        <w:ind w:left="720"/>
      </w:pPr>
      <w:r>
        <w:rPr>
          <w:lang w:val="en_US" w:bidi="en_US"/>
        </w:rPr>
      </w:r>
      <w:r>
        <w:rPr>
          <w:lang w:val="en_US" w:bidi="en_US"/>
        </w:rPr>
        <w:t>As a phrase before Jesus’ statement. For example:</w:t>
      </w:r>
      <w:r>
        <w:rPr>
          <w:lang w:val="en_US" w:bidi="en_US"/>
        </w:rPr>
        <w:t>Let me tell you this</w:t>
      </w:r>
      <w:r>
        <w:rPr>
          <w:lang w:val="en_US" w:bidi="en_US"/>
        </w:rPr>
        <w:t>Listen</w:t>
      </w:r>
      <w:r>
        <w:rPr>
          <w:lang w:val="en_US" w:bidi="en_US"/>
        </w:rPr>
        <w:t>I assure you</w:t>
      </w:r>
    </w:p>
    <w:p>
      <w:pPr>
        <w:pStyle w:val="ListBullet"/>
        <w:spacing w:line="240" w:lineRule="auto"/>
        <w:ind w:left="720"/>
      </w:pPr>
      <w:r>
        <w:rPr>
          <w:lang w:val="en_US" w:bidi="en_US"/>
        </w:rPr>
      </w:r>
      <w:r>
        <w:rPr>
          <w:lang w:val="en_US" w:bidi="en_US"/>
        </w:rPr>
        <w:t>As an emphatic word within Jesus’ statement. For example:</w:t>
      </w:r>
      <w:r>
        <w:rPr>
          <w:lang w:val="en_US" w:bidi="en_US"/>
        </w:rPr>
        <w:t xml:space="preserve">It will </w:t>
      </w:r>
      <w:r>
        <w:rPr>
          <w:u w:val="single"/>
          <w:lang w:val="en_US" w:bidi="en_US"/>
        </w:rPr>
        <w:t>certainly</w:t>
      </w:r>
      <w:r>
        <w:rPr>
          <w:lang w:val="en_US" w:bidi="en_US"/>
        </w:rPr>
        <w:t xml:space="preserve"> be better on the day of judgment for the people of Sodom</w:t>
      </w:r>
    </w:p>
    <w:p>
      <w:pPr/>
      <w:r>
        <w:rPr>
          <w:lang w:val="en_US" w:bidi="en_US"/>
        </w:rPr>
      </w:r>
      <w:r>
        <w:rPr>
          <w:lang w:val="en_US" w:bidi="en_US"/>
        </w:rPr>
        <w:t>If you have another way in your language to emphasize a statement or to alert people to listen with special attention, consider using it here. See the note on 4:24a.</w:t>
      </w:r>
    </w:p>
    <w:p>
      <w:pPr/>
      <w:r>
        <w:rPr>
          <w:lang w:val="en_US" w:bidi="en_US"/>
        </w:rPr>
      </w:r>
      <w:r>
        <w:rPr>
          <w:b/>
          <w:lang w:val="en_US" w:bidi="en_US"/>
        </w:rPr>
        <w:t>it will be more bearable on that day for Sodom than for that town:</w:t>
      </w:r>
      <w:r>
        <w:rPr>
          <w:lang w:val="en_US" w:bidi="en_US"/>
        </w:rPr>
        <w:t xml:space="preserve"> This comparison means that on the day when God judges people, he will punish the people of Sodom less than he will punish the people of a town that rejected Jesus’ disciples. See 10:14 for a similar comparison. The people of Sodom had sinned greatly (see Genesis chapter 19), but people who rejected Jesus’ disciples sinned even more. See Matthew 10:15 and 11:24. Other ways to translate this comparison are:</w:t>
      </w:r>
    </w:p>
    <w:p>
      <w:pPr/>
      <w:r>
        <w:rPr>
          <w:lang w:val="en_US" w:bidi="en_US"/>
        </w:rPr>
      </w:r>
      <w:r>
        <w:rPr>
          <w:lang w:val="en_US" w:bidi="en_US"/>
        </w:rPr>
        <w:t>on the Judgment Day God will show more mercy to Sodom than to that town (GNT)</w:t>
      </w:r>
    </w:p>
    <w:p>
      <w:pPr/>
      <w:r>
        <w:rPr>
          <w:lang w:val="en_US" w:bidi="en_US"/>
        </w:rPr>
      </w:r>
      <w:r>
        <w:rPr>
          <w:lang w:val="en_US" w:bidi="en_US"/>
        </w:rPr>
        <w:t>on the Judgment Day it will be better for the people of Sodom than for the people of that town (NCV)</w:t>
      </w:r>
    </w:p>
    <w:p>
      <w:pPr/>
      <w:r>
        <w:rPr>
          <w:lang w:val="en_US" w:bidi="en_US"/>
        </w:rPr>
      </w:r>
      <w:r>
        <w:rPr>
          <w:lang w:val="en_US" w:bidi="en_US"/>
        </w:rPr>
        <w:t>On the Judgment Day God will punish the people of that town more severely than the people of Sodom</w:t>
      </w:r>
    </w:p>
    <w:p>
      <w:pPr/>
      <w:r>
        <w:rPr>
          <w:lang w:val="en_US" w:bidi="en_US"/>
        </w:rPr>
      </w:r>
      <w:r>
        <w:rPr>
          <w:b/>
          <w:lang w:val="en_US" w:bidi="en_US"/>
        </w:rPr>
        <w:t>more bearable:</w:t>
      </w:r>
      <w:r>
        <w:rPr>
          <w:lang w:val="en_US" w:bidi="en_US"/>
        </w:rPr>
        <w:t xml:space="preserve"> In this context </w:t>
      </w:r>
      <w:r>
        <w:rPr>
          <w:i/>
          <w:lang w:val="en_US" w:bidi="en_US"/>
        </w:rPr>
        <w:t>more bearable</w:t>
      </w:r>
      <w:r>
        <w:rPr>
          <w:lang w:val="en_US" w:bidi="en_US"/>
        </w:rPr>
        <w:t xml:space="preserve"> indicates that Sodom will not be punished as severely as a town that refuses to welcome Jesus’ disciples.</w:t>
      </w:r>
    </w:p>
    <w:p>
      <w:pPr/>
      <w:r>
        <w:rPr>
          <w:lang w:val="en_US" w:bidi="en_US"/>
        </w:rPr>
      </w:r>
      <w:r>
        <w:rPr>
          <w:b/>
          <w:lang w:val="en_US" w:bidi="en_US"/>
        </w:rPr>
        <w:t>on that day:</w:t>
      </w:r>
      <w:r>
        <w:rPr>
          <w:lang w:val="en_US" w:bidi="en_US"/>
        </w:rPr>
        <w:t xml:space="preserve"> The phrase </w:t>
      </w:r>
      <w:r>
        <w:rPr>
          <w:i/>
          <w:lang w:val="en_US" w:bidi="en_US"/>
        </w:rPr>
        <w:t>on that day</w:t>
      </w:r>
      <w:r>
        <w:rPr>
          <w:lang w:val="en_US" w:bidi="en_US"/>
        </w:rPr>
        <w:t xml:space="preserve"> refers to the future day or time when God will judge people. Other ways to translate this phrase are:</w:t>
      </w:r>
    </w:p>
    <w:p>
      <w:pPr/>
      <w:r>
        <w:rPr>
          <w:lang w:val="en_US" w:bidi="en_US"/>
        </w:rPr>
      </w:r>
      <w:r>
        <w:rPr>
          <w:lang w:val="en_US" w:bidi="en_US"/>
        </w:rPr>
        <w:t>on the Judgment Day (GNT)</w:t>
      </w:r>
    </w:p>
    <w:p>
      <w:pPr/>
      <w:r>
        <w:rPr>
          <w:lang w:val="en_US" w:bidi="en_US"/>
        </w:rPr>
      </w:r>
      <w:r>
        <w:rPr>
          <w:lang w:val="en_US" w:bidi="en_US"/>
        </w:rPr>
        <w:t>at the time when God judges people</w:t>
      </w:r>
    </w:p>
    <w:p>
      <w:pPr/>
      <w:r>
        <w:rPr>
          <w:lang w:val="en_US" w:bidi="en_US"/>
        </w:rPr>
      </w:r>
      <w:r>
        <w:rPr>
          <w:b/>
          <w:lang w:val="en_US" w:bidi="en_US"/>
        </w:rPr>
        <w:t>Sodom…that town:</w:t>
      </w:r>
      <w:r>
        <w:rPr>
          <w:lang w:val="en_US" w:bidi="en_US"/>
        </w:rPr>
        <w:t xml:space="preserve"> The word </w:t>
      </w:r>
      <w:r>
        <w:rPr>
          <w:i/>
          <w:lang w:val="en_US" w:bidi="en_US"/>
        </w:rPr>
        <w:t>Sodom</w:t>
      </w:r>
      <w:r>
        <w:rPr>
          <w:lang w:val="en_US" w:bidi="en_US"/>
        </w:rPr>
        <w:t xml:space="preserve"> and the phrase </w:t>
      </w:r>
      <w:r>
        <w:rPr>
          <w:i/>
          <w:lang w:val="en_US" w:bidi="en_US"/>
        </w:rPr>
        <w:t>that town</w:t>
      </w:r>
      <w:r>
        <w:rPr>
          <w:lang w:val="en_US" w:bidi="en_US"/>
        </w:rPr>
        <w:t xml:space="preserve"> are figures of speech that refer to the people who lived there. In some languages these figures of speech may not be clear or natural, and it may be necessary to make the meaning explicit. For example:</w:t>
      </w:r>
    </w:p>
    <w:p>
      <w:pPr/>
      <w:r>
        <w:rPr>
          <w:lang w:val="en_US" w:bidi="en_US"/>
        </w:rPr>
      </w:r>
      <w:r>
        <w:rPr>
          <w:lang w:val="en_US" w:bidi="en_US"/>
        </w:rPr>
        <w:t>the people of Sodom…the people of that town (CEV)</w:t>
      </w:r>
      <w:r>
        <w:rPr>
          <w:lang w:val="en_US" w:bidi="en_US"/>
        </w:rPr>
      </w:r>
      <w:r>
        <w:rPr>
          <w:lang w:val="en_US" w:bidi="en_US"/>
        </w:rPr>
      </w:r>
    </w:p>
    <w:p>
      <w:pPr/>
      <w:r>
        <w:rPr>
          <w:lang w:val="en_US" w:bidi="en_US"/>
        </w:rPr>
      </w:r>
    </w:p>
    <w:p>
      <w:pPr>
        <w:pStyle w:val="Heading2"/>
      </w:pPr>
      <w:r>
        <w:rPr>
          <w:lang w:val="en_US" w:bidi="en_US"/>
        </w:rPr>
        <w:t>Luke 10:13</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4"/>
      </w:pPr>
      <w:r>
        <w:rPr>
          <w:lang w:val="en_US" w:bidi="en_US"/>
        </w:rPr>
        <w:t>Paragraph 10:13–16</w:t>
      </w:r>
    </w:p>
    <w:p>
      <w:pPr/>
      <w:r>
        <w:rPr>
          <w:lang w:val="en_US" w:bidi="en_US"/>
        </w:rPr>
      </w:r>
      <w:r>
        <w:rPr>
          <w:lang w:val="en_US" w:bidi="en_US"/>
        </w:rPr>
        <w:t>Jesus had just been talking to his disciples about how God would punish the people who rejected the message that his disciples preached (10:10–12). Here in 10:13–16 Jesus expressed his sorrow at the terrible punishment that awaited the people. These people had already heard him and had seen him do miracles, but they still refused to repent and believe him.</w:t>
      </w:r>
    </w:p>
    <w:p>
      <w:pPr>
        <w:pStyle w:val="Heading5"/>
      </w:pPr>
      <w:r>
        <w:rPr>
          <w:lang w:val="en_US" w:bidi="en_US"/>
        </w:rPr>
        <w:t>10:13a</w:t>
      </w:r>
    </w:p>
    <w:p>
      <w:pPr/>
      <w:r>
        <w:rPr>
          <w:lang w:val="en_US" w:bidi="en_US"/>
        </w:rPr>
      </w:r>
      <w:r>
        <w:rPr>
          <w:b/>
          <w:lang w:val="en_US" w:bidi="en_US"/>
        </w:rPr>
        <w:t>Woe to you, Chorazin!</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“How terrible it will be for </w:t>
      </w:r>
      <w:r>
        <w:rPr>
          <w:lang w:val="en_US" w:bidi="en_US"/>
        </w:rPr>
        <w:t>the people of</w:t>
      </w:r>
      <w:r>
        <w:rPr>
          <w:lang w:val="en_US" w:bidi="en_US"/>
        </w:rPr>
        <w:t xml:space="preserve"> Korazin!</w:t>
      </w:r>
    </w:p>
    <w:p>
      <w:pPr>
        <w:pStyle w:val="ListBullet"/>
        <w:spacing w:line="240" w:lineRule="auto"/>
        <w:ind w:left="720"/>
      </w:pPr>
      <w:r>
        <w:rPr>
          <w:lang w:val="en_US" w:bidi="en_US"/>
        </w:rPr>
      </w:r>
      <w:r>
        <w:rPr>
          <w:lang w:val="en_US" w:bidi="en_US"/>
        </w:rPr>
        <w:t xml:space="preserve">¶ “How sad/awful! </w:t>
      </w:r>
      <w:r>
        <w:rPr>
          <w:lang w:val="en_US" w:bidi="en_US"/>
        </w:rPr>
        <w:t>God</w:t>
      </w:r>
      <w:r>
        <w:rPr>
          <w:lang w:val="en_US" w:bidi="en_US"/>
        </w:rPr>
        <w:t xml:space="preserve"> will severely punish you</w:t>
      </w:r>
      <w:r>
        <w:rPr>
          <w:vertAlign w:val="superscript"/>
          <w:lang w:val="en_US" w:bidi="en_US"/>
        </w:rPr>
        <w:t>(plur)</w:t>
      </w:r>
      <w:r>
        <w:rPr>
          <w:lang w:val="en_US" w:bidi="en_US"/>
        </w:rPr>
        <w:t xml:space="preserve"> </w:t>
      </w:r>
      <w:r>
        <w:rPr>
          <w:lang w:val="en_US" w:bidi="en_US"/>
        </w:rPr>
        <w:t>who live in the town of</w:t>
      </w:r>
      <w:r>
        <w:rPr>
          <w:lang w:val="en_US" w:bidi="en_US"/>
        </w:rPr>
        <w:t xml:space="preserve"> Korazin </w:t>
      </w:r>
      <w:r>
        <w:rPr>
          <w:lang w:val="en_US" w:bidi="en_US"/>
        </w:rPr>
        <w:t>because you refuse to repent</w:t>
      </w:r>
      <w:r>
        <w:rPr>
          <w:lang w:val="en_US" w:bidi="en_US"/>
        </w:rPr>
        <w:t>!</w:t>
      </w:r>
    </w:p>
    <w:p>
      <w:pPr/>
      <w:r>
        <w:rPr>
          <w:lang w:val="en_US" w:bidi="en_US"/>
        </w:rPr>
      </w:r>
      <w:r>
        <w:rPr>
          <w:b/>
          <w:lang w:val="en_US" w:bidi="en_US"/>
        </w:rPr>
        <w:t>Woe to you, Chorazin!:</w:t>
      </w:r>
      <w:r>
        <w:rPr>
          <w:lang w:val="en_US" w:bidi="en_US"/>
        </w:rPr>
        <w:t xml:space="preserve"> This is a figure of speech. Jesus was addressing the town of Chorazin as though it were a person. In some languages it may be necessary to make it clear that Jesus was actually talking about the people of the town. For example:</w:t>
      </w:r>
    </w:p>
    <w:p>
      <w:pPr/>
      <w:r>
        <w:rPr>
          <w:lang w:val="en_US" w:bidi="en_US"/>
        </w:rPr>
      </w:r>
      <w:r>
        <w:rPr>
          <w:lang w:val="en_US" w:bidi="en_US"/>
        </w:rPr>
        <w:t>You people of Chorazin</w:t>
      </w:r>
    </w:p>
    <w:p>
      <w:pPr/>
      <w:r>
        <w:rPr>
          <w:lang w:val="en_US" w:bidi="en_US"/>
        </w:rPr>
      </w:r>
      <w:r>
        <w:rPr>
          <w:lang w:val="en_US" w:bidi="en_US"/>
        </w:rPr>
        <w:t>At this time Jesus was not in Chorazin and its people were not actually present. If it is not natural in your language to address people who are not present, you may need to translate this as:</w:t>
      </w:r>
    </w:p>
    <w:p>
      <w:pPr/>
      <w:r>
        <w:rPr>
          <w:lang w:val="en_US" w:bidi="en_US"/>
        </w:rPr>
      </w:r>
      <w:r>
        <w:rPr>
          <w:lang w:val="en_US" w:bidi="en_US"/>
        </w:rPr>
        <w:t>Woe to the people of Chorazin!</w:t>
      </w:r>
    </w:p>
    <w:p>
      <w:pPr/>
      <w:r>
        <w:rPr>
          <w:lang w:val="en_US" w:bidi="en_US"/>
        </w:rPr>
      </w:r>
      <w:r>
        <w:rPr>
          <w:lang w:val="en_US" w:bidi="en_US"/>
        </w:rPr>
        <w:t xml:space="preserve">The exclamation </w:t>
      </w:r>
      <w:r>
        <w:rPr>
          <w:i/>
          <w:lang w:val="en_US" w:bidi="en_US"/>
        </w:rPr>
        <w:t>Woe to you, Chorazin!</w:t>
      </w:r>
      <w:r>
        <w:rPr>
          <w:lang w:val="en_US" w:bidi="en_US"/>
        </w:rPr>
        <w:t xml:space="preserve"> expressed that Jesus was sad because of the things that would happen to the people of Chorazin. God would punish them. See the note on the same exclamation in 6:24a. Other ways to translate this exclamation are:</w:t>
      </w:r>
    </w:p>
    <w:p>
      <w:pPr/>
      <w:r>
        <w:rPr>
          <w:lang w:val="en_US" w:bidi="en_US"/>
        </w:rPr>
      </w:r>
      <w:r>
        <w:rPr>
          <w:lang w:val="en_US" w:bidi="en_US"/>
        </w:rPr>
        <w:t>How terrible for you, Korazin! (NCV)</w:t>
      </w:r>
    </w:p>
    <w:p>
      <w:pPr/>
      <w:r>
        <w:rPr>
          <w:lang w:val="en_US" w:bidi="en_US"/>
        </w:rPr>
      </w:r>
      <w:r>
        <w:rPr>
          <w:lang w:val="en_US" w:bidi="en_US"/>
        </w:rPr>
        <w:t>What horrors await you, Korazin! (NLT96)</w:t>
      </w:r>
    </w:p>
    <w:p>
      <w:pPr/>
      <w:r>
        <w:rPr>
          <w:lang w:val="en_US" w:bidi="en_US"/>
        </w:rPr>
      </w:r>
      <w:r>
        <w:rPr>
          <w:lang w:val="en_US" w:bidi="en_US"/>
        </w:rPr>
        <w:t xml:space="preserve">How sad/awful! </w:t>
      </w:r>
      <w:r>
        <w:rPr>
          <w:lang w:val="en_US" w:bidi="en_US"/>
        </w:rPr>
        <w:t>God will punish</w:t>
      </w:r>
      <w:r>
        <w:rPr>
          <w:lang w:val="en_US" w:bidi="en_US"/>
        </w:rPr>
        <w:t xml:space="preserve"> you/the people of Korazin severely.</w:t>
      </w:r>
    </w:p>
    <w:p>
      <w:pPr/>
      <w:r>
        <w:rPr>
          <w:lang w:val="en_US" w:bidi="en_US"/>
        </w:rPr>
      </w:r>
      <w:r>
        <w:rPr>
          <w:b/>
          <w:lang w:val="en_US" w:bidi="en_US"/>
        </w:rPr>
        <w:t>Chorazin:</w:t>
      </w:r>
      <w:r>
        <w:rPr>
          <w:lang w:val="en_US" w:bidi="en_US"/>
        </w:rPr>
        <w:t xml:space="preserve"> </w:t>
      </w:r>
      <w:r>
        <w:rPr>
          <w:i/>
          <w:lang w:val="en_US" w:bidi="en_US"/>
        </w:rPr>
        <w:t>Chorazin</w:t>
      </w:r>
      <w:r>
        <w:rPr>
          <w:lang w:val="en_US" w:bidi="en_US"/>
        </w:rPr>
        <w:t xml:space="preserve"> was probably a town by the Sea of Galilee where Jesus preached and did some of his miracles. It may have been a village near Capernaum. Here is another way to spell the name of this town:</w:t>
      </w:r>
    </w:p>
    <w:p>
      <w:pPr/>
      <w:r>
        <w:rPr>
          <w:lang w:val="en_US" w:bidi="en_US"/>
        </w:rPr>
      </w:r>
      <w:r>
        <w:rPr>
          <w:lang w:val="en_US" w:bidi="en_US"/>
        </w:rPr>
        <w:t>Korazin (NLT, NCV)</w:t>
      </w:r>
    </w:p>
    <w:p>
      <w:pPr/>
      <w:r>
        <w:rPr>
          <w:lang w:val="en_US" w:bidi="en_US"/>
        </w:rPr>
      </w:r>
      <w:r>
        <w:rPr>
          <w:lang w:val="en_US" w:bidi="en_US"/>
        </w:rPr>
        <w:t>You may use either spelling as a basis for the way you write this name in your language. Both names are pronounced the same way.</w:t>
      </w:r>
    </w:p>
    <w:p>
      <w:pPr>
        <w:pStyle w:val="Heading5"/>
      </w:pPr>
      <w:r>
        <w:rPr>
          <w:lang w:val="en_US" w:bidi="en_US"/>
        </w:rPr>
        <w:t>10:13b</w:t>
      </w:r>
    </w:p>
    <w:p>
      <w:pPr/>
      <w:r>
        <w:rPr>
          <w:lang w:val="en_US" w:bidi="en_US"/>
        </w:rPr>
      </w:r>
      <w:r>
        <w:rPr>
          <w:b/>
          <w:lang w:val="en_US" w:bidi="en_US"/>
        </w:rPr>
        <w:t>Woe to you, Bethsaida!</w:t>
      </w:r>
    </w:p>
    <w:p>
      <w:pPr>
        <w:pStyle w:val="ListBullet"/>
        <w:spacing w:line="240" w:lineRule="auto"/>
        <w:ind w:left="720"/>
      </w:pPr>
      <w:r>
        <w:rPr>
          <w:lang w:val="en_US" w:bidi="en_US"/>
        </w:rPr>
      </w:r>
      <w:r>
        <w:rPr>
          <w:lang w:val="en_US" w:bidi="en_US"/>
        </w:rPr>
        <w:t xml:space="preserve">How terrible it will also be for </w:t>
      </w:r>
      <w:r>
        <w:rPr>
          <w:lang w:val="en_US" w:bidi="en_US"/>
        </w:rPr>
        <w:t>the people of</w:t>
      </w:r>
      <w:r>
        <w:rPr>
          <w:lang w:val="en_US" w:bidi="en_US"/>
        </w:rPr>
        <w:t xml:space="preserve"> Bethsaida!</w:t>
      </w:r>
    </w:p>
    <w:p>
      <w:pPr>
        <w:pStyle w:val="ListBullet"/>
        <w:spacing w:line="240" w:lineRule="auto"/>
        <w:ind w:left="720"/>
      </w:pPr>
      <w:r>
        <w:rPr>
          <w:lang w:val="en_US" w:bidi="en_US"/>
        </w:rPr>
      </w:r>
      <w:r>
        <w:rPr>
          <w:lang w:val="en_US" w:bidi="en_US"/>
        </w:rPr>
        <w:t>He will also severely punish you</w:t>
      </w:r>
      <w:r>
        <w:rPr>
          <w:vertAlign w:val="superscript"/>
          <w:lang w:val="en_US" w:bidi="en_US"/>
        </w:rPr>
        <w:t>(plur)</w:t>
      </w:r>
      <w:r>
        <w:rPr>
          <w:lang w:val="en_US" w:bidi="en_US"/>
        </w:rPr>
        <w:t xml:space="preserve"> </w:t>
      </w:r>
      <w:r>
        <w:rPr>
          <w:lang w:val="en_US" w:bidi="en_US"/>
        </w:rPr>
        <w:t>who live in the town of</w:t>
      </w:r>
      <w:r>
        <w:rPr>
          <w:lang w:val="en_US" w:bidi="en_US"/>
        </w:rPr>
        <w:t xml:space="preserve"> Bethsaida.</w:t>
      </w:r>
    </w:p>
    <w:p>
      <w:pPr/>
      <w:r>
        <w:rPr>
          <w:lang w:val="en_US" w:bidi="en_US"/>
        </w:rPr>
      </w:r>
      <w:r>
        <w:rPr>
          <w:b/>
          <w:lang w:val="en_US" w:bidi="en_US"/>
        </w:rPr>
        <w:t>Bethsaida:</w:t>
      </w:r>
      <w:r>
        <w:rPr>
          <w:lang w:val="en_US" w:bidi="en_US"/>
        </w:rPr>
        <w:t xml:space="preserve"> </w:t>
      </w:r>
      <w:r>
        <w:rPr>
          <w:i/>
          <w:lang w:val="en_US" w:bidi="en_US"/>
        </w:rPr>
        <w:t>Bethsaida</w:t>
      </w:r>
      <w:r>
        <w:rPr>
          <w:lang w:val="en_US" w:bidi="en_US"/>
        </w:rPr>
        <w:t xml:space="preserve"> was another town whose people had seen and heard Jesus and had apparently also rejected him. This town was also by Lake Galilee and probably near Capernaum. It was mentioned in 9:10. Be sure that you spell this name the same way in both verses.</w:t>
      </w:r>
    </w:p>
    <w:p>
      <w:pPr>
        <w:pStyle w:val="Heading6"/>
      </w:pPr>
      <w:r>
        <w:rPr>
          <w:b/>
          <w:lang w:val="en_US" w:bidi="en_US"/>
        </w:rPr>
        <w:t>General Comment on 10:13a–b</w:t>
      </w:r>
    </w:p>
    <w:p>
      <w:pPr/>
      <w:r>
        <w:rPr>
          <w:lang w:val="en_US" w:bidi="en_US"/>
        </w:rPr>
      </w:r>
      <w:r>
        <w:rPr>
          <w:lang w:val="en_US" w:bidi="en_US"/>
        </w:rPr>
        <w:t>In some languages it may be natural to combine these verse parts. For example:</w:t>
      </w:r>
    </w:p>
    <w:p>
      <w:pPr/>
      <w:r>
        <w:rPr>
          <w:lang w:val="en_US" w:bidi="en_US"/>
        </w:rPr>
      </w:r>
      <w:r>
        <w:rPr>
          <w:lang w:val="en_US" w:bidi="en_US"/>
        </w:rPr>
        <w:t>What sorrow awaits you, Korazin and Bethsaida! (NLT)</w:t>
      </w:r>
    </w:p>
    <w:p>
      <w:pPr/>
      <w:r>
        <w:rPr>
          <w:lang w:val="en_US" w:bidi="en_US"/>
        </w:rPr>
      </w:r>
      <w:r>
        <w:rPr>
          <w:lang w:val="en_US" w:bidi="en_US"/>
        </w:rPr>
        <w:t>How terrible it will be for the people of Korazin and Bethsaida!</w:t>
      </w:r>
    </w:p>
    <w:p>
      <w:pPr>
        <w:pStyle w:val="Heading5"/>
      </w:pPr>
      <w:r>
        <w:rPr>
          <w:lang w:val="en_US" w:bidi="en_US"/>
        </w:rPr>
        <w:t>10:13c</w:t>
      </w:r>
    </w:p>
    <w:p>
      <w:pPr/>
      <w:r>
        <w:rPr>
          <w:lang w:val="en_US" w:bidi="en_US"/>
        </w:rPr>
      </w:r>
      <w:r>
        <w:rPr>
          <w:b/>
          <w:lang w:val="en_US" w:bidi="en_US"/>
        </w:rPr>
        <w:t>For if the miracles that were performed in you had been performed in Tyre and Sidon,</w:t>
      </w:r>
    </w:p>
    <w:p>
      <w:pPr>
        <w:pStyle w:val="ListBullet"/>
        <w:spacing w:line="240" w:lineRule="auto"/>
        <w:ind w:left="720"/>
      </w:pPr>
      <w:r>
        <w:rPr>
          <w:lang w:val="en_US" w:bidi="en_US"/>
        </w:rPr>
      </w:r>
      <w:r>
        <w:rPr>
          <w:lang w:val="en_US" w:bidi="en_US"/>
        </w:rPr>
        <w:t xml:space="preserve">For </w:t>
      </w:r>
      <w:r>
        <w:rPr>
          <w:lang w:val="en_US" w:bidi="en_US"/>
        </w:rPr>
        <w:t>they saw the miracles that I did among them, but they did not turn from their sins.</w:t>
      </w:r>
      <w:r>
        <w:rPr>
          <w:lang w:val="en_US" w:bidi="en_US"/>
        </w:rPr>
        <w:t xml:space="preserve"> If </w:t>
      </w:r>
      <w:r>
        <w:rPr>
          <w:lang w:val="en_US" w:bidi="en_US"/>
        </w:rPr>
        <w:t>the wicked people of</w:t>
      </w:r>
      <w:r>
        <w:rPr>
          <w:lang w:val="en_US" w:bidi="en_US"/>
        </w:rPr>
        <w:t xml:space="preserve"> Tyre and Sidon had seen miracles like the ones that </w:t>
      </w:r>
      <w:r>
        <w:rPr>
          <w:lang w:val="en_US" w:bidi="en_US"/>
        </w:rPr>
        <w:t>people in Korazin and Bethsaida</w:t>
      </w:r>
      <w:r>
        <w:rPr>
          <w:lang w:val="en_US" w:bidi="en_US"/>
        </w:rPr>
        <w:t xml:space="preserve"> saw,</w:t>
      </w:r>
    </w:p>
    <w:p>
      <w:pPr>
        <w:pStyle w:val="ListBullet"/>
        <w:spacing w:line="240" w:lineRule="auto"/>
        <w:ind w:left="720"/>
      </w:pPr>
      <w:r>
        <w:rPr>
          <w:lang w:val="en_US" w:bidi="en_US"/>
        </w:rPr>
      </w:r>
      <w:r>
        <w:rPr>
          <w:lang w:val="en_US" w:bidi="en_US"/>
        </w:rPr>
        <w:t xml:space="preserve">If </w:t>
      </w:r>
      <w:r>
        <w:rPr>
          <w:lang w:val="en_US" w:bidi="en_US"/>
        </w:rPr>
        <w:t>I</w:t>
      </w:r>
      <w:r>
        <w:rPr>
          <w:lang w:val="en_US" w:bidi="en_US"/>
        </w:rPr>
        <w:t xml:space="preserve"> had done in </w:t>
      </w:r>
      <w:r>
        <w:rPr>
          <w:lang w:val="en_US" w:bidi="en_US"/>
        </w:rPr>
        <w:t>the Gentile cities of</w:t>
      </w:r>
      <w:r>
        <w:rPr>
          <w:lang w:val="en_US" w:bidi="en_US"/>
        </w:rPr>
        <w:t xml:space="preserve"> Tyre and Sidon the miracles that </w:t>
      </w:r>
      <w:r>
        <w:rPr>
          <w:lang w:val="en_US" w:bidi="en_US"/>
        </w:rPr>
        <w:t>I</w:t>
      </w:r>
      <w:r>
        <w:rPr>
          <w:lang w:val="en_US" w:bidi="en_US"/>
        </w:rPr>
        <w:t xml:space="preserve"> did in your</w:t>
      </w:r>
      <w:r>
        <w:rPr>
          <w:vertAlign w:val="superscript"/>
          <w:lang w:val="en_US" w:bidi="en_US"/>
        </w:rPr>
        <w:t>(plur)</w:t>
      </w:r>
      <w:r>
        <w:rPr>
          <w:lang w:val="en_US" w:bidi="en_US"/>
        </w:rPr>
        <w:t xml:space="preserve"> </w:t>
      </w:r>
      <w:r>
        <w:rPr>
          <w:lang w:val="en_US" w:bidi="en_US"/>
        </w:rPr>
        <w:t>towns</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why God would punish the people of Chorazin and Bethsaida more severely than he punished the people of Tyre and Sidon. Some English versions do not translate this conjunction.</w:t>
      </w:r>
    </w:p>
    <w:p>
      <w:pPr/>
      <w:r>
        <w:rPr>
          <w:lang w:val="en_US" w:bidi="en_US"/>
        </w:rPr>
      </w:r>
      <w:r>
        <w:rPr>
          <w:lang w:val="en_US" w:bidi="en_US"/>
        </w:rPr>
        <w:t>The reason why God would punish them is only implied here. The reason is that they did not repent when they saw the miracles that Jesus performed. In some languages it may be necessary to make this reason explicit at the end of 10:13a or at the beginning of 10:13c. For example:</w:t>
      </w:r>
    </w:p>
    <w:p>
      <w:pPr/>
      <w:r>
        <w:rPr>
          <w:lang w:val="en_US" w:bidi="en_US"/>
        </w:rPr>
      </w:r>
      <w:r>
        <w:rPr>
          <w:lang w:val="en_US" w:bidi="en_US"/>
        </w:rPr>
        <w:t xml:space="preserve">because </w:t>
      </w:r>
      <w:r>
        <w:rPr>
          <w:lang w:val="en_US" w:bidi="en_US"/>
        </w:rPr>
        <w:t>you refuse to repent/believe</w:t>
      </w:r>
      <w:r>
        <w:rPr>
          <w:lang w:val="en_US" w:bidi="en_US"/>
        </w:rPr>
        <w:t xml:space="preserve"> (TRT)</w:t>
      </w:r>
    </w:p>
    <w:p>
      <w:pPr/>
      <w:r>
        <w:rPr>
          <w:lang w:val="en_US" w:bidi="en_US"/>
        </w:rPr>
      </w:r>
      <w:r>
        <w:rPr>
          <w:b/>
          <w:lang w:val="en_US" w:bidi="en_US"/>
        </w:rPr>
        <w:t>if the miracles that were performed in you:</w:t>
      </w:r>
      <w:r>
        <w:rPr>
          <w:lang w:val="en_US" w:bidi="en_US"/>
        </w:rPr>
        <w:t xml:space="preserve"> The verb that the BSB translates as </w:t>
      </w:r>
      <w:r>
        <w:rPr>
          <w:i/>
          <w:lang w:val="en_US" w:bidi="en_US"/>
        </w:rPr>
        <w:t>were performed</w:t>
      </w:r>
      <w:r>
        <w:rPr>
          <w:lang w:val="en_US" w:bidi="en_US"/>
        </w:rPr>
        <w:t xml:space="preserve"> is a passive verb. The implied subject of this verb is Jesus. Some ways to translate this verb are:</w:t>
      </w:r>
    </w:p>
    <w:p>
      <w:pPr>
        <w:pStyle w:val="ListBullet"/>
        <w:spacing w:line="240" w:lineRule="auto"/>
        <w:ind w:left="720"/>
      </w:pPr>
      <w:r>
        <w:rPr>
          <w:lang w:val="en_US" w:bidi="en_US"/>
        </w:rPr>
      </w:r>
      <w:r>
        <w:rPr>
          <w:lang w:val="en_US" w:bidi="en_US"/>
        </w:rPr>
        <w:t>As a passive verb. For example:</w:t>
      </w:r>
      <w:r>
        <w:rPr>
          <w:lang w:val="en_US" w:bidi="en_US"/>
        </w:rPr>
        <w:t>the miracles done in you (NJB)</w:t>
      </w:r>
    </w:p>
    <w:p>
      <w:pPr>
        <w:pStyle w:val="ListBullet"/>
        <w:spacing w:line="240" w:lineRule="auto"/>
        <w:ind w:left="720"/>
      </w:pPr>
      <w:r>
        <w:rPr>
          <w:lang w:val="en_US" w:bidi="en_US"/>
        </w:rPr>
      </w:r>
      <w:r>
        <w:rPr>
          <w:lang w:val="en_US" w:bidi="en_US"/>
        </w:rPr>
        <w:t>As an active verb, with or without the implied subject. For example:</w:t>
      </w:r>
      <w:r>
        <w:rPr>
          <w:lang w:val="en_US" w:bidi="en_US"/>
        </w:rPr>
        <w:t>the miracles I did in you (NCV)</w:t>
      </w:r>
      <w:r>
        <w:rPr>
          <w:lang w:val="en_US" w:bidi="en_US"/>
        </w:rPr>
        <w:t>the miracles that took place in your towns (CEV)</w:t>
      </w:r>
    </w:p>
    <w:p>
      <w:pPr/>
      <w:r>
        <w:rPr>
          <w:lang w:val="en_US" w:bidi="en_US"/>
        </w:rPr>
      </w:r>
      <w:r>
        <w:rPr>
          <w:lang w:val="en_US" w:bidi="en_US"/>
        </w:rPr>
        <w:t>Translate this in the way that is most natural in your language.</w:t>
      </w:r>
    </w:p>
    <w:p>
      <w:pPr/>
      <w:r>
        <w:rPr>
          <w:lang w:val="en_US" w:bidi="en_US"/>
        </w:rPr>
      </w:r>
      <w:r>
        <w:rPr>
          <w:b/>
          <w:lang w:val="en_US" w:bidi="en_US"/>
        </w:rPr>
        <w:t>miracles:</w:t>
      </w:r>
      <w:r>
        <w:rPr>
          <w:lang w:val="en_US" w:bidi="en_US"/>
        </w:rPr>
        <w:t xml:space="preserve"> The Greek word that the BSB translates here as </w:t>
      </w:r>
      <w:r>
        <w:rPr>
          <w:i/>
          <w:lang w:val="en_US" w:bidi="en_US"/>
        </w:rPr>
        <w:t>miracles</w:t>
      </w:r>
      <w:r>
        <w:rPr>
          <w:lang w:val="en_US" w:bidi="en_US"/>
        </w:rPr>
        <w:t xml:space="preserve"> is literally “powers.”</w:t>
      </w:r>
      <w:r>
        <w:rPr>
          <w:lang w:val="en_US" w:bidi="en_US"/>
        </w:rPr>
        <w:t xml:space="preserve">The Greek word is </w:t>
      </w:r>
      <w:r>
        <w:rPr>
          <w:i/>
          <w:lang w:val="en_US" w:bidi="en_US"/>
        </w:rPr>
        <w:t>dunamis</w:t>
      </w:r>
      <w:r>
        <w:rPr>
          <w:lang w:val="en_US" w:bidi="en_US"/>
        </w:rPr>
        <w:t>.</w:t>
      </w:r>
      <w:r>
        <w:rPr>
          <w:lang w:val="en_US" w:bidi="en_US"/>
        </w:rPr>
        <w:t xml:space="preserve"> A </w:t>
      </w:r>
      <w:r>
        <w:rPr>
          <w:i/>
          <w:lang w:val="en_US" w:bidi="en_US"/>
        </w:rPr>
        <w:t>miracle</w:t>
      </w:r>
      <w:r>
        <w:rPr>
          <w:lang w:val="en_US" w:bidi="en_US"/>
        </w:rPr>
        <w:t xml:space="preserve"> is an action that requires great power to accomplish. When a human being does a miracle, he must use greater power than human beings normally have. Jesus used God’s power to do miracles, and these miracles demonstrated that he came from God.</w:t>
      </w:r>
    </w:p>
    <w:p>
      <w:pPr/>
      <w:r>
        <w:rPr>
          <w:lang w:val="en_US" w:bidi="en_US"/>
        </w:rPr>
      </w:r>
      <w:r>
        <w:rPr>
          <w:lang w:val="en_US" w:bidi="en_US"/>
        </w:rPr>
        <w:t xml:space="preserve">Some other ways to translate </w:t>
      </w:r>
      <w:r>
        <w:rPr>
          <w:i/>
          <w:lang w:val="en_US" w:bidi="en_US"/>
        </w:rPr>
        <w:t>miracles</w:t>
      </w:r>
      <w:r>
        <w:rPr>
          <w:lang w:val="en_US" w:bidi="en_US"/>
        </w:rPr>
        <w:t xml:space="preserve"> are:</w:t>
      </w:r>
    </w:p>
    <w:p>
      <w:pPr/>
      <w:r>
        <w:rPr>
          <w:lang w:val="en_US" w:bidi="en_US"/>
        </w:rPr>
      </w:r>
      <w:r>
        <w:rPr>
          <w:lang w:val="en_US" w:bidi="en_US"/>
        </w:rPr>
        <w:t>mighty works</w:t>
      </w:r>
    </w:p>
    <w:p>
      <w:pPr/>
      <w:r>
        <w:rPr>
          <w:lang w:val="en_US" w:bidi="en_US"/>
        </w:rPr>
      </w:r>
      <w:r>
        <w:rPr>
          <w:lang w:val="en_US" w:bidi="en_US"/>
        </w:rPr>
        <w:t xml:space="preserve">amazing acts </w:t>
      </w:r>
      <w:r>
        <w:rPr>
          <w:lang w:val="en_US" w:bidi="en_US"/>
        </w:rPr>
        <w:t>done with/by God’s power</w:t>
      </w:r>
    </w:p>
    <w:p>
      <w:pPr/>
      <w:r>
        <w:rPr>
          <w:lang w:val="en_US" w:bidi="en_US"/>
        </w:rPr>
      </w:r>
      <w:r>
        <w:rPr>
          <w:lang w:val="en_US" w:bidi="en_US"/>
        </w:rPr>
        <w:t>wonderful actions that only God can do</w:t>
      </w:r>
    </w:p>
    <w:p>
      <w:pPr/>
      <w:r>
        <w:rPr>
          <w:lang w:val="en_US" w:bidi="en_US"/>
        </w:rPr>
      </w:r>
      <w:r>
        <w:rPr>
          <w:b/>
          <w:lang w:val="en_US" w:bidi="en_US"/>
        </w:rPr>
        <w:t>in you:</w:t>
      </w:r>
      <w:r>
        <w:rPr>
          <w:lang w:val="en_US" w:bidi="en_US"/>
        </w:rPr>
        <w:t xml:space="preserve"> The phrase </w:t>
      </w:r>
      <w:r>
        <w:rPr>
          <w:i/>
          <w:lang w:val="en_US" w:bidi="en_US"/>
        </w:rPr>
        <w:t>in you</w:t>
      </w:r>
      <w:r>
        <w:rPr>
          <w:lang w:val="en_US" w:bidi="en_US"/>
        </w:rPr>
        <w:t xml:space="preserve"> here means “in the towns of Chorazin and Bethsaida.” In your translation, if Jesus is addressing the people of these towns rather than the towns themselves, you may need to translate this as:</w:t>
      </w:r>
    </w:p>
    <w:p>
      <w:pPr/>
      <w:r>
        <w:rPr>
          <w:lang w:val="en_US" w:bidi="en_US"/>
        </w:rPr>
      </w:r>
      <w:r>
        <w:rPr>
          <w:lang w:val="en_US" w:bidi="en_US"/>
        </w:rPr>
        <w:t>among you</w:t>
      </w:r>
      <w:r>
        <w:rPr>
          <w:vertAlign w:val="superscript"/>
          <w:lang w:val="en_US" w:bidi="en_US"/>
        </w:rPr>
        <w:t>(plur)</w:t>
      </w:r>
    </w:p>
    <w:p>
      <w:pPr/>
      <w:r>
        <w:rPr>
          <w:lang w:val="en_US" w:bidi="en_US"/>
        </w:rPr>
      </w:r>
      <w:r>
        <w:rPr>
          <w:lang w:val="en_US" w:bidi="en_US"/>
        </w:rPr>
        <w:t>in your towns</w:t>
      </w:r>
    </w:p>
    <w:p>
      <w:pPr/>
      <w:r>
        <w:rPr>
          <w:lang w:val="en_US" w:bidi="en_US"/>
        </w:rPr>
      </w:r>
      <w:r>
        <w:rPr>
          <w:b/>
          <w:lang w:val="en_US" w:bidi="en_US"/>
        </w:rPr>
        <w:t>if the miracles…had been performed in Tyre and Sidon:</w:t>
      </w:r>
      <w:r>
        <w:rPr>
          <w:lang w:val="en_US" w:bidi="en_US"/>
        </w:rPr>
        <w:t xml:space="preserve"> This clause implies that Jesus did not do miracles like these in Tyre and Sidon. In some languages it may again be necessary to make it explicit that Jesus was the subject:</w:t>
      </w:r>
    </w:p>
    <w:p>
      <w:pPr/>
      <w:r>
        <w:rPr>
          <w:lang w:val="en_US" w:bidi="en_US"/>
        </w:rPr>
      </w:r>
      <w:r>
        <w:rPr>
          <w:lang w:val="en_US" w:bidi="en_US"/>
        </w:rPr>
        <w:t xml:space="preserve">if </w:t>
      </w:r>
      <w:r>
        <w:rPr>
          <w:lang w:val="en_US" w:bidi="en_US"/>
        </w:rPr>
        <w:t>I</w:t>
      </w:r>
      <w:r>
        <w:rPr>
          <w:lang w:val="en_US" w:bidi="en_US"/>
        </w:rPr>
        <w:t xml:space="preserve"> had performed in Tyre and Sidon the miracles</w:t>
      </w:r>
    </w:p>
    <w:p>
      <w:pPr/>
      <w:r>
        <w:rPr>
          <w:lang w:val="en_US" w:bidi="en_US"/>
        </w:rPr>
      </w:r>
      <w:r>
        <w:rPr>
          <w:b/>
          <w:lang w:val="en_US" w:bidi="en_US"/>
        </w:rPr>
        <w:t>Tyre and Sidon:</w:t>
      </w:r>
      <w:r>
        <w:rPr>
          <w:lang w:val="en_US" w:bidi="en_US"/>
        </w:rPr>
        <w:t xml:space="preserve"> </w:t>
      </w:r>
      <w:r>
        <w:rPr>
          <w:i/>
          <w:lang w:val="en_US" w:bidi="en_US"/>
        </w:rPr>
        <w:t>Tyre</w:t>
      </w:r>
      <w:r>
        <w:rPr>
          <w:lang w:val="en_US" w:bidi="en_US"/>
        </w:rPr>
        <w:t xml:space="preserve"> and </w:t>
      </w:r>
      <w:r>
        <w:rPr>
          <w:i/>
          <w:lang w:val="en_US" w:bidi="en_US"/>
        </w:rPr>
        <w:t>Sidon</w:t>
      </w:r>
      <w:r>
        <w:rPr>
          <w:lang w:val="en_US" w:bidi="en_US"/>
        </w:rPr>
        <w:t xml:space="preserve"> were Gentile cities on the Mediterranean coast north of Israel. These cities had rejected God long ago and were well-known for their wicked lives. See Isaiah chapter 23, Ezekiel chapters 26–28, and Amos 1:9–15. You may want to supply this background information in a footnote. It may also be appropriate to make some of this information explicit in the text. For example:</w:t>
      </w:r>
    </w:p>
    <w:p>
      <w:pPr/>
      <w:r>
        <w:rPr>
          <w:lang w:val="en_US" w:bidi="en_US"/>
        </w:rPr>
      </w:r>
      <w:r>
        <w:rPr>
          <w:lang w:val="en_US" w:bidi="en_US"/>
        </w:rPr>
        <w:t>the Gentile cities of</w:t>
      </w:r>
      <w:r>
        <w:rPr>
          <w:lang w:val="en_US" w:bidi="en_US"/>
        </w:rPr>
        <w:t xml:space="preserve"> Tyre and Sidon</w:t>
      </w:r>
    </w:p>
    <w:p>
      <w:pPr/>
      <w:r>
        <w:rPr>
          <w:lang w:val="en_US" w:bidi="en_US"/>
        </w:rPr>
      </w:r>
      <w:r>
        <w:rPr>
          <w:lang w:val="en_US" w:bidi="en_US"/>
        </w:rPr>
        <w:t>the wicked people of</w:t>
      </w:r>
      <w:r>
        <w:rPr>
          <w:lang w:val="en_US" w:bidi="en_US"/>
        </w:rPr>
        <w:t xml:space="preserve"> Tyre and Sidon</w:t>
      </w:r>
    </w:p>
    <w:p>
      <w:pPr>
        <w:pStyle w:val="Heading5"/>
      </w:pPr>
      <w:r>
        <w:rPr>
          <w:lang w:val="en_US" w:bidi="en_US"/>
        </w:rPr>
        <w:t>10:13d</w:t>
      </w:r>
    </w:p>
    <w:p>
      <w:pPr/>
      <w:r>
        <w:rPr>
          <w:lang w:val="en_US" w:bidi="en_US"/>
        </w:rPr>
      </w:r>
      <w:r>
        <w:rPr>
          <w:b/>
          <w:lang w:val="en_US" w:bidi="en_US"/>
        </w:rPr>
        <w:t>they would have repented long ago,</w:t>
      </w:r>
    </w:p>
    <w:p>
      <w:pPr>
        <w:pStyle w:val="ListBullet"/>
        <w:spacing w:line="240" w:lineRule="auto"/>
        <w:ind w:left="720"/>
      </w:pPr>
      <w:r>
        <w:rPr>
          <w:lang w:val="en_US" w:bidi="en_US"/>
        </w:rPr>
      </w:r>
      <w:r>
        <w:rPr>
          <w:lang w:val="en_US" w:bidi="en_US"/>
        </w:rPr>
        <w:t>they would have turned from their sins long ago.</w:t>
      </w:r>
    </w:p>
    <w:p>
      <w:pPr>
        <w:pStyle w:val="ListBullet"/>
        <w:spacing w:line="240" w:lineRule="auto"/>
        <w:ind w:left="720"/>
      </w:pPr>
      <w:r>
        <w:rPr>
          <w:lang w:val="en_US" w:bidi="en_US"/>
        </w:rPr>
      </w:r>
      <w:r>
        <w:rPr>
          <w:lang w:val="en_US" w:bidi="en_US"/>
        </w:rPr>
        <w:t xml:space="preserve">those people </w:t>
      </w:r>
      <w:r>
        <w:rPr>
          <w:lang w:val="en_US" w:bidi="en_US"/>
        </w:rPr>
        <w:t>in Tyre and Sidon</w:t>
      </w:r>
      <w:r>
        <w:rPr>
          <w:lang w:val="en_US" w:bidi="en_US"/>
        </w:rPr>
        <w:t xml:space="preserve"> would have quickly repented </w:t>
      </w:r>
      <w:r>
        <w:rPr>
          <w:lang w:val="en_US" w:bidi="en_US"/>
        </w:rPr>
        <w:t>of their sins</w:t>
      </w:r>
      <w:r>
        <w:rPr>
          <w:lang w:val="en_US" w:bidi="en_US"/>
        </w:rPr>
        <w:t>.</w:t>
      </w:r>
    </w:p>
    <w:p>
      <w:pPr/>
      <w:r>
        <w:rPr>
          <w:lang w:val="en_US" w:bidi="en_US"/>
        </w:rPr>
      </w:r>
      <w:r>
        <w:rPr>
          <w:b/>
          <w:lang w:val="en_US" w:bidi="en_US"/>
        </w:rPr>
        <w:t>they would have repented long ago:</w:t>
      </w:r>
      <w:r>
        <w:rPr>
          <w:lang w:val="en_US" w:bidi="en_US"/>
        </w:rPr>
        <w:t xml:space="preserve"> If the people of Tyre and Sidon had seen the miracles of Jesus, they would have quickly repented of their sins. But Jesus did not do these miracles in Tyre and Sidon, so the people there did not repent.</w:t>
      </w:r>
    </w:p>
    <w:p>
      <w:pPr/>
      <w:r>
        <w:rPr>
          <w:lang w:val="en_US" w:bidi="en_US"/>
        </w:rPr>
      </w:r>
      <w:r>
        <w:rPr>
          <w:b/>
          <w:lang w:val="en_US" w:bidi="en_US"/>
        </w:rPr>
        <w:t>repented:</w:t>
      </w:r>
      <w:r>
        <w:rPr>
          <w:lang w:val="en_US" w:bidi="en_US"/>
        </w:rPr>
        <w:t xml:space="preserve"> The Greek word that the BSB translates as </w:t>
      </w:r>
      <w:r>
        <w:rPr>
          <w:i/>
          <w:lang w:val="en_US" w:bidi="en_US"/>
        </w:rPr>
        <w:t>repented</w:t>
      </w:r>
      <w:r>
        <w:rPr>
          <w:lang w:val="en_US" w:bidi="en_US"/>
        </w:rPr>
        <w:t xml:space="preserve"> means that a person “changed his mind, heart, or will.” In the Bible, it refers specifically to a person’s changing his mind and heart about sin and about God. When a person repents, he is sorry for his past sins. He decides to stop sinning and obey God.</w:t>
      </w:r>
    </w:p>
    <w:p>
      <w:pPr/>
      <w:r>
        <w:rPr>
          <w:lang w:val="en_US" w:bidi="en_US"/>
        </w:rPr>
      </w:r>
      <w:r>
        <w:rPr>
          <w:lang w:val="en_US" w:bidi="en_US"/>
        </w:rPr>
        <w:t xml:space="preserve">Some ways to translate </w:t>
      </w:r>
      <w:r>
        <w:rPr>
          <w:i/>
          <w:lang w:val="en_US" w:bidi="en_US"/>
        </w:rPr>
        <w:t>repented</w:t>
      </w:r>
      <w:r>
        <w:rPr>
          <w:lang w:val="en_US" w:bidi="en_US"/>
        </w:rPr>
        <w:t xml:space="preserve"> in this context are:</w:t>
      </w:r>
    </w:p>
    <w:p>
      <w:pPr/>
      <w:r>
        <w:rPr>
          <w:lang w:val="en_US" w:bidi="en_US"/>
        </w:rPr>
      </w:r>
      <w:r>
        <w:rPr>
          <w:lang w:val="en_US" w:bidi="en_US"/>
        </w:rPr>
        <w:t>changed their thinking/minds/hearts</w:t>
      </w:r>
    </w:p>
    <w:p>
      <w:pPr/>
      <w:r>
        <w:rPr>
          <w:lang w:val="en_US" w:bidi="en_US"/>
        </w:rPr>
      </w:r>
      <w:r>
        <w:rPr>
          <w:lang w:val="en_US" w:bidi="en_US"/>
        </w:rPr>
        <w:t>rejected their sins</w:t>
      </w:r>
    </w:p>
    <w:p>
      <w:pPr/>
      <w:r>
        <w:rPr>
          <w:lang w:val="en_US" w:bidi="en_US"/>
        </w:rPr>
      </w:r>
      <w:r>
        <w:rPr>
          <w:lang w:val="en_US" w:bidi="en_US"/>
        </w:rPr>
        <w:t>In some languages, you may have an idiom for this type of change. For example:</w:t>
      </w:r>
    </w:p>
    <w:p>
      <w:pPr/>
      <w:r>
        <w:rPr>
          <w:lang w:val="en_US" w:bidi="en_US"/>
        </w:rPr>
      </w:r>
      <w:r>
        <w:rPr>
          <w:lang w:val="en_US" w:bidi="en_US"/>
        </w:rPr>
        <w:t>turned from sin to God</w:t>
      </w:r>
    </w:p>
    <w:p>
      <w:pPr/>
      <w:r>
        <w:rPr>
          <w:lang w:val="en_US" w:bidi="en_US"/>
        </w:rPr>
      </w:r>
      <w:r>
        <w:rPr>
          <w:lang w:val="en_US" w:bidi="en_US"/>
        </w:rPr>
        <w:t>left their sinning behind</w:t>
      </w:r>
    </w:p>
    <w:p>
      <w:pPr/>
      <w:r>
        <w:rPr>
          <w:lang w:val="en_US" w:bidi="en_US"/>
        </w:rPr>
      </w:r>
      <w:r>
        <w:rPr>
          <w:lang w:val="en_US" w:bidi="en_US"/>
        </w:rPr>
        <w:t>The term “repentance” first occurs in Luke in 3:3c.</w:t>
      </w:r>
    </w:p>
    <w:p>
      <w:pPr/>
      <w:r>
        <w:rPr>
          <w:lang w:val="en_US" w:bidi="en_US"/>
        </w:rPr>
      </w:r>
      <w:r>
        <w:rPr>
          <w:b/>
          <w:lang w:val="en_US" w:bidi="en_US"/>
        </w:rPr>
        <w:t>long ago:</w:t>
      </w:r>
      <w:r>
        <w:rPr>
          <w:lang w:val="en_US" w:bidi="en_US"/>
        </w:rPr>
        <w:t xml:space="preserve"> In this context the phrase </w:t>
      </w:r>
      <w:r>
        <w:rPr>
          <w:i/>
          <w:lang w:val="en_US" w:bidi="en_US"/>
        </w:rPr>
        <w:t>long ago</w:t>
      </w:r>
      <w:r>
        <w:rPr>
          <w:lang w:val="en_US" w:bidi="en_US"/>
        </w:rPr>
        <w:t xml:space="preserve"> probably implies that if the people of Tyre and Sidon had seen Jesus’ miracles, they would not have waited a long time to repent. They would have repented quickly, without delay.</w:t>
      </w:r>
    </w:p>
    <w:p>
      <w:pPr>
        <w:pStyle w:val="Heading6"/>
      </w:pPr>
      <w:r>
        <w:rPr>
          <w:b/>
          <w:lang w:val="en_US" w:bidi="en_US"/>
        </w:rPr>
        <w:t>General Comment on 10:13c–d</w:t>
      </w:r>
    </w:p>
    <w:p>
      <w:pPr/>
      <w:r>
        <w:rPr>
          <w:lang w:val="en_US" w:bidi="en_US"/>
        </w:rPr>
      </w:r>
      <w:r>
        <w:rPr>
          <w:lang w:val="en_US" w:bidi="en_US"/>
        </w:rPr>
        <w:t>These verse parts refer to something that could have happened but did not happen. They contain a condition (“if” clause) that was not fulfilled. In some languages it may be more natural to translate these verse parts as two sentences. For example:</w:t>
      </w:r>
    </w:p>
    <w:p>
      <w:pPr/>
      <w:r>
        <w:rPr>
          <w:lang w:val="en_US" w:bidi="en_US"/>
        </w:rPr>
      </w:r>
      <w:r>
        <w:rPr>
          <w:vertAlign w:val="superscript"/>
          <w:lang w:val="en_US" w:bidi="en_US"/>
        </w:rPr>
        <w:t>13c</w:t>
      </w:r>
      <w:r>
        <w:rPr>
          <w:lang w:val="en_US" w:bidi="en_US"/>
        </w:rPr>
        <w:t xml:space="preserve">The people of Tyre and Sidon never saw miracles like the ones I performed in your cities. If they had seen them, </w:t>
      </w:r>
      <w:r>
        <w:rPr>
          <w:vertAlign w:val="superscript"/>
          <w:lang w:val="en_US" w:bidi="en_US"/>
        </w:rPr>
        <w:t>13d</w:t>
      </w:r>
      <w:r>
        <w:rPr>
          <w:lang w:val="en_US" w:bidi="en_US"/>
        </w:rPr>
        <w:t>they would have repented.</w:t>
      </w:r>
    </w:p>
    <w:p>
      <w:pPr/>
      <w:r>
        <w:rPr>
          <w:lang w:val="en_US" w:bidi="en_US"/>
        </w:rPr>
      </w:r>
      <w:r>
        <w:rPr>
          <w:lang w:val="en_US" w:bidi="en_US"/>
        </w:rPr>
        <w:t>In some languages it may be more natural to reverse the order of 10:13c–d:</w:t>
      </w:r>
    </w:p>
    <w:p>
      <w:pPr/>
      <w:r>
        <w:rPr>
          <w:lang w:val="en_US" w:bidi="en_US"/>
        </w:rPr>
      </w:r>
      <w:r>
        <w:rPr>
          <w:vertAlign w:val="superscript"/>
          <w:lang w:val="en_US" w:bidi="en_US"/>
        </w:rPr>
        <w:t>13d</w:t>
      </w:r>
      <w:r>
        <w:rPr>
          <w:lang w:val="en_US" w:bidi="en_US"/>
        </w:rPr>
        <w:t xml:space="preserve">The people of Tyre and Sidon would have repented long ago </w:t>
      </w:r>
      <w:r>
        <w:rPr>
          <w:vertAlign w:val="superscript"/>
          <w:lang w:val="en_US" w:bidi="en_US"/>
        </w:rPr>
        <w:t>13c</w:t>
      </w:r>
      <w:r>
        <w:rPr>
          <w:lang w:val="en_US" w:bidi="en_US"/>
        </w:rPr>
        <w:t>if they had seen miracles like those that were performed in Bethsaida and Korazin.</w:t>
      </w:r>
    </w:p>
    <w:p>
      <w:pPr>
        <w:pStyle w:val="Heading5"/>
      </w:pPr>
      <w:r>
        <w:rPr>
          <w:lang w:val="en_US" w:bidi="en_US"/>
        </w:rPr>
        <w:t>10:13e</w:t>
      </w:r>
    </w:p>
    <w:p>
      <w:pPr/>
      <w:r>
        <w:rPr>
          <w:lang w:val="en_US" w:bidi="en_US"/>
        </w:rPr>
      </w:r>
      <w:r>
        <w:rPr>
          <w:b/>
          <w:lang w:val="en_US" w:bidi="en_US"/>
        </w:rPr>
        <w:t>sitting in sackcloth and ashes.</w:t>
      </w:r>
    </w:p>
    <w:p>
      <w:pPr>
        <w:pStyle w:val="ListBullet"/>
        <w:spacing w:line="240" w:lineRule="auto"/>
        <w:ind w:left="720"/>
      </w:pPr>
      <w:r>
        <w:rPr>
          <w:lang w:val="en_US" w:bidi="en_US"/>
        </w:rPr>
      </w:r>
      <w:r>
        <w:rPr>
          <w:lang w:val="en_US" w:bidi="en_US"/>
        </w:rPr>
        <w:t>They would have shown their sorrow/repentance</w:t>
      </w:r>
      <w:r>
        <w:rPr>
          <w:lang w:val="en_US" w:bidi="en_US"/>
        </w:rPr>
        <w:t xml:space="preserve"> by dressing in rough cloth made of animal hair and sitting in ashes.</w:t>
      </w:r>
    </w:p>
    <w:p>
      <w:pPr>
        <w:pStyle w:val="ListBullet"/>
        <w:spacing w:line="240" w:lineRule="auto"/>
        <w:ind w:left="720"/>
      </w:pPr>
      <w:r>
        <w:rPr>
          <w:lang w:val="en_US" w:bidi="en_US"/>
        </w:rPr>
      </w:r>
      <w:r>
        <w:rPr>
          <w:lang w:val="en_US" w:bidi="en_US"/>
        </w:rPr>
        <w:t>They would have</w:t>
      </w:r>
      <w:r>
        <w:rPr>
          <w:lang w:val="en_US" w:bidi="en_US"/>
        </w:rPr>
        <w:t xml:space="preserve"> put on mourning clothes and sprinkled ashes on themselves </w:t>
      </w:r>
      <w:r>
        <w:rPr>
          <w:lang w:val="en_US" w:bidi="en_US"/>
        </w:rPr>
        <w:t>to show that they were truly sorry that they had sinned</w:t>
      </w:r>
      <w:r>
        <w:rPr>
          <w:lang w:val="en_US" w:bidi="en_US"/>
        </w:rPr>
        <w:t>.</w:t>
      </w:r>
    </w:p>
    <w:p>
      <w:pPr/>
      <w:r>
        <w:rPr>
          <w:lang w:val="en_US" w:bidi="en_US"/>
        </w:rPr>
      </w:r>
      <w:r>
        <w:rPr>
          <w:b/>
          <w:lang w:val="en_US" w:bidi="en_US"/>
        </w:rPr>
        <w:t>sitting in sackcloth and ashes:</w:t>
      </w:r>
      <w:r>
        <w:rPr>
          <w:lang w:val="en_US" w:bidi="en_US"/>
        </w:rPr>
        <w:t xml:space="preserve"> The phrase </w:t>
      </w:r>
      <w:r>
        <w:rPr>
          <w:i/>
          <w:lang w:val="en_US" w:bidi="en_US"/>
        </w:rPr>
        <w:t>sitting in sackcloth and ashes</w:t>
      </w:r>
      <w:r>
        <w:rPr>
          <w:lang w:val="en_US" w:bidi="en_US"/>
        </w:rPr>
        <w:t xml:space="preserve"> means “sat down in ashes while wearing sackcloth.” In Jesus’ time it was the custom for people to show that they were sad or sorry for their sins by wearing </w:t>
      </w:r>
      <w:r>
        <w:rPr>
          <w:i/>
          <w:lang w:val="en_US" w:bidi="en_US"/>
        </w:rPr>
        <w:t>sackcloth</w:t>
      </w:r>
      <w:r>
        <w:rPr>
          <w:lang w:val="en_US" w:bidi="en_US"/>
        </w:rPr>
        <w:t xml:space="preserve"> that was rough and uncomfortable. They sprinkled </w:t>
      </w:r>
      <w:r>
        <w:rPr>
          <w:i/>
          <w:lang w:val="en_US" w:bidi="en_US"/>
        </w:rPr>
        <w:t>ashes</w:t>
      </w:r>
      <w:r>
        <w:rPr>
          <w:lang w:val="en_US" w:bidi="en_US"/>
        </w:rPr>
        <w:t xml:space="preserve"> on their heads and shoulders and sat down among the ashes. If this is not the custom in your language area, or if it does not have the same meaning, it may be necessary to make this purpose explicit. For example:</w:t>
      </w:r>
    </w:p>
    <w:p>
      <w:pPr/>
      <w:r>
        <w:rPr>
          <w:lang w:val="en_US" w:bidi="en_US"/>
        </w:rPr>
      </w:r>
      <w:r>
        <w:rPr>
          <w:lang w:val="en_US" w:bidi="en_US"/>
        </w:rPr>
        <w:t xml:space="preserve">they would have worn rough, uncomfortable clothes and sat in ashes </w:t>
      </w:r>
      <w:r>
        <w:rPr>
          <w:lang w:val="en_US" w:bidi="en_US"/>
        </w:rPr>
        <w:t>to show how sorry they were for their sins</w:t>
      </w:r>
    </w:p>
    <w:p>
      <w:pPr/>
      <w:r>
        <w:rPr>
          <w:lang w:val="en_US" w:bidi="en_US"/>
        </w:rPr>
      </w:r>
      <w:r>
        <w:rPr>
          <w:lang w:val="en_US" w:bidi="en_US"/>
        </w:rPr>
        <w:t>clothing themselves in burlap and throwing ashes on their heads to show their remorse (NLT)</w:t>
      </w:r>
    </w:p>
    <w:p>
      <w:pPr/>
      <w:r>
        <w:rPr>
          <w:lang w:val="en_US" w:bidi="en_US"/>
        </w:rPr>
      </w:r>
      <w:r>
        <w:rPr>
          <w:lang w:val="en_US" w:bidi="en_US"/>
        </w:rPr>
        <w:t>The NLT and some other English versions do not make explicit that the people were “sitting.” The position of the people does not affect the meaning of this cultural gesture. You may omit this detail if it is awkward to specify it in your language.</w:t>
      </w:r>
    </w:p>
    <w:p>
      <w:pPr/>
      <w:r>
        <w:rPr>
          <w:lang w:val="en_US" w:bidi="en_US"/>
        </w:rPr>
      </w:r>
      <w:r>
        <w:rPr>
          <w:b/>
          <w:lang w:val="en_US" w:bidi="en_US"/>
        </w:rPr>
        <w:t>sackcloth:</w:t>
      </w:r>
      <w:r>
        <w:rPr>
          <w:lang w:val="en_US" w:bidi="en_US"/>
        </w:rPr>
        <w:t xml:space="preserve"> The word </w:t>
      </w:r>
      <w:r>
        <w:rPr>
          <w:i/>
          <w:lang w:val="en_US" w:bidi="en_US"/>
        </w:rPr>
        <w:t>sackcloth</w:t>
      </w:r>
      <w:r>
        <w:rPr>
          <w:lang w:val="en_US" w:bidi="en_US"/>
        </w:rPr>
        <w:t xml:space="preserve"> refers to rough cloth that was usually used to make sacks. The cloth was made from animal hair. People sewed it into shirts, but these shirts would have been uncomfortable to wear. Other ways to translate </w:t>
      </w:r>
      <w:r>
        <w:rPr>
          <w:i/>
          <w:lang w:val="en_US" w:bidi="en_US"/>
        </w:rPr>
        <w:t>sackcloth</w:t>
      </w:r>
      <w:r>
        <w:rPr>
          <w:lang w:val="en_US" w:bidi="en_US"/>
        </w:rPr>
        <w:t xml:space="preserve"> are:</w:t>
      </w:r>
    </w:p>
    <w:p>
      <w:pPr/>
      <w:r>
        <w:rPr>
          <w:lang w:val="en_US" w:bidi="en_US"/>
        </w:rPr>
      </w:r>
      <w:r>
        <w:rPr>
          <w:lang w:val="en_US" w:bidi="en_US"/>
        </w:rPr>
        <w:t>rough cloth (NCV)</w:t>
      </w:r>
    </w:p>
    <w:p>
      <w:pPr/>
      <w:r>
        <w:rPr>
          <w:lang w:val="en_US" w:bidi="en_US"/>
        </w:rPr>
      </w:r>
      <w:r>
        <w:rPr>
          <w:lang w:val="en_US" w:bidi="en_US"/>
        </w:rPr>
        <w:t>coarse clothes made of animal hair</w:t>
      </w:r>
    </w:p>
    <w:p>
      <w:pPr/>
      <w:r>
        <w:rPr>
          <w:lang w:val="en_US" w:bidi="en_US"/>
        </w:rPr>
      </w:r>
      <w:r>
        <w:rPr>
          <w:b/>
          <w:lang w:val="en_US" w:bidi="en_US"/>
        </w:rPr>
        <w:t>ashes:</w:t>
      </w:r>
      <w:r>
        <w:rPr>
          <w:lang w:val="en_US" w:bidi="en_US"/>
        </w:rPr>
        <w:t xml:space="preserve"> The word </w:t>
      </w:r>
      <w:r>
        <w:rPr>
          <w:i/>
          <w:lang w:val="en_US" w:bidi="en_US"/>
        </w:rPr>
        <w:t>ashes</w:t>
      </w:r>
      <w:r>
        <w:rPr>
          <w:lang w:val="en_US" w:bidi="en_US"/>
        </w:rPr>
        <w:t xml:space="preserve"> refers to what is left after wood has been burned in a fire. People would normally throw these ashes onto the trash heap.</w:t>
      </w:r>
    </w:p>
    <w:p>
      <w:pPr>
        <w:pStyle w:val="Heading6"/>
      </w:pPr>
      <w:r>
        <w:rPr>
          <w:b/>
          <w:lang w:val="en_US" w:bidi="en_US"/>
        </w:rPr>
        <w:t>General Comment on 10:13d–e</w:t>
      </w:r>
    </w:p>
    <w:p>
      <w:pPr/>
      <w:r>
        <w:rPr>
          <w:lang w:val="en_US" w:bidi="en_US"/>
        </w:rPr>
      </w:r>
      <w:r>
        <w:rPr>
          <w:lang w:val="en_US" w:bidi="en_US"/>
        </w:rPr>
        <w:t>The reason why the people put on sackcloth and ashes was to show that they had repented. In some languages it may be natural to reorder 10:13d–e so that the relation between them is clear. For example:</w:t>
      </w:r>
    </w:p>
    <w:p>
      <w:pPr/>
      <w:r>
        <w:rPr>
          <w:lang w:val="en_US" w:bidi="en_US"/>
        </w:rPr>
      </w:r>
      <w:r>
        <w:rPr>
          <w:vertAlign w:val="superscript"/>
          <w:lang w:val="en_US" w:bidi="en_US"/>
        </w:rPr>
        <w:t>13e</w:t>
      </w:r>
      <w:r>
        <w:rPr>
          <w:lang w:val="en_US" w:bidi="en_US"/>
        </w:rPr>
        <w:t xml:space="preserve">They would have worn rough cloth and put ashes on themselves </w:t>
      </w:r>
      <w:r>
        <w:rPr>
          <w:vertAlign w:val="superscript"/>
          <w:lang w:val="en_US" w:bidi="en_US"/>
        </w:rPr>
        <w:t>13d</w:t>
      </w:r>
      <w:r>
        <w:rPr>
          <w:lang w:val="en_US" w:bidi="en_US"/>
        </w:rPr>
        <w:t>to show they had changed. (NCV)</w:t>
      </w:r>
    </w:p>
    <w:p>
      <w:pPr/>
      <w:r>
        <w:rPr>
          <w:lang w:val="en_US" w:bidi="en_US"/>
        </w:rPr>
      </w:r>
      <w:r>
        <w:rPr>
          <w:vertAlign w:val="superscript"/>
          <w:lang w:val="en_US" w:bidi="en_US"/>
        </w:rPr>
        <w:t>13e</w:t>
      </w:r>
      <w:r>
        <w:rPr>
          <w:lang w:val="en_US" w:bidi="en_US"/>
        </w:rPr>
        <w:t xml:space="preserve">…the people there would have long ago sat down, put on sackcloth, and sprinkled ashes on themselves, </w:t>
      </w:r>
      <w:r>
        <w:rPr>
          <w:vertAlign w:val="superscript"/>
          <w:lang w:val="en_US" w:bidi="en_US"/>
        </w:rPr>
        <w:t>13d</w:t>
      </w:r>
      <w:r>
        <w:rPr>
          <w:lang w:val="en_US" w:bidi="en_US"/>
        </w:rPr>
        <w:t>to show that they had turned from their sins! (GNT)</w:t>
      </w:r>
      <w:r>
        <w:rPr>
          <w:lang w:val="en_US" w:bidi="en_US"/>
        </w:rPr>
      </w:r>
      <w:r>
        <w:rPr>
          <w:lang w:val="en_US" w:bidi="en_US"/>
        </w:rPr>
      </w:r>
    </w:p>
    <w:p>
      <w:pPr/>
      <w:r>
        <w:rPr>
          <w:lang w:val="en_US" w:bidi="en_US"/>
        </w:rPr>
      </w:r>
    </w:p>
    <w:p>
      <w:pPr>
        <w:pStyle w:val="Heading2"/>
      </w:pPr>
      <w:r>
        <w:rPr>
          <w:lang w:val="en_US" w:bidi="en_US"/>
        </w:rPr>
        <w:t>Luke 10:14</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4"/>
      </w:pPr>
      <w:r>
        <w:rPr>
          <w:lang w:val="en_US" w:bidi="en_US"/>
        </w:rPr>
        <w:t>Paragraph 10:13–16</w:t>
      </w:r>
    </w:p>
    <w:p>
      <w:pPr/>
      <w:r>
        <w:rPr>
          <w:lang w:val="en_US" w:bidi="en_US"/>
        </w:rPr>
      </w:r>
      <w:r>
        <w:rPr>
          <w:lang w:val="en_US" w:bidi="en_US"/>
        </w:rPr>
        <w:t>Jesus had just been talking to his disciples about how God would punish the people who rejected the message that his disciples preached (10:10–12). Here in 10:13–16 Jesus expressed his sorrow at the terrible punishment that awaited the people. These people had already heard him and had seen him do miracles, but they still refused to repent and believe him.</w:t>
      </w:r>
    </w:p>
    <w:p>
      <w:pPr>
        <w:pStyle w:val="Heading5"/>
      </w:pPr>
      <w:r>
        <w:rPr>
          <w:lang w:val="en_US" w:bidi="en_US"/>
        </w:rPr>
        <w:t>10:14</w:t>
      </w:r>
    </w:p>
    <w:p>
      <w:pPr/>
      <w:r>
        <w:rPr>
          <w:lang w:val="en_US" w:bidi="en_US"/>
        </w:rPr>
      </w:r>
      <w:r>
        <w:rPr>
          <w:b/>
          <w:lang w:val="en_US" w:bidi="en_US"/>
        </w:rPr>
        <w:t>But it will be more bearable for Tyre and Sidon at the judgment than for you.</w:t>
      </w:r>
    </w:p>
    <w:p>
      <w:pPr>
        <w:pStyle w:val="ListBullet"/>
        <w:spacing w:line="240" w:lineRule="auto"/>
        <w:ind w:left="720"/>
      </w:pPr>
      <w:r>
        <w:rPr>
          <w:lang w:val="en_US" w:bidi="en_US"/>
        </w:rPr>
      </w:r>
      <w:r>
        <w:rPr>
          <w:lang w:val="en_US" w:bidi="en_US"/>
        </w:rPr>
        <w:t>The people of Tyre and Sidon are still guilty,</w:t>
      </w:r>
      <w:r>
        <w:rPr>
          <w:lang w:val="en_US" w:bidi="en_US"/>
        </w:rPr>
        <w:t xml:space="preserve"> but when </w:t>
      </w:r>
      <w:r>
        <w:rPr>
          <w:lang w:val="en_US" w:bidi="en_US"/>
        </w:rPr>
        <w:t>God</w:t>
      </w:r>
      <w:r>
        <w:rPr>
          <w:lang w:val="en_US" w:bidi="en_US"/>
        </w:rPr>
        <w:t xml:space="preserve"> judges people, he will punish </w:t>
      </w:r>
      <w:r>
        <w:rPr>
          <w:lang w:val="en_US" w:bidi="en_US"/>
        </w:rPr>
        <w:t>the people of</w:t>
      </w:r>
      <w:r>
        <w:rPr>
          <w:lang w:val="en_US" w:bidi="en_US"/>
        </w:rPr>
        <w:t xml:space="preserve"> </w:t>
      </w:r>
      <w:r>
        <w:rPr>
          <w:lang w:val="en_US" w:bidi="en_US"/>
        </w:rPr>
        <w:t>Korazin and Bethsaida</w:t>
      </w:r>
      <w:r>
        <w:rPr>
          <w:lang w:val="en_US" w:bidi="en_US"/>
        </w:rPr>
        <w:t xml:space="preserve"> more than he will punish them.</w:t>
      </w:r>
    </w:p>
    <w:p>
      <w:pPr>
        <w:pStyle w:val="ListBullet"/>
        <w:spacing w:line="240" w:lineRule="auto"/>
        <w:ind w:left="720"/>
      </w:pPr>
      <w:r>
        <w:rPr>
          <w:lang w:val="en_US" w:bidi="en_US"/>
        </w:rPr>
      </w:r>
      <w:r>
        <w:rPr>
          <w:lang w:val="en_US" w:bidi="en_US"/>
        </w:rPr>
        <w:t>God will punish</w:t>
      </w:r>
      <w:r>
        <w:rPr>
          <w:lang w:val="en_US" w:bidi="en_US"/>
        </w:rPr>
        <w:t xml:space="preserve"> them less severely on the day of judgment than he will punish you</w:t>
      </w:r>
      <w:r>
        <w:rPr>
          <w:vertAlign w:val="superscript"/>
          <w:lang w:val="en_US" w:bidi="en_US"/>
        </w:rPr>
        <w:t>(plur)</w:t>
      </w:r>
      <w:r>
        <w:rPr>
          <w:lang w:val="en_US" w:bidi="en_US"/>
        </w:rPr>
        <w:t>.</w:t>
      </w:r>
    </w:p>
    <w:p>
      <w:pPr/>
      <w:r>
        <w:rPr>
          <w:lang w:val="en_US" w:bidi="en_US"/>
        </w:rPr>
      </w:r>
      <w:r>
        <w:rPr>
          <w:b/>
          <w:lang w:val="en_US" w:bidi="en_US"/>
        </w:rPr>
        <w:t>But:</w:t>
      </w:r>
      <w:r>
        <w:rPr>
          <w:lang w:val="en_US" w:bidi="en_US"/>
        </w:rPr>
        <w:t xml:space="preserve"> In this context, the Greek conjunction that the BSB translates as </w:t>
      </w:r>
      <w:r>
        <w:rPr>
          <w:i/>
          <w:lang w:val="en_US" w:bidi="en_US"/>
        </w:rPr>
        <w:t>But</w:t>
      </w:r>
      <w:r>
        <w:rPr>
          <w:lang w:val="en_US" w:bidi="en_US"/>
        </w:rPr>
        <w:t xml:space="preserve"> can also be translated as “Nevertheless” or “Even so.” The implied connection is:</w:t>
      </w:r>
    </w:p>
    <w:p>
      <w:pPr/>
      <w:r>
        <w:rPr>
          <w:lang w:val="en_US" w:bidi="en_US"/>
        </w:rPr>
      </w:r>
      <w:r>
        <w:rPr>
          <w:lang w:val="en_US" w:bidi="en_US"/>
        </w:rPr>
        <w:t xml:space="preserve">But even though the people of Tyre and Sidon did not </w:t>
      </w:r>
      <w:r>
        <w:rPr>
          <w:lang w:val="en_US" w:bidi="en_US"/>
        </w:rPr>
        <w:t>see the miracles and</w:t>
      </w:r>
      <w:r>
        <w:rPr>
          <w:lang w:val="en_US" w:bidi="en_US"/>
        </w:rPr>
        <w:t xml:space="preserve"> repent</w:t>
      </w:r>
    </w:p>
    <w:p>
      <w:pPr/>
      <w:r>
        <w:rPr>
          <w:lang w:val="en_US" w:bidi="en_US"/>
        </w:rPr>
      </w:r>
      <w:r>
        <w:rPr>
          <w:lang w:val="en_US" w:bidi="en_US"/>
        </w:rPr>
        <w:t>Some English versions, such as the GNT, do not translate this conjunction explicitly.</w:t>
      </w:r>
    </w:p>
    <w:p>
      <w:pPr/>
      <w:r>
        <w:rPr>
          <w:lang w:val="en_US" w:bidi="en_US"/>
        </w:rPr>
      </w:r>
      <w:r>
        <w:rPr>
          <w:b/>
          <w:lang w:val="en_US" w:bidi="en_US"/>
        </w:rPr>
        <w:t>it will be more bearable for Tyre and Sidon at the judgment than for you:</w:t>
      </w:r>
      <w:r>
        <w:rPr>
          <w:lang w:val="en_US" w:bidi="en_US"/>
        </w:rPr>
        <w:t xml:space="preserve"> See 10:12. As in that verse, the phrase </w:t>
      </w:r>
      <w:r>
        <w:rPr>
          <w:i/>
          <w:lang w:val="en_US" w:bidi="en_US"/>
        </w:rPr>
        <w:t>more bearable</w:t>
      </w:r>
      <w:r>
        <w:rPr>
          <w:lang w:val="en_US" w:bidi="en_US"/>
        </w:rPr>
        <w:t xml:space="preserve"> here means “will receive a less severe punishment.”</w:t>
      </w:r>
    </w:p>
    <w:p>
      <w:pPr/>
      <w:r>
        <w:rPr>
          <w:lang w:val="en_US" w:bidi="en_US"/>
        </w:rPr>
      </w:r>
      <w:r>
        <w:rPr>
          <w:b/>
          <w:lang w:val="en_US" w:bidi="en_US"/>
        </w:rPr>
        <w:t>at the judgment:</w:t>
      </w:r>
      <w:r>
        <w:rPr>
          <w:lang w:val="en_US" w:bidi="en_US"/>
        </w:rPr>
        <w:t xml:space="preserve"> The word </w:t>
      </w:r>
      <w:r>
        <w:rPr>
          <w:i/>
          <w:lang w:val="en_US" w:bidi="en_US"/>
        </w:rPr>
        <w:t>judgment</w:t>
      </w:r>
      <w:r>
        <w:rPr>
          <w:lang w:val="en_US" w:bidi="en_US"/>
        </w:rPr>
        <w:t xml:space="preserve"> refers to the future time when God will judge people.</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refers here to the people of Chorazin and Bethsaida. See the note on 10:13a for more information on how to translate this pronoun.</w:t>
      </w:r>
      <w:r>
        <w:rPr>
          <w:lang w:val="en_US" w:bidi="en_US"/>
        </w:rPr>
      </w:r>
      <w:r>
        <w:rPr>
          <w:lang w:val="en_US" w:bidi="en_US"/>
        </w:rPr>
      </w:r>
    </w:p>
    <w:p>
      <w:pPr/>
      <w:r>
        <w:rPr>
          <w:lang w:val="en_US" w:bidi="en_US"/>
        </w:rPr>
      </w:r>
    </w:p>
    <w:p>
      <w:pPr>
        <w:pStyle w:val="Heading2"/>
      </w:pPr>
      <w:r>
        <w:rPr>
          <w:lang w:val="en_US" w:bidi="en_US"/>
        </w:rPr>
        <w:t>Luke 10:15</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4"/>
      </w:pPr>
      <w:r>
        <w:rPr>
          <w:lang w:val="en_US" w:bidi="en_US"/>
        </w:rPr>
        <w:t>Paragraph 10:13–16</w:t>
      </w:r>
    </w:p>
    <w:p>
      <w:pPr/>
      <w:r>
        <w:rPr>
          <w:lang w:val="en_US" w:bidi="en_US"/>
        </w:rPr>
      </w:r>
      <w:r>
        <w:rPr>
          <w:lang w:val="en_US" w:bidi="en_US"/>
        </w:rPr>
        <w:t>Jesus had just been talking to his disciples about how God would punish the people who rejected the message that his disciples preached (10:10–12). Here in 10:13–16 Jesus expressed his sorrow at the terrible punishment that awaited the people. These people had already heard him and had seen him do miracles, but they still refused to repent and believe him.</w:t>
      </w:r>
    </w:p>
    <w:p>
      <w:pPr>
        <w:pStyle w:val="Heading5"/>
      </w:pPr>
      <w:r>
        <w:rPr>
          <w:lang w:val="en_US" w:bidi="en_US"/>
        </w:rPr>
        <w:t>10:15a</w:t>
      </w:r>
    </w:p>
    <w:p>
      <w:pPr/>
      <w:r>
        <w:rPr>
          <w:lang w:val="en_US" w:bidi="en_US"/>
        </w:rPr>
      </w:r>
      <w:r>
        <w:rPr>
          <w:b/>
          <w:lang w:val="en_US" w:bidi="en_US"/>
        </w:rPr>
        <w:t>And you, Capernaum, will you be lifted up to heaven? No,</w:t>
      </w:r>
    </w:p>
    <w:p>
      <w:pPr>
        <w:pStyle w:val="ListBullet"/>
        <w:spacing w:line="240" w:lineRule="auto"/>
        <w:ind w:left="720"/>
      </w:pPr>
      <w:r>
        <w:rPr>
          <w:lang w:val="en_US" w:bidi="en_US"/>
        </w:rPr>
      </w:r>
      <w:r>
        <w:rPr>
          <w:lang w:val="en_US" w:bidi="en_US"/>
        </w:rPr>
        <w:t xml:space="preserve">And as for </w:t>
      </w:r>
      <w:r>
        <w:rPr>
          <w:lang w:val="en_US" w:bidi="en_US"/>
        </w:rPr>
        <w:t>the people of/in the town of</w:t>
      </w:r>
      <w:r>
        <w:rPr>
          <w:lang w:val="en_US" w:bidi="en_US"/>
        </w:rPr>
        <w:t xml:space="preserve"> Capernaum, should they think that they will receive great honor in heaven? They will not!</w:t>
      </w:r>
    </w:p>
    <w:p>
      <w:pPr>
        <w:pStyle w:val="ListBullet"/>
        <w:spacing w:line="240" w:lineRule="auto"/>
        <w:ind w:left="720"/>
      </w:pPr>
      <w:r>
        <w:rPr>
          <w:lang w:val="en_US" w:bidi="en_US"/>
        </w:rPr>
      </w:r>
      <w:r>
        <w:rPr>
          <w:lang w:val="en_US" w:bidi="en_US"/>
        </w:rPr>
        <w:t xml:space="preserve">As for you </w:t>
      </w:r>
      <w:r>
        <w:rPr>
          <w:lang w:val="en_US" w:bidi="en_US"/>
        </w:rPr>
        <w:t>people from</w:t>
      </w:r>
      <w:r>
        <w:rPr>
          <w:lang w:val="en_US" w:bidi="en_US"/>
        </w:rPr>
        <w:t xml:space="preserve"> Capernaum, do not think </w:t>
      </w:r>
      <w:r>
        <w:rPr>
          <w:lang w:val="en_US" w:bidi="en_US"/>
        </w:rPr>
        <w:t>that God</w:t>
      </w:r>
      <w:r>
        <w:rPr>
          <w:lang w:val="en_US" w:bidi="en_US"/>
        </w:rPr>
        <w:t xml:space="preserve"> will honor/exalt you</w:t>
      </w:r>
      <w:r>
        <w:rPr>
          <w:vertAlign w:val="superscript"/>
          <w:lang w:val="en_US" w:bidi="en_US"/>
        </w:rPr>
        <w:t>(plur)</w:t>
      </w:r>
      <w:r>
        <w:rPr>
          <w:lang w:val="en_US" w:bidi="en_US"/>
        </w:rPr>
        <w:t xml:space="preserve"> in heaven </w:t>
      </w:r>
      <w:r>
        <w:rPr>
          <w:lang w:val="en_US" w:bidi="en_US"/>
        </w:rPr>
        <w:t>more than other people</w:t>
      </w:r>
      <w:r>
        <w:rPr>
          <w:lang w:val="en_US" w:bidi="en_US"/>
        </w:rPr>
        <w:t>!</w:t>
      </w:r>
    </w:p>
    <w:p>
      <w:pPr/>
      <w:r>
        <w:rPr>
          <w:lang w:val="en_US" w:bidi="en_US"/>
        </w:rPr>
      </w:r>
      <w:r>
        <w:rPr>
          <w:lang w:val="en_US" w:bidi="en_US"/>
        </w:rPr>
        <w:t>In this verse Jesus addressed the people of the town of Capernaum. These people were not actually present.</w:t>
      </w:r>
    </w:p>
    <w:p>
      <w:pPr/>
      <w:r>
        <w:rPr>
          <w:lang w:val="en_US" w:bidi="en_US"/>
        </w:rPr>
      </w:r>
      <w:r>
        <w:rPr>
          <w:b/>
          <w:lang w:val="en_US" w:bidi="en_US"/>
        </w:rPr>
        <w:t>And you, Capernaum, will you be lifted up to heaven? No:</w:t>
      </w:r>
      <w:r>
        <w:rPr>
          <w:lang w:val="en_US" w:bidi="en_US"/>
        </w:rPr>
        <w:t xml:space="preserve"> This is a rhetorical question. It probably expresses in question form what the people of Capernaum believed about themselves: that they would be lifted up to heaven. Jesus used the question ironically to imply that they certainly would not be lifted up heaven. His words also imply a rebuke to the people of Capernaum.</w:t>
      </w:r>
    </w:p>
    <w:p>
      <w:pPr/>
      <w:r>
        <w:rPr>
          <w:lang w:val="en_US" w:bidi="en_US"/>
        </w:rPr>
      </w:r>
      <w:r>
        <w:rPr>
          <w:lang w:val="en_US" w:bidi="en_US"/>
        </w:rPr>
        <w:t xml:space="preserve">In the Greek text there is no explicit answer, </w:t>
      </w:r>
      <w:r>
        <w:rPr>
          <w:i/>
          <w:lang w:val="en_US" w:bidi="en_US"/>
        </w:rPr>
        <w:t>No</w:t>
      </w:r>
      <w:r>
        <w:rPr>
          <w:lang w:val="en_US" w:bidi="en_US"/>
        </w:rPr>
        <w:t>. The BSB has supplied the answer that is implied by the rhetorical question.</w:t>
      </w:r>
    </w:p>
    <w:p>
      <w:pPr/>
      <w:r>
        <w:rPr>
          <w:lang w:val="en_US" w:bidi="en_US"/>
        </w:rPr>
      </w:r>
      <w:r>
        <w:rPr>
          <w:lang w:val="en_US" w:bidi="en_US"/>
        </w:rPr>
        <w:t>Some ways to translate this question are:</w:t>
      </w:r>
    </w:p>
    <w:p>
      <w:pPr>
        <w:pStyle w:val="ListBullet"/>
        <w:spacing w:line="240" w:lineRule="auto"/>
        <w:ind w:left="720"/>
      </w:pPr>
      <w:r>
        <w:rPr>
          <w:lang w:val="en_US" w:bidi="en_US"/>
        </w:rPr>
      </w:r>
      <w:r>
        <w:rPr>
          <w:lang w:val="en_US" w:bidi="en_US"/>
        </w:rPr>
        <w:t>As a rhetorical question. For example:</w:t>
      </w:r>
      <w:r>
        <w:rPr>
          <w:lang w:val="en_US" w:bidi="en_US"/>
        </w:rPr>
        <w:t>As for you, Capernaum, will you be exalted to heaven? (REB)</w:t>
      </w:r>
      <w:r>
        <w:rPr>
          <w:lang w:val="en_US" w:bidi="en_US"/>
        </w:rPr>
        <w:t>And you, Capernaum, do you really think you will be raised to a position of great honor in heaven?</w:t>
      </w:r>
    </w:p>
    <w:p>
      <w:pPr>
        <w:pStyle w:val="ListBullet"/>
        <w:spacing w:line="240" w:lineRule="auto"/>
        <w:ind w:left="720"/>
      </w:pPr>
      <w:r>
        <w:rPr>
          <w:lang w:val="en_US" w:bidi="en_US"/>
        </w:rPr>
      </w:r>
      <w:r>
        <w:rPr>
          <w:lang w:val="en_US" w:bidi="en_US"/>
        </w:rPr>
        <w:t>As a statement. For example:</w:t>
      </w:r>
      <w:r>
        <w:rPr>
          <w:lang w:val="en_US" w:bidi="en_US"/>
        </w:rPr>
        <w:t>And you, Capernaum, are certainly not going to be exalted to heaven.</w:t>
      </w:r>
      <w:r>
        <w:rPr>
          <w:lang w:val="en_US" w:bidi="en_US"/>
        </w:rPr>
        <w:t xml:space="preserve">And you, Capernaum, should not think that you will be honored in heaven </w:t>
      </w:r>
      <w:r>
        <w:rPr>
          <w:lang w:val="en_US" w:bidi="en_US"/>
        </w:rPr>
        <w:t>more than other people</w:t>
      </w:r>
      <w:r>
        <w:rPr>
          <w:lang w:val="en_US" w:bidi="en_US"/>
        </w:rPr>
        <w:t>.</w:t>
      </w:r>
    </w:p>
    <w:p>
      <w:pPr/>
      <w:r>
        <w:rPr>
          <w:lang w:val="en_US" w:bidi="en_US"/>
        </w:rPr>
      </w:r>
      <w:r>
        <w:rPr>
          <w:lang w:val="en_US" w:bidi="en_US"/>
        </w:rPr>
        <w:t>Translate this in a way that is natural in your language.</w:t>
      </w:r>
    </w:p>
    <w:p>
      <w:pPr/>
      <w:r>
        <w:rPr>
          <w:lang w:val="en_US" w:bidi="en_US"/>
        </w:rPr>
      </w:r>
      <w:r>
        <w:rPr>
          <w:b/>
          <w:lang w:val="en_US" w:bidi="en_US"/>
        </w:rPr>
        <w:t>And you, Capernaum:</w:t>
      </w:r>
      <w:r>
        <w:rPr>
          <w:lang w:val="en_US" w:bidi="en_US"/>
        </w:rPr>
        <w:t xml:space="preserve"> The phrase </w:t>
      </w:r>
      <w:r>
        <w:rPr>
          <w:i/>
          <w:lang w:val="en_US" w:bidi="en_US"/>
        </w:rPr>
        <w:t>And you, Capernaum</w:t>
      </w:r>
      <w:r>
        <w:rPr>
          <w:lang w:val="en_US" w:bidi="en_US"/>
        </w:rPr>
        <w:t xml:space="preserve"> emphasizes that Jesus had finished talking about Chorazin and Bethsaida at the end of 10:14. Here in 10:15 he was beginning to talk about Capernaum. Consider how to show this change in subject. For example:</w:t>
      </w:r>
    </w:p>
    <w:p>
      <w:pPr/>
      <w:r>
        <w:rPr>
          <w:lang w:val="en_US" w:bidi="en_US"/>
        </w:rPr>
      </w:r>
      <w:r>
        <w:rPr>
          <w:lang w:val="en_US" w:bidi="en_US"/>
        </w:rPr>
        <w:t>And as for you, Capernaum! (GNT)</w:t>
      </w:r>
    </w:p>
    <w:p>
      <w:pPr/>
      <w:r>
        <w:rPr>
          <w:lang w:val="en_US" w:bidi="en_US"/>
        </w:rPr>
      </w:r>
      <w:r>
        <w:rPr>
          <w:b/>
          <w:lang w:val="en_US" w:bidi="en_US"/>
        </w:rPr>
        <w:t>Capernaum:</w:t>
      </w:r>
      <w:r>
        <w:rPr>
          <w:lang w:val="en_US" w:bidi="en_US"/>
        </w:rPr>
        <w:t xml:space="preserve"> Jesus often stayed in the town of Capernaum during his Galilean ministry. Although he did many miracles in this town, most of the people there still did not believe in him. In some languages it may not be natural to speak to a town as though it were a person. In those languages you may need to translate this as:</w:t>
      </w:r>
    </w:p>
    <w:p>
      <w:pPr/>
      <w:r>
        <w:rPr>
          <w:lang w:val="en_US" w:bidi="en_US"/>
        </w:rPr>
      </w:r>
      <w:r>
        <w:rPr>
          <w:lang w:val="en_US" w:bidi="en_US"/>
        </w:rPr>
        <w:t>people of</w:t>
      </w:r>
      <w:r>
        <w:rPr>
          <w:lang w:val="en_US" w:bidi="en_US"/>
        </w:rPr>
        <w:t xml:space="preserve"> Capernaum</w:t>
      </w:r>
    </w:p>
    <w:p>
      <w:pPr/>
      <w:r>
        <w:rPr>
          <w:lang w:val="en_US" w:bidi="en_US"/>
        </w:rPr>
      </w:r>
      <w:r>
        <w:rPr>
          <w:b/>
          <w:lang w:val="en_US" w:bidi="en_US"/>
        </w:rPr>
        <w:t>will you be lifted up to heaven?:</w:t>
      </w:r>
      <w:r>
        <w:rPr>
          <w:lang w:val="en_US" w:bidi="en_US"/>
        </w:rPr>
        <w:t xml:space="preserve"> The Greek clause that the BSB translates as </w:t>
      </w:r>
      <w:r>
        <w:rPr>
          <w:i/>
          <w:lang w:val="en_US" w:bidi="en_US"/>
        </w:rPr>
        <w:t>will…be lifted up</w:t>
      </w:r>
      <w:r>
        <w:rPr>
          <w:lang w:val="en_US" w:bidi="en_US"/>
        </w:rPr>
        <w:t xml:space="preserve"> is passive. Some ways to translate this clause are:</w:t>
      </w:r>
    </w:p>
    <w:p>
      <w:pPr>
        <w:pStyle w:val="ListBullet"/>
        <w:spacing w:line="240" w:lineRule="auto"/>
        <w:ind w:left="720"/>
      </w:pPr>
      <w:r>
        <w:rPr>
          <w:lang w:val="en_US" w:bidi="en_US"/>
        </w:rPr>
      </w:r>
      <w:r>
        <w:rPr>
          <w:lang w:val="en_US" w:bidi="en_US"/>
        </w:rPr>
        <w:t>As a passive clause. For example:</w:t>
      </w:r>
      <w:r>
        <w:rPr>
          <w:lang w:val="en_US" w:bidi="en_US"/>
        </w:rPr>
        <w:t>Do you think that you will be given great honor in heaven?</w:t>
      </w:r>
    </w:p>
    <w:p>
      <w:pPr>
        <w:pStyle w:val="ListBullet"/>
        <w:spacing w:line="240" w:lineRule="auto"/>
        <w:ind w:left="720"/>
      </w:pPr>
      <w:r>
        <w:rPr>
          <w:lang w:val="en_US" w:bidi="en_US"/>
        </w:rPr>
      </w:r>
      <w:r>
        <w:rPr>
          <w:lang w:val="en_US" w:bidi="en_US"/>
        </w:rPr>
        <w:t>As an active clause. If you need to make the subject explicit, the implied subject is God. For example:</w:t>
      </w:r>
      <w:r>
        <w:rPr>
          <w:lang w:val="en_US" w:bidi="en_US"/>
        </w:rPr>
        <w:t>…will you receive great honor in heaven?</w:t>
      </w:r>
      <w:r>
        <w:rPr>
          <w:lang w:val="en_US" w:bidi="en_US"/>
        </w:rPr>
        <w:t xml:space="preserve">…will </w:t>
      </w:r>
      <w:r>
        <w:rPr>
          <w:lang w:val="en_US" w:bidi="en_US"/>
        </w:rPr>
        <w:t>God</w:t>
      </w:r>
      <w:r>
        <w:rPr>
          <w:lang w:val="en_US" w:bidi="en_US"/>
        </w:rPr>
        <w:t xml:space="preserve"> lift you up to the highest place in heaven?</w:t>
      </w:r>
    </w:p>
    <w:p>
      <w:pPr/>
      <w:r>
        <w:rPr>
          <w:lang w:val="en_US" w:bidi="en_US"/>
        </w:rPr>
      </w:r>
      <w:r>
        <w:rPr>
          <w:lang w:val="en_US" w:bidi="en_US"/>
        </w:rPr>
        <w:t>Translate this in the way that is most natural in your language.</w:t>
      </w:r>
    </w:p>
    <w:p>
      <w:pPr/>
      <w:r>
        <w:rPr>
          <w:lang w:val="en_US" w:bidi="en_US"/>
        </w:rPr>
      </w:r>
      <w:r>
        <w:rPr>
          <w:b/>
          <w:lang w:val="en_US" w:bidi="en_US"/>
        </w:rPr>
        <w:t>lifted up to heaven:</w:t>
      </w:r>
      <w:r>
        <w:rPr>
          <w:lang w:val="en_US" w:bidi="en_US"/>
        </w:rPr>
        <w:t xml:space="preserve"> The phrase </w:t>
      </w:r>
      <w:r>
        <w:rPr>
          <w:i/>
          <w:lang w:val="en_US" w:bidi="en_US"/>
        </w:rPr>
        <w:t>lifted up to heaven</w:t>
      </w:r>
      <w:r>
        <w:rPr>
          <w:lang w:val="en_US" w:bidi="en_US"/>
        </w:rPr>
        <w:t xml:space="preserve"> probably refers to receiving great honor in heaven, where God dwells.</w:t>
      </w:r>
      <w:r>
        <w:rPr>
          <w:lang w:val="en_US" w:bidi="en_US"/>
        </w:rPr>
        <w:t>Some scholars believe that the word “heaven” does not refer here to God’s dwelling place. They believe that the word is used simply in a figurative way to refer to great honor or to the place of highest honor. However in the context of the final judgment (10:13–14), it is likely that Jesus was speaking literally of heaven where God dwells and of whether the people of Capernaum would be allowed to go there. He implied that they would not receive honor in heaven but they would be sent instead to the place of punishment.</w:t>
      </w:r>
      <w:r>
        <w:rPr>
          <w:lang w:val="en_US" w:bidi="en_US"/>
        </w:rPr>
        <w:t xml:space="preserve"> For example:</w:t>
      </w:r>
    </w:p>
    <w:p>
      <w:pPr/>
      <w:r>
        <w:rPr>
          <w:lang w:val="en_US" w:bidi="en_US"/>
        </w:rPr>
      </w:r>
      <w:r>
        <w:rPr>
          <w:lang w:val="en_US" w:bidi="en_US"/>
        </w:rPr>
        <w:t>honored in heaven (CEV)</w:t>
      </w:r>
    </w:p>
    <w:p>
      <w:pPr/>
      <w:r>
        <w:rPr>
          <w:lang w:val="en_US" w:bidi="en_US"/>
        </w:rPr>
      </w:r>
      <w:r>
        <w:rPr>
          <w:lang w:val="en_US" w:bidi="en_US"/>
        </w:rPr>
        <w:t>This phrase may imply that the people in Capernaum thought that they would receive more honor in heaven than any other people.</w:t>
      </w:r>
      <w:r>
        <w:rPr>
          <w:lang w:val="en_US" w:bidi="en_US"/>
        </w:rPr>
        <w:t>The Greek word that the BSB translates as “heaven” can also be translated as “the skies.” The meaning has to be determined by the context. Of the 15 English versions consulted, only the NIV translated this word as “skies.”</w:t>
      </w:r>
    </w:p>
    <w:p>
      <w:pPr>
        <w:pStyle w:val="Heading5"/>
      </w:pPr>
      <w:r>
        <w:rPr>
          <w:lang w:val="en_US" w:bidi="en_US"/>
        </w:rPr>
        <w:t>10:15b</w:t>
      </w:r>
    </w:p>
    <w:p>
      <w:pPr/>
      <w:r>
        <w:rPr>
          <w:lang w:val="en_US" w:bidi="en_US"/>
        </w:rPr>
      </w:r>
      <w:r>
        <w:rPr>
          <w:b/>
          <w:lang w:val="en_US" w:bidi="en_US"/>
        </w:rPr>
        <w:t>you will be brought down to Hades!</w:t>
      </w:r>
    </w:p>
    <w:p>
      <w:pPr>
        <w:pStyle w:val="ListBullet"/>
        <w:spacing w:line="240" w:lineRule="auto"/>
        <w:ind w:left="720"/>
      </w:pPr>
      <w:r>
        <w:rPr>
          <w:lang w:val="en_US" w:bidi="en_US"/>
        </w:rPr>
      </w:r>
      <w:r>
        <w:rPr>
          <w:lang w:val="en_US" w:bidi="en_US"/>
        </w:rPr>
        <w:t>Instead,</w:t>
      </w:r>
      <w:r>
        <w:rPr>
          <w:lang w:val="en_US" w:bidi="en_US"/>
        </w:rPr>
        <w:t xml:space="preserve"> you</w:t>
      </w:r>
      <w:r>
        <w:rPr>
          <w:vertAlign w:val="superscript"/>
          <w:lang w:val="en_US" w:bidi="en_US"/>
        </w:rPr>
        <w:t>(plur)</w:t>
      </w:r>
      <w:r>
        <w:rPr>
          <w:lang w:val="en_US" w:bidi="en_US"/>
        </w:rPr>
        <w:t xml:space="preserve"> will be thrown down to Hades/hell!</w:t>
      </w:r>
    </w:p>
    <w:p>
      <w:pPr>
        <w:pStyle w:val="ListBullet"/>
        <w:spacing w:line="240" w:lineRule="auto"/>
        <w:ind w:left="720"/>
      </w:pPr>
      <w:r>
        <w:rPr>
          <w:lang w:val="en_US" w:bidi="en_US"/>
        </w:rPr>
      </w:r>
      <w:r>
        <w:rPr>
          <w:lang w:val="en_US" w:bidi="en_US"/>
        </w:rPr>
        <w:t>Instead, he</w:t>
      </w:r>
      <w:r>
        <w:rPr>
          <w:lang w:val="en_US" w:bidi="en_US"/>
        </w:rPr>
        <w:t xml:space="preserve"> will cause you</w:t>
      </w:r>
      <w:r>
        <w:rPr>
          <w:vertAlign w:val="superscript"/>
          <w:lang w:val="en_US" w:bidi="en_US"/>
        </w:rPr>
        <w:t>(plur)</w:t>
      </w:r>
      <w:r>
        <w:rPr>
          <w:lang w:val="en_US" w:bidi="en_US"/>
        </w:rPr>
        <w:t xml:space="preserve"> to go down to the place of the </w:t>
      </w:r>
      <w:r>
        <w:rPr>
          <w:lang w:val="en_US" w:bidi="en_US"/>
        </w:rPr>
        <w:t>evil</w:t>
      </w:r>
      <w:r>
        <w:rPr>
          <w:lang w:val="en_US" w:bidi="en_US"/>
        </w:rPr>
        <w:t xml:space="preserve"> dead people, </w:t>
      </w:r>
      <w:r>
        <w:rPr>
          <w:lang w:val="en_US" w:bidi="en_US"/>
        </w:rPr>
        <w:t>where you will be punished</w:t>
      </w:r>
      <w:r>
        <w:rPr>
          <w:lang w:val="en_US" w:bidi="en_US"/>
        </w:rPr>
        <w:t>.”</w:t>
      </w:r>
    </w:p>
    <w:p>
      <w:pPr/>
      <w:r>
        <w:rPr>
          <w:lang w:val="en_US" w:bidi="en_US"/>
        </w:rPr>
      </w:r>
      <w:r>
        <w:rPr>
          <w:b/>
          <w:lang w:val="en_US" w:bidi="en_US"/>
        </w:rPr>
        <w:t>you will be brought down to Hades!:</w:t>
      </w:r>
      <w:r>
        <w:rPr>
          <w:lang w:val="en_US" w:bidi="en_US"/>
        </w:rPr>
        <w:t xml:space="preserve"> There is a textual issue here:</w:t>
      </w:r>
    </w:p>
    <w:p>
      <w:pPr>
        <w:pStyle w:val="ListNumber"/>
        <w:numPr>
          <w:ilvl w:val="0"/>
          <w:numId w:val="205"/>
        </w:numPr>
        <w:spacing w:line="240" w:lineRule="auto"/>
        <w:ind w:left="720"/>
      </w:pPr>
      <w:r>
        <w:rPr>
          <w:lang w:val="en_US" w:bidi="en_US"/>
        </w:rPr>
      </w:r>
      <w:r>
        <w:rPr>
          <w:lang w:val="en_US" w:bidi="en_US"/>
        </w:rPr>
        <w:t xml:space="preserve">Most Greek manuscripts have a verb that means “you </w:t>
      </w:r>
      <w:r>
        <w:rPr>
          <w:u w:val="single"/>
          <w:lang w:val="en_US" w:bidi="en_US"/>
        </w:rPr>
        <w:t>will be brought/thrown down</w:t>
      </w:r>
      <w:r>
        <w:rPr>
          <w:lang w:val="en_US" w:bidi="en_US"/>
        </w:rPr>
        <w:t>.” This verb implies the use of force. For example:</w:t>
      </w:r>
      <w:r>
        <w:rPr>
          <w:lang w:val="en_US" w:bidi="en_US"/>
        </w:rPr>
        <w:t xml:space="preserve">you will be brought down to Hades (REB) </w:t>
      </w:r>
      <w:r>
        <w:rPr>
          <w:i/>
          <w:lang w:val="en_US" w:bidi="en_US"/>
        </w:rPr>
        <w:t>(BSB, REB, RSV, ESV, GNT, NJB, KJV, NASB, NCV, NLT96, NET)</w:t>
      </w:r>
    </w:p>
    <w:p>
      <w:pPr>
        <w:pStyle w:val="ListNumber"/>
        <w:spacing w:line="240" w:lineRule="auto"/>
        <w:ind w:left="720"/>
      </w:pPr>
      <w:r>
        <w:rPr>
          <w:lang w:val="en_US" w:bidi="en_US"/>
        </w:rPr>
      </w:r>
      <w:r>
        <w:rPr>
          <w:lang w:val="en_US" w:bidi="en_US"/>
        </w:rPr>
        <w:t xml:space="preserve">Other Greek manuscripts have a verb that means “you </w:t>
      </w:r>
      <w:r>
        <w:rPr>
          <w:u w:val="single"/>
          <w:lang w:val="en_US" w:bidi="en_US"/>
        </w:rPr>
        <w:t>will go down</w:t>
      </w:r>
      <w:r>
        <w:rPr>
          <w:lang w:val="en_US" w:bidi="en_US"/>
        </w:rPr>
        <w:t>.” For example:</w:t>
      </w:r>
      <w:r>
        <w:rPr>
          <w:lang w:val="en_US" w:bidi="en_US"/>
        </w:rPr>
        <w:t xml:space="preserve">you will go down to the place of the dead (NLT) </w:t>
      </w:r>
      <w:r>
        <w:rPr>
          <w:i/>
          <w:lang w:val="en_US" w:bidi="en_US"/>
        </w:rPr>
        <w:t>(NIV, NLT, GW, CEV)</w:t>
      </w:r>
    </w:p>
    <w:p>
      <w:pPr/>
      <w:r>
        <w:rPr>
          <w:lang w:val="en_US" w:bidi="en_US"/>
        </w:rPr>
      </w:r>
      <w:r>
        <w:rPr>
          <w:lang w:val="en_US" w:bidi="en_US"/>
        </w:rPr>
        <w:t>It is recommended that you follow option (1), which corresponds to the passive clause used in 10:15a. You may want to put the other option in a footnote.</w:t>
      </w:r>
    </w:p>
    <w:p>
      <w:pPr/>
      <w:r>
        <w:rPr>
          <w:lang w:val="en_US" w:bidi="en_US"/>
        </w:rPr>
      </w:r>
      <w:r>
        <w:rPr>
          <w:lang w:val="en_US" w:bidi="en_US"/>
        </w:rPr>
        <w:t>This clause is a direct contrast with 10:15a. Instead of being honored, the people of Capernaum will be brought down to a place of humiliation and punishment. Other ways to translate this are:</w:t>
      </w:r>
    </w:p>
    <w:p>
      <w:pPr/>
      <w:r>
        <w:rPr>
          <w:lang w:val="en_US" w:bidi="en_US"/>
        </w:rPr>
      </w:r>
      <w:r>
        <w:rPr>
          <w:lang w:val="en_US" w:bidi="en_US"/>
        </w:rPr>
        <w:t>You will be thrown down to hell! (GNT)</w:t>
      </w:r>
    </w:p>
    <w:p>
      <w:pPr/>
      <w:r>
        <w:rPr>
          <w:lang w:val="en_US" w:bidi="en_US"/>
        </w:rPr>
      </w:r>
      <w:r>
        <w:rPr>
          <w:lang w:val="en_US" w:bidi="en_US"/>
        </w:rPr>
        <w:t xml:space="preserve">You will be brought down to Hades/hell, </w:t>
      </w:r>
      <w:r>
        <w:rPr>
          <w:lang w:val="en_US" w:bidi="en_US"/>
        </w:rPr>
        <w:t>where you will be punished</w:t>
      </w:r>
      <w:r>
        <w:rPr>
          <w:lang w:val="en_US" w:bidi="en_US"/>
        </w:rPr>
        <w:t>.</w:t>
      </w:r>
    </w:p>
    <w:p>
      <w:pPr/>
      <w:r>
        <w:rPr>
          <w:lang w:val="en_US" w:bidi="en_US"/>
        </w:rPr>
      </w:r>
      <w:r>
        <w:rPr>
          <w:lang w:val="en_US" w:bidi="en_US"/>
        </w:rPr>
        <w:t xml:space="preserve">The Greek clause that the BSB translates as </w:t>
      </w:r>
      <w:r>
        <w:rPr>
          <w:i/>
          <w:lang w:val="en_US" w:bidi="en_US"/>
        </w:rPr>
        <w:t>you will be brought down to Hades</w:t>
      </w:r>
      <w:r>
        <w:rPr>
          <w:lang w:val="en_US" w:bidi="en_US"/>
        </w:rPr>
        <w:t xml:space="preserve"> is passive. The implied subject is God. In some languages it may be more natural to make this explicit. For example:</w:t>
      </w:r>
    </w:p>
    <w:p>
      <w:pPr/>
      <w:r>
        <w:rPr>
          <w:lang w:val="en_US" w:bidi="en_US"/>
        </w:rPr>
      </w:r>
      <w:r>
        <w:rPr>
          <w:lang w:val="en_US" w:bidi="en_US"/>
        </w:rPr>
        <w:t>God</w:t>
      </w:r>
      <w:r>
        <w:rPr>
          <w:lang w:val="en_US" w:bidi="en_US"/>
        </w:rPr>
        <w:t xml:space="preserve"> will cause you to go down to Hades</w:t>
      </w:r>
    </w:p>
    <w:p>
      <w:pPr/>
      <w:r>
        <w:rPr>
          <w:lang w:val="en_US" w:bidi="en_US"/>
        </w:rPr>
      </w:r>
      <w:r>
        <w:rPr>
          <w:b/>
          <w:lang w:val="en_US" w:bidi="en_US"/>
        </w:rPr>
        <w:t>to Hades:</w:t>
      </w:r>
      <w:r>
        <w:rPr>
          <w:lang w:val="en_US" w:bidi="en_US"/>
        </w:rPr>
        <w:t xml:space="preserve"> The word </w:t>
      </w:r>
      <w:r>
        <w:rPr>
          <w:i/>
          <w:lang w:val="en_US" w:bidi="en_US"/>
        </w:rPr>
        <w:t>Hades</w:t>
      </w:r>
      <w:r>
        <w:rPr>
          <w:lang w:val="en_US" w:bidi="en_US"/>
        </w:rPr>
        <w:t xml:space="preserve"> means “the place of the dead.” In this context it is the opposite of heaven, the place of honor, so it probably refers to hell. It implies a place of humiliation and punishment.</w:t>
      </w:r>
    </w:p>
    <w:p>
      <w:pPr/>
      <w:r>
        <w:rPr>
          <w:lang w:val="en_US" w:bidi="en_US"/>
        </w:rPr>
      </w:r>
      <w:r>
        <w:rPr>
          <w:lang w:val="en_US" w:bidi="en_US"/>
        </w:rPr>
        <w:t xml:space="preserve">In Greek, the phrase </w:t>
      </w:r>
      <w:r>
        <w:rPr>
          <w:i/>
          <w:lang w:val="en_US" w:bidi="en_US"/>
        </w:rPr>
        <w:t>to Hades</w:t>
      </w:r>
      <w:r>
        <w:rPr>
          <w:lang w:val="en_US" w:bidi="en_US"/>
        </w:rPr>
        <w:t xml:space="preserve"> is in a position of emphasis. One way to translate this emphasis is:</w:t>
      </w:r>
    </w:p>
    <w:p>
      <w:pPr/>
      <w:r>
        <w:rPr>
          <w:lang w:val="en_US" w:bidi="en_US"/>
        </w:rPr>
      </w:r>
      <w:r>
        <w:rPr>
          <w:lang w:val="en_US" w:bidi="en_US"/>
        </w:rPr>
        <w:t>Hades is the place to which you will be thrown down.</w:t>
      </w:r>
    </w:p>
    <w:p>
      <w:pPr/>
      <w:r>
        <w:rPr>
          <w:lang w:val="en_US" w:bidi="en_US"/>
        </w:rPr>
      </w:r>
      <w:r>
        <w:rPr>
          <w:lang w:val="en_US" w:bidi="en_US"/>
        </w:rPr>
        <w:t xml:space="preserve">In some languages the way to emphasize a phrase is to place it last in the sentence. Consider if there is a natural way in your language to emphasize </w:t>
      </w:r>
      <w:r>
        <w:rPr>
          <w:i/>
          <w:lang w:val="en_US" w:bidi="en_US"/>
        </w:rPr>
        <w:t>Hades</w:t>
      </w:r>
      <w:r>
        <w:rPr>
          <w:lang w:val="en_US" w:bidi="en_US"/>
        </w:rPr>
        <w:t xml:space="preserve"> in contrast to “heaven/skies” in 10:15a.</w:t>
      </w:r>
      <w:r>
        <w:rPr>
          <w:lang w:val="en_US" w:bidi="en_US"/>
        </w:rPr>
      </w:r>
      <w:r>
        <w:rPr>
          <w:lang w:val="en_US" w:bidi="en_US"/>
        </w:rPr>
      </w:r>
    </w:p>
    <w:p>
      <w:pPr/>
      <w:r>
        <w:rPr>
          <w:lang w:val="en_US" w:bidi="en_US"/>
        </w:rPr>
      </w:r>
    </w:p>
    <w:p>
      <w:pPr>
        <w:pStyle w:val="Heading2"/>
      </w:pPr>
      <w:r>
        <w:rPr>
          <w:lang w:val="en_US" w:bidi="en_US"/>
        </w:rPr>
        <w:t>Luke 10:16</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4"/>
      </w:pPr>
      <w:r>
        <w:rPr>
          <w:lang w:val="en_US" w:bidi="en_US"/>
        </w:rPr>
        <w:t>Paragraph 10:13–16</w:t>
      </w:r>
    </w:p>
    <w:p>
      <w:pPr/>
      <w:r>
        <w:rPr>
          <w:lang w:val="en_US" w:bidi="en_US"/>
        </w:rPr>
      </w:r>
      <w:r>
        <w:rPr>
          <w:lang w:val="en_US" w:bidi="en_US"/>
        </w:rPr>
        <w:t>Jesus had just been talking to his disciples about how God would punish the people who rejected the message that his disciples preached (10:10–12). Here in 10:13–16 Jesus expressed his sorrow at the terrible punishment that awaited the people. These people had already heard him and had seen him do miracles, but they still refused to repent and believe him.</w:t>
      </w:r>
    </w:p>
    <w:p>
      <w:pPr>
        <w:pStyle w:val="Heading5"/>
      </w:pPr>
      <w:r>
        <w:rPr>
          <w:lang w:val="en_US" w:bidi="en_US"/>
        </w:rPr>
        <w:t>10:16a–b</w:t>
      </w:r>
    </w:p>
    <w:p>
      <w:pPr/>
      <w:r>
        <w:rPr>
          <w:lang w:val="en_US" w:bidi="en_US"/>
        </w:rPr>
      </w:r>
      <w:r>
        <w:rPr>
          <w:lang w:val="en_US" w:bidi="en_US"/>
        </w:rPr>
        <w:t>In 10:13–15 Jesus spoke as if he were addressing the people of various towns. In 10:16 he began to speak directly to his disciples again. It may be necessary to make this explicit in your translation. For example:</w:t>
      </w:r>
    </w:p>
    <w:p>
      <w:pPr/>
      <w:r>
        <w:rPr>
          <w:lang w:val="en_US" w:bidi="en_US"/>
        </w:rPr>
      </w:r>
      <w:r>
        <w:rPr>
          <w:lang w:val="en_US" w:bidi="en_US"/>
        </w:rPr>
        <w:t>Then he said to the disciples (NLT)</w:t>
      </w:r>
    </w:p>
    <w:p>
      <w:pPr/>
      <w:r>
        <w:rPr>
          <w:lang w:val="en_US" w:bidi="en_US"/>
        </w:rPr>
      </w:r>
      <w:r>
        <w:rPr>
          <w:lang w:val="en_US" w:bidi="en_US"/>
        </w:rPr>
        <w:t>My followers… (CEV)</w:t>
      </w:r>
    </w:p>
    <w:p>
      <w:pPr>
        <w:pStyle w:val="Heading5"/>
      </w:pPr>
      <w:r>
        <w:rPr>
          <w:lang w:val="en_US" w:bidi="en_US"/>
        </w:rPr>
        <w:t>10:16a</w:t>
      </w:r>
    </w:p>
    <w:p>
      <w:pPr/>
      <w:r>
        <w:rPr>
          <w:lang w:val="en_US" w:bidi="en_US"/>
        </w:rPr>
      </w:r>
      <w:r>
        <w:rPr>
          <w:b/>
          <w:lang w:val="en_US" w:bidi="en_US"/>
        </w:rPr>
        <w:t>Whoever listens to you</w:t>
      </w:r>
    </w:p>
    <w:p>
      <w:pPr>
        <w:pStyle w:val="ListBullet"/>
        <w:spacing w:line="240" w:lineRule="auto"/>
        <w:ind w:left="720"/>
      </w:pPr>
      <w:r>
        <w:rPr>
          <w:lang w:val="en_US" w:bidi="en_US"/>
        </w:rPr>
      </w:r>
      <w:r>
        <w:rPr>
          <w:lang w:val="en_US" w:bidi="en_US"/>
        </w:rPr>
        <w:t>My followers, if a person listens to you</w:t>
      </w:r>
      <w:r>
        <w:rPr>
          <w:vertAlign w:val="superscript"/>
          <w:lang w:val="en_US" w:bidi="en_US"/>
        </w:rPr>
        <w:t>(plur)</w:t>
      </w:r>
      <w:r>
        <w:rPr>
          <w:lang w:val="en_US" w:bidi="en_US"/>
        </w:rPr>
        <w:t xml:space="preserve">, </w:t>
      </w:r>
      <w:r>
        <w:rPr>
          <w:lang w:val="en_US" w:bidi="en_US"/>
        </w:rPr>
        <w:t>and accepts what you teach,</w:t>
      </w:r>
    </w:p>
    <w:p>
      <w:pPr>
        <w:pStyle w:val="ListBullet"/>
        <w:spacing w:line="240" w:lineRule="auto"/>
        <w:ind w:left="720"/>
      </w:pPr>
      <w:r>
        <w:rPr>
          <w:lang w:val="en_US" w:bidi="en_US"/>
        </w:rPr>
      </w:r>
      <w:r>
        <w:rPr>
          <w:lang w:val="en_US" w:bidi="en_US"/>
        </w:rPr>
        <w:t>Then Jesus said to his disciples,</w:t>
      </w:r>
      <w:r>
        <w:rPr>
          <w:lang w:val="en_US" w:bidi="en_US"/>
        </w:rPr>
        <w:t xml:space="preserve"> “Anyone who heeds </w:t>
      </w:r>
      <w:r>
        <w:rPr>
          <w:lang w:val="en_US" w:bidi="en_US"/>
        </w:rPr>
        <w:t>what</w:t>
      </w:r>
      <w:r>
        <w:rPr>
          <w:lang w:val="en_US" w:bidi="en_US"/>
        </w:rPr>
        <w:t xml:space="preserve"> you</w:t>
      </w:r>
      <w:r>
        <w:rPr>
          <w:vertAlign w:val="superscript"/>
          <w:lang w:val="en_US" w:bidi="en_US"/>
        </w:rPr>
        <w:t>(plur)</w:t>
      </w:r>
      <w:r>
        <w:rPr>
          <w:lang w:val="en_US" w:bidi="en_US"/>
        </w:rPr>
        <w:t xml:space="preserve"> </w:t>
      </w:r>
      <w:r>
        <w:rPr>
          <w:lang w:val="en_US" w:bidi="en_US"/>
        </w:rPr>
        <w:t>say</w:t>
      </w:r>
      <w:r>
        <w:rPr>
          <w:lang w:val="en_US" w:bidi="en_US"/>
        </w:rPr>
        <w:t>,</w:t>
      </w:r>
    </w:p>
    <w:p>
      <w:pPr>
        <w:pStyle w:val="ListBullet"/>
        <w:spacing w:line="240" w:lineRule="auto"/>
        <w:ind w:left="720"/>
      </w:pPr>
      <w:r>
        <w:rPr>
          <w:lang w:val="en_US" w:bidi="en_US"/>
        </w:rPr>
      </w:r>
      <w:r>
        <w:rPr>
          <w:lang w:val="en_US" w:bidi="en_US"/>
        </w:rPr>
        <w:t>Then Jesus told his disciples,</w:t>
      </w:r>
      <w:r>
        <w:rPr>
          <w:lang w:val="en_US" w:bidi="en_US"/>
        </w:rPr>
        <w:t xml:space="preserve"> “Everyone who accepts </w:t>
      </w:r>
      <w:r>
        <w:rPr>
          <w:lang w:val="en_US" w:bidi="en_US"/>
        </w:rPr>
        <w:t>what</w:t>
      </w:r>
      <w:r>
        <w:rPr>
          <w:lang w:val="en_US" w:bidi="en_US"/>
        </w:rPr>
        <w:t xml:space="preserve"> you</w:t>
      </w:r>
      <w:r>
        <w:rPr>
          <w:vertAlign w:val="superscript"/>
          <w:lang w:val="en_US" w:bidi="en_US"/>
        </w:rPr>
        <w:t>(plur)</w:t>
      </w:r>
      <w:r>
        <w:rPr>
          <w:lang w:val="en_US" w:bidi="en_US"/>
        </w:rPr>
        <w:t xml:space="preserve"> </w:t>
      </w:r>
      <w:r>
        <w:rPr>
          <w:lang w:val="en_US" w:bidi="en_US"/>
        </w:rPr>
        <w:t>teach</w:t>
      </w:r>
    </w:p>
    <w:p>
      <w:pPr/>
      <w:r>
        <w:rPr>
          <w:lang w:val="en_US" w:bidi="en_US"/>
        </w:rPr>
      </w:r>
      <w:r>
        <w:rPr>
          <w:b/>
          <w:lang w:val="en_US" w:bidi="en_US"/>
        </w:rPr>
        <w:t>Whoever listens to you:</w:t>
      </w:r>
      <w:r>
        <w:rPr>
          <w:lang w:val="en_US" w:bidi="en_US"/>
        </w:rPr>
        <w:t xml:space="preserve"> The pronoun </w:t>
      </w:r>
      <w:r>
        <w:rPr>
          <w:i/>
          <w:lang w:val="en_US" w:bidi="en_US"/>
        </w:rPr>
        <w:t>Whoever</w:t>
      </w:r>
      <w:r>
        <w:rPr>
          <w:lang w:val="en_US" w:bidi="en_US"/>
        </w:rPr>
        <w:t xml:space="preserve"> refers to anyone and everyone who listens to his followers. Another way to translate this is:</w:t>
      </w:r>
    </w:p>
    <w:p>
      <w:pPr/>
      <w:r>
        <w:rPr>
          <w:lang w:val="en_US" w:bidi="en_US"/>
        </w:rPr>
      </w:r>
      <w:r>
        <w:rPr>
          <w:lang w:val="en_US" w:bidi="en_US"/>
        </w:rPr>
        <w:t>Anyone who listens to you</w:t>
      </w:r>
    </w:p>
    <w:p>
      <w:pPr/>
      <w:r>
        <w:rPr>
          <w:lang w:val="en_US" w:bidi="en_US"/>
        </w:rPr>
      </w:r>
      <w:r>
        <w:rPr>
          <w:lang w:val="en_US" w:bidi="en_US"/>
        </w:rPr>
        <w:t>Another way to translate this statement is to use an “if” clause. For example:</w:t>
      </w:r>
    </w:p>
    <w:p>
      <w:pPr/>
      <w:r>
        <w:rPr>
          <w:lang w:val="en_US" w:bidi="en_US"/>
        </w:rPr>
      </w:r>
      <w:r>
        <w:rPr>
          <w:lang w:val="en_US" w:bidi="en_US"/>
        </w:rPr>
        <w:t>If a person listens to you</w:t>
      </w:r>
    </w:p>
    <w:p>
      <w:pPr/>
      <w:r>
        <w:rPr>
          <w:lang w:val="en_US" w:bidi="en_US"/>
        </w:rPr>
      </w:r>
      <w:r>
        <w:rPr>
          <w:b/>
          <w:lang w:val="en_US" w:bidi="en_US"/>
        </w:rPr>
        <w:t>listens to you:</w:t>
      </w:r>
      <w:r>
        <w:rPr>
          <w:lang w:val="en_US" w:bidi="en_US"/>
        </w:rPr>
        <w:t xml:space="preserve"> The verb that the BSB translates as </w:t>
      </w:r>
      <w:r>
        <w:rPr>
          <w:i/>
          <w:lang w:val="en_US" w:bidi="en_US"/>
        </w:rPr>
        <w:t>listens to</w:t>
      </w:r>
      <w:r>
        <w:rPr>
          <w:lang w:val="en_US" w:bidi="en_US"/>
        </w:rPr>
        <w:t xml:space="preserve"> in this context implies to listen to the disciples’ message about Jesus and accept it. For example:</w:t>
      </w:r>
    </w:p>
    <w:p>
      <w:pPr/>
      <w:r>
        <w:rPr>
          <w:lang w:val="en_US" w:bidi="en_US"/>
        </w:rPr>
      </w:r>
      <w:r>
        <w:rPr>
          <w:lang w:val="en_US" w:bidi="en_US"/>
        </w:rPr>
        <w:t>Anyone who accepts your message (NLT)</w:t>
      </w:r>
    </w:p>
    <w:p>
      <w:pPr>
        <w:pStyle w:val="Heading5"/>
      </w:pPr>
      <w:r>
        <w:rPr>
          <w:lang w:val="en_US" w:bidi="en_US"/>
        </w:rPr>
        <w:t>10:16b</w:t>
      </w:r>
    </w:p>
    <w:p>
      <w:pPr/>
      <w:r>
        <w:rPr>
          <w:lang w:val="en_US" w:bidi="en_US"/>
        </w:rPr>
      </w:r>
      <w:r>
        <w:rPr>
          <w:b/>
          <w:lang w:val="en_US" w:bidi="en_US"/>
        </w:rPr>
        <w:t>listens to Me;</w:t>
      </w:r>
    </w:p>
    <w:p>
      <w:pPr>
        <w:pStyle w:val="ListBullet"/>
        <w:spacing w:line="240" w:lineRule="auto"/>
        <w:ind w:left="720"/>
      </w:pPr>
      <w:r>
        <w:rPr>
          <w:lang w:val="en_US" w:bidi="en_US"/>
        </w:rPr>
      </w:r>
      <w:r>
        <w:rPr>
          <w:lang w:val="en_US" w:bidi="en_US"/>
        </w:rPr>
        <w:t>it is the same as</w:t>
      </w:r>
      <w:r>
        <w:rPr>
          <w:lang w:val="en_US" w:bidi="en_US"/>
        </w:rPr>
        <w:t xml:space="preserve"> listening to me </w:t>
      </w:r>
      <w:r>
        <w:rPr>
          <w:lang w:val="en_US" w:bidi="en_US"/>
        </w:rPr>
        <w:t>and accepting what I teach</w:t>
      </w:r>
      <w:r>
        <w:rPr>
          <w:lang w:val="en_US" w:bidi="en_US"/>
        </w:rPr>
        <w:t>.</w:t>
      </w:r>
    </w:p>
    <w:p>
      <w:pPr>
        <w:pStyle w:val="ListBullet"/>
        <w:spacing w:line="240" w:lineRule="auto"/>
        <w:ind w:left="720"/>
      </w:pPr>
      <w:r>
        <w:rPr>
          <w:lang w:val="en_US" w:bidi="en_US"/>
        </w:rPr>
      </w:r>
      <w:r>
        <w:rPr>
          <w:lang w:val="en_US" w:bidi="en_US"/>
        </w:rPr>
        <w:t>it is as if</w:t>
      </w:r>
      <w:r>
        <w:rPr>
          <w:lang w:val="en_US" w:bidi="en_US"/>
        </w:rPr>
        <w:t xml:space="preserve"> I am the one he heeds.</w:t>
      </w:r>
    </w:p>
    <w:p>
      <w:pPr>
        <w:pStyle w:val="ListBullet"/>
        <w:spacing w:line="240" w:lineRule="auto"/>
        <w:ind w:left="720"/>
      </w:pPr>
      <w:r>
        <w:rPr>
          <w:lang w:val="en_US" w:bidi="en_US"/>
        </w:rPr>
      </w:r>
      <w:r>
        <w:rPr>
          <w:lang w:val="en_US" w:bidi="en_US"/>
        </w:rPr>
        <w:t xml:space="preserve">is </w:t>
      </w:r>
      <w:r>
        <w:rPr>
          <w:lang w:val="en_US" w:bidi="en_US"/>
        </w:rPr>
        <w:t>actually</w:t>
      </w:r>
      <w:r>
        <w:rPr>
          <w:lang w:val="en_US" w:bidi="en_US"/>
        </w:rPr>
        <w:t xml:space="preserve"> accepting </w:t>
      </w:r>
      <w:r>
        <w:rPr>
          <w:lang w:val="en_US" w:bidi="en_US"/>
        </w:rPr>
        <w:t>what</w:t>
      </w:r>
      <w:r>
        <w:rPr>
          <w:lang w:val="en_US" w:bidi="en_US"/>
        </w:rPr>
        <w:t xml:space="preserve"> I </w:t>
      </w:r>
      <w:r>
        <w:rPr>
          <w:lang w:val="en_US" w:bidi="en_US"/>
        </w:rPr>
        <w:t>teach</w:t>
      </w:r>
      <w:r>
        <w:rPr>
          <w:lang w:val="en_US" w:bidi="en_US"/>
        </w:rPr>
        <w:t>.</w:t>
      </w:r>
    </w:p>
    <w:p>
      <w:pPr/>
      <w:r>
        <w:rPr>
          <w:lang w:val="en_US" w:bidi="en_US"/>
        </w:rPr>
      </w:r>
      <w:r>
        <w:rPr>
          <w:b/>
          <w:lang w:val="en_US" w:bidi="en_US"/>
        </w:rPr>
        <w:t>listens to Me:</w:t>
      </w:r>
      <w:r>
        <w:rPr>
          <w:lang w:val="en_US" w:bidi="en_US"/>
        </w:rPr>
        <w:t xml:space="preserve"> Jesus was speaking figuratively here. He meant that if people accepted the message that the disciples taught, they were accepting Jesus’ own message, because Jesus had told the disciples what to say.</w:t>
      </w:r>
    </w:p>
    <w:p>
      <w:pPr/>
      <w:r>
        <w:rPr>
          <w:lang w:val="en_US" w:bidi="en_US"/>
        </w:rPr>
      </w:r>
      <w:r>
        <w:rPr>
          <w:lang w:val="en_US" w:bidi="en_US"/>
        </w:rPr>
        <w:t xml:space="preserve">If people in your area will think that the phrase </w:t>
      </w:r>
      <w:r>
        <w:rPr>
          <w:i/>
          <w:lang w:val="en_US" w:bidi="en_US"/>
        </w:rPr>
        <w:t>listens to Me</w:t>
      </w:r>
      <w:r>
        <w:rPr>
          <w:lang w:val="en_US" w:bidi="en_US"/>
        </w:rPr>
        <w:t xml:space="preserve"> refers to literally listening to Jesus himself, you may want to include some implied information. For example:</w:t>
      </w:r>
    </w:p>
    <w:p>
      <w:pPr/>
      <w:r>
        <w:rPr>
          <w:lang w:val="en_US" w:bidi="en_US"/>
        </w:rPr>
      </w:r>
      <w:r>
        <w:rPr>
          <w:lang w:val="en_US" w:bidi="en_US"/>
        </w:rPr>
        <w:t>it is the same as</w:t>
      </w:r>
      <w:r>
        <w:rPr>
          <w:lang w:val="en_US" w:bidi="en_US"/>
        </w:rPr>
        <w:t xml:space="preserve"> welcoming me</w:t>
      </w:r>
    </w:p>
    <w:p>
      <w:pPr/>
      <w:r>
        <w:rPr>
          <w:lang w:val="en_US" w:bidi="en_US"/>
        </w:rPr>
      </w:r>
      <w:r>
        <w:rPr>
          <w:lang w:val="en_US" w:bidi="en_US"/>
        </w:rPr>
        <w:t>it is as if he is</w:t>
      </w:r>
      <w:r>
        <w:rPr>
          <w:lang w:val="en_US" w:bidi="en_US"/>
        </w:rPr>
        <w:t xml:space="preserve"> welcoming me</w:t>
      </w:r>
    </w:p>
    <w:p>
      <w:pPr/>
      <w:r>
        <w:rPr>
          <w:lang w:val="en_US" w:bidi="en_US"/>
        </w:rPr>
      </w:r>
      <w:r>
        <w:rPr>
          <w:b/>
          <w:lang w:val="en_US" w:bidi="en_US"/>
        </w:rPr>
        <w:t>to Me:</w:t>
      </w:r>
      <w:r>
        <w:rPr>
          <w:lang w:val="en_US" w:bidi="en_US"/>
        </w:rPr>
        <w:t xml:space="preserve"> The phrase </w:t>
      </w:r>
      <w:r>
        <w:rPr>
          <w:i/>
          <w:lang w:val="en_US" w:bidi="en_US"/>
        </w:rPr>
        <w:t>to Me</w:t>
      </w:r>
      <w:r>
        <w:rPr>
          <w:lang w:val="en_US" w:bidi="en_US"/>
        </w:rPr>
        <w:t xml:space="preserve"> is emphasized in the Greek. If your language has a natural way to emphasize this phrase, you may want to do so. For example:</w:t>
      </w:r>
    </w:p>
    <w:p>
      <w:pPr/>
      <w:r>
        <w:rPr>
          <w:lang w:val="en_US" w:bidi="en_US"/>
        </w:rPr>
      </w:r>
      <w:r>
        <w:rPr>
          <w:lang w:val="en_US" w:bidi="en_US"/>
        </w:rPr>
        <w:t>I am the one that he is paying attention to</w:t>
      </w:r>
    </w:p>
    <w:p>
      <w:pPr>
        <w:pStyle w:val="Heading5"/>
      </w:pPr>
      <w:r>
        <w:rPr>
          <w:lang w:val="en_US" w:bidi="en_US"/>
        </w:rPr>
        <w:t>10:16c</w:t>
      </w:r>
    </w:p>
    <w:p>
      <w:pPr/>
      <w:r>
        <w:rPr>
          <w:lang w:val="en_US" w:bidi="en_US"/>
        </w:rPr>
      </w:r>
      <w:r>
        <w:rPr>
          <w:b/>
          <w:lang w:val="en_US" w:bidi="en_US"/>
        </w:rPr>
        <w:t>whoever rejects you</w:t>
      </w:r>
    </w:p>
    <w:p>
      <w:pPr>
        <w:pStyle w:val="ListBullet"/>
        <w:spacing w:line="240" w:lineRule="auto"/>
        <w:ind w:left="720"/>
      </w:pPr>
      <w:r>
        <w:rPr>
          <w:lang w:val="en_US" w:bidi="en_US"/>
        </w:rPr>
      </w:r>
      <w:r>
        <w:rPr>
          <w:lang w:val="en_US" w:bidi="en_US"/>
        </w:rPr>
        <w:t>If a person rejects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Anyone who refuses to heed </w:t>
      </w:r>
      <w:r>
        <w:rPr>
          <w:lang w:val="en_US" w:bidi="en_US"/>
        </w:rPr>
        <w:t>what</w:t>
      </w:r>
      <w:r>
        <w:rPr>
          <w:lang w:val="en_US" w:bidi="en_US"/>
        </w:rPr>
        <w:t xml:space="preserve"> you</w:t>
      </w:r>
      <w:r>
        <w:rPr>
          <w:vertAlign w:val="superscript"/>
          <w:lang w:val="en_US" w:bidi="en_US"/>
        </w:rPr>
        <w:t>(plur)</w:t>
      </w:r>
      <w:r>
        <w:rPr>
          <w:lang w:val="en_US" w:bidi="en_US"/>
        </w:rPr>
        <w:t xml:space="preserve"> </w:t>
      </w:r>
      <w:r>
        <w:rPr>
          <w:lang w:val="en_US" w:bidi="en_US"/>
        </w:rPr>
        <w:t>say</w:t>
      </w:r>
      <w:r>
        <w:rPr>
          <w:lang w:val="en_US" w:bidi="en_US"/>
        </w:rPr>
        <w:t>,</w:t>
      </w:r>
    </w:p>
    <w:p>
      <w:pPr>
        <w:pStyle w:val="ListBullet"/>
        <w:spacing w:line="240" w:lineRule="auto"/>
        <w:ind w:left="720"/>
      </w:pPr>
      <w:r>
        <w:rPr>
          <w:lang w:val="en_US" w:bidi="en_US"/>
        </w:rPr>
      </w:r>
      <w:r>
        <w:rPr>
          <w:lang w:val="en_US" w:bidi="en_US"/>
        </w:rPr>
        <w:t xml:space="preserve">Everyone who will not accept </w:t>
      </w:r>
      <w:r>
        <w:rPr>
          <w:lang w:val="en_US" w:bidi="en_US"/>
        </w:rPr>
        <w:t>what</w:t>
      </w:r>
      <w:r>
        <w:rPr>
          <w:lang w:val="en_US" w:bidi="en_US"/>
        </w:rPr>
        <w:t xml:space="preserve"> you </w:t>
      </w:r>
      <w:r>
        <w:rPr>
          <w:lang w:val="en_US" w:bidi="en_US"/>
        </w:rPr>
        <w:t>teach</w:t>
      </w:r>
    </w:p>
    <w:p>
      <w:pPr>
        <w:pStyle w:val="Heading5"/>
      </w:pPr>
      <w:r>
        <w:rPr>
          <w:lang w:val="en_US" w:bidi="en_US"/>
        </w:rPr>
        <w:t>10:16d</w:t>
      </w:r>
    </w:p>
    <w:p>
      <w:pPr/>
      <w:r>
        <w:rPr>
          <w:lang w:val="en_US" w:bidi="en_US"/>
        </w:rPr>
      </w:r>
      <w:r>
        <w:rPr>
          <w:b/>
          <w:lang w:val="en_US" w:bidi="en_US"/>
        </w:rPr>
        <w:t>rejects Me;</w:t>
      </w:r>
    </w:p>
    <w:p>
      <w:pPr>
        <w:pStyle w:val="ListBullet"/>
        <w:spacing w:line="240" w:lineRule="auto"/>
        <w:ind w:left="720"/>
      </w:pPr>
      <w:r>
        <w:rPr>
          <w:lang w:val="en_US" w:bidi="en_US"/>
        </w:rPr>
      </w:r>
      <w:r>
        <w:rPr>
          <w:lang w:val="en_US" w:bidi="en_US"/>
        </w:rPr>
        <w:t>it is the same as</w:t>
      </w:r>
      <w:r>
        <w:rPr>
          <w:lang w:val="en_US" w:bidi="en_US"/>
        </w:rPr>
        <w:t xml:space="preserve"> rejecting me.</w:t>
      </w:r>
    </w:p>
    <w:p>
      <w:pPr>
        <w:pStyle w:val="ListBullet"/>
        <w:spacing w:line="240" w:lineRule="auto"/>
        <w:ind w:left="720"/>
      </w:pPr>
      <w:r>
        <w:rPr>
          <w:lang w:val="en_US" w:bidi="en_US"/>
        </w:rPr>
      </w:r>
      <w:r>
        <w:rPr>
          <w:lang w:val="en_US" w:bidi="en_US"/>
        </w:rPr>
        <w:t>it is as if</w:t>
      </w:r>
      <w:r>
        <w:rPr>
          <w:lang w:val="en_US" w:bidi="en_US"/>
        </w:rPr>
        <w:t xml:space="preserve"> I am the one he will not heed.</w:t>
      </w:r>
    </w:p>
    <w:p>
      <w:pPr>
        <w:pStyle w:val="ListBullet"/>
        <w:spacing w:line="240" w:lineRule="auto"/>
        <w:ind w:left="720"/>
      </w:pPr>
      <w:r>
        <w:rPr>
          <w:lang w:val="en_US" w:bidi="en_US"/>
        </w:rPr>
      </w:r>
      <w:r>
        <w:rPr>
          <w:lang w:val="en_US" w:bidi="en_US"/>
        </w:rPr>
        <w:t xml:space="preserve">is </w:t>
      </w:r>
      <w:r>
        <w:rPr>
          <w:lang w:val="en_US" w:bidi="en_US"/>
        </w:rPr>
        <w:t>actually</w:t>
      </w:r>
      <w:r>
        <w:rPr>
          <w:lang w:val="en_US" w:bidi="en_US"/>
        </w:rPr>
        <w:t xml:space="preserve"> refusing to accept </w:t>
      </w:r>
      <w:r>
        <w:rPr>
          <w:lang w:val="en_US" w:bidi="en_US"/>
        </w:rPr>
        <w:t>what</w:t>
      </w:r>
      <w:r>
        <w:rPr>
          <w:lang w:val="en_US" w:bidi="en_US"/>
        </w:rPr>
        <w:t xml:space="preserve"> I </w:t>
      </w:r>
      <w:r>
        <w:rPr>
          <w:lang w:val="en_US" w:bidi="en_US"/>
        </w:rPr>
        <w:t>teach</w:t>
      </w:r>
      <w:r>
        <w:rPr>
          <w:lang w:val="en_US" w:bidi="en_US"/>
        </w:rPr>
        <w:t>.</w:t>
      </w:r>
    </w:p>
    <w:p>
      <w:pPr>
        <w:pStyle w:val="Heading5"/>
      </w:pPr>
      <w:r>
        <w:rPr>
          <w:lang w:val="en_US" w:bidi="en_US"/>
        </w:rPr>
        <w:t>10:16c–d</w:t>
      </w:r>
    </w:p>
    <w:p>
      <w:pPr/>
      <w:r>
        <w:rPr>
          <w:lang w:val="en_US" w:bidi="en_US"/>
        </w:rPr>
      </w:r>
      <w:r>
        <w:rPr>
          <w:b/>
          <w:lang w:val="en_US" w:bidi="en_US"/>
        </w:rPr>
        <w:t>whoever rejects you rejects Me:</w:t>
      </w:r>
      <w:r>
        <w:rPr>
          <w:lang w:val="en_US" w:bidi="en_US"/>
        </w:rPr>
        <w:t xml:space="preserve"> The statement here in 10:16c–d contrasts with the statement in 10:16a–b. However, the statements are expressed in a similar (parallel) way. The actions of accepting and rejecting the disciples were the same as accepting or rejecting Jesus. Translate 10:16c–d in a way that will show how it is related to the contrasting statement in 10:16a. For example:</w:t>
      </w:r>
    </w:p>
    <w:p>
      <w:pPr/>
      <w:r>
        <w:rPr>
          <w:lang w:val="en_US" w:bidi="en_US"/>
        </w:rPr>
      </w:r>
      <w:r>
        <w:rPr>
          <w:lang w:val="en_US" w:bidi="en_US"/>
        </w:rPr>
        <w:t>whoever rejects you rejects me (GNT)</w:t>
      </w:r>
    </w:p>
    <w:p>
      <w:pPr/>
      <w:r>
        <w:rPr>
          <w:lang w:val="en_US" w:bidi="en_US"/>
        </w:rPr>
      </w:r>
      <w:r>
        <w:rPr>
          <w:lang w:val="en_US" w:bidi="en_US"/>
        </w:rPr>
        <w:t xml:space="preserve">if a person rejects you </w:t>
      </w:r>
      <w:r>
        <w:rPr>
          <w:lang w:val="en_US" w:bidi="en_US"/>
        </w:rPr>
        <w:t>and your teaching</w:t>
      </w:r>
      <w:r>
        <w:rPr>
          <w:lang w:val="en_US" w:bidi="en_US"/>
        </w:rPr>
        <w:t xml:space="preserve">, he is rejecting me </w:t>
      </w:r>
      <w:r>
        <w:rPr>
          <w:lang w:val="en_US" w:bidi="en_US"/>
        </w:rPr>
        <w:t>and my teaching</w:t>
      </w:r>
    </w:p>
    <w:p>
      <w:pPr/>
      <w:r>
        <w:rPr>
          <w:lang w:val="en_US" w:bidi="en_US"/>
        </w:rPr>
      </w:r>
      <w:r>
        <w:rPr>
          <w:b/>
          <w:lang w:val="en_US" w:bidi="en_US"/>
        </w:rPr>
        <w:t>rejects Me:</w:t>
      </w:r>
      <w:r>
        <w:rPr>
          <w:lang w:val="en_US" w:bidi="en_US"/>
        </w:rPr>
        <w:t xml:space="preserve"> In the phrase </w:t>
      </w:r>
      <w:r>
        <w:rPr>
          <w:i/>
          <w:lang w:val="en_US" w:bidi="en_US"/>
        </w:rPr>
        <w:t>rejects Me</w:t>
      </w:r>
      <w:r>
        <w:rPr>
          <w:lang w:val="en_US" w:bidi="en_US"/>
        </w:rPr>
        <w:t xml:space="preserve">, the word </w:t>
      </w:r>
      <w:r>
        <w:rPr>
          <w:i/>
          <w:lang w:val="en_US" w:bidi="en_US"/>
        </w:rPr>
        <w:t>Me</w:t>
      </w:r>
      <w:r>
        <w:rPr>
          <w:lang w:val="en_US" w:bidi="en_US"/>
        </w:rPr>
        <w:t xml:space="preserve"> is emphatic in Greek, as it was in 10:16b. See the note there. In some languages it may be natural to use a plural form for those who reject the disciples and Jesus. For example:</w:t>
      </w:r>
    </w:p>
    <w:p>
      <w:pPr/>
      <w:r>
        <w:rPr>
          <w:lang w:val="en_US" w:bidi="en_US"/>
        </w:rPr>
      </w:r>
      <w:r>
        <w:rPr>
          <w:lang w:val="en_US" w:bidi="en_US"/>
        </w:rPr>
        <w:t>people who reject you are rejecting me</w:t>
      </w:r>
    </w:p>
    <w:p>
      <w:pPr/>
      <w:r>
        <w:rPr>
          <w:lang w:val="en_US" w:bidi="en_US"/>
        </w:rPr>
      </w:r>
      <w:r>
        <w:rPr>
          <w:b/>
          <w:lang w:val="en_US" w:bidi="en_US"/>
        </w:rPr>
        <w:t>rejects:</w:t>
      </w:r>
      <w:r>
        <w:rPr>
          <w:lang w:val="en_US" w:bidi="en_US"/>
        </w:rPr>
        <w:t xml:space="preserve"> The verb that the BSB translates as </w:t>
      </w:r>
      <w:r>
        <w:rPr>
          <w:i/>
          <w:lang w:val="en_US" w:bidi="en_US"/>
        </w:rPr>
        <w:t>rejects</w:t>
      </w:r>
      <w:r>
        <w:rPr>
          <w:lang w:val="en_US" w:bidi="en_US"/>
        </w:rPr>
        <w:t xml:space="preserve"> may also be translated as a negative statement. For example:</w:t>
      </w:r>
    </w:p>
    <w:p>
      <w:pPr/>
      <w:r>
        <w:rPr>
          <w:lang w:val="en_US" w:bidi="en_US"/>
        </w:rPr>
      </w:r>
      <w:r>
        <w:rPr>
          <w:lang w:val="en_US" w:bidi="en_US"/>
        </w:rPr>
        <w:t>refuses to accept</w:t>
      </w:r>
    </w:p>
    <w:p>
      <w:pPr>
        <w:pStyle w:val="Heading5"/>
      </w:pPr>
      <w:r>
        <w:rPr>
          <w:lang w:val="en_US" w:bidi="en_US"/>
        </w:rPr>
        <w:t>10:16e</w:t>
      </w:r>
    </w:p>
    <w:p>
      <w:pPr/>
      <w:r>
        <w:rPr>
          <w:lang w:val="en_US" w:bidi="en_US"/>
        </w:rPr>
      </w:r>
      <w:r>
        <w:rPr>
          <w:b/>
          <w:lang w:val="en_US" w:bidi="en_US"/>
        </w:rPr>
        <w:t>and whoever rejects Me rejects the One who sent Me.”</w:t>
      </w:r>
    </w:p>
    <w:p>
      <w:pPr>
        <w:pStyle w:val="ListBullet"/>
        <w:spacing w:line="240" w:lineRule="auto"/>
        <w:ind w:left="720"/>
      </w:pPr>
      <w:r>
        <w:rPr>
          <w:lang w:val="en_US" w:bidi="en_US"/>
        </w:rPr>
      </w:r>
      <w:r>
        <w:rPr>
          <w:lang w:val="en_US" w:bidi="en_US"/>
        </w:rPr>
        <w:t xml:space="preserve">And if a person rejects me, </w:t>
      </w:r>
      <w:r>
        <w:rPr>
          <w:lang w:val="en_US" w:bidi="en_US"/>
        </w:rPr>
        <w:t>it is the same as</w:t>
      </w:r>
      <w:r>
        <w:rPr>
          <w:lang w:val="en_US" w:bidi="en_US"/>
        </w:rPr>
        <w:t xml:space="preserve"> rejecting the one who sent me.”</w:t>
      </w:r>
    </w:p>
    <w:p>
      <w:pPr>
        <w:pStyle w:val="ListBullet"/>
        <w:spacing w:line="240" w:lineRule="auto"/>
        <w:ind w:left="720"/>
      </w:pPr>
      <w:r>
        <w:rPr>
          <w:lang w:val="en_US" w:bidi="en_US"/>
        </w:rPr>
      </w:r>
      <w:r>
        <w:rPr>
          <w:lang w:val="en_US" w:bidi="en_US"/>
        </w:rPr>
        <w:t xml:space="preserve">And anyone/everyone who refuses to heed/accept me is </w:t>
      </w:r>
      <w:r>
        <w:rPr>
          <w:lang w:val="en_US" w:bidi="en_US"/>
        </w:rPr>
        <w:t>actually</w:t>
      </w:r>
      <w:r>
        <w:rPr>
          <w:lang w:val="en_US" w:bidi="en_US"/>
        </w:rPr>
        <w:t xml:space="preserve"> refusing to accept </w:t>
      </w:r>
      <w:r>
        <w:rPr>
          <w:lang w:val="en_US" w:bidi="en_US"/>
        </w:rPr>
        <w:t>God</w:t>
      </w:r>
      <w:r>
        <w:rPr>
          <w:lang w:val="en_US" w:bidi="en_US"/>
        </w:rPr>
        <w:t xml:space="preserve"> who sent me.” </w:t>
      </w:r>
      <w:r>
        <w:rPr>
          <w:lang w:val="en_US" w:bidi="en_US"/>
        </w:rPr>
        <w:t>After Jesus said this, the seventy-two disciples left and went on their trip.</w:t>
      </w:r>
    </w:p>
    <w:p>
      <w:pPr/>
      <w:r>
        <w:rPr>
          <w:lang w:val="en_US" w:bidi="en_US"/>
        </w:rPr>
      </w:r>
      <w:r>
        <w:rPr>
          <w:b/>
          <w:lang w:val="en_US" w:bidi="en_US"/>
        </w:rPr>
        <w:t>and:</w:t>
      </w:r>
      <w:r>
        <w:rPr>
          <w:lang w:val="en_US" w:bidi="en_US"/>
        </w:rPr>
        <w:t xml:space="preserve"> Here the Greek conjunction that the BSB translates as </w:t>
      </w:r>
      <w:r>
        <w:rPr>
          <w:i/>
          <w:lang w:val="en_US" w:bidi="en_US"/>
        </w:rPr>
        <w:t>and</w:t>
      </w:r>
      <w:r>
        <w:rPr>
          <w:lang w:val="en_US" w:bidi="en_US"/>
        </w:rPr>
        <w:t xml:space="preserve"> introduces another statement about people who would reject Jesus’ disciples and their message. When such people rejected Jesus’ disciples, it was the same as rejecting Jesus. It was also the same as rejecting God, who sent Jesus.</w:t>
      </w:r>
    </w:p>
    <w:p>
      <w:pPr/>
      <w:r>
        <w:rPr>
          <w:lang w:val="en_US" w:bidi="en_US"/>
        </w:rPr>
      </w:r>
      <w:r>
        <w:rPr>
          <w:lang w:val="en_US" w:bidi="en_US"/>
        </w:rPr>
        <w:t>Most English versions connect 10:16e to 10:16d with “and” or they do not use a conjunction. Connect the parts of this verse in a natural way in your language. You may want to refer to how you translated the similar ideas in 9:48.</w:t>
      </w:r>
    </w:p>
    <w:p>
      <w:pPr/>
      <w:r>
        <w:rPr>
          <w:lang w:val="en_US" w:bidi="en_US"/>
        </w:rPr>
      </w:r>
      <w:r>
        <w:rPr>
          <w:b/>
          <w:lang w:val="en_US" w:bidi="en_US"/>
        </w:rPr>
        <w:t>whoever rejects Me rejects the One who sent Me:</w:t>
      </w:r>
      <w:r>
        <w:rPr>
          <w:lang w:val="en_US" w:bidi="en_US"/>
        </w:rPr>
        <w:t xml:space="preserve"> This clause indicates that when a person rejects Jesus, he is also rejecting God, who sent Jesus. In some languages it may be necessary to make the reference to God explicit:</w:t>
      </w:r>
    </w:p>
    <w:p>
      <w:pPr/>
      <w:r>
        <w:rPr>
          <w:lang w:val="en_US" w:bidi="en_US"/>
        </w:rPr>
      </w:r>
      <w:r>
        <w:rPr>
          <w:lang w:val="en_US" w:bidi="en_US"/>
        </w:rPr>
        <w:t xml:space="preserve">the one who rejects me rejects </w:t>
      </w:r>
      <w:r>
        <w:rPr>
          <w:lang w:val="en_US" w:bidi="en_US"/>
        </w:rPr>
        <w:t>God</w:t>
      </w:r>
      <w:r>
        <w:rPr>
          <w:lang w:val="en_US" w:bidi="en_US"/>
        </w:rPr>
        <w:t xml:space="preserve"> who sent me</w:t>
      </w:r>
    </w:p>
    <w:p>
      <w:pPr>
        <w:pStyle w:val="Heading6"/>
      </w:pPr>
      <w:r>
        <w:rPr>
          <w:b/>
          <w:lang w:val="en_US" w:bidi="en_US"/>
        </w:rPr>
        <w:t>General Comment on 10:16e</w:t>
      </w:r>
    </w:p>
    <w:p>
      <w:pPr/>
      <w:r>
        <w:rPr>
          <w:lang w:val="en_US" w:bidi="en_US"/>
        </w:rPr>
      </w:r>
      <w:r>
        <w:rPr>
          <w:lang w:val="en_US" w:bidi="en_US"/>
        </w:rPr>
        <w:t>When Jesus finished giving instructions to the seventy-two disciples, they left on their journey. In some languages it may be necessary to say explicitly that the seventy-two disciples left on their journey at that time. For example:</w:t>
      </w:r>
    </w:p>
    <w:p>
      <w:pPr/>
      <w:r>
        <w:rPr>
          <w:lang w:val="en_US" w:bidi="en_US"/>
        </w:rPr>
      </w:r>
      <w:r>
        <w:rPr>
          <w:lang w:val="en_US" w:bidi="en_US"/>
        </w:rPr>
        <w:t>After Jesus said this, the seventy-two disciples left to do what he had told them to do.</w:t>
      </w:r>
      <w:r>
        <w:rPr>
          <w:lang w:val="en_US" w:bidi="en_US"/>
        </w:rPr>
      </w:r>
      <w:r>
        <w:rPr>
          <w:lang w:val="en_US" w:bidi="en_US"/>
        </w:rPr>
      </w:r>
    </w:p>
    <w:p>
      <w:pPr/>
      <w:r>
        <w:rPr>
          <w:lang w:val="en_US" w:bidi="en_US"/>
        </w:rPr>
      </w:r>
    </w:p>
    <w:p>
      <w:pPr>
        <w:pStyle w:val="Heading2"/>
      </w:pPr>
      <w:r>
        <w:rPr>
          <w:lang w:val="en_US" w:bidi="en_US"/>
        </w:rPr>
        <w:t>Luke 10:17</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5"/>
      </w:pPr>
      <w:r>
        <w:rPr>
          <w:lang w:val="en_US" w:bidi="en_US"/>
        </w:rPr>
        <w:t>10:17a</w:t>
      </w:r>
    </w:p>
    <w:p>
      <w:pPr/>
      <w:r>
        <w:rPr>
          <w:lang w:val="en_US" w:bidi="en_US"/>
        </w:rPr>
      </w:r>
      <w:r>
        <w:rPr>
          <w:b/>
          <w:lang w:val="en_US" w:bidi="en_US"/>
        </w:rPr>
        <w:t>The seventy-two returned with joy and said,</w:t>
      </w:r>
    </w:p>
    <w:p>
      <w:pPr>
        <w:pStyle w:val="ListBullet"/>
        <w:spacing w:line="240" w:lineRule="auto"/>
        <w:ind w:left="720"/>
      </w:pPr>
      <w:r>
        <w:rPr>
          <w:lang w:val="en_US" w:bidi="en_US"/>
        </w:rPr>
      </w:r>
      <w:r>
        <w:rPr>
          <w:lang w:val="en_US" w:bidi="en_US"/>
        </w:rPr>
        <w:t xml:space="preserve">¶ </w:t>
      </w:r>
      <w:r>
        <w:rPr>
          <w:lang w:val="en_US" w:bidi="en_US"/>
        </w:rPr>
        <w:t>Later</w:t>
      </w:r>
      <w:r>
        <w:rPr>
          <w:lang w:val="en_US" w:bidi="en_US"/>
        </w:rPr>
        <w:t xml:space="preserve"> the seventy-two </w:t>
      </w:r>
      <w:r>
        <w:rPr>
          <w:lang w:val="en_US" w:bidi="en_US"/>
        </w:rPr>
        <w:t>disciples</w:t>
      </w:r>
      <w:r>
        <w:rPr>
          <w:lang w:val="en_US" w:bidi="en_US"/>
        </w:rPr>
        <w:t xml:space="preserve"> came back </w:t>
      </w:r>
      <w:r>
        <w:rPr>
          <w:lang w:val="en_US" w:bidi="en_US"/>
        </w:rPr>
        <w:t>to Jesus</w:t>
      </w:r>
      <w:r>
        <w:rPr>
          <w:lang w:val="en_US" w:bidi="en_US"/>
        </w:rPr>
        <w:t xml:space="preserve"> joyfully. They said,</w:t>
      </w:r>
    </w:p>
    <w:p>
      <w:pPr>
        <w:pStyle w:val="ListBullet"/>
        <w:spacing w:line="240" w:lineRule="auto"/>
        <w:ind w:left="720"/>
      </w:pPr>
      <w:r>
        <w:rPr>
          <w:lang w:val="en_US" w:bidi="en_US"/>
        </w:rPr>
      </w:r>
      <w:r>
        <w:rPr>
          <w:lang w:val="en_US" w:bidi="en_US"/>
        </w:rPr>
        <w:t xml:space="preserve">¶ When the seventy-two </w:t>
      </w:r>
      <w:r>
        <w:rPr>
          <w:lang w:val="en_US" w:bidi="en_US"/>
        </w:rPr>
        <w:t>followers</w:t>
      </w:r>
      <w:r>
        <w:rPr>
          <w:lang w:val="en_US" w:bidi="en_US"/>
        </w:rPr>
        <w:t xml:space="preserve"> returned </w:t>
      </w:r>
      <w:r>
        <w:rPr>
          <w:lang w:val="en_US" w:bidi="en_US"/>
        </w:rPr>
        <w:t>from their trip</w:t>
      </w:r>
      <w:r>
        <w:rPr>
          <w:lang w:val="en_US" w:bidi="en_US"/>
        </w:rPr>
        <w:t xml:space="preserve">, they were very happy </w:t>
      </w:r>
      <w:r>
        <w:rPr>
          <w:lang w:val="en_US" w:bidi="en_US"/>
        </w:rPr>
        <w:t>because of what had happened</w:t>
      </w:r>
      <w:r>
        <w:rPr>
          <w:lang w:val="en_US" w:bidi="en_US"/>
        </w:rPr>
        <w:t xml:space="preserve">. And they said </w:t>
      </w:r>
      <w:r>
        <w:rPr>
          <w:lang w:val="en_US" w:bidi="en_US"/>
        </w:rPr>
        <w:t>to Jesus</w:t>
      </w:r>
      <w:r>
        <w:rPr>
          <w:lang w:val="en_US" w:bidi="en_US"/>
        </w:rPr>
        <w:t>,</w:t>
      </w:r>
    </w:p>
    <w:p>
      <w:pPr/>
      <w:r>
        <w:rPr>
          <w:lang w:val="en_US" w:bidi="en_US"/>
        </w:rPr>
      </w:r>
      <w:r>
        <w:rPr>
          <w:b/>
          <w:lang w:val="en_US" w:bidi="en_US"/>
        </w:rPr>
        <w:t>The seventy-two returned with joy:</w:t>
      </w:r>
      <w:r>
        <w:rPr>
          <w:lang w:val="en_US" w:bidi="en_US"/>
        </w:rPr>
        <w:t xml:space="preserve"> Here is another way to translate this:</w:t>
      </w:r>
    </w:p>
    <w:p>
      <w:pPr/>
      <w:r>
        <w:rPr>
          <w:lang w:val="en_US" w:bidi="en_US"/>
        </w:rPr>
      </w:r>
      <w:r>
        <w:rPr>
          <w:lang w:val="en_US" w:bidi="en_US"/>
        </w:rPr>
        <w:t>When the seventy-two came back, they were very happy (NCV)</w:t>
      </w:r>
    </w:p>
    <w:p>
      <w:pPr/>
      <w:r>
        <w:rPr>
          <w:lang w:val="en_US" w:bidi="en_US"/>
        </w:rPr>
      </w:r>
      <w:r>
        <w:rPr>
          <w:b/>
          <w:lang w:val="en_US" w:bidi="en_US"/>
        </w:rPr>
        <w:t>The seventy-two returned:</w:t>
      </w:r>
      <w:r>
        <w:rPr>
          <w:lang w:val="en_US" w:bidi="en_US"/>
        </w:rPr>
        <w:t xml:space="preserve"> In your translation, use the same number (seventy or seventy-two) that you used in 10:1a.</w:t>
      </w:r>
    </w:p>
    <w:p>
      <w:pPr/>
      <w:r>
        <w:rPr>
          <w:lang w:val="en_US" w:bidi="en_US"/>
        </w:rPr>
      </w:r>
      <w:r>
        <w:rPr>
          <w:lang w:val="en_US" w:bidi="en_US"/>
        </w:rPr>
        <w:t>It is implied that some time passed between 10:16 and 10:17. See the General Comment on 10:16e. Some ways to indicate this are:</w:t>
      </w:r>
    </w:p>
    <w:p>
      <w:pPr/>
      <w:r>
        <w:rPr>
          <w:lang w:val="en_US" w:bidi="en_US"/>
        </w:rPr>
      </w:r>
      <w:r>
        <w:rPr>
          <w:lang w:val="en_US" w:bidi="en_US"/>
        </w:rPr>
        <w:t>When the seventy-two disciples returned (NLT)</w:t>
      </w:r>
    </w:p>
    <w:p>
      <w:pPr/>
      <w:r>
        <w:rPr>
          <w:lang w:val="en_US" w:bidi="en_US"/>
        </w:rPr>
      </w:r>
      <w:r>
        <w:rPr>
          <w:lang w:val="en_US" w:bidi="en_US"/>
        </w:rPr>
        <w:t>Some time later</w:t>
      </w:r>
      <w:r>
        <w:rPr>
          <w:lang w:val="en_US" w:bidi="en_US"/>
        </w:rPr>
        <w:t xml:space="preserve"> Jesus’ seventy-two followers returned </w:t>
      </w:r>
      <w:r>
        <w:rPr>
          <w:lang w:val="en_US" w:bidi="en_US"/>
        </w:rPr>
        <w:t>from their trip</w:t>
      </w:r>
    </w:p>
    <w:p>
      <w:pPr/>
      <w:r>
        <w:rPr>
          <w:lang w:val="en_US" w:bidi="en_US"/>
        </w:rPr>
      </w:r>
      <w:r>
        <w:rPr>
          <w:lang w:val="en_US" w:bidi="en_US"/>
        </w:rPr>
        <w:t>After</w:t>
      </w:r>
      <w:r>
        <w:rPr>
          <w:lang w:val="en_US" w:bidi="en_US"/>
        </w:rPr>
        <w:t xml:space="preserve"> Jesus’ seventy-two disciples </w:t>
      </w:r>
      <w:r>
        <w:rPr>
          <w:lang w:val="en_US" w:bidi="en_US"/>
        </w:rPr>
        <w:t>did what Jesus had instructed them, they</w:t>
      </w:r>
      <w:r>
        <w:rPr>
          <w:lang w:val="en_US" w:bidi="en_US"/>
        </w:rPr>
        <w:t xml:space="preserve"> returned</w:t>
      </w:r>
    </w:p>
    <w:p>
      <w:pPr/>
      <w:r>
        <w:rPr>
          <w:lang w:val="en_US" w:bidi="en_US"/>
        </w:rPr>
      </w:r>
      <w:r>
        <w:rPr>
          <w:b/>
          <w:lang w:val="en_US" w:bidi="en_US"/>
        </w:rPr>
        <w:t>returned with joy</w:t>
      </w:r>
      <w:r>
        <w:rPr>
          <w:lang w:val="en_US" w:bidi="en_US"/>
        </w:rPr>
        <w:t xml:space="preserve"> The context implies that they were happy because of what they had been able to do on their trip. In some languages it may be necessary to make this more explicit. For example:</w:t>
      </w:r>
    </w:p>
    <w:p>
      <w:pPr/>
      <w:r>
        <w:rPr>
          <w:lang w:val="en_US" w:bidi="en_US"/>
        </w:rPr>
      </w:r>
      <w:r>
        <w:rPr>
          <w:lang w:val="en_US" w:bidi="en_US"/>
        </w:rPr>
        <w:t xml:space="preserve">returned, rejoicing </w:t>
      </w:r>
      <w:r>
        <w:rPr>
          <w:lang w:val="en_US" w:bidi="en_US"/>
        </w:rPr>
        <w:t>about what had happened on their trip</w:t>
      </w:r>
    </w:p>
    <w:p>
      <w:pPr>
        <w:pStyle w:val="Heading5"/>
      </w:pPr>
      <w:r>
        <w:rPr>
          <w:lang w:val="en_US" w:bidi="en_US"/>
        </w:rPr>
        <w:t>10:17b</w:t>
      </w:r>
    </w:p>
    <w:p>
      <w:pPr/>
      <w:r>
        <w:rPr>
          <w:lang w:val="en_US" w:bidi="en_US"/>
        </w:rPr>
      </w:r>
      <w:r>
        <w:rPr>
          <w:b/>
          <w:lang w:val="en_US" w:bidi="en_US"/>
        </w:rPr>
        <w:t>“Lord, even the demons submit to us in Your name.”</w:t>
      </w:r>
    </w:p>
    <w:p>
      <w:pPr>
        <w:pStyle w:val="ListBullet"/>
        <w:spacing w:line="240" w:lineRule="auto"/>
        <w:ind w:left="720"/>
      </w:pPr>
      <w:r>
        <w:rPr>
          <w:lang w:val="en_US" w:bidi="en_US"/>
        </w:rPr>
      </w:r>
      <w:r>
        <w:rPr>
          <w:lang w:val="en_US" w:bidi="en_US"/>
        </w:rPr>
        <w:t>“Lord/Master, the evil spirits themselves obey us</w:t>
      </w:r>
      <w:r>
        <w:rPr>
          <w:vertAlign w:val="superscript"/>
          <w:lang w:val="en_US" w:bidi="en_US"/>
        </w:rPr>
        <w:t>(excl)</w:t>
      </w:r>
      <w:r>
        <w:rPr>
          <w:lang w:val="en_US" w:bidi="en_US"/>
        </w:rPr>
        <w:t xml:space="preserve"> when we use your name/authority </w:t>
      </w:r>
      <w:r>
        <w:rPr>
          <w:lang w:val="en_US" w:bidi="en_US"/>
        </w:rPr>
        <w:t>to command them to leave people</w:t>
      </w:r>
      <w:r>
        <w:rPr>
          <w:lang w:val="en_US" w:bidi="en_US"/>
        </w:rPr>
        <w:t>.”</w:t>
      </w:r>
    </w:p>
    <w:p>
      <w:pPr>
        <w:pStyle w:val="ListBullet"/>
        <w:spacing w:line="240" w:lineRule="auto"/>
        <w:ind w:left="720"/>
      </w:pPr>
      <w:r>
        <w:rPr>
          <w:lang w:val="en_US" w:bidi="en_US"/>
        </w:rPr>
      </w:r>
      <w:r>
        <w:rPr>
          <w:lang w:val="en_US" w:bidi="en_US"/>
        </w:rPr>
        <w:t xml:space="preserve">“Lord, we were even able to force demons to leave </w:t>
      </w:r>
      <w:r>
        <w:rPr>
          <w:lang w:val="en_US" w:bidi="en_US"/>
        </w:rPr>
        <w:t>people</w:t>
      </w:r>
      <w:r>
        <w:rPr>
          <w:lang w:val="en_US" w:bidi="en_US"/>
        </w:rPr>
        <w:t xml:space="preserve"> when we</w:t>
      </w:r>
      <w:r>
        <w:rPr>
          <w:vertAlign w:val="superscript"/>
          <w:lang w:val="en_US" w:bidi="en_US"/>
        </w:rPr>
        <w:t>(excl)</w:t>
      </w:r>
      <w:r>
        <w:rPr>
          <w:lang w:val="en_US" w:bidi="en_US"/>
        </w:rPr>
        <w:t xml:space="preserve"> </w:t>
      </w:r>
      <w:r>
        <w:rPr>
          <w:lang w:val="en_US" w:bidi="en_US"/>
        </w:rPr>
        <w:t>commanded them</w:t>
      </w:r>
      <w:r>
        <w:rPr>
          <w:lang w:val="en_US" w:bidi="en_US"/>
        </w:rPr>
        <w:t xml:space="preserve"> with the authority/power of your</w:t>
      </w:r>
      <w:r>
        <w:rPr>
          <w:vertAlign w:val="superscript"/>
          <w:lang w:val="en_US" w:bidi="en_US"/>
        </w:rPr>
        <w:t>(sing)</w:t>
      </w:r>
      <w:r>
        <w:rPr>
          <w:lang w:val="en_US" w:bidi="en_US"/>
        </w:rPr>
        <w:t xml:space="preserve"> name </w:t>
      </w:r>
      <w:r>
        <w:rPr>
          <w:lang w:val="en_US" w:bidi="en_US"/>
        </w:rPr>
        <w:t>to leave</w:t>
      </w:r>
      <w:r>
        <w:rPr>
          <w:lang w:val="en_US" w:bidi="en_US"/>
        </w:rPr>
        <w:t>!”</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was a polite way to address someone who had authority, such as a religious leader. It means “lord” or “master.” It is also a word that the Jews used to address God. It is not the same Greek word as the word translated as “Master” in 9:49a. But in some languages, it may be natural to use the same term of address for “Master,” “Teacher,” and “Lord.” See how you translated this term in 9:54b. See also Lord, Context 3, in the Glossary.</w:t>
      </w:r>
    </w:p>
    <w:p>
      <w:pPr/>
      <w:r>
        <w:rPr>
          <w:lang w:val="en_US" w:bidi="en_US"/>
        </w:rPr>
      </w:r>
      <w:r>
        <w:rPr>
          <w:b/>
          <w:lang w:val="en_US" w:bidi="en_US"/>
        </w:rPr>
        <w:t>even the demons submit to us in Your name:</w:t>
      </w:r>
      <w:r>
        <w:rPr>
          <w:lang w:val="en_US" w:bidi="en_US"/>
        </w:rPr>
        <w:t xml:space="preserve"> In this context the clause </w:t>
      </w:r>
      <w:r>
        <w:rPr>
          <w:i/>
          <w:lang w:val="en_US" w:bidi="en_US"/>
        </w:rPr>
        <w:t>the demons submit to us in Your name</w:t>
      </w:r>
      <w:r>
        <w:rPr>
          <w:lang w:val="en_US" w:bidi="en_US"/>
        </w:rPr>
        <w:t xml:space="preserve"> indicates that the demons recognized that Jesus had given authority to the disciples. That is why the demons obeyed them. When the disciples used the power of Jesus’ name to command the demons to leave someone, the demons obeyed and left that person. Another way to translate this is:</w:t>
      </w:r>
    </w:p>
    <w:p>
      <w:pPr/>
      <w:r>
        <w:rPr>
          <w:lang w:val="en_US" w:bidi="en_US"/>
        </w:rPr>
      </w:r>
      <w:r>
        <w:rPr>
          <w:lang w:val="en_US" w:bidi="en_US"/>
        </w:rPr>
        <w:t>even the demons obeyed us when we used your name (NCV)</w:t>
      </w:r>
    </w:p>
    <w:p>
      <w:pPr/>
      <w:r>
        <w:rPr>
          <w:lang w:val="en_US" w:bidi="en_US"/>
        </w:rPr>
      </w:r>
      <w:r>
        <w:rPr>
          <w:b/>
          <w:lang w:val="en_US" w:bidi="en_US"/>
        </w:rPr>
        <w:t>even the demons:</w:t>
      </w:r>
      <w:r>
        <w:rPr>
          <w:lang w:val="en_US" w:bidi="en_US"/>
        </w:rPr>
        <w:t xml:space="preserve"> The word </w:t>
      </w:r>
      <w:r>
        <w:rPr>
          <w:i/>
          <w:lang w:val="en_US" w:bidi="en_US"/>
        </w:rPr>
        <w:t>even</w:t>
      </w:r>
      <w:r>
        <w:rPr>
          <w:lang w:val="en_US" w:bidi="en_US"/>
        </w:rPr>
        <w:t xml:space="preserve"> here implies that the disciples were especially surprised and pleased that </w:t>
      </w:r>
      <w:r>
        <w:rPr>
          <w:u w:val="single"/>
          <w:lang w:val="en_US" w:bidi="en_US"/>
        </w:rPr>
        <w:t>demons</w:t>
      </w:r>
      <w:r>
        <w:rPr>
          <w:lang w:val="en_US" w:bidi="en_US"/>
        </w:rPr>
        <w:t xml:space="preserve"> submitted to them. They may have expected to be able to heal people, but they may not have expected to be able to cast demons out of people.</w:t>
      </w:r>
    </w:p>
    <w:p>
      <w:pPr/>
      <w:r>
        <w:rPr>
          <w:lang w:val="en_US" w:bidi="en_US"/>
        </w:rPr>
      </w:r>
      <w:r>
        <w:rPr>
          <w:b/>
          <w:lang w:val="en_US" w:bidi="en_US"/>
        </w:rPr>
        <w:t>demons:</w:t>
      </w:r>
      <w:r>
        <w:rPr>
          <w:lang w:val="en_US" w:bidi="en_US"/>
        </w:rPr>
        <w:t xml:space="preserve"> The Greek word that the BSB translates as </w:t>
      </w:r>
      <w:r>
        <w:rPr>
          <w:i/>
          <w:lang w:val="en_US" w:bidi="en_US"/>
        </w:rPr>
        <w:t>demons</w:t>
      </w:r>
      <w:r>
        <w:rPr>
          <w:lang w:val="en_US" w:bidi="en_US"/>
        </w:rPr>
        <w:t xml:space="preserve"> refers to spirits that are evil and can control people’s actions. The word </w:t>
      </w:r>
      <w:r>
        <w:rPr>
          <w:i/>
          <w:lang w:val="en_US" w:bidi="en_US"/>
        </w:rPr>
        <w:t>demons</w:t>
      </w:r>
      <w:r>
        <w:rPr>
          <w:lang w:val="en_US" w:bidi="en_US"/>
        </w:rPr>
        <w:t xml:space="preserve"> refers to the same type of spirit as the Greek terms that are often translated as “evil spirits” and “unclean spirits.”</w:t>
      </w:r>
    </w:p>
    <w:p>
      <w:pPr/>
      <w:r>
        <w:rPr>
          <w:lang w:val="en_US" w:bidi="en_US"/>
        </w:rPr>
      </w:r>
      <w:r>
        <w:rPr>
          <w:lang w:val="en_US" w:bidi="en_US"/>
        </w:rPr>
        <w:t xml:space="preserve">Some ways to translate </w:t>
      </w:r>
      <w:r>
        <w:rPr>
          <w:i/>
          <w:lang w:val="en_US" w:bidi="en_US"/>
        </w:rPr>
        <w:t>demons</w:t>
      </w:r>
      <w:r>
        <w:rPr>
          <w:lang w:val="en_US" w:bidi="en_US"/>
        </w:rPr>
        <w:t xml:space="preserve"> are:</w:t>
      </w:r>
    </w:p>
    <w:p>
      <w:pPr>
        <w:pStyle w:val="ListBullet"/>
        <w:spacing w:line="240" w:lineRule="auto"/>
        <w:ind w:left="720"/>
      </w:pPr>
      <w:r>
        <w:rPr>
          <w:lang w:val="en_US" w:bidi="en_US"/>
        </w:rPr>
      </w:r>
      <w:r>
        <w:rPr>
          <w:lang w:val="en_US" w:bidi="en_US"/>
        </w:rPr>
        <w:t xml:space="preserve">Use </w:t>
      </w:r>
      <w:r>
        <w:rPr>
          <w:u w:val="single"/>
          <w:lang w:val="en_US" w:bidi="en_US"/>
        </w:rPr>
        <w:t>a general term in your language</w:t>
      </w:r>
      <w:r>
        <w:rPr>
          <w:lang w:val="en_US" w:bidi="en_US"/>
        </w:rPr>
        <w:t xml:space="preserve"> that refers to spirits that are evil and can control people.</w:t>
      </w:r>
    </w:p>
    <w:p>
      <w:pPr>
        <w:pStyle w:val="ListBullet"/>
        <w:spacing w:line="240" w:lineRule="auto"/>
        <w:ind w:left="720"/>
      </w:pPr>
      <w:r>
        <w:rPr>
          <w:lang w:val="en_US" w:bidi="en_US"/>
        </w:rPr>
      </w:r>
      <w:r>
        <w:rPr>
          <w:lang w:val="en_US" w:bidi="en_US"/>
        </w:rPr>
        <w:t xml:space="preserve">Use </w:t>
      </w:r>
      <w:r>
        <w:rPr>
          <w:u w:val="single"/>
          <w:lang w:val="en_US" w:bidi="en_US"/>
        </w:rPr>
        <w:t>a specific term in your language</w:t>
      </w:r>
      <w:r>
        <w:rPr>
          <w:lang w:val="en_US" w:bidi="en_US"/>
        </w:rPr>
        <w:t xml:space="preserve"> that refers to a certain type of spirit. These spirits should be able to do evil things. Do not use a term that refers to spirits of dead people.</w:t>
      </w:r>
    </w:p>
    <w:p>
      <w:pPr>
        <w:pStyle w:val="ListBullet"/>
        <w:spacing w:line="240" w:lineRule="auto"/>
        <w:ind w:left="720"/>
      </w:pPr>
      <w:r>
        <w:rPr>
          <w:lang w:val="en_US" w:bidi="en_US"/>
        </w:rPr>
      </w:r>
      <w:r>
        <w:rPr>
          <w:lang w:val="en_US" w:bidi="en_US"/>
        </w:rPr>
        <w:t xml:space="preserve">Use </w:t>
      </w:r>
      <w:r>
        <w:rPr>
          <w:u w:val="single"/>
          <w:lang w:val="en_US" w:bidi="en_US"/>
        </w:rPr>
        <w:t>a descriptive phrase</w:t>
      </w:r>
      <w:r>
        <w:rPr>
          <w:lang w:val="en_US" w:bidi="en_US"/>
        </w:rPr>
        <w:t>. For example:</w:t>
      </w:r>
      <w:r>
        <w:rPr>
          <w:lang w:val="en_US" w:bidi="en_US"/>
        </w:rPr>
        <w:t>evil/bad spirits</w:t>
      </w:r>
      <w:r>
        <w:rPr>
          <w:lang w:val="en_US" w:bidi="en_US"/>
        </w:rPr>
        <w:t xml:space="preserve">unclean spirits </w:t>
      </w:r>
      <w:r>
        <w:rPr>
          <w:i/>
          <w:lang w:val="en_US" w:bidi="en_US"/>
        </w:rPr>
        <w:t>Be sure that an expression like “unclean spirits” does not imply that the spirits are literally dirty.</w:t>
      </w:r>
    </w:p>
    <w:p>
      <w:pPr/>
      <w:r>
        <w:rPr>
          <w:lang w:val="en_US" w:bidi="en_US"/>
        </w:rPr>
      </w:r>
      <w:r>
        <w:rPr>
          <w:lang w:val="en_US" w:bidi="en_US"/>
        </w:rPr>
        <w:t xml:space="preserve">See how you translated </w:t>
      </w:r>
      <w:r>
        <w:rPr>
          <w:i/>
          <w:lang w:val="en_US" w:bidi="en_US"/>
        </w:rPr>
        <w:t>demons</w:t>
      </w:r>
      <w:r>
        <w:rPr>
          <w:lang w:val="en_US" w:bidi="en_US"/>
        </w:rPr>
        <w:t xml:space="preserve"> in 8:32b. See demon in the Glossary for more information.</w:t>
      </w:r>
    </w:p>
    <w:p>
      <w:pPr/>
      <w:r>
        <w:rPr>
          <w:lang w:val="en_US" w:bidi="en_US"/>
        </w:rPr>
      </w:r>
      <w:r>
        <w:rPr>
          <w:b/>
          <w:lang w:val="en_US" w:bidi="en_US"/>
        </w:rPr>
        <w:t>submit to us:</w:t>
      </w:r>
      <w:r>
        <w:rPr>
          <w:lang w:val="en_US" w:bidi="en_US"/>
        </w:rPr>
        <w:t xml:space="preserve"> The Greek verb that the BSB translates as </w:t>
      </w:r>
      <w:r>
        <w:rPr>
          <w:i/>
          <w:lang w:val="en_US" w:bidi="en_US"/>
        </w:rPr>
        <w:t>submit</w:t>
      </w:r>
      <w:r>
        <w:rPr>
          <w:lang w:val="en_US" w:bidi="en_US"/>
        </w:rPr>
        <w:t xml:space="preserve"> is in the present tense. This may indicate that the disciples were talking excitedly, as if the events were still happening. The disciples may also have been stating a general principle. Some English versions use the present tense, and others use the past tense. You may use whatever is natural in your language when people are telling about experiences that they have had.</w:t>
      </w:r>
    </w:p>
    <w:p>
      <w:pPr/>
      <w:r>
        <w:rPr>
          <w:lang w:val="en_US" w:bidi="en_US"/>
        </w:rPr>
      </w:r>
      <w:r>
        <w:rPr>
          <w:b/>
          <w:lang w:val="en_US" w:bidi="en_US"/>
        </w:rPr>
        <w:t>in Your name:</w:t>
      </w:r>
      <w:r>
        <w:rPr>
          <w:lang w:val="en_US" w:bidi="en_US"/>
        </w:rPr>
        <w:t xml:space="preserve"> The phrase </w:t>
      </w:r>
      <w:r>
        <w:rPr>
          <w:i/>
          <w:lang w:val="en_US" w:bidi="en_US"/>
        </w:rPr>
        <w:t>in Your name</w:t>
      </w:r>
      <w:r>
        <w:rPr>
          <w:lang w:val="en_US" w:bidi="en_US"/>
        </w:rPr>
        <w:t xml:space="preserve"> refers to invoking or using Jesus’ name to do something. It implies the power and authority that is associated with Jesus and his name. In this context the disciples were using Jesus’ name to make the demons submit to them. It is important to make this clear. Your translation should not imply that the demons were using Jesus’ name as they submitted to the disciples. Other ways to translate this are:</w:t>
      </w:r>
    </w:p>
    <w:p>
      <w:pPr/>
      <w:r>
        <w:rPr>
          <w:lang w:val="en_US" w:bidi="en_US"/>
        </w:rPr>
      </w:r>
      <w:r>
        <w:rPr>
          <w:lang w:val="en_US" w:bidi="en_US"/>
        </w:rPr>
        <w:t>when we used your name (NCV)</w:t>
      </w:r>
    </w:p>
    <w:p>
      <w:pPr/>
      <w:r>
        <w:rPr>
          <w:lang w:val="en_US" w:bidi="en_US"/>
        </w:rPr>
      </w:r>
      <w:r>
        <w:rPr>
          <w:lang w:val="en_US" w:bidi="en_US"/>
        </w:rPr>
        <w:t>when we gave them a command in your name (GNT)</w:t>
      </w:r>
    </w:p>
    <w:p>
      <w:pPr/>
      <w:r>
        <w:rPr>
          <w:lang w:val="en_US" w:bidi="en_US"/>
        </w:rPr>
      </w:r>
      <w:r>
        <w:rPr>
          <w:lang w:val="en_US" w:bidi="en_US"/>
        </w:rPr>
        <w:t>when we use the power and authority of your name (GW)</w:t>
      </w:r>
    </w:p>
    <w:p>
      <w:pPr/>
      <w:r>
        <w:rPr>
          <w:lang w:val="en_US" w:bidi="en_US"/>
        </w:rPr>
      </w:r>
      <w:r>
        <w:rPr>
          <w:lang w:val="en_US" w:bidi="en_US"/>
        </w:rPr>
        <w:t>when we command/commanded them to leave through your power</w:t>
      </w:r>
    </w:p>
    <w:p>
      <w:pPr/>
      <w:r>
        <w:rPr>
          <w:lang w:val="en_US" w:bidi="en_US"/>
        </w:rPr>
      </w:r>
      <w:r>
        <w:rPr>
          <w:lang w:val="en_US" w:bidi="en_US"/>
        </w:rPr>
        <w:t>See how you translated the phrase “in Your name” in a similar context in 9:49a.</w:t>
      </w:r>
      <w:r>
        <w:rPr>
          <w:lang w:val="en_US" w:bidi="en_US"/>
        </w:rPr>
      </w:r>
      <w:r>
        <w:rPr>
          <w:lang w:val="en_US" w:bidi="en_US"/>
        </w:rPr>
      </w:r>
    </w:p>
    <w:p>
      <w:pPr/>
      <w:r>
        <w:rPr>
          <w:lang w:val="en_US" w:bidi="en_US"/>
        </w:rPr>
      </w:r>
    </w:p>
    <w:p>
      <w:pPr>
        <w:pStyle w:val="Heading2"/>
      </w:pPr>
      <w:r>
        <w:rPr>
          <w:lang w:val="en_US" w:bidi="en_US"/>
        </w:rPr>
        <w:t>Luke 10:18</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5"/>
      </w:pPr>
      <w:r>
        <w:rPr>
          <w:lang w:val="en_US" w:bidi="en_US"/>
        </w:rPr>
        <w:t>10:18a</w:t>
      </w:r>
    </w:p>
    <w:p>
      <w:pPr/>
      <w:r>
        <w:rPr>
          <w:lang w:val="en_US" w:bidi="en_US"/>
        </w:rPr>
      </w:r>
      <w:r>
        <w:rPr>
          <w:b/>
          <w:lang w:val="en_US" w:bidi="en_US"/>
        </w:rPr>
        <w:t>So He told them,</w:t>
      </w:r>
    </w:p>
    <w:p>
      <w:pPr>
        <w:pStyle w:val="ListBullet"/>
        <w:spacing w:line="240" w:lineRule="auto"/>
        <w:ind w:left="720"/>
      </w:pPr>
      <w:r>
        <w:rPr>
          <w:lang w:val="en_US" w:bidi="en_US"/>
        </w:rPr>
      </w:r>
      <w:r>
        <w:rPr>
          <w:lang w:val="en_US" w:bidi="en_US"/>
        </w:rPr>
        <w:t>And he/Jesus said/responded to them,</w:t>
      </w:r>
    </w:p>
    <w:p>
      <w:pPr>
        <w:pStyle w:val="ListBullet"/>
        <w:spacing w:line="240" w:lineRule="auto"/>
        <w:ind w:left="720"/>
      </w:pPr>
      <w:r>
        <w:rPr>
          <w:lang w:val="en_US" w:bidi="en_US"/>
        </w:rPr>
      </w:r>
      <w:r>
        <w:rPr>
          <w:lang w:val="en_US" w:bidi="en_US"/>
        </w:rPr>
        <w:t>Jesus responded,</w:t>
      </w:r>
    </w:p>
    <w:p>
      <w:pPr>
        <w:pStyle w:val="Heading5"/>
      </w:pPr>
      <w:r>
        <w:rPr>
          <w:lang w:val="en_US" w:bidi="en_US"/>
        </w:rPr>
        <w:t>10:18b</w:t>
      </w:r>
    </w:p>
    <w:p>
      <w:pPr/>
      <w:r>
        <w:rPr>
          <w:lang w:val="en_US" w:bidi="en_US"/>
        </w:rPr>
      </w:r>
      <w:r>
        <w:rPr>
          <w:b/>
          <w:lang w:val="en_US" w:bidi="en_US"/>
        </w:rPr>
        <w:t>“I saw Satan fall like lightning from heaven.</w:t>
      </w:r>
    </w:p>
    <w:p>
      <w:pPr>
        <w:pStyle w:val="ListBullet"/>
        <w:spacing w:line="240" w:lineRule="auto"/>
        <w:ind w:left="720"/>
      </w:pPr>
      <w:r>
        <w:rPr>
          <w:lang w:val="en_US" w:bidi="en_US"/>
        </w:rPr>
      </w:r>
      <w:r>
        <w:rPr>
          <w:lang w:val="en_US" w:bidi="en_US"/>
        </w:rPr>
        <w:t>“</w:t>
      </w:r>
      <w:r>
        <w:rPr>
          <w:lang w:val="en_US" w:bidi="en_US"/>
        </w:rPr>
        <w:t>Yes,</w:t>
      </w:r>
      <w:r>
        <w:rPr>
          <w:lang w:val="en_US" w:bidi="en_US"/>
        </w:rPr>
        <w:t xml:space="preserve"> I saw/watched Satan falling from heaven as </w:t>
      </w:r>
      <w:r>
        <w:rPr>
          <w:lang w:val="en_US" w:bidi="en_US"/>
        </w:rPr>
        <w:t>swiftly as a flash of</w:t>
      </w:r>
      <w:r>
        <w:rPr>
          <w:lang w:val="en_US" w:bidi="en_US"/>
        </w:rPr>
        <w:t xml:space="preserve"> lightning.</w:t>
      </w:r>
    </w:p>
    <w:p>
      <w:pPr>
        <w:pStyle w:val="ListBullet"/>
        <w:spacing w:line="240" w:lineRule="auto"/>
        <w:ind w:left="720"/>
      </w:pPr>
      <w:r>
        <w:rPr>
          <w:lang w:val="en_US" w:bidi="en_US"/>
        </w:rPr>
      </w:r>
      <w:r>
        <w:rPr>
          <w:lang w:val="en_US" w:bidi="en_US"/>
        </w:rPr>
        <w:t>“</w:t>
      </w:r>
      <w:r>
        <w:rPr>
          <w:lang w:val="en_US" w:bidi="en_US"/>
        </w:rPr>
        <w:t>I know.</w:t>
      </w:r>
      <w:r>
        <w:rPr>
          <w:lang w:val="en_US" w:bidi="en_US"/>
        </w:rPr>
        <w:t xml:space="preserve"> </w:t>
      </w:r>
      <w:r>
        <w:rPr>
          <w:lang w:val="en_US" w:bidi="en_US"/>
        </w:rPr>
        <w:t>When the demons obeyed you,</w:t>
      </w:r>
      <w:r>
        <w:rPr>
          <w:lang w:val="en_US" w:bidi="en_US"/>
        </w:rPr>
        <w:t xml:space="preserve"> I perceived Satan </w:t>
      </w:r>
      <w:r>
        <w:rPr>
          <w:lang w:val="en_US" w:bidi="en_US"/>
        </w:rPr>
        <w:t>and his demons</w:t>
      </w:r>
      <w:r>
        <w:rPr>
          <w:lang w:val="en_US" w:bidi="en_US"/>
        </w:rPr>
        <w:t xml:space="preserve"> </w:t>
      </w:r>
      <w:r>
        <w:rPr>
          <w:lang w:val="en_US" w:bidi="en_US"/>
        </w:rPr>
        <w:t>suddenly</w:t>
      </w:r>
      <w:r>
        <w:rPr>
          <w:lang w:val="en_US" w:bidi="en_US"/>
        </w:rPr>
        <w:t xml:space="preserve"> falling from heaven like lightning </w:t>
      </w:r>
      <w:r>
        <w:rPr>
          <w:lang w:val="en_US" w:bidi="en_US"/>
        </w:rPr>
        <w:t>flashes/strikes</w:t>
      </w:r>
      <w:r>
        <w:rPr>
          <w:lang w:val="en_US" w:bidi="en_US"/>
        </w:rPr>
        <w:t>.</w:t>
      </w:r>
    </w:p>
    <w:p>
      <w:pPr>
        <w:pStyle w:val="Heading5"/>
      </w:pPr>
      <w:r>
        <w:rPr>
          <w:lang w:val="en_US" w:bidi="en_US"/>
        </w:rPr>
        <w:t>10:18a–b</w:t>
      </w:r>
    </w:p>
    <w:p>
      <w:pPr/>
      <w:r>
        <w:rPr>
          <w:lang w:val="en_US" w:bidi="en_US"/>
        </w:rPr>
      </w:r>
      <w:r>
        <w:rPr>
          <w:b/>
          <w:lang w:val="en_US" w:bidi="en_US"/>
        </w:rPr>
        <w:t>So He told them, “I saw Satan fall…”:</w:t>
      </w:r>
      <w:r>
        <w:rPr>
          <w:lang w:val="en_US" w:bidi="en_US"/>
        </w:rPr>
        <w:t xml:space="preserve"> The clause that the BSB translates as </w:t>
      </w:r>
      <w:r>
        <w:rPr>
          <w:i/>
          <w:lang w:val="en_US" w:bidi="en_US"/>
        </w:rPr>
        <w:t>So He told them</w:t>
      </w:r>
      <w:r>
        <w:rPr>
          <w:lang w:val="en_US" w:bidi="en_US"/>
        </w:rPr>
        <w:t xml:space="preserve"> is literally “And he said to them.” In this verse Jesus responded to what the disciples said in 10:17 about casting out demons.</w:t>
      </w:r>
    </w:p>
    <w:p>
      <w:pPr/>
      <w:r>
        <w:rPr>
          <w:lang w:val="en_US" w:bidi="en_US"/>
        </w:rPr>
      </w:r>
      <w:r>
        <w:rPr>
          <w:lang w:val="en_US" w:bidi="en_US"/>
        </w:rPr>
        <w:t>Jesus implied that when the disciples cast demons out of people, Jesus/God was defeating Satan. Jesus probably also implied that the disciples were able to cast the demons out because Jesus already had power over Satan. In the future Jesus would completely destroy Satan’s power.</w:t>
      </w:r>
    </w:p>
    <w:p>
      <w:pPr/>
      <w:r>
        <w:rPr>
          <w:lang w:val="en_US" w:bidi="en_US"/>
        </w:rPr>
      </w:r>
      <w:r>
        <w:rPr>
          <w:lang w:val="en_US" w:bidi="en_US"/>
        </w:rPr>
        <w:t>In some languages it may seem that in 10:18 Jesus did not respond to what the disciples had just said. It may be necessary to make explicit that Jesus was saying something about the same topic. For example:</w:t>
      </w:r>
    </w:p>
    <w:p>
      <w:pPr/>
      <w:r>
        <w:rPr>
          <w:lang w:val="en_US" w:bidi="en_US"/>
        </w:rPr>
      </w:r>
      <w:r>
        <w:rPr>
          <w:lang w:val="en_US" w:bidi="en_US"/>
        </w:rPr>
        <w:t>Jesus responded, “</w:t>
      </w:r>
      <w:r>
        <w:rPr>
          <w:lang w:val="en_US" w:bidi="en_US"/>
        </w:rPr>
        <w:t>Yes,</w:t>
      </w:r>
      <w:r>
        <w:rPr>
          <w:lang w:val="en_US" w:bidi="en_US"/>
        </w:rPr>
        <w:t>…”</w:t>
      </w:r>
    </w:p>
    <w:p>
      <w:pPr/>
      <w:r>
        <w:rPr>
          <w:lang w:val="en_US" w:bidi="en_US"/>
        </w:rPr>
      </w:r>
      <w:r>
        <w:rPr>
          <w:lang w:val="en_US" w:bidi="en_US"/>
        </w:rPr>
        <w:t xml:space="preserve">Jesus responded to their </w:t>
      </w:r>
      <w:r>
        <w:rPr>
          <w:lang w:val="en_US" w:bidi="en_US"/>
        </w:rPr>
        <w:t>statement</w:t>
      </w:r>
      <w:r>
        <w:rPr>
          <w:lang w:val="en_US" w:bidi="en_US"/>
        </w:rPr>
        <w:t xml:space="preserve"> by saying, “</w:t>
      </w:r>
      <w:r>
        <w:rPr>
          <w:lang w:val="en_US" w:bidi="en_US"/>
        </w:rPr>
        <w:t>I know,</w:t>
      </w:r>
      <w:r>
        <w:rPr>
          <w:lang w:val="en_US" w:bidi="en_US"/>
        </w:rPr>
        <w:t>…”</w:t>
      </w:r>
    </w:p>
    <w:p>
      <w:pPr/>
      <w:r>
        <w:rPr>
          <w:lang w:val="en_US" w:bidi="en_US"/>
        </w:rPr>
      </w:r>
      <w:r>
        <w:rPr>
          <w:lang w:val="en_US" w:bidi="en_US"/>
        </w:rPr>
        <w:t>Jesus replied, “</w:t>
      </w:r>
      <w:r>
        <w:rPr>
          <w:lang w:val="en_US" w:bidi="en_US"/>
        </w:rPr>
        <w:t>As you were doing that,</w:t>
      </w:r>
      <w:r>
        <w:rPr>
          <w:lang w:val="en_US" w:bidi="en_US"/>
        </w:rPr>
        <w:t xml:space="preserve"> I saw Satan fall…”</w:t>
      </w:r>
    </w:p>
    <w:p>
      <w:pPr/>
      <w:r>
        <w:rPr>
          <w:lang w:val="en_US" w:bidi="en_US"/>
        </w:rPr>
      </w:r>
      <w:r>
        <w:rPr>
          <w:b/>
          <w:lang w:val="en_US" w:bidi="en_US"/>
        </w:rPr>
        <w:t>I saw Satan fall like lightning from heaven:</w:t>
      </w:r>
      <w:r>
        <w:rPr>
          <w:lang w:val="en_US" w:bidi="en_US"/>
        </w:rPr>
        <w:t xml:space="preserve"> Scholars interpret this clause in different ways:</w:t>
      </w:r>
    </w:p>
    <w:p>
      <w:pPr>
        <w:pStyle w:val="ListNumber"/>
        <w:numPr>
          <w:ilvl w:val="0"/>
          <w:numId w:val="206"/>
        </w:numPr>
        <w:spacing w:line="240" w:lineRule="auto"/>
        <w:ind w:left="720"/>
      </w:pPr>
      <w:r>
        <w:rPr>
          <w:lang w:val="en_US" w:bidi="en_US"/>
        </w:rPr>
      </w:r>
      <w:r>
        <w:rPr>
          <w:lang w:val="en_US" w:bidi="en_US"/>
        </w:rPr>
        <w:t>Jesus was speaking figuratively about something that he knew had happened. He perceived that Satan had lost his power.</w:t>
      </w:r>
    </w:p>
    <w:p>
      <w:pPr>
        <w:pStyle w:val="ListNumber"/>
        <w:spacing w:line="240" w:lineRule="auto"/>
        <w:ind w:left="720"/>
      </w:pPr>
      <w:r>
        <w:rPr>
          <w:lang w:val="en_US" w:bidi="en_US"/>
        </w:rPr>
      </w:r>
      <w:r>
        <w:rPr>
          <w:lang w:val="en_US" w:bidi="en_US"/>
        </w:rPr>
        <w:t>Jesus was speaking literally about something that he actually saw. He may have seen it in a vision while he was on earth or he may have seen it before he became man.</w:t>
      </w:r>
    </w:p>
    <w:p>
      <w:pPr/>
      <w:r>
        <w:rPr>
          <w:lang w:val="en_US" w:bidi="en_US"/>
        </w:rPr>
      </w:r>
      <w:r>
        <w:rPr>
          <w:lang w:val="en_US" w:bidi="en_US"/>
        </w:rPr>
        <w:t>English versions do not indicate which interpretation they follow. It is recommended that you follow interpretation (1), along with a majority of Bible scholars. It is good if you can suggest in your translation that Jesus was speaking figuratively.</w:t>
      </w:r>
      <w:r>
        <w:rPr>
          <w:lang w:val="en_US" w:bidi="en_US"/>
        </w:rPr>
        <w:t>Satan’s fall began when God initially cast him out of heaven before God created people. Satan’s power was further weakened when Christ came to earth, cast demons out of people, and gave his followers the power to cast demons out of people. Jesus further weakened Satan’s power when he died and rose again. And Satan’s fall will be complete in the last days when God overcomes all evil. Jesus was apparently perceiving all of this when he thought about how his disciples were casting demons out of people.</w:t>
      </w:r>
      <w:r>
        <w:rPr>
          <w:lang w:val="en_US" w:bidi="en_US"/>
        </w:rPr>
        <w:t xml:space="preserve"> For example:</w:t>
      </w:r>
    </w:p>
    <w:p>
      <w:pPr/>
      <w:r>
        <w:rPr>
          <w:lang w:val="en_US" w:bidi="en_US"/>
        </w:rPr>
      </w:r>
      <w:r>
        <w:rPr>
          <w:lang w:val="en_US" w:bidi="en_US"/>
        </w:rPr>
        <w:t xml:space="preserve">I saw Satan </w:t>
      </w:r>
      <w:r>
        <w:rPr>
          <w:lang w:val="en_US" w:bidi="en_US"/>
        </w:rPr>
        <w:t>being defeated, as though he were</w:t>
      </w:r>
      <w:r>
        <w:rPr>
          <w:lang w:val="en_US" w:bidi="en_US"/>
        </w:rPr>
        <w:t xml:space="preserve"> falling out of heaven like lightning.</w:t>
      </w:r>
    </w:p>
    <w:p>
      <w:pPr/>
      <w:r>
        <w:rPr>
          <w:lang w:val="en_US" w:bidi="en_US"/>
        </w:rPr>
      </w:r>
      <w:r>
        <w:rPr>
          <w:lang w:val="en_US" w:bidi="en_US"/>
        </w:rPr>
        <w:t>See the note on “Satan fall like lightning from heaven” later in this part of the verse.</w:t>
      </w:r>
    </w:p>
    <w:p>
      <w:pPr/>
      <w:r>
        <w:rPr>
          <w:lang w:val="en_US" w:bidi="en_US"/>
        </w:rPr>
      </w:r>
      <w:r>
        <w:rPr>
          <w:b/>
          <w:lang w:val="en_US" w:bidi="en_US"/>
        </w:rPr>
        <w:t>I saw:</w:t>
      </w:r>
      <w:r>
        <w:rPr>
          <w:lang w:val="en_US" w:bidi="en_US"/>
        </w:rPr>
        <w:t xml:space="preserve"> The Greek verb that the BSB translates as </w:t>
      </w:r>
      <w:r>
        <w:rPr>
          <w:i/>
          <w:lang w:val="en_US" w:bidi="en_US"/>
        </w:rPr>
        <w:t>I saw</w:t>
      </w:r>
      <w:r>
        <w:rPr>
          <w:lang w:val="en_US" w:bidi="en_US"/>
        </w:rPr>
        <w:t xml:space="preserve"> is literally “I was observing” or “I watched.” This verb probably refers here to something that Jesus perceived (“saw” in his mind) while his disciples were casting demons out of people.</w:t>
      </w:r>
    </w:p>
    <w:p>
      <w:pPr/>
      <w:r>
        <w:rPr>
          <w:lang w:val="en_US" w:bidi="en_US"/>
        </w:rPr>
      </w:r>
      <w:r>
        <w:rPr>
          <w:b/>
          <w:lang w:val="en_US" w:bidi="en_US"/>
        </w:rPr>
        <w:t>Satan fall like lightning from heaven:</w:t>
      </w:r>
      <w:r>
        <w:rPr>
          <w:lang w:val="en_US" w:bidi="en_US"/>
        </w:rPr>
        <w:t xml:space="preserve"> The phrase </w:t>
      </w:r>
      <w:r>
        <w:rPr>
          <w:i/>
          <w:lang w:val="en_US" w:bidi="en_US"/>
        </w:rPr>
        <w:t>Satan fall like lightning from heaven</w:t>
      </w:r>
      <w:r>
        <w:rPr>
          <w:lang w:val="en_US" w:bidi="en_US"/>
        </w:rPr>
        <w:t xml:space="preserve"> is a simile. This simile compares Satan’s </w:t>
      </w:r>
      <w:r>
        <w:rPr>
          <w:i/>
          <w:lang w:val="en_US" w:bidi="en_US"/>
        </w:rPr>
        <w:t>fall</w:t>
      </w:r>
      <w:r>
        <w:rPr>
          <w:lang w:val="en_US" w:bidi="en_US"/>
        </w:rPr>
        <w:t xml:space="preserve"> (defeat) to the way that lightning suddenly/swiftly strikes downward from the sky. This simile implies that Satan was defeated quickly or suddenly.</w:t>
      </w:r>
    </w:p>
    <w:p>
      <w:pPr/>
      <w:r>
        <w:rPr>
          <w:lang w:val="en_US" w:bidi="en_US"/>
        </w:rPr>
      </w:r>
      <w:r>
        <w:rPr>
          <w:lang w:val="en_US" w:bidi="en_US"/>
        </w:rPr>
        <w:t>Your translation should not imply that Satan fell in a powerful way and caused destruction as lightning sometimes does. The point of the simile is Satan’s sudden defeat. Some other ways to translate this simile are:</w:t>
      </w:r>
    </w:p>
    <w:p>
      <w:pPr/>
      <w:r>
        <w:rPr>
          <w:lang w:val="en_US" w:bidi="en_US"/>
        </w:rPr>
      </w:r>
      <w:r>
        <w:rPr>
          <w:lang w:val="en_US" w:bidi="en_US"/>
        </w:rPr>
        <w:t>Satan fall from heaven like a flash of lightning (CEV)</w:t>
      </w:r>
    </w:p>
    <w:p>
      <w:pPr/>
      <w:r>
        <w:rPr>
          <w:lang w:val="en_US" w:bidi="en_US"/>
        </w:rPr>
      </w:r>
      <w:r>
        <w:rPr>
          <w:lang w:val="en_US" w:bidi="en_US"/>
        </w:rPr>
        <w:t xml:space="preserve">I perceived that Satan was defeated as </w:t>
      </w:r>
      <w:r>
        <w:rPr>
          <w:lang w:val="en_US" w:bidi="en_US"/>
        </w:rPr>
        <w:t>suddenly as</w:t>
      </w:r>
      <w:r>
        <w:rPr>
          <w:lang w:val="en_US" w:bidi="en_US"/>
        </w:rPr>
        <w:t xml:space="preserve"> lightning falls from the sky.</w:t>
      </w:r>
    </w:p>
    <w:p>
      <w:pPr/>
      <w:r>
        <w:rPr>
          <w:lang w:val="en_US" w:bidi="en_US"/>
        </w:rPr>
      </w:r>
      <w:r>
        <w:rPr>
          <w:lang w:val="en_US" w:bidi="en_US"/>
        </w:rPr>
        <w:t>See heaven in the Glossary.</w:t>
      </w:r>
    </w:p>
    <w:p>
      <w:pPr/>
      <w:r>
        <w:rPr>
          <w:lang w:val="en_US" w:bidi="en_US"/>
        </w:rPr>
      </w:r>
      <w:r>
        <w:rPr>
          <w:b/>
          <w:lang w:val="en_US" w:bidi="en_US"/>
        </w:rPr>
        <w:t>Satan:</w:t>
      </w:r>
      <w:r>
        <w:rPr>
          <w:lang w:val="en_US" w:bidi="en_US"/>
        </w:rPr>
        <w:t xml:space="preserve"> The word </w:t>
      </w:r>
      <w:r>
        <w:rPr>
          <w:i/>
          <w:lang w:val="en_US" w:bidi="en_US"/>
        </w:rPr>
        <w:t>Satan</w:t>
      </w:r>
      <w:r>
        <w:rPr>
          <w:lang w:val="en_US" w:bidi="en_US"/>
        </w:rPr>
        <w:t xml:space="preserve"> is the Hebrew name of the chief or leader of all the evil spirits. In Hebrew his name means “enemy.” He is the enemy of God and God’s people. Here are some ways to translate </w:t>
      </w:r>
      <w:r>
        <w:rPr>
          <w:i/>
          <w:lang w:val="en_US" w:bidi="en_US"/>
        </w:rPr>
        <w:t>Satan</w:t>
      </w:r>
      <w:r>
        <w:rPr>
          <w:lang w:val="en_US" w:bidi="en_US"/>
        </w:rPr>
        <w:t>:</w:t>
      </w:r>
    </w:p>
    <w:p>
      <w:pPr>
        <w:pStyle w:val="ListBullet"/>
        <w:spacing w:line="240" w:lineRule="auto"/>
        <w:ind w:left="720"/>
      </w:pPr>
      <w:r>
        <w:rPr>
          <w:lang w:val="en_US" w:bidi="en_US"/>
        </w:rPr>
      </w:r>
      <w:r>
        <w:rPr>
          <w:lang w:val="en_US" w:bidi="en_US"/>
        </w:rPr>
        <w:t>Use a local name or idiom that refers to the chief of all demons.</w:t>
      </w:r>
    </w:p>
    <w:p>
      <w:pPr>
        <w:pStyle w:val="ListBullet"/>
        <w:spacing w:line="240" w:lineRule="auto"/>
        <w:ind w:left="720"/>
      </w:pPr>
      <w:r>
        <w:rPr>
          <w:lang w:val="en_US" w:bidi="en_US"/>
        </w:rPr>
      </w:r>
      <w:r>
        <w:rPr>
          <w:lang w:val="en_US" w:bidi="en_US"/>
        </w:rPr>
        <w:t>Use a descriptive phrase such as</w:t>
      </w:r>
      <w:r>
        <w:rPr>
          <w:lang w:val="en_US" w:bidi="en_US"/>
        </w:rPr>
        <w:t>the chief/leader of the evil spirits</w:t>
      </w:r>
      <w:r>
        <w:rPr>
          <w:lang w:val="en_US" w:bidi="en_US"/>
        </w:rPr>
        <w:t>the spirit enemy of God</w:t>
      </w:r>
    </w:p>
    <w:p>
      <w:pPr>
        <w:pStyle w:val="ListBullet"/>
        <w:spacing w:line="240" w:lineRule="auto"/>
        <w:ind w:left="720"/>
      </w:pPr>
      <w:r>
        <w:rPr>
          <w:lang w:val="en_US" w:bidi="en_US"/>
        </w:rPr>
      </w:r>
      <w:r>
        <w:rPr>
          <w:lang w:val="en_US" w:bidi="en_US"/>
        </w:rPr>
        <w:t xml:space="preserve">Transliterate the name </w:t>
      </w:r>
      <w:r>
        <w:rPr>
          <w:i/>
          <w:lang w:val="en_US" w:bidi="en_US"/>
        </w:rPr>
        <w:t>Satan</w:t>
      </w:r>
      <w:r>
        <w:rPr>
          <w:lang w:val="en_US" w:bidi="en_US"/>
        </w:rPr>
        <w:t>. If this word is not already known in your area, you may also want to add a descriptive phrase. For example:</w:t>
      </w:r>
      <w:r>
        <w:rPr>
          <w:lang w:val="en_US" w:bidi="en_US"/>
        </w:rPr>
        <w:t>Satanas, the ruler of demons</w:t>
      </w:r>
      <w:r>
        <w:rPr>
          <w:lang w:val="en_US" w:bidi="en_US"/>
        </w:rPr>
        <w:t>Shaitan</w:t>
      </w:r>
    </w:p>
    <w:p>
      <w:pPr/>
      <w:r>
        <w:rPr>
          <w:lang w:val="en_US" w:bidi="en_US"/>
        </w:rPr>
      </w:r>
      <w:r>
        <w:rPr>
          <w:lang w:val="en_US" w:bidi="en_US"/>
        </w:rPr>
        <w:t xml:space="preserve">If you transliterate </w:t>
      </w:r>
      <w:r>
        <w:rPr>
          <w:i/>
          <w:lang w:val="en_US" w:bidi="en_US"/>
        </w:rPr>
        <w:t>Satan</w:t>
      </w:r>
      <w:r>
        <w:rPr>
          <w:lang w:val="en_US" w:bidi="en_US"/>
        </w:rPr>
        <w:t xml:space="preserve"> or borrow a word from another language, be sure that it communicates the biblical meaning to people in your culture. It is important to check this in each biblical context.</w:t>
      </w:r>
    </w:p>
    <w:p>
      <w:pPr/>
      <w:r>
        <w:rPr>
          <w:lang w:val="en_US" w:bidi="en_US"/>
        </w:rPr>
      </w:r>
      <w:r>
        <w:rPr>
          <w:lang w:val="en_US" w:bidi="en_US"/>
        </w:rPr>
        <w:t>Try to use a term that will be acceptable to churches in the area. You may also want to add a footnote or glossary entry that further explains who Satan is. For example:</w:t>
      </w:r>
    </w:p>
    <w:p>
      <w:pPr/>
      <w:r>
        <w:rPr>
          <w:lang w:val="en_US" w:bidi="en_US"/>
        </w:rPr>
      </w:r>
      <w:r>
        <w:rPr>
          <w:lang w:val="en_US" w:bidi="en_US"/>
        </w:rPr>
        <w:t>Satan is the leader of all the evil spirits or demons. Once he was an angel in heaven, but he rebelled against God. God expelled him from heaven, and now he tempts people on earth. Other names for him are “Beelzebul,” “the Devil,” “the Evil One,” “the Enemy,” and “the Tempter.”</w:t>
      </w:r>
      <w:r>
        <w:rPr>
          <w:lang w:val="en_US" w:bidi="en_US"/>
        </w:rPr>
      </w:r>
      <w:r>
        <w:rPr>
          <w:lang w:val="en_US" w:bidi="en_US"/>
        </w:rPr>
      </w:r>
    </w:p>
    <w:p>
      <w:pPr/>
      <w:r>
        <w:rPr>
          <w:lang w:val="en_US" w:bidi="en_US"/>
        </w:rPr>
      </w:r>
    </w:p>
    <w:p>
      <w:pPr>
        <w:pStyle w:val="Heading2"/>
      </w:pPr>
      <w:r>
        <w:rPr>
          <w:lang w:val="en_US" w:bidi="en_US"/>
        </w:rPr>
        <w:t>Luke 10:19</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5"/>
      </w:pPr>
      <w:r>
        <w:rPr>
          <w:lang w:val="en_US" w:bidi="en_US"/>
        </w:rPr>
        <w:t>10:19a</w:t>
      </w:r>
    </w:p>
    <w:p>
      <w:pPr/>
      <w:r>
        <w:rPr>
          <w:lang w:val="en_US" w:bidi="en_US"/>
        </w:rPr>
      </w:r>
      <w:r>
        <w:rPr>
          <w:b/>
          <w:lang w:val="en_US" w:bidi="en_US"/>
        </w:rPr>
        <w:t>Behold, I have given you authority to tread on snakes and scorpions,</w:t>
      </w:r>
    </w:p>
    <w:p>
      <w:pPr>
        <w:pStyle w:val="ListBullet"/>
        <w:spacing w:line="240" w:lineRule="auto"/>
        <w:ind w:left="720"/>
      </w:pPr>
      <w:r>
        <w:rPr>
          <w:lang w:val="en_US" w:bidi="en_US"/>
        </w:rPr>
      </w:r>
      <w:r>
        <w:rPr>
          <w:lang w:val="en_US" w:bidi="en_US"/>
        </w:rPr>
        <w:t>Listen/Look! I have given you</w:t>
      </w:r>
      <w:r>
        <w:rPr>
          <w:vertAlign w:val="superscript"/>
          <w:lang w:val="en_US" w:bidi="en_US"/>
        </w:rPr>
        <w:t>(plur)</w:t>
      </w:r>
      <w:r>
        <w:rPr>
          <w:lang w:val="en_US" w:bidi="en_US"/>
        </w:rPr>
        <w:t xml:space="preserve"> the power/authority to walk/step on snakes and scorpions </w:t>
      </w:r>
      <w:r>
        <w:rPr>
          <w:lang w:val="en_US" w:bidi="en_US"/>
        </w:rPr>
        <w:t>without being harmed</w:t>
      </w:r>
      <w:r>
        <w:rPr>
          <w:lang w:val="en_US" w:bidi="en_US"/>
        </w:rPr>
        <w:t>.</w:t>
      </w:r>
    </w:p>
    <w:p>
      <w:pPr>
        <w:pStyle w:val="ListBullet"/>
        <w:spacing w:line="240" w:lineRule="auto"/>
        <w:ind w:left="720"/>
      </w:pPr>
      <w:r>
        <w:rPr>
          <w:lang w:val="en_US" w:bidi="en_US"/>
        </w:rPr>
      </w:r>
      <w:r>
        <w:rPr>
          <w:lang w:val="en_US" w:bidi="en_US"/>
        </w:rPr>
        <w:t xml:space="preserve">Indeed/Truly I have authorized you to defeat </w:t>
      </w:r>
      <w:r>
        <w:rPr>
          <w:lang w:val="en_US" w:bidi="en_US"/>
        </w:rPr>
        <w:t>these evil spirits</w:t>
      </w:r>
      <w:r>
        <w:rPr>
          <w:lang w:val="en_US" w:bidi="en_US"/>
        </w:rPr>
        <w:t xml:space="preserve"> that </w:t>
      </w:r>
      <w:r>
        <w:rPr>
          <w:lang w:val="en_US" w:bidi="en_US"/>
        </w:rPr>
        <w:t>are like</w:t>
      </w:r>
      <w:r>
        <w:rPr>
          <w:lang w:val="en_US" w:bidi="en_US"/>
        </w:rPr>
        <w:t xml:space="preserve"> </w:t>
      </w:r>
      <w:r>
        <w:rPr>
          <w:lang w:val="en_US" w:bidi="en_US"/>
        </w:rPr>
        <w:t>poisonous</w:t>
      </w:r>
      <w:r>
        <w:rPr>
          <w:lang w:val="en_US" w:bidi="en_US"/>
        </w:rPr>
        <w:t xml:space="preserve"> snakes and stinging centipedes.</w:t>
      </w:r>
    </w:p>
    <w:p>
      <w:pPr/>
      <w:r>
        <w:rPr>
          <w:lang w:val="en_US" w:bidi="en_US"/>
        </w:rPr>
      </w:r>
      <w:r>
        <w:rPr>
          <w:b/>
          <w:lang w:val="en_US" w:bidi="en_US"/>
        </w:rPr>
        <w:t>Behold:</w:t>
      </w:r>
      <w:r>
        <w:rPr>
          <w:lang w:val="en_US" w:bidi="en_US"/>
        </w:rPr>
        <w:t xml:space="preserve"> Luke used the word that the BSB translates as </w:t>
      </w:r>
      <w:r>
        <w:rPr>
          <w:i/>
          <w:lang w:val="en_US" w:bidi="en_US"/>
        </w:rPr>
        <w:t>Behold</w:t>
      </w:r>
      <w:r>
        <w:rPr>
          <w:lang w:val="en_US" w:bidi="en_US"/>
        </w:rPr>
        <w:t xml:space="preserve"> to call attention to the next statement and to emphasize its importance. The word may also imply that the next statement is surprising. Other ways to translate this particle are:</w:t>
      </w:r>
    </w:p>
    <w:p>
      <w:pPr/>
      <w:r>
        <w:rPr>
          <w:lang w:val="en_US" w:bidi="en_US"/>
        </w:rPr>
      </w:r>
      <w:r>
        <w:rPr>
          <w:lang w:val="en_US" w:bidi="en_US"/>
        </w:rPr>
        <w:t>Listen! (GNT)</w:t>
      </w:r>
    </w:p>
    <w:p>
      <w:pPr/>
      <w:r>
        <w:rPr>
          <w:lang w:val="en_US" w:bidi="en_US"/>
        </w:rPr>
      </w:r>
      <w:r>
        <w:rPr>
          <w:lang w:val="en_US" w:bidi="en_US"/>
        </w:rPr>
        <w:t>Look (NLT)</w:t>
      </w:r>
    </w:p>
    <w:p>
      <w:pPr/>
      <w:r>
        <w:rPr>
          <w:lang w:val="en_US" w:bidi="en_US"/>
        </w:rPr>
      </w:r>
      <w:r>
        <w:rPr>
          <w:lang w:val="en_US" w:bidi="en_US"/>
        </w:rPr>
        <w:t>In fact</w:t>
      </w:r>
    </w:p>
    <w:p>
      <w:pPr/>
      <w:r>
        <w:rPr>
          <w:lang w:val="en_US" w:bidi="en_US"/>
        </w:rPr>
      </w:r>
      <w:r>
        <w:rPr>
          <w:b/>
          <w:lang w:val="en_US" w:bidi="en_US"/>
        </w:rPr>
        <w:t>I have given you authority:</w:t>
      </w:r>
      <w:r>
        <w:rPr>
          <w:lang w:val="en_US" w:bidi="en_US"/>
        </w:rPr>
        <w:t xml:space="preserve"> Before they left on their trip, Jesus gave his disciples authority to represent him. This authority made them able to do things that they could not do by themselves. Other ways to say this are:</w:t>
      </w:r>
    </w:p>
    <w:p>
      <w:pPr/>
      <w:r>
        <w:rPr>
          <w:lang w:val="en_US" w:bidi="en_US"/>
        </w:rPr>
      </w:r>
      <w:r>
        <w:rPr>
          <w:lang w:val="en_US" w:bidi="en_US"/>
        </w:rPr>
        <w:t>I have given you…power (NCV)</w:t>
      </w:r>
    </w:p>
    <w:p>
      <w:pPr/>
      <w:r>
        <w:rPr>
          <w:lang w:val="en_US" w:bidi="en_US"/>
        </w:rPr>
      </w:r>
      <w:r>
        <w:rPr>
          <w:lang w:val="en_US" w:bidi="en_US"/>
        </w:rPr>
        <w:t>I have authorized/enabled you</w:t>
      </w:r>
    </w:p>
    <w:p>
      <w:pPr/>
      <w:r>
        <w:rPr>
          <w:lang w:val="en_US" w:bidi="en_US"/>
        </w:rPr>
      </w:r>
      <w:r>
        <w:rPr>
          <w:lang w:val="en_US" w:bidi="en_US"/>
        </w:rPr>
        <w:t xml:space="preserve">The form of the Greek verb that the BSB translates as </w:t>
      </w:r>
      <w:r>
        <w:rPr>
          <w:i/>
          <w:lang w:val="en_US" w:bidi="en_US"/>
        </w:rPr>
        <w:t>I have given</w:t>
      </w:r>
      <w:r>
        <w:rPr>
          <w:lang w:val="en_US" w:bidi="en_US"/>
        </w:rPr>
        <w:t xml:space="preserve"> indicates that Jesus had given the disciples authority. He had given them this authority when they left on their trip, and they continued to have that authority. Use a natural way in your language to express this.</w:t>
      </w:r>
    </w:p>
    <w:p>
      <w:pPr/>
      <w:r>
        <w:rPr>
          <w:lang w:val="en_US" w:bidi="en_US"/>
        </w:rPr>
      </w:r>
      <w:r>
        <w:rPr>
          <w:b/>
          <w:lang w:val="en_US" w:bidi="en_US"/>
        </w:rPr>
        <w:t>to tread on snakes and scorpions:</w:t>
      </w:r>
      <w:r>
        <w:rPr>
          <w:lang w:val="en_US" w:bidi="en_US"/>
        </w:rPr>
        <w:t xml:space="preserve"> The phrase that the BSB translates as </w:t>
      </w:r>
      <w:r>
        <w:rPr>
          <w:i/>
          <w:lang w:val="en_US" w:bidi="en_US"/>
        </w:rPr>
        <w:t>tread on</w:t>
      </w:r>
      <w:r>
        <w:rPr>
          <w:lang w:val="en_US" w:bidi="en_US"/>
        </w:rPr>
        <w:t xml:space="preserve"> is literally “walk/step on.” Jesus probably used the phrase </w:t>
      </w:r>
      <w:r>
        <w:rPr>
          <w:i/>
          <w:lang w:val="en_US" w:bidi="en_US"/>
        </w:rPr>
        <w:t>to tread on snakes and scorpions</w:t>
      </w:r>
      <w:r>
        <w:rPr>
          <w:lang w:val="en_US" w:bidi="en_US"/>
        </w:rPr>
        <w:t xml:space="preserve"> in a figurative way to refer to the disciples defeating demons and other evil things without being hurt.</w:t>
      </w:r>
      <w:r>
        <w:rPr>
          <w:lang w:val="en_US" w:bidi="en_US"/>
        </w:rPr>
        <w:t>Some scholars feel that Jesus may have been alluding to OT passages such as Deuteronomy 8:15 and Psalm 91:13 that describe God’s protection from literal snakes, scorpions, and lions. Most scholars feel that in the context of Luke 10:17–20, Jesus used the phrase “snakes and scorpions” to refer figuratively to Satan and other evil spirits.</w:t>
      </w:r>
    </w:p>
    <w:p>
      <w:pPr/>
      <w:r>
        <w:rPr>
          <w:lang w:val="en_US" w:bidi="en_US"/>
        </w:rPr>
      </w:r>
      <w:r>
        <w:rPr>
          <w:lang w:val="en_US" w:bidi="en_US"/>
        </w:rPr>
        <w:t xml:space="preserve">Jesus used the phrase </w:t>
      </w:r>
      <w:r>
        <w:rPr>
          <w:i/>
          <w:lang w:val="en_US" w:bidi="en_US"/>
        </w:rPr>
        <w:t>snakes and scorpions</w:t>
      </w:r>
      <w:r>
        <w:rPr>
          <w:lang w:val="en_US" w:bidi="en_US"/>
        </w:rPr>
        <w:t xml:space="preserve"> as a metaphor. He was probably comparing the snakes and scorpions to demons such as the ones the disciples mentioned in 10:17. Demons are like snakes and scorpions because they are dangerous and they harm people.</w:t>
      </w:r>
    </w:p>
    <w:p>
      <w:pPr/>
      <w:r>
        <w:rPr>
          <w:lang w:val="en_US" w:bidi="en_US"/>
        </w:rPr>
      </w:r>
      <w:r>
        <w:rPr>
          <w:lang w:val="en_US" w:bidi="en_US"/>
        </w:rPr>
        <w:t>In some languages it may be necessary to make explicit some of the implied information in this metaphor. For example:</w:t>
      </w:r>
    </w:p>
    <w:p>
      <w:pPr/>
      <w:r>
        <w:rPr>
          <w:lang w:val="en_US" w:bidi="en_US"/>
        </w:rPr>
      </w:r>
      <w:r>
        <w:rPr>
          <w:lang w:val="en_US" w:bidi="en_US"/>
        </w:rPr>
        <w:t xml:space="preserve">I give you authority to defeat </w:t>
      </w:r>
      <w:r>
        <w:rPr>
          <w:lang w:val="en_US" w:bidi="en_US"/>
        </w:rPr>
        <w:t>the power of evil spirits that are harmful/dangerous like</w:t>
      </w:r>
      <w:r>
        <w:rPr>
          <w:lang w:val="en_US" w:bidi="en_US"/>
        </w:rPr>
        <w:t xml:space="preserve"> snakes and scorpions.</w:t>
      </w:r>
    </w:p>
    <w:p>
      <w:pPr/>
      <w:r>
        <w:rPr>
          <w:lang w:val="en_US" w:bidi="en_US"/>
        </w:rPr>
      </w:r>
      <w:r>
        <w:rPr>
          <w:lang w:val="en_US" w:bidi="en_US"/>
        </w:rPr>
        <w:t>Be sure to look at 10:19b before you translate 10:19a. It may help to clarify the metaphor that Jesus used here. See also the General Comment on 10:19a–b below for a suggestion about reversing the order of these two parts of the verse.</w:t>
      </w:r>
    </w:p>
    <w:p>
      <w:pPr/>
      <w:r>
        <w:rPr>
          <w:lang w:val="en_US" w:bidi="en_US"/>
        </w:rPr>
      </w:r>
      <w:r>
        <w:rPr>
          <w:b/>
          <w:lang w:val="en_US" w:bidi="en_US"/>
        </w:rPr>
        <w:t>snakes:</w:t>
      </w:r>
      <w:r>
        <w:rPr>
          <w:lang w:val="en_US" w:bidi="en_US"/>
        </w:rPr>
        <w:t xml:space="preserve"> The word that you use for </w:t>
      </w:r>
      <w:r>
        <w:rPr>
          <w:i/>
          <w:lang w:val="en_US" w:bidi="en_US"/>
        </w:rPr>
        <w:t>snakes</w:t>
      </w:r>
      <w:r>
        <w:rPr>
          <w:lang w:val="en_US" w:bidi="en_US"/>
        </w:rPr>
        <w:t xml:space="preserve"> here should refer to (or include) poisonous snakes that can hurt and even kill people. In the Bible a snake is often used to symbolize Satan (Genesis 3:1–5 and Revelation 12:9).</w:t>
      </w:r>
    </w:p>
    <w:p>
      <w:pPr/>
      <w:r>
        <w:rPr>
          <w:lang w:val="en_US" w:bidi="en_US"/>
        </w:rPr>
      </w:r>
      <w:r>
        <w:rPr>
          <w:b/>
          <w:lang w:val="en_US" w:bidi="en_US"/>
        </w:rPr>
        <w:t>scorpions:</w:t>
      </w:r>
      <w:r>
        <w:rPr>
          <w:lang w:val="en_US" w:bidi="en_US"/>
        </w:rPr>
        <w:t xml:space="preserve"> The term </w:t>
      </w:r>
      <w:r>
        <w:rPr>
          <w:i/>
          <w:lang w:val="en_US" w:bidi="en_US"/>
        </w:rPr>
        <w:t>scorpions</w:t>
      </w:r>
      <w:r>
        <w:rPr>
          <w:lang w:val="en_US" w:bidi="en_US"/>
        </w:rPr>
        <w:t xml:space="preserve"> describes small creatures that range from 1.3 to 20 centimeters long (½ inch to 8 inches long). Scorpions have eight legs and a poisonous stinger in their tails. When they sting someone, the sting causes serious pain. If people are not familiar with </w:t>
      </w:r>
      <w:r>
        <w:rPr>
          <w:i/>
          <w:lang w:val="en_US" w:bidi="en_US"/>
        </w:rPr>
        <w:t>scorpions</w:t>
      </w:r>
      <w:r>
        <w:rPr>
          <w:lang w:val="en_US" w:bidi="en_US"/>
        </w:rPr>
        <w:t xml:space="preserve"> in your area, you may:</w:t>
      </w:r>
    </w:p>
    <w:p>
      <w:pPr>
        <w:pStyle w:val="ListBullet"/>
        <w:spacing w:line="240" w:lineRule="auto"/>
        <w:ind w:left="720"/>
      </w:pPr>
      <w:r>
        <w:rPr>
          <w:lang w:val="en_US" w:bidi="en_US"/>
        </w:rPr>
      </w:r>
      <w:r>
        <w:rPr>
          <w:lang w:val="en_US" w:bidi="en_US"/>
        </w:rPr>
        <w:t>Use a general descriptive phrase. For example:</w:t>
      </w:r>
      <w:r>
        <w:rPr>
          <w:lang w:val="en_US" w:bidi="en_US"/>
        </w:rPr>
        <w:t>dangerous stinging things</w:t>
      </w:r>
    </w:p>
    <w:p>
      <w:pPr>
        <w:pStyle w:val="ListBullet"/>
        <w:spacing w:line="240" w:lineRule="auto"/>
        <w:ind w:left="720"/>
      </w:pPr>
      <w:r>
        <w:rPr>
          <w:lang w:val="en_US" w:bidi="en_US"/>
        </w:rPr>
      </w:r>
      <w:r>
        <w:rPr>
          <w:lang w:val="en_US" w:bidi="en_US"/>
        </w:rPr>
        <w:t>Use something in your culture that is similar to scorpions and that harms people. For example:</w:t>
      </w:r>
      <w:r>
        <w:rPr>
          <w:lang w:val="en_US" w:bidi="en_US"/>
        </w:rPr>
        <w:t>centipedes</w:t>
      </w:r>
    </w:p>
    <w:p>
      <w:pPr/>
      <w:r>
        <w:rPr>
          <w:lang w:val="en_US" w:bidi="en_US"/>
        </w:rPr>
      </w:r>
      <w:r>
        <w:rPr>
          <w:lang w:val="en_US" w:bidi="en_US"/>
        </w:rPr>
        <w:t>You may want to include a picture of a scorpion in your translation.</w:t>
      </w:r>
    </w:p>
    <w:p>
      <w:pPr>
        <w:pStyle w:val="Heading5"/>
      </w:pPr>
      <w:r>
        <w:rPr>
          <w:lang w:val="en_US" w:bidi="en_US"/>
        </w:rPr>
        <w:t>10:19b</w:t>
      </w:r>
    </w:p>
    <w:p>
      <w:pPr/>
      <w:r>
        <w:rPr>
          <w:lang w:val="en_US" w:bidi="en_US"/>
        </w:rPr>
      </w:r>
      <w:r>
        <w:rPr>
          <w:b/>
          <w:lang w:val="en_US" w:bidi="en_US"/>
        </w:rPr>
        <w:t>and over all the power of the enemy. Nothing will harm you.</w:t>
      </w:r>
    </w:p>
    <w:p>
      <w:pPr>
        <w:pStyle w:val="ListBullet"/>
        <w:spacing w:line="240" w:lineRule="auto"/>
        <w:ind w:left="720"/>
      </w:pPr>
      <w:r>
        <w:rPr>
          <w:lang w:val="en_US" w:bidi="en_US"/>
        </w:rPr>
      </w:r>
      <w:r>
        <w:rPr>
          <w:lang w:val="en_US" w:bidi="en_US"/>
        </w:rPr>
        <w:t xml:space="preserve">In fact, I have given you power to defeat all the power of </w:t>
      </w:r>
      <w:r>
        <w:rPr>
          <w:lang w:val="en_US" w:bidi="en_US"/>
        </w:rPr>
        <w:t>God’s</w:t>
      </w:r>
      <w:r>
        <w:rPr>
          <w:lang w:val="en_US" w:bidi="en_US"/>
        </w:rPr>
        <w:t xml:space="preserve"> enemy </w:t>
      </w:r>
      <w:r>
        <w:rPr>
          <w:lang w:val="en_US" w:bidi="en_US"/>
        </w:rPr>
        <w:t>Satan</w:t>
      </w:r>
      <w:r>
        <w:rPr>
          <w:lang w:val="en_US" w:bidi="en_US"/>
        </w:rPr>
        <w:t>. Absolutely nothing will hurt you.</w:t>
      </w:r>
    </w:p>
    <w:p>
      <w:pPr>
        <w:pStyle w:val="ListBullet"/>
        <w:spacing w:line="240" w:lineRule="auto"/>
        <w:ind w:left="720"/>
      </w:pPr>
      <w:r>
        <w:rPr>
          <w:lang w:val="en_US" w:bidi="en_US"/>
        </w:rPr>
      </w:r>
      <w:r>
        <w:rPr>
          <w:lang w:val="en_US" w:bidi="en_US"/>
        </w:rPr>
        <w:t xml:space="preserve">Yes, I have enabled you to overcome Satan and all his powerful </w:t>
      </w:r>
      <w:r>
        <w:rPr>
          <w:lang w:val="en_US" w:bidi="en_US"/>
        </w:rPr>
        <w:t>companions</w:t>
      </w:r>
      <w:r>
        <w:rPr>
          <w:lang w:val="en_US" w:bidi="en_US"/>
        </w:rPr>
        <w:t>. Nothing at all will harm you.</w:t>
      </w:r>
    </w:p>
    <w:p>
      <w:pPr/>
      <w:r>
        <w:rPr>
          <w:lang w:val="en_US" w:bidi="en_US"/>
        </w:rPr>
      </w:r>
      <w:r>
        <w:rPr>
          <w:b/>
          <w:lang w:val="en_US" w:bidi="en_US"/>
        </w:rPr>
        <w:t>and:</w:t>
      </w:r>
      <w:r>
        <w:rPr>
          <w:lang w:val="en_US" w:bidi="en_US"/>
        </w:rPr>
        <w:t xml:space="preserve"> This part of the verse explains the meaning of the metaphor in the previous verse part. The Greek conjunction that the BSB translates as </w:t>
      </w:r>
      <w:r>
        <w:rPr>
          <w:i/>
          <w:lang w:val="en_US" w:bidi="en_US"/>
        </w:rPr>
        <w:t>and</w:t>
      </w:r>
      <w:r>
        <w:rPr>
          <w:lang w:val="en_US" w:bidi="en_US"/>
        </w:rPr>
        <w:t xml:space="preserve"> introduces a further explanation of what Jesus had given the disciples authority to do. Other ways to translate this conjunction are:</w:t>
      </w:r>
    </w:p>
    <w:p>
      <w:pPr/>
      <w:r>
        <w:rPr>
          <w:lang w:val="en_US" w:bidi="en_US"/>
        </w:rPr>
      </w:r>
      <w:r>
        <w:rPr>
          <w:lang w:val="en_US" w:bidi="en_US"/>
        </w:rPr>
        <w:t>In fact</w:t>
      </w:r>
    </w:p>
    <w:p>
      <w:pPr/>
      <w:r>
        <w:rPr>
          <w:lang w:val="en_US" w:bidi="en_US"/>
        </w:rPr>
      </w:r>
      <w:r>
        <w:rPr>
          <w:lang w:val="en_US" w:bidi="en_US"/>
        </w:rPr>
        <w:t>In other words</w:t>
      </w:r>
    </w:p>
    <w:p>
      <w:pPr/>
      <w:r>
        <w:rPr>
          <w:lang w:val="en_US" w:bidi="en_US"/>
        </w:rPr>
      </w:r>
      <w:r>
        <w:rPr>
          <w:b/>
          <w:lang w:val="en_US" w:bidi="en_US"/>
        </w:rPr>
        <w:t>and over all the power of the enemy:</w:t>
      </w:r>
      <w:r>
        <w:rPr>
          <w:lang w:val="en_US" w:bidi="en_US"/>
        </w:rPr>
        <w:t xml:space="preserve"> Before they left on their trip, Jesus gave his disciples authority that was greater than the authority of their </w:t>
      </w:r>
      <w:r>
        <w:rPr>
          <w:i/>
          <w:lang w:val="en_US" w:bidi="en_US"/>
        </w:rPr>
        <w:t>enemy</w:t>
      </w:r>
      <w:r>
        <w:rPr>
          <w:lang w:val="en_US" w:bidi="en_US"/>
        </w:rPr>
        <w:t xml:space="preserve"> (Satan). The word that the BSB translates as </w:t>
      </w:r>
      <w:r>
        <w:rPr>
          <w:i/>
          <w:lang w:val="en_US" w:bidi="en_US"/>
        </w:rPr>
        <w:t>over</w:t>
      </w:r>
      <w:r>
        <w:rPr>
          <w:lang w:val="en_US" w:bidi="en_US"/>
        </w:rPr>
        <w:t xml:space="preserve"> expresses the relationship between their authority and </w:t>
      </w:r>
      <w:r>
        <w:rPr>
          <w:i/>
          <w:lang w:val="en_US" w:bidi="en_US"/>
        </w:rPr>
        <w:t>the power of the enemy</w:t>
      </w:r>
      <w:r>
        <w:rPr>
          <w:lang w:val="en_US" w:bidi="en_US"/>
        </w:rPr>
        <w:t>. Other ways to express this relationship are:</w:t>
      </w:r>
    </w:p>
    <w:p>
      <w:pPr/>
      <w:r>
        <w:rPr>
          <w:lang w:val="en_US" w:bidi="en_US"/>
        </w:rPr>
      </w:r>
      <w:r>
        <w:rPr>
          <w:lang w:val="en_US" w:bidi="en_US"/>
        </w:rPr>
        <w:t>I have given you…power that is greater than the enemy has (NCV)</w:t>
      </w:r>
    </w:p>
    <w:p>
      <w:pPr/>
      <w:r>
        <w:rPr>
          <w:lang w:val="en_US" w:bidi="en_US"/>
        </w:rPr>
      </w:r>
      <w:r>
        <w:rPr>
          <w:lang w:val="en_US" w:bidi="en_US"/>
        </w:rPr>
        <w:t>I have authorized/enabled you…to defeat all the power of the enemy</w:t>
      </w:r>
    </w:p>
    <w:p>
      <w:pPr/>
      <w:r>
        <w:rPr>
          <w:lang w:val="en_US" w:bidi="en_US"/>
        </w:rPr>
      </w:r>
      <w:r>
        <w:rPr>
          <w:b/>
          <w:lang w:val="en_US" w:bidi="en_US"/>
        </w:rPr>
        <w:t>the enemy:</w:t>
      </w:r>
      <w:r>
        <w:rPr>
          <w:lang w:val="en_US" w:bidi="en_US"/>
        </w:rPr>
        <w:t xml:space="preserve"> In this context the phrase </w:t>
      </w:r>
      <w:r>
        <w:rPr>
          <w:i/>
          <w:lang w:val="en_US" w:bidi="en_US"/>
        </w:rPr>
        <w:t>the enemy</w:t>
      </w:r>
      <w:r>
        <w:rPr>
          <w:lang w:val="en_US" w:bidi="en_US"/>
        </w:rPr>
        <w:t xml:space="preserve"> refers to Satan, who was mentioned in 10:18. In some languages it may be necessary to make this explicit. For example:</w:t>
      </w:r>
    </w:p>
    <w:p>
      <w:pPr/>
      <w:r>
        <w:rPr>
          <w:lang w:val="en_US" w:bidi="en_US"/>
        </w:rPr>
      </w:r>
      <w:r>
        <w:rPr>
          <w:lang w:val="en_US" w:bidi="en_US"/>
        </w:rPr>
        <w:t>your enemy Satan (CEV)</w:t>
      </w:r>
    </w:p>
    <w:p>
      <w:pPr/>
      <w:r>
        <w:rPr>
          <w:lang w:val="en_US" w:bidi="en_US"/>
        </w:rPr>
      </w:r>
      <w:r>
        <w:rPr>
          <w:lang w:val="en_US" w:bidi="en_US"/>
        </w:rPr>
        <w:t>If you decide not to make this explicit in the text, you may want to include a footnote with this information. For example:</w:t>
      </w:r>
    </w:p>
    <w:p>
      <w:pPr/>
      <w:r>
        <w:rPr>
          <w:lang w:val="en_US" w:bidi="en_US"/>
        </w:rPr>
      </w:r>
      <w:r>
        <w:rPr>
          <w:lang w:val="en_US" w:bidi="en_US"/>
        </w:rPr>
        <w:t xml:space="preserve">The </w:t>
      </w:r>
      <w:r>
        <w:rPr>
          <w:u w:val="single"/>
          <w:lang w:val="en_US" w:bidi="en_US"/>
        </w:rPr>
        <w:t>enemy</w:t>
      </w:r>
      <w:r>
        <w:rPr>
          <w:lang w:val="en_US" w:bidi="en_US"/>
        </w:rPr>
        <w:t xml:space="preserve"> is a reference to Satan (mentioned in v. 18). (NET)</w:t>
      </w:r>
    </w:p>
    <w:p>
      <w:pPr/>
      <w:r>
        <w:rPr>
          <w:lang w:val="en_US" w:bidi="en_US"/>
        </w:rPr>
      </w:r>
      <w:r>
        <w:rPr>
          <w:lang w:val="en_US" w:bidi="en_US"/>
        </w:rPr>
        <w:t xml:space="preserve">Satan is called </w:t>
      </w:r>
      <w:r>
        <w:rPr>
          <w:i/>
          <w:lang w:val="en_US" w:bidi="en_US"/>
        </w:rPr>
        <w:t>the enemy</w:t>
      </w:r>
      <w:r>
        <w:rPr>
          <w:lang w:val="en_US" w:bidi="en_US"/>
        </w:rPr>
        <w:t xml:space="preserve"> because he opposes God and Jesus and his followers. He hates them and works against them. In some languages it may be necessary to indicate whom Satan opposes. If that is true in your language, you may be able to supply “God” or a form such as “your” or “our.” For example:</w:t>
      </w:r>
    </w:p>
    <w:p>
      <w:pPr/>
      <w:r>
        <w:rPr>
          <w:lang w:val="en_US" w:bidi="en_US"/>
        </w:rPr>
      </w:r>
      <w:r>
        <w:rPr>
          <w:lang w:val="en_US" w:bidi="en_US"/>
        </w:rPr>
        <w:t>God’s enemy</w:t>
      </w:r>
    </w:p>
    <w:p>
      <w:pPr/>
      <w:r>
        <w:rPr>
          <w:lang w:val="en_US" w:bidi="en_US"/>
        </w:rPr>
      </w:r>
      <w:r>
        <w:rPr>
          <w:lang w:val="en_US" w:bidi="en_US"/>
        </w:rPr>
        <w:t>our</w:t>
      </w:r>
      <w:r>
        <w:rPr>
          <w:vertAlign w:val="superscript"/>
          <w:lang w:val="en_US" w:bidi="en_US"/>
        </w:rPr>
        <w:t>(incl)</w:t>
      </w:r>
      <w:r>
        <w:rPr>
          <w:lang w:val="en_US" w:bidi="en_US"/>
        </w:rPr>
        <w:t xml:space="preserve"> enemy Satan</w:t>
      </w:r>
    </w:p>
    <w:p>
      <w:pPr/>
      <w:r>
        <w:rPr>
          <w:lang w:val="en_US" w:bidi="en_US"/>
        </w:rPr>
      </w:r>
      <w:r>
        <w:rPr>
          <w:b/>
          <w:lang w:val="en_US" w:bidi="en_US"/>
        </w:rPr>
        <w:t>Nothing will harm you:</w:t>
      </w:r>
      <w:r>
        <w:rPr>
          <w:lang w:val="en_US" w:bidi="en_US"/>
        </w:rPr>
        <w:t xml:space="preserve"> The Greek text that the BSB translates as </w:t>
      </w:r>
      <w:r>
        <w:rPr>
          <w:i/>
          <w:lang w:val="en_US" w:bidi="en_US"/>
        </w:rPr>
        <w:t>Nothing will harm you</w:t>
      </w:r>
      <w:r>
        <w:rPr>
          <w:lang w:val="en_US" w:bidi="en_US"/>
        </w:rPr>
        <w:t xml:space="preserve"> is emphatic. The phrase is more literally “nothing will by any means hurt you.” Another way to convey this emphasis in English is to say:</w:t>
      </w:r>
    </w:p>
    <w:p>
      <w:pPr/>
      <w:r>
        <w:rPr>
          <w:lang w:val="en_US" w:bidi="en_US"/>
        </w:rPr>
      </w:r>
      <w:r>
        <w:rPr>
          <w:lang w:val="en_US" w:bidi="en_US"/>
        </w:rPr>
        <w:t xml:space="preserve">nothing </w:t>
      </w:r>
      <w:r>
        <w:rPr>
          <w:u w:val="single"/>
          <w:lang w:val="en_US" w:bidi="en_US"/>
        </w:rPr>
        <w:t>at all</w:t>
      </w:r>
      <w:r>
        <w:rPr>
          <w:lang w:val="en_US" w:bidi="en_US"/>
        </w:rPr>
        <w:t xml:space="preserve"> will harm you</w:t>
      </w:r>
    </w:p>
    <w:p>
      <w:pPr/>
      <w:r>
        <w:rPr>
          <w:lang w:val="en_US" w:bidi="en_US"/>
        </w:rPr>
      </w:r>
      <w:r>
        <w:rPr>
          <w:u w:val="single"/>
          <w:lang w:val="en_US" w:bidi="en_US"/>
        </w:rPr>
        <w:t>absolutely</w:t>
      </w:r>
      <w:r>
        <w:rPr>
          <w:lang w:val="en_US" w:bidi="en_US"/>
        </w:rPr>
        <w:t xml:space="preserve"> nothing will harm you</w:t>
      </w:r>
    </w:p>
    <w:p>
      <w:pPr/>
      <w:r>
        <w:rPr>
          <w:lang w:val="en_US" w:bidi="en_US"/>
        </w:rPr>
      </w:r>
      <w:r>
        <w:rPr>
          <w:lang w:val="en_US" w:bidi="en_US"/>
        </w:rPr>
        <w:t>Use a natural way in your language to give the same emphasis.</w:t>
      </w:r>
    </w:p>
    <w:p>
      <w:pPr>
        <w:pStyle w:val="Heading6"/>
      </w:pPr>
      <w:r>
        <w:rPr>
          <w:b/>
          <w:lang w:val="en_US" w:bidi="en_US"/>
        </w:rPr>
        <w:t>General Comment on 10:19a–b</w:t>
      </w:r>
    </w:p>
    <w:p>
      <w:pPr/>
      <w:r>
        <w:rPr>
          <w:lang w:val="en_US" w:bidi="en_US"/>
        </w:rPr>
      </w:r>
      <w:r>
        <w:rPr>
          <w:lang w:val="en_US" w:bidi="en_US"/>
        </w:rPr>
        <w:t>In some languages it may be more natural to make a general statement before a more specific statement. If that is true in your language, you may reorder parts of 10:19a and 10:19b so that the more general “all the power of the enemy” precedes the more specific “snakes and scorpions.” For example:</w:t>
      </w:r>
    </w:p>
    <w:p>
      <w:pPr/>
      <w:r>
        <w:rPr>
          <w:lang w:val="en_US" w:bidi="en_US"/>
        </w:rPr>
      </w:r>
      <w:r>
        <w:rPr>
          <w:lang w:val="en_US" w:bidi="en_US"/>
        </w:rPr>
        <w:t>Look, I have given you authority over all the power of the enemy, and you can walk among snakes and scorpions and crush them. Nothing will injure you. (NLT)</w:t>
      </w:r>
    </w:p>
    <w:p>
      <w:pPr/>
      <w:r>
        <w:rPr>
          <w:lang w:val="en_US" w:bidi="en_US"/>
        </w:rPr>
      </w:r>
      <w:r>
        <w:rPr>
          <w:lang w:val="en_US" w:bidi="en_US"/>
        </w:rPr>
        <w:t xml:space="preserve">Listen! I have enabled you to defeat all the power of the enemy, including </w:t>
      </w:r>
      <w:r>
        <w:rPr>
          <w:lang w:val="en_US" w:bidi="en_US"/>
        </w:rPr>
        <w:t>the demons that are like</w:t>
      </w:r>
      <w:r>
        <w:rPr>
          <w:lang w:val="en_US" w:bidi="en_US"/>
        </w:rPr>
        <w:t xml:space="preserve"> snakes and scorpions.</w:t>
      </w:r>
      <w:r>
        <w:rPr>
          <w:lang w:val="en_US" w:bidi="en_US"/>
        </w:rPr>
      </w:r>
      <w:r>
        <w:rPr>
          <w:lang w:val="en_US" w:bidi="en_US"/>
        </w:rPr>
      </w:r>
    </w:p>
    <w:p>
      <w:pPr/>
      <w:r>
        <w:rPr>
          <w:lang w:val="en_US" w:bidi="en_US"/>
        </w:rPr>
      </w:r>
    </w:p>
    <w:p>
      <w:pPr>
        <w:pStyle w:val="Heading2"/>
      </w:pPr>
      <w:r>
        <w:rPr>
          <w:lang w:val="en_US" w:bidi="en_US"/>
        </w:rPr>
        <w:t>Luke 10:20</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5"/>
      </w:pPr>
      <w:r>
        <w:rPr>
          <w:lang w:val="en_US" w:bidi="en_US"/>
        </w:rPr>
        <w:t>10:20a–b</w:t>
      </w:r>
    </w:p>
    <w:p>
      <w:pPr/>
      <w:r>
        <w:rPr>
          <w:lang w:val="en_US" w:bidi="en_US"/>
        </w:rPr>
      </w:r>
      <w:r>
        <w:rPr>
          <w:b/>
          <w:lang w:val="en_US" w:bidi="en_US"/>
        </w:rPr>
        <w:t>do not rejoice that…but rejoice that…:</w:t>
      </w:r>
      <w:r>
        <w:rPr>
          <w:lang w:val="en_US" w:bidi="en_US"/>
        </w:rPr>
        <w:t xml:space="preserve"> In these two clauses Jesus was comparing two good things that his disciples could rejoice about. He told them which of these things should cause them more joy. He did not imply that the disciples should not rejoice at all in the first thing. Some ways to express this comparison in English are:</w:t>
      </w:r>
    </w:p>
    <w:p>
      <w:pPr/>
      <w:r>
        <w:rPr>
          <w:lang w:val="en_US" w:bidi="en_US"/>
        </w:rPr>
      </w:r>
      <w:r>
        <w:rPr>
          <w:lang w:val="en_US" w:bidi="en_US"/>
        </w:rPr>
        <w:t>Do not rejoice mainly that…, but rather that…</w:t>
      </w:r>
    </w:p>
    <w:p>
      <w:pPr/>
      <w:r>
        <w:rPr>
          <w:lang w:val="en_US" w:bidi="en_US"/>
        </w:rPr>
      </w:r>
      <w:r>
        <w:rPr>
          <w:lang w:val="en_US" w:bidi="en_US"/>
        </w:rPr>
        <w:t>You are happy that…, but you should be more happy that…</w:t>
      </w:r>
    </w:p>
    <w:p>
      <w:pPr>
        <w:pStyle w:val="Heading5"/>
      </w:pPr>
      <w:r>
        <w:rPr>
          <w:lang w:val="en_US" w:bidi="en_US"/>
        </w:rPr>
        <w:t>10:20a</w:t>
      </w:r>
    </w:p>
    <w:p>
      <w:pPr/>
      <w:r>
        <w:rPr>
          <w:lang w:val="en_US" w:bidi="en_US"/>
        </w:rPr>
      </w:r>
      <w:r>
        <w:rPr>
          <w:b/>
          <w:lang w:val="en_US" w:bidi="en_US"/>
        </w:rPr>
        <w:t>Nevertheless, do not rejoice that the spirits submit to you,</w:t>
      </w:r>
    </w:p>
    <w:p>
      <w:pPr>
        <w:pStyle w:val="ListBullet"/>
        <w:spacing w:line="240" w:lineRule="auto"/>
        <w:ind w:left="720"/>
      </w:pPr>
      <w:r>
        <w:rPr>
          <w:lang w:val="en_US" w:bidi="en_US"/>
        </w:rPr>
      </w:r>
      <w:r>
        <w:rPr>
          <w:lang w:val="en_US" w:bidi="en_US"/>
        </w:rPr>
        <w:t xml:space="preserve">But/Nevertheless do not be happy </w:t>
      </w:r>
      <w:r>
        <w:rPr>
          <w:lang w:val="en_US" w:bidi="en_US"/>
        </w:rPr>
        <w:t>just</w:t>
      </w:r>
      <w:r>
        <w:rPr>
          <w:lang w:val="en_US" w:bidi="en_US"/>
        </w:rPr>
        <w:t xml:space="preserve"> because the </w:t>
      </w:r>
      <w:r>
        <w:rPr>
          <w:lang w:val="en_US" w:bidi="en_US"/>
        </w:rPr>
        <w:t>evil</w:t>
      </w:r>
      <w:r>
        <w:rPr>
          <w:lang w:val="en_US" w:bidi="en_US"/>
        </w:rPr>
        <w:t xml:space="preserve"> spirits obey you.</w:t>
      </w:r>
    </w:p>
    <w:p>
      <w:pPr>
        <w:pStyle w:val="ListBullet"/>
        <w:spacing w:line="240" w:lineRule="auto"/>
        <w:ind w:left="720"/>
      </w:pPr>
      <w:r>
        <w:rPr>
          <w:lang w:val="en_US" w:bidi="en_US"/>
        </w:rPr>
      </w:r>
      <w:r>
        <w:rPr>
          <w:lang w:val="en_US" w:bidi="en_US"/>
        </w:rPr>
        <w:t xml:space="preserve">But </w:t>
      </w:r>
      <w:r>
        <w:rPr>
          <w:lang w:val="en_US" w:bidi="en_US"/>
        </w:rPr>
        <w:t>even though that is true,</w:t>
      </w:r>
      <w:r>
        <w:rPr>
          <w:lang w:val="en_US" w:bidi="en_US"/>
        </w:rPr>
        <w:t xml:space="preserve"> the main cause of your happiness should not be that the demons obey you,</w:t>
      </w:r>
    </w:p>
    <w:p>
      <w:pPr/>
      <w:r>
        <w:rPr>
          <w:lang w:val="en_US" w:bidi="en_US"/>
        </w:rPr>
      </w:r>
      <w:r>
        <w:rPr>
          <w:b/>
          <w:lang w:val="en_US" w:bidi="en_US"/>
        </w:rPr>
        <w:t>Nevertheless:</w:t>
      </w:r>
      <w:r>
        <w:rPr>
          <w:lang w:val="en_US" w:bidi="en_US"/>
        </w:rPr>
        <w:t xml:space="preserve"> The Greek conjunction that the BSB translates here as </w:t>
      </w:r>
      <w:r>
        <w:rPr>
          <w:i/>
          <w:lang w:val="en_US" w:bidi="en_US"/>
        </w:rPr>
        <w:t>Nevertheless</w:t>
      </w:r>
      <w:r>
        <w:rPr>
          <w:lang w:val="en_US" w:bidi="en_US"/>
        </w:rPr>
        <w:t xml:space="preserve"> introduces a contrast with the figurative statement in 10:19. The implied connection is “even though I have given you authority over Satan and the evil spirits.” Some other ways to translate the connection are:</w:t>
      </w:r>
    </w:p>
    <w:p>
      <w:pPr/>
      <w:r>
        <w:rPr>
          <w:lang w:val="en_US" w:bidi="en_US"/>
        </w:rPr>
      </w:r>
      <w:r>
        <w:rPr>
          <w:lang w:val="en_US" w:bidi="en_US"/>
        </w:rPr>
        <w:t xml:space="preserve">But </w:t>
      </w:r>
      <w:r>
        <w:rPr>
          <w:lang w:val="en_US" w:bidi="en_US"/>
        </w:rPr>
        <w:t>even though that is true</w:t>
      </w:r>
    </w:p>
    <w:p>
      <w:pPr/>
      <w:r>
        <w:rPr>
          <w:lang w:val="en_US" w:bidi="en_US"/>
        </w:rPr>
      </w:r>
      <w:r>
        <w:rPr>
          <w:lang w:val="en_US" w:bidi="en_US"/>
        </w:rPr>
        <w:t>However (NIV)</w:t>
      </w:r>
    </w:p>
    <w:p>
      <w:pPr/>
      <w:r>
        <w:rPr>
          <w:lang w:val="en_US" w:bidi="en_US"/>
        </w:rPr>
      </w:r>
      <w:r>
        <w:rPr>
          <w:lang w:val="en_US" w:bidi="en_US"/>
        </w:rPr>
        <w:t>But (CEV)</w:t>
      </w:r>
    </w:p>
    <w:p>
      <w:pPr/>
      <w:r>
        <w:rPr>
          <w:lang w:val="en_US" w:bidi="en_US"/>
        </w:rPr>
      </w:r>
      <w:r>
        <w:rPr>
          <w:lang w:val="en_US" w:bidi="en_US"/>
        </w:rPr>
        <w:t xml:space="preserve">But although </w:t>
      </w:r>
      <w:r>
        <w:rPr>
          <w:lang w:val="en_US" w:bidi="en_US"/>
        </w:rPr>
        <w:t>I have given you this authority</w:t>
      </w:r>
    </w:p>
    <w:p>
      <w:pPr/>
      <w:r>
        <w:rPr>
          <w:lang w:val="en_US" w:bidi="en_US"/>
        </w:rPr>
      </w:r>
      <w:r>
        <w:rPr>
          <w:b/>
          <w:lang w:val="en_US" w:bidi="en_US"/>
        </w:rPr>
        <w:t>do not rejoice that the spirits submit to you:</w:t>
      </w:r>
      <w:r>
        <w:rPr>
          <w:lang w:val="en_US" w:bidi="en_US"/>
        </w:rPr>
        <w:t xml:space="preserve"> See the note on 10:20a–b. Jesus indicated here that his disciples had a more important reason to rejoice. Jesus was not saying that they should not be happy that the demons obeyed them.</w:t>
      </w:r>
    </w:p>
    <w:p>
      <w:pPr/>
      <w:r>
        <w:rPr>
          <w:lang w:val="en_US" w:bidi="en_US"/>
        </w:rPr>
      </w:r>
      <w:r>
        <w:rPr>
          <w:b/>
          <w:lang w:val="en_US" w:bidi="en_US"/>
        </w:rPr>
        <w:t>spirits:</w:t>
      </w:r>
      <w:r>
        <w:rPr>
          <w:lang w:val="en_US" w:bidi="en_US"/>
        </w:rPr>
        <w:t xml:space="preserve"> In this context </w:t>
      </w:r>
      <w:r>
        <w:rPr>
          <w:i/>
          <w:lang w:val="en_US" w:bidi="en_US"/>
        </w:rPr>
        <w:t>spirits</w:t>
      </w:r>
      <w:r>
        <w:rPr>
          <w:lang w:val="en_US" w:bidi="en_US"/>
        </w:rPr>
        <w:t xml:space="preserve"> refers to evil spirits, which are also called demons. See demon in the Glossary.</w:t>
      </w:r>
    </w:p>
    <w:p>
      <w:pPr>
        <w:pStyle w:val="Heading5"/>
      </w:pPr>
      <w:r>
        <w:rPr>
          <w:lang w:val="en_US" w:bidi="en_US"/>
        </w:rPr>
        <w:t>10:20b</w:t>
      </w:r>
    </w:p>
    <w:p>
      <w:pPr/>
      <w:r>
        <w:rPr>
          <w:lang w:val="en_US" w:bidi="en_US"/>
        </w:rPr>
      </w:r>
      <w:r>
        <w:rPr>
          <w:b/>
          <w:lang w:val="en_US" w:bidi="en_US"/>
        </w:rPr>
        <w:t>but rejoice that your names are written in heaven.”</w:t>
      </w:r>
    </w:p>
    <w:p>
      <w:pPr>
        <w:pStyle w:val="ListBullet"/>
        <w:spacing w:line="240" w:lineRule="auto"/>
        <w:ind w:left="720"/>
      </w:pPr>
      <w:r>
        <w:rPr>
          <w:lang w:val="en_US" w:bidi="en_US"/>
        </w:rPr>
      </w:r>
      <w:r>
        <w:rPr>
          <w:lang w:val="en_US" w:bidi="en_US"/>
        </w:rPr>
        <w:t xml:space="preserve">You should be </w:t>
      </w:r>
      <w:r>
        <w:rPr>
          <w:lang w:val="en_US" w:bidi="en_US"/>
        </w:rPr>
        <w:t>even more</w:t>
      </w:r>
      <w:r>
        <w:rPr>
          <w:lang w:val="en_US" w:bidi="en_US"/>
        </w:rPr>
        <w:t xml:space="preserve"> happy that your names have been written </w:t>
      </w:r>
      <w:r>
        <w:rPr>
          <w:lang w:val="en_US" w:bidi="en_US"/>
        </w:rPr>
        <w:t>in God’s book</w:t>
      </w:r>
      <w:r>
        <w:rPr>
          <w:lang w:val="en_US" w:bidi="en_US"/>
        </w:rPr>
        <w:t xml:space="preserve"> in heaven.”</w:t>
      </w:r>
    </w:p>
    <w:p>
      <w:pPr>
        <w:pStyle w:val="ListBullet"/>
        <w:spacing w:line="240" w:lineRule="auto"/>
        <w:ind w:left="720"/>
      </w:pPr>
      <w:r>
        <w:rPr>
          <w:lang w:val="en_US" w:bidi="en_US"/>
        </w:rPr>
      </w:r>
      <w:r>
        <w:rPr>
          <w:lang w:val="en_US" w:bidi="en_US"/>
        </w:rPr>
        <w:t xml:space="preserve">but rather that </w:t>
      </w:r>
      <w:r>
        <w:rPr>
          <w:lang w:val="en_US" w:bidi="en_US"/>
        </w:rPr>
        <w:t>God</w:t>
      </w:r>
      <w:r>
        <w:rPr>
          <w:lang w:val="en_US" w:bidi="en_US"/>
        </w:rPr>
        <w:t xml:space="preserve"> has written your names </w:t>
      </w:r>
      <w:r>
        <w:rPr>
          <w:lang w:val="en_US" w:bidi="en_US"/>
        </w:rPr>
        <w:t>in his list/record</w:t>
      </w:r>
      <w:r>
        <w:rPr>
          <w:lang w:val="en_US" w:bidi="en_US"/>
        </w:rPr>
        <w:t xml:space="preserve"> in heaven.”</w:t>
      </w:r>
    </w:p>
    <w:p>
      <w:pPr/>
      <w:r>
        <w:rPr>
          <w:lang w:val="en_US" w:bidi="en_US"/>
        </w:rPr>
      </w:r>
      <w:r>
        <w:rPr>
          <w:b/>
          <w:lang w:val="en_US" w:bidi="en_US"/>
        </w:rPr>
        <w:t>but rejoice that your names are written in heaven:</w:t>
      </w:r>
      <w:r>
        <w:rPr>
          <w:lang w:val="en_US" w:bidi="en_US"/>
        </w:rPr>
        <w:t xml:space="preserve"> Jesus was telling his disciples that they should be even happier that God had written their names in heaven. Another way to translate this clause is:</w:t>
      </w:r>
    </w:p>
    <w:p>
      <w:pPr/>
      <w:r>
        <w:rPr>
          <w:lang w:val="en_US" w:bidi="en_US"/>
        </w:rPr>
      </w:r>
      <w:r>
        <w:rPr>
          <w:lang w:val="en_US" w:bidi="en_US"/>
        </w:rPr>
        <w:t>Instead, your happiness should be based on the fact that your names are written in heaven.</w:t>
      </w:r>
    </w:p>
    <w:p>
      <w:pPr/>
      <w:r>
        <w:rPr>
          <w:lang w:val="en_US" w:bidi="en_US"/>
        </w:rPr>
      </w:r>
      <w:r>
        <w:rPr>
          <w:b/>
          <w:lang w:val="en_US" w:bidi="en_US"/>
        </w:rPr>
        <w:t>your names are written in heaven:</w:t>
      </w:r>
      <w:r>
        <w:rPr>
          <w:lang w:val="en_US" w:bidi="en_US"/>
        </w:rPr>
        <w:t xml:space="preserve"> The Greek verb that the BSB translates as </w:t>
      </w:r>
      <w:r>
        <w:rPr>
          <w:i/>
          <w:lang w:val="en_US" w:bidi="en_US"/>
        </w:rPr>
        <w:t>are written</w:t>
      </w:r>
      <w:r>
        <w:rPr>
          <w:lang w:val="en_US" w:bidi="en_US"/>
        </w:rPr>
        <w:t xml:space="preserve"> is a passive verb. The implied subject is God. Some ways to translate this verb are:</w:t>
      </w:r>
    </w:p>
    <w:p>
      <w:pPr>
        <w:pStyle w:val="ListBullet"/>
        <w:spacing w:line="240" w:lineRule="auto"/>
        <w:ind w:left="720"/>
      </w:pPr>
      <w:r>
        <w:rPr>
          <w:lang w:val="en_US" w:bidi="en_US"/>
        </w:rPr>
      </w:r>
      <w:r>
        <w:rPr>
          <w:lang w:val="en_US" w:bidi="en_US"/>
        </w:rPr>
        <w:t>As a passive verb. For example:</w:t>
      </w:r>
      <w:r>
        <w:rPr>
          <w:lang w:val="en_US" w:bidi="en_US"/>
        </w:rPr>
        <w:t>your names are registered in heaven (NLT)</w:t>
      </w:r>
    </w:p>
    <w:p>
      <w:pPr>
        <w:pStyle w:val="ListBullet"/>
        <w:spacing w:line="240" w:lineRule="auto"/>
        <w:ind w:left="720"/>
      </w:pPr>
      <w:r>
        <w:rPr>
          <w:lang w:val="en_US" w:bidi="en_US"/>
        </w:rPr>
      </w:r>
      <w:r>
        <w:rPr>
          <w:lang w:val="en_US" w:bidi="en_US"/>
        </w:rPr>
        <w:t>As an active verb. For example:</w:t>
      </w:r>
      <w:r>
        <w:rPr>
          <w:lang w:val="en_US" w:bidi="en_US"/>
        </w:rPr>
        <w:t>God</w:t>
      </w:r>
      <w:r>
        <w:rPr>
          <w:lang w:val="en_US" w:bidi="en_US"/>
        </w:rPr>
        <w:t xml:space="preserve"> has written your names in heaven</w:t>
      </w:r>
    </w:p>
    <w:p>
      <w:pPr/>
      <w:r>
        <w:rPr>
          <w:lang w:val="en_US" w:bidi="en_US"/>
        </w:rPr>
      </w:r>
      <w:r>
        <w:rPr>
          <w:lang w:val="en_US" w:bidi="en_US"/>
        </w:rPr>
        <w:t>Translate this in the way that is most natural in your language.</w:t>
      </w:r>
    </w:p>
    <w:p>
      <w:pPr/>
      <w:r>
        <w:rPr>
          <w:lang w:val="en_US" w:bidi="en_US"/>
        </w:rPr>
      </w:r>
      <w:r>
        <w:rPr>
          <w:b/>
          <w:lang w:val="en_US" w:bidi="en_US"/>
        </w:rPr>
        <w:t>are written:</w:t>
      </w:r>
      <w:r>
        <w:rPr>
          <w:lang w:val="en_US" w:bidi="en_US"/>
        </w:rPr>
        <w:t xml:space="preserve"> The Greek verb that the BSB translates as </w:t>
      </w:r>
      <w:r>
        <w:rPr>
          <w:i/>
          <w:lang w:val="en_US" w:bidi="en_US"/>
        </w:rPr>
        <w:t>are written</w:t>
      </w:r>
      <w:r>
        <w:rPr>
          <w:lang w:val="en_US" w:bidi="en_US"/>
        </w:rPr>
        <w:t xml:space="preserve"> means “are written/recorded.” It indicates here that the names of the disciples have been written, recorded, or listed by God in heaven. The text does not make explicit whether this list was written in a book, on a scroll, or on some other material.</w:t>
      </w:r>
    </w:p>
    <w:p>
      <w:pPr/>
      <w:r>
        <w:rPr>
          <w:lang w:val="en_US" w:bidi="en_US"/>
        </w:rPr>
      </w:r>
      <w:r>
        <w:rPr>
          <w:lang w:val="en_US" w:bidi="en_US"/>
        </w:rPr>
        <w:t>In some languages, it may be natural to make explicit what the list was written on. If so, you may use an expression that is natural in your language. For example:</w:t>
      </w:r>
    </w:p>
    <w:p>
      <w:pPr/>
      <w:r>
        <w:rPr>
          <w:lang w:val="en_US" w:bidi="en_US"/>
        </w:rPr>
      </w:r>
      <w:r>
        <w:rPr>
          <w:lang w:val="en_US" w:bidi="en_US"/>
        </w:rPr>
        <w:t xml:space="preserve">your names have been written </w:t>
      </w:r>
      <w:r>
        <w:rPr>
          <w:lang w:val="en_US" w:bidi="en_US"/>
        </w:rPr>
        <w:t>in God’s book/list</w:t>
      </w:r>
      <w:r>
        <w:rPr>
          <w:lang w:val="en_US" w:bidi="en_US"/>
        </w:rPr>
        <w:t xml:space="preserve"> in heaven</w:t>
      </w:r>
    </w:p>
    <w:p>
      <w:pPr/>
      <w:r>
        <w:rPr>
          <w:lang w:val="en_US" w:bidi="en_US"/>
        </w:rPr>
      </w:r>
      <w:r>
        <w:rPr>
          <w:lang w:val="en_US" w:bidi="en_US"/>
        </w:rPr>
        <w:t>Many other verses in the Bible mention that God has a list in heaven of the names of all the people who will live forever with him. This list is often referred to in English as the “Book of Life.” This is what Jesus referred to here. You may want to add a footnote that gives some of this background information. For example:</w:t>
      </w:r>
    </w:p>
    <w:p>
      <w:pPr/>
      <w:r>
        <w:rPr>
          <w:lang w:val="en_US" w:bidi="en_US"/>
        </w:rPr>
      </w:r>
      <w:r>
        <w:rPr>
          <w:lang w:val="en_US" w:bidi="en_US"/>
        </w:rPr>
        <w:t>In heaven, God has written the names of everyone who will gain eternal life. This book is also mentioned in Psalm 69:28, Philippians 4:3, Hebrews 12:23, Revelation 3:5, 13:8, 17:8, 20:12, 20:15, 21:27.</w:t>
      </w:r>
    </w:p>
    <w:p>
      <w:pPr/>
      <w:r>
        <w:rPr>
          <w:lang w:val="en_US" w:bidi="en_US"/>
        </w:rPr>
      </w:r>
      <w:r>
        <w:rPr>
          <w:b/>
          <w:lang w:val="en_US" w:bidi="en_US"/>
        </w:rPr>
        <w:t>heaven:</w:t>
      </w:r>
      <w:r>
        <w:rPr>
          <w:lang w:val="en_US" w:bidi="en_US"/>
        </w:rPr>
        <w:t xml:space="preserve"> Here the word </w:t>
      </w:r>
      <w:r>
        <w:rPr>
          <w:i/>
          <w:lang w:val="en_US" w:bidi="en_US"/>
        </w:rPr>
        <w:t>heaven</w:t>
      </w:r>
      <w:r>
        <w:rPr>
          <w:lang w:val="en_US" w:bidi="en_US"/>
        </w:rPr>
        <w:t xml:space="preserve"> refers to the place where God lives. See heaven, Meaning 2, in the Glossary.</w:t>
      </w:r>
    </w:p>
    <w:p>
      <w:pPr>
        <w:pStyle w:val="Heading6"/>
      </w:pPr>
      <w:r>
        <w:rPr>
          <w:b/>
          <w:lang w:val="en_US" w:bidi="en_US"/>
        </w:rPr>
        <w:t>General Comment on 10:20a–b</w:t>
      </w:r>
    </w:p>
    <w:p>
      <w:pPr/>
      <w:r>
        <w:rPr>
          <w:lang w:val="en_US" w:bidi="en_US"/>
        </w:rPr>
      </w:r>
      <w:r>
        <w:rPr>
          <w:lang w:val="en_US" w:bidi="en_US"/>
        </w:rPr>
        <w:t>In some languages it may be more natural to reorder 10:20a–b and put the positive command first. For example:</w:t>
      </w:r>
    </w:p>
    <w:p>
      <w:pPr/>
      <w:r>
        <w:rPr>
          <w:lang w:val="en_US" w:bidi="en_US"/>
        </w:rPr>
      </w:r>
      <w:r>
        <w:rPr>
          <w:vertAlign w:val="superscript"/>
          <w:lang w:val="en_US" w:bidi="en_US"/>
        </w:rPr>
        <w:t>20b</w:t>
      </w:r>
      <w:r>
        <w:rPr>
          <w:lang w:val="en_US" w:bidi="en_US"/>
        </w:rPr>
        <w:t xml:space="preserve">Although that is true, you should rejoice that God has written your names </w:t>
      </w:r>
      <w:r>
        <w:rPr>
          <w:lang w:val="en_US" w:bidi="en_US"/>
        </w:rPr>
        <w:t>in His book</w:t>
      </w:r>
      <w:r>
        <w:rPr>
          <w:lang w:val="en_US" w:bidi="en_US"/>
        </w:rPr>
        <w:t xml:space="preserve"> in heaven </w:t>
      </w:r>
      <w:r>
        <w:rPr>
          <w:vertAlign w:val="superscript"/>
          <w:lang w:val="en_US" w:bidi="en_US"/>
        </w:rPr>
        <w:t>20a</w:t>
      </w:r>
      <w:r>
        <w:rPr>
          <w:lang w:val="en_US" w:bidi="en_US"/>
        </w:rPr>
        <w:t xml:space="preserve">much more than you rejoice that </w:t>
      </w:r>
      <w:r>
        <w:rPr>
          <w:lang w:val="en_US" w:bidi="en_US"/>
        </w:rPr>
        <w:t>evil</w:t>
      </w:r>
      <w:r>
        <w:rPr>
          <w:lang w:val="en_US" w:bidi="en_US"/>
        </w:rPr>
        <w:t xml:space="preserve"> spirits obey you! (TRT)</w:t>
      </w:r>
      <w:r>
        <w:rPr>
          <w:lang w:val="en_US" w:bidi="en_US"/>
        </w:rPr>
      </w:r>
      <w:r>
        <w:rPr>
          <w:lang w:val="en_US" w:bidi="en_US"/>
        </w:rPr>
      </w:r>
    </w:p>
    <w:p>
      <w:pPr/>
      <w:r>
        <w:rPr>
          <w:lang w:val="en_US" w:bidi="en_US"/>
        </w:rPr>
      </w:r>
    </w:p>
    <w:p>
      <w:pPr>
        <w:pStyle w:val="Heading2"/>
      </w:pPr>
      <w:r>
        <w:rPr>
          <w:lang w:val="en_US" w:bidi="en_US"/>
        </w:rPr>
        <w:t>Luke 10:21</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5"/>
      </w:pPr>
      <w:r>
        <w:rPr>
          <w:lang w:val="en_US" w:bidi="en_US"/>
        </w:rPr>
        <w:t>10:21a</w:t>
      </w:r>
    </w:p>
    <w:p>
      <w:pPr/>
      <w:r>
        <w:rPr>
          <w:lang w:val="en_US" w:bidi="en_US"/>
        </w:rPr>
      </w:r>
      <w:r>
        <w:rPr>
          <w:b/>
          <w:lang w:val="en_US" w:bidi="en_US"/>
        </w:rPr>
        <w:t>At that time Jesus rejoiced in the Holy Spirit</w:t>
      </w:r>
    </w:p>
    <w:p>
      <w:pPr>
        <w:pStyle w:val="ListBullet"/>
        <w:spacing w:line="240" w:lineRule="auto"/>
        <w:ind w:left="720"/>
      </w:pPr>
      <w:r>
        <w:rPr>
          <w:lang w:val="en_US" w:bidi="en_US"/>
        </w:rPr>
      </w:r>
      <w:r>
        <w:rPr>
          <w:lang w:val="en_US" w:bidi="en_US"/>
        </w:rPr>
        <w:t>¶ Then, while the Holy Spirit filled him with joy, Jesus</w:t>
      </w:r>
    </w:p>
    <w:p>
      <w:pPr>
        <w:pStyle w:val="ListBullet"/>
        <w:spacing w:line="240" w:lineRule="auto"/>
        <w:ind w:left="720"/>
      </w:pPr>
      <w:r>
        <w:rPr>
          <w:lang w:val="en_US" w:bidi="en_US"/>
        </w:rPr>
      </w:r>
      <w:r>
        <w:rPr>
          <w:lang w:val="en_US" w:bidi="en_US"/>
        </w:rPr>
        <w:t>¶ At that very time the Holy Spirit caused Jesus to be very happy.</w:t>
      </w:r>
    </w:p>
    <w:p>
      <w:pPr/>
      <w:r>
        <w:rPr>
          <w:lang w:val="en_US" w:bidi="en_US"/>
        </w:rPr>
      </w:r>
      <w:r>
        <w:rPr>
          <w:b/>
          <w:lang w:val="en_US" w:bidi="en_US"/>
        </w:rPr>
        <w:t>At that time:</w:t>
      </w:r>
      <w:r>
        <w:rPr>
          <w:lang w:val="en_US" w:bidi="en_US"/>
        </w:rPr>
        <w:t xml:space="preserve"> The Greek phrase that the BSB translates as </w:t>
      </w:r>
      <w:r>
        <w:rPr>
          <w:i/>
          <w:lang w:val="en_US" w:bidi="en_US"/>
        </w:rPr>
        <w:t>At that time</w:t>
      </w:r>
      <w:r>
        <w:rPr>
          <w:lang w:val="en_US" w:bidi="en_US"/>
        </w:rPr>
        <w:t xml:space="preserve"> is literally “in the same hour.” This refers to that same time (10:18–20) when Jesus talked to his disciples about overcoming Satan and about God writing their names in heaven. Other ways to translate this phrase are:</w:t>
      </w:r>
    </w:p>
    <w:p>
      <w:pPr/>
      <w:r>
        <w:rPr>
          <w:lang w:val="en_US" w:bidi="en_US"/>
        </w:rPr>
      </w:r>
      <w:r>
        <w:rPr>
          <w:lang w:val="en_US" w:bidi="en_US"/>
        </w:rPr>
        <w:t>At that same hour (NRSV)</w:t>
      </w:r>
    </w:p>
    <w:p>
      <w:pPr/>
      <w:r>
        <w:rPr>
          <w:lang w:val="en_US" w:bidi="en_US"/>
        </w:rPr>
      </w:r>
      <w:r>
        <w:rPr>
          <w:lang w:val="en_US" w:bidi="en_US"/>
        </w:rPr>
        <w:t>Then (NCV)</w:t>
      </w:r>
    </w:p>
    <w:p>
      <w:pPr/>
      <w:r>
        <w:rPr>
          <w:lang w:val="en_US" w:bidi="en_US"/>
        </w:rPr>
      </w:r>
      <w:r>
        <w:rPr>
          <w:lang w:val="en_US" w:bidi="en_US"/>
        </w:rPr>
        <w:t>At that same time (CEV)</w:t>
      </w:r>
    </w:p>
    <w:p>
      <w:pPr/>
      <w:r>
        <w:rPr>
          <w:lang w:val="en_US" w:bidi="en_US"/>
        </w:rPr>
      </w:r>
      <w:r>
        <w:rPr>
          <w:b/>
          <w:lang w:val="en_US" w:bidi="en_US"/>
        </w:rPr>
        <w:t>Jesus rejoiced in the Holy Spirit:</w:t>
      </w:r>
      <w:r>
        <w:rPr>
          <w:lang w:val="en_US" w:bidi="en_US"/>
        </w:rPr>
        <w:t xml:space="preserve"> The phrase </w:t>
      </w:r>
      <w:r>
        <w:rPr>
          <w:i/>
          <w:lang w:val="en_US" w:bidi="en_US"/>
        </w:rPr>
        <w:t>Jesus rejoiced in the Holy Spirit</w:t>
      </w:r>
      <w:r>
        <w:rPr>
          <w:lang w:val="en_US" w:bidi="en_US"/>
        </w:rPr>
        <w:t xml:space="preserve"> means that the Holy Spirit caused Jesus to be very happy. In some languages it may be natural to translate this as a clause with the Holy Spirit as the subject. For example:</w:t>
      </w:r>
    </w:p>
    <w:p>
      <w:pPr/>
      <w:r>
        <w:rPr>
          <w:lang w:val="en_US" w:bidi="en_US"/>
        </w:rPr>
      </w:r>
      <w:r>
        <w:rPr>
          <w:lang w:val="en_US" w:bidi="en_US"/>
        </w:rPr>
        <w:t>the Holy Spirit caused Jesus to be very joyful</w:t>
      </w:r>
    </w:p>
    <w:p>
      <w:pPr/>
      <w:r>
        <w:rPr>
          <w:lang w:val="en_US" w:bidi="en_US"/>
        </w:rPr>
      </w:r>
      <w:r>
        <w:rPr>
          <w:b/>
          <w:lang w:val="en_US" w:bidi="en_US"/>
        </w:rPr>
        <w:t>the Holy Spirit:</w:t>
      </w:r>
      <w:r>
        <w:rPr>
          <w:lang w:val="en_US" w:bidi="en_US"/>
        </w:rPr>
        <w:t xml:space="preserve"> The Greek phrase that the BSB translates as </w:t>
      </w:r>
      <w:r>
        <w:rPr>
          <w:i/>
          <w:lang w:val="en_US" w:bidi="en_US"/>
        </w:rPr>
        <w:t>Holy Spirit</w:t>
      </w:r>
      <w:r>
        <w:rPr>
          <w:lang w:val="en_US" w:bidi="en_US"/>
        </w:rPr>
        <w:t xml:space="preserve"> refers to the Spirit of God. The </w:t>
      </w:r>
      <w:r>
        <w:rPr>
          <w:i/>
          <w:lang w:val="en_US" w:bidi="en_US"/>
        </w:rPr>
        <w:t>Holy Spirit</w:t>
      </w:r>
      <w:r>
        <w:rPr>
          <w:lang w:val="en_US" w:bidi="en_US"/>
        </w:rPr>
        <w:t xml:space="preserve"> is God, together with God the Father and God the Son. The </w:t>
      </w:r>
      <w:r>
        <w:rPr>
          <w:i/>
          <w:lang w:val="en_US" w:bidi="en_US"/>
        </w:rPr>
        <w:t>Holy Spirit</w:t>
      </w:r>
      <w:r>
        <w:rPr>
          <w:lang w:val="en_US" w:bidi="en_US"/>
        </w:rPr>
        <w:t xml:space="preserve"> is </w:t>
      </w:r>
      <w:r>
        <w:rPr>
          <w:i/>
          <w:lang w:val="en_US" w:bidi="en_US"/>
        </w:rPr>
        <w:t>Spirit</w:t>
      </w:r>
      <w:r>
        <w:rPr>
          <w:lang w:val="en_US" w:bidi="en_US"/>
        </w:rPr>
        <w:t xml:space="preserve"> in the sense that he is a living being who does not have a physical body. He is </w:t>
      </w:r>
      <w:r>
        <w:rPr>
          <w:i/>
          <w:lang w:val="en_US" w:bidi="en_US"/>
        </w:rPr>
        <w:t>Holy</w:t>
      </w:r>
      <w:r>
        <w:rPr>
          <w:lang w:val="en_US" w:bidi="en_US"/>
        </w:rPr>
        <w:t xml:space="preserve"> in the sense that he is divine. He is perfect in every way and is completely pure and sinless. Because of these qualities, he is worthy of awe.</w:t>
      </w:r>
    </w:p>
    <w:p>
      <w:pPr/>
      <w:r>
        <w:rPr>
          <w:lang w:val="en_US" w:bidi="en_US"/>
        </w:rPr>
      </w:r>
      <w:r>
        <w:rPr>
          <w:lang w:val="en_US" w:bidi="en_US"/>
        </w:rPr>
        <w:t xml:space="preserve">Some ways to translate </w:t>
      </w:r>
      <w:r>
        <w:rPr>
          <w:i/>
          <w:lang w:val="en_US" w:bidi="en_US"/>
        </w:rPr>
        <w:t>Holy Spirit</w:t>
      </w:r>
      <w:r>
        <w:rPr>
          <w:lang w:val="en_US" w:bidi="en_US"/>
        </w:rPr>
        <w:t xml:space="preserve"> are:</w:t>
      </w:r>
    </w:p>
    <w:p>
      <w:pPr/>
      <w:r>
        <w:rPr>
          <w:lang w:val="en_US" w:bidi="en_US"/>
        </w:rPr>
      </w:r>
      <w:r>
        <w:rPr>
          <w:lang w:val="en_US" w:bidi="en_US"/>
        </w:rPr>
        <w:t>Spirit/Breath of God</w:t>
      </w:r>
    </w:p>
    <w:p>
      <w:pPr/>
      <w:r>
        <w:rPr>
          <w:lang w:val="en_US" w:bidi="en_US"/>
        </w:rPr>
      </w:r>
      <w:r>
        <w:rPr>
          <w:lang w:val="en_US" w:bidi="en_US"/>
        </w:rPr>
        <w:t>Holy/Sacred Spirit</w:t>
      </w:r>
    </w:p>
    <w:p>
      <w:pPr/>
      <w:r>
        <w:rPr>
          <w:lang w:val="en_US" w:bidi="en_US"/>
        </w:rPr>
      </w:r>
      <w:r>
        <w:rPr>
          <w:lang w:val="en_US" w:bidi="en_US"/>
        </w:rPr>
        <w:t xml:space="preserve">Do not imply that the </w:t>
      </w:r>
      <w:r>
        <w:rPr>
          <w:i/>
          <w:lang w:val="en_US" w:bidi="en_US"/>
        </w:rPr>
        <w:t>Holy Spirit</w:t>
      </w:r>
      <w:r>
        <w:rPr>
          <w:lang w:val="en_US" w:bidi="en_US"/>
        </w:rPr>
        <w:t xml:space="preserve"> is like the ghost of a dead person or that God has died.</w:t>
      </w:r>
    </w:p>
    <w:p>
      <w:pPr/>
      <w:r>
        <w:rPr>
          <w:lang w:val="en_US" w:bidi="en_US"/>
        </w:rPr>
      </w:r>
      <w:r>
        <w:rPr>
          <w:lang w:val="en_US" w:bidi="en_US"/>
        </w:rPr>
        <w:t xml:space="preserve">The first time that the term </w:t>
      </w:r>
      <w:r>
        <w:rPr>
          <w:i/>
          <w:lang w:val="en_US" w:bidi="en_US"/>
        </w:rPr>
        <w:t>Holy Spirit</w:t>
      </w:r>
      <w:r>
        <w:rPr>
          <w:lang w:val="en_US" w:bidi="en_US"/>
        </w:rPr>
        <w:t xml:space="preserve"> occurs in Luke is in 1:15c.</w:t>
      </w:r>
    </w:p>
    <w:p>
      <w:pPr>
        <w:pStyle w:val="Heading5"/>
      </w:pPr>
      <w:r>
        <w:rPr>
          <w:lang w:val="en_US" w:bidi="en_US"/>
        </w:rPr>
        <w:t>10:21b</w:t>
      </w:r>
    </w:p>
    <w:p>
      <w:pPr/>
      <w:r>
        <w:rPr>
          <w:lang w:val="en_US" w:bidi="en_US"/>
        </w:rPr>
      </w:r>
      <w:r>
        <w:rPr>
          <w:b/>
          <w:lang w:val="en_US" w:bidi="en_US"/>
        </w:rPr>
        <w:t>and declared, “I praise You, Father, Lord of heaven and earth,</w:t>
      </w:r>
    </w:p>
    <w:p>
      <w:pPr>
        <w:pStyle w:val="ListBullet"/>
        <w:spacing w:line="240" w:lineRule="auto"/>
        <w:ind w:left="720"/>
      </w:pPr>
      <w:r>
        <w:rPr>
          <w:lang w:val="en_US" w:bidi="en_US"/>
        </w:rPr>
      </w:r>
      <w:r>
        <w:rPr>
          <w:lang w:val="en_US" w:bidi="en_US"/>
        </w:rPr>
        <w:t xml:space="preserve">prayed, saying, “I praise you, </w:t>
      </w:r>
      <w:r>
        <w:rPr>
          <w:lang w:val="en_US" w:bidi="en_US"/>
        </w:rPr>
        <w:t>my</w:t>
      </w:r>
      <w:r>
        <w:rPr>
          <w:lang w:val="en_US" w:bidi="en_US"/>
        </w:rPr>
        <w:t xml:space="preserve"> Father, you who are Lord/Master over heaven and earth,</w:t>
      </w:r>
    </w:p>
    <w:p>
      <w:pPr>
        <w:pStyle w:val="ListBullet"/>
        <w:spacing w:line="240" w:lineRule="auto"/>
        <w:ind w:left="720"/>
      </w:pPr>
      <w:r>
        <w:rPr>
          <w:lang w:val="en_US" w:bidi="en_US"/>
        </w:rPr>
      </w:r>
      <w:r>
        <w:rPr>
          <w:lang w:val="en_US" w:bidi="en_US"/>
        </w:rPr>
        <w:t xml:space="preserve">And Jesus said </w:t>
      </w:r>
      <w:r>
        <w:rPr>
          <w:lang w:val="en_US" w:bidi="en_US"/>
        </w:rPr>
        <w:t>to God</w:t>
      </w:r>
      <w:r>
        <w:rPr>
          <w:lang w:val="en_US" w:bidi="en_US"/>
        </w:rPr>
        <w:t>, “</w:t>
      </w:r>
      <w:r>
        <w:rPr>
          <w:lang w:val="en_US" w:bidi="en_US"/>
        </w:rPr>
        <w:t>My</w:t>
      </w:r>
      <w:r>
        <w:rPr>
          <w:lang w:val="en_US" w:bidi="en_US"/>
        </w:rPr>
        <w:t xml:space="preserve"> Father, you rule everything and everyone on earth and in heaven. I thank you</w:t>
      </w:r>
    </w:p>
    <w:p>
      <w:pPr/>
      <w:r>
        <w:rPr>
          <w:lang w:val="en_US" w:bidi="en_US"/>
        </w:rPr>
      </w:r>
      <w:r>
        <w:rPr>
          <w:b/>
          <w:lang w:val="en_US" w:bidi="en_US"/>
        </w:rPr>
        <w:t>declared, “I praise You, Father…”:</w:t>
      </w:r>
      <w:r>
        <w:rPr>
          <w:lang w:val="en_US" w:bidi="en_US"/>
        </w:rPr>
        <w:t xml:space="preserve"> The clause </w:t>
      </w:r>
      <w:r>
        <w:rPr>
          <w:i/>
          <w:lang w:val="en_US" w:bidi="en_US"/>
        </w:rPr>
        <w:t>I praise You, Father</w:t>
      </w:r>
      <w:r>
        <w:rPr>
          <w:lang w:val="en_US" w:bidi="en_US"/>
        </w:rPr>
        <w:t xml:space="preserve"> indicates that Jesus was speaking to God, his Father. In some languages it may be more natural to make this explicit. Two ways to do this are:</w:t>
      </w:r>
    </w:p>
    <w:p>
      <w:pPr>
        <w:pStyle w:val="ListBullet"/>
        <w:spacing w:line="240" w:lineRule="auto"/>
        <w:ind w:left="720"/>
      </w:pPr>
      <w:r>
        <w:rPr>
          <w:lang w:val="en_US" w:bidi="en_US"/>
        </w:rPr>
      </w:r>
      <w:r>
        <w:rPr>
          <w:lang w:val="en_US" w:bidi="en_US"/>
        </w:rPr>
        <w:t>Use a specific verb that indicates that Jesus was addressing God. For example:</w:t>
      </w:r>
      <w:r>
        <w:rPr>
          <w:lang w:val="en_US" w:bidi="en_US"/>
        </w:rPr>
        <w:t>prayed,</w:t>
      </w:r>
      <w:r>
        <w:rPr>
          <w:lang w:val="en_US" w:bidi="en_US"/>
        </w:rPr>
        <w:t xml:space="preserve"> saying, “I praise you, Father…”</w:t>
      </w:r>
    </w:p>
    <w:p>
      <w:pPr>
        <w:pStyle w:val="ListBullet"/>
        <w:spacing w:line="240" w:lineRule="auto"/>
        <w:ind w:left="720"/>
      </w:pPr>
      <w:r>
        <w:rPr>
          <w:lang w:val="en_US" w:bidi="en_US"/>
        </w:rPr>
      </w:r>
      <w:r>
        <w:rPr>
          <w:lang w:val="en_US" w:bidi="en_US"/>
        </w:rPr>
        <w:t>Specify that Jesus was talking to God. For example:</w:t>
      </w:r>
      <w:r>
        <w:rPr>
          <w:lang w:val="en_US" w:bidi="en_US"/>
        </w:rPr>
        <w:t xml:space="preserve">said </w:t>
      </w:r>
      <w:r>
        <w:rPr>
          <w:lang w:val="en_US" w:bidi="en_US"/>
        </w:rPr>
        <w:t>to God</w:t>
      </w:r>
      <w:r>
        <w:rPr>
          <w:lang w:val="en_US" w:bidi="en_US"/>
        </w:rPr>
        <w:t>, “I praise you, Father…”</w:t>
      </w:r>
      <w:r>
        <w:rPr>
          <w:lang w:val="en_US" w:bidi="en_US"/>
        </w:rPr>
        <w:t xml:space="preserve">said, “I praise you, </w:t>
      </w:r>
      <w:r>
        <w:rPr>
          <w:lang w:val="en_US" w:bidi="en_US"/>
        </w:rPr>
        <w:t>God my</w:t>
      </w:r>
      <w:r>
        <w:rPr>
          <w:lang w:val="en_US" w:bidi="en_US"/>
        </w:rPr>
        <w:t xml:space="preserve"> Father…”</w:t>
      </w:r>
    </w:p>
    <w:p>
      <w:pPr/>
      <w:r>
        <w:rPr>
          <w:lang w:val="en_US" w:bidi="en_US"/>
        </w:rPr>
      </w:r>
      <w:r>
        <w:rPr>
          <w:lang w:val="en_US" w:bidi="en_US"/>
        </w:rPr>
        <w:t>Translate this in the way that is most natural in your language.</w:t>
      </w:r>
    </w:p>
    <w:p>
      <w:pPr/>
      <w:r>
        <w:rPr>
          <w:lang w:val="en_US" w:bidi="en_US"/>
        </w:rPr>
      </w:r>
      <w:r>
        <w:rPr>
          <w:b/>
          <w:lang w:val="en_US" w:bidi="en_US"/>
        </w:rPr>
        <w:t>I praise You, Father, Lord of heaven and earth:</w:t>
      </w:r>
      <w:r>
        <w:rPr>
          <w:lang w:val="en_US" w:bidi="en_US"/>
        </w:rPr>
        <w:t xml:space="preserve"> In some languages it may be more natural to change the order of phrases in this part of the verse. For example:</w:t>
      </w:r>
    </w:p>
    <w:p>
      <w:pPr/>
      <w:r>
        <w:rPr>
          <w:lang w:val="en_US" w:bidi="en_US"/>
        </w:rPr>
      </w:r>
      <w:r>
        <w:rPr>
          <w:lang w:val="en_US" w:bidi="en_US"/>
        </w:rPr>
        <w:t>O Father, Lord of heaven and earth, thank you (NLT)</w:t>
      </w:r>
    </w:p>
    <w:p>
      <w:pPr/>
      <w:r>
        <w:rPr>
          <w:lang w:val="en_US" w:bidi="en_US"/>
        </w:rPr>
      </w:r>
      <w:r>
        <w:rPr>
          <w:b/>
          <w:lang w:val="en_US" w:bidi="en_US"/>
        </w:rPr>
        <w:t>I praise You:</w:t>
      </w:r>
      <w:r>
        <w:rPr>
          <w:lang w:val="en_US" w:bidi="en_US"/>
        </w:rPr>
        <w:t xml:space="preserve"> The Greek verb that the BSB translates as </w:t>
      </w:r>
      <w:r>
        <w:rPr>
          <w:i/>
          <w:lang w:val="en_US" w:bidi="en_US"/>
        </w:rPr>
        <w:t>praise</w:t>
      </w:r>
      <w:r>
        <w:rPr>
          <w:lang w:val="en_US" w:bidi="en_US"/>
        </w:rPr>
        <w:t xml:space="preserve"> has several meanings. In this context it means “acknowledge with thanks or praise.” Many English versions translate the phrase simply as “I thank you” or </w:t>
      </w:r>
      <w:r>
        <w:rPr>
          <w:i/>
          <w:lang w:val="en_US" w:bidi="en_US"/>
        </w:rPr>
        <w:t>I praise You</w:t>
      </w:r>
      <w:r>
        <w:rPr>
          <w:lang w:val="en_US" w:bidi="en_US"/>
        </w:rPr>
        <w:t>.</w:t>
      </w:r>
      <w:r>
        <w:rPr>
          <w:lang w:val="en_US" w:bidi="en_US"/>
        </w:rPr>
        <w:t>The NJB says “I bless you,” which could perhaps be interpreted as either praise or thanks.</w:t>
      </w:r>
      <w:r>
        <w:rPr>
          <w:lang w:val="en_US" w:bidi="en_US"/>
        </w:rPr>
        <w:t xml:space="preserve"> Use a natural expression in your language for this context.</w:t>
      </w:r>
    </w:p>
    <w:p>
      <w:pPr/>
      <w:r>
        <w:rPr>
          <w:lang w:val="en_US" w:bidi="en_US"/>
        </w:rPr>
      </w:r>
      <w:r>
        <w:rPr>
          <w:b/>
          <w:lang w:val="en_US" w:bidi="en_US"/>
        </w:rPr>
        <w:t>Father, Lord of heaven and earth:</w:t>
      </w:r>
      <w:r>
        <w:rPr>
          <w:lang w:val="en_US" w:bidi="en_US"/>
        </w:rPr>
        <w:t xml:space="preserve"> The words </w:t>
      </w:r>
      <w:r>
        <w:rPr>
          <w:i/>
          <w:lang w:val="en_US" w:bidi="en_US"/>
        </w:rPr>
        <w:t>Father</w:t>
      </w:r>
      <w:r>
        <w:rPr>
          <w:lang w:val="en_US" w:bidi="en_US"/>
        </w:rPr>
        <w:t xml:space="preserve"> and </w:t>
      </w:r>
      <w:r>
        <w:rPr>
          <w:i/>
          <w:lang w:val="en_US" w:bidi="en_US"/>
        </w:rPr>
        <w:t>Lord of heaven and earth</w:t>
      </w:r>
      <w:r>
        <w:rPr>
          <w:lang w:val="en_US" w:bidi="en_US"/>
        </w:rPr>
        <w:t xml:space="preserve"> are two titles that Jesus used to address God here. In some languages it may be more natural to make one of these titles a complete sentence. For example:</w:t>
      </w:r>
    </w:p>
    <w:p>
      <w:pPr/>
      <w:r>
        <w:rPr>
          <w:lang w:val="en_US" w:bidi="en_US"/>
        </w:rPr>
      </w:r>
      <w:r>
        <w:rPr>
          <w:lang w:val="en_US" w:bidi="en_US"/>
        </w:rPr>
        <w:t>Father, you are Lord of heaven and earth</w:t>
      </w:r>
    </w:p>
    <w:p>
      <w:pPr/>
      <w:r>
        <w:rPr>
          <w:lang w:val="en_US" w:bidi="en_US"/>
        </w:rPr>
      </w:r>
      <w:r>
        <w:rPr>
          <w:b/>
          <w:lang w:val="en_US" w:bidi="en_US"/>
        </w:rPr>
        <w:t>Father:</w:t>
      </w:r>
      <w:r>
        <w:rPr>
          <w:lang w:val="en_US" w:bidi="en_US"/>
        </w:rPr>
        <w:t xml:space="preserve"> In some languages a term of address such as </w:t>
      </w:r>
      <w:r>
        <w:rPr>
          <w:i/>
          <w:lang w:val="en_US" w:bidi="en_US"/>
        </w:rPr>
        <w:t>Father</w:t>
      </w:r>
      <w:r>
        <w:rPr>
          <w:lang w:val="en_US" w:bidi="en_US"/>
        </w:rPr>
        <w:t xml:space="preserve"> requires a personal pronoun. For example:</w:t>
      </w:r>
    </w:p>
    <w:p>
      <w:pPr/>
      <w:r>
        <w:rPr>
          <w:lang w:val="en_US" w:bidi="en_US"/>
        </w:rPr>
      </w:r>
      <w:r>
        <w:rPr>
          <w:lang w:val="en_US" w:bidi="en_US"/>
        </w:rPr>
        <w:t>my Father</w:t>
      </w:r>
    </w:p>
    <w:p>
      <w:pPr/>
      <w:r>
        <w:rPr>
          <w:lang w:val="en_US" w:bidi="en_US"/>
        </w:rPr>
      </w:r>
      <w:r>
        <w:rPr>
          <w:lang w:val="en_US" w:bidi="en_US"/>
        </w:rPr>
        <w:t>Use a natural way in your language for a son to address his father.</w:t>
      </w:r>
    </w:p>
    <w:p>
      <w:pPr/>
      <w:r>
        <w:rPr>
          <w:lang w:val="en_US" w:bidi="en_US"/>
        </w:rPr>
      </w:r>
      <w:r>
        <w:rPr>
          <w:b/>
          <w:lang w:val="en_US" w:bidi="en_US"/>
        </w:rPr>
        <w:t>Lord of heaven and earth:</w:t>
      </w:r>
      <w:r>
        <w:rPr>
          <w:lang w:val="en_US" w:bidi="en_US"/>
        </w:rPr>
        <w:t xml:space="preserve"> Jesus referred to his Father, God, as the </w:t>
      </w:r>
      <w:r>
        <w:rPr>
          <w:i/>
          <w:lang w:val="en_US" w:bidi="en_US"/>
        </w:rPr>
        <w:t>Lord of heaven and earth</w:t>
      </w:r>
      <w:r>
        <w:rPr>
          <w:lang w:val="en_US" w:bidi="en_US"/>
        </w:rPr>
        <w:t>. This title indicates that God is the Lord who rules everyone and everything in the entire world/universe. See heaven in the Glossary. See also Lord, Context 2, in the Glossary.</w:t>
      </w:r>
    </w:p>
    <w:p>
      <w:pPr>
        <w:pStyle w:val="Heading5"/>
      </w:pPr>
      <w:r>
        <w:rPr>
          <w:lang w:val="en_US" w:bidi="en_US"/>
        </w:rPr>
        <w:t>10:21c</w:t>
      </w:r>
    </w:p>
    <w:p>
      <w:pPr/>
      <w:r>
        <w:rPr>
          <w:lang w:val="en_US" w:bidi="en_US"/>
        </w:rPr>
      </w:r>
      <w:r>
        <w:rPr>
          <w:b/>
          <w:lang w:val="en_US" w:bidi="en_US"/>
        </w:rPr>
        <w:t>because You have hidden these things from the wise and learned,</w:t>
      </w:r>
    </w:p>
    <w:p>
      <w:pPr>
        <w:pStyle w:val="ListBullet"/>
        <w:spacing w:line="240" w:lineRule="auto"/>
        <w:ind w:left="720"/>
      </w:pPr>
      <w:r>
        <w:rPr>
          <w:lang w:val="en_US" w:bidi="en_US"/>
        </w:rPr>
      </w:r>
      <w:r>
        <w:rPr>
          <w:lang w:val="en_US" w:bidi="en_US"/>
        </w:rPr>
        <w:t xml:space="preserve">because you have concealed these things/truths from clever/intelligent people who have studied </w:t>
      </w:r>
      <w:r>
        <w:rPr>
          <w:lang w:val="en_US" w:bidi="en_US"/>
        </w:rPr>
        <w:t>many things</w:t>
      </w:r>
      <w:r>
        <w:rPr>
          <w:lang w:val="en_US" w:bidi="en_US"/>
        </w:rPr>
        <w:t>,</w:t>
      </w:r>
    </w:p>
    <w:p>
      <w:pPr>
        <w:pStyle w:val="ListBullet"/>
        <w:spacing w:line="240" w:lineRule="auto"/>
        <w:ind w:left="720"/>
      </w:pPr>
      <w:r>
        <w:rPr>
          <w:lang w:val="en_US" w:bidi="en_US"/>
        </w:rPr>
      </w:r>
      <w:r>
        <w:rPr>
          <w:lang w:val="en_US" w:bidi="en_US"/>
        </w:rPr>
        <w:t xml:space="preserve">that you have not allowed wise or educated people to know these things </w:t>
      </w:r>
      <w:r>
        <w:rPr>
          <w:lang w:val="en_US" w:bidi="en_US"/>
        </w:rPr>
        <w:t>which I have told my disciples</w:t>
      </w:r>
      <w:r>
        <w:rPr>
          <w:lang w:val="en_US" w:bidi="en_US"/>
        </w:rPr>
        <w:t>.</w:t>
      </w:r>
    </w:p>
    <w:p>
      <w:pPr/>
      <w:r>
        <w:rPr>
          <w:lang w:val="en_US" w:bidi="en_US"/>
        </w:rPr>
      </w:r>
      <w:r>
        <w:rPr>
          <w:b/>
          <w:lang w:val="en_US" w:bidi="en_US"/>
        </w:rPr>
        <w:t>because You have…:</w:t>
      </w:r>
      <w:r>
        <w:rPr>
          <w:lang w:val="en_US" w:bidi="en_US"/>
        </w:rPr>
        <w:t xml:space="preserve"> The Greek conjunction that the BSB translates as </w:t>
      </w:r>
      <w:r>
        <w:rPr>
          <w:i/>
          <w:lang w:val="en_US" w:bidi="en_US"/>
        </w:rPr>
        <w:t>because</w:t>
      </w:r>
      <w:r>
        <w:rPr>
          <w:lang w:val="en_US" w:bidi="en_US"/>
        </w:rPr>
        <w:t xml:space="preserve"> can be translated as “that.” Several English versions translate it that way. There are at least two ways to translate the clause that this conjunction introduces here:</w:t>
      </w:r>
    </w:p>
    <w:p>
      <w:pPr>
        <w:pStyle w:val="ListBullet"/>
        <w:spacing w:line="240" w:lineRule="auto"/>
        <w:ind w:left="720"/>
      </w:pPr>
      <w:r>
        <w:rPr>
          <w:lang w:val="en_US" w:bidi="en_US"/>
        </w:rPr>
      </w:r>
      <w:r>
        <w:rPr>
          <w:lang w:val="en_US" w:bidi="en_US"/>
        </w:rPr>
        <w:t>Translate it as what Jesus was thanking/praising God for. For example:</w:t>
      </w:r>
      <w:r>
        <w:rPr>
          <w:lang w:val="en_US" w:bidi="en_US"/>
        </w:rPr>
        <w:t>I thank/praise you…that you have…</w:t>
      </w:r>
    </w:p>
    <w:p>
      <w:pPr>
        <w:pStyle w:val="ListBullet"/>
        <w:spacing w:line="240" w:lineRule="auto"/>
        <w:ind w:left="720"/>
      </w:pPr>
      <w:r>
        <w:rPr>
          <w:lang w:val="en_US" w:bidi="en_US"/>
        </w:rPr>
      </w:r>
      <w:r>
        <w:rPr>
          <w:lang w:val="en_US" w:bidi="en_US"/>
        </w:rPr>
        <w:t>Translate it as the reason why Jesus was thanking/praising God. For example:</w:t>
      </w:r>
      <w:r>
        <w:rPr>
          <w:lang w:val="en_US" w:bidi="en_US"/>
        </w:rPr>
        <w:t>I thank/praise you…because you have…</w:t>
      </w:r>
    </w:p>
    <w:p>
      <w:pPr/>
      <w:r>
        <w:rPr>
          <w:lang w:val="en_US" w:bidi="en_US"/>
        </w:rPr>
      </w:r>
      <w:r>
        <w:rPr>
          <w:lang w:val="en_US" w:bidi="en_US"/>
        </w:rPr>
        <w:t>There is little difference in meaning. You may translate either way.</w:t>
      </w:r>
    </w:p>
    <w:p>
      <w:pPr/>
      <w:r>
        <w:rPr>
          <w:lang w:val="en_US" w:bidi="en_US"/>
        </w:rPr>
      </w:r>
      <w:r>
        <w:rPr>
          <w:b/>
          <w:lang w:val="en_US" w:bidi="en_US"/>
        </w:rPr>
        <w:t>You have hidden these things from the wise and learned:</w:t>
      </w:r>
      <w:r>
        <w:rPr>
          <w:lang w:val="en_US" w:bidi="en_US"/>
        </w:rPr>
        <w:t xml:space="preserve"> The phrase </w:t>
      </w:r>
      <w:r>
        <w:rPr>
          <w:i/>
          <w:lang w:val="en_US" w:bidi="en_US"/>
        </w:rPr>
        <w:t>You have hidden</w:t>
      </w:r>
      <w:r>
        <w:rPr>
          <w:lang w:val="en_US" w:bidi="en_US"/>
        </w:rPr>
        <w:t xml:space="preserve"> means “you have concealed” or “you have kept secret.” In this context it indicates that God had prevented the people who were </w:t>
      </w:r>
      <w:r>
        <w:rPr>
          <w:i/>
          <w:lang w:val="en_US" w:bidi="en_US"/>
        </w:rPr>
        <w:t>wise and learned</w:t>
      </w:r>
      <w:r>
        <w:rPr>
          <w:lang w:val="en_US" w:bidi="en_US"/>
        </w:rPr>
        <w:t xml:space="preserve"> from knowing these things.</w:t>
      </w:r>
    </w:p>
    <w:p>
      <w:pPr/>
      <w:r>
        <w:rPr>
          <w:lang w:val="en_US" w:bidi="en_US"/>
        </w:rPr>
      </w:r>
      <w:r>
        <w:rPr>
          <w:b/>
          <w:lang w:val="en_US" w:bidi="en_US"/>
        </w:rPr>
        <w:t>these things:</w:t>
      </w:r>
      <w:r>
        <w:rPr>
          <w:lang w:val="en_US" w:bidi="en_US"/>
        </w:rPr>
        <w:t xml:space="preserve"> The phrase </w:t>
      </w:r>
      <w:r>
        <w:rPr>
          <w:i/>
          <w:lang w:val="en_US" w:bidi="en_US"/>
        </w:rPr>
        <w:t>these things</w:t>
      </w:r>
      <w:r>
        <w:rPr>
          <w:lang w:val="en_US" w:bidi="en_US"/>
        </w:rPr>
        <w:t xml:space="preserve"> apparently refers to what Jesus said in 10:18–20. It probably includes the truths about God’s kingdom. Since scholars do not know exactly what this phrase refers to, you should translate it in a general way. For example:</w:t>
      </w:r>
    </w:p>
    <w:p>
      <w:pPr/>
      <w:r>
        <w:rPr>
          <w:lang w:val="en_US" w:bidi="en_US"/>
        </w:rPr>
      </w:r>
      <w:r>
        <w:rPr>
          <w:lang w:val="en_US" w:bidi="en_US"/>
        </w:rPr>
        <w:t>these truths</w:t>
      </w:r>
    </w:p>
    <w:p>
      <w:pPr/>
      <w:r>
        <w:rPr>
          <w:lang w:val="en_US" w:bidi="en_US"/>
        </w:rPr>
      </w:r>
      <w:r>
        <w:rPr>
          <w:lang w:val="en_US" w:bidi="en_US"/>
        </w:rPr>
        <w:t>this knowledge</w:t>
      </w:r>
    </w:p>
    <w:p>
      <w:pPr/>
      <w:r>
        <w:rPr>
          <w:lang w:val="en_US" w:bidi="en_US"/>
        </w:rPr>
      </w:r>
      <w:r>
        <w:rPr>
          <w:lang w:val="en_US" w:bidi="en_US"/>
        </w:rPr>
        <w:t>Another way to translate this phrase is to leave it implied. For example:</w:t>
      </w:r>
    </w:p>
    <w:p>
      <w:pPr/>
      <w:r>
        <w:rPr>
          <w:lang w:val="en_US" w:bidi="en_US"/>
        </w:rPr>
      </w:r>
      <w:r>
        <w:rPr>
          <w:lang w:val="en_US" w:bidi="en_US"/>
        </w:rPr>
        <w:t>you have shown to the unlearned what you have hidden from the wise and learned (GNT)</w:t>
      </w:r>
    </w:p>
    <w:p>
      <w:pPr/>
      <w:r>
        <w:rPr>
          <w:lang w:val="en_US" w:bidi="en_US"/>
        </w:rPr>
      </w:r>
      <w:r>
        <w:rPr>
          <w:lang w:val="en_US" w:bidi="en_US"/>
        </w:rPr>
        <w:t>Notice that here the GNT has also changed the order of the verse parts. See the General Comment on 10:21c–d below.</w:t>
      </w:r>
    </w:p>
    <w:p>
      <w:pPr/>
      <w:r>
        <w:rPr>
          <w:lang w:val="en_US" w:bidi="en_US"/>
        </w:rPr>
      </w:r>
      <w:r>
        <w:rPr>
          <w:b/>
          <w:lang w:val="en_US" w:bidi="en_US"/>
        </w:rPr>
        <w:t>the wise and learned:</w:t>
      </w:r>
      <w:r>
        <w:rPr>
          <w:lang w:val="en_US" w:bidi="en_US"/>
        </w:rPr>
        <w:t xml:space="preserve"> The two Greek words that the BSB translates as </w:t>
      </w:r>
      <w:r>
        <w:rPr>
          <w:i/>
          <w:lang w:val="en_US" w:bidi="en_US"/>
        </w:rPr>
        <w:t>wise</w:t>
      </w:r>
      <w:r>
        <w:rPr>
          <w:lang w:val="en_US" w:bidi="en_US"/>
        </w:rPr>
        <w:t xml:space="preserve"> and </w:t>
      </w:r>
      <w:r>
        <w:rPr>
          <w:i/>
          <w:lang w:val="en_US" w:bidi="en_US"/>
        </w:rPr>
        <w:t>learned</w:t>
      </w:r>
      <w:r>
        <w:rPr>
          <w:lang w:val="en_US" w:bidi="en_US"/>
        </w:rPr>
        <w:t xml:space="preserve"> have almost the same meaning. They refer here to people who had studied many things and had a reputation for being wise and intelligent. This phrase may also imply that they considered themselves to be wise and intelligent. Other ways to translate this phrase are:</w:t>
      </w:r>
    </w:p>
    <w:p>
      <w:pPr/>
      <w:r>
        <w:rPr>
          <w:lang w:val="en_US" w:bidi="en_US"/>
        </w:rPr>
      </w:r>
      <w:r>
        <w:rPr>
          <w:lang w:val="en_US" w:bidi="en_US"/>
        </w:rPr>
        <w:t>wise and intelligent people (GW)</w:t>
      </w:r>
    </w:p>
    <w:p>
      <w:pPr/>
      <w:r>
        <w:rPr>
          <w:lang w:val="en_US" w:bidi="en_US"/>
        </w:rPr>
      </w:r>
      <w:r>
        <w:rPr>
          <w:lang w:val="en_US" w:bidi="en_US"/>
        </w:rPr>
        <w:t>clever people who have studied many things</w:t>
      </w:r>
    </w:p>
    <w:p>
      <w:pPr/>
      <w:r>
        <w:rPr>
          <w:lang w:val="en_US" w:bidi="en_US"/>
        </w:rPr>
      </w:r>
      <w:r>
        <w:rPr>
          <w:lang w:val="en_US" w:bidi="en_US"/>
        </w:rPr>
        <w:t>In some languages it may be more natural to use one expression to translate these similar ideas. For example:</w:t>
      </w:r>
    </w:p>
    <w:p>
      <w:pPr/>
      <w:r>
        <w:rPr>
          <w:lang w:val="en_US" w:bidi="en_US"/>
        </w:rPr>
      </w:r>
      <w:r>
        <w:rPr>
          <w:lang w:val="en_US" w:bidi="en_US"/>
        </w:rPr>
        <w:t>people who know many things</w:t>
      </w:r>
    </w:p>
    <w:p>
      <w:pPr>
        <w:pStyle w:val="Heading5"/>
      </w:pPr>
      <w:r>
        <w:rPr>
          <w:lang w:val="en_US" w:bidi="en_US"/>
        </w:rPr>
        <w:t>10:21d</w:t>
      </w:r>
    </w:p>
    <w:p>
      <w:pPr/>
      <w:r>
        <w:rPr>
          <w:lang w:val="en_US" w:bidi="en_US"/>
        </w:rPr>
      </w:r>
      <w:r>
        <w:rPr>
          <w:b/>
          <w:lang w:val="en_US" w:bidi="en_US"/>
        </w:rPr>
        <w:t>and revealed them to little children.</w:t>
      </w:r>
    </w:p>
    <w:p>
      <w:pPr>
        <w:pStyle w:val="ListBullet"/>
        <w:spacing w:line="240" w:lineRule="auto"/>
        <w:ind w:left="720"/>
      </w:pPr>
      <w:r>
        <w:rPr>
          <w:lang w:val="en_US" w:bidi="en_US"/>
        </w:rPr>
      </w:r>
      <w:r>
        <w:rPr>
          <w:lang w:val="en_US" w:bidi="en_US"/>
        </w:rPr>
        <w:t xml:space="preserve">and </w:t>
      </w:r>
      <w:r>
        <w:rPr>
          <w:lang w:val="en_US" w:bidi="en_US"/>
        </w:rPr>
        <w:t>instead you</w:t>
      </w:r>
      <w:r>
        <w:rPr>
          <w:lang w:val="en_US" w:bidi="en_US"/>
        </w:rPr>
        <w:t xml:space="preserve"> have shown these things/truths to </w:t>
      </w:r>
      <w:r>
        <w:rPr>
          <w:lang w:val="en_US" w:bidi="en_US"/>
        </w:rPr>
        <w:t>those who are humble like</w:t>
      </w:r>
      <w:r>
        <w:rPr>
          <w:lang w:val="en_US" w:bidi="en_US"/>
        </w:rPr>
        <w:t xml:space="preserve"> small children.</w:t>
      </w:r>
    </w:p>
    <w:p>
      <w:pPr>
        <w:pStyle w:val="ListBullet"/>
        <w:spacing w:line="240" w:lineRule="auto"/>
        <w:ind w:left="720"/>
      </w:pPr>
      <w:r>
        <w:rPr>
          <w:lang w:val="en_US" w:bidi="en_US"/>
        </w:rPr>
      </w:r>
      <w:r>
        <w:rPr>
          <w:lang w:val="en_US" w:bidi="en_US"/>
        </w:rPr>
        <w:t xml:space="preserve">But/Instead you have allowed </w:t>
      </w:r>
      <w:r>
        <w:rPr>
          <w:lang w:val="en_US" w:bidi="en_US"/>
        </w:rPr>
        <w:t>ordinary</w:t>
      </w:r>
      <w:r>
        <w:rPr>
          <w:lang w:val="en_US" w:bidi="en_US"/>
        </w:rPr>
        <w:t xml:space="preserve"> people to know them.</w:t>
      </w:r>
    </w:p>
    <w:p>
      <w:pPr/>
      <w:r>
        <w:rPr>
          <w:lang w:val="en_US" w:bidi="en_US"/>
        </w:rPr>
      </w:r>
      <w:r>
        <w:rPr>
          <w:b/>
          <w:lang w:val="en_US" w:bidi="en_US"/>
        </w:rPr>
        <w:t>and:</w:t>
      </w:r>
      <w:r>
        <w:rPr>
          <w:lang w:val="en_US" w:bidi="en_US"/>
        </w:rPr>
        <w:t xml:space="preserve"> The conjunction that the BSB translates as </w:t>
      </w:r>
      <w:r>
        <w:rPr>
          <w:i/>
          <w:lang w:val="en_US" w:bidi="en_US"/>
        </w:rPr>
        <w:t>and</w:t>
      </w:r>
      <w:r>
        <w:rPr>
          <w:lang w:val="en_US" w:bidi="en_US"/>
        </w:rPr>
        <w:t xml:space="preserve"> introduces a statement that contrasts with the statement in 10:21c. God treated the people in 10:21c in a different way from the way he treated the people in 10:21d. Connect these statements in a natural way in your language. Some other ways to do this in English are:</w:t>
      </w:r>
    </w:p>
    <w:p>
      <w:pPr/>
      <w:r>
        <w:rPr>
          <w:lang w:val="en_US" w:bidi="en_US"/>
        </w:rPr>
      </w:r>
      <w:r>
        <w:rPr>
          <w:lang w:val="en_US" w:bidi="en_US"/>
        </w:rPr>
        <w:t>and instead</w:t>
      </w:r>
    </w:p>
    <w:p>
      <w:pPr/>
      <w:r>
        <w:rPr>
          <w:lang w:val="en_US" w:bidi="en_US"/>
        </w:rPr>
      </w:r>
      <w:r>
        <w:rPr>
          <w:lang w:val="en_US" w:bidi="en_US"/>
        </w:rPr>
        <w:t>But (NCV)</w:t>
      </w:r>
    </w:p>
    <w:p>
      <w:pPr/>
      <w:r>
        <w:rPr>
          <w:lang w:val="en_US" w:bidi="en_US"/>
        </w:rPr>
      </w:r>
      <w:r>
        <w:rPr>
          <w:b/>
          <w:lang w:val="en_US" w:bidi="en_US"/>
        </w:rPr>
        <w:t>revealed them to little children:</w:t>
      </w:r>
      <w:r>
        <w:rPr>
          <w:lang w:val="en_US" w:bidi="en_US"/>
        </w:rPr>
        <w:t xml:space="preserve"> In this context the phrase </w:t>
      </w:r>
      <w:r>
        <w:rPr>
          <w:i/>
          <w:lang w:val="en_US" w:bidi="en_US"/>
        </w:rPr>
        <w:t>little children</w:t>
      </w:r>
      <w:r>
        <w:rPr>
          <w:lang w:val="en_US" w:bidi="en_US"/>
        </w:rPr>
        <w:t xml:space="preserve"> is a metaphor in which the topic is left implied. It refers to people who are like children in some way. Some of the points of similarity are that they were humble, ordinary people, and they were willing for Jesus to teach them. Some ways to translate this metaphor are:</w:t>
      </w:r>
    </w:p>
    <w:p>
      <w:pPr>
        <w:pStyle w:val="ListBullet"/>
        <w:spacing w:line="240" w:lineRule="auto"/>
        <w:ind w:left="720"/>
      </w:pPr>
      <w:r>
        <w:rPr>
          <w:lang w:val="en_US" w:bidi="en_US"/>
        </w:rPr>
      </w:r>
      <w:r>
        <w:rPr>
          <w:lang w:val="en_US" w:bidi="en_US"/>
        </w:rPr>
        <w:t>Change the metaphor to a simile. For example:</w:t>
      </w:r>
      <w:r>
        <w:rPr>
          <w:lang w:val="en_US" w:bidi="en_US"/>
        </w:rPr>
        <w:t>you have shown them to those who are like little children (NCV)</w:t>
      </w:r>
    </w:p>
    <w:p>
      <w:pPr>
        <w:pStyle w:val="ListBullet"/>
        <w:spacing w:line="240" w:lineRule="auto"/>
        <w:ind w:left="720"/>
      </w:pPr>
      <w:r>
        <w:rPr>
          <w:lang w:val="en_US" w:bidi="en_US"/>
        </w:rPr>
      </w:r>
      <w:r>
        <w:rPr>
          <w:lang w:val="en_US" w:bidi="en_US"/>
        </w:rPr>
        <w:t>Make one or more points of similarity explicit. For example:</w:t>
      </w:r>
      <w:r>
        <w:rPr>
          <w:lang w:val="en_US" w:bidi="en_US"/>
        </w:rPr>
        <w:t xml:space="preserve">you have made these truths known to people who are </w:t>
      </w:r>
      <w:r>
        <w:rPr>
          <w:lang w:val="en_US" w:bidi="en_US"/>
        </w:rPr>
        <w:t>humble and teachable</w:t>
      </w:r>
      <w:r>
        <w:rPr>
          <w:lang w:val="en_US" w:bidi="en_US"/>
        </w:rPr>
        <w:t xml:space="preserve"> like little children</w:t>
      </w:r>
    </w:p>
    <w:p>
      <w:pPr>
        <w:pStyle w:val="ListBullet"/>
        <w:spacing w:line="240" w:lineRule="auto"/>
        <w:ind w:left="720"/>
      </w:pPr>
      <w:r>
        <w:rPr>
          <w:lang w:val="en_US" w:bidi="en_US"/>
        </w:rPr>
      </w:r>
      <w:r>
        <w:rPr>
          <w:lang w:val="en_US" w:bidi="en_US"/>
        </w:rPr>
        <w:t>State the meaning without the figure of speech. For example:</w:t>
      </w:r>
      <w:r>
        <w:rPr>
          <w:lang w:val="en_US" w:bidi="en_US"/>
        </w:rPr>
        <w:t>you have shown to the unlearned (GNT)</w:t>
      </w:r>
      <w:r>
        <w:rPr>
          <w:lang w:val="en_US" w:bidi="en_US"/>
        </w:rPr>
        <w:t>showed it to ordinary people (CEV)</w:t>
      </w:r>
    </w:p>
    <w:p>
      <w:pPr/>
      <w:r>
        <w:rPr>
          <w:lang w:val="en_US" w:bidi="en_US"/>
        </w:rPr>
      </w:r>
      <w:r>
        <w:rPr>
          <w:lang w:val="en_US" w:bidi="en_US"/>
        </w:rPr>
        <w:t>Translate this metaphor in the way that is most natural in your language.</w:t>
      </w:r>
    </w:p>
    <w:p>
      <w:pPr>
        <w:pStyle w:val="Heading6"/>
      </w:pPr>
      <w:r>
        <w:rPr>
          <w:b/>
          <w:lang w:val="en_US" w:bidi="en_US"/>
        </w:rPr>
        <w:t>General Comment on 10:21c–d</w:t>
      </w:r>
    </w:p>
    <w:p>
      <w:pPr/>
      <w:r>
        <w:rPr>
          <w:lang w:val="en_US" w:bidi="en_US"/>
        </w:rPr>
      </w:r>
      <w:r>
        <w:rPr>
          <w:lang w:val="en_US" w:bidi="en_US"/>
        </w:rPr>
        <w:t xml:space="preserve">In 10:21c Jesus thanked God for </w:t>
      </w:r>
      <w:r>
        <w:rPr>
          <w:u w:val="single"/>
          <w:lang w:val="en_US" w:bidi="en_US"/>
        </w:rPr>
        <w:t>not</w:t>
      </w:r>
      <w:r>
        <w:rPr>
          <w:lang w:val="en_US" w:bidi="en_US"/>
        </w:rPr>
        <w:t xml:space="preserve"> revealing things to certain people. In 10:21d Jesus thanked God for revealing those things to other people. In some languages it may be more natural to place the statement in 10:21d before the negative statement in 10:21c. For example:</w:t>
      </w:r>
    </w:p>
    <w:p>
      <w:pPr/>
      <w:r>
        <w:rPr>
          <w:lang w:val="en_US" w:bidi="en_US"/>
        </w:rPr>
      </w:r>
      <w:r>
        <w:rPr>
          <w:vertAlign w:val="superscript"/>
          <w:lang w:val="en_US" w:bidi="en_US"/>
        </w:rPr>
        <w:t>21d</w:t>
      </w:r>
      <w:r>
        <w:rPr>
          <w:lang w:val="en_US" w:bidi="en_US"/>
        </w:rPr>
        <w:t xml:space="preserve">My father, I thank you for making known these things to </w:t>
      </w:r>
      <w:r>
        <w:rPr>
          <w:lang w:val="en_US" w:bidi="en_US"/>
        </w:rPr>
        <w:t>people who are like</w:t>
      </w:r>
      <w:r>
        <w:rPr>
          <w:lang w:val="en_US" w:bidi="en_US"/>
        </w:rPr>
        <w:t xml:space="preserve"> little children. </w:t>
      </w:r>
      <w:r>
        <w:rPr>
          <w:vertAlign w:val="superscript"/>
          <w:lang w:val="en_US" w:bidi="en_US"/>
        </w:rPr>
        <w:t>21c</w:t>
      </w:r>
      <w:r>
        <w:rPr>
          <w:lang w:val="en_US" w:bidi="en_US"/>
        </w:rPr>
        <w:t>I</w:t>
      </w:r>
      <w:r>
        <w:rPr>
          <w:lang w:val="en_US" w:bidi="en_US"/>
        </w:rPr>
        <w:t xml:space="preserve"> also </w:t>
      </w:r>
      <w:r>
        <w:rPr>
          <w:lang w:val="en_US" w:bidi="en_US"/>
        </w:rPr>
        <w:t>thank you</w:t>
      </w:r>
      <w:r>
        <w:rPr>
          <w:lang w:val="en_US" w:bidi="en_US"/>
        </w:rPr>
        <w:t xml:space="preserve"> for not making them known to people who are wise and highly educated.</w:t>
      </w:r>
    </w:p>
    <w:p>
      <w:pPr>
        <w:pStyle w:val="Heading5"/>
      </w:pPr>
      <w:r>
        <w:rPr>
          <w:lang w:val="en_US" w:bidi="en_US"/>
        </w:rPr>
        <w:t>10:21e</w:t>
      </w:r>
    </w:p>
    <w:p>
      <w:pPr/>
      <w:r>
        <w:rPr>
          <w:lang w:val="en_US" w:bidi="en_US"/>
        </w:rPr>
      </w:r>
      <w:r>
        <w:rPr>
          <w:b/>
          <w:lang w:val="en_US" w:bidi="en_US"/>
        </w:rPr>
        <w:t>Yes, Father, for this was well-pleasing in Your sight.</w:t>
      </w:r>
    </w:p>
    <w:p>
      <w:pPr>
        <w:pStyle w:val="ListBullet"/>
        <w:spacing w:line="240" w:lineRule="auto"/>
        <w:ind w:left="720"/>
      </w:pPr>
      <w:r>
        <w:rPr>
          <w:lang w:val="en_US" w:bidi="en_US"/>
        </w:rPr>
      </w:r>
      <w:r>
        <w:rPr>
          <w:lang w:val="en_US" w:bidi="en_US"/>
        </w:rPr>
        <w:t xml:space="preserve">Father, I know that </w:t>
      </w:r>
      <w:r>
        <w:rPr>
          <w:lang w:val="en_US" w:bidi="en_US"/>
        </w:rPr>
        <w:t>you did it</w:t>
      </w:r>
      <w:r>
        <w:rPr>
          <w:lang w:val="en_US" w:bidi="en_US"/>
        </w:rPr>
        <w:t xml:space="preserve"> this </w:t>
      </w:r>
      <w:r>
        <w:rPr>
          <w:lang w:val="en_US" w:bidi="en_US"/>
        </w:rPr>
        <w:t>way</w:t>
      </w:r>
      <w:r>
        <w:rPr>
          <w:lang w:val="en_US" w:bidi="en_US"/>
        </w:rPr>
        <w:t xml:space="preserve"> because you wanted to.”</w:t>
      </w:r>
    </w:p>
    <w:p>
      <w:pPr>
        <w:pStyle w:val="ListBullet"/>
        <w:spacing w:line="240" w:lineRule="auto"/>
        <w:ind w:left="720"/>
      </w:pPr>
      <w:r>
        <w:rPr>
          <w:lang w:val="en_US" w:bidi="en_US"/>
        </w:rPr>
      </w:r>
      <w:r>
        <w:rPr>
          <w:lang w:val="en_US" w:bidi="en_US"/>
        </w:rPr>
        <w:t xml:space="preserve">Yes, Father, </w:t>
      </w:r>
      <w:r>
        <w:rPr>
          <w:lang w:val="en_US" w:bidi="en_US"/>
        </w:rPr>
        <w:t>I praise you</w:t>
      </w:r>
      <w:r>
        <w:rPr>
          <w:lang w:val="en_US" w:bidi="en_US"/>
        </w:rPr>
        <w:t xml:space="preserve"> because this </w:t>
      </w:r>
      <w:r>
        <w:rPr>
          <w:lang w:val="en_US" w:bidi="en_US"/>
        </w:rPr>
        <w:t>way of doing it</w:t>
      </w:r>
      <w:r>
        <w:rPr>
          <w:lang w:val="en_US" w:bidi="en_US"/>
        </w:rPr>
        <w:t xml:space="preserve"> pleased you.”</w:t>
      </w:r>
    </w:p>
    <w:p>
      <w:pPr/>
      <w:r>
        <w:rPr>
          <w:lang w:val="en_US" w:bidi="en_US"/>
        </w:rPr>
      </w:r>
      <w:r>
        <w:rPr>
          <w:b/>
          <w:lang w:val="en_US" w:bidi="en_US"/>
        </w:rPr>
        <w:t>Yes, Father:</w:t>
      </w:r>
      <w:r>
        <w:rPr>
          <w:lang w:val="en_US" w:bidi="en_US"/>
        </w:rPr>
        <w:t xml:space="preserve"> The Greek word that the BSB translates as </w:t>
      </w:r>
      <w:r>
        <w:rPr>
          <w:i/>
          <w:lang w:val="en_US" w:bidi="en_US"/>
        </w:rPr>
        <w:t>Yes</w:t>
      </w:r>
      <w:r>
        <w:rPr>
          <w:lang w:val="en_US" w:bidi="en_US"/>
        </w:rPr>
        <w:t xml:space="preserve"> here affirms or emphasizes what Jesus had just said in 10:21b–d. In some languages it may be necessary to make explicit what Jesus was affirming. For example:</w:t>
      </w:r>
    </w:p>
    <w:p>
      <w:pPr/>
      <w:r>
        <w:rPr>
          <w:lang w:val="en_US" w:bidi="en_US"/>
        </w:rPr>
      </w:r>
      <w:r>
        <w:rPr>
          <w:lang w:val="en_US" w:bidi="en_US"/>
        </w:rPr>
        <w:t xml:space="preserve">Yes, Father, </w:t>
      </w:r>
      <w:r>
        <w:rPr>
          <w:lang w:val="en_US" w:bidi="en_US"/>
        </w:rPr>
        <w:t>you did it this way</w:t>
      </w:r>
      <w:r>
        <w:rPr>
          <w:lang w:val="en_US" w:bidi="en_US"/>
        </w:rPr>
        <w:t xml:space="preserve"> because…</w:t>
      </w:r>
    </w:p>
    <w:p>
      <w:pPr/>
      <w:r>
        <w:rPr>
          <w:lang w:val="en_US" w:bidi="en_US"/>
        </w:rPr>
      </w:r>
      <w:r>
        <w:rPr>
          <w:lang w:val="en_US" w:bidi="en_US"/>
        </w:rPr>
        <w:t xml:space="preserve">Yes, Father, </w:t>
      </w:r>
      <w:r>
        <w:rPr>
          <w:lang w:val="en_US" w:bidi="en_US"/>
        </w:rPr>
        <w:t>I praise/thank you</w:t>
      </w:r>
      <w:r>
        <w:rPr>
          <w:lang w:val="en_US" w:bidi="en_US"/>
        </w:rPr>
        <w:t xml:space="preserve"> because…</w:t>
      </w:r>
    </w:p>
    <w:p>
      <w:pPr/>
      <w:r>
        <w:rPr>
          <w:lang w:val="en_US" w:bidi="en_US"/>
        </w:rPr>
      </w:r>
      <w:r>
        <w:rPr>
          <w:lang w:val="en_US" w:bidi="en_US"/>
        </w:rPr>
        <w:t>In some languages, a literal expression such as “Yes, Father,” may wrongly imply that Jesus was replying to something his Father had said. Another way to translate this affirmation is:</w:t>
      </w:r>
    </w:p>
    <w:p>
      <w:pPr/>
      <w:r>
        <w:rPr>
          <w:lang w:val="en_US" w:bidi="en_US"/>
        </w:rPr>
      </w:r>
      <w:r>
        <w:rPr>
          <w:lang w:val="en_US" w:bidi="en_US"/>
        </w:rPr>
        <w:t>You did that,</w:t>
      </w:r>
      <w:r>
        <w:rPr>
          <w:lang w:val="en_US" w:bidi="en_US"/>
        </w:rPr>
        <w:t xml:space="preserve"> Father, because…</w:t>
      </w:r>
    </w:p>
    <w:p>
      <w:pPr/>
      <w:r>
        <w:rPr>
          <w:lang w:val="en_US" w:bidi="en_US"/>
        </w:rPr>
      </w:r>
      <w:r>
        <w:rPr>
          <w:lang w:val="en_US" w:bidi="en_US"/>
        </w:rPr>
        <w:t>Try to find a natural way to do this in your language.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for the implied information that Jesus affirmed when he said, </w:t>
      </w:r>
      <w:r>
        <w:rPr>
          <w:i/>
          <w:lang w:val="en_US" w:bidi="en_US"/>
        </w:rPr>
        <w:t>Yes, Father</w:t>
      </w:r>
      <w:r>
        <w:rPr>
          <w:lang w:val="en_US" w:bidi="en_US"/>
        </w:rPr>
        <w:t>. See the three examples in the preceding note for ways to translate this implied information.</w:t>
      </w:r>
    </w:p>
    <w:p>
      <w:pPr/>
      <w:r>
        <w:rPr>
          <w:lang w:val="en_US" w:bidi="en_US"/>
        </w:rPr>
      </w:r>
      <w:r>
        <w:rPr>
          <w:lang w:val="en_US" w:bidi="en_US"/>
        </w:rPr>
        <w:t>In some languages it may not be necessary to use an explicit conjunction such as “for/because.” For example:</w:t>
      </w:r>
    </w:p>
    <w:p>
      <w:pPr/>
      <w:r>
        <w:rPr>
          <w:lang w:val="en_US" w:bidi="en_US"/>
        </w:rPr>
      </w:r>
      <w:r>
        <w:rPr>
          <w:lang w:val="en_US" w:bidi="en_US"/>
        </w:rPr>
        <w:t>Yes, Father, that is what pleased you. (CEV)</w:t>
      </w:r>
    </w:p>
    <w:p>
      <w:pPr/>
      <w:r>
        <w:rPr>
          <w:lang w:val="en_US" w:bidi="en_US"/>
        </w:rPr>
      </w:r>
      <w:r>
        <w:rPr>
          <w:b/>
          <w:lang w:val="en_US" w:bidi="en_US"/>
        </w:rPr>
        <w:t>this was well-pleasing in Your sight:</w:t>
      </w:r>
      <w:r>
        <w:rPr>
          <w:lang w:val="en_US" w:bidi="en_US"/>
        </w:rPr>
        <w:t xml:space="preserve"> The phrase </w:t>
      </w:r>
      <w:r>
        <w:rPr>
          <w:i/>
          <w:lang w:val="en_US" w:bidi="en_US"/>
        </w:rPr>
        <w:t>this was well-pleasing in Your sight</w:t>
      </w:r>
      <w:r>
        <w:rPr>
          <w:lang w:val="en_US" w:bidi="en_US"/>
        </w:rPr>
        <w:t xml:space="preserve"> means “this was what you were pleased to do.” God wanted this and chose to act in this way. Other ways to translate this phrase are:</w:t>
      </w:r>
    </w:p>
    <w:p>
      <w:pPr/>
      <w:r>
        <w:rPr>
          <w:lang w:val="en_US" w:bidi="en_US"/>
        </w:rPr>
      </w:r>
      <w:r>
        <w:rPr>
          <w:lang w:val="en_US" w:bidi="en_US"/>
        </w:rPr>
        <w:t>this was how you were pleased to have it happen (GNT)</w:t>
      </w:r>
    </w:p>
    <w:p>
      <w:pPr/>
      <w:r>
        <w:rPr>
          <w:lang w:val="en_US" w:bidi="en_US"/>
        </w:rPr>
      </w:r>
      <w:r>
        <w:rPr>
          <w:lang w:val="en_US" w:bidi="en_US"/>
        </w:rPr>
        <w:t>it pleased you to do it this way (NLT)</w:t>
      </w:r>
    </w:p>
    <w:p>
      <w:pPr/>
      <w:r>
        <w:rPr>
          <w:lang w:val="en_US" w:bidi="en_US"/>
        </w:rPr>
      </w:r>
      <w:r>
        <w:rPr>
          <w:b/>
          <w:lang w:val="en_US" w:bidi="en_US"/>
        </w:rPr>
        <w:t>this:</w:t>
      </w:r>
      <w:r>
        <w:rPr>
          <w:lang w:val="en_US" w:bidi="en_US"/>
        </w:rPr>
        <w:t xml:space="preserve"> The word </w:t>
      </w:r>
      <w:r>
        <w:rPr>
          <w:i/>
          <w:lang w:val="en_US" w:bidi="en_US"/>
        </w:rPr>
        <w:t>this</w:t>
      </w:r>
      <w:r>
        <w:rPr>
          <w:lang w:val="en_US" w:bidi="en_US"/>
        </w:rPr>
        <w:t xml:space="preserve"> refers back to what Jesus said in 10:21c–d, that God hid things from wise people and revealed them to people who were like children.</w:t>
      </w:r>
      <w:r>
        <w:rPr>
          <w:lang w:val="en_US" w:bidi="en_US"/>
        </w:rPr>
      </w:r>
      <w:r>
        <w:rPr>
          <w:lang w:val="en_US" w:bidi="en_US"/>
        </w:rPr>
      </w:r>
    </w:p>
    <w:p>
      <w:pPr/>
      <w:r>
        <w:rPr>
          <w:lang w:val="en_US" w:bidi="en_US"/>
        </w:rPr>
      </w:r>
    </w:p>
    <w:p>
      <w:pPr>
        <w:pStyle w:val="Heading2"/>
      </w:pPr>
      <w:r>
        <w:rPr>
          <w:lang w:val="en_US" w:bidi="en_US"/>
        </w:rPr>
        <w:t>Luke 10:22</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5"/>
      </w:pPr>
      <w:r>
        <w:rPr>
          <w:lang w:val="en_US" w:bidi="en_US"/>
        </w:rPr>
        <w:t>10:22a</w:t>
      </w:r>
    </w:p>
    <w:p>
      <w:pPr/>
      <w:r>
        <w:rPr>
          <w:lang w:val="en_US" w:bidi="en_US"/>
        </w:rPr>
      </w:r>
      <w:r>
        <w:rPr>
          <w:b/>
          <w:lang w:val="en_US" w:bidi="en_US"/>
        </w:rPr>
        <w:t>All things have been entrusted to Me by My Father.</w:t>
      </w:r>
    </w:p>
    <w:p>
      <w:pPr>
        <w:pStyle w:val="ListBullet"/>
        <w:spacing w:line="240" w:lineRule="auto"/>
        <w:ind w:left="720"/>
      </w:pPr>
      <w:r>
        <w:rPr>
          <w:lang w:val="en_US" w:bidi="en_US"/>
        </w:rPr>
      </w:r>
      <w:r>
        <w:rPr>
          <w:lang w:val="en_US" w:bidi="en_US"/>
        </w:rPr>
        <w:t>Then Jesus said to those who were there,</w:t>
      </w:r>
      <w:r>
        <w:rPr>
          <w:lang w:val="en_US" w:bidi="en_US"/>
        </w:rPr>
        <w:t xml:space="preserve"> “My Father has given/entrusted all </w:t>
      </w:r>
      <w:r>
        <w:rPr>
          <w:lang w:val="en_US" w:bidi="en_US"/>
        </w:rPr>
        <w:t>power and knowledge</w:t>
      </w:r>
      <w:r>
        <w:rPr>
          <w:lang w:val="en_US" w:bidi="en_US"/>
        </w:rPr>
        <w:t xml:space="preserve"> to me.</w:t>
      </w:r>
    </w:p>
    <w:p>
      <w:pPr>
        <w:pStyle w:val="ListBullet"/>
        <w:spacing w:line="240" w:lineRule="auto"/>
        <w:ind w:left="720"/>
      </w:pPr>
      <w:r>
        <w:rPr>
          <w:lang w:val="en_US" w:bidi="en_US"/>
        </w:rPr>
      </w:r>
      <w:r>
        <w:rPr>
          <w:lang w:val="en_US" w:bidi="en_US"/>
        </w:rPr>
        <w:t>After Jesus praised God, he told his disciples and the other people who were there,</w:t>
      </w:r>
      <w:r>
        <w:rPr>
          <w:lang w:val="en_US" w:bidi="en_US"/>
        </w:rPr>
        <w:t xml:space="preserve"> “My Father, </w:t>
      </w:r>
      <w:r>
        <w:rPr>
          <w:lang w:val="en_US" w:bidi="en_US"/>
        </w:rPr>
        <w:t>God,</w:t>
      </w:r>
      <w:r>
        <w:rPr>
          <w:lang w:val="en_US" w:bidi="en_US"/>
        </w:rPr>
        <w:t xml:space="preserve"> has enabled me to </w:t>
      </w:r>
      <w:r>
        <w:rPr>
          <w:lang w:val="en_US" w:bidi="en_US"/>
        </w:rPr>
        <w:t>do and know</w:t>
      </w:r>
      <w:r>
        <w:rPr>
          <w:lang w:val="en_US" w:bidi="en_US"/>
        </w:rPr>
        <w:t xml:space="preserve"> all things.</w:t>
      </w:r>
    </w:p>
    <w:p>
      <w:pPr/>
      <w:r>
        <w:rPr>
          <w:lang w:val="en_US" w:bidi="en_US"/>
        </w:rPr>
      </w:r>
      <w:r>
        <w:rPr>
          <w:lang w:val="en_US" w:bidi="en_US"/>
        </w:rPr>
        <w:t>In 10:21 Jesus had been praying to God his Father. Here in 10:22 he began to speak to his disciples as well as the other people who were listening to him. In some languages it may be necessary to make this explicit. For example:</w:t>
      </w:r>
    </w:p>
    <w:p>
      <w:pPr/>
      <w:r>
        <w:rPr>
          <w:lang w:val="en_US" w:bidi="en_US"/>
        </w:rPr>
      </w:r>
      <w:r>
        <w:rPr>
          <w:lang w:val="en_US" w:bidi="en_US"/>
        </w:rPr>
        <w:t>Then Jesus said to the people who were there</w:t>
      </w:r>
    </w:p>
    <w:p>
      <w:pPr/>
      <w:r>
        <w:rPr>
          <w:lang w:val="en_US" w:bidi="en_US"/>
        </w:rPr>
      </w:r>
      <w:r>
        <w:rPr>
          <w:lang w:val="en_US" w:bidi="en_US"/>
        </w:rPr>
        <w:t>In 10:23a Jesus spoke only to the disciples. Here in 10:22a the phrase you use should include the disciples as well as the other people who were there.</w:t>
      </w:r>
    </w:p>
    <w:p>
      <w:pPr/>
      <w:r>
        <w:rPr>
          <w:lang w:val="en_US" w:bidi="en_US"/>
        </w:rPr>
      </w:r>
      <w:r>
        <w:rPr>
          <w:b/>
          <w:lang w:val="en_US" w:bidi="en_US"/>
        </w:rPr>
        <w:t>All things have been entrusted to Me by My Father:</w:t>
      </w:r>
      <w:r>
        <w:rPr>
          <w:lang w:val="en_US" w:bidi="en_US"/>
        </w:rPr>
        <w:t xml:space="preserve"> This clause describes the power and authority that Jesus’ Father, God, had given him. It indicates that God had given Jesus the ability to do anything he wanted to do and to know everything he wanted to know. He had also entrusted him with the authority to reveal knowledge to others. You should translate this clause in a way that will indicate the extensive authority and power that God gave Jesus. For example:</w:t>
      </w:r>
    </w:p>
    <w:p>
      <w:pPr/>
      <w:r>
        <w:rPr>
          <w:lang w:val="en_US" w:bidi="en_US"/>
        </w:rPr>
      </w:r>
      <w:r>
        <w:rPr>
          <w:lang w:val="en_US" w:bidi="en_US"/>
        </w:rPr>
        <w:t xml:space="preserve">All </w:t>
      </w:r>
      <w:r>
        <w:rPr>
          <w:lang w:val="en_US" w:bidi="en_US"/>
        </w:rPr>
        <w:t>authority and knowledge</w:t>
      </w:r>
      <w:r>
        <w:rPr>
          <w:lang w:val="en_US" w:bidi="en_US"/>
        </w:rPr>
        <w:t xml:space="preserve"> has been given to me by my Father.</w:t>
      </w:r>
    </w:p>
    <w:p>
      <w:pPr/>
      <w:r>
        <w:rPr>
          <w:lang w:val="en_US" w:bidi="en_US"/>
        </w:rPr>
      </w:r>
      <w:r>
        <w:rPr>
          <w:lang w:val="en_US" w:bidi="en_US"/>
        </w:rPr>
        <w:t>This clause is passive. In some languages it may be more natural to make it active. For example:</w:t>
      </w:r>
    </w:p>
    <w:p>
      <w:pPr/>
      <w:r>
        <w:rPr>
          <w:lang w:val="en_US" w:bidi="en_US"/>
        </w:rPr>
      </w:r>
      <w:r>
        <w:rPr>
          <w:lang w:val="en_US" w:bidi="en_US"/>
        </w:rPr>
        <w:t xml:space="preserve">My Father has given me all </w:t>
      </w:r>
      <w:r>
        <w:rPr>
          <w:lang w:val="en_US" w:bidi="en_US"/>
        </w:rPr>
        <w:t>authority and knowledge</w:t>
      </w:r>
      <w:r>
        <w:rPr>
          <w:lang w:val="en_US" w:bidi="en_US"/>
        </w:rPr>
        <w:t>.</w:t>
      </w:r>
    </w:p>
    <w:p>
      <w:pPr/>
      <w:r>
        <w:rPr>
          <w:lang w:val="en_US" w:bidi="en_US"/>
        </w:rPr>
      </w:r>
      <w:r>
        <w:rPr>
          <w:b/>
          <w:lang w:val="en_US" w:bidi="en_US"/>
        </w:rPr>
        <w:t>All things:</w:t>
      </w:r>
      <w:r>
        <w:rPr>
          <w:lang w:val="en_US" w:bidi="en_US"/>
        </w:rPr>
        <w:t xml:space="preserve"> In this context </w:t>
      </w:r>
      <w:r>
        <w:rPr>
          <w:i/>
          <w:lang w:val="en_US" w:bidi="en_US"/>
        </w:rPr>
        <w:t>All things</w:t>
      </w:r>
      <w:r>
        <w:rPr>
          <w:lang w:val="en_US" w:bidi="en_US"/>
        </w:rPr>
        <w:t xml:space="preserve"> probably refers to all knowledge as well as all authority/power. It does not refer primarily to material things, though Jesus had power over those as well.</w:t>
      </w:r>
    </w:p>
    <w:p>
      <w:pPr/>
      <w:r>
        <w:rPr>
          <w:lang w:val="en_US" w:bidi="en_US"/>
        </w:rPr>
      </w:r>
      <w:r>
        <w:rPr>
          <w:b/>
          <w:lang w:val="en_US" w:bidi="en_US"/>
        </w:rPr>
        <w:t>have been entrusted to Me by My Father:</w:t>
      </w:r>
      <w:r>
        <w:rPr>
          <w:lang w:val="en_US" w:bidi="en_US"/>
        </w:rPr>
        <w:t xml:space="preserve"> The Greek verb that the BSB translates as </w:t>
      </w:r>
      <w:r>
        <w:rPr>
          <w:i/>
          <w:lang w:val="en_US" w:bidi="en_US"/>
        </w:rPr>
        <w:t>entrusted</w:t>
      </w:r>
      <w:r>
        <w:rPr>
          <w:lang w:val="en_US" w:bidi="en_US"/>
        </w:rPr>
        <w:t xml:space="preserve"> has several meanings. It can mean “to entrust/commit” or “to give” to someone. In this context it indicates that God entrusted to Jesus the same authority, power, and knowledge that he himself has. He also gave Jesus the authority to pass knowledge and power on to others.</w:t>
      </w:r>
    </w:p>
    <w:p>
      <w:pPr>
        <w:pStyle w:val="Heading5"/>
      </w:pPr>
      <w:r>
        <w:rPr>
          <w:lang w:val="en_US" w:bidi="en_US"/>
        </w:rPr>
        <w:t>10:22b–c</w:t>
      </w:r>
    </w:p>
    <w:p>
      <w:pPr/>
      <w:r>
        <w:rPr>
          <w:lang w:val="en_US" w:bidi="en_US"/>
        </w:rPr>
      </w:r>
      <w:r>
        <w:rPr>
          <w:lang w:val="en_US" w:bidi="en_US"/>
        </w:rPr>
        <w:t>In translating these two verse parts, be careful not to use an expression that could imply that Jesus was an illegitimate son.</w:t>
      </w:r>
    </w:p>
    <w:p>
      <w:pPr>
        <w:pStyle w:val="Heading5"/>
      </w:pPr>
      <w:r>
        <w:rPr>
          <w:lang w:val="en_US" w:bidi="en_US"/>
        </w:rPr>
        <w:t>10:22b</w:t>
      </w:r>
    </w:p>
    <w:p>
      <w:pPr/>
      <w:r>
        <w:rPr>
          <w:lang w:val="en_US" w:bidi="en_US"/>
        </w:rPr>
      </w:r>
      <w:r>
        <w:rPr>
          <w:b/>
          <w:lang w:val="en_US" w:bidi="en_US"/>
        </w:rPr>
        <w:t>No one knows who the Son is except the Father,</w:t>
      </w:r>
    </w:p>
    <w:p>
      <w:pPr>
        <w:pStyle w:val="ListBullet"/>
        <w:spacing w:line="240" w:lineRule="auto"/>
        <w:ind w:left="720"/>
      </w:pPr>
      <w:r>
        <w:rPr>
          <w:lang w:val="en_US" w:bidi="en_US"/>
        </w:rPr>
      </w:r>
      <w:r>
        <w:rPr>
          <w:lang w:val="en_US" w:bidi="en_US"/>
        </w:rPr>
        <w:t xml:space="preserve">No one knows who the Son </w:t>
      </w:r>
      <w:r>
        <w:rPr>
          <w:lang w:val="en_US" w:bidi="en_US"/>
        </w:rPr>
        <w:t>really</w:t>
      </w:r>
      <w:r>
        <w:rPr>
          <w:lang w:val="en_US" w:bidi="en_US"/>
        </w:rPr>
        <w:t xml:space="preserve"> is except </w:t>
      </w:r>
      <w:r>
        <w:rPr>
          <w:lang w:val="en_US" w:bidi="en_US"/>
        </w:rPr>
        <w:t>his</w:t>
      </w:r>
      <w:r>
        <w:rPr>
          <w:lang w:val="en_US" w:bidi="en_US"/>
        </w:rPr>
        <w:t xml:space="preserve"> Father,</w:t>
      </w:r>
    </w:p>
    <w:p>
      <w:pPr>
        <w:pStyle w:val="ListBullet"/>
        <w:spacing w:line="240" w:lineRule="auto"/>
        <w:ind w:left="720"/>
      </w:pPr>
      <w:r>
        <w:rPr>
          <w:lang w:val="en_US" w:bidi="en_US"/>
        </w:rPr>
      </w:r>
      <w:r>
        <w:rPr>
          <w:lang w:val="en_US" w:bidi="en_US"/>
        </w:rPr>
        <w:t xml:space="preserve">Only the Father </w:t>
      </w:r>
      <w:r>
        <w:rPr>
          <w:lang w:val="en_US" w:bidi="en_US"/>
        </w:rPr>
        <w:t>fully</w:t>
      </w:r>
      <w:r>
        <w:rPr>
          <w:lang w:val="en_US" w:bidi="en_US"/>
        </w:rPr>
        <w:t xml:space="preserve"> knows the Son,</w:t>
      </w:r>
    </w:p>
    <w:p>
      <w:pPr>
        <w:pStyle w:val="ListBullet"/>
        <w:spacing w:line="240" w:lineRule="auto"/>
        <w:ind w:left="720"/>
      </w:pPr>
      <w:r>
        <w:rPr>
          <w:lang w:val="en_US" w:bidi="en_US"/>
        </w:rPr>
      </w:r>
      <w:r>
        <w:rPr>
          <w:lang w:val="en_US" w:bidi="en_US"/>
        </w:rPr>
        <w:t>My</w:t>
      </w:r>
      <w:r>
        <w:rPr>
          <w:lang w:val="en_US" w:bidi="en_US"/>
        </w:rPr>
        <w:t xml:space="preserve"> Father is the only one who knows the true nature of </w:t>
      </w:r>
      <w:r>
        <w:rPr>
          <w:lang w:val="en_US" w:bidi="en_US"/>
        </w:rPr>
        <w:t>me</w:t>
      </w:r>
      <w:r>
        <w:rPr>
          <w:lang w:val="en_US" w:bidi="en_US"/>
        </w:rPr>
        <w:t xml:space="preserve"> his Son.</w:t>
      </w:r>
    </w:p>
    <w:p>
      <w:pPr/>
      <w:r>
        <w:rPr>
          <w:lang w:val="en_US" w:bidi="en_US"/>
        </w:rPr>
      </w:r>
      <w:r>
        <w:rPr>
          <w:b/>
          <w:lang w:val="en_US" w:bidi="en_US"/>
        </w:rPr>
        <w:t>No one knows who the Son is except the Father:</w:t>
      </w:r>
      <w:r>
        <w:rPr>
          <w:lang w:val="en_US" w:bidi="en_US"/>
        </w:rPr>
        <w:t xml:space="preserve"> This clause means, “No one fully knows the true identity or nature of the Son except his Father.” In this clause Jesus referred to himself as </w:t>
      </w:r>
      <w:r>
        <w:rPr>
          <w:i/>
          <w:lang w:val="en_US" w:bidi="en_US"/>
        </w:rPr>
        <w:t>the Son</w:t>
      </w:r>
      <w:r>
        <w:rPr>
          <w:lang w:val="en_US" w:bidi="en_US"/>
        </w:rPr>
        <w:t xml:space="preserve">. He referred to God as </w:t>
      </w:r>
      <w:r>
        <w:rPr>
          <w:i/>
          <w:lang w:val="en_US" w:bidi="en_US"/>
        </w:rPr>
        <w:t>the Father</w:t>
      </w:r>
      <w:r>
        <w:rPr>
          <w:lang w:val="en_US" w:bidi="en_US"/>
        </w:rPr>
        <w:t>. Other ways to translate this clause are:</w:t>
      </w:r>
    </w:p>
    <w:p>
      <w:pPr/>
      <w:r>
        <w:rPr>
          <w:lang w:val="en_US" w:bidi="en_US"/>
        </w:rPr>
      </w:r>
      <w:r>
        <w:rPr>
          <w:lang w:val="en_US" w:bidi="en_US"/>
        </w:rPr>
        <w:t>No one truly knows the Son except the Father (NLT)</w:t>
      </w:r>
    </w:p>
    <w:p>
      <w:pPr/>
      <w:r>
        <w:rPr>
          <w:lang w:val="en_US" w:bidi="en_US"/>
        </w:rPr>
      </w:r>
      <w:r>
        <w:rPr>
          <w:lang w:val="en_US" w:bidi="en_US"/>
        </w:rPr>
        <w:t>God</w:t>
      </w:r>
      <w:r>
        <w:rPr>
          <w:lang w:val="en_US" w:bidi="en_US"/>
        </w:rPr>
        <w:t xml:space="preserve"> my Father is the only one who knows what </w:t>
      </w:r>
      <w:r>
        <w:rPr>
          <w:lang w:val="en_US" w:bidi="en_US"/>
        </w:rPr>
        <w:t>I,</w:t>
      </w:r>
      <w:r>
        <w:rPr>
          <w:lang w:val="en_US" w:bidi="en_US"/>
        </w:rPr>
        <w:t xml:space="preserve"> his Son, am really like</w:t>
      </w:r>
    </w:p>
    <w:p>
      <w:pPr>
        <w:pStyle w:val="Heading5"/>
      </w:pPr>
      <w:r>
        <w:rPr>
          <w:lang w:val="en_US" w:bidi="en_US"/>
        </w:rPr>
        <w:t>10:22c</w:t>
      </w:r>
    </w:p>
    <w:p>
      <w:pPr/>
      <w:r>
        <w:rPr>
          <w:lang w:val="en_US" w:bidi="en_US"/>
        </w:rPr>
      </w:r>
      <w:r>
        <w:rPr>
          <w:b/>
          <w:lang w:val="en_US" w:bidi="en_US"/>
        </w:rPr>
        <w:t>and no one knows who the Father is except the Son</w:t>
      </w:r>
    </w:p>
    <w:p>
      <w:pPr>
        <w:pStyle w:val="ListBullet"/>
        <w:spacing w:line="240" w:lineRule="auto"/>
        <w:ind w:left="720"/>
      </w:pPr>
      <w:r>
        <w:rPr>
          <w:lang w:val="en_US" w:bidi="en_US"/>
        </w:rPr>
      </w:r>
      <w:r>
        <w:rPr>
          <w:lang w:val="en_US" w:bidi="en_US"/>
        </w:rPr>
        <w:t xml:space="preserve">and no one knows who the Father </w:t>
      </w:r>
      <w:r>
        <w:rPr>
          <w:lang w:val="en_US" w:bidi="en_US"/>
        </w:rPr>
        <w:t>really</w:t>
      </w:r>
      <w:r>
        <w:rPr>
          <w:lang w:val="en_US" w:bidi="en_US"/>
        </w:rPr>
        <w:t xml:space="preserve"> is except </w:t>
      </w:r>
      <w:r>
        <w:rPr>
          <w:lang w:val="en_US" w:bidi="en_US"/>
        </w:rPr>
        <w:t>his</w:t>
      </w:r>
      <w:r>
        <w:rPr>
          <w:lang w:val="en_US" w:bidi="en_US"/>
        </w:rPr>
        <w:t xml:space="preserve"> Son</w:t>
      </w:r>
    </w:p>
    <w:p>
      <w:pPr>
        <w:pStyle w:val="ListBullet"/>
        <w:spacing w:line="240" w:lineRule="auto"/>
        <w:ind w:left="720"/>
      </w:pPr>
      <w:r>
        <w:rPr>
          <w:lang w:val="en_US" w:bidi="en_US"/>
        </w:rPr>
      </w:r>
      <w:r>
        <w:rPr>
          <w:lang w:val="en_US" w:bidi="en_US"/>
        </w:rPr>
        <w:t xml:space="preserve">and the only ones who </w:t>
      </w:r>
      <w:r>
        <w:rPr>
          <w:lang w:val="en_US" w:bidi="en_US"/>
        </w:rPr>
        <w:t>truly</w:t>
      </w:r>
      <w:r>
        <w:rPr>
          <w:lang w:val="en_US" w:bidi="en_US"/>
        </w:rPr>
        <w:t xml:space="preserve"> know the Father are the Son</w:t>
      </w:r>
    </w:p>
    <w:p>
      <w:pPr>
        <w:pStyle w:val="ListBullet"/>
        <w:spacing w:line="240" w:lineRule="auto"/>
        <w:ind w:left="720"/>
      </w:pPr>
      <w:r>
        <w:rPr>
          <w:lang w:val="en_US" w:bidi="en_US"/>
        </w:rPr>
      </w:r>
      <w:r>
        <w:rPr>
          <w:lang w:val="en_US" w:bidi="en_US"/>
        </w:rPr>
        <w:t>And I am the only one who knows the true nature of my Father</w:t>
      </w:r>
    </w:p>
    <w:p>
      <w:pPr/>
      <w:r>
        <w:rPr>
          <w:lang w:val="en_US" w:bidi="en_US"/>
        </w:rPr>
      </w:r>
      <w:r>
        <w:rPr>
          <w:b/>
          <w:lang w:val="en_US" w:bidi="en_US"/>
        </w:rPr>
        <w:t>no one knows who the Father is except the Son:</w:t>
      </w:r>
      <w:r>
        <w:rPr>
          <w:lang w:val="en_US" w:bidi="en_US"/>
        </w:rPr>
        <w:t xml:space="preserve"> This clause is the other half of the statement in 10:22b. It means here, “No one fully knows the true identity or nature of the Father except his Son.” Jesus referred to himself as </w:t>
      </w:r>
      <w:r>
        <w:rPr>
          <w:i/>
          <w:lang w:val="en_US" w:bidi="en_US"/>
        </w:rPr>
        <w:t>the Son</w:t>
      </w:r>
      <w:r>
        <w:rPr>
          <w:lang w:val="en_US" w:bidi="en_US"/>
        </w:rPr>
        <w:t xml:space="preserve"> and to God as </w:t>
      </w:r>
      <w:r>
        <w:rPr>
          <w:i/>
          <w:lang w:val="en_US" w:bidi="en_US"/>
        </w:rPr>
        <w:t>the Father</w:t>
      </w:r>
      <w:r>
        <w:rPr>
          <w:lang w:val="en_US" w:bidi="en_US"/>
        </w:rPr>
        <w:t>. Other ways to translate this clause are:</w:t>
      </w:r>
    </w:p>
    <w:p>
      <w:pPr/>
      <w:r>
        <w:rPr>
          <w:lang w:val="en_US" w:bidi="en_US"/>
        </w:rPr>
      </w:r>
      <w:r>
        <w:rPr>
          <w:lang w:val="en_US" w:bidi="en_US"/>
        </w:rPr>
        <w:t>no one truly knows the Father except the Son (NLT)</w:t>
      </w:r>
    </w:p>
    <w:p>
      <w:pPr/>
      <w:r>
        <w:rPr>
          <w:lang w:val="en_US" w:bidi="en_US"/>
        </w:rPr>
      </w:r>
      <w:r>
        <w:rPr>
          <w:lang w:val="en_US" w:bidi="en_US"/>
        </w:rPr>
        <w:t>I,</w:t>
      </w:r>
      <w:r>
        <w:rPr>
          <w:lang w:val="en_US" w:bidi="en_US"/>
        </w:rPr>
        <w:t xml:space="preserve"> the Son, am the only one who knows what my Father is really like</w:t>
      </w:r>
    </w:p>
    <w:p>
      <w:pPr>
        <w:pStyle w:val="Heading5"/>
      </w:pPr>
      <w:r>
        <w:rPr>
          <w:lang w:val="en_US" w:bidi="en_US"/>
        </w:rPr>
        <w:t>10:22d</w:t>
      </w:r>
    </w:p>
    <w:p>
      <w:pPr/>
      <w:r>
        <w:rPr>
          <w:lang w:val="en_US" w:bidi="en_US"/>
        </w:rPr>
      </w:r>
      <w:r>
        <w:rPr>
          <w:b/>
          <w:lang w:val="en_US" w:bidi="en_US"/>
        </w:rPr>
        <w:t>and those to whom the Son chooses to reveal Him.”</w:t>
      </w:r>
    </w:p>
    <w:p>
      <w:pPr>
        <w:pStyle w:val="ListBullet"/>
        <w:spacing w:line="240" w:lineRule="auto"/>
        <w:ind w:left="720"/>
      </w:pPr>
      <w:r>
        <w:rPr>
          <w:lang w:val="en_US" w:bidi="en_US"/>
        </w:rPr>
      </w:r>
      <w:r>
        <w:rPr>
          <w:lang w:val="en_US" w:bidi="en_US"/>
        </w:rPr>
        <w:t>and those people to whom the Son decides to reveal him.”</w:t>
      </w:r>
    </w:p>
    <w:p>
      <w:pPr>
        <w:pStyle w:val="ListBullet"/>
        <w:spacing w:line="240" w:lineRule="auto"/>
        <w:ind w:left="720"/>
      </w:pPr>
      <w:r>
        <w:rPr>
          <w:lang w:val="en_US" w:bidi="en_US"/>
        </w:rPr>
      </w:r>
      <w:r>
        <w:rPr>
          <w:lang w:val="en_US" w:bidi="en_US"/>
        </w:rPr>
        <w:t xml:space="preserve">and </w:t>
      </w:r>
      <w:r>
        <w:rPr>
          <w:lang w:val="en_US" w:bidi="en_US"/>
        </w:rPr>
        <w:t>also</w:t>
      </w:r>
      <w:r>
        <w:rPr>
          <w:lang w:val="en_US" w:bidi="en_US"/>
        </w:rPr>
        <w:t xml:space="preserve"> the people to whom the Son wants to show him.”</w:t>
      </w:r>
    </w:p>
    <w:p>
      <w:pPr>
        <w:pStyle w:val="ListBullet"/>
        <w:spacing w:line="240" w:lineRule="auto"/>
        <w:ind w:left="720"/>
      </w:pPr>
      <w:r>
        <w:rPr>
          <w:lang w:val="en_US" w:bidi="en_US"/>
        </w:rPr>
      </w:r>
      <w:r>
        <w:rPr>
          <w:lang w:val="en_US" w:bidi="en_US"/>
        </w:rPr>
        <w:t>except for those people to whom I decide/desire to make my Father known.”</w:t>
      </w:r>
    </w:p>
    <w:p>
      <w:pPr/>
      <w:r>
        <w:rPr>
          <w:lang w:val="en_US" w:bidi="en_US"/>
        </w:rPr>
      </w:r>
      <w:r>
        <w:rPr>
          <w:b/>
          <w:lang w:val="en_US" w:bidi="en_US"/>
        </w:rPr>
        <w:t>and those to whom the Son chooses to reveal Him:</w:t>
      </w:r>
      <w:r>
        <w:rPr>
          <w:lang w:val="en_US" w:bidi="en_US"/>
        </w:rPr>
        <w:t xml:space="preserve"> This clause identifies another group of people who can also truly know the Father. These people are those to whom Jesus the Son decides to make him known. Other ways to translate the clause are:</w:t>
      </w:r>
    </w:p>
    <w:p>
      <w:pPr/>
      <w:r>
        <w:rPr>
          <w:lang w:val="en_US" w:bidi="en_US"/>
        </w:rPr>
      </w:r>
      <w:r>
        <w:rPr>
          <w:lang w:val="en_US" w:bidi="en_US"/>
        </w:rPr>
        <w:t>and also those to whom the Son decides to make Him known</w:t>
      </w:r>
    </w:p>
    <w:p>
      <w:pPr/>
      <w:r>
        <w:rPr>
          <w:lang w:val="en_US" w:bidi="en_US"/>
        </w:rPr>
      </w:r>
      <w:r>
        <w:rPr>
          <w:lang w:val="en_US" w:bidi="en_US"/>
        </w:rPr>
        <w:t>along with those to whom He desires to reveal/show the Father</w:t>
      </w:r>
    </w:p>
    <w:p>
      <w:pPr/>
      <w:r>
        <w:rPr>
          <w:lang w:val="en_US" w:bidi="en_US"/>
        </w:rPr>
      </w:r>
      <w:r>
        <w:rPr>
          <w:b/>
          <w:lang w:val="en_US" w:bidi="en_US"/>
        </w:rPr>
        <w:t>chooses:</w:t>
      </w:r>
      <w:r>
        <w:rPr>
          <w:lang w:val="en_US" w:bidi="en_US"/>
        </w:rPr>
        <w:t xml:space="preserve"> The Greek verb that the BSB translates here as </w:t>
      </w:r>
      <w:r>
        <w:rPr>
          <w:i/>
          <w:lang w:val="en_US" w:bidi="en_US"/>
        </w:rPr>
        <w:t>chooses</w:t>
      </w:r>
      <w:r>
        <w:rPr>
          <w:lang w:val="en_US" w:bidi="en_US"/>
        </w:rPr>
        <w:t xml:space="preserve"> means “decides” or “wants.”</w:t>
      </w:r>
    </w:p>
    <w:p>
      <w:pPr/>
      <w:r>
        <w:rPr>
          <w:lang w:val="en_US" w:bidi="en_US"/>
        </w:rPr>
      </w:r>
      <w:r>
        <w:rPr>
          <w:b/>
          <w:lang w:val="en_US" w:bidi="en_US"/>
        </w:rPr>
        <w:t>reveal:</w:t>
      </w:r>
      <w:r>
        <w:rPr>
          <w:lang w:val="en_US" w:bidi="en_US"/>
        </w:rPr>
        <w:t xml:space="preserve"> To </w:t>
      </w:r>
      <w:r>
        <w:rPr>
          <w:i/>
          <w:lang w:val="en_US" w:bidi="en_US"/>
        </w:rPr>
        <w:t>reveal</w:t>
      </w:r>
      <w:r>
        <w:rPr>
          <w:lang w:val="en_US" w:bidi="en_US"/>
        </w:rPr>
        <w:t xml:space="preserve"> someone is to show what that person is like. It is to make known their true nature.</w:t>
      </w:r>
    </w:p>
    <w:p>
      <w:pPr>
        <w:pStyle w:val="Heading6"/>
      </w:pPr>
      <w:r>
        <w:rPr>
          <w:b/>
          <w:lang w:val="en_US" w:bidi="en_US"/>
        </w:rPr>
        <w:t>General Comment on 10:22b–d</w:t>
      </w:r>
    </w:p>
    <w:p>
      <w:pPr/>
      <w:r>
        <w:rPr>
          <w:lang w:val="en_US" w:bidi="en_US"/>
        </w:rPr>
      </w:r>
      <w:r>
        <w:rPr>
          <w:lang w:val="en_US" w:bidi="en_US"/>
        </w:rPr>
        <w:t>Jesus was referring to himself as the Son. In some languages it may be necessary to use first person pronouns:</w:t>
      </w:r>
    </w:p>
    <w:p>
      <w:pPr/>
      <w:r>
        <w:rPr>
          <w:lang w:val="en_US" w:bidi="en_US"/>
        </w:rPr>
      </w:r>
      <w:r>
        <w:rPr>
          <w:lang w:val="en_US" w:bidi="en_US"/>
        </w:rPr>
        <w:t xml:space="preserve">No one knows who </w:t>
      </w:r>
      <w:r>
        <w:rPr>
          <w:lang w:val="en_US" w:bidi="en_US"/>
        </w:rPr>
        <w:t>I,</w:t>
      </w:r>
      <w:r>
        <w:rPr>
          <w:lang w:val="en_US" w:bidi="en_US"/>
        </w:rPr>
        <w:t xml:space="preserve"> the Son, am except the Father. No one knows who the Father is except </w:t>
      </w:r>
      <w:r>
        <w:rPr>
          <w:lang w:val="en_US" w:bidi="en_US"/>
        </w:rPr>
        <w:t>me,</w:t>
      </w:r>
      <w:r>
        <w:rPr>
          <w:lang w:val="en_US" w:bidi="en_US"/>
        </w:rPr>
        <w:t xml:space="preserve"> the Son, and those to whom </w:t>
      </w:r>
      <w:r>
        <w:rPr>
          <w:lang w:val="en_US" w:bidi="en_US"/>
        </w:rPr>
        <w:t>I</w:t>
      </w:r>
      <w:r>
        <w:rPr>
          <w:lang w:val="en_US" w:bidi="en_US"/>
        </w:rPr>
        <w:t xml:space="preserve"> choose to reveal him.</w:t>
      </w:r>
    </w:p>
    <w:p>
      <w:pPr>
        <w:pStyle w:val="Heading6"/>
      </w:pPr>
      <w:r>
        <w:rPr>
          <w:b/>
          <w:lang w:val="en_US" w:bidi="en_US"/>
        </w:rPr>
        <w:t>General Comment on 10:22c–d</w:t>
      </w:r>
    </w:p>
    <w:p>
      <w:pPr/>
      <w:r>
        <w:rPr>
          <w:lang w:val="en_US" w:bidi="en_US"/>
        </w:rPr>
      </w:r>
      <w:r>
        <w:rPr>
          <w:lang w:val="en_US" w:bidi="en_US"/>
        </w:rPr>
        <w:t>In some languages, the repetition of “Son” and “Father” in these verses may be overly redundant. One way to avoid this repetition is:</w:t>
      </w:r>
    </w:p>
    <w:p>
      <w:pPr/>
      <w:r>
        <w:rPr>
          <w:lang w:val="en_US" w:bidi="en_US"/>
        </w:rPr>
      </w:r>
      <w:r>
        <w:rPr>
          <w:lang w:val="en_US" w:bidi="en_US"/>
        </w:rPr>
        <w:t>I am the only one who knows my Father’s true nature, I and those to whom I decide to make him known.</w:t>
      </w:r>
      <w:r>
        <w:rPr>
          <w:lang w:val="en_US" w:bidi="en_US"/>
        </w:rPr>
      </w:r>
      <w:r>
        <w:rPr>
          <w:lang w:val="en_US" w:bidi="en_US"/>
        </w:rPr>
      </w:r>
    </w:p>
    <w:p>
      <w:pPr/>
      <w:r>
        <w:rPr>
          <w:lang w:val="en_US" w:bidi="en_US"/>
        </w:rPr>
      </w:r>
    </w:p>
    <w:p>
      <w:pPr>
        <w:pStyle w:val="Heading2"/>
      </w:pPr>
      <w:r>
        <w:rPr>
          <w:lang w:val="en_US" w:bidi="en_US"/>
        </w:rPr>
        <w:t>Luke 10:23</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5"/>
      </w:pPr>
      <w:r>
        <w:rPr>
          <w:lang w:val="en_US" w:bidi="en_US"/>
        </w:rPr>
        <w:t>10:23a</w:t>
      </w:r>
    </w:p>
    <w:p>
      <w:pPr/>
      <w:r>
        <w:rPr>
          <w:lang w:val="en_US" w:bidi="en_US"/>
        </w:rPr>
      </w:r>
      <w:r>
        <w:rPr>
          <w:b/>
          <w:lang w:val="en_US" w:bidi="en_US"/>
        </w:rPr>
        <w:t>Then Jesus turned to the disciples and said privately,</w:t>
      </w:r>
    </w:p>
    <w:p>
      <w:pPr>
        <w:pStyle w:val="ListBullet"/>
        <w:spacing w:line="240" w:lineRule="auto"/>
        <w:ind w:left="720"/>
      </w:pPr>
      <w:r>
        <w:rPr>
          <w:lang w:val="en_US" w:bidi="en_US"/>
        </w:rPr>
      </w:r>
      <w:r>
        <w:rPr>
          <w:lang w:val="en_US" w:bidi="en_US"/>
        </w:rPr>
        <w:t>Then Jesus turned to his disciples. He spoke so that only they could hear him and said,</w:t>
      </w:r>
    </w:p>
    <w:p>
      <w:pPr>
        <w:pStyle w:val="ListBullet"/>
        <w:spacing w:line="240" w:lineRule="auto"/>
        <w:ind w:left="720"/>
      </w:pPr>
      <w:r>
        <w:rPr>
          <w:lang w:val="en_US" w:bidi="en_US"/>
        </w:rPr>
      </w:r>
      <w:r>
        <w:rPr>
          <w:lang w:val="en_US" w:bidi="en_US"/>
        </w:rPr>
        <w:t>Then Jesus turned and spoke to only his followers. He said to them,</w:t>
      </w:r>
    </w:p>
    <w:p>
      <w:pPr/>
      <w:r>
        <w:rPr>
          <w:lang w:val="en_US" w:bidi="en_US"/>
        </w:rPr>
      </w:r>
      <w:r>
        <w:rPr>
          <w:b/>
          <w:lang w:val="en_US" w:bidi="en_US"/>
        </w:rPr>
        <w:t>Then Jesus turned to the disciples and said privately:</w:t>
      </w:r>
      <w:r>
        <w:rPr>
          <w:lang w:val="en_US" w:bidi="en_US"/>
        </w:rPr>
        <w:t xml:space="preserve"> In 10:22 Jesus had been talking to the disciples and to the other people in the crowd. Here in 10:23–24, he turned specifically toward his disciples and spoke only to them.</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special relationship with a teacher. The learners commit themselves to their teacher in order to learn from him and live according to his teaching and example. Disciples often lived with their teacher and followed him wherever he went.</w:t>
      </w:r>
    </w:p>
    <w:p>
      <w:pPr/>
      <w:r>
        <w:rPr>
          <w:lang w:val="en_US" w:bidi="en_US"/>
        </w:rPr>
      </w:r>
      <w:r>
        <w:rPr>
          <w:lang w:val="en_US" w:bidi="en_US"/>
        </w:rPr>
        <w:t>Some ways to translate this are:</w:t>
      </w:r>
    </w:p>
    <w:p>
      <w:pPr/>
      <w:r>
        <w:rPr>
          <w:lang w:val="en_US" w:bidi="en_US"/>
        </w:rPr>
      </w:r>
      <w:r>
        <w:rPr>
          <w:lang w:val="en_US" w:bidi="en_US"/>
        </w:rPr>
        <w:t>students/learners</w:t>
      </w:r>
    </w:p>
    <w:p>
      <w:pPr/>
      <w:r>
        <w:rPr>
          <w:lang w:val="en_US" w:bidi="en_US"/>
        </w:rPr>
      </w:r>
      <w:r>
        <w:rPr>
          <w:lang w:val="en_US" w:bidi="en_US"/>
        </w:rPr>
        <w:t>apprentices</w:t>
      </w:r>
    </w:p>
    <w:p>
      <w:pPr/>
      <w:r>
        <w:rPr>
          <w:lang w:val="en_US" w:bidi="en_US"/>
        </w:rPr>
      </w:r>
      <w:r>
        <w:rPr>
          <w:lang w:val="en_US" w:bidi="en_US"/>
        </w:rPr>
        <w:t>followers</w:t>
      </w:r>
    </w:p>
    <w:p>
      <w:pPr/>
      <w:r>
        <w:rPr>
          <w:lang w:val="en_US" w:bidi="en_US"/>
        </w:rPr>
      </w:r>
      <w:r>
        <w:rPr>
          <w:lang w:val="en_US" w:bidi="en_US"/>
        </w:rPr>
        <w:t>This same word occurs in 8:25a and 9:14b. See also disciple in the Glossary for more information.</w:t>
      </w:r>
    </w:p>
    <w:p>
      <w:pPr/>
      <w:r>
        <w:rPr>
          <w:lang w:val="en_US" w:bidi="en_US"/>
        </w:rPr>
      </w:r>
      <w:r>
        <w:rPr>
          <w:b/>
          <w:lang w:val="en_US" w:bidi="en_US"/>
        </w:rPr>
        <w:t>privately:</w:t>
      </w:r>
      <w:r>
        <w:rPr>
          <w:lang w:val="en_US" w:bidi="en_US"/>
        </w:rPr>
        <w:t xml:space="preserve"> The word </w:t>
      </w:r>
      <w:r>
        <w:rPr>
          <w:i/>
          <w:lang w:val="en_US" w:bidi="en_US"/>
        </w:rPr>
        <w:t>privately</w:t>
      </w:r>
      <w:r>
        <w:rPr>
          <w:lang w:val="en_US" w:bidi="en_US"/>
        </w:rPr>
        <w:t xml:space="preserve"> here indicates that Jesus addressed only his disciples. He may have turned away from the crowd and spoken in a lower voice so that only his disciples could hear. It is also possible that Jesus waited until he was alone with his disciples before he turned and spoke to them. Try to translate in a way that allows for either option. Other ways to translate this are:</w:t>
      </w:r>
    </w:p>
    <w:p>
      <w:pPr/>
      <w:r>
        <w:rPr>
          <w:lang w:val="en_US" w:bidi="en_US"/>
        </w:rPr>
      </w:r>
      <w:r>
        <w:rPr>
          <w:lang w:val="en_US" w:bidi="en_US"/>
        </w:rPr>
        <w:t>Then he turned to his disciples and said to them quietly (JBP)</w:t>
      </w:r>
    </w:p>
    <w:p>
      <w:pPr/>
      <w:r>
        <w:rPr>
          <w:lang w:val="en_US" w:bidi="en_US"/>
        </w:rPr>
      </w:r>
      <w:r>
        <w:rPr>
          <w:lang w:val="en_US" w:bidi="en_US"/>
        </w:rPr>
        <w:t>Then Jesus turned so that only his disciples could hear him, and he said</w:t>
      </w:r>
    </w:p>
    <w:p>
      <w:pPr>
        <w:pStyle w:val="Heading5"/>
      </w:pPr>
      <w:r>
        <w:rPr>
          <w:lang w:val="en_US" w:bidi="en_US"/>
        </w:rPr>
        <w:t>10:23b</w:t>
      </w:r>
    </w:p>
    <w:p>
      <w:pPr/>
      <w:r>
        <w:rPr>
          <w:lang w:val="en_US" w:bidi="en_US"/>
        </w:rPr>
      </w:r>
      <w:r>
        <w:rPr>
          <w:b/>
          <w:lang w:val="en_US" w:bidi="en_US"/>
        </w:rPr>
        <w:t>“Blessed are the eyes that see what you see.</w:t>
      </w:r>
    </w:p>
    <w:p>
      <w:pPr>
        <w:pStyle w:val="ListBullet"/>
        <w:spacing w:line="240" w:lineRule="auto"/>
        <w:ind w:left="720"/>
      </w:pPr>
      <w:r>
        <w:rPr>
          <w:lang w:val="en_US" w:bidi="en_US"/>
        </w:rPr>
      </w:r>
      <w:r>
        <w:rPr>
          <w:lang w:val="en_US" w:bidi="en_US"/>
        </w:rPr>
        <w:t>“</w:t>
      </w:r>
      <w:r>
        <w:rPr>
          <w:lang w:val="en_US" w:bidi="en_US"/>
        </w:rPr>
        <w:t>God has</w:t>
      </w:r>
      <w:r>
        <w:rPr>
          <w:lang w:val="en_US" w:bidi="en_US"/>
        </w:rPr>
        <w:t xml:space="preserve"> truly blessed all of you</w:t>
      </w:r>
      <w:r>
        <w:rPr>
          <w:vertAlign w:val="superscript"/>
          <w:lang w:val="en_US" w:bidi="en_US"/>
        </w:rPr>
        <w:t>(plur)</w:t>
      </w:r>
      <w:r>
        <w:rPr>
          <w:lang w:val="en_US" w:bidi="en_US"/>
        </w:rPr>
        <w:t xml:space="preserve"> that you have seen these </w:t>
      </w:r>
      <w:r>
        <w:rPr>
          <w:lang w:val="en_US" w:bidi="en_US"/>
        </w:rPr>
        <w:t>amazing</w:t>
      </w:r>
      <w:r>
        <w:rPr>
          <w:lang w:val="en_US" w:bidi="en_US"/>
        </w:rPr>
        <w:t xml:space="preserve"> things/events</w:t>
      </w:r>
    </w:p>
    <w:p>
      <w:pPr>
        <w:pStyle w:val="ListBullet"/>
        <w:spacing w:line="240" w:lineRule="auto"/>
        <w:ind w:left="720"/>
      </w:pPr>
      <w:r>
        <w:rPr>
          <w:lang w:val="en_US" w:bidi="en_US"/>
        </w:rPr>
      </w:r>
      <w:r>
        <w:rPr>
          <w:lang w:val="en_US" w:bidi="en_US"/>
        </w:rPr>
        <w:t>“All the people who have seen what you have seen are really fortunate/privileged!</w:t>
      </w:r>
    </w:p>
    <w:p>
      <w:pPr/>
      <w:r>
        <w:rPr>
          <w:lang w:val="en_US" w:bidi="en_US"/>
        </w:rPr>
      </w:r>
      <w:r>
        <w:rPr>
          <w:b/>
          <w:lang w:val="en_US" w:bidi="en_US"/>
        </w:rPr>
        <w:t>Blessed are the eyes that see what you see:</w:t>
      </w:r>
      <w:r>
        <w:rPr>
          <w:lang w:val="en_US" w:bidi="en_US"/>
        </w:rPr>
        <w:t xml:space="preserve"> The sentence </w:t>
      </w:r>
      <w:r>
        <w:rPr>
          <w:i/>
          <w:lang w:val="en_US" w:bidi="en_US"/>
        </w:rPr>
        <w:t>Blessed are the eyes that see what you see</w:t>
      </w:r>
      <w:r>
        <w:rPr>
          <w:lang w:val="en_US" w:bidi="en_US"/>
        </w:rPr>
        <w:t xml:space="preserve"> means “You and others who see the things that you have seen are privileged/fortunate.” Other ways to translate this sentence are:</w:t>
      </w:r>
    </w:p>
    <w:p>
      <w:pPr/>
      <w:r>
        <w:rPr>
          <w:lang w:val="en_US" w:bidi="en_US"/>
        </w:rPr>
      </w:r>
      <w:r>
        <w:rPr>
          <w:lang w:val="en_US" w:bidi="en_US"/>
        </w:rPr>
        <w:t>How fortunate you are to see the things you see! (GNT)</w:t>
      </w:r>
    </w:p>
    <w:p>
      <w:pPr/>
      <w:r>
        <w:rPr>
          <w:lang w:val="en_US" w:bidi="en_US"/>
        </w:rPr>
      </w:r>
      <w:r>
        <w:rPr>
          <w:lang w:val="en_US" w:bidi="en_US"/>
        </w:rPr>
        <w:t>You are really blessed to see what you see! (CEV)</w:t>
      </w:r>
    </w:p>
    <w:p>
      <w:pPr/>
      <w:r>
        <w:rPr>
          <w:lang w:val="en_US" w:bidi="en_US"/>
        </w:rPr>
      </w:r>
      <w:r>
        <w:rPr>
          <w:lang w:val="en_US" w:bidi="en_US"/>
        </w:rPr>
        <w:t xml:space="preserve">In this context, the phrase </w:t>
      </w:r>
      <w:r>
        <w:rPr>
          <w:i/>
          <w:lang w:val="en_US" w:bidi="en_US"/>
        </w:rPr>
        <w:t>the eyes that see</w:t>
      </w:r>
      <w:r>
        <w:rPr>
          <w:lang w:val="en_US" w:bidi="en_US"/>
        </w:rPr>
        <w:t xml:space="preserve"> is a figure of speech that means “the people who see.” It refers primarily to the disciples themselves, who had seen Jesus the Messiah and watched him perform miracles. However, it also includes the other people who had witnessed these things. One way to express this meaning is:</w:t>
      </w:r>
    </w:p>
    <w:p>
      <w:pPr/>
      <w:r>
        <w:rPr>
          <w:lang w:val="en_US" w:bidi="en_US"/>
        </w:rPr>
      </w:r>
      <w:r>
        <w:rPr>
          <w:lang w:val="en_US" w:bidi="en_US"/>
        </w:rPr>
        <w:t>All who see what you have seen are really fortunate/privileged!</w:t>
      </w:r>
    </w:p>
    <w:p>
      <w:pPr/>
      <w:r>
        <w:rPr>
          <w:lang w:val="en_US" w:bidi="en_US"/>
        </w:rPr>
      </w:r>
      <w:r>
        <w:rPr>
          <w:b/>
          <w:lang w:val="en_US" w:bidi="en_US"/>
        </w:rPr>
        <w:t>Blessed:</w:t>
      </w:r>
      <w:r>
        <w:rPr>
          <w:lang w:val="en_US" w:bidi="en_US"/>
        </w:rPr>
        <w:t xml:space="preserve"> The Greek word that the BSB translates as </w:t>
      </w:r>
      <w:r>
        <w:rPr>
          <w:i/>
          <w:lang w:val="en_US" w:bidi="en_US"/>
        </w:rPr>
        <w:t>Blessed</w:t>
      </w:r>
      <w:r>
        <w:rPr>
          <w:lang w:val="en_US" w:bidi="en_US"/>
        </w:rPr>
        <w:t xml:space="preserve"> in this context describes a person who has received a great honor and privilege from God. God’s favor/kindness to the person results in that person being in a good situation.</w:t>
      </w:r>
    </w:p>
    <w:p>
      <w:pPr/>
      <w:r>
        <w:rPr>
          <w:lang w:val="en_US" w:bidi="en_US"/>
        </w:rPr>
      </w:r>
      <w:r>
        <w:rPr>
          <w:lang w:val="en_US" w:bidi="en_US"/>
        </w:rPr>
        <w:t>See also 6:20–22 and the note on 6:20b, where the same word occurs. See bless, Meaning 3, in the Glossary.</w:t>
      </w:r>
      <w:r>
        <w:rPr>
          <w:lang w:val="en_US" w:bidi="en_US"/>
        </w:rPr>
      </w:r>
      <w:r>
        <w:rPr>
          <w:lang w:val="en_US" w:bidi="en_US"/>
        </w:rPr>
      </w:r>
    </w:p>
    <w:p>
      <w:pPr/>
      <w:r>
        <w:rPr>
          <w:lang w:val="en_US" w:bidi="en_US"/>
        </w:rPr>
      </w:r>
    </w:p>
    <w:p>
      <w:pPr>
        <w:pStyle w:val="Heading2"/>
      </w:pPr>
      <w:r>
        <w:rPr>
          <w:lang w:val="en_US" w:bidi="en_US"/>
        </w:rPr>
        <w:t>Luke 10:24</w:t>
      </w:r>
      <w:r>
        <w:rPr>
          <w:lang w:val="en_US" w:bidi="en_US"/>
        </w:rPr>
      </w:r>
    </w:p>
    <w:p>
      <w:pPr>
        <w:pStyle w:val="Heading4"/>
      </w:pPr>
      <w:r>
        <w:rPr>
          <w:lang w:val="en_US" w:bidi="en_US"/>
        </w:rPr>
        <w:t>Section 10:1–24: Jesus sent out seventy-two disciples</w:t>
      </w:r>
    </w:p>
    <w:p>
      <w:pPr/>
      <w:r>
        <w:rPr>
          <w:lang w:val="en_US" w:bidi="en_US"/>
        </w:rPr>
      </w:r>
      <w:r>
        <w:rPr>
          <w:lang w:val="en_US" w:bidi="en_US"/>
        </w:rPr>
        <w:t>In Section 9:1–6 Jesus sent out the twelve apostles to preach and to heal. Here in Section 10:1–24 he sent out a larger group of disciples to different towns. Jesus told this larger group of disciples to visit many towns. They would visit the towns to find out which people and towns would receive Jesus and which would not receive him. Jesus ended his instructions to these disciples by telling them that God would punish the towns where the people did not welcome him.</w:t>
      </w:r>
    </w:p>
    <w:p>
      <w:pPr/>
      <w:r>
        <w:rPr>
          <w:lang w:val="en_US" w:bidi="en_US"/>
        </w:rPr>
      </w:r>
      <w:r>
        <w:rPr>
          <w:lang w:val="en_US" w:bidi="en_US"/>
        </w:rPr>
        <w:t>Notice that in Luke 10:1 there is a textual issue concerning the number of disciples Jesus sent. You should make a decision about this textual issue before you decide on the heading for this section.</w:t>
      </w:r>
    </w:p>
    <w:p>
      <w:pPr/>
      <w:r>
        <w:rPr>
          <w:lang w:val="en_US" w:bidi="en_US"/>
        </w:rPr>
      </w:r>
      <w:r>
        <w:rPr>
          <w:lang w:val="en_US" w:bidi="en_US"/>
        </w:rPr>
        <w:t>Another possible heading for this section is:</w:t>
      </w:r>
    </w:p>
    <w:p>
      <w:pPr/>
      <w:r>
        <w:rPr>
          <w:lang w:val="en_US" w:bidi="en_US"/>
        </w:rPr>
      </w:r>
      <w:r>
        <w:rPr>
          <w:lang w:val="en_US" w:bidi="en_US"/>
        </w:rPr>
        <w:t>Jesus appointed seventy-two disciples to preach and to heal people</w:t>
      </w:r>
    </w:p>
    <w:p>
      <w:pPr/>
      <w:r>
        <w:rPr>
          <w:lang w:val="en_US" w:bidi="en_US"/>
        </w:rPr>
      </w:r>
      <w:r>
        <w:rPr>
          <w:lang w:val="en_US" w:bidi="en_US"/>
        </w:rPr>
        <w:t>Luke is the only gospel writer who wrote about this event. However, there are parallel passages for some of the verses in this section in Matthew 9:37–38, 10:7–16, and 11:21–23.</w:t>
      </w:r>
      <w:r>
        <w:rPr>
          <w:lang w:val="en_US" w:bidi="en_US"/>
        </w:rPr>
        <w:t>Marshall, p. 412.</w:t>
      </w:r>
    </w:p>
    <w:p>
      <w:pPr>
        <w:pStyle w:val="Heading5"/>
      </w:pPr>
      <w:r>
        <w:rPr>
          <w:lang w:val="en_US" w:bidi="en_US"/>
        </w:rPr>
        <w:t>10:24a</w:t>
      </w:r>
    </w:p>
    <w:p>
      <w:pPr/>
      <w:r>
        <w:rPr>
          <w:lang w:val="en_US" w:bidi="en_US"/>
        </w:rPr>
      </w:r>
      <w:r>
        <w:rPr>
          <w:b/>
          <w:lang w:val="en_US" w:bidi="en_US"/>
        </w:rPr>
        <w:t>For I tell you that many prophets and kings desired to see what you see but did not see it,</w:t>
      </w:r>
    </w:p>
    <w:p>
      <w:pPr>
        <w:pStyle w:val="ListBullet"/>
        <w:spacing w:line="240" w:lineRule="auto"/>
        <w:ind w:left="720"/>
      </w:pPr>
      <w:r>
        <w:rPr>
          <w:lang w:val="en_US" w:bidi="en_US"/>
        </w:rPr>
      </w:r>
      <w:r>
        <w:rPr>
          <w:lang w:val="en_US" w:bidi="en_US"/>
        </w:rPr>
        <w:t>I assure you: many prophets and kings wanted to see the things/events that you have seen. But they did not see them.</w:t>
      </w:r>
    </w:p>
    <w:p>
      <w:pPr>
        <w:pStyle w:val="ListBullet"/>
        <w:spacing w:line="240" w:lineRule="auto"/>
        <w:ind w:left="720"/>
      </w:pPr>
      <w:r>
        <w:rPr>
          <w:lang w:val="en_US" w:bidi="en_US"/>
        </w:rPr>
      </w:r>
      <w:r>
        <w:rPr>
          <w:lang w:val="en_US" w:bidi="en_US"/>
        </w:rPr>
        <w:t xml:space="preserve">For you can be sure that many </w:t>
      </w:r>
      <w:r>
        <w:rPr>
          <w:lang w:val="en_US" w:bidi="en_US"/>
        </w:rPr>
        <w:t>ancient</w:t>
      </w:r>
      <w:r>
        <w:rPr>
          <w:lang w:val="en_US" w:bidi="en_US"/>
        </w:rPr>
        <w:t xml:space="preserve"> prophets and rulers longed to see the things that you are seeing, but they never saw them. It is you who have seen them.</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another fact that emphasizes how blessed the disciples were to see Jesus and what he did as the Messiah (10:23). This fact is that even important leaders of the past did not have the opportunity to see him.</w:t>
      </w:r>
    </w:p>
    <w:p>
      <w:pPr/>
      <w:r>
        <w:rPr>
          <w:lang w:val="en_US" w:bidi="en_US"/>
        </w:rPr>
      </w:r>
      <w:r>
        <w:rPr>
          <w:lang w:val="en_US" w:bidi="en_US"/>
        </w:rPr>
        <w:t>Connect 10:24a to 10:23b in a natural way in your language. In some languages a connector may not be needed. For example:</w:t>
      </w:r>
    </w:p>
    <w:p>
      <w:pPr/>
      <w:r>
        <w:rPr>
          <w:lang w:val="en_US" w:bidi="en_US"/>
        </w:rPr>
      </w:r>
      <w:r>
        <w:rPr>
          <w:lang w:val="en_US" w:bidi="en_US"/>
        </w:rPr>
        <w:t>I tell you, many prophets and kings… (NCV)</w:t>
      </w:r>
    </w:p>
    <w:p>
      <w:pPr/>
      <w:r>
        <w:rPr>
          <w:lang w:val="en_US" w:bidi="en_US"/>
        </w:rPr>
      </w:r>
      <w:r>
        <w:rPr>
          <w:b/>
          <w:lang w:val="en_US" w:bidi="en_US"/>
        </w:rPr>
        <w:t>I tell you:</w:t>
      </w:r>
      <w:r>
        <w:rPr>
          <w:lang w:val="en_US" w:bidi="en_US"/>
        </w:rPr>
        <w:t xml:space="preserve"> Jesus often used the words </w:t>
      </w:r>
      <w:r>
        <w:rPr>
          <w:i/>
          <w:lang w:val="en_US" w:bidi="en_US"/>
        </w:rPr>
        <w:t>I tell you</w:t>
      </w:r>
      <w:r>
        <w:rPr>
          <w:lang w:val="en_US" w:bidi="en_US"/>
        </w:rPr>
        <w:t xml:space="preserve"> to begin a statement that he wanted to emphasize. He was asking people to listen with extra attention. Some ways to show the emphasis are:</w:t>
      </w:r>
    </w:p>
    <w:p>
      <w:pPr/>
      <w:r>
        <w:rPr>
          <w:lang w:val="en_US" w:bidi="en_US"/>
        </w:rPr>
      </w:r>
      <w:r>
        <w:rPr>
          <w:lang w:val="en_US" w:bidi="en_US"/>
        </w:rPr>
        <w:t>I can guarantee (GW)</w:t>
      </w:r>
    </w:p>
    <w:p>
      <w:pPr/>
      <w:r>
        <w:rPr>
          <w:lang w:val="en_US" w:bidi="en_US"/>
        </w:rPr>
      </w:r>
      <w:r>
        <w:rPr>
          <w:lang w:val="en_US" w:bidi="en_US"/>
        </w:rPr>
        <w:t>I assure you</w:t>
      </w:r>
    </w:p>
    <w:p>
      <w:pPr/>
      <w:r>
        <w:rPr>
          <w:lang w:val="en_US" w:bidi="en_US"/>
        </w:rPr>
      </w:r>
      <w:r>
        <w:rPr>
          <w:lang w:val="en_US" w:bidi="en_US"/>
        </w:rPr>
        <w:t>If you have another way in your language to emphasize a statement like this, consider using it here.</w:t>
      </w:r>
    </w:p>
    <w:p>
      <w:pPr/>
      <w:r>
        <w:rPr>
          <w:lang w:val="en_US" w:bidi="en_US"/>
        </w:rPr>
      </w:r>
      <w:r>
        <w:rPr>
          <w:b/>
          <w:lang w:val="en_US" w:bidi="en_US"/>
        </w:rPr>
        <w:t>many prophets and kings desired to see what you see:</w:t>
      </w:r>
      <w:r>
        <w:rPr>
          <w:lang w:val="en_US" w:bidi="en_US"/>
        </w:rPr>
        <w:t xml:space="preserve"> Many of the Jewish leaders who lived long before Jesus was born had wanted to see the Messiah and what he would do.</w:t>
      </w:r>
    </w:p>
    <w:p>
      <w:pPr/>
      <w:r>
        <w:rPr>
          <w:lang w:val="en_US" w:bidi="en_US"/>
        </w:rPr>
      </w:r>
      <w:r>
        <w:rPr>
          <w:b/>
          <w:lang w:val="en_US" w:bidi="en_US"/>
        </w:rPr>
        <w:t>prophets:</w:t>
      </w:r>
      <w:r>
        <w:rPr>
          <w:lang w:val="en_US" w:bidi="en_US"/>
        </w:rPr>
        <w:t xml:space="preserve"> The word </w:t>
      </w:r>
      <w:r>
        <w:rPr>
          <w:i/>
          <w:lang w:val="en_US" w:bidi="en_US"/>
        </w:rPr>
        <w:t>prophets</w:t>
      </w:r>
      <w:r>
        <w:rPr>
          <w:lang w:val="en_US" w:bidi="en_US"/>
        </w:rPr>
        <w:t xml:space="preserve"> refers to men and women who spoke on behalf of God. They told people what God revealed to them. Some ways to translate </w:t>
      </w:r>
      <w:r>
        <w:rPr>
          <w:i/>
          <w:lang w:val="en_US" w:bidi="en_US"/>
        </w:rPr>
        <w:t>prophets</w:t>
      </w:r>
      <w:r>
        <w:rPr>
          <w:lang w:val="en_US" w:bidi="en_US"/>
        </w:rPr>
        <w:t xml:space="preserve"> are:</w:t>
      </w:r>
    </w:p>
    <w:p>
      <w:pPr/>
      <w:r>
        <w:rPr>
          <w:lang w:val="en_US" w:bidi="en_US"/>
        </w:rPr>
      </w:r>
      <w:r>
        <w:rPr>
          <w:lang w:val="en_US" w:bidi="en_US"/>
        </w:rPr>
        <w:t>spokesmen for God</w:t>
      </w:r>
    </w:p>
    <w:p>
      <w:pPr/>
      <w:r>
        <w:rPr>
          <w:lang w:val="en_US" w:bidi="en_US"/>
        </w:rPr>
      </w:r>
      <w:r>
        <w:rPr>
          <w:lang w:val="en_US" w:bidi="en_US"/>
        </w:rPr>
        <w:t>people who speak God’s words</w:t>
      </w:r>
    </w:p>
    <w:p>
      <w:pPr/>
      <w:r>
        <w:rPr>
          <w:lang w:val="en_US" w:bidi="en_US"/>
        </w:rPr>
      </w:r>
      <w:r>
        <w:rPr>
          <w:lang w:val="en_US" w:bidi="en_US"/>
        </w:rPr>
        <w:t>God’s message-speakers</w:t>
      </w:r>
    </w:p>
    <w:p>
      <w:pPr/>
      <w:r>
        <w:rPr>
          <w:lang w:val="en_US" w:bidi="en_US"/>
        </w:rPr>
      </w:r>
      <w:r>
        <w:rPr>
          <w:lang w:val="en_US" w:bidi="en_US"/>
        </w:rPr>
        <w:t xml:space="preserve">See how you translated the word </w:t>
      </w:r>
      <w:r>
        <w:rPr>
          <w:i/>
          <w:lang w:val="en_US" w:bidi="en_US"/>
        </w:rPr>
        <w:t>prophets</w:t>
      </w:r>
      <w:r>
        <w:rPr>
          <w:lang w:val="en_US" w:bidi="en_US"/>
        </w:rPr>
        <w:t xml:space="preserve"> in 9:8a. See also prophet in the Glossary.</w:t>
      </w:r>
    </w:p>
    <w:p>
      <w:pPr/>
      <w:r>
        <w:rPr>
          <w:lang w:val="en_US" w:bidi="en_US"/>
        </w:rPr>
      </w:r>
      <w:r>
        <w:rPr>
          <w:b/>
          <w:lang w:val="en_US" w:bidi="en_US"/>
        </w:rPr>
        <w:t>but did not see it:</w:t>
      </w:r>
      <w:r>
        <w:rPr>
          <w:lang w:val="en_US" w:bidi="en_US"/>
        </w:rPr>
        <w:t xml:space="preserve"> The prophets and kings of ancient times never saw the Messiah during the time they lived on earth.</w:t>
      </w:r>
    </w:p>
    <w:p>
      <w:pPr>
        <w:pStyle w:val="Heading5"/>
      </w:pPr>
      <w:r>
        <w:rPr>
          <w:lang w:val="en_US" w:bidi="en_US"/>
        </w:rPr>
        <w:t>10:24b</w:t>
      </w:r>
    </w:p>
    <w:p>
      <w:pPr/>
      <w:r>
        <w:rPr>
          <w:lang w:val="en_US" w:bidi="en_US"/>
        </w:rPr>
      </w:r>
      <w:r>
        <w:rPr>
          <w:b/>
          <w:lang w:val="en_US" w:bidi="en_US"/>
        </w:rPr>
        <w:t>and to hear what you hear but did not hear it.”</w:t>
      </w:r>
    </w:p>
    <w:p>
      <w:pPr>
        <w:pStyle w:val="ListBullet"/>
        <w:spacing w:line="240" w:lineRule="auto"/>
        <w:ind w:left="720"/>
      </w:pPr>
      <w:r>
        <w:rPr>
          <w:lang w:val="en_US" w:bidi="en_US"/>
        </w:rPr>
      </w:r>
      <w:r>
        <w:rPr>
          <w:lang w:val="en_US" w:bidi="en_US"/>
        </w:rPr>
        <w:t xml:space="preserve">They also wanted to hear </w:t>
      </w:r>
      <w:r>
        <w:rPr>
          <w:lang w:val="en_US" w:bidi="en_US"/>
        </w:rPr>
        <w:t>the words/teachings</w:t>
      </w:r>
      <w:r>
        <w:rPr>
          <w:lang w:val="en_US" w:bidi="en_US"/>
        </w:rPr>
        <w:t xml:space="preserve"> that you have heard. But they did not hear them.”</w:t>
      </w:r>
    </w:p>
    <w:p>
      <w:pPr>
        <w:pStyle w:val="ListBullet"/>
        <w:spacing w:line="240" w:lineRule="auto"/>
        <w:ind w:left="720"/>
      </w:pPr>
      <w:r>
        <w:rPr>
          <w:lang w:val="en_US" w:bidi="en_US"/>
        </w:rPr>
      </w:r>
      <w:r>
        <w:rPr>
          <w:lang w:val="en_US" w:bidi="en_US"/>
        </w:rPr>
        <w:t xml:space="preserve">And they wanted to hear </w:t>
      </w:r>
      <w:r>
        <w:rPr>
          <w:lang w:val="en_US" w:bidi="en_US"/>
        </w:rPr>
        <w:t>my words/teachings</w:t>
      </w:r>
      <w:r>
        <w:rPr>
          <w:lang w:val="en_US" w:bidi="en_US"/>
        </w:rPr>
        <w:t>, but they never heard them. It is you who have heard them.”</w:t>
      </w:r>
    </w:p>
    <w:p>
      <w:pPr/>
      <w:r>
        <w:rPr>
          <w:lang w:val="en_US" w:bidi="en_US"/>
        </w:rPr>
      </w:r>
      <w:r>
        <w:rPr>
          <w:b/>
          <w:lang w:val="en_US" w:bidi="en_US"/>
        </w:rPr>
        <w:t>and to hear what you hear but did not hear it:</w:t>
      </w:r>
      <w:r>
        <w:rPr>
          <w:lang w:val="en_US" w:bidi="en_US"/>
        </w:rPr>
        <w:t xml:space="preserve"> The prophets and kings of old times had also wanted to hear the things that the Messiah taught people. But they were not able to hear what the Messiah taught, because they died long before Jesus was born.</w:t>
      </w:r>
      <w:r>
        <w:rPr>
          <w:lang w:val="en_US" w:bidi="en_US"/>
        </w:rPr>
      </w:r>
      <w:r>
        <w:rPr>
          <w:lang w:val="en_US" w:bidi="en_US"/>
        </w:rPr>
      </w:r>
    </w:p>
    <w:p>
      <w:pPr/>
      <w:r>
        <w:rPr>
          <w:lang w:val="en_US" w:bidi="en_US"/>
        </w:rPr>
      </w:r>
    </w:p>
    <w:p>
      <w:pPr>
        <w:pStyle w:val="Heading2"/>
      </w:pPr>
      <w:r>
        <w:rPr>
          <w:lang w:val="en_US" w:bidi="en_US"/>
        </w:rPr>
        <w:t>Luke 10:25</w:t>
      </w:r>
      <w:r>
        <w:rPr>
          <w:lang w:val="en_US" w:bidi="en_US"/>
        </w:rPr>
      </w:r>
    </w:p>
    <w:p>
      <w:pPr>
        <w:pStyle w:val="Heading4"/>
      </w:pPr>
      <w:r>
        <w:rPr>
          <w:lang w:val="en_US" w:bidi="en_US"/>
        </w:rPr>
        <w:t>Section 10:25–37: Jesus told a story to show us who our neighbors are</w:t>
      </w:r>
    </w:p>
    <w:p>
      <w:pPr/>
      <w:r>
        <w:rPr>
          <w:lang w:val="en_US" w:bidi="en_US"/>
        </w:rPr>
      </w:r>
      <w:r>
        <w:rPr>
          <w:lang w:val="en_US" w:bidi="en_US"/>
        </w:rP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pPr/>
      <w:r>
        <w:rPr>
          <w:lang w:val="en_US" w:bidi="en_US"/>
        </w:rPr>
      </w:r>
      <w:r>
        <w:rPr>
          <w:lang w:val="en_US" w:bidi="en_US"/>
        </w:rP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pPr/>
      <w:r>
        <w:rPr>
          <w:lang w:val="en_US" w:bidi="en_US"/>
        </w:rPr>
      </w:r>
      <w:r>
        <w:rPr>
          <w:lang w:val="en_US" w:bidi="en_US"/>
        </w:rP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pPr/>
      <w:r>
        <w:rPr>
          <w:lang w:val="en_US" w:bidi="en_US"/>
        </w:rPr>
      </w:r>
      <w:r>
        <w:rPr>
          <w:lang w:val="en_US" w:bidi="en_US"/>
        </w:rPr>
        <w:t>Some other possible section headings are:</w:t>
      </w:r>
    </w:p>
    <w:p>
      <w:pPr/>
      <w:r>
        <w:rPr>
          <w:lang w:val="en_US" w:bidi="en_US"/>
        </w:rPr>
      </w:r>
      <w:r>
        <w:rPr>
          <w:lang w:val="en_US" w:bidi="en_US"/>
        </w:rPr>
        <w:t>The parable about the good foreigner</w:t>
      </w:r>
    </w:p>
    <w:p>
      <w:pPr/>
      <w:r>
        <w:rPr>
          <w:lang w:val="en_US" w:bidi="en_US"/>
        </w:rPr>
      </w:r>
      <w:r>
        <w:rPr>
          <w:lang w:val="en_US" w:bidi="en_US"/>
        </w:rPr>
        <w:t>Who is my neighbor?</w:t>
      </w:r>
    </w:p>
    <w:p>
      <w:pPr/>
      <w:r>
        <w:rPr>
          <w:lang w:val="en_US" w:bidi="en_US"/>
        </w:rPr>
      </w:r>
      <w:r>
        <w:rPr>
          <w:lang w:val="en_US" w:bidi="en_US"/>
        </w:rPr>
        <w:t>The Good Samaritan</w:t>
      </w:r>
    </w:p>
    <w:p>
      <w:pPr/>
      <w:r>
        <w:rPr>
          <w:lang w:val="en_US" w:bidi="en_US"/>
        </w:rPr>
      </w:r>
      <w:r>
        <w:rPr>
          <w:lang w:val="en_US" w:bidi="en_US"/>
        </w:rPr>
        <w:t>Luke is the only gospel writer who includes this parable.</w:t>
      </w:r>
    </w:p>
    <w:p>
      <w:pPr>
        <w:pStyle w:val="Heading5"/>
      </w:pPr>
      <w:r>
        <w:rPr>
          <w:lang w:val="en_US" w:bidi="en_US"/>
        </w:rPr>
        <w:t>10:25a</w:t>
      </w:r>
    </w:p>
    <w:p>
      <w:pPr/>
      <w:r>
        <w:rPr>
          <w:lang w:val="en_US" w:bidi="en_US"/>
        </w:rPr>
      </w:r>
      <w:r>
        <w:rPr>
          <w:b/>
          <w:lang w:val="en_US" w:bidi="en_US"/>
        </w:rPr>
        <w:t>One day an expert in the law stood up</w:t>
      </w:r>
    </w:p>
    <w:p>
      <w:pPr>
        <w:pStyle w:val="ListBullet"/>
        <w:spacing w:line="240" w:lineRule="auto"/>
        <w:ind w:left="720"/>
      </w:pPr>
      <w:r>
        <w:rPr>
          <w:lang w:val="en_US" w:bidi="en_US"/>
        </w:rPr>
      </w:r>
      <w:r>
        <w:rPr>
          <w:lang w:val="en_US" w:bidi="en_US"/>
        </w:rPr>
        <w:t xml:space="preserve">¶ One day </w:t>
      </w:r>
      <w:r>
        <w:rPr>
          <w:lang w:val="en_US" w:bidi="en_US"/>
        </w:rPr>
        <w:t>while Jesus was teaching,</w:t>
      </w:r>
      <w:r>
        <w:rPr>
          <w:lang w:val="en_US" w:bidi="en_US"/>
        </w:rPr>
        <w:t xml:space="preserve"> a </w:t>
      </w:r>
      <w:r>
        <w:rPr>
          <w:lang w:val="en_US" w:bidi="en_US"/>
        </w:rPr>
        <w:t>certain</w:t>
      </w:r>
      <w:r>
        <w:rPr>
          <w:lang w:val="en_US" w:bidi="en_US"/>
        </w:rPr>
        <w:t xml:space="preserve"> teacher of the law stood up</w:t>
      </w:r>
    </w:p>
    <w:p>
      <w:pPr>
        <w:pStyle w:val="ListBullet"/>
        <w:spacing w:line="240" w:lineRule="auto"/>
        <w:ind w:left="720"/>
      </w:pPr>
      <w:r>
        <w:rPr>
          <w:lang w:val="en_US" w:bidi="en_US"/>
        </w:rPr>
      </w:r>
      <w:r>
        <w:rPr>
          <w:lang w:val="en_US" w:bidi="en_US"/>
        </w:rPr>
        <w:t xml:space="preserve">¶ Then a man who an expert in the </w:t>
      </w:r>
      <w:r>
        <w:rPr>
          <w:lang w:val="en_US" w:bidi="en_US"/>
        </w:rPr>
        <w:t>Jewish</w:t>
      </w:r>
      <w:r>
        <w:rPr>
          <w:lang w:val="en_US" w:bidi="en_US"/>
        </w:rPr>
        <w:t xml:space="preserve"> law stood</w:t>
      </w:r>
    </w:p>
    <w:p>
      <w:pPr/>
      <w:r>
        <w:rPr>
          <w:lang w:val="en_US" w:bidi="en_US"/>
        </w:rPr>
      </w:r>
      <w:r>
        <w:rPr>
          <w:b/>
          <w:lang w:val="en_US" w:bidi="en_US"/>
        </w:rPr>
        <w:t>One day an expert in the law:</w:t>
      </w:r>
      <w:r>
        <w:rPr>
          <w:lang w:val="en_US" w:bidi="en_US"/>
        </w:rPr>
        <w:t xml:space="preserve"> In Greek, this paragraph begins literally with the phrase “And behold.” In this context, the phrase introduces something new that the author wants people to pay attention to.</w:t>
      </w:r>
      <w:r>
        <w:rPr>
          <w:lang w:val="en_US" w:bidi="en_US"/>
        </w:rPr>
        <w:t xml:space="preserve">This is the function of </w:t>
      </w:r>
      <w:r>
        <w:rPr>
          <w:i/>
          <w:lang w:val="en_US" w:bidi="en_US"/>
        </w:rPr>
        <w:t>kai idou</w:t>
      </w:r>
      <w:r>
        <w:rPr>
          <w:lang w:val="en_US" w:bidi="en_US"/>
        </w:rPr>
        <w:t xml:space="preserve"> suggested by TH (p. 475) and by Nolland (p. 583). Van Otterloo suggests a different function: introducing a major participant into the story. Perhaps it has both functions here.</w:t>
      </w:r>
      <w:r>
        <w:rPr>
          <w:lang w:val="en_US" w:bidi="en_US"/>
        </w:rPr>
        <w:t xml:space="preserve"> The phrase introduces the expert in the law, who was an important person in the story. It also introduces the new event that Luke was beginning to tell about. One way to translate this is:</w:t>
      </w:r>
    </w:p>
    <w:p>
      <w:pPr/>
      <w:r>
        <w:rPr>
          <w:lang w:val="en_US" w:bidi="en_US"/>
        </w:rPr>
      </w:r>
      <w:r>
        <w:rPr>
          <w:lang w:val="en_US" w:bidi="en_US"/>
        </w:rPr>
        <w:t>And listen! An expert in the law…</w:t>
      </w:r>
    </w:p>
    <w:p>
      <w:pPr/>
      <w:r>
        <w:rPr>
          <w:lang w:val="en_US" w:bidi="en_US"/>
        </w:rPr>
      </w:r>
      <w:r>
        <w:rPr>
          <w:lang w:val="en_US" w:bidi="en_US"/>
        </w:rPr>
        <w:t>In some languages, including English, it is natural to begin a new event such as this with a time word or phrase. Since the text does not include details about when this event happened, you should refer to the time in a general way. Some ways to introduce this event and the expert in the law are:</w:t>
      </w:r>
    </w:p>
    <w:p>
      <w:pPr/>
      <w:r>
        <w:rPr>
          <w:lang w:val="en_US" w:bidi="en_US"/>
        </w:rPr>
      </w:r>
      <w:r>
        <w:rPr>
          <w:lang w:val="en_US" w:bidi="en_US"/>
        </w:rPr>
        <w:t>One day an expert in religious law (NLT)</w:t>
      </w:r>
    </w:p>
    <w:p>
      <w:pPr/>
      <w:r>
        <w:rPr>
          <w:lang w:val="en_US" w:bidi="en_US"/>
        </w:rPr>
      </w:r>
      <w:r>
        <w:rPr>
          <w:lang w:val="en_US" w:bidi="en_US"/>
        </w:rPr>
        <w:t>Then an expert on the law (NCV)</w:t>
      </w:r>
    </w:p>
    <w:p>
      <w:pPr/>
      <w:r>
        <w:rPr>
          <w:lang w:val="en_US" w:bidi="en_US"/>
        </w:rPr>
      </w:r>
      <w:r>
        <w:rPr>
          <w:lang w:val="en_US" w:bidi="en_US"/>
        </w:rPr>
        <w:t>There was a certain expert in the law</w:t>
      </w:r>
    </w:p>
    <w:p>
      <w:pPr/>
      <w:r>
        <w:rPr>
          <w:lang w:val="en_US" w:bidi="en_US"/>
        </w:rPr>
      </w:r>
      <w:r>
        <w:rPr>
          <w:lang w:val="en_US" w:bidi="en_US"/>
        </w:rPr>
        <w:t>An expert in the law was there.</w:t>
      </w:r>
    </w:p>
    <w:p>
      <w:pPr/>
      <w:r>
        <w:rPr>
          <w:lang w:val="en_US" w:bidi="en_US"/>
        </w:rPr>
      </w:r>
      <w:r>
        <w:rPr>
          <w:lang w:val="en_US" w:bidi="en_US"/>
        </w:rPr>
        <w:t>Introduce the expert in the law and the whole event in a natural way in your language.</w:t>
      </w:r>
    </w:p>
    <w:p>
      <w:pPr/>
      <w:r>
        <w:rPr>
          <w:lang w:val="en_US" w:bidi="en_US"/>
        </w:rPr>
      </w:r>
      <w:r>
        <w:rPr>
          <w:b/>
          <w:lang w:val="en_US" w:bidi="en_US"/>
        </w:rPr>
        <w:t>expert in the law:</w:t>
      </w:r>
      <w:r>
        <w:rPr>
          <w:lang w:val="en_US" w:bidi="en_US"/>
        </w:rPr>
        <w:t xml:space="preserve"> The Greek word that the BSB translates as </w:t>
      </w:r>
      <w:r>
        <w:rPr>
          <w:i/>
          <w:lang w:val="en_US" w:bidi="en_US"/>
        </w:rPr>
        <w:t>expert in the law</w:t>
      </w:r>
      <w:r>
        <w:rPr>
          <w:lang w:val="en_US" w:bidi="en_US"/>
        </w:rPr>
        <w:t xml:space="preserve"> refers to a man who studied, interpreted, and taught God’s laws to the people.</w:t>
      </w:r>
    </w:p>
    <w:p>
      <w:pPr/>
      <w:r>
        <w:rPr>
          <w:lang w:val="en_US" w:bidi="en_US"/>
        </w:rPr>
      </w:r>
      <w:r>
        <w:rPr>
          <w:lang w:val="en_US" w:bidi="en_US"/>
        </w:rPr>
        <w:t xml:space="preserve">Some English versions translate this term as “lawyer.” However, the function of a lawyer today is quite different from the function of an “expert in the law” in Jesus’ time. The main function of the </w:t>
      </w:r>
      <w:r>
        <w:rPr>
          <w:i/>
          <w:lang w:val="en_US" w:bidi="en_US"/>
        </w:rPr>
        <w:t>expert in the law</w:t>
      </w:r>
      <w:r>
        <w:rPr>
          <w:lang w:val="en_US" w:bidi="en_US"/>
        </w:rPr>
        <w:t xml:space="preserve"> was to teach the laws of Moses.</w:t>
      </w:r>
    </w:p>
    <w:p>
      <w:pPr/>
      <w:r>
        <w:rPr>
          <w:lang w:val="en_US" w:bidi="en_US"/>
        </w:rPr>
      </w:r>
      <w:r>
        <w:rPr>
          <w:lang w:val="en_US" w:bidi="en_US"/>
        </w:rPr>
        <w:t>Some ways to translate this term are:</w:t>
      </w:r>
    </w:p>
    <w:p>
      <w:pPr/>
      <w:r>
        <w:rPr>
          <w:lang w:val="en_US" w:bidi="en_US"/>
        </w:rPr>
      </w:r>
      <w:r>
        <w:rPr>
          <w:lang w:val="en_US" w:bidi="en_US"/>
        </w:rPr>
        <w:t>teacher of the Law of Moses</w:t>
      </w:r>
    </w:p>
    <w:p>
      <w:pPr/>
      <w:r>
        <w:rPr>
          <w:lang w:val="en_US" w:bidi="en_US"/>
        </w:rPr>
      </w:r>
      <w:r>
        <w:rPr>
          <w:lang w:val="en_US" w:bidi="en_US"/>
        </w:rPr>
        <w:t>teacher of religious law</w:t>
      </w:r>
    </w:p>
    <w:p>
      <w:pPr/>
      <w:r>
        <w:rPr>
          <w:lang w:val="en_US" w:bidi="en_US"/>
        </w:rPr>
      </w:r>
      <w:r>
        <w:rPr>
          <w:lang w:val="en_US" w:bidi="en_US"/>
        </w:rPr>
        <w:t>expert on the law</w:t>
      </w:r>
    </w:p>
    <w:p>
      <w:pPr/>
      <w:r>
        <w:rPr>
          <w:lang w:val="en_US" w:bidi="en_US"/>
        </w:rPr>
      </w:r>
      <w:r>
        <w:rPr>
          <w:lang w:val="en_US" w:bidi="en_US"/>
        </w:rPr>
        <w:t>This word is different from the word used in 9:22b, which the BSB translates as “scribes.” However, both words have the same meaning and refer to the same group of men. It is recommended that you use the same expression to translate both terms.</w:t>
      </w:r>
    </w:p>
    <w:p>
      <w:pPr/>
      <w:r>
        <w:rPr>
          <w:lang w:val="en_US" w:bidi="en_US"/>
        </w:rPr>
      </w:r>
      <w:r>
        <w:rPr>
          <w:lang w:val="en_US" w:bidi="en_US"/>
        </w:rPr>
        <w:t>See expert in the law in the Glossary.</w:t>
      </w:r>
    </w:p>
    <w:p>
      <w:pPr/>
      <w:r>
        <w:rPr>
          <w:lang w:val="en_US" w:bidi="en_US"/>
        </w:rPr>
      </w:r>
      <w:r>
        <w:rPr>
          <w:b/>
          <w:lang w:val="en_US" w:bidi="en_US"/>
        </w:rPr>
        <w:t>stood up:</w:t>
      </w:r>
      <w:r>
        <w:rPr>
          <w:lang w:val="en_US" w:bidi="en_US"/>
        </w:rPr>
        <w:t xml:space="preserve"> In Israel at that time, a teacher and his students usually sat while he taught them. When a student asked the teacher a question, the student stood. It is also possible that the lawyer came forward in the crowd in order to speak with Jesus more easily. In some languages it may be helpful to make some of this implied information explicit. For example:</w:t>
      </w:r>
    </w:p>
    <w:p>
      <w:pPr/>
      <w:r>
        <w:rPr>
          <w:lang w:val="en_US" w:bidi="en_US"/>
        </w:rPr>
      </w:r>
      <w:r>
        <w:rPr>
          <w:lang w:val="en_US" w:bidi="en_US"/>
        </w:rPr>
        <w:t>stood up to test Jesus by asking him this question (NLT)</w:t>
      </w:r>
    </w:p>
    <w:p>
      <w:pPr/>
      <w:r>
        <w:rPr>
          <w:lang w:val="en_US" w:bidi="en_US"/>
        </w:rPr>
      </w:r>
      <w:r>
        <w:rPr>
          <w:lang w:val="en_US" w:bidi="en_US"/>
        </w:rPr>
        <w:t>while Jesus was teaching,</w:t>
      </w:r>
      <w:r>
        <w:rPr>
          <w:lang w:val="en_US" w:bidi="en_US"/>
        </w:rPr>
        <w:t xml:space="preserve"> a law expert stood to ask a question to test Jesus’ </w:t>
      </w:r>
      <w:r>
        <w:rPr>
          <w:lang w:val="en_US" w:bidi="en_US"/>
        </w:rPr>
        <w:t>knowledge</w:t>
      </w:r>
    </w:p>
    <w:p>
      <w:pPr/>
      <w:r>
        <w:rPr>
          <w:lang w:val="en_US" w:bidi="en_US"/>
        </w:rPr>
      </w:r>
      <w:r>
        <w:rPr>
          <w:lang w:val="en_US" w:bidi="en_US"/>
        </w:rPr>
        <w:t>came forward to test him by asking (REB)</w:t>
      </w:r>
    </w:p>
    <w:p>
      <w:pPr>
        <w:pStyle w:val="Heading5"/>
      </w:pPr>
      <w:r>
        <w:rPr>
          <w:lang w:val="en_US" w:bidi="en_US"/>
        </w:rPr>
        <w:t>10:25b</w:t>
      </w:r>
    </w:p>
    <w:p>
      <w:pPr/>
      <w:r>
        <w:rPr>
          <w:lang w:val="en_US" w:bidi="en_US"/>
        </w:rPr>
      </w:r>
      <w:r>
        <w:rPr>
          <w:b/>
          <w:lang w:val="en_US" w:bidi="en_US"/>
        </w:rPr>
        <w:t>to test Him.</w:t>
      </w:r>
    </w:p>
    <w:p>
      <w:pPr>
        <w:pStyle w:val="ListBullet"/>
        <w:spacing w:line="240" w:lineRule="auto"/>
        <w:ind w:left="720"/>
      </w:pPr>
      <w:r>
        <w:rPr>
          <w:lang w:val="en_US" w:bidi="en_US"/>
        </w:rPr>
      </w:r>
      <w:r>
        <w:rPr>
          <w:lang w:val="en_US" w:bidi="en_US"/>
        </w:rPr>
        <w:t>in order to test Jesus.</w:t>
      </w:r>
    </w:p>
    <w:p>
      <w:pPr>
        <w:pStyle w:val="ListBullet"/>
        <w:spacing w:line="240" w:lineRule="auto"/>
        <w:ind w:left="720"/>
      </w:pPr>
      <w:r>
        <w:rPr>
          <w:lang w:val="en_US" w:bidi="en_US"/>
        </w:rPr>
      </w:r>
      <w:r>
        <w:rPr>
          <w:lang w:val="en_US" w:bidi="en_US"/>
        </w:rPr>
        <w:t>to ask a question</w:t>
      </w:r>
      <w:r>
        <w:rPr>
          <w:lang w:val="en_US" w:bidi="en_US"/>
        </w:rPr>
        <w:t xml:space="preserve"> to test Jesus </w:t>
      </w:r>
      <w:r>
        <w:rPr>
          <w:lang w:val="en_US" w:bidi="en_US"/>
        </w:rPr>
        <w:t>to see how well he understood the law</w:t>
      </w:r>
      <w:r>
        <w:rPr>
          <w:lang w:val="en_US" w:bidi="en_US"/>
        </w:rPr>
        <w:t>.</w:t>
      </w:r>
    </w:p>
    <w:p>
      <w:pPr/>
      <w:r>
        <w:rPr>
          <w:lang w:val="en_US" w:bidi="en_US"/>
        </w:rPr>
      </w:r>
      <w:r>
        <w:rPr>
          <w:b/>
          <w:lang w:val="en_US" w:bidi="en_US"/>
        </w:rPr>
        <w:t>to test Him:</w:t>
      </w:r>
      <w:r>
        <w:rPr>
          <w:lang w:val="en_US" w:bidi="en_US"/>
        </w:rPr>
        <w:t xml:space="preserve"> There are two ways to interpret the Greek word that the BSB translates here as </w:t>
      </w:r>
      <w:r>
        <w:rPr>
          <w:i/>
          <w:lang w:val="en_US" w:bidi="en_US"/>
        </w:rPr>
        <w:t>test</w:t>
      </w:r>
      <w:r>
        <w:rPr>
          <w:lang w:val="en_US" w:bidi="en_US"/>
        </w:rPr>
        <w:t>:</w:t>
      </w:r>
    </w:p>
    <w:p>
      <w:pPr>
        <w:pStyle w:val="ListNumber"/>
        <w:numPr>
          <w:ilvl w:val="0"/>
          <w:numId w:val="207"/>
        </w:numPr>
        <w:spacing w:line="240" w:lineRule="auto"/>
        <w:ind w:left="720"/>
      </w:pPr>
      <w:r>
        <w:rPr>
          <w:lang w:val="en_US" w:bidi="en_US"/>
        </w:rPr>
      </w:r>
      <w:r>
        <w:rPr>
          <w:lang w:val="en_US" w:bidi="en_US"/>
        </w:rPr>
        <w:t>It means “to test or examine.” The law expert wanted to test Jesus’ ability to teach and interpret the law by asking him a question. For example:</w:t>
      </w:r>
      <w:r>
        <w:rPr>
          <w:lang w:val="en_US" w:bidi="en_US"/>
        </w:rPr>
        <w:t>to test Jesus by asking him this question (NLT)</w:t>
      </w:r>
      <w:r>
        <w:rPr>
          <w:lang w:val="en_US" w:bidi="en_US"/>
        </w:rPr>
        <w:t xml:space="preserve">asked Jesus a question to see what he would say (CEV) </w:t>
      </w:r>
      <w:r>
        <w:rPr>
          <w:i/>
          <w:lang w:val="en_US" w:bidi="en_US"/>
        </w:rPr>
        <w:t>(BSB, NIV, RSV, REB, NJB, NLT, NCV, GW, CEV, NET, JBP, NASB)</w:t>
      </w:r>
    </w:p>
    <w:p>
      <w:pPr>
        <w:pStyle w:val="ListNumber"/>
        <w:spacing w:line="240" w:lineRule="auto"/>
        <w:ind w:left="720"/>
      </w:pPr>
      <w:r>
        <w:rPr>
          <w:lang w:val="en_US" w:bidi="en_US"/>
        </w:rPr>
      </w:r>
      <w:r>
        <w:rPr>
          <w:lang w:val="en_US" w:bidi="en_US"/>
        </w:rPr>
        <w:t>It means “to trap.” The law expert wanted to trick Jesus into saying something that could be used against him. For example:</w:t>
      </w:r>
      <w:r>
        <w:rPr>
          <w:lang w:val="en_US" w:bidi="en_US"/>
        </w:rPr>
        <w:t xml:space="preserve">tried to trap Jesus (GNT) </w:t>
      </w:r>
      <w:r>
        <w:rPr>
          <w:i/>
          <w:lang w:val="en_US" w:bidi="en_US"/>
        </w:rPr>
        <w:t>(GNT, KJV, NLV, TLV)</w:t>
      </w:r>
    </w:p>
    <w:p>
      <w:pPr/>
      <w:r>
        <w:rPr>
          <w:lang w:val="en_US" w:bidi="en_US"/>
        </w:rPr>
      </w:r>
      <w:r>
        <w:rPr>
          <w:lang w:val="en_US" w:bidi="en_US"/>
        </w:rPr>
        <w:t>It is recommended that you follow interpretation (1) along with most English versions. In other contexts, Jewish leaders did try to trap Jesus, but here, the question was appropriate for testing Jesus’ knowledge about God and his will for people.</w:t>
      </w:r>
    </w:p>
    <w:p>
      <w:pPr>
        <w:pStyle w:val="Heading5"/>
      </w:pPr>
      <w:r>
        <w:rPr>
          <w:lang w:val="en_US" w:bidi="en_US"/>
        </w:rPr>
        <w:t>10:25c</w:t>
      </w:r>
    </w:p>
    <w:p>
      <w:pPr/>
      <w:r>
        <w:rPr>
          <w:lang w:val="en_US" w:bidi="en_US"/>
        </w:rPr>
      </w:r>
      <w:r>
        <w:rPr>
          <w:b/>
          <w:lang w:val="en_US" w:bidi="en_US"/>
        </w:rPr>
        <w:t>“Teacher,” he asked, “what must I do</w:t>
      </w:r>
    </w:p>
    <w:p>
      <w:pPr>
        <w:pStyle w:val="ListBullet"/>
        <w:spacing w:line="240" w:lineRule="auto"/>
        <w:ind w:left="720"/>
      </w:pPr>
      <w:r>
        <w:rPr>
          <w:lang w:val="en_US" w:bidi="en_US"/>
        </w:rPr>
      </w:r>
      <w:r>
        <w:rPr>
          <w:lang w:val="en_US" w:bidi="en_US"/>
        </w:rPr>
        <w:t xml:space="preserve">He asked, “Teacher, what </w:t>
      </w:r>
      <w:r>
        <w:rPr>
          <w:lang w:val="en_US" w:bidi="en_US"/>
        </w:rPr>
        <w:t>thing/things</w:t>
      </w:r>
      <w:r>
        <w:rPr>
          <w:lang w:val="en_US" w:bidi="en_US"/>
        </w:rPr>
        <w:t xml:space="preserve"> do I have/need to do</w:t>
      </w:r>
    </w:p>
    <w:p>
      <w:pPr>
        <w:pStyle w:val="ListBullet"/>
        <w:spacing w:line="240" w:lineRule="auto"/>
        <w:ind w:left="720"/>
      </w:pPr>
      <w:r>
        <w:rPr>
          <w:lang w:val="en_US" w:bidi="en_US"/>
        </w:rPr>
      </w:r>
      <w:r>
        <w:rPr>
          <w:lang w:val="en_US" w:bidi="en_US"/>
        </w:rPr>
        <w:t>This man</w:t>
      </w:r>
      <w:r>
        <w:rPr>
          <w:lang w:val="en_US" w:bidi="en_US"/>
        </w:rPr>
        <w:t xml:space="preserve"> said, “Sir, what should/must I do</w:t>
      </w:r>
    </w:p>
    <w:p>
      <w:pPr>
        <w:pStyle w:val="Heading5"/>
      </w:pPr>
      <w:r>
        <w:rPr>
          <w:lang w:val="en_US" w:bidi="en_US"/>
        </w:rPr>
        <w:t>10:25d</w:t>
      </w:r>
    </w:p>
    <w:p>
      <w:pPr/>
      <w:r>
        <w:rPr>
          <w:lang w:val="en_US" w:bidi="en_US"/>
        </w:rPr>
      </w:r>
      <w:r>
        <w:rPr>
          <w:b/>
          <w:lang w:val="en_US" w:bidi="en_US"/>
        </w:rPr>
        <w:t>to inherit eternal life?”</w:t>
      </w:r>
    </w:p>
    <w:p>
      <w:pPr>
        <w:pStyle w:val="ListBullet"/>
        <w:spacing w:line="240" w:lineRule="auto"/>
        <w:ind w:left="720"/>
      </w:pPr>
      <w:r>
        <w:rPr>
          <w:lang w:val="en_US" w:bidi="en_US"/>
        </w:rPr>
      </w:r>
      <w:r>
        <w:rPr>
          <w:lang w:val="en_US" w:bidi="en_US"/>
        </w:rPr>
        <w:t>in order to obtain/receive everlasting life?”</w:t>
      </w:r>
    </w:p>
    <w:p>
      <w:pPr>
        <w:pStyle w:val="ListBullet"/>
        <w:spacing w:line="240" w:lineRule="auto"/>
        <w:ind w:left="720"/>
      </w:pPr>
      <w:r>
        <w:rPr>
          <w:lang w:val="en_US" w:bidi="en_US"/>
        </w:rPr>
      </w:r>
      <w:r>
        <w:rPr>
          <w:lang w:val="en_US" w:bidi="en_US"/>
        </w:rPr>
        <w:t xml:space="preserve">so that I will live </w:t>
      </w:r>
      <w:r>
        <w:rPr>
          <w:lang w:val="en_US" w:bidi="en_US"/>
        </w:rPr>
        <w:t>with God</w:t>
      </w:r>
      <w:r>
        <w:rPr>
          <w:lang w:val="en_US" w:bidi="en_US"/>
        </w:rPr>
        <w:t xml:space="preserve"> forever?”</w:t>
      </w:r>
    </w:p>
    <w:p>
      <w:pPr>
        <w:pStyle w:val="Heading5"/>
      </w:pPr>
      <w:r>
        <w:rPr>
          <w:lang w:val="en_US" w:bidi="en_US"/>
        </w:rPr>
        <w:t>10:25c–d</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was a polite title for a Jewish religious leader. It was a title of respect for a Jewish man who had authority to teach the things about God. In some languages the appropriate way to address a religious teacher may be:</w:t>
      </w:r>
    </w:p>
    <w:p>
      <w:pPr/>
      <w:r>
        <w:rPr>
          <w:lang w:val="en_US" w:bidi="en_US"/>
        </w:rPr>
      </w:r>
      <w:r>
        <w:rPr>
          <w:lang w:val="en_US" w:bidi="en_US"/>
        </w:rPr>
        <w:t>Sir Teacher</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lang w:val="en_US" w:bidi="en_US"/>
        </w:rPr>
        <w:t>Be careful not to use a term that can refer only to a school teacher.</w:t>
      </w:r>
    </w:p>
    <w:p>
      <w:pPr/>
      <w:r>
        <w:rPr>
          <w:lang w:val="en_US" w:bidi="en_US"/>
        </w:rPr>
      </w:r>
      <w:r>
        <w:rPr>
          <w:lang w:val="en_US" w:bidi="en_US"/>
        </w:rPr>
        <w:t xml:space="preserve">Consider what term of respect people use in your area for religious teachers. If religious teachers are not highly respected in your culture, it may be appropriate to use a term other than </w:t>
      </w:r>
      <w:r>
        <w:rPr>
          <w:i/>
          <w:lang w:val="en_US" w:bidi="en_US"/>
        </w:rPr>
        <w:t>Teacher</w:t>
      </w:r>
      <w:r>
        <w:rPr>
          <w:lang w:val="en_US" w:bidi="en_US"/>
        </w:rPr>
        <w:t>. Use a natural term in your language.</w:t>
      </w:r>
    </w:p>
    <w:p>
      <w:pPr/>
      <w:r>
        <w:rPr>
          <w:lang w:val="en_US" w:bidi="en_US"/>
        </w:rPr>
      </w:r>
      <w:r>
        <w:rPr>
          <w:lang w:val="en_US" w:bidi="en_US"/>
        </w:rPr>
        <w:t xml:space="preserve">The word </w:t>
      </w:r>
      <w:r>
        <w:rPr>
          <w:i/>
          <w:lang w:val="en_US" w:bidi="en_US"/>
        </w:rPr>
        <w:t>Teacher</w:t>
      </w:r>
      <w:r>
        <w:rPr>
          <w:lang w:val="en_US" w:bidi="en_US"/>
        </w:rPr>
        <w:t xml:space="preserve"> also occurs in 3:12b and 9:38b. See how you translated the same term there.</w:t>
      </w:r>
    </w:p>
    <w:p>
      <w:pPr/>
      <w:r>
        <w:rPr>
          <w:lang w:val="en_US" w:bidi="en_US"/>
        </w:rPr>
      </w:r>
      <w:r>
        <w:rPr>
          <w:b/>
          <w:lang w:val="en_US" w:bidi="en_US"/>
        </w:rPr>
        <w:t>he asked:</w:t>
      </w:r>
      <w:r>
        <w:rPr>
          <w:lang w:val="en_US" w:bidi="en_US"/>
        </w:rPr>
        <w:t xml:space="preserve"> The BSB has placed the phrase </w:t>
      </w:r>
      <w:r>
        <w:rPr>
          <w:i/>
          <w:lang w:val="en_US" w:bidi="en_US"/>
        </w:rPr>
        <w:t>he asked</w:t>
      </w:r>
      <w:r>
        <w:rPr>
          <w:lang w:val="en_US" w:bidi="en_US"/>
        </w:rPr>
        <w:t xml:space="preserve"> in the middle of the law expert’s question. In Greek, it comes before the question begins. Place it where it is most natural in your language.</w:t>
      </w:r>
    </w:p>
    <w:p>
      <w:pPr/>
      <w:r>
        <w:rPr>
          <w:lang w:val="en_US" w:bidi="en_US"/>
        </w:rPr>
      </w:r>
      <w:r>
        <w:rPr>
          <w:b/>
          <w:lang w:val="en_US" w:bidi="en_US"/>
        </w:rPr>
        <w:t>what must I do to inherit eternal life:</w:t>
      </w:r>
      <w:r>
        <w:rPr>
          <w:lang w:val="en_US" w:bidi="en_US"/>
        </w:rPr>
        <w:t xml:space="preserve"> The man was asking what religious duty or deed he should perform in order to receive eternal life.</w:t>
      </w:r>
    </w:p>
    <w:p>
      <w:pPr/>
      <w:r>
        <w:rPr>
          <w:lang w:val="en_US" w:bidi="en_US"/>
        </w:rPr>
      </w:r>
      <w:r>
        <w:rPr>
          <w:lang w:val="en_US" w:bidi="en_US"/>
        </w:rPr>
        <w:t>Some other ways to translate this are:</w:t>
      </w:r>
    </w:p>
    <w:p>
      <w:pPr/>
      <w:r>
        <w:rPr>
          <w:lang w:val="en_US" w:bidi="en_US"/>
        </w:rPr>
      </w:r>
      <w:r>
        <w:rPr>
          <w:lang w:val="en_US" w:bidi="en_US"/>
        </w:rPr>
        <w:t>what must I do to have eternal life (CEV)</w:t>
      </w:r>
    </w:p>
    <w:p>
      <w:pPr/>
      <w:r>
        <w:rPr>
          <w:lang w:val="en_US" w:bidi="en_US"/>
        </w:rPr>
      </w:r>
      <w:r>
        <w:rPr>
          <w:lang w:val="en_US" w:bidi="en_US"/>
        </w:rPr>
        <w:t xml:space="preserve">what </w:t>
      </w:r>
      <w:r>
        <w:rPr>
          <w:lang w:val="en_US" w:bidi="en_US"/>
        </w:rPr>
        <w:t>deed</w:t>
      </w:r>
      <w:r>
        <w:rPr>
          <w:lang w:val="en_US" w:bidi="en_US"/>
        </w:rPr>
        <w:t xml:space="preserve"> should I do so that I may live eternally</w:t>
      </w:r>
    </w:p>
    <w:p>
      <w:pPr/>
      <w:r>
        <w:rPr>
          <w:lang w:val="en_US" w:bidi="en_US"/>
        </w:rPr>
      </w:r>
      <w:r>
        <w:rPr>
          <w:lang w:val="en_US" w:bidi="en_US"/>
        </w:rPr>
        <w:t>Almost the same question occurs in Matthew 10:16, Mark 10:17, and Luke 18:18.</w:t>
      </w:r>
    </w:p>
    <w:p>
      <w:pPr/>
      <w:r>
        <w:rPr>
          <w:lang w:val="en_US" w:bidi="en_US"/>
        </w:rPr>
      </w:r>
      <w:r>
        <w:rPr>
          <w:b/>
          <w:lang w:val="en_US" w:bidi="en_US"/>
        </w:rPr>
        <w:t>to inherit:</w:t>
      </w:r>
      <w:r>
        <w:rPr>
          <w:lang w:val="en_US" w:bidi="en_US"/>
        </w:rPr>
        <w:t xml:space="preserve"> In this context, the Greek word that the BSB translates as </w:t>
      </w:r>
      <w:r>
        <w:rPr>
          <w:i/>
          <w:lang w:val="en_US" w:bidi="en_US"/>
        </w:rPr>
        <w:t>inherit</w:t>
      </w:r>
      <w:r>
        <w:rPr>
          <w:lang w:val="en_US" w:bidi="en_US"/>
        </w:rPr>
        <w:t xml:space="preserve"> means “acquire, obtain.” The man wanted to know what deed would cause God to give him eternal life in heaven. Another way to translate this is:</w:t>
      </w:r>
    </w:p>
    <w:p>
      <w:pPr/>
      <w:r>
        <w:rPr>
          <w:lang w:val="en_US" w:bidi="en_US"/>
        </w:rPr>
      </w:r>
      <w:r>
        <w:rPr>
          <w:lang w:val="en_US" w:bidi="en_US"/>
        </w:rPr>
        <w:t>so that I may receive</w:t>
      </w:r>
    </w:p>
    <w:p>
      <w:pPr/>
      <w:r>
        <w:rPr>
          <w:lang w:val="en_US" w:bidi="en_US"/>
        </w:rPr>
      </w:r>
      <w:r>
        <w:rPr>
          <w:lang w:val="en_US" w:bidi="en_US"/>
        </w:rPr>
        <w:t>In some languages, it may be necessary to say from whom the man expected to obtain eternal life. If that is true in your language, you may need to supply the information that it is God who gives that life. For example:</w:t>
      </w:r>
    </w:p>
    <w:p>
      <w:pPr/>
      <w:r>
        <w:rPr>
          <w:lang w:val="en_US" w:bidi="en_US"/>
        </w:rPr>
      </w:r>
      <w:r>
        <w:rPr>
          <w:lang w:val="en_US" w:bidi="en_US"/>
        </w:rPr>
        <w:t xml:space="preserve">so that </w:t>
      </w:r>
      <w:r>
        <w:rPr>
          <w:lang w:val="en_US" w:bidi="en_US"/>
        </w:rPr>
        <w:t>God</w:t>
      </w:r>
      <w:r>
        <w:rPr>
          <w:lang w:val="en_US" w:bidi="en_US"/>
        </w:rPr>
        <w:t xml:space="preserve"> will give me eternal life</w:t>
      </w:r>
    </w:p>
    <w:p>
      <w:pPr/>
      <w:r>
        <w:rPr>
          <w:lang w:val="en_US" w:bidi="en_US"/>
        </w:rPr>
      </w:r>
      <w:r>
        <w:rPr>
          <w:b/>
          <w:lang w:val="en_US" w:bidi="en_US"/>
        </w:rPr>
        <w:t>eternal life:</w:t>
      </w:r>
      <w:r>
        <w:rPr>
          <w:lang w:val="en_US" w:bidi="en_US"/>
        </w:rPr>
        <w:t xml:space="preserve"> The phrase </w:t>
      </w:r>
      <w:r>
        <w:rPr>
          <w:i/>
          <w:lang w:val="en_US" w:bidi="en_US"/>
        </w:rPr>
        <w:t>eternal life</w:t>
      </w:r>
      <w:r>
        <w:rPr>
          <w:lang w:val="en_US" w:bidi="en_US"/>
        </w:rPr>
        <w:t xml:space="preserve"> literally means life that never ends. In this context it refers to living forever with God in heaven.</w:t>
      </w:r>
    </w:p>
    <w:p>
      <w:pPr/>
      <w:r>
        <w:rPr>
          <w:lang w:val="en_US" w:bidi="en_US"/>
        </w:rPr>
      </w:r>
      <w:r>
        <w:rPr>
          <w:lang w:val="en_US" w:bidi="en_US"/>
        </w:rPr>
        <w:t xml:space="preserve">In some languages, a literal translation of </w:t>
      </w:r>
      <w:r>
        <w:rPr>
          <w:i/>
          <w:lang w:val="en_US" w:bidi="en_US"/>
        </w:rPr>
        <w:t>eternal life</w:t>
      </w:r>
      <w:r>
        <w:rPr>
          <w:lang w:val="en_US" w:bidi="en_US"/>
        </w:rPr>
        <w:t xml:space="preserve"> would wrongly mean that the man hoped to live forever on earth without dying. If that is true in your language, it may be necessary to supply some implied information. For example:</w:t>
      </w:r>
    </w:p>
    <w:p>
      <w:pPr/>
      <w:r>
        <w:rPr>
          <w:lang w:val="en_US" w:bidi="en_US"/>
        </w:rPr>
      </w:r>
      <w:r>
        <w:rPr>
          <w:lang w:val="en_US" w:bidi="en_US"/>
        </w:rPr>
        <w:t xml:space="preserve">life </w:t>
      </w:r>
      <w:r>
        <w:rPr>
          <w:lang w:val="en_US" w:bidi="en_US"/>
        </w:rPr>
        <w:t>in heaven</w:t>
      </w:r>
      <w:r>
        <w:rPr>
          <w:lang w:val="en_US" w:bidi="en_US"/>
        </w:rPr>
        <w:t xml:space="preserve"> that never ends</w:t>
      </w:r>
    </w:p>
    <w:p>
      <w:pPr/>
      <w:r>
        <w:rPr>
          <w:lang w:val="en_US" w:bidi="en_US"/>
        </w:rPr>
      </w:r>
      <w:r>
        <w:rPr>
          <w:lang w:val="en_US" w:bidi="en_US"/>
        </w:rPr>
        <w:t xml:space="preserve">to live forever </w:t>
      </w:r>
      <w:r>
        <w:rPr>
          <w:lang w:val="en_US" w:bidi="en_US"/>
        </w:rPr>
        <w:t>with God</w:t>
      </w:r>
      <w:r>
        <w:rPr>
          <w:lang w:val="en_US" w:bidi="en_US"/>
        </w:rPr>
        <w:t xml:space="preserve"> </w:t>
      </w:r>
      <w:r>
        <w:rPr>
          <w:lang w:val="en_US" w:bidi="en_US"/>
        </w:rPr>
        <w:t>after I die</w:t>
      </w:r>
    </w:p>
    <w:p>
      <w:pPr/>
      <w:r>
        <w:rPr>
          <w:lang w:val="en_US" w:bidi="en_US"/>
        </w:rPr>
      </w:r>
      <w:r>
        <w:rPr>
          <w:lang w:val="en_US" w:bidi="en_US"/>
        </w:rPr>
        <w:t xml:space="preserve">so that </w:t>
      </w:r>
      <w:r>
        <w:rPr>
          <w:lang w:val="en_US" w:bidi="en_US"/>
        </w:rPr>
        <w:t>God will cause me</w:t>
      </w:r>
      <w:r>
        <w:rPr>
          <w:lang w:val="en_US" w:bidi="en_US"/>
        </w:rPr>
        <w:t xml:space="preserve"> to live forever </w:t>
      </w:r>
      <w:r>
        <w:rPr>
          <w:lang w:val="en_US" w:bidi="en_US"/>
        </w:rPr>
        <w:t>in heaven</w:t>
      </w:r>
      <w:r>
        <w:rPr>
          <w:lang w:val="en_US" w:bidi="en_US"/>
        </w:rPr>
      </w:r>
      <w:r>
        <w:rPr>
          <w:lang w:val="en_US" w:bidi="en_US"/>
        </w:rPr>
      </w:r>
    </w:p>
    <w:p>
      <w:pPr/>
      <w:r>
        <w:rPr>
          <w:lang w:val="en_US" w:bidi="en_US"/>
        </w:rPr>
      </w:r>
    </w:p>
    <w:p>
      <w:pPr>
        <w:pStyle w:val="Heading2"/>
      </w:pPr>
      <w:r>
        <w:rPr>
          <w:lang w:val="en_US" w:bidi="en_US"/>
        </w:rPr>
        <w:t>Luke 10:26</w:t>
      </w:r>
      <w:r>
        <w:rPr>
          <w:lang w:val="en_US" w:bidi="en_US"/>
        </w:rPr>
      </w:r>
    </w:p>
    <w:p>
      <w:pPr>
        <w:pStyle w:val="Heading4"/>
      </w:pPr>
      <w:r>
        <w:rPr>
          <w:lang w:val="en_US" w:bidi="en_US"/>
        </w:rPr>
        <w:t>Section 10:25–37: Jesus told a story to show us who our neighbors are</w:t>
      </w:r>
    </w:p>
    <w:p>
      <w:pPr/>
      <w:r>
        <w:rPr>
          <w:lang w:val="en_US" w:bidi="en_US"/>
        </w:rPr>
      </w:r>
      <w:r>
        <w:rPr>
          <w:lang w:val="en_US" w:bidi="en_US"/>
        </w:rP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pPr/>
      <w:r>
        <w:rPr>
          <w:lang w:val="en_US" w:bidi="en_US"/>
        </w:rPr>
      </w:r>
      <w:r>
        <w:rPr>
          <w:lang w:val="en_US" w:bidi="en_US"/>
        </w:rP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pPr/>
      <w:r>
        <w:rPr>
          <w:lang w:val="en_US" w:bidi="en_US"/>
        </w:rPr>
      </w:r>
      <w:r>
        <w:rPr>
          <w:lang w:val="en_US" w:bidi="en_US"/>
        </w:rP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pPr/>
      <w:r>
        <w:rPr>
          <w:lang w:val="en_US" w:bidi="en_US"/>
        </w:rPr>
      </w:r>
      <w:r>
        <w:rPr>
          <w:lang w:val="en_US" w:bidi="en_US"/>
        </w:rPr>
        <w:t>Some other possible section headings are:</w:t>
      </w:r>
    </w:p>
    <w:p>
      <w:pPr/>
      <w:r>
        <w:rPr>
          <w:lang w:val="en_US" w:bidi="en_US"/>
        </w:rPr>
      </w:r>
      <w:r>
        <w:rPr>
          <w:lang w:val="en_US" w:bidi="en_US"/>
        </w:rPr>
        <w:t>The parable about the good foreigner</w:t>
      </w:r>
    </w:p>
    <w:p>
      <w:pPr/>
      <w:r>
        <w:rPr>
          <w:lang w:val="en_US" w:bidi="en_US"/>
        </w:rPr>
      </w:r>
      <w:r>
        <w:rPr>
          <w:lang w:val="en_US" w:bidi="en_US"/>
        </w:rPr>
        <w:t>Who is my neighbor?</w:t>
      </w:r>
    </w:p>
    <w:p>
      <w:pPr/>
      <w:r>
        <w:rPr>
          <w:lang w:val="en_US" w:bidi="en_US"/>
        </w:rPr>
      </w:r>
      <w:r>
        <w:rPr>
          <w:lang w:val="en_US" w:bidi="en_US"/>
        </w:rPr>
        <w:t>The Good Samaritan</w:t>
      </w:r>
    </w:p>
    <w:p>
      <w:pPr/>
      <w:r>
        <w:rPr>
          <w:lang w:val="en_US" w:bidi="en_US"/>
        </w:rPr>
      </w:r>
      <w:r>
        <w:rPr>
          <w:lang w:val="en_US" w:bidi="en_US"/>
        </w:rPr>
        <w:t>Luke is the only gospel writer who includes this parable.</w:t>
      </w:r>
    </w:p>
    <w:p>
      <w:pPr>
        <w:pStyle w:val="Heading5"/>
      </w:pPr>
      <w:r>
        <w:rPr>
          <w:lang w:val="en_US" w:bidi="en_US"/>
        </w:rPr>
        <w:t>10:26a</w:t>
      </w:r>
    </w:p>
    <w:p>
      <w:pPr/>
      <w:r>
        <w:rPr>
          <w:lang w:val="en_US" w:bidi="en_US"/>
        </w:rPr>
      </w:r>
      <w:r>
        <w:rPr>
          <w:b/>
          <w:lang w:val="en_US" w:bidi="en_US"/>
        </w:rPr>
        <w:t>“What is written in the Law?” Jesus replied.</w:t>
      </w:r>
    </w:p>
    <w:p>
      <w:pPr>
        <w:pStyle w:val="ListBullet"/>
        <w:spacing w:line="240" w:lineRule="auto"/>
        <w:ind w:left="720"/>
      </w:pPr>
      <w:r>
        <w:rPr>
          <w:lang w:val="en_US" w:bidi="en_US"/>
        </w:rPr>
      </w:r>
      <w:r>
        <w:rPr>
          <w:lang w:val="en_US" w:bidi="en_US"/>
        </w:rPr>
        <w:t>Jesus</w:t>
      </w:r>
      <w:r>
        <w:rPr>
          <w:lang w:val="en_US" w:bidi="en_US"/>
        </w:rPr>
        <w:t xml:space="preserve"> replied, “What is written in </w:t>
      </w:r>
      <w:r>
        <w:rPr>
          <w:lang w:val="en_US" w:bidi="en_US"/>
        </w:rPr>
        <w:t>the books of</w:t>
      </w:r>
      <w:r>
        <w:rPr>
          <w:lang w:val="en_US" w:bidi="en_US"/>
        </w:rPr>
        <w:t xml:space="preserve"> the Law </w:t>
      </w:r>
      <w:r>
        <w:rPr>
          <w:lang w:val="en_US" w:bidi="en_US"/>
        </w:rPr>
        <w:t>about this</w:t>
      </w:r>
      <w:r>
        <w:rPr>
          <w:lang w:val="en_US" w:bidi="en_US"/>
        </w:rPr>
        <w:t>?</w:t>
      </w:r>
    </w:p>
    <w:p>
      <w:pPr>
        <w:pStyle w:val="ListBullet"/>
        <w:spacing w:line="240" w:lineRule="auto"/>
        <w:ind w:left="720"/>
      </w:pPr>
      <w:r>
        <w:rPr>
          <w:lang w:val="en_US" w:bidi="en_US"/>
        </w:rPr>
      </w:r>
      <w:r>
        <w:rPr>
          <w:lang w:val="en_US" w:bidi="en_US"/>
        </w:rPr>
        <w:t>Jesus</w:t>
      </w:r>
      <w:r>
        <w:rPr>
          <w:lang w:val="en_US" w:bidi="en_US"/>
        </w:rPr>
        <w:t xml:space="preserve"> answered </w:t>
      </w:r>
      <w:r>
        <w:rPr>
          <w:lang w:val="en_US" w:bidi="en_US"/>
        </w:rPr>
        <w:t>him</w:t>
      </w:r>
      <w:r>
        <w:rPr>
          <w:lang w:val="en_US" w:bidi="en_US"/>
        </w:rPr>
        <w:t xml:space="preserve"> </w:t>
      </w:r>
      <w:r>
        <w:rPr>
          <w:lang w:val="en_US" w:bidi="en_US"/>
        </w:rPr>
        <w:t>by asking this question</w:t>
      </w:r>
      <w:r>
        <w:rPr>
          <w:lang w:val="en_US" w:bidi="en_US"/>
        </w:rPr>
        <w:t xml:space="preserve">: “What did </w:t>
      </w:r>
      <w:r>
        <w:rPr>
          <w:lang w:val="en_US" w:bidi="en_US"/>
        </w:rPr>
        <w:t>Moses</w:t>
      </w:r>
      <w:r>
        <w:rPr>
          <w:lang w:val="en_US" w:bidi="en_US"/>
        </w:rPr>
        <w:t xml:space="preserve"> write in the Law/Scriptures?</w:t>
      </w:r>
    </w:p>
    <w:p>
      <w:pPr>
        <w:pStyle w:val="ListBullet"/>
        <w:spacing w:line="240" w:lineRule="auto"/>
        <w:ind w:left="720"/>
      </w:pPr>
      <w:r>
        <w:rPr>
          <w:lang w:val="en_US" w:bidi="en_US"/>
        </w:rPr>
      </w:r>
      <w:r>
        <w:rPr>
          <w:lang w:val="en_US" w:bidi="en_US"/>
        </w:rPr>
        <w:t>Jesus asked him in reply, “What do the written words of God say?</w:t>
      </w:r>
    </w:p>
    <w:p>
      <w:pPr/>
      <w:r>
        <w:rPr>
          <w:lang w:val="en_US" w:bidi="en_US"/>
        </w:rPr>
      </w:r>
      <w:r>
        <w:rPr>
          <w:b/>
          <w:lang w:val="en_US" w:bidi="en_US"/>
        </w:rPr>
        <w:t>What is written in the Law?:</w:t>
      </w:r>
      <w:r>
        <w:rPr>
          <w:lang w:val="en_US" w:bidi="en_US"/>
        </w:rPr>
        <w:t xml:space="preserve"> Jesus responded to the law expert’s question about eternal life by asking him another question. Jesus’ question contains implied information:</w:t>
      </w:r>
    </w:p>
    <w:p>
      <w:pPr/>
      <w:r>
        <w:rPr>
          <w:lang w:val="en_US" w:bidi="en_US"/>
        </w:rPr>
      </w:r>
      <w:r>
        <w:rPr>
          <w:lang w:val="en_US" w:bidi="en_US"/>
        </w:rPr>
        <w:t xml:space="preserve">What is written in the Law </w:t>
      </w:r>
      <w:r>
        <w:rPr>
          <w:lang w:val="en_US" w:bidi="en_US"/>
        </w:rPr>
        <w:t>about what a person must do to inherit eternal life</w:t>
      </w:r>
      <w:r>
        <w:rPr>
          <w:lang w:val="en_US" w:bidi="en_US"/>
        </w:rPr>
        <w:t>?</w:t>
      </w:r>
    </w:p>
    <w:p>
      <w:pPr/>
      <w:r>
        <w:rPr>
          <w:lang w:val="en_US" w:bidi="en_US"/>
        </w:rPr>
      </w:r>
      <w:r>
        <w:rPr>
          <w:lang w:val="en_US" w:bidi="en_US"/>
        </w:rPr>
        <w:t>In some languages it may be necessary to supply some of this implied information. For example:</w:t>
      </w:r>
    </w:p>
    <w:p>
      <w:pPr/>
      <w:r>
        <w:rPr>
          <w:lang w:val="en_US" w:bidi="en_US"/>
        </w:rPr>
      </w:r>
      <w:r>
        <w:rPr>
          <w:lang w:val="en_US" w:bidi="en_US"/>
        </w:rPr>
        <w:t xml:space="preserve">What </w:t>
      </w:r>
      <w:r>
        <w:rPr>
          <w:lang w:val="en_US" w:bidi="en_US"/>
        </w:rPr>
        <w:t>answer</w:t>
      </w:r>
      <w:r>
        <w:rPr>
          <w:lang w:val="en_US" w:bidi="en_US"/>
        </w:rPr>
        <w:t xml:space="preserve"> is written in the Law?</w:t>
      </w:r>
    </w:p>
    <w:p>
      <w:pPr/>
      <w:r>
        <w:rPr>
          <w:lang w:val="en_US" w:bidi="en_US"/>
        </w:rPr>
      </w:r>
      <w:r>
        <w:rPr>
          <w:lang w:val="en_US" w:bidi="en_US"/>
        </w:rPr>
        <w:t xml:space="preserve">What is written </w:t>
      </w:r>
      <w:r>
        <w:rPr>
          <w:lang w:val="en_US" w:bidi="en_US"/>
        </w:rPr>
        <w:t>concerning this</w:t>
      </w:r>
      <w:r>
        <w:rPr>
          <w:lang w:val="en_US" w:bidi="en_US"/>
        </w:rPr>
        <w:t xml:space="preserve"> in the Law?</w:t>
      </w:r>
    </w:p>
    <w:p>
      <w:pPr/>
      <w:r>
        <w:rPr>
          <w:lang w:val="en_US" w:bidi="en_US"/>
        </w:rPr>
      </w:r>
      <w:r>
        <w:rPr>
          <w:b/>
          <w:lang w:val="en_US" w:bidi="en_US"/>
        </w:rPr>
        <w:t>is written in the Law:</w:t>
      </w:r>
      <w:r>
        <w:rPr>
          <w:lang w:val="en_US" w:bidi="en_US"/>
        </w:rPr>
        <w:t xml:space="preserve"> The Greek verb that the BSB translates as </w:t>
      </w:r>
      <w:r>
        <w:rPr>
          <w:i/>
          <w:lang w:val="en_US" w:bidi="en_US"/>
        </w:rPr>
        <w:t>is written</w:t>
      </w:r>
      <w:r>
        <w:rPr>
          <w:lang w:val="en_US" w:bidi="en_US"/>
        </w:rPr>
        <w:t xml:space="preserve"> is a passive verb. The text does not say who wrote the words in the Law, but the Jews knew that God caused Moses to write them. Some ways to translate this clause are:</w:t>
      </w:r>
    </w:p>
    <w:p>
      <w:pPr/>
      <w:r>
        <w:rPr>
          <w:lang w:val="en_US" w:bidi="en_US"/>
        </w:rPr>
      </w:r>
      <w:r>
        <w:rPr>
          <w:lang w:val="en_US" w:bidi="en_US"/>
        </w:rPr>
        <w:t xml:space="preserve">What did </w:t>
      </w:r>
      <w:r>
        <w:rPr>
          <w:lang w:val="en_US" w:bidi="en_US"/>
        </w:rPr>
        <w:t>God</w:t>
      </w:r>
      <w:r>
        <w:rPr>
          <w:lang w:val="en_US" w:bidi="en_US"/>
        </w:rPr>
        <w:t xml:space="preserve"> cause to be written in the Scriptures?</w:t>
      </w:r>
    </w:p>
    <w:p>
      <w:pPr/>
      <w:r>
        <w:rPr>
          <w:lang w:val="en_US" w:bidi="en_US"/>
        </w:rPr>
      </w:r>
      <w:r>
        <w:rPr>
          <w:lang w:val="en_US" w:bidi="en_US"/>
        </w:rPr>
        <w:t xml:space="preserve">What did </w:t>
      </w:r>
      <w:r>
        <w:rPr>
          <w:lang w:val="en_US" w:bidi="en_US"/>
        </w:rPr>
        <w:t>Moses</w:t>
      </w:r>
      <w:r>
        <w:rPr>
          <w:lang w:val="en_US" w:bidi="en_US"/>
        </w:rPr>
        <w:t xml:space="preserve"> write in the Law </w:t>
      </w:r>
      <w:r>
        <w:rPr>
          <w:lang w:val="en_US" w:bidi="en_US"/>
        </w:rPr>
        <w:t>concerning this</w:t>
      </w:r>
      <w:r>
        <w:rPr>
          <w:lang w:val="en_US" w:bidi="en_US"/>
        </w:rPr>
        <w:t>?</w:t>
      </w:r>
    </w:p>
    <w:p>
      <w:pPr/>
      <w:r>
        <w:rPr>
          <w:lang w:val="en_US" w:bidi="en_US"/>
        </w:rPr>
      </w:r>
      <w:r>
        <w:rPr>
          <w:lang w:val="en_US" w:bidi="en_US"/>
        </w:rPr>
        <w:t>What does the law of Moses say? (NLT)</w:t>
      </w:r>
    </w:p>
    <w:p>
      <w:pPr/>
      <w:r>
        <w:rPr>
          <w:lang w:val="en_US" w:bidi="en_US"/>
        </w:rPr>
      </w:r>
      <w:r>
        <w:rPr>
          <w:lang w:val="en_US" w:bidi="en_US"/>
        </w:rPr>
        <w:t>What do the Scriptures say? (GNT)</w:t>
      </w:r>
    </w:p>
    <w:p>
      <w:pPr/>
      <w:r>
        <w:rPr>
          <w:lang w:val="en_US" w:bidi="en_US"/>
        </w:rPr>
      </w:r>
      <w:r>
        <w:rPr>
          <w:b/>
          <w:lang w:val="en_US" w:bidi="en_US"/>
        </w:rPr>
        <w:t>in the Law:</w:t>
      </w:r>
      <w:r>
        <w:rPr>
          <w:lang w:val="en_US" w:bidi="en_US"/>
        </w:rPr>
        <w:t xml:space="preserve"> The term </w:t>
      </w:r>
      <w:r>
        <w:rPr>
          <w:i/>
          <w:lang w:val="en_US" w:bidi="en_US"/>
        </w:rPr>
        <w:t>the Law</w:t>
      </w:r>
      <w:r>
        <w:rPr>
          <w:lang w:val="en_US" w:bidi="en_US"/>
        </w:rPr>
        <w:t xml:space="preserve"> can refer specifically to the first five books of the Old Testament, which Moses wrote. But it can also refer more generally to the Old Testament Scriptures. You may use either sense to translate this term here.</w:t>
      </w:r>
    </w:p>
    <w:p>
      <w:pPr/>
      <w:r>
        <w:rPr>
          <w:lang w:val="en_US" w:bidi="en_US"/>
        </w:rPr>
      </w:r>
      <w:r>
        <w:rPr>
          <w:lang w:val="en_US" w:bidi="en_US"/>
        </w:rPr>
        <w:t xml:space="preserve">In Greek, the phrase </w:t>
      </w:r>
      <w:r>
        <w:rPr>
          <w:i/>
          <w:lang w:val="en_US" w:bidi="en_US"/>
        </w:rPr>
        <w:t>in the Law</w:t>
      </w:r>
      <w:r>
        <w:rPr>
          <w:lang w:val="en_US" w:bidi="en_US"/>
        </w:rPr>
        <w:t xml:space="preserve"> is emphasized in this verse. Jesus wanted the expert to think specifically about what </w:t>
      </w:r>
      <w:r>
        <w:rPr>
          <w:u w:val="single"/>
          <w:lang w:val="en_US" w:bidi="en_US"/>
        </w:rPr>
        <w:t>the Law</w:t>
      </w:r>
      <w:r>
        <w:rPr>
          <w:lang w:val="en_US" w:bidi="en_US"/>
        </w:rPr>
        <w:t xml:space="preserve"> said concerning the question that he had asked. You may want to use a method in your language to emphasize </w:t>
      </w:r>
      <w:r>
        <w:rPr>
          <w:i/>
          <w:lang w:val="en_US" w:bidi="en_US"/>
        </w:rPr>
        <w:t>the Law</w:t>
      </w:r>
      <w:r>
        <w:rPr>
          <w:lang w:val="en_US" w:bidi="en_US"/>
        </w:rPr>
        <w:t>.</w:t>
      </w:r>
    </w:p>
    <w:p>
      <w:pPr/>
      <w:r>
        <w:rPr>
          <w:lang w:val="en_US" w:bidi="en_US"/>
        </w:rPr>
      </w:r>
      <w:r>
        <w:rPr>
          <w:b/>
          <w:lang w:val="en_US" w:bidi="en_US"/>
        </w:rPr>
        <w:t>Jesus replied:</w:t>
      </w:r>
      <w:r>
        <w:rPr>
          <w:lang w:val="en_US" w:bidi="en_US"/>
        </w:rPr>
        <w:t xml:space="preserve"> The BSB has placed the phrase </w:t>
      </w:r>
      <w:r>
        <w:rPr>
          <w:i/>
          <w:lang w:val="en_US" w:bidi="en_US"/>
        </w:rPr>
        <w:t>Jesus replied</w:t>
      </w:r>
      <w:r>
        <w:rPr>
          <w:lang w:val="en_US" w:bidi="en_US"/>
        </w:rPr>
        <w:t xml:space="preserve"> in the middle of the two questions in this verse. In Greek it occurs before the two questions. You should place this phrase wherever is most natural in your language.</w:t>
      </w:r>
    </w:p>
    <w:p>
      <w:pPr/>
      <w:r>
        <w:rPr>
          <w:lang w:val="en_US" w:bidi="en_US"/>
        </w:rPr>
      </w:r>
      <w:r>
        <w:rPr>
          <w:lang w:val="en_US" w:bidi="en_US"/>
        </w:rPr>
        <w:t xml:space="preserve">The Greek phrase that the BSB translates as </w:t>
      </w:r>
      <w:r>
        <w:rPr>
          <w:i/>
          <w:lang w:val="en_US" w:bidi="en_US"/>
        </w:rPr>
        <w:t>Jesus replied</w:t>
      </w:r>
      <w:r>
        <w:rPr>
          <w:lang w:val="en_US" w:bidi="en_US"/>
        </w:rPr>
        <w:t xml:space="preserve"> is more literally “he replied.” The BSB has used the name </w:t>
      </w:r>
      <w:r>
        <w:rPr>
          <w:i/>
          <w:lang w:val="en_US" w:bidi="en_US"/>
        </w:rPr>
        <w:t>Jesus</w:t>
      </w:r>
      <w:r>
        <w:rPr>
          <w:lang w:val="en_US" w:bidi="en_US"/>
        </w:rPr>
        <w:t xml:space="preserve"> to identify the speaker more clearly. Some languages may be able to follow the Greek here and say “he replied.” Use a natural way in your language to refer to Jesus here.</w:t>
      </w:r>
    </w:p>
    <w:p>
      <w:pPr>
        <w:pStyle w:val="Heading5"/>
      </w:pPr>
      <w:r>
        <w:rPr>
          <w:lang w:val="en_US" w:bidi="en_US"/>
        </w:rPr>
        <w:t>10:26b</w:t>
      </w:r>
    </w:p>
    <w:p>
      <w:pPr/>
      <w:r>
        <w:rPr>
          <w:lang w:val="en_US" w:bidi="en_US"/>
        </w:rPr>
      </w:r>
      <w:r>
        <w:rPr>
          <w:b/>
          <w:lang w:val="en_US" w:bidi="en_US"/>
        </w:rPr>
        <w:t>“How do you read it?”</w:t>
      </w:r>
    </w:p>
    <w:p>
      <w:pPr>
        <w:pStyle w:val="ListBullet"/>
        <w:spacing w:line="240" w:lineRule="auto"/>
        <w:ind w:left="720"/>
      </w:pPr>
      <w:r>
        <w:rPr>
          <w:lang w:val="en_US" w:bidi="en_US"/>
        </w:rPr>
      </w:r>
      <w:r>
        <w:rPr>
          <w:lang w:val="en_US" w:bidi="en_US"/>
        </w:rPr>
        <w:t>What do you</w:t>
      </w:r>
      <w:r>
        <w:rPr>
          <w:vertAlign w:val="superscript"/>
          <w:lang w:val="en_US" w:bidi="en_US"/>
        </w:rPr>
        <w:t>(sing)</w:t>
      </w:r>
      <w:r>
        <w:rPr>
          <w:lang w:val="en_US" w:bidi="en_US"/>
        </w:rPr>
        <w:t xml:space="preserve"> read there about this </w:t>
      </w:r>
      <w:r>
        <w:rPr>
          <w:lang w:val="en_US" w:bidi="en_US"/>
        </w:rPr>
        <w:t>issue</w:t>
      </w:r>
      <w:r>
        <w:rPr>
          <w:lang w:val="en_US" w:bidi="en_US"/>
        </w:rPr>
        <w:t>?”</w:t>
      </w:r>
    </w:p>
    <w:p>
      <w:pPr>
        <w:pStyle w:val="ListBullet"/>
        <w:spacing w:line="240" w:lineRule="auto"/>
        <w:ind w:left="720"/>
      </w:pPr>
      <w:r>
        <w:rPr>
          <w:lang w:val="en_US" w:bidi="en_US"/>
        </w:rPr>
      </w:r>
      <w:r>
        <w:rPr>
          <w:lang w:val="en_US" w:bidi="en_US"/>
        </w:rPr>
        <w:t>What is your understanding about this?”</w:t>
      </w:r>
    </w:p>
    <w:p>
      <w:pPr/>
      <w:r>
        <w:rPr>
          <w:lang w:val="en_US" w:bidi="en_US"/>
        </w:rPr>
      </w:r>
      <w:r>
        <w:rPr>
          <w:b/>
          <w:lang w:val="en_US" w:bidi="en_US"/>
        </w:rPr>
        <w:t>How do you read it?:</w:t>
      </w:r>
      <w:r>
        <w:rPr>
          <w:lang w:val="en_US" w:bidi="en_US"/>
        </w:rPr>
        <w:t xml:space="preserve"> Here Jesus was probably asking the expert to summarize or explain what he thought the Law said about the issue.</w:t>
      </w:r>
      <w:r>
        <w:rPr>
          <w:lang w:val="en_US" w:bidi="en_US"/>
        </w:rPr>
        <w:t>Commentators have identified two other interpretations of this question: (1) Jesus wanted the law expert to quote the words in the law that he recited in public worship about the issue. (2) Jesus was simply restating his first question. See Blight 2007a for details.</w:t>
      </w:r>
      <w:r>
        <w:rPr>
          <w:lang w:val="en_US" w:bidi="en_US"/>
        </w:rPr>
        <w:t xml:space="preserve"> Some other ways to translate this question are:</w:t>
      </w:r>
    </w:p>
    <w:p>
      <w:pPr/>
      <w:r>
        <w:rPr>
          <w:lang w:val="en_US" w:bidi="en_US"/>
        </w:rPr>
      </w:r>
      <w:r>
        <w:rPr>
          <w:lang w:val="en_US" w:bidi="en_US"/>
        </w:rPr>
        <w:t>What do you read there? (NRSV)</w:t>
      </w:r>
    </w:p>
    <w:p>
      <w:pPr/>
      <w:r>
        <w:rPr>
          <w:lang w:val="en_US" w:bidi="en_US"/>
        </w:rPr>
      </w:r>
      <w:r>
        <w:rPr>
          <w:lang w:val="en_US" w:bidi="en_US"/>
        </w:rPr>
        <w:t>How do you understand it? (NET)</w:t>
      </w:r>
    </w:p>
    <w:p>
      <w:pPr/>
      <w:r>
        <w:rPr>
          <w:lang w:val="en_US" w:bidi="en_US"/>
        </w:rPr>
      </w:r>
      <w:r>
        <w:rPr>
          <w:lang w:val="en_US" w:bidi="en_US"/>
        </w:rPr>
        <w:t>How do you interpret them? (GNT)</w:t>
      </w:r>
    </w:p>
    <w:p>
      <w:pPr/>
      <w:r>
        <w:rPr>
          <w:lang w:val="en_US" w:bidi="en_US"/>
        </w:rPr>
      </w:r>
      <w:r>
        <w:rPr>
          <w:lang w:val="en_US" w:bidi="en_US"/>
        </w:rPr>
        <w:t>This question is very similar to Jesus’ first question in 10:26a. Notice that the law expert answered both questions with a single answer.</w:t>
      </w:r>
      <w:r>
        <w:rPr>
          <w:lang w:val="en_US" w:bidi="en_US"/>
        </w:rPr>
      </w:r>
      <w:r>
        <w:rPr>
          <w:lang w:val="en_US" w:bidi="en_US"/>
        </w:rPr>
      </w:r>
    </w:p>
    <w:p>
      <w:pPr/>
      <w:r>
        <w:rPr>
          <w:lang w:val="en_US" w:bidi="en_US"/>
        </w:rPr>
      </w:r>
    </w:p>
    <w:p>
      <w:pPr>
        <w:pStyle w:val="Heading2"/>
      </w:pPr>
      <w:r>
        <w:rPr>
          <w:lang w:val="en_US" w:bidi="en_US"/>
        </w:rPr>
        <w:t>Luke 10:27</w:t>
      </w:r>
      <w:r>
        <w:rPr>
          <w:lang w:val="en_US" w:bidi="en_US"/>
        </w:rPr>
      </w:r>
    </w:p>
    <w:p>
      <w:pPr>
        <w:pStyle w:val="Heading4"/>
      </w:pPr>
      <w:r>
        <w:rPr>
          <w:lang w:val="en_US" w:bidi="en_US"/>
        </w:rPr>
        <w:t>Section 10:25–37: Jesus told a story to show us who our neighbors are</w:t>
      </w:r>
    </w:p>
    <w:p>
      <w:pPr/>
      <w:r>
        <w:rPr>
          <w:lang w:val="en_US" w:bidi="en_US"/>
        </w:rPr>
      </w:r>
      <w:r>
        <w:rPr>
          <w:lang w:val="en_US" w:bidi="en_US"/>
        </w:rP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pPr/>
      <w:r>
        <w:rPr>
          <w:lang w:val="en_US" w:bidi="en_US"/>
        </w:rPr>
      </w:r>
      <w:r>
        <w:rPr>
          <w:lang w:val="en_US" w:bidi="en_US"/>
        </w:rP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pPr/>
      <w:r>
        <w:rPr>
          <w:lang w:val="en_US" w:bidi="en_US"/>
        </w:rPr>
      </w:r>
      <w:r>
        <w:rPr>
          <w:lang w:val="en_US" w:bidi="en_US"/>
        </w:rP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pPr/>
      <w:r>
        <w:rPr>
          <w:lang w:val="en_US" w:bidi="en_US"/>
        </w:rPr>
      </w:r>
      <w:r>
        <w:rPr>
          <w:lang w:val="en_US" w:bidi="en_US"/>
        </w:rPr>
        <w:t>Some other possible section headings are:</w:t>
      </w:r>
    </w:p>
    <w:p>
      <w:pPr/>
      <w:r>
        <w:rPr>
          <w:lang w:val="en_US" w:bidi="en_US"/>
        </w:rPr>
      </w:r>
      <w:r>
        <w:rPr>
          <w:lang w:val="en_US" w:bidi="en_US"/>
        </w:rPr>
        <w:t>The parable about the good foreigner</w:t>
      </w:r>
    </w:p>
    <w:p>
      <w:pPr/>
      <w:r>
        <w:rPr>
          <w:lang w:val="en_US" w:bidi="en_US"/>
        </w:rPr>
      </w:r>
      <w:r>
        <w:rPr>
          <w:lang w:val="en_US" w:bidi="en_US"/>
        </w:rPr>
        <w:t>Who is my neighbor?</w:t>
      </w:r>
    </w:p>
    <w:p>
      <w:pPr/>
      <w:r>
        <w:rPr>
          <w:lang w:val="en_US" w:bidi="en_US"/>
        </w:rPr>
      </w:r>
      <w:r>
        <w:rPr>
          <w:lang w:val="en_US" w:bidi="en_US"/>
        </w:rPr>
        <w:t>The Good Samaritan</w:t>
      </w:r>
    </w:p>
    <w:p>
      <w:pPr/>
      <w:r>
        <w:rPr>
          <w:lang w:val="en_US" w:bidi="en_US"/>
        </w:rPr>
      </w:r>
      <w:r>
        <w:rPr>
          <w:lang w:val="en_US" w:bidi="en_US"/>
        </w:rPr>
        <w:t>Luke is the only gospel writer who includes this parable.</w:t>
      </w:r>
    </w:p>
    <w:p>
      <w:pPr>
        <w:pStyle w:val="Heading5"/>
      </w:pPr>
      <w:r>
        <w:rPr>
          <w:lang w:val="en_US" w:bidi="en_US"/>
        </w:rPr>
        <w:t>10:27</w:t>
      </w:r>
    </w:p>
    <w:p>
      <w:pPr/>
      <w:r>
        <w:rPr>
          <w:lang w:val="en_US" w:bidi="en_US"/>
        </w:rPr>
      </w:r>
      <w:r>
        <w:rPr>
          <w:lang w:val="en_US" w:bidi="en_US"/>
        </w:rPr>
        <w:t>The command in 10:27a–b is a quote from Deuteronomy 6:5. The command in 10:27c is a quote from Leviticus 19:18. Leviticus and Deuteronomy are part of the Law that God gave Moses. The two commands are also quoted in Matthew 22:37 and Mark 12:30. If you use footnotes, you may want to cross-reference these verses.</w:t>
      </w:r>
    </w:p>
    <w:p>
      <w:pPr/>
      <w:r>
        <w:rPr>
          <w:lang w:val="en_US" w:bidi="en_US"/>
        </w:rPr>
      </w:r>
      <w:r>
        <w:rPr>
          <w:lang w:val="en_US" w:bidi="en_US"/>
        </w:rPr>
        <w:t>In some languages it may be necessary to make explicit that these words were a quote from the Law. For example:</w:t>
      </w:r>
    </w:p>
    <w:p>
      <w:pPr/>
      <w:r>
        <w:rPr>
          <w:lang w:val="en_US" w:bidi="en_US"/>
        </w:rPr>
      </w:r>
      <w:r>
        <w:rPr>
          <w:lang w:val="en_US" w:bidi="en_US"/>
        </w:rPr>
        <w:t>The Law says,</w:t>
      </w:r>
      <w:r>
        <w:rPr>
          <w:lang w:val="en_US" w:bidi="en_US"/>
        </w:rPr>
        <w:t xml:space="preserve"> “Love the Lord your God….” </w:t>
      </w:r>
      <w:r>
        <w:rPr>
          <w:lang w:val="en_US" w:bidi="en_US"/>
        </w:rPr>
        <w:t>It also says,</w:t>
      </w:r>
      <w:r>
        <w:rPr>
          <w:lang w:val="en_US" w:bidi="en_US"/>
        </w:rPr>
        <w:t xml:space="preserve"> “Love your neighbor…”</w:t>
      </w:r>
    </w:p>
    <w:p>
      <w:pPr/>
      <w:r>
        <w:rPr>
          <w:lang w:val="en_US" w:bidi="en_US"/>
        </w:rPr>
      </w:r>
      <w:r>
        <w:rPr>
          <w:lang w:val="en_US" w:bidi="en_US"/>
        </w:rPr>
        <w:t>The written word of God says this:</w:t>
      </w:r>
      <w:r>
        <w:rPr>
          <w:lang w:val="en_US" w:bidi="en_US"/>
        </w:rPr>
        <w:t xml:space="preserve"> “Love the Lord your God…” and “Love your neighbor…”</w:t>
      </w:r>
    </w:p>
    <w:p>
      <w:pPr/>
      <w:r>
        <w:rPr>
          <w:lang w:val="en_US" w:bidi="en_US"/>
        </w:rPr>
      </w:r>
      <w:r>
        <w:rPr>
          <w:lang w:val="en_US" w:bidi="en_US"/>
        </w:rPr>
        <w:t>In some languages it is not natural to use a quotation within another quotation as the BSB does. If that is true in your language, it may be necessary to use an indirect quotation. For example:</w:t>
      </w:r>
    </w:p>
    <w:p>
      <w:pPr/>
      <w:r>
        <w:rPr>
          <w:lang w:val="en_US" w:bidi="en_US"/>
        </w:rPr>
      </w:r>
      <w:r>
        <w:rPr>
          <w:lang w:val="en_US" w:bidi="en_US"/>
        </w:rPr>
        <w:t>The Law says</w:t>
      </w:r>
      <w:r>
        <w:rPr>
          <w:lang w:val="en_US" w:bidi="en_US"/>
        </w:rPr>
        <w:t xml:space="preserve"> that you/one must love the Lord your/his God…and your/his neighbor…</w:t>
      </w:r>
    </w:p>
    <w:p>
      <w:pPr>
        <w:pStyle w:val="Heading5"/>
      </w:pPr>
      <w:r>
        <w:rPr>
          <w:lang w:val="en_US" w:bidi="en_US"/>
        </w:rPr>
        <w:t>10:27a–b</w:t>
      </w:r>
    </w:p>
    <w:p>
      <w:pPr/>
      <w:r>
        <w:rPr>
          <w:lang w:val="en_US" w:bidi="en_US"/>
        </w:rPr>
      </w:r>
      <w:r>
        <w:rPr>
          <w:b/>
          <w:lang w:val="en_US" w:bidi="en_US"/>
        </w:rPr>
        <w:t>‘Love the Lord your God with all your heart and with all your soul and with all your strength and with all your mind’:</w:t>
      </w:r>
      <w:r>
        <w:rPr>
          <w:lang w:val="en_US" w:bidi="en_US"/>
        </w:rPr>
        <w:t xml:space="preserve"> In some languages it may not be possible to speak of loving God </w:t>
      </w:r>
      <w:r>
        <w:rPr>
          <w:u w:val="single"/>
          <w:lang w:val="en_US" w:bidi="en_US"/>
        </w:rPr>
        <w:t>with</w:t>
      </w:r>
      <w:r>
        <w:rPr>
          <w:lang w:val="en_US" w:bidi="en_US"/>
        </w:rPr>
        <w:t xml:space="preserve"> various things. Some other ways to express this meaning are:</w:t>
      </w:r>
    </w:p>
    <w:p>
      <w:pPr/>
      <w:r>
        <w:rPr>
          <w:lang w:val="en_US" w:bidi="en_US"/>
        </w:rPr>
      </w:r>
      <w:r>
        <w:rPr>
          <w:lang w:val="en_US" w:bidi="en_US"/>
        </w:rPr>
        <w:t>You should love the Lord your God entirely, using all your heart, soul, strength, and mind.</w:t>
      </w:r>
    </w:p>
    <w:p>
      <w:pPr/>
      <w:r>
        <w:rPr>
          <w:lang w:val="en_US" w:bidi="en_US"/>
        </w:rPr>
      </w:r>
      <w:r>
        <w:rPr>
          <w:lang w:val="en_US" w:bidi="en_US"/>
        </w:rPr>
        <w:t>You must concentrate all your thoughts/mind, intelligence, and strength on loving God, who is your Lord.</w:t>
      </w:r>
    </w:p>
    <w:p>
      <w:pPr/>
      <w:r>
        <w:rPr>
          <w:lang w:val="en_US" w:bidi="en_US"/>
        </w:rPr>
      </w:r>
      <w:r>
        <w:rPr>
          <w:lang w:val="en_US" w:bidi="en_US"/>
        </w:rPr>
        <w:t>You must love the Lord your God in all of your life. In everything you think or feel or do, you must show that you love him very much.</w:t>
      </w:r>
    </w:p>
    <w:p>
      <w:pPr/>
      <w:r>
        <w:rPr>
          <w:lang w:val="en_US" w:bidi="en_US"/>
        </w:rPr>
      </w:r>
      <w:r>
        <w:rPr>
          <w:lang w:val="en_US" w:bidi="en_US"/>
        </w:rPr>
        <w:t xml:space="preserve">In this quote from Deuteronomy 6:5, the expert added the phrase </w:t>
      </w:r>
      <w:r>
        <w:rPr>
          <w:i/>
          <w:lang w:val="en_US" w:bidi="en_US"/>
        </w:rPr>
        <w:t>with all your mind</w:t>
      </w:r>
      <w:r>
        <w:rPr>
          <w:lang w:val="en_US" w:bidi="en_US"/>
        </w:rPr>
        <w:t xml:space="preserve">. The four Greek terms that the BSB translates as </w:t>
      </w:r>
      <w:r>
        <w:rPr>
          <w:i/>
          <w:lang w:val="en_US" w:bidi="en_US"/>
        </w:rPr>
        <w:t>heart</w:t>
      </w:r>
      <w:r>
        <w:rPr>
          <w:lang w:val="en_US" w:bidi="en_US"/>
        </w:rPr>
        <w:t xml:space="preserve">, </w:t>
      </w:r>
      <w:r>
        <w:rPr>
          <w:i/>
          <w:lang w:val="en_US" w:bidi="en_US"/>
        </w:rPr>
        <w:t>soul</w:t>
      </w:r>
      <w:r>
        <w:rPr>
          <w:lang w:val="en_US" w:bidi="en_US"/>
        </w:rPr>
        <w:t xml:space="preserve">, </w:t>
      </w:r>
      <w:r>
        <w:rPr>
          <w:i/>
          <w:lang w:val="en_US" w:bidi="en_US"/>
        </w:rPr>
        <w:t>strength</w:t>
      </w:r>
      <w:r>
        <w:rPr>
          <w:lang w:val="en_US" w:bidi="en_US"/>
        </w:rPr>
        <w:t xml:space="preserve">, and </w:t>
      </w:r>
      <w:r>
        <w:rPr>
          <w:i/>
          <w:lang w:val="en_US" w:bidi="en_US"/>
        </w:rPr>
        <w:t>mind</w:t>
      </w:r>
      <w:r>
        <w:rPr>
          <w:lang w:val="en_US" w:bidi="en_US"/>
        </w:rPr>
        <w:t xml:space="preserve"> function together here to refer to a person’s entire being. Each of these terms is also preceded by the word </w:t>
      </w:r>
      <w:r>
        <w:rPr>
          <w:i/>
          <w:lang w:val="en_US" w:bidi="en_US"/>
        </w:rPr>
        <w:t>all</w:t>
      </w:r>
      <w:r>
        <w:rPr>
          <w:lang w:val="en_US" w:bidi="en_US"/>
        </w:rPr>
        <w:t>. This emphasizes that a person should use all his will, emotions, ability, and intelligence to love the Lord in every way that is possible.</w:t>
      </w:r>
    </w:p>
    <w:p>
      <w:pPr/>
      <w:r>
        <w:rPr>
          <w:lang w:val="en_US" w:bidi="en_US"/>
        </w:rPr>
      </w:r>
      <w:r>
        <w:rPr>
          <w:lang w:val="en_US" w:bidi="en_US"/>
        </w:rPr>
        <w:t>In some languages it may be helpful to make this clear by supplying a summary phrase. For example:</w:t>
      </w:r>
    </w:p>
    <w:p>
      <w:pPr/>
      <w:r>
        <w:rPr>
          <w:lang w:val="en_US" w:bidi="en_US"/>
        </w:rPr>
      </w:r>
      <w:r>
        <w:rPr>
          <w:lang w:val="en_US" w:bidi="en_US"/>
        </w:rPr>
        <w:t xml:space="preserve">with </w:t>
      </w:r>
      <w:r>
        <w:rPr>
          <w:lang w:val="en_US" w:bidi="en_US"/>
        </w:rPr>
        <w:t>all that you are:</w:t>
      </w:r>
      <w:r>
        <w:rPr>
          <w:lang w:val="en_US" w:bidi="en_US"/>
        </w:rPr>
        <w:t xml:space="preserve"> heart, soul, strength, and mind</w:t>
      </w:r>
    </w:p>
    <w:p>
      <w:pPr>
        <w:pStyle w:val="Heading5"/>
      </w:pPr>
      <w:r>
        <w:rPr>
          <w:lang w:val="en_US" w:bidi="en_US"/>
        </w:rPr>
        <w:t>10:27a</w:t>
      </w:r>
    </w:p>
    <w:p>
      <w:pPr/>
      <w:r>
        <w:rPr>
          <w:lang w:val="en_US" w:bidi="en_US"/>
        </w:rPr>
      </w:r>
      <w:r>
        <w:rPr>
          <w:b/>
          <w:lang w:val="en_US" w:bidi="en_US"/>
        </w:rPr>
        <w:t>He answered, “‘Love the Lord your God</w:t>
      </w:r>
    </w:p>
    <w:p>
      <w:pPr>
        <w:pStyle w:val="ListBullet"/>
        <w:spacing w:line="240" w:lineRule="auto"/>
        <w:ind w:left="720"/>
      </w:pPr>
      <w:r>
        <w:rPr>
          <w:lang w:val="en_US" w:bidi="en_US"/>
        </w:rPr>
      </w:r>
      <w:r>
        <w:rPr>
          <w:lang w:val="en_US" w:bidi="en_US"/>
        </w:rPr>
        <w:t xml:space="preserve">And </w:t>
      </w:r>
      <w:r>
        <w:rPr>
          <w:lang w:val="en_US" w:bidi="en_US"/>
        </w:rPr>
        <w:t>the teacher of the law</w:t>
      </w:r>
      <w:r>
        <w:rPr>
          <w:lang w:val="en_US" w:bidi="en_US"/>
        </w:rPr>
        <w:t xml:space="preserve"> answered, “</w:t>
      </w:r>
      <w:r>
        <w:rPr>
          <w:lang w:val="en_US" w:bidi="en_US"/>
        </w:rPr>
        <w:t>This is what is written:</w:t>
      </w:r>
      <w:r>
        <w:rPr>
          <w:lang w:val="en_US" w:bidi="en_US"/>
        </w:rPr>
        <w:t xml:space="preserve"> ‘Love</w:t>
      </w:r>
      <w:r>
        <w:rPr>
          <w:vertAlign w:val="superscript"/>
          <w:lang w:val="en_US" w:bidi="en_US"/>
        </w:rPr>
        <w:t>(sing)</w:t>
      </w:r>
      <w:r>
        <w:rPr>
          <w:lang w:val="en_US" w:bidi="en_US"/>
        </w:rPr>
        <w:t xml:space="preserve"> the Lord your</w:t>
      </w:r>
      <w:r>
        <w:rPr>
          <w:vertAlign w:val="superscript"/>
          <w:lang w:val="en_US" w:bidi="en_US"/>
        </w:rPr>
        <w:t>(sing)</w:t>
      </w:r>
      <w:r>
        <w:rPr>
          <w:lang w:val="en_US" w:bidi="en_US"/>
        </w:rPr>
        <w:t xml:space="preserve"> God </w:t>
      </w:r>
      <w:r>
        <w:rPr>
          <w:lang w:val="en_US" w:bidi="en_US"/>
        </w:rPr>
        <w:t>with your whole self</w:t>
      </w:r>
      <w:r>
        <w:rPr>
          <w:lang w:val="en_US" w:bidi="en_US"/>
        </w:rPr>
        <w:t xml:space="preserve">. </w:t>
      </w:r>
      <w:r>
        <w:rPr>
          <w:lang w:val="en_US" w:bidi="en_US"/>
        </w:rPr>
        <w:t>That is,</w:t>
      </w:r>
    </w:p>
    <w:p>
      <w:pPr>
        <w:pStyle w:val="ListBullet"/>
        <w:spacing w:line="240" w:lineRule="auto"/>
        <w:ind w:left="720"/>
      </w:pPr>
      <w:r>
        <w:rPr>
          <w:lang w:val="en_US" w:bidi="en_US"/>
        </w:rPr>
      </w:r>
      <w:r>
        <w:rPr>
          <w:lang w:val="en_US" w:bidi="en_US"/>
        </w:rPr>
        <w:t xml:space="preserve">And he said </w:t>
      </w:r>
      <w:r>
        <w:rPr>
          <w:lang w:val="en_US" w:bidi="en_US"/>
        </w:rPr>
        <w:t>to Jesus</w:t>
      </w:r>
      <w:r>
        <w:rPr>
          <w:lang w:val="en_US" w:bidi="en_US"/>
        </w:rPr>
        <w:t>, “</w:t>
      </w:r>
      <w:r>
        <w:rPr>
          <w:lang w:val="en_US" w:bidi="en_US"/>
        </w:rPr>
        <w:t>Moses wrote,</w:t>
      </w:r>
      <w:r>
        <w:rPr>
          <w:lang w:val="en_US" w:bidi="en_US"/>
        </w:rPr>
        <w:t xml:space="preserve"> ‘You</w:t>
      </w:r>
      <w:r>
        <w:rPr>
          <w:vertAlign w:val="superscript"/>
          <w:lang w:val="en_US" w:bidi="en_US"/>
        </w:rPr>
        <w:t>(plur)</w:t>
      </w:r>
      <w:r>
        <w:rPr>
          <w:lang w:val="en_US" w:bidi="en_US"/>
        </w:rPr>
        <w:t xml:space="preserve"> must </w:t>
      </w:r>
      <w:r>
        <w:rPr>
          <w:lang w:val="en_US" w:bidi="en_US"/>
        </w:rPr>
        <w:t>each</w:t>
      </w:r>
      <w:r>
        <w:rPr>
          <w:lang w:val="en_US" w:bidi="en_US"/>
        </w:rPr>
        <w:t xml:space="preserve"> </w:t>
      </w:r>
      <w:r>
        <w:rPr>
          <w:lang w:val="en_US" w:bidi="en_US"/>
        </w:rPr>
        <w:t>completely</w:t>
      </w:r>
      <w:r>
        <w:rPr>
          <w:lang w:val="en_US" w:bidi="en_US"/>
        </w:rPr>
        <w:t xml:space="preserve"> love the Lord </w:t>
      </w:r>
      <w:r>
        <w:rPr>
          <w:lang w:val="en_US" w:bidi="en_US"/>
        </w:rPr>
        <w:t>who is</w:t>
      </w:r>
      <w:r>
        <w:rPr>
          <w:lang w:val="en_US" w:bidi="en_US"/>
        </w:rPr>
        <w:t xml:space="preserve"> your</w:t>
      </w:r>
      <w:r>
        <w:rPr>
          <w:vertAlign w:val="superscript"/>
          <w:lang w:val="en_US" w:bidi="en_US"/>
        </w:rPr>
        <w:t>(plur)</w:t>
      </w:r>
      <w:r>
        <w:rPr>
          <w:lang w:val="en_US" w:bidi="en_US"/>
        </w:rPr>
        <w:t xml:space="preserve"> God.</w:t>
      </w:r>
    </w:p>
    <w:p>
      <w:pPr>
        <w:pStyle w:val="ListBullet"/>
        <w:spacing w:line="240" w:lineRule="auto"/>
        <w:ind w:left="720"/>
      </w:pPr>
      <w:r>
        <w:rPr>
          <w:lang w:val="en_US" w:bidi="en_US"/>
        </w:rPr>
      </w:r>
      <w:r>
        <w:rPr>
          <w:lang w:val="en_US" w:bidi="en_US"/>
        </w:rPr>
        <w:t>The man answered, “</w:t>
      </w:r>
      <w:r>
        <w:rPr>
          <w:lang w:val="en_US" w:bidi="en_US"/>
        </w:rPr>
        <w:t>Moses wrote that</w:t>
      </w:r>
      <w:r>
        <w:rPr>
          <w:lang w:val="en_US" w:bidi="en_US"/>
        </w:rPr>
        <w:t xml:space="preserve"> each </w:t>
      </w:r>
      <w:r>
        <w:rPr>
          <w:lang w:val="en_US" w:bidi="en_US"/>
        </w:rPr>
        <w:t>of us</w:t>
      </w:r>
      <w:r>
        <w:rPr>
          <w:lang w:val="en_US" w:bidi="en_US"/>
        </w:rPr>
        <w:t xml:space="preserve"> must love the Lord his God</w:t>
      </w:r>
    </w:p>
    <w:p>
      <w:pPr/>
      <w:r>
        <w:rPr>
          <w:lang w:val="en_US" w:bidi="en_US"/>
        </w:rPr>
      </w:r>
      <w:r>
        <w:rPr>
          <w:b/>
          <w:lang w:val="en_US" w:bidi="en_US"/>
        </w:rPr>
        <w:t>Love the Lord your God:</w:t>
      </w:r>
      <w:r>
        <w:rPr>
          <w:lang w:val="en_US" w:bidi="en_US"/>
        </w:rPr>
        <w:t xml:space="preserve"> The Greek verb that the BSB translates as </w:t>
      </w:r>
      <w:r>
        <w:rPr>
          <w:i/>
          <w:lang w:val="en_US" w:bidi="en_US"/>
        </w:rPr>
        <w:t>Love</w:t>
      </w:r>
      <w:r>
        <w:rPr>
          <w:lang w:val="en_US" w:bidi="en_US"/>
        </w:rPr>
        <w:t xml:space="preserve"> is literally “you shall love.” In this context it is a command. It expresses what a person should do. Another way to translate this is:</w:t>
      </w:r>
    </w:p>
    <w:p>
      <w:pPr/>
      <w:r>
        <w:rPr>
          <w:lang w:val="en_US" w:bidi="en_US"/>
        </w:rPr>
      </w:r>
      <w:r>
        <w:rPr>
          <w:lang w:val="en_US" w:bidi="en_US"/>
        </w:rPr>
        <w:t>You must love the Lord your God (NLT)</w:t>
      </w:r>
    </w:p>
    <w:p>
      <w:pPr/>
      <w:r>
        <w:rPr>
          <w:lang w:val="en_US" w:bidi="en_US"/>
        </w:rPr>
      </w:r>
      <w:r>
        <w:rPr>
          <w:lang w:val="en_US" w:bidi="en_US"/>
        </w:rPr>
        <w:t>This command is singular, both here in Greek and in the Old Testament in Hebrew. The command was to the Jewish people, and it applied to each Jewish person. In some languages, people do not use a singular form to give a general command like this. Use whatever form is natural in your language for giving this type of general command. For example:</w:t>
      </w:r>
    </w:p>
    <w:p>
      <w:pPr/>
      <w:r>
        <w:rPr>
          <w:lang w:val="en_US" w:bidi="en_US"/>
        </w:rPr>
      </w:r>
      <w:r>
        <w:rPr>
          <w:lang w:val="en_US" w:bidi="en_US"/>
        </w:rPr>
        <w:t>You</w:t>
      </w:r>
      <w:r>
        <w:rPr>
          <w:vertAlign w:val="superscript"/>
          <w:lang w:val="en_US" w:bidi="en_US"/>
        </w:rPr>
        <w:t>(plur)</w:t>
      </w:r>
      <w:r>
        <w:rPr>
          <w:lang w:val="en_US" w:bidi="en_US"/>
        </w:rPr>
        <w:t xml:space="preserve"> must love the Lord your</w:t>
      </w:r>
      <w:r>
        <w:rPr>
          <w:vertAlign w:val="superscript"/>
          <w:lang w:val="en_US" w:bidi="en_US"/>
        </w:rPr>
        <w:t>(plur)</w:t>
      </w:r>
      <w:r>
        <w:rPr>
          <w:lang w:val="en_US" w:bidi="en_US"/>
        </w:rPr>
        <w:t xml:space="preserve"> God with all your</w:t>
      </w:r>
      <w:r>
        <w:rPr>
          <w:vertAlign w:val="superscript"/>
          <w:lang w:val="en_US" w:bidi="en_US"/>
        </w:rPr>
        <w:t>(plur)</w:t>
      </w:r>
      <w:r>
        <w:rPr>
          <w:lang w:val="en_US" w:bidi="en_US"/>
        </w:rPr>
        <w:t xml:space="preserve"> heart</w:t>
      </w:r>
    </w:p>
    <w:p>
      <w:pPr/>
      <w:r>
        <w:rPr>
          <w:lang w:val="en_US" w:bidi="en_US"/>
        </w:rPr>
      </w:r>
      <w:r>
        <w:rPr>
          <w:lang w:val="en_US" w:bidi="en_US"/>
        </w:rPr>
        <w:t>We</w:t>
      </w:r>
      <w:r>
        <w:rPr>
          <w:vertAlign w:val="superscript"/>
          <w:lang w:val="en_US" w:bidi="en_US"/>
        </w:rPr>
        <w:t>(incl)</w:t>
      </w:r>
      <w:r>
        <w:rPr>
          <w:lang w:val="en_US" w:bidi="en_US"/>
        </w:rPr>
        <w:t xml:space="preserve"> must love the Lord our God with all our</w:t>
      </w:r>
      <w:r>
        <w:rPr>
          <w:vertAlign w:val="superscript"/>
          <w:lang w:val="en_US" w:bidi="en_US"/>
        </w:rPr>
        <w:t>(incl)</w:t>
      </w:r>
      <w:r>
        <w:rPr>
          <w:lang w:val="en_US" w:bidi="en_US"/>
        </w:rPr>
        <w:t xml:space="preserve"> heart</w:t>
      </w:r>
    </w:p>
    <w:p>
      <w:pPr/>
      <w:r>
        <w:rPr>
          <w:lang w:val="en_US" w:bidi="en_US"/>
        </w:rPr>
      </w:r>
      <w:r>
        <w:rPr>
          <w:lang w:val="en_US" w:bidi="en_US"/>
        </w:rPr>
        <w:t xml:space="preserve">Each </w:t>
      </w:r>
      <w:r>
        <w:rPr>
          <w:lang w:val="en_US" w:bidi="en_US"/>
        </w:rPr>
        <w:t>of us</w:t>
      </w:r>
      <w:r>
        <w:rPr>
          <w:lang w:val="en_US" w:bidi="en_US"/>
        </w:rPr>
        <w:t xml:space="preserve"> must love the Lord his God with all his heart</w:t>
      </w:r>
    </w:p>
    <w:p>
      <w:pPr/>
      <w:r>
        <w:rPr>
          <w:lang w:val="en_US" w:bidi="en_US"/>
        </w:rPr>
      </w:r>
      <w:r>
        <w:rPr>
          <w:b/>
          <w:lang w:val="en_US" w:bidi="en_US"/>
        </w:rPr>
        <w:t>Love:</w:t>
      </w:r>
      <w:r>
        <w:rPr>
          <w:lang w:val="en_US" w:bidi="en_US"/>
        </w:rPr>
        <w:t xml:space="preserve"> The Greek word that the BSB translates as </w:t>
      </w:r>
      <w:r>
        <w:rPr>
          <w:i/>
          <w:lang w:val="en_US" w:bidi="en_US"/>
        </w:rPr>
        <w:t>Love</w:t>
      </w:r>
      <w:r>
        <w:rPr>
          <w:lang w:val="en_US" w:bidi="en_US"/>
        </w:rPr>
        <w:t xml:space="preserve"> means that a person values and reverences God with gratitude and affection. He is devoted and loyal to God. He wants to please God because he loves him, and he will think about the things that God is interested in.</w:t>
      </w:r>
    </w:p>
    <w:p>
      <w:pPr/>
      <w:r>
        <w:rPr>
          <w:lang w:val="en_US" w:bidi="en_US"/>
        </w:rPr>
      </w:r>
      <w:r>
        <w:rPr>
          <w:b/>
          <w:lang w:val="en_US" w:bidi="en_US"/>
        </w:rPr>
        <w:t>the Lord your God:</w:t>
      </w:r>
      <w:r>
        <w:rPr>
          <w:lang w:val="en_US" w:bidi="en_US"/>
        </w:rPr>
        <w:t xml:space="preserve"> The phrase </w:t>
      </w:r>
      <w:r>
        <w:rPr>
          <w:i/>
          <w:lang w:val="en_US" w:bidi="en_US"/>
        </w:rPr>
        <w:t>the Lord your God</w:t>
      </w:r>
      <w:r>
        <w:rPr>
          <w:lang w:val="en_US" w:bidi="en_US"/>
        </w:rPr>
        <w:t xml:space="preserve"> indicates that </w:t>
      </w:r>
      <w:r>
        <w:rPr>
          <w:i/>
          <w:lang w:val="en_US" w:bidi="en_US"/>
        </w:rPr>
        <w:t>the Lord</w:t>
      </w:r>
      <w:r>
        <w:rPr>
          <w:lang w:val="en_US" w:bidi="en_US"/>
        </w:rPr>
        <w:t xml:space="preserve"> is the God with whom people have a relationship. It implies that the Lord guides and cares for them as God, and they worship and serve him.</w:t>
      </w:r>
    </w:p>
    <w:p>
      <w:pPr/>
      <w:r>
        <w:rPr>
          <w:lang w:val="en_US" w:bidi="en_US"/>
        </w:rPr>
      </w:r>
      <w:r>
        <w:rPr>
          <w:lang w:val="en_US" w:bidi="en_US"/>
        </w:rPr>
        <w:t xml:space="preserve">Some ways to translate </w:t>
      </w:r>
      <w:r>
        <w:rPr>
          <w:i/>
          <w:lang w:val="en_US" w:bidi="en_US"/>
        </w:rPr>
        <w:t>the Lord your God</w:t>
      </w:r>
      <w:r>
        <w:rPr>
          <w:lang w:val="en_US" w:bidi="en_US"/>
        </w:rPr>
        <w:t xml:space="preserve"> are:</w:t>
      </w:r>
    </w:p>
    <w:p>
      <w:pPr/>
      <w:r>
        <w:rPr>
          <w:lang w:val="en_US" w:bidi="en_US"/>
        </w:rPr>
      </w:r>
      <w:r>
        <w:rPr>
          <w:lang w:val="en_US" w:bidi="en_US"/>
        </w:rPr>
        <w:t>the Lord, who is your God</w:t>
      </w:r>
    </w:p>
    <w:p>
      <w:pPr/>
      <w:r>
        <w:rPr>
          <w:lang w:val="en_US" w:bidi="en_US"/>
        </w:rPr>
      </w:r>
      <w:r>
        <w:rPr>
          <w:lang w:val="en_US" w:bidi="en_US"/>
        </w:rPr>
        <w:t>your Lord/Master God</w:t>
      </w:r>
    </w:p>
    <w:p>
      <w:pPr/>
      <w:r>
        <w:rPr>
          <w:lang w:val="en_US" w:bidi="en_US"/>
        </w:rPr>
      </w:r>
      <w:r>
        <w:rPr>
          <w:lang w:val="en_US" w:bidi="en_US"/>
        </w:rPr>
        <w:t>God who is your Lord/Master</w:t>
      </w:r>
    </w:p>
    <w:p>
      <w:pPr/>
      <w:r>
        <w:rPr>
          <w:lang w:val="en_US" w:bidi="en_US"/>
        </w:rPr>
      </w:r>
      <w:r>
        <w:rPr>
          <w:lang w:val="en_US" w:bidi="en_US"/>
        </w:rPr>
        <w:t xml:space="preserve">In some languages, the phrase </w:t>
      </w:r>
      <w:r>
        <w:rPr>
          <w:i/>
          <w:lang w:val="en_US" w:bidi="en_US"/>
        </w:rPr>
        <w:t>your God</w:t>
      </w:r>
      <w:r>
        <w:rPr>
          <w:lang w:val="en_US" w:bidi="en_US"/>
        </w:rPr>
        <w:t xml:space="preserve"> is not natural. If that is true in your language, here are some other ways to translate </w:t>
      </w:r>
      <w:r>
        <w:rPr>
          <w:i/>
          <w:lang w:val="en_US" w:bidi="en_US"/>
        </w:rPr>
        <w:t>the Lord your God</w:t>
      </w:r>
      <w:r>
        <w:rPr>
          <w:lang w:val="en_US" w:bidi="en_US"/>
        </w:rPr>
        <w:t>:</w:t>
      </w:r>
    </w:p>
    <w:p>
      <w:pPr/>
      <w:r>
        <w:rPr>
          <w:lang w:val="en_US" w:bidi="en_US"/>
        </w:rPr>
      </w:r>
      <w:r>
        <w:rPr>
          <w:lang w:val="en_US" w:bidi="en_US"/>
        </w:rPr>
        <w:t xml:space="preserve">the Lord God, whom you </w:t>
      </w:r>
      <w:r>
        <w:rPr>
          <w:lang w:val="en_US" w:bidi="en_US"/>
        </w:rPr>
        <w:t>worship/serve</w:t>
      </w:r>
    </w:p>
    <w:p>
      <w:pPr/>
      <w:r>
        <w:rPr>
          <w:lang w:val="en_US" w:bidi="en_US"/>
        </w:rPr>
      </w:r>
      <w:r>
        <w:rPr>
          <w:lang w:val="en_US" w:bidi="en_US"/>
        </w:rPr>
        <w:t xml:space="preserve">God the Lord, who </w:t>
      </w:r>
      <w:r>
        <w:rPr>
          <w:lang w:val="en_US" w:bidi="en_US"/>
        </w:rPr>
        <w:t>cares for</w:t>
      </w:r>
      <w:r>
        <w:rPr>
          <w:lang w:val="en_US" w:bidi="en_US"/>
        </w:rPr>
        <w:t xml:space="preserve"> you</w:t>
      </w:r>
    </w:p>
    <w:p>
      <w:pPr/>
      <w:r>
        <w:rPr>
          <w:lang w:val="en_US" w:bidi="en_US"/>
        </w:rPr>
      </w:r>
      <w:r>
        <w:rPr>
          <w:lang w:val="en_US" w:bidi="en_US"/>
        </w:rPr>
        <w:t xml:space="preserve">the Lord, the God whom you </w:t>
      </w:r>
      <w:r>
        <w:rPr>
          <w:lang w:val="en_US" w:bidi="en_US"/>
        </w:rPr>
        <w:t>worship</w:t>
      </w:r>
    </w:p>
    <w:p>
      <w:pPr/>
      <w:r>
        <w:rPr>
          <w:lang w:val="en_US" w:bidi="en_US"/>
        </w:rPr>
      </w:r>
      <w:r>
        <w:rPr>
          <w:b/>
          <w:lang w:val="en_US" w:bidi="en_US"/>
        </w:rPr>
        <w:t>Lord:</w:t>
      </w:r>
      <w:r>
        <w:rPr>
          <w:lang w:val="en_US" w:bidi="en_US"/>
        </w:rPr>
        <w:t xml:space="preserve"> In Hebrew the word that is translated as </w:t>
      </w:r>
      <w:r>
        <w:rPr>
          <w:i/>
          <w:lang w:val="en_US" w:bidi="en_US"/>
        </w:rPr>
        <w:t>Lord</w:t>
      </w:r>
      <w:r>
        <w:rPr>
          <w:lang w:val="en_US" w:bidi="en_US"/>
        </w:rPr>
        <w:t xml:space="preserve"> here was the personal name of God. In Greek, </w:t>
      </w:r>
      <w:r>
        <w:rPr>
          <w:i/>
          <w:lang w:val="en_US" w:bidi="en_US"/>
        </w:rPr>
        <w:t>Lord</w:t>
      </w:r>
      <w:r>
        <w:rPr>
          <w:lang w:val="en_US" w:bidi="en_US"/>
        </w:rPr>
        <w:t xml:space="preserve"> is used as a title that means “master, one who has authority over others.” If there is a personal name for God in your language, it is probably good to use it in your translation of “the Lord your God.” See Lord, Context 2, in the Glossary.</w:t>
      </w:r>
    </w:p>
    <w:p>
      <w:pPr/>
      <w:r>
        <w:rPr>
          <w:lang w:val="en_US" w:bidi="en_US"/>
        </w:rPr>
      </w:r>
      <w:r>
        <w:rPr>
          <w:b/>
          <w:lang w:val="en_US" w:bidi="en_US"/>
        </w:rPr>
        <w:t>God:</w:t>
      </w:r>
      <w:r>
        <w:rPr>
          <w:lang w:val="en_US" w:bidi="en_US"/>
        </w:rPr>
        <w:t xml:space="preserve"> The Greek word that the BSB translates as </w:t>
      </w:r>
      <w:r>
        <w:rPr>
          <w:i/>
          <w:lang w:val="en_US" w:bidi="en_US"/>
        </w:rPr>
        <w:t>God</w:t>
      </w:r>
      <w:r>
        <w:rPr>
          <w:lang w:val="en_US" w:bidi="en_US"/>
        </w:rPr>
        <w:t xml:space="preserve"> refers here to the eternal spirit who created everything. He is more powerful than any other spirit, and he is perfectly good and wise. In many languages there will already be an established term for God. If that is not true in your language, here are some ways to translate </w:t>
      </w:r>
      <w:r>
        <w:rPr>
          <w:i/>
          <w:lang w:val="en_US" w:bidi="en_US"/>
        </w:rPr>
        <w:t>God</w:t>
      </w:r>
      <w:r>
        <w:rPr>
          <w:lang w:val="en_US" w:bidi="en_US"/>
        </w:rPr>
        <w:t>:</w:t>
      </w:r>
    </w:p>
    <w:p>
      <w:pPr>
        <w:pStyle w:val="ListBullet"/>
        <w:spacing w:line="240" w:lineRule="auto"/>
        <w:ind w:left="720"/>
      </w:pPr>
      <w:r>
        <w:rPr>
          <w:lang w:val="en_US" w:bidi="en_US"/>
        </w:rPr>
      </w:r>
      <w:r>
        <w:rPr>
          <w:lang w:val="en_US" w:bidi="en_US"/>
        </w:rPr>
        <w:t xml:space="preserve">Use a name or title for </w:t>
      </w:r>
      <w:r>
        <w:rPr>
          <w:i/>
          <w:lang w:val="en_US" w:bidi="en_US"/>
        </w:rPr>
        <w:t>God</w:t>
      </w:r>
      <w:r>
        <w:rPr>
          <w:lang w:val="en_US" w:bidi="en_US"/>
        </w:rPr>
        <w:t xml:space="preserve"> that people in your culture already use.</w:t>
      </w:r>
    </w:p>
    <w:p>
      <w:pPr>
        <w:pStyle w:val="ListBullet"/>
        <w:spacing w:line="240" w:lineRule="auto"/>
        <w:ind w:left="720"/>
      </w:pPr>
      <w:r>
        <w:rPr>
          <w:lang w:val="en_US" w:bidi="en_US"/>
        </w:rPr>
      </w:r>
      <w:r>
        <w:rPr>
          <w:lang w:val="en_US" w:bidi="en_US"/>
        </w:rPr>
        <w:t>Use a descriptive term that fits the truth about God that is revealed in the Bible. Be sure to combine this term meaningfully in the phrase “the Lord your God.” For example:</w:t>
      </w:r>
      <w:r>
        <w:rPr>
          <w:lang w:val="en_US" w:bidi="en_US"/>
        </w:rPr>
        <w:t xml:space="preserve">the Lord who is your </w:t>
      </w:r>
      <w:r>
        <w:rPr>
          <w:u w:val="single"/>
          <w:lang w:val="en_US" w:bidi="en_US"/>
        </w:rPr>
        <w:t>Creator</w:t>
      </w:r>
      <w:r>
        <w:rPr>
          <w:lang w:val="en_US" w:bidi="en_US"/>
        </w:rPr>
        <w:t xml:space="preserve">your Lord, the </w:t>
      </w:r>
      <w:r>
        <w:rPr>
          <w:u w:val="single"/>
          <w:lang w:val="en_US" w:bidi="en_US"/>
        </w:rPr>
        <w:t>Great Spirit</w:t>
      </w:r>
      <w:r>
        <w:rPr>
          <w:lang w:val="en_US" w:bidi="en_US"/>
        </w:rPr>
        <w:t xml:space="preserve">the </w:t>
      </w:r>
      <w:r>
        <w:rPr>
          <w:u w:val="single"/>
          <w:lang w:val="en_US" w:bidi="en_US"/>
        </w:rPr>
        <w:t>Ruler of the universe</w:t>
      </w:r>
      <w:r>
        <w:rPr>
          <w:lang w:val="en_US" w:bidi="en_US"/>
        </w:rPr>
        <w:t xml:space="preserve"> who is your Lord</w:t>
      </w:r>
    </w:p>
    <w:p>
      <w:pPr>
        <w:pStyle w:val="ListBullet"/>
        <w:spacing w:line="240" w:lineRule="auto"/>
        <w:ind w:left="720"/>
      </w:pPr>
      <w:r>
        <w:rPr>
          <w:lang w:val="en_US" w:bidi="en_US"/>
        </w:rPr>
      </w:r>
      <w:r>
        <w:rPr>
          <w:lang w:val="en_US" w:bidi="en_US"/>
        </w:rPr>
        <w:t>Use a borrowed word from the national or trade language Bible.</w:t>
      </w:r>
    </w:p>
    <w:p>
      <w:pPr/>
      <w:r>
        <w:rPr>
          <w:lang w:val="en_US" w:bidi="en_US"/>
        </w:rPr>
      </w:r>
      <w:r>
        <w:rPr>
          <w:lang w:val="en_US" w:bidi="en_US"/>
        </w:rPr>
        <w:t>Choose a term that is acceptable to the believers and churches in your area. For more detailed information, see God in the Glossary.</w:t>
      </w:r>
    </w:p>
    <w:p>
      <w:pPr>
        <w:pStyle w:val="Heading5"/>
      </w:pPr>
      <w:r>
        <w:rPr>
          <w:lang w:val="en_US" w:bidi="en_US"/>
        </w:rPr>
        <w:t>10:27b</w:t>
      </w:r>
    </w:p>
    <w:p>
      <w:pPr/>
      <w:r>
        <w:rPr>
          <w:lang w:val="en_US" w:bidi="en_US"/>
        </w:rPr>
      </w:r>
      <w:r>
        <w:rPr>
          <w:b/>
          <w:lang w:val="en_US" w:bidi="en_US"/>
        </w:rPr>
        <w:t>with all your heart and with all your soul and with all your strength and with all your mind’</w:t>
      </w:r>
    </w:p>
    <w:p>
      <w:pPr>
        <w:pStyle w:val="ListBullet"/>
        <w:spacing w:line="240" w:lineRule="auto"/>
        <w:ind w:left="720"/>
      </w:pPr>
      <w:r>
        <w:rPr>
          <w:lang w:val="en_US" w:bidi="en_US"/>
        </w:rPr>
      </w:r>
      <w:r>
        <w:rPr>
          <w:lang w:val="en_US" w:bidi="en_US"/>
        </w:rPr>
        <w:t>love him</w:t>
      </w:r>
      <w:r>
        <w:rPr>
          <w:lang w:val="en_US" w:bidi="en_US"/>
        </w:rPr>
        <w:t xml:space="preserve"> with your</w:t>
      </w:r>
      <w:r>
        <w:rPr>
          <w:vertAlign w:val="superscript"/>
          <w:lang w:val="en_US" w:bidi="en_US"/>
        </w:rPr>
        <w:t>(sing)</w:t>
      </w:r>
      <w:r>
        <w:rPr>
          <w:lang w:val="en_US" w:bidi="en_US"/>
        </w:rPr>
        <w:t xml:space="preserve"> whole heart, your</w:t>
      </w:r>
      <w:r>
        <w:rPr>
          <w:vertAlign w:val="superscript"/>
          <w:lang w:val="en_US" w:bidi="en_US"/>
        </w:rPr>
        <w:t>(sing)</w:t>
      </w:r>
      <w:r>
        <w:rPr>
          <w:lang w:val="en_US" w:bidi="en_US"/>
        </w:rPr>
        <w:t xml:space="preserve"> whole personality, your</w:t>
      </w:r>
      <w:r>
        <w:rPr>
          <w:vertAlign w:val="superscript"/>
          <w:lang w:val="en_US" w:bidi="en_US"/>
        </w:rPr>
        <w:t>(sing)</w:t>
      </w:r>
      <w:r>
        <w:rPr>
          <w:lang w:val="en_US" w:bidi="en_US"/>
        </w:rPr>
        <w:t xml:space="preserve"> whole strength, and your</w:t>
      </w:r>
      <w:r>
        <w:rPr>
          <w:vertAlign w:val="superscript"/>
          <w:lang w:val="en_US" w:bidi="en_US"/>
        </w:rPr>
        <w:t>(sing)</w:t>
      </w:r>
      <w:r>
        <w:rPr>
          <w:lang w:val="en_US" w:bidi="en_US"/>
        </w:rPr>
        <w:t xml:space="preserve"> whole intellect/understanding,’</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use all your determination/will and all your</w:t>
      </w:r>
      <w:r>
        <w:rPr>
          <w:vertAlign w:val="superscript"/>
          <w:lang w:val="en_US" w:bidi="en_US"/>
        </w:rPr>
        <w:t>(plur)</w:t>
      </w:r>
      <w:r>
        <w:rPr>
          <w:lang w:val="en_US" w:bidi="en_US"/>
        </w:rPr>
        <w:t xml:space="preserve"> emotions, all your</w:t>
      </w:r>
      <w:r>
        <w:rPr>
          <w:vertAlign w:val="superscript"/>
          <w:lang w:val="en_US" w:bidi="en_US"/>
        </w:rPr>
        <w:t>(plur)</w:t>
      </w:r>
      <w:r>
        <w:rPr>
          <w:lang w:val="en_US" w:bidi="en_US"/>
        </w:rPr>
        <w:t xml:space="preserve"> strength/body, and all your</w:t>
      </w:r>
      <w:r>
        <w:rPr>
          <w:vertAlign w:val="superscript"/>
          <w:lang w:val="en_US" w:bidi="en_US"/>
        </w:rPr>
        <w:t>(plur)</w:t>
      </w:r>
      <w:r>
        <w:rPr>
          <w:lang w:val="en_US" w:bidi="en_US"/>
        </w:rPr>
        <w:t xml:space="preserve"> mind </w:t>
      </w:r>
      <w:r>
        <w:rPr>
          <w:lang w:val="en_US" w:bidi="en_US"/>
        </w:rPr>
        <w:t>to love him</w:t>
      </w:r>
      <w:r>
        <w:rPr>
          <w:lang w:val="en_US" w:bidi="en_US"/>
        </w:rPr>
        <w:t>.’</w:t>
      </w:r>
    </w:p>
    <w:p>
      <w:pPr>
        <w:pStyle w:val="ListBullet"/>
        <w:spacing w:line="240" w:lineRule="auto"/>
        <w:ind w:left="720"/>
      </w:pPr>
      <w:r>
        <w:rPr>
          <w:lang w:val="en_US" w:bidi="en_US"/>
        </w:rPr>
      </w:r>
      <w:r>
        <w:rPr>
          <w:lang w:val="en_US" w:bidi="en_US"/>
        </w:rPr>
        <w:t>in everything that he feels, believes, does, and thinks,</w:t>
      </w:r>
    </w:p>
    <w:p>
      <w:pPr/>
      <w:r>
        <w:rPr>
          <w:lang w:val="en_US" w:bidi="en_US"/>
        </w:rPr>
      </w:r>
      <w:r>
        <w:rPr>
          <w:b/>
          <w:lang w:val="en_US" w:bidi="en_US"/>
        </w:rPr>
        <w:t>with all your heart and with all your soul and with all your strength and with all your mind’:</w:t>
      </w:r>
      <w:r>
        <w:rPr>
          <w:lang w:val="en_US" w:bidi="en_US"/>
        </w:rPr>
        <w:t xml:space="preserve"> The Greek terms that the BSB translates as </w:t>
      </w:r>
      <w:r>
        <w:rPr>
          <w:i/>
          <w:lang w:val="en_US" w:bidi="en_US"/>
        </w:rPr>
        <w:t>heart</w:t>
      </w:r>
      <w:r>
        <w:rPr>
          <w:lang w:val="en_US" w:bidi="en_US"/>
        </w:rPr>
        <w:t xml:space="preserve">, </w:t>
      </w:r>
      <w:r>
        <w:rPr>
          <w:i/>
          <w:lang w:val="en_US" w:bidi="en_US"/>
        </w:rPr>
        <w:t>soul</w:t>
      </w:r>
      <w:r>
        <w:rPr>
          <w:lang w:val="en_US" w:bidi="en_US"/>
        </w:rPr>
        <w:t xml:space="preserve">, </w:t>
      </w:r>
      <w:r>
        <w:rPr>
          <w:i/>
          <w:lang w:val="en_US" w:bidi="en_US"/>
        </w:rPr>
        <w:t>strength</w:t>
      </w:r>
      <w:r>
        <w:rPr>
          <w:lang w:val="en_US" w:bidi="en_US"/>
        </w:rPr>
        <w:t xml:space="preserve">, and </w:t>
      </w:r>
      <w:r>
        <w:rPr>
          <w:i/>
          <w:lang w:val="en_US" w:bidi="en_US"/>
        </w:rPr>
        <w:t>mind</w:t>
      </w:r>
      <w:r>
        <w:rPr>
          <w:lang w:val="en_US" w:bidi="en_US"/>
        </w:rPr>
        <w:t xml:space="preserve"> have many similarities. For example, the words translated as </w:t>
      </w:r>
      <w:r>
        <w:rPr>
          <w:i/>
          <w:lang w:val="en_US" w:bidi="en_US"/>
        </w:rPr>
        <w:t>heart</w:t>
      </w:r>
      <w:r>
        <w:rPr>
          <w:lang w:val="en_US" w:bidi="en_US"/>
        </w:rPr>
        <w:t xml:space="preserve"> and </w:t>
      </w:r>
      <w:r>
        <w:rPr>
          <w:i/>
          <w:lang w:val="en_US" w:bidi="en_US"/>
        </w:rPr>
        <w:t>soul</w:t>
      </w:r>
      <w:r>
        <w:rPr>
          <w:lang w:val="en_US" w:bidi="en_US"/>
        </w:rPr>
        <w:t xml:space="preserve"> both refer to a person’s inner being. The words translated as </w:t>
      </w:r>
      <w:r>
        <w:rPr>
          <w:i/>
          <w:lang w:val="en_US" w:bidi="en_US"/>
        </w:rPr>
        <w:t>heart</w:t>
      </w:r>
      <w:r>
        <w:rPr>
          <w:lang w:val="en_US" w:bidi="en_US"/>
        </w:rPr>
        <w:t xml:space="preserve"> and </w:t>
      </w:r>
      <w:r>
        <w:rPr>
          <w:i/>
          <w:lang w:val="en_US" w:bidi="en_US"/>
        </w:rPr>
        <w:t>mind</w:t>
      </w:r>
      <w:r>
        <w:rPr>
          <w:lang w:val="en_US" w:bidi="en_US"/>
        </w:rPr>
        <w:t xml:space="preserve"> are also similar. Both are the source of a person’s thoughts and decisions.</w:t>
      </w:r>
      <w:r>
        <w:rPr>
          <w:lang w:val="en_US" w:bidi="en_US"/>
        </w:rPr>
        <w:t>The Hebrew word for “heart” denotes primarily the mental faculties (mind and will) but also includes the emotions. So the primary meaning of the Hebrew word (mind and will) is synonymous with the word “mind” used here. The Greek word for “heart” denotes the center of a person’s inner life. It includes his thinking, feeling, and decision-making.</w:t>
      </w:r>
    </w:p>
    <w:p>
      <w:pPr/>
      <w:r>
        <w:rPr>
          <w:lang w:val="en_US" w:bidi="en_US"/>
        </w:rPr>
      </w:r>
      <w:r>
        <w:rPr>
          <w:lang w:val="en_US" w:bidi="en_US"/>
        </w:rPr>
        <w:t>It is important to understand that these four terms are not intended to describe distinct parts of a human being. They function together to describe all of a person’s personality and abilities. In some languages, there may be more or fewer than four terms to describe this. Use natural terms in your language.</w:t>
      </w:r>
    </w:p>
    <w:p>
      <w:pPr/>
      <w:r>
        <w:rPr>
          <w:lang w:val="en_US" w:bidi="en_US"/>
        </w:rPr>
      </w:r>
      <w:r>
        <w:rPr>
          <w:b/>
          <w:lang w:val="en_US" w:bidi="en_US"/>
        </w:rPr>
        <w:t>your:</w:t>
      </w:r>
      <w:r>
        <w:rPr>
          <w:lang w:val="en_US" w:bidi="en_US"/>
        </w:rPr>
        <w:t xml:space="preserve"> See the note on “Love the Lord your God” in 10:27a.</w:t>
      </w:r>
    </w:p>
    <w:p>
      <w:pPr/>
      <w:r>
        <w:rPr>
          <w:lang w:val="en_US" w:bidi="en_US"/>
        </w:rPr>
      </w:r>
      <w:r>
        <w:rPr>
          <w:b/>
          <w:lang w:val="en_US" w:bidi="en_US"/>
        </w:rPr>
        <w:t>heart:</w:t>
      </w:r>
      <w:r>
        <w:rPr>
          <w:lang w:val="en_US" w:bidi="en_US"/>
        </w:rPr>
        <w:t xml:space="preserve"> The Greek word that the BSB translates as </w:t>
      </w:r>
      <w:r>
        <w:rPr>
          <w:i/>
          <w:lang w:val="en_US" w:bidi="en_US"/>
        </w:rPr>
        <w:t>heart</w:t>
      </w:r>
      <w:r>
        <w:rPr>
          <w:lang w:val="en_US" w:bidi="en_US"/>
        </w:rPr>
        <w:t xml:space="preserve"> is used here in a figurative way. The Jews often spoke of the heart as the part of a person in which thoughts and feelings occur. It referred to the ability to think, feel, and make decisions.</w:t>
      </w:r>
    </w:p>
    <w:p>
      <w:pPr/>
      <w:r>
        <w:rPr>
          <w:lang w:val="en_US" w:bidi="en_US"/>
        </w:rPr>
      </w:r>
      <w:r>
        <w:rPr>
          <w:lang w:val="en_US" w:bidi="en_US"/>
        </w:rPr>
        <w:t>In some languages people use a different part of the body, such as the mind, throat, liver, or stomach, in this way. In other languages it may be more natural to use a different term that is not figurative. For example:</w:t>
      </w:r>
    </w:p>
    <w:p>
      <w:pPr/>
      <w:r>
        <w:rPr>
          <w:lang w:val="en_US" w:bidi="en_US"/>
        </w:rPr>
      </w:r>
      <w:r>
        <w:rPr>
          <w:lang w:val="en_US" w:bidi="en_US"/>
        </w:rPr>
        <w:t>thoughts/feelings</w:t>
      </w:r>
    </w:p>
    <w:p>
      <w:pPr/>
      <w:r>
        <w:rPr>
          <w:lang w:val="en_US" w:bidi="en_US"/>
        </w:rPr>
      </w:r>
      <w:r>
        <w:rPr>
          <w:lang w:val="en_US" w:bidi="en_US"/>
        </w:rPr>
        <w:t>You should use the expression that is natural in your language.</w:t>
      </w:r>
    </w:p>
    <w:p>
      <w:pPr/>
      <w:r>
        <w:rPr>
          <w:lang w:val="en_US" w:bidi="en_US"/>
        </w:rPr>
      </w:r>
      <w:r>
        <w:rPr>
          <w:lang w:val="en_US" w:bidi="en_US"/>
        </w:rPr>
        <w:t xml:space="preserve">Remember that the word </w:t>
      </w:r>
      <w:r>
        <w:rPr>
          <w:i/>
          <w:lang w:val="en_US" w:bidi="en_US"/>
        </w:rPr>
        <w:t>heart</w:t>
      </w:r>
      <w:r>
        <w:rPr>
          <w:lang w:val="en_US" w:bidi="en_US"/>
        </w:rPr>
        <w:t xml:space="preserve"> is not used in a literal sense here to refer to the physical organ that pumps blood through the body.</w:t>
      </w:r>
    </w:p>
    <w:p>
      <w:pPr/>
      <w:r>
        <w:rPr>
          <w:lang w:val="en_US" w:bidi="en_US"/>
        </w:rPr>
      </w:r>
      <w:r>
        <w:rPr>
          <w:lang w:val="en_US" w:bidi="en_US"/>
        </w:rPr>
        <w:t>This word first occurred in Luke in 2:19.</w:t>
      </w:r>
    </w:p>
    <w:p>
      <w:pPr/>
      <w:r>
        <w:rPr>
          <w:lang w:val="en_US" w:bidi="en_US"/>
        </w:rPr>
      </w:r>
      <w:r>
        <w:rPr>
          <w:b/>
          <w:lang w:val="en_US" w:bidi="en_US"/>
        </w:rPr>
        <w:t>soul:</w:t>
      </w:r>
      <w:r>
        <w:rPr>
          <w:lang w:val="en_US" w:bidi="en_US"/>
        </w:rPr>
        <w:t xml:space="preserve"> The Greek word that the BSB translates as </w:t>
      </w:r>
      <w:r>
        <w:rPr>
          <w:i/>
          <w:lang w:val="en_US" w:bidi="en_US"/>
        </w:rPr>
        <w:t>soul</w:t>
      </w:r>
      <w:r>
        <w:rPr>
          <w:lang w:val="en_US" w:bidi="en_US"/>
        </w:rPr>
        <w:t xml:space="preserve"> refers to a person’s inner self or life. It includes his personality, his thinking, and his feeling.</w:t>
      </w:r>
    </w:p>
    <w:p>
      <w:pPr/>
      <w:r>
        <w:rPr>
          <w:lang w:val="en_US" w:bidi="en_US"/>
        </w:rPr>
      </w:r>
      <w:r>
        <w:rPr>
          <w:b/>
          <w:lang w:val="en_US" w:bidi="en_US"/>
        </w:rPr>
        <w:t>strength:</w:t>
      </w:r>
      <w:r>
        <w:rPr>
          <w:lang w:val="en_US" w:bidi="en_US"/>
        </w:rPr>
        <w:t xml:space="preserve"> The Greek word that the BSB translates as </w:t>
      </w:r>
      <w:r>
        <w:rPr>
          <w:i/>
          <w:lang w:val="en_US" w:bidi="en_US"/>
        </w:rPr>
        <w:t>strength</w:t>
      </w:r>
      <w:r>
        <w:rPr>
          <w:lang w:val="en_US" w:bidi="en_US"/>
        </w:rPr>
        <w:t xml:space="preserve"> refers to a person’s ability to do something. It may also include his physical strength or power.</w:t>
      </w:r>
    </w:p>
    <w:p>
      <w:pPr/>
      <w:r>
        <w:rPr>
          <w:lang w:val="en_US" w:bidi="en_US"/>
        </w:rPr>
      </w:r>
      <w:r>
        <w:rPr>
          <w:b/>
          <w:lang w:val="en_US" w:bidi="en_US"/>
        </w:rPr>
        <w:t>mind’:</w:t>
      </w:r>
      <w:r>
        <w:rPr>
          <w:lang w:val="en_US" w:bidi="en_US"/>
        </w:rPr>
        <w:t xml:space="preserve"> The Greek word that the BSB translates as </w:t>
      </w:r>
      <w:r>
        <w:rPr>
          <w:i/>
          <w:lang w:val="en_US" w:bidi="en_US"/>
        </w:rPr>
        <w:t>mind</w:t>
      </w:r>
      <w:r>
        <w:rPr>
          <w:lang w:val="en_US" w:bidi="en_US"/>
        </w:rPr>
        <w:t xml:space="preserve"> refers to the intellect or understanding, his ability to think and reason.</w:t>
      </w:r>
    </w:p>
    <w:p>
      <w:pPr>
        <w:pStyle w:val="Heading5"/>
      </w:pPr>
      <w:r>
        <w:rPr>
          <w:lang w:val="en_US" w:bidi="en_US"/>
        </w:rPr>
        <w:t>10:27c</w:t>
      </w:r>
    </w:p>
    <w:p>
      <w:pPr/>
      <w:r>
        <w:rPr>
          <w:lang w:val="en_US" w:bidi="en_US"/>
        </w:rPr>
      </w:r>
      <w:r>
        <w:rPr>
          <w:b/>
          <w:lang w:val="en_US" w:bidi="en_US"/>
        </w:rPr>
        <w:t>and ‘Love your neighbor as yourself.’”</w:t>
      </w:r>
    </w:p>
    <w:p>
      <w:pPr>
        <w:pStyle w:val="ListBullet"/>
        <w:spacing w:line="240" w:lineRule="auto"/>
        <w:ind w:left="720"/>
      </w:pPr>
      <w:r>
        <w:rPr>
          <w:lang w:val="en_US" w:bidi="en_US"/>
        </w:rPr>
      </w:r>
      <w:r>
        <w:rPr>
          <w:lang w:val="en_US" w:bidi="en_US"/>
        </w:rPr>
        <w:t xml:space="preserve">and </w:t>
      </w:r>
      <w:r>
        <w:rPr>
          <w:lang w:val="en_US" w:bidi="en_US"/>
        </w:rPr>
        <w:t>it is also written</w:t>
      </w:r>
      <w:r>
        <w:rPr>
          <w:lang w:val="en_US" w:bidi="en_US"/>
        </w:rPr>
        <w:t>, ‘You</w:t>
      </w:r>
      <w:r>
        <w:rPr>
          <w:vertAlign w:val="superscript"/>
          <w:lang w:val="en_US" w:bidi="en_US"/>
        </w:rPr>
        <w:t>(sing)</w:t>
      </w:r>
      <w:r>
        <w:rPr>
          <w:lang w:val="en_US" w:bidi="en_US"/>
        </w:rPr>
        <w:t xml:space="preserve"> must love your neighbor as </w:t>
      </w:r>
      <w:r>
        <w:rPr>
          <w:lang w:val="en_US" w:bidi="en_US"/>
        </w:rPr>
        <w:t>you love</w:t>
      </w:r>
      <w:r>
        <w:rPr>
          <w:lang w:val="en_US" w:bidi="en_US"/>
        </w:rPr>
        <w:t xml:space="preserve"> yourself.'"</w:t>
      </w:r>
    </w:p>
    <w:p>
      <w:pPr>
        <w:pStyle w:val="ListBullet"/>
        <w:spacing w:line="240" w:lineRule="auto"/>
        <w:ind w:left="720"/>
      </w:pPr>
      <w:r>
        <w:rPr>
          <w:lang w:val="en_US" w:bidi="en_US"/>
        </w:rPr>
      </w:r>
      <w:r>
        <w:rPr>
          <w:lang w:val="en_US" w:bidi="en_US"/>
        </w:rPr>
        <w:t>Moses also wrote,</w:t>
      </w:r>
      <w:r>
        <w:rPr>
          <w:lang w:val="en_US" w:bidi="en_US"/>
        </w:rPr>
        <w:t xml:space="preserve"> ‘Love your</w:t>
      </w:r>
      <w:r>
        <w:rPr>
          <w:vertAlign w:val="superscript"/>
          <w:lang w:val="en_US" w:bidi="en_US"/>
        </w:rPr>
        <w:t>(plur)</w:t>
      </w:r>
      <w:r>
        <w:rPr>
          <w:lang w:val="en_US" w:bidi="en_US"/>
        </w:rPr>
        <w:t xml:space="preserve"> fellow/companion </w:t>
      </w:r>
      <w:r>
        <w:rPr>
          <w:lang w:val="en_US" w:bidi="en_US"/>
        </w:rPr>
        <w:t>as much</w:t>
      </w:r>
      <w:r>
        <w:rPr>
          <w:lang w:val="en_US" w:bidi="en_US"/>
        </w:rPr>
        <w:t xml:space="preserve"> as </w:t>
      </w:r>
      <w:r>
        <w:rPr>
          <w:lang w:val="en_US" w:bidi="en_US"/>
        </w:rPr>
        <w:t>you love</w:t>
      </w:r>
      <w:r>
        <w:rPr>
          <w:lang w:val="en_US" w:bidi="en_US"/>
        </w:rPr>
        <w:t xml:space="preserve"> yourselves.'"</w:t>
      </w:r>
    </w:p>
    <w:p>
      <w:pPr>
        <w:pStyle w:val="ListBullet"/>
        <w:spacing w:line="240" w:lineRule="auto"/>
        <w:ind w:left="720"/>
      </w:pPr>
      <w:r>
        <w:rPr>
          <w:lang w:val="en_US" w:bidi="en_US"/>
        </w:rPr>
      </w:r>
      <w:r>
        <w:rPr>
          <w:lang w:val="en_US" w:bidi="en_US"/>
        </w:rPr>
        <w:t xml:space="preserve">and </w:t>
      </w:r>
      <w:r>
        <w:rPr>
          <w:lang w:val="en_US" w:bidi="en_US"/>
        </w:rPr>
        <w:t>that</w:t>
      </w:r>
      <w:r>
        <w:rPr>
          <w:lang w:val="en_US" w:bidi="en_US"/>
        </w:rPr>
        <w:t xml:space="preserve"> he must love his fellows/companions in the same way that/as </w:t>
      </w:r>
      <w:r>
        <w:rPr>
          <w:lang w:val="en_US" w:bidi="en_US"/>
        </w:rPr>
        <w:t>he loves</w:t>
      </w:r>
      <w:r>
        <w:rPr>
          <w:lang w:val="en_US" w:bidi="en_US"/>
        </w:rPr>
        <w:t xml:space="preserve"> himself.”</w:t>
      </w:r>
    </w:p>
    <w:p>
      <w:pPr/>
      <w:r>
        <w:rPr>
          <w:lang w:val="en_US" w:bidi="en_US"/>
        </w:rPr>
      </w:r>
      <w:r>
        <w:rPr>
          <w:b/>
          <w:lang w:val="en_US" w:bidi="en_US"/>
        </w:rPr>
        <w:t>Love your neighbor as yourself:</w:t>
      </w:r>
      <w:r>
        <w:rPr>
          <w:lang w:val="en_US" w:bidi="en_US"/>
        </w:rPr>
        <w:t xml:space="preserve"> This part of the verse is a quote from Leviticus 19:18. The Greek text does not repeat the verb </w:t>
      </w:r>
      <w:r>
        <w:rPr>
          <w:i/>
          <w:lang w:val="en_US" w:bidi="en_US"/>
        </w:rPr>
        <w:t>Love</w:t>
      </w:r>
      <w:r>
        <w:rPr>
          <w:lang w:val="en_US" w:bidi="en_US"/>
        </w:rPr>
        <w:t xml:space="preserve"> here, because it already occurred in the first part of this verse. However, in many languages it is clearer to repeat it, as many English versions do.</w:t>
      </w:r>
    </w:p>
    <w:p>
      <w:pPr/>
      <w:r>
        <w:rPr>
          <w:lang w:val="en_US" w:bidi="en_US"/>
        </w:rPr>
      </w:r>
      <w:r>
        <w:rPr>
          <w:lang w:val="en_US" w:bidi="en_US"/>
        </w:rPr>
        <w:t>In some languages, a phrase such as “It is also written” may be necessary before this part of the verse.</w:t>
      </w:r>
    </w:p>
    <w:p>
      <w:pPr/>
      <w:r>
        <w:rPr>
          <w:lang w:val="en_US" w:bidi="en_US"/>
        </w:rPr>
      </w:r>
      <w:r>
        <w:rPr>
          <w:b/>
          <w:lang w:val="en_US" w:bidi="en_US"/>
        </w:rPr>
        <w:t>Love:</w:t>
      </w:r>
      <w:r>
        <w:rPr>
          <w:lang w:val="en_US" w:bidi="en_US"/>
        </w:rPr>
        <w:t xml:space="preserve"> The verb </w:t>
      </w:r>
      <w:r>
        <w:rPr>
          <w:i/>
          <w:lang w:val="en_US" w:bidi="en_US"/>
        </w:rPr>
        <w:t>Love</w:t>
      </w:r>
      <w:r>
        <w:rPr>
          <w:lang w:val="en_US" w:bidi="en_US"/>
        </w:rPr>
        <w:t xml:space="preserve"> is supplied from 10:27a. In this context it refers to the concern and affection that people should have toward other people. They should treat them kindly and try to help them.</w:t>
      </w:r>
    </w:p>
    <w:p>
      <w:pPr/>
      <w:r>
        <w:rPr>
          <w:lang w:val="en_US" w:bidi="en_US"/>
        </w:rPr>
      </w:r>
      <w:r>
        <w:rPr>
          <w:lang w:val="en_US" w:bidi="en_US"/>
        </w:rPr>
        <w:t>Consider the most appropriate term to describe this type of love. Some languages may have an idiom for it. It is possible that you may need to use different expressions to refer to love for people and love for God.</w:t>
      </w:r>
    </w:p>
    <w:p>
      <w:pPr/>
      <w:r>
        <w:rPr>
          <w:lang w:val="en_US" w:bidi="en_US"/>
        </w:rPr>
      </w:r>
      <w:r>
        <w:rPr>
          <w:b/>
          <w:lang w:val="en_US" w:bidi="en_US"/>
        </w:rPr>
        <w:t>your neighbor:</w:t>
      </w:r>
      <w:r>
        <w:rPr>
          <w:lang w:val="en_US" w:bidi="en_US"/>
        </w:rPr>
        <w:t xml:space="preserve"> The word </w:t>
      </w:r>
      <w:r>
        <w:rPr>
          <w:i/>
          <w:lang w:val="en_US" w:bidi="en_US"/>
        </w:rPr>
        <w:t>neighbor</w:t>
      </w:r>
      <w:r>
        <w:rPr>
          <w:lang w:val="en_US" w:bidi="en_US"/>
        </w:rPr>
        <w:t xml:space="preserve"> means “someone who lives nearby.” It was also used to refer to people who were of the same social group or who spoke the same language. To the Jews the phrase “Love your neighbor” meant to love your fellow Jew.</w:t>
      </w:r>
    </w:p>
    <w:p>
      <w:pPr/>
      <w:r>
        <w:rPr>
          <w:lang w:val="en_US" w:bidi="en_US"/>
        </w:rPr>
      </w:r>
      <w:r>
        <w:rPr>
          <w:lang w:val="en_US" w:bidi="en_US"/>
        </w:rPr>
        <w:t xml:space="preserve">In the verses that follow, Jesus indicated that a </w:t>
      </w:r>
      <w:r>
        <w:rPr>
          <w:i/>
          <w:lang w:val="en_US" w:bidi="en_US"/>
        </w:rPr>
        <w:t>neighbor</w:t>
      </w:r>
      <w:r>
        <w:rPr>
          <w:lang w:val="en_US" w:bidi="en_US"/>
        </w:rPr>
        <w:t xml:space="preserve"> could be any fellow human being. In your translation, try to use a word or phrase that can be understood in either a limited way or in a more general way. Do not say “fellow Jew,” for then the law expert’s question “Who is my neighbor?” would not make sense. Some ways to translate the phrase </w:t>
      </w:r>
      <w:r>
        <w:rPr>
          <w:i/>
          <w:lang w:val="en_US" w:bidi="en_US"/>
        </w:rPr>
        <w:t>your neighbor</w:t>
      </w:r>
      <w:r>
        <w:rPr>
          <w:lang w:val="en_US" w:bidi="en_US"/>
        </w:rPr>
        <w:t xml:space="preserve"> are:</w:t>
      </w:r>
    </w:p>
    <w:p>
      <w:pPr/>
      <w:r>
        <w:rPr>
          <w:lang w:val="en_US" w:bidi="en_US"/>
        </w:rPr>
      </w:r>
      <w:r>
        <w:rPr>
          <w:lang w:val="en_US" w:bidi="en_US"/>
        </w:rPr>
        <w:t>your companion</w:t>
      </w:r>
    </w:p>
    <w:p>
      <w:pPr/>
      <w:r>
        <w:rPr>
          <w:lang w:val="en_US" w:bidi="en_US"/>
        </w:rPr>
      </w:r>
      <w:r>
        <w:rPr>
          <w:lang w:val="en_US" w:bidi="en_US"/>
        </w:rPr>
        <w:t>people who are near you</w:t>
      </w:r>
    </w:p>
    <w:p>
      <w:pPr/>
      <w:r>
        <w:rPr>
          <w:lang w:val="en_US" w:bidi="en_US"/>
        </w:rPr>
      </w:r>
      <w:r>
        <w:rPr>
          <w:lang w:val="en_US" w:bidi="en_US"/>
        </w:rPr>
        <w:t xml:space="preserve">In this verse the word </w:t>
      </w:r>
      <w:r>
        <w:rPr>
          <w:i/>
          <w:lang w:val="en_US" w:bidi="en_US"/>
        </w:rPr>
        <w:t>neighbor</w:t>
      </w:r>
      <w:r>
        <w:rPr>
          <w:lang w:val="en_US" w:bidi="en_US"/>
        </w:rPr>
        <w:t xml:space="preserve"> is singular, but it refers to any and all neighbors. In some languages it may be more natural to use a plural form to express this.</w:t>
      </w:r>
    </w:p>
    <w:p>
      <w:pPr/>
      <w:r>
        <w:rPr>
          <w:lang w:val="en_US" w:bidi="en_US"/>
        </w:rPr>
      </w:r>
      <w:r>
        <w:rPr>
          <w:b/>
          <w:lang w:val="en_US" w:bidi="en_US"/>
        </w:rPr>
        <w:t>as yourself:</w:t>
      </w:r>
      <w:r>
        <w:rPr>
          <w:lang w:val="en_US" w:bidi="en_US"/>
        </w:rPr>
        <w:t xml:space="preserve"> The Greek phrase that the BSB translates as </w:t>
      </w:r>
      <w:r>
        <w:rPr>
          <w:i/>
          <w:lang w:val="en_US" w:bidi="en_US"/>
        </w:rPr>
        <w:t>as yourself</w:t>
      </w:r>
      <w:r>
        <w:rPr>
          <w:lang w:val="en_US" w:bidi="en_US"/>
        </w:rPr>
        <w:t xml:space="preserve"> means “in the same way that you love yourself.”</w:t>
      </w:r>
      <w:r>
        <w:rPr>
          <w:lang w:val="en_US" w:bidi="en_US"/>
        </w:rPr>
      </w:r>
      <w:r>
        <w:rPr>
          <w:lang w:val="en_US" w:bidi="en_US"/>
        </w:rPr>
      </w:r>
    </w:p>
    <w:p>
      <w:pPr/>
      <w:r>
        <w:rPr>
          <w:lang w:val="en_US" w:bidi="en_US"/>
        </w:rPr>
      </w:r>
    </w:p>
    <w:p>
      <w:pPr>
        <w:pStyle w:val="Heading2"/>
      </w:pPr>
      <w:r>
        <w:rPr>
          <w:lang w:val="en_US" w:bidi="en_US"/>
        </w:rPr>
        <w:t>Luke 10:28</w:t>
      </w:r>
      <w:r>
        <w:rPr>
          <w:lang w:val="en_US" w:bidi="en_US"/>
        </w:rPr>
      </w:r>
    </w:p>
    <w:p>
      <w:pPr>
        <w:pStyle w:val="Heading4"/>
      </w:pPr>
      <w:r>
        <w:rPr>
          <w:lang w:val="en_US" w:bidi="en_US"/>
        </w:rPr>
        <w:t>Section 10:25–37: Jesus told a story to show us who our neighbors are</w:t>
      </w:r>
    </w:p>
    <w:p>
      <w:pPr/>
      <w:r>
        <w:rPr>
          <w:lang w:val="en_US" w:bidi="en_US"/>
        </w:rPr>
      </w:r>
      <w:r>
        <w:rPr>
          <w:lang w:val="en_US" w:bidi="en_US"/>
        </w:rP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pPr/>
      <w:r>
        <w:rPr>
          <w:lang w:val="en_US" w:bidi="en_US"/>
        </w:rPr>
      </w:r>
      <w:r>
        <w:rPr>
          <w:lang w:val="en_US" w:bidi="en_US"/>
        </w:rP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pPr/>
      <w:r>
        <w:rPr>
          <w:lang w:val="en_US" w:bidi="en_US"/>
        </w:rPr>
      </w:r>
      <w:r>
        <w:rPr>
          <w:lang w:val="en_US" w:bidi="en_US"/>
        </w:rP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pPr/>
      <w:r>
        <w:rPr>
          <w:lang w:val="en_US" w:bidi="en_US"/>
        </w:rPr>
      </w:r>
      <w:r>
        <w:rPr>
          <w:lang w:val="en_US" w:bidi="en_US"/>
        </w:rPr>
        <w:t>Some other possible section headings are:</w:t>
      </w:r>
    </w:p>
    <w:p>
      <w:pPr/>
      <w:r>
        <w:rPr>
          <w:lang w:val="en_US" w:bidi="en_US"/>
        </w:rPr>
      </w:r>
      <w:r>
        <w:rPr>
          <w:lang w:val="en_US" w:bidi="en_US"/>
        </w:rPr>
        <w:t>The parable about the good foreigner</w:t>
      </w:r>
    </w:p>
    <w:p>
      <w:pPr/>
      <w:r>
        <w:rPr>
          <w:lang w:val="en_US" w:bidi="en_US"/>
        </w:rPr>
      </w:r>
      <w:r>
        <w:rPr>
          <w:lang w:val="en_US" w:bidi="en_US"/>
        </w:rPr>
        <w:t>Who is my neighbor?</w:t>
      </w:r>
    </w:p>
    <w:p>
      <w:pPr/>
      <w:r>
        <w:rPr>
          <w:lang w:val="en_US" w:bidi="en_US"/>
        </w:rPr>
      </w:r>
      <w:r>
        <w:rPr>
          <w:lang w:val="en_US" w:bidi="en_US"/>
        </w:rPr>
        <w:t>The Good Samaritan</w:t>
      </w:r>
    </w:p>
    <w:p>
      <w:pPr/>
      <w:r>
        <w:rPr>
          <w:lang w:val="en_US" w:bidi="en_US"/>
        </w:rPr>
      </w:r>
      <w:r>
        <w:rPr>
          <w:lang w:val="en_US" w:bidi="en_US"/>
        </w:rPr>
        <w:t>Luke is the only gospel writer who includes this parable.</w:t>
      </w:r>
    </w:p>
    <w:p>
      <w:pPr>
        <w:pStyle w:val="Heading5"/>
      </w:pPr>
      <w:r>
        <w:rPr>
          <w:lang w:val="en_US" w:bidi="en_US"/>
        </w:rPr>
        <w:t>10:28a</w:t>
      </w:r>
    </w:p>
    <w:p>
      <w:pPr/>
      <w:r>
        <w:rPr>
          <w:lang w:val="en_US" w:bidi="en_US"/>
        </w:rPr>
      </w:r>
      <w:r>
        <w:rPr>
          <w:b/>
          <w:lang w:val="en_US" w:bidi="en_US"/>
        </w:rPr>
        <w:t>“You have answered correctly,” Jesus said.</w:t>
      </w:r>
    </w:p>
    <w:p>
      <w:pPr>
        <w:pStyle w:val="ListBullet"/>
        <w:spacing w:line="240" w:lineRule="auto"/>
        <w:ind w:left="720"/>
      </w:pPr>
      <w:r>
        <w:rPr>
          <w:lang w:val="en_US" w:bidi="en_US"/>
        </w:rPr>
      </w:r>
      <w:r>
        <w:rPr>
          <w:lang w:val="en_US" w:bidi="en_US"/>
        </w:rPr>
        <w:t>Jesus said to him, “You</w:t>
      </w:r>
      <w:r>
        <w:rPr>
          <w:vertAlign w:val="superscript"/>
          <w:lang w:val="en_US" w:bidi="en_US"/>
        </w:rPr>
        <w:t>(sing)</w:t>
      </w:r>
      <w:r>
        <w:rPr>
          <w:lang w:val="en_US" w:bidi="en_US"/>
        </w:rPr>
        <w:t xml:space="preserve"> have given the right answer.</w:t>
      </w:r>
    </w:p>
    <w:p>
      <w:pPr>
        <w:pStyle w:val="ListBullet"/>
        <w:spacing w:line="240" w:lineRule="auto"/>
        <w:ind w:left="720"/>
      </w:pPr>
      <w:r>
        <w:rPr>
          <w:lang w:val="en_US" w:bidi="en_US"/>
        </w:rPr>
      </w:r>
      <w:r>
        <w:rPr>
          <w:lang w:val="en_US" w:bidi="en_US"/>
        </w:rPr>
        <w:t>Jesus answered, “That is right/correct.</w:t>
      </w:r>
    </w:p>
    <w:p>
      <w:pPr/>
      <w:r>
        <w:rPr>
          <w:lang w:val="en_US" w:bidi="en_US"/>
        </w:rPr>
      </w:r>
      <w:r>
        <w:rPr>
          <w:b/>
          <w:lang w:val="en_US" w:bidi="en_US"/>
        </w:rPr>
        <w:t>You have answered correctly:</w:t>
      </w:r>
      <w:r>
        <w:rPr>
          <w:lang w:val="en_US" w:bidi="en_US"/>
        </w:rPr>
        <w:t xml:space="preserve"> Some other ways to translate this clause are:</w:t>
      </w:r>
    </w:p>
    <w:p>
      <w:pPr/>
      <w:r>
        <w:rPr>
          <w:lang w:val="en_US" w:bidi="en_US"/>
        </w:rPr>
      </w:r>
      <w:r>
        <w:rPr>
          <w:lang w:val="en_US" w:bidi="en_US"/>
        </w:rPr>
        <w:t>You are right (GNT)</w:t>
      </w:r>
    </w:p>
    <w:p>
      <w:pPr/>
      <w:r>
        <w:rPr>
          <w:lang w:val="en_US" w:bidi="en_US"/>
        </w:rPr>
      </w:r>
      <w:r>
        <w:rPr>
          <w:lang w:val="en_US" w:bidi="en_US"/>
        </w:rPr>
        <w:t>That is the right answer (REB)</w:t>
      </w:r>
    </w:p>
    <w:p>
      <w:pPr/>
      <w:r>
        <w:rPr>
          <w:lang w:val="en_US" w:bidi="en_US"/>
        </w:rPr>
      </w:r>
      <w:r>
        <w:rPr>
          <w:b/>
          <w:lang w:val="en_US" w:bidi="en_US"/>
        </w:rPr>
        <w:t>Jesus said:</w:t>
      </w:r>
      <w:r>
        <w:rPr>
          <w:lang w:val="en_US" w:bidi="en_US"/>
        </w:rPr>
        <w:t xml:space="preserve"> The Greek clause that the BSB translates as </w:t>
      </w:r>
      <w:r>
        <w:rPr>
          <w:i/>
          <w:lang w:val="en_US" w:bidi="en_US"/>
        </w:rPr>
        <w:t>Jesus said</w:t>
      </w:r>
      <w:r>
        <w:rPr>
          <w:lang w:val="en_US" w:bidi="en_US"/>
        </w:rPr>
        <w:t xml:space="preserve"> is literally “he said to him.” The BSB has made </w:t>
      </w:r>
      <w:r>
        <w:rPr>
          <w:i/>
          <w:lang w:val="en_US" w:bidi="en_US"/>
        </w:rPr>
        <w:t>Jesus</w:t>
      </w:r>
      <w:r>
        <w:rPr>
          <w:lang w:val="en_US" w:bidi="en_US"/>
        </w:rPr>
        <w:t xml:space="preserve"> explicit to make it clear who is speaking. In Greek, this clause occurs before “You have answered correctly.” You should use a natural order in your language.</w:t>
      </w:r>
    </w:p>
    <w:p>
      <w:pPr>
        <w:pStyle w:val="Heading5"/>
      </w:pPr>
      <w:r>
        <w:rPr>
          <w:lang w:val="en_US" w:bidi="en_US"/>
        </w:rPr>
        <w:t>10:28b</w:t>
      </w:r>
    </w:p>
    <w:p>
      <w:pPr/>
      <w:r>
        <w:rPr>
          <w:lang w:val="en_US" w:bidi="en_US"/>
        </w:rPr>
      </w:r>
      <w:r>
        <w:rPr>
          <w:b/>
          <w:lang w:val="en_US" w:bidi="en_US"/>
        </w:rPr>
        <w:t>“Do this and you will live.”</w:t>
      </w:r>
    </w:p>
    <w:p>
      <w:pPr>
        <w:pStyle w:val="ListBullet"/>
        <w:spacing w:line="240" w:lineRule="auto"/>
        <w:ind w:left="720"/>
      </w:pPr>
      <w:r>
        <w:rPr>
          <w:lang w:val="en_US" w:bidi="en_US"/>
        </w:rPr>
      </w:r>
      <w:r>
        <w:rPr>
          <w:lang w:val="en_US" w:bidi="en_US"/>
        </w:rPr>
        <w:t>Obey</w:t>
      </w:r>
      <w:r>
        <w:rPr>
          <w:vertAlign w:val="superscript"/>
          <w:lang w:val="en_US" w:bidi="en_US"/>
        </w:rPr>
        <w:t>(sing)</w:t>
      </w:r>
      <w:r>
        <w:rPr>
          <w:lang w:val="en_US" w:bidi="en_US"/>
        </w:rPr>
        <w:t xml:space="preserve"> these </w:t>
      </w:r>
      <w:r>
        <w:rPr>
          <w:lang w:val="en_US" w:bidi="en_US"/>
        </w:rPr>
        <w:t>commands</w:t>
      </w:r>
      <w:r>
        <w:rPr>
          <w:lang w:val="en_US" w:bidi="en_US"/>
        </w:rPr>
        <w:t xml:space="preserve"> and you will live </w:t>
      </w:r>
      <w:r>
        <w:rPr>
          <w:lang w:val="en_US" w:bidi="en_US"/>
        </w:rPr>
        <w:t>forever with God</w:t>
      </w:r>
      <w:r>
        <w:rPr>
          <w:lang w:val="en_US" w:bidi="en_US"/>
        </w:rPr>
        <w: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w:t>
      </w:r>
      <w:r>
        <w:rPr>
          <w:lang w:val="en_US" w:bidi="en_US"/>
        </w:rPr>
        <w:t>continue to</w:t>
      </w:r>
      <w:r>
        <w:rPr>
          <w:lang w:val="en_US" w:bidi="en_US"/>
        </w:rPr>
        <w:t xml:space="preserve"> do that, then you will have </w:t>
      </w:r>
      <w:r>
        <w:rPr>
          <w:lang w:val="en_US" w:bidi="en_US"/>
        </w:rPr>
        <w:t>eternal</w:t>
      </w:r>
      <w:r>
        <w:rPr>
          <w:lang w:val="en_US" w:bidi="en_US"/>
        </w:rPr>
        <w:t xml:space="preserve"> life.”</w:t>
      </w:r>
    </w:p>
    <w:p>
      <w:pPr/>
      <w:r>
        <w:rPr>
          <w:lang w:val="en_US" w:bidi="en_US"/>
        </w:rPr>
      </w:r>
      <w:r>
        <w:rPr>
          <w:b/>
          <w:lang w:val="en_US" w:bidi="en_US"/>
        </w:rPr>
        <w:t>Do this:</w:t>
      </w:r>
      <w:r>
        <w:rPr>
          <w:lang w:val="en_US" w:bidi="en_US"/>
        </w:rPr>
        <w:t xml:space="preserve"> The clause </w:t>
      </w:r>
      <w:r>
        <w:rPr>
          <w:i/>
          <w:lang w:val="en_US" w:bidi="en_US"/>
        </w:rPr>
        <w:t>Do this</w:t>
      </w:r>
      <w:r>
        <w:rPr>
          <w:lang w:val="en_US" w:bidi="en_US"/>
        </w:rPr>
        <w:t xml:space="preserve"> means, “Keep these commandments.” Jesus told the law expert to obey the commandments that he had just quoted in 10:27a–c.</w:t>
      </w:r>
    </w:p>
    <w:p>
      <w:pPr/>
      <w:r>
        <w:rPr>
          <w:lang w:val="en_US" w:bidi="en_US"/>
        </w:rPr>
      </w:r>
      <w:r>
        <w:rPr>
          <w:b/>
          <w:lang w:val="en_US" w:bidi="en_US"/>
        </w:rPr>
        <w:t>Do:</w:t>
      </w:r>
      <w:r>
        <w:rPr>
          <w:lang w:val="en_US" w:bidi="en_US"/>
        </w:rPr>
        <w:t xml:space="preserve"> The Greek verb that the BSB translates as </w:t>
      </w:r>
      <w:r>
        <w:rPr>
          <w:i/>
          <w:lang w:val="en_US" w:bidi="en_US"/>
        </w:rPr>
        <w:t>Do</w:t>
      </w:r>
      <w:r>
        <w:rPr>
          <w:lang w:val="en_US" w:bidi="en_US"/>
        </w:rPr>
        <w:t xml:space="preserve"> is in the present tense. It refers to doing something regularly or continually. It does not refer to doing something one time.</w:t>
      </w:r>
    </w:p>
    <w:p>
      <w:pPr/>
      <w:r>
        <w:rPr>
          <w:lang w:val="en_US" w:bidi="en_US"/>
        </w:rPr>
      </w:r>
      <w:r>
        <w:rPr>
          <w:b/>
          <w:lang w:val="en_US" w:bidi="en_US"/>
        </w:rPr>
        <w:t>and you will live:</w:t>
      </w:r>
      <w:r>
        <w:rPr>
          <w:lang w:val="en_US" w:bidi="en_US"/>
        </w:rPr>
        <w:t xml:space="preserve"> This is a result clause. Someone who acts in a way that shows that he truly loves God and his neighbors will live forever with God. It refers back to the expert’s question in 10:25, “what must I do to inherit eternal life?” Some other ways to translate this are:</w:t>
      </w:r>
    </w:p>
    <w:p>
      <w:pPr/>
      <w:r>
        <w:rPr>
          <w:lang w:val="en_US" w:bidi="en_US"/>
        </w:rPr>
      </w:r>
      <w:r>
        <w:rPr>
          <w:lang w:val="en_US" w:bidi="en_US"/>
        </w:rPr>
        <w:t xml:space="preserve">then you will </w:t>
      </w:r>
      <w:r>
        <w:rPr>
          <w:lang w:val="en_US" w:bidi="en_US"/>
        </w:rPr>
        <w:t>receive</w:t>
      </w:r>
      <w:r>
        <w:rPr>
          <w:lang w:val="en_US" w:bidi="en_US"/>
        </w:rPr>
        <w:t xml:space="preserve"> </w:t>
      </w:r>
      <w:r>
        <w:rPr>
          <w:lang w:val="en_US" w:bidi="en_US"/>
        </w:rPr>
        <w:t>eternal</w:t>
      </w:r>
      <w:r>
        <w:rPr>
          <w:lang w:val="en_US" w:bidi="en_US"/>
        </w:rPr>
        <w:t xml:space="preserve"> life</w:t>
      </w:r>
    </w:p>
    <w:p>
      <w:pPr/>
      <w:r>
        <w:rPr>
          <w:lang w:val="en_US" w:bidi="en_US"/>
        </w:rPr>
      </w:r>
      <w:r>
        <w:rPr>
          <w:lang w:val="en_US" w:bidi="en_US"/>
        </w:rPr>
        <w:t>and life will be yours (GW)</w:t>
      </w:r>
    </w:p>
    <w:p>
      <w:pPr>
        <w:pStyle w:val="Heading6"/>
      </w:pPr>
      <w:r>
        <w:rPr>
          <w:b/>
          <w:lang w:val="en_US" w:bidi="en_US"/>
        </w:rPr>
        <w:t>General Comment on 10:28b</w:t>
      </w:r>
    </w:p>
    <w:p>
      <w:pPr/>
      <w:r>
        <w:rPr>
          <w:lang w:val="en_US" w:bidi="en_US"/>
        </w:rPr>
      </w:r>
      <w:r>
        <w:rPr>
          <w:lang w:val="en_US" w:bidi="en_US"/>
        </w:rPr>
        <w:t xml:space="preserve">In some languages it may be necessary to make explicit that the two clauses that the BSB connects with </w:t>
      </w:r>
      <w:r>
        <w:rPr>
          <w:i/>
          <w:lang w:val="en_US" w:bidi="en_US"/>
        </w:rPr>
        <w:t>and</w:t>
      </w:r>
      <w:r>
        <w:rPr>
          <w:lang w:val="en_US" w:bidi="en_US"/>
        </w:rPr>
        <w:t xml:space="preserve"> are a condition and a result. For example:</w:t>
      </w:r>
    </w:p>
    <w:p>
      <w:pPr/>
      <w:r>
        <w:rPr>
          <w:lang w:val="en_US" w:bidi="en_US"/>
        </w:rPr>
      </w:r>
      <w:r>
        <w:rPr>
          <w:lang w:val="en_US" w:bidi="en_US"/>
        </w:rPr>
        <w:t>If you do this, you will have eternal life. (CEV)</w:t>
      </w:r>
      <w:r>
        <w:rPr>
          <w:lang w:val="en_US" w:bidi="en_US"/>
        </w:rPr>
      </w:r>
      <w:r>
        <w:rPr>
          <w:lang w:val="en_US" w:bidi="en_US"/>
        </w:rPr>
      </w:r>
    </w:p>
    <w:p>
      <w:pPr/>
      <w:r>
        <w:rPr>
          <w:lang w:val="en_US" w:bidi="en_US"/>
        </w:rPr>
      </w:r>
    </w:p>
    <w:p>
      <w:pPr>
        <w:pStyle w:val="Heading2"/>
      </w:pPr>
      <w:r>
        <w:rPr>
          <w:lang w:val="en_US" w:bidi="en_US"/>
        </w:rPr>
        <w:t>Luke 10:29</w:t>
      </w:r>
      <w:r>
        <w:rPr>
          <w:lang w:val="en_US" w:bidi="en_US"/>
        </w:rPr>
      </w:r>
    </w:p>
    <w:p>
      <w:pPr>
        <w:pStyle w:val="Heading4"/>
      </w:pPr>
      <w:r>
        <w:rPr>
          <w:lang w:val="en_US" w:bidi="en_US"/>
        </w:rPr>
        <w:t>Section 10:25–37: Jesus told a story to show us who our neighbors are</w:t>
      </w:r>
    </w:p>
    <w:p>
      <w:pPr/>
      <w:r>
        <w:rPr>
          <w:lang w:val="en_US" w:bidi="en_US"/>
        </w:rPr>
      </w:r>
      <w:r>
        <w:rPr>
          <w:lang w:val="en_US" w:bidi="en_US"/>
        </w:rP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pPr/>
      <w:r>
        <w:rPr>
          <w:lang w:val="en_US" w:bidi="en_US"/>
        </w:rPr>
      </w:r>
      <w:r>
        <w:rPr>
          <w:lang w:val="en_US" w:bidi="en_US"/>
        </w:rP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pPr/>
      <w:r>
        <w:rPr>
          <w:lang w:val="en_US" w:bidi="en_US"/>
        </w:rPr>
      </w:r>
      <w:r>
        <w:rPr>
          <w:lang w:val="en_US" w:bidi="en_US"/>
        </w:rP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pPr/>
      <w:r>
        <w:rPr>
          <w:lang w:val="en_US" w:bidi="en_US"/>
        </w:rPr>
      </w:r>
      <w:r>
        <w:rPr>
          <w:lang w:val="en_US" w:bidi="en_US"/>
        </w:rPr>
        <w:t>Some other possible section headings are:</w:t>
      </w:r>
    </w:p>
    <w:p>
      <w:pPr/>
      <w:r>
        <w:rPr>
          <w:lang w:val="en_US" w:bidi="en_US"/>
        </w:rPr>
      </w:r>
      <w:r>
        <w:rPr>
          <w:lang w:val="en_US" w:bidi="en_US"/>
        </w:rPr>
        <w:t>The parable about the good foreigner</w:t>
      </w:r>
    </w:p>
    <w:p>
      <w:pPr/>
      <w:r>
        <w:rPr>
          <w:lang w:val="en_US" w:bidi="en_US"/>
        </w:rPr>
      </w:r>
      <w:r>
        <w:rPr>
          <w:lang w:val="en_US" w:bidi="en_US"/>
        </w:rPr>
        <w:t>Who is my neighbor?</w:t>
      </w:r>
    </w:p>
    <w:p>
      <w:pPr/>
      <w:r>
        <w:rPr>
          <w:lang w:val="en_US" w:bidi="en_US"/>
        </w:rPr>
      </w:r>
      <w:r>
        <w:rPr>
          <w:lang w:val="en_US" w:bidi="en_US"/>
        </w:rPr>
        <w:t>The Good Samaritan</w:t>
      </w:r>
    </w:p>
    <w:p>
      <w:pPr/>
      <w:r>
        <w:rPr>
          <w:lang w:val="en_US" w:bidi="en_US"/>
        </w:rPr>
      </w:r>
      <w:r>
        <w:rPr>
          <w:lang w:val="en_US" w:bidi="en_US"/>
        </w:rPr>
        <w:t>Luke is the only gospel writer who includes this parable.</w:t>
      </w:r>
    </w:p>
    <w:p>
      <w:pPr>
        <w:pStyle w:val="Heading5"/>
      </w:pPr>
      <w:r>
        <w:rPr>
          <w:lang w:val="en_US" w:bidi="en_US"/>
        </w:rPr>
        <w:t>10:29</w:t>
      </w:r>
    </w:p>
    <w:p>
      <w:pPr/>
      <w:r>
        <w:rPr>
          <w:lang w:val="en_US" w:bidi="en_US"/>
        </w:rPr>
      </w:r>
      <w:r>
        <w:rPr>
          <w:lang w:val="en_US" w:bidi="en_US"/>
        </w:rPr>
        <w:t>Some English versions begin a new paragraph here. You will need to decide whether it is more natural in your language to begin the paragraph here or at 10:30.</w:t>
      </w:r>
    </w:p>
    <w:p>
      <w:pPr>
        <w:pStyle w:val="Heading5"/>
      </w:pPr>
      <w:r>
        <w:rPr>
          <w:lang w:val="en_US" w:bidi="en_US"/>
        </w:rPr>
        <w:t>10:29a</w:t>
      </w:r>
    </w:p>
    <w:p>
      <w:pPr/>
      <w:r>
        <w:rPr>
          <w:lang w:val="en_US" w:bidi="en_US"/>
        </w:rPr>
      </w:r>
      <w:r>
        <w:rPr>
          <w:b/>
          <w:lang w:val="en_US" w:bidi="en_US"/>
        </w:rPr>
        <w:t>But wanting to justify himself,</w:t>
      </w:r>
    </w:p>
    <w:p>
      <w:pPr>
        <w:pStyle w:val="ListBullet"/>
        <w:spacing w:line="240" w:lineRule="auto"/>
        <w:ind w:left="720"/>
      </w:pPr>
      <w:r>
        <w:rPr>
          <w:lang w:val="en_US" w:bidi="en_US"/>
        </w:rPr>
      </w:r>
      <w:r>
        <w:rPr>
          <w:lang w:val="en_US" w:bidi="en_US"/>
        </w:rPr>
        <w:t xml:space="preserve">But </w:t>
      </w:r>
      <w:r>
        <w:rPr>
          <w:lang w:val="en_US" w:bidi="en_US"/>
        </w:rPr>
        <w:t>the teacher of the law</w:t>
      </w:r>
      <w:r>
        <w:rPr>
          <w:lang w:val="en_US" w:bidi="en_US"/>
        </w:rPr>
        <w:t xml:space="preserve"> wanted to make himself appear to be right/wise,</w:t>
      </w:r>
    </w:p>
    <w:p>
      <w:pPr>
        <w:pStyle w:val="ListBullet"/>
        <w:spacing w:line="240" w:lineRule="auto"/>
        <w:ind w:left="720"/>
      </w:pPr>
      <w:r>
        <w:rPr>
          <w:lang w:val="en_US" w:bidi="en_US"/>
        </w:rPr>
      </w:r>
      <w:r>
        <w:rPr>
          <w:lang w:val="en_US" w:bidi="en_US"/>
        </w:rPr>
        <w:t xml:space="preserve">But </w:t>
      </w:r>
      <w:r>
        <w:rPr>
          <w:lang w:val="en_US" w:bidi="en_US"/>
        </w:rPr>
        <w:t>the law expert</w:t>
      </w:r>
      <w:r>
        <w:rPr>
          <w:lang w:val="en_US" w:bidi="en_US"/>
        </w:rPr>
        <w:t xml:space="preserve"> wanted to show that </w:t>
      </w:r>
      <w:r>
        <w:rPr>
          <w:lang w:val="en_US" w:bidi="en_US"/>
        </w:rPr>
        <w:t>his question</w:t>
      </w:r>
      <w:r>
        <w:rPr>
          <w:lang w:val="en_US" w:bidi="en_US"/>
        </w:rPr>
        <w:t xml:space="preserve"> was a good one,</w:t>
      </w:r>
    </w:p>
    <w:p>
      <w:pPr/>
      <w:r>
        <w:rPr>
          <w:lang w:val="en_US" w:bidi="en_US"/>
        </w:rPr>
      </w:r>
      <w:r>
        <w:rPr>
          <w:b/>
          <w:lang w:val="en_US" w:bidi="en_US"/>
        </w:rPr>
        <w:t>But wanting to justify himself:</w:t>
      </w:r>
      <w:r>
        <w:rPr>
          <w:lang w:val="en_US" w:bidi="en_US"/>
        </w:rPr>
        <w:t xml:space="preserve"> The Greek word that the BSB translates as </w:t>
      </w:r>
      <w:r>
        <w:rPr>
          <w:i/>
          <w:lang w:val="en_US" w:bidi="en_US"/>
        </w:rPr>
        <w:t>justify himself</w:t>
      </w:r>
      <w:r>
        <w:rPr>
          <w:lang w:val="en_US" w:bidi="en_US"/>
        </w:rPr>
        <w:t xml:space="preserve"> here means “vindicate himself,” “make himself appear to be in the right,” or “make himself appear wise.”</w:t>
      </w:r>
    </w:p>
    <w:p>
      <w:pPr/>
      <w:r>
        <w:rPr>
          <w:lang w:val="en_US" w:bidi="en_US"/>
        </w:rPr>
      </w:r>
      <w:r>
        <w:rPr>
          <w:lang w:val="en_US" w:bidi="en_US"/>
        </w:rPr>
        <w:t>The Greek text does not say in what sense the legal expert wished to make himself appear to be in the right. Scholars suggest two possibilities:</w:t>
      </w:r>
    </w:p>
    <w:p>
      <w:pPr>
        <w:pStyle w:val="ListNumber"/>
        <w:numPr>
          <w:ilvl w:val="0"/>
          <w:numId w:val="208"/>
        </w:numPr>
        <w:spacing w:line="240" w:lineRule="auto"/>
        <w:ind w:left="720"/>
      </w:pPr>
      <w:r>
        <w:rPr>
          <w:lang w:val="en_US" w:bidi="en_US"/>
        </w:rPr>
      </w:r>
      <w:r>
        <w:rPr>
          <w:lang w:val="en_US" w:bidi="en_US"/>
        </w:rPr>
        <w:t xml:space="preserve">He wanted to justify his </w:t>
      </w:r>
      <w:r>
        <w:rPr>
          <w:u w:val="single"/>
          <w:lang w:val="en_US" w:bidi="en_US"/>
        </w:rPr>
        <w:t>earlier question</w:t>
      </w:r>
      <w:r>
        <w:rPr>
          <w:lang w:val="en_US" w:bidi="en_US"/>
        </w:rPr>
        <w:t>. In other words, he wanted to show that his first question was not as easy as it appeared to be. For example:</w:t>
      </w:r>
      <w:r>
        <w:rPr>
          <w:lang w:val="en_US" w:bidi="en_US"/>
        </w:rPr>
        <w:t xml:space="preserve">wanting to show the importance of his question (NCV) </w:t>
      </w:r>
      <w:r>
        <w:rPr>
          <w:i/>
          <w:lang w:val="en_US" w:bidi="en_US"/>
        </w:rPr>
        <w:t>(NCV, CEV, GW, REB)</w:t>
      </w:r>
    </w:p>
    <w:p>
      <w:pPr>
        <w:pStyle w:val="ListNumber"/>
        <w:spacing w:line="240" w:lineRule="auto"/>
        <w:ind w:left="720"/>
      </w:pPr>
      <w:r>
        <w:rPr>
          <w:lang w:val="en_US" w:bidi="en_US"/>
        </w:rPr>
      </w:r>
      <w:r>
        <w:rPr>
          <w:lang w:val="en_US" w:bidi="en_US"/>
        </w:rPr>
        <w:t xml:space="preserve">He wanted to justify his own </w:t>
      </w:r>
      <w:r>
        <w:rPr>
          <w:u w:val="single"/>
          <w:lang w:val="en_US" w:bidi="en_US"/>
        </w:rPr>
        <w:t>behavior</w:t>
      </w:r>
      <w:r>
        <w:rPr>
          <w:lang w:val="en_US" w:bidi="en_US"/>
        </w:rPr>
        <w:t>. He was looking for an excuse for not having loved people as he should have. For example:</w:t>
      </w:r>
      <w:r>
        <w:rPr>
          <w:lang w:val="en_US" w:bidi="en_US"/>
        </w:rPr>
        <w:t xml:space="preserve">wanted to justify his actions (NLT) </w:t>
      </w:r>
      <w:r>
        <w:rPr>
          <w:i/>
          <w:lang w:val="en_US" w:bidi="en_US"/>
        </w:rPr>
        <w:t>(NLT)</w:t>
      </w:r>
    </w:p>
    <w:p>
      <w:pPr/>
      <w:r>
        <w:rPr>
          <w:lang w:val="en_US" w:bidi="en_US"/>
        </w:rPr>
      </w:r>
      <w:r>
        <w:rPr>
          <w:lang w:val="en_US" w:bidi="en_US"/>
        </w:rPr>
        <w:t>Many English versions do not explicitly say in what sense the legal expert wanted to justify himself (BSB, KJV, NASB, RSV, NIV, GNT, NJB, NET). If possible, you should follow these examples and not be explicit. However, if it is necessary to be explicit, it is recommended that you follow interpretation (1).</w:t>
      </w:r>
    </w:p>
    <w:p>
      <w:pPr>
        <w:pStyle w:val="Heading5"/>
      </w:pPr>
      <w:r>
        <w:rPr>
          <w:lang w:val="en_US" w:bidi="en_US"/>
        </w:rPr>
        <w:t>10:29b</w:t>
      </w:r>
    </w:p>
    <w:p>
      <w:pPr/>
      <w:r>
        <w:rPr>
          <w:lang w:val="en_US" w:bidi="en_US"/>
        </w:rPr>
      </w:r>
      <w:r>
        <w:rPr>
          <w:b/>
          <w:lang w:val="en_US" w:bidi="en_US"/>
        </w:rPr>
        <w:t>he asked Jesus, “And who is my neighbor?”</w:t>
      </w:r>
    </w:p>
    <w:p>
      <w:pPr>
        <w:pStyle w:val="ListBullet"/>
        <w:spacing w:line="240" w:lineRule="auto"/>
        <w:ind w:left="720"/>
      </w:pPr>
      <w:r>
        <w:rPr>
          <w:lang w:val="en_US" w:bidi="en_US"/>
        </w:rPr>
      </w:r>
      <w:r>
        <w:rPr>
          <w:lang w:val="en_US" w:bidi="en_US"/>
        </w:rPr>
        <w:t>so he asked Jesus, “Who then is my neighbor?”</w:t>
      </w:r>
    </w:p>
    <w:p>
      <w:pPr>
        <w:pStyle w:val="ListBullet"/>
        <w:spacing w:line="240" w:lineRule="auto"/>
        <w:ind w:left="720"/>
      </w:pPr>
      <w:r>
        <w:rPr>
          <w:lang w:val="en_US" w:bidi="en_US"/>
        </w:rPr>
      </w:r>
      <w:r>
        <w:rPr>
          <w:lang w:val="en_US" w:bidi="en_US"/>
        </w:rPr>
        <w:t>so he said to Jesus, “</w:t>
      </w:r>
      <w:r>
        <w:rPr>
          <w:lang w:val="en_US" w:bidi="en_US"/>
        </w:rPr>
        <w:t>Yes, but</w:t>
      </w:r>
      <w:r>
        <w:rPr>
          <w:lang w:val="en_US" w:bidi="en_US"/>
        </w:rPr>
        <w:t xml:space="preserve"> what does </w:t>
      </w:r>
      <w:r>
        <w:rPr>
          <w:lang w:val="en_US" w:bidi="en_US"/>
        </w:rPr>
        <w:t>the Law</w:t>
      </w:r>
      <w:r>
        <w:rPr>
          <w:lang w:val="en_US" w:bidi="en_US"/>
        </w:rPr>
        <w:t xml:space="preserve"> mean by ‘your</w:t>
      </w:r>
      <w:r>
        <w:rPr>
          <w:vertAlign w:val="superscript"/>
          <w:lang w:val="en_US" w:bidi="en_US"/>
        </w:rPr>
        <w:t>(sing/plur)</w:t>
      </w:r>
      <w:r>
        <w:rPr>
          <w:lang w:val="en_US" w:bidi="en_US"/>
        </w:rPr>
        <w:t xml:space="preserve"> fellow/companion?'"</w:t>
      </w:r>
    </w:p>
    <w:p>
      <w:pPr>
        <w:pStyle w:val="ListBullet"/>
        <w:spacing w:line="240" w:lineRule="auto"/>
        <w:ind w:left="720"/>
      </w:pPr>
      <w:r>
        <w:rPr>
          <w:lang w:val="en_US" w:bidi="en_US"/>
        </w:rPr>
      </w:r>
      <w:r>
        <w:rPr>
          <w:lang w:val="en_US" w:bidi="en_US"/>
        </w:rPr>
        <w:t>and he asked Jesus to explain the meaning of “fellows/companions.”</w:t>
      </w:r>
    </w:p>
    <w:p>
      <w:pPr/>
      <w:r>
        <w:rPr>
          <w:lang w:val="en_US" w:bidi="en_US"/>
        </w:rPr>
      </w:r>
      <w:r>
        <w:rPr>
          <w:b/>
          <w:lang w:val="en_US" w:bidi="en_US"/>
        </w:rPr>
        <w:t>he asked Jesus:</w:t>
      </w:r>
      <w:r>
        <w:rPr>
          <w:lang w:val="en_US" w:bidi="en_US"/>
        </w:rPr>
        <w:t xml:space="preserve"> The legal expert </w:t>
      </w:r>
      <w:r>
        <w:rPr>
          <w:i/>
          <w:lang w:val="en_US" w:bidi="en_US"/>
        </w:rPr>
        <w:t>asked</w:t>
      </w:r>
      <w:r>
        <w:rPr>
          <w:lang w:val="en_US" w:bidi="en_US"/>
        </w:rPr>
        <w:t xml:space="preserve"> a further question because he wanted to “justify himself.” Some versions (CEV, GNT, GW, NIV, NLT) include the word “so” to indicate that 10:29a is the reason for 10:29b. For example:</w:t>
      </w:r>
    </w:p>
    <w:p>
      <w:pPr/>
      <w:r>
        <w:rPr>
          <w:lang w:val="en_US" w:bidi="en_US"/>
        </w:rPr>
      </w:r>
      <w:r>
        <w:rPr>
          <w:lang w:val="en_US" w:bidi="en_US"/>
        </w:rPr>
        <w:t>he wanted to justify himself, so he asked Jesus (NIV)</w:t>
      </w:r>
    </w:p>
    <w:p>
      <w:pPr/>
      <w:r>
        <w:rPr>
          <w:lang w:val="en_US" w:bidi="en_US"/>
        </w:rPr>
      </w:r>
      <w:r>
        <w:rPr>
          <w:lang w:val="en_US" w:bidi="en_US"/>
        </w:rPr>
        <w:t>Other ways to express this connection are:</w:t>
      </w:r>
    </w:p>
    <w:p>
      <w:pPr/>
      <w:r>
        <w:rPr>
          <w:lang w:val="en_US" w:bidi="en_US"/>
        </w:rPr>
      </w:r>
      <w:r>
        <w:rPr>
          <w:lang w:val="en_US" w:bidi="en_US"/>
        </w:rPr>
        <w:t>the expert, wanting to justify himself, said to Jesus (NET)</w:t>
      </w:r>
    </w:p>
    <w:p>
      <w:pPr/>
      <w:r>
        <w:rPr>
          <w:lang w:val="en_US" w:bidi="en_US"/>
        </w:rPr>
      </w:r>
      <w:r>
        <w:rPr>
          <w:lang w:val="en_US" w:bidi="en_US"/>
        </w:rPr>
        <w:t>because/since the man wanted to justify himself, he asked Jesus</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another question. In some languages it may not be necessary to translate this conjunction explicitly.</w:t>
      </w:r>
    </w:p>
    <w:p>
      <w:pPr/>
      <w:r>
        <w:rPr>
          <w:lang w:val="en_US" w:bidi="en_US"/>
        </w:rPr>
      </w:r>
      <w:r>
        <w:rPr>
          <w:lang w:val="en_US" w:bidi="en_US"/>
        </w:rPr>
        <w:t>It is also implied from the context that the law expert agreed with Jesus’ previous statement in 10:28b. In some languages it may be necessary to make this explicit. For example:</w:t>
      </w:r>
    </w:p>
    <w:p>
      <w:pPr/>
      <w:r>
        <w:rPr>
          <w:lang w:val="en_US" w:bidi="en_US"/>
        </w:rPr>
      </w:r>
      <w:r>
        <w:rPr>
          <w:lang w:val="en_US" w:bidi="en_US"/>
        </w:rPr>
        <w:t>Yes, but</w:t>
      </w:r>
      <w:r>
        <w:rPr>
          <w:lang w:val="en_US" w:bidi="en_US"/>
        </w:rPr>
        <w:t xml:space="preserve"> who is my neighbor?</w:t>
      </w:r>
    </w:p>
    <w:p>
      <w:pPr/>
      <w:r>
        <w:rPr>
          <w:lang w:val="en_US" w:bidi="en_US"/>
        </w:rPr>
      </w:r>
      <w:r>
        <w:rPr>
          <w:b/>
          <w:lang w:val="en_US" w:bidi="en_US"/>
        </w:rPr>
        <w:t>who is my neighbor?:</w:t>
      </w:r>
      <w:r>
        <w:rPr>
          <w:lang w:val="en_US" w:bidi="en_US"/>
        </w:rPr>
        <w:t xml:space="preserve"> In this context the question that the BSB translates literally as </w:t>
      </w:r>
      <w:r>
        <w:rPr>
          <w:i/>
          <w:lang w:val="en_US" w:bidi="en_US"/>
        </w:rPr>
        <w:t>who is my neighbor</w:t>
      </w:r>
      <w:r>
        <w:rPr>
          <w:lang w:val="en_US" w:bidi="en_US"/>
        </w:rPr>
        <w:t xml:space="preserve"> implies: “What does the Law mean by ‘neighbor’?” The law expert was asking Jesus to clarify or define the meaning of the word </w:t>
      </w:r>
      <w:r>
        <w:rPr>
          <w:i/>
          <w:lang w:val="en_US" w:bidi="en_US"/>
        </w:rPr>
        <w:t>neighbor</w:t>
      </w:r>
      <w:r>
        <w:rPr>
          <w:lang w:val="en_US" w:bidi="en_US"/>
        </w:rPr>
        <w:t>.</w:t>
      </w:r>
    </w:p>
    <w:p>
      <w:pPr/>
      <w:r>
        <w:rPr>
          <w:lang w:val="en_US" w:bidi="en_US"/>
        </w:rPr>
      </w:r>
      <w:r>
        <w:rPr>
          <w:lang w:val="en_US" w:bidi="en_US"/>
        </w:rPr>
        <w:t>In some languages a literal translation of “my neighbor” may not make sense in this context. If that is true in your language, you may need to make the meaning more explicit. For example:</w:t>
      </w:r>
    </w:p>
    <w:p>
      <w:pPr/>
      <w:r>
        <w:rPr>
          <w:lang w:val="en_US" w:bidi="en_US"/>
        </w:rPr>
      </w:r>
      <w:r>
        <w:rPr>
          <w:lang w:val="en_US" w:bidi="en_US"/>
        </w:rPr>
        <w:t xml:space="preserve">But who is my companion/fellow </w:t>
      </w:r>
      <w:r>
        <w:rPr>
          <w:lang w:val="en_US" w:bidi="en_US"/>
        </w:rPr>
        <w:t>whom I must love</w:t>
      </w:r>
      <w:r>
        <w:rPr>
          <w:lang w:val="en_US" w:bidi="en_US"/>
        </w:rPr>
        <w:t>?</w:t>
      </w:r>
    </w:p>
    <w:p>
      <w:pPr/>
      <w:r>
        <w:rPr>
          <w:lang w:val="en_US" w:bidi="en_US"/>
        </w:rPr>
      </w:r>
      <w:r>
        <w:rPr>
          <w:lang w:val="en_US" w:bidi="en_US"/>
        </w:rPr>
        <w:t xml:space="preserve">Who </w:t>
      </w:r>
      <w:r>
        <w:rPr>
          <w:lang w:val="en_US" w:bidi="en_US"/>
        </w:rPr>
        <w:t>does the law mean when it says</w:t>
      </w:r>
      <w:r>
        <w:rPr>
          <w:lang w:val="en_US" w:bidi="en_US"/>
        </w:rPr>
        <w:t xml:space="preserve"> “my neighbor”?</w:t>
      </w:r>
    </w:p>
    <w:p>
      <w:pPr/>
      <w:r>
        <w:rPr>
          <w:lang w:val="en_US" w:bidi="en_US"/>
        </w:rPr>
      </w:r>
      <w:r>
        <w:rPr>
          <w:lang w:val="en_US" w:bidi="en_US"/>
        </w:rPr>
        <w:t xml:space="preserve">Be sure to translate the word </w:t>
      </w:r>
      <w:r>
        <w:rPr>
          <w:i/>
          <w:lang w:val="en_US" w:bidi="en_US"/>
        </w:rPr>
        <w:t>neighbor</w:t>
      </w:r>
      <w:r>
        <w:rPr>
          <w:lang w:val="en_US" w:bidi="en_US"/>
        </w:rPr>
        <w:t xml:space="preserve"> in the same way as you did in 10:27c.</w:t>
      </w:r>
      <w:r>
        <w:rPr>
          <w:lang w:val="en_US" w:bidi="en_US"/>
        </w:rPr>
      </w:r>
      <w:r>
        <w:rPr>
          <w:lang w:val="en_US" w:bidi="en_US"/>
        </w:rPr>
      </w:r>
    </w:p>
    <w:p>
      <w:pPr/>
      <w:r>
        <w:rPr>
          <w:lang w:val="en_US" w:bidi="en_US"/>
        </w:rPr>
      </w:r>
    </w:p>
    <w:p>
      <w:pPr>
        <w:pStyle w:val="Heading2"/>
      </w:pPr>
      <w:r>
        <w:rPr>
          <w:lang w:val="en_US" w:bidi="en_US"/>
        </w:rPr>
        <w:t>Luke 10:30</w:t>
      </w:r>
      <w:r>
        <w:rPr>
          <w:lang w:val="en_US" w:bidi="en_US"/>
        </w:rPr>
      </w:r>
    </w:p>
    <w:p>
      <w:pPr>
        <w:pStyle w:val="Heading4"/>
      </w:pPr>
      <w:r>
        <w:rPr>
          <w:lang w:val="en_US" w:bidi="en_US"/>
        </w:rPr>
        <w:t>Section 10:25–37: Jesus told a story to show us who our neighbors are</w:t>
      </w:r>
    </w:p>
    <w:p>
      <w:pPr/>
      <w:r>
        <w:rPr>
          <w:lang w:val="en_US" w:bidi="en_US"/>
        </w:rPr>
      </w:r>
      <w:r>
        <w:rPr>
          <w:lang w:val="en_US" w:bidi="en_US"/>
        </w:rP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pPr/>
      <w:r>
        <w:rPr>
          <w:lang w:val="en_US" w:bidi="en_US"/>
        </w:rPr>
      </w:r>
      <w:r>
        <w:rPr>
          <w:lang w:val="en_US" w:bidi="en_US"/>
        </w:rP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pPr/>
      <w:r>
        <w:rPr>
          <w:lang w:val="en_US" w:bidi="en_US"/>
        </w:rPr>
      </w:r>
      <w:r>
        <w:rPr>
          <w:lang w:val="en_US" w:bidi="en_US"/>
        </w:rP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pPr/>
      <w:r>
        <w:rPr>
          <w:lang w:val="en_US" w:bidi="en_US"/>
        </w:rPr>
      </w:r>
      <w:r>
        <w:rPr>
          <w:lang w:val="en_US" w:bidi="en_US"/>
        </w:rPr>
        <w:t>Some other possible section headings are:</w:t>
      </w:r>
    </w:p>
    <w:p>
      <w:pPr/>
      <w:r>
        <w:rPr>
          <w:lang w:val="en_US" w:bidi="en_US"/>
        </w:rPr>
      </w:r>
      <w:r>
        <w:rPr>
          <w:lang w:val="en_US" w:bidi="en_US"/>
        </w:rPr>
        <w:t>The parable about the good foreigner</w:t>
      </w:r>
    </w:p>
    <w:p>
      <w:pPr/>
      <w:r>
        <w:rPr>
          <w:lang w:val="en_US" w:bidi="en_US"/>
        </w:rPr>
      </w:r>
      <w:r>
        <w:rPr>
          <w:lang w:val="en_US" w:bidi="en_US"/>
        </w:rPr>
        <w:t>Who is my neighbor?</w:t>
      </w:r>
    </w:p>
    <w:p>
      <w:pPr/>
      <w:r>
        <w:rPr>
          <w:lang w:val="en_US" w:bidi="en_US"/>
        </w:rPr>
      </w:r>
      <w:r>
        <w:rPr>
          <w:lang w:val="en_US" w:bidi="en_US"/>
        </w:rPr>
        <w:t>The Good Samaritan</w:t>
      </w:r>
    </w:p>
    <w:p>
      <w:pPr/>
      <w:r>
        <w:rPr>
          <w:lang w:val="en_US" w:bidi="en_US"/>
        </w:rPr>
      </w:r>
      <w:r>
        <w:rPr>
          <w:lang w:val="en_US" w:bidi="en_US"/>
        </w:rPr>
        <w:t>Luke is the only gospel writer who includes this parable.</w:t>
      </w:r>
    </w:p>
    <w:p>
      <w:pPr>
        <w:pStyle w:val="Heading4"/>
      </w:pPr>
      <w:r>
        <w:rPr>
          <w:lang w:val="en_US" w:bidi="en_US"/>
        </w:rPr>
        <w:t>Paragraph 10:30–35</w:t>
      </w:r>
    </w:p>
    <w:p>
      <w:pPr/>
      <w:r>
        <w:rPr>
          <w:lang w:val="en_US" w:bidi="en_US"/>
        </w:rPr>
      </w:r>
      <w:r>
        <w:rPr>
          <w:lang w:val="en_US" w:bidi="en_US"/>
        </w:rPr>
        <w:t>Jesus told the story in this paragraph in order to teach people what the Law meant by the command to love our neighbors. Most scholars think that this story probably did not really happen. If you must distinguish in your language between events that actually happened and fictional stories, you can indicate that it is a fictional story.</w:t>
      </w:r>
    </w:p>
    <w:p>
      <w:pPr>
        <w:pStyle w:val="Heading5"/>
      </w:pPr>
      <w:r>
        <w:rPr>
          <w:lang w:val="en_US" w:bidi="en_US"/>
        </w:rPr>
        <w:t>10:30a</w:t>
      </w:r>
    </w:p>
    <w:p>
      <w:pPr/>
      <w:r>
        <w:rPr>
          <w:lang w:val="en_US" w:bidi="en_US"/>
        </w:rPr>
      </w:r>
      <w:r>
        <w:rPr>
          <w:b/>
          <w:lang w:val="en_US" w:bidi="en_US"/>
        </w:rPr>
        <w:t>Jesus took up this question and said,</w:t>
      </w:r>
    </w:p>
    <w:p>
      <w:pPr>
        <w:pStyle w:val="ListBullet"/>
        <w:spacing w:line="240" w:lineRule="auto"/>
        <w:ind w:left="720"/>
      </w:pPr>
      <w:r>
        <w:rPr>
          <w:lang w:val="en_US" w:bidi="en_US"/>
        </w:rPr>
      </w:r>
      <w:r>
        <w:rPr>
          <w:lang w:val="en_US" w:bidi="en_US"/>
        </w:rPr>
        <w:t xml:space="preserve">¶ Jesus answered </w:t>
      </w:r>
      <w:r>
        <w:rPr>
          <w:lang w:val="en_US" w:bidi="en_US"/>
        </w:rPr>
        <w:t>in this way</w:t>
      </w:r>
      <w:r>
        <w:rPr>
          <w:lang w:val="en_US" w:bidi="en_US"/>
        </w:rPr>
        <w:t>:</w:t>
      </w:r>
    </w:p>
    <w:p>
      <w:pPr>
        <w:pStyle w:val="ListBullet"/>
        <w:spacing w:line="240" w:lineRule="auto"/>
        <w:ind w:left="720"/>
      </w:pPr>
      <w:r>
        <w:rPr>
          <w:lang w:val="en_US" w:bidi="en_US"/>
        </w:rPr>
      </w:r>
      <w:r>
        <w:rPr>
          <w:lang w:val="en_US" w:bidi="en_US"/>
        </w:rPr>
        <w:t xml:space="preserve">¶ Jesus answered him </w:t>
      </w:r>
      <w:r>
        <w:rPr>
          <w:lang w:val="en_US" w:bidi="en_US"/>
        </w:rPr>
        <w:t>by telling a story/parable</w:t>
      </w:r>
      <w:r>
        <w:rPr>
          <w:lang w:val="en_US" w:bidi="en_US"/>
        </w:rPr>
        <w:t>. He said,</w:t>
      </w:r>
    </w:p>
    <w:p>
      <w:pPr/>
      <w:r>
        <w:rPr>
          <w:lang w:val="en_US" w:bidi="en_US"/>
        </w:rPr>
      </w:r>
      <w:r>
        <w:rPr>
          <w:b/>
          <w:lang w:val="en_US" w:bidi="en_US"/>
        </w:rPr>
        <w:t>Jesus took up this question and said:</w:t>
      </w:r>
      <w:r>
        <w:rPr>
          <w:lang w:val="en_US" w:bidi="en_US"/>
        </w:rPr>
        <w:t xml:space="preserve"> The Greek that the BSB translates as </w:t>
      </w:r>
      <w:r>
        <w:rPr>
          <w:i/>
          <w:lang w:val="en_US" w:bidi="en_US"/>
        </w:rPr>
        <w:t>took up</w:t>
      </w:r>
      <w:r>
        <w:rPr>
          <w:lang w:val="en_US" w:bidi="en_US"/>
        </w:rPr>
        <w:t xml:space="preserve"> reflects the idiomatic language used in the Greek. It means that Jesus responded to the question. Jesus answered the question in 10:29b by telling the parable in 10:30–35. In some languages it may be helpful to make this explicit. For example:</w:t>
      </w:r>
    </w:p>
    <w:p>
      <w:pPr/>
      <w:r>
        <w:rPr>
          <w:lang w:val="en_US" w:bidi="en_US"/>
        </w:rPr>
      </w:r>
      <w:r>
        <w:rPr>
          <w:lang w:val="en_US" w:bidi="en_US"/>
        </w:rPr>
        <w:t>Jesus replied with a story (NLT)</w:t>
      </w:r>
    </w:p>
    <w:p>
      <w:pPr>
        <w:pStyle w:val="Heading5"/>
      </w:pPr>
      <w:r>
        <w:rPr>
          <w:lang w:val="en_US" w:bidi="en_US"/>
        </w:rPr>
        <w:t>10:30b</w:t>
      </w:r>
    </w:p>
    <w:p>
      <w:pPr/>
      <w:r>
        <w:rPr>
          <w:lang w:val="en_US" w:bidi="en_US"/>
        </w:rPr>
      </w:r>
      <w:r>
        <w:rPr>
          <w:b/>
          <w:lang w:val="en_US" w:bidi="en_US"/>
        </w:rPr>
        <w:t>“A man was going down from Jerusalem to Jericho</w:t>
      </w:r>
    </w:p>
    <w:p>
      <w:pPr>
        <w:pStyle w:val="ListBullet"/>
        <w:spacing w:line="240" w:lineRule="auto"/>
        <w:ind w:left="720"/>
      </w:pPr>
      <w:r>
        <w:rPr>
          <w:lang w:val="en_US" w:bidi="en_US"/>
        </w:rPr>
      </w:r>
      <w:r>
        <w:rPr>
          <w:lang w:val="en_US" w:bidi="en_US"/>
        </w:rPr>
        <w:t>“</w:t>
      </w:r>
      <w:r>
        <w:rPr>
          <w:lang w:val="en_US" w:bidi="en_US"/>
        </w:rPr>
        <w:t>Once there was</w:t>
      </w:r>
      <w:r>
        <w:rPr>
          <w:lang w:val="en_US" w:bidi="en_US"/>
        </w:rPr>
        <w:t xml:space="preserve"> a man who traveled from Jerusalem down to Jericho,</w:t>
      </w:r>
    </w:p>
    <w:p>
      <w:pPr>
        <w:pStyle w:val="ListBullet"/>
        <w:spacing w:line="240" w:lineRule="auto"/>
        <w:ind w:left="720"/>
      </w:pPr>
      <w:r>
        <w:rPr>
          <w:lang w:val="en_US" w:bidi="en_US"/>
        </w:rPr>
      </w:r>
      <w:r>
        <w:rPr>
          <w:lang w:val="en_US" w:bidi="en_US"/>
        </w:rPr>
        <w:t>“</w:t>
      </w:r>
      <w:r>
        <w:rPr>
          <w:lang w:val="en_US" w:bidi="en_US"/>
        </w:rPr>
        <w:t>One day,</w:t>
      </w:r>
      <w:r>
        <w:rPr>
          <w:lang w:val="en_US" w:bidi="en_US"/>
        </w:rPr>
        <w:t xml:space="preserve"> a </w:t>
      </w:r>
      <w:r>
        <w:rPr>
          <w:lang w:val="en_US" w:bidi="en_US"/>
        </w:rPr>
        <w:t>certain</w:t>
      </w:r>
      <w:r>
        <w:rPr>
          <w:lang w:val="en_US" w:bidi="en_US"/>
        </w:rPr>
        <w:t xml:space="preserve"> man left </w:t>
      </w:r>
      <w:r>
        <w:rPr>
          <w:lang w:val="en_US" w:bidi="en_US"/>
        </w:rPr>
        <w:t>the city of</w:t>
      </w:r>
      <w:r>
        <w:rPr>
          <w:lang w:val="en_US" w:bidi="en_US"/>
        </w:rPr>
        <w:t xml:space="preserve"> Jerusalem and was going to </w:t>
      </w:r>
      <w:r>
        <w:rPr>
          <w:lang w:val="en_US" w:bidi="en_US"/>
        </w:rPr>
        <w:t>the town of</w:t>
      </w:r>
      <w:r>
        <w:rPr>
          <w:lang w:val="en_US" w:bidi="en_US"/>
        </w:rPr>
        <w:t xml:space="preserve"> Jericho.</w:t>
      </w:r>
    </w:p>
    <w:p>
      <w:pPr/>
      <w:r>
        <w:rPr>
          <w:lang w:val="en_US" w:bidi="en_US"/>
        </w:rPr>
      </w:r>
      <w:r>
        <w:rPr>
          <w:b/>
          <w:lang w:val="en_US" w:bidi="en_US"/>
        </w:rPr>
        <w:t>A man:</w:t>
      </w:r>
      <w:r>
        <w:rPr>
          <w:lang w:val="en_US" w:bidi="en_US"/>
        </w:rPr>
        <w:t xml:space="preserve"> The Greek phrase that the BSB translates as </w:t>
      </w:r>
      <w:r>
        <w:rPr>
          <w:i/>
          <w:lang w:val="en_US" w:bidi="en_US"/>
        </w:rPr>
        <w:t>A man</w:t>
      </w:r>
      <w:r>
        <w:rPr>
          <w:lang w:val="en_US" w:bidi="en_US"/>
        </w:rPr>
        <w:t xml:space="preserve"> is more literally “A certain man.” This is a way to introduce a new person into a story, as well as to introduce a new story itself. Consider what is a natural way to introduce a new story and a new person in the story in your language. For example:</w:t>
      </w:r>
    </w:p>
    <w:p>
      <w:pPr/>
      <w:r>
        <w:rPr>
          <w:lang w:val="en_US" w:bidi="en_US"/>
        </w:rPr>
      </w:r>
      <w:r>
        <w:rPr>
          <w:lang w:val="en_US" w:bidi="en_US"/>
        </w:rPr>
        <w:t>There was once a man (GNT)</w:t>
      </w:r>
    </w:p>
    <w:p>
      <w:pPr/>
      <w:r>
        <w:rPr>
          <w:lang w:val="en_US" w:bidi="en_US"/>
        </w:rPr>
      </w:r>
      <w:r>
        <w:rPr>
          <w:lang w:val="en_US" w:bidi="en_US"/>
        </w:rPr>
        <w:t>One day, a certain man</w:t>
      </w:r>
    </w:p>
    <w:p>
      <w:pPr/>
      <w:r>
        <w:rPr>
          <w:lang w:val="en_US" w:bidi="en_US"/>
        </w:rPr>
      </w:r>
      <w:r>
        <w:rPr>
          <w:lang w:val="en_US" w:bidi="en_US"/>
        </w:rPr>
        <w:t>The people who heard this story may have assumed that the man was Jewish. However, Jesus did not specify what ethnic group the man was from.</w:t>
      </w:r>
    </w:p>
    <w:p>
      <w:pPr/>
      <w:r>
        <w:rPr>
          <w:lang w:val="en_US" w:bidi="en_US"/>
        </w:rPr>
      </w:r>
      <w:r>
        <w:rPr>
          <w:b/>
          <w:lang w:val="en_US" w:bidi="en_US"/>
        </w:rPr>
        <w:t>going down from Jerusalem:</w:t>
      </w:r>
      <w:r>
        <w:rPr>
          <w:lang w:val="en_US" w:bidi="en_US"/>
        </w:rPr>
        <w:t xml:space="preserve"> The Greek verb that the BSB translates as </w:t>
      </w:r>
      <w:r>
        <w:rPr>
          <w:i/>
          <w:lang w:val="en_US" w:bidi="en_US"/>
        </w:rPr>
        <w:t>going down</w:t>
      </w:r>
      <w:r>
        <w:rPr>
          <w:lang w:val="en_US" w:bidi="en_US"/>
        </w:rPr>
        <w:t xml:space="preserve"> indicates that the man traveled down a hill. The city of Jerusalem was built on a hill. So anyone leaving the city had to walk </w:t>
      </w:r>
      <w:r>
        <w:rPr>
          <w:i/>
          <w:lang w:val="en_US" w:bidi="en_US"/>
        </w:rPr>
        <w:t>down</w:t>
      </w:r>
      <w:r>
        <w:rPr>
          <w:lang w:val="en_US" w:bidi="en_US"/>
        </w:rPr>
        <w:t xml:space="preserve"> the hill to a place that was lower in elevation.</w:t>
      </w:r>
    </w:p>
    <w:p>
      <w:pPr/>
      <w:r>
        <w:rPr>
          <w:lang w:val="en_US" w:bidi="en_US"/>
        </w:rPr>
      </w:r>
      <w:r>
        <w:rPr>
          <w:lang w:val="en_US" w:bidi="en_US"/>
        </w:rPr>
        <w:t>In some languages, it is important to say whether people go up or down when they travel. In other languages, this will be unusual or may be confusing. If it is not natural in your language, you may use a more general expression. For example:</w:t>
      </w:r>
    </w:p>
    <w:p>
      <w:pPr/>
      <w:r>
        <w:rPr>
          <w:lang w:val="en_US" w:bidi="en_US"/>
        </w:rPr>
      </w:r>
      <w:r>
        <w:rPr>
          <w:lang w:val="en_US" w:bidi="en_US"/>
        </w:rPr>
        <w:t>left Jerusalem and traveled</w:t>
      </w:r>
    </w:p>
    <w:p>
      <w:pPr/>
      <w:r>
        <w:rPr>
          <w:lang w:val="en_US" w:bidi="en_US"/>
        </w:rPr>
      </w:r>
      <w:r>
        <w:rPr>
          <w:lang w:val="en_US" w:bidi="en_US"/>
        </w:rPr>
        <w:t>was going from Jerusalem</w:t>
      </w:r>
    </w:p>
    <w:p>
      <w:pPr/>
      <w:r>
        <w:rPr>
          <w:lang w:val="en_US" w:bidi="en_US"/>
        </w:rPr>
      </w:r>
      <w:r>
        <w:rPr>
          <w:lang w:val="en_US" w:bidi="en_US"/>
        </w:rPr>
        <w:t xml:space="preserve">If you do not include the information that the man went </w:t>
      </w:r>
      <w:r>
        <w:rPr>
          <w:u w:val="single"/>
          <w:lang w:val="en_US" w:bidi="en_US"/>
        </w:rPr>
        <w:t>downhill</w:t>
      </w:r>
      <w:r>
        <w:rPr>
          <w:lang w:val="en_US" w:bidi="en_US"/>
        </w:rPr>
        <w:t>¸ you may want to add a footnote with this information. For example:</w:t>
      </w:r>
    </w:p>
    <w:p>
      <w:pPr/>
      <w:r>
        <w:rPr>
          <w:lang w:val="en_US" w:bidi="en_US"/>
        </w:rPr>
      </w:r>
      <w:r>
        <w:rPr>
          <w:lang w:val="en_US" w:bidi="en_US"/>
        </w:rPr>
        <w:t>Jericho was located about 27 kilometers (17 miles) from Jerusalem. It was about 1000 meters (3300 feet) lower in altitude.</w:t>
      </w:r>
      <w:r>
        <w:rPr>
          <w:lang w:val="en_US" w:bidi="en_US"/>
        </w:rPr>
        <w:t>These figures agree with what Marshall says (pp. 447–48). The figures given in TRT (p. 219) and in TH (pp. 419–20) are slightly different.</w:t>
      </w:r>
      <w:r>
        <w:rPr>
          <w:lang w:val="en_US" w:bidi="en_US"/>
        </w:rPr>
        <w:t xml:space="preserve"> The road was steep. It passed through isolated, rocky places where it was easy for bandits to hide and attack people</w:t>
      </w:r>
    </w:p>
    <w:p>
      <w:pPr/>
      <w:r>
        <w:rPr>
          <w:lang w:val="en_US" w:bidi="en_US"/>
        </w:rPr>
      </w:r>
      <w:r>
        <w:rPr>
          <w:b/>
          <w:lang w:val="en_US" w:bidi="en_US"/>
        </w:rPr>
        <w:t>to Jericho:</w:t>
      </w:r>
      <w:r>
        <w:rPr>
          <w:lang w:val="en_US" w:bidi="en_US"/>
        </w:rPr>
        <w:t xml:space="preserve"> </w:t>
      </w:r>
      <w:r>
        <w:rPr>
          <w:i/>
          <w:lang w:val="en_US" w:bidi="en_US"/>
        </w:rPr>
        <w:t>Jericho</w:t>
      </w:r>
      <w:r>
        <w:rPr>
          <w:lang w:val="en_US" w:bidi="en_US"/>
        </w:rPr>
        <w:t xml:space="preserve"> was a town near the Jordan River. It was about twenty-seven kilometers east of Jerusalem.</w:t>
      </w:r>
    </w:p>
    <w:p>
      <w:pPr>
        <w:pStyle w:val="Heading5"/>
      </w:pPr>
      <w:r>
        <w:rPr>
          <w:lang w:val="en_US" w:bidi="en_US"/>
        </w:rPr>
        <w:t>10:30c</w:t>
      </w:r>
    </w:p>
    <w:p>
      <w:pPr/>
      <w:r>
        <w:rPr>
          <w:lang w:val="en_US" w:bidi="en_US"/>
        </w:rPr>
      </w:r>
      <w:r>
        <w:rPr>
          <w:b/>
          <w:lang w:val="en_US" w:bidi="en_US"/>
        </w:rPr>
        <w:t>when he fell into the hands of robbers.</w:t>
      </w:r>
    </w:p>
    <w:p>
      <w:pPr>
        <w:pStyle w:val="ListBullet"/>
        <w:spacing w:line="240" w:lineRule="auto"/>
        <w:ind w:left="720"/>
      </w:pPr>
      <w:r>
        <w:rPr>
          <w:lang w:val="en_US" w:bidi="en_US"/>
        </w:rPr>
      </w:r>
      <w:r>
        <w:rPr>
          <w:lang w:val="en_US" w:bidi="en_US"/>
        </w:rPr>
        <w:t xml:space="preserve">and </w:t>
      </w:r>
      <w:r>
        <w:rPr>
          <w:lang w:val="en_US" w:bidi="en_US"/>
        </w:rPr>
        <w:t>on the way/road</w:t>
      </w:r>
      <w:r>
        <w:rPr>
          <w:lang w:val="en_US" w:bidi="en_US"/>
        </w:rPr>
        <w:t xml:space="preserve"> he encountered some robbers who seized him.</w:t>
      </w:r>
    </w:p>
    <w:p>
      <w:pPr>
        <w:pStyle w:val="ListBullet"/>
        <w:spacing w:line="240" w:lineRule="auto"/>
        <w:ind w:left="720"/>
      </w:pPr>
      <w:r>
        <w:rPr>
          <w:lang w:val="en_US" w:bidi="en_US"/>
        </w:rPr>
      </w:r>
      <w:r>
        <w:rPr>
          <w:lang w:val="en_US" w:bidi="en_US"/>
        </w:rPr>
        <w:t>While he was going,</w:t>
      </w:r>
      <w:r>
        <w:rPr>
          <w:lang w:val="en_US" w:bidi="en_US"/>
        </w:rPr>
        <w:t xml:space="preserve"> some bandits attacked him.</w:t>
      </w:r>
    </w:p>
    <w:p>
      <w:pPr/>
      <w:r>
        <w:rPr>
          <w:lang w:val="en_US" w:bidi="en_US"/>
        </w:rPr>
      </w:r>
      <w:r>
        <w:rPr>
          <w:b/>
          <w:lang w:val="en_US" w:bidi="en_US"/>
        </w:rPr>
        <w:t>he fell into the hands of robbers:</w:t>
      </w:r>
      <w:r>
        <w:rPr>
          <w:lang w:val="en_US" w:bidi="en_US"/>
        </w:rPr>
        <w:t xml:space="preserve"> The Greek expression that the BSB translates as </w:t>
      </w:r>
      <w:r>
        <w:rPr>
          <w:i/>
          <w:lang w:val="en_US" w:bidi="en_US"/>
        </w:rPr>
        <w:t>he fell into the hands of robbers</w:t>
      </w:r>
      <w:r>
        <w:rPr>
          <w:lang w:val="en_US" w:bidi="en_US"/>
        </w:rPr>
        <w:t xml:space="preserve"> is an idiom. It indicates here that some robbers attacked the man and overcame him. It does not mean that the man stumbled and fell. It also does not imply that the man was planning to meet these robbers. The robbers were looking for a traveler to attack. Here is another way to say this:</w:t>
      </w:r>
    </w:p>
    <w:p>
      <w:pPr/>
      <w:r>
        <w:rPr>
          <w:lang w:val="en_US" w:bidi="en_US"/>
        </w:rPr>
      </w:r>
      <w:r>
        <w:rPr>
          <w:lang w:val="en_US" w:bidi="en_US"/>
        </w:rPr>
        <w:t>some robbers attacked him (NCV)</w:t>
      </w:r>
    </w:p>
    <w:p>
      <w:pPr/>
      <w:r>
        <w:rPr>
          <w:lang w:val="en_US" w:bidi="en_US"/>
        </w:rPr>
      </w:r>
      <w:r>
        <w:rPr>
          <w:b/>
          <w:lang w:val="en_US" w:bidi="en_US"/>
        </w:rPr>
        <w:t>robbers:</w:t>
      </w:r>
      <w:r>
        <w:rPr>
          <w:lang w:val="en_US" w:bidi="en_US"/>
        </w:rPr>
        <w:t xml:space="preserve"> The Greek word that the BSB translates as </w:t>
      </w:r>
      <w:r>
        <w:rPr>
          <w:i/>
          <w:lang w:val="en_US" w:bidi="en_US"/>
        </w:rPr>
        <w:t>robbers</w:t>
      </w:r>
      <w:r>
        <w:rPr>
          <w:lang w:val="en_US" w:bidi="en_US"/>
        </w:rPr>
        <w:t xml:space="preserve"> refers to men who attacked people who were traveling from one place to another. The robbers would beat the people and steal from them and sometimes kill them. Other ways to translate the word are:</w:t>
      </w:r>
    </w:p>
    <w:p>
      <w:pPr/>
      <w:r>
        <w:rPr>
          <w:lang w:val="en_US" w:bidi="en_US"/>
        </w:rPr>
      </w:r>
      <w:r>
        <w:rPr>
          <w:lang w:val="en_US" w:bidi="en_US"/>
        </w:rPr>
        <w:t>brigands</w:t>
      </w:r>
    </w:p>
    <w:p>
      <w:pPr/>
      <w:r>
        <w:rPr>
          <w:lang w:val="en_US" w:bidi="en_US"/>
        </w:rPr>
      </w:r>
      <w:r>
        <w:rPr>
          <w:lang w:val="en_US" w:bidi="en_US"/>
        </w:rPr>
        <w:t>highwaymen</w:t>
      </w:r>
    </w:p>
    <w:p>
      <w:pPr/>
      <w:r>
        <w:rPr>
          <w:lang w:val="en_US" w:bidi="en_US"/>
        </w:rPr>
      </w:r>
      <w:r>
        <w:rPr>
          <w:lang w:val="en_US" w:bidi="en_US"/>
        </w:rPr>
        <w:t>bandits/brigands</w:t>
      </w:r>
    </w:p>
    <w:p>
      <w:pPr/>
      <w:r>
        <w:rPr>
          <w:lang w:val="en_US" w:bidi="en_US"/>
        </w:rPr>
      </w:r>
      <w:r>
        <w:rPr>
          <w:lang w:val="en_US" w:bidi="en_US"/>
        </w:rPr>
        <w:t>violent thieves</w:t>
      </w:r>
    </w:p>
    <w:p>
      <w:pPr>
        <w:pStyle w:val="Heading5"/>
      </w:pPr>
      <w:r>
        <w:rPr>
          <w:lang w:val="en_US" w:bidi="en_US"/>
        </w:rPr>
        <w:t>10:30d</w:t>
      </w:r>
    </w:p>
    <w:p>
      <w:pPr/>
      <w:r>
        <w:rPr>
          <w:lang w:val="en_US" w:bidi="en_US"/>
        </w:rPr>
      </w:r>
      <w:r>
        <w:rPr>
          <w:b/>
          <w:lang w:val="en_US" w:bidi="en_US"/>
        </w:rPr>
        <w:t>They stripped him,</w:t>
      </w:r>
    </w:p>
    <w:p>
      <w:pPr>
        <w:pStyle w:val="ListBullet"/>
        <w:spacing w:line="240" w:lineRule="auto"/>
        <w:ind w:left="720"/>
      </w:pPr>
      <w:r>
        <w:rPr>
          <w:lang w:val="en_US" w:bidi="en_US"/>
        </w:rPr>
      </w:r>
      <w:r>
        <w:rPr>
          <w:lang w:val="en_US" w:bidi="en_US"/>
        </w:rPr>
        <w:t>They took off his clothes,</w:t>
      </w:r>
    </w:p>
    <w:p>
      <w:pPr>
        <w:pStyle w:val="ListBullet"/>
        <w:spacing w:line="240" w:lineRule="auto"/>
        <w:ind w:left="720"/>
      </w:pPr>
      <w:r>
        <w:rPr>
          <w:lang w:val="en_US" w:bidi="en_US"/>
        </w:rPr>
      </w:r>
      <w:r>
        <w:rPr>
          <w:lang w:val="en_US" w:bidi="en_US"/>
        </w:rPr>
        <w:t xml:space="preserve">They took </w:t>
      </w:r>
      <w:r>
        <w:rPr>
          <w:lang w:val="en_US" w:bidi="en_US"/>
        </w:rPr>
        <w:t>everything</w:t>
      </w:r>
      <w:r>
        <w:rPr>
          <w:lang w:val="en_US" w:bidi="en_US"/>
        </w:rPr>
        <w:t xml:space="preserve"> from him, </w:t>
      </w:r>
      <w:r>
        <w:rPr>
          <w:lang w:val="en_US" w:bidi="en_US"/>
        </w:rPr>
        <w:t>even</w:t>
      </w:r>
      <w:r>
        <w:rPr>
          <w:lang w:val="en_US" w:bidi="en_US"/>
        </w:rPr>
        <w:t xml:space="preserve"> his clothes.</w:t>
      </w:r>
    </w:p>
    <w:p>
      <w:pPr/>
      <w:r>
        <w:rPr>
          <w:lang w:val="en_US" w:bidi="en_US"/>
        </w:rPr>
      </w:r>
      <w:r>
        <w:rPr>
          <w:b/>
          <w:lang w:val="en_US" w:bidi="en_US"/>
        </w:rPr>
        <w:t>They stripped him:</w:t>
      </w:r>
      <w:r>
        <w:rPr>
          <w:lang w:val="en_US" w:bidi="en_US"/>
        </w:rPr>
        <w:t xml:space="preserve"> The Greek verb that the BSB translates as </w:t>
      </w:r>
      <w:r>
        <w:rPr>
          <w:i/>
          <w:lang w:val="en_US" w:bidi="en_US"/>
        </w:rPr>
        <w:t>stripped</w:t>
      </w:r>
      <w:r>
        <w:rPr>
          <w:lang w:val="en_US" w:bidi="en_US"/>
        </w:rPr>
        <w:t xml:space="preserve"> indicates here that the robbers took the man’s clothes off his body.</w:t>
      </w:r>
      <w:r>
        <w:rPr>
          <w:lang w:val="en_US" w:bidi="en_US"/>
        </w:rPr>
        <w:t>BDAG (p. 301): 1. “to remove clothing from the body, strip, take off.” 2. “to remove by force, plunder.”</w:t>
      </w:r>
      <w:r>
        <w:rPr>
          <w:lang w:val="en_US" w:bidi="en_US"/>
        </w:rPr>
        <w:t xml:space="preserve"> This probably also implies that they took his money and everything else that he had with him. So you may wish to translate this as:</w:t>
      </w:r>
    </w:p>
    <w:p>
      <w:pPr/>
      <w:r>
        <w:rPr>
          <w:lang w:val="en_US" w:bidi="en_US"/>
        </w:rPr>
      </w:r>
      <w:r>
        <w:rPr>
          <w:lang w:val="en_US" w:bidi="en_US"/>
        </w:rPr>
        <w:t xml:space="preserve">They stripped him </w:t>
      </w:r>
      <w:r>
        <w:rPr>
          <w:lang w:val="en_US" w:bidi="en_US"/>
        </w:rPr>
        <w:t>of everything he had</w:t>
      </w:r>
    </w:p>
    <w:p>
      <w:pPr/>
      <w:r>
        <w:rPr>
          <w:lang w:val="en_US" w:bidi="en_US"/>
        </w:rPr>
      </w:r>
      <w:r>
        <w:rPr>
          <w:lang w:val="en_US" w:bidi="en_US"/>
        </w:rPr>
        <w:t xml:space="preserve">They removed his clothes </w:t>
      </w:r>
      <w:r>
        <w:rPr>
          <w:lang w:val="en_US" w:bidi="en_US"/>
        </w:rPr>
        <w:t>and took them,</w:t>
      </w:r>
      <w:r>
        <w:rPr>
          <w:lang w:val="en_US" w:bidi="en_US"/>
        </w:rPr>
        <w:t xml:space="preserve"> </w:t>
      </w:r>
      <w:r>
        <w:rPr>
          <w:lang w:val="en_US" w:bidi="en_US"/>
        </w:rPr>
        <w:t>along with everything he had with him</w:t>
      </w:r>
    </w:p>
    <w:p>
      <w:pPr>
        <w:pStyle w:val="Heading5"/>
      </w:pPr>
      <w:r>
        <w:rPr>
          <w:lang w:val="en_US" w:bidi="en_US"/>
        </w:rPr>
        <w:t>10:30e</w:t>
      </w:r>
    </w:p>
    <w:p>
      <w:pPr/>
      <w:r>
        <w:rPr>
          <w:lang w:val="en_US" w:bidi="en_US"/>
        </w:rPr>
      </w:r>
      <w:r>
        <w:rPr>
          <w:b/>
          <w:lang w:val="en_US" w:bidi="en_US"/>
        </w:rPr>
        <w:t>beat him, and went away, leaving him half dead.</w:t>
      </w:r>
    </w:p>
    <w:p>
      <w:pPr>
        <w:pStyle w:val="ListBullet"/>
        <w:spacing w:line="240" w:lineRule="auto"/>
        <w:ind w:left="720"/>
      </w:pPr>
      <w:r>
        <w:rPr>
          <w:lang w:val="en_US" w:bidi="en_US"/>
        </w:rPr>
      </w:r>
      <w:r>
        <w:rPr>
          <w:lang w:val="en_US" w:bidi="en_US"/>
        </w:rPr>
        <w:t xml:space="preserve">hit/struck him </w:t>
      </w:r>
      <w:r>
        <w:rPr>
          <w:lang w:val="en_US" w:bidi="en_US"/>
        </w:rPr>
        <w:t>repeatedly</w:t>
      </w:r>
      <w:r>
        <w:rPr>
          <w:lang w:val="en_US" w:bidi="en_US"/>
        </w:rPr>
        <w:t>, and then went away, leaving him unconscious.</w:t>
      </w:r>
    </w:p>
    <w:p>
      <w:pPr>
        <w:pStyle w:val="ListBullet"/>
        <w:spacing w:line="240" w:lineRule="auto"/>
        <w:ind w:left="720"/>
      </w:pPr>
      <w:r>
        <w:rPr>
          <w:lang w:val="en_US" w:bidi="en_US"/>
        </w:rPr>
      </w:r>
      <w:r>
        <w:rPr>
          <w:lang w:val="en_US" w:bidi="en_US"/>
        </w:rPr>
        <w:t xml:space="preserve">They beat him until he was almost dead. Then they left him </w:t>
      </w:r>
      <w:r>
        <w:rPr>
          <w:lang w:val="en_US" w:bidi="en_US"/>
        </w:rPr>
        <w:t>lying there</w:t>
      </w:r>
      <w:r>
        <w:rPr>
          <w:lang w:val="en_US" w:bidi="en_US"/>
        </w:rPr>
        <w:t>.</w:t>
      </w:r>
    </w:p>
    <w:p>
      <w:pPr/>
      <w:r>
        <w:rPr>
          <w:lang w:val="en_US" w:bidi="en_US"/>
        </w:rPr>
      </w:r>
      <w:r>
        <w:rPr>
          <w:b/>
          <w:lang w:val="en_US" w:bidi="en_US"/>
        </w:rPr>
        <w:t>beat him:</w:t>
      </w:r>
      <w:r>
        <w:rPr>
          <w:lang w:val="en_US" w:bidi="en_US"/>
        </w:rPr>
        <w:t xml:space="preserve"> The Greek phrase that the BSB translates as </w:t>
      </w:r>
      <w:r>
        <w:rPr>
          <w:i/>
          <w:lang w:val="en_US" w:bidi="en_US"/>
        </w:rPr>
        <w:t>beat him</w:t>
      </w:r>
      <w:r>
        <w:rPr>
          <w:lang w:val="en_US" w:bidi="en_US"/>
        </w:rPr>
        <w:t xml:space="preserve"> means “hit him.” The text does not say with what the robbers hit the man, but it was probably with sticks or clubs.</w:t>
      </w:r>
    </w:p>
    <w:p>
      <w:pPr/>
      <w:r>
        <w:rPr>
          <w:lang w:val="en_US" w:bidi="en_US"/>
        </w:rPr>
      </w:r>
      <w:r>
        <w:rPr>
          <w:b/>
          <w:lang w:val="en_US" w:bidi="en_US"/>
        </w:rPr>
        <w:t>leaving him half dead:</w:t>
      </w:r>
      <w:r>
        <w:rPr>
          <w:lang w:val="en_US" w:bidi="en_US"/>
        </w:rPr>
        <w:t xml:space="preserve"> The Greek word that the BSB translates as </w:t>
      </w:r>
      <w:r>
        <w:rPr>
          <w:i/>
          <w:lang w:val="en_US" w:bidi="en_US"/>
        </w:rPr>
        <w:t>half dead</w:t>
      </w:r>
      <w:r>
        <w:rPr>
          <w:lang w:val="en_US" w:bidi="en_US"/>
        </w:rPr>
        <w:t xml:space="preserve"> means “severely hurt” or “only just alive.” Some other ways to say this are:</w:t>
      </w:r>
    </w:p>
    <w:p>
      <w:pPr/>
      <w:r>
        <w:rPr>
          <w:lang w:val="en_US" w:bidi="en_US"/>
        </w:rPr>
      </w:r>
      <w:r>
        <w:rPr>
          <w:lang w:val="en_US" w:bidi="en_US"/>
        </w:rPr>
        <w:t>almost dead (NCV)</w:t>
      </w:r>
    </w:p>
    <w:p>
      <w:pPr/>
      <w:r>
        <w:rPr>
          <w:lang w:val="en_US" w:bidi="en_US"/>
        </w:rPr>
      </w:r>
      <w:r>
        <w:rPr>
          <w:lang w:val="en_US" w:bidi="en_US"/>
        </w:rPr>
        <w:t>he was near death</w:t>
      </w:r>
    </w:p>
    <w:p>
      <w:pPr/>
      <w:r>
        <w:rPr>
          <w:lang w:val="en_US" w:bidi="en_US"/>
        </w:rPr>
      </w:r>
      <w:r>
        <w:rPr>
          <w:lang w:val="en_US" w:bidi="en_US"/>
        </w:rPr>
        <w:t>Apparently, the robbers beat the man until he was unconscious and then went away. In some languages there may be an idiomatic way to say this.</w:t>
      </w:r>
      <w:r>
        <w:rPr>
          <w:lang w:val="en_US" w:bidi="en_US"/>
        </w:rPr>
      </w:r>
      <w:r>
        <w:rPr>
          <w:lang w:val="en_US" w:bidi="en_US"/>
        </w:rPr>
      </w:r>
    </w:p>
    <w:p>
      <w:pPr/>
      <w:r>
        <w:rPr>
          <w:lang w:val="en_US" w:bidi="en_US"/>
        </w:rPr>
      </w:r>
    </w:p>
    <w:p>
      <w:pPr>
        <w:pStyle w:val="Heading2"/>
      </w:pPr>
      <w:r>
        <w:rPr>
          <w:lang w:val="en_US" w:bidi="en_US"/>
        </w:rPr>
        <w:t>Luke 10:31</w:t>
      </w:r>
      <w:r>
        <w:rPr>
          <w:lang w:val="en_US" w:bidi="en_US"/>
        </w:rPr>
      </w:r>
    </w:p>
    <w:p>
      <w:pPr>
        <w:pStyle w:val="Heading4"/>
      </w:pPr>
      <w:r>
        <w:rPr>
          <w:lang w:val="en_US" w:bidi="en_US"/>
        </w:rPr>
        <w:t>Section 10:25–37: Jesus told a story to show us who our neighbors are</w:t>
      </w:r>
    </w:p>
    <w:p>
      <w:pPr/>
      <w:r>
        <w:rPr>
          <w:lang w:val="en_US" w:bidi="en_US"/>
        </w:rPr>
      </w:r>
      <w:r>
        <w:rPr>
          <w:lang w:val="en_US" w:bidi="en_US"/>
        </w:rP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pPr/>
      <w:r>
        <w:rPr>
          <w:lang w:val="en_US" w:bidi="en_US"/>
        </w:rPr>
      </w:r>
      <w:r>
        <w:rPr>
          <w:lang w:val="en_US" w:bidi="en_US"/>
        </w:rP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pPr/>
      <w:r>
        <w:rPr>
          <w:lang w:val="en_US" w:bidi="en_US"/>
        </w:rPr>
      </w:r>
      <w:r>
        <w:rPr>
          <w:lang w:val="en_US" w:bidi="en_US"/>
        </w:rP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pPr/>
      <w:r>
        <w:rPr>
          <w:lang w:val="en_US" w:bidi="en_US"/>
        </w:rPr>
      </w:r>
      <w:r>
        <w:rPr>
          <w:lang w:val="en_US" w:bidi="en_US"/>
        </w:rPr>
        <w:t>Some other possible section headings are:</w:t>
      </w:r>
    </w:p>
    <w:p>
      <w:pPr/>
      <w:r>
        <w:rPr>
          <w:lang w:val="en_US" w:bidi="en_US"/>
        </w:rPr>
      </w:r>
      <w:r>
        <w:rPr>
          <w:lang w:val="en_US" w:bidi="en_US"/>
        </w:rPr>
        <w:t>The parable about the good foreigner</w:t>
      </w:r>
    </w:p>
    <w:p>
      <w:pPr/>
      <w:r>
        <w:rPr>
          <w:lang w:val="en_US" w:bidi="en_US"/>
        </w:rPr>
      </w:r>
      <w:r>
        <w:rPr>
          <w:lang w:val="en_US" w:bidi="en_US"/>
        </w:rPr>
        <w:t>Who is my neighbor?</w:t>
      </w:r>
    </w:p>
    <w:p>
      <w:pPr/>
      <w:r>
        <w:rPr>
          <w:lang w:val="en_US" w:bidi="en_US"/>
        </w:rPr>
      </w:r>
      <w:r>
        <w:rPr>
          <w:lang w:val="en_US" w:bidi="en_US"/>
        </w:rPr>
        <w:t>The Good Samaritan</w:t>
      </w:r>
    </w:p>
    <w:p>
      <w:pPr/>
      <w:r>
        <w:rPr>
          <w:lang w:val="en_US" w:bidi="en_US"/>
        </w:rPr>
      </w:r>
      <w:r>
        <w:rPr>
          <w:lang w:val="en_US" w:bidi="en_US"/>
        </w:rPr>
        <w:t>Luke is the only gospel writer who includes this parable.</w:t>
      </w:r>
    </w:p>
    <w:p>
      <w:pPr>
        <w:pStyle w:val="Heading4"/>
      </w:pPr>
      <w:r>
        <w:rPr>
          <w:lang w:val="en_US" w:bidi="en_US"/>
        </w:rPr>
        <w:t>Paragraph 10:30–35</w:t>
      </w:r>
    </w:p>
    <w:p>
      <w:pPr/>
      <w:r>
        <w:rPr>
          <w:lang w:val="en_US" w:bidi="en_US"/>
        </w:rPr>
      </w:r>
      <w:r>
        <w:rPr>
          <w:lang w:val="en_US" w:bidi="en_US"/>
        </w:rPr>
        <w:t>Jesus told the story in this paragraph in order to teach people what the Law meant by the command to love our neighbors. Most scholars think that this story probably did not really happen. If you must distinguish in your language between events that actually happened and fictional stories, you can indicate that it is a fictional story.</w:t>
      </w:r>
    </w:p>
    <w:p>
      <w:pPr>
        <w:pStyle w:val="Heading5"/>
      </w:pPr>
      <w:r>
        <w:rPr>
          <w:lang w:val="en_US" w:bidi="en_US"/>
        </w:rPr>
        <w:t>10:31a–33a</w:t>
      </w:r>
    </w:p>
    <w:p>
      <w:pPr/>
      <w:r>
        <w:rPr>
          <w:lang w:val="en_US" w:bidi="en_US"/>
        </w:rPr>
      </w:r>
      <w:r>
        <w:rPr>
          <w:lang w:val="en_US" w:bidi="en_US"/>
        </w:rPr>
        <w:t>Each of these three verses introduces one of three people who had the opportunity to help the man who had been beaten. Introduce each of these people in a natural way in your language.</w:t>
      </w:r>
    </w:p>
    <w:p>
      <w:pPr>
        <w:pStyle w:val="Heading5"/>
      </w:pPr>
      <w:r>
        <w:rPr>
          <w:lang w:val="en_US" w:bidi="en_US"/>
        </w:rPr>
        <w:t>10:31a</w:t>
      </w:r>
    </w:p>
    <w:p>
      <w:pPr/>
      <w:r>
        <w:rPr>
          <w:lang w:val="en_US" w:bidi="en_US"/>
        </w:rPr>
      </w:r>
      <w:r>
        <w:rPr>
          <w:b/>
          <w:lang w:val="en_US" w:bidi="en_US"/>
        </w:rPr>
        <w:t>Now by chance a priest was going down the same road,</w:t>
      </w:r>
    </w:p>
    <w:p>
      <w:pPr>
        <w:pStyle w:val="ListBullet"/>
        <w:spacing w:line="240" w:lineRule="auto"/>
        <w:ind w:left="720"/>
      </w:pPr>
      <w:r>
        <w:rPr>
          <w:lang w:val="en_US" w:bidi="en_US"/>
        </w:rPr>
      </w:r>
      <w:r>
        <w:rPr>
          <w:lang w:val="en_US" w:bidi="en_US"/>
        </w:rPr>
        <w:t>Later/Then</w:t>
      </w:r>
      <w:r>
        <w:rPr>
          <w:lang w:val="en_US" w:bidi="en_US"/>
        </w:rPr>
        <w:t xml:space="preserve"> a </w:t>
      </w:r>
      <w:r>
        <w:rPr>
          <w:lang w:val="en_US" w:bidi="en_US"/>
        </w:rPr>
        <w:t>Jewish</w:t>
      </w:r>
      <w:r>
        <w:rPr>
          <w:lang w:val="en_US" w:bidi="en_US"/>
        </w:rPr>
        <w:t xml:space="preserve"> priest happened to go down the same road.</w:t>
      </w:r>
    </w:p>
    <w:p>
      <w:pPr>
        <w:pStyle w:val="ListBullet"/>
        <w:spacing w:line="240" w:lineRule="auto"/>
        <w:ind w:left="720"/>
      </w:pPr>
      <w:r>
        <w:rPr>
          <w:lang w:val="en_US" w:bidi="en_US"/>
        </w:rPr>
      </w:r>
      <w:r>
        <w:rPr>
          <w:lang w:val="en_US" w:bidi="en_US"/>
        </w:rPr>
        <w:t>By chance, there was a priest who came along that road.</w:t>
      </w:r>
    </w:p>
    <w:p>
      <w:pPr/>
      <w:r>
        <w:rPr>
          <w:lang w:val="en_US" w:bidi="en_US"/>
        </w:rPr>
      </w:r>
      <w:r>
        <w:rPr>
          <w:b/>
          <w:lang w:val="en_US" w:bidi="en_US"/>
        </w:rPr>
        <w:t>Now:</w:t>
      </w:r>
      <w:r>
        <w:rPr>
          <w:lang w:val="en_US" w:bidi="en_US"/>
        </w:rPr>
        <w:t xml:space="preserve"> The Greek conjunction that the BSB translates as </w:t>
      </w:r>
      <w:r>
        <w:rPr>
          <w:i/>
          <w:lang w:val="en_US" w:bidi="en_US"/>
        </w:rPr>
        <w:t>Now</w:t>
      </w:r>
      <w:r>
        <w:rPr>
          <w:lang w:val="en_US" w:bidi="en_US"/>
        </w:rPr>
        <w:t xml:space="preserve"> introduces the next event in the story. The word </w:t>
      </w:r>
      <w:r>
        <w:rPr>
          <w:i/>
          <w:lang w:val="en_US" w:bidi="en_US"/>
        </w:rPr>
        <w:t>Now</w:t>
      </w:r>
      <w:r>
        <w:rPr>
          <w:lang w:val="en_US" w:bidi="en_US"/>
        </w:rPr>
        <w:t xml:space="preserve"> is not a time word here.</w:t>
      </w:r>
    </w:p>
    <w:p>
      <w:pPr/>
      <w:r>
        <w:rPr>
          <w:lang w:val="en_US" w:bidi="en_US"/>
        </w:rPr>
      </w:r>
      <w:r>
        <w:rPr>
          <w:lang w:val="en_US" w:bidi="en_US"/>
        </w:rPr>
        <w:t>This verse introduces the first man who came along the road and saw the beaten man. The story does not say how much time had passed before the priest came. If you need to supply a time word or phrase in your language, use a general expression. For example:</w:t>
      </w:r>
    </w:p>
    <w:p>
      <w:pPr/>
      <w:r>
        <w:rPr>
          <w:lang w:val="en_US" w:bidi="en_US"/>
        </w:rPr>
      </w:r>
      <w:r>
        <w:rPr>
          <w:lang w:val="en_US" w:bidi="en_US"/>
        </w:rPr>
        <w:t>Later</w:t>
      </w:r>
    </w:p>
    <w:p>
      <w:pPr/>
      <w:r>
        <w:rPr>
          <w:lang w:val="en_US" w:bidi="en_US"/>
        </w:rPr>
      </w:r>
      <w:r>
        <w:rPr>
          <w:lang w:val="en_US" w:bidi="en_US"/>
        </w:rPr>
        <w:t>As he was lying there like that</w:t>
      </w:r>
    </w:p>
    <w:p>
      <w:pPr/>
      <w:r>
        <w:rPr>
          <w:lang w:val="en_US" w:bidi="en_US"/>
        </w:rPr>
      </w:r>
      <w:r>
        <w:rPr>
          <w:b/>
          <w:lang w:val="en_US" w:bidi="en_US"/>
        </w:rPr>
        <w:t>by chance:</w:t>
      </w:r>
      <w:r>
        <w:rPr>
          <w:lang w:val="en_US" w:bidi="en_US"/>
        </w:rPr>
        <w:t xml:space="preserve"> The Greek phrase that the BSB translates as </w:t>
      </w:r>
      <w:r>
        <w:rPr>
          <w:i/>
          <w:lang w:val="en_US" w:bidi="en_US"/>
        </w:rPr>
        <w:t>by chance</w:t>
      </w:r>
      <w:r>
        <w:rPr>
          <w:lang w:val="en_US" w:bidi="en_US"/>
        </w:rPr>
        <w:t xml:space="preserve"> means “by chance” or “coincidentally.” The priest did not know about the other man, but by chance or coincidence he was traveling on the same road.</w:t>
      </w:r>
    </w:p>
    <w:p>
      <w:pPr/>
      <w:r>
        <w:rPr>
          <w:lang w:val="en_US" w:bidi="en_US"/>
        </w:rPr>
      </w:r>
      <w:r>
        <w:rPr>
          <w:b/>
          <w:lang w:val="en_US" w:bidi="en_US"/>
        </w:rPr>
        <w:t>a priest:</w:t>
      </w:r>
      <w:r>
        <w:rPr>
          <w:lang w:val="en_US" w:bidi="en_US"/>
        </w:rPr>
        <w:t xml:space="preserve"> A Jewish </w:t>
      </w:r>
      <w:r>
        <w:rPr>
          <w:i/>
          <w:lang w:val="en_US" w:bidi="en_US"/>
        </w:rPr>
        <w:t>priest</w:t>
      </w:r>
      <w:r>
        <w:rPr>
          <w:lang w:val="en_US" w:bidi="en_US"/>
        </w:rPr>
        <w:t xml:space="preserve"> was a man who offered sacrifices to God on behalf of the people. He also performed other religious rituals for them. Some ways to translate </w:t>
      </w:r>
      <w:r>
        <w:rPr>
          <w:i/>
          <w:lang w:val="en_US" w:bidi="en_US"/>
        </w:rPr>
        <w:t>priest</w:t>
      </w:r>
      <w:r>
        <w:rPr>
          <w:lang w:val="en_US" w:bidi="en_US"/>
        </w:rPr>
        <w:t xml:space="preserve"> are:</w:t>
      </w:r>
    </w:p>
    <w:p>
      <w:pPr/>
      <w:r>
        <w:rPr>
          <w:lang w:val="en_US" w:bidi="en_US"/>
        </w:rPr>
      </w:r>
      <w:r>
        <w:rPr>
          <w:lang w:val="en_US" w:bidi="en_US"/>
        </w:rPr>
        <w:t>sacrificer</w:t>
      </w:r>
    </w:p>
    <w:p>
      <w:pPr/>
      <w:r>
        <w:rPr>
          <w:lang w:val="en_US" w:bidi="en_US"/>
        </w:rPr>
      </w:r>
      <w:r>
        <w:rPr>
          <w:lang w:val="en_US" w:bidi="en_US"/>
        </w:rPr>
        <w:t>man/person who sacrifices to God</w:t>
      </w:r>
    </w:p>
    <w:p>
      <w:pPr/>
      <w:r>
        <w:rPr>
          <w:lang w:val="en_US" w:bidi="en_US"/>
        </w:rPr>
      </w:r>
      <w:r>
        <w:rPr>
          <w:lang w:val="en_US" w:bidi="en_US"/>
        </w:rPr>
        <w:t>man who represents people to God</w:t>
      </w:r>
    </w:p>
    <w:p>
      <w:pPr/>
      <w:r>
        <w:rPr>
          <w:lang w:val="en_US" w:bidi="en_US"/>
        </w:rPr>
      </w:r>
      <w:r>
        <w:rPr>
          <w:lang w:val="en_US" w:bidi="en_US"/>
        </w:rPr>
        <w:t>Avoid using a term that refers only to a fetish priest or to an ordained leader of a local Christian church.</w:t>
      </w:r>
    </w:p>
    <w:p>
      <w:pPr/>
      <w:r>
        <w:rPr>
          <w:lang w:val="en_US" w:bidi="en_US"/>
        </w:rPr>
      </w:r>
      <w:r>
        <w:rPr>
          <w:lang w:val="en_US" w:bidi="en_US"/>
        </w:rPr>
        <w:t>See priest in the Glossary.</w:t>
      </w:r>
    </w:p>
    <w:p>
      <w:pPr/>
      <w:r>
        <w:rPr>
          <w:lang w:val="en_US" w:bidi="en_US"/>
        </w:rPr>
      </w:r>
      <w:r>
        <w:rPr>
          <w:b/>
          <w:lang w:val="en_US" w:bidi="en_US"/>
        </w:rPr>
        <w:t>was going down:</w:t>
      </w:r>
      <w:r>
        <w:rPr>
          <w:lang w:val="en_US" w:bidi="en_US"/>
        </w:rPr>
        <w:t xml:space="preserve"> The Greek verb that the BSB translates as </w:t>
      </w:r>
      <w:r>
        <w:rPr>
          <w:i/>
          <w:lang w:val="en_US" w:bidi="en_US"/>
        </w:rPr>
        <w:t>was going down</w:t>
      </w:r>
      <w:r>
        <w:rPr>
          <w:lang w:val="en_US" w:bidi="en_US"/>
        </w:rPr>
        <w:t xml:space="preserve"> was also used in 10:30a. Consider whether it is natural in your language to translate it the same way in both verses.</w:t>
      </w:r>
    </w:p>
    <w:p>
      <w:pPr/>
      <w:r>
        <w:rPr>
          <w:lang w:val="en_US" w:bidi="en_US"/>
        </w:rPr>
      </w:r>
      <w:r>
        <w:rPr>
          <w:b/>
          <w:lang w:val="en_US" w:bidi="en_US"/>
        </w:rPr>
        <w:t>the same road:</w:t>
      </w:r>
      <w:r>
        <w:rPr>
          <w:lang w:val="en_US" w:bidi="en_US"/>
        </w:rPr>
        <w:t xml:space="preserve"> The Greek phrase that the BSB translates as </w:t>
      </w:r>
      <w:r>
        <w:rPr>
          <w:i/>
          <w:lang w:val="en_US" w:bidi="en_US"/>
        </w:rPr>
        <w:t>the same road</w:t>
      </w:r>
      <w:r>
        <w:rPr>
          <w:lang w:val="en_US" w:bidi="en_US"/>
        </w:rPr>
        <w:t xml:space="preserve"> is literally “that road.” It refers to the road on which the man was traveling in 10:30a. However, the word </w:t>
      </w:r>
      <w:r>
        <w:rPr>
          <w:i/>
          <w:lang w:val="en_US" w:bidi="en_US"/>
        </w:rPr>
        <w:t>road</w:t>
      </w:r>
      <w:r>
        <w:rPr>
          <w:lang w:val="en_US" w:bidi="en_US"/>
        </w:rPr>
        <w:t xml:space="preserve"> is not used in that verse. Refer to the road in this verse in a natural way in your language. Consider if you may need to mention the road also in 10:30a.</w:t>
      </w:r>
    </w:p>
    <w:p>
      <w:pPr>
        <w:pStyle w:val="Heading5"/>
      </w:pPr>
      <w:r>
        <w:rPr>
          <w:lang w:val="en_US" w:bidi="en_US"/>
        </w:rPr>
        <w:t>10:31b</w:t>
      </w:r>
    </w:p>
    <w:p>
      <w:pPr/>
      <w:r>
        <w:rPr>
          <w:lang w:val="en_US" w:bidi="en_US"/>
        </w:rPr>
      </w:r>
      <w:r>
        <w:rPr>
          <w:b/>
          <w:lang w:val="en_US" w:bidi="en_US"/>
        </w:rPr>
        <w:t>but when he saw him, he passed by on the other side.</w:t>
      </w:r>
    </w:p>
    <w:p>
      <w:pPr>
        <w:pStyle w:val="ListBullet"/>
        <w:spacing w:line="240" w:lineRule="auto"/>
        <w:ind w:left="720"/>
      </w:pPr>
      <w:r>
        <w:rPr>
          <w:lang w:val="en_US" w:bidi="en_US"/>
        </w:rPr>
      </w:r>
      <w:r>
        <w:rPr>
          <w:lang w:val="en_US" w:bidi="en_US"/>
        </w:rPr>
        <w:t xml:space="preserve">When he saw the man </w:t>
      </w:r>
      <w:r>
        <w:rPr>
          <w:lang w:val="en_US" w:bidi="en_US"/>
        </w:rPr>
        <w:t>lying there</w:t>
      </w:r>
      <w:r>
        <w:rPr>
          <w:lang w:val="en_US" w:bidi="en_US"/>
        </w:rPr>
        <w:t xml:space="preserve">, he continued going along the other side </w:t>
      </w:r>
      <w:r>
        <w:rPr>
          <w:lang w:val="en_US" w:bidi="en_US"/>
        </w:rPr>
        <w:t>of the road</w:t>
      </w:r>
      <w:r>
        <w:rPr>
          <w:lang w:val="en_US" w:bidi="en_US"/>
        </w:rPr>
        <w:t>.</w:t>
      </w:r>
    </w:p>
    <w:p>
      <w:pPr>
        <w:pStyle w:val="ListBullet"/>
        <w:spacing w:line="240" w:lineRule="auto"/>
        <w:ind w:left="720"/>
      </w:pPr>
      <w:r>
        <w:rPr>
          <w:lang w:val="en_US" w:bidi="en_US"/>
        </w:rPr>
      </w:r>
      <w:r>
        <w:rPr>
          <w:lang w:val="en_US" w:bidi="en_US"/>
        </w:rPr>
        <w:t xml:space="preserve">He saw the </w:t>
      </w:r>
      <w:r>
        <w:rPr>
          <w:lang w:val="en_US" w:bidi="en_US"/>
        </w:rPr>
        <w:t>wounded</w:t>
      </w:r>
      <w:r>
        <w:rPr>
          <w:lang w:val="en_US" w:bidi="en_US"/>
        </w:rPr>
        <w:t xml:space="preserve"> man, but went past him on the opposite side </w:t>
      </w:r>
      <w:r>
        <w:rPr>
          <w:lang w:val="en_US" w:bidi="en_US"/>
        </w:rPr>
        <w:t>of the road</w:t>
      </w:r>
      <w:r>
        <w:rPr>
          <w:lang w:val="en_US" w:bidi="en_US"/>
        </w:rPr>
        <w:t>.</w:t>
      </w:r>
    </w:p>
    <w:p>
      <w:pPr/>
      <w:r>
        <w:rPr>
          <w:lang w:val="en_US" w:bidi="en_US"/>
        </w:rPr>
      </w:r>
      <w:r>
        <w:rPr>
          <w:b/>
          <w:lang w:val="en_US" w:bidi="en_US"/>
        </w:rPr>
        <w:t>but when he saw him:</w:t>
      </w:r>
      <w:r>
        <w:rPr>
          <w:lang w:val="en_US" w:bidi="en_US"/>
        </w:rPr>
        <w:t xml:space="preserve"> In some languages it may be necessary to say explicitly that </w:t>
      </w:r>
      <w:r>
        <w:rPr>
          <w:i/>
          <w:lang w:val="en_US" w:bidi="en_US"/>
        </w:rPr>
        <w:t>he</w:t>
      </w:r>
      <w:r>
        <w:rPr>
          <w:lang w:val="en_US" w:bidi="en_US"/>
        </w:rPr>
        <w:t xml:space="preserve"> refers to the priest. Or it may be necessary to supply some further information about </w:t>
      </w:r>
      <w:r>
        <w:rPr>
          <w:i/>
          <w:lang w:val="en_US" w:bidi="en_US"/>
        </w:rPr>
        <w:t>him</w:t>
      </w:r>
      <w:r>
        <w:rPr>
          <w:lang w:val="en_US" w:bidi="en_US"/>
        </w:rPr>
        <w:t>. For example:</w:t>
      </w:r>
    </w:p>
    <w:p>
      <w:pPr/>
      <w:r>
        <w:rPr>
          <w:lang w:val="en_US" w:bidi="en_US"/>
        </w:rPr>
      </w:r>
      <w:r>
        <w:rPr>
          <w:lang w:val="en_US" w:bidi="en_US"/>
        </w:rPr>
        <w:t xml:space="preserve">when </w:t>
      </w:r>
      <w:r>
        <w:rPr>
          <w:lang w:val="en_US" w:bidi="en_US"/>
        </w:rPr>
        <w:t>the priest</w:t>
      </w:r>
      <w:r>
        <w:rPr>
          <w:lang w:val="en_US" w:bidi="en_US"/>
        </w:rPr>
        <w:t xml:space="preserve"> saw the man </w:t>
      </w:r>
      <w:r>
        <w:rPr>
          <w:lang w:val="en_US" w:bidi="en_US"/>
        </w:rPr>
        <w:t>lying there</w:t>
      </w:r>
    </w:p>
    <w:p>
      <w:pPr/>
      <w:r>
        <w:rPr>
          <w:lang w:val="en_US" w:bidi="en_US"/>
        </w:rPr>
      </w:r>
      <w:r>
        <w:rPr>
          <w:b/>
          <w:lang w:val="en_US" w:bidi="en_US"/>
        </w:rPr>
        <w:t>he passed by on the other side:</w:t>
      </w:r>
      <w:r>
        <w:rPr>
          <w:lang w:val="en_US" w:bidi="en_US"/>
        </w:rPr>
        <w:t xml:space="preserve"> The Greek word that the BSB translates as </w:t>
      </w:r>
      <w:r>
        <w:rPr>
          <w:i/>
          <w:lang w:val="en_US" w:bidi="en_US"/>
        </w:rPr>
        <w:t>he passed by on the other side</w:t>
      </w:r>
      <w:r>
        <w:rPr>
          <w:lang w:val="en_US" w:bidi="en_US"/>
        </w:rPr>
        <w:t xml:space="preserve"> indicates that the priest walked past the man on the opposite side of the road. He stayed as far as possible from the man as he passed him. He did not stop to help the man. Jesus did not say why the priest did not help him, and you should not supply such information.</w:t>
      </w:r>
    </w:p>
    <w:p>
      <w:pPr/>
      <w:r>
        <w:rPr>
          <w:lang w:val="en_US" w:bidi="en_US"/>
        </w:rPr>
      </w:r>
      <w:r>
        <w:rPr>
          <w:lang w:val="en_US" w:bidi="en_US"/>
        </w:rPr>
        <w:t>In some languages an expression such as “other/opposite side of the road” may not be natural. Some other ways to translate this phrase are:</w:t>
      </w:r>
    </w:p>
    <w:p>
      <w:pPr/>
      <w:r>
        <w:rPr>
          <w:lang w:val="en_US" w:bidi="en_US"/>
        </w:rPr>
      </w:r>
      <w:r>
        <w:rPr>
          <w:lang w:val="en_US" w:bidi="en_US"/>
        </w:rPr>
        <w:t>he passed by the man, keeping/veering away from him, and went on</w:t>
      </w:r>
    </w:p>
    <w:p>
      <w:pPr/>
      <w:r>
        <w:rPr>
          <w:lang w:val="en_US" w:bidi="en_US"/>
        </w:rPr>
      </w:r>
      <w:r>
        <w:rPr>
          <w:lang w:val="en_US" w:bidi="en_US"/>
        </w:rPr>
        <w:t>he went around him and continued on his way (GW)</w:t>
      </w:r>
      <w:r>
        <w:rPr>
          <w:lang w:val="en_US" w:bidi="en_US"/>
        </w:rPr>
      </w:r>
      <w:r>
        <w:rPr>
          <w:lang w:val="en_US" w:bidi="en_US"/>
        </w:rPr>
      </w:r>
    </w:p>
    <w:p>
      <w:pPr/>
      <w:r>
        <w:rPr>
          <w:lang w:val="en_US" w:bidi="en_US"/>
        </w:rPr>
      </w:r>
    </w:p>
    <w:p>
      <w:pPr>
        <w:pStyle w:val="Heading2"/>
      </w:pPr>
      <w:r>
        <w:rPr>
          <w:lang w:val="en_US" w:bidi="en_US"/>
        </w:rPr>
        <w:t>Luke 10:32</w:t>
      </w:r>
      <w:r>
        <w:rPr>
          <w:lang w:val="en_US" w:bidi="en_US"/>
        </w:rPr>
      </w:r>
    </w:p>
    <w:p>
      <w:pPr>
        <w:pStyle w:val="Heading4"/>
      </w:pPr>
      <w:r>
        <w:rPr>
          <w:lang w:val="en_US" w:bidi="en_US"/>
        </w:rPr>
        <w:t>Section 10:25–37: Jesus told a story to show us who our neighbors are</w:t>
      </w:r>
    </w:p>
    <w:p>
      <w:pPr/>
      <w:r>
        <w:rPr>
          <w:lang w:val="en_US" w:bidi="en_US"/>
        </w:rPr>
      </w:r>
      <w:r>
        <w:rPr>
          <w:lang w:val="en_US" w:bidi="en_US"/>
        </w:rP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pPr/>
      <w:r>
        <w:rPr>
          <w:lang w:val="en_US" w:bidi="en_US"/>
        </w:rPr>
      </w:r>
      <w:r>
        <w:rPr>
          <w:lang w:val="en_US" w:bidi="en_US"/>
        </w:rP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pPr/>
      <w:r>
        <w:rPr>
          <w:lang w:val="en_US" w:bidi="en_US"/>
        </w:rPr>
      </w:r>
      <w:r>
        <w:rPr>
          <w:lang w:val="en_US" w:bidi="en_US"/>
        </w:rP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pPr/>
      <w:r>
        <w:rPr>
          <w:lang w:val="en_US" w:bidi="en_US"/>
        </w:rPr>
      </w:r>
      <w:r>
        <w:rPr>
          <w:lang w:val="en_US" w:bidi="en_US"/>
        </w:rPr>
        <w:t>Some other possible section headings are:</w:t>
      </w:r>
    </w:p>
    <w:p>
      <w:pPr/>
      <w:r>
        <w:rPr>
          <w:lang w:val="en_US" w:bidi="en_US"/>
        </w:rPr>
      </w:r>
      <w:r>
        <w:rPr>
          <w:lang w:val="en_US" w:bidi="en_US"/>
        </w:rPr>
        <w:t>The parable about the good foreigner</w:t>
      </w:r>
    </w:p>
    <w:p>
      <w:pPr/>
      <w:r>
        <w:rPr>
          <w:lang w:val="en_US" w:bidi="en_US"/>
        </w:rPr>
      </w:r>
      <w:r>
        <w:rPr>
          <w:lang w:val="en_US" w:bidi="en_US"/>
        </w:rPr>
        <w:t>Who is my neighbor?</w:t>
      </w:r>
    </w:p>
    <w:p>
      <w:pPr/>
      <w:r>
        <w:rPr>
          <w:lang w:val="en_US" w:bidi="en_US"/>
        </w:rPr>
      </w:r>
      <w:r>
        <w:rPr>
          <w:lang w:val="en_US" w:bidi="en_US"/>
        </w:rPr>
        <w:t>The Good Samaritan</w:t>
      </w:r>
    </w:p>
    <w:p>
      <w:pPr/>
      <w:r>
        <w:rPr>
          <w:lang w:val="en_US" w:bidi="en_US"/>
        </w:rPr>
      </w:r>
      <w:r>
        <w:rPr>
          <w:lang w:val="en_US" w:bidi="en_US"/>
        </w:rPr>
        <w:t>Luke is the only gospel writer who includes this parable.</w:t>
      </w:r>
    </w:p>
    <w:p>
      <w:pPr>
        <w:pStyle w:val="Heading4"/>
      </w:pPr>
      <w:r>
        <w:rPr>
          <w:lang w:val="en_US" w:bidi="en_US"/>
        </w:rPr>
        <w:t>Paragraph 10:30–35</w:t>
      </w:r>
    </w:p>
    <w:p>
      <w:pPr/>
      <w:r>
        <w:rPr>
          <w:lang w:val="en_US" w:bidi="en_US"/>
        </w:rPr>
      </w:r>
      <w:r>
        <w:rPr>
          <w:lang w:val="en_US" w:bidi="en_US"/>
        </w:rPr>
        <w:t>Jesus told the story in this paragraph in order to teach people what the Law meant by the command to love our neighbors. Most scholars think that this story probably did not really happen. If you must distinguish in your language between events that actually happened and fictional stories, you can indicate that it is a fictional story.</w:t>
      </w:r>
    </w:p>
    <w:p>
      <w:pPr>
        <w:pStyle w:val="Heading5"/>
      </w:pPr>
      <w:r>
        <w:rPr>
          <w:lang w:val="en_US" w:bidi="en_US"/>
        </w:rPr>
        <w:t>10:32a</w:t>
      </w:r>
    </w:p>
    <w:p>
      <w:pPr/>
      <w:r>
        <w:rPr>
          <w:lang w:val="en_US" w:bidi="en_US"/>
        </w:rPr>
      </w:r>
      <w:r>
        <w:rPr>
          <w:b/>
          <w:lang w:val="en_US" w:bidi="en_US"/>
        </w:rPr>
        <w:t>So too, when a Levite came to that spot and saw him,</w:t>
      </w:r>
    </w:p>
    <w:p>
      <w:pPr>
        <w:pStyle w:val="ListBullet"/>
        <w:spacing w:line="240" w:lineRule="auto"/>
        <w:ind w:left="720"/>
      </w:pPr>
      <w:r>
        <w:rPr>
          <w:lang w:val="en_US" w:bidi="en_US"/>
        </w:rPr>
      </w:r>
      <w:r>
        <w:rPr>
          <w:lang w:val="en_US" w:bidi="en_US"/>
        </w:rPr>
        <w:t xml:space="preserve">In the same way, </w:t>
      </w:r>
      <w:r>
        <w:rPr>
          <w:lang w:val="en_US" w:bidi="en_US"/>
        </w:rPr>
        <w:t>another religious worker,</w:t>
      </w:r>
      <w:r>
        <w:rPr>
          <w:lang w:val="en_US" w:bidi="en_US"/>
        </w:rPr>
        <w:t xml:space="preserve"> a man from the tribe of Levi, came to the place </w:t>
      </w:r>
      <w:r>
        <w:rPr>
          <w:lang w:val="en_US" w:bidi="en_US"/>
        </w:rPr>
        <w:t>where the man was lying</w:t>
      </w:r>
      <w:r>
        <w:rPr>
          <w:lang w:val="en_US" w:bidi="en_US"/>
        </w:rPr>
        <w:t xml:space="preserve"> and saw him there,</w:t>
      </w:r>
    </w:p>
    <w:p>
      <w:pPr>
        <w:pStyle w:val="ListBullet"/>
        <w:spacing w:line="240" w:lineRule="auto"/>
        <w:ind w:left="720"/>
      </w:pPr>
      <w:r>
        <w:rPr>
          <w:lang w:val="en_US" w:bidi="en_US"/>
        </w:rPr>
      </w:r>
      <w:r>
        <w:rPr>
          <w:lang w:val="en_US" w:bidi="en_US"/>
        </w:rPr>
        <w:t>Later</w:t>
      </w:r>
      <w:r>
        <w:rPr>
          <w:lang w:val="en_US" w:bidi="en_US"/>
        </w:rPr>
        <w:t xml:space="preserve"> there was a Temple assistant/helper who also came </w:t>
      </w:r>
      <w:r>
        <w:rPr>
          <w:lang w:val="en_US" w:bidi="en_US"/>
        </w:rPr>
        <w:t>along the same road</w:t>
      </w:r>
      <w:r>
        <w:rPr>
          <w:lang w:val="en_US" w:bidi="en_US"/>
        </w:rPr>
        <w:t xml:space="preserve">. When he came to the place </w:t>
      </w:r>
      <w:r>
        <w:rPr>
          <w:lang w:val="en_US" w:bidi="en_US"/>
        </w:rPr>
        <w:t>where the man was</w:t>
      </w:r>
      <w:r>
        <w:rPr>
          <w:lang w:val="en_US" w:bidi="en_US"/>
        </w:rPr>
        <w:t xml:space="preserve"> and he saw him,</w:t>
      </w:r>
    </w:p>
    <w:p>
      <w:pPr/>
      <w:r>
        <w:rPr>
          <w:lang w:val="en_US" w:bidi="en_US"/>
        </w:rPr>
      </w:r>
      <w:r>
        <w:rPr>
          <w:b/>
          <w:lang w:val="en_US" w:bidi="en_US"/>
        </w:rPr>
        <w:t>So too, when a Levite:</w:t>
      </w:r>
      <w:r>
        <w:rPr>
          <w:lang w:val="en_US" w:bidi="en_US"/>
        </w:rPr>
        <w:t xml:space="preserve"> The Greek phrase that the BSB translates as </w:t>
      </w:r>
      <w:r>
        <w:rPr>
          <w:i/>
          <w:lang w:val="en_US" w:bidi="en_US"/>
        </w:rPr>
        <w:t>So too</w:t>
      </w:r>
      <w:r>
        <w:rPr>
          <w:lang w:val="en_US" w:bidi="en_US"/>
        </w:rPr>
        <w:t xml:space="preserve"> indicates that the Levite behaved exactly as the priest had behaved. Other ways to translate this phrase are:</w:t>
      </w:r>
    </w:p>
    <w:p>
      <w:pPr/>
      <w:r>
        <w:rPr>
          <w:lang w:val="en_US" w:bidi="en_US"/>
        </w:rPr>
      </w:r>
      <w:r>
        <w:rPr>
          <w:lang w:val="en_US" w:bidi="en_US"/>
        </w:rPr>
        <w:t>So likewise (RSV)</w:t>
      </w:r>
    </w:p>
    <w:p>
      <w:pPr/>
      <w:r>
        <w:rPr>
          <w:lang w:val="en_US" w:bidi="en_US"/>
        </w:rPr>
      </w:r>
      <w:r>
        <w:rPr>
          <w:lang w:val="en_US" w:bidi="en_US"/>
        </w:rPr>
        <w:t>In the same way (GNT)</w:t>
      </w:r>
    </w:p>
    <w:p>
      <w:pPr/>
      <w:r>
        <w:rPr>
          <w:lang w:val="en_US" w:bidi="en_US"/>
        </w:rPr>
      </w:r>
      <w:r>
        <w:rPr>
          <w:lang w:val="en_US" w:bidi="en_US"/>
        </w:rPr>
        <w:t>In some languages it may be more natural to introduce the Levite in a different way. The information expressed by the phrase “So too” can be expressed by words such as “also.” For example:</w:t>
      </w:r>
    </w:p>
    <w:p>
      <w:pPr/>
      <w:r>
        <w:rPr>
          <w:lang w:val="en_US" w:bidi="en_US"/>
        </w:rPr>
      </w:r>
      <w:r>
        <w:rPr>
          <w:lang w:val="en_US" w:bidi="en_US"/>
        </w:rPr>
        <w:t>Later, there was a Levite…. He also…</w:t>
      </w:r>
    </w:p>
    <w:p>
      <w:pPr/>
      <w:r>
        <w:rPr>
          <w:lang w:val="en_US" w:bidi="en_US"/>
        </w:rPr>
      </w:r>
      <w:r>
        <w:rPr>
          <w:b/>
          <w:lang w:val="en_US" w:bidi="en_US"/>
        </w:rPr>
        <w:t>Levite:</w:t>
      </w:r>
      <w:r>
        <w:rPr>
          <w:lang w:val="en_US" w:bidi="en_US"/>
        </w:rPr>
        <w:t xml:space="preserve"> A </w:t>
      </w:r>
      <w:r>
        <w:rPr>
          <w:i/>
          <w:lang w:val="en_US" w:bidi="en_US"/>
        </w:rPr>
        <w:t>Levite</w:t>
      </w:r>
      <w:r>
        <w:rPr>
          <w:lang w:val="en_US" w:bidi="en_US"/>
        </w:rPr>
        <w:t xml:space="preserve"> was a Jewish religious worker who helped the priests in the Temple. The Levites were descendants of Jacob’s son Levi and were members of the tribe called Levi. Jewish people respected them, but their status was not as high as that of priests.</w:t>
      </w:r>
    </w:p>
    <w:p>
      <w:pPr/>
      <w:r>
        <w:rPr>
          <w:lang w:val="en_US" w:bidi="en_US"/>
        </w:rPr>
      </w:r>
      <w:r>
        <w:rPr>
          <w:lang w:val="en_US" w:bidi="en_US"/>
        </w:rPr>
        <w:t>There are several ways to translate this word. Some possibilities are:</w:t>
      </w:r>
    </w:p>
    <w:p>
      <w:pPr>
        <w:pStyle w:val="ListBullet"/>
        <w:spacing w:line="240" w:lineRule="auto"/>
        <w:ind w:left="720"/>
      </w:pPr>
      <w:r>
        <w:rPr>
          <w:lang w:val="en_US" w:bidi="en_US"/>
        </w:rPr>
      </w:r>
      <w:r>
        <w:rPr>
          <w:lang w:val="en_US" w:bidi="en_US"/>
        </w:rPr>
        <w:t>Transliterate the word Levi and include a footnote to explain the meaning. For example:</w:t>
      </w:r>
      <w:r>
        <w:rPr>
          <w:lang w:val="en_US" w:bidi="en_US"/>
        </w:rPr>
        <w:t>Levites were members of the tribe of Levi who helped the Jewish priests with their work in the Temple. (NCV)</w:t>
      </w:r>
    </w:p>
    <w:p>
      <w:pPr>
        <w:pStyle w:val="ListBullet"/>
        <w:spacing w:line="240" w:lineRule="auto"/>
        <w:ind w:left="720"/>
      </w:pPr>
      <w:r>
        <w:rPr>
          <w:lang w:val="en_US" w:bidi="en_US"/>
        </w:rPr>
      </w:r>
      <w:r>
        <w:rPr>
          <w:lang w:val="en_US" w:bidi="en_US"/>
        </w:rPr>
        <w:t>Transliterate the word Levi and add a descriptive phrase. For example:</w:t>
      </w:r>
      <w:r>
        <w:rPr>
          <w:lang w:val="en_US" w:bidi="en_US"/>
        </w:rPr>
        <w:t>a descendant of Levi</w:t>
      </w:r>
      <w:r>
        <w:rPr>
          <w:lang w:val="en_US" w:bidi="en_US"/>
        </w:rPr>
        <w:t>a religious worker from the tribe of Levi</w:t>
      </w:r>
      <w:r>
        <w:rPr>
          <w:lang w:val="en_US" w:bidi="en_US"/>
        </w:rPr>
        <w:t>a temple assistant from the tribe of Levi</w:t>
      </w:r>
    </w:p>
    <w:p>
      <w:pPr>
        <w:pStyle w:val="ListBullet"/>
        <w:spacing w:line="240" w:lineRule="auto"/>
        <w:ind w:left="720"/>
      </w:pPr>
      <w:r>
        <w:rPr>
          <w:lang w:val="en_US" w:bidi="en_US"/>
        </w:rPr>
      </w:r>
      <w:r>
        <w:rPr>
          <w:lang w:val="en_US" w:bidi="en_US"/>
        </w:rPr>
        <w:t>Translate the function of a Levite without using the word Levite. For example:</w:t>
      </w:r>
      <w:r>
        <w:rPr>
          <w:lang w:val="en_US" w:bidi="en_US"/>
        </w:rPr>
        <w:t>Temple assistant (NLT)</w:t>
      </w:r>
      <w:r>
        <w:rPr>
          <w:lang w:val="en_US" w:bidi="en_US"/>
        </w:rPr>
        <w:t>temple helper (CEV)</w:t>
      </w:r>
    </w:p>
    <w:p>
      <w:pPr/>
      <w:r>
        <w:rPr>
          <w:lang w:val="en_US" w:bidi="en_US"/>
        </w:rPr>
      </w:r>
      <w:r>
        <w:rPr>
          <w:lang w:val="en_US" w:bidi="en_US"/>
        </w:rPr>
        <w:t>Translate this in the way that is most natural in your language.</w:t>
      </w:r>
    </w:p>
    <w:p>
      <w:pPr/>
      <w:r>
        <w:rPr>
          <w:lang w:val="en_US" w:bidi="en_US"/>
        </w:rPr>
      </w:r>
      <w:r>
        <w:rPr>
          <w:b/>
          <w:lang w:val="en_US" w:bidi="en_US"/>
        </w:rPr>
        <w:t>came to that spot and saw him:</w:t>
      </w:r>
      <w:r>
        <w:rPr>
          <w:lang w:val="en_US" w:bidi="en_US"/>
        </w:rPr>
        <w:t xml:space="preserve"> There is a textual issue here. Some Greek manuscripts include a word that implies that the Levite came close to the man to look at him. The two options are:</w:t>
      </w:r>
    </w:p>
    <w:p>
      <w:pPr>
        <w:pStyle w:val="ListNumber"/>
        <w:numPr>
          <w:ilvl w:val="0"/>
          <w:numId w:val="209"/>
        </w:numPr>
        <w:spacing w:line="240" w:lineRule="auto"/>
        <w:ind w:left="720"/>
      </w:pPr>
      <w:r>
        <w:rPr>
          <w:lang w:val="en_US" w:bidi="en_US"/>
        </w:rPr>
      </w:r>
      <w:r>
        <w:rPr>
          <w:lang w:val="en_US" w:bidi="en_US"/>
        </w:rPr>
        <w:t xml:space="preserve">Some manuscripts </w:t>
      </w:r>
      <w:r>
        <w:rPr>
          <w:u w:val="single"/>
          <w:lang w:val="en_US" w:bidi="en_US"/>
        </w:rPr>
        <w:t>do not include</w:t>
      </w:r>
      <w:r>
        <w:rPr>
          <w:lang w:val="en_US" w:bidi="en_US"/>
        </w:rPr>
        <w:t xml:space="preserve"> this word. The Levite saw the man but </w:t>
      </w:r>
      <w:r>
        <w:rPr>
          <w:u w:val="single"/>
          <w:lang w:val="en_US" w:bidi="en_US"/>
        </w:rPr>
        <w:t>did not approach</w:t>
      </w:r>
      <w:r>
        <w:rPr>
          <w:lang w:val="en_US" w:bidi="en_US"/>
        </w:rPr>
        <w:t xml:space="preserve"> him. For example:</w:t>
      </w:r>
      <w:r>
        <w:rPr>
          <w:lang w:val="en_US" w:bidi="en_US"/>
        </w:rPr>
        <w:t xml:space="preserve">So too a Levite came to the place, and when he saw him went past on the other side. (REB) </w:t>
      </w:r>
      <w:r>
        <w:rPr>
          <w:i/>
          <w:lang w:val="en_US" w:bidi="en_US"/>
        </w:rPr>
        <w:t>(BSB, NIV, REB, NASB, RSV, NJB, ESV, GW, CEV)</w:t>
      </w:r>
    </w:p>
    <w:p>
      <w:pPr>
        <w:pStyle w:val="ListNumber"/>
        <w:spacing w:line="240" w:lineRule="auto"/>
        <w:ind w:left="720"/>
      </w:pPr>
      <w:r>
        <w:rPr>
          <w:lang w:val="en_US" w:bidi="en_US"/>
        </w:rPr>
      </w:r>
      <w:r>
        <w:rPr>
          <w:lang w:val="en_US" w:bidi="en_US"/>
        </w:rPr>
        <w:t xml:space="preserve">Other manuscripts </w:t>
      </w:r>
      <w:r>
        <w:rPr>
          <w:u w:val="single"/>
          <w:lang w:val="en_US" w:bidi="en_US"/>
        </w:rPr>
        <w:t>include</w:t>
      </w:r>
      <w:r>
        <w:rPr>
          <w:lang w:val="en_US" w:bidi="en_US"/>
        </w:rPr>
        <w:t xml:space="preserve"> this word. The Levite saw the man and </w:t>
      </w:r>
      <w:r>
        <w:rPr>
          <w:u w:val="single"/>
          <w:lang w:val="en_US" w:bidi="en_US"/>
        </w:rPr>
        <w:t>approached</w:t>
      </w:r>
      <w:r>
        <w:rPr>
          <w:lang w:val="en_US" w:bidi="en_US"/>
        </w:rPr>
        <w:t xml:space="preserve"> him. For example:</w:t>
      </w:r>
      <w:r>
        <w:rPr>
          <w:lang w:val="en_US" w:bidi="en_US"/>
        </w:rPr>
        <w:t xml:space="preserve">Next, a Levite came there, and after he went over and looked at the man, he walked by on the other side of the road. (NCV) </w:t>
      </w:r>
      <w:r>
        <w:rPr>
          <w:i/>
          <w:lang w:val="en_US" w:bidi="en_US"/>
        </w:rPr>
        <w:t>(GNT, KJV, NLT, NCV)</w:t>
      </w:r>
    </w:p>
    <w:p>
      <w:pPr/>
      <w:r>
        <w:rPr>
          <w:lang w:val="en_US" w:bidi="en_US"/>
        </w:rPr>
      </w:r>
      <w:r>
        <w:rPr>
          <w:lang w:val="en_US" w:bidi="en_US"/>
        </w:rPr>
        <w:t>It is recommended that you follow option (1), along with a majority of the English versions.</w:t>
      </w:r>
      <w:r>
        <w:rPr>
          <w:lang w:val="en_US" w:bidi="en_US"/>
        </w:rPr>
        <w:t>For more information, see Swanson, p. 195; TRT, p. 220; Blight 2007a, p. 482; Marshall, pp. 448–49; Greek NT UBS 4</w:t>
      </w:r>
      <w:r>
        <w:rPr>
          <w:vertAlign w:val="superscript"/>
          <w:lang w:val="en_US" w:bidi="en_US"/>
        </w:rPr>
        <w:t>th</w:t>
      </w:r>
      <w:r>
        <w:rPr>
          <w:lang w:val="en_US" w:bidi="en_US"/>
        </w:rPr>
        <w:t xml:space="preserve"> ed., p. 246; and Metzger, pp. 152–53.</w:t>
      </w:r>
    </w:p>
    <w:p>
      <w:pPr/>
      <w:r>
        <w:rPr>
          <w:lang w:val="en_US" w:bidi="en_US"/>
        </w:rPr>
      </w:r>
      <w:r>
        <w:rPr>
          <w:b/>
          <w:lang w:val="en_US" w:bidi="en_US"/>
        </w:rPr>
        <w:t>that spot:</w:t>
      </w:r>
      <w:r>
        <w:rPr>
          <w:lang w:val="en_US" w:bidi="en_US"/>
        </w:rPr>
        <w:t xml:space="preserve"> In some languages it may be necessary to supply information from the preceding context about </w:t>
      </w:r>
      <w:r>
        <w:rPr>
          <w:i/>
          <w:lang w:val="en_US" w:bidi="en_US"/>
        </w:rPr>
        <w:t>that spot</w:t>
      </w:r>
      <w:r>
        <w:rPr>
          <w:lang w:val="en_US" w:bidi="en_US"/>
        </w:rPr>
        <w:t>. For example:</w:t>
      </w:r>
    </w:p>
    <w:p>
      <w:pPr/>
      <w:r>
        <w:rPr>
          <w:lang w:val="en_US" w:bidi="en_US"/>
        </w:rPr>
      </w:r>
      <w:r>
        <w:rPr>
          <w:lang w:val="en_US" w:bidi="en_US"/>
        </w:rPr>
        <w:t xml:space="preserve">the place </w:t>
      </w:r>
      <w:r>
        <w:rPr>
          <w:lang w:val="en_US" w:bidi="en_US"/>
        </w:rPr>
        <w:t>where the man was lying</w:t>
      </w:r>
    </w:p>
    <w:p>
      <w:pPr>
        <w:pStyle w:val="Heading5"/>
      </w:pPr>
      <w:r>
        <w:rPr>
          <w:lang w:val="en_US" w:bidi="en_US"/>
        </w:rPr>
        <w:t>10:32b</w:t>
      </w:r>
    </w:p>
    <w:p>
      <w:pPr/>
      <w:r>
        <w:rPr>
          <w:lang w:val="en_US" w:bidi="en_US"/>
        </w:rPr>
      </w:r>
      <w:r>
        <w:rPr>
          <w:b/>
          <w:lang w:val="en_US" w:bidi="en_US"/>
        </w:rPr>
        <w:t>he passed by on the other side.</w:t>
      </w:r>
    </w:p>
    <w:p>
      <w:pPr>
        <w:pStyle w:val="ListBullet"/>
        <w:spacing w:line="240" w:lineRule="auto"/>
        <w:ind w:left="720"/>
      </w:pPr>
      <w:r>
        <w:rPr>
          <w:lang w:val="en_US" w:bidi="en_US"/>
        </w:rPr>
      </w:r>
      <w:r>
        <w:rPr>
          <w:lang w:val="en_US" w:bidi="en_US"/>
        </w:rPr>
        <w:t>but</w:t>
      </w:r>
      <w:r>
        <w:rPr>
          <w:lang w:val="en_US" w:bidi="en_US"/>
        </w:rPr>
        <w:t xml:space="preserve"> he kept going on the other side </w:t>
      </w:r>
      <w:r>
        <w:rPr>
          <w:lang w:val="en_US" w:bidi="en_US"/>
        </w:rPr>
        <w:t>of the road</w:t>
      </w:r>
      <w:r>
        <w:rPr>
          <w:lang w:val="en_US" w:bidi="en_US"/>
        </w:rPr>
        <w:t>.</w:t>
      </w:r>
    </w:p>
    <w:p>
      <w:pPr>
        <w:pStyle w:val="ListBullet"/>
        <w:spacing w:line="240" w:lineRule="auto"/>
        <w:ind w:left="720"/>
      </w:pPr>
      <w:r>
        <w:rPr>
          <w:lang w:val="en_US" w:bidi="en_US"/>
        </w:rPr>
      </w:r>
      <w:r>
        <w:rPr>
          <w:lang w:val="en_US" w:bidi="en_US"/>
        </w:rPr>
        <w:t xml:space="preserve">he </w:t>
      </w:r>
      <w:r>
        <w:rPr>
          <w:lang w:val="en_US" w:bidi="en_US"/>
        </w:rPr>
        <w:t>too</w:t>
      </w:r>
      <w:r>
        <w:rPr>
          <w:lang w:val="en_US" w:bidi="en_US"/>
        </w:rPr>
        <w:t xml:space="preserve"> continued going along the opposite side </w:t>
      </w:r>
      <w:r>
        <w:rPr>
          <w:lang w:val="en_US" w:bidi="en_US"/>
        </w:rPr>
        <w:t>of the road</w:t>
      </w:r>
      <w:r>
        <w:rPr>
          <w:lang w:val="en_US" w:bidi="en_US"/>
        </w:rPr>
        <w:t>.</w:t>
      </w:r>
      <w:r>
        <w:rPr>
          <w:lang w:val="en_US" w:bidi="en_US"/>
        </w:rPr>
      </w:r>
      <w:r>
        <w:rPr>
          <w:lang w:val="en_US" w:bidi="en_US"/>
        </w:rPr>
      </w:r>
    </w:p>
    <w:p>
      <w:pPr/>
      <w:r>
        <w:rPr>
          <w:lang w:val="en_US" w:bidi="en_US"/>
        </w:rPr>
      </w:r>
    </w:p>
    <w:p>
      <w:pPr>
        <w:pStyle w:val="Heading2"/>
      </w:pPr>
      <w:r>
        <w:rPr>
          <w:lang w:val="en_US" w:bidi="en_US"/>
        </w:rPr>
        <w:t>Luke 10:33</w:t>
      </w:r>
      <w:r>
        <w:rPr>
          <w:lang w:val="en_US" w:bidi="en_US"/>
        </w:rPr>
      </w:r>
    </w:p>
    <w:p>
      <w:pPr>
        <w:pStyle w:val="Heading4"/>
      </w:pPr>
      <w:r>
        <w:rPr>
          <w:lang w:val="en_US" w:bidi="en_US"/>
        </w:rPr>
        <w:t>Section 10:25–37: Jesus told a story to show us who our neighbors are</w:t>
      </w:r>
    </w:p>
    <w:p>
      <w:pPr/>
      <w:r>
        <w:rPr>
          <w:lang w:val="en_US" w:bidi="en_US"/>
        </w:rPr>
      </w:r>
      <w:r>
        <w:rPr>
          <w:lang w:val="en_US" w:bidi="en_US"/>
        </w:rP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pPr/>
      <w:r>
        <w:rPr>
          <w:lang w:val="en_US" w:bidi="en_US"/>
        </w:rPr>
      </w:r>
      <w:r>
        <w:rPr>
          <w:lang w:val="en_US" w:bidi="en_US"/>
        </w:rP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pPr/>
      <w:r>
        <w:rPr>
          <w:lang w:val="en_US" w:bidi="en_US"/>
        </w:rPr>
      </w:r>
      <w:r>
        <w:rPr>
          <w:lang w:val="en_US" w:bidi="en_US"/>
        </w:rP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pPr/>
      <w:r>
        <w:rPr>
          <w:lang w:val="en_US" w:bidi="en_US"/>
        </w:rPr>
      </w:r>
      <w:r>
        <w:rPr>
          <w:lang w:val="en_US" w:bidi="en_US"/>
        </w:rPr>
        <w:t>Some other possible section headings are:</w:t>
      </w:r>
    </w:p>
    <w:p>
      <w:pPr/>
      <w:r>
        <w:rPr>
          <w:lang w:val="en_US" w:bidi="en_US"/>
        </w:rPr>
      </w:r>
      <w:r>
        <w:rPr>
          <w:lang w:val="en_US" w:bidi="en_US"/>
        </w:rPr>
        <w:t>The parable about the good foreigner</w:t>
      </w:r>
    </w:p>
    <w:p>
      <w:pPr/>
      <w:r>
        <w:rPr>
          <w:lang w:val="en_US" w:bidi="en_US"/>
        </w:rPr>
      </w:r>
      <w:r>
        <w:rPr>
          <w:lang w:val="en_US" w:bidi="en_US"/>
        </w:rPr>
        <w:t>Who is my neighbor?</w:t>
      </w:r>
    </w:p>
    <w:p>
      <w:pPr/>
      <w:r>
        <w:rPr>
          <w:lang w:val="en_US" w:bidi="en_US"/>
        </w:rPr>
      </w:r>
      <w:r>
        <w:rPr>
          <w:lang w:val="en_US" w:bidi="en_US"/>
        </w:rPr>
        <w:t>The Good Samaritan</w:t>
      </w:r>
    </w:p>
    <w:p>
      <w:pPr/>
      <w:r>
        <w:rPr>
          <w:lang w:val="en_US" w:bidi="en_US"/>
        </w:rPr>
      </w:r>
      <w:r>
        <w:rPr>
          <w:lang w:val="en_US" w:bidi="en_US"/>
        </w:rPr>
        <w:t>Luke is the only gospel writer who includes this parable.</w:t>
      </w:r>
    </w:p>
    <w:p>
      <w:pPr>
        <w:pStyle w:val="Heading4"/>
      </w:pPr>
      <w:r>
        <w:rPr>
          <w:lang w:val="en_US" w:bidi="en_US"/>
        </w:rPr>
        <w:t>Paragraph 10:30–35</w:t>
      </w:r>
    </w:p>
    <w:p>
      <w:pPr/>
      <w:r>
        <w:rPr>
          <w:lang w:val="en_US" w:bidi="en_US"/>
        </w:rPr>
      </w:r>
      <w:r>
        <w:rPr>
          <w:lang w:val="en_US" w:bidi="en_US"/>
        </w:rPr>
        <w:t>Jesus told the story in this paragraph in order to teach people what the Law meant by the command to love our neighbors. Most scholars think that this story probably did not really happen. If you must distinguish in your language between events that actually happened and fictional stories, you can indicate that it is a fictional story.</w:t>
      </w:r>
    </w:p>
    <w:p>
      <w:pPr>
        <w:pStyle w:val="Heading5"/>
      </w:pPr>
      <w:r>
        <w:rPr>
          <w:lang w:val="en_US" w:bidi="en_US"/>
        </w:rPr>
        <w:t>10:33a</w:t>
      </w:r>
    </w:p>
    <w:p>
      <w:pPr/>
      <w:r>
        <w:rPr>
          <w:lang w:val="en_US" w:bidi="en_US"/>
        </w:rPr>
      </w:r>
      <w:r>
        <w:rPr>
          <w:b/>
          <w:lang w:val="en_US" w:bidi="en_US"/>
        </w:rPr>
        <w:t>But when a Samaritan on a journey</w:t>
      </w:r>
    </w:p>
    <w:p>
      <w:pPr>
        <w:pStyle w:val="ListBullet"/>
        <w:spacing w:line="240" w:lineRule="auto"/>
        <w:ind w:left="720"/>
      </w:pPr>
      <w:r>
        <w:rPr>
          <w:lang w:val="en_US" w:bidi="en_US"/>
        </w:rPr>
      </w:r>
      <w:r>
        <w:rPr>
          <w:lang w:val="en_US" w:bidi="en_US"/>
        </w:rPr>
        <w:t xml:space="preserve">But </w:t>
      </w:r>
      <w:r>
        <w:rPr>
          <w:lang w:val="en_US" w:bidi="en_US"/>
        </w:rPr>
        <w:t>finally,</w:t>
      </w:r>
      <w:r>
        <w:rPr>
          <w:lang w:val="en_US" w:bidi="en_US"/>
        </w:rPr>
        <w:t xml:space="preserve"> a Samaritan was traveling </w:t>
      </w:r>
      <w:r>
        <w:rPr>
          <w:lang w:val="en_US" w:bidi="en_US"/>
        </w:rPr>
        <w:t>on that same road</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then</w:t>
      </w:r>
      <w:r>
        <w:rPr>
          <w:lang w:val="en_US" w:bidi="en_US"/>
        </w:rPr>
        <w:t xml:space="preserve"> there was a </w:t>
      </w:r>
      <w:r>
        <w:rPr>
          <w:lang w:val="en_US" w:bidi="en_US"/>
        </w:rPr>
        <w:t>stranger/foreigner</w:t>
      </w:r>
      <w:r>
        <w:rPr>
          <w:lang w:val="en_US" w:bidi="en_US"/>
        </w:rPr>
        <w:t xml:space="preserve"> from Samaria, who was traveling </w:t>
      </w:r>
      <w:r>
        <w:rPr>
          <w:lang w:val="en_US" w:bidi="en_US"/>
        </w:rPr>
        <w:t>on the same road</w:t>
      </w:r>
      <w:r>
        <w:rPr>
          <w:lang w:val="en_US" w:bidi="en_US"/>
        </w:rPr>
        <w:t>.</w:t>
      </w:r>
    </w:p>
    <w:p>
      <w:pPr>
        <w:pStyle w:val="Heading5"/>
      </w:pPr>
      <w:r>
        <w:rPr>
          <w:lang w:val="en_US" w:bidi="en_US"/>
        </w:rPr>
        <w:t>10:33b</w:t>
      </w:r>
    </w:p>
    <w:p>
      <w:pPr/>
      <w:r>
        <w:rPr>
          <w:lang w:val="en_US" w:bidi="en_US"/>
        </w:rPr>
      </w:r>
      <w:r>
        <w:rPr>
          <w:b/>
          <w:lang w:val="en_US" w:bidi="en_US"/>
        </w:rPr>
        <w:t>came upon him,</w:t>
      </w:r>
    </w:p>
    <w:p>
      <w:pPr>
        <w:pStyle w:val="ListBullet"/>
        <w:spacing w:line="240" w:lineRule="auto"/>
        <w:ind w:left="720"/>
      </w:pPr>
      <w:r>
        <w:rPr>
          <w:lang w:val="en_US" w:bidi="en_US"/>
        </w:rPr>
      </w:r>
      <w:r>
        <w:rPr>
          <w:lang w:val="en_US" w:bidi="en_US"/>
        </w:rPr>
        <w:t xml:space="preserve">When he came </w:t>
      </w:r>
      <w:r>
        <w:rPr>
          <w:lang w:val="en_US" w:bidi="en_US"/>
        </w:rPr>
        <w:t>to the place</w:t>
      </w:r>
      <w:r>
        <w:rPr>
          <w:lang w:val="en_US" w:bidi="en_US"/>
        </w:rPr>
        <w:t xml:space="preserve"> where the man was </w:t>
      </w:r>
      <w:r>
        <w:rPr>
          <w:lang w:val="en_US" w:bidi="en_US"/>
        </w:rPr>
        <w:t>lying</w:t>
      </w:r>
    </w:p>
    <w:p>
      <w:pPr>
        <w:pStyle w:val="ListBullet"/>
        <w:spacing w:line="240" w:lineRule="auto"/>
        <w:ind w:left="720"/>
      </w:pPr>
      <w:r>
        <w:rPr>
          <w:lang w:val="en_US" w:bidi="en_US"/>
        </w:rPr>
      </w:r>
      <w:r>
        <w:rPr>
          <w:lang w:val="en_US" w:bidi="en_US"/>
        </w:rPr>
        <w:t xml:space="preserve">He </w:t>
      </w:r>
      <w:r>
        <w:rPr>
          <w:lang w:val="en_US" w:bidi="en_US"/>
        </w:rPr>
        <w:t>also</w:t>
      </w:r>
      <w:r>
        <w:rPr>
          <w:lang w:val="en_US" w:bidi="en_US"/>
        </w:rPr>
        <w:t xml:space="preserve"> arrived </w:t>
      </w:r>
      <w:r>
        <w:rPr>
          <w:lang w:val="en_US" w:bidi="en_US"/>
        </w:rPr>
        <w:t>at the place</w:t>
      </w:r>
      <w:r>
        <w:rPr>
          <w:lang w:val="en_US" w:bidi="en_US"/>
        </w:rPr>
        <w:t xml:space="preserve"> where the </w:t>
      </w:r>
      <w:r>
        <w:rPr>
          <w:lang w:val="en_US" w:bidi="en_US"/>
        </w:rPr>
        <w:t>wounded</w:t>
      </w:r>
      <w:r>
        <w:rPr>
          <w:lang w:val="en_US" w:bidi="en_US"/>
        </w:rPr>
        <w:t xml:space="preserve"> man was.</w:t>
      </w:r>
    </w:p>
    <w:p>
      <w:pPr>
        <w:pStyle w:val="Heading5"/>
      </w:pPr>
      <w:r>
        <w:rPr>
          <w:lang w:val="en_US" w:bidi="en_US"/>
        </w:rPr>
        <w:t>10:33a–b</w:t>
      </w:r>
    </w:p>
    <w:p>
      <w:pPr/>
      <w:r>
        <w:rPr>
          <w:lang w:val="en_US" w:bidi="en_US"/>
        </w:rPr>
      </w:r>
      <w:r>
        <w:rPr>
          <w:b/>
          <w:lang w:val="en_US" w:bidi="en_US"/>
        </w:rPr>
        <w:t>But:</w:t>
      </w:r>
      <w:r>
        <w:rPr>
          <w:lang w:val="en_US" w:bidi="en_US"/>
        </w:rPr>
        <w:t xml:space="preserve"> In this verse there is a change in the story. Something different happened. The BSB indicates this change with the conjunction </w:t>
      </w:r>
      <w:r>
        <w:rPr>
          <w:i/>
          <w:lang w:val="en_US" w:bidi="en_US"/>
        </w:rPr>
        <w:t>But</w:t>
      </w:r>
      <w:r>
        <w:rPr>
          <w:lang w:val="en_US" w:bidi="en_US"/>
        </w:rPr>
        <w:t>. Consider how you would naturally indicate such a change in a story in your language.</w:t>
      </w:r>
    </w:p>
    <w:p>
      <w:pPr/>
      <w:r>
        <w:rPr>
          <w:lang w:val="en_US" w:bidi="en_US"/>
        </w:rPr>
      </w:r>
      <w:r>
        <w:rPr>
          <w:b/>
          <w:lang w:val="en_US" w:bidi="en_US"/>
        </w:rPr>
        <w:t>a Samaritan:</w:t>
      </w:r>
      <w:r>
        <w:rPr>
          <w:lang w:val="en_US" w:bidi="en_US"/>
        </w:rPr>
        <w:t xml:space="preserve"> The word </w:t>
      </w:r>
      <w:r>
        <w:rPr>
          <w:i/>
          <w:lang w:val="en_US" w:bidi="en_US"/>
        </w:rPr>
        <w:t>Samaritan</w:t>
      </w:r>
      <w:r>
        <w:rPr>
          <w:lang w:val="en_US" w:bidi="en_US"/>
        </w:rPr>
        <w:t xml:space="preserve"> refers to a man from the district of Samaria. The Samaritans were the descendants of Jews who had married foreigners. They did not worship God in Jerusalem as the Jews did, and the Jews considered the Samaritans to be foreigners.</w:t>
      </w:r>
    </w:p>
    <w:p>
      <w:pPr/>
      <w:r>
        <w:rPr>
          <w:lang w:val="en_US" w:bidi="en_US"/>
        </w:rPr>
      </w:r>
      <w:r>
        <w:rPr>
          <w:lang w:val="en_US" w:bidi="en_US"/>
        </w:rPr>
        <w:t>It may be helpful to include some of this implied information in the text or in a footnote. A suggested footnote is:</w:t>
      </w:r>
    </w:p>
    <w:p>
      <w:pPr/>
      <w:r>
        <w:rPr>
          <w:lang w:val="en_US" w:bidi="en_US"/>
        </w:rPr>
      </w:r>
      <w:r>
        <w:rPr>
          <w:lang w:val="en_US" w:bidi="en_US"/>
        </w:rPr>
        <w:t>The Samaritans were the descendants of Jews who had married foreigners. They did not worship God in Jerusalem as the Jews did. The Jews hated the Samaritans and did not believe that the Samaritans were God’s people.</w:t>
      </w:r>
    </w:p>
    <w:p>
      <w:pPr/>
      <w:r>
        <w:rPr>
          <w:lang w:val="en_US" w:bidi="en_US"/>
        </w:rPr>
      </w:r>
      <w:r>
        <w:rPr>
          <w:lang w:val="en_US" w:bidi="en_US"/>
        </w:rPr>
        <w:t xml:space="preserve">The </w:t>
      </w:r>
      <w:r>
        <w:rPr>
          <w:i/>
          <w:lang w:val="en_US" w:bidi="en_US"/>
        </w:rPr>
        <w:t>Samaritan</w:t>
      </w:r>
      <w:r>
        <w:rPr>
          <w:lang w:val="en_US" w:bidi="en_US"/>
        </w:rPr>
        <w:t xml:space="preserve"> is the most significant of the three characters who saw the wounded man. In Greek, the word </w:t>
      </w:r>
      <w:r>
        <w:rPr>
          <w:i/>
          <w:lang w:val="en_US" w:bidi="en_US"/>
        </w:rPr>
        <w:t>Samaritan</w:t>
      </w:r>
      <w:r>
        <w:rPr>
          <w:lang w:val="en_US" w:bidi="en_US"/>
        </w:rPr>
        <w:t xml:space="preserve"> occurs in an emphatic position in the sentence. Consider in what way a storyteller in your language might introduce such a person.</w:t>
      </w:r>
    </w:p>
    <w:p>
      <w:pPr/>
      <w:r>
        <w:rPr>
          <w:lang w:val="en_US" w:bidi="en_US"/>
        </w:rPr>
      </w:r>
      <w:r>
        <w:rPr>
          <w:b/>
          <w:lang w:val="en_US" w:bidi="en_US"/>
        </w:rPr>
        <w:t>on a journey:</w:t>
      </w:r>
      <w:r>
        <w:rPr>
          <w:lang w:val="en_US" w:bidi="en_US"/>
        </w:rPr>
        <w:t xml:space="preserve"> The Samaritan was on a journey on the same road. The phrase </w:t>
      </w:r>
      <w:r>
        <w:rPr>
          <w:i/>
          <w:lang w:val="en_US" w:bidi="en_US"/>
        </w:rPr>
        <w:t>on a journey</w:t>
      </w:r>
      <w:r>
        <w:rPr>
          <w:lang w:val="en_US" w:bidi="en_US"/>
        </w:rPr>
        <w:t xml:space="preserve"> fits the situation of the Samaritan who was far from his home.</w:t>
      </w:r>
    </w:p>
    <w:p>
      <w:pPr>
        <w:pStyle w:val="Heading5"/>
      </w:pPr>
      <w:r>
        <w:rPr>
          <w:lang w:val="en_US" w:bidi="en_US"/>
        </w:rPr>
        <w:t>10:33c</w:t>
      </w:r>
    </w:p>
    <w:p>
      <w:pPr/>
      <w:r>
        <w:rPr>
          <w:lang w:val="en_US" w:bidi="en_US"/>
        </w:rPr>
      </w:r>
      <w:r>
        <w:rPr>
          <w:b/>
          <w:lang w:val="en_US" w:bidi="en_US"/>
        </w:rPr>
        <w:t>he looked at him and had compassion.</w:t>
      </w:r>
    </w:p>
    <w:p>
      <w:pPr>
        <w:pStyle w:val="ListBullet"/>
        <w:spacing w:line="240" w:lineRule="auto"/>
        <w:ind w:left="720"/>
      </w:pPr>
      <w:r>
        <w:rPr>
          <w:lang w:val="en_US" w:bidi="en_US"/>
        </w:rPr>
      </w:r>
      <w:r>
        <w:rPr>
          <w:lang w:val="en_US" w:bidi="en_US"/>
        </w:rPr>
        <w:t>and saw him, he greatly pitied him.</w:t>
      </w:r>
    </w:p>
    <w:p>
      <w:pPr>
        <w:pStyle w:val="ListBullet"/>
        <w:spacing w:line="240" w:lineRule="auto"/>
        <w:ind w:left="720"/>
      </w:pPr>
      <w:r>
        <w:rPr>
          <w:lang w:val="en_US" w:bidi="en_US"/>
        </w:rPr>
      </w:r>
      <w:r>
        <w:rPr>
          <w:lang w:val="en_US" w:bidi="en_US"/>
        </w:rPr>
        <w:t>But</w:t>
      </w:r>
      <w:r>
        <w:rPr>
          <w:lang w:val="en_US" w:bidi="en_US"/>
        </w:rPr>
        <w:t xml:space="preserve"> when he saw the </w:t>
      </w:r>
      <w:r>
        <w:rPr>
          <w:lang w:val="en_US" w:bidi="en_US"/>
        </w:rPr>
        <w:t>injured</w:t>
      </w:r>
      <w:r>
        <w:rPr>
          <w:lang w:val="en_US" w:bidi="en_US"/>
        </w:rPr>
        <w:t xml:space="preserve"> man, he felt very sorry for him.</w:t>
      </w:r>
    </w:p>
    <w:p>
      <w:pPr/>
      <w:r>
        <w:rPr>
          <w:lang w:val="en_US" w:bidi="en_US"/>
        </w:rPr>
      </w:r>
      <w:r>
        <w:rPr>
          <w:b/>
          <w:lang w:val="en_US" w:bidi="en_US"/>
        </w:rPr>
        <w:t>he…had compassion:</w:t>
      </w:r>
      <w:r>
        <w:rPr>
          <w:lang w:val="en_US" w:bidi="en_US"/>
        </w:rPr>
        <w:t xml:space="preserve"> The Greek word that the BSB translates as </w:t>
      </w:r>
      <w:r>
        <w:rPr>
          <w:i/>
          <w:lang w:val="en_US" w:bidi="en_US"/>
        </w:rPr>
        <w:t>he…had compassion</w:t>
      </w:r>
      <w:r>
        <w:rPr>
          <w:lang w:val="en_US" w:bidi="en_US"/>
        </w:rPr>
        <w:t xml:space="preserve"> means “he felt very sorry for the man.” It refers to the Samaritan’s feeling of compassion. The same Greek word occurs in 7:13. Other ways to translate this clause are:</w:t>
      </w:r>
    </w:p>
    <w:p>
      <w:pPr/>
      <w:r>
        <w:rPr>
          <w:lang w:val="en_US" w:bidi="en_US"/>
        </w:rPr>
      </w:r>
      <w:r>
        <w:rPr>
          <w:lang w:val="en_US" w:bidi="en_US"/>
        </w:rPr>
        <w:t>he felt very sorry for him (NCV)</w:t>
      </w:r>
    </w:p>
    <w:p>
      <w:pPr/>
      <w:r>
        <w:rPr>
          <w:lang w:val="en_US" w:bidi="en_US"/>
        </w:rPr>
      </w:r>
      <w:r>
        <w:rPr>
          <w:lang w:val="en_US" w:bidi="en_US"/>
        </w:rPr>
        <w:t>his heart was filled with pity (GNT)</w:t>
      </w:r>
      <w:r>
        <w:rPr>
          <w:lang w:val="en_US" w:bidi="en_US"/>
        </w:rPr>
      </w:r>
      <w:r>
        <w:rPr>
          <w:lang w:val="en_US" w:bidi="en_US"/>
        </w:rPr>
      </w:r>
    </w:p>
    <w:p>
      <w:pPr/>
      <w:r>
        <w:rPr>
          <w:lang w:val="en_US" w:bidi="en_US"/>
        </w:rPr>
      </w:r>
    </w:p>
    <w:p>
      <w:pPr>
        <w:pStyle w:val="Heading2"/>
      </w:pPr>
      <w:r>
        <w:rPr>
          <w:lang w:val="en_US" w:bidi="en_US"/>
        </w:rPr>
        <w:t>Luke 10:34</w:t>
      </w:r>
      <w:r>
        <w:rPr>
          <w:lang w:val="en_US" w:bidi="en_US"/>
        </w:rPr>
      </w:r>
    </w:p>
    <w:p>
      <w:pPr>
        <w:pStyle w:val="Heading4"/>
      </w:pPr>
      <w:r>
        <w:rPr>
          <w:lang w:val="en_US" w:bidi="en_US"/>
        </w:rPr>
        <w:t>Section 10:25–37: Jesus told a story to show us who our neighbors are</w:t>
      </w:r>
    </w:p>
    <w:p>
      <w:pPr/>
      <w:r>
        <w:rPr>
          <w:lang w:val="en_US" w:bidi="en_US"/>
        </w:rPr>
      </w:r>
      <w:r>
        <w:rPr>
          <w:lang w:val="en_US" w:bidi="en_US"/>
        </w:rP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pPr/>
      <w:r>
        <w:rPr>
          <w:lang w:val="en_US" w:bidi="en_US"/>
        </w:rPr>
      </w:r>
      <w:r>
        <w:rPr>
          <w:lang w:val="en_US" w:bidi="en_US"/>
        </w:rP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pPr/>
      <w:r>
        <w:rPr>
          <w:lang w:val="en_US" w:bidi="en_US"/>
        </w:rPr>
      </w:r>
      <w:r>
        <w:rPr>
          <w:lang w:val="en_US" w:bidi="en_US"/>
        </w:rP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pPr/>
      <w:r>
        <w:rPr>
          <w:lang w:val="en_US" w:bidi="en_US"/>
        </w:rPr>
      </w:r>
      <w:r>
        <w:rPr>
          <w:lang w:val="en_US" w:bidi="en_US"/>
        </w:rPr>
        <w:t>Some other possible section headings are:</w:t>
      </w:r>
    </w:p>
    <w:p>
      <w:pPr/>
      <w:r>
        <w:rPr>
          <w:lang w:val="en_US" w:bidi="en_US"/>
        </w:rPr>
      </w:r>
      <w:r>
        <w:rPr>
          <w:lang w:val="en_US" w:bidi="en_US"/>
        </w:rPr>
        <w:t>The parable about the good foreigner</w:t>
      </w:r>
    </w:p>
    <w:p>
      <w:pPr/>
      <w:r>
        <w:rPr>
          <w:lang w:val="en_US" w:bidi="en_US"/>
        </w:rPr>
      </w:r>
      <w:r>
        <w:rPr>
          <w:lang w:val="en_US" w:bidi="en_US"/>
        </w:rPr>
        <w:t>Who is my neighbor?</w:t>
      </w:r>
    </w:p>
    <w:p>
      <w:pPr/>
      <w:r>
        <w:rPr>
          <w:lang w:val="en_US" w:bidi="en_US"/>
        </w:rPr>
      </w:r>
      <w:r>
        <w:rPr>
          <w:lang w:val="en_US" w:bidi="en_US"/>
        </w:rPr>
        <w:t>The Good Samaritan</w:t>
      </w:r>
    </w:p>
    <w:p>
      <w:pPr/>
      <w:r>
        <w:rPr>
          <w:lang w:val="en_US" w:bidi="en_US"/>
        </w:rPr>
      </w:r>
      <w:r>
        <w:rPr>
          <w:lang w:val="en_US" w:bidi="en_US"/>
        </w:rPr>
        <w:t>Luke is the only gospel writer who includes this parable.</w:t>
      </w:r>
    </w:p>
    <w:p>
      <w:pPr>
        <w:pStyle w:val="Heading4"/>
      </w:pPr>
      <w:r>
        <w:rPr>
          <w:lang w:val="en_US" w:bidi="en_US"/>
        </w:rPr>
        <w:t>Paragraph 10:30–35</w:t>
      </w:r>
    </w:p>
    <w:p>
      <w:pPr/>
      <w:r>
        <w:rPr>
          <w:lang w:val="en_US" w:bidi="en_US"/>
        </w:rPr>
      </w:r>
      <w:r>
        <w:rPr>
          <w:lang w:val="en_US" w:bidi="en_US"/>
        </w:rPr>
        <w:t>Jesus told the story in this paragraph in order to teach people what the Law meant by the command to love our neighbors. Most scholars think that this story probably did not really happen. If you must distinguish in your language between events that actually happened and fictional stories, you can indicate that it is a fictional story.</w:t>
      </w:r>
    </w:p>
    <w:p>
      <w:pPr>
        <w:pStyle w:val="Heading5"/>
      </w:pPr>
      <w:r>
        <w:rPr>
          <w:lang w:val="en_US" w:bidi="en_US"/>
        </w:rPr>
        <w:t>10:34a</w:t>
      </w:r>
    </w:p>
    <w:p>
      <w:pPr/>
      <w:r>
        <w:rPr>
          <w:lang w:val="en_US" w:bidi="en_US"/>
        </w:rPr>
      </w:r>
      <w:r>
        <w:rPr>
          <w:b/>
          <w:lang w:val="en_US" w:bidi="en_US"/>
        </w:rPr>
        <w:t>He went to him and bandaged his wounds, pouring on oil and wine.</w:t>
      </w:r>
    </w:p>
    <w:p>
      <w:pPr>
        <w:pStyle w:val="ListBullet"/>
        <w:spacing w:line="240" w:lineRule="auto"/>
        <w:ind w:left="720"/>
      </w:pPr>
      <w:r>
        <w:rPr>
          <w:lang w:val="en_US" w:bidi="en_US"/>
        </w:rPr>
      </w:r>
      <w:r>
        <w:rPr>
          <w:lang w:val="en_US" w:bidi="en_US"/>
        </w:rPr>
        <w:t xml:space="preserve">He went to him and bandaged his wounds after he had poured oil and wine on them </w:t>
      </w:r>
      <w:r>
        <w:rPr>
          <w:lang w:val="en_US" w:bidi="en_US"/>
        </w:rPr>
        <w:t>as medicine</w:t>
      </w:r>
      <w:r>
        <w:rPr>
          <w:lang w:val="en_US" w:bidi="en_US"/>
        </w:rPr>
        <w:t>.</w:t>
      </w:r>
    </w:p>
    <w:p>
      <w:pPr>
        <w:pStyle w:val="ListBullet"/>
        <w:spacing w:line="240" w:lineRule="auto"/>
        <w:ind w:left="720"/>
      </w:pPr>
      <w:r>
        <w:rPr>
          <w:lang w:val="en_US" w:bidi="en_US"/>
        </w:rPr>
      </w:r>
      <w:r>
        <w:rPr>
          <w:lang w:val="en_US" w:bidi="en_US"/>
        </w:rPr>
        <w:t>So</w:t>
      </w:r>
      <w:r>
        <w:rPr>
          <w:lang w:val="en_US" w:bidi="en_US"/>
        </w:rPr>
        <w:t xml:space="preserve"> he went over to him, doctored his wounds with oil and wine, and wrapped them with cloth.</w:t>
      </w:r>
    </w:p>
    <w:p>
      <w:pPr>
        <w:pStyle w:val="ListBullet"/>
        <w:spacing w:line="240" w:lineRule="auto"/>
        <w:ind w:left="720"/>
      </w:pPr>
      <w:r>
        <w:rPr>
          <w:lang w:val="en_US" w:bidi="en_US"/>
        </w:rPr>
      </w:r>
      <w:r>
        <w:rPr>
          <w:lang w:val="en_US" w:bidi="en_US"/>
        </w:rPr>
        <w:t>So</w:t>
      </w:r>
      <w:r>
        <w:rPr>
          <w:lang w:val="en_US" w:bidi="en_US"/>
        </w:rPr>
        <w:t xml:space="preserve"> he went over to the </w:t>
      </w:r>
      <w:r>
        <w:rPr>
          <w:lang w:val="en_US" w:bidi="en_US"/>
        </w:rPr>
        <w:t>injured</w:t>
      </w:r>
      <w:r>
        <w:rPr>
          <w:lang w:val="en_US" w:bidi="en_US"/>
        </w:rPr>
        <w:t xml:space="preserve"> man and treated and bandaged his wounds.</w:t>
      </w:r>
    </w:p>
    <w:p>
      <w:pPr/>
      <w:r>
        <w:rPr>
          <w:lang w:val="en_US" w:bidi="en_US"/>
        </w:rPr>
      </w:r>
      <w:r>
        <w:rPr>
          <w:b/>
          <w:lang w:val="en_US" w:bidi="en_US"/>
        </w:rPr>
        <w:t>He went to him:</w:t>
      </w:r>
      <w:r>
        <w:rPr>
          <w:lang w:val="en_US" w:bidi="en_US"/>
        </w:rPr>
        <w:t xml:space="preserve"> The Samaritan approached the wounded man and probably knelt down beside him while he treated him. This phrase shows the contrast between the way the priest and Levite acted and the way the Samaritan acted.</w:t>
      </w:r>
    </w:p>
    <w:p>
      <w:pPr/>
      <w:r>
        <w:rPr>
          <w:lang w:val="en_US" w:bidi="en_US"/>
        </w:rPr>
      </w:r>
      <w:r>
        <w:rPr>
          <w:b/>
          <w:lang w:val="en_US" w:bidi="en_US"/>
        </w:rPr>
        <w:t>and bandaged his wounds:</w:t>
      </w:r>
      <w:r>
        <w:rPr>
          <w:lang w:val="en_US" w:bidi="en_US"/>
        </w:rPr>
        <w:t xml:space="preserve"> The Greek verb that the BSB translates as </w:t>
      </w:r>
      <w:r>
        <w:rPr>
          <w:i/>
          <w:lang w:val="en_US" w:bidi="en_US"/>
        </w:rPr>
        <w:t>bandaged</w:t>
      </w:r>
      <w:r>
        <w:rPr>
          <w:lang w:val="en_US" w:bidi="en_US"/>
        </w:rPr>
        <w:t xml:space="preserve"> is literally “wrapped.” The man probably wrapped or tied strips of cloth around the man’s wounds/injuries.</w:t>
      </w:r>
    </w:p>
    <w:p>
      <w:pPr/>
      <w:r>
        <w:rPr>
          <w:lang w:val="en_US" w:bidi="en_US"/>
        </w:rPr>
      </w:r>
      <w:r>
        <w:rPr>
          <w:b/>
          <w:lang w:val="en_US" w:bidi="en_US"/>
        </w:rPr>
        <w:t>pouring on oil and wine:</w:t>
      </w:r>
      <w:r>
        <w:rPr>
          <w:lang w:val="en_US" w:bidi="en_US"/>
        </w:rPr>
        <w:t xml:space="preserve"> In New Testament times, people used </w:t>
      </w:r>
      <w:r>
        <w:rPr>
          <w:i/>
          <w:lang w:val="en_US" w:bidi="en_US"/>
        </w:rPr>
        <w:t>oil</w:t>
      </w:r>
      <w:r>
        <w:rPr>
          <w:lang w:val="en_US" w:bidi="en_US"/>
        </w:rPr>
        <w:t xml:space="preserve"> and </w:t>
      </w:r>
      <w:r>
        <w:rPr>
          <w:i/>
          <w:lang w:val="en_US" w:bidi="en_US"/>
        </w:rPr>
        <w:t>wine</w:t>
      </w:r>
      <w:r>
        <w:rPr>
          <w:lang w:val="en_US" w:bidi="en_US"/>
        </w:rPr>
        <w:t xml:space="preserve"> as medicines. The </w:t>
      </w:r>
      <w:r>
        <w:rPr>
          <w:i/>
          <w:lang w:val="en_US" w:bidi="en_US"/>
        </w:rPr>
        <w:t>oil</w:t>
      </w:r>
      <w:r>
        <w:rPr>
          <w:lang w:val="en_US" w:bidi="en_US"/>
        </w:rPr>
        <w:t xml:space="preserve"> and </w:t>
      </w:r>
      <w:r>
        <w:rPr>
          <w:i/>
          <w:lang w:val="en_US" w:bidi="en_US"/>
        </w:rPr>
        <w:t>wine</w:t>
      </w:r>
      <w:r>
        <w:rPr>
          <w:lang w:val="en_US" w:bidi="en_US"/>
        </w:rPr>
        <w:t xml:space="preserve"> cleansed and soothed wounds.</w:t>
      </w:r>
    </w:p>
    <w:p>
      <w:pPr/>
      <w:r>
        <w:rPr>
          <w:lang w:val="en_US" w:bidi="en_US"/>
        </w:rPr>
      </w:r>
      <w:r>
        <w:rPr>
          <w:lang w:val="en_US" w:bidi="en_US"/>
        </w:rPr>
        <w:t xml:space="preserve">In some cultures, </w:t>
      </w:r>
      <w:r>
        <w:rPr>
          <w:i/>
          <w:lang w:val="en_US" w:bidi="en_US"/>
        </w:rPr>
        <w:t>oil</w:t>
      </w:r>
      <w:r>
        <w:rPr>
          <w:lang w:val="en_US" w:bidi="en_US"/>
        </w:rPr>
        <w:t xml:space="preserve"> and </w:t>
      </w:r>
      <w:r>
        <w:rPr>
          <w:i/>
          <w:lang w:val="en_US" w:bidi="en_US"/>
        </w:rPr>
        <w:t>wine</w:t>
      </w:r>
      <w:r>
        <w:rPr>
          <w:lang w:val="en_US" w:bidi="en_US"/>
        </w:rPr>
        <w:t xml:space="preserve"> are not used to treat wounds. In other languages, these words are not known or the action of pouring oil and wine on wounds would cause confusion. If this is the case in your language, you can:</w:t>
      </w:r>
    </w:p>
    <w:p>
      <w:pPr>
        <w:pStyle w:val="ListBullet"/>
        <w:spacing w:line="240" w:lineRule="auto"/>
        <w:ind w:left="720"/>
      </w:pPr>
      <w:r>
        <w:rPr>
          <w:lang w:val="en_US" w:bidi="en_US"/>
        </w:rPr>
      </w:r>
      <w:r>
        <w:rPr>
          <w:lang w:val="en_US" w:bidi="en_US"/>
        </w:rPr>
        <w:t xml:space="preserve">Make explicit the function of the </w:t>
      </w:r>
      <w:r>
        <w:rPr>
          <w:i/>
          <w:lang w:val="en_US" w:bidi="en_US"/>
        </w:rPr>
        <w:t>oil</w:t>
      </w:r>
      <w:r>
        <w:rPr>
          <w:lang w:val="en_US" w:bidi="en_US"/>
        </w:rPr>
        <w:t xml:space="preserve"> and </w:t>
      </w:r>
      <w:r>
        <w:rPr>
          <w:i/>
          <w:lang w:val="en_US" w:bidi="en_US"/>
        </w:rPr>
        <w:t>wine</w:t>
      </w:r>
      <w:r>
        <w:rPr>
          <w:lang w:val="en_US" w:bidi="en_US"/>
        </w:rPr>
        <w:t>. For example:</w:t>
      </w:r>
      <w:r>
        <w:rPr>
          <w:lang w:val="en_US" w:bidi="en_US"/>
        </w:rPr>
        <w:t xml:space="preserve">He </w:t>
      </w:r>
      <w:r>
        <w:rPr>
          <w:u w:val="single"/>
          <w:lang w:val="en_US" w:bidi="en_US"/>
        </w:rPr>
        <w:t>treated his wounds</w:t>
      </w:r>
      <w:r>
        <w:rPr>
          <w:lang w:val="en_US" w:bidi="en_US"/>
        </w:rPr>
        <w:t xml:space="preserve"> with olive oil and wine. (CEV)</w:t>
      </w:r>
    </w:p>
    <w:p>
      <w:pPr>
        <w:pStyle w:val="ListBullet"/>
        <w:spacing w:line="240" w:lineRule="auto"/>
        <w:ind w:left="720"/>
      </w:pPr>
      <w:r>
        <w:rPr>
          <w:lang w:val="en_US" w:bidi="en_US"/>
        </w:rPr>
      </w:r>
      <w:r>
        <w:rPr>
          <w:lang w:val="en_US" w:bidi="en_US"/>
        </w:rPr>
        <w:t xml:space="preserve">State only the function of the </w:t>
      </w:r>
      <w:r>
        <w:rPr>
          <w:i/>
          <w:lang w:val="en_US" w:bidi="en_US"/>
        </w:rPr>
        <w:t>oil</w:t>
      </w:r>
      <w:r>
        <w:rPr>
          <w:lang w:val="en_US" w:bidi="en_US"/>
        </w:rPr>
        <w:t xml:space="preserve"> and </w:t>
      </w:r>
      <w:r>
        <w:rPr>
          <w:i/>
          <w:lang w:val="en_US" w:bidi="en_US"/>
        </w:rPr>
        <w:t>wine</w:t>
      </w:r>
      <w:r>
        <w:rPr>
          <w:lang w:val="en_US" w:bidi="en_US"/>
        </w:rPr>
        <w:t>, but do not translate the actual words. For example:</w:t>
      </w:r>
      <w:r>
        <w:rPr>
          <w:u w:val="single"/>
          <w:lang w:val="en_US" w:bidi="en_US"/>
        </w:rPr>
        <w:t>cleaned</w:t>
      </w:r>
      <w:r>
        <w:rPr>
          <w:lang w:val="en_US" w:bidi="en_US"/>
        </w:rPr>
        <w:t>…</w:t>
      </w:r>
      <w:r>
        <w:rPr>
          <w:u w:val="single"/>
          <w:lang w:val="en_US" w:bidi="en_US"/>
        </w:rPr>
        <w:t>his wounds</w:t>
      </w:r>
      <w:r>
        <w:rPr>
          <w:lang w:val="en_US" w:bidi="en_US"/>
        </w:rPr>
        <w:t xml:space="preserve"> (GW)</w:t>
      </w:r>
    </w:p>
    <w:p>
      <w:pPr/>
      <w:r>
        <w:rPr>
          <w:lang w:val="en_US" w:bidi="en_US"/>
        </w:rPr>
      </w:r>
      <w:r>
        <w:rPr>
          <w:lang w:val="en_US" w:bidi="en_US"/>
        </w:rPr>
        <w:t>You may also want to include a footnote that explains this action. For example:</w:t>
      </w:r>
    </w:p>
    <w:p>
      <w:pPr/>
      <w:r>
        <w:rPr>
          <w:lang w:val="en_US" w:bidi="en_US"/>
        </w:rPr>
      </w:r>
      <w:r>
        <w:rPr>
          <w:lang w:val="en_US" w:bidi="en_US"/>
        </w:rPr>
        <w:t>The Samaritan cleaned/treated the wounds with olive oil and wine. In those days people used oil and wine as medicines.</w:t>
      </w:r>
    </w:p>
    <w:p>
      <w:pPr/>
      <w:r>
        <w:rPr>
          <w:lang w:val="en_US" w:bidi="en_US"/>
        </w:rPr>
      </w:r>
      <w:r>
        <w:rPr>
          <w:b/>
          <w:lang w:val="en_US" w:bidi="en_US"/>
        </w:rPr>
        <w:t>oil:</w:t>
      </w:r>
      <w:r>
        <w:rPr>
          <w:lang w:val="en_US" w:bidi="en_US"/>
        </w:rPr>
        <w:t xml:space="preserve"> In this context </w:t>
      </w:r>
      <w:r>
        <w:rPr>
          <w:i/>
          <w:lang w:val="en_US" w:bidi="en_US"/>
        </w:rPr>
        <w:t>oil</w:t>
      </w:r>
      <w:r>
        <w:rPr>
          <w:lang w:val="en_US" w:bidi="en_US"/>
        </w:rPr>
        <w:t xml:space="preserve"> probably refers to olive oil. This oil came from the fruit of olive trees. People used this oil for many purposes, including cooking, fuel for lamps, and as medicine.</w:t>
      </w:r>
    </w:p>
    <w:p>
      <w:pPr/>
      <w:r>
        <w:rPr>
          <w:lang w:val="en_US" w:bidi="en_US"/>
        </w:rPr>
      </w:r>
      <w:r>
        <w:rPr>
          <w:lang w:val="en_US" w:bidi="en_US"/>
        </w:rPr>
        <w:t>Be careful not to use a word for oil that refers only to motor oil.</w:t>
      </w:r>
    </w:p>
    <w:p>
      <w:pPr/>
      <w:r>
        <w:rPr>
          <w:lang w:val="en_US" w:bidi="en_US"/>
        </w:rPr>
      </w:r>
      <w:r>
        <w:rPr>
          <w:b/>
          <w:lang w:val="en_US" w:bidi="en_US"/>
        </w:rPr>
        <w:t>wine:</w:t>
      </w:r>
      <w:r>
        <w:rPr>
          <w:lang w:val="en_US" w:bidi="en_US"/>
        </w:rPr>
        <w:t xml:space="preserve"> The term </w:t>
      </w:r>
      <w:r>
        <w:rPr>
          <w:i/>
          <w:lang w:val="en_US" w:bidi="en_US"/>
        </w:rPr>
        <w:t>wine</w:t>
      </w:r>
      <w:r>
        <w:rPr>
          <w:lang w:val="en_US" w:bidi="en_US"/>
        </w:rPr>
        <w:t xml:space="preserve"> describes an alcoholic drink. It is made from the juice of a fruit called grapes. When grape juice ferments, it becomes wine. Because wine contains alcohol, people also used it to clean and heal wounds.</w:t>
      </w:r>
    </w:p>
    <w:p>
      <w:pPr/>
      <w:r>
        <w:rPr>
          <w:lang w:val="en_US" w:bidi="en_US"/>
        </w:rPr>
      </w:r>
      <w:r>
        <w:rPr>
          <w:lang w:val="en_US" w:bidi="en_US"/>
        </w:rPr>
        <w:t xml:space="preserve">In some areas, people may not be familiar with grapes or with wine. If that is true in your area, some other ways to translate </w:t>
      </w:r>
      <w:r>
        <w:rPr>
          <w:i/>
          <w:lang w:val="en_US" w:bidi="en_US"/>
        </w:rPr>
        <w:t>wine</w:t>
      </w:r>
      <w:r>
        <w:rPr>
          <w:lang w:val="en_US" w:bidi="en_US"/>
        </w:rPr>
        <w:t xml:space="preserve"> are:</w:t>
      </w:r>
    </w:p>
    <w:p>
      <w:pPr>
        <w:pStyle w:val="ListBullet"/>
        <w:spacing w:line="240" w:lineRule="auto"/>
        <w:ind w:left="720"/>
      </w:pPr>
      <w:r>
        <w:rPr>
          <w:lang w:val="en_US" w:bidi="en_US"/>
        </w:rPr>
      </w:r>
      <w:r>
        <w:rPr>
          <w:lang w:val="en_US" w:bidi="en_US"/>
        </w:rPr>
        <w:t>Use a general term for an alcoholic drink.</w:t>
      </w:r>
    </w:p>
    <w:p>
      <w:pPr>
        <w:pStyle w:val="ListBullet"/>
        <w:spacing w:line="240" w:lineRule="auto"/>
        <w:ind w:left="720"/>
      </w:pPr>
      <w:r>
        <w:rPr>
          <w:lang w:val="en_US" w:bidi="en_US"/>
        </w:rPr>
      </w:r>
      <w:r>
        <w:rPr>
          <w:lang w:val="en_US" w:bidi="en_US"/>
        </w:rPr>
        <w:t>Use a specific term that can also be used to refer to alcoholic drinks in general. For example:</w:t>
      </w:r>
      <w:r>
        <w:rPr>
          <w:lang w:val="en_US" w:bidi="en_US"/>
        </w:rPr>
        <w:t>millet beer</w:t>
      </w:r>
      <w:r>
        <w:rPr>
          <w:lang w:val="en_US" w:bidi="en_US"/>
        </w:rPr>
        <w:t>palm wine</w:t>
      </w:r>
      <w:r>
        <w:rPr>
          <w:lang w:val="en_US" w:bidi="en_US"/>
        </w:rPr>
        <w:t>something like palm wine</w:t>
      </w:r>
    </w:p>
    <w:p>
      <w:pPr>
        <w:pStyle w:val="ListBullet"/>
        <w:spacing w:line="240" w:lineRule="auto"/>
        <w:ind w:left="720"/>
      </w:pPr>
      <w:r>
        <w:rPr>
          <w:lang w:val="en_US" w:bidi="en_US"/>
        </w:rPr>
      </w:r>
      <w:r>
        <w:rPr>
          <w:lang w:val="en_US" w:bidi="en_US"/>
        </w:rPr>
        <w:t>Use a descriptive phrase. For example:</w:t>
      </w:r>
      <w:r>
        <w:rPr>
          <w:lang w:val="en_US" w:bidi="en_US"/>
        </w:rPr>
        <w:t>fermented fruit juice/water</w:t>
      </w:r>
      <w:r>
        <w:rPr>
          <w:lang w:val="en_US" w:bidi="en_US"/>
        </w:rPr>
        <w:t>grape juice</w:t>
      </w:r>
      <w:r>
        <w:rPr>
          <w:lang w:val="en_US" w:bidi="en_US"/>
        </w:rPr>
        <w:t>fermented grape juice</w:t>
      </w:r>
    </w:p>
    <w:p>
      <w:pPr/>
      <w:r>
        <w:rPr>
          <w:lang w:val="en_US" w:bidi="en_US"/>
        </w:rPr>
      </w:r>
      <w:r>
        <w:rPr>
          <w:lang w:val="en_US" w:bidi="en_US"/>
        </w:rPr>
        <w:t>This word also occurs in 7:33a.</w:t>
      </w:r>
    </w:p>
    <w:p>
      <w:pPr>
        <w:pStyle w:val="Heading6"/>
      </w:pPr>
      <w:r>
        <w:rPr>
          <w:b/>
          <w:lang w:val="en_US" w:bidi="en_US"/>
        </w:rPr>
        <w:t>General Comment on 10:34a</w:t>
      </w:r>
    </w:p>
    <w:p>
      <w:pPr/>
      <w:r>
        <w:rPr>
          <w:lang w:val="en_US" w:bidi="en_US"/>
        </w:rPr>
      </w:r>
      <w:r>
        <w:rPr>
          <w:lang w:val="en_US" w:bidi="en_US"/>
        </w:rPr>
        <w:t>The Samaritan probably poured the oil and wine directly on the man’s wounds before he bandaged the wounds. He did not first put the bandages on the man and then pour oil and wine on top of the bandages. Some ways to make the sequence of events clear are:</w:t>
      </w:r>
    </w:p>
    <w:p>
      <w:pPr>
        <w:pStyle w:val="ListBullet"/>
        <w:spacing w:line="240" w:lineRule="auto"/>
        <w:ind w:left="720"/>
      </w:pPr>
      <w:r>
        <w:rPr>
          <w:lang w:val="en_US" w:bidi="en_US"/>
        </w:rPr>
      </w:r>
      <w:r>
        <w:rPr>
          <w:lang w:val="en_US" w:bidi="en_US"/>
        </w:rPr>
        <w:t>Keep the same order, but indicate the sequence of events in another way. For example:</w:t>
      </w:r>
      <w:r>
        <w:rPr>
          <w:lang w:val="en_US" w:bidi="en_US"/>
        </w:rPr>
        <w:t xml:space="preserve">bandaged his wounds </w:t>
      </w:r>
      <w:r>
        <w:rPr>
          <w:u w:val="single"/>
          <w:lang w:val="en_US" w:bidi="en_US"/>
        </w:rPr>
        <w:t>after</w:t>
      </w:r>
      <w:r>
        <w:rPr>
          <w:lang w:val="en_US" w:bidi="en_US"/>
        </w:rPr>
        <w:t xml:space="preserve"> he poured wine and oil on them</w:t>
      </w:r>
    </w:p>
    <w:p>
      <w:pPr>
        <w:pStyle w:val="ListBullet"/>
        <w:spacing w:line="240" w:lineRule="auto"/>
        <w:ind w:left="720"/>
      </w:pPr>
      <w:r>
        <w:rPr>
          <w:lang w:val="en_US" w:bidi="en_US"/>
        </w:rPr>
      </w:r>
      <w:r>
        <w:rPr>
          <w:lang w:val="en_US" w:bidi="en_US"/>
        </w:rPr>
        <w:t>Put the phrases in chronological order. For example:</w:t>
      </w:r>
      <w:r>
        <w:rPr>
          <w:lang w:val="en_US" w:bidi="en_US"/>
        </w:rPr>
        <w:t>poured oil and wine on his wounds and bandaged them (GNT)</w:t>
      </w:r>
    </w:p>
    <w:p>
      <w:pPr/>
      <w:r>
        <w:rPr>
          <w:lang w:val="en_US" w:bidi="en_US"/>
        </w:rPr>
      </w:r>
      <w:r>
        <w:rPr>
          <w:lang w:val="en_US" w:bidi="en_US"/>
        </w:rPr>
        <w:t>Translate this in the way that is most natural in your language.</w:t>
      </w:r>
    </w:p>
    <w:p>
      <w:pPr>
        <w:pStyle w:val="Heading5"/>
      </w:pPr>
      <w:r>
        <w:rPr>
          <w:lang w:val="en_US" w:bidi="en_US"/>
        </w:rPr>
        <w:t>10:34b</w:t>
      </w:r>
    </w:p>
    <w:p>
      <w:pPr/>
      <w:r>
        <w:rPr>
          <w:lang w:val="en_US" w:bidi="en_US"/>
        </w:rPr>
      </w:r>
      <w:r>
        <w:rPr>
          <w:b/>
          <w:lang w:val="en_US" w:bidi="en_US"/>
        </w:rPr>
        <w:t>Then he put him on his own animal, brought him to an inn,</w:t>
      </w:r>
    </w:p>
    <w:p>
      <w:pPr>
        <w:pStyle w:val="ListBullet"/>
        <w:spacing w:line="240" w:lineRule="auto"/>
        <w:ind w:left="720"/>
      </w:pPr>
      <w:r>
        <w:rPr>
          <w:lang w:val="en_US" w:bidi="en_US"/>
        </w:rPr>
      </w:r>
      <w:r>
        <w:rPr>
          <w:lang w:val="en_US" w:bidi="en_US"/>
        </w:rPr>
        <w:t>Then he put the man on his own donkey and took/brought him to a small hotel/inn.</w:t>
      </w:r>
    </w:p>
    <w:p>
      <w:pPr>
        <w:pStyle w:val="ListBullet"/>
        <w:spacing w:line="240" w:lineRule="auto"/>
        <w:ind w:left="720"/>
      </w:pPr>
      <w:r>
        <w:rPr>
          <w:lang w:val="en_US" w:bidi="en_US"/>
        </w:rPr>
      </w:r>
      <w:r>
        <w:rPr>
          <w:lang w:val="en_US" w:bidi="en_US"/>
        </w:rPr>
        <w:t>Then he placed the man on his own animal/mount and led him to a place/house where visitors could stay overnight,</w:t>
      </w:r>
    </w:p>
    <w:p>
      <w:pPr/>
      <w:r>
        <w:rPr>
          <w:lang w:val="en_US" w:bidi="en_US"/>
        </w:rPr>
      </w:r>
      <w:r>
        <w:rPr>
          <w:b/>
          <w:lang w:val="en_US" w:bidi="en_US"/>
        </w:rPr>
        <w:t>he put him on his own animal:</w:t>
      </w:r>
      <w:r>
        <w:rPr>
          <w:lang w:val="en_US" w:bidi="en_US"/>
        </w:rPr>
        <w:t xml:space="preserve"> The Greek verb that the BSB translates as </w:t>
      </w:r>
      <w:r>
        <w:rPr>
          <w:i/>
          <w:lang w:val="en_US" w:bidi="en_US"/>
        </w:rPr>
        <w:t>he put</w:t>
      </w:r>
      <w:r>
        <w:rPr>
          <w:lang w:val="en_US" w:bidi="en_US"/>
        </w:rPr>
        <w:t xml:space="preserve"> means “he set” or “he placed.” The Samaritan had to lift the injured man onto the animal he had been riding. The man was severely wounded and perhaps unconscious. The verb that you use here should be appropriate for a man in that condition. For example:</w:t>
      </w:r>
    </w:p>
    <w:p>
      <w:pPr/>
      <w:r>
        <w:rPr>
          <w:lang w:val="en_US" w:bidi="en_US"/>
        </w:rPr>
      </w:r>
      <w:r>
        <w:rPr>
          <w:lang w:val="en_US" w:bidi="en_US"/>
        </w:rPr>
        <w:t>he lifted him onto his own beast (REB)</w:t>
      </w:r>
    </w:p>
    <w:p>
      <w:pPr/>
      <w:r>
        <w:rPr>
          <w:lang w:val="en_US" w:bidi="en_US"/>
        </w:rPr>
      </w:r>
      <w:r>
        <w:rPr>
          <w:b/>
          <w:lang w:val="en_US" w:bidi="en_US"/>
        </w:rPr>
        <w:t>animal:</w:t>
      </w:r>
      <w:r>
        <w:rPr>
          <w:lang w:val="en_US" w:bidi="en_US"/>
        </w:rPr>
        <w:t xml:space="preserve"> The Greek word that the BSB translates as </w:t>
      </w:r>
      <w:r>
        <w:rPr>
          <w:i/>
          <w:lang w:val="en_US" w:bidi="en_US"/>
        </w:rPr>
        <w:t>animal</w:t>
      </w:r>
      <w:r>
        <w:rPr>
          <w:lang w:val="en_US" w:bidi="en_US"/>
        </w:rPr>
        <w:t xml:space="preserve"> is a general term. It refers to an animal that can carry baggage or that a person can ride. In that area, it would have been a donkey or mule. In areas where donkeys are not known, you may use a more general term. For example:</w:t>
      </w:r>
    </w:p>
    <w:p>
      <w:pPr/>
      <w:r>
        <w:rPr>
          <w:lang w:val="en_US" w:bidi="en_US"/>
        </w:rPr>
      </w:r>
      <w:r>
        <w:rPr>
          <w:lang w:val="en_US" w:bidi="en_US"/>
        </w:rPr>
        <w:t>animal (GNT)</w:t>
      </w:r>
    </w:p>
    <w:p>
      <w:pPr/>
      <w:r>
        <w:rPr>
          <w:lang w:val="en_US" w:bidi="en_US"/>
        </w:rPr>
      </w:r>
      <w:r>
        <w:rPr>
          <w:lang w:val="en_US" w:bidi="en_US"/>
        </w:rPr>
        <w:t>beast (RSV)</w:t>
      </w:r>
    </w:p>
    <w:p>
      <w:pPr/>
      <w:r>
        <w:rPr>
          <w:lang w:val="en_US" w:bidi="en_US"/>
        </w:rPr>
      </w:r>
      <w:r>
        <w:rPr>
          <w:lang w:val="en_US" w:bidi="en_US"/>
        </w:rPr>
        <w:t>mount (NJB)</w:t>
      </w:r>
    </w:p>
    <w:p>
      <w:pPr/>
      <w:r>
        <w:rPr>
          <w:lang w:val="en_US" w:bidi="en_US"/>
        </w:rPr>
      </w:r>
      <w:r>
        <w:rPr>
          <w:b/>
          <w:lang w:val="en_US" w:bidi="en_US"/>
        </w:rPr>
        <w:t>brought him to an inn:</w:t>
      </w:r>
      <w:r>
        <w:rPr>
          <w:lang w:val="en_US" w:bidi="en_US"/>
        </w:rPr>
        <w:t xml:space="preserve"> In this context, the phrase </w:t>
      </w:r>
      <w:r>
        <w:rPr>
          <w:i/>
          <w:lang w:val="en_US" w:bidi="en_US"/>
        </w:rPr>
        <w:t>brought him to an inn</w:t>
      </w:r>
      <w:r>
        <w:rPr>
          <w:lang w:val="en_US" w:bidi="en_US"/>
        </w:rPr>
        <w:t xml:space="preserve"> implies that the Samaritan walked to the inn, guiding the donkey and perhaps supporting the man. Use a natural term in your language to express this idea.</w:t>
      </w:r>
    </w:p>
    <w:p>
      <w:pPr/>
      <w:r>
        <w:rPr>
          <w:lang w:val="en_US" w:bidi="en_US"/>
        </w:rPr>
      </w:r>
      <w:r>
        <w:rPr>
          <w:b/>
          <w:lang w:val="en_US" w:bidi="en_US"/>
        </w:rPr>
        <w:t>inn:</w:t>
      </w:r>
      <w:r>
        <w:rPr>
          <w:lang w:val="en_US" w:bidi="en_US"/>
        </w:rPr>
        <w:t xml:space="preserve"> The Greek word that the BSB translates as </w:t>
      </w:r>
      <w:r>
        <w:rPr>
          <w:i/>
          <w:lang w:val="en_US" w:bidi="en_US"/>
        </w:rPr>
        <w:t>inn</w:t>
      </w:r>
      <w:r>
        <w:rPr>
          <w:lang w:val="en_US" w:bidi="en_US"/>
        </w:rPr>
        <w:t xml:space="preserve"> refers to a “guest house” or small “hotel.” It was a building where travelers could pay for a place to sleep and buy food to eat. It was not a place where people came to receive medical treatment.</w:t>
      </w:r>
    </w:p>
    <w:p>
      <w:pPr>
        <w:pStyle w:val="Heading5"/>
      </w:pPr>
      <w:r>
        <w:rPr>
          <w:lang w:val="en_US" w:bidi="en_US"/>
        </w:rPr>
        <w:t>10:34c</w:t>
      </w:r>
    </w:p>
    <w:p>
      <w:pPr/>
      <w:r>
        <w:rPr>
          <w:lang w:val="en_US" w:bidi="en_US"/>
        </w:rPr>
      </w:r>
      <w:r>
        <w:rPr>
          <w:b/>
          <w:lang w:val="en_US" w:bidi="en_US"/>
        </w:rPr>
        <w:t>and took care of him.</w:t>
      </w:r>
    </w:p>
    <w:p>
      <w:pPr>
        <w:pStyle w:val="ListBullet"/>
        <w:spacing w:line="240" w:lineRule="auto"/>
        <w:ind w:left="720"/>
      </w:pPr>
      <w:r>
        <w:rPr>
          <w:lang w:val="en_US" w:bidi="en_US"/>
        </w:rPr>
      </w:r>
      <w:r>
        <w:rPr>
          <w:lang w:val="en_US" w:bidi="en_US"/>
        </w:rPr>
        <w:t>There he cared for him.</w:t>
      </w:r>
    </w:p>
    <w:p>
      <w:pPr>
        <w:pStyle w:val="ListBullet"/>
        <w:spacing w:line="240" w:lineRule="auto"/>
        <w:ind w:left="720"/>
      </w:pPr>
      <w:r>
        <w:rPr>
          <w:lang w:val="en_US" w:bidi="en_US"/>
        </w:rPr>
      </w:r>
      <w:r>
        <w:rPr>
          <w:lang w:val="en_US" w:bidi="en_US"/>
        </w:rPr>
        <w:t xml:space="preserve">where he took </w:t>
      </w:r>
      <w:r>
        <w:rPr>
          <w:lang w:val="en_US" w:bidi="en_US"/>
        </w:rPr>
        <w:t>further</w:t>
      </w:r>
      <w:r>
        <w:rPr>
          <w:lang w:val="en_US" w:bidi="en_US"/>
        </w:rPr>
        <w:t xml:space="preserve"> care of him.</w:t>
      </w:r>
    </w:p>
    <w:p>
      <w:pPr/>
      <w:r>
        <w:rPr>
          <w:lang w:val="en_US" w:bidi="en_US"/>
        </w:rPr>
      </w:r>
      <w:r>
        <w:rPr>
          <w:b/>
          <w:lang w:val="en_US" w:bidi="en_US"/>
        </w:rPr>
        <w:t>took care of him:</w:t>
      </w:r>
      <w:r>
        <w:rPr>
          <w:lang w:val="en_US" w:bidi="en_US"/>
        </w:rPr>
        <w:t xml:space="preserve"> The Greek word that the BSB translates as </w:t>
      </w:r>
      <w:r>
        <w:rPr>
          <w:i/>
          <w:lang w:val="en_US" w:bidi="en_US"/>
        </w:rPr>
        <w:t>took care</w:t>
      </w:r>
      <w:r>
        <w:rPr>
          <w:lang w:val="en_US" w:bidi="en_US"/>
        </w:rPr>
        <w:t xml:space="preserve"> refers to giving physical help to someone, for example, by bringing him food. Since the Samaritan was already taking care of the injured man, in some languages it may be natural to indicate that. For example:</w:t>
      </w:r>
    </w:p>
    <w:p>
      <w:pPr/>
      <w:r>
        <w:rPr>
          <w:lang w:val="en_US" w:bidi="en_US"/>
        </w:rPr>
      </w:r>
      <w:r>
        <w:rPr>
          <w:lang w:val="en_US" w:bidi="en_US"/>
        </w:rPr>
        <w:t>continued to</w:t>
      </w:r>
      <w:r>
        <w:rPr>
          <w:lang w:val="en_US" w:bidi="en_US"/>
        </w:rPr>
        <w:t xml:space="preserve"> take care of him</w:t>
      </w:r>
      <w:r>
        <w:rPr>
          <w:lang w:val="en_US" w:bidi="en_US"/>
        </w:rPr>
      </w:r>
      <w:r>
        <w:rPr>
          <w:lang w:val="en_US" w:bidi="en_US"/>
        </w:rPr>
      </w:r>
    </w:p>
    <w:p>
      <w:pPr/>
      <w:r>
        <w:rPr>
          <w:lang w:val="en_US" w:bidi="en_US"/>
        </w:rPr>
      </w:r>
    </w:p>
    <w:p>
      <w:pPr>
        <w:pStyle w:val="Heading2"/>
      </w:pPr>
      <w:r>
        <w:rPr>
          <w:lang w:val="en_US" w:bidi="en_US"/>
        </w:rPr>
        <w:t>Luke 10:35</w:t>
      </w:r>
      <w:r>
        <w:rPr>
          <w:lang w:val="en_US" w:bidi="en_US"/>
        </w:rPr>
      </w:r>
    </w:p>
    <w:p>
      <w:pPr>
        <w:pStyle w:val="Heading4"/>
      </w:pPr>
      <w:r>
        <w:rPr>
          <w:lang w:val="en_US" w:bidi="en_US"/>
        </w:rPr>
        <w:t>Section 10:25–37: Jesus told a story to show us who our neighbors are</w:t>
      </w:r>
    </w:p>
    <w:p>
      <w:pPr/>
      <w:r>
        <w:rPr>
          <w:lang w:val="en_US" w:bidi="en_US"/>
        </w:rPr>
      </w:r>
      <w:r>
        <w:rPr>
          <w:lang w:val="en_US" w:bidi="en_US"/>
        </w:rP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pPr/>
      <w:r>
        <w:rPr>
          <w:lang w:val="en_US" w:bidi="en_US"/>
        </w:rPr>
      </w:r>
      <w:r>
        <w:rPr>
          <w:lang w:val="en_US" w:bidi="en_US"/>
        </w:rP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pPr/>
      <w:r>
        <w:rPr>
          <w:lang w:val="en_US" w:bidi="en_US"/>
        </w:rPr>
      </w:r>
      <w:r>
        <w:rPr>
          <w:lang w:val="en_US" w:bidi="en_US"/>
        </w:rP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pPr/>
      <w:r>
        <w:rPr>
          <w:lang w:val="en_US" w:bidi="en_US"/>
        </w:rPr>
      </w:r>
      <w:r>
        <w:rPr>
          <w:lang w:val="en_US" w:bidi="en_US"/>
        </w:rPr>
        <w:t>Some other possible section headings are:</w:t>
      </w:r>
    </w:p>
    <w:p>
      <w:pPr/>
      <w:r>
        <w:rPr>
          <w:lang w:val="en_US" w:bidi="en_US"/>
        </w:rPr>
      </w:r>
      <w:r>
        <w:rPr>
          <w:lang w:val="en_US" w:bidi="en_US"/>
        </w:rPr>
        <w:t>The parable about the good foreigner</w:t>
      </w:r>
    </w:p>
    <w:p>
      <w:pPr/>
      <w:r>
        <w:rPr>
          <w:lang w:val="en_US" w:bidi="en_US"/>
        </w:rPr>
      </w:r>
      <w:r>
        <w:rPr>
          <w:lang w:val="en_US" w:bidi="en_US"/>
        </w:rPr>
        <w:t>Who is my neighbor?</w:t>
      </w:r>
    </w:p>
    <w:p>
      <w:pPr/>
      <w:r>
        <w:rPr>
          <w:lang w:val="en_US" w:bidi="en_US"/>
        </w:rPr>
      </w:r>
      <w:r>
        <w:rPr>
          <w:lang w:val="en_US" w:bidi="en_US"/>
        </w:rPr>
        <w:t>The Good Samaritan</w:t>
      </w:r>
    </w:p>
    <w:p>
      <w:pPr/>
      <w:r>
        <w:rPr>
          <w:lang w:val="en_US" w:bidi="en_US"/>
        </w:rPr>
      </w:r>
      <w:r>
        <w:rPr>
          <w:lang w:val="en_US" w:bidi="en_US"/>
        </w:rPr>
        <w:t>Luke is the only gospel writer who includes this parable.</w:t>
      </w:r>
    </w:p>
    <w:p>
      <w:pPr>
        <w:pStyle w:val="Heading4"/>
      </w:pPr>
      <w:r>
        <w:rPr>
          <w:lang w:val="en_US" w:bidi="en_US"/>
        </w:rPr>
        <w:t>Paragraph 10:30–35</w:t>
      </w:r>
    </w:p>
    <w:p>
      <w:pPr/>
      <w:r>
        <w:rPr>
          <w:lang w:val="en_US" w:bidi="en_US"/>
        </w:rPr>
      </w:r>
      <w:r>
        <w:rPr>
          <w:lang w:val="en_US" w:bidi="en_US"/>
        </w:rPr>
        <w:t>Jesus told the story in this paragraph in order to teach people what the Law meant by the command to love our neighbors. Most scholars think that this story probably did not really happen. If you must distinguish in your language between events that actually happened and fictional stories, you can indicate that it is a fictional story.</w:t>
      </w:r>
    </w:p>
    <w:p>
      <w:pPr>
        <w:pStyle w:val="Heading5"/>
      </w:pPr>
      <w:r>
        <w:rPr>
          <w:lang w:val="en_US" w:bidi="en_US"/>
        </w:rPr>
        <w:t>10:35a</w:t>
      </w:r>
    </w:p>
    <w:p>
      <w:pPr/>
      <w:r>
        <w:rPr>
          <w:lang w:val="en_US" w:bidi="en_US"/>
        </w:rPr>
      </w:r>
      <w:r>
        <w:rPr>
          <w:b/>
          <w:lang w:val="en_US" w:bidi="en_US"/>
        </w:rPr>
        <w:t>The next day he took out two denarii</w:t>
      </w:r>
    </w:p>
    <w:p>
      <w:pPr>
        <w:pStyle w:val="ListBullet"/>
        <w:spacing w:line="240" w:lineRule="auto"/>
        <w:ind w:left="720"/>
      </w:pPr>
      <w:r>
        <w:rPr>
          <w:lang w:val="en_US" w:bidi="en_US"/>
        </w:rPr>
      </w:r>
      <w:r>
        <w:rPr>
          <w:lang w:val="en_US" w:bidi="en_US"/>
        </w:rPr>
        <w:t>Then</w:t>
      </w:r>
      <w:r>
        <w:rPr>
          <w:lang w:val="en_US" w:bidi="en_US"/>
        </w:rPr>
        <w:t xml:space="preserve"> the next day the Samaritan took out two coins made of silver</w:t>
      </w:r>
    </w:p>
    <w:p>
      <w:pPr>
        <w:pStyle w:val="ListBullet"/>
        <w:spacing w:line="240" w:lineRule="auto"/>
        <w:ind w:left="720"/>
      </w:pPr>
      <w:r>
        <w:rPr>
          <w:lang w:val="en_US" w:bidi="en_US"/>
        </w:rPr>
      </w:r>
      <w:r>
        <w:rPr>
          <w:lang w:val="en_US" w:bidi="en_US"/>
        </w:rPr>
        <w:t xml:space="preserve">In the morning the Samaritan </w:t>
      </w:r>
      <w:r>
        <w:rPr>
          <w:lang w:val="en_US" w:bidi="en_US"/>
        </w:rPr>
        <w:t>went to the manager/owner of the place/house</w:t>
      </w:r>
      <w:r>
        <w:rPr>
          <w:lang w:val="en_US" w:bidi="en_US"/>
        </w:rPr>
        <w:t xml:space="preserve">. He took </w:t>
      </w:r>
      <w:r>
        <w:rPr>
          <w:lang w:val="en_US" w:bidi="en_US"/>
        </w:rPr>
        <w:t>from his bag</w:t>
      </w:r>
      <w:r>
        <w:rPr>
          <w:lang w:val="en_US" w:bidi="en_US"/>
        </w:rPr>
        <w:t xml:space="preserve"> two pieces of money</w:t>
      </w:r>
    </w:p>
    <w:p>
      <w:pPr/>
      <w:r>
        <w:rPr>
          <w:lang w:val="en_US" w:bidi="en_US"/>
        </w:rPr>
      </w:r>
      <w:r>
        <w:rPr>
          <w:b/>
          <w:lang w:val="en_US" w:bidi="en_US"/>
        </w:rPr>
        <w:t>The next day:</w:t>
      </w:r>
      <w:r>
        <w:rPr>
          <w:lang w:val="en_US" w:bidi="en_US"/>
        </w:rPr>
        <w:t xml:space="preserve"> In some languages it may be necessary to make explicit that the Samaritan and the other man stayed at the inn that night:</w:t>
      </w:r>
    </w:p>
    <w:p>
      <w:pPr/>
      <w:r>
        <w:rPr>
          <w:lang w:val="en_US" w:bidi="en_US"/>
        </w:rPr>
      </w:r>
      <w:r>
        <w:rPr>
          <w:lang w:val="en_US" w:bidi="en_US"/>
        </w:rPr>
        <w:t>They slept at the inn that night, and</w:t>
      </w:r>
      <w:r>
        <w:rPr>
          <w:lang w:val="en_US" w:bidi="en_US"/>
        </w:rPr>
        <w:t xml:space="preserve"> when morning came</w:t>
      </w:r>
    </w:p>
    <w:p>
      <w:pPr/>
      <w:r>
        <w:rPr>
          <w:lang w:val="en_US" w:bidi="en_US"/>
        </w:rPr>
      </w:r>
      <w:r>
        <w:rPr>
          <w:b/>
          <w:lang w:val="en_US" w:bidi="en_US"/>
        </w:rPr>
        <w:t>he took out two denarii:</w:t>
      </w:r>
      <w:r>
        <w:rPr>
          <w:lang w:val="en_US" w:bidi="en_US"/>
        </w:rPr>
        <w:t xml:space="preserve"> This clause implies that the Samaritan took two silver coins called </w:t>
      </w:r>
      <w:r>
        <w:rPr>
          <w:i/>
          <w:lang w:val="en_US" w:bidi="en_US"/>
        </w:rPr>
        <w:t>denarii</w:t>
      </w:r>
      <w:r>
        <w:rPr>
          <w:lang w:val="en_US" w:bidi="en_US"/>
        </w:rPr>
        <w:t xml:space="preserve"> from the place where he carried his money. In some languages it may be necessary to say from where the Samaritan took these two coins. For example:</w:t>
      </w:r>
    </w:p>
    <w:p>
      <w:pPr/>
      <w:r>
        <w:rPr>
          <w:lang w:val="en_US" w:bidi="en_US"/>
        </w:rPr>
      </w:r>
      <w:r>
        <w:rPr>
          <w:lang w:val="en_US" w:bidi="en_US"/>
        </w:rPr>
        <w:t xml:space="preserve">he took two silver coins </w:t>
      </w:r>
      <w:r>
        <w:rPr>
          <w:lang w:val="en_US" w:bidi="en_US"/>
        </w:rPr>
        <w:t>out of his money bag</w:t>
      </w:r>
    </w:p>
    <w:p>
      <w:pPr/>
      <w:r>
        <w:rPr>
          <w:lang w:val="en_US" w:bidi="en_US"/>
        </w:rPr>
      </w:r>
      <w:r>
        <w:rPr>
          <w:b/>
          <w:lang w:val="en_US" w:bidi="en_US"/>
        </w:rPr>
        <w:t>two denarii:</w:t>
      </w:r>
      <w:r>
        <w:rPr>
          <w:lang w:val="en_US" w:bidi="en_US"/>
        </w:rPr>
        <w:t xml:space="preserve"> The Greek phrase that the BSB translates literally as </w:t>
      </w:r>
      <w:r>
        <w:rPr>
          <w:i/>
          <w:lang w:val="en_US" w:bidi="en_US"/>
        </w:rPr>
        <w:t>two denarii</w:t>
      </w:r>
      <w:r>
        <w:rPr>
          <w:lang w:val="en_US" w:bidi="en_US"/>
        </w:rPr>
        <w:t xml:space="preserve"> uses the plural form of the word “denarius.” A denarius was a Roman silver coin that was worth the pay for a full day’s work for an ordinary worker.</w:t>
      </w:r>
    </w:p>
    <w:p>
      <w:pPr/>
      <w:r>
        <w:rPr>
          <w:lang w:val="en_US" w:bidi="en_US"/>
        </w:rPr>
      </w:r>
      <w:r>
        <w:rPr>
          <w:lang w:val="en_US" w:bidi="en_US"/>
        </w:rPr>
        <w:t>When translating this phrase you can:</w:t>
      </w:r>
    </w:p>
    <w:p>
      <w:pPr>
        <w:pStyle w:val="ListBullet"/>
        <w:spacing w:line="240" w:lineRule="auto"/>
        <w:ind w:left="720"/>
      </w:pPr>
      <w:r>
        <w:rPr>
          <w:lang w:val="en_US" w:bidi="en_US"/>
        </w:rPr>
      </w:r>
      <w:r>
        <w:rPr>
          <w:lang w:val="en_US" w:bidi="en_US"/>
        </w:rPr>
        <w:t>Transliterate the Greek word denarius, as the BSB and other versions do. For example:</w:t>
      </w:r>
      <w:r>
        <w:rPr>
          <w:lang w:val="en_US" w:bidi="en_US"/>
        </w:rPr>
        <w:t>two denarii (RSV)</w:t>
      </w:r>
    </w:p>
    <w:p>
      <w:pPr>
        <w:pStyle w:val="ListBullet"/>
        <w:spacing w:line="240" w:lineRule="auto"/>
        <w:ind w:left="720"/>
      </w:pPr>
      <w:r>
        <w:rPr>
          <w:lang w:val="en_US" w:bidi="en_US"/>
        </w:rPr>
      </w:r>
      <w:r>
        <w:rPr>
          <w:lang w:val="en_US" w:bidi="en_US"/>
        </w:rPr>
        <w:t>Transliterate the Greek word denarius and add a descriptive phrase. For example:</w:t>
      </w:r>
      <w:r>
        <w:rPr>
          <w:lang w:val="en_US" w:bidi="en_US"/>
        </w:rPr>
        <w:t>two denarii coins</w:t>
      </w:r>
    </w:p>
    <w:p>
      <w:pPr>
        <w:pStyle w:val="ListBullet"/>
        <w:spacing w:line="240" w:lineRule="auto"/>
        <w:ind w:left="720"/>
      </w:pPr>
      <w:r>
        <w:rPr>
          <w:lang w:val="en_US" w:bidi="en_US"/>
        </w:rPr>
      </w:r>
      <w:r>
        <w:rPr>
          <w:lang w:val="en_US" w:bidi="en_US"/>
        </w:rPr>
        <w:t>Use a descriptive phrase. For example:</w:t>
      </w:r>
      <w:r>
        <w:rPr>
          <w:lang w:val="en_US" w:bidi="en_US"/>
        </w:rPr>
        <w:t>two silver coins (GNT)</w:t>
      </w:r>
      <w:r>
        <w:rPr>
          <w:lang w:val="en_US" w:bidi="en_US"/>
        </w:rPr>
        <w:t>two pieces of money</w:t>
      </w:r>
    </w:p>
    <w:p>
      <w:pPr>
        <w:pStyle w:val="ListBullet"/>
        <w:spacing w:line="240" w:lineRule="auto"/>
        <w:ind w:left="720"/>
      </w:pPr>
      <w:r>
        <w:rPr>
          <w:lang w:val="en_US" w:bidi="en_US"/>
        </w:rPr>
      </w:r>
      <w:r>
        <w:rPr>
          <w:lang w:val="en_US" w:bidi="en_US"/>
        </w:rPr>
        <w:t>Use a generic phrase. For example:</w:t>
      </w:r>
      <w:r>
        <w:rPr>
          <w:lang w:val="en_US" w:bidi="en_US"/>
        </w:rPr>
        <w:t>some money</w:t>
      </w:r>
    </w:p>
    <w:p>
      <w:pPr/>
      <w:r>
        <w:rPr>
          <w:lang w:val="en_US" w:bidi="en_US"/>
        </w:rPr>
      </w:r>
      <w:r>
        <w:rPr>
          <w:lang w:val="en_US" w:bidi="en_US"/>
        </w:rPr>
        <w:t>Whichever option you choose, it will probably be good to include a footnote. Some sample footnotes are:</w:t>
      </w:r>
    </w:p>
    <w:p>
      <w:pPr/>
      <w:r>
        <w:rPr>
          <w:lang w:val="en_US" w:bidi="en_US"/>
        </w:rPr>
      </w:r>
      <w:r>
        <w:rPr>
          <w:lang w:val="en_US" w:bidi="en_US"/>
        </w:rPr>
        <w:t>Two denarii are two silver coins. This was as much money as a worker would earn in two days.</w:t>
      </w:r>
    </w:p>
    <w:p>
      <w:pPr/>
      <w:r>
        <w:rPr>
          <w:lang w:val="en_US" w:bidi="en_US"/>
        </w:rPr>
      </w:r>
      <w:r>
        <w:rPr>
          <w:lang w:val="en_US" w:bidi="en_US"/>
        </w:rPr>
        <w:t>The money was called denarii in Greek. These two silver coins were worth the salary that a common laborer would earn in two days.</w:t>
      </w:r>
    </w:p>
    <w:p>
      <w:pPr>
        <w:pStyle w:val="Heading5"/>
      </w:pPr>
      <w:r>
        <w:rPr>
          <w:lang w:val="en_US" w:bidi="en_US"/>
        </w:rPr>
        <w:t>10:35b</w:t>
      </w:r>
    </w:p>
    <w:p>
      <w:pPr/>
      <w:r>
        <w:rPr>
          <w:lang w:val="en_US" w:bidi="en_US"/>
        </w:rPr>
      </w:r>
      <w:r>
        <w:rPr>
          <w:b/>
          <w:lang w:val="en_US" w:bidi="en_US"/>
        </w:rPr>
        <w:t>and gave them to the innkeeper.</w:t>
      </w:r>
    </w:p>
    <w:p>
      <w:pPr>
        <w:pStyle w:val="ListBullet"/>
        <w:spacing w:line="240" w:lineRule="auto"/>
        <w:ind w:left="720"/>
      </w:pPr>
      <w:r>
        <w:rPr>
          <w:lang w:val="en_US" w:bidi="en_US"/>
        </w:rPr>
      </w:r>
      <w:r>
        <w:rPr>
          <w:lang w:val="en_US" w:bidi="en_US"/>
        </w:rPr>
        <w:t>and gave them to the manager of the hotel/inn.</w:t>
      </w:r>
    </w:p>
    <w:p>
      <w:pPr>
        <w:pStyle w:val="ListBullet"/>
        <w:spacing w:line="240" w:lineRule="auto"/>
        <w:ind w:left="720"/>
      </w:pPr>
      <w:r>
        <w:rPr>
          <w:lang w:val="en_US" w:bidi="en_US"/>
        </w:rPr>
      </w:r>
      <w:r>
        <w:rPr>
          <w:lang w:val="en_US" w:bidi="en_US"/>
        </w:rPr>
        <w:t>and handed them to the manager/owner.</w:t>
      </w:r>
    </w:p>
    <w:p>
      <w:pPr/>
      <w:r>
        <w:rPr>
          <w:lang w:val="en_US" w:bidi="en_US"/>
        </w:rPr>
      </w:r>
      <w:r>
        <w:rPr>
          <w:b/>
          <w:lang w:val="en_US" w:bidi="en_US"/>
        </w:rPr>
        <w:t>gave them to the innkeeper:</w:t>
      </w:r>
      <w:r>
        <w:rPr>
          <w:lang w:val="en_US" w:bidi="en_US"/>
        </w:rPr>
        <w:t xml:space="preserve"> In this context the Greek word that the BSB translates as </w:t>
      </w:r>
      <w:r>
        <w:rPr>
          <w:i/>
          <w:lang w:val="en_US" w:bidi="en_US"/>
        </w:rPr>
        <w:t>gave</w:t>
      </w:r>
      <w:r>
        <w:rPr>
          <w:lang w:val="en_US" w:bidi="en_US"/>
        </w:rPr>
        <w:t xml:space="preserve"> refers to handing over a payment, not to giving a gift. If that is not clear, it may be necessary to use a different expression. For example:</w:t>
      </w:r>
    </w:p>
    <w:p>
      <w:pPr/>
      <w:r>
        <w:rPr>
          <w:lang w:val="en_US" w:bidi="en_US"/>
        </w:rPr>
      </w:r>
      <w:r>
        <w:rPr>
          <w:lang w:val="en_US" w:bidi="en_US"/>
        </w:rPr>
        <w:t>handed them to the innkeeper</w:t>
      </w:r>
    </w:p>
    <w:p>
      <w:pPr/>
      <w:r>
        <w:rPr>
          <w:lang w:val="en_US" w:bidi="en_US"/>
        </w:rPr>
      </w:r>
      <w:r>
        <w:rPr>
          <w:lang w:val="en_US" w:bidi="en_US"/>
        </w:rPr>
        <w:t>paid them in advance to the innkeeper</w:t>
      </w:r>
    </w:p>
    <w:p>
      <w:pPr/>
      <w:r>
        <w:rPr>
          <w:lang w:val="en_US" w:bidi="en_US"/>
        </w:rPr>
      </w:r>
      <w:r>
        <w:rPr>
          <w:b/>
          <w:lang w:val="en_US" w:bidi="en_US"/>
        </w:rPr>
        <w:t>innkeeper:</w:t>
      </w:r>
      <w:r>
        <w:rPr>
          <w:lang w:val="en_US" w:bidi="en_US"/>
        </w:rPr>
        <w:t xml:space="preserve"> The Greek word that the BSB translates as </w:t>
      </w:r>
      <w:r>
        <w:rPr>
          <w:i/>
          <w:lang w:val="en_US" w:bidi="en_US"/>
        </w:rPr>
        <w:t>innkeeper</w:t>
      </w:r>
      <w:r>
        <w:rPr>
          <w:lang w:val="en_US" w:bidi="en_US"/>
        </w:rPr>
        <w:t xml:space="preserve"> refers to the man who took care of the guesthouse. He was the “manager” of the inn and may also have been the owner.</w:t>
      </w:r>
    </w:p>
    <w:p>
      <w:pPr>
        <w:pStyle w:val="Heading5"/>
      </w:pPr>
      <w:r>
        <w:rPr>
          <w:lang w:val="en_US" w:bidi="en_US"/>
        </w:rPr>
        <w:t>10:35c</w:t>
      </w:r>
    </w:p>
    <w:p>
      <w:pPr/>
      <w:r>
        <w:rPr>
          <w:lang w:val="en_US" w:bidi="en_US"/>
        </w:rPr>
      </w:r>
      <w:r>
        <w:rPr>
          <w:b/>
          <w:lang w:val="en_US" w:bidi="en_US"/>
        </w:rPr>
        <w:t>‘Take care of him,’ he said,</w:t>
      </w:r>
    </w:p>
    <w:p>
      <w:pPr>
        <w:pStyle w:val="ListBullet"/>
        <w:spacing w:line="240" w:lineRule="auto"/>
        <w:ind w:left="720"/>
      </w:pPr>
      <w:r>
        <w:rPr>
          <w:lang w:val="en_US" w:bidi="en_US"/>
        </w:rPr>
      </w:r>
      <w:r>
        <w:rPr>
          <w:lang w:val="en_US" w:bidi="en_US"/>
        </w:rPr>
        <w:t>He said to him, ‘</w:t>
      </w:r>
      <w:r>
        <w:rPr>
          <w:lang w:val="en_US" w:bidi="en_US"/>
        </w:rPr>
        <w:t>I must leave now.</w:t>
      </w:r>
      <w:r>
        <w:rPr>
          <w:lang w:val="en_US" w:bidi="en_US"/>
        </w:rPr>
        <w:t xml:space="preserve"> Take</w:t>
      </w:r>
      <w:r>
        <w:rPr>
          <w:vertAlign w:val="superscript"/>
          <w:lang w:val="en_US" w:bidi="en_US"/>
        </w:rPr>
        <w:t>(sing)</w:t>
      </w:r>
      <w:r>
        <w:rPr>
          <w:lang w:val="en_US" w:bidi="en_US"/>
        </w:rPr>
        <w:t xml:space="preserve"> care of this man.</w:t>
      </w:r>
    </w:p>
    <w:p>
      <w:pPr>
        <w:pStyle w:val="ListBullet"/>
        <w:spacing w:line="240" w:lineRule="auto"/>
        <w:ind w:left="720"/>
      </w:pPr>
      <w:r>
        <w:rPr>
          <w:lang w:val="en_US" w:bidi="en_US"/>
        </w:rPr>
      </w:r>
      <w:r>
        <w:rPr>
          <w:lang w:val="en_US" w:bidi="en_US"/>
        </w:rPr>
        <w:t>He said to the manager/owner, ‘</w:t>
      </w:r>
      <w:r>
        <w:rPr>
          <w:lang w:val="en_US" w:bidi="en_US"/>
        </w:rPr>
        <w:t>Please</w:t>
      </w:r>
      <w:r>
        <w:rPr>
          <w:lang w:val="en_US" w:bidi="en_US"/>
        </w:rPr>
        <w:t xml:space="preserve"> care</w:t>
      </w:r>
      <w:r>
        <w:rPr>
          <w:vertAlign w:val="superscript"/>
          <w:lang w:val="en_US" w:bidi="en_US"/>
        </w:rPr>
        <w:t>(sing)</w:t>
      </w:r>
      <w:r>
        <w:rPr>
          <w:lang w:val="en_US" w:bidi="en_US"/>
        </w:rPr>
        <w:t xml:space="preserve"> for this man.</w:t>
      </w:r>
    </w:p>
    <w:p>
      <w:pPr>
        <w:pStyle w:val="ListBullet"/>
        <w:spacing w:line="240" w:lineRule="auto"/>
        <w:ind w:left="720"/>
      </w:pPr>
      <w:r>
        <w:rPr>
          <w:lang w:val="en_US" w:bidi="en_US"/>
        </w:rPr>
      </w:r>
      <w:r>
        <w:rPr>
          <w:lang w:val="en_US" w:bidi="en_US"/>
        </w:rPr>
        <w:t xml:space="preserve">He asked the manager/owner to help the man </w:t>
      </w:r>
      <w:r>
        <w:rPr>
          <w:lang w:val="en_US" w:bidi="en_US"/>
        </w:rPr>
        <w:t>while he himself was gone</w:t>
      </w:r>
      <w:r>
        <w:rPr>
          <w:lang w:val="en_US" w:bidi="en_US"/>
        </w:rPr>
        <w:t>.</w:t>
      </w:r>
    </w:p>
    <w:p>
      <w:pPr/>
      <w:r>
        <w:rPr>
          <w:lang w:val="en_US" w:bidi="en_US"/>
        </w:rPr>
      </w:r>
      <w:r>
        <w:rPr>
          <w:lang w:val="en_US" w:bidi="en_US"/>
        </w:rPr>
        <w:t>This part of the verse implies that the Samaritan was about to leave the inn to continue his journey. He gave instructions to the innkeeper about caring for the man until he returned. In some languages, it may be necessary to begin 10:35c by mentioning the Samaritan’s intention to leave. For example:</w:t>
      </w:r>
    </w:p>
    <w:p>
      <w:pPr/>
      <w:r>
        <w:rPr>
          <w:lang w:val="en_US" w:bidi="en_US"/>
        </w:rPr>
      </w:r>
      <w:r>
        <w:rPr>
          <w:lang w:val="en_US" w:bidi="en_US"/>
        </w:rPr>
        <w:t>I must leave now.</w:t>
      </w:r>
      <w:r>
        <w:rPr>
          <w:lang w:val="en_US" w:bidi="en_US"/>
        </w:rPr>
        <w:t xml:space="preserve"> Look after him…</w:t>
      </w:r>
    </w:p>
    <w:p>
      <w:pPr/>
      <w:r>
        <w:rPr>
          <w:lang w:val="en_US" w:bidi="en_US"/>
        </w:rPr>
      </w:r>
      <w:r>
        <w:rPr>
          <w:lang w:val="en_US" w:bidi="en_US"/>
        </w:rPr>
        <w:t>In other languages, this information may occur at the beginning of 10:35d. See 10:35c and 10:35d in the Display for examples.</w:t>
      </w:r>
    </w:p>
    <w:p>
      <w:pPr/>
      <w:r>
        <w:rPr>
          <w:lang w:val="en_US" w:bidi="en_US"/>
        </w:rPr>
      </w:r>
      <w:r>
        <w:rPr>
          <w:b/>
          <w:lang w:val="en_US" w:bidi="en_US"/>
        </w:rPr>
        <w:t>Take care of him:</w:t>
      </w:r>
      <w:r>
        <w:rPr>
          <w:lang w:val="en_US" w:bidi="en_US"/>
        </w:rPr>
        <w:t xml:space="preserve"> In this context the Greek clause that the BSB translates as </w:t>
      </w:r>
      <w:r>
        <w:rPr>
          <w:i/>
          <w:lang w:val="en_US" w:bidi="en_US"/>
        </w:rPr>
        <w:t>Take care of him</w:t>
      </w:r>
      <w:r>
        <w:rPr>
          <w:lang w:val="en_US" w:bidi="en_US"/>
        </w:rPr>
        <w:t xml:space="preserve"> means, “Take care of </w:t>
      </w:r>
      <w:r>
        <w:rPr>
          <w:lang w:val="en_US" w:bidi="en_US"/>
        </w:rPr>
        <w:t>this injured man</w:t>
      </w:r>
      <w:r>
        <w:rPr>
          <w:lang w:val="en_US" w:bidi="en_US"/>
        </w:rPr>
        <w:t>.” The same verb occurs in 10:34c.</w:t>
      </w:r>
    </w:p>
    <w:p>
      <w:pPr/>
      <w:r>
        <w:rPr>
          <w:lang w:val="en_US" w:bidi="en_US"/>
        </w:rPr>
      </w:r>
      <w:r>
        <w:rPr>
          <w:lang w:val="en_US" w:bidi="en_US"/>
        </w:rPr>
        <w:t>In some languages, it may be necessary to begin this request with a polite word such as “please.”</w:t>
      </w:r>
    </w:p>
    <w:p>
      <w:pPr/>
      <w:r>
        <w:rPr>
          <w:lang w:val="en_US" w:bidi="en_US"/>
        </w:rPr>
      </w:r>
      <w:r>
        <w:rPr>
          <w:b/>
          <w:lang w:val="en_US" w:bidi="en_US"/>
        </w:rPr>
        <w:t>he said:</w:t>
      </w:r>
      <w:r>
        <w:rPr>
          <w:lang w:val="en_US" w:bidi="en_US"/>
        </w:rPr>
        <w:t xml:space="preserve"> In some languages it may be helpful to say explicitly “the Samaritan said.”</w:t>
      </w:r>
    </w:p>
    <w:p>
      <w:pPr/>
      <w:r>
        <w:rPr>
          <w:lang w:val="en_US" w:bidi="en_US"/>
        </w:rPr>
      </w:r>
      <w:r>
        <w:rPr>
          <w:lang w:val="en_US" w:bidi="en_US"/>
        </w:rPr>
        <w:t xml:space="preserve">In Greek, the words </w:t>
      </w:r>
      <w:r>
        <w:rPr>
          <w:i/>
          <w:lang w:val="en_US" w:bidi="en_US"/>
        </w:rPr>
        <w:t>he said</w:t>
      </w:r>
      <w:r>
        <w:rPr>
          <w:lang w:val="en_US" w:bidi="en_US"/>
        </w:rPr>
        <w:t xml:space="preserve"> occur before the clause “Take care of him.” You should place </w:t>
      </w:r>
      <w:r>
        <w:rPr>
          <w:i/>
          <w:lang w:val="en_US" w:bidi="en_US"/>
        </w:rPr>
        <w:t>he said</w:t>
      </w:r>
      <w:r>
        <w:rPr>
          <w:lang w:val="en_US" w:bidi="en_US"/>
        </w:rPr>
        <w:t xml:space="preserve"> where it is most natural in your language.</w:t>
      </w:r>
    </w:p>
    <w:p>
      <w:pPr>
        <w:pStyle w:val="Heading5"/>
      </w:pPr>
      <w:r>
        <w:rPr>
          <w:lang w:val="en_US" w:bidi="en_US"/>
        </w:rPr>
        <w:t>10:35d</w:t>
      </w:r>
    </w:p>
    <w:p>
      <w:pPr/>
      <w:r>
        <w:rPr>
          <w:lang w:val="en_US" w:bidi="en_US"/>
        </w:rPr>
      </w:r>
      <w:r>
        <w:rPr>
          <w:b/>
          <w:lang w:val="en_US" w:bidi="en_US"/>
        </w:rPr>
        <w:t>‘and on my return</w:t>
      </w:r>
    </w:p>
    <w:p>
      <w:pPr>
        <w:pStyle w:val="ListBullet"/>
        <w:spacing w:line="240" w:lineRule="auto"/>
        <w:ind w:left="720"/>
      </w:pPr>
      <w:r>
        <w:rPr>
          <w:lang w:val="en_US" w:bidi="en_US"/>
        </w:rPr>
      </w:r>
      <w:r>
        <w:rPr>
          <w:lang w:val="en_US" w:bidi="en_US"/>
        </w:rPr>
        <w:t xml:space="preserve">When I come back </w:t>
      </w:r>
      <w:r>
        <w:rPr>
          <w:lang w:val="en_US" w:bidi="en_US"/>
        </w:rPr>
        <w:t>here</w:t>
      </w:r>
      <w:r>
        <w:rPr>
          <w:lang w:val="en_US" w:bidi="en_US"/>
        </w:rPr>
        <w:t>,</w:t>
      </w:r>
    </w:p>
    <w:p>
      <w:pPr>
        <w:pStyle w:val="ListBullet"/>
        <w:spacing w:line="240" w:lineRule="auto"/>
        <w:ind w:left="720"/>
      </w:pPr>
      <w:r>
        <w:rPr>
          <w:lang w:val="en_US" w:bidi="en_US"/>
        </w:rPr>
      </w:r>
      <w:r>
        <w:rPr>
          <w:lang w:val="en_US" w:bidi="en_US"/>
        </w:rPr>
        <w:t>I must go now,</w:t>
      </w:r>
      <w:r>
        <w:rPr>
          <w:lang w:val="en_US" w:bidi="en_US"/>
        </w:rPr>
        <w:t xml:space="preserve"> but I will </w:t>
      </w:r>
      <w:r>
        <w:rPr>
          <w:lang w:val="en_US" w:bidi="en_US"/>
        </w:rPr>
        <w:t>soon</w:t>
      </w:r>
      <w:r>
        <w:rPr>
          <w:lang w:val="en_US" w:bidi="en_US"/>
        </w:rPr>
        <w:t xml:space="preserve"> return.</w:t>
      </w:r>
    </w:p>
    <w:p>
      <w:pPr>
        <w:pStyle w:val="ListBullet"/>
        <w:spacing w:line="240" w:lineRule="auto"/>
        <w:ind w:left="720"/>
      </w:pPr>
      <w:r>
        <w:rPr>
          <w:lang w:val="en_US" w:bidi="en_US"/>
        </w:rPr>
      </w:r>
      <w:r>
        <w:rPr>
          <w:lang w:val="en_US" w:bidi="en_US"/>
        </w:rPr>
        <w:t xml:space="preserve">He told/promised the manager/owner that he would come back </w:t>
      </w:r>
      <w:r>
        <w:rPr>
          <w:lang w:val="en_US" w:bidi="en_US"/>
        </w:rPr>
        <w:t>to the place/house</w:t>
      </w:r>
    </w:p>
    <w:p>
      <w:pPr/>
      <w:r>
        <w:rPr>
          <w:lang w:val="en_US" w:bidi="en_US"/>
        </w:rPr>
      </w:r>
      <w:r>
        <w:rPr>
          <w:b/>
          <w:lang w:val="en_US" w:bidi="en_US"/>
        </w:rPr>
        <w:t>and on my return:</w:t>
      </w:r>
      <w:r>
        <w:rPr>
          <w:lang w:val="en_US" w:bidi="en_US"/>
        </w:rPr>
        <w:t xml:space="preserve"> The Samaritan was going either to Jerusalem or to Jericho. Apparently he planned to come back later on this same road.</w:t>
      </w:r>
    </w:p>
    <w:p>
      <w:pPr>
        <w:pStyle w:val="Heading5"/>
      </w:pPr>
      <w:r>
        <w:rPr>
          <w:lang w:val="en_US" w:bidi="en_US"/>
        </w:rPr>
        <w:t>10:35e</w:t>
      </w:r>
    </w:p>
    <w:p>
      <w:pPr/>
      <w:r>
        <w:rPr>
          <w:lang w:val="en_US" w:bidi="en_US"/>
        </w:rPr>
      </w:r>
      <w:r>
        <w:rPr>
          <w:b/>
          <w:lang w:val="en_US" w:bidi="en_US"/>
        </w:rPr>
        <w:t>I will repay you for any additional expense.’</w:t>
      </w:r>
    </w:p>
    <w:p>
      <w:pPr>
        <w:pStyle w:val="ListBullet"/>
        <w:spacing w:line="240" w:lineRule="auto"/>
        <w:ind w:left="720"/>
      </w:pPr>
      <w:r>
        <w:rPr>
          <w:lang w:val="en_US" w:bidi="en_US"/>
        </w:rPr>
      </w:r>
      <w:r>
        <w:rPr>
          <w:lang w:val="en_US" w:bidi="en_US"/>
        </w:rPr>
        <w:t>I will give you</w:t>
      </w:r>
      <w:r>
        <w:rPr>
          <w:vertAlign w:val="superscript"/>
          <w:lang w:val="en_US" w:bidi="en_US"/>
        </w:rPr>
        <w:t>(sing)</w:t>
      </w:r>
      <w:r>
        <w:rPr>
          <w:lang w:val="en_US" w:bidi="en_US"/>
        </w:rPr>
        <w:t xml:space="preserve"> enough money to cover any extra costs.’”</w:t>
      </w:r>
    </w:p>
    <w:p>
      <w:pPr>
        <w:pStyle w:val="ListBullet"/>
        <w:spacing w:line="240" w:lineRule="auto"/>
        <w:ind w:left="720"/>
      </w:pPr>
      <w:r>
        <w:rPr>
          <w:lang w:val="en_US" w:bidi="en_US"/>
        </w:rPr>
      </w:r>
      <w:r>
        <w:rPr>
          <w:lang w:val="en_US" w:bidi="en_US"/>
        </w:rPr>
        <w:t>If it costs you</w:t>
      </w:r>
      <w:r>
        <w:rPr>
          <w:vertAlign w:val="superscript"/>
          <w:lang w:val="en_US" w:bidi="en_US"/>
        </w:rPr>
        <w:t>(sing)</w:t>
      </w:r>
      <w:r>
        <w:rPr>
          <w:lang w:val="en_US" w:bidi="en_US"/>
        </w:rPr>
        <w:t xml:space="preserve"> more than this to take care of him, I will give you the rest at that time.’”</w:t>
      </w:r>
    </w:p>
    <w:p>
      <w:pPr>
        <w:pStyle w:val="ListBullet"/>
        <w:spacing w:line="240" w:lineRule="auto"/>
        <w:ind w:left="720"/>
      </w:pPr>
      <w:r>
        <w:rPr>
          <w:lang w:val="en_US" w:bidi="en_US"/>
        </w:rPr>
      </w:r>
      <w:r>
        <w:rPr>
          <w:lang w:val="en_US" w:bidi="en_US"/>
        </w:rPr>
        <w:t>and pay him for any further costs/charges.”</w:t>
      </w:r>
    </w:p>
    <w:p>
      <w:pPr/>
      <w:r>
        <w:rPr>
          <w:lang w:val="en_US" w:bidi="en_US"/>
        </w:rPr>
      </w:r>
      <w:r>
        <w:rPr>
          <w:b/>
          <w:lang w:val="en_US" w:bidi="en_US"/>
        </w:rPr>
        <w:t>I will repay you for any additional expense:</w:t>
      </w:r>
      <w:r>
        <w:rPr>
          <w:lang w:val="en_US" w:bidi="en_US"/>
        </w:rPr>
        <w:t xml:space="preserve"> The Samaritan did not know whether the innkeeper would have to spend more than two silver coins to take care of the injured man. In some languages it may be best to make this clear by using an “if” clause. For example:</w:t>
      </w:r>
    </w:p>
    <w:p>
      <w:pPr/>
      <w:r>
        <w:rPr>
          <w:lang w:val="en_US" w:bidi="en_US"/>
        </w:rPr>
      </w:r>
      <w:r>
        <w:rPr>
          <w:lang w:val="en_US" w:bidi="en_US"/>
        </w:rPr>
        <w:t>If you spend more money on him, I will pay it back to you. (NCV)</w:t>
      </w:r>
    </w:p>
    <w:p>
      <w:pPr/>
      <w:r>
        <w:rPr>
          <w:lang w:val="en_US" w:bidi="en_US"/>
        </w:rPr>
      </w:r>
      <w:r>
        <w:rPr>
          <w:b/>
          <w:lang w:val="en_US" w:bidi="en_US"/>
        </w:rPr>
        <w:t>I will repay you:</w:t>
      </w:r>
      <w:r>
        <w:rPr>
          <w:lang w:val="en_US" w:bidi="en_US"/>
        </w:rPr>
        <w:t xml:space="preserve"> The Greek clause that the BSB translates as </w:t>
      </w:r>
      <w:r>
        <w:rPr>
          <w:i/>
          <w:lang w:val="en_US" w:bidi="en_US"/>
        </w:rPr>
        <w:t>I will repay you</w:t>
      </w:r>
      <w:r>
        <w:rPr>
          <w:lang w:val="en_US" w:bidi="en_US"/>
        </w:rPr>
        <w:t xml:space="preserve"> means “I will pay you back.” The Samaritan was willing to pay whatever it cost the innkeeper to take care of the other man.</w:t>
      </w:r>
    </w:p>
    <w:p>
      <w:pPr/>
      <w:r>
        <w:rPr>
          <w:lang w:val="en_US" w:bidi="en_US"/>
        </w:rPr>
      </w:r>
      <w:r>
        <w:rPr>
          <w:b/>
          <w:lang w:val="en_US" w:bidi="en_US"/>
        </w:rPr>
        <w:t>any additional expense:</w:t>
      </w:r>
      <w:r>
        <w:rPr>
          <w:lang w:val="en_US" w:bidi="en_US"/>
        </w:rPr>
        <w:t xml:space="preserve"> The Greek word that the BSB translates as </w:t>
      </w:r>
      <w:r>
        <w:rPr>
          <w:i/>
          <w:lang w:val="en_US" w:bidi="en_US"/>
        </w:rPr>
        <w:t>any additional expense</w:t>
      </w:r>
      <w:r>
        <w:rPr>
          <w:lang w:val="en_US" w:bidi="en_US"/>
        </w:rPr>
        <w:t xml:space="preserve"> refers to costs in addition to the two silver coins that he had already paid.</w:t>
      </w:r>
    </w:p>
    <w:p>
      <w:pPr>
        <w:pStyle w:val="Heading6"/>
      </w:pPr>
      <w:r>
        <w:rPr>
          <w:b/>
          <w:lang w:val="en_US" w:bidi="en_US"/>
        </w:rPr>
        <w:t>General Comment on 10:35d–e</w:t>
      </w:r>
    </w:p>
    <w:p>
      <w:pPr/>
      <w:r>
        <w:rPr>
          <w:lang w:val="en_US" w:bidi="en_US"/>
        </w:rPr>
      </w:r>
      <w:r>
        <w:rPr>
          <w:lang w:val="en_US" w:bidi="en_US"/>
        </w:rPr>
        <w:t>In some languages it may be necessary to reorder 10:35d–e to put the events in chronological order. For example:</w:t>
      </w:r>
    </w:p>
    <w:p>
      <w:pPr/>
      <w:r>
        <w:rPr>
          <w:lang w:val="en_US" w:bidi="en_US"/>
        </w:rPr>
      </w:r>
      <w:r>
        <w:rPr>
          <w:vertAlign w:val="superscript"/>
          <w:lang w:val="en_US" w:bidi="en_US"/>
        </w:rPr>
        <w:t>35e</w:t>
      </w:r>
      <w:r>
        <w:rPr>
          <w:lang w:val="en_US" w:bidi="en_US"/>
        </w:rPr>
        <w:t xml:space="preserve">You may need to spend more than this. If so, </w:t>
      </w:r>
      <w:r>
        <w:rPr>
          <w:vertAlign w:val="superscript"/>
          <w:lang w:val="en_US" w:bidi="en_US"/>
        </w:rPr>
        <w:t>35d</w:t>
      </w:r>
      <w:r>
        <w:rPr>
          <w:lang w:val="en_US" w:bidi="en_US"/>
        </w:rPr>
        <w:t xml:space="preserve">when I return </w:t>
      </w:r>
      <w:r>
        <w:rPr>
          <w:vertAlign w:val="superscript"/>
          <w:lang w:val="en_US" w:bidi="en_US"/>
        </w:rPr>
        <w:t>35e</w:t>
      </w:r>
      <w:r>
        <w:rPr>
          <w:lang w:val="en_US" w:bidi="en_US"/>
        </w:rPr>
        <w:t>I will pay you the difference/extra.</w:t>
      </w:r>
    </w:p>
    <w:p>
      <w:pPr/>
      <w:r>
        <w:rPr>
          <w:lang w:val="en_US" w:bidi="en_US"/>
        </w:rPr>
      </w:r>
      <w:r>
        <w:rPr>
          <w:vertAlign w:val="superscript"/>
          <w:lang w:val="en_US" w:bidi="en_US"/>
        </w:rPr>
        <w:t>35e</w:t>
      </w:r>
      <w:r>
        <w:rPr>
          <w:lang w:val="en_US" w:bidi="en_US"/>
        </w:rPr>
        <w:t xml:space="preserve">If the cost is more than this, I will pay you the rest </w:t>
      </w:r>
      <w:r>
        <w:rPr>
          <w:vertAlign w:val="superscript"/>
          <w:lang w:val="en_US" w:bidi="en_US"/>
        </w:rPr>
        <w:t>35d</w:t>
      </w:r>
      <w:r>
        <w:rPr>
          <w:lang w:val="en_US" w:bidi="en_US"/>
        </w:rPr>
        <w:t>when/after I come back.</w:t>
      </w:r>
      <w:r>
        <w:rPr>
          <w:lang w:val="en_US" w:bidi="en_US"/>
        </w:rPr>
      </w:r>
      <w:r>
        <w:rPr>
          <w:lang w:val="en_US" w:bidi="en_US"/>
        </w:rPr>
      </w:r>
    </w:p>
    <w:p>
      <w:pPr/>
      <w:r>
        <w:rPr>
          <w:lang w:val="en_US" w:bidi="en_US"/>
        </w:rPr>
      </w:r>
    </w:p>
    <w:p>
      <w:pPr>
        <w:pStyle w:val="Heading2"/>
      </w:pPr>
      <w:r>
        <w:rPr>
          <w:lang w:val="en_US" w:bidi="en_US"/>
        </w:rPr>
        <w:t>Luke 10:36</w:t>
      </w:r>
      <w:r>
        <w:rPr>
          <w:lang w:val="en_US" w:bidi="en_US"/>
        </w:rPr>
      </w:r>
    </w:p>
    <w:p>
      <w:pPr>
        <w:pStyle w:val="Heading4"/>
      </w:pPr>
      <w:r>
        <w:rPr>
          <w:lang w:val="en_US" w:bidi="en_US"/>
        </w:rPr>
        <w:t>Section 10:25–37: Jesus told a story to show us who our neighbors are</w:t>
      </w:r>
    </w:p>
    <w:p>
      <w:pPr/>
      <w:r>
        <w:rPr>
          <w:lang w:val="en_US" w:bidi="en_US"/>
        </w:rPr>
      </w:r>
      <w:r>
        <w:rPr>
          <w:lang w:val="en_US" w:bidi="en_US"/>
        </w:rP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pPr/>
      <w:r>
        <w:rPr>
          <w:lang w:val="en_US" w:bidi="en_US"/>
        </w:rPr>
      </w:r>
      <w:r>
        <w:rPr>
          <w:lang w:val="en_US" w:bidi="en_US"/>
        </w:rP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pPr/>
      <w:r>
        <w:rPr>
          <w:lang w:val="en_US" w:bidi="en_US"/>
        </w:rPr>
      </w:r>
      <w:r>
        <w:rPr>
          <w:lang w:val="en_US" w:bidi="en_US"/>
        </w:rP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pPr/>
      <w:r>
        <w:rPr>
          <w:lang w:val="en_US" w:bidi="en_US"/>
        </w:rPr>
      </w:r>
      <w:r>
        <w:rPr>
          <w:lang w:val="en_US" w:bidi="en_US"/>
        </w:rPr>
        <w:t>Some other possible section headings are:</w:t>
      </w:r>
    </w:p>
    <w:p>
      <w:pPr/>
      <w:r>
        <w:rPr>
          <w:lang w:val="en_US" w:bidi="en_US"/>
        </w:rPr>
      </w:r>
      <w:r>
        <w:rPr>
          <w:lang w:val="en_US" w:bidi="en_US"/>
        </w:rPr>
        <w:t>The parable about the good foreigner</w:t>
      </w:r>
    </w:p>
    <w:p>
      <w:pPr/>
      <w:r>
        <w:rPr>
          <w:lang w:val="en_US" w:bidi="en_US"/>
        </w:rPr>
      </w:r>
      <w:r>
        <w:rPr>
          <w:lang w:val="en_US" w:bidi="en_US"/>
        </w:rPr>
        <w:t>Who is my neighbor?</w:t>
      </w:r>
    </w:p>
    <w:p>
      <w:pPr/>
      <w:r>
        <w:rPr>
          <w:lang w:val="en_US" w:bidi="en_US"/>
        </w:rPr>
      </w:r>
      <w:r>
        <w:rPr>
          <w:lang w:val="en_US" w:bidi="en_US"/>
        </w:rPr>
        <w:t>The Good Samaritan</w:t>
      </w:r>
    </w:p>
    <w:p>
      <w:pPr/>
      <w:r>
        <w:rPr>
          <w:lang w:val="en_US" w:bidi="en_US"/>
        </w:rPr>
      </w:r>
      <w:r>
        <w:rPr>
          <w:lang w:val="en_US" w:bidi="en_US"/>
        </w:rPr>
        <w:t>Luke is the only gospel writer who includes this parable.</w:t>
      </w:r>
    </w:p>
    <w:p>
      <w:pPr>
        <w:pStyle w:val="Heading5"/>
      </w:pPr>
      <w:r>
        <w:rPr>
          <w:lang w:val="en_US" w:bidi="en_US"/>
        </w:rPr>
        <w:t>10:36a</w:t>
      </w:r>
    </w:p>
    <w:p>
      <w:pPr/>
      <w:r>
        <w:rPr>
          <w:lang w:val="en_US" w:bidi="en_US"/>
        </w:rPr>
      </w:r>
      <w:r>
        <w:rPr>
          <w:b/>
          <w:lang w:val="en_US" w:bidi="en_US"/>
        </w:rPr>
        <w:t>Which of these three do you think</w:t>
      </w:r>
    </w:p>
    <w:p>
      <w:pPr>
        <w:pStyle w:val="ListBullet"/>
        <w:spacing w:line="240" w:lineRule="auto"/>
        <w:ind w:left="720"/>
      </w:pPr>
      <w:r>
        <w:rPr>
          <w:lang w:val="en_US" w:bidi="en_US"/>
        </w:rPr>
      </w:r>
      <w:r>
        <w:rPr>
          <w:lang w:val="en_US" w:bidi="en_US"/>
        </w:rPr>
        <w:t xml:space="preserve">¶ </w:t>
      </w:r>
      <w:r>
        <w:rPr>
          <w:lang w:val="en_US" w:bidi="en_US"/>
        </w:rPr>
        <w:t>Then Jesus asked the law expert,</w:t>
      </w:r>
      <w:r>
        <w:rPr>
          <w:lang w:val="en_US" w:bidi="en_US"/>
        </w:rPr>
        <w:t xml:space="preserve"> “In your opinion/thinking, which one of the three </w:t>
      </w:r>
      <w:r>
        <w:rPr>
          <w:lang w:val="en_US" w:bidi="en_US"/>
        </w:rPr>
        <w:t>men</w:t>
      </w:r>
    </w:p>
    <w:p>
      <w:pPr>
        <w:pStyle w:val="ListBullet"/>
        <w:spacing w:line="240" w:lineRule="auto"/>
        <w:ind w:left="720"/>
      </w:pPr>
      <w:r>
        <w:rPr>
          <w:lang w:val="en_US" w:bidi="en_US"/>
        </w:rPr>
      </w:r>
      <w:r>
        <w:rPr>
          <w:lang w:val="en_US" w:bidi="en_US"/>
        </w:rPr>
        <w:t xml:space="preserve">¶ </w:t>
      </w:r>
      <w:r>
        <w:rPr>
          <w:lang w:val="en_US" w:bidi="en_US"/>
        </w:rPr>
        <w:t>Jesus concluded the story by asking,</w:t>
      </w:r>
      <w:r>
        <w:rPr>
          <w:lang w:val="en_US" w:bidi="en_US"/>
        </w:rPr>
        <w:t xml:space="preserve"> “What do you think? Which of these three </w:t>
      </w:r>
      <w:r>
        <w:rPr>
          <w:lang w:val="en_US" w:bidi="en_US"/>
        </w:rPr>
        <w:t>men</w:t>
      </w:r>
    </w:p>
    <w:p>
      <w:pPr>
        <w:pStyle w:val="Heading5"/>
      </w:pPr>
      <w:r>
        <w:rPr>
          <w:lang w:val="en_US" w:bidi="en_US"/>
        </w:rPr>
        <w:t>10:36b</w:t>
      </w:r>
    </w:p>
    <w:p>
      <w:pPr/>
      <w:r>
        <w:rPr>
          <w:lang w:val="en_US" w:bidi="en_US"/>
        </w:rPr>
      </w:r>
      <w:r>
        <w:rPr>
          <w:b/>
          <w:lang w:val="en_US" w:bidi="en_US"/>
        </w:rPr>
        <w:t>was a neighbor to the man who fell into the hands of robbers?”</w:t>
      </w:r>
    </w:p>
    <w:p>
      <w:pPr>
        <w:pStyle w:val="ListBullet"/>
        <w:spacing w:line="240" w:lineRule="auto"/>
        <w:ind w:left="720"/>
      </w:pPr>
      <w:r>
        <w:rPr>
          <w:lang w:val="en_US" w:bidi="en_US"/>
        </w:rPr>
      </w:r>
      <w:r>
        <w:rPr>
          <w:lang w:val="en_US" w:bidi="en_US"/>
        </w:rPr>
        <w:t xml:space="preserve">was a </w:t>
      </w:r>
      <w:r>
        <w:rPr>
          <w:lang w:val="en_US" w:bidi="en_US"/>
        </w:rPr>
        <w:t>true</w:t>
      </w:r>
      <w:r>
        <w:rPr>
          <w:lang w:val="en_US" w:bidi="en_US"/>
        </w:rPr>
        <w:t xml:space="preserve"> neighbor to the man who encountered the bandits/criminals?”</w:t>
      </w:r>
    </w:p>
    <w:p>
      <w:pPr>
        <w:pStyle w:val="ListBullet"/>
        <w:spacing w:line="240" w:lineRule="auto"/>
        <w:ind w:left="720"/>
      </w:pPr>
      <w:r>
        <w:rPr>
          <w:lang w:val="en_US" w:bidi="en_US"/>
        </w:rPr>
      </w:r>
      <w:r>
        <w:rPr>
          <w:lang w:val="en_US" w:bidi="en_US"/>
        </w:rPr>
        <w:t xml:space="preserve">acted the way a </w:t>
      </w:r>
      <w:r>
        <w:rPr>
          <w:lang w:val="en_US" w:bidi="en_US"/>
        </w:rPr>
        <w:t>true</w:t>
      </w:r>
      <w:r>
        <w:rPr>
          <w:lang w:val="en_US" w:bidi="en_US"/>
        </w:rPr>
        <w:t xml:space="preserve"> fellow/companion should act toward the man whom the robbers attacked?”</w:t>
      </w:r>
    </w:p>
    <w:p>
      <w:pPr>
        <w:pStyle w:val="Heading5"/>
      </w:pPr>
      <w:r>
        <w:rPr>
          <w:lang w:val="en_US" w:bidi="en_US"/>
        </w:rPr>
        <w:t>10:36a–b</w:t>
      </w:r>
    </w:p>
    <w:p>
      <w:pPr/>
      <w:r>
        <w:rPr>
          <w:lang w:val="en_US" w:bidi="en_US"/>
        </w:rPr>
      </w:r>
      <w:r>
        <w:rPr>
          <w:lang w:val="en_US" w:bidi="en_US"/>
        </w:rPr>
        <w:t>Notice that the story ends at 10:35e. In 10:36 Jesus asked the law expert a question based on the story. In some languages, it may be necessary to make this explicit. For example:</w:t>
      </w:r>
    </w:p>
    <w:p>
      <w:pPr/>
      <w:r>
        <w:rPr>
          <w:lang w:val="en_US" w:bidi="en_US"/>
        </w:rPr>
      </w:r>
      <w:r>
        <w:rPr>
          <w:lang w:val="en_US" w:bidi="en_US"/>
        </w:rPr>
        <w:t>Then Jesus asked the law expert</w:t>
      </w:r>
    </w:p>
    <w:p>
      <w:pPr/>
      <w:r>
        <w:rPr>
          <w:lang w:val="en_US" w:bidi="en_US"/>
        </w:rPr>
      </w:r>
      <w:r>
        <w:rPr>
          <w:lang w:val="en_US" w:bidi="en_US"/>
        </w:rPr>
        <w:t>Jesus concluded the story by asking</w:t>
      </w:r>
    </w:p>
    <w:p>
      <w:pPr/>
      <w:r>
        <w:rPr>
          <w:lang w:val="en_US" w:bidi="en_US"/>
        </w:rPr>
      </w:r>
      <w:r>
        <w:rPr>
          <w:b/>
          <w:lang w:val="en_US" w:bidi="en_US"/>
        </w:rPr>
        <w:t>Which of these three do you think was a neighbor to the man who fell into the hands of robbers?:</w:t>
      </w:r>
      <w:r>
        <w:rPr>
          <w:lang w:val="en_US" w:bidi="en_US"/>
        </w:rPr>
        <w:t xml:space="preserve"> This is a real question. Jesus expected the expert in the law to respond. Other ways to translate this question are:</w:t>
      </w:r>
    </w:p>
    <w:p>
      <w:pPr/>
      <w:r>
        <w:rPr>
          <w:lang w:val="en_US" w:bidi="en_US"/>
        </w:rPr>
      </w:r>
      <w:r>
        <w:rPr>
          <w:lang w:val="en_US" w:bidi="en_US"/>
        </w:rPr>
        <w:t>In your opinion, which one of these three acted like a neighbor…? (GNT)</w:t>
      </w:r>
    </w:p>
    <w:p>
      <w:pPr/>
      <w:r>
        <w:rPr>
          <w:lang w:val="en_US" w:bidi="en_US"/>
        </w:rPr>
      </w:r>
      <w:r>
        <w:rPr>
          <w:lang w:val="en_US" w:bidi="en_US"/>
        </w:rPr>
        <w:t>Which one of these three people was a real neighbor…? (CEV)</w:t>
      </w:r>
      <w:r>
        <w:rPr>
          <w:lang w:val="en_US" w:bidi="en_US"/>
        </w:rPr>
      </w:r>
      <w:r>
        <w:rPr>
          <w:lang w:val="en_US" w:bidi="en_US"/>
        </w:rPr>
      </w:r>
    </w:p>
    <w:p>
      <w:pPr/>
      <w:r>
        <w:rPr>
          <w:lang w:val="en_US" w:bidi="en_US"/>
        </w:rPr>
      </w:r>
    </w:p>
    <w:p>
      <w:pPr>
        <w:pStyle w:val="Heading2"/>
      </w:pPr>
      <w:r>
        <w:rPr>
          <w:lang w:val="en_US" w:bidi="en_US"/>
        </w:rPr>
        <w:t>Luke 10:37</w:t>
      </w:r>
      <w:r>
        <w:rPr>
          <w:lang w:val="en_US" w:bidi="en_US"/>
        </w:rPr>
      </w:r>
    </w:p>
    <w:p>
      <w:pPr>
        <w:pStyle w:val="Heading4"/>
      </w:pPr>
      <w:r>
        <w:rPr>
          <w:lang w:val="en_US" w:bidi="en_US"/>
        </w:rPr>
        <w:t>Section 10:25–37: Jesus told a story to show us who our neighbors are</w:t>
      </w:r>
    </w:p>
    <w:p>
      <w:pPr/>
      <w:r>
        <w:rPr>
          <w:lang w:val="en_US" w:bidi="en_US"/>
        </w:rPr>
      </w:r>
      <w:r>
        <w:rPr>
          <w:lang w:val="en_US" w:bidi="en_US"/>
        </w:rPr>
        <w:t>One day as Jesus was on his way to Jerusalem, he stopped to teach people. An expert in the Jewish law was there and asked him a question. The expert asked what he should do to obtain eternal life. He and Jesus discussed this question and agreed that a person must love God and love his neighbor. Then the expert asked Jesus, “Who is my neighbor?” Jesus answered him with a story that was a parable.</w:t>
      </w:r>
    </w:p>
    <w:p>
      <w:pPr/>
      <w:r>
        <w:rPr>
          <w:lang w:val="en_US" w:bidi="en_US"/>
        </w:rPr>
      </w:r>
      <w:r>
        <w:rPr>
          <w:lang w:val="en_US" w:bidi="en_US"/>
        </w:rPr>
        <w:t>In the story robbers attacked a man and left him bleeding on a road. Two Jewish religious leaders passed the man without helping him. Then a man from the province of Samaria came and helped the man. People from Samaria were called Samaritans. The Jews despised Samaritans, so Jesus’ story surprised the Jews.</w:t>
      </w:r>
    </w:p>
    <w:p>
      <w:pPr/>
      <w:r>
        <w:rPr>
          <w:lang w:val="en_US" w:bidi="en_US"/>
        </w:rPr>
      </w:r>
      <w:r>
        <w:rPr>
          <w:lang w:val="en_US" w:bidi="en_US"/>
        </w:rPr>
        <w:t>The person who treated the injured man with love, as a neighbor should, was a Samaritan. The Jewish religious leaders did not show love to the man. Most Jews considered only their fellow Jews to be their neighbors, but by this parable Jesus taught that all human beings are neighbors. We must love every other human being.</w:t>
      </w:r>
    </w:p>
    <w:p>
      <w:pPr/>
      <w:r>
        <w:rPr>
          <w:lang w:val="en_US" w:bidi="en_US"/>
        </w:rPr>
      </w:r>
      <w:r>
        <w:rPr>
          <w:lang w:val="en_US" w:bidi="en_US"/>
        </w:rPr>
        <w:t>Some other possible section headings are:</w:t>
      </w:r>
    </w:p>
    <w:p>
      <w:pPr/>
      <w:r>
        <w:rPr>
          <w:lang w:val="en_US" w:bidi="en_US"/>
        </w:rPr>
      </w:r>
      <w:r>
        <w:rPr>
          <w:lang w:val="en_US" w:bidi="en_US"/>
        </w:rPr>
        <w:t>The parable about the good foreigner</w:t>
      </w:r>
    </w:p>
    <w:p>
      <w:pPr/>
      <w:r>
        <w:rPr>
          <w:lang w:val="en_US" w:bidi="en_US"/>
        </w:rPr>
      </w:r>
      <w:r>
        <w:rPr>
          <w:lang w:val="en_US" w:bidi="en_US"/>
        </w:rPr>
        <w:t>Who is my neighbor?</w:t>
      </w:r>
    </w:p>
    <w:p>
      <w:pPr/>
      <w:r>
        <w:rPr>
          <w:lang w:val="en_US" w:bidi="en_US"/>
        </w:rPr>
      </w:r>
      <w:r>
        <w:rPr>
          <w:lang w:val="en_US" w:bidi="en_US"/>
        </w:rPr>
        <w:t>The Good Samaritan</w:t>
      </w:r>
    </w:p>
    <w:p>
      <w:pPr/>
      <w:r>
        <w:rPr>
          <w:lang w:val="en_US" w:bidi="en_US"/>
        </w:rPr>
      </w:r>
      <w:r>
        <w:rPr>
          <w:lang w:val="en_US" w:bidi="en_US"/>
        </w:rPr>
        <w:t>Luke is the only gospel writer who includes this parable.</w:t>
      </w:r>
    </w:p>
    <w:p>
      <w:pPr>
        <w:pStyle w:val="Heading5"/>
      </w:pPr>
      <w:r>
        <w:rPr>
          <w:lang w:val="en_US" w:bidi="en_US"/>
        </w:rPr>
        <w:t>10:37a</w:t>
      </w:r>
    </w:p>
    <w:p>
      <w:pPr/>
      <w:r>
        <w:rPr>
          <w:lang w:val="en_US" w:bidi="en_US"/>
        </w:rPr>
      </w:r>
      <w:r>
        <w:rPr>
          <w:b/>
          <w:lang w:val="en_US" w:bidi="en_US"/>
        </w:rPr>
        <w:t>“The one who showed him mercy,” replied the expert in the law.</w:t>
      </w:r>
    </w:p>
    <w:p>
      <w:pPr>
        <w:pStyle w:val="ListBullet"/>
        <w:spacing w:line="240" w:lineRule="auto"/>
        <w:ind w:left="720"/>
      </w:pPr>
      <w:r>
        <w:rPr>
          <w:lang w:val="en_US" w:bidi="en_US"/>
        </w:rPr>
      </w:r>
      <w:r>
        <w:rPr>
          <w:lang w:val="en_US" w:bidi="en_US"/>
        </w:rPr>
        <w:t>The teacher of the law answered, “</w:t>
      </w:r>
      <w:r>
        <w:rPr>
          <w:lang w:val="en_US" w:bidi="en_US"/>
        </w:rPr>
        <w:t>It was</w:t>
      </w:r>
      <w:r>
        <w:rPr>
          <w:lang w:val="en_US" w:bidi="en_US"/>
        </w:rPr>
        <w:t xml:space="preserve"> the one who was merciful/kind to him.”</w:t>
      </w:r>
    </w:p>
    <w:p>
      <w:pPr>
        <w:pStyle w:val="ListBullet"/>
        <w:spacing w:line="240" w:lineRule="auto"/>
        <w:ind w:left="720"/>
      </w:pPr>
      <w:r>
        <w:rPr>
          <w:lang w:val="en_US" w:bidi="en_US"/>
        </w:rPr>
      </w:r>
      <w:r>
        <w:rPr>
          <w:lang w:val="en_US" w:bidi="en_US"/>
        </w:rPr>
        <w:t xml:space="preserve">The law expert answered, “The one who showed him kindness/compassion </w:t>
      </w:r>
      <w:r>
        <w:rPr>
          <w:lang w:val="en_US" w:bidi="en_US"/>
        </w:rPr>
        <w:t>was his true fellow/companion</w:t>
      </w:r>
      <w:r>
        <w:rPr>
          <w:lang w:val="en_US" w:bidi="en_US"/>
        </w:rPr>
        <w:t>.”</w:t>
      </w:r>
    </w:p>
    <w:p>
      <w:pPr/>
      <w:r>
        <w:rPr>
          <w:lang w:val="en_US" w:bidi="en_US"/>
        </w:rPr>
      </w:r>
      <w:r>
        <w:rPr>
          <w:b/>
          <w:lang w:val="en_US" w:bidi="en_US"/>
        </w:rPr>
        <w:t>The one who showed him mercy:</w:t>
      </w:r>
      <w:r>
        <w:rPr>
          <w:lang w:val="en_US" w:bidi="en_US"/>
        </w:rPr>
        <w:t xml:space="preserve"> There is an ellipsis here. The full clause is:</w:t>
      </w:r>
    </w:p>
    <w:p>
      <w:pPr/>
      <w:r>
        <w:rPr>
          <w:lang w:val="en_US" w:bidi="en_US"/>
        </w:rPr>
      </w:r>
      <w:r>
        <w:rPr>
          <w:lang w:val="en_US" w:bidi="en_US"/>
        </w:rPr>
        <w:t>His neighbor was</w:t>
      </w:r>
      <w:r>
        <w:rPr>
          <w:lang w:val="en_US" w:bidi="en_US"/>
        </w:rPr>
        <w:t xml:space="preserve"> the one who had mercy on him.</w:t>
      </w:r>
    </w:p>
    <w:p>
      <w:pPr/>
      <w:r>
        <w:rPr>
          <w:lang w:val="en_US" w:bidi="en_US"/>
        </w:rPr>
      </w:r>
      <w:r>
        <w:rPr>
          <w:lang w:val="en_US" w:bidi="en_US"/>
        </w:rPr>
        <w:t xml:space="preserve">The one who had mercy on him </w:t>
      </w:r>
      <w:r>
        <w:rPr>
          <w:lang w:val="en_US" w:bidi="en_US"/>
        </w:rPr>
        <w:t>was his neighbor</w:t>
      </w:r>
      <w:r>
        <w:rPr>
          <w:lang w:val="en_US" w:bidi="en_US"/>
        </w:rPr>
        <w:t>.</w:t>
      </w:r>
    </w:p>
    <w:p>
      <w:pPr/>
      <w:r>
        <w:rPr>
          <w:lang w:val="en_US" w:bidi="en_US"/>
        </w:rPr>
      </w:r>
      <w:r>
        <w:rPr>
          <w:lang w:val="en_US" w:bidi="en_US"/>
        </w:rPr>
        <w:t>Use a clause structure that is natural in your language for answering a question like this.</w:t>
      </w:r>
    </w:p>
    <w:p>
      <w:pPr/>
      <w:r>
        <w:rPr>
          <w:lang w:val="en_US" w:bidi="en_US"/>
        </w:rPr>
      </w:r>
      <w:r>
        <w:rPr>
          <w:b/>
          <w:lang w:val="en_US" w:bidi="en_US"/>
        </w:rPr>
        <w:t>showed him mercy:</w:t>
      </w:r>
      <w:r>
        <w:rPr>
          <w:lang w:val="en_US" w:bidi="en_US"/>
        </w:rPr>
        <w:t xml:space="preserve"> The Greek phrase that the BSB translates as </w:t>
      </w:r>
      <w:r>
        <w:rPr>
          <w:i/>
          <w:lang w:val="en_US" w:bidi="en_US"/>
        </w:rPr>
        <w:t>showed him mercy</w:t>
      </w:r>
      <w:r>
        <w:rPr>
          <w:lang w:val="en_US" w:bidi="en_US"/>
        </w:rPr>
        <w:t xml:space="preserve"> means “acted mercifully toward him.” Some other ways to say this are:</w:t>
      </w:r>
    </w:p>
    <w:p>
      <w:pPr/>
      <w:r>
        <w:rPr>
          <w:lang w:val="en_US" w:bidi="en_US"/>
        </w:rPr>
      </w:r>
      <w:r>
        <w:rPr>
          <w:lang w:val="en_US" w:bidi="en_US"/>
        </w:rPr>
        <w:t>The one who had mercy on him. (NIV)</w:t>
      </w:r>
    </w:p>
    <w:p>
      <w:pPr/>
      <w:r>
        <w:rPr>
          <w:lang w:val="en_US" w:bidi="en_US"/>
        </w:rPr>
      </w:r>
      <w:r>
        <w:rPr>
          <w:lang w:val="en_US" w:bidi="en_US"/>
        </w:rPr>
        <w:t>The one who showed pity towards him. (NJB)</w:t>
      </w:r>
    </w:p>
    <w:p>
      <w:pPr/>
      <w:r>
        <w:rPr>
          <w:lang w:val="en_US" w:bidi="en_US"/>
        </w:rPr>
      </w:r>
      <w:r>
        <w:rPr>
          <w:lang w:val="en_US" w:bidi="en_US"/>
        </w:rPr>
        <w:t>The one who was kind enough to help him. (GW)</w:t>
      </w:r>
    </w:p>
    <w:p>
      <w:pPr>
        <w:pStyle w:val="Heading5"/>
      </w:pPr>
      <w:r>
        <w:rPr>
          <w:lang w:val="en_US" w:bidi="en_US"/>
        </w:rPr>
        <w:t>10:37b</w:t>
      </w:r>
    </w:p>
    <w:p>
      <w:pPr/>
      <w:r>
        <w:rPr>
          <w:lang w:val="en_US" w:bidi="en_US"/>
        </w:rPr>
      </w:r>
      <w:r>
        <w:rPr>
          <w:b/>
          <w:lang w:val="en_US" w:bidi="en_US"/>
        </w:rPr>
        <w:t>Then Jesus told him, “Go and do likewise.”</w:t>
      </w:r>
    </w:p>
    <w:p>
      <w:pPr>
        <w:pStyle w:val="ListBullet"/>
        <w:spacing w:line="240" w:lineRule="auto"/>
        <w:ind w:left="720"/>
      </w:pPr>
      <w:r>
        <w:rPr>
          <w:lang w:val="en_US" w:bidi="en_US"/>
        </w:rPr>
      </w:r>
      <w:r>
        <w:rPr>
          <w:lang w:val="en_US" w:bidi="en_US"/>
        </w:rPr>
        <w:t>Then Jesus said to him, “</w:t>
      </w:r>
      <w:r>
        <w:rPr>
          <w:lang w:val="en_US" w:bidi="en_US"/>
        </w:rPr>
        <w:t>Yes/Correct,</w:t>
      </w:r>
      <w:r>
        <w:rPr>
          <w:lang w:val="en_US" w:bidi="en_US"/>
        </w:rPr>
        <w:t xml:space="preserve"> </w:t>
      </w:r>
      <w:r>
        <w:rPr>
          <w:lang w:val="en_US" w:bidi="en_US"/>
        </w:rPr>
        <w:t>now you</w:t>
      </w:r>
      <w:r>
        <w:rPr>
          <w:lang w:val="en_US" w:bidi="en_US"/>
        </w:rPr>
        <w:t xml:space="preserve"> go and act/behave the same way.”</w:t>
      </w:r>
    </w:p>
    <w:p>
      <w:pPr>
        <w:pStyle w:val="ListBullet"/>
        <w:spacing w:line="240" w:lineRule="auto"/>
        <w:ind w:left="720"/>
      </w:pPr>
      <w:r>
        <w:rPr>
          <w:lang w:val="en_US" w:bidi="en_US"/>
        </w:rPr>
      </w:r>
      <w:r>
        <w:rPr>
          <w:lang w:val="en_US" w:bidi="en_US"/>
        </w:rPr>
        <w:t>So</w:t>
      </w:r>
      <w:r>
        <w:rPr>
          <w:lang w:val="en_US" w:bidi="en_US"/>
        </w:rPr>
        <w:t xml:space="preserve"> Jesus told him, “</w:t>
      </w:r>
      <w:r>
        <w:rPr>
          <w:lang w:val="en_US" w:bidi="en_US"/>
        </w:rPr>
        <w:t>Then</w:t>
      </w:r>
      <w:r>
        <w:rPr>
          <w:lang w:val="en_US" w:bidi="en_US"/>
        </w:rPr>
        <w:t xml:space="preserve"> you also should go and follow his example.”</w:t>
      </w:r>
    </w:p>
    <w:p>
      <w:pPr/>
      <w:r>
        <w:rPr>
          <w:lang w:val="en_US" w:bidi="en_US"/>
        </w:rPr>
      </w:r>
      <w:r>
        <w:rPr>
          <w:lang w:val="en_US" w:bidi="en_US"/>
        </w:rPr>
        <w:t>In this part of the verse Jesus responded to the answer that the law expert gave him. Jesus’ response showed that he agreed with the answer. In some languages it may be helpful to make this explicit. For example:</w:t>
      </w:r>
    </w:p>
    <w:p>
      <w:pPr/>
      <w:r>
        <w:rPr>
          <w:lang w:val="en_US" w:bidi="en_US"/>
        </w:rPr>
      </w:r>
      <w:r>
        <w:rPr>
          <w:lang w:val="en_US" w:bidi="en_US"/>
        </w:rPr>
        <w:t>Yes, now go… (NLT)</w:t>
      </w:r>
    </w:p>
    <w:p>
      <w:pPr/>
      <w:r>
        <w:rPr>
          <w:lang w:val="en_US" w:bidi="en_US"/>
        </w:rPr>
      </w:r>
      <w:r>
        <w:rPr>
          <w:b/>
          <w:lang w:val="en_US" w:bidi="en_US"/>
        </w:rPr>
        <w:t>Go and do likewise:</w:t>
      </w:r>
      <w:r>
        <w:rPr>
          <w:lang w:val="en_US" w:bidi="en_US"/>
        </w:rPr>
        <w:t xml:space="preserve"> In Greek, the clause that the BSB translates as </w:t>
      </w:r>
      <w:r>
        <w:rPr>
          <w:i/>
          <w:lang w:val="en_US" w:bidi="en_US"/>
        </w:rPr>
        <w:t>Go and do likewise</w:t>
      </w:r>
      <w:r>
        <w:rPr>
          <w:lang w:val="en_US" w:bidi="en_US"/>
        </w:rPr>
        <w:t xml:space="preserve"> is literally “Go and/also you do likewise.” The Greek pronoun “you” is emphatic. The meaning of the clause is probably that the lawyer also should act in the same way as the Samaritan had. Consider whether your language has a natural way to express this emphasis. For example:</w:t>
      </w:r>
    </w:p>
    <w:p>
      <w:pPr/>
      <w:r>
        <w:rPr>
          <w:lang w:val="en_US" w:bidi="en_US"/>
        </w:rPr>
      </w:r>
      <w:r>
        <w:rPr>
          <w:lang w:val="en_US" w:bidi="en_US"/>
        </w:rPr>
        <w:t>You go, then, and do the same. (GNT)</w:t>
      </w:r>
    </w:p>
    <w:p>
      <w:pPr/>
      <w:r>
        <w:rPr>
          <w:lang w:val="en_US" w:bidi="en_US"/>
        </w:rPr>
      </w:r>
      <w:r>
        <w:rPr>
          <w:lang w:val="en_US" w:bidi="en_US"/>
        </w:rPr>
        <w:t>I agree.</w:t>
      </w:r>
      <w:r>
        <w:rPr>
          <w:lang w:val="en_US" w:bidi="en_US"/>
        </w:rPr>
        <w:t xml:space="preserve"> As for you, you should also go and follow his example.</w:t>
      </w:r>
    </w:p>
    <w:p>
      <w:pPr/>
      <w:r>
        <w:rPr>
          <w:lang w:val="en_US" w:bidi="en_US"/>
        </w:rPr>
      </w:r>
      <w:r>
        <w:rPr>
          <w:b/>
          <w:lang w:val="en_US" w:bidi="en_US"/>
        </w:rPr>
        <w:t>Go:</w:t>
      </w:r>
      <w:r>
        <w:rPr>
          <w:lang w:val="en_US" w:bidi="en_US"/>
        </w:rPr>
        <w:t xml:space="preserve"> Jesus did not say where the law expert was to </w:t>
      </w:r>
      <w:r>
        <w:rPr>
          <w:i/>
          <w:lang w:val="en_US" w:bidi="en_US"/>
        </w:rPr>
        <w:t>Go</w:t>
      </w:r>
      <w:r>
        <w:rPr>
          <w:lang w:val="en_US" w:bidi="en_US"/>
        </w:rPr>
        <w:t>. He probably meant “go on your way.” Translate this command in a way that does not sound disrespectful or harsh.</w:t>
      </w:r>
    </w:p>
    <w:p>
      <w:pPr/>
      <w:r>
        <w:rPr>
          <w:lang w:val="en_US" w:bidi="en_US"/>
        </w:rPr>
      </w:r>
      <w:r>
        <w:rPr>
          <w:b/>
          <w:lang w:val="en_US" w:bidi="en_US"/>
        </w:rPr>
        <w:t>do likewise:</w:t>
      </w:r>
      <w:r>
        <w:rPr>
          <w:lang w:val="en_US" w:bidi="en_US"/>
        </w:rPr>
        <w:t xml:space="preserve"> The Greek command that the BSB translates as </w:t>
      </w:r>
      <w:r>
        <w:rPr>
          <w:i/>
          <w:lang w:val="en_US" w:bidi="en_US"/>
        </w:rPr>
        <w:t>do likewise</w:t>
      </w:r>
      <w:r>
        <w:rPr>
          <w:lang w:val="en_US" w:bidi="en_US"/>
        </w:rPr>
        <w:t xml:space="preserve"> means “act in the same way” or “follow his/this example.” For example:</w:t>
      </w:r>
    </w:p>
    <w:p>
      <w:pPr/>
      <w:r>
        <w:rPr>
          <w:lang w:val="en_US" w:bidi="en_US"/>
        </w:rPr>
      </w:r>
      <w:r>
        <w:rPr>
          <w:lang w:val="en_US" w:bidi="en_US"/>
        </w:rPr>
        <w:t>do what he did (NCV)</w:t>
      </w:r>
    </w:p>
    <w:p>
      <w:pPr/>
      <w:r>
        <w:rPr>
          <w:lang w:val="en_US" w:bidi="en_US"/>
        </w:rPr>
      </w:r>
      <w:r>
        <w:rPr>
          <w:lang w:val="en_US" w:bidi="en_US"/>
        </w:rPr>
        <w:t>imitate his example (GW)</w:t>
      </w:r>
      <w:r>
        <w:rPr>
          <w:lang w:val="en_US" w:bidi="en_US"/>
        </w:rPr>
      </w:r>
      <w:r>
        <w:rPr>
          <w:lang w:val="en_US" w:bidi="en_US"/>
        </w:rPr>
      </w:r>
    </w:p>
    <w:p>
      <w:pPr/>
      <w:r>
        <w:rPr>
          <w:lang w:val="en_US" w:bidi="en_US"/>
        </w:rPr>
      </w:r>
    </w:p>
    <w:p>
      <w:pPr>
        <w:pStyle w:val="Heading2"/>
      </w:pPr>
      <w:r>
        <w:rPr>
          <w:lang w:val="en_US" w:bidi="en_US"/>
        </w:rPr>
        <w:t>Luke 10:38</w:t>
      </w:r>
      <w:r>
        <w:rPr>
          <w:lang w:val="en_US" w:bidi="en_US"/>
        </w:rPr>
      </w:r>
    </w:p>
    <w:p>
      <w:pPr>
        <w:pStyle w:val="Heading4"/>
      </w:pPr>
      <w:r>
        <w:rPr>
          <w:lang w:val="en_US" w:bidi="en_US"/>
        </w:rPr>
        <w:t>Section 10:38–42: Jesus visited Martha and Mary</w:t>
      </w:r>
    </w:p>
    <w:p>
      <w:pPr/>
      <w:r>
        <w:rPr>
          <w:lang w:val="en_US" w:bidi="en_US"/>
        </w:rPr>
      </w:r>
      <w:r>
        <w:rPr>
          <w:lang w:val="en_US" w:bidi="en_US"/>
        </w:rPr>
        <w:t>Jesus and his disciples continued to travel from place to place. During their travels, Jesus went to the home of two sisters, Martha and Mary. Their brother was Lazarus. This short section shows how the two sisters considered different things to be important. It also tells what Jesus thought about those things.</w:t>
      </w:r>
    </w:p>
    <w:p>
      <w:pPr/>
      <w:r>
        <w:rPr>
          <w:lang w:val="en_US" w:bidi="en_US"/>
        </w:rPr>
      </w:r>
      <w:r>
        <w:rPr>
          <w:lang w:val="en_US" w:bidi="en_US"/>
        </w:rPr>
        <w:t>Some other examples for section headings are:</w:t>
      </w:r>
    </w:p>
    <w:p>
      <w:pPr/>
      <w:r>
        <w:rPr>
          <w:lang w:val="en_US" w:bidi="en_US"/>
        </w:rPr>
      </w:r>
      <w:r>
        <w:rPr>
          <w:lang w:val="en_US" w:bidi="en_US"/>
        </w:rPr>
        <w:t>Jesus’ Visit with Martha and Mary</w:t>
      </w:r>
    </w:p>
    <w:p>
      <w:pPr/>
      <w:r>
        <w:rPr>
          <w:lang w:val="en_US" w:bidi="en_US"/>
        </w:rPr>
      </w:r>
      <w:r>
        <w:rPr>
          <w:lang w:val="en_US" w:bidi="en_US"/>
        </w:rPr>
        <w:t>At the Home of Martha and Mary (NIV)</w:t>
      </w:r>
    </w:p>
    <w:p>
      <w:pPr/>
      <w:r>
        <w:rPr>
          <w:lang w:val="en_US" w:bidi="en_US"/>
        </w:rPr>
      </w:r>
      <w:r>
        <w:rPr>
          <w:lang w:val="en_US" w:bidi="en_US"/>
        </w:rPr>
        <w:t>This story occurs only in Luke.</w:t>
      </w:r>
    </w:p>
    <w:p>
      <w:pPr/>
      <w:r>
        <w:rPr>
          <w:lang w:val="en_US" w:bidi="en_US"/>
        </w:rPr>
      </w:r>
    </w:p>
    <w:p>
      <w:pPr>
        <w:pStyle w:val="Heading5"/>
      </w:pPr>
      <w:r>
        <w:rPr>
          <w:lang w:val="en_US" w:bidi="en_US"/>
        </w:rPr>
        <w:t>10:38a</w:t>
      </w:r>
    </w:p>
    <w:p>
      <w:pPr/>
      <w:r>
        <w:rPr>
          <w:lang w:val="en_US" w:bidi="en_US"/>
        </w:rPr>
      </w:r>
      <w:r>
        <w:rPr>
          <w:b/>
          <w:lang w:val="en_US" w:bidi="en_US"/>
        </w:rPr>
        <w:t>As they traveled along, Jesus entered a village</w:t>
      </w:r>
    </w:p>
    <w:p>
      <w:pPr>
        <w:pStyle w:val="ListBullet"/>
        <w:spacing w:line="240" w:lineRule="auto"/>
        <w:ind w:left="720"/>
      </w:pPr>
      <w:r>
        <w:rPr>
          <w:lang w:val="en_US" w:bidi="en_US"/>
        </w:rPr>
      </w:r>
      <w:r>
        <w:rPr>
          <w:lang w:val="en_US" w:bidi="en_US"/>
        </w:rPr>
        <w:t xml:space="preserve">¶ As Jesus and his disciples continued to walk/travel along the road, they entered a </w:t>
      </w:r>
      <w:r>
        <w:rPr>
          <w:lang w:val="en_US" w:bidi="en_US"/>
        </w:rPr>
        <w:t>certain</w:t>
      </w:r>
      <w:r>
        <w:rPr>
          <w:lang w:val="en_US" w:bidi="en_US"/>
        </w:rPr>
        <w:t xml:space="preserve"> village.</w:t>
      </w:r>
    </w:p>
    <w:p>
      <w:pPr>
        <w:pStyle w:val="ListBullet"/>
        <w:spacing w:line="240" w:lineRule="auto"/>
        <w:ind w:left="720"/>
      </w:pPr>
      <w:r>
        <w:rPr>
          <w:lang w:val="en_US" w:bidi="en_US"/>
        </w:rPr>
      </w:r>
      <w:r>
        <w:rPr>
          <w:lang w:val="en_US" w:bidi="en_US"/>
        </w:rPr>
        <w:t xml:space="preserve">¶ Jesus, accompanied by his followers, continued to journey/travel </w:t>
      </w:r>
      <w:r>
        <w:rPr>
          <w:lang w:val="en_US" w:bidi="en_US"/>
        </w:rPr>
        <w:t>to Jerusalem</w:t>
      </w:r>
      <w:r>
        <w:rPr>
          <w:lang w:val="en_US" w:bidi="en_US"/>
        </w:rPr>
        <w:t xml:space="preserve"> until he arrived in a </w:t>
      </w:r>
      <w:r>
        <w:rPr>
          <w:lang w:val="en_US" w:bidi="en_US"/>
        </w:rPr>
        <w:t>certain</w:t>
      </w:r>
      <w:r>
        <w:rPr>
          <w:lang w:val="en_US" w:bidi="en_US"/>
        </w:rPr>
        <w:t xml:space="preserve"> village.</w:t>
      </w:r>
    </w:p>
    <w:p>
      <w:pPr/>
      <w:r>
        <w:rPr>
          <w:lang w:val="en_US" w:bidi="en_US"/>
        </w:rPr>
      </w:r>
      <w:r>
        <w:rPr>
          <w:b/>
          <w:lang w:val="en_US" w:bidi="en_US"/>
        </w:rPr>
        <w:t>As they traveled along:</w:t>
      </w:r>
      <w:r>
        <w:rPr>
          <w:lang w:val="en_US" w:bidi="en_US"/>
        </w:rPr>
        <w:t xml:space="preserve"> The Greek clause that the BSB translates as </w:t>
      </w:r>
      <w:r>
        <w:rPr>
          <w:i/>
          <w:lang w:val="en_US" w:bidi="en_US"/>
        </w:rPr>
        <w:t>As they traveled along</w:t>
      </w:r>
      <w:r>
        <w:rPr>
          <w:lang w:val="en_US" w:bidi="en_US"/>
        </w:rPr>
        <w:t xml:space="preserve"> is literally “they were traveling/journeying.” In order to make the subject clear at the beginning of a new section, some versions (GNT, NCV, NIV, NLT) say “Jesus and his disciples” here rather than “they.”</w:t>
      </w:r>
    </w:p>
    <w:p>
      <w:pPr/>
      <w:r>
        <w:rPr>
          <w:lang w:val="en_US" w:bidi="en_US"/>
        </w:rPr>
      </w:r>
      <w:r>
        <w:rPr>
          <w:lang w:val="en_US" w:bidi="en_US"/>
        </w:rPr>
        <w:t xml:space="preserve">The phrase </w:t>
      </w:r>
      <w:r>
        <w:rPr>
          <w:i/>
          <w:lang w:val="en_US" w:bidi="en_US"/>
        </w:rPr>
        <w:t>traveled along</w:t>
      </w:r>
      <w:r>
        <w:rPr>
          <w:lang w:val="en_US" w:bidi="en_US"/>
        </w:rPr>
        <w:t xml:space="preserve"> indicates that Jesus and his disciples continued to travel through various villages. They were going to Jerusalem (see 9:51 and 13:22), but that is not in focus here. If you need to specify where they were going, you may say “Jerusalem.” For example:</w:t>
      </w:r>
    </w:p>
    <w:p>
      <w:pPr/>
      <w:r>
        <w:rPr>
          <w:lang w:val="en_US" w:bidi="en_US"/>
        </w:rPr>
      </w:r>
      <w:r>
        <w:rPr>
          <w:lang w:val="en_US" w:bidi="en_US"/>
        </w:rPr>
        <w:t>continued on their way to Jerusalem (NLT)</w:t>
      </w:r>
    </w:p>
    <w:p>
      <w:pPr/>
      <w:r>
        <w:rPr>
          <w:lang w:val="en_US" w:bidi="en_US"/>
        </w:rPr>
      </w:r>
      <w:r>
        <w:rPr>
          <w:b/>
          <w:lang w:val="en_US" w:bidi="en_US"/>
        </w:rPr>
        <w:t>Jesus entered:</w:t>
      </w:r>
      <w:r>
        <w:rPr>
          <w:lang w:val="en_US" w:bidi="en_US"/>
        </w:rPr>
        <w:t xml:space="preserve"> The Greek phrase that the BSB translates as </w:t>
      </w:r>
      <w:r>
        <w:rPr>
          <w:i/>
          <w:lang w:val="en_US" w:bidi="en_US"/>
        </w:rPr>
        <w:t>Jesus entered</w:t>
      </w:r>
      <w:r>
        <w:rPr>
          <w:lang w:val="en_US" w:bidi="en_US"/>
        </w:rPr>
        <w:t xml:space="preserve"> is literally “he entered.” Several English versions translate it that way. This phrase refers only to Jesus, since the focus of the story is on him. However, his disciples were probably still with him. Some ways to indicate this are:</w:t>
      </w:r>
    </w:p>
    <w:p>
      <w:pPr>
        <w:pStyle w:val="ListBullet"/>
        <w:spacing w:line="240" w:lineRule="auto"/>
        <w:ind w:left="720"/>
      </w:pPr>
      <w:r>
        <w:rPr>
          <w:lang w:val="en_US" w:bidi="en_US"/>
        </w:rPr>
      </w:r>
      <w:r>
        <w:rPr>
          <w:lang w:val="en_US" w:bidi="en_US"/>
        </w:rPr>
        <w:t>Use a plural form like “they.” For example:</w:t>
      </w:r>
      <w:r>
        <w:rPr>
          <w:u w:val="single"/>
          <w:lang w:val="en_US" w:bidi="en_US"/>
        </w:rPr>
        <w:t>they</w:t>
      </w:r>
      <w:r>
        <w:rPr>
          <w:lang w:val="en_US" w:bidi="en_US"/>
        </w:rPr>
        <w:t xml:space="preserve"> arrived/entered/came</w:t>
      </w:r>
    </w:p>
    <w:p>
      <w:pPr>
        <w:pStyle w:val="ListBullet"/>
        <w:spacing w:line="240" w:lineRule="auto"/>
        <w:ind w:left="720"/>
      </w:pPr>
      <w:r>
        <w:rPr>
          <w:lang w:val="en_US" w:bidi="en_US"/>
        </w:rPr>
      </w:r>
      <w:r>
        <w:rPr>
          <w:lang w:val="en_US" w:bidi="en_US"/>
        </w:rPr>
        <w:t>Use a singular form like “he,” but also mention the disciples. For example:</w:t>
      </w:r>
      <w:r>
        <w:rPr>
          <w:lang w:val="en_US" w:bidi="en_US"/>
        </w:rPr>
        <w:t xml:space="preserve">Jesus, accompanied by his disciples, continued to travel until </w:t>
      </w:r>
      <w:r>
        <w:rPr>
          <w:u w:val="single"/>
          <w:lang w:val="en_US" w:bidi="en_US"/>
        </w:rPr>
        <w:t>he</w:t>
      </w:r>
      <w:r>
        <w:rPr>
          <w:lang w:val="en_US" w:bidi="en_US"/>
        </w:rPr>
        <w:t xml:space="preserve"> arrived in a certain village.</w:t>
      </w:r>
    </w:p>
    <w:p>
      <w:pPr/>
      <w:r>
        <w:rPr>
          <w:lang w:val="en_US" w:bidi="en_US"/>
        </w:rPr>
      </w:r>
      <w:r>
        <w:rPr>
          <w:lang w:val="en_US" w:bidi="en_US"/>
        </w:rPr>
        <w:t>Try to use a natural way in your language to keep the focus on Jesus. But you should not imply that Jesus left the disciples outside the village while he entered.</w:t>
      </w:r>
    </w:p>
    <w:p>
      <w:pPr/>
      <w:r>
        <w:rPr>
          <w:lang w:val="en_US" w:bidi="en_US"/>
        </w:rPr>
      </w:r>
      <w:r>
        <w:rPr>
          <w:b/>
          <w:lang w:val="en_US" w:bidi="en_US"/>
        </w:rPr>
        <w:t>a village:</w:t>
      </w:r>
      <w:r>
        <w:rPr>
          <w:lang w:val="en_US" w:bidi="en_US"/>
        </w:rPr>
        <w:t xml:space="preserve"> This </w:t>
      </w:r>
      <w:r>
        <w:rPr>
          <w:i/>
          <w:lang w:val="en_US" w:bidi="en_US"/>
        </w:rPr>
        <w:t>village</w:t>
      </w:r>
      <w:r>
        <w:rPr>
          <w:lang w:val="en_US" w:bidi="en_US"/>
        </w:rPr>
        <w:t xml:space="preserve"> was probably Bethany (see John 11:1 and 12:1–3). You may give the name of this village in a footnote along with the cross-references from John. However, it is not recommended that you supply the name in the text.</w:t>
      </w:r>
    </w:p>
    <w:p>
      <w:pPr>
        <w:pStyle w:val="Heading5"/>
      </w:pPr>
      <w:r>
        <w:rPr>
          <w:lang w:val="en_US" w:bidi="en_US"/>
        </w:rPr>
        <w:t>10:38b</w:t>
      </w:r>
    </w:p>
    <w:p>
      <w:pPr/>
      <w:r>
        <w:rPr>
          <w:lang w:val="en_US" w:bidi="en_US"/>
        </w:rPr>
      </w:r>
      <w:r>
        <w:rPr>
          <w:b/>
          <w:lang w:val="en_US" w:bidi="en_US"/>
        </w:rPr>
        <w:t>where a woman named Martha welcomed Him into her home.</w:t>
      </w:r>
    </w:p>
    <w:p>
      <w:pPr>
        <w:pStyle w:val="ListBullet"/>
        <w:spacing w:line="240" w:lineRule="auto"/>
        <w:ind w:left="720"/>
      </w:pPr>
      <w:r>
        <w:rPr>
          <w:lang w:val="en_US" w:bidi="en_US"/>
        </w:rPr>
      </w:r>
      <w:r>
        <w:rPr>
          <w:lang w:val="en_US" w:bidi="en_US"/>
        </w:rPr>
        <w:t xml:space="preserve">There a woman named Martha received him </w:t>
      </w:r>
      <w:r>
        <w:rPr>
          <w:lang w:val="en_US" w:bidi="en_US"/>
        </w:rPr>
        <w:t>and his traveling companions</w:t>
      </w:r>
      <w:r>
        <w:rPr>
          <w:lang w:val="en_US" w:bidi="en_US"/>
        </w:rPr>
        <w:t xml:space="preserve"> into her home to stay/lodge for the night.</w:t>
      </w:r>
    </w:p>
    <w:p>
      <w:pPr>
        <w:pStyle w:val="ListBullet"/>
        <w:spacing w:line="240" w:lineRule="auto"/>
        <w:ind w:left="720"/>
      </w:pPr>
      <w:r>
        <w:rPr>
          <w:lang w:val="en_US" w:bidi="en_US"/>
        </w:rPr>
      </w:r>
      <w:r>
        <w:rPr>
          <w:lang w:val="en_US" w:bidi="en_US"/>
        </w:rPr>
        <w:t xml:space="preserve">A woman named Martha </w:t>
      </w:r>
      <w:r>
        <w:rPr>
          <w:lang w:val="en_US" w:bidi="en_US"/>
        </w:rPr>
        <w:t>lived there, and she</w:t>
      </w:r>
      <w:r>
        <w:rPr>
          <w:lang w:val="en_US" w:bidi="en_US"/>
        </w:rPr>
        <w:t xml:space="preserve"> welcomed him into her house and gave him food and lodging, </w:t>
      </w:r>
      <w:r>
        <w:rPr>
          <w:lang w:val="en_US" w:bidi="en_US"/>
        </w:rPr>
        <w:t>together with his disciples</w:t>
      </w:r>
      <w:r>
        <w:rPr>
          <w:lang w:val="en_US" w:bidi="en_US"/>
        </w:rPr>
        <w:t>.</w:t>
      </w:r>
    </w:p>
    <w:p>
      <w:pPr/>
      <w:r>
        <w:rPr>
          <w:lang w:val="en_US" w:bidi="en_US"/>
        </w:rPr>
      </w:r>
      <w:r>
        <w:rPr>
          <w:b/>
          <w:lang w:val="en_US" w:bidi="en_US"/>
        </w:rPr>
        <w:t>where a woman named Martha welcomed Him into her home:</w:t>
      </w:r>
      <w:r>
        <w:rPr>
          <w:lang w:val="en_US" w:bidi="en_US"/>
        </w:rPr>
        <w:t xml:space="preserve"> In some languages it may be necessary to start a new sentence here and supply the information that Martha lived in this village. For example:</w:t>
      </w:r>
    </w:p>
    <w:p>
      <w:pPr/>
      <w:r>
        <w:rPr>
          <w:lang w:val="en_US" w:bidi="en_US"/>
        </w:rPr>
      </w:r>
      <w:r>
        <w:rPr>
          <w:lang w:val="en_US" w:bidi="en_US"/>
        </w:rPr>
        <w:t xml:space="preserve">A woman named Martha </w:t>
      </w:r>
      <w:r>
        <w:rPr>
          <w:lang w:val="en_US" w:bidi="en_US"/>
        </w:rPr>
        <w:t>lived there, and she</w:t>
      </w:r>
      <w:r>
        <w:rPr>
          <w:lang w:val="en_US" w:bidi="en_US"/>
        </w:rPr>
        <w:t xml:space="preserve"> welcomed him into her home.</w:t>
      </w:r>
    </w:p>
    <w:p>
      <w:pPr/>
      <w:r>
        <w:rPr>
          <w:lang w:val="en_US" w:bidi="en_US"/>
        </w:rPr>
      </w:r>
      <w:r>
        <w:rPr>
          <w:b/>
          <w:lang w:val="en_US" w:bidi="en_US"/>
        </w:rPr>
        <w:t>Martha welcomed Him into her home:</w:t>
      </w:r>
      <w:r>
        <w:rPr>
          <w:lang w:val="en_US" w:bidi="en_US"/>
        </w:rPr>
        <w:t xml:space="preserve"> The Greek phrase that the BSB translates as </w:t>
      </w:r>
      <w:r>
        <w:rPr>
          <w:i/>
          <w:lang w:val="en_US" w:bidi="en_US"/>
        </w:rPr>
        <w:t>welcomed Him into her home</w:t>
      </w:r>
      <w:r>
        <w:rPr>
          <w:lang w:val="en_US" w:bidi="en_US"/>
        </w:rPr>
        <w:t xml:space="preserve"> means that she offered food and lodging for the night to Jesus and probably to all his disciples that were traveling with him. Here are some other ways to translate this:</w:t>
      </w:r>
    </w:p>
    <w:p>
      <w:pPr/>
      <w:r>
        <w:rPr>
          <w:lang w:val="en_US" w:bidi="en_US"/>
        </w:rPr>
      </w:r>
      <w:r>
        <w:rPr>
          <w:lang w:val="en_US" w:bidi="en_US"/>
        </w:rPr>
        <w:t>gave/offered him food and lodging at her house</w:t>
      </w:r>
    </w:p>
    <w:p>
      <w:pPr/>
      <w:r>
        <w:rPr>
          <w:lang w:val="en_US" w:bidi="en_US"/>
        </w:rPr>
      </w:r>
      <w:r>
        <w:rPr>
          <w:lang w:val="en_US" w:bidi="en_US"/>
        </w:rPr>
        <w:t xml:space="preserve">welcomed him </w:t>
      </w:r>
      <w:r>
        <w:rPr>
          <w:lang w:val="en_US" w:bidi="en_US"/>
        </w:rPr>
        <w:t>and his traveling companions</w:t>
      </w:r>
      <w:r>
        <w:rPr>
          <w:lang w:val="en_US" w:bidi="en_US"/>
        </w:rPr>
        <w:t xml:space="preserve"> to stay/lodge/sleep at her house for the night</w:t>
      </w:r>
    </w:p>
    <w:p>
      <w:pPr/>
      <w:r>
        <w:rPr>
          <w:lang w:val="en_US" w:bidi="en_US"/>
        </w:rPr>
      </w:r>
      <w:r>
        <w:rPr>
          <w:lang w:val="en_US" w:bidi="en_US"/>
        </w:rPr>
        <w:t xml:space="preserve">received him as a guest in her home, </w:t>
      </w:r>
      <w:r>
        <w:rPr>
          <w:lang w:val="en_US" w:bidi="en_US"/>
        </w:rPr>
        <w:t>together with his disciples</w:t>
      </w:r>
      <w:r>
        <w:rPr>
          <w:lang w:val="en_US" w:bidi="en_US"/>
        </w:rPr>
      </w:r>
      <w:r>
        <w:rPr>
          <w:lang w:val="en_US" w:bidi="en_US"/>
        </w:rPr>
      </w:r>
    </w:p>
    <w:p>
      <w:pPr/>
      <w:r>
        <w:rPr>
          <w:lang w:val="en_US" w:bidi="en_US"/>
        </w:rPr>
      </w:r>
    </w:p>
    <w:p>
      <w:pPr>
        <w:pStyle w:val="Heading2"/>
      </w:pPr>
      <w:r>
        <w:rPr>
          <w:lang w:val="en_US" w:bidi="en_US"/>
        </w:rPr>
        <w:t>Luke 10:39</w:t>
      </w:r>
      <w:r>
        <w:rPr>
          <w:lang w:val="en_US" w:bidi="en_US"/>
        </w:rPr>
      </w:r>
    </w:p>
    <w:p>
      <w:pPr>
        <w:pStyle w:val="Heading4"/>
      </w:pPr>
      <w:r>
        <w:rPr>
          <w:lang w:val="en_US" w:bidi="en_US"/>
        </w:rPr>
        <w:t>Section 10:38–42: Jesus visited Martha and Mary</w:t>
      </w:r>
    </w:p>
    <w:p>
      <w:pPr/>
      <w:r>
        <w:rPr>
          <w:lang w:val="en_US" w:bidi="en_US"/>
        </w:rPr>
      </w:r>
      <w:r>
        <w:rPr>
          <w:lang w:val="en_US" w:bidi="en_US"/>
        </w:rPr>
        <w:t>Jesus and his disciples continued to travel from place to place. During their travels, Jesus went to the home of two sisters, Martha and Mary. Their brother was Lazarus. This short section shows how the two sisters considered different things to be important. It also tells what Jesus thought about those things.</w:t>
      </w:r>
    </w:p>
    <w:p>
      <w:pPr/>
      <w:r>
        <w:rPr>
          <w:lang w:val="en_US" w:bidi="en_US"/>
        </w:rPr>
      </w:r>
      <w:r>
        <w:rPr>
          <w:lang w:val="en_US" w:bidi="en_US"/>
        </w:rPr>
        <w:t>Some other examples for section headings are:</w:t>
      </w:r>
    </w:p>
    <w:p>
      <w:pPr/>
      <w:r>
        <w:rPr>
          <w:lang w:val="en_US" w:bidi="en_US"/>
        </w:rPr>
      </w:r>
      <w:r>
        <w:rPr>
          <w:lang w:val="en_US" w:bidi="en_US"/>
        </w:rPr>
        <w:t>Jesus’ Visit with Martha and Mary</w:t>
      </w:r>
    </w:p>
    <w:p>
      <w:pPr/>
      <w:r>
        <w:rPr>
          <w:lang w:val="en_US" w:bidi="en_US"/>
        </w:rPr>
      </w:r>
      <w:r>
        <w:rPr>
          <w:lang w:val="en_US" w:bidi="en_US"/>
        </w:rPr>
        <w:t>At the Home of Martha and Mary (NIV)</w:t>
      </w:r>
    </w:p>
    <w:p>
      <w:pPr/>
      <w:r>
        <w:rPr>
          <w:lang w:val="en_US" w:bidi="en_US"/>
        </w:rPr>
      </w:r>
      <w:r>
        <w:rPr>
          <w:lang w:val="en_US" w:bidi="en_US"/>
        </w:rPr>
        <w:t>This story occurs only in Luke.</w:t>
      </w:r>
    </w:p>
    <w:p>
      <w:pPr/>
      <w:r>
        <w:rPr>
          <w:lang w:val="en_US" w:bidi="en_US"/>
        </w:rPr>
      </w:r>
    </w:p>
    <w:p>
      <w:pPr>
        <w:pStyle w:val="Heading5"/>
      </w:pPr>
      <w:r>
        <w:rPr>
          <w:lang w:val="en_US" w:bidi="en_US"/>
        </w:rPr>
        <w:t>10:39a</w:t>
      </w:r>
    </w:p>
    <w:p>
      <w:pPr/>
      <w:r>
        <w:rPr>
          <w:lang w:val="en_US" w:bidi="en_US"/>
        </w:rPr>
      </w:r>
      <w:r>
        <w:rPr>
          <w:b/>
          <w:lang w:val="en_US" w:bidi="en_US"/>
        </w:rPr>
        <w:t>She had a sister named Mary,</w:t>
      </w:r>
    </w:p>
    <w:p>
      <w:pPr>
        <w:pStyle w:val="ListBullet"/>
        <w:spacing w:line="240" w:lineRule="auto"/>
        <w:ind w:left="720"/>
      </w:pPr>
      <w:r>
        <w:rPr>
          <w:lang w:val="en_US" w:bidi="en_US"/>
        </w:rPr>
      </w:r>
      <w:r>
        <w:rPr>
          <w:lang w:val="en_US" w:bidi="en_US"/>
        </w:rPr>
        <w:t>She had a sister/sibling whose name was Mary.</w:t>
      </w:r>
    </w:p>
    <w:p>
      <w:pPr>
        <w:pStyle w:val="ListBullet"/>
        <w:spacing w:line="240" w:lineRule="auto"/>
        <w:ind w:left="720"/>
      </w:pPr>
      <w:r>
        <w:rPr>
          <w:lang w:val="en_US" w:bidi="en_US"/>
        </w:rPr>
      </w:r>
      <w:r>
        <w:rPr>
          <w:lang w:val="en_US" w:bidi="en_US"/>
        </w:rPr>
        <w:t xml:space="preserve">Martha had a </w:t>
      </w:r>
      <w:r>
        <w:rPr>
          <w:lang w:val="en_US" w:bidi="en_US"/>
        </w:rPr>
        <w:t>younger</w:t>
      </w:r>
      <w:r>
        <w:rPr>
          <w:lang w:val="en_US" w:bidi="en_US"/>
        </w:rPr>
        <w:t xml:space="preserve"> sister/sibling named Mary.</w:t>
      </w:r>
    </w:p>
    <w:p>
      <w:pPr/>
      <w:r>
        <w:rPr>
          <w:lang w:val="en_US" w:bidi="en_US"/>
        </w:rPr>
      </w:r>
      <w:r>
        <w:rPr>
          <w:b/>
          <w:lang w:val="en_US" w:bidi="en_US"/>
        </w:rPr>
        <w:t>She had a sister named Mary:</w:t>
      </w:r>
      <w:r>
        <w:rPr>
          <w:lang w:val="en_US" w:bidi="en_US"/>
        </w:rPr>
        <w:t xml:space="preserve"> Mary was probably Martha’s younger sister. They had the same parents. We do not know whether Martha had any other sisters. They had at least one brother, Lazarus (see John 11:1).</w:t>
      </w:r>
    </w:p>
    <w:p>
      <w:pPr/>
      <w:r>
        <w:rPr>
          <w:lang w:val="en_US" w:bidi="en_US"/>
        </w:rPr>
      </w:r>
      <w:r>
        <w:rPr>
          <w:lang w:val="en_US" w:bidi="en_US"/>
        </w:rPr>
        <w:t>In some languages it is natural to use a more specific term such as “younger sister” to refer to Mary here. In other languages it is natural to use a general term such as “sibling” or “younger sibling.” Use a natural kinship term in your language.</w:t>
      </w:r>
    </w:p>
    <w:p>
      <w:pPr>
        <w:pStyle w:val="Heading5"/>
      </w:pPr>
      <w:r>
        <w:rPr>
          <w:lang w:val="en_US" w:bidi="en_US"/>
        </w:rPr>
        <w:t>10:39b</w:t>
      </w:r>
    </w:p>
    <w:p>
      <w:pPr/>
      <w:r>
        <w:rPr>
          <w:lang w:val="en_US" w:bidi="en_US"/>
        </w:rPr>
      </w:r>
      <w:r>
        <w:rPr>
          <w:b/>
          <w:lang w:val="en_US" w:bidi="en_US"/>
        </w:rPr>
        <w:t>who sat at the Lord’s feet listening to His message.</w:t>
      </w:r>
    </w:p>
    <w:p>
      <w:pPr>
        <w:pStyle w:val="ListBullet"/>
        <w:spacing w:line="240" w:lineRule="auto"/>
        <w:ind w:left="720"/>
      </w:pPr>
      <w:r>
        <w:rPr>
          <w:lang w:val="en_US" w:bidi="en_US"/>
        </w:rPr>
      </w:r>
      <w:r>
        <w:rPr>
          <w:lang w:val="en_US" w:bidi="en_US"/>
        </w:rPr>
        <w:t>Mary sat down near the Lord’s feet in order to listen to his teaching.</w:t>
      </w:r>
    </w:p>
    <w:p>
      <w:pPr>
        <w:pStyle w:val="ListBullet"/>
        <w:spacing w:line="240" w:lineRule="auto"/>
        <w:ind w:left="720"/>
      </w:pPr>
      <w:r>
        <w:rPr>
          <w:lang w:val="en_US" w:bidi="en_US"/>
        </w:rPr>
      </w:r>
      <w:r>
        <w:rPr>
          <w:lang w:val="en_US" w:bidi="en_US"/>
        </w:rPr>
        <w:t xml:space="preserve">Mary sat on the floor near the Lord </w:t>
      </w:r>
      <w:r>
        <w:rPr>
          <w:lang w:val="en_US" w:bidi="en_US"/>
        </w:rPr>
        <w:t>Jesus</w:t>
      </w:r>
      <w:r>
        <w:rPr>
          <w:lang w:val="en_US" w:bidi="en_US"/>
        </w:rPr>
        <w:t xml:space="preserve"> and listened to what he was teaching </w:t>
      </w:r>
      <w:r>
        <w:rPr>
          <w:lang w:val="en_US" w:bidi="en_US"/>
        </w:rPr>
        <w:t>people</w:t>
      </w:r>
      <w:r>
        <w:rPr>
          <w:lang w:val="en_US" w:bidi="en_US"/>
        </w:rPr>
        <w:t>.</w:t>
      </w:r>
    </w:p>
    <w:p>
      <w:pPr/>
      <w:r>
        <w:rPr>
          <w:lang w:val="en_US" w:bidi="en_US"/>
        </w:rPr>
      </w:r>
      <w:r>
        <w:rPr>
          <w:b/>
          <w:lang w:val="en_US" w:bidi="en_US"/>
        </w:rPr>
        <w:t>sat at the Lord’s feet:</w:t>
      </w:r>
      <w:r>
        <w:rPr>
          <w:lang w:val="en_US" w:bidi="en_US"/>
        </w:rPr>
        <w:t xml:space="preserve"> Jewish people often used the phrase “sat at his feet” to describe a disciple/student listening to his religious teacher. Students often sat on the ground or on the floor around the teacher while he sat and taught them. This expressed the students’ humility and eagerness to learn. Some other ways to translate this expression are:</w:t>
      </w:r>
    </w:p>
    <w:p>
      <w:pPr/>
      <w:r>
        <w:rPr>
          <w:lang w:val="en_US" w:bidi="en_US"/>
        </w:rPr>
      </w:r>
      <w:r>
        <w:rPr>
          <w:lang w:val="en_US" w:bidi="en_US"/>
        </w:rPr>
        <w:t>sat down beside the Lord’s feet</w:t>
      </w:r>
    </w:p>
    <w:p>
      <w:pPr/>
      <w:r>
        <w:rPr>
          <w:lang w:val="en_US" w:bidi="en_US"/>
        </w:rPr>
      </w:r>
      <w:r>
        <w:rPr>
          <w:lang w:val="en_US" w:bidi="en_US"/>
        </w:rPr>
        <w:t xml:space="preserve">sat down </w:t>
      </w:r>
      <w:r>
        <w:rPr>
          <w:lang w:val="en_US" w:bidi="en_US"/>
        </w:rPr>
        <w:t>on the floor</w:t>
      </w:r>
      <w:r>
        <w:rPr>
          <w:lang w:val="en_US" w:bidi="en_US"/>
        </w:rPr>
        <w:t xml:space="preserve"> near the Lord</w:t>
      </w:r>
    </w:p>
    <w:p>
      <w:pPr/>
      <w:r>
        <w:rPr>
          <w:lang w:val="en_US" w:bidi="en_US"/>
        </w:rPr>
      </w:r>
      <w:r>
        <w:rPr>
          <w:b/>
          <w:lang w:val="en_US" w:bidi="en_US"/>
        </w:rPr>
        <w:t>the Lord’s:</w:t>
      </w:r>
      <w:r>
        <w:rPr>
          <w:lang w:val="en_US" w:bidi="en_US"/>
        </w:rPr>
        <w:t xml:space="preserve"> </w:t>
      </w:r>
      <w:r>
        <w:rPr>
          <w:lang w:val="en_US" w:bidi="en_US"/>
        </w:rPr>
        <w:t>There is a textual issue here. Some Greek manuscripts have “the Lord.” The BSB, NIV, RSV, ESV, GNT, NLT, GW, NET NJB, CEV, NASB, and REB follow these manuscripts. Other Greek manuscripts have “Jesus.” The NCV and KJV follow these manuscripts. The reading “the Lord” is recommended, but both options have strong support. (See Swanson, p. 198; Blight 2007a, pp. 486–87; and TRT, p. 223.) However, in this context the choice may involve a need to refer to Jesus in a clear and natural way in the translation. In some languages it may be more natural to use a pronoun that refers back to the first noun that refers to Jesus in this section. In that case, some translators may need to introduce the term “the Lord” along with “Jesus” in 12:38a.</w:t>
      </w:r>
      <w:r>
        <w:rPr>
          <w:lang w:val="en_US" w:bidi="en_US"/>
        </w:rPr>
        <w:t xml:space="preserve"> For information about how to translate the title </w:t>
      </w:r>
      <w:r>
        <w:rPr>
          <w:i/>
          <w:lang w:val="en_US" w:bidi="en_US"/>
        </w:rPr>
        <w:t>Lord</w:t>
      </w:r>
      <w:r>
        <w:rPr>
          <w:lang w:val="en_US" w:bidi="en_US"/>
        </w:rPr>
        <w:t>, see the note at 10:1a.</w:t>
      </w:r>
    </w:p>
    <w:p>
      <w:pPr/>
      <w:r>
        <w:rPr>
          <w:lang w:val="en_US" w:bidi="en_US"/>
        </w:rPr>
      </w:r>
      <w:r>
        <w:rPr>
          <w:b/>
          <w:lang w:val="en_US" w:bidi="en_US"/>
        </w:rPr>
        <w:t>listening to His message:</w:t>
      </w:r>
      <w:r>
        <w:rPr>
          <w:lang w:val="en_US" w:bidi="en_US"/>
        </w:rPr>
        <w:t xml:space="preserve"> The Greek phrase that the BSB translates as </w:t>
      </w:r>
      <w:r>
        <w:rPr>
          <w:i/>
          <w:lang w:val="en_US" w:bidi="en_US"/>
        </w:rPr>
        <w:t>listening to His message</w:t>
      </w:r>
      <w:r>
        <w:rPr>
          <w:lang w:val="en_US" w:bidi="en_US"/>
        </w:rPr>
        <w:t xml:space="preserve"> is more literally “listening to his word.” It refers to the things that Jesus was teaching about God. Other people besides Mary were probably also listening to him teach. These people may have included Jesus’ disciples and any other guests.</w:t>
      </w:r>
    </w:p>
    <w:p>
      <w:pPr/>
      <w:r>
        <w:rPr>
          <w:lang w:val="en_US" w:bidi="en_US"/>
        </w:rPr>
      </w:r>
      <w:r>
        <w:rPr>
          <w:lang w:val="en_US" w:bidi="en_US"/>
        </w:rPr>
        <w:t xml:space="preserve">Some ways to translate </w:t>
      </w:r>
      <w:r>
        <w:rPr>
          <w:i/>
          <w:lang w:val="en_US" w:bidi="en_US"/>
        </w:rPr>
        <w:t>listening to His message</w:t>
      </w:r>
      <w:r>
        <w:rPr>
          <w:lang w:val="en_US" w:bidi="en_US"/>
        </w:rPr>
        <w:t xml:space="preserve"> here are:</w:t>
      </w:r>
    </w:p>
    <w:p>
      <w:pPr/>
      <w:r>
        <w:rPr>
          <w:lang w:val="en_US" w:bidi="en_US"/>
        </w:rPr>
      </w:r>
      <w:r>
        <w:rPr>
          <w:lang w:val="en_US" w:bidi="en_US"/>
        </w:rPr>
        <w:t>listening to him teach (NCV)</w:t>
      </w:r>
    </w:p>
    <w:p>
      <w:pPr/>
      <w:r>
        <w:rPr>
          <w:lang w:val="en_US" w:bidi="en_US"/>
        </w:rPr>
      </w:r>
      <w:r>
        <w:rPr>
          <w:lang w:val="en_US" w:bidi="en_US"/>
        </w:rPr>
        <w:t xml:space="preserve">listening to </w:t>
      </w:r>
      <w:r>
        <w:rPr>
          <w:lang w:val="en_US" w:bidi="en_US"/>
        </w:rPr>
        <w:t>God’s</w:t>
      </w:r>
      <w:r>
        <w:rPr>
          <w:lang w:val="en_US" w:bidi="en_US"/>
        </w:rPr>
        <w:t xml:space="preserve"> words that he was telling </w:t>
      </w:r>
      <w:r>
        <w:rPr>
          <w:lang w:val="en_US" w:bidi="en_US"/>
        </w:rPr>
        <w:t>people</w:t>
      </w:r>
      <w:r>
        <w:rPr>
          <w:lang w:val="en_US" w:bidi="en_US"/>
        </w:rPr>
      </w:r>
      <w:r>
        <w:rPr>
          <w:lang w:val="en_US" w:bidi="en_US"/>
        </w:rPr>
      </w:r>
    </w:p>
    <w:p>
      <w:pPr/>
      <w:r>
        <w:rPr>
          <w:lang w:val="en_US" w:bidi="en_US"/>
        </w:rPr>
      </w:r>
    </w:p>
    <w:p>
      <w:pPr>
        <w:pStyle w:val="Heading2"/>
      </w:pPr>
      <w:r>
        <w:rPr>
          <w:lang w:val="en_US" w:bidi="en_US"/>
        </w:rPr>
        <w:t>Luke 10:40</w:t>
      </w:r>
      <w:r>
        <w:rPr>
          <w:lang w:val="en_US" w:bidi="en_US"/>
        </w:rPr>
      </w:r>
    </w:p>
    <w:p>
      <w:pPr>
        <w:pStyle w:val="Heading4"/>
      </w:pPr>
      <w:r>
        <w:rPr>
          <w:lang w:val="en_US" w:bidi="en_US"/>
        </w:rPr>
        <w:t>Section 10:38–42: Jesus visited Martha and Mary</w:t>
      </w:r>
    </w:p>
    <w:p>
      <w:pPr/>
      <w:r>
        <w:rPr>
          <w:lang w:val="en_US" w:bidi="en_US"/>
        </w:rPr>
      </w:r>
      <w:r>
        <w:rPr>
          <w:lang w:val="en_US" w:bidi="en_US"/>
        </w:rPr>
        <w:t>Jesus and his disciples continued to travel from place to place. During their travels, Jesus went to the home of two sisters, Martha and Mary. Their brother was Lazarus. This short section shows how the two sisters considered different things to be important. It also tells what Jesus thought about those things.</w:t>
      </w:r>
    </w:p>
    <w:p>
      <w:pPr/>
      <w:r>
        <w:rPr>
          <w:lang w:val="en_US" w:bidi="en_US"/>
        </w:rPr>
      </w:r>
      <w:r>
        <w:rPr>
          <w:lang w:val="en_US" w:bidi="en_US"/>
        </w:rPr>
        <w:t>Some other examples for section headings are:</w:t>
      </w:r>
    </w:p>
    <w:p>
      <w:pPr/>
      <w:r>
        <w:rPr>
          <w:lang w:val="en_US" w:bidi="en_US"/>
        </w:rPr>
      </w:r>
      <w:r>
        <w:rPr>
          <w:lang w:val="en_US" w:bidi="en_US"/>
        </w:rPr>
        <w:t>Jesus’ Visit with Martha and Mary</w:t>
      </w:r>
    </w:p>
    <w:p>
      <w:pPr/>
      <w:r>
        <w:rPr>
          <w:lang w:val="en_US" w:bidi="en_US"/>
        </w:rPr>
      </w:r>
      <w:r>
        <w:rPr>
          <w:lang w:val="en_US" w:bidi="en_US"/>
        </w:rPr>
        <w:t>At the Home of Martha and Mary (NIV)</w:t>
      </w:r>
    </w:p>
    <w:p>
      <w:pPr/>
      <w:r>
        <w:rPr>
          <w:lang w:val="en_US" w:bidi="en_US"/>
        </w:rPr>
      </w:r>
      <w:r>
        <w:rPr>
          <w:lang w:val="en_US" w:bidi="en_US"/>
        </w:rPr>
        <w:t>This story occurs only in Luke.</w:t>
      </w:r>
    </w:p>
    <w:p>
      <w:pPr/>
      <w:r>
        <w:rPr>
          <w:lang w:val="en_US" w:bidi="en_US"/>
        </w:rPr>
      </w:r>
    </w:p>
    <w:p>
      <w:pPr>
        <w:pStyle w:val="Heading5"/>
      </w:pPr>
      <w:r>
        <w:rPr>
          <w:lang w:val="en_US" w:bidi="en_US"/>
        </w:rPr>
        <w:t>10:40a</w:t>
      </w:r>
    </w:p>
    <w:p>
      <w:pPr/>
      <w:r>
        <w:rPr>
          <w:lang w:val="en_US" w:bidi="en_US"/>
        </w:rPr>
      </w:r>
      <w:r>
        <w:rPr>
          <w:b/>
          <w:lang w:val="en_US" w:bidi="en_US"/>
        </w:rPr>
        <w:t>But Martha was distracted by all the preparations to be made.</w:t>
      </w:r>
    </w:p>
    <w:p>
      <w:pPr>
        <w:pStyle w:val="ListBullet"/>
        <w:spacing w:line="240" w:lineRule="auto"/>
        <w:ind w:left="720"/>
      </w:pPr>
      <w:r>
        <w:rPr>
          <w:lang w:val="en_US" w:bidi="en_US"/>
        </w:rPr>
      </w:r>
      <w:r>
        <w:rPr>
          <w:lang w:val="en_US" w:bidi="en_US"/>
        </w:rPr>
        <w:t>But Martha was preoccupied by all that she was preparing.</w:t>
      </w:r>
    </w:p>
    <w:p>
      <w:pPr>
        <w:pStyle w:val="ListBullet"/>
        <w:spacing w:line="240" w:lineRule="auto"/>
        <w:ind w:left="720"/>
      </w:pPr>
      <w:r>
        <w:rPr>
          <w:lang w:val="en_US" w:bidi="en_US"/>
        </w:rPr>
      </w:r>
      <w:r>
        <w:rPr>
          <w:lang w:val="en_US" w:bidi="en_US"/>
        </w:rPr>
        <w:t xml:space="preserve">But Martha, on the other hand, was upset because she had so much work to do to serve </w:t>
      </w:r>
      <w:r>
        <w:rPr>
          <w:lang w:val="en_US" w:bidi="en_US"/>
        </w:rPr>
        <w:t>Jesus and the other guests</w:t>
      </w:r>
      <w:r>
        <w:rPr>
          <w:lang w:val="en_US" w:bidi="en_US"/>
        </w:rPr>
        <w:t>.</w:t>
      </w:r>
    </w:p>
    <w:p>
      <w:pPr>
        <w:pStyle w:val="ListBullet"/>
        <w:spacing w:line="240" w:lineRule="auto"/>
        <w:ind w:left="720"/>
      </w:pPr>
      <w:r>
        <w:rPr>
          <w:lang w:val="en_US" w:bidi="en_US"/>
        </w:rPr>
      </w:r>
      <w:r>
        <w:rPr>
          <w:lang w:val="en_US" w:bidi="en_US"/>
        </w:rPr>
        <w:t xml:space="preserve">But Martha was too busy with all her preparations </w:t>
      </w:r>
      <w:r>
        <w:rPr>
          <w:lang w:val="en_US" w:bidi="en_US"/>
        </w:rPr>
        <w:t>for the meal</w:t>
      </w:r>
      <w:r>
        <w:rPr>
          <w:lang w:val="en_US" w:bidi="en_US"/>
        </w:rPr>
        <w:t>.</w:t>
      </w:r>
    </w:p>
    <w:p>
      <w:pPr/>
      <w:r>
        <w:rPr>
          <w:lang w:val="en_US" w:bidi="en_US"/>
        </w:rPr>
      </w:r>
      <w:r>
        <w:rPr>
          <w:b/>
          <w:lang w:val="en_US" w:bidi="en_US"/>
        </w:rPr>
        <w:t>But:</w:t>
      </w:r>
      <w:r>
        <w:rPr>
          <w:lang w:val="en_US" w:bidi="en_US"/>
        </w:rPr>
        <w:t xml:space="preserve"> The Greek particle that the BSB translates as </w:t>
      </w:r>
      <w:r>
        <w:rPr>
          <w:i/>
          <w:lang w:val="en_US" w:bidi="en_US"/>
        </w:rPr>
        <w:t>But</w:t>
      </w:r>
      <w:r>
        <w:rPr>
          <w:lang w:val="en_US" w:bidi="en_US"/>
        </w:rPr>
        <w:t xml:space="preserve"> here introduces a contrast between what Mary was doing and what Martha was doing. Indicate this contrast in a way that is natural in your language.</w:t>
      </w:r>
    </w:p>
    <w:p>
      <w:pPr/>
      <w:r>
        <w:rPr>
          <w:lang w:val="en_US" w:bidi="en_US"/>
        </w:rPr>
      </w:r>
      <w:r>
        <w:rPr>
          <w:b/>
          <w:lang w:val="en_US" w:bidi="en_US"/>
        </w:rPr>
        <w:t>Martha was distracted:</w:t>
      </w:r>
      <w:r>
        <w:rPr>
          <w:lang w:val="en_US" w:bidi="en_US"/>
        </w:rPr>
        <w:t xml:space="preserve"> The Greek word that the BSB translates as </w:t>
      </w:r>
      <w:r>
        <w:rPr>
          <w:i/>
          <w:lang w:val="en_US" w:bidi="en_US"/>
        </w:rPr>
        <w:t>distracted</w:t>
      </w:r>
      <w:r>
        <w:rPr>
          <w:lang w:val="en_US" w:bidi="en_US"/>
        </w:rPr>
        <w:t xml:space="preserve"> occurs only here in the NT. In this context it indicates that Martha was busy, worried, or “upset” by all the work that needed to be done. Because of this, she was unable to listen to Jesus. It refers both to her feelings and to the many things that she was doing.</w:t>
      </w:r>
    </w:p>
    <w:p>
      <w:pPr/>
      <w:r>
        <w:rPr>
          <w:lang w:val="en_US" w:bidi="en_US"/>
        </w:rPr>
      </w:r>
      <w:r>
        <w:rPr>
          <w:b/>
          <w:lang w:val="en_US" w:bidi="en_US"/>
        </w:rPr>
        <w:t>by all the preparations to be made:</w:t>
      </w:r>
      <w:r>
        <w:rPr>
          <w:lang w:val="en_US" w:bidi="en_US"/>
        </w:rPr>
        <w:t xml:space="preserve"> The Greek phrase that the BSB translates as </w:t>
      </w:r>
      <w:r>
        <w:rPr>
          <w:i/>
          <w:lang w:val="en_US" w:bidi="en_US"/>
        </w:rPr>
        <w:t>all the preparations to be made</w:t>
      </w:r>
      <w:r>
        <w:rPr>
          <w:lang w:val="en_US" w:bidi="en_US"/>
        </w:rPr>
        <w:t xml:space="preserve"> is literally “much service.” In this context it refers primarily to the work that was involved in preparing and serving a special meal for their honored guest(s).</w:t>
      </w:r>
    </w:p>
    <w:p>
      <w:pPr/>
      <w:r>
        <w:rPr>
          <w:lang w:val="en_US" w:bidi="en_US"/>
        </w:rPr>
      </w:r>
      <w:r>
        <w:rPr>
          <w:lang w:val="en_US" w:bidi="en_US"/>
        </w:rPr>
        <w:t>Some ways to translate 10:40a are:</w:t>
      </w:r>
    </w:p>
    <w:p>
      <w:pPr/>
      <w:r>
        <w:rPr>
          <w:lang w:val="en_US" w:bidi="en_US"/>
        </w:rPr>
      </w:r>
      <w:r>
        <w:rPr>
          <w:lang w:val="en_US" w:bidi="en_US"/>
        </w:rPr>
        <w:t>Martha was distracted with much serving (RSV)</w:t>
      </w:r>
    </w:p>
    <w:p>
      <w:pPr/>
      <w:r>
        <w:rPr>
          <w:lang w:val="en_US" w:bidi="en_US"/>
        </w:rPr>
      </w:r>
      <w:r>
        <w:rPr>
          <w:lang w:val="en_US" w:bidi="en_US"/>
        </w:rPr>
        <w:t>Martha was distracted by her many tasks (NRSV)</w:t>
      </w:r>
    </w:p>
    <w:p>
      <w:pPr/>
      <w:r>
        <w:rPr>
          <w:lang w:val="en_US" w:bidi="en_US"/>
        </w:rPr>
      </w:r>
      <w:r>
        <w:rPr>
          <w:lang w:val="en_US" w:bidi="en_US"/>
        </w:rPr>
        <w:t>Martha was upset over all the work she had to do (GNT)</w:t>
      </w:r>
    </w:p>
    <w:p>
      <w:pPr/>
      <w:r>
        <w:rPr>
          <w:lang w:val="en_US" w:bidi="en_US"/>
        </w:rPr>
      </w:r>
      <w:r>
        <w:rPr>
          <w:lang w:val="en_US" w:bidi="en_US"/>
        </w:rPr>
        <w:t>Martha was busy with all the work to be done (NCV)</w:t>
      </w:r>
    </w:p>
    <w:p>
      <w:pPr>
        <w:pStyle w:val="Heading5"/>
      </w:pPr>
      <w:r>
        <w:rPr>
          <w:lang w:val="en_US" w:bidi="en_US"/>
        </w:rPr>
        <w:t>10:40b</w:t>
      </w:r>
    </w:p>
    <w:p>
      <w:pPr/>
      <w:r>
        <w:rPr>
          <w:lang w:val="en_US" w:bidi="en_US"/>
        </w:rPr>
      </w:r>
      <w:r>
        <w:rPr>
          <w:b/>
          <w:lang w:val="en_US" w:bidi="en_US"/>
        </w:rPr>
        <w:t>She came to Jesus and said,</w:t>
      </w:r>
    </w:p>
    <w:p>
      <w:pPr>
        <w:pStyle w:val="ListBullet"/>
        <w:spacing w:line="240" w:lineRule="auto"/>
        <w:ind w:left="720"/>
      </w:pPr>
      <w:r>
        <w:rPr>
          <w:lang w:val="en_US" w:bidi="en_US"/>
        </w:rPr>
      </w:r>
      <w:r>
        <w:rPr>
          <w:lang w:val="en_US" w:bidi="en_US"/>
        </w:rPr>
        <w:t>Martha came to Jesus and said to him,</w:t>
      </w:r>
    </w:p>
    <w:p>
      <w:pPr>
        <w:pStyle w:val="ListBullet"/>
        <w:spacing w:line="240" w:lineRule="auto"/>
        <w:ind w:left="720"/>
      </w:pPr>
      <w:r>
        <w:rPr>
          <w:lang w:val="en_US" w:bidi="en_US"/>
        </w:rPr>
      </w:r>
      <w:r>
        <w:rPr>
          <w:lang w:val="en_US" w:bidi="en_US"/>
        </w:rPr>
        <w:t>So/Finally</w:t>
      </w:r>
      <w:r>
        <w:rPr>
          <w:lang w:val="en_US" w:bidi="en_US"/>
        </w:rPr>
        <w:t xml:space="preserve"> Martha went to Jesus to ask him,</w:t>
      </w:r>
    </w:p>
    <w:p>
      <w:pPr/>
      <w:r>
        <w:rPr>
          <w:lang w:val="en_US" w:bidi="en_US"/>
        </w:rPr>
      </w:r>
      <w:r>
        <w:rPr>
          <w:b/>
          <w:lang w:val="en_US" w:bidi="en_US"/>
        </w:rPr>
        <w:t>She came to Jesus:</w:t>
      </w:r>
      <w:r>
        <w:rPr>
          <w:lang w:val="en_US" w:bidi="en_US"/>
        </w:rPr>
        <w:t xml:space="preserve"> Martha came to Jesus as a result of the situation described in 10:39–10:40a. Martha had been working by herself for some time. Consider how to express the connection between 10:39–40a and 10:40b in your language. Some ways to do that in English are:</w:t>
      </w:r>
    </w:p>
    <w:p>
      <w:pPr/>
      <w:r>
        <w:rPr>
          <w:lang w:val="en_US" w:bidi="en_US"/>
        </w:rPr>
      </w:r>
      <w:r>
        <w:rPr>
          <w:u w:val="single"/>
          <w:lang w:val="en_US" w:bidi="en_US"/>
        </w:rPr>
        <w:t>So</w:t>
      </w:r>
      <w:r>
        <w:rPr>
          <w:lang w:val="en_US" w:bidi="en_US"/>
        </w:rPr>
        <w:t xml:space="preserve"> she went to Jesus</w:t>
      </w:r>
    </w:p>
    <w:p>
      <w:pPr/>
      <w:r>
        <w:rPr>
          <w:lang w:val="en_US" w:bidi="en_US"/>
        </w:rPr>
      </w:r>
      <w:r>
        <w:rPr>
          <w:u w:val="single"/>
          <w:lang w:val="en_US" w:bidi="en_US"/>
        </w:rPr>
        <w:t>Finally</w:t>
      </w:r>
      <w:r>
        <w:rPr>
          <w:lang w:val="en_US" w:bidi="en_US"/>
        </w:rPr>
        <w:t>, she went to Jesus (CEV)</w:t>
      </w:r>
    </w:p>
    <w:p>
      <w:pPr/>
      <w:r>
        <w:rPr>
          <w:lang w:val="en_US" w:bidi="en_US"/>
        </w:rPr>
      </w:r>
      <w:r>
        <w:rPr>
          <w:b/>
          <w:lang w:val="en_US" w:bidi="en_US"/>
        </w:rPr>
        <w:t>and said:</w:t>
      </w:r>
      <w:r>
        <w:rPr>
          <w:lang w:val="en_US" w:bidi="en_US"/>
        </w:rPr>
        <w:t xml:space="preserve"> The Greek verb that the BSB translates literally as </w:t>
      </w:r>
      <w:r>
        <w:rPr>
          <w:i/>
          <w:lang w:val="en_US" w:bidi="en_US"/>
        </w:rPr>
        <w:t>said</w:t>
      </w:r>
      <w:r>
        <w:rPr>
          <w:lang w:val="en_US" w:bidi="en_US"/>
        </w:rPr>
        <w:t xml:space="preserve"> introduces the rhetorical question that Martha asked in 10:40c. Consider whether in your language it would be more natural to use “said” or “asked” here.</w:t>
      </w:r>
    </w:p>
    <w:p>
      <w:pPr>
        <w:pStyle w:val="Heading5"/>
      </w:pPr>
      <w:r>
        <w:rPr>
          <w:lang w:val="en_US" w:bidi="en_US"/>
        </w:rPr>
        <w:t>10:40c</w:t>
      </w:r>
    </w:p>
    <w:p>
      <w:pPr/>
      <w:r>
        <w:rPr>
          <w:lang w:val="en_US" w:bidi="en_US"/>
        </w:rPr>
      </w:r>
      <w:r>
        <w:rPr>
          <w:b/>
          <w:lang w:val="en_US" w:bidi="en_US"/>
        </w:rPr>
        <w:t>“Lord, do You not care that my sister has left me to serve alone?</w:t>
      </w:r>
    </w:p>
    <w:p>
      <w:pPr>
        <w:pStyle w:val="ListBullet"/>
        <w:spacing w:line="240" w:lineRule="auto"/>
        <w:ind w:left="720"/>
      </w:pPr>
      <w:r>
        <w:rPr>
          <w:lang w:val="en_US" w:bidi="en_US"/>
        </w:rPr>
      </w:r>
      <w:r>
        <w:rPr>
          <w:lang w:val="en_US" w:bidi="en_US"/>
        </w:rPr>
        <w:t>“Lord, does it not matter to you</w:t>
      </w:r>
      <w:r>
        <w:rPr>
          <w:vertAlign w:val="superscript"/>
          <w:lang w:val="en_US" w:bidi="en_US"/>
        </w:rPr>
        <w:t>(sing)</w:t>
      </w:r>
      <w:r>
        <w:rPr>
          <w:lang w:val="en_US" w:bidi="en_US"/>
        </w:rPr>
        <w:t xml:space="preserve"> that my sister is </w:t>
      </w:r>
      <w:r>
        <w:rPr>
          <w:lang w:val="en_US" w:bidi="en_US"/>
        </w:rPr>
        <w:t>idle,</w:t>
      </w:r>
      <w:r>
        <w:rPr>
          <w:lang w:val="en_US" w:bidi="en_US"/>
        </w:rPr>
        <w:t xml:space="preserve"> letting me do the work all by myself?</w:t>
      </w:r>
    </w:p>
    <w:p>
      <w:pPr>
        <w:pStyle w:val="ListBullet"/>
        <w:spacing w:line="240" w:lineRule="auto"/>
        <w:ind w:left="720"/>
      </w:pPr>
      <w:r>
        <w:rPr>
          <w:lang w:val="en_US" w:bidi="en_US"/>
        </w:rPr>
      </w:r>
      <w:r>
        <w:rPr>
          <w:lang w:val="en_US" w:bidi="en_US"/>
        </w:rPr>
        <w:t xml:space="preserve">“Lord, I am the only one who has been working. My </w:t>
      </w:r>
      <w:r>
        <w:rPr>
          <w:lang w:val="en_US" w:bidi="en_US"/>
        </w:rPr>
        <w:t>younger</w:t>
      </w:r>
      <w:r>
        <w:rPr>
          <w:lang w:val="en_US" w:bidi="en_US"/>
        </w:rPr>
        <w:t xml:space="preserve"> sister has not been helping me. </w:t>
      </w:r>
      <w:r>
        <w:rPr>
          <w:lang w:val="en_US" w:bidi="en_US"/>
        </w:rPr>
        <w:t>That is not fair!</w:t>
      </w:r>
      <w:r>
        <w:rPr>
          <w:lang w:val="en_US" w:bidi="en_US"/>
        </w:rPr>
        <w:t xml:space="preserve"> Are you concerned about that?</w:t>
      </w:r>
    </w:p>
    <w:p>
      <w:pPr>
        <w:pStyle w:val="ListBullet"/>
        <w:spacing w:line="240" w:lineRule="auto"/>
        <w:ind w:left="720"/>
      </w:pPr>
      <w:r>
        <w:rPr>
          <w:lang w:val="en_US" w:bidi="en_US"/>
        </w:rPr>
      </w:r>
      <w:r>
        <w:rPr>
          <w:lang w:val="en_US" w:bidi="en_US"/>
        </w:rPr>
        <w:t xml:space="preserve">“Lord, surely you care that my </w:t>
      </w:r>
      <w:r>
        <w:rPr>
          <w:lang w:val="en_US" w:bidi="en_US"/>
        </w:rPr>
        <w:t>younger</w:t>
      </w:r>
      <w:r>
        <w:rPr>
          <w:lang w:val="en_US" w:bidi="en_US"/>
        </w:rPr>
        <w:t xml:space="preserve"> sister is not doing any of the work and I have to do it all by myself.</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is the same word that was used in 10:39. The text does not make explicit exactly what Martha implied when she used this title to address Jesus.</w:t>
      </w:r>
    </w:p>
    <w:p>
      <w:pPr/>
      <w:r>
        <w:rPr>
          <w:lang w:val="en_US" w:bidi="en_US"/>
        </w:rPr>
      </w:r>
      <w:r>
        <w:rPr>
          <w:lang w:val="en_US" w:bidi="en_US"/>
        </w:rPr>
        <w:t>Consider whether or not it is natural in your language to use the same title here and in 10:39. You should use a title that indicates great respect. For example:</w:t>
      </w:r>
    </w:p>
    <w:p>
      <w:pPr/>
      <w:r>
        <w:rPr>
          <w:lang w:val="en_US" w:bidi="en_US"/>
        </w:rPr>
      </w:r>
      <w:r>
        <w:rPr>
          <w:lang w:val="en_US" w:bidi="en_US"/>
        </w:rPr>
        <w:t>my</w:t>
      </w:r>
      <w:r>
        <w:rPr>
          <w:lang w:val="en_US" w:bidi="en_US"/>
        </w:rPr>
        <w:t xml:space="preserve"> Lord/Chief</w:t>
      </w:r>
    </w:p>
    <w:p>
      <w:pPr/>
      <w:r>
        <w:rPr>
          <w:lang w:val="en_US" w:bidi="en_US"/>
        </w:rPr>
      </w:r>
      <w:r>
        <w:rPr>
          <w:lang w:val="en_US" w:bidi="en_US"/>
        </w:rPr>
        <w:t>Master/Teacher</w:t>
      </w:r>
    </w:p>
    <w:p>
      <w:pPr/>
      <w:r>
        <w:rPr>
          <w:lang w:val="en_US" w:bidi="en_US"/>
        </w:rPr>
      </w:r>
      <w:r>
        <w:rPr>
          <w:lang w:val="en_US" w:bidi="en_US"/>
        </w:rPr>
        <w:t>See Lord, Context 3, in the Glossary.</w:t>
      </w:r>
    </w:p>
    <w:p>
      <w:pPr/>
      <w:r>
        <w:rPr>
          <w:lang w:val="en_US" w:bidi="en_US"/>
        </w:rPr>
      </w:r>
      <w:r>
        <w:rPr>
          <w:b/>
          <w:lang w:val="en_US" w:bidi="en_US"/>
        </w:rPr>
        <w:t>do You not care:</w:t>
      </w:r>
      <w:r>
        <w:rPr>
          <w:lang w:val="en_US" w:bidi="en_US"/>
        </w:rPr>
        <w:t xml:space="preserve"> The form of this question in Greek implies that Martha expected Jesus to respond by asking Mary to help her with the work.</w:t>
      </w:r>
    </w:p>
    <w:p>
      <w:pPr/>
      <w:r>
        <w:rPr>
          <w:lang w:val="en_US" w:bidi="en_US"/>
        </w:rPr>
      </w:r>
      <w:r>
        <w:rPr>
          <w:lang w:val="en_US" w:bidi="en_US"/>
        </w:rPr>
        <w:t>This is a rhetorical question. It functions as a complaint, and it indicates that Martha was disturbed and frustrated. It seemed unfair to her that Mary was not helping with the work, and she was frustrated that Jesus allowed that. The question implies that Jesus should have done something to correct the situation.</w:t>
      </w:r>
    </w:p>
    <w:p>
      <w:pPr/>
      <w:r>
        <w:rPr>
          <w:lang w:val="en_US" w:bidi="en_US"/>
        </w:rPr>
      </w:r>
      <w:r>
        <w:rPr>
          <w:lang w:val="en_US" w:bidi="en_US"/>
        </w:rPr>
        <w:t>There are at least three ways to translate this rhetorical question:</w:t>
      </w:r>
    </w:p>
    <w:p>
      <w:pPr>
        <w:pStyle w:val="ListBullet"/>
        <w:spacing w:line="240" w:lineRule="auto"/>
        <w:ind w:left="720"/>
      </w:pPr>
      <w:r>
        <w:rPr>
          <w:lang w:val="en_US" w:bidi="en_US"/>
        </w:rPr>
      </w:r>
      <w:r>
        <w:rPr>
          <w:lang w:val="en_US" w:bidi="en_US"/>
        </w:rPr>
        <w:t>As a rhetorical question. For example:</w:t>
      </w:r>
      <w:r>
        <w:rPr>
          <w:lang w:val="en_US" w:bidi="en_US"/>
        </w:rPr>
        <w:t>Lord, doesn’t it bother you that my sister has left me to do all the work by myself? (CEV)</w:t>
      </w:r>
      <w:r>
        <w:rPr>
          <w:lang w:val="en_US" w:bidi="en_US"/>
        </w:rPr>
        <w:t>Lord, do you think it is good that my sister is letting me do all the work by myself?</w:t>
      </w:r>
    </w:p>
    <w:p>
      <w:pPr>
        <w:pStyle w:val="ListBullet"/>
        <w:spacing w:line="240" w:lineRule="auto"/>
        <w:ind w:left="720"/>
      </w:pPr>
      <w:r>
        <w:rPr>
          <w:lang w:val="en_US" w:bidi="en_US"/>
        </w:rPr>
      </w:r>
      <w:r>
        <w:rPr>
          <w:lang w:val="en_US" w:bidi="en_US"/>
        </w:rPr>
        <w:t>As a statement and a question. For example:</w:t>
      </w:r>
      <w:r>
        <w:rPr>
          <w:lang w:val="en_US" w:bidi="en_US"/>
        </w:rPr>
        <w:t>Lord, my sister has left me to do the work by myself. Aren’t you concerned about that?</w:t>
      </w:r>
      <w:r>
        <w:rPr>
          <w:lang w:val="en_US" w:bidi="en_US"/>
        </w:rPr>
        <w:t xml:space="preserve">Lord, it seems unfair that my sister has left me to do the work by myself. </w:t>
      </w:r>
      <w:r>
        <w:rPr>
          <w:lang w:val="en_US" w:bidi="en_US"/>
        </w:rPr>
        <w:t>Don’t you agree?</w:t>
      </w:r>
    </w:p>
    <w:p>
      <w:pPr>
        <w:pStyle w:val="ListBullet"/>
        <w:spacing w:line="240" w:lineRule="auto"/>
        <w:ind w:left="720"/>
      </w:pPr>
      <w:r>
        <w:rPr>
          <w:lang w:val="en_US" w:bidi="en_US"/>
        </w:rPr>
      </w:r>
      <w:r>
        <w:rPr>
          <w:lang w:val="en_US" w:bidi="en_US"/>
        </w:rPr>
        <w:t>As a statement. For example:</w:t>
      </w:r>
      <w:r>
        <w:rPr>
          <w:lang w:val="en_US" w:bidi="en_US"/>
        </w:rPr>
        <w:t>Lord, surely you care that my sister has left me to do the work by myself!</w:t>
      </w:r>
      <w:r>
        <w:rPr>
          <w:lang w:val="en_US" w:bidi="en_US"/>
        </w:rPr>
        <w:t>Lord, my sister has left me to do the work by myself. I do not understand why you have done nothing about it.</w:t>
      </w:r>
    </w:p>
    <w:p>
      <w:pPr/>
      <w:r>
        <w:rPr>
          <w:lang w:val="en_US" w:bidi="en_US"/>
        </w:rPr>
      </w:r>
      <w:r>
        <w:rPr>
          <w:lang w:val="en_US" w:bidi="en_US"/>
        </w:rPr>
        <w:t>Express Martha’s frustration in a natural way in your language. Notice that some languages use a negative question, as in the CEV example. Other languages use a positive question to express the same meaning. Be sure to choose an appropriate form in your language to express Martha’s frustration.</w:t>
      </w:r>
    </w:p>
    <w:p>
      <w:pPr/>
      <w:r>
        <w:rPr>
          <w:lang w:val="en_US" w:bidi="en_US"/>
        </w:rPr>
      </w:r>
      <w:r>
        <w:rPr>
          <w:b/>
          <w:lang w:val="en_US" w:bidi="en_US"/>
        </w:rPr>
        <w:t>my sister has left me to serve alone:</w:t>
      </w:r>
      <w:r>
        <w:rPr>
          <w:lang w:val="en_US" w:bidi="en_US"/>
        </w:rPr>
        <w:t xml:space="preserve"> This statement implies that Martha did all the work of serving the guests herself. It implies that Mary had not helped Martha at all. Another way to translate this is:</w:t>
      </w:r>
    </w:p>
    <w:p>
      <w:pPr/>
      <w:r>
        <w:rPr>
          <w:lang w:val="en_US" w:bidi="en_US"/>
        </w:rPr>
      </w:r>
      <w:r>
        <w:rPr>
          <w:lang w:val="en_US" w:bidi="en_US"/>
        </w:rPr>
        <w:t>my sister just sits here while I do all the work (NLT)</w:t>
      </w:r>
    </w:p>
    <w:p>
      <w:pPr/>
      <w:r>
        <w:rPr>
          <w:lang w:val="en_US" w:bidi="en_US"/>
        </w:rPr>
      </w:r>
      <w:r>
        <w:rPr>
          <w:b/>
          <w:lang w:val="en_US" w:bidi="en_US"/>
        </w:rPr>
        <w:t>my sister:</w:t>
      </w:r>
      <w:r>
        <w:rPr>
          <w:lang w:val="en_US" w:bidi="en_US"/>
        </w:rPr>
        <w:t xml:space="preserve"> The phrase </w:t>
      </w:r>
      <w:r>
        <w:rPr>
          <w:i/>
          <w:lang w:val="en_US" w:bidi="en_US"/>
        </w:rPr>
        <w:t>my sister</w:t>
      </w:r>
      <w:r>
        <w:rPr>
          <w:lang w:val="en_US" w:bidi="en_US"/>
        </w:rPr>
        <w:t xml:space="preserve"> refers here to Martha’s younger sister Mary. Use a natural way in your language for a woman to refer to her younger sister. In some languages it may be necessary to supply the name “Mary” here.</w:t>
      </w:r>
    </w:p>
    <w:p>
      <w:pPr/>
      <w:r>
        <w:rPr>
          <w:lang w:val="en_US" w:bidi="en_US"/>
        </w:rPr>
      </w:r>
      <w:r>
        <w:rPr>
          <w:b/>
          <w:lang w:val="en_US" w:bidi="en_US"/>
        </w:rPr>
        <w:t>to serve:</w:t>
      </w:r>
      <w:r>
        <w:rPr>
          <w:lang w:val="en_US" w:bidi="en_US"/>
        </w:rPr>
        <w:t xml:space="preserve"> In this context the Greek phrase that the BSB translates as </w:t>
      </w:r>
      <w:r>
        <w:rPr>
          <w:i/>
          <w:lang w:val="en_US" w:bidi="en_US"/>
        </w:rPr>
        <w:t>to serve</w:t>
      </w:r>
      <w:r>
        <w:rPr>
          <w:lang w:val="en_US" w:bidi="en_US"/>
        </w:rPr>
        <w:t xml:space="preserve"> refers to doing the necessary household tasks. Here these tasks probably involved cooking and preparing to serve food to the guests.</w:t>
      </w:r>
    </w:p>
    <w:p>
      <w:pPr/>
      <w:r>
        <w:rPr>
          <w:lang w:val="en_US" w:bidi="en_US"/>
        </w:rPr>
      </w:r>
      <w:r>
        <w:rPr>
          <w:b/>
          <w:lang w:val="en_US" w:bidi="en_US"/>
        </w:rPr>
        <w:t>alone:</w:t>
      </w:r>
      <w:r>
        <w:rPr>
          <w:lang w:val="en_US" w:bidi="en_US"/>
        </w:rPr>
        <w:t xml:space="preserve"> The Greek phrase that the BSB translates as </w:t>
      </w:r>
      <w:r>
        <w:rPr>
          <w:i/>
          <w:lang w:val="en_US" w:bidi="en_US"/>
        </w:rPr>
        <w:t>alone</w:t>
      </w:r>
      <w:r>
        <w:rPr>
          <w:lang w:val="en_US" w:bidi="en_US"/>
        </w:rPr>
        <w:t xml:space="preserve"> here means “by myself” or “without any help.”</w:t>
      </w:r>
    </w:p>
    <w:p>
      <w:pPr>
        <w:pStyle w:val="Heading5"/>
      </w:pPr>
      <w:r>
        <w:rPr>
          <w:lang w:val="en_US" w:bidi="en_US"/>
        </w:rPr>
        <w:t>10:40d</w:t>
      </w:r>
    </w:p>
    <w:p>
      <w:pPr/>
      <w:r>
        <w:rPr>
          <w:lang w:val="en_US" w:bidi="en_US"/>
        </w:rPr>
      </w:r>
      <w:r>
        <w:rPr>
          <w:b/>
          <w:lang w:val="en_US" w:bidi="en_US"/>
        </w:rPr>
        <w:t>Tell her to help me!”</w:t>
      </w:r>
    </w:p>
    <w:p>
      <w:pPr>
        <w:pStyle w:val="ListBullet"/>
        <w:spacing w:line="240" w:lineRule="auto"/>
        <w:ind w:left="720"/>
      </w:pPr>
      <w:r>
        <w:rPr>
          <w:lang w:val="en_US" w:bidi="en_US"/>
        </w:rPr>
      </w:r>
      <w:r>
        <w:rPr>
          <w:lang w:val="en_US" w:bidi="en_US"/>
        </w:rPr>
        <w:t>Please</w:t>
      </w:r>
      <w:r>
        <w:rPr>
          <w:lang w:val="en_US" w:bidi="en_US"/>
        </w:rPr>
        <w:t xml:space="preserve"> tell her to help me!”</w:t>
      </w:r>
    </w:p>
    <w:p>
      <w:pPr>
        <w:pStyle w:val="ListBullet"/>
        <w:spacing w:line="240" w:lineRule="auto"/>
        <w:ind w:left="720"/>
      </w:pPr>
      <w:r>
        <w:rPr>
          <w:lang w:val="en_US" w:bidi="en_US"/>
        </w:rPr>
      </w:r>
      <w:r>
        <w:rPr>
          <w:lang w:val="en_US" w:bidi="en_US"/>
        </w:rPr>
        <w:t>Please</w:t>
      </w:r>
      <w:r>
        <w:rPr>
          <w:lang w:val="en_US" w:bidi="en_US"/>
        </w:rPr>
        <w:t xml:space="preserve"> speak to her </w:t>
      </w:r>
      <w:r>
        <w:rPr>
          <w:lang w:val="en_US" w:bidi="en_US"/>
        </w:rPr>
        <w:t>about it</w:t>
      </w:r>
      <w:r>
        <w:rPr>
          <w:lang w:val="en_US" w:bidi="en_US"/>
        </w:rPr>
        <w:t xml:space="preserve"> so she will help me.”</w:t>
      </w:r>
    </w:p>
    <w:p>
      <w:pPr>
        <w:pStyle w:val="ListBullet"/>
        <w:spacing w:line="240" w:lineRule="auto"/>
        <w:ind w:left="720"/>
      </w:pPr>
      <w:r>
        <w:rPr>
          <w:lang w:val="en_US" w:bidi="en_US"/>
        </w:rPr>
      </w:r>
      <w:r>
        <w:rPr>
          <w:lang w:val="en_US" w:bidi="en_US"/>
        </w:rPr>
        <w:t>So please</w:t>
      </w:r>
      <w:r>
        <w:rPr>
          <w:lang w:val="en_US" w:bidi="en_US"/>
        </w:rPr>
        <w:t xml:space="preserve"> tell her that she should come and help me.”</w:t>
      </w:r>
    </w:p>
    <w:p>
      <w:pPr/>
      <w:r>
        <w:rPr>
          <w:lang w:val="en_US" w:bidi="en_US"/>
        </w:rPr>
      </w:r>
      <w:r>
        <w:rPr>
          <w:b/>
          <w:lang w:val="en_US" w:bidi="en_US"/>
        </w:rPr>
        <w:t>Tell her to help me!:</w:t>
      </w:r>
      <w:r>
        <w:rPr>
          <w:lang w:val="en_US" w:bidi="en_US"/>
        </w:rPr>
        <w:t xml:space="preserve"> In Greek, this clause is literally, “Speak, therefore, to her so that she will help me.” The conjunction “therefore” introduces a conclusion. Martha believed that Jesus should care about her situation, so she asked him to tell Mary to help. Some English versions use the words “so” or “then” to imply this. For example:</w:t>
      </w:r>
    </w:p>
    <w:p>
      <w:pPr/>
      <w:r>
        <w:rPr>
          <w:lang w:val="en_US" w:bidi="en_US"/>
        </w:rPr>
      </w:r>
      <w:r>
        <w:rPr>
          <w:lang w:val="en_US" w:bidi="en_US"/>
        </w:rPr>
        <w:t>Tell her then to help me. (NRSV)</w:t>
      </w:r>
    </w:p>
    <w:p>
      <w:pPr/>
      <w:r>
        <w:rPr>
          <w:lang w:val="en_US" w:bidi="en_US"/>
        </w:rPr>
      </w:r>
      <w:r>
        <w:rPr>
          <w:lang w:val="en_US" w:bidi="en_US"/>
        </w:rPr>
        <w:t>So kindly ask her to come and work with me.</w:t>
      </w:r>
    </w:p>
    <w:p>
      <w:pPr/>
      <w:r>
        <w:rPr>
          <w:lang w:val="en_US" w:bidi="en_US"/>
        </w:rPr>
      </w:r>
      <w:r>
        <w:rPr>
          <w:lang w:val="en_US" w:bidi="en_US"/>
        </w:rPr>
        <w:t>In some languages, a literal translation may seem as if Martha was rudely ordering Jesus to do something. You should translate this clause in a way that indicates proper respect. For example:</w:t>
      </w:r>
    </w:p>
    <w:p>
      <w:pPr/>
      <w:r>
        <w:rPr>
          <w:lang w:val="en_US" w:bidi="en_US"/>
        </w:rPr>
      </w:r>
      <w:r>
        <w:rPr>
          <w:lang w:val="en_US" w:bidi="en_US"/>
        </w:rPr>
        <w:t>Please tell her to help me. (NJB)</w:t>
      </w:r>
      <w:r>
        <w:rPr>
          <w:lang w:val="en_US" w:bidi="en_US"/>
        </w:rPr>
      </w:r>
      <w:r>
        <w:rPr>
          <w:lang w:val="en_US" w:bidi="en_US"/>
        </w:rPr>
      </w:r>
    </w:p>
    <w:p>
      <w:pPr/>
      <w:r>
        <w:rPr>
          <w:lang w:val="en_US" w:bidi="en_US"/>
        </w:rPr>
      </w:r>
    </w:p>
    <w:p>
      <w:pPr>
        <w:pStyle w:val="Heading2"/>
      </w:pPr>
      <w:r>
        <w:rPr>
          <w:lang w:val="en_US" w:bidi="en_US"/>
        </w:rPr>
        <w:t>Luke 10:41</w:t>
      </w:r>
      <w:r>
        <w:rPr>
          <w:lang w:val="en_US" w:bidi="en_US"/>
        </w:rPr>
      </w:r>
    </w:p>
    <w:p>
      <w:pPr>
        <w:pStyle w:val="Heading4"/>
      </w:pPr>
      <w:r>
        <w:rPr>
          <w:lang w:val="en_US" w:bidi="en_US"/>
        </w:rPr>
        <w:t>Section 10:38–42: Jesus visited Martha and Mary</w:t>
      </w:r>
    </w:p>
    <w:p>
      <w:pPr/>
      <w:r>
        <w:rPr>
          <w:lang w:val="en_US" w:bidi="en_US"/>
        </w:rPr>
      </w:r>
      <w:r>
        <w:rPr>
          <w:lang w:val="en_US" w:bidi="en_US"/>
        </w:rPr>
        <w:t>Jesus and his disciples continued to travel from place to place. During their travels, Jesus went to the home of two sisters, Martha and Mary. Their brother was Lazarus. This short section shows how the two sisters considered different things to be important. It also tells what Jesus thought about those things.</w:t>
      </w:r>
    </w:p>
    <w:p>
      <w:pPr/>
      <w:r>
        <w:rPr>
          <w:lang w:val="en_US" w:bidi="en_US"/>
        </w:rPr>
      </w:r>
      <w:r>
        <w:rPr>
          <w:lang w:val="en_US" w:bidi="en_US"/>
        </w:rPr>
        <w:t>Some other examples for section headings are:</w:t>
      </w:r>
    </w:p>
    <w:p>
      <w:pPr/>
      <w:r>
        <w:rPr>
          <w:lang w:val="en_US" w:bidi="en_US"/>
        </w:rPr>
      </w:r>
      <w:r>
        <w:rPr>
          <w:lang w:val="en_US" w:bidi="en_US"/>
        </w:rPr>
        <w:t>Jesus’ Visit with Martha and Mary</w:t>
      </w:r>
    </w:p>
    <w:p>
      <w:pPr/>
      <w:r>
        <w:rPr>
          <w:lang w:val="en_US" w:bidi="en_US"/>
        </w:rPr>
      </w:r>
      <w:r>
        <w:rPr>
          <w:lang w:val="en_US" w:bidi="en_US"/>
        </w:rPr>
        <w:t>At the Home of Martha and Mary (NIV)</w:t>
      </w:r>
    </w:p>
    <w:p>
      <w:pPr/>
      <w:r>
        <w:rPr>
          <w:lang w:val="en_US" w:bidi="en_US"/>
        </w:rPr>
      </w:r>
      <w:r>
        <w:rPr>
          <w:lang w:val="en_US" w:bidi="en_US"/>
        </w:rPr>
        <w:t>This story occurs only in Luke.</w:t>
      </w:r>
    </w:p>
    <w:p>
      <w:pPr/>
      <w:r>
        <w:rPr>
          <w:lang w:val="en_US" w:bidi="en_US"/>
        </w:rPr>
      </w:r>
    </w:p>
    <w:p>
      <w:pPr>
        <w:pStyle w:val="Heading5"/>
      </w:pPr>
      <w:r>
        <w:rPr>
          <w:lang w:val="en_US" w:bidi="en_US"/>
        </w:rPr>
        <w:t>10:41–42</w:t>
      </w:r>
    </w:p>
    <w:p>
      <w:pPr/>
      <w:r>
        <w:rPr>
          <w:lang w:val="en_US" w:bidi="en_US"/>
        </w:rPr>
      </w:r>
      <w:r>
        <w:rPr>
          <w:lang w:val="en_US" w:bidi="en_US"/>
        </w:rPr>
        <w:t>This verse begins with a Greek conjunction that several translations (ESV, NASB, NCV, NET, NLT, RSV) translate as “but.” They do this in order to show that in these verses, the Lord Jesus responded to Martha in a way that Martha did not expect. For example:</w:t>
      </w:r>
    </w:p>
    <w:p>
      <w:pPr/>
      <w:r>
        <w:rPr>
          <w:lang w:val="en_US" w:bidi="en_US"/>
        </w:rPr>
      </w:r>
      <w:r>
        <w:rPr>
          <w:lang w:val="en_US" w:bidi="en_US"/>
        </w:rPr>
        <w:t>But the Lord answered her (RSV)</w:t>
      </w:r>
    </w:p>
    <w:p>
      <w:pPr/>
      <w:r>
        <w:rPr>
          <w:lang w:val="en_US" w:bidi="en_US"/>
        </w:rPr>
      </w:r>
      <w:r>
        <w:rPr>
          <w:lang w:val="en_US" w:bidi="en_US"/>
        </w:rPr>
        <w:t>The BSB and many other translations do not translate this conjunction. Introduce this unexpected answer in a natural way in your language.</w:t>
      </w:r>
    </w:p>
    <w:p>
      <w:pPr>
        <w:pStyle w:val="Heading5"/>
      </w:pPr>
      <w:r>
        <w:rPr>
          <w:lang w:val="en_US" w:bidi="en_US"/>
        </w:rPr>
        <w:t>10:41</w:t>
      </w:r>
    </w:p>
    <w:p>
      <w:pPr/>
      <w:r>
        <w:rPr>
          <w:lang w:val="en_US" w:bidi="en_US"/>
        </w:rPr>
      </w:r>
      <w:r>
        <w:rPr>
          <w:b/>
          <w:lang w:val="en_US" w:bidi="en_US"/>
        </w:rPr>
        <w:t>“Martha, Martha,” the Lord replied, “you are worried and upset about many things.</w:t>
      </w:r>
    </w:p>
    <w:p>
      <w:pPr>
        <w:pStyle w:val="ListBullet"/>
        <w:spacing w:line="240" w:lineRule="auto"/>
        <w:ind w:left="720"/>
      </w:pPr>
      <w:r>
        <w:rPr>
          <w:lang w:val="en_US" w:bidi="en_US"/>
        </w:rPr>
      </w:r>
      <w:r>
        <w:rPr>
          <w:lang w:val="en_US" w:bidi="en_US"/>
        </w:rPr>
        <w:t>The Lord replied, “Martha, Martha, you are troubled and concerned about many things.</w:t>
      </w:r>
    </w:p>
    <w:p>
      <w:pPr>
        <w:pStyle w:val="ListBullet"/>
        <w:spacing w:line="240" w:lineRule="auto"/>
        <w:ind w:left="720"/>
      </w:pPr>
      <w:r>
        <w:rPr>
          <w:lang w:val="en_US" w:bidi="en_US"/>
        </w:rPr>
      </w:r>
      <w:r>
        <w:rPr>
          <w:lang w:val="en_US" w:bidi="en_US"/>
        </w:rPr>
        <w:t>But</w:t>
      </w:r>
      <w:r>
        <w:rPr>
          <w:lang w:val="en_US" w:bidi="en_US"/>
        </w:rPr>
        <w:t xml:space="preserve"> the Lord said, “Martha, </w:t>
      </w:r>
      <w:r>
        <w:rPr>
          <w:lang w:val="en_US" w:bidi="en_US"/>
        </w:rPr>
        <w:t>my dear friend,</w:t>
      </w:r>
      <w:r>
        <w:rPr>
          <w:lang w:val="en_US" w:bidi="en_US"/>
        </w:rPr>
        <w:t xml:space="preserve"> you are letting many things bother and worry you.</w:t>
      </w:r>
    </w:p>
    <w:p>
      <w:pPr>
        <w:pStyle w:val="ListBullet"/>
        <w:spacing w:line="240" w:lineRule="auto"/>
        <w:ind w:left="720"/>
      </w:pPr>
      <w:r>
        <w:rPr>
          <w:lang w:val="en_US" w:bidi="en_US"/>
        </w:rPr>
      </w:r>
      <w:r>
        <w:rPr>
          <w:lang w:val="en_US" w:bidi="en_US"/>
        </w:rPr>
        <w:t xml:space="preserve">The Lord said to her, “Martha, </w:t>
      </w:r>
      <w:r>
        <w:rPr>
          <w:lang w:val="en_US" w:bidi="en_US"/>
        </w:rPr>
        <w:t>I am concerned about you.</w:t>
      </w:r>
      <w:r>
        <w:rPr>
          <w:lang w:val="en_US" w:bidi="en_US"/>
        </w:rPr>
        <w:t xml:space="preserve"> You are bothered by so many things.</w:t>
      </w:r>
    </w:p>
    <w:p>
      <w:pPr/>
      <w:r>
        <w:rPr>
          <w:lang w:val="en_US" w:bidi="en_US"/>
        </w:rPr>
      </w:r>
      <w:r>
        <w:rPr>
          <w:b/>
          <w:lang w:val="en_US" w:bidi="en_US"/>
        </w:rPr>
        <w:t>Martha, Martha:</w:t>
      </w:r>
      <w:r>
        <w:rPr>
          <w:lang w:val="en_US" w:bidi="en_US"/>
        </w:rPr>
        <w:t xml:space="preserve"> Jesus spoke Martha’s name twice in order to show affection or concern for her. Even though he was correcting her, he was speaking gently to her. He was not harshly rebuking her. If a literal translation would not convey this meaning in your language, it may be necessary to express the affection or gentleness in a different way. For example:</w:t>
      </w:r>
    </w:p>
    <w:p>
      <w:pPr/>
      <w:r>
        <w:rPr>
          <w:lang w:val="en_US" w:bidi="en_US"/>
        </w:rPr>
      </w:r>
      <w:r>
        <w:rPr>
          <w:lang w:val="en_US" w:bidi="en_US"/>
        </w:rPr>
        <w:t>My dear Martha (NLT)</w:t>
      </w:r>
    </w:p>
    <w:p>
      <w:pPr/>
      <w:r>
        <w:rPr>
          <w:lang w:val="en_US" w:bidi="en_US"/>
        </w:rPr>
      </w:r>
      <w:r>
        <w:rPr>
          <w:lang w:val="en_US" w:bidi="en_US"/>
        </w:rPr>
        <w:t>Be sure that the expression you use does not express any kind of sexual interest or inappropriate affection.</w:t>
      </w:r>
    </w:p>
    <w:p>
      <w:pPr/>
      <w:r>
        <w:rPr>
          <w:lang w:val="en_US" w:bidi="en_US"/>
        </w:rPr>
      </w:r>
      <w:r>
        <w:rPr>
          <w:lang w:val="en_US" w:bidi="en_US"/>
        </w:rPr>
        <w:t>In some languages it may not be natural for Jesus to address Martha by name here. If that is true in your language, you may need to express the concern or gentleness in another way. For example:</w:t>
      </w:r>
    </w:p>
    <w:p>
      <w:pPr/>
      <w:r>
        <w:rPr>
          <w:lang w:val="en_US" w:bidi="en_US"/>
        </w:rPr>
      </w:r>
      <w:r>
        <w:rPr>
          <w:lang w:val="en_US" w:bidi="en_US"/>
        </w:rPr>
        <w:t>I am concerned about you.</w:t>
      </w:r>
    </w:p>
    <w:p>
      <w:pPr/>
      <w:r>
        <w:rPr>
          <w:lang w:val="en_US" w:bidi="en_US"/>
        </w:rPr>
      </w:r>
      <w:r>
        <w:rPr>
          <w:b/>
          <w:lang w:val="en_US" w:bidi="en_US"/>
        </w:rPr>
        <w:t>the Lord replied:</w:t>
      </w:r>
      <w:r>
        <w:rPr>
          <w:lang w:val="en_US" w:bidi="en_US"/>
        </w:rPr>
        <w:t xml:space="preserve"> </w:t>
      </w:r>
      <w:r>
        <w:rPr>
          <w:lang w:val="en_US" w:bidi="en_US"/>
        </w:rPr>
        <w:t>There is a textual issue here. Instead of “the Lord,” some Greek manuscripts have “Jesus.” The words “the Lord” have the earliest manuscript support. Of the fourteen English versions consulted, only the KJV follows the manuscripts that have “Jesus.” This matter is a translation issue in many languages, and translators should refer to Jesus in a way that is clear and natural here.</w:t>
      </w:r>
      <w:r>
        <w:rPr>
          <w:lang w:val="en_US" w:bidi="en_US"/>
        </w:rPr>
        <w:t xml:space="preserve"> The BSB has placed </w:t>
      </w:r>
      <w:r>
        <w:rPr>
          <w:i/>
          <w:lang w:val="en_US" w:bidi="en_US"/>
        </w:rPr>
        <w:t>the Lord replied</w:t>
      </w:r>
      <w:r>
        <w:rPr>
          <w:lang w:val="en_US" w:bidi="en_US"/>
        </w:rPr>
        <w:t xml:space="preserve"> in the middle of what Jesus said. In the Greek text, these words are at the beginning of the verse. Place them wherever it is natural in your language. You should continue to refer to the Lord here in a clear and natural way in your language.</w:t>
      </w:r>
    </w:p>
    <w:p>
      <w:pPr/>
      <w:r>
        <w:rPr>
          <w:lang w:val="en_US" w:bidi="en_US"/>
        </w:rPr>
      </w:r>
      <w:r>
        <w:rPr>
          <w:b/>
          <w:lang w:val="en_US" w:bidi="en_US"/>
        </w:rPr>
        <w:t>worried and upset:</w:t>
      </w:r>
      <w:r>
        <w:rPr>
          <w:lang w:val="en_US" w:bidi="en_US"/>
        </w:rPr>
        <w:t xml:space="preserve"> In this context the two Greek words that the BSB translates as </w:t>
      </w:r>
      <w:r>
        <w:rPr>
          <w:i/>
          <w:lang w:val="en_US" w:bidi="en_US"/>
        </w:rPr>
        <w:t>worried and upset</w:t>
      </w:r>
      <w:r>
        <w:rPr>
          <w:lang w:val="en_US" w:bidi="en_US"/>
        </w:rPr>
        <w:t xml:space="preserve"> have almost the same meaning. Together they are more emphatic than either word used alone. If it is not natural in your language to use two slightly different descriptions in this way, you may use one word or expression. Consider how to make this expression more emphatic in your language. For example:</w:t>
      </w:r>
    </w:p>
    <w:p>
      <w:pPr/>
      <w:r>
        <w:rPr>
          <w:lang w:val="en_US" w:bidi="en_US"/>
        </w:rPr>
      </w:r>
      <w:r>
        <w:rPr>
          <w:lang w:val="en_US" w:bidi="en_US"/>
        </w:rPr>
        <w:t>…you are so upset over all these details! (NLT96)</w:t>
      </w:r>
    </w:p>
    <w:p>
      <w:pPr/>
      <w:r>
        <w:rPr>
          <w:lang w:val="en_US" w:bidi="en_US"/>
        </w:rPr>
      </w:r>
      <w:r>
        <w:rPr>
          <w:lang w:val="en_US" w:bidi="en_US"/>
        </w:rPr>
        <w:t>In some languages you may have an idiom to express this.</w:t>
      </w:r>
    </w:p>
    <w:p>
      <w:pPr/>
      <w:r>
        <w:rPr>
          <w:lang w:val="en_US" w:bidi="en_US"/>
        </w:rPr>
      </w:r>
      <w:r>
        <w:rPr>
          <w:b/>
          <w:lang w:val="en_US" w:bidi="en_US"/>
        </w:rPr>
        <w:t>worried:</w:t>
      </w:r>
      <w:r>
        <w:rPr>
          <w:lang w:val="en_US" w:bidi="en_US"/>
        </w:rPr>
        <w:t xml:space="preserve"> The Greek word that the BSB translates as </w:t>
      </w:r>
      <w:r>
        <w:rPr>
          <w:i/>
          <w:lang w:val="en_US" w:bidi="en_US"/>
        </w:rPr>
        <w:t>worried</w:t>
      </w:r>
      <w:r>
        <w:rPr>
          <w:lang w:val="en_US" w:bidi="en_US"/>
        </w:rPr>
        <w:t xml:space="preserve"> means “anxious” or “concerned.”</w:t>
      </w:r>
    </w:p>
    <w:p>
      <w:pPr/>
      <w:r>
        <w:rPr>
          <w:lang w:val="en_US" w:bidi="en_US"/>
        </w:rPr>
      </w:r>
      <w:r>
        <w:rPr>
          <w:b/>
          <w:lang w:val="en_US" w:bidi="en_US"/>
        </w:rPr>
        <w:t>upset:</w:t>
      </w:r>
      <w:r>
        <w:rPr>
          <w:lang w:val="en_US" w:bidi="en_US"/>
        </w:rPr>
        <w:t xml:space="preserve"> The Greek word that the BSB translates as </w:t>
      </w:r>
      <w:r>
        <w:rPr>
          <w:i/>
          <w:lang w:val="en_US" w:bidi="en_US"/>
        </w:rPr>
        <w:t>upset</w:t>
      </w:r>
      <w:r>
        <w:rPr>
          <w:lang w:val="en_US" w:bidi="en_US"/>
        </w:rPr>
        <w:t xml:space="preserve"> means “troubled” or “bothered.”</w:t>
      </w:r>
    </w:p>
    <w:p>
      <w:pPr/>
      <w:r>
        <w:rPr>
          <w:lang w:val="en_US" w:bidi="en_US"/>
        </w:rPr>
      </w:r>
      <w:r>
        <w:rPr>
          <w:b/>
          <w:lang w:val="en_US" w:bidi="en_US"/>
        </w:rPr>
        <w:t>about many things:</w:t>
      </w:r>
      <w:r>
        <w:rPr>
          <w:lang w:val="en_US" w:bidi="en_US"/>
        </w:rPr>
        <w:t xml:space="preserve"> The phrase </w:t>
      </w:r>
      <w:r>
        <w:rPr>
          <w:i/>
          <w:lang w:val="en_US" w:bidi="en_US"/>
        </w:rPr>
        <w:t>many things</w:t>
      </w:r>
      <w:r>
        <w:rPr>
          <w:lang w:val="en_US" w:bidi="en_US"/>
        </w:rPr>
        <w:t xml:space="preserve"> probably refers here to the various things that Martha was doing to prepare a special meal for the guests.</w:t>
      </w:r>
      <w:r>
        <w:rPr>
          <w:lang w:val="en_US" w:bidi="en_US"/>
        </w:rPr>
      </w:r>
      <w:r>
        <w:rPr>
          <w:lang w:val="en_US" w:bidi="en_US"/>
        </w:rPr>
      </w:r>
    </w:p>
    <w:p>
      <w:pPr/>
      <w:r>
        <w:rPr>
          <w:lang w:val="en_US" w:bidi="en_US"/>
        </w:rPr>
      </w:r>
    </w:p>
    <w:p>
      <w:pPr>
        <w:pStyle w:val="Heading2"/>
      </w:pPr>
      <w:r>
        <w:rPr>
          <w:lang w:val="en_US" w:bidi="en_US"/>
        </w:rPr>
        <w:t>Luke 10:42</w:t>
      </w:r>
      <w:r>
        <w:rPr>
          <w:lang w:val="en_US" w:bidi="en_US"/>
        </w:rPr>
      </w:r>
    </w:p>
    <w:p>
      <w:pPr>
        <w:pStyle w:val="Heading4"/>
      </w:pPr>
      <w:r>
        <w:rPr>
          <w:lang w:val="en_US" w:bidi="en_US"/>
        </w:rPr>
        <w:t>Section 10:38–42: Jesus visited Martha and Mary</w:t>
      </w:r>
    </w:p>
    <w:p>
      <w:pPr/>
      <w:r>
        <w:rPr>
          <w:lang w:val="en_US" w:bidi="en_US"/>
        </w:rPr>
      </w:r>
      <w:r>
        <w:rPr>
          <w:lang w:val="en_US" w:bidi="en_US"/>
        </w:rPr>
        <w:t>Jesus and his disciples continued to travel from place to place. During their travels, Jesus went to the home of two sisters, Martha and Mary. Their brother was Lazarus. This short section shows how the two sisters considered different things to be important. It also tells what Jesus thought about those things.</w:t>
      </w:r>
    </w:p>
    <w:p>
      <w:pPr/>
      <w:r>
        <w:rPr>
          <w:lang w:val="en_US" w:bidi="en_US"/>
        </w:rPr>
      </w:r>
      <w:r>
        <w:rPr>
          <w:lang w:val="en_US" w:bidi="en_US"/>
        </w:rPr>
        <w:t>Some other examples for section headings are:</w:t>
      </w:r>
    </w:p>
    <w:p>
      <w:pPr/>
      <w:r>
        <w:rPr>
          <w:lang w:val="en_US" w:bidi="en_US"/>
        </w:rPr>
      </w:r>
      <w:r>
        <w:rPr>
          <w:lang w:val="en_US" w:bidi="en_US"/>
        </w:rPr>
        <w:t>Jesus’ Visit with Martha and Mary</w:t>
      </w:r>
    </w:p>
    <w:p>
      <w:pPr/>
      <w:r>
        <w:rPr>
          <w:lang w:val="en_US" w:bidi="en_US"/>
        </w:rPr>
      </w:r>
      <w:r>
        <w:rPr>
          <w:lang w:val="en_US" w:bidi="en_US"/>
        </w:rPr>
        <w:t>At the Home of Martha and Mary (NIV)</w:t>
      </w:r>
    </w:p>
    <w:p>
      <w:pPr/>
      <w:r>
        <w:rPr>
          <w:lang w:val="en_US" w:bidi="en_US"/>
        </w:rPr>
      </w:r>
      <w:r>
        <w:rPr>
          <w:lang w:val="en_US" w:bidi="en_US"/>
        </w:rPr>
        <w:t>This story occurs only in Luke.</w:t>
      </w:r>
    </w:p>
    <w:p>
      <w:pPr/>
      <w:r>
        <w:rPr>
          <w:lang w:val="en_US" w:bidi="en_US"/>
        </w:rPr>
      </w:r>
    </w:p>
    <w:p>
      <w:pPr>
        <w:pStyle w:val="Heading5"/>
      </w:pPr>
      <w:r>
        <w:rPr>
          <w:lang w:val="en_US" w:bidi="en_US"/>
        </w:rPr>
        <w:t>10:42a</w:t>
      </w:r>
    </w:p>
    <w:p>
      <w:pPr/>
      <w:r>
        <w:rPr>
          <w:lang w:val="en_US" w:bidi="en_US"/>
        </w:rPr>
      </w:r>
      <w:r>
        <w:rPr>
          <w:b/>
          <w:lang w:val="en_US" w:bidi="en_US"/>
        </w:rPr>
        <w:t>But only one thing is necessary.</w:t>
      </w:r>
    </w:p>
    <w:p>
      <w:pPr>
        <w:pStyle w:val="ListBullet"/>
        <w:spacing w:line="240" w:lineRule="auto"/>
        <w:ind w:left="720"/>
      </w:pPr>
      <w:r>
        <w:rPr>
          <w:lang w:val="en_US" w:bidi="en_US"/>
        </w:rPr>
      </w:r>
      <w:r>
        <w:rPr>
          <w:lang w:val="en_US" w:bidi="en_US"/>
        </w:rPr>
        <w:t>But there is only one thing that is truly important/necessary.</w:t>
      </w:r>
    </w:p>
    <w:p>
      <w:pPr>
        <w:pStyle w:val="ListBullet"/>
        <w:spacing w:line="240" w:lineRule="auto"/>
        <w:ind w:left="720"/>
      </w:pPr>
      <w:r>
        <w:rPr>
          <w:lang w:val="en_US" w:bidi="en_US"/>
        </w:rPr>
      </w:r>
      <w:r>
        <w:rPr>
          <w:lang w:val="en_US" w:bidi="en_US"/>
        </w:rPr>
        <w:t>People/You</w:t>
      </w:r>
      <w:r>
        <w:rPr>
          <w:vertAlign w:val="superscript"/>
          <w:lang w:val="en_US" w:bidi="en_US"/>
        </w:rPr>
        <w:t>(sing)</w:t>
      </w:r>
      <w:r>
        <w:rPr>
          <w:lang w:val="en_US" w:bidi="en_US"/>
        </w:rPr>
        <w:t xml:space="preserve"> only need one thing,</w:t>
      </w:r>
    </w:p>
    <w:p>
      <w:pPr/>
      <w:r>
        <w:rPr>
          <w:lang w:val="en_US" w:bidi="en_US"/>
        </w:rPr>
      </w:r>
      <w:r>
        <w:rPr>
          <w:b/>
          <w:lang w:val="en_US" w:bidi="en_US"/>
        </w:rPr>
        <w:t>But only one thing is necessary:</w:t>
      </w:r>
      <w:r>
        <w:rPr>
          <w:lang w:val="en_US" w:bidi="en_US"/>
        </w:rPr>
        <w:t xml:space="preserve"> There is a textual issue here:</w:t>
      </w:r>
    </w:p>
    <w:p>
      <w:pPr>
        <w:pStyle w:val="ListNumber"/>
        <w:numPr>
          <w:ilvl w:val="0"/>
          <w:numId w:val="210"/>
        </w:numPr>
        <w:spacing w:line="240" w:lineRule="auto"/>
        <w:ind w:left="720"/>
      </w:pPr>
      <w:r>
        <w:rPr>
          <w:lang w:val="en_US" w:bidi="en_US"/>
        </w:rPr>
      </w:r>
      <w:r>
        <w:rPr>
          <w:lang w:val="en_US" w:bidi="en_US"/>
        </w:rPr>
        <w:t xml:space="preserve">Some Greek texts say: “but </w:t>
      </w:r>
      <w:r>
        <w:rPr>
          <w:lang w:val="en_US" w:bidi="en_US"/>
        </w:rPr>
        <w:t>only</w:t>
      </w:r>
      <w:r>
        <w:rPr>
          <w:lang w:val="en_US" w:bidi="en_US"/>
        </w:rPr>
        <w:t xml:space="preserve"> one </w:t>
      </w:r>
      <w:r>
        <w:rPr>
          <w:lang w:val="en_US" w:bidi="en_US"/>
        </w:rPr>
        <w:t>thing</w:t>
      </w:r>
      <w:r>
        <w:rPr>
          <w:lang w:val="en_US" w:bidi="en_US"/>
        </w:rPr>
        <w:t xml:space="preserve"> is needed.” For example:</w:t>
      </w:r>
      <w:r>
        <w:rPr>
          <w:lang w:val="en_US" w:bidi="en_US"/>
        </w:rPr>
        <w:t xml:space="preserve">but only one thing is necessary (CEV) </w:t>
      </w:r>
      <w:r>
        <w:rPr>
          <w:i/>
          <w:lang w:val="en_US" w:bidi="en_US"/>
        </w:rPr>
        <w:t>(BSB, NIV, GNT, RSV, NET, KJV, NASB, REB, GW, NLT, CEV, NCV)</w:t>
      </w:r>
    </w:p>
    <w:p>
      <w:pPr>
        <w:pStyle w:val="ListNumber"/>
        <w:spacing w:line="240" w:lineRule="auto"/>
        <w:ind w:left="720"/>
      </w:pPr>
      <w:r>
        <w:rPr>
          <w:lang w:val="en_US" w:bidi="en_US"/>
        </w:rPr>
      </w:r>
      <w:r>
        <w:rPr>
          <w:lang w:val="en_US" w:bidi="en_US"/>
        </w:rPr>
        <w:t xml:space="preserve">Other Greek texts say: “but few </w:t>
      </w:r>
      <w:r>
        <w:rPr>
          <w:lang w:val="en_US" w:bidi="en_US"/>
        </w:rPr>
        <w:t>things</w:t>
      </w:r>
      <w:r>
        <w:rPr>
          <w:lang w:val="en_US" w:bidi="en_US"/>
        </w:rPr>
        <w:t xml:space="preserve"> are needed, or </w:t>
      </w:r>
      <w:r>
        <w:rPr>
          <w:lang w:val="en_US" w:bidi="en_US"/>
        </w:rPr>
        <w:t>only</w:t>
      </w:r>
      <w:r>
        <w:rPr>
          <w:lang w:val="en_US" w:bidi="en_US"/>
        </w:rPr>
        <w:t xml:space="preserve"> one.” For example:</w:t>
      </w:r>
      <w:r>
        <w:rPr>
          <w:lang w:val="en_US" w:bidi="en_US"/>
        </w:rPr>
        <w:t xml:space="preserve">and yet few are needed, indeed only one (NJB) </w:t>
      </w:r>
      <w:r>
        <w:rPr>
          <w:i/>
          <w:lang w:val="en_US" w:bidi="en_US"/>
        </w:rPr>
        <w:t>(NJB, JBP)</w:t>
      </w:r>
    </w:p>
    <w:p>
      <w:pPr/>
      <w:r>
        <w:rPr>
          <w:lang w:val="en_US" w:bidi="en_US"/>
        </w:rPr>
      </w:r>
      <w:r>
        <w:rPr>
          <w:lang w:val="en_US" w:bidi="en_US"/>
        </w:rPr>
        <w:t>It is recommended that you follow option (1) along with the majority of English versions.</w:t>
      </w:r>
      <w:r>
        <w:rPr>
          <w:lang w:val="en_US" w:bidi="en_US"/>
        </w:rPr>
        <w:t>For more information, see Swanson, p. 199; TRT, p. 224; Blight 2007a, pp. 489–90; Marshall, p. 453; Greek NT UBS 4</w:t>
      </w:r>
      <w:r>
        <w:rPr>
          <w:vertAlign w:val="superscript"/>
          <w:lang w:val="en_US" w:bidi="en_US"/>
        </w:rPr>
        <w:t>th</w:t>
      </w:r>
      <w:r>
        <w:rPr>
          <w:lang w:val="en_US" w:bidi="en_US"/>
        </w:rPr>
        <w:t xml:space="preserve"> ed., p. 247; and Metzger, pp. 153–54.</w:t>
      </w:r>
    </w:p>
    <w:p>
      <w:pPr/>
      <w:r>
        <w:rPr>
          <w:lang w:val="en_US" w:bidi="en_US"/>
        </w:rPr>
      </w:r>
      <w:r>
        <w:rPr>
          <w:b/>
          <w:lang w:val="en_US" w:bidi="en_US"/>
        </w:rPr>
        <w:t>But:</w:t>
      </w:r>
      <w:r>
        <w:rPr>
          <w:lang w:val="en_US" w:bidi="en_US"/>
        </w:rPr>
        <w:t xml:space="preserve"> In contrast with the “many things” that Martha was worried about in 10:41, 10:42a speaks about “only one thing” being necessary. The BSB indicates this contrast with the word </w:t>
      </w:r>
      <w:r>
        <w:rPr>
          <w:i/>
          <w:lang w:val="en_US" w:bidi="en_US"/>
        </w:rPr>
        <w:t>But</w:t>
      </w:r>
      <w:r>
        <w:rPr>
          <w:lang w:val="en_US" w:bidi="en_US"/>
        </w:rPr>
        <w:t>. Connect these two verses in a way that naturally shows this kind of contrast in your language.</w:t>
      </w:r>
    </w:p>
    <w:p>
      <w:pPr/>
      <w:r>
        <w:rPr>
          <w:lang w:val="en_US" w:bidi="en_US"/>
        </w:rPr>
      </w:r>
      <w:r>
        <w:rPr>
          <w:b/>
          <w:lang w:val="en_US" w:bidi="en_US"/>
        </w:rPr>
        <w:t>only one thing is necessary:</w:t>
      </w:r>
      <w:r>
        <w:rPr>
          <w:lang w:val="en_US" w:bidi="en_US"/>
        </w:rPr>
        <w:t xml:space="preserve"> The Greek clause that the BSB translates as </w:t>
      </w:r>
      <w:r>
        <w:rPr>
          <w:i/>
          <w:lang w:val="en_US" w:bidi="en_US"/>
        </w:rPr>
        <w:t>only one thing is necessary</w:t>
      </w:r>
      <w:r>
        <w:rPr>
          <w:lang w:val="en_US" w:bidi="en_US"/>
        </w:rPr>
        <w:t xml:space="preserve"> indicates that only one thing is truly important or necessary in a person’s life. Jesus did not specify here what that thing is. However, the context shows that he was referring to the same thing that Mary chose (10:42b). She chose to listen to what Jesus was teaching about God and his kingdom. Other ways to translate this clause are:</w:t>
      </w:r>
    </w:p>
    <w:p>
      <w:pPr/>
      <w:r>
        <w:rPr>
          <w:lang w:val="en_US" w:bidi="en_US"/>
        </w:rPr>
      </w:r>
      <w:r>
        <w:rPr>
          <w:lang w:val="en_US" w:bidi="en_US"/>
        </w:rPr>
        <w:t>Only one thing is important. (NCV)</w:t>
      </w:r>
    </w:p>
    <w:p>
      <w:pPr/>
      <w:r>
        <w:rPr>
          <w:lang w:val="en_US" w:bidi="en_US"/>
        </w:rPr>
      </w:r>
      <w:r>
        <w:rPr>
          <w:lang w:val="en_US" w:bidi="en_US"/>
        </w:rPr>
        <w:t>There is only one thing worth being concerned about. (NLT)</w:t>
      </w:r>
    </w:p>
    <w:p>
      <w:pPr>
        <w:pStyle w:val="Heading5"/>
      </w:pPr>
      <w:r>
        <w:rPr>
          <w:lang w:val="en_US" w:bidi="en_US"/>
        </w:rPr>
        <w:t>10:42b</w:t>
      </w:r>
    </w:p>
    <w:p>
      <w:pPr/>
      <w:r>
        <w:rPr>
          <w:lang w:val="en_US" w:bidi="en_US"/>
        </w:rPr>
      </w:r>
      <w:r>
        <w:rPr>
          <w:b/>
          <w:lang w:val="en_US" w:bidi="en_US"/>
        </w:rPr>
        <w:t>Mary has chosen the good portion,</w:t>
      </w:r>
    </w:p>
    <w:p>
      <w:pPr>
        <w:pStyle w:val="ListBullet"/>
        <w:spacing w:line="240" w:lineRule="auto"/>
        <w:ind w:left="720"/>
      </w:pPr>
      <w:r>
        <w:rPr>
          <w:lang w:val="en_US" w:bidi="en_US"/>
        </w:rPr>
      </w:r>
      <w:r>
        <w:rPr>
          <w:lang w:val="en_US" w:bidi="en_US"/>
        </w:rPr>
        <w:t xml:space="preserve">Mary has chosen </w:t>
      </w:r>
      <w:r>
        <w:rPr>
          <w:lang w:val="en_US" w:bidi="en_US"/>
        </w:rPr>
        <w:t>to do</w:t>
      </w:r>
      <w:r>
        <w:rPr>
          <w:lang w:val="en_US" w:bidi="en_US"/>
        </w:rPr>
        <w:t xml:space="preserve"> that good/important thing,</w:t>
      </w:r>
    </w:p>
    <w:p>
      <w:pPr>
        <w:pStyle w:val="ListBullet"/>
        <w:spacing w:line="240" w:lineRule="auto"/>
        <w:ind w:left="720"/>
      </w:pPr>
      <w:r>
        <w:rPr>
          <w:lang w:val="en_US" w:bidi="en_US"/>
        </w:rPr>
      </w:r>
      <w:r>
        <w:rPr>
          <w:lang w:val="en_US" w:bidi="en_US"/>
        </w:rPr>
        <w:t xml:space="preserve">and that is the good thing that Mary has decided </w:t>
      </w:r>
      <w:r>
        <w:rPr>
          <w:lang w:val="en_US" w:bidi="en_US"/>
        </w:rPr>
        <w:t>to do</w:t>
      </w:r>
      <w:r>
        <w:rPr>
          <w:lang w:val="en_US" w:bidi="en_US"/>
        </w:rPr>
        <w:t>.</w:t>
      </w:r>
    </w:p>
    <w:p>
      <w:pPr/>
      <w:r>
        <w:rPr>
          <w:lang w:val="en_US" w:bidi="en_US"/>
        </w:rPr>
      </w:r>
      <w:r>
        <w:rPr>
          <w:b/>
          <w:lang w:val="en_US" w:bidi="en_US"/>
        </w:rPr>
        <w:t>Mary has chosen the good portion:</w:t>
      </w:r>
      <w:r>
        <w:rPr>
          <w:lang w:val="en_US" w:bidi="en_US"/>
        </w:rPr>
        <w:t xml:space="preserve"> The Greek clause that the BSB translates as </w:t>
      </w:r>
      <w:r>
        <w:rPr>
          <w:i/>
          <w:lang w:val="en_US" w:bidi="en_US"/>
        </w:rPr>
        <w:t>Mary has chosen the good portion</w:t>
      </w:r>
      <w:r>
        <w:rPr>
          <w:lang w:val="en_US" w:bidi="en_US"/>
        </w:rPr>
        <w:t xml:space="preserve"> is more literally “Mary has chosen the good part.” This refers to the fact that Mary chose to sit at Jesus’ feet and learn from him. She chose to do this rather than to work hard at providing a nice big meal for him. Learning from Jesus was the more important thing. Other ways to translate this clause are:</w:t>
      </w:r>
    </w:p>
    <w:p>
      <w:pPr/>
      <w:r>
        <w:rPr>
          <w:lang w:val="en_US" w:bidi="en_US"/>
        </w:rPr>
      </w:r>
      <w:r>
        <w:rPr>
          <w:lang w:val="en_US" w:bidi="en_US"/>
        </w:rPr>
        <w:t>Mary has chosen the right thing (GNT)</w:t>
      </w:r>
    </w:p>
    <w:p>
      <w:pPr/>
      <w:r>
        <w:rPr>
          <w:lang w:val="en_US" w:bidi="en_US"/>
        </w:rPr>
      </w:r>
      <w:r>
        <w:rPr>
          <w:lang w:val="en_US" w:bidi="en_US"/>
        </w:rPr>
        <w:t>Mary has chosen what is best (CEV)</w:t>
      </w:r>
    </w:p>
    <w:p>
      <w:pPr>
        <w:pStyle w:val="Heading5"/>
      </w:pPr>
      <w:r>
        <w:rPr>
          <w:lang w:val="en_US" w:bidi="en_US"/>
        </w:rPr>
        <w:t>10:42c</w:t>
      </w:r>
    </w:p>
    <w:p>
      <w:pPr/>
      <w:r>
        <w:rPr>
          <w:lang w:val="en_US" w:bidi="en_US"/>
        </w:rPr>
      </w:r>
      <w:r>
        <w:rPr>
          <w:b/>
          <w:lang w:val="en_US" w:bidi="en_US"/>
        </w:rPr>
        <w:t>and it will not be taken away from her.”</w:t>
      </w:r>
    </w:p>
    <w:p>
      <w:pPr>
        <w:pStyle w:val="ListBullet"/>
        <w:spacing w:line="240" w:lineRule="auto"/>
        <w:ind w:left="720"/>
      </w:pPr>
      <w:r>
        <w:rPr>
          <w:lang w:val="en_US" w:bidi="en_US"/>
        </w:rPr>
      </w:r>
      <w:r>
        <w:rPr>
          <w:lang w:val="en_US" w:bidi="en_US"/>
        </w:rPr>
        <w:t>and that good/important thing will not be taken away from her.”</w:t>
      </w:r>
    </w:p>
    <w:p>
      <w:pPr>
        <w:pStyle w:val="ListBullet"/>
        <w:spacing w:line="240" w:lineRule="auto"/>
        <w:ind w:left="720"/>
      </w:pPr>
      <w:r>
        <w:rPr>
          <w:lang w:val="en_US" w:bidi="en_US"/>
        </w:rPr>
      </w:r>
      <w:r>
        <w:rPr>
          <w:lang w:val="en_US" w:bidi="en_US"/>
        </w:rPr>
        <w:t xml:space="preserve">No </w:t>
      </w:r>
      <w:r>
        <w:rPr>
          <w:lang w:val="en_US" w:bidi="en_US"/>
        </w:rPr>
        <w:t>one</w:t>
      </w:r>
      <w:r>
        <w:rPr>
          <w:lang w:val="en_US" w:bidi="en_US"/>
        </w:rPr>
        <w:t xml:space="preserve"> should/must make her stop doing it.”</w:t>
      </w:r>
    </w:p>
    <w:p>
      <w:pPr/>
      <w:r>
        <w:rPr>
          <w:lang w:val="en_US" w:bidi="en_US"/>
        </w:rPr>
      </w:r>
      <w:r>
        <w:rPr>
          <w:b/>
          <w:lang w:val="en_US" w:bidi="en_US"/>
        </w:rPr>
        <w:t>and it will not be taken away from her:</w:t>
      </w:r>
      <w:r>
        <w:rPr>
          <w:lang w:val="en_US" w:bidi="en_US"/>
        </w:rPr>
        <w:t xml:space="preserve"> The Greek pronoun that the BSB translates as </w:t>
      </w:r>
      <w:r>
        <w:rPr>
          <w:i/>
          <w:lang w:val="en_US" w:bidi="en_US"/>
        </w:rPr>
        <w:t>it</w:t>
      </w:r>
      <w:r>
        <w:rPr>
          <w:lang w:val="en_US" w:bidi="en_US"/>
        </w:rPr>
        <w:t xml:space="preserve"> refers to the good part that Mary had chosen. This good part was to listen to Jesus. That privilege should not be taken away from her.</w:t>
      </w:r>
    </w:p>
    <w:p>
      <w:pPr/>
      <w:r>
        <w:rPr>
          <w:lang w:val="en_US" w:bidi="en_US"/>
        </w:rPr>
      </w:r>
      <w:r>
        <w:rPr>
          <w:lang w:val="en_US" w:bidi="en_US"/>
        </w:rPr>
        <w:t xml:space="preserve">In some languages it may be necessary to say </w:t>
      </w:r>
      <w:r>
        <w:rPr>
          <w:u w:val="single"/>
          <w:lang w:val="en_US" w:bidi="en_US"/>
        </w:rPr>
        <w:t>who</w:t>
      </w:r>
      <w:r>
        <w:rPr>
          <w:lang w:val="en_US" w:bidi="en_US"/>
        </w:rPr>
        <w:t xml:space="preserve"> would not “take away” from Mary the good thing that she had chosen. Jesus probably meant that neither he nor Martha nor anyone else should take it away. He would not tell Mary to help in the kitchen, and he would not let Martha or anyone else force Mary to leave him. Some other ways to translate this are:</w:t>
      </w:r>
    </w:p>
    <w:p>
      <w:pPr/>
      <w:r>
        <w:rPr>
          <w:lang w:val="en_US" w:bidi="en_US"/>
        </w:rPr>
      </w:r>
      <w:r>
        <w:rPr>
          <w:lang w:val="en_US" w:bidi="en_US"/>
        </w:rPr>
        <w:t xml:space="preserve">which will/must not be taken away from her </w:t>
      </w:r>
      <w:r>
        <w:rPr>
          <w:lang w:val="en_US" w:bidi="en_US"/>
        </w:rPr>
        <w:t>by anyone</w:t>
      </w:r>
      <w:r>
        <w:rPr>
          <w:lang w:val="en_US" w:bidi="en_US"/>
        </w:rPr>
        <w:t xml:space="preserve"> (TRT)</w:t>
      </w:r>
    </w:p>
    <w:p>
      <w:pPr/>
      <w:r>
        <w:rPr>
          <w:lang w:val="en_US" w:bidi="en_US"/>
        </w:rPr>
      </w:r>
      <w:r>
        <w:rPr>
          <w:lang w:val="en_US" w:bidi="en_US"/>
        </w:rPr>
        <w:t>no one should take it away from her</w:t>
      </w:r>
    </w:p>
    <w:p>
      <w:pPr/>
      <w:r>
        <w:rPr>
          <w:lang w:val="en_US" w:bidi="en_US"/>
        </w:rPr>
      </w:r>
      <w:r>
        <w:rPr>
          <w:lang w:val="en_US" w:bidi="en_US"/>
        </w:rPr>
        <w:t>In some languages it will not be possible to translate this literally, because “listening to Jesus” is not an object that someone can actually take away from a person. In those languages it may be necessary to make the meaning more explicit. For example:</w:t>
      </w:r>
    </w:p>
    <w:p>
      <w:pPr/>
      <w:r>
        <w:rPr>
          <w:lang w:val="en_US" w:bidi="en_US"/>
        </w:rPr>
      </w:r>
      <w:r>
        <w:rPr>
          <w:lang w:val="en_US" w:bidi="en_US"/>
        </w:rPr>
        <w:t xml:space="preserve">and no one should make her stop </w:t>
      </w:r>
      <w:r>
        <w:rPr>
          <w:lang w:val="en_US" w:bidi="en_US"/>
        </w:rPr>
        <w:t>listening to me</w:t>
      </w:r>
      <w:r>
        <w:rPr>
          <w:lang w:val="en_US" w:bidi="en_US"/>
        </w:rPr>
        <w:t>.</w:t>
      </w:r>
      <w:r>
        <w:rPr>
          <w:lang w:val="en_US" w:bidi="en_US"/>
        </w:rPr>
      </w:r>
      <w:r>
        <w:rPr>
          <w:lang w:val="en_US" w:bidi="en_US"/>
        </w:rPr>
      </w:r>
    </w:p>
    <w:p>
      <w:pPr/>
      <w:r>
        <w:rPr>
          <w:lang w:val="en_US" w:bidi="en_US"/>
        </w:rPr>
      </w:r>
    </w:p>
    <w:p>
      <w:pPr>
        <w:pStyle w:val="Heading2"/>
      </w:pPr>
      <w:r>
        <w:rPr>
          <w:lang w:val="en_US" w:bidi="en_US"/>
        </w:rPr>
        <w:t>Luke 11:1</w:t>
      </w:r>
      <w:r>
        <w:rPr>
          <w:lang w:val="en_US" w:bidi="en_US"/>
        </w:rPr>
      </w:r>
    </w:p>
    <w:p>
      <w:pPr>
        <w:pStyle w:val="Heading4"/>
      </w:pPr>
      <w:r>
        <w:rPr>
          <w:lang w:val="en_US" w:bidi="en_US"/>
        </w:rPr>
        <w:t>Section 11:1–13: Jesus taught his disciples about prayer</w:t>
      </w:r>
    </w:p>
    <w:p>
      <w:pPr/>
      <w:r>
        <w:rPr>
          <w:lang w:val="en_US" w:bidi="en_US"/>
        </w:rPr>
      </w:r>
      <w:r>
        <w:rPr>
          <w:lang w:val="en_US" w:bidi="en_US"/>
        </w:rPr>
        <w:t>There are four paragraphs in this section. In each paragraph, Jesus taught his disciples something about prayer.</w:t>
      </w:r>
    </w:p>
    <w:p>
      <w:pPr/>
      <w:r>
        <w:rPr>
          <w:lang w:val="en_US" w:bidi="en_US"/>
        </w:rPr>
      </w:r>
      <w:r>
        <w:rPr>
          <w:lang w:val="en_US" w:bidi="en_US"/>
        </w:rPr>
        <w:t>Some other headings for this section are:</w:t>
      </w:r>
    </w:p>
    <w:p>
      <w:pPr/>
      <w:r>
        <w:rPr>
          <w:lang w:val="en_US" w:bidi="en_US"/>
        </w:rPr>
      </w:r>
      <w:r>
        <w:rPr>
          <w:lang w:val="en_US" w:bidi="en_US"/>
        </w:rPr>
        <w:t>Jesus’ Teaching on Prayer (NIV)</w:t>
      </w:r>
    </w:p>
    <w:p>
      <w:pPr/>
      <w:r>
        <w:rPr>
          <w:lang w:val="en_US" w:bidi="en_US"/>
        </w:rPr>
      </w:r>
      <w:r>
        <w:rPr>
          <w:lang w:val="en_US" w:bidi="en_US"/>
        </w:rPr>
        <w:t>Jesus Teaches About Prayer (NCV)</w:t>
      </w:r>
    </w:p>
    <w:p>
      <w:pPr/>
      <w:r>
        <w:rPr>
          <w:lang w:val="en_US" w:bidi="en_US"/>
        </w:rPr>
      </w:r>
      <w:r>
        <w:rPr>
          <w:lang w:val="en_US" w:bidi="en_US"/>
        </w:rPr>
        <w:t>There are parallel passages for this section in Matthew 6:9–13 and 7:7–11.</w:t>
      </w:r>
    </w:p>
    <w:p>
      <w:pPr>
        <w:pStyle w:val="Heading4"/>
      </w:pPr>
      <w:r>
        <w:rPr>
          <w:lang w:val="en_US" w:bidi="en_US"/>
        </w:rPr>
        <w:t>Paragraph 11:1–4</w:t>
      </w:r>
    </w:p>
    <w:p>
      <w:pPr/>
      <w:r>
        <w:rPr>
          <w:lang w:val="en_US" w:bidi="en_US"/>
        </w:rPr>
      </w:r>
      <w:r>
        <w:rPr>
          <w:lang w:val="en_US" w:bidi="en_US"/>
        </w:rPr>
        <w:t>In this paragraph, Jesus taught his disciples a prayer. This prayer is an example of how they should pray (11:2–4). Christians around the world call this prayer “the Lord’s Prayer.” A longer form of the Lord’s Prayer is recorded in Matthew 6:9–13. It is the form that most Christian churches use when they pray it aloud together in worship. The prayer here in Luke is shorter than the one in Matthew.</w:t>
      </w:r>
    </w:p>
    <w:p>
      <w:pPr/>
      <w:r>
        <w:rPr>
          <w:lang w:val="en_US" w:bidi="en_US"/>
        </w:rPr>
      </w:r>
      <w:r>
        <w:rPr>
          <w:lang w:val="en_US" w:bidi="en_US"/>
        </w:rPr>
        <w:t>If you have already translated Matthew, compare the two versions of the prayer. Try to use the same or similar wording where the original Greek has the same words. Differences between the Greek text in Matthew and Luke are discussed in the footnotes.</w:t>
      </w:r>
    </w:p>
    <w:p>
      <w:pPr>
        <w:pStyle w:val="Heading5"/>
      </w:pPr>
      <w:r>
        <w:rPr>
          <w:lang w:val="en_US" w:bidi="en_US"/>
        </w:rPr>
        <w:t>11:1a</w:t>
      </w:r>
    </w:p>
    <w:p>
      <w:pPr/>
      <w:r>
        <w:rPr>
          <w:lang w:val="en_US" w:bidi="en_US"/>
        </w:rPr>
      </w:r>
      <w:r>
        <w:rPr>
          <w:b/>
          <w:lang w:val="en_US" w:bidi="en_US"/>
        </w:rPr>
        <w:t>One day in a place where Jesus had just finished praying,</w:t>
      </w:r>
    </w:p>
    <w:p>
      <w:pPr>
        <w:pStyle w:val="ListBullet"/>
        <w:spacing w:line="240" w:lineRule="auto"/>
        <w:ind w:left="720"/>
      </w:pPr>
      <w:r>
        <w:rPr>
          <w:lang w:val="en_US" w:bidi="en_US"/>
        </w:rPr>
      </w:r>
      <w:r>
        <w:rPr>
          <w:lang w:val="en_US" w:bidi="en_US"/>
        </w:rPr>
        <w:t>¶ One day Jesus was praying somewhere.</w:t>
      </w:r>
    </w:p>
    <w:p>
      <w:pPr>
        <w:pStyle w:val="ListBullet"/>
        <w:spacing w:line="240" w:lineRule="auto"/>
        <w:ind w:left="720"/>
      </w:pPr>
      <w:r>
        <w:rPr>
          <w:lang w:val="en_US" w:bidi="en_US"/>
        </w:rPr>
      </w:r>
      <w:r>
        <w:rPr>
          <w:lang w:val="en_US" w:bidi="en_US"/>
        </w:rPr>
        <w:t xml:space="preserve">¶ Another time, Jesus was praying/talking </w:t>
      </w:r>
      <w:r>
        <w:rPr>
          <w:lang w:val="en_US" w:bidi="en_US"/>
        </w:rPr>
        <w:t>to God</w:t>
      </w:r>
      <w:r>
        <w:rPr>
          <w:lang w:val="en_US" w:bidi="en_US"/>
        </w:rPr>
        <w:t>.</w:t>
      </w:r>
    </w:p>
    <w:p>
      <w:pPr/>
      <w:r>
        <w:rPr>
          <w:lang w:val="en_US" w:bidi="en_US"/>
        </w:rPr>
      </w:r>
      <w:r>
        <w:rPr>
          <w:b/>
          <w:lang w:val="en_US" w:bidi="en_US"/>
        </w:rPr>
        <w:t>One day in a place where Jesus had just finished praying</w:t>
      </w:r>
      <w:r>
        <w:rPr>
          <w:lang w:val="en_US" w:bidi="en_US"/>
        </w:rPr>
        <w:t xml:space="preserve"> The phrase </w:t>
      </w:r>
      <w:r>
        <w:rPr>
          <w:i/>
          <w:lang w:val="en_US" w:bidi="en_US"/>
        </w:rPr>
        <w:t>in a place</w:t>
      </w:r>
      <w:r>
        <w:rPr>
          <w:lang w:val="en_US" w:bidi="en_US"/>
        </w:rPr>
        <w:t xml:space="preserve"> is vague and simply means “somewhere.” It indicates that the particular place was not important. If it is not natural to translate this phrase in your language, you may leave it out. The place is not in focus. For example:</w:t>
      </w:r>
    </w:p>
    <w:p>
      <w:pPr/>
      <w:r>
        <w:rPr>
          <w:lang w:val="en_US" w:bidi="en_US"/>
        </w:rPr>
      </w:r>
      <w:r>
        <w:rPr>
          <w:lang w:val="en_US" w:bidi="en_US"/>
        </w:rPr>
        <w:t>When Jesus had finished praying (CEV)</w:t>
      </w:r>
    </w:p>
    <w:p>
      <w:pPr/>
      <w:r>
        <w:rPr>
          <w:lang w:val="en_US" w:bidi="en_US"/>
        </w:rPr>
      </w:r>
      <w:r>
        <w:rPr>
          <w:b/>
          <w:lang w:val="en_US" w:bidi="en_US"/>
        </w:rPr>
        <w:t>One day:</w:t>
      </w:r>
      <w:r>
        <w:rPr>
          <w:lang w:val="en_US" w:bidi="en_US"/>
        </w:rPr>
        <w:t xml:space="preserve"> The Greek phrase that the BSB translates as </w:t>
      </w:r>
      <w:r>
        <w:rPr>
          <w:i/>
          <w:lang w:val="en_US" w:bidi="en_US"/>
        </w:rPr>
        <w:t>One day</w:t>
      </w:r>
      <w:r>
        <w:rPr>
          <w:lang w:val="en_US" w:bidi="en_US"/>
        </w:rPr>
        <w:t xml:space="preserve"> is literally “And it happened.” This phrase introduces another event that happened in the story of Jesus. The Bible does not say when this event happened, and it did not necessarily happen during the daytime. Introduce this new event in a natural way in your language. Some other ways to do this in English are:</w:t>
      </w:r>
    </w:p>
    <w:p>
      <w:pPr/>
      <w:r>
        <w:rPr>
          <w:lang w:val="en_US" w:bidi="en_US"/>
        </w:rPr>
      </w:r>
      <w:r>
        <w:rPr>
          <w:lang w:val="en_US" w:bidi="en_US"/>
        </w:rPr>
        <w:t>Once when (NLT96)</w:t>
      </w:r>
    </w:p>
    <w:p>
      <w:pPr/>
      <w:r>
        <w:rPr>
          <w:lang w:val="en_US" w:bidi="en_US"/>
        </w:rPr>
      </w:r>
      <w:r>
        <w:rPr>
          <w:lang w:val="en_US" w:bidi="en_US"/>
        </w:rPr>
        <w:t>One time (NCV)</w:t>
      </w:r>
    </w:p>
    <w:p>
      <w:pPr/>
      <w:r>
        <w:rPr>
          <w:lang w:val="en_US" w:bidi="en_US"/>
        </w:rPr>
      </w:r>
      <w:r>
        <w:rPr>
          <w:b/>
          <w:lang w:val="en_US" w:bidi="en_US"/>
        </w:rPr>
        <w:t>Jesus had just finished praying:</w:t>
      </w:r>
      <w:r>
        <w:rPr>
          <w:lang w:val="en_US" w:bidi="en_US"/>
        </w:rPr>
        <w:t xml:space="preserve"> The clause </w:t>
      </w:r>
      <w:r>
        <w:rPr>
          <w:i/>
          <w:lang w:val="en_US" w:bidi="en_US"/>
        </w:rPr>
        <w:t>Jesus had just finished praying</w:t>
      </w:r>
      <w:r>
        <w:rPr>
          <w:lang w:val="en_US" w:bidi="en_US"/>
        </w:rPr>
        <w:t xml:space="preserve"> indicates here that Jesus had been speaking to God.</w:t>
      </w:r>
    </w:p>
    <w:p>
      <w:pPr/>
      <w:r>
        <w:rPr>
          <w:lang w:val="en_US" w:bidi="en_US"/>
        </w:rPr>
      </w:r>
      <w:r>
        <w:rPr>
          <w:lang w:val="en_US" w:bidi="en_US"/>
        </w:rPr>
        <w:t>Some languages may use different words to refer to specific kinds of prayer, such as requests, thanks, or praise. Here you should use a word or expression that has a general meaning. Avoid a term that may imply magical or meaningless words. The verb “praying” also occurs in 9:18a.</w:t>
      </w:r>
    </w:p>
    <w:p>
      <w:pPr/>
      <w:r>
        <w:rPr>
          <w:lang w:val="en_US" w:bidi="en_US"/>
        </w:rPr>
      </w:r>
      <w:r>
        <w:rPr>
          <w:b/>
          <w:lang w:val="en_US" w:bidi="en_US"/>
        </w:rPr>
        <w:t>had just finished:</w:t>
      </w:r>
      <w:r>
        <w:rPr>
          <w:lang w:val="en_US" w:bidi="en_US"/>
        </w:rPr>
        <w:t xml:space="preserve"> The phrase that the BSB translates as </w:t>
      </w:r>
      <w:r>
        <w:rPr>
          <w:i/>
          <w:lang w:val="en_US" w:bidi="en_US"/>
        </w:rPr>
        <w:t>had just finished</w:t>
      </w:r>
      <w:r>
        <w:rPr>
          <w:lang w:val="en_US" w:bidi="en_US"/>
        </w:rPr>
        <w:t xml:space="preserve"> is literally “when he stopped.” It means “after Jesus stopped praying.”</w:t>
      </w:r>
    </w:p>
    <w:p>
      <w:pPr>
        <w:pStyle w:val="Heading5"/>
      </w:pPr>
      <w:r>
        <w:rPr>
          <w:lang w:val="en_US" w:bidi="en_US"/>
        </w:rPr>
        <w:t>11:1b</w:t>
      </w:r>
    </w:p>
    <w:p>
      <w:pPr/>
      <w:r>
        <w:rPr>
          <w:lang w:val="en_US" w:bidi="en_US"/>
        </w:rPr>
      </w:r>
      <w:r>
        <w:rPr>
          <w:b/>
          <w:lang w:val="en_US" w:bidi="en_US"/>
        </w:rPr>
        <w:t>one of His disciples requested,</w:t>
      </w:r>
    </w:p>
    <w:p>
      <w:pPr>
        <w:pStyle w:val="ListBullet"/>
        <w:spacing w:line="240" w:lineRule="auto"/>
        <w:ind w:left="720"/>
      </w:pPr>
      <w:r>
        <w:rPr>
          <w:lang w:val="en_US" w:bidi="en_US"/>
        </w:rPr>
      </w:r>
      <w:r>
        <w:rPr>
          <w:lang w:val="en_US" w:bidi="en_US"/>
        </w:rPr>
        <w:t xml:space="preserve">After he finished </w:t>
      </w:r>
      <w:r>
        <w:rPr>
          <w:lang w:val="en_US" w:bidi="en_US"/>
        </w:rPr>
        <w:t>praying</w:t>
      </w:r>
      <w:r>
        <w:rPr>
          <w:lang w:val="en_US" w:bidi="en_US"/>
        </w:rPr>
        <w:t>, one of his disciples said to him,</w:t>
      </w:r>
    </w:p>
    <w:p>
      <w:pPr>
        <w:pStyle w:val="ListBullet"/>
        <w:spacing w:line="240" w:lineRule="auto"/>
        <w:ind w:left="720"/>
      </w:pPr>
      <w:r>
        <w:rPr>
          <w:lang w:val="en_US" w:bidi="en_US"/>
        </w:rPr>
      </w:r>
      <w:r>
        <w:rPr>
          <w:lang w:val="en_US" w:bidi="en_US"/>
        </w:rPr>
        <w:t xml:space="preserve">When he ended/stopped </w:t>
      </w:r>
      <w:r>
        <w:rPr>
          <w:lang w:val="en_US" w:bidi="en_US"/>
        </w:rPr>
        <w:t>his prayers</w:t>
      </w:r>
      <w:r>
        <w:rPr>
          <w:lang w:val="en_US" w:bidi="en_US"/>
        </w:rPr>
        <w:t>, one of his followers asked/requested,</w:t>
      </w:r>
    </w:p>
    <w:p>
      <w:pPr/>
      <w:r>
        <w:rPr>
          <w:lang w:val="en_US" w:bidi="en_US"/>
        </w:rPr>
      </w:r>
      <w:r>
        <w:rPr>
          <w:b/>
          <w:lang w:val="en_US" w:bidi="en_US"/>
        </w:rPr>
        <w:t>one of His disciples requested:</w:t>
      </w:r>
      <w:r>
        <w:rPr>
          <w:lang w:val="en_US" w:bidi="en_US"/>
        </w:rPr>
        <w:t xml:space="preserve"> The clause </w:t>
      </w:r>
      <w:r>
        <w:rPr>
          <w:i/>
          <w:lang w:val="en_US" w:bidi="en_US"/>
        </w:rPr>
        <w:t>one of His disciples requested</w:t>
      </w:r>
      <w:r>
        <w:rPr>
          <w:lang w:val="en_US" w:bidi="en_US"/>
        </w:rPr>
        <w:t xml:space="preserve"> introduces a request by one of the disciples. This disciple requested that Jesus teach them to pray. The verb that the BSB translates as </w:t>
      </w:r>
      <w:r>
        <w:rPr>
          <w:i/>
          <w:lang w:val="en_US" w:bidi="en_US"/>
        </w:rPr>
        <w:t>requested</w:t>
      </w:r>
      <w:r>
        <w:rPr>
          <w:lang w:val="en_US" w:bidi="en_US"/>
        </w:rPr>
        <w:t xml:space="preserve"> is literally “said.” In some languages, it may be more appropriate to translate this verb as “asked” or “requested.” Use a natural way in your language to introduce a request.</w:t>
      </w:r>
    </w:p>
    <w:p>
      <w:pPr/>
      <w:r>
        <w:rPr>
          <w:lang w:val="en_US" w:bidi="en_US"/>
        </w:rPr>
      </w:r>
      <w:r>
        <w:rPr>
          <w:b/>
          <w:lang w:val="en_US" w:bidi="en_US"/>
        </w:rPr>
        <w:t>disciples:</w:t>
      </w:r>
      <w:r>
        <w:rPr>
          <w:lang w:val="en_US" w:bidi="en_US"/>
        </w:rPr>
        <w:t xml:space="preserve"> For help in translating the word </w:t>
      </w:r>
      <w:r>
        <w:rPr>
          <w:i/>
          <w:lang w:val="en_US" w:bidi="en_US"/>
        </w:rPr>
        <w:t>disciples</w:t>
      </w:r>
      <w:r>
        <w:rPr>
          <w:lang w:val="en_US" w:bidi="en_US"/>
        </w:rPr>
        <w:t>, see the note at 9:14b.</w:t>
      </w:r>
    </w:p>
    <w:p>
      <w:pPr>
        <w:pStyle w:val="Heading5"/>
      </w:pPr>
      <w:r>
        <w:rPr>
          <w:lang w:val="en_US" w:bidi="en_US"/>
        </w:rPr>
        <w:t>11:1c</w:t>
      </w:r>
    </w:p>
    <w:p>
      <w:pPr/>
      <w:r>
        <w:rPr>
          <w:lang w:val="en_US" w:bidi="en_US"/>
        </w:rPr>
      </w:r>
      <w:r>
        <w:rPr>
          <w:b/>
          <w:lang w:val="en_US" w:bidi="en_US"/>
        </w:rPr>
        <w:t>“Lord, teach us to pray,</w:t>
      </w:r>
    </w:p>
    <w:p>
      <w:pPr>
        <w:pStyle w:val="ListBullet"/>
        <w:spacing w:line="240" w:lineRule="auto"/>
        <w:ind w:left="720"/>
      </w:pPr>
      <w:r>
        <w:rPr>
          <w:lang w:val="en_US" w:bidi="en_US"/>
        </w:rPr>
      </w:r>
      <w:r>
        <w:rPr>
          <w:lang w:val="en_US" w:bidi="en_US"/>
        </w:rPr>
        <w:t>“Lord, teach us</w:t>
      </w:r>
      <w:r>
        <w:rPr>
          <w:vertAlign w:val="superscript"/>
          <w:lang w:val="en_US" w:bidi="en_US"/>
        </w:rPr>
        <w:t>(excl)</w:t>
      </w:r>
      <w:r>
        <w:rPr>
          <w:lang w:val="en_US" w:bidi="en_US"/>
        </w:rPr>
        <w:t xml:space="preserve"> </w:t>
      </w:r>
      <w:r>
        <w:rPr>
          <w:lang w:val="en_US" w:bidi="en_US"/>
        </w:rPr>
        <w:t>what/how</w:t>
      </w:r>
      <w:r>
        <w:rPr>
          <w:lang w:val="en_US" w:bidi="en_US"/>
        </w:rPr>
        <w:t xml:space="preserve"> to pray,</w:t>
      </w:r>
    </w:p>
    <w:p>
      <w:pPr>
        <w:pStyle w:val="ListBullet"/>
        <w:spacing w:line="240" w:lineRule="auto"/>
        <w:ind w:left="720"/>
      </w:pPr>
      <w:r>
        <w:rPr>
          <w:lang w:val="en_US" w:bidi="en_US"/>
        </w:rPr>
      </w:r>
      <w:r>
        <w:rPr>
          <w:lang w:val="en_US" w:bidi="en_US"/>
        </w:rPr>
        <w:t>“</w:t>
      </w:r>
      <w:r>
        <w:rPr>
          <w:lang w:val="en_US" w:bidi="en_US"/>
        </w:rPr>
        <w:t>Please,</w:t>
      </w:r>
      <w:r>
        <w:rPr>
          <w:lang w:val="en_US" w:bidi="en_US"/>
        </w:rPr>
        <w:t xml:space="preserve"> Lord, teach us</w:t>
      </w:r>
      <w:r>
        <w:rPr>
          <w:vertAlign w:val="superscript"/>
          <w:lang w:val="en_US" w:bidi="en_US"/>
        </w:rPr>
        <w:t>(excl)</w:t>
      </w:r>
      <w:r>
        <w:rPr>
          <w:lang w:val="en_US" w:bidi="en_US"/>
        </w:rPr>
        <w:t xml:space="preserve"> </w:t>
      </w:r>
      <w:r>
        <w:rPr>
          <w:lang w:val="en_US" w:bidi="en_US"/>
        </w:rPr>
        <w:t>what to say when we</w:t>
      </w:r>
      <w:r>
        <w:rPr>
          <w:lang w:val="en_US" w:bidi="en_US"/>
        </w:rPr>
        <w:t xml:space="preserve"> talk/speak to God,</w:t>
      </w:r>
    </w:p>
    <w:p>
      <w:pPr/>
      <w:r>
        <w:rPr>
          <w:lang w:val="en_US" w:bidi="en_US"/>
        </w:rPr>
      </w:r>
      <w:r>
        <w:rPr>
          <w:lang w:val="en_US" w:bidi="en_US"/>
        </w:rPr>
        <w:t>It was the custom in Israel for a religious teacher to teach his students a simple prayer to use regularly. John had done this for his disciples. Here Jesus’ disciples were asking Jesus to do this for them.</w:t>
      </w:r>
    </w:p>
    <w:p>
      <w:pPr/>
      <w:r>
        <w:rPr>
          <w:lang w:val="en_US" w:bidi="en_US"/>
        </w:rPr>
      </w:r>
      <w:r>
        <w:rPr>
          <w:b/>
          <w:lang w:val="en_US" w:bidi="en_US"/>
        </w:rPr>
        <w:t>teach us to pray:</w:t>
      </w:r>
      <w:r>
        <w:rPr>
          <w:lang w:val="en_US" w:bidi="en_US"/>
        </w:rPr>
        <w:t xml:space="preserve"> The disciples wanted Jesus to teach them the sort of things they should say when they were talking to God. Some ways to translate this are:</w:t>
      </w:r>
    </w:p>
    <w:p>
      <w:pPr/>
      <w:r>
        <w:rPr>
          <w:lang w:val="en_US" w:bidi="en_US"/>
        </w:rPr>
      </w:r>
      <w:r>
        <w:rPr>
          <w:lang w:val="en_US" w:bidi="en_US"/>
        </w:rPr>
        <w:t>Teach us what we should say when we pray</w:t>
      </w:r>
    </w:p>
    <w:p>
      <w:pPr/>
      <w:r>
        <w:rPr>
          <w:lang w:val="en_US" w:bidi="en_US"/>
        </w:rPr>
      </w:r>
      <w:r>
        <w:rPr>
          <w:lang w:val="en_US" w:bidi="en_US"/>
        </w:rPr>
        <w:t>Show us what we should pray about</w:t>
      </w:r>
    </w:p>
    <w:p>
      <w:pPr/>
      <w:r>
        <w:rPr>
          <w:lang w:val="en_US" w:bidi="en_US"/>
        </w:rPr>
      </w:r>
      <w:r>
        <w:rPr>
          <w:lang w:val="en_US" w:bidi="en_US"/>
        </w:rPr>
        <w:t>teach us how to pray (JBP)</w:t>
      </w:r>
    </w:p>
    <w:p>
      <w:pPr>
        <w:pStyle w:val="Heading5"/>
      </w:pPr>
      <w:r>
        <w:rPr>
          <w:lang w:val="en_US" w:bidi="en_US"/>
        </w:rPr>
        <w:t>11:1d</w:t>
      </w:r>
    </w:p>
    <w:p>
      <w:pPr/>
      <w:r>
        <w:rPr>
          <w:lang w:val="en_US" w:bidi="en_US"/>
        </w:rPr>
      </w:r>
      <w:r>
        <w:rPr>
          <w:b/>
          <w:lang w:val="en_US" w:bidi="en_US"/>
        </w:rPr>
        <w:t>just as John taught his disciples.”</w:t>
      </w:r>
    </w:p>
    <w:p>
      <w:pPr>
        <w:pStyle w:val="ListBullet"/>
        <w:spacing w:line="240" w:lineRule="auto"/>
        <w:ind w:left="720"/>
      </w:pPr>
      <w:r>
        <w:rPr>
          <w:lang w:val="en_US" w:bidi="en_US"/>
        </w:rPr>
      </w:r>
      <w:r>
        <w:rPr>
          <w:lang w:val="en_US" w:bidi="en_US"/>
        </w:rPr>
        <w:t xml:space="preserve">just as John taught his disciples </w:t>
      </w:r>
      <w:r>
        <w:rPr>
          <w:lang w:val="en_US" w:bidi="en_US"/>
        </w:rPr>
        <w:t>what/how to pray</w:t>
      </w:r>
      <w:r>
        <w:rPr>
          <w:lang w:val="en_US" w:bidi="en_US"/>
        </w:rPr>
        <w:t>.”</w:t>
      </w:r>
    </w:p>
    <w:p>
      <w:pPr>
        <w:pStyle w:val="ListBullet"/>
        <w:spacing w:line="240" w:lineRule="auto"/>
        <w:ind w:left="720"/>
      </w:pPr>
      <w:r>
        <w:rPr>
          <w:lang w:val="en_US" w:bidi="en_US"/>
        </w:rPr>
      </w:r>
      <w:r>
        <w:rPr>
          <w:lang w:val="en_US" w:bidi="en_US"/>
        </w:rPr>
        <w:t xml:space="preserve">like John </w:t>
      </w:r>
      <w:r>
        <w:rPr>
          <w:lang w:val="en_US" w:bidi="en_US"/>
        </w:rPr>
        <w:t>the Baptizer</w:t>
      </w:r>
      <w:r>
        <w:rPr>
          <w:lang w:val="en_US" w:bidi="en_US"/>
        </w:rPr>
        <w:t xml:space="preserve"> taught his followers </w:t>
      </w:r>
      <w:r>
        <w:rPr>
          <w:lang w:val="en_US" w:bidi="en_US"/>
        </w:rPr>
        <w:t>what to say</w:t>
      </w:r>
      <w:r>
        <w:rPr>
          <w:lang w:val="en_US" w:bidi="en_US"/>
        </w:rPr>
        <w:t>.”</w:t>
      </w:r>
    </w:p>
    <w:p>
      <w:pPr/>
      <w:r>
        <w:rPr>
          <w:lang w:val="en_US" w:bidi="en_US"/>
        </w:rPr>
      </w:r>
      <w:r>
        <w:rPr>
          <w:b/>
          <w:lang w:val="en_US" w:bidi="en_US"/>
        </w:rPr>
        <w:t>just as John taught his disciples:</w:t>
      </w:r>
      <w:r>
        <w:rPr>
          <w:lang w:val="en_US" w:bidi="en_US"/>
        </w:rPr>
        <w:t xml:space="preserve"> John the Baptist had apparently taught his disciples how to pray and what to pray. The prayers that John taught them are not recorded in the Bible.</w:t>
      </w:r>
    </w:p>
    <w:p>
      <w:pPr/>
      <w:r>
        <w:rPr>
          <w:lang w:val="en_US" w:bidi="en_US"/>
        </w:rPr>
      </w:r>
      <w:r>
        <w:rPr>
          <w:b/>
          <w:lang w:val="en_US" w:bidi="en_US"/>
        </w:rPr>
        <w:t>just as:</w:t>
      </w:r>
      <w:r>
        <w:rPr>
          <w:lang w:val="en_US" w:bidi="en_US"/>
        </w:rPr>
        <w:t xml:space="preserve"> The Greek phrase that the BSB translates as </w:t>
      </w:r>
      <w:r>
        <w:rPr>
          <w:i/>
          <w:lang w:val="en_US" w:bidi="en_US"/>
        </w:rPr>
        <w:t>just as</w:t>
      </w:r>
      <w:r>
        <w:rPr>
          <w:lang w:val="en_US" w:bidi="en_US"/>
        </w:rPr>
        <w:t xml:space="preserve"> introduces a comparison between what John had done and what the disciples wanted Jesus to do. They were saying, “John taught his disciples to pray, so please teach us to pray too.”</w:t>
      </w:r>
    </w:p>
    <w:p>
      <w:pPr/>
      <w:r>
        <w:rPr>
          <w:lang w:val="en_US" w:bidi="en_US"/>
        </w:rPr>
      </w:r>
      <w:r>
        <w:rPr>
          <w:lang w:val="en_US" w:bidi="en_US"/>
        </w:rPr>
        <w:t>Jesus’ disciples were not asking to be taught the same prayer that John had taught his disciples.</w:t>
      </w:r>
    </w:p>
    <w:p>
      <w:pPr/>
      <w:r>
        <w:rPr>
          <w:lang w:val="en_US" w:bidi="en_US"/>
        </w:rPr>
      </w:r>
      <w:r>
        <w:rPr>
          <w:b/>
          <w:lang w:val="en_US" w:bidi="en_US"/>
        </w:rPr>
        <w:t>John:</w:t>
      </w:r>
      <w:r>
        <w:rPr>
          <w:lang w:val="en_US" w:bidi="en_US"/>
        </w:rPr>
        <w:t xml:space="preserve"> The disciple was referring to John the Baptist. If it is necessary to distinguish him from John the son of Zebedee, you should use the same title that you used for “John the Baptist” in 9:19a.</w:t>
      </w:r>
      <w:r>
        <w:rPr>
          <w:lang w:val="en_US" w:bidi="en_US"/>
        </w:rPr>
      </w:r>
      <w:r>
        <w:rPr>
          <w:lang w:val="en_US" w:bidi="en_US"/>
        </w:rPr>
      </w:r>
    </w:p>
    <w:p>
      <w:pPr/>
      <w:r>
        <w:rPr>
          <w:lang w:val="en_US" w:bidi="en_US"/>
        </w:rPr>
      </w:r>
    </w:p>
    <w:p>
      <w:pPr>
        <w:pStyle w:val="Heading2"/>
      </w:pPr>
      <w:r>
        <w:rPr>
          <w:lang w:val="en_US" w:bidi="en_US"/>
        </w:rPr>
        <w:t>Luke 11:2</w:t>
      </w:r>
      <w:r>
        <w:rPr>
          <w:lang w:val="en_US" w:bidi="en_US"/>
        </w:rPr>
      </w:r>
    </w:p>
    <w:p>
      <w:pPr>
        <w:pStyle w:val="Heading4"/>
      </w:pPr>
      <w:r>
        <w:rPr>
          <w:lang w:val="en_US" w:bidi="en_US"/>
        </w:rPr>
        <w:t>Section 11:1–13: Jesus taught his disciples about prayer</w:t>
      </w:r>
    </w:p>
    <w:p>
      <w:pPr/>
      <w:r>
        <w:rPr>
          <w:lang w:val="en_US" w:bidi="en_US"/>
        </w:rPr>
      </w:r>
      <w:r>
        <w:rPr>
          <w:lang w:val="en_US" w:bidi="en_US"/>
        </w:rPr>
        <w:t>There are four paragraphs in this section. In each paragraph, Jesus taught his disciples something about prayer.</w:t>
      </w:r>
    </w:p>
    <w:p>
      <w:pPr/>
      <w:r>
        <w:rPr>
          <w:lang w:val="en_US" w:bidi="en_US"/>
        </w:rPr>
      </w:r>
      <w:r>
        <w:rPr>
          <w:lang w:val="en_US" w:bidi="en_US"/>
        </w:rPr>
        <w:t>Some other headings for this section are:</w:t>
      </w:r>
    </w:p>
    <w:p>
      <w:pPr/>
      <w:r>
        <w:rPr>
          <w:lang w:val="en_US" w:bidi="en_US"/>
        </w:rPr>
      </w:r>
      <w:r>
        <w:rPr>
          <w:lang w:val="en_US" w:bidi="en_US"/>
        </w:rPr>
        <w:t>Jesus’ Teaching on Prayer (NIV)</w:t>
      </w:r>
    </w:p>
    <w:p>
      <w:pPr/>
      <w:r>
        <w:rPr>
          <w:lang w:val="en_US" w:bidi="en_US"/>
        </w:rPr>
      </w:r>
      <w:r>
        <w:rPr>
          <w:lang w:val="en_US" w:bidi="en_US"/>
        </w:rPr>
        <w:t>Jesus Teaches About Prayer (NCV)</w:t>
      </w:r>
    </w:p>
    <w:p>
      <w:pPr/>
      <w:r>
        <w:rPr>
          <w:lang w:val="en_US" w:bidi="en_US"/>
        </w:rPr>
      </w:r>
      <w:r>
        <w:rPr>
          <w:lang w:val="en_US" w:bidi="en_US"/>
        </w:rPr>
        <w:t>There are parallel passages for this section in Matthew 6:9–13 and 7:7–11.</w:t>
      </w:r>
    </w:p>
    <w:p>
      <w:pPr>
        <w:pStyle w:val="Heading4"/>
      </w:pPr>
      <w:r>
        <w:rPr>
          <w:lang w:val="en_US" w:bidi="en_US"/>
        </w:rPr>
        <w:t>Paragraph 11:1–4</w:t>
      </w:r>
    </w:p>
    <w:p>
      <w:pPr/>
      <w:r>
        <w:rPr>
          <w:lang w:val="en_US" w:bidi="en_US"/>
        </w:rPr>
      </w:r>
      <w:r>
        <w:rPr>
          <w:lang w:val="en_US" w:bidi="en_US"/>
        </w:rPr>
        <w:t>In this paragraph, Jesus taught his disciples a prayer. This prayer is an example of how they should pray (11:2–4). Christians around the world call this prayer “the Lord’s Prayer.” A longer form of the Lord’s Prayer is recorded in Matthew 6:9–13. It is the form that most Christian churches use when they pray it aloud together in worship. The prayer here in Luke is shorter than the one in Matthew.</w:t>
      </w:r>
    </w:p>
    <w:p>
      <w:pPr/>
      <w:r>
        <w:rPr>
          <w:lang w:val="en_US" w:bidi="en_US"/>
        </w:rPr>
      </w:r>
      <w:r>
        <w:rPr>
          <w:lang w:val="en_US" w:bidi="en_US"/>
        </w:rPr>
        <w:t>If you have already translated Matthew, compare the two versions of the prayer. Try to use the same or similar wording where the original Greek has the same words. Differences between the Greek text in Matthew and Luke are discussed in the footnotes.</w:t>
      </w:r>
    </w:p>
    <w:p>
      <w:pPr>
        <w:pStyle w:val="Heading5"/>
      </w:pPr>
      <w:r>
        <w:rPr>
          <w:lang w:val="en_US" w:bidi="en_US"/>
        </w:rPr>
        <w:t>11:2a</w:t>
      </w:r>
    </w:p>
    <w:p>
      <w:pPr/>
      <w:r>
        <w:rPr>
          <w:lang w:val="en_US" w:bidi="en_US"/>
        </w:rPr>
      </w:r>
      <w:r>
        <w:rPr>
          <w:b/>
          <w:lang w:val="en_US" w:bidi="en_US"/>
        </w:rPr>
        <w:t>So Jesus told them, “When you pray, say:</w:t>
      </w:r>
    </w:p>
    <w:p>
      <w:pPr>
        <w:pStyle w:val="ListBullet"/>
        <w:spacing w:line="240" w:lineRule="auto"/>
        <w:ind w:left="720"/>
      </w:pPr>
      <w:r>
        <w:rPr>
          <w:lang w:val="en_US" w:bidi="en_US"/>
        </w:rPr>
      </w:r>
      <w:r>
        <w:rPr>
          <w:lang w:val="en_US" w:bidi="en_US"/>
        </w:rPr>
        <w:t>Jesus said to them, “When you</w:t>
      </w:r>
      <w:r>
        <w:rPr>
          <w:vertAlign w:val="superscript"/>
          <w:lang w:val="en_US" w:bidi="en_US"/>
        </w:rPr>
        <w:t>(plur)</w:t>
      </w:r>
      <w:r>
        <w:rPr>
          <w:lang w:val="en_US" w:bidi="en_US"/>
        </w:rPr>
        <w:t xml:space="preserve"> pray </w:t>
      </w:r>
      <w:r>
        <w:rPr>
          <w:lang w:val="en_US" w:bidi="en_US"/>
        </w:rPr>
        <w:t>to God</w:t>
      </w:r>
      <w:r>
        <w:rPr>
          <w:lang w:val="en_US" w:bidi="en_US"/>
        </w:rPr>
        <w:t xml:space="preserve">, say </w:t>
      </w:r>
      <w:r>
        <w:rPr>
          <w:lang w:val="en_US" w:bidi="en_US"/>
        </w:rPr>
        <w:t>this</w:t>
      </w:r>
      <w:r>
        <w:rPr>
          <w:lang w:val="en_US" w:bidi="en_US"/>
        </w:rPr>
        <w:t>:</w:t>
      </w:r>
    </w:p>
    <w:p>
      <w:pPr>
        <w:pStyle w:val="ListBullet"/>
        <w:spacing w:line="240" w:lineRule="auto"/>
        <w:ind w:left="720"/>
      </w:pPr>
      <w:r>
        <w:rPr>
          <w:lang w:val="en_US" w:bidi="en_US"/>
        </w:rPr>
      </w:r>
      <w:r>
        <w:rPr>
          <w:lang w:val="en_US" w:bidi="en_US"/>
        </w:rPr>
        <w:t>So</w:t>
      </w:r>
      <w:r>
        <w:rPr>
          <w:lang w:val="en_US" w:bidi="en_US"/>
        </w:rPr>
        <w:t xml:space="preserve"> Jesus said to his disciples, “When you</w:t>
      </w:r>
      <w:r>
        <w:rPr>
          <w:vertAlign w:val="superscript"/>
          <w:lang w:val="en_US" w:bidi="en_US"/>
        </w:rPr>
        <w:t>(plur)</w:t>
      </w:r>
      <w:r>
        <w:rPr>
          <w:lang w:val="en_US" w:bidi="en_US"/>
        </w:rPr>
        <w:t xml:space="preserve"> talk/speak to God, say </w:t>
      </w:r>
      <w:r>
        <w:rPr>
          <w:lang w:val="en_US" w:bidi="en_US"/>
        </w:rPr>
        <w:t>these words</w:t>
      </w:r>
      <w:r>
        <w:rPr>
          <w:lang w:val="en_US" w:bidi="en_US"/>
        </w:rPr>
        <w:t>:</w:t>
      </w:r>
    </w:p>
    <w:p>
      <w:pPr/>
      <w:r>
        <w:rPr>
          <w:lang w:val="en_US" w:bidi="en_US"/>
        </w:rPr>
      </w:r>
      <w:r>
        <w:rPr>
          <w:b/>
          <w:lang w:val="en_US" w:bidi="en_US"/>
        </w:rPr>
        <w:t>So Jesus told them:</w:t>
      </w:r>
      <w:r>
        <w:rPr>
          <w:lang w:val="en_US" w:bidi="en_US"/>
        </w:rPr>
        <w:t xml:space="preserve"> Verse 11:2a introduces Jesus’ response to the disciple’s request in 11:1. The BSB connects these verses with the word </w:t>
      </w:r>
      <w:r>
        <w:rPr>
          <w:i/>
          <w:lang w:val="en_US" w:bidi="en_US"/>
        </w:rPr>
        <w:t>So</w:t>
      </w:r>
      <w:r>
        <w:rPr>
          <w:lang w:val="en_US" w:bidi="en_US"/>
        </w:rPr>
        <w:t>. You should connect these verses in a way that is natural in your language.</w:t>
      </w:r>
    </w:p>
    <w:p>
      <w:pPr/>
      <w:r>
        <w:rPr>
          <w:lang w:val="en_US" w:bidi="en_US"/>
        </w:rPr>
      </w:r>
      <w:r>
        <w:rPr>
          <w:b/>
          <w:lang w:val="en_US" w:bidi="en_US"/>
        </w:rPr>
        <w:t>When you pray, say:</w:t>
      </w:r>
      <w:r>
        <w:rPr>
          <w:lang w:val="en_US" w:bidi="en_US"/>
        </w:rPr>
        <w:t xml:space="preserve"> The phrase </w:t>
      </w:r>
      <w:r>
        <w:rPr>
          <w:i/>
          <w:lang w:val="en_US" w:bidi="en_US"/>
        </w:rPr>
        <w:t>When you pray, say</w:t>
      </w:r>
      <w:r>
        <w:rPr>
          <w:lang w:val="en_US" w:bidi="en_US"/>
        </w:rPr>
        <w:t xml:space="preserve"> indicates that Jesus would give the disciples a model prayer that they could use. This prayer is an example that shows the kinds of things Jesus’ disciples should pray about.</w:t>
      </w:r>
    </w:p>
    <w:p>
      <w:pPr>
        <w:pStyle w:val="Heading5"/>
      </w:pPr>
      <w:r>
        <w:rPr>
          <w:lang w:val="en_US" w:bidi="en_US"/>
        </w:rPr>
        <w:t>11:2b–4c</w:t>
      </w:r>
    </w:p>
    <w:p>
      <w:pPr/>
      <w:r>
        <w:rPr>
          <w:lang w:val="en_US" w:bidi="en_US"/>
        </w:rPr>
      </w:r>
      <w:r>
        <w:rPr>
          <w:lang w:val="en_US" w:bidi="en_US"/>
        </w:rPr>
        <w:t>Several English versions print each request in this prayer on a different line. For example:</w:t>
      </w:r>
    </w:p>
    <w:p>
      <w:pPr/>
      <w:r>
        <w:rPr>
          <w:lang w:val="en_US" w:bidi="en_US"/>
        </w:rPr>
      </w:r>
      <w:r>
        <w:rPr>
          <w:vertAlign w:val="superscript"/>
          <w:lang w:val="en_US" w:bidi="en_US"/>
        </w:rPr>
        <w:t>2a</w:t>
      </w:r>
      <w:r>
        <w:rPr>
          <w:lang w:val="en_US" w:bidi="en_US"/>
        </w:rPr>
        <w:t>Father,</w:t>
      </w:r>
    </w:p>
    <w:p>
      <w:pPr/>
      <w:r>
        <w:rPr>
          <w:lang w:val="en_US" w:bidi="en_US"/>
        </w:rPr>
      </w:r>
      <w:r>
        <w:rPr>
          <w:lang w:val="en_US" w:bidi="en_US"/>
        </w:rPr>
        <w:t>hallowed be your name,</w:t>
      </w:r>
    </w:p>
    <w:p>
      <w:pPr/>
      <w:r>
        <w:rPr>
          <w:lang w:val="en_US" w:bidi="en_US"/>
        </w:rPr>
      </w:r>
      <w:r>
        <w:rPr>
          <w:vertAlign w:val="superscript"/>
          <w:lang w:val="en_US" w:bidi="en_US"/>
        </w:rPr>
        <w:t>2c</w:t>
      </w:r>
      <w:r>
        <w:rPr>
          <w:lang w:val="en_US" w:bidi="en_US"/>
        </w:rPr>
        <w:t>your kingdom come.</w:t>
      </w:r>
    </w:p>
    <w:p>
      <w:pPr/>
      <w:r>
        <w:rPr>
          <w:lang w:val="en_US" w:bidi="en_US"/>
        </w:rPr>
      </w:r>
      <w:r>
        <w:rPr>
          <w:vertAlign w:val="superscript"/>
          <w:lang w:val="en_US" w:bidi="en_US"/>
        </w:rPr>
        <w:t>3</w:t>
      </w:r>
      <w:r>
        <w:rPr>
          <w:lang w:val="en_US" w:bidi="en_US"/>
        </w:rPr>
        <w:t>Give us each day our daily bread.</w:t>
      </w:r>
    </w:p>
    <w:p>
      <w:pPr/>
      <w:r>
        <w:rPr>
          <w:lang w:val="en_US" w:bidi="en_US"/>
        </w:rPr>
      </w:r>
      <w:r>
        <w:rPr>
          <w:vertAlign w:val="superscript"/>
          <w:lang w:val="en_US" w:bidi="en_US"/>
        </w:rPr>
        <w:t>4a</w:t>
      </w:r>
      <w:r>
        <w:rPr>
          <w:lang w:val="en_US" w:bidi="en_US"/>
        </w:rPr>
        <w:t>Forgive us our sins,</w:t>
      </w:r>
    </w:p>
    <w:p>
      <w:pPr/>
      <w:r>
        <w:rPr>
          <w:lang w:val="en_US" w:bidi="en_US"/>
        </w:rPr>
      </w:r>
      <w:r>
        <w:rPr>
          <w:vertAlign w:val="superscript"/>
          <w:lang w:val="en_US" w:bidi="en_US"/>
        </w:rPr>
        <w:t>4b</w:t>
      </w:r>
      <w:r>
        <w:rPr>
          <w:lang w:val="en_US" w:bidi="en_US"/>
        </w:rPr>
        <w:t>for we also forgive everyone who sins against us.</w:t>
      </w:r>
    </w:p>
    <w:p>
      <w:pPr/>
      <w:r>
        <w:rPr>
          <w:lang w:val="en_US" w:bidi="en_US"/>
        </w:rPr>
      </w:r>
      <w:r>
        <w:rPr>
          <w:vertAlign w:val="superscript"/>
          <w:lang w:val="en_US" w:bidi="en_US"/>
        </w:rPr>
        <w:t>4c</w:t>
      </w:r>
      <w:r>
        <w:rPr>
          <w:lang w:val="en_US" w:bidi="en_US"/>
        </w:rPr>
        <w:t>And lead us not into temptation.</w:t>
      </w:r>
    </w:p>
    <w:p>
      <w:pPr/>
      <w:r>
        <w:rPr>
          <w:lang w:val="en_US" w:bidi="en_US"/>
        </w:rPr>
      </w:r>
      <w:r>
        <w:rPr>
          <w:lang w:val="en_US" w:bidi="en_US"/>
        </w:rPr>
        <w:t>When you prepare the book of Luke for printing and publishing, you will have to decide how to format this prayer.</w:t>
      </w:r>
    </w:p>
    <w:p>
      <w:pPr>
        <w:pStyle w:val="Heading5"/>
      </w:pPr>
      <w:r>
        <w:rPr>
          <w:lang w:val="en_US" w:bidi="en_US"/>
        </w:rPr>
        <w:t>11:2b</w:t>
      </w:r>
    </w:p>
    <w:p>
      <w:pPr/>
      <w:r>
        <w:rPr>
          <w:lang w:val="en_US" w:bidi="en_US"/>
        </w:rPr>
      </w:r>
      <w:r>
        <w:rPr>
          <w:b/>
          <w:lang w:val="en_US" w:bidi="en_US"/>
        </w:rPr>
        <w:t>‘Father, hallowed be Your name.</w:t>
      </w:r>
    </w:p>
    <w:p>
      <w:pPr>
        <w:pStyle w:val="ListBullet"/>
        <w:spacing w:line="240" w:lineRule="auto"/>
        <w:ind w:left="720"/>
      </w:pPr>
      <w:r>
        <w:rPr>
          <w:lang w:val="en_US" w:bidi="en_US"/>
        </w:rPr>
      </w:r>
      <w:r>
        <w:rPr>
          <w:lang w:val="en_US" w:bidi="en_US"/>
        </w:rPr>
        <w:t>‘Father, may your name be treated/recognized as holy.</w:t>
      </w:r>
    </w:p>
    <w:p>
      <w:pPr>
        <w:pStyle w:val="ListBullet"/>
        <w:spacing w:line="240" w:lineRule="auto"/>
        <w:ind w:left="720"/>
      </w:pPr>
      <w:r>
        <w:rPr>
          <w:lang w:val="en_US" w:bidi="en_US"/>
        </w:rPr>
      </w:r>
      <w:r>
        <w:rPr>
          <w:lang w:val="en_US" w:bidi="en_US"/>
        </w:rPr>
        <w:t>‘</w:t>
      </w:r>
      <w:r>
        <w:rPr>
          <w:lang w:val="en_US" w:bidi="en_US"/>
        </w:rPr>
        <w:t>Our</w:t>
      </w:r>
      <w:r>
        <w:rPr>
          <w:vertAlign w:val="superscript"/>
          <w:lang w:val="en_US" w:bidi="en_US"/>
        </w:rPr>
        <w:t>(excl)</w:t>
      </w:r>
      <w:r>
        <w:rPr>
          <w:lang w:val="en_US" w:bidi="en_US"/>
        </w:rPr>
        <w:t xml:space="preserve"> Father, </w:t>
      </w:r>
      <w:r>
        <w:rPr>
          <w:lang w:val="en_US" w:bidi="en_US"/>
        </w:rPr>
        <w:t>we pray that people will</w:t>
      </w:r>
      <w:r>
        <w:rPr>
          <w:lang w:val="en_US" w:bidi="en_US"/>
        </w:rPr>
        <w:t xml:space="preserve"> honor/revere your holy name.</w:t>
      </w:r>
    </w:p>
    <w:p>
      <w:pPr>
        <w:pStyle w:val="ListBullet"/>
        <w:spacing w:line="240" w:lineRule="auto"/>
        <w:ind w:left="720"/>
      </w:pPr>
      <w:r>
        <w:rPr>
          <w:lang w:val="en_US" w:bidi="en_US"/>
        </w:rPr>
      </w:r>
      <w:r>
        <w:rPr>
          <w:lang w:val="en_US" w:bidi="en_US"/>
        </w:rPr>
        <w:t>‘Father God, cause everyone to honor you because of your holiness.</w:t>
      </w:r>
    </w:p>
    <w:p>
      <w:pPr/>
      <w:r>
        <w:rPr>
          <w:lang w:val="en_US" w:bidi="en_US"/>
        </w:rPr>
      </w:r>
      <w:r>
        <w:rPr>
          <w:b/>
          <w:lang w:val="en_US" w:bidi="en_US"/>
        </w:rPr>
        <w:t>Father:</w:t>
      </w:r>
      <w:r>
        <w:rPr>
          <w:lang w:val="en_US" w:bidi="en_US"/>
        </w:rPr>
        <w:t xml:space="preserve"> </w:t>
      </w:r>
      <w:r>
        <w:rPr>
          <w:lang w:val="en_US" w:bidi="en_US"/>
        </w:rPr>
        <w:t xml:space="preserve">There is a textual issue here: (1) Some Greek manuscripts have “Father.” (2) Other manuscripts have “Our Father the one who is in heaven.” It is recommended that you follow option (1). This option has the earliest manuscript support and is followed by most English versions. The Greek NT regards this text as virtually certain. Also, there is no reason why scribes would have omitted the phrase “the one who is in heaven” if it had been original. The longer text of option (2) is the same text as Matthew 6:9. The KJV follows option (2). If a major language version in your area follows option (2), you may want to put that option in a footnote. For more information, see Swanson, p. 200; Greek NT UBS 4 </w:t>
      </w:r>
      <w:r>
        <w:rPr>
          <w:vertAlign w:val="superscript"/>
          <w:lang w:val="en_US" w:bidi="en_US"/>
        </w:rPr>
        <w:t>th</w:t>
      </w:r>
      <w:r>
        <w:rPr>
          <w:lang w:val="en_US" w:bidi="en_US"/>
        </w:rPr>
        <w:t xml:space="preserve"> ed., p. 247; Metzger, p. 154; Marshall, p. 456; TRT, pp. 225–26; and Blight 2007a, pp. 491–92.</w:t>
      </w:r>
      <w:r>
        <w:rPr>
          <w:lang w:val="en_US" w:bidi="en_US"/>
        </w:rPr>
        <w:t xml:space="preserve"> Here Jesus addressed God as </w:t>
      </w:r>
      <w:r>
        <w:rPr>
          <w:i/>
          <w:lang w:val="en_US" w:bidi="en_US"/>
        </w:rPr>
        <w:t>Father</w:t>
      </w:r>
      <w:r>
        <w:rPr>
          <w:lang w:val="en_US" w:bidi="en_US"/>
        </w:rPr>
        <w:t>. If it is not clear that Jesus was referring to God, you may need to make it explicit. For example:</w:t>
      </w:r>
    </w:p>
    <w:p>
      <w:pPr/>
      <w:r>
        <w:rPr>
          <w:lang w:val="en_US" w:bidi="en_US"/>
        </w:rPr>
      </w:r>
      <w:r>
        <w:rPr>
          <w:lang w:val="en_US" w:bidi="en_US"/>
        </w:rPr>
        <w:t xml:space="preserve">Father </w:t>
      </w:r>
      <w:r>
        <w:rPr>
          <w:lang w:val="en_US" w:bidi="en_US"/>
        </w:rPr>
        <w:t>God</w:t>
      </w:r>
    </w:p>
    <w:p>
      <w:pPr/>
      <w:r>
        <w:rPr>
          <w:lang w:val="en_US" w:bidi="en_US"/>
        </w:rPr>
      </w:r>
      <w:r>
        <w:rPr>
          <w:lang w:val="en_US" w:bidi="en_US"/>
        </w:rPr>
        <w:t>In some languages, it may be more natural to supply a pronoun here. For example:</w:t>
      </w:r>
    </w:p>
    <w:p>
      <w:pPr/>
      <w:r>
        <w:rPr>
          <w:lang w:val="en_US" w:bidi="en_US"/>
        </w:rPr>
      </w:r>
      <w:r>
        <w:rPr>
          <w:lang w:val="en_US" w:bidi="en_US"/>
        </w:rPr>
        <w:t>Our</w:t>
      </w:r>
      <w:r>
        <w:rPr>
          <w:lang w:val="en_US" w:bidi="en_US"/>
        </w:rPr>
        <w:t xml:space="preserve"> </w:t>
      </w:r>
      <w:r>
        <w:rPr>
          <w:vertAlign w:val="superscript"/>
          <w:lang w:val="en_US" w:bidi="en_US"/>
        </w:rPr>
        <w:t>(excl)</w:t>
      </w:r>
      <w:r>
        <w:rPr>
          <w:lang w:val="en_US" w:bidi="en_US"/>
        </w:rPr>
        <w:t xml:space="preserve"> Father</w:t>
      </w:r>
    </w:p>
    <w:p>
      <w:pPr/>
      <w:r>
        <w:rPr>
          <w:lang w:val="en_US" w:bidi="en_US"/>
        </w:rPr>
      </w:r>
      <w:r>
        <w:rPr>
          <w:b/>
          <w:lang w:val="en_US" w:bidi="en_US"/>
        </w:rPr>
        <w:t>hallowed be Your name:</w:t>
      </w:r>
      <w:r>
        <w:rPr>
          <w:lang w:val="en_US" w:bidi="en_US"/>
        </w:rPr>
        <w:t xml:space="preserve"> The Greek clause that the BSB translates as </w:t>
      </w:r>
      <w:r>
        <w:rPr>
          <w:i/>
          <w:lang w:val="en_US" w:bidi="en_US"/>
        </w:rPr>
        <w:t>hallowed be Your name</w:t>
      </w:r>
      <w:r>
        <w:rPr>
          <w:lang w:val="en_US" w:bidi="en_US"/>
        </w:rPr>
        <w:t xml:space="preserve"> is a prayer. It is a prayer that God would cause his name to be recognized or honored as holy. In some languages it may be natural to express this in the form of a request. For example:</w:t>
      </w:r>
    </w:p>
    <w:p>
      <w:pPr/>
      <w:r>
        <w:rPr>
          <w:lang w:val="en_US" w:bidi="en_US"/>
        </w:rPr>
      </w:r>
      <w:r>
        <w:rPr>
          <w:u w:val="single"/>
          <w:lang w:val="en_US" w:bidi="en_US"/>
        </w:rPr>
        <w:t>may</w:t>
      </w:r>
      <w:r>
        <w:rPr>
          <w:lang w:val="en_US" w:bidi="en_US"/>
        </w:rPr>
        <w:t xml:space="preserve"> your holy name be honored (GNT)</w:t>
      </w:r>
    </w:p>
    <w:p>
      <w:pPr/>
      <w:r>
        <w:rPr>
          <w:lang w:val="en_US" w:bidi="en_US"/>
        </w:rPr>
      </w:r>
      <w:r>
        <w:rPr>
          <w:u w:val="single"/>
          <w:lang w:val="en_US" w:bidi="en_US"/>
        </w:rPr>
        <w:t>we pray/ask that</w:t>
      </w:r>
      <w:r>
        <w:rPr>
          <w:lang w:val="en_US" w:bidi="en_US"/>
        </w:rPr>
        <w:t xml:space="preserve"> your name be recognized as holy</w:t>
      </w:r>
    </w:p>
    <w:p>
      <w:pPr/>
      <w:r>
        <w:rPr>
          <w:lang w:val="en_US" w:bidi="en_US"/>
        </w:rPr>
      </w:r>
      <w:r>
        <w:rPr>
          <w:b/>
          <w:lang w:val="en_US" w:bidi="en_US"/>
        </w:rPr>
        <w:t>hallowed be:</w:t>
      </w:r>
      <w:r>
        <w:rPr>
          <w:lang w:val="en_US" w:bidi="en_US"/>
        </w:rPr>
        <w:t xml:space="preserve"> The Greek verb that the BSB translates as </w:t>
      </w:r>
      <w:r>
        <w:rPr>
          <w:i/>
          <w:lang w:val="en_US" w:bidi="en_US"/>
        </w:rPr>
        <w:t>hallowed</w:t>
      </w:r>
      <w:r>
        <w:rPr>
          <w:lang w:val="en_US" w:bidi="en_US"/>
        </w:rPr>
        <w:t xml:space="preserve"> comes from the same Greek word as “holy.” It means “make or cause </w:t>
      </w:r>
      <w:r>
        <w:rPr>
          <w:lang w:val="en_US" w:bidi="en_US"/>
        </w:rPr>
        <w:t>something</w:t>
      </w:r>
      <w:r>
        <w:rPr>
          <w:lang w:val="en_US" w:bidi="en_US"/>
        </w:rPr>
        <w:t xml:space="preserve"> to be holy.” (See the note on “holy is his name” in 1:49b for more information on translating “holy” in this context.)</w:t>
      </w:r>
    </w:p>
    <w:p>
      <w:pPr/>
      <w:r>
        <w:rPr>
          <w:lang w:val="en_US" w:bidi="en_US"/>
        </w:rPr>
      </w:r>
      <w:r>
        <w:rPr>
          <w:lang w:val="en_US" w:bidi="en_US"/>
        </w:rPr>
        <w:t>This verb is passive. The text does not specify who should make God’s name holy. This action involves both God and people. God makes his name holy by revealing to people that he is holy. He is completely perfect and sinless and is worthy of awe. People make God’s name holy by honoring or treating him as the holy God who deserves their worship and obedience.</w:t>
      </w:r>
    </w:p>
    <w:p>
      <w:pPr/>
      <w:r>
        <w:rPr>
          <w:lang w:val="en_US" w:bidi="en_US"/>
        </w:rPr>
      </w:r>
      <w:r>
        <w:rPr>
          <w:lang w:val="en_US" w:bidi="en_US"/>
        </w:rPr>
        <w:t>If possible, translate this clause in a way that both God and people can be understood as the ones who make God’s name holy. Some ways to do this are:</w:t>
      </w:r>
    </w:p>
    <w:p>
      <w:pPr>
        <w:pStyle w:val="ListBullet"/>
        <w:spacing w:line="240" w:lineRule="auto"/>
        <w:ind w:left="720"/>
      </w:pPr>
      <w:r>
        <w:rPr>
          <w:lang w:val="en_US" w:bidi="en_US"/>
        </w:rPr>
      </w:r>
      <w:r>
        <w:rPr>
          <w:lang w:val="en_US" w:bidi="en_US"/>
        </w:rPr>
        <w:t>Use a passive verb, as in the previous two examples.</w:t>
      </w:r>
    </w:p>
    <w:p>
      <w:pPr>
        <w:pStyle w:val="ListBullet"/>
        <w:spacing w:line="240" w:lineRule="auto"/>
        <w:ind w:left="720"/>
      </w:pPr>
      <w:r>
        <w:rPr>
          <w:lang w:val="en_US" w:bidi="en_US"/>
        </w:rPr>
      </w:r>
      <w:r>
        <w:rPr>
          <w:lang w:val="en_US" w:bidi="en_US"/>
        </w:rPr>
        <w:t>Use an active verb. For example:</w:t>
      </w:r>
      <w:r>
        <w:rPr>
          <w:lang w:val="en_US" w:bidi="en_US"/>
        </w:rPr>
        <w:t xml:space="preserve">cause </w:t>
      </w:r>
      <w:r>
        <w:rPr>
          <w:lang w:val="en_US" w:bidi="en_US"/>
        </w:rPr>
        <w:t>people</w:t>
      </w:r>
      <w:r>
        <w:rPr>
          <w:lang w:val="en_US" w:bidi="en_US"/>
        </w:rPr>
        <w:t xml:space="preserve"> to recognize that your name is holy</w:t>
      </w:r>
      <w:r>
        <w:rPr>
          <w:lang w:val="en_US" w:bidi="en_US"/>
        </w:rPr>
        <w:t xml:space="preserve">reveal </w:t>
      </w:r>
      <w:r>
        <w:rPr>
          <w:lang w:val="en_US" w:bidi="en_US"/>
        </w:rPr>
        <w:t>to everyone</w:t>
      </w:r>
      <w:r>
        <w:rPr>
          <w:lang w:val="en_US" w:bidi="en_US"/>
        </w:rPr>
        <w:t xml:space="preserve"> that you are holy so that they will recognize you as the only God</w:t>
      </w:r>
      <w:r>
        <w:rPr>
          <w:lang w:val="en_US" w:bidi="en_US"/>
        </w:rPr>
        <w:t>help us to honor your name (CEV)</w:t>
      </w:r>
    </w:p>
    <w:p>
      <w:pPr/>
      <w:r>
        <w:rPr>
          <w:lang w:val="en_US" w:bidi="en_US"/>
        </w:rPr>
      </w:r>
      <w:r>
        <w:rPr>
          <w:lang w:val="en_US" w:bidi="en_US"/>
        </w:rPr>
        <w:t>If you need to specify that either God or people are the ones who make God’s name holy, it is recommended that you specify people. For example:</w:t>
      </w:r>
    </w:p>
    <w:p>
      <w:pPr/>
      <w:r>
        <w:rPr>
          <w:lang w:val="en_US" w:bidi="en_US"/>
        </w:rPr>
      </w:r>
      <w:r>
        <w:rPr>
          <w:lang w:val="en_US" w:bidi="en_US"/>
        </w:rPr>
        <w:t xml:space="preserve">we pray that </w:t>
      </w:r>
      <w:r>
        <w:rPr>
          <w:lang w:val="en_US" w:bidi="en_US"/>
        </w:rPr>
        <w:t>all people</w:t>
      </w:r>
      <w:r>
        <w:rPr>
          <w:lang w:val="en_US" w:bidi="en_US"/>
        </w:rPr>
        <w:t xml:space="preserve"> would honor/respect your holy name</w:t>
      </w:r>
    </w:p>
    <w:p>
      <w:pPr/>
      <w:r>
        <w:rPr>
          <w:lang w:val="en_US" w:bidi="en_US"/>
        </w:rPr>
      </w:r>
      <w:r>
        <w:rPr>
          <w:lang w:val="en_US" w:bidi="en_US"/>
        </w:rPr>
        <w:t xml:space="preserve">may </w:t>
      </w:r>
      <w:r>
        <w:rPr>
          <w:lang w:val="en_US" w:bidi="en_US"/>
        </w:rPr>
        <w:t>all people</w:t>
      </w:r>
      <w:r>
        <w:rPr>
          <w:lang w:val="en_US" w:bidi="en_US"/>
        </w:rPr>
        <w:t xml:space="preserve"> recognize that you are holy</w:t>
      </w:r>
    </w:p>
    <w:p>
      <w:pPr/>
      <w:r>
        <w:rPr>
          <w:lang w:val="en_US" w:bidi="en_US"/>
        </w:rPr>
      </w:r>
      <w:r>
        <w:rPr>
          <w:b/>
          <w:lang w:val="en_US" w:bidi="en_US"/>
        </w:rPr>
        <w:t>Your name:</w:t>
      </w:r>
      <w:r>
        <w:rPr>
          <w:lang w:val="en_US" w:bidi="en_US"/>
        </w:rPr>
        <w:t xml:space="preserve"> In Jewish thinking, a person’s </w:t>
      </w:r>
      <w:r>
        <w:rPr>
          <w:i/>
          <w:lang w:val="en_US" w:bidi="en_US"/>
        </w:rPr>
        <w:t>name</w:t>
      </w:r>
      <w:r>
        <w:rPr>
          <w:lang w:val="en_US" w:bidi="en_US"/>
        </w:rPr>
        <w:t xml:space="preserve"> represented the person himself. When people honored someone’s name, it was the same as honoring him. If this would not be understood in your language, it may be necessary to translate the meaning of </w:t>
      </w:r>
      <w:r>
        <w:rPr>
          <w:i/>
          <w:lang w:val="en_US" w:bidi="en_US"/>
        </w:rPr>
        <w:t>name</w:t>
      </w:r>
      <w:r>
        <w:rPr>
          <w:lang w:val="en_US" w:bidi="en_US"/>
        </w:rPr>
        <w:t xml:space="preserve"> directly. For example:</w:t>
      </w:r>
    </w:p>
    <w:p>
      <w:pPr/>
      <w:r>
        <w:rPr>
          <w:lang w:val="en_US" w:bidi="en_US"/>
        </w:rPr>
      </w:r>
      <w:r>
        <w:rPr>
          <w:lang w:val="en_US" w:bidi="en_US"/>
        </w:rPr>
        <w:t xml:space="preserve">may you be honored as the holy </w:t>
      </w:r>
      <w:r>
        <w:rPr>
          <w:lang w:val="en_US" w:bidi="en_US"/>
        </w:rPr>
        <w:t>God</w:t>
      </w:r>
    </w:p>
    <w:p>
      <w:pPr/>
      <w:r>
        <w:rPr>
          <w:lang w:val="en_US" w:bidi="en_US"/>
        </w:rPr>
      </w:r>
      <w:r>
        <w:rPr>
          <w:lang w:val="en_US" w:bidi="en_US"/>
        </w:rPr>
        <w:t xml:space="preserve">may </w:t>
      </w:r>
      <w:r>
        <w:rPr>
          <w:lang w:val="en_US" w:bidi="en_US"/>
        </w:rPr>
        <w:t>people</w:t>
      </w:r>
      <w:r>
        <w:rPr>
          <w:lang w:val="en_US" w:bidi="en_US"/>
        </w:rPr>
        <w:t xml:space="preserve"> treat you with the respect you deserve as God</w:t>
      </w:r>
    </w:p>
    <w:p>
      <w:pPr/>
      <w:r>
        <w:rPr>
          <w:lang w:val="en_US" w:bidi="en_US"/>
        </w:rPr>
      </w:r>
      <w:r>
        <w:rPr>
          <w:lang w:val="en_US" w:bidi="en_US"/>
        </w:rPr>
        <w:t>we ask that</w:t>
      </w:r>
      <w:r>
        <w:rPr>
          <w:lang w:val="en_US" w:bidi="en_US"/>
        </w:rPr>
        <w:t xml:space="preserve"> you will cause </w:t>
      </w:r>
      <w:r>
        <w:rPr>
          <w:lang w:val="en_US" w:bidi="en_US"/>
        </w:rPr>
        <w:t>men to say</w:t>
      </w:r>
      <w:r>
        <w:rPr>
          <w:lang w:val="en_US" w:bidi="en_US"/>
        </w:rPr>
        <w:t>, “You are holy”</w:t>
      </w:r>
    </w:p>
    <w:p>
      <w:pPr>
        <w:pStyle w:val="Heading5"/>
      </w:pPr>
      <w:r>
        <w:rPr>
          <w:lang w:val="en_US" w:bidi="en_US"/>
        </w:rPr>
        <w:t>11:2c</w:t>
      </w:r>
    </w:p>
    <w:p>
      <w:pPr/>
      <w:r>
        <w:rPr>
          <w:lang w:val="en_US" w:bidi="en_US"/>
        </w:rPr>
      </w:r>
      <w:r>
        <w:rPr>
          <w:b/>
          <w:lang w:val="en_US" w:bidi="en_US"/>
        </w:rPr>
        <w:t>Your kingdom come.</w:t>
      </w:r>
    </w:p>
    <w:p>
      <w:pPr>
        <w:pStyle w:val="ListBullet"/>
        <w:spacing w:line="240" w:lineRule="auto"/>
        <w:ind w:left="720"/>
      </w:pPr>
      <w:r>
        <w:rPr>
          <w:lang w:val="en_US" w:bidi="en_US"/>
        </w:rPr>
      </w:r>
      <w:r>
        <w:rPr>
          <w:lang w:val="en_US" w:bidi="en_US"/>
        </w:rPr>
        <w:t>May your kingdom come. (NCV)</w:t>
      </w:r>
    </w:p>
    <w:p>
      <w:pPr>
        <w:pStyle w:val="ListBullet"/>
        <w:spacing w:line="240" w:lineRule="auto"/>
        <w:ind w:left="720"/>
      </w:pPr>
      <w:r>
        <w:rPr>
          <w:lang w:val="en_US" w:bidi="en_US"/>
        </w:rPr>
      </w:r>
      <w:r>
        <w:rPr>
          <w:lang w:val="en_US" w:bidi="en_US"/>
        </w:rPr>
        <w:t>May you</w:t>
      </w:r>
      <w:r>
        <w:rPr>
          <w:vertAlign w:val="superscript"/>
          <w:lang w:val="en_US" w:bidi="en_US"/>
        </w:rPr>
        <w:t>(sing)</w:t>
      </w:r>
      <w:r>
        <w:rPr>
          <w:lang w:val="en_US" w:bidi="en_US"/>
        </w:rPr>
        <w:t xml:space="preserve"> rule </w:t>
      </w:r>
      <w:r>
        <w:rPr>
          <w:lang w:val="en_US" w:bidi="en_US"/>
        </w:rPr>
        <w:t>everyone/everywhere</w:t>
      </w:r>
      <w:r>
        <w:rPr>
          <w:lang w:val="en_US" w:bidi="en_US"/>
        </w:rPr>
        <w:t xml:space="preserve"> as king.</w:t>
      </w:r>
    </w:p>
    <w:p>
      <w:pPr>
        <w:pStyle w:val="ListBullet"/>
        <w:spacing w:line="240" w:lineRule="auto"/>
        <w:ind w:left="720"/>
      </w:pPr>
      <w:r>
        <w:rPr>
          <w:lang w:val="en_US" w:bidi="en_US"/>
        </w:rPr>
      </w:r>
      <w:r>
        <w:rPr>
          <w:lang w:val="en_US" w:bidi="en_US"/>
        </w:rPr>
        <w:t xml:space="preserve">May the time begin/arrive for you to rule as king </w:t>
      </w:r>
      <w:r>
        <w:rPr>
          <w:lang w:val="en_US" w:bidi="en_US"/>
        </w:rPr>
        <w:t>on the earth</w:t>
      </w:r>
      <w:r>
        <w:rPr>
          <w:lang w:val="en_US" w:bidi="en_US"/>
        </w:rPr>
        <w: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pray that</w:t>
      </w:r>
      <w:r>
        <w:rPr>
          <w:lang w:val="en_US" w:bidi="en_US"/>
        </w:rPr>
        <w:t xml:space="preserve"> you will rule </w:t>
      </w:r>
      <w:r>
        <w:rPr>
          <w:lang w:val="en_US" w:bidi="en_US"/>
        </w:rPr>
        <w:t>over all people</w:t>
      </w:r>
      <w:r>
        <w:rPr>
          <w:lang w:val="en_US" w:bidi="en_US"/>
        </w:rPr>
        <w:t>.</w:t>
      </w:r>
    </w:p>
    <w:p>
      <w:pPr/>
      <w:r>
        <w:rPr>
          <w:lang w:val="en_US" w:bidi="en_US"/>
        </w:rPr>
      </w:r>
      <w:r>
        <w:rPr>
          <w:b/>
          <w:lang w:val="en_US" w:bidi="en_US"/>
        </w:rPr>
        <w:t>Your kingdom come:</w:t>
      </w:r>
      <w:r>
        <w:rPr>
          <w:lang w:val="en_US" w:bidi="en_US"/>
        </w:rPr>
        <w:t xml:space="preserve"> </w:t>
      </w:r>
      <w:r>
        <w:rPr>
          <w:lang w:val="en_US" w:bidi="en_US"/>
        </w:rPr>
        <w:t xml:space="preserve">There is a textual issue here. (1) Some Greek manuscripts have “may your kingdom come.” (2) Other manuscripts have “may your kingdom come, may your will come to pass as in heaven also upon the earth.” It is recommended that you follow option (1). This option has the earliest manuscript support and is followed by most English versions. Also, there is no reason why scribes would have omitted the phrase “may your will come to pass as in heaven also upon the earth” if it were original. The longer text of option (2) is the same text as Matthew 6:10. The KJV follows option (2). If a major language version in your area follows option (2), you may want to put that option in a footnote. For more information, see Swanson, p. 201; Greek NT UBS 4 </w:t>
      </w:r>
      <w:r>
        <w:rPr>
          <w:vertAlign w:val="superscript"/>
          <w:lang w:val="en_US" w:bidi="en_US"/>
        </w:rPr>
        <w:t>th</w:t>
      </w:r>
      <w:r>
        <w:rPr>
          <w:lang w:val="en_US" w:bidi="en_US"/>
        </w:rPr>
        <w:t xml:space="preserve"> ed., p. 247–48; Metzger, p. 156; Marshall, p. 458; TRT, pp. 225–26; and Blight 2007a, pp. 491–92.</w:t>
      </w:r>
      <w:r>
        <w:rPr>
          <w:lang w:val="en_US" w:bidi="en_US"/>
        </w:rPr>
        <w:t xml:space="preserve"> The clause that the BSB translates as </w:t>
      </w:r>
      <w:r>
        <w:rPr>
          <w:i/>
          <w:lang w:val="en_US" w:bidi="en_US"/>
        </w:rPr>
        <w:t>Your kingdom come</w:t>
      </w:r>
      <w:r>
        <w:rPr>
          <w:lang w:val="en_US" w:bidi="en_US"/>
        </w:rPr>
        <w:t xml:space="preserve"> has a similar structure to the previous clause. It expresses a desire or prayer that God’s kingdom will come.</w:t>
      </w:r>
    </w:p>
    <w:p>
      <w:pPr/>
      <w:r>
        <w:rPr>
          <w:lang w:val="en_US" w:bidi="en_US"/>
        </w:rPr>
      </w:r>
      <w:r>
        <w:rPr>
          <w:lang w:val="en_US" w:bidi="en_US"/>
        </w:rPr>
        <w:t>Most scholars agree that this prayer refers to more than one aspect of God’s kingdom/rule. This is a prayer that:</w:t>
      </w:r>
    </w:p>
    <w:p>
      <w:pPr>
        <w:pStyle w:val="ListNumber"/>
        <w:numPr>
          <w:ilvl w:val="0"/>
          <w:numId w:val="211"/>
        </w:numPr>
        <w:spacing w:line="240" w:lineRule="auto"/>
        <w:ind w:left="720"/>
      </w:pPr>
      <w:r>
        <w:rPr>
          <w:lang w:val="en_US" w:bidi="en_US"/>
        </w:rPr>
      </w:r>
      <w:r>
        <w:rPr>
          <w:lang w:val="en_US" w:bidi="en_US"/>
        </w:rPr>
        <w:t>God will truly rule now in the lives of his people;</w:t>
      </w:r>
    </w:p>
    <w:p>
      <w:pPr>
        <w:pStyle w:val="ListNumber"/>
        <w:spacing w:line="240" w:lineRule="auto"/>
        <w:ind w:left="720"/>
      </w:pPr>
      <w:r>
        <w:rPr>
          <w:lang w:val="en_US" w:bidi="en_US"/>
        </w:rPr>
      </w:r>
      <w:r>
        <w:rPr>
          <w:lang w:val="en_US" w:bidi="en_US"/>
        </w:rPr>
        <w:t>God’s rule will be extended over more and more people;</w:t>
      </w:r>
    </w:p>
    <w:p>
      <w:pPr>
        <w:pStyle w:val="ListNumber"/>
        <w:spacing w:line="240" w:lineRule="auto"/>
        <w:ind w:left="720"/>
      </w:pPr>
      <w:r>
        <w:rPr>
          <w:lang w:val="en_US" w:bidi="en_US"/>
        </w:rPr>
      </w:r>
      <w:r>
        <w:rPr>
          <w:lang w:val="en_US" w:bidi="en_US"/>
        </w:rPr>
        <w:t>God’s rule will be established in the future over all the earth.</w:t>
      </w:r>
    </w:p>
    <w:p>
      <w:pPr/>
      <w:r>
        <w:rPr>
          <w:lang w:val="en_US" w:bidi="en_US"/>
        </w:rPr>
      </w:r>
      <w:r>
        <w:rPr>
          <w:lang w:val="en_US" w:bidi="en_US"/>
        </w:rPr>
        <w:t>If possible, you should translate in a way that allows for all these meanings. Some ways to translate this clause are:</w:t>
      </w:r>
    </w:p>
    <w:p>
      <w:pPr/>
      <w:r>
        <w:rPr>
          <w:lang w:val="en_US" w:bidi="en_US"/>
        </w:rPr>
      </w:r>
      <w:r>
        <w:rPr>
          <w:lang w:val="en_US" w:bidi="en_US"/>
        </w:rPr>
        <w:t xml:space="preserve">May you rule </w:t>
      </w:r>
      <w:r>
        <w:rPr>
          <w:lang w:val="en_US" w:bidi="en_US"/>
        </w:rPr>
        <w:t>everyone/everywhere</w:t>
      </w:r>
    </w:p>
    <w:p>
      <w:pPr/>
      <w:r>
        <w:rPr>
          <w:lang w:val="en_US" w:bidi="en_US"/>
        </w:rPr>
      </w:r>
      <w:r>
        <w:rPr>
          <w:lang w:val="en_US" w:bidi="en_US"/>
        </w:rPr>
        <w:t xml:space="preserve">We pray that you will rule </w:t>
      </w:r>
      <w:r>
        <w:rPr>
          <w:lang w:val="en_US" w:bidi="en_US"/>
        </w:rPr>
        <w:t>over all people</w:t>
      </w:r>
    </w:p>
    <w:p>
      <w:pPr/>
      <w:r>
        <w:rPr>
          <w:lang w:val="en_US" w:bidi="en_US"/>
        </w:rPr>
      </w:r>
      <w:r>
        <w:rPr>
          <w:lang w:val="en_US" w:bidi="en_US"/>
        </w:rPr>
        <w:t>May the time begin/arrive for you to rule as king</w:t>
      </w:r>
    </w:p>
    <w:p>
      <w:pPr/>
      <w:r>
        <w:rPr>
          <w:lang w:val="en_US" w:bidi="en_US"/>
        </w:rPr>
      </w:r>
      <w:r>
        <w:rPr>
          <w:lang w:val="en_US" w:bidi="en_US"/>
        </w:rPr>
        <w:t>Cause your kingdom/chieftaincy to be established</w:t>
      </w:r>
    </w:p>
    <w:p>
      <w:pPr/>
      <w:r>
        <w:rPr>
          <w:lang w:val="en_US" w:bidi="en_US"/>
        </w:rPr>
      </w:r>
      <w:r>
        <w:rPr>
          <w:lang w:val="en_US" w:bidi="en_US"/>
        </w:rPr>
        <w:t>Luke 11:2c is the same as the first clause of Matthew 6:10. See the note on 9:2 for a discussion of God’s kingdom. See also kingdom of God in the Glossary.</w:t>
      </w:r>
      <w:r>
        <w:rPr>
          <w:lang w:val="en_US" w:bidi="en_US"/>
        </w:rPr>
      </w:r>
      <w:r>
        <w:rPr>
          <w:lang w:val="en_US" w:bidi="en_US"/>
        </w:rPr>
      </w:r>
    </w:p>
    <w:p>
      <w:pPr/>
      <w:r>
        <w:rPr>
          <w:lang w:val="en_US" w:bidi="en_US"/>
        </w:rPr>
      </w:r>
    </w:p>
    <w:p>
      <w:pPr>
        <w:pStyle w:val="Heading2"/>
      </w:pPr>
      <w:r>
        <w:rPr>
          <w:lang w:val="en_US" w:bidi="en_US"/>
        </w:rPr>
        <w:t>Luke 11:3</w:t>
      </w:r>
      <w:r>
        <w:rPr>
          <w:lang w:val="en_US" w:bidi="en_US"/>
        </w:rPr>
      </w:r>
    </w:p>
    <w:p>
      <w:pPr>
        <w:pStyle w:val="Heading4"/>
      </w:pPr>
      <w:r>
        <w:rPr>
          <w:lang w:val="en_US" w:bidi="en_US"/>
        </w:rPr>
        <w:t>Section 11:1–13: Jesus taught his disciples about prayer</w:t>
      </w:r>
    </w:p>
    <w:p>
      <w:pPr/>
      <w:r>
        <w:rPr>
          <w:lang w:val="en_US" w:bidi="en_US"/>
        </w:rPr>
      </w:r>
      <w:r>
        <w:rPr>
          <w:lang w:val="en_US" w:bidi="en_US"/>
        </w:rPr>
        <w:t>There are four paragraphs in this section. In each paragraph, Jesus taught his disciples something about prayer.</w:t>
      </w:r>
    </w:p>
    <w:p>
      <w:pPr/>
      <w:r>
        <w:rPr>
          <w:lang w:val="en_US" w:bidi="en_US"/>
        </w:rPr>
      </w:r>
      <w:r>
        <w:rPr>
          <w:lang w:val="en_US" w:bidi="en_US"/>
        </w:rPr>
        <w:t>Some other headings for this section are:</w:t>
      </w:r>
    </w:p>
    <w:p>
      <w:pPr/>
      <w:r>
        <w:rPr>
          <w:lang w:val="en_US" w:bidi="en_US"/>
        </w:rPr>
      </w:r>
      <w:r>
        <w:rPr>
          <w:lang w:val="en_US" w:bidi="en_US"/>
        </w:rPr>
        <w:t>Jesus’ Teaching on Prayer (NIV)</w:t>
      </w:r>
    </w:p>
    <w:p>
      <w:pPr/>
      <w:r>
        <w:rPr>
          <w:lang w:val="en_US" w:bidi="en_US"/>
        </w:rPr>
      </w:r>
      <w:r>
        <w:rPr>
          <w:lang w:val="en_US" w:bidi="en_US"/>
        </w:rPr>
        <w:t>Jesus Teaches About Prayer (NCV)</w:t>
      </w:r>
    </w:p>
    <w:p>
      <w:pPr/>
      <w:r>
        <w:rPr>
          <w:lang w:val="en_US" w:bidi="en_US"/>
        </w:rPr>
      </w:r>
      <w:r>
        <w:rPr>
          <w:lang w:val="en_US" w:bidi="en_US"/>
        </w:rPr>
        <w:t>There are parallel passages for this section in Matthew 6:9–13 and 7:7–11.</w:t>
      </w:r>
    </w:p>
    <w:p>
      <w:pPr>
        <w:pStyle w:val="Heading4"/>
      </w:pPr>
      <w:r>
        <w:rPr>
          <w:lang w:val="en_US" w:bidi="en_US"/>
        </w:rPr>
        <w:t>Paragraph 11:1–4</w:t>
      </w:r>
    </w:p>
    <w:p>
      <w:pPr/>
      <w:r>
        <w:rPr>
          <w:lang w:val="en_US" w:bidi="en_US"/>
        </w:rPr>
      </w:r>
      <w:r>
        <w:rPr>
          <w:lang w:val="en_US" w:bidi="en_US"/>
        </w:rPr>
        <w:t>In this paragraph, Jesus taught his disciples a prayer. This prayer is an example of how they should pray (11:2–4). Christians around the world call this prayer “the Lord’s Prayer.” A longer form of the Lord’s Prayer is recorded in Matthew 6:9–13. It is the form that most Christian churches use when they pray it aloud together in worship. The prayer here in Luke is shorter than the one in Matthew.</w:t>
      </w:r>
    </w:p>
    <w:p>
      <w:pPr/>
      <w:r>
        <w:rPr>
          <w:lang w:val="en_US" w:bidi="en_US"/>
        </w:rPr>
      </w:r>
      <w:r>
        <w:rPr>
          <w:lang w:val="en_US" w:bidi="en_US"/>
        </w:rPr>
        <w:t>If you have already translated Matthew, compare the two versions of the prayer. Try to use the same or similar wording where the original Greek has the same words. Differences between the Greek text in Matthew and Luke are discussed in the footnotes.</w:t>
      </w:r>
    </w:p>
    <w:p>
      <w:pPr>
        <w:pStyle w:val="Heading5"/>
      </w:pPr>
      <w:r>
        <w:rPr>
          <w:lang w:val="en_US" w:bidi="en_US"/>
        </w:rPr>
        <w:t>11:3</w:t>
      </w:r>
    </w:p>
    <w:p>
      <w:pPr/>
      <w:r>
        <w:rPr>
          <w:lang w:val="en_US" w:bidi="en_US"/>
        </w:rPr>
      </w:r>
      <w:r>
        <w:rPr>
          <w:b/>
          <w:lang w:val="en_US" w:bidi="en_US"/>
        </w:rPr>
        <w:t>Give us each day our daily bread.</w:t>
      </w:r>
    </w:p>
    <w:p>
      <w:pPr>
        <w:pStyle w:val="ListBullet"/>
        <w:spacing w:line="240" w:lineRule="auto"/>
        <w:ind w:left="720"/>
      </w:pPr>
      <w:r>
        <w:rPr>
          <w:lang w:val="en_US" w:bidi="en_US"/>
        </w:rPr>
      </w:r>
      <w:r>
        <w:rPr>
          <w:lang w:val="en_US" w:bidi="en_US"/>
        </w:rPr>
        <w:t>Give</w:t>
      </w:r>
      <w:r>
        <w:rPr>
          <w:vertAlign w:val="superscript"/>
          <w:lang w:val="en_US" w:bidi="en_US"/>
        </w:rPr>
        <w:t>(sing)</w:t>
      </w:r>
      <w:r>
        <w:rPr>
          <w:lang w:val="en_US" w:bidi="en_US"/>
        </w:rPr>
        <w:t xml:space="preserve"> to us</w:t>
      </w:r>
      <w:r>
        <w:rPr>
          <w:vertAlign w:val="superscript"/>
          <w:lang w:val="en_US" w:bidi="en_US"/>
        </w:rPr>
        <w:t>(excl)</w:t>
      </w:r>
      <w:r>
        <w:rPr>
          <w:lang w:val="en_US" w:bidi="en_US"/>
        </w:rPr>
        <w:t xml:space="preserve"> each day the bread that we</w:t>
      </w:r>
      <w:r>
        <w:rPr>
          <w:vertAlign w:val="superscript"/>
          <w:lang w:val="en_US" w:bidi="en_US"/>
        </w:rPr>
        <w:t>(excl)</w:t>
      </w:r>
      <w:r>
        <w:rPr>
          <w:lang w:val="en_US" w:bidi="en_US"/>
        </w:rPr>
        <w:t xml:space="preserve"> need for that day.</w:t>
      </w:r>
    </w:p>
    <w:p>
      <w:pPr>
        <w:pStyle w:val="ListBullet"/>
        <w:spacing w:line="240" w:lineRule="auto"/>
        <w:ind w:left="720"/>
      </w:pPr>
      <w:r>
        <w:rPr>
          <w:lang w:val="en_US" w:bidi="en_US"/>
        </w:rPr>
      </w:r>
      <w:r>
        <w:rPr>
          <w:lang w:val="en_US" w:bidi="en_US"/>
        </w:rPr>
        <w:t>Please</w:t>
      </w:r>
      <w:r>
        <w:rPr>
          <w:lang w:val="en_US" w:bidi="en_US"/>
        </w:rPr>
        <w:t xml:space="preserve"> provide</w:t>
      </w:r>
      <w:r>
        <w:rPr>
          <w:vertAlign w:val="superscript"/>
          <w:lang w:val="en_US" w:bidi="en_US"/>
        </w:rPr>
        <w:t>(sing)</w:t>
      </w:r>
      <w:r>
        <w:rPr>
          <w:lang w:val="en_US" w:bidi="en_US"/>
        </w:rPr>
        <w:t xml:space="preserve"> us</w:t>
      </w:r>
      <w:r>
        <w:rPr>
          <w:vertAlign w:val="superscript"/>
          <w:lang w:val="en_US" w:bidi="en_US"/>
        </w:rPr>
        <w:t>(excl)</w:t>
      </w:r>
      <w:r>
        <w:rPr>
          <w:lang w:val="en_US" w:bidi="en_US"/>
        </w:rPr>
        <w:t xml:space="preserve"> every day with the food that we</w:t>
      </w:r>
      <w:r>
        <w:rPr>
          <w:vertAlign w:val="superscript"/>
          <w:lang w:val="en_US" w:bidi="en_US"/>
        </w:rPr>
        <w:t>(excl)</w:t>
      </w:r>
      <w:r>
        <w:rPr>
          <w:lang w:val="en_US" w:bidi="en_US"/>
        </w:rPr>
        <w:t xml:space="preserve"> need.</w:t>
      </w:r>
    </w:p>
    <w:p>
      <w:pPr/>
      <w:r>
        <w:rPr>
          <w:lang w:val="en_US" w:bidi="en_US"/>
        </w:rPr>
      </w:r>
      <w:r>
        <w:rPr>
          <w:b/>
          <w:lang w:val="en_US" w:bidi="en_US"/>
        </w:rPr>
        <w:t>Give us each day our daily bread:</w:t>
      </w:r>
      <w:r>
        <w:rPr>
          <w:lang w:val="en_US" w:bidi="en_US"/>
        </w:rPr>
        <w:t xml:space="preserve"> This clause means “Each day, give to us the bread/food that we need for that day.” It is a request to God to provide the food that we need each day. Some other ways to translate this are:</w:t>
      </w:r>
    </w:p>
    <w:p>
      <w:pPr/>
      <w:r>
        <w:rPr>
          <w:lang w:val="en_US" w:bidi="en_US"/>
        </w:rPr>
      </w:r>
      <w:r>
        <w:rPr>
          <w:lang w:val="en_US" w:bidi="en_US"/>
        </w:rPr>
        <w:t>We pray that you will</w:t>
      </w:r>
      <w:r>
        <w:rPr>
          <w:lang w:val="en_US" w:bidi="en_US"/>
        </w:rPr>
        <w:t xml:space="preserve"> give to us each day the bread that we need for that day.</w:t>
      </w:r>
    </w:p>
    <w:p>
      <w:pPr/>
      <w:r>
        <w:rPr>
          <w:lang w:val="en_US" w:bidi="en_US"/>
        </w:rPr>
      </w:r>
      <w:r>
        <w:rPr>
          <w:lang w:val="en_US" w:bidi="en_US"/>
        </w:rPr>
        <w:t xml:space="preserve">Each day, </w:t>
      </w:r>
      <w:r>
        <w:rPr>
          <w:lang w:val="en_US" w:bidi="en_US"/>
        </w:rPr>
        <w:t>please</w:t>
      </w:r>
      <w:r>
        <w:rPr>
          <w:lang w:val="en_US" w:bidi="en_US"/>
        </w:rPr>
        <w:t xml:space="preserve"> give to us the food that we need.</w:t>
      </w:r>
    </w:p>
    <w:p>
      <w:pPr/>
      <w:r>
        <w:rPr>
          <w:lang w:val="en_US" w:bidi="en_US"/>
        </w:rPr>
      </w:r>
      <w:r>
        <w:rPr>
          <w:lang w:val="en_US" w:bidi="en_US"/>
        </w:rPr>
        <w:t>This phrase is not exactly the same as in Matthew 6:11.</w:t>
      </w:r>
    </w:p>
    <w:p>
      <w:pPr/>
      <w:r>
        <w:rPr>
          <w:lang w:val="en_US" w:bidi="en_US"/>
        </w:rPr>
      </w:r>
      <w:r>
        <w:rPr>
          <w:b/>
          <w:lang w:val="en_US" w:bidi="en_US"/>
        </w:rPr>
        <w:t>bread:</w:t>
      </w:r>
      <w:r>
        <w:rPr>
          <w:lang w:val="en_US" w:bidi="en_US"/>
        </w:rPr>
        <w:t xml:space="preserve"> For the Jewish people of Jesus’ time, bread was the most important food. In this context, the word </w:t>
      </w:r>
      <w:r>
        <w:rPr>
          <w:i/>
          <w:lang w:val="en_US" w:bidi="en_US"/>
        </w:rPr>
        <w:t>bread</w:t>
      </w:r>
      <w:r>
        <w:rPr>
          <w:lang w:val="en_US" w:bidi="en_US"/>
        </w:rPr>
        <w:t xml:space="preserve"> represents “food” in general. If people in your area will not understand a literal translation of </w:t>
      </w:r>
      <w:r>
        <w:rPr>
          <w:i/>
          <w:lang w:val="en_US" w:bidi="en_US"/>
        </w:rPr>
        <w:t>bread</w:t>
      </w:r>
      <w:r>
        <w:rPr>
          <w:lang w:val="en_US" w:bidi="en_US"/>
        </w:rPr>
        <w:t xml:space="preserve"> in this way, you may translate </w:t>
      </w:r>
      <w:r>
        <w:rPr>
          <w:i/>
          <w:lang w:val="en_US" w:bidi="en_US"/>
        </w:rPr>
        <w:t>bread</w:t>
      </w:r>
      <w:r>
        <w:rPr>
          <w:lang w:val="en_US" w:bidi="en_US"/>
        </w:rPr>
        <w:t xml:space="preserve"> more generically as “food.” For example:</w:t>
      </w:r>
    </w:p>
    <w:p>
      <w:pPr/>
      <w:r>
        <w:rPr>
          <w:lang w:val="en_US" w:bidi="en_US"/>
        </w:rPr>
      </w:r>
      <w:r>
        <w:rPr>
          <w:lang w:val="en_US" w:bidi="en_US"/>
        </w:rPr>
        <w:t>food (NLT)</w:t>
      </w:r>
      <w:r>
        <w:rPr>
          <w:lang w:val="en_US" w:bidi="en_US"/>
        </w:rPr>
      </w:r>
      <w:r>
        <w:rPr>
          <w:lang w:val="en_US" w:bidi="en_US"/>
        </w:rPr>
      </w:r>
    </w:p>
    <w:p>
      <w:pPr/>
      <w:r>
        <w:rPr>
          <w:lang w:val="en_US" w:bidi="en_US"/>
        </w:rPr>
      </w:r>
    </w:p>
    <w:p>
      <w:pPr>
        <w:pStyle w:val="Heading2"/>
      </w:pPr>
      <w:r>
        <w:rPr>
          <w:lang w:val="en_US" w:bidi="en_US"/>
        </w:rPr>
        <w:t>Luke 11:4</w:t>
      </w:r>
      <w:r>
        <w:rPr>
          <w:lang w:val="en_US" w:bidi="en_US"/>
        </w:rPr>
      </w:r>
    </w:p>
    <w:p>
      <w:pPr>
        <w:pStyle w:val="Heading4"/>
      </w:pPr>
      <w:r>
        <w:rPr>
          <w:lang w:val="en_US" w:bidi="en_US"/>
        </w:rPr>
        <w:t>Section 11:1–13: Jesus taught his disciples about prayer</w:t>
      </w:r>
    </w:p>
    <w:p>
      <w:pPr/>
      <w:r>
        <w:rPr>
          <w:lang w:val="en_US" w:bidi="en_US"/>
        </w:rPr>
      </w:r>
      <w:r>
        <w:rPr>
          <w:lang w:val="en_US" w:bidi="en_US"/>
        </w:rPr>
        <w:t>There are four paragraphs in this section. In each paragraph, Jesus taught his disciples something about prayer.</w:t>
      </w:r>
    </w:p>
    <w:p>
      <w:pPr/>
      <w:r>
        <w:rPr>
          <w:lang w:val="en_US" w:bidi="en_US"/>
        </w:rPr>
      </w:r>
      <w:r>
        <w:rPr>
          <w:lang w:val="en_US" w:bidi="en_US"/>
        </w:rPr>
        <w:t>Some other headings for this section are:</w:t>
      </w:r>
    </w:p>
    <w:p>
      <w:pPr/>
      <w:r>
        <w:rPr>
          <w:lang w:val="en_US" w:bidi="en_US"/>
        </w:rPr>
      </w:r>
      <w:r>
        <w:rPr>
          <w:lang w:val="en_US" w:bidi="en_US"/>
        </w:rPr>
        <w:t>Jesus’ Teaching on Prayer (NIV)</w:t>
      </w:r>
    </w:p>
    <w:p>
      <w:pPr/>
      <w:r>
        <w:rPr>
          <w:lang w:val="en_US" w:bidi="en_US"/>
        </w:rPr>
      </w:r>
      <w:r>
        <w:rPr>
          <w:lang w:val="en_US" w:bidi="en_US"/>
        </w:rPr>
        <w:t>Jesus Teaches About Prayer (NCV)</w:t>
      </w:r>
    </w:p>
    <w:p>
      <w:pPr/>
      <w:r>
        <w:rPr>
          <w:lang w:val="en_US" w:bidi="en_US"/>
        </w:rPr>
      </w:r>
      <w:r>
        <w:rPr>
          <w:lang w:val="en_US" w:bidi="en_US"/>
        </w:rPr>
        <w:t>There are parallel passages for this section in Matthew 6:9–13 and 7:7–11.</w:t>
      </w:r>
    </w:p>
    <w:p>
      <w:pPr>
        <w:pStyle w:val="Heading4"/>
      </w:pPr>
      <w:r>
        <w:rPr>
          <w:lang w:val="en_US" w:bidi="en_US"/>
        </w:rPr>
        <w:t>Paragraph 11:1–4</w:t>
      </w:r>
    </w:p>
    <w:p>
      <w:pPr/>
      <w:r>
        <w:rPr>
          <w:lang w:val="en_US" w:bidi="en_US"/>
        </w:rPr>
      </w:r>
      <w:r>
        <w:rPr>
          <w:lang w:val="en_US" w:bidi="en_US"/>
        </w:rPr>
        <w:t>In this paragraph, Jesus taught his disciples a prayer. This prayer is an example of how they should pray (11:2–4). Christians around the world call this prayer “the Lord’s Prayer.” A longer form of the Lord’s Prayer is recorded in Matthew 6:9–13. It is the form that most Christian churches use when they pray it aloud together in worship. The prayer here in Luke is shorter than the one in Matthew.</w:t>
      </w:r>
    </w:p>
    <w:p>
      <w:pPr/>
      <w:r>
        <w:rPr>
          <w:lang w:val="en_US" w:bidi="en_US"/>
        </w:rPr>
      </w:r>
      <w:r>
        <w:rPr>
          <w:lang w:val="en_US" w:bidi="en_US"/>
        </w:rPr>
        <w:t>If you have already translated Matthew, compare the two versions of the prayer. Try to use the same or similar wording where the original Greek has the same words. Differences between the Greek text in Matthew and Luke are discussed in the footnotes.</w:t>
      </w:r>
    </w:p>
    <w:p>
      <w:pPr>
        <w:pStyle w:val="Heading5"/>
      </w:pPr>
      <w:r>
        <w:rPr>
          <w:lang w:val="en_US" w:bidi="en_US"/>
        </w:rPr>
        <w:t>11:4a</w:t>
      </w:r>
    </w:p>
    <w:p>
      <w:pPr/>
      <w:r>
        <w:rPr>
          <w:lang w:val="en_US" w:bidi="en_US"/>
        </w:rPr>
      </w:r>
      <w:r>
        <w:rPr>
          <w:b/>
          <w:lang w:val="en_US" w:bidi="en_US"/>
        </w:rPr>
        <w:t>And forgive us our sins,</w:t>
      </w:r>
    </w:p>
    <w:p>
      <w:pPr>
        <w:pStyle w:val="ListBullet"/>
        <w:spacing w:line="240" w:lineRule="auto"/>
        <w:ind w:left="720"/>
      </w:pPr>
      <w:r>
        <w:rPr>
          <w:lang w:val="en_US" w:bidi="en_US"/>
        </w:rPr>
      </w:r>
      <w:r>
        <w:rPr>
          <w:lang w:val="en_US" w:bidi="en_US"/>
        </w:rPr>
        <w:t>Forgive</w:t>
      </w:r>
      <w:r>
        <w:rPr>
          <w:vertAlign w:val="superscript"/>
          <w:lang w:val="en_US" w:bidi="en_US"/>
        </w:rPr>
        <w:t>(sing)</w:t>
      </w:r>
      <w:r>
        <w:rPr>
          <w:lang w:val="en_US" w:bidi="en_US"/>
        </w:rPr>
        <w:t xml:space="preserve"> us</w:t>
      </w:r>
      <w:r>
        <w:rPr>
          <w:vertAlign w:val="superscript"/>
          <w:lang w:val="en_US" w:bidi="en_US"/>
        </w:rPr>
        <w:t>(excl)</w:t>
      </w:r>
      <w:r>
        <w:rPr>
          <w:lang w:val="en_US" w:bidi="en_US"/>
        </w:rPr>
        <w:t xml:space="preserve"> for sinning,</w:t>
      </w:r>
    </w:p>
    <w:p>
      <w:pPr>
        <w:pStyle w:val="ListBullet"/>
        <w:spacing w:line="240" w:lineRule="auto"/>
        <w:ind w:left="720"/>
      </w:pPr>
      <w:r>
        <w:rPr>
          <w:lang w:val="en_US" w:bidi="en_US"/>
        </w:rPr>
      </w:r>
      <w:r>
        <w:rPr>
          <w:lang w:val="en_US" w:bidi="en_US"/>
        </w:rPr>
        <w:t>Forgive</w:t>
      </w:r>
      <w:r>
        <w:rPr>
          <w:vertAlign w:val="superscript"/>
          <w:lang w:val="en_US" w:bidi="en_US"/>
        </w:rPr>
        <w:t>(sing)</w:t>
      </w:r>
      <w:r>
        <w:rPr>
          <w:lang w:val="en_US" w:bidi="en_US"/>
        </w:rPr>
        <w:t xml:space="preserve"> us</w:t>
      </w:r>
      <w:r>
        <w:rPr>
          <w:vertAlign w:val="superscript"/>
          <w:lang w:val="en_US" w:bidi="en_US"/>
        </w:rPr>
        <w:t>(excl)</w:t>
      </w:r>
      <w:r>
        <w:rPr>
          <w:lang w:val="en_US" w:bidi="en_US"/>
        </w:rPr>
        <w:t xml:space="preserve"> for acting wrongly,</w:t>
      </w:r>
    </w:p>
    <w:p>
      <w:pPr>
        <w:pStyle w:val="ListBullet"/>
        <w:spacing w:line="240" w:lineRule="auto"/>
        <w:ind w:left="720"/>
      </w:pPr>
      <w:r>
        <w:rPr>
          <w:lang w:val="en_US" w:bidi="en_US"/>
        </w:rPr>
      </w:r>
      <w:r>
        <w:rPr>
          <w:lang w:val="en_US" w:bidi="en_US"/>
        </w:rPr>
        <w:t>Please</w:t>
      </w:r>
      <w:r>
        <w:rPr>
          <w:lang w:val="en_US" w:bidi="en_US"/>
        </w:rPr>
        <w:t xml:space="preserve"> forgive</w:t>
      </w:r>
      <w:r>
        <w:rPr>
          <w:vertAlign w:val="superscript"/>
          <w:lang w:val="en_US" w:bidi="en_US"/>
        </w:rPr>
        <w:t>(sing)</w:t>
      </w:r>
      <w:r>
        <w:rPr>
          <w:lang w:val="en_US" w:bidi="en_US"/>
        </w:rPr>
        <w:t xml:space="preserve"> us</w:t>
      </w:r>
      <w:r>
        <w:rPr>
          <w:vertAlign w:val="superscript"/>
          <w:lang w:val="en_US" w:bidi="en_US"/>
        </w:rPr>
        <w:t>(excl)</w:t>
      </w:r>
      <w:r>
        <w:rPr>
          <w:lang w:val="en_US" w:bidi="en_US"/>
        </w:rPr>
        <w:t xml:space="preserve"> when we</w:t>
      </w:r>
      <w:r>
        <w:rPr>
          <w:vertAlign w:val="superscript"/>
          <w:lang w:val="en_US" w:bidi="en_US"/>
        </w:rPr>
        <w:t>(excl)</w:t>
      </w:r>
      <w:r>
        <w:rPr>
          <w:lang w:val="en_US" w:bidi="en_US"/>
        </w:rPr>
        <w:t xml:space="preserve"> do evil deeds,</w:t>
      </w:r>
    </w:p>
    <w:p>
      <w:pPr/>
      <w:r>
        <w:rPr>
          <w:lang w:val="en_US" w:bidi="en_US"/>
        </w:rPr>
      </w:r>
      <w:r>
        <w:rPr>
          <w:b/>
          <w:lang w:val="en_US" w:bidi="en_US"/>
        </w:rPr>
        <w:t>And forgive us our sins:</w:t>
      </w:r>
      <w:r>
        <w:rPr>
          <w:lang w:val="en_US" w:bidi="en_US"/>
        </w:rPr>
        <w:t xml:space="preserve"> In this context, the verb </w:t>
      </w:r>
      <w:r>
        <w:rPr>
          <w:i/>
          <w:lang w:val="en_US" w:bidi="en_US"/>
        </w:rPr>
        <w:t>forgive</w:t>
      </w:r>
      <w:r>
        <w:rPr>
          <w:lang w:val="en_US" w:bidi="en_US"/>
        </w:rPr>
        <w:t xml:space="preserve"> means that God chooses not to punish us for the evil things that we have done and thought. God cancels our guilt and treats us as though we had never offended him.</w:t>
      </w:r>
    </w:p>
    <w:p>
      <w:pPr/>
      <w:r>
        <w:rPr>
          <w:lang w:val="en_US" w:bidi="en_US"/>
        </w:rPr>
      </w:r>
      <w:r>
        <w:rPr>
          <w:lang w:val="en_US" w:bidi="en_US"/>
        </w:rPr>
        <w:t xml:space="preserve">Some possible ways to translate </w:t>
      </w:r>
      <w:r>
        <w:rPr>
          <w:i/>
          <w:lang w:val="en_US" w:bidi="en_US"/>
        </w:rPr>
        <w:t>forgive us our sins</w:t>
      </w:r>
      <w:r>
        <w:rPr>
          <w:lang w:val="en_US" w:bidi="en_US"/>
        </w:rPr>
        <w:t xml:space="preserve"> are:</w:t>
      </w:r>
    </w:p>
    <w:p>
      <w:pPr/>
      <w:r>
        <w:rPr>
          <w:lang w:val="en_US" w:bidi="en_US"/>
        </w:rPr>
      </w:r>
      <w:r>
        <w:rPr>
          <w:lang w:val="en_US" w:bidi="en_US"/>
        </w:rPr>
        <w:t>Pardon us for our sins</w:t>
      </w:r>
    </w:p>
    <w:p>
      <w:pPr/>
      <w:r>
        <w:rPr>
          <w:lang w:val="en_US" w:bidi="en_US"/>
        </w:rPr>
      </w:r>
      <w:r>
        <w:rPr>
          <w:lang w:val="en_US" w:bidi="en_US"/>
        </w:rPr>
        <w:t>Erase/Remove our guilt</w:t>
      </w:r>
    </w:p>
    <w:p>
      <w:pPr/>
      <w:r>
        <w:rPr>
          <w:lang w:val="en_US" w:bidi="en_US"/>
        </w:rPr>
      </w:r>
      <w:r>
        <w:rPr>
          <w:lang w:val="en_US" w:bidi="en_US"/>
        </w:rPr>
        <w:t>Forget/cancel the wrongs that we have done</w:t>
      </w:r>
    </w:p>
    <w:p>
      <w:pPr/>
      <w:r>
        <w:rPr>
          <w:lang w:val="en_US" w:bidi="en_US"/>
        </w:rPr>
      </w:r>
      <w:r>
        <w:rPr>
          <w:lang w:val="en_US" w:bidi="en_US"/>
        </w:rPr>
        <w:t>The word “forgive” in the context of God or Jesus forgiving sins first occurs in Luke in 5:20b. See how you translated the word there.</w:t>
      </w:r>
    </w:p>
    <w:p>
      <w:pPr/>
      <w:r>
        <w:rPr>
          <w:lang w:val="en_US" w:bidi="en_US"/>
        </w:rPr>
      </w:r>
      <w:r>
        <w:rPr>
          <w:b/>
          <w:lang w:val="en_US" w:bidi="en_US"/>
        </w:rPr>
        <w:t>sins:</w:t>
      </w:r>
      <w:r>
        <w:rPr>
          <w:lang w:val="en_US" w:bidi="en_US"/>
        </w:rPr>
        <w:t xml:space="preserve"> The Greek word that the BSB translates as </w:t>
      </w:r>
      <w:r>
        <w:rPr>
          <w:i/>
          <w:lang w:val="en_US" w:bidi="en_US"/>
        </w:rPr>
        <w:t>sins</w:t>
      </w:r>
      <w:r>
        <w:rPr>
          <w:lang w:val="en_US" w:bidi="en_US"/>
        </w:rPr>
        <w:t xml:space="preserve"> is a general word. It refers to wrong things that people have done to others or to God. (It is not the same word as in the parallel passage in Matthew 6:12, which means “debts.”)</w:t>
      </w:r>
    </w:p>
    <w:p>
      <w:pPr/>
      <w:r>
        <w:rPr>
          <w:lang w:val="en_US" w:bidi="en_US"/>
        </w:rPr>
      </w:r>
      <w:r>
        <w:rPr>
          <w:lang w:val="en_US" w:bidi="en_US"/>
        </w:rPr>
        <w:t xml:space="preserve">These </w:t>
      </w:r>
      <w:r>
        <w:rPr>
          <w:i/>
          <w:lang w:val="en_US" w:bidi="en_US"/>
        </w:rPr>
        <w:t>sins</w:t>
      </w:r>
      <w:r>
        <w:rPr>
          <w:lang w:val="en_US" w:bidi="en_US"/>
        </w:rPr>
        <w:t xml:space="preserve"> include acts, thoughts, and attitudes that break God’s laws or are contrary to what God wants or approves. A person also sins when he does not do what God wants him to do.</w:t>
      </w:r>
    </w:p>
    <w:p>
      <w:pPr/>
      <w:r>
        <w:rPr>
          <w:lang w:val="en_US" w:bidi="en_US"/>
        </w:rPr>
      </w:r>
      <w:r>
        <w:rPr>
          <w:lang w:val="en_US" w:bidi="en_US"/>
        </w:rPr>
        <w:t xml:space="preserve">You should translate </w:t>
      </w:r>
      <w:r>
        <w:rPr>
          <w:i/>
          <w:lang w:val="en_US" w:bidi="en_US"/>
        </w:rPr>
        <w:t>sins</w:t>
      </w:r>
      <w:r>
        <w:rPr>
          <w:lang w:val="en_US" w:bidi="en_US"/>
        </w:rPr>
        <w:t xml:space="preserve"> with a general term that can include any wrongdoing against God or another person. Here are some problems to avoid:</w:t>
      </w:r>
    </w:p>
    <w:p>
      <w:pPr>
        <w:pStyle w:val="ListNumber"/>
        <w:numPr>
          <w:ilvl w:val="0"/>
          <w:numId w:val="212"/>
        </w:numPr>
        <w:spacing w:line="240" w:lineRule="auto"/>
        <w:ind w:left="720"/>
      </w:pPr>
      <w:r>
        <w:rPr>
          <w:lang w:val="en_US" w:bidi="en_US"/>
        </w:rPr>
      </w:r>
      <w:r>
        <w:rPr>
          <w:lang w:val="en_US" w:bidi="en_US"/>
        </w:rPr>
        <w:t>The term should not imply that only serious crimes like murder or stealing are sins. Other offenses like gossip and greed are also sins.</w:t>
      </w:r>
    </w:p>
    <w:p>
      <w:pPr>
        <w:pStyle w:val="ListNumber"/>
        <w:spacing w:line="240" w:lineRule="auto"/>
        <w:ind w:left="720"/>
      </w:pPr>
      <w:r>
        <w:rPr>
          <w:lang w:val="en_US" w:bidi="en_US"/>
        </w:rPr>
      </w:r>
      <w:r>
        <w:rPr>
          <w:lang w:val="en_US" w:bidi="en_US"/>
        </w:rPr>
        <w:t>The term should not include accidents or mistakes that are not against God’s will.</w:t>
      </w:r>
    </w:p>
    <w:p>
      <w:pPr/>
      <w:r>
        <w:rPr>
          <w:lang w:val="en_US" w:bidi="en_US"/>
        </w:rPr>
      </w:r>
      <w:r>
        <w:rPr>
          <w:lang w:val="en_US" w:bidi="en_US"/>
        </w:rPr>
        <w:t xml:space="preserve">Some ways to translate </w:t>
      </w:r>
      <w:r>
        <w:rPr>
          <w:i/>
          <w:lang w:val="en_US" w:bidi="en_US"/>
        </w:rPr>
        <w:t>sins</w:t>
      </w:r>
      <w:r>
        <w:rPr>
          <w:lang w:val="en_US" w:bidi="en_US"/>
        </w:rPr>
        <w:t xml:space="preserve"> are:</w:t>
      </w:r>
    </w:p>
    <w:p>
      <w:pPr/>
      <w:r>
        <w:rPr>
          <w:lang w:val="en_US" w:bidi="en_US"/>
        </w:rPr>
      </w:r>
      <w:r>
        <w:rPr>
          <w:lang w:val="en_US" w:bidi="en_US"/>
        </w:rPr>
        <w:t>wrong acts</w:t>
      </w:r>
    </w:p>
    <w:p>
      <w:pPr/>
      <w:r>
        <w:rPr>
          <w:lang w:val="en_US" w:bidi="en_US"/>
        </w:rPr>
      </w:r>
      <w:r>
        <w:rPr>
          <w:lang w:val="en_US" w:bidi="en_US"/>
        </w:rPr>
        <w:t>evil deeds</w:t>
      </w:r>
    </w:p>
    <w:p>
      <w:pPr/>
      <w:r>
        <w:rPr>
          <w:lang w:val="en_US" w:bidi="en_US"/>
        </w:rPr>
      </w:r>
      <w:r>
        <w:rPr>
          <w:lang w:val="en_US" w:bidi="en_US"/>
        </w:rPr>
        <w:t xml:space="preserve">In some languages it may be more natural to translate </w:t>
      </w:r>
      <w:r>
        <w:rPr>
          <w:i/>
          <w:lang w:val="en_US" w:bidi="en_US"/>
        </w:rPr>
        <w:t>sins</w:t>
      </w:r>
      <w:r>
        <w:rPr>
          <w:lang w:val="en_US" w:bidi="en_US"/>
        </w:rPr>
        <w:t xml:space="preserve"> with a phrase that includes a verb. For example:</w:t>
      </w:r>
    </w:p>
    <w:p>
      <w:pPr/>
      <w:r>
        <w:rPr>
          <w:lang w:val="en_US" w:bidi="en_US"/>
        </w:rPr>
      </w:r>
      <w:r>
        <w:rPr>
          <w:lang w:val="en_US" w:bidi="en_US"/>
        </w:rPr>
        <w:t>Forgive us for doing wrong</w:t>
      </w:r>
    </w:p>
    <w:p>
      <w:pPr/>
      <w:r>
        <w:rPr>
          <w:lang w:val="en_US" w:bidi="en_US"/>
        </w:rPr>
      </w:r>
      <w:r>
        <w:rPr>
          <w:lang w:val="en_US" w:bidi="en_US"/>
        </w:rPr>
        <w:t xml:space="preserve">The word </w:t>
      </w:r>
      <w:r>
        <w:rPr>
          <w:i/>
          <w:lang w:val="en_US" w:bidi="en_US"/>
        </w:rPr>
        <w:t>sins</w:t>
      </w:r>
      <w:r>
        <w:rPr>
          <w:lang w:val="en_US" w:bidi="en_US"/>
        </w:rPr>
        <w:t xml:space="preserve"> also occurs in 7:47a–b.</w:t>
      </w:r>
    </w:p>
    <w:p>
      <w:pPr>
        <w:pStyle w:val="Heading5"/>
      </w:pPr>
      <w:r>
        <w:rPr>
          <w:lang w:val="en_US" w:bidi="en_US"/>
        </w:rPr>
        <w:t>11:4b</w:t>
      </w:r>
    </w:p>
    <w:p>
      <w:pPr/>
      <w:r>
        <w:rPr>
          <w:lang w:val="en_US" w:bidi="en_US"/>
        </w:rPr>
      </w:r>
      <w:r>
        <w:rPr>
          <w:b/>
          <w:lang w:val="en_US" w:bidi="en_US"/>
        </w:rPr>
        <w:t>for we also forgive everyone who sins against us.</w:t>
      </w:r>
    </w:p>
    <w:p>
      <w:pPr>
        <w:pStyle w:val="ListBullet"/>
        <w:spacing w:line="240" w:lineRule="auto"/>
        <w:ind w:left="720"/>
      </w:pPr>
      <w:r>
        <w:rPr>
          <w:lang w:val="en_US" w:bidi="en_US"/>
        </w:rPr>
      </w:r>
      <w:r>
        <w:rPr>
          <w:lang w:val="en_US" w:bidi="en_US"/>
        </w:rPr>
        <w:t>for we</w:t>
      </w:r>
      <w:r>
        <w:rPr>
          <w:vertAlign w:val="superscript"/>
          <w:lang w:val="en_US" w:bidi="en_US"/>
        </w:rPr>
        <w:t>(excl)</w:t>
      </w:r>
      <w:r>
        <w:rPr>
          <w:lang w:val="en_US" w:bidi="en_US"/>
        </w:rPr>
        <w:t xml:space="preserve"> also forgive everyone who does us</w:t>
      </w:r>
      <w:r>
        <w:rPr>
          <w:vertAlign w:val="superscript"/>
          <w:lang w:val="en_US" w:bidi="en_US"/>
        </w:rPr>
        <w:t>(excl)</w:t>
      </w:r>
      <w:r>
        <w:rPr>
          <w:lang w:val="en_US" w:bidi="en_US"/>
        </w:rPr>
        <w:t xml:space="preserve"> wrong.</w:t>
      </w:r>
    </w:p>
    <w:p>
      <w:pPr>
        <w:pStyle w:val="ListBullet"/>
        <w:spacing w:line="240" w:lineRule="auto"/>
        <w:ind w:left="720"/>
      </w:pPr>
      <w:r>
        <w:rPr>
          <w:lang w:val="en_US" w:bidi="en_US"/>
        </w:rPr>
      </w:r>
      <w:r>
        <w:rPr>
          <w:lang w:val="en_US" w:bidi="en_US"/>
        </w:rPr>
        <w:t>as we</w:t>
      </w:r>
      <w:r>
        <w:rPr>
          <w:vertAlign w:val="superscript"/>
          <w:lang w:val="en_US" w:bidi="en_US"/>
        </w:rPr>
        <w:t>(excl)</w:t>
      </w:r>
      <w:r>
        <w:rPr>
          <w:lang w:val="en_US" w:bidi="en_US"/>
        </w:rPr>
        <w:t xml:space="preserve"> ourselves pardon all those who act wrongly toward us</w:t>
      </w:r>
      <w:r>
        <w:rPr>
          <w:vertAlign w:val="superscript"/>
          <w:lang w:val="en_US" w:bidi="en_US"/>
        </w:rPr>
        <w:t>(excl)</w:t>
      </w:r>
      <w:r>
        <w:rPr>
          <w:lang w:val="en_US" w:bidi="en_US"/>
        </w:rPr>
        <w:t>.</w:t>
      </w:r>
    </w:p>
    <w:p>
      <w:pPr/>
      <w:r>
        <w:rPr>
          <w:lang w:val="en_US" w:bidi="en_US"/>
        </w:rPr>
      </w:r>
      <w:r>
        <w:rPr>
          <w:b/>
          <w:lang w:val="en_US" w:bidi="en_US"/>
        </w:rPr>
        <w:t>for:</w:t>
      </w:r>
      <w:r>
        <w:rPr>
          <w:lang w:val="en_US" w:bidi="en_US"/>
        </w:rPr>
        <w:t xml:space="preserve"> Verse 11:4b introduces the reason why we human beings are able to ask God to forgive us. We can confidently ask a gracious God to forgive us </w:t>
      </w:r>
      <w:r>
        <w:rPr>
          <w:u w:val="single"/>
          <w:lang w:val="en_US" w:bidi="en_US"/>
        </w:rPr>
        <w:t>because</w:t>
      </w:r>
      <w:r>
        <w:rPr>
          <w:lang w:val="en_US" w:bidi="en_US"/>
        </w:rPr>
        <w:t xml:space="preserve"> even we sinful people forgive others.</w:t>
      </w:r>
    </w:p>
    <w:p>
      <w:pPr/>
      <w:r>
        <w:rPr>
          <w:lang w:val="en_US" w:bidi="en_US"/>
        </w:rPr>
      </w:r>
      <w:r>
        <w:rPr>
          <w:lang w:val="en_US" w:bidi="en_US"/>
        </w:rPr>
        <w:t xml:space="preserve">This does not mean that God </w:t>
      </w:r>
      <w:r>
        <w:rPr>
          <w:u w:val="single"/>
          <w:lang w:val="en_US" w:bidi="en_US"/>
        </w:rPr>
        <w:t>must</w:t>
      </w:r>
      <w:r>
        <w:rPr>
          <w:lang w:val="en_US" w:bidi="en_US"/>
        </w:rPr>
        <w:t xml:space="preserve"> forgive us because we forgive others. If people incorrectly understand this phrase in this way,</w:t>
      </w:r>
      <w:r>
        <w:rPr>
          <w:lang w:val="en_US" w:bidi="en_US"/>
        </w:rPr>
        <w:t xml:space="preserve">The Greek word </w:t>
      </w:r>
      <w:r>
        <w:rPr>
          <w:i/>
          <w:lang w:val="en_US" w:bidi="en_US"/>
        </w:rPr>
        <w:t>gar</w:t>
      </w:r>
      <w:r>
        <w:rPr>
          <w:lang w:val="en_US" w:bidi="en_US"/>
        </w:rPr>
        <w:t xml:space="preserve"> here indicates the reason for God’s forgiveness, not the grounds. We ask God to forgive us because even we forgive others, and God is more gracious than we are. We do not demand that God has to forgive us because we have forgiven others.</w:t>
      </w:r>
      <w:r>
        <w:rPr>
          <w:lang w:val="en_US" w:bidi="en_US"/>
        </w:rPr>
        <w:t xml:space="preserve"> you may be able to translate this clause in a way that does not suggest that meaning. For example:</w:t>
      </w:r>
    </w:p>
    <w:p>
      <w:pPr/>
      <w:r>
        <w:rPr>
          <w:lang w:val="en_US" w:bidi="en_US"/>
        </w:rPr>
      </w:r>
      <w:r>
        <w:rPr>
          <w:u w:val="single"/>
          <w:lang w:val="en_US" w:bidi="en_US"/>
        </w:rPr>
        <w:t>as</w:t>
      </w:r>
      <w:r>
        <w:rPr>
          <w:lang w:val="en_US" w:bidi="en_US"/>
        </w:rPr>
        <w:t xml:space="preserve"> we forgive those who sin against us (NLT)</w:t>
      </w:r>
    </w:p>
    <w:p>
      <w:pPr/>
      <w:r>
        <w:rPr>
          <w:lang w:val="en_US" w:bidi="en_US"/>
        </w:rPr>
      </w:r>
      <w:r>
        <w:rPr>
          <w:b/>
          <w:lang w:val="en_US" w:bidi="en_US"/>
        </w:rPr>
        <w:t>we also forgive:</w:t>
      </w:r>
      <w:r>
        <w:rPr>
          <w:lang w:val="en_US" w:bidi="en_US"/>
        </w:rPr>
        <w:t xml:space="preserve"> The context of the Greek verb </w:t>
      </w:r>
      <w:r>
        <w:rPr>
          <w:i/>
          <w:lang w:val="en_US" w:bidi="en_US"/>
        </w:rPr>
        <w:t>forgive</w:t>
      </w:r>
      <w:r>
        <w:rPr>
          <w:lang w:val="en_US" w:bidi="en_US"/>
        </w:rPr>
        <w:t xml:space="preserve"> implied continuing action. It means “we continually/regularly forgive.” This is the same verb as in 11:4a.</w:t>
      </w:r>
    </w:p>
    <w:p>
      <w:pPr/>
      <w:r>
        <w:rPr>
          <w:lang w:val="en_US" w:bidi="en_US"/>
        </w:rPr>
      </w:r>
      <w:r>
        <w:rPr>
          <w:b/>
          <w:lang w:val="en_US" w:bidi="en_US"/>
        </w:rPr>
        <w:t>everyone who sins against us:</w:t>
      </w:r>
      <w:r>
        <w:rPr>
          <w:lang w:val="en_US" w:bidi="en_US"/>
        </w:rPr>
        <w:t xml:space="preserve"> The Greek verb that the BSB translates as </w:t>
      </w:r>
      <w:r>
        <w:rPr>
          <w:i/>
          <w:lang w:val="en_US" w:bidi="en_US"/>
        </w:rPr>
        <w:t>sins against us</w:t>
      </w:r>
      <w:r>
        <w:rPr>
          <w:lang w:val="en_US" w:bidi="en_US"/>
        </w:rPr>
        <w:t xml:space="preserve"> is literally “is in debt to us.” Many English versions translate this literal sense, for example:</w:t>
      </w:r>
    </w:p>
    <w:p>
      <w:pPr/>
      <w:r>
        <w:rPr>
          <w:lang w:val="en_US" w:bidi="en_US"/>
        </w:rPr>
      </w:r>
      <w:r>
        <w:rPr>
          <w:lang w:val="en_US" w:bidi="en_US"/>
        </w:rPr>
        <w:t>every one who is indebted to us (RSV)</w:t>
      </w:r>
    </w:p>
    <w:p>
      <w:pPr/>
      <w:r>
        <w:rPr>
          <w:lang w:val="en_US" w:bidi="en_US"/>
        </w:rPr>
      </w:r>
      <w:r>
        <w:rPr>
          <w:lang w:val="en_US" w:bidi="en_US"/>
        </w:rPr>
        <w:t>In the Jewish culture, sin was regarded as a debt. So in this context, “debt” is used as an idiom that means “sins” or “wrongs.” It is the same word that is used in Matthew 6:12.</w:t>
      </w:r>
    </w:p>
    <w:p>
      <w:pPr/>
      <w:r>
        <w:rPr>
          <w:lang w:val="en_US" w:bidi="en_US"/>
        </w:rPr>
      </w:r>
      <w:r>
        <w:rPr>
          <w:lang w:val="en_US" w:bidi="en_US"/>
        </w:rPr>
        <w:t>Some ways to translate this word are:</w:t>
      </w:r>
    </w:p>
    <w:p>
      <w:pPr>
        <w:pStyle w:val="ListBullet"/>
        <w:spacing w:line="240" w:lineRule="auto"/>
        <w:ind w:left="720"/>
      </w:pPr>
      <w:r>
        <w:rPr>
          <w:lang w:val="en_US" w:bidi="en_US"/>
        </w:rPr>
      </w:r>
      <w:r>
        <w:rPr>
          <w:lang w:val="en_US" w:bidi="en_US"/>
        </w:rPr>
        <w:t>Use the same word as the word “sin” in 11:4a. For example:</w:t>
      </w:r>
      <w:r>
        <w:rPr>
          <w:lang w:val="en_US" w:bidi="en_US"/>
        </w:rPr>
        <w:t xml:space="preserve">for we also forgive everyone who </w:t>
      </w:r>
      <w:r>
        <w:rPr>
          <w:u w:val="single"/>
          <w:lang w:val="en_US" w:bidi="en_US"/>
        </w:rPr>
        <w:t>sins</w:t>
      </w:r>
      <w:r>
        <w:rPr>
          <w:lang w:val="en_US" w:bidi="en_US"/>
        </w:rPr>
        <w:t xml:space="preserve"> against us (NET)</w:t>
      </w:r>
    </w:p>
    <w:p>
      <w:pPr>
        <w:pStyle w:val="ListBullet"/>
        <w:spacing w:line="240" w:lineRule="auto"/>
        <w:ind w:left="720"/>
      </w:pPr>
      <w:r>
        <w:rPr>
          <w:lang w:val="en_US" w:bidi="en_US"/>
        </w:rPr>
      </w:r>
      <w:r>
        <w:rPr>
          <w:lang w:val="en_US" w:bidi="en_US"/>
        </w:rPr>
        <w:t>Use a different term for sin that has a similar meaning. For example:</w:t>
      </w:r>
      <w:r>
        <w:rPr>
          <w:lang w:val="en_US" w:bidi="en_US"/>
        </w:rPr>
        <w:t xml:space="preserve">for we forgive everyone who does us </w:t>
      </w:r>
      <w:r>
        <w:rPr>
          <w:u w:val="single"/>
          <w:lang w:val="en_US" w:bidi="en_US"/>
        </w:rPr>
        <w:t>wrong</w:t>
      </w:r>
      <w:r>
        <w:rPr>
          <w:lang w:val="en_US" w:bidi="en_US"/>
        </w:rPr>
        <w:t xml:space="preserve"> (GNT)</w:t>
      </w:r>
    </w:p>
    <w:p>
      <w:pPr/>
      <w:r>
        <w:rPr>
          <w:lang w:val="en_US" w:bidi="en_US"/>
        </w:rPr>
      </w:r>
      <w:r>
        <w:rPr>
          <w:lang w:val="en_US" w:bidi="en_US"/>
        </w:rPr>
        <w:t>Translate this in a way that is natural in your language.</w:t>
      </w:r>
    </w:p>
    <w:p>
      <w:pPr>
        <w:pStyle w:val="Heading5"/>
      </w:pPr>
      <w:r>
        <w:rPr>
          <w:lang w:val="en_US" w:bidi="en_US"/>
        </w:rPr>
        <w:t>11:4c</w:t>
      </w:r>
    </w:p>
    <w:p>
      <w:pPr/>
      <w:r>
        <w:rPr>
          <w:lang w:val="en_US" w:bidi="en_US"/>
        </w:rPr>
      </w:r>
      <w:r>
        <w:rPr>
          <w:b/>
          <w:lang w:val="en_US" w:bidi="en_US"/>
        </w:rPr>
        <w:t>And lead us not into temptation.’”</w:t>
      </w:r>
    </w:p>
    <w:p>
      <w:pPr>
        <w:pStyle w:val="ListBullet"/>
        <w:spacing w:line="240" w:lineRule="auto"/>
        <w:ind w:left="720"/>
      </w:pPr>
      <w:r>
        <w:rPr>
          <w:lang w:val="en_US" w:bidi="en_US"/>
        </w:rPr>
      </w:r>
      <w:r>
        <w:rPr>
          <w:lang w:val="en_US" w:bidi="en_US"/>
        </w:rPr>
        <w:t>And do</w:t>
      </w:r>
      <w:r>
        <w:rPr>
          <w:vertAlign w:val="superscript"/>
          <w:lang w:val="en_US" w:bidi="en_US"/>
        </w:rPr>
        <w:t>(sing)</w:t>
      </w:r>
      <w:r>
        <w:rPr>
          <w:lang w:val="en_US" w:bidi="en_US"/>
        </w:rPr>
        <w:t xml:space="preserve"> not allow us</w:t>
      </w:r>
      <w:r>
        <w:rPr>
          <w:vertAlign w:val="superscript"/>
          <w:lang w:val="en_US" w:bidi="en_US"/>
        </w:rPr>
        <w:t>(excl)</w:t>
      </w:r>
      <w:r>
        <w:rPr>
          <w:lang w:val="en_US" w:bidi="en_US"/>
        </w:rPr>
        <w:t xml:space="preserve"> to be tempted </w:t>
      </w:r>
      <w:r>
        <w:rPr>
          <w:lang w:val="en_US" w:bidi="en_US"/>
        </w:rPr>
        <w:t>to sin</w:t>
      </w:r>
      <w:r>
        <w:rPr>
          <w:lang w:val="en_US" w:bidi="en_US"/>
        </w:rPr>
        <w:t>.'"</w:t>
      </w:r>
    </w:p>
    <w:p>
      <w:pPr>
        <w:pStyle w:val="ListBullet"/>
        <w:spacing w:line="240" w:lineRule="auto"/>
        <w:ind w:left="720"/>
      </w:pPr>
      <w:r>
        <w:rPr>
          <w:lang w:val="en_US" w:bidi="en_US"/>
        </w:rPr>
      </w:r>
      <w:r>
        <w:rPr>
          <w:lang w:val="en_US" w:bidi="en_US"/>
        </w:rPr>
        <w:t>Please</w:t>
      </w:r>
      <w:r>
        <w:rPr>
          <w:lang w:val="en_US" w:bidi="en_US"/>
        </w:rPr>
        <w:t xml:space="preserve"> keep/protect</w:t>
      </w:r>
      <w:r>
        <w:rPr>
          <w:vertAlign w:val="superscript"/>
          <w:lang w:val="en_US" w:bidi="en_US"/>
        </w:rPr>
        <w:t>(sing)</w:t>
      </w:r>
      <w:r>
        <w:rPr>
          <w:lang w:val="en_US" w:bidi="en_US"/>
        </w:rPr>
        <w:t xml:space="preserve"> us</w:t>
      </w:r>
      <w:r>
        <w:rPr>
          <w:vertAlign w:val="superscript"/>
          <w:lang w:val="en_US" w:bidi="en_US"/>
        </w:rPr>
        <w:t>(excl)</w:t>
      </w:r>
      <w:r>
        <w:rPr>
          <w:lang w:val="en_US" w:bidi="en_US"/>
        </w:rPr>
        <w:t xml:space="preserve"> from being tempted </w:t>
      </w:r>
      <w:r>
        <w:rPr>
          <w:lang w:val="en_US" w:bidi="en_US"/>
        </w:rPr>
        <w:t>to sin</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please</w:t>
      </w:r>
      <w:r>
        <w:rPr>
          <w:lang w:val="en_US" w:bidi="en_US"/>
        </w:rPr>
        <w:t xml:space="preserve"> help</w:t>
      </w:r>
      <w:r>
        <w:rPr>
          <w:vertAlign w:val="superscript"/>
          <w:lang w:val="en_US" w:bidi="en_US"/>
        </w:rPr>
        <w:t>(sing)</w:t>
      </w:r>
      <w:r>
        <w:rPr>
          <w:lang w:val="en_US" w:bidi="en_US"/>
        </w:rPr>
        <w:t xml:space="preserve"> us</w:t>
      </w:r>
      <w:r>
        <w:rPr>
          <w:vertAlign w:val="superscript"/>
          <w:lang w:val="en_US" w:bidi="en_US"/>
        </w:rPr>
        <w:t>(excl)</w:t>
      </w:r>
      <w:r>
        <w:rPr>
          <w:lang w:val="en_US" w:bidi="en_US"/>
        </w:rPr>
        <w:t xml:space="preserve"> so that nothing/nobody will persuade/cause us to sin.'"</w:t>
      </w:r>
    </w:p>
    <w:p>
      <w:pPr/>
      <w:r>
        <w:rPr>
          <w:lang w:val="en_US" w:bidi="en_US"/>
        </w:rPr>
      </w:r>
      <w:r>
        <w:rPr>
          <w:b/>
          <w:lang w:val="en_US" w:bidi="en_US"/>
        </w:rPr>
        <w:t>And lead us not into temptation:</w:t>
      </w:r>
      <w:r>
        <w:rPr>
          <w:lang w:val="en_US" w:bidi="en_US"/>
        </w:rPr>
        <w:t xml:space="preserve"> </w:t>
      </w:r>
      <w:r>
        <w:rPr>
          <w:lang w:val="en_US" w:bidi="en_US"/>
        </w:rPr>
        <w:t xml:space="preserve">There is a textual issue here. (1) Some Greek manuscripts have “and lead us not into temptation.” (2) Other manuscripts have “and lead us not into temptation, but deliver us from the evil one” (or “from evil”). It is recommended that you follow option (1). This option has the earliest manuscript support and is followed by nearly every English version. Also, there is no reason why scribes would have omitted the phrase “but deliver us from the evil one/from evil” if it were original. The longer text of option (2) is the same text as Matthew 6:13. The KJV follows option (2). If a major language version in your area follows option (2), you may want to put that option in a footnote. For more information, see Swanson, p. 201; Greek NT UBS 4 </w:t>
      </w:r>
      <w:r>
        <w:rPr>
          <w:vertAlign w:val="superscript"/>
          <w:lang w:val="en_US" w:bidi="en_US"/>
        </w:rPr>
        <w:t>th</w:t>
      </w:r>
      <w:r>
        <w:rPr>
          <w:lang w:val="en_US" w:bidi="en_US"/>
        </w:rPr>
        <w:t xml:space="preserve"> ed., p. 248; Metzger, p. 156; TRT, pp. 226–27; and Blight 2007a, pp. 493–94.</w:t>
      </w:r>
      <w:r>
        <w:rPr>
          <w:lang w:val="en_US" w:bidi="en_US"/>
        </w:rPr>
        <w:t xml:space="preserve"> The Greek word that the BSB translates here as </w:t>
      </w:r>
      <w:r>
        <w:rPr>
          <w:i/>
          <w:lang w:val="en_US" w:bidi="en_US"/>
        </w:rPr>
        <w:t>temptation</w:t>
      </w:r>
      <w:r>
        <w:rPr>
          <w:lang w:val="en_US" w:bidi="en_US"/>
        </w:rPr>
        <w:t xml:space="preserve"> is ambiguous. There are two ways to interpret this word:</w:t>
      </w:r>
    </w:p>
    <w:p>
      <w:pPr>
        <w:pStyle w:val="ListNumber"/>
        <w:numPr>
          <w:ilvl w:val="0"/>
          <w:numId w:val="213"/>
        </w:numPr>
        <w:spacing w:line="240" w:lineRule="auto"/>
        <w:ind w:left="720"/>
      </w:pPr>
      <w:r>
        <w:rPr>
          <w:lang w:val="en_US" w:bidi="en_US"/>
        </w:rPr>
      </w:r>
      <w:r>
        <w:rPr>
          <w:lang w:val="en_US" w:bidi="en_US"/>
        </w:rPr>
        <w:t xml:space="preserve">It means </w:t>
      </w:r>
      <w:r>
        <w:rPr>
          <w:u w:val="single"/>
          <w:lang w:val="en_US" w:bidi="en_US"/>
        </w:rPr>
        <w:t>temptation</w:t>
      </w:r>
      <w:r>
        <w:rPr>
          <w:lang w:val="en_US" w:bidi="en_US"/>
        </w:rPr>
        <w:t>. This refers to being tempted to sin. For example:</w:t>
      </w:r>
      <w:r>
        <w:rPr>
          <w:lang w:val="en_US" w:bidi="en_US"/>
        </w:rPr>
        <w:t xml:space="preserve">don’t allow us to be tempted (GW) </w:t>
      </w:r>
      <w:r>
        <w:rPr>
          <w:i/>
          <w:lang w:val="en_US" w:bidi="en_US"/>
        </w:rPr>
        <w:t>(BSB, NIV, RSV, NET, CEV, NCV, GW, NLT)</w:t>
      </w:r>
    </w:p>
    <w:p>
      <w:pPr>
        <w:pStyle w:val="ListNumber"/>
        <w:spacing w:line="240" w:lineRule="auto"/>
        <w:ind w:left="720"/>
      </w:pPr>
      <w:r>
        <w:rPr>
          <w:lang w:val="en_US" w:bidi="en_US"/>
        </w:rPr>
      </w:r>
      <w:r>
        <w:rPr>
          <w:lang w:val="en_US" w:bidi="en_US"/>
        </w:rPr>
        <w:t xml:space="preserve">It means </w:t>
      </w:r>
      <w:r>
        <w:rPr>
          <w:u w:val="single"/>
          <w:lang w:val="en_US" w:bidi="en_US"/>
        </w:rPr>
        <w:t>testing</w:t>
      </w:r>
      <w:r>
        <w:rPr>
          <w:lang w:val="en_US" w:bidi="en_US"/>
        </w:rPr>
        <w:t>. This refers to difficulties and persecutions. For example:</w:t>
      </w:r>
      <w:r>
        <w:rPr>
          <w:lang w:val="en_US" w:bidi="en_US"/>
        </w:rPr>
        <w:t xml:space="preserve">do not bring us to hard testing (GNT) </w:t>
      </w:r>
      <w:r>
        <w:rPr>
          <w:i/>
          <w:lang w:val="en_US" w:bidi="en_US"/>
        </w:rPr>
        <w:t>(GNT, NRSV, NJB, REB)</w:t>
      </w:r>
    </w:p>
    <w:p>
      <w:pPr/>
      <w:r>
        <w:rPr>
          <w:lang w:val="en_US" w:bidi="en_US"/>
        </w:rPr>
      </w:r>
      <w:r>
        <w:rPr>
          <w:lang w:val="en_US" w:bidi="en_US"/>
        </w:rPr>
        <w:t>It is recommended that you follow interpretation (1), along with a majority of Bible scholars.</w:t>
      </w:r>
    </w:p>
    <w:p>
      <w:pPr/>
      <w:r>
        <w:rPr>
          <w:lang w:val="en_US" w:bidi="en_US"/>
        </w:rPr>
      </w:r>
      <w:r>
        <w:rPr>
          <w:b/>
          <w:lang w:val="en_US" w:bidi="en_US"/>
        </w:rPr>
        <w:t>lead us not into temptation:</w:t>
      </w:r>
      <w:r>
        <w:rPr>
          <w:lang w:val="en_US" w:bidi="en_US"/>
        </w:rPr>
        <w:t xml:space="preserve"> The clause </w:t>
      </w:r>
      <w:r>
        <w:rPr>
          <w:i/>
          <w:lang w:val="en_US" w:bidi="en_US"/>
        </w:rPr>
        <w:t>lead us not into temptation</w:t>
      </w:r>
      <w:r>
        <w:rPr>
          <w:lang w:val="en_US" w:bidi="en_US"/>
        </w:rPr>
        <w:t xml:space="preserve"> means that we should ask God to lead/guide our lives away from situations that expose us to temptation.</w:t>
      </w:r>
      <w:r>
        <w:rPr>
          <w:lang w:val="en_US" w:bidi="en_US"/>
        </w:rPr>
        <w:t>Arndt says, “The prayer is not intended to suggest that God might take us into snares and pitfalls, but rather that He has the power to lead us safely past all the invitations to sin that crowd upon us” (p. 296).</w:t>
      </w:r>
      <w:r>
        <w:rPr>
          <w:lang w:val="en_US" w:bidi="en_US"/>
        </w:rPr>
        <w:t xml:space="preserve"> It is a request that God will protect us from situations where someone or something would persuade us to sin. God himself does not tempt people (James 1:13).</w:t>
      </w:r>
    </w:p>
    <w:p>
      <w:pPr/>
      <w:r>
        <w:rPr>
          <w:lang w:val="en_US" w:bidi="en_US"/>
        </w:rPr>
      </w:r>
      <w:r>
        <w:rPr>
          <w:lang w:val="en_US" w:bidi="en_US"/>
        </w:rPr>
        <w:t>Some other ways to translate this clause are:</w:t>
      </w:r>
    </w:p>
    <w:p>
      <w:pPr/>
      <w:r>
        <w:rPr>
          <w:lang w:val="en_US" w:bidi="en_US"/>
        </w:rPr>
      </w:r>
      <w:r>
        <w:rPr>
          <w:lang w:val="en_US" w:bidi="en_US"/>
        </w:rPr>
        <w:t>lead us away from temptation</w:t>
      </w:r>
    </w:p>
    <w:p>
      <w:pPr/>
      <w:r>
        <w:rPr>
          <w:lang w:val="en_US" w:bidi="en_US"/>
        </w:rPr>
      </w:r>
      <w:r>
        <w:rPr>
          <w:lang w:val="en_US" w:bidi="en_US"/>
        </w:rPr>
        <w:t>don’t let us yield to temptation (NLT)</w:t>
      </w:r>
    </w:p>
    <w:p>
      <w:pPr/>
      <w:r>
        <w:rPr>
          <w:lang w:val="en_US" w:bidi="en_US"/>
        </w:rPr>
      </w:r>
      <w:r>
        <w:rPr>
          <w:lang w:val="en_US" w:bidi="en_US"/>
        </w:rPr>
        <w:t>do not allow anyone/anything to tempt us</w:t>
      </w:r>
    </w:p>
    <w:p>
      <w:pPr/>
      <w:r>
        <w:rPr>
          <w:lang w:val="en_US" w:bidi="en_US"/>
        </w:rPr>
      </w:r>
      <w:r>
        <w:rPr>
          <w:lang w:val="en_US" w:bidi="en_US"/>
        </w:rPr>
        <w:t>protect/keep us from being tempted to do evil</w:t>
      </w:r>
    </w:p>
    <w:p>
      <w:pPr/>
      <w:r>
        <w:rPr>
          <w:lang w:val="en_US" w:bidi="en_US"/>
        </w:rPr>
      </w:r>
      <w:r>
        <w:rPr>
          <w:lang w:val="en_US" w:bidi="en_US"/>
        </w:rPr>
        <w:t>cause us to stay far from temptation</w:t>
      </w:r>
    </w:p>
    <w:p>
      <w:pPr/>
      <w:r>
        <w:rPr>
          <w:lang w:val="en_US" w:bidi="en_US"/>
        </w:rPr>
      </w:r>
      <w:r>
        <w:rPr>
          <w:lang w:val="en_US" w:bidi="en_US"/>
        </w:rPr>
        <w:t>This phrase is the same as in Matthew 6:13.</w:t>
      </w:r>
    </w:p>
    <w:p>
      <w:pPr/>
      <w:r>
        <w:rPr>
          <w:lang w:val="en_US" w:bidi="en_US"/>
        </w:rPr>
      </w:r>
      <w:r>
        <w:rPr>
          <w:b/>
          <w:lang w:val="en_US" w:bidi="en_US"/>
        </w:rPr>
        <w:t>lead us not:</w:t>
      </w:r>
      <w:r>
        <w:rPr>
          <w:lang w:val="en_US" w:bidi="en_US"/>
        </w:rPr>
        <w:t xml:space="preserve"> The Greek verb that the BSB translates as </w:t>
      </w:r>
      <w:r>
        <w:rPr>
          <w:i/>
          <w:lang w:val="en_US" w:bidi="en_US"/>
        </w:rPr>
        <w:t>lead</w:t>
      </w:r>
      <w:r>
        <w:rPr>
          <w:lang w:val="en_US" w:bidi="en_US"/>
        </w:rPr>
        <w:t xml:space="preserve"> can also mean “bring” or “carry.”</w:t>
      </w:r>
      <w:r>
        <w:rPr>
          <w:lang w:val="en_US" w:bidi="en_US"/>
        </w:rPr>
        <w:t xml:space="preserve">The verb </w:t>
      </w:r>
      <w:r>
        <w:rPr>
          <w:i/>
          <w:lang w:val="en_US" w:bidi="en_US"/>
        </w:rPr>
        <w:t>lead</w:t>
      </w:r>
      <w:r>
        <w:rPr>
          <w:lang w:val="en_US" w:bidi="en_US"/>
        </w:rPr>
        <w:t xml:space="preserve"> “reflects a Hebrew causative, and…the negative qualifies the idea of entry, so that the thought is not ‘do not cause us to succumb to temptation’, but rather ‘cause us not to succumb to temptation’. This sense fits in admirably with the additional clause in Mt.: in the midst of temptation and tribulation God will deliver his people from the power of evil” (Marshall, pp. 461–62).</w:t>
      </w:r>
      <w:r>
        <w:rPr>
          <w:lang w:val="en_US" w:bidi="en_US"/>
        </w:rPr>
        <w:t xml:space="preserve"> For example:</w:t>
      </w:r>
    </w:p>
    <w:p>
      <w:pPr/>
      <w:r>
        <w:rPr>
          <w:lang w:val="en_US" w:bidi="en_US"/>
        </w:rPr>
      </w:r>
      <w:r>
        <w:rPr>
          <w:lang w:val="en_US" w:bidi="en_US"/>
        </w:rPr>
        <w:t>And do not bring us (GNT)</w:t>
      </w:r>
    </w:p>
    <w:p>
      <w:pPr/>
      <w:r>
        <w:rPr>
          <w:lang w:val="en_US" w:bidi="en_US"/>
        </w:rPr>
      </w:r>
      <w:r>
        <w:rPr>
          <w:lang w:val="en_US" w:bidi="en_US"/>
        </w:rPr>
        <w:t>Some other ways to translate this verb are:</w:t>
      </w:r>
    </w:p>
    <w:p>
      <w:pPr/>
      <w:r>
        <w:rPr>
          <w:lang w:val="en_US" w:bidi="en_US"/>
        </w:rPr>
      </w:r>
      <w:r>
        <w:rPr>
          <w:lang w:val="en_US" w:bidi="en_US"/>
        </w:rPr>
        <w:t>keep us from (CEV)</w:t>
      </w:r>
    </w:p>
    <w:p>
      <w:pPr/>
      <w:r>
        <w:rPr>
          <w:lang w:val="en_US" w:bidi="en_US"/>
        </w:rPr>
      </w:r>
      <w:r>
        <w:rPr>
          <w:lang w:val="en_US" w:bidi="en_US"/>
        </w:rPr>
        <w:t>protect us from</w:t>
      </w:r>
    </w:p>
    <w:p>
      <w:pPr/>
      <w:r>
        <w:rPr>
          <w:lang w:val="en_US" w:bidi="en_US"/>
        </w:rPr>
      </w:r>
      <w:r>
        <w:rPr>
          <w:lang w:val="en_US" w:bidi="en_US"/>
        </w:rPr>
        <w:t>don’t allow us to be (GW)</w:t>
      </w:r>
    </w:p>
    <w:p>
      <w:pPr/>
      <w:r>
        <w:rPr>
          <w:lang w:val="en_US" w:bidi="en_US"/>
        </w:rPr>
      </w:r>
      <w:r>
        <w:rPr>
          <w:lang w:val="en_US" w:bidi="en_US"/>
        </w:rPr>
        <w:t>don’t let us yield to (NLT)</w:t>
      </w:r>
    </w:p>
    <w:p>
      <w:pPr/>
      <w:r>
        <w:rPr>
          <w:lang w:val="en_US" w:bidi="en_US"/>
        </w:rPr>
      </w:r>
      <w:r>
        <w:rPr>
          <w:b/>
          <w:lang w:val="en_US" w:bidi="en_US"/>
        </w:rPr>
        <w:t>temptation:</w:t>
      </w:r>
      <w:r>
        <w:rPr>
          <w:lang w:val="en_US" w:bidi="en_US"/>
        </w:rPr>
        <w:t xml:space="preserve"> In some languages, it will be more natural to translate </w:t>
      </w:r>
      <w:r>
        <w:rPr>
          <w:i/>
          <w:lang w:val="en_US" w:bidi="en_US"/>
        </w:rPr>
        <w:t>temptation</w:t>
      </w:r>
      <w:r>
        <w:rPr>
          <w:lang w:val="en_US" w:bidi="en_US"/>
        </w:rPr>
        <w:t xml:space="preserve"> as a verb. For example:</w:t>
      </w:r>
    </w:p>
    <w:p>
      <w:pPr/>
      <w:r>
        <w:rPr>
          <w:lang w:val="en_US" w:bidi="en_US"/>
        </w:rPr>
      </w:r>
      <w:r>
        <w:rPr>
          <w:lang w:val="en_US" w:bidi="en_US"/>
        </w:rPr>
        <w:t>be tempted</w:t>
      </w:r>
    </w:p>
    <w:p>
      <w:pPr/>
      <w:r>
        <w:rPr>
          <w:lang w:val="en_US" w:bidi="en_US"/>
        </w:rPr>
      </w:r>
      <w:r>
        <w:rPr>
          <w:lang w:val="en_US" w:bidi="en_US"/>
        </w:rPr>
        <w:t>be enticed/attracted to sin</w:t>
      </w:r>
    </w:p>
    <w:p>
      <w:pPr/>
      <w:r>
        <w:rPr>
          <w:lang w:val="en_US" w:bidi="en_US"/>
        </w:rPr>
      </w:r>
      <w:r>
        <w:rPr>
          <w:lang w:val="en_US" w:bidi="en_US"/>
        </w:rPr>
        <w:t>be persuaded/convinced to do wrong</w:t>
      </w:r>
      <w:r>
        <w:rPr>
          <w:lang w:val="en_US" w:bidi="en_US"/>
        </w:rPr>
      </w:r>
      <w:r>
        <w:rPr>
          <w:lang w:val="en_US" w:bidi="en_US"/>
        </w:rPr>
      </w:r>
    </w:p>
    <w:p>
      <w:pPr/>
      <w:r>
        <w:rPr>
          <w:lang w:val="en_US" w:bidi="en_US"/>
        </w:rPr>
      </w:r>
    </w:p>
    <w:p>
      <w:pPr>
        <w:pStyle w:val="Heading2"/>
      </w:pPr>
      <w:r>
        <w:rPr>
          <w:lang w:val="en_US" w:bidi="en_US"/>
        </w:rPr>
        <w:t>Luke 11:5</w:t>
      </w:r>
      <w:r>
        <w:rPr>
          <w:lang w:val="en_US" w:bidi="en_US"/>
        </w:rPr>
      </w:r>
    </w:p>
    <w:p>
      <w:pPr>
        <w:pStyle w:val="Heading4"/>
      </w:pPr>
      <w:r>
        <w:rPr>
          <w:lang w:val="en_US" w:bidi="en_US"/>
        </w:rPr>
        <w:t>Section 11:1–13: Jesus taught his disciples about prayer</w:t>
      </w:r>
    </w:p>
    <w:p>
      <w:pPr/>
      <w:r>
        <w:rPr>
          <w:lang w:val="en_US" w:bidi="en_US"/>
        </w:rPr>
      </w:r>
      <w:r>
        <w:rPr>
          <w:lang w:val="en_US" w:bidi="en_US"/>
        </w:rPr>
        <w:t>There are four paragraphs in this section. In each paragraph, Jesus taught his disciples something about prayer.</w:t>
      </w:r>
    </w:p>
    <w:p>
      <w:pPr/>
      <w:r>
        <w:rPr>
          <w:lang w:val="en_US" w:bidi="en_US"/>
        </w:rPr>
      </w:r>
      <w:r>
        <w:rPr>
          <w:lang w:val="en_US" w:bidi="en_US"/>
        </w:rPr>
        <w:t>Some other headings for this section are:</w:t>
      </w:r>
    </w:p>
    <w:p>
      <w:pPr/>
      <w:r>
        <w:rPr>
          <w:lang w:val="en_US" w:bidi="en_US"/>
        </w:rPr>
      </w:r>
      <w:r>
        <w:rPr>
          <w:lang w:val="en_US" w:bidi="en_US"/>
        </w:rPr>
        <w:t>Jesus’ Teaching on Prayer (NIV)</w:t>
      </w:r>
    </w:p>
    <w:p>
      <w:pPr/>
      <w:r>
        <w:rPr>
          <w:lang w:val="en_US" w:bidi="en_US"/>
        </w:rPr>
      </w:r>
      <w:r>
        <w:rPr>
          <w:lang w:val="en_US" w:bidi="en_US"/>
        </w:rPr>
        <w:t>Jesus Teaches About Prayer (NCV)</w:t>
      </w:r>
    </w:p>
    <w:p>
      <w:pPr/>
      <w:r>
        <w:rPr>
          <w:lang w:val="en_US" w:bidi="en_US"/>
        </w:rPr>
      </w:r>
      <w:r>
        <w:rPr>
          <w:lang w:val="en_US" w:bidi="en_US"/>
        </w:rPr>
        <w:t>There are parallel passages for this section in Matthew 6:9–13 and 7:7–11.</w:t>
      </w:r>
    </w:p>
    <w:p>
      <w:pPr>
        <w:pStyle w:val="Heading4"/>
      </w:pPr>
      <w:r>
        <w:rPr>
          <w:lang w:val="en_US" w:bidi="en_US"/>
        </w:rPr>
        <w:t>Paragraph 11:5–8</w:t>
      </w:r>
    </w:p>
    <w:p>
      <w:pPr/>
      <w:r>
        <w:rPr>
          <w:lang w:val="en_US" w:bidi="en_US"/>
        </w:rPr>
      </w:r>
      <w:r>
        <w:rPr>
          <w:lang w:val="en_US" w:bidi="en_US"/>
        </w:rPr>
        <w:t>In this paragraph, Jesus told a story. The main point of the story is that when a human being asks a friend for something, the friend gives it to him. He does this even if it is not convenient. This story implies that God will also give us what we request.</w:t>
      </w:r>
      <w:r>
        <w:rPr>
          <w:lang w:val="en_US" w:bidi="en_US"/>
        </w:rPr>
        <w:t>This is an argument from the lesser to the greater. Verses 11–13 below will give a related parable where this argument is made explicit with the words “how much more.” To make this argument explicit here in verses 5–8, we may say, for example: “If we confidently expect our human friends to help us when we are in need, how much more can we confidently ask God for his help” (based on Nolland, p. 627).</w:t>
      </w:r>
    </w:p>
    <w:p>
      <w:pPr>
        <w:pStyle w:val="Heading5"/>
      </w:pPr>
      <w:r>
        <w:rPr>
          <w:lang w:val="en_US" w:bidi="en_US"/>
        </w:rPr>
        <w:t>11:5–7</w:t>
      </w:r>
    </w:p>
    <w:p>
      <w:pPr/>
      <w:r>
        <w:rPr>
          <w:lang w:val="en_US" w:bidi="en_US"/>
        </w:rPr>
      </w:r>
      <w:r>
        <w:rPr>
          <w:lang w:val="en_US" w:bidi="en_US"/>
        </w:rPr>
        <w:t>In Greek, the story in 11:5–7 is in the form of a rhetorical question. Some versions translate the beginning of the question literally, for example:</w:t>
      </w:r>
    </w:p>
    <w:p>
      <w:pPr/>
      <w:r>
        <w:rPr>
          <w:lang w:val="en_US" w:bidi="en_US"/>
        </w:rPr>
      </w:r>
      <w:r>
        <w:rPr>
          <w:lang w:val="en_US" w:bidi="en_US"/>
        </w:rPr>
        <w:t>Which of you…? (RSV)</w:t>
      </w:r>
      <w:r>
        <w:rPr>
          <w:lang w:val="en_US" w:bidi="en_US"/>
        </w:rPr>
        <w:t>Various forms of the phrase “Which of you” (or “Who among you”) also occur in Luke 11:11, 12:25, 14:5, 14:28, 15:4, and 17:7. In each of these other passages, the BSB translates the Greek expression as a rhetorical question. The rhetorical questions in 14:28, 15:4, and 17:7 are long. While the BSB translates each of these verses as a single question, versions such as the NIV, for clarity, render them as a statement followed by a rhetorical question. Following that same pattern, the Translator’s Notes render the rhetorical question in 11:5–7 in the same way: a statement followed by a rhetorical question.</w:t>
      </w:r>
    </w:p>
    <w:p>
      <w:pPr/>
      <w:r>
        <w:rPr>
          <w:lang w:val="en_US" w:bidi="en_US"/>
        </w:rPr>
      </w:r>
      <w:r>
        <w:rPr>
          <w:lang w:val="en_US" w:bidi="en_US"/>
        </w:rPr>
        <w:t>This rhetorical question is one long, detailed sentence. For this reason, most English versions divide the sentence into several sentences. They also begin this story with the statement “Suppose one of you” rather than with a rhetorical question. (However, some versions, such as the ESV, RSV, and KJV, translate this as a rhetorical question.)</w:t>
      </w:r>
    </w:p>
    <w:p>
      <w:pPr/>
      <w:r>
        <w:rPr>
          <w:lang w:val="en_US" w:bidi="en_US"/>
        </w:rPr>
      </w:r>
      <w:r>
        <w:rPr>
          <w:lang w:val="en_US" w:bidi="en_US"/>
        </w:rPr>
        <w:t>In 11:7, Jesus tells about events that no one would do or that no one would imagine.</w:t>
      </w:r>
      <w:r>
        <w:rPr>
          <w:lang w:val="en_US" w:bidi="en_US"/>
        </w:rPr>
        <w:t>Nolland says, “It is important to realize that the question is not finished until the end of v 7. The question asks whether such a response as that outlined in that verse is thinkable” (p. 623).</w:t>
      </w:r>
      <w:r>
        <w:rPr>
          <w:lang w:val="en_US" w:bidi="en_US"/>
        </w:rPr>
        <w:t xml:space="preserve"> This rhetorical question expects a negative answer, such as “None of us!” or “Of course not!” or “That would never happen!”</w:t>
      </w:r>
      <w:r>
        <w:rPr>
          <w:lang w:val="en_US" w:bidi="en_US"/>
        </w:rPr>
        <w:t>Green says, “The opening of Jesus’ story, ‘Which of you…’ typically introduces a hypothetical question (‘Can you imagine…?’) for which the anticipated answer is immediate and self-evident. Jesus invites his disciples to envision a scene that encompasses all of 11:5–7: Can you imagine a friend who refuses to assist you in your undertaking to provide hospitality at the arrival of an unexpected friend? The answer to this question is, of course, No!” (pp. 446–47).</w:t>
      </w:r>
    </w:p>
    <w:p>
      <w:pPr/>
      <w:r>
        <w:rPr>
          <w:lang w:val="en_US" w:bidi="en_US"/>
        </w:rPr>
      </w:r>
      <w:r>
        <w:rPr>
          <w:lang w:val="en_US" w:bidi="en_US"/>
        </w:rPr>
        <w:t>Some ways to translate 11:5–7 are:</w:t>
      </w:r>
    </w:p>
    <w:p>
      <w:pPr>
        <w:pStyle w:val="ListBullet"/>
        <w:spacing w:line="240" w:lineRule="auto"/>
        <w:ind w:left="720"/>
      </w:pPr>
      <w:r>
        <w:rPr>
          <w:lang w:val="en_US" w:bidi="en_US"/>
        </w:rPr>
      </w:r>
      <w:r>
        <w:rPr>
          <w:lang w:val="en_US" w:bidi="en_US"/>
        </w:rPr>
        <w:t>Translate 11:5–6 as a statement and begin the rhetorical question in 11:7. For example:</w:t>
      </w:r>
      <w:r>
        <w:rPr>
          <w:vertAlign w:val="superscript"/>
          <w:lang w:val="en_US" w:bidi="en_US"/>
        </w:rPr>
        <w:t>5a</w:t>
      </w:r>
      <w:r>
        <w:rPr>
          <w:lang w:val="en_US" w:bidi="en_US"/>
        </w:rPr>
        <w:t xml:space="preserve">Suppose one of you has a friend, </w:t>
      </w:r>
      <w:r>
        <w:rPr>
          <w:vertAlign w:val="superscript"/>
          <w:lang w:val="en_US" w:bidi="en_US"/>
        </w:rPr>
        <w:t>5b</w:t>
      </w:r>
      <w:r>
        <w:rPr>
          <w:lang w:val="en_US" w:bidi="en_US"/>
        </w:rPr>
        <w:t xml:space="preserve">and he goes to him at midnight and says, </w:t>
      </w:r>
      <w:r>
        <w:rPr>
          <w:vertAlign w:val="superscript"/>
          <w:lang w:val="en_US" w:bidi="en_US"/>
        </w:rPr>
        <w:t>5c</w:t>
      </w:r>
      <w:r>
        <w:rPr>
          <w:lang w:val="en_US" w:bidi="en_US"/>
        </w:rPr>
        <w:t>‘Friend, lend me three loaves of bread….’</w:t>
      </w:r>
      <w:r>
        <w:rPr>
          <w:vertAlign w:val="superscript"/>
          <w:lang w:val="en_US" w:bidi="en_US"/>
        </w:rPr>
        <w:t>7a</w:t>
      </w:r>
      <w:r>
        <w:rPr>
          <w:lang w:val="en_US" w:bidi="en_US"/>
        </w:rPr>
        <w:t xml:space="preserve"> </w:t>
      </w:r>
      <w:r>
        <w:rPr>
          <w:u w:val="single"/>
          <w:lang w:val="en_US" w:bidi="en_US"/>
        </w:rPr>
        <w:t>Would</w:t>
      </w:r>
      <w:r>
        <w:rPr>
          <w:lang w:val="en_US" w:bidi="en_US"/>
        </w:rPr>
        <w:t xml:space="preserve"> the one inside answer, ‘Do not bother me…’?</w:t>
      </w:r>
    </w:p>
    <w:p>
      <w:pPr>
        <w:pStyle w:val="ListBullet"/>
        <w:spacing w:line="240" w:lineRule="auto"/>
        <w:ind w:left="720"/>
      </w:pPr>
      <w:r>
        <w:rPr>
          <w:lang w:val="en_US" w:bidi="en_US"/>
        </w:rPr>
      </w:r>
      <w:r>
        <w:rPr>
          <w:lang w:val="en_US" w:bidi="en_US"/>
        </w:rPr>
        <w:t>Translate most of 11:5–7 as a statement, and ask a question at the end of 11:7. In some languages, it may be natural to answer the question. Some sample questions and answers are:</w:t>
      </w:r>
      <w:r>
        <w:rPr>
          <w:lang w:val="en_US" w:bidi="en_US"/>
        </w:rPr>
        <w:t>Who has a friend like that?</w:t>
      </w:r>
      <w:r>
        <w:rPr>
          <w:lang w:val="en_US" w:bidi="en_US"/>
        </w:rPr>
        <w:t xml:space="preserve"> </w:t>
      </w:r>
      <w:r>
        <w:rPr>
          <w:lang w:val="en_US" w:bidi="en_US"/>
        </w:rPr>
        <w:t>No one!</w:t>
      </w:r>
      <w:r>
        <w:rPr>
          <w:lang w:val="en_US" w:bidi="en_US"/>
        </w:rPr>
        <w:t>Can any of you imagine this?</w:t>
      </w:r>
      <w:r>
        <w:rPr>
          <w:lang w:val="en_US" w:bidi="en_US"/>
        </w:rPr>
        <w:t xml:space="preserve"> </w:t>
      </w:r>
      <w:r>
        <w:rPr>
          <w:lang w:val="en_US" w:bidi="en_US"/>
        </w:rPr>
        <w:t>No!</w:t>
      </w:r>
      <w:r>
        <w:rPr>
          <w:lang w:val="en_US" w:bidi="en_US"/>
        </w:rPr>
        <w:t>Would this ever happen?</w:t>
      </w:r>
      <w:r>
        <w:rPr>
          <w:lang w:val="en_US" w:bidi="en_US"/>
        </w:rPr>
        <w:t xml:space="preserve"> </w:t>
      </w:r>
      <w:r>
        <w:rPr>
          <w:lang w:val="en_US" w:bidi="en_US"/>
        </w:rPr>
        <w:t>Of course not!</w:t>
      </w:r>
    </w:p>
    <w:p>
      <w:pPr>
        <w:pStyle w:val="ListBullet"/>
        <w:spacing w:line="240" w:lineRule="auto"/>
        <w:ind w:left="720"/>
      </w:pPr>
      <w:r>
        <w:rPr>
          <w:lang w:val="en_US" w:bidi="en_US"/>
        </w:rPr>
      </w:r>
      <w:r>
        <w:rPr>
          <w:lang w:val="en_US" w:bidi="en_US"/>
        </w:rPr>
        <w:t>As a statement. For example:</w:t>
      </w:r>
      <w:r>
        <w:rPr>
          <w:vertAlign w:val="superscript"/>
          <w:lang w:val="en_US" w:bidi="en_US"/>
        </w:rPr>
        <w:t>5a</w:t>
      </w:r>
      <w:r>
        <w:rPr>
          <w:lang w:val="en_US" w:bidi="en_US"/>
        </w:rPr>
        <w:t xml:space="preserve">Suppose one of you has a friend, </w:t>
      </w:r>
      <w:r>
        <w:rPr>
          <w:vertAlign w:val="superscript"/>
          <w:lang w:val="en_US" w:bidi="en_US"/>
        </w:rPr>
        <w:t>5b</w:t>
      </w:r>
      <w:r>
        <w:rPr>
          <w:lang w:val="en_US" w:bidi="en_US"/>
        </w:rPr>
        <w:t xml:space="preserve">and he goes to him at midnight and says, </w:t>
      </w:r>
      <w:r>
        <w:rPr>
          <w:vertAlign w:val="superscript"/>
          <w:lang w:val="en_US" w:bidi="en_US"/>
        </w:rPr>
        <w:t>5c</w:t>
      </w:r>
      <w:r>
        <w:rPr>
          <w:lang w:val="en_US" w:bidi="en_US"/>
        </w:rPr>
        <w:t>‘Friend, lend me three loaves of bread….’</w:t>
      </w:r>
      <w:r>
        <w:rPr>
          <w:vertAlign w:val="superscript"/>
          <w:lang w:val="en_US" w:bidi="en_US"/>
        </w:rPr>
        <w:t>7a</w:t>
      </w:r>
      <w:r>
        <w:rPr>
          <w:lang w:val="en_US" w:bidi="en_US"/>
        </w:rPr>
        <w:t xml:space="preserve">The one inside would </w:t>
      </w:r>
      <w:r>
        <w:rPr>
          <w:u w:val="single"/>
          <w:lang w:val="en_US" w:bidi="en_US"/>
        </w:rPr>
        <w:t>certainly not</w:t>
      </w:r>
      <w:r>
        <w:rPr>
          <w:lang w:val="en_US" w:bidi="en_US"/>
        </w:rPr>
        <w:t xml:space="preserve"> answer, ‘Do not bother me…’</w:t>
      </w:r>
    </w:p>
    <w:p>
      <w:pPr/>
      <w:r>
        <w:rPr>
          <w:lang w:val="en_US" w:bidi="en_US"/>
        </w:rPr>
      </w:r>
      <w:r>
        <w:rPr>
          <w:lang w:val="en_US" w:bidi="en_US"/>
        </w:rPr>
        <w:t>Translate 11:5–7 in a natural way in your language.</w:t>
      </w:r>
    </w:p>
    <w:p>
      <w:pPr>
        <w:pStyle w:val="Heading5"/>
      </w:pPr>
      <w:r>
        <w:rPr>
          <w:lang w:val="en_US" w:bidi="en_US"/>
        </w:rPr>
        <w:t>11:5a</w:t>
      </w:r>
    </w:p>
    <w:p>
      <w:pPr/>
      <w:r>
        <w:rPr>
          <w:lang w:val="en_US" w:bidi="en_US"/>
        </w:rPr>
      </w:r>
      <w:r>
        <w:rPr>
          <w:b/>
          <w:lang w:val="en_US" w:bidi="en_US"/>
        </w:rPr>
        <w:t>Then Jesus said to them, “Suppose one of you goes to his friend</w:t>
      </w:r>
    </w:p>
    <w:p>
      <w:pPr>
        <w:pStyle w:val="ListBullet"/>
        <w:spacing w:line="240" w:lineRule="auto"/>
        <w:ind w:left="720"/>
      </w:pPr>
      <w:r>
        <w:rPr>
          <w:lang w:val="en_US" w:bidi="en_US"/>
        </w:rPr>
      </w:r>
      <w:r>
        <w:rPr>
          <w:lang w:val="en_US" w:bidi="en_US"/>
        </w:rPr>
        <w:t>¶ Then Jesus said to his disciples, “Suppose that one of you</w:t>
      </w:r>
      <w:r>
        <w:rPr>
          <w:vertAlign w:val="superscript"/>
          <w:lang w:val="en_US" w:bidi="en_US"/>
        </w:rPr>
        <w:t>(plur)</w:t>
      </w:r>
      <w:r>
        <w:rPr>
          <w:lang w:val="en_US" w:bidi="en_US"/>
        </w:rPr>
        <w:t xml:space="preserve"> has a friend,</w:t>
      </w:r>
    </w:p>
    <w:p>
      <w:pPr>
        <w:pStyle w:val="ListBullet"/>
        <w:spacing w:line="240" w:lineRule="auto"/>
        <w:ind w:left="720"/>
      </w:pPr>
      <w:r>
        <w:rPr>
          <w:lang w:val="en_US" w:bidi="en_US"/>
        </w:rPr>
      </w:r>
      <w:r>
        <w:rPr>
          <w:lang w:val="en_US" w:bidi="en_US"/>
        </w:rPr>
        <w:t xml:space="preserve">¶ Then Jesus told them </w:t>
      </w:r>
      <w:r>
        <w:rPr>
          <w:lang w:val="en_US" w:bidi="en_US"/>
        </w:rPr>
        <w:t>this story</w:t>
      </w:r>
      <w:r>
        <w:rPr>
          <w:lang w:val="en_US" w:bidi="en_US"/>
        </w:rPr>
        <w:t>: “Let us imagine that one of you</w:t>
      </w:r>
      <w:r>
        <w:rPr>
          <w:vertAlign w:val="superscript"/>
          <w:lang w:val="en_US" w:bidi="en_US"/>
        </w:rPr>
        <w:t>(plur)</w:t>
      </w:r>
    </w:p>
    <w:p>
      <w:pPr/>
      <w:r>
        <w:rPr>
          <w:lang w:val="en_US" w:bidi="en_US"/>
        </w:rPr>
      </w:r>
      <w:r>
        <w:rPr>
          <w:b/>
          <w:lang w:val="en_US" w:bidi="en_US"/>
        </w:rPr>
        <w:t>Then Jesus said to them:</w:t>
      </w:r>
      <w:r>
        <w:rPr>
          <w:lang w:val="en_US" w:bidi="en_US"/>
        </w:rPr>
        <w:t xml:space="preserve"> The clause </w:t>
      </w:r>
      <w:r>
        <w:rPr>
          <w:i/>
          <w:lang w:val="en_US" w:bidi="en_US"/>
        </w:rPr>
        <w:t>Then Jesus said to them</w:t>
      </w:r>
      <w:r>
        <w:rPr>
          <w:lang w:val="en_US" w:bidi="en_US"/>
        </w:rPr>
        <w:t xml:space="preserve"> introduces a story that Jesus told to his disciples. Jesus told this story to teach his disciples something about prayer. Some other ways to introduce this story are:</w:t>
      </w:r>
    </w:p>
    <w:p>
      <w:pPr/>
      <w:r>
        <w:rPr>
          <w:lang w:val="en_US" w:bidi="en_US"/>
        </w:rPr>
      </w:r>
      <w:r>
        <w:rPr>
          <w:lang w:val="en_US" w:bidi="en_US"/>
        </w:rPr>
        <w:t>Then Jesus went on to say (CEV)</w:t>
      </w:r>
    </w:p>
    <w:p>
      <w:pPr/>
      <w:r>
        <w:rPr>
          <w:lang w:val="en_US" w:bidi="en_US"/>
        </w:rPr>
      </w:r>
      <w:r>
        <w:rPr>
          <w:lang w:val="en_US" w:bidi="en_US"/>
        </w:rPr>
        <w:t>Then, teaching them more about prayer, he used this story: (NLT)</w:t>
      </w:r>
    </w:p>
    <w:p>
      <w:pPr/>
      <w:r>
        <w:rPr>
          <w:lang w:val="en_US" w:bidi="en_US"/>
        </w:rPr>
      </w:r>
      <w:r>
        <w:rPr>
          <w:b/>
          <w:lang w:val="en_US" w:bidi="en_US"/>
        </w:rPr>
        <w:t>Suppose one of you:</w:t>
      </w:r>
      <w:r>
        <w:rPr>
          <w:lang w:val="en_US" w:bidi="en_US"/>
        </w:rPr>
        <w:t xml:space="preserve"> The Greek phrase that the BSB translates as </w:t>
      </w:r>
      <w:r>
        <w:rPr>
          <w:i/>
          <w:lang w:val="en_US" w:bidi="en_US"/>
        </w:rPr>
        <w:t>Suppose one of you</w:t>
      </w:r>
      <w:r>
        <w:rPr>
          <w:lang w:val="en_US" w:bidi="en_US"/>
        </w:rPr>
        <w:t xml:space="preserve"> is a rhetorical question in Greek. (See the discussion above.) The BSB supplies the word </w:t>
      </w:r>
      <w:r>
        <w:rPr>
          <w:i/>
          <w:lang w:val="en_US" w:bidi="en_US"/>
        </w:rPr>
        <w:t>Suppose</w:t>
      </w:r>
      <w:r>
        <w:rPr>
          <w:lang w:val="en_US" w:bidi="en_US"/>
        </w:rPr>
        <w:t xml:space="preserve"> to begin the short story that follows. This word indicates that this story is fiction (it is not an event that actually happened). However, this story is something that could happen, and it teaches a lesson about how to pray. Some other ways to begin this story are:</w:t>
      </w:r>
    </w:p>
    <w:p>
      <w:pPr/>
      <w:r>
        <w:rPr>
          <w:lang w:val="en_US" w:bidi="en_US"/>
        </w:rPr>
      </w:r>
      <w:r>
        <w:rPr>
          <w:lang w:val="en_US" w:bidi="en_US"/>
        </w:rPr>
        <w:t>For example</w:t>
      </w:r>
    </w:p>
    <w:p>
      <w:pPr/>
      <w:r>
        <w:rPr>
          <w:lang w:val="en_US" w:bidi="en_US"/>
        </w:rPr>
      </w:r>
      <w:r>
        <w:rPr>
          <w:lang w:val="en_US" w:bidi="en_US"/>
        </w:rPr>
        <w:t>Think about this</w:t>
      </w:r>
    </w:p>
    <w:p>
      <w:pPr/>
      <w:r>
        <w:rPr>
          <w:lang w:val="en_US" w:bidi="en_US"/>
        </w:rPr>
      </w:r>
      <w:r>
        <w:rPr>
          <w:lang w:val="en_US" w:bidi="en_US"/>
        </w:rPr>
        <w:t>Begin this story in a way that is natural in your language.</w:t>
      </w:r>
    </w:p>
    <w:p>
      <w:pPr/>
      <w:r>
        <w:rPr>
          <w:lang w:val="en_US" w:bidi="en_US"/>
        </w:rPr>
      </w:r>
      <w:r>
        <w:rPr>
          <w:b/>
          <w:lang w:val="en_US" w:bidi="en_US"/>
        </w:rPr>
        <w:t>one of you:</w:t>
      </w:r>
      <w:r>
        <w:rPr>
          <w:lang w:val="en_US" w:bidi="en_US"/>
        </w:rPr>
        <w:t xml:space="preserve"> The phrase that the BSB translates as </w:t>
      </w:r>
      <w:r>
        <w:rPr>
          <w:i/>
          <w:lang w:val="en_US" w:bidi="en_US"/>
        </w:rPr>
        <w:t>one of you</w:t>
      </w:r>
      <w:r>
        <w:rPr>
          <w:lang w:val="en_US" w:bidi="en_US"/>
        </w:rPr>
        <w:t xml:space="preserve"> here means “any one of you disciples.”</w:t>
      </w:r>
    </w:p>
    <w:p>
      <w:pPr/>
      <w:r>
        <w:rPr>
          <w:lang w:val="en_US" w:bidi="en_US"/>
        </w:rPr>
      </w:r>
      <w:r>
        <w:rPr>
          <w:lang w:val="en_US" w:bidi="en_US"/>
        </w:rPr>
        <w:t xml:space="preserve">If the phrase </w:t>
      </w:r>
      <w:r>
        <w:rPr>
          <w:i/>
          <w:lang w:val="en_US" w:bidi="en_US"/>
        </w:rPr>
        <w:t>one of you</w:t>
      </w:r>
      <w:r>
        <w:rPr>
          <w:lang w:val="en_US" w:bidi="en_US"/>
        </w:rPr>
        <w:t xml:space="preserve"> is not natural in your language, you can simply translate this phrase as “you.” For example:</w:t>
      </w:r>
    </w:p>
    <w:p>
      <w:pPr/>
      <w:r>
        <w:rPr>
          <w:lang w:val="en_US" w:bidi="en_US"/>
        </w:rPr>
      </w:r>
      <w:r>
        <w:rPr>
          <w:lang w:val="en_US" w:bidi="en_US"/>
        </w:rPr>
        <w:t>Suppose you went to a friend’s house (NLT)</w:t>
      </w:r>
    </w:p>
    <w:p>
      <w:pPr>
        <w:pStyle w:val="Heading5"/>
      </w:pPr>
      <w:r>
        <w:rPr>
          <w:lang w:val="en_US" w:bidi="en_US"/>
        </w:rPr>
        <w:t>11:5b</w:t>
      </w:r>
    </w:p>
    <w:p>
      <w:pPr/>
      <w:r>
        <w:rPr>
          <w:lang w:val="en_US" w:bidi="en_US"/>
        </w:rPr>
      </w:r>
      <w:r>
        <w:rPr>
          <w:b/>
          <w:lang w:val="en_US" w:bidi="en_US"/>
        </w:rPr>
        <w:t>at midnight and says,</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go to his </w:t>
      </w:r>
      <w:r>
        <w:rPr>
          <w:lang w:val="en_US" w:bidi="en_US"/>
        </w:rPr>
        <w:t>house</w:t>
      </w:r>
      <w:r>
        <w:rPr>
          <w:lang w:val="en_US" w:bidi="en_US"/>
        </w:rPr>
        <w:t xml:space="preserve"> at midnight and say,</w:t>
      </w:r>
    </w:p>
    <w:p>
      <w:pPr>
        <w:pStyle w:val="ListBullet"/>
        <w:spacing w:line="240" w:lineRule="auto"/>
        <w:ind w:left="720"/>
      </w:pPr>
      <w:r>
        <w:rPr>
          <w:lang w:val="en_US" w:bidi="en_US"/>
        </w:rPr>
      </w:r>
      <w:r>
        <w:rPr>
          <w:lang w:val="en_US" w:bidi="en_US"/>
        </w:rPr>
        <w:t xml:space="preserve">goes to </w:t>
      </w:r>
      <w:r>
        <w:rPr>
          <w:lang w:val="en_US" w:bidi="en_US"/>
        </w:rPr>
        <w:t>the home of</w:t>
      </w:r>
      <w:r>
        <w:rPr>
          <w:lang w:val="en_US" w:bidi="en_US"/>
        </w:rPr>
        <w:t xml:space="preserve"> a friend in the middle of the night with this request:</w:t>
      </w:r>
    </w:p>
    <w:p>
      <w:pPr/>
      <w:r>
        <w:rPr>
          <w:lang w:val="en_US" w:bidi="en_US"/>
        </w:rPr>
      </w:r>
      <w:r>
        <w:rPr>
          <w:b/>
          <w:lang w:val="en_US" w:bidi="en_US"/>
        </w:rPr>
        <w:t>goes to his friend at midnight:</w:t>
      </w:r>
      <w:r>
        <w:rPr>
          <w:lang w:val="en_US" w:bidi="en_US"/>
        </w:rPr>
        <w:t xml:space="preserve"> The phrase </w:t>
      </w:r>
      <w:r>
        <w:rPr>
          <w:i/>
          <w:lang w:val="en_US" w:bidi="en_US"/>
        </w:rPr>
        <w:t>goes to his friend at midnight</w:t>
      </w:r>
      <w:r>
        <w:rPr>
          <w:lang w:val="en_US" w:bidi="en_US"/>
        </w:rPr>
        <w:t xml:space="preserve"> means “one of you goes to your friend at midnight.” Notice that while Jesus says “one of you” in 11:5a, in the rest of the parable he says “his” and “him.” In some languages it may be more natural to continue to use “you” here. For example:</w:t>
      </w:r>
    </w:p>
    <w:p>
      <w:pPr/>
      <w:r>
        <w:rPr>
          <w:lang w:val="en_US" w:bidi="en_US"/>
        </w:rPr>
      </w:r>
      <w:r>
        <w:rPr>
          <w:lang w:val="en_US" w:bidi="en_US"/>
        </w:rPr>
        <w:t>you</w:t>
      </w:r>
      <w:r>
        <w:rPr>
          <w:vertAlign w:val="superscript"/>
          <w:lang w:val="en_US" w:bidi="en_US"/>
        </w:rPr>
        <w:t>(sing)</w:t>
      </w:r>
      <w:r>
        <w:rPr>
          <w:lang w:val="en_US" w:bidi="en_US"/>
        </w:rPr>
        <w:t xml:space="preserve"> go to him at midnight</w:t>
      </w:r>
    </w:p>
    <w:p>
      <w:pPr/>
      <w:r>
        <w:rPr>
          <w:lang w:val="en_US" w:bidi="en_US"/>
        </w:rPr>
      </w:r>
      <w:r>
        <w:rPr>
          <w:b/>
          <w:lang w:val="en_US" w:bidi="en_US"/>
        </w:rPr>
        <w:t>to his friend:</w:t>
      </w:r>
      <w:r>
        <w:rPr>
          <w:lang w:val="en_US" w:bidi="en_US"/>
        </w:rPr>
        <w:t xml:space="preserve"> The man does not actually see his friend at first. He stands at the door of his house and calls out to him. So in some languages it may be more natural to translate this as:</w:t>
      </w:r>
    </w:p>
    <w:p>
      <w:pPr/>
      <w:r>
        <w:rPr>
          <w:lang w:val="en_US" w:bidi="en_US"/>
        </w:rPr>
      </w:r>
      <w:r>
        <w:rPr>
          <w:lang w:val="en_US" w:bidi="en_US"/>
        </w:rPr>
        <w:t>to his house/home</w:t>
      </w:r>
    </w:p>
    <w:p>
      <w:pPr>
        <w:pStyle w:val="Heading6"/>
      </w:pPr>
      <w:r>
        <w:rPr>
          <w:b/>
          <w:lang w:val="en_US" w:bidi="en_US"/>
        </w:rPr>
        <w:t>General Comment on 11:5a–b</w:t>
      </w:r>
    </w:p>
    <w:p>
      <w:pPr/>
      <w:r>
        <w:rPr>
          <w:lang w:val="en_US" w:bidi="en_US"/>
        </w:rPr>
      </w:r>
      <w:r>
        <w:rPr>
          <w:lang w:val="en_US" w:bidi="en_US"/>
        </w:rPr>
        <w:t>In some languages it may be more natural to combine 11:5a and 11:5b. For example:</w:t>
      </w:r>
    </w:p>
    <w:p>
      <w:pPr/>
      <w:r>
        <w:rPr>
          <w:lang w:val="en_US" w:bidi="en_US"/>
        </w:rPr>
      </w:r>
      <w:r>
        <w:rPr>
          <w:lang w:val="en_US" w:bidi="en_US"/>
        </w:rPr>
        <w:t>Suppose one of you should go to a friend’s house at midnight (GNT)</w:t>
      </w:r>
    </w:p>
    <w:p>
      <w:pPr>
        <w:pStyle w:val="Heading5"/>
      </w:pPr>
      <w:r>
        <w:rPr>
          <w:lang w:val="en_US" w:bidi="en_US"/>
        </w:rPr>
        <w:t>11:5c–6b</w:t>
      </w:r>
    </w:p>
    <w:p>
      <w:pPr/>
      <w:r>
        <w:rPr>
          <w:lang w:val="en_US" w:bidi="en_US"/>
        </w:rPr>
      </w:r>
      <w:r>
        <w:rPr>
          <w:lang w:val="en_US" w:bidi="en_US"/>
        </w:rPr>
        <w:t>According to Jewish custom, a host was obligated to give his visitors something to eat. He was also expected to eat with them. In addition, he needed to give them a large quantity of food to show his generosity.</w:t>
      </w:r>
    </w:p>
    <w:p>
      <w:pPr/>
      <w:r>
        <w:rPr>
          <w:lang w:val="en_US" w:bidi="en_US"/>
        </w:rPr>
      </w:r>
      <w:r>
        <w:rPr>
          <w:lang w:val="en_US" w:bidi="en_US"/>
        </w:rPr>
        <w:t>See the General Comment on 11:5c–6b at the end of 11:6b for a comment about reordering.</w:t>
      </w:r>
    </w:p>
    <w:p>
      <w:pPr>
        <w:pStyle w:val="Heading5"/>
      </w:pPr>
      <w:r>
        <w:rPr>
          <w:lang w:val="en_US" w:bidi="en_US"/>
        </w:rPr>
        <w:t>11:5c</w:t>
      </w:r>
    </w:p>
    <w:p>
      <w:pPr/>
      <w:r>
        <w:rPr>
          <w:lang w:val="en_US" w:bidi="en_US"/>
        </w:rPr>
      </w:r>
      <w:r>
        <w:rPr>
          <w:b/>
          <w:lang w:val="en_US" w:bidi="en_US"/>
        </w:rPr>
        <w:t>‘Friend, lend me three loaves of bread,</w:t>
      </w:r>
    </w:p>
    <w:p>
      <w:pPr>
        <w:pStyle w:val="ListBullet"/>
        <w:spacing w:line="240" w:lineRule="auto"/>
        <w:ind w:left="720"/>
      </w:pPr>
      <w:r>
        <w:rPr>
          <w:lang w:val="en_US" w:bidi="en_US"/>
        </w:rPr>
      </w:r>
      <w:r>
        <w:rPr>
          <w:lang w:val="en_US" w:bidi="en_US"/>
        </w:rPr>
        <w:t>‘</w:t>
      </w:r>
      <w:r>
        <w:rPr>
          <w:lang w:val="en_US" w:bidi="en_US"/>
        </w:rPr>
        <w:t>My</w:t>
      </w:r>
      <w:r>
        <w:rPr>
          <w:lang w:val="en_US" w:bidi="en_US"/>
        </w:rPr>
        <w:t xml:space="preserve"> friend, </w:t>
      </w:r>
      <w:r>
        <w:rPr>
          <w:lang w:val="en_US" w:bidi="en_US"/>
        </w:rPr>
        <w:t>please</w:t>
      </w:r>
      <w:r>
        <w:rPr>
          <w:lang w:val="en_US" w:bidi="en_US"/>
        </w:rPr>
        <w:t xml:space="preserve"> let me borrow three bread loaves,</w:t>
      </w:r>
    </w:p>
    <w:p>
      <w:pPr>
        <w:pStyle w:val="ListBullet"/>
        <w:spacing w:line="240" w:lineRule="auto"/>
        <w:ind w:left="720"/>
      </w:pPr>
      <w:r>
        <w:rPr>
          <w:lang w:val="en_US" w:bidi="en_US"/>
        </w:rPr>
      </w:r>
      <w:r>
        <w:rPr>
          <w:lang w:val="en_US" w:bidi="en_US"/>
        </w:rPr>
        <w:t>‘Friend/brother, can you</w:t>
      </w:r>
      <w:r>
        <w:rPr>
          <w:vertAlign w:val="superscript"/>
          <w:lang w:val="en_US" w:bidi="en_US"/>
        </w:rPr>
        <w:t>(sing)</w:t>
      </w:r>
      <w:r>
        <w:rPr>
          <w:lang w:val="en_US" w:bidi="en_US"/>
        </w:rPr>
        <w:t xml:space="preserve"> give me some food?</w:t>
      </w:r>
    </w:p>
    <w:p>
      <w:pPr/>
      <w:r>
        <w:rPr>
          <w:lang w:val="en_US" w:bidi="en_US"/>
        </w:rPr>
      </w:r>
      <w:r>
        <w:rPr>
          <w:b/>
          <w:lang w:val="en_US" w:bidi="en_US"/>
        </w:rPr>
        <w:t>Friend:</w:t>
      </w:r>
      <w:r>
        <w:rPr>
          <w:lang w:val="en_US" w:bidi="en_US"/>
        </w:rPr>
        <w:t xml:space="preserve"> The term </w:t>
      </w:r>
      <w:r>
        <w:rPr>
          <w:i/>
          <w:lang w:val="en_US" w:bidi="en_US"/>
        </w:rPr>
        <w:t>Friend</w:t>
      </w:r>
      <w:r>
        <w:rPr>
          <w:lang w:val="en_US" w:bidi="en_US"/>
        </w:rPr>
        <w:t xml:space="preserve"> was the natural way for one Jew to politely speak to another. Use an expression that is natural in your language. For example:</w:t>
      </w:r>
    </w:p>
    <w:p>
      <w:pPr/>
      <w:r>
        <w:rPr>
          <w:lang w:val="en_US" w:bidi="en_US"/>
        </w:rPr>
      </w:r>
      <w:r>
        <w:rPr>
          <w:lang w:val="en_US" w:bidi="en_US"/>
        </w:rPr>
        <w:t>My friend</w:t>
      </w:r>
    </w:p>
    <w:p>
      <w:pPr/>
      <w:r>
        <w:rPr>
          <w:lang w:val="en_US" w:bidi="en_US"/>
        </w:rPr>
      </w:r>
      <w:r>
        <w:rPr>
          <w:lang w:val="en_US" w:bidi="en_US"/>
        </w:rPr>
        <w:t>My brother</w:t>
      </w:r>
    </w:p>
    <w:p>
      <w:pPr/>
      <w:r>
        <w:rPr>
          <w:lang w:val="en_US" w:bidi="en_US"/>
        </w:rPr>
      </w:r>
      <w:r>
        <w:rPr>
          <w:b/>
          <w:lang w:val="en_US" w:bidi="en_US"/>
        </w:rPr>
        <w:t>lend:</w:t>
      </w:r>
      <w:r>
        <w:rPr>
          <w:lang w:val="en_US" w:bidi="en_US"/>
        </w:rPr>
        <w:t xml:space="preserve"> The verb </w:t>
      </w:r>
      <w:r>
        <w:rPr>
          <w:i/>
          <w:lang w:val="en_US" w:bidi="en_US"/>
        </w:rPr>
        <w:t>lend</w:t>
      </w:r>
      <w:r>
        <w:rPr>
          <w:lang w:val="en_US" w:bidi="en_US"/>
        </w:rPr>
        <w:t xml:space="preserve"> is an imperative verb. In some languages, it may be more polite to use another word along with this imperative. For example:</w:t>
      </w:r>
    </w:p>
    <w:p>
      <w:pPr/>
      <w:r>
        <w:rPr>
          <w:lang w:val="en_US" w:bidi="en_US"/>
        </w:rPr>
      </w:r>
      <w:r>
        <w:rPr>
          <w:lang w:val="en_US" w:bidi="en_US"/>
        </w:rPr>
        <w:t>please lend</w:t>
      </w:r>
    </w:p>
    <w:p>
      <w:pPr/>
      <w:r>
        <w:rPr>
          <w:lang w:val="en_US" w:bidi="en_US"/>
        </w:rPr>
      </w:r>
      <w:r>
        <w:rPr>
          <w:lang w:val="en_US" w:bidi="en_US"/>
        </w:rPr>
        <w:t>In some languages, a polite request should be stated in the form of a question. For example:</w:t>
      </w:r>
    </w:p>
    <w:p>
      <w:pPr/>
      <w:r>
        <w:rPr>
          <w:lang w:val="en_US" w:bidi="en_US"/>
        </w:rPr>
      </w:r>
      <w:r>
        <w:rPr>
          <w:lang w:val="en_US" w:bidi="en_US"/>
        </w:rPr>
        <w:t>could you please lend…?</w:t>
      </w:r>
    </w:p>
    <w:p>
      <w:pPr/>
      <w:r>
        <w:rPr>
          <w:lang w:val="en_US" w:bidi="en_US"/>
        </w:rPr>
      </w:r>
      <w:r>
        <w:rPr>
          <w:lang w:val="en_US" w:bidi="en_US"/>
        </w:rPr>
        <w:t xml:space="preserve">The verb </w:t>
      </w:r>
      <w:r>
        <w:rPr>
          <w:i/>
          <w:lang w:val="en_US" w:bidi="en_US"/>
        </w:rPr>
        <w:t>lend</w:t>
      </w:r>
      <w:r>
        <w:rPr>
          <w:lang w:val="en_US" w:bidi="en_US"/>
        </w:rPr>
        <w:t xml:space="preserve"> implies that the person will return the thing that he has borrowed. That was not the case here. The next day, the man would not give three different loaves to his friend to repay him. So, in this context, </w:t>
      </w:r>
      <w:r>
        <w:rPr>
          <w:i/>
          <w:lang w:val="en_US" w:bidi="en_US"/>
        </w:rPr>
        <w:t>lend</w:t>
      </w:r>
      <w:r>
        <w:rPr>
          <w:lang w:val="en_US" w:bidi="en_US"/>
        </w:rPr>
        <w:t xml:space="preserve"> could be translated as:</w:t>
      </w:r>
    </w:p>
    <w:p>
      <w:pPr/>
      <w:r>
        <w:rPr>
          <w:lang w:val="en_US" w:bidi="en_US"/>
        </w:rPr>
      </w:r>
      <w:r>
        <w:rPr>
          <w:lang w:val="en_US" w:bidi="en_US"/>
        </w:rPr>
        <w:t>let me have</w:t>
      </w:r>
    </w:p>
    <w:p>
      <w:pPr/>
      <w:r>
        <w:rPr>
          <w:lang w:val="en_US" w:bidi="en_US"/>
        </w:rPr>
      </w:r>
      <w:r>
        <w:rPr>
          <w:lang w:val="en_US" w:bidi="en_US"/>
        </w:rPr>
        <w:t>give me</w:t>
      </w:r>
    </w:p>
    <w:p>
      <w:pPr/>
      <w:r>
        <w:rPr>
          <w:lang w:val="en_US" w:bidi="en_US"/>
        </w:rPr>
      </w:r>
      <w:r>
        <w:rPr>
          <w:lang w:val="en_US" w:bidi="en_US"/>
        </w:rPr>
        <w:t>If people share food in this way in your culture, use the expression that is natural for requesting food.</w:t>
      </w:r>
    </w:p>
    <w:p>
      <w:pPr/>
      <w:r>
        <w:rPr>
          <w:lang w:val="en_US" w:bidi="en_US"/>
        </w:rPr>
      </w:r>
      <w:r>
        <w:rPr>
          <w:b/>
          <w:lang w:val="en_US" w:bidi="en_US"/>
        </w:rPr>
        <w:t>three loaves of bread:</w:t>
      </w:r>
      <w:r>
        <w:rPr>
          <w:lang w:val="en_US" w:bidi="en_US"/>
        </w:rPr>
        <w:t xml:space="preserve"> The </w:t>
      </w:r>
      <w:r>
        <w:rPr>
          <w:i/>
          <w:lang w:val="en_US" w:bidi="en_US"/>
        </w:rPr>
        <w:t>loaves of bread</w:t>
      </w:r>
      <w:r>
        <w:rPr>
          <w:lang w:val="en_US" w:bidi="en_US"/>
        </w:rPr>
        <w:t xml:space="preserve"> were probably flat loaves that made up the main part of a meal. If bread is not described in terms of </w:t>
      </w:r>
      <w:r>
        <w:rPr>
          <w:i/>
          <w:lang w:val="en_US" w:bidi="en_US"/>
        </w:rPr>
        <w:t>loaves</w:t>
      </w:r>
      <w:r>
        <w:rPr>
          <w:lang w:val="en_US" w:bidi="en_US"/>
        </w:rPr>
        <w:t xml:space="preserve"> in your culture, it may be possible to say:</w:t>
      </w:r>
    </w:p>
    <w:p>
      <w:pPr/>
      <w:r>
        <w:rPr>
          <w:lang w:val="en_US" w:bidi="en_US"/>
        </w:rPr>
      </w:r>
      <w:r>
        <w:rPr>
          <w:lang w:val="en_US" w:bidi="en_US"/>
        </w:rPr>
        <w:t>three breads</w:t>
      </w:r>
    </w:p>
    <w:p>
      <w:pPr/>
      <w:r>
        <w:rPr>
          <w:lang w:val="en_US" w:bidi="en_US"/>
        </w:rPr>
      </w:r>
      <w:r>
        <w:rPr>
          <w:lang w:val="en_US" w:bidi="en_US"/>
        </w:rPr>
        <w:t>If people do not eat bread in your culture, you may use a general word such as “food,” as in 11:3.</w:t>
      </w:r>
      <w:r>
        <w:rPr>
          <w:lang w:val="en_US" w:bidi="en_US"/>
        </w:rPr>
      </w:r>
      <w:r>
        <w:rPr>
          <w:lang w:val="en_US" w:bidi="en_US"/>
        </w:rPr>
      </w:r>
    </w:p>
    <w:p>
      <w:pPr/>
      <w:r>
        <w:rPr>
          <w:lang w:val="en_US" w:bidi="en_US"/>
        </w:rPr>
      </w:r>
    </w:p>
    <w:p>
      <w:pPr>
        <w:pStyle w:val="Heading2"/>
      </w:pPr>
      <w:r>
        <w:rPr>
          <w:lang w:val="en_US" w:bidi="en_US"/>
        </w:rPr>
        <w:t>Luke 11:6</w:t>
      </w:r>
      <w:r>
        <w:rPr>
          <w:lang w:val="en_US" w:bidi="en_US"/>
        </w:rPr>
      </w:r>
    </w:p>
    <w:p>
      <w:pPr>
        <w:pStyle w:val="Heading4"/>
      </w:pPr>
      <w:r>
        <w:rPr>
          <w:lang w:val="en_US" w:bidi="en_US"/>
        </w:rPr>
        <w:t>Section 11:1–13: Jesus taught his disciples about prayer</w:t>
      </w:r>
    </w:p>
    <w:p>
      <w:pPr/>
      <w:r>
        <w:rPr>
          <w:lang w:val="en_US" w:bidi="en_US"/>
        </w:rPr>
      </w:r>
      <w:r>
        <w:rPr>
          <w:lang w:val="en_US" w:bidi="en_US"/>
        </w:rPr>
        <w:t>There are four paragraphs in this section. In each paragraph, Jesus taught his disciples something about prayer.</w:t>
      </w:r>
    </w:p>
    <w:p>
      <w:pPr/>
      <w:r>
        <w:rPr>
          <w:lang w:val="en_US" w:bidi="en_US"/>
        </w:rPr>
      </w:r>
      <w:r>
        <w:rPr>
          <w:lang w:val="en_US" w:bidi="en_US"/>
        </w:rPr>
        <w:t>Some other headings for this section are:</w:t>
      </w:r>
    </w:p>
    <w:p>
      <w:pPr/>
      <w:r>
        <w:rPr>
          <w:lang w:val="en_US" w:bidi="en_US"/>
        </w:rPr>
      </w:r>
      <w:r>
        <w:rPr>
          <w:lang w:val="en_US" w:bidi="en_US"/>
        </w:rPr>
        <w:t>Jesus’ Teaching on Prayer (NIV)</w:t>
      </w:r>
    </w:p>
    <w:p>
      <w:pPr/>
      <w:r>
        <w:rPr>
          <w:lang w:val="en_US" w:bidi="en_US"/>
        </w:rPr>
      </w:r>
      <w:r>
        <w:rPr>
          <w:lang w:val="en_US" w:bidi="en_US"/>
        </w:rPr>
        <w:t>Jesus Teaches About Prayer (NCV)</w:t>
      </w:r>
    </w:p>
    <w:p>
      <w:pPr/>
      <w:r>
        <w:rPr>
          <w:lang w:val="en_US" w:bidi="en_US"/>
        </w:rPr>
      </w:r>
      <w:r>
        <w:rPr>
          <w:lang w:val="en_US" w:bidi="en_US"/>
        </w:rPr>
        <w:t>There are parallel passages for this section in Matthew 6:9–13 and 7:7–11.</w:t>
      </w:r>
    </w:p>
    <w:p>
      <w:pPr>
        <w:pStyle w:val="Heading4"/>
      </w:pPr>
      <w:r>
        <w:rPr>
          <w:lang w:val="en_US" w:bidi="en_US"/>
        </w:rPr>
        <w:t>Paragraph 11:5–8</w:t>
      </w:r>
    </w:p>
    <w:p>
      <w:pPr/>
      <w:r>
        <w:rPr>
          <w:lang w:val="en_US" w:bidi="en_US"/>
        </w:rPr>
      </w:r>
      <w:r>
        <w:rPr>
          <w:lang w:val="en_US" w:bidi="en_US"/>
        </w:rPr>
        <w:t>In this paragraph, Jesus told a story. The main point of the story is that when a human being asks a friend for something, the friend gives it to him. He does this even if it is not convenient. This story implies that God will also give us what we request.</w:t>
      </w:r>
      <w:r>
        <w:rPr>
          <w:lang w:val="en_US" w:bidi="en_US"/>
        </w:rPr>
        <w:t>This is an argument from the lesser to the greater. Verses 11–13 below will give a related parable where this argument is made explicit with the words “how much more.” To make this argument explicit here in verses 5–8, we may say, for example: “If we confidently expect our human friends to help us when we are in need, how much more can we confidently ask God for his help” (based on Nolland, p. 627).</w:t>
      </w:r>
    </w:p>
    <w:p>
      <w:pPr>
        <w:pStyle w:val="Heading5"/>
      </w:pPr>
      <w:r>
        <w:rPr>
          <w:lang w:val="en_US" w:bidi="en_US"/>
        </w:rPr>
        <w:t>11:6a</w:t>
      </w:r>
    </w:p>
    <w:p>
      <w:pPr/>
      <w:r>
        <w:rPr>
          <w:lang w:val="en_US" w:bidi="en_US"/>
        </w:rPr>
      </w:r>
      <w:r>
        <w:rPr>
          <w:b/>
          <w:lang w:val="en_US" w:bidi="en_US"/>
        </w:rPr>
        <w:t>because a friend of mine has come to me on a journey,</w:t>
      </w:r>
    </w:p>
    <w:p>
      <w:pPr>
        <w:pStyle w:val="ListBullet"/>
        <w:spacing w:line="240" w:lineRule="auto"/>
        <w:ind w:left="720"/>
      </w:pPr>
      <w:r>
        <w:rPr>
          <w:lang w:val="en_US" w:bidi="en_US"/>
        </w:rPr>
      </w:r>
      <w:r>
        <w:rPr>
          <w:lang w:val="en_US" w:bidi="en_US"/>
        </w:rPr>
        <w:t xml:space="preserve">because one of my friends is on a trip and has </w:t>
      </w:r>
      <w:r>
        <w:rPr>
          <w:lang w:val="en_US" w:bidi="en_US"/>
        </w:rPr>
        <w:t>just now</w:t>
      </w:r>
      <w:r>
        <w:rPr>
          <w:lang w:val="en_US" w:bidi="en_US"/>
        </w:rPr>
        <w:t xml:space="preserve"> come to </w:t>
      </w:r>
      <w:r>
        <w:rPr>
          <w:lang w:val="en_US" w:bidi="en_US"/>
        </w:rPr>
        <w:t>stay with</w:t>
      </w:r>
      <w:r>
        <w:rPr>
          <w:lang w:val="en_US" w:bidi="en_US"/>
        </w:rPr>
        <w:t xml:space="preserve"> me,</w:t>
      </w:r>
    </w:p>
    <w:p>
      <w:pPr>
        <w:pStyle w:val="ListBullet"/>
        <w:spacing w:line="240" w:lineRule="auto"/>
        <w:ind w:left="720"/>
      </w:pPr>
      <w:r>
        <w:rPr>
          <w:lang w:val="en_US" w:bidi="en_US"/>
        </w:rPr>
      </w:r>
      <w:r>
        <w:rPr>
          <w:lang w:val="en_US" w:bidi="en_US"/>
        </w:rPr>
        <w:t xml:space="preserve">A friend of mine is traveling. He has </w:t>
      </w:r>
      <w:r>
        <w:rPr>
          <w:lang w:val="en_US" w:bidi="en_US"/>
        </w:rPr>
        <w:t>unexpectedly</w:t>
      </w:r>
      <w:r>
        <w:rPr>
          <w:lang w:val="en_US" w:bidi="en_US"/>
        </w:rPr>
        <w:t xml:space="preserve"> arrived at my house,</w:t>
      </w:r>
    </w:p>
    <w:p>
      <w:pPr/>
      <w:r>
        <w:rPr>
          <w:lang w:val="en_US" w:bidi="en_US"/>
        </w:rPr>
      </w:r>
      <w:r>
        <w:rPr>
          <w:b/>
          <w:lang w:val="en_US" w:bidi="en_US"/>
        </w:rPr>
        <w:t>because:</w:t>
      </w:r>
      <w:r>
        <w:rPr>
          <w:lang w:val="en_US" w:bidi="en_US"/>
        </w:rPr>
        <w:t xml:space="preserve"> This verse gives the reason for the man’s request. The BSB introduces this reason with the conjunction </w:t>
      </w:r>
      <w:r>
        <w:rPr>
          <w:i/>
          <w:lang w:val="en_US" w:bidi="en_US"/>
        </w:rPr>
        <w:t>because</w:t>
      </w:r>
      <w:r>
        <w:rPr>
          <w:lang w:val="en_US" w:bidi="en_US"/>
        </w:rPr>
        <w:t>. In some languages, a conjunction is not needed here. See the second meaning line in the Display for 11:6a for an example.</w:t>
      </w:r>
    </w:p>
    <w:p>
      <w:pPr/>
      <w:r>
        <w:rPr>
          <w:lang w:val="en_US" w:bidi="en_US"/>
        </w:rPr>
      </w:r>
      <w:r>
        <w:rPr>
          <w:b/>
          <w:lang w:val="en_US" w:bidi="en_US"/>
        </w:rPr>
        <w:t>has come to me:</w:t>
      </w:r>
      <w:r>
        <w:rPr>
          <w:lang w:val="en_US" w:bidi="en_US"/>
        </w:rPr>
        <w:t xml:space="preserve"> The phrase </w:t>
      </w:r>
      <w:r>
        <w:rPr>
          <w:i/>
          <w:lang w:val="en_US" w:bidi="en_US"/>
        </w:rPr>
        <w:t>has come to me</w:t>
      </w:r>
      <w:r>
        <w:rPr>
          <w:lang w:val="en_US" w:bidi="en_US"/>
        </w:rPr>
        <w:t xml:space="preserve"> contains implied information. It is implied that the friend had just arrived unexpectedly and that he was hoping to stay at the man’s house. In some languages, it may make the story clearer if some of this information is made explicit. For example:</w:t>
      </w:r>
    </w:p>
    <w:p>
      <w:pPr/>
      <w:r>
        <w:rPr>
          <w:lang w:val="en_US" w:bidi="en_US"/>
        </w:rPr>
      </w:r>
      <w:r>
        <w:rPr>
          <w:lang w:val="en_US" w:bidi="en_US"/>
        </w:rPr>
        <w:t>has come into town to visit me (NCV)</w:t>
      </w:r>
    </w:p>
    <w:p>
      <w:pPr/>
      <w:r>
        <w:rPr>
          <w:lang w:val="en_US" w:bidi="en_US"/>
        </w:rPr>
      </w:r>
      <w:r>
        <w:rPr>
          <w:lang w:val="en_US" w:bidi="en_US"/>
        </w:rPr>
        <w:t xml:space="preserve">has </w:t>
      </w:r>
      <w:r>
        <w:rPr>
          <w:lang w:val="en_US" w:bidi="en_US"/>
        </w:rPr>
        <w:t>unexpectedly</w:t>
      </w:r>
      <w:r>
        <w:rPr>
          <w:lang w:val="en_US" w:bidi="en_US"/>
        </w:rPr>
        <w:t xml:space="preserve"> come </w:t>
      </w:r>
      <w:r>
        <w:rPr>
          <w:lang w:val="en_US" w:bidi="en_US"/>
        </w:rPr>
        <w:t>to stay with me</w:t>
      </w:r>
    </w:p>
    <w:p>
      <w:pPr>
        <w:pStyle w:val="Heading5"/>
      </w:pPr>
      <w:r>
        <w:rPr>
          <w:lang w:val="en_US" w:bidi="en_US"/>
        </w:rPr>
        <w:t>11:6b</w:t>
      </w:r>
    </w:p>
    <w:p>
      <w:pPr/>
      <w:r>
        <w:rPr>
          <w:lang w:val="en_US" w:bidi="en_US"/>
        </w:rPr>
      </w:r>
      <w:r>
        <w:rPr>
          <w:b/>
          <w:lang w:val="en_US" w:bidi="en_US"/>
        </w:rPr>
        <w:t>and I have nothing to set before him.’</w:t>
      </w:r>
    </w:p>
    <w:p>
      <w:pPr>
        <w:pStyle w:val="ListBullet"/>
        <w:spacing w:line="240" w:lineRule="auto"/>
        <w:ind w:left="720"/>
      </w:pPr>
      <w:r>
        <w:rPr>
          <w:lang w:val="en_US" w:bidi="en_US"/>
        </w:rPr>
      </w:r>
      <w:r>
        <w:rPr>
          <w:lang w:val="en_US" w:bidi="en_US"/>
        </w:rPr>
        <w:t>and I have nothing to feed/give him.’</w:t>
      </w:r>
    </w:p>
    <w:p>
      <w:pPr>
        <w:pStyle w:val="ListBullet"/>
        <w:spacing w:line="240" w:lineRule="auto"/>
        <w:ind w:left="720"/>
      </w:pPr>
      <w:r>
        <w:rPr>
          <w:lang w:val="en_US" w:bidi="en_US"/>
        </w:rPr>
      </w:r>
      <w:r>
        <w:rPr>
          <w:lang w:val="en_US" w:bidi="en_US"/>
        </w:rPr>
        <w:t>and I have no food that is ready/prepared for him to eat.’</w:t>
      </w:r>
    </w:p>
    <w:p>
      <w:pPr/>
      <w:r>
        <w:rPr>
          <w:lang w:val="en_US" w:bidi="en_US"/>
        </w:rPr>
      </w:r>
      <w:r>
        <w:rPr>
          <w:b/>
          <w:lang w:val="en_US" w:bidi="en_US"/>
        </w:rPr>
        <w:t>I have nothing to set before him:</w:t>
      </w:r>
      <w:r>
        <w:rPr>
          <w:lang w:val="en_US" w:bidi="en_US"/>
        </w:rPr>
        <w:t xml:space="preserve"> The clause </w:t>
      </w:r>
      <w:r>
        <w:rPr>
          <w:i/>
          <w:lang w:val="en_US" w:bidi="en_US"/>
        </w:rPr>
        <w:t>I have nothing to set before him</w:t>
      </w:r>
      <w:r>
        <w:rPr>
          <w:lang w:val="en_US" w:bidi="en_US"/>
        </w:rPr>
        <w:t xml:space="preserve"> means “I have no food ready to give to him.” Perhaps his family had already eaten all the bread that his wife had baked that day. It would take too long to bake bread in the middle of the night. So he decided to borrow some.</w:t>
      </w:r>
    </w:p>
    <w:p>
      <w:pPr/>
      <w:r>
        <w:rPr>
          <w:lang w:val="en_US" w:bidi="en_US"/>
        </w:rPr>
      </w:r>
      <w:r>
        <w:rPr>
          <w:lang w:val="en_US" w:bidi="en_US"/>
        </w:rPr>
        <w:t>Some other ways to translate this clause are:</w:t>
      </w:r>
    </w:p>
    <w:p>
      <w:pPr/>
      <w:r>
        <w:rPr>
          <w:lang w:val="en_US" w:bidi="en_US"/>
        </w:rPr>
      </w:r>
      <w:r>
        <w:rPr>
          <w:lang w:val="en_US" w:bidi="en_US"/>
        </w:rPr>
        <w:t>I have nothing for him to eat (NLT)</w:t>
      </w:r>
    </w:p>
    <w:p>
      <w:pPr/>
      <w:r>
        <w:rPr>
          <w:lang w:val="en_US" w:bidi="en_US"/>
        </w:rPr>
      </w:r>
      <w:r>
        <w:rPr>
          <w:lang w:val="en_US" w:bidi="en_US"/>
        </w:rPr>
        <w:t>I don’t have any food for him (GNT)</w:t>
      </w:r>
    </w:p>
    <w:p>
      <w:pPr>
        <w:pStyle w:val="Heading6"/>
      </w:pPr>
      <w:r>
        <w:rPr>
          <w:b/>
          <w:lang w:val="en_US" w:bidi="en_US"/>
        </w:rPr>
        <w:t>General Comment on 11:5c–6b</w:t>
      </w:r>
    </w:p>
    <w:p>
      <w:pPr/>
      <w:r>
        <w:rPr>
          <w:lang w:val="en_US" w:bidi="en_US"/>
        </w:rPr>
      </w:r>
      <w:r>
        <w:rPr>
          <w:lang w:val="en_US" w:bidi="en_US"/>
        </w:rPr>
        <w:t>In some languages, it may be more natural to change the order of some of these clauses. For example:</w:t>
      </w:r>
    </w:p>
    <w:p>
      <w:pPr/>
      <w:r>
        <w:rPr>
          <w:lang w:val="en_US" w:bidi="en_US"/>
        </w:rPr>
      </w:r>
      <w:r>
        <w:rPr>
          <w:vertAlign w:val="superscript"/>
          <w:lang w:val="en_US" w:bidi="en_US"/>
        </w:rPr>
        <w:t>6a</w:t>
      </w:r>
      <w:r>
        <w:rPr>
          <w:lang w:val="en_US" w:bidi="en_US"/>
        </w:rPr>
        <w:t xml:space="preserve">A friend of mine on a journey has come to me, </w:t>
      </w:r>
      <w:r>
        <w:rPr>
          <w:vertAlign w:val="superscript"/>
          <w:lang w:val="en_US" w:bidi="en_US"/>
        </w:rPr>
        <w:t>6b</w:t>
      </w:r>
      <w:r>
        <w:rPr>
          <w:lang w:val="en_US" w:bidi="en_US"/>
        </w:rPr>
        <w:t xml:space="preserve">and I have nothing to set before him. </w:t>
      </w:r>
      <w:r>
        <w:rPr>
          <w:vertAlign w:val="superscript"/>
          <w:lang w:val="en_US" w:bidi="en_US"/>
        </w:rPr>
        <w:t>5c</w:t>
      </w:r>
      <w:r>
        <w:rPr>
          <w:lang w:val="en_US" w:bidi="en_US"/>
        </w:rPr>
        <w:t>So</w:t>
      </w:r>
      <w:r>
        <w:rPr>
          <w:lang w:val="en_US" w:bidi="en_US"/>
        </w:rPr>
        <w:t xml:space="preserve"> friend, lend me three loaves of bread.</w:t>
      </w:r>
      <w:r>
        <w:rPr>
          <w:lang w:val="en_US" w:bidi="en_US"/>
        </w:rPr>
      </w:r>
      <w:r>
        <w:rPr>
          <w:lang w:val="en_US" w:bidi="en_US"/>
        </w:rPr>
      </w:r>
    </w:p>
    <w:p>
      <w:pPr/>
      <w:r>
        <w:rPr>
          <w:lang w:val="en_US" w:bidi="en_US"/>
        </w:rPr>
      </w:r>
    </w:p>
    <w:p>
      <w:pPr>
        <w:pStyle w:val="Heading2"/>
      </w:pPr>
      <w:r>
        <w:rPr>
          <w:lang w:val="en_US" w:bidi="en_US"/>
        </w:rPr>
        <w:t>Luke 11:7</w:t>
      </w:r>
      <w:r>
        <w:rPr>
          <w:lang w:val="en_US" w:bidi="en_US"/>
        </w:rPr>
      </w:r>
    </w:p>
    <w:p>
      <w:pPr>
        <w:pStyle w:val="Heading4"/>
      </w:pPr>
      <w:r>
        <w:rPr>
          <w:lang w:val="en_US" w:bidi="en_US"/>
        </w:rPr>
        <w:t>Section 11:1–13: Jesus taught his disciples about prayer</w:t>
      </w:r>
    </w:p>
    <w:p>
      <w:pPr/>
      <w:r>
        <w:rPr>
          <w:lang w:val="en_US" w:bidi="en_US"/>
        </w:rPr>
      </w:r>
      <w:r>
        <w:rPr>
          <w:lang w:val="en_US" w:bidi="en_US"/>
        </w:rPr>
        <w:t>There are four paragraphs in this section. In each paragraph, Jesus taught his disciples something about prayer.</w:t>
      </w:r>
    </w:p>
    <w:p>
      <w:pPr/>
      <w:r>
        <w:rPr>
          <w:lang w:val="en_US" w:bidi="en_US"/>
        </w:rPr>
      </w:r>
      <w:r>
        <w:rPr>
          <w:lang w:val="en_US" w:bidi="en_US"/>
        </w:rPr>
        <w:t>Some other headings for this section are:</w:t>
      </w:r>
    </w:p>
    <w:p>
      <w:pPr/>
      <w:r>
        <w:rPr>
          <w:lang w:val="en_US" w:bidi="en_US"/>
        </w:rPr>
      </w:r>
      <w:r>
        <w:rPr>
          <w:lang w:val="en_US" w:bidi="en_US"/>
        </w:rPr>
        <w:t>Jesus’ Teaching on Prayer (NIV)</w:t>
      </w:r>
    </w:p>
    <w:p>
      <w:pPr/>
      <w:r>
        <w:rPr>
          <w:lang w:val="en_US" w:bidi="en_US"/>
        </w:rPr>
      </w:r>
      <w:r>
        <w:rPr>
          <w:lang w:val="en_US" w:bidi="en_US"/>
        </w:rPr>
        <w:t>Jesus Teaches About Prayer (NCV)</w:t>
      </w:r>
    </w:p>
    <w:p>
      <w:pPr/>
      <w:r>
        <w:rPr>
          <w:lang w:val="en_US" w:bidi="en_US"/>
        </w:rPr>
      </w:r>
      <w:r>
        <w:rPr>
          <w:lang w:val="en_US" w:bidi="en_US"/>
        </w:rPr>
        <w:t>There are parallel passages for this section in Matthew 6:9–13 and 7:7–11.</w:t>
      </w:r>
    </w:p>
    <w:p>
      <w:pPr>
        <w:pStyle w:val="Heading4"/>
      </w:pPr>
      <w:r>
        <w:rPr>
          <w:lang w:val="en_US" w:bidi="en_US"/>
        </w:rPr>
        <w:t>Paragraph 11:5–8</w:t>
      </w:r>
    </w:p>
    <w:p>
      <w:pPr/>
      <w:r>
        <w:rPr>
          <w:lang w:val="en_US" w:bidi="en_US"/>
        </w:rPr>
      </w:r>
      <w:r>
        <w:rPr>
          <w:lang w:val="en_US" w:bidi="en_US"/>
        </w:rPr>
        <w:t>In this paragraph, Jesus told a story. The main point of the story is that when a human being asks a friend for something, the friend gives it to him. He does this even if it is not convenient. This story implies that God will also give us what we request.</w:t>
      </w:r>
      <w:r>
        <w:rPr>
          <w:lang w:val="en_US" w:bidi="en_US"/>
        </w:rPr>
        <w:t>This is an argument from the lesser to the greater. Verses 11–13 below will give a related parable where this argument is made explicit with the words “how much more.” To make this argument explicit here in verses 5–8, we may say, for example: “If we confidently expect our human friends to help us when we are in need, how much more can we confidently ask God for his help” (based on Nolland, p. 627).</w:t>
      </w:r>
    </w:p>
    <w:p>
      <w:pPr>
        <w:pStyle w:val="Heading5"/>
      </w:pPr>
      <w:r>
        <w:rPr>
          <w:lang w:val="en_US" w:bidi="en_US"/>
        </w:rPr>
        <w:t>11:7a</w:t>
      </w:r>
    </w:p>
    <w:p>
      <w:pPr/>
      <w:r>
        <w:rPr>
          <w:lang w:val="en_US" w:bidi="en_US"/>
        </w:rPr>
      </w:r>
      <w:r>
        <w:rPr>
          <w:b/>
          <w:lang w:val="en_US" w:bidi="en_US"/>
        </w:rPr>
        <w:t>And suppose the one inside answers, ‘Do not bother me.</w:t>
      </w:r>
    </w:p>
    <w:p>
      <w:pPr>
        <w:pStyle w:val="ListBullet"/>
        <w:spacing w:line="240" w:lineRule="auto"/>
        <w:ind w:left="720"/>
      </w:pPr>
      <w:r>
        <w:rPr>
          <w:lang w:val="en_US" w:bidi="en_US"/>
        </w:rPr>
      </w:r>
      <w:r>
        <w:rPr>
          <w:lang w:val="en_US" w:bidi="en_US"/>
        </w:rPr>
        <w:t>Would your</w:t>
      </w:r>
      <w:r>
        <w:rPr>
          <w:vertAlign w:val="superscript"/>
          <w:lang w:val="en_US" w:bidi="en_US"/>
        </w:rPr>
        <w:t>(sing)</w:t>
      </w:r>
      <w:r>
        <w:rPr>
          <w:lang w:val="en_US" w:bidi="en_US"/>
        </w:rPr>
        <w:t xml:space="preserve"> friend answer from inside </w:t>
      </w:r>
      <w:r>
        <w:rPr>
          <w:lang w:val="en_US" w:bidi="en_US"/>
        </w:rPr>
        <w:t>the house</w:t>
      </w:r>
      <w:r>
        <w:rPr>
          <w:lang w:val="en_US" w:bidi="en_US"/>
        </w:rPr>
        <w:t>, ‘Do not disturb/bother me?’</w:t>
      </w:r>
    </w:p>
    <w:p>
      <w:pPr>
        <w:pStyle w:val="ListBullet"/>
        <w:spacing w:line="240" w:lineRule="auto"/>
        <w:ind w:left="720"/>
      </w:pPr>
      <w:r>
        <w:rPr>
          <w:lang w:val="en_US" w:bidi="en_US"/>
        </w:rPr>
      </w:r>
      <w:r>
        <w:rPr>
          <w:lang w:val="en_US" w:bidi="en_US"/>
        </w:rPr>
        <w:t>Then suppose that</w:t>
      </w:r>
      <w:r>
        <w:rPr>
          <w:lang w:val="en_US" w:bidi="en_US"/>
        </w:rPr>
        <w:t xml:space="preserve"> the man inside says, ‘Do not ask me to get up.</w:t>
      </w:r>
    </w:p>
    <w:p>
      <w:pPr/>
      <w:r>
        <w:rPr>
          <w:lang w:val="en_US" w:bidi="en_US"/>
        </w:rPr>
      </w:r>
      <w:r>
        <w:rPr>
          <w:b/>
          <w:lang w:val="en_US" w:bidi="en_US"/>
        </w:rPr>
        <w:t>And suppose the one inside answers:</w:t>
      </w:r>
      <w:r>
        <w:rPr>
          <w:lang w:val="en_US" w:bidi="en_US"/>
        </w:rPr>
        <w:t xml:space="preserve"> As mentioned above, 11:5–7 is a long, complex rhetorical question. To make this long rhetorical question more understandable, you can translate 11:5–6 as a statement and begin the rhetorical question here in 11:7a. For example:</w:t>
      </w:r>
    </w:p>
    <w:p>
      <w:pPr/>
      <w:r>
        <w:rPr>
          <w:lang w:val="en_US" w:bidi="en_US"/>
        </w:rPr>
      </w:r>
      <w:r>
        <w:rPr>
          <w:lang w:val="en_US" w:bidi="en_US"/>
        </w:rPr>
        <w:t>Would the one inside answer…?</w:t>
      </w:r>
    </w:p>
    <w:p>
      <w:pPr/>
      <w:r>
        <w:rPr>
          <w:lang w:val="en_US" w:bidi="en_US"/>
        </w:rPr>
      </w:r>
      <w:r>
        <w:rPr>
          <w:lang w:val="en_US" w:bidi="en_US"/>
        </w:rPr>
        <w:t>Does the person inside the house answer in this way?</w:t>
      </w:r>
    </w:p>
    <w:p>
      <w:pPr/>
      <w:r>
        <w:rPr>
          <w:lang w:val="en_US" w:bidi="en_US"/>
        </w:rPr>
      </w:r>
      <w:r>
        <w:rPr>
          <w:lang w:val="en_US" w:bidi="en_US"/>
        </w:rPr>
        <w:t>(See the note on 11:5–7 above for other ways to translate the rhetorical question.)</w:t>
      </w:r>
    </w:p>
    <w:p>
      <w:pPr/>
      <w:r>
        <w:rPr>
          <w:lang w:val="en_US" w:bidi="en_US"/>
        </w:rPr>
      </w:r>
      <w:r>
        <w:rPr>
          <w:lang w:val="en_US" w:bidi="en_US"/>
        </w:rPr>
        <w:t xml:space="preserve">Translate this clause in a natural way in your language for keeping track of the participants in the story. For example, it may not be necessary to specify that the man is </w:t>
      </w:r>
      <w:r>
        <w:rPr>
          <w:i/>
          <w:lang w:val="en_US" w:bidi="en_US"/>
        </w:rPr>
        <w:t>inside</w:t>
      </w:r>
      <w:r>
        <w:rPr>
          <w:lang w:val="en_US" w:bidi="en_US"/>
        </w:rPr>
        <w:t xml:space="preserve"> the house, if that is already clear from the context.</w:t>
      </w:r>
    </w:p>
    <w:p>
      <w:pPr/>
      <w:r>
        <w:rPr>
          <w:lang w:val="en_US" w:bidi="en_US"/>
        </w:rPr>
      </w:r>
      <w:r>
        <w:rPr>
          <w:b/>
          <w:lang w:val="en_US" w:bidi="en_US"/>
        </w:rPr>
        <w:t>Do not bother me:</w:t>
      </w:r>
      <w:r>
        <w:rPr>
          <w:lang w:val="en_US" w:bidi="en_US"/>
        </w:rPr>
        <w:t xml:space="preserve"> The phrase </w:t>
      </w:r>
      <w:r>
        <w:rPr>
          <w:i/>
          <w:lang w:val="en_US" w:bidi="en_US"/>
        </w:rPr>
        <w:t>Do not bother me</w:t>
      </w:r>
      <w:r>
        <w:rPr>
          <w:lang w:val="en_US" w:bidi="en_US"/>
        </w:rPr>
        <w:t xml:space="preserve"> means, “Do not disturb me by making me get out of bed.” The man in the house would have to get out of bed, get the bread, and unlock the door. He did not want to do that in order to give the bread to his friend. Some other ways to translate this are:</w:t>
      </w:r>
    </w:p>
    <w:p>
      <w:pPr/>
      <w:r>
        <w:rPr>
          <w:lang w:val="en_US" w:bidi="en_US"/>
        </w:rPr>
      </w:r>
      <w:r>
        <w:rPr>
          <w:lang w:val="en_US" w:bidi="en_US"/>
        </w:rPr>
        <w:t>Do not disturb me</w:t>
      </w:r>
    </w:p>
    <w:p>
      <w:pPr/>
      <w:r>
        <w:rPr>
          <w:lang w:val="en_US" w:bidi="en_US"/>
        </w:rPr>
      </w:r>
      <w:r>
        <w:rPr>
          <w:lang w:val="en_US" w:bidi="en_US"/>
        </w:rPr>
        <w:t>Do not cause me trouble/problems</w:t>
      </w:r>
    </w:p>
    <w:p>
      <w:pPr>
        <w:pStyle w:val="Heading5"/>
      </w:pPr>
      <w:r>
        <w:rPr>
          <w:lang w:val="en_US" w:bidi="en_US"/>
        </w:rPr>
        <w:t>11:7b</w:t>
      </w:r>
    </w:p>
    <w:p>
      <w:pPr/>
      <w:r>
        <w:rPr>
          <w:lang w:val="en_US" w:bidi="en_US"/>
        </w:rPr>
      </w:r>
      <w:r>
        <w:rPr>
          <w:b/>
          <w:lang w:val="en_US" w:bidi="en_US"/>
        </w:rPr>
        <w:t>My door is already shut,</w:t>
      </w:r>
    </w:p>
    <w:p>
      <w:pPr>
        <w:pStyle w:val="ListBullet"/>
        <w:spacing w:line="240" w:lineRule="auto"/>
        <w:ind w:left="720"/>
      </w:pPr>
      <w:r>
        <w:rPr>
          <w:lang w:val="en_US" w:bidi="en_US"/>
        </w:rPr>
      </w:r>
      <w:r>
        <w:rPr>
          <w:lang w:val="en_US" w:bidi="en_US"/>
        </w:rPr>
        <w:t>Would he say,</w:t>
      </w:r>
      <w:r>
        <w:rPr>
          <w:lang w:val="en_US" w:bidi="en_US"/>
        </w:rPr>
        <w:t xml:space="preserve"> ‘The door is already barred/bolted,</w:t>
      </w:r>
    </w:p>
    <w:p>
      <w:pPr>
        <w:pStyle w:val="ListBullet"/>
        <w:spacing w:line="240" w:lineRule="auto"/>
        <w:ind w:left="720"/>
      </w:pPr>
      <w:r>
        <w:rPr>
          <w:lang w:val="en_US" w:bidi="en_US"/>
        </w:rPr>
      </w:r>
      <w:r>
        <w:rPr>
          <w:lang w:val="en_US" w:bidi="en_US"/>
        </w:rPr>
        <w:t>I</w:t>
      </w:r>
      <w:r>
        <w:rPr>
          <w:lang w:val="en_US" w:bidi="en_US"/>
        </w:rPr>
        <w:t xml:space="preserve"> have already locked/bolted the door </w:t>
      </w:r>
      <w:r>
        <w:rPr>
          <w:lang w:val="en_US" w:bidi="en_US"/>
        </w:rPr>
        <w:t>for the night</w:t>
      </w:r>
      <w:r>
        <w:rPr>
          <w:lang w:val="en_US" w:bidi="en_US"/>
        </w:rPr>
        <w:t>,</w:t>
      </w:r>
    </w:p>
    <w:p>
      <w:pPr/>
      <w:r>
        <w:rPr>
          <w:lang w:val="en_US" w:bidi="en_US"/>
        </w:rPr>
      </w:r>
      <w:r>
        <w:rPr>
          <w:b/>
          <w:lang w:val="en_US" w:bidi="en_US"/>
        </w:rPr>
        <w:t>My door is already shut:</w:t>
      </w:r>
      <w:r>
        <w:rPr>
          <w:lang w:val="en_US" w:bidi="en_US"/>
        </w:rPr>
        <w:t xml:space="preserve"> The Greek verb that the BSB translates as </w:t>
      </w:r>
      <w:r>
        <w:rPr>
          <w:i/>
          <w:lang w:val="en_US" w:bidi="en_US"/>
        </w:rPr>
        <w:t>is…shut</w:t>
      </w:r>
      <w:r>
        <w:rPr>
          <w:lang w:val="en_US" w:bidi="en_US"/>
        </w:rPr>
        <w:t xml:space="preserve"> is literally “has been shut.” It indicates here that the door had been shut for the night. This involved fastening a bar or bolt across the inside of the door to keep it closed. If you have a term in your language for barring, bolting, or locking a door from the inside, you may use it here.</w:t>
      </w:r>
    </w:p>
    <w:p>
      <w:pPr/>
      <w:r>
        <w:rPr>
          <w:lang w:val="en_US" w:bidi="en_US"/>
        </w:rPr>
      </w:r>
      <w:r>
        <w:rPr>
          <w:lang w:val="en_US" w:bidi="en_US"/>
        </w:rPr>
        <w:t xml:space="preserve">The verb </w:t>
      </w:r>
      <w:r>
        <w:rPr>
          <w:i/>
          <w:lang w:val="en_US" w:bidi="en_US"/>
        </w:rPr>
        <w:t>is…shut</w:t>
      </w:r>
      <w:r>
        <w:rPr>
          <w:lang w:val="en_US" w:bidi="en_US"/>
        </w:rPr>
        <w:t xml:space="preserve"> is a passive verb. Some ways to translate this verb are:</w:t>
      </w:r>
    </w:p>
    <w:p>
      <w:pPr>
        <w:pStyle w:val="ListBullet"/>
        <w:spacing w:line="240" w:lineRule="auto"/>
        <w:ind w:left="720"/>
      </w:pPr>
      <w:r>
        <w:rPr>
          <w:lang w:val="en_US" w:bidi="en_US"/>
        </w:rPr>
      </w:r>
      <w:r>
        <w:rPr>
          <w:lang w:val="en_US" w:bidi="en_US"/>
        </w:rPr>
        <w:t>As a passive verb. For example:</w:t>
      </w:r>
      <w:r>
        <w:rPr>
          <w:lang w:val="en_US" w:bidi="en_US"/>
        </w:rPr>
        <w:t>The door is locked for the night (NLT)</w:t>
      </w:r>
      <w:r>
        <w:rPr>
          <w:lang w:val="en_US" w:bidi="en_US"/>
        </w:rPr>
        <w:t>The door is bolted (CEV)</w:t>
      </w:r>
    </w:p>
    <w:p>
      <w:pPr>
        <w:pStyle w:val="ListBullet"/>
        <w:spacing w:line="240" w:lineRule="auto"/>
        <w:ind w:left="720"/>
      </w:pPr>
      <w:r>
        <w:rPr>
          <w:lang w:val="en_US" w:bidi="en_US"/>
        </w:rPr>
      </w:r>
      <w:r>
        <w:rPr>
          <w:lang w:val="en_US" w:bidi="en_US"/>
        </w:rPr>
        <w:t>As an active verb. For example:</w:t>
      </w:r>
      <w:r>
        <w:rPr>
          <w:lang w:val="en_US" w:bidi="en_US"/>
        </w:rPr>
        <w:t xml:space="preserve">I have already barred/bolted the door </w:t>
      </w:r>
      <w:r>
        <w:rPr>
          <w:lang w:val="en_US" w:bidi="en_US"/>
        </w:rPr>
        <w:t>for the night</w:t>
      </w:r>
    </w:p>
    <w:p>
      <w:pPr/>
      <w:r>
        <w:rPr>
          <w:lang w:val="en_US" w:bidi="en_US"/>
        </w:rPr>
      </w:r>
      <w:r>
        <w:rPr>
          <w:lang w:val="en_US" w:bidi="en_US"/>
        </w:rPr>
        <w:t>Translate this verb in a way that is most natural in your language.</w:t>
      </w:r>
    </w:p>
    <w:p>
      <w:pPr>
        <w:pStyle w:val="Heading5"/>
      </w:pPr>
      <w:r>
        <w:rPr>
          <w:lang w:val="en_US" w:bidi="en_US"/>
        </w:rPr>
        <w:t>11:7c</w:t>
      </w:r>
    </w:p>
    <w:p>
      <w:pPr/>
      <w:r>
        <w:rPr>
          <w:lang w:val="en_US" w:bidi="en_US"/>
        </w:rPr>
      </w:r>
      <w:r>
        <w:rPr>
          <w:b/>
          <w:lang w:val="en_US" w:bidi="en_US"/>
        </w:rPr>
        <w:t>and my children and I are in bed.</w:t>
      </w:r>
    </w:p>
    <w:p>
      <w:pPr>
        <w:pStyle w:val="ListBullet"/>
        <w:spacing w:line="240" w:lineRule="auto"/>
        <w:ind w:left="720"/>
      </w:pPr>
      <w:r>
        <w:rPr>
          <w:lang w:val="en_US" w:bidi="en_US"/>
        </w:rPr>
      </w:r>
      <w:r>
        <w:rPr>
          <w:lang w:val="en_US" w:bidi="en_US"/>
        </w:rPr>
        <w:t>and my children and I are already in bed.</w:t>
      </w:r>
    </w:p>
    <w:p>
      <w:pPr>
        <w:pStyle w:val="ListBullet"/>
        <w:spacing w:line="240" w:lineRule="auto"/>
        <w:ind w:left="720"/>
      </w:pPr>
      <w:r>
        <w:rPr>
          <w:lang w:val="en_US" w:bidi="en_US"/>
        </w:rPr>
      </w:r>
      <w:r>
        <w:rPr>
          <w:lang w:val="en_US" w:bidi="en_US"/>
        </w:rPr>
        <w:t xml:space="preserve">and my children and I are already lying down </w:t>
      </w:r>
      <w:r>
        <w:rPr>
          <w:lang w:val="en_US" w:bidi="en_US"/>
        </w:rPr>
        <w:t>to sleep</w:t>
      </w:r>
      <w:r>
        <w:rPr>
          <w:lang w:val="en_US" w:bidi="en_US"/>
        </w:rPr>
        <w:t>.</w:t>
      </w:r>
    </w:p>
    <w:p>
      <w:pPr/>
      <w:r>
        <w:rPr>
          <w:lang w:val="en_US" w:bidi="en_US"/>
        </w:rPr>
      </w:r>
      <w:r>
        <w:rPr>
          <w:b/>
          <w:lang w:val="en_US" w:bidi="en_US"/>
        </w:rPr>
        <w:t>my children and I are in bed:</w:t>
      </w:r>
      <w:r>
        <w:rPr>
          <w:lang w:val="en_US" w:bidi="en_US"/>
        </w:rPr>
        <w:t xml:space="preserve"> There are at least two ways</w:t>
      </w:r>
      <w:r>
        <w:rPr>
          <w:lang w:val="en_US" w:bidi="en_US"/>
        </w:rPr>
        <w:t>Several commentators (see Blight 2007a, p. 496) say that the father was in a separate bed from the children, but no English versions state explicitly that more than one bed was used, so the Notes have not listed this as a separate interpretation. Most versions are ambiguous and say only that the father and children were in bed or asleep.</w:t>
      </w:r>
      <w:r>
        <w:rPr>
          <w:lang w:val="en_US" w:bidi="en_US"/>
        </w:rPr>
        <w:t xml:space="preserve"> to interpret the Greek clause that the BSB translates as </w:t>
      </w:r>
      <w:r>
        <w:rPr>
          <w:i/>
          <w:lang w:val="en_US" w:bidi="en_US"/>
        </w:rPr>
        <w:t>my children and I are in bed</w:t>
      </w:r>
      <w:r>
        <w:rPr>
          <w:lang w:val="en_US" w:bidi="en_US"/>
        </w:rPr>
        <w:t>:</w:t>
      </w:r>
    </w:p>
    <w:p>
      <w:pPr>
        <w:pStyle w:val="ListNumber"/>
        <w:numPr>
          <w:ilvl w:val="0"/>
          <w:numId w:val="214"/>
        </w:numPr>
        <w:spacing w:line="240" w:lineRule="auto"/>
        <w:ind w:left="720"/>
      </w:pPr>
      <w:r>
        <w:rPr>
          <w:lang w:val="en_US" w:bidi="en_US"/>
        </w:rPr>
      </w:r>
      <w:r>
        <w:rPr>
          <w:lang w:val="en_US" w:bidi="en_US"/>
        </w:rPr>
        <w:t xml:space="preserve">The children and the father had already gone to bed. They were probably asleep. </w:t>
      </w:r>
      <w:r>
        <w:rPr>
          <w:u w:val="single"/>
          <w:lang w:val="en_US" w:bidi="en_US"/>
        </w:rPr>
        <w:t>The children may or may not have been on the same bed or mat as the father</w:t>
      </w:r>
      <w:r>
        <w:rPr>
          <w:lang w:val="en_US" w:bidi="en_US"/>
        </w:rPr>
        <w:t>. For example:</w:t>
      </w:r>
      <w:r>
        <w:rPr>
          <w:lang w:val="en_US" w:bidi="en_US"/>
        </w:rPr>
        <w:t xml:space="preserve">my children and I are in bed (NCV) </w:t>
      </w:r>
      <w:r>
        <w:rPr>
          <w:i/>
          <w:lang w:val="en_US" w:bidi="en_US"/>
        </w:rPr>
        <w:t>(BSB, NASB, REB, NJB, NCV, GW, NLT, CEV, GNT)</w:t>
      </w:r>
    </w:p>
    <w:p>
      <w:pPr>
        <w:pStyle w:val="ListNumber"/>
        <w:spacing w:line="240" w:lineRule="auto"/>
        <w:ind w:left="720"/>
      </w:pPr>
      <w:r>
        <w:rPr>
          <w:lang w:val="en_US" w:bidi="en_US"/>
        </w:rPr>
      </w:r>
      <w:r>
        <w:rPr>
          <w:u w:val="single"/>
          <w:lang w:val="en_US" w:bidi="en_US"/>
        </w:rPr>
        <w:t>The children were all sleeping in the same bed as the father</w:t>
      </w:r>
      <w:r>
        <w:rPr>
          <w:lang w:val="en_US" w:bidi="en_US"/>
        </w:rPr>
        <w:t>. This was probably a mat or a raised sleeping platform at one end of the room on which the whole family slept. For example:</w:t>
      </w:r>
      <w:r>
        <w:rPr>
          <w:lang w:val="en_US" w:bidi="en_US"/>
        </w:rPr>
        <w:t xml:space="preserve">my children are with me in bed (RSV) </w:t>
      </w:r>
      <w:r>
        <w:rPr>
          <w:i/>
          <w:lang w:val="en_US" w:bidi="en_US"/>
        </w:rPr>
        <w:t>(NIV, RSV, ESV)</w:t>
      </w:r>
    </w:p>
    <w:p>
      <w:pPr/>
      <w:r>
        <w:rPr>
          <w:lang w:val="en_US" w:bidi="en_US"/>
        </w:rPr>
      </w:r>
      <w:r>
        <w:rPr>
          <w:lang w:val="en_US" w:bidi="en_US"/>
        </w:rPr>
        <w:t>It is recommended that you follow interpretation (1), because it allows for a variety of sleeping arrangements. The point of the passage is not whether the family slept in one or many beds. The point is that everyone had already gone to bed. If the father had to get up and look for food supplies, this would probably wake up the other members of the family.</w:t>
      </w:r>
    </w:p>
    <w:p>
      <w:pPr/>
      <w:r>
        <w:rPr>
          <w:lang w:val="en_US" w:bidi="en_US"/>
        </w:rPr>
      </w:r>
      <w:r>
        <w:rPr>
          <w:lang w:val="en_US" w:bidi="en_US"/>
        </w:rPr>
        <w:t>If the situation is not clear to readers in your area, you may want to add a footnote. For example:</w:t>
      </w:r>
    </w:p>
    <w:p>
      <w:pPr/>
      <w:r>
        <w:rPr>
          <w:lang w:val="en_US" w:bidi="en_US"/>
        </w:rPr>
      </w:r>
      <w:r>
        <w:rPr>
          <w:lang w:val="en_US" w:bidi="en_US"/>
        </w:rPr>
        <w:t>This was probably a one-room house where everyone slept in one area. It would disturb everyone’s sleep to get up and open the door. (TRT)</w:t>
      </w:r>
    </w:p>
    <w:p>
      <w:pPr/>
      <w:r>
        <w:rPr>
          <w:lang w:val="en_US" w:bidi="en_US"/>
        </w:rPr>
      </w:r>
      <w:r>
        <w:rPr>
          <w:lang w:val="en_US" w:bidi="en_US"/>
        </w:rPr>
        <w:t>Some other ways to translate interpretation (1) are:</w:t>
      </w:r>
    </w:p>
    <w:p>
      <w:pPr/>
      <w:r>
        <w:rPr>
          <w:lang w:val="en_US" w:bidi="en_US"/>
        </w:rPr>
      </w:r>
      <w:r>
        <w:rPr>
          <w:lang w:val="en_US" w:bidi="en_US"/>
        </w:rPr>
        <w:t>My children and I already went to bed/sleep</w:t>
      </w:r>
    </w:p>
    <w:p>
      <w:pPr/>
      <w:r>
        <w:rPr>
          <w:lang w:val="en_US" w:bidi="en_US"/>
        </w:rPr>
      </w:r>
      <w:r>
        <w:rPr>
          <w:lang w:val="en_US" w:bidi="en_US"/>
        </w:rPr>
        <w:t>My children and I have already lain down</w:t>
      </w:r>
    </w:p>
    <w:p>
      <w:pPr/>
      <w:r>
        <w:rPr>
          <w:lang w:val="en_US" w:bidi="en_US"/>
        </w:rPr>
      </w:r>
      <w:r>
        <w:rPr>
          <w:lang w:val="en_US" w:bidi="en_US"/>
        </w:rPr>
        <w:t>The man did not mention his wife. If that seems unusual for people in your area, you may want to translate in a more general way. For example:</w:t>
      </w:r>
    </w:p>
    <w:p>
      <w:pPr/>
      <w:r>
        <w:rPr>
          <w:lang w:val="en_US" w:bidi="en_US"/>
        </w:rPr>
      </w:r>
      <w:r>
        <w:rPr>
          <w:lang w:val="en_US" w:bidi="en_US"/>
        </w:rPr>
        <w:t>my family and I are all in bed (NLT)</w:t>
      </w:r>
    </w:p>
    <w:p>
      <w:pPr/>
      <w:r>
        <w:rPr>
          <w:lang w:val="en_US" w:bidi="en_US"/>
        </w:rPr>
      </w:r>
      <w:r>
        <w:rPr>
          <w:lang w:val="en_US" w:bidi="en_US"/>
        </w:rPr>
        <w:t>All of us</w:t>
      </w:r>
      <w:r>
        <w:rPr>
          <w:vertAlign w:val="superscript"/>
          <w:lang w:val="en_US" w:bidi="en_US"/>
        </w:rPr>
        <w:t>(excl)</w:t>
      </w:r>
      <w:r>
        <w:rPr>
          <w:lang w:val="en_US" w:bidi="en_US"/>
        </w:rPr>
        <w:t xml:space="preserve"> already went to sleep</w:t>
      </w:r>
    </w:p>
    <w:p>
      <w:pPr>
        <w:pStyle w:val="Heading5"/>
      </w:pPr>
      <w:r>
        <w:rPr>
          <w:lang w:val="en_US" w:bidi="en_US"/>
        </w:rPr>
        <w:t>11:7d</w:t>
      </w:r>
    </w:p>
    <w:p>
      <w:pPr/>
      <w:r>
        <w:rPr>
          <w:lang w:val="en_US" w:bidi="en_US"/>
        </w:rPr>
      </w:r>
      <w:r>
        <w:rPr>
          <w:b/>
          <w:lang w:val="en_US" w:bidi="en_US"/>
        </w:rPr>
        <w:t>I cannot get up to give you anything.’</w:t>
      </w:r>
    </w:p>
    <w:p>
      <w:pPr>
        <w:pStyle w:val="ListBullet"/>
        <w:spacing w:line="240" w:lineRule="auto"/>
        <w:ind w:left="720"/>
      </w:pPr>
      <w:r>
        <w:rPr>
          <w:lang w:val="en_US" w:bidi="en_US"/>
        </w:rPr>
      </w:r>
      <w:r>
        <w:rPr>
          <w:lang w:val="en_US" w:bidi="en_US"/>
        </w:rPr>
        <w:t xml:space="preserve">I </w:t>
      </w:r>
      <w:r>
        <w:rPr>
          <w:lang w:val="en_US" w:bidi="en_US"/>
        </w:rPr>
        <w:t>really</w:t>
      </w:r>
      <w:r>
        <w:rPr>
          <w:lang w:val="en_US" w:bidi="en_US"/>
        </w:rPr>
        <w:t xml:space="preserve"> cannot get up to give you</w:t>
      </w:r>
      <w:r>
        <w:rPr>
          <w:vertAlign w:val="superscript"/>
          <w:lang w:val="en_US" w:bidi="en_US"/>
        </w:rPr>
        <w:t>(sing)</w:t>
      </w:r>
      <w:r>
        <w:rPr>
          <w:lang w:val="en_US" w:bidi="en_US"/>
        </w:rPr>
        <w:t xml:space="preserve"> something’?”</w:t>
      </w:r>
    </w:p>
    <w:p>
      <w:pPr>
        <w:pStyle w:val="ListBullet"/>
        <w:spacing w:line="240" w:lineRule="auto"/>
        <w:ind w:left="720"/>
      </w:pPr>
      <w:r>
        <w:rPr>
          <w:lang w:val="en_US" w:bidi="en_US"/>
        </w:rPr>
      </w:r>
      <w:r>
        <w:rPr>
          <w:lang w:val="en_US" w:bidi="en_US"/>
        </w:rPr>
        <w:t xml:space="preserve">I do not </w:t>
      </w:r>
      <w:r>
        <w:rPr>
          <w:lang w:val="en_US" w:bidi="en_US"/>
        </w:rPr>
        <w:t>want to</w:t>
      </w:r>
      <w:r>
        <w:rPr>
          <w:lang w:val="en_US" w:bidi="en_US"/>
        </w:rPr>
        <w:t xml:space="preserve"> get up to give it to you</w:t>
      </w:r>
      <w:r>
        <w:rPr>
          <w:vertAlign w:val="superscript"/>
          <w:lang w:val="en_US" w:bidi="en_US"/>
        </w:rPr>
        <w:t>(sing)</w:t>
      </w:r>
      <w:r>
        <w:rPr>
          <w:lang w:val="en_US" w:bidi="en_US"/>
        </w:rPr>
        <w:t xml:space="preserve">.’ </w:t>
      </w:r>
      <w:r>
        <w:rPr>
          <w:lang w:val="en_US" w:bidi="en_US"/>
        </w:rPr>
        <w:t>Would this ever happen?</w:t>
      </w:r>
    </w:p>
    <w:p>
      <w:pPr>
        <w:pStyle w:val="ListBullet"/>
        <w:spacing w:line="240" w:lineRule="auto"/>
        <w:ind w:left="720"/>
      </w:pPr>
      <w:r>
        <w:rPr>
          <w:lang w:val="en_US" w:bidi="en_US"/>
        </w:rPr>
      </w:r>
      <w:r>
        <w:rPr>
          <w:lang w:val="en_US" w:bidi="en_US"/>
        </w:rPr>
        <w:t>It is too difficult for me to help you</w:t>
      </w:r>
      <w:r>
        <w:rPr>
          <w:vertAlign w:val="superscript"/>
          <w:lang w:val="en_US" w:bidi="en_US"/>
        </w:rPr>
        <w:t>(sing)</w:t>
      </w:r>
      <w:r>
        <w:rPr>
          <w:lang w:val="en_US" w:bidi="en_US"/>
        </w:rPr>
        <w:t xml:space="preserve"> right now!’ </w:t>
      </w:r>
      <w:r>
        <w:rPr>
          <w:lang w:val="en_US" w:bidi="en_US"/>
        </w:rPr>
        <w:t>Can any of you imagine a situation like this?</w:t>
      </w:r>
      <w:r>
        <w:rPr>
          <w:lang w:val="en_US" w:bidi="en_US"/>
        </w:rPr>
        <w:t xml:space="preserve"> </w:t>
      </w:r>
      <w:r>
        <w:rPr>
          <w:lang w:val="en_US" w:bidi="en_US"/>
        </w:rPr>
        <w:t>Of course not!</w:t>
      </w:r>
      <w:r>
        <w:rPr>
          <w:lang w:val="en_US" w:bidi="en_US"/>
        </w:rPr>
        <w:t>”</w:t>
      </w:r>
    </w:p>
    <w:p>
      <w:pPr/>
      <w:r>
        <w:rPr>
          <w:lang w:val="en_US" w:bidi="en_US"/>
        </w:rPr>
      </w:r>
      <w:r>
        <w:rPr>
          <w:b/>
          <w:lang w:val="en_US" w:bidi="en_US"/>
        </w:rPr>
        <w:t>I cannot get up to give you anything:</w:t>
      </w:r>
      <w:r>
        <w:rPr>
          <w:lang w:val="en_US" w:bidi="en_US"/>
        </w:rPr>
        <w:t xml:space="preserve"> In this context the clause </w:t>
      </w:r>
      <w:r>
        <w:rPr>
          <w:i/>
          <w:lang w:val="en_US" w:bidi="en_US"/>
        </w:rPr>
        <w:t>I cannot get up</w:t>
      </w:r>
      <w:r>
        <w:rPr>
          <w:lang w:val="en_US" w:bidi="en_US"/>
        </w:rPr>
        <w:t xml:space="preserve"> means “I am not willing to get up.” Obviously the man was physically able to get out of bed. He just was not willing to do so. In some languages it may not be necessary to state all the information in this verse part explicitly. For example:</w:t>
      </w:r>
    </w:p>
    <w:p>
      <w:pPr/>
      <w:r>
        <w:rPr>
          <w:lang w:val="en_US" w:bidi="en_US"/>
        </w:rPr>
      </w:r>
      <w:r>
        <w:rPr>
          <w:lang w:val="en_US" w:bidi="en_US"/>
        </w:rPr>
        <w:t>I can’t help you (NLT)</w:t>
      </w:r>
    </w:p>
    <w:p>
      <w:pPr/>
      <w:r>
        <w:rPr>
          <w:lang w:val="en_US" w:bidi="en_US"/>
        </w:rPr>
      </w:r>
      <w:r>
        <w:rPr>
          <w:lang w:val="en_US" w:bidi="en_US"/>
        </w:rPr>
        <w:t>Think of a natural way in your language for a person to give this kind of excuse to his friend.</w:t>
      </w:r>
    </w:p>
    <w:p>
      <w:pPr>
        <w:pStyle w:val="Heading6"/>
      </w:pPr>
      <w:r>
        <w:rPr>
          <w:b/>
          <w:lang w:val="en_US" w:bidi="en_US"/>
        </w:rPr>
        <w:t>General Comment on 11:5–7</w:t>
      </w:r>
    </w:p>
    <w:p>
      <w:pPr/>
      <w:r>
        <w:rPr>
          <w:lang w:val="en_US" w:bidi="en_US"/>
        </w:rPr>
      </w:r>
      <w:r>
        <w:rPr>
          <w:lang w:val="en_US" w:bidi="en_US"/>
        </w:rPr>
        <w:t>As the note on 11:5–7 stated, in Greek these verses are one rhetorical question. In some languages it may be more natural to translate most of 11:5–7 as a statement and to put a shorter question at the end of 11:7d. See the Display for 11:7d for some examples. See also the note on 11:5–7 above for more information.</w:t>
      </w:r>
      <w:r>
        <w:rPr>
          <w:lang w:val="en_US" w:bidi="en_US"/>
        </w:rPr>
      </w:r>
      <w:r>
        <w:rPr>
          <w:lang w:val="en_US" w:bidi="en_US"/>
        </w:rPr>
      </w:r>
    </w:p>
    <w:p>
      <w:pPr/>
      <w:r>
        <w:rPr>
          <w:lang w:val="en_US" w:bidi="en_US"/>
        </w:rPr>
      </w:r>
    </w:p>
    <w:p>
      <w:pPr>
        <w:pStyle w:val="Heading2"/>
      </w:pPr>
      <w:r>
        <w:rPr>
          <w:lang w:val="en_US" w:bidi="en_US"/>
        </w:rPr>
        <w:t>Luke 11:8</w:t>
      </w:r>
      <w:r>
        <w:rPr>
          <w:lang w:val="en_US" w:bidi="en_US"/>
        </w:rPr>
      </w:r>
    </w:p>
    <w:p>
      <w:pPr>
        <w:pStyle w:val="Heading4"/>
      </w:pPr>
      <w:r>
        <w:rPr>
          <w:lang w:val="en_US" w:bidi="en_US"/>
        </w:rPr>
        <w:t>Section 11:1–13: Jesus taught his disciples about prayer</w:t>
      </w:r>
    </w:p>
    <w:p>
      <w:pPr/>
      <w:r>
        <w:rPr>
          <w:lang w:val="en_US" w:bidi="en_US"/>
        </w:rPr>
      </w:r>
      <w:r>
        <w:rPr>
          <w:lang w:val="en_US" w:bidi="en_US"/>
        </w:rPr>
        <w:t>There are four paragraphs in this section. In each paragraph, Jesus taught his disciples something about prayer.</w:t>
      </w:r>
    </w:p>
    <w:p>
      <w:pPr/>
      <w:r>
        <w:rPr>
          <w:lang w:val="en_US" w:bidi="en_US"/>
        </w:rPr>
      </w:r>
      <w:r>
        <w:rPr>
          <w:lang w:val="en_US" w:bidi="en_US"/>
        </w:rPr>
        <w:t>Some other headings for this section are:</w:t>
      </w:r>
    </w:p>
    <w:p>
      <w:pPr/>
      <w:r>
        <w:rPr>
          <w:lang w:val="en_US" w:bidi="en_US"/>
        </w:rPr>
      </w:r>
      <w:r>
        <w:rPr>
          <w:lang w:val="en_US" w:bidi="en_US"/>
        </w:rPr>
        <w:t>Jesus’ Teaching on Prayer (NIV)</w:t>
      </w:r>
    </w:p>
    <w:p>
      <w:pPr/>
      <w:r>
        <w:rPr>
          <w:lang w:val="en_US" w:bidi="en_US"/>
        </w:rPr>
      </w:r>
      <w:r>
        <w:rPr>
          <w:lang w:val="en_US" w:bidi="en_US"/>
        </w:rPr>
        <w:t>Jesus Teaches About Prayer (NCV)</w:t>
      </w:r>
    </w:p>
    <w:p>
      <w:pPr/>
      <w:r>
        <w:rPr>
          <w:lang w:val="en_US" w:bidi="en_US"/>
        </w:rPr>
      </w:r>
      <w:r>
        <w:rPr>
          <w:lang w:val="en_US" w:bidi="en_US"/>
        </w:rPr>
        <w:t>There are parallel passages for this section in Matthew 6:9–13 and 7:7–11.</w:t>
      </w:r>
    </w:p>
    <w:p>
      <w:pPr>
        <w:pStyle w:val="Heading4"/>
      </w:pPr>
      <w:r>
        <w:rPr>
          <w:lang w:val="en_US" w:bidi="en_US"/>
        </w:rPr>
        <w:t>Paragraph 11:5–8</w:t>
      </w:r>
    </w:p>
    <w:p>
      <w:pPr/>
      <w:r>
        <w:rPr>
          <w:lang w:val="en_US" w:bidi="en_US"/>
        </w:rPr>
      </w:r>
      <w:r>
        <w:rPr>
          <w:lang w:val="en_US" w:bidi="en_US"/>
        </w:rPr>
        <w:t>In this paragraph, Jesus told a story. The main point of the story is that when a human being asks a friend for something, the friend gives it to him. He does this even if it is not convenient. This story implies that God will also give us what we request.</w:t>
      </w:r>
      <w:r>
        <w:rPr>
          <w:lang w:val="en_US" w:bidi="en_US"/>
        </w:rPr>
        <w:t>This is an argument from the lesser to the greater. Verses 11–13 below will give a related parable where this argument is made explicit with the words “how much more.” To make this argument explicit here in verses 5–8, we may say, for example: “If we confidently expect our human friends to help us when we are in need, how much more can we confidently ask God for his help” (based on Nolland, p. 627).</w:t>
      </w:r>
    </w:p>
    <w:p>
      <w:pPr>
        <w:pStyle w:val="Heading5"/>
      </w:pPr>
      <w:r>
        <w:rPr>
          <w:lang w:val="en_US" w:bidi="en_US"/>
        </w:rPr>
        <w:t>11:8a</w:t>
      </w:r>
    </w:p>
    <w:p>
      <w:pPr/>
      <w:r>
        <w:rPr>
          <w:lang w:val="en_US" w:bidi="en_US"/>
        </w:rPr>
      </w:r>
      <w:r>
        <w:rPr>
          <w:b/>
          <w:lang w:val="en_US" w:bidi="en_US"/>
        </w:rPr>
        <w:t>I tell you,</w:t>
      </w:r>
    </w:p>
    <w:p>
      <w:pPr>
        <w:pStyle w:val="ListBullet"/>
        <w:spacing w:line="240" w:lineRule="auto"/>
        <w:ind w:left="720"/>
      </w:pPr>
      <w:r>
        <w:rPr>
          <w:lang w:val="en_US" w:bidi="en_US"/>
        </w:rPr>
      </w:r>
      <w:r>
        <w:rPr>
          <w:lang w:val="en_US" w:bidi="en_US"/>
        </w:rPr>
        <w:t>Then Jesus said,</w:t>
      </w:r>
      <w:r>
        <w:rPr>
          <w:lang w:val="en_US" w:bidi="en_US"/>
        </w:rPr>
        <w:t xml:space="preserve"> “I assure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I tell you</w:t>
      </w:r>
      <w:r>
        <w:rPr>
          <w:vertAlign w:val="superscript"/>
          <w:lang w:val="en_US" w:bidi="en_US"/>
        </w:rPr>
        <w:t>(plur)</w:t>
      </w:r>
      <w:r>
        <w:rPr>
          <w:lang w:val="en_US" w:bidi="en_US"/>
        </w:rPr>
        <w:t xml:space="preserve"> </w:t>
      </w:r>
      <w:r>
        <w:rPr>
          <w:lang w:val="en_US" w:bidi="en_US"/>
        </w:rPr>
        <w:t>this</w:t>
      </w:r>
      <w:r>
        <w:rPr>
          <w:lang w:val="en_US" w:bidi="en_US"/>
        </w:rPr>
        <w:t>,</w:t>
      </w:r>
    </w:p>
    <w:p>
      <w:pPr>
        <w:pStyle w:val="ListBullet"/>
        <w:spacing w:line="240" w:lineRule="auto"/>
        <w:ind w:left="720"/>
      </w:pPr>
      <w:r>
        <w:rPr>
          <w:lang w:val="en_US" w:bidi="en_US"/>
        </w:rPr>
      </w:r>
      <w:r>
        <w:rPr>
          <w:lang w:val="en_US" w:bidi="en_US"/>
        </w:rPr>
        <w:t>Then Jesus continued,</w:t>
      </w:r>
      <w:r>
        <w:rPr>
          <w:lang w:val="en_US" w:bidi="en_US"/>
        </w:rPr>
        <w:t xml:space="preserve"> “</w:t>
      </w:r>
      <w:r>
        <w:rPr>
          <w:lang w:val="en_US" w:bidi="en_US"/>
        </w:rPr>
        <w:t>But</w:t>
      </w:r>
      <w:r>
        <w:rPr>
          <w:lang w:val="en_US" w:bidi="en_US"/>
        </w:rPr>
        <w:t xml:space="preserve"> listen</w:t>
      </w:r>
      <w:r>
        <w:rPr>
          <w:vertAlign w:val="superscript"/>
          <w:lang w:val="en_US" w:bidi="en_US"/>
        </w:rPr>
        <w:t>(plur)</w:t>
      </w:r>
      <w:r>
        <w:rPr>
          <w:lang w:val="en_US" w:bidi="en_US"/>
        </w:rPr>
        <w:t>,</w:t>
      </w:r>
    </w:p>
    <w:p>
      <w:pPr/>
      <w:r>
        <w:rPr>
          <w:lang w:val="en_US" w:bidi="en_US"/>
        </w:rPr>
      </w:r>
      <w:r>
        <w:rPr>
          <w:b/>
          <w:lang w:val="en_US" w:bidi="en_US"/>
        </w:rPr>
        <w:t>I tell you:</w:t>
      </w:r>
      <w:r>
        <w:rPr>
          <w:lang w:val="en_US" w:bidi="en_US"/>
        </w:rPr>
        <w:t xml:space="preserve"> Jesus used the phrase </w:t>
      </w:r>
      <w:r>
        <w:rPr>
          <w:i/>
          <w:lang w:val="en_US" w:bidi="en_US"/>
        </w:rPr>
        <w:t>I tell you</w:t>
      </w:r>
      <w:r>
        <w:rPr>
          <w:lang w:val="en_US" w:bidi="en_US"/>
        </w:rPr>
        <w:t xml:space="preserve"> to emphasize what he was saying. Jesus used these same words in 10:12.</w:t>
      </w:r>
    </w:p>
    <w:p>
      <w:pPr/>
      <w:r>
        <w:rPr>
          <w:lang w:val="en_US" w:bidi="en_US"/>
        </w:rPr>
      </w:r>
      <w:r>
        <w:rPr>
          <w:b/>
          <w:lang w:val="en_US" w:bidi="en_US"/>
        </w:rPr>
        <w:t>I:</w:t>
      </w:r>
      <w:r>
        <w:rPr>
          <w:lang w:val="en_US" w:bidi="en_US"/>
        </w:rPr>
        <w:t xml:space="preserve"> The pronoun </w:t>
      </w:r>
      <w:r>
        <w:rPr>
          <w:i/>
          <w:lang w:val="en_US" w:bidi="en_US"/>
        </w:rPr>
        <w:t>I</w:t>
      </w:r>
      <w:r>
        <w:rPr>
          <w:lang w:val="en_US" w:bidi="en_US"/>
        </w:rPr>
        <w:t xml:space="preserve"> here refers to a different person than the “I” in 11:7d. Here Jesus himself was speaking. He was no longer quoting the man who was unwilling to get out of bed. In some languages, it may be necessary to supply a phrase that clarifies this meaning. For example:</w:t>
      </w:r>
    </w:p>
    <w:p>
      <w:pPr/>
      <w:r>
        <w:rPr>
          <w:lang w:val="en_US" w:bidi="en_US"/>
        </w:rPr>
      </w:r>
      <w:r>
        <w:rPr>
          <w:lang w:val="en_US" w:bidi="en_US"/>
        </w:rPr>
        <w:t>Then Jesus said/added,</w:t>
      </w:r>
      <w:r>
        <w:rPr>
          <w:lang w:val="en_US" w:bidi="en_US"/>
        </w:rPr>
        <w:t xml:space="preserve"> “I tell you…”</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here means “you disciples.”</w:t>
      </w:r>
    </w:p>
    <w:p>
      <w:pPr>
        <w:pStyle w:val="Heading5"/>
      </w:pPr>
      <w:r>
        <w:rPr>
          <w:lang w:val="en_US" w:bidi="en_US"/>
        </w:rPr>
        <w:t>11:8b</w:t>
      </w:r>
    </w:p>
    <w:p>
      <w:pPr/>
      <w:r>
        <w:rPr>
          <w:lang w:val="en_US" w:bidi="en_US"/>
        </w:rPr>
      </w:r>
      <w:r>
        <w:rPr>
          <w:b/>
          <w:lang w:val="en_US" w:bidi="en_US"/>
        </w:rPr>
        <w:t>even though he will not get up to provide for him because of his friendship,</w:t>
      </w:r>
    </w:p>
    <w:p>
      <w:pPr>
        <w:pStyle w:val="ListBullet"/>
        <w:spacing w:line="240" w:lineRule="auto"/>
        <w:ind w:left="720"/>
      </w:pPr>
      <w:r>
        <w:rPr>
          <w:lang w:val="en_US" w:bidi="en_US"/>
        </w:rPr>
      </w:r>
      <w:r>
        <w:rPr>
          <w:lang w:val="en_US" w:bidi="en_US"/>
        </w:rPr>
        <w:t>even though he is not willing to get up and give him the bread just because he is his friend,</w:t>
      </w:r>
    </w:p>
    <w:p>
      <w:pPr>
        <w:pStyle w:val="ListBullet"/>
        <w:spacing w:line="240" w:lineRule="auto"/>
        <w:ind w:left="720"/>
      </w:pPr>
      <w:r>
        <w:rPr>
          <w:lang w:val="en_US" w:bidi="en_US"/>
        </w:rPr>
      </w:r>
      <w:r>
        <w:rPr>
          <w:lang w:val="en_US" w:bidi="en_US"/>
        </w:rPr>
        <w:t>even though you</w:t>
      </w:r>
      <w:r>
        <w:rPr>
          <w:vertAlign w:val="superscript"/>
          <w:lang w:val="en_US" w:bidi="en_US"/>
        </w:rPr>
        <w:t>(plur/dual)</w:t>
      </w:r>
      <w:r>
        <w:rPr>
          <w:lang w:val="en_US" w:bidi="en_US"/>
        </w:rPr>
        <w:t xml:space="preserve"> are friends, this will not make him get up and give you</w:t>
      </w:r>
      <w:r>
        <w:rPr>
          <w:vertAlign w:val="superscript"/>
          <w:lang w:val="en_US" w:bidi="en_US"/>
        </w:rPr>
        <w:t>(sing)</w:t>
      </w:r>
      <w:r>
        <w:rPr>
          <w:lang w:val="en_US" w:bidi="en_US"/>
        </w:rPr>
        <w:t xml:space="preserve"> the bread.</w:t>
      </w:r>
    </w:p>
    <w:p>
      <w:pPr>
        <w:pStyle w:val="ListBullet"/>
        <w:spacing w:line="240" w:lineRule="auto"/>
        <w:ind w:left="720"/>
      </w:pPr>
      <w:r>
        <w:rPr>
          <w:lang w:val="en_US" w:bidi="en_US"/>
        </w:rPr>
      </w:r>
      <w:r>
        <w:rPr>
          <w:lang w:val="en_US" w:bidi="en_US"/>
        </w:rPr>
        <w:t>he will not get up and give you</w:t>
      </w:r>
      <w:r>
        <w:rPr>
          <w:vertAlign w:val="superscript"/>
          <w:lang w:val="en_US" w:bidi="en_US"/>
        </w:rPr>
        <w:t>(sing)</w:t>
      </w:r>
      <w:r>
        <w:rPr>
          <w:lang w:val="en_US" w:bidi="en_US"/>
        </w:rPr>
        <w:t xml:space="preserve"> the bread just because you</w:t>
      </w:r>
      <w:r>
        <w:rPr>
          <w:vertAlign w:val="superscript"/>
          <w:lang w:val="en_US" w:bidi="en_US"/>
        </w:rPr>
        <w:t>(sing)</w:t>
      </w:r>
      <w:r>
        <w:rPr>
          <w:lang w:val="en_US" w:bidi="en_US"/>
        </w:rPr>
        <w:t xml:space="preserve"> are his friend.</w:t>
      </w:r>
    </w:p>
    <w:p>
      <w:pPr/>
      <w:r>
        <w:rPr>
          <w:lang w:val="en_US" w:bidi="en_US"/>
        </w:rPr>
      </w:r>
      <w:r>
        <w:rPr>
          <w:b/>
          <w:lang w:val="en_US" w:bidi="en_US"/>
        </w:rPr>
        <w:t>even though he will not get up to provide for him because of his friendship:</w:t>
      </w:r>
      <w:r>
        <w:rPr>
          <w:lang w:val="en_US" w:bidi="en_US"/>
        </w:rPr>
        <w:t xml:space="preserve"> You will need to consider several issues as you translate this complex phrase:</w:t>
      </w:r>
    </w:p>
    <w:p>
      <w:pPr/>
      <w:r>
        <w:rPr>
          <w:lang w:val="en_US" w:bidi="en_US"/>
        </w:rPr>
      </w:r>
      <w:r>
        <w:rPr>
          <w:u w:val="single"/>
          <w:lang w:val="en_US" w:bidi="en_US"/>
        </w:rPr>
        <w:t>Issue 1—Pronouns</w:t>
      </w:r>
    </w:p>
    <w:p>
      <w:pPr/>
      <w:r>
        <w:rPr>
          <w:lang w:val="en_US" w:bidi="en_US"/>
        </w:rPr>
      </w:r>
      <w:r>
        <w:rPr>
          <w:lang w:val="en_US" w:bidi="en_US"/>
        </w:rPr>
        <w:t>You will need to pay attention to the pronouns here. Notice that if you changed the “he” in 11:5b to “you,” here you will need to:</w:t>
      </w:r>
    </w:p>
    <w:p>
      <w:pPr>
        <w:pStyle w:val="ListNumber"/>
        <w:numPr>
          <w:ilvl w:val="0"/>
          <w:numId w:val="215"/>
        </w:numPr>
        <w:spacing w:line="240" w:lineRule="auto"/>
        <w:ind w:left="720"/>
      </w:pPr>
      <w:r>
        <w:rPr>
          <w:lang w:val="en_US" w:bidi="en_US"/>
        </w:rPr>
      </w:r>
      <w:r>
        <w:rPr>
          <w:lang w:val="en_US" w:bidi="en_US"/>
        </w:rPr>
        <w:t xml:space="preserve">change the word </w:t>
      </w:r>
      <w:r>
        <w:rPr>
          <w:i/>
          <w:lang w:val="en_US" w:bidi="en_US"/>
        </w:rPr>
        <w:t>him</w:t>
      </w:r>
      <w:r>
        <w:rPr>
          <w:lang w:val="en_US" w:bidi="en_US"/>
        </w:rPr>
        <w:t xml:space="preserve"> to “you”</w:t>
      </w:r>
    </w:p>
    <w:p>
      <w:pPr>
        <w:pStyle w:val="ListNumber"/>
        <w:spacing w:line="240" w:lineRule="auto"/>
        <w:ind w:left="720"/>
      </w:pPr>
      <w:r>
        <w:rPr>
          <w:lang w:val="en_US" w:bidi="en_US"/>
        </w:rPr>
      </w:r>
      <w:r>
        <w:rPr>
          <w:lang w:val="en_US" w:bidi="en_US"/>
        </w:rPr>
        <w:t xml:space="preserve">change the word </w:t>
      </w:r>
      <w:r>
        <w:rPr>
          <w:i/>
          <w:lang w:val="en_US" w:bidi="en_US"/>
        </w:rPr>
        <w:t>his</w:t>
      </w:r>
      <w:r>
        <w:rPr>
          <w:lang w:val="en_US" w:bidi="en_US"/>
        </w:rPr>
        <w:t xml:space="preserve"> to “your”</w:t>
      </w:r>
    </w:p>
    <w:p>
      <w:pPr/>
      <w:r>
        <w:rPr>
          <w:lang w:val="en_US" w:bidi="en_US"/>
        </w:rPr>
      </w:r>
      <w:r>
        <w:rPr>
          <w:lang w:val="en_US" w:bidi="en_US"/>
        </w:rPr>
        <w:t>For example:</w:t>
      </w:r>
    </w:p>
    <w:p>
      <w:pPr/>
      <w:r>
        <w:rPr>
          <w:lang w:val="en_US" w:bidi="en_US"/>
        </w:rPr>
      </w:r>
      <w:r>
        <w:rPr>
          <w:lang w:val="en_US" w:bidi="en_US"/>
        </w:rPr>
        <w:t xml:space="preserve">even if he will not get up and give </w:t>
      </w:r>
      <w:r>
        <w:rPr>
          <w:u w:val="single"/>
          <w:lang w:val="en_US" w:bidi="en_US"/>
        </w:rPr>
        <w:t>you</w:t>
      </w:r>
      <w:r>
        <w:rPr>
          <w:vertAlign w:val="superscript"/>
          <w:lang w:val="en_US" w:bidi="en_US"/>
        </w:rPr>
        <w:t>(sing)</w:t>
      </w:r>
      <w:r>
        <w:rPr>
          <w:lang w:val="en_US" w:bidi="en_US"/>
        </w:rPr>
        <w:t xml:space="preserve"> the bread because he is </w:t>
      </w:r>
      <w:r>
        <w:rPr>
          <w:u w:val="single"/>
          <w:lang w:val="en_US" w:bidi="en_US"/>
        </w:rPr>
        <w:t>your</w:t>
      </w:r>
      <w:r>
        <w:rPr>
          <w:lang w:val="en_US" w:bidi="en_US"/>
        </w:rPr>
        <w:t xml:space="preserve"> friend</w:t>
      </w:r>
    </w:p>
    <w:p>
      <w:pPr/>
      <w:r>
        <w:rPr>
          <w:lang w:val="en_US" w:bidi="en_US"/>
        </w:rPr>
      </w:r>
      <w:r>
        <w:rPr>
          <w:u w:val="single"/>
          <w:lang w:val="en_US" w:bidi="en_US"/>
        </w:rPr>
        <w:t>Issue 2—Meaning and restructuring</w:t>
      </w:r>
    </w:p>
    <w:p>
      <w:pPr/>
      <w:r>
        <w:rPr>
          <w:lang w:val="en_US" w:bidi="en_US"/>
        </w:rPr>
      </w:r>
      <w:r>
        <w:rPr>
          <w:lang w:val="en_US" w:bidi="en_US"/>
        </w:rPr>
        <w:t>This complex phrase is literally “</w:t>
      </w:r>
      <w:r>
        <w:rPr>
          <w:u w:val="single"/>
          <w:lang w:val="en_US" w:bidi="en_US"/>
        </w:rPr>
        <w:t>even if</w:t>
      </w:r>
      <w:r>
        <w:rPr>
          <w:lang w:val="en_US" w:bidi="en_US"/>
        </w:rPr>
        <w:t xml:space="preserve"> he will not get up and give him bread because he is his friend.” This means that friendship may not be a good enough reason for the man to get out of bed. The man may not be willing to get out of bed just because the man who asked for bread was his friend. Some other ways to translate this are:</w:t>
      </w:r>
    </w:p>
    <w:p>
      <w:pPr>
        <w:pStyle w:val="ListBullet"/>
        <w:spacing w:line="240" w:lineRule="auto"/>
        <w:ind w:left="720"/>
      </w:pPr>
      <w:r>
        <w:rPr>
          <w:lang w:val="en_US" w:bidi="en_US"/>
        </w:rPr>
      </w:r>
      <w:r>
        <w:rPr>
          <w:lang w:val="en_US" w:bidi="en_US"/>
        </w:rPr>
        <w:t xml:space="preserve">Reorder the phrases and put </w:t>
      </w:r>
      <w:r>
        <w:rPr>
          <w:i/>
          <w:lang w:val="en_US" w:bidi="en_US"/>
        </w:rPr>
        <w:t>because of his friendship</w:t>
      </w:r>
      <w:r>
        <w:rPr>
          <w:lang w:val="en_US" w:bidi="en_US"/>
        </w:rPr>
        <w:t xml:space="preserve"> first. For example:</w:t>
      </w:r>
      <w:r>
        <w:rPr>
          <w:lang w:val="en_US" w:bidi="en_US"/>
        </w:rPr>
        <w:t>even if their friendship will not cause the man to get up and give him the bread</w:t>
      </w:r>
      <w:r>
        <w:rPr>
          <w:lang w:val="en_US" w:bidi="en_US"/>
        </w:rPr>
        <w:t>even though they are friends, this will not make the man get up and give him the bread</w:t>
      </w:r>
    </w:p>
    <w:p>
      <w:pPr>
        <w:pStyle w:val="ListBullet"/>
        <w:spacing w:line="240" w:lineRule="auto"/>
        <w:ind w:left="720"/>
      </w:pPr>
      <w:r>
        <w:rPr>
          <w:lang w:val="en_US" w:bidi="en_US"/>
        </w:rPr>
      </w:r>
      <w:r>
        <w:rPr>
          <w:lang w:val="en_US" w:bidi="en_US"/>
        </w:rPr>
        <w:t xml:space="preserve">Omit the word </w:t>
      </w:r>
      <w:r>
        <w:rPr>
          <w:i/>
          <w:lang w:val="en_US" w:bidi="en_US"/>
        </w:rPr>
        <w:t>though</w:t>
      </w:r>
      <w:r>
        <w:rPr>
          <w:lang w:val="en_US" w:bidi="en_US"/>
        </w:rPr>
        <w:t xml:space="preserve"> and make the clause a complete sentence. For example:</w:t>
      </w:r>
      <w:r>
        <w:rPr>
          <w:lang w:val="en_US" w:bidi="en_US"/>
        </w:rPr>
        <w:t>He may not get up and give you the bread, just because you are his friend (CEV)</w:t>
      </w:r>
    </w:p>
    <w:p>
      <w:pPr/>
      <w:r>
        <w:rPr>
          <w:lang w:val="en_US" w:bidi="en_US"/>
        </w:rPr>
      </w:r>
      <w:r>
        <w:rPr>
          <w:lang w:val="en_US" w:bidi="en_US"/>
        </w:rPr>
        <w:t>Translate this in a way that is natural in your language.</w:t>
      </w:r>
    </w:p>
    <w:p>
      <w:pPr/>
      <w:r>
        <w:rPr>
          <w:lang w:val="en_US" w:bidi="en_US"/>
        </w:rPr>
      </w:r>
      <w:r>
        <w:rPr>
          <w:b/>
          <w:lang w:val="en_US" w:bidi="en_US"/>
        </w:rPr>
        <w:t>because of his friendship:</w:t>
      </w:r>
      <w:r>
        <w:rPr>
          <w:lang w:val="en_US" w:bidi="en_US"/>
        </w:rPr>
        <w:t xml:space="preserve"> The phrase that the BSB translates as </w:t>
      </w:r>
      <w:r>
        <w:rPr>
          <w:i/>
          <w:lang w:val="en_US" w:bidi="en_US"/>
        </w:rPr>
        <w:t>because of his friendship</w:t>
      </w:r>
      <w:r>
        <w:rPr>
          <w:lang w:val="en_US" w:bidi="en_US"/>
        </w:rPr>
        <w:t xml:space="preserve"> is literally “because he is his friend” in Greek. This probably means “the man in bed is a friend of the man at the door.” However, in some languages it may be best to say:</w:t>
      </w:r>
    </w:p>
    <w:p>
      <w:pPr/>
      <w:r>
        <w:rPr>
          <w:lang w:val="en_US" w:bidi="en_US"/>
        </w:rPr>
      </w:r>
      <w:r>
        <w:rPr>
          <w:lang w:val="en_US" w:bidi="en_US"/>
        </w:rPr>
        <w:t>they were friends</w:t>
      </w:r>
    </w:p>
    <w:p>
      <w:pPr/>
      <w:r>
        <w:rPr>
          <w:lang w:val="en_US" w:bidi="en_US"/>
        </w:rPr>
      </w:r>
      <w:r>
        <w:rPr>
          <w:lang w:val="en_US" w:bidi="en_US"/>
        </w:rPr>
        <w:t>you</w:t>
      </w:r>
      <w:r>
        <w:rPr>
          <w:vertAlign w:val="superscript"/>
          <w:lang w:val="en_US" w:bidi="en_US"/>
        </w:rPr>
        <w:t>(dual)</w:t>
      </w:r>
      <w:r>
        <w:rPr>
          <w:lang w:val="en_US" w:bidi="en_US"/>
        </w:rPr>
        <w:t xml:space="preserve"> are friends</w:t>
      </w:r>
    </w:p>
    <w:p>
      <w:pPr>
        <w:pStyle w:val="Heading5"/>
      </w:pPr>
      <w:r>
        <w:rPr>
          <w:lang w:val="en_US" w:bidi="en_US"/>
        </w:rPr>
        <w:t>11:8c</w:t>
      </w:r>
    </w:p>
    <w:p>
      <w:pPr/>
      <w:r>
        <w:rPr>
          <w:lang w:val="en_US" w:bidi="en_US"/>
        </w:rPr>
      </w:r>
      <w:r>
        <w:rPr>
          <w:b/>
          <w:lang w:val="en_US" w:bidi="en_US"/>
        </w:rPr>
        <w:t>yet because of the man’s persistence, he will get up and give him as much as he needs.</w:t>
      </w:r>
    </w:p>
    <w:p>
      <w:pPr>
        <w:pStyle w:val="ListBullet"/>
        <w:spacing w:line="240" w:lineRule="auto"/>
        <w:ind w:left="720"/>
      </w:pPr>
      <w:r>
        <w:rPr>
          <w:lang w:val="en_US" w:bidi="en_US"/>
        </w:rPr>
      </w:r>
      <w:r>
        <w:rPr>
          <w:lang w:val="en_US" w:bidi="en_US"/>
        </w:rPr>
        <w:t xml:space="preserve">nevertheless he will get up and give him as much </w:t>
      </w:r>
      <w:r>
        <w:rPr>
          <w:lang w:val="en_US" w:bidi="en_US"/>
        </w:rPr>
        <w:t>bread</w:t>
      </w:r>
      <w:r>
        <w:rPr>
          <w:lang w:val="en_US" w:bidi="en_US"/>
        </w:rPr>
        <w:t xml:space="preserve"> as he needs because </w:t>
      </w:r>
      <w:r>
        <w:rPr>
          <w:lang w:val="en_US" w:bidi="en_US"/>
        </w:rPr>
        <w:t>he wants to avoid being known for</w:t>
      </w:r>
      <w:r>
        <w:rPr>
          <w:lang w:val="en_US" w:bidi="en_US"/>
        </w:rPr>
        <w:t xml:space="preserve"> his shamelessness.</w:t>
      </w:r>
    </w:p>
    <w:p>
      <w:pPr>
        <w:pStyle w:val="ListBullet"/>
        <w:spacing w:line="240" w:lineRule="auto"/>
        <w:ind w:left="720"/>
      </w:pPr>
      <w:r>
        <w:rPr>
          <w:lang w:val="en_US" w:bidi="en_US"/>
        </w:rPr>
      </w:r>
      <w:r>
        <w:rPr>
          <w:lang w:val="en_US" w:bidi="en_US"/>
        </w:rPr>
        <w:t>The reason</w:t>
      </w:r>
      <w:r>
        <w:rPr>
          <w:lang w:val="en_US" w:bidi="en_US"/>
        </w:rPr>
        <w:t xml:space="preserve"> he will get up and give you</w:t>
      </w:r>
      <w:r>
        <w:rPr>
          <w:vertAlign w:val="superscript"/>
          <w:lang w:val="en_US" w:bidi="en_US"/>
        </w:rPr>
        <w:t>(sing)</w:t>
      </w:r>
      <w:r>
        <w:rPr>
          <w:lang w:val="en_US" w:bidi="en_US"/>
        </w:rPr>
        <w:t xml:space="preserve"> all you need </w:t>
      </w:r>
      <w:r>
        <w:rPr>
          <w:lang w:val="en_US" w:bidi="en_US"/>
        </w:rPr>
        <w:t>is</w:t>
      </w:r>
      <w:r>
        <w:rPr>
          <w:lang w:val="en_US" w:bidi="en_US"/>
        </w:rPr>
        <w:t xml:space="preserve"> because he would be ashamed not to get up.</w:t>
      </w:r>
    </w:p>
    <w:p>
      <w:pPr>
        <w:pStyle w:val="ListBullet"/>
        <w:spacing w:line="240" w:lineRule="auto"/>
        <w:ind w:left="720"/>
      </w:pPr>
      <w:r>
        <w:rPr>
          <w:lang w:val="en_US" w:bidi="en_US"/>
        </w:rPr>
      </w:r>
      <w:r>
        <w:rPr>
          <w:lang w:val="en_US" w:bidi="en_US"/>
        </w:rPr>
        <w:t>He will get up and give you</w:t>
      </w:r>
      <w:r>
        <w:rPr>
          <w:vertAlign w:val="superscript"/>
          <w:lang w:val="en_US" w:bidi="en_US"/>
        </w:rPr>
        <w:t>(sing)</w:t>
      </w:r>
      <w:r>
        <w:rPr>
          <w:lang w:val="en_US" w:bidi="en_US"/>
        </w:rPr>
        <w:t xml:space="preserve"> as much as you need in order to protect his honor/reputation.</w:t>
      </w:r>
    </w:p>
    <w:p>
      <w:pPr/>
      <w:r>
        <w:rPr>
          <w:lang w:val="en_US" w:bidi="en_US"/>
        </w:rPr>
      </w:r>
      <w:r>
        <w:rPr>
          <w:b/>
          <w:lang w:val="en_US" w:bidi="en_US"/>
        </w:rPr>
        <w:t>yet because:</w:t>
      </w:r>
      <w:r>
        <w:rPr>
          <w:lang w:val="en_US" w:bidi="en_US"/>
        </w:rPr>
        <w:t xml:space="preserve"> Verse 11:8c introduces the reason why the man will get up. This reason contrasts with the reason in 11:8b. Even if friendship does not make the man get up, there is another reason why he will certainly get up. The BSB introduces this contrasting reason with the words </w:t>
      </w:r>
      <w:r>
        <w:rPr>
          <w:i/>
          <w:lang w:val="en_US" w:bidi="en_US"/>
        </w:rPr>
        <w:t>yet because</w:t>
      </w:r>
      <w:r>
        <w:rPr>
          <w:lang w:val="en_US" w:bidi="en_US"/>
        </w:rPr>
        <w:t>. Another way to translate this is:</w:t>
      </w:r>
    </w:p>
    <w:p>
      <w:pPr/>
      <w:r>
        <w:rPr>
          <w:lang w:val="en_US" w:bidi="en_US"/>
        </w:rPr>
      </w:r>
      <w:r>
        <w:rPr>
          <w:lang w:val="en_US" w:bidi="en_US"/>
        </w:rPr>
        <w:t>But (CEV)</w:t>
      </w:r>
    </w:p>
    <w:p>
      <w:pPr/>
      <w:r>
        <w:rPr>
          <w:lang w:val="en_US" w:bidi="en_US"/>
        </w:rPr>
      </w:r>
      <w:r>
        <w:rPr>
          <w:lang w:val="en_US" w:bidi="en_US"/>
        </w:rPr>
        <w:t>In some languages you may not need a specific word to connect the contrasting reasons in these verse parts. For example:</w:t>
      </w:r>
    </w:p>
    <w:p>
      <w:pPr/>
      <w:r>
        <w:rPr>
          <w:lang w:val="en_US" w:bidi="en_US"/>
        </w:rPr>
      </w:r>
      <w:r>
        <w:rPr>
          <w:lang w:val="en_US" w:bidi="en_US"/>
        </w:rPr>
        <w:t>What will cause him to get up to give you</w:t>
      </w:r>
      <w:r>
        <w:rPr>
          <w:vertAlign w:val="superscript"/>
          <w:lang w:val="en_US" w:bidi="en_US"/>
        </w:rPr>
        <w:t>(sing)</w:t>
      </w:r>
      <w:r>
        <w:rPr>
          <w:lang w:val="en_US" w:bidi="en_US"/>
        </w:rPr>
        <w:t xml:space="preserve"> what you need is…</w:t>
      </w:r>
    </w:p>
    <w:p>
      <w:pPr/>
      <w:r>
        <w:rPr>
          <w:lang w:val="en_US" w:bidi="en_US"/>
        </w:rPr>
      </w:r>
      <w:r>
        <w:rPr>
          <w:b/>
          <w:lang w:val="en_US" w:bidi="en_US"/>
        </w:rPr>
        <w:t>the man’s persistence:</w:t>
      </w:r>
      <w:r>
        <w:rPr>
          <w:lang w:val="en_US" w:bidi="en_US"/>
        </w:rPr>
        <w:t xml:space="preserve"> The Greek word that the BSB translates as </w:t>
      </w:r>
      <w:r>
        <w:rPr>
          <w:i/>
          <w:lang w:val="en_US" w:bidi="en_US"/>
        </w:rPr>
        <w:t>the man’s persistence</w:t>
      </w:r>
      <w:r>
        <w:rPr>
          <w:lang w:val="en_US" w:bidi="en_US"/>
        </w:rPr>
        <w:t xml:space="preserve"> is literally “his shamelessness.” There are two ways to interpret this phrase:</w:t>
      </w:r>
    </w:p>
    <w:p>
      <w:pPr>
        <w:pStyle w:val="ListNumber"/>
        <w:numPr>
          <w:ilvl w:val="0"/>
          <w:numId w:val="216"/>
        </w:numPr>
        <w:spacing w:line="240" w:lineRule="auto"/>
        <w:ind w:left="720"/>
      </w:pPr>
      <w:r>
        <w:rPr>
          <w:lang w:val="en_US" w:bidi="en_US"/>
        </w:rPr>
      </w:r>
      <w:r>
        <w:rPr>
          <w:lang w:val="en_US" w:bidi="en_US"/>
        </w:rPr>
        <w:t xml:space="preserve">It refers to the shamelessness of the </w:t>
      </w:r>
      <w:r>
        <w:rPr>
          <w:u w:val="single"/>
          <w:lang w:val="en_US" w:bidi="en_US"/>
        </w:rPr>
        <w:t>man in bed</w:t>
      </w:r>
      <w:r>
        <w:rPr>
          <w:lang w:val="en_US" w:bidi="en_US"/>
        </w:rPr>
        <w:t>. According to this interpretation, the man in bed will get up so that people will not consider him to be shameless. He will get up because he wants to avoid shame and embarrassment. For example:</w:t>
      </w:r>
      <w:r>
        <w:rPr>
          <w:lang w:val="en_US" w:bidi="en_US"/>
        </w:rPr>
        <w:t xml:space="preserve">he will get up and give you what you want so his reputation won’t be damaged (NLT96) </w:t>
      </w:r>
      <w:r>
        <w:rPr>
          <w:i/>
          <w:lang w:val="en_US" w:bidi="en_US"/>
        </w:rPr>
        <w:t>(NLT96)</w:t>
      </w:r>
    </w:p>
    <w:p>
      <w:pPr>
        <w:pStyle w:val="ListNumber"/>
        <w:spacing w:line="240" w:lineRule="auto"/>
        <w:ind w:left="720"/>
      </w:pPr>
      <w:r>
        <w:rPr>
          <w:lang w:val="en_US" w:bidi="en_US"/>
        </w:rPr>
      </w:r>
      <w:r>
        <w:rPr>
          <w:lang w:val="en_US" w:bidi="en_US"/>
        </w:rPr>
        <w:t xml:space="preserve">It refers to the shamelessness of the </w:t>
      </w:r>
      <w:r>
        <w:rPr>
          <w:u w:val="single"/>
          <w:lang w:val="en_US" w:bidi="en_US"/>
        </w:rPr>
        <w:t>man at the door</w:t>
      </w:r>
      <w:r>
        <w:rPr>
          <w:lang w:val="en_US" w:bidi="en_US"/>
        </w:rPr>
        <w:t>. According to this interpretation, the word “shamelessness” in this context includes the ideas of both boldness and persistence. The man at the door was bold enough to go to his friend in the middle of the night and repeatedly ask for bread. For example:</w:t>
      </w:r>
      <w:r>
        <w:rPr>
          <w:lang w:val="en_US" w:bidi="en_US"/>
        </w:rPr>
        <w:t xml:space="preserve">he will get up and give you everything you need because you are not ashamed to keep on asking (GNT) </w:t>
      </w:r>
      <w:r>
        <w:rPr>
          <w:i/>
          <w:lang w:val="en_US" w:bidi="en_US"/>
        </w:rPr>
        <w:t>(BSB, GNT, KJV, RSV, NIV, NASB, ESV, REB, NJB, NAB, NCV, GW, NLT, NET, CEV)</w:t>
      </w:r>
    </w:p>
    <w:p>
      <w:pPr/>
      <w:r>
        <w:rPr>
          <w:lang w:val="en_US" w:bidi="en_US"/>
        </w:rPr>
      </w:r>
      <w:r>
        <w:rPr>
          <w:lang w:val="en_US" w:bidi="en_US"/>
        </w:rPr>
        <w:t>Although most English versions and commentaries support interpretation (2), it is recommended that you follow interpretation (1) for the following reasons:</w:t>
      </w:r>
    </w:p>
    <w:p>
      <w:pPr>
        <w:pStyle w:val="ListNumber"/>
        <w:numPr>
          <w:ilvl w:val="0"/>
          <w:numId w:val="217"/>
        </w:numPr>
        <w:spacing w:line="240" w:lineRule="auto"/>
        <w:ind w:left="720"/>
      </w:pPr>
      <w:r>
        <w:rPr>
          <w:lang w:val="en_US" w:bidi="en_US"/>
        </w:rPr>
      </w:r>
      <w:r>
        <w:rPr>
          <w:lang w:val="en_US" w:bidi="en_US"/>
        </w:rPr>
        <w:t>Interpretation (1) best fits the cultural context. In that culture, everyone would expect a man to feed his guest. If he had no food, he would go and borrow food, even in the middle of the night. Such an action would not be considered “shameless.” In contrast, someone who refused to provide food for a neighbor’s guest would be considered a shameless person.</w:t>
      </w:r>
      <w:r>
        <w:rPr>
          <w:lang w:val="en_US" w:bidi="en_US"/>
        </w:rPr>
        <w:t>It is recommended that you consult Bailey 1983, pp. 119–33, for a more complete discussion of the cultural context. Commentators who agree with Bailey that the man in bed was the one who displayed culturally inappropriate behavior are Marshall, Green, and Nolland.</w:t>
      </w:r>
    </w:p>
    <w:p>
      <w:pPr>
        <w:pStyle w:val="ListNumber"/>
        <w:spacing w:line="240" w:lineRule="auto"/>
        <w:ind w:left="720"/>
      </w:pPr>
      <w:r>
        <w:rPr>
          <w:lang w:val="en_US" w:bidi="en_US"/>
        </w:rPr>
      </w:r>
      <w:r>
        <w:rPr>
          <w:lang w:val="en_US" w:bidi="en_US"/>
        </w:rPr>
        <w:t>This interpretation best fits the meaning of the Greek word that is literally “shamelessness.” Many English versions translate this word as “persistence” or “boldness.” But the word is not used in this sense elsewhere, nor does the context explicitly indicate that the man at the door repeatedly called out or knocked.</w:t>
      </w:r>
      <w:r>
        <w:rPr>
          <w:lang w:val="en_US" w:bidi="en_US"/>
        </w:rPr>
        <w:t xml:space="preserve">Although this word occurs only once in the NT, it always has the meaning “shamelessness” (not “persistence”) in writings outside the NT. See Bailey 1983, pp. 119–33, for more information on the cultural context and the meaning of the Greek word </w:t>
      </w:r>
      <w:r>
        <w:rPr>
          <w:i/>
          <w:lang w:val="en_US" w:bidi="en_US"/>
        </w:rPr>
        <w:t>ἀναίδεια</w:t>
      </w:r>
      <w:r>
        <w:rPr>
          <w:lang w:val="en_US" w:bidi="en_US"/>
        </w:rPr>
        <w:t xml:space="preserve"> “shamelessness.”</w:t>
      </w:r>
    </w:p>
    <w:p>
      <w:pPr/>
      <w:r>
        <w:rPr>
          <w:lang w:val="en_US" w:bidi="en_US"/>
        </w:rPr>
      </w:r>
      <w:r>
        <w:rPr>
          <w:b/>
          <w:lang w:val="en_US" w:bidi="en_US"/>
        </w:rPr>
        <w:t>persistence:</w:t>
      </w:r>
      <w:r>
        <w:rPr>
          <w:lang w:val="en_US" w:bidi="en_US"/>
        </w:rPr>
        <w:t xml:space="preserve"> The Greek word that the BSB translates as </w:t>
      </w:r>
      <w:r>
        <w:rPr>
          <w:i/>
          <w:lang w:val="en_US" w:bidi="en_US"/>
        </w:rPr>
        <w:t>persistence</w:t>
      </w:r>
      <w:r>
        <w:rPr>
          <w:lang w:val="en_US" w:bidi="en_US"/>
        </w:rPr>
        <w:t xml:space="preserve"> means “lack of sensitivity to what is proper,” “shamelessness.”</w:t>
      </w:r>
      <w:r>
        <w:rPr>
          <w:lang w:val="en_US" w:bidi="en_US"/>
        </w:rPr>
        <w:t>BDAG, p. 63, Louw &amp; Nida, p. 628. BDAG adds “carelessness about the good opinion of others” and “impertinence, impudence, ignoring of convention” as definitions of this Greek word. Louw &amp; Nida adds “insolence,” “audacity,” and “impudence.”</w:t>
      </w:r>
      <w:r>
        <w:rPr>
          <w:lang w:val="en_US" w:bidi="en_US"/>
        </w:rPr>
        <w:t xml:space="preserve"> In the cultural context described in this parable, this word contains implied information. The man would get up and give his friend some food because his neighbors might consider him shameless if he did not give him the food. The man needed to do what was culturally appropriate and show hospitality to a guest in the village.</w:t>
      </w:r>
    </w:p>
    <w:p>
      <w:pPr/>
      <w:r>
        <w:rPr>
          <w:lang w:val="en_US" w:bidi="en_US"/>
        </w:rPr>
      </w:r>
      <w:r>
        <w:rPr>
          <w:lang w:val="en_US" w:bidi="en_US"/>
        </w:rPr>
        <w:t>Some other ways to translate this phrase are:</w:t>
      </w:r>
    </w:p>
    <w:p>
      <w:pPr/>
      <w:r>
        <w:rPr>
          <w:lang w:val="en_US" w:bidi="en_US"/>
        </w:rPr>
      </w:r>
      <w:r>
        <w:rPr>
          <w:lang w:val="en_US" w:bidi="en_US"/>
        </w:rPr>
        <w:t xml:space="preserve">his </w:t>
      </w:r>
      <w:r>
        <w:rPr>
          <w:lang w:val="en_US" w:bidi="en_US"/>
        </w:rPr>
        <w:t>desire to avoid</w:t>
      </w:r>
      <w:r>
        <w:rPr>
          <w:lang w:val="en_US" w:bidi="en_US"/>
        </w:rPr>
        <w:t xml:space="preserve"> shame</w:t>
      </w:r>
    </w:p>
    <w:p>
      <w:pPr/>
      <w:r>
        <w:rPr>
          <w:lang w:val="en_US" w:bidi="en_US"/>
        </w:rPr>
      </w:r>
      <w:r>
        <w:rPr>
          <w:lang w:val="en_US" w:bidi="en_US"/>
        </w:rPr>
        <w:t>his desire</w:t>
      </w:r>
      <w:r>
        <w:rPr>
          <w:lang w:val="en_US" w:bidi="en_US"/>
        </w:rPr>
        <w:t xml:space="preserve"> to protect his honor/reputation</w:t>
      </w:r>
    </w:p>
    <w:p>
      <w:pPr/>
      <w:r>
        <w:rPr>
          <w:lang w:val="en_US" w:bidi="en_US"/>
        </w:rPr>
      </w:r>
      <w:r>
        <w:rPr>
          <w:lang w:val="en_US" w:bidi="en_US"/>
        </w:rPr>
        <w:t>he does not want to lose face</w:t>
      </w:r>
    </w:p>
    <w:p>
      <w:pPr/>
      <w:r>
        <w:rPr>
          <w:lang w:val="en_US" w:bidi="en_US"/>
        </w:rPr>
      </w:r>
      <w:r>
        <w:rPr>
          <w:lang w:val="en_US" w:bidi="en_US"/>
        </w:rPr>
        <w:t>he does not want to be criticized</w:t>
      </w:r>
    </w:p>
    <w:p>
      <w:pPr/>
      <w:r>
        <w:rPr>
          <w:lang w:val="en_US" w:bidi="en_US"/>
        </w:rPr>
      </w:r>
      <w:r>
        <w:rPr>
          <w:lang w:val="en_US" w:bidi="en_US"/>
        </w:rPr>
        <w:t>he does not want his name destroyed</w:t>
      </w:r>
    </w:p>
    <w:p>
      <w:pPr>
        <w:pStyle w:val="Heading6"/>
      </w:pPr>
      <w:r>
        <w:rPr>
          <w:b/>
          <w:lang w:val="en_US" w:bidi="en_US"/>
        </w:rPr>
        <w:t>General Comment on 11:8a–c</w:t>
      </w:r>
    </w:p>
    <w:p>
      <w:pPr/>
      <w:r>
        <w:rPr>
          <w:lang w:val="en_US" w:bidi="en_US"/>
        </w:rPr>
      </w:r>
      <w:r>
        <w:rPr>
          <w:lang w:val="en_US" w:bidi="en_US"/>
        </w:rPr>
        <w:t>In some languages, it may be helpful to say what motivated the man to get up before saying what did not motivate him to get up. One way to reorder 11:8a–c is:</w:t>
      </w:r>
    </w:p>
    <w:p>
      <w:pPr/>
      <w:r>
        <w:rPr>
          <w:lang w:val="en_US" w:bidi="en_US"/>
        </w:rPr>
      </w:r>
      <w:r>
        <w:rPr>
          <w:vertAlign w:val="superscript"/>
          <w:lang w:val="en_US" w:bidi="en_US"/>
        </w:rPr>
        <w:t>8a</w:t>
      </w:r>
      <w:r>
        <w:rPr>
          <w:lang w:val="en_US" w:bidi="en_US"/>
        </w:rPr>
        <w:t>I tell you</w:t>
      </w:r>
      <w:r>
        <w:rPr>
          <w:vertAlign w:val="superscript"/>
          <w:lang w:val="en_US" w:bidi="en_US"/>
        </w:rPr>
        <w:t>(plur)</w:t>
      </w:r>
      <w:r>
        <w:rPr>
          <w:lang w:val="en_US" w:bidi="en_US"/>
        </w:rPr>
        <w:t xml:space="preserve">, </w:t>
      </w:r>
      <w:r>
        <w:rPr>
          <w:vertAlign w:val="superscript"/>
          <w:lang w:val="en_US" w:bidi="en_US"/>
        </w:rPr>
        <w:t>8c</w:t>
      </w:r>
      <w:r>
        <w:rPr>
          <w:lang w:val="en_US" w:bidi="en_US"/>
        </w:rPr>
        <w:t xml:space="preserve">because of his </w:t>
      </w:r>
      <w:r>
        <w:rPr>
          <w:lang w:val="en_US" w:bidi="en_US"/>
        </w:rPr>
        <w:t>desire to avoid</w:t>
      </w:r>
      <w:r>
        <w:rPr>
          <w:lang w:val="en_US" w:bidi="en_US"/>
        </w:rPr>
        <w:t xml:space="preserve"> shame, he will get up and give you the bread. </w:t>
      </w:r>
      <w:r>
        <w:rPr>
          <w:vertAlign w:val="superscript"/>
          <w:lang w:val="en_US" w:bidi="en_US"/>
        </w:rPr>
        <w:t>8b</w:t>
      </w:r>
      <w:r>
        <w:rPr>
          <w:lang w:val="en_US" w:bidi="en_US"/>
        </w:rPr>
        <w:t>Friendship by itself may not get him up!</w:t>
      </w:r>
    </w:p>
    <w:p>
      <w:pPr/>
      <w:r>
        <w:rPr>
          <w:lang w:val="en_US" w:bidi="en_US"/>
        </w:rPr>
      </w:r>
      <w:r>
        <w:rPr>
          <w:vertAlign w:val="superscript"/>
          <w:lang w:val="en_US" w:bidi="en_US"/>
        </w:rPr>
        <w:t>8a</w:t>
      </w:r>
      <w:r>
        <w:rPr>
          <w:lang w:val="en_US" w:bidi="en_US"/>
        </w:rPr>
        <w:t xml:space="preserve">Listen, </w:t>
      </w:r>
      <w:r>
        <w:rPr>
          <w:vertAlign w:val="superscript"/>
          <w:lang w:val="en_US" w:bidi="en_US"/>
        </w:rPr>
        <w:t>8c</w:t>
      </w:r>
      <w:r>
        <w:rPr>
          <w:lang w:val="en_US" w:bidi="en_US"/>
        </w:rPr>
        <w:t xml:space="preserve">that man will get up and give you as much as you need to avoid shame/embarrassment. </w:t>
      </w:r>
      <w:r>
        <w:rPr>
          <w:vertAlign w:val="superscript"/>
          <w:lang w:val="en_US" w:bidi="en_US"/>
        </w:rPr>
        <w:t>8b</w:t>
      </w:r>
      <w:r>
        <w:rPr>
          <w:lang w:val="en_US" w:bidi="en_US"/>
        </w:rPr>
        <w:t>He may not get up just because you and he are friends!</w:t>
      </w:r>
      <w:r>
        <w:rPr>
          <w:lang w:val="en_US" w:bidi="en_US"/>
        </w:rPr>
      </w:r>
      <w:r>
        <w:rPr>
          <w:lang w:val="en_US" w:bidi="en_US"/>
        </w:rPr>
      </w:r>
    </w:p>
    <w:p>
      <w:pPr/>
      <w:r>
        <w:rPr>
          <w:lang w:val="en_US" w:bidi="en_US"/>
        </w:rPr>
      </w:r>
    </w:p>
    <w:p>
      <w:pPr>
        <w:pStyle w:val="Heading2"/>
      </w:pPr>
      <w:r>
        <w:rPr>
          <w:lang w:val="en_US" w:bidi="en_US"/>
        </w:rPr>
        <w:t>Luke 11:9</w:t>
      </w:r>
      <w:r>
        <w:rPr>
          <w:lang w:val="en_US" w:bidi="en_US"/>
        </w:rPr>
      </w:r>
    </w:p>
    <w:p>
      <w:pPr>
        <w:pStyle w:val="Heading4"/>
      </w:pPr>
      <w:r>
        <w:rPr>
          <w:lang w:val="en_US" w:bidi="en_US"/>
        </w:rPr>
        <w:t>Section 11:1–13: Jesus taught his disciples about prayer</w:t>
      </w:r>
    </w:p>
    <w:p>
      <w:pPr/>
      <w:r>
        <w:rPr>
          <w:lang w:val="en_US" w:bidi="en_US"/>
        </w:rPr>
      </w:r>
      <w:r>
        <w:rPr>
          <w:lang w:val="en_US" w:bidi="en_US"/>
        </w:rPr>
        <w:t>There are four paragraphs in this section. In each paragraph, Jesus taught his disciples something about prayer.</w:t>
      </w:r>
    </w:p>
    <w:p>
      <w:pPr/>
      <w:r>
        <w:rPr>
          <w:lang w:val="en_US" w:bidi="en_US"/>
        </w:rPr>
      </w:r>
      <w:r>
        <w:rPr>
          <w:lang w:val="en_US" w:bidi="en_US"/>
        </w:rPr>
        <w:t>Some other headings for this section are:</w:t>
      </w:r>
    </w:p>
    <w:p>
      <w:pPr/>
      <w:r>
        <w:rPr>
          <w:lang w:val="en_US" w:bidi="en_US"/>
        </w:rPr>
      </w:r>
      <w:r>
        <w:rPr>
          <w:lang w:val="en_US" w:bidi="en_US"/>
        </w:rPr>
        <w:t>Jesus’ Teaching on Prayer (NIV)</w:t>
      </w:r>
    </w:p>
    <w:p>
      <w:pPr/>
      <w:r>
        <w:rPr>
          <w:lang w:val="en_US" w:bidi="en_US"/>
        </w:rPr>
      </w:r>
      <w:r>
        <w:rPr>
          <w:lang w:val="en_US" w:bidi="en_US"/>
        </w:rPr>
        <w:t>Jesus Teaches About Prayer (NCV)</w:t>
      </w:r>
    </w:p>
    <w:p>
      <w:pPr/>
      <w:r>
        <w:rPr>
          <w:lang w:val="en_US" w:bidi="en_US"/>
        </w:rPr>
      </w:r>
      <w:r>
        <w:rPr>
          <w:lang w:val="en_US" w:bidi="en_US"/>
        </w:rPr>
        <w:t>There are parallel passages for this section in Matthew 6:9–13 and 7:7–11.</w:t>
      </w:r>
    </w:p>
    <w:p>
      <w:pPr>
        <w:pStyle w:val="Heading4"/>
      </w:pPr>
      <w:r>
        <w:rPr>
          <w:lang w:val="en_US" w:bidi="en_US"/>
        </w:rPr>
        <w:t>Paragraph 11:9–10</w:t>
      </w:r>
    </w:p>
    <w:p>
      <w:pPr/>
      <w:r>
        <w:rPr>
          <w:lang w:val="en_US" w:bidi="en_US"/>
        </w:rPr>
      </w:r>
      <w:r>
        <w:rPr>
          <w:lang w:val="en_US" w:bidi="en_US"/>
        </w:rPr>
        <w:t>In this paragraph, Jesus told his disciples what he wanted them to conclude from his story in the previous paragraph. They should conclude: “We should ask God for the things we need, and he will give them to us.” Jesus restated this in three ways.</w:t>
      </w:r>
    </w:p>
    <w:p>
      <w:pPr/>
      <w:r>
        <w:rPr>
          <w:lang w:val="en_US" w:bidi="en_US"/>
        </w:rPr>
      </w:r>
      <w:r>
        <w:rPr>
          <w:lang w:val="en_US" w:bidi="en_US"/>
        </w:rPr>
        <w:t>Luke 11:9–10 has almost the same words as Matthew 7:7–8, and they mean the same thing.</w:t>
      </w:r>
    </w:p>
    <w:p>
      <w:pPr>
        <w:pStyle w:val="Heading5"/>
      </w:pPr>
      <w:r>
        <w:rPr>
          <w:lang w:val="en_US" w:bidi="en_US"/>
        </w:rPr>
        <w:t>11:9a</w:t>
      </w:r>
    </w:p>
    <w:p>
      <w:pPr/>
      <w:r>
        <w:rPr>
          <w:lang w:val="en_US" w:bidi="en_US"/>
        </w:rPr>
      </w:r>
      <w:r>
        <w:rPr>
          <w:b/>
          <w:lang w:val="en_US" w:bidi="en_US"/>
        </w:rPr>
        <w:t>So I tell you:</w:t>
      </w:r>
    </w:p>
    <w:p>
      <w:pPr>
        <w:pStyle w:val="ListBullet"/>
        <w:spacing w:line="240" w:lineRule="auto"/>
        <w:ind w:left="720"/>
      </w:pPr>
      <w:r>
        <w:rPr>
          <w:lang w:val="en_US" w:bidi="en_US"/>
        </w:rPr>
      </w:r>
      <w:r>
        <w:rPr>
          <w:lang w:val="en_US" w:bidi="en_US"/>
        </w:rPr>
        <w:t>¶ “So I tell you:</w:t>
      </w:r>
      <w:r>
        <w:rPr>
          <w:vertAlign w:val="superscript"/>
          <w:lang w:val="en_US" w:bidi="en_US"/>
        </w:rPr>
        <w:t>(plur)</w:t>
      </w:r>
    </w:p>
    <w:p>
      <w:pPr>
        <w:pStyle w:val="ListBullet"/>
        <w:spacing w:line="240" w:lineRule="auto"/>
        <w:ind w:left="720"/>
      </w:pPr>
      <w:r>
        <w:rPr>
          <w:lang w:val="en_US" w:bidi="en_US"/>
        </w:rPr>
      </w:r>
      <w:r>
        <w:rPr>
          <w:lang w:val="en_US" w:bidi="en_US"/>
        </w:rPr>
        <w:t>¶ “For this reason I say to you:</w:t>
      </w:r>
      <w:r>
        <w:rPr>
          <w:vertAlign w:val="superscript"/>
          <w:lang w:val="en_US" w:bidi="en_US"/>
        </w:rPr>
        <w:t>(plur)</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here introduces the application or conclusion of the story in the previous paragraph. Some ways to show this are:</w:t>
      </w:r>
    </w:p>
    <w:p>
      <w:pPr/>
      <w:r>
        <w:rPr>
          <w:lang w:val="en_US" w:bidi="en_US"/>
        </w:rPr>
      </w:r>
      <w:r>
        <w:rPr>
          <w:lang w:val="en_US" w:bidi="en_US"/>
        </w:rPr>
        <w:t>That is why</w:t>
      </w:r>
    </w:p>
    <w:p>
      <w:pPr/>
      <w:r>
        <w:rPr>
          <w:lang w:val="en_US" w:bidi="en_US"/>
        </w:rPr>
      </w:r>
      <w:r>
        <w:rPr>
          <w:lang w:val="en_US" w:bidi="en_US"/>
        </w:rPr>
        <w:t>Therefore</w:t>
      </w:r>
    </w:p>
    <w:p>
      <w:pPr/>
      <w:r>
        <w:rPr>
          <w:lang w:val="en_US" w:bidi="en_US"/>
        </w:rPr>
      </w:r>
      <w:r>
        <w:rPr>
          <w:lang w:val="en_US" w:bidi="en_US"/>
        </w:rPr>
        <w:t>In other languages, no conjunction is necessary.</w:t>
      </w:r>
    </w:p>
    <w:p>
      <w:pPr/>
      <w:r>
        <w:rPr>
          <w:lang w:val="en_US" w:bidi="en_US"/>
        </w:rPr>
      </w:r>
      <w:r>
        <w:rPr>
          <w:b/>
          <w:lang w:val="en_US" w:bidi="en_US"/>
        </w:rPr>
        <w:t>I tell you:</w:t>
      </w:r>
      <w:r>
        <w:rPr>
          <w:lang w:val="en_US" w:bidi="en_US"/>
        </w:rPr>
        <w:t xml:space="preserve"> The Greek phrase that the BSB here translates as </w:t>
      </w:r>
      <w:r>
        <w:rPr>
          <w:i/>
          <w:lang w:val="en_US" w:bidi="en_US"/>
        </w:rPr>
        <w:t>I tell you</w:t>
      </w:r>
      <w:r>
        <w:rPr>
          <w:lang w:val="en_US" w:bidi="en_US"/>
        </w:rPr>
        <w:t xml:space="preserve"> is almost the same Greek phrase as “I tell you” in 11:8a. The only difference is that here Jesus emphasized the word </w:t>
      </w:r>
      <w:r>
        <w:rPr>
          <w:i/>
          <w:lang w:val="en_US" w:bidi="en_US"/>
        </w:rPr>
        <w:t>I</w:t>
      </w:r>
      <w:r>
        <w:rPr>
          <w:lang w:val="en_US" w:bidi="en_US"/>
        </w:rPr>
        <w:t>. Jesus often used this phrase in order to emphasize what he was about to say.</w:t>
      </w:r>
    </w:p>
    <w:p>
      <w:pPr>
        <w:pStyle w:val="Heading5"/>
      </w:pPr>
      <w:r>
        <w:rPr>
          <w:lang w:val="en_US" w:bidi="en_US"/>
        </w:rPr>
        <w:t>11:9b</w:t>
      </w:r>
    </w:p>
    <w:p>
      <w:pPr/>
      <w:r>
        <w:rPr>
          <w:lang w:val="en_US" w:bidi="en_US"/>
        </w:rPr>
      </w:r>
      <w:r>
        <w:rPr>
          <w:b/>
          <w:lang w:val="en_US" w:bidi="en_US"/>
        </w:rPr>
        <w:t>Ask, and it will be given to you;</w:t>
      </w:r>
    </w:p>
    <w:p>
      <w:pPr>
        <w:pStyle w:val="ListBullet"/>
        <w:spacing w:line="240" w:lineRule="auto"/>
        <w:ind w:left="720"/>
      </w:pPr>
      <w:r>
        <w:rPr>
          <w:lang w:val="en_US" w:bidi="en_US"/>
        </w:rPr>
      </w:r>
      <w:r>
        <w:rPr>
          <w:lang w:val="en_US" w:bidi="en_US"/>
        </w:rPr>
        <w:t>Request/Ask</w:t>
      </w:r>
      <w:r>
        <w:rPr>
          <w:vertAlign w:val="superscript"/>
          <w:lang w:val="en_US" w:bidi="en_US"/>
        </w:rPr>
        <w:t>(plur)</w:t>
      </w:r>
      <w:r>
        <w:rPr>
          <w:lang w:val="en_US" w:bidi="en_US"/>
        </w:rPr>
        <w:t>, and you will get/receive.</w:t>
      </w:r>
    </w:p>
    <w:p>
      <w:pPr>
        <w:pStyle w:val="ListBullet"/>
        <w:spacing w:line="240" w:lineRule="auto"/>
        <w:ind w:left="720"/>
      </w:pPr>
      <w:r>
        <w:rPr>
          <w:lang w:val="en_US" w:bidi="en_US"/>
        </w:rPr>
      </w:r>
      <w:r>
        <w:rPr>
          <w:lang w:val="en_US" w:bidi="en_US"/>
        </w:rPr>
        <w:t xml:space="preserve">Ask </w:t>
      </w:r>
      <w:r>
        <w:rPr>
          <w:lang w:val="en_US" w:bidi="en_US"/>
        </w:rPr>
        <w:t>God</w:t>
      </w:r>
      <w:r>
        <w:rPr>
          <w:lang w:val="en_US" w:bidi="en_US"/>
        </w:rPr>
        <w:t xml:space="preserve"> </w:t>
      </w:r>
      <w:r>
        <w:rPr>
          <w:lang w:val="en_US" w:bidi="en_US"/>
        </w:rPr>
        <w:t>for what you</w:t>
      </w:r>
      <w:r>
        <w:rPr>
          <w:vertAlign w:val="superscript"/>
          <w:lang w:val="en_US" w:bidi="en_US"/>
        </w:rPr>
        <w:t>(plur)</w:t>
      </w:r>
      <w:r>
        <w:rPr>
          <w:lang w:val="en_US" w:bidi="en_US"/>
        </w:rPr>
        <w:t xml:space="preserve"> </w:t>
      </w:r>
      <w:r>
        <w:rPr>
          <w:lang w:val="en_US" w:bidi="en_US"/>
        </w:rPr>
        <w:t>need</w:t>
      </w:r>
      <w:r>
        <w:rPr>
          <w:lang w:val="en_US" w:bidi="en_US"/>
        </w:rPr>
        <w:t xml:space="preserve">. </w:t>
      </w:r>
      <w:r>
        <w:rPr>
          <w:lang w:val="en_US" w:bidi="en_US"/>
        </w:rPr>
        <w:t>If you</w:t>
      </w:r>
      <w:r>
        <w:rPr>
          <w:vertAlign w:val="superscript"/>
          <w:lang w:val="en_US" w:bidi="en_US"/>
        </w:rPr>
        <w:t>(plur)</w:t>
      </w:r>
      <w:r>
        <w:rPr>
          <w:lang w:val="en_US" w:bidi="en_US"/>
        </w:rPr>
        <w:t xml:space="preserve"> </w:t>
      </w:r>
      <w:r>
        <w:rPr>
          <w:lang w:val="en_US" w:bidi="en_US"/>
        </w:rPr>
        <w:t>do,</w:t>
      </w:r>
      <w:r>
        <w:rPr>
          <w:lang w:val="en_US" w:bidi="en_US"/>
        </w:rPr>
        <w:t xml:space="preserve"> </w:t>
      </w:r>
      <w:r>
        <w:rPr>
          <w:lang w:val="en_US" w:bidi="en_US"/>
        </w:rPr>
        <w:t>he</w:t>
      </w:r>
      <w:r>
        <w:rPr>
          <w:lang w:val="en_US" w:bidi="en_US"/>
        </w:rPr>
        <w:t xml:space="preserve"> will give it to you</w:t>
      </w:r>
      <w:r>
        <w:rPr>
          <w:vertAlign w:val="superscript"/>
          <w:lang w:val="en_US" w:bidi="en_US"/>
        </w:rPr>
        <w:t>(plur)</w:t>
      </w:r>
      <w:r>
        <w:rPr>
          <w:lang w:val="en_US" w:bidi="en_US"/>
        </w:rPr>
        <w:t>.</w:t>
      </w:r>
    </w:p>
    <w:p>
      <w:pPr/>
      <w:r>
        <w:rPr>
          <w:lang w:val="en_US" w:bidi="en_US"/>
        </w:rPr>
      </w:r>
      <w:r>
        <w:rPr>
          <w:b/>
          <w:lang w:val="en_US" w:bidi="en_US"/>
        </w:rPr>
        <w:t>Ask:</w:t>
      </w:r>
      <w:r>
        <w:rPr>
          <w:lang w:val="en_US" w:bidi="en_US"/>
        </w:rPr>
        <w:t xml:space="preserve"> In the New Testament, the Greek verb that the BSB translates as </w:t>
      </w:r>
      <w:r>
        <w:rPr>
          <w:i/>
          <w:lang w:val="en_US" w:bidi="en_US"/>
        </w:rPr>
        <w:t>Ask</w:t>
      </w:r>
      <w:r>
        <w:rPr>
          <w:lang w:val="en_US" w:bidi="en_US"/>
        </w:rPr>
        <w:t xml:space="preserve"> frequently refers to prayer. Here, it also refers to asking God for something when praying. In some languages, it may be necessary to make this explicit.</w:t>
      </w:r>
    </w:p>
    <w:p>
      <w:pPr/>
      <w:r>
        <w:rPr>
          <w:lang w:val="en_US" w:bidi="en_US"/>
        </w:rPr>
      </w:r>
      <w:r>
        <w:rPr>
          <w:lang w:val="en_US" w:bidi="en_US"/>
        </w:rPr>
        <w:t>It may also be necessary to say what we should ask for. The context of 11:1–13 implies that a disciple of Jesus should ask God for the things he needs. So if you need to supply this information you could say:</w:t>
      </w:r>
    </w:p>
    <w:p>
      <w:pPr/>
      <w:r>
        <w:rPr>
          <w:lang w:val="en_US" w:bidi="en_US"/>
        </w:rPr>
      </w:r>
      <w:r>
        <w:rPr>
          <w:lang w:val="en_US" w:bidi="en_US"/>
        </w:rPr>
        <w:t xml:space="preserve">Ask </w:t>
      </w:r>
      <w:r>
        <w:rPr>
          <w:lang w:val="en_US" w:bidi="en_US"/>
        </w:rPr>
        <w:t>God</w:t>
      </w:r>
      <w:r>
        <w:rPr>
          <w:lang w:val="en_US" w:bidi="en_US"/>
        </w:rPr>
        <w:t xml:space="preserve"> </w:t>
      </w:r>
      <w:r>
        <w:rPr>
          <w:lang w:val="en_US" w:bidi="en_US"/>
        </w:rPr>
        <w:t>for whatever you need</w:t>
      </w:r>
    </w:p>
    <w:p>
      <w:pPr/>
      <w:r>
        <w:rPr>
          <w:lang w:val="en_US" w:bidi="en_US"/>
        </w:rPr>
      </w:r>
      <w:r>
        <w:rPr>
          <w:lang w:val="en_US" w:bidi="en_US"/>
        </w:rPr>
        <w:t>Jesus was speaking to his disciples, so this verb is plural.</w:t>
      </w:r>
    </w:p>
    <w:p>
      <w:pPr/>
      <w:r>
        <w:rPr>
          <w:lang w:val="en_US" w:bidi="en_US"/>
        </w:rPr>
      </w:r>
      <w:r>
        <w:rPr>
          <w:b/>
          <w:lang w:val="en_US" w:bidi="en_US"/>
        </w:rPr>
        <w:t>and it will be given to you:</w:t>
      </w:r>
      <w:r>
        <w:rPr>
          <w:lang w:val="en_US" w:bidi="en_US"/>
        </w:rPr>
        <w:t xml:space="preserve"> The Greek verb that the BSB translates as </w:t>
      </w:r>
      <w:r>
        <w:rPr>
          <w:i/>
          <w:lang w:val="en_US" w:bidi="en_US"/>
        </w:rPr>
        <w:t>will be given</w:t>
      </w:r>
      <w:r>
        <w:rPr>
          <w:lang w:val="en_US" w:bidi="en_US"/>
        </w:rPr>
        <w:t xml:space="preserve"> is a passive verb. Some ways to translate this verb are:</w:t>
      </w:r>
    </w:p>
    <w:p>
      <w:pPr>
        <w:pStyle w:val="ListBullet"/>
        <w:spacing w:line="240" w:lineRule="auto"/>
        <w:ind w:left="720"/>
      </w:pPr>
      <w:r>
        <w:rPr>
          <w:lang w:val="en_US" w:bidi="en_US"/>
        </w:rPr>
      </w:r>
      <w:r>
        <w:rPr>
          <w:lang w:val="en_US" w:bidi="en_US"/>
        </w:rPr>
        <w:t>As a passive verb. For example:</w:t>
      </w:r>
      <w:r>
        <w:rPr>
          <w:lang w:val="en_US" w:bidi="en_US"/>
        </w:rPr>
        <w:t>and you will be given what you ask for (NLT96)</w:t>
      </w:r>
    </w:p>
    <w:p>
      <w:pPr>
        <w:pStyle w:val="ListBullet"/>
        <w:spacing w:line="240" w:lineRule="auto"/>
        <w:ind w:left="720"/>
      </w:pPr>
      <w:r>
        <w:rPr>
          <w:lang w:val="en_US" w:bidi="en_US"/>
        </w:rPr>
      </w:r>
      <w:r>
        <w:rPr>
          <w:lang w:val="en_US" w:bidi="en_US"/>
        </w:rPr>
        <w:t xml:space="preserve">As an active verb. If it is necessary to say </w:t>
      </w:r>
      <w:r>
        <w:rPr>
          <w:u w:val="single"/>
          <w:lang w:val="en_US" w:bidi="en_US"/>
        </w:rPr>
        <w:t>who</w:t>
      </w:r>
      <w:r>
        <w:rPr>
          <w:lang w:val="en_US" w:bidi="en_US"/>
        </w:rPr>
        <w:t xml:space="preserve"> will give, the implied subject is God. For example:</w:t>
      </w:r>
      <w:r>
        <w:rPr>
          <w:lang w:val="en_US" w:bidi="en_US"/>
        </w:rPr>
        <w:t>and you</w:t>
      </w:r>
      <w:r>
        <w:rPr>
          <w:vertAlign w:val="superscript"/>
          <w:lang w:val="en_US" w:bidi="en_US"/>
        </w:rPr>
        <w:t>(plur)</w:t>
      </w:r>
      <w:r>
        <w:rPr>
          <w:lang w:val="en_US" w:bidi="en_US"/>
        </w:rPr>
        <w:t xml:space="preserve"> will receive what you ask for (NLT)</w:t>
      </w:r>
      <w:r>
        <w:rPr>
          <w:lang w:val="en_US" w:bidi="en_US"/>
        </w:rPr>
        <w:t xml:space="preserve">and </w:t>
      </w:r>
      <w:r>
        <w:rPr>
          <w:lang w:val="en_US" w:bidi="en_US"/>
        </w:rPr>
        <w:t>God</w:t>
      </w:r>
      <w:r>
        <w:rPr>
          <w:lang w:val="en_US" w:bidi="en_US"/>
        </w:rPr>
        <w:t xml:space="preserve"> will give it to you</w:t>
      </w:r>
    </w:p>
    <w:p>
      <w:pPr/>
      <w:r>
        <w:rPr>
          <w:lang w:val="en_US" w:bidi="en_US"/>
        </w:rPr>
      </w:r>
      <w:r>
        <w:rPr>
          <w:lang w:val="en_US" w:bidi="en_US"/>
        </w:rPr>
        <w:t>Translate this verb in a way that is most natural in your language.</w:t>
      </w:r>
    </w:p>
    <w:p>
      <w:pPr>
        <w:pStyle w:val="Heading5"/>
      </w:pPr>
      <w:r>
        <w:rPr>
          <w:lang w:val="en_US" w:bidi="en_US"/>
        </w:rPr>
        <w:t>11:9c</w:t>
      </w:r>
    </w:p>
    <w:p>
      <w:pPr/>
      <w:r>
        <w:rPr>
          <w:lang w:val="en_US" w:bidi="en_US"/>
        </w:rPr>
      </w:r>
      <w:r>
        <w:rPr>
          <w:b/>
          <w:lang w:val="en_US" w:bidi="en_US"/>
        </w:rPr>
        <w:t>seek, and you will find;</w:t>
      </w:r>
    </w:p>
    <w:p>
      <w:pPr>
        <w:pStyle w:val="ListBullet"/>
        <w:spacing w:line="240" w:lineRule="auto"/>
        <w:ind w:left="720"/>
      </w:pPr>
      <w:r>
        <w:rPr>
          <w:lang w:val="en_US" w:bidi="en_US"/>
        </w:rPr>
      </w:r>
      <w:r>
        <w:rPr>
          <w:lang w:val="en_US" w:bidi="en_US"/>
        </w:rPr>
        <w:t>Search/look</w:t>
      </w:r>
      <w:r>
        <w:rPr>
          <w:vertAlign w:val="superscript"/>
          <w:lang w:val="en_US" w:bidi="en_US"/>
        </w:rPr>
        <w:t>(plur)</w:t>
      </w:r>
      <w:r>
        <w:rPr>
          <w:lang w:val="en_US" w:bidi="en_US"/>
        </w:rPr>
        <w:t xml:space="preserve"> and you</w:t>
      </w:r>
      <w:r>
        <w:rPr>
          <w:vertAlign w:val="superscript"/>
          <w:lang w:val="en_US" w:bidi="en_US"/>
        </w:rPr>
        <w:t>(plur)</w:t>
      </w:r>
      <w:r>
        <w:rPr>
          <w:lang w:val="en_US" w:bidi="en_US"/>
        </w:rPr>
        <w:t xml:space="preserve"> will find.</w:t>
      </w:r>
    </w:p>
    <w:p>
      <w:pPr>
        <w:pStyle w:val="ListBullet"/>
        <w:spacing w:line="240" w:lineRule="auto"/>
        <w:ind w:left="720"/>
      </w:pPr>
      <w:r>
        <w:rPr>
          <w:lang w:val="en_US" w:bidi="en_US"/>
        </w:rPr>
      </w:r>
      <w:r>
        <w:rPr>
          <w:lang w:val="en_US" w:bidi="en_US"/>
        </w:rPr>
        <w:t>Search</w:t>
      </w:r>
      <w:r>
        <w:rPr>
          <w:vertAlign w:val="superscript"/>
          <w:lang w:val="en_US" w:bidi="en_US"/>
        </w:rPr>
        <w:t>(plur)</w:t>
      </w:r>
      <w:r>
        <w:rPr>
          <w:lang w:val="en_US" w:bidi="en_US"/>
        </w:rPr>
        <w:t xml:space="preserve"> </w:t>
      </w:r>
      <w:r>
        <w:rPr>
          <w:lang w:val="en_US" w:bidi="en_US"/>
        </w:rPr>
        <w:t>from God</w:t>
      </w:r>
      <w:r>
        <w:rPr>
          <w:lang w:val="en_US" w:bidi="en_US"/>
        </w:rPr>
        <w:t xml:space="preserve"> </w:t>
      </w:r>
      <w:r>
        <w:rPr>
          <w:lang w:val="en_US" w:bidi="en_US"/>
        </w:rPr>
        <w:t>for the things that you</w:t>
      </w:r>
      <w:r>
        <w:rPr>
          <w:vertAlign w:val="superscript"/>
          <w:lang w:val="en_US" w:bidi="en_US"/>
        </w:rPr>
        <w:t>(plur)</w:t>
      </w:r>
      <w:r>
        <w:rPr>
          <w:lang w:val="en_US" w:bidi="en_US"/>
        </w:rPr>
        <w:t xml:space="preserve"> </w:t>
      </w:r>
      <w:r>
        <w:rPr>
          <w:lang w:val="en_US" w:bidi="en_US"/>
        </w:rPr>
        <w:t>need</w:t>
      </w:r>
      <w:r>
        <w:rPr>
          <w:lang w:val="en_US" w:bidi="en_US"/>
        </w:rPr>
        <w:t>, and you</w:t>
      </w:r>
      <w:r>
        <w:rPr>
          <w:vertAlign w:val="superscript"/>
          <w:lang w:val="en_US" w:bidi="en_US"/>
        </w:rPr>
        <w:t>(plur)</w:t>
      </w:r>
      <w:r>
        <w:rPr>
          <w:lang w:val="en_US" w:bidi="en_US"/>
        </w:rPr>
        <w:t xml:space="preserve"> will find/receive </w:t>
      </w:r>
      <w:r>
        <w:rPr>
          <w:lang w:val="en_US" w:bidi="en_US"/>
        </w:rPr>
        <w:t>them</w:t>
      </w:r>
      <w:r>
        <w:rPr>
          <w:lang w:val="en_US" w:bidi="en_US"/>
        </w:rPr>
        <w:t>.</w:t>
      </w:r>
    </w:p>
    <w:p>
      <w:pPr/>
      <w:r>
        <w:rPr>
          <w:lang w:val="en_US" w:bidi="en_US"/>
        </w:rPr>
      </w:r>
      <w:r>
        <w:rPr>
          <w:lang w:val="en_US" w:bidi="en_US"/>
        </w:rPr>
        <w:t>This is the second way to say that when we ask God for the things we need, he will give them to us.</w:t>
      </w:r>
    </w:p>
    <w:p>
      <w:pPr/>
      <w:r>
        <w:rPr>
          <w:lang w:val="en_US" w:bidi="en_US"/>
        </w:rPr>
      </w:r>
      <w:r>
        <w:rPr>
          <w:b/>
          <w:lang w:val="en_US" w:bidi="en_US"/>
        </w:rPr>
        <w:t>seek, and you will find:</w:t>
      </w:r>
      <w:r>
        <w:rPr>
          <w:lang w:val="en_US" w:bidi="en_US"/>
        </w:rPr>
        <w:t xml:space="preserve"> The verb </w:t>
      </w:r>
      <w:r>
        <w:rPr>
          <w:i/>
          <w:lang w:val="en_US" w:bidi="en_US"/>
        </w:rPr>
        <w:t>seek</w:t>
      </w:r>
      <w:r>
        <w:rPr>
          <w:lang w:val="en_US" w:bidi="en_US"/>
        </w:rPr>
        <w:t xml:space="preserve"> means to “search” or “look” for something. This is a figure of speech. It compares “asking God for something” to “searching for it.” It also compares “God answering the prayer” to “the person finding/receiving” what he was searching for.</w:t>
      </w:r>
    </w:p>
    <w:p>
      <w:pPr/>
      <w:r>
        <w:rPr>
          <w:lang w:val="en_US" w:bidi="en_US"/>
        </w:rPr>
      </w:r>
      <w:r>
        <w:rPr>
          <w:lang w:val="en_US" w:bidi="en_US"/>
        </w:rPr>
        <w:t>If the meaning of this figure of speech will not be clear in your language, you may need to supply some information. For example:</w:t>
      </w:r>
    </w:p>
    <w:p>
      <w:pPr/>
      <w:r>
        <w:rPr>
          <w:lang w:val="en_US" w:bidi="en_US"/>
        </w:rPr>
      </w:r>
      <w:r>
        <w:rPr>
          <w:lang w:val="en_US" w:bidi="en_US"/>
        </w:rPr>
        <w:t xml:space="preserve">seek </w:t>
      </w:r>
      <w:r>
        <w:rPr>
          <w:lang w:val="en_US" w:bidi="en_US"/>
        </w:rPr>
        <w:t>from God</w:t>
      </w:r>
      <w:r>
        <w:rPr>
          <w:lang w:val="en_US" w:bidi="en_US"/>
        </w:rPr>
        <w:t xml:space="preserve"> </w:t>
      </w:r>
      <w:r>
        <w:rPr>
          <w:lang w:val="en_US" w:bidi="en_US"/>
        </w:rPr>
        <w:t>what you need</w:t>
      </w:r>
      <w:r>
        <w:rPr>
          <w:lang w:val="en_US" w:bidi="en_US"/>
        </w:rPr>
        <w:t>, and you will get/obtain it</w:t>
      </w:r>
    </w:p>
    <w:p>
      <w:pPr/>
      <w:r>
        <w:rPr>
          <w:lang w:val="en_US" w:bidi="en_US"/>
        </w:rPr>
      </w:r>
      <w:r>
        <w:rPr>
          <w:lang w:val="en_US" w:bidi="en_US"/>
        </w:rPr>
        <w:t xml:space="preserve">seek </w:t>
      </w:r>
      <w:r>
        <w:rPr>
          <w:lang w:val="en_US" w:bidi="en_US"/>
        </w:rPr>
        <w:t>from God</w:t>
      </w:r>
      <w:r>
        <w:rPr>
          <w:lang w:val="en_US" w:bidi="en_US"/>
        </w:rPr>
        <w:t xml:space="preserve"> </w:t>
      </w:r>
      <w:r>
        <w:rPr>
          <w:lang w:val="en_US" w:bidi="en_US"/>
        </w:rPr>
        <w:t>whatever you need</w:t>
      </w:r>
      <w:r>
        <w:rPr>
          <w:lang w:val="en_US" w:bidi="en_US"/>
        </w:rPr>
        <w:t>, and he will provide it for you</w:t>
      </w:r>
    </w:p>
    <w:p>
      <w:pPr>
        <w:pStyle w:val="Heading5"/>
      </w:pPr>
      <w:r>
        <w:rPr>
          <w:lang w:val="en_US" w:bidi="en_US"/>
        </w:rPr>
        <w:t>11:9d</w:t>
      </w:r>
    </w:p>
    <w:p>
      <w:pPr/>
      <w:r>
        <w:rPr>
          <w:lang w:val="en_US" w:bidi="en_US"/>
        </w:rPr>
      </w:r>
      <w:r>
        <w:rPr>
          <w:b/>
          <w:lang w:val="en_US" w:bidi="en_US"/>
        </w:rPr>
        <w:t>knock, and the door will be opened to you.</w:t>
      </w:r>
    </w:p>
    <w:p>
      <w:pPr>
        <w:pStyle w:val="ListBullet"/>
        <w:spacing w:line="240" w:lineRule="auto"/>
        <w:ind w:left="720"/>
      </w:pPr>
      <w:r>
        <w:rPr>
          <w:lang w:val="en_US" w:bidi="en_US"/>
        </w:rPr>
      </w:r>
      <w:r>
        <w:rPr>
          <w:lang w:val="en_US" w:bidi="en_US"/>
        </w:rPr>
        <w:t>Knock</w:t>
      </w:r>
      <w:r>
        <w:rPr>
          <w:vertAlign w:val="superscript"/>
          <w:lang w:val="en_US" w:bidi="en_US"/>
        </w:rPr>
        <w:t>(plur)</w:t>
      </w:r>
      <w:r>
        <w:rPr>
          <w:lang w:val="en_US" w:bidi="en_US"/>
        </w:rPr>
        <w:t xml:space="preserve"> </w:t>
      </w:r>
      <w:r>
        <w:rPr>
          <w:lang w:val="en_US" w:bidi="en_US"/>
        </w:rPr>
        <w:t>on the door</w:t>
      </w:r>
      <w:r>
        <w:rPr>
          <w:lang w:val="en_US" w:bidi="en_US"/>
        </w:rPr>
        <w:t>, and it will be opened for you</w:t>
      </w:r>
      <w:r>
        <w:rPr>
          <w:vertAlign w:val="superscript"/>
          <w:lang w:val="en_US" w:bidi="en_US"/>
        </w:rPr>
        <w:t>(plur)</w:t>
      </w:r>
      <w:r>
        <w:rPr>
          <w:lang w:val="en_US" w:bidi="en_US"/>
        </w:rPr>
        <w:t xml:space="preserve"> </w:t>
      </w:r>
      <w:r>
        <w:rPr>
          <w:lang w:val="en_US" w:bidi="en_US"/>
        </w:rPr>
        <w:t>to enter</w:t>
      </w:r>
      <w:r>
        <w:rPr>
          <w:lang w:val="en_US" w:bidi="en_US"/>
        </w:rPr>
        <w:t>.</w:t>
      </w:r>
    </w:p>
    <w:p>
      <w:pPr>
        <w:pStyle w:val="ListBullet"/>
        <w:spacing w:line="240" w:lineRule="auto"/>
        <w:ind w:left="720"/>
      </w:pPr>
      <w:r>
        <w:rPr>
          <w:lang w:val="en_US" w:bidi="en_US"/>
        </w:rPr>
      </w:r>
      <w:r>
        <w:rPr>
          <w:lang w:val="en_US" w:bidi="en_US"/>
        </w:rPr>
        <w:t>Knock/tap</w:t>
      </w:r>
      <w:r>
        <w:rPr>
          <w:vertAlign w:val="superscript"/>
          <w:lang w:val="en_US" w:bidi="en_US"/>
        </w:rPr>
        <w:t>(plur)</w:t>
      </w:r>
      <w:r>
        <w:rPr>
          <w:lang w:val="en_US" w:bidi="en_US"/>
        </w:rPr>
        <w:t xml:space="preserve"> </w:t>
      </w:r>
      <w:r>
        <w:rPr>
          <w:lang w:val="en_US" w:bidi="en_US"/>
        </w:rPr>
        <w:t>on the door</w:t>
      </w:r>
      <w:r>
        <w:rPr>
          <w:lang w:val="en_US" w:bidi="en_US"/>
        </w:rPr>
        <w:t xml:space="preserve"> </w:t>
      </w:r>
      <w:r>
        <w:rPr>
          <w:lang w:val="en_US" w:bidi="en_US"/>
        </w:rPr>
        <w:t>to ask God to help you</w:t>
      </w:r>
      <w:r>
        <w:rPr>
          <w:lang w:val="en_US" w:bidi="en_US"/>
        </w:rPr>
        <w:t xml:space="preserve">, and </w:t>
      </w:r>
      <w:r>
        <w:rPr>
          <w:lang w:val="en_US" w:bidi="en_US"/>
        </w:rPr>
        <w:t>God</w:t>
      </w:r>
      <w:r>
        <w:rPr>
          <w:lang w:val="en_US" w:bidi="en_US"/>
        </w:rPr>
        <w:t xml:space="preserve"> will open it </w:t>
      </w:r>
      <w:r>
        <w:rPr>
          <w:lang w:val="en_US" w:bidi="en_US"/>
        </w:rPr>
        <w:t>so you</w:t>
      </w:r>
      <w:r>
        <w:rPr>
          <w:vertAlign w:val="superscript"/>
          <w:lang w:val="en_US" w:bidi="en_US"/>
        </w:rPr>
        <w:t>(plur)</w:t>
      </w:r>
      <w:r>
        <w:rPr>
          <w:lang w:val="en_US" w:bidi="en_US"/>
        </w:rPr>
        <w:t xml:space="preserve"> </w:t>
      </w:r>
      <w:r>
        <w:rPr>
          <w:lang w:val="en_US" w:bidi="en_US"/>
        </w:rPr>
        <w:t>can enter and receive his help</w:t>
      </w:r>
      <w:r>
        <w:rPr>
          <w:lang w:val="en_US" w:bidi="en_US"/>
        </w:rPr>
        <w:t>.</w:t>
      </w:r>
    </w:p>
    <w:p>
      <w:pPr>
        <w:pStyle w:val="ListBullet"/>
        <w:spacing w:line="240" w:lineRule="auto"/>
        <w:ind w:left="720"/>
      </w:pPr>
      <w:r>
        <w:rPr>
          <w:lang w:val="en_US" w:bidi="en_US"/>
        </w:rPr>
      </w:r>
      <w:r>
        <w:rPr>
          <w:lang w:val="en_US" w:bidi="en_US"/>
        </w:rPr>
        <w:t>Call</w:t>
      </w:r>
      <w:r>
        <w:rPr>
          <w:vertAlign w:val="superscript"/>
          <w:lang w:val="en_US" w:bidi="en_US"/>
        </w:rPr>
        <w:t>(plur)</w:t>
      </w:r>
      <w:r>
        <w:rPr>
          <w:lang w:val="en_US" w:bidi="en_US"/>
        </w:rPr>
        <w:t xml:space="preserve"> out to God, and he will respond to you</w:t>
      </w:r>
      <w:r>
        <w:rPr>
          <w:vertAlign w:val="superscript"/>
          <w:lang w:val="en_US" w:bidi="en_US"/>
        </w:rPr>
        <w:t>(plur)</w:t>
      </w:r>
      <w:r>
        <w:rPr>
          <w:lang w:val="en_US" w:bidi="en_US"/>
        </w:rPr>
        <w:t>.</w:t>
      </w:r>
    </w:p>
    <w:p>
      <w:pPr/>
      <w:r>
        <w:rPr>
          <w:lang w:val="en_US" w:bidi="en_US"/>
        </w:rPr>
      </w:r>
      <w:r>
        <w:rPr>
          <w:b/>
          <w:lang w:val="en_US" w:bidi="en_US"/>
        </w:rPr>
        <w:t>knock, and the door will be opened to you:</w:t>
      </w:r>
      <w:r>
        <w:rPr>
          <w:lang w:val="en_US" w:bidi="en_US"/>
        </w:rPr>
        <w:t xml:space="preserve"> This is also a figure of speech. It compares asking God for something to knocking on a door. The image of God opening the door means that he responds favorably to the person’s request. In some languages it may be necessary to make explicit where a person should knock, and who would open it. For example:</w:t>
      </w:r>
    </w:p>
    <w:p>
      <w:pPr/>
      <w:r>
        <w:rPr>
          <w:lang w:val="en_US" w:bidi="en_US"/>
        </w:rPr>
      </w:r>
      <w:r>
        <w:rPr>
          <w:lang w:val="en_US" w:bidi="en_US"/>
        </w:rPr>
        <w:t xml:space="preserve">knock </w:t>
      </w:r>
      <w:r>
        <w:rPr>
          <w:lang w:val="en_US" w:bidi="en_US"/>
        </w:rPr>
        <w:t>on the door</w:t>
      </w:r>
      <w:r>
        <w:rPr>
          <w:lang w:val="en_US" w:bidi="en_US"/>
        </w:rPr>
        <w:t xml:space="preserve">, and </w:t>
      </w:r>
      <w:r>
        <w:rPr>
          <w:lang w:val="en_US" w:bidi="en_US"/>
        </w:rPr>
        <w:t>God</w:t>
      </w:r>
      <w:r>
        <w:rPr>
          <w:lang w:val="en_US" w:bidi="en_US"/>
        </w:rPr>
        <w:t xml:space="preserve"> will open the door </w:t>
      </w:r>
      <w:r>
        <w:rPr>
          <w:lang w:val="en_US" w:bidi="en_US"/>
        </w:rPr>
        <w:t>to let you enter</w:t>
      </w:r>
    </w:p>
    <w:p>
      <w:pPr/>
      <w:r>
        <w:rPr>
          <w:lang w:val="en_US" w:bidi="en_US"/>
        </w:rPr>
      </w:r>
      <w:r>
        <w:rPr>
          <w:lang w:val="en_US" w:bidi="en_US"/>
        </w:rPr>
        <w:t xml:space="preserve">To </w:t>
      </w:r>
      <w:r>
        <w:rPr>
          <w:i/>
          <w:lang w:val="en_US" w:bidi="en_US"/>
        </w:rPr>
        <w:t>knock</w:t>
      </w:r>
      <w:r>
        <w:rPr>
          <w:lang w:val="en_US" w:bidi="en_US"/>
        </w:rPr>
        <w:t xml:space="preserve"> is a cultural gesture. In the Jewish culture, someone arriving at someone else’s home would knock on the door to announce that he was there. But in some cultures, people do not knock on the door. They call or cough or announce in some other way that they have arrived. If the custom of knocking on a door is not understood in your area, you may:</w:t>
      </w:r>
    </w:p>
    <w:p>
      <w:pPr>
        <w:pStyle w:val="ListBullet"/>
        <w:spacing w:line="240" w:lineRule="auto"/>
        <w:ind w:left="720"/>
      </w:pPr>
      <w:r>
        <w:rPr>
          <w:lang w:val="en_US" w:bidi="en_US"/>
        </w:rPr>
      </w:r>
      <w:r>
        <w:rPr>
          <w:lang w:val="en_US" w:bidi="en_US"/>
        </w:rPr>
        <w:t>Make explicit the meaning of the gesture. For example:</w:t>
      </w:r>
      <w:r>
        <w:rPr>
          <w:lang w:val="en_US" w:bidi="en_US"/>
        </w:rPr>
        <w:t xml:space="preserve">Knock on the door </w:t>
      </w:r>
      <w:r>
        <w:rPr>
          <w:lang w:val="en_US" w:bidi="en_US"/>
        </w:rPr>
        <w:t>to ask for God’s help</w:t>
      </w:r>
      <w:r>
        <w:rPr>
          <w:lang w:val="en_US" w:bidi="en_US"/>
        </w:rPr>
        <w:t xml:space="preserve">, and he will open the door </w:t>
      </w:r>
      <w:r>
        <w:rPr>
          <w:lang w:val="en_US" w:bidi="en_US"/>
        </w:rPr>
        <w:t>so that you can enter and receive his help</w:t>
      </w:r>
      <w:r>
        <w:rPr>
          <w:lang w:val="en_US" w:bidi="en_US"/>
        </w:rPr>
        <w:t>.</w:t>
      </w:r>
    </w:p>
    <w:p>
      <w:pPr>
        <w:pStyle w:val="ListBullet"/>
        <w:spacing w:line="240" w:lineRule="auto"/>
        <w:ind w:left="720"/>
      </w:pPr>
      <w:r>
        <w:rPr>
          <w:lang w:val="en_US" w:bidi="en_US"/>
        </w:rPr>
      </w:r>
      <w:r>
        <w:rPr>
          <w:lang w:val="en_US" w:bidi="en_US"/>
        </w:rPr>
        <w:t>Use a gesture that has the right meaning in your area. For example:</w:t>
      </w:r>
      <w:r>
        <w:rPr>
          <w:lang w:val="en_US" w:bidi="en_US"/>
        </w:rPr>
        <w:t>Call out to God, and he will cause you to enter and help you.</w:t>
      </w:r>
      <w:r>
        <w:rPr>
          <w:lang w:val="en_US" w:bidi="en_US"/>
        </w:rPr>
      </w:r>
      <w:r>
        <w:rPr>
          <w:lang w:val="en_US" w:bidi="en_US"/>
        </w:rPr>
      </w:r>
    </w:p>
    <w:p>
      <w:pPr/>
      <w:r>
        <w:rPr>
          <w:lang w:val="en_US" w:bidi="en_US"/>
        </w:rPr>
      </w:r>
    </w:p>
    <w:p>
      <w:pPr>
        <w:pStyle w:val="Heading2"/>
      </w:pPr>
      <w:r>
        <w:rPr>
          <w:lang w:val="en_US" w:bidi="en_US"/>
        </w:rPr>
        <w:t>Luke 11:10</w:t>
      </w:r>
      <w:r>
        <w:rPr>
          <w:lang w:val="en_US" w:bidi="en_US"/>
        </w:rPr>
      </w:r>
    </w:p>
    <w:p>
      <w:pPr>
        <w:pStyle w:val="Heading4"/>
      </w:pPr>
      <w:r>
        <w:rPr>
          <w:lang w:val="en_US" w:bidi="en_US"/>
        </w:rPr>
        <w:t>Section 11:1–13: Jesus taught his disciples about prayer</w:t>
      </w:r>
    </w:p>
    <w:p>
      <w:pPr/>
      <w:r>
        <w:rPr>
          <w:lang w:val="en_US" w:bidi="en_US"/>
        </w:rPr>
      </w:r>
      <w:r>
        <w:rPr>
          <w:lang w:val="en_US" w:bidi="en_US"/>
        </w:rPr>
        <w:t>There are four paragraphs in this section. In each paragraph, Jesus taught his disciples something about prayer.</w:t>
      </w:r>
    </w:p>
    <w:p>
      <w:pPr/>
      <w:r>
        <w:rPr>
          <w:lang w:val="en_US" w:bidi="en_US"/>
        </w:rPr>
      </w:r>
      <w:r>
        <w:rPr>
          <w:lang w:val="en_US" w:bidi="en_US"/>
        </w:rPr>
        <w:t>Some other headings for this section are:</w:t>
      </w:r>
    </w:p>
    <w:p>
      <w:pPr/>
      <w:r>
        <w:rPr>
          <w:lang w:val="en_US" w:bidi="en_US"/>
        </w:rPr>
      </w:r>
      <w:r>
        <w:rPr>
          <w:lang w:val="en_US" w:bidi="en_US"/>
        </w:rPr>
        <w:t>Jesus’ Teaching on Prayer (NIV)</w:t>
      </w:r>
    </w:p>
    <w:p>
      <w:pPr/>
      <w:r>
        <w:rPr>
          <w:lang w:val="en_US" w:bidi="en_US"/>
        </w:rPr>
      </w:r>
      <w:r>
        <w:rPr>
          <w:lang w:val="en_US" w:bidi="en_US"/>
        </w:rPr>
        <w:t>Jesus Teaches About Prayer (NCV)</w:t>
      </w:r>
    </w:p>
    <w:p>
      <w:pPr/>
      <w:r>
        <w:rPr>
          <w:lang w:val="en_US" w:bidi="en_US"/>
        </w:rPr>
      </w:r>
      <w:r>
        <w:rPr>
          <w:lang w:val="en_US" w:bidi="en_US"/>
        </w:rPr>
        <w:t>There are parallel passages for this section in Matthew 6:9–13 and 7:7–11.</w:t>
      </w:r>
    </w:p>
    <w:p>
      <w:pPr>
        <w:pStyle w:val="Heading4"/>
      </w:pPr>
      <w:r>
        <w:rPr>
          <w:lang w:val="en_US" w:bidi="en_US"/>
        </w:rPr>
        <w:t>Paragraph 11:9–10</w:t>
      </w:r>
    </w:p>
    <w:p>
      <w:pPr/>
      <w:r>
        <w:rPr>
          <w:lang w:val="en_US" w:bidi="en_US"/>
        </w:rPr>
      </w:r>
      <w:r>
        <w:rPr>
          <w:lang w:val="en_US" w:bidi="en_US"/>
        </w:rPr>
        <w:t>In this paragraph, Jesus told his disciples what he wanted them to conclude from his story in the previous paragraph. They should conclude: “We should ask God for the things we need, and he will give them to us.” Jesus restated this in three ways.</w:t>
      </w:r>
    </w:p>
    <w:p>
      <w:pPr/>
      <w:r>
        <w:rPr>
          <w:lang w:val="en_US" w:bidi="en_US"/>
        </w:rPr>
      </w:r>
      <w:r>
        <w:rPr>
          <w:lang w:val="en_US" w:bidi="en_US"/>
        </w:rPr>
        <w:t>Luke 11:9–10 has almost the same words as Matthew 7:7–8, and they mean the same thing.</w:t>
      </w:r>
    </w:p>
    <w:p>
      <w:pPr>
        <w:pStyle w:val="Heading5"/>
      </w:pPr>
      <w:r>
        <w:rPr>
          <w:lang w:val="en_US" w:bidi="en_US"/>
        </w:rPr>
        <w:t>11:10a</w:t>
      </w:r>
    </w:p>
    <w:p>
      <w:pPr/>
      <w:r>
        <w:rPr>
          <w:lang w:val="en_US" w:bidi="en_US"/>
        </w:rPr>
      </w:r>
      <w:r>
        <w:rPr>
          <w:b/>
          <w:lang w:val="en_US" w:bidi="en_US"/>
        </w:rPr>
        <w:t>For everyone who asks receives;</w:t>
      </w:r>
    </w:p>
    <w:p>
      <w:pPr>
        <w:pStyle w:val="ListBullet"/>
        <w:spacing w:line="240" w:lineRule="auto"/>
        <w:ind w:left="720"/>
      </w:pPr>
      <w:r>
        <w:rPr>
          <w:lang w:val="en_US" w:bidi="en_US"/>
        </w:rPr>
      </w:r>
      <w:r>
        <w:rPr>
          <w:lang w:val="en_US" w:bidi="en_US"/>
        </w:rPr>
        <w:t xml:space="preserve">For everyone who asks </w:t>
      </w:r>
      <w:r>
        <w:rPr>
          <w:lang w:val="en_US" w:bidi="en_US"/>
        </w:rPr>
        <w:t>for what he needs</w:t>
      </w:r>
      <w:r>
        <w:rPr>
          <w:lang w:val="en_US" w:bidi="en_US"/>
        </w:rPr>
        <w:t xml:space="preserve"> receives </w:t>
      </w:r>
      <w:r>
        <w:rPr>
          <w:lang w:val="en_US" w:bidi="en_US"/>
        </w:rPr>
        <w:t>it</w:t>
      </w:r>
      <w:r>
        <w:rPr>
          <w:lang w:val="en_US" w:bidi="en_US"/>
        </w:rPr>
        <w:t>.</w:t>
      </w:r>
    </w:p>
    <w:p>
      <w:pPr>
        <w:pStyle w:val="ListBullet"/>
        <w:spacing w:line="240" w:lineRule="auto"/>
        <w:ind w:left="720"/>
      </w:pPr>
      <w:r>
        <w:rPr>
          <w:lang w:val="en_US" w:bidi="en_US"/>
        </w:rPr>
      </w:r>
      <w:r>
        <w:rPr>
          <w:lang w:val="en_US" w:bidi="en_US"/>
        </w:rPr>
        <w:t>Do this</w:t>
      </w:r>
      <w:r>
        <w:rPr>
          <w:lang w:val="en_US" w:bidi="en_US"/>
        </w:rPr>
        <w:t xml:space="preserve"> because all who ask/request </w:t>
      </w:r>
      <w:r>
        <w:rPr>
          <w:lang w:val="en_US" w:bidi="en_US"/>
        </w:rPr>
        <w:t>that God give them what they need</w:t>
      </w:r>
      <w:r>
        <w:rPr>
          <w:lang w:val="en_US" w:bidi="en_US"/>
        </w:rPr>
        <w:t xml:space="preserve"> will receive </w:t>
      </w:r>
      <w:r>
        <w:rPr>
          <w:lang w:val="en_US" w:bidi="en_US"/>
        </w:rPr>
        <w:t>it</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the basis or reason for the previous instructions. What Jesus said in 11:10 was the reason for what he told his disciples to do in 11:9.</w:t>
      </w:r>
    </w:p>
    <w:p>
      <w:pPr/>
      <w:r>
        <w:rPr>
          <w:lang w:val="en_US" w:bidi="en_US"/>
        </w:rPr>
      </w:r>
      <w:r>
        <w:rPr>
          <w:lang w:val="en_US" w:bidi="en_US"/>
        </w:rPr>
        <w:t xml:space="preserve">In some languages, this relationship may be understood without connecting the verses with an explicit word such as </w:t>
      </w:r>
      <w:r>
        <w:rPr>
          <w:i/>
          <w:lang w:val="en_US" w:bidi="en_US"/>
        </w:rPr>
        <w:t>For</w:t>
      </w:r>
      <w:r>
        <w:rPr>
          <w:lang w:val="en_US" w:bidi="en_US"/>
        </w:rPr>
        <w:t xml:space="preserve"> or “Because.” For example:</w:t>
      </w:r>
    </w:p>
    <w:p>
      <w:pPr/>
      <w:r>
        <w:rPr>
          <w:lang w:val="en_US" w:bidi="en_US"/>
        </w:rPr>
      </w:r>
      <w:r>
        <w:rPr>
          <w:lang w:val="en_US" w:bidi="en_US"/>
        </w:rPr>
        <w:t>Everyone who asks will receive (CEV)</w:t>
      </w:r>
    </w:p>
    <w:p>
      <w:pPr/>
      <w:r>
        <w:rPr>
          <w:lang w:val="en_US" w:bidi="en_US"/>
        </w:rPr>
      </w:r>
      <w:r>
        <w:rPr>
          <w:lang w:val="en_US" w:bidi="en_US"/>
        </w:rPr>
        <w:t>Connect these verses in a way that will clearly express the right relationship in your language.</w:t>
      </w:r>
    </w:p>
    <w:p>
      <w:pPr/>
      <w:r>
        <w:rPr>
          <w:lang w:val="en_US" w:bidi="en_US"/>
        </w:rPr>
      </w:r>
      <w:r>
        <w:rPr>
          <w:b/>
          <w:lang w:val="en_US" w:bidi="en_US"/>
        </w:rPr>
        <w:t>everyone who asks receives:</w:t>
      </w:r>
      <w:r>
        <w:rPr>
          <w:lang w:val="en_US" w:bidi="en_US"/>
        </w:rPr>
        <w:t xml:space="preserve"> As in 11:9b, it may again be necessary to say what is asked for, and from whom. For example:</w:t>
      </w:r>
    </w:p>
    <w:p>
      <w:pPr/>
      <w:r>
        <w:rPr>
          <w:lang w:val="en_US" w:bidi="en_US"/>
        </w:rPr>
      </w:r>
      <w:r>
        <w:rPr>
          <w:lang w:val="en_US" w:bidi="en_US"/>
        </w:rPr>
        <w:t xml:space="preserve">everyone who asks </w:t>
      </w:r>
      <w:r>
        <w:rPr>
          <w:lang w:val="en_US" w:bidi="en_US"/>
        </w:rPr>
        <w:t>God</w:t>
      </w:r>
      <w:r>
        <w:rPr>
          <w:lang w:val="en_US" w:bidi="en_US"/>
        </w:rPr>
        <w:t xml:space="preserve"> </w:t>
      </w:r>
      <w:r>
        <w:rPr>
          <w:lang w:val="en_US" w:bidi="en_US"/>
        </w:rPr>
        <w:t>for something</w:t>
      </w:r>
      <w:r>
        <w:rPr>
          <w:lang w:val="en_US" w:bidi="en_US"/>
        </w:rPr>
        <w:t xml:space="preserve"> will receive </w:t>
      </w:r>
      <w:r>
        <w:rPr>
          <w:lang w:val="en_US" w:bidi="en_US"/>
        </w:rPr>
        <w:t>it</w:t>
      </w:r>
    </w:p>
    <w:p>
      <w:pPr>
        <w:pStyle w:val="Heading5"/>
      </w:pPr>
      <w:r>
        <w:rPr>
          <w:lang w:val="en_US" w:bidi="en_US"/>
        </w:rPr>
        <w:t>11:10b</w:t>
      </w:r>
    </w:p>
    <w:p>
      <w:pPr/>
      <w:r>
        <w:rPr>
          <w:lang w:val="en_US" w:bidi="en_US"/>
        </w:rPr>
      </w:r>
      <w:r>
        <w:rPr>
          <w:b/>
          <w:lang w:val="en_US" w:bidi="en_US"/>
        </w:rPr>
        <w:t>he who seeks finds;</w:t>
      </w:r>
    </w:p>
    <w:p>
      <w:pPr>
        <w:pStyle w:val="ListBullet"/>
        <w:spacing w:line="240" w:lineRule="auto"/>
        <w:ind w:left="720"/>
      </w:pPr>
      <w:r>
        <w:rPr>
          <w:lang w:val="en_US" w:bidi="en_US"/>
        </w:rPr>
      </w:r>
      <w:r>
        <w:rPr>
          <w:lang w:val="en_US" w:bidi="en_US"/>
        </w:rPr>
        <w:t xml:space="preserve">Any person who seeks </w:t>
      </w:r>
      <w:r>
        <w:rPr>
          <w:lang w:val="en_US" w:bidi="en_US"/>
        </w:rPr>
        <w:t>what he needs</w:t>
      </w:r>
      <w:r>
        <w:rPr>
          <w:lang w:val="en_US" w:bidi="en_US"/>
        </w:rPr>
        <w:t xml:space="preserve"> finds it.</w:t>
      </w:r>
    </w:p>
    <w:p>
      <w:pPr>
        <w:pStyle w:val="ListBullet"/>
        <w:spacing w:line="240" w:lineRule="auto"/>
        <w:ind w:left="720"/>
      </w:pPr>
      <w:r>
        <w:rPr>
          <w:lang w:val="en_US" w:bidi="en_US"/>
        </w:rPr>
      </w:r>
      <w:r>
        <w:rPr>
          <w:lang w:val="en_US" w:bidi="en_US"/>
        </w:rPr>
        <w:t xml:space="preserve">The people who look </w:t>
      </w:r>
      <w:r>
        <w:rPr>
          <w:lang w:val="en_US" w:bidi="en_US"/>
        </w:rPr>
        <w:t>to God for the things they need</w:t>
      </w:r>
      <w:r>
        <w:rPr>
          <w:lang w:val="en_US" w:bidi="en_US"/>
        </w:rPr>
        <w:t xml:space="preserve"> will find them.</w:t>
      </w:r>
    </w:p>
    <w:p>
      <w:pPr/>
      <w:r>
        <w:rPr>
          <w:lang w:val="en_US" w:bidi="en_US"/>
        </w:rPr>
      </w:r>
      <w:r>
        <w:rPr>
          <w:b/>
          <w:lang w:val="en_US" w:bidi="en_US"/>
        </w:rPr>
        <w:t>he who seeks finds:</w:t>
      </w:r>
      <w:r>
        <w:rPr>
          <w:lang w:val="en_US" w:bidi="en_US"/>
        </w:rPr>
        <w:t xml:space="preserve"> As in 11:9c, it may be necessary to supply an object. It may also be necessary to make clear that a person seeks/searches by praying. For example:</w:t>
      </w:r>
    </w:p>
    <w:p>
      <w:pPr/>
      <w:r>
        <w:rPr>
          <w:lang w:val="en_US" w:bidi="en_US"/>
        </w:rPr>
      </w:r>
      <w:r>
        <w:rPr>
          <w:lang w:val="en_US" w:bidi="en_US"/>
        </w:rPr>
        <w:t xml:space="preserve">everyone who seeks </w:t>
      </w:r>
      <w:r>
        <w:rPr>
          <w:lang w:val="en_US" w:bidi="en_US"/>
        </w:rPr>
        <w:t>for something</w:t>
      </w:r>
      <w:r>
        <w:rPr>
          <w:lang w:val="en_US" w:bidi="en_US"/>
        </w:rPr>
        <w:t xml:space="preserve"> </w:t>
      </w:r>
      <w:r>
        <w:rPr>
          <w:lang w:val="en_US" w:bidi="en_US"/>
        </w:rPr>
        <w:t>by praying to God</w:t>
      </w:r>
      <w:r>
        <w:rPr>
          <w:lang w:val="en_US" w:bidi="en_US"/>
        </w:rPr>
        <w:t xml:space="preserve"> will find </w:t>
      </w:r>
      <w:r>
        <w:rPr>
          <w:lang w:val="en_US" w:bidi="en_US"/>
        </w:rPr>
        <w:t>it</w:t>
      </w:r>
    </w:p>
    <w:p>
      <w:pPr>
        <w:pStyle w:val="Heading5"/>
      </w:pPr>
      <w:r>
        <w:rPr>
          <w:lang w:val="en_US" w:bidi="en_US"/>
        </w:rPr>
        <w:t>11:10c</w:t>
      </w:r>
    </w:p>
    <w:p>
      <w:pPr/>
      <w:r>
        <w:rPr>
          <w:lang w:val="en_US" w:bidi="en_US"/>
        </w:rPr>
      </w:r>
      <w:r>
        <w:rPr>
          <w:b/>
          <w:lang w:val="en_US" w:bidi="en_US"/>
        </w:rPr>
        <w:t>and to him who knocks, the door will be opened.</w:t>
      </w:r>
    </w:p>
    <w:p>
      <w:pPr>
        <w:pStyle w:val="ListBullet"/>
        <w:spacing w:line="240" w:lineRule="auto"/>
        <w:ind w:left="720"/>
      </w:pPr>
      <w:r>
        <w:rPr>
          <w:lang w:val="en_US" w:bidi="en_US"/>
        </w:rPr>
      </w:r>
      <w:r>
        <w:rPr>
          <w:lang w:val="en_US" w:bidi="en_US"/>
        </w:rPr>
        <w:t xml:space="preserve">The door will be opened to the one who knocks </w:t>
      </w:r>
      <w:r>
        <w:rPr>
          <w:lang w:val="en_US" w:bidi="en_US"/>
        </w:rPr>
        <w:t>on it</w:t>
      </w:r>
      <w:r>
        <w:rPr>
          <w:lang w:val="en_US" w:bidi="en_US"/>
        </w:rPr>
        <w:t>.</w:t>
      </w:r>
    </w:p>
    <w:p>
      <w:pPr>
        <w:pStyle w:val="ListBullet"/>
        <w:spacing w:line="240" w:lineRule="auto"/>
        <w:ind w:left="720"/>
      </w:pPr>
      <w:r>
        <w:rPr>
          <w:lang w:val="en_US" w:bidi="en_US"/>
        </w:rPr>
      </w:r>
      <w:r>
        <w:rPr>
          <w:lang w:val="en_US" w:bidi="en_US"/>
        </w:rPr>
        <w:t xml:space="preserve">And when people knock on the door, </w:t>
      </w:r>
      <w:r>
        <w:rPr>
          <w:lang w:val="en_US" w:bidi="en_US"/>
        </w:rPr>
        <w:t>God</w:t>
      </w:r>
      <w:r>
        <w:rPr>
          <w:lang w:val="en_US" w:bidi="en_US"/>
        </w:rPr>
        <w:t xml:space="preserve"> will open it for them.</w:t>
      </w:r>
    </w:p>
    <w:p>
      <w:pPr>
        <w:pStyle w:val="ListBullet"/>
        <w:spacing w:line="240" w:lineRule="auto"/>
        <w:ind w:left="720"/>
      </w:pPr>
      <w:r>
        <w:rPr>
          <w:lang w:val="en_US" w:bidi="en_US"/>
        </w:rPr>
      </w:r>
      <w:r>
        <w:rPr>
          <w:lang w:val="en_US" w:bidi="en_US"/>
        </w:rPr>
        <w:t xml:space="preserve">And </w:t>
      </w:r>
      <w:r>
        <w:rPr>
          <w:lang w:val="en_US" w:bidi="en_US"/>
        </w:rPr>
        <w:t>God</w:t>
      </w:r>
      <w:r>
        <w:rPr>
          <w:lang w:val="en_US" w:bidi="en_US"/>
        </w:rPr>
        <w:t xml:space="preserve"> will </w:t>
      </w:r>
      <w:r>
        <w:rPr>
          <w:lang w:val="en_US" w:bidi="en_US"/>
        </w:rPr>
        <w:t>certainly</w:t>
      </w:r>
      <w:r>
        <w:rPr>
          <w:lang w:val="en_US" w:bidi="en_US"/>
        </w:rPr>
        <w:t xml:space="preserve"> respond to the people who call out to him.</w:t>
      </w:r>
    </w:p>
    <w:p>
      <w:pPr/>
      <w:r>
        <w:rPr>
          <w:lang w:val="en_US" w:bidi="en_US"/>
        </w:rPr>
      </w:r>
      <w:r>
        <w:rPr>
          <w:b/>
          <w:lang w:val="en_US" w:bidi="en_US"/>
        </w:rPr>
        <w:t>and to him who knocks, the door will be opened:</w:t>
      </w:r>
      <w:r>
        <w:rPr>
          <w:lang w:val="en_US" w:bidi="en_US"/>
        </w:rPr>
        <w:t xml:space="preserve"> As in 11:9d, this refers to making a request to God. Therefore, if it is necessary to supply a subject and say who would open the door, you should supply “God.” For example:</w:t>
      </w:r>
    </w:p>
    <w:p>
      <w:pPr/>
      <w:r>
        <w:rPr>
          <w:lang w:val="en_US" w:bidi="en_US"/>
        </w:rPr>
      </w:r>
      <w:r>
        <w:rPr>
          <w:lang w:val="en_US" w:bidi="en_US"/>
        </w:rPr>
        <w:t xml:space="preserve">and </w:t>
      </w:r>
      <w:r>
        <w:rPr>
          <w:lang w:val="en_US" w:bidi="en_US"/>
        </w:rPr>
        <w:t>God</w:t>
      </w:r>
      <w:r>
        <w:rPr>
          <w:lang w:val="en_US" w:bidi="en_US"/>
        </w:rPr>
        <w:t xml:space="preserve"> will open the door to everyone who knocks on it</w:t>
      </w:r>
      <w:r>
        <w:rPr>
          <w:lang w:val="en_US" w:bidi="en_US"/>
        </w:rPr>
      </w:r>
      <w:r>
        <w:rPr>
          <w:lang w:val="en_US" w:bidi="en_US"/>
        </w:rPr>
      </w:r>
    </w:p>
    <w:p>
      <w:pPr/>
      <w:r>
        <w:rPr>
          <w:lang w:val="en_US" w:bidi="en_US"/>
        </w:rPr>
      </w:r>
    </w:p>
    <w:p>
      <w:pPr>
        <w:pStyle w:val="Heading2"/>
      </w:pPr>
      <w:r>
        <w:rPr>
          <w:lang w:val="en_US" w:bidi="en_US"/>
        </w:rPr>
        <w:t>Luke 11:11</w:t>
      </w:r>
      <w:r>
        <w:rPr>
          <w:lang w:val="en_US" w:bidi="en_US"/>
        </w:rPr>
      </w:r>
    </w:p>
    <w:p>
      <w:pPr>
        <w:pStyle w:val="Heading4"/>
      </w:pPr>
      <w:r>
        <w:rPr>
          <w:lang w:val="en_US" w:bidi="en_US"/>
        </w:rPr>
        <w:t>Section 11:1–13: Jesus taught his disciples about prayer</w:t>
      </w:r>
    </w:p>
    <w:p>
      <w:pPr/>
      <w:r>
        <w:rPr>
          <w:lang w:val="en_US" w:bidi="en_US"/>
        </w:rPr>
      </w:r>
      <w:r>
        <w:rPr>
          <w:lang w:val="en_US" w:bidi="en_US"/>
        </w:rPr>
        <w:t>There are four paragraphs in this section. In each paragraph, Jesus taught his disciples something about prayer.</w:t>
      </w:r>
    </w:p>
    <w:p>
      <w:pPr/>
      <w:r>
        <w:rPr>
          <w:lang w:val="en_US" w:bidi="en_US"/>
        </w:rPr>
      </w:r>
      <w:r>
        <w:rPr>
          <w:lang w:val="en_US" w:bidi="en_US"/>
        </w:rPr>
        <w:t>Some other headings for this section are:</w:t>
      </w:r>
    </w:p>
    <w:p>
      <w:pPr/>
      <w:r>
        <w:rPr>
          <w:lang w:val="en_US" w:bidi="en_US"/>
        </w:rPr>
      </w:r>
      <w:r>
        <w:rPr>
          <w:lang w:val="en_US" w:bidi="en_US"/>
        </w:rPr>
        <w:t>Jesus’ Teaching on Prayer (NIV)</w:t>
      </w:r>
    </w:p>
    <w:p>
      <w:pPr/>
      <w:r>
        <w:rPr>
          <w:lang w:val="en_US" w:bidi="en_US"/>
        </w:rPr>
      </w:r>
      <w:r>
        <w:rPr>
          <w:lang w:val="en_US" w:bidi="en_US"/>
        </w:rPr>
        <w:t>Jesus Teaches About Prayer (NCV)</w:t>
      </w:r>
    </w:p>
    <w:p>
      <w:pPr/>
      <w:r>
        <w:rPr>
          <w:lang w:val="en_US" w:bidi="en_US"/>
        </w:rPr>
      </w:r>
      <w:r>
        <w:rPr>
          <w:lang w:val="en_US" w:bidi="en_US"/>
        </w:rPr>
        <w:t>There are parallel passages for this section in Matthew 6:9–13 and 7:7–11.</w:t>
      </w:r>
    </w:p>
    <w:p>
      <w:pPr>
        <w:pStyle w:val="Heading4"/>
      </w:pPr>
      <w:r>
        <w:rPr>
          <w:lang w:val="en_US" w:bidi="en_US"/>
        </w:rPr>
        <w:t>Paragraph 11:11–13</w:t>
      </w:r>
    </w:p>
    <w:p>
      <w:pPr/>
      <w:r>
        <w:rPr>
          <w:lang w:val="en_US" w:bidi="en_US"/>
        </w:rPr>
      </w:r>
      <w:r>
        <w:rPr>
          <w:lang w:val="en_US" w:bidi="en_US"/>
        </w:rPr>
        <w:t>In the preceding paragraph Jesus encouraged his disciples to ask God for things. He assured them that God would answer their requests. In this paragraph 11:11–13 Jesus illustrated the truth of what he had just said by giving two examples. Both examples showed that a human father would never give his son something harmful if the son asked for something good to eat. He then concluded by stating that God gives the Holy Spirit to those who ask him. See the note on 11:13 for more information about this conclusion.</w:t>
      </w:r>
    </w:p>
    <w:p>
      <w:pPr>
        <w:pStyle w:val="Heading5"/>
      </w:pPr>
      <w:r>
        <w:rPr>
          <w:lang w:val="en_US" w:bidi="en_US"/>
        </w:rPr>
        <w:t>11:11</w:t>
      </w:r>
    </w:p>
    <w:p>
      <w:pPr/>
      <w:r>
        <w:rPr>
          <w:lang w:val="en_US" w:bidi="en_US"/>
        </w:rPr>
      </w:r>
      <w:r>
        <w:rPr>
          <w:b/>
          <w:lang w:val="en_US" w:bidi="en_US"/>
        </w:rPr>
        <w:t>What father among you, if his son asks for a fish, will give him a snake instead?</w:t>
      </w:r>
    </w:p>
    <w:p>
      <w:pPr>
        <w:pStyle w:val="ListBullet"/>
        <w:spacing w:line="240" w:lineRule="auto"/>
        <w:ind w:left="720"/>
      </w:pPr>
      <w:r>
        <w:rPr>
          <w:lang w:val="en_US" w:bidi="en_US"/>
        </w:rPr>
      </w:r>
      <w:r>
        <w:rPr>
          <w:lang w:val="en_US" w:bidi="en_US"/>
        </w:rPr>
        <w:t>¶ “Would any of you</w:t>
      </w:r>
      <w:r>
        <w:rPr>
          <w:vertAlign w:val="superscript"/>
          <w:lang w:val="en_US" w:bidi="en_US"/>
        </w:rPr>
        <w:t>(plur)</w:t>
      </w:r>
      <w:r>
        <w:rPr>
          <w:lang w:val="en_US" w:bidi="en_US"/>
        </w:rPr>
        <w:t xml:space="preserve"> fathers/men give your son a snake if he asked you for a fish </w:t>
      </w:r>
      <w:r>
        <w:rPr>
          <w:lang w:val="en_US" w:bidi="en_US"/>
        </w:rPr>
        <w:t>to eat</w:t>
      </w:r>
      <w:r>
        <w:rPr>
          <w:lang w:val="en_US" w:bidi="en_US"/>
        </w:rPr>
        <w:t xml:space="preserve">? </w:t>
      </w:r>
      <w:r>
        <w:rPr>
          <w:lang w:val="en_US" w:bidi="en_US"/>
        </w:rPr>
        <w:t>Of course not!</w:t>
      </w:r>
    </w:p>
    <w:p>
      <w:pPr>
        <w:pStyle w:val="ListBullet"/>
        <w:spacing w:line="240" w:lineRule="auto"/>
        <w:ind w:left="720"/>
      </w:pPr>
      <w:r>
        <w:rPr>
          <w:lang w:val="en_US" w:bidi="en_US"/>
        </w:rPr>
      </w:r>
      <w:r>
        <w:rPr>
          <w:lang w:val="en_US" w:bidi="en_US"/>
        </w:rPr>
        <w:t>¶ “Suppose one of your</w:t>
      </w:r>
      <w:r>
        <w:rPr>
          <w:vertAlign w:val="superscript"/>
          <w:lang w:val="en_US" w:bidi="en_US"/>
        </w:rPr>
        <w:t>(plur)</w:t>
      </w:r>
      <w:r>
        <w:rPr>
          <w:lang w:val="en_US" w:bidi="en_US"/>
        </w:rPr>
        <w:t xml:space="preserve"> sons asks you for a fish </w:t>
      </w:r>
      <w:r>
        <w:rPr>
          <w:lang w:val="en_US" w:bidi="en_US"/>
        </w:rPr>
        <w:t>to eat</w:t>
      </w:r>
      <w:r>
        <w:rPr>
          <w:lang w:val="en_US" w:bidi="en_US"/>
        </w:rPr>
        <w:t>. Which of you</w:t>
      </w:r>
      <w:r>
        <w:rPr>
          <w:vertAlign w:val="superscript"/>
          <w:lang w:val="en_US" w:bidi="en_US"/>
        </w:rPr>
        <w:t>(plur)</w:t>
      </w:r>
      <w:r>
        <w:rPr>
          <w:lang w:val="en_US" w:bidi="en_US"/>
        </w:rPr>
        <w:t xml:space="preserve"> fathers would give him a snake instead </w:t>
      </w:r>
      <w:r>
        <w:rPr>
          <w:lang w:val="en_US" w:bidi="en_US"/>
        </w:rPr>
        <w:t>of a fish</w:t>
      </w:r>
      <w:r>
        <w:rPr>
          <w:lang w:val="en_US" w:bidi="en_US"/>
        </w:rPr>
        <w:t xml:space="preserve">? </w:t>
      </w:r>
      <w:r>
        <w:rPr>
          <w:lang w:val="en_US" w:bidi="en_US"/>
        </w:rPr>
        <w:t>No one!</w:t>
      </w:r>
    </w:p>
    <w:p>
      <w:pPr>
        <w:pStyle w:val="ListBullet"/>
        <w:spacing w:line="240" w:lineRule="auto"/>
        <w:ind w:left="720"/>
      </w:pPr>
      <w:r>
        <w:rPr>
          <w:lang w:val="en_US" w:bidi="en_US"/>
        </w:rPr>
      </w:r>
      <w:r>
        <w:rPr>
          <w:lang w:val="en_US" w:bidi="en_US"/>
        </w:rPr>
        <w:t>¶ “</w:t>
      </w:r>
      <w:r>
        <w:rPr>
          <w:lang w:val="en_US" w:bidi="en_US"/>
        </w:rPr>
        <w:t>Certainly</w:t>
      </w:r>
      <w:r>
        <w:rPr>
          <w:lang w:val="en_US" w:bidi="en_US"/>
        </w:rPr>
        <w:t xml:space="preserve"> none of you</w:t>
      </w:r>
      <w:r>
        <w:rPr>
          <w:vertAlign w:val="superscript"/>
          <w:lang w:val="en_US" w:bidi="en_US"/>
        </w:rPr>
        <w:t>(plur)</w:t>
      </w:r>
      <w:r>
        <w:rPr>
          <w:lang w:val="en_US" w:bidi="en_US"/>
        </w:rPr>
        <w:t xml:space="preserve"> men would give your </w:t>
      </w:r>
      <w:r>
        <w:rPr>
          <w:lang w:val="en_US" w:bidi="en_US"/>
        </w:rPr>
        <w:t>hungry</w:t>
      </w:r>
      <w:r>
        <w:rPr>
          <w:lang w:val="en_US" w:bidi="en_US"/>
        </w:rPr>
        <w:t xml:space="preserve"> son a </w:t>
      </w:r>
      <w:r>
        <w:rPr>
          <w:lang w:val="en_US" w:bidi="en_US"/>
        </w:rPr>
        <w:t>poisonous</w:t>
      </w:r>
      <w:r>
        <w:rPr>
          <w:lang w:val="en_US" w:bidi="en_US"/>
        </w:rPr>
        <w:t xml:space="preserve"> snake when he asked you for a fish!</w:t>
      </w:r>
    </w:p>
    <w:p>
      <w:pPr/>
      <w:r>
        <w:rPr>
          <w:lang w:val="en_US" w:bidi="en_US"/>
        </w:rPr>
      </w:r>
      <w:r>
        <w:rPr>
          <w:b/>
          <w:lang w:val="en_US" w:bidi="en_US"/>
        </w:rPr>
        <w:t>What father among you, if his son asks for a fish, will give him a snake instead?:</w:t>
      </w:r>
      <w:r>
        <w:rPr>
          <w:lang w:val="en_US" w:bidi="en_US"/>
        </w:rPr>
        <w:t xml:space="preserve"> </w:t>
      </w:r>
      <w:r>
        <w:rPr>
          <w:lang w:val="en_US" w:bidi="en_US"/>
        </w:rPr>
        <w:t xml:space="preserve">There is a textual issue here. (1) The earliest Greek manuscripts have “if his son will ask for a fish, instead of a fish, will he give to him a snake?” Most English versions follow this option. (2) Many other Greek manuscripts have “if his son will ask for bread, instead of bread, will he give him a stone, or if he ask for a fish, instead of a fish, will he give to him a snake?” The KJV follows this option. It is recommended that you follow option (1). However, there is strong support for both options. If a major language version in your area follows option (2), you may follow that option. Whichever option you choose, you may want to give the other option in a footnote. For more information, see Swanson, p. 204; Greek NT UBS 4 </w:t>
      </w:r>
      <w:r>
        <w:rPr>
          <w:vertAlign w:val="superscript"/>
          <w:lang w:val="en_US" w:bidi="en_US"/>
        </w:rPr>
        <w:t>th</w:t>
      </w:r>
      <w:r>
        <w:rPr>
          <w:lang w:val="en_US" w:bidi="en_US"/>
        </w:rPr>
        <w:t xml:space="preserve"> ed., p. 249; Metzger, p. 157; TRT, pp. 229–30; and Blight 2007a, p. 499.</w:t>
      </w:r>
      <w:r>
        <w:rPr>
          <w:lang w:val="en_US" w:bidi="en_US"/>
        </w:rPr>
        <w:t xml:space="preserve"> This is a rhetorical question. It expects the answer “None.” Jesus used this rhetorical question to emphasize that no father would give evil gifts to his children. Some ways to translate this sentence and emphasize it are:</w:t>
      </w:r>
    </w:p>
    <w:p>
      <w:pPr>
        <w:pStyle w:val="ListBullet"/>
        <w:spacing w:line="240" w:lineRule="auto"/>
        <w:ind w:left="720"/>
      </w:pPr>
      <w:r>
        <w:rPr>
          <w:lang w:val="en_US" w:bidi="en_US"/>
        </w:rPr>
      </w:r>
      <w:r>
        <w:rPr>
          <w:lang w:val="en_US" w:bidi="en_US"/>
        </w:rPr>
        <w:t>As a rhetorical question. For example:</w:t>
      </w:r>
      <w:r>
        <w:rPr>
          <w:lang w:val="en_US" w:bidi="en_US"/>
        </w:rPr>
        <w:t xml:space="preserve">Which of you fathers, if your son asks for a fish, will give him a snake instead? </w:t>
      </w:r>
      <w:r>
        <w:rPr>
          <w:lang w:val="en_US" w:bidi="en_US"/>
        </w:rPr>
        <w:t>None!</w:t>
      </w:r>
      <w:r>
        <w:rPr>
          <w:lang w:val="en_US" w:bidi="en_US"/>
        </w:rPr>
        <w:t>You fathers—if your children ask for a fish, do you give them a snake instead? (NLT)</w:t>
      </w:r>
    </w:p>
    <w:p>
      <w:pPr>
        <w:pStyle w:val="ListBullet"/>
        <w:spacing w:line="240" w:lineRule="auto"/>
        <w:ind w:left="720"/>
      </w:pPr>
      <w:r>
        <w:rPr>
          <w:lang w:val="en_US" w:bidi="en_US"/>
        </w:rPr>
      </w:r>
      <w:r>
        <w:rPr>
          <w:lang w:val="en_US" w:bidi="en_US"/>
        </w:rPr>
        <w:t>As a statement. Be sure that the statement indicates emphasis. For example:</w:t>
      </w:r>
      <w:r>
        <w:rPr>
          <w:lang w:val="en_US" w:bidi="en_US"/>
        </w:rPr>
        <w:t xml:space="preserve">There is </w:t>
      </w:r>
      <w:r>
        <w:rPr>
          <w:u w:val="single"/>
          <w:lang w:val="en_US" w:bidi="en_US"/>
        </w:rPr>
        <w:t>certainly</w:t>
      </w:r>
      <w:r>
        <w:rPr>
          <w:lang w:val="en_US" w:bidi="en_US"/>
        </w:rPr>
        <w:t xml:space="preserve"> no father among you who would give his son a snake when he asked for a fish!</w:t>
      </w:r>
    </w:p>
    <w:p>
      <w:pPr/>
      <w:r>
        <w:rPr>
          <w:lang w:val="en_US" w:bidi="en_US"/>
        </w:rPr>
      </w:r>
      <w:r>
        <w:rPr>
          <w:lang w:val="en_US" w:bidi="en_US"/>
        </w:rPr>
        <w:t>Translate this emphasis in a way that is most natural in your language.</w:t>
      </w:r>
    </w:p>
    <w:p>
      <w:pPr/>
      <w:r>
        <w:rPr>
          <w:lang w:val="en_US" w:bidi="en_US"/>
        </w:rPr>
      </w:r>
      <w:r>
        <w:rPr>
          <w:b/>
          <w:lang w:val="en_US" w:bidi="en_US"/>
        </w:rPr>
        <w:t>if his son asks for a fish:</w:t>
      </w:r>
      <w:r>
        <w:rPr>
          <w:lang w:val="en_US" w:bidi="en_US"/>
        </w:rPr>
        <w:t xml:space="preserve"> At that time, people in Israel ate a lot of fish. Here it is implied that the son was asking for a fish because he was hungry. If people do not eat fish in your culture, you may need to:</w:t>
      </w:r>
    </w:p>
    <w:p>
      <w:pPr>
        <w:pStyle w:val="ListBullet"/>
        <w:spacing w:line="240" w:lineRule="auto"/>
        <w:ind w:left="720"/>
      </w:pPr>
      <w:r>
        <w:rPr>
          <w:lang w:val="en_US" w:bidi="en_US"/>
        </w:rPr>
      </w:r>
      <w:r>
        <w:rPr>
          <w:lang w:val="en_US" w:bidi="en_US"/>
        </w:rPr>
        <w:t>Use a word for “meat.”</w:t>
      </w:r>
    </w:p>
    <w:p>
      <w:pPr>
        <w:pStyle w:val="ListBullet"/>
        <w:spacing w:line="240" w:lineRule="auto"/>
        <w:ind w:left="720"/>
      </w:pPr>
      <w:r>
        <w:rPr>
          <w:lang w:val="en_US" w:bidi="en_US"/>
        </w:rPr>
      </w:r>
      <w:r>
        <w:rPr>
          <w:lang w:val="en_US" w:bidi="en_US"/>
        </w:rPr>
        <w:t>Substitute the name of another common food that is good for children to eat.</w:t>
      </w:r>
    </w:p>
    <w:p>
      <w:pPr/>
      <w:r>
        <w:rPr>
          <w:lang w:val="en_US" w:bidi="en_US"/>
        </w:rPr>
      </w:r>
      <w:r>
        <w:rPr>
          <w:lang w:val="en_US" w:bidi="en_US"/>
        </w:rPr>
        <w:t>If you do use a cultural substitute, it is suggested that you include a footnote saying:</w:t>
      </w:r>
    </w:p>
    <w:p>
      <w:pPr/>
      <w:r>
        <w:rPr>
          <w:lang w:val="en_US" w:bidi="en_US"/>
        </w:rPr>
      </w:r>
      <w:r>
        <w:rPr>
          <w:lang w:val="en_US" w:bidi="en_US"/>
        </w:rPr>
        <w:t>Jesus actually said “a fish.” People in Israel regularly ate fish.</w:t>
      </w:r>
    </w:p>
    <w:p>
      <w:pPr/>
      <w:r>
        <w:rPr>
          <w:lang w:val="en_US" w:bidi="en_US"/>
        </w:rPr>
      </w:r>
      <w:r>
        <w:rPr>
          <w:b/>
          <w:lang w:val="en_US" w:bidi="en_US"/>
        </w:rPr>
        <w:t>will give him a snake instead?:</w:t>
      </w:r>
      <w:r>
        <w:rPr>
          <w:lang w:val="en_US" w:bidi="en_US"/>
        </w:rPr>
        <w:t xml:space="preserve"> In comparison to a fish, which was harmless and good to eat, a snake was dangerous and not good to eat. No father would give his son a dangerous snake to eat.</w:t>
      </w:r>
    </w:p>
    <w:p>
      <w:pPr/>
      <w:r>
        <w:rPr>
          <w:lang w:val="en_US" w:bidi="en_US"/>
        </w:rPr>
      </w:r>
      <w:r>
        <w:rPr>
          <w:lang w:val="en_US" w:bidi="en_US"/>
        </w:rPr>
        <w:t>If snakes are generally considered good to eat in your culture, you should:</w:t>
      </w:r>
    </w:p>
    <w:p>
      <w:pPr>
        <w:pStyle w:val="ListBullet"/>
        <w:spacing w:line="240" w:lineRule="auto"/>
        <w:ind w:left="720"/>
      </w:pPr>
      <w:r>
        <w:rPr>
          <w:lang w:val="en_US" w:bidi="en_US"/>
        </w:rPr>
      </w:r>
      <w:r>
        <w:rPr>
          <w:lang w:val="en_US" w:bidi="en_US"/>
        </w:rPr>
        <w:t>Use the name of a specific type of snake that people do not eat. For example:</w:t>
      </w:r>
      <w:r>
        <w:rPr>
          <w:lang w:val="en_US" w:bidi="en_US"/>
        </w:rPr>
        <w:t>viper</w:t>
      </w:r>
      <w:r>
        <w:rPr>
          <w:lang w:val="en_US" w:bidi="en_US"/>
        </w:rPr>
        <w:t>cobra</w:t>
      </w:r>
      <w:r>
        <w:rPr>
          <w:lang w:val="en_US" w:bidi="en_US"/>
        </w:rPr>
        <w:t>poisonous snake</w:t>
      </w:r>
    </w:p>
    <w:p>
      <w:pPr>
        <w:pStyle w:val="ListBullet"/>
        <w:spacing w:line="240" w:lineRule="auto"/>
        <w:ind w:left="720"/>
      </w:pPr>
      <w:r>
        <w:rPr>
          <w:lang w:val="en_US" w:bidi="en_US"/>
        </w:rPr>
      </w:r>
      <w:r>
        <w:rPr>
          <w:lang w:val="en_US" w:bidi="en_US"/>
        </w:rPr>
        <w:t>Use another type of snake-like creature that people do not eat. For example:</w:t>
      </w:r>
      <w:r>
        <w:rPr>
          <w:lang w:val="en_US" w:bidi="en_US"/>
        </w:rPr>
        <w:t>lizard</w:t>
      </w:r>
      <w:r>
        <w:rPr>
          <w:lang w:val="en_US" w:bidi="en_US"/>
        </w:rPr>
        <w:t>worm</w:t>
      </w:r>
    </w:p>
    <w:p>
      <w:pPr/>
      <w:r>
        <w:rPr>
          <w:lang w:val="en_US" w:bidi="en_US"/>
        </w:rPr>
      </w:r>
      <w:r>
        <w:rPr>
          <w:lang w:val="en_US" w:bidi="en_US"/>
        </w:rPr>
        <w:t>Translate this in a way that is natural in your language.</w:t>
      </w:r>
      <w:r>
        <w:rPr>
          <w:lang w:val="en_US" w:bidi="en_US"/>
        </w:rPr>
      </w:r>
      <w:r>
        <w:rPr>
          <w:lang w:val="en_US" w:bidi="en_US"/>
        </w:rPr>
      </w:r>
    </w:p>
    <w:p>
      <w:pPr/>
      <w:r>
        <w:rPr>
          <w:lang w:val="en_US" w:bidi="en_US"/>
        </w:rPr>
      </w:r>
    </w:p>
    <w:p>
      <w:pPr>
        <w:pStyle w:val="Heading2"/>
      </w:pPr>
      <w:r>
        <w:rPr>
          <w:lang w:val="en_US" w:bidi="en_US"/>
        </w:rPr>
        <w:t>Luke 11:12</w:t>
      </w:r>
      <w:r>
        <w:rPr>
          <w:lang w:val="en_US" w:bidi="en_US"/>
        </w:rPr>
      </w:r>
    </w:p>
    <w:p>
      <w:pPr>
        <w:pStyle w:val="Heading4"/>
      </w:pPr>
      <w:r>
        <w:rPr>
          <w:lang w:val="en_US" w:bidi="en_US"/>
        </w:rPr>
        <w:t>Section 11:1–13: Jesus taught his disciples about prayer</w:t>
      </w:r>
    </w:p>
    <w:p>
      <w:pPr/>
      <w:r>
        <w:rPr>
          <w:lang w:val="en_US" w:bidi="en_US"/>
        </w:rPr>
      </w:r>
      <w:r>
        <w:rPr>
          <w:lang w:val="en_US" w:bidi="en_US"/>
        </w:rPr>
        <w:t>There are four paragraphs in this section. In each paragraph, Jesus taught his disciples something about prayer.</w:t>
      </w:r>
    </w:p>
    <w:p>
      <w:pPr/>
      <w:r>
        <w:rPr>
          <w:lang w:val="en_US" w:bidi="en_US"/>
        </w:rPr>
      </w:r>
      <w:r>
        <w:rPr>
          <w:lang w:val="en_US" w:bidi="en_US"/>
        </w:rPr>
        <w:t>Some other headings for this section are:</w:t>
      </w:r>
    </w:p>
    <w:p>
      <w:pPr/>
      <w:r>
        <w:rPr>
          <w:lang w:val="en_US" w:bidi="en_US"/>
        </w:rPr>
      </w:r>
      <w:r>
        <w:rPr>
          <w:lang w:val="en_US" w:bidi="en_US"/>
        </w:rPr>
        <w:t>Jesus’ Teaching on Prayer (NIV)</w:t>
      </w:r>
    </w:p>
    <w:p>
      <w:pPr/>
      <w:r>
        <w:rPr>
          <w:lang w:val="en_US" w:bidi="en_US"/>
        </w:rPr>
      </w:r>
      <w:r>
        <w:rPr>
          <w:lang w:val="en_US" w:bidi="en_US"/>
        </w:rPr>
        <w:t>Jesus Teaches About Prayer (NCV)</w:t>
      </w:r>
    </w:p>
    <w:p>
      <w:pPr/>
      <w:r>
        <w:rPr>
          <w:lang w:val="en_US" w:bidi="en_US"/>
        </w:rPr>
      </w:r>
      <w:r>
        <w:rPr>
          <w:lang w:val="en_US" w:bidi="en_US"/>
        </w:rPr>
        <w:t>There are parallel passages for this section in Matthew 6:9–13 and 7:7–11.</w:t>
      </w:r>
    </w:p>
    <w:p>
      <w:pPr>
        <w:pStyle w:val="Heading4"/>
      </w:pPr>
      <w:r>
        <w:rPr>
          <w:lang w:val="en_US" w:bidi="en_US"/>
        </w:rPr>
        <w:t>Paragraph 11:11–13</w:t>
      </w:r>
    </w:p>
    <w:p>
      <w:pPr/>
      <w:r>
        <w:rPr>
          <w:lang w:val="en_US" w:bidi="en_US"/>
        </w:rPr>
      </w:r>
      <w:r>
        <w:rPr>
          <w:lang w:val="en_US" w:bidi="en_US"/>
        </w:rPr>
        <w:t>In the preceding paragraph Jesus encouraged his disciples to ask God for things. He assured them that God would answer their requests. In this paragraph 11:11–13 Jesus illustrated the truth of what he had just said by giving two examples. Both examples showed that a human father would never give his son something harmful if the son asked for something good to eat. He then concluded by stating that God gives the Holy Spirit to those who ask him. See the note on 11:13 for more information about this conclusion.</w:t>
      </w:r>
    </w:p>
    <w:p>
      <w:pPr>
        <w:pStyle w:val="Heading5"/>
      </w:pPr>
      <w:r>
        <w:rPr>
          <w:lang w:val="en_US" w:bidi="en_US"/>
        </w:rPr>
        <w:t>11:12</w:t>
      </w:r>
    </w:p>
    <w:p>
      <w:pPr/>
      <w:r>
        <w:rPr>
          <w:lang w:val="en_US" w:bidi="en_US"/>
        </w:rPr>
      </w:r>
      <w:r>
        <w:rPr>
          <w:b/>
          <w:lang w:val="en_US" w:bidi="en_US"/>
        </w:rPr>
        <w:t>Or if he asks for an egg, will give him a scorpion?</w:t>
      </w:r>
    </w:p>
    <w:p>
      <w:pPr>
        <w:pStyle w:val="ListBullet"/>
        <w:spacing w:line="240" w:lineRule="auto"/>
        <w:ind w:left="720"/>
      </w:pPr>
      <w:r>
        <w:rPr>
          <w:lang w:val="en_US" w:bidi="en_US"/>
        </w:rPr>
      </w:r>
      <w:r>
        <w:rPr>
          <w:lang w:val="en_US" w:bidi="en_US"/>
        </w:rPr>
        <w:t xml:space="preserve">Or, if he asked you for an egg </w:t>
      </w:r>
      <w:r>
        <w:rPr>
          <w:lang w:val="en_US" w:bidi="en_US"/>
        </w:rPr>
        <w:t>to eat</w:t>
      </w:r>
      <w:r>
        <w:rPr>
          <w:lang w:val="en_US" w:bidi="en_US"/>
        </w:rPr>
        <w:t>, would you give him a scorpion?</w:t>
      </w:r>
    </w:p>
    <w:p>
      <w:pPr>
        <w:pStyle w:val="ListBullet"/>
        <w:spacing w:line="240" w:lineRule="auto"/>
        <w:ind w:left="720"/>
      </w:pPr>
      <w:r>
        <w:rPr>
          <w:lang w:val="en_US" w:bidi="en_US"/>
        </w:rPr>
      </w:r>
      <w:r>
        <w:rPr>
          <w:lang w:val="en_US" w:bidi="en_US"/>
        </w:rPr>
        <w:t xml:space="preserve">Suppose </w:t>
      </w:r>
      <w:r>
        <w:rPr>
          <w:lang w:val="en_US" w:bidi="en_US"/>
        </w:rPr>
        <w:t>also</w:t>
      </w:r>
      <w:r>
        <w:rPr>
          <w:lang w:val="en_US" w:bidi="en_US"/>
        </w:rPr>
        <w:t xml:space="preserve"> that your son asks you for an egg. Will you give him a scorpion </w:t>
      </w:r>
      <w:r>
        <w:rPr>
          <w:lang w:val="en_US" w:bidi="en_US"/>
        </w:rPr>
        <w:t>instead</w:t>
      </w:r>
      <w:r>
        <w:rPr>
          <w:lang w:val="en_US" w:bidi="en_US"/>
        </w:rPr>
        <w:t xml:space="preserve">? </w:t>
      </w:r>
      <w:r>
        <w:rPr>
          <w:lang w:val="en_US" w:bidi="en_US"/>
        </w:rPr>
        <w:t>Of course not!</w:t>
      </w:r>
    </w:p>
    <w:p>
      <w:pPr>
        <w:pStyle w:val="ListBullet"/>
        <w:spacing w:line="240" w:lineRule="auto"/>
        <w:ind w:left="720"/>
      </w:pPr>
      <w:r>
        <w:rPr>
          <w:lang w:val="en_US" w:bidi="en_US"/>
        </w:rPr>
      </w:r>
      <w:r>
        <w:rPr>
          <w:lang w:val="en_US" w:bidi="en_US"/>
        </w:rPr>
        <w:t>And none of you</w:t>
      </w:r>
      <w:r>
        <w:rPr>
          <w:vertAlign w:val="superscript"/>
          <w:lang w:val="en_US" w:bidi="en_US"/>
        </w:rPr>
        <w:t>(plur)</w:t>
      </w:r>
      <w:r>
        <w:rPr>
          <w:lang w:val="en_US" w:bidi="en_US"/>
        </w:rPr>
        <w:t xml:space="preserve"> would </w:t>
      </w:r>
      <w:r>
        <w:rPr>
          <w:lang w:val="en_US" w:bidi="en_US"/>
        </w:rPr>
        <w:t>ever</w:t>
      </w:r>
      <w:r>
        <w:rPr>
          <w:lang w:val="en_US" w:bidi="en_US"/>
        </w:rPr>
        <w:t xml:space="preserve"> give him a </w:t>
      </w:r>
      <w:r>
        <w:rPr>
          <w:lang w:val="en_US" w:bidi="en_US"/>
        </w:rPr>
        <w:t>stinging</w:t>
      </w:r>
      <w:r>
        <w:rPr>
          <w:lang w:val="en_US" w:bidi="en_US"/>
        </w:rPr>
        <w:t xml:space="preserve"> centipede when he asked you for an egg </w:t>
      </w:r>
      <w:r>
        <w:rPr>
          <w:lang w:val="en_US" w:bidi="en_US"/>
        </w:rPr>
        <w:t>to eat</w:t>
      </w:r>
      <w:r>
        <w:rPr>
          <w:lang w:val="en_US" w:bidi="en_US"/>
        </w:rPr>
        <w:t>!</w:t>
      </w:r>
    </w:p>
    <w:p>
      <w:pPr/>
      <w:r>
        <w:rPr>
          <w:lang w:val="en_US" w:bidi="en_US"/>
        </w:rPr>
      </w:r>
      <w:r>
        <w:rPr>
          <w:b/>
          <w:lang w:val="en_US" w:bidi="en_US"/>
        </w:rPr>
        <w:t>Or:</w:t>
      </w:r>
      <w:r>
        <w:rPr>
          <w:lang w:val="en_US" w:bidi="en_US"/>
        </w:rPr>
        <w:t xml:space="preserve"> The Greek conjunction that the BSB translates as </w:t>
      </w:r>
      <w:r>
        <w:rPr>
          <w:i/>
          <w:lang w:val="en_US" w:bidi="en_US"/>
        </w:rPr>
        <w:t>Or</w:t>
      </w:r>
      <w:r>
        <w:rPr>
          <w:lang w:val="en_US" w:bidi="en_US"/>
        </w:rPr>
        <w:t xml:space="preserve"> introduces another example that is similar in structure and meaning to the question in 11:11. In some languages, an alternate example like this may need to be introduced in another way. A specific connecting word like “or” may not be needed. For example:</w:t>
      </w:r>
    </w:p>
    <w:p>
      <w:pPr/>
      <w:r>
        <w:rPr>
          <w:lang w:val="en_US" w:bidi="en_US"/>
        </w:rPr>
      </w:r>
      <w:r>
        <w:rPr>
          <w:lang w:val="en_US" w:bidi="en_US"/>
        </w:rPr>
        <w:t>Which one of you would give your child a scorpion if the child asked for an egg? (CEV)</w:t>
      </w:r>
    </w:p>
    <w:p>
      <w:pPr/>
      <w:r>
        <w:rPr>
          <w:lang w:val="en_US" w:bidi="en_US"/>
        </w:rPr>
      </w:r>
      <w:r>
        <w:rPr>
          <w:lang w:val="en_US" w:bidi="en_US"/>
        </w:rPr>
        <w:t>If/Suppose also that he asks you for an egg, will you give him a scorpion?</w:t>
      </w:r>
    </w:p>
    <w:p>
      <w:pPr/>
      <w:r>
        <w:rPr>
          <w:lang w:val="en_US" w:bidi="en_US"/>
        </w:rPr>
      </w:r>
      <w:r>
        <w:rPr>
          <w:b/>
          <w:lang w:val="en_US" w:bidi="en_US"/>
        </w:rPr>
        <w:t>if he asks for an egg, will give him a scorpion?:</w:t>
      </w:r>
      <w:r>
        <w:rPr>
          <w:lang w:val="en_US" w:bidi="en_US"/>
        </w:rPr>
        <w:t xml:space="preserve"> This is also a rhetorical question. It also expects a negative answer. Jesus used this rhetorical question to emphasize that no father would ever give his son a scorpion instead of an egg. Jesus was stating that no father would deliberately give his son something that is harmful to him.</w:t>
      </w:r>
    </w:p>
    <w:p>
      <w:pPr/>
      <w:r>
        <w:rPr>
          <w:lang w:val="en_US" w:bidi="en_US"/>
        </w:rPr>
      </w:r>
      <w:r>
        <w:rPr>
          <w:lang w:val="en_US" w:bidi="en_US"/>
        </w:rPr>
        <w:t>Some ways to translate this sentence and emphasize it are:</w:t>
      </w:r>
    </w:p>
    <w:p>
      <w:pPr>
        <w:pStyle w:val="ListBullet"/>
        <w:spacing w:line="240" w:lineRule="auto"/>
        <w:ind w:left="720"/>
      </w:pPr>
      <w:r>
        <w:rPr>
          <w:lang w:val="en_US" w:bidi="en_US"/>
        </w:rPr>
      </w:r>
      <w:r>
        <w:rPr>
          <w:lang w:val="en_US" w:bidi="en_US"/>
        </w:rPr>
        <w:t>As a rhetorical question. For example:</w:t>
      </w:r>
      <w:r>
        <w:rPr>
          <w:lang w:val="en_US" w:bidi="en_US"/>
        </w:rPr>
        <w:t>Or if your son asks for an egg, will you give him a scorpion?</w:t>
      </w:r>
      <w:r>
        <w:rPr>
          <w:lang w:val="en_US" w:bidi="en_US"/>
        </w:rPr>
        <w:t>Or if they ask for an egg, do you give them a scorpion? Of course not! (NLT)</w:t>
      </w:r>
    </w:p>
    <w:p>
      <w:pPr>
        <w:pStyle w:val="ListBullet"/>
        <w:spacing w:line="240" w:lineRule="auto"/>
        <w:ind w:left="720"/>
      </w:pPr>
      <w:r>
        <w:rPr>
          <w:lang w:val="en_US" w:bidi="en_US"/>
        </w:rPr>
      </w:r>
      <w:r>
        <w:rPr>
          <w:lang w:val="en_US" w:bidi="en_US"/>
        </w:rPr>
        <w:t>As a statement. For example:</w:t>
      </w:r>
      <w:r>
        <w:rPr>
          <w:lang w:val="en_US" w:bidi="en_US"/>
        </w:rPr>
        <w:t>If your son asks for an egg, you will certainly not give him a scorpion!</w:t>
      </w:r>
    </w:p>
    <w:p>
      <w:pPr/>
      <w:r>
        <w:rPr>
          <w:lang w:val="en_US" w:bidi="en_US"/>
        </w:rPr>
      </w:r>
      <w:r>
        <w:rPr>
          <w:lang w:val="en_US" w:bidi="en_US"/>
        </w:rPr>
        <w:t>Translate this emphasis in a way that is most natural in your language.</w:t>
      </w:r>
    </w:p>
    <w:p>
      <w:pPr/>
      <w:r>
        <w:rPr>
          <w:lang w:val="en_US" w:bidi="en_US"/>
        </w:rPr>
      </w:r>
      <w:r>
        <w:rPr>
          <w:b/>
          <w:lang w:val="en_US" w:bidi="en_US"/>
        </w:rPr>
        <w:t>an egg:</w:t>
      </w:r>
      <w:r>
        <w:rPr>
          <w:lang w:val="en_US" w:bidi="en_US"/>
        </w:rPr>
        <w:t xml:space="preserve"> An </w:t>
      </w:r>
      <w:r>
        <w:rPr>
          <w:i/>
          <w:lang w:val="en_US" w:bidi="en_US"/>
        </w:rPr>
        <w:t>egg</w:t>
      </w:r>
      <w:r>
        <w:rPr>
          <w:lang w:val="en_US" w:bidi="en_US"/>
        </w:rPr>
        <w:t xml:space="preserve"> here refers to a chicken’s egg. An </w:t>
      </w:r>
      <w:r>
        <w:rPr>
          <w:i/>
          <w:lang w:val="en_US" w:bidi="en_US"/>
        </w:rPr>
        <w:t>egg</w:t>
      </w:r>
      <w:r>
        <w:rPr>
          <w:lang w:val="en_US" w:bidi="en_US"/>
        </w:rPr>
        <w:t xml:space="preserve"> was another food suitable for children. In some languages it may be helpful to make explicit that the son wanted an egg in order to eat it. For example:</w:t>
      </w:r>
    </w:p>
    <w:p>
      <w:pPr/>
      <w:r>
        <w:rPr>
          <w:lang w:val="en_US" w:bidi="en_US"/>
        </w:rPr>
      </w:r>
      <w:r>
        <w:rPr>
          <w:lang w:val="en_US" w:bidi="en_US"/>
        </w:rPr>
        <w:t xml:space="preserve">if he asks for an egg </w:t>
      </w:r>
      <w:r>
        <w:rPr>
          <w:lang w:val="en_US" w:bidi="en_US"/>
        </w:rPr>
        <w:t>to eat</w:t>
      </w:r>
    </w:p>
    <w:p>
      <w:pPr/>
      <w:r>
        <w:rPr>
          <w:lang w:val="en_US" w:bidi="en_US"/>
        </w:rPr>
      </w:r>
      <w:r>
        <w:rPr>
          <w:lang w:val="en_US" w:bidi="en_US"/>
        </w:rPr>
        <w:t>If people in your area do not eat eggs, you can substitute some other type of food. If you do use a cultural substitute, you should include a footnote saying:</w:t>
      </w:r>
    </w:p>
    <w:p>
      <w:pPr/>
      <w:r>
        <w:rPr>
          <w:lang w:val="en_US" w:bidi="en_US"/>
        </w:rPr>
      </w:r>
      <w:r>
        <w:rPr>
          <w:lang w:val="en_US" w:bidi="en_US"/>
        </w:rPr>
        <w:t xml:space="preserve">Jesus actually said </w:t>
      </w:r>
      <w:r>
        <w:rPr>
          <w:lang w:val="en_US" w:bidi="en_US"/>
        </w:rPr>
        <w:t>a chicken</w:t>
      </w:r>
      <w:r>
        <w:rPr>
          <w:lang w:val="en_US" w:bidi="en_US"/>
        </w:rPr>
        <w:t xml:space="preserve"> </w:t>
      </w:r>
      <w:r>
        <w:rPr>
          <w:i/>
          <w:lang w:val="en_US" w:bidi="en_US"/>
        </w:rPr>
        <w:t>egg</w:t>
      </w:r>
      <w:r>
        <w:rPr>
          <w:lang w:val="en_US" w:bidi="en_US"/>
        </w:rPr>
        <w:t>. People in Israel regularly ate eggs.</w:t>
      </w:r>
    </w:p>
    <w:p>
      <w:pPr/>
      <w:r>
        <w:rPr>
          <w:lang w:val="en_US" w:bidi="en_US"/>
        </w:rPr>
      </w:r>
      <w:r>
        <w:rPr>
          <w:b/>
          <w:lang w:val="en_US" w:bidi="en_US"/>
        </w:rPr>
        <w:t>a scorpion:</w:t>
      </w:r>
      <w:r>
        <w:rPr>
          <w:lang w:val="en_US" w:bidi="en_US"/>
        </w:rPr>
        <w:t xml:space="preserve"> A </w:t>
      </w:r>
      <w:r>
        <w:rPr>
          <w:i/>
          <w:lang w:val="en_US" w:bidi="en_US"/>
        </w:rPr>
        <w:t>scorpion</w:t>
      </w:r>
      <w:r>
        <w:rPr>
          <w:lang w:val="en_US" w:bidi="en_US"/>
        </w:rPr>
        <w:t xml:space="preserve"> is a small creature, ranging from 1.3 to 20 centimeters long (½ inch to 8 inches long). It has eight legs and a poisonous stinger in its tail. No one in the Jewish culture of Jesus’ time would have eaten a scorpion (it was forbidden by Jewish law). If scorpions are not known in your culture, some ways to translate the word </w:t>
      </w:r>
      <w:r>
        <w:rPr>
          <w:i/>
          <w:lang w:val="en_US" w:bidi="en_US"/>
        </w:rPr>
        <w:t>scorpion</w:t>
      </w:r>
      <w:r>
        <w:rPr>
          <w:lang w:val="en_US" w:bidi="en_US"/>
        </w:rPr>
        <w:t xml:space="preserve"> are:</w:t>
      </w:r>
    </w:p>
    <w:p>
      <w:pPr>
        <w:pStyle w:val="ListBullet"/>
        <w:spacing w:line="240" w:lineRule="auto"/>
        <w:ind w:left="720"/>
      </w:pPr>
      <w:r>
        <w:rPr>
          <w:lang w:val="en_US" w:bidi="en_US"/>
        </w:rPr>
      </w:r>
      <w:r>
        <w:rPr>
          <w:lang w:val="en_US" w:bidi="en_US"/>
        </w:rPr>
        <w:t>Use a general descriptive phrase. For example:</w:t>
      </w:r>
      <w:r>
        <w:rPr>
          <w:lang w:val="en_US" w:bidi="en_US"/>
        </w:rPr>
        <w:t>dangerous stinging things</w:t>
      </w:r>
    </w:p>
    <w:p>
      <w:pPr>
        <w:pStyle w:val="ListBullet"/>
        <w:spacing w:line="240" w:lineRule="auto"/>
        <w:ind w:left="720"/>
      </w:pPr>
      <w:r>
        <w:rPr>
          <w:lang w:val="en_US" w:bidi="en_US"/>
        </w:rPr>
      </w:r>
      <w:r>
        <w:rPr>
          <w:lang w:val="en_US" w:bidi="en_US"/>
        </w:rPr>
        <w:t>Use something in your culture that is similar to scorpions. For example:</w:t>
      </w:r>
      <w:r>
        <w:rPr>
          <w:lang w:val="en_US" w:bidi="en_US"/>
        </w:rPr>
        <w:t>centipedes</w:t>
      </w:r>
    </w:p>
    <w:p>
      <w:pPr/>
      <w:r>
        <w:rPr>
          <w:lang w:val="en_US" w:bidi="en_US"/>
        </w:rPr>
      </w:r>
      <w:r>
        <w:rPr>
          <w:lang w:val="en_US" w:bidi="en_US"/>
        </w:rPr>
        <w:t>You may want to include a picture of a scorpion in your translation.</w:t>
      </w:r>
      <w:r>
        <w:rPr>
          <w:lang w:val="en_US" w:bidi="en_US"/>
        </w:rPr>
      </w:r>
      <w:r>
        <w:rPr>
          <w:lang w:val="en_US" w:bidi="en_US"/>
        </w:rPr>
      </w:r>
    </w:p>
    <w:p>
      <w:pPr/>
      <w:r>
        <w:rPr>
          <w:lang w:val="en_US" w:bidi="en_US"/>
        </w:rPr>
      </w:r>
    </w:p>
    <w:p>
      <w:pPr>
        <w:pStyle w:val="Heading2"/>
      </w:pPr>
      <w:r>
        <w:rPr>
          <w:lang w:val="en_US" w:bidi="en_US"/>
        </w:rPr>
        <w:t>Luke 11:13</w:t>
      </w:r>
      <w:r>
        <w:rPr>
          <w:lang w:val="en_US" w:bidi="en_US"/>
        </w:rPr>
      </w:r>
    </w:p>
    <w:p>
      <w:pPr>
        <w:pStyle w:val="Heading4"/>
      </w:pPr>
      <w:r>
        <w:rPr>
          <w:lang w:val="en_US" w:bidi="en_US"/>
        </w:rPr>
        <w:t>Section 11:1–13: Jesus taught his disciples about prayer</w:t>
      </w:r>
    </w:p>
    <w:p>
      <w:pPr/>
      <w:r>
        <w:rPr>
          <w:lang w:val="en_US" w:bidi="en_US"/>
        </w:rPr>
      </w:r>
      <w:r>
        <w:rPr>
          <w:lang w:val="en_US" w:bidi="en_US"/>
        </w:rPr>
        <w:t>There are four paragraphs in this section. In each paragraph, Jesus taught his disciples something about prayer.</w:t>
      </w:r>
    </w:p>
    <w:p>
      <w:pPr/>
      <w:r>
        <w:rPr>
          <w:lang w:val="en_US" w:bidi="en_US"/>
        </w:rPr>
      </w:r>
      <w:r>
        <w:rPr>
          <w:lang w:val="en_US" w:bidi="en_US"/>
        </w:rPr>
        <w:t>Some other headings for this section are:</w:t>
      </w:r>
    </w:p>
    <w:p>
      <w:pPr/>
      <w:r>
        <w:rPr>
          <w:lang w:val="en_US" w:bidi="en_US"/>
        </w:rPr>
      </w:r>
      <w:r>
        <w:rPr>
          <w:lang w:val="en_US" w:bidi="en_US"/>
        </w:rPr>
        <w:t>Jesus’ Teaching on Prayer (NIV)</w:t>
      </w:r>
    </w:p>
    <w:p>
      <w:pPr/>
      <w:r>
        <w:rPr>
          <w:lang w:val="en_US" w:bidi="en_US"/>
        </w:rPr>
      </w:r>
      <w:r>
        <w:rPr>
          <w:lang w:val="en_US" w:bidi="en_US"/>
        </w:rPr>
        <w:t>Jesus Teaches About Prayer (NCV)</w:t>
      </w:r>
    </w:p>
    <w:p>
      <w:pPr/>
      <w:r>
        <w:rPr>
          <w:lang w:val="en_US" w:bidi="en_US"/>
        </w:rPr>
      </w:r>
      <w:r>
        <w:rPr>
          <w:lang w:val="en_US" w:bidi="en_US"/>
        </w:rPr>
        <w:t>There are parallel passages for this section in Matthew 6:9–13 and 7:7–11.</w:t>
      </w:r>
    </w:p>
    <w:p>
      <w:pPr>
        <w:pStyle w:val="Heading4"/>
      </w:pPr>
      <w:r>
        <w:rPr>
          <w:lang w:val="en_US" w:bidi="en_US"/>
        </w:rPr>
        <w:t>Paragraph 11:11–13</w:t>
      </w:r>
    </w:p>
    <w:p>
      <w:pPr/>
      <w:r>
        <w:rPr>
          <w:lang w:val="en_US" w:bidi="en_US"/>
        </w:rPr>
      </w:r>
      <w:r>
        <w:rPr>
          <w:lang w:val="en_US" w:bidi="en_US"/>
        </w:rPr>
        <w:t>In the preceding paragraph Jesus encouraged his disciples to ask God for things. He assured them that God would answer their requests. In this paragraph 11:11–13 Jesus illustrated the truth of what he had just said by giving two examples. Both examples showed that a human father would never give his son something harmful if the son asked for something good to eat. He then concluded by stating that God gives the Holy Spirit to those who ask him. See the note on 11:13 for more information about this conclusion.</w:t>
      </w:r>
    </w:p>
    <w:p>
      <w:pPr>
        <w:pStyle w:val="Heading5"/>
      </w:pPr>
      <w:r>
        <w:rPr>
          <w:lang w:val="en_US" w:bidi="en_US"/>
        </w:rPr>
        <w:t>11:13</w:t>
      </w:r>
    </w:p>
    <w:p>
      <w:pPr/>
      <w:r>
        <w:rPr>
          <w:lang w:val="en_US" w:bidi="en_US"/>
        </w:rPr>
      </w:r>
      <w:r>
        <w:rPr>
          <w:lang w:val="en_US" w:bidi="en_US"/>
        </w:rPr>
        <w:t>In the Greek, as in the BSB, this verse is one long and complicated sentence. It includes several steps in a logical argument with one main conclusion:</w:t>
      </w:r>
    </w:p>
    <w:p>
      <w:pPr>
        <w:pStyle w:val="ListNumber"/>
        <w:numPr>
          <w:ilvl w:val="0"/>
          <w:numId w:val="218"/>
        </w:numPr>
        <w:spacing w:line="240" w:lineRule="auto"/>
        <w:ind w:left="720"/>
      </w:pPr>
      <w:r>
        <w:rPr>
          <w:lang w:val="en_US" w:bidi="en_US"/>
        </w:rPr>
      </w:r>
      <w:r>
        <w:rPr>
          <w:lang w:val="en_US" w:bidi="en_US"/>
        </w:rPr>
        <w:t>People are evil.</w:t>
      </w:r>
    </w:p>
    <w:p>
      <w:pPr>
        <w:pStyle w:val="ListNumber"/>
        <w:spacing w:line="240" w:lineRule="auto"/>
        <w:ind w:left="720"/>
      </w:pPr>
      <w:r>
        <w:rPr>
          <w:lang w:val="en_US" w:bidi="en_US"/>
        </w:rPr>
      </w:r>
      <w:r>
        <w:rPr>
          <w:lang w:val="en_US" w:bidi="en_US"/>
        </w:rPr>
        <w:t>However, people know how to give good gifts to their children.</w:t>
      </w:r>
    </w:p>
    <w:p>
      <w:pPr>
        <w:pStyle w:val="ListNumber"/>
        <w:spacing w:line="240" w:lineRule="auto"/>
        <w:ind w:left="720"/>
      </w:pPr>
      <w:r>
        <w:rPr>
          <w:lang w:val="en_US" w:bidi="en_US"/>
        </w:rPr>
      </w:r>
      <w:r>
        <w:rPr>
          <w:lang w:val="en_US" w:bidi="en_US"/>
        </w:rPr>
        <w:t>(Implied) God is good.</w:t>
      </w:r>
    </w:p>
    <w:p>
      <w:pPr>
        <w:pStyle w:val="ListNumber"/>
        <w:spacing w:line="240" w:lineRule="auto"/>
        <w:ind w:left="720"/>
      </w:pPr>
      <w:r>
        <w:rPr>
          <w:lang w:val="en_US" w:bidi="en_US"/>
        </w:rPr>
      </w:r>
      <w:r>
        <w:rPr>
          <w:lang w:val="en_US" w:bidi="en_US"/>
        </w:rPr>
        <w:t>Therefore, God most certainly knows how to give good gifts to his children.</w:t>
      </w:r>
    </w:p>
    <w:p>
      <w:pPr/>
      <w:r>
        <w:rPr>
          <w:lang w:val="en_US" w:bidi="en_US"/>
        </w:rPr>
      </w:r>
      <w:r>
        <w:rPr>
          <w:lang w:val="en_US" w:bidi="en_US"/>
        </w:rPr>
        <w:t>Consider how people make this type of argument in your culture.</w:t>
      </w:r>
    </w:p>
    <w:p>
      <w:pPr>
        <w:pStyle w:val="Heading5"/>
      </w:pPr>
      <w:r>
        <w:rPr>
          <w:lang w:val="en_US" w:bidi="en_US"/>
        </w:rPr>
        <w:t>11:13a</w:t>
      </w:r>
    </w:p>
    <w:p>
      <w:pPr/>
      <w:r>
        <w:rPr>
          <w:lang w:val="en_US" w:bidi="en_US"/>
        </w:rPr>
      </w:r>
      <w:r>
        <w:rPr>
          <w:b/>
          <w:lang w:val="en_US" w:bidi="en_US"/>
        </w:rPr>
        <w:t>So if you who are evil know how to give good gifts to your children,</w:t>
      </w:r>
    </w:p>
    <w:p>
      <w:pPr>
        <w:pStyle w:val="ListBullet"/>
        <w:spacing w:line="240" w:lineRule="auto"/>
        <w:ind w:left="720"/>
      </w:pPr>
      <w:r>
        <w:rPr>
          <w:lang w:val="en_US" w:bidi="en_US"/>
        </w:rPr>
      </w:r>
      <w:r>
        <w:rPr>
          <w:lang w:val="en_US" w:bidi="en_US"/>
        </w:rPr>
        <w:t>Therefore, if/since you</w:t>
      </w:r>
      <w:r>
        <w:rPr>
          <w:vertAlign w:val="superscript"/>
          <w:lang w:val="en_US" w:bidi="en_US"/>
        </w:rPr>
        <w:t>(plur)</w:t>
      </w:r>
      <w:r>
        <w:rPr>
          <w:lang w:val="en_US" w:bidi="en_US"/>
        </w:rPr>
        <w:t xml:space="preserve"> evil/bad people know how to give good things to your children,</w:t>
      </w:r>
    </w:p>
    <w:p>
      <w:pPr>
        <w:pStyle w:val="ListBullet"/>
        <w:spacing w:line="240" w:lineRule="auto"/>
        <w:ind w:left="720"/>
      </w:pPr>
      <w:r>
        <w:rPr>
          <w:lang w:val="en_US" w:bidi="en_US"/>
        </w:rPr>
      </w:r>
      <w:r>
        <w:rPr>
          <w:lang w:val="en_US" w:bidi="en_US"/>
        </w:rPr>
        <w:t>Even though you</w:t>
      </w:r>
      <w:r>
        <w:rPr>
          <w:vertAlign w:val="superscript"/>
          <w:lang w:val="en_US" w:bidi="en_US"/>
        </w:rPr>
        <w:t>(plur)</w:t>
      </w:r>
      <w:r>
        <w:rPr>
          <w:lang w:val="en_US" w:bidi="en_US"/>
        </w:rPr>
        <w:t xml:space="preserve"> are wicked people, you know to give good gifts to your children </w:t>
      </w:r>
      <w:r>
        <w:rPr>
          <w:lang w:val="en_US" w:bidi="en_US"/>
        </w:rPr>
        <w:t>when they ask you for something</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know to give good gifts to your children even though you are evil/sinful.</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is a logical connector. It introduces the conclusion to this paragraph. Some other ways to introduce this conclusion are:</w:t>
      </w:r>
    </w:p>
    <w:p>
      <w:pPr/>
      <w:r>
        <w:rPr>
          <w:lang w:val="en_US" w:bidi="en_US"/>
        </w:rPr>
      </w:r>
      <w:r>
        <w:rPr>
          <w:lang w:val="en_US" w:bidi="en_US"/>
        </w:rPr>
        <w:t>then (NIV)</w:t>
      </w:r>
    </w:p>
    <w:p>
      <w:pPr/>
      <w:r>
        <w:rPr>
          <w:lang w:val="en_US" w:bidi="en_US"/>
        </w:rPr>
      </w:r>
      <w:r>
        <w:rPr>
          <w:lang w:val="en_US" w:bidi="en_US"/>
        </w:rPr>
        <w:t>Therefore</w:t>
      </w:r>
    </w:p>
    <w:p>
      <w:pPr/>
      <w:r>
        <w:rPr>
          <w:lang w:val="en_US" w:bidi="en_US"/>
        </w:rPr>
      </w:r>
      <w:r>
        <w:rPr>
          <w:lang w:val="en_US" w:bidi="en_US"/>
        </w:rPr>
        <w:t>If you make 11:13a a separate sentence (see General Comment on 11:13a below), it is possible to place this conjunction in 11:13b. For example:</w:t>
      </w:r>
    </w:p>
    <w:p>
      <w:pPr/>
      <w:r>
        <w:rPr>
          <w:lang w:val="en_US" w:bidi="en_US"/>
        </w:rPr>
      </w:r>
      <w:r>
        <w:rPr>
          <w:vertAlign w:val="superscript"/>
          <w:lang w:val="en_US" w:bidi="en_US"/>
        </w:rPr>
        <w:t>13a</w:t>
      </w:r>
      <w:r>
        <w:rPr>
          <w:lang w:val="en_US" w:bidi="en_US"/>
        </w:rPr>
        <w:t xml:space="preserve">Even though you’re evil, you know how to give good things to your children. </w:t>
      </w:r>
      <w:r>
        <w:rPr>
          <w:vertAlign w:val="superscript"/>
          <w:lang w:val="en_US" w:bidi="en_US"/>
        </w:rPr>
        <w:t>13b</w:t>
      </w:r>
      <w:r>
        <w:rPr>
          <w:lang w:val="en_US" w:bidi="en_US"/>
        </w:rPr>
        <w:t>So how much more… (GW)</w:t>
      </w:r>
    </w:p>
    <w:p>
      <w:pPr/>
      <w:r>
        <w:rPr>
          <w:lang w:val="en_US" w:bidi="en_US"/>
        </w:rPr>
      </w:r>
      <w:r>
        <w:rPr>
          <w:lang w:val="en_US" w:bidi="en_US"/>
        </w:rPr>
        <w:t>In other languages, a specific conjunction may not be necessary to introduce this verse as a conclusion. For example:</w:t>
      </w:r>
    </w:p>
    <w:p>
      <w:pPr/>
      <w:r>
        <w:rPr>
          <w:lang w:val="en_US" w:bidi="en_US"/>
        </w:rPr>
      </w:r>
      <w:r>
        <w:rPr>
          <w:lang w:val="en_US" w:bidi="en_US"/>
        </w:rPr>
        <w:t>As bad as you are, you still know how to give good gifts to your children… (CEV)</w:t>
      </w:r>
    </w:p>
    <w:p>
      <w:pPr/>
      <w:r>
        <w:rPr>
          <w:lang w:val="en_US" w:bidi="en_US"/>
        </w:rPr>
      </w:r>
      <w:r>
        <w:rPr>
          <w:b/>
          <w:lang w:val="en_US" w:bidi="en_US"/>
        </w:rPr>
        <w:t>if you…know how to give good gifts to your children:</w:t>
      </w:r>
      <w:r>
        <w:rPr>
          <w:lang w:val="en_US" w:bidi="en_US"/>
        </w:rPr>
        <w:t xml:space="preserve"> This phrase is literally “If you…know to give good gifts to your children.” The BSB has added the word </w:t>
      </w:r>
      <w:r>
        <w:rPr>
          <w:i/>
          <w:lang w:val="en_US" w:bidi="en_US"/>
        </w:rPr>
        <w:t>how</w:t>
      </w:r>
      <w:r>
        <w:rPr>
          <w:lang w:val="en_US" w:bidi="en_US"/>
        </w:rPr>
        <w:t xml:space="preserve"> to make it natural English.</w:t>
      </w:r>
    </w:p>
    <w:p>
      <w:pPr/>
      <w:r>
        <w:rPr>
          <w:lang w:val="en_US" w:bidi="en_US"/>
        </w:rPr>
      </w:r>
      <w:r>
        <w:rPr>
          <w:lang w:val="en_US" w:bidi="en_US"/>
        </w:rPr>
        <w:t>This conditional (“if”) clause implies that the people knew how to give good gifts to their children, and, in fact, gave them good gifts regularly. There is no doubt about this. Some other ways to translate this clause are:</w:t>
      </w:r>
    </w:p>
    <w:p>
      <w:pPr>
        <w:pStyle w:val="ListBullet"/>
        <w:spacing w:line="240" w:lineRule="auto"/>
        <w:ind w:left="720"/>
      </w:pPr>
      <w:r>
        <w:rPr>
          <w:lang w:val="en_US" w:bidi="en_US"/>
        </w:rPr>
      </w:r>
      <w:r>
        <w:rPr>
          <w:lang w:val="en_US" w:bidi="en_US"/>
        </w:rPr>
        <w:t>Translate the “If” as “Because.” For example:</w:t>
      </w:r>
      <w:r>
        <w:rPr>
          <w:lang w:val="en_US" w:bidi="en_US"/>
        </w:rPr>
        <w:t>Because you know to give good gifts to your children</w:t>
      </w:r>
    </w:p>
    <w:p>
      <w:pPr>
        <w:pStyle w:val="ListBullet"/>
        <w:spacing w:line="240" w:lineRule="auto"/>
        <w:ind w:left="720"/>
      </w:pPr>
      <w:r>
        <w:rPr>
          <w:lang w:val="en_US" w:bidi="en_US"/>
        </w:rPr>
      </w:r>
      <w:r>
        <w:rPr>
          <w:lang w:val="en_US" w:bidi="en_US"/>
        </w:rPr>
        <w:t>Translate the clause without a word like “if.” For example:</w:t>
      </w:r>
      <w:r>
        <w:rPr>
          <w:lang w:val="en_US" w:bidi="en_US"/>
        </w:rPr>
        <w:t>you know how to give good things to your children (GNT)</w:t>
      </w:r>
    </w:p>
    <w:p>
      <w:pPr/>
      <w:r>
        <w:rPr>
          <w:lang w:val="en_US" w:bidi="en_US"/>
        </w:rPr>
      </w:r>
      <w:r>
        <w:rPr>
          <w:lang w:val="en_US" w:bidi="en_US"/>
        </w:rPr>
        <w:t>Translate this clause in a way that is most natural in your language.</w:t>
      </w:r>
    </w:p>
    <w:p>
      <w:pPr/>
      <w:r>
        <w:rPr>
          <w:lang w:val="en_US" w:bidi="en_US"/>
        </w:rPr>
      </w:r>
      <w:r>
        <w:rPr>
          <w:b/>
          <w:lang w:val="en_US" w:bidi="en_US"/>
        </w:rPr>
        <w:t>who are evil:</w:t>
      </w:r>
      <w:r>
        <w:rPr>
          <w:lang w:val="en_US" w:bidi="en_US"/>
        </w:rPr>
        <w:t xml:space="preserve"> The clause </w:t>
      </w:r>
      <w:r>
        <w:rPr>
          <w:i/>
          <w:lang w:val="en_US" w:bidi="en_US"/>
        </w:rPr>
        <w:t>who are evil</w:t>
      </w:r>
      <w:r>
        <w:rPr>
          <w:lang w:val="en_US" w:bidi="en_US"/>
        </w:rPr>
        <w:t xml:space="preserve"> means “in spite of the fact that you are evil.” Jesus was not condemning his disciples here. He was simply stating that all people are sinful. Another way to translate this is:</w:t>
      </w:r>
    </w:p>
    <w:p>
      <w:pPr/>
      <w:r>
        <w:rPr>
          <w:lang w:val="en_US" w:bidi="en_US"/>
        </w:rPr>
      </w:r>
      <w:r>
        <w:rPr>
          <w:lang w:val="en_US" w:bidi="en_US"/>
        </w:rPr>
        <w:t>Even though you are bad… (NCV)</w:t>
      </w:r>
    </w:p>
    <w:p>
      <w:pPr/>
      <w:r>
        <w:rPr>
          <w:lang w:val="en_US" w:bidi="en_US"/>
        </w:rPr>
      </w:r>
      <w:r>
        <w:rPr>
          <w:b/>
          <w:lang w:val="en_US" w:bidi="en_US"/>
        </w:rPr>
        <w:t>evil:</w:t>
      </w:r>
      <w:r>
        <w:rPr>
          <w:lang w:val="en_US" w:bidi="en_US"/>
        </w:rPr>
        <w:t xml:space="preserve"> The word that the BSB translates as </w:t>
      </w:r>
      <w:r>
        <w:rPr>
          <w:i/>
          <w:lang w:val="en_US" w:bidi="en_US"/>
        </w:rPr>
        <w:t>evil</w:t>
      </w:r>
      <w:r>
        <w:rPr>
          <w:lang w:val="en_US" w:bidi="en_US"/>
        </w:rPr>
        <w:t xml:space="preserve"> also means “bad,” “sinful,” or “wicked.”</w:t>
      </w:r>
    </w:p>
    <w:p>
      <w:pPr>
        <w:pStyle w:val="Heading6"/>
      </w:pPr>
      <w:r>
        <w:rPr>
          <w:b/>
          <w:lang w:val="en_US" w:bidi="en_US"/>
        </w:rPr>
        <w:t>General Comment on 11:13a</w:t>
      </w:r>
    </w:p>
    <w:p>
      <w:pPr/>
      <w:r>
        <w:rPr>
          <w:lang w:val="en_US" w:bidi="en_US"/>
        </w:rPr>
      </w:r>
      <w:r>
        <w:rPr>
          <w:lang w:val="en_US" w:bidi="en_US"/>
        </w:rPr>
        <w:t>In some languages it may be helpful to make this into a separate sentence. For example:</w:t>
      </w:r>
    </w:p>
    <w:p>
      <w:pPr/>
      <w:r>
        <w:rPr>
          <w:lang w:val="en_US" w:bidi="en_US"/>
        </w:rPr>
      </w:r>
      <w:r>
        <w:rPr>
          <w:lang w:val="en_US" w:bidi="en_US"/>
        </w:rPr>
        <w:t>As bad as you are, you know how to give good things to your children. (GNT)</w:t>
      </w:r>
    </w:p>
    <w:p>
      <w:pPr/>
      <w:r>
        <w:rPr>
          <w:lang w:val="en_US" w:bidi="en_US"/>
        </w:rPr>
      </w:r>
      <w:r>
        <w:rPr>
          <w:lang w:val="en_US" w:bidi="en_US"/>
        </w:rPr>
        <w:t>Some other ways to translate this are:</w:t>
      </w:r>
    </w:p>
    <w:p>
      <w:pPr/>
      <w:r>
        <w:rPr>
          <w:lang w:val="en_US" w:bidi="en_US"/>
        </w:rPr>
      </w:r>
      <w:r>
        <w:rPr>
          <w:lang w:val="en_US" w:bidi="en_US"/>
        </w:rPr>
        <w:t>If you sinful people know how to give good gifts to your children… (NLT96)</w:t>
      </w:r>
    </w:p>
    <w:p>
      <w:pPr/>
      <w:r>
        <w:rPr>
          <w:lang w:val="en_US" w:bidi="en_US"/>
        </w:rPr>
      </w:r>
      <w:r>
        <w:rPr>
          <w:lang w:val="en_US" w:bidi="en_US"/>
        </w:rPr>
        <w:t>You are sinful, but you know how to give good things to your children.</w:t>
      </w:r>
    </w:p>
    <w:p>
      <w:pPr>
        <w:pStyle w:val="Heading5"/>
      </w:pPr>
      <w:r>
        <w:rPr>
          <w:lang w:val="en_US" w:bidi="en_US"/>
        </w:rPr>
        <w:t>11:13b</w:t>
      </w:r>
    </w:p>
    <w:p>
      <w:pPr/>
      <w:r>
        <w:rPr>
          <w:lang w:val="en_US" w:bidi="en_US"/>
        </w:rPr>
      </w:r>
      <w:r>
        <w:rPr>
          <w:b/>
          <w:lang w:val="en_US" w:bidi="en_US"/>
        </w:rPr>
        <w:t>how much more will your Father in heaven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can be absolutely sure that your</w:t>
      </w:r>
      <w:r>
        <w:rPr>
          <w:vertAlign w:val="superscript"/>
          <w:lang w:val="en_US" w:bidi="en_US"/>
        </w:rPr>
        <w:t>(plur)</w:t>
      </w:r>
      <w:r>
        <w:rPr>
          <w:lang w:val="en_US" w:bidi="en_US"/>
        </w:rPr>
        <w:t xml:space="preserve"> Father in heaven</w:t>
      </w:r>
    </w:p>
    <w:p>
      <w:pPr>
        <w:pStyle w:val="ListBullet"/>
        <w:spacing w:line="240" w:lineRule="auto"/>
        <w:ind w:left="720"/>
      </w:pPr>
      <w:r>
        <w:rPr>
          <w:lang w:val="en_US" w:bidi="en_US"/>
        </w:rPr>
      </w:r>
      <w:r>
        <w:rPr>
          <w:lang w:val="en_US" w:bidi="en_US"/>
        </w:rPr>
        <w:t>So what about your</w:t>
      </w:r>
      <w:r>
        <w:rPr>
          <w:vertAlign w:val="superscript"/>
          <w:lang w:val="en_US" w:bidi="en_US"/>
        </w:rPr>
        <w:t>(plur)</w:t>
      </w:r>
      <w:r>
        <w:rPr>
          <w:lang w:val="en_US" w:bidi="en_US"/>
        </w:rPr>
        <w:t xml:space="preserve"> heavenly Father </w:t>
      </w:r>
      <w:r>
        <w:rPr>
          <w:lang w:val="en_US" w:bidi="en_US"/>
        </w:rPr>
        <w:t>God</w:t>
      </w:r>
      <w:r>
        <w:rPr>
          <w:lang w:val="en_US" w:bidi="en_US"/>
        </w:rPr>
        <w:t>? He is even more willing to</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Father in heaven </w:t>
      </w:r>
      <w:r>
        <w:rPr>
          <w:lang w:val="en_US" w:bidi="en_US"/>
        </w:rPr>
        <w:t>is good</w:t>
      </w:r>
      <w:r>
        <w:rPr>
          <w:lang w:val="en_US" w:bidi="en_US"/>
        </w:rPr>
        <w:t>. So he knows more than you how</w:t>
      </w:r>
    </w:p>
    <w:p>
      <w:pPr/>
      <w:r>
        <w:rPr>
          <w:lang w:val="en_US" w:bidi="en_US"/>
        </w:rPr>
      </w:r>
      <w:r>
        <w:rPr>
          <w:b/>
          <w:lang w:val="en_US" w:bidi="en_US"/>
        </w:rPr>
        <w:t>how much more will your Father in heaven:</w:t>
      </w:r>
      <w:r>
        <w:rPr>
          <w:lang w:val="en_US" w:bidi="en_US"/>
        </w:rPr>
        <w:t xml:space="preserve"> Here a contrast is made between the nature of man and the nature of God: man is sinful and (it is implied that) God is good. The first part of the contrast (that man is sinful) was stated explicitly in 11:13a. If it is necessary to make the second half of the contrast explicit in your language, you may say:</w:t>
      </w:r>
    </w:p>
    <w:p>
      <w:pPr/>
      <w:r>
        <w:rPr>
          <w:lang w:val="en_US" w:bidi="en_US"/>
        </w:rPr>
      </w:r>
      <w:r>
        <w:rPr>
          <w:lang w:val="en_US" w:bidi="en_US"/>
        </w:rPr>
        <w:t xml:space="preserve">how much more will your Father in heaven </w:t>
      </w:r>
      <w:r>
        <w:rPr>
          <w:lang w:val="en_US" w:bidi="en_US"/>
        </w:rPr>
        <w:t>who is good</w:t>
      </w:r>
      <w:r>
        <w:rPr>
          <w:lang w:val="en_US" w:bidi="en_US"/>
        </w:rPr>
        <w:t>…</w:t>
      </w:r>
    </w:p>
    <w:p>
      <w:pPr/>
      <w:r>
        <w:rPr>
          <w:lang w:val="en_US" w:bidi="en_US"/>
        </w:rPr>
      </w:r>
      <w:r>
        <w:rPr>
          <w:lang w:val="en_US" w:bidi="en_US"/>
        </w:rPr>
        <w:t>But</w:t>
      </w:r>
      <w:r>
        <w:rPr>
          <w:lang w:val="en_US" w:bidi="en_US"/>
        </w:rPr>
        <w:t xml:space="preserve"> your heavenly father </w:t>
      </w:r>
      <w:r>
        <w:rPr>
          <w:lang w:val="en_US" w:bidi="en_US"/>
        </w:rPr>
        <w:t>is good</w:t>
      </w:r>
      <w:r>
        <w:rPr>
          <w:lang w:val="en_US" w:bidi="en_US"/>
        </w:rPr>
        <w:t>. It is even more certain that…</w:t>
      </w:r>
    </w:p>
    <w:p>
      <w:pPr/>
      <w:r>
        <w:rPr>
          <w:lang w:val="en_US" w:bidi="en_US"/>
        </w:rPr>
      </w:r>
      <w:r>
        <w:rPr>
          <w:b/>
          <w:lang w:val="en_US" w:bidi="en_US"/>
        </w:rPr>
        <w:t>how much more:</w:t>
      </w:r>
      <w:r>
        <w:rPr>
          <w:lang w:val="en_US" w:bidi="en_US"/>
        </w:rPr>
        <w:t xml:space="preserve"> The phrase </w:t>
      </w:r>
      <w:r>
        <w:rPr>
          <w:i/>
          <w:lang w:val="en_US" w:bidi="en_US"/>
        </w:rPr>
        <w:t>how much more</w:t>
      </w:r>
      <w:r>
        <w:rPr>
          <w:lang w:val="en_US" w:bidi="en_US"/>
        </w:rPr>
        <w:t xml:space="preserve"> compares two things. It compares God’s willingness/readiness and man’s willingness to give good gifts. (The comparison is not between the sizes of the gifts.) If man gives good gifts, God will even more certainly give good gifts.</w:t>
      </w:r>
    </w:p>
    <w:p>
      <w:pPr/>
      <w:r>
        <w:rPr>
          <w:lang w:val="en_US" w:bidi="en_US"/>
        </w:rPr>
      </w:r>
      <w:r>
        <w:rPr>
          <w:lang w:val="en_US" w:bidi="en_US"/>
        </w:rPr>
        <w:t>Some other ways to translate this are:</w:t>
      </w:r>
    </w:p>
    <w:p>
      <w:pPr/>
      <w:r>
        <w:rPr>
          <w:lang w:val="en_US" w:bidi="en_US"/>
        </w:rPr>
      </w:r>
      <w:r>
        <w:rPr>
          <w:lang w:val="en_US" w:bidi="en_US"/>
        </w:rPr>
        <w:t>But your heavenly Father is even more ready to give the Holy Spirit to anyone who asks. (CEV)</w:t>
      </w:r>
    </w:p>
    <w:p>
      <w:pPr/>
      <w:r>
        <w:rPr>
          <w:lang w:val="en_US" w:bidi="en_US"/>
        </w:rPr>
      </w:r>
      <w:r>
        <w:rPr>
          <w:lang w:val="en_US" w:bidi="en_US"/>
        </w:rPr>
        <w:t>What about your heavenly Father? He is even more willing to give the Holy Spirit to those who ask him.</w:t>
      </w:r>
    </w:p>
    <w:p>
      <w:pPr/>
      <w:r>
        <w:rPr>
          <w:lang w:val="en_US" w:bidi="en_US"/>
        </w:rPr>
      </w:r>
      <w:r>
        <w:rPr>
          <w:lang w:val="en_US" w:bidi="en_US"/>
        </w:rPr>
        <w:t>It is absolutely certain that your heavenly Father will give the Holy Spirit to those who ask him.</w:t>
      </w:r>
    </w:p>
    <w:p>
      <w:pPr/>
      <w:r>
        <w:rPr>
          <w:lang w:val="en_US" w:bidi="en_US"/>
        </w:rPr>
      </w:r>
      <w:r>
        <w:rPr>
          <w:b/>
          <w:lang w:val="en_US" w:bidi="en_US"/>
        </w:rPr>
        <w:t>your Father in heaven:</w:t>
      </w:r>
      <w:r>
        <w:rPr>
          <w:lang w:val="en_US" w:bidi="en_US"/>
        </w:rPr>
        <w:t xml:space="preserve"> The phrase </w:t>
      </w:r>
      <w:r>
        <w:rPr>
          <w:i/>
          <w:lang w:val="en_US" w:bidi="en_US"/>
        </w:rPr>
        <w:t>your Father in heaven</w:t>
      </w:r>
      <w:r>
        <w:rPr>
          <w:lang w:val="en_US" w:bidi="en_US"/>
        </w:rPr>
        <w:t xml:space="preserve"> refers to God. Here </w:t>
      </w:r>
      <w:r>
        <w:rPr>
          <w:i/>
          <w:lang w:val="en_US" w:bidi="en_US"/>
        </w:rPr>
        <w:t>heaven</w:t>
      </w:r>
      <w:r>
        <w:rPr>
          <w:lang w:val="en_US" w:bidi="en_US"/>
        </w:rPr>
        <w:t xml:space="preserve"> refers to the place where God lives.</w:t>
      </w:r>
    </w:p>
    <w:p>
      <w:pPr/>
      <w:r>
        <w:rPr>
          <w:lang w:val="en_US" w:bidi="en_US"/>
        </w:rPr>
      </w:r>
      <w:r>
        <w:rPr>
          <w:lang w:val="en_US" w:bidi="en_US"/>
        </w:rPr>
        <w:t>See heaven, Meaning 2, in the Glossary.</w:t>
      </w:r>
    </w:p>
    <w:p>
      <w:pPr>
        <w:pStyle w:val="Heading5"/>
      </w:pPr>
      <w:r>
        <w:rPr>
          <w:lang w:val="en_US" w:bidi="en_US"/>
        </w:rPr>
        <w:t>11:13c</w:t>
      </w:r>
    </w:p>
    <w:p>
      <w:pPr/>
      <w:r>
        <w:rPr>
          <w:lang w:val="en_US" w:bidi="en_US"/>
        </w:rPr>
      </w:r>
      <w:r>
        <w:rPr>
          <w:b/>
          <w:lang w:val="en_US" w:bidi="en_US"/>
        </w:rPr>
        <w:t>give the Holy Spirit to those who ask Him!”</w:t>
      </w:r>
    </w:p>
    <w:p>
      <w:pPr>
        <w:pStyle w:val="ListBullet"/>
        <w:spacing w:line="240" w:lineRule="auto"/>
        <w:ind w:left="720"/>
      </w:pPr>
      <w:r>
        <w:rPr>
          <w:lang w:val="en_US" w:bidi="en_US"/>
        </w:rPr>
      </w:r>
      <w:r>
        <w:rPr>
          <w:lang w:val="en_US" w:bidi="en_US"/>
        </w:rPr>
        <w:t xml:space="preserve">will give the Holy Spirit to the </w:t>
      </w:r>
      <w:r>
        <w:rPr>
          <w:lang w:val="en_US" w:bidi="en_US"/>
        </w:rPr>
        <w:t>people</w:t>
      </w:r>
      <w:r>
        <w:rPr>
          <w:lang w:val="en_US" w:bidi="en_US"/>
        </w:rPr>
        <w:t xml:space="preserve"> who ask him!”</w:t>
      </w:r>
    </w:p>
    <w:p>
      <w:pPr>
        <w:pStyle w:val="ListBullet"/>
        <w:spacing w:line="240" w:lineRule="auto"/>
        <w:ind w:left="720"/>
      </w:pPr>
      <w:r>
        <w:rPr>
          <w:lang w:val="en_US" w:bidi="en_US"/>
        </w:rPr>
      </w:r>
      <w:r>
        <w:rPr>
          <w:lang w:val="en_US" w:bidi="en_US"/>
        </w:rPr>
        <w:t xml:space="preserve">give/send the Holy Spirit to people who ask him </w:t>
      </w:r>
      <w:r>
        <w:rPr>
          <w:lang w:val="en_US" w:bidi="en_US"/>
        </w:rPr>
        <w:t>for his Spirit</w:t>
      </w:r>
      <w:r>
        <w:rPr>
          <w:lang w:val="en_US" w:bidi="en_US"/>
        </w:rPr>
        <w:t>!”</w:t>
      </w:r>
    </w:p>
    <w:p>
      <w:pPr>
        <w:pStyle w:val="ListBullet"/>
        <w:spacing w:line="240" w:lineRule="auto"/>
        <w:ind w:left="720"/>
      </w:pPr>
      <w:r>
        <w:rPr>
          <w:lang w:val="en_US" w:bidi="en_US"/>
        </w:rPr>
      </w:r>
      <w:r>
        <w:rPr>
          <w:lang w:val="en_US" w:bidi="en_US"/>
        </w:rPr>
        <w:t>to give good gifts</w:t>
      </w:r>
      <w:r>
        <w:rPr>
          <w:lang w:val="en_US" w:bidi="en_US"/>
        </w:rPr>
        <w:t>. He will give/send the Holy Spirit to those who ask him.”</w:t>
      </w:r>
    </w:p>
    <w:p>
      <w:pPr/>
      <w:r>
        <w:rPr>
          <w:lang w:val="en_US" w:bidi="en_US"/>
        </w:rPr>
      </w:r>
      <w:r>
        <w:rPr>
          <w:b/>
          <w:lang w:val="en_US" w:bidi="en_US"/>
        </w:rPr>
        <w:t>give the Holy Spirit to those who ask Him:</w:t>
      </w:r>
      <w:r>
        <w:rPr>
          <w:lang w:val="en_US" w:bidi="en_US"/>
        </w:rPr>
        <w:t xml:space="preserve"> This means that God will give the best of all gifts to those who ask him. He will give them his own Holy Spirit. The Holy Spirit is the best gift because God gives everything that is good through his Spirit.</w:t>
      </w:r>
    </w:p>
    <w:p>
      <w:pPr/>
      <w:r>
        <w:rPr>
          <w:lang w:val="en_US" w:bidi="en_US"/>
        </w:rPr>
      </w:r>
      <w:r>
        <w:rPr>
          <w:b/>
          <w:lang w:val="en_US" w:bidi="en_US"/>
        </w:rPr>
        <w:t>give the Holy Spirit:</w:t>
      </w:r>
      <w:r>
        <w:rPr>
          <w:lang w:val="en_US" w:bidi="en_US"/>
        </w:rPr>
        <w:t xml:space="preserve"> Since the Holy Spirit is a being and not a thing, in some languages it may be better to use a verb such as “send” instead of </w:t>
      </w:r>
      <w:r>
        <w:rPr>
          <w:i/>
          <w:lang w:val="en_US" w:bidi="en_US"/>
        </w:rPr>
        <w:t>give</w:t>
      </w:r>
      <w:r>
        <w:rPr>
          <w:lang w:val="en_US" w:bidi="en_US"/>
        </w:rPr>
        <w:t>.</w:t>
      </w:r>
    </w:p>
    <w:p>
      <w:pPr/>
      <w:r>
        <w:rPr>
          <w:lang w:val="en_US" w:bidi="en_US"/>
        </w:rPr>
      </w:r>
      <w:r>
        <w:rPr>
          <w:b/>
          <w:lang w:val="en_US" w:bidi="en_US"/>
        </w:rPr>
        <w:t>Holy Spirit:</w:t>
      </w:r>
      <w:r>
        <w:rPr>
          <w:lang w:val="en_US" w:bidi="en_US"/>
        </w:rPr>
        <w:t xml:space="preserve"> The term </w:t>
      </w:r>
      <w:r>
        <w:rPr>
          <w:i/>
          <w:lang w:val="en_US" w:bidi="en_US"/>
        </w:rPr>
        <w:t>Holy Spirit</w:t>
      </w:r>
      <w:r>
        <w:rPr>
          <w:lang w:val="en_US" w:bidi="en_US"/>
        </w:rPr>
        <w:t xml:space="preserve"> also occurs in 10:21a. See the note there for information about translating this term.</w:t>
      </w:r>
      <w:r>
        <w:rPr>
          <w:lang w:val="en_US" w:bidi="en_US"/>
        </w:rPr>
      </w:r>
      <w:r>
        <w:rPr>
          <w:lang w:val="en_US" w:bidi="en_US"/>
        </w:rPr>
      </w:r>
    </w:p>
    <w:p>
      <w:pPr/>
      <w:r>
        <w:rPr>
          <w:lang w:val="en_US" w:bidi="en_US"/>
        </w:rPr>
      </w:r>
    </w:p>
    <w:p>
      <w:pPr>
        <w:pStyle w:val="Heading2"/>
      </w:pPr>
      <w:r>
        <w:rPr>
          <w:lang w:val="en_US" w:bidi="en_US"/>
        </w:rPr>
        <w:t>Luke 11:14</w:t>
      </w:r>
      <w:r>
        <w:rPr>
          <w:lang w:val="en_US" w:bidi="en_US"/>
        </w:rPr>
      </w:r>
    </w:p>
    <w:p>
      <w:pPr>
        <w:pStyle w:val="Heading4"/>
      </w:pPr>
      <w:r>
        <w:rPr>
          <w:lang w:val="en_US" w:bidi="en_US"/>
        </w:rPr>
        <w:t>Section 11:14–23: Jesus proved that he did not use Satan’s power</w:t>
      </w:r>
    </w:p>
    <w:p>
      <w:pPr/>
      <w:r>
        <w:rPr>
          <w:lang w:val="en_US" w:bidi="en_US"/>
        </w:rPr>
      </w:r>
      <w:r>
        <w:rPr>
          <w:lang w:val="en_US" w:bidi="en_US"/>
        </w:rPr>
        <w:t>This section is not explicitly connected with the preceding section in time, place, or theme.</w:t>
      </w:r>
    </w:p>
    <w:p>
      <w:pPr/>
      <w:r>
        <w:rPr>
          <w:lang w:val="en_US" w:bidi="en_US"/>
        </w:rPr>
      </w:r>
      <w:r>
        <w:rPr>
          <w:lang w:val="en_US" w:bidi="en_US"/>
        </w:rPr>
        <w:t>In this section, Jesus cast out a demon that made a man mute (11:14). Some people who were there commented to each other that Jesus was casting out demons by the power of Satan (11:15). Jesus gave them two reasons why this could not be true (11:17–19). He concluded that he cast out demons by the power of God (11:20). Then he told a parable (11:21–22) that showed that he is stronger than Satan.</w:t>
      </w:r>
    </w:p>
    <w:p>
      <w:pPr/>
      <w:r>
        <w:rPr>
          <w:lang w:val="en_US" w:bidi="en_US"/>
        </w:rPr>
      </w:r>
      <w:r>
        <w:rPr>
          <w:lang w:val="en_US" w:bidi="en_US"/>
        </w:rPr>
        <w:t>Some other headings for this section are:</w:t>
      </w:r>
    </w:p>
    <w:p>
      <w:pPr/>
      <w:r>
        <w:rPr>
          <w:lang w:val="en_US" w:bidi="en_US"/>
        </w:rPr>
      </w:r>
      <w:r>
        <w:rPr>
          <w:lang w:val="en_US" w:bidi="en_US"/>
        </w:rPr>
        <w:t>Jesus is stronger than Satan</w:t>
      </w:r>
    </w:p>
    <w:p>
      <w:pPr/>
      <w:r>
        <w:rPr>
          <w:lang w:val="en_US" w:bidi="en_US"/>
        </w:rPr>
      </w:r>
      <w:r>
        <w:rPr>
          <w:lang w:val="en_US" w:bidi="en_US"/>
        </w:rPr>
        <w:t>Jesus and Beelzebub</w:t>
      </w:r>
    </w:p>
    <w:p>
      <w:pPr/>
      <w:r>
        <w:rPr>
          <w:lang w:val="en_US" w:bidi="en_US"/>
        </w:rPr>
      </w:r>
      <w:r>
        <w:rPr>
          <w:lang w:val="en_US" w:bidi="en_US"/>
        </w:rPr>
        <w:t>Jesus sends unclean spirits away by defeating Satan</w:t>
      </w:r>
    </w:p>
    <w:p>
      <w:pPr/>
      <w:r>
        <w:rPr>
          <w:lang w:val="en_US" w:bidi="en_US"/>
        </w:rPr>
      </w:r>
      <w:r>
        <w:rPr>
          <w:lang w:val="en_US" w:bidi="en_US"/>
        </w:rPr>
        <w:t>There are parallel passages for this section in Matthew 12:22–30 and Mark 3:20–27.</w:t>
      </w:r>
    </w:p>
    <w:p>
      <w:pPr>
        <w:pStyle w:val="Heading5"/>
      </w:pPr>
      <w:r>
        <w:rPr>
          <w:lang w:val="en_US" w:bidi="en_US"/>
        </w:rPr>
        <w:t>11:14a</w:t>
      </w:r>
    </w:p>
    <w:p>
      <w:pPr/>
      <w:r>
        <w:rPr>
          <w:lang w:val="en_US" w:bidi="en_US"/>
        </w:rPr>
      </w:r>
      <w:r>
        <w:rPr>
          <w:b/>
          <w:lang w:val="en_US" w:bidi="en_US"/>
        </w:rPr>
        <w:t>One day Jesus was driving out a demon that was mute.</w:t>
      </w:r>
    </w:p>
    <w:p>
      <w:pPr>
        <w:pStyle w:val="ListBullet"/>
        <w:spacing w:line="240" w:lineRule="auto"/>
        <w:ind w:left="720"/>
      </w:pPr>
      <w:r>
        <w:rPr>
          <w:lang w:val="en_US" w:bidi="en_US"/>
        </w:rPr>
      </w:r>
      <w:r>
        <w:rPr>
          <w:lang w:val="en_US" w:bidi="en_US"/>
        </w:rPr>
        <w:t xml:space="preserve">¶ </w:t>
      </w:r>
      <w:r>
        <w:rPr>
          <w:lang w:val="en_US" w:bidi="en_US"/>
        </w:rPr>
        <w:t>One time</w:t>
      </w:r>
      <w:r>
        <w:rPr>
          <w:lang w:val="en_US" w:bidi="en_US"/>
        </w:rPr>
        <w:t xml:space="preserve"> Jesus expelled an evil spirit that </w:t>
      </w:r>
      <w:r>
        <w:rPr>
          <w:lang w:val="en_US" w:bidi="en_US"/>
        </w:rPr>
        <w:t>had made a man</w:t>
      </w:r>
      <w:r>
        <w:rPr>
          <w:lang w:val="en_US" w:bidi="en_US"/>
        </w:rPr>
        <w:t xml:space="preserve"> unable to speak.</w:t>
      </w:r>
    </w:p>
    <w:p>
      <w:pPr>
        <w:pStyle w:val="ListBullet"/>
        <w:spacing w:line="240" w:lineRule="auto"/>
        <w:ind w:left="720"/>
      </w:pPr>
      <w:r>
        <w:rPr>
          <w:lang w:val="en_US" w:bidi="en_US"/>
        </w:rPr>
      </w:r>
      <w:r>
        <w:rPr>
          <w:lang w:val="en_US" w:bidi="en_US"/>
        </w:rPr>
        <w:t xml:space="preserve">¶ </w:t>
      </w:r>
      <w:r>
        <w:rPr>
          <w:lang w:val="en_US" w:bidi="en_US"/>
        </w:rPr>
        <w:t>On one occasion</w:t>
      </w:r>
      <w:r>
        <w:rPr>
          <w:lang w:val="en_US" w:bidi="en_US"/>
        </w:rPr>
        <w:t xml:space="preserve"> Jesus caused a demon to leave </w:t>
      </w:r>
      <w:r>
        <w:rPr>
          <w:lang w:val="en_US" w:bidi="en_US"/>
        </w:rPr>
        <w:t>a man. This demon had caused the man to become</w:t>
      </w:r>
      <w:r>
        <w:rPr>
          <w:lang w:val="en_US" w:bidi="en_US"/>
        </w:rPr>
        <w:t xml:space="preserve"> mute.</w:t>
      </w:r>
    </w:p>
    <w:p>
      <w:pPr>
        <w:pStyle w:val="ListBullet"/>
        <w:spacing w:line="240" w:lineRule="auto"/>
        <w:ind w:left="720"/>
      </w:pPr>
      <w:r>
        <w:rPr>
          <w:lang w:val="en_US" w:bidi="en_US"/>
        </w:rPr>
      </w:r>
      <w:r>
        <w:rPr>
          <w:lang w:val="en_US" w:bidi="en_US"/>
        </w:rPr>
        <w:t xml:space="preserve">¶ </w:t>
      </w:r>
      <w:r>
        <w:rPr>
          <w:lang w:val="en_US" w:bidi="en_US"/>
        </w:rPr>
        <w:t>One day, a man who had</w:t>
      </w:r>
      <w:r>
        <w:rPr>
          <w:lang w:val="en_US" w:bidi="en_US"/>
        </w:rPr>
        <w:t xml:space="preserve"> a demon that made him mute </w:t>
      </w:r>
      <w:r>
        <w:rPr>
          <w:lang w:val="en_US" w:bidi="en_US"/>
        </w:rPr>
        <w:t>was in the crowd that was with Jesus</w:t>
      </w:r>
      <w:r>
        <w:rPr>
          <w:lang w:val="en_US" w:bidi="en_US"/>
        </w:rPr>
        <w:t>. Jesus drove/threw out this demon.</w:t>
      </w:r>
    </w:p>
    <w:p>
      <w:pPr/>
      <w:r>
        <w:rPr>
          <w:lang w:val="en_US" w:bidi="en_US"/>
        </w:rPr>
      </w:r>
      <w:r>
        <w:rPr>
          <w:b/>
          <w:lang w:val="en_US" w:bidi="en_US"/>
        </w:rPr>
        <w:t>One day:</w:t>
      </w:r>
      <w:r>
        <w:rPr>
          <w:lang w:val="en_US" w:bidi="en_US"/>
        </w:rPr>
        <w:t xml:space="preserve"> This verse introduces a new story, but it does not provide any information about where or when the story occurred. In some languages, an introductory word or phrase is necessary to show that a new story is beginning. The BSB adds </w:t>
      </w:r>
      <w:r>
        <w:rPr>
          <w:i/>
          <w:lang w:val="en_US" w:bidi="en_US"/>
        </w:rPr>
        <w:t>One day</w:t>
      </w:r>
      <w:r>
        <w:rPr>
          <w:lang w:val="en_US" w:bidi="en_US"/>
        </w:rPr>
        <w:t xml:space="preserve"> to show this. Other ways to translate this are:</w:t>
      </w:r>
    </w:p>
    <w:p>
      <w:pPr/>
      <w:r>
        <w:rPr>
          <w:lang w:val="en_US" w:bidi="en_US"/>
        </w:rPr>
      </w:r>
      <w:r>
        <w:rPr>
          <w:lang w:val="en_US" w:bidi="en_US"/>
        </w:rPr>
        <w:t>One time (NCV)</w:t>
      </w:r>
    </w:p>
    <w:p>
      <w:pPr/>
      <w:r>
        <w:rPr>
          <w:lang w:val="en_US" w:bidi="en_US"/>
        </w:rPr>
      </w:r>
      <w:r>
        <w:rPr>
          <w:lang w:val="en_US" w:bidi="en_US"/>
        </w:rPr>
        <w:t>Another time (JBP)</w:t>
      </w:r>
    </w:p>
    <w:p>
      <w:pPr/>
      <w:r>
        <w:rPr>
          <w:lang w:val="en_US" w:bidi="en_US"/>
        </w:rPr>
      </w:r>
      <w:r>
        <w:rPr>
          <w:lang w:val="en_US" w:bidi="en_US"/>
        </w:rPr>
        <w:t>Luke 11:14a does not specifically mention the man who had an unclean spirit. In some languages, it will be more natural to introduce this man. For example:</w:t>
      </w:r>
    </w:p>
    <w:p>
      <w:pPr/>
      <w:r>
        <w:rPr>
          <w:lang w:val="en_US" w:bidi="en_US"/>
        </w:rPr>
      </w:r>
      <w:r>
        <w:rPr>
          <w:lang w:val="en_US" w:bidi="en_US"/>
        </w:rPr>
        <w:t>There was a man who had an unclean spirit. This unclean spirit made him mute. One day, Jesus drove out this unclean spirit…</w:t>
      </w:r>
    </w:p>
    <w:p>
      <w:pPr/>
      <w:r>
        <w:rPr>
          <w:lang w:val="en_US" w:bidi="en_US"/>
        </w:rPr>
      </w:r>
      <w:r>
        <w:rPr>
          <w:b/>
          <w:lang w:val="en_US" w:bidi="en_US"/>
        </w:rPr>
        <w:t>Jesus was driving out:</w:t>
      </w:r>
      <w:r>
        <w:rPr>
          <w:lang w:val="en_US" w:bidi="en_US"/>
        </w:rPr>
        <w:t xml:space="preserve"> The Greek word that the BSB translates as </w:t>
      </w:r>
      <w:r>
        <w:rPr>
          <w:i/>
          <w:lang w:val="en_US" w:bidi="en_US"/>
        </w:rPr>
        <w:t>was driving out</w:t>
      </w:r>
      <w:r>
        <w:rPr>
          <w:lang w:val="en_US" w:bidi="en_US"/>
        </w:rPr>
        <w:t xml:space="preserve"> is literally “was casting/throwing out.” To drive out an unclean spirit means to cause the unclean spirit to stop controlling the person. Jesus did this by commanding the demon to leave.</w:t>
      </w:r>
    </w:p>
    <w:p>
      <w:pPr/>
      <w:r>
        <w:rPr>
          <w:lang w:val="en_US" w:bidi="en_US"/>
        </w:rPr>
      </w:r>
      <w:r>
        <w:rPr>
          <w:lang w:val="en_US" w:bidi="en_US"/>
        </w:rPr>
        <w:t xml:space="preserve">Jewish people often spoke of unclean spirits as being </w:t>
      </w:r>
      <w:r>
        <w:rPr>
          <w:u w:val="single"/>
          <w:lang w:val="en_US" w:bidi="en_US"/>
        </w:rPr>
        <w:t>in</w:t>
      </w:r>
      <w:r>
        <w:rPr>
          <w:lang w:val="en_US" w:bidi="en_US"/>
        </w:rPr>
        <w:t xml:space="preserve"> someone. Different cultures have different ways of speaking about people being controlled by demons and being released from the control of demons. Use a natural expression for this in your language. Some ways to translate this are:</w:t>
      </w:r>
    </w:p>
    <w:p>
      <w:pPr/>
      <w:r>
        <w:rPr>
          <w:lang w:val="en_US" w:bidi="en_US"/>
        </w:rPr>
      </w:r>
      <w:r>
        <w:rPr>
          <w:lang w:val="en_US" w:bidi="en_US"/>
        </w:rPr>
        <w:t>sent away</w:t>
      </w:r>
    </w:p>
    <w:p>
      <w:pPr/>
      <w:r>
        <w:rPr>
          <w:lang w:val="en_US" w:bidi="en_US"/>
        </w:rPr>
      </w:r>
      <w:r>
        <w:rPr>
          <w:lang w:val="en_US" w:bidi="en_US"/>
        </w:rPr>
        <w:t>exorcized/expelled</w:t>
      </w:r>
    </w:p>
    <w:p>
      <w:pPr/>
      <w:r>
        <w:rPr>
          <w:lang w:val="en_US" w:bidi="en_US"/>
        </w:rPr>
      </w:r>
      <w:r>
        <w:rPr>
          <w:lang w:val="en_US" w:bidi="en_US"/>
        </w:rPr>
        <w:t>caused to leave</w:t>
      </w:r>
    </w:p>
    <w:p>
      <w:pPr/>
      <w:r>
        <w:rPr>
          <w:lang w:val="en_US" w:bidi="en_US"/>
        </w:rPr>
      </w:r>
      <w:r>
        <w:rPr>
          <w:b/>
          <w:lang w:val="en_US" w:bidi="en_US"/>
        </w:rPr>
        <w:t>a demon that was mute:</w:t>
      </w:r>
      <w:r>
        <w:rPr>
          <w:lang w:val="en_US" w:bidi="en_US"/>
        </w:rPr>
        <w:t xml:space="preserve"> The phrase </w:t>
      </w:r>
      <w:r>
        <w:rPr>
          <w:i/>
          <w:lang w:val="en_US" w:bidi="en_US"/>
        </w:rPr>
        <w:t>a demon that was mute</w:t>
      </w:r>
      <w:r>
        <w:rPr>
          <w:lang w:val="en_US" w:bidi="en_US"/>
        </w:rPr>
        <w:t xml:space="preserve"> refers to an unclean spirit that caused a person to be mute or not able to speak. When that demon was in a person, one of the results was that the person could not speak. Some other ways to translate this phrase are:</w:t>
      </w:r>
    </w:p>
    <w:p>
      <w:pPr/>
      <w:r>
        <w:rPr>
          <w:lang w:val="en_US" w:bidi="en_US"/>
        </w:rPr>
      </w:r>
      <w:r>
        <w:rPr>
          <w:lang w:val="en_US" w:bidi="en_US"/>
        </w:rPr>
        <w:t>a demon from a man who couldn’t speak (NLT)</w:t>
      </w:r>
    </w:p>
    <w:p>
      <w:pPr/>
      <w:r>
        <w:rPr>
          <w:lang w:val="en_US" w:bidi="en_US"/>
        </w:rPr>
      </w:r>
      <w:r>
        <w:rPr>
          <w:lang w:val="en_US" w:bidi="en_US"/>
        </w:rPr>
        <w:t>The demon had made the man unable to talk. (GW)</w:t>
      </w:r>
    </w:p>
    <w:p>
      <w:pPr/>
      <w:r>
        <w:rPr>
          <w:lang w:val="en_US" w:bidi="en_US"/>
        </w:rPr>
      </w:r>
      <w:r>
        <w:rPr>
          <w:lang w:val="en_US" w:bidi="en_US"/>
        </w:rPr>
        <w:t>This phrase does not mean that the demon itself was mute.</w:t>
      </w:r>
    </w:p>
    <w:p>
      <w:pPr/>
      <w:r>
        <w:rPr>
          <w:lang w:val="en_US" w:bidi="en_US"/>
        </w:rPr>
      </w:r>
      <w:r>
        <w:rPr>
          <w:b/>
          <w:lang w:val="en_US" w:bidi="en_US"/>
        </w:rPr>
        <w:t>demon:</w:t>
      </w:r>
      <w:r>
        <w:rPr>
          <w:lang w:val="en_US" w:bidi="en_US"/>
        </w:rPr>
        <w:t xml:space="preserve"> The word </w:t>
      </w:r>
      <w:r>
        <w:rPr>
          <w:i/>
          <w:lang w:val="en_US" w:bidi="en_US"/>
        </w:rPr>
        <w:t>demon</w:t>
      </w:r>
      <w:r>
        <w:rPr>
          <w:lang w:val="en_US" w:bidi="en_US"/>
        </w:rPr>
        <w:t xml:space="preserve"> also occurs in 9:1b. See the note there for information about translating this term. See also demon in the Glossary.</w:t>
      </w:r>
    </w:p>
    <w:p>
      <w:pPr>
        <w:pStyle w:val="Heading5"/>
      </w:pPr>
      <w:r>
        <w:rPr>
          <w:lang w:val="en_US" w:bidi="en_US"/>
        </w:rPr>
        <w:t>11:14b</w:t>
      </w:r>
    </w:p>
    <w:p>
      <w:pPr/>
      <w:r>
        <w:rPr>
          <w:lang w:val="en_US" w:bidi="en_US"/>
        </w:rPr>
      </w:r>
      <w:r>
        <w:rPr>
          <w:b/>
          <w:lang w:val="en_US" w:bidi="en_US"/>
        </w:rPr>
        <w:t>And when the demon was gone, the man who had been mute spoke.</w:t>
      </w:r>
    </w:p>
    <w:p>
      <w:pPr>
        <w:pStyle w:val="ListBullet"/>
        <w:spacing w:line="240" w:lineRule="auto"/>
        <w:ind w:left="720"/>
      </w:pPr>
      <w:r>
        <w:rPr>
          <w:lang w:val="en_US" w:bidi="en_US"/>
        </w:rPr>
      </w:r>
      <w:r>
        <w:rPr>
          <w:lang w:val="en_US" w:bidi="en_US"/>
        </w:rPr>
        <w:t>After the demon left that man who had been unable to speak, the man started talking,</w:t>
      </w:r>
    </w:p>
    <w:p>
      <w:pPr>
        <w:pStyle w:val="ListBullet"/>
        <w:spacing w:line="240" w:lineRule="auto"/>
        <w:ind w:left="720"/>
      </w:pPr>
      <w:r>
        <w:rPr>
          <w:lang w:val="en_US" w:bidi="en_US"/>
        </w:rPr>
      </w:r>
      <w:r>
        <w:rPr>
          <w:lang w:val="en_US" w:bidi="en_US"/>
        </w:rPr>
        <w:t>When the evil spirit came out of the man who had been mute, the man began to speak.</w:t>
      </w:r>
    </w:p>
    <w:p>
      <w:pPr>
        <w:pStyle w:val="ListBullet"/>
        <w:spacing w:line="240" w:lineRule="auto"/>
        <w:ind w:left="720"/>
      </w:pPr>
      <w:r>
        <w:rPr>
          <w:lang w:val="en_US" w:bidi="en_US"/>
        </w:rPr>
      </w:r>
      <w:r>
        <w:rPr>
          <w:lang w:val="en_US" w:bidi="en_US"/>
        </w:rPr>
        <w:t>The mute man was able to talk when/after the demon had left him.</w:t>
      </w:r>
    </w:p>
    <w:p>
      <w:pPr/>
      <w:r>
        <w:rPr>
          <w:lang w:val="en_US" w:bidi="en_US"/>
        </w:rPr>
      </w:r>
      <w:r>
        <w:rPr>
          <w:b/>
          <w:lang w:val="en_US" w:bidi="en_US"/>
        </w:rPr>
        <w:t>And when the demon was gone, the man who had been mute spoke:</w:t>
      </w:r>
      <w:r>
        <w:rPr>
          <w:lang w:val="en_US" w:bidi="en_US"/>
        </w:rPr>
        <w:t xml:space="preserve"> In some languages it may be necessary to make it explicit that the demon left or came out of the man who had been mute. For example:</w:t>
      </w:r>
    </w:p>
    <w:p>
      <w:pPr/>
      <w:r>
        <w:rPr>
          <w:lang w:val="en_US" w:bidi="en_US"/>
        </w:rPr>
      </w:r>
      <w:r>
        <w:rPr>
          <w:lang w:val="en_US" w:bidi="en_US"/>
        </w:rPr>
        <w:t>The demon came out from the mute man, who then began to speak</w:t>
      </w:r>
    </w:p>
    <w:p>
      <w:pPr>
        <w:pStyle w:val="Heading5"/>
      </w:pPr>
      <w:r>
        <w:rPr>
          <w:lang w:val="en_US" w:bidi="en_US"/>
        </w:rPr>
        <w:t>11:14c</w:t>
      </w:r>
    </w:p>
    <w:p>
      <w:pPr/>
      <w:r>
        <w:rPr>
          <w:lang w:val="en_US" w:bidi="en_US"/>
        </w:rPr>
      </w:r>
      <w:r>
        <w:rPr>
          <w:b/>
          <w:lang w:val="en_US" w:bidi="en_US"/>
        </w:rPr>
        <w:t>The crowds were amazed,</w:t>
      </w:r>
    </w:p>
    <w:p>
      <w:pPr>
        <w:pStyle w:val="ListBullet"/>
        <w:spacing w:line="240" w:lineRule="auto"/>
        <w:ind w:left="720"/>
      </w:pPr>
      <w:r>
        <w:rPr>
          <w:lang w:val="en_US" w:bidi="en_US"/>
        </w:rPr>
      </w:r>
      <w:r>
        <w:rPr>
          <w:lang w:val="en_US" w:bidi="en_US"/>
        </w:rPr>
        <w:t xml:space="preserve">and the crowd </w:t>
      </w:r>
      <w:r>
        <w:rPr>
          <w:lang w:val="en_US" w:bidi="en_US"/>
        </w:rPr>
        <w:t>that was present</w:t>
      </w:r>
      <w:r>
        <w:rPr>
          <w:lang w:val="en_US" w:bidi="en_US"/>
        </w:rPr>
        <w:t xml:space="preserve"> was amazed/surprised.</w:t>
      </w:r>
    </w:p>
    <w:p>
      <w:pPr>
        <w:pStyle w:val="ListBullet"/>
        <w:spacing w:line="240" w:lineRule="auto"/>
        <w:ind w:left="720"/>
      </w:pPr>
      <w:r>
        <w:rPr>
          <w:lang w:val="en_US" w:bidi="en_US"/>
        </w:rPr>
      </w:r>
      <w:r>
        <w:rPr>
          <w:lang w:val="en_US" w:bidi="en_US"/>
        </w:rPr>
        <w:t xml:space="preserve">The many people </w:t>
      </w:r>
      <w:r>
        <w:rPr>
          <w:lang w:val="en_US" w:bidi="en_US"/>
        </w:rPr>
        <w:t>who were there</w:t>
      </w:r>
      <w:r>
        <w:rPr>
          <w:lang w:val="en_US" w:bidi="en_US"/>
        </w:rPr>
        <w:t xml:space="preserve"> were astonished.</w:t>
      </w:r>
    </w:p>
    <w:p>
      <w:pPr/>
      <w:r>
        <w:rPr>
          <w:lang w:val="en_US" w:bidi="en_US"/>
        </w:rPr>
      </w:r>
      <w:r>
        <w:rPr>
          <w:b/>
          <w:lang w:val="en_US" w:bidi="en_US"/>
        </w:rPr>
        <w:t>The crowds were amazed:</w:t>
      </w:r>
      <w:r>
        <w:rPr>
          <w:lang w:val="en_US" w:bidi="en_US"/>
        </w:rPr>
        <w:t xml:space="preserve"> </w:t>
      </w:r>
      <w:r>
        <w:rPr>
          <w:i/>
          <w:lang w:val="en_US" w:bidi="en_US"/>
        </w:rPr>
        <w:t>The crowds</w:t>
      </w:r>
      <w:r>
        <w:rPr>
          <w:lang w:val="en_US" w:bidi="en_US"/>
        </w:rPr>
        <w:t xml:space="preserve"> have not been mentioned in this story up to this point. In some languages you may need to introduce them by saying something like:</w:t>
      </w:r>
    </w:p>
    <w:p>
      <w:pPr/>
      <w:r>
        <w:rPr>
          <w:lang w:val="en_US" w:bidi="en_US"/>
        </w:rPr>
      </w:r>
      <w:r>
        <w:rPr>
          <w:lang w:val="en_US" w:bidi="en_US"/>
        </w:rPr>
        <w:t xml:space="preserve">there were a lot of people </w:t>
      </w:r>
      <w:r>
        <w:rPr>
          <w:lang w:val="en_US" w:bidi="en_US"/>
        </w:rPr>
        <w:t>watching</w:t>
      </w:r>
      <w:r>
        <w:rPr>
          <w:lang w:val="en_US" w:bidi="en_US"/>
        </w:rPr>
        <w:t>, and they were amazed</w:t>
      </w:r>
    </w:p>
    <w:p>
      <w:pPr/>
      <w:r>
        <w:rPr>
          <w:lang w:val="en_US" w:bidi="en_US"/>
        </w:rPr>
      </w:r>
      <w:r>
        <w:rPr>
          <w:b/>
          <w:lang w:val="en_US" w:bidi="en_US"/>
        </w:rPr>
        <w:t>amazed:</w:t>
      </w:r>
      <w:r>
        <w:rPr>
          <w:lang w:val="en_US" w:bidi="en_US"/>
        </w:rPr>
        <w:t xml:space="preserve"> The word </w:t>
      </w:r>
      <w:r>
        <w:rPr>
          <w:i/>
          <w:lang w:val="en_US" w:bidi="en_US"/>
        </w:rPr>
        <w:t>amazed</w:t>
      </w:r>
      <w:r>
        <w:rPr>
          <w:lang w:val="en_US" w:bidi="en_US"/>
        </w:rPr>
        <w:t xml:space="preserve"> means “marveled,” “astonished,” or “surprised.” The people were astonished that Jesus was able to make the mute man able to speak.</w:t>
      </w:r>
      <w:r>
        <w:rPr>
          <w:lang w:val="en_US" w:bidi="en_US"/>
        </w:rPr>
      </w:r>
      <w:r>
        <w:rPr>
          <w:lang w:val="en_US" w:bidi="en_US"/>
        </w:rPr>
      </w:r>
    </w:p>
    <w:p>
      <w:pPr/>
      <w:r>
        <w:rPr>
          <w:lang w:val="en_US" w:bidi="en_US"/>
        </w:rPr>
      </w:r>
    </w:p>
    <w:p>
      <w:pPr>
        <w:pStyle w:val="Heading2"/>
      </w:pPr>
      <w:r>
        <w:rPr>
          <w:lang w:val="en_US" w:bidi="en_US"/>
        </w:rPr>
        <w:t>Luke 11:15</w:t>
      </w:r>
      <w:r>
        <w:rPr>
          <w:lang w:val="en_US" w:bidi="en_US"/>
        </w:rPr>
      </w:r>
    </w:p>
    <w:p>
      <w:pPr>
        <w:pStyle w:val="Heading4"/>
      </w:pPr>
      <w:r>
        <w:rPr>
          <w:lang w:val="en_US" w:bidi="en_US"/>
        </w:rPr>
        <w:t>Section 11:14–23: Jesus proved that he did not use Satan’s power</w:t>
      </w:r>
    </w:p>
    <w:p>
      <w:pPr/>
      <w:r>
        <w:rPr>
          <w:lang w:val="en_US" w:bidi="en_US"/>
        </w:rPr>
      </w:r>
      <w:r>
        <w:rPr>
          <w:lang w:val="en_US" w:bidi="en_US"/>
        </w:rPr>
        <w:t>This section is not explicitly connected with the preceding section in time, place, or theme.</w:t>
      </w:r>
    </w:p>
    <w:p>
      <w:pPr/>
      <w:r>
        <w:rPr>
          <w:lang w:val="en_US" w:bidi="en_US"/>
        </w:rPr>
      </w:r>
      <w:r>
        <w:rPr>
          <w:lang w:val="en_US" w:bidi="en_US"/>
        </w:rPr>
        <w:t>In this section, Jesus cast out a demon that made a man mute (11:14). Some people who were there commented to each other that Jesus was casting out demons by the power of Satan (11:15). Jesus gave them two reasons why this could not be true (11:17–19). He concluded that he cast out demons by the power of God (11:20). Then he told a parable (11:21–22) that showed that he is stronger than Satan.</w:t>
      </w:r>
    </w:p>
    <w:p>
      <w:pPr/>
      <w:r>
        <w:rPr>
          <w:lang w:val="en_US" w:bidi="en_US"/>
        </w:rPr>
      </w:r>
      <w:r>
        <w:rPr>
          <w:lang w:val="en_US" w:bidi="en_US"/>
        </w:rPr>
        <w:t>Some other headings for this section are:</w:t>
      </w:r>
    </w:p>
    <w:p>
      <w:pPr/>
      <w:r>
        <w:rPr>
          <w:lang w:val="en_US" w:bidi="en_US"/>
        </w:rPr>
      </w:r>
      <w:r>
        <w:rPr>
          <w:lang w:val="en_US" w:bidi="en_US"/>
        </w:rPr>
        <w:t>Jesus is stronger than Satan</w:t>
      </w:r>
    </w:p>
    <w:p>
      <w:pPr/>
      <w:r>
        <w:rPr>
          <w:lang w:val="en_US" w:bidi="en_US"/>
        </w:rPr>
      </w:r>
      <w:r>
        <w:rPr>
          <w:lang w:val="en_US" w:bidi="en_US"/>
        </w:rPr>
        <w:t>Jesus and Beelzebub</w:t>
      </w:r>
    </w:p>
    <w:p>
      <w:pPr/>
      <w:r>
        <w:rPr>
          <w:lang w:val="en_US" w:bidi="en_US"/>
        </w:rPr>
      </w:r>
      <w:r>
        <w:rPr>
          <w:lang w:val="en_US" w:bidi="en_US"/>
        </w:rPr>
        <w:t>Jesus sends unclean spirits away by defeating Satan</w:t>
      </w:r>
    </w:p>
    <w:p>
      <w:pPr/>
      <w:r>
        <w:rPr>
          <w:lang w:val="en_US" w:bidi="en_US"/>
        </w:rPr>
      </w:r>
      <w:r>
        <w:rPr>
          <w:lang w:val="en_US" w:bidi="en_US"/>
        </w:rPr>
        <w:t>There are parallel passages for this section in Matthew 12:22–30 and Mark 3:20–27.</w:t>
      </w:r>
    </w:p>
    <w:p>
      <w:pPr>
        <w:pStyle w:val="Heading5"/>
      </w:pPr>
      <w:r>
        <w:rPr>
          <w:lang w:val="en_US" w:bidi="en_US"/>
        </w:rPr>
        <w:t>11:15a</w:t>
      </w:r>
    </w:p>
    <w:p>
      <w:pPr/>
      <w:r>
        <w:rPr>
          <w:lang w:val="en_US" w:bidi="en_US"/>
        </w:rPr>
      </w:r>
      <w:r>
        <w:rPr>
          <w:b/>
          <w:lang w:val="en_US" w:bidi="en_US"/>
        </w:rPr>
        <w:t>but some of them said,</w:t>
      </w:r>
    </w:p>
    <w:p>
      <w:pPr>
        <w:pStyle w:val="ListBullet"/>
        <w:spacing w:line="240" w:lineRule="auto"/>
        <w:ind w:left="720"/>
      </w:pPr>
      <w:r>
        <w:rPr>
          <w:lang w:val="en_US" w:bidi="en_US"/>
        </w:rPr>
      </w:r>
      <w:r>
        <w:rPr>
          <w:lang w:val="en_US" w:bidi="en_US"/>
        </w:rPr>
        <w:t>But some of the people said,</w:t>
      </w:r>
    </w:p>
    <w:p>
      <w:pPr>
        <w:pStyle w:val="ListBullet"/>
        <w:spacing w:line="240" w:lineRule="auto"/>
        <w:ind w:left="720"/>
      </w:pPr>
      <w:r>
        <w:rPr>
          <w:lang w:val="en_US" w:bidi="en_US"/>
        </w:rPr>
      </w:r>
      <w:r>
        <w:rPr>
          <w:lang w:val="en_US" w:bidi="en_US"/>
        </w:rPr>
        <w:t xml:space="preserve">But some people </w:t>
      </w:r>
      <w:r>
        <w:rPr>
          <w:lang w:val="en_US" w:bidi="en_US"/>
        </w:rPr>
        <w:t>in the crowd</w:t>
      </w:r>
      <w:r>
        <w:rPr>
          <w:lang w:val="en_US" w:bidi="en_US"/>
        </w:rPr>
        <w:t xml:space="preserve"> said </w:t>
      </w:r>
      <w:r>
        <w:rPr>
          <w:lang w:val="en_US" w:bidi="en_US"/>
        </w:rPr>
        <w:t>to each other</w:t>
      </w:r>
      <w:r>
        <w:rPr>
          <w:lang w:val="en_US" w:bidi="en_US"/>
        </w:rPr>
        <w:t>:</w:t>
      </w:r>
    </w:p>
    <w:p>
      <w:pPr/>
      <w:r>
        <w:rPr>
          <w:lang w:val="en_US" w:bidi="en_US"/>
        </w:rPr>
      </w:r>
      <w:r>
        <w:rPr>
          <w:b/>
          <w:lang w:val="en_US" w:bidi="en_US"/>
        </w:rPr>
        <w:t>but some of them said:</w:t>
      </w:r>
      <w:r>
        <w:rPr>
          <w:lang w:val="en_US" w:bidi="en_US"/>
        </w:rPr>
        <w:t xml:space="preserve"> This clause contrasts some of the people in the crowd with the crowd in general. Most of the people were amazed. The smaller group in the crowd spoke to each other, not directly to Jesus. In some languages, it may be clearer to make this explicit. For example:</w:t>
      </w:r>
    </w:p>
    <w:p>
      <w:pPr/>
      <w:r>
        <w:rPr>
          <w:lang w:val="en_US" w:bidi="en_US"/>
        </w:rPr>
      </w:r>
      <w:r>
        <w:rPr>
          <w:lang w:val="en_US" w:bidi="en_US"/>
        </w:rPr>
        <w:t xml:space="preserve">But some people </w:t>
      </w:r>
      <w:r>
        <w:rPr>
          <w:lang w:val="en_US" w:bidi="en_US"/>
        </w:rPr>
        <w:t>in the crowd</w:t>
      </w:r>
      <w:r>
        <w:rPr>
          <w:lang w:val="en_US" w:bidi="en_US"/>
        </w:rPr>
        <w:t xml:space="preserve"> said </w:t>
      </w:r>
      <w:r>
        <w:rPr>
          <w:lang w:val="en_US" w:bidi="en_US"/>
        </w:rPr>
        <w:t>to each other</w:t>
      </w:r>
    </w:p>
    <w:p>
      <w:pPr/>
      <w:r>
        <w:rPr>
          <w:lang w:val="en_US" w:bidi="en_US"/>
        </w:rPr>
      </w:r>
      <w:r>
        <w:rPr>
          <w:lang w:val="en_US" w:bidi="en_US"/>
        </w:rPr>
        <w:t xml:space="preserve">But some of them said </w:t>
      </w:r>
      <w:r>
        <w:rPr>
          <w:lang w:val="en_US" w:bidi="en_US"/>
        </w:rPr>
        <w:t>about Jesus</w:t>
      </w:r>
    </w:p>
    <w:p>
      <w:pPr/>
      <w:r>
        <w:rPr>
          <w:lang w:val="en_US" w:bidi="en_US"/>
        </w:rPr>
      </w:r>
      <w:r>
        <w:rPr>
          <w:lang w:val="en_US" w:bidi="en_US"/>
        </w:rPr>
        <w:t>This group is a different group than the “others” in 11:16 who asked Jesus directly for a sign.</w:t>
      </w:r>
    </w:p>
    <w:p>
      <w:pPr>
        <w:pStyle w:val="Heading5"/>
      </w:pPr>
      <w:r>
        <w:rPr>
          <w:lang w:val="en_US" w:bidi="en_US"/>
        </w:rPr>
        <w:t>11:15b</w:t>
      </w:r>
    </w:p>
    <w:p>
      <w:pPr/>
      <w:r>
        <w:rPr>
          <w:lang w:val="en_US" w:bidi="en_US"/>
        </w:rPr>
      </w:r>
      <w:r>
        <w:rPr>
          <w:b/>
          <w:lang w:val="en_US" w:bidi="en_US"/>
        </w:rPr>
        <w:t>“It is by Beelzebul, the prince of the demons,</w:t>
      </w:r>
    </w:p>
    <w:p>
      <w:pPr>
        <w:pStyle w:val="ListBullet"/>
        <w:spacing w:line="240" w:lineRule="auto"/>
        <w:ind w:left="720"/>
      </w:pPr>
      <w:r>
        <w:rPr>
          <w:lang w:val="en_US" w:bidi="en_US"/>
        </w:rPr>
      </w:r>
      <w:r>
        <w:rPr>
          <w:lang w:val="en_US" w:bidi="en_US"/>
        </w:rPr>
        <w:t>“</w:t>
      </w:r>
      <w:r>
        <w:rPr>
          <w:lang w:val="en_US" w:bidi="en_US"/>
        </w:rPr>
        <w:t>It is</w:t>
      </w:r>
      <w:r>
        <w:rPr>
          <w:lang w:val="en_US" w:bidi="en_US"/>
        </w:rPr>
        <w:t xml:space="preserve"> by </w:t>
      </w:r>
      <w:r>
        <w:rPr>
          <w:lang w:val="en_US" w:bidi="en_US"/>
        </w:rPr>
        <w:t>the power of</w:t>
      </w:r>
      <w:r>
        <w:rPr>
          <w:lang w:val="en_US" w:bidi="en_US"/>
        </w:rPr>
        <w:t xml:space="preserve"> Beelzebul, the leader of the demons,</w:t>
      </w:r>
    </w:p>
    <w:p>
      <w:pPr>
        <w:pStyle w:val="ListBullet"/>
        <w:spacing w:line="240" w:lineRule="auto"/>
        <w:ind w:left="720"/>
      </w:pPr>
      <w:r>
        <w:rPr>
          <w:lang w:val="en_US" w:bidi="en_US"/>
        </w:rPr>
      </w:r>
      <w:r>
        <w:rPr>
          <w:lang w:val="en_US" w:bidi="en_US"/>
        </w:rPr>
        <w:t xml:space="preserve">“Jesus is using </w:t>
      </w:r>
      <w:r>
        <w:rPr>
          <w:lang w:val="en_US" w:bidi="en_US"/>
        </w:rPr>
        <w:t>the power of</w:t>
      </w:r>
      <w:r>
        <w:rPr>
          <w:lang w:val="en_US" w:bidi="en_US"/>
        </w:rPr>
        <w:t xml:space="preserve"> Satan, the chief of evil spirits,</w:t>
      </w:r>
    </w:p>
    <w:p>
      <w:pPr>
        <w:pStyle w:val="ListBullet"/>
        <w:spacing w:line="240" w:lineRule="auto"/>
        <w:ind w:left="720"/>
      </w:pPr>
      <w:r>
        <w:rPr>
          <w:lang w:val="en_US" w:bidi="en_US"/>
        </w:rPr>
      </w:r>
      <w:r>
        <w:rPr>
          <w:lang w:val="en_US" w:bidi="en_US"/>
        </w:rPr>
        <w:t>“</w:t>
      </w:r>
      <w:r>
        <w:rPr>
          <w:lang w:val="en_US" w:bidi="en_US"/>
        </w:rPr>
        <w:t>It is</w:t>
      </w:r>
      <w:r>
        <w:rPr>
          <w:lang w:val="en_US" w:bidi="en_US"/>
        </w:rPr>
        <w:t xml:space="preserve"> Beelzebul, the ruler of the demons, who has given him the help/power</w:t>
      </w:r>
    </w:p>
    <w:p>
      <w:pPr/>
      <w:r>
        <w:rPr>
          <w:lang w:val="en_US" w:bidi="en_US"/>
        </w:rPr>
      </w:r>
      <w:r>
        <w:rPr>
          <w:b/>
          <w:lang w:val="en_US" w:bidi="en_US"/>
        </w:rPr>
        <w:t>It is by Beelzebul, the prince of the demons:</w:t>
      </w:r>
      <w:r>
        <w:rPr>
          <w:lang w:val="en_US" w:bidi="en_US"/>
        </w:rPr>
        <w:t xml:space="preserve"> The Greek word that the BSB transliterates as </w:t>
      </w:r>
      <w:r>
        <w:rPr>
          <w:i/>
          <w:lang w:val="en_US" w:bidi="en_US"/>
        </w:rPr>
        <w:t>Beelzebul</w:t>
      </w:r>
      <w:r>
        <w:rPr>
          <w:lang w:val="en_US" w:bidi="en_US"/>
        </w:rPr>
        <w:t xml:space="preserve"> was the name of a pagan god. The people were using it to refer to Satan.</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 xml:space="preserve">Transliterate the Greek term. The actual Greek term here is best transliterated as </w:t>
      </w:r>
      <w:r>
        <w:rPr>
          <w:i/>
          <w:lang w:val="en_US" w:bidi="en_US"/>
        </w:rPr>
        <w:t>Beelzebul</w:t>
      </w:r>
      <w:r>
        <w:rPr>
          <w:lang w:val="en_US" w:bidi="en_US"/>
        </w:rPr>
        <w:t xml:space="preserve"> (as in the BSB and most English versions). Some English versions, such as the NIV and KJV, have used “Beelzebub” in order to conform to 2 Kings 1:2. If you transliterate this term, it is recommended that you follow the Greek form, Beelzebul.</w:t>
      </w:r>
    </w:p>
    <w:p>
      <w:pPr>
        <w:pStyle w:val="ListBullet"/>
        <w:spacing w:line="240" w:lineRule="auto"/>
        <w:ind w:left="720"/>
      </w:pPr>
      <w:r>
        <w:rPr>
          <w:lang w:val="en_US" w:bidi="en_US"/>
        </w:rPr>
      </w:r>
      <w:r>
        <w:rPr>
          <w:lang w:val="en_US" w:bidi="en_US"/>
        </w:rPr>
        <w:t>Use your word for Satan to replace Beelzebul each time it occurs in this passage. For example:</w:t>
      </w:r>
      <w:r>
        <w:rPr>
          <w:lang w:val="en_US" w:bidi="en_US"/>
        </w:rPr>
        <w:t>He gets his power from Satan (NLT)</w:t>
      </w:r>
    </w:p>
    <w:p>
      <w:pPr/>
      <w:r>
        <w:rPr>
          <w:lang w:val="en_US" w:bidi="en_US"/>
        </w:rPr>
      </w:r>
      <w:r>
        <w:rPr>
          <w:lang w:val="en_US" w:bidi="en_US"/>
        </w:rPr>
        <w:t>It is also recommended that you include a footnote the first time this word occurs. For example:</w:t>
      </w:r>
    </w:p>
    <w:p>
      <w:pPr/>
      <w:r>
        <w:rPr>
          <w:lang w:val="en_US" w:bidi="en_US"/>
        </w:rPr>
      </w:r>
      <w:r>
        <w:rPr>
          <w:lang w:val="en_US" w:bidi="en_US"/>
        </w:rPr>
        <w:t>Beelzebul is another name for Satan.</w:t>
      </w:r>
    </w:p>
    <w:p>
      <w:pPr/>
      <w:r>
        <w:rPr>
          <w:lang w:val="en_US" w:bidi="en_US"/>
        </w:rPr>
      </w:r>
      <w:r>
        <w:rPr>
          <w:lang w:val="en_US" w:bidi="en_US"/>
        </w:rPr>
        <w:t>If you use the word “Satan” instead of “Beelzebul” in 11:15, 11:18b, and 11:19a, it is recommended that you include a footnote at 11:15. For example:</w:t>
      </w:r>
    </w:p>
    <w:p>
      <w:pPr/>
      <w:r>
        <w:rPr>
          <w:lang w:val="en_US" w:bidi="en_US"/>
        </w:rPr>
      </w:r>
      <w:r>
        <w:rPr>
          <w:lang w:val="en_US" w:bidi="en_US"/>
        </w:rPr>
        <w:t>In the Greek of this passage, Satan is actually called “Beelzebul.” “Beelzebul” was the name of a pagan god, and people also used this name to refer to Satan.</w:t>
      </w:r>
    </w:p>
    <w:p>
      <w:pPr/>
      <w:r>
        <w:rPr>
          <w:lang w:val="en_US" w:bidi="en_US"/>
        </w:rPr>
      </w:r>
      <w:r>
        <w:rPr>
          <w:b/>
          <w:lang w:val="en_US" w:bidi="en_US"/>
        </w:rPr>
        <w:t>by Beelzebul:</w:t>
      </w:r>
      <w:r>
        <w:rPr>
          <w:lang w:val="en_US" w:bidi="en_US"/>
        </w:rPr>
        <w:t xml:space="preserve"> The phrase </w:t>
      </w:r>
      <w:r>
        <w:rPr>
          <w:i/>
          <w:lang w:val="en_US" w:bidi="en_US"/>
        </w:rPr>
        <w:t>by Beelzebul</w:t>
      </w:r>
      <w:r>
        <w:rPr>
          <w:lang w:val="en_US" w:bidi="en_US"/>
        </w:rPr>
        <w:t xml:space="preserve"> means “using the power of Beelzebul.” The people were accusing Jesus of using the power of Beelzebul to cast unclean spirits out of people. They did not believe that Jesus did this by the power of God. Some other ways to translate this idea are:</w:t>
      </w:r>
    </w:p>
    <w:p>
      <w:pPr/>
      <w:r>
        <w:rPr>
          <w:lang w:val="en_US" w:bidi="en_US"/>
        </w:rPr>
      </w:r>
      <w:r>
        <w:rPr>
          <w:lang w:val="en_US" w:bidi="en_US"/>
        </w:rPr>
        <w:t>with the help of Beelzebul (GW)</w:t>
      </w:r>
    </w:p>
    <w:p>
      <w:pPr/>
      <w:r>
        <w:rPr>
          <w:lang w:val="en_US" w:bidi="en_US"/>
        </w:rPr>
      </w:r>
      <w:r>
        <w:rPr>
          <w:lang w:val="en_US" w:bidi="en_US"/>
        </w:rPr>
        <w:t>Jesus uses the power of Beelzebul…to force demons out of people. (NCV)</w:t>
      </w:r>
    </w:p>
    <w:p>
      <w:pPr/>
      <w:r>
        <w:rPr>
          <w:lang w:val="en_US" w:bidi="en_US"/>
        </w:rPr>
      </w:r>
      <w:r>
        <w:rPr>
          <w:lang w:val="en_US" w:bidi="en_US"/>
        </w:rPr>
        <w:t>It is Beelzebul…who gives him the power to drive them out. (GNT)</w:t>
      </w:r>
    </w:p>
    <w:p>
      <w:pPr/>
      <w:r>
        <w:rPr>
          <w:lang w:val="en_US" w:bidi="en_US"/>
        </w:rPr>
      </w:r>
      <w:r>
        <w:rPr>
          <w:b/>
          <w:lang w:val="en_US" w:bidi="en_US"/>
        </w:rPr>
        <w:t>the prince of the demons:</w:t>
      </w:r>
      <w:r>
        <w:rPr>
          <w:lang w:val="en_US" w:bidi="en_US"/>
        </w:rPr>
        <w:t xml:space="preserve"> The phrase </w:t>
      </w:r>
      <w:r>
        <w:rPr>
          <w:i/>
          <w:lang w:val="en_US" w:bidi="en_US"/>
        </w:rPr>
        <w:t>the prince of the demons</w:t>
      </w:r>
      <w:r>
        <w:rPr>
          <w:lang w:val="en_US" w:bidi="en_US"/>
        </w:rPr>
        <w:t xml:space="preserve"> means “the leader of the unclean spirits.” This was a reference to Satan, the devil. Some other ways to translate this phrase are:</w:t>
      </w:r>
    </w:p>
    <w:p>
      <w:pPr/>
      <w:r>
        <w:rPr>
          <w:lang w:val="en_US" w:bidi="en_US"/>
        </w:rPr>
      </w:r>
      <w:r>
        <w:rPr>
          <w:lang w:val="en_US" w:bidi="en_US"/>
        </w:rPr>
        <w:t>the ruler of demons (GW)</w:t>
      </w:r>
    </w:p>
    <w:p>
      <w:pPr/>
      <w:r>
        <w:rPr>
          <w:lang w:val="en_US" w:bidi="en_US"/>
        </w:rPr>
      </w:r>
      <w:r>
        <w:rPr>
          <w:lang w:val="en_US" w:bidi="en_US"/>
        </w:rPr>
        <w:t>the chief of the evil spirits (JBP)</w:t>
      </w:r>
    </w:p>
    <w:p>
      <w:pPr/>
      <w:r>
        <w:rPr>
          <w:lang w:val="en_US" w:bidi="en_US"/>
        </w:rPr>
      </w:r>
      <w:r>
        <w:rPr>
          <w:lang w:val="en_US" w:bidi="en_US"/>
        </w:rPr>
        <w:t>See demon in the Glossary.</w:t>
      </w:r>
    </w:p>
    <w:p>
      <w:pPr>
        <w:pStyle w:val="Heading5"/>
      </w:pPr>
      <w:r>
        <w:rPr>
          <w:lang w:val="en_US" w:bidi="en_US"/>
        </w:rPr>
        <w:t>11:15c</w:t>
      </w:r>
    </w:p>
    <w:p>
      <w:pPr/>
      <w:r>
        <w:rPr>
          <w:lang w:val="en_US" w:bidi="en_US"/>
        </w:rPr>
      </w:r>
      <w:r>
        <w:rPr>
          <w:b/>
          <w:lang w:val="en_US" w:bidi="en_US"/>
        </w:rPr>
        <w:t>that He drives out demons.”</w:t>
      </w:r>
    </w:p>
    <w:p>
      <w:pPr>
        <w:pStyle w:val="ListBullet"/>
        <w:spacing w:line="240" w:lineRule="auto"/>
        <w:ind w:left="720"/>
      </w:pPr>
      <w:r>
        <w:rPr>
          <w:lang w:val="en_US" w:bidi="en_US"/>
        </w:rPr>
      </w:r>
      <w:r>
        <w:rPr>
          <w:lang w:val="en_US" w:bidi="en_US"/>
        </w:rPr>
        <w:t>that he is throwing/casting out demons!”</w:t>
      </w:r>
    </w:p>
    <w:p>
      <w:pPr>
        <w:pStyle w:val="ListBullet"/>
        <w:spacing w:line="240" w:lineRule="auto"/>
        <w:ind w:left="720"/>
      </w:pPr>
      <w:r>
        <w:rPr>
          <w:lang w:val="en_US" w:bidi="en_US"/>
        </w:rPr>
      </w:r>
      <w:r>
        <w:rPr>
          <w:lang w:val="en_US" w:bidi="en_US"/>
        </w:rPr>
        <w:t xml:space="preserve">to expel evil spirits </w:t>
      </w:r>
      <w:r>
        <w:rPr>
          <w:lang w:val="en_US" w:bidi="en_US"/>
        </w:rPr>
        <w:t>from people</w:t>
      </w:r>
      <w:r>
        <w:rPr>
          <w:lang w:val="en_US" w:bidi="en_US"/>
        </w:rPr>
        <w:t>!”</w:t>
      </w:r>
    </w:p>
    <w:p>
      <w:pPr>
        <w:pStyle w:val="ListBullet"/>
        <w:spacing w:line="240" w:lineRule="auto"/>
        <w:ind w:left="720"/>
      </w:pPr>
      <w:r>
        <w:rPr>
          <w:lang w:val="en_US" w:bidi="en_US"/>
        </w:rPr>
      </w:r>
      <w:r>
        <w:rPr>
          <w:lang w:val="en_US" w:bidi="en_US"/>
        </w:rPr>
        <w:t>to cause demons to leave people.”</w:t>
      </w:r>
    </w:p>
    <w:p>
      <w:pPr/>
      <w:r>
        <w:rPr>
          <w:lang w:val="en_US" w:bidi="en_US"/>
        </w:rPr>
      </w:r>
      <w:r>
        <w:rPr>
          <w:b/>
          <w:lang w:val="en_US" w:bidi="en_US"/>
        </w:rPr>
        <w:t>drives out:</w:t>
      </w:r>
      <w:r>
        <w:rPr>
          <w:lang w:val="en_US" w:bidi="en_US"/>
        </w:rPr>
        <w:t xml:space="preserve"> The Greek word that the BSB translates as </w:t>
      </w:r>
      <w:r>
        <w:rPr>
          <w:i/>
          <w:lang w:val="en_US" w:bidi="en_US"/>
        </w:rPr>
        <w:t>drives out</w:t>
      </w:r>
      <w:r>
        <w:rPr>
          <w:lang w:val="en_US" w:bidi="en_US"/>
        </w:rPr>
        <w:t xml:space="preserve"> means to cause or force a demon to leave a person. This is the same verb as in 11:14a.</w:t>
      </w:r>
      <w:r>
        <w:rPr>
          <w:lang w:val="en_US" w:bidi="en_US"/>
        </w:rPr>
      </w:r>
      <w:r>
        <w:rPr>
          <w:lang w:val="en_US" w:bidi="en_US"/>
        </w:rPr>
      </w:r>
    </w:p>
    <w:p>
      <w:pPr/>
      <w:r>
        <w:rPr>
          <w:lang w:val="en_US" w:bidi="en_US"/>
        </w:rPr>
      </w:r>
    </w:p>
    <w:p>
      <w:pPr>
        <w:pStyle w:val="Heading2"/>
      </w:pPr>
      <w:r>
        <w:rPr>
          <w:lang w:val="en_US" w:bidi="en_US"/>
        </w:rPr>
        <w:t>Luke 11:16</w:t>
      </w:r>
      <w:r>
        <w:rPr>
          <w:lang w:val="en_US" w:bidi="en_US"/>
        </w:rPr>
      </w:r>
    </w:p>
    <w:p>
      <w:pPr>
        <w:pStyle w:val="Heading4"/>
      </w:pPr>
      <w:r>
        <w:rPr>
          <w:lang w:val="en_US" w:bidi="en_US"/>
        </w:rPr>
        <w:t>Section 11:14–23: Jesus proved that he did not use Satan’s power</w:t>
      </w:r>
    </w:p>
    <w:p>
      <w:pPr/>
      <w:r>
        <w:rPr>
          <w:lang w:val="en_US" w:bidi="en_US"/>
        </w:rPr>
      </w:r>
      <w:r>
        <w:rPr>
          <w:lang w:val="en_US" w:bidi="en_US"/>
        </w:rPr>
        <w:t>This section is not explicitly connected with the preceding section in time, place, or theme.</w:t>
      </w:r>
    </w:p>
    <w:p>
      <w:pPr/>
      <w:r>
        <w:rPr>
          <w:lang w:val="en_US" w:bidi="en_US"/>
        </w:rPr>
      </w:r>
      <w:r>
        <w:rPr>
          <w:lang w:val="en_US" w:bidi="en_US"/>
        </w:rPr>
        <w:t>In this section, Jesus cast out a demon that made a man mute (11:14). Some people who were there commented to each other that Jesus was casting out demons by the power of Satan (11:15). Jesus gave them two reasons why this could not be true (11:17–19). He concluded that he cast out demons by the power of God (11:20). Then he told a parable (11:21–22) that showed that he is stronger than Satan.</w:t>
      </w:r>
    </w:p>
    <w:p>
      <w:pPr/>
      <w:r>
        <w:rPr>
          <w:lang w:val="en_US" w:bidi="en_US"/>
        </w:rPr>
      </w:r>
      <w:r>
        <w:rPr>
          <w:lang w:val="en_US" w:bidi="en_US"/>
        </w:rPr>
        <w:t>Some other headings for this section are:</w:t>
      </w:r>
    </w:p>
    <w:p>
      <w:pPr/>
      <w:r>
        <w:rPr>
          <w:lang w:val="en_US" w:bidi="en_US"/>
        </w:rPr>
      </w:r>
      <w:r>
        <w:rPr>
          <w:lang w:val="en_US" w:bidi="en_US"/>
        </w:rPr>
        <w:t>Jesus is stronger than Satan</w:t>
      </w:r>
    </w:p>
    <w:p>
      <w:pPr/>
      <w:r>
        <w:rPr>
          <w:lang w:val="en_US" w:bidi="en_US"/>
        </w:rPr>
      </w:r>
      <w:r>
        <w:rPr>
          <w:lang w:val="en_US" w:bidi="en_US"/>
        </w:rPr>
        <w:t>Jesus and Beelzebub</w:t>
      </w:r>
    </w:p>
    <w:p>
      <w:pPr/>
      <w:r>
        <w:rPr>
          <w:lang w:val="en_US" w:bidi="en_US"/>
        </w:rPr>
      </w:r>
      <w:r>
        <w:rPr>
          <w:lang w:val="en_US" w:bidi="en_US"/>
        </w:rPr>
        <w:t>Jesus sends unclean spirits away by defeating Satan</w:t>
      </w:r>
    </w:p>
    <w:p>
      <w:pPr/>
      <w:r>
        <w:rPr>
          <w:lang w:val="en_US" w:bidi="en_US"/>
        </w:rPr>
      </w:r>
      <w:r>
        <w:rPr>
          <w:lang w:val="en_US" w:bidi="en_US"/>
        </w:rPr>
        <w:t>There are parallel passages for this section in Matthew 12:22–30 and Mark 3:20–27.</w:t>
      </w:r>
    </w:p>
    <w:p>
      <w:pPr>
        <w:pStyle w:val="Heading5"/>
      </w:pPr>
      <w:r>
        <w:rPr>
          <w:lang w:val="en_US" w:bidi="en_US"/>
        </w:rPr>
        <w:t>11:16</w:t>
      </w:r>
    </w:p>
    <w:p>
      <w:pPr/>
      <w:r>
        <w:rPr>
          <w:lang w:val="en_US" w:bidi="en_US"/>
        </w:rPr>
      </w:r>
      <w:r>
        <w:rPr>
          <w:b/>
          <w:lang w:val="en_US" w:bidi="en_US"/>
        </w:rPr>
        <w:t>And others tested Him by demanding a sign from heaven.</w:t>
      </w:r>
    </w:p>
    <w:p>
      <w:pPr>
        <w:pStyle w:val="ListBullet"/>
        <w:spacing w:line="240" w:lineRule="auto"/>
        <w:ind w:left="720"/>
      </w:pPr>
      <w:r>
        <w:rPr>
          <w:lang w:val="en_US" w:bidi="en_US"/>
        </w:rPr>
      </w:r>
      <w:r>
        <w:rPr>
          <w:lang w:val="en_US" w:bidi="en_US"/>
        </w:rPr>
        <w:t xml:space="preserve">There were others who tested him by asking </w:t>
      </w:r>
      <w:r>
        <w:rPr>
          <w:lang w:val="en_US" w:bidi="en_US"/>
        </w:rPr>
        <w:t>him to show them</w:t>
      </w:r>
      <w:r>
        <w:rPr>
          <w:lang w:val="en_US" w:bidi="en_US"/>
        </w:rPr>
        <w:t xml:space="preserve"> an </w:t>
      </w:r>
      <w:r>
        <w:rPr>
          <w:lang w:val="en_US" w:bidi="en_US"/>
        </w:rPr>
        <w:t>amazing</w:t>
      </w:r>
      <w:r>
        <w:rPr>
          <w:lang w:val="en_US" w:bidi="en_US"/>
        </w:rPr>
        <w:t xml:space="preserve"> sign </w:t>
      </w:r>
      <w:r>
        <w:rPr>
          <w:lang w:val="en_US" w:bidi="en_US"/>
        </w:rPr>
        <w:t>that his power came</w:t>
      </w:r>
      <w:r>
        <w:rPr>
          <w:lang w:val="en_US" w:bidi="en_US"/>
        </w:rPr>
        <w:t xml:space="preserve"> from God.</w:t>
      </w:r>
    </w:p>
    <w:p>
      <w:pPr>
        <w:pStyle w:val="ListBullet"/>
        <w:spacing w:line="240" w:lineRule="auto"/>
        <w:ind w:left="720"/>
      </w:pPr>
      <w:r>
        <w:rPr>
          <w:lang w:val="en_US" w:bidi="en_US"/>
        </w:rPr>
      </w:r>
      <w:r>
        <w:rPr>
          <w:lang w:val="en_US" w:bidi="en_US"/>
        </w:rPr>
        <w:t xml:space="preserve">Other </w:t>
      </w:r>
      <w:r>
        <w:rPr>
          <w:lang w:val="en_US" w:bidi="en_US"/>
        </w:rPr>
        <w:t>people</w:t>
      </w:r>
      <w:r>
        <w:rPr>
          <w:lang w:val="en_US" w:bidi="en_US"/>
        </w:rPr>
        <w:t xml:space="preserve"> asked him to do a miracle </w:t>
      </w:r>
      <w:r>
        <w:rPr>
          <w:lang w:val="en_US" w:bidi="en_US"/>
        </w:rPr>
        <w:t>to prove</w:t>
      </w:r>
      <w:r>
        <w:rPr>
          <w:lang w:val="en_US" w:bidi="en_US"/>
        </w:rPr>
        <w:t xml:space="preserve"> that God </w:t>
      </w:r>
      <w:r>
        <w:rPr>
          <w:lang w:val="en_US" w:bidi="en_US"/>
        </w:rPr>
        <w:t>had really sent him</w:t>
      </w:r>
      <w:r>
        <w:rPr>
          <w:lang w:val="en_US" w:bidi="en_US"/>
        </w:rPr>
        <w:t>.</w:t>
      </w:r>
    </w:p>
    <w:p>
      <w:pPr/>
      <w:r>
        <w:rPr>
          <w:lang w:val="en_US" w:bidi="en_US"/>
        </w:rPr>
      </w:r>
      <w:r>
        <w:rPr>
          <w:b/>
          <w:lang w:val="en_US" w:bidi="en_US"/>
        </w:rPr>
        <w:t>others:</w:t>
      </w:r>
      <w:r>
        <w:rPr>
          <w:lang w:val="en_US" w:bidi="en_US"/>
        </w:rPr>
        <w:t xml:space="preserve"> The word </w:t>
      </w:r>
      <w:r>
        <w:rPr>
          <w:i/>
          <w:lang w:val="en_US" w:bidi="en_US"/>
        </w:rPr>
        <w:t>others</w:t>
      </w:r>
      <w:r>
        <w:rPr>
          <w:lang w:val="en_US" w:bidi="en_US"/>
        </w:rPr>
        <w:t xml:space="preserve"> refers to yet a different group in the crowd. This group addressed Jesus directly. Introduce this other group in a way that is natural in your language.</w:t>
      </w:r>
    </w:p>
    <w:p>
      <w:pPr/>
      <w:r>
        <w:rPr>
          <w:lang w:val="en_US" w:bidi="en_US"/>
        </w:rPr>
      </w:r>
      <w:r>
        <w:rPr>
          <w:b/>
          <w:lang w:val="en_US" w:bidi="en_US"/>
        </w:rPr>
        <w:t>tested Him:</w:t>
      </w:r>
      <w:r>
        <w:rPr>
          <w:lang w:val="en_US" w:bidi="en_US"/>
        </w:rPr>
        <w:t xml:space="preserve"> The Greek word that the BSB here translates as </w:t>
      </w:r>
      <w:r>
        <w:rPr>
          <w:i/>
          <w:lang w:val="en_US" w:bidi="en_US"/>
        </w:rPr>
        <w:t>tested</w:t>
      </w:r>
      <w:r>
        <w:rPr>
          <w:lang w:val="en_US" w:bidi="en_US"/>
        </w:rPr>
        <w:t xml:space="preserve"> means “to examine in order to determine certain characteristics.”</w:t>
      </w:r>
      <w:r>
        <w:rPr>
          <w:lang w:val="en_US" w:bidi="en_US"/>
        </w:rPr>
        <w:t>This same Greek word also means “tempted” in some contexts. (For example, in Luke 4:2 the BSB translates this word as “tempted.”) This is why the KJV translates this word as “tempted” here in 11:16. The context determines its exact meaning.</w:t>
      </w:r>
      <w:r>
        <w:rPr>
          <w:lang w:val="en_US" w:bidi="en_US"/>
        </w:rPr>
        <w:t xml:space="preserve"> Here certain people wanted to examine Jesus to determine whether he came from God and whether his power came from God. They did this by asking him for a sign from heaven.</w:t>
      </w:r>
    </w:p>
    <w:p>
      <w:pPr/>
      <w:r>
        <w:rPr>
          <w:lang w:val="en_US" w:bidi="en_US"/>
        </w:rPr>
      </w:r>
      <w:r>
        <w:rPr>
          <w:lang w:val="en_US" w:bidi="en_US"/>
        </w:rPr>
        <w:t>In the context of 11:17a, these people were probably not trying honestly to determine the truth about Jesus’ authority. They were probably trying to discredit him. In some languages, it may be clearer to express this negative aspect of “tested.” For example:</w:t>
      </w:r>
    </w:p>
    <w:p>
      <w:pPr/>
      <w:r>
        <w:rPr>
          <w:lang w:val="en_US" w:bidi="en_US"/>
        </w:rPr>
      </w:r>
      <w:r>
        <w:rPr>
          <w:lang w:val="en_US" w:bidi="en_US"/>
        </w:rPr>
        <w:t>Others wanted to trap Jesus (GNT)</w:t>
      </w:r>
    </w:p>
    <w:p>
      <w:pPr/>
      <w:r>
        <w:rPr>
          <w:lang w:val="en_US" w:bidi="en_US"/>
        </w:rPr>
      </w:r>
      <w:r>
        <w:rPr>
          <w:b/>
          <w:lang w:val="en_US" w:bidi="en_US"/>
        </w:rPr>
        <w:t>by demanding:</w:t>
      </w:r>
      <w:r>
        <w:rPr>
          <w:lang w:val="en_US" w:bidi="en_US"/>
        </w:rPr>
        <w:t xml:space="preserve"> The Greek verb that the BSB translates as </w:t>
      </w:r>
      <w:r>
        <w:rPr>
          <w:i/>
          <w:lang w:val="en_US" w:bidi="en_US"/>
        </w:rPr>
        <w:t>demanding</w:t>
      </w:r>
      <w:r>
        <w:rPr>
          <w:lang w:val="en_US" w:bidi="en_US"/>
        </w:rPr>
        <w:t xml:space="preserve"> is literally “seeking.” Another way to translate this is:</w:t>
      </w:r>
    </w:p>
    <w:p>
      <w:pPr/>
      <w:r>
        <w:rPr>
          <w:lang w:val="en_US" w:bidi="en_US"/>
        </w:rPr>
      </w:r>
      <w:r>
        <w:rPr>
          <w:lang w:val="en_US" w:bidi="en_US"/>
        </w:rPr>
        <w:t>asking for (NIV)</w:t>
      </w:r>
    </w:p>
    <w:p>
      <w:pPr/>
      <w:r>
        <w:rPr>
          <w:lang w:val="en_US" w:bidi="en_US"/>
        </w:rPr>
      </w:r>
      <w:r>
        <w:rPr>
          <w:b/>
          <w:lang w:val="en_US" w:bidi="en_US"/>
        </w:rPr>
        <w:t>a sign from heaven:</w:t>
      </w:r>
      <w:r>
        <w:rPr>
          <w:lang w:val="en_US" w:bidi="en_US"/>
        </w:rPr>
        <w:t xml:space="preserve"> Here the word </w:t>
      </w:r>
      <w:r>
        <w:rPr>
          <w:i/>
          <w:lang w:val="en_US" w:bidi="en_US"/>
        </w:rPr>
        <w:t>heaven</w:t>
      </w:r>
      <w:r>
        <w:rPr>
          <w:lang w:val="en_US" w:bidi="en_US"/>
        </w:rPr>
        <w:t xml:space="preserve"> is a euphemism for God. So the phrase </w:t>
      </w:r>
      <w:r>
        <w:rPr>
          <w:i/>
          <w:lang w:val="en_US" w:bidi="en_US"/>
        </w:rPr>
        <w:t>a sign from heaven</w:t>
      </w:r>
      <w:r>
        <w:rPr>
          <w:lang w:val="en_US" w:bidi="en_US"/>
        </w:rPr>
        <w:t xml:space="preserve"> means “a sign from God.” For example:</w:t>
      </w:r>
    </w:p>
    <w:p>
      <w:pPr/>
      <w:r>
        <w:rPr>
          <w:lang w:val="en_US" w:bidi="en_US"/>
        </w:rPr>
      </w:r>
      <w:r>
        <w:rPr>
          <w:lang w:val="en_US" w:bidi="en_US"/>
        </w:rPr>
        <w:t>a sign from God (CEV)</w:t>
      </w:r>
    </w:p>
    <w:p>
      <w:pPr/>
      <w:r>
        <w:rPr>
          <w:lang w:val="en_US" w:bidi="en_US"/>
        </w:rPr>
      </w:r>
      <w:r>
        <w:rPr>
          <w:lang w:val="en_US" w:bidi="en_US"/>
        </w:rPr>
        <w:t xml:space="preserve">Some other ways to translate </w:t>
      </w:r>
      <w:r>
        <w:rPr>
          <w:i/>
          <w:lang w:val="en_US" w:bidi="en_US"/>
        </w:rPr>
        <w:t>a sign from heaven</w:t>
      </w:r>
      <w:r>
        <w:rPr>
          <w:lang w:val="en_US" w:bidi="en_US"/>
        </w:rPr>
        <w:t xml:space="preserve"> are:</w:t>
      </w:r>
    </w:p>
    <w:p>
      <w:pPr/>
      <w:r>
        <w:rPr>
          <w:lang w:val="en_US" w:bidi="en_US"/>
        </w:rPr>
      </w:r>
      <w:r>
        <w:rPr>
          <w:lang w:val="en_US" w:bidi="en_US"/>
        </w:rPr>
        <w:t>a miraculous sign from heaven (NLT)</w:t>
      </w:r>
    </w:p>
    <w:p>
      <w:pPr/>
      <w:r>
        <w:rPr>
          <w:lang w:val="en_US" w:bidi="en_US"/>
        </w:rPr>
      </w:r>
      <w:r>
        <w:rPr>
          <w:lang w:val="en_US" w:bidi="en_US"/>
        </w:rPr>
        <w:t>a miracle to show that God approved of him (GNT)</w:t>
      </w:r>
    </w:p>
    <w:p>
      <w:pPr/>
      <w:r>
        <w:rPr>
          <w:lang w:val="en_US" w:bidi="en_US"/>
        </w:rPr>
      </w:r>
      <w:r>
        <w:rPr>
          <w:lang w:val="en_US" w:bidi="en_US"/>
        </w:rPr>
        <w:t>See heaven, Meaning 3, in the Glossary.</w:t>
      </w:r>
    </w:p>
    <w:p>
      <w:pPr/>
      <w:r>
        <w:rPr>
          <w:lang w:val="en_US" w:bidi="en_US"/>
        </w:rPr>
      </w:r>
      <w:r>
        <w:rPr>
          <w:lang w:val="en_US" w:bidi="en_US"/>
        </w:rPr>
        <w:t>These people wanted Jesus to do a miracle to prove to them that he drove out the demon by God’s power. One way to translate this would be:</w:t>
      </w:r>
    </w:p>
    <w:p>
      <w:pPr/>
      <w:r>
        <w:rPr>
          <w:lang w:val="en_US" w:bidi="en_US"/>
        </w:rPr>
      </w:r>
      <w:r>
        <w:rPr>
          <w:lang w:val="en_US" w:bidi="en_US"/>
        </w:rPr>
        <w:t xml:space="preserve">Others tested him by asking him to do a miracle </w:t>
      </w:r>
      <w:r>
        <w:rPr>
          <w:lang w:val="en_US" w:bidi="en_US"/>
        </w:rPr>
        <w:t>to show that his power came</w:t>
      </w:r>
      <w:r>
        <w:rPr>
          <w:lang w:val="en_US" w:bidi="en_US"/>
        </w:rPr>
        <w:t xml:space="preserve"> from God.</w:t>
      </w:r>
      <w:r>
        <w:rPr>
          <w:lang w:val="en_US" w:bidi="en_US"/>
        </w:rPr>
      </w:r>
      <w:r>
        <w:rPr>
          <w:lang w:val="en_US" w:bidi="en_US"/>
        </w:rPr>
      </w:r>
    </w:p>
    <w:p>
      <w:pPr/>
      <w:r>
        <w:rPr>
          <w:lang w:val="en_US" w:bidi="en_US"/>
        </w:rPr>
      </w:r>
    </w:p>
    <w:p>
      <w:pPr>
        <w:pStyle w:val="Heading2"/>
      </w:pPr>
      <w:r>
        <w:rPr>
          <w:lang w:val="en_US" w:bidi="en_US"/>
        </w:rPr>
        <w:t>Luke 11:17</w:t>
      </w:r>
      <w:r>
        <w:rPr>
          <w:lang w:val="en_US" w:bidi="en_US"/>
        </w:rPr>
      </w:r>
    </w:p>
    <w:p>
      <w:pPr>
        <w:pStyle w:val="Heading4"/>
      </w:pPr>
      <w:r>
        <w:rPr>
          <w:lang w:val="en_US" w:bidi="en_US"/>
        </w:rPr>
        <w:t>Section 11:14–23: Jesus proved that he did not use Satan’s power</w:t>
      </w:r>
    </w:p>
    <w:p>
      <w:pPr/>
      <w:r>
        <w:rPr>
          <w:lang w:val="en_US" w:bidi="en_US"/>
        </w:rPr>
      </w:r>
      <w:r>
        <w:rPr>
          <w:lang w:val="en_US" w:bidi="en_US"/>
        </w:rPr>
        <w:t>This section is not explicitly connected with the preceding section in time, place, or theme.</w:t>
      </w:r>
    </w:p>
    <w:p>
      <w:pPr/>
      <w:r>
        <w:rPr>
          <w:lang w:val="en_US" w:bidi="en_US"/>
        </w:rPr>
      </w:r>
      <w:r>
        <w:rPr>
          <w:lang w:val="en_US" w:bidi="en_US"/>
        </w:rPr>
        <w:t>In this section, Jesus cast out a demon that made a man mute (11:14). Some people who were there commented to each other that Jesus was casting out demons by the power of Satan (11:15). Jesus gave them two reasons why this could not be true (11:17–19). He concluded that he cast out demons by the power of God (11:20). Then he told a parable (11:21–22) that showed that he is stronger than Satan.</w:t>
      </w:r>
    </w:p>
    <w:p>
      <w:pPr/>
      <w:r>
        <w:rPr>
          <w:lang w:val="en_US" w:bidi="en_US"/>
        </w:rPr>
      </w:r>
      <w:r>
        <w:rPr>
          <w:lang w:val="en_US" w:bidi="en_US"/>
        </w:rPr>
        <w:t>Some other headings for this section are:</w:t>
      </w:r>
    </w:p>
    <w:p>
      <w:pPr/>
      <w:r>
        <w:rPr>
          <w:lang w:val="en_US" w:bidi="en_US"/>
        </w:rPr>
      </w:r>
      <w:r>
        <w:rPr>
          <w:lang w:val="en_US" w:bidi="en_US"/>
        </w:rPr>
        <w:t>Jesus is stronger than Satan</w:t>
      </w:r>
    </w:p>
    <w:p>
      <w:pPr/>
      <w:r>
        <w:rPr>
          <w:lang w:val="en_US" w:bidi="en_US"/>
        </w:rPr>
      </w:r>
      <w:r>
        <w:rPr>
          <w:lang w:val="en_US" w:bidi="en_US"/>
        </w:rPr>
        <w:t>Jesus and Beelzebub</w:t>
      </w:r>
    </w:p>
    <w:p>
      <w:pPr/>
      <w:r>
        <w:rPr>
          <w:lang w:val="en_US" w:bidi="en_US"/>
        </w:rPr>
      </w:r>
      <w:r>
        <w:rPr>
          <w:lang w:val="en_US" w:bidi="en_US"/>
        </w:rPr>
        <w:t>Jesus sends unclean spirits away by defeating Satan</w:t>
      </w:r>
    </w:p>
    <w:p>
      <w:pPr/>
      <w:r>
        <w:rPr>
          <w:lang w:val="en_US" w:bidi="en_US"/>
        </w:rPr>
      </w:r>
      <w:r>
        <w:rPr>
          <w:lang w:val="en_US" w:bidi="en_US"/>
        </w:rPr>
        <w:t>There are parallel passages for this section in Matthew 12:22–30 and Mark 3:20–27.</w:t>
      </w:r>
    </w:p>
    <w:p>
      <w:pPr>
        <w:pStyle w:val="Heading4"/>
      </w:pPr>
      <w:r>
        <w:rPr>
          <w:lang w:val="en_US" w:bidi="en_US"/>
        </w:rPr>
        <w:t>Paragraph 11:17–20</w:t>
      </w:r>
    </w:p>
    <w:p>
      <w:pPr/>
      <w:r>
        <w:rPr>
          <w:lang w:val="en_US" w:bidi="en_US"/>
        </w:rPr>
      </w:r>
      <w:r>
        <w:rPr>
          <w:lang w:val="en_US" w:bidi="en_US"/>
        </w:rPr>
        <w:t>In this paragraph Jesus gave two arguments to prove that he was not using Beelzebul’s power to drive out demons. He was using God’s power. The two arguments are:</w:t>
      </w:r>
    </w:p>
    <w:p>
      <w:pPr>
        <w:pStyle w:val="ListNumber"/>
        <w:numPr>
          <w:ilvl w:val="0"/>
          <w:numId w:val="219"/>
        </w:numPr>
        <w:spacing w:line="240" w:lineRule="auto"/>
        <w:ind w:left="720"/>
      </w:pPr>
      <w:r>
        <w:rPr>
          <w:lang w:val="en_US" w:bidi="en_US"/>
        </w:rPr>
      </w:r>
      <w:r>
        <w:rPr>
          <w:lang w:val="en_US" w:bidi="en_US"/>
        </w:rPr>
        <w:t>If he were using Beelzebul’s power, then Beelzebul would be fighting against his own demons and would destroy his own kingdom (11:17–18).</w:t>
      </w:r>
    </w:p>
    <w:p>
      <w:pPr>
        <w:pStyle w:val="ListNumber"/>
        <w:spacing w:line="240" w:lineRule="auto"/>
        <w:ind w:left="720"/>
      </w:pPr>
      <w:r>
        <w:rPr>
          <w:lang w:val="en_US" w:bidi="en_US"/>
        </w:rPr>
      </w:r>
      <w:r>
        <w:rPr>
          <w:lang w:val="en_US" w:bidi="en_US"/>
        </w:rPr>
        <w:t>If he were using Beelzebul’s power, then his accusers would need to explain why they did not also accuse other Jewish exorcists of using Beelzebul’s power (11:19).</w:t>
      </w:r>
    </w:p>
    <w:p>
      <w:pPr/>
      <w:r>
        <w:rPr>
          <w:lang w:val="en_US" w:bidi="en_US"/>
        </w:rPr>
      </w:r>
      <w:r>
        <w:rPr>
          <w:lang w:val="en_US" w:bidi="en_US"/>
        </w:rPr>
        <w:t>No one would accept the conclusion to these arguments, so there was only one alternative: Jesus was using God’s power (11:20).</w:t>
      </w:r>
    </w:p>
    <w:p>
      <w:pPr>
        <w:pStyle w:val="Heading5"/>
      </w:pPr>
      <w:r>
        <w:rPr>
          <w:lang w:val="en_US" w:bidi="en_US"/>
        </w:rPr>
        <w:t>11:17a</w:t>
      </w:r>
    </w:p>
    <w:p>
      <w:pPr/>
      <w:r>
        <w:rPr>
          <w:lang w:val="en_US" w:bidi="en_US"/>
        </w:rPr>
      </w:r>
      <w:r>
        <w:rPr>
          <w:b/>
          <w:lang w:val="en_US" w:bidi="en_US"/>
        </w:rPr>
        <w:t>Knowing their thoughts, Jesus said to them,</w:t>
      </w:r>
    </w:p>
    <w:p>
      <w:pPr>
        <w:pStyle w:val="ListBullet"/>
        <w:spacing w:line="240" w:lineRule="auto"/>
        <w:ind w:left="720"/>
      </w:pPr>
      <w:r>
        <w:rPr>
          <w:lang w:val="en_US" w:bidi="en_US"/>
        </w:rPr>
      </w:r>
      <w:r>
        <w:rPr>
          <w:lang w:val="en_US" w:bidi="en_US"/>
        </w:rPr>
        <w:t xml:space="preserve">¶ But Jesus knew what they thought </w:t>
      </w:r>
      <w:r>
        <w:rPr>
          <w:lang w:val="en_US" w:bidi="en_US"/>
        </w:rPr>
        <w:t>about him</w:t>
      </w:r>
      <w:r>
        <w:rPr>
          <w:lang w:val="en_US" w:bidi="en_US"/>
        </w:rPr>
        <w:t>, so he said to them:</w:t>
      </w:r>
    </w:p>
    <w:p>
      <w:pPr>
        <w:pStyle w:val="ListBullet"/>
        <w:spacing w:line="240" w:lineRule="auto"/>
        <w:ind w:left="720"/>
      </w:pPr>
      <w:r>
        <w:rPr>
          <w:lang w:val="en_US" w:bidi="en_US"/>
        </w:rPr>
      </w:r>
      <w:r>
        <w:rPr>
          <w:lang w:val="en_US" w:bidi="en_US"/>
        </w:rPr>
        <w:t>¶ But Jesus knew what was in their minds, so he told them:</w:t>
      </w:r>
    </w:p>
    <w:p>
      <w:pPr/>
      <w:r>
        <w:rPr>
          <w:lang w:val="en_US" w:bidi="en_US"/>
        </w:rPr>
      </w:r>
      <w:r>
        <w:rPr>
          <w:lang w:val="en_US" w:bidi="en_US"/>
        </w:rPr>
        <w:t>In Greek, this verse begins with a phrase that is literally “but he.” This emphatic phrase shows a turning point in the story. It contrasts the unspoken motives of the various groups in the crowd with the fact that Jesus knew what they thought even though they did not say it. The BSB does not indicate this emphatic contrast explicitly. In some languages, there may be a natural way to do this. For example:</w:t>
      </w:r>
    </w:p>
    <w:p>
      <w:pPr/>
      <w:r>
        <w:rPr>
          <w:lang w:val="en_US" w:bidi="en_US"/>
        </w:rPr>
      </w:r>
      <w:r>
        <w:rPr>
          <w:lang w:val="en_US" w:bidi="en_US"/>
        </w:rPr>
        <w:t>But he (RSV)</w:t>
      </w:r>
    </w:p>
    <w:p>
      <w:pPr/>
      <w:r>
        <w:rPr>
          <w:lang w:val="en_US" w:bidi="en_US"/>
        </w:rPr>
      </w:r>
      <w:r>
        <w:rPr>
          <w:lang w:val="en_US" w:bidi="en_US"/>
        </w:rPr>
        <w:t>But as for Jesus, he</w:t>
      </w:r>
    </w:p>
    <w:p>
      <w:pPr/>
      <w:r>
        <w:rPr>
          <w:lang w:val="en_US" w:bidi="en_US"/>
        </w:rPr>
      </w:r>
      <w:r>
        <w:rPr>
          <w:b/>
          <w:lang w:val="en_US" w:bidi="en_US"/>
        </w:rPr>
        <w:t>Knowing their thoughts, Jesus:</w:t>
      </w:r>
      <w:r>
        <w:rPr>
          <w:lang w:val="en_US" w:bidi="en_US"/>
        </w:rPr>
        <w:t xml:space="preserve"> Jesus knew what the different groups of people in 11:15–16 were thinking. He knew what the people who spoke about him in 11:15 were thinking. He also knew the real motives of the people who wanted a sign (11:16).</w:t>
      </w:r>
    </w:p>
    <w:p>
      <w:pPr/>
      <w:r>
        <w:rPr>
          <w:lang w:val="en_US" w:bidi="en_US"/>
        </w:rPr>
      </w:r>
      <w:r>
        <w:rPr>
          <w:b/>
          <w:lang w:val="en_US" w:bidi="en_US"/>
        </w:rPr>
        <w:t>said to them:</w:t>
      </w:r>
      <w:r>
        <w:rPr>
          <w:lang w:val="en_US" w:bidi="en_US"/>
        </w:rPr>
        <w:t xml:space="preserve"> The phrase </w:t>
      </w:r>
      <w:r>
        <w:rPr>
          <w:i/>
          <w:lang w:val="en_US" w:bidi="en_US"/>
        </w:rPr>
        <w:t>said to them</w:t>
      </w:r>
      <w:r>
        <w:rPr>
          <w:lang w:val="en_US" w:bidi="en_US"/>
        </w:rPr>
        <w:t xml:space="preserve"> expresses the result of Jesus knowing their thoughts. Some English versions indicate that this is a result by using the word “so.” For example:</w:t>
      </w:r>
    </w:p>
    <w:p>
      <w:pPr/>
      <w:r>
        <w:rPr>
          <w:lang w:val="en_US" w:bidi="en_US"/>
        </w:rPr>
      </w:r>
      <w:r>
        <w:rPr>
          <w:lang w:val="en_US" w:bidi="en_US"/>
        </w:rPr>
        <w:t>so he said to them (GNT)</w:t>
      </w:r>
    </w:p>
    <w:p>
      <w:pPr/>
      <w:r>
        <w:rPr>
          <w:lang w:val="en_US" w:bidi="en_US"/>
        </w:rPr>
      </w:r>
      <w:r>
        <w:rPr>
          <w:lang w:val="en_US" w:bidi="en_US"/>
        </w:rPr>
        <w:t>Express this relationship in a way that is natural in your language.</w:t>
      </w:r>
    </w:p>
    <w:p>
      <w:pPr>
        <w:pStyle w:val="Heading5"/>
      </w:pPr>
      <w:r>
        <w:rPr>
          <w:lang w:val="en_US" w:bidi="en_US"/>
        </w:rPr>
        <w:t>11:17b</w:t>
      </w:r>
    </w:p>
    <w:p>
      <w:pPr/>
      <w:r>
        <w:rPr>
          <w:lang w:val="en_US" w:bidi="en_US"/>
        </w:rPr>
      </w:r>
      <w:r>
        <w:rPr>
          <w:b/>
          <w:lang w:val="en_US" w:bidi="en_US"/>
        </w:rPr>
        <w:t>“Every kingdom divided against itself will be laid waste,</w:t>
      </w:r>
    </w:p>
    <w:p>
      <w:pPr>
        <w:pStyle w:val="ListBullet"/>
        <w:spacing w:line="240" w:lineRule="auto"/>
        <w:ind w:left="720"/>
      </w:pPr>
      <w:r>
        <w:rPr>
          <w:lang w:val="en_US" w:bidi="en_US"/>
        </w:rPr>
      </w:r>
      <w:r>
        <w:rPr>
          <w:lang w:val="en_US" w:bidi="en_US"/>
        </w:rPr>
        <w:t>“If there is a kingdom/country that splits/divides itself into groups that fight each other, it will be ruined/destroyed,</w:t>
      </w:r>
    </w:p>
    <w:p>
      <w:pPr>
        <w:pStyle w:val="ListBullet"/>
        <w:spacing w:line="240" w:lineRule="auto"/>
        <w:ind w:left="720"/>
      </w:pPr>
      <w:r>
        <w:rPr>
          <w:lang w:val="en_US" w:bidi="en_US"/>
        </w:rPr>
      </w:r>
      <w:r>
        <w:rPr>
          <w:lang w:val="en_US" w:bidi="en_US"/>
        </w:rPr>
        <w:t>“No nation whose people fight against one another will last long.</w:t>
      </w:r>
    </w:p>
    <w:p>
      <w:pPr>
        <w:pStyle w:val="ListBullet"/>
        <w:spacing w:line="240" w:lineRule="auto"/>
        <w:ind w:left="720"/>
      </w:pPr>
      <w:r>
        <w:rPr>
          <w:lang w:val="en_US" w:bidi="en_US"/>
        </w:rPr>
      </w:r>
      <w:r>
        <w:rPr>
          <w:lang w:val="en_US" w:bidi="en_US"/>
        </w:rPr>
        <w:t>“If clans within the same tribe war/fight with one another, they will destroy their own tribe.</w:t>
      </w:r>
    </w:p>
    <w:p>
      <w:pPr/>
      <w:r>
        <w:rPr>
          <w:lang w:val="en_US" w:bidi="en_US"/>
        </w:rPr>
      </w:r>
      <w:r>
        <w:rPr>
          <w:b/>
          <w:lang w:val="en_US" w:bidi="en_US"/>
        </w:rPr>
        <w:t>Every kingdom divided against itself:</w:t>
      </w:r>
      <w:r>
        <w:rPr>
          <w:lang w:val="en_US" w:bidi="en_US"/>
        </w:rPr>
        <w:t xml:space="preserve"> The phrase </w:t>
      </w:r>
      <w:r>
        <w:rPr>
          <w:i/>
          <w:lang w:val="en_US" w:bidi="en_US"/>
        </w:rPr>
        <w:t>Every kingdom divided against itself</w:t>
      </w:r>
      <w:r>
        <w:rPr>
          <w:lang w:val="en_US" w:bidi="en_US"/>
        </w:rPr>
        <w:t xml:space="preserve"> describes a civil war. It refers to any nation or country where different groups within that country fight one another. Some other ways to translate this phrase are:</w:t>
      </w:r>
    </w:p>
    <w:p>
      <w:pPr/>
      <w:r>
        <w:rPr>
          <w:lang w:val="en_US" w:bidi="en_US"/>
        </w:rPr>
      </w:r>
      <w:r>
        <w:rPr>
          <w:lang w:val="en_US" w:bidi="en_US"/>
        </w:rPr>
        <w:t>Any country that divides itself into groups which fight each other (GNT)</w:t>
      </w:r>
    </w:p>
    <w:p>
      <w:pPr/>
      <w:r>
        <w:rPr>
          <w:lang w:val="en_US" w:bidi="en_US"/>
        </w:rPr>
      </w:r>
      <w:r>
        <w:rPr>
          <w:lang w:val="en_US" w:bidi="en_US"/>
        </w:rPr>
        <w:t>Any kingdom divided by civil war (NLT)</w:t>
      </w:r>
    </w:p>
    <w:p>
      <w:pPr/>
      <w:r>
        <w:rPr>
          <w:lang w:val="en_US" w:bidi="en_US"/>
        </w:rPr>
      </w:r>
      <w:r>
        <w:rPr>
          <w:b/>
          <w:lang w:val="en_US" w:bidi="en_US"/>
        </w:rPr>
        <w:t>kingdom:</w:t>
      </w:r>
      <w:r>
        <w:rPr>
          <w:lang w:val="en_US" w:bidi="en_US"/>
        </w:rPr>
        <w:t xml:space="preserve"> A </w:t>
      </w:r>
      <w:r>
        <w:rPr>
          <w:i/>
          <w:lang w:val="en_US" w:bidi="en_US"/>
        </w:rPr>
        <w:t>kingdom</w:t>
      </w:r>
      <w:r>
        <w:rPr>
          <w:lang w:val="en_US" w:bidi="en_US"/>
        </w:rPr>
        <w:t xml:space="preserve"> is a country that is ruled by a king. But Jesus was not talking only about countries that had kings. He was giving a general principle that can be applied to any country or tribe. Other ways to translate </w:t>
      </w:r>
      <w:r>
        <w:rPr>
          <w:i/>
          <w:lang w:val="en_US" w:bidi="en_US"/>
        </w:rPr>
        <w:t>kingdom</w:t>
      </w:r>
      <w:r>
        <w:rPr>
          <w:lang w:val="en_US" w:bidi="en_US"/>
        </w:rPr>
        <w:t xml:space="preserve"> in this context are:</w:t>
      </w:r>
    </w:p>
    <w:p>
      <w:pPr/>
      <w:r>
        <w:rPr>
          <w:lang w:val="en_US" w:bidi="en_US"/>
        </w:rPr>
      </w:r>
      <w:r>
        <w:rPr>
          <w:lang w:val="en_US" w:bidi="en_US"/>
        </w:rPr>
        <w:t>nation</w:t>
      </w:r>
    </w:p>
    <w:p>
      <w:pPr/>
      <w:r>
        <w:rPr>
          <w:lang w:val="en_US" w:bidi="en_US"/>
        </w:rPr>
      </w:r>
      <w:r>
        <w:rPr>
          <w:lang w:val="en_US" w:bidi="en_US"/>
        </w:rPr>
        <w:t>tribe</w:t>
      </w:r>
    </w:p>
    <w:p>
      <w:pPr/>
      <w:r>
        <w:rPr>
          <w:lang w:val="en_US" w:bidi="en_US"/>
        </w:rPr>
      </w:r>
      <w:r>
        <w:rPr>
          <w:b/>
          <w:lang w:val="en_US" w:bidi="en_US"/>
        </w:rPr>
        <w:t>will be laid waste:</w:t>
      </w:r>
      <w:r>
        <w:rPr>
          <w:lang w:val="en_US" w:bidi="en_US"/>
        </w:rPr>
        <w:t xml:space="preserve"> The Greek verb that the BSB translates as </w:t>
      </w:r>
      <w:r>
        <w:rPr>
          <w:i/>
          <w:lang w:val="en_US" w:bidi="en_US"/>
        </w:rPr>
        <w:t>will be laid waste</w:t>
      </w:r>
      <w:r>
        <w:rPr>
          <w:lang w:val="en_US" w:bidi="en_US"/>
        </w:rPr>
        <w:t xml:space="preserve"> means “will be destroyed.” It is implied that it will also be deserted, that is, few people will remain alive in that country. It does not mean that the country will become a “desert” in the sense of a sandy or rocky area with little water or vegetation.</w:t>
      </w:r>
    </w:p>
    <w:p>
      <w:pPr/>
      <w:r>
        <w:rPr>
          <w:lang w:val="en_US" w:bidi="en_US"/>
        </w:rPr>
      </w:r>
      <w:r>
        <w:rPr>
          <w:lang w:val="en_US" w:bidi="en_US"/>
        </w:rPr>
        <w:t xml:space="preserve">The verb </w:t>
      </w:r>
      <w:r>
        <w:rPr>
          <w:i/>
          <w:lang w:val="en_US" w:bidi="en_US"/>
        </w:rPr>
        <w:t>will be laid waste</w:t>
      </w:r>
      <w:r>
        <w:rPr>
          <w:lang w:val="en_US" w:bidi="en_US"/>
        </w:rPr>
        <w:t xml:space="preserve"> is a passive verb. Some ways to translate this verb are:</w:t>
      </w:r>
    </w:p>
    <w:p>
      <w:pPr/>
      <w:r>
        <w:rPr>
          <w:lang w:val="en_US" w:bidi="en_US"/>
        </w:rPr>
      </w:r>
      <w:r>
        <w:rPr>
          <w:lang w:val="en_US" w:bidi="en_US"/>
        </w:rPr>
        <w:t>will be destroyed (NCV)</w:t>
      </w:r>
    </w:p>
    <w:p>
      <w:pPr/>
      <w:r>
        <w:rPr>
          <w:lang w:val="en_US" w:bidi="en_US"/>
        </w:rPr>
      </w:r>
      <w:r>
        <w:rPr>
          <w:lang w:val="en_US" w:bidi="en_US"/>
        </w:rPr>
        <w:t>will end up in ruin (CEV)</w:t>
      </w:r>
    </w:p>
    <w:p>
      <w:pPr/>
      <w:r>
        <w:rPr>
          <w:lang w:val="en_US" w:bidi="en_US"/>
        </w:rPr>
      </w:r>
      <w:r>
        <w:rPr>
          <w:lang w:val="en_US" w:bidi="en_US"/>
        </w:rPr>
        <w:t>will not last very long (GNT)</w:t>
      </w:r>
    </w:p>
    <w:p>
      <w:pPr>
        <w:pStyle w:val="Heading5"/>
      </w:pPr>
      <w:r>
        <w:rPr>
          <w:lang w:val="en_US" w:bidi="en_US"/>
        </w:rPr>
        <w:t>11:17c</w:t>
      </w:r>
    </w:p>
    <w:p>
      <w:pPr/>
      <w:r>
        <w:rPr>
          <w:lang w:val="en_US" w:bidi="en_US"/>
        </w:rPr>
      </w:r>
      <w:r>
        <w:rPr>
          <w:b/>
          <w:lang w:val="en_US" w:bidi="en_US"/>
        </w:rPr>
        <w:t>and a house divided against a house will fall.</w:t>
      </w:r>
    </w:p>
    <w:p>
      <w:pPr>
        <w:pStyle w:val="ListBullet"/>
        <w:spacing w:line="240" w:lineRule="auto"/>
        <w:ind w:left="720"/>
      </w:pPr>
      <w:r>
        <w:rPr>
          <w:lang w:val="en_US" w:bidi="en_US"/>
        </w:rPr>
      </w:r>
      <w:r>
        <w:rPr>
          <w:lang w:val="en_US" w:bidi="en_US"/>
        </w:rPr>
        <w:t xml:space="preserve">and a family </w:t>
      </w:r>
      <w:r>
        <w:rPr>
          <w:lang w:val="en_US" w:bidi="en_US"/>
        </w:rPr>
        <w:t>that is</w:t>
      </w:r>
      <w:r>
        <w:rPr>
          <w:lang w:val="en_US" w:bidi="en_US"/>
        </w:rPr>
        <w:t xml:space="preserve"> divided against itself will </w:t>
      </w:r>
      <w:r>
        <w:rPr>
          <w:lang w:val="en_US" w:bidi="en_US"/>
        </w:rPr>
        <w:t>also</w:t>
      </w:r>
      <w:r>
        <w:rPr>
          <w:lang w:val="en_US" w:bidi="en_US"/>
        </w:rPr>
        <w:t xml:space="preserve"> fall/split apart.</w:t>
      </w:r>
    </w:p>
    <w:p>
      <w:pPr>
        <w:pStyle w:val="ListBullet"/>
        <w:spacing w:line="240" w:lineRule="auto"/>
        <w:ind w:left="720"/>
      </w:pPr>
      <w:r>
        <w:rPr>
          <w:lang w:val="en_US" w:bidi="en_US"/>
        </w:rPr>
      </w:r>
      <w:r>
        <w:rPr>
          <w:lang w:val="en_US" w:bidi="en_US"/>
        </w:rPr>
        <w:t xml:space="preserve">And when the members of a family fight with one another, they </w:t>
      </w:r>
      <w:r>
        <w:rPr>
          <w:lang w:val="en_US" w:bidi="en_US"/>
        </w:rPr>
        <w:t>also</w:t>
      </w:r>
      <w:r>
        <w:rPr>
          <w:lang w:val="en_US" w:bidi="en_US"/>
        </w:rPr>
        <w:t xml:space="preserve"> will </w:t>
      </w:r>
      <w:r>
        <w:rPr>
          <w:lang w:val="en_US" w:bidi="en_US"/>
        </w:rPr>
        <w:t>soon separate and</w:t>
      </w:r>
      <w:r>
        <w:rPr>
          <w:lang w:val="en_US" w:bidi="en_US"/>
        </w:rPr>
        <w:t xml:space="preserve"> no longer be a family.</w:t>
      </w:r>
    </w:p>
    <w:p>
      <w:pPr/>
      <w:r>
        <w:rPr>
          <w:lang w:val="en_US" w:bidi="en_US"/>
        </w:rPr>
      </w:r>
      <w:r>
        <w:rPr>
          <w:b/>
          <w:lang w:val="en_US" w:bidi="en_US"/>
        </w:rPr>
        <w:t>and a house divided against a house will fall:</w:t>
      </w:r>
      <w:r>
        <w:rPr>
          <w:lang w:val="en_US" w:bidi="en_US"/>
        </w:rPr>
        <w:t xml:space="preserve"> The Greek clause that the BSB translates as </w:t>
      </w:r>
      <w:r>
        <w:rPr>
          <w:i/>
          <w:lang w:val="en_US" w:bidi="en_US"/>
        </w:rPr>
        <w:t>a house divided against a house will fall</w:t>
      </w:r>
      <w:r>
        <w:rPr>
          <w:lang w:val="en_US" w:bidi="en_US"/>
        </w:rPr>
        <w:t xml:space="preserve"> is literally “a house upon a house falls.” There are two ways to interpret this clause:</w:t>
      </w:r>
    </w:p>
    <w:p>
      <w:pPr>
        <w:pStyle w:val="ListNumber"/>
        <w:numPr>
          <w:ilvl w:val="0"/>
          <w:numId w:val="220"/>
        </w:numPr>
        <w:spacing w:line="240" w:lineRule="auto"/>
        <w:ind w:left="720"/>
      </w:pPr>
      <w:r>
        <w:rPr>
          <w:lang w:val="en_US" w:bidi="en_US"/>
        </w:rPr>
      </w:r>
      <w:r>
        <w:rPr>
          <w:lang w:val="en_US" w:bidi="en_US"/>
        </w:rPr>
        <w:t xml:space="preserve">It is a </w:t>
      </w:r>
      <w:r>
        <w:rPr>
          <w:u w:val="single"/>
          <w:lang w:val="en_US" w:bidi="en_US"/>
        </w:rPr>
        <w:t>second example</w:t>
      </w:r>
      <w:r>
        <w:rPr>
          <w:lang w:val="en_US" w:bidi="en_US"/>
        </w:rPr>
        <w:t>. It describes a household or family whose members are fighting each other. For example:</w:t>
      </w:r>
      <w:r>
        <w:rPr>
          <w:lang w:val="en_US" w:bidi="en_US"/>
        </w:rPr>
        <w:t xml:space="preserve">a family divided against itself falls apart (GNT) </w:t>
      </w:r>
      <w:r>
        <w:rPr>
          <w:i/>
          <w:lang w:val="en_US" w:bidi="en_US"/>
        </w:rPr>
        <w:t>(BSB, NIV, NLT, NASB, KJV, REB, NCV, GW, CEV, GNT, NET)</w:t>
      </w:r>
    </w:p>
    <w:p>
      <w:pPr>
        <w:pStyle w:val="ListNumber"/>
        <w:spacing w:line="240" w:lineRule="auto"/>
        <w:ind w:left="720"/>
      </w:pPr>
      <w:r>
        <w:rPr>
          <w:lang w:val="en_US" w:bidi="en_US"/>
        </w:rPr>
      </w:r>
      <w:r>
        <w:rPr>
          <w:lang w:val="en_US" w:bidi="en_US"/>
        </w:rPr>
        <w:t xml:space="preserve">It is the </w:t>
      </w:r>
      <w:r>
        <w:rPr>
          <w:u w:val="single"/>
          <w:lang w:val="en_US" w:bidi="en_US"/>
        </w:rPr>
        <w:t>result</w:t>
      </w:r>
      <w:r>
        <w:rPr>
          <w:lang w:val="en_US" w:bidi="en_US"/>
        </w:rPr>
        <w:t xml:space="preserve"> of a kingdom that is divided against itself. Civil war like this leads to one family fighting another. It may also lead to one house literally collapsing against another house. For example:</w:t>
      </w:r>
      <w:r>
        <w:rPr>
          <w:lang w:val="en_US" w:bidi="en_US"/>
        </w:rPr>
        <w:t xml:space="preserve">and house falls upon house (NRSV) </w:t>
      </w:r>
      <w:r>
        <w:rPr>
          <w:i/>
          <w:lang w:val="en_US" w:bidi="en_US"/>
        </w:rPr>
        <w:t>(NRSV, NJB)</w:t>
      </w:r>
    </w:p>
    <w:p>
      <w:pPr/>
      <w:r>
        <w:rPr>
          <w:lang w:val="en_US" w:bidi="en_US"/>
        </w:rPr>
      </w:r>
      <w:r>
        <w:rPr>
          <w:lang w:val="en_US" w:bidi="en_US"/>
        </w:rPr>
        <w:t>It is recommended that you follow interpretation (1) along with most English versions. This interpretation is parallel with the statement in 11:17b. It also agrees with the parallel accounts in Matthew and Mark.</w:t>
      </w:r>
    </w:p>
    <w:p>
      <w:pPr/>
      <w:r>
        <w:rPr>
          <w:lang w:val="en_US" w:bidi="en_US"/>
        </w:rPr>
      </w:r>
      <w:r>
        <w:rPr>
          <w:b/>
          <w:lang w:val="en_US" w:bidi="en_US"/>
        </w:rPr>
        <w:t>a house:</w:t>
      </w:r>
      <w:r>
        <w:rPr>
          <w:lang w:val="en_US" w:bidi="en_US"/>
        </w:rPr>
        <w:t xml:space="preserve"> The term </w:t>
      </w:r>
      <w:r>
        <w:rPr>
          <w:i/>
          <w:lang w:val="en_US" w:bidi="en_US"/>
        </w:rPr>
        <w:t>house</w:t>
      </w:r>
      <w:r>
        <w:rPr>
          <w:lang w:val="en_US" w:bidi="en_US"/>
        </w:rPr>
        <w:t xml:space="preserve"> refers to a family or a group of people living together as one household.</w:t>
      </w:r>
    </w:p>
    <w:p>
      <w:pPr/>
      <w:r>
        <w:rPr>
          <w:lang w:val="en_US" w:bidi="en_US"/>
        </w:rPr>
      </w:r>
      <w:r>
        <w:rPr>
          <w:b/>
          <w:lang w:val="en_US" w:bidi="en_US"/>
        </w:rPr>
        <w:t>divided against a house:</w:t>
      </w:r>
      <w:r>
        <w:rPr>
          <w:lang w:val="en_US" w:bidi="en_US"/>
        </w:rPr>
        <w:t xml:space="preserve"> As in 11:17b, the phrase </w:t>
      </w:r>
      <w:r>
        <w:rPr>
          <w:i/>
          <w:lang w:val="en_US" w:bidi="en_US"/>
        </w:rPr>
        <w:t>divided against a house</w:t>
      </w:r>
      <w:r>
        <w:rPr>
          <w:lang w:val="en_US" w:bidi="en_US"/>
        </w:rPr>
        <w:t xml:space="preserve"> here means “fight one another.” When the members of a household fight one another, that household will fall. This means that the family will split apart and will soon cease to exist as a family unit. Some other ways to translate this are:</w:t>
      </w:r>
    </w:p>
    <w:p>
      <w:pPr/>
      <w:r>
        <w:rPr>
          <w:lang w:val="en_US" w:bidi="en_US"/>
        </w:rPr>
      </w:r>
      <w:r>
        <w:rPr>
          <w:lang w:val="en_US" w:bidi="en_US"/>
        </w:rPr>
        <w:t>a family that is divided against itself will not continue (NCV)</w:t>
      </w:r>
    </w:p>
    <w:p>
      <w:pPr/>
      <w:r>
        <w:rPr>
          <w:lang w:val="en_US" w:bidi="en_US"/>
        </w:rPr>
      </w:r>
      <w:r>
        <w:rPr>
          <w:lang w:val="en_US" w:bidi="en_US"/>
        </w:rPr>
        <w:t>a family that fights will break up (CEV)</w:t>
      </w:r>
    </w:p>
    <w:p>
      <w:pPr/>
      <w:r>
        <w:rPr>
          <w:lang w:val="en_US" w:bidi="en_US"/>
        </w:rPr>
      </w:r>
      <w:r>
        <w:rPr>
          <w:lang w:val="en_US" w:bidi="en_US"/>
        </w:rPr>
        <w:t>A family splintered by feuding will fall apart. (NLT)</w:t>
      </w:r>
      <w:r>
        <w:rPr>
          <w:lang w:val="en_US" w:bidi="en_US"/>
        </w:rPr>
      </w:r>
      <w:r>
        <w:rPr>
          <w:lang w:val="en_US" w:bidi="en_US"/>
        </w:rPr>
      </w:r>
    </w:p>
    <w:p>
      <w:pPr/>
      <w:r>
        <w:rPr>
          <w:lang w:val="en_US" w:bidi="en_US"/>
        </w:rPr>
      </w:r>
    </w:p>
    <w:p>
      <w:pPr>
        <w:pStyle w:val="Heading2"/>
      </w:pPr>
      <w:r>
        <w:rPr>
          <w:lang w:val="en_US" w:bidi="en_US"/>
        </w:rPr>
        <w:t>Luke 11:18</w:t>
      </w:r>
      <w:r>
        <w:rPr>
          <w:lang w:val="en_US" w:bidi="en_US"/>
        </w:rPr>
      </w:r>
    </w:p>
    <w:p>
      <w:pPr>
        <w:pStyle w:val="Heading4"/>
      </w:pPr>
      <w:r>
        <w:rPr>
          <w:lang w:val="en_US" w:bidi="en_US"/>
        </w:rPr>
        <w:t>Section 11:14–23: Jesus proved that he did not use Satan’s power</w:t>
      </w:r>
    </w:p>
    <w:p>
      <w:pPr/>
      <w:r>
        <w:rPr>
          <w:lang w:val="en_US" w:bidi="en_US"/>
        </w:rPr>
      </w:r>
      <w:r>
        <w:rPr>
          <w:lang w:val="en_US" w:bidi="en_US"/>
        </w:rPr>
        <w:t>This section is not explicitly connected with the preceding section in time, place, or theme.</w:t>
      </w:r>
    </w:p>
    <w:p>
      <w:pPr/>
      <w:r>
        <w:rPr>
          <w:lang w:val="en_US" w:bidi="en_US"/>
        </w:rPr>
      </w:r>
      <w:r>
        <w:rPr>
          <w:lang w:val="en_US" w:bidi="en_US"/>
        </w:rPr>
        <w:t>In this section, Jesus cast out a demon that made a man mute (11:14). Some people who were there commented to each other that Jesus was casting out demons by the power of Satan (11:15). Jesus gave them two reasons why this could not be true (11:17–19). He concluded that he cast out demons by the power of God (11:20). Then he told a parable (11:21–22) that showed that he is stronger than Satan.</w:t>
      </w:r>
    </w:p>
    <w:p>
      <w:pPr/>
      <w:r>
        <w:rPr>
          <w:lang w:val="en_US" w:bidi="en_US"/>
        </w:rPr>
      </w:r>
      <w:r>
        <w:rPr>
          <w:lang w:val="en_US" w:bidi="en_US"/>
        </w:rPr>
        <w:t>Some other headings for this section are:</w:t>
      </w:r>
    </w:p>
    <w:p>
      <w:pPr/>
      <w:r>
        <w:rPr>
          <w:lang w:val="en_US" w:bidi="en_US"/>
        </w:rPr>
      </w:r>
      <w:r>
        <w:rPr>
          <w:lang w:val="en_US" w:bidi="en_US"/>
        </w:rPr>
        <w:t>Jesus is stronger than Satan</w:t>
      </w:r>
    </w:p>
    <w:p>
      <w:pPr/>
      <w:r>
        <w:rPr>
          <w:lang w:val="en_US" w:bidi="en_US"/>
        </w:rPr>
      </w:r>
      <w:r>
        <w:rPr>
          <w:lang w:val="en_US" w:bidi="en_US"/>
        </w:rPr>
        <w:t>Jesus and Beelzebub</w:t>
      </w:r>
    </w:p>
    <w:p>
      <w:pPr/>
      <w:r>
        <w:rPr>
          <w:lang w:val="en_US" w:bidi="en_US"/>
        </w:rPr>
      </w:r>
      <w:r>
        <w:rPr>
          <w:lang w:val="en_US" w:bidi="en_US"/>
        </w:rPr>
        <w:t>Jesus sends unclean spirits away by defeating Satan</w:t>
      </w:r>
    </w:p>
    <w:p>
      <w:pPr/>
      <w:r>
        <w:rPr>
          <w:lang w:val="en_US" w:bidi="en_US"/>
        </w:rPr>
      </w:r>
      <w:r>
        <w:rPr>
          <w:lang w:val="en_US" w:bidi="en_US"/>
        </w:rPr>
        <w:t>There are parallel passages for this section in Matthew 12:22–30 and Mark 3:20–27.</w:t>
      </w:r>
    </w:p>
    <w:p>
      <w:pPr>
        <w:pStyle w:val="Heading4"/>
      </w:pPr>
      <w:r>
        <w:rPr>
          <w:lang w:val="en_US" w:bidi="en_US"/>
        </w:rPr>
        <w:t>Paragraph 11:17–20</w:t>
      </w:r>
    </w:p>
    <w:p>
      <w:pPr/>
      <w:r>
        <w:rPr>
          <w:lang w:val="en_US" w:bidi="en_US"/>
        </w:rPr>
      </w:r>
      <w:r>
        <w:rPr>
          <w:lang w:val="en_US" w:bidi="en_US"/>
        </w:rPr>
        <w:t>In this paragraph Jesus gave two arguments to prove that he was not using Beelzebul’s power to drive out demons. He was using God’s power. The two arguments are:</w:t>
      </w:r>
    </w:p>
    <w:p>
      <w:pPr>
        <w:pStyle w:val="ListNumber"/>
        <w:numPr>
          <w:ilvl w:val="0"/>
          <w:numId w:val="221"/>
        </w:numPr>
        <w:spacing w:line="240" w:lineRule="auto"/>
        <w:ind w:left="720"/>
      </w:pPr>
      <w:r>
        <w:rPr>
          <w:lang w:val="en_US" w:bidi="en_US"/>
        </w:rPr>
      </w:r>
      <w:r>
        <w:rPr>
          <w:lang w:val="en_US" w:bidi="en_US"/>
        </w:rPr>
        <w:t>If he were using Beelzebul’s power, then Beelzebul would be fighting against his own demons and would destroy his own kingdom (11:17–18).</w:t>
      </w:r>
    </w:p>
    <w:p>
      <w:pPr>
        <w:pStyle w:val="ListNumber"/>
        <w:spacing w:line="240" w:lineRule="auto"/>
        <w:ind w:left="720"/>
      </w:pPr>
      <w:r>
        <w:rPr>
          <w:lang w:val="en_US" w:bidi="en_US"/>
        </w:rPr>
      </w:r>
      <w:r>
        <w:rPr>
          <w:lang w:val="en_US" w:bidi="en_US"/>
        </w:rPr>
        <w:t>If he were using Beelzebul’s power, then his accusers would need to explain why they did not also accuse other Jewish exorcists of using Beelzebul’s power (11:19).</w:t>
      </w:r>
    </w:p>
    <w:p>
      <w:pPr/>
      <w:r>
        <w:rPr>
          <w:lang w:val="en_US" w:bidi="en_US"/>
        </w:rPr>
      </w:r>
      <w:r>
        <w:rPr>
          <w:lang w:val="en_US" w:bidi="en_US"/>
        </w:rPr>
        <w:t>No one would accept the conclusion to these arguments, so there was only one alternative: Jesus was using God’s power (11:20).</w:t>
      </w:r>
    </w:p>
    <w:p>
      <w:pPr>
        <w:pStyle w:val="Heading5"/>
      </w:pPr>
      <w:r>
        <w:rPr>
          <w:lang w:val="en_US" w:bidi="en_US"/>
        </w:rPr>
        <w:t>11:18</w:t>
      </w:r>
    </w:p>
    <w:p>
      <w:pPr/>
      <w:r>
        <w:rPr>
          <w:lang w:val="en_US" w:bidi="en_US"/>
        </w:rPr>
      </w:r>
      <w:r>
        <w:rPr>
          <w:lang w:val="en_US" w:bidi="en_US"/>
        </w:rPr>
        <w:t xml:space="preserve">The examples of a kingdom and a family that Jesus used in 11:17 also apply to Satan and his unclean spirits. In Greek, 11:18 is literally “If Satan </w:t>
      </w:r>
      <w:r>
        <w:rPr>
          <w:u w:val="single"/>
          <w:lang w:val="en_US" w:bidi="en_US"/>
        </w:rPr>
        <w:t>also</w:t>
      </w:r>
      <w:r>
        <w:rPr>
          <w:lang w:val="en_US" w:bidi="en_US"/>
        </w:rPr>
        <w:t xml:space="preserve"> is divided.” Many English versions include the word “also.” To make this meaning clear, it may be necessary in some languages to begin 11:18 as follows:</w:t>
      </w:r>
    </w:p>
    <w:p>
      <w:pPr/>
      <w:r>
        <w:rPr>
          <w:lang w:val="en_US" w:bidi="en_US"/>
        </w:rPr>
      </w:r>
      <w:r>
        <w:rPr>
          <w:lang w:val="en_US" w:bidi="en_US"/>
        </w:rPr>
        <w:t>It is the same also with Satan.</w:t>
      </w:r>
    </w:p>
    <w:p>
      <w:pPr/>
      <w:r>
        <w:rPr>
          <w:lang w:val="en_US" w:bidi="en_US"/>
        </w:rPr>
      </w:r>
      <w:r>
        <w:rPr>
          <w:lang w:val="en_US" w:bidi="en_US"/>
        </w:rPr>
        <w:t>In the same way…</w:t>
      </w:r>
    </w:p>
    <w:p>
      <w:pPr/>
      <w:r>
        <w:rPr>
          <w:lang w:val="en_US" w:bidi="en_US"/>
        </w:rPr>
      </w:r>
      <w:r>
        <w:rPr>
          <w:lang w:val="en_US" w:bidi="en_US"/>
        </w:rPr>
        <w:t>In some languages it may be clearer to reorder 11:18a–c. See the General Comment on 11:18a–c at the end of the note on 11:18c for an example.</w:t>
      </w:r>
    </w:p>
    <w:p>
      <w:pPr>
        <w:pStyle w:val="Heading5"/>
      </w:pPr>
      <w:r>
        <w:rPr>
          <w:lang w:val="en_US" w:bidi="en_US"/>
        </w:rPr>
        <w:t>11:18a</w:t>
      </w:r>
    </w:p>
    <w:p>
      <w:pPr/>
      <w:r>
        <w:rPr>
          <w:lang w:val="en_US" w:bidi="en_US"/>
        </w:rPr>
      </w:r>
      <w:r>
        <w:rPr>
          <w:b/>
          <w:lang w:val="en_US" w:bidi="en_US"/>
        </w:rPr>
        <w:t>If Satan is divided against himself,</w:t>
      </w:r>
    </w:p>
    <w:p>
      <w:pPr>
        <w:pStyle w:val="ListBullet"/>
        <w:spacing w:line="240" w:lineRule="auto"/>
        <w:ind w:left="720"/>
      </w:pPr>
      <w:r>
        <w:rPr>
          <w:lang w:val="en_US" w:bidi="en_US"/>
        </w:rPr>
      </w:r>
      <w:r>
        <w:rPr>
          <w:lang w:val="en_US" w:bidi="en_US"/>
        </w:rPr>
        <w:t xml:space="preserve">Likewise, if Satan </w:t>
      </w:r>
      <w:r>
        <w:rPr>
          <w:lang w:val="en_US" w:bidi="en_US"/>
        </w:rPr>
        <w:t>and those in his kingdom</w:t>
      </w:r>
      <w:r>
        <w:rPr>
          <w:lang w:val="en_US" w:bidi="en_US"/>
        </w:rPr>
        <w:t xml:space="preserve"> are divided </w:t>
      </w:r>
      <w:r>
        <w:rPr>
          <w:lang w:val="en_US" w:bidi="en_US"/>
        </w:rPr>
        <w:t>and fight</w:t>
      </w:r>
      <w:r>
        <w:rPr>
          <w:lang w:val="en_US" w:bidi="en_US"/>
        </w:rPr>
        <w:t xml:space="preserve"> against themselves,</w:t>
      </w:r>
    </w:p>
    <w:p>
      <w:pPr>
        <w:pStyle w:val="ListBullet"/>
        <w:spacing w:line="240" w:lineRule="auto"/>
        <w:ind w:left="720"/>
      </w:pPr>
      <w:r>
        <w:rPr>
          <w:lang w:val="en_US" w:bidi="en_US"/>
        </w:rPr>
      </w:r>
      <w:r>
        <w:rPr>
          <w:lang w:val="en_US" w:bidi="en_US"/>
        </w:rPr>
        <w:t>It is the same</w:t>
      </w:r>
      <w:r>
        <w:rPr>
          <w:lang w:val="en_US" w:bidi="en_US"/>
        </w:rPr>
        <w:t xml:space="preserve"> also </w:t>
      </w:r>
      <w:r>
        <w:rPr>
          <w:lang w:val="en_US" w:bidi="en_US"/>
        </w:rPr>
        <w:t>with</w:t>
      </w:r>
      <w:r>
        <w:rPr>
          <w:lang w:val="en_US" w:bidi="en_US"/>
        </w:rPr>
        <w:t xml:space="preserve"> Satan. If he is/fights against his own followers,</w:t>
      </w:r>
    </w:p>
    <w:p>
      <w:pPr/>
      <w:r>
        <w:rPr>
          <w:lang w:val="en_US" w:bidi="en_US"/>
        </w:rPr>
      </w:r>
      <w:r>
        <w:rPr>
          <w:b/>
          <w:lang w:val="en_US" w:bidi="en_US"/>
        </w:rPr>
        <w:t>If Satan is divided against himself:</w:t>
      </w:r>
      <w:r>
        <w:rPr>
          <w:lang w:val="en_US" w:bidi="en_US"/>
        </w:rPr>
        <w:t xml:space="preserve"> The word </w:t>
      </w:r>
      <w:r>
        <w:rPr>
          <w:i/>
          <w:lang w:val="en_US" w:bidi="en_US"/>
        </w:rPr>
        <w:t>Satan</w:t>
      </w:r>
      <w:r>
        <w:rPr>
          <w:lang w:val="en_US" w:bidi="en_US"/>
        </w:rPr>
        <w:t xml:space="preserve"> here is a figurative reference to Satan’s kingdom. It refers to the demons over which he rules. In some languages, it may be necessary to make this figurative meaning clear. For example:</w:t>
      </w:r>
    </w:p>
    <w:p>
      <w:pPr/>
      <w:r>
        <w:rPr>
          <w:lang w:val="en_US" w:bidi="en_US"/>
        </w:rPr>
      </w:r>
      <w:r>
        <w:rPr>
          <w:lang w:val="en_US" w:bidi="en_US"/>
        </w:rPr>
        <w:t xml:space="preserve">If Satan’s </w:t>
      </w:r>
      <w:r>
        <w:rPr>
          <w:lang w:val="en_US" w:bidi="en_US"/>
        </w:rPr>
        <w:t>kingdom</w:t>
      </w:r>
      <w:r>
        <w:rPr>
          <w:lang w:val="en_US" w:bidi="en_US"/>
        </w:rPr>
        <w:t xml:space="preserve"> is divided against/within itself</w:t>
      </w:r>
    </w:p>
    <w:p>
      <w:pPr/>
      <w:r>
        <w:rPr>
          <w:lang w:val="en_US" w:bidi="en_US"/>
        </w:rPr>
      </w:r>
      <w:r>
        <w:rPr>
          <w:lang w:val="en_US" w:bidi="en_US"/>
        </w:rPr>
        <w:t xml:space="preserve">If Satan’s </w:t>
      </w:r>
      <w:r>
        <w:rPr>
          <w:lang w:val="en_US" w:bidi="en_US"/>
        </w:rPr>
        <w:t>followers</w:t>
      </w:r>
      <w:r>
        <w:rPr>
          <w:lang w:val="en_US" w:bidi="en_US"/>
        </w:rPr>
        <w:t xml:space="preserve"> are divided against themselves</w:t>
      </w:r>
    </w:p>
    <w:p>
      <w:pPr/>
      <w:r>
        <w:rPr>
          <w:lang w:val="en_US" w:bidi="en_US"/>
        </w:rPr>
      </w:r>
      <w:r>
        <w:rPr>
          <w:lang w:val="en_US" w:bidi="en_US"/>
        </w:rPr>
        <w:t>If Satan fights against his fellow demons</w:t>
      </w:r>
    </w:p>
    <w:p>
      <w:pPr/>
      <w:r>
        <w:rPr>
          <w:lang w:val="en_US" w:bidi="en_US"/>
        </w:rPr>
      </w:r>
      <w:r>
        <w:rPr>
          <w:b/>
          <w:lang w:val="en_US" w:bidi="en_US"/>
        </w:rPr>
        <w:t>Satan:</w:t>
      </w:r>
      <w:r>
        <w:rPr>
          <w:lang w:val="en_US" w:bidi="en_US"/>
        </w:rPr>
        <w:t xml:space="preserve"> The word </w:t>
      </w:r>
      <w:r>
        <w:rPr>
          <w:i/>
          <w:lang w:val="en_US" w:bidi="en_US"/>
        </w:rPr>
        <w:t>Satan</w:t>
      </w:r>
      <w:r>
        <w:rPr>
          <w:lang w:val="en_US" w:bidi="en_US"/>
        </w:rPr>
        <w:t xml:space="preserve"> is the Hebrew name of the chief/leader of all the unclean spirits. In Hebrew his name means “enemy.” He is the enemy of God and God’s people.</w:t>
      </w:r>
    </w:p>
    <w:p>
      <w:pPr/>
      <w:r>
        <w:rPr>
          <w:lang w:val="en_US" w:bidi="en_US"/>
        </w:rPr>
      </w:r>
      <w:r>
        <w:rPr>
          <w:lang w:val="en_US" w:bidi="en_US"/>
        </w:rPr>
        <w:t xml:space="preserve">Here are some ways to translate </w:t>
      </w:r>
      <w:r>
        <w:rPr>
          <w:i/>
          <w:lang w:val="en_US" w:bidi="en_US"/>
        </w:rPr>
        <w:t>Satan</w:t>
      </w:r>
      <w:r>
        <w:rPr>
          <w:lang w:val="en_US" w:bidi="en_US"/>
        </w:rPr>
        <w:t>:</w:t>
      </w:r>
    </w:p>
    <w:p>
      <w:pPr>
        <w:pStyle w:val="ListBullet"/>
        <w:spacing w:line="240" w:lineRule="auto"/>
        <w:ind w:left="720"/>
      </w:pPr>
      <w:r>
        <w:rPr>
          <w:lang w:val="en_US" w:bidi="en_US"/>
        </w:rPr>
      </w:r>
      <w:r>
        <w:rPr>
          <w:lang w:val="en_US" w:bidi="en_US"/>
        </w:rPr>
        <w:t>Use a local name or idiom that refers to the chief of all demons.</w:t>
      </w:r>
    </w:p>
    <w:p>
      <w:pPr>
        <w:pStyle w:val="ListBullet"/>
        <w:spacing w:line="240" w:lineRule="auto"/>
        <w:ind w:left="720"/>
      </w:pPr>
      <w:r>
        <w:rPr>
          <w:lang w:val="en_US" w:bidi="en_US"/>
        </w:rPr>
      </w:r>
      <w:r>
        <w:rPr>
          <w:lang w:val="en_US" w:bidi="en_US"/>
        </w:rPr>
        <w:t>Use a descriptive phrase such as:</w:t>
      </w:r>
      <w:r>
        <w:rPr>
          <w:lang w:val="en_US" w:bidi="en_US"/>
        </w:rPr>
        <w:t>the chief/leader of the unclean spirits</w:t>
      </w:r>
      <w:r>
        <w:rPr>
          <w:lang w:val="en_US" w:bidi="en_US"/>
        </w:rPr>
        <w:t>the spirit enemy of God</w:t>
      </w:r>
    </w:p>
    <w:p>
      <w:pPr>
        <w:pStyle w:val="ListBullet"/>
        <w:spacing w:line="240" w:lineRule="auto"/>
        <w:ind w:left="720"/>
      </w:pPr>
      <w:r>
        <w:rPr>
          <w:lang w:val="en_US" w:bidi="en_US"/>
        </w:rPr>
      </w:r>
      <w:r>
        <w:rPr>
          <w:lang w:val="en_US" w:bidi="en_US"/>
        </w:rPr>
        <w:t xml:space="preserve">Transliterate the name </w:t>
      </w:r>
      <w:r>
        <w:rPr>
          <w:i/>
          <w:lang w:val="en_US" w:bidi="en_US"/>
        </w:rPr>
        <w:t>Satan</w:t>
      </w:r>
      <w:r>
        <w:rPr>
          <w:lang w:val="en_US" w:bidi="en_US"/>
        </w:rPr>
        <w:t>. If this word is not already known in your area, you may also want to add a descriptive phrase. For example:</w:t>
      </w:r>
      <w:r>
        <w:rPr>
          <w:lang w:val="en_US" w:bidi="en_US"/>
        </w:rPr>
        <w:t>Satanas, the ruler of demons</w:t>
      </w:r>
      <w:r>
        <w:rPr>
          <w:lang w:val="en_US" w:bidi="en_US"/>
        </w:rPr>
        <w:t>Shaitan</w:t>
      </w:r>
    </w:p>
    <w:p>
      <w:pPr/>
      <w:r>
        <w:rPr>
          <w:lang w:val="en_US" w:bidi="en_US"/>
        </w:rPr>
      </w:r>
      <w:r>
        <w:rPr>
          <w:lang w:val="en_US" w:bidi="en_US"/>
        </w:rPr>
        <w:t xml:space="preserve">The word </w:t>
      </w:r>
      <w:r>
        <w:rPr>
          <w:i/>
          <w:lang w:val="en_US" w:bidi="en_US"/>
        </w:rPr>
        <w:t>Satan</w:t>
      </w:r>
      <w:r>
        <w:rPr>
          <w:lang w:val="en_US" w:bidi="en_US"/>
        </w:rPr>
        <w:t xml:space="preserve"> also occurs in 10:18a–b.</w:t>
      </w:r>
    </w:p>
    <w:p>
      <w:pPr>
        <w:pStyle w:val="Heading5"/>
      </w:pPr>
      <w:r>
        <w:rPr>
          <w:lang w:val="en_US" w:bidi="en_US"/>
        </w:rPr>
        <w:t>11:18b</w:t>
      </w:r>
    </w:p>
    <w:p>
      <w:pPr/>
      <w:r>
        <w:rPr>
          <w:lang w:val="en_US" w:bidi="en_US"/>
        </w:rPr>
      </w:r>
      <w:r>
        <w:rPr>
          <w:b/>
          <w:lang w:val="en_US" w:bidi="en_US"/>
        </w:rPr>
        <w:t>how can his kingdom stand?</w:t>
      </w:r>
    </w:p>
    <w:p>
      <w:pPr>
        <w:pStyle w:val="ListBullet"/>
        <w:spacing w:line="240" w:lineRule="auto"/>
        <w:ind w:left="720"/>
      </w:pPr>
      <w:r>
        <w:rPr>
          <w:lang w:val="en_US" w:bidi="en_US"/>
        </w:rPr>
      </w:r>
      <w:r>
        <w:rPr>
          <w:lang w:val="en_US" w:bidi="en_US"/>
        </w:rPr>
        <w:t>then how can his kingdom last/remain?</w:t>
      </w:r>
    </w:p>
    <w:p>
      <w:pPr>
        <w:pStyle w:val="ListBullet"/>
        <w:spacing w:line="240" w:lineRule="auto"/>
        <w:ind w:left="720"/>
      </w:pPr>
      <w:r>
        <w:rPr>
          <w:lang w:val="en_US" w:bidi="en_US"/>
        </w:rPr>
      </w:r>
      <w:r>
        <w:rPr>
          <w:lang w:val="en_US" w:bidi="en_US"/>
        </w:rPr>
        <w:t>then his rule will certainly not last long.</w:t>
      </w:r>
    </w:p>
    <w:p>
      <w:pPr>
        <w:pStyle w:val="ListBullet"/>
        <w:spacing w:line="240" w:lineRule="auto"/>
        <w:ind w:left="720"/>
      </w:pPr>
      <w:r>
        <w:rPr>
          <w:lang w:val="en_US" w:bidi="en_US"/>
        </w:rPr>
      </w:r>
      <w:r>
        <w:rPr>
          <w:lang w:val="en_US" w:bidi="en_US"/>
        </w:rPr>
        <w:t>then he will definitely not be able to continue ruling.</w:t>
      </w:r>
    </w:p>
    <w:p>
      <w:pPr/>
      <w:r>
        <w:rPr>
          <w:lang w:val="en_US" w:bidi="en_US"/>
        </w:rPr>
      </w:r>
      <w:r>
        <w:rPr>
          <w:b/>
          <w:lang w:val="en_US" w:bidi="en_US"/>
        </w:rPr>
        <w:t>how can his kingdom stand?:</w:t>
      </w:r>
      <w:r>
        <w:rPr>
          <w:lang w:val="en_US" w:bidi="en_US"/>
        </w:rPr>
        <w:t xml:space="preserve"> This is a rhetorical question. It emphasizes that Satan’s kingdom will certainly not stand.</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 xml:space="preserve">how can his kingdom stand? </w:t>
      </w:r>
      <w:r>
        <w:rPr>
          <w:lang w:val="en_US" w:bidi="en_US"/>
        </w:rPr>
        <w:t>It certainly cannot!</w:t>
      </w:r>
    </w:p>
    <w:p>
      <w:pPr>
        <w:pStyle w:val="ListBullet"/>
        <w:spacing w:line="240" w:lineRule="auto"/>
        <w:ind w:left="720"/>
      </w:pPr>
      <w:r>
        <w:rPr>
          <w:lang w:val="en_US" w:bidi="en_US"/>
        </w:rPr>
      </w:r>
      <w:r>
        <w:rPr>
          <w:lang w:val="en_US" w:bidi="en_US"/>
        </w:rPr>
        <w:t>As a statement. For example:</w:t>
      </w:r>
      <w:r>
        <w:rPr>
          <w:lang w:val="en_US" w:bidi="en_US"/>
        </w:rPr>
        <w:t>his kingdom will certainly not stand</w:t>
      </w:r>
      <w:r>
        <w:rPr>
          <w:lang w:val="en_US" w:bidi="en_US"/>
        </w:rPr>
        <w:t>his kingdom will not continue (NCV)</w:t>
      </w:r>
    </w:p>
    <w:p>
      <w:pPr/>
      <w:r>
        <w:rPr>
          <w:lang w:val="en_US" w:bidi="en_US"/>
        </w:rPr>
      </w:r>
      <w:r>
        <w:rPr>
          <w:lang w:val="en_US" w:bidi="en_US"/>
        </w:rPr>
        <w:t>Translate this emphasis in a way that is natural in your language.</w:t>
      </w:r>
    </w:p>
    <w:p>
      <w:pPr/>
      <w:r>
        <w:rPr>
          <w:lang w:val="en_US" w:bidi="en_US"/>
        </w:rPr>
      </w:r>
      <w:r>
        <w:rPr>
          <w:b/>
          <w:lang w:val="en_US" w:bidi="en_US"/>
        </w:rPr>
        <w:t>his kingdom:</w:t>
      </w:r>
      <w:r>
        <w:rPr>
          <w:lang w:val="en_US" w:bidi="en_US"/>
        </w:rPr>
        <w:t xml:space="preserve"> The phrase </w:t>
      </w:r>
      <w:r>
        <w:rPr>
          <w:i/>
          <w:lang w:val="en_US" w:bidi="en_US"/>
        </w:rPr>
        <w:t>his kingdom</w:t>
      </w:r>
      <w:r>
        <w:rPr>
          <w:lang w:val="en_US" w:bidi="en_US"/>
        </w:rPr>
        <w:t xml:space="preserve"> here refers to “Satan’s rule” or “his power/authority.”</w:t>
      </w:r>
    </w:p>
    <w:p>
      <w:pPr/>
      <w:r>
        <w:rPr>
          <w:lang w:val="en_US" w:bidi="en_US"/>
        </w:rPr>
      </w:r>
      <w:r>
        <w:rPr>
          <w:lang w:val="en_US" w:bidi="en_US"/>
        </w:rPr>
        <w:t>In the Greek language, the verb that the BSB translates as “stand” goes together with words such as “kingdom” and “government.” This is a figure of speech that means “continues to exist.” You should use whichever verb in your language naturally goes together with kingdom. Some other examples in English are:</w:t>
      </w:r>
    </w:p>
    <w:p>
      <w:pPr/>
      <w:r>
        <w:rPr>
          <w:lang w:val="en_US" w:bidi="en_US"/>
        </w:rPr>
      </w:r>
      <w:r>
        <w:rPr>
          <w:lang w:val="en_US" w:bidi="en_US"/>
        </w:rPr>
        <w:t>how can his kingdom survive (NLT)</w:t>
      </w:r>
    </w:p>
    <w:p>
      <w:pPr/>
      <w:r>
        <w:rPr>
          <w:lang w:val="en_US" w:bidi="en_US"/>
        </w:rPr>
      </w:r>
      <w:r>
        <w:rPr>
          <w:lang w:val="en_US" w:bidi="en_US"/>
        </w:rPr>
        <w:t>how can it last (GNT)</w:t>
      </w:r>
    </w:p>
    <w:p>
      <w:pPr/>
      <w:r>
        <w:rPr>
          <w:lang w:val="en_US" w:bidi="en_US"/>
        </w:rPr>
      </w:r>
      <w:r>
        <w:rPr>
          <w:lang w:val="en_US" w:bidi="en_US"/>
        </w:rPr>
        <w:t>he wouldn’t be able to continue ruling (TRT)</w:t>
      </w:r>
    </w:p>
    <w:p>
      <w:pPr>
        <w:pStyle w:val="Heading5"/>
      </w:pPr>
      <w:r>
        <w:rPr>
          <w:lang w:val="en_US" w:bidi="en_US"/>
        </w:rPr>
        <w:t>11:18c</w:t>
      </w:r>
    </w:p>
    <w:p>
      <w:pPr/>
      <w:r>
        <w:rPr>
          <w:lang w:val="en_US" w:bidi="en_US"/>
        </w:rPr>
      </w:r>
      <w:r>
        <w:rPr>
          <w:b/>
          <w:lang w:val="en_US" w:bidi="en_US"/>
        </w:rPr>
        <w:t>After all, you say that I drive out demons by Beelzebul.</w:t>
      </w:r>
    </w:p>
    <w:p>
      <w:pPr>
        <w:pStyle w:val="ListBullet"/>
        <w:spacing w:line="240" w:lineRule="auto"/>
        <w:ind w:left="720"/>
      </w:pPr>
      <w:r>
        <w:rPr>
          <w:lang w:val="en_US" w:bidi="en_US"/>
        </w:rPr>
      </w:r>
      <w:r>
        <w:rPr>
          <w:lang w:val="en_US" w:bidi="en_US"/>
        </w:rPr>
        <w:t>I say this because you</w:t>
      </w:r>
      <w:r>
        <w:rPr>
          <w:vertAlign w:val="superscript"/>
          <w:lang w:val="en_US" w:bidi="en_US"/>
        </w:rPr>
        <w:t>(plur)</w:t>
      </w:r>
      <w:r>
        <w:rPr>
          <w:lang w:val="en_US" w:bidi="en_US"/>
        </w:rPr>
        <w:t xml:space="preserve"> claim/say that I use Beelzebul’s </w:t>
      </w:r>
      <w:r>
        <w:rPr>
          <w:lang w:val="en_US" w:bidi="en_US"/>
        </w:rPr>
        <w:t>power</w:t>
      </w:r>
      <w:r>
        <w:rPr>
          <w:lang w:val="en_US" w:bidi="en_US"/>
        </w:rPr>
        <w:t xml:space="preserve"> to expel demons.</w:t>
      </w:r>
    </w:p>
    <w:p>
      <w:pPr>
        <w:pStyle w:val="ListBullet"/>
        <w:spacing w:line="240" w:lineRule="auto"/>
        <w:ind w:left="720"/>
      </w:pPr>
      <w:r>
        <w:rPr>
          <w:lang w:val="en_US" w:bidi="en_US"/>
        </w:rPr>
      </w:r>
      <w:r>
        <w:rPr>
          <w:lang w:val="en_US" w:bidi="en_US"/>
        </w:rPr>
        <w:t xml:space="preserve">I say this </w:t>
      </w:r>
      <w:r>
        <w:rPr>
          <w:lang w:val="en_US" w:bidi="en_US"/>
        </w:rPr>
        <w:t>to you</w:t>
      </w:r>
      <w:r>
        <w:rPr>
          <w:lang w:val="en_US" w:bidi="en_US"/>
        </w:rPr>
        <w:t xml:space="preserve"> because you</w:t>
      </w:r>
      <w:r>
        <w:rPr>
          <w:vertAlign w:val="superscript"/>
          <w:lang w:val="en_US" w:bidi="en_US"/>
        </w:rPr>
        <w:t>(plur)</w:t>
      </w:r>
      <w:r>
        <w:rPr>
          <w:lang w:val="en_US" w:bidi="en_US"/>
        </w:rPr>
        <w:t xml:space="preserve"> said that Beelzebul/Satan gave me the power to cause evil spirits to leave people.</w:t>
      </w:r>
    </w:p>
    <w:p>
      <w:pPr/>
      <w:r>
        <w:rPr>
          <w:lang w:val="en_US" w:bidi="en_US"/>
        </w:rPr>
      </w:r>
      <w:r>
        <w:rPr>
          <w:b/>
          <w:lang w:val="en_US" w:bidi="en_US"/>
        </w:rPr>
        <w:t>After all:</w:t>
      </w:r>
      <w:r>
        <w:rPr>
          <w:lang w:val="en_US" w:bidi="en_US"/>
        </w:rPr>
        <w:t xml:space="preserve"> The Greek word that the BSB translates as </w:t>
      </w:r>
      <w:r>
        <w:rPr>
          <w:i/>
          <w:lang w:val="en_US" w:bidi="en_US"/>
        </w:rPr>
        <w:t>After all</w:t>
      </w:r>
      <w:r>
        <w:rPr>
          <w:lang w:val="en_US" w:bidi="en_US"/>
        </w:rPr>
        <w:t xml:space="preserve"> is literally “because” or “for.” Most English versions translate it that way. The NIV and several other English versions also supply the words “I say this” before “because.” They supply these words to help indicate that 11:18c is the reason why Jesus said what he did in 11:17b–18b.</w:t>
      </w:r>
    </w:p>
    <w:p>
      <w:pPr/>
      <w:r>
        <w:rPr>
          <w:lang w:val="en_US" w:bidi="en_US"/>
        </w:rPr>
      </w:r>
      <w:r>
        <w:rPr>
          <w:b/>
          <w:lang w:val="en_US" w:bidi="en_US"/>
        </w:rPr>
        <w:t>you say that I drive out demons by Beelzebul:</w:t>
      </w:r>
      <w:r>
        <w:rPr>
          <w:lang w:val="en_US" w:bidi="en_US"/>
        </w:rPr>
        <w:t xml:space="preserve"> Jesus was referring to what the people said in 11:15, that Jesus was casting out demons by the power of Beelzebul.</w:t>
      </w:r>
    </w:p>
    <w:p>
      <w:pPr/>
      <w:r>
        <w:rPr>
          <w:lang w:val="en_US" w:bidi="en_US"/>
        </w:rPr>
      </w:r>
      <w:r>
        <w:rPr>
          <w:b/>
          <w:lang w:val="en_US" w:bidi="en_US"/>
        </w:rPr>
        <w:t>demons:</w:t>
      </w:r>
      <w:r>
        <w:rPr>
          <w:lang w:val="en_US" w:bidi="en_US"/>
        </w:rPr>
        <w:t xml:space="preserve"> This is the same word as in 11:15c.</w:t>
      </w:r>
    </w:p>
    <w:p>
      <w:pPr/>
      <w:r>
        <w:rPr>
          <w:lang w:val="en_US" w:bidi="en_US"/>
        </w:rPr>
      </w:r>
      <w:r>
        <w:rPr>
          <w:b/>
          <w:lang w:val="en_US" w:bidi="en_US"/>
        </w:rPr>
        <w:t>Beelzebul:</w:t>
      </w:r>
      <w:r>
        <w:rPr>
          <w:lang w:val="en_US" w:bidi="en_US"/>
        </w:rPr>
        <w:t xml:space="preserve"> The Greek word that the BSB transliterates as </w:t>
      </w:r>
      <w:r>
        <w:rPr>
          <w:i/>
          <w:lang w:val="en_US" w:bidi="en_US"/>
        </w:rPr>
        <w:t>Beelzebul</w:t>
      </w:r>
      <w:r>
        <w:rPr>
          <w:lang w:val="en_US" w:bidi="en_US"/>
        </w:rPr>
        <w:t xml:space="preserve"> is again Beelzebul, as in 11:15b. You should use the same name as you did there.</w:t>
      </w:r>
    </w:p>
    <w:p>
      <w:pPr>
        <w:pStyle w:val="Heading6"/>
      </w:pPr>
      <w:r>
        <w:rPr>
          <w:b/>
          <w:lang w:val="en_US" w:bidi="en_US"/>
        </w:rPr>
        <w:t>General Comment on 11:18a–c</w:t>
      </w:r>
    </w:p>
    <w:p>
      <w:pPr/>
      <w:r>
        <w:rPr>
          <w:lang w:val="en_US" w:bidi="en_US"/>
        </w:rPr>
      </w:r>
      <w:r>
        <w:rPr>
          <w:lang w:val="en_US" w:bidi="en_US"/>
        </w:rPr>
        <w:t>In some languages, it may be more natural to reorder 11:18a–c. For example:</w:t>
      </w:r>
    </w:p>
    <w:p>
      <w:pPr/>
      <w:r>
        <w:rPr>
          <w:lang w:val="en_US" w:bidi="en_US"/>
        </w:rPr>
      </w:r>
      <w:r>
        <w:rPr>
          <w:vertAlign w:val="superscript"/>
          <w:lang w:val="en_US" w:bidi="en_US"/>
        </w:rPr>
        <w:t>18c</w:t>
      </w:r>
      <w:r>
        <w:rPr>
          <w:lang w:val="en_US" w:bidi="en_US"/>
        </w:rPr>
        <w:t xml:space="preserve">You say I am empowered by the prince of demons. But </w:t>
      </w:r>
      <w:r>
        <w:rPr>
          <w:vertAlign w:val="superscript"/>
          <w:lang w:val="en_US" w:bidi="en_US"/>
        </w:rPr>
        <w:t>18a</w:t>
      </w:r>
      <w:r>
        <w:rPr>
          <w:lang w:val="en_US" w:bidi="en_US"/>
        </w:rPr>
        <w:t xml:space="preserve">if Satan is fighting against himself </w:t>
      </w:r>
      <w:r>
        <w:rPr>
          <w:vertAlign w:val="superscript"/>
          <w:lang w:val="en_US" w:bidi="en_US"/>
        </w:rPr>
        <w:t>18c</w:t>
      </w:r>
      <w:r>
        <w:rPr>
          <w:lang w:val="en_US" w:bidi="en_US"/>
        </w:rPr>
        <w:t xml:space="preserve">by empowering me to cast out his demons, </w:t>
      </w:r>
      <w:r>
        <w:rPr>
          <w:vertAlign w:val="superscript"/>
          <w:lang w:val="en_US" w:bidi="en_US"/>
        </w:rPr>
        <w:t>18b</w:t>
      </w:r>
      <w:r>
        <w:rPr>
          <w:lang w:val="en_US" w:bidi="en_US"/>
        </w:rPr>
        <w:t>how can his kingdom survive? (NLT96)</w:t>
      </w:r>
    </w:p>
    <w:p>
      <w:pPr/>
      <w:r>
        <w:rPr>
          <w:lang w:val="en_US" w:bidi="en_US"/>
        </w:rPr>
      </w:r>
      <w:r>
        <w:rPr>
          <w:vertAlign w:val="superscript"/>
          <w:lang w:val="en_US" w:bidi="en_US"/>
        </w:rPr>
        <w:t>18c</w:t>
      </w:r>
      <w:r>
        <w:rPr>
          <w:lang w:val="en_US" w:bidi="en_US"/>
        </w:rPr>
        <w:t xml:space="preserve">You say that it is Satan </w:t>
      </w:r>
      <w:r>
        <w:rPr>
          <w:lang w:val="en_US" w:bidi="en_US"/>
        </w:rPr>
        <w:t>the prince of demons</w:t>
      </w:r>
      <w:r>
        <w:rPr>
          <w:lang w:val="en_US" w:bidi="en_US"/>
        </w:rPr>
        <w:t xml:space="preserve"> who gives me </w:t>
      </w:r>
      <w:r>
        <w:rPr>
          <w:lang w:val="en_US" w:bidi="en_US"/>
        </w:rPr>
        <w:t>the power</w:t>
      </w:r>
      <w:r>
        <w:rPr>
          <w:lang w:val="en_US" w:bidi="en_US"/>
        </w:rPr>
        <w:t xml:space="preserve"> to drive out demons. </w:t>
      </w:r>
      <w:r>
        <w:rPr>
          <w:vertAlign w:val="superscript"/>
          <w:lang w:val="en_US" w:bidi="en_US"/>
        </w:rPr>
        <w:t>18a</w:t>
      </w:r>
      <w:r>
        <w:rPr>
          <w:lang w:val="en_US" w:bidi="en_US"/>
        </w:rPr>
        <w:t xml:space="preserve">So, if </w:t>
      </w:r>
      <w:r>
        <w:rPr>
          <w:lang w:val="en_US" w:bidi="en_US"/>
        </w:rPr>
        <w:t>this is true, it means that</w:t>
      </w:r>
      <w:r>
        <w:rPr>
          <w:lang w:val="en_US" w:bidi="en_US"/>
        </w:rPr>
        <w:t xml:space="preserve"> Satan is fighting against himself! </w:t>
      </w:r>
      <w:r>
        <w:rPr>
          <w:vertAlign w:val="superscript"/>
          <w:lang w:val="en_US" w:bidi="en_US"/>
        </w:rPr>
        <w:t>18b</w:t>
      </w:r>
      <w:r>
        <w:rPr>
          <w:lang w:val="en_US" w:bidi="en_US"/>
        </w:rPr>
        <w:t>Therefore,</w:t>
      </w:r>
      <w:r>
        <w:rPr>
          <w:lang w:val="en_US" w:bidi="en_US"/>
        </w:rPr>
        <w:t xml:space="preserve"> will his rule continue? </w:t>
      </w:r>
      <w:r>
        <w:rPr>
          <w:lang w:val="en_US" w:bidi="en_US"/>
        </w:rPr>
        <w:t>It certainly will not!</w:t>
      </w:r>
      <w:r>
        <w:rPr>
          <w:lang w:val="en_US" w:bidi="en_US"/>
        </w:rPr>
      </w:r>
      <w:r>
        <w:rPr>
          <w:lang w:val="en_US" w:bidi="en_US"/>
        </w:rPr>
      </w:r>
    </w:p>
    <w:p>
      <w:pPr/>
      <w:r>
        <w:rPr>
          <w:lang w:val="en_US" w:bidi="en_US"/>
        </w:rPr>
      </w:r>
    </w:p>
    <w:p>
      <w:pPr>
        <w:pStyle w:val="Heading2"/>
      </w:pPr>
      <w:r>
        <w:rPr>
          <w:lang w:val="en_US" w:bidi="en_US"/>
        </w:rPr>
        <w:t>Luke 11:19</w:t>
      </w:r>
      <w:r>
        <w:rPr>
          <w:lang w:val="en_US" w:bidi="en_US"/>
        </w:rPr>
      </w:r>
    </w:p>
    <w:p>
      <w:pPr>
        <w:pStyle w:val="Heading4"/>
      </w:pPr>
      <w:r>
        <w:rPr>
          <w:lang w:val="en_US" w:bidi="en_US"/>
        </w:rPr>
        <w:t>Section 11:14–23: Jesus proved that he did not use Satan’s power</w:t>
      </w:r>
    </w:p>
    <w:p>
      <w:pPr/>
      <w:r>
        <w:rPr>
          <w:lang w:val="en_US" w:bidi="en_US"/>
        </w:rPr>
      </w:r>
      <w:r>
        <w:rPr>
          <w:lang w:val="en_US" w:bidi="en_US"/>
        </w:rPr>
        <w:t>This section is not explicitly connected with the preceding section in time, place, or theme.</w:t>
      </w:r>
    </w:p>
    <w:p>
      <w:pPr/>
      <w:r>
        <w:rPr>
          <w:lang w:val="en_US" w:bidi="en_US"/>
        </w:rPr>
      </w:r>
      <w:r>
        <w:rPr>
          <w:lang w:val="en_US" w:bidi="en_US"/>
        </w:rPr>
        <w:t>In this section, Jesus cast out a demon that made a man mute (11:14). Some people who were there commented to each other that Jesus was casting out demons by the power of Satan (11:15). Jesus gave them two reasons why this could not be true (11:17–19). He concluded that he cast out demons by the power of God (11:20). Then he told a parable (11:21–22) that showed that he is stronger than Satan.</w:t>
      </w:r>
    </w:p>
    <w:p>
      <w:pPr/>
      <w:r>
        <w:rPr>
          <w:lang w:val="en_US" w:bidi="en_US"/>
        </w:rPr>
      </w:r>
      <w:r>
        <w:rPr>
          <w:lang w:val="en_US" w:bidi="en_US"/>
        </w:rPr>
        <w:t>Some other headings for this section are:</w:t>
      </w:r>
    </w:p>
    <w:p>
      <w:pPr/>
      <w:r>
        <w:rPr>
          <w:lang w:val="en_US" w:bidi="en_US"/>
        </w:rPr>
      </w:r>
      <w:r>
        <w:rPr>
          <w:lang w:val="en_US" w:bidi="en_US"/>
        </w:rPr>
        <w:t>Jesus is stronger than Satan</w:t>
      </w:r>
    </w:p>
    <w:p>
      <w:pPr/>
      <w:r>
        <w:rPr>
          <w:lang w:val="en_US" w:bidi="en_US"/>
        </w:rPr>
      </w:r>
      <w:r>
        <w:rPr>
          <w:lang w:val="en_US" w:bidi="en_US"/>
        </w:rPr>
        <w:t>Jesus and Beelzebub</w:t>
      </w:r>
    </w:p>
    <w:p>
      <w:pPr/>
      <w:r>
        <w:rPr>
          <w:lang w:val="en_US" w:bidi="en_US"/>
        </w:rPr>
      </w:r>
      <w:r>
        <w:rPr>
          <w:lang w:val="en_US" w:bidi="en_US"/>
        </w:rPr>
        <w:t>Jesus sends unclean spirits away by defeating Satan</w:t>
      </w:r>
    </w:p>
    <w:p>
      <w:pPr/>
      <w:r>
        <w:rPr>
          <w:lang w:val="en_US" w:bidi="en_US"/>
        </w:rPr>
      </w:r>
      <w:r>
        <w:rPr>
          <w:lang w:val="en_US" w:bidi="en_US"/>
        </w:rPr>
        <w:t>There are parallel passages for this section in Matthew 12:22–30 and Mark 3:20–27.</w:t>
      </w:r>
    </w:p>
    <w:p>
      <w:pPr>
        <w:pStyle w:val="Heading4"/>
      </w:pPr>
      <w:r>
        <w:rPr>
          <w:lang w:val="en_US" w:bidi="en_US"/>
        </w:rPr>
        <w:t>Paragraph 11:17–20</w:t>
      </w:r>
    </w:p>
    <w:p>
      <w:pPr/>
      <w:r>
        <w:rPr>
          <w:lang w:val="en_US" w:bidi="en_US"/>
        </w:rPr>
      </w:r>
      <w:r>
        <w:rPr>
          <w:lang w:val="en_US" w:bidi="en_US"/>
        </w:rPr>
        <w:t>In this paragraph Jesus gave two arguments to prove that he was not using Beelzebul’s power to drive out demons. He was using God’s power. The two arguments are:</w:t>
      </w:r>
    </w:p>
    <w:p>
      <w:pPr>
        <w:pStyle w:val="ListNumber"/>
        <w:numPr>
          <w:ilvl w:val="0"/>
          <w:numId w:val="222"/>
        </w:numPr>
        <w:spacing w:line="240" w:lineRule="auto"/>
        <w:ind w:left="720"/>
      </w:pPr>
      <w:r>
        <w:rPr>
          <w:lang w:val="en_US" w:bidi="en_US"/>
        </w:rPr>
      </w:r>
      <w:r>
        <w:rPr>
          <w:lang w:val="en_US" w:bidi="en_US"/>
        </w:rPr>
        <w:t>If he were using Beelzebul’s power, then Beelzebul would be fighting against his own demons and would destroy his own kingdom (11:17–18).</w:t>
      </w:r>
    </w:p>
    <w:p>
      <w:pPr>
        <w:pStyle w:val="ListNumber"/>
        <w:spacing w:line="240" w:lineRule="auto"/>
        <w:ind w:left="720"/>
      </w:pPr>
      <w:r>
        <w:rPr>
          <w:lang w:val="en_US" w:bidi="en_US"/>
        </w:rPr>
      </w:r>
      <w:r>
        <w:rPr>
          <w:lang w:val="en_US" w:bidi="en_US"/>
        </w:rPr>
        <w:t>If he were using Beelzebul’s power, then his accusers would need to explain why they did not also accuse other Jewish exorcists of using Beelzebul’s power (11:19).</w:t>
      </w:r>
    </w:p>
    <w:p>
      <w:pPr/>
      <w:r>
        <w:rPr>
          <w:lang w:val="en_US" w:bidi="en_US"/>
        </w:rPr>
      </w:r>
      <w:r>
        <w:rPr>
          <w:lang w:val="en_US" w:bidi="en_US"/>
        </w:rPr>
        <w:t>No one would accept the conclusion to these arguments, so there was only one alternative: Jesus was using God’s power (11:20).</w:t>
      </w:r>
    </w:p>
    <w:p>
      <w:pPr>
        <w:pStyle w:val="Heading5"/>
      </w:pPr>
      <w:r>
        <w:rPr>
          <w:lang w:val="en_US" w:bidi="en_US"/>
        </w:rPr>
        <w:t>11:19</w:t>
      </w:r>
    </w:p>
    <w:p>
      <w:pPr/>
      <w:r>
        <w:rPr>
          <w:lang w:val="en_US" w:bidi="en_US"/>
        </w:rPr>
      </w:r>
      <w:r>
        <w:rPr>
          <w:lang w:val="en_US" w:bidi="en_US"/>
        </w:rPr>
        <w:t>In 11:19 Jesus gave a second reason why it was not logical for his critics to say that he used Beelzebul’s power to drive out demons. This reason contains implied information and a rhetorical question. Here is a statement of the reason with the implied information included:</w:t>
      </w:r>
    </w:p>
    <w:p>
      <w:pPr>
        <w:pStyle w:val="ListNumber"/>
        <w:numPr>
          <w:ilvl w:val="0"/>
          <w:numId w:val="223"/>
        </w:numPr>
        <w:spacing w:line="240" w:lineRule="auto"/>
        <w:ind w:left="720"/>
      </w:pPr>
      <w:r>
        <w:rPr>
          <w:lang w:val="en_US" w:bidi="en_US"/>
        </w:rPr>
      </w:r>
      <w:r>
        <w:rPr>
          <w:lang w:val="en_US" w:bidi="en_US"/>
        </w:rPr>
        <w:t>You think/say that</w:t>
      </w:r>
      <w:r>
        <w:rPr>
          <w:lang w:val="en_US" w:bidi="en_US"/>
        </w:rPr>
        <w:t xml:space="preserve"> </w:t>
      </w:r>
      <w:r>
        <w:rPr>
          <w:u w:val="single"/>
          <w:lang w:val="en_US" w:bidi="en_US"/>
        </w:rPr>
        <w:t>I</w:t>
      </w:r>
      <w:r>
        <w:rPr>
          <w:lang w:val="en_US" w:bidi="en_US"/>
        </w:rPr>
        <w:t xml:space="preserve"> drive out demons by Beelzebul’s power.</w:t>
      </w:r>
    </w:p>
    <w:p>
      <w:pPr>
        <w:pStyle w:val="ListNumber"/>
        <w:spacing w:line="240" w:lineRule="auto"/>
        <w:ind w:left="720"/>
      </w:pPr>
      <w:r>
        <w:rPr>
          <w:lang w:val="en_US" w:bidi="en_US"/>
        </w:rPr>
      </w:r>
      <w:r>
        <w:rPr>
          <w:lang w:val="en_US" w:bidi="en_US"/>
        </w:rPr>
        <w:t>Your followers also drive out demons,</w:t>
      </w:r>
      <w:r>
        <w:rPr>
          <w:lang w:val="en_US" w:bidi="en_US"/>
        </w:rPr>
        <w:t xml:space="preserve"> </w:t>
      </w:r>
      <w:r>
        <w:rPr>
          <w:lang w:val="en_US" w:bidi="en_US"/>
        </w:rPr>
        <w:t>so you are implying that</w:t>
      </w:r>
      <w:r>
        <w:rPr>
          <w:lang w:val="en_US" w:bidi="en_US"/>
        </w:rPr>
        <w:t xml:space="preserve"> your own followers also use </w:t>
      </w:r>
      <w:r>
        <w:rPr>
          <w:lang w:val="en_US" w:bidi="en_US"/>
        </w:rPr>
        <w:t>Beelzebul’s</w:t>
      </w:r>
      <w:r>
        <w:rPr>
          <w:lang w:val="en_US" w:bidi="en_US"/>
        </w:rPr>
        <w:t xml:space="preserve"> power when they drive out demons. </w:t>
      </w:r>
      <w:r>
        <w:rPr>
          <w:lang w:val="en_US" w:bidi="en_US"/>
        </w:rPr>
        <w:t>But they do not.</w:t>
      </w:r>
    </w:p>
    <w:p>
      <w:pPr>
        <w:pStyle w:val="ListNumber"/>
        <w:spacing w:line="240" w:lineRule="auto"/>
        <w:ind w:left="720"/>
      </w:pPr>
      <w:r>
        <w:rPr>
          <w:lang w:val="en_US" w:bidi="en_US"/>
        </w:rPr>
      </w:r>
      <w:r>
        <w:rPr>
          <w:lang w:val="en_US" w:bidi="en_US"/>
        </w:rPr>
        <w:t xml:space="preserve">So your own followers will judge you </w:t>
      </w:r>
      <w:r>
        <w:rPr>
          <w:lang w:val="en_US" w:bidi="en_US"/>
        </w:rPr>
        <w:t>to be wrong</w:t>
      </w:r>
      <w:r>
        <w:rPr>
          <w:lang w:val="en_US" w:bidi="en_US"/>
        </w:rPr>
        <w:t>.</w:t>
      </w:r>
    </w:p>
    <w:p>
      <w:pPr>
        <w:pStyle w:val="Heading5"/>
      </w:pPr>
      <w:r>
        <w:rPr>
          <w:lang w:val="en_US" w:bidi="en_US"/>
        </w:rPr>
        <w:t>11:19a</w:t>
      </w:r>
    </w:p>
    <w:p>
      <w:pPr/>
      <w:r>
        <w:rPr>
          <w:lang w:val="en_US" w:bidi="en_US"/>
        </w:rPr>
      </w:r>
      <w:r>
        <w:rPr>
          <w:b/>
          <w:lang w:val="en_US" w:bidi="en_US"/>
        </w:rPr>
        <w:t>And if I drive out demons by Beelzebul,</w:t>
      </w:r>
    </w:p>
    <w:p>
      <w:pPr>
        <w:pStyle w:val="ListBullet"/>
        <w:spacing w:line="240" w:lineRule="auto"/>
        <w:ind w:left="720"/>
      </w:pPr>
      <w:r>
        <w:rPr>
          <w:lang w:val="en_US" w:bidi="en_US"/>
        </w:rPr>
      </w:r>
      <w:r>
        <w:rPr>
          <w:lang w:val="en_US" w:bidi="en_US"/>
        </w:rPr>
        <w:t xml:space="preserve">If I am expelling demons by </w:t>
      </w:r>
      <w:r>
        <w:rPr>
          <w:lang w:val="en_US" w:bidi="en_US"/>
        </w:rPr>
        <w:t>using the power of</w:t>
      </w:r>
      <w:r>
        <w:rPr>
          <w:lang w:val="en_US" w:bidi="en_US"/>
        </w:rPr>
        <w:t xml:space="preserve"> Beelzebul,</w:t>
      </w:r>
    </w:p>
    <w:p>
      <w:pPr>
        <w:pStyle w:val="ListBullet"/>
        <w:spacing w:line="240" w:lineRule="auto"/>
        <w:ind w:left="720"/>
      </w:pPr>
      <w:r>
        <w:rPr>
          <w:lang w:val="en_US" w:bidi="en_US"/>
        </w:rPr>
      </w:r>
      <w:r>
        <w:rPr>
          <w:lang w:val="en_US" w:bidi="en_US"/>
        </w:rPr>
        <w:t xml:space="preserve">And if </w:t>
      </w:r>
      <w:r>
        <w:rPr>
          <w:lang w:val="en_US" w:bidi="en_US"/>
        </w:rPr>
        <w:t>you think that</w:t>
      </w:r>
      <w:r>
        <w:rPr>
          <w:lang w:val="en_US" w:bidi="en_US"/>
        </w:rPr>
        <w:t xml:space="preserve"> I use </w:t>
      </w:r>
      <w:r>
        <w:rPr>
          <w:lang w:val="en_US" w:bidi="en_US"/>
        </w:rPr>
        <w:t>the power of</w:t>
      </w:r>
      <w:r>
        <w:rPr>
          <w:lang w:val="en_US" w:bidi="en_US"/>
        </w:rPr>
        <w:t xml:space="preserve"> Satan to throw/drive out demons,</w:t>
      </w:r>
    </w:p>
    <w:p>
      <w:pPr>
        <w:pStyle w:val="ListBullet"/>
        <w:spacing w:line="240" w:lineRule="auto"/>
        <w:ind w:left="720"/>
      </w:pPr>
      <w:r>
        <w:rPr>
          <w:lang w:val="en_US" w:bidi="en_US"/>
        </w:rPr>
      </w:r>
      <w:r>
        <w:rPr>
          <w:lang w:val="en_US" w:bidi="en_US"/>
        </w:rPr>
        <w:t xml:space="preserve">Since </w:t>
      </w:r>
      <w:r>
        <w:rPr>
          <w:lang w:val="en_US" w:bidi="en_US"/>
        </w:rPr>
        <w:t>you</w:t>
      </w:r>
      <w:r>
        <w:rPr>
          <w:vertAlign w:val="superscript"/>
          <w:lang w:val="en_US" w:bidi="en_US"/>
        </w:rPr>
        <w:t>(plur)</w:t>
      </w:r>
      <w:r>
        <w:rPr>
          <w:lang w:val="en_US" w:bidi="en_US"/>
        </w:rPr>
        <w:t xml:space="preserve"> </w:t>
      </w:r>
      <w:r>
        <w:rPr>
          <w:lang w:val="en_US" w:bidi="en_US"/>
        </w:rPr>
        <w:t>say that</w:t>
      </w:r>
      <w:r>
        <w:rPr>
          <w:lang w:val="en_US" w:bidi="en_US"/>
        </w:rPr>
        <w:t xml:space="preserve"> I cause evil spirits to leave by Satan’s </w:t>
      </w:r>
      <w:r>
        <w:rPr>
          <w:lang w:val="en_US" w:bidi="en_US"/>
        </w:rPr>
        <w:t>power</w:t>
      </w:r>
      <w:r>
        <w:rPr>
          <w:lang w:val="en_US" w:bidi="en_US"/>
        </w:rPr>
        <w:t>,</w:t>
      </w:r>
    </w:p>
    <w:p>
      <w:pPr>
        <w:pStyle w:val="ListBullet"/>
        <w:spacing w:line="240" w:lineRule="auto"/>
        <w:ind w:left="720"/>
      </w:pPr>
      <w:r>
        <w:rPr>
          <w:lang w:val="en_US" w:bidi="en_US"/>
        </w:rPr>
      </w:r>
      <w:r>
        <w:rPr>
          <w:lang w:val="en_US" w:bidi="en_US"/>
        </w:rPr>
        <w:t>If this is true,</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 new part of Jesus’ argument or reasoning. Though some versions (NET, NIV, NRSV) translate it as “Now,” it is not a time word here.</w:t>
      </w:r>
    </w:p>
    <w:p>
      <w:pPr/>
      <w:r>
        <w:rPr>
          <w:lang w:val="en_US" w:bidi="en_US"/>
        </w:rPr>
      </w:r>
      <w:r>
        <w:rPr>
          <w:lang w:val="en_US" w:bidi="en_US"/>
        </w:rPr>
        <w:t>Some versions do not use a specific conjunction here. Use a way that is natural in your language to introduce this new reasoning.</w:t>
      </w:r>
    </w:p>
    <w:p>
      <w:pPr/>
      <w:r>
        <w:rPr>
          <w:lang w:val="en_US" w:bidi="en_US"/>
        </w:rPr>
      </w:r>
      <w:r>
        <w:rPr>
          <w:b/>
          <w:lang w:val="en_US" w:bidi="en_US"/>
        </w:rPr>
        <w:t>if I drive out demons by Beelzebul:</w:t>
      </w:r>
      <w:r>
        <w:rPr>
          <w:lang w:val="en_US" w:bidi="en_US"/>
        </w:rPr>
        <w:t xml:space="preserve"> Here Jesus was pointing out that the thinking of his critics would lead to a conclusion that they themselves could not agree with. He was not admitting that he used Beelzebul’s power to drive out demons.</w:t>
      </w:r>
    </w:p>
    <w:p>
      <w:pPr/>
      <w:r>
        <w:rPr>
          <w:lang w:val="en_US" w:bidi="en_US"/>
        </w:rPr>
      </w:r>
      <w:r>
        <w:rPr>
          <w:lang w:val="en_US" w:bidi="en_US"/>
        </w:rPr>
        <w:t xml:space="preserve">The words </w:t>
      </w:r>
      <w:r>
        <w:rPr>
          <w:i/>
          <w:lang w:val="en_US" w:bidi="en_US"/>
        </w:rPr>
        <w:t>I drive out demons by Beelzebul</w:t>
      </w:r>
      <w:r>
        <w:rPr>
          <w:lang w:val="en_US" w:bidi="en_US"/>
        </w:rPr>
        <w:t xml:space="preserve"> are a repetition of part of 11:18c. In some languages, it may not be natural to repeat these words. If that is true in your language, you can say:</w:t>
      </w:r>
    </w:p>
    <w:p>
      <w:pPr/>
      <w:r>
        <w:rPr>
          <w:lang w:val="en_US" w:bidi="en_US"/>
        </w:rPr>
      </w:r>
      <w:r>
        <w:rPr>
          <w:lang w:val="en_US" w:bidi="en_US"/>
        </w:rPr>
        <w:t>If that is true</w:t>
      </w:r>
    </w:p>
    <w:p>
      <w:pPr/>
      <w:r>
        <w:rPr>
          <w:lang w:val="en_US" w:bidi="en_US"/>
        </w:rPr>
      </w:r>
      <w:r>
        <w:rPr>
          <w:b/>
          <w:lang w:val="en_US" w:bidi="en_US"/>
        </w:rPr>
        <w:t>I:</w:t>
      </w:r>
      <w:r>
        <w:rPr>
          <w:lang w:val="en_US" w:bidi="en_US"/>
        </w:rPr>
        <w:t xml:space="preserve"> In Greek, the word </w:t>
      </w:r>
      <w:r>
        <w:rPr>
          <w:i/>
          <w:lang w:val="en_US" w:bidi="en_US"/>
        </w:rPr>
        <w:t>I</w:t>
      </w:r>
      <w:r>
        <w:rPr>
          <w:lang w:val="en_US" w:bidi="en_US"/>
        </w:rPr>
        <w:t xml:space="preserve"> is emphasized. There is a deliberate contrast between </w:t>
      </w:r>
      <w:r>
        <w:rPr>
          <w:i/>
          <w:lang w:val="en_US" w:bidi="en_US"/>
        </w:rPr>
        <w:t>I</w:t>
      </w:r>
      <w:r>
        <w:rPr>
          <w:lang w:val="en_US" w:bidi="en_US"/>
        </w:rPr>
        <w:t xml:space="preserve"> in 11:19a and “your followers” in 11:19b. If you have a way to show this contrast in your language, you should use it here.</w:t>
      </w:r>
    </w:p>
    <w:p>
      <w:pPr>
        <w:pStyle w:val="Heading5"/>
      </w:pPr>
      <w:r>
        <w:rPr>
          <w:lang w:val="en_US" w:bidi="en_US"/>
        </w:rPr>
        <w:t>11:19b</w:t>
      </w:r>
    </w:p>
    <w:p>
      <w:pPr/>
      <w:r>
        <w:rPr>
          <w:lang w:val="en_US" w:bidi="en_US"/>
        </w:rPr>
      </w:r>
      <w:r>
        <w:rPr>
          <w:b/>
          <w:lang w:val="en_US" w:bidi="en_US"/>
        </w:rPr>
        <w:t>by whom do your sons drive them out?</w:t>
      </w:r>
    </w:p>
    <w:p>
      <w:pPr>
        <w:pStyle w:val="ListBullet"/>
        <w:spacing w:line="240" w:lineRule="auto"/>
        <w:ind w:left="720"/>
      </w:pPr>
      <w:r>
        <w:rPr>
          <w:lang w:val="en_US" w:bidi="en_US"/>
        </w:rPr>
      </w:r>
      <w:r>
        <w:rPr>
          <w:lang w:val="en_US" w:bidi="en_US"/>
        </w:rPr>
        <w:t>what about your</w:t>
      </w:r>
      <w:r>
        <w:rPr>
          <w:vertAlign w:val="superscript"/>
          <w:lang w:val="en_US" w:bidi="en_US"/>
        </w:rPr>
        <w:t>(plur)</w:t>
      </w:r>
      <w:r>
        <w:rPr>
          <w:lang w:val="en_US" w:bidi="en_US"/>
        </w:rPr>
        <w:t xml:space="preserve"> </w:t>
      </w:r>
      <w:r>
        <w:rPr>
          <w:lang w:val="en_US" w:bidi="en_US"/>
        </w:rPr>
        <w:t>own</w:t>
      </w:r>
      <w:r>
        <w:rPr>
          <w:lang w:val="en_US" w:bidi="en_US"/>
        </w:rPr>
        <w:t xml:space="preserve"> followers? By whose power do they drive/cast out demons?</w:t>
      </w:r>
    </w:p>
    <w:p>
      <w:pPr>
        <w:pStyle w:val="ListBullet"/>
        <w:spacing w:line="240" w:lineRule="auto"/>
        <w:ind w:left="720"/>
      </w:pPr>
      <w:r>
        <w:rPr>
          <w:lang w:val="en_US" w:bidi="en_US"/>
        </w:rPr>
      </w:r>
      <w:r>
        <w:rPr>
          <w:lang w:val="en_US" w:bidi="en_US"/>
        </w:rPr>
        <w:t>then</w:t>
      </w:r>
      <w:r>
        <w:rPr>
          <w:lang w:val="en_US" w:bidi="en_US"/>
        </w:rPr>
        <w:t xml:space="preserve"> whose </w:t>
      </w:r>
      <w:r>
        <w:rPr>
          <w:lang w:val="en_US" w:bidi="en_US"/>
        </w:rPr>
        <w:t>power</w:t>
      </w:r>
      <w:r>
        <w:rPr>
          <w:lang w:val="en_US" w:bidi="en_US"/>
        </w:rPr>
        <w:t xml:space="preserve"> do your people use when they cast/throw out demons? </w:t>
      </w:r>
      <w:r>
        <w:rPr>
          <w:lang w:val="en_US" w:bidi="en_US"/>
        </w:rPr>
        <w:t>Satan’s power?</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w:t>
      </w:r>
      <w:r>
        <w:rPr>
          <w:lang w:val="en_US" w:bidi="en_US"/>
        </w:rPr>
        <w:t>are saying/implying that</w:t>
      </w:r>
      <w:r>
        <w:rPr>
          <w:lang w:val="en_US" w:bidi="en_US"/>
        </w:rPr>
        <w:t xml:space="preserve"> your </w:t>
      </w:r>
      <w:r>
        <w:rPr>
          <w:lang w:val="en_US" w:bidi="en_US"/>
        </w:rPr>
        <w:t>own</w:t>
      </w:r>
      <w:r>
        <w:rPr>
          <w:lang w:val="en_US" w:bidi="en_US"/>
        </w:rPr>
        <w:t xml:space="preserve"> followers cause demons to leave in the same way!</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w:t>
      </w:r>
      <w:r>
        <w:rPr>
          <w:lang w:val="en_US" w:bidi="en_US"/>
        </w:rPr>
        <w:t>are also saying that</w:t>
      </w:r>
      <w:r>
        <w:rPr>
          <w:lang w:val="en_US" w:bidi="en_US"/>
        </w:rPr>
        <w:t xml:space="preserve"> your followers drive demons out by Satan’s power. </w:t>
      </w:r>
      <w:r>
        <w:rPr>
          <w:lang w:val="en_US" w:bidi="en_US"/>
        </w:rPr>
        <w:t>But they do not</w:t>
      </w:r>
      <w:r>
        <w:rPr>
          <w:lang w:val="en_US" w:bidi="en_US"/>
        </w:rPr>
        <w:t xml:space="preserve"> </w:t>
      </w:r>
      <w:r>
        <w:rPr>
          <w:lang w:val="en_US" w:bidi="en_US"/>
        </w:rPr>
        <w:t>use Satan’s power.</w:t>
      </w:r>
    </w:p>
    <w:p>
      <w:pPr/>
      <w:r>
        <w:rPr>
          <w:lang w:val="en_US" w:bidi="en_US"/>
        </w:rPr>
      </w:r>
      <w:r>
        <w:rPr>
          <w:lang w:val="en_US" w:bidi="en_US"/>
        </w:rPr>
        <w:t>Verse 11:19b is based on the common knowledge that some of the followers of Jesus’ critics also drove out demons.</w:t>
      </w:r>
    </w:p>
    <w:p>
      <w:pPr/>
      <w:r>
        <w:rPr>
          <w:lang w:val="en_US" w:bidi="en_US"/>
        </w:rPr>
      </w:r>
      <w:r>
        <w:rPr>
          <w:b/>
          <w:lang w:val="en_US" w:bidi="en_US"/>
        </w:rPr>
        <w:t>by whom do your sons drive them out?:</w:t>
      </w:r>
      <w:r>
        <w:rPr>
          <w:lang w:val="en_US" w:bidi="en_US"/>
        </w:rPr>
        <w:t xml:space="preserve"> Here </w:t>
      </w:r>
      <w:r>
        <w:rPr>
          <w:i/>
          <w:lang w:val="en_US" w:bidi="en_US"/>
        </w:rPr>
        <w:t>your sons</w:t>
      </w:r>
      <w:r>
        <w:rPr>
          <w:lang w:val="en_US" w:bidi="en_US"/>
        </w:rPr>
        <w:t xml:space="preserve"> refers to disciples or followers. This is a rhetorical question. It emphasizes the obvious but implied conclusion to the claim that Jesus drove out demons by the power of Beelzebul. The implied conclusion is: “</w:t>
      </w:r>
      <w:r>
        <w:rPr>
          <w:lang w:val="en_US" w:bidi="en_US"/>
        </w:rPr>
        <w:t>then</w:t>
      </w:r>
      <w:r>
        <w:rPr>
          <w:lang w:val="en_US" w:bidi="en_US"/>
        </w:rPr>
        <w:t xml:space="preserve"> </w:t>
      </w:r>
      <w:r>
        <w:rPr>
          <w:lang w:val="en_US" w:bidi="en_US"/>
        </w:rPr>
        <w:t>you are saying that</w:t>
      </w:r>
      <w:r>
        <w:rPr>
          <w:lang w:val="en_US" w:bidi="en_US"/>
        </w:rPr>
        <w:t xml:space="preserve"> your followers also drive out demons by the power of Beelzebul.”</w:t>
      </w:r>
    </w:p>
    <w:p>
      <w:pPr/>
      <w:r>
        <w:rPr>
          <w:lang w:val="en_US" w:bidi="en_US"/>
        </w:rPr>
      </w:r>
      <w:r>
        <w:rPr>
          <w:lang w:val="en_US" w:bidi="en_US"/>
        </w:rPr>
        <w:t>There are at least two ways to translate this rhetorical question:</w:t>
      </w:r>
    </w:p>
    <w:p>
      <w:pPr>
        <w:pStyle w:val="ListBullet"/>
        <w:spacing w:line="240" w:lineRule="auto"/>
        <w:ind w:left="720"/>
      </w:pPr>
      <w:r>
        <w:rPr>
          <w:lang w:val="en_US" w:bidi="en_US"/>
        </w:rPr>
      </w:r>
      <w:r>
        <w:rPr>
          <w:lang w:val="en_US" w:bidi="en_US"/>
        </w:rPr>
        <w:t>As a rhetorical question. For example:</w:t>
      </w:r>
      <w:r>
        <w:rPr>
          <w:lang w:val="en_US" w:bidi="en_US"/>
        </w:rPr>
        <w:t>what about</w:t>
      </w:r>
      <w:r>
        <w:rPr>
          <w:lang w:val="en_US" w:bidi="en_US"/>
        </w:rPr>
        <w:t xml:space="preserve"> your </w:t>
      </w:r>
      <w:r>
        <w:rPr>
          <w:lang w:val="en_US" w:bidi="en_US"/>
        </w:rPr>
        <w:t>own</w:t>
      </w:r>
      <w:r>
        <w:rPr>
          <w:lang w:val="en_US" w:bidi="en_US"/>
        </w:rPr>
        <w:t xml:space="preserve"> followers? By whom do they drive out demons? </w:t>
      </w:r>
      <w:r>
        <w:rPr>
          <w:lang w:val="en_US" w:bidi="en_US"/>
        </w:rPr>
        <w:t>By Beelzebub’s power?</w:t>
      </w:r>
      <w:r>
        <w:rPr>
          <w:lang w:val="en_US" w:bidi="en_US"/>
        </w:rPr>
        <w:t>what about your own followers? (NLT96)</w:t>
      </w:r>
      <w:r>
        <w:rPr>
          <w:lang w:val="en_US" w:bidi="en_US"/>
        </w:rPr>
        <w:t>you are saying that</w:t>
      </w:r>
      <w:r>
        <w:rPr>
          <w:lang w:val="en_US" w:bidi="en_US"/>
        </w:rPr>
        <w:t xml:space="preserve"> your followers also drive out demons </w:t>
      </w:r>
      <w:r>
        <w:rPr>
          <w:lang w:val="en_US" w:bidi="en_US"/>
        </w:rPr>
        <w:t>by Beelzebub</w:t>
      </w:r>
      <w:r>
        <w:rPr>
          <w:lang w:val="en_US" w:bidi="en_US"/>
        </w:rPr>
        <w:t xml:space="preserve">. </w:t>
      </w:r>
      <w:r>
        <w:rPr>
          <w:lang w:val="en_US" w:bidi="en_US"/>
        </w:rPr>
        <w:t>Isn’t that right?</w:t>
      </w:r>
    </w:p>
    <w:p>
      <w:pPr>
        <w:pStyle w:val="ListBullet"/>
        <w:spacing w:line="240" w:lineRule="auto"/>
        <w:ind w:left="720"/>
      </w:pPr>
      <w:r>
        <w:rPr>
          <w:lang w:val="en_US" w:bidi="en_US"/>
        </w:rPr>
      </w:r>
      <w:r>
        <w:rPr>
          <w:lang w:val="en_US" w:bidi="en_US"/>
        </w:rPr>
        <w:t>As a statement. For example:</w:t>
      </w:r>
      <w:r>
        <w:rPr>
          <w:lang w:val="en_US" w:bidi="en_US"/>
        </w:rPr>
        <w:t xml:space="preserve">then </w:t>
      </w:r>
      <w:r>
        <w:rPr>
          <w:lang w:val="en_US" w:bidi="en_US"/>
        </w:rPr>
        <w:t>you are saying that</w:t>
      </w:r>
      <w:r>
        <w:rPr>
          <w:lang w:val="en_US" w:bidi="en_US"/>
        </w:rPr>
        <w:t xml:space="preserve"> your followers also do it that way.</w:t>
      </w:r>
      <w:r>
        <w:rPr>
          <w:lang w:val="en_US" w:bidi="en_US"/>
        </w:rPr>
        <w:t xml:space="preserve">then </w:t>
      </w:r>
      <w:r>
        <w:rPr>
          <w:lang w:val="en_US" w:bidi="en_US"/>
        </w:rPr>
        <w:t>you are saying/implying that</w:t>
      </w:r>
      <w:r>
        <w:rPr>
          <w:lang w:val="en_US" w:bidi="en_US"/>
        </w:rPr>
        <w:t xml:space="preserve"> your followers also use </w:t>
      </w:r>
      <w:r>
        <w:rPr>
          <w:lang w:val="en_US" w:bidi="en_US"/>
        </w:rPr>
        <w:t>Beelzebub’s</w:t>
      </w:r>
      <w:r>
        <w:rPr>
          <w:lang w:val="en_US" w:bidi="en_US"/>
        </w:rPr>
        <w:t xml:space="preserve"> power to cast out demons.</w:t>
      </w:r>
    </w:p>
    <w:p>
      <w:pPr/>
      <w:r>
        <w:rPr>
          <w:lang w:val="en_US" w:bidi="en_US"/>
        </w:rPr>
      </w:r>
      <w:r>
        <w:rPr>
          <w:lang w:val="en_US" w:bidi="en_US"/>
        </w:rPr>
        <w:t>Translate this rhetorical question in a way that will make the implied conclusion clear in your language.</w:t>
      </w:r>
    </w:p>
    <w:p>
      <w:pPr/>
      <w:r>
        <w:rPr>
          <w:lang w:val="en_US" w:bidi="en_US"/>
        </w:rPr>
      </w:r>
      <w:r>
        <w:rPr>
          <w:b/>
          <w:lang w:val="en_US" w:bidi="en_US"/>
        </w:rPr>
        <w:t>your sons:</w:t>
      </w:r>
      <w:r>
        <w:rPr>
          <w:lang w:val="en_US" w:bidi="en_US"/>
        </w:rPr>
        <w:t xml:space="preserve"> The Greek word that the BSB translates literally as </w:t>
      </w:r>
      <w:r>
        <w:rPr>
          <w:i/>
          <w:lang w:val="en_US" w:bidi="en_US"/>
        </w:rPr>
        <w:t>sons</w:t>
      </w:r>
      <w:r>
        <w:rPr>
          <w:lang w:val="en_US" w:bidi="en_US"/>
        </w:rPr>
        <w:t xml:space="preserve"> refers to disciples or people who follow a certain religious leader. According to Matthew 12:24, Jesus was addressing the Pharisees, so this probably refers to their followers.</w:t>
      </w:r>
    </w:p>
    <w:p>
      <w:pPr/>
      <w:r>
        <w:rPr>
          <w:lang w:val="en_US" w:bidi="en_US"/>
        </w:rPr>
      </w:r>
      <w:r>
        <w:rPr>
          <w:lang w:val="en_US" w:bidi="en_US"/>
        </w:rPr>
        <w:t>You may want to add a footnote here if you feel it will be helpful. For example:</w:t>
      </w:r>
    </w:p>
    <w:p>
      <w:pPr/>
      <w:r>
        <w:rPr>
          <w:lang w:val="en_US" w:bidi="en_US"/>
        </w:rPr>
      </w:r>
      <w:r>
        <w:rPr>
          <w:lang w:val="en_US" w:bidi="en_US"/>
        </w:rPr>
        <w:t>Jesus was probably referring here to the followers of the Pharisees. See Matthew 12:24–28.</w:t>
      </w:r>
    </w:p>
    <w:p>
      <w:pPr>
        <w:pStyle w:val="Heading5"/>
      </w:pPr>
      <w:r>
        <w:rPr>
          <w:lang w:val="en_US" w:bidi="en_US"/>
        </w:rPr>
        <w:t>11:19c</w:t>
      </w:r>
    </w:p>
    <w:p>
      <w:pPr/>
      <w:r>
        <w:rPr>
          <w:lang w:val="en_US" w:bidi="en_US"/>
        </w:rPr>
      </w:r>
      <w:r>
        <w:rPr>
          <w:b/>
          <w:lang w:val="en_US" w:bidi="en_US"/>
        </w:rPr>
        <w:t>So then, they will be your judges.</w:t>
      </w:r>
    </w:p>
    <w:p>
      <w:pPr>
        <w:pStyle w:val="ListBullet"/>
        <w:spacing w:line="240" w:lineRule="auto"/>
        <w:ind w:left="720"/>
      </w:pPr>
      <w:r>
        <w:rPr>
          <w:lang w:val="en_US" w:bidi="en_US"/>
        </w:rPr>
      </w:r>
      <w:r>
        <w:rPr>
          <w:lang w:val="en_US" w:bidi="en_US"/>
        </w:rPr>
        <w:t>This is why your</w:t>
      </w:r>
      <w:r>
        <w:rPr>
          <w:vertAlign w:val="superscript"/>
          <w:lang w:val="en_US" w:bidi="en_US"/>
        </w:rPr>
        <w:t>(plur)</w:t>
      </w:r>
      <w:r>
        <w:rPr>
          <w:lang w:val="en_US" w:bidi="en_US"/>
        </w:rPr>
        <w:t xml:space="preserve"> followers will judge you</w:t>
      </w:r>
      <w:r>
        <w:rPr>
          <w:vertAlign w:val="superscript"/>
          <w:lang w:val="en_US" w:bidi="en_US"/>
        </w:rPr>
        <w:t>(plur)</w:t>
      </w:r>
      <w:r>
        <w:rPr>
          <w:lang w:val="en_US" w:bidi="en_US"/>
        </w:rPr>
        <w:t xml:space="preserve"> </w:t>
      </w:r>
      <w:r>
        <w:rPr>
          <w:lang w:val="en_US" w:bidi="en_US"/>
        </w:rPr>
        <w:t>to be wrong</w:t>
      </w:r>
      <w:r>
        <w:rPr>
          <w:lang w:val="en_US" w:bidi="en_US"/>
        </w:rPr>
        <w:t>.</w:t>
      </w:r>
    </w:p>
    <w:p>
      <w:pPr>
        <w:pStyle w:val="ListBullet"/>
        <w:spacing w:line="240" w:lineRule="auto"/>
        <w:ind w:left="720"/>
      </w:pPr>
      <w:r>
        <w:rPr>
          <w:lang w:val="en_US" w:bidi="en_US"/>
        </w:rPr>
      </w:r>
      <w:r>
        <w:rPr>
          <w:lang w:val="en_US" w:bidi="en_US"/>
        </w:rPr>
        <w:t>Therefore, they themselves will prove that you</w:t>
      </w:r>
      <w:r>
        <w:rPr>
          <w:vertAlign w:val="superscript"/>
          <w:lang w:val="en_US" w:bidi="en_US"/>
        </w:rPr>
        <w:t>(plur)</w:t>
      </w:r>
      <w:r>
        <w:rPr>
          <w:lang w:val="en_US" w:bidi="en_US"/>
        </w:rPr>
        <w:t xml:space="preserve"> are wrong.</w:t>
      </w:r>
    </w:p>
    <w:p>
      <w:pPr/>
      <w:r>
        <w:rPr>
          <w:lang w:val="en_US" w:bidi="en_US"/>
        </w:rPr>
      </w:r>
      <w:r>
        <w:rPr>
          <w:lang w:val="en_US" w:bidi="en_US"/>
        </w:rPr>
        <w:t>Between 11:19b and 11:19c is some implied information. This information is:</w:t>
      </w:r>
    </w:p>
    <w:p>
      <w:pPr/>
      <w:r>
        <w:rPr>
          <w:lang w:val="en_US" w:bidi="en_US"/>
        </w:rPr>
      </w:r>
      <w:r>
        <w:rPr>
          <w:lang w:val="en_US" w:bidi="en_US"/>
        </w:rPr>
        <w:t>your followers do not use Satan’s power to cast out demons</w:t>
      </w:r>
    </w:p>
    <w:p>
      <w:pPr/>
      <w:r>
        <w:rPr>
          <w:lang w:val="en_US" w:bidi="en_US"/>
        </w:rPr>
      </w:r>
      <w:r>
        <w:rPr>
          <w:lang w:val="en_US" w:bidi="en_US"/>
        </w:rPr>
        <w:t>If you need to supply this implied information, you can put it in your translation or in a footnote.</w:t>
      </w:r>
    </w:p>
    <w:p>
      <w:pPr/>
      <w:r>
        <w:rPr>
          <w:lang w:val="en_US" w:bidi="en_US"/>
        </w:rPr>
      </w:r>
      <w:r>
        <w:rPr>
          <w:b/>
          <w:lang w:val="en_US" w:bidi="en_US"/>
        </w:rPr>
        <w:t>So then:</w:t>
      </w:r>
      <w:r>
        <w:rPr>
          <w:lang w:val="en_US" w:bidi="en_US"/>
        </w:rPr>
        <w:t xml:space="preserve"> The Greek phrase that the BSB translates as </w:t>
      </w:r>
      <w:r>
        <w:rPr>
          <w:i/>
          <w:lang w:val="en_US" w:bidi="en_US"/>
        </w:rPr>
        <w:t>So then</w:t>
      </w:r>
      <w:r>
        <w:rPr>
          <w:lang w:val="en_US" w:bidi="en_US"/>
        </w:rPr>
        <w:t xml:space="preserve"> is more literally “Because of this.” This phrase introduces the conclusion to Jesus’ argument. Another way to translate this is:</w:t>
      </w:r>
    </w:p>
    <w:p>
      <w:pPr/>
      <w:r>
        <w:rPr>
          <w:lang w:val="en_US" w:bidi="en_US"/>
        </w:rPr>
      </w:r>
      <w:r>
        <w:rPr>
          <w:lang w:val="en_US" w:bidi="en_US"/>
        </w:rPr>
        <w:t>Therefore (RSV)</w:t>
      </w:r>
    </w:p>
    <w:p>
      <w:pPr/>
      <w:r>
        <w:rPr>
          <w:lang w:val="en_US" w:bidi="en_US"/>
        </w:rPr>
      </w:r>
      <w:r>
        <w:rPr>
          <w:b/>
          <w:lang w:val="en_US" w:bidi="en_US"/>
        </w:rPr>
        <w:t>they will be your judges:</w:t>
      </w:r>
      <w:r>
        <w:rPr>
          <w:lang w:val="en_US" w:bidi="en_US"/>
        </w:rPr>
        <w:t xml:space="preserve"> The pronoun </w:t>
      </w:r>
      <w:r>
        <w:rPr>
          <w:i/>
          <w:lang w:val="en_US" w:bidi="en_US"/>
        </w:rPr>
        <w:t>they</w:t>
      </w:r>
      <w:r>
        <w:rPr>
          <w:lang w:val="en_US" w:bidi="en_US"/>
        </w:rPr>
        <w:t xml:space="preserve"> refers to the “sons” who cast out demons in 11:19b. This pronoun is emphatic in Greek. They will be </w:t>
      </w:r>
      <w:r>
        <w:rPr>
          <w:i/>
          <w:lang w:val="en_US" w:bidi="en_US"/>
        </w:rPr>
        <w:t>judges</w:t>
      </w:r>
      <w:r>
        <w:rPr>
          <w:lang w:val="en_US" w:bidi="en_US"/>
        </w:rPr>
        <w:t xml:space="preserve"> in the sense that they will prove or show that what the Jewish leaders were saying about Jesus was wrong.</w:t>
      </w:r>
    </w:p>
    <w:p>
      <w:pPr/>
      <w:r>
        <w:rPr>
          <w:lang w:val="en_US" w:bidi="en_US"/>
        </w:rPr>
      </w:r>
      <w:r>
        <w:rPr>
          <w:lang w:val="en_US" w:bidi="en_US"/>
        </w:rPr>
        <w:t>Some other ways to translate this are:</w:t>
      </w:r>
    </w:p>
    <w:p>
      <w:pPr/>
      <w:r>
        <w:rPr>
          <w:lang w:val="en_US" w:bidi="en_US"/>
        </w:rPr>
      </w:r>
      <w:r>
        <w:rPr>
          <w:lang w:val="en_US" w:bidi="en_US"/>
        </w:rPr>
        <w:t xml:space="preserve">they will judge/prove you </w:t>
      </w:r>
      <w:r>
        <w:rPr>
          <w:lang w:val="en_US" w:bidi="en_US"/>
        </w:rPr>
        <w:t>to be wrong</w:t>
      </w:r>
    </w:p>
    <w:p>
      <w:pPr/>
      <w:r>
        <w:rPr>
          <w:lang w:val="en_US" w:bidi="en_US"/>
        </w:rPr>
      </w:r>
      <w:r>
        <w:rPr>
          <w:lang w:val="en_US" w:bidi="en_US"/>
        </w:rPr>
        <w:t>Your own followers prove that you are wrong! (GNT)</w:t>
      </w:r>
      <w:r>
        <w:rPr>
          <w:lang w:val="en_US" w:bidi="en_US"/>
        </w:rPr>
      </w:r>
      <w:r>
        <w:rPr>
          <w:lang w:val="en_US" w:bidi="en_US"/>
        </w:rPr>
      </w:r>
    </w:p>
    <w:p>
      <w:pPr/>
      <w:r>
        <w:rPr>
          <w:lang w:val="en_US" w:bidi="en_US"/>
        </w:rPr>
      </w:r>
    </w:p>
    <w:p>
      <w:pPr>
        <w:pStyle w:val="Heading2"/>
      </w:pPr>
      <w:r>
        <w:rPr>
          <w:lang w:val="en_US" w:bidi="en_US"/>
        </w:rPr>
        <w:t>Luke 11:20</w:t>
      </w:r>
      <w:r>
        <w:rPr>
          <w:lang w:val="en_US" w:bidi="en_US"/>
        </w:rPr>
      </w:r>
    </w:p>
    <w:p>
      <w:pPr>
        <w:pStyle w:val="Heading4"/>
      </w:pPr>
      <w:r>
        <w:rPr>
          <w:lang w:val="en_US" w:bidi="en_US"/>
        </w:rPr>
        <w:t>Section 11:14–23: Jesus proved that he did not use Satan’s power</w:t>
      </w:r>
    </w:p>
    <w:p>
      <w:pPr/>
      <w:r>
        <w:rPr>
          <w:lang w:val="en_US" w:bidi="en_US"/>
        </w:rPr>
      </w:r>
      <w:r>
        <w:rPr>
          <w:lang w:val="en_US" w:bidi="en_US"/>
        </w:rPr>
        <w:t>This section is not explicitly connected with the preceding section in time, place, or theme.</w:t>
      </w:r>
    </w:p>
    <w:p>
      <w:pPr/>
      <w:r>
        <w:rPr>
          <w:lang w:val="en_US" w:bidi="en_US"/>
        </w:rPr>
      </w:r>
      <w:r>
        <w:rPr>
          <w:lang w:val="en_US" w:bidi="en_US"/>
        </w:rPr>
        <w:t>In this section, Jesus cast out a demon that made a man mute (11:14). Some people who were there commented to each other that Jesus was casting out demons by the power of Satan (11:15). Jesus gave them two reasons why this could not be true (11:17–19). He concluded that he cast out demons by the power of God (11:20). Then he told a parable (11:21–22) that showed that he is stronger than Satan.</w:t>
      </w:r>
    </w:p>
    <w:p>
      <w:pPr/>
      <w:r>
        <w:rPr>
          <w:lang w:val="en_US" w:bidi="en_US"/>
        </w:rPr>
      </w:r>
      <w:r>
        <w:rPr>
          <w:lang w:val="en_US" w:bidi="en_US"/>
        </w:rPr>
        <w:t>Some other headings for this section are:</w:t>
      </w:r>
    </w:p>
    <w:p>
      <w:pPr/>
      <w:r>
        <w:rPr>
          <w:lang w:val="en_US" w:bidi="en_US"/>
        </w:rPr>
      </w:r>
      <w:r>
        <w:rPr>
          <w:lang w:val="en_US" w:bidi="en_US"/>
        </w:rPr>
        <w:t>Jesus is stronger than Satan</w:t>
      </w:r>
    </w:p>
    <w:p>
      <w:pPr/>
      <w:r>
        <w:rPr>
          <w:lang w:val="en_US" w:bidi="en_US"/>
        </w:rPr>
      </w:r>
      <w:r>
        <w:rPr>
          <w:lang w:val="en_US" w:bidi="en_US"/>
        </w:rPr>
        <w:t>Jesus and Beelzebub</w:t>
      </w:r>
    </w:p>
    <w:p>
      <w:pPr/>
      <w:r>
        <w:rPr>
          <w:lang w:val="en_US" w:bidi="en_US"/>
        </w:rPr>
      </w:r>
      <w:r>
        <w:rPr>
          <w:lang w:val="en_US" w:bidi="en_US"/>
        </w:rPr>
        <w:t>Jesus sends unclean spirits away by defeating Satan</w:t>
      </w:r>
    </w:p>
    <w:p>
      <w:pPr/>
      <w:r>
        <w:rPr>
          <w:lang w:val="en_US" w:bidi="en_US"/>
        </w:rPr>
      </w:r>
      <w:r>
        <w:rPr>
          <w:lang w:val="en_US" w:bidi="en_US"/>
        </w:rPr>
        <w:t>There are parallel passages for this section in Matthew 12:22–30 and Mark 3:20–27.</w:t>
      </w:r>
    </w:p>
    <w:p>
      <w:pPr>
        <w:pStyle w:val="Heading4"/>
      </w:pPr>
      <w:r>
        <w:rPr>
          <w:lang w:val="en_US" w:bidi="en_US"/>
        </w:rPr>
        <w:t>Paragraph 11:17–20</w:t>
      </w:r>
    </w:p>
    <w:p>
      <w:pPr/>
      <w:r>
        <w:rPr>
          <w:lang w:val="en_US" w:bidi="en_US"/>
        </w:rPr>
      </w:r>
      <w:r>
        <w:rPr>
          <w:lang w:val="en_US" w:bidi="en_US"/>
        </w:rPr>
        <w:t>In this paragraph Jesus gave two arguments to prove that he was not using Beelzebul’s power to drive out demons. He was using God’s power. The two arguments are:</w:t>
      </w:r>
    </w:p>
    <w:p>
      <w:pPr>
        <w:pStyle w:val="ListNumber"/>
        <w:numPr>
          <w:ilvl w:val="0"/>
          <w:numId w:val="224"/>
        </w:numPr>
        <w:spacing w:line="240" w:lineRule="auto"/>
        <w:ind w:left="720"/>
      </w:pPr>
      <w:r>
        <w:rPr>
          <w:lang w:val="en_US" w:bidi="en_US"/>
        </w:rPr>
      </w:r>
      <w:r>
        <w:rPr>
          <w:lang w:val="en_US" w:bidi="en_US"/>
        </w:rPr>
        <w:t>If he were using Beelzebul’s power, then Beelzebul would be fighting against his own demons and would destroy his own kingdom (11:17–18).</w:t>
      </w:r>
    </w:p>
    <w:p>
      <w:pPr>
        <w:pStyle w:val="ListNumber"/>
        <w:spacing w:line="240" w:lineRule="auto"/>
        <w:ind w:left="720"/>
      </w:pPr>
      <w:r>
        <w:rPr>
          <w:lang w:val="en_US" w:bidi="en_US"/>
        </w:rPr>
      </w:r>
      <w:r>
        <w:rPr>
          <w:lang w:val="en_US" w:bidi="en_US"/>
        </w:rPr>
        <w:t>If he were using Beelzebul’s power, then his accusers would need to explain why they did not also accuse other Jewish exorcists of using Beelzebul’s power (11:19).</w:t>
      </w:r>
    </w:p>
    <w:p>
      <w:pPr/>
      <w:r>
        <w:rPr>
          <w:lang w:val="en_US" w:bidi="en_US"/>
        </w:rPr>
      </w:r>
      <w:r>
        <w:rPr>
          <w:lang w:val="en_US" w:bidi="en_US"/>
        </w:rPr>
        <w:t>No one would accept the conclusion to these arguments, so there was only one alternative: Jesus was using God’s power (11:20).</w:t>
      </w:r>
    </w:p>
    <w:p>
      <w:pPr>
        <w:pStyle w:val="Heading5"/>
      </w:pPr>
      <w:r>
        <w:rPr>
          <w:lang w:val="en_US" w:bidi="en_US"/>
        </w:rPr>
        <w:t>11:20a</w:t>
      </w:r>
    </w:p>
    <w:p>
      <w:pPr/>
      <w:r>
        <w:rPr>
          <w:lang w:val="en_US" w:bidi="en_US"/>
        </w:rPr>
      </w:r>
      <w:r>
        <w:rPr>
          <w:b/>
          <w:lang w:val="en_US" w:bidi="en_US"/>
        </w:rPr>
        <w:t>But if I drive out demons by the finger of God,</w:t>
      </w:r>
    </w:p>
    <w:p>
      <w:pPr>
        <w:pStyle w:val="ListBullet"/>
        <w:spacing w:line="240" w:lineRule="auto"/>
        <w:ind w:left="720"/>
      </w:pPr>
      <w:r>
        <w:rPr>
          <w:lang w:val="en_US" w:bidi="en_US"/>
        </w:rPr>
      </w:r>
      <w:r>
        <w:rPr>
          <w:lang w:val="en_US" w:bidi="en_US"/>
        </w:rPr>
        <w:t xml:space="preserve">But if/since I cast out demons by the </w:t>
      </w:r>
      <w:r>
        <w:rPr>
          <w:lang w:val="en_US" w:bidi="en_US"/>
        </w:rPr>
        <w:t>power</w:t>
      </w:r>
      <w:r>
        <w:rPr>
          <w:lang w:val="en_US" w:bidi="en_US"/>
        </w:rPr>
        <w:t xml:space="preserve"> of God,</w:t>
      </w:r>
    </w:p>
    <w:p>
      <w:pPr>
        <w:pStyle w:val="ListBullet"/>
        <w:spacing w:line="240" w:lineRule="auto"/>
        <w:ind w:left="720"/>
      </w:pPr>
      <w:r>
        <w:rPr>
          <w:lang w:val="en_US" w:bidi="en_US"/>
        </w:rPr>
      </w:r>
      <w:r>
        <w:rPr>
          <w:lang w:val="en_US" w:bidi="en_US"/>
        </w:rPr>
        <w:t>But since I use the power of God to throw out demons,</w:t>
      </w:r>
    </w:p>
    <w:p>
      <w:pPr>
        <w:pStyle w:val="ListBullet"/>
        <w:spacing w:line="240" w:lineRule="auto"/>
        <w:ind w:left="720"/>
      </w:pPr>
      <w:r>
        <w:rPr>
          <w:lang w:val="en_US" w:bidi="en_US"/>
        </w:rPr>
      </w:r>
      <w:r>
        <w:rPr>
          <w:lang w:val="en_US" w:bidi="en_US"/>
        </w:rPr>
        <w:t>So clearly it is not Beelzebul’s power that I am using.</w:t>
      </w:r>
      <w:r>
        <w:rPr>
          <w:lang w:val="en_US" w:bidi="en_US"/>
        </w:rPr>
        <w:t xml:space="preserve"> On the contrary, God is the one who gives me power to cause evil spirits to leave people.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The contrast is between the untrue statement in 11:19a (“I drive out demons by Beelzebul”) and the true statement in 11:20a (“I drive out demons by the finger of God”).</w:t>
      </w:r>
    </w:p>
    <w:p>
      <w:pPr/>
      <w:r>
        <w:rPr>
          <w:lang w:val="en_US" w:bidi="en_US"/>
        </w:rPr>
      </w:r>
      <w:r>
        <w:rPr>
          <w:lang w:val="en_US" w:bidi="en_US"/>
        </w:rPr>
        <w:t xml:space="preserve">Most English versions translate this conjunction here as </w:t>
      </w:r>
      <w:r>
        <w:rPr>
          <w:i/>
          <w:lang w:val="en_US" w:bidi="en_US"/>
        </w:rPr>
        <w:t>But</w:t>
      </w:r>
      <w:r>
        <w:rPr>
          <w:lang w:val="en_US" w:bidi="en_US"/>
        </w:rPr>
        <w:t>. It is also possible to use a separate negative phrase. For example:</w:t>
      </w:r>
    </w:p>
    <w:p>
      <w:pPr/>
      <w:r>
        <w:rPr>
          <w:lang w:val="en_US" w:bidi="en_US"/>
        </w:rPr>
      </w:r>
      <w:r>
        <w:rPr>
          <w:lang w:val="en_US" w:bidi="en_US"/>
        </w:rPr>
        <w:t>No, it is rather by means of God’s power (GNT)</w:t>
      </w:r>
    </w:p>
    <w:p>
      <w:pPr/>
      <w:r>
        <w:rPr>
          <w:lang w:val="en_US" w:bidi="en_US"/>
        </w:rPr>
      </w:r>
      <w:r>
        <w:rPr>
          <w:lang w:val="en_US" w:bidi="en_US"/>
        </w:rPr>
        <w:t>Use a natural way in your language to contrast these two statements.</w:t>
      </w:r>
    </w:p>
    <w:p>
      <w:pPr/>
      <w:r>
        <w:rPr>
          <w:lang w:val="en_US" w:bidi="en_US"/>
        </w:rPr>
      </w:r>
      <w:r>
        <w:rPr>
          <w:b/>
          <w:lang w:val="en_US" w:bidi="en_US"/>
        </w:rPr>
        <w:t>if I drive out demons by the finger of God:</w:t>
      </w:r>
      <w:r>
        <w:rPr>
          <w:lang w:val="en_US" w:bidi="en_US"/>
        </w:rPr>
        <w:t xml:space="preserve"> In this context, the word </w:t>
      </w:r>
      <w:r>
        <w:rPr>
          <w:i/>
          <w:lang w:val="en_US" w:bidi="en_US"/>
        </w:rPr>
        <w:t>if</w:t>
      </w:r>
      <w:r>
        <w:rPr>
          <w:lang w:val="en_US" w:bidi="en_US"/>
        </w:rPr>
        <w:t xml:space="preserve"> introduces something that is true. Another way to translate this is:</w:t>
      </w:r>
    </w:p>
    <w:p>
      <w:pPr/>
      <w:r>
        <w:rPr>
          <w:lang w:val="en_US" w:bidi="en_US"/>
        </w:rPr>
      </w:r>
      <w:r>
        <w:rPr>
          <w:lang w:val="en_US" w:bidi="en_US"/>
        </w:rPr>
        <w:t>since I cast out demons by the finger of God</w:t>
      </w:r>
    </w:p>
    <w:p>
      <w:pPr/>
      <w:r>
        <w:rPr>
          <w:lang w:val="en_US" w:bidi="en_US"/>
        </w:rPr>
      </w:r>
      <w:r>
        <w:rPr>
          <w:b/>
          <w:lang w:val="en_US" w:bidi="en_US"/>
        </w:rPr>
        <w:t>the finger of God:</w:t>
      </w:r>
      <w:r>
        <w:rPr>
          <w:lang w:val="en_US" w:bidi="en_US"/>
        </w:rPr>
        <w:t xml:space="preserve"> The Greek expression that the BSB translates literally as </w:t>
      </w:r>
      <w:r>
        <w:rPr>
          <w:i/>
          <w:lang w:val="en_US" w:bidi="en_US"/>
        </w:rPr>
        <w:t>the finger of God</w:t>
      </w:r>
      <w:r>
        <w:rPr>
          <w:lang w:val="en_US" w:bidi="en_US"/>
        </w:rPr>
        <w:t xml:space="preserve"> is a figure of speech. It refers to God’s power. In many languages it will be necessary to translate the direct meaning of this figure. For example:</w:t>
      </w:r>
    </w:p>
    <w:p>
      <w:pPr/>
      <w:r>
        <w:rPr>
          <w:lang w:val="en_US" w:bidi="en_US"/>
        </w:rPr>
      </w:r>
      <w:r>
        <w:rPr>
          <w:lang w:val="en_US" w:bidi="en_US"/>
        </w:rPr>
        <w:t>the power of God (NCV)</w:t>
      </w:r>
    </w:p>
    <w:p>
      <w:pPr>
        <w:pStyle w:val="Heading5"/>
      </w:pPr>
      <w:r>
        <w:rPr>
          <w:lang w:val="en_US" w:bidi="en_US"/>
        </w:rPr>
        <w:t>11:20b</w:t>
      </w:r>
    </w:p>
    <w:p>
      <w:pPr/>
      <w:r>
        <w:rPr>
          <w:lang w:val="en_US" w:bidi="en_US"/>
        </w:rPr>
      </w:r>
      <w:r>
        <w:rPr>
          <w:b/>
          <w:lang w:val="en_US" w:bidi="en_US"/>
        </w:rPr>
        <w:t>then the kingdom of God has come upon you.</w:t>
      </w:r>
    </w:p>
    <w:p>
      <w:pPr>
        <w:pStyle w:val="ListBullet"/>
        <w:spacing w:line="240" w:lineRule="auto"/>
        <w:ind w:left="720"/>
      </w:pPr>
      <w:r>
        <w:rPr>
          <w:lang w:val="en_US" w:bidi="en_US"/>
        </w:rPr>
      </w:r>
      <w:r>
        <w:rPr>
          <w:lang w:val="en_US" w:bidi="en_US"/>
        </w:rPr>
        <w:t xml:space="preserve">then </w:t>
      </w:r>
      <w:r>
        <w:rPr>
          <w:lang w:val="en_US" w:bidi="en_US"/>
        </w:rPr>
        <w:t>this shows that</w:t>
      </w:r>
      <w:r>
        <w:rPr>
          <w:lang w:val="en_US" w:bidi="en_US"/>
        </w:rPr>
        <w:t xml:space="preserve"> God’s kingdom has come/arrived </w:t>
      </w:r>
      <w:r>
        <w:rPr>
          <w:lang w:val="en_US" w:bidi="en_US"/>
        </w:rPr>
        <w:t>among</w:t>
      </w:r>
      <w:r>
        <w:rPr>
          <w:lang w:val="en_US" w:bidi="en_US"/>
        </w:rPr>
        <w:t xml:space="preserv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are now/already experiencing God’s power to rule people.”</w:t>
      </w:r>
    </w:p>
    <w:p>
      <w:pPr>
        <w:pStyle w:val="ListBullet"/>
        <w:spacing w:line="240" w:lineRule="auto"/>
        <w:ind w:left="720"/>
      </w:pPr>
      <w:r>
        <w:rPr>
          <w:lang w:val="en_US" w:bidi="en_US"/>
        </w:rPr>
      </w:r>
      <w:r>
        <w:rPr>
          <w:lang w:val="en_US" w:bidi="en_US"/>
        </w:rPr>
        <w:t xml:space="preserve">And </w:t>
      </w:r>
      <w:r>
        <w:rPr>
          <w:lang w:val="en_US" w:bidi="en_US"/>
        </w:rPr>
        <w:t>this proves that</w:t>
      </w:r>
      <w:r>
        <w:rPr>
          <w:lang w:val="en_US" w:bidi="en_US"/>
        </w:rPr>
        <w:t xml:space="preserve"> God has begun to rule among you</w:t>
      </w:r>
      <w:r>
        <w:rPr>
          <w:vertAlign w:val="superscript"/>
          <w:lang w:val="en_US" w:bidi="en_US"/>
        </w:rPr>
        <w:t>(plur)</w:t>
      </w:r>
      <w:r>
        <w:rPr>
          <w:lang w:val="en_US" w:bidi="en_US"/>
        </w:rPr>
        <w:t>.”</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introduces a logical conclusion. It is not a time word. Since what Jesus was saying in 11:20a was true, what he says in 11:20b must be true also. For example:</w:t>
      </w:r>
    </w:p>
    <w:p>
      <w:pPr/>
      <w:r>
        <w:rPr>
          <w:lang w:val="en_US" w:bidi="en_US"/>
        </w:rPr>
      </w:r>
      <w:r>
        <w:rPr>
          <w:lang w:val="en_US" w:bidi="en_US"/>
        </w:rPr>
        <w:t>it proves that… (CEV)</w:t>
      </w:r>
    </w:p>
    <w:p>
      <w:pPr/>
      <w:r>
        <w:rPr>
          <w:lang w:val="en_US" w:bidi="en_US"/>
        </w:rPr>
      </w:r>
      <w:r>
        <w:rPr>
          <w:lang w:val="en_US" w:bidi="en_US"/>
        </w:rPr>
        <w:t>then it shows that…</w:t>
      </w:r>
    </w:p>
    <w:p>
      <w:pPr/>
      <w:r>
        <w:rPr>
          <w:lang w:val="en_US" w:bidi="en_US"/>
        </w:rPr>
      </w:r>
      <w:r>
        <w:rPr>
          <w:lang w:val="en_US" w:bidi="en_US"/>
        </w:rPr>
        <w:t>then that means that…</w:t>
      </w:r>
    </w:p>
    <w:p>
      <w:pPr/>
      <w:r>
        <w:rPr>
          <w:lang w:val="en_US" w:bidi="en_US"/>
        </w:rPr>
      </w:r>
      <w:r>
        <w:rPr>
          <w:b/>
          <w:lang w:val="en_US" w:bidi="en_US"/>
        </w:rPr>
        <w:t>the kingdom of God has come upon you:</w:t>
      </w:r>
      <w:r>
        <w:rPr>
          <w:lang w:val="en_US" w:bidi="en_US"/>
        </w:rPr>
        <w:t xml:space="preserve"> The phrase </w:t>
      </w:r>
      <w:r>
        <w:rPr>
          <w:i/>
          <w:lang w:val="en_US" w:bidi="en_US"/>
        </w:rPr>
        <w:t>the kingdom of God</w:t>
      </w:r>
      <w:r>
        <w:rPr>
          <w:lang w:val="en_US" w:bidi="en_US"/>
        </w:rPr>
        <w:t xml:space="preserve"> refers to God’s rule in people’s lives. Jesus was saying that God had already begun to rule among the people to whom he was speaking. God was exercising his authority and power through Jesus. This is why Jesus was able to cast demons out of people.</w:t>
      </w:r>
    </w:p>
    <w:p>
      <w:pPr/>
      <w:r>
        <w:rPr>
          <w:lang w:val="en_US" w:bidi="en_US"/>
        </w:rPr>
      </w:r>
      <w:r>
        <w:rPr>
          <w:lang w:val="en_US" w:bidi="en_US"/>
        </w:rPr>
        <w:t>Some ways to translate this are:</w:t>
      </w:r>
    </w:p>
    <w:p>
      <w:pPr/>
      <w:r>
        <w:rPr>
          <w:lang w:val="en_US" w:bidi="en_US"/>
        </w:rPr>
      </w:r>
      <w:r>
        <w:rPr>
          <w:lang w:val="en_US" w:bidi="en_US"/>
        </w:rPr>
        <w:t>the Kingdom of God has arrived among you (NLT)</w:t>
      </w:r>
    </w:p>
    <w:p>
      <w:pPr/>
      <w:r>
        <w:rPr>
          <w:lang w:val="en_US" w:bidi="en_US"/>
        </w:rPr>
      </w:r>
      <w:r>
        <w:rPr>
          <w:lang w:val="en_US" w:bidi="en_US"/>
        </w:rPr>
        <w:t>you are now experiencing God’s power to rule</w:t>
      </w:r>
    </w:p>
    <w:p>
      <w:pPr/>
      <w:r>
        <w:rPr>
          <w:lang w:val="en_US" w:bidi="en_US"/>
        </w:rPr>
      </w:r>
      <w:r>
        <w:rPr>
          <w:lang w:val="en_US" w:bidi="en_US"/>
        </w:rPr>
        <w:t>God has begun to rule among you</w:t>
      </w:r>
    </w:p>
    <w:p>
      <w:pPr/>
      <w:r>
        <w:rPr>
          <w:lang w:val="en_US" w:bidi="en_US"/>
        </w:rPr>
      </w:r>
      <w:r>
        <w:rPr>
          <w:lang w:val="en_US" w:bidi="en_US"/>
        </w:rPr>
        <w:t xml:space="preserve">The phrase </w:t>
      </w:r>
      <w:r>
        <w:rPr>
          <w:i/>
          <w:lang w:val="en_US" w:bidi="en_US"/>
        </w:rPr>
        <w:t>kingdom of God</w:t>
      </w:r>
      <w:r>
        <w:rPr>
          <w:lang w:val="en_US" w:bidi="en_US"/>
        </w:rPr>
        <w:t xml:space="preserve"> also occurs in 9:2.</w:t>
      </w:r>
      <w:r>
        <w:rPr>
          <w:lang w:val="en_US" w:bidi="en_US"/>
        </w:rPr>
      </w:r>
      <w:r>
        <w:rPr>
          <w:lang w:val="en_US" w:bidi="en_US"/>
        </w:rPr>
      </w:r>
    </w:p>
    <w:p>
      <w:pPr/>
      <w:r>
        <w:rPr>
          <w:lang w:val="en_US" w:bidi="en_US"/>
        </w:rPr>
      </w:r>
    </w:p>
    <w:p>
      <w:pPr>
        <w:pStyle w:val="Heading2"/>
      </w:pPr>
      <w:r>
        <w:rPr>
          <w:lang w:val="en_US" w:bidi="en_US"/>
        </w:rPr>
        <w:t>Luke 11:21</w:t>
      </w:r>
      <w:r>
        <w:rPr>
          <w:lang w:val="en_US" w:bidi="en_US"/>
        </w:rPr>
      </w:r>
    </w:p>
    <w:p>
      <w:pPr>
        <w:pStyle w:val="Heading4"/>
      </w:pPr>
      <w:r>
        <w:rPr>
          <w:lang w:val="en_US" w:bidi="en_US"/>
        </w:rPr>
        <w:t>Section 11:14–23: Jesus proved that he did not use Satan’s power</w:t>
      </w:r>
    </w:p>
    <w:p>
      <w:pPr/>
      <w:r>
        <w:rPr>
          <w:lang w:val="en_US" w:bidi="en_US"/>
        </w:rPr>
      </w:r>
      <w:r>
        <w:rPr>
          <w:lang w:val="en_US" w:bidi="en_US"/>
        </w:rPr>
        <w:t>This section is not explicitly connected with the preceding section in time, place, or theme.</w:t>
      </w:r>
    </w:p>
    <w:p>
      <w:pPr/>
      <w:r>
        <w:rPr>
          <w:lang w:val="en_US" w:bidi="en_US"/>
        </w:rPr>
      </w:r>
      <w:r>
        <w:rPr>
          <w:lang w:val="en_US" w:bidi="en_US"/>
        </w:rPr>
        <w:t>In this section, Jesus cast out a demon that made a man mute (11:14). Some people who were there commented to each other that Jesus was casting out demons by the power of Satan (11:15). Jesus gave them two reasons why this could not be true (11:17–19). He concluded that he cast out demons by the power of God (11:20). Then he told a parable (11:21–22) that showed that he is stronger than Satan.</w:t>
      </w:r>
    </w:p>
    <w:p>
      <w:pPr/>
      <w:r>
        <w:rPr>
          <w:lang w:val="en_US" w:bidi="en_US"/>
        </w:rPr>
      </w:r>
      <w:r>
        <w:rPr>
          <w:lang w:val="en_US" w:bidi="en_US"/>
        </w:rPr>
        <w:t>Some other headings for this section are:</w:t>
      </w:r>
    </w:p>
    <w:p>
      <w:pPr/>
      <w:r>
        <w:rPr>
          <w:lang w:val="en_US" w:bidi="en_US"/>
        </w:rPr>
      </w:r>
      <w:r>
        <w:rPr>
          <w:lang w:val="en_US" w:bidi="en_US"/>
        </w:rPr>
        <w:t>Jesus is stronger than Satan</w:t>
      </w:r>
    </w:p>
    <w:p>
      <w:pPr/>
      <w:r>
        <w:rPr>
          <w:lang w:val="en_US" w:bidi="en_US"/>
        </w:rPr>
      </w:r>
      <w:r>
        <w:rPr>
          <w:lang w:val="en_US" w:bidi="en_US"/>
        </w:rPr>
        <w:t>Jesus and Beelzebub</w:t>
      </w:r>
    </w:p>
    <w:p>
      <w:pPr/>
      <w:r>
        <w:rPr>
          <w:lang w:val="en_US" w:bidi="en_US"/>
        </w:rPr>
      </w:r>
      <w:r>
        <w:rPr>
          <w:lang w:val="en_US" w:bidi="en_US"/>
        </w:rPr>
        <w:t>Jesus sends unclean spirits away by defeating Satan</w:t>
      </w:r>
    </w:p>
    <w:p>
      <w:pPr/>
      <w:r>
        <w:rPr>
          <w:lang w:val="en_US" w:bidi="en_US"/>
        </w:rPr>
      </w:r>
      <w:r>
        <w:rPr>
          <w:lang w:val="en_US" w:bidi="en_US"/>
        </w:rPr>
        <w:t>There are parallel passages for this section in Matthew 12:22–30 and Mark 3:20–27.</w:t>
      </w:r>
    </w:p>
    <w:p>
      <w:pPr>
        <w:pStyle w:val="Heading4"/>
      </w:pPr>
      <w:r>
        <w:rPr>
          <w:lang w:val="en_US" w:bidi="en_US"/>
        </w:rPr>
        <w:t>Paragraph 11:21–22</w:t>
      </w:r>
    </w:p>
    <w:p>
      <w:pPr/>
      <w:r>
        <w:rPr>
          <w:lang w:val="en_US" w:bidi="en_US"/>
        </w:rPr>
      </w:r>
      <w:r>
        <w:rPr>
          <w:lang w:val="en_US" w:bidi="en_US"/>
        </w:rPr>
        <w:t>In the following example, Jesus compared Satan to a strong man. Jesus then compared himself to someone who was even stronger. This example figuratively describes what Jesus did to Satan. He fought against Satan and won. After conquering Satan, he had the authority to cause Satan’s unclean spirits to leave people. This was like the stronger man who took the possessions of the weaker man.</w:t>
      </w:r>
    </w:p>
    <w:p>
      <w:pPr>
        <w:pStyle w:val="Heading5"/>
      </w:pPr>
      <w:r>
        <w:rPr>
          <w:lang w:val="en_US" w:bidi="en_US"/>
        </w:rPr>
        <w:t>11:21a</w:t>
      </w:r>
    </w:p>
    <w:p>
      <w:pPr/>
      <w:r>
        <w:rPr>
          <w:lang w:val="en_US" w:bidi="en_US"/>
        </w:rPr>
      </w:r>
      <w:r>
        <w:rPr>
          <w:b/>
          <w:lang w:val="en_US" w:bidi="en_US"/>
        </w:rPr>
        <w:t>When a strong man, fully armed, guards his house,</w:t>
      </w:r>
    </w:p>
    <w:p>
      <w:pPr>
        <w:pStyle w:val="ListBullet"/>
        <w:spacing w:line="240" w:lineRule="auto"/>
        <w:ind w:left="720"/>
      </w:pPr>
      <w:r>
        <w:rPr>
          <w:lang w:val="en_US" w:bidi="en_US"/>
        </w:rPr>
      </w:r>
      <w:r>
        <w:rPr>
          <w:lang w:val="en_US" w:bidi="en_US"/>
        </w:rPr>
        <w:t xml:space="preserve">¶ </w:t>
      </w:r>
      <w:r>
        <w:rPr>
          <w:lang w:val="en_US" w:bidi="en_US"/>
        </w:rPr>
        <w:t>Jesus continued by using an illustration:</w:t>
      </w:r>
      <w:r>
        <w:rPr>
          <w:lang w:val="en_US" w:bidi="en_US"/>
        </w:rPr>
        <w:t xml:space="preserve"> “When a strong man who is carrying all his weapons guards his own house,</w:t>
      </w:r>
    </w:p>
    <w:p>
      <w:pPr>
        <w:pStyle w:val="ListBullet"/>
        <w:spacing w:line="240" w:lineRule="auto"/>
        <w:ind w:left="720"/>
      </w:pPr>
      <w:r>
        <w:rPr>
          <w:lang w:val="en_US" w:bidi="en_US"/>
        </w:rPr>
      </w:r>
      <w:r>
        <w:rPr>
          <w:lang w:val="en_US" w:bidi="en_US"/>
        </w:rPr>
        <w:t xml:space="preserve">¶ </w:t>
      </w:r>
      <w:r>
        <w:rPr>
          <w:lang w:val="en_US" w:bidi="en_US"/>
        </w:rPr>
        <w:t>Jesus continued teaching:</w:t>
      </w:r>
      <w:r>
        <w:rPr>
          <w:lang w:val="en_US" w:bidi="en_US"/>
        </w:rPr>
        <w:t xml:space="preserve"> “</w:t>
      </w:r>
      <w:r>
        <w:rPr>
          <w:lang w:val="en_US" w:bidi="en_US"/>
        </w:rPr>
        <w:t>As for Satan, he can be compared to</w:t>
      </w:r>
      <w:r>
        <w:rPr>
          <w:lang w:val="en_US" w:bidi="en_US"/>
        </w:rPr>
        <w:t xml:space="preserve"> a strong man with many weapons. When he is guarding/protecting his house,</w:t>
      </w:r>
    </w:p>
    <w:p>
      <w:pPr/>
      <w:r>
        <w:rPr>
          <w:lang w:val="en_US" w:bidi="en_US"/>
        </w:rPr>
      </w:r>
      <w:r>
        <w:rPr>
          <w:b/>
          <w:lang w:val="en_US" w:bidi="en_US"/>
        </w:rPr>
        <w:t>When a strong man, fully armed, guards his house:</w:t>
      </w:r>
      <w:r>
        <w:rPr>
          <w:lang w:val="en_US" w:bidi="en_US"/>
        </w:rPr>
        <w:t xml:space="preserve"> Here Jesus used an example to teach a principle. The example was of a strong man carrying weapons who guards his house against enemies. But Jesus was not actually talking about a strong man and a house. He was using this illustration to refer to Satan guarding the people over whom he had power.</w:t>
      </w:r>
    </w:p>
    <w:p>
      <w:pPr/>
      <w:r>
        <w:rPr>
          <w:lang w:val="en_US" w:bidi="en_US"/>
        </w:rPr>
      </w:r>
      <w:r>
        <w:rPr>
          <w:lang w:val="en_US" w:bidi="en_US"/>
        </w:rPr>
        <w:t>In some languages it may be helpful to make explicit that this verse is an illustration. You may want to state that Satan is compared to the strong man. For example:</w:t>
      </w:r>
    </w:p>
    <w:p>
      <w:pPr/>
      <w:r>
        <w:rPr>
          <w:lang w:val="en_US" w:bidi="en_US"/>
        </w:rPr>
      </w:r>
      <w:r>
        <w:rPr>
          <w:lang w:val="en_US" w:bidi="en_US"/>
        </w:rPr>
        <w:t>Jesus continued by using a parable/illustration.</w:t>
      </w:r>
    </w:p>
    <w:p>
      <w:pPr/>
      <w:r>
        <w:rPr>
          <w:lang w:val="en_US" w:bidi="en_US"/>
        </w:rPr>
      </w:r>
      <w:r>
        <w:rPr>
          <w:lang w:val="en_US" w:bidi="en_US"/>
        </w:rPr>
        <w:t>Satan can be compared to</w:t>
      </w:r>
      <w:r>
        <w:rPr>
          <w:lang w:val="en_US" w:bidi="en_US"/>
        </w:rPr>
        <w:t xml:space="preserve"> a strong man.</w:t>
      </w:r>
    </w:p>
    <w:p>
      <w:pPr/>
      <w:r>
        <w:rPr>
          <w:lang w:val="en_US" w:bidi="en_US"/>
        </w:rPr>
      </w:r>
      <w:r>
        <w:rPr>
          <w:b/>
          <w:lang w:val="en_US" w:bidi="en_US"/>
        </w:rPr>
        <w:t>When a strong man:</w:t>
      </w:r>
      <w:r>
        <w:rPr>
          <w:lang w:val="en_US" w:bidi="en_US"/>
        </w:rPr>
        <w:t xml:space="preserve"> If your language does not normally introduce a new person into a story in a clause that begins with </w:t>
      </w:r>
      <w:r>
        <w:rPr>
          <w:i/>
          <w:lang w:val="en_US" w:bidi="en_US"/>
        </w:rPr>
        <w:t>When</w:t>
      </w:r>
      <w:r>
        <w:rPr>
          <w:lang w:val="en_US" w:bidi="en_US"/>
        </w:rPr>
        <w:t>, you may need to introduce the strong man in the way suggested above. For example:</w:t>
      </w:r>
    </w:p>
    <w:p>
      <w:pPr/>
      <w:r>
        <w:rPr>
          <w:lang w:val="en_US" w:bidi="en_US"/>
        </w:rPr>
      </w:r>
      <w:r>
        <w:rPr>
          <w:lang w:val="en_US" w:bidi="en_US"/>
        </w:rPr>
        <w:t>Satan can be compared to</w:t>
      </w:r>
      <w:r>
        <w:rPr>
          <w:lang w:val="en_US" w:bidi="en_US"/>
        </w:rPr>
        <w:t xml:space="preserve"> a strong man who has many weapons. When this strong man guards his house…</w:t>
      </w:r>
    </w:p>
    <w:p>
      <w:pPr/>
      <w:r>
        <w:rPr>
          <w:lang w:val="en_US" w:bidi="en_US"/>
        </w:rPr>
      </w:r>
      <w:r>
        <w:rPr>
          <w:b/>
          <w:lang w:val="en_US" w:bidi="en_US"/>
        </w:rPr>
        <w:t>a strong man:</w:t>
      </w:r>
      <w:r>
        <w:rPr>
          <w:lang w:val="en_US" w:bidi="en_US"/>
        </w:rPr>
        <w:t xml:space="preserve"> In this context </w:t>
      </w:r>
      <w:r>
        <w:rPr>
          <w:i/>
          <w:lang w:val="en_US" w:bidi="en_US"/>
        </w:rPr>
        <w:t>a strong man</w:t>
      </w:r>
      <w:r>
        <w:rPr>
          <w:lang w:val="en_US" w:bidi="en_US"/>
        </w:rPr>
        <w:t xml:space="preserve"> refers to a “soldier” or “warrior.” He is a man who is able to fight well. This phrase figuratively refers to Satan.</w:t>
      </w:r>
    </w:p>
    <w:p>
      <w:pPr/>
      <w:r>
        <w:rPr>
          <w:lang w:val="en_US" w:bidi="en_US"/>
        </w:rPr>
      </w:r>
      <w:r>
        <w:rPr>
          <w:b/>
          <w:lang w:val="en_US" w:bidi="en_US"/>
        </w:rPr>
        <w:t>fully armed:</w:t>
      </w:r>
      <w:r>
        <w:rPr>
          <w:lang w:val="en_US" w:bidi="en_US"/>
        </w:rPr>
        <w:t xml:space="preserve"> The Greek word that the BSB translates as </w:t>
      </w:r>
      <w:r>
        <w:rPr>
          <w:i/>
          <w:lang w:val="en_US" w:bidi="en_US"/>
        </w:rPr>
        <w:t>fully armed</w:t>
      </w:r>
      <w:r>
        <w:rPr>
          <w:lang w:val="en_US" w:bidi="en_US"/>
        </w:rPr>
        <w:t xml:space="preserve"> means “well equipped with weapons and armor.” The strong man is pictured as wearing armor like a soldier and carrying a sword and other military weapons. Some other ways to translate this phrase are:</w:t>
      </w:r>
    </w:p>
    <w:p>
      <w:pPr/>
      <w:r>
        <w:rPr>
          <w:lang w:val="en_US" w:bidi="en_US"/>
        </w:rPr>
      </w:r>
      <w:r>
        <w:rPr>
          <w:lang w:val="en_US" w:bidi="en_US"/>
        </w:rPr>
        <w:t>with many weapons (NCV)</w:t>
      </w:r>
    </w:p>
    <w:p>
      <w:pPr/>
      <w:r>
        <w:rPr>
          <w:lang w:val="en_US" w:bidi="en_US"/>
        </w:rPr>
      </w:r>
      <w:r>
        <w:rPr>
          <w:lang w:val="en_US" w:bidi="en_US"/>
        </w:rPr>
        <w:t>with all his weapons ready (GNT)</w:t>
      </w:r>
    </w:p>
    <w:p>
      <w:pPr/>
      <w:r>
        <w:rPr>
          <w:lang w:val="en_US" w:bidi="en_US"/>
        </w:rPr>
      </w:r>
      <w:r>
        <w:rPr>
          <w:b/>
          <w:lang w:val="en_US" w:bidi="en_US"/>
        </w:rPr>
        <w:t>his house:</w:t>
      </w:r>
      <w:r>
        <w:rPr>
          <w:lang w:val="en_US" w:bidi="en_US"/>
        </w:rPr>
        <w:t xml:space="preserve"> The Greek word that the BSB translates as </w:t>
      </w:r>
      <w:r>
        <w:rPr>
          <w:i/>
          <w:lang w:val="en_US" w:bidi="en_US"/>
        </w:rPr>
        <w:t>house</w:t>
      </w:r>
      <w:r>
        <w:rPr>
          <w:lang w:val="en_US" w:bidi="en_US"/>
        </w:rPr>
        <w:t xml:space="preserve"> has a range of meanings, including “hall,” “courtyard,” “palace,” and “house.” If you have a word that refers to a large house, you may use it here. For example:</w:t>
      </w:r>
    </w:p>
    <w:p>
      <w:pPr/>
      <w:r>
        <w:rPr>
          <w:lang w:val="en_US" w:bidi="en_US"/>
        </w:rPr>
      </w:r>
      <w:r>
        <w:rPr>
          <w:lang w:val="en_US" w:bidi="en_US"/>
        </w:rPr>
        <w:t>his own palace (RSV)</w:t>
      </w:r>
    </w:p>
    <w:p>
      <w:pPr/>
      <w:r>
        <w:rPr>
          <w:lang w:val="en_US" w:bidi="en_US"/>
        </w:rPr>
      </w:r>
      <w:r>
        <w:rPr>
          <w:lang w:val="en_US" w:bidi="en_US"/>
        </w:rPr>
        <w:t>his own mansion (GW)</w:t>
      </w:r>
    </w:p>
    <w:p>
      <w:pPr/>
      <w:r>
        <w:rPr>
          <w:lang w:val="en_US" w:bidi="en_US"/>
        </w:rPr>
      </w:r>
      <w:r>
        <w:rPr>
          <w:lang w:val="en_US" w:bidi="en_US"/>
        </w:rPr>
        <w:t>But you may also use a general word such as “house.” The focus here is not on the size of the building.</w:t>
      </w:r>
    </w:p>
    <w:p>
      <w:pPr>
        <w:pStyle w:val="Heading5"/>
      </w:pPr>
      <w:r>
        <w:rPr>
          <w:lang w:val="en_US" w:bidi="en_US"/>
        </w:rPr>
        <w:t>11:21b</w:t>
      </w:r>
    </w:p>
    <w:p>
      <w:pPr/>
      <w:r>
        <w:rPr>
          <w:lang w:val="en_US" w:bidi="en_US"/>
        </w:rPr>
      </w:r>
      <w:r>
        <w:rPr>
          <w:b/>
          <w:lang w:val="en_US" w:bidi="en_US"/>
        </w:rPr>
        <w:t>his possessions are secure.</w:t>
      </w:r>
    </w:p>
    <w:p>
      <w:pPr>
        <w:pStyle w:val="ListBullet"/>
        <w:spacing w:line="240" w:lineRule="auto"/>
        <w:ind w:left="720"/>
      </w:pPr>
      <w:r>
        <w:rPr>
          <w:lang w:val="en_US" w:bidi="en_US"/>
        </w:rPr>
      </w:r>
      <w:r>
        <w:rPr>
          <w:lang w:val="en_US" w:bidi="en_US"/>
        </w:rPr>
        <w:t>the things he owns are safe.</w:t>
      </w:r>
    </w:p>
    <w:p>
      <w:pPr>
        <w:pStyle w:val="ListBullet"/>
        <w:spacing w:line="240" w:lineRule="auto"/>
        <w:ind w:left="720"/>
      </w:pPr>
      <w:r>
        <w:rPr>
          <w:lang w:val="en_US" w:bidi="en_US"/>
        </w:rPr>
      </w:r>
      <w:r>
        <w:rPr>
          <w:lang w:val="en_US" w:bidi="en_US"/>
        </w:rPr>
        <w:t>no one</w:t>
      </w:r>
      <w:r>
        <w:rPr>
          <w:lang w:val="en_US" w:bidi="en_US"/>
        </w:rPr>
        <w:t xml:space="preserve"> can steal his belongings.</w:t>
      </w:r>
    </w:p>
    <w:p>
      <w:pPr/>
      <w:r>
        <w:rPr>
          <w:lang w:val="en_US" w:bidi="en_US"/>
        </w:rPr>
      </w:r>
      <w:r>
        <w:rPr>
          <w:b/>
          <w:lang w:val="en_US" w:bidi="en_US"/>
        </w:rPr>
        <w:t>his possessions are secure:</w:t>
      </w:r>
      <w:r>
        <w:rPr>
          <w:lang w:val="en_US" w:bidi="en_US"/>
        </w:rPr>
        <w:t xml:space="preserve"> The Greek expression that the BSB translates as </w:t>
      </w:r>
      <w:r>
        <w:rPr>
          <w:i/>
          <w:lang w:val="en_US" w:bidi="en_US"/>
        </w:rPr>
        <w:t>secure</w:t>
      </w:r>
      <w:r>
        <w:rPr>
          <w:lang w:val="en_US" w:bidi="en_US"/>
        </w:rPr>
        <w:t xml:space="preserve"> is literally “at peace.” In this context it means “protected.” The things that the strong man owns are safe or secure because no one can come in and steal them. Some other ways to translate this clause are:</w:t>
      </w:r>
    </w:p>
    <w:p>
      <w:pPr/>
      <w:r>
        <w:rPr>
          <w:lang w:val="en_US" w:bidi="en_US"/>
        </w:rPr>
      </w:r>
      <w:r>
        <w:rPr>
          <w:lang w:val="en_US" w:bidi="en_US"/>
        </w:rPr>
        <w:t>a thief will not be able to steal/take his belongings</w:t>
      </w:r>
    </w:p>
    <w:p>
      <w:pPr/>
      <w:r>
        <w:rPr>
          <w:lang w:val="en_US" w:bidi="en_US"/>
        </w:rPr>
      </w:r>
      <w:r>
        <w:rPr>
          <w:lang w:val="en_US" w:bidi="en_US"/>
        </w:rPr>
        <w:t>nothing will happen to the things that he owns</w:t>
      </w:r>
      <w:r>
        <w:rPr>
          <w:lang w:val="en_US" w:bidi="en_US"/>
        </w:rPr>
      </w:r>
      <w:r>
        <w:rPr>
          <w:lang w:val="en_US" w:bidi="en_US"/>
        </w:rPr>
      </w:r>
    </w:p>
    <w:p>
      <w:pPr/>
      <w:r>
        <w:rPr>
          <w:lang w:val="en_US" w:bidi="en_US"/>
        </w:rPr>
      </w:r>
    </w:p>
    <w:p>
      <w:pPr>
        <w:pStyle w:val="Heading2"/>
      </w:pPr>
      <w:r>
        <w:rPr>
          <w:lang w:val="en_US" w:bidi="en_US"/>
        </w:rPr>
        <w:t>Luke 11:22</w:t>
      </w:r>
      <w:r>
        <w:rPr>
          <w:lang w:val="en_US" w:bidi="en_US"/>
        </w:rPr>
      </w:r>
    </w:p>
    <w:p>
      <w:pPr>
        <w:pStyle w:val="Heading4"/>
      </w:pPr>
      <w:r>
        <w:rPr>
          <w:lang w:val="en_US" w:bidi="en_US"/>
        </w:rPr>
        <w:t>Section 11:14–23: Jesus proved that he did not use Satan’s power</w:t>
      </w:r>
    </w:p>
    <w:p>
      <w:pPr/>
      <w:r>
        <w:rPr>
          <w:lang w:val="en_US" w:bidi="en_US"/>
        </w:rPr>
      </w:r>
      <w:r>
        <w:rPr>
          <w:lang w:val="en_US" w:bidi="en_US"/>
        </w:rPr>
        <w:t>This section is not explicitly connected with the preceding section in time, place, or theme.</w:t>
      </w:r>
    </w:p>
    <w:p>
      <w:pPr/>
      <w:r>
        <w:rPr>
          <w:lang w:val="en_US" w:bidi="en_US"/>
        </w:rPr>
      </w:r>
      <w:r>
        <w:rPr>
          <w:lang w:val="en_US" w:bidi="en_US"/>
        </w:rPr>
        <w:t>In this section, Jesus cast out a demon that made a man mute (11:14). Some people who were there commented to each other that Jesus was casting out demons by the power of Satan (11:15). Jesus gave them two reasons why this could not be true (11:17–19). He concluded that he cast out demons by the power of God (11:20). Then he told a parable (11:21–22) that showed that he is stronger than Satan.</w:t>
      </w:r>
    </w:p>
    <w:p>
      <w:pPr/>
      <w:r>
        <w:rPr>
          <w:lang w:val="en_US" w:bidi="en_US"/>
        </w:rPr>
      </w:r>
      <w:r>
        <w:rPr>
          <w:lang w:val="en_US" w:bidi="en_US"/>
        </w:rPr>
        <w:t>Some other headings for this section are:</w:t>
      </w:r>
    </w:p>
    <w:p>
      <w:pPr/>
      <w:r>
        <w:rPr>
          <w:lang w:val="en_US" w:bidi="en_US"/>
        </w:rPr>
      </w:r>
      <w:r>
        <w:rPr>
          <w:lang w:val="en_US" w:bidi="en_US"/>
        </w:rPr>
        <w:t>Jesus is stronger than Satan</w:t>
      </w:r>
    </w:p>
    <w:p>
      <w:pPr/>
      <w:r>
        <w:rPr>
          <w:lang w:val="en_US" w:bidi="en_US"/>
        </w:rPr>
      </w:r>
      <w:r>
        <w:rPr>
          <w:lang w:val="en_US" w:bidi="en_US"/>
        </w:rPr>
        <w:t>Jesus and Beelzebub</w:t>
      </w:r>
    </w:p>
    <w:p>
      <w:pPr/>
      <w:r>
        <w:rPr>
          <w:lang w:val="en_US" w:bidi="en_US"/>
        </w:rPr>
      </w:r>
      <w:r>
        <w:rPr>
          <w:lang w:val="en_US" w:bidi="en_US"/>
        </w:rPr>
        <w:t>Jesus sends unclean spirits away by defeating Satan</w:t>
      </w:r>
    </w:p>
    <w:p>
      <w:pPr/>
      <w:r>
        <w:rPr>
          <w:lang w:val="en_US" w:bidi="en_US"/>
        </w:rPr>
      </w:r>
      <w:r>
        <w:rPr>
          <w:lang w:val="en_US" w:bidi="en_US"/>
        </w:rPr>
        <w:t>There are parallel passages for this section in Matthew 12:22–30 and Mark 3:20–27.</w:t>
      </w:r>
    </w:p>
    <w:p>
      <w:pPr>
        <w:pStyle w:val="Heading4"/>
      </w:pPr>
      <w:r>
        <w:rPr>
          <w:lang w:val="en_US" w:bidi="en_US"/>
        </w:rPr>
        <w:t>Paragraph 11:21–22</w:t>
      </w:r>
    </w:p>
    <w:p>
      <w:pPr/>
      <w:r>
        <w:rPr>
          <w:lang w:val="en_US" w:bidi="en_US"/>
        </w:rPr>
      </w:r>
      <w:r>
        <w:rPr>
          <w:lang w:val="en_US" w:bidi="en_US"/>
        </w:rPr>
        <w:t>In the following example, Jesus compared Satan to a strong man. Jesus then compared himself to someone who was even stronger. This example figuratively describes what Jesus did to Satan. He fought against Satan and won. After conquering Satan, he had the authority to cause Satan’s unclean spirits to leave people. This was like the stronger man who took the possessions of the weaker man.</w:t>
      </w:r>
    </w:p>
    <w:p>
      <w:pPr>
        <w:pStyle w:val="Heading5"/>
      </w:pPr>
      <w:r>
        <w:rPr>
          <w:lang w:val="en_US" w:bidi="en_US"/>
        </w:rPr>
        <w:t>11:22a</w:t>
      </w:r>
    </w:p>
    <w:p>
      <w:pPr/>
      <w:r>
        <w:rPr>
          <w:lang w:val="en_US" w:bidi="en_US"/>
        </w:rPr>
      </w:r>
      <w:r>
        <w:rPr>
          <w:b/>
          <w:lang w:val="en_US" w:bidi="en_US"/>
        </w:rPr>
        <w:t>But when someone stronger attacks and overpowers him,</w:t>
      </w:r>
    </w:p>
    <w:p>
      <w:pPr>
        <w:pStyle w:val="ListBullet"/>
        <w:spacing w:line="240" w:lineRule="auto"/>
        <w:ind w:left="720"/>
      </w:pPr>
      <w:r>
        <w:rPr>
          <w:lang w:val="en_US" w:bidi="en_US"/>
        </w:rPr>
      </w:r>
      <w:r>
        <w:rPr>
          <w:lang w:val="en_US" w:bidi="en_US"/>
        </w:rPr>
        <w:t>But if/when an even stronger man attacks him and defeats him,</w:t>
      </w:r>
    </w:p>
    <w:p>
      <w:pPr>
        <w:pStyle w:val="ListBullet"/>
        <w:spacing w:line="240" w:lineRule="auto"/>
        <w:ind w:left="720"/>
      </w:pPr>
      <w:r>
        <w:rPr>
          <w:lang w:val="en_US" w:bidi="en_US"/>
        </w:rPr>
      </w:r>
      <w:r>
        <w:rPr>
          <w:lang w:val="en_US" w:bidi="en_US"/>
        </w:rPr>
        <w:t xml:space="preserve">But then another man who is stronger </w:t>
      </w:r>
      <w:r>
        <w:rPr>
          <w:lang w:val="en_US" w:bidi="en_US"/>
        </w:rPr>
        <w:t>than he is</w:t>
      </w:r>
      <w:r>
        <w:rPr>
          <w:lang w:val="en_US" w:bidi="en_US"/>
        </w:rPr>
        <w:t xml:space="preserve"> fights/comes and conquers him.</w:t>
      </w:r>
    </w:p>
    <w:p>
      <w:pPr/>
      <w:r>
        <w:rPr>
          <w:lang w:val="en_US" w:bidi="en_US"/>
        </w:rPr>
      </w:r>
      <w:r>
        <w:rPr>
          <w:b/>
          <w:lang w:val="en_US" w:bidi="en_US"/>
        </w:rPr>
        <w:t>someone stronger:</w:t>
      </w:r>
      <w:r>
        <w:rPr>
          <w:lang w:val="en_US" w:bidi="en_US"/>
        </w:rPr>
        <w:t xml:space="preserve"> The phrase </w:t>
      </w:r>
      <w:r>
        <w:rPr>
          <w:i/>
          <w:lang w:val="en_US" w:bidi="en_US"/>
        </w:rPr>
        <w:t>someone stronger</w:t>
      </w:r>
      <w:r>
        <w:rPr>
          <w:lang w:val="en_US" w:bidi="en_US"/>
        </w:rPr>
        <w:t xml:space="preserve"> means “a person even stronger than this strong man.” This phrase figuratively refers to Jesus. By casting out the demons, Jesus had shown that he was stronger than the demons and stronger than Satan, their chief.</w:t>
      </w:r>
    </w:p>
    <w:p>
      <w:pPr/>
      <w:r>
        <w:rPr>
          <w:lang w:val="en_US" w:bidi="en_US"/>
        </w:rPr>
      </w:r>
      <w:r>
        <w:rPr>
          <w:b/>
          <w:lang w:val="en_US" w:bidi="en_US"/>
        </w:rPr>
        <w:t>attacks and overpowers him:</w:t>
      </w:r>
      <w:r>
        <w:rPr>
          <w:lang w:val="en_US" w:bidi="en_US"/>
        </w:rPr>
        <w:t xml:space="preserve"> The Greek word that the BSB translates as </w:t>
      </w:r>
      <w:r>
        <w:rPr>
          <w:i/>
          <w:lang w:val="en_US" w:bidi="en_US"/>
        </w:rPr>
        <w:t>overpowers</w:t>
      </w:r>
      <w:r>
        <w:rPr>
          <w:lang w:val="en_US" w:bidi="en_US"/>
        </w:rPr>
        <w:t xml:space="preserve"> also means “conquers” or “defeats.” The stronger man begins to fight the strong man and wins the fight. Another way to translate this is:</w:t>
      </w:r>
    </w:p>
    <w:p>
      <w:pPr/>
      <w:r>
        <w:rPr>
          <w:lang w:val="en_US" w:bidi="en_US"/>
        </w:rPr>
      </w:r>
      <w:r>
        <w:rPr>
          <w:lang w:val="en_US" w:bidi="en_US"/>
        </w:rPr>
        <w:t>comes and defeats him (CEV)</w:t>
      </w:r>
    </w:p>
    <w:p>
      <w:pPr>
        <w:pStyle w:val="Heading5"/>
      </w:pPr>
      <w:r>
        <w:rPr>
          <w:lang w:val="en_US" w:bidi="en_US"/>
        </w:rPr>
        <w:t>11:22b</w:t>
      </w:r>
    </w:p>
    <w:p>
      <w:pPr/>
      <w:r>
        <w:rPr>
          <w:lang w:val="en_US" w:bidi="en_US"/>
        </w:rPr>
      </w:r>
      <w:r>
        <w:rPr>
          <w:b/>
          <w:lang w:val="en_US" w:bidi="en_US"/>
        </w:rPr>
        <w:t>he takes away the armor in which the man trusted,</w:t>
      </w:r>
    </w:p>
    <w:p>
      <w:pPr>
        <w:pStyle w:val="ListBullet"/>
        <w:spacing w:line="240" w:lineRule="auto"/>
        <w:ind w:left="720"/>
      </w:pPr>
      <w:r>
        <w:rPr>
          <w:lang w:val="en_US" w:bidi="en_US"/>
        </w:rPr>
      </w:r>
      <w:r>
        <w:rPr>
          <w:lang w:val="en_US" w:bidi="en_US"/>
        </w:rPr>
        <w:t>that stronger man will be able to take away the weapons and armor on which the strong man was relying.</w:t>
      </w:r>
    </w:p>
    <w:p>
      <w:pPr>
        <w:pStyle w:val="ListBullet"/>
        <w:spacing w:line="240" w:lineRule="auto"/>
        <w:ind w:left="720"/>
      </w:pPr>
      <w:r>
        <w:rPr>
          <w:lang w:val="en_US" w:bidi="en_US"/>
        </w:rPr>
      </w:r>
      <w:r>
        <w:rPr>
          <w:lang w:val="en_US" w:bidi="en_US"/>
        </w:rPr>
        <w:t>Then the very strong man removes the fighting gear/equipment on which his opponent was depending,</w:t>
      </w:r>
    </w:p>
    <w:p>
      <w:pPr/>
      <w:r>
        <w:rPr>
          <w:lang w:val="en_US" w:bidi="en_US"/>
        </w:rPr>
      </w:r>
      <w:r>
        <w:rPr>
          <w:lang w:val="en_US" w:bidi="en_US"/>
        </w:rPr>
        <w:t>This part of the parable is an illustration of what Jesus does when he drives out demons from a person. Taking away the weapons of the strong man is a picture of Jesus taking away Satan’s power over people.</w:t>
      </w:r>
    </w:p>
    <w:p>
      <w:pPr/>
      <w:r>
        <w:rPr>
          <w:lang w:val="en_US" w:bidi="en_US"/>
        </w:rPr>
      </w:r>
      <w:r>
        <w:rPr>
          <w:b/>
          <w:lang w:val="en_US" w:bidi="en_US"/>
        </w:rPr>
        <w:t>he takes away the armor in which the man trusted:</w:t>
      </w:r>
      <w:r>
        <w:rPr>
          <w:lang w:val="en_US" w:bidi="en_US"/>
        </w:rPr>
        <w:t xml:space="preserve"> After defeating the strong man, the stronger man takes away his weapons and armor. The man in the house relied on these things to protect his house and the things he owned.</w:t>
      </w:r>
    </w:p>
    <w:p>
      <w:pPr/>
      <w:r>
        <w:rPr>
          <w:lang w:val="en_US" w:bidi="en_US"/>
        </w:rPr>
      </w:r>
      <w:r>
        <w:rPr>
          <w:b/>
          <w:lang w:val="en_US" w:bidi="en_US"/>
        </w:rPr>
        <w:t>he…the man:</w:t>
      </w:r>
      <w:r>
        <w:rPr>
          <w:lang w:val="en_US" w:bidi="en_US"/>
        </w:rPr>
        <w:t xml:space="preserve"> It is important to keep the references to the two men clear. Certain languages use two kinds of third person pronouns. Other languages could use other terms like “his opponent” to refer to the strong man. For example:</w:t>
      </w:r>
    </w:p>
    <w:p>
      <w:pPr/>
      <w:r>
        <w:rPr>
          <w:lang w:val="en_US" w:bidi="en_US"/>
        </w:rPr>
      </w:r>
      <w:r>
        <w:rPr>
          <w:lang w:val="en_US" w:bidi="en_US"/>
        </w:rPr>
        <w:t>that stronger man will be able to take away the weapons that his opponent relied on</w:t>
      </w:r>
    </w:p>
    <w:p>
      <w:pPr/>
      <w:r>
        <w:rPr>
          <w:lang w:val="en_US" w:bidi="en_US"/>
        </w:rPr>
      </w:r>
      <w:r>
        <w:rPr>
          <w:b/>
          <w:lang w:val="en_US" w:bidi="en_US"/>
        </w:rPr>
        <w:t>the armor:</w:t>
      </w:r>
      <w:r>
        <w:rPr>
          <w:lang w:val="en_US" w:bidi="en_US"/>
        </w:rPr>
        <w:t xml:space="preserve"> The Greek word that the BSB translates as </w:t>
      </w:r>
      <w:r>
        <w:rPr>
          <w:i/>
          <w:lang w:val="en_US" w:bidi="en_US"/>
        </w:rPr>
        <w:t>armor</w:t>
      </w:r>
      <w:r>
        <w:rPr>
          <w:lang w:val="en_US" w:bidi="en_US"/>
        </w:rPr>
        <w:t xml:space="preserve"> refers here to all the equipment that a soldier used, both weapons and protective gear. It is not the same word as “fully armed” in 11:21a, but in this context it refers to the same things. Several versions, such as the GNT, translate both terms as “weapons.”</w:t>
      </w:r>
    </w:p>
    <w:p>
      <w:pPr/>
      <w:r>
        <w:rPr>
          <w:lang w:val="en_US" w:bidi="en_US"/>
        </w:rPr>
      </w:r>
      <w:r>
        <w:rPr>
          <w:b/>
          <w:lang w:val="en_US" w:bidi="en_US"/>
        </w:rPr>
        <w:t>in which the man trusted:</w:t>
      </w:r>
      <w:r>
        <w:rPr>
          <w:lang w:val="en_US" w:bidi="en_US"/>
        </w:rPr>
        <w:t xml:space="preserve"> The strong man </w:t>
      </w:r>
      <w:r>
        <w:rPr>
          <w:i/>
          <w:lang w:val="en_US" w:bidi="en_US"/>
        </w:rPr>
        <w:t>trusted</w:t>
      </w:r>
      <w:r>
        <w:rPr>
          <w:lang w:val="en_US" w:bidi="en_US"/>
        </w:rPr>
        <w:t xml:space="preserve"> the armor in the sense that he expected that it would help him to defeat anyone who attacked him. Some other ways to translate this phrase are:</w:t>
      </w:r>
    </w:p>
    <w:p>
      <w:pPr/>
      <w:r>
        <w:rPr>
          <w:lang w:val="en_US" w:bidi="en_US"/>
        </w:rPr>
      </w:r>
      <w:r>
        <w:rPr>
          <w:lang w:val="en_US" w:bidi="en_US"/>
        </w:rPr>
        <w:t>on which the man had relied (REB)</w:t>
      </w:r>
    </w:p>
    <w:p>
      <w:pPr/>
      <w:r>
        <w:rPr>
          <w:lang w:val="en_US" w:bidi="en_US"/>
        </w:rPr>
      </w:r>
      <w:r>
        <w:rPr>
          <w:lang w:val="en_US" w:bidi="en_US"/>
        </w:rPr>
        <w:t>the owner was depending on (GNT)</w:t>
      </w:r>
    </w:p>
    <w:p>
      <w:pPr>
        <w:pStyle w:val="Heading5"/>
      </w:pPr>
      <w:r>
        <w:rPr>
          <w:lang w:val="en_US" w:bidi="en_US"/>
        </w:rPr>
        <w:t>11:22c</w:t>
      </w:r>
    </w:p>
    <w:p>
      <w:pPr/>
      <w:r>
        <w:rPr>
          <w:lang w:val="en_US" w:bidi="en_US"/>
        </w:rPr>
      </w:r>
      <w:r>
        <w:rPr>
          <w:b/>
          <w:lang w:val="en_US" w:bidi="en_US"/>
        </w:rPr>
        <w:t>and then he divides up his plunder.</w:t>
      </w:r>
    </w:p>
    <w:p>
      <w:pPr>
        <w:pStyle w:val="ListBullet"/>
        <w:spacing w:line="240" w:lineRule="auto"/>
        <w:ind w:left="720"/>
      </w:pPr>
      <w:r>
        <w:rPr>
          <w:lang w:val="en_US" w:bidi="en_US"/>
        </w:rPr>
      </w:r>
      <w:r>
        <w:rPr>
          <w:lang w:val="en_US" w:bidi="en_US"/>
        </w:rPr>
        <w:t xml:space="preserve">Then he will distribute his possessions </w:t>
      </w:r>
      <w:r>
        <w:rPr>
          <w:lang w:val="en_US" w:bidi="en_US"/>
        </w:rPr>
        <w:t>among his own friends</w:t>
      </w:r>
      <w:r>
        <w:rPr>
          <w:lang w:val="en_US" w:bidi="en_US"/>
        </w:rPr>
        <w:t>.</w:t>
      </w:r>
    </w:p>
    <w:p>
      <w:pPr>
        <w:pStyle w:val="ListBullet"/>
        <w:spacing w:line="240" w:lineRule="auto"/>
        <w:ind w:left="720"/>
      </w:pPr>
      <w:r>
        <w:rPr>
          <w:lang w:val="en_US" w:bidi="en_US"/>
        </w:rPr>
      </w:r>
      <w:r>
        <w:rPr>
          <w:lang w:val="en_US" w:bidi="en_US"/>
        </w:rPr>
        <w:t xml:space="preserve">and takes the opponent’s belongings/things and shares them </w:t>
      </w:r>
      <w:r>
        <w:rPr>
          <w:lang w:val="en_US" w:bidi="en_US"/>
        </w:rPr>
        <w:t>with others</w:t>
      </w:r>
      <w:r>
        <w:rPr>
          <w:lang w:val="en_US" w:bidi="en_US"/>
        </w:rPr>
        <w:t>.</w:t>
      </w:r>
    </w:p>
    <w:p>
      <w:pPr>
        <w:pStyle w:val="ListBullet"/>
        <w:spacing w:line="240" w:lineRule="auto"/>
        <w:ind w:left="720"/>
      </w:pPr>
      <w:r>
        <w:rPr>
          <w:lang w:val="en_US" w:bidi="en_US"/>
        </w:rPr>
      </w:r>
      <w:r>
        <w:rPr>
          <w:lang w:val="en_US" w:bidi="en_US"/>
        </w:rPr>
        <w:t xml:space="preserve">He also takes the things </w:t>
      </w:r>
      <w:r>
        <w:rPr>
          <w:lang w:val="en_US" w:bidi="en_US"/>
        </w:rPr>
        <w:t>in the house</w:t>
      </w:r>
      <w:r>
        <w:rPr>
          <w:lang w:val="en_US" w:bidi="en_US"/>
        </w:rPr>
        <w:t xml:space="preserve"> and shares them </w:t>
      </w:r>
      <w:r>
        <w:rPr>
          <w:lang w:val="en_US" w:bidi="en_US"/>
        </w:rPr>
        <w:t>with those who are with him</w:t>
      </w:r>
      <w:r>
        <w:rPr>
          <w:lang w:val="en_US" w:bidi="en_US"/>
        </w:rPr>
        <w:t>.”</w:t>
      </w:r>
    </w:p>
    <w:p>
      <w:pPr/>
      <w:r>
        <w:rPr>
          <w:lang w:val="en_US" w:bidi="en_US"/>
        </w:rPr>
      </w:r>
      <w:r>
        <w:rPr>
          <w:b/>
          <w:lang w:val="en_US" w:bidi="en_US"/>
        </w:rPr>
        <w:t>and then he divides up his plunder:</w:t>
      </w:r>
      <w:r>
        <w:rPr>
          <w:lang w:val="en_US" w:bidi="en_US"/>
        </w:rPr>
        <w:t xml:space="preserve"> The Greek phrase that the BSB translates as </w:t>
      </w:r>
      <w:r>
        <w:rPr>
          <w:i/>
          <w:lang w:val="en_US" w:bidi="en_US"/>
        </w:rPr>
        <w:t>divides up his plunder</w:t>
      </w:r>
      <w:r>
        <w:rPr>
          <w:lang w:val="en_US" w:bidi="en_US"/>
        </w:rPr>
        <w:t xml:space="preserve"> refers to distributing the possessions of a defeated enemy. It was the custom for a conqueror to take away the things his enemy owned and give them to his own family and friends. In this illustration, the stronger man distributes the things he took out of the house. Another way to translate this is:</w:t>
      </w:r>
    </w:p>
    <w:p>
      <w:pPr/>
      <w:r>
        <w:rPr>
          <w:lang w:val="en_US" w:bidi="en_US"/>
        </w:rPr>
      </w:r>
      <w:r>
        <w:rPr>
          <w:lang w:val="en_US" w:bidi="en_US"/>
        </w:rPr>
        <w:t>Then he will divide with others what he has taken. (CEV)</w:t>
      </w:r>
    </w:p>
    <w:p>
      <w:pPr/>
      <w:r>
        <w:rPr>
          <w:lang w:val="en_US" w:bidi="en_US"/>
        </w:rPr>
      </w:r>
      <w:r>
        <w:rPr>
          <w:lang w:val="en_US" w:bidi="en_US"/>
        </w:rPr>
        <w:t>Here is the meaning of this part of the illustration: Jesus is the stronger man. He brings blessings to those people from whom he drives out unclean spirits and also to many others.</w:t>
      </w:r>
      <w:r>
        <w:rPr>
          <w:lang w:val="en_US" w:bidi="en_US"/>
        </w:rPr>
      </w:r>
      <w:r>
        <w:rPr>
          <w:lang w:val="en_US" w:bidi="en_US"/>
        </w:rPr>
      </w:r>
    </w:p>
    <w:p>
      <w:pPr/>
      <w:r>
        <w:rPr>
          <w:lang w:val="en_US" w:bidi="en_US"/>
        </w:rPr>
      </w:r>
    </w:p>
    <w:p>
      <w:pPr>
        <w:pStyle w:val="Heading2"/>
      </w:pPr>
      <w:r>
        <w:rPr>
          <w:lang w:val="en_US" w:bidi="en_US"/>
        </w:rPr>
        <w:t>Luke 11:23</w:t>
      </w:r>
      <w:r>
        <w:rPr>
          <w:lang w:val="en_US" w:bidi="en_US"/>
        </w:rPr>
      </w:r>
    </w:p>
    <w:p>
      <w:pPr>
        <w:pStyle w:val="Heading4"/>
      </w:pPr>
      <w:r>
        <w:rPr>
          <w:lang w:val="en_US" w:bidi="en_US"/>
        </w:rPr>
        <w:t>Section 11:14–23: Jesus proved that he did not use Satan’s power</w:t>
      </w:r>
    </w:p>
    <w:p>
      <w:pPr/>
      <w:r>
        <w:rPr>
          <w:lang w:val="en_US" w:bidi="en_US"/>
        </w:rPr>
      </w:r>
      <w:r>
        <w:rPr>
          <w:lang w:val="en_US" w:bidi="en_US"/>
        </w:rPr>
        <w:t>This section is not explicitly connected with the preceding section in time, place, or theme.</w:t>
      </w:r>
    </w:p>
    <w:p>
      <w:pPr/>
      <w:r>
        <w:rPr>
          <w:lang w:val="en_US" w:bidi="en_US"/>
        </w:rPr>
      </w:r>
      <w:r>
        <w:rPr>
          <w:lang w:val="en_US" w:bidi="en_US"/>
        </w:rPr>
        <w:t>In this section, Jesus cast out a demon that made a man mute (11:14). Some people who were there commented to each other that Jesus was casting out demons by the power of Satan (11:15). Jesus gave them two reasons why this could not be true (11:17–19). He concluded that he cast out demons by the power of God (11:20). Then he told a parable (11:21–22) that showed that he is stronger than Satan.</w:t>
      </w:r>
    </w:p>
    <w:p>
      <w:pPr/>
      <w:r>
        <w:rPr>
          <w:lang w:val="en_US" w:bidi="en_US"/>
        </w:rPr>
      </w:r>
      <w:r>
        <w:rPr>
          <w:lang w:val="en_US" w:bidi="en_US"/>
        </w:rPr>
        <w:t>Some other headings for this section are:</w:t>
      </w:r>
    </w:p>
    <w:p>
      <w:pPr/>
      <w:r>
        <w:rPr>
          <w:lang w:val="en_US" w:bidi="en_US"/>
        </w:rPr>
      </w:r>
      <w:r>
        <w:rPr>
          <w:lang w:val="en_US" w:bidi="en_US"/>
        </w:rPr>
        <w:t>Jesus is stronger than Satan</w:t>
      </w:r>
    </w:p>
    <w:p>
      <w:pPr/>
      <w:r>
        <w:rPr>
          <w:lang w:val="en_US" w:bidi="en_US"/>
        </w:rPr>
      </w:r>
      <w:r>
        <w:rPr>
          <w:lang w:val="en_US" w:bidi="en_US"/>
        </w:rPr>
        <w:t>Jesus and Beelzebub</w:t>
      </w:r>
    </w:p>
    <w:p>
      <w:pPr/>
      <w:r>
        <w:rPr>
          <w:lang w:val="en_US" w:bidi="en_US"/>
        </w:rPr>
      </w:r>
      <w:r>
        <w:rPr>
          <w:lang w:val="en_US" w:bidi="en_US"/>
        </w:rPr>
        <w:t>Jesus sends unclean spirits away by defeating Satan</w:t>
      </w:r>
    </w:p>
    <w:p>
      <w:pPr/>
      <w:r>
        <w:rPr>
          <w:lang w:val="en_US" w:bidi="en_US"/>
        </w:rPr>
      </w:r>
      <w:r>
        <w:rPr>
          <w:lang w:val="en_US" w:bidi="en_US"/>
        </w:rPr>
        <w:t>There are parallel passages for this section in Matthew 12:22–30 and Mark 3:20–27.</w:t>
      </w:r>
    </w:p>
    <w:p>
      <w:pPr>
        <w:pStyle w:val="Heading4"/>
      </w:pPr>
      <w:r>
        <w:rPr>
          <w:lang w:val="en_US" w:bidi="en_US"/>
        </w:rPr>
        <w:t>Paragraph 11:23</w:t>
      </w:r>
    </w:p>
    <w:p>
      <w:pPr/>
      <w:r>
        <w:rPr>
          <w:lang w:val="en_US" w:bidi="en_US"/>
        </w:rPr>
      </w:r>
      <w:r>
        <w:rPr>
          <w:lang w:val="en_US" w:bidi="en_US"/>
        </w:rPr>
        <w:t>In this paragraph, Jesus concluded the illustration about the strong man in 11:22. In order to make this clear, you may want to begin this paragraph with a phrase such as:</w:t>
      </w:r>
    </w:p>
    <w:p>
      <w:pPr/>
      <w:r>
        <w:rPr>
          <w:lang w:val="en_US" w:bidi="en_US"/>
        </w:rPr>
      </w:r>
      <w:r>
        <w:rPr>
          <w:lang w:val="en_US" w:bidi="en_US"/>
        </w:rPr>
        <w:t>Jesus continued</w:t>
      </w:r>
    </w:p>
    <w:p>
      <w:pPr>
        <w:pStyle w:val="Heading5"/>
      </w:pPr>
      <w:r>
        <w:rPr>
          <w:lang w:val="en_US" w:bidi="en_US"/>
        </w:rPr>
        <w:t>11:23a</w:t>
      </w:r>
    </w:p>
    <w:p>
      <w:pPr/>
      <w:r>
        <w:rPr>
          <w:lang w:val="en_US" w:bidi="en_US"/>
        </w:rPr>
      </w:r>
      <w:r>
        <w:rPr>
          <w:b/>
          <w:lang w:val="en_US" w:bidi="en_US"/>
        </w:rPr>
        <w:t>He who is not with Me is against Me,</w:t>
      </w:r>
    </w:p>
    <w:p>
      <w:pPr>
        <w:pStyle w:val="ListBullet"/>
        <w:spacing w:line="240" w:lineRule="auto"/>
        <w:ind w:left="720"/>
      </w:pPr>
      <w:r>
        <w:rPr>
          <w:lang w:val="en_US" w:bidi="en_US"/>
        </w:rPr>
      </w:r>
      <w:r>
        <w:rPr>
          <w:lang w:val="en_US" w:bidi="en_US"/>
        </w:rPr>
        <w:t>¶ “If a person is not for me, he is against me.</w:t>
      </w:r>
    </w:p>
    <w:p>
      <w:pPr>
        <w:pStyle w:val="ListBullet"/>
        <w:spacing w:line="240" w:lineRule="auto"/>
        <w:ind w:left="720"/>
      </w:pPr>
      <w:r>
        <w:rPr>
          <w:lang w:val="en_US" w:bidi="en_US"/>
        </w:rPr>
      </w:r>
      <w:r>
        <w:rPr>
          <w:lang w:val="en_US" w:bidi="en_US"/>
        </w:rPr>
        <w:t xml:space="preserve">¶ “The </w:t>
      </w:r>
      <w:r>
        <w:rPr>
          <w:lang w:val="en_US" w:bidi="en_US"/>
        </w:rPr>
        <w:t>people</w:t>
      </w:r>
      <w:r>
        <w:rPr>
          <w:lang w:val="en_US" w:bidi="en_US"/>
        </w:rPr>
        <w:t xml:space="preserve"> who are not my friends/companions are my enemies/opponents.</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“Anyone who is not on my side is opposed to me.</w:t>
      </w:r>
    </w:p>
    <w:p>
      <w:pPr/>
      <w:r>
        <w:rPr>
          <w:lang w:val="en_US" w:bidi="en_US"/>
        </w:rPr>
      </w:r>
      <w:r>
        <w:rPr>
          <w:b/>
          <w:lang w:val="en_US" w:bidi="en_US"/>
        </w:rPr>
        <w:t>He who is not with Me is against Me:</w:t>
      </w:r>
      <w:r>
        <w:rPr>
          <w:lang w:val="en_US" w:bidi="en_US"/>
        </w:rPr>
        <w:t xml:space="preserve"> The clause </w:t>
      </w:r>
      <w:r>
        <w:rPr>
          <w:i/>
          <w:lang w:val="en_US" w:bidi="en_US"/>
        </w:rPr>
        <w:t>He who is not with Me is against Me</w:t>
      </w:r>
      <w:r>
        <w:rPr>
          <w:lang w:val="en_US" w:bidi="en_US"/>
        </w:rPr>
        <w:t xml:space="preserve"> means, “Anyone who is not my friend is my enemy.” In the context of the fight between good and evil (11:14–22), this implies that anyone who is not Jesus’ friend is Satan’s friend. There is no middle or neutral position. Some other ways to translate this clause are:</w:t>
      </w:r>
    </w:p>
    <w:p>
      <w:pPr/>
      <w:r>
        <w:rPr>
          <w:lang w:val="en_US" w:bidi="en_US"/>
        </w:rPr>
      </w:r>
      <w:r>
        <w:rPr>
          <w:lang w:val="en_US" w:bidi="en_US"/>
        </w:rPr>
        <w:t>If you are not on my side, you are against me. (CEV)</w:t>
      </w:r>
    </w:p>
    <w:p>
      <w:pPr/>
      <w:r>
        <w:rPr>
          <w:lang w:val="en_US" w:bidi="en_US"/>
        </w:rPr>
      </w:r>
      <w:r>
        <w:rPr>
          <w:lang w:val="en_US" w:bidi="en_US"/>
        </w:rPr>
        <w:t>Those people who are not my allies/companions are my opponents/enemies.</w:t>
      </w:r>
    </w:p>
    <w:p>
      <w:pPr>
        <w:pStyle w:val="Heading5"/>
      </w:pPr>
      <w:r>
        <w:rPr>
          <w:lang w:val="en_US" w:bidi="en_US"/>
        </w:rPr>
        <w:t>11:23b</w:t>
      </w:r>
    </w:p>
    <w:p>
      <w:pPr/>
      <w:r>
        <w:rPr>
          <w:lang w:val="en_US" w:bidi="en_US"/>
        </w:rPr>
      </w:r>
      <w:r>
        <w:rPr>
          <w:b/>
          <w:lang w:val="en_US" w:bidi="en_US"/>
        </w:rPr>
        <w:t>and he who does not gather with Me scatters.</w:t>
      </w:r>
    </w:p>
    <w:p>
      <w:pPr>
        <w:pStyle w:val="ListBullet"/>
        <w:spacing w:line="240" w:lineRule="auto"/>
        <w:ind w:left="720"/>
      </w:pPr>
      <w:r>
        <w:rPr>
          <w:lang w:val="en_US" w:bidi="en_US"/>
        </w:rPr>
      </w:r>
      <w:r>
        <w:rPr>
          <w:lang w:val="en_US" w:bidi="en_US"/>
        </w:rPr>
        <w:t xml:space="preserve">The one who does not help me gather </w:t>
      </w:r>
      <w:r>
        <w:rPr>
          <w:lang w:val="en_US" w:bidi="en_US"/>
        </w:rPr>
        <w:t>people for God</w:t>
      </w:r>
      <w:r>
        <w:rPr>
          <w:lang w:val="en_US" w:bidi="en_US"/>
        </w:rPr>
        <w:t xml:space="preserve"> scatters </w:t>
      </w:r>
      <w:r>
        <w:rPr>
          <w:lang w:val="en_US" w:bidi="en_US"/>
        </w:rPr>
        <w:t>them</w:t>
      </w:r>
      <w:r>
        <w:rPr>
          <w:lang w:val="en_US" w:bidi="en_US"/>
        </w:rPr>
        <w:t>.”</w:t>
      </w:r>
    </w:p>
    <w:p>
      <w:pPr>
        <w:pStyle w:val="ListBullet"/>
        <w:spacing w:line="240" w:lineRule="auto"/>
        <w:ind w:left="720"/>
      </w:pPr>
      <w:r>
        <w:rPr>
          <w:lang w:val="en_US" w:bidi="en_US"/>
        </w:rPr>
      </w:r>
      <w:r>
        <w:rPr>
          <w:lang w:val="en_US" w:bidi="en_US"/>
        </w:rPr>
        <w:t>The person who does not work with/for me is working against me.”</w:t>
      </w:r>
    </w:p>
    <w:p>
      <w:pPr/>
      <w:r>
        <w:rPr>
          <w:lang w:val="en_US" w:bidi="en_US"/>
        </w:rPr>
      </w:r>
      <w:r>
        <w:rPr>
          <w:b/>
          <w:lang w:val="en_US" w:bidi="en_US"/>
        </w:rPr>
        <w:t>and he who does not gather with Me scatters:</w:t>
      </w:r>
      <w:r>
        <w:rPr>
          <w:lang w:val="en_US" w:bidi="en_US"/>
        </w:rPr>
        <w:t xml:space="preserve"> This figure of speech means the same thing as 11:23a: anyone who is not helping Jesus in his work is opposing him.</w:t>
      </w:r>
    </w:p>
    <w:p>
      <w:pPr/>
      <w:r>
        <w:rPr>
          <w:lang w:val="en_US" w:bidi="en_US"/>
        </w:rPr>
      </w:r>
      <w:r>
        <w:rPr>
          <w:lang w:val="en_US" w:bidi="en_US"/>
        </w:rPr>
        <w:t>Jesus did not say what he was gathering. Many scholars think he was comparing himself to a shepherd gathering sheep. Other scholars think he was comparing himself to a farmer gathering crops.</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Use the specific example of sheep. For example:</w:t>
      </w:r>
      <w:r>
        <w:rPr>
          <w:lang w:val="en_US" w:bidi="en_US"/>
        </w:rPr>
        <w:t xml:space="preserve">He who does not help me gather </w:t>
      </w:r>
      <w:r>
        <w:rPr>
          <w:lang w:val="en_US" w:bidi="en_US"/>
        </w:rPr>
        <w:t>my sheep</w:t>
      </w:r>
      <w:r>
        <w:rPr>
          <w:lang w:val="en_US" w:bidi="en_US"/>
        </w:rPr>
        <w:t xml:space="preserve"> is scattering them.</w:t>
      </w:r>
    </w:p>
    <w:p>
      <w:pPr>
        <w:pStyle w:val="ListBullet"/>
        <w:spacing w:line="240" w:lineRule="auto"/>
        <w:ind w:left="720"/>
      </w:pPr>
      <w:r>
        <w:rPr>
          <w:lang w:val="en_US" w:bidi="en_US"/>
        </w:rPr>
      </w:r>
      <w:r>
        <w:rPr>
          <w:lang w:val="en_US" w:bidi="en_US"/>
        </w:rPr>
        <w:t>Use the specific example of crops. For example:</w:t>
      </w:r>
      <w:r>
        <w:rPr>
          <w:lang w:val="en_US" w:bidi="en_US"/>
        </w:rPr>
        <w:t>If you don’t gather in the crop with me, you scatter it. (CEV)</w:t>
      </w:r>
    </w:p>
    <w:p>
      <w:pPr>
        <w:pStyle w:val="ListBullet"/>
        <w:spacing w:line="240" w:lineRule="auto"/>
        <w:ind w:left="720"/>
      </w:pPr>
      <w:r>
        <w:rPr>
          <w:lang w:val="en_US" w:bidi="en_US"/>
        </w:rPr>
      </w:r>
      <w:r>
        <w:rPr>
          <w:lang w:val="en_US" w:bidi="en_US"/>
        </w:rPr>
        <w:t xml:space="preserve">Use a more generic word for </w:t>
      </w:r>
      <w:r>
        <w:rPr>
          <w:i/>
          <w:lang w:val="en_US" w:bidi="en_US"/>
        </w:rPr>
        <w:t>gather</w:t>
      </w:r>
      <w:r>
        <w:rPr>
          <w:lang w:val="en_US" w:bidi="en_US"/>
        </w:rPr>
        <w:t>. For example:</w:t>
      </w:r>
      <w:r>
        <w:rPr>
          <w:lang w:val="en_US" w:bidi="en_US"/>
        </w:rPr>
        <w:t>anyone who isn’t working with me is actually working against me (NLT)</w:t>
      </w:r>
    </w:p>
    <w:p>
      <w:pPr>
        <w:pStyle w:val="ListBullet"/>
        <w:spacing w:line="240" w:lineRule="auto"/>
        <w:ind w:left="720"/>
      </w:pPr>
      <w:r>
        <w:rPr>
          <w:lang w:val="en_US" w:bidi="en_US"/>
        </w:rPr>
      </w:r>
      <w:r>
        <w:rPr>
          <w:lang w:val="en_US" w:bidi="en_US"/>
        </w:rPr>
        <w:t>Translate the nonfigurative meaning. This figure of speech means that if someone is not calling people to come to God, like Jesus is, he is actually pushing people away from God. For example:</w:t>
      </w:r>
      <w:r>
        <w:rPr>
          <w:lang w:val="en_US" w:bidi="en_US"/>
        </w:rPr>
        <w:t xml:space="preserve">He who does not help me gather </w:t>
      </w:r>
      <w:r>
        <w:rPr>
          <w:lang w:val="en_US" w:bidi="en_US"/>
        </w:rPr>
        <w:t>people for God</w:t>
      </w:r>
      <w:r>
        <w:rPr>
          <w:lang w:val="en_US" w:bidi="en_US"/>
        </w:rPr>
        <w:t xml:space="preserve"> is scattering them </w:t>
      </w:r>
      <w:r>
        <w:rPr>
          <w:lang w:val="en_US" w:bidi="en_US"/>
        </w:rPr>
        <w:t>so that they go away from God</w:t>
      </w:r>
      <w:r>
        <w:rPr>
          <w:lang w:val="en_US" w:bidi="en_US"/>
        </w:rPr>
        <w:t>.</w:t>
      </w:r>
    </w:p>
    <w:p>
      <w:pPr/>
      <w:r>
        <w:rPr>
          <w:lang w:val="en_US" w:bidi="en_US"/>
        </w:rPr>
      </w:r>
      <w:r>
        <w:rPr>
          <w:lang w:val="en_US" w:bidi="en_US"/>
        </w:rPr>
        <w:t>Translate this figure of speech in a way that is most natural in your language.</w:t>
      </w:r>
      <w:r>
        <w:rPr>
          <w:lang w:val="en_US" w:bidi="en_US"/>
        </w:rPr>
      </w:r>
      <w:r>
        <w:rPr>
          <w:lang w:val="en_US" w:bidi="en_US"/>
        </w:rPr>
      </w:r>
    </w:p>
    <w:p>
      <w:pPr/>
      <w:r>
        <w:rPr>
          <w:lang w:val="en_US" w:bidi="en_US"/>
        </w:rPr>
      </w:r>
    </w:p>
    <w:p>
      <w:pPr>
        <w:pStyle w:val="Heading2"/>
      </w:pPr>
      <w:r>
        <w:rPr>
          <w:lang w:val="en_US" w:bidi="en_US"/>
        </w:rPr>
        <w:t>Luke 11:24</w:t>
      </w:r>
      <w:r>
        <w:rPr>
          <w:lang w:val="en_US" w:bidi="en_US"/>
        </w:rPr>
      </w:r>
    </w:p>
    <w:p>
      <w:pPr>
        <w:pStyle w:val="Heading4"/>
      </w:pPr>
      <w:r>
        <w:rPr>
          <w:lang w:val="en_US" w:bidi="en_US"/>
        </w:rPr>
        <w:t>Section 11:24–26: Jesus warned that an unclean spirit may possess someone again</w:t>
      </w:r>
    </w:p>
    <w:p>
      <w:pPr/>
      <w:r>
        <w:rPr>
          <w:lang w:val="en_US" w:bidi="en_US"/>
        </w:rPr>
      </w:r>
      <w:r>
        <w:rPr>
          <w:lang w:val="en_US" w:bidi="en_US"/>
        </w:rPr>
        <w:t>In the last section, Jesus explained that he cast out unclean spirits by the power of God. In this section, he gave a warning about people who had been delivered from an unclean spirit. He said that if they did not entrust their lives to someone else, they were in danger of being possessed by even more unclean spirits.</w:t>
      </w:r>
    </w:p>
    <w:p>
      <w:pPr/>
      <w:r>
        <w:rPr>
          <w:lang w:val="en_US" w:bidi="en_US"/>
        </w:rPr>
      </w:r>
      <w:r>
        <w:rPr>
          <w:lang w:val="en_US" w:bidi="en_US"/>
        </w:rPr>
        <w:t>Another possible heading for this section is:</w:t>
      </w:r>
    </w:p>
    <w:p>
      <w:pPr/>
      <w:r>
        <w:rPr>
          <w:lang w:val="en_US" w:bidi="en_US"/>
        </w:rPr>
      </w:r>
      <w:r>
        <w:rPr>
          <w:lang w:val="en_US" w:bidi="en_US"/>
        </w:rPr>
        <w:t>The return of the evil spirit (GNT)</w:t>
      </w:r>
    </w:p>
    <w:p>
      <w:pPr/>
      <w:r>
        <w:rPr>
          <w:lang w:val="en_US" w:bidi="en_US"/>
        </w:rPr>
      </w:r>
      <w:r>
        <w:rPr>
          <w:lang w:val="en_US" w:bidi="en_US"/>
        </w:rPr>
        <w:t>There is a parallel passage for this section in Matthew 12:43–45.</w:t>
      </w:r>
    </w:p>
    <w:p>
      <w:pPr>
        <w:pStyle w:val="Heading5"/>
      </w:pPr>
      <w:r>
        <w:rPr>
          <w:lang w:val="en_US" w:bidi="en_US"/>
        </w:rPr>
        <w:t>11:24a</w:t>
      </w:r>
    </w:p>
    <w:p>
      <w:pPr/>
      <w:r>
        <w:rPr>
          <w:lang w:val="en_US" w:bidi="en_US"/>
        </w:rPr>
      </w:r>
      <w:r>
        <w:rPr>
          <w:b/>
          <w:lang w:val="en_US" w:bidi="en_US"/>
        </w:rPr>
        <w:t>When an unclean spirit comes out of a man,</w:t>
      </w:r>
    </w:p>
    <w:p>
      <w:pPr>
        <w:pStyle w:val="ListBullet"/>
        <w:spacing w:line="240" w:lineRule="auto"/>
        <w:ind w:left="720"/>
      </w:pPr>
      <w:r>
        <w:rPr>
          <w:lang w:val="en_US" w:bidi="en_US"/>
        </w:rPr>
      </w:r>
      <w:r>
        <w:rPr>
          <w:lang w:val="en_US" w:bidi="en_US"/>
        </w:rPr>
        <w:t>¶ “When an evil spirit leaves/exits a person,</w:t>
      </w:r>
    </w:p>
    <w:p>
      <w:pPr>
        <w:pStyle w:val="ListBullet"/>
        <w:spacing w:line="240" w:lineRule="auto"/>
        <w:ind w:left="720"/>
      </w:pPr>
      <w:r>
        <w:rPr>
          <w:lang w:val="en_US" w:bidi="en_US"/>
        </w:rPr>
      </w:r>
      <w:r>
        <w:rPr>
          <w:lang w:val="en_US" w:bidi="en_US"/>
        </w:rPr>
        <w:t xml:space="preserve">¶ </w:t>
      </w:r>
      <w:r>
        <w:rPr>
          <w:lang w:val="en_US" w:bidi="en_US"/>
        </w:rPr>
        <w:t>Then Jesus also said</w:t>
      </w:r>
      <w:r>
        <w:rPr>
          <w:lang w:val="en_US" w:bidi="en_US"/>
        </w:rPr>
        <w:t xml:space="preserve"> </w:t>
      </w:r>
      <w:r>
        <w:rPr>
          <w:lang w:val="en_US" w:bidi="en_US"/>
        </w:rPr>
        <w:t>to the people,</w:t>
      </w:r>
      <w:r>
        <w:rPr>
          <w:lang w:val="en_US" w:bidi="en_US"/>
        </w:rPr>
        <w:t xml:space="preserve"> “When an evil spirit </w:t>
      </w:r>
      <w:r>
        <w:rPr>
          <w:lang w:val="en_US" w:bidi="en_US"/>
        </w:rPr>
        <w:t>is forced/caused to</w:t>
      </w:r>
      <w:r>
        <w:rPr>
          <w:lang w:val="en_US" w:bidi="en_US"/>
        </w:rPr>
        <w:t xml:space="preserve"> come out of a person,</w:t>
      </w:r>
    </w:p>
    <w:p>
      <w:pPr>
        <w:pStyle w:val="ListBullet"/>
        <w:spacing w:line="240" w:lineRule="auto"/>
        <w:ind w:left="720"/>
      </w:pPr>
      <w:r>
        <w:rPr>
          <w:lang w:val="en_US" w:bidi="en_US"/>
        </w:rPr>
      </w:r>
      <w:r>
        <w:rPr>
          <w:lang w:val="en_US" w:bidi="en_US"/>
        </w:rPr>
        <w:t xml:space="preserve">¶ </w:t>
      </w:r>
      <w:r>
        <w:rPr>
          <w:lang w:val="en_US" w:bidi="en_US"/>
        </w:rPr>
        <w:t>Then Jesus told the people this parable:</w:t>
      </w:r>
      <w:r>
        <w:rPr>
          <w:lang w:val="en_US" w:bidi="en_US"/>
        </w:rPr>
        <w:t xml:space="preserve"> “After </w:t>
      </w:r>
      <w:r>
        <w:rPr>
          <w:lang w:val="en_US" w:bidi="en_US"/>
        </w:rPr>
        <w:t>someone causes</w:t>
      </w:r>
      <w:r>
        <w:rPr>
          <w:lang w:val="en_US" w:bidi="en_US"/>
        </w:rPr>
        <w:t xml:space="preserve"> a demon to leave a person </w:t>
      </w:r>
      <w:r>
        <w:rPr>
          <w:lang w:val="en_US" w:bidi="en_US"/>
        </w:rPr>
        <w:t>whom it has possessed</w:t>
      </w:r>
      <w:r>
        <w:rPr>
          <w:lang w:val="en_US" w:bidi="en_US"/>
        </w:rPr>
        <w:t>,</w:t>
      </w:r>
    </w:p>
    <w:p>
      <w:pPr/>
      <w:r>
        <w:rPr>
          <w:lang w:val="en_US" w:bidi="en_US"/>
        </w:rPr>
      </w:r>
      <w:r>
        <w:rPr>
          <w:lang w:val="en_US" w:bidi="en_US"/>
        </w:rPr>
        <w:t>This verse is the beginning of a new section, so you may want to say explicitly that Jesus was still speaking. For example, you could begin this verse with the words:</w:t>
      </w:r>
    </w:p>
    <w:p>
      <w:pPr/>
      <w:r>
        <w:rPr>
          <w:lang w:val="en_US" w:bidi="en_US"/>
        </w:rPr>
      </w:r>
      <w:r>
        <w:rPr>
          <w:lang w:val="en_US" w:bidi="en_US"/>
        </w:rPr>
        <w:t>Jesus also said</w:t>
      </w:r>
      <w:r>
        <w:rPr>
          <w:lang w:val="en_US" w:bidi="en_US"/>
        </w:rPr>
        <w:t xml:space="preserve"> </w:t>
      </w:r>
      <w:r>
        <w:rPr>
          <w:lang w:val="en_US" w:bidi="en_US"/>
        </w:rPr>
        <w:t>to the people</w:t>
      </w:r>
      <w:r>
        <w:rPr>
          <w:lang w:val="en_US" w:bidi="en_US"/>
        </w:rPr>
        <w:t>…</w:t>
      </w:r>
    </w:p>
    <w:p>
      <w:pPr/>
      <w:r>
        <w:rPr>
          <w:lang w:val="en_US" w:bidi="en_US"/>
        </w:rPr>
      </w:r>
      <w:r>
        <w:rPr>
          <w:lang w:val="en_US" w:bidi="en_US"/>
        </w:rPr>
        <w:t>Jesus then told another parable. He said</w:t>
      </w:r>
      <w:r>
        <w:rPr>
          <w:lang w:val="en_US" w:bidi="en_US"/>
        </w:rPr>
        <w:t xml:space="preserve"> …</w:t>
      </w:r>
    </w:p>
    <w:p>
      <w:pPr/>
      <w:r>
        <w:rPr>
          <w:lang w:val="en_US" w:bidi="en_US"/>
        </w:rPr>
      </w:r>
      <w:r>
        <w:rPr>
          <w:b/>
          <w:lang w:val="en_US" w:bidi="en_US"/>
        </w:rPr>
        <w:t>When an unclean spirit comes out of a man:</w:t>
      </w:r>
      <w:r>
        <w:rPr>
          <w:lang w:val="en_US" w:bidi="en_US"/>
        </w:rPr>
        <w:t xml:space="preserve"> In this context the clause </w:t>
      </w:r>
      <w:r>
        <w:rPr>
          <w:i/>
          <w:lang w:val="en_US" w:bidi="en_US"/>
        </w:rPr>
        <w:t>an unclean spirit comes out of a man</w:t>
      </w:r>
      <w:r>
        <w:rPr>
          <w:lang w:val="en_US" w:bidi="en_US"/>
        </w:rPr>
        <w:t xml:space="preserve"> implies that someone forces it to leave the person that it has possessed.</w:t>
      </w:r>
      <w:r>
        <w:rPr>
          <w:lang w:val="en_US" w:bidi="en_US"/>
        </w:rPr>
        <w:t>Some scholars (see Blight 2007a, p. 499 for details) make the point that the demon may have decided to leave of its own free will to look for a better place to stay, so it may be preferable not to specify that the demon was driven out.</w:t>
      </w:r>
      <w:r>
        <w:rPr>
          <w:lang w:val="en_US" w:bidi="en_US"/>
        </w:rPr>
        <w:t xml:space="preserve"> In some languages it may be clearer to make some of this information explicit. For example:</w:t>
      </w:r>
    </w:p>
    <w:p>
      <w:pPr/>
      <w:r>
        <w:rPr>
          <w:lang w:val="en_US" w:bidi="en_US"/>
        </w:rPr>
      </w:r>
      <w:r>
        <w:rPr>
          <w:lang w:val="en_US" w:bidi="en_US"/>
        </w:rPr>
        <w:t xml:space="preserve">When an unclean spirit leaves a person </w:t>
      </w:r>
      <w:r>
        <w:rPr>
          <w:lang w:val="en_US" w:bidi="en_US"/>
        </w:rPr>
        <w:t>it has been possessing</w:t>
      </w:r>
    </w:p>
    <w:p>
      <w:pPr/>
      <w:r>
        <w:rPr>
          <w:lang w:val="en_US" w:bidi="en_US"/>
        </w:rPr>
      </w:r>
      <w:r>
        <w:rPr>
          <w:lang w:val="en_US" w:bidi="en_US"/>
        </w:rPr>
        <w:t xml:space="preserve">When an unclean spirit </w:t>
      </w:r>
      <w:r>
        <w:rPr>
          <w:lang w:val="en_US" w:bidi="en_US"/>
        </w:rPr>
        <w:t>is caused to</w:t>
      </w:r>
      <w:r>
        <w:rPr>
          <w:lang w:val="en_US" w:bidi="en_US"/>
        </w:rPr>
        <w:t xml:space="preserve"> leave a person</w:t>
      </w:r>
    </w:p>
    <w:p>
      <w:pPr/>
      <w:r>
        <w:rPr>
          <w:lang w:val="en_US" w:bidi="en_US"/>
        </w:rPr>
      </w:r>
      <w:r>
        <w:rPr>
          <w:b/>
          <w:lang w:val="en_US" w:bidi="en_US"/>
        </w:rPr>
        <w:t>unclean spirit:</w:t>
      </w:r>
      <w:r>
        <w:rPr>
          <w:lang w:val="en_US" w:bidi="en_US"/>
        </w:rPr>
        <w:t xml:space="preserve"> The Greek phrase that the BSB translates literally as </w:t>
      </w:r>
      <w:r>
        <w:rPr>
          <w:i/>
          <w:lang w:val="en_US" w:bidi="en_US"/>
        </w:rPr>
        <w:t>unclean spirit</w:t>
      </w:r>
      <w:r>
        <w:rPr>
          <w:lang w:val="en_US" w:bidi="en_US"/>
        </w:rPr>
        <w:t xml:space="preserve"> is another term for “demon,” so you may use the same expression in your language for both Greek terms.</w:t>
      </w:r>
    </w:p>
    <w:p>
      <w:pPr/>
      <w:r>
        <w:rPr>
          <w:lang w:val="en_US" w:bidi="en_US"/>
        </w:rPr>
      </w:r>
      <w:r>
        <w:rPr>
          <w:lang w:val="en_US" w:bidi="en_US"/>
        </w:rPr>
        <w:t>This term also occurs in 9:42c. See also demon in the Glossary.</w:t>
      </w:r>
    </w:p>
    <w:p>
      <w:pPr/>
      <w:r>
        <w:rPr>
          <w:lang w:val="en_US" w:bidi="en_US"/>
        </w:rPr>
      </w:r>
      <w:r>
        <w:rPr>
          <w:b/>
          <w:lang w:val="en_US" w:bidi="en_US"/>
        </w:rPr>
        <w:t>a man:</w:t>
      </w:r>
      <w:r>
        <w:rPr>
          <w:lang w:val="en_US" w:bidi="en_US"/>
        </w:rPr>
        <w:t xml:space="preserve"> The Greek word that the BSB translates as </w:t>
      </w:r>
      <w:r>
        <w:rPr>
          <w:i/>
          <w:lang w:val="en_US" w:bidi="en_US"/>
        </w:rPr>
        <w:t>a man</w:t>
      </w:r>
      <w:r>
        <w:rPr>
          <w:lang w:val="en_US" w:bidi="en_US"/>
        </w:rPr>
        <w:t xml:space="preserve"> means “a person.” This could refer to a man or a woman, a boy or a girl.</w:t>
      </w:r>
    </w:p>
    <w:p>
      <w:pPr>
        <w:pStyle w:val="Heading5"/>
      </w:pPr>
      <w:r>
        <w:rPr>
          <w:lang w:val="en_US" w:bidi="en_US"/>
        </w:rPr>
        <w:t>11:24b</w:t>
      </w:r>
    </w:p>
    <w:p>
      <w:pPr/>
      <w:r>
        <w:rPr>
          <w:lang w:val="en_US" w:bidi="en_US"/>
        </w:rPr>
      </w:r>
      <w:r>
        <w:rPr>
          <w:b/>
          <w:lang w:val="en_US" w:bidi="en_US"/>
        </w:rPr>
        <w:t>it passes through arid places</w:t>
      </w:r>
    </w:p>
    <w:p>
      <w:pPr>
        <w:pStyle w:val="ListBullet"/>
        <w:spacing w:line="240" w:lineRule="auto"/>
        <w:ind w:left="720"/>
      </w:pPr>
      <w:r>
        <w:rPr>
          <w:lang w:val="en_US" w:bidi="en_US"/>
        </w:rPr>
      </w:r>
      <w:r>
        <w:rPr>
          <w:lang w:val="en_US" w:bidi="en_US"/>
        </w:rPr>
        <w:t>it goes around in places without water,</w:t>
      </w:r>
    </w:p>
    <w:p>
      <w:pPr>
        <w:pStyle w:val="ListBullet"/>
        <w:spacing w:line="240" w:lineRule="auto"/>
        <w:ind w:left="720"/>
      </w:pPr>
      <w:r>
        <w:rPr>
          <w:lang w:val="en_US" w:bidi="en_US"/>
        </w:rPr>
      </w:r>
      <w:r>
        <w:rPr>
          <w:lang w:val="en_US" w:bidi="en_US"/>
        </w:rPr>
        <w:t>that demon/spirit wanders about in the dry/desert places.</w:t>
      </w:r>
    </w:p>
    <w:p>
      <w:pPr/>
      <w:r>
        <w:rPr>
          <w:lang w:val="en_US" w:bidi="en_US"/>
        </w:rPr>
      </w:r>
      <w:r>
        <w:rPr>
          <w:b/>
          <w:lang w:val="en_US" w:bidi="en_US"/>
        </w:rPr>
        <w:t>it passes through arid places:</w:t>
      </w:r>
      <w:r>
        <w:rPr>
          <w:lang w:val="en_US" w:bidi="en_US"/>
        </w:rPr>
        <w:t xml:space="preserve"> The Greek clause that the BSB translates as </w:t>
      </w:r>
      <w:r>
        <w:rPr>
          <w:i/>
          <w:lang w:val="en_US" w:bidi="en_US"/>
        </w:rPr>
        <w:t>it passes through arid places</w:t>
      </w:r>
      <w:r>
        <w:rPr>
          <w:lang w:val="en_US" w:bidi="en_US"/>
        </w:rPr>
        <w:t xml:space="preserve"> means “the unclean spirit wanders/roams around in dry/desert places.” The demon passed through these places but did not stay anywhere.</w:t>
      </w:r>
    </w:p>
    <w:p>
      <w:pPr/>
      <w:r>
        <w:rPr>
          <w:lang w:val="en_US" w:bidi="en_US"/>
        </w:rPr>
      </w:r>
      <w:r>
        <w:rPr>
          <w:b/>
          <w:lang w:val="en_US" w:bidi="en_US"/>
        </w:rPr>
        <w:t>arid places:</w:t>
      </w:r>
      <w:r>
        <w:rPr>
          <w:lang w:val="en_US" w:bidi="en_US"/>
        </w:rPr>
        <w:t xml:space="preserve"> The Greek expression that the BSB translates as </w:t>
      </w:r>
      <w:r>
        <w:rPr>
          <w:i/>
          <w:lang w:val="en_US" w:bidi="en_US"/>
        </w:rPr>
        <w:t>arid places</w:t>
      </w:r>
      <w:r>
        <w:rPr>
          <w:lang w:val="en_US" w:bidi="en_US"/>
        </w:rPr>
        <w:t xml:space="preserve"> means “places without water.” Arid places were dry places such as deserts or wilderness areas where people did not live.</w:t>
      </w:r>
    </w:p>
    <w:p>
      <w:pPr>
        <w:pStyle w:val="Heading5"/>
      </w:pPr>
      <w:r>
        <w:rPr>
          <w:lang w:val="en_US" w:bidi="en_US"/>
        </w:rPr>
        <w:t>11:24c</w:t>
      </w:r>
    </w:p>
    <w:p>
      <w:pPr/>
      <w:r>
        <w:rPr>
          <w:lang w:val="en_US" w:bidi="en_US"/>
        </w:rPr>
      </w:r>
      <w:r>
        <w:rPr>
          <w:b/>
          <w:lang w:val="en_US" w:bidi="en_US"/>
        </w:rPr>
        <w:t>seeking rest and does not find it.</w:t>
      </w:r>
    </w:p>
    <w:p>
      <w:pPr>
        <w:pStyle w:val="ListBullet"/>
        <w:spacing w:line="240" w:lineRule="auto"/>
        <w:ind w:left="720"/>
      </w:pPr>
      <w:r>
        <w:rPr>
          <w:lang w:val="en_US" w:bidi="en_US"/>
        </w:rPr>
      </w:r>
      <w:r>
        <w:rPr>
          <w:lang w:val="en_US" w:bidi="en_US"/>
        </w:rPr>
        <w:t>looking for a place to rest/stay, but it finds none.</w:t>
      </w:r>
    </w:p>
    <w:p>
      <w:pPr>
        <w:pStyle w:val="ListBullet"/>
        <w:spacing w:line="240" w:lineRule="auto"/>
        <w:ind w:left="720"/>
      </w:pPr>
      <w:r>
        <w:rPr>
          <w:lang w:val="en_US" w:bidi="en_US"/>
        </w:rPr>
      </w:r>
      <w:r>
        <w:rPr>
          <w:lang w:val="en_US" w:bidi="en_US"/>
        </w:rPr>
        <w:t>It searches for a place to rest, but it cannot find what it is searching for.</w:t>
      </w:r>
    </w:p>
    <w:p>
      <w:pPr/>
      <w:r>
        <w:rPr>
          <w:lang w:val="en_US" w:bidi="en_US"/>
        </w:rPr>
      </w:r>
      <w:r>
        <w:rPr>
          <w:b/>
          <w:lang w:val="en_US" w:bidi="en_US"/>
        </w:rPr>
        <w:t>seeking rest and does not find it:</w:t>
      </w:r>
      <w:r>
        <w:rPr>
          <w:lang w:val="en_US" w:bidi="en_US"/>
        </w:rPr>
        <w:t xml:space="preserve"> The unclean spirit was looking for a place to rest from its wandering, that is, a place to stay. But it did not find a suitable place. Apparently it wanted to stay in a person whom it could control, as implied in 11:24d.</w:t>
      </w:r>
    </w:p>
    <w:p>
      <w:pPr/>
      <w:r>
        <w:rPr>
          <w:lang w:val="en_US" w:bidi="en_US"/>
        </w:rPr>
      </w:r>
      <w:r>
        <w:rPr>
          <w:b/>
          <w:lang w:val="en_US" w:bidi="en_US"/>
        </w:rPr>
        <w:t>rest:</w:t>
      </w:r>
      <w:r>
        <w:rPr>
          <w:lang w:val="en_US" w:bidi="en_US"/>
        </w:rPr>
        <w:t xml:space="preserve"> The Greek word that the BSB translates as </w:t>
      </w:r>
      <w:r>
        <w:rPr>
          <w:i/>
          <w:lang w:val="en_US" w:bidi="en_US"/>
        </w:rPr>
        <w:t>rest</w:t>
      </w:r>
      <w:r>
        <w:rPr>
          <w:lang w:val="en_US" w:bidi="en_US"/>
        </w:rPr>
        <w:t xml:space="preserve"> here means “a place to rest.” It refers to a place to live or a home where the unclean spirit could stop wandering around and start to reside.</w:t>
      </w:r>
    </w:p>
    <w:p>
      <w:pPr>
        <w:pStyle w:val="Heading5"/>
      </w:pPr>
      <w:r>
        <w:rPr>
          <w:lang w:val="en_US" w:bidi="en_US"/>
        </w:rPr>
        <w:t>11:24d</w:t>
      </w:r>
    </w:p>
    <w:p>
      <w:pPr/>
      <w:r>
        <w:rPr>
          <w:lang w:val="en_US" w:bidi="en_US"/>
        </w:rPr>
      </w:r>
      <w:r>
        <w:rPr>
          <w:b/>
          <w:lang w:val="en_US" w:bidi="en_US"/>
        </w:rPr>
        <w:t>Then it says, ‘I will return to the house I left.’</w:t>
      </w:r>
    </w:p>
    <w:p>
      <w:pPr>
        <w:pStyle w:val="ListBullet"/>
        <w:spacing w:line="240" w:lineRule="auto"/>
        <w:ind w:left="720"/>
      </w:pPr>
      <w:r>
        <w:rPr>
          <w:lang w:val="en_US" w:bidi="en_US"/>
        </w:rPr>
      </w:r>
      <w:r>
        <w:rPr>
          <w:lang w:val="en_US" w:bidi="en_US"/>
        </w:rPr>
        <w:t>Then it says, ‘I will go back to the home I came from.’</w:t>
      </w:r>
    </w:p>
    <w:p>
      <w:pPr>
        <w:pStyle w:val="ListBullet"/>
        <w:spacing w:line="240" w:lineRule="auto"/>
        <w:ind w:left="720"/>
      </w:pPr>
      <w:r>
        <w:rPr>
          <w:lang w:val="en_US" w:bidi="en_US"/>
        </w:rPr>
      </w:r>
      <w:r>
        <w:rPr>
          <w:lang w:val="en_US" w:bidi="en_US"/>
        </w:rPr>
        <w:t xml:space="preserve">Then the evil spirit says, ‘I will return to the house that I exited </w:t>
      </w:r>
      <w:r>
        <w:rPr>
          <w:lang w:val="en_US" w:bidi="en_US"/>
        </w:rPr>
        <w:t>and stay there</w:t>
      </w:r>
      <w:r>
        <w:rPr>
          <w:lang w:val="en_US" w:bidi="en_US"/>
        </w:rPr>
        <w:t>.’</w:t>
      </w:r>
    </w:p>
    <w:p>
      <w:pPr>
        <w:pStyle w:val="ListBullet"/>
        <w:spacing w:line="240" w:lineRule="auto"/>
        <w:ind w:left="720"/>
      </w:pPr>
      <w:r>
        <w:rPr>
          <w:lang w:val="en_US" w:bidi="en_US"/>
        </w:rPr>
      </w:r>
      <w:r>
        <w:rPr>
          <w:lang w:val="en_US" w:bidi="en_US"/>
        </w:rPr>
        <w:t xml:space="preserve">Then the demon says to itself, ‘I will return to </w:t>
      </w:r>
      <w:r>
        <w:rPr>
          <w:lang w:val="en_US" w:bidi="en_US"/>
        </w:rPr>
        <w:t>the person</w:t>
      </w:r>
      <w:r>
        <w:rPr>
          <w:lang w:val="en_US" w:bidi="en_US"/>
        </w:rPr>
        <w:t xml:space="preserve"> in whom I used to live/dwell.’</w:t>
      </w:r>
    </w:p>
    <w:p>
      <w:pPr/>
      <w:r>
        <w:rPr>
          <w:lang w:val="en_US" w:bidi="en_US"/>
        </w:rPr>
      </w:r>
      <w:r>
        <w:rPr>
          <w:b/>
          <w:lang w:val="en_US" w:bidi="en_US"/>
        </w:rPr>
        <w:t>I will return to the house I left:</w:t>
      </w:r>
      <w:r>
        <w:rPr>
          <w:lang w:val="en_US" w:bidi="en_US"/>
        </w:rPr>
        <w:t xml:space="preserve"> The Greek word that the BSB translates literally as </w:t>
      </w:r>
      <w:r>
        <w:rPr>
          <w:i/>
          <w:lang w:val="en_US" w:bidi="en_US"/>
        </w:rPr>
        <w:t>house</w:t>
      </w:r>
      <w:r>
        <w:rPr>
          <w:lang w:val="en_US" w:bidi="en_US"/>
        </w:rPr>
        <w:t xml:space="preserve"> is used here as a figure of speech. It refers to the </w:t>
      </w:r>
      <w:r>
        <w:rPr>
          <w:u w:val="single"/>
          <w:lang w:val="en_US" w:bidi="en_US"/>
        </w:rPr>
        <w:t>person</w:t>
      </w:r>
      <w:r>
        <w:rPr>
          <w:lang w:val="en_US" w:bidi="en_US"/>
        </w:rPr>
        <w:t xml:space="preserve"> whom the demon had been possessing. The word </w:t>
      </w:r>
      <w:r>
        <w:rPr>
          <w:i/>
          <w:lang w:val="en_US" w:bidi="en_US"/>
        </w:rPr>
        <w:t>house</w:t>
      </w:r>
      <w:r>
        <w:rPr>
          <w:lang w:val="en_US" w:bidi="en_US"/>
        </w:rPr>
        <w:t xml:space="preserve"> implies that what the unclean spirit was looking for was a person in whom to live. In some languages it may be necessary to make it clear that this </w:t>
      </w:r>
      <w:r>
        <w:rPr>
          <w:i/>
          <w:lang w:val="en_US" w:bidi="en_US"/>
        </w:rPr>
        <w:t>house</w:t>
      </w:r>
      <w:r>
        <w:rPr>
          <w:lang w:val="en_US" w:bidi="en_US"/>
        </w:rPr>
        <w:t xml:space="preserve"> is a person. For example:</w:t>
      </w:r>
    </w:p>
    <w:p>
      <w:pPr/>
      <w:r>
        <w:rPr>
          <w:lang w:val="en_US" w:bidi="en_US"/>
        </w:rPr>
      </w:r>
      <w:r>
        <w:rPr>
          <w:lang w:val="en_US" w:bidi="en_US"/>
        </w:rPr>
        <w:t>the man who was my</w:t>
      </w:r>
      <w:r>
        <w:rPr>
          <w:lang w:val="en_US" w:bidi="en_US"/>
        </w:rPr>
        <w:t xml:space="preserve"> house/home</w:t>
      </w:r>
    </w:p>
    <w:p>
      <w:pPr/>
      <w:r>
        <w:rPr>
          <w:lang w:val="en_US" w:bidi="en_US"/>
        </w:rPr>
      </w:r>
      <w:r>
        <w:rPr>
          <w:lang w:val="en_US" w:bidi="en_US"/>
        </w:rPr>
        <w:t>the person</w:t>
      </w:r>
      <w:r>
        <w:rPr>
          <w:lang w:val="en_US" w:bidi="en_US"/>
        </w:rPr>
        <w:t xml:space="preserve"> in whom I lived/resided</w:t>
      </w:r>
    </w:p>
    <w:p>
      <w:pPr/>
      <w:r>
        <w:rPr>
          <w:lang w:val="en_US" w:bidi="en_US"/>
        </w:rPr>
      </w:r>
      <w:r>
        <w:rPr>
          <w:b/>
          <w:lang w:val="en_US" w:bidi="en_US"/>
        </w:rPr>
        <w:t>I left:</w:t>
      </w:r>
      <w:r>
        <w:rPr>
          <w:lang w:val="en_US" w:bidi="en_US"/>
        </w:rPr>
        <w:t xml:space="preserve"> The Greek phrase that the BSB translates as </w:t>
      </w:r>
      <w:r>
        <w:rPr>
          <w:i/>
          <w:lang w:val="en_US" w:bidi="en_US"/>
        </w:rPr>
        <w:t>I left</w:t>
      </w:r>
      <w:r>
        <w:rPr>
          <w:lang w:val="en_US" w:bidi="en_US"/>
        </w:rPr>
        <w:t xml:space="preserve"> is literally “from where I came out.” Another way to translate this phrase is:</w:t>
      </w:r>
    </w:p>
    <w:p>
      <w:pPr/>
      <w:r>
        <w:rPr>
          <w:lang w:val="en_US" w:bidi="en_US"/>
        </w:rPr>
      </w:r>
      <w:r>
        <w:rPr>
          <w:lang w:val="en_US" w:bidi="en_US"/>
        </w:rPr>
        <w:t>the house/person that I exited</w:t>
      </w:r>
      <w:r>
        <w:rPr>
          <w:lang w:val="en_US" w:bidi="en_US"/>
        </w:rPr>
      </w:r>
      <w:r>
        <w:rPr>
          <w:lang w:val="en_US" w:bidi="en_US"/>
        </w:rPr>
      </w:r>
    </w:p>
    <w:p>
      <w:pPr/>
      <w:r>
        <w:rPr>
          <w:lang w:val="en_US" w:bidi="en_US"/>
        </w:rPr>
      </w:r>
    </w:p>
    <w:p>
      <w:pPr>
        <w:pStyle w:val="Heading2"/>
      </w:pPr>
      <w:r>
        <w:rPr>
          <w:lang w:val="en_US" w:bidi="en_US"/>
        </w:rPr>
        <w:t>Luke 11:25</w:t>
      </w:r>
      <w:r>
        <w:rPr>
          <w:lang w:val="en_US" w:bidi="en_US"/>
        </w:rPr>
      </w:r>
    </w:p>
    <w:p>
      <w:pPr>
        <w:pStyle w:val="Heading4"/>
      </w:pPr>
      <w:r>
        <w:rPr>
          <w:lang w:val="en_US" w:bidi="en_US"/>
        </w:rPr>
        <w:t>Section 11:24–26: Jesus warned that an unclean spirit may possess someone again</w:t>
      </w:r>
    </w:p>
    <w:p>
      <w:pPr/>
      <w:r>
        <w:rPr>
          <w:lang w:val="en_US" w:bidi="en_US"/>
        </w:rPr>
      </w:r>
      <w:r>
        <w:rPr>
          <w:lang w:val="en_US" w:bidi="en_US"/>
        </w:rPr>
        <w:t>In the last section, Jesus explained that he cast out unclean spirits by the power of God. In this section, he gave a warning about people who had been delivered from an unclean spirit. He said that if they did not entrust their lives to someone else, they were in danger of being possessed by even more unclean spirits.</w:t>
      </w:r>
    </w:p>
    <w:p>
      <w:pPr/>
      <w:r>
        <w:rPr>
          <w:lang w:val="en_US" w:bidi="en_US"/>
        </w:rPr>
      </w:r>
      <w:r>
        <w:rPr>
          <w:lang w:val="en_US" w:bidi="en_US"/>
        </w:rPr>
        <w:t>Another possible heading for this section is:</w:t>
      </w:r>
    </w:p>
    <w:p>
      <w:pPr/>
      <w:r>
        <w:rPr>
          <w:lang w:val="en_US" w:bidi="en_US"/>
        </w:rPr>
      </w:r>
      <w:r>
        <w:rPr>
          <w:lang w:val="en_US" w:bidi="en_US"/>
        </w:rPr>
        <w:t>The return of the evil spirit (GNT)</w:t>
      </w:r>
    </w:p>
    <w:p>
      <w:pPr/>
      <w:r>
        <w:rPr>
          <w:lang w:val="en_US" w:bidi="en_US"/>
        </w:rPr>
      </w:r>
      <w:r>
        <w:rPr>
          <w:lang w:val="en_US" w:bidi="en_US"/>
        </w:rPr>
        <w:t>There is a parallel passage for this section in Matthew 12:43–45.</w:t>
      </w:r>
    </w:p>
    <w:p>
      <w:pPr>
        <w:pStyle w:val="Heading5"/>
      </w:pPr>
      <w:r>
        <w:rPr>
          <w:lang w:val="en_US" w:bidi="en_US"/>
        </w:rPr>
        <w:t>11:25a</w:t>
      </w:r>
    </w:p>
    <w:p>
      <w:pPr/>
      <w:r>
        <w:rPr>
          <w:lang w:val="en_US" w:bidi="en_US"/>
        </w:rPr>
      </w:r>
      <w:r>
        <w:rPr>
          <w:b/>
          <w:lang w:val="en_US" w:bidi="en_US"/>
        </w:rPr>
        <w:t>On its return,</w:t>
      </w:r>
    </w:p>
    <w:p>
      <w:pPr>
        <w:pStyle w:val="ListBullet"/>
        <w:spacing w:line="240" w:lineRule="auto"/>
        <w:ind w:left="720"/>
      </w:pPr>
      <w:r>
        <w:rPr>
          <w:lang w:val="en_US" w:bidi="en_US"/>
        </w:rPr>
      </w:r>
      <w:r>
        <w:rPr>
          <w:lang w:val="en_US" w:bidi="en_US"/>
        </w:rPr>
        <w:t xml:space="preserve">When </w:t>
      </w:r>
      <w:r>
        <w:rPr>
          <w:lang w:val="en_US" w:bidi="en_US"/>
        </w:rPr>
        <w:t>the evil spirit</w:t>
      </w:r>
      <w:r>
        <w:rPr>
          <w:lang w:val="en_US" w:bidi="en_US"/>
        </w:rPr>
        <w:t xml:space="preserve"> arrives </w:t>
      </w:r>
      <w:r>
        <w:rPr>
          <w:lang w:val="en_US" w:bidi="en_US"/>
        </w:rPr>
        <w:t>there</w:t>
      </w:r>
      <w:r>
        <w:rPr>
          <w:lang w:val="en_US" w:bidi="en_US"/>
        </w:rPr>
        <w:t>,</w:t>
      </w:r>
    </w:p>
    <w:p>
      <w:pPr>
        <w:pStyle w:val="ListBullet"/>
        <w:spacing w:line="240" w:lineRule="auto"/>
        <w:ind w:left="720"/>
      </w:pPr>
      <w:r>
        <w:rPr>
          <w:lang w:val="en_US" w:bidi="en_US"/>
        </w:rPr>
      </w:r>
      <w:r>
        <w:rPr>
          <w:lang w:val="en_US" w:bidi="en_US"/>
        </w:rPr>
        <w:t xml:space="preserve">When </w:t>
      </w:r>
      <w:r>
        <w:rPr>
          <w:lang w:val="en_US" w:bidi="en_US"/>
        </w:rPr>
        <w:t>the demon</w:t>
      </w:r>
      <w:r>
        <w:rPr>
          <w:lang w:val="en_US" w:bidi="en_US"/>
        </w:rPr>
        <w:t xml:space="preserve"> returns </w:t>
      </w:r>
      <w:r>
        <w:rPr>
          <w:lang w:val="en_US" w:bidi="en_US"/>
        </w:rPr>
        <w:t>to the person it had left</w:t>
      </w:r>
      <w:r>
        <w:rPr>
          <w:lang w:val="en_US" w:bidi="en_US"/>
        </w:rPr>
        <w:t>,</w:t>
      </w:r>
    </w:p>
    <w:p>
      <w:pPr/>
      <w:r>
        <w:rPr>
          <w:lang w:val="en_US" w:bidi="en_US"/>
        </w:rPr>
      </w:r>
      <w:r>
        <w:rPr>
          <w:b/>
          <w:lang w:val="en_US" w:bidi="en_US"/>
        </w:rPr>
        <w:t>On its return:</w:t>
      </w:r>
      <w:r>
        <w:rPr>
          <w:lang w:val="en_US" w:bidi="en_US"/>
        </w:rPr>
        <w:t xml:space="preserve"> The Greek phrase that the BSB translates as </w:t>
      </w:r>
      <w:r>
        <w:rPr>
          <w:i/>
          <w:lang w:val="en_US" w:bidi="en_US"/>
        </w:rPr>
        <w:t>On its return</w:t>
      </w:r>
      <w:r>
        <w:rPr>
          <w:lang w:val="en_US" w:bidi="en_US"/>
        </w:rPr>
        <w:t xml:space="preserve"> is literally “and having come.” In some languages, it may be necessary to say explicitly where the unclean spirit comes. For example:</w:t>
      </w:r>
    </w:p>
    <w:p>
      <w:pPr/>
      <w:r>
        <w:rPr>
          <w:lang w:val="en_US" w:bidi="en_US"/>
        </w:rPr>
      </w:r>
      <w:r>
        <w:rPr>
          <w:lang w:val="en_US" w:bidi="en_US"/>
        </w:rPr>
        <w:t xml:space="preserve">When the unclean spirit comes back </w:t>
      </w:r>
      <w:r>
        <w:rPr>
          <w:lang w:val="en_US" w:bidi="en_US"/>
        </w:rPr>
        <w:t>to the person it lived in before</w:t>
      </w:r>
    </w:p>
    <w:p>
      <w:pPr/>
      <w:r>
        <w:rPr>
          <w:lang w:val="en_US" w:bidi="en_US"/>
        </w:rPr>
      </w:r>
      <w:r>
        <w:rPr>
          <w:lang w:val="en_US" w:bidi="en_US"/>
        </w:rPr>
        <w:t xml:space="preserve">When the unclean spirit returns </w:t>
      </w:r>
      <w:r>
        <w:rPr>
          <w:lang w:val="en_US" w:bidi="en_US"/>
        </w:rPr>
        <w:t>to the person it had left</w:t>
      </w:r>
    </w:p>
    <w:p>
      <w:pPr>
        <w:pStyle w:val="Heading5"/>
      </w:pPr>
      <w:r>
        <w:rPr>
          <w:lang w:val="en_US" w:bidi="en_US"/>
        </w:rPr>
        <w:t>11:25b</w:t>
      </w:r>
    </w:p>
    <w:p>
      <w:pPr/>
      <w:r>
        <w:rPr>
          <w:lang w:val="en_US" w:bidi="en_US"/>
        </w:rPr>
      </w:r>
      <w:r>
        <w:rPr>
          <w:b/>
          <w:lang w:val="en_US" w:bidi="en_US"/>
        </w:rPr>
        <w:t>it finds the house swept clean and put in order.</w:t>
      </w:r>
    </w:p>
    <w:p>
      <w:pPr>
        <w:pStyle w:val="ListBullet"/>
        <w:spacing w:line="240" w:lineRule="auto"/>
        <w:ind w:left="720"/>
      </w:pPr>
      <w:r>
        <w:rPr>
          <w:lang w:val="en_US" w:bidi="en_US"/>
        </w:rPr>
      </w:r>
      <w:r>
        <w:rPr>
          <w:lang w:val="en_US" w:bidi="en_US"/>
        </w:rPr>
        <w:t>it finds out that the house is now clean and neat.</w:t>
      </w:r>
    </w:p>
    <w:p>
      <w:pPr>
        <w:pStyle w:val="ListBullet"/>
        <w:spacing w:line="240" w:lineRule="auto"/>
        <w:ind w:left="720"/>
      </w:pPr>
      <w:r>
        <w:rPr>
          <w:lang w:val="en_US" w:bidi="en_US"/>
        </w:rPr>
      </w:r>
      <w:r>
        <w:rPr>
          <w:lang w:val="en_US" w:bidi="en_US"/>
        </w:rPr>
        <w:t xml:space="preserve">it discovers </w:t>
      </w:r>
      <w:r>
        <w:rPr>
          <w:lang w:val="en_US" w:bidi="en_US"/>
        </w:rPr>
        <w:t>that the person is like</w:t>
      </w:r>
      <w:r>
        <w:rPr>
          <w:lang w:val="en_US" w:bidi="en_US"/>
        </w:rPr>
        <w:t xml:space="preserve"> a house </w:t>
      </w:r>
      <w:r>
        <w:rPr>
          <w:lang w:val="en_US" w:bidi="en_US"/>
        </w:rPr>
        <w:t>that someone has</w:t>
      </w:r>
      <w:r>
        <w:rPr>
          <w:lang w:val="en_US" w:bidi="en_US"/>
        </w:rPr>
        <w:t xml:space="preserve"> swept and arranged neatly/properly </w:t>
      </w:r>
      <w:r>
        <w:rPr>
          <w:lang w:val="en_US" w:bidi="en_US"/>
        </w:rPr>
        <w:t>so it is ready for someone to live in it</w:t>
      </w:r>
      <w:r>
        <w:rPr>
          <w:lang w:val="en_US" w:bidi="en_US"/>
        </w:rPr>
        <w:t>.</w:t>
      </w:r>
    </w:p>
    <w:p>
      <w:pPr/>
      <w:r>
        <w:rPr>
          <w:lang w:val="en_US" w:bidi="en_US"/>
        </w:rPr>
      </w:r>
      <w:r>
        <w:rPr>
          <w:b/>
          <w:lang w:val="en_US" w:bidi="en_US"/>
        </w:rPr>
        <w:t>it finds the house swept clean and put in order:</w:t>
      </w:r>
      <w:r>
        <w:rPr>
          <w:lang w:val="en_US" w:bidi="en_US"/>
        </w:rPr>
        <w:t xml:space="preserve"> Luke 11:25b figuratively compares the condition of the man to a clean and tidy house. In some languages, it will be necessary to change this metaphor to a simile. For example:</w:t>
      </w:r>
    </w:p>
    <w:p>
      <w:pPr/>
      <w:r>
        <w:rPr>
          <w:lang w:val="en_US" w:bidi="en_US"/>
        </w:rPr>
      </w:r>
      <w:r>
        <w:rPr>
          <w:lang w:val="en_US" w:bidi="en_US"/>
        </w:rPr>
        <w:t xml:space="preserve">it finds </w:t>
      </w:r>
      <w:r>
        <w:rPr>
          <w:lang w:val="en_US" w:bidi="en_US"/>
        </w:rPr>
        <w:t>that the person is like</w:t>
      </w:r>
      <w:r>
        <w:rPr>
          <w:lang w:val="en_US" w:bidi="en_US"/>
        </w:rPr>
        <w:t xml:space="preserve"> a house swept clean and put in order</w:t>
      </w:r>
    </w:p>
    <w:p>
      <w:pPr/>
      <w:r>
        <w:rPr>
          <w:lang w:val="en_US" w:bidi="en_US"/>
        </w:rPr>
      </w:r>
      <w:r>
        <w:rPr>
          <w:lang w:val="en_US" w:bidi="en_US"/>
        </w:rPr>
        <w:t>The relevant point of similarity in this context is that a clean house is ready for someone to live in. In the same way, a person who is spiritually empty is available for a spirit (good or bad) to live in him. (In Matthew 12:44, it says explicitly that the house is empty.) In some languages, it may be necessary to make this point of similarity explicit. For example:</w:t>
      </w:r>
    </w:p>
    <w:p>
      <w:pPr/>
      <w:r>
        <w:rPr>
          <w:lang w:val="en_US" w:bidi="en_US"/>
        </w:rPr>
      </w:r>
      <w:r>
        <w:rPr>
          <w:lang w:val="en_US" w:bidi="en_US"/>
        </w:rPr>
        <w:t>the man is like</w:t>
      </w:r>
      <w:r>
        <w:rPr>
          <w:lang w:val="en_US" w:bidi="en_US"/>
        </w:rPr>
        <w:t xml:space="preserve"> an </w:t>
      </w:r>
      <w:r>
        <w:rPr>
          <w:lang w:val="en_US" w:bidi="en_US"/>
        </w:rPr>
        <w:t>empty</w:t>
      </w:r>
      <w:r>
        <w:rPr>
          <w:lang w:val="en_US" w:bidi="en_US"/>
        </w:rPr>
        <w:t xml:space="preserve"> house that has been cleaned and arranged neatly</w:t>
      </w:r>
    </w:p>
    <w:p>
      <w:pPr/>
      <w:r>
        <w:rPr>
          <w:lang w:val="en_US" w:bidi="en_US"/>
        </w:rPr>
      </w:r>
      <w:r>
        <w:rPr>
          <w:lang w:val="en_US" w:bidi="en_US"/>
        </w:rPr>
        <w:t>the man is like</w:t>
      </w:r>
      <w:r>
        <w:rPr>
          <w:lang w:val="en_US" w:bidi="en_US"/>
        </w:rPr>
        <w:t xml:space="preserve"> a house that has been cleaned and arranged neatly </w:t>
      </w:r>
      <w:r>
        <w:rPr>
          <w:lang w:val="en_US" w:bidi="en_US"/>
        </w:rPr>
        <w:t>so it is ready for someone to live there</w:t>
      </w:r>
    </w:p>
    <w:p>
      <w:pPr/>
      <w:r>
        <w:rPr>
          <w:lang w:val="en_US" w:bidi="en_US"/>
        </w:rPr>
      </w:r>
      <w:r>
        <w:rPr>
          <w:b/>
          <w:lang w:val="en_US" w:bidi="en_US"/>
        </w:rPr>
        <w:t>it finds:</w:t>
      </w:r>
      <w:r>
        <w:rPr>
          <w:lang w:val="en_US" w:bidi="en_US"/>
        </w:rPr>
        <w:t xml:space="preserve"> In this context </w:t>
      </w:r>
      <w:r>
        <w:rPr>
          <w:i/>
          <w:lang w:val="en_US" w:bidi="en_US"/>
        </w:rPr>
        <w:t>it finds</w:t>
      </w:r>
      <w:r>
        <w:rPr>
          <w:lang w:val="en_US" w:bidi="en_US"/>
        </w:rPr>
        <w:t xml:space="preserve"> means “the unclean spirit learns or discovers.” This implies that the unclean spirit finds something it had not expected. Some other ways to translate this are:</w:t>
      </w:r>
    </w:p>
    <w:p>
      <w:pPr/>
      <w:r>
        <w:rPr>
          <w:lang w:val="en_US" w:bidi="en_US"/>
        </w:rPr>
      </w:r>
      <w:r>
        <w:rPr>
          <w:lang w:val="en_US" w:bidi="en_US"/>
        </w:rPr>
        <w:t>it discovers</w:t>
      </w:r>
    </w:p>
    <w:p>
      <w:pPr/>
      <w:r>
        <w:rPr>
          <w:lang w:val="en_US" w:bidi="en_US"/>
        </w:rPr>
      </w:r>
      <w:r>
        <w:rPr>
          <w:lang w:val="en_US" w:bidi="en_US"/>
        </w:rPr>
        <w:t>it learns</w:t>
      </w:r>
    </w:p>
    <w:p>
      <w:pPr/>
      <w:r>
        <w:rPr>
          <w:lang w:val="en_US" w:bidi="en_US"/>
        </w:rPr>
      </w:r>
      <w:r>
        <w:rPr>
          <w:b/>
          <w:lang w:val="en_US" w:bidi="en_US"/>
        </w:rPr>
        <w:t>swept clean:</w:t>
      </w:r>
      <w:r>
        <w:rPr>
          <w:lang w:val="en_US" w:bidi="en_US"/>
        </w:rPr>
        <w:t xml:space="preserve"> The Greek word that the BSB translates as </w:t>
      </w:r>
      <w:r>
        <w:rPr>
          <w:i/>
          <w:lang w:val="en_US" w:bidi="en_US"/>
        </w:rPr>
        <w:t>swept clean</w:t>
      </w:r>
      <w:r>
        <w:rPr>
          <w:lang w:val="en_US" w:bidi="en_US"/>
        </w:rPr>
        <w:t xml:space="preserve"> is literally “swept.” The BSB has supplied the word </w:t>
      </w:r>
      <w:r>
        <w:rPr>
          <w:i/>
          <w:lang w:val="en_US" w:bidi="en_US"/>
        </w:rPr>
        <w:t>clean</w:t>
      </w:r>
      <w:r>
        <w:rPr>
          <w:lang w:val="en_US" w:bidi="en_US"/>
        </w:rPr>
        <w:t xml:space="preserve">. In some languages it may not be necessary to include a word such as </w:t>
      </w:r>
      <w:r>
        <w:rPr>
          <w:i/>
          <w:lang w:val="en_US" w:bidi="en_US"/>
        </w:rPr>
        <w:t>clean</w:t>
      </w:r>
      <w:r>
        <w:rPr>
          <w:lang w:val="en_US" w:bidi="en_US"/>
        </w:rPr>
        <w:t>, since this idea may already be implied.</w:t>
      </w:r>
    </w:p>
    <w:p>
      <w:pPr/>
      <w:r>
        <w:rPr>
          <w:lang w:val="en_US" w:bidi="en_US"/>
        </w:rPr>
      </w:r>
      <w:r>
        <w:rPr>
          <w:lang w:val="en_US" w:bidi="en_US"/>
        </w:rPr>
        <w:t>To sweep a house means to clean the floor by brushing it with a broom. In some cultures people do not clean a floor by sweeping it. If that is true in your culture, you may want to use a more general expression. For example:</w:t>
      </w:r>
    </w:p>
    <w:p>
      <w:pPr/>
      <w:r>
        <w:rPr>
          <w:lang w:val="en_US" w:bidi="en_US"/>
        </w:rPr>
      </w:r>
      <w:r>
        <w:rPr>
          <w:lang w:val="en_US" w:bidi="en_US"/>
        </w:rPr>
        <w:t>clean (GNT)</w:t>
      </w:r>
    </w:p>
    <w:p>
      <w:pPr/>
      <w:r>
        <w:rPr>
          <w:lang w:val="en_US" w:bidi="en_US"/>
        </w:rPr>
      </w:r>
      <w:r>
        <w:rPr>
          <w:b/>
          <w:lang w:val="en_US" w:bidi="en_US"/>
        </w:rPr>
        <w:t>put in order:</w:t>
      </w:r>
      <w:r>
        <w:rPr>
          <w:lang w:val="en_US" w:bidi="en_US"/>
        </w:rPr>
        <w:t xml:space="preserve"> The Greek word that the BSB translates as </w:t>
      </w:r>
      <w:r>
        <w:rPr>
          <w:i/>
          <w:lang w:val="en_US" w:bidi="en_US"/>
        </w:rPr>
        <w:t>put in order</w:t>
      </w:r>
      <w:r>
        <w:rPr>
          <w:lang w:val="en_US" w:bidi="en_US"/>
        </w:rPr>
        <w:t xml:space="preserve"> means “made neat” or “tidied up.” The things in the house are in their right place, and the house looks nice and neat, ready for someone to live in.</w:t>
      </w:r>
      <w:r>
        <w:rPr>
          <w:lang w:val="en_US" w:bidi="en_US"/>
        </w:rPr>
      </w:r>
      <w:r>
        <w:rPr>
          <w:lang w:val="en_US" w:bidi="en_US"/>
        </w:rPr>
      </w:r>
    </w:p>
    <w:p>
      <w:pPr/>
      <w:r>
        <w:rPr>
          <w:lang w:val="en_US" w:bidi="en_US"/>
        </w:rPr>
      </w:r>
    </w:p>
    <w:p>
      <w:pPr>
        <w:pStyle w:val="Heading2"/>
      </w:pPr>
      <w:r>
        <w:rPr>
          <w:lang w:val="en_US" w:bidi="en_US"/>
        </w:rPr>
        <w:t>Luke 11:26</w:t>
      </w:r>
      <w:r>
        <w:rPr>
          <w:lang w:val="en_US" w:bidi="en_US"/>
        </w:rPr>
      </w:r>
    </w:p>
    <w:p>
      <w:pPr>
        <w:pStyle w:val="Heading4"/>
      </w:pPr>
      <w:r>
        <w:rPr>
          <w:lang w:val="en_US" w:bidi="en_US"/>
        </w:rPr>
        <w:t>Section 11:24–26: Jesus warned that an unclean spirit may possess someone again</w:t>
      </w:r>
    </w:p>
    <w:p>
      <w:pPr/>
      <w:r>
        <w:rPr>
          <w:lang w:val="en_US" w:bidi="en_US"/>
        </w:rPr>
      </w:r>
      <w:r>
        <w:rPr>
          <w:lang w:val="en_US" w:bidi="en_US"/>
        </w:rPr>
        <w:t>In the last section, Jesus explained that he cast out unclean spirits by the power of God. In this section, he gave a warning about people who had been delivered from an unclean spirit. He said that if they did not entrust their lives to someone else, they were in danger of being possessed by even more unclean spirits.</w:t>
      </w:r>
    </w:p>
    <w:p>
      <w:pPr/>
      <w:r>
        <w:rPr>
          <w:lang w:val="en_US" w:bidi="en_US"/>
        </w:rPr>
      </w:r>
      <w:r>
        <w:rPr>
          <w:lang w:val="en_US" w:bidi="en_US"/>
        </w:rPr>
        <w:t>Another possible heading for this section is:</w:t>
      </w:r>
    </w:p>
    <w:p>
      <w:pPr/>
      <w:r>
        <w:rPr>
          <w:lang w:val="en_US" w:bidi="en_US"/>
        </w:rPr>
      </w:r>
      <w:r>
        <w:rPr>
          <w:lang w:val="en_US" w:bidi="en_US"/>
        </w:rPr>
        <w:t>The return of the evil spirit (GNT)</w:t>
      </w:r>
    </w:p>
    <w:p>
      <w:pPr/>
      <w:r>
        <w:rPr>
          <w:lang w:val="en_US" w:bidi="en_US"/>
        </w:rPr>
      </w:r>
      <w:r>
        <w:rPr>
          <w:lang w:val="en_US" w:bidi="en_US"/>
        </w:rPr>
        <w:t>There is a parallel passage for this section in Matthew 12:43–45.</w:t>
      </w:r>
    </w:p>
    <w:p>
      <w:pPr>
        <w:pStyle w:val="Heading5"/>
      </w:pPr>
      <w:r>
        <w:rPr>
          <w:lang w:val="en_US" w:bidi="en_US"/>
        </w:rPr>
        <w:t>11:26a</w:t>
      </w:r>
    </w:p>
    <w:p>
      <w:pPr/>
      <w:r>
        <w:rPr>
          <w:lang w:val="en_US" w:bidi="en_US"/>
        </w:rPr>
      </w:r>
      <w:r>
        <w:rPr>
          <w:b/>
          <w:lang w:val="en_US" w:bidi="en_US"/>
        </w:rPr>
        <w:t>Then it goes and brings seven other spirits more wicked than itself,</w:t>
      </w:r>
    </w:p>
    <w:p>
      <w:pPr>
        <w:pStyle w:val="ListBullet"/>
        <w:spacing w:line="240" w:lineRule="auto"/>
        <w:ind w:left="720"/>
      </w:pPr>
      <w:r>
        <w:rPr>
          <w:lang w:val="en_US" w:bidi="en_US"/>
        </w:rPr>
      </w:r>
      <w:r>
        <w:rPr>
          <w:lang w:val="en_US" w:bidi="en_US"/>
        </w:rPr>
        <w:t>Then that evil spirit goes and finds/invites/calls seven other spirits that are more evil than it is,</w:t>
      </w:r>
    </w:p>
    <w:p>
      <w:pPr>
        <w:pStyle w:val="ListBullet"/>
        <w:spacing w:line="240" w:lineRule="auto"/>
        <w:ind w:left="720"/>
      </w:pPr>
      <w:r>
        <w:rPr>
          <w:lang w:val="en_US" w:bidi="en_US"/>
        </w:rPr>
      </w:r>
      <w:r>
        <w:rPr>
          <w:lang w:val="en_US" w:bidi="en_US"/>
        </w:rPr>
        <w:t xml:space="preserve">Then that demon goes away and brings back seven other demons that are </w:t>
      </w:r>
      <w:r>
        <w:rPr>
          <w:lang w:val="en_US" w:bidi="en_US"/>
        </w:rPr>
        <w:t>even</w:t>
      </w:r>
      <w:r>
        <w:rPr>
          <w:lang w:val="en_US" w:bidi="en_US"/>
        </w:rPr>
        <w:t xml:space="preserve"> more wicked than it is.</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indicates that the events in 11:26a follow the events in 11:25b. Use a natural way in your language to connect this sequence of events.</w:t>
      </w:r>
    </w:p>
    <w:p>
      <w:pPr/>
      <w:r>
        <w:rPr>
          <w:lang w:val="en_US" w:bidi="en_US"/>
        </w:rPr>
      </w:r>
      <w:r>
        <w:rPr>
          <w:b/>
          <w:lang w:val="en_US" w:bidi="en_US"/>
        </w:rPr>
        <w:t>it goes and brings:</w:t>
      </w:r>
      <w:r>
        <w:rPr>
          <w:lang w:val="en_US" w:bidi="en_US"/>
        </w:rPr>
        <w:t xml:space="preserve"> The phrase </w:t>
      </w:r>
      <w:r>
        <w:rPr>
          <w:i/>
          <w:lang w:val="en_US" w:bidi="en_US"/>
        </w:rPr>
        <w:t>it goes and brings</w:t>
      </w:r>
      <w:r>
        <w:rPr>
          <w:lang w:val="en_US" w:bidi="en_US"/>
        </w:rPr>
        <w:t xml:space="preserve"> indicates here that the unclean spirit goes away and then brings back seven other unclean spirits. Some other ways to translate this phrase are:</w:t>
      </w:r>
    </w:p>
    <w:p>
      <w:pPr/>
      <w:r>
        <w:rPr>
          <w:lang w:val="en_US" w:bidi="en_US"/>
        </w:rPr>
      </w:r>
      <w:r>
        <w:rPr>
          <w:lang w:val="en_US" w:bidi="en_US"/>
        </w:rPr>
        <w:t>the spirit finds (NLT)</w:t>
      </w:r>
    </w:p>
    <w:p>
      <w:pPr/>
      <w:r>
        <w:rPr>
          <w:lang w:val="en_US" w:bidi="en_US"/>
        </w:rPr>
      </w:r>
      <w:r>
        <w:rPr>
          <w:lang w:val="en_US" w:bidi="en_US"/>
        </w:rPr>
        <w:t>the spirit goes and brings along (GW)</w:t>
      </w:r>
    </w:p>
    <w:p>
      <w:pPr/>
      <w:r>
        <w:rPr>
          <w:lang w:val="en_US" w:bidi="en_US"/>
        </w:rPr>
      </w:r>
      <w:r>
        <w:rPr>
          <w:lang w:val="en_US" w:bidi="en_US"/>
        </w:rPr>
        <w:t>it goes away and invites</w:t>
      </w:r>
    </w:p>
    <w:p>
      <w:pPr/>
      <w:r>
        <w:rPr>
          <w:lang w:val="en_US" w:bidi="en_US"/>
        </w:rPr>
      </w:r>
      <w:r>
        <w:rPr>
          <w:b/>
          <w:lang w:val="en_US" w:bidi="en_US"/>
        </w:rPr>
        <w:t>seven other spirits more wicked than itself:</w:t>
      </w:r>
      <w:r>
        <w:rPr>
          <w:lang w:val="en_US" w:bidi="en_US"/>
        </w:rPr>
        <w:t xml:space="preserve"> This phrase indicates that there were seven other demons or unclean spirits that were more evil/wicked than the first unclean spirit.</w:t>
      </w:r>
    </w:p>
    <w:p>
      <w:pPr>
        <w:pStyle w:val="Heading5"/>
      </w:pPr>
      <w:r>
        <w:rPr>
          <w:lang w:val="en_US" w:bidi="en_US"/>
        </w:rPr>
        <w:t>11:26b</w:t>
      </w:r>
    </w:p>
    <w:p>
      <w:pPr/>
      <w:r>
        <w:rPr>
          <w:lang w:val="en_US" w:bidi="en_US"/>
        </w:rPr>
      </w:r>
      <w:r>
        <w:rPr>
          <w:b/>
          <w:lang w:val="en_US" w:bidi="en_US"/>
        </w:rPr>
        <w:t>and they go in and dwell there.</w:t>
      </w:r>
    </w:p>
    <w:p>
      <w:pPr>
        <w:pStyle w:val="ListBullet"/>
        <w:spacing w:line="240" w:lineRule="auto"/>
        <w:ind w:left="720"/>
      </w:pPr>
      <w:r>
        <w:rPr>
          <w:lang w:val="en_US" w:bidi="en_US"/>
        </w:rPr>
      </w:r>
      <w:r>
        <w:rPr>
          <w:lang w:val="en_US" w:bidi="en_US"/>
        </w:rPr>
        <w:t xml:space="preserve">and they </w:t>
      </w:r>
      <w:r>
        <w:rPr>
          <w:lang w:val="en_US" w:bidi="en_US"/>
        </w:rPr>
        <w:t>all</w:t>
      </w:r>
      <w:r>
        <w:rPr>
          <w:lang w:val="en_US" w:bidi="en_US"/>
        </w:rPr>
        <w:t xml:space="preserve"> enter </w:t>
      </w:r>
      <w:r>
        <w:rPr>
          <w:lang w:val="en_US" w:bidi="en_US"/>
        </w:rPr>
        <w:t>that house</w:t>
      </w:r>
      <w:r>
        <w:rPr>
          <w:lang w:val="en_US" w:bidi="en_US"/>
        </w:rPr>
        <w:t xml:space="preserve"> and live there.</w:t>
      </w:r>
    </w:p>
    <w:p>
      <w:pPr>
        <w:pStyle w:val="ListBullet"/>
        <w:spacing w:line="240" w:lineRule="auto"/>
        <w:ind w:left="720"/>
      </w:pPr>
      <w:r>
        <w:rPr>
          <w:lang w:val="en_US" w:bidi="en_US"/>
        </w:rPr>
      </w:r>
      <w:r>
        <w:rPr>
          <w:lang w:val="en_US" w:bidi="en_US"/>
        </w:rPr>
        <w:t xml:space="preserve">And </w:t>
      </w:r>
      <w:r>
        <w:rPr>
          <w:lang w:val="en_US" w:bidi="en_US"/>
        </w:rPr>
        <w:t>all those demons</w:t>
      </w:r>
      <w:r>
        <w:rPr>
          <w:lang w:val="en_US" w:bidi="en_US"/>
        </w:rPr>
        <w:t xml:space="preserve"> go and possess </w:t>
      </w:r>
      <w:r>
        <w:rPr>
          <w:lang w:val="en_US" w:bidi="en_US"/>
        </w:rPr>
        <w:t>that man</w:t>
      </w:r>
      <w:r>
        <w:rPr>
          <w:lang w:val="en_US" w:bidi="en_US"/>
        </w:rPr>
        <w:t xml:space="preserve"> and stay there.</w:t>
      </w:r>
    </w:p>
    <w:p>
      <w:pPr/>
      <w:r>
        <w:rPr>
          <w:lang w:val="en_US" w:bidi="en_US"/>
        </w:rPr>
      </w:r>
      <w:r>
        <w:rPr>
          <w:b/>
          <w:lang w:val="en_US" w:bidi="en_US"/>
        </w:rPr>
        <w:t>they go in and dwell there:</w:t>
      </w:r>
      <w:r>
        <w:rPr>
          <w:lang w:val="en_US" w:bidi="en_US"/>
        </w:rPr>
        <w:t xml:space="preserve"> The pronoun </w:t>
      </w:r>
      <w:r>
        <w:rPr>
          <w:i/>
          <w:lang w:val="en_US" w:bidi="en_US"/>
        </w:rPr>
        <w:t>they</w:t>
      </w:r>
      <w:r>
        <w:rPr>
          <w:lang w:val="en_US" w:bidi="en_US"/>
        </w:rPr>
        <w:t xml:space="preserve"> refers to the unclean spirit plus the seven other unclean spirits. These eight unclean spirits are pictured as entering and living in the person, as people enter and live in a house. There are at least three ways to translate this metaphor:</w:t>
      </w:r>
    </w:p>
    <w:p>
      <w:pPr>
        <w:pStyle w:val="ListBullet"/>
        <w:spacing w:line="240" w:lineRule="auto"/>
        <w:ind w:left="720"/>
      </w:pPr>
      <w:r>
        <w:rPr>
          <w:lang w:val="en_US" w:bidi="en_US"/>
        </w:rPr>
      </w:r>
      <w:r>
        <w:rPr>
          <w:lang w:val="en_US" w:bidi="en_US"/>
        </w:rPr>
        <w:t>Keep the metaphor of the house. For example:</w:t>
      </w:r>
      <w:r>
        <w:rPr>
          <w:lang w:val="en_US" w:bidi="en_US"/>
        </w:rPr>
        <w:t xml:space="preserve">they enter </w:t>
      </w:r>
      <w:r>
        <w:rPr>
          <w:lang w:val="en_US" w:bidi="en_US"/>
        </w:rPr>
        <w:t>that house</w:t>
      </w:r>
      <w:r>
        <w:rPr>
          <w:lang w:val="en_US" w:bidi="en_US"/>
        </w:rPr>
        <w:t xml:space="preserve"> and live there</w:t>
      </w:r>
    </w:p>
    <w:p>
      <w:pPr>
        <w:pStyle w:val="ListBullet"/>
        <w:spacing w:line="240" w:lineRule="auto"/>
        <w:ind w:left="720"/>
      </w:pPr>
      <w:r>
        <w:rPr>
          <w:lang w:val="en_US" w:bidi="en_US"/>
        </w:rPr>
      </w:r>
      <w:r>
        <w:rPr>
          <w:lang w:val="en_US" w:bidi="en_US"/>
        </w:rPr>
        <w:t>Use terms that refer directly to unclean spirits possessing a person. For example:</w:t>
      </w:r>
      <w:r>
        <w:rPr>
          <w:lang w:val="en_US" w:bidi="en_US"/>
        </w:rPr>
        <w:t>they take possession of the person and keep him under their control</w:t>
      </w:r>
    </w:p>
    <w:p>
      <w:pPr>
        <w:pStyle w:val="ListBullet"/>
        <w:spacing w:line="240" w:lineRule="auto"/>
        <w:ind w:left="720"/>
      </w:pPr>
      <w:r>
        <w:rPr>
          <w:lang w:val="en_US" w:bidi="en_US"/>
        </w:rPr>
      </w:r>
      <w:r>
        <w:rPr>
          <w:lang w:val="en_US" w:bidi="en_US"/>
        </w:rPr>
        <w:t>Use general terms that could refer to either a house or a person. For example:</w:t>
      </w:r>
      <w:r>
        <w:rPr>
          <w:lang w:val="en_US" w:bidi="en_US"/>
        </w:rPr>
        <w:t>They enter and take up permanent residence there. (GW)</w:t>
      </w:r>
      <w:r>
        <w:rPr>
          <w:lang w:val="en_US" w:bidi="en_US"/>
        </w:rPr>
        <w:t>they come and live there (GNT)</w:t>
      </w:r>
    </w:p>
    <w:p>
      <w:pPr/>
      <w:r>
        <w:rPr>
          <w:lang w:val="en_US" w:bidi="en_US"/>
        </w:rPr>
      </w:r>
      <w:r>
        <w:rPr>
          <w:lang w:val="en_US" w:bidi="en_US"/>
        </w:rPr>
        <w:t>Use an option that is clear and natural in your language.</w:t>
      </w:r>
    </w:p>
    <w:p>
      <w:pPr>
        <w:pStyle w:val="Heading5"/>
      </w:pPr>
      <w:r>
        <w:rPr>
          <w:lang w:val="en_US" w:bidi="en_US"/>
        </w:rPr>
        <w:t>11:26c</w:t>
      </w:r>
    </w:p>
    <w:p>
      <w:pPr/>
      <w:r>
        <w:rPr>
          <w:lang w:val="en_US" w:bidi="en_US"/>
        </w:rPr>
      </w:r>
      <w:r>
        <w:rPr>
          <w:b/>
          <w:lang w:val="en_US" w:bidi="en_US"/>
        </w:rPr>
        <w:t>And the final plight of that man is worse than the first.”</w:t>
      </w:r>
    </w:p>
    <w:p>
      <w:pPr>
        <w:pStyle w:val="ListBullet"/>
        <w:spacing w:line="240" w:lineRule="auto"/>
        <w:ind w:left="720"/>
      </w:pPr>
      <w:r>
        <w:rPr>
          <w:lang w:val="en_US" w:bidi="en_US"/>
        </w:rPr>
      </w:r>
      <w:r>
        <w:rPr>
          <w:lang w:val="en_US" w:bidi="en_US"/>
        </w:rPr>
        <w:t>As a result, the condition/situation of that person is worse at the end than at the beginning.”</w:t>
      </w:r>
    </w:p>
    <w:p>
      <w:pPr>
        <w:pStyle w:val="ListBullet"/>
        <w:spacing w:line="240" w:lineRule="auto"/>
        <w:ind w:left="720"/>
      </w:pPr>
      <w:r>
        <w:rPr>
          <w:lang w:val="en_US" w:bidi="en_US"/>
        </w:rPr>
      </w:r>
      <w:r>
        <w:rPr>
          <w:lang w:val="en_US" w:bidi="en_US"/>
        </w:rPr>
        <w:t>So the person will have more troubles/problems than before.”</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what happens as a result of 11:26a–b. Another way to introduce this result is:</w:t>
      </w:r>
    </w:p>
    <w:p>
      <w:pPr/>
      <w:r>
        <w:rPr>
          <w:lang w:val="en_US" w:bidi="en_US"/>
        </w:rPr>
      </w:r>
      <w:r>
        <w:rPr>
          <w:lang w:val="en_US" w:bidi="en_US"/>
        </w:rPr>
        <w:t>And so (NLT)</w:t>
      </w:r>
    </w:p>
    <w:p>
      <w:pPr/>
      <w:r>
        <w:rPr>
          <w:lang w:val="en_US" w:bidi="en_US"/>
        </w:rPr>
      </w:r>
      <w:r>
        <w:rPr>
          <w:lang w:val="en_US" w:bidi="en_US"/>
        </w:rPr>
        <w:t>As a result</w:t>
      </w:r>
    </w:p>
    <w:p>
      <w:pPr/>
      <w:r>
        <w:rPr>
          <w:lang w:val="en_US" w:bidi="en_US"/>
        </w:rPr>
      </w:r>
      <w:r>
        <w:rPr>
          <w:b/>
          <w:lang w:val="en_US" w:bidi="en_US"/>
        </w:rPr>
        <w:t>the final plight of that man is worse:</w:t>
      </w:r>
      <w:r>
        <w:rPr>
          <w:lang w:val="en_US" w:bidi="en_US"/>
        </w:rPr>
        <w:t xml:space="preserve"> The phrase </w:t>
      </w:r>
      <w:r>
        <w:rPr>
          <w:i/>
          <w:lang w:val="en_US" w:bidi="en_US"/>
        </w:rPr>
        <w:t>the final plight of that man</w:t>
      </w:r>
      <w:r>
        <w:rPr>
          <w:lang w:val="en_US" w:bidi="en_US"/>
        </w:rPr>
        <w:t xml:space="preserve"> refers to the time in the man’s life when eight demons are living in him. At this later time, these unclean spirits will cause many bad things to happen to the man. Then, his situation will be much worse than before.</w:t>
      </w:r>
    </w:p>
    <w:p>
      <w:pPr/>
      <w:r>
        <w:rPr>
          <w:lang w:val="en_US" w:bidi="en_US"/>
        </w:rPr>
      </w:r>
      <w:r>
        <w:rPr>
          <w:lang w:val="en_US" w:bidi="en_US"/>
        </w:rPr>
        <w:t xml:space="preserve">The phrase </w:t>
      </w:r>
      <w:r>
        <w:rPr>
          <w:i/>
          <w:lang w:val="en_US" w:bidi="en_US"/>
        </w:rPr>
        <w:t>final plight</w:t>
      </w:r>
      <w:r>
        <w:rPr>
          <w:lang w:val="en_US" w:bidi="en_US"/>
        </w:rPr>
        <w:t xml:space="preserve"> does not refer to the man’s final destiny.</w:t>
      </w:r>
    </w:p>
    <w:p>
      <w:pPr/>
      <w:r>
        <w:rPr>
          <w:lang w:val="en_US" w:bidi="en_US"/>
        </w:rPr>
      </w:r>
      <w:r>
        <w:rPr>
          <w:b/>
          <w:lang w:val="en_US" w:bidi="en_US"/>
        </w:rPr>
        <w:t>than the first:</w:t>
      </w:r>
      <w:r>
        <w:rPr>
          <w:lang w:val="en_US" w:bidi="en_US"/>
        </w:rPr>
        <w:t xml:space="preserve"> The phrase </w:t>
      </w:r>
      <w:r>
        <w:rPr>
          <w:i/>
          <w:lang w:val="en_US" w:bidi="en_US"/>
        </w:rPr>
        <w:t>the first</w:t>
      </w:r>
      <w:r>
        <w:rPr>
          <w:lang w:val="en_US" w:bidi="en_US"/>
        </w:rPr>
        <w:t xml:space="preserve"> refers to the first condition of the man. This was the time in the man’s life when only one demon lived in him.</w:t>
      </w:r>
    </w:p>
    <w:p>
      <w:pPr>
        <w:pStyle w:val="Heading6"/>
      </w:pPr>
      <w:r>
        <w:rPr>
          <w:b/>
          <w:lang w:val="en_US" w:bidi="en_US"/>
        </w:rPr>
        <w:t>General Comment on 11:26a–c</w:t>
      </w:r>
    </w:p>
    <w:p>
      <w:pPr/>
      <w:r>
        <w:rPr>
          <w:lang w:val="en_US" w:bidi="en_US"/>
        </w:rPr>
      </w:r>
      <w:r>
        <w:rPr>
          <w:lang w:val="en_US" w:bidi="en_US"/>
        </w:rPr>
        <w:t>Some other ways to translate 11:26c are:</w:t>
      </w:r>
    </w:p>
    <w:p>
      <w:pPr/>
      <w:r>
        <w:rPr>
          <w:lang w:val="en_US" w:bidi="en_US"/>
        </w:rPr>
      </w:r>
      <w:r>
        <w:rPr>
          <w:lang w:val="en_US" w:bidi="en_US"/>
        </w:rPr>
        <w:t>In the end the condition of that person is worse than it was before. (GW)</w:t>
      </w:r>
    </w:p>
    <w:p>
      <w:pPr/>
      <w:r>
        <w:rPr>
          <w:lang w:val="en_US" w:bidi="en_US"/>
        </w:rPr>
      </w:r>
      <w:r>
        <w:rPr>
          <w:lang w:val="en_US" w:bidi="en_US"/>
        </w:rPr>
        <w:t>So the person has even more trouble than before. (NCV)</w:t>
      </w:r>
    </w:p>
    <w:p>
      <w:pPr/>
      <w:r>
        <w:rPr>
          <w:lang w:val="en_US" w:bidi="en_US"/>
        </w:rPr>
      </w:r>
      <w:r>
        <w:rPr>
          <w:lang w:val="en_US" w:bidi="en_US"/>
        </w:rPr>
        <w:t>In some languages, it may be more natural to use future tense verbs rather than present tense in this verse. For example:</w:t>
      </w:r>
    </w:p>
    <w:p>
      <w:pPr/>
      <w:r>
        <w:rPr>
          <w:lang w:val="en_US" w:bidi="en_US"/>
        </w:rPr>
      </w:r>
      <w:r>
        <w:rPr>
          <w:lang w:val="en_US" w:bidi="en_US"/>
        </w:rPr>
        <w:t xml:space="preserve">Then it </w:t>
      </w:r>
      <w:r>
        <w:rPr>
          <w:u w:val="single"/>
          <w:lang w:val="en_US" w:bidi="en_US"/>
        </w:rPr>
        <w:t>will go</w:t>
      </w:r>
      <w:r>
        <w:rPr>
          <w:lang w:val="en_US" w:bidi="en_US"/>
        </w:rPr>
        <w:t xml:space="preserve"> and take…and they </w:t>
      </w:r>
      <w:r>
        <w:rPr>
          <w:u w:val="single"/>
          <w:lang w:val="en_US" w:bidi="en_US"/>
        </w:rPr>
        <w:t>will go</w:t>
      </w:r>
      <w:r>
        <w:rPr>
          <w:lang w:val="en_US" w:bidi="en_US"/>
        </w:rPr>
        <w:t xml:space="preserve"> and live there. And the final condition of that man </w:t>
      </w:r>
      <w:r>
        <w:rPr>
          <w:u w:val="single"/>
          <w:lang w:val="en_US" w:bidi="en_US"/>
        </w:rPr>
        <w:t>will be</w:t>
      </w:r>
      <w:r>
        <w:rPr>
          <w:lang w:val="en_US" w:bidi="en_US"/>
        </w:rPr>
        <w:t xml:space="preserve"> worse than the first.</w:t>
      </w:r>
      <w:r>
        <w:rPr>
          <w:lang w:val="en_US" w:bidi="en_US"/>
        </w:rPr>
      </w:r>
      <w:r>
        <w:rPr>
          <w:lang w:val="en_US" w:bidi="en_US"/>
        </w:rPr>
      </w:r>
    </w:p>
    <w:p>
      <w:pPr/>
      <w:r>
        <w:rPr>
          <w:lang w:val="en_US" w:bidi="en_US"/>
        </w:rPr>
      </w:r>
    </w:p>
    <w:p>
      <w:pPr>
        <w:pStyle w:val="Heading2"/>
      </w:pPr>
      <w:r>
        <w:rPr>
          <w:lang w:val="en_US" w:bidi="en_US"/>
        </w:rPr>
        <w:t>Luke 11:27</w:t>
      </w:r>
      <w:r>
        <w:rPr>
          <w:lang w:val="en_US" w:bidi="en_US"/>
        </w:rPr>
      </w:r>
    </w:p>
    <w:p>
      <w:pPr>
        <w:pStyle w:val="Heading4"/>
      </w:pPr>
      <w:r>
        <w:rPr>
          <w:lang w:val="en_US" w:bidi="en_US"/>
        </w:rPr>
        <w:t>Section 11:27–28: Jesus taught about how to be truly happy</w:t>
      </w:r>
    </w:p>
    <w:p>
      <w:pPr/>
      <w:r>
        <w:rPr>
          <w:lang w:val="en_US" w:bidi="en_US"/>
        </w:rPr>
      </w:r>
      <w:r>
        <w:rPr>
          <w:lang w:val="en_US" w:bidi="en_US"/>
        </w:rPr>
        <w:t>A woman in the crowd was very impressed with the way Jesus had answered his critics in the previous section. So she pronounced a blessing on Jesus’ mother. By doing this, the woman was praising Jesus himself. Jesus replied that the people who were truly happy/blessed were those who listened to the word of God and obeyed it.</w:t>
      </w:r>
    </w:p>
    <w:p>
      <w:pPr/>
      <w:r>
        <w:rPr>
          <w:lang w:val="en_US" w:bidi="en_US"/>
        </w:rPr>
      </w:r>
      <w:r>
        <w:rPr>
          <w:lang w:val="en_US" w:bidi="en_US"/>
        </w:rPr>
        <w:t>Some other possible headings for this section are:</w:t>
      </w:r>
    </w:p>
    <w:p>
      <w:pPr/>
      <w:r>
        <w:rPr>
          <w:lang w:val="en_US" w:bidi="en_US"/>
        </w:rPr>
      </w:r>
      <w:r>
        <w:rPr>
          <w:lang w:val="en_US" w:bidi="en_US"/>
        </w:rPr>
        <w:t>People Who Are Truly Happy (NCV)</w:t>
      </w:r>
    </w:p>
    <w:p>
      <w:pPr/>
      <w:r>
        <w:rPr>
          <w:lang w:val="en_US" w:bidi="en_US"/>
        </w:rPr>
      </w:r>
      <w:r>
        <w:rPr>
          <w:lang w:val="en_US" w:bidi="en_US"/>
        </w:rPr>
        <w:t>True Happiness (GNT)</w:t>
      </w:r>
    </w:p>
    <w:p>
      <w:pPr/>
      <w:r>
        <w:rPr>
          <w:lang w:val="en_US" w:bidi="en_US"/>
        </w:rPr>
      </w:r>
      <w:r>
        <w:rPr>
          <w:lang w:val="en_US" w:bidi="en_US"/>
        </w:rPr>
        <w:t>This story occurs only in Luke.</w:t>
      </w:r>
    </w:p>
    <w:p>
      <w:pPr>
        <w:pStyle w:val="Heading5"/>
      </w:pPr>
      <w:r>
        <w:rPr>
          <w:lang w:val="en_US" w:bidi="en_US"/>
        </w:rPr>
        <w:t>11:27a</w:t>
      </w:r>
    </w:p>
    <w:p>
      <w:pPr/>
      <w:r>
        <w:rPr>
          <w:lang w:val="en_US" w:bidi="en_US"/>
        </w:rPr>
      </w:r>
      <w:r>
        <w:rPr>
          <w:b/>
          <w:lang w:val="en_US" w:bidi="en_US"/>
        </w:rPr>
        <w:t>As Jesus was saying these things, a woman in the crowd raised her voice and said,</w:t>
      </w:r>
    </w:p>
    <w:p>
      <w:pPr>
        <w:pStyle w:val="ListBullet"/>
        <w:spacing w:line="240" w:lineRule="auto"/>
        <w:ind w:left="720"/>
      </w:pPr>
      <w:r>
        <w:rPr>
          <w:lang w:val="en_US" w:bidi="en_US"/>
        </w:rPr>
      </w:r>
      <w:r>
        <w:rPr>
          <w:lang w:val="en_US" w:bidi="en_US"/>
        </w:rPr>
        <w:t xml:space="preserve">¶ While Jesus was teaching/saying this, there was a woman in the crowd </w:t>
      </w:r>
      <w:r>
        <w:rPr>
          <w:lang w:val="en_US" w:bidi="en_US"/>
        </w:rPr>
        <w:t>of people</w:t>
      </w:r>
      <w:r>
        <w:rPr>
          <w:lang w:val="en_US" w:bidi="en_US"/>
        </w:rPr>
        <w:t xml:space="preserve">. She called out </w:t>
      </w:r>
      <w:r>
        <w:rPr>
          <w:lang w:val="en_US" w:bidi="en_US"/>
        </w:rPr>
        <w:t>to him</w:t>
      </w:r>
      <w:r>
        <w:rPr>
          <w:lang w:val="en_US" w:bidi="en_US"/>
        </w:rPr>
        <w:t>,</w:t>
      </w:r>
    </w:p>
    <w:p>
      <w:pPr>
        <w:pStyle w:val="ListBullet"/>
        <w:spacing w:line="240" w:lineRule="auto"/>
        <w:ind w:left="720"/>
      </w:pPr>
      <w:r>
        <w:rPr>
          <w:lang w:val="en_US" w:bidi="en_US"/>
        </w:rPr>
      </w:r>
      <w:r>
        <w:rPr>
          <w:lang w:val="en_US" w:bidi="en_US"/>
        </w:rPr>
        <w:t xml:space="preserve">¶ After Jesus said these things, a woman who was among the many people spoke loudly </w:t>
      </w:r>
      <w:r>
        <w:rPr>
          <w:lang w:val="en_US" w:bidi="en_US"/>
        </w:rPr>
        <w:t>and said to him/Jesus</w:t>
      </w:r>
      <w:r>
        <w:rPr>
          <w:lang w:val="en_US" w:bidi="en_US"/>
        </w:rPr>
        <w:t>,</w:t>
      </w:r>
    </w:p>
    <w:p>
      <w:pPr/>
      <w:r>
        <w:rPr>
          <w:lang w:val="en_US" w:bidi="en_US"/>
        </w:rPr>
      </w:r>
      <w:r>
        <w:rPr>
          <w:b/>
          <w:lang w:val="en_US" w:bidi="en_US"/>
        </w:rPr>
        <w:t>As Jesus was saying these things:</w:t>
      </w:r>
      <w:r>
        <w:rPr>
          <w:lang w:val="en_US" w:bidi="en_US"/>
        </w:rPr>
        <w:t xml:space="preserve"> At some point during Jesus’ teaching, a woman called out. She probably waited until he paused and then called out. The Greek word that the BSB translates as </w:t>
      </w:r>
      <w:r>
        <w:rPr>
          <w:i/>
          <w:lang w:val="en_US" w:bidi="en_US"/>
        </w:rPr>
        <w:t>these things</w:t>
      </w:r>
      <w:r>
        <w:rPr>
          <w:lang w:val="en_US" w:bidi="en_US"/>
        </w:rPr>
        <w:t xml:space="preserve"> is literally “this.” Several English versions, such as the GNT and NRSV, translate it that way. It refers in general to what Jesus had been talking about in the previous verses. Some other ways to translate this clause are:</w:t>
      </w:r>
    </w:p>
    <w:p>
      <w:pPr/>
      <w:r>
        <w:rPr>
          <w:lang w:val="en_US" w:bidi="en_US"/>
        </w:rPr>
      </w:r>
      <w:r>
        <w:rPr>
          <w:lang w:val="en_US" w:bidi="en_US"/>
        </w:rPr>
        <w:t>When Jesus had said this (GNT)</w:t>
      </w:r>
    </w:p>
    <w:p>
      <w:pPr/>
      <w:r>
        <w:rPr>
          <w:lang w:val="en_US" w:bidi="en_US"/>
        </w:rPr>
      </w:r>
      <w:r>
        <w:rPr>
          <w:lang w:val="en_US" w:bidi="en_US"/>
        </w:rPr>
        <w:t>While Jesus was speaking (GW)</w:t>
      </w:r>
    </w:p>
    <w:p>
      <w:pPr/>
      <w:r>
        <w:rPr>
          <w:lang w:val="en_US" w:bidi="en_US"/>
        </w:rPr>
      </w:r>
      <w:r>
        <w:rPr>
          <w:b/>
          <w:lang w:val="en_US" w:bidi="en_US"/>
        </w:rPr>
        <w:t>a woman in the crowd:</w:t>
      </w:r>
      <w:r>
        <w:rPr>
          <w:lang w:val="en_US" w:bidi="en_US"/>
        </w:rPr>
        <w:t xml:space="preserve"> The phrase </w:t>
      </w:r>
      <w:r>
        <w:rPr>
          <w:i/>
          <w:lang w:val="en_US" w:bidi="en_US"/>
        </w:rPr>
        <w:t>a woman in the crowd</w:t>
      </w:r>
      <w:r>
        <w:rPr>
          <w:lang w:val="en_US" w:bidi="en_US"/>
        </w:rPr>
        <w:t xml:space="preserve"> introduces a new person into the story. Introduce this unnamed woman in a natural way in your language. For example:</w:t>
      </w:r>
    </w:p>
    <w:p>
      <w:pPr/>
      <w:r>
        <w:rPr>
          <w:lang w:val="en_US" w:bidi="en_US"/>
        </w:rPr>
      </w:r>
      <w:r>
        <w:rPr>
          <w:lang w:val="en_US" w:bidi="en_US"/>
        </w:rPr>
        <w:t>there was a woman in the crowd</w:t>
      </w:r>
    </w:p>
    <w:p>
      <w:pPr/>
      <w:r>
        <w:rPr>
          <w:lang w:val="en_US" w:bidi="en_US"/>
        </w:rPr>
      </w:r>
      <w:r>
        <w:rPr>
          <w:lang w:val="en_US" w:bidi="en_US"/>
        </w:rPr>
        <w:t>a certain woman in the crowd</w:t>
      </w:r>
    </w:p>
    <w:p>
      <w:pPr/>
      <w:r>
        <w:rPr>
          <w:lang w:val="en_US" w:bidi="en_US"/>
        </w:rPr>
      </w:r>
      <w:r>
        <w:rPr>
          <w:b/>
          <w:lang w:val="en_US" w:bidi="en_US"/>
        </w:rPr>
        <w:t>raised her voice and said:</w:t>
      </w:r>
      <w:r>
        <w:rPr>
          <w:lang w:val="en_US" w:bidi="en_US"/>
        </w:rPr>
        <w:t xml:space="preserve"> The Greek expression that the BSB translates literally as </w:t>
      </w:r>
      <w:r>
        <w:rPr>
          <w:i/>
          <w:lang w:val="en_US" w:bidi="en_US"/>
        </w:rPr>
        <w:t>raised her voice and said</w:t>
      </w:r>
      <w:r>
        <w:rPr>
          <w:lang w:val="en_US" w:bidi="en_US"/>
        </w:rPr>
        <w:t xml:space="preserve"> indicates that the woman called out to Jesus. Apparently the woman was not close to Jesus and so she had to speak loudly in order for him to hear her. Some other ways to translate this are:</w:t>
      </w:r>
    </w:p>
    <w:p>
      <w:pPr/>
      <w:r>
        <w:rPr>
          <w:lang w:val="en_US" w:bidi="en_US"/>
        </w:rPr>
      </w:r>
      <w:r>
        <w:rPr>
          <w:lang w:val="en_US" w:bidi="en_US"/>
        </w:rPr>
        <w:t>shouted (GW)</w:t>
      </w:r>
    </w:p>
    <w:p>
      <w:pPr/>
      <w:r>
        <w:rPr>
          <w:lang w:val="en_US" w:bidi="en_US"/>
        </w:rPr>
      </w:r>
      <w:r>
        <w:rPr>
          <w:lang w:val="en_US" w:bidi="en_US"/>
        </w:rPr>
        <w:t>said loudly</w:t>
      </w:r>
    </w:p>
    <w:p>
      <w:pPr/>
      <w:r>
        <w:rPr>
          <w:lang w:val="en_US" w:bidi="en_US"/>
        </w:rPr>
      </w:r>
      <w:r>
        <w:rPr>
          <w:lang w:val="en_US" w:bidi="en_US"/>
        </w:rPr>
        <w:t>Use an expression in your language that is appropriate for this situation.</w:t>
      </w:r>
    </w:p>
    <w:p>
      <w:pPr>
        <w:pStyle w:val="Heading5"/>
      </w:pPr>
      <w:r>
        <w:rPr>
          <w:lang w:val="en_US" w:bidi="en_US"/>
        </w:rPr>
        <w:t>11:27b</w:t>
      </w:r>
    </w:p>
    <w:p>
      <w:pPr/>
      <w:r>
        <w:rPr>
          <w:lang w:val="en_US" w:bidi="en_US"/>
        </w:rPr>
      </w:r>
      <w:r>
        <w:rPr>
          <w:b/>
          <w:lang w:val="en_US" w:bidi="en_US"/>
        </w:rPr>
        <w:t>“Blessed is the womb that bore You, and blessed are the breasts that nursed You!”</w:t>
      </w:r>
    </w:p>
    <w:p>
      <w:pPr>
        <w:pStyle w:val="ListBullet"/>
        <w:spacing w:line="240" w:lineRule="auto"/>
        <w:ind w:left="720"/>
      </w:pPr>
      <w:r>
        <w:rPr>
          <w:lang w:val="en_US" w:bidi="en_US"/>
        </w:rPr>
      </w:r>
      <w:r>
        <w:rPr>
          <w:lang w:val="en_US" w:bidi="en_US"/>
        </w:rPr>
        <w:t>“God has truly blessed the woman who bore you</w:t>
      </w:r>
      <w:r>
        <w:rPr>
          <w:vertAlign w:val="superscript"/>
          <w:lang w:val="en_US" w:bidi="en_US"/>
        </w:rPr>
        <w:t>(sing)</w:t>
      </w:r>
      <w:r>
        <w:rPr>
          <w:lang w:val="en_US" w:bidi="en_US"/>
        </w:rPr>
        <w:t xml:space="preserve"> and nursed you</w:t>
      </w:r>
      <w:r>
        <w:rPr>
          <w:vertAlign w:val="superscript"/>
          <w:lang w:val="en_US" w:bidi="en_US"/>
        </w:rPr>
        <w:t>(sing)</w:t>
      </w:r>
      <w:r>
        <w:rPr>
          <w:lang w:val="en_US" w:bidi="en_US"/>
        </w:rPr>
        <w:t xml:space="preserve"> </w:t>
      </w:r>
      <w:r>
        <w:rPr>
          <w:lang w:val="en_US" w:bidi="en_US"/>
        </w:rPr>
        <w:t>at her breasts</w:t>
      </w:r>
      <w:r>
        <w:rPr>
          <w:lang w:val="en_US" w:bidi="en_US"/>
        </w:rPr>
        <w:t>!”</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mother is really fortunate/privileged/favored!”</w:t>
      </w:r>
    </w:p>
    <w:p>
      <w:pPr/>
      <w:r>
        <w:rPr>
          <w:lang w:val="en_US" w:bidi="en_US"/>
        </w:rPr>
      </w:r>
      <w:r>
        <w:rPr>
          <w:b/>
          <w:lang w:val="en_US" w:bidi="en_US"/>
        </w:rPr>
        <w:t>Blessed is the womb that bore You, and blessed are the breasts that nursed You!:</w:t>
      </w:r>
      <w:r>
        <w:rPr>
          <w:lang w:val="en_US" w:bidi="en_US"/>
        </w:rPr>
        <w:t xml:space="preserve"> Some English versions translate more literally the Greek clause that the BSB translates as </w:t>
      </w:r>
      <w:r>
        <w:rPr>
          <w:i/>
          <w:lang w:val="en_US" w:bidi="en_US"/>
        </w:rPr>
        <w:t>Blessed is the womb that bore You, and blessed are the breasts that nursed You</w:t>
      </w:r>
      <w:r>
        <w:rPr>
          <w:lang w:val="en_US" w:bidi="en_US"/>
        </w:rPr>
        <w:t>. For example:</w:t>
      </w:r>
    </w:p>
    <w:p>
      <w:pPr/>
      <w:r>
        <w:rPr>
          <w:lang w:val="en_US" w:bidi="en_US"/>
        </w:rPr>
      </w:r>
      <w:r>
        <w:rPr>
          <w:lang w:val="en_US" w:bidi="en_US"/>
        </w:rPr>
        <w:t>Blessed is the womb that bore you, and the breasts that you sucked! (RSV)</w:t>
      </w:r>
    </w:p>
    <w:p>
      <w:pPr/>
      <w:r>
        <w:rPr>
          <w:lang w:val="en_US" w:bidi="en_US"/>
        </w:rPr>
      </w:r>
      <w:r>
        <w:rPr>
          <w:lang w:val="en_US" w:bidi="en_US"/>
        </w:rPr>
        <w:t>This is a figure of speech. The parts of the body (womb and breasts) that are mentioned here represent the whole person (Jesus’ mother). This is a poetic way of saying:</w:t>
      </w:r>
    </w:p>
    <w:p>
      <w:pPr/>
      <w:r>
        <w:rPr>
          <w:lang w:val="en_US" w:bidi="en_US"/>
        </w:rPr>
      </w:r>
      <w:r>
        <w:rPr>
          <w:lang w:val="en_US" w:bidi="en_US"/>
        </w:rPr>
        <w:t>Blessed is your mother!</w:t>
      </w:r>
    </w:p>
    <w:p>
      <w:pPr/>
      <w:r>
        <w:rPr>
          <w:lang w:val="en_US" w:bidi="en_US"/>
        </w:rPr>
      </w:r>
      <w:r>
        <w:rPr>
          <w:lang w:val="en_US" w:bidi="en_US"/>
        </w:rPr>
        <w:t>The woman who said this was making a statement. She was saying, “Your mother…is blessed.” She was not saying, “May God bless your mother.”</w:t>
      </w:r>
    </w:p>
    <w:p>
      <w:pPr/>
      <w:r>
        <w:rPr>
          <w:lang w:val="en_US" w:bidi="en_US"/>
        </w:rPr>
      </w:r>
      <w:r>
        <w:rPr>
          <w:b/>
          <w:lang w:val="en_US" w:bidi="en_US"/>
        </w:rPr>
        <w:t>Blessed:</w:t>
      </w:r>
      <w:r>
        <w:rPr>
          <w:lang w:val="en_US" w:bidi="en_US"/>
        </w:rPr>
        <w:t xml:space="preserve"> The Greek word that the BSB translates as </w:t>
      </w:r>
      <w:r>
        <w:rPr>
          <w:i/>
          <w:lang w:val="en_US" w:bidi="en_US"/>
        </w:rPr>
        <w:t>Blessed</w:t>
      </w:r>
      <w:r>
        <w:rPr>
          <w:lang w:val="en_US" w:bidi="en_US"/>
        </w:rPr>
        <w:t xml:space="preserve"> here refers to being in a good situation. Many English versions translate this as “happy.” In your translation, try to use an expression that refers to a fortunate situation rather than simply to a feeling of happiness. For example:</w:t>
      </w:r>
    </w:p>
    <w:p>
      <w:pPr/>
      <w:r>
        <w:rPr>
          <w:lang w:val="en_US" w:bidi="en_US"/>
        </w:rPr>
      </w:r>
      <w:r>
        <w:rPr>
          <w:lang w:val="en_US" w:bidi="en_US"/>
        </w:rPr>
        <w:t>The woman who bore you and nursed you is truly fortunate/privileged!</w:t>
      </w:r>
    </w:p>
    <w:p>
      <w:pPr/>
      <w:r>
        <w:rPr>
          <w:lang w:val="en_US" w:bidi="en_US"/>
        </w:rPr>
      </w:r>
      <w:r>
        <w:rPr>
          <w:lang w:val="en_US" w:bidi="en_US"/>
        </w:rPr>
        <w:t>God has really blessed the woman who gave birth to you and nursed you!</w:t>
      </w:r>
    </w:p>
    <w:p>
      <w:pPr/>
      <w:r>
        <w:rPr>
          <w:lang w:val="en_US" w:bidi="en_US"/>
        </w:rPr>
      </w:r>
      <w:r>
        <w:rPr>
          <w:lang w:val="en_US" w:bidi="en_US"/>
        </w:rPr>
        <w:t>This word also occurred in 10:23b. See how you translated it there. See bless, Meaning 3, in the Glossary.</w:t>
      </w:r>
      <w:r>
        <w:rPr>
          <w:lang w:val="en_US" w:bidi="en_US"/>
        </w:rPr>
      </w:r>
      <w:r>
        <w:rPr>
          <w:lang w:val="en_US" w:bidi="en_US"/>
        </w:rPr>
      </w:r>
    </w:p>
    <w:p>
      <w:pPr/>
      <w:r>
        <w:rPr>
          <w:lang w:val="en_US" w:bidi="en_US"/>
        </w:rPr>
      </w:r>
    </w:p>
    <w:p>
      <w:pPr>
        <w:pStyle w:val="Heading2"/>
      </w:pPr>
      <w:r>
        <w:rPr>
          <w:lang w:val="en_US" w:bidi="en_US"/>
        </w:rPr>
        <w:t>Luke 11:28</w:t>
      </w:r>
      <w:r>
        <w:rPr>
          <w:lang w:val="en_US" w:bidi="en_US"/>
        </w:rPr>
      </w:r>
    </w:p>
    <w:p>
      <w:pPr>
        <w:pStyle w:val="Heading4"/>
      </w:pPr>
      <w:r>
        <w:rPr>
          <w:lang w:val="en_US" w:bidi="en_US"/>
        </w:rPr>
        <w:t>Section 11:27–28: Jesus taught about how to be truly happy</w:t>
      </w:r>
    </w:p>
    <w:p>
      <w:pPr/>
      <w:r>
        <w:rPr>
          <w:lang w:val="en_US" w:bidi="en_US"/>
        </w:rPr>
      </w:r>
      <w:r>
        <w:rPr>
          <w:lang w:val="en_US" w:bidi="en_US"/>
        </w:rPr>
        <w:t>A woman in the crowd was very impressed with the way Jesus had answered his critics in the previous section. So she pronounced a blessing on Jesus’ mother. By doing this, the woman was praising Jesus himself. Jesus replied that the people who were truly happy/blessed were those who listened to the word of God and obeyed it.</w:t>
      </w:r>
    </w:p>
    <w:p>
      <w:pPr/>
      <w:r>
        <w:rPr>
          <w:lang w:val="en_US" w:bidi="en_US"/>
        </w:rPr>
      </w:r>
      <w:r>
        <w:rPr>
          <w:lang w:val="en_US" w:bidi="en_US"/>
        </w:rPr>
        <w:t>Some other possible headings for this section are:</w:t>
      </w:r>
    </w:p>
    <w:p>
      <w:pPr/>
      <w:r>
        <w:rPr>
          <w:lang w:val="en_US" w:bidi="en_US"/>
        </w:rPr>
      </w:r>
      <w:r>
        <w:rPr>
          <w:lang w:val="en_US" w:bidi="en_US"/>
        </w:rPr>
        <w:t>People Who Are Truly Happy (NCV)</w:t>
      </w:r>
    </w:p>
    <w:p>
      <w:pPr/>
      <w:r>
        <w:rPr>
          <w:lang w:val="en_US" w:bidi="en_US"/>
        </w:rPr>
      </w:r>
      <w:r>
        <w:rPr>
          <w:lang w:val="en_US" w:bidi="en_US"/>
        </w:rPr>
        <w:t>True Happiness (GNT)</w:t>
      </w:r>
    </w:p>
    <w:p>
      <w:pPr/>
      <w:r>
        <w:rPr>
          <w:lang w:val="en_US" w:bidi="en_US"/>
        </w:rPr>
      </w:r>
      <w:r>
        <w:rPr>
          <w:lang w:val="en_US" w:bidi="en_US"/>
        </w:rPr>
        <w:t>This story occurs only in Luke.</w:t>
      </w:r>
    </w:p>
    <w:p>
      <w:pPr>
        <w:pStyle w:val="Heading5"/>
      </w:pPr>
      <w:r>
        <w:rPr>
          <w:lang w:val="en_US" w:bidi="en_US"/>
        </w:rPr>
        <w:t>11:28</w:t>
      </w:r>
    </w:p>
    <w:p>
      <w:pPr/>
      <w:r>
        <w:rPr>
          <w:lang w:val="en_US" w:bidi="en_US"/>
        </w:rPr>
      </w:r>
      <w:r>
        <w:rPr>
          <w:b/>
          <w:lang w:val="en_US" w:bidi="en_US"/>
        </w:rPr>
        <w:t>But He replied, “Blessed rather are those who hear the word of God and obey it.”</w:t>
      </w:r>
    </w:p>
    <w:p>
      <w:pPr>
        <w:pStyle w:val="ListBullet"/>
        <w:spacing w:line="240" w:lineRule="auto"/>
        <w:ind w:left="720"/>
      </w:pPr>
      <w:r>
        <w:rPr>
          <w:lang w:val="en_US" w:bidi="en_US"/>
        </w:rPr>
      </w:r>
      <w:r>
        <w:rPr>
          <w:lang w:val="en_US" w:bidi="en_US"/>
        </w:rPr>
        <w:t>But</w:t>
      </w:r>
      <w:r>
        <w:rPr>
          <w:lang w:val="en_US" w:bidi="en_US"/>
        </w:rPr>
        <w:t xml:space="preserve"> Jesus replied, “</w:t>
      </w:r>
      <w:r>
        <w:rPr>
          <w:lang w:val="en_US" w:bidi="en_US"/>
        </w:rPr>
        <w:t>God</w:t>
      </w:r>
      <w:r>
        <w:rPr>
          <w:lang w:val="en_US" w:bidi="en_US"/>
        </w:rPr>
        <w:t xml:space="preserve"> blesses even more those who listen to his word and obey/follow it!”</w:t>
      </w:r>
    </w:p>
    <w:p>
      <w:pPr>
        <w:pStyle w:val="ListBullet"/>
        <w:spacing w:line="240" w:lineRule="auto"/>
        <w:ind w:left="720"/>
      </w:pPr>
      <w:r>
        <w:rPr>
          <w:lang w:val="en_US" w:bidi="en_US"/>
        </w:rPr>
      </w:r>
      <w:r>
        <w:rPr>
          <w:lang w:val="en_US" w:bidi="en_US"/>
        </w:rPr>
        <w:t xml:space="preserve">Jesus answered </w:t>
      </w:r>
      <w:r>
        <w:rPr>
          <w:lang w:val="en_US" w:bidi="en_US"/>
        </w:rPr>
        <w:t>her</w:t>
      </w:r>
      <w:r>
        <w:rPr>
          <w:lang w:val="en_US" w:bidi="en_US"/>
        </w:rPr>
        <w:t>, “</w:t>
      </w:r>
      <w:r>
        <w:rPr>
          <w:lang w:val="en_US" w:bidi="en_US"/>
        </w:rPr>
        <w:t>That is true,</w:t>
      </w:r>
      <w:r>
        <w:rPr>
          <w:lang w:val="en_US" w:bidi="en_US"/>
        </w:rPr>
        <w:t xml:space="preserve"> but the people who hear and obey the message from God are even more fortunate/privileged!”</w:t>
      </w:r>
    </w:p>
    <w:p>
      <w:pPr/>
      <w:r>
        <w:rPr>
          <w:lang w:val="en_US" w:bidi="en_US"/>
        </w:rPr>
      </w:r>
      <w:r>
        <w:rPr>
          <w:b/>
          <w:lang w:val="en_US" w:bidi="en_US"/>
        </w:rPr>
        <w:t>But:</w:t>
      </w:r>
      <w:r>
        <w:rPr>
          <w:lang w:val="en_US" w:bidi="en_US"/>
        </w:rPr>
        <w:t xml:space="preserve"> This verse begins in Greek with a conjunction that connects the woman’s statement in 11:27b with Jesus’ contrasting statement in 11:28. Some English versions (GW, NIV, NLT) do not translate this conjunction, but most versions do translate it as “but” in order to show the contrast. For example:</w:t>
      </w:r>
    </w:p>
    <w:p>
      <w:pPr/>
      <w:r>
        <w:rPr>
          <w:lang w:val="en_US" w:bidi="en_US"/>
        </w:rPr>
      </w:r>
      <w:r>
        <w:rPr>
          <w:lang w:val="en_US" w:bidi="en_US"/>
        </w:rPr>
        <w:t>But Jesus answered (GNT)</w:t>
      </w:r>
    </w:p>
    <w:p>
      <w:pPr/>
      <w:r>
        <w:rPr>
          <w:lang w:val="en_US" w:bidi="en_US"/>
        </w:rPr>
      </w:r>
      <w:r>
        <w:rPr>
          <w:b/>
          <w:lang w:val="en_US" w:bidi="en_US"/>
        </w:rPr>
        <w:t>Blessed rather are those who hear the word of God and obey it:</w:t>
      </w:r>
      <w:r>
        <w:rPr>
          <w:lang w:val="en_US" w:bidi="en_US"/>
        </w:rPr>
        <w:t xml:space="preserve"> The basic meaning of Jesus’ answer is that there is a greater blessing than being the mother of the Messiah. That greater blessing comes from listening to God’s message and obeying it. Another way to translate this is:</w:t>
      </w:r>
    </w:p>
    <w:p>
      <w:pPr/>
      <w:r>
        <w:rPr>
          <w:lang w:val="en_US" w:bidi="en_US"/>
        </w:rPr>
      </w:r>
      <w:r>
        <w:rPr>
          <w:lang w:val="en_US" w:bidi="en_US"/>
        </w:rPr>
        <w:t>But even more blessed are all who hear the word of God and put it into practice. (NLT)</w:t>
      </w:r>
    </w:p>
    <w:p>
      <w:pPr/>
      <w:r>
        <w:rPr>
          <w:lang w:val="en_US" w:bidi="en_US"/>
        </w:rPr>
      </w:r>
      <w:r>
        <w:rPr>
          <w:lang w:val="en_US" w:bidi="en_US"/>
        </w:rPr>
        <w:t>Some other ways to translate this are:</w:t>
      </w:r>
    </w:p>
    <w:p>
      <w:pPr/>
      <w:r>
        <w:rPr>
          <w:lang w:val="en_US" w:bidi="en_US"/>
        </w:rPr>
      </w:r>
      <w:r>
        <w:rPr>
          <w:lang w:val="en_US" w:bidi="en_US"/>
        </w:rPr>
        <w:t>That’s true, but the people who are really blessed are the ones who hear and obey God’s message! (CEV)</w:t>
      </w:r>
    </w:p>
    <w:p>
      <w:pPr/>
      <w:r>
        <w:rPr>
          <w:lang w:val="en_US" w:bidi="en_US"/>
        </w:rPr>
      </w:r>
      <w:r>
        <w:rPr>
          <w:lang w:val="en_US" w:bidi="en_US"/>
        </w:rPr>
        <w:t>Yes, but if you listen to God’s message and obey it, you are even more fortunate/privileged!</w:t>
      </w:r>
    </w:p>
    <w:p>
      <w:pPr/>
      <w:r>
        <w:rPr>
          <w:lang w:val="en_US" w:bidi="en_US"/>
        </w:rPr>
      </w:r>
      <w:r>
        <w:rPr>
          <w:b/>
          <w:lang w:val="en_US" w:bidi="en_US"/>
        </w:rPr>
        <w:t>Blessed:</w:t>
      </w:r>
      <w:r>
        <w:rPr>
          <w:lang w:val="en_US" w:bidi="en_US"/>
        </w:rPr>
        <w:t xml:space="preserve"> See the note on </w:t>
      </w:r>
      <w:r>
        <w:rPr>
          <w:i/>
          <w:lang w:val="en_US" w:bidi="en_US"/>
        </w:rPr>
        <w:t>Blessed</w:t>
      </w:r>
      <w:r>
        <w:rPr>
          <w:lang w:val="en_US" w:bidi="en_US"/>
        </w:rPr>
        <w:t xml:space="preserve"> at 11:27b and see bless, Meaning 3, in the Glossary.</w:t>
      </w:r>
    </w:p>
    <w:p>
      <w:pPr/>
      <w:r>
        <w:rPr>
          <w:lang w:val="en_US" w:bidi="en_US"/>
        </w:rPr>
      </w:r>
      <w:r>
        <w:rPr>
          <w:b/>
          <w:lang w:val="en_US" w:bidi="en_US"/>
        </w:rPr>
        <w:t>rather:</w:t>
      </w:r>
      <w:r>
        <w:rPr>
          <w:lang w:val="en_US" w:bidi="en_US"/>
        </w:rPr>
        <w:t xml:space="preserve"> The Greek word that the BSB translates as </w:t>
      </w:r>
      <w:r>
        <w:rPr>
          <w:i/>
          <w:lang w:val="en_US" w:bidi="en_US"/>
        </w:rPr>
        <w:t>rather</w:t>
      </w:r>
      <w:r>
        <w:rPr>
          <w:lang w:val="en_US" w:bidi="en_US"/>
        </w:rPr>
        <w:t xml:space="preserve"> introduces a correction of what the woman had said. Jesus did not say that what the woman said was false, but he stated that there was something even more important.</w:t>
      </w:r>
    </w:p>
    <w:p>
      <w:pPr/>
      <w:r>
        <w:rPr>
          <w:lang w:val="en_US" w:bidi="en_US"/>
        </w:rPr>
      </w:r>
      <w:r>
        <w:rPr>
          <w:lang w:val="en_US" w:bidi="en_US"/>
        </w:rPr>
        <w:t>In some languages, there are different ways of respectfully correcting or partially disagreeing with what another person has said. Notice that some English versions introduce Jesus’ answer with an affirmative, others with a negative. For example:</w:t>
      </w:r>
    </w:p>
    <w:p>
      <w:pPr/>
      <w:r>
        <w:rPr>
          <w:lang w:val="en_US" w:bidi="en_US"/>
        </w:rPr>
      </w:r>
      <w:r>
        <w:rPr>
          <w:lang w:val="en_US" w:bidi="en_US"/>
        </w:rPr>
        <w:t>That’s true, but… (CEV)</w:t>
      </w:r>
    </w:p>
    <w:p>
      <w:pPr/>
      <w:r>
        <w:rPr>
          <w:lang w:val="en_US" w:bidi="en_US"/>
        </w:rPr>
      </w:r>
      <w:r>
        <w:rPr>
          <w:lang w:val="en_US" w:bidi="en_US"/>
        </w:rPr>
        <w:t>No, happy are those who… (REB)</w:t>
      </w:r>
    </w:p>
    <w:p>
      <w:pPr/>
      <w:r>
        <w:rPr>
          <w:lang w:val="en_US" w:bidi="en_US"/>
        </w:rPr>
      </w:r>
      <w:r>
        <w:rPr>
          <w:lang w:val="en_US" w:bidi="en_US"/>
        </w:rPr>
        <w:t>Consider how you would respectfully correct another person’s statement in your language.</w:t>
      </w:r>
    </w:p>
    <w:p>
      <w:pPr/>
      <w:r>
        <w:rPr>
          <w:lang w:val="en_US" w:bidi="en_US"/>
        </w:rPr>
      </w:r>
      <w:r>
        <w:rPr>
          <w:b/>
          <w:lang w:val="en_US" w:bidi="en_US"/>
        </w:rPr>
        <w:t>the word of God:</w:t>
      </w:r>
      <w:r>
        <w:rPr>
          <w:lang w:val="en_US" w:bidi="en_US"/>
        </w:rPr>
        <w:t xml:space="preserve"> Here </w:t>
      </w:r>
      <w:r>
        <w:rPr>
          <w:i/>
          <w:lang w:val="en_US" w:bidi="en_US"/>
        </w:rPr>
        <w:t>the word of God</w:t>
      </w:r>
      <w:r>
        <w:rPr>
          <w:lang w:val="en_US" w:bidi="en_US"/>
        </w:rPr>
        <w:t xml:space="preserve"> may refer to both the words/message that God communicated through Jesus and to the written Scriptures. Another way to translate this is:</w:t>
      </w:r>
    </w:p>
    <w:p>
      <w:pPr/>
      <w:r>
        <w:rPr>
          <w:lang w:val="en_US" w:bidi="en_US"/>
        </w:rPr>
      </w:r>
      <w:r>
        <w:rPr>
          <w:lang w:val="en_US" w:bidi="en_US"/>
        </w:rPr>
        <w:t>God’s message (CEV)</w:t>
      </w:r>
    </w:p>
    <w:p>
      <w:pPr/>
      <w:r>
        <w:rPr>
          <w:lang w:val="en_US" w:bidi="en_US"/>
        </w:rPr>
      </w:r>
      <w:r>
        <w:rPr>
          <w:lang w:val="en_US" w:bidi="en_US"/>
        </w:rPr>
        <w:t>Try to translate this phrase in a way that will allow both meanings.</w:t>
      </w:r>
      <w:r>
        <w:rPr>
          <w:lang w:val="en_US" w:bidi="en_US"/>
        </w:rPr>
      </w:r>
      <w:r>
        <w:rPr>
          <w:lang w:val="en_US" w:bidi="en_US"/>
        </w:rPr>
      </w:r>
    </w:p>
    <w:p>
      <w:pPr/>
      <w:r>
        <w:rPr>
          <w:lang w:val="en_US" w:bidi="en_US"/>
        </w:rPr>
      </w:r>
    </w:p>
    <w:p>
      <w:pPr>
        <w:pStyle w:val="Heading2"/>
      </w:pPr>
      <w:r>
        <w:rPr>
          <w:lang w:val="en_US" w:bidi="en_US"/>
        </w:rPr>
        <w:t>Luke 11:29</w:t>
      </w:r>
      <w:r>
        <w:rPr>
          <w:lang w:val="en_US" w:bidi="en_US"/>
        </w:rPr>
      </w:r>
    </w:p>
    <w:p>
      <w:pPr>
        <w:pStyle w:val="Heading4"/>
      </w:pPr>
      <w:r>
        <w:rPr>
          <w:lang w:val="en_US" w:bidi="en_US"/>
        </w:rPr>
        <w:t>Section 11:29–32: The people demanded a miracle</w:t>
      </w:r>
    </w:p>
    <w:p>
      <w:pPr/>
      <w:r>
        <w:rPr>
          <w:lang w:val="en_US" w:bidi="en_US"/>
        </w:rPr>
      </w:r>
      <w:r>
        <w:rPr>
          <w:lang w:val="en_US" w:bidi="en_US"/>
        </w:rPr>
        <w:t>In 11:17–26, Jesus answered the accusation in 11:15 that he drove out demons by the power of Beelzebul. In this section, he answered the other group of people who wanted him to show them a sign from heaven (11:16). Even though he had already done many miracles for them, they would not believe that he had come from God. Jesus made it clear that God would punish them because they would not believe in him. He reminded them that the people of Jonah’s time believed what Jonah preached. He also reminded them that the Queen of Sheba in Solomon’s time came from a distant country to listen to Solomon wise words. The people of Jesus’ time were seeing God reveal himself in an even greater way, but they still did not believe.</w:t>
      </w:r>
    </w:p>
    <w:p>
      <w:pPr/>
      <w:r>
        <w:rPr>
          <w:lang w:val="en_US" w:bidi="en_US"/>
        </w:rPr>
      </w:r>
      <w:r>
        <w:rPr>
          <w:lang w:val="en_US" w:bidi="en_US"/>
        </w:rPr>
        <w:t>Some other possible headings for this section are:</w:t>
      </w:r>
    </w:p>
    <w:p>
      <w:pPr/>
      <w:r>
        <w:rPr>
          <w:lang w:val="en_US" w:bidi="en_US"/>
        </w:rPr>
      </w:r>
      <w:r>
        <w:rPr>
          <w:lang w:val="en_US" w:bidi="en_US"/>
        </w:rPr>
        <w:t>The People Want A Miracle (NCV)</w:t>
      </w:r>
    </w:p>
    <w:p>
      <w:pPr/>
      <w:r>
        <w:rPr>
          <w:lang w:val="en_US" w:bidi="en_US"/>
        </w:rPr>
      </w:r>
      <w:r>
        <w:rPr>
          <w:lang w:val="en_US" w:bidi="en_US"/>
        </w:rPr>
        <w:t>The Sign of Jonah (NIV)</w:t>
      </w:r>
    </w:p>
    <w:p>
      <w:pPr/>
      <w:r>
        <w:rPr>
          <w:lang w:val="en_US" w:bidi="en_US"/>
        </w:rPr>
      </w:r>
      <w:r>
        <w:rPr>
          <w:lang w:val="en_US" w:bidi="en_US"/>
        </w:rPr>
        <w:t>There is a parallel passage for this section in Matthew 12:38–42.</w:t>
      </w:r>
    </w:p>
    <w:p>
      <w:pPr>
        <w:pStyle w:val="Heading5"/>
      </w:pPr>
      <w:r>
        <w:rPr>
          <w:lang w:val="en_US" w:bidi="en_US"/>
        </w:rPr>
        <w:t>11:29a</w:t>
      </w:r>
    </w:p>
    <w:p>
      <w:pPr/>
      <w:r>
        <w:rPr>
          <w:lang w:val="en_US" w:bidi="en_US"/>
        </w:rPr>
      </w:r>
      <w:r>
        <w:rPr>
          <w:b/>
          <w:lang w:val="en_US" w:bidi="en_US"/>
        </w:rPr>
        <w:t>As the crowds were increasing, Jesus said,</w:t>
      </w:r>
    </w:p>
    <w:p>
      <w:pPr>
        <w:pStyle w:val="ListBullet"/>
        <w:spacing w:line="240" w:lineRule="auto"/>
        <w:ind w:left="720"/>
      </w:pPr>
      <w:r>
        <w:rPr>
          <w:lang w:val="en_US" w:bidi="en_US"/>
        </w:rPr>
      </w:r>
      <w:r>
        <w:rPr>
          <w:lang w:val="en_US" w:bidi="en_US"/>
        </w:rPr>
        <w:t xml:space="preserve">¶ While more and more people were gathering </w:t>
      </w:r>
      <w:r>
        <w:rPr>
          <w:lang w:val="en_US" w:bidi="en_US"/>
        </w:rPr>
        <w:t>close to Jesus</w:t>
      </w:r>
      <w:r>
        <w:rPr>
          <w:lang w:val="en_US" w:bidi="en_US"/>
        </w:rPr>
        <w:t>, he said,</w:t>
      </w:r>
    </w:p>
    <w:p>
      <w:pPr>
        <w:pStyle w:val="ListBullet"/>
        <w:spacing w:line="240" w:lineRule="auto"/>
        <w:ind w:left="720"/>
      </w:pPr>
      <w:r>
        <w:rPr>
          <w:lang w:val="en_US" w:bidi="en_US"/>
        </w:rPr>
      </w:r>
      <w:r>
        <w:rPr>
          <w:lang w:val="en_US" w:bidi="en_US"/>
        </w:rPr>
        <w:t xml:space="preserve">¶ The crowd </w:t>
      </w:r>
      <w:r>
        <w:rPr>
          <w:lang w:val="en_US" w:bidi="en_US"/>
        </w:rPr>
        <w:t>around Jesus</w:t>
      </w:r>
      <w:r>
        <w:rPr>
          <w:lang w:val="en_US" w:bidi="en_US"/>
        </w:rPr>
        <w:t xml:space="preserve"> got bigger, and Jesus said </w:t>
      </w:r>
      <w:r>
        <w:rPr>
          <w:lang w:val="en_US" w:bidi="en_US"/>
        </w:rPr>
        <w:t>to them</w:t>
      </w:r>
      <w:r>
        <w:rPr>
          <w:lang w:val="en_US" w:bidi="en_US"/>
        </w:rPr>
        <w:t>,</w:t>
      </w:r>
    </w:p>
    <w:p>
      <w:pPr/>
      <w:r>
        <w:rPr>
          <w:lang w:val="en_US" w:bidi="en_US"/>
        </w:rPr>
      </w:r>
      <w:r>
        <w:rPr>
          <w:b/>
          <w:lang w:val="en_US" w:bidi="en_US"/>
        </w:rPr>
        <w:t>As the crowds were increasing:</w:t>
      </w:r>
      <w:r>
        <w:rPr>
          <w:lang w:val="en_US" w:bidi="en_US"/>
        </w:rPr>
        <w:t xml:space="preserve"> There are two ways to interpret the meaning of the Greek phrase that the BSB translates as </w:t>
      </w:r>
      <w:r>
        <w:rPr>
          <w:i/>
          <w:lang w:val="en_US" w:bidi="en_US"/>
        </w:rPr>
        <w:t>As the crowds were increasing</w:t>
      </w:r>
      <w:r>
        <w:rPr>
          <w:lang w:val="en_US" w:bidi="en_US"/>
        </w:rPr>
        <w:t>:</w:t>
      </w:r>
    </w:p>
    <w:p>
      <w:pPr>
        <w:pStyle w:val="ListNumber"/>
        <w:numPr>
          <w:ilvl w:val="0"/>
          <w:numId w:val="225"/>
        </w:numPr>
        <w:spacing w:line="240" w:lineRule="auto"/>
        <w:ind w:left="720"/>
      </w:pPr>
      <w:r>
        <w:rPr>
          <w:lang w:val="en_US" w:bidi="en_US"/>
        </w:rPr>
      </w:r>
      <w:r>
        <w:rPr>
          <w:lang w:val="en_US" w:bidi="en_US"/>
        </w:rPr>
        <w:t>More and more people came to see Jesus. For example:</w:t>
      </w:r>
      <w:r>
        <w:rPr>
          <w:lang w:val="en_US" w:bidi="en_US"/>
        </w:rPr>
        <w:t xml:space="preserve">As the crowd grew larger (NCV) </w:t>
      </w:r>
      <w:r>
        <w:rPr>
          <w:i/>
          <w:lang w:val="en_US" w:bidi="en_US"/>
        </w:rPr>
        <w:t>(BSB, NIV, RSV, NJB, NASB, ESV, NET, NCV)</w:t>
      </w:r>
    </w:p>
    <w:p>
      <w:pPr>
        <w:pStyle w:val="ListNumber"/>
        <w:spacing w:line="240" w:lineRule="auto"/>
        <w:ind w:left="720"/>
      </w:pPr>
      <w:r>
        <w:rPr>
          <w:lang w:val="en_US" w:bidi="en_US"/>
        </w:rPr>
      </w:r>
      <w:r>
        <w:rPr>
          <w:lang w:val="en_US" w:bidi="en_US"/>
        </w:rPr>
        <w:t>The people who had already come to see Jesus gathered/crowded together around him. For example:</w:t>
      </w:r>
      <w:r>
        <w:rPr>
          <w:lang w:val="en_US" w:bidi="en_US"/>
        </w:rPr>
        <w:t xml:space="preserve">As the people crowded around Jesus (GNT) </w:t>
      </w:r>
      <w:r>
        <w:rPr>
          <w:i/>
          <w:lang w:val="en_US" w:bidi="en_US"/>
        </w:rPr>
        <w:t>(GNT, GW, NLT, KJV, REB, CEV)</w:t>
      </w:r>
    </w:p>
    <w:p>
      <w:pPr/>
      <w:r>
        <w:rPr>
          <w:lang w:val="en_US" w:bidi="en_US"/>
        </w:rPr>
      </w:r>
      <w:r>
        <w:rPr>
          <w:lang w:val="en_US" w:bidi="en_US"/>
        </w:rPr>
        <w:t>It is recommended that you follow interpretation (1). As more and more people heard about the man that Jesus had healed, they came and joined the crowd that had gathered around him. Another way to translate this clause is:</w:t>
      </w:r>
    </w:p>
    <w:p>
      <w:pPr/>
      <w:r>
        <w:rPr>
          <w:lang w:val="en_US" w:bidi="en_US"/>
        </w:rPr>
      </w:r>
      <w:r>
        <w:rPr>
          <w:lang w:val="en_US" w:bidi="en_US"/>
        </w:rPr>
        <w:t>More and more people gathered</w:t>
      </w:r>
    </w:p>
    <w:p>
      <w:pPr>
        <w:pStyle w:val="Heading5"/>
      </w:pPr>
      <w:r>
        <w:rPr>
          <w:lang w:val="en_US" w:bidi="en_US"/>
        </w:rPr>
        <w:t>11:29b</w:t>
      </w:r>
    </w:p>
    <w:p>
      <w:pPr/>
      <w:r>
        <w:rPr>
          <w:lang w:val="en_US" w:bidi="en_US"/>
        </w:rPr>
      </w:r>
      <w:r>
        <w:rPr>
          <w:b/>
          <w:lang w:val="en_US" w:bidi="en_US"/>
        </w:rPr>
        <w:t>“This is a wicked generation.</w:t>
      </w:r>
    </w:p>
    <w:p>
      <w:pPr>
        <w:pStyle w:val="ListBullet"/>
        <w:spacing w:line="240" w:lineRule="auto"/>
        <w:ind w:left="720"/>
      </w:pPr>
      <w:r>
        <w:rPr>
          <w:lang w:val="en_US" w:bidi="en_US"/>
        </w:rPr>
      </w:r>
      <w:r>
        <w:rPr>
          <w:lang w:val="en_US" w:bidi="en_US"/>
        </w:rPr>
        <w:t>“The people who are living today are wicked/evil.</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people who live now are evil,</w:t>
      </w:r>
    </w:p>
    <w:p>
      <w:pPr/>
      <w:r>
        <w:rPr>
          <w:lang w:val="en_US" w:bidi="en_US"/>
        </w:rPr>
      </w:r>
      <w:r>
        <w:rPr>
          <w:b/>
          <w:lang w:val="en_US" w:bidi="en_US"/>
        </w:rPr>
        <w:t>This is a wicked generation:</w:t>
      </w:r>
      <w:r>
        <w:rPr>
          <w:lang w:val="en_US" w:bidi="en_US"/>
        </w:rPr>
        <w:t xml:space="preserve"> The clause </w:t>
      </w:r>
      <w:r>
        <w:rPr>
          <w:i/>
          <w:lang w:val="en_US" w:bidi="en_US"/>
        </w:rPr>
        <w:t>This is a wicked generation</w:t>
      </w:r>
      <w:r>
        <w:rPr>
          <w:lang w:val="en_US" w:bidi="en_US"/>
        </w:rPr>
        <w:t xml:space="preserve"> means “the people living at this time are evil.” Jesus said this because the people refused to believe that God had sent him, even though they had seen him perform many miracles. Another way to translate this is:</w:t>
      </w:r>
    </w:p>
    <w:p>
      <w:pPr/>
      <w:r>
        <w:rPr>
          <w:lang w:val="en_US" w:bidi="en_US"/>
        </w:rPr>
      </w:r>
      <w:r>
        <w:rPr>
          <w:lang w:val="en_US" w:bidi="en_US"/>
        </w:rPr>
        <w:t>The people who live today are evil. (NCV)</w:t>
      </w:r>
    </w:p>
    <w:p>
      <w:pPr/>
      <w:r>
        <w:rPr>
          <w:lang w:val="en_US" w:bidi="en_US"/>
        </w:rPr>
      </w:r>
      <w:r>
        <w:rPr>
          <w:lang w:val="en_US" w:bidi="en_US"/>
        </w:rPr>
        <w:t xml:space="preserve">The word </w:t>
      </w:r>
      <w:r>
        <w:rPr>
          <w:i/>
          <w:lang w:val="en_US" w:bidi="en_US"/>
        </w:rPr>
        <w:t>generation</w:t>
      </w:r>
      <w:r>
        <w:rPr>
          <w:lang w:val="en_US" w:bidi="en_US"/>
        </w:rPr>
        <w:t xml:space="preserve"> also occurs in 9:41a in a similar context.</w:t>
      </w:r>
    </w:p>
    <w:p>
      <w:pPr/>
      <w:r>
        <w:rPr>
          <w:lang w:val="en_US" w:bidi="en_US"/>
        </w:rPr>
      </w:r>
      <w:r>
        <w:rPr>
          <w:lang w:val="en_US" w:bidi="en_US"/>
        </w:rPr>
        <w:t>Since Jesus was including the people he was talking to, in some languages it may be necessary to use the second person:</w:t>
      </w:r>
    </w:p>
    <w:p>
      <w:pPr/>
      <w:r>
        <w:rPr>
          <w:lang w:val="en_US" w:bidi="en_US"/>
        </w:rPr>
      </w:r>
      <w:r>
        <w:rPr>
          <w:lang w:val="en_US" w:bidi="en_US"/>
        </w:rPr>
        <w:t>You</w:t>
      </w:r>
      <w:r>
        <w:rPr>
          <w:vertAlign w:val="superscript"/>
          <w:lang w:val="en_US" w:bidi="en_US"/>
        </w:rPr>
        <w:t>(plur)</w:t>
      </w:r>
      <w:r>
        <w:rPr>
          <w:lang w:val="en_US" w:bidi="en_US"/>
        </w:rPr>
        <w:t xml:space="preserve"> are a wicked generation.</w:t>
      </w:r>
    </w:p>
    <w:p>
      <w:pPr>
        <w:pStyle w:val="Heading5"/>
      </w:pPr>
      <w:r>
        <w:rPr>
          <w:lang w:val="en_US" w:bidi="en_US"/>
        </w:rPr>
        <w:t>11:29c</w:t>
      </w:r>
    </w:p>
    <w:p>
      <w:pPr/>
      <w:r>
        <w:rPr>
          <w:lang w:val="en_US" w:bidi="en_US"/>
        </w:rPr>
      </w:r>
      <w:r>
        <w:rPr>
          <w:b/>
          <w:lang w:val="en_US" w:bidi="en_US"/>
        </w:rPr>
        <w:t>It demands a sign,</w:t>
      </w:r>
    </w:p>
    <w:p>
      <w:pPr>
        <w:pStyle w:val="ListBullet"/>
        <w:spacing w:line="240" w:lineRule="auto"/>
        <w:ind w:left="720"/>
      </w:pPr>
      <w:r>
        <w:rPr>
          <w:lang w:val="en_US" w:bidi="en_US"/>
        </w:rPr>
      </w:r>
      <w:r>
        <w:rPr>
          <w:lang w:val="en_US" w:bidi="en_US"/>
        </w:rPr>
        <w:t xml:space="preserve">They keep asking </w:t>
      </w:r>
      <w:r>
        <w:rPr>
          <w:lang w:val="en_US" w:bidi="en_US"/>
        </w:rPr>
        <w:t>me</w:t>
      </w:r>
      <w:r>
        <w:rPr>
          <w:lang w:val="en_US" w:bidi="en_US"/>
        </w:rPr>
        <w:t xml:space="preserve"> for an amazing sign.</w:t>
      </w:r>
    </w:p>
    <w:p>
      <w:pPr>
        <w:pStyle w:val="ListBullet"/>
        <w:spacing w:line="240" w:lineRule="auto"/>
        <w:ind w:left="720"/>
      </w:pPr>
      <w:r>
        <w:rPr>
          <w:lang w:val="en_US" w:bidi="en_US"/>
        </w:rPr>
      </w:r>
      <w:r>
        <w:rPr>
          <w:lang w:val="en_US" w:bidi="en_US"/>
        </w:rPr>
        <w:t>because</w:t>
      </w:r>
      <w:r>
        <w:rPr>
          <w:lang w:val="en_US" w:bidi="en_US"/>
        </w:rPr>
        <w:t xml:space="preserve"> you</w:t>
      </w:r>
      <w:r>
        <w:rPr>
          <w:vertAlign w:val="superscript"/>
          <w:lang w:val="en_US" w:bidi="en_US"/>
        </w:rPr>
        <w:t>(plur)</w:t>
      </w:r>
      <w:r>
        <w:rPr>
          <w:lang w:val="en_US" w:bidi="en_US"/>
        </w:rPr>
        <w:t xml:space="preserve"> are demanding </w:t>
      </w:r>
      <w:r>
        <w:rPr>
          <w:lang w:val="en_US" w:bidi="en_US"/>
        </w:rPr>
        <w:t>that I do</w:t>
      </w:r>
      <w:r>
        <w:rPr>
          <w:lang w:val="en_US" w:bidi="en_US"/>
        </w:rPr>
        <w:t xml:space="preserve"> a miracle to prove/show </w:t>
      </w:r>
      <w:r>
        <w:rPr>
          <w:lang w:val="en_US" w:bidi="en_US"/>
        </w:rPr>
        <w:t>that God has sent me</w:t>
      </w:r>
      <w:r>
        <w:rPr>
          <w:lang w:val="en_US" w:bidi="en_US"/>
        </w:rPr>
        <w:t>.</w:t>
      </w:r>
    </w:p>
    <w:p>
      <w:pPr/>
      <w:r>
        <w:rPr>
          <w:lang w:val="en_US" w:bidi="en_US"/>
        </w:rPr>
      </w:r>
      <w:r>
        <w:rPr>
          <w:lang w:val="en_US" w:bidi="en_US"/>
        </w:rPr>
        <w:t xml:space="preserve">Verse 11:29c helps to explain why Jesus called the people of 11:29b “wicked.” They were wicked </w:t>
      </w:r>
      <w:r>
        <w:rPr>
          <w:u w:val="single"/>
          <w:lang w:val="en_US" w:bidi="en_US"/>
        </w:rPr>
        <w:t>because</w:t>
      </w:r>
      <w:r>
        <w:rPr>
          <w:lang w:val="en_US" w:bidi="en_US"/>
        </w:rPr>
        <w:t xml:space="preserve"> they demanded a sign. In some languages it may be more natural to translate this relationship explicitly. For example:</w:t>
      </w:r>
    </w:p>
    <w:p>
      <w:pPr/>
      <w:r>
        <w:rPr>
          <w:lang w:val="en_US" w:bidi="en_US"/>
        </w:rPr>
      </w:r>
      <w:r>
        <w:rPr>
          <w:lang w:val="en_US" w:bidi="en_US"/>
        </w:rPr>
        <w:t>because it asks for…</w:t>
      </w:r>
    </w:p>
    <w:p>
      <w:pPr/>
      <w:r>
        <w:rPr>
          <w:lang w:val="en_US" w:bidi="en_US"/>
        </w:rPr>
      </w:r>
      <w:r>
        <w:rPr>
          <w:b/>
          <w:lang w:val="en_US" w:bidi="en_US"/>
        </w:rPr>
        <w:t>It:</w:t>
      </w:r>
      <w:r>
        <w:rPr>
          <w:lang w:val="en_US" w:bidi="en_US"/>
        </w:rPr>
        <w:t xml:space="preserve"> The pronoun </w:t>
      </w:r>
      <w:r>
        <w:rPr>
          <w:i/>
          <w:lang w:val="en_US" w:bidi="en_US"/>
        </w:rPr>
        <w:t>It</w:t>
      </w:r>
      <w:r>
        <w:rPr>
          <w:lang w:val="en_US" w:bidi="en_US"/>
        </w:rPr>
        <w:t xml:space="preserve"> refers to “this wicked generation” in 11:29b.</w:t>
      </w:r>
    </w:p>
    <w:p>
      <w:pPr/>
      <w:r>
        <w:rPr>
          <w:lang w:val="en_US" w:bidi="en_US"/>
        </w:rPr>
      </w:r>
      <w:r>
        <w:rPr>
          <w:b/>
          <w:lang w:val="en_US" w:bidi="en_US"/>
        </w:rPr>
        <w:t>demands a sign:</w:t>
      </w:r>
      <w:r>
        <w:rPr>
          <w:lang w:val="en_US" w:bidi="en_US"/>
        </w:rPr>
        <w:t xml:space="preserve"> The clause </w:t>
      </w:r>
      <w:r>
        <w:rPr>
          <w:i/>
          <w:lang w:val="en_US" w:bidi="en_US"/>
        </w:rPr>
        <w:t>demands a sign</w:t>
      </w:r>
      <w:r>
        <w:rPr>
          <w:lang w:val="en_US" w:bidi="en_US"/>
        </w:rPr>
        <w:t xml:space="preserve"> probably refers back to 11:16. In that verse, some of the people in the crowd asked Jesus “for a sign from heaven.” The requests in both of these verses mean essentially the same thing. Both contain similar implied information. In some languages, some of this implied information may need to be made explicit. For example:</w:t>
      </w:r>
    </w:p>
    <w:p>
      <w:pPr/>
      <w:r>
        <w:rPr>
          <w:lang w:val="en_US" w:bidi="en_US"/>
        </w:rPr>
      </w:r>
      <w:r>
        <w:rPr>
          <w:lang w:val="en_US" w:bidi="en_US"/>
        </w:rPr>
        <w:t xml:space="preserve">They are asking </w:t>
      </w:r>
      <w:r>
        <w:rPr>
          <w:lang w:val="en_US" w:bidi="en_US"/>
        </w:rPr>
        <w:t>me to perform</w:t>
      </w:r>
      <w:r>
        <w:rPr>
          <w:lang w:val="en_US" w:bidi="en_US"/>
        </w:rPr>
        <w:t xml:space="preserve"> a miracle </w:t>
      </w:r>
      <w:r>
        <w:rPr>
          <w:lang w:val="en_US" w:bidi="en_US"/>
        </w:rPr>
        <w:t>to prove that God has sent me</w:t>
      </w:r>
      <w:r>
        <w:rPr>
          <w:lang w:val="en_US" w:bidi="en_US"/>
        </w:rPr>
        <w:t>.</w:t>
      </w:r>
    </w:p>
    <w:p>
      <w:pPr/>
      <w:r>
        <w:rPr>
          <w:lang w:val="en_US" w:bidi="en_US"/>
        </w:rPr>
      </w:r>
      <w:r>
        <w:rPr>
          <w:lang w:val="en_US" w:bidi="en_US"/>
        </w:rPr>
        <w:t>If you used the second person “you” in 11:29b, it will probably be necessary to do so here also. For example:</w:t>
      </w:r>
    </w:p>
    <w:p>
      <w:pPr/>
      <w:r>
        <w:rPr>
          <w:lang w:val="en_US" w:bidi="en_US"/>
        </w:rPr>
      </w:r>
      <w:r>
        <w:rPr>
          <w:lang w:val="en_US" w:bidi="en_US"/>
        </w:rPr>
        <w:t>You keep looking for a sign from God. (CEV)</w:t>
      </w:r>
    </w:p>
    <w:p>
      <w:pPr/>
      <w:r>
        <w:rPr>
          <w:lang w:val="en_US" w:bidi="en_US"/>
        </w:rPr>
      </w:r>
      <w:r>
        <w:rPr>
          <w:b/>
          <w:lang w:val="en_US" w:bidi="en_US"/>
        </w:rPr>
        <w:t>demands:</w:t>
      </w:r>
      <w:r>
        <w:rPr>
          <w:lang w:val="en_US" w:bidi="en_US"/>
        </w:rPr>
        <w:t xml:space="preserve"> The Greek word that the BSB translates as </w:t>
      </w:r>
      <w:r>
        <w:rPr>
          <w:i/>
          <w:lang w:val="en_US" w:bidi="en_US"/>
        </w:rPr>
        <w:t>demands</w:t>
      </w:r>
      <w:r>
        <w:rPr>
          <w:lang w:val="en_US" w:bidi="en_US"/>
        </w:rPr>
        <w:t xml:space="preserve"> is literally “seeks.” Some other ways to translate this verb are:</w:t>
      </w:r>
    </w:p>
    <w:p>
      <w:pPr/>
      <w:r>
        <w:rPr>
          <w:lang w:val="en_US" w:bidi="en_US"/>
        </w:rPr>
      </w:r>
      <w:r>
        <w:rPr>
          <w:lang w:val="en_US" w:bidi="en_US"/>
        </w:rPr>
        <w:t>asks for (NIV)</w:t>
      </w:r>
    </w:p>
    <w:p>
      <w:pPr/>
      <w:r>
        <w:rPr>
          <w:lang w:val="en_US" w:bidi="en_US"/>
        </w:rPr>
      </w:r>
      <w:r>
        <w:rPr>
          <w:lang w:val="en_US" w:bidi="en_US"/>
        </w:rPr>
        <w:t>want to see (NCV)</w:t>
      </w:r>
    </w:p>
    <w:p>
      <w:pPr/>
      <w:r>
        <w:rPr>
          <w:lang w:val="en_US" w:bidi="en_US"/>
        </w:rPr>
      </w:r>
      <w:r>
        <w:rPr>
          <w:lang w:val="en_US" w:bidi="en_US"/>
        </w:rPr>
        <w:t>The same verb was used in 11:16.</w:t>
      </w:r>
    </w:p>
    <w:p>
      <w:pPr/>
      <w:r>
        <w:rPr>
          <w:lang w:val="en_US" w:bidi="en_US"/>
        </w:rPr>
      </w:r>
      <w:r>
        <w:rPr>
          <w:b/>
          <w:lang w:val="en_US" w:bidi="en_US"/>
        </w:rPr>
        <w:t>a sign:</w:t>
      </w:r>
      <w:r>
        <w:rPr>
          <w:lang w:val="en_US" w:bidi="en_US"/>
        </w:rPr>
        <w:t xml:space="preserve"> The Greek word that the BSB translates as </w:t>
      </w:r>
      <w:r>
        <w:rPr>
          <w:i/>
          <w:lang w:val="en_US" w:bidi="en_US"/>
        </w:rPr>
        <w:t>a sign</w:t>
      </w:r>
      <w:r>
        <w:rPr>
          <w:lang w:val="en_US" w:bidi="en_US"/>
        </w:rPr>
        <w:t xml:space="preserve"> means “a sign or distinguishing mark by which people know that something is true.” In this context it refers to a miracle that would prove that God had sent Jesus. The same word occurs in 11:16.</w:t>
      </w:r>
    </w:p>
    <w:p>
      <w:pPr>
        <w:pStyle w:val="Heading5"/>
      </w:pPr>
      <w:r>
        <w:rPr>
          <w:lang w:val="en_US" w:bidi="en_US"/>
        </w:rPr>
        <w:t>11:29d</w:t>
      </w:r>
    </w:p>
    <w:p>
      <w:pPr/>
      <w:r>
        <w:rPr>
          <w:lang w:val="en_US" w:bidi="en_US"/>
        </w:rPr>
      </w:r>
      <w:r>
        <w:rPr>
          <w:b/>
          <w:lang w:val="en_US" w:bidi="en_US"/>
        </w:rPr>
        <w:t>but none will be given it except the sign of Jonah.</w:t>
      </w:r>
    </w:p>
    <w:p>
      <w:pPr>
        <w:pStyle w:val="ListBullet"/>
        <w:spacing w:line="240" w:lineRule="auto"/>
        <w:ind w:left="720"/>
      </w:pPr>
      <w:r>
        <w:rPr>
          <w:lang w:val="en_US" w:bidi="en_US"/>
        </w:rPr>
      </w:r>
      <w:r>
        <w:rPr>
          <w:lang w:val="en_US" w:bidi="en_US"/>
        </w:rPr>
        <w:t>But no sign will be given/shown to them except the sign of Jonah.</w:t>
      </w:r>
    </w:p>
    <w:p>
      <w:pPr>
        <w:pStyle w:val="ListBullet"/>
        <w:spacing w:line="240" w:lineRule="auto"/>
        <w:ind w:left="720"/>
      </w:pPr>
      <w:r>
        <w:rPr>
          <w:lang w:val="en_US" w:bidi="en_US"/>
        </w:rPr>
      </w:r>
      <w:r>
        <w:rPr>
          <w:lang w:val="en_US" w:bidi="en_US"/>
        </w:rPr>
        <w:t xml:space="preserve">But the only sign that they will see/receive is </w:t>
      </w:r>
      <w:r>
        <w:rPr>
          <w:lang w:val="en_US" w:bidi="en_US"/>
        </w:rPr>
        <w:t>what happened to</w:t>
      </w:r>
      <w:r>
        <w:rPr>
          <w:lang w:val="en_US" w:bidi="en_US"/>
        </w:rPr>
        <w:t xml:space="preserve"> </w:t>
      </w:r>
      <w:r>
        <w:rPr>
          <w:lang w:val="en_US" w:bidi="en_US"/>
        </w:rPr>
        <w:t>the prophet</w:t>
      </w:r>
      <w:r>
        <w:rPr>
          <w:lang w:val="en_US" w:bidi="en_US"/>
        </w:rPr>
        <w:t xml:space="preserve"> Jonah.</w:t>
      </w:r>
    </w:p>
    <w:p>
      <w:pPr>
        <w:pStyle w:val="ListBullet"/>
        <w:spacing w:line="240" w:lineRule="auto"/>
        <w:ind w:left="720"/>
      </w:pPr>
      <w:r>
        <w:rPr>
          <w:lang w:val="en_US" w:bidi="en_US"/>
        </w:rPr>
      </w:r>
      <w:r>
        <w:rPr>
          <w:lang w:val="en_US" w:bidi="en_US"/>
        </w:rPr>
        <w:t>I</w:t>
      </w:r>
      <w:r>
        <w:rPr>
          <w:lang w:val="en_US" w:bidi="en_US"/>
        </w:rPr>
        <w:t xml:space="preserve"> will give/show you</w:t>
      </w:r>
      <w:r>
        <w:rPr>
          <w:vertAlign w:val="superscript"/>
          <w:lang w:val="en_US" w:bidi="en_US"/>
        </w:rPr>
        <w:t>(plur)</w:t>
      </w:r>
      <w:r>
        <w:rPr>
          <w:lang w:val="en_US" w:bidi="en_US"/>
        </w:rPr>
        <w:t xml:space="preserve"> only one sign/miracle, and that will be </w:t>
      </w:r>
      <w:r>
        <w:rPr>
          <w:lang w:val="en_US" w:bidi="en_US"/>
        </w:rPr>
        <w:t>like</w:t>
      </w:r>
      <w:r>
        <w:rPr>
          <w:lang w:val="en_US" w:bidi="en_US"/>
        </w:rPr>
        <w:t xml:space="preserve"> the miracle </w:t>
      </w:r>
      <w:r>
        <w:rPr>
          <w:lang w:val="en_US" w:bidi="en_US"/>
        </w:rPr>
        <w:t>that God did for</w:t>
      </w:r>
      <w:r>
        <w:rPr>
          <w:lang w:val="en_US" w:bidi="en_US"/>
        </w:rPr>
        <w:t xml:space="preserve"> Jonah.</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between what the people were demanding in 11:29c and what they would receive in 11:29d. Use a natural way in your language to introduce this contrast.</w:t>
      </w:r>
    </w:p>
    <w:p>
      <w:pPr/>
      <w:r>
        <w:rPr>
          <w:lang w:val="en_US" w:bidi="en_US"/>
        </w:rPr>
      </w:r>
      <w:r>
        <w:rPr>
          <w:b/>
          <w:lang w:val="en_US" w:bidi="en_US"/>
        </w:rPr>
        <w:t>none will be given it:</w:t>
      </w:r>
      <w:r>
        <w:rPr>
          <w:lang w:val="en_US" w:bidi="en_US"/>
        </w:rPr>
        <w:t xml:space="preserve"> The clause </w:t>
      </w:r>
      <w:r>
        <w:rPr>
          <w:i/>
          <w:lang w:val="en_US" w:bidi="en_US"/>
        </w:rPr>
        <w:t>none will be given it</w:t>
      </w:r>
      <w:r>
        <w:rPr>
          <w:lang w:val="en_US" w:bidi="en_US"/>
        </w:rPr>
        <w:t xml:space="preserve"> means “no sign will be given to this generation.” The verb </w:t>
      </w:r>
      <w:r>
        <w:rPr>
          <w:i/>
          <w:lang w:val="en_US" w:bidi="en_US"/>
        </w:rPr>
        <w:t>will be given</w:t>
      </w:r>
      <w:r>
        <w:rPr>
          <w:lang w:val="en_US" w:bidi="en_US"/>
        </w:rPr>
        <w:t xml:space="preserve"> is a passive verb. Some ways to translate this verb are:</w:t>
      </w:r>
    </w:p>
    <w:p>
      <w:pPr>
        <w:pStyle w:val="ListBullet"/>
        <w:spacing w:line="240" w:lineRule="auto"/>
        <w:ind w:left="720"/>
      </w:pPr>
      <w:r>
        <w:rPr>
          <w:lang w:val="en_US" w:bidi="en_US"/>
        </w:rPr>
      </w:r>
      <w:r>
        <w:rPr>
          <w:lang w:val="en_US" w:bidi="en_US"/>
        </w:rPr>
        <w:t>As a passive verb. For example:</w:t>
      </w:r>
      <w:r>
        <w:rPr>
          <w:lang w:val="en_US" w:bidi="en_US"/>
        </w:rPr>
        <w:t>no sign will be given them (NCV)</w:t>
      </w:r>
    </w:p>
    <w:p>
      <w:pPr>
        <w:pStyle w:val="ListBullet"/>
        <w:spacing w:line="240" w:lineRule="auto"/>
        <w:ind w:left="720"/>
      </w:pPr>
      <w:r>
        <w:rPr>
          <w:lang w:val="en_US" w:bidi="en_US"/>
        </w:rPr>
      </w:r>
      <w:r>
        <w:rPr>
          <w:lang w:val="en_US" w:bidi="en_US"/>
        </w:rPr>
        <w:t>As an active verb. For example:</w:t>
      </w:r>
      <w:r>
        <w:rPr>
          <w:lang w:val="en_US" w:bidi="en_US"/>
        </w:rPr>
        <w:t>they will not see/receive any miraculous sign</w:t>
      </w:r>
      <w:r>
        <w:rPr>
          <w:lang w:val="en_US" w:bidi="en_US"/>
        </w:rPr>
        <w:t>I</w:t>
      </w:r>
      <w:r>
        <w:rPr>
          <w:lang w:val="en_US" w:bidi="en_US"/>
        </w:rPr>
        <w:t xml:space="preserve"> will not give them a miraculous sign</w:t>
      </w:r>
    </w:p>
    <w:p>
      <w:pPr/>
      <w:r>
        <w:rPr>
          <w:lang w:val="en_US" w:bidi="en_US"/>
        </w:rPr>
      </w:r>
      <w:r>
        <w:rPr>
          <w:lang w:val="en_US" w:bidi="en_US"/>
        </w:rPr>
        <w:t>Translate this verb in a way that is most natural in your language.</w:t>
      </w:r>
    </w:p>
    <w:p>
      <w:pPr/>
      <w:r>
        <w:rPr>
          <w:lang w:val="en_US" w:bidi="en_US"/>
        </w:rPr>
      </w:r>
      <w:r>
        <w:rPr>
          <w:b/>
          <w:lang w:val="en_US" w:bidi="en_US"/>
        </w:rPr>
        <w:t>except the sign of Jonah:</w:t>
      </w:r>
      <w:r>
        <w:rPr>
          <w:lang w:val="en_US" w:bidi="en_US"/>
        </w:rPr>
        <w:t xml:space="preserve"> Jesus made one exception. He would give that generation one sign: the sign of the prophet Jonah.</w:t>
      </w:r>
    </w:p>
    <w:p>
      <w:pPr/>
      <w:r>
        <w:rPr>
          <w:lang w:val="en_US" w:bidi="en_US"/>
        </w:rPr>
      </w:r>
      <w:r>
        <w:rPr>
          <w:lang w:val="en_US" w:bidi="en_US"/>
        </w:rPr>
        <w:t>In some languages it may be more natural to place this phrase at the beginning of 11:29d. For example:</w:t>
      </w:r>
    </w:p>
    <w:p>
      <w:pPr/>
      <w:r>
        <w:rPr>
          <w:lang w:val="en_US" w:bidi="en_US"/>
        </w:rPr>
      </w:r>
      <w:r>
        <w:rPr>
          <w:lang w:val="en_US" w:bidi="en_US"/>
        </w:rPr>
        <w:t>But the only sign I will give them is the sign of Jonah. (NLT)</w:t>
      </w:r>
    </w:p>
    <w:p>
      <w:pPr/>
      <w:r>
        <w:rPr>
          <w:lang w:val="en_US" w:bidi="en_US"/>
        </w:rPr>
      </w:r>
      <w:r>
        <w:rPr>
          <w:b/>
          <w:lang w:val="en_US" w:bidi="en_US"/>
        </w:rPr>
        <w:t>the sign of Jonah:</w:t>
      </w:r>
      <w:r>
        <w:rPr>
          <w:lang w:val="en_US" w:bidi="en_US"/>
        </w:rPr>
        <w:t xml:space="preserve"> There are two ways to interpret the Greek phrase that the BSB translates literally as </w:t>
      </w:r>
      <w:r>
        <w:rPr>
          <w:i/>
          <w:lang w:val="en_US" w:bidi="en_US"/>
        </w:rPr>
        <w:t>the sign of Jonah</w:t>
      </w:r>
      <w:r>
        <w:rPr>
          <w:lang w:val="en_US" w:bidi="en_US"/>
        </w:rPr>
        <w:t>:</w:t>
      </w:r>
    </w:p>
    <w:p>
      <w:pPr>
        <w:pStyle w:val="ListNumber"/>
        <w:numPr>
          <w:ilvl w:val="0"/>
          <w:numId w:val="226"/>
        </w:numPr>
        <w:spacing w:line="240" w:lineRule="auto"/>
        <w:ind w:left="720"/>
      </w:pPr>
      <w:r>
        <w:rPr>
          <w:lang w:val="en_US" w:bidi="en_US"/>
        </w:rPr>
      </w:r>
      <w:r>
        <w:rPr>
          <w:lang w:val="en_US" w:bidi="en_US"/>
        </w:rPr>
        <w:t xml:space="preserve">It refers to </w:t>
      </w:r>
      <w:r>
        <w:rPr>
          <w:u w:val="single"/>
          <w:lang w:val="en_US" w:bidi="en_US"/>
        </w:rPr>
        <w:t>what happened to Jonah</w:t>
      </w:r>
      <w:r>
        <w:rPr>
          <w:lang w:val="en_US" w:bidi="en_US"/>
        </w:rPr>
        <w:t>. For example:</w:t>
      </w:r>
      <w:r>
        <w:rPr>
          <w:lang w:val="en_US" w:bidi="en_US"/>
        </w:rPr>
        <w:t xml:space="preserve">But what happened to Jonah is the only sign you will be given. (CEV) </w:t>
      </w:r>
      <w:r>
        <w:rPr>
          <w:i/>
          <w:lang w:val="en_US" w:bidi="en_US"/>
        </w:rPr>
        <w:t>(CEV, NLT)</w:t>
      </w:r>
    </w:p>
    <w:p>
      <w:pPr>
        <w:pStyle w:val="ListNumber"/>
        <w:spacing w:line="240" w:lineRule="auto"/>
        <w:ind w:left="720"/>
      </w:pPr>
      <w:r>
        <w:rPr>
          <w:lang w:val="en_US" w:bidi="en_US"/>
        </w:rPr>
      </w:r>
      <w:r>
        <w:rPr>
          <w:lang w:val="en_US" w:bidi="en_US"/>
        </w:rPr>
        <w:t xml:space="preserve">It refers to </w:t>
      </w:r>
      <w:r>
        <w:rPr>
          <w:u w:val="single"/>
          <w:lang w:val="en_US" w:bidi="en_US"/>
        </w:rPr>
        <w:t>Jonah’s preaching</w:t>
      </w:r>
      <w:r>
        <w:rPr>
          <w:lang w:val="en_US" w:bidi="en_US"/>
        </w:rPr>
        <w:t>. For example:</w:t>
      </w:r>
      <w:r>
        <w:rPr>
          <w:lang w:val="en_US" w:bidi="en_US"/>
        </w:rPr>
        <w:t>The only sign they will be given is what Jonah preached.</w:t>
      </w:r>
    </w:p>
    <w:p>
      <w:pPr/>
      <w:r>
        <w:rPr>
          <w:lang w:val="en_US" w:bidi="en_US"/>
        </w:rPr>
      </w:r>
      <w:r>
        <w:rPr>
          <w:lang w:val="en_US" w:bidi="en_US"/>
        </w:rPr>
        <w:t>It is recommended that you follow interpretation (1) along with most scholars.</w:t>
      </w:r>
      <w:r>
        <w:rPr>
          <w:lang w:val="en_US" w:bidi="en_US"/>
        </w:rPr>
        <w:t>Some of the scholars who follow this interpretation say that this sign consisted of Jonah and Jesus themselves, not their words. But they then go on to describe what Jonah and Jesus experienced—Jonah’s miraculous deliverance from the belly of the fish and Jesus’ resurrection from death.</w:t>
      </w:r>
      <w:r>
        <w:rPr>
          <w:lang w:val="en_US" w:bidi="en_US"/>
        </w:rPr>
        <w:t xml:space="preserve"> The parallel passage in Matthew 12:40 clearly identifies the “sign of Jonah” as Jonah being three days inside the belly of the fish. This experience is compared to Jesus being dead and buried for three days. In 11:29d Jesus stated that this sign was still in the future, whereas Jesus had already been preaching for some time.</w:t>
      </w:r>
    </w:p>
    <w:p>
      <w:pPr/>
      <w:r>
        <w:rPr>
          <w:lang w:val="en_US" w:bidi="en_US"/>
        </w:rPr>
      </w:r>
      <w:r>
        <w:rPr>
          <w:lang w:val="en_US" w:bidi="en_US"/>
        </w:rPr>
        <w:t>Most English versions literally follow the Greek grammar and say “the sign of Jonah.” There are at least two translation issues to consider:</w:t>
      </w:r>
    </w:p>
    <w:p>
      <w:pPr>
        <w:pStyle w:val="ListNumber"/>
        <w:numPr>
          <w:ilvl w:val="0"/>
          <w:numId w:val="227"/>
        </w:numPr>
        <w:spacing w:line="240" w:lineRule="auto"/>
        <w:ind w:left="720"/>
      </w:pPr>
      <w:r>
        <w:rPr>
          <w:lang w:val="en_US" w:bidi="en_US"/>
        </w:rPr>
      </w:r>
      <w:r>
        <w:rPr>
          <w:lang w:val="en_US" w:bidi="en_US"/>
        </w:rPr>
        <w:t>Some readers may wrongly interpret this phrase to mean “the sign/miracle that Jonah performed for others.” In your translation, be sure that the sign/miracle refers to the miracle that happened to Jonah, as in the CEV example above.</w:t>
      </w:r>
    </w:p>
    <w:p>
      <w:pPr>
        <w:pStyle w:val="ListNumber"/>
        <w:spacing w:line="240" w:lineRule="auto"/>
        <w:ind w:left="720"/>
      </w:pPr>
      <w:r>
        <w:rPr>
          <w:lang w:val="en_US" w:bidi="en_US"/>
        </w:rPr>
      </w:r>
      <w:r>
        <w:rPr>
          <w:lang w:val="en_US" w:bidi="en_US"/>
        </w:rPr>
        <w:t>Your readers may not understand from 11:29d that Jesus was using a comparison. In some languages, it may be necessary to make this clear in 11:29d so that it fits with the comparison in 11:30a–b. For example:</w:t>
      </w:r>
      <w:r>
        <w:rPr>
          <w:lang w:val="en_US" w:bidi="en_US"/>
        </w:rPr>
        <w:t>The only sign they will be shown is like what happened to Jonah.</w:t>
      </w:r>
    </w:p>
    <w:p>
      <w:pPr/>
      <w:r>
        <w:rPr>
          <w:lang w:val="en_US" w:bidi="en_US"/>
        </w:rPr>
      </w:r>
      <w:r>
        <w:rPr>
          <w:lang w:val="en_US" w:bidi="en_US"/>
        </w:rPr>
        <w:t>If your readers are not familiar with what happened to Jonah, it may be helpful to add a footnote. For example:</w:t>
      </w:r>
    </w:p>
    <w:p>
      <w:pPr/>
      <w:r>
        <w:rPr>
          <w:lang w:val="en_US" w:bidi="en_US"/>
        </w:rPr>
      </w:r>
      <w:r>
        <w:rPr>
          <w:lang w:val="en_US" w:bidi="en_US"/>
        </w:rPr>
        <w:t>Jonah was a prophet of God long ago. A large fish swallowed him, but after three days God caused the fish to vomit Jonah onto the land. See Jonah 1:17 and 2:10. See also Matthew 12:40.</w:t>
      </w:r>
      <w:r>
        <w:rPr>
          <w:lang w:val="en_US" w:bidi="en_US"/>
        </w:rPr>
      </w:r>
      <w:r>
        <w:rPr>
          <w:lang w:val="en_US" w:bidi="en_US"/>
        </w:rPr>
      </w:r>
    </w:p>
    <w:p>
      <w:pPr/>
      <w:r>
        <w:rPr>
          <w:lang w:val="en_US" w:bidi="en_US"/>
        </w:rPr>
      </w:r>
    </w:p>
    <w:p>
      <w:pPr>
        <w:pStyle w:val="Heading2"/>
      </w:pPr>
      <w:r>
        <w:rPr>
          <w:lang w:val="en_US" w:bidi="en_US"/>
        </w:rPr>
        <w:t>Luke 11:30</w:t>
      </w:r>
      <w:r>
        <w:rPr>
          <w:lang w:val="en_US" w:bidi="en_US"/>
        </w:rPr>
      </w:r>
    </w:p>
    <w:p>
      <w:pPr>
        <w:pStyle w:val="Heading4"/>
      </w:pPr>
      <w:r>
        <w:rPr>
          <w:lang w:val="en_US" w:bidi="en_US"/>
        </w:rPr>
        <w:t>Section 11:29–32: The people demanded a miracle</w:t>
      </w:r>
    </w:p>
    <w:p>
      <w:pPr/>
      <w:r>
        <w:rPr>
          <w:lang w:val="en_US" w:bidi="en_US"/>
        </w:rPr>
      </w:r>
      <w:r>
        <w:rPr>
          <w:lang w:val="en_US" w:bidi="en_US"/>
        </w:rPr>
        <w:t>In 11:17–26, Jesus answered the accusation in 11:15 that he drove out demons by the power of Beelzebul. In this section, he answered the other group of people who wanted him to show them a sign from heaven (11:16). Even though he had already done many miracles for them, they would not believe that he had come from God. Jesus made it clear that God would punish them because they would not believe in him. He reminded them that the people of Jonah’s time believed what Jonah preached. He also reminded them that the Queen of Sheba in Solomon’s time came from a distant country to listen to Solomon wise words. The people of Jesus’ time were seeing God reveal himself in an even greater way, but they still did not believe.</w:t>
      </w:r>
    </w:p>
    <w:p>
      <w:pPr/>
      <w:r>
        <w:rPr>
          <w:lang w:val="en_US" w:bidi="en_US"/>
        </w:rPr>
      </w:r>
      <w:r>
        <w:rPr>
          <w:lang w:val="en_US" w:bidi="en_US"/>
        </w:rPr>
        <w:t>Some other possible headings for this section are:</w:t>
      </w:r>
    </w:p>
    <w:p>
      <w:pPr/>
      <w:r>
        <w:rPr>
          <w:lang w:val="en_US" w:bidi="en_US"/>
        </w:rPr>
      </w:r>
      <w:r>
        <w:rPr>
          <w:lang w:val="en_US" w:bidi="en_US"/>
        </w:rPr>
        <w:t>The People Want A Miracle (NCV)</w:t>
      </w:r>
    </w:p>
    <w:p>
      <w:pPr/>
      <w:r>
        <w:rPr>
          <w:lang w:val="en_US" w:bidi="en_US"/>
        </w:rPr>
      </w:r>
      <w:r>
        <w:rPr>
          <w:lang w:val="en_US" w:bidi="en_US"/>
        </w:rPr>
        <w:t>The Sign of Jonah (NIV)</w:t>
      </w:r>
    </w:p>
    <w:p>
      <w:pPr/>
      <w:r>
        <w:rPr>
          <w:lang w:val="en_US" w:bidi="en_US"/>
        </w:rPr>
      </w:r>
      <w:r>
        <w:rPr>
          <w:lang w:val="en_US" w:bidi="en_US"/>
        </w:rPr>
        <w:t>There is a parallel passage for this section in Matthew 12:38–42.</w:t>
      </w:r>
    </w:p>
    <w:p>
      <w:pPr>
        <w:pStyle w:val="Heading5"/>
      </w:pPr>
      <w:r>
        <w:rPr>
          <w:lang w:val="en_US" w:bidi="en_US"/>
        </w:rPr>
        <w:t>11:30a–b</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an explanation. Verse 11:30a–b explains what Jesus meant when he used the phrase “sign of Jonah” in 11:29d. Other ways to introduce this explanation are:</w:t>
      </w:r>
    </w:p>
    <w:p>
      <w:pPr/>
      <w:r>
        <w:rPr>
          <w:lang w:val="en_US" w:bidi="en_US"/>
        </w:rPr>
      </w:r>
      <w:r>
        <w:rPr>
          <w:lang w:val="en_US" w:bidi="en_US"/>
        </w:rPr>
        <w:t>What I mean is</w:t>
      </w:r>
    </w:p>
    <w:p>
      <w:pPr/>
      <w:r>
        <w:rPr>
          <w:lang w:val="en_US" w:bidi="en_US"/>
        </w:rPr>
      </w:r>
      <w:r>
        <w:rPr>
          <w:lang w:val="en_US" w:bidi="en_US"/>
        </w:rPr>
        <w:t>In other words</w:t>
      </w:r>
    </w:p>
    <w:p>
      <w:pPr/>
      <w:r>
        <w:rPr>
          <w:lang w:val="en_US" w:bidi="en_US"/>
        </w:rPr>
      </w:r>
      <w:r>
        <w:rPr>
          <w:lang w:val="en_US" w:bidi="en_US"/>
        </w:rPr>
        <w:t>Some English versions do not translate this word. For example:</w:t>
      </w:r>
    </w:p>
    <w:p>
      <w:pPr/>
      <w:r>
        <w:rPr>
          <w:lang w:val="en_US" w:bidi="en_US"/>
        </w:rPr>
      </w:r>
      <w:r>
        <w:rPr>
          <w:lang w:val="en_US" w:bidi="en_US"/>
        </w:rPr>
        <w:t>As Jonah was a sign for those people who lived in Nineveh (NCV)</w:t>
      </w:r>
    </w:p>
    <w:p>
      <w:pPr/>
      <w:r>
        <w:rPr>
          <w:lang w:val="en_US" w:bidi="en_US"/>
        </w:rPr>
      </w:r>
      <w:r>
        <w:rPr>
          <w:b/>
          <w:lang w:val="en_US" w:bidi="en_US"/>
        </w:rPr>
        <w:t>as…so…:</w:t>
      </w:r>
      <w:r>
        <w:rPr>
          <w:lang w:val="en_US" w:bidi="en_US"/>
        </w:rPr>
        <w:t xml:space="preserve"> The Greek words that the BSB translates as </w:t>
      </w:r>
      <w:r>
        <w:rPr>
          <w:i/>
          <w:lang w:val="en_US" w:bidi="en_US"/>
        </w:rPr>
        <w:t>as…so…</w:t>
      </w:r>
      <w:r>
        <w:rPr>
          <w:lang w:val="en_US" w:bidi="en_US"/>
        </w:rPr>
        <w:t xml:space="preserve"> indicate a comparison. Jesus compared himself to Jonah. He said that he would be the same kind of sign to the people of his time as Jonah was to the people who lived in Nineveh.</w:t>
      </w:r>
    </w:p>
    <w:p>
      <w:pPr>
        <w:pStyle w:val="Heading5"/>
      </w:pPr>
      <w:r>
        <w:rPr>
          <w:lang w:val="en_US" w:bidi="en_US"/>
        </w:rPr>
        <w:t>11:30a</w:t>
      </w:r>
    </w:p>
    <w:p>
      <w:pPr/>
      <w:r>
        <w:rPr>
          <w:lang w:val="en_US" w:bidi="en_US"/>
        </w:rPr>
      </w:r>
      <w:r>
        <w:rPr>
          <w:b/>
          <w:lang w:val="en_US" w:bidi="en_US"/>
        </w:rPr>
        <w:t>For as Jonah was a sign to the Ninevites,</w:t>
      </w:r>
    </w:p>
    <w:p>
      <w:pPr>
        <w:pStyle w:val="ListBullet"/>
        <w:spacing w:line="240" w:lineRule="auto"/>
        <w:ind w:left="720"/>
      </w:pPr>
      <w:r>
        <w:rPr>
          <w:lang w:val="en_US" w:bidi="en_US"/>
        </w:rPr>
      </w:r>
      <w:r>
        <w:rPr>
          <w:lang w:val="en_US" w:bidi="en_US"/>
        </w:rPr>
        <w:t>For Jonah was a sign to the people of Nineveh;</w:t>
      </w:r>
    </w:p>
    <w:p>
      <w:pPr>
        <w:pStyle w:val="ListBullet"/>
        <w:spacing w:line="240" w:lineRule="auto"/>
        <w:ind w:left="720"/>
      </w:pPr>
      <w:r>
        <w:rPr>
          <w:lang w:val="en_US" w:bidi="en_US"/>
        </w:rPr>
      </w:r>
      <w:r>
        <w:rPr>
          <w:lang w:val="en_US" w:bidi="en_US"/>
        </w:rPr>
        <w:t xml:space="preserve">What happened to Jonah proved to the people of Nineveh </w:t>
      </w:r>
      <w:r>
        <w:rPr>
          <w:lang w:val="en_US" w:bidi="en_US"/>
        </w:rPr>
        <w:t>that God had sent him</w:t>
      </w:r>
      <w:r>
        <w:rPr>
          <w:lang w:val="en_US" w:bidi="en_US"/>
        </w:rPr>
        <w:t>.</w:t>
      </w:r>
    </w:p>
    <w:p>
      <w:pPr/>
      <w:r>
        <w:rPr>
          <w:lang w:val="en_US" w:bidi="en_US"/>
        </w:rPr>
      </w:r>
      <w:r>
        <w:rPr>
          <w:b/>
          <w:lang w:val="en_US" w:bidi="en_US"/>
        </w:rPr>
        <w:t>Jonah was a sign to the Ninevites:</w:t>
      </w:r>
      <w:r>
        <w:rPr>
          <w:lang w:val="en_US" w:bidi="en_US"/>
        </w:rPr>
        <w:t xml:space="preserve"> This clause probably means that what happened to Jonah proved to the people of Nineveh that his message was from God.</w:t>
      </w:r>
    </w:p>
    <w:p>
      <w:pPr/>
      <w:r>
        <w:rPr>
          <w:lang w:val="en_US" w:bidi="en_US"/>
        </w:rPr>
      </w:r>
      <w:r>
        <w:rPr>
          <w:b/>
          <w:lang w:val="en_US" w:bidi="en_US"/>
        </w:rPr>
        <w:t>the Ninevites:</w:t>
      </w:r>
      <w:r>
        <w:rPr>
          <w:lang w:val="en_US" w:bidi="en_US"/>
        </w:rPr>
        <w:t xml:space="preserve"> The phrase </w:t>
      </w:r>
      <w:r>
        <w:rPr>
          <w:i/>
          <w:lang w:val="en_US" w:bidi="en_US"/>
        </w:rPr>
        <w:t>the Ninevites</w:t>
      </w:r>
      <w:r>
        <w:rPr>
          <w:lang w:val="en_US" w:bidi="en_US"/>
        </w:rPr>
        <w:t xml:space="preserve"> means “the people who lived in the city of Nineveh.” Nineveh was the capital of Assyria.</w:t>
      </w:r>
    </w:p>
    <w:p>
      <w:pPr>
        <w:pStyle w:val="Heading5"/>
      </w:pPr>
      <w:r>
        <w:rPr>
          <w:lang w:val="en_US" w:bidi="en_US"/>
        </w:rPr>
        <w:t>11:30b</w:t>
      </w:r>
    </w:p>
    <w:p>
      <w:pPr/>
      <w:r>
        <w:rPr>
          <w:lang w:val="en_US" w:bidi="en_US"/>
        </w:rPr>
      </w:r>
      <w:r>
        <w:rPr>
          <w:b/>
          <w:lang w:val="en_US" w:bidi="en_US"/>
        </w:rPr>
        <w:t>so the Son of Man will be a sign to this generation.</w:t>
      </w:r>
    </w:p>
    <w:p>
      <w:pPr>
        <w:pStyle w:val="ListBullet"/>
        <w:spacing w:line="240" w:lineRule="auto"/>
        <w:ind w:left="720"/>
      </w:pPr>
      <w:r>
        <w:rPr>
          <w:lang w:val="en_US" w:bidi="en_US"/>
        </w:rPr>
      </w:r>
      <w:r>
        <w:rPr>
          <w:lang w:val="en_US" w:bidi="en_US"/>
        </w:rPr>
        <w:t xml:space="preserve">in the same way, </w:t>
      </w:r>
      <w:r>
        <w:rPr>
          <w:lang w:val="en_US" w:bidi="en_US"/>
        </w:rPr>
        <w:t>I,</w:t>
      </w:r>
      <w:r>
        <w:rPr>
          <w:lang w:val="en_US" w:bidi="en_US"/>
        </w:rPr>
        <w:t xml:space="preserve"> the Son of Man, will be </w:t>
      </w:r>
      <w:r>
        <w:rPr>
          <w:lang w:val="en_US" w:bidi="en_US"/>
        </w:rPr>
        <w:t>a sign</w:t>
      </w:r>
      <w:r>
        <w:rPr>
          <w:lang w:val="en_US" w:bidi="en_US"/>
        </w:rPr>
        <w:t xml:space="preserve"> to </w:t>
      </w:r>
      <w:r>
        <w:rPr>
          <w:lang w:val="en_US" w:bidi="en_US"/>
        </w:rPr>
        <w:t>you</w:t>
      </w:r>
      <w:r>
        <w:rPr>
          <w:vertAlign w:val="superscript"/>
          <w:lang w:val="en_US" w:bidi="en_US"/>
        </w:rPr>
        <w:t>(plur)</w:t>
      </w:r>
      <w:r>
        <w:rPr>
          <w:lang w:val="en_US" w:bidi="en_US"/>
        </w:rPr>
        <w:t xml:space="preserve"> people of today.</w:t>
      </w:r>
    </w:p>
    <w:p>
      <w:pPr>
        <w:pStyle w:val="ListBullet"/>
        <w:spacing w:line="240" w:lineRule="auto"/>
        <w:ind w:left="720"/>
      </w:pPr>
      <w:r>
        <w:rPr>
          <w:lang w:val="en_US" w:bidi="en_US"/>
        </w:rPr>
      </w:r>
      <w:r>
        <w:rPr>
          <w:lang w:val="en_US" w:bidi="en_US"/>
        </w:rPr>
        <w:t xml:space="preserve">And it will be similar with </w:t>
      </w:r>
      <w:r>
        <w:rPr>
          <w:lang w:val="en_US" w:bidi="en_US"/>
        </w:rPr>
        <w:t>me</w:t>
      </w:r>
      <w:r>
        <w:rPr>
          <w:lang w:val="en_US" w:bidi="en_US"/>
        </w:rPr>
        <w:t xml:space="preserve">, the Son of Man. What will happen to </w:t>
      </w:r>
      <w:r>
        <w:rPr>
          <w:lang w:val="en_US" w:bidi="en_US"/>
        </w:rPr>
        <w:t>me</w:t>
      </w:r>
      <w:r>
        <w:rPr>
          <w:lang w:val="en_US" w:bidi="en_US"/>
        </w:rPr>
        <w:t xml:space="preserve"> will prove to you</w:t>
      </w:r>
      <w:r>
        <w:rPr>
          <w:vertAlign w:val="superscript"/>
          <w:lang w:val="en_US" w:bidi="en_US"/>
        </w:rPr>
        <w:t>(plur)</w:t>
      </w:r>
      <w:r>
        <w:rPr>
          <w:lang w:val="en_US" w:bidi="en_US"/>
        </w:rPr>
        <w:t xml:space="preserve"> </w:t>
      </w:r>
      <w:r>
        <w:rPr>
          <w:lang w:val="en_US" w:bidi="en_US"/>
        </w:rPr>
        <w:t>that God has sent me</w:t>
      </w:r>
      <w:r>
        <w:rPr>
          <w:lang w:val="en_US" w:bidi="en_US"/>
        </w:rPr>
        <w:t>.</w:t>
      </w:r>
    </w:p>
    <w:p>
      <w:pPr/>
      <w:r>
        <w:rPr>
          <w:lang w:val="en_US" w:bidi="en_US"/>
        </w:rPr>
      </w:r>
      <w:r>
        <w:rPr>
          <w:b/>
          <w:lang w:val="en_US" w:bidi="en_US"/>
        </w:rPr>
        <w:t>so the Son of Man will be a sign to this generation:</w:t>
      </w:r>
      <w:r>
        <w:rPr>
          <w:lang w:val="en_US" w:bidi="en_US"/>
        </w:rPr>
        <w:t xml:space="preserve"> This clause means “in the same way, the Son of Man will be a sign to this generation.” Jesus said that he was going to be the same kind of sign that Jonah was to the people of his time. God saved Jonah from dying, and God was going to save Jesus from death by causing him to live again. These miracles were signs that proved that Jonah and Jesus spoke with the authority of God.</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literally “the Son of the human/person.” It is a title that Jesus often used to refer to himself. It implies that:</w:t>
      </w:r>
    </w:p>
    <w:p>
      <w:pPr>
        <w:pStyle w:val="ListNumber"/>
        <w:numPr>
          <w:ilvl w:val="0"/>
          <w:numId w:val="228"/>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Some ways to translate this title are:</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In some languages it may be necessary to indicate explicitly that Jesus was referring to himself here. For example:</w:t>
      </w:r>
    </w:p>
    <w:p>
      <w:pPr/>
      <w:r>
        <w:rPr>
          <w:lang w:val="en_US" w:bidi="en_US"/>
        </w:rPr>
      </w:r>
      <w:r>
        <w:rPr>
          <w:lang w:val="en_US" w:bidi="en_US"/>
        </w:rPr>
        <w:t>I, the Son of Man</w:t>
      </w:r>
    </w:p>
    <w:p>
      <w:pPr/>
      <w:r>
        <w:rPr>
          <w:lang w:val="en_US" w:bidi="en_US"/>
        </w:rPr>
      </w:r>
      <w:r>
        <w:rPr>
          <w:lang w:val="en_US" w:bidi="en_US"/>
        </w:rPr>
        <w:t>This term also occurs in 9:22a.</w:t>
      </w:r>
    </w:p>
    <w:p>
      <w:pPr/>
      <w:r>
        <w:rPr>
          <w:lang w:val="en_US" w:bidi="en_US"/>
        </w:rPr>
      </w:r>
      <w:r>
        <w:rPr>
          <w:b/>
          <w:lang w:val="en_US" w:bidi="en_US"/>
        </w:rPr>
        <w:t>this generation:</w:t>
      </w:r>
      <w:r>
        <w:rPr>
          <w:lang w:val="en_US" w:bidi="en_US"/>
        </w:rPr>
        <w:t xml:space="preserve"> As in 11:29b, </w:t>
      </w:r>
      <w:r>
        <w:rPr>
          <w:i/>
          <w:lang w:val="en_US" w:bidi="en_US"/>
        </w:rPr>
        <w:t>this generation</w:t>
      </w:r>
      <w:r>
        <w:rPr>
          <w:lang w:val="en_US" w:bidi="en_US"/>
        </w:rPr>
        <w:t xml:space="preserve"> refers to the people who were living at the same time that Jesus was living on earth.</w:t>
      </w:r>
      <w:r>
        <w:rPr>
          <w:lang w:val="en_US" w:bidi="en_US"/>
        </w:rPr>
      </w:r>
      <w:r>
        <w:rPr>
          <w:lang w:val="en_US" w:bidi="en_US"/>
        </w:rPr>
      </w:r>
    </w:p>
    <w:p>
      <w:pPr/>
      <w:r>
        <w:rPr>
          <w:lang w:val="en_US" w:bidi="en_US"/>
        </w:rPr>
      </w:r>
    </w:p>
    <w:p>
      <w:pPr>
        <w:pStyle w:val="Heading2"/>
      </w:pPr>
      <w:r>
        <w:rPr>
          <w:lang w:val="en_US" w:bidi="en_US"/>
        </w:rPr>
        <w:t>Luke 11:31</w:t>
      </w:r>
      <w:r>
        <w:rPr>
          <w:lang w:val="en_US" w:bidi="en_US"/>
        </w:rPr>
      </w:r>
    </w:p>
    <w:p>
      <w:pPr>
        <w:pStyle w:val="Heading4"/>
      </w:pPr>
      <w:r>
        <w:rPr>
          <w:lang w:val="en_US" w:bidi="en_US"/>
        </w:rPr>
        <w:t>Section 11:29–32: The people demanded a miracle</w:t>
      </w:r>
    </w:p>
    <w:p>
      <w:pPr/>
      <w:r>
        <w:rPr>
          <w:lang w:val="en_US" w:bidi="en_US"/>
        </w:rPr>
      </w:r>
      <w:r>
        <w:rPr>
          <w:lang w:val="en_US" w:bidi="en_US"/>
        </w:rPr>
        <w:t>In 11:17–26, Jesus answered the accusation in 11:15 that he drove out demons by the power of Beelzebul. In this section, he answered the other group of people who wanted him to show them a sign from heaven (11:16). Even though he had already done many miracles for them, they would not believe that he had come from God. Jesus made it clear that God would punish them because they would not believe in him. He reminded them that the people of Jonah’s time believed what Jonah preached. He also reminded them that the Queen of Sheba in Solomon’s time came from a distant country to listen to Solomon wise words. The people of Jesus’ time were seeing God reveal himself in an even greater way, but they still did not believe.</w:t>
      </w:r>
    </w:p>
    <w:p>
      <w:pPr/>
      <w:r>
        <w:rPr>
          <w:lang w:val="en_US" w:bidi="en_US"/>
        </w:rPr>
      </w:r>
      <w:r>
        <w:rPr>
          <w:lang w:val="en_US" w:bidi="en_US"/>
        </w:rPr>
        <w:t>Some other possible headings for this section are:</w:t>
      </w:r>
    </w:p>
    <w:p>
      <w:pPr/>
      <w:r>
        <w:rPr>
          <w:lang w:val="en_US" w:bidi="en_US"/>
        </w:rPr>
      </w:r>
      <w:r>
        <w:rPr>
          <w:lang w:val="en_US" w:bidi="en_US"/>
        </w:rPr>
        <w:t>The People Want A Miracle (NCV)</w:t>
      </w:r>
    </w:p>
    <w:p>
      <w:pPr/>
      <w:r>
        <w:rPr>
          <w:lang w:val="en_US" w:bidi="en_US"/>
        </w:rPr>
      </w:r>
      <w:r>
        <w:rPr>
          <w:lang w:val="en_US" w:bidi="en_US"/>
        </w:rPr>
        <w:t>The Sign of Jonah (NIV)</w:t>
      </w:r>
    </w:p>
    <w:p>
      <w:pPr/>
      <w:r>
        <w:rPr>
          <w:lang w:val="en_US" w:bidi="en_US"/>
        </w:rPr>
      </w:r>
      <w:r>
        <w:rPr>
          <w:lang w:val="en_US" w:bidi="en_US"/>
        </w:rPr>
        <w:t>There is a parallel passage for this section in Matthew 12:38–42.</w:t>
      </w:r>
    </w:p>
    <w:p>
      <w:pPr>
        <w:pStyle w:val="Heading5"/>
      </w:pPr>
      <w:r>
        <w:rPr>
          <w:lang w:val="en_US" w:bidi="en_US"/>
        </w:rPr>
        <w:t>11:31</w:t>
      </w:r>
    </w:p>
    <w:p>
      <w:pPr/>
      <w:r>
        <w:rPr>
          <w:lang w:val="en_US" w:bidi="en_US"/>
        </w:rPr>
      </w:r>
      <w:r>
        <w:rPr>
          <w:lang w:val="en_US" w:bidi="en_US"/>
        </w:rPr>
        <w:t>In 11:31, Jesus made a shocking statement. He said that on Judgment Day, the Queen of the South (a Gentile) would condemn the Jews who had not responded to Jesus’ message. She could condemn them because she responded to Solomon’s message, but they refused to respond to Jesus’ message even though Jesus was greater than Solomon.</w:t>
      </w:r>
    </w:p>
    <w:p>
      <w:pPr/>
      <w:r>
        <w:rPr>
          <w:lang w:val="en_US" w:bidi="en_US"/>
        </w:rPr>
      </w:r>
      <w:r>
        <w:rPr>
          <w:lang w:val="en_US" w:bidi="en_US"/>
        </w:rPr>
        <w:t>See the General Comment on 11:31a–d at the end of 11:31d for a way to put this verse in chronological order.</w:t>
      </w:r>
    </w:p>
    <w:p>
      <w:pPr>
        <w:pStyle w:val="Heading5"/>
      </w:pPr>
      <w:r>
        <w:rPr>
          <w:lang w:val="en_US" w:bidi="en_US"/>
        </w:rPr>
        <w:t>11:31a</w:t>
      </w:r>
    </w:p>
    <w:p>
      <w:pPr/>
      <w:r>
        <w:rPr>
          <w:lang w:val="en_US" w:bidi="en_US"/>
        </w:rPr>
      </w:r>
      <w:r>
        <w:rPr>
          <w:b/>
          <w:lang w:val="en_US" w:bidi="en_US"/>
        </w:rPr>
        <w:t>The Queen of the South will rise at the judgment with the men of this generation</w:t>
      </w:r>
    </w:p>
    <w:p>
      <w:pPr>
        <w:pStyle w:val="ListBullet"/>
        <w:spacing w:line="240" w:lineRule="auto"/>
        <w:ind w:left="720"/>
      </w:pPr>
      <w:r>
        <w:rPr>
          <w:lang w:val="en_US" w:bidi="en_US"/>
        </w:rPr>
      </w:r>
      <w:r>
        <w:rPr>
          <w:lang w:val="en_US" w:bidi="en_US"/>
        </w:rPr>
        <w:t xml:space="preserve">At the </w:t>
      </w:r>
      <w:r>
        <w:rPr>
          <w:lang w:val="en_US" w:bidi="en_US"/>
        </w:rPr>
        <w:t>time of</w:t>
      </w:r>
      <w:r>
        <w:rPr>
          <w:lang w:val="en_US" w:bidi="en_US"/>
        </w:rPr>
        <w:t xml:space="preserve"> judgment, the queen of </w:t>
      </w:r>
      <w:r>
        <w:rPr>
          <w:lang w:val="en_US" w:bidi="en_US"/>
        </w:rPr>
        <w:t>the country to</w:t>
      </w:r>
      <w:r>
        <w:rPr>
          <w:lang w:val="en_US" w:bidi="en_US"/>
        </w:rPr>
        <w:t xml:space="preserve"> the south will stand up together with the men/people who are living today</w:t>
      </w:r>
    </w:p>
    <w:p>
      <w:pPr>
        <w:pStyle w:val="ListBullet"/>
        <w:spacing w:line="240" w:lineRule="auto"/>
        <w:ind w:left="720"/>
      </w:pPr>
      <w:r>
        <w:rPr>
          <w:lang w:val="en_US" w:bidi="en_US"/>
        </w:rPr>
      </w:r>
      <w:r>
        <w:rPr>
          <w:lang w:val="en_US" w:bidi="en_US"/>
        </w:rPr>
        <w:t xml:space="preserve">The woman who </w:t>
      </w:r>
      <w:r>
        <w:rPr>
          <w:lang w:val="en_US" w:bidi="en_US"/>
        </w:rPr>
        <w:t>formerly</w:t>
      </w:r>
      <w:r>
        <w:rPr>
          <w:lang w:val="en_US" w:bidi="en_US"/>
        </w:rPr>
        <w:t xml:space="preserve"> was the ruler of a southern </w:t>
      </w:r>
      <w:r>
        <w:rPr>
          <w:lang w:val="en_US" w:bidi="en_US"/>
        </w:rPr>
        <w:t>country</w:t>
      </w:r>
      <w:r>
        <w:rPr>
          <w:lang w:val="en_US" w:bidi="en_US"/>
        </w:rPr>
        <w:t xml:space="preserve"> will be there with you</w:t>
      </w:r>
      <w:r>
        <w:rPr>
          <w:vertAlign w:val="superscript"/>
          <w:lang w:val="en_US" w:bidi="en_US"/>
        </w:rPr>
        <w:t>(plur)</w:t>
      </w:r>
      <w:r>
        <w:rPr>
          <w:lang w:val="en_US" w:bidi="en_US"/>
        </w:rPr>
        <w:t xml:space="preserve"> </w:t>
      </w:r>
      <w:r>
        <w:rPr>
          <w:lang w:val="en_US" w:bidi="en_US"/>
        </w:rPr>
        <w:t>at the time</w:t>
      </w:r>
      <w:r>
        <w:rPr>
          <w:lang w:val="en_US" w:bidi="en_US"/>
        </w:rPr>
        <w:t xml:space="preserve"> when </w:t>
      </w:r>
      <w:r>
        <w:rPr>
          <w:lang w:val="en_US" w:bidi="en_US"/>
        </w:rPr>
        <w:t>God</w:t>
      </w:r>
      <w:r>
        <w:rPr>
          <w:lang w:val="en_US" w:bidi="en_US"/>
        </w:rPr>
        <w:t xml:space="preserve"> will judge </w:t>
      </w:r>
      <w:r>
        <w:rPr>
          <w:lang w:val="en_US" w:bidi="en_US"/>
        </w:rPr>
        <w:t>people</w:t>
      </w:r>
      <w:r>
        <w:rPr>
          <w:lang w:val="en_US" w:bidi="en_US"/>
        </w:rPr>
        <w:t>.</w:t>
      </w:r>
    </w:p>
    <w:p>
      <w:pPr/>
      <w:r>
        <w:rPr>
          <w:lang w:val="en_US" w:bidi="en_US"/>
        </w:rPr>
      </w:r>
      <w:r>
        <w:rPr>
          <w:b/>
          <w:lang w:val="en_US" w:bidi="en_US"/>
        </w:rPr>
        <w:t>The Queen of the South:</w:t>
      </w:r>
      <w:r>
        <w:rPr>
          <w:lang w:val="en_US" w:bidi="en_US"/>
        </w:rPr>
        <w:t xml:space="preserve"> </w:t>
      </w:r>
      <w:r>
        <w:rPr>
          <w:i/>
          <w:lang w:val="en_US" w:bidi="en_US"/>
        </w:rPr>
        <w:t>The Queen of the South</w:t>
      </w:r>
      <w:r>
        <w:rPr>
          <w:lang w:val="en_US" w:bidi="en_US"/>
        </w:rPr>
        <w:t xml:space="preserve"> refers to the Queen of Sheba (mentioned in 1 Kings 10:1–13). Her country was south of Israel, perhaps in the country that today is called Ethiopia. She had lived almost a thousand years before the time of Jesus. In some languages it may be necessary to make some of this implied information explicit. For example:</w:t>
      </w:r>
    </w:p>
    <w:p>
      <w:pPr/>
      <w:r>
        <w:rPr>
          <w:lang w:val="en_US" w:bidi="en_US"/>
        </w:rPr>
      </w:r>
      <w:r>
        <w:rPr>
          <w:lang w:val="en_US" w:bidi="en_US"/>
        </w:rPr>
        <w:t xml:space="preserve">The </w:t>
      </w:r>
      <w:r>
        <w:rPr>
          <w:lang w:val="en_US" w:bidi="en_US"/>
        </w:rPr>
        <w:t>former</w:t>
      </w:r>
      <w:r>
        <w:rPr>
          <w:lang w:val="en_US" w:bidi="en_US"/>
        </w:rPr>
        <w:t xml:space="preserve"> queen of </w:t>
      </w:r>
      <w:r>
        <w:rPr>
          <w:lang w:val="en_US" w:bidi="en_US"/>
        </w:rPr>
        <w:t>a country to</w:t>
      </w:r>
      <w:r>
        <w:rPr>
          <w:lang w:val="en_US" w:bidi="en_US"/>
        </w:rPr>
        <w:t xml:space="preserve"> the south</w:t>
      </w:r>
    </w:p>
    <w:p>
      <w:pPr/>
      <w:r>
        <w:rPr>
          <w:lang w:val="en_US" w:bidi="en_US"/>
        </w:rPr>
      </w:r>
      <w:r>
        <w:rPr>
          <w:b/>
          <w:lang w:val="en_US" w:bidi="en_US"/>
        </w:rPr>
        <w:t>Queen:</w:t>
      </w:r>
      <w:r>
        <w:rPr>
          <w:lang w:val="en_US" w:bidi="en_US"/>
        </w:rPr>
        <w:t xml:space="preserve"> In languages that do not have a word for </w:t>
      </w:r>
      <w:r>
        <w:rPr>
          <w:i/>
          <w:lang w:val="en_US" w:bidi="en_US"/>
        </w:rPr>
        <w:t>Queen</w:t>
      </w:r>
      <w:r>
        <w:rPr>
          <w:lang w:val="en_US" w:bidi="en_US"/>
        </w:rPr>
        <w:t>, it may be possible to use a descriptive phrase. For example:</w:t>
      </w:r>
    </w:p>
    <w:p>
      <w:pPr/>
      <w:r>
        <w:rPr>
          <w:lang w:val="en_US" w:bidi="en_US"/>
        </w:rPr>
      </w:r>
      <w:r>
        <w:rPr>
          <w:lang w:val="en_US" w:bidi="en_US"/>
        </w:rPr>
        <w:t>the woman who was the leader/chief</w:t>
      </w:r>
    </w:p>
    <w:p>
      <w:pPr/>
      <w:r>
        <w:rPr>
          <w:lang w:val="en_US" w:bidi="en_US"/>
        </w:rPr>
      </w:r>
      <w:r>
        <w:rPr>
          <w:lang w:val="en_US" w:bidi="en_US"/>
        </w:rPr>
        <w:t>the woman who ruled</w:t>
      </w:r>
    </w:p>
    <w:p>
      <w:pPr/>
      <w:r>
        <w:rPr>
          <w:lang w:val="en_US" w:bidi="en_US"/>
        </w:rPr>
      </w:r>
      <w:r>
        <w:rPr>
          <w:b/>
          <w:lang w:val="en_US" w:bidi="en_US"/>
        </w:rPr>
        <w:t>will rise:</w:t>
      </w:r>
      <w:r>
        <w:rPr>
          <w:lang w:val="en_US" w:bidi="en_US"/>
        </w:rPr>
        <w:t xml:space="preserve"> Scholars have interpreted the Greek verb that the BSB translates literally as </w:t>
      </w:r>
      <w:r>
        <w:rPr>
          <w:i/>
          <w:lang w:val="en_US" w:bidi="en_US"/>
        </w:rPr>
        <w:t>will rise</w:t>
      </w:r>
      <w:r>
        <w:rPr>
          <w:lang w:val="en_US" w:bidi="en_US"/>
        </w:rPr>
        <w:t xml:space="preserve"> in two ways:</w:t>
      </w:r>
    </w:p>
    <w:p>
      <w:pPr>
        <w:pStyle w:val="ListNumber"/>
        <w:numPr>
          <w:ilvl w:val="0"/>
          <w:numId w:val="229"/>
        </w:numPr>
        <w:spacing w:line="240" w:lineRule="auto"/>
        <w:ind w:left="720"/>
      </w:pPr>
      <w:r>
        <w:rPr>
          <w:lang w:val="en_US" w:bidi="en_US"/>
        </w:rPr>
      </w:r>
      <w:r>
        <w:rPr>
          <w:lang w:val="en_US" w:bidi="en_US"/>
        </w:rPr>
        <w:t xml:space="preserve">It means </w:t>
      </w:r>
      <w:r>
        <w:rPr>
          <w:u w:val="single"/>
          <w:lang w:val="en_US" w:bidi="en_US"/>
        </w:rPr>
        <w:t>will stand up</w:t>
      </w:r>
      <w:r>
        <w:rPr>
          <w:lang w:val="en_US" w:bidi="en_US"/>
        </w:rPr>
        <w:t xml:space="preserve">, or </w:t>
      </w:r>
      <w:r>
        <w:rPr>
          <w:u w:val="single"/>
          <w:lang w:val="en_US" w:bidi="en_US"/>
        </w:rPr>
        <w:t>will appear</w:t>
      </w:r>
      <w:r>
        <w:rPr>
          <w:lang w:val="en_US" w:bidi="en_US"/>
        </w:rPr>
        <w:t>. The Queen of the South will stand up in God’s court when he judges people at the end of the world. For example:</w:t>
      </w:r>
      <w:r>
        <w:rPr>
          <w:lang w:val="en_US" w:bidi="en_US"/>
        </w:rPr>
        <w:t xml:space="preserve">On the Judgment Day the Queen of Sheba will stand up… (GNT) </w:t>
      </w:r>
      <w:r>
        <w:rPr>
          <w:i/>
          <w:lang w:val="en_US" w:bidi="en_US"/>
        </w:rPr>
        <w:t>(GNT, NJB, NET, CEV, GW, NCV, REB, NLT)</w:t>
      </w:r>
    </w:p>
    <w:p>
      <w:pPr>
        <w:pStyle w:val="ListNumber"/>
        <w:spacing w:line="240" w:lineRule="auto"/>
        <w:ind w:left="720"/>
      </w:pPr>
      <w:r>
        <w:rPr>
          <w:lang w:val="en_US" w:bidi="en_US"/>
        </w:rPr>
      </w:r>
      <w:r>
        <w:rPr>
          <w:lang w:val="en_US" w:bidi="en_US"/>
        </w:rPr>
        <w:t xml:space="preserve">It means </w:t>
      </w:r>
      <w:r>
        <w:rPr>
          <w:u w:val="single"/>
          <w:lang w:val="en_US" w:bidi="en_US"/>
        </w:rPr>
        <w:t>will rise from the dead</w:t>
      </w:r>
      <w:r>
        <w:rPr>
          <w:lang w:val="en_US" w:bidi="en_US"/>
        </w:rPr>
        <w:t xml:space="preserve">, or </w:t>
      </w:r>
      <w:r>
        <w:rPr>
          <w:u w:val="single"/>
          <w:lang w:val="en_US" w:bidi="en_US"/>
        </w:rPr>
        <w:t>will live again</w:t>
      </w:r>
      <w:r>
        <w:rPr>
          <w:lang w:val="en_US" w:bidi="en_US"/>
        </w:rPr>
        <w:t>. This view is supported by some commentators.</w:t>
      </w:r>
    </w:p>
    <w:p>
      <w:pPr/>
      <w:r>
        <w:rPr>
          <w:lang w:val="en_US" w:bidi="en_US"/>
        </w:rPr>
      </w:r>
      <w:r>
        <w:rPr>
          <w:lang w:val="en_US" w:bidi="en_US"/>
        </w:rPr>
        <w:t>The BSB, NIV, NASB, RSV, and KJV translate the verb literally as “rise” or “arise,” which can be understood either way. It is recommended that you follow interpretation (1) and use a verb that is appropriate for appearing in court to condemn someone. Notice that interpretation (1) does assume that the Queen of the South will rise from the dead (interpretation 2).</w:t>
      </w:r>
    </w:p>
    <w:p>
      <w:pPr/>
      <w:r>
        <w:rPr>
          <w:lang w:val="en_US" w:bidi="en_US"/>
        </w:rPr>
      </w:r>
      <w:r>
        <w:rPr>
          <w:b/>
          <w:lang w:val="en_US" w:bidi="en_US"/>
        </w:rPr>
        <w:t>at the judgment:</w:t>
      </w:r>
      <w:r>
        <w:rPr>
          <w:lang w:val="en_US" w:bidi="en_US"/>
        </w:rPr>
        <w:t xml:space="preserve"> The Greek phrase that the BSB translates as </w:t>
      </w:r>
      <w:r>
        <w:rPr>
          <w:i/>
          <w:lang w:val="en_US" w:bidi="en_US"/>
        </w:rPr>
        <w:t>at the judgment</w:t>
      </w:r>
      <w:r>
        <w:rPr>
          <w:lang w:val="en_US" w:bidi="en_US"/>
        </w:rPr>
        <w:t xml:space="preserve"> refers to the time at the end of this world when God judges everyone. Some other ways to translate this phrase are:</w:t>
      </w:r>
    </w:p>
    <w:p>
      <w:pPr/>
      <w:r>
        <w:rPr>
          <w:lang w:val="en_US" w:bidi="en_US"/>
        </w:rPr>
      </w:r>
      <w:r>
        <w:rPr>
          <w:lang w:val="en_US" w:bidi="en_US"/>
        </w:rPr>
        <w:t>Judgment Day (GNT)</w:t>
      </w:r>
    </w:p>
    <w:p>
      <w:pPr/>
      <w:r>
        <w:rPr>
          <w:lang w:val="en_US" w:bidi="en_US"/>
        </w:rPr>
      </w:r>
      <w:r>
        <w:rPr>
          <w:lang w:val="en_US" w:bidi="en_US"/>
        </w:rPr>
        <w:t>the time of judgment (GW)</w:t>
      </w:r>
    </w:p>
    <w:p>
      <w:pPr/>
      <w:r>
        <w:rPr>
          <w:lang w:val="en_US" w:bidi="en_US"/>
        </w:rPr>
      </w:r>
      <w:r>
        <w:rPr>
          <w:lang w:val="en_US" w:bidi="en_US"/>
        </w:rPr>
        <w:t>This phrase also occurs in 10:14.</w:t>
      </w:r>
    </w:p>
    <w:p>
      <w:pPr/>
      <w:r>
        <w:rPr>
          <w:lang w:val="en_US" w:bidi="en_US"/>
        </w:rPr>
      </w:r>
      <w:r>
        <w:rPr>
          <w:b/>
          <w:lang w:val="en_US" w:bidi="en_US"/>
        </w:rPr>
        <w:t>with the men of this generation:</w:t>
      </w:r>
      <w:r>
        <w:rPr>
          <w:lang w:val="en_US" w:bidi="en_US"/>
        </w:rPr>
        <w:t xml:space="preserve"> The Greek phrase that the BSB translates as </w:t>
      </w:r>
      <w:r>
        <w:rPr>
          <w:i/>
          <w:lang w:val="en_US" w:bidi="en_US"/>
        </w:rPr>
        <w:t>with the men of this generation</w:t>
      </w:r>
      <w:r>
        <w:rPr>
          <w:lang w:val="en_US" w:bidi="en_US"/>
        </w:rPr>
        <w:t xml:space="preserve"> means “together with the men who are living now (that is, at Jesus’ time).” This means that the Queen will be standing at the same time as these men. It does not mean that the Queen will stand in support of them. In fact, she will stand to condemn them. Here is one way to make this clear:</w:t>
      </w:r>
    </w:p>
    <w:p>
      <w:pPr/>
      <w:r>
        <w:rPr>
          <w:lang w:val="en_US" w:bidi="en_US"/>
        </w:rPr>
      </w:r>
      <w:r>
        <w:rPr>
          <w:lang w:val="en_US" w:bidi="en_US"/>
        </w:rPr>
        <w:t>against this generation (NLT)</w:t>
      </w:r>
    </w:p>
    <w:p>
      <w:pPr/>
      <w:r>
        <w:rPr>
          <w:lang w:val="en_US" w:bidi="en_US"/>
        </w:rPr>
      </w:r>
      <w:r>
        <w:rPr>
          <w:b/>
          <w:lang w:val="en_US" w:bidi="en_US"/>
        </w:rPr>
        <w:t>the men of this generation:</w:t>
      </w:r>
      <w:r>
        <w:rPr>
          <w:lang w:val="en_US" w:bidi="en_US"/>
        </w:rPr>
        <w:t xml:space="preserve"> The Greek word that the BSB translates as </w:t>
      </w:r>
      <w:r>
        <w:rPr>
          <w:i/>
          <w:lang w:val="en_US" w:bidi="en_US"/>
        </w:rPr>
        <w:t>men</w:t>
      </w:r>
      <w:r>
        <w:rPr>
          <w:lang w:val="en_US" w:bidi="en_US"/>
        </w:rPr>
        <w:t xml:space="preserve"> normally refers to males. In Jesus’ time, men were the leaders and decision-makers of the people. However, this does not mean that women will not be at the judgment. For this reason, you can translate </w:t>
      </w:r>
      <w:r>
        <w:rPr>
          <w:i/>
          <w:lang w:val="en_US" w:bidi="en_US"/>
        </w:rPr>
        <w:t>men</w:t>
      </w:r>
      <w:r>
        <w:rPr>
          <w:lang w:val="en_US" w:bidi="en_US"/>
        </w:rPr>
        <w:t xml:space="preserve"> as “people.” For example:</w:t>
      </w:r>
    </w:p>
    <w:p>
      <w:pPr/>
      <w:r>
        <w:rPr>
          <w:lang w:val="en_US" w:bidi="en_US"/>
        </w:rPr>
      </w:r>
      <w:r>
        <w:rPr>
          <w:lang w:val="en_US" w:bidi="en_US"/>
        </w:rPr>
        <w:t>the people who live now (NCV)</w:t>
      </w:r>
    </w:p>
    <w:p>
      <w:pPr>
        <w:pStyle w:val="Heading5"/>
      </w:pPr>
      <w:r>
        <w:rPr>
          <w:lang w:val="en_US" w:bidi="en_US"/>
        </w:rPr>
        <w:t>11:31b</w:t>
      </w:r>
    </w:p>
    <w:p>
      <w:pPr/>
      <w:r>
        <w:rPr>
          <w:lang w:val="en_US" w:bidi="en_US"/>
        </w:rPr>
      </w:r>
      <w:r>
        <w:rPr>
          <w:b/>
          <w:lang w:val="en_US" w:bidi="en_US"/>
        </w:rPr>
        <w:t>and condemn them;</w:t>
      </w:r>
    </w:p>
    <w:p>
      <w:pPr>
        <w:pStyle w:val="ListBullet"/>
        <w:spacing w:line="240" w:lineRule="auto"/>
        <w:ind w:left="720"/>
      </w:pPr>
      <w:r>
        <w:rPr>
          <w:lang w:val="en_US" w:bidi="en_US"/>
        </w:rPr>
      </w:r>
      <w:r>
        <w:rPr>
          <w:lang w:val="en_US" w:bidi="en_US"/>
        </w:rPr>
        <w:t>and will accuse them of doing wrong,</w:t>
      </w:r>
    </w:p>
    <w:p>
      <w:pPr>
        <w:pStyle w:val="ListBullet"/>
        <w:spacing w:line="240" w:lineRule="auto"/>
        <w:ind w:left="720"/>
      </w:pPr>
      <w:r>
        <w:rPr>
          <w:lang w:val="en_US" w:bidi="en_US"/>
        </w:rPr>
      </w:r>
      <w:r>
        <w:rPr>
          <w:lang w:val="en_US" w:bidi="en_US"/>
        </w:rPr>
        <w:t>She will show that you</w:t>
      </w:r>
      <w:r>
        <w:rPr>
          <w:vertAlign w:val="superscript"/>
          <w:lang w:val="en_US" w:bidi="en_US"/>
        </w:rPr>
        <w:t>(plur)</w:t>
      </w:r>
      <w:r>
        <w:rPr>
          <w:lang w:val="en_US" w:bidi="en_US"/>
        </w:rPr>
        <w:t xml:space="preserve"> are wrong.</w:t>
      </w:r>
    </w:p>
    <w:p>
      <w:pPr/>
      <w:r>
        <w:rPr>
          <w:lang w:val="en_US" w:bidi="en_US"/>
        </w:rPr>
      </w:r>
      <w:r>
        <w:rPr>
          <w:b/>
          <w:lang w:val="en_US" w:bidi="en_US"/>
        </w:rPr>
        <w:t>and condemn them:</w:t>
      </w:r>
      <w:r>
        <w:rPr>
          <w:lang w:val="en_US" w:bidi="en_US"/>
        </w:rPr>
        <w:t xml:space="preserve"> In this context, the Greek verb that the BSB translates as </w:t>
      </w:r>
      <w:r>
        <w:rPr>
          <w:i/>
          <w:lang w:val="en_US" w:bidi="en_US"/>
        </w:rPr>
        <w:t>condemn</w:t>
      </w:r>
      <w:r>
        <w:rPr>
          <w:lang w:val="en_US" w:bidi="en_US"/>
        </w:rPr>
        <w:t xml:space="preserve"> means “show to be wrong.” The Queen of the South will not be acting as the judge. Rather, she will show that what she did pleased God. She will show that the Jewish people of Jesus’ time did not do what pleased God. Some other ways to translate this phrase are:</w:t>
      </w:r>
    </w:p>
    <w:p>
      <w:pPr/>
      <w:r>
        <w:rPr>
          <w:lang w:val="en_US" w:bidi="en_US"/>
        </w:rPr>
      </w:r>
      <w:r>
        <w:rPr>
          <w:lang w:val="en_US" w:bidi="en_US"/>
        </w:rPr>
        <w:t>and accuse the people of today (GNT)</w:t>
      </w:r>
    </w:p>
    <w:p>
      <w:pPr/>
      <w:r>
        <w:rPr>
          <w:lang w:val="en_US" w:bidi="en_US"/>
        </w:rPr>
      </w:r>
      <w:r>
        <w:rPr>
          <w:lang w:val="en_US" w:bidi="en_US"/>
        </w:rPr>
        <w:t>She will show they are guilty (NCV)</w:t>
      </w:r>
    </w:p>
    <w:p>
      <w:pPr>
        <w:pStyle w:val="Heading5"/>
      </w:pPr>
      <w:r>
        <w:rPr>
          <w:lang w:val="en_US" w:bidi="en_US"/>
        </w:rPr>
        <w:t>11:31c</w:t>
      </w:r>
    </w:p>
    <w:p>
      <w:pPr/>
      <w:r>
        <w:rPr>
          <w:lang w:val="en_US" w:bidi="en_US"/>
        </w:rPr>
      </w:r>
      <w:r>
        <w:rPr>
          <w:b/>
          <w:lang w:val="en_US" w:bidi="en_US"/>
        </w:rPr>
        <w:t>for she came from the ends of the earth to hear the wisdom of Solomon,</w:t>
      </w:r>
    </w:p>
    <w:p>
      <w:pPr>
        <w:pStyle w:val="ListBullet"/>
        <w:spacing w:line="240" w:lineRule="auto"/>
        <w:ind w:left="720"/>
      </w:pPr>
      <w:r>
        <w:rPr>
          <w:lang w:val="en_US" w:bidi="en_US"/>
        </w:rPr>
      </w:r>
      <w:r>
        <w:rPr>
          <w:lang w:val="en_US" w:bidi="en_US"/>
        </w:rPr>
        <w:t>for she came/went from a far country to listen to the wise things that Solomon spoke,</w:t>
      </w:r>
    </w:p>
    <w:p>
      <w:pPr>
        <w:pStyle w:val="ListBullet"/>
        <w:spacing w:line="240" w:lineRule="auto"/>
        <w:ind w:left="720"/>
      </w:pPr>
      <w:r>
        <w:rPr>
          <w:lang w:val="en_US" w:bidi="en_US"/>
        </w:rPr>
      </w:r>
      <w:r>
        <w:rPr>
          <w:lang w:val="en_US" w:bidi="en_US"/>
        </w:rPr>
        <w:t>This is</w:t>
      </w:r>
      <w:r>
        <w:rPr>
          <w:lang w:val="en_US" w:bidi="en_US"/>
        </w:rPr>
        <w:t xml:space="preserve"> because she came from a very distant country to hear the words of </w:t>
      </w:r>
      <w:r>
        <w:rPr>
          <w:lang w:val="en_US" w:bidi="en_US"/>
        </w:rPr>
        <w:t>King</w:t>
      </w:r>
      <w:r>
        <w:rPr>
          <w:lang w:val="en_US" w:bidi="en_US"/>
        </w:rPr>
        <w:t xml:space="preserve"> Solomon, who was very wise.</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the reason why the queen will accuse the men (in 11:31a–b). Another way to translate this is:</w:t>
      </w:r>
    </w:p>
    <w:p>
      <w:pPr/>
      <w:r>
        <w:rPr>
          <w:lang w:val="en_US" w:bidi="en_US"/>
        </w:rPr>
      </w:r>
      <w:r>
        <w:rPr>
          <w:lang w:val="en_US" w:bidi="en_US"/>
        </w:rPr>
        <w:t>because (GNT)</w:t>
      </w:r>
    </w:p>
    <w:p>
      <w:pPr/>
      <w:r>
        <w:rPr>
          <w:lang w:val="en_US" w:bidi="en_US"/>
        </w:rPr>
      </w:r>
      <w:r>
        <w:rPr>
          <w:lang w:val="en_US" w:bidi="en_US"/>
        </w:rPr>
        <w:t>(See the General Comment on 11:31a–d at the end of 11:31d for a way to put the reason in 11:31c before 11:31a.)</w:t>
      </w:r>
    </w:p>
    <w:p>
      <w:pPr/>
      <w:r>
        <w:rPr>
          <w:lang w:val="en_US" w:bidi="en_US"/>
        </w:rPr>
      </w:r>
      <w:r>
        <w:rPr>
          <w:b/>
          <w:lang w:val="en_US" w:bidi="en_US"/>
        </w:rPr>
        <w:t>she came from the ends of the earth:</w:t>
      </w:r>
      <w:r>
        <w:rPr>
          <w:lang w:val="en_US" w:bidi="en_US"/>
        </w:rPr>
        <w:t xml:space="preserve"> The Greek phrase that the BSB translates as </w:t>
      </w:r>
      <w:r>
        <w:rPr>
          <w:i/>
          <w:lang w:val="en_US" w:bidi="en_US"/>
        </w:rPr>
        <w:t>from the ends of the earth</w:t>
      </w:r>
      <w:r>
        <w:rPr>
          <w:lang w:val="en_US" w:bidi="en_US"/>
        </w:rPr>
        <w:t xml:space="preserve"> is an idiom. It means “from a place that was very far away.” The Queen of Sheba left her country far in the south and traveled to Israel. In those days her country was at the very end of the world that people in Israel knew about.</w:t>
      </w:r>
    </w:p>
    <w:p>
      <w:pPr/>
      <w:r>
        <w:rPr>
          <w:lang w:val="en_US" w:bidi="en_US"/>
        </w:rPr>
      </w:r>
      <w:r>
        <w:rPr>
          <w:lang w:val="en_US" w:bidi="en_US"/>
        </w:rPr>
        <w:t>Translate this idiom using an expression that refers to making a journey from a very long distance away. For example:</w:t>
      </w:r>
    </w:p>
    <w:p>
      <w:pPr/>
      <w:r>
        <w:rPr>
          <w:lang w:val="en_US" w:bidi="en_US"/>
        </w:rPr>
      </w:r>
      <w:r>
        <w:rPr>
          <w:lang w:val="en_US" w:bidi="en_US"/>
        </w:rPr>
        <w:t>she came from a long distance</w:t>
      </w:r>
    </w:p>
    <w:p>
      <w:pPr/>
      <w:r>
        <w:rPr>
          <w:lang w:val="en_US" w:bidi="en_US"/>
        </w:rPr>
      </w:r>
      <w:r>
        <w:rPr>
          <w:lang w:val="en_US" w:bidi="en_US"/>
        </w:rPr>
        <w:t>she came from her land very far away</w:t>
      </w:r>
    </w:p>
    <w:p>
      <w:pPr/>
      <w:r>
        <w:rPr>
          <w:lang w:val="en_US" w:bidi="en_US"/>
        </w:rPr>
      </w:r>
      <w:r>
        <w:rPr>
          <w:b/>
          <w:lang w:val="en_US" w:bidi="en_US"/>
        </w:rPr>
        <w:t>to hear the wisdom of Solomon:</w:t>
      </w:r>
      <w:r>
        <w:rPr>
          <w:lang w:val="en_US" w:bidi="en_US"/>
        </w:rPr>
        <w:t xml:space="preserve"> The Queen of Sheba journeyed to Israel in order to listen to King Solomon. He was famous for speaking with great wisdom.</w:t>
      </w:r>
    </w:p>
    <w:p>
      <w:pPr/>
      <w:r>
        <w:rPr>
          <w:lang w:val="en_US" w:bidi="en_US"/>
        </w:rPr>
      </w:r>
      <w:r>
        <w:rPr>
          <w:lang w:val="en_US" w:bidi="en_US"/>
        </w:rPr>
        <w:t xml:space="preserve">In some languages, it may not be possible to use an abstract noun such as </w:t>
      </w:r>
      <w:r>
        <w:rPr>
          <w:i/>
          <w:lang w:val="en_US" w:bidi="en_US"/>
        </w:rPr>
        <w:t>wisdom</w:t>
      </w:r>
      <w:r>
        <w:rPr>
          <w:lang w:val="en_US" w:bidi="en_US"/>
        </w:rPr>
        <w:t xml:space="preserve">. Another way to translate </w:t>
      </w:r>
      <w:r>
        <w:rPr>
          <w:i/>
          <w:lang w:val="en_US" w:bidi="en_US"/>
        </w:rPr>
        <w:t>the wisdom of Solomon</w:t>
      </w:r>
      <w:r>
        <w:rPr>
          <w:lang w:val="en_US" w:bidi="en_US"/>
        </w:rPr>
        <w:t xml:space="preserve"> is:</w:t>
      </w:r>
    </w:p>
    <w:p>
      <w:pPr/>
      <w:r>
        <w:rPr>
          <w:lang w:val="en_US" w:bidi="en_US"/>
        </w:rPr>
      </w:r>
      <w:r>
        <w:rPr>
          <w:lang w:val="en_US" w:bidi="en_US"/>
        </w:rPr>
        <w:t>the wise things that Solomon said</w:t>
      </w:r>
    </w:p>
    <w:p>
      <w:pPr/>
      <w:r>
        <w:rPr>
          <w:lang w:val="en_US" w:bidi="en_US"/>
        </w:rPr>
      </w:r>
      <w:r>
        <w:rPr>
          <w:lang w:val="en_US" w:bidi="en_US"/>
        </w:rPr>
        <w:t>In other languages, it is not possible to describe things or words as “wise.” If that is true in your language, you may be able to use a phrase such as:</w:t>
      </w:r>
    </w:p>
    <w:p>
      <w:pPr/>
      <w:r>
        <w:rPr>
          <w:lang w:val="en_US" w:bidi="en_US"/>
        </w:rPr>
      </w:r>
      <w:r>
        <w:rPr>
          <w:lang w:val="en_US" w:bidi="en_US"/>
        </w:rPr>
        <w:t xml:space="preserve">the words of wise </w:t>
      </w:r>
      <w:r>
        <w:rPr>
          <w:lang w:val="en_US" w:bidi="en_US"/>
        </w:rPr>
        <w:t>King</w:t>
      </w:r>
      <w:r>
        <w:rPr>
          <w:lang w:val="en_US" w:bidi="en_US"/>
        </w:rPr>
        <w:t xml:space="preserve"> Solomon</w:t>
      </w:r>
    </w:p>
    <w:p>
      <w:pPr/>
      <w:r>
        <w:rPr>
          <w:lang w:val="en_US" w:bidi="en_US"/>
        </w:rPr>
      </w:r>
      <w:r>
        <w:rPr>
          <w:b/>
          <w:lang w:val="en_US" w:bidi="en_US"/>
        </w:rPr>
        <w:t>Solomon:</w:t>
      </w:r>
      <w:r>
        <w:rPr>
          <w:lang w:val="en_US" w:bidi="en_US"/>
        </w:rPr>
        <w:t xml:space="preserve"> </w:t>
      </w:r>
      <w:r>
        <w:rPr>
          <w:i/>
          <w:lang w:val="en_US" w:bidi="en_US"/>
        </w:rPr>
        <w:t>Solomon</w:t>
      </w:r>
      <w:r>
        <w:rPr>
          <w:lang w:val="en_US" w:bidi="en_US"/>
        </w:rPr>
        <w:t xml:space="preserve"> was a king of Israel more than nine hundred years before Jesus was born. He was famous for being very wise. See 1 Kings chapter 3.</w:t>
      </w:r>
    </w:p>
    <w:p>
      <w:pPr>
        <w:pStyle w:val="Heading5"/>
      </w:pPr>
      <w:r>
        <w:rPr>
          <w:lang w:val="en_US" w:bidi="en_US"/>
        </w:rPr>
        <w:t>11:31d</w:t>
      </w:r>
    </w:p>
    <w:p>
      <w:pPr/>
      <w:r>
        <w:rPr>
          <w:lang w:val="en_US" w:bidi="en_US"/>
        </w:rPr>
      </w:r>
      <w:r>
        <w:rPr>
          <w:b/>
          <w:lang w:val="en_US" w:bidi="en_US"/>
        </w:rPr>
        <w:t>and now One greater than Solomon is here.</w:t>
      </w:r>
    </w:p>
    <w:p>
      <w:pPr>
        <w:pStyle w:val="ListBullet"/>
        <w:spacing w:line="240" w:lineRule="auto"/>
        <w:ind w:left="720"/>
      </w:pPr>
      <w:r>
        <w:rPr>
          <w:lang w:val="en_US" w:bidi="en_US"/>
        </w:rPr>
      </w:r>
      <w:r>
        <w:rPr>
          <w:lang w:val="en_US" w:bidi="en_US"/>
        </w:rPr>
        <w:t>and I tell you that someone is here who is greater than Solomon.</w:t>
      </w:r>
    </w:p>
    <w:p>
      <w:pPr>
        <w:pStyle w:val="ListBullet"/>
        <w:spacing w:line="240" w:lineRule="auto"/>
        <w:ind w:left="720"/>
      </w:pPr>
      <w:r>
        <w:rPr>
          <w:lang w:val="en_US" w:bidi="en_US"/>
        </w:rPr>
      </w:r>
      <w:r>
        <w:rPr>
          <w:lang w:val="en_US" w:bidi="en_US"/>
        </w:rPr>
        <w:t xml:space="preserve">And the truth is that someone greater than Solomon is here. </w:t>
      </w:r>
      <w:r>
        <w:rPr>
          <w:lang w:val="en_US" w:bidi="en_US"/>
        </w:rPr>
        <w:t>But/and you refuse to listen to him.</w:t>
      </w:r>
    </w:p>
    <w:p>
      <w:pPr>
        <w:pStyle w:val="ListBullet"/>
        <w:spacing w:line="240" w:lineRule="auto"/>
        <w:ind w:left="720"/>
      </w:pPr>
      <w:r>
        <w:rPr>
          <w:lang w:val="en_US" w:bidi="en_US"/>
        </w:rPr>
      </w:r>
      <w:r>
        <w:rPr>
          <w:lang w:val="en_US" w:bidi="en_US"/>
        </w:rPr>
        <w:t xml:space="preserve">Now a person who is greater than </w:t>
      </w:r>
      <w:r>
        <w:rPr>
          <w:lang w:val="en_US" w:bidi="en_US"/>
        </w:rPr>
        <w:t>King</w:t>
      </w:r>
      <w:r>
        <w:rPr>
          <w:lang w:val="en_US" w:bidi="en_US"/>
        </w:rPr>
        <w:t xml:space="preserve"> Solomon is here. </w:t>
      </w:r>
      <w:r>
        <w:rPr>
          <w:lang w:val="en_US" w:bidi="en_US"/>
        </w:rPr>
        <w:t>I am that person, but you</w:t>
      </w:r>
      <w:r>
        <w:rPr>
          <w:vertAlign w:val="superscript"/>
          <w:lang w:val="en_US" w:bidi="en_US"/>
        </w:rPr>
        <w:t>(plur)</w:t>
      </w:r>
      <w:r>
        <w:rPr>
          <w:lang w:val="en_US" w:bidi="en_US"/>
        </w:rPr>
        <w:t xml:space="preserve"> </w:t>
      </w:r>
      <w:r>
        <w:rPr>
          <w:lang w:val="en_US" w:bidi="en_US"/>
        </w:rPr>
        <w:t>will not listen to me.</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is literally “behold.” Many English versions translate it that way. This word is used here to call attention to the next statement. It indicates that the next statement is something important or surprising. Some other ways to translate this word are:</w:t>
      </w:r>
    </w:p>
    <w:p>
      <w:pPr/>
      <w:r>
        <w:rPr>
          <w:lang w:val="en_US" w:bidi="en_US"/>
        </w:rPr>
      </w:r>
      <w:r>
        <w:rPr>
          <w:lang w:val="en_US" w:bidi="en_US"/>
        </w:rPr>
        <w:t>I tell you (NCV)</w:t>
      </w:r>
    </w:p>
    <w:p>
      <w:pPr/>
      <w:r>
        <w:rPr>
          <w:lang w:val="en_US" w:bidi="en_US"/>
        </w:rPr>
      </w:r>
      <w:r>
        <w:rPr>
          <w:lang w:val="en_US" w:bidi="en_US"/>
        </w:rPr>
        <w:t>I assure you</w:t>
      </w:r>
    </w:p>
    <w:p>
      <w:pPr/>
      <w:r>
        <w:rPr>
          <w:lang w:val="en_US" w:bidi="en_US"/>
        </w:rPr>
      </w:r>
      <w:r>
        <w:rPr>
          <w:b/>
          <w:lang w:val="en_US" w:bidi="en_US"/>
        </w:rPr>
        <w:t>One greater than Solomon is here:</w:t>
      </w:r>
      <w:r>
        <w:rPr>
          <w:lang w:val="en_US" w:bidi="en_US"/>
        </w:rPr>
        <w:t xml:space="preserve"> The Greek word that the BSB translates as </w:t>
      </w:r>
      <w:r>
        <w:rPr>
          <w:i/>
          <w:lang w:val="en_US" w:bidi="en_US"/>
        </w:rPr>
        <w:t>One greater</w:t>
      </w:r>
      <w:r>
        <w:rPr>
          <w:lang w:val="en_US" w:bidi="en_US"/>
        </w:rPr>
        <w:t xml:space="preserve"> is neuter. It can also be translated this way:</w:t>
      </w:r>
    </w:p>
    <w:p>
      <w:pPr/>
      <w:r>
        <w:rPr>
          <w:lang w:val="en_US" w:bidi="en_US"/>
        </w:rPr>
      </w:r>
      <w:r>
        <w:rPr>
          <w:lang w:val="en_US" w:bidi="en_US"/>
        </w:rPr>
        <w:t>something greater (GNT, RSV)</w:t>
      </w:r>
    </w:p>
    <w:p>
      <w:pPr/>
      <w:r>
        <w:rPr>
          <w:lang w:val="en_US" w:bidi="en_US"/>
        </w:rPr>
      </w:r>
      <w:r>
        <w:rPr>
          <w:lang w:val="en_US" w:bidi="en_US"/>
        </w:rPr>
        <w:t>In either case, Jesus was referring to himself. He was saying that he was greater than Solomon and that his wisdom was greater than Solomon’s. Consider whether in your language it would be more natural to say “something greater” or “someone greater.”</w:t>
      </w:r>
    </w:p>
    <w:p>
      <w:pPr/>
      <w:r>
        <w:rPr>
          <w:lang w:val="en_US" w:bidi="en_US"/>
        </w:rPr>
      </w:r>
      <w:r>
        <w:rPr>
          <w:lang w:val="en_US" w:bidi="en_US"/>
        </w:rPr>
        <w:t>If a person cannot refer to himself using the third person in your language, you may say:</w:t>
      </w:r>
    </w:p>
    <w:p>
      <w:pPr/>
      <w:r>
        <w:rPr>
          <w:lang w:val="en_US" w:bidi="en_US"/>
        </w:rPr>
      </w:r>
      <w:r>
        <w:rPr>
          <w:lang w:val="en_US" w:bidi="en_US"/>
        </w:rPr>
        <w:t xml:space="preserve">Someone who is greater than Solomon is here, </w:t>
      </w:r>
      <w:r>
        <w:rPr>
          <w:lang w:val="en_US" w:bidi="en_US"/>
        </w:rPr>
        <w:t>and that is I</w:t>
      </w:r>
      <w:r>
        <w:rPr>
          <w:lang w:val="en_US" w:bidi="en_US"/>
        </w:rPr>
        <w:t>.</w:t>
      </w:r>
    </w:p>
    <w:p>
      <w:pPr/>
      <w:r>
        <w:rPr>
          <w:lang w:val="en_US" w:bidi="en_US"/>
        </w:rPr>
      </w:r>
      <w:r>
        <w:rPr>
          <w:lang w:val="en_US" w:bidi="en_US"/>
        </w:rPr>
        <w:t>I</w:t>
      </w:r>
      <w:r>
        <w:rPr>
          <w:lang w:val="en_US" w:bidi="en_US"/>
        </w:rPr>
        <w:t xml:space="preserve"> who am greater than Solomon am here.</w:t>
      </w:r>
    </w:p>
    <w:p>
      <w:pPr>
        <w:pStyle w:val="Heading6"/>
      </w:pPr>
      <w:r>
        <w:rPr>
          <w:b/>
          <w:lang w:val="en_US" w:bidi="en_US"/>
        </w:rPr>
        <w:t>General Comment on 11:31d</w:t>
      </w:r>
    </w:p>
    <w:p>
      <w:pPr/>
      <w:r>
        <w:rPr>
          <w:lang w:val="en_US" w:bidi="en_US"/>
        </w:rPr>
      </w:r>
      <w:r>
        <w:rPr>
          <w:lang w:val="en_US" w:bidi="en_US"/>
        </w:rPr>
        <w:t>There is important implied information at the end of this part of the verse. Jesus implied here (but did not say) “but you</w:t>
      </w:r>
      <w:r>
        <w:rPr>
          <w:vertAlign w:val="superscript"/>
          <w:lang w:val="en_US" w:bidi="en_US"/>
        </w:rPr>
        <w:t>(plur)</w:t>
      </w:r>
      <w:r>
        <w:rPr>
          <w:lang w:val="en_US" w:bidi="en_US"/>
        </w:rPr>
        <w:t xml:space="preserve"> will not listen to him!” If the people reading your translation do not understand this implied information, you may need to make it explicit. You could include it in the translation or put it in a footnote. For example:</w:t>
      </w:r>
    </w:p>
    <w:p>
      <w:pPr/>
      <w:r>
        <w:rPr>
          <w:lang w:val="en_US" w:bidi="en_US"/>
        </w:rPr>
      </w:r>
      <w:r>
        <w:rPr>
          <w:lang w:val="en_US" w:bidi="en_US"/>
        </w:rPr>
        <w:t>but you refuse to listen (NLT)</w:t>
      </w:r>
    </w:p>
    <w:p>
      <w:pPr>
        <w:pStyle w:val="Heading6"/>
      </w:pPr>
      <w:r>
        <w:rPr>
          <w:b/>
          <w:lang w:val="en_US" w:bidi="en_US"/>
        </w:rPr>
        <w:t>General Comment on 11:31a–d</w:t>
      </w:r>
    </w:p>
    <w:p>
      <w:pPr/>
      <w:r>
        <w:rPr>
          <w:lang w:val="en_US" w:bidi="en_US"/>
        </w:rPr>
      </w:r>
      <w:r>
        <w:rPr>
          <w:lang w:val="en_US" w:bidi="en_US"/>
        </w:rPr>
        <w:t>In some languages, it may be more natural to change the order of the parts of this verse so that it is in chronological order. For example:</w:t>
      </w:r>
    </w:p>
    <w:p>
      <w:pPr/>
      <w:r>
        <w:rPr>
          <w:lang w:val="en_US" w:bidi="en_US"/>
        </w:rPr>
      </w:r>
      <w:r>
        <w:rPr>
          <w:lang w:val="en_US" w:bidi="en_US"/>
        </w:rPr>
        <w:t>Long ago,</w:t>
      </w:r>
      <w:r>
        <w:rPr>
          <w:lang w:val="en_US" w:bidi="en_US"/>
        </w:rPr>
        <w:t xml:space="preserve"> the Queen of the South </w:t>
      </w:r>
      <w:r>
        <w:rPr>
          <w:vertAlign w:val="superscript"/>
          <w:lang w:val="en_US" w:bidi="en_US"/>
        </w:rPr>
        <w:t>31c</w:t>
      </w:r>
      <w:r>
        <w:rPr>
          <w:lang w:val="en_US" w:bidi="en_US"/>
        </w:rPr>
        <w:t xml:space="preserve">came from the ends of the earth to listen to Solomon’s wisdom. </w:t>
      </w:r>
      <w:r>
        <w:rPr>
          <w:vertAlign w:val="superscript"/>
          <w:lang w:val="en_US" w:bidi="en_US"/>
        </w:rPr>
        <w:t>31d</w:t>
      </w:r>
      <w:r>
        <w:rPr>
          <w:lang w:val="en_US" w:bidi="en_US"/>
        </w:rPr>
        <w:t xml:space="preserve">Now one greater than Solomon is here, </w:t>
      </w:r>
      <w:r>
        <w:rPr>
          <w:lang w:val="en_US" w:bidi="en_US"/>
        </w:rPr>
        <w:t>but you refuse to listen to him</w:t>
      </w:r>
      <w:r>
        <w:rPr>
          <w:lang w:val="en_US" w:bidi="en_US"/>
        </w:rPr>
        <w:t xml:space="preserve">. </w:t>
      </w:r>
      <w:r>
        <w:rPr>
          <w:vertAlign w:val="superscript"/>
          <w:lang w:val="en_US" w:bidi="en_US"/>
        </w:rPr>
        <w:t>31a</w:t>
      </w:r>
      <w:r>
        <w:rPr>
          <w:lang w:val="en_US" w:bidi="en_US"/>
        </w:rPr>
        <w:t xml:space="preserve">That is why at the judgment she will rise with the men of this generation </w:t>
      </w:r>
      <w:r>
        <w:rPr>
          <w:vertAlign w:val="superscript"/>
          <w:lang w:val="en_US" w:bidi="en_US"/>
        </w:rPr>
        <w:t>31b</w:t>
      </w:r>
      <w:r>
        <w:rPr>
          <w:lang w:val="en_US" w:bidi="en_US"/>
        </w:rPr>
        <w:t>and condemn them.</w:t>
      </w:r>
      <w:r>
        <w:rPr>
          <w:lang w:val="en_US" w:bidi="en_US"/>
        </w:rPr>
      </w:r>
      <w:r>
        <w:rPr>
          <w:lang w:val="en_US" w:bidi="en_US"/>
        </w:rPr>
      </w:r>
    </w:p>
    <w:p>
      <w:pPr/>
      <w:r>
        <w:rPr>
          <w:lang w:val="en_US" w:bidi="en_US"/>
        </w:rPr>
      </w:r>
    </w:p>
    <w:p>
      <w:pPr>
        <w:pStyle w:val="Heading2"/>
      </w:pPr>
      <w:r>
        <w:rPr>
          <w:lang w:val="en_US" w:bidi="en_US"/>
        </w:rPr>
        <w:t>Luke 11:32</w:t>
      </w:r>
      <w:r>
        <w:rPr>
          <w:lang w:val="en_US" w:bidi="en_US"/>
        </w:rPr>
      </w:r>
    </w:p>
    <w:p>
      <w:pPr>
        <w:pStyle w:val="Heading4"/>
      </w:pPr>
      <w:r>
        <w:rPr>
          <w:lang w:val="en_US" w:bidi="en_US"/>
        </w:rPr>
        <w:t>Section 11:29–32: The people demanded a miracle</w:t>
      </w:r>
    </w:p>
    <w:p>
      <w:pPr/>
      <w:r>
        <w:rPr>
          <w:lang w:val="en_US" w:bidi="en_US"/>
        </w:rPr>
      </w:r>
      <w:r>
        <w:rPr>
          <w:lang w:val="en_US" w:bidi="en_US"/>
        </w:rPr>
        <w:t>In 11:17–26, Jesus answered the accusation in 11:15 that he drove out demons by the power of Beelzebul. In this section, he answered the other group of people who wanted him to show them a sign from heaven (11:16). Even though he had already done many miracles for them, they would not believe that he had come from God. Jesus made it clear that God would punish them because they would not believe in him. He reminded them that the people of Jonah’s time believed what Jonah preached. He also reminded them that the Queen of Sheba in Solomon’s time came from a distant country to listen to Solomon wise words. The people of Jesus’ time were seeing God reveal himself in an even greater way, but they still did not believe.</w:t>
      </w:r>
    </w:p>
    <w:p>
      <w:pPr/>
      <w:r>
        <w:rPr>
          <w:lang w:val="en_US" w:bidi="en_US"/>
        </w:rPr>
      </w:r>
      <w:r>
        <w:rPr>
          <w:lang w:val="en_US" w:bidi="en_US"/>
        </w:rPr>
        <w:t>Some other possible headings for this section are:</w:t>
      </w:r>
    </w:p>
    <w:p>
      <w:pPr/>
      <w:r>
        <w:rPr>
          <w:lang w:val="en_US" w:bidi="en_US"/>
        </w:rPr>
      </w:r>
      <w:r>
        <w:rPr>
          <w:lang w:val="en_US" w:bidi="en_US"/>
        </w:rPr>
        <w:t>The People Want A Miracle (NCV)</w:t>
      </w:r>
    </w:p>
    <w:p>
      <w:pPr/>
      <w:r>
        <w:rPr>
          <w:lang w:val="en_US" w:bidi="en_US"/>
        </w:rPr>
      </w:r>
      <w:r>
        <w:rPr>
          <w:lang w:val="en_US" w:bidi="en_US"/>
        </w:rPr>
        <w:t>The Sign of Jonah (NIV)</w:t>
      </w:r>
    </w:p>
    <w:p>
      <w:pPr/>
      <w:r>
        <w:rPr>
          <w:lang w:val="en_US" w:bidi="en_US"/>
        </w:rPr>
      </w:r>
      <w:r>
        <w:rPr>
          <w:lang w:val="en_US" w:bidi="en_US"/>
        </w:rPr>
        <w:t>There is a parallel passage for this section in Matthew 12:38–42.</w:t>
      </w:r>
    </w:p>
    <w:p>
      <w:pPr>
        <w:pStyle w:val="Heading5"/>
      </w:pPr>
      <w:r>
        <w:rPr>
          <w:lang w:val="en_US" w:bidi="en_US"/>
        </w:rPr>
        <w:t>11:32</w:t>
      </w:r>
    </w:p>
    <w:p>
      <w:pPr/>
      <w:r>
        <w:rPr>
          <w:lang w:val="en_US" w:bidi="en_US"/>
        </w:rPr>
      </w:r>
      <w:r>
        <w:rPr>
          <w:lang w:val="en_US" w:bidi="en_US"/>
        </w:rPr>
        <w:t>See the General Comment on 11:32a–d at the end of 11:32d for a way to put the information in this verse in chronological order.</w:t>
      </w:r>
    </w:p>
    <w:p>
      <w:pPr>
        <w:pStyle w:val="Heading5"/>
      </w:pPr>
      <w:r>
        <w:rPr>
          <w:lang w:val="en_US" w:bidi="en_US"/>
        </w:rPr>
        <w:t>11:32a</w:t>
      </w:r>
    </w:p>
    <w:p>
      <w:pPr/>
      <w:r>
        <w:rPr>
          <w:lang w:val="en_US" w:bidi="en_US"/>
        </w:rPr>
      </w:r>
      <w:r>
        <w:rPr>
          <w:b/>
          <w:lang w:val="en_US" w:bidi="en_US"/>
        </w:rPr>
        <w:t>The men of Nineveh will stand at the judgment with this generation</w:t>
      </w:r>
    </w:p>
    <w:p>
      <w:pPr>
        <w:pStyle w:val="ListBullet"/>
        <w:spacing w:line="240" w:lineRule="auto"/>
        <w:ind w:left="720"/>
      </w:pPr>
      <w:r>
        <w:rPr>
          <w:lang w:val="en_US" w:bidi="en_US"/>
        </w:rPr>
      </w:r>
      <w:r>
        <w:rPr>
          <w:lang w:val="en_US" w:bidi="en_US"/>
        </w:rPr>
        <w:t xml:space="preserve">The people of Nineveh will </w:t>
      </w:r>
      <w:r>
        <w:rPr>
          <w:lang w:val="en_US" w:bidi="en_US"/>
        </w:rPr>
        <w:t>also</w:t>
      </w:r>
      <w:r>
        <w:rPr>
          <w:lang w:val="en_US" w:bidi="en_US"/>
        </w:rPr>
        <w:t xml:space="preserve"> stand up at the </w:t>
      </w:r>
      <w:r>
        <w:rPr>
          <w:lang w:val="en_US" w:bidi="en_US"/>
        </w:rPr>
        <w:t>time of</w:t>
      </w:r>
      <w:r>
        <w:rPr>
          <w:lang w:val="en_US" w:bidi="en_US"/>
        </w:rPr>
        <w:t xml:space="preserve"> judgment, along with the people who are living today,</w:t>
      </w:r>
    </w:p>
    <w:p>
      <w:pPr>
        <w:pStyle w:val="ListBullet"/>
        <w:spacing w:line="240" w:lineRule="auto"/>
        <w:ind w:left="720"/>
      </w:pPr>
      <w:r>
        <w:rPr>
          <w:lang w:val="en_US" w:bidi="en_US"/>
        </w:rPr>
      </w:r>
      <w:r>
        <w:rPr>
          <w:lang w:val="en_US" w:bidi="en_US"/>
        </w:rPr>
        <w:t xml:space="preserve">On the day when </w:t>
      </w:r>
      <w:r>
        <w:rPr>
          <w:lang w:val="en_US" w:bidi="en_US"/>
        </w:rPr>
        <w:t>God</w:t>
      </w:r>
      <w:r>
        <w:rPr>
          <w:lang w:val="en_US" w:bidi="en_US"/>
        </w:rPr>
        <w:t xml:space="preserve"> judges </w:t>
      </w:r>
      <w:r>
        <w:rPr>
          <w:lang w:val="en_US" w:bidi="en_US"/>
        </w:rPr>
        <w:t>people</w:t>
      </w:r>
      <w:r>
        <w:rPr>
          <w:lang w:val="en_US" w:bidi="en_US"/>
        </w:rPr>
        <w:t xml:space="preserve">, the people of </w:t>
      </w:r>
      <w:r>
        <w:rPr>
          <w:lang w:val="en_US" w:bidi="en_US"/>
        </w:rPr>
        <w:t>the city of</w:t>
      </w:r>
      <w:r>
        <w:rPr>
          <w:lang w:val="en_US" w:bidi="en_US"/>
        </w:rPr>
        <w:t xml:space="preserve"> Nineveh will </w:t>
      </w:r>
      <w:r>
        <w:rPr>
          <w:lang w:val="en_US" w:bidi="en_US"/>
        </w:rPr>
        <w:t>also</w:t>
      </w:r>
      <w:r>
        <w:rPr>
          <w:lang w:val="en_US" w:bidi="en_US"/>
        </w:rPr>
        <w:t xml:space="preserve"> stand up</w:t>
      </w:r>
    </w:p>
    <w:p>
      <w:pPr/>
      <w:r>
        <w:rPr>
          <w:lang w:val="en_US" w:bidi="en_US"/>
        </w:rPr>
      </w:r>
      <w:r>
        <w:rPr>
          <w:b/>
          <w:lang w:val="en_US" w:bidi="en_US"/>
        </w:rPr>
        <w:t>The men of Nineveh:</w:t>
      </w:r>
      <w:r>
        <w:rPr>
          <w:lang w:val="en_US" w:bidi="en_US"/>
        </w:rPr>
        <w:t xml:space="preserve"> The phrase </w:t>
      </w:r>
      <w:r>
        <w:rPr>
          <w:i/>
          <w:lang w:val="en_US" w:bidi="en_US"/>
        </w:rPr>
        <w:t>The men of Nineveh</w:t>
      </w:r>
      <w:r>
        <w:rPr>
          <w:lang w:val="en_US" w:bidi="en_US"/>
        </w:rPr>
        <w:t xml:space="preserve"> means “the men who lived in the city of Nineveh.” The Greek word that the BSB translates as </w:t>
      </w:r>
      <w:r>
        <w:rPr>
          <w:i/>
          <w:lang w:val="en_US" w:bidi="en_US"/>
        </w:rPr>
        <w:t>The men</w:t>
      </w:r>
      <w:r>
        <w:rPr>
          <w:lang w:val="en_US" w:bidi="en_US"/>
        </w:rPr>
        <w:t xml:space="preserve"> normally refers to males. The men were the leaders and representatives of their families. If a literal translation would make your readers think that women will not be present at the judgment, you may need to translate this as the CEV has done:</w:t>
      </w:r>
    </w:p>
    <w:p>
      <w:pPr/>
      <w:r>
        <w:rPr>
          <w:lang w:val="en_US" w:bidi="en_US"/>
        </w:rPr>
      </w:r>
      <w:r>
        <w:rPr>
          <w:lang w:val="en_US" w:bidi="en_US"/>
        </w:rPr>
        <w:t>The people of Nineveh</w:t>
      </w:r>
    </w:p>
    <w:p>
      <w:pPr/>
      <w:r>
        <w:rPr>
          <w:lang w:val="en_US" w:bidi="en_US"/>
        </w:rPr>
      </w:r>
      <w:r>
        <w:rPr>
          <w:b/>
          <w:lang w:val="en_US" w:bidi="en_US"/>
        </w:rPr>
        <w:t>Nineveh:</w:t>
      </w:r>
      <w:r>
        <w:rPr>
          <w:lang w:val="en_US" w:bidi="en_US"/>
        </w:rPr>
        <w:t xml:space="preserve"> </w:t>
      </w:r>
      <w:r>
        <w:rPr>
          <w:i/>
          <w:lang w:val="en_US" w:bidi="en_US"/>
        </w:rPr>
        <w:t>Nineveh</w:t>
      </w:r>
      <w:r>
        <w:rPr>
          <w:lang w:val="en_US" w:bidi="en_US"/>
        </w:rPr>
        <w:t xml:space="preserve"> was the main city in the country of Assyria. The people of Nineveh, like the Queen from the South, were Gentiles.</w:t>
      </w:r>
    </w:p>
    <w:p>
      <w:pPr/>
      <w:r>
        <w:rPr>
          <w:lang w:val="en_US" w:bidi="en_US"/>
        </w:rPr>
      </w:r>
      <w:r>
        <w:rPr>
          <w:b/>
          <w:lang w:val="en_US" w:bidi="en_US"/>
        </w:rPr>
        <w:t>will stand at the judgment:</w:t>
      </w:r>
      <w:r>
        <w:rPr>
          <w:lang w:val="en_US" w:bidi="en_US"/>
        </w:rPr>
        <w:t xml:space="preserve"> The Greek word that the BSB translates as </w:t>
      </w:r>
      <w:r>
        <w:rPr>
          <w:i/>
          <w:lang w:val="en_US" w:bidi="en_US"/>
        </w:rPr>
        <w:t>will stand</w:t>
      </w:r>
      <w:r>
        <w:rPr>
          <w:lang w:val="en_US" w:bidi="en_US"/>
        </w:rPr>
        <w:t xml:space="preserve"> is a different word from the word translated as “rise” in 11:31a, but it means basically the same thing. Here it refers to standing/appearing in a court in order to accuse someone.</w:t>
      </w:r>
    </w:p>
    <w:p>
      <w:pPr/>
      <w:r>
        <w:rPr>
          <w:lang w:val="en_US" w:bidi="en_US"/>
        </w:rPr>
      </w:r>
      <w:r>
        <w:rPr>
          <w:b/>
          <w:lang w:val="en_US" w:bidi="en_US"/>
        </w:rPr>
        <w:t>with this generation:</w:t>
      </w:r>
      <w:r>
        <w:rPr>
          <w:lang w:val="en_US" w:bidi="en_US"/>
        </w:rPr>
        <w:t xml:space="preserve"> The Greek phrase that the BSB literally translates as </w:t>
      </w:r>
      <w:r>
        <w:rPr>
          <w:i/>
          <w:lang w:val="en_US" w:bidi="en_US"/>
        </w:rPr>
        <w:t>with this generation</w:t>
      </w:r>
      <w:r>
        <w:rPr>
          <w:lang w:val="en_US" w:bidi="en_US"/>
        </w:rPr>
        <w:t xml:space="preserve"> indicates that, during the judgment, two groups will be standing at the same time:</w:t>
      </w:r>
    </w:p>
    <w:p>
      <w:pPr>
        <w:pStyle w:val="ListNumber"/>
        <w:numPr>
          <w:ilvl w:val="0"/>
          <w:numId w:val="230"/>
        </w:numPr>
        <w:spacing w:line="240" w:lineRule="auto"/>
        <w:ind w:left="720"/>
      </w:pPr>
      <w:r>
        <w:rPr>
          <w:lang w:val="en_US" w:bidi="en_US"/>
        </w:rPr>
      </w:r>
      <w:r>
        <w:rPr>
          <w:lang w:val="en_US" w:bidi="en_US"/>
        </w:rPr>
        <w:t>the men of Nineveh</w:t>
      </w:r>
    </w:p>
    <w:p>
      <w:pPr>
        <w:pStyle w:val="ListNumber"/>
        <w:spacing w:line="240" w:lineRule="auto"/>
        <w:ind w:left="720"/>
      </w:pPr>
      <w:r>
        <w:rPr>
          <w:lang w:val="en_US" w:bidi="en_US"/>
        </w:rPr>
      </w:r>
      <w:r>
        <w:rPr>
          <w:lang w:val="en_US" w:bidi="en_US"/>
        </w:rPr>
        <w:t>the people of this generation</w:t>
      </w:r>
    </w:p>
    <w:p>
      <w:pPr/>
      <w:r>
        <w:rPr>
          <w:lang w:val="en_US" w:bidi="en_US"/>
        </w:rPr>
      </w:r>
      <w:r>
        <w:rPr>
          <w:lang w:val="en_US" w:bidi="en_US"/>
        </w:rPr>
        <w:t xml:space="preserve">The word </w:t>
      </w:r>
      <w:r>
        <w:rPr>
          <w:i/>
          <w:lang w:val="en_US" w:bidi="en_US"/>
        </w:rPr>
        <w:t>with</w:t>
      </w:r>
      <w:r>
        <w:rPr>
          <w:lang w:val="en_US" w:bidi="en_US"/>
        </w:rPr>
        <w:t xml:space="preserve"> does not indicate that the men of Nineveh will stand in support of this generation. In fact, they will stand to condemn them. The NLT shows one way to make this clear:</w:t>
      </w:r>
    </w:p>
    <w:p>
      <w:pPr/>
      <w:r>
        <w:rPr>
          <w:lang w:val="en_US" w:bidi="en_US"/>
        </w:rPr>
      </w:r>
      <w:r>
        <w:rPr>
          <w:lang w:val="en_US" w:bidi="en_US"/>
        </w:rPr>
        <w:t>against this generation</w:t>
      </w:r>
    </w:p>
    <w:p>
      <w:pPr/>
      <w:r>
        <w:rPr>
          <w:lang w:val="en_US" w:bidi="en_US"/>
        </w:rPr>
      </w:r>
      <w:r>
        <w:rPr>
          <w:b/>
          <w:lang w:val="en_US" w:bidi="en_US"/>
        </w:rPr>
        <w:t>this generation:</w:t>
      </w:r>
      <w:r>
        <w:rPr>
          <w:lang w:val="en_US" w:bidi="en_US"/>
        </w:rPr>
        <w:t xml:space="preserve"> The Greek word that the BSB translates as </w:t>
      </w:r>
      <w:r>
        <w:rPr>
          <w:i/>
          <w:lang w:val="en_US" w:bidi="en_US"/>
        </w:rPr>
        <w:t>generation</w:t>
      </w:r>
      <w:r>
        <w:rPr>
          <w:lang w:val="en_US" w:bidi="en_US"/>
        </w:rPr>
        <w:t xml:space="preserve"> probably refers here to the majority of Israelites who were alive at that time. It refers to the people to whom Jesus was speaking. The CEV makes this explicit by translating this as:</w:t>
      </w:r>
    </w:p>
    <w:p>
      <w:pPr/>
      <w:r>
        <w:rPr>
          <w:lang w:val="en_US" w:bidi="en_US"/>
        </w:rPr>
      </w:r>
      <w:r>
        <w:rPr>
          <w:lang w:val="en_US" w:bidi="en_US"/>
        </w:rPr>
        <w:t>you</w:t>
      </w:r>
    </w:p>
    <w:p>
      <w:pPr/>
      <w:r>
        <w:rPr>
          <w:lang w:val="en_US" w:bidi="en_US"/>
        </w:rPr>
      </w:r>
      <w:r>
        <w:rPr>
          <w:lang w:val="en_US" w:bidi="en_US"/>
        </w:rPr>
        <w:t>This phrase indicates that they were a group of people who shared the same character.</w:t>
      </w:r>
    </w:p>
    <w:p>
      <w:pPr/>
      <w:r>
        <w:rPr>
          <w:lang w:val="en_US" w:bidi="en_US"/>
        </w:rPr>
      </w:r>
      <w:r>
        <w:rPr>
          <w:lang w:val="en_US" w:bidi="en_US"/>
        </w:rPr>
        <w:t>The word generation also occurs in 9:41a.</w:t>
      </w:r>
    </w:p>
    <w:p>
      <w:pPr>
        <w:pStyle w:val="Heading5"/>
      </w:pPr>
      <w:r>
        <w:rPr>
          <w:lang w:val="en_US" w:bidi="en_US"/>
        </w:rPr>
        <w:t>11:32b</w:t>
      </w:r>
    </w:p>
    <w:p>
      <w:pPr/>
      <w:r>
        <w:rPr>
          <w:lang w:val="en_US" w:bidi="en_US"/>
        </w:rPr>
      </w:r>
      <w:r>
        <w:rPr>
          <w:b/>
          <w:lang w:val="en_US" w:bidi="en_US"/>
        </w:rPr>
        <w:t>and condemn it;</w:t>
      </w:r>
    </w:p>
    <w:p>
      <w:pPr>
        <w:pStyle w:val="ListBullet"/>
        <w:spacing w:line="240" w:lineRule="auto"/>
        <w:ind w:left="720"/>
      </w:pPr>
      <w:r>
        <w:rPr>
          <w:lang w:val="en_US" w:bidi="en_US"/>
        </w:rPr>
      </w:r>
      <w:r>
        <w:rPr>
          <w:lang w:val="en_US" w:bidi="en_US"/>
        </w:rPr>
        <w:t>and they will accuse the people living today of doing wrong.</w:t>
      </w:r>
    </w:p>
    <w:p>
      <w:pPr>
        <w:pStyle w:val="ListBullet"/>
        <w:spacing w:line="240" w:lineRule="auto"/>
        <w:ind w:left="720"/>
      </w:pPr>
      <w:r>
        <w:rPr>
          <w:lang w:val="en_US" w:bidi="en_US"/>
        </w:rPr>
      </w:r>
      <w:r>
        <w:rPr>
          <w:lang w:val="en_US" w:bidi="en_US"/>
        </w:rPr>
        <w:t>and show that you</w:t>
      </w:r>
      <w:r>
        <w:rPr>
          <w:vertAlign w:val="superscript"/>
          <w:lang w:val="en_US" w:bidi="en_US"/>
        </w:rPr>
        <w:t>(plur)</w:t>
      </w:r>
      <w:r>
        <w:rPr>
          <w:lang w:val="en_US" w:bidi="en_US"/>
        </w:rPr>
        <w:t xml:space="preserve"> deserve that </w:t>
      </w:r>
      <w:r>
        <w:rPr>
          <w:lang w:val="en_US" w:bidi="en_US"/>
        </w:rPr>
        <w:t>God</w:t>
      </w:r>
      <w:r>
        <w:rPr>
          <w:lang w:val="en_US" w:bidi="en_US"/>
        </w:rPr>
        <w:t xml:space="preserve"> punish you</w:t>
      </w:r>
      <w:r>
        <w:rPr>
          <w:vertAlign w:val="superscript"/>
          <w:lang w:val="en_US" w:bidi="en_US"/>
        </w:rPr>
        <w:t>(plur)</w:t>
      </w:r>
      <w:r>
        <w:rPr>
          <w:lang w:val="en_US" w:bidi="en_US"/>
        </w:rPr>
        <w:t>.</w:t>
      </w:r>
    </w:p>
    <w:p>
      <w:pPr/>
      <w:r>
        <w:rPr>
          <w:lang w:val="en_US" w:bidi="en_US"/>
        </w:rPr>
      </w:r>
      <w:r>
        <w:rPr>
          <w:b/>
          <w:lang w:val="en_US" w:bidi="en_US"/>
        </w:rPr>
        <w:t>and condemn it:</w:t>
      </w:r>
      <w:r>
        <w:rPr>
          <w:lang w:val="en_US" w:bidi="en_US"/>
        </w:rPr>
        <w:t xml:space="preserve"> The people of Nineveh will show that the people in Jesus’ time were guilty. They will accuse them of doing wrong. This is the same phrase as in 11:31b.</w:t>
      </w:r>
    </w:p>
    <w:p>
      <w:pPr>
        <w:pStyle w:val="Heading5"/>
      </w:pPr>
      <w:r>
        <w:rPr>
          <w:lang w:val="en_US" w:bidi="en_US"/>
        </w:rPr>
        <w:t>11:32c</w:t>
      </w:r>
    </w:p>
    <w:p>
      <w:pPr/>
      <w:r>
        <w:rPr>
          <w:lang w:val="en_US" w:bidi="en_US"/>
        </w:rPr>
      </w:r>
      <w:r>
        <w:rPr>
          <w:b/>
          <w:lang w:val="en_US" w:bidi="en_US"/>
        </w:rPr>
        <w:t>for they repented at the preaching of Jonah,</w:t>
      </w:r>
    </w:p>
    <w:p>
      <w:pPr>
        <w:pStyle w:val="ListBullet"/>
        <w:spacing w:line="240" w:lineRule="auto"/>
        <w:ind w:left="720"/>
      </w:pPr>
      <w:r>
        <w:rPr>
          <w:lang w:val="en_US" w:bidi="en_US"/>
        </w:rPr>
      </w:r>
      <w:r>
        <w:rPr>
          <w:lang w:val="en_US" w:bidi="en_US"/>
        </w:rPr>
        <w:t>For the people of Nineveh repented when Jonah preached,</w:t>
      </w:r>
    </w:p>
    <w:p>
      <w:pPr>
        <w:pStyle w:val="ListBullet"/>
        <w:spacing w:line="240" w:lineRule="auto"/>
        <w:ind w:left="720"/>
      </w:pPr>
      <w:r>
        <w:rPr>
          <w:lang w:val="en_US" w:bidi="en_US"/>
        </w:rPr>
      </w:r>
      <w:r>
        <w:rPr>
          <w:lang w:val="en_US" w:bidi="en_US"/>
        </w:rPr>
        <w:t>This is</w:t>
      </w:r>
      <w:r>
        <w:rPr>
          <w:lang w:val="en_US" w:bidi="en_US"/>
        </w:rPr>
        <w:t xml:space="preserve"> because the people of Nineveh turned from their sins when they heard Jonah preach </w:t>
      </w:r>
      <w:r>
        <w:rPr>
          <w:lang w:val="en_US" w:bidi="en_US"/>
        </w:rPr>
        <w:t>God’s message</w:t>
      </w:r>
      <w:r>
        <w:rPr>
          <w:lang w:val="en_US" w:bidi="en_US"/>
        </w:rPr>
        <w:t>.</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the reason why the men of Nineveh will condemn this generation. They will condemn it because they repented, whereas the people of Jesus’ time did not repent. For example:</w:t>
      </w:r>
    </w:p>
    <w:p>
      <w:pPr/>
      <w:r>
        <w:rPr>
          <w:lang w:val="en_US" w:bidi="en_US"/>
        </w:rPr>
      </w:r>
      <w:r>
        <w:rPr>
          <w:lang w:val="en_US" w:bidi="en_US"/>
        </w:rPr>
        <w:t>because (GNT)</w:t>
      </w:r>
    </w:p>
    <w:p>
      <w:pPr/>
      <w:r>
        <w:rPr>
          <w:lang w:val="en_US" w:bidi="en_US"/>
        </w:rPr>
      </w:r>
      <w:r>
        <w:rPr>
          <w:b/>
          <w:lang w:val="en_US" w:bidi="en_US"/>
        </w:rPr>
        <w:t>they repented at the preaching of Jonah:</w:t>
      </w:r>
      <w:r>
        <w:rPr>
          <w:lang w:val="en_US" w:bidi="en_US"/>
        </w:rPr>
        <w:t xml:space="preserve"> The Greek word that the BSB translates as </w:t>
      </w:r>
      <w:r>
        <w:rPr>
          <w:i/>
          <w:lang w:val="en_US" w:bidi="en_US"/>
        </w:rPr>
        <w:t>repented</w:t>
      </w:r>
      <w:r>
        <w:rPr>
          <w:lang w:val="en_US" w:bidi="en_US"/>
        </w:rPr>
        <w:t xml:space="preserve"> means that a person “changed his mind, heart, or will.” Jonah told the people of Nineveh that God would soon destroy their city. When they heard this message, they told God that they were sorry for doing wrong. They stopped doing the evil that they had been doing.</w:t>
      </w:r>
    </w:p>
    <w:p>
      <w:pPr/>
      <w:r>
        <w:rPr>
          <w:lang w:val="en_US" w:bidi="en_US"/>
        </w:rPr>
      </w:r>
      <w:r>
        <w:rPr>
          <w:lang w:val="en_US" w:bidi="en_US"/>
        </w:rPr>
        <w:t xml:space="preserve">Some ways to translate </w:t>
      </w:r>
      <w:r>
        <w:rPr>
          <w:i/>
          <w:lang w:val="en_US" w:bidi="en_US"/>
        </w:rPr>
        <w:t>repented</w:t>
      </w:r>
      <w:r>
        <w:rPr>
          <w:lang w:val="en_US" w:bidi="en_US"/>
        </w:rPr>
        <w:t xml:space="preserve"> in this context are:</w:t>
      </w:r>
    </w:p>
    <w:p>
      <w:pPr/>
      <w:r>
        <w:rPr>
          <w:lang w:val="en_US" w:bidi="en_US"/>
        </w:rPr>
      </w:r>
      <w:r>
        <w:rPr>
          <w:lang w:val="en_US" w:bidi="en_US"/>
        </w:rPr>
        <w:t>they changed their thinking/minds/hearts when they heard Jonah preach</w:t>
      </w:r>
    </w:p>
    <w:p>
      <w:pPr/>
      <w:r>
        <w:rPr>
          <w:lang w:val="en_US" w:bidi="en_US"/>
        </w:rPr>
      </w:r>
      <w:r>
        <w:rPr>
          <w:lang w:val="en_US" w:bidi="en_US"/>
        </w:rPr>
        <w:t>when they heard Jonah preach, they rejected their sins</w:t>
      </w:r>
    </w:p>
    <w:p>
      <w:pPr/>
      <w:r>
        <w:rPr>
          <w:lang w:val="en_US" w:bidi="en_US"/>
        </w:rPr>
      </w:r>
      <w:r>
        <w:rPr>
          <w:lang w:val="en_US" w:bidi="en_US"/>
        </w:rPr>
        <w:t>In some languages, you may have an idiom for this type of change. For example:</w:t>
      </w:r>
    </w:p>
    <w:p>
      <w:pPr/>
      <w:r>
        <w:rPr>
          <w:lang w:val="en_US" w:bidi="en_US"/>
        </w:rPr>
      </w:r>
      <w:r>
        <w:rPr>
          <w:lang w:val="en_US" w:bidi="en_US"/>
        </w:rPr>
        <w:t>they turned from their sins when they heard Jonah preach (GNT)</w:t>
      </w:r>
    </w:p>
    <w:p>
      <w:pPr/>
      <w:r>
        <w:rPr>
          <w:lang w:val="en_US" w:bidi="en_US"/>
        </w:rPr>
      </w:r>
      <w:r>
        <w:rPr>
          <w:lang w:val="en_US" w:bidi="en_US"/>
        </w:rPr>
        <w:t>left their sinning behind</w:t>
      </w:r>
    </w:p>
    <w:p>
      <w:pPr/>
      <w:r>
        <w:rPr>
          <w:lang w:val="en_US" w:bidi="en_US"/>
        </w:rPr>
      </w:r>
      <w:r>
        <w:rPr>
          <w:lang w:val="en_US" w:bidi="en_US"/>
        </w:rPr>
        <w:t xml:space="preserve">The word </w:t>
      </w:r>
      <w:r>
        <w:rPr>
          <w:i/>
          <w:lang w:val="en_US" w:bidi="en_US"/>
        </w:rPr>
        <w:t>repented</w:t>
      </w:r>
      <w:r>
        <w:rPr>
          <w:lang w:val="en_US" w:bidi="en_US"/>
        </w:rPr>
        <w:t xml:space="preserve"> also occurs at 10:13d.</w:t>
      </w:r>
    </w:p>
    <w:p>
      <w:pPr>
        <w:pStyle w:val="Heading5"/>
      </w:pPr>
      <w:r>
        <w:rPr>
          <w:lang w:val="en_US" w:bidi="en_US"/>
        </w:rPr>
        <w:t>11:32d</w:t>
      </w:r>
    </w:p>
    <w:p>
      <w:pPr/>
      <w:r>
        <w:rPr>
          <w:lang w:val="en_US" w:bidi="en_US"/>
        </w:rPr>
      </w:r>
      <w:r>
        <w:rPr>
          <w:b/>
          <w:lang w:val="en_US" w:bidi="en_US"/>
        </w:rPr>
        <w:t>and now One greater than Jonah is here.</w:t>
      </w:r>
    </w:p>
    <w:p>
      <w:pPr>
        <w:pStyle w:val="ListBullet"/>
        <w:spacing w:line="240" w:lineRule="auto"/>
        <w:ind w:left="720"/>
      </w:pPr>
      <w:r>
        <w:rPr>
          <w:lang w:val="en_US" w:bidi="en_US"/>
        </w:rPr>
      </w:r>
      <w:r>
        <w:rPr>
          <w:lang w:val="en_US" w:bidi="en_US"/>
        </w:rPr>
        <w:t>and I tell you that there is someone who is greater than Jonah here.</w:t>
      </w:r>
    </w:p>
    <w:p>
      <w:pPr>
        <w:pStyle w:val="ListBullet"/>
        <w:spacing w:line="240" w:lineRule="auto"/>
        <w:ind w:left="720"/>
      </w:pPr>
      <w:r>
        <w:rPr>
          <w:lang w:val="en_US" w:bidi="en_US"/>
        </w:rPr>
      </w:r>
      <w:r>
        <w:rPr>
          <w:lang w:val="en_US" w:bidi="en_US"/>
        </w:rPr>
        <w:t xml:space="preserve">And the truth is that someone greater than Jonah is here, </w:t>
      </w:r>
      <w:r>
        <w:rPr>
          <w:lang w:val="en_US" w:bidi="en_US"/>
        </w:rPr>
        <w:t>but/and you refuse to repent</w:t>
      </w:r>
      <w:r>
        <w:rPr>
          <w:lang w:val="en_US" w:bidi="en_US"/>
        </w:rPr>
        <w:t>.</w:t>
      </w:r>
    </w:p>
    <w:p>
      <w:pPr>
        <w:pStyle w:val="ListBullet"/>
        <w:spacing w:line="240" w:lineRule="auto"/>
        <w:ind w:left="720"/>
      </w:pPr>
      <w:r>
        <w:rPr>
          <w:lang w:val="en_US" w:bidi="en_US"/>
        </w:rPr>
      </w:r>
      <w:r>
        <w:rPr>
          <w:lang w:val="en_US" w:bidi="en_US"/>
        </w:rPr>
        <w:t xml:space="preserve">Now a person who is greater than Jonah is here. </w:t>
      </w:r>
      <w:r>
        <w:rPr>
          <w:lang w:val="en_US" w:bidi="en_US"/>
        </w:rPr>
        <w:t>I am that person,</w:t>
      </w:r>
      <w:r>
        <w:rPr>
          <w:lang w:val="en_US" w:bidi="en_US"/>
        </w:rPr>
        <w:t xml:space="preserve"> </w:t>
      </w:r>
      <w:r>
        <w:rPr>
          <w:lang w:val="en_US" w:bidi="en_US"/>
        </w:rPr>
        <w:t>but you</w:t>
      </w:r>
      <w:r>
        <w:rPr>
          <w:vertAlign w:val="superscript"/>
          <w:lang w:val="en_US" w:bidi="en_US"/>
        </w:rPr>
        <w:t>(plur)</w:t>
      </w:r>
      <w:r>
        <w:rPr>
          <w:lang w:val="en_US" w:bidi="en_US"/>
        </w:rPr>
        <w:t xml:space="preserve"> </w:t>
      </w:r>
      <w:r>
        <w:rPr>
          <w:lang w:val="en_US" w:bidi="en_US"/>
        </w:rPr>
        <w:t>did not stop sinning when you</w:t>
      </w:r>
      <w:r>
        <w:rPr>
          <w:vertAlign w:val="superscript"/>
          <w:lang w:val="en_US" w:bidi="en_US"/>
        </w:rPr>
        <w:t>(plur)</w:t>
      </w:r>
      <w:r>
        <w:rPr>
          <w:lang w:val="en_US" w:bidi="en_US"/>
        </w:rPr>
        <w:t xml:space="preserve"> </w:t>
      </w:r>
      <w:r>
        <w:rPr>
          <w:lang w:val="en_US" w:bidi="en_US"/>
        </w:rPr>
        <w:t>heard my message.</w:t>
      </w:r>
      <w:r>
        <w:rPr>
          <w:lang w:val="en_US" w:bidi="en_US"/>
        </w:rPr>
        <w:t>”</w:t>
      </w:r>
    </w:p>
    <w:p>
      <w:pPr/>
      <w:r>
        <w:rPr>
          <w:lang w:val="en_US" w:bidi="en_US"/>
        </w:rPr>
      </w:r>
      <w:r>
        <w:rPr>
          <w:b/>
          <w:lang w:val="en_US" w:bidi="en_US"/>
        </w:rPr>
        <w:t>and now One greater than Jonah is here:</w:t>
      </w:r>
      <w:r>
        <w:rPr>
          <w:lang w:val="en_US" w:bidi="en_US"/>
        </w:rPr>
        <w:t xml:space="preserve"> Jesus was implying that he was the one greater than Jonah. This clause is identical to 11:31d except that Jonah occurs here rather than Solomon. See the notes on 11:31d.</w:t>
      </w:r>
    </w:p>
    <w:p>
      <w:pPr>
        <w:pStyle w:val="Heading6"/>
      </w:pPr>
      <w:r>
        <w:rPr>
          <w:b/>
          <w:lang w:val="en_US" w:bidi="en_US"/>
        </w:rPr>
        <w:t>General Comment on 11:32d</w:t>
      </w:r>
    </w:p>
    <w:p>
      <w:pPr/>
      <w:r>
        <w:rPr>
          <w:lang w:val="en_US" w:bidi="en_US"/>
        </w:rPr>
      </w:r>
      <w:r>
        <w:rPr>
          <w:lang w:val="en_US" w:bidi="en_US"/>
        </w:rPr>
        <w:t>Just as in 11:31d, there is important implied information here also that you may need to include in your translation or in a footnote. Jesus implied here (but did not say) “but you</w:t>
      </w:r>
      <w:r>
        <w:rPr>
          <w:vertAlign w:val="superscript"/>
          <w:lang w:val="en_US" w:bidi="en_US"/>
        </w:rPr>
        <w:t>(plur)</w:t>
      </w:r>
      <w:r>
        <w:rPr>
          <w:lang w:val="en_US" w:bidi="en_US"/>
        </w:rPr>
        <w:t xml:space="preserve"> have not repented!” Here is a way to make this information explicit:</w:t>
      </w:r>
    </w:p>
    <w:p>
      <w:pPr/>
      <w:r>
        <w:rPr>
          <w:lang w:val="en_US" w:bidi="en_US"/>
        </w:rPr>
      </w:r>
      <w:r>
        <w:rPr>
          <w:lang w:val="en_US" w:bidi="en_US"/>
        </w:rPr>
        <w:t>and you refuse to repent (NLT96)</w:t>
      </w:r>
    </w:p>
    <w:p>
      <w:pPr/>
      <w:r>
        <w:rPr>
          <w:lang w:val="en_US" w:bidi="en_US"/>
        </w:rPr>
      </w:r>
      <w:r>
        <w:rPr>
          <w:lang w:val="en_US" w:bidi="en_US"/>
        </w:rPr>
        <w:t>You can see other examples of this implied information in the Display of 11:32d.</w:t>
      </w:r>
    </w:p>
    <w:p>
      <w:pPr>
        <w:pStyle w:val="Heading6"/>
      </w:pPr>
      <w:r>
        <w:rPr>
          <w:b/>
          <w:lang w:val="en_US" w:bidi="en_US"/>
        </w:rPr>
        <w:t>General Comment on 11:32a–d</w:t>
      </w:r>
    </w:p>
    <w:p>
      <w:pPr/>
      <w:r>
        <w:rPr>
          <w:lang w:val="en_US" w:bidi="en_US"/>
        </w:rPr>
      </w:r>
      <w:r>
        <w:rPr>
          <w:lang w:val="en_US" w:bidi="en_US"/>
        </w:rPr>
        <w:t>In some languages, it may be more natural to change the order of the parts of this verse so that it is in chronological order. For example:</w:t>
      </w:r>
    </w:p>
    <w:p>
      <w:pPr/>
      <w:r>
        <w:rPr>
          <w:lang w:val="en_US" w:bidi="en_US"/>
        </w:rPr>
      </w:r>
      <w:r>
        <w:rPr>
          <w:vertAlign w:val="superscript"/>
          <w:lang w:val="en_US" w:bidi="en_US"/>
        </w:rPr>
        <w:t>32c</w:t>
      </w:r>
      <w:r>
        <w:rPr>
          <w:lang w:val="en_US" w:bidi="en_US"/>
        </w:rPr>
        <w:t xml:space="preserve"> </w:t>
      </w:r>
      <w:r>
        <w:rPr>
          <w:lang w:val="en_US" w:bidi="en_US"/>
        </w:rPr>
        <w:t>Long ago</w:t>
      </w:r>
      <w:r>
        <w:rPr>
          <w:lang w:val="en_US" w:bidi="en_US"/>
        </w:rPr>
        <w:t xml:space="preserve"> the men of Nineveh repented at the preaching of Jonah. </w:t>
      </w:r>
      <w:r>
        <w:rPr>
          <w:vertAlign w:val="superscript"/>
          <w:lang w:val="en_US" w:bidi="en_US"/>
        </w:rPr>
        <w:t>32d</w:t>
      </w:r>
      <w:r>
        <w:rPr>
          <w:lang w:val="en_US" w:bidi="en_US"/>
        </w:rPr>
        <w:t xml:space="preserve">Now one greater than Jonah is here, </w:t>
      </w:r>
      <w:r>
        <w:rPr>
          <w:lang w:val="en_US" w:bidi="en_US"/>
        </w:rPr>
        <w:t>but you refuse to repent</w:t>
      </w:r>
      <w:r>
        <w:rPr>
          <w:lang w:val="en_US" w:bidi="en_US"/>
        </w:rPr>
        <w:t xml:space="preserve">. That is why, </w:t>
      </w:r>
      <w:r>
        <w:rPr>
          <w:vertAlign w:val="superscript"/>
          <w:lang w:val="en_US" w:bidi="en_US"/>
        </w:rPr>
        <w:t>32a</w:t>
      </w:r>
      <w:r>
        <w:rPr>
          <w:lang w:val="en_US" w:bidi="en_US"/>
        </w:rPr>
        <w:t xml:space="preserve">the men of Nineveh will stand up at the judgment with this generation, </w:t>
      </w:r>
      <w:r>
        <w:rPr>
          <w:vertAlign w:val="superscript"/>
          <w:lang w:val="en_US" w:bidi="en_US"/>
        </w:rPr>
        <w:t>32b</w:t>
      </w:r>
      <w:r>
        <w:rPr>
          <w:lang w:val="en_US" w:bidi="en_US"/>
        </w:rPr>
        <w:t>and condemn it.</w:t>
      </w:r>
      <w:r>
        <w:rPr>
          <w:lang w:val="en_US" w:bidi="en_US"/>
        </w:rPr>
      </w:r>
      <w:r>
        <w:rPr>
          <w:lang w:val="en_US" w:bidi="en_US"/>
        </w:rPr>
      </w:r>
    </w:p>
    <w:p>
      <w:pPr/>
      <w:r>
        <w:rPr>
          <w:lang w:val="en_US" w:bidi="en_US"/>
        </w:rPr>
      </w:r>
    </w:p>
    <w:p>
      <w:pPr>
        <w:pStyle w:val="Heading2"/>
      </w:pPr>
      <w:r>
        <w:rPr>
          <w:lang w:val="en_US" w:bidi="en_US"/>
        </w:rPr>
        <w:t>Luke 11:33</w:t>
      </w:r>
      <w:r>
        <w:rPr>
          <w:lang w:val="en_US" w:bidi="en_US"/>
        </w:rPr>
      </w:r>
    </w:p>
    <w:p>
      <w:pPr>
        <w:pStyle w:val="Heading4"/>
      </w:pPr>
      <w:r>
        <w:rPr>
          <w:lang w:val="en_US" w:bidi="en_US"/>
        </w:rPr>
        <w:t>Section 11:33–36: Jesus taught about light and darkness</w:t>
      </w:r>
    </w:p>
    <w:p>
      <w:pPr/>
      <w:r>
        <w:rPr>
          <w:lang w:val="en_US" w:bidi="en_US"/>
        </w:rPr>
      </w:r>
      <w:r>
        <w:rPr>
          <w:lang w:val="en_US" w:bidi="en_US"/>
        </w:rPr>
        <w:t>In this section, Jesus used the metaphors of a lamp, light, darkness, eye, and body. The lamp and the light are illustrations of Jesus and his teaching. Both Jesus’ life and teaching revealed God to the people. People whose spiritual eyesight was good were able to understand and accept his message. They were like someone whose mind or body was full of light. People who rejected his message were like a person who was full of darkness.</w:t>
      </w:r>
    </w:p>
    <w:p>
      <w:pPr/>
      <w:r>
        <w:rPr>
          <w:lang w:val="en_US" w:bidi="en_US"/>
        </w:rPr>
      </w:r>
      <w:r>
        <w:rPr>
          <w:lang w:val="en_US" w:bidi="en_US"/>
        </w:rPr>
        <w:t>Jesus used these metaphors to tell the people (in 11:29–32) that their spiritual eyes were diseased. They could not receive the light of his message. If they had been willing to accept his message, then their minds would have been full of light. They would not have asked for another miracle to prove that God had sent him.</w:t>
      </w:r>
    </w:p>
    <w:p>
      <w:pPr/>
      <w:r>
        <w:rPr>
          <w:lang w:val="en_US" w:bidi="en_US"/>
        </w:rPr>
      </w:r>
      <w:r>
        <w:rPr>
          <w:lang w:val="en_US" w:bidi="en_US"/>
        </w:rPr>
        <w:t>Some other possible headings for this section are:</w:t>
      </w:r>
    </w:p>
    <w:p>
      <w:pPr/>
      <w:r>
        <w:rPr>
          <w:lang w:val="en_US" w:bidi="en_US"/>
        </w:rPr>
      </w:r>
      <w:r>
        <w:rPr>
          <w:lang w:val="en_US" w:bidi="en_US"/>
        </w:rPr>
        <w:t>Jesus’ message is like a lamp and like light</w:t>
      </w:r>
    </w:p>
    <w:p>
      <w:pPr/>
      <w:r>
        <w:rPr>
          <w:lang w:val="en_US" w:bidi="en_US"/>
        </w:rPr>
      </w:r>
      <w:r>
        <w:rPr>
          <w:lang w:val="en_US" w:bidi="en_US"/>
        </w:rPr>
        <w:t>The light of the body (GNT)</w:t>
      </w:r>
    </w:p>
    <w:p>
      <w:pPr/>
      <w:r>
        <w:rPr>
          <w:lang w:val="en_US" w:bidi="en_US"/>
        </w:rPr>
      </w:r>
      <w:r>
        <w:rPr>
          <w:lang w:val="en_US" w:bidi="en_US"/>
        </w:rPr>
        <w:t>There are parallel passages for this section in Matthew 5:15 and 6:22–23.</w:t>
      </w:r>
    </w:p>
    <w:p>
      <w:pPr>
        <w:pStyle w:val="Heading4"/>
      </w:pPr>
      <w:r>
        <w:rPr>
          <w:lang w:val="en_US" w:bidi="en_US"/>
        </w:rPr>
        <w:t>Paragraph 11:33–36</w:t>
      </w:r>
    </w:p>
    <w:p>
      <w:pPr/>
      <w:r>
        <w:rPr>
          <w:lang w:val="en_US" w:bidi="en_US"/>
        </w:rPr>
      </w:r>
      <w:r>
        <w:rPr>
          <w:lang w:val="en_US" w:bidi="en_US"/>
        </w:rPr>
        <w:t>There are two sayings about a lamp in this paragraph: one in 11:33 and another in 11:34–36. In 11:33 Jesus compared himself and his teaching to a lamp. People put a lamp where its light will be seen. In the same way, Jesus taught in public where everyone could hear and see him.</w:t>
      </w:r>
    </w:p>
    <w:p>
      <w:pPr/>
      <w:r>
        <w:rPr>
          <w:lang w:val="en_US" w:bidi="en_US"/>
        </w:rPr>
      </w:r>
      <w:r>
        <w:rPr>
          <w:lang w:val="en_US" w:bidi="en_US"/>
        </w:rPr>
        <w:t>In 11:34 the topic is different. Here a person’s eye (his attitude toward Jesus’ message) is compared to a lamp. This lamp provides him with light (spiritual illumination or understanding).</w:t>
      </w:r>
      <w:r>
        <w:rPr>
          <w:lang w:val="en_US" w:bidi="en_US"/>
        </w:rPr>
        <w:t>A number of commentators say that in this context the eye represents a person’s attitude toward Jesus, his willingness or unwillingness to accept Jesus’ message. Evans (p. 188) uses the term “moral disposition,” referring to a person’s inclination to receive Jesus’ message or to reject him. Marshall (p. 489) speaks of a person being “single-mindedly receptive to the light of the gospel,” and Liefeld (p. 954) says that the body receives light through the eye “subject to the individual’s will.” Morris (p. 221) also speaks of a person’s attention being focused on good (in the case of a healthy eye) or on evil (in the case of a bad eye). Nolland (p. 657) agrees that the eye here is a metaphor for “moral and spiritual readiness to see.”</w:t>
      </w:r>
    </w:p>
    <w:p>
      <w:pPr>
        <w:pStyle w:val="Heading5"/>
      </w:pPr>
      <w:r>
        <w:rPr>
          <w:lang w:val="en_US" w:bidi="en_US"/>
        </w:rPr>
        <w:t>11:33</w:t>
      </w:r>
    </w:p>
    <w:p>
      <w:pPr/>
      <w:r>
        <w:rPr>
          <w:lang w:val="en_US" w:bidi="en_US"/>
        </w:rPr>
      </w:r>
      <w:r>
        <w:rPr>
          <w:lang w:val="en_US" w:bidi="en_US"/>
        </w:rPr>
        <w:t>In some languages, it may be necessary to make it clear here that Jesus was still speaking. If that is true in your language, you can begin this paragraph with something like:</w:t>
      </w:r>
    </w:p>
    <w:p>
      <w:pPr/>
      <w:r>
        <w:rPr>
          <w:lang w:val="en_US" w:bidi="en_US"/>
        </w:rPr>
      </w:r>
      <w:r>
        <w:rPr>
          <w:lang w:val="en_US" w:bidi="en_US"/>
        </w:rPr>
        <w:t>Then Jesus said</w:t>
      </w:r>
      <w:r>
        <w:rPr>
          <w:lang w:val="en_US" w:bidi="en_US"/>
        </w:rPr>
        <w:t xml:space="preserve"> …</w:t>
      </w:r>
    </w:p>
    <w:p>
      <w:pPr/>
      <w:r>
        <w:rPr>
          <w:lang w:val="en_US" w:bidi="en_US"/>
        </w:rPr>
      </w:r>
      <w:r>
        <w:rPr>
          <w:lang w:val="en_US" w:bidi="en_US"/>
        </w:rPr>
        <w:t>Here Jesus used a lamp to illustrate what he and his teaching were like. In your translation, you should keep the illustration of the lamp. If the figurative meaning of the lamp is not clear, you may wish to supply the meaning in a footnote. For example:</w:t>
      </w:r>
    </w:p>
    <w:p>
      <w:pPr/>
      <w:r>
        <w:rPr>
          <w:lang w:val="en_US" w:bidi="en_US"/>
        </w:rPr>
      </w:r>
      <w:r>
        <w:rPr>
          <w:lang w:val="en_US" w:bidi="en_US"/>
        </w:rPr>
        <w:t>The lamp and the light are illustrations that represent Jesus and his teaching. Both Jesus’ life and his message revealed God to the people around him. What Jesus did and taught was not hidden from people. It was done where people could see and hear him.</w:t>
      </w:r>
    </w:p>
    <w:p>
      <w:pPr/>
      <w:r>
        <w:rPr>
          <w:lang w:val="en_US" w:bidi="en_US"/>
        </w:rPr>
      </w:r>
      <w:r>
        <w:rPr>
          <w:lang w:val="en_US" w:bidi="en_US"/>
        </w:rPr>
        <w:t>Jesus used the same lamp illustration in Matthew 5:15 and Luke 8:16. However, he was not necessarily using the illustration to teach the same spiritual truth in each of these three passages.</w:t>
      </w:r>
    </w:p>
    <w:p>
      <w:pPr>
        <w:pStyle w:val="Heading5"/>
      </w:pPr>
      <w:r>
        <w:rPr>
          <w:lang w:val="en_US" w:bidi="en_US"/>
        </w:rPr>
        <w:t>11:33a</w:t>
      </w:r>
    </w:p>
    <w:p>
      <w:pPr/>
      <w:r>
        <w:rPr>
          <w:lang w:val="en_US" w:bidi="en_US"/>
        </w:rPr>
      </w:r>
      <w:r>
        <w:rPr>
          <w:b/>
          <w:lang w:val="en_US" w:bidi="en_US"/>
        </w:rPr>
        <w:t>No one lights a lamp and puts it in a cellar or under a basket.</w:t>
      </w:r>
    </w:p>
    <w:p>
      <w:pPr>
        <w:pStyle w:val="ListBullet"/>
        <w:spacing w:line="240" w:lineRule="auto"/>
        <w:ind w:left="720"/>
      </w:pPr>
      <w:r>
        <w:rPr>
          <w:lang w:val="en_US" w:bidi="en_US"/>
        </w:rPr>
      </w:r>
      <w:r>
        <w:rPr>
          <w:lang w:val="en_US" w:bidi="en_US"/>
        </w:rPr>
        <w:t xml:space="preserve">¶ “No one lights a lamp and </w:t>
      </w:r>
      <w:r>
        <w:rPr>
          <w:lang w:val="en_US" w:bidi="en_US"/>
        </w:rPr>
        <w:t>then</w:t>
      </w:r>
      <w:r>
        <w:rPr>
          <w:lang w:val="en_US" w:bidi="en_US"/>
        </w:rPr>
        <w:t xml:space="preserve"> puts it in a hidden place, or </w:t>
      </w:r>
      <w:r>
        <w:rPr>
          <w:lang w:val="en_US" w:bidi="en_US"/>
        </w:rPr>
        <w:t>puts it</w:t>
      </w:r>
      <w:r>
        <w:rPr>
          <w:lang w:val="en_US" w:bidi="en_US"/>
        </w:rPr>
        <w:t xml:space="preserve"> under a bowl.</w:t>
      </w:r>
    </w:p>
    <w:p>
      <w:pPr>
        <w:pStyle w:val="ListBullet"/>
        <w:spacing w:line="240" w:lineRule="auto"/>
        <w:ind w:left="720"/>
      </w:pPr>
      <w:r>
        <w:rPr>
          <w:lang w:val="en_US" w:bidi="en_US"/>
        </w:rPr>
      </w:r>
      <w:r>
        <w:rPr>
          <w:lang w:val="en_US" w:bidi="en_US"/>
        </w:rPr>
        <w:t xml:space="preserve">¶ </w:t>
      </w:r>
      <w:r>
        <w:rPr>
          <w:lang w:val="en_US" w:bidi="en_US"/>
        </w:rPr>
        <w:t>Then Jesus said,</w:t>
      </w:r>
      <w:r>
        <w:rPr>
          <w:lang w:val="en_US" w:bidi="en_US"/>
        </w:rPr>
        <w:t xml:space="preserve"> “People do not light a lamp and </w:t>
      </w:r>
      <w:r>
        <w:rPr>
          <w:lang w:val="en_US" w:bidi="en_US"/>
        </w:rPr>
        <w:t>then</w:t>
      </w:r>
      <w:r>
        <w:rPr>
          <w:lang w:val="en_US" w:bidi="en_US"/>
        </w:rPr>
        <w:t xml:space="preserve"> hide it or cover it with a basket/pot.</w:t>
      </w:r>
    </w:p>
    <w:p>
      <w:pPr/>
      <w:r>
        <w:rPr>
          <w:lang w:val="en_US" w:bidi="en_US"/>
        </w:rPr>
      </w:r>
      <w:r>
        <w:rPr>
          <w:b/>
          <w:lang w:val="en_US" w:bidi="en_US"/>
        </w:rPr>
        <w:t>lamp:</w:t>
      </w:r>
      <w:r>
        <w:rPr>
          <w:lang w:val="en_US" w:bidi="en_US"/>
        </w:rPr>
        <w:t xml:space="preserve"> A </w:t>
      </w:r>
      <w:r>
        <w:rPr>
          <w:i/>
          <w:lang w:val="en_US" w:bidi="en_US"/>
        </w:rPr>
        <w:t>lamp</w:t>
      </w:r>
      <w:r>
        <w:rPr>
          <w:lang w:val="en_US" w:bidi="en_US"/>
        </w:rPr>
        <w:t xml:space="preserve"> in Jesus’ time was a small pot that people put oil in. It had a wick that they lit at night to light up their house.</w:t>
      </w:r>
    </w:p>
    <w:p>
      <w:pPr/>
      <w:r>
        <w:rPr>
          <w:lang w:val="en_US" w:bidi="en_US"/>
        </w:rPr>
      </w:r>
      <w:r>
        <w:rPr>
          <w:lang w:val="en_US" w:bidi="en_US"/>
        </w:rPr>
        <w:t>You should use a word in your language for a lamp that burns oil or kerosene. If there is no general word for lamp, you may use a word that refers to a candle, a lantern, or a flaming torch.</w:t>
      </w:r>
    </w:p>
    <w:p>
      <w:pPr/>
      <w:r>
        <w:rPr>
          <w:lang w:val="en_US" w:bidi="en_US"/>
        </w:rPr>
      </w:r>
      <w:r>
        <w:rPr>
          <w:lang w:val="en_US" w:bidi="en_US"/>
        </w:rPr>
        <w:t>This same word occurs in 8:16a.</w:t>
      </w:r>
    </w:p>
    <w:p>
      <w:pPr/>
      <w:r>
        <w:rPr>
          <w:lang w:val="en_US" w:bidi="en_US"/>
        </w:rPr>
      </w:r>
      <w:r>
        <w:rPr>
          <w:b/>
          <w:lang w:val="en_US" w:bidi="en_US"/>
        </w:rPr>
        <w:t>a cellar:</w:t>
      </w:r>
      <w:r>
        <w:rPr>
          <w:lang w:val="en_US" w:bidi="en_US"/>
        </w:rPr>
        <w:t xml:space="preserve"> The word that the BSB translates as </w:t>
      </w:r>
      <w:r>
        <w:rPr>
          <w:i/>
          <w:lang w:val="en_US" w:bidi="en_US"/>
        </w:rPr>
        <w:t>a cellar</w:t>
      </w:r>
      <w:r>
        <w:rPr>
          <w:lang w:val="en_US" w:bidi="en_US"/>
        </w:rPr>
        <w:t xml:space="preserve"> refers to any hidden or secret place in a house where a person could put a lamp so that its light would be useless.</w:t>
      </w:r>
    </w:p>
    <w:p>
      <w:pPr/>
      <w:r>
        <w:rPr>
          <w:lang w:val="en_US" w:bidi="en_US"/>
        </w:rPr>
      </w:r>
      <w:r>
        <w:rPr>
          <w:lang w:val="en_US" w:bidi="en_US"/>
        </w:rPr>
        <w:t>In some languages it will be necessary to use an active verb here. For example:</w:t>
      </w:r>
    </w:p>
    <w:p>
      <w:pPr/>
      <w:r>
        <w:rPr>
          <w:lang w:val="en_US" w:bidi="en_US"/>
        </w:rPr>
      </w:r>
      <w:r>
        <w:rPr>
          <w:lang w:val="en_US" w:bidi="en_US"/>
        </w:rPr>
        <w:t>a place where no one can see it</w:t>
      </w:r>
    </w:p>
    <w:p>
      <w:pPr/>
      <w:r>
        <w:rPr>
          <w:lang w:val="en_US" w:bidi="en_US"/>
        </w:rPr>
      </w:r>
      <w:r>
        <w:rPr>
          <w:lang w:val="en_US" w:bidi="en_US"/>
        </w:rPr>
        <w:t>Another way to translate this phrase is:</w:t>
      </w:r>
    </w:p>
    <w:p>
      <w:pPr/>
      <w:r>
        <w:rPr>
          <w:lang w:val="en_US" w:bidi="en_US"/>
        </w:rPr>
      </w:r>
      <w:r>
        <w:rPr>
          <w:lang w:val="en_US" w:bidi="en_US"/>
        </w:rPr>
        <w:t>and then hides it (GNT)</w:t>
      </w:r>
    </w:p>
    <w:p>
      <w:pPr/>
      <w:r>
        <w:rPr>
          <w:lang w:val="en_US" w:bidi="en_US"/>
        </w:rPr>
      </w:r>
      <w:r>
        <w:rPr>
          <w:b/>
          <w:lang w:val="en_US" w:bidi="en_US"/>
        </w:rPr>
        <w:t>under a basket:</w:t>
      </w:r>
      <w:r>
        <w:rPr>
          <w:lang w:val="en_US" w:bidi="en_US"/>
        </w:rPr>
        <w:t xml:space="preserve"> The phrase </w:t>
      </w:r>
      <w:r>
        <w:rPr>
          <w:i/>
          <w:lang w:val="en_US" w:bidi="en_US"/>
        </w:rPr>
        <w:t>under a basket</w:t>
      </w:r>
      <w:r>
        <w:rPr>
          <w:lang w:val="en_US" w:bidi="en_US"/>
        </w:rPr>
        <w:t xml:space="preserve"> implies that someone first turns a basket upside down and then puts it over a lamp. Another way to say this is:</w:t>
      </w:r>
    </w:p>
    <w:p>
      <w:pPr/>
      <w:r>
        <w:rPr>
          <w:lang w:val="en_US" w:bidi="en_US"/>
        </w:rPr>
      </w:r>
      <w:r>
        <w:rPr>
          <w:lang w:val="en_US" w:bidi="en_US"/>
        </w:rPr>
        <w:t>covers it with a bowl</w:t>
      </w:r>
    </w:p>
    <w:p>
      <w:pPr/>
      <w:r>
        <w:rPr>
          <w:lang w:val="en_US" w:bidi="en_US"/>
        </w:rPr>
      </w:r>
      <w:r>
        <w:rPr>
          <w:b/>
          <w:lang w:val="en_US" w:bidi="en_US"/>
        </w:rPr>
        <w:t>basket:</w:t>
      </w:r>
      <w:r>
        <w:rPr>
          <w:lang w:val="en_US" w:bidi="en_US"/>
        </w:rPr>
        <w:t xml:space="preserve"> The Greek word that the BSB translates as </w:t>
      </w:r>
      <w:r>
        <w:rPr>
          <w:i/>
          <w:lang w:val="en_US" w:bidi="en_US"/>
        </w:rPr>
        <w:t>basket</w:t>
      </w:r>
      <w:r>
        <w:rPr>
          <w:lang w:val="en_US" w:bidi="en_US"/>
        </w:rPr>
        <w:t xml:space="preserve"> probably refers to a large basket that people used to measure grain. Some other ways to translate this are:</w:t>
      </w:r>
    </w:p>
    <w:p>
      <w:pPr/>
      <w:r>
        <w:rPr>
          <w:lang w:val="en_US" w:bidi="en_US"/>
        </w:rPr>
      </w:r>
      <w:r>
        <w:rPr>
          <w:lang w:val="en_US" w:bidi="en_US"/>
        </w:rPr>
        <w:t>bowl (NIV)</w:t>
      </w:r>
    </w:p>
    <w:p>
      <w:pPr/>
      <w:r>
        <w:rPr>
          <w:lang w:val="en_US" w:bidi="en_US"/>
        </w:rPr>
      </w:r>
      <w:r>
        <w:rPr>
          <w:lang w:val="en_US" w:bidi="en_US"/>
        </w:rPr>
        <w:t>clay pot (CEV)</w:t>
      </w:r>
    </w:p>
    <w:p>
      <w:pPr/>
      <w:r>
        <w:rPr>
          <w:lang w:val="en_US" w:bidi="en_US"/>
        </w:rPr>
      </w:r>
      <w:r>
        <w:rPr>
          <w:lang w:val="en_US" w:bidi="en_US"/>
        </w:rPr>
        <w:t>In your translation, you could use a term for any container that is big enough to put a lamp underneath.</w:t>
      </w:r>
    </w:p>
    <w:p>
      <w:pPr>
        <w:pStyle w:val="Heading5"/>
      </w:pPr>
      <w:r>
        <w:rPr>
          <w:lang w:val="en_US" w:bidi="en_US"/>
        </w:rPr>
        <w:t>11:33b</w:t>
      </w:r>
    </w:p>
    <w:p>
      <w:pPr/>
      <w:r>
        <w:rPr>
          <w:lang w:val="en_US" w:bidi="en_US"/>
        </w:rPr>
      </w:r>
      <w:r>
        <w:rPr>
          <w:b/>
          <w:lang w:val="en_US" w:bidi="en_US"/>
        </w:rPr>
        <w:t>Instead, he sets it on a stand, so those who enter can see the light.</w:t>
      </w:r>
    </w:p>
    <w:p>
      <w:pPr>
        <w:pStyle w:val="ListBullet"/>
        <w:spacing w:line="240" w:lineRule="auto"/>
        <w:ind w:left="720"/>
      </w:pPr>
      <w:r>
        <w:rPr>
          <w:lang w:val="en_US" w:bidi="en_US"/>
        </w:rPr>
      </w:r>
      <w:r>
        <w:rPr>
          <w:lang w:val="en_US" w:bidi="en_US"/>
        </w:rPr>
        <w:t xml:space="preserve">Instead, he puts it on its holder/shelf, so that the ones entering </w:t>
      </w:r>
      <w:r>
        <w:rPr>
          <w:lang w:val="en_US" w:bidi="en_US"/>
        </w:rPr>
        <w:t>the house</w:t>
      </w:r>
      <w:r>
        <w:rPr>
          <w:lang w:val="en_US" w:bidi="en_US"/>
        </w:rPr>
        <w:t xml:space="preserve"> may see.</w:t>
      </w:r>
    </w:p>
    <w:p>
      <w:pPr>
        <w:pStyle w:val="ListBullet"/>
        <w:spacing w:line="240" w:lineRule="auto"/>
        <w:ind w:left="720"/>
      </w:pPr>
      <w:r>
        <w:rPr>
          <w:lang w:val="en_US" w:bidi="en_US"/>
        </w:rPr>
      </w:r>
      <w:r>
        <w:rPr>
          <w:lang w:val="en_US" w:bidi="en_US"/>
        </w:rPr>
        <w:t xml:space="preserve">Rather, they put it on a high place in order that the people coming into </w:t>
      </w:r>
      <w:r>
        <w:rPr>
          <w:lang w:val="en_US" w:bidi="en_US"/>
        </w:rPr>
        <w:t>the house</w:t>
      </w:r>
      <w:r>
        <w:rPr>
          <w:lang w:val="en_US" w:bidi="en_US"/>
        </w:rPr>
        <w:t xml:space="preserve"> can see.</w:t>
      </w:r>
    </w:p>
    <w:p>
      <w:pPr/>
      <w:r>
        <w:rPr>
          <w:lang w:val="en_US" w:bidi="en_US"/>
        </w:rPr>
      </w:r>
      <w:r>
        <w:rPr>
          <w:b/>
          <w:lang w:val="en_US" w:bidi="en_US"/>
        </w:rPr>
        <w:t>Instead:</w:t>
      </w:r>
      <w:r>
        <w:rPr>
          <w:lang w:val="en_US" w:bidi="en_US"/>
        </w:rPr>
        <w:t xml:space="preserve"> The Greek conjunction that the BSB translates as </w:t>
      </w:r>
      <w:r>
        <w:rPr>
          <w:i/>
          <w:lang w:val="en_US" w:bidi="en_US"/>
        </w:rPr>
        <w:t>Instead</w:t>
      </w:r>
      <w:r>
        <w:rPr>
          <w:lang w:val="en_US" w:bidi="en_US"/>
        </w:rPr>
        <w:t xml:space="preserve"> is literally “but.” Many English versions translate it that way. This conjunction shows the contrast between 11:33a and 11:33b. Show this contrast in a way that is natural in your language.</w:t>
      </w:r>
    </w:p>
    <w:p>
      <w:pPr/>
      <w:r>
        <w:rPr>
          <w:lang w:val="en_US" w:bidi="en_US"/>
        </w:rPr>
      </w:r>
      <w:r>
        <w:rPr>
          <w:b/>
          <w:lang w:val="en_US" w:bidi="en_US"/>
        </w:rPr>
        <w:t>he sets it on a stand:</w:t>
      </w:r>
      <w:r>
        <w:rPr>
          <w:lang w:val="en_US" w:bidi="en_US"/>
        </w:rPr>
        <w:t xml:space="preserve"> A </w:t>
      </w:r>
      <w:r>
        <w:rPr>
          <w:i/>
          <w:lang w:val="en_US" w:bidi="en_US"/>
        </w:rPr>
        <w:t>stand</w:t>
      </w:r>
      <w:r>
        <w:rPr>
          <w:lang w:val="en_US" w:bidi="en_US"/>
        </w:rPr>
        <w:t xml:space="preserve"> was a stone or wooden shelf where people normally put a lamp so it would give light inside the house. Some other ways to translate </w:t>
      </w:r>
      <w:r>
        <w:rPr>
          <w:i/>
          <w:lang w:val="en_US" w:bidi="en_US"/>
        </w:rPr>
        <w:t>stand</w:t>
      </w:r>
      <w:r>
        <w:rPr>
          <w:lang w:val="en_US" w:bidi="en_US"/>
        </w:rPr>
        <w:t xml:space="preserve"> are:</w:t>
      </w:r>
    </w:p>
    <w:p>
      <w:pPr/>
      <w:r>
        <w:rPr>
          <w:lang w:val="en_US" w:bidi="en_US"/>
        </w:rPr>
      </w:r>
      <w:r>
        <w:rPr>
          <w:lang w:val="en_US" w:bidi="en_US"/>
        </w:rPr>
        <w:t>a high place</w:t>
      </w:r>
    </w:p>
    <w:p>
      <w:pPr/>
      <w:r>
        <w:rPr>
          <w:lang w:val="en_US" w:bidi="en_US"/>
        </w:rPr>
      </w:r>
      <w:r>
        <w:rPr>
          <w:lang w:val="en_US" w:bidi="en_US"/>
        </w:rPr>
        <w:t>lamp holder</w:t>
      </w:r>
    </w:p>
    <w:p>
      <w:pPr/>
      <w:r>
        <w:rPr>
          <w:lang w:val="en_US" w:bidi="en_US"/>
        </w:rPr>
      </w:r>
      <w:r>
        <w:rPr>
          <w:lang w:val="en_US" w:bidi="en_US"/>
        </w:rPr>
        <w:t>lampstand (GNT)</w:t>
      </w:r>
    </w:p>
    <w:p>
      <w:pPr/>
      <w:r>
        <w:rPr>
          <w:lang w:val="en_US" w:bidi="en_US"/>
        </w:rPr>
      </w:r>
      <w:r>
        <w:rPr>
          <w:b/>
          <w:lang w:val="en_US" w:bidi="en_US"/>
        </w:rPr>
        <w:t>so those who enter can see the light:</w:t>
      </w:r>
      <w:r>
        <w:rPr>
          <w:lang w:val="en_US" w:bidi="en_US"/>
        </w:rPr>
        <w:t xml:space="preserve"> This clause explains the reason why people put lamps on stands. They put them on stands in order that the people who came into the house could see at night.</w:t>
      </w:r>
    </w:p>
    <w:p>
      <w:pPr/>
      <w:r>
        <w:rPr>
          <w:lang w:val="en_US" w:bidi="en_US"/>
        </w:rPr>
      </w:r>
      <w:r>
        <w:rPr>
          <w:lang w:val="en_US" w:bidi="en_US"/>
        </w:rPr>
        <w:t>In your translation, avoid suggesting that the people came into the house in order to see the light. Rather, the phrase means that when they came in, they could see where things were, because the lamp lit up the house. Some ways to make this clear are:</w:t>
      </w:r>
    </w:p>
    <w:p>
      <w:pPr/>
      <w:r>
        <w:rPr>
          <w:lang w:val="en_US" w:bidi="en_US"/>
        </w:rPr>
      </w:r>
      <w:r>
        <w:rPr>
          <w:lang w:val="en_US" w:bidi="en_US"/>
        </w:rPr>
        <w:t>so the people who come in can see (NCV)</w:t>
      </w:r>
    </w:p>
    <w:p>
      <w:pPr/>
      <w:r>
        <w:rPr>
          <w:lang w:val="en_US" w:bidi="en_US"/>
        </w:rPr>
      </w:r>
      <w:r>
        <w:rPr>
          <w:lang w:val="en_US" w:bidi="en_US"/>
        </w:rPr>
        <w:t>to give light to all who enter the room (NLT96)</w:t>
      </w:r>
      <w:r>
        <w:rPr>
          <w:lang w:val="en_US" w:bidi="en_US"/>
        </w:rPr>
      </w:r>
      <w:r>
        <w:rPr>
          <w:lang w:val="en_US" w:bidi="en_US"/>
        </w:rPr>
      </w:r>
    </w:p>
    <w:p>
      <w:pPr/>
      <w:r>
        <w:rPr>
          <w:lang w:val="en_US" w:bidi="en_US"/>
        </w:rPr>
      </w:r>
    </w:p>
    <w:p>
      <w:pPr>
        <w:pStyle w:val="Heading2"/>
      </w:pPr>
      <w:r>
        <w:rPr>
          <w:lang w:val="en_US" w:bidi="en_US"/>
        </w:rPr>
        <w:t>Luke 11:34</w:t>
      </w:r>
      <w:r>
        <w:rPr>
          <w:lang w:val="en_US" w:bidi="en_US"/>
        </w:rPr>
      </w:r>
    </w:p>
    <w:p>
      <w:pPr>
        <w:pStyle w:val="Heading4"/>
      </w:pPr>
      <w:r>
        <w:rPr>
          <w:lang w:val="en_US" w:bidi="en_US"/>
        </w:rPr>
        <w:t>Section 11:33–36: Jesus taught about light and darkness</w:t>
      </w:r>
    </w:p>
    <w:p>
      <w:pPr/>
      <w:r>
        <w:rPr>
          <w:lang w:val="en_US" w:bidi="en_US"/>
        </w:rPr>
      </w:r>
      <w:r>
        <w:rPr>
          <w:lang w:val="en_US" w:bidi="en_US"/>
        </w:rPr>
        <w:t>In this section, Jesus used the metaphors of a lamp, light, darkness, eye, and body. The lamp and the light are illustrations of Jesus and his teaching. Both Jesus’ life and teaching revealed God to the people. People whose spiritual eyesight was good were able to understand and accept his message. They were like someone whose mind or body was full of light. People who rejected his message were like a person who was full of darkness.</w:t>
      </w:r>
    </w:p>
    <w:p>
      <w:pPr/>
      <w:r>
        <w:rPr>
          <w:lang w:val="en_US" w:bidi="en_US"/>
        </w:rPr>
      </w:r>
      <w:r>
        <w:rPr>
          <w:lang w:val="en_US" w:bidi="en_US"/>
        </w:rPr>
        <w:t>Jesus used these metaphors to tell the people (in 11:29–32) that their spiritual eyes were diseased. They could not receive the light of his message. If they had been willing to accept his message, then their minds would have been full of light. They would not have asked for another miracle to prove that God had sent him.</w:t>
      </w:r>
    </w:p>
    <w:p>
      <w:pPr/>
      <w:r>
        <w:rPr>
          <w:lang w:val="en_US" w:bidi="en_US"/>
        </w:rPr>
      </w:r>
      <w:r>
        <w:rPr>
          <w:lang w:val="en_US" w:bidi="en_US"/>
        </w:rPr>
        <w:t>Some other possible headings for this section are:</w:t>
      </w:r>
    </w:p>
    <w:p>
      <w:pPr/>
      <w:r>
        <w:rPr>
          <w:lang w:val="en_US" w:bidi="en_US"/>
        </w:rPr>
      </w:r>
      <w:r>
        <w:rPr>
          <w:lang w:val="en_US" w:bidi="en_US"/>
        </w:rPr>
        <w:t>Jesus’ message is like a lamp and like light</w:t>
      </w:r>
    </w:p>
    <w:p>
      <w:pPr/>
      <w:r>
        <w:rPr>
          <w:lang w:val="en_US" w:bidi="en_US"/>
        </w:rPr>
      </w:r>
      <w:r>
        <w:rPr>
          <w:lang w:val="en_US" w:bidi="en_US"/>
        </w:rPr>
        <w:t>The light of the body (GNT)</w:t>
      </w:r>
    </w:p>
    <w:p>
      <w:pPr/>
      <w:r>
        <w:rPr>
          <w:lang w:val="en_US" w:bidi="en_US"/>
        </w:rPr>
      </w:r>
      <w:r>
        <w:rPr>
          <w:lang w:val="en_US" w:bidi="en_US"/>
        </w:rPr>
        <w:t>There are parallel passages for this section in Matthew 5:15 and 6:22–23.</w:t>
      </w:r>
    </w:p>
    <w:p>
      <w:pPr>
        <w:pStyle w:val="Heading4"/>
      </w:pPr>
      <w:r>
        <w:rPr>
          <w:lang w:val="en_US" w:bidi="en_US"/>
        </w:rPr>
        <w:t>Paragraph 11:33–36</w:t>
      </w:r>
    </w:p>
    <w:p>
      <w:pPr/>
      <w:r>
        <w:rPr>
          <w:lang w:val="en_US" w:bidi="en_US"/>
        </w:rPr>
      </w:r>
      <w:r>
        <w:rPr>
          <w:lang w:val="en_US" w:bidi="en_US"/>
        </w:rPr>
        <w:t>There are two sayings about a lamp in this paragraph: one in 11:33 and another in 11:34–36. In 11:33 Jesus compared himself and his teaching to a lamp. People put a lamp where its light will be seen. In the same way, Jesus taught in public where everyone could hear and see him.</w:t>
      </w:r>
    </w:p>
    <w:p>
      <w:pPr/>
      <w:r>
        <w:rPr>
          <w:lang w:val="en_US" w:bidi="en_US"/>
        </w:rPr>
      </w:r>
      <w:r>
        <w:rPr>
          <w:lang w:val="en_US" w:bidi="en_US"/>
        </w:rPr>
        <w:t>In 11:34 the topic is different. Here a person’s eye (his attitude toward Jesus’ message) is compared to a lamp. This lamp provides him with light (spiritual illumination or understanding).</w:t>
      </w:r>
      <w:r>
        <w:rPr>
          <w:lang w:val="en_US" w:bidi="en_US"/>
        </w:rPr>
        <w:t>A number of commentators say that in this context the eye represents a person’s attitude toward Jesus, his willingness or unwillingness to accept Jesus’ message. Evans (p. 188) uses the term “moral disposition,” referring to a person’s inclination to receive Jesus’ message or to reject him. Marshall (p. 489) speaks of a person being “single-mindedly receptive to the light of the gospel,” and Liefeld (p. 954) says that the body receives light through the eye “subject to the individual’s will.” Morris (p. 221) also speaks of a person’s attention being focused on good (in the case of a healthy eye) or on evil (in the case of a bad eye). Nolland (p. 657) agrees that the eye here is a metaphor for “moral and spiritual readiness to see.”</w:t>
      </w:r>
    </w:p>
    <w:p>
      <w:pPr>
        <w:pStyle w:val="Heading5"/>
      </w:pPr>
      <w:r>
        <w:rPr>
          <w:lang w:val="en_US" w:bidi="en_US"/>
        </w:rPr>
        <w:t>11:34–36</w:t>
      </w:r>
    </w:p>
    <w:p>
      <w:pPr/>
      <w:r>
        <w:rPr>
          <w:lang w:val="en_US" w:bidi="en_US"/>
        </w:rPr>
      </w:r>
      <w:r>
        <w:rPr>
          <w:lang w:val="en_US" w:bidi="en_US"/>
        </w:rPr>
        <w:t>In 11:34–36, Jesus used the word “body” to refer to the person himself. Consider if it would be better to make this explicit. One way to do this in English is to use “you” throughout this passage. For example:</w:t>
      </w:r>
    </w:p>
    <w:p>
      <w:pPr/>
      <w:r>
        <w:rPr>
          <w:lang w:val="en_US" w:bidi="en_US"/>
        </w:rPr>
      </w:r>
      <w:r>
        <w:rPr>
          <w:vertAlign w:val="superscript"/>
          <w:lang w:val="en_US" w:bidi="en_US"/>
        </w:rPr>
        <w:t>34</w:t>
      </w:r>
      <w:r>
        <w:rPr>
          <w:lang w:val="en_US" w:bidi="en_US"/>
        </w:rPr>
        <w:t xml:space="preserve">Your eye is </w:t>
      </w:r>
      <w:r>
        <w:rPr>
          <w:u w:val="single"/>
          <w:lang w:val="en_US" w:bidi="en_US"/>
        </w:rPr>
        <w:t>your</w:t>
      </w:r>
      <w:r>
        <w:rPr>
          <w:lang w:val="en_US" w:bidi="en_US"/>
        </w:rPr>
        <w:t xml:space="preserve"> lamp. When your eyes are good, </w:t>
      </w:r>
      <w:r>
        <w:rPr>
          <w:u w:val="single"/>
          <w:lang w:val="en_US" w:bidi="en_US"/>
        </w:rPr>
        <w:t>you</w:t>
      </w:r>
      <w:r>
        <w:rPr>
          <w:lang w:val="en_US" w:bidi="en_US"/>
        </w:rPr>
        <w:t xml:space="preserve"> also are full of light. But when they are bad, </w:t>
      </w:r>
      <w:r>
        <w:rPr>
          <w:u w:val="single"/>
          <w:lang w:val="en_US" w:bidi="en_US"/>
        </w:rPr>
        <w:t>you</w:t>
      </w:r>
      <w:r>
        <w:rPr>
          <w:lang w:val="en_US" w:bidi="en_US"/>
        </w:rPr>
        <w:t xml:space="preserve"> also are full of darkness. </w:t>
      </w:r>
      <w:r>
        <w:rPr>
          <w:vertAlign w:val="superscript"/>
          <w:lang w:val="en_US" w:bidi="en_US"/>
        </w:rPr>
        <w:t>35</w:t>
      </w:r>
      <w:r>
        <w:rPr>
          <w:lang w:val="en_US" w:bidi="en_US"/>
        </w:rPr>
        <w:t xml:space="preserve">See to it, then, that the light within </w:t>
      </w:r>
      <w:r>
        <w:rPr>
          <w:u w:val="single"/>
          <w:lang w:val="en_US" w:bidi="en_US"/>
        </w:rPr>
        <w:t>you</w:t>
      </w:r>
      <w:r>
        <w:rPr>
          <w:lang w:val="en_US" w:bidi="en_US"/>
        </w:rPr>
        <w:t xml:space="preserve"> is not darkness. </w:t>
      </w:r>
      <w:r>
        <w:rPr>
          <w:vertAlign w:val="superscript"/>
          <w:lang w:val="en_US" w:bidi="en_US"/>
        </w:rPr>
        <w:t>36</w:t>
      </w:r>
      <w:r>
        <w:rPr>
          <w:lang w:val="en_US" w:bidi="en_US"/>
        </w:rPr>
        <w:t xml:space="preserve">Therefore, if </w:t>
      </w:r>
      <w:r>
        <w:rPr>
          <w:u w:val="single"/>
          <w:lang w:val="en_US" w:bidi="en_US"/>
        </w:rPr>
        <w:t>you</w:t>
      </w:r>
      <w:r>
        <w:rPr>
          <w:lang w:val="en_US" w:bidi="en_US"/>
        </w:rPr>
        <w:t xml:space="preserve"> are full of light, and no part is dark, </w:t>
      </w:r>
      <w:r>
        <w:rPr>
          <w:u w:val="single"/>
          <w:lang w:val="en_US" w:bidi="en_US"/>
        </w:rPr>
        <w:t>you</w:t>
      </w:r>
      <w:r>
        <w:rPr>
          <w:lang w:val="en_US" w:bidi="en_US"/>
        </w:rPr>
        <w:t xml:space="preserve"> will be completely lighted, as when the light of a lamp shines on you.</w:t>
      </w:r>
    </w:p>
    <w:p>
      <w:pPr/>
      <w:r>
        <w:rPr>
          <w:lang w:val="en_US" w:bidi="en_US"/>
        </w:rPr>
      </w:r>
      <w:r>
        <w:rPr>
          <w:lang w:val="en_US" w:bidi="en_US"/>
        </w:rPr>
        <w:t>In some languages, it may be more natural to use terms such as “a person” and “his” in parts of 11:34–36. For example:</w:t>
      </w:r>
    </w:p>
    <w:p>
      <w:pPr/>
      <w:r>
        <w:rPr>
          <w:lang w:val="en_US" w:bidi="en_US"/>
        </w:rPr>
      </w:r>
      <w:r>
        <w:rPr>
          <w:vertAlign w:val="superscript"/>
          <w:lang w:val="en_US" w:bidi="en_US"/>
        </w:rPr>
        <w:t>34a</w:t>
      </w:r>
      <w:r>
        <w:rPr>
          <w:lang w:val="en_US" w:bidi="en_US"/>
        </w:rPr>
        <w:t xml:space="preserve">The eye is the lamp of </w:t>
      </w:r>
      <w:r>
        <w:rPr>
          <w:u w:val="single"/>
          <w:lang w:val="en_US" w:bidi="en_US"/>
        </w:rPr>
        <w:t>a person’s</w:t>
      </w:r>
      <w:r>
        <w:rPr>
          <w:lang w:val="en_US" w:bidi="en_US"/>
        </w:rPr>
        <w:t xml:space="preserve"> body. </w:t>
      </w:r>
      <w:r>
        <w:rPr>
          <w:vertAlign w:val="superscript"/>
          <w:lang w:val="en_US" w:bidi="en_US"/>
        </w:rPr>
        <w:t>34b</w:t>
      </w:r>
      <w:r>
        <w:rPr>
          <w:lang w:val="en_US" w:bidi="en_US"/>
        </w:rPr>
        <w:t xml:space="preserve">When </w:t>
      </w:r>
      <w:r>
        <w:rPr>
          <w:u w:val="single"/>
          <w:lang w:val="en_US" w:bidi="en_US"/>
        </w:rPr>
        <w:t>a person’s</w:t>
      </w:r>
      <w:r>
        <w:rPr>
          <w:lang w:val="en_US" w:bidi="en_US"/>
        </w:rPr>
        <w:t xml:space="preserve"> eyes are good, </w:t>
      </w:r>
      <w:r>
        <w:rPr>
          <w:u w:val="single"/>
          <w:lang w:val="en_US" w:bidi="en_US"/>
        </w:rPr>
        <w:t>his</w:t>
      </w:r>
      <w:r>
        <w:rPr>
          <w:lang w:val="en_US" w:bidi="en_US"/>
        </w:rPr>
        <w:t xml:space="preserve"> whole body also is full of light. </w:t>
      </w:r>
      <w:r>
        <w:rPr>
          <w:vertAlign w:val="superscript"/>
          <w:lang w:val="en_US" w:bidi="en_US"/>
        </w:rPr>
        <w:t>34c</w:t>
      </w:r>
      <w:r>
        <w:rPr>
          <w:lang w:val="en_US" w:bidi="en_US"/>
        </w:rPr>
        <w:t xml:space="preserve">But when they are bad, </w:t>
      </w:r>
      <w:r>
        <w:rPr>
          <w:u w:val="single"/>
          <w:lang w:val="en_US" w:bidi="en_US"/>
        </w:rPr>
        <w:t>his</w:t>
      </w:r>
      <w:r>
        <w:rPr>
          <w:lang w:val="en_US" w:bidi="en_US"/>
        </w:rPr>
        <w:t xml:space="preserve"> body also is full of darkness. </w:t>
      </w:r>
      <w:r>
        <w:rPr>
          <w:vertAlign w:val="superscript"/>
          <w:lang w:val="en_US" w:bidi="en_US"/>
        </w:rPr>
        <w:t>35</w:t>
      </w:r>
      <w:r>
        <w:rPr>
          <w:lang w:val="en_US" w:bidi="en_US"/>
        </w:rPr>
        <w:t xml:space="preserve">He must see to it, then, that the light within him is not darkness. </w:t>
      </w:r>
      <w:r>
        <w:rPr>
          <w:vertAlign w:val="superscript"/>
          <w:lang w:val="en_US" w:bidi="en_US"/>
        </w:rPr>
        <w:t>36a</w:t>
      </w:r>
      <w:r>
        <w:rPr>
          <w:lang w:val="en_US" w:bidi="en_US"/>
        </w:rPr>
        <w:t xml:space="preserve">Therefore, if </w:t>
      </w:r>
      <w:r>
        <w:rPr>
          <w:u w:val="single"/>
          <w:lang w:val="en_US" w:bidi="en_US"/>
        </w:rPr>
        <w:t>a person’s</w:t>
      </w:r>
      <w:r>
        <w:rPr>
          <w:lang w:val="en_US" w:bidi="en_US"/>
        </w:rPr>
        <w:t xml:space="preserve"> whole body is full of light, </w:t>
      </w:r>
      <w:r>
        <w:rPr>
          <w:vertAlign w:val="superscript"/>
          <w:lang w:val="en_US" w:bidi="en_US"/>
        </w:rPr>
        <w:t>36b</w:t>
      </w:r>
      <w:r>
        <w:rPr>
          <w:lang w:val="en_US" w:bidi="en_US"/>
        </w:rPr>
        <w:t xml:space="preserve">and no part of it dark, </w:t>
      </w:r>
      <w:r>
        <w:rPr>
          <w:vertAlign w:val="superscript"/>
          <w:lang w:val="en_US" w:bidi="en_US"/>
        </w:rPr>
        <w:t>36c</w:t>
      </w:r>
      <w:r>
        <w:rPr>
          <w:lang w:val="en_US" w:bidi="en_US"/>
        </w:rPr>
        <w:t xml:space="preserve">it will be completely lighted, </w:t>
      </w:r>
      <w:r>
        <w:rPr>
          <w:vertAlign w:val="superscript"/>
          <w:lang w:val="en_US" w:bidi="en_US"/>
        </w:rPr>
        <w:t>36d</w:t>
      </w:r>
      <w:r>
        <w:rPr>
          <w:lang w:val="en_US" w:bidi="en_US"/>
        </w:rPr>
        <w:t xml:space="preserve">as when the light of a lamp shines on </w:t>
      </w:r>
      <w:r>
        <w:rPr>
          <w:u w:val="single"/>
          <w:lang w:val="en_US" w:bidi="en_US"/>
        </w:rPr>
        <w:t>him</w:t>
      </w:r>
      <w:r>
        <w:rPr>
          <w:lang w:val="en_US" w:bidi="en_US"/>
        </w:rPr>
        <w:t>.</w:t>
      </w:r>
    </w:p>
    <w:p>
      <w:pPr/>
      <w:r>
        <w:rPr>
          <w:lang w:val="en_US" w:bidi="en_US"/>
        </w:rPr>
      </w:r>
      <w:r>
        <w:rPr>
          <w:lang w:val="en_US" w:bidi="en_US"/>
        </w:rPr>
        <w:t>Also note that in the Greek text Jesus used the singular forms for “your” and “you” throughout this passage. However, he was talking about anybody and everybody. Consider if it would be better to use the plural forms for “you” and “your” in this context. The Display will use both forms.</w:t>
      </w:r>
    </w:p>
    <w:p>
      <w:pPr>
        <w:pStyle w:val="Heading5"/>
      </w:pPr>
      <w:r>
        <w:rPr>
          <w:lang w:val="en_US" w:bidi="en_US"/>
        </w:rPr>
        <w:t>11:34a</w:t>
      </w:r>
    </w:p>
    <w:p>
      <w:pPr/>
      <w:r>
        <w:rPr>
          <w:lang w:val="en_US" w:bidi="en_US"/>
        </w:rPr>
      </w:r>
      <w:r>
        <w:rPr>
          <w:b/>
          <w:lang w:val="en_US" w:bidi="en_US"/>
        </w:rPr>
        <w:t>Your eye is the lamp of your body.</w:t>
      </w:r>
    </w:p>
    <w:p>
      <w:pPr>
        <w:pStyle w:val="ListBullet"/>
        <w:spacing w:line="240" w:lineRule="auto"/>
        <w:ind w:left="720"/>
      </w:pPr>
      <w:r>
        <w:rPr>
          <w:lang w:val="en_US" w:bidi="en_US"/>
        </w:rPr>
      </w:r>
      <w:r>
        <w:rPr>
          <w:lang w:val="en_US" w:bidi="en_US"/>
        </w:rPr>
        <w:t>Your</w:t>
      </w:r>
      <w:r>
        <w:rPr>
          <w:vertAlign w:val="superscript"/>
          <w:lang w:val="en_US" w:bidi="en_US"/>
        </w:rPr>
        <w:t>(sing/plur)</w:t>
      </w:r>
      <w:r>
        <w:rPr>
          <w:lang w:val="en_US" w:bidi="en_US"/>
        </w:rPr>
        <w:t xml:space="preserve"> eyes are </w:t>
      </w:r>
      <w:r>
        <w:rPr>
          <w:lang w:val="en_US" w:bidi="en_US"/>
        </w:rPr>
        <w:t>like</w:t>
      </w:r>
      <w:r>
        <w:rPr>
          <w:lang w:val="en_US" w:bidi="en_US"/>
        </w:rPr>
        <w:t xml:space="preserve"> the lamp for your body.</w:t>
      </w:r>
    </w:p>
    <w:p>
      <w:pPr>
        <w:pStyle w:val="ListBullet"/>
        <w:spacing w:line="240" w:lineRule="auto"/>
        <w:ind w:left="720"/>
      </w:pPr>
      <w:r>
        <w:rPr>
          <w:lang w:val="en_US" w:bidi="en_US"/>
        </w:rPr>
      </w:r>
      <w:r>
        <w:rPr>
          <w:lang w:val="en_US" w:bidi="en_US"/>
        </w:rPr>
        <w:t>Your</w:t>
      </w:r>
      <w:r>
        <w:rPr>
          <w:vertAlign w:val="superscript"/>
          <w:lang w:val="en_US" w:bidi="en_US"/>
        </w:rPr>
        <w:t>(sing/plur)</w:t>
      </w:r>
      <w:r>
        <w:rPr>
          <w:lang w:val="en_US" w:bidi="en_US"/>
        </w:rPr>
        <w:t xml:space="preserve"> eyes are </w:t>
      </w:r>
      <w:r>
        <w:rPr>
          <w:lang w:val="en_US" w:bidi="en_US"/>
        </w:rPr>
        <w:t>like</w:t>
      </w:r>
      <w:r>
        <w:rPr>
          <w:lang w:val="en_US" w:bidi="en_US"/>
        </w:rPr>
        <w:t xml:space="preserve"> a lamp that gives you light.</w:t>
      </w:r>
    </w:p>
    <w:p>
      <w:pPr>
        <w:pStyle w:val="ListBullet"/>
        <w:spacing w:line="240" w:lineRule="auto"/>
        <w:ind w:left="720"/>
      </w:pPr>
      <w:r>
        <w:rPr>
          <w:lang w:val="en_US" w:bidi="en_US"/>
        </w:rPr>
      </w:r>
      <w:r>
        <w:rPr>
          <w:lang w:val="en_US" w:bidi="en_US"/>
        </w:rPr>
        <w:t xml:space="preserve">A person’s eye is </w:t>
      </w:r>
      <w:r>
        <w:rPr>
          <w:lang w:val="en_US" w:bidi="en_US"/>
        </w:rPr>
        <w:t>like</w:t>
      </w:r>
      <w:r>
        <w:rPr>
          <w:lang w:val="en_US" w:bidi="en_US"/>
        </w:rPr>
        <w:t xml:space="preserve"> his body’s lamp.</w:t>
      </w:r>
    </w:p>
    <w:p>
      <w:pPr/>
      <w:r>
        <w:rPr>
          <w:lang w:val="en_US" w:bidi="en_US"/>
        </w:rPr>
      </w:r>
      <w:r>
        <w:rPr>
          <w:b/>
          <w:lang w:val="en_US" w:bidi="en_US"/>
        </w:rPr>
        <w:t>Your eye is the lamp of your body:</w:t>
      </w:r>
      <w:r>
        <w:rPr>
          <w:lang w:val="en_US" w:bidi="en_US"/>
        </w:rPr>
        <w:t xml:space="preserve"> This is a complex metaphor. It compares a person’s eyes (both physical and spiritual) with a lamp. The point of similarity is that both of these help him to see. A person’s physical eyes receive light and enable him to see where he is going and what is happening. A person’s spiritual eyes represent his attitude toward Jesus and his message. This attitude determines whether a person will understand the message.</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Change the metaphor to a simile. For example:</w:t>
      </w:r>
      <w:r>
        <w:rPr>
          <w:lang w:val="en_US" w:bidi="en_US"/>
        </w:rPr>
        <w:t>A person’s eye is like his lamp.</w:t>
      </w:r>
    </w:p>
    <w:p>
      <w:pPr>
        <w:pStyle w:val="ListBullet"/>
        <w:spacing w:line="240" w:lineRule="auto"/>
        <w:ind w:left="720"/>
      </w:pPr>
      <w:r>
        <w:rPr>
          <w:lang w:val="en_US" w:bidi="en_US"/>
        </w:rPr>
      </w:r>
      <w:r>
        <w:rPr>
          <w:lang w:val="en_US" w:bidi="en_US"/>
        </w:rPr>
        <w:t>Change the metaphor to a simile and make explicit the point of similarity. For example:</w:t>
      </w:r>
      <w:r>
        <w:rPr>
          <w:lang w:val="en_US" w:bidi="en_US"/>
        </w:rPr>
        <w:t xml:space="preserve">Your eye is like a lamp that provides light for your body. </w:t>
      </w:r>
      <w:r>
        <w:rPr>
          <w:lang w:val="en_US" w:bidi="en_US"/>
        </w:rPr>
        <w:t>It helps you to see.</w:t>
      </w:r>
    </w:p>
    <w:p>
      <w:pPr/>
      <w:r>
        <w:rPr>
          <w:lang w:val="en_US" w:bidi="en_US"/>
        </w:rPr>
      </w:r>
      <w:r>
        <w:rPr>
          <w:lang w:val="en_US" w:bidi="en_US"/>
        </w:rPr>
        <w:t>If the figure of the eye is not understood correctly, you may want to add a footnote. For example:</w:t>
      </w:r>
    </w:p>
    <w:p>
      <w:pPr/>
      <w:r>
        <w:rPr>
          <w:lang w:val="en_US" w:bidi="en_US"/>
        </w:rPr>
      </w:r>
      <w:r>
        <w:rPr>
          <w:lang w:val="en_US" w:bidi="en_US"/>
        </w:rPr>
        <w:t>In Jewish thinking, the eye was the part of the body that could receive or see light. Here Jesus used the eye as an illustration of a person’s willingness to receive spiritual light or truth.</w:t>
      </w:r>
    </w:p>
    <w:p>
      <w:pPr/>
      <w:r>
        <w:rPr>
          <w:lang w:val="en_US" w:bidi="en_US"/>
        </w:rPr>
      </w:r>
      <w:r>
        <w:rPr>
          <w:b/>
          <w:lang w:val="en_US" w:bidi="en_US"/>
        </w:rPr>
        <w:t>Your eye:</w:t>
      </w:r>
      <w:r>
        <w:rPr>
          <w:lang w:val="en_US" w:bidi="en_US"/>
        </w:rPr>
        <w:t xml:space="preserve"> In some languages, it may be more natural to use the plural “Your eye</w:t>
      </w:r>
      <w:r>
        <w:rPr>
          <w:u w:val="single"/>
          <w:lang w:val="en_US" w:bidi="en_US"/>
        </w:rPr>
        <w:t>s</w:t>
      </w:r>
      <w:r>
        <w:rPr>
          <w:lang w:val="en_US" w:bidi="en_US"/>
        </w:rPr>
        <w:t>” rather than the singular “Your eye.” For example:</w:t>
      </w:r>
    </w:p>
    <w:p>
      <w:pPr/>
      <w:r>
        <w:rPr>
          <w:lang w:val="en_US" w:bidi="en_US"/>
        </w:rPr>
      </w:r>
      <w:r>
        <w:rPr>
          <w:lang w:val="en_US" w:bidi="en_US"/>
        </w:rPr>
        <w:t>Your eyes are the lamp for your body (CEV)</w:t>
      </w:r>
    </w:p>
    <w:p>
      <w:pPr/>
      <w:r>
        <w:rPr>
          <w:lang w:val="en_US" w:bidi="en_US"/>
        </w:rPr>
      </w:r>
      <w:r>
        <w:rPr>
          <w:b/>
          <w:lang w:val="en_US" w:bidi="en_US"/>
        </w:rPr>
        <w:t>your body:</w:t>
      </w:r>
      <w:r>
        <w:rPr>
          <w:lang w:val="en_US" w:bidi="en_US"/>
        </w:rPr>
        <w:t xml:space="preserve"> The phrase </w:t>
      </w:r>
      <w:r>
        <w:rPr>
          <w:i/>
          <w:lang w:val="en_US" w:bidi="en_US"/>
        </w:rPr>
        <w:t>your body</w:t>
      </w:r>
      <w:r>
        <w:rPr>
          <w:lang w:val="en_US" w:bidi="en_US"/>
        </w:rPr>
        <w:t xml:space="preserve"> is a figure of speech. This phrase represents you as a whole or you as a person. As mentioned above, some other ways to translate </w:t>
      </w:r>
      <w:r>
        <w:rPr>
          <w:i/>
          <w:lang w:val="en_US" w:bidi="en_US"/>
        </w:rPr>
        <w:t>your body</w:t>
      </w:r>
      <w:r>
        <w:rPr>
          <w:lang w:val="en_US" w:bidi="en_US"/>
        </w:rPr>
        <w:t xml:space="preserve"> are:</w:t>
      </w:r>
    </w:p>
    <w:p>
      <w:pPr/>
      <w:r>
        <w:rPr>
          <w:lang w:val="en_US" w:bidi="en_US"/>
        </w:rPr>
      </w:r>
      <w:r>
        <w:rPr>
          <w:lang w:val="en_US" w:bidi="en_US"/>
        </w:rPr>
        <w:t>you</w:t>
      </w:r>
    </w:p>
    <w:p>
      <w:pPr/>
      <w:r>
        <w:rPr>
          <w:lang w:val="en_US" w:bidi="en_US"/>
        </w:rPr>
      </w:r>
      <w:r>
        <w:rPr>
          <w:lang w:val="en_US" w:bidi="en_US"/>
        </w:rPr>
        <w:t>a person</w:t>
      </w:r>
    </w:p>
    <w:p>
      <w:pPr>
        <w:pStyle w:val="Heading5"/>
      </w:pPr>
      <w:r>
        <w:rPr>
          <w:lang w:val="en_US" w:bidi="en_US"/>
        </w:rPr>
        <w:t>11:34b–e</w:t>
      </w:r>
    </w:p>
    <w:p>
      <w:pPr/>
      <w:r>
        <w:rPr>
          <w:lang w:val="en_US" w:bidi="en_US"/>
        </w:rPr>
      </w:r>
      <w:r>
        <w:rPr>
          <w:lang w:val="en_US" w:bidi="en_US"/>
        </w:rPr>
        <w:t>In 11:34b–e, Jesus used good eyes and bad eyes as a figure of speech. He contrasted the results of having good eyes and bad eyes. In the example below, the meaning of the figure is put in parentheses.</w:t>
      </w:r>
    </w:p>
    <w:p>
      <w:pPr/>
      <w:r>
        <w:rPr>
          <w:lang w:val="en_US" w:bidi="en_US"/>
        </w:rPr>
      </w:r>
      <w:r>
        <w:rPr>
          <w:vertAlign w:val="superscript"/>
          <w:lang w:val="en_US" w:bidi="en_US"/>
        </w:rPr>
        <w:t>34b</w:t>
      </w:r>
      <w:r>
        <w:rPr>
          <w:lang w:val="en_US" w:bidi="en_US"/>
        </w:rPr>
        <w:t>When your eyes are good (When you accept my message),</w:t>
      </w:r>
    </w:p>
    <w:p>
      <w:pPr/>
      <w:r>
        <w:rPr>
          <w:lang w:val="en_US" w:bidi="en_US"/>
        </w:rPr>
      </w:r>
      <w:r>
        <w:rPr>
          <w:vertAlign w:val="superscript"/>
          <w:lang w:val="en_US" w:bidi="en_US"/>
        </w:rPr>
        <w:t>34c</w:t>
      </w:r>
      <w:r>
        <w:rPr>
          <w:lang w:val="en_US" w:bidi="en_US"/>
        </w:rPr>
        <w:t>your whole body also is full of light (you will understand the truth about me and it will guide you to do what is right).</w:t>
      </w:r>
    </w:p>
    <w:p>
      <w:pPr/>
      <w:r>
        <w:rPr>
          <w:lang w:val="en_US" w:bidi="en_US"/>
        </w:rPr>
      </w:r>
      <w:r>
        <w:rPr>
          <w:vertAlign w:val="superscript"/>
          <w:lang w:val="en_US" w:bidi="en_US"/>
        </w:rPr>
        <w:t>34d</w:t>
      </w:r>
      <w:r>
        <w:rPr>
          <w:lang w:val="en_US" w:bidi="en_US"/>
        </w:rPr>
        <w:t>But when your eyes are bad (But when you ignore or reject my message),</w:t>
      </w:r>
    </w:p>
    <w:p>
      <w:pPr/>
      <w:r>
        <w:rPr>
          <w:lang w:val="en_US" w:bidi="en_US"/>
        </w:rPr>
      </w:r>
      <w:r>
        <w:rPr>
          <w:vertAlign w:val="superscript"/>
          <w:lang w:val="en_US" w:bidi="en_US"/>
        </w:rPr>
        <w:t>34e</w:t>
      </w:r>
      <w:r>
        <w:rPr>
          <w:lang w:val="en_US" w:bidi="en_US"/>
        </w:rPr>
        <w:t>your body also is full of darkness (you will remain ignorant of the truth about me).</w:t>
      </w:r>
    </w:p>
    <w:p>
      <w:pPr>
        <w:pStyle w:val="Heading5"/>
      </w:pPr>
      <w:r>
        <w:rPr>
          <w:lang w:val="en_US" w:bidi="en_US"/>
        </w:rPr>
        <w:t>11:34b</w:t>
      </w:r>
    </w:p>
    <w:p>
      <w:pPr/>
      <w:r>
        <w:rPr>
          <w:lang w:val="en_US" w:bidi="en_US"/>
        </w:rPr>
      </w:r>
      <w:r>
        <w:rPr>
          <w:b/>
          <w:lang w:val="en_US" w:bidi="en_US"/>
        </w:rPr>
        <w:t>When your eyes are good,</w:t>
      </w:r>
    </w:p>
    <w:p>
      <w:pPr>
        <w:pStyle w:val="ListBullet"/>
        <w:spacing w:line="240" w:lineRule="auto"/>
        <w:ind w:left="720"/>
      </w:pPr>
      <w:r>
        <w:rPr>
          <w:lang w:val="en_US" w:bidi="en_US"/>
        </w:rPr>
      </w:r>
      <w:r>
        <w:rPr>
          <w:lang w:val="en_US" w:bidi="en_US"/>
        </w:rPr>
        <w:t>When your</w:t>
      </w:r>
      <w:r>
        <w:rPr>
          <w:vertAlign w:val="superscript"/>
          <w:lang w:val="en_US" w:bidi="en_US"/>
        </w:rPr>
        <w:t>(sing/plur)</w:t>
      </w:r>
      <w:r>
        <w:rPr>
          <w:lang w:val="en_US" w:bidi="en_US"/>
        </w:rPr>
        <w:t xml:space="preserve"> eyes are healthy,</w:t>
      </w:r>
    </w:p>
    <w:p>
      <w:pPr>
        <w:pStyle w:val="ListBullet"/>
        <w:spacing w:line="240" w:lineRule="auto"/>
        <w:ind w:left="720"/>
      </w:pPr>
      <w:r>
        <w:rPr>
          <w:lang w:val="en_US" w:bidi="en_US"/>
        </w:rPr>
      </w:r>
      <w:r>
        <w:rPr>
          <w:lang w:val="en_US" w:bidi="en_US"/>
        </w:rPr>
        <w:t>If a person is able to see clearly/properly,</w:t>
      </w:r>
    </w:p>
    <w:p>
      <w:pPr>
        <w:pStyle w:val="ListBullet"/>
        <w:spacing w:line="240" w:lineRule="auto"/>
        <w:ind w:left="720"/>
      </w:pPr>
      <w:r>
        <w:rPr>
          <w:lang w:val="en_US" w:bidi="en_US"/>
        </w:rPr>
      </w:r>
      <w:r>
        <w:rPr>
          <w:lang w:val="en_US" w:bidi="en_US"/>
        </w:rPr>
        <w:t>A person who accepts my message is like</w:t>
      </w:r>
      <w:r>
        <w:rPr>
          <w:lang w:val="en_US" w:bidi="en_US"/>
        </w:rPr>
        <w:t xml:space="preserve"> someone who has good eyes. If a person is like that,</w:t>
      </w:r>
    </w:p>
    <w:p>
      <w:pPr/>
      <w:r>
        <w:rPr>
          <w:lang w:val="en_US" w:bidi="en_US"/>
        </w:rPr>
      </w:r>
      <w:r>
        <w:rPr>
          <w:b/>
          <w:lang w:val="en_US" w:bidi="en_US"/>
        </w:rPr>
        <w:t>When:</w:t>
      </w:r>
      <w:r>
        <w:rPr>
          <w:lang w:val="en_US" w:bidi="en_US"/>
        </w:rPr>
        <w:t xml:space="preserve"> The word </w:t>
      </w:r>
      <w:r>
        <w:rPr>
          <w:i/>
          <w:lang w:val="en_US" w:bidi="en_US"/>
        </w:rPr>
        <w:t>When</w:t>
      </w:r>
      <w:r>
        <w:rPr>
          <w:lang w:val="en_US" w:bidi="en_US"/>
        </w:rPr>
        <w:t xml:space="preserve"> introduces a condition or circumstance. It is not an expression of time.</w:t>
      </w:r>
    </w:p>
    <w:p>
      <w:pPr/>
      <w:r>
        <w:rPr>
          <w:lang w:val="en_US" w:bidi="en_US"/>
        </w:rPr>
      </w:r>
      <w:r>
        <w:rPr>
          <w:b/>
          <w:lang w:val="en_US" w:bidi="en_US"/>
        </w:rPr>
        <w:t>your eyes are good:</w:t>
      </w:r>
      <w:r>
        <w:rPr>
          <w:lang w:val="en_US" w:bidi="en_US"/>
        </w:rPr>
        <w:t xml:space="preserve"> The word </w:t>
      </w:r>
      <w:r>
        <w:rPr>
          <w:i/>
          <w:lang w:val="en_US" w:bidi="en_US"/>
        </w:rPr>
        <w:t>good</w:t>
      </w:r>
      <w:r>
        <w:rPr>
          <w:lang w:val="en_US" w:bidi="en_US"/>
        </w:rPr>
        <w:t xml:space="preserve"> in this context means “healthy.” A person whose eyes are </w:t>
      </w:r>
      <w:r>
        <w:rPr>
          <w:i/>
          <w:lang w:val="en_US" w:bidi="en_US"/>
        </w:rPr>
        <w:t>good</w:t>
      </w:r>
      <w:r>
        <w:rPr>
          <w:lang w:val="en_US" w:bidi="en_US"/>
        </w:rPr>
        <w:t>, healthy, or clear can see well. The meaning of this figure is, “If you accept my message.” Some other ways to translate this clause are:</w:t>
      </w:r>
    </w:p>
    <w:p>
      <w:pPr/>
      <w:r>
        <w:rPr>
          <w:lang w:val="en_US" w:bidi="en_US"/>
        </w:rPr>
      </w:r>
      <w:r>
        <w:rPr>
          <w:lang w:val="en_US" w:bidi="en_US"/>
        </w:rPr>
        <w:t>When/If your sight is good</w:t>
      </w:r>
    </w:p>
    <w:p>
      <w:pPr/>
      <w:r>
        <w:rPr>
          <w:lang w:val="en_US" w:bidi="en_US"/>
        </w:rPr>
      </w:r>
      <w:r>
        <w:rPr>
          <w:lang w:val="en_US" w:bidi="en_US"/>
        </w:rPr>
        <w:t>If you are able to see clearly/properly</w:t>
      </w:r>
    </w:p>
    <w:p>
      <w:pPr/>
      <w:r>
        <w:rPr>
          <w:lang w:val="en_US" w:bidi="en_US"/>
        </w:rPr>
      </w:r>
      <w:r>
        <w:rPr>
          <w:lang w:val="en_US" w:bidi="en_US"/>
        </w:rPr>
        <w:t>A person with good eyes</w:t>
      </w:r>
    </w:p>
    <w:p>
      <w:pPr/>
      <w:r>
        <w:rPr>
          <w:lang w:val="en_US" w:bidi="en_US"/>
        </w:rPr>
      </w:r>
      <w:r>
        <w:rPr>
          <w:lang w:val="en_US" w:bidi="en_US"/>
        </w:rPr>
        <w:t>In some languages, it may be necessary to make the meaning explicit. For example:</w:t>
      </w:r>
    </w:p>
    <w:p>
      <w:pPr/>
      <w:r>
        <w:rPr>
          <w:lang w:val="en_US" w:bidi="en_US"/>
        </w:rPr>
      </w:r>
      <w:r>
        <w:rPr>
          <w:lang w:val="en_US" w:bidi="en_US"/>
        </w:rPr>
        <w:t>A person who accepts my message is like</w:t>
      </w:r>
      <w:r>
        <w:rPr>
          <w:lang w:val="en_US" w:bidi="en_US"/>
        </w:rPr>
        <w:t xml:space="preserve"> someone who has good eyes. If a person is like that…</w:t>
      </w:r>
    </w:p>
    <w:p>
      <w:pPr>
        <w:pStyle w:val="Heading5"/>
      </w:pPr>
      <w:r>
        <w:rPr>
          <w:lang w:val="en_US" w:bidi="en_US"/>
        </w:rPr>
        <w:t>11:34c</w:t>
      </w:r>
    </w:p>
    <w:p>
      <w:pPr/>
      <w:r>
        <w:rPr>
          <w:lang w:val="en_US" w:bidi="en_US"/>
        </w:rPr>
      </w:r>
      <w:r>
        <w:rPr>
          <w:b/>
          <w:lang w:val="en_US" w:bidi="en_US"/>
        </w:rPr>
        <w:t>your whole body also is full of light.</w:t>
      </w:r>
    </w:p>
    <w:p>
      <w:pPr>
        <w:pStyle w:val="ListBullet"/>
        <w:spacing w:line="240" w:lineRule="auto"/>
        <w:ind w:left="720"/>
      </w:pPr>
      <w:r>
        <w:rPr>
          <w:lang w:val="en_US" w:bidi="en_US"/>
        </w:rPr>
      </w:r>
      <w:r>
        <w:rPr>
          <w:lang w:val="en_US" w:bidi="en_US"/>
        </w:rPr>
        <w:t>there will be light in/for your</w:t>
      </w:r>
      <w:r>
        <w:rPr>
          <w:vertAlign w:val="superscript"/>
          <w:lang w:val="en_US" w:bidi="en_US"/>
        </w:rPr>
        <w:t>(sing/plur)</w:t>
      </w:r>
      <w:r>
        <w:rPr>
          <w:lang w:val="en_US" w:bidi="en_US"/>
        </w:rPr>
        <w:t xml:space="preserve"> whole body.</w:t>
      </w:r>
    </w:p>
    <w:p>
      <w:pPr>
        <w:pStyle w:val="ListBullet"/>
        <w:spacing w:line="240" w:lineRule="auto"/>
        <w:ind w:left="720"/>
      </w:pPr>
      <w:r>
        <w:rPr>
          <w:lang w:val="en_US" w:bidi="en_US"/>
        </w:rPr>
      </w:r>
      <w:r>
        <w:rPr>
          <w:lang w:val="en_US" w:bidi="en_US"/>
        </w:rPr>
        <w:t>it is as if</w:t>
      </w:r>
      <w:r>
        <w:rPr>
          <w:lang w:val="en_US" w:bidi="en_US"/>
        </w:rPr>
        <w:t xml:space="preserve"> his entire body/mind is lit.</w:t>
      </w:r>
    </w:p>
    <w:p>
      <w:pPr>
        <w:pStyle w:val="ListBullet"/>
        <w:spacing w:line="240" w:lineRule="auto"/>
        <w:ind w:left="720"/>
      </w:pPr>
      <w:r>
        <w:rPr>
          <w:lang w:val="en_US" w:bidi="en_US"/>
        </w:rPr>
      </w:r>
      <w:r>
        <w:rPr>
          <w:lang w:val="en_US" w:bidi="en_US"/>
        </w:rPr>
        <w:t>he will completely understand the truth. It will be as if</w:t>
      </w:r>
      <w:r>
        <w:rPr>
          <w:lang w:val="en_US" w:bidi="en_US"/>
        </w:rPr>
        <w:t xml:space="preserve"> his whole body is full of light.</w:t>
      </w:r>
    </w:p>
    <w:p>
      <w:pPr/>
      <w:r>
        <w:rPr>
          <w:lang w:val="en_US" w:bidi="en_US"/>
        </w:rPr>
      </w:r>
      <w:r>
        <w:rPr>
          <w:b/>
          <w:lang w:val="en_US" w:bidi="en_US"/>
        </w:rPr>
        <w:t>your whole body also is full of light:</w:t>
      </w:r>
      <w:r>
        <w:rPr>
          <w:lang w:val="en_US" w:bidi="en_US"/>
        </w:rPr>
        <w:t xml:space="preserve"> The clause </w:t>
      </w:r>
      <w:r>
        <w:rPr>
          <w:i/>
          <w:lang w:val="en_US" w:bidi="en_US"/>
        </w:rPr>
        <w:t>your whole body also is full of light</w:t>
      </w:r>
      <w:r>
        <w:rPr>
          <w:lang w:val="en_US" w:bidi="en_US"/>
        </w:rPr>
        <w:t xml:space="preserve"> pictures light entering the body and lighting up the entire body. In this context, the meaning is that the person’s whole being (body/mind/heart) will be completely lit up. The meaning of this figure is “he will really/properly understand the truth.”</w:t>
      </w:r>
    </w:p>
    <w:p>
      <w:pPr/>
      <w:r>
        <w:rPr>
          <w:lang w:val="en_US" w:bidi="en_US"/>
        </w:rPr>
      </w:r>
      <w:r>
        <w:rPr>
          <w:lang w:val="en_US" w:bidi="en_US"/>
        </w:rPr>
        <w:t>Some other ways to translate this clause are:</w:t>
      </w:r>
    </w:p>
    <w:p>
      <w:pPr/>
      <w:r>
        <w:rPr>
          <w:lang w:val="en_US" w:bidi="en_US"/>
        </w:rPr>
      </w:r>
      <w:r>
        <w:rPr>
          <w:lang w:val="en_US" w:bidi="en_US"/>
        </w:rPr>
        <w:t>there is light in/for the whole body</w:t>
      </w:r>
    </w:p>
    <w:p>
      <w:pPr/>
      <w:r>
        <w:rPr>
          <w:lang w:val="en_US" w:bidi="en_US"/>
        </w:rPr>
      </w:r>
      <w:r>
        <w:rPr>
          <w:lang w:val="en_US" w:bidi="en_US"/>
        </w:rPr>
        <w:t>you will have plenty of light</w:t>
      </w:r>
    </w:p>
    <w:p>
      <w:pPr/>
      <w:r>
        <w:rPr>
          <w:lang w:val="en_US" w:bidi="en_US"/>
        </w:rPr>
      </w:r>
      <w:r>
        <w:rPr>
          <w:lang w:val="en_US" w:bidi="en_US"/>
        </w:rPr>
        <w:t>it is as if</w:t>
      </w:r>
      <w:r>
        <w:rPr>
          <w:lang w:val="en_US" w:bidi="en_US"/>
        </w:rPr>
        <w:t xml:space="preserve"> your entire mind/being is illuminated</w:t>
      </w:r>
    </w:p>
    <w:p>
      <w:pPr/>
      <w:r>
        <w:rPr>
          <w:lang w:val="en_US" w:bidi="en_US"/>
        </w:rPr>
      </w:r>
      <w:r>
        <w:rPr>
          <w:lang w:val="en_US" w:bidi="en_US"/>
        </w:rPr>
        <w:t>In some languages, it may be necessary to make the meaning more explicit. For example:</w:t>
      </w:r>
    </w:p>
    <w:p>
      <w:pPr/>
      <w:r>
        <w:rPr>
          <w:lang w:val="en_US" w:bidi="en_US"/>
        </w:rPr>
      </w:r>
      <w:r>
        <w:rPr>
          <w:lang w:val="en_US" w:bidi="en_US"/>
        </w:rPr>
        <w:t>he will completely understand the truth. It will be as if</w:t>
      </w:r>
      <w:r>
        <w:rPr>
          <w:lang w:val="en_US" w:bidi="en_US"/>
        </w:rPr>
        <w:t xml:space="preserve"> his whole body is illuminated.</w:t>
      </w:r>
    </w:p>
    <w:p>
      <w:pPr>
        <w:pStyle w:val="Heading5"/>
      </w:pPr>
      <w:r>
        <w:rPr>
          <w:lang w:val="en_US" w:bidi="en_US"/>
        </w:rPr>
        <w:t>11:34d</w:t>
      </w:r>
    </w:p>
    <w:p>
      <w:pPr/>
      <w:r>
        <w:rPr>
          <w:lang w:val="en_US" w:bidi="en_US"/>
        </w:rPr>
      </w:r>
      <w:r>
        <w:rPr>
          <w:b/>
          <w:lang w:val="en_US" w:bidi="en_US"/>
        </w:rPr>
        <w:t>But when they are bad,</w:t>
      </w:r>
    </w:p>
    <w:p>
      <w:pPr>
        <w:pStyle w:val="ListBullet"/>
        <w:spacing w:line="240" w:lineRule="auto"/>
        <w:ind w:left="720"/>
      </w:pPr>
      <w:r>
        <w:rPr>
          <w:lang w:val="en_US" w:bidi="en_US"/>
        </w:rPr>
      </w:r>
      <w:r>
        <w:rPr>
          <w:lang w:val="en_US" w:bidi="en_US"/>
        </w:rPr>
        <w:t>But when your</w:t>
      </w:r>
      <w:r>
        <w:rPr>
          <w:vertAlign w:val="superscript"/>
          <w:lang w:val="en_US" w:bidi="en_US"/>
        </w:rPr>
        <w:t>(sing/plur)</w:t>
      </w:r>
      <w:r>
        <w:rPr>
          <w:lang w:val="en_US" w:bidi="en_US"/>
        </w:rPr>
        <w:t xml:space="preserve"> eyes are not healthy,</w:t>
      </w:r>
    </w:p>
    <w:p>
      <w:pPr>
        <w:pStyle w:val="ListBullet"/>
        <w:spacing w:line="240" w:lineRule="auto"/>
        <w:ind w:left="720"/>
      </w:pPr>
      <w:r>
        <w:rPr>
          <w:lang w:val="en_US" w:bidi="en_US"/>
        </w:rPr>
      </w:r>
      <w:r>
        <w:rPr>
          <w:lang w:val="en_US" w:bidi="en_US"/>
        </w:rPr>
        <w:t>But if a person is not able to see clearly/properly,</w:t>
      </w:r>
    </w:p>
    <w:p>
      <w:pPr>
        <w:pStyle w:val="ListBullet"/>
        <w:spacing w:line="240" w:lineRule="auto"/>
        <w:ind w:left="720"/>
      </w:pPr>
      <w:r>
        <w:rPr>
          <w:lang w:val="en_US" w:bidi="en_US"/>
        </w:rPr>
      </w:r>
      <w:r>
        <w:rPr>
          <w:lang w:val="en_US" w:bidi="en_US"/>
        </w:rPr>
        <w:t xml:space="preserve">But </w:t>
      </w:r>
      <w:r>
        <w:rPr>
          <w:lang w:val="en_US" w:bidi="en_US"/>
        </w:rPr>
        <w:t>a person who rejects my message is like</w:t>
      </w:r>
      <w:r>
        <w:rPr>
          <w:lang w:val="en_US" w:bidi="en_US"/>
        </w:rPr>
        <w:t xml:space="preserve"> someone whose eyes are bad. If a person is like that,</w:t>
      </w:r>
    </w:p>
    <w:p>
      <w:pPr/>
      <w:r>
        <w:rPr>
          <w:lang w:val="en_US" w:bidi="en_US"/>
        </w:rPr>
      </w:r>
      <w:r>
        <w:rPr>
          <w:b/>
          <w:lang w:val="en_US" w:bidi="en_US"/>
        </w:rPr>
        <w:t>But when:</w:t>
      </w:r>
      <w:r>
        <w:rPr>
          <w:lang w:val="en_US" w:bidi="en_US"/>
        </w:rPr>
        <w:t xml:space="preserve"> These words introduce a contrast to the situation described in 11:34b. See the note on </w:t>
      </w:r>
      <w:r>
        <w:rPr>
          <w:i/>
          <w:lang w:val="en_US" w:bidi="en_US"/>
        </w:rPr>
        <w:t>when</w:t>
      </w:r>
      <w:r>
        <w:rPr>
          <w:lang w:val="en_US" w:bidi="en_US"/>
        </w:rPr>
        <w:t xml:space="preserve"> in that verse part.</w:t>
      </w:r>
    </w:p>
    <w:p>
      <w:pPr/>
      <w:r>
        <w:rPr>
          <w:lang w:val="en_US" w:bidi="en_US"/>
        </w:rPr>
      </w:r>
      <w:r>
        <w:rPr>
          <w:b/>
          <w:lang w:val="en_US" w:bidi="en_US"/>
        </w:rPr>
        <w:t>they are bad:</w:t>
      </w:r>
      <w:r>
        <w:rPr>
          <w:lang w:val="en_US" w:bidi="en_US"/>
        </w:rPr>
        <w:t xml:space="preserve"> The word </w:t>
      </w:r>
      <w:r>
        <w:rPr>
          <w:i/>
          <w:lang w:val="en_US" w:bidi="en_US"/>
        </w:rPr>
        <w:t>they</w:t>
      </w:r>
      <w:r>
        <w:rPr>
          <w:lang w:val="en_US" w:bidi="en_US"/>
        </w:rPr>
        <w:t xml:space="preserve"> in this clause refers to “your eyes” as in 11:34b. In this context, “bad eyes” refers to eyes that are diseased or that have something wrong with them. The meaning of this figure of speech is “if you reject my message.” Some other ways to translate this clause are:</w:t>
      </w:r>
    </w:p>
    <w:p>
      <w:pPr/>
      <w:r>
        <w:rPr>
          <w:lang w:val="en_US" w:bidi="en_US"/>
        </w:rPr>
      </w:r>
      <w:r>
        <w:rPr>
          <w:lang w:val="en_US" w:bidi="en_US"/>
        </w:rPr>
        <w:t>When your sight is bad/faulty</w:t>
      </w:r>
    </w:p>
    <w:p>
      <w:pPr/>
      <w:r>
        <w:rPr>
          <w:lang w:val="en_US" w:bidi="en_US"/>
        </w:rPr>
      </w:r>
      <w:r>
        <w:rPr>
          <w:lang w:val="en_US" w:bidi="en_US"/>
        </w:rPr>
        <w:t>If you are not able to see clearly/properly</w:t>
      </w:r>
    </w:p>
    <w:p>
      <w:pPr/>
      <w:r>
        <w:rPr>
          <w:lang w:val="en_US" w:bidi="en_US"/>
        </w:rPr>
      </w:r>
      <w:r>
        <w:rPr>
          <w:lang w:val="en_US" w:bidi="en_US"/>
        </w:rPr>
        <w:t>A person with bad eyes</w:t>
      </w:r>
    </w:p>
    <w:p>
      <w:pPr/>
      <w:r>
        <w:rPr>
          <w:lang w:val="en_US" w:bidi="en_US"/>
        </w:rPr>
      </w:r>
      <w:r>
        <w:rPr>
          <w:lang w:val="en_US" w:bidi="en_US"/>
        </w:rPr>
        <w:t>In some languages, it may be necessary to make the meaning explicit. For example:</w:t>
      </w:r>
    </w:p>
    <w:p>
      <w:pPr/>
      <w:r>
        <w:rPr>
          <w:lang w:val="en_US" w:bidi="en_US"/>
        </w:rPr>
      </w:r>
      <w:r>
        <w:rPr>
          <w:lang w:val="en_US" w:bidi="en_US"/>
        </w:rPr>
        <w:t xml:space="preserve">But </w:t>
      </w:r>
      <w:r>
        <w:rPr>
          <w:lang w:val="en_US" w:bidi="en_US"/>
        </w:rPr>
        <w:t>a person who rejects my message is like</w:t>
      </w:r>
      <w:r>
        <w:rPr>
          <w:lang w:val="en_US" w:bidi="en_US"/>
        </w:rPr>
        <w:t xml:space="preserve"> someone whose eyes are bad. If a person is like that…</w:t>
      </w:r>
    </w:p>
    <w:p>
      <w:pPr>
        <w:pStyle w:val="Heading5"/>
      </w:pPr>
      <w:r>
        <w:rPr>
          <w:lang w:val="en_US" w:bidi="en_US"/>
        </w:rPr>
        <w:t>11:34e</w:t>
      </w:r>
    </w:p>
    <w:p>
      <w:pPr/>
      <w:r>
        <w:rPr>
          <w:lang w:val="en_US" w:bidi="en_US"/>
        </w:rPr>
      </w:r>
      <w:r>
        <w:rPr>
          <w:b/>
          <w:lang w:val="en_US" w:bidi="en_US"/>
        </w:rPr>
        <w:t>your body is full of darkness.</w:t>
      </w:r>
    </w:p>
    <w:p>
      <w:pPr>
        <w:pStyle w:val="ListBullet"/>
        <w:spacing w:line="240" w:lineRule="auto"/>
        <w:ind w:left="720"/>
      </w:pPr>
      <w:r>
        <w:rPr>
          <w:lang w:val="en_US" w:bidi="en_US"/>
        </w:rPr>
      </w:r>
      <w:r>
        <w:rPr>
          <w:lang w:val="en_US" w:bidi="en_US"/>
        </w:rPr>
        <w:t>there will be darkness in/for your</w:t>
      </w:r>
      <w:r>
        <w:rPr>
          <w:vertAlign w:val="superscript"/>
          <w:lang w:val="en_US" w:bidi="en_US"/>
        </w:rPr>
        <w:t>(sing/plur)</w:t>
      </w:r>
      <w:r>
        <w:rPr>
          <w:lang w:val="en_US" w:bidi="en_US"/>
        </w:rPr>
        <w:t xml:space="preserve"> whole body.</w:t>
      </w:r>
    </w:p>
    <w:p>
      <w:pPr>
        <w:pStyle w:val="ListBullet"/>
        <w:spacing w:line="240" w:lineRule="auto"/>
        <w:ind w:left="720"/>
      </w:pPr>
      <w:r>
        <w:rPr>
          <w:lang w:val="en_US" w:bidi="en_US"/>
        </w:rPr>
      </w:r>
      <w:r>
        <w:rPr>
          <w:lang w:val="en_US" w:bidi="en_US"/>
        </w:rPr>
        <w:t>it is as if</w:t>
      </w:r>
      <w:r>
        <w:rPr>
          <w:lang w:val="en_US" w:bidi="en_US"/>
        </w:rPr>
        <w:t xml:space="preserve"> his body/mind is completely dark.</w:t>
      </w:r>
    </w:p>
    <w:p>
      <w:pPr>
        <w:pStyle w:val="ListBullet"/>
        <w:spacing w:line="240" w:lineRule="auto"/>
        <w:ind w:left="720"/>
      </w:pPr>
      <w:r>
        <w:rPr>
          <w:lang w:val="en_US" w:bidi="en_US"/>
        </w:rPr>
      </w:r>
      <w:r>
        <w:rPr>
          <w:lang w:val="en_US" w:bidi="en_US"/>
        </w:rPr>
        <w:t>he will not understand the truth at all. It will be as if</w:t>
      </w:r>
      <w:r>
        <w:rPr>
          <w:lang w:val="en_US" w:bidi="en_US"/>
        </w:rPr>
        <w:t xml:space="preserve"> his whole body is full of darkness.</w:t>
      </w:r>
    </w:p>
    <w:p>
      <w:pPr/>
      <w:r>
        <w:rPr>
          <w:lang w:val="en_US" w:bidi="en_US"/>
        </w:rPr>
      </w:r>
      <w:r>
        <w:rPr>
          <w:b/>
          <w:lang w:val="en_US" w:bidi="en_US"/>
        </w:rPr>
        <w:t>your body is full of darkness:</w:t>
      </w:r>
      <w:r>
        <w:rPr>
          <w:lang w:val="en_US" w:bidi="en_US"/>
        </w:rPr>
        <w:t xml:space="preserve"> The clause </w:t>
      </w:r>
      <w:r>
        <w:rPr>
          <w:i/>
          <w:lang w:val="en_US" w:bidi="en_US"/>
        </w:rPr>
        <w:t>your body is full of darkness</w:t>
      </w:r>
      <w:r>
        <w:rPr>
          <w:lang w:val="en_US" w:bidi="en_US"/>
        </w:rPr>
        <w:t xml:space="preserve"> is a figure of speech. It means that light is not able to enter the body, so the inside of the body is dark. In this context the meaning is that the person’s whole being (body/mind/heart) will be completely dark. The meaning of this figure is “he will be completely unable to understand the truth.”</w:t>
      </w:r>
    </w:p>
    <w:p>
      <w:pPr/>
      <w:r>
        <w:rPr>
          <w:lang w:val="en_US" w:bidi="en_US"/>
        </w:rPr>
      </w:r>
      <w:r>
        <w:rPr>
          <w:lang w:val="en_US" w:bidi="en_US"/>
        </w:rPr>
        <w:t>Some other ways to translate this clause are:</w:t>
      </w:r>
    </w:p>
    <w:p>
      <w:pPr/>
      <w:r>
        <w:rPr>
          <w:lang w:val="en_US" w:bidi="en_US"/>
        </w:rPr>
      </w:r>
      <w:r>
        <w:rPr>
          <w:lang w:val="en_US" w:bidi="en_US"/>
        </w:rPr>
        <w:t>there is darkness for the whole body</w:t>
      </w:r>
    </w:p>
    <w:p>
      <w:pPr/>
      <w:r>
        <w:rPr>
          <w:lang w:val="en_US" w:bidi="en_US"/>
        </w:rPr>
      </w:r>
      <w:r>
        <w:rPr>
          <w:lang w:val="en_US" w:bidi="en_US"/>
        </w:rPr>
        <w:t>you will live in darkness</w:t>
      </w:r>
    </w:p>
    <w:p>
      <w:pPr/>
      <w:r>
        <w:rPr>
          <w:lang w:val="en_US" w:bidi="en_US"/>
        </w:rPr>
      </w:r>
      <w:r>
        <w:rPr>
          <w:lang w:val="en_US" w:bidi="en_US"/>
        </w:rPr>
        <w:t>it is as if</w:t>
      </w:r>
      <w:r>
        <w:rPr>
          <w:lang w:val="en_US" w:bidi="en_US"/>
        </w:rPr>
        <w:t xml:space="preserve"> your entire mind is in the dark</w:t>
      </w:r>
    </w:p>
    <w:p>
      <w:pPr/>
      <w:r>
        <w:rPr>
          <w:lang w:val="en_US" w:bidi="en_US"/>
        </w:rPr>
      </w:r>
      <w:r>
        <w:rPr>
          <w:lang w:val="en_US" w:bidi="en_US"/>
        </w:rPr>
        <w:t>In some languages, it may be necessary to make the meaning more explicit. For example:</w:t>
      </w:r>
    </w:p>
    <w:p>
      <w:pPr/>
      <w:r>
        <w:rPr>
          <w:lang w:val="en_US" w:bidi="en_US"/>
        </w:rPr>
      </w:r>
      <w:r>
        <w:rPr>
          <w:lang w:val="en_US" w:bidi="en_US"/>
        </w:rPr>
        <w:t>he will be completely unable to understand the truth. It will be as if</w:t>
      </w:r>
      <w:r>
        <w:rPr>
          <w:lang w:val="en_US" w:bidi="en_US"/>
        </w:rPr>
        <w:t xml:space="preserve"> his body is completely dark inside.</w:t>
      </w:r>
      <w:r>
        <w:rPr>
          <w:lang w:val="en_US" w:bidi="en_US"/>
        </w:rPr>
      </w:r>
      <w:r>
        <w:rPr>
          <w:lang w:val="en_US" w:bidi="en_US"/>
        </w:rPr>
      </w:r>
    </w:p>
    <w:p>
      <w:pPr/>
      <w:r>
        <w:rPr>
          <w:lang w:val="en_US" w:bidi="en_US"/>
        </w:rPr>
      </w:r>
    </w:p>
    <w:p>
      <w:pPr>
        <w:pStyle w:val="Heading2"/>
      </w:pPr>
      <w:r>
        <w:rPr>
          <w:lang w:val="en_US" w:bidi="en_US"/>
        </w:rPr>
        <w:t>Luke 11:35</w:t>
      </w:r>
      <w:r>
        <w:rPr>
          <w:lang w:val="en_US" w:bidi="en_US"/>
        </w:rPr>
      </w:r>
    </w:p>
    <w:p>
      <w:pPr>
        <w:pStyle w:val="Heading4"/>
      </w:pPr>
      <w:r>
        <w:rPr>
          <w:lang w:val="en_US" w:bidi="en_US"/>
        </w:rPr>
        <w:t>Section 11:33–36: Jesus taught about light and darkness</w:t>
      </w:r>
    </w:p>
    <w:p>
      <w:pPr/>
      <w:r>
        <w:rPr>
          <w:lang w:val="en_US" w:bidi="en_US"/>
        </w:rPr>
      </w:r>
      <w:r>
        <w:rPr>
          <w:lang w:val="en_US" w:bidi="en_US"/>
        </w:rPr>
        <w:t>In this section, Jesus used the metaphors of a lamp, light, darkness, eye, and body. The lamp and the light are illustrations of Jesus and his teaching. Both Jesus’ life and teaching revealed God to the people. People whose spiritual eyesight was good were able to understand and accept his message. They were like someone whose mind or body was full of light. People who rejected his message were like a person who was full of darkness.</w:t>
      </w:r>
    </w:p>
    <w:p>
      <w:pPr/>
      <w:r>
        <w:rPr>
          <w:lang w:val="en_US" w:bidi="en_US"/>
        </w:rPr>
      </w:r>
      <w:r>
        <w:rPr>
          <w:lang w:val="en_US" w:bidi="en_US"/>
        </w:rPr>
        <w:t>Jesus used these metaphors to tell the people (in 11:29–32) that their spiritual eyes were diseased. They could not receive the light of his message. If they had been willing to accept his message, then their minds would have been full of light. They would not have asked for another miracle to prove that God had sent him.</w:t>
      </w:r>
    </w:p>
    <w:p>
      <w:pPr/>
      <w:r>
        <w:rPr>
          <w:lang w:val="en_US" w:bidi="en_US"/>
        </w:rPr>
      </w:r>
      <w:r>
        <w:rPr>
          <w:lang w:val="en_US" w:bidi="en_US"/>
        </w:rPr>
        <w:t>Some other possible headings for this section are:</w:t>
      </w:r>
    </w:p>
    <w:p>
      <w:pPr/>
      <w:r>
        <w:rPr>
          <w:lang w:val="en_US" w:bidi="en_US"/>
        </w:rPr>
      </w:r>
      <w:r>
        <w:rPr>
          <w:lang w:val="en_US" w:bidi="en_US"/>
        </w:rPr>
        <w:t>Jesus’ message is like a lamp and like light</w:t>
      </w:r>
    </w:p>
    <w:p>
      <w:pPr/>
      <w:r>
        <w:rPr>
          <w:lang w:val="en_US" w:bidi="en_US"/>
        </w:rPr>
      </w:r>
      <w:r>
        <w:rPr>
          <w:lang w:val="en_US" w:bidi="en_US"/>
        </w:rPr>
        <w:t>The light of the body (GNT)</w:t>
      </w:r>
    </w:p>
    <w:p>
      <w:pPr/>
      <w:r>
        <w:rPr>
          <w:lang w:val="en_US" w:bidi="en_US"/>
        </w:rPr>
      </w:r>
      <w:r>
        <w:rPr>
          <w:lang w:val="en_US" w:bidi="en_US"/>
        </w:rPr>
        <w:t>There are parallel passages for this section in Matthew 5:15 and 6:22–23.</w:t>
      </w:r>
    </w:p>
    <w:p>
      <w:pPr>
        <w:pStyle w:val="Heading4"/>
      </w:pPr>
      <w:r>
        <w:rPr>
          <w:lang w:val="en_US" w:bidi="en_US"/>
        </w:rPr>
        <w:t>Paragraph 11:33–36</w:t>
      </w:r>
    </w:p>
    <w:p>
      <w:pPr/>
      <w:r>
        <w:rPr>
          <w:lang w:val="en_US" w:bidi="en_US"/>
        </w:rPr>
      </w:r>
      <w:r>
        <w:rPr>
          <w:lang w:val="en_US" w:bidi="en_US"/>
        </w:rPr>
        <w:t>There are two sayings about a lamp in this paragraph: one in 11:33 and another in 11:34–36. In 11:33 Jesus compared himself and his teaching to a lamp. People put a lamp where its light will be seen. In the same way, Jesus taught in public where everyone could hear and see him.</w:t>
      </w:r>
    </w:p>
    <w:p>
      <w:pPr/>
      <w:r>
        <w:rPr>
          <w:lang w:val="en_US" w:bidi="en_US"/>
        </w:rPr>
      </w:r>
      <w:r>
        <w:rPr>
          <w:lang w:val="en_US" w:bidi="en_US"/>
        </w:rPr>
        <w:t>In 11:34 the topic is different. Here a person’s eye (his attitude toward Jesus’ message) is compared to a lamp. This lamp provides him with light (spiritual illumination or understanding).</w:t>
      </w:r>
      <w:r>
        <w:rPr>
          <w:lang w:val="en_US" w:bidi="en_US"/>
        </w:rPr>
        <w:t>A number of commentators say that in this context the eye represents a person’s attitude toward Jesus, his willingness or unwillingness to accept Jesus’ message. Evans (p. 188) uses the term “moral disposition,” referring to a person’s inclination to receive Jesus’ message or to reject him. Marshall (p. 489) speaks of a person being “single-mindedly receptive to the light of the gospel,” and Liefeld (p. 954) says that the body receives light through the eye “subject to the individual’s will.” Morris (p. 221) also speaks of a person’s attention being focused on good (in the case of a healthy eye) or on evil (in the case of a bad eye). Nolland (p. 657) agrees that the eye here is a metaphor for “moral and spiritual readiness to see.”</w:t>
      </w:r>
    </w:p>
    <w:p>
      <w:pPr>
        <w:pStyle w:val="Heading5"/>
      </w:pPr>
      <w:r>
        <w:rPr>
          <w:lang w:val="en_US" w:bidi="en_US"/>
        </w:rPr>
        <w:t>11:35</w:t>
      </w:r>
    </w:p>
    <w:p>
      <w:pPr/>
      <w:r>
        <w:rPr>
          <w:lang w:val="en_US" w:bidi="en_US"/>
        </w:rPr>
      </w:r>
      <w:r>
        <w:rPr>
          <w:b/>
          <w:lang w:val="en_US" w:bidi="en_US"/>
        </w:rPr>
        <w:t>Be careful, then, that the light within you is not darkness.</w:t>
      </w:r>
    </w:p>
    <w:p>
      <w:pPr>
        <w:pStyle w:val="ListBullet"/>
        <w:spacing w:line="240" w:lineRule="auto"/>
        <w:ind w:left="720"/>
      </w:pPr>
      <w:r>
        <w:rPr>
          <w:lang w:val="en_US" w:bidi="en_US"/>
        </w:rPr>
      </w:r>
      <w:r>
        <w:rPr>
          <w:lang w:val="en_US" w:bidi="en_US"/>
        </w:rPr>
        <w:t xml:space="preserve">So make/be sure that </w:t>
      </w:r>
      <w:r>
        <w:rPr>
          <w:lang w:val="en_US" w:bidi="en_US"/>
        </w:rPr>
        <w:t>what you think is</w:t>
      </w:r>
      <w:r>
        <w:rPr>
          <w:lang w:val="en_US" w:bidi="en_US"/>
        </w:rPr>
        <w:t xml:space="preserve"> light in you</w:t>
      </w:r>
      <w:r>
        <w:rPr>
          <w:vertAlign w:val="superscript"/>
          <w:lang w:val="en_US" w:bidi="en_US"/>
        </w:rPr>
        <w:t>(sing/plur)</w:t>
      </w:r>
      <w:r>
        <w:rPr>
          <w:lang w:val="en_US" w:bidi="en_US"/>
        </w:rPr>
        <w:t xml:space="preserve"> is not </w:t>
      </w:r>
      <w:r>
        <w:rPr>
          <w:lang w:val="en_US" w:bidi="en_US"/>
        </w:rPr>
        <w:t>really</w:t>
      </w:r>
      <w:r>
        <w:rPr>
          <w:lang w:val="en_US" w:bidi="en_US"/>
        </w:rPr>
        <w:t xml:space="preserve"> darkness.</w:t>
      </w:r>
    </w:p>
    <w:p>
      <w:pPr>
        <w:pStyle w:val="ListBullet"/>
        <w:spacing w:line="240" w:lineRule="auto"/>
        <w:ind w:left="720"/>
      </w:pPr>
      <w:r>
        <w:rPr>
          <w:lang w:val="en_US" w:bidi="en_US"/>
        </w:rPr>
      </w:r>
      <w:r>
        <w:rPr>
          <w:lang w:val="en_US" w:bidi="en_US"/>
        </w:rPr>
        <w:t>Therefore you</w:t>
      </w:r>
      <w:r>
        <w:rPr>
          <w:vertAlign w:val="superscript"/>
          <w:lang w:val="en_US" w:bidi="en_US"/>
        </w:rPr>
        <w:t>(sing)</w:t>
      </w:r>
      <w:r>
        <w:rPr>
          <w:lang w:val="en_US" w:bidi="en_US"/>
        </w:rPr>
        <w:t xml:space="preserve"> should be careful lest </w:t>
      </w:r>
      <w:r>
        <w:rPr>
          <w:lang w:val="en_US" w:bidi="en_US"/>
        </w:rPr>
        <w:t>you</w:t>
      </w:r>
      <w:r>
        <w:rPr>
          <w:vertAlign w:val="superscript"/>
          <w:lang w:val="en_US" w:bidi="en_US"/>
        </w:rPr>
        <w:t>(sing)</w:t>
      </w:r>
      <w:r>
        <w:rPr>
          <w:lang w:val="en_US" w:bidi="en_US"/>
        </w:rPr>
        <w:t xml:space="preserve"> </w:t>
      </w:r>
      <w:r>
        <w:rPr>
          <w:lang w:val="en_US" w:bidi="en_US"/>
        </w:rPr>
        <w:t>think</w:t>
      </w:r>
      <w:r>
        <w:rPr>
          <w:lang w:val="en_US" w:bidi="en_US"/>
        </w:rPr>
        <w:t xml:space="preserve"> that your mind is illuminated/enlightened but </w:t>
      </w:r>
      <w:r>
        <w:rPr>
          <w:lang w:val="en_US" w:bidi="en_US"/>
        </w:rPr>
        <w:t>actually</w:t>
      </w:r>
      <w:r>
        <w:rPr>
          <w:lang w:val="en_US" w:bidi="en_US"/>
        </w:rPr>
        <w:t xml:space="preserve"> it is dark.</w:t>
      </w:r>
    </w:p>
    <w:p>
      <w:pPr>
        <w:pStyle w:val="ListBullet"/>
        <w:spacing w:line="240" w:lineRule="auto"/>
        <w:ind w:left="720"/>
      </w:pPr>
      <w:r>
        <w:rPr>
          <w:lang w:val="en_US" w:bidi="en_US"/>
        </w:rPr>
      </w:r>
      <w:r>
        <w:rPr>
          <w:lang w:val="en_US" w:bidi="en_US"/>
        </w:rPr>
        <w:t>Therefore, be careful that what you think is the truth is actually true and not false.</w:t>
      </w:r>
    </w:p>
    <w:p>
      <w:pPr/>
      <w:r>
        <w:rPr>
          <w:lang w:val="en_US" w:bidi="en_US"/>
        </w:rPr>
      </w:r>
      <w:r>
        <w:rPr>
          <w:b/>
          <w:lang w:val="en_US" w:bidi="en_US"/>
        </w:rPr>
        <w:t>Be careful:</w:t>
      </w:r>
      <w:r>
        <w:rPr>
          <w:lang w:val="en_US" w:bidi="en_US"/>
        </w:rPr>
        <w:t xml:space="preserve"> The command </w:t>
      </w:r>
      <w:r>
        <w:rPr>
          <w:i/>
          <w:lang w:val="en_US" w:bidi="en_US"/>
        </w:rPr>
        <w:t>Be careful</w:t>
      </w:r>
      <w:r>
        <w:rPr>
          <w:lang w:val="en_US" w:bidi="en_US"/>
        </w:rPr>
        <w:t xml:space="preserve"> functions as a warning. Some other ways to translate this warning are:</w:t>
      </w:r>
    </w:p>
    <w:p>
      <w:pPr/>
      <w:r>
        <w:rPr>
          <w:lang w:val="en_US" w:bidi="en_US"/>
        </w:rPr>
      </w:r>
      <w:r>
        <w:rPr>
          <w:lang w:val="en_US" w:bidi="en_US"/>
        </w:rPr>
        <w:t>See to it (NIV)</w:t>
      </w:r>
    </w:p>
    <w:p>
      <w:pPr/>
      <w:r>
        <w:rPr>
          <w:lang w:val="en_US" w:bidi="en_US"/>
        </w:rPr>
      </w:r>
      <w:r>
        <w:rPr>
          <w:lang w:val="en_US" w:bidi="en_US"/>
        </w:rPr>
        <w:t>Make certain (GNT)</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introduces a command that Jesus made as a logical result of what he had just said. It is not a time word. Other ways to translate this word are:</w:t>
      </w:r>
    </w:p>
    <w:p>
      <w:pPr/>
      <w:r>
        <w:rPr>
          <w:lang w:val="en_US" w:bidi="en_US"/>
        </w:rPr>
      </w:r>
      <w:r>
        <w:rPr>
          <w:lang w:val="en_US" w:bidi="en_US"/>
        </w:rPr>
        <w:t>Therefore (RSV)</w:t>
      </w:r>
    </w:p>
    <w:p>
      <w:pPr/>
      <w:r>
        <w:rPr>
          <w:lang w:val="en_US" w:bidi="en_US"/>
        </w:rPr>
      </w:r>
      <w:r>
        <w:rPr>
          <w:lang w:val="en_US" w:bidi="en_US"/>
        </w:rPr>
        <w:t>So (NCV)</w:t>
      </w:r>
    </w:p>
    <w:p>
      <w:pPr/>
      <w:r>
        <w:rPr>
          <w:lang w:val="en_US" w:bidi="en_US"/>
        </w:rPr>
      </w:r>
      <w:r>
        <w:rPr>
          <w:b/>
          <w:lang w:val="en_US" w:bidi="en_US"/>
        </w:rPr>
        <w:t>that the light within you is not darkness:</w:t>
      </w:r>
      <w:r>
        <w:rPr>
          <w:lang w:val="en_US" w:bidi="en_US"/>
        </w:rPr>
        <w:t xml:space="preserve"> There are at least two translation issues in this clause:</w:t>
      </w:r>
    </w:p>
    <w:p>
      <w:pPr/>
      <w:r>
        <w:rPr>
          <w:lang w:val="en_US" w:bidi="en_US"/>
        </w:rPr>
      </w:r>
      <w:r>
        <w:rPr>
          <w:u w:val="single"/>
          <w:lang w:val="en_US" w:bidi="en_US"/>
        </w:rPr>
        <w:t>Issue 1—Implied Information</w:t>
      </w:r>
    </w:p>
    <w:p>
      <w:pPr/>
      <w:r>
        <w:rPr>
          <w:lang w:val="en_US" w:bidi="en_US"/>
        </w:rPr>
      </w:r>
      <w:r>
        <w:rPr>
          <w:lang w:val="en_US" w:bidi="en_US"/>
        </w:rPr>
        <w:t xml:space="preserve">This clause is an apparent contradiction, since light cannot be darkness. The implied meaning is probably “that </w:t>
      </w:r>
      <w:r>
        <w:rPr>
          <w:lang w:val="en_US" w:bidi="en_US"/>
        </w:rPr>
        <w:t>what you think is</w:t>
      </w:r>
      <w:r>
        <w:rPr>
          <w:lang w:val="en_US" w:bidi="en_US"/>
        </w:rPr>
        <w:t xml:space="preserve"> the light within you is not </w:t>
      </w:r>
      <w:r>
        <w:rPr>
          <w:lang w:val="en_US" w:bidi="en_US"/>
        </w:rPr>
        <w:t>actually</w:t>
      </w:r>
      <w:r>
        <w:rPr>
          <w:lang w:val="en_US" w:bidi="en_US"/>
        </w:rPr>
        <w:t xml:space="preserve"> darkness.” In some languages it may be necessary to make this implied information explicit. For example:</w:t>
      </w:r>
    </w:p>
    <w:p>
      <w:pPr/>
      <w:r>
        <w:rPr>
          <w:lang w:val="en_US" w:bidi="en_US"/>
        </w:rPr>
      </w:r>
      <w:r>
        <w:rPr>
          <w:lang w:val="en_US" w:bidi="en_US"/>
        </w:rPr>
        <w:t xml:space="preserve">that </w:t>
      </w:r>
      <w:r>
        <w:rPr>
          <w:lang w:val="en_US" w:bidi="en_US"/>
        </w:rPr>
        <w:t>what you consider to be</w:t>
      </w:r>
      <w:r>
        <w:rPr>
          <w:lang w:val="en_US" w:bidi="en_US"/>
        </w:rPr>
        <w:t xml:space="preserve"> inner light is not </w:t>
      </w:r>
      <w:r>
        <w:rPr>
          <w:lang w:val="en_US" w:bidi="en_US"/>
        </w:rPr>
        <w:t>really</w:t>
      </w:r>
      <w:r>
        <w:rPr>
          <w:lang w:val="en_US" w:bidi="en_US"/>
        </w:rPr>
        <w:t xml:space="preserve"> darkness</w:t>
      </w:r>
    </w:p>
    <w:p>
      <w:pPr/>
      <w:r>
        <w:rPr>
          <w:lang w:val="en_US" w:bidi="en_US"/>
        </w:rPr>
      </w:r>
      <w:r>
        <w:rPr>
          <w:lang w:val="en_US" w:bidi="en_US"/>
        </w:rPr>
        <w:t>that the light you think you have is not actually darkness (NLT)</w:t>
      </w:r>
    </w:p>
    <w:p>
      <w:pPr/>
      <w:r>
        <w:rPr>
          <w:lang w:val="en_US" w:bidi="en_US"/>
        </w:rPr>
      </w:r>
      <w:r>
        <w:rPr>
          <w:u w:val="single"/>
          <w:lang w:val="en_US" w:bidi="en_US"/>
        </w:rPr>
        <w:t>Issue 2—Meaning of the metaphor</w:t>
      </w:r>
    </w:p>
    <w:p>
      <w:pPr/>
      <w:r>
        <w:rPr>
          <w:lang w:val="en_US" w:bidi="en_US"/>
        </w:rPr>
      </w:r>
      <w:r>
        <w:rPr>
          <w:lang w:val="en_US" w:bidi="en_US"/>
        </w:rPr>
        <w:t>This clause contains the metaphors of “light” and “darkness,” but the meaning of the metaphors is not stated explicitly. Here the “light” represents the truth. Jesus was telling the people to be sure that their knowledge or understanding of the truth, especially the truth about himself, was correct. If their understanding was not correct, it was like darkness.</w:t>
      </w:r>
    </w:p>
    <w:p>
      <w:pPr/>
      <w:r>
        <w:rPr>
          <w:lang w:val="en_US" w:bidi="en_US"/>
        </w:rPr>
      </w:r>
      <w:r>
        <w:rPr>
          <w:lang w:val="en_US" w:bidi="en_US"/>
        </w:rPr>
        <w:t>You should try to keep the figures of light and darkness in your translation if possible. One way to do this is to use a simile. For example:</w:t>
      </w:r>
    </w:p>
    <w:p>
      <w:pPr/>
      <w:r>
        <w:rPr>
          <w:lang w:val="en_US" w:bidi="en_US"/>
        </w:rPr>
      </w:r>
      <w:r>
        <w:rPr>
          <w:lang w:val="en_US" w:bidi="en_US"/>
        </w:rPr>
        <w:t>be careful lest you think that you are like a person who has light inside him and understands the truth but actually you are like a person who is dark inside</w:t>
      </w:r>
    </w:p>
    <w:p>
      <w:pPr/>
      <w:r>
        <w:rPr>
          <w:lang w:val="en_US" w:bidi="en_US"/>
        </w:rPr>
      </w:r>
      <w:r>
        <w:rPr>
          <w:lang w:val="en_US" w:bidi="en_US"/>
        </w:rPr>
        <w:t>If it is not possible to keep the figures of light and darkness, one possible way to translate this is:</w:t>
      </w:r>
    </w:p>
    <w:p>
      <w:pPr/>
      <w:r>
        <w:rPr>
          <w:lang w:val="en_US" w:bidi="en_US"/>
        </w:rPr>
      </w:r>
      <w:r>
        <w:rPr>
          <w:lang w:val="en_US" w:bidi="en_US"/>
        </w:rPr>
        <w:t>be careful that what you think is the truth is actually true and not false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Luke 11:36</w:t>
      </w:r>
      <w:r>
        <w:rPr>
          <w:lang w:val="en_US" w:bidi="en_US"/>
        </w:rPr>
      </w:r>
    </w:p>
    <w:p>
      <w:pPr>
        <w:pStyle w:val="Heading4"/>
      </w:pPr>
      <w:r>
        <w:rPr>
          <w:lang w:val="en_US" w:bidi="en_US"/>
        </w:rPr>
        <w:t>Section 11:33–36: Jesus taught about light and darkness</w:t>
      </w:r>
    </w:p>
    <w:p>
      <w:pPr/>
      <w:r>
        <w:rPr>
          <w:lang w:val="en_US" w:bidi="en_US"/>
        </w:rPr>
      </w:r>
      <w:r>
        <w:rPr>
          <w:lang w:val="en_US" w:bidi="en_US"/>
        </w:rPr>
        <w:t>In this section, Jesus used the metaphors of a lamp, light, darkness, eye, and body. The lamp and the light are illustrations of Jesus and his teaching. Both Jesus’ life and teaching revealed God to the people. People whose spiritual eyesight was good were able to understand and accept his message. They were like someone whose mind or body was full of light. People who rejected his message were like a person who was full of darkness.</w:t>
      </w:r>
    </w:p>
    <w:p>
      <w:pPr/>
      <w:r>
        <w:rPr>
          <w:lang w:val="en_US" w:bidi="en_US"/>
        </w:rPr>
      </w:r>
      <w:r>
        <w:rPr>
          <w:lang w:val="en_US" w:bidi="en_US"/>
        </w:rPr>
        <w:t>Jesus used these metaphors to tell the people (in 11:29–32) that their spiritual eyes were diseased. They could not receive the light of his message. If they had been willing to accept his message, then their minds would have been full of light. They would not have asked for another miracle to prove that God had sent him.</w:t>
      </w:r>
    </w:p>
    <w:p>
      <w:pPr/>
      <w:r>
        <w:rPr>
          <w:lang w:val="en_US" w:bidi="en_US"/>
        </w:rPr>
      </w:r>
      <w:r>
        <w:rPr>
          <w:lang w:val="en_US" w:bidi="en_US"/>
        </w:rPr>
        <w:t>Some other possible headings for this section are:</w:t>
      </w:r>
    </w:p>
    <w:p>
      <w:pPr/>
      <w:r>
        <w:rPr>
          <w:lang w:val="en_US" w:bidi="en_US"/>
        </w:rPr>
      </w:r>
      <w:r>
        <w:rPr>
          <w:lang w:val="en_US" w:bidi="en_US"/>
        </w:rPr>
        <w:t>Jesus’ message is like a lamp and like light</w:t>
      </w:r>
    </w:p>
    <w:p>
      <w:pPr/>
      <w:r>
        <w:rPr>
          <w:lang w:val="en_US" w:bidi="en_US"/>
        </w:rPr>
      </w:r>
      <w:r>
        <w:rPr>
          <w:lang w:val="en_US" w:bidi="en_US"/>
        </w:rPr>
        <w:t>The light of the body (GNT)</w:t>
      </w:r>
    </w:p>
    <w:p>
      <w:pPr/>
      <w:r>
        <w:rPr>
          <w:lang w:val="en_US" w:bidi="en_US"/>
        </w:rPr>
      </w:r>
      <w:r>
        <w:rPr>
          <w:lang w:val="en_US" w:bidi="en_US"/>
        </w:rPr>
        <w:t>There are parallel passages for this section in Matthew 5:15 and 6:22–23.</w:t>
      </w:r>
    </w:p>
    <w:p>
      <w:pPr>
        <w:pStyle w:val="Heading4"/>
      </w:pPr>
      <w:r>
        <w:rPr>
          <w:lang w:val="en_US" w:bidi="en_US"/>
        </w:rPr>
        <w:t>Paragraph 11:33–36</w:t>
      </w:r>
    </w:p>
    <w:p>
      <w:pPr/>
      <w:r>
        <w:rPr>
          <w:lang w:val="en_US" w:bidi="en_US"/>
        </w:rPr>
      </w:r>
      <w:r>
        <w:rPr>
          <w:lang w:val="en_US" w:bidi="en_US"/>
        </w:rPr>
        <w:t>There are two sayings about a lamp in this paragraph: one in 11:33 and another in 11:34–36. In 11:33 Jesus compared himself and his teaching to a lamp. People put a lamp where its light will be seen. In the same way, Jesus taught in public where everyone could hear and see him.</w:t>
      </w:r>
    </w:p>
    <w:p>
      <w:pPr/>
      <w:r>
        <w:rPr>
          <w:lang w:val="en_US" w:bidi="en_US"/>
        </w:rPr>
      </w:r>
      <w:r>
        <w:rPr>
          <w:lang w:val="en_US" w:bidi="en_US"/>
        </w:rPr>
        <w:t>In 11:34 the topic is different. Here a person’s eye (his attitude toward Jesus’ message) is compared to a lamp. This lamp provides him with light (spiritual illumination or understanding).</w:t>
      </w:r>
      <w:r>
        <w:rPr>
          <w:lang w:val="en_US" w:bidi="en_US"/>
        </w:rPr>
        <w:t>A number of commentators say that in this context the eye represents a person’s attitude toward Jesus, his willingness or unwillingness to accept Jesus’ message. Evans (p. 188) uses the term “moral disposition,” referring to a person’s inclination to receive Jesus’ message or to reject him. Marshall (p. 489) speaks of a person being “single-mindedly receptive to the light of the gospel,” and Liefeld (p. 954) says that the body receives light through the eye “subject to the individual’s will.” Morris (p. 221) also speaks of a person’s attention being focused on good (in the case of a healthy eye) or on evil (in the case of a bad eye). Nolland (p. 657) agrees that the eye here is a metaphor for “moral and spiritual readiness to see.”</w:t>
      </w:r>
    </w:p>
    <w:p>
      <w:pPr>
        <w:pStyle w:val="Heading5"/>
      </w:pPr>
      <w:r>
        <w:rPr>
          <w:lang w:val="en_US" w:bidi="en_US"/>
        </w:rPr>
        <w:t>11:36a</w:t>
      </w:r>
    </w:p>
    <w:p>
      <w:pPr/>
      <w:r>
        <w:rPr>
          <w:lang w:val="en_US" w:bidi="en_US"/>
        </w:rPr>
      </w:r>
      <w:r>
        <w:rPr>
          <w:b/>
          <w:lang w:val="en_US" w:bidi="en_US"/>
        </w:rPr>
        <w:t>So if your whole body is full of light,</w:t>
      </w:r>
    </w:p>
    <w:p>
      <w:pPr>
        <w:pStyle w:val="ListBullet"/>
        <w:spacing w:line="240" w:lineRule="auto"/>
        <w:ind w:left="720"/>
      </w:pPr>
      <w:r>
        <w:rPr>
          <w:lang w:val="en_US" w:bidi="en_US"/>
        </w:rPr>
      </w:r>
      <w:r>
        <w:rPr>
          <w:lang w:val="en_US" w:bidi="en_US"/>
        </w:rPr>
        <w:t>So if your</w:t>
      </w:r>
      <w:r>
        <w:rPr>
          <w:vertAlign w:val="superscript"/>
          <w:lang w:val="en_US" w:bidi="en_US"/>
        </w:rPr>
        <w:t>(sing/plur)</w:t>
      </w:r>
      <w:r>
        <w:rPr>
          <w:lang w:val="en_US" w:bidi="en_US"/>
        </w:rPr>
        <w:t xml:space="preserve"> whole self/body is full of light,</w:t>
      </w:r>
    </w:p>
    <w:p>
      <w:pPr>
        <w:pStyle w:val="ListBullet"/>
        <w:spacing w:line="240" w:lineRule="auto"/>
        <w:ind w:left="720"/>
      </w:pPr>
      <w:r>
        <w:rPr>
          <w:lang w:val="en_US" w:bidi="en_US"/>
        </w:rPr>
      </w:r>
      <w:r>
        <w:rPr>
          <w:lang w:val="en_US" w:bidi="en_US"/>
        </w:rPr>
        <w:t xml:space="preserve">If </w:t>
      </w:r>
      <w:r>
        <w:rPr>
          <w:lang w:val="en_US" w:bidi="en_US"/>
        </w:rPr>
        <w:t>God’s</w:t>
      </w:r>
      <w:r>
        <w:rPr>
          <w:lang w:val="en_US" w:bidi="en_US"/>
        </w:rPr>
        <w:t xml:space="preserve"> light fills every part of you</w:t>
      </w:r>
      <w:r>
        <w:rPr>
          <w:vertAlign w:val="superscript"/>
          <w:lang w:val="en_US" w:bidi="en_US"/>
        </w:rPr>
        <w:t>(sing/plur)</w:t>
      </w:r>
      <w:r>
        <w:rPr>
          <w:lang w:val="en_US" w:bidi="en_US"/>
        </w:rPr>
        <w:t>,</w:t>
      </w:r>
    </w:p>
    <w:p>
      <w:pPr>
        <w:pStyle w:val="ListBullet"/>
        <w:spacing w:line="240" w:lineRule="auto"/>
        <w:ind w:left="720"/>
      </w:pPr>
      <w:r>
        <w:rPr>
          <w:lang w:val="en_US" w:bidi="en_US"/>
        </w:rPr>
      </w:r>
      <w:r>
        <w:rPr>
          <w:lang w:val="en_US" w:bidi="en_US"/>
        </w:rPr>
        <w:t>If your</w:t>
      </w:r>
      <w:r>
        <w:rPr>
          <w:vertAlign w:val="superscript"/>
          <w:lang w:val="en_US" w:bidi="en_US"/>
        </w:rPr>
        <w:t>(sing/plur)</w:t>
      </w:r>
      <w:r>
        <w:rPr>
          <w:lang w:val="en_US" w:bidi="en_US"/>
        </w:rPr>
        <w:t xml:space="preserve"> entire mind/self is illuminated</w:t>
      </w:r>
    </w:p>
    <w:p>
      <w:pPr>
        <w:pStyle w:val="ListBullet"/>
        <w:spacing w:line="240" w:lineRule="auto"/>
        <w:ind w:left="720"/>
      </w:pPr>
      <w:r>
        <w:rPr>
          <w:lang w:val="en_US" w:bidi="en_US"/>
        </w:rPr>
      </w:r>
      <w:r>
        <w:rPr>
          <w:lang w:val="en_US" w:bidi="en_US"/>
        </w:rPr>
        <w:t>So, if you completely understand the truth</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introduces a conclusion. This is the conclusion that Jesus drew from what he had said in 11:34b (“your whole body also is full of light”). Since it does not directly relate to Jesus’ command in 11:35, several English versions (CEV, GNT, NCV, NLT) do not translate this conjunction. Use a natural way to translate a conclusion like this in your language.</w:t>
      </w:r>
    </w:p>
    <w:p>
      <w:pPr/>
      <w:r>
        <w:rPr>
          <w:lang w:val="en_US" w:bidi="en_US"/>
        </w:rPr>
      </w:r>
      <w:r>
        <w:rPr>
          <w:b/>
          <w:lang w:val="en_US" w:bidi="en_US"/>
        </w:rPr>
        <w:t>if your whole body is full of light:</w:t>
      </w:r>
      <w:r>
        <w:rPr>
          <w:lang w:val="en_US" w:bidi="en_US"/>
        </w:rPr>
        <w:t xml:space="preserve"> See the note on 11:34c, which is almost identical. In the context of the warning in 11:35, there may be an implication here of truly having light (as opposed to being in darkness). Another way to translate this clause is:</w:t>
      </w:r>
    </w:p>
    <w:p>
      <w:pPr/>
      <w:r>
        <w:rPr>
          <w:lang w:val="en_US" w:bidi="en_US"/>
        </w:rPr>
      </w:r>
      <w:r>
        <w:rPr>
          <w:lang w:val="en_US" w:bidi="en_US"/>
        </w:rPr>
        <w:t xml:space="preserve">if </w:t>
      </w:r>
      <w:r>
        <w:rPr>
          <w:lang w:val="en_US" w:bidi="en_US"/>
        </w:rPr>
        <w:t>God’s</w:t>
      </w:r>
      <w:r>
        <w:rPr>
          <w:lang w:val="en_US" w:bidi="en_US"/>
        </w:rPr>
        <w:t xml:space="preserve"> light fills every part of you</w:t>
      </w:r>
    </w:p>
    <w:p>
      <w:pPr/>
      <w:r>
        <w:rPr>
          <w:lang w:val="en_US" w:bidi="en_US"/>
        </w:rPr>
      </w:r>
      <w:r>
        <w:rPr>
          <w:lang w:val="en_US" w:bidi="en_US"/>
        </w:rPr>
        <w:t>if your entire mind is illuminated</w:t>
      </w:r>
    </w:p>
    <w:p>
      <w:pPr/>
      <w:r>
        <w:rPr>
          <w:lang w:val="en_US" w:bidi="en_US"/>
        </w:rPr>
      </w:r>
      <w:r>
        <w:rPr>
          <w:lang w:val="en_US" w:bidi="en_US"/>
        </w:rPr>
        <w:t>As in 11:34c, some languages may have to translate the direct meaning instead of the figure. See the examples there.</w:t>
      </w:r>
    </w:p>
    <w:p>
      <w:pPr>
        <w:pStyle w:val="Heading5"/>
      </w:pPr>
      <w:r>
        <w:rPr>
          <w:lang w:val="en_US" w:bidi="en_US"/>
        </w:rPr>
        <w:t>11:36b</w:t>
      </w:r>
    </w:p>
    <w:p>
      <w:pPr/>
      <w:r>
        <w:rPr>
          <w:lang w:val="en_US" w:bidi="en_US"/>
        </w:rPr>
      </w:r>
      <w:r>
        <w:rPr>
          <w:b/>
          <w:lang w:val="en_US" w:bidi="en_US"/>
        </w:rPr>
        <w:t>with no part of it in darkness,</w:t>
      </w:r>
    </w:p>
    <w:p>
      <w:pPr>
        <w:pStyle w:val="ListBullet"/>
        <w:spacing w:line="240" w:lineRule="auto"/>
        <w:ind w:left="720"/>
      </w:pPr>
      <w:r>
        <w:rPr>
          <w:lang w:val="en_US" w:bidi="en_US"/>
        </w:rPr>
      </w:r>
      <w:r>
        <w:rPr>
          <w:lang w:val="en_US" w:bidi="en_US"/>
        </w:rPr>
        <w:t>instead of darkness,</w:t>
      </w:r>
    </w:p>
    <w:p>
      <w:pPr>
        <w:pStyle w:val="ListBullet"/>
        <w:spacing w:line="240" w:lineRule="auto"/>
        <w:ind w:left="720"/>
      </w:pPr>
      <w:r>
        <w:rPr>
          <w:lang w:val="en_US" w:bidi="en_US"/>
        </w:rPr>
      </w:r>
      <w:r>
        <w:rPr>
          <w:lang w:val="en_US" w:bidi="en_US"/>
        </w:rPr>
        <w:t>and no part of you</w:t>
      </w:r>
      <w:r>
        <w:rPr>
          <w:vertAlign w:val="superscript"/>
          <w:lang w:val="en_US" w:bidi="en_US"/>
        </w:rPr>
        <w:t>(sing/plur)</w:t>
      </w:r>
      <w:r>
        <w:rPr>
          <w:lang w:val="en_US" w:bidi="en_US"/>
        </w:rPr>
        <w:t xml:space="preserve"> </w:t>
      </w:r>
      <w:r>
        <w:rPr>
          <w:lang w:val="en_US" w:bidi="en_US"/>
        </w:rPr>
        <w:t>remains</w:t>
      </w:r>
      <w:r>
        <w:rPr>
          <w:lang w:val="en_US" w:bidi="en_US"/>
        </w:rPr>
        <w:t xml:space="preserve"> dark,</w:t>
      </w:r>
    </w:p>
    <w:p>
      <w:pPr>
        <w:pStyle w:val="ListBullet"/>
        <w:spacing w:line="240" w:lineRule="auto"/>
        <w:ind w:left="720"/>
      </w:pPr>
      <w:r>
        <w:rPr>
          <w:lang w:val="en_US" w:bidi="en_US"/>
        </w:rPr>
      </w:r>
      <w:r>
        <w:rPr>
          <w:lang w:val="en_US" w:bidi="en_US"/>
        </w:rPr>
        <w:t>so that there is absolutely no darkness in you</w:t>
      </w:r>
      <w:r>
        <w:rPr>
          <w:vertAlign w:val="superscript"/>
          <w:lang w:val="en_US" w:bidi="en_US"/>
        </w:rPr>
        <w:t>(sing/plur)</w:t>
      </w:r>
      <w:r>
        <w:rPr>
          <w:lang w:val="en_US" w:bidi="en_US"/>
        </w:rPr>
        <w:t>,</w:t>
      </w:r>
    </w:p>
    <w:p>
      <w:pPr>
        <w:pStyle w:val="ListBullet"/>
        <w:spacing w:line="240" w:lineRule="auto"/>
        <w:ind w:left="720"/>
      </w:pPr>
      <w:r>
        <w:rPr>
          <w:lang w:val="en_US" w:bidi="en_US"/>
        </w:rPr>
      </w:r>
      <w:r>
        <w:rPr>
          <w:lang w:val="en_US" w:bidi="en_US"/>
        </w:rPr>
        <w:t>and there is no error in your understanding,</w:t>
      </w:r>
    </w:p>
    <w:p>
      <w:pPr/>
      <w:r>
        <w:rPr>
          <w:lang w:val="en_US" w:bidi="en_US"/>
        </w:rPr>
      </w:r>
      <w:r>
        <w:rPr>
          <w:b/>
          <w:lang w:val="en_US" w:bidi="en_US"/>
        </w:rPr>
        <w:t>with no part of it in darkness:</w:t>
      </w:r>
      <w:r>
        <w:rPr>
          <w:lang w:val="en_US" w:bidi="en_US"/>
        </w:rPr>
        <w:t xml:space="preserve"> In this context the phrase </w:t>
      </w:r>
      <w:r>
        <w:rPr>
          <w:i/>
          <w:lang w:val="en_US" w:bidi="en_US"/>
        </w:rPr>
        <w:t>with no part of it in darkness</w:t>
      </w:r>
      <w:r>
        <w:rPr>
          <w:lang w:val="en_US" w:bidi="en_US"/>
        </w:rPr>
        <w:t xml:space="preserve"> means “no part of your body is without light.” Some other ways to translate this phrase are:</w:t>
      </w:r>
    </w:p>
    <w:p>
      <w:pPr/>
      <w:r>
        <w:rPr>
          <w:lang w:val="en_US" w:bidi="en_US"/>
        </w:rPr>
      </w:r>
      <w:r>
        <w:rPr>
          <w:lang w:val="en_US" w:bidi="en_US"/>
        </w:rPr>
        <w:t>and no part of it dark (NIV)</w:t>
      </w:r>
    </w:p>
    <w:p>
      <w:pPr/>
      <w:r>
        <w:rPr>
          <w:lang w:val="en_US" w:bidi="en_US"/>
        </w:rPr>
      </w:r>
      <w:r>
        <w:rPr>
          <w:lang w:val="en_US" w:bidi="en_US"/>
        </w:rPr>
        <w:t>with no dark corners (NLT)</w:t>
      </w:r>
    </w:p>
    <w:p>
      <w:pPr/>
      <w:r>
        <w:rPr>
          <w:lang w:val="en_US" w:bidi="en_US"/>
        </w:rPr>
      </w:r>
      <w:r>
        <w:rPr>
          <w:lang w:val="en_US" w:bidi="en_US"/>
        </w:rPr>
        <w:t>If you need to translate this meaning more explicitly, you can say:</w:t>
      </w:r>
    </w:p>
    <w:p>
      <w:pPr/>
      <w:r>
        <w:rPr>
          <w:lang w:val="en_US" w:bidi="en_US"/>
        </w:rPr>
      </w:r>
      <w:r>
        <w:rPr>
          <w:lang w:val="en_US" w:bidi="en_US"/>
        </w:rPr>
        <w:t>and there is no error in your understanding</w:t>
      </w:r>
    </w:p>
    <w:p>
      <w:pPr>
        <w:pStyle w:val="Heading5"/>
      </w:pPr>
      <w:r>
        <w:rPr>
          <w:lang w:val="en_US" w:bidi="en_US"/>
        </w:rPr>
        <w:t>11:36c</w:t>
      </w:r>
    </w:p>
    <w:p>
      <w:pPr/>
      <w:r>
        <w:rPr>
          <w:lang w:val="en_US" w:bidi="en_US"/>
        </w:rPr>
      </w:r>
      <w:r>
        <w:rPr>
          <w:b/>
          <w:lang w:val="en_US" w:bidi="en_US"/>
        </w:rPr>
        <w:t>you will be radiant,</w:t>
      </w:r>
    </w:p>
    <w:p>
      <w:pPr>
        <w:pStyle w:val="ListBullet"/>
        <w:spacing w:line="240" w:lineRule="auto"/>
        <w:ind w:left="720"/>
      </w:pPr>
      <w:r>
        <w:rPr>
          <w:lang w:val="en_US" w:bidi="en_US"/>
        </w:rPr>
      </w:r>
      <w:r>
        <w:rPr>
          <w:lang w:val="en_US" w:bidi="en_US"/>
        </w:rPr>
        <w:t>then</w:t>
      </w:r>
      <w:r>
        <w:rPr>
          <w:lang w:val="en_US" w:bidi="en_US"/>
        </w:rPr>
        <w:t xml:space="preserve"> every part of you</w:t>
      </w:r>
      <w:r>
        <w:rPr>
          <w:vertAlign w:val="superscript"/>
          <w:lang w:val="en_US" w:bidi="en_US"/>
        </w:rPr>
        <w:t>(sing/plur)</w:t>
      </w:r>
      <w:r>
        <w:rPr>
          <w:lang w:val="en_US" w:bidi="en_US"/>
        </w:rPr>
        <w:t xml:space="preserve"> will be totally illuminated</w:t>
      </w:r>
    </w:p>
    <w:p>
      <w:pPr>
        <w:pStyle w:val="ListBullet"/>
        <w:spacing w:line="240" w:lineRule="auto"/>
        <w:ind w:left="720"/>
      </w:pPr>
      <w:r>
        <w:rPr>
          <w:lang w:val="en_US" w:bidi="en_US"/>
        </w:rPr>
      </w:r>
      <w:r>
        <w:rPr>
          <w:lang w:val="en_US" w:bidi="en_US"/>
        </w:rPr>
        <w:t>your</w:t>
      </w:r>
      <w:r>
        <w:rPr>
          <w:vertAlign w:val="superscript"/>
          <w:lang w:val="en_US" w:bidi="en_US"/>
        </w:rPr>
        <w:t>(sing/plur)</w:t>
      </w:r>
      <w:r>
        <w:rPr>
          <w:lang w:val="en_US" w:bidi="en_US"/>
        </w:rPr>
        <w:t xml:space="preserve"> whole life/being will be light/bright</w:t>
      </w:r>
    </w:p>
    <w:p>
      <w:pPr>
        <w:pStyle w:val="ListBullet"/>
        <w:spacing w:line="240" w:lineRule="auto"/>
        <w:ind w:left="720"/>
      </w:pPr>
      <w:r>
        <w:rPr>
          <w:lang w:val="en_US" w:bidi="en_US"/>
        </w:rPr>
      </w:r>
      <w:r>
        <w:rPr>
          <w:lang w:val="en_US" w:bidi="en_US"/>
        </w:rPr>
        <w:t>then</w:t>
      </w:r>
      <w:r>
        <w:rPr>
          <w:lang w:val="en_US" w:bidi="en_US"/>
        </w:rPr>
        <w:t xml:space="preserve"> your</w:t>
      </w:r>
      <w:r>
        <w:rPr>
          <w:vertAlign w:val="superscript"/>
          <w:lang w:val="en_US" w:bidi="en_US"/>
        </w:rPr>
        <w:t>(sing/plur)</w:t>
      </w:r>
      <w:r>
        <w:rPr>
          <w:lang w:val="en_US" w:bidi="en_US"/>
        </w:rPr>
        <w:t xml:space="preserve"> mind will truly be bright</w:t>
      </w:r>
    </w:p>
    <w:p>
      <w:pPr>
        <w:pStyle w:val="ListBullet"/>
        <w:spacing w:line="240" w:lineRule="auto"/>
        <w:ind w:left="720"/>
      </w:pPr>
      <w:r>
        <w:rPr>
          <w:lang w:val="en_US" w:bidi="en_US"/>
        </w:rPr>
      </w:r>
      <w:r>
        <w:rPr>
          <w:lang w:val="en_US" w:bidi="en_US"/>
        </w:rPr>
        <w:t>it will be as if</w:t>
      </w:r>
      <w:r>
        <w:rPr>
          <w:lang w:val="en_US" w:bidi="en_US"/>
        </w:rPr>
        <w:t xml:space="preserve"> all of you is completely lighted,</w:t>
      </w:r>
    </w:p>
    <w:p>
      <w:pPr/>
      <w:r>
        <w:rPr>
          <w:lang w:val="en_US" w:bidi="en_US"/>
        </w:rPr>
      </w:r>
      <w:r>
        <w:rPr>
          <w:b/>
          <w:lang w:val="en_US" w:bidi="en_US"/>
        </w:rPr>
        <w:t>you will be radiant:</w:t>
      </w:r>
      <w:r>
        <w:rPr>
          <w:lang w:val="en_US" w:bidi="en_US"/>
        </w:rPr>
        <w:t xml:space="preserve"> The clause that the BSB translates as </w:t>
      </w:r>
      <w:r>
        <w:rPr>
          <w:i/>
          <w:lang w:val="en_US" w:bidi="en_US"/>
        </w:rPr>
        <w:t>you will be radiant</w:t>
      </w:r>
      <w:r>
        <w:rPr>
          <w:lang w:val="en_US" w:bidi="en_US"/>
        </w:rPr>
        <w:t xml:space="preserve"> is literally “the whole will be full of light,” which is almost the same expression as in 11:36a, “if your whole body is full of light.” The BSB varies the language in order to avoid a translation that is merely repeating itself. To do the same in your translation, you may:</w:t>
      </w:r>
    </w:p>
    <w:p>
      <w:pPr>
        <w:pStyle w:val="ListBullet"/>
        <w:spacing w:line="240" w:lineRule="auto"/>
        <w:ind w:left="720"/>
      </w:pPr>
      <w:r>
        <w:rPr>
          <w:lang w:val="en_US" w:bidi="en_US"/>
        </w:rPr>
      </w:r>
      <w:r>
        <w:rPr>
          <w:lang w:val="en_US" w:bidi="en_US"/>
        </w:rPr>
        <w:t>Use different wording (see the meaning lines in the Display of 11:36c).</w:t>
      </w:r>
    </w:p>
    <w:p>
      <w:pPr>
        <w:pStyle w:val="ListBullet"/>
        <w:spacing w:line="240" w:lineRule="auto"/>
        <w:ind w:left="720"/>
      </w:pPr>
      <w:r>
        <w:rPr>
          <w:lang w:val="en_US" w:bidi="en_US"/>
        </w:rPr>
      </w:r>
      <w:r>
        <w:rPr>
          <w:lang w:val="en_US" w:bidi="en_US"/>
        </w:rPr>
        <w:t xml:space="preserve">Emphasize that the </w:t>
      </w:r>
      <w:r>
        <w:rPr>
          <w:u w:val="single"/>
          <w:lang w:val="en_US" w:bidi="en_US"/>
        </w:rPr>
        <w:t>entire</w:t>
      </w:r>
      <w:r>
        <w:rPr>
          <w:lang w:val="en_US" w:bidi="en_US"/>
        </w:rPr>
        <w:t xml:space="preserve"> person or </w:t>
      </w:r>
      <w:r>
        <w:rPr>
          <w:u w:val="single"/>
          <w:lang w:val="en_US" w:bidi="en_US"/>
        </w:rPr>
        <w:t>every part of</w:t>
      </w:r>
      <w:r>
        <w:rPr>
          <w:lang w:val="en_US" w:bidi="en_US"/>
        </w:rPr>
        <w:t xml:space="preserve"> the person is illuminated.</w:t>
      </w:r>
    </w:p>
    <w:p>
      <w:pPr>
        <w:pStyle w:val="ListBullet"/>
        <w:spacing w:line="240" w:lineRule="auto"/>
        <w:ind w:left="720"/>
      </w:pPr>
      <w:r>
        <w:rPr>
          <w:lang w:val="en_US" w:bidi="en_US"/>
        </w:rPr>
      </w:r>
      <w:r>
        <w:rPr>
          <w:lang w:val="en_US" w:bidi="en_US"/>
        </w:rPr>
        <w:t>Emphasize the comparison between inner, spiritual light in 11:36c and a literal bright lamp in 11:36d. For example:</w:t>
      </w:r>
      <w:r>
        <w:rPr>
          <w:lang w:val="en_US" w:bidi="en_US"/>
        </w:rPr>
        <w:t>your whole life will be light as if you were close to a bright lamp</w:t>
      </w:r>
      <w:r>
        <w:rPr>
          <w:lang w:val="en_US" w:bidi="en_US"/>
        </w:rPr>
        <w:t>your mind will truly be bright like a person who is shined on by a strong light</w:t>
      </w:r>
    </w:p>
    <w:p>
      <w:pPr>
        <w:pStyle w:val="Heading5"/>
      </w:pPr>
      <w:r>
        <w:rPr>
          <w:lang w:val="en_US" w:bidi="en_US"/>
        </w:rPr>
        <w:t>11:36d</w:t>
      </w:r>
    </w:p>
    <w:p>
      <w:pPr/>
      <w:r>
        <w:rPr>
          <w:lang w:val="en_US" w:bidi="en_US"/>
        </w:rPr>
      </w:r>
      <w:r>
        <w:rPr>
          <w:b/>
          <w:lang w:val="en_US" w:bidi="en_US"/>
        </w:rPr>
        <w:t>as though a lamp were shining on you.”</w:t>
      </w:r>
    </w:p>
    <w:p>
      <w:pPr>
        <w:pStyle w:val="ListBullet"/>
        <w:spacing w:line="240" w:lineRule="auto"/>
        <w:ind w:left="720"/>
      </w:pPr>
      <w:r>
        <w:rPr>
          <w:lang w:val="en_US" w:bidi="en_US"/>
        </w:rPr>
      </w:r>
      <w:r>
        <w:rPr>
          <w:lang w:val="en_US" w:bidi="en_US"/>
        </w:rPr>
        <w:t>as if a lamp were shining brightly on you</w:t>
      </w:r>
      <w:r>
        <w:rPr>
          <w:vertAlign w:val="superscript"/>
          <w:lang w:val="en_US" w:bidi="en_US"/>
        </w:rPr>
        <w:t>(sing/plur)</w:t>
      </w:r>
      <w:r>
        <w:rPr>
          <w:lang w:val="en_US" w:bidi="en_US"/>
        </w:rPr>
        <w:t>.”</w:t>
      </w:r>
    </w:p>
    <w:p>
      <w:pPr>
        <w:pStyle w:val="ListBullet"/>
        <w:spacing w:line="240" w:lineRule="auto"/>
        <w:ind w:left="720"/>
      </w:pPr>
      <w:r>
        <w:rPr>
          <w:lang w:val="en_US" w:bidi="en_US"/>
        </w:rPr>
      </w:r>
      <w:r>
        <w:rPr>
          <w:lang w:val="en_US" w:bidi="en_US"/>
        </w:rPr>
        <w:t>as if you</w:t>
      </w:r>
      <w:r>
        <w:rPr>
          <w:vertAlign w:val="superscript"/>
          <w:lang w:val="en_US" w:bidi="en_US"/>
        </w:rPr>
        <w:t>(sing/plur)</w:t>
      </w:r>
      <w:r>
        <w:rPr>
          <w:lang w:val="en_US" w:bidi="en_US"/>
        </w:rPr>
        <w:t xml:space="preserve"> were close to a bright lamp.”</w:t>
      </w:r>
    </w:p>
    <w:p>
      <w:pPr>
        <w:pStyle w:val="ListBullet"/>
        <w:spacing w:line="240" w:lineRule="auto"/>
        <w:ind w:left="720"/>
      </w:pPr>
      <w:r>
        <w:rPr>
          <w:lang w:val="en_US" w:bidi="en_US"/>
        </w:rPr>
      </w:r>
      <w:r>
        <w:rPr>
          <w:lang w:val="en_US" w:bidi="en_US"/>
        </w:rPr>
        <w:t>like a person who is shined on by a strong/bright light/lamp.”</w:t>
      </w:r>
    </w:p>
    <w:p>
      <w:pPr/>
      <w:r>
        <w:rPr>
          <w:lang w:val="en_US" w:bidi="en_US"/>
        </w:rPr>
      </w:r>
      <w:r>
        <w:rPr>
          <w:b/>
          <w:lang w:val="en_US" w:bidi="en_US"/>
        </w:rPr>
        <w:t>as though a lamp were shining on you:</w:t>
      </w:r>
      <w:r>
        <w:rPr>
          <w:lang w:val="en_US" w:bidi="en_US"/>
        </w:rPr>
        <w:t xml:space="preserve"> The Greek phrase that the BSB translates as </w:t>
      </w:r>
      <w:r>
        <w:rPr>
          <w:i/>
          <w:lang w:val="en_US" w:bidi="en_US"/>
        </w:rPr>
        <w:t>as though a lamp were shining on you</w:t>
      </w:r>
      <w:r>
        <w:rPr>
          <w:lang w:val="en_US" w:bidi="en_US"/>
        </w:rPr>
        <w:t xml:space="preserve"> is more literally “as the lamp in its brightness/brilliance shines on you.” This clause compares the inner illumination of God’s truth in a person’s life (11:36a–c) to a bright lamp that shines on a person. Another way to translate this is:</w:t>
      </w:r>
    </w:p>
    <w:p>
      <w:pPr/>
      <w:r>
        <w:rPr>
          <w:lang w:val="en_US" w:bidi="en_US"/>
        </w:rPr>
      </w:r>
      <w:r>
        <w:rPr>
          <w:lang w:val="en_US" w:bidi="en_US"/>
        </w:rPr>
        <w:t>as when a lamp shines on you with its brightness (GNT)</w:t>
      </w:r>
      <w:r>
        <w:rPr>
          <w:lang w:val="en_US" w:bidi="en_US"/>
        </w:rPr>
      </w:r>
      <w:r>
        <w:rPr>
          <w:lang w:val="en_US" w:bidi="en_US"/>
        </w:rPr>
      </w:r>
    </w:p>
    <w:p>
      <w:pPr/>
      <w:r>
        <w:rPr>
          <w:lang w:val="en_US" w:bidi="en_US"/>
        </w:rPr>
      </w:r>
    </w:p>
    <w:p>
      <w:pPr>
        <w:pStyle w:val="Heading2"/>
      </w:pPr>
      <w:r>
        <w:rPr>
          <w:lang w:val="en_US" w:bidi="en_US"/>
        </w:rPr>
        <w:t>Luke 11:37</w:t>
      </w:r>
      <w:r>
        <w:rPr>
          <w:lang w:val="en_US" w:bidi="en_US"/>
        </w:rPr>
      </w:r>
    </w:p>
    <w:p>
      <w:pPr>
        <w:pStyle w:val="Heading4"/>
      </w:pPr>
      <w:r>
        <w:rPr>
          <w:lang w:val="en_US" w:bidi="en_US"/>
        </w:rPr>
        <w:t>Section 11:37–54: Jesus criticized the Pharisees and the teachers of the law</w:t>
      </w:r>
    </w:p>
    <w:p>
      <w:pPr/>
      <w:r>
        <w:rPr>
          <w:lang w:val="en_US" w:bidi="en_US"/>
        </w:rPr>
      </w:r>
      <w:r>
        <w:rPr>
          <w:lang w:val="en_US" w:bidi="en_US"/>
        </w:rP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pPr/>
      <w:r>
        <w:rPr>
          <w:lang w:val="en_US" w:bidi="en_US"/>
        </w:rPr>
      </w:r>
      <w:r>
        <w:rPr>
          <w:lang w:val="en_US" w:bidi="en_US"/>
        </w:rPr>
        <w:t>Some other headings for this section are:</w:t>
      </w:r>
    </w:p>
    <w:p>
      <w:pPr/>
      <w:r>
        <w:rPr>
          <w:lang w:val="en_US" w:bidi="en_US"/>
        </w:rPr>
      </w:r>
      <w:r>
        <w:rPr>
          <w:lang w:val="en_US" w:bidi="en_US"/>
        </w:rPr>
        <w:t>Jesus’ Criticism of the Religious Leaders</w:t>
      </w:r>
    </w:p>
    <w:p>
      <w:pPr/>
      <w:r>
        <w:rPr>
          <w:lang w:val="en_US" w:bidi="en_US"/>
        </w:rPr>
      </w:r>
      <w:r>
        <w:rPr>
          <w:lang w:val="en_US" w:bidi="en_US"/>
        </w:rPr>
        <w:t>There are parallel passages for this section in Matthew 23:1–36 and Mark 12:38–40.</w:t>
      </w:r>
    </w:p>
    <w:p>
      <w:pPr>
        <w:pStyle w:val="Heading5"/>
      </w:pPr>
      <w:r>
        <w:rPr>
          <w:lang w:val="en_US" w:bidi="en_US"/>
        </w:rPr>
        <w:t>11:37a</w:t>
      </w:r>
    </w:p>
    <w:p>
      <w:pPr/>
      <w:r>
        <w:rPr>
          <w:lang w:val="en_US" w:bidi="en_US"/>
        </w:rPr>
      </w:r>
      <w:r>
        <w:rPr>
          <w:b/>
          <w:lang w:val="en_US" w:bidi="en_US"/>
        </w:rPr>
        <w:t>As Jesus was speaking,</w:t>
      </w:r>
    </w:p>
    <w:p>
      <w:pPr>
        <w:pStyle w:val="ListBullet"/>
        <w:spacing w:line="240" w:lineRule="auto"/>
        <w:ind w:left="720"/>
      </w:pPr>
      <w:r>
        <w:rPr>
          <w:lang w:val="en_US" w:bidi="en_US"/>
        </w:rPr>
      </w:r>
      <w:r>
        <w:rPr>
          <w:lang w:val="en_US" w:bidi="en_US"/>
        </w:rPr>
        <w:t xml:space="preserve">¶ Jesus had </w:t>
      </w:r>
      <w:r>
        <w:rPr>
          <w:lang w:val="en_US" w:bidi="en_US"/>
        </w:rPr>
        <w:t>just</w:t>
      </w:r>
      <w:r>
        <w:rPr>
          <w:lang w:val="en_US" w:bidi="en_US"/>
        </w:rPr>
        <w:t xml:space="preserve"> finished speaking/teaching when</w:t>
      </w:r>
    </w:p>
    <w:p>
      <w:pPr>
        <w:pStyle w:val="ListBullet"/>
        <w:spacing w:line="240" w:lineRule="auto"/>
        <w:ind w:left="720"/>
      </w:pPr>
      <w:r>
        <w:rPr>
          <w:lang w:val="en_US" w:bidi="en_US"/>
        </w:rPr>
      </w:r>
      <w:r>
        <w:rPr>
          <w:lang w:val="en_US" w:bidi="en_US"/>
        </w:rPr>
        <w:t>¶ Jesus ended what he had been saying.</w:t>
      </w:r>
    </w:p>
    <w:p>
      <w:pPr/>
      <w:r>
        <w:rPr>
          <w:lang w:val="en_US" w:bidi="en_US"/>
        </w:rPr>
      </w:r>
      <w:r>
        <w:rPr>
          <w:b/>
          <w:lang w:val="en_US" w:bidi="en_US"/>
        </w:rPr>
        <w:t>As Jesus was speaking:</w:t>
      </w:r>
      <w:r>
        <w:rPr>
          <w:lang w:val="en_US" w:bidi="en_US"/>
        </w:rPr>
        <w:t xml:space="preserve"> This clause refers to what Jesus taught about light and darkness in the previous section. In some languages it may be more natural to use a more specific verb than </w:t>
      </w:r>
      <w:r>
        <w:rPr>
          <w:i/>
          <w:lang w:val="en_US" w:bidi="en_US"/>
        </w:rPr>
        <w:t>speaking</w:t>
      </w:r>
      <w:r>
        <w:rPr>
          <w:lang w:val="en_US" w:bidi="en_US"/>
        </w:rPr>
        <w:t>. For example:</w:t>
      </w:r>
    </w:p>
    <w:p>
      <w:pPr/>
      <w:r>
        <w:rPr>
          <w:lang w:val="en_US" w:bidi="en_US"/>
        </w:rPr>
      </w:r>
      <w:r>
        <w:rPr>
          <w:lang w:val="en_US" w:bidi="en_US"/>
        </w:rPr>
        <w:t>As Jesus was teaching these things</w:t>
      </w:r>
    </w:p>
    <w:p>
      <w:pPr>
        <w:pStyle w:val="Heading5"/>
      </w:pPr>
      <w:r>
        <w:rPr>
          <w:lang w:val="en_US" w:bidi="en_US"/>
        </w:rPr>
        <w:t>11:37b</w:t>
      </w:r>
    </w:p>
    <w:p>
      <w:pPr/>
      <w:r>
        <w:rPr>
          <w:lang w:val="en_US" w:bidi="en_US"/>
        </w:rPr>
      </w:r>
      <w:r>
        <w:rPr>
          <w:b/>
          <w:lang w:val="en_US" w:bidi="en_US"/>
        </w:rPr>
        <w:t>a Pharisee invited Him to dine with him;</w:t>
      </w:r>
    </w:p>
    <w:p>
      <w:pPr>
        <w:pStyle w:val="ListBullet"/>
        <w:spacing w:line="240" w:lineRule="auto"/>
        <w:ind w:left="720"/>
      </w:pPr>
      <w:r>
        <w:rPr>
          <w:lang w:val="en_US" w:bidi="en_US"/>
        </w:rPr>
      </w:r>
      <w:r>
        <w:rPr>
          <w:lang w:val="en_US" w:bidi="en_US"/>
        </w:rPr>
        <w:t>a Pharisee invited/asked him to go to his house for a meal.</w:t>
      </w:r>
    </w:p>
    <w:p>
      <w:pPr>
        <w:pStyle w:val="ListBullet"/>
        <w:spacing w:line="240" w:lineRule="auto"/>
        <w:ind w:left="720"/>
      </w:pPr>
      <w:r>
        <w:rPr>
          <w:lang w:val="en_US" w:bidi="en_US"/>
        </w:rPr>
      </w:r>
      <w:r>
        <w:rPr>
          <w:lang w:val="en_US" w:bidi="en_US"/>
        </w:rPr>
        <w:t xml:space="preserve">Then a </w:t>
      </w:r>
      <w:r>
        <w:rPr>
          <w:lang w:val="en_US" w:bidi="en_US"/>
        </w:rPr>
        <w:t>member of the</w:t>
      </w:r>
      <w:r>
        <w:rPr>
          <w:lang w:val="en_US" w:bidi="en_US"/>
        </w:rPr>
        <w:t xml:space="preserve"> Pharisee </w:t>
      </w:r>
      <w:r>
        <w:rPr>
          <w:lang w:val="en_US" w:bidi="en_US"/>
        </w:rPr>
        <w:t>group/party</w:t>
      </w:r>
      <w:r>
        <w:rPr>
          <w:lang w:val="en_US" w:bidi="en_US"/>
        </w:rPr>
        <w:t xml:space="preserve"> </w:t>
      </w:r>
      <w:r>
        <w:rPr>
          <w:lang w:val="en_US" w:bidi="en_US"/>
        </w:rPr>
        <w:t>came up and</w:t>
      </w:r>
      <w:r>
        <w:rPr>
          <w:lang w:val="en_US" w:bidi="en_US"/>
        </w:rPr>
        <w:t xml:space="preserve"> invited him </w:t>
      </w:r>
      <w:r>
        <w:rPr>
          <w:lang w:val="en_US" w:bidi="en_US"/>
        </w:rPr>
        <w:t>to come home</w:t>
      </w:r>
      <w:r>
        <w:rPr>
          <w:lang w:val="en_US" w:bidi="en_US"/>
        </w:rPr>
        <w:t xml:space="preserve"> with him to eat.</w:t>
      </w:r>
    </w:p>
    <w:p>
      <w:pPr/>
      <w:r>
        <w:rPr>
          <w:lang w:val="en_US" w:bidi="en_US"/>
        </w:rPr>
      </w:r>
      <w:r>
        <w:rPr>
          <w:b/>
          <w:lang w:val="en_US" w:bidi="en_US"/>
        </w:rPr>
        <w:t>a Pharisee:</w:t>
      </w:r>
      <w:r>
        <w:rPr>
          <w:lang w:val="en_US" w:bidi="en_US"/>
        </w:rPr>
        <w:t xml:space="preserve"> The phrase </w:t>
      </w:r>
      <w:r>
        <w:rPr>
          <w:i/>
          <w:lang w:val="en_US" w:bidi="en_US"/>
        </w:rPr>
        <w:t>a Pharisee</w:t>
      </w:r>
      <w:r>
        <w:rPr>
          <w:lang w:val="en_US" w:bidi="en_US"/>
        </w:rPr>
        <w:t xml:space="preserve"> introduces a new person into the story. Introduce this new person in a natural way in your language. For example:</w:t>
      </w:r>
    </w:p>
    <w:p>
      <w:pPr/>
      <w:r>
        <w:rPr>
          <w:lang w:val="en_US" w:bidi="en_US"/>
        </w:rPr>
      </w:r>
      <w:r>
        <w:rPr>
          <w:lang w:val="en_US" w:bidi="en_US"/>
        </w:rPr>
        <w:t>a certain Pharisee (KJV)</w:t>
      </w:r>
    </w:p>
    <w:p>
      <w:pPr/>
      <w:r>
        <w:rPr>
          <w:lang w:val="en_US" w:bidi="en_US"/>
        </w:rPr>
      </w:r>
      <w:r>
        <w:rPr>
          <w:lang w:val="en_US" w:bidi="en_US"/>
        </w:rPr>
        <w:t>one of the Pharisees (NLT)</w:t>
      </w:r>
    </w:p>
    <w:p>
      <w:pPr/>
      <w:r>
        <w:rPr>
          <w:lang w:val="en_US" w:bidi="en_US"/>
        </w:rPr>
      </w:r>
      <w:r>
        <w:rPr>
          <w:b/>
          <w:lang w:val="en_US" w:bidi="en_US"/>
        </w:rPr>
        <w:t>Pharisee:</w:t>
      </w:r>
      <w:r>
        <w:rPr>
          <w:lang w:val="en_US" w:bidi="en_US"/>
        </w:rPr>
        <w:t xml:space="preserve"> A </w:t>
      </w:r>
      <w:r>
        <w:rPr>
          <w:i/>
          <w:lang w:val="en_US" w:bidi="en_US"/>
        </w:rPr>
        <w:t>Pharisee</w:t>
      </w:r>
      <w:r>
        <w:rPr>
          <w:lang w:val="en_US" w:bidi="en_US"/>
        </w:rPr>
        <w:t xml:space="preserve"> was a member of a Jewish religious group or party called the Pharisees. It was very important to them to obey all of the Jewish religious laws very carefully and in detail. Here are some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Pharisee</w:t>
      </w:r>
      <w:r>
        <w:rPr>
          <w:lang w:val="en_US" w:bidi="en_US"/>
        </w:rPr>
        <w:t xml:space="preserve"> according to the sounds of your language and indicate that it refers to a person. For example:</w:t>
      </w:r>
      <w:r>
        <w:rPr>
          <w:lang w:val="en_US" w:bidi="en_US"/>
        </w:rPr>
        <w:t>Farisi member</w:t>
      </w:r>
      <w:r>
        <w:rPr>
          <w:lang w:val="en_US" w:bidi="en_US"/>
        </w:rPr>
        <w:t>Parise adherent</w:t>
      </w:r>
    </w:p>
    <w:p>
      <w:pPr>
        <w:pStyle w:val="ListBullet"/>
        <w:spacing w:line="240" w:lineRule="auto"/>
        <w:ind w:left="720"/>
      </w:pPr>
      <w:r>
        <w:rPr>
          <w:lang w:val="en_US" w:bidi="en_US"/>
        </w:rPr>
      </w:r>
      <w:r>
        <w:rPr>
          <w:lang w:val="en_US" w:bidi="en_US"/>
        </w:rPr>
        <w:t xml:space="preserve">Transliterate the word </w:t>
      </w:r>
      <w:r>
        <w:rPr>
          <w:i/>
          <w:lang w:val="en_US" w:bidi="en_US"/>
        </w:rPr>
        <w:t>Pharisee</w:t>
      </w:r>
      <w:r>
        <w:rPr>
          <w:lang w:val="en_US" w:bidi="en_US"/>
        </w:rPr>
        <w:t xml:space="preserve"> and indicate that it refers to a group of people with certain beliefs. For example:</w:t>
      </w:r>
      <w:r>
        <w:rPr>
          <w:lang w:val="en_US" w:bidi="en_US"/>
        </w:rPr>
        <w:t>person belonging to the Farise religious sect/group</w:t>
      </w:r>
      <w:r>
        <w:rPr>
          <w:lang w:val="en_US" w:bidi="en_US"/>
        </w:rPr>
        <w:t>member of the religious group called the Farasi</w:t>
      </w:r>
    </w:p>
    <w:p>
      <w:pPr/>
      <w:r>
        <w:rPr>
          <w:lang w:val="en_US" w:bidi="en_US"/>
        </w:rPr>
      </w:r>
      <w:r>
        <w:rPr>
          <w:lang w:val="en_US" w:bidi="en_US"/>
        </w:rPr>
        <w:t>This word first occurs in 5:17b.</w:t>
      </w:r>
    </w:p>
    <w:p>
      <w:pPr/>
      <w:r>
        <w:rPr>
          <w:lang w:val="en_US" w:bidi="en_US"/>
        </w:rPr>
      </w:r>
      <w:r>
        <w:rPr>
          <w:b/>
          <w:lang w:val="en_US" w:bidi="en_US"/>
        </w:rPr>
        <w:t>invited Him to dine with him:</w:t>
      </w:r>
      <w:r>
        <w:rPr>
          <w:lang w:val="en_US" w:bidi="en_US"/>
        </w:rPr>
        <w:t xml:space="preserve"> The Pharisee invited/asked Jesus to go to his (the Pharisee’s) </w:t>
      </w:r>
      <w:r>
        <w:rPr>
          <w:u w:val="single"/>
          <w:lang w:val="en_US" w:bidi="en_US"/>
        </w:rPr>
        <w:t>house</w:t>
      </w:r>
      <w:r>
        <w:rPr>
          <w:lang w:val="en_US" w:bidi="en_US"/>
        </w:rPr>
        <w:t xml:space="preserve"> and eat a meal with him. In some languages it may be necessary to make explicit some of this implied information. For example:</w:t>
      </w:r>
    </w:p>
    <w:p>
      <w:pPr/>
      <w:r>
        <w:rPr>
          <w:lang w:val="en_US" w:bidi="en_US"/>
        </w:rPr>
      </w:r>
      <w:r>
        <w:rPr>
          <w:lang w:val="en_US" w:bidi="en_US"/>
        </w:rPr>
        <w:t xml:space="preserve">invited him to eat </w:t>
      </w:r>
      <w:r>
        <w:rPr>
          <w:lang w:val="en_US" w:bidi="en_US"/>
        </w:rPr>
        <w:t>at his house</w:t>
      </w:r>
    </w:p>
    <w:p>
      <w:pPr/>
      <w:r>
        <w:rPr>
          <w:lang w:val="en_US" w:bidi="en_US"/>
        </w:rPr>
      </w:r>
      <w:r>
        <w:rPr>
          <w:lang w:val="en_US" w:bidi="en_US"/>
        </w:rPr>
        <w:t>invited him home for a meal (CEV)</w:t>
      </w:r>
    </w:p>
    <w:p>
      <w:pPr>
        <w:pStyle w:val="Heading5"/>
      </w:pPr>
      <w:r>
        <w:rPr>
          <w:lang w:val="en_US" w:bidi="en_US"/>
        </w:rPr>
        <w:t>11:37c</w:t>
      </w:r>
    </w:p>
    <w:p>
      <w:pPr/>
      <w:r>
        <w:rPr>
          <w:lang w:val="en_US" w:bidi="en_US"/>
        </w:rPr>
      </w:r>
      <w:r>
        <w:rPr>
          <w:b/>
          <w:lang w:val="en_US" w:bidi="en_US"/>
        </w:rPr>
        <w:t>so He went in and reclined at the table.</w:t>
      </w:r>
    </w:p>
    <w:p>
      <w:pPr>
        <w:pStyle w:val="ListBullet"/>
        <w:spacing w:line="240" w:lineRule="auto"/>
        <w:ind w:left="720"/>
      </w:pPr>
      <w:r>
        <w:rPr>
          <w:lang w:val="en_US" w:bidi="en_US"/>
        </w:rPr>
      </w:r>
      <w:r>
        <w:rPr>
          <w:lang w:val="en_US" w:bidi="en_US"/>
        </w:rPr>
        <w:t>So he went in and took his place at the table. (NLT)</w:t>
      </w:r>
    </w:p>
    <w:p>
      <w:pPr>
        <w:pStyle w:val="ListBullet"/>
        <w:spacing w:line="240" w:lineRule="auto"/>
        <w:ind w:left="720"/>
      </w:pPr>
      <w:r>
        <w:rPr>
          <w:lang w:val="en_US" w:bidi="en_US"/>
        </w:rPr>
      </w:r>
      <w:r>
        <w:rPr>
          <w:lang w:val="en_US" w:bidi="en_US"/>
        </w:rPr>
        <w:t xml:space="preserve">So Jesus entered </w:t>
      </w:r>
      <w:r>
        <w:rPr>
          <w:lang w:val="en_US" w:bidi="en_US"/>
        </w:rPr>
        <w:t>his house</w:t>
      </w:r>
      <w:r>
        <w:rPr>
          <w:lang w:val="en_US" w:bidi="en_US"/>
        </w:rPr>
        <w:t xml:space="preserve"> </w:t>
      </w:r>
      <w:r>
        <w:rPr>
          <w:lang w:val="en_US" w:bidi="en_US"/>
        </w:rPr>
        <w:t>and joined the others</w:t>
      </w:r>
      <w:r>
        <w:rPr>
          <w:lang w:val="en_US" w:bidi="en_US"/>
        </w:rPr>
        <w:t xml:space="preserve"> to eat.</w:t>
      </w:r>
    </w:p>
    <w:p>
      <w:pPr>
        <w:pStyle w:val="ListBullet"/>
        <w:spacing w:line="240" w:lineRule="auto"/>
        <w:ind w:left="720"/>
      </w:pPr>
      <w:r>
        <w:rPr>
          <w:lang w:val="en_US" w:bidi="en_US"/>
        </w:rPr>
      </w:r>
      <w:r>
        <w:rPr>
          <w:lang w:val="en_US" w:bidi="en_US"/>
        </w:rPr>
        <w:t xml:space="preserve">So Jesus </w:t>
      </w:r>
      <w:r>
        <w:rPr>
          <w:lang w:val="en_US" w:bidi="en_US"/>
        </w:rPr>
        <w:t>went and</w:t>
      </w:r>
      <w:r>
        <w:rPr>
          <w:lang w:val="en_US" w:bidi="en_US"/>
        </w:rPr>
        <w:t xml:space="preserve"> entered </w:t>
      </w:r>
      <w:r>
        <w:rPr>
          <w:lang w:val="en_US" w:bidi="en_US"/>
        </w:rPr>
        <w:t>his house</w:t>
      </w:r>
      <w:r>
        <w:rPr>
          <w:lang w:val="en_US" w:bidi="en_US"/>
        </w:rPr>
        <w:t xml:space="preserve"> and sat down to eat</w:t>
      </w:r>
    </w:p>
    <w:p>
      <w:pPr/>
      <w:r>
        <w:rPr>
          <w:lang w:val="en_US" w:bidi="en_US"/>
        </w:rPr>
      </w:r>
      <w:r>
        <w:rPr>
          <w:b/>
          <w:lang w:val="en_US" w:bidi="en_US"/>
        </w:rPr>
        <w:t>so He went in:</w:t>
      </w:r>
      <w:r>
        <w:rPr>
          <w:lang w:val="en_US" w:bidi="en_US"/>
        </w:rPr>
        <w:t xml:space="preserve"> The clause </w:t>
      </w:r>
      <w:r>
        <w:rPr>
          <w:i/>
          <w:lang w:val="en_US" w:bidi="en_US"/>
        </w:rPr>
        <w:t>He went in</w:t>
      </w:r>
      <w:r>
        <w:rPr>
          <w:lang w:val="en_US" w:bidi="en_US"/>
        </w:rPr>
        <w:t xml:space="preserve"> means “Jesus went into the Pharisee’s house.”</w:t>
      </w:r>
    </w:p>
    <w:p>
      <w:pPr/>
      <w:r>
        <w:rPr>
          <w:lang w:val="en_US" w:bidi="en_US"/>
        </w:rPr>
      </w:r>
      <w:r>
        <w:rPr>
          <w:b/>
          <w:lang w:val="en_US" w:bidi="en_US"/>
        </w:rPr>
        <w:t>and reclined at the table:</w:t>
      </w:r>
      <w:r>
        <w:rPr>
          <w:lang w:val="en_US" w:bidi="en_US"/>
        </w:rPr>
        <w:t xml:space="preserve"> The Greek verb that the BSB translates as </w:t>
      </w:r>
      <w:r>
        <w:rPr>
          <w:i/>
          <w:lang w:val="en_US" w:bidi="en_US"/>
        </w:rPr>
        <w:t>reclined at the table</w:t>
      </w:r>
      <w:r>
        <w:rPr>
          <w:lang w:val="en_US" w:bidi="en_US"/>
        </w:rPr>
        <w:t xml:space="preserve"> is literally “reclined.” The BSB has added the phrase </w:t>
      </w:r>
      <w:r>
        <w:rPr>
          <w:i/>
          <w:lang w:val="en_US" w:bidi="en_US"/>
        </w:rPr>
        <w:t>at the table</w:t>
      </w:r>
      <w:r>
        <w:rPr>
          <w:lang w:val="en_US" w:bidi="en_US"/>
        </w:rPr>
        <w:t xml:space="preserve"> to make the meaning of the verb clearer.</w:t>
      </w:r>
    </w:p>
    <w:p>
      <w:pPr/>
      <w:r>
        <w:rPr>
          <w:lang w:val="en_US" w:bidi="en_US"/>
        </w:rPr>
      </w:r>
      <w:r>
        <w:rPr>
          <w:lang w:val="en_US" w:bidi="en_US"/>
        </w:rPr>
        <w:t>It was the custom in Jesus’ time for people to eat a formal meal while lying on couches around a low table. They leaned on one elbow while they ate.</w:t>
      </w:r>
    </w:p>
    <w:p>
      <w:pPr/>
      <w:r>
        <w:rPr>
          <w:lang w:val="en_US" w:bidi="en_US"/>
        </w:rPr>
      </w:r>
      <w:r>
        <w:rPr>
          <w:lang w:val="en_US" w:bidi="en_US"/>
        </w:rPr>
        <w:t>If reclining on couches would seem strange in your culture, you may:</w:t>
      </w:r>
    </w:p>
    <w:p>
      <w:pPr>
        <w:pStyle w:val="ListBullet"/>
        <w:spacing w:line="240" w:lineRule="auto"/>
        <w:ind w:left="720"/>
      </w:pPr>
      <w:r>
        <w:rPr>
          <w:lang w:val="en_US" w:bidi="en_US"/>
        </w:rPr>
      </w:r>
      <w:r>
        <w:rPr>
          <w:lang w:val="en_US" w:bidi="en_US"/>
        </w:rPr>
        <w:t>Use the normal position for eating in your culture. For example:</w:t>
      </w:r>
      <w:r>
        <w:rPr>
          <w:lang w:val="en_US" w:bidi="en_US"/>
        </w:rPr>
        <w:t>sat down to eat (GNT)</w:t>
      </w:r>
    </w:p>
    <w:p>
      <w:pPr>
        <w:pStyle w:val="ListBullet"/>
        <w:spacing w:line="240" w:lineRule="auto"/>
        <w:ind w:left="720"/>
      </w:pPr>
      <w:r>
        <w:rPr>
          <w:lang w:val="en_US" w:bidi="en_US"/>
        </w:rPr>
      </w:r>
      <w:r>
        <w:rPr>
          <w:lang w:val="en_US" w:bidi="en_US"/>
        </w:rPr>
        <w:t>Use a general expression that does not specify a particular position. For example:</w:t>
      </w:r>
      <w:r>
        <w:rPr>
          <w:lang w:val="en_US" w:bidi="en_US"/>
        </w:rPr>
        <w:t>took his place at the table (NLT)</w:t>
      </w:r>
      <w:r>
        <w:rPr>
          <w:lang w:val="en_US" w:bidi="en_US"/>
        </w:rPr>
      </w:r>
      <w:r>
        <w:rPr>
          <w:lang w:val="en_US" w:bidi="en_US"/>
        </w:rPr>
      </w:r>
    </w:p>
    <w:p>
      <w:pPr/>
      <w:r>
        <w:rPr>
          <w:lang w:val="en_US" w:bidi="en_US"/>
        </w:rPr>
      </w:r>
    </w:p>
    <w:p>
      <w:pPr>
        <w:pStyle w:val="Heading2"/>
      </w:pPr>
      <w:r>
        <w:rPr>
          <w:lang w:val="en_US" w:bidi="en_US"/>
        </w:rPr>
        <w:t>Luke 11:38</w:t>
      </w:r>
      <w:r>
        <w:rPr>
          <w:lang w:val="en_US" w:bidi="en_US"/>
        </w:rPr>
      </w:r>
    </w:p>
    <w:p>
      <w:pPr>
        <w:pStyle w:val="Heading4"/>
      </w:pPr>
      <w:r>
        <w:rPr>
          <w:lang w:val="en_US" w:bidi="en_US"/>
        </w:rPr>
        <w:t>Section 11:37–54: Jesus criticized the Pharisees and the teachers of the law</w:t>
      </w:r>
    </w:p>
    <w:p>
      <w:pPr/>
      <w:r>
        <w:rPr>
          <w:lang w:val="en_US" w:bidi="en_US"/>
        </w:rPr>
      </w:r>
      <w:r>
        <w:rPr>
          <w:lang w:val="en_US" w:bidi="en_US"/>
        </w:rP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pPr/>
      <w:r>
        <w:rPr>
          <w:lang w:val="en_US" w:bidi="en_US"/>
        </w:rPr>
      </w:r>
      <w:r>
        <w:rPr>
          <w:lang w:val="en_US" w:bidi="en_US"/>
        </w:rPr>
        <w:t>Some other headings for this section are:</w:t>
      </w:r>
    </w:p>
    <w:p>
      <w:pPr/>
      <w:r>
        <w:rPr>
          <w:lang w:val="en_US" w:bidi="en_US"/>
        </w:rPr>
      </w:r>
      <w:r>
        <w:rPr>
          <w:lang w:val="en_US" w:bidi="en_US"/>
        </w:rPr>
        <w:t>Jesus’ Criticism of the Religious Leaders</w:t>
      </w:r>
    </w:p>
    <w:p>
      <w:pPr/>
      <w:r>
        <w:rPr>
          <w:lang w:val="en_US" w:bidi="en_US"/>
        </w:rPr>
      </w:r>
      <w:r>
        <w:rPr>
          <w:lang w:val="en_US" w:bidi="en_US"/>
        </w:rPr>
        <w:t>There are parallel passages for this section in Matthew 23:1–36 and Mark 12:38–40.</w:t>
      </w:r>
    </w:p>
    <w:p>
      <w:pPr>
        <w:pStyle w:val="Heading5"/>
      </w:pPr>
      <w:r>
        <w:rPr>
          <w:lang w:val="en_US" w:bidi="en_US"/>
        </w:rPr>
        <w:t>11:38</w:t>
      </w:r>
    </w:p>
    <w:p>
      <w:pPr/>
      <w:r>
        <w:rPr>
          <w:lang w:val="en_US" w:bidi="en_US"/>
        </w:rPr>
      </w:r>
      <w:r>
        <w:rPr>
          <w:b/>
          <w:lang w:val="en_US" w:bidi="en_US"/>
        </w:rPr>
        <w:t>But the Pharisee was surprised to see that Jesus did not first wash before the meal.</w:t>
      </w:r>
    </w:p>
    <w:p>
      <w:pPr>
        <w:pStyle w:val="ListBullet"/>
        <w:spacing w:line="240" w:lineRule="auto"/>
        <w:ind w:left="720"/>
      </w:pPr>
      <w:r>
        <w:rPr>
          <w:lang w:val="en_US" w:bidi="en_US"/>
        </w:rPr>
      </w:r>
      <w:r>
        <w:rPr>
          <w:lang w:val="en_US" w:bidi="en_US"/>
        </w:rPr>
        <w:t xml:space="preserve">The Pharisee saw that Jesus did not </w:t>
      </w:r>
      <w:r>
        <w:rPr>
          <w:lang w:val="en_US" w:bidi="en_US"/>
        </w:rPr>
        <w:t>ceremonially/ritually</w:t>
      </w:r>
      <w:r>
        <w:rPr>
          <w:lang w:val="en_US" w:bidi="en_US"/>
        </w:rPr>
        <w:t xml:space="preserve"> wash </w:t>
      </w:r>
      <w:r>
        <w:rPr>
          <w:lang w:val="en_US" w:bidi="en_US"/>
        </w:rPr>
        <w:t>his hands</w:t>
      </w:r>
      <w:r>
        <w:rPr>
          <w:lang w:val="en_US" w:bidi="en_US"/>
        </w:rPr>
        <w:t xml:space="preserve"> before eating, and/so he was surprised.</w:t>
      </w:r>
    </w:p>
    <w:p>
      <w:pPr>
        <w:pStyle w:val="ListBullet"/>
        <w:spacing w:line="240" w:lineRule="auto"/>
        <w:ind w:left="720"/>
      </w:pPr>
      <w:r>
        <w:rPr>
          <w:lang w:val="en_US" w:bidi="en_US"/>
        </w:rPr>
      </w:r>
      <w:r>
        <w:rPr>
          <w:lang w:val="en_US" w:bidi="en_US"/>
        </w:rPr>
        <w:t xml:space="preserve">The Pharisee was surprised that Jesus did not do/perform the </w:t>
      </w:r>
      <w:r>
        <w:rPr>
          <w:lang w:val="en_US" w:bidi="en_US"/>
        </w:rPr>
        <w:t>ritual</w:t>
      </w:r>
      <w:r>
        <w:rPr>
          <w:lang w:val="en_US" w:bidi="en_US"/>
        </w:rPr>
        <w:t xml:space="preserve"> cleaning/washing </w:t>
      </w:r>
      <w:r>
        <w:rPr>
          <w:lang w:val="en_US" w:bidi="en_US"/>
        </w:rPr>
        <w:t>that was customary</w:t>
      </w:r>
      <w:r>
        <w:rPr>
          <w:lang w:val="en_US" w:bidi="en_US"/>
        </w:rPr>
        <w:t xml:space="preserve"> before the meal.</w:t>
      </w:r>
    </w:p>
    <w:p>
      <w:pPr>
        <w:pStyle w:val="ListBullet"/>
        <w:spacing w:line="240" w:lineRule="auto"/>
        <w:ind w:left="720"/>
      </w:pPr>
      <w:r>
        <w:rPr>
          <w:lang w:val="en_US" w:bidi="en_US"/>
        </w:rPr>
      </w:r>
      <w:r>
        <w:rPr>
          <w:lang w:val="en_US" w:bidi="en_US"/>
        </w:rPr>
        <w:t>the meal without washing his hands. When the Pharisee saw this, he was surprised.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an unexpected development in the story. Many English versions do not translate this conjunction here. Use a natural way in your language to connect this verse with 11:37.</w:t>
      </w:r>
    </w:p>
    <w:p>
      <w:pPr/>
      <w:r>
        <w:rPr>
          <w:lang w:val="en_US" w:bidi="en_US"/>
        </w:rPr>
      </w:r>
      <w:r>
        <w:rPr>
          <w:b/>
          <w:lang w:val="en_US" w:bidi="en_US"/>
        </w:rPr>
        <w:t>the Pharisee was surprised to see that Jesus did not first wash before the meal:</w:t>
      </w:r>
      <w:r>
        <w:rPr>
          <w:lang w:val="en_US" w:bidi="en_US"/>
        </w:rPr>
        <w:t xml:space="preserve"> In some languages it may be more natural to change the order of parts of this sentence. For example:</w:t>
      </w:r>
    </w:p>
    <w:p>
      <w:pPr/>
      <w:r>
        <w:rPr>
          <w:lang w:val="en_US" w:bidi="en_US"/>
        </w:rPr>
      </w:r>
      <w:r>
        <w:rPr>
          <w:lang w:val="en_US" w:bidi="en_US"/>
        </w:rPr>
        <w:t>The Pharisee saw that Jesus did not wash before the meal, and he was surprised.</w:t>
      </w:r>
    </w:p>
    <w:p>
      <w:pPr/>
      <w:r>
        <w:rPr>
          <w:lang w:val="en_US" w:bidi="en_US"/>
        </w:rPr>
      </w:r>
      <w:r>
        <w:rPr>
          <w:lang w:val="en_US" w:bidi="en_US"/>
        </w:rPr>
        <w:t>The Pharisee was surprised when he noticed that Jesus had not washed before eating. (GNT)</w:t>
      </w:r>
    </w:p>
    <w:p>
      <w:pPr/>
      <w:r>
        <w:rPr>
          <w:lang w:val="en_US" w:bidi="en_US"/>
        </w:rPr>
      </w:r>
      <w:r>
        <w:rPr>
          <w:lang w:val="en_US" w:bidi="en_US"/>
        </w:rPr>
        <w:t>In some languages it may not be necessary to say explicitly that the Pharisee “noticed” or “saw” what Jesus had not done. For example:</w:t>
      </w:r>
    </w:p>
    <w:p>
      <w:pPr/>
      <w:r>
        <w:rPr>
          <w:lang w:val="en_US" w:bidi="en_US"/>
        </w:rPr>
      </w:r>
      <w:r>
        <w:rPr>
          <w:lang w:val="en_US" w:bidi="en_US"/>
        </w:rPr>
        <w:t>The Pharisee was surprised that he did not wash his hands before eating. (CEV)</w:t>
      </w:r>
    </w:p>
    <w:p>
      <w:pPr/>
      <w:r>
        <w:rPr>
          <w:lang w:val="en_US" w:bidi="en_US"/>
        </w:rPr>
      </w:r>
      <w:r>
        <w:rPr>
          <w:b/>
          <w:lang w:val="en_US" w:bidi="en_US"/>
        </w:rPr>
        <w:t>surprised:</w:t>
      </w:r>
      <w:r>
        <w:rPr>
          <w:lang w:val="en_US" w:bidi="en_US"/>
        </w:rPr>
        <w:t xml:space="preserve"> The Pharisee was surprised because he saw something that he did not expect. He had expected that Jesus would follow the rules about ceremonial purity.</w:t>
      </w:r>
    </w:p>
    <w:p>
      <w:pPr/>
      <w:r>
        <w:rPr>
          <w:lang w:val="en_US" w:bidi="en_US"/>
        </w:rPr>
      </w:r>
      <w:r>
        <w:rPr>
          <w:b/>
          <w:lang w:val="en_US" w:bidi="en_US"/>
        </w:rPr>
        <w:t>Jesus did not first wash before the meal:</w:t>
      </w:r>
      <w:r>
        <w:rPr>
          <w:lang w:val="en_US" w:bidi="en_US"/>
        </w:rPr>
        <w:t xml:space="preserve"> The Pharisees’ custom was to wash their hands and arms before they ate. Before eating they would dip their hands and arms in water or ask a servant to pour water over their hands and arms. They followed this ritual, whether or not their hands were dirty, in order to make themselves ceremonially pure. Jesus did not wash his hands in this way before he sat down to eat.</w:t>
      </w:r>
    </w:p>
    <w:p>
      <w:pPr/>
      <w:r>
        <w:rPr>
          <w:lang w:val="en_US" w:bidi="en_US"/>
        </w:rPr>
      </w:r>
      <w:r>
        <w:rPr>
          <w:lang w:val="en_US" w:bidi="en_US"/>
        </w:rPr>
        <w:t>In some languages it may be necessary to make some of this information explicit in either the text or in a footnote. Otherwise, people may misunderstand the cause of the Pharisee’s surprise. For example:</w:t>
      </w:r>
    </w:p>
    <w:p>
      <w:pPr/>
      <w:r>
        <w:rPr>
          <w:lang w:val="en_US" w:bidi="en_US"/>
        </w:rPr>
      </w:r>
      <w:r>
        <w:rPr>
          <w:lang w:val="en_US" w:bidi="en_US"/>
        </w:rPr>
        <w:t>he sat down to eat without first performing the hand-washing ceremony required by Jewish custom (NLT)</w:t>
      </w:r>
      <w:r>
        <w:rPr>
          <w:lang w:val="en_US" w:bidi="en_US"/>
        </w:rPr>
      </w:r>
      <w:r>
        <w:rPr>
          <w:lang w:val="en_US" w:bidi="en_US"/>
        </w:rPr>
      </w:r>
    </w:p>
    <w:p>
      <w:pPr/>
      <w:r>
        <w:rPr>
          <w:lang w:val="en_US" w:bidi="en_US"/>
        </w:rPr>
      </w:r>
    </w:p>
    <w:p>
      <w:pPr>
        <w:pStyle w:val="Heading2"/>
      </w:pPr>
      <w:r>
        <w:rPr>
          <w:lang w:val="en_US" w:bidi="en_US"/>
        </w:rPr>
        <w:t>Luke 11:39</w:t>
      </w:r>
      <w:r>
        <w:rPr>
          <w:lang w:val="en_US" w:bidi="en_US"/>
        </w:rPr>
      </w:r>
    </w:p>
    <w:p>
      <w:pPr>
        <w:pStyle w:val="Heading4"/>
      </w:pPr>
      <w:r>
        <w:rPr>
          <w:lang w:val="en_US" w:bidi="en_US"/>
        </w:rPr>
        <w:t>Section 11:37–54: Jesus criticized the Pharisees and the teachers of the law</w:t>
      </w:r>
    </w:p>
    <w:p>
      <w:pPr/>
      <w:r>
        <w:rPr>
          <w:lang w:val="en_US" w:bidi="en_US"/>
        </w:rPr>
      </w:r>
      <w:r>
        <w:rPr>
          <w:lang w:val="en_US" w:bidi="en_US"/>
        </w:rP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pPr/>
      <w:r>
        <w:rPr>
          <w:lang w:val="en_US" w:bidi="en_US"/>
        </w:rPr>
      </w:r>
      <w:r>
        <w:rPr>
          <w:lang w:val="en_US" w:bidi="en_US"/>
        </w:rPr>
        <w:t>Some other headings for this section are:</w:t>
      </w:r>
    </w:p>
    <w:p>
      <w:pPr/>
      <w:r>
        <w:rPr>
          <w:lang w:val="en_US" w:bidi="en_US"/>
        </w:rPr>
      </w:r>
      <w:r>
        <w:rPr>
          <w:lang w:val="en_US" w:bidi="en_US"/>
        </w:rPr>
        <w:t>Jesus’ Criticism of the Religious Leaders</w:t>
      </w:r>
    </w:p>
    <w:p>
      <w:pPr/>
      <w:r>
        <w:rPr>
          <w:lang w:val="en_US" w:bidi="en_US"/>
        </w:rPr>
      </w:r>
      <w:r>
        <w:rPr>
          <w:lang w:val="en_US" w:bidi="en_US"/>
        </w:rPr>
        <w:t>There are parallel passages for this section in Matthew 23:1–36 and Mark 12:38–40.</w:t>
      </w:r>
    </w:p>
    <w:p>
      <w:pPr>
        <w:pStyle w:val="Heading5"/>
      </w:pPr>
      <w:r>
        <w:rPr>
          <w:lang w:val="en_US" w:bidi="en_US"/>
        </w:rPr>
        <w:t>11:39a</w:t>
      </w:r>
    </w:p>
    <w:p>
      <w:pPr/>
      <w:r>
        <w:rPr>
          <w:lang w:val="en_US" w:bidi="en_US"/>
        </w:rPr>
      </w:r>
      <w:r>
        <w:rPr>
          <w:b/>
          <w:lang w:val="en_US" w:bidi="en_US"/>
        </w:rPr>
        <w:t>“Now then,” said the Lord,</w:t>
      </w:r>
    </w:p>
    <w:p>
      <w:pPr>
        <w:pStyle w:val="ListBullet"/>
        <w:spacing w:line="240" w:lineRule="auto"/>
        <w:ind w:left="720"/>
      </w:pPr>
      <w:r>
        <w:rPr>
          <w:lang w:val="en_US" w:bidi="en_US"/>
        </w:rPr>
      </w:r>
      <w:r>
        <w:rPr>
          <w:lang w:val="en_US" w:bidi="en_US"/>
        </w:rPr>
        <w:t xml:space="preserve">Then/So the Lord </w:t>
      </w:r>
      <w:r>
        <w:rPr>
          <w:lang w:val="en_US" w:bidi="en_US"/>
        </w:rPr>
        <w:t>Jesus</w:t>
      </w:r>
      <w:r>
        <w:rPr>
          <w:lang w:val="en_US" w:bidi="en_US"/>
        </w:rPr>
        <w:t xml:space="preserve"> said to him,</w:t>
      </w:r>
    </w:p>
    <w:p>
      <w:pPr>
        <w:pStyle w:val="ListBullet"/>
        <w:spacing w:line="240" w:lineRule="auto"/>
        <w:ind w:left="720"/>
      </w:pPr>
      <w:r>
        <w:rPr>
          <w:lang w:val="en_US" w:bidi="en_US"/>
        </w:rPr>
      </w:r>
      <w:r>
        <w:rPr>
          <w:lang w:val="en_US" w:bidi="en_US"/>
        </w:rPr>
        <w:t xml:space="preserve">So the Lord </w:t>
      </w:r>
      <w:r>
        <w:rPr>
          <w:lang w:val="en_US" w:bidi="en_US"/>
        </w:rPr>
        <w:t>Jesus</w:t>
      </w:r>
      <w:r>
        <w:rPr>
          <w:lang w:val="en_US" w:bidi="en_US"/>
        </w:rPr>
        <w:t xml:space="preserve"> said to him </w:t>
      </w:r>
      <w:r>
        <w:rPr>
          <w:lang w:val="en_US" w:bidi="en_US"/>
        </w:rPr>
        <w:t>using an illustration</w:t>
      </w:r>
      <w:r>
        <w:rPr>
          <w:lang w:val="en_US" w:bidi="en_US"/>
        </w:rPr>
        <w:t>,</w:t>
      </w:r>
    </w:p>
    <w:p>
      <w:pPr/>
      <w:r>
        <w:rPr>
          <w:lang w:val="en_US" w:bidi="en_US"/>
        </w:rPr>
      </w:r>
      <w:r>
        <w:rPr>
          <w:lang w:val="en_US" w:bidi="en_US"/>
        </w:rPr>
        <w:t>This verse begins with a Greek conjunction. Several English versions (NIV, NLT, NRSV) translate it as “Then” because it introduces the next thing that happened in the story. Because Jesus’ words in 11:39b were a response to the Pharisee’s surprise, other versions translate it as “So.” For example:</w:t>
      </w:r>
    </w:p>
    <w:p>
      <w:pPr/>
      <w:r>
        <w:rPr>
          <w:lang w:val="en_US" w:bidi="en_US"/>
        </w:rPr>
      </w:r>
      <w:r>
        <w:rPr>
          <w:lang w:val="en_US" w:bidi="en_US"/>
        </w:rPr>
        <w:t>So the Lord said to him (GNT)</w:t>
      </w:r>
    </w:p>
    <w:p>
      <w:pPr/>
      <w:r>
        <w:rPr>
          <w:lang w:val="en_US" w:bidi="en_US"/>
        </w:rPr>
      </w:r>
      <w:r>
        <w:rPr>
          <w:lang w:val="en_US" w:bidi="en_US"/>
        </w:rPr>
        <w:t>The BSB does not translate this conjunction. Introduce Jesus’ response in a way that is natural in your language.</w:t>
      </w:r>
    </w:p>
    <w:p>
      <w:pPr/>
      <w:r>
        <w:rPr>
          <w:lang w:val="en_US" w:bidi="en_US"/>
        </w:rPr>
      </w:r>
      <w:r>
        <w:rPr>
          <w:lang w:val="en_US" w:bidi="en_US"/>
        </w:rPr>
        <w:t>The Lord Jesus responded by giving a metaphor. In some languages it may be clearer to give the readers a clue that the Lord would be speaking figuratively. For example:</w:t>
      </w:r>
    </w:p>
    <w:p>
      <w:pPr/>
      <w:r>
        <w:rPr>
          <w:lang w:val="en_US" w:bidi="en_US"/>
        </w:rPr>
      </w:r>
      <w:r>
        <w:rPr>
          <w:lang w:val="en_US" w:bidi="en_US"/>
        </w:rPr>
        <w:t>Then/So the Lord said to him, using an illustration</w:t>
      </w:r>
    </w:p>
    <w:p>
      <w:pPr/>
      <w:r>
        <w:rPr>
          <w:lang w:val="en_US" w:bidi="en_US"/>
        </w:rPr>
      </w:r>
      <w:r>
        <w:rPr>
          <w:b/>
          <w:lang w:val="en_US" w:bidi="en_US"/>
        </w:rPr>
        <w:t>Now then:</w:t>
      </w:r>
      <w:r>
        <w:rPr>
          <w:lang w:val="en_US" w:bidi="en_US"/>
        </w:rPr>
        <w:t xml:space="preserve"> The Greek word that the BSB translates as </w:t>
      </w:r>
      <w:r>
        <w:rPr>
          <w:i/>
          <w:lang w:val="en_US" w:bidi="en_US"/>
        </w:rPr>
        <w:t>Now then</w:t>
      </w:r>
      <w:r>
        <w:rPr>
          <w:lang w:val="en_US" w:bidi="en_US"/>
        </w:rPr>
        <w:t xml:space="preserve"> is literally “Now.” It introduces what Jesus was about to say with a slight emphasis. In this context it is not a time word. Some English versions do not translate it here.</w:t>
      </w:r>
    </w:p>
    <w:p>
      <w:pPr/>
      <w:r>
        <w:rPr>
          <w:lang w:val="en_US" w:bidi="en_US"/>
        </w:rPr>
      </w:r>
      <w:r>
        <w:rPr>
          <w:lang w:val="en_US" w:bidi="en_US"/>
        </w:rPr>
        <w:t>Some languages may have a particle or expression that is appropriate for introducing a rebuke. If so, you may be able to use it here. For example:</w:t>
      </w:r>
    </w:p>
    <w:p>
      <w:pPr/>
      <w:r>
        <w:rPr>
          <w:lang w:val="en_US" w:bidi="en_US"/>
        </w:rPr>
      </w:r>
      <w:r>
        <w:rPr>
          <w:lang w:val="en_US" w:bidi="en_US"/>
        </w:rPr>
        <w:t>Oh you Pharisees! (NAB)</w:t>
      </w:r>
    </w:p>
    <w:p>
      <w:pPr/>
      <w:r>
        <w:rPr>
          <w:lang w:val="en_US" w:bidi="en_US"/>
        </w:rPr>
      </w:r>
      <w:r>
        <w:rPr>
          <w:b/>
          <w:lang w:val="en_US" w:bidi="en_US"/>
        </w:rPr>
        <w:t>the Lord:</w:t>
      </w:r>
      <w:r>
        <w:rPr>
          <w:lang w:val="en_US" w:bidi="en_US"/>
        </w:rPr>
        <w:t xml:space="preserve"> If you need to supply a name here along with the title, you may say:</w:t>
      </w:r>
    </w:p>
    <w:p>
      <w:pPr/>
      <w:r>
        <w:rPr>
          <w:lang w:val="en_US" w:bidi="en_US"/>
        </w:rPr>
      </w:r>
      <w:r>
        <w:rPr>
          <w:lang w:val="en_US" w:bidi="en_US"/>
        </w:rPr>
        <w:t xml:space="preserve">the Lord </w:t>
      </w:r>
      <w:r>
        <w:rPr>
          <w:lang w:val="en_US" w:bidi="en_US"/>
        </w:rPr>
        <w:t>Jesus</w:t>
      </w:r>
    </w:p>
    <w:p>
      <w:pPr>
        <w:pStyle w:val="Heading5"/>
      </w:pPr>
      <w:r>
        <w:rPr>
          <w:lang w:val="en_US" w:bidi="en_US"/>
        </w:rPr>
        <w:t>11:39b–c</w:t>
      </w:r>
    </w:p>
    <w:p>
      <w:pPr/>
      <w:r>
        <w:rPr>
          <w:lang w:val="en_US" w:bidi="en_US"/>
        </w:rPr>
      </w:r>
      <w:r>
        <w:rPr>
          <w:b/>
          <w:lang w:val="en_US" w:bidi="en_US"/>
        </w:rPr>
        <w:t>you Pharisees clean the outside of the cup and dish, but inside you are full of greed and wickedness:</w:t>
      </w:r>
      <w:r>
        <w:rPr>
          <w:lang w:val="en_US" w:bidi="en_US"/>
        </w:rPr>
        <w:t xml:space="preserve"> This is a metaphor. In this metaphor Jesus rebuked the Pharisees because they carefully followed external cleansing rituals such as hand-washing, but they ignored their inner wickedness. He implied that this was as foolish as cleaning the outside of cups and dishes but ignoring the dirt inside. Jesus did not mean that the Pharisees literally cleaned only the outside of their cups and dishes.</w:t>
      </w:r>
    </w:p>
    <w:p>
      <w:pPr/>
      <w:r>
        <w:rPr>
          <w:lang w:val="en_US" w:bidi="en_US"/>
        </w:rPr>
      </w:r>
      <w:r>
        <w:rPr>
          <w:lang w:val="en_US" w:bidi="en_US"/>
        </w:rPr>
        <w:t>This is a complex metaphor, and parts of both the topic and the image are implied. The chart below gives the full metaphor: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topic</w:t>
            </w:r>
          </w:p>
        </w:tc>
        <w:tc>
          <w:tcPr>
            <w:tcW w:type="dxa" w:w="4680"/>
          </w:tcPr>
          <w:p>
            <w:pPr/>
            <w:r>
              <w:rPr>
                <w:lang w:val="en_US" w:bidi="en_US"/>
              </w:rPr>
            </w:r>
            <w:r>
              <w:rPr>
                <w:lang w:val="en_US" w:bidi="en_US"/>
              </w:rPr>
              <w:t>you are concerned about external, ritual cleansing like washing your hands,</w:t>
            </w:r>
            <w:r>
              <w:rPr>
                <w:lang w:val="en_US" w:bidi="en_US"/>
              </w:rPr>
              <w:t xml:space="preserve"> but inside you are full of greed and wickedness.</w:t>
            </w:r>
          </w:p>
        </w:tc>
      </w:tr>
      <w:tr>
        <w:tc>
          <w:tcPr>
            <w:tcW w:type="dxa" w:w="4680"/>
          </w:tcPr>
          <w:p>
            <w:pPr/>
            <w:r>
              <w:rPr>
                <w:lang w:val="en_US" w:bidi="en_US"/>
              </w:rPr>
            </w:r>
            <w:r>
              <w:rPr>
                <w:lang w:val="en_US" w:bidi="en_US"/>
              </w:rPr>
              <w:t>image</w:t>
            </w:r>
          </w:p>
        </w:tc>
        <w:tc>
          <w:tcPr>
            <w:tcW w:type="dxa" w:w="4680"/>
          </w:tcPr>
          <w:p>
            <w:pPr/>
            <w:r>
              <w:rPr>
                <w:lang w:val="en_US" w:bidi="en_US"/>
              </w:rPr>
            </w:r>
            <w:r>
              <w:rPr>
                <w:lang w:val="en_US" w:bidi="en_US"/>
              </w:rPr>
              <w:t xml:space="preserve">this is like cleaning the outside of cups and dishes </w:t>
            </w:r>
            <w:r>
              <w:rPr>
                <w:lang w:val="en_US" w:bidi="en_US"/>
              </w:rPr>
              <w:t>but leaving the insides of the cups and dishes filthy</w:t>
            </w:r>
          </w:p>
        </w:tc>
      </w:tr>
      <w:tr>
        <w:tc>
          <w:tcPr>
            <w:tcW w:type="dxa" w:w="4680"/>
          </w:tcPr>
          <w:p>
            <w:pPr/>
            <w:r>
              <w:rPr>
                <w:lang w:val="en_US" w:bidi="en_US"/>
              </w:rPr>
            </w:r>
            <w:r>
              <w:rPr>
                <w:lang w:val="en_US" w:bidi="en_US"/>
              </w:rPr>
              <w:t>point of similarity</w:t>
            </w:r>
          </w:p>
        </w:tc>
        <w:tc>
          <w:tcPr>
            <w:tcW w:type="dxa" w:w="4680"/>
          </w:tcPr>
          <w:p>
            <w:pPr/>
            <w:r>
              <w:rPr>
                <w:lang w:val="en_US" w:bidi="en_US"/>
              </w:rPr>
            </w:r>
            <w:r>
              <w:rPr>
                <w:lang w:val="en_US" w:bidi="en_US"/>
              </w:rPr>
              <w:t>foolishness</w:t>
            </w:r>
          </w:p>
        </w:tc>
      </w:tr>
    </w:tbl>
    <w:p>
      <w:pPr/>
      <w:r>
        <w:rPr>
          <w:lang w:val="en_US" w:bidi="en_US"/>
        </w:rPr>
      </w:r>
      <w:r>
        <w:rPr>
          <w:lang w:val="en_US" w:bidi="en_US"/>
        </w:rPr>
        <w:t>In some languages it may be necessary to change this metaphor to a simile and make some of the implied parts of the comparison explicit. For example:</w:t>
      </w:r>
    </w:p>
    <w:p>
      <w:pPr/>
      <w:r>
        <w:rPr>
          <w:lang w:val="en_US" w:bidi="en_US"/>
        </w:rPr>
      </w:r>
      <w:r>
        <w:rPr>
          <w:vertAlign w:val="superscript"/>
          <w:lang w:val="en_US" w:bidi="en_US"/>
        </w:rPr>
        <w:t>39b</w:t>
      </w:r>
      <w:r>
        <w:rPr>
          <w:lang w:val="en_US" w:bidi="en_US"/>
        </w:rPr>
        <w:t xml:space="preserve">You Pharisees, </w:t>
      </w:r>
      <w:r>
        <w:rPr>
          <w:lang w:val="en_US" w:bidi="en_US"/>
        </w:rPr>
        <w:t>it is as if</w:t>
      </w:r>
      <w:r>
        <w:rPr>
          <w:lang w:val="en_US" w:bidi="en_US"/>
        </w:rPr>
        <w:t xml:space="preserve"> you clean </w:t>
      </w:r>
      <w:r>
        <w:rPr>
          <w:lang w:val="en_US" w:bidi="en_US"/>
        </w:rPr>
        <w:t>only</w:t>
      </w:r>
      <w:r>
        <w:rPr>
          <w:lang w:val="en_US" w:bidi="en_US"/>
        </w:rPr>
        <w:t xml:space="preserve"> the outside of your cups and dishes, </w:t>
      </w:r>
      <w:r>
        <w:rPr>
          <w:vertAlign w:val="superscript"/>
          <w:lang w:val="en_US" w:bidi="en_US"/>
        </w:rPr>
        <w:t>39c</w:t>
      </w:r>
      <w:r>
        <w:rPr>
          <w:lang w:val="en_US" w:bidi="en_US"/>
        </w:rPr>
        <w:t>because you carefully wash your hands,</w:t>
      </w:r>
      <w:r>
        <w:rPr>
          <w:lang w:val="en_US" w:bidi="en_US"/>
        </w:rPr>
        <w:t xml:space="preserve"> but you ignore the greed and wickedness that are in your minds/hearts.</w:t>
      </w:r>
    </w:p>
    <w:p>
      <w:pPr/>
      <w:r>
        <w:rPr>
          <w:lang w:val="en_US" w:bidi="en_US"/>
        </w:rPr>
      </w:r>
      <w:r>
        <w:rPr>
          <w:vertAlign w:val="superscript"/>
          <w:lang w:val="en_US" w:bidi="en_US"/>
        </w:rPr>
        <w:t>39b</w:t>
      </w:r>
      <w:r>
        <w:rPr>
          <w:lang w:val="en_US" w:bidi="en_US"/>
        </w:rPr>
        <w:t xml:space="preserve">You Pharisees </w:t>
      </w:r>
      <w:r>
        <w:rPr>
          <w:lang w:val="en_US" w:bidi="en_US"/>
        </w:rPr>
        <w:t>are like people who</w:t>
      </w:r>
      <w:r>
        <w:rPr>
          <w:lang w:val="en_US" w:bidi="en_US"/>
        </w:rPr>
        <w:t xml:space="preserve"> wash </w:t>
      </w:r>
      <w:r>
        <w:rPr>
          <w:lang w:val="en_US" w:bidi="en_US"/>
        </w:rPr>
        <w:t>only</w:t>
      </w:r>
      <w:r>
        <w:rPr>
          <w:lang w:val="en_US" w:bidi="en_US"/>
        </w:rPr>
        <w:t xml:space="preserve"> the outside of a cup and bowl, </w:t>
      </w:r>
      <w:r>
        <w:rPr>
          <w:lang w:val="en_US" w:bidi="en_US"/>
        </w:rPr>
        <w:t>but as for the dirt on the inside, they just leave it alone.</w:t>
      </w:r>
      <w:r>
        <w:rPr>
          <w:lang w:val="en_US" w:bidi="en_US"/>
        </w:rPr>
        <w:t xml:space="preserve"> </w:t>
      </w:r>
      <w:r>
        <w:rPr>
          <w:vertAlign w:val="superscript"/>
          <w:lang w:val="en_US" w:bidi="en_US"/>
        </w:rPr>
        <w:t>39c</w:t>
      </w:r>
      <w:r>
        <w:rPr>
          <w:lang w:val="en_US" w:bidi="en_US"/>
        </w:rPr>
        <w:t>For you wash your hands,</w:t>
      </w:r>
      <w:r>
        <w:rPr>
          <w:lang w:val="en_US" w:bidi="en_US"/>
        </w:rPr>
        <w:t xml:space="preserve"> but your inner being is really full of greed and evil.</w:t>
      </w:r>
    </w:p>
    <w:p>
      <w:pPr>
        <w:pStyle w:val="Heading5"/>
      </w:pPr>
      <w:r>
        <w:rPr>
          <w:lang w:val="en_US" w:bidi="en_US"/>
        </w:rPr>
        <w:t>11:39b</w:t>
      </w:r>
    </w:p>
    <w:p>
      <w:pPr/>
      <w:r>
        <w:rPr>
          <w:lang w:val="en_US" w:bidi="en_US"/>
        </w:rPr>
      </w:r>
      <w:r>
        <w:rPr>
          <w:b/>
          <w:lang w:val="en_US" w:bidi="en_US"/>
        </w:rPr>
        <w:t>“you Pharisees clean the outside of the cup and dish,</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Pharisees! </w:t>
      </w:r>
      <w:r>
        <w:rPr>
          <w:lang w:val="en_US" w:bidi="en_US"/>
        </w:rPr>
        <w:t>It is as if</w:t>
      </w:r>
      <w:r>
        <w:rPr>
          <w:lang w:val="en_US" w:bidi="en_US"/>
        </w:rPr>
        <w:t xml:space="preserve"> you clean </w:t>
      </w:r>
      <w:r>
        <w:rPr>
          <w:lang w:val="en_US" w:bidi="en_US"/>
        </w:rPr>
        <w:t>only</w:t>
      </w:r>
      <w:r>
        <w:rPr>
          <w:lang w:val="en_US" w:bidi="en_US"/>
        </w:rPr>
        <w:t xml:space="preserve"> the outside of </w:t>
      </w:r>
      <w:r>
        <w:rPr>
          <w:lang w:val="en_US" w:bidi="en_US"/>
        </w:rPr>
        <w:t>your</w:t>
      </w:r>
      <w:r>
        <w:rPr>
          <w:vertAlign w:val="superscript"/>
          <w:lang w:val="en_US" w:bidi="en_US"/>
        </w:rPr>
        <w:t>(plur)</w:t>
      </w:r>
      <w:r>
        <w:rPr>
          <w:lang w:val="en_US" w:bidi="en_US"/>
        </w:rPr>
        <w:t xml:space="preserve"> cups and dishes/plates,</w:t>
      </w:r>
    </w:p>
    <w:p>
      <w:pPr>
        <w:pStyle w:val="ListBullet"/>
        <w:spacing w:line="240" w:lineRule="auto"/>
        <w:ind w:left="720"/>
      </w:pPr>
      <w:r>
        <w:rPr>
          <w:lang w:val="en_US" w:bidi="en_US"/>
        </w:rPr>
      </w:r>
      <w:r>
        <w:rPr>
          <w:lang w:val="en_US" w:bidi="en_US"/>
        </w:rPr>
        <w:t>“O you</w:t>
      </w:r>
      <w:r>
        <w:rPr>
          <w:vertAlign w:val="superscript"/>
          <w:lang w:val="en_US" w:bidi="en_US"/>
        </w:rPr>
        <w:t>(plur)</w:t>
      </w:r>
      <w:r>
        <w:rPr>
          <w:lang w:val="en_US" w:bidi="en_US"/>
        </w:rPr>
        <w:t xml:space="preserve"> Pharisees! You </w:t>
      </w:r>
      <w:r>
        <w:rPr>
          <w:lang w:val="en_US" w:bidi="en_US"/>
        </w:rPr>
        <w:t>are like people who</w:t>
      </w:r>
      <w:r>
        <w:rPr>
          <w:lang w:val="en_US" w:bidi="en_US"/>
        </w:rPr>
        <w:t xml:space="preserve"> </w:t>
      </w:r>
      <w:r>
        <w:rPr>
          <w:lang w:val="en_US" w:bidi="en_US"/>
        </w:rPr>
        <w:t>ceremonially</w:t>
      </w:r>
      <w:r>
        <w:rPr>
          <w:lang w:val="en_US" w:bidi="en_US"/>
        </w:rPr>
        <w:t xml:space="preserve"> wash the outside of a cup/glass and dish/bowl. </w:t>
      </w:r>
      <w:r>
        <w:rPr>
          <w:lang w:val="en_US" w:bidi="en_US"/>
        </w:rPr>
        <w:t>But as for the dirt on the inside, they just leave it.</w:t>
      </w:r>
    </w:p>
    <w:p>
      <w:pPr/>
      <w:r>
        <w:rPr>
          <w:lang w:val="en_US" w:bidi="en_US"/>
        </w:rPr>
      </w:r>
      <w:r>
        <w:rPr>
          <w:b/>
          <w:lang w:val="en_US" w:bidi="en_US"/>
        </w:rPr>
        <w:t>you Pharisees:</w:t>
      </w:r>
      <w:r>
        <w:rPr>
          <w:lang w:val="en_US" w:bidi="en_US"/>
        </w:rPr>
        <w:t xml:space="preserve"> In the Greek, </w:t>
      </w:r>
      <w:r>
        <w:rPr>
          <w:i/>
          <w:lang w:val="en_US" w:bidi="en_US"/>
        </w:rPr>
        <w:t>you</w:t>
      </w:r>
      <w:r>
        <w:rPr>
          <w:lang w:val="en_US" w:bidi="en_US"/>
        </w:rPr>
        <w:t xml:space="preserve"> is plural. Only one Pharisee has been mentioned at this point in the narrative, but perhaps others were present. Jesus was referring here to the Pharisees as a group.</w:t>
      </w:r>
    </w:p>
    <w:p>
      <w:pPr/>
      <w:r>
        <w:rPr>
          <w:lang w:val="en_US" w:bidi="en_US"/>
        </w:rPr>
      </w:r>
      <w:r>
        <w:rPr>
          <w:b/>
          <w:lang w:val="en_US" w:bidi="en_US"/>
        </w:rPr>
        <w:t>clean:</w:t>
      </w:r>
      <w:r>
        <w:rPr>
          <w:lang w:val="en_US" w:bidi="en_US"/>
        </w:rPr>
        <w:t xml:space="preserve"> The Greek word that the BSB translates as </w:t>
      </w:r>
      <w:r>
        <w:rPr>
          <w:i/>
          <w:lang w:val="en_US" w:bidi="en_US"/>
        </w:rPr>
        <w:t>clean</w:t>
      </w:r>
      <w:r>
        <w:rPr>
          <w:lang w:val="en_US" w:bidi="en_US"/>
        </w:rPr>
        <w:t xml:space="preserve"> means to purify or make ceremonially clean. It is not the usual word for washing things to remove dirt from them. However, the main contrast in this verse is between outward cleanliness (11:39b) and inward wickedness (11:39c). So if it is awkward to specify “ceremonially/ritually clean” in your language, you may use a more general term. For example:</w:t>
      </w:r>
    </w:p>
    <w:p>
      <w:pPr/>
      <w:r>
        <w:rPr>
          <w:lang w:val="en_US" w:bidi="en_US"/>
        </w:rPr>
      </w:r>
      <w:r>
        <w:rPr>
          <w:lang w:val="en_US" w:bidi="en_US"/>
        </w:rPr>
        <w:t>wash</w:t>
      </w:r>
    </w:p>
    <w:p>
      <w:pPr/>
      <w:r>
        <w:rPr>
          <w:lang w:val="en_US" w:bidi="en_US"/>
        </w:rPr>
      </w:r>
      <w:r>
        <w:rPr>
          <w:b/>
          <w:lang w:val="en_US" w:bidi="en_US"/>
        </w:rPr>
        <w:t>outside:</w:t>
      </w:r>
      <w:r>
        <w:rPr>
          <w:lang w:val="en_US" w:bidi="en_US"/>
        </w:rPr>
        <w:t xml:space="preserve"> Languages may use different terms to describe the </w:t>
      </w:r>
      <w:r>
        <w:rPr>
          <w:i/>
          <w:lang w:val="en_US" w:bidi="en_US"/>
        </w:rPr>
        <w:t>outside</w:t>
      </w:r>
      <w:r>
        <w:rPr>
          <w:lang w:val="en_US" w:bidi="en_US"/>
        </w:rPr>
        <w:t xml:space="preserve"> of cups, bowls, and plates. For example, the “back of a plate.” Use a natural term in your language.</w:t>
      </w:r>
    </w:p>
    <w:p>
      <w:pPr/>
      <w:r>
        <w:rPr>
          <w:lang w:val="en_US" w:bidi="en_US"/>
        </w:rPr>
      </w:r>
      <w:r>
        <w:rPr>
          <w:b/>
          <w:lang w:val="en_US" w:bidi="en_US"/>
        </w:rPr>
        <w:t>cup and dish:</w:t>
      </w:r>
      <w:r>
        <w:rPr>
          <w:lang w:val="en_US" w:bidi="en_US"/>
        </w:rPr>
        <w:t xml:space="preserve"> The word </w:t>
      </w:r>
      <w:r>
        <w:rPr>
          <w:i/>
          <w:lang w:val="en_US" w:bidi="en_US"/>
        </w:rPr>
        <w:t>cup</w:t>
      </w:r>
      <w:r>
        <w:rPr>
          <w:lang w:val="en_US" w:bidi="en_US"/>
        </w:rPr>
        <w:t xml:space="preserve"> refers to a normal cup or glass that people drank from. The word </w:t>
      </w:r>
      <w:r>
        <w:rPr>
          <w:i/>
          <w:lang w:val="en_US" w:bidi="en_US"/>
        </w:rPr>
        <w:t>dish</w:t>
      </w:r>
      <w:r>
        <w:rPr>
          <w:lang w:val="en_US" w:bidi="en_US"/>
        </w:rPr>
        <w:t xml:space="preserve"> refers to any plate that people used to eat their food. You may also substitute terms for other drinking or eating utensils that are used in your language area.</w:t>
      </w:r>
    </w:p>
    <w:p>
      <w:pPr/>
      <w:r>
        <w:rPr>
          <w:lang w:val="en_US" w:bidi="en_US"/>
        </w:rPr>
      </w:r>
      <w:r>
        <w:rPr>
          <w:lang w:val="en_US" w:bidi="en_US"/>
        </w:rPr>
        <w:t>In some languages, it is more natural to use plural terms. For example:</w:t>
      </w:r>
    </w:p>
    <w:p>
      <w:pPr/>
      <w:r>
        <w:rPr>
          <w:lang w:val="en_US" w:bidi="en_US"/>
        </w:rPr>
      </w:r>
      <w:r>
        <w:rPr>
          <w:lang w:val="en_US" w:bidi="en_US"/>
        </w:rPr>
        <w:t>cups and dishes (CEV)</w:t>
      </w:r>
    </w:p>
    <w:p>
      <w:pPr>
        <w:pStyle w:val="Heading5"/>
      </w:pPr>
      <w:r>
        <w:rPr>
          <w:lang w:val="en_US" w:bidi="en_US"/>
        </w:rPr>
        <w:t>11:39c</w:t>
      </w:r>
    </w:p>
    <w:p>
      <w:pPr/>
      <w:r>
        <w:rPr>
          <w:lang w:val="en_US" w:bidi="en_US"/>
        </w:rPr>
      </w:r>
      <w:r>
        <w:rPr>
          <w:b/>
          <w:lang w:val="en_US" w:bidi="en_US"/>
        </w:rPr>
        <w:t>but inside you are full of greed and wickedness.</w:t>
      </w:r>
    </w:p>
    <w:p>
      <w:pPr>
        <w:pStyle w:val="ListBullet"/>
        <w:spacing w:line="240" w:lineRule="auto"/>
        <w:ind w:left="720"/>
      </w:pPr>
      <w:r>
        <w:rPr>
          <w:lang w:val="en_US" w:bidi="en_US"/>
        </w:rPr>
      </w:r>
      <w:r>
        <w:rPr>
          <w:lang w:val="en_US" w:bidi="en_US"/>
        </w:rPr>
        <w:t>because you carefully wash your hands,</w:t>
      </w:r>
      <w:r>
        <w:rPr>
          <w:lang w:val="en_US" w:bidi="en_US"/>
        </w:rPr>
        <w:t xml:space="preserve"> but you</w:t>
      </w:r>
      <w:r>
        <w:rPr>
          <w:vertAlign w:val="superscript"/>
          <w:lang w:val="en_US" w:bidi="en_US"/>
        </w:rPr>
        <w:t>(plur)</w:t>
      </w:r>
      <w:r>
        <w:rPr>
          <w:lang w:val="en_US" w:bidi="en_US"/>
        </w:rPr>
        <w:t xml:space="preserve"> </w:t>
      </w:r>
      <w:r>
        <w:rPr>
          <w:lang w:val="en_US" w:bidi="en_US"/>
        </w:rPr>
        <w:t>ignore</w:t>
      </w:r>
      <w:r>
        <w:rPr>
          <w:lang w:val="en_US" w:bidi="en_US"/>
        </w:rPr>
        <w:t xml:space="preserve"> the greed and evil that are in your minds/hearts.</w:t>
      </w:r>
    </w:p>
    <w:p>
      <w:pPr>
        <w:pStyle w:val="ListBullet"/>
        <w:spacing w:line="240" w:lineRule="auto"/>
        <w:ind w:left="720"/>
      </w:pPr>
      <w:r>
        <w:rPr>
          <w:lang w:val="en_US" w:bidi="en_US"/>
        </w:rPr>
      </w:r>
      <w:r>
        <w:rPr>
          <w:lang w:val="en_US" w:bidi="en_US"/>
        </w:rPr>
        <w:t>For you</w:t>
      </w:r>
      <w:r>
        <w:rPr>
          <w:vertAlign w:val="superscript"/>
          <w:lang w:val="en_US" w:bidi="en_US"/>
        </w:rPr>
        <w:t>(plur)</w:t>
      </w:r>
      <w:r>
        <w:rPr>
          <w:lang w:val="en_US" w:bidi="en_US"/>
        </w:rPr>
        <w:t xml:space="preserve"> </w:t>
      </w:r>
      <w:r>
        <w:rPr>
          <w:lang w:val="en_US" w:bidi="en_US"/>
        </w:rPr>
        <w:t>wash your hands/bodies,</w:t>
      </w:r>
      <w:r>
        <w:rPr>
          <w:lang w:val="en_US" w:bidi="en_US"/>
        </w:rPr>
        <w:t xml:space="preserve"> but your inner being is full of wickedness/sinfulness and a strong desire to take things away from others.</w:t>
      </w:r>
    </w:p>
    <w:p>
      <w:pPr/>
      <w:r>
        <w:rPr>
          <w:lang w:val="en_US" w:bidi="en_US"/>
        </w:rPr>
      </w:r>
      <w:r>
        <w:rPr>
          <w:b/>
          <w:lang w:val="en_US" w:bidi="en_US"/>
        </w:rPr>
        <w:t>inside:</w:t>
      </w:r>
      <w:r>
        <w:rPr>
          <w:lang w:val="en_US" w:bidi="en_US"/>
        </w:rPr>
        <w:t xml:space="preserve"> The Greek word that the BSB translates as </w:t>
      </w:r>
      <w:r>
        <w:rPr>
          <w:i/>
          <w:lang w:val="en_US" w:bidi="en_US"/>
        </w:rPr>
        <w:t>inside</w:t>
      </w:r>
      <w:r>
        <w:rPr>
          <w:lang w:val="en_US" w:bidi="en_US"/>
        </w:rPr>
        <w:t xml:space="preserve"> refers to the Pharisees’ inner person or nature. It is the part of a person that thinks and feels and desires things. Some other ways to translate this word are:</w:t>
      </w:r>
    </w:p>
    <w:p>
      <w:pPr/>
      <w:r>
        <w:rPr>
          <w:lang w:val="en_US" w:bidi="en_US"/>
        </w:rPr>
      </w:r>
      <w:r>
        <w:rPr>
          <w:lang w:val="en_US" w:bidi="en_US"/>
        </w:rPr>
        <w:t>in your minds</w:t>
      </w:r>
    </w:p>
    <w:p>
      <w:pPr/>
      <w:r>
        <w:rPr>
          <w:lang w:val="en_US" w:bidi="en_US"/>
        </w:rPr>
      </w:r>
      <w:r>
        <w:rPr>
          <w:lang w:val="en_US" w:bidi="en_US"/>
        </w:rPr>
        <w:t>your hearts</w:t>
      </w:r>
    </w:p>
    <w:p>
      <w:pPr/>
      <w:r>
        <w:rPr>
          <w:lang w:val="en_US" w:bidi="en_US"/>
        </w:rPr>
      </w:r>
      <w:r>
        <w:rPr>
          <w:b/>
          <w:lang w:val="en_US" w:bidi="en_US"/>
        </w:rPr>
        <w:t>you are full of:</w:t>
      </w:r>
      <w:r>
        <w:rPr>
          <w:lang w:val="en_US" w:bidi="en_US"/>
        </w:rPr>
        <w:t xml:space="preserve"> In some languages, it may not be possible to say that people are </w:t>
      </w:r>
      <w:r>
        <w:rPr>
          <w:i/>
          <w:lang w:val="en_US" w:bidi="en_US"/>
        </w:rPr>
        <w:t>full of</w:t>
      </w:r>
      <w:r>
        <w:rPr>
          <w:lang w:val="en_US" w:bidi="en_US"/>
        </w:rPr>
        <w:t xml:space="preserve"> bad qualities. If this is true in your language, use an expression that means that these people are characterized by these bad things. For example:</w:t>
      </w:r>
    </w:p>
    <w:p>
      <w:pPr/>
      <w:r>
        <w:rPr>
          <w:lang w:val="en_US" w:bidi="en_US"/>
        </w:rPr>
      </w:r>
      <w:r>
        <w:rPr>
          <w:lang w:val="en_US" w:bidi="en_US"/>
        </w:rPr>
        <w:t>on the inside you are (CEV)</w:t>
      </w:r>
    </w:p>
    <w:p>
      <w:pPr/>
      <w:r>
        <w:rPr>
          <w:lang w:val="en_US" w:bidi="en_US"/>
        </w:rPr>
      </w:r>
      <w:r>
        <w:rPr>
          <w:b/>
          <w:lang w:val="en_US" w:bidi="en_US"/>
        </w:rPr>
        <w:t>greed:</w:t>
      </w:r>
      <w:r>
        <w:rPr>
          <w:lang w:val="en_US" w:bidi="en_US"/>
        </w:rPr>
        <w:t xml:space="preserve"> The Greek word that the BSB translates as </w:t>
      </w:r>
      <w:r>
        <w:rPr>
          <w:i/>
          <w:lang w:val="en_US" w:bidi="en_US"/>
        </w:rPr>
        <w:t>greed</w:t>
      </w:r>
      <w:r>
        <w:rPr>
          <w:lang w:val="en_US" w:bidi="en_US"/>
        </w:rPr>
        <w:t xml:space="preserve"> often refers to taking other people’s things wrongly. It can also refer to taking things violently or forcefully.</w:t>
      </w:r>
    </w:p>
    <w:p>
      <w:pPr/>
      <w:r>
        <w:rPr>
          <w:lang w:val="en_US" w:bidi="en_US"/>
        </w:rPr>
      </w:r>
      <w:r>
        <w:rPr>
          <w:lang w:val="en_US" w:bidi="en_US"/>
        </w:rPr>
        <w:t>In this context, “violent greed”</w:t>
      </w:r>
      <w:r>
        <w:rPr>
          <w:lang w:val="en_US" w:bidi="en_US"/>
        </w:rPr>
        <w:t>This definition is from Louw &amp; Nida, p. 292.</w:t>
      </w:r>
      <w:r>
        <w:rPr>
          <w:lang w:val="en_US" w:bidi="en_US"/>
        </w:rPr>
        <w:t xml:space="preserve"> fills the minds/hearts of the Pharisees. So it refers here to an inner desire rather than an outward action. Some other ways to translate this word are:</w:t>
      </w:r>
    </w:p>
    <w:p>
      <w:pPr/>
      <w:r>
        <w:rPr>
          <w:lang w:val="en_US" w:bidi="en_US"/>
        </w:rPr>
      </w:r>
      <w:r>
        <w:rPr>
          <w:lang w:val="en_US" w:bidi="en_US"/>
        </w:rPr>
        <w:t>violence (GNT)</w:t>
      </w:r>
    </w:p>
    <w:p>
      <w:pPr/>
      <w:r>
        <w:rPr>
          <w:lang w:val="en_US" w:bidi="en_US"/>
        </w:rPr>
      </w:r>
      <w:r>
        <w:rPr>
          <w:lang w:val="en_US" w:bidi="en_US"/>
        </w:rPr>
        <w:t>strong desire to gain things violently</w:t>
      </w:r>
    </w:p>
    <w:p>
      <w:pPr/>
      <w:r>
        <w:rPr>
          <w:lang w:val="en_US" w:bidi="en_US"/>
        </w:rPr>
      </w:r>
      <w:r>
        <w:rPr>
          <w:b/>
          <w:lang w:val="en_US" w:bidi="en_US"/>
        </w:rPr>
        <w:t>wickedness:</w:t>
      </w:r>
      <w:r>
        <w:rPr>
          <w:lang w:val="en_US" w:bidi="en_US"/>
        </w:rPr>
        <w:t xml:space="preserve"> The Greek word that the BSB translates as </w:t>
      </w:r>
      <w:r>
        <w:rPr>
          <w:i/>
          <w:lang w:val="en_US" w:bidi="en_US"/>
        </w:rPr>
        <w:t>wickedness</w:t>
      </w:r>
      <w:r>
        <w:rPr>
          <w:lang w:val="en_US" w:bidi="en_US"/>
        </w:rPr>
        <w:t xml:space="preserve"> is a general word for sinfulness or evil. For example:</w:t>
      </w:r>
    </w:p>
    <w:p>
      <w:pPr/>
      <w:r>
        <w:rPr>
          <w:lang w:val="en_US" w:bidi="en_US"/>
        </w:rPr>
      </w:r>
      <w:r>
        <w:rPr>
          <w:lang w:val="en_US" w:bidi="en_US"/>
        </w:rPr>
        <w:t>evil (GNT)</w:t>
      </w:r>
      <w:r>
        <w:rPr>
          <w:lang w:val="en_US" w:bidi="en_US"/>
        </w:rPr>
      </w:r>
      <w:r>
        <w:rPr>
          <w:lang w:val="en_US" w:bidi="en_US"/>
        </w:rPr>
      </w:r>
    </w:p>
    <w:p>
      <w:pPr/>
      <w:r>
        <w:rPr>
          <w:lang w:val="en_US" w:bidi="en_US"/>
        </w:rPr>
      </w:r>
    </w:p>
    <w:p>
      <w:pPr>
        <w:pStyle w:val="Heading2"/>
      </w:pPr>
      <w:r>
        <w:rPr>
          <w:lang w:val="en_US" w:bidi="en_US"/>
        </w:rPr>
        <w:t>Luke 11:40</w:t>
      </w:r>
      <w:r>
        <w:rPr>
          <w:lang w:val="en_US" w:bidi="en_US"/>
        </w:rPr>
      </w:r>
    </w:p>
    <w:p>
      <w:pPr>
        <w:pStyle w:val="Heading4"/>
      </w:pPr>
      <w:r>
        <w:rPr>
          <w:lang w:val="en_US" w:bidi="en_US"/>
        </w:rPr>
        <w:t>Section 11:37–54: Jesus criticized the Pharisees and the teachers of the law</w:t>
      </w:r>
    </w:p>
    <w:p>
      <w:pPr/>
      <w:r>
        <w:rPr>
          <w:lang w:val="en_US" w:bidi="en_US"/>
        </w:rPr>
      </w:r>
      <w:r>
        <w:rPr>
          <w:lang w:val="en_US" w:bidi="en_US"/>
        </w:rP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pPr/>
      <w:r>
        <w:rPr>
          <w:lang w:val="en_US" w:bidi="en_US"/>
        </w:rPr>
      </w:r>
      <w:r>
        <w:rPr>
          <w:lang w:val="en_US" w:bidi="en_US"/>
        </w:rPr>
        <w:t>Some other headings for this section are:</w:t>
      </w:r>
    </w:p>
    <w:p>
      <w:pPr/>
      <w:r>
        <w:rPr>
          <w:lang w:val="en_US" w:bidi="en_US"/>
        </w:rPr>
      </w:r>
      <w:r>
        <w:rPr>
          <w:lang w:val="en_US" w:bidi="en_US"/>
        </w:rPr>
        <w:t>Jesus’ Criticism of the Religious Leaders</w:t>
      </w:r>
    </w:p>
    <w:p>
      <w:pPr/>
      <w:r>
        <w:rPr>
          <w:lang w:val="en_US" w:bidi="en_US"/>
        </w:rPr>
      </w:r>
      <w:r>
        <w:rPr>
          <w:lang w:val="en_US" w:bidi="en_US"/>
        </w:rPr>
        <w:t>There are parallel passages for this section in Matthew 23:1–36 and Mark 12:38–40.</w:t>
      </w:r>
    </w:p>
    <w:p>
      <w:pPr>
        <w:pStyle w:val="Heading5"/>
      </w:pPr>
      <w:r>
        <w:rPr>
          <w:lang w:val="en_US" w:bidi="en_US"/>
        </w:rPr>
        <w:t>11:40a</w:t>
      </w:r>
    </w:p>
    <w:p>
      <w:pPr/>
      <w:r>
        <w:rPr>
          <w:lang w:val="en_US" w:bidi="en_US"/>
        </w:rPr>
      </w:r>
      <w:r>
        <w:rPr>
          <w:b/>
          <w:lang w:val="en_US" w:bidi="en_US"/>
        </w:rPr>
        <w:t>You fools!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foolish people! (NIV)</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ignorant/senseless people!</w:t>
      </w:r>
    </w:p>
    <w:p>
      <w:pPr/>
      <w:r>
        <w:rPr>
          <w:lang w:val="en_US" w:bidi="en_US"/>
        </w:rPr>
      </w:r>
      <w:r>
        <w:rPr>
          <w:b/>
          <w:lang w:val="en_US" w:bidi="en_US"/>
        </w:rPr>
        <w:t>You fools!:</w:t>
      </w:r>
      <w:r>
        <w:rPr>
          <w:lang w:val="en_US" w:bidi="en_US"/>
        </w:rPr>
        <w:t xml:space="preserve"> The Greek word that the BSB translates literally as </w:t>
      </w:r>
      <w:r>
        <w:rPr>
          <w:i/>
          <w:lang w:val="en_US" w:bidi="en_US"/>
        </w:rPr>
        <w:t>fools</w:t>
      </w:r>
      <w:r>
        <w:rPr>
          <w:lang w:val="en_US" w:bidi="en_US"/>
        </w:rPr>
        <w:t xml:space="preserve"> describes people who do not think clearly or rightly. It implies that they deliberately refuse to understand what is right. Another way to translate this word is:</w:t>
      </w:r>
    </w:p>
    <w:p>
      <w:pPr/>
      <w:r>
        <w:rPr>
          <w:lang w:val="en_US" w:bidi="en_US"/>
        </w:rPr>
      </w:r>
      <w:r>
        <w:rPr>
          <w:lang w:val="en_US" w:bidi="en_US"/>
        </w:rPr>
        <w:t>You people who have no minds/thoughts/sense!</w:t>
      </w:r>
    </w:p>
    <w:p>
      <w:pPr>
        <w:pStyle w:val="Heading5"/>
      </w:pPr>
      <w:r>
        <w:rPr>
          <w:lang w:val="en_US" w:bidi="en_US"/>
        </w:rPr>
        <w:t>11:40b</w:t>
      </w:r>
    </w:p>
    <w:p>
      <w:pPr/>
      <w:r>
        <w:rPr>
          <w:lang w:val="en_US" w:bidi="en_US"/>
        </w:rPr>
      </w:r>
      <w:r>
        <w:rPr>
          <w:b/>
          <w:lang w:val="en_US" w:bidi="en_US"/>
        </w:rPr>
        <w:t>Did not the One who made the outside make the inside as well?</w:t>
      </w:r>
    </w:p>
    <w:p>
      <w:pPr>
        <w:pStyle w:val="ListBullet"/>
        <w:spacing w:line="240" w:lineRule="auto"/>
        <w:ind w:left="720"/>
      </w:pPr>
      <w:r>
        <w:rPr>
          <w:lang w:val="en_US" w:bidi="en_US"/>
        </w:rPr>
      </w:r>
      <w:r>
        <w:rPr>
          <w:lang w:val="en_US" w:bidi="en_US"/>
        </w:rPr>
        <w:t xml:space="preserve">Did God make only the outside </w:t>
      </w:r>
      <w:r>
        <w:rPr>
          <w:lang w:val="en_US" w:bidi="en_US"/>
        </w:rPr>
        <w:t>of a person</w:t>
      </w:r>
      <w:r>
        <w:rPr>
          <w:lang w:val="en_US" w:bidi="en_US"/>
        </w:rPr>
        <w:t>? Didn’t he also make the inside?</w:t>
      </w:r>
    </w:p>
    <w:p>
      <w:pPr>
        <w:pStyle w:val="ListBullet"/>
        <w:spacing w:line="240" w:lineRule="auto"/>
        <w:ind w:left="720"/>
      </w:pPr>
      <w:r>
        <w:rPr>
          <w:lang w:val="en_US" w:bidi="en_US"/>
        </w:rPr>
      </w:r>
      <w:r>
        <w:rPr>
          <w:lang w:val="en_US" w:bidi="en_US"/>
        </w:rPr>
        <w:t xml:space="preserve">If </w:t>
      </w:r>
      <w:r>
        <w:rPr>
          <w:lang w:val="en_US" w:bidi="en_US"/>
        </w:rPr>
        <w:t>God</w:t>
      </w:r>
      <w:r>
        <w:rPr>
          <w:lang w:val="en_US" w:bidi="en_US"/>
        </w:rPr>
        <w:t xml:space="preserve"> made our</w:t>
      </w:r>
      <w:r>
        <w:rPr>
          <w:vertAlign w:val="superscript"/>
          <w:lang w:val="en_US" w:bidi="en_US"/>
        </w:rPr>
        <w:t>(incl)</w:t>
      </w:r>
      <w:r>
        <w:rPr>
          <w:lang w:val="en_US" w:bidi="en_US"/>
        </w:rPr>
        <w:t xml:space="preserve"> bodies, he certainly made our inner beings as well. Isn’t that true?</w:t>
      </w:r>
    </w:p>
    <w:p>
      <w:pPr>
        <w:pStyle w:val="ListBullet"/>
        <w:spacing w:line="240" w:lineRule="auto"/>
        <w:ind w:left="720"/>
      </w:pPr>
      <w:r>
        <w:rPr>
          <w:lang w:val="en_US" w:bidi="en_US"/>
        </w:rPr>
      </w:r>
      <w:r>
        <w:rPr>
          <w:lang w:val="en_US" w:bidi="en_US"/>
        </w:rPr>
        <w:t xml:space="preserve">Everyone knows that </w:t>
      </w:r>
      <w:r>
        <w:rPr>
          <w:lang w:val="en_US" w:bidi="en_US"/>
        </w:rPr>
        <w:t>God</w:t>
      </w:r>
      <w:r>
        <w:rPr>
          <w:lang w:val="en_US" w:bidi="en_US"/>
        </w:rPr>
        <w:t xml:space="preserve">, who made man’s body, also made his soul/mind/heart. </w:t>
      </w:r>
      <w:r>
        <w:rPr>
          <w:lang w:val="en_US" w:bidi="en_US"/>
        </w:rPr>
        <w:t>It is important for the inside to be clean, not only the outside.</w:t>
      </w:r>
    </w:p>
    <w:p>
      <w:pPr/>
      <w:r>
        <w:rPr>
          <w:lang w:val="en_US" w:bidi="en_US"/>
        </w:rPr>
      </w:r>
      <w:r>
        <w:rPr>
          <w:b/>
          <w:lang w:val="en_US" w:bidi="en_US"/>
        </w:rPr>
        <w:t>Did not the One who made the outside make the inside as well?:</w:t>
      </w:r>
      <w:r>
        <w:rPr>
          <w:lang w:val="en_US" w:bidi="en_US"/>
        </w:rPr>
        <w:t xml:space="preserve"> This is a rhetorical question. Its function is to emphasize that God, who made the outside of people, also certainly made the inside.</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Didn’t God make the inside as well as the outside? (NLT)</w:t>
      </w:r>
      <w:r>
        <w:rPr>
          <w:lang w:val="en_US" w:bidi="en_US"/>
        </w:rPr>
        <w:t xml:space="preserve">The one who made the outside also made the inside. </w:t>
      </w:r>
      <w:r>
        <w:rPr>
          <w:lang w:val="en_US" w:bidi="en_US"/>
        </w:rPr>
        <w:t>Isn’t that right?</w:t>
      </w:r>
    </w:p>
    <w:p>
      <w:pPr>
        <w:pStyle w:val="ListBullet"/>
        <w:spacing w:line="240" w:lineRule="auto"/>
        <w:ind w:left="720"/>
      </w:pPr>
      <w:r>
        <w:rPr>
          <w:lang w:val="en_US" w:bidi="en_US"/>
        </w:rPr>
      </w:r>
      <w:r>
        <w:rPr>
          <w:lang w:val="en_US" w:bidi="en_US"/>
        </w:rPr>
        <w:t>As a statement. In this case, you should add a word or phrase to show the emphasis. For example:</w:t>
      </w:r>
      <w:r>
        <w:rPr>
          <w:u w:val="single"/>
          <w:lang w:val="en_US" w:bidi="en_US"/>
        </w:rPr>
        <w:t>You know that</w:t>
      </w:r>
      <w:r>
        <w:rPr>
          <w:lang w:val="en_US" w:bidi="en_US"/>
        </w:rPr>
        <w:t xml:space="preserve"> the one who made the outside made the inside also.</w:t>
      </w:r>
      <w:r>
        <w:rPr>
          <w:lang w:val="en_US" w:bidi="en_US"/>
        </w:rPr>
        <w:t>The same one who made what is outside also made what is inside. (NCV)</w:t>
      </w:r>
    </w:p>
    <w:p>
      <w:pPr/>
      <w:r>
        <w:rPr>
          <w:lang w:val="en_US" w:bidi="en_US"/>
        </w:rPr>
      </w:r>
      <w:r>
        <w:rPr>
          <w:lang w:val="en_US" w:bidi="en_US"/>
        </w:rPr>
        <w:t>Translate this emphasis in a way that is most natural in your language.</w:t>
      </w:r>
    </w:p>
    <w:p>
      <w:pPr/>
      <w:r>
        <w:rPr>
          <w:lang w:val="en_US" w:bidi="en_US"/>
        </w:rPr>
      </w:r>
      <w:r>
        <w:rPr>
          <w:b/>
          <w:lang w:val="en_US" w:bidi="en_US"/>
        </w:rPr>
        <w:t>the One:</w:t>
      </w:r>
      <w:r>
        <w:rPr>
          <w:lang w:val="en_US" w:bidi="en_US"/>
        </w:rPr>
        <w:t xml:space="preserve"> The phrase </w:t>
      </w:r>
      <w:r>
        <w:rPr>
          <w:i/>
          <w:lang w:val="en_US" w:bidi="en_US"/>
        </w:rPr>
        <w:t>the One</w:t>
      </w:r>
      <w:r>
        <w:rPr>
          <w:lang w:val="en_US" w:bidi="en_US"/>
        </w:rPr>
        <w:t xml:space="preserve"> refers to God. For example:</w:t>
      </w:r>
    </w:p>
    <w:p>
      <w:pPr/>
      <w:r>
        <w:rPr>
          <w:lang w:val="en_US" w:bidi="en_US"/>
        </w:rPr>
      </w:r>
      <w:r>
        <w:rPr>
          <w:lang w:val="en_US" w:bidi="en_US"/>
        </w:rPr>
        <w:t>Didn’t God make both the outside and the inside? (CEV)</w:t>
      </w:r>
    </w:p>
    <w:p>
      <w:pPr/>
      <w:r>
        <w:rPr>
          <w:lang w:val="en_US" w:bidi="en_US"/>
        </w:rPr>
      </w:r>
      <w:r>
        <w:rPr>
          <w:b/>
          <w:lang w:val="en_US" w:bidi="en_US"/>
        </w:rPr>
        <w:t>who made the outside make the inside:</w:t>
      </w:r>
      <w:r>
        <w:rPr>
          <w:lang w:val="en_US" w:bidi="en_US"/>
        </w:rPr>
        <w:t xml:space="preserve"> Jesus was referring to the outside and the inside of a person. By </w:t>
      </w:r>
      <w:r>
        <w:rPr>
          <w:i/>
          <w:lang w:val="en_US" w:bidi="en_US"/>
        </w:rPr>
        <w:t>the outside</w:t>
      </w:r>
      <w:r>
        <w:rPr>
          <w:lang w:val="en_US" w:bidi="en_US"/>
        </w:rPr>
        <w:t xml:space="preserve"> he meant the whole physical body. By </w:t>
      </w:r>
      <w:r>
        <w:rPr>
          <w:i/>
          <w:lang w:val="en_US" w:bidi="en_US"/>
        </w:rPr>
        <w:t>the inside</w:t>
      </w:r>
      <w:r>
        <w:rPr>
          <w:lang w:val="en_US" w:bidi="en_US"/>
        </w:rPr>
        <w:t xml:space="preserve"> he meant the part of a person that cannot be seen: the mind, affections, and will. God was also concerned that the </w:t>
      </w:r>
      <w:r>
        <w:rPr>
          <w:i/>
          <w:lang w:val="en_US" w:bidi="en_US"/>
        </w:rPr>
        <w:t>inside</w:t>
      </w:r>
      <w:r>
        <w:rPr>
          <w:lang w:val="en_US" w:bidi="en_US"/>
        </w:rPr>
        <w:t xml:space="preserve"> of a person should be clean.</w:t>
      </w:r>
    </w:p>
    <w:p>
      <w:pPr/>
      <w:r>
        <w:rPr>
          <w:lang w:val="en_US" w:bidi="en_US"/>
        </w:rPr>
      </w:r>
      <w:r>
        <w:rPr>
          <w:lang w:val="en_US" w:bidi="en_US"/>
        </w:rPr>
        <w:t>Some other ways to translate this are:</w:t>
      </w:r>
    </w:p>
    <w:p>
      <w:pPr/>
      <w:r>
        <w:rPr>
          <w:lang w:val="en_US" w:bidi="en_US"/>
        </w:rPr>
      </w:r>
      <w:r>
        <w:rPr>
          <w:lang w:val="en_US" w:bidi="en_US"/>
        </w:rPr>
        <w:t>he who made man’s body also made his heart/spirit/soul</w:t>
      </w:r>
    </w:p>
    <w:p>
      <w:pPr/>
      <w:r>
        <w:rPr>
          <w:lang w:val="en_US" w:bidi="en_US"/>
        </w:rPr>
      </w:r>
      <w:r>
        <w:rPr>
          <w:lang w:val="en_US" w:bidi="en_US"/>
        </w:rPr>
        <w:t xml:space="preserve">God who created </w:t>
      </w:r>
      <w:r>
        <w:rPr>
          <w:lang w:val="en_US" w:bidi="en_US"/>
        </w:rPr>
        <w:t>what is seen on</w:t>
      </w:r>
      <w:r>
        <w:rPr>
          <w:lang w:val="en_US" w:bidi="en_US"/>
        </w:rPr>
        <w:t xml:space="preserve"> the outside also created </w:t>
      </w:r>
      <w:r>
        <w:rPr>
          <w:lang w:val="en_US" w:bidi="en_US"/>
        </w:rPr>
        <w:t>what is not seen on</w:t>
      </w:r>
      <w:r>
        <w:rPr>
          <w:lang w:val="en_US" w:bidi="en_US"/>
        </w:rPr>
        <w:t xml:space="preserve"> the inside.</w:t>
      </w:r>
    </w:p>
    <w:p>
      <w:pPr>
        <w:pStyle w:val="Heading6"/>
      </w:pPr>
      <w:r>
        <w:rPr>
          <w:b/>
          <w:lang w:val="en_US" w:bidi="en_US"/>
        </w:rPr>
        <w:t>General Comment on 11:40b</w:t>
      </w:r>
    </w:p>
    <w:p>
      <w:pPr/>
      <w:r>
        <w:rPr>
          <w:lang w:val="en_US" w:bidi="en_US"/>
        </w:rPr>
      </w:r>
      <w:r>
        <w:rPr>
          <w:lang w:val="en_US" w:bidi="en_US"/>
        </w:rPr>
        <w:t>Jesus implied here that it is important for a person’s inner being (soul/mind/heart) to be clean/holy. It is foolish to clean only the outside. So the Pharisees should have been concerned about holiness, not just physical cleanliness. In some languages, it may be necessary to make this explicit in the text or in a footnote. For example:</w:t>
      </w:r>
    </w:p>
    <w:p>
      <w:pPr/>
      <w:r>
        <w:rPr>
          <w:lang w:val="en_US" w:bidi="en_US"/>
        </w:rPr>
      </w:r>
      <w:r>
        <w:rPr>
          <w:lang w:val="en_US" w:bidi="en_US"/>
        </w:rPr>
        <w:t>so it is necessary that your inside/heart be clean, just like the outside of your body</w:t>
      </w:r>
    </w:p>
    <w:p>
      <w:pPr/>
      <w:r>
        <w:rPr>
          <w:lang w:val="en_US" w:bidi="en_US"/>
        </w:rPr>
      </w:r>
      <w:r>
        <w:rPr>
          <w:lang w:val="en_US" w:bidi="en_US"/>
        </w:rPr>
        <w:t>It is important that your heart be clean, not only your hands</w:t>
      </w:r>
      <w:r>
        <w:rPr>
          <w:lang w:val="en_US" w:bidi="en_US"/>
        </w:rPr>
      </w:r>
      <w:r>
        <w:rPr>
          <w:lang w:val="en_US" w:bidi="en_US"/>
        </w:rPr>
      </w:r>
    </w:p>
    <w:p>
      <w:pPr/>
      <w:r>
        <w:rPr>
          <w:lang w:val="en_US" w:bidi="en_US"/>
        </w:rPr>
      </w:r>
    </w:p>
    <w:p>
      <w:pPr>
        <w:pStyle w:val="Heading2"/>
      </w:pPr>
      <w:r>
        <w:rPr>
          <w:lang w:val="en_US" w:bidi="en_US"/>
        </w:rPr>
        <w:t>Luke 11:41</w:t>
      </w:r>
      <w:r>
        <w:rPr>
          <w:lang w:val="en_US" w:bidi="en_US"/>
        </w:rPr>
      </w:r>
    </w:p>
    <w:p>
      <w:pPr>
        <w:pStyle w:val="Heading4"/>
      </w:pPr>
      <w:r>
        <w:rPr>
          <w:lang w:val="en_US" w:bidi="en_US"/>
        </w:rPr>
        <w:t>Section 11:37–54: Jesus criticized the Pharisees and the teachers of the law</w:t>
      </w:r>
    </w:p>
    <w:p>
      <w:pPr/>
      <w:r>
        <w:rPr>
          <w:lang w:val="en_US" w:bidi="en_US"/>
        </w:rPr>
      </w:r>
      <w:r>
        <w:rPr>
          <w:lang w:val="en_US" w:bidi="en_US"/>
        </w:rP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pPr/>
      <w:r>
        <w:rPr>
          <w:lang w:val="en_US" w:bidi="en_US"/>
        </w:rPr>
      </w:r>
      <w:r>
        <w:rPr>
          <w:lang w:val="en_US" w:bidi="en_US"/>
        </w:rPr>
        <w:t>Some other headings for this section are:</w:t>
      </w:r>
    </w:p>
    <w:p>
      <w:pPr/>
      <w:r>
        <w:rPr>
          <w:lang w:val="en_US" w:bidi="en_US"/>
        </w:rPr>
      </w:r>
      <w:r>
        <w:rPr>
          <w:lang w:val="en_US" w:bidi="en_US"/>
        </w:rPr>
        <w:t>Jesus’ Criticism of the Religious Leaders</w:t>
      </w:r>
    </w:p>
    <w:p>
      <w:pPr/>
      <w:r>
        <w:rPr>
          <w:lang w:val="en_US" w:bidi="en_US"/>
        </w:rPr>
      </w:r>
      <w:r>
        <w:rPr>
          <w:lang w:val="en_US" w:bidi="en_US"/>
        </w:rPr>
        <w:t>There are parallel passages for this section in Matthew 23:1–36 and Mark 12:38–40.</w:t>
      </w:r>
    </w:p>
    <w:p>
      <w:pPr>
        <w:pStyle w:val="Heading5"/>
      </w:pPr>
      <w:r>
        <w:rPr>
          <w:lang w:val="en_US" w:bidi="en_US"/>
        </w:rPr>
        <w:t>11:41a</w:t>
      </w:r>
    </w:p>
    <w:p>
      <w:pPr/>
      <w:r>
        <w:rPr>
          <w:lang w:val="en_US" w:bidi="en_US"/>
        </w:rPr>
      </w:r>
      <w:r>
        <w:rPr>
          <w:b/>
          <w:lang w:val="en_US" w:bidi="en_US"/>
        </w:rPr>
        <w:t>But give as alms the things that are within you,</w:t>
      </w:r>
    </w:p>
    <w:p>
      <w:pPr>
        <w:pStyle w:val="ListBullet"/>
        <w:spacing w:line="240" w:lineRule="auto"/>
        <w:ind w:left="720"/>
      </w:pPr>
      <w:r>
        <w:rPr>
          <w:lang w:val="en_US" w:bidi="en_US"/>
        </w:rPr>
      </w:r>
      <w:r>
        <w:rPr>
          <w:lang w:val="en_US" w:bidi="en_US"/>
        </w:rPr>
        <w:t>So do not be greedy and wicked.</w:t>
      </w:r>
      <w:r>
        <w:rPr>
          <w:lang w:val="en_US" w:bidi="en_US"/>
        </w:rPr>
        <w:t xml:space="preserve"> Instead, share</w:t>
      </w:r>
      <w:r>
        <w:rPr>
          <w:vertAlign w:val="superscript"/>
          <w:lang w:val="en_US" w:bidi="en_US"/>
        </w:rPr>
        <w:t>(plur)</w:t>
      </w:r>
      <w:r>
        <w:rPr>
          <w:lang w:val="en_US" w:bidi="en_US"/>
        </w:rPr>
        <w:t xml:space="preserve"> your possessions with the poor,</w:t>
      </w:r>
    </w:p>
    <w:p>
      <w:pPr>
        <w:pStyle w:val="ListBullet"/>
        <w:spacing w:line="240" w:lineRule="auto"/>
        <w:ind w:left="720"/>
      </w:pPr>
      <w:r>
        <w:rPr>
          <w:lang w:val="en_US" w:bidi="en_US"/>
        </w:rPr>
      </w:r>
      <w:r>
        <w:rPr>
          <w:lang w:val="en_US" w:bidi="en_US"/>
        </w:rPr>
        <w:t>So what you</w:t>
      </w:r>
      <w:r>
        <w:rPr>
          <w:vertAlign w:val="superscript"/>
          <w:lang w:val="en_US" w:bidi="en_US"/>
        </w:rPr>
        <w:t>(plur)</w:t>
      </w:r>
      <w:r>
        <w:rPr>
          <w:lang w:val="en_US" w:bidi="en_US"/>
        </w:rPr>
        <w:t xml:space="preserve"> </w:t>
      </w:r>
      <w:r>
        <w:rPr>
          <w:lang w:val="en_US" w:bidi="en_US"/>
        </w:rPr>
        <w:t>ought to do</w:t>
      </w:r>
      <w:r>
        <w:rPr>
          <w:lang w:val="en_US" w:bidi="en_US"/>
        </w:rPr>
        <w:t xml:space="preserve"> instead </w:t>
      </w:r>
      <w:r>
        <w:rPr>
          <w:lang w:val="en_US" w:bidi="en_US"/>
        </w:rPr>
        <w:t>is to</w:t>
      </w:r>
      <w:r>
        <w:rPr>
          <w:lang w:val="en_US" w:bidi="en_US"/>
        </w:rPr>
        <w:t xml:space="preserve"> use what you have to help poor people.</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introduces a strong contrast. The contrast is between what the Pharisees were actually doing in 11:39b–c and what they should have been doing instead in 11:41a. They were careful about their ritual cleanness, and at the same time were greedy and wicked. Instead, they should have been concerned about giving alms to the poor.</w:t>
      </w:r>
    </w:p>
    <w:p>
      <w:pPr/>
      <w:r>
        <w:rPr>
          <w:lang w:val="en_US" w:bidi="en_US"/>
        </w:rPr>
      </w:r>
      <w:r>
        <w:rPr>
          <w:lang w:val="en_US" w:bidi="en_US"/>
        </w:rPr>
        <w:t>Since the contrast is not with the preceding verse (11:40), it may be necessary to make the connection explicit. For example:</w:t>
      </w:r>
    </w:p>
    <w:p>
      <w:pPr/>
      <w:r>
        <w:rPr>
          <w:lang w:val="en_US" w:bidi="en_US"/>
        </w:rPr>
      </w:r>
      <w:r>
        <w:rPr>
          <w:lang w:val="en_US" w:bidi="en_US"/>
        </w:rPr>
        <w:t xml:space="preserve">Instead </w:t>
      </w:r>
      <w:r>
        <w:rPr>
          <w:lang w:val="en_US" w:bidi="en_US"/>
        </w:rPr>
        <w:t>of acting like that</w:t>
      </w:r>
    </w:p>
    <w:p>
      <w:pPr/>
      <w:r>
        <w:rPr>
          <w:lang w:val="en_US" w:bidi="en_US"/>
        </w:rPr>
      </w:r>
      <w:r>
        <w:rPr>
          <w:lang w:val="en_US" w:bidi="en_US"/>
        </w:rPr>
        <w:t>11:41a is also advice that concludes this paragraph. So in some languages it may be more natural to introduce this verse as a conclusion. For example:</w:t>
      </w:r>
    </w:p>
    <w:p>
      <w:pPr/>
      <w:r>
        <w:rPr>
          <w:lang w:val="en_US" w:bidi="en_US"/>
        </w:rPr>
      </w:r>
      <w:r>
        <w:rPr>
          <w:lang w:val="en_US" w:bidi="en_US"/>
        </w:rPr>
        <w:t>So what you should do</w:t>
      </w:r>
      <w:r>
        <w:rPr>
          <w:lang w:val="en_US" w:bidi="en_US"/>
        </w:rPr>
        <w:t xml:space="preserve"> instead </w:t>
      </w:r>
      <w:r>
        <w:rPr>
          <w:lang w:val="en_US" w:bidi="en_US"/>
        </w:rPr>
        <w:t>is to</w:t>
      </w:r>
      <w:r>
        <w:rPr>
          <w:lang w:val="en_US" w:bidi="en_US"/>
        </w:rPr>
        <w:t>…</w:t>
      </w:r>
    </w:p>
    <w:p>
      <w:pPr/>
      <w:r>
        <w:rPr>
          <w:lang w:val="en_US" w:bidi="en_US"/>
        </w:rPr>
      </w:r>
      <w:r>
        <w:rPr>
          <w:lang w:val="en_US" w:bidi="en_US"/>
        </w:rPr>
        <w:t>So do not be greedy and wicked.</w:t>
      </w:r>
      <w:r>
        <w:rPr>
          <w:lang w:val="en_US" w:bidi="en_US"/>
        </w:rPr>
        <w:t xml:space="preserve"> Instead…</w:t>
      </w:r>
    </w:p>
    <w:p>
      <w:pPr/>
      <w:r>
        <w:rPr>
          <w:lang w:val="en_US" w:bidi="en_US"/>
        </w:rPr>
      </w:r>
      <w:r>
        <w:rPr>
          <w:lang w:val="en_US" w:bidi="en_US"/>
        </w:rPr>
        <w:t>So remove wickedness from your hearts.</w:t>
      </w:r>
      <w:r>
        <w:rPr>
          <w:lang w:val="en_US" w:bidi="en_US"/>
        </w:rPr>
        <w:t xml:space="preserve"> Instead…</w:t>
      </w:r>
    </w:p>
    <w:p>
      <w:pPr/>
      <w:r>
        <w:rPr>
          <w:lang w:val="en_US" w:bidi="en_US"/>
        </w:rPr>
      </w:r>
      <w:r>
        <w:rPr>
          <w:b/>
          <w:lang w:val="en_US" w:bidi="en_US"/>
        </w:rPr>
        <w:t>give as alms:</w:t>
      </w:r>
      <w:r>
        <w:rPr>
          <w:lang w:val="en_US" w:bidi="en_US"/>
        </w:rPr>
        <w:t xml:space="preserve"> The Greek word that the BSB translates literally as </w:t>
      </w:r>
      <w:r>
        <w:rPr>
          <w:i/>
          <w:lang w:val="en_US" w:bidi="en_US"/>
        </w:rPr>
        <w:t>give as alms</w:t>
      </w:r>
      <w:r>
        <w:rPr>
          <w:lang w:val="en_US" w:bidi="en_US"/>
        </w:rPr>
        <w:t xml:space="preserve"> means “give as charity” or “give to the poor.” For example:</w:t>
      </w:r>
    </w:p>
    <w:p>
      <w:pPr/>
      <w:r>
        <w:rPr>
          <w:lang w:val="en_US" w:bidi="en_US"/>
        </w:rPr>
      </w:r>
      <w:r>
        <w:rPr>
          <w:lang w:val="en_US" w:bidi="en_US"/>
        </w:rPr>
        <w:t>Give…as a gift to the poor (GW)</w:t>
      </w:r>
    </w:p>
    <w:p>
      <w:pPr/>
      <w:r>
        <w:rPr>
          <w:lang w:val="en_US" w:bidi="en_US"/>
        </w:rPr>
      </w:r>
      <w:r>
        <w:rPr>
          <w:b/>
          <w:lang w:val="en_US" w:bidi="en_US"/>
        </w:rPr>
        <w:t>the things that are within you:</w:t>
      </w:r>
      <w:r>
        <w:rPr>
          <w:lang w:val="en_US" w:bidi="en_US"/>
        </w:rPr>
        <w:t xml:space="preserve"> The Greek expression that the BSB translates as </w:t>
      </w:r>
      <w:r>
        <w:rPr>
          <w:i/>
          <w:lang w:val="en_US" w:bidi="en_US"/>
        </w:rPr>
        <w:t>the things that are within you</w:t>
      </w:r>
      <w:r>
        <w:rPr>
          <w:lang w:val="en_US" w:bidi="en_US"/>
        </w:rPr>
        <w:t xml:space="preserve"> is literally “the-(things) being-inside.” There are several ways to interpret this phrase:</w:t>
      </w:r>
    </w:p>
    <w:p>
      <w:pPr>
        <w:pStyle w:val="ListNumber"/>
        <w:numPr>
          <w:ilvl w:val="0"/>
          <w:numId w:val="231"/>
        </w:numPr>
        <w:spacing w:line="240" w:lineRule="auto"/>
        <w:ind w:left="720"/>
      </w:pPr>
      <w:r>
        <w:rPr>
          <w:lang w:val="en_US" w:bidi="en_US"/>
        </w:rPr>
      </w:r>
      <w:r>
        <w:rPr>
          <w:lang w:val="en_US" w:bidi="en_US"/>
        </w:rPr>
        <w:t xml:space="preserve">It refers figuratively to a person’s </w:t>
      </w:r>
      <w:r>
        <w:rPr>
          <w:u w:val="single"/>
          <w:lang w:val="en_US" w:bidi="en_US"/>
        </w:rPr>
        <w:t>possessions</w:t>
      </w:r>
      <w:r>
        <w:rPr>
          <w:lang w:val="en_US" w:bidi="en_US"/>
        </w:rPr>
        <w:t>. For example:</w:t>
      </w:r>
      <w:r>
        <w:rPr>
          <w:lang w:val="en_US" w:bidi="en_US"/>
        </w:rPr>
        <w:t xml:space="preserve">give what you have to the poor (CEV) </w:t>
      </w:r>
      <w:r>
        <w:rPr>
          <w:i/>
          <w:lang w:val="en_US" w:bidi="en_US"/>
        </w:rPr>
        <w:t>(NJB, NLT, CEV, KJV)</w:t>
      </w:r>
    </w:p>
    <w:p>
      <w:pPr>
        <w:pStyle w:val="ListNumber"/>
        <w:spacing w:line="240" w:lineRule="auto"/>
        <w:ind w:left="720"/>
      </w:pPr>
      <w:r>
        <w:rPr>
          <w:lang w:val="en_US" w:bidi="en_US"/>
        </w:rPr>
      </w:r>
      <w:r>
        <w:rPr>
          <w:lang w:val="en_US" w:bidi="en_US"/>
        </w:rPr>
        <w:t xml:space="preserve">It refers to the </w:t>
      </w:r>
      <w:r>
        <w:rPr>
          <w:u w:val="single"/>
          <w:lang w:val="en_US" w:bidi="en_US"/>
        </w:rPr>
        <w:t>inside of a person</w:t>
      </w:r>
      <w:r>
        <w:rPr>
          <w:lang w:val="en_US" w:bidi="en_US"/>
        </w:rPr>
        <w:t>. Specifically, it refers to giving “inwardly” or “from an inner motivation.” For example:</w:t>
      </w:r>
      <w:r>
        <w:rPr>
          <w:lang w:val="en_US" w:bidi="en_US"/>
        </w:rPr>
        <w:t xml:space="preserve">give from your heart to those in need (NET) </w:t>
      </w:r>
      <w:r>
        <w:rPr>
          <w:i/>
          <w:lang w:val="en_US" w:bidi="en_US"/>
        </w:rPr>
        <w:t>(BSB, NET)</w:t>
      </w:r>
    </w:p>
    <w:p>
      <w:pPr>
        <w:pStyle w:val="ListNumber"/>
        <w:spacing w:line="240" w:lineRule="auto"/>
        <w:ind w:left="720"/>
      </w:pPr>
      <w:r>
        <w:rPr>
          <w:lang w:val="en_US" w:bidi="en_US"/>
        </w:rPr>
      </w:r>
      <w:r>
        <w:rPr>
          <w:lang w:val="en_US" w:bidi="en_US"/>
        </w:rPr>
        <w:t xml:space="preserve">It refers to food that is </w:t>
      </w:r>
      <w:r>
        <w:rPr>
          <w:u w:val="single"/>
          <w:lang w:val="en_US" w:bidi="en_US"/>
        </w:rPr>
        <w:t>inside the dishes</w:t>
      </w:r>
      <w:r>
        <w:rPr>
          <w:lang w:val="en_US" w:bidi="en_US"/>
        </w:rPr>
        <w:t>. For example:</w:t>
      </w:r>
      <w:r>
        <w:rPr>
          <w:lang w:val="en_US" w:bidi="en_US"/>
        </w:rPr>
        <w:t xml:space="preserve">So give what is in your dishes to the poor (NCV) </w:t>
      </w:r>
      <w:r>
        <w:rPr>
          <w:i/>
          <w:lang w:val="en_US" w:bidi="en_US"/>
        </w:rPr>
        <w:t>(NIV, GNT, NCV)</w:t>
      </w:r>
    </w:p>
    <w:p>
      <w:pPr/>
      <w:r>
        <w:rPr>
          <w:lang w:val="en_US" w:bidi="en_US"/>
        </w:rPr>
      </w:r>
      <w:r>
        <w:rPr>
          <w:lang w:val="en_US" w:bidi="en_US"/>
        </w:rPr>
        <w:t>It is recommended that you follow interpretation (1) or a combination of interpretations (1) and (2). These two interpretations fit well together and are supported by a majority of scholars. See the General Comment on 11:41a–b at the end of 11:41b for another way to express the relationship between these verse parts.</w:t>
      </w:r>
    </w:p>
    <w:p>
      <w:pPr>
        <w:pStyle w:val="Heading5"/>
      </w:pPr>
      <w:r>
        <w:rPr>
          <w:lang w:val="en_US" w:bidi="en_US"/>
        </w:rPr>
        <w:t>11:41b</w:t>
      </w:r>
    </w:p>
    <w:p>
      <w:pPr/>
      <w:r>
        <w:rPr>
          <w:lang w:val="en_US" w:bidi="en_US"/>
        </w:rPr>
      </w:r>
      <w:r>
        <w:rPr>
          <w:b/>
          <w:lang w:val="en_US" w:bidi="en_US"/>
        </w:rPr>
        <w:t>and you will see that everything is clean for you.</w:t>
      </w:r>
    </w:p>
    <w:p>
      <w:pPr>
        <w:pStyle w:val="ListBullet"/>
        <w:spacing w:line="240" w:lineRule="auto"/>
        <w:ind w:left="720"/>
      </w:pPr>
      <w:r>
        <w:rPr>
          <w:lang w:val="en_US" w:bidi="en_US"/>
        </w:rPr>
      </w:r>
      <w:r>
        <w:rPr>
          <w:lang w:val="en_US" w:bidi="en_US"/>
        </w:rPr>
        <w:t>and then, I tell you, both your</w:t>
      </w:r>
      <w:r>
        <w:rPr>
          <w:vertAlign w:val="superscript"/>
          <w:lang w:val="en_US" w:bidi="en_US"/>
        </w:rPr>
        <w:t>(plur)</w:t>
      </w:r>
      <w:r>
        <w:rPr>
          <w:lang w:val="en_US" w:bidi="en_US"/>
        </w:rPr>
        <w:t xml:space="preserve"> heart/mind and your body will be clean.</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w:t>
      </w:r>
      <w:r>
        <w:rPr>
          <w:lang w:val="en_US" w:bidi="en_US"/>
        </w:rPr>
        <w:t>do this,</w:t>
      </w:r>
      <w:r>
        <w:rPr>
          <w:lang w:val="en_US" w:bidi="en_US"/>
        </w:rPr>
        <w:t xml:space="preserve"> I assure you that you</w:t>
      </w:r>
      <w:r>
        <w:rPr>
          <w:vertAlign w:val="superscript"/>
          <w:lang w:val="en_US" w:bidi="en_US"/>
        </w:rPr>
        <w:t>(plur)</w:t>
      </w:r>
      <w:r>
        <w:rPr>
          <w:lang w:val="en_US" w:bidi="en_US"/>
        </w:rPr>
        <w:t xml:space="preserve"> will be completely/truly clean </w:t>
      </w:r>
      <w:r>
        <w:rPr>
          <w:lang w:val="en_US" w:bidi="en_US"/>
        </w:rPr>
        <w:t>in God’s sight</w:t>
      </w:r>
      <w:r>
        <w:rPr>
          <w:lang w:val="en_US" w:bidi="en_US"/>
        </w:rPr>
        <w:t xml:space="preserve"> </w:t>
      </w:r>
      <w:r>
        <w:rPr>
          <w:lang w:val="en_US" w:bidi="en_US"/>
        </w:rPr>
        <w:t>and acceptable to him</w:t>
      </w:r>
      <w:r>
        <w:rPr>
          <w:lang w:val="en_US" w:bidi="en_US"/>
        </w:rPr>
        <w:t>.”</w:t>
      </w:r>
    </w:p>
    <w:p>
      <w:pPr/>
      <w:r>
        <w:rPr>
          <w:lang w:val="en_US" w:bidi="en_US"/>
        </w:rPr>
      </w:r>
      <w:r>
        <w:rPr>
          <w:b/>
          <w:lang w:val="en_US" w:bidi="en_US"/>
        </w:rPr>
        <w:t>and:</w:t>
      </w:r>
      <w:r>
        <w:rPr>
          <w:lang w:val="en_US" w:bidi="en_US"/>
        </w:rPr>
        <w:t xml:space="preserve"> The Greek text here is literally “and behold.” Some English versions, such as the ESV, translate it that way. This phrase calls attention to the next statement. It indicates that the next statement is something important. It introduces what will happen if the Pharisees give generously to poor people. Most English versions do not translate this phrase. Some other ways to translate this phrase are:</w:t>
      </w:r>
    </w:p>
    <w:p>
      <w:pPr/>
      <w:r>
        <w:rPr>
          <w:lang w:val="en_US" w:bidi="en_US"/>
        </w:rPr>
      </w:r>
      <w:r>
        <w:rPr>
          <w:lang w:val="en_US" w:bidi="en_US"/>
        </w:rPr>
        <w:t>I tell you</w:t>
      </w:r>
    </w:p>
    <w:p>
      <w:pPr/>
      <w:r>
        <w:rPr>
          <w:lang w:val="en_US" w:bidi="en_US"/>
        </w:rPr>
      </w:r>
      <w:r>
        <w:rPr>
          <w:lang w:val="en_US" w:bidi="en_US"/>
        </w:rPr>
        <w:t>I assure you</w:t>
      </w:r>
    </w:p>
    <w:p>
      <w:pPr/>
      <w:r>
        <w:rPr>
          <w:lang w:val="en_US" w:bidi="en_US"/>
        </w:rPr>
      </w:r>
      <w:r>
        <w:rPr>
          <w:b/>
          <w:lang w:val="en_US" w:bidi="en_US"/>
        </w:rPr>
        <w:t>everything is clean for you:</w:t>
      </w:r>
      <w:r>
        <w:rPr>
          <w:lang w:val="en_US" w:bidi="en_US"/>
        </w:rPr>
        <w:t xml:space="preserve"> There are at least two ways to interpret the clause </w:t>
      </w:r>
      <w:r>
        <w:rPr>
          <w:i/>
          <w:lang w:val="en_US" w:bidi="en_US"/>
        </w:rPr>
        <w:t>everything is clean for you</w:t>
      </w:r>
      <w:r>
        <w:rPr>
          <w:lang w:val="en_US" w:bidi="en_US"/>
        </w:rPr>
        <w:t>:</w:t>
      </w:r>
    </w:p>
    <w:p>
      <w:pPr>
        <w:pStyle w:val="ListNumber"/>
        <w:numPr>
          <w:ilvl w:val="0"/>
          <w:numId w:val="232"/>
        </w:numPr>
        <w:spacing w:line="240" w:lineRule="auto"/>
        <w:ind w:left="720"/>
      </w:pPr>
      <w:r>
        <w:rPr>
          <w:lang w:val="en_US" w:bidi="en_US"/>
        </w:rPr>
      </w:r>
      <w:r>
        <w:rPr>
          <w:lang w:val="en_US" w:bidi="en_US"/>
        </w:rPr>
        <w:t xml:space="preserve">Your </w:t>
      </w:r>
      <w:r>
        <w:rPr>
          <w:u w:val="single"/>
          <w:lang w:val="en_US" w:bidi="en_US"/>
        </w:rPr>
        <w:t>entire being</w:t>
      </w:r>
      <w:r>
        <w:rPr>
          <w:lang w:val="en_US" w:bidi="en_US"/>
        </w:rPr>
        <w:t xml:space="preserve"> will be </w:t>
      </w:r>
      <w:r>
        <w:rPr>
          <w:u w:val="single"/>
          <w:lang w:val="en_US" w:bidi="en_US"/>
        </w:rPr>
        <w:t>truly clean</w:t>
      </w:r>
      <w:r>
        <w:rPr>
          <w:lang w:val="en_US" w:bidi="en_US"/>
        </w:rPr>
        <w:t xml:space="preserve"> in God’s sight and will be acceptable </w:t>
      </w:r>
      <w:r>
        <w:rPr>
          <w:u w:val="single"/>
          <w:lang w:val="en_US" w:bidi="en_US"/>
        </w:rPr>
        <w:t>to him</w:t>
      </w:r>
      <w:r>
        <w:rPr>
          <w:lang w:val="en_US" w:bidi="en_US"/>
        </w:rPr>
        <w:t>. For example:</w:t>
      </w:r>
      <w:r>
        <w:rPr>
          <w:lang w:val="en_US" w:bidi="en_US"/>
        </w:rPr>
        <w:t>and you will be clean all over (NLT)</w:t>
      </w:r>
      <w:r>
        <w:rPr>
          <w:lang w:val="en_US" w:bidi="en_US"/>
        </w:rPr>
        <w:t xml:space="preserve">and then you will be fully clean (NCV) </w:t>
      </w:r>
      <w:r>
        <w:rPr>
          <w:i/>
          <w:lang w:val="en_US" w:bidi="en_US"/>
        </w:rPr>
        <w:t>(NLT, NCV, CEV, JBP)</w:t>
      </w:r>
    </w:p>
    <w:p>
      <w:pPr>
        <w:pStyle w:val="ListNumber"/>
        <w:spacing w:line="240" w:lineRule="auto"/>
        <w:ind w:left="720"/>
      </w:pPr>
      <w:r>
        <w:rPr>
          <w:lang w:val="en_US" w:bidi="en_US"/>
        </w:rPr>
      </w:r>
      <w:r>
        <w:rPr>
          <w:u w:val="single"/>
          <w:lang w:val="en_US" w:bidi="en_US"/>
        </w:rPr>
        <w:t>Everything</w:t>
      </w:r>
      <w:r>
        <w:rPr>
          <w:lang w:val="en_US" w:bidi="en_US"/>
        </w:rPr>
        <w:t xml:space="preserve"> that needs ceremonial cleansing will be </w:t>
      </w:r>
      <w:r>
        <w:rPr>
          <w:u w:val="single"/>
          <w:lang w:val="en_US" w:bidi="en_US"/>
        </w:rPr>
        <w:t>ritually clean</w:t>
      </w:r>
      <w:r>
        <w:rPr>
          <w:lang w:val="en_US" w:bidi="en_US"/>
        </w:rPr>
        <w:t xml:space="preserve"> and acceptable </w:t>
      </w:r>
      <w:r>
        <w:rPr>
          <w:u w:val="single"/>
          <w:lang w:val="en_US" w:bidi="en_US"/>
        </w:rPr>
        <w:t>for you</w:t>
      </w:r>
      <w:r>
        <w:rPr>
          <w:lang w:val="en_US" w:bidi="en_US"/>
        </w:rPr>
        <w:t xml:space="preserve"> to use. For example:</w:t>
      </w:r>
      <w:r>
        <w:rPr>
          <w:lang w:val="en_US" w:bidi="en_US"/>
        </w:rPr>
        <w:t xml:space="preserve">everything will be ritually clean for you (GNT) </w:t>
      </w:r>
      <w:r>
        <w:rPr>
          <w:i/>
          <w:lang w:val="en_US" w:bidi="en_US"/>
        </w:rPr>
        <w:t>(BSB, GNT)</w:t>
      </w:r>
    </w:p>
    <w:p>
      <w:pPr/>
      <w:r>
        <w:rPr>
          <w:lang w:val="en_US" w:bidi="en_US"/>
        </w:rPr>
      </w:r>
      <w:r>
        <w:rPr>
          <w:lang w:val="en_US" w:bidi="en_US"/>
        </w:rPr>
        <w:t>It is recommended that you follow interpretation (1). It is consistent with Jesus’ overall teaching that God emphasizes inner purity more than ritual purity.</w:t>
      </w:r>
    </w:p>
    <w:p>
      <w:pPr/>
      <w:r>
        <w:rPr>
          <w:lang w:val="en_US" w:bidi="en_US"/>
        </w:rPr>
      </w:r>
      <w:r>
        <w:rPr>
          <w:b/>
          <w:lang w:val="en_US" w:bidi="en_US"/>
        </w:rPr>
        <w:t>clean:</w:t>
      </w:r>
      <w:r>
        <w:rPr>
          <w:lang w:val="en_US" w:bidi="en_US"/>
        </w:rPr>
        <w:t xml:space="preserve"> The word </w:t>
      </w:r>
      <w:r>
        <w:rPr>
          <w:i/>
          <w:lang w:val="en_US" w:bidi="en_US"/>
        </w:rPr>
        <w:t>clean</w:t>
      </w:r>
      <w:r>
        <w:rPr>
          <w:lang w:val="en_US" w:bidi="en_US"/>
        </w:rPr>
        <w:t xml:space="preserve"> here means something like “acceptable to God.” Jesus was saying that washing bowls and cups and hands made them ceremonially clean. But in order for the people eating at the feast to be truly clean before God, they had to be clean inside.</w:t>
      </w:r>
    </w:p>
    <w:p>
      <w:pPr/>
      <w:r>
        <w:rPr>
          <w:lang w:val="en_US" w:bidi="en_US"/>
        </w:rPr>
      </w:r>
      <w:r>
        <w:rPr>
          <w:lang w:val="en_US" w:bidi="en_US"/>
        </w:rPr>
        <w:t>One way to be clean inside was to be generous to the poor. If they did that, God would be pleased with them, whether or not they washed their hands.</w:t>
      </w:r>
    </w:p>
    <w:p>
      <w:pPr>
        <w:pStyle w:val="Heading6"/>
      </w:pPr>
      <w:r>
        <w:rPr>
          <w:b/>
          <w:lang w:val="en_US" w:bidi="en_US"/>
        </w:rPr>
        <w:t>General Comment on 11:41a–b</w:t>
      </w:r>
    </w:p>
    <w:p>
      <w:pPr/>
      <w:r>
        <w:rPr>
          <w:lang w:val="en_US" w:bidi="en_US"/>
        </w:rPr>
      </w:r>
      <w:r>
        <w:rPr>
          <w:lang w:val="en_US" w:bidi="en_US"/>
        </w:rPr>
        <w:t>Verse 11:41a (giving alms to the poor) may be regarded as a means to achieving the result in 11:41b (becoming truly clean). In some languages, it may be more natural to make this explicit. For example:</w:t>
      </w:r>
    </w:p>
    <w:p>
      <w:pPr/>
      <w:r>
        <w:rPr>
          <w:lang w:val="en_US" w:bidi="en_US"/>
        </w:rPr>
      </w:r>
      <w:r>
        <w:rPr>
          <w:lang w:val="en_US" w:bidi="en_US"/>
        </w:rPr>
        <w:t>So clean the inside by giving gifts to the poor, and you will be clean all over. (NLT)</w:t>
      </w:r>
      <w:r>
        <w:rPr>
          <w:lang w:val="en_US" w:bidi="en_US"/>
        </w:rPr>
      </w:r>
      <w:r>
        <w:rPr>
          <w:lang w:val="en_US" w:bidi="en_US"/>
        </w:rPr>
      </w:r>
    </w:p>
    <w:p>
      <w:pPr/>
      <w:r>
        <w:rPr>
          <w:lang w:val="en_US" w:bidi="en_US"/>
        </w:rPr>
      </w:r>
    </w:p>
    <w:p>
      <w:pPr>
        <w:pStyle w:val="Heading2"/>
      </w:pPr>
      <w:r>
        <w:rPr>
          <w:lang w:val="en_US" w:bidi="en_US"/>
        </w:rPr>
        <w:t>Luke 11:42</w:t>
      </w:r>
      <w:r>
        <w:rPr>
          <w:lang w:val="en_US" w:bidi="en_US"/>
        </w:rPr>
      </w:r>
    </w:p>
    <w:p>
      <w:pPr>
        <w:pStyle w:val="Heading4"/>
      </w:pPr>
      <w:r>
        <w:rPr>
          <w:lang w:val="en_US" w:bidi="en_US"/>
        </w:rPr>
        <w:t>Section 11:37–54: Jesus criticized the Pharisees and the teachers of the law</w:t>
      </w:r>
    </w:p>
    <w:p>
      <w:pPr/>
      <w:r>
        <w:rPr>
          <w:lang w:val="en_US" w:bidi="en_US"/>
        </w:rPr>
      </w:r>
      <w:r>
        <w:rPr>
          <w:lang w:val="en_US" w:bidi="en_US"/>
        </w:rP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pPr/>
      <w:r>
        <w:rPr>
          <w:lang w:val="en_US" w:bidi="en_US"/>
        </w:rPr>
      </w:r>
      <w:r>
        <w:rPr>
          <w:lang w:val="en_US" w:bidi="en_US"/>
        </w:rPr>
        <w:t>Some other headings for this section are:</w:t>
      </w:r>
    </w:p>
    <w:p>
      <w:pPr/>
      <w:r>
        <w:rPr>
          <w:lang w:val="en_US" w:bidi="en_US"/>
        </w:rPr>
      </w:r>
      <w:r>
        <w:rPr>
          <w:lang w:val="en_US" w:bidi="en_US"/>
        </w:rPr>
        <w:t>Jesus’ Criticism of the Religious Leaders</w:t>
      </w:r>
    </w:p>
    <w:p>
      <w:pPr/>
      <w:r>
        <w:rPr>
          <w:lang w:val="en_US" w:bidi="en_US"/>
        </w:rPr>
      </w:r>
      <w:r>
        <w:rPr>
          <w:lang w:val="en_US" w:bidi="en_US"/>
        </w:rPr>
        <w:t>There are parallel passages for this section in Matthew 23:1–36 and Mark 12:38–40.</w:t>
      </w:r>
    </w:p>
    <w:p>
      <w:pPr>
        <w:pStyle w:val="Heading4"/>
      </w:pPr>
      <w:r>
        <w:rPr>
          <w:lang w:val="en_US" w:bidi="en_US"/>
        </w:rPr>
        <w:t>Paragraph 11:42–44</w:t>
      </w:r>
    </w:p>
    <w:p>
      <w:pPr/>
      <w:r>
        <w:rPr>
          <w:lang w:val="en_US" w:bidi="en_US"/>
        </w:rPr>
      </w:r>
      <w:r>
        <w:rPr>
          <w:lang w:val="en_US" w:bidi="en_US"/>
        </w:rPr>
        <w:t>In this paragraph, Jesus said that God was not pleased with how the Pharisees were behaving. He also said that God would punish them.</w:t>
      </w:r>
    </w:p>
    <w:p>
      <w:pPr>
        <w:pStyle w:val="Heading5"/>
      </w:pPr>
      <w:r>
        <w:rPr>
          <w:lang w:val="en_US" w:bidi="en_US"/>
        </w:rPr>
        <w:t>11:42a–c</w:t>
      </w:r>
    </w:p>
    <w:p>
      <w:pPr/>
      <w:r>
        <w:rPr>
          <w:lang w:val="en_US" w:bidi="en_US"/>
        </w:rPr>
      </w:r>
      <w:r>
        <w:rPr>
          <w:lang w:val="en_US" w:bidi="en_US"/>
        </w:rPr>
        <w:t>It may be more natural in some languages to reorder the clauses of 11:42a–c. See the General Comment on 11:42a–c at the end of 11:42c for an example.</w:t>
      </w:r>
    </w:p>
    <w:p>
      <w:pPr>
        <w:pStyle w:val="Heading5"/>
      </w:pPr>
      <w:r>
        <w:rPr>
          <w:lang w:val="en_US" w:bidi="en_US"/>
        </w:rPr>
        <w:t>11:42a</w:t>
      </w:r>
    </w:p>
    <w:p>
      <w:pPr/>
      <w:r>
        <w:rPr>
          <w:lang w:val="en_US" w:bidi="en_US"/>
        </w:rPr>
      </w:r>
      <w:r>
        <w:rPr>
          <w:b/>
          <w:lang w:val="en_US" w:bidi="en_US"/>
        </w:rPr>
        <w:t>Woe to you Pharisees!</w:t>
      </w:r>
    </w:p>
    <w:p>
      <w:pPr>
        <w:pStyle w:val="ListBullet"/>
        <w:spacing w:line="240" w:lineRule="auto"/>
        <w:ind w:left="720"/>
      </w:pPr>
      <w:r>
        <w:rPr>
          <w:lang w:val="en_US" w:bidi="en_US"/>
        </w:rPr>
      </w:r>
      <w:r>
        <w:rPr>
          <w:lang w:val="en_US" w:bidi="en_US"/>
        </w:rPr>
        <w:t xml:space="preserve">¶ “But </w:t>
      </w:r>
      <w:r>
        <w:rPr>
          <w:lang w:val="en_US" w:bidi="en_US"/>
        </w:rPr>
        <w:t>unfortunately,</w:t>
      </w:r>
      <w:r>
        <w:rPr>
          <w:lang w:val="en_US" w:bidi="en_US"/>
        </w:rPr>
        <w:t xml:space="preserve"> it will be bad/terrible for you</w:t>
      </w:r>
      <w:r>
        <w:rPr>
          <w:vertAlign w:val="superscript"/>
          <w:lang w:val="en_US" w:bidi="en_US"/>
        </w:rPr>
        <w:t>(plur)</w:t>
      </w:r>
      <w:r>
        <w:rPr>
          <w:lang w:val="en_US" w:bidi="en_US"/>
        </w:rPr>
        <w:t xml:space="preserve"> Pharisees,</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“How sad/awful! God will severely punish you</w:t>
      </w:r>
      <w:r>
        <w:rPr>
          <w:vertAlign w:val="superscript"/>
          <w:lang w:val="en_US" w:bidi="en_US"/>
        </w:rPr>
        <w:t>(plur)</w:t>
      </w:r>
      <w:r>
        <w:rPr>
          <w:lang w:val="en_US" w:bidi="en_US"/>
        </w:rPr>
        <w:t xml:space="preserve"> Pharisees.</w:t>
      </w:r>
    </w:p>
    <w:p>
      <w:pPr/>
      <w:r>
        <w:rPr>
          <w:lang w:val="en_US" w:bidi="en_US"/>
        </w:rPr>
      </w:r>
      <w:r>
        <w:rPr>
          <w:lang w:val="en_US" w:bidi="en_US"/>
        </w:rPr>
        <w:t>In Greek, this paragraph begins with a conjunction. Some versions, such as the RSV, translate it as “But.” In this context, it probably has two functions:</w:t>
      </w:r>
    </w:p>
    <w:p>
      <w:pPr>
        <w:pStyle w:val="ListNumber"/>
        <w:numPr>
          <w:ilvl w:val="0"/>
          <w:numId w:val="233"/>
        </w:numPr>
        <w:spacing w:line="240" w:lineRule="auto"/>
        <w:ind w:left="720"/>
      </w:pPr>
      <w:r>
        <w:rPr>
          <w:lang w:val="en_US" w:bidi="en_US"/>
        </w:rPr>
      </w:r>
      <w:r>
        <w:rPr>
          <w:lang w:val="en_US" w:bidi="en_US"/>
        </w:rPr>
        <w:t>It introduces a contrast between the actual situation of the Pharisees (11:42b–c) and what they ought to have done (11:41a–b). Another way to introduce this contrast is to say:</w:t>
      </w:r>
      <w:r>
        <w:rPr>
          <w:lang w:val="en_US" w:bidi="en_US"/>
        </w:rPr>
        <w:t>But unfortunately, it will be bad…</w:t>
      </w:r>
    </w:p>
    <w:p>
      <w:pPr>
        <w:pStyle w:val="ListNumber"/>
        <w:spacing w:line="240" w:lineRule="auto"/>
        <w:ind w:left="720"/>
      </w:pPr>
      <w:r>
        <w:rPr>
          <w:lang w:val="en_US" w:bidi="en_US"/>
        </w:rPr>
      </w:r>
      <w:r>
        <w:rPr>
          <w:lang w:val="en_US" w:bidi="en_US"/>
        </w:rPr>
        <w:t>It introduces a new thought. Another way to introduce this new thought is to say:</w:t>
      </w:r>
      <w:r>
        <w:rPr>
          <w:lang w:val="en_US" w:bidi="en_US"/>
        </w:rPr>
        <w:t>Jesus continued, “How awful…”</w:t>
      </w:r>
    </w:p>
    <w:p>
      <w:pPr/>
      <w:r>
        <w:rPr>
          <w:lang w:val="en_US" w:bidi="en_US"/>
        </w:rPr>
      </w:r>
      <w:r>
        <w:rPr>
          <w:lang w:val="en_US" w:bidi="en_US"/>
        </w:rPr>
        <w:t>The BSB, like some other English versions, does not explicitly connect this paragraph with the preceding verse.</w:t>
      </w:r>
    </w:p>
    <w:p>
      <w:pPr/>
      <w:r>
        <w:rPr>
          <w:lang w:val="en_US" w:bidi="en_US"/>
        </w:rPr>
      </w:r>
      <w:r>
        <w:rPr>
          <w:b/>
          <w:lang w:val="en_US" w:bidi="en_US"/>
        </w:rPr>
        <w:t>Woe to you Pharisees!:</w:t>
      </w:r>
      <w:r>
        <w:rPr>
          <w:lang w:val="en_US" w:bidi="en_US"/>
        </w:rPr>
        <w:t xml:space="preserve"> The Greek phrase that the BSB translates as </w:t>
      </w:r>
      <w:r>
        <w:rPr>
          <w:i/>
          <w:lang w:val="en_US" w:bidi="en_US"/>
        </w:rPr>
        <w:t>Woe to you</w:t>
      </w:r>
      <w:r>
        <w:rPr>
          <w:lang w:val="en_US" w:bidi="en_US"/>
        </w:rPr>
        <w:t xml:space="preserve"> expresses Jesus’ sorrow. This sorrow was due to the terrible things that would happen to the Pharisees. It implies that God would punish them. Some other ways to translate this exclamation are:</w:t>
      </w:r>
    </w:p>
    <w:p>
      <w:pPr/>
      <w:r>
        <w:rPr>
          <w:lang w:val="en_US" w:bidi="en_US"/>
        </w:rPr>
      </w:r>
      <w:r>
        <w:rPr>
          <w:lang w:val="en_US" w:bidi="en_US"/>
        </w:rPr>
        <w:t>How terrible it will be for you Pharisees! (NLT96)</w:t>
      </w:r>
    </w:p>
    <w:p>
      <w:pPr/>
      <w:r>
        <w:rPr>
          <w:lang w:val="en_US" w:bidi="en_US"/>
        </w:rPr>
      </w:r>
      <w:r>
        <w:rPr>
          <w:lang w:val="en_US" w:bidi="en_US"/>
        </w:rPr>
        <w:t>How horrible it will be for you Pharisees! (GW)</w:t>
      </w:r>
    </w:p>
    <w:p>
      <w:pPr/>
      <w:r>
        <w:rPr>
          <w:lang w:val="en_US" w:bidi="en_US"/>
        </w:rPr>
      </w:r>
      <w:r>
        <w:rPr>
          <w:lang w:val="en_US" w:bidi="en_US"/>
        </w:rPr>
        <w:t>How sad/awful! God will punish you Pharisees severely.</w:t>
      </w:r>
    </w:p>
    <w:p>
      <w:pPr/>
      <w:r>
        <w:rPr>
          <w:lang w:val="en_US" w:bidi="en_US"/>
        </w:rPr>
      </w:r>
      <w:r>
        <w:rPr>
          <w:lang w:val="en_US" w:bidi="en_US"/>
        </w:rPr>
        <w:t>If you have an idiom to express this idea, you may use it here.</w:t>
      </w:r>
    </w:p>
    <w:p>
      <w:pPr/>
      <w:r>
        <w:rPr>
          <w:lang w:val="en_US" w:bidi="en_US"/>
        </w:rPr>
      </w:r>
      <w:r>
        <w:rPr>
          <w:lang w:val="en_US" w:bidi="en_US"/>
        </w:rPr>
        <w:t xml:space="preserve">The word </w:t>
      </w:r>
      <w:r>
        <w:rPr>
          <w:i/>
          <w:lang w:val="en_US" w:bidi="en_US"/>
        </w:rPr>
        <w:t>Woe</w:t>
      </w:r>
      <w:r>
        <w:rPr>
          <w:lang w:val="en_US" w:bidi="en_US"/>
        </w:rPr>
        <w:t xml:space="preserve"> also occurs in 10:13a.</w:t>
      </w:r>
    </w:p>
    <w:p>
      <w:pPr>
        <w:pStyle w:val="Heading5"/>
      </w:pPr>
      <w:r>
        <w:rPr>
          <w:lang w:val="en_US" w:bidi="en_US"/>
        </w:rPr>
        <w:t>11:42b</w:t>
      </w:r>
    </w:p>
    <w:p>
      <w:pPr/>
      <w:r>
        <w:rPr>
          <w:lang w:val="en_US" w:bidi="en_US"/>
        </w:rPr>
      </w:r>
      <w:r>
        <w:rPr>
          <w:b/>
          <w:lang w:val="en_US" w:bidi="en_US"/>
        </w:rPr>
        <w:t>You pay tithes of mint, rue, and every herb,</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w:t>
      </w:r>
      <w:r>
        <w:rPr>
          <w:lang w:val="en_US" w:bidi="en_US"/>
        </w:rPr>
        <w:t>carefully</w:t>
      </w:r>
      <w:r>
        <w:rPr>
          <w:lang w:val="en_US" w:bidi="en_US"/>
        </w:rPr>
        <w:t xml:space="preserve"> give to God a tenth of </w:t>
      </w:r>
      <w:r>
        <w:rPr>
          <w:lang w:val="en_US" w:bidi="en_US"/>
        </w:rPr>
        <w:t>even</w:t>
      </w:r>
      <w:r>
        <w:rPr>
          <w:lang w:val="en_US" w:bidi="en_US"/>
        </w:rPr>
        <w:t xml:space="preserve"> your mint herbs, your rue herbs, and your other garden plants,</w:t>
      </w:r>
    </w:p>
    <w:p>
      <w:pPr>
        <w:pStyle w:val="ListBullet"/>
        <w:spacing w:line="240" w:lineRule="auto"/>
        <w:ind w:left="720"/>
      </w:pPr>
      <w:r>
        <w:rPr>
          <w:lang w:val="en_US" w:bidi="en_US"/>
        </w:rPr>
      </w:r>
      <w:r>
        <w:rPr>
          <w:lang w:val="en_US" w:bidi="en_US"/>
        </w:rPr>
        <w:t xml:space="preserve">because </w:t>
      </w:r>
      <w:r>
        <w:rPr>
          <w:lang w:val="en_US" w:bidi="en_US"/>
        </w:rPr>
        <w:t>although</w:t>
      </w:r>
      <w:r>
        <w:rPr>
          <w:lang w:val="en_US" w:bidi="en_US"/>
        </w:rPr>
        <w:t xml:space="preserve"> you</w:t>
      </w:r>
      <w:r>
        <w:rPr>
          <w:vertAlign w:val="superscript"/>
          <w:lang w:val="en_US" w:bidi="en_US"/>
        </w:rPr>
        <w:t>(plur)</w:t>
      </w:r>
      <w:r>
        <w:rPr>
          <w:lang w:val="en_US" w:bidi="en_US"/>
        </w:rPr>
        <w:t xml:space="preserve"> </w:t>
      </w:r>
      <w:r>
        <w:rPr>
          <w:lang w:val="en_US" w:bidi="en_US"/>
        </w:rPr>
        <w:t>are careful to</w:t>
      </w:r>
      <w:r>
        <w:rPr>
          <w:lang w:val="en_US" w:bidi="en_US"/>
        </w:rPr>
        <w:t xml:space="preserve"> tithe the small plants that you harvest for flavoring food and every other plant that grows in your gardens,</w:t>
      </w:r>
    </w:p>
    <w:p>
      <w:pPr>
        <w:pStyle w:val="ListBullet"/>
        <w:spacing w:line="240" w:lineRule="auto"/>
        <w:ind w:left="720"/>
      </w:pPr>
      <w:r>
        <w:rPr>
          <w:lang w:val="en_US" w:bidi="en_US"/>
        </w:rPr>
      </w:r>
      <w:r>
        <w:rPr>
          <w:lang w:val="en_US" w:bidi="en_US"/>
        </w:rPr>
        <w:t xml:space="preserve">You take </w:t>
      </w:r>
      <w:r>
        <w:rPr>
          <w:lang w:val="en_US" w:bidi="en_US"/>
        </w:rPr>
        <w:t>even</w:t>
      </w:r>
      <w:r>
        <w:rPr>
          <w:lang w:val="en_US" w:bidi="en_US"/>
        </w:rPr>
        <w:t xml:space="preserve"> your tiny herbs/leaves and your vegetables and divide them into ten parts and give one part to God,</w:t>
      </w:r>
    </w:p>
    <w:p>
      <w:pPr/>
      <w:r>
        <w:rPr>
          <w:lang w:val="en_US" w:bidi="en_US"/>
        </w:rPr>
      </w:r>
      <w:r>
        <w:rPr>
          <w:lang w:val="en_US" w:bidi="en_US"/>
        </w:rPr>
        <w:t>This verse part begins with a Greek conjunction that introduces the reason for Jesus’ exclamation of woe in 11:42a. Many English versions translate this conjunction as “for” or “because.” The BSB and some other English versions do not translate this conjunction. In some languages it may be natural to introduce this reason without using an explicit conjunction.</w:t>
      </w:r>
    </w:p>
    <w:p>
      <w:pPr/>
      <w:r>
        <w:rPr>
          <w:lang w:val="en_US" w:bidi="en_US"/>
        </w:rPr>
      </w:r>
      <w:r>
        <w:rPr>
          <w:b/>
          <w:lang w:val="en_US" w:bidi="en_US"/>
        </w:rPr>
        <w:t>You pay tithes of mint, rue, and every herb:</w:t>
      </w:r>
      <w:r>
        <w:rPr>
          <w:lang w:val="en_US" w:bidi="en_US"/>
        </w:rPr>
        <w:t xml:space="preserve"> God was not angry because the Pharisees gave a tenth of these herbs, but because they did not do other, more important things. In some languages it may be helpful to make this clear by supplying a word such as “although.” For example:</w:t>
      </w:r>
    </w:p>
    <w:p>
      <w:pPr/>
      <w:r>
        <w:rPr>
          <w:lang w:val="en_US" w:bidi="en_US"/>
        </w:rPr>
      </w:r>
      <w:r>
        <w:rPr>
          <w:lang w:val="en_US" w:bidi="en_US"/>
        </w:rPr>
        <w:t xml:space="preserve">because, </w:t>
      </w:r>
      <w:r>
        <w:rPr>
          <w:lang w:val="en_US" w:bidi="en_US"/>
        </w:rPr>
        <w:t>although</w:t>
      </w:r>
      <w:r>
        <w:rPr>
          <w:lang w:val="en_US" w:bidi="en_US"/>
        </w:rPr>
        <w:t xml:space="preserve"> you give to God a tenth of your mint…</w:t>
      </w:r>
    </w:p>
    <w:p>
      <w:pPr/>
      <w:r>
        <w:rPr>
          <w:lang w:val="en_US" w:bidi="en_US"/>
        </w:rPr>
      </w:r>
      <w:r>
        <w:rPr>
          <w:lang w:val="en_US" w:bidi="en_US"/>
        </w:rPr>
        <w:t>This clause contains implied information. It is implied that the Pharisees were very strict in tithing even unimportant things such as herbs used to season food. In some languages, it may be helpful to make this information explicit. Making this explicit may avoid the wrong implication that the Pharisees tithed garden herbs but not other things, such as grain or animals. For example:</w:t>
      </w:r>
    </w:p>
    <w:p>
      <w:pPr/>
      <w:r>
        <w:rPr>
          <w:lang w:val="en_US" w:bidi="en_US"/>
        </w:rPr>
      </w:r>
      <w:r>
        <w:rPr>
          <w:lang w:val="en_US" w:bidi="en_US"/>
        </w:rPr>
        <w:t>you are careful to tithe even the tiniest income from your herb gardens (NLT)</w:t>
      </w:r>
    </w:p>
    <w:p>
      <w:pPr/>
      <w:r>
        <w:rPr>
          <w:lang w:val="en_US" w:bidi="en_US"/>
        </w:rPr>
      </w:r>
      <w:r>
        <w:rPr>
          <w:b/>
          <w:lang w:val="en_US" w:bidi="en_US"/>
        </w:rPr>
        <w:t>You pay tithes:</w:t>
      </w:r>
      <w:r>
        <w:rPr>
          <w:lang w:val="en_US" w:bidi="en_US"/>
        </w:rPr>
        <w:t xml:space="preserve"> The Greek verb that the BSB translates as </w:t>
      </w:r>
      <w:r>
        <w:rPr>
          <w:i/>
          <w:lang w:val="en_US" w:bidi="en_US"/>
        </w:rPr>
        <w:t>You pay tithes</w:t>
      </w:r>
      <w:r>
        <w:rPr>
          <w:lang w:val="en_US" w:bidi="en_US"/>
        </w:rPr>
        <w:t xml:space="preserve"> can also be translated this way:</w:t>
      </w:r>
    </w:p>
    <w:p>
      <w:pPr/>
      <w:r>
        <w:rPr>
          <w:lang w:val="en_US" w:bidi="en_US"/>
        </w:rPr>
      </w:r>
      <w:r>
        <w:rPr>
          <w:lang w:val="en_US" w:bidi="en_US"/>
        </w:rPr>
        <w:t>you tithe (ESV)</w:t>
      </w:r>
    </w:p>
    <w:p>
      <w:pPr/>
      <w:r>
        <w:rPr>
          <w:lang w:val="en_US" w:bidi="en_US"/>
        </w:rPr>
      </w:r>
      <w:r>
        <w:rPr>
          <w:lang w:val="en_US" w:bidi="en_US"/>
        </w:rPr>
        <w:t>The Old Testament laws required the Jewish people to give to God a tenth of whatever they gained from their animals, grain crops, and garden fruits.</w:t>
      </w:r>
    </w:p>
    <w:p>
      <w:pPr/>
      <w:r>
        <w:rPr>
          <w:lang w:val="en_US" w:bidi="en_US"/>
        </w:rPr>
      </w:r>
      <w:r>
        <w:rPr>
          <w:lang w:val="en_US" w:bidi="en_US"/>
        </w:rPr>
        <w:t>Some other ways to translate this are:</w:t>
      </w:r>
    </w:p>
    <w:p>
      <w:pPr/>
      <w:r>
        <w:rPr>
          <w:lang w:val="en_US" w:bidi="en_US"/>
        </w:rPr>
      </w:r>
      <w:r>
        <w:rPr>
          <w:lang w:val="en_US" w:bidi="en_US"/>
        </w:rPr>
        <w:t>give God one of/from every ten</w:t>
      </w:r>
    </w:p>
    <w:p>
      <w:pPr/>
      <w:r>
        <w:rPr>
          <w:lang w:val="en_US" w:bidi="en_US"/>
        </w:rPr>
      </w:r>
      <w:r>
        <w:rPr>
          <w:lang w:val="en_US" w:bidi="en_US"/>
        </w:rPr>
        <w:t>If you have ten…, you take one and give it to God</w:t>
      </w:r>
    </w:p>
    <w:p>
      <w:pPr/>
      <w:r>
        <w:rPr>
          <w:lang w:val="en_US" w:bidi="en_US"/>
        </w:rPr>
      </w:r>
      <w:r>
        <w:rPr>
          <w:lang w:val="en_US" w:bidi="en_US"/>
        </w:rPr>
        <w:t>give God his part</w:t>
      </w:r>
    </w:p>
    <w:p>
      <w:pPr/>
      <w:r>
        <w:rPr>
          <w:lang w:val="en_US" w:bidi="en_US"/>
        </w:rPr>
      </w:r>
      <w:r>
        <w:rPr>
          <w:b/>
          <w:lang w:val="en_US" w:bidi="en_US"/>
        </w:rPr>
        <w:t>mint, rue:</w:t>
      </w:r>
      <w:r>
        <w:rPr>
          <w:lang w:val="en_US" w:bidi="en_US"/>
        </w:rPr>
        <w:t xml:space="preserve"> The words </w:t>
      </w:r>
      <w:r>
        <w:rPr>
          <w:i/>
          <w:lang w:val="en_US" w:bidi="en_US"/>
        </w:rPr>
        <w:t>mint</w:t>
      </w:r>
      <w:r>
        <w:rPr>
          <w:lang w:val="en_US" w:bidi="en_US"/>
        </w:rPr>
        <w:t xml:space="preserve"> and </w:t>
      </w:r>
      <w:r>
        <w:rPr>
          <w:i/>
          <w:lang w:val="en_US" w:bidi="en_US"/>
        </w:rPr>
        <w:t>rue</w:t>
      </w:r>
      <w:r>
        <w:rPr>
          <w:lang w:val="en_US" w:bidi="en_US"/>
        </w:rPr>
        <w:t xml:space="preserve"> here refer to small plants. The leaves and stems of </w:t>
      </w:r>
      <w:r>
        <w:rPr>
          <w:i/>
          <w:lang w:val="en_US" w:bidi="en_US"/>
        </w:rPr>
        <w:t>mint</w:t>
      </w:r>
      <w:r>
        <w:rPr>
          <w:lang w:val="en_US" w:bidi="en_US"/>
        </w:rPr>
        <w:t xml:space="preserve"> were used as an herb to season food. The leaves of the </w:t>
      </w:r>
      <w:r>
        <w:rPr>
          <w:i/>
          <w:lang w:val="en_US" w:bidi="en_US"/>
        </w:rPr>
        <w:t>rue</w:t>
      </w:r>
      <w:r>
        <w:rPr>
          <w:lang w:val="en_US" w:bidi="en_US"/>
        </w:rPr>
        <w:t xml:space="preserve"> plant were used to give a bitter flavor to food. People also used it in medicines.</w:t>
      </w:r>
    </w:p>
    <w:p>
      <w:pPr/>
      <w:r>
        <w:rPr>
          <w:lang w:val="en_US" w:bidi="en_US"/>
        </w:rPr>
      </w:r>
      <w:r>
        <w:rPr>
          <w:lang w:val="en_US" w:bidi="en_US"/>
        </w:rPr>
        <w:t xml:space="preserve">Some other ways to translate </w:t>
      </w:r>
      <w:r>
        <w:rPr>
          <w:i/>
          <w:lang w:val="en_US" w:bidi="en_US"/>
        </w:rPr>
        <w:t>mint</w:t>
      </w:r>
      <w:r>
        <w:rPr>
          <w:lang w:val="en_US" w:bidi="en_US"/>
        </w:rPr>
        <w:t xml:space="preserve"> and </w:t>
      </w:r>
      <w:r>
        <w:rPr>
          <w:i/>
          <w:lang w:val="en_US" w:bidi="en_US"/>
        </w:rPr>
        <w:t>rue</w:t>
      </w:r>
      <w:r>
        <w:rPr>
          <w:lang w:val="en_US" w:bidi="en_US"/>
        </w:rPr>
        <w:t xml:space="preserve"> are:</w:t>
      </w:r>
    </w:p>
    <w:p>
      <w:pPr>
        <w:pStyle w:val="ListBullet"/>
        <w:spacing w:line="240" w:lineRule="auto"/>
        <w:ind w:left="720"/>
      </w:pPr>
      <w:r>
        <w:rPr>
          <w:lang w:val="en_US" w:bidi="en_US"/>
        </w:rPr>
      </w:r>
      <w:r>
        <w:rPr>
          <w:lang w:val="en_US" w:bidi="en_US"/>
        </w:rPr>
        <w:t>Use a more generic word or descriptive phrase. For example:</w:t>
      </w:r>
      <w:r>
        <w:rPr>
          <w:lang w:val="en_US" w:bidi="en_US"/>
        </w:rPr>
        <w:t>small plants that you harvest for seasoning/flavoring food</w:t>
      </w:r>
      <w:r>
        <w:rPr>
          <w:lang w:val="en_US" w:bidi="en_US"/>
        </w:rPr>
        <w:t>seasoning/spice herbs</w:t>
      </w:r>
    </w:p>
    <w:p>
      <w:pPr>
        <w:pStyle w:val="ListBullet"/>
        <w:spacing w:line="240" w:lineRule="auto"/>
        <w:ind w:left="720"/>
      </w:pPr>
      <w:r>
        <w:rPr>
          <w:lang w:val="en_US" w:bidi="en_US"/>
        </w:rPr>
      </w:r>
      <w:r>
        <w:rPr>
          <w:lang w:val="en_US" w:bidi="en_US"/>
        </w:rPr>
        <w:t>Substitute another kind of herb.</w:t>
      </w:r>
    </w:p>
    <w:p>
      <w:pPr/>
      <w:r>
        <w:rPr>
          <w:lang w:val="en_US" w:bidi="en_US"/>
        </w:rPr>
      </w:r>
      <w:r>
        <w:rPr>
          <w:b/>
          <w:lang w:val="en_US" w:bidi="en_US"/>
        </w:rPr>
        <w:t>and every herb:</w:t>
      </w:r>
      <w:r>
        <w:rPr>
          <w:lang w:val="en_US" w:bidi="en_US"/>
        </w:rPr>
        <w:t xml:space="preserve"> The Greek phrase that the BSB translates as </w:t>
      </w:r>
      <w:r>
        <w:rPr>
          <w:i/>
          <w:lang w:val="en_US" w:bidi="en_US"/>
        </w:rPr>
        <w:t>and every herb</w:t>
      </w:r>
      <w:r>
        <w:rPr>
          <w:lang w:val="en_US" w:bidi="en_US"/>
        </w:rPr>
        <w:t xml:space="preserve"> refers in general to plants or vegetables that grew in gardens. People ate some of these for regular food. Others, like mint and rue, were small plants that people used to season or flavor their food.</w:t>
      </w:r>
    </w:p>
    <w:p>
      <w:pPr/>
      <w:r>
        <w:rPr>
          <w:lang w:val="en_US" w:bidi="en_US"/>
        </w:rPr>
      </w:r>
      <w:r>
        <w:rPr>
          <w:lang w:val="en_US" w:bidi="en_US"/>
        </w:rPr>
        <w:t>Some ways to translate this phrase are:</w:t>
      </w:r>
    </w:p>
    <w:p>
      <w:pPr/>
      <w:r>
        <w:rPr>
          <w:lang w:val="en_US" w:bidi="en_US"/>
        </w:rPr>
      </w:r>
      <w:r>
        <w:rPr>
          <w:lang w:val="en_US" w:bidi="en_US"/>
        </w:rPr>
        <w:t>any other kind of vegetable</w:t>
      </w:r>
    </w:p>
    <w:p>
      <w:pPr/>
      <w:r>
        <w:rPr>
          <w:lang w:val="en_US" w:bidi="en_US"/>
        </w:rPr>
      </w:r>
      <w:r>
        <w:rPr>
          <w:lang w:val="en_US" w:bidi="en_US"/>
        </w:rPr>
        <w:t>every other plant in your garden (NCV)</w:t>
      </w:r>
    </w:p>
    <w:p>
      <w:pPr>
        <w:pStyle w:val="Heading5"/>
      </w:pPr>
      <w:r>
        <w:rPr>
          <w:lang w:val="en_US" w:bidi="en_US"/>
        </w:rPr>
        <w:t>11:42c</w:t>
      </w:r>
    </w:p>
    <w:p>
      <w:pPr/>
      <w:r>
        <w:rPr>
          <w:lang w:val="en_US" w:bidi="en_US"/>
        </w:rPr>
      </w:r>
      <w:r>
        <w:rPr>
          <w:b/>
          <w:lang w:val="en_US" w:bidi="en_US"/>
        </w:rPr>
        <w:t>but you disregard justice and the love of God.</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do not act in a just way or love God.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treat </w:t>
      </w:r>
      <w:r>
        <w:rPr>
          <w:lang w:val="en_US" w:bidi="en_US"/>
        </w:rPr>
        <w:t>other people</w:t>
      </w:r>
      <w:r>
        <w:rPr>
          <w:lang w:val="en_US" w:bidi="en_US"/>
        </w:rPr>
        <w:t xml:space="preserve"> justly/fairly and you</w:t>
      </w:r>
      <w:r>
        <w:rPr>
          <w:vertAlign w:val="superscript"/>
          <w:lang w:val="en_US" w:bidi="en_US"/>
        </w:rPr>
        <w:t>(plur)</w:t>
      </w:r>
      <w:r>
        <w:rPr>
          <w:lang w:val="en_US" w:bidi="en_US"/>
        </w:rPr>
        <w:t xml:space="preserve"> do not love God.</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neglect </w:t>
      </w:r>
      <w:r>
        <w:rPr>
          <w:lang w:val="en_US" w:bidi="en_US"/>
        </w:rPr>
        <w:t>what is more important, such as</w:t>
      </w:r>
      <w:r>
        <w:rPr>
          <w:lang w:val="en_US" w:bidi="en_US"/>
        </w:rPr>
        <w:t xml:space="preserve"> doing what is fair/right to others and loving God.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contrast. The Pharisees were doing one thing and not doing something else that was more important.</w:t>
      </w:r>
    </w:p>
    <w:p>
      <w:pPr/>
      <w:r>
        <w:rPr>
          <w:lang w:val="en_US" w:bidi="en_US"/>
        </w:rPr>
      </w:r>
      <w:r>
        <w:rPr>
          <w:b/>
          <w:lang w:val="en_US" w:bidi="en_US"/>
        </w:rPr>
        <w:t>you disregard justice and the love of God:</w:t>
      </w:r>
      <w:r>
        <w:rPr>
          <w:lang w:val="en_US" w:bidi="en_US"/>
        </w:rPr>
        <w:t xml:space="preserve"> The terms </w:t>
      </w:r>
      <w:r>
        <w:rPr>
          <w:i/>
          <w:lang w:val="en_US" w:bidi="en_US"/>
        </w:rPr>
        <w:t>justice and the love of God</w:t>
      </w:r>
      <w:r>
        <w:rPr>
          <w:lang w:val="en_US" w:bidi="en_US"/>
        </w:rPr>
        <w:t xml:space="preserve"> were examples of activities that were more important than tithing tiny plants. In some languages, it may be helpful to make the implied basis of the contrast explicit. For example:</w:t>
      </w:r>
    </w:p>
    <w:p>
      <w:pPr/>
      <w:r>
        <w:rPr>
          <w:lang w:val="en_US" w:bidi="en_US"/>
        </w:rPr>
      </w:r>
      <w:r>
        <w:rPr>
          <w:lang w:val="en_US" w:bidi="en_US"/>
        </w:rPr>
        <w:t xml:space="preserve">you disregard </w:t>
      </w:r>
      <w:r>
        <w:rPr>
          <w:lang w:val="en_US" w:bidi="en_US"/>
        </w:rPr>
        <w:t>things that are more important, such as</w:t>
      </w:r>
      <w:r>
        <w:rPr>
          <w:lang w:val="en_US" w:bidi="en_US"/>
        </w:rPr>
        <w:t xml:space="preserve"> justice and the love of God</w:t>
      </w:r>
    </w:p>
    <w:p>
      <w:pPr/>
      <w:r>
        <w:rPr>
          <w:lang w:val="en_US" w:bidi="en_US"/>
        </w:rPr>
      </w:r>
      <w:r>
        <w:rPr>
          <w:b/>
          <w:lang w:val="en_US" w:bidi="en_US"/>
        </w:rPr>
        <w:t>you disregard justice:</w:t>
      </w:r>
      <w:r>
        <w:rPr>
          <w:lang w:val="en_US" w:bidi="en_US"/>
        </w:rPr>
        <w:t xml:space="preserve"> The word </w:t>
      </w:r>
      <w:r>
        <w:rPr>
          <w:i/>
          <w:lang w:val="en_US" w:bidi="en_US"/>
        </w:rPr>
        <w:t>justice</w:t>
      </w:r>
      <w:r>
        <w:rPr>
          <w:lang w:val="en_US" w:bidi="en_US"/>
        </w:rPr>
        <w:t xml:space="preserve"> refers to acting justly or fairly toward other people. Some other ways to translate the clause </w:t>
      </w:r>
      <w:r>
        <w:rPr>
          <w:i/>
          <w:lang w:val="en_US" w:bidi="en_US"/>
        </w:rPr>
        <w:t>you disregard justice</w:t>
      </w:r>
      <w:r>
        <w:rPr>
          <w:lang w:val="en_US" w:bidi="en_US"/>
        </w:rPr>
        <w:t xml:space="preserve"> are:</w:t>
      </w:r>
    </w:p>
    <w:p>
      <w:pPr/>
      <w:r>
        <w:rPr>
          <w:lang w:val="en_US" w:bidi="en_US"/>
        </w:rPr>
      </w:r>
      <w:r>
        <w:rPr>
          <w:lang w:val="en_US" w:bidi="en_US"/>
        </w:rPr>
        <w:t>you fail to be fair to others (NCV)</w:t>
      </w:r>
    </w:p>
    <w:p>
      <w:pPr/>
      <w:r>
        <w:rPr>
          <w:lang w:val="en_US" w:bidi="en_US"/>
        </w:rPr>
      </w:r>
      <w:r>
        <w:rPr>
          <w:lang w:val="en_US" w:bidi="en_US"/>
        </w:rPr>
        <w:t>you do not do what is right/fair to other people</w:t>
      </w:r>
    </w:p>
    <w:p>
      <w:pPr/>
      <w:r>
        <w:rPr>
          <w:lang w:val="en_US" w:bidi="en_US"/>
        </w:rPr>
      </w:r>
      <w:r>
        <w:rPr>
          <w:lang w:val="en_US" w:bidi="en_US"/>
        </w:rPr>
        <w:t>you treat others unfairly</w:t>
      </w:r>
    </w:p>
    <w:p>
      <w:pPr/>
      <w:r>
        <w:rPr>
          <w:lang w:val="en_US" w:bidi="en_US"/>
        </w:rPr>
      </w:r>
      <w:r>
        <w:rPr>
          <w:b/>
          <w:lang w:val="en_US" w:bidi="en_US"/>
        </w:rPr>
        <w:t>you disregard…the love of God:</w:t>
      </w:r>
      <w:r>
        <w:rPr>
          <w:lang w:val="en_US" w:bidi="en_US"/>
        </w:rPr>
        <w:t xml:space="preserve"> The phrase </w:t>
      </w:r>
      <w:r>
        <w:rPr>
          <w:i/>
          <w:lang w:val="en_US" w:bidi="en_US"/>
        </w:rPr>
        <w:t>you disregard…the love of God</w:t>
      </w:r>
      <w:r>
        <w:rPr>
          <w:lang w:val="en_US" w:bidi="en_US"/>
        </w:rPr>
        <w:t xml:space="preserve"> means “you fail…to love God.” The Pharisees did not love God as they should have. Another way to translate this is:</w:t>
      </w:r>
    </w:p>
    <w:p>
      <w:pPr/>
      <w:r>
        <w:rPr>
          <w:lang w:val="en_US" w:bidi="en_US"/>
        </w:rPr>
      </w:r>
      <w:r>
        <w:rPr>
          <w:lang w:val="en_US" w:bidi="en_US"/>
        </w:rPr>
        <w:t>you don’t love God (CEV)</w:t>
      </w:r>
    </w:p>
    <w:p>
      <w:pPr/>
      <w:r>
        <w:rPr>
          <w:lang w:val="en_US" w:bidi="en_US"/>
        </w:rPr>
      </w:r>
      <w:r>
        <w:rPr>
          <w:b/>
          <w:lang w:val="en_US" w:bidi="en_US"/>
        </w:rPr>
        <w:t>love:</w:t>
      </w:r>
      <w:r>
        <w:rPr>
          <w:lang w:val="en_US" w:bidi="en_US"/>
        </w:rPr>
        <w:t xml:space="preserve"> The word </w:t>
      </w:r>
      <w:r>
        <w:rPr>
          <w:i/>
          <w:lang w:val="en_US" w:bidi="en_US"/>
        </w:rPr>
        <w:t>love</w:t>
      </w:r>
      <w:r>
        <w:rPr>
          <w:lang w:val="en_US" w:bidi="en_US"/>
        </w:rPr>
        <w:t xml:space="preserve"> means that a person values and reverences God with gratitude and affection.</w:t>
      </w:r>
    </w:p>
    <w:p>
      <w:pPr/>
      <w:r>
        <w:rPr>
          <w:lang w:val="en_US" w:bidi="en_US"/>
        </w:rPr>
      </w:r>
      <w:r>
        <w:rPr>
          <w:lang w:val="en_US" w:bidi="en_US"/>
        </w:rPr>
        <w:t>This same word occurs in 10:27a–b.</w:t>
      </w:r>
    </w:p>
    <w:p>
      <w:pPr>
        <w:pStyle w:val="Heading6"/>
      </w:pPr>
      <w:r>
        <w:rPr>
          <w:b/>
          <w:lang w:val="en_US" w:bidi="en_US"/>
        </w:rPr>
        <w:t>General Comment on 11:42a–c</w:t>
      </w:r>
    </w:p>
    <w:p>
      <w:pPr/>
      <w:r>
        <w:rPr>
          <w:lang w:val="en_US" w:bidi="en_US"/>
        </w:rPr>
      </w:r>
      <w:r>
        <w:rPr>
          <w:lang w:val="en_US" w:bidi="en_US"/>
        </w:rPr>
        <w:t xml:space="preserve">In some languages, following the sentence structure of the BSB may cause readers to think that God was punishing people </w:t>
      </w:r>
      <w:r>
        <w:rPr>
          <w:u w:val="single"/>
          <w:lang w:val="en_US" w:bidi="en_US"/>
        </w:rPr>
        <w:t>because</w:t>
      </w:r>
      <w:r>
        <w:rPr>
          <w:lang w:val="en_US" w:bidi="en_US"/>
        </w:rPr>
        <w:t xml:space="preserve"> they were tithing their herbs. It may be clearer to reorder the verse in order to state first why God was going to punish the Pharisees. For example:</w:t>
      </w:r>
    </w:p>
    <w:p>
      <w:pPr/>
      <w:r>
        <w:rPr>
          <w:lang w:val="en_US" w:bidi="en_US"/>
        </w:rPr>
      </w:r>
      <w:r>
        <w:rPr>
          <w:vertAlign w:val="superscript"/>
          <w:lang w:val="en_US" w:bidi="en_US"/>
        </w:rPr>
        <w:t>42a</w:t>
      </w:r>
      <w:r>
        <w:rPr>
          <w:lang w:val="en_US" w:bidi="en_US"/>
        </w:rPr>
        <w:t xml:space="preserve">How terrible for you Pharisees </w:t>
      </w:r>
      <w:r>
        <w:rPr>
          <w:vertAlign w:val="superscript"/>
          <w:lang w:val="en_US" w:bidi="en_US"/>
        </w:rPr>
        <w:t>42c</w:t>
      </w:r>
      <w:r>
        <w:rPr>
          <w:lang w:val="en_US" w:bidi="en_US"/>
        </w:rPr>
        <w:t xml:space="preserve">because you neglect justice and the love of God, </w:t>
      </w:r>
      <w:r>
        <w:rPr>
          <w:vertAlign w:val="superscript"/>
          <w:lang w:val="en_US" w:bidi="en_US"/>
        </w:rPr>
        <w:t>42b</w:t>
      </w:r>
      <w:r>
        <w:rPr>
          <w:lang w:val="en_US" w:bidi="en_US"/>
        </w:rPr>
        <w:t>even though you give God a tenth of your mint, rue, and other garden plants.</w:t>
      </w:r>
    </w:p>
    <w:p>
      <w:pPr/>
      <w:r>
        <w:rPr>
          <w:lang w:val="en_US" w:bidi="en_US"/>
        </w:rPr>
      </w:r>
      <w:r>
        <w:rPr>
          <w:lang w:val="en_US" w:bidi="en_US"/>
        </w:rPr>
        <w:t>Another way to reorder 11:42a–c is to put the phrase “Woe to you” at the end, as follows:</w:t>
      </w:r>
    </w:p>
    <w:p>
      <w:pPr/>
      <w:r>
        <w:rPr>
          <w:lang w:val="en_US" w:bidi="en_US"/>
        </w:rPr>
      </w:r>
      <w:r>
        <w:rPr>
          <w:vertAlign w:val="superscript"/>
          <w:lang w:val="en_US" w:bidi="en_US"/>
        </w:rPr>
        <w:t>42b</w:t>
      </w:r>
      <w:r>
        <w:rPr>
          <w:lang w:val="en_US" w:bidi="en_US"/>
        </w:rPr>
        <w:t xml:space="preserve">You Pharisees give God a tenth of your mint, rue, and all kinds of other garden herbs, </w:t>
      </w:r>
      <w:r>
        <w:rPr>
          <w:vertAlign w:val="superscript"/>
          <w:lang w:val="en_US" w:bidi="en_US"/>
        </w:rPr>
        <w:t>42c</w:t>
      </w:r>
      <w:r>
        <w:rPr>
          <w:lang w:val="en_US" w:bidi="en_US"/>
        </w:rPr>
        <w:t xml:space="preserve">but you neglect justice and the love of God. </w:t>
      </w:r>
      <w:r>
        <w:rPr>
          <w:vertAlign w:val="superscript"/>
          <w:lang w:val="en_US" w:bidi="en_US"/>
        </w:rPr>
        <w:t>42a</w:t>
      </w:r>
      <w:r>
        <w:rPr>
          <w:lang w:val="en_US" w:bidi="en_US"/>
        </w:rPr>
        <w:t>Woe to you!</w:t>
      </w:r>
    </w:p>
    <w:p>
      <w:pPr>
        <w:pStyle w:val="Heading5"/>
      </w:pPr>
      <w:r>
        <w:rPr>
          <w:lang w:val="en_US" w:bidi="en_US"/>
        </w:rPr>
        <w:t>11:42d</w:t>
      </w:r>
    </w:p>
    <w:p>
      <w:pPr/>
      <w:r>
        <w:rPr>
          <w:lang w:val="en_US" w:bidi="en_US"/>
        </w:rPr>
      </w:r>
      <w:r>
        <w:rPr>
          <w:b/>
          <w:lang w:val="en_US" w:bidi="en_US"/>
        </w:rPr>
        <w:t>You should have practiced the latter without neglecting the former.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have been fair to others and loved God, as well as given a tenth of your things to God.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have been careful to do these more important things, as well as continuing to give a tenth to God.</w:t>
      </w:r>
    </w:p>
    <w:p>
      <w:pPr/>
      <w:r>
        <w:rPr>
          <w:lang w:val="en_US" w:bidi="en_US"/>
        </w:rPr>
      </w:r>
      <w:r>
        <w:rPr>
          <w:b/>
          <w:lang w:val="en_US" w:bidi="en_US"/>
        </w:rPr>
        <w:t>You should have practiced the latter without neglecting the former:</w:t>
      </w:r>
      <w:r>
        <w:rPr>
          <w:lang w:val="en_US" w:bidi="en_US"/>
        </w:rPr>
        <w:t xml:space="preserve"> The Greek of this part literally says “You ought to have done these without neglecting the others.” Most commentators interpret the word “these” to refer to acting justly and loving God. They interpret the phrase “the others” to refer to giving God a tenth. In many languages it will be clearer to make these references explicit. For example:</w:t>
      </w:r>
    </w:p>
    <w:p>
      <w:pPr/>
      <w:r>
        <w:rPr>
          <w:lang w:val="en_US" w:bidi="en_US"/>
        </w:rPr>
      </w:r>
      <w:r>
        <w:rPr>
          <w:lang w:val="en_US" w:bidi="en_US"/>
        </w:rPr>
        <w:t>You should be fair and kind to others and still give a tenth to God. (CEV)</w:t>
      </w:r>
    </w:p>
    <w:p>
      <w:pPr/>
      <w:r>
        <w:rPr>
          <w:lang w:val="en_US" w:bidi="en_US"/>
        </w:rPr>
      </w:r>
      <w:r>
        <w:rPr>
          <w:lang w:val="en_US" w:bidi="en_US"/>
        </w:rPr>
        <w:t>Some other ways to translate this are:</w:t>
      </w:r>
    </w:p>
    <w:p>
      <w:pPr/>
      <w:r>
        <w:rPr>
          <w:lang w:val="en_US" w:bidi="en_US"/>
        </w:rPr>
      </w:r>
      <w:r>
        <w:rPr>
          <w:lang w:val="en_US" w:bidi="en_US"/>
        </w:rPr>
        <w:t>It would be better if you were careful to do these more important things while you continued to give the tithe.</w:t>
      </w:r>
    </w:p>
    <w:p>
      <w:pPr/>
      <w:r>
        <w:rPr>
          <w:lang w:val="en_US" w:bidi="en_US"/>
        </w:rPr>
      </w:r>
      <w:r>
        <w:rPr>
          <w:lang w:val="en_US" w:bidi="en_US"/>
        </w:rPr>
        <w:t>It is good if you give the tithe, but you should not forget to do the other things I have just mentioned.</w:t>
      </w:r>
      <w:r>
        <w:rPr>
          <w:lang w:val="en_US" w:bidi="en_US"/>
        </w:rPr>
      </w:r>
      <w:r>
        <w:rPr>
          <w:lang w:val="en_US" w:bidi="en_US"/>
        </w:rPr>
      </w:r>
    </w:p>
    <w:p>
      <w:pPr/>
      <w:r>
        <w:rPr>
          <w:lang w:val="en_US" w:bidi="en_US"/>
        </w:rPr>
      </w:r>
    </w:p>
    <w:p>
      <w:pPr>
        <w:pStyle w:val="Heading2"/>
      </w:pPr>
      <w:r>
        <w:rPr>
          <w:lang w:val="en_US" w:bidi="en_US"/>
        </w:rPr>
        <w:t>Luke 11:43</w:t>
      </w:r>
      <w:r>
        <w:rPr>
          <w:lang w:val="en_US" w:bidi="en_US"/>
        </w:rPr>
      </w:r>
    </w:p>
    <w:p>
      <w:pPr>
        <w:pStyle w:val="Heading4"/>
      </w:pPr>
      <w:r>
        <w:rPr>
          <w:lang w:val="en_US" w:bidi="en_US"/>
        </w:rPr>
        <w:t>Section 11:37–54: Jesus criticized the Pharisees and the teachers of the law</w:t>
      </w:r>
    </w:p>
    <w:p>
      <w:pPr/>
      <w:r>
        <w:rPr>
          <w:lang w:val="en_US" w:bidi="en_US"/>
        </w:rPr>
      </w:r>
      <w:r>
        <w:rPr>
          <w:lang w:val="en_US" w:bidi="en_US"/>
        </w:rP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pPr/>
      <w:r>
        <w:rPr>
          <w:lang w:val="en_US" w:bidi="en_US"/>
        </w:rPr>
      </w:r>
      <w:r>
        <w:rPr>
          <w:lang w:val="en_US" w:bidi="en_US"/>
        </w:rPr>
        <w:t>Some other headings for this section are:</w:t>
      </w:r>
    </w:p>
    <w:p>
      <w:pPr/>
      <w:r>
        <w:rPr>
          <w:lang w:val="en_US" w:bidi="en_US"/>
        </w:rPr>
      </w:r>
      <w:r>
        <w:rPr>
          <w:lang w:val="en_US" w:bidi="en_US"/>
        </w:rPr>
        <w:t>Jesus’ Criticism of the Religious Leaders</w:t>
      </w:r>
    </w:p>
    <w:p>
      <w:pPr/>
      <w:r>
        <w:rPr>
          <w:lang w:val="en_US" w:bidi="en_US"/>
        </w:rPr>
      </w:r>
      <w:r>
        <w:rPr>
          <w:lang w:val="en_US" w:bidi="en_US"/>
        </w:rPr>
        <w:t>There are parallel passages for this section in Matthew 23:1–36 and Mark 12:38–40.</w:t>
      </w:r>
    </w:p>
    <w:p>
      <w:pPr>
        <w:pStyle w:val="Heading4"/>
      </w:pPr>
      <w:r>
        <w:rPr>
          <w:lang w:val="en_US" w:bidi="en_US"/>
        </w:rPr>
        <w:t>Paragraph 11:42–44</w:t>
      </w:r>
    </w:p>
    <w:p>
      <w:pPr/>
      <w:r>
        <w:rPr>
          <w:lang w:val="en_US" w:bidi="en_US"/>
        </w:rPr>
      </w:r>
      <w:r>
        <w:rPr>
          <w:lang w:val="en_US" w:bidi="en_US"/>
        </w:rPr>
        <w:t>In this paragraph, Jesus said that God was not pleased with how the Pharisees were behaving. He also said that God would punish them.</w:t>
      </w:r>
    </w:p>
    <w:p>
      <w:pPr>
        <w:pStyle w:val="Heading5"/>
      </w:pPr>
      <w:r>
        <w:rPr>
          <w:lang w:val="en_US" w:bidi="en_US"/>
        </w:rPr>
        <w:t>11:43a</w:t>
      </w:r>
    </w:p>
    <w:p>
      <w:pPr/>
      <w:r>
        <w:rPr>
          <w:lang w:val="en_US" w:bidi="en_US"/>
        </w:rPr>
      </w:r>
      <w:r>
        <w:rPr>
          <w:b/>
          <w:lang w:val="en_US" w:bidi="en_US"/>
        </w:rPr>
        <w:t>Woe to you Pharisees!</w:t>
      </w:r>
    </w:p>
    <w:p>
      <w:pPr>
        <w:pStyle w:val="ListBullet"/>
        <w:spacing w:line="240" w:lineRule="auto"/>
        <w:ind w:left="720"/>
      </w:pPr>
      <w:r>
        <w:rPr>
          <w:lang w:val="en_US" w:bidi="en_US"/>
        </w:rPr>
      </w:r>
      <w:r>
        <w:rPr>
          <w:lang w:val="en_US" w:bidi="en_US"/>
        </w:rPr>
        <w:t>It will be bad/terrible for you</w:t>
      </w:r>
      <w:r>
        <w:rPr>
          <w:vertAlign w:val="superscript"/>
          <w:lang w:val="en_US" w:bidi="en_US"/>
        </w:rPr>
        <w:t>(plur)</w:t>
      </w:r>
      <w:r>
        <w:rPr>
          <w:lang w:val="en_US" w:bidi="en_US"/>
        </w:rPr>
        <w:t xml:space="preserve"> Pharisees,</w:t>
      </w:r>
    </w:p>
    <w:p>
      <w:pPr>
        <w:pStyle w:val="ListBullet"/>
        <w:spacing w:line="240" w:lineRule="auto"/>
        <w:ind w:left="720"/>
      </w:pPr>
      <w:r>
        <w:rPr>
          <w:lang w:val="en_US" w:bidi="en_US"/>
        </w:rPr>
      </w:r>
      <w:r>
        <w:rPr>
          <w:lang w:val="en_US" w:bidi="en_US"/>
        </w:rPr>
        <w:t>How sad/awful! God will severely punish you</w:t>
      </w:r>
      <w:r>
        <w:rPr>
          <w:vertAlign w:val="superscript"/>
          <w:lang w:val="en_US" w:bidi="en_US"/>
        </w:rPr>
        <w:t>(plur)</w:t>
      </w:r>
      <w:r>
        <w:rPr>
          <w:lang w:val="en_US" w:bidi="en_US"/>
        </w:rPr>
        <w:t xml:space="preserve"> Pharisees,</w:t>
      </w:r>
    </w:p>
    <w:p>
      <w:pPr/>
      <w:r>
        <w:rPr>
          <w:lang w:val="en_US" w:bidi="en_US"/>
        </w:rPr>
      </w:r>
      <w:r>
        <w:rPr>
          <w:b/>
          <w:lang w:val="en_US" w:bidi="en_US"/>
        </w:rPr>
        <w:t>Woe to you Pharisees!:</w:t>
      </w:r>
      <w:r>
        <w:rPr>
          <w:lang w:val="en_US" w:bidi="en_US"/>
        </w:rPr>
        <w:t xml:space="preserve"> In Greek, this verse does not begin with a conjunction. Otherwise, this clause is the same as in 11:42a.</w:t>
      </w:r>
    </w:p>
    <w:p>
      <w:pPr>
        <w:pStyle w:val="Heading5"/>
      </w:pPr>
      <w:r>
        <w:rPr>
          <w:lang w:val="en_US" w:bidi="en_US"/>
        </w:rPr>
        <w:t>11:43b</w:t>
      </w:r>
    </w:p>
    <w:p>
      <w:pPr/>
      <w:r>
        <w:rPr>
          <w:lang w:val="en_US" w:bidi="en_US"/>
        </w:rPr>
      </w:r>
      <w:r>
        <w:rPr>
          <w:b/>
          <w:lang w:val="en_US" w:bidi="en_US"/>
        </w:rPr>
        <w:t>You love the chief seats in the synagogues</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love/want </w:t>
      </w:r>
      <w:r>
        <w:rPr>
          <w:lang w:val="en_US" w:bidi="en_US"/>
        </w:rPr>
        <w:t>to sit in</w:t>
      </w:r>
      <w:r>
        <w:rPr>
          <w:lang w:val="en_US" w:bidi="en_US"/>
        </w:rPr>
        <w:t xml:space="preserve"> the most important seats in the synagogues,</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love/desire </w:t>
      </w:r>
      <w:r>
        <w:rPr>
          <w:lang w:val="en_US" w:bidi="en_US"/>
        </w:rPr>
        <w:t>sitting in</w:t>
      </w:r>
      <w:r>
        <w:rPr>
          <w:lang w:val="en_US" w:bidi="en_US"/>
        </w:rPr>
        <w:t xml:space="preserve"> the </w:t>
      </w:r>
      <w:r>
        <w:rPr>
          <w:lang w:val="en_US" w:bidi="en_US"/>
        </w:rPr>
        <w:t>front</w:t>
      </w:r>
      <w:r>
        <w:rPr>
          <w:lang w:val="en_US" w:bidi="en_US"/>
        </w:rPr>
        <w:t xml:space="preserve"> seats where the most important people sit in the meeting places.</w:t>
      </w:r>
    </w:p>
    <w:p>
      <w:pPr/>
      <w:r>
        <w:rPr>
          <w:lang w:val="en_US" w:bidi="en_US"/>
        </w:rPr>
      </w:r>
      <w:r>
        <w:rPr>
          <w:lang w:val="en_US" w:bidi="en_US"/>
        </w:rPr>
        <w:t>This verse part begins with the same Greek conjunction as 11:42b. It introduces another reason why God was going to punish the Pharisees. Many English versions translate this conjunction as “for” or “because.” The BSB and some other English versions do not translate this conjunction. In some languages it may be natural to introduce this reason without using an explicit conjunction.</w:t>
      </w:r>
    </w:p>
    <w:p>
      <w:pPr/>
      <w:r>
        <w:rPr>
          <w:lang w:val="en_US" w:bidi="en_US"/>
        </w:rPr>
      </w:r>
      <w:r>
        <w:rPr>
          <w:b/>
          <w:lang w:val="en_US" w:bidi="en_US"/>
        </w:rPr>
        <w:t>You love the chief seats:</w:t>
      </w:r>
      <w:r>
        <w:rPr>
          <w:lang w:val="en_US" w:bidi="en_US"/>
        </w:rPr>
        <w:t xml:space="preserve"> The clause </w:t>
      </w:r>
      <w:r>
        <w:rPr>
          <w:i/>
          <w:lang w:val="en_US" w:bidi="en_US"/>
        </w:rPr>
        <w:t>You love the chief seats</w:t>
      </w:r>
      <w:r>
        <w:rPr>
          <w:lang w:val="en_US" w:bidi="en_US"/>
        </w:rPr>
        <w:t xml:space="preserve"> implies “you love </w:t>
      </w:r>
      <w:r>
        <w:rPr>
          <w:lang w:val="en_US" w:bidi="en_US"/>
        </w:rPr>
        <w:t>to sit in</w:t>
      </w:r>
      <w:r>
        <w:rPr>
          <w:lang w:val="en_US" w:bidi="en_US"/>
        </w:rPr>
        <w:t xml:space="preserve"> the chief seats.”</w:t>
      </w:r>
    </w:p>
    <w:p>
      <w:pPr/>
      <w:r>
        <w:rPr>
          <w:lang w:val="en_US" w:bidi="en_US"/>
        </w:rPr>
      </w:r>
      <w:r>
        <w:rPr>
          <w:b/>
          <w:lang w:val="en_US" w:bidi="en_US"/>
        </w:rPr>
        <w:t>love:</w:t>
      </w:r>
      <w:r>
        <w:rPr>
          <w:lang w:val="en_US" w:bidi="en_US"/>
        </w:rPr>
        <w:t xml:space="preserve"> The Greek verb that the BSB translates as </w:t>
      </w:r>
      <w:r>
        <w:rPr>
          <w:i/>
          <w:lang w:val="en_US" w:bidi="en_US"/>
        </w:rPr>
        <w:t>love</w:t>
      </w:r>
      <w:r>
        <w:rPr>
          <w:lang w:val="en_US" w:bidi="en_US"/>
        </w:rPr>
        <w:t xml:space="preserve"> here means “strongly desire” or “want” or “value.” The Pharisees strongly desired and valued the privilege of sitting in a place that made them look important.</w:t>
      </w:r>
    </w:p>
    <w:p>
      <w:pPr/>
      <w:r>
        <w:rPr>
          <w:lang w:val="en_US" w:bidi="en_US"/>
        </w:rPr>
      </w:r>
      <w:r>
        <w:rPr>
          <w:b/>
          <w:lang w:val="en_US" w:bidi="en_US"/>
        </w:rPr>
        <w:t>the chief seats:</w:t>
      </w:r>
      <w:r>
        <w:rPr>
          <w:lang w:val="en_US" w:bidi="en_US"/>
        </w:rPr>
        <w:t xml:space="preserve"> The Greek word that the BSB translates as </w:t>
      </w:r>
      <w:r>
        <w:rPr>
          <w:i/>
          <w:lang w:val="en_US" w:bidi="en_US"/>
        </w:rPr>
        <w:t>the chief seats</w:t>
      </w:r>
      <w:r>
        <w:rPr>
          <w:lang w:val="en_US" w:bidi="en_US"/>
        </w:rPr>
        <w:t xml:space="preserve"> is literally “the-first-seat.” This word refers to a bench in the front of the synagogue that faced the congregation. The places on this bench were reserved for important people. They were the seats of honor.</w:t>
      </w:r>
    </w:p>
    <w:p>
      <w:pPr/>
      <w:r>
        <w:rPr>
          <w:lang w:val="en_US" w:bidi="en_US"/>
        </w:rPr>
      </w:r>
      <w:r>
        <w:rPr>
          <w:lang w:val="en_US" w:bidi="en_US"/>
        </w:rPr>
        <w:t>Some other ways to translate this phrase are:</w:t>
      </w:r>
    </w:p>
    <w:p>
      <w:pPr/>
      <w:r>
        <w:rPr>
          <w:lang w:val="en_US" w:bidi="en_US"/>
        </w:rPr>
      </w:r>
      <w:r>
        <w:rPr>
          <w:lang w:val="en_US" w:bidi="en_US"/>
        </w:rPr>
        <w:t>the seat of honor (NRSV)</w:t>
      </w:r>
    </w:p>
    <w:p>
      <w:pPr/>
      <w:r>
        <w:rPr>
          <w:lang w:val="en_US" w:bidi="en_US"/>
        </w:rPr>
      </w:r>
      <w:r>
        <w:rPr>
          <w:lang w:val="en_US" w:bidi="en_US"/>
        </w:rPr>
        <w:t>the front seats (GW)</w:t>
      </w:r>
    </w:p>
    <w:p>
      <w:pPr/>
      <w:r>
        <w:rPr>
          <w:lang w:val="en_US" w:bidi="en_US"/>
        </w:rPr>
      </w:r>
      <w:r>
        <w:rPr>
          <w:lang w:val="en_US" w:bidi="en_US"/>
        </w:rPr>
        <w:t>the reserved seats (GNT)</w:t>
      </w:r>
    </w:p>
    <w:p>
      <w:pPr/>
      <w:r>
        <w:rPr>
          <w:lang w:val="en_US" w:bidi="en_US"/>
        </w:rPr>
      </w:r>
      <w:r>
        <w:rPr>
          <w:lang w:val="en_US" w:bidi="en_US"/>
        </w:rPr>
        <w:t>the best seats (NET)</w:t>
      </w:r>
    </w:p>
    <w:p>
      <w:pPr/>
      <w:r>
        <w:rPr>
          <w:lang w:val="en_US" w:bidi="en_US"/>
        </w:rPr>
      </w:r>
      <w:r>
        <w:rPr>
          <w:b/>
          <w:lang w:val="en_US" w:bidi="en_US"/>
        </w:rPr>
        <w:t>in the synagogues:</w:t>
      </w:r>
      <w:r>
        <w:rPr>
          <w:lang w:val="en_US" w:bidi="en_US"/>
        </w:rPr>
        <w:t xml:space="preserve"> Buildings known as </w:t>
      </w:r>
      <w:r>
        <w:rPr>
          <w:i/>
          <w:lang w:val="en_US" w:bidi="en_US"/>
        </w:rPr>
        <w:t>synagogues</w:t>
      </w:r>
      <w:r>
        <w:rPr>
          <w:lang w:val="en_US" w:bidi="en_US"/>
        </w:rPr>
        <w:t xml:space="preserve"> were places where Jews gathered to pray, read Scripture, teach their beliefs, and worship God. The Jews also gathered there for cultural activities. Some ways to translate </w:t>
      </w:r>
      <w:r>
        <w:rPr>
          <w:i/>
          <w:lang w:val="en_US" w:bidi="en_US"/>
        </w:rPr>
        <w:t>synagogues</w:t>
      </w:r>
      <w:r>
        <w:rPr>
          <w:lang w:val="en_US" w:bidi="en_US"/>
        </w:rPr>
        <w:t xml:space="preserve"> are:</w:t>
      </w:r>
    </w:p>
    <w:p>
      <w:pPr/>
      <w:r>
        <w:rPr>
          <w:lang w:val="en_US" w:bidi="en_US"/>
        </w:rPr>
      </w:r>
      <w:r>
        <w:rPr>
          <w:lang w:val="en_US" w:bidi="en_US"/>
        </w:rPr>
        <w:t xml:space="preserve">prayer-houses </w:t>
      </w:r>
      <w:r>
        <w:rPr>
          <w:lang w:val="en_US" w:bidi="en_US"/>
        </w:rPr>
        <w:t>of the Jews</w:t>
      </w:r>
    </w:p>
    <w:p>
      <w:pPr/>
      <w:r>
        <w:rPr>
          <w:lang w:val="en_US" w:bidi="en_US"/>
        </w:rPr>
      </w:r>
      <w:r>
        <w:rPr>
          <w:lang w:val="en_US" w:bidi="en_US"/>
        </w:rPr>
        <w:t xml:space="preserve">meeting-places </w:t>
      </w:r>
      <w:r>
        <w:rPr>
          <w:lang w:val="en_US" w:bidi="en_US"/>
        </w:rPr>
        <w:t>of the Jews</w:t>
      </w:r>
    </w:p>
    <w:p>
      <w:pPr/>
      <w:r>
        <w:rPr>
          <w:lang w:val="en_US" w:bidi="en_US"/>
        </w:rPr>
      </w:r>
      <w:r>
        <w:rPr>
          <w:lang w:val="en_US" w:bidi="en_US"/>
        </w:rPr>
        <w:t>worship buildings</w:t>
      </w:r>
    </w:p>
    <w:p>
      <w:pPr/>
      <w:r>
        <w:rPr>
          <w:lang w:val="en_US" w:bidi="en_US"/>
        </w:rPr>
      </w:r>
      <w:r>
        <w:rPr>
          <w:lang w:val="en_US" w:bidi="en_US"/>
        </w:rPr>
        <w:t>houses for gathering together</w:t>
      </w:r>
    </w:p>
    <w:p>
      <w:pPr/>
      <w:r>
        <w:rPr>
          <w:lang w:val="en_US" w:bidi="en_US"/>
        </w:rPr>
      </w:r>
      <w:r>
        <w:rPr>
          <w:lang w:val="en_US" w:bidi="en_US"/>
        </w:rPr>
        <w:t>If you make explicit a phrase such as “of the Jews,” be sure that it does not imply that Jesus was not a Jew.</w:t>
      </w:r>
    </w:p>
    <w:p>
      <w:pPr/>
      <w:r>
        <w:rPr>
          <w:lang w:val="en_US" w:bidi="en_US"/>
        </w:rPr>
      </w:r>
      <w:r>
        <w:rPr>
          <w:lang w:val="en_US" w:bidi="en_US"/>
        </w:rPr>
        <w:t>You will need a different term to translate synagogue than you use for temple. There was only one temple (in Jerusalem), but each Jewish community had a synagogue.</w:t>
      </w:r>
    </w:p>
    <w:p>
      <w:pPr/>
      <w:r>
        <w:rPr>
          <w:lang w:val="en_US" w:bidi="en_US"/>
        </w:rPr>
      </w:r>
      <w:r>
        <w:rPr>
          <w:lang w:val="en_US" w:bidi="en_US"/>
        </w:rPr>
        <w:t xml:space="preserve">If the word </w:t>
      </w:r>
      <w:r>
        <w:rPr>
          <w:i/>
          <w:lang w:val="en_US" w:bidi="en_US"/>
        </w:rPr>
        <w:t>synagogue</w:t>
      </w:r>
      <w:r>
        <w:rPr>
          <w:lang w:val="en_US" w:bidi="en_US"/>
        </w:rPr>
        <w:t xml:space="preserve"> is already known in your area, you may write it according to the sounds of your language. You may want to include a word or phrase to explain the meaning. For example:</w:t>
      </w:r>
    </w:p>
    <w:p>
      <w:pPr/>
      <w:r>
        <w:rPr>
          <w:lang w:val="en_US" w:bidi="en_US"/>
        </w:rPr>
      </w:r>
      <w:r>
        <w:rPr>
          <w:lang w:val="en_US" w:bidi="en_US"/>
        </w:rPr>
        <w:t>sinagog house/building</w:t>
      </w:r>
    </w:p>
    <w:p>
      <w:pPr/>
      <w:r>
        <w:rPr>
          <w:lang w:val="en_US" w:bidi="en_US"/>
        </w:rPr>
      </w:r>
      <w:r>
        <w:rPr>
          <w:lang w:val="en_US" w:bidi="en_US"/>
        </w:rPr>
        <w:t xml:space="preserve">The word </w:t>
      </w:r>
      <w:r>
        <w:rPr>
          <w:i/>
          <w:lang w:val="en_US" w:bidi="en_US"/>
        </w:rPr>
        <w:t>synagogue</w:t>
      </w:r>
      <w:r>
        <w:rPr>
          <w:lang w:val="en_US" w:bidi="en_US"/>
        </w:rPr>
        <w:t xml:space="preserve"> also occurs in 4:15a. See synagogue in the Glossary.</w:t>
      </w:r>
    </w:p>
    <w:p>
      <w:pPr>
        <w:pStyle w:val="Heading5"/>
      </w:pPr>
      <w:r>
        <w:rPr>
          <w:lang w:val="en_US" w:bidi="en_US"/>
        </w:rPr>
        <w:t>11:43c</w:t>
      </w:r>
    </w:p>
    <w:p>
      <w:pPr/>
      <w:r>
        <w:rPr>
          <w:lang w:val="en_US" w:bidi="en_US"/>
        </w:rPr>
      </w:r>
      <w:r>
        <w:rPr>
          <w:b/>
          <w:lang w:val="en_US" w:bidi="en_US"/>
        </w:rPr>
        <w:t>and the greetings in the marketplaces.</w:t>
      </w:r>
    </w:p>
    <w:p>
      <w:pPr>
        <w:pStyle w:val="ListBullet"/>
        <w:spacing w:line="240" w:lineRule="auto"/>
        <w:ind w:left="720"/>
      </w:pPr>
      <w:r>
        <w:rPr>
          <w:lang w:val="en_US" w:bidi="en_US"/>
        </w:rPr>
      </w:r>
      <w:r>
        <w:rPr>
          <w:lang w:val="en_US" w:bidi="en_US"/>
        </w:rPr>
        <w:t xml:space="preserve">and </w:t>
      </w:r>
      <w:r>
        <w:rPr>
          <w:lang w:val="en_US" w:bidi="en_US"/>
        </w:rPr>
        <w:t>you</w:t>
      </w:r>
      <w:r>
        <w:rPr>
          <w:vertAlign w:val="superscript"/>
          <w:lang w:val="en_US" w:bidi="en_US"/>
        </w:rPr>
        <w:t>(plur)</w:t>
      </w:r>
      <w:r>
        <w:rPr>
          <w:lang w:val="en_US" w:bidi="en_US"/>
        </w:rPr>
        <w:t xml:space="preserve"> </w:t>
      </w:r>
      <w:r>
        <w:rPr>
          <w:lang w:val="en_US" w:bidi="en_US"/>
        </w:rPr>
        <w:t>enjoy receiving respectful</w:t>
      </w:r>
      <w:r>
        <w:rPr>
          <w:lang w:val="en_US" w:bidi="en_US"/>
        </w:rPr>
        <w:t xml:space="preserve"> greetings in the market area.</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also love for people in</w:t>
      </w:r>
      <w:r>
        <w:rPr>
          <w:lang w:val="en_US" w:bidi="en_US"/>
        </w:rPr>
        <w:t xml:space="preserve"> the markets to greet you</w:t>
      </w:r>
      <w:r>
        <w:rPr>
          <w:vertAlign w:val="superscript"/>
          <w:lang w:val="en_US" w:bidi="en_US"/>
        </w:rPr>
        <w:t>(plur)</w:t>
      </w:r>
      <w:r>
        <w:rPr>
          <w:lang w:val="en_US" w:bidi="en_US"/>
        </w:rPr>
        <w:t xml:space="preserve"> </w:t>
      </w:r>
      <w:r>
        <w:rPr>
          <w:lang w:val="en_US" w:bidi="en_US"/>
        </w:rPr>
        <w:t>with respect</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also like people</w:t>
      </w:r>
      <w:r>
        <w:rPr>
          <w:lang w:val="en_US" w:bidi="en_US"/>
        </w:rPr>
        <w:t xml:space="preserve"> to greet you saying, ‘Honored Sir,’ </w:t>
      </w:r>
      <w:r>
        <w:rPr>
          <w:lang w:val="en_US" w:bidi="en_US"/>
        </w:rPr>
        <w:t>when you appear</w:t>
      </w:r>
      <w:r>
        <w:rPr>
          <w:lang w:val="en_US" w:bidi="en_US"/>
        </w:rPr>
        <w:t xml:space="preserve"> in public.</w:t>
      </w:r>
    </w:p>
    <w:p>
      <w:pPr/>
      <w:r>
        <w:rPr>
          <w:lang w:val="en_US" w:bidi="en_US"/>
        </w:rPr>
      </w:r>
      <w:r>
        <w:rPr>
          <w:b/>
          <w:lang w:val="en_US" w:bidi="en_US"/>
        </w:rPr>
        <w:t>and the greetings in the marketplaces:</w:t>
      </w:r>
      <w:r>
        <w:rPr>
          <w:lang w:val="en_US" w:bidi="en_US"/>
        </w:rPr>
        <w:t xml:space="preserve"> The phrase </w:t>
      </w:r>
      <w:r>
        <w:rPr>
          <w:i/>
          <w:lang w:val="en_US" w:bidi="en_US"/>
        </w:rPr>
        <w:t>greetings in the marketplaces</w:t>
      </w:r>
      <w:r>
        <w:rPr>
          <w:lang w:val="en_US" w:bidi="en_US"/>
        </w:rPr>
        <w:t xml:space="preserve"> implies </w:t>
      </w:r>
      <w:r>
        <w:rPr>
          <w:u w:val="single"/>
          <w:lang w:val="en_US" w:bidi="en_US"/>
        </w:rPr>
        <w:t>respectful</w:t>
      </w:r>
      <w:r>
        <w:rPr>
          <w:lang w:val="en_US" w:bidi="en_US"/>
        </w:rPr>
        <w:t xml:space="preserve"> greetings. In some languages, it may be more natural to start a new sentence here. For example:</w:t>
      </w:r>
    </w:p>
    <w:p>
      <w:pPr/>
      <w:r>
        <w:rPr>
          <w:lang w:val="en_US" w:bidi="en_US"/>
        </w:rPr>
      </w:r>
      <w:r>
        <w:rPr>
          <w:lang w:val="en_US" w:bidi="en_US"/>
        </w:rPr>
        <w:t>You also like people</w:t>
      </w:r>
      <w:r>
        <w:rPr>
          <w:lang w:val="en_US" w:bidi="en_US"/>
        </w:rPr>
        <w:t xml:space="preserve"> to greet you </w:t>
      </w:r>
      <w:r>
        <w:rPr>
          <w:lang w:val="en_US" w:bidi="en_US"/>
        </w:rPr>
        <w:t>respectfully</w:t>
      </w:r>
      <w:r>
        <w:rPr>
          <w:lang w:val="en_US" w:bidi="en_US"/>
        </w:rPr>
        <w:t xml:space="preserve"> in the marketplaces.</w:t>
      </w:r>
    </w:p>
    <w:p>
      <w:pPr/>
      <w:r>
        <w:rPr>
          <w:lang w:val="en_US" w:bidi="en_US"/>
        </w:rPr>
      </w:r>
      <w:r>
        <w:rPr>
          <w:lang w:val="en_US" w:bidi="en_US"/>
        </w:rPr>
        <w:t xml:space="preserve">The word </w:t>
      </w:r>
      <w:r>
        <w:rPr>
          <w:i/>
          <w:lang w:val="en_US" w:bidi="en_US"/>
        </w:rPr>
        <w:t>greetings</w:t>
      </w:r>
      <w:r>
        <w:rPr>
          <w:lang w:val="en_US" w:bidi="en_US"/>
        </w:rPr>
        <w:t xml:space="preserve"> indicates that people were speaking greetings to each other. In some languages it may be more natural to use a direct quote here. For example:</w:t>
      </w:r>
    </w:p>
    <w:p>
      <w:pPr/>
      <w:r>
        <w:rPr>
          <w:lang w:val="en_US" w:bidi="en_US"/>
        </w:rPr>
      </w:r>
      <w:r>
        <w:rPr>
          <w:lang w:val="en_US" w:bidi="en_US"/>
        </w:rPr>
        <w:t>you also enjoy it</w:t>
      </w:r>
      <w:r>
        <w:rPr>
          <w:lang w:val="en_US" w:bidi="en_US"/>
        </w:rPr>
        <w:t xml:space="preserve"> when people honor/greet you in public </w:t>
      </w:r>
      <w:r>
        <w:rPr>
          <w:lang w:val="en_US" w:bidi="en_US"/>
        </w:rPr>
        <w:t>by saying, “Sir.”</w:t>
      </w:r>
    </w:p>
    <w:p>
      <w:pPr/>
      <w:r>
        <w:rPr>
          <w:lang w:val="en_US" w:bidi="en_US"/>
        </w:rPr>
      </w:r>
      <w:r>
        <w:rPr>
          <w:b/>
          <w:lang w:val="en_US" w:bidi="en_US"/>
        </w:rPr>
        <w:t>the marketplaces:</w:t>
      </w:r>
      <w:r>
        <w:rPr>
          <w:lang w:val="en_US" w:bidi="en_US"/>
        </w:rPr>
        <w:t xml:space="preserve"> The phrase </w:t>
      </w:r>
      <w:r>
        <w:rPr>
          <w:i/>
          <w:lang w:val="en_US" w:bidi="en_US"/>
        </w:rPr>
        <w:t>the marketplaces</w:t>
      </w:r>
      <w:r>
        <w:rPr>
          <w:lang w:val="en_US" w:bidi="en_US"/>
        </w:rPr>
        <w:t xml:space="preserve"> refers to public, outdoor areas where people bought and sold various things, such as food. The people who gathered there commonly showed their respect for the Pharisees by giving them long greetings.</w:t>
      </w:r>
    </w:p>
    <w:p>
      <w:pPr/>
      <w:r>
        <w:rPr>
          <w:lang w:val="en_US" w:bidi="en_US"/>
        </w:rPr>
      </w:r>
      <w:r>
        <w:rPr>
          <w:lang w:val="en_US" w:bidi="en_US"/>
        </w:rPr>
        <w:t>If religious leaders in your area do not normally go to marketplaces, you may use a more general expression. For example:</w:t>
      </w:r>
    </w:p>
    <w:p>
      <w:pPr/>
      <w:r>
        <w:rPr>
          <w:lang w:val="en_US" w:bidi="en_US"/>
        </w:rPr>
      </w:r>
      <w:r>
        <w:rPr>
          <w:lang w:val="en_US" w:bidi="en_US"/>
        </w:rPr>
        <w:t>in public places</w:t>
      </w:r>
    </w:p>
    <w:p>
      <w:pPr/>
      <w:r>
        <w:rPr>
          <w:lang w:val="en_US" w:bidi="en_US"/>
        </w:rPr>
      </w:r>
      <w:r>
        <w:rPr>
          <w:lang w:val="en_US" w:bidi="en_US"/>
        </w:rPr>
        <w:t>when you appear in public</w:t>
      </w:r>
      <w:r>
        <w:rPr>
          <w:lang w:val="en_US" w:bidi="en_US"/>
        </w:rPr>
      </w:r>
      <w:r>
        <w:rPr>
          <w:lang w:val="en_US" w:bidi="en_US"/>
        </w:rPr>
      </w:r>
    </w:p>
    <w:p>
      <w:pPr/>
      <w:r>
        <w:rPr>
          <w:lang w:val="en_US" w:bidi="en_US"/>
        </w:rPr>
      </w:r>
    </w:p>
    <w:p>
      <w:pPr>
        <w:pStyle w:val="Heading2"/>
      </w:pPr>
      <w:r>
        <w:rPr>
          <w:lang w:val="en_US" w:bidi="en_US"/>
        </w:rPr>
        <w:t>Luke 11:44</w:t>
      </w:r>
      <w:r>
        <w:rPr>
          <w:lang w:val="en_US" w:bidi="en_US"/>
        </w:rPr>
      </w:r>
    </w:p>
    <w:p>
      <w:pPr>
        <w:pStyle w:val="Heading4"/>
      </w:pPr>
      <w:r>
        <w:rPr>
          <w:lang w:val="en_US" w:bidi="en_US"/>
        </w:rPr>
        <w:t>Section 11:37–54: Jesus criticized the Pharisees and the teachers of the law</w:t>
      </w:r>
    </w:p>
    <w:p>
      <w:pPr/>
      <w:r>
        <w:rPr>
          <w:lang w:val="en_US" w:bidi="en_US"/>
        </w:rPr>
      </w:r>
      <w:r>
        <w:rPr>
          <w:lang w:val="en_US" w:bidi="en_US"/>
        </w:rP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pPr/>
      <w:r>
        <w:rPr>
          <w:lang w:val="en_US" w:bidi="en_US"/>
        </w:rPr>
      </w:r>
      <w:r>
        <w:rPr>
          <w:lang w:val="en_US" w:bidi="en_US"/>
        </w:rPr>
        <w:t>Some other headings for this section are:</w:t>
      </w:r>
    </w:p>
    <w:p>
      <w:pPr/>
      <w:r>
        <w:rPr>
          <w:lang w:val="en_US" w:bidi="en_US"/>
        </w:rPr>
      </w:r>
      <w:r>
        <w:rPr>
          <w:lang w:val="en_US" w:bidi="en_US"/>
        </w:rPr>
        <w:t>Jesus’ Criticism of the Religious Leaders</w:t>
      </w:r>
    </w:p>
    <w:p>
      <w:pPr/>
      <w:r>
        <w:rPr>
          <w:lang w:val="en_US" w:bidi="en_US"/>
        </w:rPr>
      </w:r>
      <w:r>
        <w:rPr>
          <w:lang w:val="en_US" w:bidi="en_US"/>
        </w:rPr>
        <w:t>There are parallel passages for this section in Matthew 23:1–36 and Mark 12:38–40.</w:t>
      </w:r>
    </w:p>
    <w:p>
      <w:pPr>
        <w:pStyle w:val="Heading4"/>
      </w:pPr>
      <w:r>
        <w:rPr>
          <w:lang w:val="en_US" w:bidi="en_US"/>
        </w:rPr>
        <w:t>Paragraph 11:42–44</w:t>
      </w:r>
    </w:p>
    <w:p>
      <w:pPr/>
      <w:r>
        <w:rPr>
          <w:lang w:val="en_US" w:bidi="en_US"/>
        </w:rPr>
      </w:r>
      <w:r>
        <w:rPr>
          <w:lang w:val="en_US" w:bidi="en_US"/>
        </w:rPr>
        <w:t>In this paragraph, Jesus said that God was not pleased with how the Pharisees were behaving. He also said that God would punish them.</w:t>
      </w:r>
    </w:p>
    <w:p>
      <w:pPr>
        <w:pStyle w:val="Heading5"/>
      </w:pPr>
      <w:r>
        <w:rPr>
          <w:lang w:val="en_US" w:bidi="en_US"/>
        </w:rPr>
        <w:t>11:44a</w:t>
      </w:r>
    </w:p>
    <w:p>
      <w:pPr/>
      <w:r>
        <w:rPr>
          <w:lang w:val="en_US" w:bidi="en_US"/>
        </w:rPr>
      </w:r>
      <w:r>
        <w:rPr>
          <w:b/>
          <w:lang w:val="en_US" w:bidi="en_US"/>
        </w:rPr>
        <w:t>Woe to you!</w:t>
      </w:r>
    </w:p>
    <w:p>
      <w:pPr>
        <w:pStyle w:val="ListBullet"/>
        <w:spacing w:line="240" w:lineRule="auto"/>
        <w:ind w:left="720"/>
      </w:pPr>
      <w:r>
        <w:rPr>
          <w:lang w:val="en_US" w:bidi="en_US"/>
        </w:rPr>
      </w:r>
      <w:r>
        <w:rPr>
          <w:lang w:val="en_US" w:bidi="en_US"/>
        </w:rPr>
        <w:t>It will be bad/terrible for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How sad/awful! God will severely punish you</w:t>
      </w:r>
      <w:r>
        <w:rPr>
          <w:vertAlign w:val="superscript"/>
          <w:lang w:val="en_US" w:bidi="en_US"/>
        </w:rPr>
        <w:t>(plur)</w:t>
      </w:r>
      <w:r>
        <w:rPr>
          <w:lang w:val="en_US" w:bidi="en_US"/>
        </w:rPr>
        <w:t xml:space="preserve"> </w:t>
      </w:r>
      <w:r>
        <w:rPr>
          <w:lang w:val="en_US" w:bidi="en_US"/>
        </w:rPr>
        <w:t>Pharisees</w:t>
      </w:r>
      <w:r>
        <w:rPr>
          <w:lang w:val="en_US" w:bidi="en_US"/>
        </w:rPr>
        <w:t>,</w:t>
      </w:r>
    </w:p>
    <w:p>
      <w:pPr/>
      <w:r>
        <w:rPr>
          <w:lang w:val="en_US" w:bidi="en_US"/>
        </w:rPr>
      </w:r>
      <w:r>
        <w:rPr>
          <w:b/>
          <w:lang w:val="en_US" w:bidi="en_US"/>
        </w:rPr>
        <w:t>Woe to you!:</w:t>
      </w:r>
      <w:r>
        <w:rPr>
          <w:lang w:val="en_US" w:bidi="en_US"/>
        </w:rPr>
        <w:t xml:space="preserve"> </w:t>
      </w:r>
      <w:r>
        <w:rPr>
          <w:lang w:val="en_US" w:bidi="en_US"/>
        </w:rPr>
        <w:t>There is a textual issue here. Following “to you” some Greek manuscripts add “scribes and Pharisees, hypocrites.” This longer text is found in Matthew 23:13, 15, 23, 25, 27, 29. The KJV follows this longer text. It is recommended that you not include these words. The earliest manuscripts and the majority of English versions do not include them here. If a major language version in your area includes these words, you may want to put them in a footnote. For example: “Following ‘to you’ some Greek manuscripts add the words, ‘scribes and Pharisees, hypocrites.’” For more information, see Swanson, p. 217; TRT, p. 246; and Blight 2007a, pp. 535–37.</w:t>
      </w:r>
      <w:r>
        <w:rPr>
          <w:lang w:val="en_US" w:bidi="en_US"/>
        </w:rPr>
        <w:t xml:space="preserve"> </w:t>
      </w:r>
      <w:r>
        <w:rPr>
          <w:i/>
          <w:lang w:val="en_US" w:bidi="en_US"/>
        </w:rPr>
        <w:t>Woe to you</w:t>
      </w:r>
      <w:r>
        <w:rPr>
          <w:lang w:val="en_US" w:bidi="en_US"/>
        </w:rPr>
        <w:t xml:space="preserve"> is the same phrase that was used in 11:43a. Jesus was still referring to the Pharisees. Consider if you need to make the Pharisees explicit here.</w:t>
      </w:r>
    </w:p>
    <w:p>
      <w:pPr>
        <w:pStyle w:val="Heading5"/>
      </w:pPr>
      <w:r>
        <w:rPr>
          <w:lang w:val="en_US" w:bidi="en_US"/>
        </w:rPr>
        <w:t>11:44b</w:t>
      </w:r>
    </w:p>
    <w:p>
      <w:pPr/>
      <w:r>
        <w:rPr>
          <w:lang w:val="en_US" w:bidi="en_US"/>
        </w:rPr>
      </w:r>
      <w:r>
        <w:rPr>
          <w:b/>
          <w:lang w:val="en_US" w:bidi="en_US"/>
        </w:rPr>
        <w:t>For you are like unmarked graves,</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are like graves that have not been marked,</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are like hidden/unseen burial places </w:t>
      </w:r>
      <w:r>
        <w:rPr>
          <w:lang w:val="en_US" w:bidi="en_US"/>
        </w:rPr>
        <w:t>that contain rottenness/corpses</w:t>
      </w:r>
      <w:r>
        <w:rPr>
          <w:lang w:val="en_US" w:bidi="en_US"/>
        </w:rPr>
        <w:t>.</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w:t>
      </w:r>
      <w:r>
        <w:rPr>
          <w:lang w:val="en_US" w:bidi="en_US"/>
        </w:rPr>
        <w:t>have unseen filthiness/rottenness in your minds/hearts. You</w:t>
      </w:r>
      <w:r>
        <w:rPr>
          <w:lang w:val="en_US" w:bidi="en_US"/>
        </w:rPr>
        <w:t xml:space="preserve"> are just like graves that are hidden </w:t>
      </w:r>
      <w:r>
        <w:rPr>
          <w:lang w:val="en_US" w:bidi="en_US"/>
        </w:rPr>
        <w:t>in a field</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is the same conjunction as in 11:42b and 11:43b, where the BSB did not translate it. This conjunction introduces another reason why God was going to punish the Pharisees. Some English versions do not translate this conjunction. In some languages it may be natural to introduce this reason without using an explicit conjunction.</w:t>
      </w:r>
    </w:p>
    <w:p>
      <w:pPr/>
      <w:r>
        <w:rPr>
          <w:lang w:val="en_US" w:bidi="en_US"/>
        </w:rPr>
      </w:r>
      <w:r>
        <w:rPr>
          <w:b/>
          <w:lang w:val="en_US" w:bidi="en_US"/>
        </w:rPr>
        <w:t>you are like unmarked graves:</w:t>
      </w:r>
      <w:r>
        <w:rPr>
          <w:lang w:val="en_US" w:bidi="en_US"/>
        </w:rPr>
        <w:t xml:space="preserve"> The clause </w:t>
      </w:r>
      <w:r>
        <w:rPr>
          <w:i/>
          <w:lang w:val="en_US" w:bidi="en_US"/>
        </w:rPr>
        <w:t>you are like unmarked graves</w:t>
      </w:r>
      <w:r>
        <w:rPr>
          <w:lang w:val="en_US" w:bidi="en_US"/>
        </w:rPr>
        <w:t xml:space="preserve"> is a figure of speech called a simile. In this simile, Jesus compared the Pharisees to </w:t>
      </w:r>
      <w:r>
        <w:rPr>
          <w:i/>
          <w:lang w:val="en_US" w:bidi="en_US"/>
        </w:rPr>
        <w:t>unmarked graves</w:t>
      </w:r>
      <w:r>
        <w:rPr>
          <w:lang w:val="en_US" w:bidi="en_US"/>
        </w:rPr>
        <w:t>.</w:t>
      </w:r>
    </w:p>
    <w:p>
      <w:pPr/>
      <w:r>
        <w:rPr>
          <w:lang w:val="en_US" w:bidi="en_US"/>
        </w:rPr>
      </w:r>
      <w:r>
        <w:rPr>
          <w:lang w:val="en_US" w:bidi="en_US"/>
        </w:rPr>
        <w:t>Unmarked graves looked like ordinary ground on the outside, so people did not realize that they contained rotting bodies inside. In the same way, the Pharisees appeared to be righteous and religious in their outward behavior. People did not suspect that their unseen inner thoughts and motives were full of evil.</w:t>
      </w:r>
    </w:p>
    <w:p>
      <w:pPr/>
      <w:r>
        <w:rPr>
          <w:lang w:val="en_US" w:bidi="en_US"/>
        </w:rPr>
      </w:r>
      <w:r>
        <w:rPr>
          <w:lang w:val="en_US" w:bidi="en_US"/>
        </w:rPr>
        <w:t>In some languages it will be necessary to make one or more of the points of comparison explicit. For example:</w:t>
      </w:r>
    </w:p>
    <w:p>
      <w:pPr/>
      <w:r>
        <w:rPr>
          <w:lang w:val="en_US" w:bidi="en_US"/>
        </w:rPr>
      </w:r>
      <w:r>
        <w:rPr>
          <w:lang w:val="en_US" w:bidi="en_US"/>
        </w:rPr>
        <w:t xml:space="preserve">because you </w:t>
      </w:r>
      <w:r>
        <w:rPr>
          <w:lang w:val="en_US" w:bidi="en_US"/>
        </w:rPr>
        <w:t>have unseen/hidden filthiness/rottenness inside you</w:t>
      </w:r>
      <w:r>
        <w:rPr>
          <w:lang w:val="en_US" w:bidi="en_US"/>
        </w:rPr>
        <w:t xml:space="preserve"> like an unmarked grave</w:t>
      </w:r>
    </w:p>
    <w:p>
      <w:pPr/>
      <w:r>
        <w:rPr>
          <w:lang w:val="en_US" w:bidi="en_US"/>
        </w:rPr>
      </w:r>
      <w:r>
        <w:rPr>
          <w:lang w:val="en_US" w:bidi="en_US"/>
        </w:rPr>
        <w:t xml:space="preserve">because you are like hidden graves </w:t>
      </w:r>
      <w:r>
        <w:rPr>
          <w:lang w:val="en_US" w:bidi="en_US"/>
        </w:rPr>
        <w:t>that contain rotting/contaminating corpses</w:t>
      </w:r>
    </w:p>
    <w:p>
      <w:pPr/>
      <w:r>
        <w:rPr>
          <w:lang w:val="en_US" w:bidi="en_US"/>
        </w:rPr>
      </w:r>
      <w:r>
        <w:rPr>
          <w:b/>
          <w:lang w:val="en_US" w:bidi="en_US"/>
        </w:rPr>
        <w:t>unmarked graves:</w:t>
      </w:r>
      <w:r>
        <w:rPr>
          <w:lang w:val="en_US" w:bidi="en_US"/>
        </w:rPr>
        <w:t xml:space="preserve"> The Greek expression that the BSB translates as </w:t>
      </w:r>
      <w:r>
        <w:rPr>
          <w:i/>
          <w:lang w:val="en_US" w:bidi="en_US"/>
        </w:rPr>
        <w:t>unmarked graves</w:t>
      </w:r>
      <w:r>
        <w:rPr>
          <w:lang w:val="en_US" w:bidi="en_US"/>
        </w:rPr>
        <w:t xml:space="preserve"> refers to graves that were not evident or identifiable as graves. Generally, tombs or graves were painted white so that people knew where they were located. Jesus was referring to places that had not been marked in this way. They looked normal on the outside, but inside they contained dead bodies. Their location was not hidden from view, but it was not obvious that corpses were buried there. Some other ways to translate this expression are:</w:t>
      </w:r>
    </w:p>
    <w:p>
      <w:pPr/>
      <w:r>
        <w:rPr>
          <w:lang w:val="en_US" w:bidi="en_US"/>
        </w:rPr>
      </w:r>
      <w:r>
        <w:rPr>
          <w:lang w:val="en_US" w:bidi="en_US"/>
        </w:rPr>
        <w:t>graves with no marker</w:t>
      </w:r>
    </w:p>
    <w:p>
      <w:pPr/>
      <w:r>
        <w:rPr>
          <w:lang w:val="en_US" w:bidi="en_US"/>
        </w:rPr>
      </w:r>
      <w:r>
        <w:rPr>
          <w:lang w:val="en_US" w:bidi="en_US"/>
        </w:rPr>
        <w:t>graves that people cannot distinguish</w:t>
      </w:r>
    </w:p>
    <w:p>
      <w:pPr>
        <w:pStyle w:val="Heading5"/>
      </w:pPr>
      <w:r>
        <w:rPr>
          <w:lang w:val="en_US" w:bidi="en_US"/>
        </w:rPr>
        <w:t>11:44c</w:t>
      </w:r>
    </w:p>
    <w:p>
      <w:pPr/>
      <w:r>
        <w:rPr>
          <w:lang w:val="en_US" w:bidi="en_US"/>
        </w:rPr>
      </w:r>
      <w:r>
        <w:rPr>
          <w:b/>
          <w:lang w:val="en_US" w:bidi="en_US"/>
        </w:rPr>
        <w:t>which men walk over without even noticing.”</w:t>
      </w:r>
    </w:p>
    <w:p>
      <w:pPr>
        <w:pStyle w:val="ListBullet"/>
        <w:spacing w:line="240" w:lineRule="auto"/>
        <w:ind w:left="720"/>
      </w:pPr>
      <w:r>
        <w:rPr>
          <w:lang w:val="en_US" w:bidi="en_US"/>
        </w:rPr>
      </w:r>
      <w:r>
        <w:rPr>
          <w:lang w:val="en_US" w:bidi="en_US"/>
        </w:rPr>
        <w:t xml:space="preserve">which people can step on and not even know </w:t>
      </w:r>
      <w:r>
        <w:rPr>
          <w:lang w:val="en_US" w:bidi="en_US"/>
        </w:rPr>
        <w:t>that they have become unclean/defiled</w:t>
      </w:r>
      <w:r>
        <w:rPr>
          <w:lang w:val="en_US" w:bidi="en_US"/>
        </w:rPr>
        <w:t>.”</w:t>
      </w:r>
    </w:p>
    <w:p>
      <w:pPr>
        <w:pStyle w:val="ListBullet"/>
        <w:spacing w:line="240" w:lineRule="auto"/>
        <w:ind w:left="720"/>
      </w:pPr>
      <w:r>
        <w:rPr>
          <w:lang w:val="en_US" w:bidi="en_US"/>
        </w:rPr>
      </w:r>
      <w:r>
        <w:rPr>
          <w:lang w:val="en_US" w:bidi="en_US"/>
        </w:rPr>
        <w:t xml:space="preserve">Anyone can </w:t>
      </w:r>
      <w:r>
        <w:rPr>
          <w:lang w:val="en_US" w:bidi="en_US"/>
        </w:rPr>
        <w:t>accidentally</w:t>
      </w:r>
      <w:r>
        <w:rPr>
          <w:lang w:val="en_US" w:bidi="en_US"/>
        </w:rPr>
        <w:t xml:space="preserve"> walk over </w:t>
      </w:r>
      <w:r>
        <w:rPr>
          <w:lang w:val="en_US" w:bidi="en_US"/>
        </w:rPr>
        <w:t>such a grave</w:t>
      </w:r>
      <w:r>
        <w:rPr>
          <w:lang w:val="en_US" w:bidi="en_US"/>
        </w:rPr>
        <w:t xml:space="preserve"> </w:t>
      </w:r>
      <w:r>
        <w:rPr>
          <w:lang w:val="en_US" w:bidi="en_US"/>
        </w:rPr>
        <w:t>and become unclean</w:t>
      </w:r>
      <w:r>
        <w:rPr>
          <w:lang w:val="en_US" w:bidi="en_US"/>
        </w:rPr>
        <w:t>. He does not realize what is inside/underneath.”</w:t>
      </w:r>
    </w:p>
    <w:p>
      <w:pPr>
        <w:pStyle w:val="ListBullet"/>
        <w:spacing w:line="240" w:lineRule="auto"/>
        <w:ind w:left="720"/>
      </w:pPr>
      <w:r>
        <w:rPr>
          <w:lang w:val="en_US" w:bidi="en_US"/>
        </w:rPr>
      </w:r>
      <w:r>
        <w:rPr>
          <w:lang w:val="en_US" w:bidi="en_US"/>
        </w:rPr>
        <w:t xml:space="preserve">If a person walks over </w:t>
      </w:r>
      <w:r>
        <w:rPr>
          <w:lang w:val="en_US" w:bidi="en_US"/>
        </w:rPr>
        <w:t>the surface of</w:t>
      </w:r>
      <w:r>
        <w:rPr>
          <w:lang w:val="en_US" w:bidi="en_US"/>
        </w:rPr>
        <w:t xml:space="preserve"> </w:t>
      </w:r>
      <w:r>
        <w:rPr>
          <w:lang w:val="en_US" w:bidi="en_US"/>
        </w:rPr>
        <w:t>a grave like this</w:t>
      </w:r>
      <w:r>
        <w:rPr>
          <w:lang w:val="en_US" w:bidi="en_US"/>
        </w:rPr>
        <w:t xml:space="preserve">, he will not know </w:t>
      </w:r>
      <w:r>
        <w:rPr>
          <w:lang w:val="en_US" w:bidi="en_US"/>
        </w:rPr>
        <w:t>that there is something rotten/filthy inside that has caused him to be unclean</w:t>
      </w:r>
      <w:r>
        <w:rPr>
          <w:lang w:val="en_US" w:bidi="en_US"/>
        </w:rPr>
        <w:t>.”</w:t>
      </w:r>
    </w:p>
    <w:p>
      <w:pPr/>
      <w:r>
        <w:rPr>
          <w:lang w:val="en_US" w:bidi="en_US"/>
        </w:rPr>
      </w:r>
      <w:r>
        <w:rPr>
          <w:b/>
          <w:lang w:val="en_US" w:bidi="en_US"/>
        </w:rPr>
        <w:t>which men walk over without even noticing:</w:t>
      </w:r>
      <w:r>
        <w:rPr>
          <w:lang w:val="en_US" w:bidi="en_US"/>
        </w:rPr>
        <w:t xml:space="preserve"> Sometimes, people walked across or stepped on such graves and did not realize that there were dead people underneath. When they did this, they became ceremonially unclean without knowing it.</w:t>
      </w:r>
    </w:p>
    <w:p>
      <w:pPr/>
      <w:r>
        <w:rPr>
          <w:lang w:val="en_US" w:bidi="en_US"/>
        </w:rPr>
      </w:r>
      <w:r>
        <w:rPr>
          <w:lang w:val="en_US" w:bidi="en_US"/>
        </w:rPr>
        <w:t>The Pharisees were like these graves because they caused other people to become morally unclean. The ordinary people admired them and were influenced by them. But without realizing it, they learned evil ways of thinking and acting from the Pharisees.</w:t>
      </w:r>
    </w:p>
    <w:p>
      <w:pPr/>
      <w:r>
        <w:rPr>
          <w:lang w:val="en_US" w:bidi="en_US"/>
        </w:rPr>
      </w:r>
      <w:r>
        <w:rPr>
          <w:b/>
          <w:lang w:val="en_US" w:bidi="en_US"/>
        </w:rPr>
        <w:t>men:</w:t>
      </w:r>
      <w:r>
        <w:rPr>
          <w:lang w:val="en_US" w:bidi="en_US"/>
        </w:rPr>
        <w:t xml:space="preserve"> The Greek word that the BSB translates as </w:t>
      </w:r>
      <w:r>
        <w:rPr>
          <w:i/>
          <w:lang w:val="en_US" w:bidi="en_US"/>
        </w:rPr>
        <w:t>men</w:t>
      </w:r>
      <w:r>
        <w:rPr>
          <w:lang w:val="en_US" w:bidi="en_US"/>
        </w:rPr>
        <w:t xml:space="preserve"> here refers to people in general.</w:t>
      </w:r>
    </w:p>
    <w:p>
      <w:pPr/>
      <w:r>
        <w:rPr>
          <w:lang w:val="en_US" w:bidi="en_US"/>
        </w:rPr>
      </w:r>
      <w:r>
        <w:rPr>
          <w:b/>
          <w:lang w:val="en_US" w:bidi="en_US"/>
        </w:rPr>
        <w:t>noticing:</w:t>
      </w:r>
      <w:r>
        <w:rPr>
          <w:lang w:val="en_US" w:bidi="en_US"/>
        </w:rPr>
        <w:t xml:space="preserve"> There is more than one implied object of </w:t>
      </w:r>
      <w:r>
        <w:rPr>
          <w:i/>
          <w:lang w:val="en_US" w:bidi="en_US"/>
        </w:rPr>
        <w:t>noticing</w:t>
      </w:r>
      <w:r>
        <w:rPr>
          <w:lang w:val="en_US" w:bidi="en_US"/>
        </w:rPr>
        <w:t>. The word can refer to:</w:t>
      </w:r>
    </w:p>
    <w:p>
      <w:pPr>
        <w:pStyle w:val="ListNumber"/>
        <w:numPr>
          <w:ilvl w:val="0"/>
          <w:numId w:val="234"/>
        </w:numPr>
        <w:spacing w:line="240" w:lineRule="auto"/>
        <w:ind w:left="720"/>
      </w:pPr>
      <w:r>
        <w:rPr>
          <w:lang w:val="en_US" w:bidi="en_US"/>
        </w:rPr>
      </w:r>
      <w:r>
        <w:rPr>
          <w:lang w:val="en_US" w:bidi="en_US"/>
        </w:rPr>
        <w:t>noticing that the graves contain rotting bodies</w:t>
      </w:r>
    </w:p>
    <w:p>
      <w:pPr>
        <w:pStyle w:val="ListNumber"/>
        <w:spacing w:line="240" w:lineRule="auto"/>
        <w:ind w:left="720"/>
      </w:pPr>
      <w:r>
        <w:rPr>
          <w:lang w:val="en_US" w:bidi="en_US"/>
        </w:rPr>
      </w:r>
      <w:r>
        <w:rPr>
          <w:lang w:val="en_US" w:bidi="en_US"/>
        </w:rPr>
        <w:t>noticing that they have become defiled/unclean</w:t>
      </w:r>
    </w:p>
    <w:p>
      <w:pPr/>
      <w:r>
        <w:rPr>
          <w:lang w:val="en_US" w:bidi="en_US"/>
        </w:rPr>
      </w:r>
      <w:r>
        <w:rPr>
          <w:lang w:val="en_US" w:bidi="en_US"/>
        </w:rPr>
        <w:t>You may need to make some of this implied information explicit in a footnote or in your translation. For example:</w:t>
      </w:r>
    </w:p>
    <w:p>
      <w:pPr/>
      <w:r>
        <w:rPr>
          <w:lang w:val="en_US" w:bidi="en_US"/>
        </w:rPr>
      </w:r>
      <w:r>
        <w:rPr>
          <w:lang w:val="en_US" w:bidi="en_US"/>
        </w:rPr>
        <w:t xml:space="preserve">which people can step on </w:t>
      </w:r>
      <w:r>
        <w:rPr>
          <w:lang w:val="en_US" w:bidi="en_US"/>
        </w:rPr>
        <w:t>and become unclean</w:t>
      </w:r>
      <w:r>
        <w:rPr>
          <w:lang w:val="en_US" w:bidi="en_US"/>
        </w:rPr>
        <w:t xml:space="preserve"> without knowing it</w:t>
      </w:r>
    </w:p>
    <w:p>
      <w:pPr/>
      <w:r>
        <w:rPr>
          <w:lang w:val="en_US" w:bidi="en_US"/>
        </w:rPr>
      </w:r>
      <w:r>
        <w:rPr>
          <w:lang w:val="en_US" w:bidi="en_US"/>
        </w:rPr>
        <w:t xml:space="preserve">If a person walks over </w:t>
      </w:r>
      <w:r>
        <w:rPr>
          <w:lang w:val="en_US" w:bidi="en_US"/>
        </w:rPr>
        <w:t>the surface of a grave like this</w:t>
      </w:r>
      <w:r>
        <w:rPr>
          <w:lang w:val="en_US" w:bidi="en_US"/>
        </w:rPr>
        <w:t xml:space="preserve">, he will not know </w:t>
      </w:r>
      <w:r>
        <w:rPr>
          <w:lang w:val="en_US" w:bidi="en_US"/>
        </w:rPr>
        <w:t>that there is something rotten/filthy inside that has made him unclean</w:t>
      </w:r>
      <w:r>
        <w:rPr>
          <w:lang w:val="en_US" w:bidi="en_US"/>
        </w:rPr>
        <w:t>.</w:t>
      </w:r>
    </w:p>
    <w:p>
      <w:pPr/>
      <w:r>
        <w:rPr>
          <w:lang w:val="en_US" w:bidi="en_US"/>
        </w:rPr>
      </w:r>
      <w:r>
        <w:rPr>
          <w:lang w:val="en_US" w:bidi="en_US"/>
        </w:rPr>
        <w:t>A suggested footnote is:</w:t>
      </w:r>
    </w:p>
    <w:p>
      <w:pPr/>
      <w:r>
        <w:rPr>
          <w:lang w:val="en_US" w:bidi="en_US"/>
        </w:rPr>
      </w:r>
      <w:r>
        <w:rPr>
          <w:lang w:val="en_US" w:bidi="en_US"/>
        </w:rPr>
        <w:t>A Jewish person who touched a grave became ceremonially/ritually unclean for seven days. See Numbers 19:16.</w:t>
      </w:r>
      <w:r>
        <w:rPr>
          <w:lang w:val="en_US" w:bidi="en_US"/>
        </w:rPr>
      </w:r>
      <w:r>
        <w:rPr>
          <w:lang w:val="en_US" w:bidi="en_US"/>
        </w:rPr>
      </w:r>
    </w:p>
    <w:p>
      <w:pPr/>
      <w:r>
        <w:rPr>
          <w:lang w:val="en_US" w:bidi="en_US"/>
        </w:rPr>
      </w:r>
    </w:p>
    <w:p>
      <w:pPr>
        <w:pStyle w:val="Heading2"/>
      </w:pPr>
      <w:r>
        <w:rPr>
          <w:lang w:val="en_US" w:bidi="en_US"/>
        </w:rPr>
        <w:t>Luke 11:45</w:t>
      </w:r>
      <w:r>
        <w:rPr>
          <w:lang w:val="en_US" w:bidi="en_US"/>
        </w:rPr>
      </w:r>
    </w:p>
    <w:p>
      <w:pPr>
        <w:pStyle w:val="Heading4"/>
      </w:pPr>
      <w:r>
        <w:rPr>
          <w:lang w:val="en_US" w:bidi="en_US"/>
        </w:rPr>
        <w:t>Section 11:37–54: Jesus criticized the Pharisees and the teachers of the law</w:t>
      </w:r>
    </w:p>
    <w:p>
      <w:pPr/>
      <w:r>
        <w:rPr>
          <w:lang w:val="en_US" w:bidi="en_US"/>
        </w:rPr>
      </w:r>
      <w:r>
        <w:rPr>
          <w:lang w:val="en_US" w:bidi="en_US"/>
        </w:rP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pPr/>
      <w:r>
        <w:rPr>
          <w:lang w:val="en_US" w:bidi="en_US"/>
        </w:rPr>
      </w:r>
      <w:r>
        <w:rPr>
          <w:lang w:val="en_US" w:bidi="en_US"/>
        </w:rPr>
        <w:t>Some other headings for this section are:</w:t>
      </w:r>
    </w:p>
    <w:p>
      <w:pPr/>
      <w:r>
        <w:rPr>
          <w:lang w:val="en_US" w:bidi="en_US"/>
        </w:rPr>
      </w:r>
      <w:r>
        <w:rPr>
          <w:lang w:val="en_US" w:bidi="en_US"/>
        </w:rPr>
        <w:t>Jesus’ Criticism of the Religious Leaders</w:t>
      </w:r>
    </w:p>
    <w:p>
      <w:pPr/>
      <w:r>
        <w:rPr>
          <w:lang w:val="en_US" w:bidi="en_US"/>
        </w:rPr>
      </w:r>
      <w:r>
        <w:rPr>
          <w:lang w:val="en_US" w:bidi="en_US"/>
        </w:rPr>
        <w:t>There are parallel passages for this section in Matthew 23:1–36 and Mark 12:38–40.</w:t>
      </w:r>
    </w:p>
    <w:p>
      <w:pPr>
        <w:pStyle w:val="Heading5"/>
      </w:pPr>
      <w:r>
        <w:rPr>
          <w:lang w:val="en_US" w:bidi="en_US"/>
        </w:rPr>
        <w:t>11:45a</w:t>
      </w:r>
    </w:p>
    <w:p>
      <w:pPr/>
      <w:r>
        <w:rPr>
          <w:lang w:val="en_US" w:bidi="en_US"/>
        </w:rPr>
      </w:r>
      <w:r>
        <w:rPr>
          <w:b/>
          <w:lang w:val="en_US" w:bidi="en_US"/>
        </w:rPr>
        <w:t>One of the experts in the law told Him,</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one of the teachers of the law said to Jesus,</w:t>
      </w:r>
    </w:p>
    <w:p>
      <w:pPr>
        <w:pStyle w:val="ListBullet"/>
        <w:spacing w:line="240" w:lineRule="auto"/>
        <w:ind w:left="720"/>
      </w:pPr>
      <w:r>
        <w:rPr>
          <w:lang w:val="en_US" w:bidi="en_US"/>
        </w:rPr>
      </w:r>
      <w:r>
        <w:rPr>
          <w:lang w:val="en_US" w:bidi="en_US"/>
        </w:rPr>
        <w:t>¶ An expert in the law was there. He responded,</w:t>
      </w:r>
    </w:p>
    <w:p>
      <w:pPr/>
      <w:r>
        <w:rPr>
          <w:lang w:val="en_US" w:bidi="en_US"/>
        </w:rPr>
      </w:r>
      <w:r>
        <w:rPr>
          <w:b/>
          <w:lang w:val="en_US" w:bidi="en_US"/>
        </w:rPr>
        <w:t>One of the experts in the law:</w:t>
      </w:r>
      <w:r>
        <w:rPr>
          <w:lang w:val="en_US" w:bidi="en_US"/>
        </w:rPr>
        <w:t xml:space="preserve"> The Greek word that the BSB translates as </w:t>
      </w:r>
      <w:r>
        <w:rPr>
          <w:i/>
          <w:lang w:val="en_US" w:bidi="en_US"/>
        </w:rPr>
        <w:t>experts in the law</w:t>
      </w:r>
      <w:r>
        <w:rPr>
          <w:lang w:val="en_US" w:bidi="en_US"/>
        </w:rPr>
        <w:t xml:space="preserve"> refers to men who studied, interpreted, and taught the Jewish law. This included the laws that God gave to Moses as well as the “oral law” that the Jewish religious leaders had added over time.</w:t>
      </w:r>
    </w:p>
    <w:p>
      <w:pPr/>
      <w:r>
        <w:rPr>
          <w:lang w:val="en_US" w:bidi="en_US"/>
        </w:rPr>
      </w:r>
      <w:r>
        <w:rPr>
          <w:lang w:val="en_US" w:bidi="en_US"/>
        </w:rPr>
        <w:t>This word is sometimes translated as:</w:t>
      </w:r>
    </w:p>
    <w:p>
      <w:pPr/>
      <w:r>
        <w:rPr>
          <w:lang w:val="en_US" w:bidi="en_US"/>
        </w:rPr>
      </w:r>
      <w:r>
        <w:rPr>
          <w:lang w:val="en_US" w:bidi="en_US"/>
        </w:rPr>
        <w:t>lawyer (RSV)</w:t>
      </w:r>
    </w:p>
    <w:p>
      <w:pPr/>
      <w:r>
        <w:rPr>
          <w:lang w:val="en_US" w:bidi="en_US"/>
        </w:rPr>
      </w:r>
      <w:r>
        <w:rPr>
          <w:lang w:val="en_US" w:bidi="en_US"/>
        </w:rPr>
        <w:t xml:space="preserve">However, the function of a lawyer today is quite different from the function of an “expert in the law” in Jesus’ time. The main function of the </w:t>
      </w:r>
      <w:r>
        <w:rPr>
          <w:i/>
          <w:lang w:val="en_US" w:bidi="en_US"/>
        </w:rPr>
        <w:t>experts in the law</w:t>
      </w:r>
      <w:r>
        <w:rPr>
          <w:lang w:val="en_US" w:bidi="en_US"/>
        </w:rPr>
        <w:t xml:space="preserve"> was to teach the laws of Moses. This function should be in focus in your translation of this term. Some other ways to translate this term are:</w:t>
      </w:r>
    </w:p>
    <w:p>
      <w:pPr/>
      <w:r>
        <w:rPr>
          <w:lang w:val="en_US" w:bidi="en_US"/>
        </w:rPr>
      </w:r>
      <w:r>
        <w:rPr>
          <w:lang w:val="en_US" w:bidi="en_US"/>
        </w:rPr>
        <w:t>teachers of the Law of Moses</w:t>
      </w:r>
    </w:p>
    <w:p>
      <w:pPr/>
      <w:r>
        <w:rPr>
          <w:lang w:val="en_US" w:bidi="en_US"/>
        </w:rPr>
      </w:r>
      <w:r>
        <w:rPr>
          <w:lang w:val="en_US" w:bidi="en_US"/>
        </w:rPr>
        <w:t>teachers of religious law</w:t>
      </w:r>
    </w:p>
    <w:p>
      <w:pPr/>
      <w:r>
        <w:rPr>
          <w:lang w:val="en_US" w:bidi="en_US"/>
        </w:rPr>
      </w:r>
      <w:r>
        <w:rPr>
          <w:lang w:val="en_US" w:bidi="en_US"/>
        </w:rPr>
        <w:t>experts on the law</w:t>
      </w:r>
    </w:p>
    <w:p>
      <w:pPr/>
      <w:r>
        <w:rPr>
          <w:lang w:val="en_US" w:bidi="en_US"/>
        </w:rPr>
      </w:r>
      <w:r>
        <w:rPr>
          <w:lang w:val="en_US" w:bidi="en_US"/>
        </w:rPr>
        <w:t>This same word occurs in 10:25a. See expert in the law in the Glossary.</w:t>
      </w:r>
    </w:p>
    <w:p>
      <w:pPr/>
      <w:r>
        <w:rPr>
          <w:lang w:val="en_US" w:bidi="en_US"/>
        </w:rPr>
      </w:r>
      <w:r>
        <w:rPr>
          <w:b/>
          <w:lang w:val="en_US" w:bidi="en_US"/>
        </w:rPr>
        <w:t>told Him:</w:t>
      </w:r>
      <w:r>
        <w:rPr>
          <w:lang w:val="en_US" w:bidi="en_US"/>
        </w:rPr>
        <w:t xml:space="preserve"> The Greek word that the BSB translates as </w:t>
      </w:r>
      <w:r>
        <w:rPr>
          <w:i/>
          <w:lang w:val="en_US" w:bidi="en_US"/>
        </w:rPr>
        <w:t>told</w:t>
      </w:r>
      <w:r>
        <w:rPr>
          <w:lang w:val="en_US" w:bidi="en_US"/>
        </w:rPr>
        <w:t xml:space="preserve"> is literally “answered.” However, the man was not answering a question. He was offended by what Jesus had said about the Pharisees. He spoke up in response to Jesus’ criticism of the Pharisees. Some other ways to translate this word are:</w:t>
      </w:r>
    </w:p>
    <w:p>
      <w:pPr/>
      <w:r>
        <w:rPr>
          <w:lang w:val="en_US" w:bidi="en_US"/>
        </w:rPr>
      </w:r>
      <w:r>
        <w:rPr>
          <w:lang w:val="en_US" w:bidi="en_US"/>
        </w:rPr>
        <w:t>said to him (GNT)</w:t>
      </w:r>
    </w:p>
    <w:p>
      <w:pPr/>
      <w:r>
        <w:rPr>
          <w:lang w:val="en_US" w:bidi="en_US"/>
        </w:rPr>
      </w:r>
      <w:r>
        <w:rPr>
          <w:lang w:val="en_US" w:bidi="en_US"/>
        </w:rPr>
        <w:t>spoke up (CEV)</w:t>
      </w:r>
    </w:p>
    <w:p>
      <w:pPr/>
      <w:r>
        <w:rPr>
          <w:lang w:val="en_US" w:bidi="en_US"/>
        </w:rPr>
      </w:r>
      <w:r>
        <w:rPr>
          <w:lang w:val="en_US" w:bidi="en_US"/>
        </w:rPr>
        <w:t>responded</w:t>
      </w:r>
    </w:p>
    <w:p>
      <w:pPr>
        <w:pStyle w:val="Heading5"/>
      </w:pPr>
      <w:r>
        <w:rPr>
          <w:lang w:val="en_US" w:bidi="en_US"/>
        </w:rPr>
        <w:t>11:45b</w:t>
      </w:r>
    </w:p>
    <w:p>
      <w:pPr/>
      <w:r>
        <w:rPr>
          <w:lang w:val="en_US" w:bidi="en_US"/>
        </w:rPr>
      </w:r>
      <w:r>
        <w:rPr>
          <w:b/>
          <w:lang w:val="en_US" w:bidi="en_US"/>
        </w:rPr>
        <w:t>“Teacher, when You say these things, You insult us as well.”</w:t>
      </w:r>
    </w:p>
    <w:p>
      <w:pPr>
        <w:pStyle w:val="ListBullet"/>
        <w:spacing w:line="240" w:lineRule="auto"/>
        <w:ind w:left="720"/>
      </w:pPr>
      <w:r>
        <w:rPr>
          <w:lang w:val="en_US" w:bidi="en_US"/>
        </w:rPr>
      </w:r>
      <w:r>
        <w:rPr>
          <w:lang w:val="en_US" w:bidi="en_US"/>
        </w:rPr>
        <w:t>“Teacher, when you</w:t>
      </w:r>
      <w:r>
        <w:rPr>
          <w:vertAlign w:val="superscript"/>
          <w:lang w:val="en_US" w:bidi="en_US"/>
        </w:rPr>
        <w:t>(sing)</w:t>
      </w:r>
      <w:r>
        <w:rPr>
          <w:lang w:val="en_US" w:bidi="en_US"/>
        </w:rPr>
        <w:t xml:space="preserve"> say these things </w:t>
      </w:r>
      <w:r>
        <w:rPr>
          <w:lang w:val="en_US" w:bidi="en_US"/>
        </w:rPr>
        <w:t>about the Pharisees</w:t>
      </w:r>
      <w:r>
        <w:rPr>
          <w:lang w:val="en_US" w:bidi="en_US"/>
        </w:rPr>
        <w:t>, you insult us</w:t>
      </w:r>
      <w:r>
        <w:rPr>
          <w:vertAlign w:val="superscript"/>
          <w:lang w:val="en_US" w:bidi="en_US"/>
        </w:rPr>
        <w:t>(excl)</w:t>
      </w:r>
      <w:r>
        <w:rPr>
          <w:lang w:val="en_US" w:bidi="en_US"/>
        </w:rPr>
        <w:t xml:space="preserve"> too.”</w:t>
      </w:r>
    </w:p>
    <w:p>
      <w:pPr>
        <w:pStyle w:val="ListBullet"/>
        <w:spacing w:line="240" w:lineRule="auto"/>
        <w:ind w:left="720"/>
      </w:pPr>
      <w:r>
        <w:rPr>
          <w:lang w:val="en_US" w:bidi="en_US"/>
        </w:rPr>
      </w:r>
      <w:r>
        <w:rPr>
          <w:lang w:val="en_US" w:bidi="en_US"/>
        </w:rPr>
        <w:t>“Sir, you</w:t>
      </w:r>
      <w:r>
        <w:rPr>
          <w:vertAlign w:val="superscript"/>
          <w:lang w:val="en_US" w:bidi="en_US"/>
        </w:rPr>
        <w:t>(sing)</w:t>
      </w:r>
      <w:r>
        <w:rPr>
          <w:lang w:val="en_US" w:bidi="en_US"/>
        </w:rPr>
        <w:t xml:space="preserve"> insulted/shamed us</w:t>
      </w:r>
      <w:r>
        <w:rPr>
          <w:vertAlign w:val="superscript"/>
          <w:lang w:val="en_US" w:bidi="en_US"/>
        </w:rPr>
        <w:t>(excl)</w:t>
      </w:r>
      <w:r>
        <w:rPr>
          <w:lang w:val="en_US" w:bidi="en_US"/>
        </w:rPr>
        <w:t xml:space="preserve"> </w:t>
      </w:r>
      <w:r>
        <w:rPr>
          <w:lang w:val="en_US" w:bidi="en_US"/>
        </w:rPr>
        <w:t>teachers of the law</w:t>
      </w:r>
      <w:r>
        <w:rPr>
          <w:lang w:val="en_US" w:bidi="en_US"/>
        </w:rPr>
        <w:t xml:space="preserve"> also when you spoke like that </w:t>
      </w:r>
      <w:r>
        <w:rPr>
          <w:lang w:val="en_US" w:bidi="en_US"/>
        </w:rPr>
        <w:t>to the Pharisees</w:t>
      </w:r>
      <w:r>
        <w:rPr>
          <w:lang w:val="en_US" w:bidi="en_US"/>
        </w:rPr>
        <w:t>.”</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was a polite title for a Jewish religious leader. It was a title of respect for a Jewish man who had authority to teach the things about God. In some languages the appropriate way to address a religious teacher may be:</w:t>
      </w:r>
    </w:p>
    <w:p>
      <w:pPr/>
      <w:r>
        <w:rPr>
          <w:lang w:val="en_US" w:bidi="en_US"/>
        </w:rPr>
      </w:r>
      <w:r>
        <w:rPr>
          <w:lang w:val="en_US" w:bidi="en_US"/>
        </w:rPr>
        <w:t>Sir Teacher</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lang w:val="en_US" w:bidi="en_US"/>
        </w:rPr>
        <w:t>Be careful not to use a term that can refer only to a school teacher.</w:t>
      </w:r>
    </w:p>
    <w:p>
      <w:pPr/>
      <w:r>
        <w:rPr>
          <w:lang w:val="en_US" w:bidi="en_US"/>
        </w:rPr>
      </w:r>
      <w:r>
        <w:rPr>
          <w:lang w:val="en_US" w:bidi="en_US"/>
        </w:rPr>
        <w:t xml:space="preserve">Consider what term of respect people use in your area for religious teachers who are leaders. It may be appropriate to use a term other than </w:t>
      </w:r>
      <w:r>
        <w:rPr>
          <w:i/>
          <w:lang w:val="en_US" w:bidi="en_US"/>
        </w:rPr>
        <w:t>Teacher</w:t>
      </w:r>
      <w:r>
        <w:rPr>
          <w:lang w:val="en_US" w:bidi="en_US"/>
        </w:rPr>
        <w:t xml:space="preserve"> if you would naturally use a different term of address.</w:t>
      </w:r>
    </w:p>
    <w:p>
      <w:pPr/>
      <w:r>
        <w:rPr>
          <w:lang w:val="en_US" w:bidi="en_US"/>
        </w:rPr>
      </w:r>
      <w:r>
        <w:rPr>
          <w:lang w:val="en_US" w:bidi="en_US"/>
        </w:rPr>
        <w:t>In some languages, a person shows respect by a blessing rather than a term. For example “May God add to your days.”</w:t>
      </w:r>
    </w:p>
    <w:p>
      <w:pPr/>
      <w:r>
        <w:rPr>
          <w:lang w:val="en_US" w:bidi="en_US"/>
        </w:rPr>
      </w:r>
      <w:r>
        <w:rPr>
          <w:lang w:val="en_US" w:bidi="en_US"/>
        </w:rPr>
        <w:t xml:space="preserve">This word </w:t>
      </w:r>
      <w:r>
        <w:rPr>
          <w:i/>
          <w:lang w:val="en_US" w:bidi="en_US"/>
        </w:rPr>
        <w:t>Teacher</w:t>
      </w:r>
      <w:r>
        <w:rPr>
          <w:lang w:val="en_US" w:bidi="en_US"/>
        </w:rPr>
        <w:t xml:space="preserve"> also occurs in 10:25c–d.</w:t>
      </w:r>
    </w:p>
    <w:p>
      <w:pPr/>
      <w:r>
        <w:rPr>
          <w:lang w:val="en_US" w:bidi="en_US"/>
        </w:rPr>
      </w:r>
      <w:r>
        <w:rPr>
          <w:b/>
          <w:lang w:val="en_US" w:bidi="en_US"/>
        </w:rPr>
        <w:t>when You say these things, You insult us as well:</w:t>
      </w:r>
      <w:r>
        <w:rPr>
          <w:lang w:val="en_US" w:bidi="en_US"/>
        </w:rPr>
        <w:t xml:space="preserve"> Most of the experts in the law were also Pharisees. So what Jesus said against the Pharisees would also be against them.</w:t>
      </w:r>
    </w:p>
    <w:p>
      <w:pPr/>
      <w:r>
        <w:rPr>
          <w:lang w:val="en_US" w:bidi="en_US"/>
        </w:rPr>
      </w:r>
      <w:r>
        <w:rPr>
          <w:lang w:val="en_US" w:bidi="en_US"/>
        </w:rPr>
        <w:t>In some languages it may be more natural to use past tense verbs here, because these clauses refer to what Jesus had already said. For example:</w:t>
      </w:r>
    </w:p>
    <w:p>
      <w:pPr/>
      <w:r>
        <w:rPr>
          <w:lang w:val="en_US" w:bidi="en_US"/>
        </w:rPr>
      </w:r>
      <w:r>
        <w:rPr>
          <w:lang w:val="en_US" w:bidi="en_US"/>
        </w:rPr>
        <w:t xml:space="preserve">when you </w:t>
      </w:r>
      <w:r>
        <w:rPr>
          <w:u w:val="single"/>
          <w:lang w:val="en_US" w:bidi="en_US"/>
        </w:rPr>
        <w:t>said</w:t>
      </w:r>
      <w:r>
        <w:rPr>
          <w:lang w:val="en_US" w:bidi="en_US"/>
        </w:rPr>
        <w:t xml:space="preserve"> these things, you also </w:t>
      </w:r>
      <w:r>
        <w:rPr>
          <w:u w:val="single"/>
          <w:lang w:val="en_US" w:bidi="en_US"/>
        </w:rPr>
        <w:t>insulted</w:t>
      </w:r>
      <w:r>
        <w:rPr>
          <w:lang w:val="en_US" w:bidi="en_US"/>
        </w:rPr>
        <w:t xml:space="preserve"> us</w:t>
      </w:r>
    </w:p>
    <w:p>
      <w:pPr/>
      <w:r>
        <w:rPr>
          <w:lang w:val="en_US" w:bidi="en_US"/>
        </w:rPr>
      </w:r>
      <w:r>
        <w:rPr>
          <w:b/>
          <w:lang w:val="en_US" w:bidi="en_US"/>
        </w:rPr>
        <w:t>these things:</w:t>
      </w:r>
      <w:r>
        <w:rPr>
          <w:lang w:val="en_US" w:bidi="en_US"/>
        </w:rPr>
        <w:t xml:space="preserve"> The phrase </w:t>
      </w:r>
      <w:r>
        <w:rPr>
          <w:i/>
          <w:lang w:val="en_US" w:bidi="en_US"/>
        </w:rPr>
        <w:t>these things</w:t>
      </w:r>
      <w:r>
        <w:rPr>
          <w:lang w:val="en_US" w:bidi="en_US"/>
        </w:rPr>
        <w:t xml:space="preserve"> refers to what Jesus had just said about the Pharisees. If you need to make this explicit in your language, you could say something like:</w:t>
      </w:r>
    </w:p>
    <w:p>
      <w:pPr/>
      <w:r>
        <w:rPr>
          <w:lang w:val="en_US" w:bidi="en_US"/>
        </w:rPr>
      </w:r>
      <w:r>
        <w:rPr>
          <w:lang w:val="en_US" w:bidi="en_US"/>
        </w:rPr>
        <w:t>when you talk in this way about the Pharisees</w:t>
      </w:r>
    </w:p>
    <w:p>
      <w:pPr/>
      <w:r>
        <w:rPr>
          <w:lang w:val="en_US" w:bidi="en_US"/>
        </w:rPr>
      </w:r>
      <w:r>
        <w:rPr>
          <w:b/>
          <w:lang w:val="en_US" w:bidi="en_US"/>
        </w:rPr>
        <w:t>You insult us as well:</w:t>
      </w:r>
      <w:r>
        <w:rPr>
          <w:lang w:val="en_US" w:bidi="en_US"/>
        </w:rPr>
        <w:t xml:space="preserve"> The Greek word that the BSB translates as </w:t>
      </w:r>
      <w:r>
        <w:rPr>
          <w:i/>
          <w:lang w:val="en_US" w:bidi="en_US"/>
        </w:rPr>
        <w:t>insult</w:t>
      </w:r>
      <w:r>
        <w:rPr>
          <w:lang w:val="en_US" w:bidi="en_US"/>
        </w:rPr>
        <w:t xml:space="preserve"> means “criticize or speak badly of someone in a way that dishonors or offends them.” Another way to translate this clause is:</w:t>
      </w:r>
    </w:p>
    <w:p>
      <w:pPr/>
      <w:r>
        <w:rPr>
          <w:lang w:val="en_US" w:bidi="en_US"/>
        </w:rPr>
      </w:r>
      <w:r>
        <w:rPr>
          <w:lang w:val="en_US" w:bidi="en_US"/>
        </w:rPr>
        <w:t>you are also causing us</w:t>
      </w:r>
      <w:r>
        <w:rPr>
          <w:vertAlign w:val="superscript"/>
          <w:lang w:val="en_US" w:bidi="en_US"/>
        </w:rPr>
        <w:t>(excl)</w:t>
      </w:r>
      <w:r>
        <w:rPr>
          <w:lang w:val="en_US" w:bidi="en_US"/>
        </w:rPr>
        <w:t xml:space="preserve"> law experts to be shamed</w:t>
      </w:r>
      <w:r>
        <w:rPr>
          <w:lang w:val="en_US" w:bidi="en_US"/>
        </w:rPr>
      </w:r>
      <w:r>
        <w:rPr>
          <w:lang w:val="en_US" w:bidi="en_US"/>
        </w:rPr>
      </w:r>
    </w:p>
    <w:p>
      <w:pPr/>
      <w:r>
        <w:rPr>
          <w:lang w:val="en_US" w:bidi="en_US"/>
        </w:rPr>
      </w:r>
    </w:p>
    <w:p>
      <w:pPr>
        <w:pStyle w:val="Heading2"/>
      </w:pPr>
      <w:r>
        <w:rPr>
          <w:lang w:val="en_US" w:bidi="en_US"/>
        </w:rPr>
        <w:t>Luke 11:46</w:t>
      </w:r>
      <w:r>
        <w:rPr>
          <w:lang w:val="en_US" w:bidi="en_US"/>
        </w:rPr>
      </w:r>
    </w:p>
    <w:p>
      <w:pPr>
        <w:pStyle w:val="Heading4"/>
      </w:pPr>
      <w:r>
        <w:rPr>
          <w:lang w:val="en_US" w:bidi="en_US"/>
        </w:rPr>
        <w:t>Section 11:37–54: Jesus criticized the Pharisees and the teachers of the law</w:t>
      </w:r>
    </w:p>
    <w:p>
      <w:pPr/>
      <w:r>
        <w:rPr>
          <w:lang w:val="en_US" w:bidi="en_US"/>
        </w:rPr>
      </w:r>
      <w:r>
        <w:rPr>
          <w:lang w:val="en_US" w:bidi="en_US"/>
        </w:rP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pPr/>
      <w:r>
        <w:rPr>
          <w:lang w:val="en_US" w:bidi="en_US"/>
        </w:rPr>
      </w:r>
      <w:r>
        <w:rPr>
          <w:lang w:val="en_US" w:bidi="en_US"/>
        </w:rPr>
        <w:t>Some other headings for this section are:</w:t>
      </w:r>
    </w:p>
    <w:p>
      <w:pPr/>
      <w:r>
        <w:rPr>
          <w:lang w:val="en_US" w:bidi="en_US"/>
        </w:rPr>
      </w:r>
      <w:r>
        <w:rPr>
          <w:lang w:val="en_US" w:bidi="en_US"/>
        </w:rPr>
        <w:t>Jesus’ Criticism of the Religious Leaders</w:t>
      </w:r>
    </w:p>
    <w:p>
      <w:pPr/>
      <w:r>
        <w:rPr>
          <w:lang w:val="en_US" w:bidi="en_US"/>
        </w:rPr>
      </w:r>
      <w:r>
        <w:rPr>
          <w:lang w:val="en_US" w:bidi="en_US"/>
        </w:rPr>
        <w:t>There are parallel passages for this section in Matthew 23:1–36 and Mark 12:38–40.</w:t>
      </w:r>
    </w:p>
    <w:p>
      <w:pPr>
        <w:pStyle w:val="Heading5"/>
      </w:pPr>
      <w:r>
        <w:rPr>
          <w:lang w:val="en_US" w:bidi="en_US"/>
        </w:rPr>
        <w:t>11:46a</w:t>
      </w:r>
    </w:p>
    <w:p>
      <w:pPr/>
      <w:r>
        <w:rPr>
          <w:lang w:val="en_US" w:bidi="en_US"/>
        </w:rPr>
      </w:r>
      <w:r>
        <w:rPr>
          <w:b/>
          <w:lang w:val="en_US" w:bidi="en_US"/>
        </w:rPr>
        <w:t>“Woe to you as well, experts in the law!” He replied.</w:t>
      </w:r>
    </w:p>
    <w:p>
      <w:pPr>
        <w:pStyle w:val="ListBullet"/>
        <w:spacing w:line="240" w:lineRule="auto"/>
        <w:ind w:left="720"/>
      </w:pPr>
      <w:r>
        <w:rPr>
          <w:lang w:val="en_US" w:bidi="en_US"/>
        </w:rPr>
      </w:r>
      <w:r>
        <w:rPr>
          <w:lang w:val="en_US" w:bidi="en_US"/>
        </w:rPr>
        <w:t>Then</w:t>
      </w:r>
      <w:r>
        <w:rPr>
          <w:lang w:val="en_US" w:bidi="en_US"/>
        </w:rPr>
        <w:t xml:space="preserve"> Jesus said/replied, “As for you</w:t>
      </w:r>
      <w:r>
        <w:rPr>
          <w:vertAlign w:val="superscript"/>
          <w:lang w:val="en_US" w:bidi="en_US"/>
        </w:rPr>
        <w:t>(plur)</w:t>
      </w:r>
      <w:r>
        <w:rPr>
          <w:lang w:val="en_US" w:bidi="en_US"/>
        </w:rPr>
        <w:t xml:space="preserve"> teachers of the law, it will be also bad/terrible for you!</w:t>
      </w:r>
    </w:p>
    <w:p>
      <w:pPr>
        <w:pStyle w:val="ListBullet"/>
        <w:spacing w:line="240" w:lineRule="auto"/>
        <w:ind w:left="720"/>
      </w:pPr>
      <w:r>
        <w:rPr>
          <w:lang w:val="en_US" w:bidi="en_US"/>
        </w:rPr>
      </w:r>
      <w:r>
        <w:rPr>
          <w:lang w:val="en_US" w:bidi="en_US"/>
        </w:rPr>
        <w:t xml:space="preserve">Jesus said </w:t>
      </w:r>
      <w:r>
        <w:rPr>
          <w:lang w:val="en_US" w:bidi="en_US"/>
        </w:rPr>
        <w:t>to him</w:t>
      </w:r>
      <w:r>
        <w:rPr>
          <w:lang w:val="en_US" w:bidi="en_US"/>
        </w:rPr>
        <w:t>, “How sad/awful! God will also severely punish you</w:t>
      </w:r>
      <w:r>
        <w:rPr>
          <w:vertAlign w:val="superscript"/>
          <w:lang w:val="en_US" w:bidi="en_US"/>
        </w:rPr>
        <w:t>(plur)</w:t>
      </w:r>
      <w:r>
        <w:rPr>
          <w:lang w:val="en_US" w:bidi="en_US"/>
        </w:rPr>
        <w:t xml:space="preserve"> who teach the law,</w:t>
      </w:r>
    </w:p>
    <w:p>
      <w:pPr/>
      <w:r>
        <w:rPr>
          <w:lang w:val="en_US" w:bidi="en_US"/>
        </w:rPr>
      </w:r>
      <w:r>
        <w:rPr>
          <w:b/>
          <w:lang w:val="en_US" w:bidi="en_US"/>
        </w:rPr>
        <w:t>“Woe to you as well, experts in the law!” He replied:</w:t>
      </w:r>
      <w:r>
        <w:rPr>
          <w:lang w:val="en_US" w:bidi="en_US"/>
        </w:rPr>
        <w:t xml:space="preserve"> In Greek, Jesus’ reply is more literally “Also to you experts in the law, woe.” The word </w:t>
      </w:r>
      <w:r>
        <w:rPr>
          <w:i/>
          <w:lang w:val="en_US" w:bidi="en_US"/>
        </w:rPr>
        <w:t>you</w:t>
      </w:r>
      <w:r>
        <w:rPr>
          <w:lang w:val="en_US" w:bidi="en_US"/>
        </w:rPr>
        <w:t xml:space="preserve"> is in an emphatic position in the sentence. It indicates that Jesus was now addressing the law experts specifically. For example:</w:t>
      </w:r>
    </w:p>
    <w:p>
      <w:pPr/>
      <w:r>
        <w:rPr>
          <w:lang w:val="en_US" w:bidi="en_US"/>
        </w:rPr>
      </w:r>
      <w:r>
        <w:rPr>
          <w:lang w:val="en_US" w:bidi="en_US"/>
        </w:rPr>
        <w:t>As for you experts in the law, woe to you also</w:t>
      </w:r>
    </w:p>
    <w:p>
      <w:pPr/>
      <w:r>
        <w:rPr>
          <w:lang w:val="en_US" w:bidi="en_US"/>
        </w:rPr>
      </w:r>
      <w:r>
        <w:rPr>
          <w:lang w:val="en_US" w:bidi="en_US"/>
        </w:rPr>
        <w:t>You may have a natural way to indicate this in your language. Remember that some languages place a focused item first in the sentence; other languages place it last.</w:t>
      </w:r>
    </w:p>
    <w:p>
      <w:pPr/>
      <w:r>
        <w:rPr>
          <w:lang w:val="en_US" w:bidi="en_US"/>
        </w:rPr>
      </w:r>
      <w:r>
        <w:rPr>
          <w:b/>
          <w:lang w:val="en_US" w:bidi="en_US"/>
        </w:rPr>
        <w:t>Woe to you:</w:t>
      </w:r>
      <w:r>
        <w:rPr>
          <w:lang w:val="en_US" w:bidi="en_US"/>
        </w:rPr>
        <w:t xml:space="preserve"> This is the same phrase as in 11:43a.</w:t>
      </w:r>
    </w:p>
    <w:p>
      <w:pPr/>
      <w:r>
        <w:rPr>
          <w:lang w:val="en_US" w:bidi="en_US"/>
        </w:rPr>
      </w:r>
      <w:r>
        <w:rPr>
          <w:b/>
          <w:lang w:val="en_US" w:bidi="en_US"/>
        </w:rPr>
        <w:t>He replied:</w:t>
      </w:r>
      <w:r>
        <w:rPr>
          <w:lang w:val="en_US" w:bidi="en_US"/>
        </w:rPr>
        <w:t xml:space="preserve"> The BSB has placed </w:t>
      </w:r>
      <w:r>
        <w:rPr>
          <w:i/>
          <w:lang w:val="en_US" w:bidi="en_US"/>
        </w:rPr>
        <w:t>He replied</w:t>
      </w:r>
      <w:r>
        <w:rPr>
          <w:lang w:val="en_US" w:bidi="en_US"/>
        </w:rPr>
        <w:t xml:space="preserve"> after the start of what Jesus said. In the Greek text, these words are at the beginning of the verse. Place them wherever it is natural in your language.</w:t>
      </w:r>
    </w:p>
    <w:p>
      <w:pPr>
        <w:pStyle w:val="Heading5"/>
      </w:pPr>
      <w:r>
        <w:rPr>
          <w:lang w:val="en_US" w:bidi="en_US"/>
        </w:rPr>
        <w:t>11:46b</w:t>
      </w:r>
    </w:p>
    <w:p>
      <w:pPr/>
      <w:r>
        <w:rPr>
          <w:lang w:val="en_US" w:bidi="en_US"/>
        </w:rPr>
      </w:r>
      <w:r>
        <w:rPr>
          <w:b/>
          <w:lang w:val="en_US" w:bidi="en_US"/>
        </w:rPr>
        <w:t>“You weigh men down with heavy burdens,</w:t>
      </w:r>
    </w:p>
    <w:p>
      <w:pPr>
        <w:pStyle w:val="ListBullet"/>
        <w:spacing w:line="240" w:lineRule="auto"/>
        <w:ind w:left="720"/>
      </w:pPr>
      <w:r>
        <w:rPr>
          <w:lang w:val="en_US" w:bidi="en_US"/>
        </w:rPr>
      </w:r>
      <w:r>
        <w:rPr>
          <w:lang w:val="en_US" w:bidi="en_US"/>
        </w:rPr>
        <w:t>For you</w:t>
      </w:r>
      <w:r>
        <w:rPr>
          <w:vertAlign w:val="superscript"/>
          <w:lang w:val="en_US" w:bidi="en_US"/>
        </w:rPr>
        <w:t>(plur)</w:t>
      </w:r>
      <w:r>
        <w:rPr>
          <w:lang w:val="en_US" w:bidi="en_US"/>
        </w:rPr>
        <w:t xml:space="preserve"> put such heavy burdens/loads on people that they can hardly carry them,</w:t>
      </w:r>
    </w:p>
    <w:p>
      <w:pPr>
        <w:pStyle w:val="ListBullet"/>
        <w:spacing w:line="240" w:lineRule="auto"/>
        <w:ind w:left="720"/>
      </w:pPr>
      <w:r>
        <w:rPr>
          <w:lang w:val="en_US" w:bidi="en_US"/>
        </w:rPr>
      </w:r>
      <w:r>
        <w:rPr>
          <w:lang w:val="en_US" w:bidi="en_US"/>
        </w:rPr>
        <w:t xml:space="preserve">because </w:t>
      </w:r>
      <w:r>
        <w:rPr>
          <w:lang w:val="en_US" w:bidi="en_US"/>
        </w:rPr>
        <w:t>you</w:t>
      </w:r>
      <w:r>
        <w:rPr>
          <w:vertAlign w:val="superscript"/>
          <w:lang w:val="en_US" w:bidi="en_US"/>
        </w:rPr>
        <w:t>(plur)</w:t>
      </w:r>
      <w:r>
        <w:rPr>
          <w:lang w:val="en_US" w:bidi="en_US"/>
        </w:rPr>
        <w:t xml:space="preserve"> </w:t>
      </w:r>
      <w:r>
        <w:rPr>
          <w:lang w:val="en_US" w:bidi="en_US"/>
        </w:rPr>
        <w:t>insist that people obey many rules that they are not able to follow. It is as if</w:t>
      </w:r>
      <w:r>
        <w:rPr>
          <w:lang w:val="en_US" w:bidi="en_US"/>
        </w:rPr>
        <w:t xml:space="preserve"> you place a heavy load on their backs that is too heavy for them to carry.</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burden/tire the people with many </w:t>
      </w:r>
      <w:r>
        <w:rPr>
          <w:lang w:val="en_US" w:bidi="en_US"/>
        </w:rPr>
        <w:t>rules</w:t>
      </w:r>
      <w:r>
        <w:rPr>
          <w:lang w:val="en_US" w:bidi="en_US"/>
        </w:rPr>
        <w:t xml:space="preserve"> that are hard </w:t>
      </w:r>
      <w:r>
        <w:rPr>
          <w:lang w:val="en_US" w:bidi="en_US"/>
        </w:rPr>
        <w:t>to obey/follow</w:t>
      </w:r>
      <w:r>
        <w:rPr>
          <w:lang w:val="en_US" w:bidi="en_US"/>
        </w:rPr>
        <w:t>,</w:t>
      </w:r>
    </w:p>
    <w:p>
      <w:pPr/>
      <w:r>
        <w:rPr>
          <w:lang w:val="en_US" w:bidi="en_US"/>
        </w:rPr>
      </w:r>
      <w:r>
        <w:rPr>
          <w:b/>
          <w:lang w:val="en_US" w:bidi="en_US"/>
        </w:rPr>
        <w:t>You weigh men down with heavy burdens:</w:t>
      </w:r>
      <w:r>
        <w:rPr>
          <w:lang w:val="en_US" w:bidi="en_US"/>
        </w:rPr>
        <w:t xml:space="preserve"> This is a metaphor. It indicates that the experts in the law were teaching people that they must keep many difficult laws in order to please God. Their teachings were like heavy burdens to the people.</w:t>
      </w:r>
    </w:p>
    <w:p>
      <w:pPr/>
      <w:r>
        <w:rPr>
          <w:lang w:val="en_US" w:bidi="en_US"/>
        </w:rPr>
      </w:r>
      <w:r>
        <w:rPr>
          <w:lang w:val="en_US" w:bidi="en_US"/>
        </w:rPr>
        <w:t>In this metaphor the topic is implied. The chart below gives the full metaphor: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topic</w:t>
            </w:r>
          </w:p>
        </w:tc>
        <w:tc>
          <w:tcPr>
            <w:tcW w:type="dxa" w:w="4680"/>
          </w:tcPr>
          <w:p>
            <w:pPr/>
            <w:r>
              <w:rPr>
                <w:lang w:val="en_US" w:bidi="en_US"/>
              </w:rPr>
            </w:r>
            <w:r>
              <w:rPr>
                <w:lang w:val="en_US" w:bidi="en_US"/>
              </w:rPr>
              <w:t>you make the Jewish people follow many complicated religious laws that are too difficult to obey</w:t>
            </w:r>
          </w:p>
        </w:tc>
      </w:tr>
      <w:tr>
        <w:tc>
          <w:tcPr>
            <w:tcW w:type="dxa" w:w="4680"/>
          </w:tcPr>
          <w:p>
            <w:pPr/>
            <w:r>
              <w:rPr>
                <w:lang w:val="en_US" w:bidi="en_US"/>
              </w:rPr>
            </w:r>
            <w:r>
              <w:rPr>
                <w:lang w:val="en_US" w:bidi="en_US"/>
              </w:rPr>
              <w:t>image</w:t>
            </w:r>
          </w:p>
        </w:tc>
        <w:tc>
          <w:tcPr>
            <w:tcW w:type="dxa" w:w="4680"/>
          </w:tcPr>
          <w:p>
            <w:pPr/>
            <w:r>
              <w:rPr>
                <w:lang w:val="en_US" w:bidi="en_US"/>
              </w:rPr>
            </w:r>
            <w:r>
              <w:rPr>
                <w:lang w:val="en_US" w:bidi="en_US"/>
              </w:rPr>
              <w:t>you make people carry loads that are too heavy for them</w:t>
            </w:r>
          </w:p>
        </w:tc>
      </w:tr>
      <w:tr>
        <w:tc>
          <w:tcPr>
            <w:tcW w:type="dxa" w:w="4680"/>
          </w:tcPr>
          <w:p>
            <w:pPr/>
            <w:r>
              <w:rPr>
                <w:lang w:val="en_US" w:bidi="en_US"/>
              </w:rPr>
            </w:r>
            <w:r>
              <w:rPr>
                <w:lang w:val="en_US" w:bidi="en_US"/>
              </w:rPr>
              <w:t>point of similarity</w:t>
            </w:r>
          </w:p>
        </w:tc>
        <w:tc>
          <w:tcPr>
            <w:tcW w:type="dxa" w:w="4680"/>
          </w:tcPr>
          <w:p>
            <w:pPr/>
            <w:r>
              <w:rPr>
                <w:lang w:val="en_US" w:bidi="en_US"/>
              </w:rPr>
            </w:r>
            <w:r>
              <w:rPr>
                <w:lang w:val="en_US" w:bidi="en_US"/>
              </w:rPr>
              <w:t>both are too difficult to do</w:t>
            </w:r>
          </w:p>
        </w:tc>
      </w:tr>
    </w:tbl>
    <w:p>
      <w:pPr/>
      <w:r>
        <w:rPr>
          <w:lang w:val="en_US" w:bidi="en_US"/>
        </w:rPr>
      </w:r>
      <w:r>
        <w:rPr>
          <w:lang w:val="en_US" w:bidi="en_US"/>
        </w:rPr>
        <w:t>God intended that the Old Testament Law should show people how to serve him happily. But these experts in the Law had made it into an unbearable burden by adding many extra laws.</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Change the metaphor to a simile and make the topic explicit. For example:</w:t>
      </w:r>
      <w:r>
        <w:rPr>
          <w:lang w:val="en_US" w:bidi="en_US"/>
        </w:rPr>
        <w:t>you make people follow many rules. It is as if</w:t>
      </w:r>
      <w:r>
        <w:rPr>
          <w:lang w:val="en_US" w:bidi="en_US"/>
        </w:rPr>
        <w:t xml:space="preserve"> you are placing heavy loads on their backs that they are unable to carry.</w:t>
      </w:r>
    </w:p>
    <w:p>
      <w:pPr>
        <w:pStyle w:val="ListBullet"/>
        <w:spacing w:line="240" w:lineRule="auto"/>
        <w:ind w:left="720"/>
      </w:pPr>
      <w:r>
        <w:rPr>
          <w:lang w:val="en_US" w:bidi="en_US"/>
        </w:rPr>
      </w:r>
      <w:r>
        <w:rPr>
          <w:lang w:val="en_US" w:bidi="en_US"/>
        </w:rPr>
        <w:t>State the meaning of the metaphor directly. For example:</w:t>
      </w:r>
      <w:r>
        <w:rPr>
          <w:lang w:val="en_US" w:bidi="en_US"/>
        </w:rPr>
        <w:t>You make strict rules that are very hard for people to obey. (NCV)</w:t>
      </w:r>
    </w:p>
    <w:p>
      <w:pPr/>
      <w:r>
        <w:rPr>
          <w:lang w:val="en_US" w:bidi="en_US"/>
        </w:rPr>
      </w:r>
      <w:r>
        <w:rPr>
          <w:lang w:val="en_US" w:bidi="en_US"/>
        </w:rPr>
        <w:t>If possible, use words that would imply a heavy load. For example:</w:t>
      </w:r>
    </w:p>
    <w:p>
      <w:pPr/>
      <w:r>
        <w:rPr>
          <w:lang w:val="en_US" w:bidi="en_US"/>
        </w:rPr>
      </w:r>
      <w:r>
        <w:rPr>
          <w:lang w:val="en_US" w:bidi="en_US"/>
        </w:rPr>
        <w:t>you crush people with unbearable religious demands (NLT)</w:t>
      </w:r>
    </w:p>
    <w:p>
      <w:pPr/>
      <w:r>
        <w:rPr>
          <w:lang w:val="en_US" w:bidi="en_US"/>
        </w:rPr>
      </w:r>
      <w:r>
        <w:rPr>
          <w:lang w:val="en_US" w:bidi="en_US"/>
        </w:rPr>
        <w:t>Remember that one of the purposes of a metaphor is to create a picture in the hearer’s mind. So if possible, your translation of this metaphor should help your readers to imagine a heavy load.</w:t>
      </w:r>
    </w:p>
    <w:p>
      <w:pPr>
        <w:pStyle w:val="Heading5"/>
      </w:pPr>
      <w:r>
        <w:rPr>
          <w:lang w:val="en_US" w:bidi="en_US"/>
        </w:rPr>
        <w:t>11:46c</w:t>
      </w:r>
    </w:p>
    <w:p>
      <w:pPr/>
      <w:r>
        <w:rPr>
          <w:lang w:val="en_US" w:bidi="en_US"/>
        </w:rPr>
      </w:r>
      <w:r>
        <w:rPr>
          <w:b/>
          <w:lang w:val="en_US" w:bidi="en_US"/>
        </w:rPr>
        <w:t>but you yourselves will not lift a finger to lighten their load.</w:t>
      </w:r>
    </w:p>
    <w:p>
      <w:pPr>
        <w:pStyle w:val="ListBullet"/>
        <w:spacing w:line="240" w:lineRule="auto"/>
        <w:ind w:left="720"/>
      </w:pPr>
      <w:r>
        <w:rPr>
          <w:lang w:val="en_US" w:bidi="en_US"/>
        </w:rPr>
      </w:r>
      <w:r>
        <w:rPr>
          <w:lang w:val="en_US" w:bidi="en_US"/>
        </w:rPr>
        <w:t>and/but you</w:t>
      </w:r>
      <w:r>
        <w:rPr>
          <w:vertAlign w:val="superscript"/>
          <w:lang w:val="en_US" w:bidi="en_US"/>
        </w:rPr>
        <w:t>(plur)</w:t>
      </w:r>
      <w:r>
        <w:rPr>
          <w:lang w:val="en_US" w:bidi="en_US"/>
        </w:rPr>
        <w:t xml:space="preserve"> yourselves will not join/participate in carrying these burdens even a little bit.</w:t>
      </w:r>
    </w:p>
    <w:p>
      <w:pPr>
        <w:pStyle w:val="ListBullet"/>
        <w:spacing w:line="240" w:lineRule="auto"/>
        <w:ind w:left="720"/>
      </w:pPr>
      <w:r>
        <w:rPr>
          <w:lang w:val="en_US" w:bidi="en_US"/>
        </w:rPr>
      </w:r>
      <w:r>
        <w:rPr>
          <w:lang w:val="en_US" w:bidi="en_US"/>
        </w:rPr>
        <w:t>while you</w:t>
      </w:r>
      <w:r>
        <w:rPr>
          <w:vertAlign w:val="superscript"/>
          <w:lang w:val="en_US" w:bidi="en_US"/>
        </w:rPr>
        <w:t>(plur)</w:t>
      </w:r>
      <w:r>
        <w:rPr>
          <w:lang w:val="en_US" w:bidi="en_US"/>
        </w:rPr>
        <w:t xml:space="preserve"> yourselves do not make the slightest effort to help them </w:t>
      </w:r>
      <w:r>
        <w:rPr>
          <w:lang w:val="en_US" w:bidi="en_US"/>
        </w:rPr>
        <w:t>to obey/follow these rules</w:t>
      </w:r>
      <w:r>
        <w:rPr>
          <w:lang w:val="en_US" w:bidi="en_US"/>
        </w:rPr>
        <w:t>.</w:t>
      </w:r>
    </w:p>
    <w:p>
      <w:pPr/>
      <w:r>
        <w:rPr>
          <w:lang w:val="en_US" w:bidi="en_US"/>
        </w:rPr>
      </w:r>
      <w:r>
        <w:rPr>
          <w:b/>
          <w:lang w:val="en_US" w:bidi="en_US"/>
        </w:rPr>
        <w:t>but you yourselves will not lift a finger to lighten their load:</w:t>
      </w:r>
      <w:r>
        <w:rPr>
          <w:lang w:val="en_US" w:bidi="en_US"/>
        </w:rPr>
        <w:t xml:space="preserve"> The Greek phrase that the BSB translates as </w:t>
      </w:r>
      <w:r>
        <w:rPr>
          <w:i/>
          <w:lang w:val="en_US" w:bidi="en_US"/>
        </w:rPr>
        <w:t>but you yourselves will not lift a finger to lighten their load</w:t>
      </w:r>
      <w:r>
        <w:rPr>
          <w:lang w:val="en_US" w:bidi="en_US"/>
        </w:rPr>
        <w:t xml:space="preserve"> is an idiom. It can be translated more literally:</w:t>
      </w:r>
    </w:p>
    <w:p>
      <w:pPr/>
      <w:r>
        <w:rPr>
          <w:lang w:val="en_US" w:bidi="en_US"/>
        </w:rPr>
      </w:r>
      <w:r>
        <w:rPr>
          <w:lang w:val="en_US" w:bidi="en_US"/>
        </w:rPr>
        <w:t>you yourselves do not touch the burdens with one of your fingers (RSV)</w:t>
      </w:r>
    </w:p>
    <w:p>
      <w:pPr/>
      <w:r>
        <w:rPr>
          <w:lang w:val="en_US" w:bidi="en_US"/>
        </w:rPr>
      </w:r>
      <w:r>
        <w:rPr>
          <w:lang w:val="en_US" w:bidi="en_US"/>
        </w:rPr>
        <w:t>There are two ways to interpret this idiom:</w:t>
      </w:r>
    </w:p>
    <w:p>
      <w:pPr>
        <w:pStyle w:val="ListNumber"/>
        <w:numPr>
          <w:ilvl w:val="0"/>
          <w:numId w:val="235"/>
        </w:numPr>
        <w:spacing w:line="240" w:lineRule="auto"/>
        <w:ind w:left="720"/>
      </w:pPr>
      <w:r>
        <w:rPr>
          <w:lang w:val="en_US" w:bidi="en_US"/>
        </w:rPr>
      </w:r>
      <w:r>
        <w:rPr>
          <w:lang w:val="en_US" w:bidi="en_US"/>
        </w:rPr>
        <w:t xml:space="preserve">It means that the law experts </w:t>
      </w:r>
      <w:r>
        <w:rPr>
          <w:u w:val="single"/>
          <w:lang w:val="en_US" w:bidi="en_US"/>
        </w:rPr>
        <w:t>made no effort to help others follow their laws</w:t>
      </w:r>
      <w:r>
        <w:rPr>
          <w:lang w:val="en_US" w:bidi="en_US"/>
        </w:rPr>
        <w:t>. They did not make the laws any easier, and they did not give any help or counsel to people who were trying to obey them. For example:</w:t>
      </w:r>
      <w:r>
        <w:rPr>
          <w:lang w:val="en_US" w:bidi="en_US"/>
        </w:rPr>
        <w:t xml:space="preserve">you yourselves will not stretch out a finger to help them carry those loads (GNT) </w:t>
      </w:r>
      <w:r>
        <w:rPr>
          <w:i/>
          <w:lang w:val="en_US" w:bidi="en_US"/>
        </w:rPr>
        <w:t>(BSB, NIV, GNT, NRSV, REB, CEV, NLT)</w:t>
      </w:r>
    </w:p>
    <w:p>
      <w:pPr>
        <w:pStyle w:val="ListNumber"/>
        <w:spacing w:line="240" w:lineRule="auto"/>
        <w:ind w:left="720"/>
      </w:pPr>
      <w:r>
        <w:rPr>
          <w:lang w:val="en_US" w:bidi="en_US"/>
        </w:rPr>
      </w:r>
      <w:r>
        <w:rPr>
          <w:lang w:val="en_US" w:bidi="en_US"/>
        </w:rPr>
        <w:t xml:space="preserve">It means that the law experts </w:t>
      </w:r>
      <w:r>
        <w:rPr>
          <w:u w:val="single"/>
          <w:lang w:val="en_US" w:bidi="en_US"/>
        </w:rPr>
        <w:t>made no effort to try to obey their own laws</w:t>
      </w:r>
      <w:r>
        <w:rPr>
          <w:lang w:val="en_US" w:bidi="en_US"/>
        </w:rPr>
        <w:t>. They were hypocrites who did not follow their own teaching. Instead, they were experts in finding ways to avoid following the law. For example:</w:t>
      </w:r>
      <w:r>
        <w:rPr>
          <w:lang w:val="en_US" w:bidi="en_US"/>
        </w:rPr>
        <w:t xml:space="preserve">you yourselves don’t even try to follow those rules (NCV) </w:t>
      </w:r>
      <w:r>
        <w:rPr>
          <w:i/>
          <w:lang w:val="en_US" w:bidi="en_US"/>
        </w:rPr>
        <w:t>(NCV, NJB)</w:t>
      </w:r>
    </w:p>
    <w:p>
      <w:pPr/>
      <w:r>
        <w:rPr>
          <w:lang w:val="en_US" w:bidi="en_US"/>
        </w:rPr>
      </w:r>
      <w:r>
        <w:rPr>
          <w:lang w:val="en_US" w:bidi="en_US"/>
        </w:rPr>
        <w:t>It is recommended that you follow interpretation (1) along with most English versions. It is clear from the preceding context that the Jewish leaders were careful to follow even unimportant regulations.</w:t>
      </w:r>
    </w:p>
    <w:p>
      <w:pPr/>
      <w:r>
        <w:rPr>
          <w:lang w:val="en_US" w:bidi="en_US"/>
        </w:rPr>
      </w:r>
      <w:r>
        <w:rPr>
          <w:b/>
          <w:lang w:val="en_US" w:bidi="en_US"/>
        </w:rPr>
        <w:t>will not lift a finger to lighten their load:</w:t>
      </w:r>
      <w:r>
        <w:rPr>
          <w:lang w:val="en_US" w:bidi="en_US"/>
        </w:rPr>
        <w:t xml:space="preserve"> The phrase </w:t>
      </w:r>
      <w:r>
        <w:rPr>
          <w:i/>
          <w:lang w:val="en_US" w:bidi="en_US"/>
        </w:rPr>
        <w:t>lift a finger</w:t>
      </w:r>
      <w:r>
        <w:rPr>
          <w:lang w:val="en_US" w:bidi="en_US"/>
        </w:rPr>
        <w:t xml:space="preserve"> is an idiom in English as well as in Greek. It means here that the law experts </w:t>
      </w:r>
      <w:r>
        <w:rPr>
          <w:u w:val="single"/>
          <w:lang w:val="en_US" w:bidi="en_US"/>
        </w:rPr>
        <w:t>refused to make any effort</w:t>
      </w:r>
      <w:r>
        <w:rPr>
          <w:lang w:val="en_US" w:bidi="en_US"/>
        </w:rPr>
        <w:t xml:space="preserve"> to help lighten the burdens of the people.</w:t>
      </w:r>
    </w:p>
    <w:p>
      <w:pPr/>
      <w:r>
        <w:rPr>
          <w:lang w:val="en_US" w:bidi="en_US"/>
        </w:rPr>
      </w:r>
      <w:r>
        <w:rPr>
          <w:lang w:val="en_US" w:bidi="en_US"/>
        </w:rPr>
        <w:t>Some ways to translate this are:</w:t>
      </w:r>
    </w:p>
    <w:p>
      <w:pPr/>
      <w:r>
        <w:rPr>
          <w:lang w:val="en_US" w:bidi="en_US"/>
        </w:rPr>
      </w:r>
      <w:r>
        <w:rPr>
          <w:lang w:val="en_US" w:bidi="en_US"/>
        </w:rPr>
        <w:t>you do not help them even by using one of your fingers</w:t>
      </w:r>
    </w:p>
    <w:p>
      <w:pPr/>
      <w:r>
        <w:rPr>
          <w:lang w:val="en_US" w:bidi="en_US"/>
        </w:rPr>
      </w:r>
      <w:r>
        <w:rPr>
          <w:lang w:val="en_US" w:bidi="en_US"/>
        </w:rPr>
        <w:t>you do not do the smallest thing to help them</w:t>
      </w:r>
    </w:p>
    <w:p>
      <w:pPr/>
      <w:r>
        <w:rPr>
          <w:lang w:val="en_US" w:bidi="en_US"/>
        </w:rPr>
      </w:r>
      <w:r>
        <w:rPr>
          <w:lang w:val="en_US" w:bidi="en_US"/>
        </w:rPr>
        <w:t>you do not help people even a little bit</w:t>
      </w:r>
      <w:r>
        <w:rPr>
          <w:lang w:val="en_US" w:bidi="en_US"/>
        </w:rPr>
      </w:r>
      <w:r>
        <w:rPr>
          <w:lang w:val="en_US" w:bidi="en_US"/>
        </w:rPr>
      </w:r>
    </w:p>
    <w:p>
      <w:pPr/>
      <w:r>
        <w:rPr>
          <w:lang w:val="en_US" w:bidi="en_US"/>
        </w:rPr>
      </w:r>
    </w:p>
    <w:p>
      <w:pPr>
        <w:pStyle w:val="Heading2"/>
      </w:pPr>
      <w:r>
        <w:rPr>
          <w:lang w:val="en_US" w:bidi="en_US"/>
        </w:rPr>
        <w:t>Luke 11:47</w:t>
      </w:r>
      <w:r>
        <w:rPr>
          <w:lang w:val="en_US" w:bidi="en_US"/>
        </w:rPr>
      </w:r>
    </w:p>
    <w:p>
      <w:pPr>
        <w:pStyle w:val="Heading4"/>
      </w:pPr>
      <w:r>
        <w:rPr>
          <w:lang w:val="en_US" w:bidi="en_US"/>
        </w:rPr>
        <w:t>Section 11:37–54: Jesus criticized the Pharisees and the teachers of the law</w:t>
      </w:r>
    </w:p>
    <w:p>
      <w:pPr/>
      <w:r>
        <w:rPr>
          <w:lang w:val="en_US" w:bidi="en_US"/>
        </w:rPr>
      </w:r>
      <w:r>
        <w:rPr>
          <w:lang w:val="en_US" w:bidi="en_US"/>
        </w:rP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pPr/>
      <w:r>
        <w:rPr>
          <w:lang w:val="en_US" w:bidi="en_US"/>
        </w:rPr>
      </w:r>
      <w:r>
        <w:rPr>
          <w:lang w:val="en_US" w:bidi="en_US"/>
        </w:rPr>
        <w:t>Some other headings for this section are:</w:t>
      </w:r>
    </w:p>
    <w:p>
      <w:pPr/>
      <w:r>
        <w:rPr>
          <w:lang w:val="en_US" w:bidi="en_US"/>
        </w:rPr>
      </w:r>
      <w:r>
        <w:rPr>
          <w:lang w:val="en_US" w:bidi="en_US"/>
        </w:rPr>
        <w:t>Jesus’ Criticism of the Religious Leaders</w:t>
      </w:r>
    </w:p>
    <w:p>
      <w:pPr/>
      <w:r>
        <w:rPr>
          <w:lang w:val="en_US" w:bidi="en_US"/>
        </w:rPr>
      </w:r>
      <w:r>
        <w:rPr>
          <w:lang w:val="en_US" w:bidi="en_US"/>
        </w:rPr>
        <w:t>There are parallel passages for this section in Matthew 23:1–36 and Mark 12:38–40.</w:t>
      </w:r>
    </w:p>
    <w:p>
      <w:pPr>
        <w:pStyle w:val="Heading5"/>
      </w:pPr>
      <w:r>
        <w:rPr>
          <w:lang w:val="en_US" w:bidi="en_US"/>
        </w:rPr>
        <w:t>11:47–48</w:t>
      </w:r>
    </w:p>
    <w:p>
      <w:pPr/>
      <w:r>
        <w:rPr>
          <w:lang w:val="en_US" w:bidi="en_US"/>
        </w:rPr>
      </w:r>
      <w:r>
        <w:rPr>
          <w:lang w:val="en_US" w:bidi="en_US"/>
        </w:rPr>
        <w:t>In 11:47–48 Jesus criticized the law experts for building tombs to honor the dead prophets. The logic of Jesus’ statement is difficult to follow because:</w:t>
      </w:r>
    </w:p>
    <w:p>
      <w:pPr>
        <w:pStyle w:val="ListNumber"/>
        <w:numPr>
          <w:ilvl w:val="0"/>
          <w:numId w:val="236"/>
        </w:numPr>
        <w:spacing w:line="240" w:lineRule="auto"/>
        <w:ind w:left="720"/>
      </w:pPr>
      <w:r>
        <w:rPr>
          <w:lang w:val="en_US" w:bidi="en_US"/>
        </w:rPr>
      </w:r>
      <w:r>
        <w:rPr>
          <w:lang w:val="en_US" w:bidi="en_US"/>
        </w:rPr>
        <w:t>Normally, building tombs to honor someone is a good thing to do.</w:t>
      </w:r>
    </w:p>
    <w:p>
      <w:pPr>
        <w:pStyle w:val="ListNumber"/>
        <w:spacing w:line="240" w:lineRule="auto"/>
        <w:ind w:left="720"/>
      </w:pPr>
      <w:r>
        <w:rPr>
          <w:lang w:val="en_US" w:bidi="en_US"/>
        </w:rPr>
      </w:r>
      <w:r>
        <w:rPr>
          <w:lang w:val="en_US" w:bidi="en_US"/>
        </w:rPr>
        <w:t>If the law experts built tombs for prophets whom their forefathers had killed, people would think they were trying to atone for the sins of their fathers. That too would normally be a good thing to do.</w:t>
      </w:r>
    </w:p>
    <w:p>
      <w:pPr/>
      <w:r>
        <w:rPr>
          <w:lang w:val="en_US" w:bidi="en_US"/>
        </w:rPr>
      </w:r>
      <w:r>
        <w:rPr>
          <w:lang w:val="en_US" w:bidi="en_US"/>
        </w:rPr>
        <w:t>Jesus’ logic was something like this:</w:t>
      </w:r>
    </w:p>
    <w:p>
      <w:pPr>
        <w:pStyle w:val="ListNumber"/>
        <w:numPr>
          <w:ilvl w:val="0"/>
          <w:numId w:val="237"/>
        </w:numPr>
        <w:spacing w:line="240" w:lineRule="auto"/>
        <w:ind w:left="720"/>
      </w:pPr>
      <w:r>
        <w:rPr>
          <w:lang w:val="en_US" w:bidi="en_US"/>
        </w:rPr>
      </w:r>
      <w:r>
        <w:rPr>
          <w:lang w:val="en_US" w:bidi="en_US"/>
        </w:rPr>
        <w:t>The only real way to honor the prophets would be to follow and obey their message.</w:t>
      </w:r>
    </w:p>
    <w:p>
      <w:pPr>
        <w:pStyle w:val="ListNumber"/>
        <w:spacing w:line="240" w:lineRule="auto"/>
        <w:ind w:left="720"/>
      </w:pPr>
      <w:r>
        <w:rPr>
          <w:lang w:val="en_US" w:bidi="en_US"/>
        </w:rPr>
      </w:r>
      <w:r>
        <w:rPr>
          <w:lang w:val="en_US" w:bidi="en_US"/>
        </w:rPr>
        <w:t>But the law experts did not obey the message of the prophets. So they were not honoring the prophets.</w:t>
      </w:r>
    </w:p>
    <w:p>
      <w:pPr>
        <w:pStyle w:val="ListNumber"/>
        <w:spacing w:line="240" w:lineRule="auto"/>
        <w:ind w:left="720"/>
      </w:pPr>
      <w:r>
        <w:rPr>
          <w:lang w:val="en_US" w:bidi="en_US"/>
        </w:rPr>
      </w:r>
      <w:r>
        <w:rPr>
          <w:lang w:val="en_US" w:bidi="en_US"/>
        </w:rPr>
        <w:t>If they were not honoring the prophets’ lives, then by building tombs they were honoring their deaths.</w:t>
      </w:r>
    </w:p>
    <w:p>
      <w:pPr>
        <w:pStyle w:val="ListNumber"/>
        <w:spacing w:line="240" w:lineRule="auto"/>
        <w:ind w:left="720"/>
      </w:pPr>
      <w:r>
        <w:rPr>
          <w:lang w:val="en_US" w:bidi="en_US"/>
        </w:rPr>
      </w:r>
      <w:r>
        <w:rPr>
          <w:lang w:val="en_US" w:bidi="en_US"/>
        </w:rPr>
        <w:t>This was the same as agreeing with what their ancestors did.</w:t>
      </w:r>
    </w:p>
    <w:p>
      <w:pPr/>
      <w:r>
        <w:rPr>
          <w:lang w:val="en_US" w:bidi="en_US"/>
        </w:rPr>
      </w:r>
      <w:r>
        <w:rPr>
          <w:lang w:val="en_US" w:bidi="en_US"/>
        </w:rPr>
        <w:t>See the General Comment on 11:47–48 at the end of 11:48b for some possible ways to clarify 11:47–48.</w:t>
      </w:r>
    </w:p>
    <w:p>
      <w:pPr>
        <w:pStyle w:val="Heading5"/>
      </w:pPr>
      <w:r>
        <w:rPr>
          <w:lang w:val="en_US" w:bidi="en_US"/>
        </w:rPr>
        <w:t>11:47a</w:t>
      </w:r>
    </w:p>
    <w:p>
      <w:pPr/>
      <w:r>
        <w:rPr>
          <w:lang w:val="en_US" w:bidi="en_US"/>
        </w:rPr>
      </w:r>
      <w:r>
        <w:rPr>
          <w:b/>
          <w:lang w:val="en_US" w:bidi="en_US"/>
        </w:rPr>
        <w:t>Woe to you!</w:t>
      </w:r>
    </w:p>
    <w:p>
      <w:pPr>
        <w:pStyle w:val="ListBullet"/>
        <w:spacing w:line="240" w:lineRule="auto"/>
        <w:ind w:left="720"/>
      </w:pPr>
      <w:r>
        <w:rPr>
          <w:lang w:val="en_US" w:bidi="en_US"/>
        </w:rPr>
      </w:r>
      <w:r>
        <w:rPr>
          <w:lang w:val="en_US" w:bidi="en_US"/>
        </w:rPr>
        <w:t>It will be bad/terrible for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How sad/awful! God will also severely punish you</w:t>
      </w:r>
      <w:r>
        <w:rPr>
          <w:vertAlign w:val="superscript"/>
          <w:lang w:val="en_US" w:bidi="en_US"/>
        </w:rPr>
        <w:t>(plur)</w:t>
      </w:r>
      <w:r>
        <w:rPr>
          <w:lang w:val="en_US" w:bidi="en_US"/>
        </w:rPr>
        <w:t xml:space="preserve"> </w:t>
      </w:r>
      <w:r>
        <w:rPr>
          <w:lang w:val="en_US" w:bidi="en_US"/>
        </w:rPr>
        <w:t>experts in the law</w:t>
      </w:r>
      <w:r>
        <w:rPr>
          <w:lang w:val="en_US" w:bidi="en_US"/>
        </w:rPr>
        <w:t>,</w:t>
      </w:r>
    </w:p>
    <w:p>
      <w:pPr/>
      <w:r>
        <w:rPr>
          <w:lang w:val="en_US" w:bidi="en_US"/>
        </w:rPr>
      </w:r>
      <w:r>
        <w:rPr>
          <w:b/>
          <w:lang w:val="en_US" w:bidi="en_US"/>
        </w:rPr>
        <w:t>Woe to you!:</w:t>
      </w:r>
      <w:r>
        <w:rPr>
          <w:lang w:val="en_US" w:bidi="en_US"/>
        </w:rPr>
        <w:t xml:space="preserve"> This phrase is the same as in 11:43a.</w:t>
      </w:r>
    </w:p>
    <w:p>
      <w:pPr>
        <w:pStyle w:val="Heading5"/>
      </w:pPr>
      <w:r>
        <w:rPr>
          <w:lang w:val="en_US" w:bidi="en_US"/>
        </w:rPr>
        <w:t>11:47b</w:t>
      </w:r>
    </w:p>
    <w:p>
      <w:pPr/>
      <w:r>
        <w:rPr>
          <w:lang w:val="en_US" w:bidi="en_US"/>
        </w:rPr>
      </w:r>
      <w:r>
        <w:rPr>
          <w:b/>
          <w:lang w:val="en_US" w:bidi="en_US"/>
        </w:rPr>
        <w:t>You build tombs for the prophets,</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build memorials/tombs for the prophets,</w:t>
      </w:r>
    </w:p>
    <w:p>
      <w:pPr>
        <w:pStyle w:val="ListBullet"/>
        <w:spacing w:line="240" w:lineRule="auto"/>
        <w:ind w:left="720"/>
      </w:pPr>
      <w:r>
        <w:rPr>
          <w:lang w:val="en_US" w:bidi="en_US"/>
        </w:rPr>
      </w:r>
      <w:r>
        <w:rPr>
          <w:lang w:val="en_US" w:bidi="en_US"/>
        </w:rPr>
        <w:t>for you</w:t>
      </w:r>
      <w:r>
        <w:rPr>
          <w:vertAlign w:val="superscript"/>
          <w:lang w:val="en_US" w:bidi="en_US"/>
        </w:rPr>
        <w:t>(plur)</w:t>
      </w:r>
      <w:r>
        <w:rPr>
          <w:lang w:val="en_US" w:bidi="en_US"/>
        </w:rPr>
        <w:t xml:space="preserve"> make/erect fine monuments to </w:t>
      </w:r>
      <w:r>
        <w:rPr>
          <w:lang w:val="en_US" w:bidi="en_US"/>
        </w:rPr>
        <w:t>honor</w:t>
      </w:r>
      <w:r>
        <w:rPr>
          <w:lang w:val="en_US" w:bidi="en_US"/>
        </w:rPr>
        <w:t xml:space="preserve"> the prophets</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set up beautiful stones to decorate the graves of the prophets</w:t>
      </w:r>
    </w:p>
    <w:p>
      <w:pPr/>
      <w:r>
        <w:rPr>
          <w:lang w:val="en_US" w:bidi="en_US"/>
        </w:rPr>
      </w:r>
      <w:r>
        <w:rPr>
          <w:b/>
          <w:lang w:val="en_US" w:bidi="en_US"/>
        </w:rPr>
        <w:t>You build tombs for the prophets:</w:t>
      </w:r>
      <w:r>
        <w:rPr>
          <w:lang w:val="en_US" w:bidi="en_US"/>
        </w:rPr>
        <w:t xml:space="preserve"> The law experts were apparently in the habit of building fine tombs or memorials to honor the prophets of Old Testament days.</w:t>
      </w:r>
    </w:p>
    <w:p>
      <w:pPr/>
      <w:r>
        <w:rPr>
          <w:lang w:val="en_US" w:bidi="en_US"/>
        </w:rPr>
      </w:r>
      <w:r>
        <w:rPr>
          <w:b/>
          <w:lang w:val="en_US" w:bidi="en_US"/>
        </w:rPr>
        <w:t>build tombs:</w:t>
      </w:r>
      <w:r>
        <w:rPr>
          <w:lang w:val="en_US" w:bidi="en_US"/>
        </w:rPr>
        <w:t xml:space="preserve"> The Greek word that the BSB translates here as </w:t>
      </w:r>
      <w:r>
        <w:rPr>
          <w:i/>
          <w:lang w:val="en_US" w:bidi="en_US"/>
        </w:rPr>
        <w:t>tombs</w:t>
      </w:r>
      <w:r>
        <w:rPr>
          <w:lang w:val="en_US" w:bidi="en_US"/>
        </w:rPr>
        <w:t xml:space="preserve"> probably refers to stone monuments. These monuments were built at the site of the grave. They served to decorate the grave. Other ways to translate the phrase </w:t>
      </w:r>
      <w:r>
        <w:rPr>
          <w:i/>
          <w:lang w:val="en_US" w:bidi="en_US"/>
        </w:rPr>
        <w:t>build tombs</w:t>
      </w:r>
      <w:r>
        <w:rPr>
          <w:lang w:val="en_US" w:bidi="en_US"/>
        </w:rPr>
        <w:t xml:space="preserve"> are:</w:t>
      </w:r>
    </w:p>
    <w:p>
      <w:pPr/>
      <w:r>
        <w:rPr>
          <w:lang w:val="en_US" w:bidi="en_US"/>
        </w:rPr>
      </w:r>
      <w:r>
        <w:rPr>
          <w:lang w:val="en_US" w:bidi="en_US"/>
        </w:rPr>
        <w:t>make fancy grave markers</w:t>
      </w:r>
    </w:p>
    <w:p>
      <w:pPr/>
      <w:r>
        <w:rPr>
          <w:lang w:val="en_US" w:bidi="en_US"/>
        </w:rPr>
      </w:r>
      <w:r>
        <w:rPr>
          <w:lang w:val="en_US" w:bidi="en_US"/>
        </w:rPr>
        <w:t>build monuments (CEV)</w:t>
      </w:r>
    </w:p>
    <w:p>
      <w:pPr/>
      <w:r>
        <w:rPr>
          <w:lang w:val="en_US" w:bidi="en_US"/>
        </w:rPr>
      </w:r>
      <w:r>
        <w:rPr>
          <w:lang w:val="en_US" w:bidi="en_US"/>
        </w:rPr>
        <w:t>make/erect memorials</w:t>
      </w:r>
    </w:p>
    <w:p>
      <w:pPr/>
      <w:r>
        <w:rPr>
          <w:lang w:val="en_US" w:bidi="en_US"/>
        </w:rPr>
      </w:r>
      <w:r>
        <w:rPr>
          <w:lang w:val="en_US" w:bidi="en_US"/>
        </w:rPr>
        <w:t>set up beautiful stones to decorate the graves</w:t>
      </w:r>
    </w:p>
    <w:p>
      <w:pPr/>
      <w:r>
        <w:rPr>
          <w:lang w:val="en_US" w:bidi="en_US"/>
        </w:rPr>
      </w:r>
      <w:r>
        <w:rPr>
          <w:b/>
          <w:lang w:val="en_US" w:bidi="en_US"/>
        </w:rPr>
        <w:t>prophets:</w:t>
      </w:r>
      <w:r>
        <w:rPr>
          <w:lang w:val="en_US" w:bidi="en_US"/>
        </w:rPr>
        <w:t xml:space="preserve"> The word </w:t>
      </w:r>
      <w:r>
        <w:rPr>
          <w:i/>
          <w:lang w:val="en_US" w:bidi="en_US"/>
        </w:rPr>
        <w:t>prophets</w:t>
      </w:r>
      <w:r>
        <w:rPr>
          <w:lang w:val="en_US" w:bidi="en_US"/>
        </w:rPr>
        <w:t xml:space="preserve"> describes men and women who spoke on behalf of God. They told people what God revealed to them. Some ways to translate </w:t>
      </w:r>
      <w:r>
        <w:rPr>
          <w:i/>
          <w:lang w:val="en_US" w:bidi="en_US"/>
        </w:rPr>
        <w:t>prophets</w:t>
      </w:r>
      <w:r>
        <w:rPr>
          <w:lang w:val="en_US" w:bidi="en_US"/>
        </w:rPr>
        <w:t xml:space="preserve"> are:</w:t>
      </w:r>
    </w:p>
    <w:p>
      <w:pPr/>
      <w:r>
        <w:rPr>
          <w:lang w:val="en_US" w:bidi="en_US"/>
        </w:rPr>
      </w:r>
      <w:r>
        <w:rPr>
          <w:lang w:val="en_US" w:bidi="en_US"/>
        </w:rPr>
        <w:t>spokesmen for God</w:t>
      </w:r>
    </w:p>
    <w:p>
      <w:pPr/>
      <w:r>
        <w:rPr>
          <w:lang w:val="en_US" w:bidi="en_US"/>
        </w:rPr>
      </w:r>
      <w:r>
        <w:rPr>
          <w:lang w:val="en_US" w:bidi="en_US"/>
        </w:rPr>
        <w:t>men who speaks God’s words</w:t>
      </w:r>
    </w:p>
    <w:p>
      <w:pPr/>
      <w:r>
        <w:rPr>
          <w:lang w:val="en_US" w:bidi="en_US"/>
        </w:rPr>
      </w:r>
      <w:r>
        <w:rPr>
          <w:lang w:val="en_US" w:bidi="en_US"/>
        </w:rPr>
        <w:t>God’s message-speakers</w:t>
      </w:r>
    </w:p>
    <w:p>
      <w:pPr/>
      <w:r>
        <w:rPr>
          <w:lang w:val="en_US" w:bidi="en_US"/>
        </w:rPr>
      </w:r>
      <w:r>
        <w:rPr>
          <w:lang w:val="en_US" w:bidi="en_US"/>
        </w:rPr>
        <w:t>The word prophets also occurs at 10:24a. See also prophet in the Glossary.</w:t>
      </w:r>
    </w:p>
    <w:p>
      <w:pPr>
        <w:pStyle w:val="Heading5"/>
      </w:pPr>
      <w:r>
        <w:rPr>
          <w:lang w:val="en_US" w:bidi="en_US"/>
        </w:rPr>
        <w:t>11:47c</w:t>
      </w:r>
    </w:p>
    <w:p>
      <w:pPr/>
      <w:r>
        <w:rPr>
          <w:lang w:val="en_US" w:bidi="en_US"/>
        </w:rPr>
      </w:r>
      <w:r>
        <w:rPr>
          <w:b/>
          <w:lang w:val="en_US" w:bidi="en_US"/>
        </w:rPr>
        <w:t>but it was your fathers who killed them.</w:t>
      </w:r>
    </w:p>
    <w:p>
      <w:pPr>
        <w:pStyle w:val="ListBullet"/>
        <w:spacing w:line="240" w:lineRule="auto"/>
        <w:ind w:left="720"/>
      </w:pPr>
      <w:r>
        <w:rPr>
          <w:lang w:val="en_US" w:bidi="en_US"/>
        </w:rPr>
      </w:r>
      <w:r>
        <w:rPr>
          <w:lang w:val="en_US" w:bidi="en_US"/>
        </w:rPr>
        <w:t>and it was your</w:t>
      </w:r>
      <w:r>
        <w:rPr>
          <w:vertAlign w:val="superscript"/>
          <w:lang w:val="en_US" w:bidi="en_US"/>
        </w:rPr>
        <w:t>(plur)</w:t>
      </w:r>
      <w:r>
        <w:rPr>
          <w:lang w:val="en_US" w:bidi="en_US"/>
        </w:rPr>
        <w:t xml:space="preserve"> ancestors who killed/murdered the prophets.</w:t>
      </w:r>
    </w:p>
    <w:p>
      <w:pPr>
        <w:pStyle w:val="ListBullet"/>
        <w:spacing w:line="240" w:lineRule="auto"/>
        <w:ind w:left="720"/>
      </w:pPr>
      <w:r>
        <w:rPr>
          <w:lang w:val="en_US" w:bidi="en_US"/>
        </w:rPr>
      </w:r>
      <w:r>
        <w:rPr>
          <w:lang w:val="en_US" w:bidi="en_US"/>
        </w:rPr>
        <w:t>whom your</w:t>
      </w:r>
      <w:r>
        <w:rPr>
          <w:vertAlign w:val="superscript"/>
          <w:lang w:val="en_US" w:bidi="en_US"/>
        </w:rPr>
        <w:t>(plur)</w:t>
      </w:r>
      <w:r>
        <w:rPr>
          <w:lang w:val="en_US" w:bidi="en_US"/>
        </w:rPr>
        <w:t xml:space="preserve"> ancestors killed.</w:t>
      </w:r>
    </w:p>
    <w:p>
      <w:pPr/>
      <w:r>
        <w:rPr>
          <w:lang w:val="en_US" w:bidi="en_US"/>
        </w:rPr>
      </w:r>
      <w:r>
        <w:rPr>
          <w:b/>
          <w:lang w:val="en_US" w:bidi="en_US"/>
        </w:rPr>
        <w:t>your fathers:</w:t>
      </w:r>
      <w:r>
        <w:rPr>
          <w:lang w:val="en_US" w:bidi="en_US"/>
        </w:rPr>
        <w:t xml:space="preserve"> The Greek word that the BSB translates literally as </w:t>
      </w:r>
      <w:r>
        <w:rPr>
          <w:i/>
          <w:lang w:val="en_US" w:bidi="en_US"/>
        </w:rPr>
        <w:t>fathers</w:t>
      </w:r>
      <w:r>
        <w:rPr>
          <w:lang w:val="en_US" w:bidi="en_US"/>
        </w:rPr>
        <w:t xml:space="preserve"> figuratively means “ancestors.” Many English versions translate it that way. Another way to translate this is:</w:t>
      </w:r>
    </w:p>
    <w:p>
      <w:pPr/>
      <w:r>
        <w:rPr>
          <w:lang w:val="en_US" w:bidi="en_US"/>
        </w:rPr>
      </w:r>
      <w:r>
        <w:rPr>
          <w:lang w:val="en_US" w:bidi="en_US"/>
        </w:rPr>
        <w:t>your forefathers (NIV)</w:t>
      </w:r>
    </w:p>
    <w:p>
      <w:pPr/>
      <w:r>
        <w:rPr>
          <w:lang w:val="en_US" w:bidi="en_US"/>
        </w:rPr>
      </w:r>
      <w:r>
        <w:rPr>
          <w:b/>
          <w:lang w:val="en_US" w:bidi="en_US"/>
        </w:rPr>
        <w:t>killed:</w:t>
      </w:r>
      <w:r>
        <w:rPr>
          <w:lang w:val="en_US" w:bidi="en_US"/>
        </w:rPr>
        <w:t xml:space="preserve"> The Greek word that the BSB translates as </w:t>
      </w:r>
      <w:r>
        <w:rPr>
          <w:i/>
          <w:lang w:val="en_US" w:bidi="en_US"/>
        </w:rPr>
        <w:t>killed</w:t>
      </w:r>
      <w:r>
        <w:rPr>
          <w:lang w:val="en_US" w:bidi="en_US"/>
        </w:rPr>
        <w:t xml:space="preserve"> can also be translated as “murdered” here. The ancestors of the law experts had killed the prophets unlawfully because they had hated the prophets and their message.</w:t>
      </w:r>
      <w:r>
        <w:rPr>
          <w:lang w:val="en_US" w:bidi="en_US"/>
        </w:rPr>
      </w:r>
      <w:r>
        <w:rPr>
          <w:lang w:val="en_US" w:bidi="en_US"/>
        </w:rPr>
      </w:r>
    </w:p>
    <w:p>
      <w:pPr/>
      <w:r>
        <w:rPr>
          <w:lang w:val="en_US" w:bidi="en_US"/>
        </w:rPr>
      </w:r>
    </w:p>
    <w:p>
      <w:pPr>
        <w:pStyle w:val="Heading2"/>
      </w:pPr>
      <w:r>
        <w:rPr>
          <w:lang w:val="en_US" w:bidi="en_US"/>
        </w:rPr>
        <w:t>Luke 11:48</w:t>
      </w:r>
      <w:r>
        <w:rPr>
          <w:lang w:val="en_US" w:bidi="en_US"/>
        </w:rPr>
      </w:r>
    </w:p>
    <w:p>
      <w:pPr>
        <w:pStyle w:val="Heading4"/>
      </w:pPr>
      <w:r>
        <w:rPr>
          <w:lang w:val="en_US" w:bidi="en_US"/>
        </w:rPr>
        <w:t>Section 11:37–54: Jesus criticized the Pharisees and the teachers of the law</w:t>
      </w:r>
    </w:p>
    <w:p>
      <w:pPr/>
      <w:r>
        <w:rPr>
          <w:lang w:val="en_US" w:bidi="en_US"/>
        </w:rPr>
      </w:r>
      <w:r>
        <w:rPr>
          <w:lang w:val="en_US" w:bidi="en_US"/>
        </w:rP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pPr/>
      <w:r>
        <w:rPr>
          <w:lang w:val="en_US" w:bidi="en_US"/>
        </w:rPr>
      </w:r>
      <w:r>
        <w:rPr>
          <w:lang w:val="en_US" w:bidi="en_US"/>
        </w:rPr>
        <w:t>Some other headings for this section are:</w:t>
      </w:r>
    </w:p>
    <w:p>
      <w:pPr/>
      <w:r>
        <w:rPr>
          <w:lang w:val="en_US" w:bidi="en_US"/>
        </w:rPr>
      </w:r>
      <w:r>
        <w:rPr>
          <w:lang w:val="en_US" w:bidi="en_US"/>
        </w:rPr>
        <w:t>Jesus’ Criticism of the Religious Leaders</w:t>
      </w:r>
    </w:p>
    <w:p>
      <w:pPr/>
      <w:r>
        <w:rPr>
          <w:lang w:val="en_US" w:bidi="en_US"/>
        </w:rPr>
      </w:r>
      <w:r>
        <w:rPr>
          <w:lang w:val="en_US" w:bidi="en_US"/>
        </w:rPr>
        <w:t>There are parallel passages for this section in Matthew 23:1–36 and Mark 12:38–40.</w:t>
      </w:r>
    </w:p>
    <w:p>
      <w:pPr>
        <w:pStyle w:val="Heading5"/>
      </w:pPr>
      <w:r>
        <w:rPr>
          <w:lang w:val="en_US" w:bidi="en_US"/>
        </w:rPr>
        <w:t>11:48a</w:t>
      </w:r>
    </w:p>
    <w:p>
      <w:pPr/>
      <w:r>
        <w:rPr>
          <w:lang w:val="en_US" w:bidi="en_US"/>
        </w:rPr>
      </w:r>
      <w:r>
        <w:rPr>
          <w:b/>
          <w:lang w:val="en_US" w:bidi="en_US"/>
        </w:rPr>
        <w:t>So you are witnesses consenting to the deeds of your fathers:</w:t>
      </w:r>
    </w:p>
    <w:p>
      <w:pPr>
        <w:pStyle w:val="ListBullet"/>
        <w:spacing w:line="240" w:lineRule="auto"/>
        <w:ind w:left="720"/>
      </w:pPr>
      <w:r>
        <w:rPr>
          <w:lang w:val="en_US" w:bidi="en_US"/>
        </w:rPr>
      </w:r>
      <w:r>
        <w:rPr>
          <w:lang w:val="en_US" w:bidi="en_US"/>
        </w:rPr>
        <w:t xml:space="preserve">So </w:t>
      </w:r>
      <w:r>
        <w:rPr>
          <w:lang w:val="en_US" w:bidi="en_US"/>
        </w:rPr>
        <w:t>by doing this,</w:t>
      </w:r>
      <w:r>
        <w:rPr>
          <w:lang w:val="en_US" w:bidi="en_US"/>
        </w:rPr>
        <w:t xml:space="preserve"> you</w:t>
      </w:r>
      <w:r>
        <w:rPr>
          <w:vertAlign w:val="superscript"/>
          <w:lang w:val="en_US" w:bidi="en_US"/>
        </w:rPr>
        <w:t>(plur)</w:t>
      </w:r>
      <w:r>
        <w:rPr>
          <w:lang w:val="en_US" w:bidi="en_US"/>
        </w:rPr>
        <w:t xml:space="preserve"> show that you approve of what your ancestors did.</w:t>
      </w:r>
    </w:p>
    <w:p>
      <w:pPr>
        <w:pStyle w:val="ListBullet"/>
        <w:spacing w:line="240" w:lineRule="auto"/>
        <w:ind w:left="720"/>
      </w:pPr>
      <w:r>
        <w:rPr>
          <w:lang w:val="en_US" w:bidi="en_US"/>
        </w:rPr>
      </w:r>
      <w:r>
        <w:rPr>
          <w:lang w:val="en_US" w:bidi="en_US"/>
        </w:rPr>
        <w:t xml:space="preserve">So </w:t>
      </w:r>
      <w:r>
        <w:rPr>
          <w:lang w:val="en_US" w:bidi="en_US"/>
        </w:rPr>
        <w:t>by honoring the death of the prophets instead of accepting their message,</w:t>
      </w:r>
      <w:r>
        <w:rPr>
          <w:lang w:val="en_US" w:bidi="en_US"/>
        </w:rPr>
        <w:t xml:space="preserve"> you</w:t>
      </w:r>
      <w:r>
        <w:rPr>
          <w:vertAlign w:val="superscript"/>
          <w:lang w:val="en_US" w:bidi="en_US"/>
        </w:rPr>
        <w:t>(plur)</w:t>
      </w:r>
      <w:r>
        <w:rPr>
          <w:lang w:val="en_US" w:bidi="en_US"/>
        </w:rPr>
        <w:t xml:space="preserve"> show that you agree with what your ancestors did </w:t>
      </w:r>
      <w:r>
        <w:rPr>
          <w:lang w:val="en_US" w:bidi="en_US"/>
        </w:rPr>
        <w:t>in killing them</w:t>
      </w:r>
      <w:r>
        <w:rPr>
          <w:lang w:val="en_US" w:bidi="en_US"/>
        </w:rPr>
        <w:t>.</w:t>
      </w:r>
    </w:p>
    <w:p>
      <w:pPr/>
      <w:r>
        <w:rPr>
          <w:lang w:val="en_US" w:bidi="en_US"/>
        </w:rPr>
      </w:r>
      <w:r>
        <w:rPr>
          <w:b/>
          <w:lang w:val="en_US" w:bidi="en_US"/>
        </w:rPr>
        <w:t>So:</w:t>
      </w:r>
      <w:r>
        <w:rPr>
          <w:lang w:val="en_US" w:bidi="en_US"/>
        </w:rPr>
        <w:t xml:space="preserve"> The Greek conjunction that the BSB translates here as </w:t>
      </w:r>
      <w:r>
        <w:rPr>
          <w:i/>
          <w:lang w:val="en_US" w:bidi="en_US"/>
        </w:rPr>
        <w:t>So</w:t>
      </w:r>
      <w:r>
        <w:rPr>
          <w:lang w:val="en_US" w:bidi="en_US"/>
        </w:rPr>
        <w:t xml:space="preserve"> introduces the conclusion to be drawn from 11:47b–c. Other ways to introduce this conclusion are:</w:t>
      </w:r>
    </w:p>
    <w:p>
      <w:pPr/>
      <w:r>
        <w:rPr>
          <w:lang w:val="en_US" w:bidi="en_US"/>
        </w:rPr>
      </w:r>
      <w:r>
        <w:rPr>
          <w:lang w:val="en_US" w:bidi="en_US"/>
        </w:rPr>
        <w:t>Thus/Therefore</w:t>
      </w:r>
    </w:p>
    <w:p>
      <w:pPr/>
      <w:r>
        <w:rPr>
          <w:lang w:val="en_US" w:bidi="en_US"/>
        </w:rPr>
      </w:r>
      <w:r>
        <w:rPr>
          <w:lang w:val="en_US" w:bidi="en_US"/>
        </w:rPr>
        <w:t>In this way (NJB)</w:t>
      </w:r>
    </w:p>
    <w:p>
      <w:pPr/>
      <w:r>
        <w:rPr>
          <w:lang w:val="en_US" w:bidi="en_US"/>
        </w:rPr>
      </w:r>
      <w:r>
        <w:rPr>
          <w:b/>
          <w:lang w:val="en_US" w:bidi="en_US"/>
        </w:rPr>
        <w:t>you are witnesses consenting to the deeds of your fathers:</w:t>
      </w:r>
      <w:r>
        <w:rPr>
          <w:lang w:val="en_US" w:bidi="en_US"/>
        </w:rPr>
        <w:t xml:space="preserve"> The Greek clause that the BSB translates as </w:t>
      </w:r>
      <w:r>
        <w:rPr>
          <w:i/>
          <w:lang w:val="en_US" w:bidi="en_US"/>
        </w:rPr>
        <w:t>you are witnesses consenting to the deeds of your fathers</w:t>
      </w:r>
      <w:r>
        <w:rPr>
          <w:lang w:val="en_US" w:bidi="en_US"/>
        </w:rPr>
        <w:t xml:space="preserve"> is more literally:</w:t>
      </w:r>
    </w:p>
    <w:p>
      <w:pPr/>
      <w:r>
        <w:rPr>
          <w:lang w:val="en_US" w:bidi="en_US"/>
        </w:rPr>
      </w:r>
      <w:r>
        <w:rPr>
          <w:lang w:val="en_US" w:bidi="en_US"/>
        </w:rPr>
        <w:t>you are witnesses and you approve of the deeds of your fathers (NASB)</w:t>
      </w:r>
    </w:p>
    <w:p>
      <w:pPr/>
      <w:r>
        <w:rPr>
          <w:lang w:val="en_US" w:bidi="en_US"/>
        </w:rPr>
      </w:r>
      <w:r>
        <w:rPr>
          <w:lang w:val="en_US" w:bidi="en_US"/>
        </w:rPr>
        <w:t>Another way to translate this is:</w:t>
      </w:r>
    </w:p>
    <w:p>
      <w:pPr/>
      <w:r>
        <w:rPr>
          <w:lang w:val="en_US" w:bidi="en_US"/>
        </w:rPr>
      </w:r>
      <w:r>
        <w:rPr>
          <w:lang w:val="en_US" w:bidi="en_US"/>
        </w:rPr>
        <w:t>you testify that you approve of what your ancestors did (NIV)</w:t>
      </w:r>
    </w:p>
    <w:p>
      <w:pPr/>
      <w:r>
        <w:rPr>
          <w:lang w:val="en_US" w:bidi="en_US"/>
        </w:rPr>
      </w:r>
      <w:r>
        <w:rPr>
          <w:lang w:val="en_US" w:bidi="en_US"/>
        </w:rPr>
        <w:t>Whether the noun “witnesses” or the verb “testify” is used, this word refers here to their actions, not words that they said. By their actions in building the tombs, the law experts showed that they approved of what their ancestors had done in killing the prophets.</w:t>
      </w:r>
    </w:p>
    <w:p>
      <w:pPr/>
      <w:r>
        <w:rPr>
          <w:lang w:val="en_US" w:bidi="en_US"/>
        </w:rPr>
      </w:r>
      <w:r>
        <w:rPr>
          <w:lang w:val="en_US" w:bidi="en_US"/>
        </w:rPr>
        <w:t>Some other ways to translate this entire clause are:</w:t>
      </w:r>
    </w:p>
    <w:p>
      <w:pPr/>
      <w:r>
        <w:rPr>
          <w:lang w:val="en_US" w:bidi="en_US"/>
        </w:rPr>
      </w:r>
      <w:r>
        <w:rPr>
          <w:lang w:val="en_US" w:bidi="en_US"/>
        </w:rPr>
        <w:t>you show that you approve of what your ancestors did (NCV)</w:t>
      </w:r>
    </w:p>
    <w:p>
      <w:pPr/>
      <w:r>
        <w:rPr>
          <w:lang w:val="en_US" w:bidi="en_US"/>
        </w:rPr>
      </w:r>
      <w:r>
        <w:rPr>
          <w:lang w:val="en_US" w:bidi="en_US"/>
        </w:rPr>
        <w:t>by doing this you prove/show that you agree that what your ancestors did was right</w:t>
      </w:r>
    </w:p>
    <w:p>
      <w:pPr>
        <w:pStyle w:val="Heading5"/>
      </w:pPr>
      <w:r>
        <w:rPr>
          <w:lang w:val="en_US" w:bidi="en_US"/>
        </w:rPr>
        <w:t>11:48b</w:t>
      </w:r>
    </w:p>
    <w:p>
      <w:pPr/>
      <w:r>
        <w:rPr>
          <w:lang w:val="en_US" w:bidi="en_US"/>
        </w:rPr>
      </w:r>
      <w:r>
        <w:rPr>
          <w:b/>
          <w:lang w:val="en_US" w:bidi="en_US"/>
        </w:rPr>
        <w:t>They killed the prophets, and you build their tombs.</w:t>
      </w:r>
    </w:p>
    <w:p>
      <w:pPr>
        <w:pStyle w:val="ListBullet"/>
        <w:spacing w:line="240" w:lineRule="auto"/>
        <w:ind w:left="720"/>
      </w:pPr>
      <w:r>
        <w:rPr>
          <w:lang w:val="en_US" w:bidi="en_US"/>
        </w:rPr>
      </w:r>
      <w:r>
        <w:rPr>
          <w:lang w:val="en_US" w:bidi="en_US"/>
        </w:rPr>
        <w:t>Yes indeed! You</w:t>
      </w:r>
      <w:r>
        <w:rPr>
          <w:vertAlign w:val="superscript"/>
          <w:lang w:val="en_US" w:bidi="en_US"/>
        </w:rPr>
        <w:t>(plur)</w:t>
      </w:r>
      <w:r>
        <w:rPr>
          <w:lang w:val="en_US" w:bidi="en_US"/>
        </w:rPr>
        <w:t xml:space="preserve"> build monuments/tombs </w:t>
      </w:r>
      <w:r>
        <w:rPr>
          <w:lang w:val="en_US" w:bidi="en_US"/>
        </w:rPr>
        <w:t>to honor</w:t>
      </w:r>
      <w:r>
        <w:rPr>
          <w:lang w:val="en_US" w:bidi="en_US"/>
        </w:rPr>
        <w:t xml:space="preserve"> the prophets whom your ancestors murdered.</w:t>
      </w:r>
    </w:p>
    <w:p>
      <w:pPr>
        <w:pStyle w:val="ListBullet"/>
        <w:spacing w:line="240" w:lineRule="auto"/>
        <w:ind w:left="720"/>
      </w:pPr>
      <w:r>
        <w:rPr>
          <w:lang w:val="en_US" w:bidi="en_US"/>
        </w:rPr>
      </w:r>
      <w:r>
        <w:rPr>
          <w:lang w:val="en_US" w:bidi="en_US"/>
        </w:rPr>
        <w:t>That is to say,</w:t>
      </w:r>
      <w:r>
        <w:rPr>
          <w:lang w:val="en_US" w:bidi="en_US"/>
        </w:rPr>
        <w:t xml:space="preserve"> they killed the prophets, and you </w:t>
      </w:r>
      <w:r>
        <w:rPr>
          <w:lang w:val="en_US" w:bidi="en_US"/>
        </w:rPr>
        <w:t>continue their work by</w:t>
      </w:r>
      <w:r>
        <w:rPr>
          <w:lang w:val="en_US" w:bidi="en_US"/>
        </w:rPr>
        <w:t xml:space="preserve"> decorating the graves of those prophets!</w:t>
      </w:r>
    </w:p>
    <w:p>
      <w:pPr/>
      <w:r>
        <w:rPr>
          <w:lang w:val="en_US" w:bidi="en_US"/>
        </w:rPr>
      </w:r>
      <w:r>
        <w:rPr>
          <w:b/>
          <w:lang w:val="en_US" w:bidi="en_US"/>
        </w:rPr>
        <w:t>They killed the prophets, and you build their tombs:</w:t>
      </w:r>
      <w:r>
        <w:rPr>
          <w:lang w:val="en_US" w:bidi="en_US"/>
        </w:rPr>
        <w:t xml:space="preserve"> Luke 11:48b says the same things as 11:47b–c. Jesus was continuing to speak ironically or sarcastically. He was saying that the law experts were continuing the work of their ancestors. They built grave memorials to make it look as if they were honoring the prophets whom their ancestors had murdered. In fact, they continued doing the same things as their ancestors had done—refusing to obey God’s prophets, not believing their words, and persecuting them.</w:t>
      </w:r>
    </w:p>
    <w:p>
      <w:pPr/>
      <w:r>
        <w:rPr>
          <w:lang w:val="en_US" w:bidi="en_US"/>
        </w:rPr>
      </w:r>
      <w:r>
        <w:rPr>
          <w:lang w:val="en_US" w:bidi="en_US"/>
        </w:rPr>
        <w:t>Consider how you might show that Jesus was speaking ironically here.</w:t>
      </w:r>
    </w:p>
    <w:p>
      <w:pPr>
        <w:pStyle w:val="Heading6"/>
      </w:pPr>
      <w:r>
        <w:rPr>
          <w:b/>
          <w:lang w:val="en_US" w:bidi="en_US"/>
        </w:rPr>
        <w:t>General Comment on 11:47–48</w:t>
      </w:r>
    </w:p>
    <w:p>
      <w:pPr/>
      <w:r>
        <w:rPr>
          <w:lang w:val="en_US" w:bidi="en_US"/>
        </w:rPr>
      </w:r>
      <w:r>
        <w:rPr>
          <w:lang w:val="en_US" w:bidi="en_US"/>
        </w:rPr>
        <w:t>One possible way to make 11:47–48 clearer is to change the order of some of the phrases and supply some implied information. For example:</w:t>
      </w:r>
    </w:p>
    <w:p>
      <w:pPr/>
      <w:r>
        <w:rPr>
          <w:lang w:val="en_US" w:bidi="en_US"/>
        </w:rPr>
      </w:r>
      <w:r>
        <w:rPr>
          <w:vertAlign w:val="superscript"/>
          <w:lang w:val="en_US" w:bidi="en_US"/>
        </w:rPr>
        <w:t>47c</w:t>
      </w:r>
      <w:r>
        <w:rPr>
          <w:lang w:val="en_US" w:bidi="en_US"/>
        </w:rPr>
        <w:t xml:space="preserve">It was your ancestors who murdered the prophets, </w:t>
      </w:r>
      <w:r>
        <w:rPr>
          <w:vertAlign w:val="superscript"/>
          <w:lang w:val="en_US" w:bidi="en_US"/>
        </w:rPr>
        <w:t>47b</w:t>
      </w:r>
      <w:r>
        <w:rPr>
          <w:lang w:val="en_US" w:bidi="en_US"/>
        </w:rPr>
        <w:t xml:space="preserve">and </w:t>
      </w:r>
      <w:r>
        <w:rPr>
          <w:lang w:val="en_US" w:bidi="en_US"/>
        </w:rPr>
        <w:t>now</w:t>
      </w:r>
      <w:r>
        <w:rPr>
          <w:lang w:val="en_US" w:bidi="en_US"/>
        </w:rPr>
        <w:t xml:space="preserve"> you build fine monuments </w:t>
      </w:r>
      <w:r>
        <w:rPr>
          <w:lang w:val="en_US" w:bidi="en_US"/>
        </w:rPr>
        <w:t>to honor</w:t>
      </w:r>
      <w:r>
        <w:rPr>
          <w:lang w:val="en_US" w:bidi="en_US"/>
        </w:rPr>
        <w:t xml:space="preserve"> those prophets. </w:t>
      </w:r>
      <w:r>
        <w:rPr>
          <w:vertAlign w:val="superscript"/>
          <w:lang w:val="en_US" w:bidi="en_US"/>
        </w:rPr>
        <w:t>48a</w:t>
      </w:r>
      <w:r>
        <w:rPr>
          <w:lang w:val="en_US" w:bidi="en_US"/>
        </w:rPr>
        <w:t xml:space="preserve">So </w:t>
      </w:r>
      <w:r>
        <w:rPr>
          <w:lang w:val="en_US" w:bidi="en_US"/>
        </w:rPr>
        <w:t>by doing this</w:t>
      </w:r>
      <w:r>
        <w:rPr>
          <w:lang w:val="en_US" w:bidi="en_US"/>
        </w:rPr>
        <w:t xml:space="preserve"> you show that you approve of what your ancestors did. </w:t>
      </w:r>
      <w:r>
        <w:rPr>
          <w:vertAlign w:val="superscript"/>
          <w:lang w:val="en_US" w:bidi="en_US"/>
        </w:rPr>
        <w:t>48b</w:t>
      </w:r>
      <w:r>
        <w:rPr>
          <w:lang w:val="en_US" w:bidi="en_US"/>
        </w:rPr>
        <w:t>That is to say,</w:t>
      </w:r>
      <w:r>
        <w:rPr>
          <w:lang w:val="en_US" w:bidi="en_US"/>
        </w:rPr>
        <w:t xml:space="preserve"> </w:t>
      </w:r>
      <w:r>
        <w:rPr>
          <w:u w:val="single"/>
          <w:lang w:val="en_US" w:bidi="en_US"/>
        </w:rPr>
        <w:t>they</w:t>
      </w:r>
      <w:r>
        <w:rPr>
          <w:lang w:val="en_US" w:bidi="en_US"/>
        </w:rPr>
        <w:t xml:space="preserve"> killed the prophets and </w:t>
      </w:r>
      <w:r>
        <w:rPr>
          <w:u w:val="single"/>
          <w:lang w:val="en_US" w:bidi="en_US"/>
        </w:rPr>
        <w:t>you</w:t>
      </w:r>
      <w:r>
        <w:rPr>
          <w:lang w:val="en_US" w:bidi="en_US"/>
        </w:rPr>
        <w:t xml:space="preserve"> build the prophets’ tombs! </w:t>
      </w:r>
      <w:r>
        <w:rPr>
          <w:vertAlign w:val="superscript"/>
          <w:lang w:val="en_US" w:bidi="en_US"/>
        </w:rPr>
        <w:t>47a</w:t>
      </w:r>
      <w:r>
        <w:rPr>
          <w:lang w:val="en_US" w:bidi="en_US"/>
        </w:rPr>
        <w:t>God will punish you severely for this!</w:t>
      </w:r>
    </w:p>
    <w:p>
      <w:pPr/>
      <w:r>
        <w:rPr>
          <w:lang w:val="en_US" w:bidi="en_US"/>
        </w:rPr>
      </w:r>
      <w:r>
        <w:rPr>
          <w:lang w:val="en_US" w:bidi="en_US"/>
        </w:rPr>
        <w:t>If the meaning still seems unclear to people, you have the following options:</w:t>
      </w:r>
    </w:p>
    <w:p>
      <w:pPr>
        <w:pStyle w:val="ListBullet"/>
        <w:spacing w:line="240" w:lineRule="auto"/>
        <w:ind w:left="720"/>
      </w:pPr>
      <w:r>
        <w:rPr>
          <w:lang w:val="en_US" w:bidi="en_US"/>
        </w:rPr>
      </w:r>
      <w:r>
        <w:rPr>
          <w:lang w:val="en_US" w:bidi="en_US"/>
        </w:rPr>
        <w:t>Provide a footnote. For example:</w:t>
      </w:r>
      <w:r>
        <w:rPr>
          <w:lang w:val="en_US" w:bidi="en_US"/>
        </w:rPr>
        <w:t>The experts in the law wanted people to think that they were honoring the prophets by building the tombs. But since they did not follow the teaching of the prophets, they proved that they were no better than their ancestors who killed the prophets.</w:t>
      </w:r>
    </w:p>
    <w:p>
      <w:pPr>
        <w:pStyle w:val="ListBullet"/>
        <w:spacing w:line="240" w:lineRule="auto"/>
        <w:ind w:left="720"/>
      </w:pPr>
      <w:r>
        <w:rPr>
          <w:lang w:val="en_US" w:bidi="en_US"/>
        </w:rPr>
      </w:r>
      <w:r>
        <w:rPr>
          <w:lang w:val="en_US" w:bidi="en_US"/>
        </w:rPr>
        <w:t>Make your translation even more explicit. For example:</w:t>
      </w:r>
      <w:r>
        <w:rPr>
          <w:vertAlign w:val="superscript"/>
          <w:lang w:val="en_US" w:bidi="en_US"/>
        </w:rPr>
        <w:t>47c</w:t>
      </w:r>
      <w:r>
        <w:rPr>
          <w:lang w:val="en_US" w:bidi="en_US"/>
        </w:rPr>
        <w:t xml:space="preserve">It was your ancestors who </w:t>
      </w:r>
      <w:r>
        <w:rPr>
          <w:lang w:val="en_US" w:bidi="en_US"/>
        </w:rPr>
        <w:t>did not obey the message of the prophets. Instead, they</w:t>
      </w:r>
      <w:r>
        <w:rPr>
          <w:lang w:val="en_US" w:bidi="en_US"/>
        </w:rPr>
        <w:t xml:space="preserve"> killed the prophets. </w:t>
      </w:r>
      <w:r>
        <w:rPr>
          <w:vertAlign w:val="superscript"/>
          <w:lang w:val="en_US" w:bidi="en_US"/>
        </w:rPr>
        <w:t>47b</w:t>
      </w:r>
      <w:r>
        <w:rPr>
          <w:lang w:val="en_US" w:bidi="en_US"/>
        </w:rPr>
        <w:t>Now</w:t>
      </w:r>
      <w:r>
        <w:rPr>
          <w:lang w:val="en_US" w:bidi="en_US"/>
        </w:rPr>
        <w:t xml:space="preserve"> you build fine monuments </w:t>
      </w:r>
      <w:r>
        <w:rPr>
          <w:lang w:val="en_US" w:bidi="en_US"/>
        </w:rPr>
        <w:t>to honor</w:t>
      </w:r>
      <w:r>
        <w:rPr>
          <w:lang w:val="en_US" w:bidi="en_US"/>
        </w:rPr>
        <w:t xml:space="preserve"> those prophets, </w:t>
      </w:r>
      <w:r>
        <w:rPr>
          <w:lang w:val="en_US" w:bidi="en_US"/>
        </w:rPr>
        <w:t>but you also do not obey their message</w:t>
      </w:r>
      <w:r>
        <w:rPr>
          <w:lang w:val="en_US" w:bidi="en_US"/>
        </w:rPr>
        <w:t xml:space="preserve">. </w:t>
      </w:r>
      <w:r>
        <w:rPr>
          <w:vertAlign w:val="superscript"/>
          <w:lang w:val="en_US" w:bidi="en_US"/>
        </w:rPr>
        <w:t>48a</w:t>
      </w:r>
      <w:r>
        <w:rPr>
          <w:lang w:val="en_US" w:bidi="en_US"/>
        </w:rPr>
        <w:t xml:space="preserve">So, </w:t>
      </w:r>
      <w:r>
        <w:rPr>
          <w:lang w:val="en_US" w:bidi="en_US"/>
        </w:rPr>
        <w:t>by doing that</w:t>
      </w:r>
      <w:r>
        <w:rPr>
          <w:lang w:val="en_US" w:bidi="en_US"/>
        </w:rPr>
        <w:t xml:space="preserve"> you show that you approve of what your ancestors did. </w:t>
      </w:r>
      <w:r>
        <w:rPr>
          <w:vertAlign w:val="superscript"/>
          <w:lang w:val="en_US" w:bidi="en_US"/>
        </w:rPr>
        <w:t>48b</w:t>
      </w:r>
      <w:r>
        <w:rPr>
          <w:lang w:val="en_US" w:bidi="en_US"/>
        </w:rPr>
        <w:t>That is,</w:t>
      </w:r>
      <w:r>
        <w:rPr>
          <w:lang w:val="en_US" w:bidi="en_US"/>
        </w:rPr>
        <w:t xml:space="preserve"> they killed the prophets and you </w:t>
      </w:r>
      <w:r>
        <w:rPr>
          <w:lang w:val="en_US" w:bidi="en_US"/>
        </w:rPr>
        <w:t>continue their work by</w:t>
      </w:r>
      <w:r>
        <w:rPr>
          <w:lang w:val="en_US" w:bidi="en_US"/>
        </w:rPr>
        <w:t xml:space="preserve"> building tombs for those prophets! </w:t>
      </w:r>
      <w:r>
        <w:rPr>
          <w:vertAlign w:val="superscript"/>
          <w:lang w:val="en_US" w:bidi="en_US"/>
        </w:rPr>
        <w:t>47a</w:t>
      </w:r>
      <w:r>
        <w:rPr>
          <w:lang w:val="en_US" w:bidi="en_US"/>
        </w:rPr>
        <w:t>God will punish you severely for this!</w:t>
      </w:r>
      <w:r>
        <w:rPr>
          <w:lang w:val="en_US" w:bidi="en_US"/>
        </w:rPr>
      </w:r>
      <w:r>
        <w:rPr>
          <w:lang w:val="en_US" w:bidi="en_US"/>
        </w:rPr>
      </w:r>
    </w:p>
    <w:p>
      <w:pPr/>
      <w:r>
        <w:rPr>
          <w:lang w:val="en_US" w:bidi="en_US"/>
        </w:rPr>
      </w:r>
    </w:p>
    <w:p>
      <w:pPr>
        <w:pStyle w:val="Heading2"/>
      </w:pPr>
      <w:r>
        <w:rPr>
          <w:lang w:val="en_US" w:bidi="en_US"/>
        </w:rPr>
        <w:t>Luke 11:49</w:t>
      </w:r>
      <w:r>
        <w:rPr>
          <w:lang w:val="en_US" w:bidi="en_US"/>
        </w:rPr>
      </w:r>
    </w:p>
    <w:p>
      <w:pPr>
        <w:pStyle w:val="Heading4"/>
      </w:pPr>
      <w:r>
        <w:rPr>
          <w:lang w:val="en_US" w:bidi="en_US"/>
        </w:rPr>
        <w:t>Section 11:37–54: Jesus criticized the Pharisees and the teachers of the law</w:t>
      </w:r>
    </w:p>
    <w:p>
      <w:pPr/>
      <w:r>
        <w:rPr>
          <w:lang w:val="en_US" w:bidi="en_US"/>
        </w:rPr>
      </w:r>
      <w:r>
        <w:rPr>
          <w:lang w:val="en_US" w:bidi="en_US"/>
        </w:rP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pPr/>
      <w:r>
        <w:rPr>
          <w:lang w:val="en_US" w:bidi="en_US"/>
        </w:rPr>
      </w:r>
      <w:r>
        <w:rPr>
          <w:lang w:val="en_US" w:bidi="en_US"/>
        </w:rPr>
        <w:t>Some other headings for this section are:</w:t>
      </w:r>
    </w:p>
    <w:p>
      <w:pPr/>
      <w:r>
        <w:rPr>
          <w:lang w:val="en_US" w:bidi="en_US"/>
        </w:rPr>
      </w:r>
      <w:r>
        <w:rPr>
          <w:lang w:val="en_US" w:bidi="en_US"/>
        </w:rPr>
        <w:t>Jesus’ Criticism of the Religious Leaders</w:t>
      </w:r>
    </w:p>
    <w:p>
      <w:pPr/>
      <w:r>
        <w:rPr>
          <w:lang w:val="en_US" w:bidi="en_US"/>
        </w:rPr>
      </w:r>
      <w:r>
        <w:rPr>
          <w:lang w:val="en_US" w:bidi="en_US"/>
        </w:rPr>
        <w:t>There are parallel passages for this section in Matthew 23:1–36 and Mark 12:38–40.</w:t>
      </w:r>
    </w:p>
    <w:p>
      <w:pPr>
        <w:pStyle w:val="Heading5"/>
      </w:pPr>
      <w:r>
        <w:rPr>
          <w:lang w:val="en_US" w:bidi="en_US"/>
        </w:rPr>
        <w:t>11:49–50</w:t>
      </w:r>
    </w:p>
    <w:p>
      <w:pPr/>
      <w:r>
        <w:rPr>
          <w:lang w:val="en_US" w:bidi="en_US"/>
        </w:rPr>
      </w:r>
      <w:r>
        <w:rPr>
          <w:lang w:val="en_US" w:bidi="en_US"/>
        </w:rPr>
        <w:t>The logic of Jesus’ words in 11:49–50 is something like this:</w:t>
      </w:r>
    </w:p>
    <w:p>
      <w:pPr/>
      <w:r>
        <w:rPr>
          <w:lang w:val="en_US" w:bidi="en_US"/>
        </w:rPr>
      </w:r>
      <w:r>
        <w:rPr>
          <w:vertAlign w:val="superscript"/>
          <w:lang w:val="en_US" w:bidi="en_US"/>
        </w:rPr>
        <w:t>48a</w:t>
      </w:r>
      <w:r>
        <w:rPr>
          <w:lang w:val="en_US" w:bidi="en_US"/>
        </w:rPr>
        <w:t>You approve of what your ancestors did.</w:t>
      </w:r>
    </w:p>
    <w:p>
      <w:pPr/>
      <w:r>
        <w:rPr>
          <w:lang w:val="en_US" w:bidi="en_US"/>
        </w:rPr>
      </w:r>
      <w:r>
        <w:rPr>
          <w:vertAlign w:val="superscript"/>
          <w:lang w:val="en_US" w:bidi="en_US"/>
        </w:rPr>
        <w:t>49a</w:t>
      </w:r>
      <w:r>
        <w:rPr>
          <w:lang w:val="en_US" w:bidi="en_US"/>
        </w:rPr>
        <w:t xml:space="preserve"> </w:t>
      </w:r>
      <w:r>
        <w:rPr>
          <w:u w:val="single"/>
          <w:lang w:val="en_US" w:bidi="en_US"/>
        </w:rPr>
        <w:t>Because of this</w:t>
      </w:r>
      <w:r>
        <w:rPr>
          <w:lang w:val="en_US" w:bidi="en_US"/>
        </w:rPr>
        <w:t xml:space="preserve"> </w:t>
      </w:r>
      <w:r>
        <w:rPr>
          <w:lang w:val="en_US" w:bidi="en_US"/>
        </w:rPr>
        <w:t>attitude</w:t>
      </w:r>
      <w:r>
        <w:rPr>
          <w:lang w:val="en_US" w:bidi="en_US"/>
        </w:rPr>
        <w:t>, God has said that</w:t>
      </w:r>
    </w:p>
    <w:p>
      <w:pPr/>
      <w:r>
        <w:rPr>
          <w:lang w:val="en_US" w:bidi="en_US"/>
        </w:rPr>
      </w:r>
      <w:r>
        <w:rPr>
          <w:vertAlign w:val="superscript"/>
          <w:lang w:val="en_US" w:bidi="en_US"/>
        </w:rPr>
        <w:t>49b</w:t>
      </w:r>
      <w:r>
        <w:rPr>
          <w:lang w:val="en_US" w:bidi="en_US"/>
        </w:rPr>
        <w:t>he will send additional prophets</w:t>
      </w:r>
    </w:p>
    <w:p>
      <w:pPr/>
      <w:r>
        <w:rPr>
          <w:lang w:val="en_US" w:bidi="en_US"/>
        </w:rPr>
      </w:r>
      <w:r>
        <w:rPr>
          <w:vertAlign w:val="superscript"/>
          <w:lang w:val="en_US" w:bidi="en_US"/>
        </w:rPr>
        <w:t>49c</w:t>
      </w:r>
      <w:r>
        <w:rPr>
          <w:lang w:val="en_US" w:bidi="en_US"/>
        </w:rPr>
        <w:t>and/but you will kill them too.</w:t>
      </w:r>
    </w:p>
    <w:p>
      <w:pPr/>
      <w:r>
        <w:rPr>
          <w:lang w:val="en_US" w:bidi="en_US"/>
        </w:rPr>
      </w:r>
      <w:r>
        <w:rPr>
          <w:vertAlign w:val="superscript"/>
          <w:lang w:val="en_US" w:bidi="en_US"/>
        </w:rPr>
        <w:t>50a</w:t>
      </w:r>
      <w:r>
        <w:rPr>
          <w:lang w:val="en_US" w:bidi="en_US"/>
        </w:rPr>
        <w:t xml:space="preserve"> </w:t>
      </w:r>
      <w:r>
        <w:rPr>
          <w:u w:val="single"/>
          <w:lang w:val="en_US" w:bidi="en_US"/>
        </w:rPr>
        <w:t>Therefore</w:t>
      </w:r>
      <w:r>
        <w:rPr>
          <w:lang w:val="en_US" w:bidi="en_US"/>
        </w:rPr>
        <w:t>, you will be judged</w:t>
      </w:r>
    </w:p>
    <w:p>
      <w:pPr/>
      <w:r>
        <w:rPr>
          <w:lang w:val="en_US" w:bidi="en_US"/>
        </w:rPr>
      </w:r>
      <w:r>
        <w:rPr>
          <w:vertAlign w:val="superscript"/>
          <w:lang w:val="en_US" w:bidi="en_US"/>
        </w:rPr>
        <w:t>50b–d</w:t>
      </w:r>
      <w:r>
        <w:rPr>
          <w:lang w:val="en_US" w:bidi="en_US"/>
        </w:rPr>
        <w:t>for the deaths of all the prophets who were killed.</w:t>
      </w:r>
    </w:p>
    <w:p>
      <w:pPr>
        <w:pStyle w:val="Heading5"/>
      </w:pPr>
      <w:r>
        <w:rPr>
          <w:lang w:val="en_US" w:bidi="en_US"/>
        </w:rPr>
        <w:t>11:49a</w:t>
      </w:r>
    </w:p>
    <w:p>
      <w:pPr/>
      <w:r>
        <w:rPr>
          <w:lang w:val="en_US" w:bidi="en_US"/>
        </w:rPr>
      </w:r>
      <w:r>
        <w:rPr>
          <w:b/>
          <w:lang w:val="en_US" w:bidi="en_US"/>
        </w:rPr>
        <w:t>Because of this, the wisdom of God said,</w:t>
      </w:r>
    </w:p>
    <w:p>
      <w:pPr>
        <w:pStyle w:val="ListBullet"/>
        <w:spacing w:line="240" w:lineRule="auto"/>
        <w:ind w:left="720"/>
      </w:pPr>
      <w:r>
        <w:rPr>
          <w:lang w:val="en_US" w:bidi="en_US"/>
        </w:rPr>
      </w:r>
      <w:r>
        <w:rPr>
          <w:lang w:val="en_US" w:bidi="en_US"/>
        </w:rPr>
        <w:t xml:space="preserve">Because of this </w:t>
      </w:r>
      <w:r>
        <w:rPr>
          <w:lang w:val="en_US" w:bidi="en_US"/>
        </w:rPr>
        <w:t>attitude</w:t>
      </w:r>
      <w:r>
        <w:rPr>
          <w:lang w:val="en_US" w:bidi="en_US"/>
        </w:rPr>
        <w:t>, the wise God has said,</w:t>
      </w:r>
    </w:p>
    <w:p>
      <w:pPr>
        <w:pStyle w:val="ListBullet"/>
        <w:spacing w:line="240" w:lineRule="auto"/>
        <w:ind w:left="720"/>
      </w:pPr>
      <w:r>
        <w:rPr>
          <w:lang w:val="en_US" w:bidi="en_US"/>
        </w:rPr>
      </w:r>
      <w:r>
        <w:rPr>
          <w:lang w:val="en_US" w:bidi="en_US"/>
        </w:rPr>
        <w:t>Because of your evil deeds, God wisely said,</w:t>
      </w:r>
    </w:p>
    <w:p>
      <w:pPr>
        <w:pStyle w:val="ListBullet"/>
        <w:spacing w:line="240" w:lineRule="auto"/>
        <w:ind w:left="720"/>
      </w:pPr>
      <w:r>
        <w:rPr>
          <w:lang w:val="en_US" w:bidi="en_US"/>
        </w:rPr>
      </w:r>
      <w:r>
        <w:rPr>
          <w:lang w:val="en_US" w:bidi="en_US"/>
        </w:rPr>
        <w:t>Therefore God, who has great wisdom, said,</w:t>
      </w:r>
    </w:p>
    <w:p>
      <w:pPr/>
      <w:r>
        <w:rPr>
          <w:lang w:val="en_US" w:bidi="en_US"/>
        </w:rPr>
      </w:r>
      <w:r>
        <w:rPr>
          <w:b/>
          <w:lang w:val="en_US" w:bidi="en_US"/>
        </w:rPr>
        <w:t>Because of this:</w:t>
      </w:r>
      <w:r>
        <w:rPr>
          <w:lang w:val="en_US" w:bidi="en_US"/>
        </w:rPr>
        <w:t xml:space="preserve"> The Greek phrase that the BSB translates as </w:t>
      </w:r>
      <w:r>
        <w:rPr>
          <w:i/>
          <w:lang w:val="en_US" w:bidi="en_US"/>
        </w:rPr>
        <w:t>Because of this</w:t>
      </w:r>
      <w:r>
        <w:rPr>
          <w:lang w:val="en_US" w:bidi="en_US"/>
        </w:rPr>
        <w:t xml:space="preserve"> means “Because of your attitude” or “Because of your evil deeds” (in 11:47–48). This phrase indicates that 11:47–48 is reason for what he said in 11:49. The word </w:t>
      </w:r>
      <w:r>
        <w:rPr>
          <w:i/>
          <w:lang w:val="en_US" w:bidi="en_US"/>
        </w:rPr>
        <w:t>Because</w:t>
      </w:r>
      <w:r>
        <w:rPr>
          <w:lang w:val="en_US" w:bidi="en_US"/>
        </w:rPr>
        <w:t xml:space="preserve"> introduces a result. Some other ways to translate this are:</w:t>
      </w:r>
    </w:p>
    <w:p>
      <w:pPr/>
      <w:r>
        <w:rPr>
          <w:lang w:val="en_US" w:bidi="en_US"/>
        </w:rPr>
      </w:r>
      <w:r>
        <w:rPr>
          <w:lang w:val="en_US" w:bidi="en_US"/>
        </w:rPr>
        <w:t>Therefore (RSV)</w:t>
      </w:r>
    </w:p>
    <w:p>
      <w:pPr/>
      <w:r>
        <w:rPr>
          <w:lang w:val="en_US" w:bidi="en_US"/>
        </w:rPr>
      </w:r>
      <w:r>
        <w:rPr>
          <w:lang w:val="en_US" w:bidi="en_US"/>
        </w:rPr>
        <w:t>For this reason (GNT)</w:t>
      </w:r>
    </w:p>
    <w:p>
      <w:pPr/>
      <w:r>
        <w:rPr>
          <w:lang w:val="en_US" w:bidi="en_US"/>
        </w:rPr>
      </w:r>
      <w:r>
        <w:rPr>
          <w:lang w:val="en_US" w:bidi="en_US"/>
        </w:rPr>
        <w:t>That’s why (GW)</w:t>
      </w:r>
    </w:p>
    <w:p>
      <w:pPr/>
      <w:r>
        <w:rPr>
          <w:lang w:val="en_US" w:bidi="en_US"/>
        </w:rPr>
      </w:r>
      <w:r>
        <w:rPr>
          <w:lang w:val="en_US" w:bidi="en_US"/>
        </w:rPr>
        <w:t>Because of your evil deeds (CEV)</w:t>
      </w:r>
    </w:p>
    <w:p>
      <w:pPr/>
      <w:r>
        <w:rPr>
          <w:lang w:val="en_US" w:bidi="en_US"/>
        </w:rPr>
      </w:r>
      <w:r>
        <w:rPr>
          <w:b/>
          <w:lang w:val="en_US" w:bidi="en_US"/>
        </w:rPr>
        <w:t>the wisdom of God said:</w:t>
      </w:r>
      <w:r>
        <w:rPr>
          <w:lang w:val="en_US" w:bidi="en_US"/>
        </w:rPr>
        <w:t xml:space="preserve"> In the Greek clause that the BSB translates literally as </w:t>
      </w:r>
      <w:r>
        <w:rPr>
          <w:i/>
          <w:lang w:val="en_US" w:bidi="en_US"/>
        </w:rPr>
        <w:t>the wisdom of God said</w:t>
      </w:r>
      <w:r>
        <w:rPr>
          <w:lang w:val="en_US" w:bidi="en_US"/>
        </w:rPr>
        <w:t>, Jesus talked about the “wisdom of God” as if it were a person speaking. This is a figure of speech called personification.</w:t>
      </w:r>
    </w:p>
    <w:p>
      <w:pPr/>
      <w:r>
        <w:rPr>
          <w:lang w:val="en_US" w:bidi="en_US"/>
        </w:rPr>
      </w:r>
      <w:r>
        <w:rPr>
          <w:lang w:val="en_US" w:bidi="en_US"/>
        </w:rPr>
        <w:t>In this context, this figure of speech means “God wisely said.” God spoke of what would happen because he is wise and knows everything. Some other ways to express this figure of speech are:</w:t>
      </w:r>
    </w:p>
    <w:p>
      <w:pPr/>
      <w:r>
        <w:rPr>
          <w:lang w:val="en_US" w:bidi="en_US"/>
        </w:rPr>
      </w:r>
      <w:r>
        <w:rPr>
          <w:lang w:val="en_US" w:bidi="en_US"/>
        </w:rPr>
        <w:t>God in his wisdom said (NIV)</w:t>
      </w:r>
    </w:p>
    <w:p>
      <w:pPr/>
      <w:r>
        <w:rPr>
          <w:lang w:val="en_US" w:bidi="en_US"/>
        </w:rPr>
      </w:r>
      <w:r>
        <w:rPr>
          <w:lang w:val="en_US" w:bidi="en_US"/>
        </w:rPr>
        <w:t>God showed his wisdom when he said</w:t>
      </w:r>
    </w:p>
    <w:p>
      <w:pPr>
        <w:pStyle w:val="Heading5"/>
      </w:pPr>
      <w:r>
        <w:rPr>
          <w:lang w:val="en_US" w:bidi="en_US"/>
        </w:rPr>
        <w:t>11:49b</w:t>
      </w:r>
    </w:p>
    <w:p>
      <w:pPr/>
      <w:r>
        <w:rPr>
          <w:lang w:val="en_US" w:bidi="en_US"/>
        </w:rPr>
      </w:r>
      <w:r>
        <w:rPr>
          <w:b/>
          <w:lang w:val="en_US" w:bidi="en_US"/>
        </w:rPr>
        <w:t>‘I will send them prophets and apostles;</w:t>
      </w:r>
    </w:p>
    <w:p>
      <w:pPr>
        <w:pStyle w:val="ListBullet"/>
        <w:spacing w:line="240" w:lineRule="auto"/>
        <w:ind w:left="720"/>
      </w:pPr>
      <w:r>
        <w:rPr>
          <w:lang w:val="en_US" w:bidi="en_US"/>
        </w:rPr>
      </w:r>
      <w:r>
        <w:rPr>
          <w:lang w:val="en_US" w:bidi="en_US"/>
        </w:rPr>
        <w:t xml:space="preserve">‘I will send to the people </w:t>
      </w:r>
      <w:r>
        <w:rPr>
          <w:lang w:val="en_US" w:bidi="en_US"/>
        </w:rPr>
        <w:t>of Israel</w:t>
      </w:r>
      <w:r>
        <w:rPr>
          <w:lang w:val="en_US" w:bidi="en_US"/>
        </w:rPr>
        <w:t xml:space="preserve"> prophets and apostles.</w:t>
      </w:r>
    </w:p>
    <w:p>
      <w:pPr>
        <w:pStyle w:val="ListBullet"/>
        <w:spacing w:line="240" w:lineRule="auto"/>
        <w:ind w:left="720"/>
      </w:pPr>
      <w:r>
        <w:rPr>
          <w:lang w:val="en_US" w:bidi="en_US"/>
        </w:rPr>
      </w:r>
      <w:r>
        <w:rPr>
          <w:lang w:val="en_US" w:bidi="en_US"/>
        </w:rPr>
        <w:t>‘I will send prophets and apostles to you. (CEV)</w:t>
      </w:r>
    </w:p>
    <w:p>
      <w:pPr/>
      <w:r>
        <w:rPr>
          <w:lang w:val="en_US" w:bidi="en_US"/>
        </w:rPr>
      </w:r>
      <w:r>
        <w:rPr>
          <w:b/>
          <w:lang w:val="en_US" w:bidi="en_US"/>
        </w:rPr>
        <w:t>I will send them prophets and apostles:</w:t>
      </w:r>
      <w:r>
        <w:rPr>
          <w:lang w:val="en_US" w:bidi="en_US"/>
        </w:rPr>
        <w:t xml:space="preserve"> In this quotation, the word </w:t>
      </w:r>
      <w:r>
        <w:rPr>
          <w:i/>
          <w:lang w:val="en_US" w:bidi="en_US"/>
        </w:rPr>
        <w:t>I</w:t>
      </w:r>
      <w:r>
        <w:rPr>
          <w:lang w:val="en_US" w:bidi="en_US"/>
        </w:rPr>
        <w:t xml:space="preserve"> refers to the Wisdom of God, who is personified as speaking. The word </w:t>
      </w:r>
      <w:r>
        <w:rPr>
          <w:i/>
          <w:lang w:val="en_US" w:bidi="en_US"/>
        </w:rPr>
        <w:t>them</w:t>
      </w:r>
      <w:r>
        <w:rPr>
          <w:lang w:val="en_US" w:bidi="en_US"/>
        </w:rPr>
        <w:t xml:space="preserve"> refers to the people of Israel. In some languages, it may be necessary to make this explicit:</w:t>
      </w:r>
    </w:p>
    <w:p>
      <w:pPr/>
      <w:r>
        <w:rPr>
          <w:lang w:val="en_US" w:bidi="en_US"/>
        </w:rPr>
      </w:r>
      <w:r>
        <w:rPr>
          <w:lang w:val="en_US" w:bidi="en_US"/>
        </w:rPr>
        <w:t xml:space="preserve">I will send </w:t>
      </w:r>
      <w:r>
        <w:rPr>
          <w:lang w:val="en_US" w:bidi="en_US"/>
        </w:rPr>
        <w:t>to the Israelites</w:t>
      </w:r>
      <w:r>
        <w:rPr>
          <w:lang w:val="en_US" w:bidi="en_US"/>
        </w:rPr>
        <w:t xml:space="preserve"> </w:t>
      </w:r>
      <w:r>
        <w:rPr>
          <w:lang w:val="en_US" w:bidi="en_US"/>
        </w:rPr>
        <w:t>some/various</w:t>
      </w:r>
      <w:r>
        <w:rPr>
          <w:lang w:val="en_US" w:bidi="en_US"/>
        </w:rPr>
        <w:t xml:space="preserve"> prophets and apostles</w:t>
      </w:r>
    </w:p>
    <w:p>
      <w:pPr/>
      <w:r>
        <w:rPr>
          <w:lang w:val="en_US" w:bidi="en_US"/>
        </w:rPr>
      </w:r>
      <w:r>
        <w:rPr>
          <w:lang w:val="en_US" w:bidi="en_US"/>
        </w:rPr>
        <w:t xml:space="preserve">Jesus intended this quote to refer to the people to whom he was speaking. So in some languages, it may be more natural to say “you” instead of </w:t>
      </w:r>
      <w:r>
        <w:rPr>
          <w:i/>
          <w:lang w:val="en_US" w:bidi="en_US"/>
        </w:rPr>
        <w:t>them</w:t>
      </w:r>
      <w:r>
        <w:rPr>
          <w:lang w:val="en_US" w:bidi="en_US"/>
        </w:rPr>
        <w:t>. For example:</w:t>
      </w:r>
    </w:p>
    <w:p>
      <w:pPr/>
      <w:r>
        <w:rPr>
          <w:lang w:val="en_US" w:bidi="en_US"/>
        </w:rPr>
      </w:r>
      <w:r>
        <w:rPr>
          <w:lang w:val="en_US" w:bidi="en_US"/>
        </w:rPr>
        <w:t>I will send prophets and apostles to you (CEV)</w:t>
      </w:r>
    </w:p>
    <w:p>
      <w:pPr/>
      <w:r>
        <w:rPr>
          <w:lang w:val="en_US" w:bidi="en_US"/>
        </w:rPr>
      </w:r>
      <w:r>
        <w:rPr>
          <w:b/>
          <w:lang w:val="en_US" w:bidi="en_US"/>
        </w:rPr>
        <w:t>prophets:</w:t>
      </w:r>
      <w:r>
        <w:rPr>
          <w:lang w:val="en_US" w:bidi="en_US"/>
        </w:rPr>
        <w:t xml:space="preserve"> See prophet in the Glossary.</w:t>
      </w:r>
    </w:p>
    <w:p>
      <w:pPr/>
      <w:r>
        <w:rPr>
          <w:lang w:val="en_US" w:bidi="en_US"/>
        </w:rPr>
      </w:r>
      <w:r>
        <w:rPr>
          <w:b/>
          <w:lang w:val="en_US" w:bidi="en_US"/>
        </w:rPr>
        <w:t>apostles:</w:t>
      </w:r>
      <w:r>
        <w:rPr>
          <w:lang w:val="en_US" w:bidi="en_US"/>
        </w:rPr>
        <w:t xml:space="preserve"> The Greek word that English versions translate as </w:t>
      </w:r>
      <w:r>
        <w:rPr>
          <w:i/>
          <w:lang w:val="en_US" w:bidi="en_US"/>
        </w:rPr>
        <w:t>apostles</w:t>
      </w:r>
      <w:r>
        <w:rPr>
          <w:lang w:val="en_US" w:bidi="en_US"/>
        </w:rPr>
        <w:t xml:space="preserve"> means “those who are sent.” Here it refers to the people whom Jesus sent with authority to accomplish a mission or a particular task.</w:t>
      </w:r>
    </w:p>
    <w:p>
      <w:pPr/>
      <w:r>
        <w:rPr>
          <w:lang w:val="en_US" w:bidi="en_US"/>
        </w:rPr>
      </w:r>
      <w:r>
        <w:rPr>
          <w:lang w:val="en_US" w:bidi="en_US"/>
        </w:rPr>
        <w:t xml:space="preserve">Some ways to translate </w:t>
      </w:r>
      <w:r>
        <w:rPr>
          <w:i/>
          <w:lang w:val="en_US" w:bidi="en_US"/>
        </w:rPr>
        <w:t>apostles</w:t>
      </w:r>
      <w:r>
        <w:rPr>
          <w:lang w:val="en_US" w:bidi="en_US"/>
        </w:rPr>
        <w:t xml:space="preserve"> are:</w:t>
      </w:r>
    </w:p>
    <w:p>
      <w:pPr>
        <w:pStyle w:val="ListBullet"/>
        <w:spacing w:line="240" w:lineRule="auto"/>
        <w:ind w:left="720"/>
      </w:pPr>
      <w:r>
        <w:rPr>
          <w:lang w:val="en_US" w:bidi="en_US"/>
        </w:rPr>
      </w:r>
      <w:r>
        <w:rPr>
          <w:lang w:val="en_US" w:bidi="en_US"/>
        </w:rPr>
        <w:t xml:space="preserve">Translate the meaning of the Greek word </w:t>
      </w:r>
      <w:r>
        <w:rPr>
          <w:i/>
          <w:lang w:val="en_US" w:bidi="en_US"/>
        </w:rPr>
        <w:t>apostles</w:t>
      </w:r>
      <w:r>
        <w:rPr>
          <w:lang w:val="en_US" w:bidi="en_US"/>
        </w:rPr>
        <w:t>. For example:</w:t>
      </w:r>
      <w:r>
        <w:rPr>
          <w:lang w:val="en_US" w:bidi="en_US"/>
        </w:rPr>
        <w:t xml:space="preserve">people sent </w:t>
      </w:r>
      <w:r>
        <w:rPr>
          <w:lang w:val="en_US" w:bidi="en_US"/>
        </w:rPr>
        <w:t>to speak/act for him</w:t>
      </w:r>
      <w:r>
        <w:rPr>
          <w:lang w:val="en_US" w:bidi="en_US"/>
        </w:rPr>
        <w:t>special</w:t>
      </w:r>
      <w:r>
        <w:rPr>
          <w:lang w:val="en_US" w:bidi="en_US"/>
        </w:rPr>
        <w:t xml:space="preserve"> messengers</w:t>
      </w:r>
      <w:r>
        <w:rPr>
          <w:lang w:val="en_US" w:bidi="en_US"/>
        </w:rPr>
        <w:t>representatives</w:t>
      </w:r>
      <w:r>
        <w:rPr>
          <w:lang w:val="en_US" w:bidi="en_US"/>
        </w:rPr>
        <w:t>men with authority from Jesus</w:t>
      </w:r>
    </w:p>
    <w:p>
      <w:pPr>
        <w:pStyle w:val="ListBullet"/>
        <w:spacing w:line="240" w:lineRule="auto"/>
        <w:ind w:left="720"/>
      </w:pPr>
      <w:r>
        <w:rPr>
          <w:lang w:val="en_US" w:bidi="en_US"/>
        </w:rPr>
      </w:r>
      <w:r>
        <w:rPr>
          <w:lang w:val="en_US" w:bidi="en_US"/>
        </w:rPr>
        <w:t>Indicate the role or function of apostles. For example:</w:t>
      </w:r>
      <w:r>
        <w:rPr>
          <w:lang w:val="en_US" w:bidi="en_US"/>
        </w:rPr>
        <w:t xml:space="preserve">chief leaders </w:t>
      </w:r>
      <w:r>
        <w:rPr>
          <w:lang w:val="en_US" w:bidi="en_US"/>
        </w:rPr>
        <w:t>of Jesus’ work</w:t>
      </w:r>
      <w:r>
        <w:rPr>
          <w:lang w:val="en_US" w:bidi="en_US"/>
        </w:rPr>
        <w:t xml:space="preserve">people who are in charge </w:t>
      </w:r>
      <w:r>
        <w:rPr>
          <w:lang w:val="en_US" w:bidi="en_US"/>
        </w:rPr>
        <w:t>of Jesus’ work</w:t>
      </w:r>
    </w:p>
    <w:p>
      <w:pPr/>
      <w:r>
        <w:rPr>
          <w:lang w:val="en_US" w:bidi="en_US"/>
        </w:rPr>
      </w:r>
      <w:r>
        <w:rPr>
          <w:lang w:val="en_US" w:bidi="en_US"/>
        </w:rPr>
        <w:t>Be careful to choose different terms for “apostles,” “angels,” “elders,” and “prophets.”</w:t>
      </w:r>
    </w:p>
    <w:p>
      <w:pPr/>
      <w:r>
        <w:rPr>
          <w:lang w:val="en_US" w:bidi="en_US"/>
        </w:rPr>
      </w:r>
      <w:r>
        <w:rPr>
          <w:lang w:val="en_US" w:bidi="en_US"/>
        </w:rPr>
        <w:t xml:space="preserve">The word </w:t>
      </w:r>
      <w:r>
        <w:rPr>
          <w:i/>
          <w:lang w:val="en_US" w:bidi="en_US"/>
        </w:rPr>
        <w:t>apostles</w:t>
      </w:r>
      <w:r>
        <w:rPr>
          <w:lang w:val="en_US" w:bidi="en_US"/>
        </w:rPr>
        <w:t xml:space="preserve"> also occurs in 9:10a. See also apostle in the Glossary.</w:t>
      </w:r>
    </w:p>
    <w:p>
      <w:pPr>
        <w:pStyle w:val="Heading5"/>
      </w:pPr>
      <w:r>
        <w:rPr>
          <w:lang w:val="en_US" w:bidi="en_US"/>
        </w:rPr>
        <w:t>11:49c</w:t>
      </w:r>
    </w:p>
    <w:p>
      <w:pPr/>
      <w:r>
        <w:rPr>
          <w:lang w:val="en_US" w:bidi="en_US"/>
        </w:rPr>
      </w:r>
      <w:r>
        <w:rPr>
          <w:b/>
          <w:lang w:val="en_US" w:bidi="en_US"/>
        </w:rPr>
        <w:t>some of them they will kill and others they will persecute.’</w:t>
      </w:r>
    </w:p>
    <w:p>
      <w:pPr>
        <w:pStyle w:val="ListBullet"/>
        <w:spacing w:line="240" w:lineRule="auto"/>
        <w:ind w:left="720"/>
      </w:pPr>
      <w:r>
        <w:rPr>
          <w:lang w:val="en_US" w:bidi="en_US"/>
        </w:rPr>
      </w:r>
      <w:r>
        <w:rPr>
          <w:lang w:val="en_US" w:bidi="en_US"/>
        </w:rPr>
        <w:t>The people will persecute/harm some of them and will murder others.’</w:t>
      </w:r>
    </w:p>
    <w:p>
      <w:pPr>
        <w:pStyle w:val="ListBullet"/>
        <w:spacing w:line="240" w:lineRule="auto"/>
        <w:ind w:left="720"/>
      </w:pPr>
      <w:r>
        <w:rPr>
          <w:lang w:val="en_US" w:bidi="en_US"/>
        </w:rPr>
      </w:r>
      <w:r>
        <w:rPr>
          <w:lang w:val="en_US" w:bidi="en_US"/>
        </w:rPr>
        <w:t>But you will murder some and mistreat others.’ (CEV)</w:t>
      </w:r>
    </w:p>
    <w:p>
      <w:pPr/>
      <w:r>
        <w:rPr>
          <w:lang w:val="en_US" w:bidi="en_US"/>
        </w:rPr>
      </w:r>
      <w:r>
        <w:rPr>
          <w:lang w:val="en_US" w:bidi="en_US"/>
        </w:rPr>
        <w:t>God sent other prophets to the people of Israel, but they did not listen to them either. Instead, they killed them too. In some languages, it may be natural to show the contrast between 11:49b and 11:49c. For example:</w:t>
      </w:r>
    </w:p>
    <w:p>
      <w:pPr/>
      <w:r>
        <w:rPr>
          <w:lang w:val="en_US" w:bidi="en_US"/>
        </w:rPr>
      </w:r>
      <w:r>
        <w:rPr>
          <w:u w:val="single"/>
          <w:lang w:val="en_US" w:bidi="en_US"/>
        </w:rPr>
        <w:t>but</w:t>
      </w:r>
      <w:r>
        <w:rPr>
          <w:lang w:val="en_US" w:bidi="en_US"/>
        </w:rPr>
        <w:t xml:space="preserve"> they will kill some and persecute the others (NLT)</w:t>
      </w:r>
    </w:p>
    <w:p>
      <w:pPr/>
      <w:r>
        <w:rPr>
          <w:lang w:val="en_US" w:bidi="en_US"/>
        </w:rPr>
      </w:r>
      <w:r>
        <w:rPr>
          <w:b/>
          <w:lang w:val="en_US" w:bidi="en_US"/>
        </w:rPr>
        <w:t>some of them they will kill and others they will persecute:</w:t>
      </w:r>
      <w:r>
        <w:rPr>
          <w:lang w:val="en_US" w:bidi="en_US"/>
        </w:rPr>
        <w:t xml:space="preserve"> Scholars have understood this clause in one of two ways:</w:t>
      </w:r>
    </w:p>
    <w:p>
      <w:pPr>
        <w:pStyle w:val="ListNumber"/>
        <w:numPr>
          <w:ilvl w:val="0"/>
          <w:numId w:val="238"/>
        </w:numPr>
        <w:spacing w:line="240" w:lineRule="auto"/>
        <w:ind w:left="720"/>
      </w:pPr>
      <w:r>
        <w:rPr>
          <w:lang w:val="en_US" w:bidi="en_US"/>
        </w:rPr>
      </w:r>
      <w:r>
        <w:rPr>
          <w:lang w:val="en_US" w:bidi="en_US"/>
        </w:rPr>
        <w:t xml:space="preserve">It means that the people of Israel would </w:t>
      </w:r>
      <w:r>
        <w:rPr>
          <w:u w:val="single"/>
          <w:lang w:val="en_US" w:bidi="en_US"/>
        </w:rPr>
        <w:t>kill some prophets and apostles</w:t>
      </w:r>
      <w:r>
        <w:rPr>
          <w:lang w:val="en_US" w:bidi="en_US"/>
        </w:rPr>
        <w:t xml:space="preserve"> and they would </w:t>
      </w:r>
      <w:r>
        <w:rPr>
          <w:u w:val="single"/>
          <w:lang w:val="en_US" w:bidi="en_US"/>
        </w:rPr>
        <w:t>persecute others</w:t>
      </w:r>
      <w:r>
        <w:rPr>
          <w:lang w:val="en_US" w:bidi="en_US"/>
        </w:rPr>
        <w:t>. For example:</w:t>
      </w:r>
      <w:r>
        <w:rPr>
          <w:lang w:val="en_US" w:bidi="en_US"/>
        </w:rPr>
        <w:t xml:space="preserve">They will murder some of those prophets and apostles and persecute others. (GW) </w:t>
      </w:r>
      <w:r>
        <w:rPr>
          <w:i/>
          <w:lang w:val="en_US" w:bidi="en_US"/>
        </w:rPr>
        <w:t>(BSB, NIV, GNT, NLT, CEV, NCV, NASB, GW, JBP)</w:t>
      </w:r>
    </w:p>
    <w:p>
      <w:pPr>
        <w:pStyle w:val="ListNumber"/>
        <w:spacing w:line="240" w:lineRule="auto"/>
        <w:ind w:left="720"/>
      </w:pPr>
      <w:r>
        <w:rPr>
          <w:lang w:val="en_US" w:bidi="en_US"/>
        </w:rPr>
      </w:r>
      <w:r>
        <w:rPr>
          <w:lang w:val="en_US" w:bidi="en_US"/>
        </w:rPr>
        <w:t xml:space="preserve">It means that the people of Israel would </w:t>
      </w:r>
      <w:r>
        <w:rPr>
          <w:u w:val="single"/>
          <w:lang w:val="en_US" w:bidi="en_US"/>
        </w:rPr>
        <w:t>kill and persecute some prophets and apostles</w:t>
      </w:r>
      <w:r>
        <w:rPr>
          <w:lang w:val="en_US" w:bidi="en_US"/>
        </w:rPr>
        <w:t>. They would do these two things to the same group of people. This implies that they would not persecute nor kill all the prophets and apostles. For example:</w:t>
      </w:r>
      <w:r>
        <w:rPr>
          <w:lang w:val="en_US" w:bidi="en_US"/>
        </w:rPr>
        <w:t xml:space="preserve">some of whom they will kill and persecute (NET) </w:t>
      </w:r>
      <w:r>
        <w:rPr>
          <w:i/>
          <w:lang w:val="en_US" w:bidi="en_US"/>
        </w:rPr>
        <w:t>(RSV, NJB, NET, REB, KJV)</w:t>
      </w:r>
    </w:p>
    <w:p>
      <w:pPr/>
      <w:r>
        <w:rPr>
          <w:lang w:val="en_US" w:bidi="en_US"/>
        </w:rPr>
      </w:r>
      <w:r>
        <w:rPr>
          <w:lang w:val="en_US" w:bidi="en_US"/>
        </w:rPr>
        <w:t xml:space="preserve">If you decide to follow this interpretation, you may need to reverse the order of the two verbs </w:t>
      </w:r>
      <w:r>
        <w:rPr>
          <w:i/>
          <w:lang w:val="en_US" w:bidi="en_US"/>
        </w:rPr>
        <w:t>kill</w:t>
      </w:r>
      <w:r>
        <w:rPr>
          <w:lang w:val="en_US" w:bidi="en_US"/>
        </w:rPr>
        <w:t xml:space="preserve"> and </w:t>
      </w:r>
      <w:r>
        <w:rPr>
          <w:i/>
          <w:lang w:val="en_US" w:bidi="en_US"/>
        </w:rPr>
        <w:t>persecute</w:t>
      </w:r>
      <w:r>
        <w:rPr>
          <w:lang w:val="en_US" w:bidi="en_US"/>
        </w:rPr>
        <w:t>. For example:</w:t>
      </w:r>
    </w:p>
    <w:p>
      <w:pPr/>
      <w:r>
        <w:rPr>
          <w:lang w:val="en_US" w:bidi="en_US"/>
        </w:rPr>
      </w:r>
      <w:r>
        <w:rPr>
          <w:lang w:val="en_US" w:bidi="en_US"/>
        </w:rPr>
        <w:t xml:space="preserve">Some they will persecute and </w:t>
      </w:r>
      <w:r>
        <w:rPr>
          <w:lang w:val="en_US" w:bidi="en_US"/>
        </w:rPr>
        <w:t>even</w:t>
      </w:r>
      <w:r>
        <w:rPr>
          <w:lang w:val="en_US" w:bidi="en_US"/>
        </w:rPr>
        <w:t xml:space="preserve"> kill.</w:t>
      </w:r>
    </w:p>
    <w:p>
      <w:pPr/>
      <w:r>
        <w:rPr>
          <w:lang w:val="en_US" w:bidi="en_US"/>
        </w:rPr>
      </w:r>
      <w:r>
        <w:rPr>
          <w:lang w:val="en_US" w:bidi="en_US"/>
        </w:rPr>
        <w:t>It is recommended that you follow interpretation (1), along with most English versions. Historically, many of the prophets and apostles were persecuted but not killed.</w:t>
      </w:r>
    </w:p>
    <w:p>
      <w:pPr/>
      <w:r>
        <w:rPr>
          <w:lang w:val="en_US" w:bidi="en_US"/>
        </w:rPr>
      </w:r>
      <w:r>
        <w:rPr>
          <w:lang w:val="en_US" w:bidi="en_US"/>
        </w:rPr>
        <w:t xml:space="preserve">As in 11:49b, Jesus intended this quote to refer to the people to whom he was talking. So in some languages, it will be more natural to say “you” instead of </w:t>
      </w:r>
      <w:r>
        <w:rPr>
          <w:i/>
          <w:lang w:val="en_US" w:bidi="en_US"/>
        </w:rPr>
        <w:t>they</w:t>
      </w:r>
      <w:r>
        <w:rPr>
          <w:lang w:val="en_US" w:bidi="en_US"/>
        </w:rPr>
        <w:t>. For example:</w:t>
      </w:r>
    </w:p>
    <w:p>
      <w:pPr/>
      <w:r>
        <w:rPr>
          <w:lang w:val="en_US" w:bidi="en_US"/>
        </w:rPr>
      </w:r>
      <w:r>
        <w:rPr>
          <w:lang w:val="en_US" w:bidi="en_US"/>
        </w:rPr>
        <w:t>you will murder some and mistreat others (CEV)</w:t>
      </w:r>
    </w:p>
    <w:p>
      <w:pPr/>
      <w:r>
        <w:rPr>
          <w:lang w:val="en_US" w:bidi="en_US"/>
        </w:rPr>
      </w:r>
      <w:r>
        <w:rPr>
          <w:b/>
          <w:lang w:val="en_US" w:bidi="en_US"/>
        </w:rPr>
        <w:t>kill:</w:t>
      </w:r>
      <w:r>
        <w:rPr>
          <w:lang w:val="en_US" w:bidi="en_US"/>
        </w:rPr>
        <w:t xml:space="preserve"> In this context </w:t>
      </w:r>
      <w:r>
        <w:rPr>
          <w:i/>
          <w:lang w:val="en_US" w:bidi="en_US"/>
        </w:rPr>
        <w:t>kill</w:t>
      </w:r>
      <w:r>
        <w:rPr>
          <w:lang w:val="en_US" w:bidi="en_US"/>
        </w:rPr>
        <w:t xml:space="preserve"> means “murder” or “martyr.” This same word occurs in 11:47c.</w:t>
      </w:r>
    </w:p>
    <w:p>
      <w:pPr/>
      <w:r>
        <w:rPr>
          <w:lang w:val="en_US" w:bidi="en_US"/>
        </w:rPr>
      </w:r>
      <w:r>
        <w:rPr>
          <w:b/>
          <w:lang w:val="en_US" w:bidi="en_US"/>
        </w:rPr>
        <w:t>others they will persecute:</w:t>
      </w:r>
      <w:r>
        <w:rPr>
          <w:lang w:val="en_US" w:bidi="en_US"/>
        </w:rPr>
        <w:t xml:space="preserve"> The word </w:t>
      </w:r>
      <w:r>
        <w:rPr>
          <w:i/>
          <w:lang w:val="en_US" w:bidi="en_US"/>
        </w:rPr>
        <w:t>persecute</w:t>
      </w:r>
      <w:r>
        <w:rPr>
          <w:lang w:val="en_US" w:bidi="en_US"/>
        </w:rPr>
        <w:t xml:space="preserve"> means “deliberately harm someone” or “do evil to someone.” Some other ways to translate this word are:</w:t>
      </w:r>
    </w:p>
    <w:p>
      <w:pPr/>
      <w:r>
        <w:rPr>
          <w:lang w:val="en_US" w:bidi="en_US"/>
        </w:rPr>
      </w:r>
      <w:r>
        <w:rPr>
          <w:lang w:val="en_US" w:bidi="en_US"/>
        </w:rPr>
        <w:t>mistreat (CEV)</w:t>
      </w:r>
    </w:p>
    <w:p>
      <w:pPr/>
      <w:r>
        <w:rPr>
          <w:lang w:val="en_US" w:bidi="en_US"/>
        </w:rPr>
      </w:r>
      <w:r>
        <w:rPr>
          <w:lang w:val="en_US" w:bidi="en_US"/>
        </w:rPr>
        <w:t>treat…cruelly (NCV)</w:t>
      </w:r>
      <w:r>
        <w:rPr>
          <w:lang w:val="en_US" w:bidi="en_US"/>
        </w:rPr>
      </w:r>
      <w:r>
        <w:rPr>
          <w:lang w:val="en_US" w:bidi="en_US"/>
        </w:rPr>
      </w:r>
    </w:p>
    <w:p>
      <w:pPr/>
      <w:r>
        <w:rPr>
          <w:lang w:val="en_US" w:bidi="en_US"/>
        </w:rPr>
      </w:r>
    </w:p>
    <w:p>
      <w:pPr>
        <w:pStyle w:val="Heading2"/>
      </w:pPr>
      <w:r>
        <w:rPr>
          <w:lang w:val="en_US" w:bidi="en_US"/>
        </w:rPr>
        <w:t>Luke 11:50</w:t>
      </w:r>
      <w:r>
        <w:rPr>
          <w:lang w:val="en_US" w:bidi="en_US"/>
        </w:rPr>
      </w:r>
    </w:p>
    <w:p>
      <w:pPr>
        <w:pStyle w:val="Heading4"/>
      </w:pPr>
      <w:r>
        <w:rPr>
          <w:lang w:val="en_US" w:bidi="en_US"/>
        </w:rPr>
        <w:t>Section 11:37–54: Jesus criticized the Pharisees and the teachers of the law</w:t>
      </w:r>
    </w:p>
    <w:p>
      <w:pPr/>
      <w:r>
        <w:rPr>
          <w:lang w:val="en_US" w:bidi="en_US"/>
        </w:rPr>
      </w:r>
      <w:r>
        <w:rPr>
          <w:lang w:val="en_US" w:bidi="en_US"/>
        </w:rP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pPr/>
      <w:r>
        <w:rPr>
          <w:lang w:val="en_US" w:bidi="en_US"/>
        </w:rPr>
      </w:r>
      <w:r>
        <w:rPr>
          <w:lang w:val="en_US" w:bidi="en_US"/>
        </w:rPr>
        <w:t>Some other headings for this section are:</w:t>
      </w:r>
    </w:p>
    <w:p>
      <w:pPr/>
      <w:r>
        <w:rPr>
          <w:lang w:val="en_US" w:bidi="en_US"/>
        </w:rPr>
      </w:r>
      <w:r>
        <w:rPr>
          <w:lang w:val="en_US" w:bidi="en_US"/>
        </w:rPr>
        <w:t>Jesus’ Criticism of the Religious Leaders</w:t>
      </w:r>
    </w:p>
    <w:p>
      <w:pPr/>
      <w:r>
        <w:rPr>
          <w:lang w:val="en_US" w:bidi="en_US"/>
        </w:rPr>
      </w:r>
      <w:r>
        <w:rPr>
          <w:lang w:val="en_US" w:bidi="en_US"/>
        </w:rPr>
        <w:t>There are parallel passages for this section in Matthew 23:1–36 and Mark 12:38–40.</w:t>
      </w:r>
    </w:p>
    <w:p>
      <w:pPr>
        <w:pStyle w:val="Heading5"/>
      </w:pPr>
      <w:r>
        <w:rPr>
          <w:lang w:val="en_US" w:bidi="en_US"/>
        </w:rPr>
        <w:t>11:50a–c</w:t>
      </w:r>
    </w:p>
    <w:p>
      <w:pPr/>
      <w:r>
        <w:rPr>
          <w:lang w:val="en_US" w:bidi="en_US"/>
        </w:rPr>
      </w:r>
      <w:r>
        <w:rPr>
          <w:lang w:val="en_US" w:bidi="en_US"/>
        </w:rPr>
        <w:t>In some languages it may be more natural to reorder the clauses of 11:50. See the General Comment on 11:50a–c at the end of 11:50c for a way to reorder this verse.</w:t>
      </w:r>
    </w:p>
    <w:p>
      <w:pPr>
        <w:pStyle w:val="Heading5"/>
      </w:pPr>
      <w:r>
        <w:rPr>
          <w:lang w:val="en_US" w:bidi="en_US"/>
        </w:rPr>
        <w:t>11:50a</w:t>
      </w:r>
    </w:p>
    <w:p>
      <w:pPr/>
      <w:r>
        <w:rPr>
          <w:lang w:val="en_US" w:bidi="en_US"/>
        </w:rPr>
      </w:r>
      <w:r>
        <w:rPr>
          <w:b/>
          <w:lang w:val="en_US" w:bidi="en_US"/>
        </w:rPr>
        <w:t>As a result, this generation will be charged</w:t>
      </w:r>
    </w:p>
    <w:p>
      <w:pPr>
        <w:pStyle w:val="ListBullet"/>
        <w:spacing w:line="240" w:lineRule="auto"/>
        <w:ind w:left="720"/>
      </w:pPr>
      <w:r>
        <w:rPr>
          <w:lang w:val="en_US" w:bidi="en_US"/>
        </w:rPr>
      </w:r>
      <w:r>
        <w:rPr>
          <w:lang w:val="en_US" w:bidi="en_US"/>
        </w:rPr>
        <w:t>So the people living today will be declared guilty</w:t>
      </w:r>
    </w:p>
    <w:p>
      <w:pPr>
        <w:pStyle w:val="ListBullet"/>
        <w:spacing w:line="240" w:lineRule="auto"/>
        <w:ind w:left="720"/>
      </w:pPr>
      <w:r>
        <w:rPr>
          <w:lang w:val="en_US" w:bidi="en_US"/>
        </w:rPr>
      </w:r>
      <w:r>
        <w:rPr>
          <w:lang w:val="en_US" w:bidi="en_US"/>
        </w:rPr>
        <w:t xml:space="preserve">As a result, </w:t>
      </w:r>
      <w:r>
        <w:rPr>
          <w:lang w:val="en_US" w:bidi="en_US"/>
        </w:rPr>
        <w:t>God</w:t>
      </w:r>
      <w:r>
        <w:rPr>
          <w:lang w:val="en_US" w:bidi="en_US"/>
        </w:rPr>
        <w:t xml:space="preserve"> will punish/judge you</w:t>
      </w:r>
      <w:r>
        <w:rPr>
          <w:vertAlign w:val="superscript"/>
          <w:lang w:val="en_US" w:bidi="en_US"/>
        </w:rPr>
        <w:t>(plur)</w:t>
      </w:r>
      <w:r>
        <w:rPr>
          <w:lang w:val="en_US" w:bidi="en_US"/>
        </w:rPr>
        <w:t xml:space="preserve"> people who live now</w:t>
      </w:r>
    </w:p>
    <w:p>
      <w:pPr/>
      <w:r>
        <w:rPr>
          <w:lang w:val="en_US" w:bidi="en_US"/>
        </w:rPr>
      </w:r>
      <w:r>
        <w:rPr>
          <w:lang w:val="en_US" w:bidi="en_US"/>
        </w:rPr>
        <w:t>In 11:49c Jesus ended his quotation of what God said. In 11:50 he began again to speak directly without a quotation. In some languages it may be necessary to make this explicit. Two ways to do this are:</w:t>
      </w:r>
    </w:p>
    <w:p>
      <w:pPr>
        <w:pStyle w:val="ListBullet"/>
        <w:spacing w:line="240" w:lineRule="auto"/>
        <w:ind w:left="720"/>
      </w:pPr>
      <w:r>
        <w:rPr>
          <w:lang w:val="en_US" w:bidi="en_US"/>
        </w:rPr>
      </w:r>
      <w:r>
        <w:rPr>
          <w:lang w:val="en_US" w:bidi="en_US"/>
        </w:rPr>
        <w:t>Supply a quote formula at the end of 11:49c. For example:</w:t>
      </w:r>
      <w:r>
        <w:rPr>
          <w:lang w:val="en_US" w:bidi="en_US"/>
        </w:rPr>
        <w:t xml:space="preserve">“…they will persecute.” </w:t>
      </w:r>
      <w:r>
        <w:rPr>
          <w:lang w:val="en_US" w:bidi="en_US"/>
        </w:rPr>
        <w:t>That is what God said.</w:t>
      </w:r>
    </w:p>
    <w:p>
      <w:pPr>
        <w:pStyle w:val="ListBullet"/>
        <w:spacing w:line="240" w:lineRule="auto"/>
        <w:ind w:left="720"/>
      </w:pPr>
      <w:r>
        <w:rPr>
          <w:lang w:val="en_US" w:bidi="en_US"/>
        </w:rPr>
      </w:r>
      <w:r>
        <w:rPr>
          <w:lang w:val="en_US" w:bidi="en_US"/>
        </w:rPr>
        <w:t>Supply a quote formula at the beginning of 11:50a. For example:</w:t>
      </w:r>
      <w:r>
        <w:rPr>
          <w:lang w:val="en_US" w:bidi="en_US"/>
        </w:rPr>
        <w:t>Jesus continued,</w:t>
      </w:r>
      <w:r>
        <w:rPr>
          <w:lang w:val="en_US" w:bidi="en_US"/>
        </w:rPr>
        <w:t xml:space="preserve"> “Therefore…”</w:t>
      </w:r>
    </w:p>
    <w:p>
      <w:pPr/>
      <w:r>
        <w:rPr>
          <w:lang w:val="en_US" w:bidi="en_US"/>
        </w:rPr>
      </w:r>
      <w:r>
        <w:rPr>
          <w:lang w:val="en_US" w:bidi="en_US"/>
        </w:rPr>
        <w:t>Express this in a way that is most natural in your language.</w:t>
      </w:r>
    </w:p>
    <w:p>
      <w:pPr/>
      <w:r>
        <w:rPr>
          <w:lang w:val="en_US" w:bidi="en_US"/>
        </w:rPr>
      </w:r>
      <w:r>
        <w:rPr>
          <w:b/>
          <w:lang w:val="en_US" w:bidi="en_US"/>
        </w:rPr>
        <w:t>As a result:</w:t>
      </w:r>
      <w:r>
        <w:rPr>
          <w:lang w:val="en_US" w:bidi="en_US"/>
        </w:rPr>
        <w:t xml:space="preserve"> Scholars have interpreted the Greek word that the BSB translates as </w:t>
      </w:r>
      <w:r>
        <w:rPr>
          <w:i/>
          <w:lang w:val="en_US" w:bidi="en_US"/>
        </w:rPr>
        <w:t>As a result</w:t>
      </w:r>
      <w:r>
        <w:rPr>
          <w:lang w:val="en_US" w:bidi="en_US"/>
        </w:rPr>
        <w:t xml:space="preserve"> in two different ways:</w:t>
      </w:r>
    </w:p>
    <w:p>
      <w:pPr>
        <w:pStyle w:val="ListNumber"/>
        <w:numPr>
          <w:ilvl w:val="0"/>
          <w:numId w:val="239"/>
        </w:numPr>
        <w:spacing w:line="240" w:lineRule="auto"/>
        <w:ind w:left="720"/>
      </w:pPr>
      <w:r>
        <w:rPr>
          <w:lang w:val="en_US" w:bidi="en_US"/>
        </w:rPr>
      </w:r>
      <w:r>
        <w:rPr>
          <w:lang w:val="en_US" w:bidi="en_US"/>
        </w:rPr>
        <w:t xml:space="preserve">It indicates </w:t>
      </w:r>
      <w:r>
        <w:rPr>
          <w:u w:val="single"/>
          <w:lang w:val="en_US" w:bidi="en_US"/>
        </w:rPr>
        <w:t>result</w:t>
      </w:r>
      <w:r>
        <w:rPr>
          <w:lang w:val="en_US" w:bidi="en_US"/>
        </w:rPr>
        <w:t xml:space="preserve"> and introduces what would happen to the Jews as a result of their persecution of God’s messengers. For example:</w:t>
      </w:r>
      <w:r>
        <w:rPr>
          <w:lang w:val="en_US" w:bidi="en_US"/>
        </w:rPr>
        <w:t xml:space="preserve">So the people living now will be charged with the murder of every prophet (GW) </w:t>
      </w:r>
      <w:r>
        <w:rPr>
          <w:i/>
          <w:lang w:val="en_US" w:bidi="en_US"/>
        </w:rPr>
        <w:t>(BSB, NIV, GNT, REB, NCV, GW, NLT)</w:t>
      </w:r>
    </w:p>
    <w:p>
      <w:pPr>
        <w:pStyle w:val="ListNumber"/>
        <w:spacing w:line="240" w:lineRule="auto"/>
        <w:ind w:left="720"/>
      </w:pPr>
      <w:r>
        <w:rPr>
          <w:lang w:val="en_US" w:bidi="en_US"/>
        </w:rPr>
      </w:r>
      <w:r>
        <w:rPr>
          <w:lang w:val="en_US" w:bidi="en_US"/>
        </w:rPr>
        <w:t xml:space="preserve">It indicates </w:t>
      </w:r>
      <w:r>
        <w:rPr>
          <w:u w:val="single"/>
          <w:lang w:val="en_US" w:bidi="en_US"/>
        </w:rPr>
        <w:t>purpose</w:t>
      </w:r>
      <w:r>
        <w:rPr>
          <w:lang w:val="en_US" w:bidi="en_US"/>
        </w:rPr>
        <w:t xml:space="preserve"> and introduces the purpose of God in sending messengers. For example:</w:t>
      </w:r>
      <w:r>
        <w:rPr>
          <w:lang w:val="en_US" w:bidi="en_US"/>
        </w:rPr>
        <w:t xml:space="preserve">so that the blood of all the prophets…may be charged against this generation (NASB) </w:t>
      </w:r>
      <w:r>
        <w:rPr>
          <w:i/>
          <w:lang w:val="en_US" w:bidi="en_US"/>
        </w:rPr>
        <w:t>(NJB, NET, NASB, and probably KJV and RSV)</w:t>
      </w:r>
    </w:p>
    <w:p>
      <w:pPr/>
      <w:r>
        <w:rPr>
          <w:lang w:val="en_US" w:bidi="en_US"/>
        </w:rPr>
      </w:r>
      <w:r>
        <w:rPr>
          <w:lang w:val="en_US" w:bidi="en_US"/>
        </w:rPr>
        <w:t>It is recommended that you choose interpretation (1). It fits better with the change of speaker from God to Jesus. Jesus began to speak in his own words and told what would be the result of what happened. (The CEV and NLT do not translate this word.)</w:t>
      </w:r>
    </w:p>
    <w:p>
      <w:pPr/>
      <w:r>
        <w:rPr>
          <w:lang w:val="en_US" w:bidi="en_US"/>
        </w:rPr>
      </w:r>
      <w:r>
        <w:rPr>
          <w:b/>
          <w:lang w:val="en_US" w:bidi="en_US"/>
        </w:rPr>
        <w:t>this generation:</w:t>
      </w:r>
      <w:r>
        <w:rPr>
          <w:lang w:val="en_US" w:bidi="en_US"/>
        </w:rPr>
        <w:t xml:space="preserve"> The phrase </w:t>
      </w:r>
      <w:r>
        <w:rPr>
          <w:i/>
          <w:lang w:val="en_US" w:bidi="en_US"/>
        </w:rPr>
        <w:t>this generation</w:t>
      </w:r>
      <w:r>
        <w:rPr>
          <w:lang w:val="en_US" w:bidi="en_US"/>
        </w:rPr>
        <w:t xml:space="preserve"> refers to the people living at the time when Jesus was on earth. But it refers in particular to the Jews. Another way to translate this is:</w:t>
      </w:r>
    </w:p>
    <w:p>
      <w:pPr/>
      <w:r>
        <w:rPr>
          <w:lang w:val="en_US" w:bidi="en_US"/>
        </w:rPr>
      </w:r>
      <w:r>
        <w:rPr>
          <w:lang w:val="en_US" w:bidi="en_US"/>
        </w:rPr>
        <w:t>the people of this time (GNT)</w:t>
      </w:r>
    </w:p>
    <w:p>
      <w:pPr/>
      <w:r>
        <w:rPr>
          <w:lang w:val="en_US" w:bidi="en_US"/>
        </w:rPr>
      </w:r>
      <w:r>
        <w:rPr>
          <w:lang w:val="en_US" w:bidi="en_US"/>
        </w:rPr>
        <w:t>Because this included the people to whom Jesus was talking, some versions translate this as “you.” For example:</w:t>
      </w:r>
    </w:p>
    <w:p>
      <w:pPr/>
      <w:r>
        <w:rPr>
          <w:lang w:val="en_US" w:bidi="en_US"/>
        </w:rPr>
      </w:r>
      <w:r>
        <w:rPr>
          <w:lang w:val="en_US" w:bidi="en_US"/>
        </w:rPr>
        <w:t>you who live now (NCV)</w:t>
      </w:r>
    </w:p>
    <w:p>
      <w:pPr/>
      <w:r>
        <w:rPr>
          <w:lang w:val="en_US" w:bidi="en_US"/>
        </w:rPr>
      </w:r>
      <w:r>
        <w:rPr>
          <w:lang w:val="en_US" w:bidi="en_US"/>
        </w:rPr>
        <w:t>The phrase “this generation” last occurred in 11:32a.</w:t>
      </w:r>
    </w:p>
    <w:p>
      <w:pPr/>
      <w:r>
        <w:rPr>
          <w:lang w:val="en_US" w:bidi="en_US"/>
        </w:rPr>
      </w:r>
      <w:r>
        <w:rPr>
          <w:b/>
          <w:lang w:val="en_US" w:bidi="en_US"/>
        </w:rPr>
        <w:t>will be charged:</w:t>
      </w:r>
      <w:r>
        <w:rPr>
          <w:lang w:val="en_US" w:bidi="en_US"/>
        </w:rPr>
        <w:t xml:space="preserve"> The Greek word that the BSB translates as </w:t>
      </w:r>
      <w:r>
        <w:rPr>
          <w:i/>
          <w:lang w:val="en_US" w:bidi="en_US"/>
        </w:rPr>
        <w:t>will be charged</w:t>
      </w:r>
      <w:r>
        <w:rPr>
          <w:lang w:val="en_US" w:bidi="en_US"/>
        </w:rPr>
        <w:t xml:space="preserve"> means “will be declared guilty of.” It means that God will consider these people responsible for the murder of his prophets. He will require them to answer to him for what had happened. It is also implied that they were in some way guilty of these murders and that God would punish them. One way to make this explicit is:</w:t>
      </w:r>
    </w:p>
    <w:p>
      <w:pPr/>
      <w:r>
        <w:rPr>
          <w:lang w:val="en_US" w:bidi="en_US"/>
        </w:rPr>
      </w:r>
      <w:r>
        <w:rPr>
          <w:lang w:val="en_US" w:bidi="en_US"/>
        </w:rPr>
        <w:t>will be punished (GNT)</w:t>
      </w:r>
    </w:p>
    <w:p>
      <w:pPr>
        <w:pStyle w:val="Heading5"/>
      </w:pPr>
      <w:r>
        <w:rPr>
          <w:lang w:val="en_US" w:bidi="en_US"/>
        </w:rPr>
        <w:t>11:50b</w:t>
      </w:r>
    </w:p>
    <w:p>
      <w:pPr/>
      <w:r>
        <w:rPr>
          <w:lang w:val="en_US" w:bidi="en_US"/>
        </w:rPr>
      </w:r>
      <w:r>
        <w:rPr>
          <w:b/>
          <w:lang w:val="en_US" w:bidi="en_US"/>
        </w:rPr>
        <w:t>with the blood of all the prophets that has been shed</w:t>
      </w:r>
    </w:p>
    <w:p>
      <w:pPr>
        <w:pStyle w:val="ListBullet"/>
        <w:spacing w:line="240" w:lineRule="auto"/>
        <w:ind w:left="720"/>
      </w:pPr>
      <w:r>
        <w:rPr>
          <w:lang w:val="en_US" w:bidi="en_US"/>
        </w:rPr>
      </w:r>
      <w:r>
        <w:rPr>
          <w:lang w:val="en_US" w:bidi="en_US"/>
        </w:rPr>
        <w:t>of the deaths of all the prophets who have been killed</w:t>
      </w:r>
    </w:p>
    <w:p>
      <w:pPr>
        <w:pStyle w:val="ListBullet"/>
        <w:spacing w:line="240" w:lineRule="auto"/>
        <w:ind w:left="720"/>
      </w:pPr>
      <w:r>
        <w:rPr>
          <w:lang w:val="en_US" w:bidi="en_US"/>
        </w:rPr>
      </w:r>
      <w:r>
        <w:rPr>
          <w:lang w:val="en_US" w:bidi="en_US"/>
        </w:rPr>
        <w:t xml:space="preserve">for the deaths of all the prophets </w:t>
      </w:r>
      <w:r>
        <w:rPr>
          <w:lang w:val="en_US" w:bidi="en_US"/>
        </w:rPr>
        <w:t>that your</w:t>
      </w:r>
      <w:r>
        <w:rPr>
          <w:vertAlign w:val="superscript"/>
          <w:lang w:val="en_US" w:bidi="en_US"/>
        </w:rPr>
        <w:t>(plur)</w:t>
      </w:r>
      <w:r>
        <w:rPr>
          <w:lang w:val="en_US" w:bidi="en_US"/>
        </w:rPr>
        <w:t xml:space="preserve"> </w:t>
      </w:r>
      <w:r>
        <w:rPr>
          <w:lang w:val="en_US" w:bidi="en_US"/>
        </w:rPr>
        <w:t>ancestors</w:t>
      </w:r>
      <w:r>
        <w:rPr>
          <w:lang w:val="en_US" w:bidi="en_US"/>
        </w:rPr>
        <w:t xml:space="preserve"> martyred/murdered</w:t>
      </w:r>
    </w:p>
    <w:p>
      <w:pPr/>
      <w:r>
        <w:rPr>
          <w:lang w:val="en_US" w:bidi="en_US"/>
        </w:rPr>
      </w:r>
      <w:r>
        <w:rPr>
          <w:b/>
          <w:lang w:val="en_US" w:bidi="en_US"/>
        </w:rPr>
        <w:t>with the blood of all the prophets that has been shed:</w:t>
      </w:r>
      <w:r>
        <w:rPr>
          <w:lang w:val="en_US" w:bidi="en_US"/>
        </w:rPr>
        <w:t xml:space="preserve"> In this context </w:t>
      </w:r>
      <w:r>
        <w:rPr>
          <w:i/>
          <w:lang w:val="en_US" w:bidi="en_US"/>
        </w:rPr>
        <w:t>blood</w:t>
      </w:r>
      <w:r>
        <w:rPr>
          <w:lang w:val="en_US" w:bidi="en_US"/>
        </w:rPr>
        <w:t xml:space="preserve"> is a figure of speech that refers to a violent death. Jewish people </w:t>
      </w:r>
      <w:r>
        <w:rPr>
          <w:i/>
          <w:lang w:val="en_US" w:bidi="en_US"/>
        </w:rPr>
        <w:t>shed</w:t>
      </w:r>
      <w:r>
        <w:rPr>
          <w:lang w:val="en_US" w:bidi="en_US"/>
        </w:rPr>
        <w:t xml:space="preserve"> (or spilled, or poured out) </w:t>
      </w:r>
      <w:r>
        <w:rPr>
          <w:i/>
          <w:lang w:val="en_US" w:bidi="en_US"/>
        </w:rPr>
        <w:t>the blood</w:t>
      </w:r>
      <w:r>
        <w:rPr>
          <w:lang w:val="en_US" w:bidi="en_US"/>
        </w:rPr>
        <w:t xml:space="preserve"> of the prophets when they killed them. God was going to punish the Jewish people of Jesus’ generation for these murders.</w:t>
      </w:r>
    </w:p>
    <w:p>
      <w:pPr/>
      <w:r>
        <w:rPr>
          <w:lang w:val="en_US" w:bidi="en_US"/>
        </w:rPr>
      </w:r>
      <w:r>
        <w:rPr>
          <w:lang w:val="en_US" w:bidi="en_US"/>
        </w:rPr>
        <w:t xml:space="preserve">If you need to supply a subject and say who </w:t>
      </w:r>
      <w:r>
        <w:rPr>
          <w:i/>
          <w:lang w:val="en_US" w:bidi="en_US"/>
        </w:rPr>
        <w:t>shed</w:t>
      </w:r>
      <w:r>
        <w:rPr>
          <w:lang w:val="en_US" w:bidi="en_US"/>
        </w:rPr>
        <w:t xml:space="preserve"> their </w:t>
      </w:r>
      <w:r>
        <w:rPr>
          <w:i/>
          <w:lang w:val="en_US" w:bidi="en_US"/>
        </w:rPr>
        <w:t>blood</w:t>
      </w:r>
      <w:r>
        <w:rPr>
          <w:lang w:val="en_US" w:bidi="en_US"/>
        </w:rPr>
        <w:t>, you could supply “your ancestors.” For example:</w:t>
      </w:r>
    </w:p>
    <w:p>
      <w:pPr/>
      <w:r>
        <w:rPr>
          <w:lang w:val="en_US" w:bidi="en_US"/>
        </w:rPr>
      </w:r>
      <w:r>
        <w:rPr>
          <w:lang w:val="en_US" w:bidi="en_US"/>
        </w:rPr>
        <w:t xml:space="preserve">for the deaths of all the prophets </w:t>
      </w:r>
      <w:r>
        <w:rPr>
          <w:lang w:val="en_US" w:bidi="en_US"/>
        </w:rPr>
        <w:t>that your</w:t>
      </w:r>
      <w:r>
        <w:rPr>
          <w:vertAlign w:val="superscript"/>
          <w:lang w:val="en_US" w:bidi="en_US"/>
        </w:rPr>
        <w:t>(plur)</w:t>
      </w:r>
      <w:r>
        <w:rPr>
          <w:lang w:val="en_US" w:bidi="en_US"/>
        </w:rPr>
        <w:t xml:space="preserve"> </w:t>
      </w:r>
      <w:r>
        <w:rPr>
          <w:lang w:val="en_US" w:bidi="en_US"/>
        </w:rPr>
        <w:t>ancestors</w:t>
      </w:r>
      <w:r>
        <w:rPr>
          <w:lang w:val="en_US" w:bidi="en_US"/>
        </w:rPr>
        <w:t xml:space="preserve"> killed</w:t>
      </w:r>
    </w:p>
    <w:p>
      <w:pPr>
        <w:pStyle w:val="Heading5"/>
      </w:pPr>
      <w:r>
        <w:rPr>
          <w:lang w:val="en_US" w:bidi="en_US"/>
        </w:rPr>
        <w:t>11:50c</w:t>
      </w:r>
    </w:p>
    <w:p>
      <w:pPr/>
      <w:r>
        <w:rPr>
          <w:lang w:val="en_US" w:bidi="en_US"/>
        </w:rPr>
      </w:r>
      <w:r>
        <w:rPr>
          <w:b/>
          <w:lang w:val="en_US" w:bidi="en_US"/>
        </w:rPr>
        <w:t>since the foundation of the world,</w:t>
      </w:r>
    </w:p>
    <w:p>
      <w:pPr>
        <w:pStyle w:val="ListBullet"/>
        <w:spacing w:line="240" w:lineRule="auto"/>
        <w:ind w:left="720"/>
      </w:pPr>
      <w:r>
        <w:rPr>
          <w:lang w:val="en_US" w:bidi="en_US"/>
        </w:rPr>
      </w:r>
      <w:r>
        <w:rPr>
          <w:lang w:val="en_US" w:bidi="en_US"/>
        </w:rPr>
        <w:t>from the time the world began,</w:t>
      </w:r>
    </w:p>
    <w:p>
      <w:pPr>
        <w:pStyle w:val="ListBullet"/>
        <w:spacing w:line="240" w:lineRule="auto"/>
        <w:ind w:left="720"/>
      </w:pPr>
      <w:r>
        <w:rPr>
          <w:lang w:val="en_US" w:bidi="en_US"/>
        </w:rPr>
      </w:r>
      <w:r>
        <w:rPr>
          <w:lang w:val="en_US" w:bidi="en_US"/>
        </w:rPr>
        <w:t xml:space="preserve">from the time </w:t>
      </w:r>
      <w:r>
        <w:rPr>
          <w:lang w:val="en_US" w:bidi="en_US"/>
        </w:rPr>
        <w:t>God</w:t>
      </w:r>
      <w:r>
        <w:rPr>
          <w:lang w:val="en_US" w:bidi="en_US"/>
        </w:rPr>
        <w:t xml:space="preserve"> created the world.</w:t>
      </w:r>
    </w:p>
    <w:p>
      <w:pPr/>
      <w:r>
        <w:rPr>
          <w:lang w:val="en_US" w:bidi="en_US"/>
        </w:rPr>
      </w:r>
      <w:r>
        <w:rPr>
          <w:b/>
          <w:lang w:val="en_US" w:bidi="en_US"/>
        </w:rPr>
        <w:t>since the foundation of the world:</w:t>
      </w:r>
      <w:r>
        <w:rPr>
          <w:lang w:val="en_US" w:bidi="en_US"/>
        </w:rPr>
        <w:t xml:space="preserve"> The Greek phrase that the BSB translates as </w:t>
      </w:r>
      <w:r>
        <w:rPr>
          <w:i/>
          <w:lang w:val="en_US" w:bidi="en_US"/>
        </w:rPr>
        <w:t>the foundation of the world</w:t>
      </w:r>
      <w:r>
        <w:rPr>
          <w:lang w:val="en_US" w:bidi="en_US"/>
        </w:rPr>
        <w:t xml:space="preserve"> can also be translated as “the creation of the world.” In this context it refers to the time when God created the first people.</w:t>
      </w:r>
    </w:p>
    <w:p>
      <w:pPr>
        <w:pStyle w:val="Heading6"/>
      </w:pPr>
      <w:r>
        <w:rPr>
          <w:b/>
          <w:lang w:val="en_US" w:bidi="en_US"/>
        </w:rPr>
        <w:t>General Comment on 11:50a–c</w:t>
      </w:r>
    </w:p>
    <w:p>
      <w:pPr/>
      <w:r>
        <w:rPr>
          <w:lang w:val="en_US" w:bidi="en_US"/>
        </w:rPr>
      </w:r>
      <w:r>
        <w:rPr>
          <w:lang w:val="en_US" w:bidi="en_US"/>
        </w:rPr>
        <w:t>In some languages, it will be more natural to change the order of certain parts of 11:50. For example:</w:t>
      </w:r>
    </w:p>
    <w:p>
      <w:pPr/>
      <w:r>
        <w:rPr>
          <w:lang w:val="en_US" w:bidi="en_US"/>
        </w:rPr>
      </w:r>
      <w:r>
        <w:rPr>
          <w:vertAlign w:val="superscript"/>
          <w:lang w:val="en_US" w:bidi="en_US"/>
        </w:rPr>
        <w:t>50c</w:t>
      </w:r>
      <w:r>
        <w:rPr>
          <w:lang w:val="en_US" w:bidi="en_US"/>
        </w:rPr>
        <w:t xml:space="preserve">From the creation of the world, </w:t>
      </w:r>
      <w:r>
        <w:rPr>
          <w:vertAlign w:val="superscript"/>
          <w:lang w:val="en_US" w:bidi="en_US"/>
        </w:rPr>
        <w:t>50b</w:t>
      </w:r>
      <w:r>
        <w:rPr>
          <w:lang w:val="en_US" w:bidi="en_US"/>
        </w:rPr>
        <w:t xml:space="preserve">the blood of the prophets has been shed. </w:t>
      </w:r>
      <w:r>
        <w:rPr>
          <w:vertAlign w:val="superscript"/>
          <w:lang w:val="en_US" w:bidi="en_US"/>
        </w:rPr>
        <w:t>50a</w:t>
      </w:r>
      <w:r>
        <w:rPr>
          <w:lang w:val="en_US" w:bidi="en_US"/>
        </w:rPr>
        <w:t>This generation will be held responsible for these deaths.</w:t>
      </w:r>
    </w:p>
    <w:p>
      <w:pPr/>
      <w:r>
        <w:rPr>
          <w:lang w:val="en_US" w:bidi="en_US"/>
        </w:rPr>
      </w:r>
      <w:r>
        <w:rPr>
          <w:vertAlign w:val="superscript"/>
          <w:lang w:val="en_US" w:bidi="en_US"/>
        </w:rPr>
        <w:t>50c</w:t>
      </w:r>
      <w:r>
        <w:rPr>
          <w:lang w:val="en_US" w:bidi="en_US"/>
        </w:rPr>
        <w:t xml:space="preserve">From the time God created the world, </w:t>
      </w:r>
      <w:r>
        <w:rPr>
          <w:vertAlign w:val="superscript"/>
          <w:lang w:val="en_US" w:bidi="en_US"/>
        </w:rPr>
        <w:t>50b</w:t>
      </w:r>
      <w:r>
        <w:rPr>
          <w:lang w:val="en_US" w:bidi="en_US"/>
        </w:rPr>
        <w:t xml:space="preserve">your ancestors have killed the prophets. </w:t>
      </w:r>
      <w:r>
        <w:rPr>
          <w:vertAlign w:val="superscript"/>
          <w:lang w:val="en_US" w:bidi="en_US"/>
        </w:rPr>
        <w:t>50a</w:t>
      </w:r>
      <w:r>
        <w:rPr>
          <w:lang w:val="en_US" w:bidi="en_US"/>
        </w:rPr>
        <w:t>You people of today will be held responsible for their/these deaths.</w:t>
      </w:r>
      <w:r>
        <w:rPr>
          <w:lang w:val="en_US" w:bidi="en_US"/>
        </w:rPr>
      </w:r>
      <w:r>
        <w:rPr>
          <w:lang w:val="en_US" w:bidi="en_US"/>
        </w:rPr>
      </w:r>
    </w:p>
    <w:p>
      <w:pPr/>
      <w:r>
        <w:rPr>
          <w:lang w:val="en_US" w:bidi="en_US"/>
        </w:rPr>
      </w:r>
    </w:p>
    <w:p>
      <w:pPr>
        <w:pStyle w:val="Heading2"/>
      </w:pPr>
      <w:r>
        <w:rPr>
          <w:lang w:val="en_US" w:bidi="en_US"/>
        </w:rPr>
        <w:t>Luke 11:51</w:t>
      </w:r>
      <w:r>
        <w:rPr>
          <w:lang w:val="en_US" w:bidi="en_US"/>
        </w:rPr>
      </w:r>
    </w:p>
    <w:p>
      <w:pPr>
        <w:pStyle w:val="Heading4"/>
      </w:pPr>
      <w:r>
        <w:rPr>
          <w:lang w:val="en_US" w:bidi="en_US"/>
        </w:rPr>
        <w:t>Section 11:37–54: Jesus criticized the Pharisees and the teachers of the law</w:t>
      </w:r>
    </w:p>
    <w:p>
      <w:pPr/>
      <w:r>
        <w:rPr>
          <w:lang w:val="en_US" w:bidi="en_US"/>
        </w:rPr>
      </w:r>
      <w:r>
        <w:rPr>
          <w:lang w:val="en_US" w:bidi="en_US"/>
        </w:rP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pPr/>
      <w:r>
        <w:rPr>
          <w:lang w:val="en_US" w:bidi="en_US"/>
        </w:rPr>
      </w:r>
      <w:r>
        <w:rPr>
          <w:lang w:val="en_US" w:bidi="en_US"/>
        </w:rPr>
        <w:t>Some other headings for this section are:</w:t>
      </w:r>
    </w:p>
    <w:p>
      <w:pPr/>
      <w:r>
        <w:rPr>
          <w:lang w:val="en_US" w:bidi="en_US"/>
        </w:rPr>
      </w:r>
      <w:r>
        <w:rPr>
          <w:lang w:val="en_US" w:bidi="en_US"/>
        </w:rPr>
        <w:t>Jesus’ Criticism of the Religious Leaders</w:t>
      </w:r>
    </w:p>
    <w:p>
      <w:pPr/>
      <w:r>
        <w:rPr>
          <w:lang w:val="en_US" w:bidi="en_US"/>
        </w:rPr>
      </w:r>
      <w:r>
        <w:rPr>
          <w:lang w:val="en_US" w:bidi="en_US"/>
        </w:rPr>
        <w:t>There are parallel passages for this section in Matthew 23:1–36 and Mark 12:38–40.</w:t>
      </w:r>
    </w:p>
    <w:p>
      <w:pPr>
        <w:pStyle w:val="Heading5"/>
      </w:pPr>
      <w:r>
        <w:rPr>
          <w:lang w:val="en_US" w:bidi="en_US"/>
        </w:rPr>
        <w:t>11:51</w:t>
      </w:r>
    </w:p>
    <w:p>
      <w:pPr/>
      <w:r>
        <w:rPr>
          <w:lang w:val="en_US" w:bidi="en_US"/>
        </w:rPr>
      </w:r>
      <w:r>
        <w:rPr>
          <w:lang w:val="en_US" w:bidi="en_US"/>
        </w:rPr>
        <w:t>Jesus used the phrase “from the blood of Abel to the blood of Zechariah” in 11:51a to restate more specifically what he meant by the phrase “since the beginning of the world” in 11:50b.</w:t>
      </w:r>
    </w:p>
    <w:p>
      <w:pPr>
        <w:pStyle w:val="Heading5"/>
      </w:pPr>
      <w:r>
        <w:rPr>
          <w:lang w:val="en_US" w:bidi="en_US"/>
        </w:rPr>
        <w:t>11:51a</w:t>
      </w:r>
    </w:p>
    <w:p>
      <w:pPr/>
      <w:r>
        <w:rPr>
          <w:lang w:val="en_US" w:bidi="en_US"/>
        </w:rPr>
      </w:r>
      <w:r>
        <w:rPr>
          <w:b/>
          <w:lang w:val="en_US" w:bidi="en_US"/>
        </w:rPr>
        <w:t>from the blood of Abel</w:t>
      </w:r>
    </w:p>
    <w:p>
      <w:pPr>
        <w:pStyle w:val="ListBullet"/>
        <w:spacing w:line="240" w:lineRule="auto"/>
        <w:ind w:left="720"/>
      </w:pPr>
      <w:r>
        <w:rPr>
          <w:lang w:val="en_US" w:bidi="en_US"/>
        </w:rPr>
      </w:r>
      <w:r>
        <w:rPr>
          <w:lang w:val="en_US" w:bidi="en_US"/>
        </w:rPr>
        <w:t>starting</w:t>
      </w:r>
      <w:r>
        <w:rPr>
          <w:lang w:val="en_US" w:bidi="en_US"/>
        </w:rPr>
        <w:t xml:space="preserve"> from </w:t>
      </w:r>
      <w:r>
        <w:rPr>
          <w:lang w:val="en_US" w:bidi="en_US"/>
        </w:rPr>
        <w:t>the time</w:t>
      </w:r>
      <w:r>
        <w:rPr>
          <w:lang w:val="en_US" w:bidi="en_US"/>
        </w:rPr>
        <w:t xml:space="preserve"> Abel’s blood </w:t>
      </w:r>
      <w:r>
        <w:rPr>
          <w:lang w:val="en_US" w:bidi="en_US"/>
        </w:rPr>
        <w:t>was shed</w:t>
      </w:r>
    </w:p>
    <w:p>
      <w:pPr>
        <w:pStyle w:val="ListBullet"/>
        <w:spacing w:line="240" w:lineRule="auto"/>
        <w:ind w:left="720"/>
      </w:pPr>
      <w:r>
        <w:rPr>
          <w:lang w:val="en_US" w:bidi="en_US"/>
        </w:rPr>
      </w:r>
      <w:r>
        <w:rPr>
          <w:lang w:val="en_US" w:bidi="en_US"/>
        </w:rPr>
        <w:t>This period started at the time that</w:t>
      </w:r>
      <w:r>
        <w:rPr>
          <w:lang w:val="en_US" w:bidi="en_US"/>
        </w:rPr>
        <w:t xml:space="preserve"> </w:t>
      </w:r>
      <w:r>
        <w:rPr>
          <w:lang w:val="en_US" w:bidi="en_US"/>
        </w:rPr>
        <w:t>Cain</w:t>
      </w:r>
      <w:r>
        <w:rPr>
          <w:lang w:val="en_US" w:bidi="en_US"/>
        </w:rPr>
        <w:t xml:space="preserve"> murdered Abel</w:t>
      </w:r>
    </w:p>
    <w:p>
      <w:pPr/>
      <w:r>
        <w:rPr>
          <w:lang w:val="en_US" w:bidi="en_US"/>
        </w:rPr>
      </w:r>
      <w:r>
        <w:rPr>
          <w:b/>
          <w:lang w:val="en_US" w:bidi="en_US"/>
        </w:rPr>
        <w:t>from the blood of Abel:</w:t>
      </w:r>
      <w:r>
        <w:rPr>
          <w:lang w:val="en_US" w:bidi="en_US"/>
        </w:rPr>
        <w:t xml:space="preserve"> Abel was Adam’s son. Adam’s other son, Cain, murdered Abel. This phrase means “beginning with the time Cain murdered Abel.” This is the first murder recorded in the Bible (Genesis 4:8).</w:t>
      </w:r>
    </w:p>
    <w:p>
      <w:pPr/>
      <w:r>
        <w:rPr>
          <w:lang w:val="en_US" w:bidi="en_US"/>
        </w:rPr>
      </w:r>
      <w:r>
        <w:rPr>
          <w:lang w:val="en_US" w:bidi="en_US"/>
        </w:rPr>
        <w:t>Some other ways to translate this are:</w:t>
      </w:r>
    </w:p>
    <w:p>
      <w:pPr/>
      <w:r>
        <w:rPr>
          <w:lang w:val="en_US" w:bidi="en_US"/>
        </w:rPr>
      </w:r>
      <w:r>
        <w:rPr>
          <w:lang w:val="en_US" w:bidi="en_US"/>
        </w:rPr>
        <w:t>from the murder of Abel (GNT)</w:t>
      </w:r>
    </w:p>
    <w:p>
      <w:pPr/>
      <w:r>
        <w:rPr>
          <w:lang w:val="en_US" w:bidi="en_US"/>
        </w:rPr>
      </w:r>
      <w:r>
        <w:rPr>
          <w:lang w:val="en_US" w:bidi="en_US"/>
        </w:rPr>
        <w:t>beginning with the killing of Abel</w:t>
      </w:r>
    </w:p>
    <w:p>
      <w:pPr>
        <w:pStyle w:val="Heading5"/>
      </w:pPr>
      <w:r>
        <w:rPr>
          <w:lang w:val="en_US" w:bidi="en_US"/>
        </w:rPr>
        <w:t>11:51b</w:t>
      </w:r>
    </w:p>
    <w:p>
      <w:pPr/>
      <w:r>
        <w:rPr>
          <w:lang w:val="en_US" w:bidi="en_US"/>
        </w:rPr>
      </w:r>
      <w:r>
        <w:rPr>
          <w:b/>
          <w:lang w:val="en_US" w:bidi="en_US"/>
        </w:rPr>
        <w:t>to the blood of Zechariah,</w:t>
      </w:r>
    </w:p>
    <w:p>
      <w:pPr>
        <w:pStyle w:val="ListBullet"/>
        <w:spacing w:line="240" w:lineRule="auto"/>
        <w:ind w:left="720"/>
      </w:pPr>
      <w:r>
        <w:rPr>
          <w:lang w:val="en_US" w:bidi="en_US"/>
        </w:rPr>
      </w:r>
      <w:r>
        <w:rPr>
          <w:lang w:val="en_US" w:bidi="en_US"/>
        </w:rPr>
        <w:t xml:space="preserve">up until </w:t>
      </w:r>
      <w:r>
        <w:rPr>
          <w:lang w:val="en_US" w:bidi="en_US"/>
        </w:rPr>
        <w:t>the time</w:t>
      </w:r>
      <w:r>
        <w:rPr>
          <w:lang w:val="en_US" w:bidi="en_US"/>
        </w:rPr>
        <w:t xml:space="preserve"> Zechariah’s blood </w:t>
      </w:r>
      <w:r>
        <w:rPr>
          <w:lang w:val="en_US" w:bidi="en_US"/>
        </w:rPr>
        <w:t>was shed</w:t>
      </w:r>
    </w:p>
    <w:p>
      <w:pPr>
        <w:pStyle w:val="ListBullet"/>
        <w:spacing w:line="240" w:lineRule="auto"/>
        <w:ind w:left="720"/>
      </w:pPr>
      <w:r>
        <w:rPr>
          <w:lang w:val="en_US" w:bidi="en_US"/>
        </w:rPr>
      </w:r>
      <w:r>
        <w:rPr>
          <w:lang w:val="en_US" w:bidi="en_US"/>
        </w:rPr>
        <w:t>and continued</w:t>
      </w:r>
      <w:r>
        <w:rPr>
          <w:lang w:val="en_US" w:bidi="en_US"/>
        </w:rPr>
        <w:t xml:space="preserve"> until </w:t>
      </w:r>
      <w:r>
        <w:rPr>
          <w:lang w:val="en_US" w:bidi="en_US"/>
        </w:rPr>
        <w:t>the time</w:t>
      </w:r>
      <w:r>
        <w:rPr>
          <w:lang w:val="en_US" w:bidi="en_US"/>
        </w:rPr>
        <w:t xml:space="preserve"> </w:t>
      </w:r>
      <w:r>
        <w:rPr>
          <w:lang w:val="en_US" w:bidi="en_US"/>
        </w:rPr>
        <w:t>your ancestors</w:t>
      </w:r>
      <w:r>
        <w:rPr>
          <w:lang w:val="en_US" w:bidi="en_US"/>
        </w:rPr>
        <w:t xml:space="preserve"> murdered </w:t>
      </w:r>
      <w:r>
        <w:rPr>
          <w:lang w:val="en_US" w:bidi="en_US"/>
        </w:rPr>
        <w:t>the priest</w:t>
      </w:r>
      <w:r>
        <w:rPr>
          <w:lang w:val="en_US" w:bidi="en_US"/>
        </w:rPr>
        <w:t xml:space="preserve"> Zechariah.</w:t>
      </w:r>
    </w:p>
    <w:p>
      <w:pPr/>
      <w:r>
        <w:rPr>
          <w:lang w:val="en_US" w:bidi="en_US"/>
        </w:rPr>
      </w:r>
      <w:r>
        <w:rPr>
          <w:b/>
          <w:lang w:val="en_US" w:bidi="en_US"/>
        </w:rPr>
        <w:t>to the blood of Zechariah:</w:t>
      </w:r>
      <w:r>
        <w:rPr>
          <w:lang w:val="en_US" w:bidi="en_US"/>
        </w:rPr>
        <w:t xml:space="preserve"> The phrase </w:t>
      </w:r>
      <w:r>
        <w:rPr>
          <w:i/>
          <w:lang w:val="en_US" w:bidi="en_US"/>
        </w:rPr>
        <w:t>to the blood of Zechariah</w:t>
      </w:r>
      <w:r>
        <w:rPr>
          <w:lang w:val="en_US" w:bidi="en_US"/>
        </w:rPr>
        <w:t xml:space="preserve"> means “until the time they murdered Zechariah.” It includes all the time between Abel and Zechariah, and all the righteous people who were murdered or martyred during that time.</w:t>
      </w:r>
    </w:p>
    <w:p>
      <w:pPr/>
      <w:r>
        <w:rPr>
          <w:lang w:val="en_US" w:bidi="en_US"/>
        </w:rPr>
      </w:r>
      <w:r>
        <w:rPr>
          <w:lang w:val="en_US" w:bidi="en_US"/>
        </w:rPr>
        <w:t>It may be helpful to add a footnote that explains why Jesus mentioned Abel and Zechariah. For example:</w:t>
      </w:r>
    </w:p>
    <w:p>
      <w:pPr/>
      <w:r>
        <w:rPr>
          <w:lang w:val="en_US" w:bidi="en_US"/>
        </w:rPr>
      </w:r>
      <w:r>
        <w:rPr>
          <w:lang w:val="en_US" w:bidi="en_US"/>
        </w:rPr>
        <w:t>Abel was the first person murdered in the Old Testament (Genesis 4:8), and Zechariah was the last (2 Chronicles 24:20–22). (The Hebrew Bible orders the book of Chronicles last.) (TRT)</w:t>
      </w:r>
    </w:p>
    <w:p>
      <w:pPr/>
      <w:r>
        <w:rPr>
          <w:lang w:val="en_US" w:bidi="en_US"/>
        </w:rPr>
      </w:r>
      <w:r>
        <w:rPr>
          <w:b/>
          <w:lang w:val="en_US" w:bidi="en_US"/>
        </w:rPr>
        <w:t>Zechariah:</w:t>
      </w:r>
      <w:r>
        <w:rPr>
          <w:lang w:val="en_US" w:bidi="en_US"/>
        </w:rPr>
        <w:t xml:space="preserve"> Jesus was probably referring to the man </w:t>
      </w:r>
      <w:r>
        <w:rPr>
          <w:i/>
          <w:lang w:val="en_US" w:bidi="en_US"/>
        </w:rPr>
        <w:t>Zechariah</w:t>
      </w:r>
      <w:r>
        <w:rPr>
          <w:lang w:val="en_US" w:bidi="en_US"/>
        </w:rPr>
        <w:t xml:space="preserve"> who is mentioned in 2 Chronicles 24:20–22. He was a priest who lived long ago and was killed because he declared God’s word.</w:t>
      </w:r>
    </w:p>
    <w:p>
      <w:pPr>
        <w:pStyle w:val="Heading5"/>
      </w:pPr>
      <w:r>
        <w:rPr>
          <w:lang w:val="en_US" w:bidi="en_US"/>
        </w:rPr>
        <w:t>11:51c</w:t>
      </w:r>
    </w:p>
    <w:p>
      <w:pPr/>
      <w:r>
        <w:rPr>
          <w:lang w:val="en_US" w:bidi="en_US"/>
        </w:rPr>
      </w:r>
      <w:r>
        <w:rPr>
          <w:b/>
          <w:lang w:val="en_US" w:bidi="en_US"/>
        </w:rPr>
        <w:t>who was killed between the altar and the sanctuary.</w:t>
      </w:r>
    </w:p>
    <w:p>
      <w:pPr>
        <w:pStyle w:val="ListBullet"/>
        <w:spacing w:line="240" w:lineRule="auto"/>
        <w:ind w:left="720"/>
      </w:pPr>
      <w:r>
        <w:rPr>
          <w:lang w:val="en_US" w:bidi="en_US"/>
        </w:rPr>
      </w:r>
      <w:r>
        <w:rPr>
          <w:lang w:val="en_US" w:bidi="en_US"/>
        </w:rPr>
        <w:t xml:space="preserve">between the altar and the temple </w:t>
      </w:r>
      <w:r>
        <w:rPr>
          <w:lang w:val="en_US" w:bidi="en_US"/>
        </w:rPr>
        <w:t>house/building</w:t>
      </w:r>
      <w:r>
        <w:rPr>
          <w:lang w:val="en_US" w:bidi="en_US"/>
        </w:rPr>
        <w:t>.</w:t>
      </w:r>
    </w:p>
    <w:p>
      <w:pPr>
        <w:pStyle w:val="ListBullet"/>
        <w:spacing w:line="240" w:lineRule="auto"/>
        <w:ind w:left="720"/>
      </w:pPr>
      <w:r>
        <w:rPr>
          <w:lang w:val="en_US" w:bidi="en_US"/>
        </w:rPr>
      </w:r>
      <w:r>
        <w:rPr>
          <w:lang w:val="en_US" w:bidi="en_US"/>
        </w:rPr>
        <w:t>He was the one</w:t>
      </w:r>
      <w:r>
        <w:rPr>
          <w:lang w:val="en_US" w:bidi="en_US"/>
        </w:rPr>
        <w:t xml:space="preserve"> who was killed </w:t>
      </w:r>
      <w:r>
        <w:rPr>
          <w:lang w:val="en_US" w:bidi="en_US"/>
        </w:rPr>
        <w:t>in the area/courtyard</w:t>
      </w:r>
      <w:r>
        <w:rPr>
          <w:lang w:val="en_US" w:bidi="en_US"/>
        </w:rPr>
        <w:t xml:space="preserve"> between the altar and the temple </w:t>
      </w:r>
      <w:r>
        <w:rPr>
          <w:lang w:val="en_US" w:bidi="en_US"/>
        </w:rPr>
        <w:t>building</w:t>
      </w:r>
      <w:r>
        <w:rPr>
          <w:lang w:val="en_US" w:bidi="en_US"/>
        </w:rPr>
        <w:t>.</w:t>
      </w:r>
    </w:p>
    <w:p>
      <w:pPr/>
      <w:r>
        <w:rPr>
          <w:lang w:val="en_US" w:bidi="en_US"/>
        </w:rPr>
      </w:r>
      <w:r>
        <w:rPr>
          <w:b/>
          <w:lang w:val="en_US" w:bidi="en_US"/>
        </w:rPr>
        <w:t>who was killed:</w:t>
      </w:r>
      <w:r>
        <w:rPr>
          <w:lang w:val="en_US" w:bidi="en_US"/>
        </w:rPr>
        <w:t xml:space="preserve"> The Greek verb that the BSB translates as </w:t>
      </w:r>
      <w:r>
        <w:rPr>
          <w:i/>
          <w:lang w:val="en_US" w:bidi="en_US"/>
        </w:rPr>
        <w:t>who was killed</w:t>
      </w:r>
      <w:r>
        <w:rPr>
          <w:lang w:val="en_US" w:bidi="en_US"/>
        </w:rPr>
        <w:t xml:space="preserve"> is a passive verb. Some ways to translate this verb are:</w:t>
      </w:r>
    </w:p>
    <w:p>
      <w:pPr>
        <w:pStyle w:val="ListBullet"/>
        <w:spacing w:line="240" w:lineRule="auto"/>
        <w:ind w:left="720"/>
      </w:pPr>
      <w:r>
        <w:rPr>
          <w:lang w:val="en_US" w:bidi="en_US"/>
        </w:rPr>
      </w:r>
      <w:r>
        <w:rPr>
          <w:lang w:val="en_US" w:bidi="en_US"/>
        </w:rPr>
        <w:t>As a passive verb. For example:</w:t>
      </w:r>
      <w:r>
        <w:rPr>
          <w:lang w:val="en_US" w:bidi="en_US"/>
        </w:rPr>
        <w:t>who was murdered</w:t>
      </w:r>
    </w:p>
    <w:p>
      <w:pPr>
        <w:pStyle w:val="ListBullet"/>
        <w:spacing w:line="240" w:lineRule="auto"/>
        <w:ind w:left="720"/>
      </w:pPr>
      <w:r>
        <w:rPr>
          <w:lang w:val="en_US" w:bidi="en_US"/>
        </w:rPr>
      </w:r>
      <w:r>
        <w:rPr>
          <w:lang w:val="en_US" w:bidi="en_US"/>
        </w:rPr>
        <w:t>As a noun. For example:</w:t>
      </w:r>
      <w:r>
        <w:rPr>
          <w:lang w:val="en_US" w:bidi="en_US"/>
        </w:rPr>
        <w:t>whose murder/death occurred</w:t>
      </w:r>
    </w:p>
    <w:p>
      <w:pPr>
        <w:pStyle w:val="ListBullet"/>
        <w:spacing w:line="240" w:lineRule="auto"/>
        <w:ind w:left="720"/>
      </w:pPr>
      <w:r>
        <w:rPr>
          <w:lang w:val="en_US" w:bidi="en_US"/>
        </w:rPr>
      </w:r>
      <w:r>
        <w:rPr>
          <w:lang w:val="en_US" w:bidi="en_US"/>
        </w:rPr>
        <w:t>As an active verb. For example:</w:t>
      </w:r>
      <w:r>
        <w:rPr>
          <w:lang w:val="en_US" w:bidi="en_US"/>
        </w:rPr>
        <w:t>whom your ancestors killed</w:t>
      </w:r>
    </w:p>
    <w:p>
      <w:pPr/>
      <w:r>
        <w:rPr>
          <w:lang w:val="en_US" w:bidi="en_US"/>
        </w:rPr>
      </w:r>
      <w:r>
        <w:rPr>
          <w:lang w:val="en_US" w:bidi="en_US"/>
        </w:rPr>
        <w:t>Translate this in a way that is natural in your language.</w:t>
      </w:r>
    </w:p>
    <w:p>
      <w:pPr/>
      <w:r>
        <w:rPr>
          <w:lang w:val="en_US" w:bidi="en_US"/>
        </w:rPr>
      </w:r>
      <w:r>
        <w:rPr>
          <w:b/>
          <w:lang w:val="en_US" w:bidi="en_US"/>
        </w:rPr>
        <w:t>between the altar and the sanctuary:</w:t>
      </w:r>
      <w:r>
        <w:rPr>
          <w:lang w:val="en_US" w:bidi="en_US"/>
        </w:rPr>
        <w:t xml:space="preserve"> The </w:t>
      </w:r>
      <w:r>
        <w:rPr>
          <w:i/>
          <w:lang w:val="en_US" w:bidi="en_US"/>
        </w:rPr>
        <w:t>altar</w:t>
      </w:r>
      <w:r>
        <w:rPr>
          <w:lang w:val="en_US" w:bidi="en_US"/>
        </w:rPr>
        <w:t xml:space="preserve"> refers to the stone altar where worshipers offered burnt offerings. It was located in the courtyard in front of the temple building.</w:t>
      </w:r>
    </w:p>
    <w:p>
      <w:pPr/>
      <w:r>
        <w:rPr>
          <w:lang w:val="en_US" w:bidi="en_US"/>
        </w:rPr>
      </w:r>
      <w:r>
        <w:rPr>
          <w:lang w:val="en_US" w:bidi="en_US"/>
        </w:rPr>
        <w:t xml:space="preserve">The Greek word that the BSB translates as </w:t>
      </w:r>
      <w:r>
        <w:rPr>
          <w:i/>
          <w:lang w:val="en_US" w:bidi="en_US"/>
        </w:rPr>
        <w:t>sanctuary</w:t>
      </w:r>
      <w:r>
        <w:rPr>
          <w:lang w:val="en_US" w:bidi="en_US"/>
        </w:rPr>
        <w:t xml:space="preserve"> is literally “house.” Here it refers to the temple building itself. Because it was the outer room of the temple (“the Holy Place”) that was closest to the altar, another way to translate this is:</w:t>
      </w:r>
    </w:p>
    <w:p>
      <w:pPr/>
      <w:r>
        <w:rPr>
          <w:lang w:val="en_US" w:bidi="en_US"/>
        </w:rPr>
      </w:r>
      <w:r>
        <w:rPr>
          <w:lang w:val="en_US" w:bidi="en_US"/>
        </w:rPr>
        <w:t>between the altar and the Holy Place (GNT)</w:t>
      </w:r>
    </w:p>
    <w:p>
      <w:pPr/>
      <w:r>
        <w:rPr>
          <w:lang w:val="en_US" w:bidi="en_US"/>
        </w:rPr>
      </w:r>
      <w:r>
        <w:rPr>
          <w:lang w:val="en_US" w:bidi="en_US"/>
        </w:rPr>
        <w:t>See temple, Meaning 2, in the Glossary.</w:t>
      </w:r>
    </w:p>
    <w:p>
      <w:pPr/>
      <w:r>
        <w:rPr>
          <w:lang w:val="en_US" w:bidi="en_US"/>
        </w:rPr>
      </w:r>
      <w:r>
        <w:rPr>
          <w:lang w:val="en_US" w:bidi="en_US"/>
        </w:rPr>
        <w:t>Some other ways to translate this location are:</w:t>
      </w:r>
    </w:p>
    <w:p>
      <w:pPr/>
      <w:r>
        <w:rPr>
          <w:lang w:val="en_US" w:bidi="en_US"/>
        </w:rPr>
      </w:r>
      <w:r>
        <w:rPr>
          <w:lang w:val="en_US" w:bidi="en_US"/>
        </w:rPr>
        <w:t>in the area</w:t>
      </w:r>
      <w:r>
        <w:rPr>
          <w:lang w:val="en_US" w:bidi="en_US"/>
        </w:rPr>
        <w:t xml:space="preserve"> between the altar and the temple </w:t>
      </w:r>
      <w:r>
        <w:rPr>
          <w:lang w:val="en_US" w:bidi="en_US"/>
        </w:rPr>
        <w:t>building</w:t>
      </w:r>
    </w:p>
    <w:p>
      <w:pPr/>
      <w:r>
        <w:rPr>
          <w:lang w:val="en_US" w:bidi="en_US"/>
        </w:rPr>
      </w:r>
      <w:r>
        <w:rPr>
          <w:lang w:val="en_US" w:bidi="en_US"/>
        </w:rPr>
        <w:t>in the temple courtyard</w:t>
      </w:r>
      <w:r>
        <w:rPr>
          <w:lang w:val="en_US" w:bidi="en_US"/>
        </w:rPr>
        <w:t xml:space="preserve"> between the </w:t>
      </w:r>
      <w:r>
        <w:rPr>
          <w:lang w:val="en_US" w:bidi="en_US"/>
        </w:rPr>
        <w:t>sacrifice</w:t>
      </w:r>
      <w:r>
        <w:rPr>
          <w:lang w:val="en_US" w:bidi="en_US"/>
        </w:rPr>
        <w:t xml:space="preserve"> altar and the temple </w:t>
      </w:r>
      <w:r>
        <w:rPr>
          <w:lang w:val="en_US" w:bidi="en_US"/>
        </w:rPr>
        <w:t>building</w:t>
      </w:r>
      <w:r>
        <w:rPr>
          <w:lang w:val="en_US" w:bidi="en_US"/>
        </w:rPr>
        <w:t xml:space="preserve"> (TRT)</w:t>
      </w:r>
    </w:p>
    <w:p>
      <w:pPr>
        <w:pStyle w:val="Heading5"/>
      </w:pPr>
      <w:r>
        <w:rPr>
          <w:lang w:val="en_US" w:bidi="en_US"/>
        </w:rPr>
        <w:t>11:51d</w:t>
      </w:r>
    </w:p>
    <w:p>
      <w:pPr/>
      <w:r>
        <w:rPr>
          <w:lang w:val="en_US" w:bidi="en_US"/>
        </w:rPr>
      </w:r>
      <w:r>
        <w:rPr>
          <w:b/>
          <w:lang w:val="en_US" w:bidi="en_US"/>
        </w:rPr>
        <w:t>Yes, I tell you, all of it will be charged to this generation.</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xml:space="preserve"> that the people living today will be declared guilty for </w:t>
      </w:r>
      <w:r>
        <w:rPr>
          <w:lang w:val="en_US" w:bidi="en_US"/>
        </w:rPr>
        <w:t>murdering all of those prophets</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will certainly punish/judge you</w:t>
      </w:r>
      <w:r>
        <w:rPr>
          <w:vertAlign w:val="superscript"/>
          <w:lang w:val="en_US" w:bidi="en_US"/>
        </w:rPr>
        <w:t>(plur)</w:t>
      </w:r>
      <w:r>
        <w:rPr>
          <w:lang w:val="en_US" w:bidi="en_US"/>
        </w:rPr>
        <w:t xml:space="preserve"> people living today because of all </w:t>
      </w:r>
      <w:r>
        <w:rPr>
          <w:lang w:val="en_US" w:bidi="en_US"/>
        </w:rPr>
        <w:t>those deaths/killings</w:t>
      </w:r>
      <w:r>
        <w:rPr>
          <w:lang w:val="en_US" w:bidi="en_US"/>
        </w:rPr>
        <w:t>.</w:t>
      </w:r>
    </w:p>
    <w:p>
      <w:pPr/>
      <w:r>
        <w:rPr>
          <w:lang w:val="en_US" w:bidi="en_US"/>
        </w:rPr>
      </w:r>
      <w:r>
        <w:rPr>
          <w:b/>
          <w:lang w:val="en_US" w:bidi="en_US"/>
        </w:rPr>
        <w:t>Yes, I tell you:</w:t>
      </w:r>
      <w:r>
        <w:rPr>
          <w:lang w:val="en_US" w:bidi="en_US"/>
        </w:rPr>
        <w:t xml:space="preserve"> The phrase </w:t>
      </w:r>
      <w:r>
        <w:rPr>
          <w:i/>
          <w:lang w:val="en_US" w:bidi="en_US"/>
        </w:rPr>
        <w:t>Yes, I tell you</w:t>
      </w:r>
      <w:r>
        <w:rPr>
          <w:lang w:val="en_US" w:bidi="en_US"/>
        </w:rPr>
        <w:t xml:space="preserve"> emphasizes what Jesus was about to say. Some other ways to translate this are:</w:t>
      </w:r>
    </w:p>
    <w:p>
      <w:pPr>
        <w:pStyle w:val="ListBullet"/>
        <w:spacing w:line="240" w:lineRule="auto"/>
        <w:ind w:left="720"/>
      </w:pPr>
      <w:r>
        <w:rPr>
          <w:lang w:val="en_US" w:bidi="en_US"/>
        </w:rPr>
      </w:r>
      <w:r>
        <w:rPr>
          <w:lang w:val="en_US" w:bidi="en_US"/>
        </w:rPr>
        <w:t>As a phrase before Jesus’ statement. For example:</w:t>
      </w:r>
      <w:r>
        <w:rPr>
          <w:lang w:val="en_US" w:bidi="en_US"/>
        </w:rPr>
        <w:t>I mean what I say</w:t>
      </w:r>
      <w:r>
        <w:rPr>
          <w:lang w:val="en_US" w:bidi="en_US"/>
        </w:rPr>
        <w:t>I am telling the truth</w:t>
      </w:r>
      <w:r>
        <w:rPr>
          <w:lang w:val="en_US" w:bidi="en_US"/>
        </w:rPr>
        <w:t>I assure you</w:t>
      </w:r>
    </w:p>
    <w:p>
      <w:pPr>
        <w:pStyle w:val="ListBullet"/>
        <w:spacing w:line="240" w:lineRule="auto"/>
        <w:ind w:left="720"/>
      </w:pPr>
      <w:r>
        <w:rPr>
          <w:lang w:val="en_US" w:bidi="en_US"/>
        </w:rPr>
      </w:r>
      <w:r>
        <w:rPr>
          <w:lang w:val="en_US" w:bidi="en_US"/>
        </w:rPr>
        <w:t>As a word within Jesus’ statement. For example:</w:t>
      </w:r>
      <w:r>
        <w:rPr>
          <w:lang w:val="en_US" w:bidi="en_US"/>
        </w:rPr>
        <w:t xml:space="preserve">You people will </w:t>
      </w:r>
      <w:r>
        <w:rPr>
          <w:u w:val="single"/>
          <w:lang w:val="en_US" w:bidi="en_US"/>
        </w:rPr>
        <w:t>certainly</w:t>
      </w:r>
      <w:r>
        <w:rPr>
          <w:lang w:val="en_US" w:bidi="en_US"/>
        </w:rPr>
        <w:t xml:space="preserve"> be punished for all of this. (CEV)</w:t>
      </w:r>
    </w:p>
    <w:p>
      <w:pPr/>
      <w:r>
        <w:rPr>
          <w:lang w:val="en_US" w:bidi="en_US"/>
        </w:rPr>
      </w:r>
      <w:r>
        <w:rPr>
          <w:lang w:val="en_US" w:bidi="en_US"/>
        </w:rPr>
        <w:t>Translate this emphasis in a way that is most natural in your language.</w:t>
      </w:r>
    </w:p>
    <w:p>
      <w:pPr/>
      <w:r>
        <w:rPr>
          <w:lang w:val="en_US" w:bidi="en_US"/>
        </w:rPr>
      </w:r>
      <w:r>
        <w:rPr>
          <w:b/>
          <w:lang w:val="en_US" w:bidi="en_US"/>
        </w:rPr>
        <w:t>all of it will be charged to this generation:</w:t>
      </w:r>
      <w:r>
        <w:rPr>
          <w:lang w:val="en_US" w:bidi="en_US"/>
        </w:rPr>
        <w:t xml:space="preserve"> Jesus repeated here in fewer words what he had already said in 11:50–51. He did this to emphasize that what he was saying was true and important. See the notes on 11:50a.</w:t>
      </w:r>
    </w:p>
    <w:p>
      <w:pPr/>
      <w:r>
        <w:rPr>
          <w:lang w:val="en_US" w:bidi="en_US"/>
        </w:rPr>
      </w:r>
      <w:r>
        <w:rPr>
          <w:b/>
          <w:lang w:val="en_US" w:bidi="en_US"/>
        </w:rPr>
        <w:t>all of it:</w:t>
      </w:r>
      <w:r>
        <w:rPr>
          <w:lang w:val="en_US" w:bidi="en_US"/>
        </w:rPr>
        <w:t xml:space="preserve"> Jesus was referring to the murders of all the prophets from the time Cain murdered Abel to the time the people murdered Zechariah.</w:t>
      </w:r>
      <w:r>
        <w:rPr>
          <w:lang w:val="en_US" w:bidi="en_US"/>
        </w:rPr>
      </w:r>
      <w:r>
        <w:rPr>
          <w:lang w:val="en_US" w:bidi="en_US"/>
        </w:rPr>
      </w:r>
    </w:p>
    <w:p>
      <w:pPr/>
      <w:r>
        <w:rPr>
          <w:lang w:val="en_US" w:bidi="en_US"/>
        </w:rPr>
      </w:r>
    </w:p>
    <w:p>
      <w:pPr>
        <w:pStyle w:val="Heading2"/>
      </w:pPr>
      <w:r>
        <w:rPr>
          <w:lang w:val="en_US" w:bidi="en_US"/>
        </w:rPr>
        <w:t>Luke 11:52</w:t>
      </w:r>
      <w:r>
        <w:rPr>
          <w:lang w:val="en_US" w:bidi="en_US"/>
        </w:rPr>
      </w:r>
    </w:p>
    <w:p>
      <w:pPr>
        <w:pStyle w:val="Heading4"/>
      </w:pPr>
      <w:r>
        <w:rPr>
          <w:lang w:val="en_US" w:bidi="en_US"/>
        </w:rPr>
        <w:t>Section 11:37–54: Jesus criticized the Pharisees and the teachers of the law</w:t>
      </w:r>
    </w:p>
    <w:p>
      <w:pPr/>
      <w:r>
        <w:rPr>
          <w:lang w:val="en_US" w:bidi="en_US"/>
        </w:rPr>
      </w:r>
      <w:r>
        <w:rPr>
          <w:lang w:val="en_US" w:bidi="en_US"/>
        </w:rP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pPr/>
      <w:r>
        <w:rPr>
          <w:lang w:val="en_US" w:bidi="en_US"/>
        </w:rPr>
      </w:r>
      <w:r>
        <w:rPr>
          <w:lang w:val="en_US" w:bidi="en_US"/>
        </w:rPr>
        <w:t>Some other headings for this section are:</w:t>
      </w:r>
    </w:p>
    <w:p>
      <w:pPr/>
      <w:r>
        <w:rPr>
          <w:lang w:val="en_US" w:bidi="en_US"/>
        </w:rPr>
      </w:r>
      <w:r>
        <w:rPr>
          <w:lang w:val="en_US" w:bidi="en_US"/>
        </w:rPr>
        <w:t>Jesus’ Criticism of the Religious Leaders</w:t>
      </w:r>
    </w:p>
    <w:p>
      <w:pPr/>
      <w:r>
        <w:rPr>
          <w:lang w:val="en_US" w:bidi="en_US"/>
        </w:rPr>
      </w:r>
      <w:r>
        <w:rPr>
          <w:lang w:val="en_US" w:bidi="en_US"/>
        </w:rPr>
        <w:t>There are parallel passages for this section in Matthew 23:1–36 and Mark 12:38–40.</w:t>
      </w:r>
    </w:p>
    <w:p>
      <w:pPr>
        <w:pStyle w:val="Heading5"/>
      </w:pPr>
      <w:r>
        <w:rPr>
          <w:lang w:val="en_US" w:bidi="en_US"/>
        </w:rPr>
        <w:t>11:52a</w:t>
      </w:r>
    </w:p>
    <w:p>
      <w:pPr/>
      <w:r>
        <w:rPr>
          <w:lang w:val="en_US" w:bidi="en_US"/>
        </w:rPr>
      </w:r>
      <w:r>
        <w:rPr>
          <w:b/>
          <w:lang w:val="en_US" w:bidi="en_US"/>
        </w:rPr>
        <w:t>Woe to you experts in the law!</w:t>
      </w:r>
    </w:p>
    <w:p>
      <w:pPr>
        <w:pStyle w:val="ListBullet"/>
        <w:spacing w:line="240" w:lineRule="auto"/>
        <w:ind w:left="720"/>
      </w:pPr>
      <w:r>
        <w:rPr>
          <w:lang w:val="en_US" w:bidi="en_US"/>
        </w:rPr>
      </w:r>
      <w:r>
        <w:rPr>
          <w:lang w:val="en_US" w:bidi="en_US"/>
        </w:rPr>
        <w:t>How bad/terrible it will be for you</w:t>
      </w:r>
      <w:r>
        <w:rPr>
          <w:vertAlign w:val="superscript"/>
          <w:lang w:val="en_US" w:bidi="en_US"/>
        </w:rPr>
        <w:t>(plur)</w:t>
      </w:r>
      <w:r>
        <w:rPr>
          <w:lang w:val="en_US" w:bidi="en_US"/>
        </w:rPr>
        <w:t xml:space="preserve"> experts in the law,</w:t>
      </w:r>
    </w:p>
    <w:p>
      <w:pPr>
        <w:pStyle w:val="ListBullet"/>
        <w:spacing w:line="240" w:lineRule="auto"/>
        <w:ind w:left="720"/>
      </w:pPr>
      <w:r>
        <w:rPr>
          <w:lang w:val="en_US" w:bidi="en_US"/>
        </w:rPr>
      </w:r>
      <w:r>
        <w:rPr>
          <w:lang w:val="en_US" w:bidi="en_US"/>
        </w:rPr>
        <w:t>How sad/awful! God will severely punish you</w:t>
      </w:r>
      <w:r>
        <w:rPr>
          <w:vertAlign w:val="superscript"/>
          <w:lang w:val="en_US" w:bidi="en_US"/>
        </w:rPr>
        <w:t>(plur)</w:t>
      </w:r>
      <w:r>
        <w:rPr>
          <w:lang w:val="en_US" w:bidi="en_US"/>
        </w:rPr>
        <w:t xml:space="preserve"> who teach the law </w:t>
      </w:r>
      <w:r>
        <w:rPr>
          <w:lang w:val="en_US" w:bidi="en_US"/>
        </w:rPr>
        <w:t>of Moses</w:t>
      </w:r>
      <w:r>
        <w:rPr>
          <w:lang w:val="en_US" w:bidi="en_US"/>
        </w:rPr>
        <w:t>,</w:t>
      </w:r>
    </w:p>
    <w:p>
      <w:pPr/>
      <w:r>
        <w:rPr>
          <w:lang w:val="en_US" w:bidi="en_US"/>
        </w:rPr>
      </w:r>
      <w:r>
        <w:rPr>
          <w:b/>
          <w:lang w:val="en_US" w:bidi="en_US"/>
        </w:rPr>
        <w:t>Woe:</w:t>
      </w:r>
      <w:r>
        <w:rPr>
          <w:lang w:val="en_US" w:bidi="en_US"/>
        </w:rPr>
        <w:t xml:space="preserve"> This word is the same word as in 11:43a.</w:t>
      </w:r>
    </w:p>
    <w:p>
      <w:pPr/>
      <w:r>
        <w:rPr>
          <w:lang w:val="en_US" w:bidi="en_US"/>
        </w:rPr>
      </w:r>
      <w:r>
        <w:rPr>
          <w:b/>
          <w:lang w:val="en_US" w:bidi="en_US"/>
        </w:rPr>
        <w:t>to you experts in the law!:</w:t>
      </w:r>
      <w:r>
        <w:rPr>
          <w:lang w:val="en_US" w:bidi="en_US"/>
        </w:rPr>
        <w:t xml:space="preserve"> The Greek word that the BSB translates as </w:t>
      </w:r>
      <w:r>
        <w:rPr>
          <w:i/>
          <w:lang w:val="en_US" w:bidi="en_US"/>
        </w:rPr>
        <w:t>experts in the law</w:t>
      </w:r>
      <w:r>
        <w:rPr>
          <w:lang w:val="en_US" w:bidi="en_US"/>
        </w:rPr>
        <w:t xml:space="preserve"> is the same word as in 10:25a and 11:45a. See expert in the law in the Glossary.</w:t>
      </w:r>
    </w:p>
    <w:p>
      <w:pPr>
        <w:pStyle w:val="Heading5"/>
      </w:pPr>
      <w:r>
        <w:rPr>
          <w:lang w:val="en_US" w:bidi="en_US"/>
        </w:rPr>
        <w:t>11:52b</w:t>
      </w:r>
    </w:p>
    <w:p>
      <w:pPr/>
      <w:r>
        <w:rPr>
          <w:lang w:val="en_US" w:bidi="en_US"/>
        </w:rPr>
      </w:r>
      <w:r>
        <w:rPr>
          <w:b/>
          <w:lang w:val="en_US" w:bidi="en_US"/>
        </w:rPr>
        <w:t>For you have taken away the key to knowledge.</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have taken the key </w:t>
      </w:r>
      <w:r>
        <w:rPr>
          <w:lang w:val="en_US" w:bidi="en_US"/>
        </w:rPr>
        <w:t>that would unlock the door</w:t>
      </w:r>
      <w:r>
        <w:rPr>
          <w:lang w:val="en_US" w:bidi="en_US"/>
        </w:rPr>
        <w:t xml:space="preserve"> to knowing </w:t>
      </w:r>
      <w:r>
        <w:rPr>
          <w:lang w:val="en_US" w:bidi="en_US"/>
        </w:rPr>
        <w:t>God</w:t>
      </w:r>
      <w:r>
        <w:rPr>
          <w:lang w:val="en_US" w:bidi="en_US"/>
        </w:rPr>
        <w:t>.</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have taken away </w:t>
      </w:r>
      <w:r>
        <w:rPr>
          <w:lang w:val="en_US" w:bidi="en_US"/>
        </w:rPr>
        <w:t>from the people</w:t>
      </w:r>
      <w:r>
        <w:rPr>
          <w:lang w:val="en_US" w:bidi="en_US"/>
        </w:rPr>
        <w:t xml:space="preserve"> the way to know </w:t>
      </w:r>
      <w:r>
        <w:rPr>
          <w:lang w:val="en_US" w:bidi="en_US"/>
        </w:rPr>
        <w:t>God</w:t>
      </w:r>
      <w:r>
        <w:rPr>
          <w:lang w:val="en_US" w:bidi="en_US"/>
        </w:rPr>
        <w:t>.</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have blocked/hidden the way to know </w:t>
      </w:r>
      <w:r>
        <w:rPr>
          <w:lang w:val="en_US" w:bidi="en_US"/>
        </w:rPr>
        <w:t>God</w:t>
      </w:r>
      <w:r>
        <w:rPr>
          <w:lang w:val="en_US" w:bidi="en_US"/>
        </w:rPr>
        <w:t>.</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have hindered/prevented </w:t>
      </w:r>
      <w:r>
        <w:rPr>
          <w:lang w:val="en_US" w:bidi="en_US"/>
        </w:rPr>
        <w:t>people</w:t>
      </w:r>
      <w:r>
        <w:rPr>
          <w:lang w:val="en_US" w:bidi="en_US"/>
        </w:rPr>
        <w:t xml:space="preserve"> from knowing </w:t>
      </w:r>
      <w:r>
        <w:rPr>
          <w:lang w:val="en_US" w:bidi="en_US"/>
        </w:rPr>
        <w:t>God</w:t>
      </w:r>
      <w:r>
        <w:rPr>
          <w:lang w:val="en_US" w:bidi="en_US"/>
        </w:rPr>
        <w:t>.</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introduces a third reason why God would punish the experts in the law.</w:t>
      </w:r>
    </w:p>
    <w:p>
      <w:pPr/>
      <w:r>
        <w:rPr>
          <w:lang w:val="en_US" w:bidi="en_US"/>
        </w:rPr>
      </w:r>
      <w:r>
        <w:rPr>
          <w:b/>
          <w:lang w:val="en_US" w:bidi="en_US"/>
        </w:rPr>
        <w:t>you have taken away the key to knowledge:</w:t>
      </w:r>
      <w:r>
        <w:rPr>
          <w:lang w:val="en_US" w:bidi="en_US"/>
        </w:rPr>
        <w:t xml:space="preserve"> This is a metaphor. It compares knowledge to a house whose door is locked. This door can only be opened by a certain key. That key represents the way to knowing God.</w:t>
      </w:r>
    </w:p>
    <w:p>
      <w:pPr/>
      <w:r>
        <w:rPr>
          <w:lang w:val="en_US" w:bidi="en_US"/>
        </w:rPr>
      </w:r>
      <w:r>
        <w:rPr>
          <w:lang w:val="en_US" w:bidi="en_US"/>
        </w:rPr>
        <w:t>The Jewish religious leaders had taken this key away from the people, that is, they had prevented the people from knowing God.</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Keep the metaphor and explain that the function of the key is to unlock or open the door. For example:</w:t>
      </w:r>
      <w:r>
        <w:rPr>
          <w:lang w:val="en_US" w:bidi="en_US"/>
        </w:rPr>
        <w:t>You have kept the key that opens the door to the house of knowledge (GNT)</w:t>
      </w:r>
      <w:r>
        <w:rPr>
          <w:lang w:val="en_US" w:bidi="en_US"/>
        </w:rPr>
        <w:t>You have taken away the key to learning about God. (NCV)</w:t>
      </w:r>
    </w:p>
    <w:p>
      <w:pPr>
        <w:pStyle w:val="ListBullet"/>
        <w:spacing w:line="240" w:lineRule="auto"/>
        <w:ind w:left="720"/>
      </w:pPr>
      <w:r>
        <w:rPr>
          <w:lang w:val="en_US" w:bidi="en_US"/>
        </w:rPr>
      </w:r>
      <w:r>
        <w:rPr>
          <w:lang w:val="en_US" w:bidi="en_US"/>
        </w:rPr>
        <w:t>Change the metaphor to a simile. For example:</w:t>
      </w:r>
      <w:r>
        <w:rPr>
          <w:lang w:val="en_US" w:bidi="en_US"/>
        </w:rPr>
        <w:t>You have removed what is like a key that opens the way for people to learn about God</w:t>
      </w:r>
    </w:p>
    <w:p>
      <w:pPr>
        <w:pStyle w:val="ListBullet"/>
        <w:spacing w:line="240" w:lineRule="auto"/>
        <w:ind w:left="720"/>
      </w:pPr>
      <w:r>
        <w:rPr>
          <w:lang w:val="en_US" w:bidi="en_US"/>
        </w:rPr>
      </w:r>
      <w:r>
        <w:rPr>
          <w:lang w:val="en_US" w:bidi="en_US"/>
        </w:rPr>
        <w:t>If the image of a key is unknown in your area, you may change the metaphor slightly. For example:</w:t>
      </w:r>
      <w:r>
        <w:rPr>
          <w:lang w:val="en_US" w:bidi="en_US"/>
        </w:rPr>
        <w:t>You have shut the door that leads to knowing God.</w:t>
      </w:r>
      <w:r>
        <w:rPr>
          <w:lang w:val="en_US" w:bidi="en_US"/>
        </w:rPr>
        <w:t>You have blocked the way for people to know God.</w:t>
      </w:r>
    </w:p>
    <w:p>
      <w:pPr>
        <w:pStyle w:val="ListBullet"/>
        <w:spacing w:line="240" w:lineRule="auto"/>
        <w:ind w:left="720"/>
      </w:pPr>
      <w:r>
        <w:rPr>
          <w:lang w:val="en_US" w:bidi="en_US"/>
        </w:rPr>
      </w:r>
      <w:r>
        <w:rPr>
          <w:lang w:val="en_US" w:bidi="en_US"/>
        </w:rPr>
        <w:t>Translate the direct meaning. For example:</w:t>
      </w:r>
      <w:r>
        <w:rPr>
          <w:lang w:val="en_US" w:bidi="en_US"/>
        </w:rPr>
        <w:t>You have hindered/prevented people from knowing God.</w:t>
      </w:r>
    </w:p>
    <w:p>
      <w:pPr/>
      <w:r>
        <w:rPr>
          <w:lang w:val="en_US" w:bidi="en_US"/>
        </w:rPr>
      </w:r>
      <w:r>
        <w:rPr>
          <w:lang w:val="en_US" w:bidi="en_US"/>
        </w:rPr>
        <w:t>Translate this metaphor in a way that is natural in your language.</w:t>
      </w:r>
    </w:p>
    <w:p>
      <w:pPr/>
      <w:r>
        <w:rPr>
          <w:lang w:val="en_US" w:bidi="en_US"/>
        </w:rPr>
      </w:r>
      <w:r>
        <w:rPr>
          <w:b/>
          <w:lang w:val="en_US" w:bidi="en_US"/>
        </w:rPr>
        <w:t>knowledge:</w:t>
      </w:r>
      <w:r>
        <w:rPr>
          <w:lang w:val="en_US" w:bidi="en_US"/>
        </w:rPr>
        <w:t xml:space="preserve"> The word </w:t>
      </w:r>
      <w:r>
        <w:rPr>
          <w:i/>
          <w:lang w:val="en_US" w:bidi="en_US"/>
        </w:rPr>
        <w:t>knowledge</w:t>
      </w:r>
      <w:r>
        <w:rPr>
          <w:lang w:val="en_US" w:bidi="en_US"/>
        </w:rPr>
        <w:t xml:space="preserve"> refers to knowing God. In particular, it refers to knowing how God saves people. For example:</w:t>
      </w:r>
    </w:p>
    <w:p>
      <w:pPr/>
      <w:r>
        <w:rPr>
          <w:lang w:val="en_US" w:bidi="en_US"/>
        </w:rPr>
      </w:r>
      <w:r>
        <w:rPr>
          <w:lang w:val="en_US" w:bidi="en_US"/>
        </w:rPr>
        <w:t>knowledge about God (CEV)</w:t>
      </w:r>
    </w:p>
    <w:p>
      <w:pPr/>
      <w:r>
        <w:rPr>
          <w:lang w:val="en_US" w:bidi="en_US"/>
        </w:rPr>
      </w:r>
      <w:r>
        <w:rPr>
          <w:lang w:val="en_US" w:bidi="en_US"/>
        </w:rPr>
        <w:t>learning about God (NCV)</w:t>
      </w:r>
    </w:p>
    <w:p>
      <w:pPr>
        <w:pStyle w:val="Heading5"/>
      </w:pPr>
      <w:r>
        <w:rPr>
          <w:lang w:val="en_US" w:bidi="en_US"/>
        </w:rPr>
        <w:t>11:52c</w:t>
      </w:r>
    </w:p>
    <w:p>
      <w:pPr/>
      <w:r>
        <w:rPr>
          <w:lang w:val="en_US" w:bidi="en_US"/>
        </w:rPr>
      </w:r>
      <w:r>
        <w:rPr>
          <w:b/>
          <w:lang w:val="en_US" w:bidi="en_US"/>
        </w:rPr>
        <w:t>You yourselves have not entered,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yourselves have not gone in </w:t>
      </w:r>
      <w:r>
        <w:rPr>
          <w:lang w:val="en_US" w:bidi="en_US"/>
        </w:rPr>
        <w:t>through that door</w:t>
      </w:r>
      <w:r>
        <w:rPr>
          <w:lang w:val="en_US" w:bidi="en_US"/>
        </w:rPr>
        <w:t>,</w:t>
      </w:r>
    </w:p>
    <w:p>
      <w:pPr>
        <w:pStyle w:val="ListBullet"/>
        <w:spacing w:line="240" w:lineRule="auto"/>
        <w:ind w:left="720"/>
      </w:pPr>
      <w:r>
        <w:rPr>
          <w:lang w:val="en_US" w:bidi="en_US"/>
        </w:rPr>
      </w:r>
      <w:r>
        <w:rPr>
          <w:lang w:val="en_US" w:bidi="en_US"/>
        </w:rPr>
        <w:t>Even you</w:t>
      </w:r>
      <w:r>
        <w:rPr>
          <w:vertAlign w:val="superscript"/>
          <w:lang w:val="en_US" w:bidi="en_US"/>
        </w:rPr>
        <w:t>(plur)</w:t>
      </w:r>
      <w:r>
        <w:rPr>
          <w:lang w:val="en_US" w:bidi="en_US"/>
        </w:rPr>
        <w:t xml:space="preserve"> do not know </w:t>
      </w:r>
      <w:r>
        <w:rPr>
          <w:lang w:val="en_US" w:bidi="en_US"/>
        </w:rPr>
        <w:t>God</w:t>
      </w:r>
      <w:r>
        <w:rPr>
          <w:lang w:val="en_US" w:bidi="en_US"/>
        </w:rPr>
        <w:t>,</w:t>
      </w:r>
    </w:p>
    <w:p>
      <w:pPr/>
      <w:r>
        <w:rPr>
          <w:lang w:val="en_US" w:bidi="en_US"/>
        </w:rPr>
      </w:r>
      <w:r>
        <w:rPr>
          <w:b/>
          <w:lang w:val="en_US" w:bidi="en_US"/>
        </w:rPr>
        <w:t>You yourselves have not entered:</w:t>
      </w:r>
      <w:r>
        <w:rPr>
          <w:lang w:val="en_US" w:bidi="en_US"/>
        </w:rPr>
        <w:t xml:space="preserve"> Jesus here continued the metaphor of 11:52b. He said that the experts in the religious law had not </w:t>
      </w:r>
      <w:r>
        <w:rPr>
          <w:i/>
          <w:lang w:val="en_US" w:bidi="en_US"/>
        </w:rPr>
        <w:t>entered</w:t>
      </w:r>
      <w:r>
        <w:rPr>
          <w:lang w:val="en_US" w:bidi="en_US"/>
        </w:rPr>
        <w:t xml:space="preserve"> through the door that led to knowing God. By this he meant that they themselves had never come to know God truly.</w:t>
      </w:r>
    </w:p>
    <w:p>
      <w:pPr/>
      <w:r>
        <w:rPr>
          <w:lang w:val="en_US" w:bidi="en_US"/>
        </w:rPr>
      </w:r>
      <w:r>
        <w:rPr>
          <w:lang w:val="en_US" w:bidi="en_US"/>
        </w:rPr>
        <w:t>If you have dropped the figure of “entering,” you may translate this clause as:</w:t>
      </w:r>
    </w:p>
    <w:p>
      <w:pPr/>
      <w:r>
        <w:rPr>
          <w:lang w:val="en_US" w:bidi="en_US"/>
        </w:rPr>
      </w:r>
      <w:r>
        <w:rPr>
          <w:lang w:val="en_US" w:bidi="en_US"/>
        </w:rPr>
        <w:t>You yourselves have never truly known God.</w:t>
      </w:r>
    </w:p>
    <w:p>
      <w:pPr/>
      <w:r>
        <w:rPr>
          <w:lang w:val="en_US" w:bidi="en_US"/>
        </w:rPr>
      </w:r>
      <w:r>
        <w:rPr>
          <w:b/>
          <w:lang w:val="en_US" w:bidi="en_US"/>
        </w:rPr>
        <w:t>You yourselves:</w:t>
      </w:r>
      <w:r>
        <w:rPr>
          <w:lang w:val="en_US" w:bidi="en_US"/>
        </w:rPr>
        <w:t xml:space="preserve"> In the Greek, the word </w:t>
      </w:r>
      <w:r>
        <w:rPr>
          <w:i/>
          <w:lang w:val="en_US" w:bidi="en_US"/>
        </w:rPr>
        <w:t>You</w:t>
      </w:r>
      <w:r>
        <w:rPr>
          <w:lang w:val="en_US" w:bidi="en_US"/>
        </w:rPr>
        <w:t xml:space="preserve"> is emphatic. English versions show this emphasis with the translation </w:t>
      </w:r>
      <w:r>
        <w:rPr>
          <w:i/>
          <w:lang w:val="en_US" w:bidi="en_US"/>
        </w:rPr>
        <w:t>You yourselves</w:t>
      </w:r>
      <w:r>
        <w:rPr>
          <w:lang w:val="en_US" w:bidi="en_US"/>
        </w:rPr>
        <w:t>. You should try to show this emphasis in your translation.</w:t>
      </w:r>
    </w:p>
    <w:p>
      <w:pPr>
        <w:pStyle w:val="Heading5"/>
      </w:pPr>
      <w:r>
        <w:rPr>
          <w:lang w:val="en_US" w:bidi="en_US"/>
        </w:rPr>
        <w:t>11:52d</w:t>
      </w:r>
    </w:p>
    <w:p>
      <w:pPr/>
      <w:r>
        <w:rPr>
          <w:lang w:val="en_US" w:bidi="en_US"/>
        </w:rPr>
      </w:r>
      <w:r>
        <w:rPr>
          <w:b/>
          <w:lang w:val="en_US" w:bidi="en_US"/>
        </w:rPr>
        <w:t>and you have hindered those who were entering.”</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have </w:t>
      </w:r>
      <w:r>
        <w:rPr>
          <w:lang w:val="en_US" w:bidi="en_US"/>
        </w:rPr>
        <w:t>also</w:t>
      </w:r>
      <w:r>
        <w:rPr>
          <w:lang w:val="en_US" w:bidi="en_US"/>
        </w:rPr>
        <w:t xml:space="preserve"> stopped other people who were </w:t>
      </w:r>
      <w:r>
        <w:rPr>
          <w:lang w:val="en_US" w:bidi="en_US"/>
        </w:rPr>
        <w:t>trying</w:t>
      </w:r>
      <w:r>
        <w:rPr>
          <w:lang w:val="en_US" w:bidi="en_US"/>
        </w:rPr>
        <w:t xml:space="preserve"> to enter.”</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have prevented/stopped people who </w:t>
      </w:r>
      <w:r>
        <w:rPr>
          <w:lang w:val="en_US" w:bidi="en_US"/>
        </w:rPr>
        <w:t>truly wanted</w:t>
      </w:r>
      <w:r>
        <w:rPr>
          <w:lang w:val="en_US" w:bidi="en_US"/>
        </w:rPr>
        <w:t xml:space="preserve"> to know </w:t>
      </w:r>
      <w:r>
        <w:rPr>
          <w:lang w:val="en_US" w:bidi="en_US"/>
        </w:rPr>
        <w:t>him</w:t>
      </w:r>
      <w:r>
        <w:rPr>
          <w:lang w:val="en_US" w:bidi="en_US"/>
        </w:rPr>
        <w:t xml:space="preserve"> </w:t>
      </w:r>
      <w:r>
        <w:rPr>
          <w:lang w:val="en_US" w:bidi="en_US"/>
        </w:rPr>
        <w:t>so that they were not able to know him</w:t>
      </w:r>
      <w:r>
        <w:rPr>
          <w:lang w:val="en_US" w:bidi="en_US"/>
        </w:rPr>
        <w:t>.”</w:t>
      </w:r>
    </w:p>
    <w:p>
      <w:pPr/>
      <w:r>
        <w:rPr>
          <w:lang w:val="en_US" w:bidi="en_US"/>
        </w:rPr>
      </w:r>
      <w:r>
        <w:rPr>
          <w:b/>
          <w:lang w:val="en_US" w:bidi="en_US"/>
        </w:rPr>
        <w:t>you have hindered those who were entering:</w:t>
      </w:r>
      <w:r>
        <w:rPr>
          <w:lang w:val="en_US" w:bidi="en_US"/>
        </w:rPr>
        <w:t xml:space="preserve"> In 11:52d the metaphor continues. Jesus said that the law experts had hindered the people who were trying to enter the door that led to knowing God. In other words, they were making it harder for other people to know God.</w:t>
      </w:r>
    </w:p>
    <w:p>
      <w:pPr/>
      <w:r>
        <w:rPr>
          <w:lang w:val="en_US" w:bidi="en_US"/>
        </w:rPr>
      </w:r>
      <w:r>
        <w:rPr>
          <w:b/>
          <w:lang w:val="en_US" w:bidi="en_US"/>
        </w:rPr>
        <w:t>hindered:</w:t>
      </w:r>
      <w:r>
        <w:rPr>
          <w:lang w:val="en_US" w:bidi="en_US"/>
        </w:rPr>
        <w:t xml:space="preserve"> The Greek verb that the BSB translates as hindered also means to “prevent” or “stop.”</w:t>
      </w:r>
    </w:p>
    <w:p>
      <w:pPr/>
      <w:r>
        <w:rPr>
          <w:lang w:val="en_US" w:bidi="en_US"/>
        </w:rPr>
      </w:r>
      <w:r>
        <w:rPr>
          <w:b/>
          <w:lang w:val="en_US" w:bidi="en_US"/>
        </w:rPr>
        <w:t>those who were entering:</w:t>
      </w:r>
      <w:r>
        <w:rPr>
          <w:lang w:val="en_US" w:bidi="en_US"/>
        </w:rPr>
        <w:t xml:space="preserve"> The verb phrase </w:t>
      </w:r>
      <w:r>
        <w:rPr>
          <w:i/>
          <w:lang w:val="en_US" w:bidi="en_US"/>
        </w:rPr>
        <w:t>those who were entering</w:t>
      </w:r>
      <w:r>
        <w:rPr>
          <w:lang w:val="en_US" w:bidi="en_US"/>
        </w:rPr>
        <w:t xml:space="preserve"> indicates that people “wanted to get in,” or they were “trying to get in.” For example:</w:t>
      </w:r>
    </w:p>
    <w:p>
      <w:pPr/>
      <w:r>
        <w:rPr>
          <w:lang w:val="en_US" w:bidi="en_US"/>
        </w:rPr>
      </w:r>
      <w:r>
        <w:rPr>
          <w:lang w:val="en_US" w:bidi="en_US"/>
        </w:rPr>
        <w:t>those who wanted to enter (GW)</w:t>
      </w:r>
    </w:p>
    <w:p>
      <w:pPr/>
      <w:r>
        <w:rPr>
          <w:lang w:val="en_US" w:bidi="en_US"/>
        </w:rPr>
      </w:r>
      <w:r>
        <w:rPr>
          <w:lang w:val="en_US" w:bidi="en_US"/>
        </w:rPr>
        <w:t>If you have dropped the figure of “entering,” you may translate this clause as:</w:t>
      </w:r>
    </w:p>
    <w:p>
      <w:pPr/>
      <w:r>
        <w:rPr>
          <w:lang w:val="en_US" w:bidi="en_US"/>
        </w:rPr>
      </w:r>
      <w:r>
        <w:rPr>
          <w:lang w:val="en_US" w:bidi="en_US"/>
        </w:rPr>
        <w:t>those who truly wanted to know him</w:t>
      </w:r>
      <w:r>
        <w:rPr>
          <w:lang w:val="en_US" w:bidi="en_US"/>
        </w:rPr>
      </w:r>
      <w:r>
        <w:rPr>
          <w:lang w:val="en_US" w:bidi="en_US"/>
        </w:rPr>
      </w:r>
    </w:p>
    <w:p>
      <w:pPr/>
      <w:r>
        <w:rPr>
          <w:lang w:val="en_US" w:bidi="en_US"/>
        </w:rPr>
      </w:r>
    </w:p>
    <w:p>
      <w:pPr>
        <w:pStyle w:val="Heading2"/>
      </w:pPr>
      <w:r>
        <w:rPr>
          <w:lang w:val="en_US" w:bidi="en_US"/>
        </w:rPr>
        <w:t>Luke 11:53</w:t>
      </w:r>
      <w:r>
        <w:rPr>
          <w:lang w:val="en_US" w:bidi="en_US"/>
        </w:rPr>
      </w:r>
    </w:p>
    <w:p>
      <w:pPr>
        <w:pStyle w:val="Heading4"/>
      </w:pPr>
      <w:r>
        <w:rPr>
          <w:lang w:val="en_US" w:bidi="en_US"/>
        </w:rPr>
        <w:t>Section 11:37–54: Jesus criticized the Pharisees and the teachers of the law</w:t>
      </w:r>
    </w:p>
    <w:p>
      <w:pPr/>
      <w:r>
        <w:rPr>
          <w:lang w:val="en_US" w:bidi="en_US"/>
        </w:rPr>
      </w:r>
      <w:r>
        <w:rPr>
          <w:lang w:val="en_US" w:bidi="en_US"/>
        </w:rP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pPr/>
      <w:r>
        <w:rPr>
          <w:lang w:val="en_US" w:bidi="en_US"/>
        </w:rPr>
      </w:r>
      <w:r>
        <w:rPr>
          <w:lang w:val="en_US" w:bidi="en_US"/>
        </w:rPr>
        <w:t>Some other headings for this section are:</w:t>
      </w:r>
    </w:p>
    <w:p>
      <w:pPr/>
      <w:r>
        <w:rPr>
          <w:lang w:val="en_US" w:bidi="en_US"/>
        </w:rPr>
      </w:r>
      <w:r>
        <w:rPr>
          <w:lang w:val="en_US" w:bidi="en_US"/>
        </w:rPr>
        <w:t>Jesus’ Criticism of the Religious Leaders</w:t>
      </w:r>
    </w:p>
    <w:p>
      <w:pPr/>
      <w:r>
        <w:rPr>
          <w:lang w:val="en_US" w:bidi="en_US"/>
        </w:rPr>
      </w:r>
      <w:r>
        <w:rPr>
          <w:lang w:val="en_US" w:bidi="en_US"/>
        </w:rPr>
        <w:t>There are parallel passages for this section in Matthew 23:1–36 and Mark 12:38–40.</w:t>
      </w:r>
    </w:p>
    <w:p>
      <w:pPr>
        <w:pStyle w:val="Heading5"/>
      </w:pPr>
      <w:r>
        <w:rPr>
          <w:lang w:val="en_US" w:bidi="en_US"/>
        </w:rPr>
        <w:t>11:53a</w:t>
      </w:r>
    </w:p>
    <w:p>
      <w:pPr/>
      <w:r>
        <w:rPr>
          <w:lang w:val="en_US" w:bidi="en_US"/>
        </w:rPr>
      </w:r>
      <w:r>
        <w:rPr>
          <w:b/>
          <w:lang w:val="en_US" w:bidi="en_US"/>
        </w:rPr>
        <w:t>As Jesus went on from there, the scribes and Pharisees</w:t>
      </w:r>
    </w:p>
    <w:p>
      <w:pPr>
        <w:pStyle w:val="ListBullet"/>
        <w:spacing w:line="240" w:lineRule="auto"/>
        <w:ind w:left="720"/>
      </w:pPr>
      <w:r>
        <w:rPr>
          <w:lang w:val="en_US" w:bidi="en_US"/>
        </w:rPr>
      </w:r>
      <w:r>
        <w:rPr>
          <w:lang w:val="en_US" w:bidi="en_US"/>
        </w:rPr>
        <w:t>¶ After Jesus left there, the Pharisees and the teachers of the law</w:t>
      </w:r>
    </w:p>
    <w:p>
      <w:pPr>
        <w:pStyle w:val="ListBullet"/>
        <w:spacing w:line="240" w:lineRule="auto"/>
        <w:ind w:left="720"/>
      </w:pPr>
      <w:r>
        <w:rPr>
          <w:lang w:val="en_US" w:bidi="en_US"/>
        </w:rPr>
      </w:r>
      <w:r>
        <w:rPr>
          <w:lang w:val="en_US" w:bidi="en_US"/>
        </w:rPr>
        <w:t xml:space="preserve">¶ Then Jesus left the house. </w:t>
      </w:r>
      <w:r>
        <w:rPr>
          <w:lang w:val="en_US" w:bidi="en_US"/>
        </w:rPr>
        <w:t>From that day on,</w:t>
      </w:r>
      <w:r>
        <w:rPr>
          <w:lang w:val="en_US" w:bidi="en_US"/>
        </w:rPr>
        <w:t xml:space="preserve"> the Pharisees and the experts in the law</w:t>
      </w:r>
    </w:p>
    <w:p>
      <w:pPr/>
      <w:r>
        <w:rPr>
          <w:lang w:val="en_US" w:bidi="en_US"/>
        </w:rPr>
      </w:r>
      <w:r>
        <w:rPr>
          <w:b/>
          <w:lang w:val="en_US" w:bidi="en_US"/>
        </w:rPr>
        <w:t>As Jesus went on from there:</w:t>
      </w:r>
      <w:r>
        <w:rPr>
          <w:lang w:val="en_US" w:bidi="en_US"/>
        </w:rPr>
        <w:t xml:space="preserve"> </w:t>
      </w:r>
      <w:r>
        <w:rPr>
          <w:lang w:val="en_US" w:bidi="en_US"/>
        </w:rPr>
        <w:t>There is a textual issue here. (1) Some Greek manuscripts have the words “and he having left from there.” For example, the NASB says: “When He left there.” The BSB, NIV, GNT, RSV, NJB, NET, NASB, REB, GW, CEV, JBP, and NCV follow these manuscripts. (2) Other Greek manuscripts have the words “and he saying these things to them.” For example, the NLT96 says: “As Jesus finished speaking.” The KJV and NLT follow these manuscripts. It is recommended that you follow option (1). This option has the earliest manuscript support and is followed by nearly every English version. However, if a major language version in your area follows option (2), you may want to put that option in a footnote. For more information, see Swanson, p. 220; TRT, p. 250; and Blight 2007a, p. 547.</w:t>
      </w:r>
      <w:r>
        <w:rPr>
          <w:lang w:val="en_US" w:bidi="en_US"/>
        </w:rPr>
        <w:t xml:space="preserve"> The word </w:t>
      </w:r>
      <w:r>
        <w:rPr>
          <w:i/>
          <w:lang w:val="en_US" w:bidi="en_US"/>
        </w:rPr>
        <w:t>there</w:t>
      </w:r>
      <w:r>
        <w:rPr>
          <w:lang w:val="en_US" w:bidi="en_US"/>
        </w:rPr>
        <w:t xml:space="preserve"> refers to the Pharisee’s house mentioned in 11:37. During the entire section that begins in 11:37, Jesus spoke from the Pharisee’s house.</w:t>
      </w:r>
    </w:p>
    <w:p>
      <w:pPr/>
      <w:r>
        <w:rPr>
          <w:lang w:val="en_US" w:bidi="en_US"/>
        </w:rPr>
      </w:r>
      <w:r>
        <w:rPr>
          <w:lang w:val="en_US" w:bidi="en_US"/>
        </w:rPr>
        <w:t>In some languages, it may be more natural to make this information explicit. For example:</w:t>
      </w:r>
    </w:p>
    <w:p>
      <w:pPr/>
      <w:r>
        <w:rPr>
          <w:lang w:val="en_US" w:bidi="en_US"/>
        </w:rPr>
      </w:r>
      <w:r>
        <w:rPr>
          <w:lang w:val="en_US" w:bidi="en_US"/>
        </w:rPr>
        <w:t>After he had left the house (REB)</w:t>
      </w:r>
    </w:p>
    <w:p>
      <w:pPr/>
      <w:r>
        <w:rPr>
          <w:lang w:val="en_US" w:bidi="en_US"/>
        </w:rPr>
      </w:r>
      <w:r>
        <w:rPr>
          <w:b/>
          <w:lang w:val="en_US" w:bidi="en_US"/>
        </w:rPr>
        <w:t>the scribes:</w:t>
      </w:r>
      <w:r>
        <w:rPr>
          <w:lang w:val="en_US" w:bidi="en_US"/>
        </w:rPr>
        <w:t xml:space="preserve"> The Greek word that the BSB translates as </w:t>
      </w:r>
      <w:r>
        <w:rPr>
          <w:i/>
          <w:lang w:val="en_US" w:bidi="en_US"/>
        </w:rPr>
        <w:t>the scribes</w:t>
      </w:r>
      <w:r>
        <w:rPr>
          <w:lang w:val="en_US" w:bidi="en_US"/>
        </w:rPr>
        <w:t xml:space="preserve"> is a synonym of the Greek word that the BSB translates as “experts in the law” in 11:52a. It refers to the same group of men. It is recommended that you translate both terms in the same way.</w:t>
      </w:r>
    </w:p>
    <w:p>
      <w:pPr/>
      <w:r>
        <w:rPr>
          <w:lang w:val="en_US" w:bidi="en_US"/>
        </w:rPr>
      </w:r>
      <w:r>
        <w:rPr>
          <w:lang w:val="en_US" w:bidi="en_US"/>
        </w:rPr>
        <w:t xml:space="preserve">The term </w:t>
      </w:r>
      <w:r>
        <w:rPr>
          <w:i/>
          <w:lang w:val="en_US" w:bidi="en_US"/>
        </w:rPr>
        <w:t>scribes</w:t>
      </w:r>
      <w:r>
        <w:rPr>
          <w:lang w:val="en_US" w:bidi="en_US"/>
        </w:rPr>
        <w:t xml:space="preserve"> also occurs in 9:22b. See also teacher of the law in the Glossary.</w:t>
      </w:r>
    </w:p>
    <w:p>
      <w:pPr/>
      <w:r>
        <w:rPr>
          <w:lang w:val="en_US" w:bidi="en_US"/>
        </w:rPr>
      </w:r>
      <w:r>
        <w:rPr>
          <w:b/>
          <w:lang w:val="en_US" w:bidi="en_US"/>
        </w:rPr>
        <w:t>Pharisees:</w:t>
      </w:r>
      <w:r>
        <w:rPr>
          <w:lang w:val="en_US" w:bidi="en_US"/>
        </w:rPr>
        <w:t xml:space="preserve"> This word also occurs in 11:37a.</w:t>
      </w:r>
    </w:p>
    <w:p>
      <w:pPr>
        <w:pStyle w:val="Heading5"/>
      </w:pPr>
      <w:r>
        <w:rPr>
          <w:lang w:val="en_US" w:bidi="en_US"/>
        </w:rPr>
        <w:t>11:53b</w:t>
      </w:r>
    </w:p>
    <w:p>
      <w:pPr/>
      <w:r>
        <w:rPr>
          <w:lang w:val="en_US" w:bidi="en_US"/>
        </w:rPr>
      </w:r>
      <w:r>
        <w:rPr>
          <w:b/>
          <w:lang w:val="en_US" w:bidi="en_US"/>
        </w:rPr>
        <w:t>began to oppose Him bitterly</w:t>
      </w:r>
    </w:p>
    <w:p>
      <w:pPr>
        <w:pStyle w:val="ListBullet"/>
        <w:spacing w:line="240" w:lineRule="auto"/>
        <w:ind w:left="720"/>
      </w:pPr>
      <w:r>
        <w:rPr>
          <w:lang w:val="en_US" w:bidi="en_US"/>
        </w:rPr>
      </w:r>
      <w:r>
        <w:rPr>
          <w:lang w:val="en_US" w:bidi="en_US"/>
        </w:rPr>
        <w:t>began to criticize him violently/strongly,</w:t>
      </w:r>
    </w:p>
    <w:p>
      <w:pPr>
        <w:pStyle w:val="ListBullet"/>
        <w:spacing w:line="240" w:lineRule="auto"/>
        <w:ind w:left="720"/>
      </w:pPr>
      <w:r>
        <w:rPr>
          <w:lang w:val="en_US" w:bidi="en_US"/>
        </w:rPr>
      </w:r>
      <w:r>
        <w:rPr>
          <w:lang w:val="en_US" w:bidi="en_US"/>
        </w:rPr>
        <w:t>were his extreme/bitter enemies,</w:t>
      </w:r>
    </w:p>
    <w:p>
      <w:pPr/>
      <w:r>
        <w:rPr>
          <w:lang w:val="en_US" w:bidi="en_US"/>
        </w:rPr>
      </w:r>
      <w:r>
        <w:rPr>
          <w:b/>
          <w:lang w:val="en_US" w:bidi="en_US"/>
        </w:rPr>
        <w:t>began to oppose Him bitterly:</w:t>
      </w:r>
      <w:r>
        <w:rPr>
          <w:lang w:val="en_US" w:bidi="en_US"/>
        </w:rPr>
        <w:t xml:space="preserve"> The phrase </w:t>
      </w:r>
      <w:r>
        <w:rPr>
          <w:i/>
          <w:lang w:val="en_US" w:bidi="en_US"/>
        </w:rPr>
        <w:t>began to oppose Him bitterly</w:t>
      </w:r>
      <w:r>
        <w:rPr>
          <w:lang w:val="en_US" w:bidi="en_US"/>
        </w:rPr>
        <w:t xml:space="preserve"> indicates that the Jewish leaders became very angry with Jesus, and they began to treat him as their enemy.</w:t>
      </w:r>
    </w:p>
    <w:p>
      <w:pPr/>
      <w:r>
        <w:rPr>
          <w:lang w:val="en_US" w:bidi="en_US"/>
        </w:rPr>
      </w:r>
      <w:r>
        <w:rPr>
          <w:lang w:val="en_US" w:bidi="en_US"/>
        </w:rPr>
        <w:t xml:space="preserve">Some other ways to translate the phrase </w:t>
      </w:r>
      <w:r>
        <w:rPr>
          <w:i/>
          <w:lang w:val="en_US" w:bidi="en_US"/>
        </w:rPr>
        <w:t>began to oppose Him bitterly</w:t>
      </w:r>
      <w:r>
        <w:rPr>
          <w:lang w:val="en_US" w:bidi="en_US"/>
        </w:rPr>
        <w:t xml:space="preserve"> are:</w:t>
      </w:r>
    </w:p>
    <w:p>
      <w:pPr/>
      <w:r>
        <w:rPr>
          <w:lang w:val="en_US" w:bidi="en_US"/>
        </w:rPr>
      </w:r>
      <w:r>
        <w:rPr>
          <w:lang w:val="en_US" w:bidi="en_US"/>
        </w:rPr>
        <w:t>began to be very hostile toward him (NRSV)</w:t>
      </w:r>
    </w:p>
    <w:p>
      <w:pPr/>
      <w:r>
        <w:rPr>
          <w:lang w:val="en_US" w:bidi="en_US"/>
        </w:rPr>
      </w:r>
      <w:r>
        <w:rPr>
          <w:lang w:val="en_US" w:bidi="en_US"/>
        </w:rPr>
        <w:t>began to give him trouble (NCV)</w:t>
      </w:r>
    </w:p>
    <w:p>
      <w:pPr/>
      <w:r>
        <w:rPr>
          <w:lang w:val="en_US" w:bidi="en_US"/>
        </w:rPr>
      </w:r>
      <w:r>
        <w:rPr>
          <w:lang w:val="en_US" w:bidi="en_US"/>
        </w:rPr>
        <w:t>began to criticize him bitterly (GNT)</w:t>
      </w:r>
    </w:p>
    <w:p>
      <w:pPr/>
      <w:r>
        <w:rPr>
          <w:lang w:val="en_US" w:bidi="en_US"/>
        </w:rPr>
      </w:r>
      <w:r>
        <w:rPr>
          <w:lang w:val="en_US" w:bidi="en_US"/>
        </w:rPr>
        <w:t>Be sure not to translate this in a way that implies physical opposition. The Jewish leaders opposed him in their thoughts and words.</w:t>
      </w:r>
    </w:p>
    <w:p>
      <w:pPr/>
      <w:r>
        <w:rPr>
          <w:lang w:val="en_US" w:bidi="en_US"/>
        </w:rPr>
      </w:r>
      <w:r>
        <w:rPr>
          <w:lang w:val="en_US" w:bidi="en_US"/>
        </w:rPr>
        <w:t>They continued to be angry with Jesus and oppose him until he died months later. To show this, it may be helpful to include a phrase such as “From that day on.” For example:</w:t>
      </w:r>
    </w:p>
    <w:p>
      <w:pPr/>
      <w:r>
        <w:rPr>
          <w:lang w:val="en_US" w:bidi="en_US"/>
        </w:rPr>
      </w:r>
      <w:r>
        <w:rPr>
          <w:lang w:val="en_US" w:bidi="en_US"/>
        </w:rPr>
        <w:t>From that day on,</w:t>
      </w:r>
      <w:r>
        <w:rPr>
          <w:lang w:val="en_US" w:bidi="en_US"/>
        </w:rPr>
        <w:t xml:space="preserve"> the Pharisees and teachers opposed him fiercely</w:t>
      </w:r>
    </w:p>
    <w:p>
      <w:pPr>
        <w:pStyle w:val="Heading5"/>
      </w:pPr>
      <w:r>
        <w:rPr>
          <w:lang w:val="en_US" w:bidi="en_US"/>
        </w:rPr>
        <w:t>11:53c</w:t>
      </w:r>
    </w:p>
    <w:p>
      <w:pPr/>
      <w:r>
        <w:rPr>
          <w:lang w:val="en_US" w:bidi="en_US"/>
        </w:rPr>
      </w:r>
      <w:r>
        <w:rPr>
          <w:b/>
          <w:lang w:val="en_US" w:bidi="en_US"/>
        </w:rPr>
        <w:t>and to ply Him with questions about many things,</w:t>
      </w:r>
    </w:p>
    <w:p>
      <w:pPr>
        <w:pStyle w:val="ListBullet"/>
        <w:spacing w:line="240" w:lineRule="auto"/>
        <w:ind w:left="720"/>
      </w:pPr>
      <w:r>
        <w:rPr>
          <w:lang w:val="en_US" w:bidi="en_US"/>
        </w:rPr>
      </w:r>
      <w:r>
        <w:rPr>
          <w:lang w:val="en_US" w:bidi="en_US"/>
        </w:rPr>
        <w:t xml:space="preserve">and to ask him many </w:t>
      </w:r>
      <w:r>
        <w:rPr>
          <w:lang w:val="en_US" w:bidi="en_US"/>
        </w:rPr>
        <w:t>difficult</w:t>
      </w:r>
      <w:r>
        <w:rPr>
          <w:lang w:val="en_US" w:bidi="en_US"/>
        </w:rPr>
        <w:t xml:space="preserve"> questions.</w:t>
      </w:r>
    </w:p>
    <w:p>
      <w:pPr>
        <w:pStyle w:val="ListBullet"/>
        <w:spacing w:line="240" w:lineRule="auto"/>
        <w:ind w:left="720"/>
      </w:pPr>
      <w:r>
        <w:rPr>
          <w:lang w:val="en_US" w:bidi="en_US"/>
        </w:rPr>
      </w:r>
      <w:r>
        <w:rPr>
          <w:lang w:val="en_US" w:bidi="en_US"/>
        </w:rPr>
        <w:t>and tried to provoke him with many questions. (NLT)</w:t>
      </w:r>
    </w:p>
    <w:p>
      <w:pPr>
        <w:pStyle w:val="ListBullet"/>
        <w:spacing w:line="240" w:lineRule="auto"/>
        <w:ind w:left="720"/>
      </w:pPr>
      <w:r>
        <w:rPr>
          <w:lang w:val="en_US" w:bidi="en_US"/>
        </w:rPr>
      </w:r>
      <w:r>
        <w:rPr>
          <w:lang w:val="en_US" w:bidi="en_US"/>
        </w:rPr>
        <w:t>and they interrogated/questioned him repeatedly.</w:t>
      </w:r>
    </w:p>
    <w:p>
      <w:pPr/>
      <w:r>
        <w:rPr>
          <w:lang w:val="en_US" w:bidi="en_US"/>
        </w:rPr>
      </w:r>
      <w:r>
        <w:rPr>
          <w:b/>
          <w:lang w:val="en_US" w:bidi="en_US"/>
        </w:rPr>
        <w:t>and to ply Him with questions about many things:</w:t>
      </w:r>
      <w:r>
        <w:rPr>
          <w:lang w:val="en_US" w:bidi="en_US"/>
        </w:rPr>
        <w:t xml:space="preserve"> The clause </w:t>
      </w:r>
      <w:r>
        <w:rPr>
          <w:i/>
          <w:lang w:val="en_US" w:bidi="en_US"/>
        </w:rPr>
        <w:t>ply Him with questions</w:t>
      </w:r>
      <w:r>
        <w:rPr>
          <w:lang w:val="en_US" w:bidi="en_US"/>
        </w:rPr>
        <w:t xml:space="preserve"> refers to asking many questions in a hostile manner. From that time until his death, the Jewish leaders began to ask Jesus many questions that they thought would be difficult for him to answer. They did this to try to trap him.</w:t>
      </w:r>
    </w:p>
    <w:p>
      <w:pPr/>
      <w:r>
        <w:rPr>
          <w:lang w:val="en_US" w:bidi="en_US"/>
        </w:rPr>
      </w:r>
      <w:r>
        <w:rPr>
          <w:lang w:val="en_US" w:bidi="en_US"/>
        </w:rPr>
        <w:t>Some other ways to translate this clause are:</w:t>
      </w:r>
    </w:p>
    <w:p>
      <w:pPr/>
      <w:r>
        <w:rPr>
          <w:lang w:val="en_US" w:bidi="en_US"/>
        </w:rPr>
      </w:r>
      <w:r>
        <w:rPr>
          <w:lang w:val="en_US" w:bidi="en_US"/>
        </w:rPr>
        <w:t>and to ask him hostile questions about many things (NET)</w:t>
      </w:r>
    </w:p>
    <w:p>
      <w:pPr/>
      <w:r>
        <w:rPr>
          <w:lang w:val="en_US" w:bidi="en_US"/>
        </w:rPr>
      </w:r>
      <w:r>
        <w:rPr>
          <w:lang w:val="en_US" w:bidi="en_US"/>
        </w:rPr>
        <w:t>and tried to provoke him with many questions (NLT)</w:t>
      </w:r>
      <w:r>
        <w:rPr>
          <w:lang w:val="en_US" w:bidi="en_US"/>
        </w:rPr>
      </w:r>
      <w:r>
        <w:rPr>
          <w:lang w:val="en_US" w:bidi="en_US"/>
        </w:rPr>
      </w:r>
    </w:p>
    <w:p>
      <w:pPr/>
      <w:r>
        <w:rPr>
          <w:lang w:val="en_US" w:bidi="en_US"/>
        </w:rPr>
      </w:r>
    </w:p>
    <w:p>
      <w:pPr>
        <w:pStyle w:val="Heading2"/>
      </w:pPr>
      <w:r>
        <w:rPr>
          <w:lang w:val="en_US" w:bidi="en_US"/>
        </w:rPr>
        <w:t>Luke 11:54</w:t>
      </w:r>
      <w:r>
        <w:rPr>
          <w:lang w:val="en_US" w:bidi="en_US"/>
        </w:rPr>
      </w:r>
    </w:p>
    <w:p>
      <w:pPr>
        <w:pStyle w:val="Heading4"/>
      </w:pPr>
      <w:r>
        <w:rPr>
          <w:lang w:val="en_US" w:bidi="en_US"/>
        </w:rPr>
        <w:t>Section 11:37–54: Jesus criticized the Pharisees and the teachers of the law</w:t>
      </w:r>
    </w:p>
    <w:p>
      <w:pPr/>
      <w:r>
        <w:rPr>
          <w:lang w:val="en_US" w:bidi="en_US"/>
        </w:rPr>
      </w:r>
      <w:r>
        <w:rPr>
          <w:lang w:val="en_US" w:bidi="en_US"/>
        </w:rPr>
        <w:t>In this section, a Pharisee invited Jesus to his house for a meal. The Pharisee was surprised that Jesus did not ritually wash his hands before he ate. Jesus then criticized the Pharisees because they carefully observed outward rituals but neglected true devotion to God. He specifically warned the Pharisees about three ways in which they displeased God. He then directed three additional warnings to the teachers of the law.</w:t>
      </w:r>
    </w:p>
    <w:p>
      <w:pPr/>
      <w:r>
        <w:rPr>
          <w:lang w:val="en_US" w:bidi="en_US"/>
        </w:rPr>
      </w:r>
      <w:r>
        <w:rPr>
          <w:lang w:val="en_US" w:bidi="en_US"/>
        </w:rPr>
        <w:t>Some other headings for this section are:</w:t>
      </w:r>
    </w:p>
    <w:p>
      <w:pPr/>
      <w:r>
        <w:rPr>
          <w:lang w:val="en_US" w:bidi="en_US"/>
        </w:rPr>
      </w:r>
      <w:r>
        <w:rPr>
          <w:lang w:val="en_US" w:bidi="en_US"/>
        </w:rPr>
        <w:t>Jesus’ Criticism of the Religious Leaders</w:t>
      </w:r>
    </w:p>
    <w:p>
      <w:pPr/>
      <w:r>
        <w:rPr>
          <w:lang w:val="en_US" w:bidi="en_US"/>
        </w:rPr>
      </w:r>
      <w:r>
        <w:rPr>
          <w:lang w:val="en_US" w:bidi="en_US"/>
        </w:rPr>
        <w:t>There are parallel passages for this section in Matthew 23:1–36 and Mark 12:38–40.</w:t>
      </w:r>
    </w:p>
    <w:p>
      <w:pPr>
        <w:pStyle w:val="Heading5"/>
      </w:pPr>
      <w:r>
        <w:rPr>
          <w:lang w:val="en_US" w:bidi="en_US"/>
        </w:rPr>
        <w:t>11:54</w:t>
      </w:r>
    </w:p>
    <w:p>
      <w:pPr/>
      <w:r>
        <w:rPr>
          <w:lang w:val="en_US" w:bidi="en_US"/>
        </w:rPr>
      </w:r>
      <w:r>
        <w:rPr>
          <w:b/>
          <w:lang w:val="en_US" w:bidi="en_US"/>
        </w:rPr>
        <w:t>waiting to catch Him in something He might say.</w:t>
      </w:r>
    </w:p>
    <w:p>
      <w:pPr>
        <w:pStyle w:val="ListBullet"/>
        <w:spacing w:line="240" w:lineRule="auto"/>
        <w:ind w:left="720"/>
      </w:pPr>
      <w:r>
        <w:rPr>
          <w:lang w:val="en_US" w:bidi="en_US"/>
        </w:rPr>
      </w:r>
      <w:r>
        <w:rPr>
          <w:lang w:val="en_US" w:bidi="en_US"/>
        </w:rPr>
        <w:t xml:space="preserve">They were waiting to trap/trick him into saying something wrong </w:t>
      </w:r>
      <w:r>
        <w:rPr>
          <w:lang w:val="en_US" w:bidi="en_US"/>
        </w:rPr>
        <w:t>so that they could accuse him</w:t>
      </w:r>
      <w:r>
        <w:rPr>
          <w:lang w:val="en_US" w:bidi="en_US"/>
        </w:rPr>
        <w:t>.</w:t>
      </w:r>
    </w:p>
    <w:p>
      <w:pPr>
        <w:pStyle w:val="ListBullet"/>
        <w:spacing w:line="240" w:lineRule="auto"/>
        <w:ind w:left="720"/>
      </w:pPr>
      <w:r>
        <w:rPr>
          <w:lang w:val="en_US" w:bidi="en_US"/>
        </w:rPr>
      </w:r>
      <w:r>
        <w:rPr>
          <w:lang w:val="en_US" w:bidi="en_US"/>
        </w:rPr>
        <w:t>They wanted to trap him into saying something they could use against him. (NLT)</w:t>
      </w:r>
    </w:p>
    <w:p>
      <w:pPr/>
      <w:r>
        <w:rPr>
          <w:lang w:val="en_US" w:bidi="en_US"/>
        </w:rPr>
      </w:r>
      <w:r>
        <w:rPr>
          <w:b/>
          <w:lang w:val="en_US" w:bidi="en_US"/>
        </w:rPr>
        <w:t>waiting to catch Him in something He might say:</w:t>
      </w:r>
      <w:r>
        <w:rPr>
          <w:lang w:val="en_US" w:bidi="en_US"/>
        </w:rPr>
        <w:t xml:space="preserve"> The Greek expression that the BSB translates as </w:t>
      </w:r>
      <w:r>
        <w:rPr>
          <w:i/>
          <w:lang w:val="en_US" w:bidi="en_US"/>
        </w:rPr>
        <w:t>waiting to catch Him in something He might say</w:t>
      </w:r>
      <w:r>
        <w:rPr>
          <w:lang w:val="en_US" w:bidi="en_US"/>
        </w:rPr>
        <w:t xml:space="preserve"> is more literally “waiting in ambush to catch him in something from his mouth.” The Jewish leaders were figuratively “waiting in ambush,” that is, they were “plotting” against Jesus. They asked Jesus many questions because they wanted to trick him into making a mistake in what he said. They wanted to accuse him of saying something for which the Roman leaders could punish him.</w:t>
      </w:r>
    </w:p>
    <w:p>
      <w:pPr/>
      <w:r>
        <w:rPr>
          <w:lang w:val="en_US" w:bidi="en_US"/>
        </w:rPr>
      </w:r>
      <w:r>
        <w:rPr>
          <w:lang w:val="en_US" w:bidi="en_US"/>
        </w:rPr>
        <w:t>In some languages, it may be necessary to make some of this information explicit. For example:</w:t>
      </w:r>
    </w:p>
    <w:p>
      <w:pPr/>
      <w:r>
        <w:rPr>
          <w:lang w:val="en_US" w:bidi="en_US"/>
        </w:rPr>
      </w:r>
      <w:r>
        <w:rPr>
          <w:lang w:val="en_US" w:bidi="en_US"/>
        </w:rPr>
        <w:t>trying to lay traps for him and catch him saying something wrong (GNT)</w:t>
      </w:r>
    </w:p>
    <w:p>
      <w:pPr/>
      <w:r>
        <w:rPr>
          <w:lang w:val="en_US" w:bidi="en_US"/>
        </w:rPr>
      </w:r>
      <w:r>
        <w:rPr>
          <w:lang w:val="en_US" w:bidi="en_US"/>
        </w:rPr>
        <w:t>They wanted to trap him into saying something they could use against him. (NLT)</w:t>
      </w:r>
      <w:r>
        <w:rPr>
          <w:lang w:val="en_US" w:bidi="en_US"/>
        </w:rPr>
      </w:r>
      <w:r>
        <w:rPr>
          <w:lang w:val="en_US" w:bidi="en_US"/>
        </w:rPr>
      </w:r>
    </w:p>
    <w:p>
      <w:pPr/>
      <w:r>
        <w:rPr>
          <w:lang w:val="en_US" w:bidi="en_US"/>
        </w:rPr>
      </w:r>
    </w:p>
    <w:p>
      <w:pPr>
        <w:pStyle w:val="Heading2"/>
      </w:pPr>
      <w:r>
        <w:rPr>
          <w:lang w:val="en_US" w:bidi="en_US"/>
        </w:rPr>
        <w:t>Luke 12:1</w:t>
      </w:r>
      <w:r>
        <w:rPr>
          <w:lang w:val="en_US" w:bidi="en_US"/>
        </w:rPr>
      </w:r>
    </w:p>
    <w:p>
      <w:pPr>
        <w:pStyle w:val="Heading4"/>
      </w:pPr>
      <w:r>
        <w:rPr>
          <w:lang w:val="en_US" w:bidi="en_US"/>
        </w:rPr>
        <w:t>Section 12:1–12: Jesus warned and encouraged his disciples</w:t>
      </w:r>
    </w:p>
    <w:p>
      <w:pPr/>
      <w:r>
        <w:rPr>
          <w:lang w:val="en_US" w:bidi="en_US"/>
        </w:rPr>
      </w:r>
      <w:r>
        <w:rPr>
          <w:lang w:val="en_US" w:bidi="en_US"/>
        </w:rP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pPr/>
      <w:r>
        <w:rPr>
          <w:lang w:val="en_US" w:bidi="en_US"/>
        </w:rPr>
      </w:r>
      <w:r>
        <w:rPr>
          <w:lang w:val="en_US" w:bidi="en_US"/>
        </w:rPr>
        <w:t>It is good to translate this section before you decide on a heading for it. Another possible heading for this section is:</w:t>
      </w:r>
    </w:p>
    <w:p>
      <w:pPr/>
      <w:r>
        <w:rPr>
          <w:lang w:val="en_US" w:bidi="en_US"/>
        </w:rPr>
      </w:r>
      <w:r>
        <w:rPr>
          <w:lang w:val="en_US" w:bidi="en_US"/>
        </w:rPr>
        <w:t>Warnings and Encouragements (NIV)</w:t>
      </w:r>
    </w:p>
    <w:p>
      <w:pPr/>
      <w:r>
        <w:rPr>
          <w:lang w:val="en_US" w:bidi="en_US"/>
        </w:rPr>
      </w:r>
      <w:r>
        <w:rPr>
          <w:lang w:val="en_US" w:bidi="en_US"/>
        </w:rP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12:1–3</w:t>
            </w:r>
          </w:p>
        </w:tc>
        <w:tc>
          <w:tcPr>
            <w:tcW w:type="dxa" w:w="4680"/>
          </w:tcPr>
          <w:p>
            <w:pPr/>
            <w:r>
              <w:rPr>
                <w:lang w:val="en_US" w:bidi="en_US"/>
              </w:rPr>
            </w:r>
            <w:r>
              <w:rPr>
                <w:lang w:val="en_US" w:bidi="en_US"/>
              </w:rPr>
              <w:t xml:space="preserve">A Warning against Hypocrisy (GNT) </w:t>
            </w:r>
            <w:r>
              <w:rPr>
                <w:i/>
                <w:lang w:val="en_US" w:bidi="en_US"/>
              </w:rPr>
              <w:t>-or-</w:t>
            </w:r>
            <w:r>
              <w:rPr>
                <w:lang w:val="en_US" w:bidi="en_US"/>
              </w:rPr>
              <w:t xml:space="preserve"> Jesus warned his disciples not to be like the Pharisees</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10:26–27.)</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12:4–7</w:t>
            </w:r>
          </w:p>
        </w:tc>
        <w:tc>
          <w:tcPr>
            <w:tcW w:type="dxa" w:w="4680"/>
          </w:tcPr>
          <w:p>
            <w:pPr/>
            <w:r>
              <w:rPr>
                <w:lang w:val="en_US" w:bidi="en_US"/>
              </w:rPr>
            </w:r>
            <w:r>
              <w:rPr>
                <w:lang w:val="en_US" w:bidi="en_US"/>
              </w:rPr>
              <w:t xml:space="preserve">The One Whom People Should Fear </w:t>
            </w:r>
            <w:r>
              <w:rPr>
                <w:i/>
                <w:lang w:val="en_US" w:bidi="en_US"/>
              </w:rPr>
              <w:t>-or-</w:t>
            </w:r>
            <w:r>
              <w:rPr>
                <w:lang w:val="en_US" w:bidi="en_US"/>
              </w:rPr>
              <w:t xml:space="preserve"> Jesus told his disciples whom they should fear</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10:28–31.)</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12:8–12</w:t>
            </w:r>
          </w:p>
        </w:tc>
        <w:tc>
          <w:tcPr>
            <w:tcW w:type="dxa" w:w="4680"/>
          </w:tcPr>
          <w:p>
            <w:pPr/>
            <w:r>
              <w:rPr>
                <w:lang w:val="en_US" w:bidi="en_US"/>
              </w:rPr>
            </w:r>
            <w:r>
              <w:rPr>
                <w:lang w:val="en_US" w:bidi="en_US"/>
              </w:rPr>
              <w:t xml:space="preserve">Confessing and Rejecting Christ (GNT) </w:t>
            </w:r>
            <w:r>
              <w:rPr>
                <w:i/>
                <w:lang w:val="en_US" w:bidi="en_US"/>
              </w:rPr>
              <w:t>-or-</w:t>
            </w:r>
            <w:r>
              <w:rPr>
                <w:lang w:val="en_US" w:bidi="en_US"/>
              </w:rPr>
              <w:t xml:space="preserve"> Don’t Be Ashamed of Jesus (NCV)</w:t>
            </w:r>
          </w:p>
        </w:tc>
      </w:tr>
      <w:tr>
        <w:tc>
          <w:tcPr>
            <w:tcW w:type="dxa" w:w="4680"/>
          </w:tcPr>
          <w:p>
            <w:pPr/>
            <w:r>
              <w:rPr>
                <w:lang w:val="en_US" w:bidi="en_US"/>
              </w:rPr>
            </w:r>
          </w:p>
        </w:tc>
        <w:tc>
          <w:tcPr>
            <w:tcW w:type="dxa" w:w="4680"/>
          </w:tcPr>
          <w:p>
            <w:pPr/>
            <w:r>
              <w:rPr>
                <w:lang w:val="en_US" w:bidi="en_US"/>
              </w:rPr>
            </w:r>
            <w:r>
              <w:rPr>
                <w:lang w:val="en_US" w:bidi="en_US"/>
              </w:rPr>
              <w:t>(There are parallel passages for this section in Matthew 10:32–33, 12:32, 10:19–20.)</w:t>
            </w:r>
          </w:p>
        </w:tc>
      </w:tr>
    </w:tbl>
    <w:p>
      <w:pPr>
        <w:pStyle w:val="Heading5"/>
      </w:pPr>
      <w:r>
        <w:rPr>
          <w:lang w:val="en_US" w:bidi="en_US"/>
        </w:rPr>
        <w:t>12:1a</w:t>
      </w:r>
    </w:p>
    <w:p>
      <w:pPr/>
      <w:r>
        <w:rPr>
          <w:lang w:val="en_US" w:bidi="en_US"/>
        </w:rPr>
      </w:r>
      <w:r>
        <w:rPr>
          <w:b/>
          <w:lang w:val="en_US" w:bidi="en_US"/>
        </w:rPr>
        <w:t>In the meantime, a crowd of many thousands had gathered,</w:t>
      </w:r>
    </w:p>
    <w:p>
      <w:pPr>
        <w:pStyle w:val="ListBullet"/>
        <w:spacing w:line="240" w:lineRule="auto"/>
        <w:ind w:left="720"/>
      </w:pPr>
      <w:r>
        <w:rPr>
          <w:lang w:val="en_US" w:bidi="en_US"/>
        </w:rPr>
      </w:r>
      <w:r>
        <w:rPr>
          <w:lang w:val="en_US" w:bidi="en_US"/>
        </w:rPr>
        <w:t>¶ While these things were happening, thousands of people gathered.</w:t>
      </w:r>
    </w:p>
    <w:p>
      <w:pPr>
        <w:pStyle w:val="ListBullet"/>
        <w:spacing w:line="240" w:lineRule="auto"/>
        <w:ind w:left="720"/>
      </w:pPr>
      <w:r>
        <w:rPr>
          <w:lang w:val="en_US" w:bidi="en_US"/>
        </w:rPr>
      </w:r>
      <w:r>
        <w:rPr>
          <w:lang w:val="en_US" w:bidi="en_US"/>
        </w:rPr>
        <w:t xml:space="preserve">¶ During that time, such an enormous crowd had come together </w:t>
      </w:r>
      <w:r>
        <w:rPr>
          <w:lang w:val="en_US" w:bidi="en_US"/>
        </w:rPr>
        <w:t>to hear/see Jesus</w:t>
      </w:r>
    </w:p>
    <w:p>
      <w:pPr/>
      <w:r>
        <w:rPr>
          <w:lang w:val="en_US" w:bidi="en_US"/>
        </w:rPr>
      </w:r>
      <w:r>
        <w:rPr>
          <w:b/>
          <w:lang w:val="en_US" w:bidi="en_US"/>
        </w:rPr>
        <w:t>In the meantime:</w:t>
      </w:r>
      <w:r>
        <w:rPr>
          <w:lang w:val="en_US" w:bidi="en_US"/>
        </w:rPr>
        <w:t xml:space="preserve"> In this context the Greek expression that the BSB translates as </w:t>
      </w:r>
      <w:r>
        <w:rPr>
          <w:i/>
          <w:lang w:val="en_US" w:bidi="en_US"/>
        </w:rPr>
        <w:t>In the meantime</w:t>
      </w:r>
      <w:r>
        <w:rPr>
          <w:lang w:val="en_US" w:bidi="en_US"/>
        </w:rPr>
        <w:t xml:space="preserve"> means “at the same time.” It refers back to the events of the previous chapter. Some other ways to translate this expression are:</w:t>
      </w:r>
    </w:p>
    <w:p>
      <w:pPr/>
      <w:r>
        <w:rPr>
          <w:lang w:val="en_US" w:bidi="en_US"/>
        </w:rPr>
      </w:r>
      <w:r>
        <w:rPr>
          <w:lang w:val="en_US" w:bidi="en_US"/>
        </w:rPr>
        <w:t>During that time</w:t>
      </w:r>
    </w:p>
    <w:p>
      <w:pPr/>
      <w:r>
        <w:rPr>
          <w:lang w:val="en_US" w:bidi="en_US"/>
        </w:rPr>
      </w:r>
      <w:r>
        <w:rPr>
          <w:lang w:val="en_US" w:bidi="en_US"/>
        </w:rPr>
        <w:t>While these things were happening</w:t>
      </w:r>
    </w:p>
    <w:p>
      <w:pPr/>
      <w:r>
        <w:rPr>
          <w:lang w:val="en_US" w:bidi="en_US"/>
        </w:rPr>
      </w:r>
      <w:r>
        <w:rPr>
          <w:b/>
          <w:lang w:val="en_US" w:bidi="en_US"/>
        </w:rPr>
        <w:t>a crowd of many thousands had gathered:</w:t>
      </w:r>
      <w:r>
        <w:rPr>
          <w:lang w:val="en_US" w:bidi="en_US"/>
        </w:rPr>
        <w:t xml:space="preserve"> The Greek word that the BSB translates as </w:t>
      </w:r>
      <w:r>
        <w:rPr>
          <w:i/>
          <w:lang w:val="en_US" w:bidi="en_US"/>
        </w:rPr>
        <w:t>many thousands</w:t>
      </w:r>
      <w:r>
        <w:rPr>
          <w:lang w:val="en_US" w:bidi="en_US"/>
        </w:rPr>
        <w:t xml:space="preserve"> is a general reference to a very large number. Nobody actually counted the number of people in the crowd. Other ways to translate this are:</w:t>
      </w:r>
    </w:p>
    <w:p>
      <w:pPr/>
      <w:r>
        <w:rPr>
          <w:lang w:val="en_US" w:bidi="en_US"/>
        </w:rPr>
      </w:r>
      <w:r>
        <w:rPr>
          <w:lang w:val="en_US" w:bidi="en_US"/>
        </w:rPr>
        <w:t>an enormous crowd had gathered</w:t>
      </w:r>
    </w:p>
    <w:p>
      <w:pPr/>
      <w:r>
        <w:rPr>
          <w:lang w:val="en_US" w:bidi="en_US"/>
        </w:rPr>
      </w:r>
      <w:r>
        <w:rPr>
          <w:lang w:val="en_US" w:bidi="en_US"/>
        </w:rPr>
        <w:t>a great many people came together</w:t>
      </w:r>
    </w:p>
    <w:p>
      <w:pPr>
        <w:pStyle w:val="Heading5"/>
      </w:pPr>
      <w:r>
        <w:rPr>
          <w:lang w:val="en_US" w:bidi="en_US"/>
        </w:rPr>
        <w:t>12:1b</w:t>
      </w:r>
    </w:p>
    <w:p>
      <w:pPr/>
      <w:r>
        <w:rPr>
          <w:lang w:val="en_US" w:bidi="en_US"/>
        </w:rPr>
      </w:r>
      <w:r>
        <w:rPr>
          <w:b/>
          <w:lang w:val="en_US" w:bidi="en_US"/>
        </w:rPr>
        <w:t>so that they were trampling one another.</w:t>
      </w:r>
    </w:p>
    <w:p>
      <w:pPr>
        <w:pStyle w:val="ListBullet"/>
        <w:spacing w:line="240" w:lineRule="auto"/>
        <w:ind w:left="720"/>
      </w:pPr>
      <w:r>
        <w:rPr>
          <w:lang w:val="en_US" w:bidi="en_US"/>
        </w:rPr>
      </w:r>
      <w:r>
        <w:rPr>
          <w:lang w:val="en_US" w:bidi="en_US"/>
        </w:rPr>
        <w:t>The crowd was so large</w:t>
      </w:r>
      <w:r>
        <w:rPr>
          <w:lang w:val="en_US" w:bidi="en_US"/>
        </w:rPr>
        <w:t xml:space="preserve"> that the people were stepping on each other’s feet.</w:t>
      </w:r>
    </w:p>
    <w:p>
      <w:pPr>
        <w:pStyle w:val="ListBullet"/>
        <w:spacing w:line="240" w:lineRule="auto"/>
        <w:ind w:left="720"/>
      </w:pPr>
      <w:r>
        <w:rPr>
          <w:lang w:val="en_US" w:bidi="en_US"/>
        </w:rPr>
      </w:r>
      <w:r>
        <w:rPr>
          <w:lang w:val="en_US" w:bidi="en_US"/>
        </w:rPr>
        <w:t>that the people were stepping on one another.</w:t>
      </w:r>
    </w:p>
    <w:p>
      <w:pPr/>
      <w:r>
        <w:rPr>
          <w:lang w:val="en_US" w:bidi="en_US"/>
        </w:rPr>
      </w:r>
      <w:r>
        <w:rPr>
          <w:b/>
          <w:lang w:val="en_US" w:bidi="en_US"/>
        </w:rPr>
        <w:t>they were trampling one another:</w:t>
      </w:r>
      <w:r>
        <w:rPr>
          <w:lang w:val="en_US" w:bidi="en_US"/>
        </w:rPr>
        <w:t xml:space="preserve"> The clause </w:t>
      </w:r>
      <w:r>
        <w:rPr>
          <w:i/>
          <w:lang w:val="en_US" w:bidi="en_US"/>
        </w:rPr>
        <w:t>they were trampling one another</w:t>
      </w:r>
      <w:r>
        <w:rPr>
          <w:lang w:val="en_US" w:bidi="en_US"/>
        </w:rPr>
        <w:t xml:space="preserve"> indicates that the people in the crowd were stepping on each other’s feet and getting in each other’s way as they tried to get close to Jesus.</w:t>
      </w:r>
    </w:p>
    <w:p>
      <w:pPr>
        <w:pStyle w:val="Heading6"/>
      </w:pPr>
      <w:r>
        <w:rPr>
          <w:b/>
          <w:lang w:val="en_US" w:bidi="en_US"/>
        </w:rPr>
        <w:t>General Comment on 12:1a–b</w:t>
      </w:r>
    </w:p>
    <w:p>
      <w:pPr/>
      <w:r>
        <w:rPr>
          <w:lang w:val="en_US" w:bidi="en_US"/>
        </w:rPr>
      </w:r>
      <w:r>
        <w:rPr>
          <w:lang w:val="en_US" w:bidi="en_US"/>
        </w:rPr>
        <w:t>In some languages it may be helpful to translate these verse parts as two sentences. For example:</w:t>
      </w:r>
    </w:p>
    <w:p>
      <w:pPr/>
      <w:r>
        <w:rPr>
          <w:lang w:val="en_US" w:bidi="en_US"/>
        </w:rPr>
      </w:r>
      <w:r>
        <w:rPr>
          <w:lang w:val="en_US" w:bidi="en_US"/>
        </w:rPr>
        <w:t>Meanwhile many people had gathered together. They were so many/numerous that they were trampling on one another.</w:t>
      </w:r>
    </w:p>
    <w:p>
      <w:pPr>
        <w:pStyle w:val="Heading5"/>
      </w:pPr>
      <w:r>
        <w:rPr>
          <w:lang w:val="en_US" w:bidi="en_US"/>
        </w:rPr>
        <w:t>12:1c</w:t>
      </w:r>
    </w:p>
    <w:p>
      <w:pPr/>
      <w:r>
        <w:rPr>
          <w:lang w:val="en_US" w:bidi="en_US"/>
        </w:rPr>
      </w:r>
      <w:r>
        <w:rPr>
          <w:b/>
          <w:lang w:val="en_US" w:bidi="en_US"/>
        </w:rPr>
        <w:t>Jesus began to speak first to His disciples:</w:t>
      </w:r>
    </w:p>
    <w:p>
      <w:pPr>
        <w:pStyle w:val="ListBullet"/>
        <w:spacing w:line="240" w:lineRule="auto"/>
        <w:ind w:left="720"/>
      </w:pPr>
      <w:r>
        <w:rPr>
          <w:lang w:val="en_US" w:bidi="en_US"/>
        </w:rPr>
      </w:r>
      <w:r>
        <w:rPr>
          <w:lang w:val="en_US" w:bidi="en_US"/>
        </w:rPr>
        <w:t>First, Jesus spoke to his disciples. He said,</w:t>
      </w:r>
    </w:p>
    <w:p>
      <w:pPr>
        <w:pStyle w:val="ListBullet"/>
        <w:spacing w:line="240" w:lineRule="auto"/>
        <w:ind w:left="720"/>
      </w:pPr>
      <w:r>
        <w:rPr>
          <w:lang w:val="en_US" w:bidi="en_US"/>
        </w:rPr>
      </w:r>
      <w:r>
        <w:rPr>
          <w:lang w:val="en_US" w:bidi="en_US"/>
        </w:rPr>
        <w:t xml:space="preserve">Jesus spoke to his followers before </w:t>
      </w:r>
      <w:r>
        <w:rPr>
          <w:lang w:val="en_US" w:bidi="en_US"/>
        </w:rPr>
        <w:t>he spoke to the other people</w:t>
      </w:r>
      <w:r>
        <w:rPr>
          <w:lang w:val="en_US" w:bidi="en_US"/>
        </w:rPr>
        <w:t>. And he said,</w:t>
      </w:r>
    </w:p>
    <w:p>
      <w:pPr/>
      <w:r>
        <w:rPr>
          <w:lang w:val="en_US" w:bidi="en_US"/>
        </w:rPr>
      </w:r>
      <w:r>
        <w:rPr>
          <w:b/>
          <w:lang w:val="en_US" w:bidi="en_US"/>
        </w:rPr>
        <w:t>Jesus began to speak first to His disciples:</w:t>
      </w:r>
      <w:r>
        <w:rPr>
          <w:lang w:val="en_US" w:bidi="en_US"/>
        </w:rPr>
        <w:t xml:space="preserve"> The expression </w:t>
      </w:r>
      <w:r>
        <w:rPr>
          <w:i/>
          <w:lang w:val="en_US" w:bidi="en_US"/>
        </w:rPr>
        <w:t>Jesus began to speak first to His disciples</w:t>
      </w:r>
      <w:r>
        <w:rPr>
          <w:lang w:val="en_US" w:bidi="en_US"/>
        </w:rPr>
        <w:t xml:space="preserve"> indicates that Jesus spoke to his disciples before speaking to the rest of the people. In 12:13 one of the people in the crowd asked a question. After Jesus answered him, he began to tell a parable that was probably addressed to the whole crowd.</w:t>
      </w:r>
    </w:p>
    <w:p>
      <w:pPr/>
      <w:r>
        <w:rPr>
          <w:lang w:val="en_US" w:bidi="en_US"/>
        </w:rPr>
      </w:r>
      <w:r>
        <w:rPr>
          <w:b/>
          <w:lang w:val="en_US" w:bidi="en_US"/>
        </w:rPr>
        <w:t>disciples:</w:t>
      </w:r>
      <w:r>
        <w:rPr>
          <w:lang w:val="en_US" w:bidi="en_US"/>
        </w:rPr>
        <w:t xml:space="preserve"> For help in translating the word </w:t>
      </w:r>
      <w:r>
        <w:rPr>
          <w:i/>
          <w:lang w:val="en_US" w:bidi="en_US"/>
        </w:rPr>
        <w:t>disciples</w:t>
      </w:r>
      <w:r>
        <w:rPr>
          <w:lang w:val="en_US" w:bidi="en_US"/>
        </w:rPr>
        <w:t>, see the note at 9:14b.</w:t>
      </w:r>
    </w:p>
    <w:p>
      <w:pPr>
        <w:pStyle w:val="Heading5"/>
      </w:pPr>
      <w:r>
        <w:rPr>
          <w:lang w:val="en_US" w:bidi="en_US"/>
        </w:rPr>
        <w:t>12:1d</w:t>
      </w:r>
    </w:p>
    <w:p>
      <w:pPr/>
      <w:r>
        <w:rPr>
          <w:lang w:val="en_US" w:bidi="en_US"/>
        </w:rPr>
      </w:r>
      <w:r>
        <w:rPr>
          <w:b/>
          <w:lang w:val="en_US" w:bidi="en_US"/>
        </w:rPr>
        <w:t>“Beware of the leaven of the Pharisees, which is hypocrisy.</w:t>
      </w:r>
    </w:p>
    <w:p>
      <w:pPr>
        <w:pStyle w:val="ListBullet"/>
        <w:spacing w:line="240" w:lineRule="auto"/>
        <w:ind w:left="720"/>
      </w:pPr>
      <w:r>
        <w:rPr>
          <w:lang w:val="en_US" w:bidi="en_US"/>
        </w:rPr>
      </w:r>
      <w:r>
        <w:rPr>
          <w:lang w:val="en_US" w:bidi="en_US"/>
        </w:rPr>
        <w:t>“Be</w:t>
      </w:r>
      <w:r>
        <w:rPr>
          <w:vertAlign w:val="superscript"/>
          <w:lang w:val="en_US" w:bidi="en_US"/>
        </w:rPr>
        <w:t>(plur)</w:t>
      </w:r>
      <w:r>
        <w:rPr>
          <w:lang w:val="en_US" w:bidi="en_US"/>
        </w:rPr>
        <w:t xml:space="preserve"> careful to avoid the yeast of the Pharisees. By that I mean, avoid their hypocrisy.</w:t>
      </w:r>
    </w:p>
    <w:p>
      <w:pPr>
        <w:pStyle w:val="ListBullet"/>
        <w:spacing w:line="240" w:lineRule="auto"/>
        <w:ind w:left="720"/>
      </w:pPr>
      <w:r>
        <w:rPr>
          <w:lang w:val="en_US" w:bidi="en_US"/>
        </w:rPr>
      </w:r>
      <w:r>
        <w:rPr>
          <w:lang w:val="en_US" w:bidi="en_US"/>
        </w:rPr>
        <w:t>“I warn you</w:t>
      </w:r>
      <w:r>
        <w:rPr>
          <w:vertAlign w:val="superscript"/>
          <w:lang w:val="en_US" w:bidi="en_US"/>
        </w:rPr>
        <w:t>(plur)</w:t>
      </w:r>
      <w:r>
        <w:rPr>
          <w:lang w:val="en_US" w:bidi="en_US"/>
        </w:rPr>
        <w:t xml:space="preserve"> not to be hypocritical like the Pharisees. </w:t>
      </w:r>
      <w:r>
        <w:rPr>
          <w:lang w:val="en_US" w:bidi="en_US"/>
        </w:rPr>
        <w:t>For being hypocritical has a bad effect on everyone,</w:t>
      </w:r>
      <w:r>
        <w:rPr>
          <w:lang w:val="en_US" w:bidi="en_US"/>
        </w:rPr>
        <w:t xml:space="preserve"> just like yeast </w:t>
      </w:r>
      <w:r>
        <w:rPr>
          <w:lang w:val="en_US" w:bidi="en_US"/>
        </w:rPr>
        <w:t>spreads through an entire lump of dough</w:t>
      </w:r>
      <w:r>
        <w:rPr>
          <w:lang w:val="en_US" w:bidi="en_US"/>
        </w:rPr>
        <w:t>.</w:t>
      </w:r>
    </w:p>
    <w:p>
      <w:pPr>
        <w:pStyle w:val="ListBullet"/>
        <w:spacing w:line="240" w:lineRule="auto"/>
        <w:ind w:left="720"/>
      </w:pPr>
      <w:r>
        <w:rPr>
          <w:lang w:val="en_US" w:bidi="en_US"/>
        </w:rPr>
      </w:r>
      <w:r>
        <w:rPr>
          <w:lang w:val="en_US" w:bidi="en_US"/>
        </w:rPr>
        <w:t xml:space="preserve">“The Pharisees say that they are </w:t>
      </w:r>
      <w:r>
        <w:rPr>
          <w:lang w:val="en_US" w:bidi="en_US"/>
        </w:rPr>
        <w:t>serving God</w:t>
      </w:r>
      <w:r>
        <w:rPr>
          <w:lang w:val="en_US" w:bidi="en_US"/>
        </w:rPr>
        <w:t xml:space="preserve">, but they do not really </w:t>
      </w:r>
      <w:r>
        <w:rPr>
          <w:lang w:val="en_US" w:bidi="en_US"/>
        </w:rPr>
        <w:t>serve him</w:t>
      </w:r>
      <w:r>
        <w:rPr>
          <w:lang w:val="en_US" w:bidi="en_US"/>
        </w:rPr>
        <w:t>. Do</w:t>
      </w:r>
      <w:r>
        <w:rPr>
          <w:vertAlign w:val="superscript"/>
          <w:lang w:val="en_US" w:bidi="en_US"/>
        </w:rPr>
        <w:t>(plur)</w:t>
      </w:r>
      <w:r>
        <w:rPr>
          <w:lang w:val="en_US" w:bidi="en_US"/>
        </w:rPr>
        <w:t xml:space="preserve"> not follow this </w:t>
      </w:r>
      <w:r>
        <w:rPr>
          <w:lang w:val="en_US" w:bidi="en_US"/>
        </w:rPr>
        <w:t>behavior/habit</w:t>
      </w:r>
      <w:r>
        <w:rPr>
          <w:lang w:val="en_US" w:bidi="en_US"/>
        </w:rPr>
        <w:t xml:space="preserve"> of theirs, because it is like yeast that spreads.</w:t>
      </w:r>
    </w:p>
    <w:p>
      <w:pPr/>
      <w:r>
        <w:rPr>
          <w:lang w:val="en_US" w:bidi="en_US"/>
        </w:rPr>
      </w:r>
      <w:r>
        <w:rPr>
          <w:b/>
          <w:lang w:val="en_US" w:bidi="en_US"/>
        </w:rPr>
        <w:t>Beware of the leaven of the Pharisees, which is hypocrisy:</w:t>
      </w:r>
      <w:r>
        <w:rPr>
          <w:lang w:val="en_US" w:bidi="en_US"/>
        </w:rPr>
        <w:t xml:space="preserve"> This is a metaphor that compares the hypocrisy of the Pharisees to leaven, or yeast. A small amount of leaven spreads through a lump of bread dough and affects it all. Similarly, the hypocrisy of the Pharisees would spread among the people and affect them all. Some ways to translate this metaphor are:</w:t>
      </w:r>
    </w:p>
    <w:p>
      <w:pPr>
        <w:pStyle w:val="ListBullet"/>
        <w:spacing w:line="240" w:lineRule="auto"/>
        <w:ind w:left="720"/>
      </w:pPr>
      <w:r>
        <w:rPr>
          <w:lang w:val="en_US" w:bidi="en_US"/>
        </w:rPr>
      </w:r>
      <w:r>
        <w:rPr>
          <w:lang w:val="en_US" w:bidi="en_US"/>
        </w:rPr>
        <w:t>Make it clear that “leaven” is used here as a figure of speech. For example:</w:t>
      </w:r>
      <w:r>
        <w:rPr>
          <w:lang w:val="en_US" w:bidi="en_US"/>
        </w:rPr>
        <w:t>Be on guard against the yeast of the Pharisees—I mean their hypocrisy. (GNT)</w:t>
      </w:r>
    </w:p>
    <w:p>
      <w:pPr>
        <w:pStyle w:val="ListBullet"/>
        <w:spacing w:line="240" w:lineRule="auto"/>
        <w:ind w:left="720"/>
      </w:pPr>
      <w:r>
        <w:rPr>
          <w:lang w:val="en_US" w:bidi="en_US"/>
        </w:rPr>
      </w:r>
      <w:r>
        <w:rPr>
          <w:lang w:val="en_US" w:bidi="en_US"/>
        </w:rPr>
        <w:t>Change the metaphor to a simile and make explicit how hypocrisy is like leaven. For example:</w:t>
      </w:r>
      <w:r>
        <w:rPr>
          <w:lang w:val="en_US" w:bidi="en_US"/>
        </w:rPr>
        <w:t xml:space="preserve">Be careful not to be hypocritical like the Pharisees. Their hypocrisy is like leaven </w:t>
      </w:r>
      <w:r>
        <w:rPr>
          <w:lang w:val="en_US" w:bidi="en_US"/>
        </w:rPr>
        <w:t>that spreads through bread dough</w:t>
      </w:r>
      <w:r>
        <w:rPr>
          <w:lang w:val="en_US" w:bidi="en_US"/>
        </w:rPr>
        <w:t xml:space="preserve">. </w:t>
      </w:r>
      <w:r>
        <w:rPr>
          <w:lang w:val="en_US" w:bidi="en_US"/>
        </w:rPr>
        <w:t>It affects everyone.</w:t>
      </w:r>
    </w:p>
    <w:p>
      <w:pPr/>
      <w:r>
        <w:rPr>
          <w:lang w:val="en_US" w:bidi="en_US"/>
        </w:rPr>
      </w:r>
      <w:r>
        <w:rPr>
          <w:lang w:val="en_US" w:bidi="en_US"/>
        </w:rPr>
        <w:t>Translate this metaphor in a way that is most natural in your language.</w:t>
      </w:r>
    </w:p>
    <w:p>
      <w:pPr/>
      <w:r>
        <w:rPr>
          <w:lang w:val="en_US" w:bidi="en_US"/>
        </w:rPr>
      </w:r>
      <w:r>
        <w:rPr>
          <w:b/>
          <w:lang w:val="en_US" w:bidi="en_US"/>
        </w:rPr>
        <w:t>Beware:</w:t>
      </w:r>
      <w:r>
        <w:rPr>
          <w:lang w:val="en_US" w:bidi="en_US"/>
        </w:rPr>
        <w:t xml:space="preserve"> The Greek phrase that the BSB translates as </w:t>
      </w:r>
      <w:r>
        <w:rPr>
          <w:i/>
          <w:lang w:val="en_US" w:bidi="en_US"/>
        </w:rPr>
        <w:t>Beware</w:t>
      </w:r>
      <w:r>
        <w:rPr>
          <w:lang w:val="en_US" w:bidi="en_US"/>
        </w:rPr>
        <w:t xml:space="preserve"> is a warning. Use an expression that is natural in your language for warning people to watch out for something harmful or dangerous. Some English expressions are:</w:t>
      </w:r>
    </w:p>
    <w:p>
      <w:pPr/>
      <w:r>
        <w:rPr>
          <w:lang w:val="en_US" w:bidi="en_US"/>
        </w:rPr>
      </w:r>
      <w:r>
        <w:rPr>
          <w:lang w:val="en_US" w:bidi="en_US"/>
        </w:rPr>
        <w:t>Be on your guard against (NIV)</w:t>
      </w:r>
    </w:p>
    <w:p>
      <w:pPr/>
      <w:r>
        <w:rPr>
          <w:lang w:val="en_US" w:bidi="en_US"/>
        </w:rPr>
      </w:r>
      <w:r>
        <w:rPr>
          <w:lang w:val="en_US" w:bidi="en_US"/>
        </w:rPr>
        <w:t>Don’t let yourself be influenced by (TRT)</w:t>
      </w:r>
    </w:p>
    <w:p>
      <w:pPr/>
      <w:r>
        <w:rPr>
          <w:lang w:val="en_US" w:bidi="en_US"/>
        </w:rPr>
      </w:r>
      <w:r>
        <w:rPr>
          <w:b/>
          <w:lang w:val="en_US" w:bidi="en_US"/>
        </w:rPr>
        <w:t>leaven:</w:t>
      </w:r>
      <w:r>
        <w:rPr>
          <w:lang w:val="en_US" w:bidi="en_US"/>
        </w:rPr>
        <w:t xml:space="preserve"> The Greek word that the BSB translates as </w:t>
      </w:r>
      <w:r>
        <w:rPr>
          <w:i/>
          <w:lang w:val="en_US" w:bidi="en_US"/>
        </w:rPr>
        <w:t>leaven</w:t>
      </w:r>
      <w:r>
        <w:rPr>
          <w:lang w:val="en_US" w:bidi="en_US"/>
        </w:rPr>
        <w:t xml:space="preserve"> refers to a substance that makes bread dough rise. A person mixes this substance with water and flour. Then it spreads throughout the flour and makes the dough expand. The dough is then baked into bread.</w:t>
      </w:r>
    </w:p>
    <w:p>
      <w:pPr/>
      <w:r>
        <w:rPr>
          <w:lang w:val="en_US" w:bidi="en_US"/>
        </w:rPr>
      </w:r>
      <w:r>
        <w:rPr>
          <w:lang w:val="en_US" w:bidi="en_US"/>
        </w:rPr>
        <w:t xml:space="preserve">If people in your area are not familiar with making dough rise, here are other ways to translate </w:t>
      </w:r>
      <w:r>
        <w:rPr>
          <w:i/>
          <w:lang w:val="en_US" w:bidi="en_US"/>
        </w:rPr>
        <w:t>leaven</w:t>
      </w:r>
      <w:r>
        <w:rPr>
          <w:lang w:val="en_US" w:bidi="en_US"/>
        </w:rPr>
        <w:t>:</w:t>
      </w:r>
    </w:p>
    <w:p>
      <w:pPr>
        <w:pStyle w:val="ListBullet"/>
        <w:spacing w:line="240" w:lineRule="auto"/>
        <w:ind w:left="720"/>
      </w:pPr>
      <w:r>
        <w:rPr>
          <w:lang w:val="en_US" w:bidi="en_US"/>
        </w:rPr>
      </w:r>
      <w:r>
        <w:rPr>
          <w:lang w:val="en_US" w:bidi="en_US"/>
        </w:rPr>
        <w:t>Use an expression that describes the leaven. For example:</w:t>
      </w:r>
      <w:r>
        <w:rPr>
          <w:lang w:val="en_US" w:bidi="en_US"/>
        </w:rPr>
        <w:t>what spreads to make bread rise</w:t>
      </w:r>
      <w:r>
        <w:rPr>
          <w:lang w:val="en_US" w:bidi="en_US"/>
        </w:rPr>
        <w:t>bread-expanding substance</w:t>
      </w:r>
    </w:p>
    <w:p>
      <w:pPr>
        <w:pStyle w:val="ListBullet"/>
        <w:spacing w:line="240" w:lineRule="auto"/>
        <w:ind w:left="720"/>
      </w:pPr>
      <w:r>
        <w:rPr>
          <w:lang w:val="en_US" w:bidi="en_US"/>
        </w:rPr>
      </w:r>
      <w:r>
        <w:rPr>
          <w:lang w:val="en_US" w:bidi="en_US"/>
        </w:rPr>
        <w:t>Use a term from the national language and indicate its meaning. For example:</w:t>
      </w:r>
      <w:r>
        <w:rPr>
          <w:lang w:val="en_US" w:bidi="en_US"/>
        </w:rPr>
        <w:t>leaven that spreads to make bread swell</w:t>
      </w:r>
    </w:p>
    <w:p>
      <w:pPr>
        <w:pStyle w:val="ListBullet"/>
        <w:spacing w:line="240" w:lineRule="auto"/>
        <w:ind w:left="720"/>
      </w:pPr>
      <w:r>
        <w:rPr>
          <w:lang w:val="en_US" w:bidi="en_US"/>
        </w:rPr>
      </w:r>
      <w:r>
        <w:rPr>
          <w:lang w:val="en_US" w:bidi="en_US"/>
        </w:rPr>
        <w:t>Borrow a word and explain it in a footnote. Here is an example of a possible footnote:</w:t>
      </w:r>
      <w:r>
        <w:rPr>
          <w:lang w:val="en_US" w:bidi="en_US"/>
        </w:rPr>
        <w:t>Leaven is something that spreads in flour dough and causes it to rise so that after the dough is baked it is soft to eat.</w:t>
      </w:r>
    </w:p>
    <w:p>
      <w:pPr/>
      <w:r>
        <w:rPr>
          <w:lang w:val="en_US" w:bidi="en_US"/>
        </w:rPr>
      </w:r>
      <w:r>
        <w:rPr>
          <w:lang w:val="en_US" w:bidi="en_US"/>
        </w:rPr>
        <w:t>Translate this in the way that is most natural in your language.</w:t>
      </w:r>
    </w:p>
    <w:p>
      <w:pPr/>
      <w:r>
        <w:rPr>
          <w:lang w:val="en_US" w:bidi="en_US"/>
        </w:rPr>
      </w:r>
      <w:r>
        <w:rPr>
          <w:b/>
          <w:lang w:val="en_US" w:bidi="en_US"/>
        </w:rPr>
        <w:t>Pharisees:</w:t>
      </w:r>
      <w:r>
        <w:rPr>
          <w:lang w:val="en_US" w:bidi="en_US"/>
        </w:rPr>
        <w:t xml:space="preserve"> For advice on translating the word </w:t>
      </w:r>
      <w:r>
        <w:rPr>
          <w:i/>
          <w:lang w:val="en_US" w:bidi="en_US"/>
        </w:rPr>
        <w:t>Pharisees</w:t>
      </w:r>
      <w:r>
        <w:rPr>
          <w:lang w:val="en_US" w:bidi="en_US"/>
        </w:rPr>
        <w:t>, see the note at 11:37b.</w:t>
      </w:r>
    </w:p>
    <w:p>
      <w:pPr/>
      <w:r>
        <w:rPr>
          <w:lang w:val="en_US" w:bidi="en_US"/>
        </w:rPr>
      </w:r>
      <w:r>
        <w:rPr>
          <w:b/>
          <w:lang w:val="en_US" w:bidi="en_US"/>
        </w:rPr>
        <w:t>hypocrisy:</w:t>
      </w:r>
      <w:r>
        <w:rPr>
          <w:lang w:val="en_US" w:bidi="en_US"/>
        </w:rPr>
        <w:t xml:space="preserve"> The Greek word that the BSB translates as </w:t>
      </w:r>
      <w:r>
        <w:rPr>
          <w:i/>
          <w:lang w:val="en_US" w:bidi="en_US"/>
        </w:rPr>
        <w:t>hypocrisy</w:t>
      </w:r>
      <w:r>
        <w:rPr>
          <w:lang w:val="en_US" w:bidi="en_US"/>
        </w:rPr>
        <w:t xml:space="preserve"> indicates that a person pretends to be different from how he really is. He appears to have a certain purpose or attitude, but actually he has a very different purpose or attitude. In front of other people, the Pharisees talked and acted as though they were righteous and loved God, but their real motives were sinful. In some languages it may be necessary to translate </w:t>
      </w:r>
      <w:r>
        <w:rPr>
          <w:i/>
          <w:lang w:val="en_US" w:bidi="en_US"/>
        </w:rPr>
        <w:t>hypocrisy</w:t>
      </w:r>
      <w:r>
        <w:rPr>
          <w:lang w:val="en_US" w:bidi="en_US"/>
        </w:rPr>
        <w:t xml:space="preserve"> as a verb. For example:</w:t>
      </w:r>
    </w:p>
    <w:p>
      <w:pPr/>
      <w:r>
        <w:rPr>
          <w:lang w:val="en_US" w:bidi="en_US"/>
        </w:rPr>
      </w:r>
      <w:r>
        <w:rPr>
          <w:lang w:val="en_US" w:bidi="en_US"/>
        </w:rPr>
        <w:t>the way they act/pretend like they’re serving God when they really aren’t (TRT)</w:t>
      </w:r>
    </w:p>
    <w:p>
      <w:pPr/>
      <w:r>
        <w:rPr>
          <w:lang w:val="en_US" w:bidi="en_US"/>
        </w:rPr>
      </w:r>
      <w:r>
        <w:rPr>
          <w:lang w:val="en_US" w:bidi="en_US"/>
        </w:rPr>
        <w:t>See the note on “hypocrite(s)” in 6:42d and 12:56a.</w:t>
      </w:r>
      <w:r>
        <w:rPr>
          <w:lang w:val="en_US" w:bidi="en_US"/>
        </w:rPr>
      </w:r>
      <w:r>
        <w:rPr>
          <w:lang w:val="en_US" w:bidi="en_US"/>
        </w:rPr>
      </w:r>
    </w:p>
    <w:p>
      <w:pPr/>
      <w:r>
        <w:rPr>
          <w:lang w:val="en_US" w:bidi="en_US"/>
        </w:rPr>
      </w:r>
    </w:p>
    <w:p>
      <w:pPr>
        <w:pStyle w:val="Heading2"/>
      </w:pPr>
      <w:r>
        <w:rPr>
          <w:lang w:val="en_US" w:bidi="en_US"/>
        </w:rPr>
        <w:t>Luke 12:2</w:t>
      </w:r>
      <w:r>
        <w:rPr>
          <w:lang w:val="en_US" w:bidi="en_US"/>
        </w:rPr>
      </w:r>
    </w:p>
    <w:p>
      <w:pPr>
        <w:pStyle w:val="Heading4"/>
      </w:pPr>
      <w:r>
        <w:rPr>
          <w:lang w:val="en_US" w:bidi="en_US"/>
        </w:rPr>
        <w:t>Section 12:1–12: Jesus warned and encouraged his disciples</w:t>
      </w:r>
    </w:p>
    <w:p>
      <w:pPr/>
      <w:r>
        <w:rPr>
          <w:lang w:val="en_US" w:bidi="en_US"/>
        </w:rPr>
      </w:r>
      <w:r>
        <w:rPr>
          <w:lang w:val="en_US" w:bidi="en_US"/>
        </w:rP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pPr/>
      <w:r>
        <w:rPr>
          <w:lang w:val="en_US" w:bidi="en_US"/>
        </w:rPr>
      </w:r>
      <w:r>
        <w:rPr>
          <w:lang w:val="en_US" w:bidi="en_US"/>
        </w:rPr>
        <w:t>It is good to translate this section before you decide on a heading for it. Another possible heading for this section is:</w:t>
      </w:r>
    </w:p>
    <w:p>
      <w:pPr/>
      <w:r>
        <w:rPr>
          <w:lang w:val="en_US" w:bidi="en_US"/>
        </w:rPr>
      </w:r>
      <w:r>
        <w:rPr>
          <w:lang w:val="en_US" w:bidi="en_US"/>
        </w:rPr>
        <w:t>Warnings and Encouragements (NIV)</w:t>
      </w:r>
    </w:p>
    <w:p>
      <w:pPr/>
      <w:r>
        <w:rPr>
          <w:lang w:val="en_US" w:bidi="en_US"/>
        </w:rPr>
      </w:r>
      <w:r>
        <w:rPr>
          <w:lang w:val="en_US" w:bidi="en_US"/>
        </w:rP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12:1–3</w:t>
            </w:r>
          </w:p>
        </w:tc>
        <w:tc>
          <w:tcPr>
            <w:tcW w:type="dxa" w:w="4680"/>
          </w:tcPr>
          <w:p>
            <w:pPr/>
            <w:r>
              <w:rPr>
                <w:lang w:val="en_US" w:bidi="en_US"/>
              </w:rPr>
            </w:r>
            <w:r>
              <w:rPr>
                <w:lang w:val="en_US" w:bidi="en_US"/>
              </w:rPr>
              <w:t xml:space="preserve">A Warning against Hypocrisy (GNT) </w:t>
            </w:r>
            <w:r>
              <w:rPr>
                <w:i/>
                <w:lang w:val="en_US" w:bidi="en_US"/>
              </w:rPr>
              <w:t>-or-</w:t>
            </w:r>
            <w:r>
              <w:rPr>
                <w:lang w:val="en_US" w:bidi="en_US"/>
              </w:rPr>
              <w:t xml:space="preserve"> Jesus warned his disciples not to be like the Pharisees</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10:26–27.)</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12:4–7</w:t>
            </w:r>
          </w:p>
        </w:tc>
        <w:tc>
          <w:tcPr>
            <w:tcW w:type="dxa" w:w="4680"/>
          </w:tcPr>
          <w:p>
            <w:pPr/>
            <w:r>
              <w:rPr>
                <w:lang w:val="en_US" w:bidi="en_US"/>
              </w:rPr>
            </w:r>
            <w:r>
              <w:rPr>
                <w:lang w:val="en_US" w:bidi="en_US"/>
              </w:rPr>
              <w:t xml:space="preserve">The One Whom People Should Fear </w:t>
            </w:r>
            <w:r>
              <w:rPr>
                <w:i/>
                <w:lang w:val="en_US" w:bidi="en_US"/>
              </w:rPr>
              <w:t>-or-</w:t>
            </w:r>
            <w:r>
              <w:rPr>
                <w:lang w:val="en_US" w:bidi="en_US"/>
              </w:rPr>
              <w:t xml:space="preserve"> Jesus told his disciples whom they should fear</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10:28–31.)</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12:8–12</w:t>
            </w:r>
          </w:p>
        </w:tc>
        <w:tc>
          <w:tcPr>
            <w:tcW w:type="dxa" w:w="4680"/>
          </w:tcPr>
          <w:p>
            <w:pPr/>
            <w:r>
              <w:rPr>
                <w:lang w:val="en_US" w:bidi="en_US"/>
              </w:rPr>
            </w:r>
            <w:r>
              <w:rPr>
                <w:lang w:val="en_US" w:bidi="en_US"/>
              </w:rPr>
              <w:t xml:space="preserve">Confessing and Rejecting Christ (GNT) </w:t>
            </w:r>
            <w:r>
              <w:rPr>
                <w:i/>
                <w:lang w:val="en_US" w:bidi="en_US"/>
              </w:rPr>
              <w:t>-or-</w:t>
            </w:r>
            <w:r>
              <w:rPr>
                <w:lang w:val="en_US" w:bidi="en_US"/>
              </w:rPr>
              <w:t xml:space="preserve"> Don’t Be Ashamed of Jesus (NCV)</w:t>
            </w:r>
          </w:p>
        </w:tc>
      </w:tr>
      <w:tr>
        <w:tc>
          <w:tcPr>
            <w:tcW w:type="dxa" w:w="4680"/>
          </w:tcPr>
          <w:p>
            <w:pPr/>
            <w:r>
              <w:rPr>
                <w:lang w:val="en_US" w:bidi="en_US"/>
              </w:rPr>
            </w:r>
          </w:p>
        </w:tc>
        <w:tc>
          <w:tcPr>
            <w:tcW w:type="dxa" w:w="4680"/>
          </w:tcPr>
          <w:p>
            <w:pPr/>
            <w:r>
              <w:rPr>
                <w:lang w:val="en_US" w:bidi="en_US"/>
              </w:rPr>
            </w:r>
            <w:r>
              <w:rPr>
                <w:lang w:val="en_US" w:bidi="en_US"/>
              </w:rPr>
              <w:t>(There are parallel passages for this section in Matthew 10:32–33, 12:32, 10:19–20.)</w:t>
            </w:r>
          </w:p>
        </w:tc>
      </w:tr>
    </w:tbl>
    <w:p>
      <w:pPr>
        <w:pStyle w:val="Heading5"/>
      </w:pPr>
      <w:r>
        <w:rPr>
          <w:lang w:val="en_US" w:bidi="en_US"/>
        </w:rPr>
        <w:t>12:2–3</w:t>
      </w:r>
    </w:p>
    <w:p>
      <w:pPr/>
      <w:r>
        <w:rPr>
          <w:lang w:val="en_US" w:bidi="en_US"/>
        </w:rPr>
      </w:r>
      <w:r>
        <w:rPr>
          <w:lang w:val="en_US" w:bidi="en_US"/>
        </w:rPr>
        <w:t>Many scholars think that one or both of these verses were well-known proverbs that Jesus used more than once in order to emphasize different truths. Here Jesus used the same proverbs he used in Matthew 10:26–27, but he was teaching a different lesson.</w:t>
      </w:r>
    </w:p>
    <w:p>
      <w:pPr>
        <w:pStyle w:val="Heading5"/>
      </w:pPr>
      <w:r>
        <w:rPr>
          <w:lang w:val="en_US" w:bidi="en_US"/>
        </w:rPr>
        <w:t>12:2a</w:t>
      </w:r>
    </w:p>
    <w:p>
      <w:pPr/>
      <w:r>
        <w:rPr>
          <w:lang w:val="en_US" w:bidi="en_US"/>
        </w:rPr>
      </w:r>
      <w:r>
        <w:rPr>
          <w:b/>
          <w:lang w:val="en_US" w:bidi="en_US"/>
        </w:rPr>
        <w:t>There is nothing concealed that will not be disclosed,</w:t>
      </w:r>
    </w:p>
    <w:p>
      <w:pPr>
        <w:pStyle w:val="ListBullet"/>
        <w:spacing w:line="240" w:lineRule="auto"/>
        <w:ind w:left="720"/>
      </w:pPr>
      <w:r>
        <w:rPr>
          <w:lang w:val="en_US" w:bidi="en_US"/>
        </w:rPr>
      </w:r>
      <w:r>
        <w:rPr>
          <w:lang w:val="en_US" w:bidi="en_US"/>
        </w:rPr>
        <w:t xml:space="preserve">There are no hidden </w:t>
      </w:r>
      <w:r>
        <w:rPr>
          <w:lang w:val="en_US" w:bidi="en_US"/>
        </w:rPr>
        <w:t>sins/motives of people</w:t>
      </w:r>
      <w:r>
        <w:rPr>
          <w:lang w:val="en_US" w:bidi="en_US"/>
        </w:rPr>
        <w:t xml:space="preserve"> that will not be found out.</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w:t>
      </w:r>
      <w:r>
        <w:rPr>
          <w:lang w:val="en_US" w:bidi="en_US"/>
        </w:rPr>
        <w:t>not be like them,</w:t>
      </w:r>
      <w:r>
        <w:rPr>
          <w:lang w:val="en_US" w:bidi="en_US"/>
        </w:rPr>
        <w:t xml:space="preserve"> </w:t>
      </w:r>
      <w:r>
        <w:rPr>
          <w:lang w:val="en_US" w:bidi="en_US"/>
        </w:rPr>
        <w:t>because</w:t>
      </w:r>
      <w:r>
        <w:rPr>
          <w:lang w:val="en_US" w:bidi="en_US"/>
        </w:rPr>
        <w:t xml:space="preserve"> everything that </w:t>
      </w:r>
      <w:r>
        <w:rPr>
          <w:lang w:val="en_US" w:bidi="en_US"/>
        </w:rPr>
        <w:t>people</w:t>
      </w:r>
      <w:r>
        <w:rPr>
          <w:lang w:val="en_US" w:bidi="en_US"/>
        </w:rPr>
        <w:t xml:space="preserve"> cover up </w:t>
      </w:r>
      <w:r>
        <w:rPr>
          <w:lang w:val="en_US" w:bidi="en_US"/>
        </w:rPr>
        <w:t>God</w:t>
      </w:r>
      <w:r>
        <w:rPr>
          <w:lang w:val="en_US" w:bidi="en_US"/>
        </w:rPr>
        <w:t xml:space="preserve"> will uncover.</w:t>
      </w:r>
    </w:p>
    <w:p>
      <w:pPr/>
      <w:r>
        <w:rPr>
          <w:lang w:val="en_US" w:bidi="en_US"/>
        </w:rPr>
      </w:r>
      <w:r>
        <w:rPr>
          <w:b/>
          <w:lang w:val="en_US" w:bidi="en_US"/>
        </w:rPr>
        <w:t>There is nothing concealed that will not be disclosed:</w:t>
      </w:r>
      <w:r>
        <w:rPr>
          <w:lang w:val="en_US" w:bidi="en_US"/>
        </w:rPr>
        <w:t xml:space="preserve"> This proverb gives a reason for Jesus’ warning in 12:1 that the disciples should not be hypocrites like the Pharisees. In some languages it may be necessary to make this connection explicit. For example:</w:t>
      </w:r>
    </w:p>
    <w:p>
      <w:pPr/>
      <w:r>
        <w:rPr>
          <w:lang w:val="en_US" w:bidi="en_US"/>
        </w:rPr>
      </w:r>
      <w:r>
        <w:rPr>
          <w:lang w:val="en_US" w:bidi="en_US"/>
        </w:rPr>
        <w:t>don’t become/be like them because</w:t>
      </w:r>
      <w:r>
        <w:rPr>
          <w:lang w:val="en_US" w:bidi="en_US"/>
        </w:rPr>
        <w:t xml:space="preserve"> … (TRT)</w:t>
      </w:r>
    </w:p>
    <w:p>
      <w:pPr/>
      <w:r>
        <w:rPr>
          <w:lang w:val="en_US" w:bidi="en_US"/>
        </w:rPr>
      </w:r>
      <w:r>
        <w:rPr>
          <w:lang w:val="en_US" w:bidi="en_US"/>
        </w:rPr>
        <w:t>In this context, the proverb means that God will reveal the truth about hypocrites such as the Pharisees. The Pharisees were trying to hide their real motives, but God will one day cause everyone to know what they were really thinking.</w:t>
      </w:r>
    </w:p>
    <w:p>
      <w:pPr/>
      <w:r>
        <w:rPr>
          <w:lang w:val="en_US" w:bidi="en_US"/>
        </w:rPr>
      </w:r>
      <w:r>
        <w:rPr>
          <w:lang w:val="en_US" w:bidi="en_US"/>
        </w:rPr>
        <w:t xml:space="preserve">Notice that this proverb contains two negatives: </w:t>
      </w:r>
      <w:r>
        <w:rPr>
          <w:i/>
          <w:lang w:val="en_US" w:bidi="en_US"/>
        </w:rPr>
        <w:t>nothing</w:t>
      </w:r>
      <w:r>
        <w:rPr>
          <w:lang w:val="en_US" w:bidi="en_US"/>
        </w:rPr>
        <w:t xml:space="preserve"> and </w:t>
      </w:r>
      <w:r>
        <w:rPr>
          <w:i/>
          <w:lang w:val="en_US" w:bidi="en_US"/>
        </w:rPr>
        <w:t>not</w:t>
      </w:r>
      <w:r>
        <w:rPr>
          <w:lang w:val="en_US" w:bidi="en_US"/>
        </w:rPr>
        <w:t>. In some languages it is more natural to translate without using negatives. For example:</w:t>
      </w:r>
    </w:p>
    <w:p>
      <w:pPr/>
      <w:r>
        <w:rPr>
          <w:lang w:val="en_US" w:bidi="en_US"/>
        </w:rPr>
      </w:r>
      <w:r>
        <w:rPr>
          <w:lang w:val="en_US" w:bidi="en_US"/>
        </w:rPr>
        <w:t>Everything that is hidden will be found out (CEV)</w:t>
      </w:r>
    </w:p>
    <w:p>
      <w:pPr/>
      <w:r>
        <w:rPr>
          <w:lang w:val="en_US" w:bidi="en_US"/>
        </w:rPr>
      </w:r>
      <w:r>
        <w:rPr>
          <w:b/>
          <w:lang w:val="en_US" w:bidi="en_US"/>
        </w:rPr>
        <w:t>concealed…disclosed:</w:t>
      </w:r>
      <w:r>
        <w:rPr>
          <w:lang w:val="en_US" w:bidi="en_US"/>
        </w:rPr>
        <w:t xml:space="preserve"> In Greek, the words that the BSB translates as </w:t>
      </w:r>
      <w:r>
        <w:rPr>
          <w:i/>
          <w:lang w:val="en_US" w:bidi="en_US"/>
        </w:rPr>
        <w:t>concealed</w:t>
      </w:r>
      <w:r>
        <w:rPr>
          <w:lang w:val="en_US" w:bidi="en_US"/>
        </w:rPr>
        <w:t xml:space="preserve"> and </w:t>
      </w:r>
      <w:r>
        <w:rPr>
          <w:i/>
          <w:lang w:val="en_US" w:bidi="en_US"/>
        </w:rPr>
        <w:t>disclosed</w:t>
      </w:r>
      <w:r>
        <w:rPr>
          <w:lang w:val="en_US" w:bidi="en_US"/>
        </w:rPr>
        <w:t xml:space="preserve"> are both passive forms. Some ways to translate these words are:</w:t>
      </w:r>
    </w:p>
    <w:p>
      <w:pPr>
        <w:pStyle w:val="ListBullet"/>
        <w:spacing w:line="240" w:lineRule="auto"/>
        <w:ind w:left="720"/>
      </w:pPr>
      <w:r>
        <w:rPr>
          <w:lang w:val="en_US" w:bidi="en_US"/>
        </w:rPr>
      </w:r>
      <w:r>
        <w:rPr>
          <w:lang w:val="en_US" w:bidi="en_US"/>
        </w:rPr>
        <w:t>As passive forms. For example:</w:t>
      </w:r>
      <w:r>
        <w:rPr>
          <w:lang w:val="en_US" w:bidi="en_US"/>
        </w:rPr>
        <w:t>Whatever is covered up will be uncovered (GNT)</w:t>
      </w:r>
    </w:p>
    <w:p>
      <w:pPr>
        <w:pStyle w:val="ListBullet"/>
        <w:spacing w:line="240" w:lineRule="auto"/>
        <w:ind w:left="720"/>
      </w:pPr>
      <w:r>
        <w:rPr>
          <w:lang w:val="en_US" w:bidi="en_US"/>
        </w:rPr>
      </w:r>
      <w:r>
        <w:rPr>
          <w:lang w:val="en_US" w:bidi="en_US"/>
        </w:rPr>
        <w:t xml:space="preserve">As active forms. Since this verse was probably a proverb, you should try to use a general subject for </w:t>
      </w:r>
      <w:r>
        <w:rPr>
          <w:i/>
          <w:lang w:val="en_US" w:bidi="en_US"/>
        </w:rPr>
        <w:t>concealed</w:t>
      </w:r>
      <w:r>
        <w:rPr>
          <w:lang w:val="en_US" w:bidi="en_US"/>
        </w:rPr>
        <w:t xml:space="preserve">. You should not refer specifically to the Pharisees. The implied subject of </w:t>
      </w:r>
      <w:r>
        <w:rPr>
          <w:i/>
          <w:lang w:val="en_US" w:bidi="en_US"/>
        </w:rPr>
        <w:t>disclosed</w:t>
      </w:r>
      <w:r>
        <w:rPr>
          <w:lang w:val="en_US" w:bidi="en_US"/>
        </w:rPr>
        <w:t xml:space="preserve"> is God. For example:</w:t>
      </w:r>
      <w:r>
        <w:rPr>
          <w:lang w:val="en_US" w:bidi="en_US"/>
        </w:rPr>
        <w:t>No one</w:t>
      </w:r>
      <w:r>
        <w:rPr>
          <w:lang w:val="en_US" w:bidi="en_US"/>
        </w:rPr>
        <w:t xml:space="preserve"> can hide anything that </w:t>
      </w:r>
      <w:r>
        <w:rPr>
          <w:lang w:val="en_US" w:bidi="en_US"/>
        </w:rPr>
        <w:t>God</w:t>
      </w:r>
      <w:r>
        <w:rPr>
          <w:lang w:val="en_US" w:bidi="en_US"/>
        </w:rPr>
        <w:t xml:space="preserve"> will not reveal</w:t>
      </w:r>
      <w:r>
        <w:rPr>
          <w:lang w:val="en_US" w:bidi="en_US"/>
        </w:rPr>
        <w:t>God</w:t>
      </w:r>
      <w:r>
        <w:rPr>
          <w:lang w:val="en_US" w:bidi="en_US"/>
        </w:rPr>
        <w:t xml:space="preserve"> will make known whatever </w:t>
      </w:r>
      <w:r>
        <w:rPr>
          <w:lang w:val="en_US" w:bidi="en_US"/>
        </w:rPr>
        <w:t>anyone</w:t>
      </w:r>
      <w:r>
        <w:rPr>
          <w:lang w:val="en_US" w:bidi="en_US"/>
        </w:rPr>
        <w:t xml:space="preserve"> tries to conceal</w:t>
      </w:r>
    </w:p>
    <w:p>
      <w:pPr/>
      <w:r>
        <w:rPr>
          <w:lang w:val="en_US" w:bidi="en_US"/>
        </w:rPr>
      </w:r>
      <w:r>
        <w:rPr>
          <w:lang w:val="en_US" w:bidi="en_US"/>
        </w:rPr>
        <w:t>Translate these words in a way that is most natural in your language.</w:t>
      </w:r>
    </w:p>
    <w:p>
      <w:pPr>
        <w:pStyle w:val="Heading5"/>
      </w:pPr>
      <w:r>
        <w:rPr>
          <w:lang w:val="en_US" w:bidi="en_US"/>
        </w:rPr>
        <w:t>12:2b</w:t>
      </w:r>
    </w:p>
    <w:p>
      <w:pPr/>
      <w:r>
        <w:rPr>
          <w:lang w:val="en_US" w:bidi="en_US"/>
        </w:rPr>
      </w:r>
      <w:r>
        <w:rPr>
          <w:b/>
          <w:lang w:val="en_US" w:bidi="en_US"/>
        </w:rPr>
        <w:t>and nothing hidden that will not be made known.</w:t>
      </w:r>
    </w:p>
    <w:p>
      <w:pPr>
        <w:pStyle w:val="ListBullet"/>
        <w:spacing w:line="240" w:lineRule="auto"/>
        <w:ind w:left="720"/>
      </w:pPr>
      <w:r>
        <w:rPr>
          <w:lang w:val="en_US" w:bidi="en_US"/>
        </w:rPr>
      </w:r>
      <w:r>
        <w:rPr>
          <w:lang w:val="en_US" w:bidi="en_US"/>
        </w:rPr>
        <w:t>People</w:t>
      </w:r>
      <w:r>
        <w:rPr>
          <w:lang w:val="en_US" w:bidi="en_US"/>
        </w:rPr>
        <w:t xml:space="preserve"> will </w:t>
      </w:r>
      <w:r>
        <w:rPr>
          <w:lang w:val="en_US" w:bidi="en_US"/>
        </w:rPr>
        <w:t>eventually/finally</w:t>
      </w:r>
      <w:r>
        <w:rPr>
          <w:lang w:val="en_US" w:bidi="en_US"/>
        </w:rPr>
        <w:t xml:space="preserve"> come to know everything that </w:t>
      </w:r>
      <w:r>
        <w:rPr>
          <w:lang w:val="en_US" w:bidi="en_US"/>
        </w:rPr>
        <w:t>anyone</w:t>
      </w:r>
      <w:r>
        <w:rPr>
          <w:lang w:val="en_US" w:bidi="en_US"/>
        </w:rPr>
        <w:t xml:space="preserve"> hides.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cannot keep anything hidden/secret forever.</w:t>
      </w:r>
    </w:p>
    <w:p>
      <w:pPr>
        <w:pStyle w:val="ListBullet"/>
        <w:spacing w:line="240" w:lineRule="auto"/>
        <w:ind w:left="720"/>
      </w:pPr>
      <w:r>
        <w:rPr>
          <w:lang w:val="en_US" w:bidi="en_US"/>
        </w:rPr>
      </w:r>
      <w:r>
        <w:rPr>
          <w:lang w:val="en_US" w:bidi="en_US"/>
        </w:rPr>
        <w:t>He/God</w:t>
      </w:r>
      <w:r>
        <w:rPr>
          <w:lang w:val="en_US" w:bidi="en_US"/>
        </w:rPr>
        <w:t xml:space="preserve"> will reveal everything that they try to hide.</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 statement that has the same meaning as the previous verse part. Some English versions introduce 12:2b with “or.” Others do not use a conjunction. Consider how your language would connect two similar statements such as 12:2a and 12:2b. See the General Comment on 12:2a–b at the end of 12:2b for ways to translate similar statements.</w:t>
      </w:r>
    </w:p>
    <w:p>
      <w:pPr/>
      <w:r>
        <w:rPr>
          <w:lang w:val="en_US" w:bidi="en_US"/>
        </w:rPr>
      </w:r>
      <w:r>
        <w:rPr>
          <w:b/>
          <w:lang w:val="en_US" w:bidi="en_US"/>
        </w:rPr>
        <w:t>nothing hidden that will not be made known:</w:t>
      </w:r>
      <w:r>
        <w:rPr>
          <w:lang w:val="en_US" w:bidi="en_US"/>
        </w:rPr>
        <w:t xml:space="preserve"> This part of the verse repeats the meaning of the previous verse part, using similar words. This is called parallelism and was a common pattern in Jewish proverbs.</w:t>
      </w:r>
    </w:p>
    <w:p>
      <w:pPr/>
      <w:r>
        <w:rPr>
          <w:lang w:val="en_US" w:bidi="en_US"/>
        </w:rPr>
      </w:r>
      <w:r>
        <w:rPr>
          <w:lang w:val="en_US" w:bidi="en_US"/>
        </w:rPr>
        <w:t xml:space="preserve">In Greek, the word “nothing” is not repeated in the second part of this statement. It has been left implied. In some languages it will be necessary to supply the full clause, as the BSB does by repeating </w:t>
      </w:r>
      <w:r>
        <w:rPr>
          <w:i/>
          <w:lang w:val="en_US" w:bidi="en_US"/>
        </w:rPr>
        <w:t>nothing</w:t>
      </w:r>
      <w:r>
        <w:rPr>
          <w:lang w:val="en_US" w:bidi="en_US"/>
        </w:rPr>
        <w:t>. For example:</w:t>
      </w:r>
    </w:p>
    <w:p>
      <w:pPr/>
      <w:r>
        <w:rPr>
          <w:lang w:val="en_US" w:bidi="en_US"/>
        </w:rPr>
      </w:r>
      <w:r>
        <w:rPr>
          <w:lang w:val="en_US" w:bidi="en_US"/>
        </w:rPr>
        <w:t>there is nothing</w:t>
      </w:r>
      <w:r>
        <w:rPr>
          <w:lang w:val="en_US" w:bidi="en_US"/>
        </w:rPr>
        <w:t xml:space="preserve"> hidden that will not be made known</w:t>
      </w:r>
    </w:p>
    <w:p>
      <w:pPr/>
      <w:r>
        <w:rPr>
          <w:lang w:val="en_US" w:bidi="en_US"/>
        </w:rPr>
      </w:r>
      <w:r>
        <w:rPr>
          <w:lang w:val="en_US" w:bidi="en_US"/>
        </w:rPr>
        <w:t xml:space="preserve">As in the previous verse part, the Greek words that the BSB translates as </w:t>
      </w:r>
      <w:r>
        <w:rPr>
          <w:i/>
          <w:lang w:val="en_US" w:bidi="en_US"/>
        </w:rPr>
        <w:t>hidden</w:t>
      </w:r>
      <w:r>
        <w:rPr>
          <w:lang w:val="en_US" w:bidi="en_US"/>
        </w:rPr>
        <w:t xml:space="preserve"> and </w:t>
      </w:r>
      <w:r>
        <w:rPr>
          <w:i/>
          <w:lang w:val="en_US" w:bidi="en_US"/>
        </w:rPr>
        <w:t>be made known</w:t>
      </w:r>
      <w:r>
        <w:rPr>
          <w:lang w:val="en_US" w:bidi="en_US"/>
        </w:rPr>
        <w:t xml:space="preserve"> are passive forms. In some languages it may be more natural to translate them with active forms. For example:</w:t>
      </w:r>
    </w:p>
    <w:p>
      <w:pPr/>
      <w:r>
        <w:rPr>
          <w:lang w:val="en_US" w:bidi="en_US"/>
        </w:rPr>
      </w:r>
      <w:r>
        <w:rPr>
          <w:lang w:val="en_US" w:bidi="en_US"/>
        </w:rPr>
        <w:t>God</w:t>
      </w:r>
      <w:r>
        <w:rPr>
          <w:lang w:val="en_US" w:bidi="en_US"/>
        </w:rPr>
        <w:t xml:space="preserve"> will make known anything that </w:t>
      </w:r>
      <w:r>
        <w:rPr>
          <w:lang w:val="en_US" w:bidi="en_US"/>
        </w:rPr>
        <w:t>a person</w:t>
      </w:r>
      <w:r>
        <w:rPr>
          <w:lang w:val="en_US" w:bidi="en_US"/>
        </w:rPr>
        <w:t xml:space="preserve"> hides.</w:t>
      </w:r>
    </w:p>
    <w:p>
      <w:pPr>
        <w:pStyle w:val="Heading6"/>
      </w:pPr>
      <w:r>
        <w:rPr>
          <w:b/>
          <w:lang w:val="en_US" w:bidi="en_US"/>
        </w:rPr>
        <w:t>General Comment on 12:2a–b</w:t>
      </w:r>
    </w:p>
    <w:p>
      <w:pPr/>
      <w:r>
        <w:rPr>
          <w:lang w:val="en_US" w:bidi="en_US"/>
        </w:rPr>
      </w:r>
      <w:r>
        <w:rPr>
          <w:lang w:val="en_US" w:bidi="en_US"/>
        </w:rPr>
        <w:t>The parallel statements in 12:2a and 12:2b express the same meaning. No contrast is intended. In some languages it may not be possible to repeat two statements with similar meanings without sounding redundant or without implying a contrast. Two ways to avoid these problems are:</w:t>
      </w:r>
    </w:p>
    <w:p>
      <w:pPr>
        <w:pStyle w:val="ListBullet"/>
        <w:spacing w:line="240" w:lineRule="auto"/>
        <w:ind w:left="720"/>
      </w:pPr>
      <w:r>
        <w:rPr>
          <w:lang w:val="en_US" w:bidi="en_US"/>
        </w:rPr>
      </w:r>
      <w:r>
        <w:rPr>
          <w:lang w:val="en_US" w:bidi="en_US"/>
        </w:rPr>
        <w:t>Use a different general subject in 12:2b. For example:</w:t>
      </w:r>
      <w:r>
        <w:rPr>
          <w:vertAlign w:val="superscript"/>
          <w:lang w:val="en_US" w:bidi="en_US"/>
        </w:rPr>
        <w:t>2a</w:t>
      </w:r>
      <w:r>
        <w:rPr>
          <w:lang w:val="en_US" w:bidi="en_US"/>
        </w:rPr>
        <w:t xml:space="preserve">Everything that </w:t>
      </w:r>
      <w:r>
        <w:rPr>
          <w:lang w:val="en_US" w:bidi="en_US"/>
        </w:rPr>
        <w:t>people</w:t>
      </w:r>
      <w:r>
        <w:rPr>
          <w:lang w:val="en_US" w:bidi="en_US"/>
        </w:rPr>
        <w:t xml:space="preserve"> cover up </w:t>
      </w:r>
      <w:r>
        <w:rPr>
          <w:lang w:val="en_US" w:bidi="en_US"/>
        </w:rPr>
        <w:t>God</w:t>
      </w:r>
      <w:r>
        <w:rPr>
          <w:lang w:val="en_US" w:bidi="en_US"/>
        </w:rPr>
        <w:t xml:space="preserve"> will uncover.</w:t>
      </w:r>
      <w:r>
        <w:rPr>
          <w:vertAlign w:val="superscript"/>
          <w:lang w:val="en_US" w:bidi="en_US"/>
        </w:rPr>
        <w:t>2b</w:t>
      </w:r>
      <w:r>
        <w:rPr>
          <w:lang w:val="en_US" w:bidi="en_US"/>
        </w:rPr>
        <w:t xml:space="preserve"> </w:t>
      </w:r>
      <w:r>
        <w:rPr>
          <w:u w:val="single"/>
          <w:lang w:val="en_US" w:bidi="en_US"/>
        </w:rPr>
        <w:t>You</w:t>
      </w:r>
      <w:r>
        <w:rPr>
          <w:lang w:val="en_US" w:bidi="en_US"/>
        </w:rPr>
        <w:t xml:space="preserve"> </w:t>
      </w:r>
      <w:r>
        <w:rPr>
          <w:vertAlign w:val="superscript"/>
          <w:lang w:val="en_US" w:bidi="en_US"/>
        </w:rPr>
        <w:t>(plur)</w:t>
      </w:r>
      <w:r>
        <w:rPr>
          <w:lang w:val="en_US" w:bidi="en_US"/>
        </w:rPr>
        <w:t xml:space="preserve"> cannot keep anything hidden forever.</w:t>
      </w:r>
    </w:p>
    <w:p>
      <w:pPr>
        <w:pStyle w:val="ListBullet"/>
        <w:spacing w:line="240" w:lineRule="auto"/>
        <w:ind w:left="720"/>
      </w:pPr>
      <w:r>
        <w:rPr>
          <w:lang w:val="en_US" w:bidi="en_US"/>
        </w:rPr>
      </w:r>
      <w:r>
        <w:rPr>
          <w:lang w:val="en_US" w:bidi="en_US"/>
        </w:rPr>
        <w:t>Reorder or combine the parts with similar meaning. For example:</w:t>
      </w:r>
      <w:r>
        <w:rPr>
          <w:lang w:val="en_US" w:bidi="en_US"/>
        </w:rPr>
        <w:t>Everything that is now hidden or unknown will be revealed or made known.</w:t>
      </w:r>
      <w:r>
        <w:rPr>
          <w:lang w:val="en_US" w:bidi="en_US"/>
        </w:rPr>
        <w:t>If people have any secret sins or hidden motives, God will cause them all to be known.</w:t>
      </w:r>
      <w:r>
        <w:rPr>
          <w:lang w:val="en_US" w:bidi="en_US"/>
        </w:rPr>
      </w:r>
      <w:r>
        <w:rPr>
          <w:lang w:val="en_US" w:bidi="en_US"/>
        </w:rPr>
      </w:r>
    </w:p>
    <w:p>
      <w:pPr/>
      <w:r>
        <w:rPr>
          <w:lang w:val="en_US" w:bidi="en_US"/>
        </w:rPr>
      </w:r>
    </w:p>
    <w:p>
      <w:pPr>
        <w:pStyle w:val="Heading2"/>
      </w:pPr>
      <w:r>
        <w:rPr>
          <w:lang w:val="en_US" w:bidi="en_US"/>
        </w:rPr>
        <w:t>Luke 12:3</w:t>
      </w:r>
      <w:r>
        <w:rPr>
          <w:lang w:val="en_US" w:bidi="en_US"/>
        </w:rPr>
      </w:r>
    </w:p>
    <w:p>
      <w:pPr>
        <w:pStyle w:val="Heading4"/>
      </w:pPr>
      <w:r>
        <w:rPr>
          <w:lang w:val="en_US" w:bidi="en_US"/>
        </w:rPr>
        <w:t>Section 12:1–12: Jesus warned and encouraged his disciples</w:t>
      </w:r>
    </w:p>
    <w:p>
      <w:pPr/>
      <w:r>
        <w:rPr>
          <w:lang w:val="en_US" w:bidi="en_US"/>
        </w:rPr>
      </w:r>
      <w:r>
        <w:rPr>
          <w:lang w:val="en_US" w:bidi="en_US"/>
        </w:rP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pPr/>
      <w:r>
        <w:rPr>
          <w:lang w:val="en_US" w:bidi="en_US"/>
        </w:rPr>
      </w:r>
      <w:r>
        <w:rPr>
          <w:lang w:val="en_US" w:bidi="en_US"/>
        </w:rPr>
        <w:t>It is good to translate this section before you decide on a heading for it. Another possible heading for this section is:</w:t>
      </w:r>
    </w:p>
    <w:p>
      <w:pPr/>
      <w:r>
        <w:rPr>
          <w:lang w:val="en_US" w:bidi="en_US"/>
        </w:rPr>
      </w:r>
      <w:r>
        <w:rPr>
          <w:lang w:val="en_US" w:bidi="en_US"/>
        </w:rPr>
        <w:t>Warnings and Encouragements (NIV)</w:t>
      </w:r>
    </w:p>
    <w:p>
      <w:pPr/>
      <w:r>
        <w:rPr>
          <w:lang w:val="en_US" w:bidi="en_US"/>
        </w:rPr>
      </w:r>
      <w:r>
        <w:rPr>
          <w:lang w:val="en_US" w:bidi="en_US"/>
        </w:rP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12:1–3</w:t>
            </w:r>
          </w:p>
        </w:tc>
        <w:tc>
          <w:tcPr>
            <w:tcW w:type="dxa" w:w="4680"/>
          </w:tcPr>
          <w:p>
            <w:pPr/>
            <w:r>
              <w:rPr>
                <w:lang w:val="en_US" w:bidi="en_US"/>
              </w:rPr>
            </w:r>
            <w:r>
              <w:rPr>
                <w:lang w:val="en_US" w:bidi="en_US"/>
              </w:rPr>
              <w:t xml:space="preserve">A Warning against Hypocrisy (GNT) </w:t>
            </w:r>
            <w:r>
              <w:rPr>
                <w:i/>
                <w:lang w:val="en_US" w:bidi="en_US"/>
              </w:rPr>
              <w:t>-or-</w:t>
            </w:r>
            <w:r>
              <w:rPr>
                <w:lang w:val="en_US" w:bidi="en_US"/>
              </w:rPr>
              <w:t xml:space="preserve"> Jesus warned his disciples not to be like the Pharisees</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10:26–27.)</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12:4–7</w:t>
            </w:r>
          </w:p>
        </w:tc>
        <w:tc>
          <w:tcPr>
            <w:tcW w:type="dxa" w:w="4680"/>
          </w:tcPr>
          <w:p>
            <w:pPr/>
            <w:r>
              <w:rPr>
                <w:lang w:val="en_US" w:bidi="en_US"/>
              </w:rPr>
            </w:r>
            <w:r>
              <w:rPr>
                <w:lang w:val="en_US" w:bidi="en_US"/>
              </w:rPr>
              <w:t xml:space="preserve">The One Whom People Should Fear </w:t>
            </w:r>
            <w:r>
              <w:rPr>
                <w:i/>
                <w:lang w:val="en_US" w:bidi="en_US"/>
              </w:rPr>
              <w:t>-or-</w:t>
            </w:r>
            <w:r>
              <w:rPr>
                <w:lang w:val="en_US" w:bidi="en_US"/>
              </w:rPr>
              <w:t xml:space="preserve"> Jesus told his disciples whom they should fear</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10:28–31.)</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12:8–12</w:t>
            </w:r>
          </w:p>
        </w:tc>
        <w:tc>
          <w:tcPr>
            <w:tcW w:type="dxa" w:w="4680"/>
          </w:tcPr>
          <w:p>
            <w:pPr/>
            <w:r>
              <w:rPr>
                <w:lang w:val="en_US" w:bidi="en_US"/>
              </w:rPr>
            </w:r>
            <w:r>
              <w:rPr>
                <w:lang w:val="en_US" w:bidi="en_US"/>
              </w:rPr>
              <w:t xml:space="preserve">Confessing and Rejecting Christ (GNT) </w:t>
            </w:r>
            <w:r>
              <w:rPr>
                <w:i/>
                <w:lang w:val="en_US" w:bidi="en_US"/>
              </w:rPr>
              <w:t>-or-</w:t>
            </w:r>
            <w:r>
              <w:rPr>
                <w:lang w:val="en_US" w:bidi="en_US"/>
              </w:rPr>
              <w:t xml:space="preserve"> Don’t Be Ashamed of Jesus (NCV)</w:t>
            </w:r>
          </w:p>
        </w:tc>
      </w:tr>
      <w:tr>
        <w:tc>
          <w:tcPr>
            <w:tcW w:type="dxa" w:w="4680"/>
          </w:tcPr>
          <w:p>
            <w:pPr/>
            <w:r>
              <w:rPr>
                <w:lang w:val="en_US" w:bidi="en_US"/>
              </w:rPr>
            </w:r>
          </w:p>
        </w:tc>
        <w:tc>
          <w:tcPr>
            <w:tcW w:type="dxa" w:w="4680"/>
          </w:tcPr>
          <w:p>
            <w:pPr/>
            <w:r>
              <w:rPr>
                <w:lang w:val="en_US" w:bidi="en_US"/>
              </w:rPr>
            </w:r>
            <w:r>
              <w:rPr>
                <w:lang w:val="en_US" w:bidi="en_US"/>
              </w:rPr>
              <w:t>(There are parallel passages for this section in Matthew 10:32–33, 12:32, 10:19–20.)</w:t>
            </w:r>
          </w:p>
        </w:tc>
      </w:tr>
    </w:tbl>
    <w:p>
      <w:pPr>
        <w:pStyle w:val="Heading5"/>
      </w:pPr>
      <w:r>
        <w:rPr>
          <w:lang w:val="en_US" w:bidi="en_US"/>
        </w:rPr>
        <w:t>12:3</w:t>
      </w:r>
    </w:p>
    <w:p>
      <w:pPr/>
      <w:r>
        <w:rPr>
          <w:lang w:val="en_US" w:bidi="en_US"/>
        </w:rPr>
      </w:r>
      <w:r>
        <w:rPr>
          <w:lang w:val="en_US" w:bidi="en_US"/>
        </w:rPr>
        <w:t>In this verse Jesus again used parallelism. Both parts of the verse contain similar ideas. They both mean that private information will be made public. See the General Comment on 12:3a–b at the end of 12:3b for ways to translate these parallel ideas.</w:t>
      </w:r>
    </w:p>
    <w:p>
      <w:pPr>
        <w:pStyle w:val="Heading5"/>
      </w:pPr>
      <w:r>
        <w:rPr>
          <w:lang w:val="en_US" w:bidi="en_US"/>
        </w:rPr>
        <w:t>12:3a</w:t>
      </w:r>
    </w:p>
    <w:p>
      <w:pPr/>
      <w:r>
        <w:rPr>
          <w:lang w:val="en_US" w:bidi="en_US"/>
        </w:rPr>
      </w:r>
      <w:r>
        <w:rPr>
          <w:b/>
          <w:lang w:val="en_US" w:bidi="en_US"/>
        </w:rPr>
        <w:t>What you have spoken in the dark will be heard in the daylight,</w:t>
      </w:r>
    </w:p>
    <w:p>
      <w:pPr>
        <w:pStyle w:val="ListBullet"/>
        <w:spacing w:line="240" w:lineRule="auto"/>
        <w:ind w:left="720"/>
      </w:pPr>
      <w:r>
        <w:rPr>
          <w:lang w:val="en_US" w:bidi="en_US"/>
        </w:rPr>
      </w:r>
      <w:r>
        <w:rPr>
          <w:lang w:val="en_US" w:bidi="en_US"/>
        </w:rPr>
        <w:t xml:space="preserve">Therefore/So what you said in </w:t>
      </w:r>
      <w:r>
        <w:rPr>
          <w:lang w:val="en_US" w:bidi="en_US"/>
        </w:rPr>
        <w:t>the middle of</w:t>
      </w:r>
      <w:r>
        <w:rPr>
          <w:lang w:val="en_US" w:bidi="en_US"/>
        </w:rPr>
        <w:t xml:space="preserve"> the night will become known </w:t>
      </w:r>
      <w:r>
        <w:rPr>
          <w:lang w:val="en_US" w:bidi="en_US"/>
        </w:rPr>
        <w:t>publicly</w:t>
      </w:r>
      <w:r>
        <w:rPr>
          <w:lang w:val="en_US" w:bidi="en_US"/>
        </w:rPr>
        <w:t xml:space="preserve"> in the daytime.</w:t>
      </w:r>
    </w:p>
    <w:p>
      <w:pPr>
        <w:pStyle w:val="ListBullet"/>
        <w:spacing w:line="240" w:lineRule="auto"/>
        <w:ind w:left="720"/>
      </w:pPr>
      <w:r>
        <w:rPr>
          <w:lang w:val="en_US" w:bidi="en_US"/>
        </w:rPr>
      </w:r>
      <w:r>
        <w:rPr>
          <w:lang w:val="en_US" w:bidi="en_US"/>
        </w:rPr>
        <w:t xml:space="preserve">Since this is true, everyone will </w:t>
      </w:r>
      <w:r>
        <w:rPr>
          <w:lang w:val="en_US" w:bidi="en_US"/>
        </w:rPr>
        <w:t>later</w:t>
      </w:r>
      <w:r>
        <w:rPr>
          <w:lang w:val="en_US" w:bidi="en_US"/>
        </w:rPr>
        <w:t xml:space="preserve"> know/hear the things that you</w:t>
      </w:r>
      <w:r>
        <w:rPr>
          <w:vertAlign w:val="superscript"/>
          <w:lang w:val="en_US" w:bidi="en_US"/>
        </w:rPr>
        <w:t>(plur)</w:t>
      </w:r>
      <w:r>
        <w:rPr>
          <w:lang w:val="en_US" w:bidi="en_US"/>
        </w:rPr>
        <w:t xml:space="preserve"> </w:t>
      </w:r>
      <w:r>
        <w:rPr>
          <w:lang w:val="en_US" w:bidi="en_US"/>
        </w:rPr>
        <w:t>now</w:t>
      </w:r>
      <w:r>
        <w:rPr>
          <w:lang w:val="en_US" w:bidi="en_US"/>
        </w:rPr>
        <w:t xml:space="preserve"> say secretly/privately.</w:t>
      </w:r>
    </w:p>
    <w:p>
      <w:pPr/>
      <w:r>
        <w:rPr>
          <w:lang w:val="en_US" w:bidi="en_US"/>
        </w:rPr>
      </w:r>
      <w:r>
        <w:rPr>
          <w:lang w:val="en_US" w:bidi="en_US"/>
        </w:rPr>
        <w:t>In Greek, this verse begins with a conjunction that several English versions, such as the CSB and ESV, translate as “Therefore.” It introduces the specific result of the general principle that Jesus stated in 12:1–2. It applies this principle to the disciples. The BSB does not translate this conjunction. Other ways to introduce this result are:</w:t>
      </w:r>
    </w:p>
    <w:p>
      <w:pPr/>
      <w:r>
        <w:rPr>
          <w:lang w:val="en_US" w:bidi="en_US"/>
        </w:rPr>
      </w:r>
      <w:r>
        <w:rPr>
          <w:lang w:val="en_US" w:bidi="en_US"/>
        </w:rPr>
        <w:t>So then (GNT)</w:t>
      </w:r>
    </w:p>
    <w:p>
      <w:pPr/>
      <w:r>
        <w:rPr>
          <w:lang w:val="en_US" w:bidi="en_US"/>
        </w:rPr>
      </w:r>
      <w:r>
        <w:rPr>
          <w:lang w:val="en_US" w:bidi="en_US"/>
        </w:rPr>
        <w:t>Accordingly</w:t>
      </w:r>
    </w:p>
    <w:p>
      <w:pPr/>
      <w:r>
        <w:rPr>
          <w:lang w:val="en_US" w:bidi="en_US"/>
        </w:rPr>
      </w:r>
      <w:r>
        <w:rPr>
          <w:lang w:val="en_US" w:bidi="en_US"/>
        </w:rPr>
        <w:t>As a result</w:t>
      </w:r>
    </w:p>
    <w:p>
      <w:pPr/>
      <w:r>
        <w:rPr>
          <w:lang w:val="en_US" w:bidi="en_US"/>
        </w:rPr>
      </w:r>
      <w:r>
        <w:rPr>
          <w:b/>
          <w:lang w:val="en_US" w:bidi="en_US"/>
        </w:rPr>
        <w:t>What you have spoken in the dark will be heard in the daylight:</w:t>
      </w:r>
      <w:r>
        <w:rPr>
          <w:lang w:val="en_US" w:bidi="en_US"/>
        </w:rPr>
        <w:t xml:space="preserve"> This clause has a figurative meaning. The phrase </w:t>
      </w:r>
      <w:r>
        <w:rPr>
          <w:i/>
          <w:lang w:val="en_US" w:bidi="en_US"/>
        </w:rPr>
        <w:t>What you have spoken in the dark</w:t>
      </w:r>
      <w:r>
        <w:rPr>
          <w:lang w:val="en_US" w:bidi="en_US"/>
        </w:rPr>
        <w:t xml:space="preserve"> means “what you have said privately/secretly to a few people.” The phrase </w:t>
      </w:r>
      <w:r>
        <w:rPr>
          <w:i/>
          <w:lang w:val="en_US" w:bidi="en_US"/>
        </w:rPr>
        <w:t>will be heard in the daylight</w:t>
      </w:r>
      <w:r>
        <w:rPr>
          <w:lang w:val="en_US" w:bidi="en_US"/>
        </w:rPr>
        <w:t xml:space="preserve"> means “will be heard in public by many people.” Some ways to translate this figure of speech are:</w:t>
      </w:r>
    </w:p>
    <w:p>
      <w:pPr>
        <w:pStyle w:val="ListBullet"/>
        <w:spacing w:line="240" w:lineRule="auto"/>
        <w:ind w:left="720"/>
      </w:pPr>
      <w:r>
        <w:rPr>
          <w:lang w:val="en_US" w:bidi="en_US"/>
        </w:rPr>
      </w:r>
      <w:r>
        <w:rPr>
          <w:lang w:val="en_US" w:bidi="en_US"/>
        </w:rPr>
        <w:t>Keep the images of dark/night and light/day. Make explicit some of the figurative meaning if necessary. For example:</w:t>
      </w:r>
      <w:r>
        <w:rPr>
          <w:lang w:val="en_US" w:bidi="en_US"/>
        </w:rPr>
        <w:t xml:space="preserve">What you said </w:t>
      </w:r>
      <w:r>
        <w:rPr>
          <w:lang w:val="en_US" w:bidi="en_US"/>
        </w:rPr>
        <w:t>quietly</w:t>
      </w:r>
      <w:r>
        <w:rPr>
          <w:lang w:val="en_US" w:bidi="en_US"/>
        </w:rPr>
        <w:t xml:space="preserve"> in the darkness/night will become known </w:t>
      </w:r>
      <w:r>
        <w:rPr>
          <w:lang w:val="en_US" w:bidi="en_US"/>
        </w:rPr>
        <w:t>to everyone</w:t>
      </w:r>
      <w:r>
        <w:rPr>
          <w:lang w:val="en_US" w:bidi="en_US"/>
        </w:rPr>
        <w:t xml:space="preserve"> in the daytime</w:t>
      </w:r>
      <w:r>
        <w:rPr>
          <w:lang w:val="en_US" w:bidi="en_US"/>
        </w:rPr>
        <w:t>People/everyone</w:t>
      </w:r>
      <w:r>
        <w:rPr>
          <w:lang w:val="en_US" w:bidi="en_US"/>
        </w:rPr>
        <w:t xml:space="preserve"> will hear in the day the </w:t>
      </w:r>
      <w:r>
        <w:rPr>
          <w:lang w:val="en_US" w:bidi="en_US"/>
        </w:rPr>
        <w:t>secret</w:t>
      </w:r>
      <w:r>
        <w:rPr>
          <w:lang w:val="en_US" w:bidi="en_US"/>
        </w:rPr>
        <w:t xml:space="preserve"> things you spoke when it was dark/night</w:t>
      </w:r>
    </w:p>
    <w:p>
      <w:pPr>
        <w:pStyle w:val="ListBullet"/>
        <w:spacing w:line="240" w:lineRule="auto"/>
        <w:ind w:left="720"/>
      </w:pPr>
      <w:r>
        <w:rPr>
          <w:lang w:val="en_US" w:bidi="en_US"/>
        </w:rPr>
      </w:r>
      <w:r>
        <w:rPr>
          <w:lang w:val="en_US" w:bidi="en_US"/>
        </w:rPr>
        <w:t>Translate the meaning without the figures of “dark” and “daylight.” For example:</w:t>
      </w:r>
      <w:r>
        <w:rPr>
          <w:lang w:val="en_US" w:bidi="en_US"/>
        </w:rPr>
        <w:t>What you say privately, people will hear about publicly</w:t>
      </w:r>
    </w:p>
    <w:p>
      <w:pPr/>
      <w:r>
        <w:rPr>
          <w:lang w:val="en_US" w:bidi="en_US"/>
        </w:rPr>
      </w:r>
      <w:r>
        <w:rPr>
          <w:lang w:val="en_US" w:bidi="en_US"/>
        </w:rPr>
        <w:t>Translate this figure of speech in a way that is most natural in your language.</w:t>
      </w:r>
    </w:p>
    <w:p>
      <w:pPr/>
      <w:r>
        <w:rPr>
          <w:lang w:val="en_US" w:bidi="en_US"/>
        </w:rPr>
      </w:r>
      <w:r>
        <w:rPr>
          <w:b/>
          <w:lang w:val="en_US" w:bidi="en_US"/>
        </w:rPr>
        <w:t>will be heard:</w:t>
      </w:r>
      <w:r>
        <w:rPr>
          <w:lang w:val="en_US" w:bidi="en_US"/>
        </w:rPr>
        <w:t xml:space="preserve"> This is a passive verb. If it is necessary in your language to use an active verb, you may supply “people” or “everyone” as the subject. For example:</w:t>
      </w:r>
    </w:p>
    <w:p>
      <w:pPr/>
      <w:r>
        <w:rPr>
          <w:lang w:val="en_US" w:bidi="en_US"/>
        </w:rPr>
      </w:r>
      <w:r>
        <w:rPr>
          <w:lang w:val="en_US" w:bidi="en_US"/>
        </w:rPr>
        <w:t>everyone will hear what you talked about in private</w:t>
      </w:r>
    </w:p>
    <w:p>
      <w:pPr>
        <w:pStyle w:val="Heading5"/>
      </w:pPr>
      <w:r>
        <w:rPr>
          <w:lang w:val="en_US" w:bidi="en_US"/>
        </w:rPr>
        <w:t>12:3b</w:t>
      </w:r>
    </w:p>
    <w:p>
      <w:pPr/>
      <w:r>
        <w:rPr>
          <w:lang w:val="en_US" w:bidi="en_US"/>
        </w:rPr>
      </w:r>
      <w:r>
        <w:rPr>
          <w:b/>
          <w:lang w:val="en_US" w:bidi="en_US"/>
        </w:rPr>
        <w:t>and what you have whispered in the inner rooms will be proclaimed from the housetops.</w:t>
      </w:r>
    </w:p>
    <w:p>
      <w:pPr>
        <w:pStyle w:val="ListBullet"/>
        <w:spacing w:line="240" w:lineRule="auto"/>
        <w:ind w:left="720"/>
      </w:pPr>
      <w:r>
        <w:rPr>
          <w:lang w:val="en_US" w:bidi="en_US"/>
        </w:rPr>
      </w:r>
      <w:r>
        <w:rPr>
          <w:lang w:val="en_US" w:bidi="en_US"/>
        </w:rPr>
        <w:t xml:space="preserve">Yes, the things that you whispered in </w:t>
      </w:r>
      <w:r>
        <w:rPr>
          <w:lang w:val="en_US" w:bidi="en_US"/>
        </w:rPr>
        <w:t>a friend’s</w:t>
      </w:r>
      <w:r>
        <w:rPr>
          <w:lang w:val="en_US" w:bidi="en_US"/>
        </w:rPr>
        <w:t xml:space="preserve"> ear in a closed/private room will be shouted/announced to the whole community/village.</w:t>
      </w:r>
    </w:p>
    <w:p>
      <w:pPr>
        <w:pStyle w:val="ListBullet"/>
        <w:spacing w:line="240" w:lineRule="auto"/>
        <w:ind w:left="720"/>
      </w:pPr>
      <w:r>
        <w:rPr>
          <w:lang w:val="en_US" w:bidi="en_US"/>
        </w:rPr>
      </w:r>
      <w:r>
        <w:rPr>
          <w:lang w:val="en_US" w:bidi="en_US"/>
        </w:rPr>
        <w:t>One day</w:t>
      </w:r>
      <w:r>
        <w:rPr>
          <w:lang w:val="en_US" w:bidi="en_US"/>
        </w:rPr>
        <w:t xml:space="preserve"> </w:t>
      </w:r>
      <w:r>
        <w:rPr>
          <w:lang w:val="en_US" w:bidi="en_US"/>
        </w:rPr>
        <w:t>someone</w:t>
      </w:r>
      <w:r>
        <w:rPr>
          <w:lang w:val="en_US" w:bidi="en_US"/>
        </w:rPr>
        <w:t xml:space="preserve"> will loudly declare what you</w:t>
      </w:r>
      <w:r>
        <w:rPr>
          <w:vertAlign w:val="superscript"/>
          <w:lang w:val="en_US" w:bidi="en_US"/>
        </w:rPr>
        <w:t>(plur)</w:t>
      </w:r>
      <w:r>
        <w:rPr>
          <w:lang w:val="en_US" w:bidi="en_US"/>
        </w:rPr>
        <w:t xml:space="preserve"> now tell secretly to a few people, and many people will hear it.”</w:t>
      </w:r>
    </w:p>
    <w:p>
      <w:pPr/>
      <w:r>
        <w:rPr>
          <w:lang w:val="en_US" w:bidi="en_US"/>
        </w:rPr>
      </w:r>
      <w:r>
        <w:rPr>
          <w:b/>
          <w:lang w:val="en_US" w:bidi="en_US"/>
        </w:rPr>
        <w:t>what you have whispered:</w:t>
      </w:r>
      <w:r>
        <w:rPr>
          <w:lang w:val="en_US" w:bidi="en_US"/>
        </w:rPr>
        <w:t xml:space="preserve"> The Greek phrase that the BSB translates as </w:t>
      </w:r>
      <w:r>
        <w:rPr>
          <w:i/>
          <w:lang w:val="en_US" w:bidi="en_US"/>
        </w:rPr>
        <w:t>whispered</w:t>
      </w:r>
      <w:r>
        <w:rPr>
          <w:lang w:val="en_US" w:bidi="en_US"/>
        </w:rPr>
        <w:t xml:space="preserve"> is literally “spoken in the ear.” It refers to talking quietly next to someone’s ear so that only that person can hear what is said. Other ways to translate this phrase are:</w:t>
      </w:r>
    </w:p>
    <w:p>
      <w:pPr/>
      <w:r>
        <w:rPr>
          <w:lang w:val="en_US" w:bidi="en_US"/>
        </w:rPr>
      </w:r>
      <w:r>
        <w:rPr>
          <w:lang w:val="en_US" w:bidi="en_US"/>
        </w:rPr>
        <w:t>Whatever you whisper (CEV)</w:t>
      </w:r>
    </w:p>
    <w:p>
      <w:pPr/>
      <w:r>
        <w:rPr>
          <w:lang w:val="en_US" w:bidi="en_US"/>
        </w:rPr>
      </w:r>
      <w:r>
        <w:rPr>
          <w:lang w:val="en_US" w:bidi="en_US"/>
        </w:rPr>
        <w:t>whatever you have whispered in private (GNT)</w:t>
      </w:r>
    </w:p>
    <w:p>
      <w:pPr/>
      <w:r>
        <w:rPr>
          <w:lang w:val="en_US" w:bidi="en_US"/>
        </w:rPr>
      </w:r>
      <w:r>
        <w:rPr>
          <w:lang w:val="en_US" w:bidi="en_US"/>
        </w:rPr>
        <w:t>Use an expression that expresses this meaning naturally in your language.</w:t>
      </w:r>
    </w:p>
    <w:p>
      <w:pPr/>
      <w:r>
        <w:rPr>
          <w:lang w:val="en_US" w:bidi="en_US"/>
        </w:rPr>
      </w:r>
      <w:r>
        <w:rPr>
          <w:b/>
          <w:lang w:val="en_US" w:bidi="en_US"/>
        </w:rPr>
        <w:t>in the inner rooms:</w:t>
      </w:r>
      <w:r>
        <w:rPr>
          <w:lang w:val="en_US" w:bidi="en_US"/>
        </w:rPr>
        <w:t xml:space="preserve"> Many Jewish houses had thin walls. Sometimes people outside could hear what people said inside the house. The phrase </w:t>
      </w:r>
      <w:r>
        <w:rPr>
          <w:i/>
          <w:lang w:val="en_US" w:bidi="en_US"/>
        </w:rPr>
        <w:t>in the inner rooms</w:t>
      </w:r>
      <w:r>
        <w:rPr>
          <w:lang w:val="en_US" w:bidi="en_US"/>
        </w:rPr>
        <w:t xml:space="preserve"> refers to a part of the house where people could talk secretly. They knew that people outside could not hear what they said in that room. Other ways to translate this phrase in English are:</w:t>
      </w:r>
    </w:p>
    <w:p>
      <w:pPr/>
      <w:r>
        <w:rPr>
          <w:lang w:val="en_US" w:bidi="en_US"/>
        </w:rPr>
      </w:r>
      <w:r>
        <w:rPr>
          <w:lang w:val="en_US" w:bidi="en_US"/>
        </w:rPr>
        <w:t>behind closed doors (REB)</w:t>
      </w:r>
    </w:p>
    <w:p>
      <w:pPr/>
      <w:r>
        <w:rPr>
          <w:lang w:val="en_US" w:bidi="en_US"/>
        </w:rPr>
      </w:r>
      <w:r>
        <w:rPr>
          <w:lang w:val="en_US" w:bidi="en_US"/>
        </w:rPr>
        <w:t>in a closed room (GNT)</w:t>
      </w:r>
    </w:p>
    <w:p>
      <w:pPr/>
      <w:r>
        <w:rPr>
          <w:lang w:val="en_US" w:bidi="en_US"/>
        </w:rPr>
      </w:r>
      <w:r>
        <w:rPr>
          <w:lang w:val="en_US" w:bidi="en_US"/>
        </w:rPr>
        <w:t>in private rooms (GW)</w:t>
      </w:r>
    </w:p>
    <w:p>
      <w:pPr/>
      <w:r>
        <w:rPr>
          <w:lang w:val="en_US" w:bidi="en_US"/>
        </w:rPr>
      </w:r>
      <w:r>
        <w:rPr>
          <w:lang w:val="en_US" w:bidi="en_US"/>
        </w:rPr>
        <w:t>In areas where houses do not have inner rooms, you may use a descriptive phrase that focuses on the function of an inner room. For example:</w:t>
      </w:r>
    </w:p>
    <w:p>
      <w:pPr/>
      <w:r>
        <w:rPr>
          <w:lang w:val="en_US" w:bidi="en_US"/>
        </w:rPr>
      </w:r>
      <w:r>
        <w:rPr>
          <w:lang w:val="en_US" w:bidi="en_US"/>
        </w:rPr>
        <w:t>in a place where you can speak privately</w:t>
      </w:r>
    </w:p>
    <w:p>
      <w:pPr/>
      <w:r>
        <w:rPr>
          <w:lang w:val="en_US" w:bidi="en_US"/>
        </w:rPr>
      </w:r>
      <w:r>
        <w:rPr>
          <w:lang w:val="en_US" w:bidi="en_US"/>
        </w:rPr>
        <w:t>in a place where others will not hear you</w:t>
      </w:r>
    </w:p>
    <w:p>
      <w:pPr/>
      <w:r>
        <w:rPr>
          <w:lang w:val="en_US" w:bidi="en_US"/>
        </w:rPr>
      </w:r>
      <w:r>
        <w:rPr>
          <w:b/>
          <w:lang w:val="en_US" w:bidi="en_US"/>
        </w:rPr>
        <w:t>will be proclaimed:</w:t>
      </w:r>
      <w:r>
        <w:rPr>
          <w:lang w:val="en_US" w:bidi="en_US"/>
        </w:rPr>
        <w:t xml:space="preserve"> The verb that the BSB translates as </w:t>
      </w:r>
      <w:r>
        <w:rPr>
          <w:i/>
          <w:lang w:val="en_US" w:bidi="en_US"/>
        </w:rPr>
        <w:t>will be proclaimed</w:t>
      </w:r>
      <w:r>
        <w:rPr>
          <w:lang w:val="en_US" w:bidi="en_US"/>
        </w:rPr>
        <w:t xml:space="preserve"> means “will be announced” or “will be shouted.” It refers to saying something loudly and publicly. If you need to use an active verb and to supply a subject, try to use a general subject. For example:</w:t>
      </w:r>
    </w:p>
    <w:p>
      <w:pPr/>
      <w:r>
        <w:rPr>
          <w:lang w:val="en_US" w:bidi="en_US"/>
        </w:rPr>
      </w:r>
      <w:r>
        <w:rPr>
          <w:u w:val="single"/>
          <w:lang w:val="en_US" w:bidi="en_US"/>
        </w:rPr>
        <w:t>someone</w:t>
      </w:r>
      <w:r>
        <w:rPr>
          <w:lang w:val="en_US" w:bidi="en_US"/>
        </w:rPr>
        <w:t xml:space="preserve"> will shout/announce</w:t>
      </w:r>
    </w:p>
    <w:p>
      <w:pPr/>
      <w:r>
        <w:rPr>
          <w:lang w:val="en_US" w:bidi="en_US"/>
        </w:rPr>
      </w:r>
      <w:r>
        <w:rPr>
          <w:u w:val="single"/>
          <w:lang w:val="en_US" w:bidi="en_US"/>
        </w:rPr>
        <w:t>other people</w:t>
      </w:r>
      <w:r>
        <w:rPr>
          <w:lang w:val="en_US" w:bidi="en_US"/>
        </w:rPr>
        <w:t xml:space="preserve"> will proclaim</w:t>
      </w:r>
    </w:p>
    <w:p>
      <w:pPr/>
      <w:r>
        <w:rPr>
          <w:lang w:val="en_US" w:bidi="en_US"/>
        </w:rPr>
      </w:r>
      <w:r>
        <w:rPr>
          <w:b/>
          <w:lang w:val="en_US" w:bidi="en_US"/>
        </w:rPr>
        <w:t>proclaimed from the housetops:</w:t>
      </w:r>
      <w:r>
        <w:rPr>
          <w:lang w:val="en_US" w:bidi="en_US"/>
        </w:rPr>
        <w:t xml:space="preserve"> The action of proclaiming something </w:t>
      </w:r>
      <w:r>
        <w:rPr>
          <w:i/>
          <w:lang w:val="en_US" w:bidi="en_US"/>
        </w:rPr>
        <w:t>from the housetops</w:t>
      </w:r>
      <w:r>
        <w:rPr>
          <w:lang w:val="en_US" w:bidi="en_US"/>
        </w:rPr>
        <w:t xml:space="preserve"> had a special function or meaning in the Jewish culture. Jewish houses had flat roofs. People could stand on the flat roofs to announce important messages to others in the community who were gathered in the street below.</w:t>
      </w:r>
    </w:p>
    <w:p>
      <w:pPr/>
      <w:r>
        <w:rPr>
          <w:lang w:val="en_US" w:bidi="en_US"/>
        </w:rPr>
      </w:r>
      <w:r>
        <w:rPr>
          <w:lang w:val="en_US" w:bidi="en_US"/>
        </w:rPr>
        <w:t>In some cultures people will not understand the meaning or function of speaking from a rooftop. Some other ways to translate this action with its special meaning are:</w:t>
      </w:r>
    </w:p>
    <w:p>
      <w:pPr>
        <w:pStyle w:val="Heading6"/>
      </w:pPr>
      <w:r>
        <w:rPr>
          <w:b/>
          <w:lang w:val="en_US" w:bidi="en_US"/>
        </w:rPr>
        <w:t>General Comment on 12:3a–b</w:t>
      </w:r>
    </w:p>
    <w:p>
      <w:pPr>
        <w:pStyle w:val="ListBullet"/>
        <w:spacing w:line="240" w:lineRule="auto"/>
        <w:ind w:left="720"/>
      </w:pPr>
      <w:r>
        <w:rPr>
          <w:lang w:val="en_US" w:bidi="en_US"/>
        </w:rPr>
      </w:r>
      <w:r>
        <w:rPr>
          <w:lang w:val="en_US" w:bidi="en_US"/>
        </w:rPr>
        <w:t>Describe the action and supply the cultural meaning. For example:</w:t>
      </w:r>
      <w:r>
        <w:rPr>
          <w:lang w:val="en_US" w:bidi="en_US"/>
        </w:rPr>
        <w:t>will be shouted from the housetops for all to hear (NLT)</w:t>
      </w:r>
    </w:p>
    <w:p>
      <w:pPr>
        <w:pStyle w:val="ListBullet"/>
        <w:spacing w:line="240" w:lineRule="auto"/>
        <w:ind w:left="720"/>
      </w:pPr>
      <w:r>
        <w:rPr>
          <w:lang w:val="en_US" w:bidi="en_US"/>
        </w:rPr>
      </w:r>
      <w:r>
        <w:rPr>
          <w:lang w:val="en_US" w:bidi="en_US"/>
        </w:rPr>
        <w:t>Describe the action in a more general way and supply the meaning. For example:</w:t>
      </w:r>
      <w:r>
        <w:rPr>
          <w:lang w:val="en_US" w:bidi="en_US"/>
        </w:rPr>
        <w:t>Someone</w:t>
      </w:r>
      <w:r>
        <w:rPr>
          <w:lang w:val="en_US" w:bidi="en_US"/>
        </w:rPr>
        <w:t xml:space="preserve"> will go up to a high place and announce what you said </w:t>
      </w:r>
      <w:r>
        <w:rPr>
          <w:lang w:val="en_US" w:bidi="en_US"/>
        </w:rPr>
        <w:t>so that everyone can hear it</w:t>
      </w:r>
    </w:p>
    <w:p>
      <w:pPr>
        <w:pStyle w:val="ListBullet"/>
        <w:spacing w:line="240" w:lineRule="auto"/>
        <w:ind w:left="720"/>
      </w:pPr>
      <w:r>
        <w:rPr>
          <w:lang w:val="en_US" w:bidi="en_US"/>
        </w:rPr>
      </w:r>
      <w:r>
        <w:rPr>
          <w:lang w:val="en_US" w:bidi="en_US"/>
        </w:rPr>
        <w:t>Translate the meaning without the specific action. For example:</w:t>
      </w:r>
      <w:r>
        <w:rPr>
          <w:lang w:val="en_US" w:bidi="en_US"/>
        </w:rPr>
        <w:t>will be announced loudly so that everyone can hear</w:t>
      </w:r>
    </w:p>
    <w:p>
      <w:pPr/>
      <w:r>
        <w:rPr>
          <w:lang w:val="en_US" w:bidi="en_US"/>
        </w:rPr>
      </w:r>
      <w:r>
        <w:rPr>
          <w:lang w:val="en_US" w:bidi="en_US"/>
        </w:rPr>
        <w:t>In some languages it may be more natural to combine the ideas in these parallel lines. For example:</w:t>
      </w:r>
    </w:p>
    <w:p>
      <w:pPr/>
      <w:r>
        <w:rPr>
          <w:lang w:val="en_US" w:bidi="en_US"/>
        </w:rPr>
      </w:r>
      <w:r>
        <w:rPr>
          <w:lang w:val="en_US" w:bidi="en_US"/>
        </w:rPr>
        <w:t>So what you whispered to just a few people in a closed room will be announced in public so that everyone will hear it.</w:t>
      </w:r>
    </w:p>
    <w:p>
      <w:pPr/>
      <w:r>
        <w:rPr>
          <w:lang w:val="en_US" w:bidi="en_US"/>
        </w:rPr>
      </w:r>
      <w:r>
        <w:rPr>
          <w:lang w:val="en_US" w:bidi="en_US"/>
        </w:rPr>
        <w:t>Since this is true, someone will say loudly to everyone in the middle of the day what you said secretly/quietly to only your friend in the middle of the night.</w:t>
      </w:r>
      <w:r>
        <w:rPr>
          <w:lang w:val="en_US" w:bidi="en_US"/>
        </w:rPr>
      </w:r>
      <w:r>
        <w:rPr>
          <w:lang w:val="en_US" w:bidi="en_US"/>
        </w:rPr>
      </w:r>
    </w:p>
    <w:p>
      <w:pPr/>
      <w:r>
        <w:rPr>
          <w:lang w:val="en_US" w:bidi="en_US"/>
        </w:rPr>
      </w:r>
    </w:p>
    <w:p>
      <w:pPr>
        <w:pStyle w:val="Heading2"/>
      </w:pPr>
      <w:r>
        <w:rPr>
          <w:lang w:val="en_US" w:bidi="en_US"/>
        </w:rPr>
        <w:t>Luke 12:4</w:t>
      </w:r>
      <w:r>
        <w:rPr>
          <w:lang w:val="en_US" w:bidi="en_US"/>
        </w:rPr>
      </w:r>
    </w:p>
    <w:p>
      <w:pPr>
        <w:pStyle w:val="Heading4"/>
      </w:pPr>
      <w:r>
        <w:rPr>
          <w:lang w:val="en_US" w:bidi="en_US"/>
        </w:rPr>
        <w:t>Section 12:1–12: Jesus warned and encouraged his disciples</w:t>
      </w:r>
    </w:p>
    <w:p>
      <w:pPr/>
      <w:r>
        <w:rPr>
          <w:lang w:val="en_US" w:bidi="en_US"/>
        </w:rPr>
      </w:r>
      <w:r>
        <w:rPr>
          <w:lang w:val="en_US" w:bidi="en_US"/>
        </w:rP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pPr/>
      <w:r>
        <w:rPr>
          <w:lang w:val="en_US" w:bidi="en_US"/>
        </w:rPr>
      </w:r>
      <w:r>
        <w:rPr>
          <w:lang w:val="en_US" w:bidi="en_US"/>
        </w:rPr>
        <w:t>It is good to translate this section before you decide on a heading for it. Another possible heading for this section is:</w:t>
      </w:r>
    </w:p>
    <w:p>
      <w:pPr/>
      <w:r>
        <w:rPr>
          <w:lang w:val="en_US" w:bidi="en_US"/>
        </w:rPr>
      </w:r>
      <w:r>
        <w:rPr>
          <w:lang w:val="en_US" w:bidi="en_US"/>
        </w:rPr>
        <w:t>Warnings and Encouragements (NIV)</w:t>
      </w:r>
    </w:p>
    <w:p>
      <w:pPr/>
      <w:r>
        <w:rPr>
          <w:lang w:val="en_US" w:bidi="en_US"/>
        </w:rPr>
      </w:r>
      <w:r>
        <w:rPr>
          <w:lang w:val="en_US" w:bidi="en_US"/>
        </w:rP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12:1–3</w:t>
            </w:r>
          </w:p>
        </w:tc>
        <w:tc>
          <w:tcPr>
            <w:tcW w:type="dxa" w:w="4680"/>
          </w:tcPr>
          <w:p>
            <w:pPr/>
            <w:r>
              <w:rPr>
                <w:lang w:val="en_US" w:bidi="en_US"/>
              </w:rPr>
            </w:r>
            <w:r>
              <w:rPr>
                <w:lang w:val="en_US" w:bidi="en_US"/>
              </w:rPr>
              <w:t xml:space="preserve">A Warning against Hypocrisy (GNT) </w:t>
            </w:r>
            <w:r>
              <w:rPr>
                <w:i/>
                <w:lang w:val="en_US" w:bidi="en_US"/>
              </w:rPr>
              <w:t>-or-</w:t>
            </w:r>
            <w:r>
              <w:rPr>
                <w:lang w:val="en_US" w:bidi="en_US"/>
              </w:rPr>
              <w:t xml:space="preserve"> Jesus warned his disciples not to be like the Pharisees</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10:26–27.)</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12:4–7</w:t>
            </w:r>
          </w:p>
        </w:tc>
        <w:tc>
          <w:tcPr>
            <w:tcW w:type="dxa" w:w="4680"/>
          </w:tcPr>
          <w:p>
            <w:pPr/>
            <w:r>
              <w:rPr>
                <w:lang w:val="en_US" w:bidi="en_US"/>
              </w:rPr>
            </w:r>
            <w:r>
              <w:rPr>
                <w:lang w:val="en_US" w:bidi="en_US"/>
              </w:rPr>
              <w:t xml:space="preserve">The One Whom People Should Fear </w:t>
            </w:r>
            <w:r>
              <w:rPr>
                <w:i/>
                <w:lang w:val="en_US" w:bidi="en_US"/>
              </w:rPr>
              <w:t>-or-</w:t>
            </w:r>
            <w:r>
              <w:rPr>
                <w:lang w:val="en_US" w:bidi="en_US"/>
              </w:rPr>
              <w:t xml:space="preserve"> Jesus told his disciples whom they should fear</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10:28–31.)</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12:8–12</w:t>
            </w:r>
          </w:p>
        </w:tc>
        <w:tc>
          <w:tcPr>
            <w:tcW w:type="dxa" w:w="4680"/>
          </w:tcPr>
          <w:p>
            <w:pPr/>
            <w:r>
              <w:rPr>
                <w:lang w:val="en_US" w:bidi="en_US"/>
              </w:rPr>
            </w:r>
            <w:r>
              <w:rPr>
                <w:lang w:val="en_US" w:bidi="en_US"/>
              </w:rPr>
              <w:t xml:space="preserve">Confessing and Rejecting Christ (GNT) </w:t>
            </w:r>
            <w:r>
              <w:rPr>
                <w:i/>
                <w:lang w:val="en_US" w:bidi="en_US"/>
              </w:rPr>
              <w:t>-or-</w:t>
            </w:r>
            <w:r>
              <w:rPr>
                <w:lang w:val="en_US" w:bidi="en_US"/>
              </w:rPr>
              <w:t xml:space="preserve"> Don’t Be Ashamed of Jesus (NCV)</w:t>
            </w:r>
          </w:p>
        </w:tc>
      </w:tr>
      <w:tr>
        <w:tc>
          <w:tcPr>
            <w:tcW w:type="dxa" w:w="4680"/>
          </w:tcPr>
          <w:p>
            <w:pPr/>
            <w:r>
              <w:rPr>
                <w:lang w:val="en_US" w:bidi="en_US"/>
              </w:rPr>
            </w:r>
          </w:p>
        </w:tc>
        <w:tc>
          <w:tcPr>
            <w:tcW w:type="dxa" w:w="4680"/>
          </w:tcPr>
          <w:p>
            <w:pPr/>
            <w:r>
              <w:rPr>
                <w:lang w:val="en_US" w:bidi="en_US"/>
              </w:rPr>
            </w:r>
            <w:r>
              <w:rPr>
                <w:lang w:val="en_US" w:bidi="en_US"/>
              </w:rPr>
              <w:t>(There are parallel passages for this section in Matthew 10:32–33, 12:32, 10:19–20.)</w:t>
            </w:r>
          </w:p>
        </w:tc>
      </w:tr>
    </w:tbl>
    <w:p>
      <w:pPr>
        <w:pStyle w:val="Heading5"/>
      </w:pPr>
      <w:r>
        <w:rPr>
          <w:lang w:val="en_US" w:bidi="en_US"/>
        </w:rPr>
        <w:t>12:4–5</w:t>
      </w:r>
    </w:p>
    <w:p>
      <w:pPr/>
      <w:r>
        <w:rPr>
          <w:lang w:val="en_US" w:bidi="en_US"/>
        </w:rPr>
      </w:r>
      <w:r>
        <w:rPr>
          <w:lang w:val="en_US" w:bidi="en_US"/>
        </w:rPr>
        <w:t>In these verses Jesus emphasized a contrast between fearing God and fearing people. He used the verb “fear” three times. He also repeated the phrase “I tell you” at the beginning of 12:4 and the end of 12:5. Consider how to make the contrast in these two verses emphatic in your language.</w:t>
      </w:r>
    </w:p>
    <w:p>
      <w:pPr>
        <w:pStyle w:val="Heading5"/>
      </w:pPr>
      <w:r>
        <w:rPr>
          <w:lang w:val="en_US" w:bidi="en_US"/>
        </w:rPr>
        <w:t>12:4a</w:t>
      </w:r>
    </w:p>
    <w:p>
      <w:pPr/>
      <w:r>
        <w:rPr>
          <w:lang w:val="en_US" w:bidi="en_US"/>
        </w:rPr>
      </w:r>
      <w:r>
        <w:rPr>
          <w:b/>
          <w:lang w:val="en_US" w:bidi="en_US"/>
        </w:rPr>
        <w:t>I tell you, My friends, do not be afraid of those who kill the body</w:t>
      </w:r>
    </w:p>
    <w:p>
      <w:pPr>
        <w:pStyle w:val="ListBullet"/>
        <w:spacing w:line="240" w:lineRule="auto"/>
        <w:ind w:left="720"/>
      </w:pPr>
      <w:r>
        <w:rPr>
          <w:lang w:val="en_US" w:bidi="en_US"/>
        </w:rPr>
      </w:r>
      <w:r>
        <w:rPr>
          <w:lang w:val="en_US" w:bidi="en_US"/>
        </w:rPr>
        <w:t>¶ “My friends, I assure you</w:t>
      </w:r>
      <w:r>
        <w:rPr>
          <w:vertAlign w:val="superscript"/>
          <w:lang w:val="en_US" w:bidi="en_US"/>
        </w:rPr>
        <w:t>(plur)</w:t>
      </w:r>
      <w:r>
        <w:rPr>
          <w:lang w:val="en_US" w:bidi="en_US"/>
        </w:rPr>
        <w:t xml:space="preserve"> that you should not be afraid of people, since they can destroy </w:t>
      </w:r>
      <w:r>
        <w:rPr>
          <w:lang w:val="en_US" w:bidi="en_US"/>
        </w:rPr>
        <w:t>only</w:t>
      </w:r>
      <w:r>
        <w:rPr>
          <w:lang w:val="en_US" w:bidi="en_US"/>
        </w:rPr>
        <w:t xml:space="preserve"> your body,</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“Listen</w:t>
      </w:r>
      <w:r>
        <w:rPr>
          <w:vertAlign w:val="superscript"/>
          <w:lang w:val="en_US" w:bidi="en_US"/>
        </w:rPr>
        <w:t>(plur)</w:t>
      </w:r>
      <w:r>
        <w:rPr>
          <w:lang w:val="en_US" w:bidi="en_US"/>
        </w:rPr>
        <w:t>, my friends. Do not be afraid of people, even though they can cause your</w:t>
      </w:r>
      <w:r>
        <w:rPr>
          <w:vertAlign w:val="superscript"/>
          <w:lang w:val="en_US" w:bidi="en_US"/>
        </w:rPr>
        <w:t>(plur)</w:t>
      </w:r>
      <w:r>
        <w:rPr>
          <w:lang w:val="en_US" w:bidi="en_US"/>
        </w:rPr>
        <w:t xml:space="preserve"> life here on this earth to end,</w:t>
      </w:r>
    </w:p>
    <w:p>
      <w:pPr/>
      <w:r>
        <w:rPr>
          <w:lang w:val="en_US" w:bidi="en_US"/>
        </w:rPr>
      </w:r>
      <w:r>
        <w:rPr>
          <w:b/>
          <w:lang w:val="en_US" w:bidi="en_US"/>
        </w:rPr>
        <w:t>I tell you, My friends, do not be afraid:</w:t>
      </w:r>
      <w:r>
        <w:rPr>
          <w:lang w:val="en_US" w:bidi="en_US"/>
        </w:rPr>
        <w:t xml:space="preserve"> Jesus often used the words </w:t>
      </w:r>
      <w:r>
        <w:rPr>
          <w:i/>
          <w:lang w:val="en_US" w:bidi="en_US"/>
        </w:rPr>
        <w:t>I tell you</w:t>
      </w:r>
      <w:r>
        <w:rPr>
          <w:lang w:val="en_US" w:bidi="en_US"/>
        </w:rPr>
        <w:t xml:space="preserve"> to emphasize what he was about to say. In this context Jesus emphasized the following instruction or command to his disciples. He told them not to be afraid of human beings. Some ways to show this emphasis are:</w:t>
      </w:r>
    </w:p>
    <w:p>
      <w:pPr>
        <w:pStyle w:val="ListBullet"/>
        <w:spacing w:line="240" w:lineRule="auto"/>
        <w:ind w:left="720"/>
      </w:pPr>
      <w:r>
        <w:rPr>
          <w:lang w:val="en_US" w:bidi="en_US"/>
        </w:rPr>
      </w:r>
      <w:r>
        <w:rPr>
          <w:lang w:val="en_US" w:bidi="en_US"/>
        </w:rPr>
        <w:t>As a phrase before Jesus’ statement. For example:</w:t>
      </w:r>
      <w:r>
        <w:rPr>
          <w:u w:val="single"/>
          <w:lang w:val="en_US" w:bidi="en_US"/>
        </w:rPr>
        <w:t>Remember this</w:t>
      </w:r>
      <w:r>
        <w:rPr>
          <w:lang w:val="en_US" w:bidi="en_US"/>
        </w:rPr>
        <w:t>, my friends, you should not be afraid…</w:t>
      </w:r>
      <w:r>
        <w:rPr>
          <w:u w:val="single"/>
          <w:lang w:val="en_US" w:bidi="en_US"/>
        </w:rPr>
        <w:t>Listen</w:t>
      </w:r>
      <w:r>
        <w:rPr>
          <w:lang w:val="en_US" w:bidi="en_US"/>
        </w:rPr>
        <w:t>, my friends, do not be afraid…</w:t>
      </w:r>
    </w:p>
    <w:p>
      <w:pPr>
        <w:pStyle w:val="ListBullet"/>
        <w:spacing w:line="240" w:lineRule="auto"/>
        <w:ind w:left="720"/>
      </w:pPr>
      <w:r>
        <w:rPr>
          <w:lang w:val="en_US" w:bidi="en_US"/>
        </w:rPr>
      </w:r>
      <w:r>
        <w:rPr>
          <w:lang w:val="en_US" w:bidi="en_US"/>
        </w:rPr>
        <w:t>As an emphatic word within Jesus’ statement. For example:</w:t>
      </w:r>
      <w:r>
        <w:rPr>
          <w:lang w:val="en_US" w:bidi="en_US"/>
        </w:rPr>
        <w:t xml:space="preserve">My friends, you should </w:t>
      </w:r>
      <w:r>
        <w:rPr>
          <w:u w:val="single"/>
          <w:lang w:val="en_US" w:bidi="en_US"/>
        </w:rPr>
        <w:t>certainly</w:t>
      </w:r>
      <w:r>
        <w:rPr>
          <w:lang w:val="en_US" w:bidi="en_US"/>
        </w:rPr>
        <w:t xml:space="preserve"> not be afraid…</w:t>
      </w:r>
    </w:p>
    <w:p>
      <w:pPr/>
      <w:r>
        <w:rPr>
          <w:lang w:val="en_US" w:bidi="en_US"/>
        </w:rPr>
      </w:r>
      <w:r>
        <w:rPr>
          <w:lang w:val="en_US" w:bidi="en_US"/>
        </w:rPr>
        <w:t>If you have another way in your language to emphasize a statement or to alert people to listen with special attention, consider using it here. See also the note on 10:12.</w:t>
      </w:r>
    </w:p>
    <w:p>
      <w:pPr/>
      <w:r>
        <w:rPr>
          <w:lang w:val="en_US" w:bidi="en_US"/>
        </w:rPr>
      </w:r>
      <w:r>
        <w:rPr>
          <w:b/>
          <w:lang w:val="en_US" w:bidi="en_US"/>
        </w:rPr>
        <w:t>My friends:</w:t>
      </w:r>
      <w:r>
        <w:rPr>
          <w:lang w:val="en_US" w:bidi="en_US"/>
        </w:rPr>
        <w:t xml:space="preserve"> Here Jesus addressed his disciples directly as </w:t>
      </w:r>
      <w:r>
        <w:rPr>
          <w:i/>
          <w:lang w:val="en_US" w:bidi="en_US"/>
        </w:rPr>
        <w:t>My friends</w:t>
      </w:r>
      <w:r>
        <w:rPr>
          <w:lang w:val="en_US" w:bidi="en_US"/>
        </w:rPr>
        <w:t>. In some languages it may be more natural to include this direct address at the beginning of the sentence. For example:</w:t>
      </w:r>
    </w:p>
    <w:p>
      <w:pPr/>
      <w:r>
        <w:rPr>
          <w:lang w:val="en_US" w:bidi="en_US"/>
        </w:rPr>
      </w:r>
      <w:r>
        <w:rPr>
          <w:lang w:val="en_US" w:bidi="en_US"/>
        </w:rPr>
        <w:t>My friends, I tell you…</w:t>
      </w:r>
    </w:p>
    <w:p>
      <w:pPr/>
      <w:r>
        <w:rPr>
          <w:lang w:val="en_US" w:bidi="en_US"/>
        </w:rPr>
      </w:r>
      <w:r>
        <w:rPr>
          <w:lang w:val="en_US" w:bidi="en_US"/>
        </w:rPr>
        <w:t>Jesus was already talking to the disciples when he addressed them as his friends. In some languages it may not be natural to use a direct address like this. You may need to include the information within Jesus’ statement to the disciples. For example:</w:t>
      </w:r>
    </w:p>
    <w:p>
      <w:pPr/>
      <w:r>
        <w:rPr>
          <w:lang w:val="en_US" w:bidi="en_US"/>
        </w:rPr>
      </w:r>
      <w:r>
        <w:rPr>
          <w:lang w:val="en_US" w:bidi="en_US"/>
        </w:rPr>
        <w:t>To you who are my friends I say… (REB)</w:t>
      </w:r>
    </w:p>
    <w:p>
      <w:pPr/>
      <w:r>
        <w:rPr>
          <w:lang w:val="en_US" w:bidi="en_US"/>
        </w:rPr>
      </w:r>
      <w:r>
        <w:rPr>
          <w:b/>
          <w:lang w:val="en_US" w:bidi="en_US"/>
        </w:rPr>
        <w:t>do not be afraid of those who kill the body:</w:t>
      </w:r>
      <w:r>
        <w:rPr>
          <w:lang w:val="en_US" w:bidi="en_US"/>
        </w:rPr>
        <w:t xml:space="preserve"> In this context the phrase </w:t>
      </w:r>
      <w:r>
        <w:rPr>
          <w:i/>
          <w:lang w:val="en_US" w:bidi="en_US"/>
        </w:rPr>
        <w:t>those who kill the body</w:t>
      </w:r>
      <w:r>
        <w:rPr>
          <w:lang w:val="en_US" w:bidi="en_US"/>
        </w:rPr>
        <w:t xml:space="preserve"> refers to human beings. Human beings are able to kill the disciples’ bodies, but 12:4b–5 implies that they cannot take away the disciples’ eternal life with God. See also the parallel passage in Matthew 10:28, which explicitly mentions the soul.</w:t>
      </w:r>
    </w:p>
    <w:p>
      <w:pPr/>
      <w:r>
        <w:rPr>
          <w:lang w:val="en_US" w:bidi="en_US"/>
        </w:rPr>
      </w:r>
      <w:r>
        <w:rPr>
          <w:lang w:val="en_US" w:bidi="en_US"/>
        </w:rPr>
        <w:t xml:space="preserve">In some languages it may be unnatural to speak of killing </w:t>
      </w:r>
      <w:r>
        <w:rPr>
          <w:i/>
          <w:lang w:val="en_US" w:bidi="en_US"/>
        </w:rPr>
        <w:t>the body</w:t>
      </w:r>
      <w:r>
        <w:rPr>
          <w:lang w:val="en_US" w:bidi="en_US"/>
        </w:rPr>
        <w:t>. Try to find an expression in your language that refers naturally to physical death and also contrasts with death that lasts forever in hell. For example:</w:t>
      </w:r>
    </w:p>
    <w:p>
      <w:pPr/>
      <w:r>
        <w:rPr>
          <w:lang w:val="en_US" w:bidi="en_US"/>
        </w:rPr>
      </w:r>
      <w:r>
        <w:rPr>
          <w:lang w:val="en_US" w:bidi="en_US"/>
        </w:rPr>
        <w:t>do not be afraid of people, even though they can end your life on this earth</w:t>
      </w:r>
    </w:p>
    <w:p>
      <w:pPr>
        <w:pStyle w:val="Heading5"/>
      </w:pPr>
      <w:r>
        <w:rPr>
          <w:lang w:val="en_US" w:bidi="en_US"/>
        </w:rPr>
        <w:t>12:4b</w:t>
      </w:r>
    </w:p>
    <w:p>
      <w:pPr/>
      <w:r>
        <w:rPr>
          <w:lang w:val="en_US" w:bidi="en_US"/>
        </w:rPr>
      </w:r>
      <w:r>
        <w:rPr>
          <w:b/>
          <w:lang w:val="en_US" w:bidi="en_US"/>
        </w:rPr>
        <w:t>and after that can do no more.</w:t>
      </w:r>
    </w:p>
    <w:p>
      <w:pPr>
        <w:pStyle w:val="ListBullet"/>
        <w:spacing w:line="240" w:lineRule="auto"/>
        <w:ind w:left="720"/>
      </w:pPr>
      <w:r>
        <w:rPr>
          <w:lang w:val="en_US" w:bidi="en_US"/>
        </w:rPr>
      </w:r>
      <w:r>
        <w:rPr>
          <w:lang w:val="en_US" w:bidi="en_US"/>
        </w:rPr>
        <w:t>and then are not able to do you</w:t>
      </w:r>
      <w:r>
        <w:rPr>
          <w:vertAlign w:val="superscript"/>
          <w:lang w:val="en_US" w:bidi="en_US"/>
        </w:rPr>
        <w:t>(plur)</w:t>
      </w:r>
      <w:r>
        <w:rPr>
          <w:lang w:val="en_US" w:bidi="en_US"/>
        </w:rPr>
        <w:t xml:space="preserve"> any more harm/evil.</w:t>
      </w:r>
    </w:p>
    <w:p>
      <w:pPr>
        <w:pStyle w:val="ListBullet"/>
        <w:spacing w:line="240" w:lineRule="auto"/>
        <w:ind w:left="720"/>
      </w:pPr>
      <w:r>
        <w:rPr>
          <w:lang w:val="en_US" w:bidi="en_US"/>
        </w:rPr>
      </w:r>
      <w:r>
        <w:rPr>
          <w:lang w:val="en_US" w:bidi="en_US"/>
        </w:rPr>
        <w:t>because</w:t>
      </w:r>
      <w:r>
        <w:rPr>
          <w:lang w:val="en_US" w:bidi="en_US"/>
        </w:rPr>
        <w:t xml:space="preserve"> they cannot harm </w:t>
      </w:r>
      <w:r>
        <w:rPr>
          <w:lang w:val="en_US" w:bidi="en_US"/>
        </w:rPr>
        <w:t>your soul</w:t>
      </w:r>
      <w:r>
        <w:rPr>
          <w:lang w:val="en_US" w:bidi="en_US"/>
        </w:rPr>
        <w:t>.</w:t>
      </w:r>
    </w:p>
    <w:p>
      <w:pPr/>
      <w:r>
        <w:rPr>
          <w:lang w:val="en_US" w:bidi="en_US"/>
        </w:rPr>
      </w:r>
      <w:r>
        <w:rPr>
          <w:b/>
          <w:lang w:val="en_US" w:bidi="en_US"/>
        </w:rPr>
        <w:t>and after that can do no more:</w:t>
      </w:r>
      <w:r>
        <w:rPr>
          <w:lang w:val="en_US" w:bidi="en_US"/>
        </w:rPr>
        <w:t xml:space="preserve"> The Greek expression that the BSB translates as </w:t>
      </w:r>
      <w:r>
        <w:rPr>
          <w:i/>
          <w:lang w:val="en_US" w:bidi="en_US"/>
        </w:rPr>
        <w:t>after that can do no more</w:t>
      </w:r>
      <w:r>
        <w:rPr>
          <w:lang w:val="en_US" w:bidi="en_US"/>
        </w:rPr>
        <w:t xml:space="preserve"> means “after killing the body, they cannot harm you any more.” People can only kill someone’s body; they cannot prevent him from living forever with God. Other ways to translate this expression are:</w:t>
      </w:r>
    </w:p>
    <w:p>
      <w:pPr/>
      <w:r>
        <w:rPr>
          <w:lang w:val="en_US" w:bidi="en_US"/>
        </w:rPr>
      </w:r>
      <w:r>
        <w:rPr>
          <w:lang w:val="en_US" w:bidi="en_US"/>
        </w:rPr>
        <w:t>who can do nothing more to hurt you (NCV)</w:t>
      </w:r>
    </w:p>
    <w:p>
      <w:pPr/>
      <w:r>
        <w:rPr>
          <w:lang w:val="en_US" w:bidi="en_US"/>
        </w:rPr>
      </w:r>
      <w:r>
        <w:rPr>
          <w:lang w:val="en_US" w:bidi="en_US"/>
        </w:rPr>
        <w:t>who…cannot afterward do anything worse (GNT)</w:t>
      </w:r>
      <w:r>
        <w:rPr>
          <w:lang w:val="en_US" w:bidi="en_US"/>
        </w:rPr>
      </w:r>
      <w:r>
        <w:rPr>
          <w:lang w:val="en_US" w:bidi="en_US"/>
        </w:rPr>
      </w:r>
    </w:p>
    <w:p>
      <w:pPr/>
      <w:r>
        <w:rPr>
          <w:lang w:val="en_US" w:bidi="en_US"/>
        </w:rPr>
      </w:r>
    </w:p>
    <w:p>
      <w:pPr>
        <w:pStyle w:val="Heading2"/>
      </w:pPr>
      <w:r>
        <w:rPr>
          <w:lang w:val="en_US" w:bidi="en_US"/>
        </w:rPr>
        <w:t>Luke 12:5</w:t>
      </w:r>
      <w:r>
        <w:rPr>
          <w:lang w:val="en_US" w:bidi="en_US"/>
        </w:rPr>
      </w:r>
    </w:p>
    <w:p>
      <w:pPr>
        <w:pStyle w:val="Heading4"/>
      </w:pPr>
      <w:r>
        <w:rPr>
          <w:lang w:val="en_US" w:bidi="en_US"/>
        </w:rPr>
        <w:t>Section 12:1–12: Jesus warned and encouraged his disciples</w:t>
      </w:r>
    </w:p>
    <w:p>
      <w:pPr/>
      <w:r>
        <w:rPr>
          <w:lang w:val="en_US" w:bidi="en_US"/>
        </w:rPr>
      </w:r>
      <w:r>
        <w:rPr>
          <w:lang w:val="en_US" w:bidi="en_US"/>
        </w:rP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pPr/>
      <w:r>
        <w:rPr>
          <w:lang w:val="en_US" w:bidi="en_US"/>
        </w:rPr>
      </w:r>
      <w:r>
        <w:rPr>
          <w:lang w:val="en_US" w:bidi="en_US"/>
        </w:rPr>
        <w:t>It is good to translate this section before you decide on a heading for it. Another possible heading for this section is:</w:t>
      </w:r>
    </w:p>
    <w:p>
      <w:pPr/>
      <w:r>
        <w:rPr>
          <w:lang w:val="en_US" w:bidi="en_US"/>
        </w:rPr>
      </w:r>
      <w:r>
        <w:rPr>
          <w:lang w:val="en_US" w:bidi="en_US"/>
        </w:rPr>
        <w:t>Warnings and Encouragements (NIV)</w:t>
      </w:r>
    </w:p>
    <w:p>
      <w:pPr/>
      <w:r>
        <w:rPr>
          <w:lang w:val="en_US" w:bidi="en_US"/>
        </w:rPr>
      </w:r>
      <w:r>
        <w:rPr>
          <w:lang w:val="en_US" w:bidi="en_US"/>
        </w:rP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12:1–3</w:t>
            </w:r>
          </w:p>
        </w:tc>
        <w:tc>
          <w:tcPr>
            <w:tcW w:type="dxa" w:w="4680"/>
          </w:tcPr>
          <w:p>
            <w:pPr/>
            <w:r>
              <w:rPr>
                <w:lang w:val="en_US" w:bidi="en_US"/>
              </w:rPr>
            </w:r>
            <w:r>
              <w:rPr>
                <w:lang w:val="en_US" w:bidi="en_US"/>
              </w:rPr>
              <w:t xml:space="preserve">A Warning against Hypocrisy (GNT) </w:t>
            </w:r>
            <w:r>
              <w:rPr>
                <w:i/>
                <w:lang w:val="en_US" w:bidi="en_US"/>
              </w:rPr>
              <w:t>-or-</w:t>
            </w:r>
            <w:r>
              <w:rPr>
                <w:lang w:val="en_US" w:bidi="en_US"/>
              </w:rPr>
              <w:t xml:space="preserve"> Jesus warned his disciples not to be like the Pharisees</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10:26–27.)</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12:4–7</w:t>
            </w:r>
          </w:p>
        </w:tc>
        <w:tc>
          <w:tcPr>
            <w:tcW w:type="dxa" w:w="4680"/>
          </w:tcPr>
          <w:p>
            <w:pPr/>
            <w:r>
              <w:rPr>
                <w:lang w:val="en_US" w:bidi="en_US"/>
              </w:rPr>
            </w:r>
            <w:r>
              <w:rPr>
                <w:lang w:val="en_US" w:bidi="en_US"/>
              </w:rPr>
              <w:t xml:space="preserve">The One Whom People Should Fear </w:t>
            </w:r>
            <w:r>
              <w:rPr>
                <w:i/>
                <w:lang w:val="en_US" w:bidi="en_US"/>
              </w:rPr>
              <w:t>-or-</w:t>
            </w:r>
            <w:r>
              <w:rPr>
                <w:lang w:val="en_US" w:bidi="en_US"/>
              </w:rPr>
              <w:t xml:space="preserve"> Jesus told his disciples whom they should fear</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10:28–31.)</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12:8–12</w:t>
            </w:r>
          </w:p>
        </w:tc>
        <w:tc>
          <w:tcPr>
            <w:tcW w:type="dxa" w:w="4680"/>
          </w:tcPr>
          <w:p>
            <w:pPr/>
            <w:r>
              <w:rPr>
                <w:lang w:val="en_US" w:bidi="en_US"/>
              </w:rPr>
            </w:r>
            <w:r>
              <w:rPr>
                <w:lang w:val="en_US" w:bidi="en_US"/>
              </w:rPr>
              <w:t xml:space="preserve">Confessing and Rejecting Christ (GNT) </w:t>
            </w:r>
            <w:r>
              <w:rPr>
                <w:i/>
                <w:lang w:val="en_US" w:bidi="en_US"/>
              </w:rPr>
              <w:t>-or-</w:t>
            </w:r>
            <w:r>
              <w:rPr>
                <w:lang w:val="en_US" w:bidi="en_US"/>
              </w:rPr>
              <w:t xml:space="preserve"> Don’t Be Ashamed of Jesus (NCV)</w:t>
            </w:r>
          </w:p>
        </w:tc>
      </w:tr>
      <w:tr>
        <w:tc>
          <w:tcPr>
            <w:tcW w:type="dxa" w:w="4680"/>
          </w:tcPr>
          <w:p>
            <w:pPr/>
            <w:r>
              <w:rPr>
                <w:lang w:val="en_US" w:bidi="en_US"/>
              </w:rPr>
            </w:r>
          </w:p>
        </w:tc>
        <w:tc>
          <w:tcPr>
            <w:tcW w:type="dxa" w:w="4680"/>
          </w:tcPr>
          <w:p>
            <w:pPr/>
            <w:r>
              <w:rPr>
                <w:lang w:val="en_US" w:bidi="en_US"/>
              </w:rPr>
            </w:r>
            <w:r>
              <w:rPr>
                <w:lang w:val="en_US" w:bidi="en_US"/>
              </w:rPr>
              <w:t>(There are parallel passages for this section in Matthew 10:32–33, 12:32, 10:19–20.)</w:t>
            </w:r>
          </w:p>
        </w:tc>
      </w:tr>
    </w:tbl>
    <w:p>
      <w:pPr>
        <w:pStyle w:val="Heading5"/>
      </w:pPr>
      <w:r>
        <w:rPr>
          <w:lang w:val="en_US" w:bidi="en_US"/>
        </w:rPr>
        <w:t>12:5a</w:t>
      </w:r>
    </w:p>
    <w:p>
      <w:pPr/>
      <w:r>
        <w:rPr>
          <w:lang w:val="en_US" w:bidi="en_US"/>
        </w:rPr>
      </w:r>
      <w:r>
        <w:rPr>
          <w:b/>
          <w:lang w:val="en_US" w:bidi="en_US"/>
        </w:rPr>
        <w:t>But I will show you whom you should fear:</w:t>
      </w:r>
    </w:p>
    <w:p>
      <w:pPr>
        <w:pStyle w:val="ListBullet"/>
        <w:spacing w:line="240" w:lineRule="auto"/>
        <w:ind w:left="720"/>
      </w:pPr>
      <w:r>
        <w:rPr>
          <w:lang w:val="en_US" w:bidi="en_US"/>
        </w:rPr>
      </w:r>
      <w:r>
        <w:rPr>
          <w:lang w:val="en_US" w:bidi="en_US"/>
        </w:rPr>
        <w:t>Instead, let me tell you</w:t>
      </w:r>
      <w:r>
        <w:rPr>
          <w:vertAlign w:val="superscript"/>
          <w:lang w:val="en_US" w:bidi="en_US"/>
        </w:rPr>
        <w:t>(plur)</w:t>
      </w:r>
      <w:r>
        <w:rPr>
          <w:lang w:val="en_US" w:bidi="en_US"/>
        </w:rPr>
        <w:t xml:space="preserve"> whom you should </w:t>
      </w:r>
      <w:r>
        <w:rPr>
          <w:lang w:val="en_US" w:bidi="en_US"/>
        </w:rPr>
        <w:t>really</w:t>
      </w:r>
      <w:r>
        <w:rPr>
          <w:lang w:val="en_US" w:bidi="en_US"/>
        </w:rPr>
        <w:t xml:space="preserve"> be afraid of.</w:t>
      </w:r>
    </w:p>
    <w:p>
      <w:pPr>
        <w:pStyle w:val="ListBullet"/>
        <w:spacing w:line="240" w:lineRule="auto"/>
        <w:ind w:left="720"/>
      </w:pPr>
      <w:r>
        <w:rPr>
          <w:lang w:val="en_US" w:bidi="en_US"/>
        </w:rPr>
      </w:r>
      <w:r>
        <w:rPr>
          <w:lang w:val="en_US" w:bidi="en_US"/>
        </w:rPr>
        <w:t>The one whom you</w:t>
      </w:r>
      <w:r>
        <w:rPr>
          <w:vertAlign w:val="superscript"/>
          <w:lang w:val="en_US" w:bidi="en_US"/>
        </w:rPr>
        <w:t>(plur)</w:t>
      </w:r>
      <w:r>
        <w:rPr>
          <w:lang w:val="en_US" w:bidi="en_US"/>
        </w:rPr>
        <w:t xml:space="preserve"> should </w:t>
      </w:r>
      <w:r>
        <w:rPr>
          <w:lang w:val="en_US" w:bidi="en_US"/>
        </w:rPr>
        <w:t>truly</w:t>
      </w:r>
      <w:r>
        <w:rPr>
          <w:lang w:val="en_US" w:bidi="en_US"/>
        </w:rPr>
        <w:t xml:space="preserve"> fear is </w:t>
      </w:r>
      <w:r>
        <w:rPr>
          <w:lang w:val="en_US" w:bidi="en_US"/>
        </w:rPr>
        <w:t>God</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In 12:4, Jesus told his disciples whom they </w:t>
      </w:r>
      <w:r>
        <w:rPr>
          <w:u w:val="single"/>
          <w:lang w:val="en_US" w:bidi="en_US"/>
        </w:rPr>
        <w:t>should not</w:t>
      </w:r>
      <w:r>
        <w:rPr>
          <w:lang w:val="en_US" w:bidi="en_US"/>
        </w:rPr>
        <w:t xml:space="preserve"> fear. In 12:5, Jesus told them whom they </w:t>
      </w:r>
      <w:r>
        <w:rPr>
          <w:u w:val="single"/>
          <w:lang w:val="en_US" w:bidi="en_US"/>
        </w:rPr>
        <w:t>should</w:t>
      </w:r>
      <w:r>
        <w:rPr>
          <w:lang w:val="en_US" w:bidi="en_US"/>
        </w:rPr>
        <w:t xml:space="preserve"> fear. Some English versions do not use an explicit conjunction to express this contrast. Express the contrast in a natural way in your language.</w:t>
      </w:r>
    </w:p>
    <w:p>
      <w:pPr/>
      <w:r>
        <w:rPr>
          <w:lang w:val="en_US" w:bidi="en_US"/>
        </w:rPr>
      </w:r>
      <w:r>
        <w:rPr>
          <w:b/>
          <w:lang w:val="en_US" w:bidi="en_US"/>
        </w:rPr>
        <w:t>I will show you whom you should fear:</w:t>
      </w:r>
      <w:r>
        <w:rPr>
          <w:lang w:val="en_US" w:bidi="en_US"/>
        </w:rPr>
        <w:t xml:space="preserve"> The Greek word that the BSB translates as </w:t>
      </w:r>
      <w:r>
        <w:rPr>
          <w:i/>
          <w:lang w:val="en_US" w:bidi="en_US"/>
        </w:rPr>
        <w:t>show</w:t>
      </w:r>
      <w:r>
        <w:rPr>
          <w:lang w:val="en_US" w:bidi="en_US"/>
        </w:rPr>
        <w:t xml:space="preserve"> here means “tell” or “make known.” It does not mean that Jesus would enable the disciples to see God visibly on earth. To make the contrast with 12:4a clear, you may wish to use a verb such as “tell” here, as well. For example:</w:t>
      </w:r>
    </w:p>
    <w:p>
      <w:pPr/>
      <w:r>
        <w:rPr>
          <w:lang w:val="en_US" w:bidi="en_US"/>
        </w:rPr>
      </w:r>
      <w:r>
        <w:rPr>
          <w:lang w:val="en_US" w:bidi="en_US"/>
        </w:rPr>
        <w:t xml:space="preserve">I will tell you whom you should </w:t>
      </w:r>
      <w:r>
        <w:rPr>
          <w:lang w:val="en_US" w:bidi="en_US"/>
        </w:rPr>
        <w:t>really</w:t>
      </w:r>
      <w:r>
        <w:rPr>
          <w:lang w:val="en_US" w:bidi="en_US"/>
        </w:rPr>
        <w:t xml:space="preserve"> fear.</w:t>
      </w:r>
    </w:p>
    <w:p>
      <w:pPr/>
      <w:r>
        <w:rPr>
          <w:lang w:val="en_US" w:bidi="en_US"/>
        </w:rPr>
      </w:r>
      <w:r>
        <w:rPr>
          <w:lang w:val="en_US" w:bidi="en_US"/>
        </w:rPr>
        <w:t xml:space="preserve">The phrase </w:t>
      </w:r>
      <w:r>
        <w:rPr>
          <w:i/>
          <w:lang w:val="en_US" w:bidi="en_US"/>
        </w:rPr>
        <w:t>I will show you</w:t>
      </w:r>
      <w:r>
        <w:rPr>
          <w:lang w:val="en_US" w:bidi="en_US"/>
        </w:rPr>
        <w:t xml:space="preserve"> emphasizes what follows. In some languages it may be more effective to express the contrast with 12:4a without repeating a clause such as “I will show/tell you.” For example:</w:t>
      </w:r>
    </w:p>
    <w:p>
      <w:pPr/>
      <w:r>
        <w:rPr>
          <w:lang w:val="en_US" w:bidi="en_US"/>
        </w:rPr>
      </w:r>
      <w:r>
        <w:rPr>
          <w:lang w:val="en_US" w:bidi="en_US"/>
        </w:rPr>
        <w:t>God is the one you must fear. (CEV)</w:t>
      </w:r>
    </w:p>
    <w:p>
      <w:pPr>
        <w:pStyle w:val="Heading5"/>
      </w:pPr>
      <w:r>
        <w:rPr>
          <w:lang w:val="en_US" w:bidi="en_US"/>
        </w:rPr>
        <w:t>12:5b</w:t>
      </w:r>
    </w:p>
    <w:p>
      <w:pPr/>
      <w:r>
        <w:rPr>
          <w:lang w:val="en_US" w:bidi="en_US"/>
        </w:rPr>
      </w:r>
      <w:r>
        <w:rPr>
          <w:b/>
          <w:lang w:val="en_US" w:bidi="en_US"/>
        </w:rPr>
        <w:t>Fear the One who, after you have been killed, has authority to throw you into hell.</w:t>
      </w:r>
    </w:p>
    <w:p>
      <w:pPr>
        <w:pStyle w:val="ListBullet"/>
        <w:spacing w:line="240" w:lineRule="auto"/>
        <w:ind w:left="720"/>
      </w:pPr>
      <w:r>
        <w:rPr>
          <w:lang w:val="en_US" w:bidi="en_US"/>
        </w:rPr>
      </w:r>
      <w:r>
        <w:rPr>
          <w:lang w:val="en_US" w:bidi="en_US"/>
        </w:rPr>
        <w:t xml:space="preserve">Fear the </w:t>
      </w:r>
      <w:r>
        <w:rPr>
          <w:lang w:val="en_US" w:bidi="en_US"/>
        </w:rPr>
        <w:t>only</w:t>
      </w:r>
      <w:r>
        <w:rPr>
          <w:lang w:val="en_US" w:bidi="en_US"/>
        </w:rPr>
        <w:t xml:space="preserve"> one who can </w:t>
      </w:r>
      <w:r>
        <w:rPr>
          <w:lang w:val="en_US" w:bidi="en_US"/>
        </w:rPr>
        <w:t>both</w:t>
      </w:r>
      <w:r>
        <w:rPr>
          <w:lang w:val="en_US" w:bidi="en_US"/>
        </w:rPr>
        <w:t xml:space="preserve"> kill your</w:t>
      </w:r>
      <w:r>
        <w:rPr>
          <w:vertAlign w:val="superscript"/>
          <w:lang w:val="en_US" w:bidi="en_US"/>
        </w:rPr>
        <w:t>(plur)</w:t>
      </w:r>
      <w:r>
        <w:rPr>
          <w:lang w:val="en_US" w:bidi="en_US"/>
        </w:rPr>
        <w:t xml:space="preserve"> body and throw you into hell.</w:t>
      </w:r>
    </w:p>
    <w:p>
      <w:pPr>
        <w:pStyle w:val="ListBullet"/>
        <w:spacing w:line="240" w:lineRule="auto"/>
        <w:ind w:left="720"/>
      </w:pPr>
      <w:r>
        <w:rPr>
          <w:lang w:val="en_US" w:bidi="en_US"/>
        </w:rPr>
      </w:r>
      <w:r>
        <w:rPr>
          <w:lang w:val="en_US" w:bidi="en_US"/>
        </w:rPr>
        <w:t>for he has the power/authority to bring a person’s life to an end and then throw that person into hell.</w:t>
      </w:r>
    </w:p>
    <w:p>
      <w:pPr/>
      <w:r>
        <w:rPr>
          <w:lang w:val="en_US" w:bidi="en_US"/>
        </w:rPr>
      </w:r>
      <w:r>
        <w:rPr>
          <w:b/>
          <w:lang w:val="en_US" w:bidi="en_US"/>
        </w:rPr>
        <w:t>Fear the One who, after you have been killed, has authority to throw you into hell:</w:t>
      </w:r>
      <w:r>
        <w:rPr>
          <w:lang w:val="en_US" w:bidi="en_US"/>
        </w:rPr>
        <w:t xml:space="preserve"> Jesus was talking here about God. Only God has the power and the authority to condemn a person to hell after ending his physical life on the earth. If your readers would not understand that this refers to God, it may be necessary to make this explicit. For example:</w:t>
      </w:r>
    </w:p>
    <w:p>
      <w:pPr/>
      <w:r>
        <w:rPr>
          <w:lang w:val="en_US" w:bidi="en_US"/>
        </w:rPr>
      </w:r>
      <w:r>
        <w:rPr>
          <w:lang w:val="en_US" w:bidi="en_US"/>
        </w:rPr>
        <w:t>Fear God, who has the power to kill you and then throw you into hell. (NLT)</w:t>
      </w:r>
    </w:p>
    <w:p>
      <w:pPr/>
      <w:r>
        <w:rPr>
          <w:lang w:val="en_US" w:bidi="en_US"/>
        </w:rPr>
      </w:r>
      <w:r>
        <w:rPr>
          <w:b/>
          <w:lang w:val="en_US" w:bidi="en_US"/>
        </w:rPr>
        <w:t>has authority to throw you into hell:</w:t>
      </w:r>
      <w:r>
        <w:rPr>
          <w:lang w:val="en_US" w:bidi="en_US"/>
        </w:rPr>
        <w:t xml:space="preserve"> In Greek, this phrase is more literally “has authority to throw into Gehenna.” This phrase refers to God’s power/authority to punish people who deserve to be punished. The BSB supplies the word </w:t>
      </w:r>
      <w:r>
        <w:rPr>
          <w:i/>
          <w:lang w:val="en_US" w:bidi="en_US"/>
        </w:rPr>
        <w:t>you</w:t>
      </w:r>
      <w:r>
        <w:rPr>
          <w:lang w:val="en_US" w:bidi="en_US"/>
        </w:rPr>
        <w:t xml:space="preserve"> as the object here. However, Jesus was referring in general to anyone who deserved to be punished. He was not referring specifically to his disciples.</w:t>
      </w:r>
    </w:p>
    <w:p>
      <w:pPr/>
      <w:r>
        <w:rPr>
          <w:lang w:val="en_US" w:bidi="en_US"/>
        </w:rPr>
      </w:r>
      <w:r>
        <w:rPr>
          <w:lang w:val="en_US" w:bidi="en_US"/>
        </w:rPr>
        <w:t>In some languages it may be better to use a general expression as the object. This will clarify that Jesus was not talking specifically about the disciples. For example:</w:t>
      </w:r>
    </w:p>
    <w:p>
      <w:pPr/>
      <w:r>
        <w:rPr>
          <w:lang w:val="en_US" w:bidi="en_US"/>
        </w:rPr>
      </w:r>
      <w:r>
        <w:rPr>
          <w:lang w:val="en_US" w:bidi="en_US"/>
        </w:rPr>
        <w:t xml:space="preserve">he has the power to end </w:t>
      </w:r>
      <w:r>
        <w:rPr>
          <w:u w:val="single"/>
          <w:lang w:val="en_US" w:bidi="en_US"/>
        </w:rPr>
        <w:t>a person’s</w:t>
      </w:r>
      <w:r>
        <w:rPr>
          <w:lang w:val="en_US" w:bidi="en_US"/>
        </w:rPr>
        <w:t xml:space="preserve"> life and then to throw </w:t>
      </w:r>
      <w:r>
        <w:rPr>
          <w:u w:val="single"/>
          <w:lang w:val="en_US" w:bidi="en_US"/>
        </w:rPr>
        <w:t>that person</w:t>
      </w:r>
      <w:r>
        <w:rPr>
          <w:lang w:val="en_US" w:bidi="en_US"/>
        </w:rPr>
        <w:t xml:space="preserve"> into hell</w:t>
      </w:r>
    </w:p>
    <w:p>
      <w:pPr/>
      <w:r>
        <w:rPr>
          <w:lang w:val="en_US" w:bidi="en_US"/>
        </w:rPr>
      </w:r>
      <w:r>
        <w:rPr>
          <w:b/>
          <w:lang w:val="en_US" w:bidi="en_US"/>
        </w:rPr>
        <w:t>hell:</w:t>
      </w:r>
      <w:r>
        <w:rPr>
          <w:lang w:val="en_US" w:bidi="en_US"/>
        </w:rPr>
        <w:t xml:space="preserve"> The Greek word that the BSB translates as </w:t>
      </w:r>
      <w:r>
        <w:rPr>
          <w:i/>
          <w:lang w:val="en_US" w:bidi="en_US"/>
        </w:rPr>
        <w:t>hell</w:t>
      </w:r>
      <w:r>
        <w:rPr>
          <w:lang w:val="en_US" w:bidi="en_US"/>
        </w:rPr>
        <w:t xml:space="preserve"> is literally “Gehenna,” the Hebrew name for the Valley of Hinnom. This was a valley south of Jerusalem where people threw the dead bodies of criminals and where garbage was dumped. Fires were always burning there. Jewish people used it as a symbolic name for the place where God will punish wicked people after they die. See </w:t>
      </w:r>
      <w:r>
        <w:rPr>
          <w:u w:val="single"/>
          <w:lang w:val="en_US" w:bidi="en_US"/>
        </w:rPr>
        <w:t>hell, sense B</w:t>
      </w:r>
      <w:r>
        <w:rPr>
          <w:lang w:val="en_US" w:bidi="en_US"/>
        </w:rPr>
        <w:t>, in KBT.</w:t>
      </w:r>
    </w:p>
    <w:p>
      <w:pPr>
        <w:pStyle w:val="Heading5"/>
      </w:pPr>
      <w:r>
        <w:rPr>
          <w:lang w:val="en_US" w:bidi="en_US"/>
        </w:rPr>
        <w:t>12:5c</w:t>
      </w:r>
    </w:p>
    <w:p>
      <w:pPr/>
      <w:r>
        <w:rPr>
          <w:lang w:val="en_US" w:bidi="en_US"/>
        </w:rPr>
      </w:r>
      <w:r>
        <w:rPr>
          <w:b/>
          <w:lang w:val="en_US" w:bidi="en_US"/>
        </w:rPr>
        <w:t>Yes, I tell you, fear Him!</w:t>
      </w:r>
    </w:p>
    <w:p>
      <w:pPr>
        <w:pStyle w:val="ListBullet"/>
        <w:spacing w:line="240" w:lineRule="auto"/>
        <w:ind w:left="720"/>
      </w:pPr>
      <w:r>
        <w:rPr>
          <w:lang w:val="en_US" w:bidi="en_US"/>
        </w:rPr>
      </w:r>
      <w:r>
        <w:rPr>
          <w:lang w:val="en_US" w:bidi="en_US"/>
        </w:rPr>
        <w:t xml:space="preserve">Yes </w:t>
      </w:r>
      <w:r>
        <w:rPr>
          <w:lang w:val="en_US" w:bidi="en_US"/>
        </w:rPr>
        <w:t>indeed</w:t>
      </w:r>
      <w:r>
        <w:rPr>
          <w:lang w:val="en_US" w:bidi="en_US"/>
        </w:rPr>
        <w:t>, I warn you</w:t>
      </w:r>
      <w:r>
        <w:rPr>
          <w:vertAlign w:val="superscript"/>
          <w:lang w:val="en_US" w:bidi="en_US"/>
        </w:rPr>
        <w:t>(plur)</w:t>
      </w:r>
      <w:r>
        <w:rPr>
          <w:lang w:val="en_US" w:bidi="en_US"/>
        </w:rPr>
        <w:t xml:space="preserve"> to fear him.</w:t>
      </w:r>
    </w:p>
    <w:p>
      <w:pPr>
        <w:pStyle w:val="ListBullet"/>
        <w:spacing w:line="240" w:lineRule="auto"/>
        <w:ind w:left="720"/>
      </w:pPr>
      <w:r>
        <w:rPr>
          <w:lang w:val="en_US" w:bidi="en_US"/>
        </w:rPr>
      </w:r>
      <w:r>
        <w:rPr>
          <w:lang w:val="en_US" w:bidi="en_US"/>
        </w:rPr>
        <w:t>I repeat: He/</w:t>
      </w:r>
      <w:r>
        <w:rPr>
          <w:lang w:val="en_US" w:bidi="en_US"/>
        </w:rPr>
        <w:t>God</w:t>
      </w:r>
      <w:r>
        <w:rPr>
          <w:lang w:val="en_US" w:bidi="en_US"/>
        </w:rPr>
        <w:t xml:space="preserve"> is the one whom you</w:t>
      </w:r>
      <w:r>
        <w:rPr>
          <w:vertAlign w:val="superscript"/>
          <w:lang w:val="en_US" w:bidi="en_US"/>
        </w:rPr>
        <w:t>(plur)</w:t>
      </w:r>
      <w:r>
        <w:rPr>
          <w:lang w:val="en_US" w:bidi="en_US"/>
        </w:rPr>
        <w:t xml:space="preserve"> should be afraid of.</w:t>
      </w:r>
    </w:p>
    <w:p>
      <w:pPr/>
      <w:r>
        <w:rPr>
          <w:lang w:val="en_US" w:bidi="en_US"/>
        </w:rPr>
      </w:r>
      <w:r>
        <w:rPr>
          <w:b/>
          <w:lang w:val="en_US" w:bidi="en_US"/>
        </w:rPr>
        <w:t>Yes, I tell you, fear Him!:</w:t>
      </w:r>
      <w:r>
        <w:rPr>
          <w:lang w:val="en_US" w:bidi="en_US"/>
        </w:rPr>
        <w:t xml:space="preserve"> Here Jesus repeated what he had already said in 12:5b in order to emphasize how important this message was. Consider how to do this in your language without sounding redundant. Some ways to do this in English are:</w:t>
      </w:r>
    </w:p>
    <w:p>
      <w:pPr/>
      <w:r>
        <w:rPr>
          <w:lang w:val="en_US" w:bidi="en_US"/>
        </w:rPr>
      </w:r>
      <w:r>
        <w:rPr>
          <w:lang w:val="en_US" w:bidi="en_US"/>
        </w:rPr>
        <w:t>Believe me, he is the one you must fear! (GNT)</w:t>
      </w:r>
    </w:p>
    <w:p>
      <w:pPr/>
      <w:r>
        <w:rPr>
          <w:lang w:val="en_US" w:bidi="en_US"/>
        </w:rPr>
      </w:r>
      <w:r>
        <w:rPr>
          <w:lang w:val="en_US" w:bidi="en_US"/>
        </w:rPr>
        <w:t>God is certainly the one you should fear! (CEV)</w:t>
      </w:r>
      <w:r>
        <w:rPr>
          <w:lang w:val="en_US" w:bidi="en_US"/>
        </w:rPr>
      </w:r>
      <w:r>
        <w:rPr>
          <w:lang w:val="en_US" w:bidi="en_US"/>
        </w:rPr>
      </w:r>
    </w:p>
    <w:p>
      <w:pPr/>
      <w:r>
        <w:rPr>
          <w:lang w:val="en_US" w:bidi="en_US"/>
        </w:rPr>
      </w:r>
    </w:p>
    <w:p>
      <w:pPr>
        <w:pStyle w:val="Heading2"/>
      </w:pPr>
      <w:r>
        <w:rPr>
          <w:lang w:val="en_US" w:bidi="en_US"/>
        </w:rPr>
        <w:t>Luke 12:6</w:t>
      </w:r>
      <w:r>
        <w:rPr>
          <w:lang w:val="en_US" w:bidi="en_US"/>
        </w:rPr>
      </w:r>
    </w:p>
    <w:p>
      <w:pPr>
        <w:pStyle w:val="Heading4"/>
      </w:pPr>
      <w:r>
        <w:rPr>
          <w:lang w:val="en_US" w:bidi="en_US"/>
        </w:rPr>
        <w:t>Section 12:1–12: Jesus warned and encouraged his disciples</w:t>
      </w:r>
    </w:p>
    <w:p>
      <w:pPr/>
      <w:r>
        <w:rPr>
          <w:lang w:val="en_US" w:bidi="en_US"/>
        </w:rPr>
      </w:r>
      <w:r>
        <w:rPr>
          <w:lang w:val="en_US" w:bidi="en_US"/>
        </w:rP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pPr/>
      <w:r>
        <w:rPr>
          <w:lang w:val="en_US" w:bidi="en_US"/>
        </w:rPr>
      </w:r>
      <w:r>
        <w:rPr>
          <w:lang w:val="en_US" w:bidi="en_US"/>
        </w:rPr>
        <w:t>It is good to translate this section before you decide on a heading for it. Another possible heading for this section is:</w:t>
      </w:r>
    </w:p>
    <w:p>
      <w:pPr/>
      <w:r>
        <w:rPr>
          <w:lang w:val="en_US" w:bidi="en_US"/>
        </w:rPr>
      </w:r>
      <w:r>
        <w:rPr>
          <w:lang w:val="en_US" w:bidi="en_US"/>
        </w:rPr>
        <w:t>Warnings and Encouragements (NIV)</w:t>
      </w:r>
    </w:p>
    <w:p>
      <w:pPr/>
      <w:r>
        <w:rPr>
          <w:lang w:val="en_US" w:bidi="en_US"/>
        </w:rPr>
      </w:r>
      <w:r>
        <w:rPr>
          <w:lang w:val="en_US" w:bidi="en_US"/>
        </w:rP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12:1–3</w:t>
            </w:r>
          </w:p>
        </w:tc>
        <w:tc>
          <w:tcPr>
            <w:tcW w:type="dxa" w:w="4680"/>
          </w:tcPr>
          <w:p>
            <w:pPr/>
            <w:r>
              <w:rPr>
                <w:lang w:val="en_US" w:bidi="en_US"/>
              </w:rPr>
            </w:r>
            <w:r>
              <w:rPr>
                <w:lang w:val="en_US" w:bidi="en_US"/>
              </w:rPr>
              <w:t xml:space="preserve">A Warning against Hypocrisy (GNT) </w:t>
            </w:r>
            <w:r>
              <w:rPr>
                <w:i/>
                <w:lang w:val="en_US" w:bidi="en_US"/>
              </w:rPr>
              <w:t>-or-</w:t>
            </w:r>
            <w:r>
              <w:rPr>
                <w:lang w:val="en_US" w:bidi="en_US"/>
              </w:rPr>
              <w:t xml:space="preserve"> Jesus warned his disciples not to be like the Pharisees</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10:26–27.)</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12:4–7</w:t>
            </w:r>
          </w:p>
        </w:tc>
        <w:tc>
          <w:tcPr>
            <w:tcW w:type="dxa" w:w="4680"/>
          </w:tcPr>
          <w:p>
            <w:pPr/>
            <w:r>
              <w:rPr>
                <w:lang w:val="en_US" w:bidi="en_US"/>
              </w:rPr>
            </w:r>
            <w:r>
              <w:rPr>
                <w:lang w:val="en_US" w:bidi="en_US"/>
              </w:rPr>
              <w:t xml:space="preserve">The One Whom People Should Fear </w:t>
            </w:r>
            <w:r>
              <w:rPr>
                <w:i/>
                <w:lang w:val="en_US" w:bidi="en_US"/>
              </w:rPr>
              <w:t>-or-</w:t>
            </w:r>
            <w:r>
              <w:rPr>
                <w:lang w:val="en_US" w:bidi="en_US"/>
              </w:rPr>
              <w:t xml:space="preserve"> Jesus told his disciples whom they should fear</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10:28–31.)</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12:8–12</w:t>
            </w:r>
          </w:p>
        </w:tc>
        <w:tc>
          <w:tcPr>
            <w:tcW w:type="dxa" w:w="4680"/>
          </w:tcPr>
          <w:p>
            <w:pPr/>
            <w:r>
              <w:rPr>
                <w:lang w:val="en_US" w:bidi="en_US"/>
              </w:rPr>
            </w:r>
            <w:r>
              <w:rPr>
                <w:lang w:val="en_US" w:bidi="en_US"/>
              </w:rPr>
              <w:t xml:space="preserve">Confessing and Rejecting Christ (GNT) </w:t>
            </w:r>
            <w:r>
              <w:rPr>
                <w:i/>
                <w:lang w:val="en_US" w:bidi="en_US"/>
              </w:rPr>
              <w:t>-or-</w:t>
            </w:r>
            <w:r>
              <w:rPr>
                <w:lang w:val="en_US" w:bidi="en_US"/>
              </w:rPr>
              <w:t xml:space="preserve"> Don’t Be Ashamed of Jesus (NCV)</w:t>
            </w:r>
          </w:p>
        </w:tc>
      </w:tr>
      <w:tr>
        <w:tc>
          <w:tcPr>
            <w:tcW w:type="dxa" w:w="4680"/>
          </w:tcPr>
          <w:p>
            <w:pPr/>
            <w:r>
              <w:rPr>
                <w:lang w:val="en_US" w:bidi="en_US"/>
              </w:rPr>
            </w:r>
          </w:p>
        </w:tc>
        <w:tc>
          <w:tcPr>
            <w:tcW w:type="dxa" w:w="4680"/>
          </w:tcPr>
          <w:p>
            <w:pPr/>
            <w:r>
              <w:rPr>
                <w:lang w:val="en_US" w:bidi="en_US"/>
              </w:rPr>
            </w:r>
            <w:r>
              <w:rPr>
                <w:lang w:val="en_US" w:bidi="en_US"/>
              </w:rPr>
              <w:t>(There are parallel passages for this section in Matthew 10:32–33, 12:32, 10:19–20.)</w:t>
            </w:r>
          </w:p>
        </w:tc>
      </w:tr>
    </w:tbl>
    <w:p>
      <w:pPr>
        <w:pStyle w:val="Heading5"/>
      </w:pPr>
      <w:r>
        <w:rPr>
          <w:lang w:val="en_US" w:bidi="en_US"/>
        </w:rPr>
        <w:t>12:6–7</w:t>
      </w:r>
    </w:p>
    <w:p>
      <w:pPr/>
      <w:r>
        <w:rPr>
          <w:lang w:val="en_US" w:bidi="en_US"/>
        </w:rPr>
      </w:r>
      <w:r>
        <w:rPr>
          <w:lang w:val="en_US" w:bidi="en_US"/>
        </w:rPr>
        <w:t>In 12:4–5 Jesus warned his disciples not to fear people but to fear/respect God. In 12:6–7 he began to encourage his disciples by telling them how much God cares for them. Jesus began this encouragement by talking about sparrows. God remembers each sparrow, though sparrows do not have much value, and God values the disciples much more than sparrows.</w:t>
      </w:r>
    </w:p>
    <w:p>
      <w:pPr/>
      <w:r>
        <w:rPr>
          <w:lang w:val="en_US" w:bidi="en_US"/>
        </w:rPr>
      </w:r>
      <w:r>
        <w:rPr>
          <w:lang w:val="en_US" w:bidi="en_US"/>
        </w:rPr>
        <w:t>In some languages it may be necessary to make the connection between 12:6 and 12:5 more explicit. For example:</w:t>
      </w:r>
    </w:p>
    <w:p>
      <w:pPr/>
      <w:r>
        <w:rPr>
          <w:lang w:val="en_US" w:bidi="en_US"/>
        </w:rPr>
      </w:r>
      <w:r>
        <w:rPr>
          <w:lang w:val="en_US" w:bidi="en_US"/>
        </w:rPr>
        <w:t>Consider also God’s attitude toward sparrows.</w:t>
      </w:r>
      <w:r>
        <w:rPr>
          <w:lang w:val="en_US" w:bidi="en_US"/>
        </w:rPr>
        <w:t xml:space="preserve"> …</w:t>
      </w:r>
    </w:p>
    <w:p>
      <w:pPr/>
      <w:r>
        <w:rPr>
          <w:lang w:val="en_US" w:bidi="en_US"/>
        </w:rPr>
      </w:r>
      <w:r>
        <w:rPr>
          <w:lang w:val="en_US" w:bidi="en_US"/>
        </w:rPr>
        <w:t>See the note on 12:7b and the General Comment on 12:7a–c at the end of 12:7c for other ways to make the connection between these verses clearer.</w:t>
      </w:r>
    </w:p>
    <w:p>
      <w:pPr>
        <w:pStyle w:val="Heading5"/>
      </w:pPr>
      <w:r>
        <w:rPr>
          <w:lang w:val="en_US" w:bidi="en_US"/>
        </w:rPr>
        <w:t>12:6a</w:t>
      </w:r>
    </w:p>
    <w:p>
      <w:pPr/>
      <w:r>
        <w:rPr>
          <w:lang w:val="en_US" w:bidi="en_US"/>
        </w:rPr>
      </w:r>
      <w:r>
        <w:rPr>
          <w:b/>
          <w:lang w:val="en_US" w:bidi="en_US"/>
        </w:rPr>
        <w:t>Are not five sparrows sold for two pennies?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realize that you can buy five sparrows for only two small coins, don’t you?</w:t>
      </w:r>
    </w:p>
    <w:p>
      <w:pPr>
        <w:pStyle w:val="ListBullet"/>
        <w:spacing w:line="240" w:lineRule="auto"/>
        <w:ind w:left="720"/>
      </w:pPr>
      <w:r>
        <w:rPr>
          <w:lang w:val="en_US" w:bidi="en_US"/>
        </w:rPr>
      </w:r>
      <w:r>
        <w:rPr>
          <w:lang w:val="en_US" w:bidi="en_US"/>
        </w:rPr>
        <w:t>But consider</w:t>
      </w:r>
      <w:r>
        <w:rPr>
          <w:vertAlign w:val="superscript"/>
          <w:lang w:val="en_US" w:bidi="en_US"/>
        </w:rPr>
        <w:t>(plur)</w:t>
      </w:r>
      <w:r>
        <w:rPr>
          <w:lang w:val="en_US" w:bidi="en_US"/>
        </w:rPr>
        <w:t xml:space="preserve"> </w:t>
      </w:r>
      <w:r>
        <w:rPr>
          <w:lang w:val="en_US" w:bidi="en_US"/>
        </w:rPr>
        <w:t>also how God thinks about sparrows.</w:t>
      </w:r>
      <w:r>
        <w:rPr>
          <w:lang w:val="en_US" w:bidi="en_US"/>
        </w:rPr>
        <w:t xml:space="preserve"> We all know that the cost of five sparrows is just two pennies.</w:t>
      </w:r>
    </w:p>
    <w:p>
      <w:pPr/>
      <w:r>
        <w:rPr>
          <w:lang w:val="en_US" w:bidi="en_US"/>
        </w:rPr>
      </w:r>
      <w:r>
        <w:rPr>
          <w:b/>
          <w:lang w:val="en_US" w:bidi="en_US"/>
        </w:rPr>
        <w:t>Are not five sparrows sold for two pennies?:</w:t>
      </w:r>
      <w:r>
        <w:rPr>
          <w:lang w:val="en_US" w:bidi="en_US"/>
        </w:rPr>
        <w:t xml:space="preserve"> Here Jesus asked a rhetorical question to state something that everyone already knew. The question expects the answer “yes, five sparrows are sold for only this small amount of money.”</w:t>
      </w:r>
    </w:p>
    <w:p>
      <w:pPr/>
      <w:r>
        <w:rPr>
          <w:lang w:val="en_US" w:bidi="en_US"/>
        </w:rPr>
      </w:r>
      <w:r>
        <w:rPr>
          <w:lang w:val="en_US" w:bidi="en_US"/>
        </w:rPr>
        <w:t>Some ways to translate this question are:</w:t>
      </w:r>
    </w:p>
    <w:p>
      <w:pPr>
        <w:pStyle w:val="ListBullet"/>
        <w:spacing w:line="240" w:lineRule="auto"/>
        <w:ind w:left="720"/>
      </w:pPr>
      <w:r>
        <w:rPr>
          <w:lang w:val="en_US" w:bidi="en_US"/>
        </w:rPr>
      </w:r>
      <w:r>
        <w:rPr>
          <w:lang w:val="en_US" w:bidi="en_US"/>
        </w:rPr>
        <w:t>As a rhetorical question. For example:</w:t>
      </w:r>
      <w:r>
        <w:rPr>
          <w:lang w:val="en_US" w:bidi="en_US"/>
        </w:rPr>
        <w:t>Don’t you realize that five sparrows are sold for only two pennies?</w:t>
      </w:r>
    </w:p>
    <w:p>
      <w:pPr>
        <w:pStyle w:val="ListBullet"/>
        <w:spacing w:line="240" w:lineRule="auto"/>
        <w:ind w:left="720"/>
      </w:pPr>
      <w:r>
        <w:rPr>
          <w:lang w:val="en_US" w:bidi="en_US"/>
        </w:rPr>
      </w:r>
      <w:r>
        <w:rPr>
          <w:lang w:val="en_US" w:bidi="en_US"/>
        </w:rPr>
        <w:t>As a statement. For example:</w:t>
      </w:r>
      <w:r>
        <w:rPr>
          <w:lang w:val="en_US" w:bidi="en_US"/>
        </w:rPr>
        <w:t>Everyone knows that five sparrows are sold for just two pennies.</w:t>
      </w:r>
    </w:p>
    <w:p>
      <w:pPr/>
      <w:r>
        <w:rPr>
          <w:lang w:val="en_US" w:bidi="en_US"/>
        </w:rPr>
      </w:r>
      <w:r>
        <w:rPr>
          <w:lang w:val="en_US" w:bidi="en_US"/>
        </w:rPr>
        <w:t>Use a way that is natural in your language to express a statement that people already know to be true.</w:t>
      </w:r>
    </w:p>
    <w:p>
      <w:pPr/>
      <w:r>
        <w:rPr>
          <w:lang w:val="en_US" w:bidi="en_US"/>
        </w:rPr>
      </w:r>
      <w:r>
        <w:rPr>
          <w:b/>
          <w:lang w:val="en_US" w:bidi="en_US"/>
        </w:rPr>
        <w:t>sparrows:</w:t>
      </w:r>
      <w:r>
        <w:rPr>
          <w:lang w:val="en_US" w:bidi="en_US"/>
        </w:rPr>
        <w:t xml:space="preserve"> The word </w:t>
      </w:r>
      <w:r>
        <w:rPr>
          <w:i/>
          <w:lang w:val="en_US" w:bidi="en_US"/>
        </w:rPr>
        <w:t>sparrows</w:t>
      </w:r>
      <w:r>
        <w:rPr>
          <w:lang w:val="en_US" w:bidi="en_US"/>
        </w:rPr>
        <w:t xml:space="preserve"> refers to a type of small, common bird that poor people ate. In some areas people are not familiar with sparrows or sparrows are not sold in the market. If this is true in your area, you may:</w:t>
      </w:r>
    </w:p>
    <w:p>
      <w:pPr>
        <w:pStyle w:val="ListBullet"/>
        <w:spacing w:line="240" w:lineRule="auto"/>
        <w:ind w:left="720"/>
      </w:pPr>
      <w:r>
        <w:rPr>
          <w:lang w:val="en_US" w:bidi="en_US"/>
        </w:rPr>
      </w:r>
      <w:r>
        <w:rPr>
          <w:lang w:val="en_US" w:bidi="en_US"/>
        </w:rPr>
        <w:t>Use a descriptive phrase. For example:</w:t>
      </w:r>
      <w:r>
        <w:rPr>
          <w:lang w:val="en_US" w:bidi="en_US"/>
        </w:rPr>
        <w:t>five small birds</w:t>
      </w:r>
    </w:p>
    <w:p>
      <w:pPr>
        <w:pStyle w:val="ListBullet"/>
        <w:spacing w:line="240" w:lineRule="auto"/>
        <w:ind w:left="720"/>
      </w:pPr>
      <w:r>
        <w:rPr>
          <w:lang w:val="en_US" w:bidi="en_US"/>
        </w:rPr>
      </w:r>
      <w:r>
        <w:rPr>
          <w:lang w:val="en_US" w:bidi="en_US"/>
        </w:rPr>
        <w:t>Use the name of a small local bird. For example:</w:t>
      </w:r>
      <w:r>
        <w:rPr>
          <w:lang w:val="en_US" w:bidi="en_US"/>
        </w:rPr>
        <w:t>five rice birds</w:t>
      </w:r>
    </w:p>
    <w:p>
      <w:pPr/>
      <w:r>
        <w:rPr>
          <w:lang w:val="en_US" w:bidi="en_US"/>
        </w:rPr>
      </w:r>
      <w:r>
        <w:rPr>
          <w:b/>
          <w:lang w:val="en_US" w:bidi="en_US"/>
        </w:rPr>
        <w:t>two pennies:</w:t>
      </w:r>
      <w:r>
        <w:rPr>
          <w:lang w:val="en_US" w:bidi="en_US"/>
        </w:rPr>
        <w:t xml:space="preserve"> The word </w:t>
      </w:r>
      <w:r>
        <w:rPr>
          <w:i/>
          <w:lang w:val="en_US" w:bidi="en_US"/>
        </w:rPr>
        <w:t>pennies</w:t>
      </w:r>
      <w:r>
        <w:rPr>
          <w:lang w:val="en_US" w:bidi="en_US"/>
        </w:rPr>
        <w:t xml:space="preserve"> refers to certain Roman coins. Each of these coins was worth about one sixteenth of a workman’s daily pay. The point is that the sparrows cost very little. The exact value of </w:t>
      </w:r>
      <w:r>
        <w:rPr>
          <w:i/>
          <w:lang w:val="en_US" w:bidi="en_US"/>
        </w:rPr>
        <w:t>two pennies</w:t>
      </w:r>
      <w:r>
        <w:rPr>
          <w:lang w:val="en_US" w:bidi="en_US"/>
        </w:rPr>
        <w:t xml:space="preserve"> is not important here. Some other ways to translate </w:t>
      </w:r>
      <w:r>
        <w:rPr>
          <w:i/>
          <w:lang w:val="en_US" w:bidi="en_US"/>
        </w:rPr>
        <w:t>two pennies</w:t>
      </w:r>
      <w:r>
        <w:rPr>
          <w:lang w:val="en_US" w:bidi="en_US"/>
        </w:rPr>
        <w:t xml:space="preserve"> are:</w:t>
      </w:r>
    </w:p>
    <w:p>
      <w:pPr>
        <w:pStyle w:val="ListBullet"/>
        <w:spacing w:line="240" w:lineRule="auto"/>
        <w:ind w:left="720"/>
      </w:pPr>
      <w:r>
        <w:rPr>
          <w:lang w:val="en_US" w:bidi="en_US"/>
        </w:rPr>
      </w:r>
      <w:r>
        <w:rPr>
          <w:lang w:val="en_US" w:bidi="en_US"/>
        </w:rPr>
        <w:t>Use a descriptive phrase for a small amount of money. For example:</w:t>
      </w:r>
      <w:r>
        <w:rPr>
          <w:lang w:val="en_US" w:bidi="en_US"/>
        </w:rPr>
        <w:t>two copper coins (NLT)</w:t>
      </w:r>
      <w:r>
        <w:rPr>
          <w:lang w:val="en_US" w:bidi="en_US"/>
        </w:rPr>
        <w:t>only a few small coins</w:t>
      </w:r>
    </w:p>
    <w:p>
      <w:pPr>
        <w:pStyle w:val="ListBullet"/>
        <w:spacing w:line="240" w:lineRule="auto"/>
        <w:ind w:left="720"/>
      </w:pPr>
      <w:r>
        <w:rPr>
          <w:lang w:val="en_US" w:bidi="en_US"/>
        </w:rPr>
      </w:r>
      <w:r>
        <w:rPr>
          <w:lang w:val="en_US" w:bidi="en_US"/>
        </w:rPr>
        <w:t>Use a local equivalent for a coin of little value. For example:</w:t>
      </w:r>
      <w:r>
        <w:rPr>
          <w:lang w:val="en_US" w:bidi="en_US"/>
        </w:rPr>
        <w:t>two cents (GW)</w:t>
      </w:r>
    </w:p>
    <w:p>
      <w:pPr>
        <w:pStyle w:val="Heading5"/>
      </w:pPr>
      <w:r>
        <w:rPr>
          <w:lang w:val="en_US" w:bidi="en_US"/>
        </w:rPr>
        <w:t>12:6b</w:t>
      </w:r>
    </w:p>
    <w:p>
      <w:pPr/>
      <w:r>
        <w:rPr>
          <w:lang w:val="en_US" w:bidi="en_US"/>
        </w:rPr>
      </w:r>
      <w:r>
        <w:rPr>
          <w:b/>
          <w:lang w:val="en_US" w:bidi="en_US"/>
        </w:rPr>
        <w:t>Yet not one of them is forgotten by God.</w:t>
      </w:r>
    </w:p>
    <w:p>
      <w:pPr>
        <w:pStyle w:val="ListBullet"/>
        <w:spacing w:line="240" w:lineRule="auto"/>
        <w:ind w:left="720"/>
      </w:pPr>
      <w:r>
        <w:rPr>
          <w:lang w:val="en_US" w:bidi="en_US"/>
        </w:rPr>
      </w:r>
      <w:r>
        <w:rPr>
          <w:lang w:val="en_US" w:bidi="en_US"/>
        </w:rPr>
        <w:t>And yet God thinks about every one of them.</w:t>
      </w:r>
    </w:p>
    <w:p>
      <w:pPr>
        <w:pStyle w:val="ListBullet"/>
        <w:spacing w:line="240" w:lineRule="auto"/>
        <w:ind w:left="720"/>
      </w:pPr>
      <w:r>
        <w:rPr>
          <w:lang w:val="en_US" w:bidi="en_US"/>
        </w:rPr>
      </w:r>
      <w:r>
        <w:rPr>
          <w:lang w:val="en_US" w:bidi="en_US"/>
        </w:rPr>
        <w:t xml:space="preserve">But </w:t>
      </w:r>
      <w:r>
        <w:rPr>
          <w:lang w:val="en_US" w:bidi="en_US"/>
        </w:rPr>
        <w:t>even though they are worth almost nothing,</w:t>
      </w:r>
      <w:r>
        <w:rPr>
          <w:lang w:val="en_US" w:bidi="en_US"/>
        </w:rPr>
        <w:t xml:space="preserve"> God does not neglect even one of those </w:t>
      </w:r>
      <w:r>
        <w:rPr>
          <w:lang w:val="en_US" w:bidi="en_US"/>
        </w:rPr>
        <w:t>birds</w:t>
      </w:r>
      <w:r>
        <w:rPr>
          <w:lang w:val="en_US" w:bidi="en_US"/>
        </w:rPr>
        <w:t>.</w:t>
      </w:r>
    </w:p>
    <w:p>
      <w:pPr/>
      <w:r>
        <w:rPr>
          <w:lang w:val="en_US" w:bidi="en_US"/>
        </w:rPr>
      </w:r>
      <w:r>
        <w:rPr>
          <w:b/>
          <w:lang w:val="en_US" w:bidi="en_US"/>
        </w:rPr>
        <w:t>Yet:</w:t>
      </w:r>
      <w:r>
        <w:rPr>
          <w:lang w:val="en_US" w:bidi="en_US"/>
        </w:rPr>
        <w:t xml:space="preserve"> The Greek conjunction that the BSB translates here as </w:t>
      </w:r>
      <w:r>
        <w:rPr>
          <w:i/>
          <w:lang w:val="en_US" w:bidi="en_US"/>
        </w:rPr>
        <w:t>Yet</w:t>
      </w:r>
      <w:r>
        <w:rPr>
          <w:lang w:val="en_US" w:bidi="en_US"/>
        </w:rPr>
        <w:t xml:space="preserve"> introduces an unexpected fact that contrasts with 12:6a. In spite of the fact that sparrows are of almost no value, God cares about each one of them. Other ways to introduce this unexpected statement are:</w:t>
      </w:r>
    </w:p>
    <w:p>
      <w:pPr/>
      <w:r>
        <w:rPr>
          <w:lang w:val="en_US" w:bidi="en_US"/>
        </w:rPr>
      </w:r>
      <w:r>
        <w:rPr>
          <w:lang w:val="en_US" w:bidi="en_US"/>
        </w:rPr>
        <w:t>but (CEV)</w:t>
      </w:r>
    </w:p>
    <w:p>
      <w:pPr/>
      <w:r>
        <w:rPr>
          <w:lang w:val="en_US" w:bidi="en_US"/>
        </w:rPr>
      </w:r>
      <w:r>
        <w:rPr>
          <w:lang w:val="en_US" w:bidi="en_US"/>
        </w:rPr>
        <w:t>But/Yet even though that is true</w:t>
      </w:r>
    </w:p>
    <w:p>
      <w:pPr/>
      <w:r>
        <w:rPr>
          <w:lang w:val="en_US" w:bidi="en_US"/>
        </w:rPr>
      </w:r>
      <w:r>
        <w:rPr>
          <w:b/>
          <w:lang w:val="en_US" w:bidi="en_US"/>
        </w:rPr>
        <w:t>not one of them is forgotten by God:</w:t>
      </w:r>
      <w:r>
        <w:rPr>
          <w:lang w:val="en_US" w:bidi="en_US"/>
        </w:rPr>
        <w:t xml:space="preserve"> The clause that the BSB translates as </w:t>
      </w:r>
      <w:r>
        <w:rPr>
          <w:i/>
          <w:lang w:val="en_US" w:bidi="en_US"/>
        </w:rPr>
        <w:t>not one of them is forgotten by God</w:t>
      </w:r>
      <w:r>
        <w:rPr>
          <w:lang w:val="en_US" w:bidi="en_US"/>
        </w:rPr>
        <w:t xml:space="preserve"> means that God does not neglect or overlook even one sparrow. He knows and cares about each one. Other ways to translate this clause are:</w:t>
      </w:r>
    </w:p>
    <w:p>
      <w:pPr/>
      <w:r>
        <w:rPr>
          <w:lang w:val="en_US" w:bidi="en_US"/>
        </w:rPr>
      </w:r>
      <w:r>
        <w:rPr>
          <w:lang w:val="en_US" w:bidi="en_US"/>
        </w:rPr>
        <w:t>Yet God does not forget a single one of them. (NLT)</w:t>
      </w:r>
    </w:p>
    <w:p>
      <w:pPr/>
      <w:r>
        <w:rPr>
          <w:lang w:val="en_US" w:bidi="en_US"/>
        </w:rPr>
      </w:r>
      <w:r>
        <w:rPr>
          <w:lang w:val="en_US" w:bidi="en_US"/>
        </w:rPr>
        <w:t xml:space="preserve">Yet God remembers </w:t>
      </w:r>
      <w:r>
        <w:rPr>
          <w:lang w:val="en_US" w:bidi="en_US"/>
        </w:rPr>
        <w:t>and cares for</w:t>
      </w:r>
      <w:r>
        <w:rPr>
          <w:lang w:val="en_US" w:bidi="en_US"/>
        </w:rPr>
        <w:t xml:space="preserve"> every one of </w:t>
      </w:r>
      <w:r>
        <w:rPr>
          <w:lang w:val="en_US" w:bidi="en_US"/>
        </w:rPr>
        <w:t>those sparrows</w:t>
      </w:r>
      <w:r>
        <w:rPr>
          <w:lang w:val="en_US" w:bidi="en_US"/>
        </w:rPr>
        <w:t>.</w:t>
      </w:r>
    </w:p>
    <w:p>
      <w:pPr>
        <w:pStyle w:val="Heading6"/>
      </w:pPr>
      <w:r>
        <w:rPr>
          <w:b/>
          <w:lang w:val="en_US" w:bidi="en_US"/>
        </w:rPr>
        <w:t>General Comment on 12:6a–b</w:t>
      </w:r>
    </w:p>
    <w:p>
      <w:pPr/>
      <w:r>
        <w:rPr>
          <w:lang w:val="en_US" w:bidi="en_US"/>
        </w:rPr>
      </w:r>
      <w:r>
        <w:rPr>
          <w:lang w:val="en_US" w:bidi="en_US"/>
        </w:rPr>
        <w:t>In some languages it may be more natural to change the order of 12:6a and 12:6b. For example:</w:t>
      </w:r>
    </w:p>
    <w:p>
      <w:pPr/>
      <w:r>
        <w:rPr>
          <w:lang w:val="en_US" w:bidi="en_US"/>
        </w:rPr>
      </w:r>
      <w:r>
        <w:rPr>
          <w:vertAlign w:val="superscript"/>
          <w:lang w:val="en_US" w:bidi="en_US"/>
        </w:rPr>
        <w:t>6b</w:t>
      </w:r>
      <w:r>
        <w:rPr>
          <w:lang w:val="en_US" w:bidi="en_US"/>
        </w:rPr>
        <w:t xml:space="preserve">Do you think God forgets even one of </w:t>
      </w:r>
      <w:r>
        <w:rPr>
          <w:vertAlign w:val="superscript"/>
          <w:lang w:val="en_US" w:bidi="en_US"/>
        </w:rPr>
        <w:t>6a</w:t>
      </w:r>
      <w:r>
        <w:rPr>
          <w:lang w:val="en_US" w:bidi="en_US"/>
        </w:rPr>
        <w:t xml:space="preserve">the small birds that cost less than a penny? </w:t>
      </w:r>
      <w:r>
        <w:rPr>
          <w:lang w:val="en_US" w:bidi="en_US"/>
        </w:rPr>
        <w:t>Of course not!</w:t>
      </w:r>
      <w:r>
        <w:rPr>
          <w:lang w:val="en_US" w:bidi="en_US"/>
        </w:rPr>
      </w:r>
      <w:r>
        <w:rPr>
          <w:lang w:val="en_US" w:bidi="en_US"/>
        </w:rPr>
      </w:r>
    </w:p>
    <w:p>
      <w:pPr/>
      <w:r>
        <w:rPr>
          <w:lang w:val="en_US" w:bidi="en_US"/>
        </w:rPr>
      </w:r>
    </w:p>
    <w:p>
      <w:pPr>
        <w:pStyle w:val="Heading2"/>
      </w:pPr>
      <w:r>
        <w:rPr>
          <w:lang w:val="en_US" w:bidi="en_US"/>
        </w:rPr>
        <w:t>Luke 12:7</w:t>
      </w:r>
      <w:r>
        <w:rPr>
          <w:lang w:val="en_US" w:bidi="en_US"/>
        </w:rPr>
      </w:r>
    </w:p>
    <w:p>
      <w:pPr>
        <w:pStyle w:val="Heading4"/>
      </w:pPr>
      <w:r>
        <w:rPr>
          <w:lang w:val="en_US" w:bidi="en_US"/>
        </w:rPr>
        <w:t>Section 12:1–12: Jesus warned and encouraged his disciples</w:t>
      </w:r>
    </w:p>
    <w:p>
      <w:pPr/>
      <w:r>
        <w:rPr>
          <w:lang w:val="en_US" w:bidi="en_US"/>
        </w:rPr>
      </w:r>
      <w:r>
        <w:rPr>
          <w:lang w:val="en_US" w:bidi="en_US"/>
        </w:rP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pPr/>
      <w:r>
        <w:rPr>
          <w:lang w:val="en_US" w:bidi="en_US"/>
        </w:rPr>
      </w:r>
      <w:r>
        <w:rPr>
          <w:lang w:val="en_US" w:bidi="en_US"/>
        </w:rPr>
        <w:t>It is good to translate this section before you decide on a heading for it. Another possible heading for this section is:</w:t>
      </w:r>
    </w:p>
    <w:p>
      <w:pPr/>
      <w:r>
        <w:rPr>
          <w:lang w:val="en_US" w:bidi="en_US"/>
        </w:rPr>
      </w:r>
      <w:r>
        <w:rPr>
          <w:lang w:val="en_US" w:bidi="en_US"/>
        </w:rPr>
        <w:t>Warnings and Encouragements (NIV)</w:t>
      </w:r>
    </w:p>
    <w:p>
      <w:pPr/>
      <w:r>
        <w:rPr>
          <w:lang w:val="en_US" w:bidi="en_US"/>
        </w:rPr>
      </w:r>
      <w:r>
        <w:rPr>
          <w:lang w:val="en_US" w:bidi="en_US"/>
        </w:rP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12:1–3</w:t>
            </w:r>
          </w:p>
        </w:tc>
        <w:tc>
          <w:tcPr>
            <w:tcW w:type="dxa" w:w="4680"/>
          </w:tcPr>
          <w:p>
            <w:pPr/>
            <w:r>
              <w:rPr>
                <w:lang w:val="en_US" w:bidi="en_US"/>
              </w:rPr>
            </w:r>
            <w:r>
              <w:rPr>
                <w:lang w:val="en_US" w:bidi="en_US"/>
              </w:rPr>
              <w:t xml:space="preserve">A Warning against Hypocrisy (GNT) </w:t>
            </w:r>
            <w:r>
              <w:rPr>
                <w:i/>
                <w:lang w:val="en_US" w:bidi="en_US"/>
              </w:rPr>
              <w:t>-or-</w:t>
            </w:r>
            <w:r>
              <w:rPr>
                <w:lang w:val="en_US" w:bidi="en_US"/>
              </w:rPr>
              <w:t xml:space="preserve"> Jesus warned his disciples not to be like the Pharisees</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10:26–27.)</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12:4–7</w:t>
            </w:r>
          </w:p>
        </w:tc>
        <w:tc>
          <w:tcPr>
            <w:tcW w:type="dxa" w:w="4680"/>
          </w:tcPr>
          <w:p>
            <w:pPr/>
            <w:r>
              <w:rPr>
                <w:lang w:val="en_US" w:bidi="en_US"/>
              </w:rPr>
            </w:r>
            <w:r>
              <w:rPr>
                <w:lang w:val="en_US" w:bidi="en_US"/>
              </w:rPr>
              <w:t xml:space="preserve">The One Whom People Should Fear </w:t>
            </w:r>
            <w:r>
              <w:rPr>
                <w:i/>
                <w:lang w:val="en_US" w:bidi="en_US"/>
              </w:rPr>
              <w:t>-or-</w:t>
            </w:r>
            <w:r>
              <w:rPr>
                <w:lang w:val="en_US" w:bidi="en_US"/>
              </w:rPr>
              <w:t xml:space="preserve"> Jesus told his disciples whom they should fear</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10:28–31.)</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12:8–12</w:t>
            </w:r>
          </w:p>
        </w:tc>
        <w:tc>
          <w:tcPr>
            <w:tcW w:type="dxa" w:w="4680"/>
          </w:tcPr>
          <w:p>
            <w:pPr/>
            <w:r>
              <w:rPr>
                <w:lang w:val="en_US" w:bidi="en_US"/>
              </w:rPr>
            </w:r>
            <w:r>
              <w:rPr>
                <w:lang w:val="en_US" w:bidi="en_US"/>
              </w:rPr>
              <w:t xml:space="preserve">Confessing and Rejecting Christ (GNT) </w:t>
            </w:r>
            <w:r>
              <w:rPr>
                <w:i/>
                <w:lang w:val="en_US" w:bidi="en_US"/>
              </w:rPr>
              <w:t>-or-</w:t>
            </w:r>
            <w:r>
              <w:rPr>
                <w:lang w:val="en_US" w:bidi="en_US"/>
              </w:rPr>
              <w:t xml:space="preserve"> Don’t Be Ashamed of Jesus (NCV)</w:t>
            </w:r>
          </w:p>
        </w:tc>
      </w:tr>
      <w:tr>
        <w:tc>
          <w:tcPr>
            <w:tcW w:type="dxa" w:w="4680"/>
          </w:tcPr>
          <w:p>
            <w:pPr/>
            <w:r>
              <w:rPr>
                <w:lang w:val="en_US" w:bidi="en_US"/>
              </w:rPr>
            </w:r>
          </w:p>
        </w:tc>
        <w:tc>
          <w:tcPr>
            <w:tcW w:type="dxa" w:w="4680"/>
          </w:tcPr>
          <w:p>
            <w:pPr/>
            <w:r>
              <w:rPr>
                <w:lang w:val="en_US" w:bidi="en_US"/>
              </w:rPr>
            </w:r>
            <w:r>
              <w:rPr>
                <w:lang w:val="en_US" w:bidi="en_US"/>
              </w:rPr>
              <w:t>(There are parallel passages for this section in Matthew 10:32–33, 12:32, 10:19–20.)</w:t>
            </w:r>
          </w:p>
        </w:tc>
      </w:tr>
    </w:tbl>
    <w:p>
      <w:pPr>
        <w:pStyle w:val="Heading5"/>
      </w:pPr>
      <w:r>
        <w:rPr>
          <w:lang w:val="en_US" w:bidi="en_US"/>
        </w:rPr>
        <w:t>12:7a</w:t>
      </w:r>
    </w:p>
    <w:p>
      <w:pPr/>
      <w:r>
        <w:rPr>
          <w:lang w:val="en_US" w:bidi="en_US"/>
        </w:rPr>
      </w:r>
      <w:r>
        <w:rPr>
          <w:b/>
          <w:lang w:val="en_US" w:bidi="en_US"/>
        </w:rPr>
        <w:t>And even the very hairs of your head are all numbered.</w:t>
      </w:r>
    </w:p>
    <w:p>
      <w:pPr>
        <w:pStyle w:val="ListBullet"/>
        <w:spacing w:line="240" w:lineRule="auto"/>
        <w:ind w:left="720"/>
      </w:pPr>
      <w:r>
        <w:rPr>
          <w:lang w:val="en_US" w:bidi="en_US"/>
        </w:rPr>
      </w:r>
      <w:r>
        <w:rPr>
          <w:lang w:val="en_US" w:bidi="en_US"/>
        </w:rPr>
        <w:t>But as for you</w:t>
      </w:r>
      <w:r>
        <w:rPr>
          <w:vertAlign w:val="superscript"/>
          <w:lang w:val="en_US" w:bidi="en_US"/>
        </w:rPr>
        <w:t>(plur)</w:t>
      </w:r>
      <w:r>
        <w:rPr>
          <w:lang w:val="en_US" w:bidi="en_US"/>
        </w:rPr>
        <w:t>, even the hairs that grow on your head have all been counted.</w:t>
      </w:r>
    </w:p>
    <w:p>
      <w:pPr>
        <w:pStyle w:val="ListBullet"/>
        <w:spacing w:line="240" w:lineRule="auto"/>
        <w:ind w:left="720"/>
      </w:pPr>
      <w:r>
        <w:rPr>
          <w:lang w:val="en_US" w:bidi="en_US"/>
        </w:rPr>
      </w:r>
      <w:r>
        <w:rPr>
          <w:lang w:val="en_US" w:bidi="en_US"/>
        </w:rPr>
        <w:t>However, he thinks about you</w:t>
      </w:r>
      <w:r>
        <w:rPr>
          <w:vertAlign w:val="superscript"/>
          <w:lang w:val="en_US" w:bidi="en_US"/>
        </w:rPr>
        <w:t>(plur)</w:t>
      </w:r>
      <w:r>
        <w:rPr>
          <w:lang w:val="en_US" w:bidi="en_US"/>
        </w:rPr>
        <w:t xml:space="preserve"> much more! </w:t>
      </w:r>
      <w:r>
        <w:rPr>
          <w:lang w:val="en_US" w:bidi="en_US"/>
        </w:rPr>
        <w:t>He</w:t>
      </w:r>
      <w:r>
        <w:rPr>
          <w:lang w:val="en_US" w:bidi="en_US"/>
        </w:rPr>
        <w:t xml:space="preserve"> even knows the number of hairs on your head.</w:t>
      </w:r>
    </w:p>
    <w:p>
      <w:pPr/>
      <w:r>
        <w:rPr>
          <w:lang w:val="en_US" w:bidi="en_US"/>
        </w:rPr>
      </w:r>
      <w:r>
        <w:rPr>
          <w:b/>
          <w:lang w:val="en_US" w:bidi="en_US"/>
        </w:rPr>
        <w:t>And even:</w:t>
      </w:r>
      <w:r>
        <w:rPr>
          <w:lang w:val="en_US" w:bidi="en_US"/>
        </w:rPr>
        <w:t xml:space="preserve"> The two Greek conjunctions that the BSB translates as </w:t>
      </w:r>
      <w:r>
        <w:rPr>
          <w:i/>
          <w:lang w:val="en_US" w:bidi="en_US"/>
        </w:rPr>
        <w:t>And even</w:t>
      </w:r>
      <w:r>
        <w:rPr>
          <w:lang w:val="en_US" w:bidi="en_US"/>
        </w:rPr>
        <w:t xml:space="preserve"> introduce a contrast between the way God cares for sparrows and the way he cares for the disciples. God remembers each sparrow. But he cares much more for each of Jesus’ disciples. He even knows the number of hairs on each of their heads. Consider how to express this contrast in a natural way in your language. Some ways to do this in English are:</w:t>
      </w:r>
    </w:p>
    <w:p>
      <w:pPr/>
      <w:r>
        <w:rPr>
          <w:lang w:val="en_US" w:bidi="en_US"/>
        </w:rPr>
      </w:r>
      <w:r>
        <w:rPr>
          <w:lang w:val="en_US" w:bidi="en_US"/>
        </w:rPr>
        <w:t>But as for you, God even knows how many hairs…</w:t>
      </w:r>
    </w:p>
    <w:p>
      <w:pPr/>
      <w:r>
        <w:rPr>
          <w:lang w:val="en_US" w:bidi="en_US"/>
        </w:rPr>
      </w:r>
      <w:r>
        <w:rPr>
          <w:lang w:val="en_US" w:bidi="en_US"/>
        </w:rPr>
        <w:t>And certainly God remembers you far more. Even your hairs…</w:t>
      </w:r>
    </w:p>
    <w:p>
      <w:pPr/>
      <w:r>
        <w:rPr>
          <w:lang w:val="en_US" w:bidi="en_US"/>
        </w:rPr>
      </w:r>
      <w:r>
        <w:rPr>
          <w:b/>
          <w:lang w:val="en_US" w:bidi="en_US"/>
        </w:rPr>
        <w:t>the very hairs of your head are all numbered:</w:t>
      </w:r>
      <w:r>
        <w:rPr>
          <w:lang w:val="en_US" w:bidi="en_US"/>
        </w:rPr>
        <w:t xml:space="preserve"> In this context the clause </w:t>
      </w:r>
      <w:r>
        <w:rPr>
          <w:i/>
          <w:lang w:val="en_US" w:bidi="en_US"/>
        </w:rPr>
        <w:t>the very hairs of your head are all numbered</w:t>
      </w:r>
      <w:r>
        <w:rPr>
          <w:lang w:val="en_US" w:bidi="en_US"/>
        </w:rPr>
        <w:t xml:space="preserve"> indicates that God knows exactly how many hairs are on your head. It does not mean that God actually counts the hairs. For example:</w:t>
      </w:r>
    </w:p>
    <w:p>
      <w:pPr/>
      <w:r>
        <w:rPr>
          <w:lang w:val="en_US" w:bidi="en_US"/>
        </w:rPr>
      </w:r>
      <w:r>
        <w:rPr>
          <w:lang w:val="en_US" w:bidi="en_US"/>
        </w:rPr>
        <w:t>But God even knows how many hairs you have on your head. (NCV)</w:t>
      </w:r>
    </w:p>
    <w:p>
      <w:pPr>
        <w:pStyle w:val="Heading5"/>
      </w:pPr>
      <w:r>
        <w:rPr>
          <w:lang w:val="en_US" w:bidi="en_US"/>
        </w:rPr>
        <w:t>12:7b</w:t>
      </w:r>
    </w:p>
    <w:p>
      <w:pPr/>
      <w:r>
        <w:rPr>
          <w:lang w:val="en_US" w:bidi="en_US"/>
        </w:rPr>
      </w:r>
      <w:r>
        <w:rPr>
          <w:b/>
          <w:lang w:val="en_US" w:bidi="en_US"/>
        </w:rPr>
        <w:t>So do not be afraid;</w:t>
      </w:r>
    </w:p>
    <w:p>
      <w:pPr>
        <w:pStyle w:val="ListBullet"/>
        <w:spacing w:line="240" w:lineRule="auto"/>
        <w:ind w:left="720"/>
      </w:pPr>
      <w:r>
        <w:rPr>
          <w:lang w:val="en_US" w:bidi="en_US"/>
        </w:rPr>
      </w:r>
      <w:r>
        <w:rPr>
          <w:lang w:val="en_US" w:bidi="en_US"/>
        </w:rPr>
        <w:t>So</w:t>
      </w:r>
      <w:r>
        <w:rPr>
          <w:lang w:val="en_US" w:bidi="en_US"/>
        </w:rPr>
        <w:t xml:space="preserve"> do</w:t>
      </w:r>
      <w:r>
        <w:rPr>
          <w:vertAlign w:val="superscript"/>
          <w:lang w:val="en_US" w:bidi="en_US"/>
        </w:rPr>
        <w:t>(plur)</w:t>
      </w:r>
      <w:r>
        <w:rPr>
          <w:lang w:val="en_US" w:bidi="en_US"/>
        </w:rPr>
        <w:t xml:space="preserve"> not be afraid </w:t>
      </w:r>
      <w:r>
        <w:rPr>
          <w:lang w:val="en_US" w:bidi="en_US"/>
        </w:rPr>
        <w:t>of what may happen to you</w:t>
      </w:r>
      <w:r>
        <w:rPr>
          <w:lang w:val="en_US" w:bidi="en_US"/>
        </w:rPr>
        <w:t>.</w:t>
      </w:r>
    </w:p>
    <w:p>
      <w:pPr/>
      <w:r>
        <w:rPr>
          <w:lang w:val="en_US" w:bidi="en_US"/>
        </w:rPr>
      </w:r>
      <w:r>
        <w:rPr>
          <w:b/>
          <w:lang w:val="en_US" w:bidi="en_US"/>
        </w:rPr>
        <w:t>So do not be afraid:</w:t>
      </w:r>
      <w:r>
        <w:rPr>
          <w:lang w:val="en_US" w:bidi="en_US"/>
        </w:rPr>
        <w:t xml:space="preserve"> In this context Jesus used the phrase </w:t>
      </w:r>
      <w:r>
        <w:rPr>
          <w:i/>
          <w:lang w:val="en_US" w:bidi="en_US"/>
        </w:rPr>
        <w:t>do not be afraid</w:t>
      </w:r>
      <w:r>
        <w:rPr>
          <w:lang w:val="en_US" w:bidi="en_US"/>
        </w:rPr>
        <w:t xml:space="preserve"> to reassure his disciples that God was taking care of them. The phrase implies that they should not be afraid of men or of what might happen to them in the future. However, they must still fear God, as Jesus said in 12:5c. In some languages it may be necessary to make explicit what the disciples should not be afraid of. For example:</w:t>
      </w:r>
    </w:p>
    <w:p>
      <w:pPr/>
      <w:r>
        <w:rPr>
          <w:lang w:val="en_US" w:bidi="en_US"/>
        </w:rPr>
      </w:r>
      <w:r>
        <w:rPr>
          <w:lang w:val="en_US" w:bidi="en_US"/>
        </w:rPr>
        <w:t>So</w:t>
      </w:r>
      <w:r>
        <w:rPr>
          <w:lang w:val="en_US" w:bidi="en_US"/>
        </w:rPr>
        <w:t xml:space="preserve"> do not be afraid </w:t>
      </w:r>
      <w:r>
        <w:rPr>
          <w:lang w:val="en_US" w:bidi="en_US"/>
        </w:rPr>
        <w:t>of what may happen to you here in this world</w:t>
      </w:r>
    </w:p>
    <w:p>
      <w:pPr>
        <w:pStyle w:val="Heading5"/>
      </w:pPr>
      <w:r>
        <w:rPr>
          <w:lang w:val="en_US" w:bidi="en_US"/>
        </w:rPr>
        <w:t>12:7c</w:t>
      </w:r>
    </w:p>
    <w:p>
      <w:pPr/>
      <w:r>
        <w:rPr>
          <w:lang w:val="en_US" w:bidi="en_US"/>
        </w:rPr>
      </w:r>
      <w:r>
        <w:rPr>
          <w:b/>
          <w:lang w:val="en_US" w:bidi="en_US"/>
        </w:rPr>
        <w:t>you are worth more than many sparrows.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more precious/valuable </w:t>
      </w:r>
      <w:r>
        <w:rPr>
          <w:lang w:val="en_US" w:bidi="en_US"/>
        </w:rPr>
        <w:t>to God</w:t>
      </w:r>
      <w:r>
        <w:rPr>
          <w:lang w:val="en_US" w:bidi="en_US"/>
        </w:rPr>
        <w:t xml:space="preserve"> than many sparrows.”</w:t>
      </w:r>
    </w:p>
    <w:p>
      <w:pPr>
        <w:pStyle w:val="ListBullet"/>
        <w:spacing w:line="240" w:lineRule="auto"/>
        <w:ind w:left="720"/>
      </w:pPr>
      <w:r>
        <w:rPr>
          <w:lang w:val="en_US" w:bidi="en_US"/>
        </w:rPr>
      </w:r>
      <w:r>
        <w:rPr>
          <w:lang w:val="en_US" w:bidi="en_US"/>
        </w:rPr>
        <w:t>Because God considers that you</w:t>
      </w:r>
      <w:r>
        <w:rPr>
          <w:vertAlign w:val="superscript"/>
          <w:lang w:val="en_US" w:bidi="en_US"/>
        </w:rPr>
        <w:t>(plur)</w:t>
      </w:r>
      <w:r>
        <w:rPr>
          <w:lang w:val="en_US" w:bidi="en_US"/>
        </w:rPr>
        <w:t xml:space="preserve"> are more important than many small birds.”</w:t>
      </w:r>
    </w:p>
    <w:p>
      <w:pPr/>
      <w:r>
        <w:rPr>
          <w:lang w:val="en_US" w:bidi="en_US"/>
        </w:rPr>
      </w:r>
      <w:r>
        <w:rPr>
          <w:b/>
          <w:lang w:val="en_US" w:bidi="en_US"/>
        </w:rPr>
        <w:t>you are worth more than many sparrows:</w:t>
      </w:r>
      <w:r>
        <w:rPr>
          <w:lang w:val="en_US" w:bidi="en_US"/>
        </w:rPr>
        <w:t xml:space="preserve"> In this context the phrase </w:t>
      </w:r>
      <w:r>
        <w:rPr>
          <w:i/>
          <w:lang w:val="en_US" w:bidi="en_US"/>
        </w:rPr>
        <w:t>worth more</w:t>
      </w:r>
      <w:r>
        <w:rPr>
          <w:lang w:val="en_US" w:bidi="en_US"/>
        </w:rPr>
        <w:t xml:space="preserve"> means “more precious” or “more valuable” or “more important.” It does not refer to monetary value. Jesus implied that since God cares for each little bird, he cares much more for each person.</w:t>
      </w:r>
    </w:p>
    <w:p>
      <w:pPr/>
      <w:r>
        <w:rPr>
          <w:lang w:val="en_US" w:bidi="en_US"/>
        </w:rPr>
      </w:r>
      <w:r>
        <w:rPr>
          <w:lang w:val="en_US" w:bidi="en_US"/>
        </w:rPr>
        <w:t xml:space="preserve">In some languages it may be helpful to make clear here that Jesus was referring to people’s worth or importance </w:t>
      </w:r>
      <w:r>
        <w:rPr>
          <w:u w:val="single"/>
          <w:lang w:val="en_US" w:bidi="en_US"/>
        </w:rPr>
        <w:t>to God</w:t>
      </w:r>
      <w:r>
        <w:rPr>
          <w:lang w:val="en_US" w:bidi="en_US"/>
        </w:rPr>
        <w:t>. For example:</w:t>
      </w:r>
    </w:p>
    <w:p>
      <w:pPr/>
      <w:r>
        <w:rPr>
          <w:lang w:val="en_US" w:bidi="en_US"/>
        </w:rPr>
      </w:r>
      <w:r>
        <w:rPr>
          <w:lang w:val="en_US" w:bidi="en_US"/>
        </w:rPr>
        <w:t xml:space="preserve">you are worth more </w:t>
      </w:r>
      <w:r>
        <w:rPr>
          <w:lang w:val="en_US" w:bidi="en_US"/>
        </w:rPr>
        <w:t>to God</w:t>
      </w:r>
      <w:r>
        <w:rPr>
          <w:lang w:val="en_US" w:bidi="en_US"/>
        </w:rPr>
        <w:t xml:space="preserve"> than many sparrows</w:t>
      </w:r>
    </w:p>
    <w:p>
      <w:pPr/>
      <w:r>
        <w:rPr>
          <w:lang w:val="en_US" w:bidi="en_US"/>
        </w:rPr>
      </w:r>
      <w:r>
        <w:rPr>
          <w:lang w:val="en_US" w:bidi="en_US"/>
        </w:rPr>
        <w:t>God</w:t>
      </w:r>
      <w:r>
        <w:rPr>
          <w:lang w:val="en_US" w:bidi="en_US"/>
        </w:rPr>
        <w:t xml:space="preserve"> considers you to be more important than many small birds</w:t>
      </w:r>
    </w:p>
    <w:p>
      <w:pPr>
        <w:pStyle w:val="Heading6"/>
      </w:pPr>
      <w:r>
        <w:rPr>
          <w:b/>
          <w:lang w:val="en_US" w:bidi="en_US"/>
        </w:rPr>
        <w:t>General Comment on 12:7a–c</w:t>
      </w:r>
    </w:p>
    <w:p>
      <w:pPr/>
      <w:r>
        <w:rPr>
          <w:lang w:val="en_US" w:bidi="en_US"/>
        </w:rPr>
      </w:r>
      <w:r>
        <w:rPr>
          <w:lang w:val="en_US" w:bidi="en_US"/>
        </w:rPr>
        <w:t>In some languages it may be helpful to change the order of the parts of this verse to help people understand the connections. For example:</w:t>
      </w:r>
    </w:p>
    <w:p>
      <w:pPr/>
      <w:r>
        <w:rPr>
          <w:lang w:val="en_US" w:bidi="en_US"/>
        </w:rPr>
      </w:r>
      <w:r>
        <w:rPr>
          <w:vertAlign w:val="superscript"/>
          <w:lang w:val="en_US" w:bidi="en_US"/>
        </w:rPr>
        <w:t>7c</w:t>
      </w:r>
      <w:r>
        <w:rPr>
          <w:lang w:val="en_US" w:bidi="en_US"/>
        </w:rPr>
        <w:t xml:space="preserve">And you are worth more than many sparrows. </w:t>
      </w:r>
      <w:r>
        <w:rPr>
          <w:vertAlign w:val="superscript"/>
          <w:lang w:val="en_US" w:bidi="en_US"/>
        </w:rPr>
        <w:t>7b</w:t>
      </w:r>
      <w:r>
        <w:rPr>
          <w:lang w:val="en_US" w:bidi="en_US"/>
        </w:rPr>
        <w:t xml:space="preserve">So do not be afraid. </w:t>
      </w:r>
      <w:r>
        <w:rPr>
          <w:vertAlign w:val="superscript"/>
          <w:lang w:val="en_US" w:bidi="en_US"/>
        </w:rPr>
        <w:t>7a</w:t>
      </w:r>
      <w:r>
        <w:rPr>
          <w:lang w:val="en_US" w:bidi="en_US"/>
        </w:rPr>
        <w:t>God knows/cares about every hair on your head.</w:t>
      </w:r>
      <w:r>
        <w:rPr>
          <w:lang w:val="en_US" w:bidi="en_US"/>
        </w:rPr>
      </w:r>
      <w:r>
        <w:rPr>
          <w:lang w:val="en_US" w:bidi="en_US"/>
        </w:rPr>
      </w:r>
    </w:p>
    <w:p>
      <w:pPr/>
      <w:r>
        <w:rPr>
          <w:lang w:val="en_US" w:bidi="en_US"/>
        </w:rPr>
      </w:r>
    </w:p>
    <w:p>
      <w:pPr>
        <w:pStyle w:val="Heading2"/>
      </w:pPr>
      <w:r>
        <w:rPr>
          <w:lang w:val="en_US" w:bidi="en_US"/>
        </w:rPr>
        <w:t>Luke 12:8</w:t>
      </w:r>
      <w:r>
        <w:rPr>
          <w:lang w:val="en_US" w:bidi="en_US"/>
        </w:rPr>
      </w:r>
    </w:p>
    <w:p>
      <w:pPr>
        <w:pStyle w:val="Heading4"/>
      </w:pPr>
      <w:r>
        <w:rPr>
          <w:lang w:val="en_US" w:bidi="en_US"/>
        </w:rPr>
        <w:t>Section 12:1–12: Jesus warned and encouraged his disciples</w:t>
      </w:r>
    </w:p>
    <w:p>
      <w:pPr/>
      <w:r>
        <w:rPr>
          <w:lang w:val="en_US" w:bidi="en_US"/>
        </w:rPr>
      </w:r>
      <w:r>
        <w:rPr>
          <w:lang w:val="en_US" w:bidi="en_US"/>
        </w:rP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pPr/>
      <w:r>
        <w:rPr>
          <w:lang w:val="en_US" w:bidi="en_US"/>
        </w:rPr>
      </w:r>
      <w:r>
        <w:rPr>
          <w:lang w:val="en_US" w:bidi="en_US"/>
        </w:rPr>
        <w:t>It is good to translate this section before you decide on a heading for it. Another possible heading for this section is:</w:t>
      </w:r>
    </w:p>
    <w:p>
      <w:pPr/>
      <w:r>
        <w:rPr>
          <w:lang w:val="en_US" w:bidi="en_US"/>
        </w:rPr>
      </w:r>
      <w:r>
        <w:rPr>
          <w:lang w:val="en_US" w:bidi="en_US"/>
        </w:rPr>
        <w:t>Warnings and Encouragements (NIV)</w:t>
      </w:r>
    </w:p>
    <w:p>
      <w:pPr/>
      <w:r>
        <w:rPr>
          <w:lang w:val="en_US" w:bidi="en_US"/>
        </w:rPr>
      </w:r>
      <w:r>
        <w:rPr>
          <w:lang w:val="en_US" w:bidi="en_US"/>
        </w:rP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12:1–3</w:t>
            </w:r>
          </w:p>
        </w:tc>
        <w:tc>
          <w:tcPr>
            <w:tcW w:type="dxa" w:w="4680"/>
          </w:tcPr>
          <w:p>
            <w:pPr/>
            <w:r>
              <w:rPr>
                <w:lang w:val="en_US" w:bidi="en_US"/>
              </w:rPr>
            </w:r>
            <w:r>
              <w:rPr>
                <w:lang w:val="en_US" w:bidi="en_US"/>
              </w:rPr>
              <w:t xml:space="preserve">A Warning against Hypocrisy (GNT) </w:t>
            </w:r>
            <w:r>
              <w:rPr>
                <w:i/>
                <w:lang w:val="en_US" w:bidi="en_US"/>
              </w:rPr>
              <w:t>-or-</w:t>
            </w:r>
            <w:r>
              <w:rPr>
                <w:lang w:val="en_US" w:bidi="en_US"/>
              </w:rPr>
              <w:t xml:space="preserve"> Jesus warned his disciples not to be like the Pharisees</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10:26–27.)</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12:4–7</w:t>
            </w:r>
          </w:p>
        </w:tc>
        <w:tc>
          <w:tcPr>
            <w:tcW w:type="dxa" w:w="4680"/>
          </w:tcPr>
          <w:p>
            <w:pPr/>
            <w:r>
              <w:rPr>
                <w:lang w:val="en_US" w:bidi="en_US"/>
              </w:rPr>
            </w:r>
            <w:r>
              <w:rPr>
                <w:lang w:val="en_US" w:bidi="en_US"/>
              </w:rPr>
              <w:t xml:space="preserve">The One Whom People Should Fear </w:t>
            </w:r>
            <w:r>
              <w:rPr>
                <w:i/>
                <w:lang w:val="en_US" w:bidi="en_US"/>
              </w:rPr>
              <w:t>-or-</w:t>
            </w:r>
            <w:r>
              <w:rPr>
                <w:lang w:val="en_US" w:bidi="en_US"/>
              </w:rPr>
              <w:t xml:space="preserve"> Jesus told his disciples whom they should fear</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10:28–31.)</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12:8–12</w:t>
            </w:r>
          </w:p>
        </w:tc>
        <w:tc>
          <w:tcPr>
            <w:tcW w:type="dxa" w:w="4680"/>
          </w:tcPr>
          <w:p>
            <w:pPr/>
            <w:r>
              <w:rPr>
                <w:lang w:val="en_US" w:bidi="en_US"/>
              </w:rPr>
            </w:r>
            <w:r>
              <w:rPr>
                <w:lang w:val="en_US" w:bidi="en_US"/>
              </w:rPr>
              <w:t xml:space="preserve">Confessing and Rejecting Christ (GNT) </w:t>
            </w:r>
            <w:r>
              <w:rPr>
                <w:i/>
                <w:lang w:val="en_US" w:bidi="en_US"/>
              </w:rPr>
              <w:t>-or-</w:t>
            </w:r>
            <w:r>
              <w:rPr>
                <w:lang w:val="en_US" w:bidi="en_US"/>
              </w:rPr>
              <w:t xml:space="preserve"> Don’t Be Ashamed of Jesus (NCV)</w:t>
            </w:r>
          </w:p>
        </w:tc>
      </w:tr>
      <w:tr>
        <w:tc>
          <w:tcPr>
            <w:tcW w:type="dxa" w:w="4680"/>
          </w:tcPr>
          <w:p>
            <w:pPr/>
            <w:r>
              <w:rPr>
                <w:lang w:val="en_US" w:bidi="en_US"/>
              </w:rPr>
            </w:r>
          </w:p>
        </w:tc>
        <w:tc>
          <w:tcPr>
            <w:tcW w:type="dxa" w:w="4680"/>
          </w:tcPr>
          <w:p>
            <w:pPr/>
            <w:r>
              <w:rPr>
                <w:lang w:val="en_US" w:bidi="en_US"/>
              </w:rPr>
            </w:r>
            <w:r>
              <w:rPr>
                <w:lang w:val="en_US" w:bidi="en_US"/>
              </w:rPr>
              <w:t>(There are parallel passages for this section in Matthew 10:32–33, 12:32, 10:19–20.)</w:t>
            </w:r>
          </w:p>
        </w:tc>
      </w:tr>
    </w:tbl>
    <w:p>
      <w:pPr>
        <w:pStyle w:val="Heading5"/>
      </w:pPr>
      <w:r>
        <w:rPr>
          <w:lang w:val="en_US" w:bidi="en_US"/>
        </w:rPr>
        <w:t>12:8–9</w:t>
      </w:r>
    </w:p>
    <w:p>
      <w:pPr/>
      <w:r>
        <w:rPr>
          <w:lang w:val="en_US" w:bidi="en_US"/>
        </w:rPr>
      </w:r>
      <w:r>
        <w:rPr>
          <w:lang w:val="en_US" w:bidi="en_US"/>
        </w:rPr>
        <w:t>In these verses Jesus contrasted the results of acknowledging him to people and of disowning him to people. This connects with his theme in 12:4–7 that his disciples should fear God rather than people.</w:t>
      </w:r>
    </w:p>
    <w:p>
      <w:pPr>
        <w:pStyle w:val="Heading5"/>
      </w:pPr>
      <w:r>
        <w:rPr>
          <w:lang w:val="en_US" w:bidi="en_US"/>
        </w:rPr>
        <w:t>12:8a</w:t>
      </w:r>
    </w:p>
    <w:p>
      <w:pPr/>
      <w:r>
        <w:rPr>
          <w:lang w:val="en_US" w:bidi="en_US"/>
        </w:rPr>
      </w:r>
      <w:r>
        <w:rPr>
          <w:b/>
          <w:lang w:val="en_US" w:bidi="en_US"/>
        </w:rPr>
        <w:t>I tell you, everyone who confesses Me before men,</w:t>
      </w:r>
    </w:p>
    <w:p>
      <w:pPr>
        <w:pStyle w:val="ListBullet"/>
        <w:spacing w:line="240" w:lineRule="auto"/>
        <w:ind w:left="720"/>
      </w:pPr>
      <w:r>
        <w:rPr>
          <w:lang w:val="en_US" w:bidi="en_US"/>
        </w:rPr>
      </w:r>
      <w:r>
        <w:rPr>
          <w:lang w:val="en_US" w:bidi="en_US"/>
        </w:rPr>
        <w:t xml:space="preserve">¶ </w:t>
      </w:r>
      <w:r>
        <w:rPr>
          <w:lang w:val="en_US" w:bidi="en_US"/>
        </w:rPr>
        <w:t>Then Jesus said,</w:t>
      </w:r>
      <w:r>
        <w:rPr>
          <w:lang w:val="en_US" w:bidi="en_US"/>
        </w:rPr>
        <w:t xml:space="preserve"> “Listen</w:t>
      </w:r>
      <w:r>
        <w:rPr>
          <w:vertAlign w:val="superscript"/>
          <w:lang w:val="en_US" w:bidi="en_US"/>
        </w:rPr>
        <w:t>(plur)</w:t>
      </w:r>
      <w:r>
        <w:rPr>
          <w:lang w:val="en_US" w:bidi="en_US"/>
        </w:rPr>
        <w:t>. If anyone says/affirms in front of people that he is my disciple,</w:t>
      </w:r>
    </w:p>
    <w:p>
      <w:pPr>
        <w:pStyle w:val="ListBullet"/>
        <w:spacing w:line="240" w:lineRule="auto"/>
        <w:ind w:left="720"/>
      </w:pPr>
      <w:r>
        <w:rPr>
          <w:lang w:val="en_US" w:bidi="en_US"/>
        </w:rPr>
      </w:r>
      <w:r>
        <w:rPr>
          <w:lang w:val="en_US" w:bidi="en_US"/>
        </w:rPr>
        <w:t xml:space="preserve">¶ </w:t>
      </w:r>
      <w:r>
        <w:rPr>
          <w:lang w:val="en_US" w:bidi="en_US"/>
        </w:rPr>
        <w:t>Then Jesus said,</w:t>
      </w:r>
      <w:r>
        <w:rPr>
          <w:lang w:val="en_US" w:bidi="en_US"/>
        </w:rPr>
        <w:t xml:space="preserve"> “I assure you</w:t>
      </w:r>
      <w:r>
        <w:rPr>
          <w:vertAlign w:val="superscript"/>
          <w:lang w:val="en_US" w:bidi="en_US"/>
        </w:rPr>
        <w:t>(plur)</w:t>
      </w:r>
      <w:r>
        <w:rPr>
          <w:lang w:val="en_US" w:bidi="en_US"/>
        </w:rPr>
        <w:t xml:space="preserve"> that if someone declares/admits openly/publicly that he belongs to me,</w:t>
      </w:r>
    </w:p>
    <w:p>
      <w:pPr/>
      <w:r>
        <w:rPr>
          <w:lang w:val="en_US" w:bidi="en_US"/>
        </w:rPr>
      </w:r>
      <w:r>
        <w:rPr>
          <w:b/>
          <w:lang w:val="en_US" w:bidi="en_US"/>
        </w:rPr>
        <w:t>I tell you:</w:t>
      </w:r>
      <w:r>
        <w:rPr>
          <w:lang w:val="en_US" w:bidi="en_US"/>
        </w:rPr>
        <w:t xml:space="preserve"> Jesus often used the words </w:t>
      </w:r>
      <w:r>
        <w:rPr>
          <w:i/>
          <w:lang w:val="en_US" w:bidi="en_US"/>
        </w:rPr>
        <w:t>I tell you</w:t>
      </w:r>
      <w:r>
        <w:rPr>
          <w:lang w:val="en_US" w:bidi="en_US"/>
        </w:rPr>
        <w:t xml:space="preserve"> to begin a statement that he wanted to emphasize. He was asking people to listen with extra attention. Some ways to show the emphasis in this context could be:</w:t>
      </w:r>
    </w:p>
    <w:p>
      <w:pPr/>
      <w:r>
        <w:rPr>
          <w:lang w:val="en_US" w:bidi="en_US"/>
        </w:rPr>
      </w:r>
      <w:r>
        <w:rPr>
          <w:lang w:val="en_US" w:bidi="en_US"/>
        </w:rPr>
        <w:t>Let me tell you this</w:t>
      </w:r>
    </w:p>
    <w:p>
      <w:pPr/>
      <w:r>
        <w:rPr>
          <w:lang w:val="en_US" w:bidi="en_US"/>
        </w:rPr>
      </w:r>
      <w:r>
        <w:rPr>
          <w:lang w:val="en_US" w:bidi="en_US"/>
        </w:rPr>
        <w:t>Listen</w:t>
      </w:r>
    </w:p>
    <w:p>
      <w:pPr/>
      <w:r>
        <w:rPr>
          <w:lang w:val="en_US" w:bidi="en_US"/>
        </w:rPr>
      </w:r>
      <w:r>
        <w:rPr>
          <w:lang w:val="en_US" w:bidi="en_US"/>
        </w:rPr>
        <w:t>I assure you</w:t>
      </w:r>
    </w:p>
    <w:p>
      <w:pPr/>
      <w:r>
        <w:rPr>
          <w:lang w:val="en_US" w:bidi="en_US"/>
        </w:rPr>
      </w:r>
      <w:r>
        <w:rPr>
          <w:lang w:val="en_US" w:bidi="en_US"/>
        </w:rPr>
        <w:t>If you have another way in your language to emphasize a statement or to alert people to listen with special attention, you may be able to use it here.</w:t>
      </w:r>
    </w:p>
    <w:p>
      <w:pPr/>
      <w:r>
        <w:rPr>
          <w:lang w:val="en_US" w:bidi="en_US"/>
        </w:rPr>
      </w:r>
      <w:r>
        <w:rPr>
          <w:b/>
          <w:lang w:val="en_US" w:bidi="en_US"/>
        </w:rPr>
        <w:t>everyone who confesses Me before men:</w:t>
      </w:r>
      <w:r>
        <w:rPr>
          <w:lang w:val="en_US" w:bidi="en_US"/>
        </w:rPr>
        <w:t xml:space="preserve"> In this context the Greek clause that the BSB translates as </w:t>
      </w:r>
      <w:r>
        <w:rPr>
          <w:i/>
          <w:lang w:val="en_US" w:bidi="en_US"/>
        </w:rPr>
        <w:t>everyone who confesses Me before men</w:t>
      </w:r>
      <w:r>
        <w:rPr>
          <w:lang w:val="en_US" w:bidi="en_US"/>
        </w:rPr>
        <w:t xml:space="preserve"> refers to anyone who publicly tells people that he is a disciple of Jesus. It may refer especially to a person who publicly declares his loyalty to Jesus in a courtroom setting, as in 12:11–12. Some other ways to translate this clause are:</w:t>
      </w:r>
    </w:p>
    <w:p>
      <w:pPr/>
      <w:r>
        <w:rPr>
          <w:lang w:val="en_US" w:bidi="en_US"/>
        </w:rPr>
      </w:r>
      <w:r>
        <w:rPr>
          <w:lang w:val="en_US" w:bidi="en_US"/>
        </w:rPr>
        <w:t>those who declare publicly that they belong to me (GNT)</w:t>
      </w:r>
    </w:p>
    <w:p>
      <w:pPr/>
      <w:r>
        <w:rPr>
          <w:lang w:val="en_US" w:bidi="en_US"/>
        </w:rPr>
      </w:r>
      <w:r>
        <w:rPr>
          <w:lang w:val="en_US" w:bidi="en_US"/>
        </w:rPr>
        <w:t>all those who stand before others and say they believe in me (NCV)</w:t>
      </w:r>
    </w:p>
    <w:p>
      <w:pPr/>
      <w:r>
        <w:rPr>
          <w:lang w:val="en_US" w:bidi="en_US"/>
        </w:rPr>
      </w:r>
      <w:r>
        <w:rPr>
          <w:lang w:val="en_US" w:bidi="en_US"/>
        </w:rPr>
        <w:t>anyone who affirms in front of other people here on earth that he is my follower</w:t>
      </w:r>
    </w:p>
    <w:p>
      <w:pPr/>
      <w:r>
        <w:rPr>
          <w:lang w:val="en_US" w:bidi="en_US"/>
        </w:rPr>
      </w:r>
      <w:r>
        <w:rPr>
          <w:b/>
          <w:lang w:val="en_US" w:bidi="en_US"/>
        </w:rPr>
        <w:t>confesses Me:</w:t>
      </w:r>
      <w:r>
        <w:rPr>
          <w:lang w:val="en_US" w:bidi="en_US"/>
        </w:rPr>
        <w:t xml:space="preserve"> Someone who </w:t>
      </w:r>
      <w:r>
        <w:rPr>
          <w:i/>
          <w:lang w:val="en_US" w:bidi="en_US"/>
        </w:rPr>
        <w:t>confesses</w:t>
      </w:r>
      <w:r>
        <w:rPr>
          <w:lang w:val="en_US" w:bidi="en_US"/>
        </w:rPr>
        <w:t xml:space="preserve"> Jesus declares or affirms that he is a follower of Jesus. He affirms that Jesus is his Master/Lord.</w:t>
      </w:r>
    </w:p>
    <w:p>
      <w:pPr/>
      <w:r>
        <w:rPr>
          <w:lang w:val="en_US" w:bidi="en_US"/>
        </w:rPr>
      </w:r>
      <w:r>
        <w:rPr>
          <w:b/>
          <w:lang w:val="en_US" w:bidi="en_US"/>
        </w:rPr>
        <w:t>before men:</w:t>
      </w:r>
      <w:r>
        <w:rPr>
          <w:lang w:val="en_US" w:bidi="en_US"/>
        </w:rPr>
        <w:t xml:space="preserve"> The phrase </w:t>
      </w:r>
      <w:r>
        <w:rPr>
          <w:i/>
          <w:lang w:val="en_US" w:bidi="en_US"/>
        </w:rPr>
        <w:t>before men</w:t>
      </w:r>
      <w:r>
        <w:rPr>
          <w:lang w:val="en_US" w:bidi="en_US"/>
        </w:rPr>
        <w:t xml:space="preserve"> means “in public.” It refers to speaking in front of or in the presence of </w:t>
      </w:r>
      <w:r>
        <w:rPr>
          <w:u w:val="single"/>
          <w:lang w:val="en_US" w:bidi="en_US"/>
        </w:rPr>
        <w:t>people</w:t>
      </w:r>
      <w:r>
        <w:rPr>
          <w:lang w:val="en_US" w:bidi="en_US"/>
        </w:rPr>
        <w:t>, whether men or women.</w:t>
      </w:r>
    </w:p>
    <w:p>
      <w:pPr>
        <w:pStyle w:val="Heading5"/>
      </w:pPr>
      <w:r>
        <w:rPr>
          <w:lang w:val="en_US" w:bidi="en_US"/>
        </w:rPr>
        <w:t>12:8b</w:t>
      </w:r>
    </w:p>
    <w:p>
      <w:pPr/>
      <w:r>
        <w:rPr>
          <w:lang w:val="en_US" w:bidi="en_US"/>
        </w:rPr>
      </w:r>
      <w:r>
        <w:rPr>
          <w:b/>
          <w:lang w:val="en_US" w:bidi="en_US"/>
        </w:rPr>
        <w:t>the Son of Man will also confess him before the angels of God.</w:t>
      </w:r>
    </w:p>
    <w:p>
      <w:pPr>
        <w:pStyle w:val="ListBullet"/>
        <w:spacing w:line="240" w:lineRule="auto"/>
        <w:ind w:left="720"/>
      </w:pPr>
      <w:r>
        <w:rPr>
          <w:lang w:val="en_US" w:bidi="en_US"/>
        </w:rPr>
      </w:r>
      <w:r>
        <w:rPr>
          <w:lang w:val="en_US" w:bidi="en_US"/>
        </w:rPr>
        <w:t>I,</w:t>
      </w:r>
      <w:r>
        <w:rPr>
          <w:lang w:val="en_US" w:bidi="en_US"/>
        </w:rPr>
        <w:t xml:space="preserve"> the Son of Man, will say/affirm in front of </w:t>
      </w:r>
      <w:r>
        <w:rPr>
          <w:lang w:val="en_US" w:bidi="en_US"/>
        </w:rPr>
        <w:t>God and</w:t>
      </w:r>
      <w:r>
        <w:rPr>
          <w:lang w:val="en_US" w:bidi="en_US"/>
        </w:rPr>
        <w:t xml:space="preserve"> his angels that that person is my disciple.</w:t>
      </w:r>
    </w:p>
    <w:p>
      <w:pPr>
        <w:pStyle w:val="ListBullet"/>
        <w:spacing w:line="240" w:lineRule="auto"/>
        <w:ind w:left="720"/>
      </w:pPr>
      <w:r>
        <w:rPr>
          <w:lang w:val="en_US" w:bidi="en_US"/>
        </w:rPr>
      </w:r>
      <w:r>
        <w:rPr>
          <w:lang w:val="en_US" w:bidi="en_US"/>
        </w:rPr>
        <w:t>then</w:t>
      </w:r>
      <w:r>
        <w:rPr>
          <w:lang w:val="en_US" w:bidi="en_US"/>
        </w:rPr>
        <w:t xml:space="preserve"> </w:t>
      </w:r>
      <w:r>
        <w:rPr>
          <w:lang w:val="en_US" w:bidi="en_US"/>
        </w:rPr>
        <w:t>I,</w:t>
      </w:r>
      <w:r>
        <w:rPr>
          <w:lang w:val="en_US" w:bidi="en_US"/>
        </w:rPr>
        <w:t xml:space="preserve"> the Son of Man, will declare </w:t>
      </w:r>
      <w:r>
        <w:rPr>
          <w:lang w:val="en_US" w:bidi="en_US"/>
        </w:rPr>
        <w:t>openly</w:t>
      </w:r>
      <w:r>
        <w:rPr>
          <w:lang w:val="en_US" w:bidi="en_US"/>
        </w:rPr>
        <w:t xml:space="preserve"> in the presence/hearing of God’s angels that that person belongs to me.</w:t>
      </w:r>
    </w:p>
    <w:p>
      <w:pPr/>
      <w:r>
        <w:rPr>
          <w:lang w:val="en_US" w:bidi="en_US"/>
        </w:rPr>
      </w:r>
      <w:r>
        <w:rPr>
          <w:b/>
          <w:lang w:val="en_US" w:bidi="en_US"/>
        </w:rPr>
        <w:t>the Son of Man will also confess him before the angels of God:</w:t>
      </w:r>
      <w:r>
        <w:rPr>
          <w:lang w:val="en_US" w:bidi="en_US"/>
        </w:rPr>
        <w:t xml:space="preserve"> This part of the verse is similar to 12:8a. However, the exact words that Jesus will say to the angels about his disciples may be different from the words that his disciples will say about him to other people. It is good to translate the verb </w:t>
      </w:r>
      <w:r>
        <w:rPr>
          <w:i/>
          <w:lang w:val="en_US" w:bidi="en_US"/>
        </w:rPr>
        <w:t>confess</w:t>
      </w:r>
      <w:r>
        <w:rPr>
          <w:lang w:val="en_US" w:bidi="en_US"/>
        </w:rPr>
        <w:t xml:space="preserve"> here in a similar way as in 12:8a and also in a way that fits the context of 12:8b. Some ways to do that could be:</w:t>
      </w:r>
    </w:p>
    <w:p>
      <w:pPr/>
      <w:r>
        <w:rPr>
          <w:lang w:val="en_US" w:bidi="en_US"/>
        </w:rPr>
      </w:r>
      <w:r>
        <w:rPr>
          <w:lang w:val="en_US" w:bidi="en_US"/>
        </w:rPr>
        <w:t>I,</w:t>
      </w:r>
      <w:r>
        <w:rPr>
          <w:lang w:val="en_US" w:bidi="en_US"/>
        </w:rPr>
        <w:t xml:space="preserve"> the Son of Man, will also stand before the angels of God and say that he </w:t>
      </w:r>
      <w:r>
        <w:rPr>
          <w:lang w:val="en_US" w:bidi="en_US"/>
        </w:rPr>
        <w:t>is my disciple</w:t>
      </w:r>
    </w:p>
    <w:p>
      <w:pPr/>
      <w:r>
        <w:rPr>
          <w:lang w:val="en_US" w:bidi="en_US"/>
        </w:rPr>
      </w:r>
      <w:r>
        <w:rPr>
          <w:lang w:val="en_US" w:bidi="en_US"/>
        </w:rPr>
        <w:t>I,</w:t>
      </w:r>
      <w:r>
        <w:rPr>
          <w:lang w:val="en_US" w:bidi="en_US"/>
        </w:rPr>
        <w:t xml:space="preserve"> the Son of Man, will affirm to the angels of God that he </w:t>
      </w:r>
      <w:r>
        <w:rPr>
          <w:lang w:val="en_US" w:bidi="en_US"/>
        </w:rPr>
        <w:t>belongs to me</w:t>
      </w:r>
    </w:p>
    <w:p>
      <w:pPr/>
      <w:r>
        <w:rPr>
          <w:lang w:val="en_US" w:bidi="en_US"/>
        </w:rPr>
      </w:r>
      <w:r>
        <w:rPr>
          <w:lang w:val="en_US" w:bidi="en_US"/>
        </w:rPr>
        <w:t xml:space="preserve">Jesus often referred to himself as </w:t>
      </w:r>
      <w:r>
        <w:rPr>
          <w:i/>
          <w:lang w:val="en_US" w:bidi="en_US"/>
        </w:rPr>
        <w:t>the Son of Man</w:t>
      </w:r>
      <w:r>
        <w:rPr>
          <w:lang w:val="en_US" w:bidi="en_US"/>
        </w:rPr>
        <w:t>. In some languages it may be necessary to make it clear that Jesus was referring to himself.</w:t>
      </w:r>
      <w:r>
        <w:rPr>
          <w:lang w:val="en_US" w:bidi="en_US"/>
        </w:rPr>
        <w:t>In this context the title may imply a contrast between people and angels. If Jesus’ disciples acknowledge him before people, he, the one whom God sent to people, will also acknowledge his disciples to the angels of God.</w:t>
      </w:r>
      <w:r>
        <w:rPr>
          <w:lang w:val="en_US" w:bidi="en_US"/>
        </w:rPr>
        <w:t xml:space="preserve"> For example:</w:t>
      </w:r>
    </w:p>
    <w:p>
      <w:pPr/>
      <w:r>
        <w:rPr>
          <w:lang w:val="en_US" w:bidi="en_US"/>
        </w:rPr>
      </w:r>
      <w:r>
        <w:rPr>
          <w:lang w:val="en_US" w:bidi="en_US"/>
        </w:rPr>
        <w:t>I, the Son of Man</w:t>
      </w:r>
    </w:p>
    <w:p>
      <w:pPr/>
      <w:r>
        <w:rPr>
          <w:lang w:val="en_US" w:bidi="en_US"/>
        </w:rPr>
      </w:r>
      <w:r>
        <w:rPr>
          <w:lang w:val="en_US" w:bidi="en_US"/>
        </w:rPr>
        <w:t xml:space="preserve">The phrase </w:t>
      </w:r>
      <w:r>
        <w:rPr>
          <w:i/>
          <w:lang w:val="en_US" w:bidi="en_US"/>
        </w:rPr>
        <w:t>Son of Man</w:t>
      </w:r>
      <w:r>
        <w:rPr>
          <w:lang w:val="en_US" w:bidi="en_US"/>
        </w:rPr>
        <w:t xml:space="preserve"> also occurs in 9:22a and 11:30b.</w:t>
      </w:r>
    </w:p>
    <w:p>
      <w:pPr/>
      <w:r>
        <w:rPr>
          <w:lang w:val="en_US" w:bidi="en_US"/>
        </w:rPr>
      </w:r>
      <w:r>
        <w:rPr>
          <w:b/>
          <w:lang w:val="en_US" w:bidi="en_US"/>
        </w:rPr>
        <w:t>before the angels of God:</w:t>
      </w:r>
      <w:r>
        <w:rPr>
          <w:lang w:val="en_US" w:bidi="en_US"/>
        </w:rPr>
        <w:t xml:space="preserve"> The phrase that the BSB translates as </w:t>
      </w:r>
      <w:r>
        <w:rPr>
          <w:i/>
          <w:lang w:val="en_US" w:bidi="en_US"/>
        </w:rPr>
        <w:t>before the angels of God</w:t>
      </w:r>
      <w:r>
        <w:rPr>
          <w:lang w:val="en_US" w:bidi="en_US"/>
        </w:rPr>
        <w:t xml:space="preserve"> corresponds to the phrase “before men” in 12:8a. It means “in front of” or “in the presence of” </w:t>
      </w:r>
      <w:r>
        <w:rPr>
          <w:i/>
          <w:lang w:val="en_US" w:bidi="en_US"/>
        </w:rPr>
        <w:t>the angels of God</w:t>
      </w:r>
      <w:r>
        <w:rPr>
          <w:lang w:val="en_US" w:bidi="en_US"/>
        </w:rPr>
        <w:t>. It is implied that God is also present. In some languages it may be necessary to make this information explicit. For example:</w:t>
      </w:r>
    </w:p>
    <w:p>
      <w:pPr/>
      <w:r>
        <w:rPr>
          <w:lang w:val="en_US" w:bidi="en_US"/>
        </w:rPr>
      </w:r>
      <w:r>
        <w:rPr>
          <w:lang w:val="en_US" w:bidi="en_US"/>
        </w:rPr>
        <w:t xml:space="preserve">in front of </w:t>
      </w:r>
      <w:r>
        <w:rPr>
          <w:lang w:val="en_US" w:bidi="en_US"/>
        </w:rPr>
        <w:t>God and</w:t>
      </w:r>
      <w:r>
        <w:rPr>
          <w:lang w:val="en_US" w:bidi="en_US"/>
        </w:rPr>
        <w:t xml:space="preserve"> his angels</w:t>
      </w:r>
    </w:p>
    <w:p>
      <w:pPr/>
      <w:r>
        <w:rPr>
          <w:lang w:val="en_US" w:bidi="en_US"/>
        </w:rPr>
      </w:r>
      <w:r>
        <w:rPr>
          <w:b/>
          <w:lang w:val="en_US" w:bidi="en_US"/>
        </w:rPr>
        <w:t>the angels of God:</w:t>
      </w:r>
      <w:r>
        <w:rPr>
          <w:lang w:val="en_US" w:bidi="en_US"/>
        </w:rPr>
        <w:t xml:space="preserve"> The phrase </w:t>
      </w:r>
      <w:r>
        <w:rPr>
          <w:i/>
          <w:lang w:val="en_US" w:bidi="en_US"/>
        </w:rPr>
        <w:t>the angels of God</w:t>
      </w:r>
      <w:r>
        <w:rPr>
          <w:lang w:val="en_US" w:bidi="en_US"/>
        </w:rPr>
        <w:t xml:space="preserve"> refers to spirit beings who serve God. See angel, Meaning 1, in the Glossary. Refer to them here in a way that fits the context. One way to do that could be:</w:t>
      </w:r>
    </w:p>
    <w:p>
      <w:pPr/>
      <w:r>
        <w:rPr>
          <w:lang w:val="en_US" w:bidi="en_US"/>
        </w:rPr>
      </w:r>
      <w:r>
        <w:rPr>
          <w:lang w:val="en_US" w:bidi="en_US"/>
        </w:rPr>
        <w:t xml:space="preserve">the spirit beings who serve God </w:t>
      </w:r>
      <w:r>
        <w:rPr>
          <w:lang w:val="en_US" w:bidi="en_US"/>
        </w:rPr>
        <w:t>in heaven</w:t>
      </w:r>
    </w:p>
    <w:p>
      <w:pPr>
        <w:pStyle w:val="Heading6"/>
      </w:pPr>
      <w:r>
        <w:rPr>
          <w:b/>
          <w:lang w:val="en_US" w:bidi="en_US"/>
        </w:rPr>
        <w:t>General Comment on 12:8a–b</w:t>
      </w:r>
    </w:p>
    <w:p>
      <w:pPr/>
      <w:r>
        <w:rPr>
          <w:lang w:val="en_US" w:bidi="en_US"/>
        </w:rPr>
      </w:r>
      <w:r>
        <w:rPr>
          <w:lang w:val="en_US" w:bidi="en_US"/>
        </w:rPr>
        <w:t>In some languages it may be awkward or redundant to repeat a descriptive phrase for the term “acknowledge” in both 12:8a and 12:8b. If that is true in your language, you may be able to use a shorter phrase in 12:8b that refers back to the phrase in 12:8a. For example:</w:t>
      </w:r>
    </w:p>
    <w:p>
      <w:pPr/>
      <w:r>
        <w:rPr>
          <w:lang w:val="en_US" w:bidi="en_US"/>
        </w:rPr>
      </w:r>
      <w:r>
        <w:rPr>
          <w:vertAlign w:val="superscript"/>
          <w:lang w:val="en_US" w:bidi="en_US"/>
        </w:rPr>
        <w:t>8a</w:t>
      </w:r>
      <w:r>
        <w:rPr>
          <w:lang w:val="en_US" w:bidi="en_US"/>
        </w:rPr>
        <w:t xml:space="preserve">…those who declare publicly that they belong to me, </w:t>
      </w:r>
      <w:r>
        <w:rPr>
          <w:vertAlign w:val="superscript"/>
          <w:lang w:val="en_US" w:bidi="en_US"/>
        </w:rPr>
        <w:t>8b</w:t>
      </w:r>
      <w:r>
        <w:rPr>
          <w:lang w:val="en_US" w:bidi="en_US"/>
        </w:rPr>
        <w:t xml:space="preserve">the Son of Man will do the same for </w:t>
      </w:r>
      <w:r>
        <w:rPr>
          <w:u w:val="single"/>
          <w:lang w:val="en_US" w:bidi="en_US"/>
        </w:rPr>
        <w:t>them</w:t>
      </w:r>
      <w:r>
        <w:rPr>
          <w:lang w:val="en_US" w:bidi="en_US"/>
        </w:rPr>
        <w:t xml:space="preserve"> before the angels of God. (GNT)</w:t>
      </w:r>
      <w:r>
        <w:rPr>
          <w:lang w:val="en_US" w:bidi="en_US"/>
        </w:rPr>
      </w:r>
      <w:r>
        <w:rPr>
          <w:lang w:val="en_US" w:bidi="en_US"/>
        </w:rPr>
      </w:r>
    </w:p>
    <w:p>
      <w:pPr/>
      <w:r>
        <w:rPr>
          <w:lang w:val="en_US" w:bidi="en_US"/>
        </w:rPr>
      </w:r>
    </w:p>
    <w:p>
      <w:pPr>
        <w:pStyle w:val="Heading2"/>
      </w:pPr>
      <w:r>
        <w:rPr>
          <w:lang w:val="en_US" w:bidi="en_US"/>
        </w:rPr>
        <w:t>Luke 12:9</w:t>
      </w:r>
      <w:r>
        <w:rPr>
          <w:lang w:val="en_US" w:bidi="en_US"/>
        </w:rPr>
      </w:r>
    </w:p>
    <w:p>
      <w:pPr>
        <w:pStyle w:val="Heading4"/>
      </w:pPr>
      <w:r>
        <w:rPr>
          <w:lang w:val="en_US" w:bidi="en_US"/>
        </w:rPr>
        <w:t>Section 12:1–12: Jesus warned and encouraged his disciples</w:t>
      </w:r>
    </w:p>
    <w:p>
      <w:pPr/>
      <w:r>
        <w:rPr>
          <w:lang w:val="en_US" w:bidi="en_US"/>
        </w:rPr>
      </w:r>
      <w:r>
        <w:rPr>
          <w:lang w:val="en_US" w:bidi="en_US"/>
        </w:rP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pPr/>
      <w:r>
        <w:rPr>
          <w:lang w:val="en_US" w:bidi="en_US"/>
        </w:rPr>
      </w:r>
      <w:r>
        <w:rPr>
          <w:lang w:val="en_US" w:bidi="en_US"/>
        </w:rPr>
        <w:t>It is good to translate this section before you decide on a heading for it. Another possible heading for this section is:</w:t>
      </w:r>
    </w:p>
    <w:p>
      <w:pPr/>
      <w:r>
        <w:rPr>
          <w:lang w:val="en_US" w:bidi="en_US"/>
        </w:rPr>
      </w:r>
      <w:r>
        <w:rPr>
          <w:lang w:val="en_US" w:bidi="en_US"/>
        </w:rPr>
        <w:t>Warnings and Encouragements (NIV)</w:t>
      </w:r>
    </w:p>
    <w:p>
      <w:pPr/>
      <w:r>
        <w:rPr>
          <w:lang w:val="en_US" w:bidi="en_US"/>
        </w:rPr>
      </w:r>
      <w:r>
        <w:rPr>
          <w:lang w:val="en_US" w:bidi="en_US"/>
        </w:rP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12:1–3</w:t>
            </w:r>
          </w:p>
        </w:tc>
        <w:tc>
          <w:tcPr>
            <w:tcW w:type="dxa" w:w="4680"/>
          </w:tcPr>
          <w:p>
            <w:pPr/>
            <w:r>
              <w:rPr>
                <w:lang w:val="en_US" w:bidi="en_US"/>
              </w:rPr>
            </w:r>
            <w:r>
              <w:rPr>
                <w:lang w:val="en_US" w:bidi="en_US"/>
              </w:rPr>
              <w:t xml:space="preserve">A Warning against Hypocrisy (GNT) </w:t>
            </w:r>
            <w:r>
              <w:rPr>
                <w:i/>
                <w:lang w:val="en_US" w:bidi="en_US"/>
              </w:rPr>
              <w:t>-or-</w:t>
            </w:r>
            <w:r>
              <w:rPr>
                <w:lang w:val="en_US" w:bidi="en_US"/>
              </w:rPr>
              <w:t xml:space="preserve"> Jesus warned his disciples not to be like the Pharisees</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10:26–27.)</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12:4–7</w:t>
            </w:r>
          </w:p>
        </w:tc>
        <w:tc>
          <w:tcPr>
            <w:tcW w:type="dxa" w:w="4680"/>
          </w:tcPr>
          <w:p>
            <w:pPr/>
            <w:r>
              <w:rPr>
                <w:lang w:val="en_US" w:bidi="en_US"/>
              </w:rPr>
            </w:r>
            <w:r>
              <w:rPr>
                <w:lang w:val="en_US" w:bidi="en_US"/>
              </w:rPr>
              <w:t xml:space="preserve">The One Whom People Should Fear </w:t>
            </w:r>
            <w:r>
              <w:rPr>
                <w:i/>
                <w:lang w:val="en_US" w:bidi="en_US"/>
              </w:rPr>
              <w:t>-or-</w:t>
            </w:r>
            <w:r>
              <w:rPr>
                <w:lang w:val="en_US" w:bidi="en_US"/>
              </w:rPr>
              <w:t xml:space="preserve"> Jesus told his disciples whom they should fear</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10:28–31.)</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12:8–12</w:t>
            </w:r>
          </w:p>
        </w:tc>
        <w:tc>
          <w:tcPr>
            <w:tcW w:type="dxa" w:w="4680"/>
          </w:tcPr>
          <w:p>
            <w:pPr/>
            <w:r>
              <w:rPr>
                <w:lang w:val="en_US" w:bidi="en_US"/>
              </w:rPr>
            </w:r>
            <w:r>
              <w:rPr>
                <w:lang w:val="en_US" w:bidi="en_US"/>
              </w:rPr>
              <w:t xml:space="preserve">Confessing and Rejecting Christ (GNT) </w:t>
            </w:r>
            <w:r>
              <w:rPr>
                <w:i/>
                <w:lang w:val="en_US" w:bidi="en_US"/>
              </w:rPr>
              <w:t>-or-</w:t>
            </w:r>
            <w:r>
              <w:rPr>
                <w:lang w:val="en_US" w:bidi="en_US"/>
              </w:rPr>
              <w:t xml:space="preserve"> Don’t Be Ashamed of Jesus (NCV)</w:t>
            </w:r>
          </w:p>
        </w:tc>
      </w:tr>
      <w:tr>
        <w:tc>
          <w:tcPr>
            <w:tcW w:type="dxa" w:w="4680"/>
          </w:tcPr>
          <w:p>
            <w:pPr/>
            <w:r>
              <w:rPr>
                <w:lang w:val="en_US" w:bidi="en_US"/>
              </w:rPr>
            </w:r>
          </w:p>
        </w:tc>
        <w:tc>
          <w:tcPr>
            <w:tcW w:type="dxa" w:w="4680"/>
          </w:tcPr>
          <w:p>
            <w:pPr/>
            <w:r>
              <w:rPr>
                <w:lang w:val="en_US" w:bidi="en_US"/>
              </w:rPr>
            </w:r>
            <w:r>
              <w:rPr>
                <w:lang w:val="en_US" w:bidi="en_US"/>
              </w:rPr>
              <w:t>(There are parallel passages for this section in Matthew 10:32–33, 12:32, 10:19–20.)</w:t>
            </w:r>
          </w:p>
        </w:tc>
      </w:tr>
    </w:tbl>
    <w:p>
      <w:pPr>
        <w:pStyle w:val="Heading5"/>
      </w:pPr>
      <w:r>
        <w:rPr>
          <w:lang w:val="en_US" w:bidi="en_US"/>
        </w:rPr>
        <w:t>12:9a</w:t>
      </w:r>
    </w:p>
    <w:p>
      <w:pPr/>
      <w:r>
        <w:rPr>
          <w:lang w:val="en_US" w:bidi="en_US"/>
        </w:rPr>
      </w:r>
      <w:r>
        <w:rPr>
          <w:b/>
          <w:lang w:val="en_US" w:bidi="en_US"/>
        </w:rPr>
        <w:t>But whoever denies Me before men</w:t>
      </w:r>
    </w:p>
    <w:p>
      <w:pPr>
        <w:pStyle w:val="ListBullet"/>
        <w:spacing w:line="240" w:lineRule="auto"/>
        <w:ind w:left="720"/>
      </w:pPr>
      <w:r>
        <w:rPr>
          <w:lang w:val="en_US" w:bidi="en_US"/>
        </w:rPr>
      </w:r>
      <w:r>
        <w:rPr>
          <w:lang w:val="en_US" w:bidi="en_US"/>
        </w:rPr>
        <w:t>But if anyone tells people that he does not belong to me,</w:t>
      </w:r>
    </w:p>
    <w:p>
      <w:pPr>
        <w:pStyle w:val="ListBullet"/>
        <w:spacing w:line="240" w:lineRule="auto"/>
        <w:ind w:left="720"/>
      </w:pPr>
      <w:r>
        <w:rPr>
          <w:lang w:val="en_US" w:bidi="en_US"/>
        </w:rPr>
      </w:r>
      <w:r>
        <w:rPr>
          <w:lang w:val="en_US" w:bidi="en_US"/>
        </w:rPr>
        <w:t>But the person who openly/publicly rejects me,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This verse describes a situation that is a complete contrast to the situation in 12:8. It functions as a warning. Translate in a way that is natural in your language for presenting such a contrast.</w:t>
      </w:r>
    </w:p>
    <w:p>
      <w:pPr/>
      <w:r>
        <w:rPr>
          <w:lang w:val="en_US" w:bidi="en_US"/>
        </w:rPr>
      </w:r>
      <w:r>
        <w:rPr>
          <w:b/>
          <w:lang w:val="en_US" w:bidi="en_US"/>
        </w:rPr>
        <w:t>whoever denies Me before men:</w:t>
      </w:r>
      <w:r>
        <w:rPr>
          <w:lang w:val="en_US" w:bidi="en_US"/>
        </w:rPr>
        <w:t xml:space="preserve"> The Greek word that the BSB translates as </w:t>
      </w:r>
      <w:r>
        <w:rPr>
          <w:i/>
          <w:lang w:val="en_US" w:bidi="en_US"/>
        </w:rPr>
        <w:t>denies</w:t>
      </w:r>
      <w:r>
        <w:rPr>
          <w:lang w:val="en_US" w:bidi="en_US"/>
        </w:rPr>
        <w:t xml:space="preserve"> means “disowns, repudiates, renounces.” This phrase </w:t>
      </w:r>
      <w:r>
        <w:rPr>
          <w:i/>
          <w:lang w:val="en_US" w:bidi="en_US"/>
        </w:rPr>
        <w:t>whoever denies Me before men</w:t>
      </w:r>
      <w:r>
        <w:rPr>
          <w:lang w:val="en_US" w:bidi="en_US"/>
        </w:rPr>
        <w:t xml:space="preserve"> refers to a person who says publicly that he is not a follower of Jesus Christ. Jesus was referring to anyone who did this. Make sure that your translation of this phrase fits your choice of subject in 12:8a (for example: “anyone,” “everyone,” “all,” or “those”). Some other ways to translate this phrase are:</w:t>
      </w:r>
    </w:p>
    <w:p>
      <w:pPr/>
      <w:r>
        <w:rPr>
          <w:lang w:val="en_US" w:bidi="en_US"/>
        </w:rPr>
      </w:r>
      <w:r>
        <w:rPr>
          <w:lang w:val="en_US" w:bidi="en_US"/>
        </w:rPr>
        <w:t>those who reject me publicly (GNT)</w:t>
      </w:r>
    </w:p>
    <w:p>
      <w:pPr/>
      <w:r>
        <w:rPr>
          <w:lang w:val="en_US" w:bidi="en_US"/>
        </w:rPr>
      </w:r>
      <w:r>
        <w:rPr>
          <w:lang w:val="en_US" w:bidi="en_US"/>
        </w:rPr>
        <w:t>all who stand before others and say they do not believe in me (NCV)</w:t>
      </w:r>
    </w:p>
    <w:p>
      <w:pPr/>
      <w:r>
        <w:rPr>
          <w:lang w:val="en_US" w:bidi="en_US"/>
        </w:rPr>
      </w:r>
      <w:r>
        <w:rPr>
          <w:lang w:val="en_US" w:bidi="en_US"/>
        </w:rPr>
        <w:t>anyone who denies in front of other people here on earth that he is my follower</w:t>
      </w:r>
    </w:p>
    <w:p>
      <w:pPr>
        <w:pStyle w:val="Heading5"/>
      </w:pPr>
      <w:r>
        <w:rPr>
          <w:lang w:val="en_US" w:bidi="en_US"/>
        </w:rPr>
        <w:t>12:9b</w:t>
      </w:r>
    </w:p>
    <w:p>
      <w:pPr/>
      <w:r>
        <w:rPr>
          <w:lang w:val="en_US" w:bidi="en_US"/>
        </w:rPr>
      </w:r>
      <w:r>
        <w:rPr>
          <w:b/>
          <w:lang w:val="en_US" w:bidi="en_US"/>
        </w:rPr>
        <w:t>will be denied before the angels of God.</w:t>
      </w:r>
    </w:p>
    <w:p>
      <w:pPr>
        <w:pStyle w:val="ListBullet"/>
        <w:spacing w:line="240" w:lineRule="auto"/>
        <w:ind w:left="720"/>
      </w:pPr>
      <w:r>
        <w:rPr>
          <w:lang w:val="en_US" w:bidi="en_US"/>
        </w:rPr>
      </w:r>
      <w:r>
        <w:rPr>
          <w:lang w:val="en_US" w:bidi="en_US"/>
        </w:rPr>
        <w:t xml:space="preserve">then </w:t>
      </w:r>
      <w:r>
        <w:rPr>
          <w:lang w:val="en_US" w:bidi="en_US"/>
        </w:rPr>
        <w:t>I</w:t>
      </w:r>
      <w:r>
        <w:rPr>
          <w:lang w:val="en_US" w:bidi="en_US"/>
        </w:rPr>
        <w:t xml:space="preserve"> will </w:t>
      </w:r>
      <w:r>
        <w:rPr>
          <w:lang w:val="en_US" w:bidi="en_US"/>
        </w:rPr>
        <w:t>also</w:t>
      </w:r>
      <w:r>
        <w:rPr>
          <w:lang w:val="en_US" w:bidi="en_US"/>
        </w:rPr>
        <w:t xml:space="preserve"> tell </w:t>
      </w:r>
      <w:r>
        <w:rPr>
          <w:lang w:val="en_US" w:bidi="en_US"/>
        </w:rPr>
        <w:t>God and</w:t>
      </w:r>
      <w:r>
        <w:rPr>
          <w:lang w:val="en_US" w:bidi="en_US"/>
        </w:rPr>
        <w:t xml:space="preserve"> his angels that he does not belong to me.</w:t>
      </w:r>
    </w:p>
    <w:p>
      <w:pPr>
        <w:pStyle w:val="ListBullet"/>
        <w:spacing w:line="240" w:lineRule="auto"/>
        <w:ind w:left="720"/>
      </w:pPr>
      <w:r>
        <w:rPr>
          <w:lang w:val="en_US" w:bidi="en_US"/>
        </w:rPr>
      </w:r>
      <w:r>
        <w:rPr>
          <w:lang w:val="en_US" w:bidi="en_US"/>
        </w:rPr>
        <w:t>I</w:t>
      </w:r>
      <w:r>
        <w:rPr>
          <w:lang w:val="en_US" w:bidi="en_US"/>
        </w:rPr>
        <w:t xml:space="preserve"> will </w:t>
      </w:r>
      <w:r>
        <w:rPr>
          <w:lang w:val="en_US" w:bidi="en_US"/>
        </w:rPr>
        <w:t>openly</w:t>
      </w:r>
      <w:r>
        <w:rPr>
          <w:lang w:val="en_US" w:bidi="en_US"/>
        </w:rPr>
        <w:t xml:space="preserve"> reject him in the presence/hearing of God’s angels.</w:t>
      </w:r>
    </w:p>
    <w:p>
      <w:pPr/>
      <w:r>
        <w:rPr>
          <w:lang w:val="en_US" w:bidi="en_US"/>
        </w:rPr>
      </w:r>
      <w:r>
        <w:rPr>
          <w:b/>
          <w:lang w:val="en_US" w:bidi="en_US"/>
        </w:rPr>
        <w:t>will be denied before the angels of God:</w:t>
      </w:r>
      <w:r>
        <w:rPr>
          <w:lang w:val="en_US" w:bidi="en_US"/>
        </w:rPr>
        <w:t xml:space="preserve"> The verb that the BSB translates as </w:t>
      </w:r>
      <w:r>
        <w:rPr>
          <w:i/>
          <w:lang w:val="en_US" w:bidi="en_US"/>
        </w:rPr>
        <w:t>will be denied</w:t>
      </w:r>
      <w:r>
        <w:rPr>
          <w:lang w:val="en_US" w:bidi="en_US"/>
        </w:rPr>
        <w:t xml:space="preserve"> is a passive verb. If it is more natural to use an active verb, the implied subject is “I” (Jesus). For example:</w:t>
      </w:r>
    </w:p>
    <w:p>
      <w:pPr/>
      <w:r>
        <w:rPr>
          <w:lang w:val="en_US" w:bidi="en_US"/>
        </w:rPr>
      </w:r>
      <w:r>
        <w:rPr>
          <w:lang w:val="en_US" w:bidi="en_US"/>
        </w:rPr>
        <w:t>I</w:t>
      </w:r>
      <w:r>
        <w:rPr>
          <w:lang w:val="en_US" w:bidi="en_US"/>
        </w:rPr>
        <w:t xml:space="preserve"> will disown him before God’s angels.</w:t>
      </w:r>
      <w:r>
        <w:rPr>
          <w:lang w:val="en_US" w:bidi="en_US"/>
        </w:rPr>
      </w:r>
      <w:r>
        <w:rPr>
          <w:lang w:val="en_US" w:bidi="en_US"/>
        </w:rPr>
      </w:r>
    </w:p>
    <w:p>
      <w:pPr/>
      <w:r>
        <w:rPr>
          <w:lang w:val="en_US" w:bidi="en_US"/>
        </w:rPr>
      </w:r>
    </w:p>
    <w:p>
      <w:pPr>
        <w:pStyle w:val="Heading2"/>
      </w:pPr>
      <w:r>
        <w:rPr>
          <w:lang w:val="en_US" w:bidi="en_US"/>
        </w:rPr>
        <w:t>Luke 12:10</w:t>
      </w:r>
      <w:r>
        <w:rPr>
          <w:lang w:val="en_US" w:bidi="en_US"/>
        </w:rPr>
      </w:r>
    </w:p>
    <w:p>
      <w:pPr>
        <w:pStyle w:val="Heading4"/>
      </w:pPr>
      <w:r>
        <w:rPr>
          <w:lang w:val="en_US" w:bidi="en_US"/>
        </w:rPr>
        <w:t>Section 12:1–12: Jesus warned and encouraged his disciples</w:t>
      </w:r>
    </w:p>
    <w:p>
      <w:pPr/>
      <w:r>
        <w:rPr>
          <w:lang w:val="en_US" w:bidi="en_US"/>
        </w:rPr>
      </w:r>
      <w:r>
        <w:rPr>
          <w:lang w:val="en_US" w:bidi="en_US"/>
        </w:rP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pPr/>
      <w:r>
        <w:rPr>
          <w:lang w:val="en_US" w:bidi="en_US"/>
        </w:rPr>
      </w:r>
      <w:r>
        <w:rPr>
          <w:lang w:val="en_US" w:bidi="en_US"/>
        </w:rPr>
        <w:t>It is good to translate this section before you decide on a heading for it. Another possible heading for this section is:</w:t>
      </w:r>
    </w:p>
    <w:p>
      <w:pPr/>
      <w:r>
        <w:rPr>
          <w:lang w:val="en_US" w:bidi="en_US"/>
        </w:rPr>
      </w:r>
      <w:r>
        <w:rPr>
          <w:lang w:val="en_US" w:bidi="en_US"/>
        </w:rPr>
        <w:t>Warnings and Encouragements (NIV)</w:t>
      </w:r>
    </w:p>
    <w:p>
      <w:pPr/>
      <w:r>
        <w:rPr>
          <w:lang w:val="en_US" w:bidi="en_US"/>
        </w:rPr>
      </w:r>
      <w:r>
        <w:rPr>
          <w:lang w:val="en_US" w:bidi="en_US"/>
        </w:rP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12:1–3</w:t>
            </w:r>
          </w:p>
        </w:tc>
        <w:tc>
          <w:tcPr>
            <w:tcW w:type="dxa" w:w="4680"/>
          </w:tcPr>
          <w:p>
            <w:pPr/>
            <w:r>
              <w:rPr>
                <w:lang w:val="en_US" w:bidi="en_US"/>
              </w:rPr>
            </w:r>
            <w:r>
              <w:rPr>
                <w:lang w:val="en_US" w:bidi="en_US"/>
              </w:rPr>
              <w:t xml:space="preserve">A Warning against Hypocrisy (GNT) </w:t>
            </w:r>
            <w:r>
              <w:rPr>
                <w:i/>
                <w:lang w:val="en_US" w:bidi="en_US"/>
              </w:rPr>
              <w:t>-or-</w:t>
            </w:r>
            <w:r>
              <w:rPr>
                <w:lang w:val="en_US" w:bidi="en_US"/>
              </w:rPr>
              <w:t xml:space="preserve"> Jesus warned his disciples not to be like the Pharisees</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10:26–27.)</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12:4–7</w:t>
            </w:r>
          </w:p>
        </w:tc>
        <w:tc>
          <w:tcPr>
            <w:tcW w:type="dxa" w:w="4680"/>
          </w:tcPr>
          <w:p>
            <w:pPr/>
            <w:r>
              <w:rPr>
                <w:lang w:val="en_US" w:bidi="en_US"/>
              </w:rPr>
            </w:r>
            <w:r>
              <w:rPr>
                <w:lang w:val="en_US" w:bidi="en_US"/>
              </w:rPr>
              <w:t xml:space="preserve">The One Whom People Should Fear </w:t>
            </w:r>
            <w:r>
              <w:rPr>
                <w:i/>
                <w:lang w:val="en_US" w:bidi="en_US"/>
              </w:rPr>
              <w:t>-or-</w:t>
            </w:r>
            <w:r>
              <w:rPr>
                <w:lang w:val="en_US" w:bidi="en_US"/>
              </w:rPr>
              <w:t xml:space="preserve"> Jesus told his disciples whom they should fear</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10:28–31.)</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12:8–12</w:t>
            </w:r>
          </w:p>
        </w:tc>
        <w:tc>
          <w:tcPr>
            <w:tcW w:type="dxa" w:w="4680"/>
          </w:tcPr>
          <w:p>
            <w:pPr/>
            <w:r>
              <w:rPr>
                <w:lang w:val="en_US" w:bidi="en_US"/>
              </w:rPr>
            </w:r>
            <w:r>
              <w:rPr>
                <w:lang w:val="en_US" w:bidi="en_US"/>
              </w:rPr>
              <w:t xml:space="preserve">Confessing and Rejecting Christ (GNT) </w:t>
            </w:r>
            <w:r>
              <w:rPr>
                <w:i/>
                <w:lang w:val="en_US" w:bidi="en_US"/>
              </w:rPr>
              <w:t>-or-</w:t>
            </w:r>
            <w:r>
              <w:rPr>
                <w:lang w:val="en_US" w:bidi="en_US"/>
              </w:rPr>
              <w:t xml:space="preserve"> Don’t Be Ashamed of Jesus (NCV)</w:t>
            </w:r>
          </w:p>
        </w:tc>
      </w:tr>
      <w:tr>
        <w:tc>
          <w:tcPr>
            <w:tcW w:type="dxa" w:w="4680"/>
          </w:tcPr>
          <w:p>
            <w:pPr/>
            <w:r>
              <w:rPr>
                <w:lang w:val="en_US" w:bidi="en_US"/>
              </w:rPr>
            </w:r>
          </w:p>
        </w:tc>
        <w:tc>
          <w:tcPr>
            <w:tcW w:type="dxa" w:w="4680"/>
          </w:tcPr>
          <w:p>
            <w:pPr/>
            <w:r>
              <w:rPr>
                <w:lang w:val="en_US" w:bidi="en_US"/>
              </w:rPr>
            </w:r>
            <w:r>
              <w:rPr>
                <w:lang w:val="en_US" w:bidi="en_US"/>
              </w:rPr>
              <w:t>(There are parallel passages for this section in Matthew 10:32–33, 12:32, 10:19–20.)</w:t>
            </w:r>
          </w:p>
        </w:tc>
      </w:tr>
    </w:tbl>
    <w:p>
      <w:pPr>
        <w:pStyle w:val="Heading5"/>
      </w:pPr>
      <w:r>
        <w:rPr>
          <w:lang w:val="en_US" w:bidi="en_US"/>
        </w:rPr>
        <w:t>12:10a</w:t>
      </w:r>
    </w:p>
    <w:p>
      <w:pPr/>
      <w:r>
        <w:rPr>
          <w:lang w:val="en_US" w:bidi="en_US"/>
        </w:rPr>
      </w:r>
      <w:r>
        <w:rPr>
          <w:b/>
          <w:lang w:val="en_US" w:bidi="en_US"/>
        </w:rPr>
        <w:t>And everyone who speaks a word against the Son of Man will be forgiven,</w:t>
      </w:r>
    </w:p>
    <w:p>
      <w:pPr>
        <w:pStyle w:val="ListBullet"/>
        <w:spacing w:line="240" w:lineRule="auto"/>
        <w:ind w:left="720"/>
      </w:pPr>
      <w:r>
        <w:rPr>
          <w:lang w:val="en_US" w:bidi="en_US"/>
        </w:rPr>
      </w:r>
      <w:r>
        <w:rPr>
          <w:lang w:val="en_US" w:bidi="en_US"/>
        </w:rPr>
        <w:t xml:space="preserve">And if someone talks against </w:t>
      </w:r>
      <w:r>
        <w:rPr>
          <w:lang w:val="en_US" w:bidi="en_US"/>
        </w:rPr>
        <w:t>me,</w:t>
      </w:r>
      <w:r>
        <w:rPr>
          <w:lang w:val="en_US" w:bidi="en_US"/>
        </w:rPr>
        <w:t xml:space="preserve"> the Son of Man, he can receive forgiveness.</w:t>
      </w:r>
    </w:p>
    <w:p>
      <w:pPr>
        <w:pStyle w:val="ListBullet"/>
        <w:spacing w:line="240" w:lineRule="auto"/>
        <w:ind w:left="720"/>
      </w:pPr>
      <w:r>
        <w:rPr>
          <w:lang w:val="en_US" w:bidi="en_US"/>
        </w:rPr>
      </w:r>
      <w:r>
        <w:rPr>
          <w:lang w:val="en_US" w:bidi="en_US"/>
        </w:rPr>
        <w:t>God</w:t>
      </w:r>
      <w:r>
        <w:rPr>
          <w:lang w:val="en_US" w:bidi="en_US"/>
        </w:rPr>
        <w:t xml:space="preserve"> can forgive anyone who says something bad about </w:t>
      </w:r>
      <w:r>
        <w:rPr>
          <w:lang w:val="en_US" w:bidi="en_US"/>
        </w:rPr>
        <w:t>me,</w:t>
      </w:r>
      <w:r>
        <w:rPr>
          <w:lang w:val="en_US" w:bidi="en_US"/>
        </w:rPr>
        <w:t xml:space="preserve"> the Son of Man,</w:t>
      </w:r>
    </w:p>
    <w:p>
      <w:pPr/>
      <w:r>
        <w:rPr>
          <w:lang w:val="en_US" w:bidi="en_US"/>
        </w:rPr>
      </w:r>
      <w:r>
        <w:rPr>
          <w:b/>
          <w:lang w:val="en_US" w:bidi="en_US"/>
        </w:rPr>
        <w:t>And everyone who speaks a word against the Son of Man will be forgiven:</w:t>
      </w:r>
      <w:r>
        <w:rPr>
          <w:lang w:val="en_US" w:bidi="en_US"/>
        </w:rPr>
        <w:t xml:space="preserve"> The word </w:t>
      </w:r>
      <w:r>
        <w:rPr>
          <w:i/>
          <w:lang w:val="en_US" w:bidi="en_US"/>
        </w:rPr>
        <w:t>And</w:t>
      </w:r>
      <w:r>
        <w:rPr>
          <w:lang w:val="en_US" w:bidi="en_US"/>
        </w:rPr>
        <w:t xml:space="preserve"> introduces another statement that talks about people saying something about Jesus, the Son of Man. In 12:9 Jesus referred to people who denied him. They publicly said that they did not follow him as their Master. Here in 12:10 Jesus referred to anyone who </w:t>
      </w:r>
      <w:r>
        <w:rPr>
          <w:i/>
          <w:lang w:val="en_US" w:bidi="en_US"/>
        </w:rPr>
        <w:t>speaks a word</w:t>
      </w:r>
      <w:r>
        <w:rPr>
          <w:lang w:val="en_US" w:bidi="en_US"/>
        </w:rPr>
        <w:t xml:space="preserve"> against him. He indicated that God can forgive a person who speaks against Jesus.</w:t>
      </w:r>
    </w:p>
    <w:p>
      <w:pPr/>
      <w:r>
        <w:rPr>
          <w:lang w:val="en_US" w:bidi="en_US"/>
        </w:rPr>
      </w:r>
      <w:r>
        <w:rPr>
          <w:lang w:val="en_US" w:bidi="en_US"/>
        </w:rPr>
        <w:t>Jesus was referring here to the possibility of forgiveness if the person repents of speaking against him. He did not mean that everyone who speaks against him will automatically be forgiven. In some languages it may be necessary to indicate this implied information in some way. For example:</w:t>
      </w:r>
    </w:p>
    <w:p>
      <w:pPr/>
      <w:r>
        <w:rPr>
          <w:lang w:val="en_US" w:bidi="en_US"/>
        </w:rPr>
      </w:r>
      <w:r>
        <w:rPr>
          <w:lang w:val="en_US" w:bidi="en_US"/>
        </w:rPr>
        <w:t xml:space="preserve">Anyone who speaks against the Son of Man </w:t>
      </w:r>
      <w:r>
        <w:rPr>
          <w:u w:val="single"/>
          <w:lang w:val="en_US" w:bidi="en_US"/>
        </w:rPr>
        <w:t>can</w:t>
      </w:r>
      <w:r>
        <w:rPr>
          <w:lang w:val="en_US" w:bidi="en_US"/>
        </w:rPr>
        <w:t xml:space="preserve"> be forgiven (NCV)</w:t>
      </w:r>
    </w:p>
    <w:p>
      <w:pPr/>
      <w:r>
        <w:rPr>
          <w:lang w:val="en_US" w:bidi="en_US"/>
        </w:rPr>
      </w:r>
      <w:r>
        <w:rPr>
          <w:b/>
          <w:lang w:val="en_US" w:bidi="en_US"/>
        </w:rPr>
        <w:t>everyone who speaks a word against the Son of Man:</w:t>
      </w:r>
      <w:r>
        <w:rPr>
          <w:lang w:val="en_US" w:bidi="en_US"/>
        </w:rPr>
        <w:t xml:space="preserve"> The phrase </w:t>
      </w:r>
      <w:r>
        <w:rPr>
          <w:i/>
          <w:lang w:val="en_US" w:bidi="en_US"/>
        </w:rPr>
        <w:t>everyone who speaks a word against</w:t>
      </w:r>
      <w:r>
        <w:rPr>
          <w:lang w:val="en_US" w:bidi="en_US"/>
        </w:rPr>
        <w:t xml:space="preserve"> means “anyone who says something bad about.” This is a very general description. It can include statements that are hostile, disrespectful, or insulting.</w:t>
      </w:r>
    </w:p>
    <w:p>
      <w:pPr/>
      <w:r>
        <w:rPr>
          <w:lang w:val="en_US" w:bidi="en_US"/>
        </w:rPr>
      </w:r>
      <w:r>
        <w:rPr>
          <w:b/>
          <w:lang w:val="en_US" w:bidi="en_US"/>
        </w:rPr>
        <w:t>the Son of Man:</w:t>
      </w:r>
      <w:r>
        <w:rPr>
          <w:lang w:val="en_US" w:bidi="en_US"/>
        </w:rPr>
        <w:t xml:space="preserve"> Here Jesus again referred to himself as </w:t>
      </w:r>
      <w:r>
        <w:rPr>
          <w:i/>
          <w:lang w:val="en_US" w:bidi="en_US"/>
        </w:rPr>
        <w:t>the Son of Man</w:t>
      </w:r>
      <w:r>
        <w:rPr>
          <w:lang w:val="en_US" w:bidi="en_US"/>
        </w:rPr>
        <w:t>, as he did in 12:8b. In some languages it may be necessary to make this explicit here, as well as in 12:8b. For example:</w:t>
      </w:r>
    </w:p>
    <w:p>
      <w:pPr/>
      <w:r>
        <w:rPr>
          <w:lang w:val="en_US" w:bidi="en_US"/>
        </w:rPr>
      </w:r>
      <w:r>
        <w:rPr>
          <w:lang w:val="en_US" w:bidi="en_US"/>
        </w:rPr>
        <w:t>against me, the Son of Man</w:t>
      </w:r>
    </w:p>
    <w:p>
      <w:pPr/>
      <w:r>
        <w:rPr>
          <w:lang w:val="en_US" w:bidi="en_US"/>
        </w:rPr>
      </w:r>
      <w:r>
        <w:rPr>
          <w:lang w:val="en_US" w:bidi="en_US"/>
        </w:rPr>
        <w:t>See the note at 11:30b.</w:t>
      </w:r>
    </w:p>
    <w:p>
      <w:pPr/>
      <w:r>
        <w:rPr>
          <w:lang w:val="en_US" w:bidi="en_US"/>
        </w:rPr>
      </w:r>
      <w:r>
        <w:rPr>
          <w:b/>
          <w:lang w:val="en_US" w:bidi="en_US"/>
        </w:rPr>
        <w:t>will be forgiven:</w:t>
      </w:r>
      <w:r>
        <w:rPr>
          <w:lang w:val="en_US" w:bidi="en_US"/>
        </w:rPr>
        <w:t xml:space="preserve"> In this context the verb </w:t>
      </w:r>
      <w:r>
        <w:rPr>
          <w:i/>
          <w:lang w:val="en_US" w:bidi="en_US"/>
        </w:rPr>
        <w:t>will be forgiven</w:t>
      </w:r>
      <w:r>
        <w:rPr>
          <w:lang w:val="en_US" w:bidi="en_US"/>
        </w:rPr>
        <w:t xml:space="preserve"> indicates that God will choose not to punish those people for their sin of speaking against Jesus. God will cancel their guilt and treat them as though they had not spoken in that way.</w:t>
      </w:r>
    </w:p>
    <w:p>
      <w:pPr/>
      <w:r>
        <w:rPr>
          <w:lang w:val="en_US" w:bidi="en_US"/>
        </w:rPr>
      </w:r>
      <w:r>
        <w:rPr>
          <w:lang w:val="en_US" w:bidi="en_US"/>
        </w:rPr>
        <w:t xml:space="preserve">Some possible ways to translate </w:t>
      </w:r>
      <w:r>
        <w:rPr>
          <w:i/>
          <w:lang w:val="en_US" w:bidi="en_US"/>
        </w:rPr>
        <w:t>will be forgiven</w:t>
      </w:r>
      <w:r>
        <w:rPr>
          <w:lang w:val="en_US" w:bidi="en_US"/>
        </w:rPr>
        <w:t xml:space="preserve"> are:</w:t>
      </w:r>
    </w:p>
    <w:p>
      <w:pPr/>
      <w:r>
        <w:rPr>
          <w:lang w:val="en_US" w:bidi="en_US"/>
        </w:rPr>
      </w:r>
      <w:r>
        <w:rPr>
          <w:lang w:val="en_US" w:bidi="en_US"/>
        </w:rPr>
        <w:t>will be pardoned for their sin</w:t>
      </w:r>
    </w:p>
    <w:p>
      <w:pPr/>
      <w:r>
        <w:rPr>
          <w:lang w:val="en_US" w:bidi="en_US"/>
        </w:rPr>
      </w:r>
      <w:r>
        <w:rPr>
          <w:lang w:val="en_US" w:bidi="en_US"/>
        </w:rPr>
        <w:t>their guilt will be erased/removed</w:t>
      </w:r>
    </w:p>
    <w:p>
      <w:pPr/>
      <w:r>
        <w:rPr>
          <w:lang w:val="en_US" w:bidi="en_US"/>
        </w:rPr>
      </w:r>
      <w:r>
        <w:rPr>
          <w:lang w:val="en_US" w:bidi="en_US"/>
        </w:rPr>
        <w:t>the wrong that they have done will be forgotten/canceled</w:t>
      </w:r>
    </w:p>
    <w:p>
      <w:pPr/>
      <w:r>
        <w:rPr>
          <w:lang w:val="en_US" w:bidi="en_US"/>
        </w:rPr>
      </w:r>
      <w:r>
        <w:rPr>
          <w:lang w:val="en_US" w:bidi="en_US"/>
        </w:rPr>
        <w:t>See how you translated the verb “forgive” in 11:4a.</w:t>
      </w:r>
    </w:p>
    <w:p>
      <w:pPr/>
      <w:r>
        <w:rPr>
          <w:lang w:val="en_US" w:bidi="en_US"/>
        </w:rPr>
      </w:r>
      <w:r>
        <w:rPr>
          <w:lang w:val="en_US" w:bidi="en_US"/>
        </w:rPr>
        <w:t xml:space="preserve">The phrase </w:t>
      </w:r>
      <w:r>
        <w:rPr>
          <w:i/>
          <w:lang w:val="en_US" w:bidi="en_US"/>
        </w:rPr>
        <w:t>will be forgiven</w:t>
      </w:r>
      <w:r>
        <w:rPr>
          <w:lang w:val="en_US" w:bidi="en_US"/>
        </w:rPr>
        <w:t xml:space="preserve"> is a passive verb phrase. It contains implied information about who forgives and what is forgiven. The implied information is:</w:t>
      </w:r>
    </w:p>
    <w:p>
      <w:pPr/>
      <w:r>
        <w:rPr>
          <w:lang w:val="en_US" w:bidi="en_US"/>
        </w:rPr>
      </w:r>
      <w:r>
        <w:rPr>
          <w:lang w:val="en_US" w:bidi="en_US"/>
        </w:rPr>
        <w:t>God</w:t>
      </w:r>
      <w:r>
        <w:rPr>
          <w:lang w:val="en_US" w:bidi="en_US"/>
        </w:rPr>
        <w:t xml:space="preserve"> will forgive </w:t>
      </w:r>
      <w:r>
        <w:rPr>
          <w:lang w:val="en_US" w:bidi="en_US"/>
        </w:rPr>
        <w:t>them</w:t>
      </w:r>
      <w:r>
        <w:rPr>
          <w:lang w:val="en_US" w:bidi="en_US"/>
        </w:rPr>
        <w:t xml:space="preserve"> </w:t>
      </w:r>
      <w:r>
        <w:rPr>
          <w:lang w:val="en_US" w:bidi="en_US"/>
        </w:rPr>
        <w:t>for their sin of speaking against the Son of Man</w:t>
      </w:r>
      <w:r>
        <w:rPr>
          <w:lang w:val="en_US" w:bidi="en_US"/>
        </w:rPr>
        <w:t>.</w:t>
      </w:r>
    </w:p>
    <w:p>
      <w:pPr/>
      <w:r>
        <w:rPr>
          <w:lang w:val="en_US" w:bidi="en_US"/>
        </w:rPr>
      </w:r>
      <w:r>
        <w:rPr>
          <w:lang w:val="en_US" w:bidi="en_US"/>
        </w:rPr>
        <w:t>In some languages it may be necessary to translate this verb as an active verb and to make some of this implied information explicit. For example:</w:t>
      </w:r>
    </w:p>
    <w:p>
      <w:pPr/>
      <w:r>
        <w:rPr>
          <w:lang w:val="en_US" w:bidi="en_US"/>
        </w:rPr>
      </w:r>
      <w:r>
        <w:rPr>
          <w:lang w:val="en_US" w:bidi="en_US"/>
        </w:rPr>
        <w:t>God</w:t>
      </w:r>
      <w:r>
        <w:rPr>
          <w:lang w:val="en_US" w:bidi="en_US"/>
        </w:rPr>
        <w:t xml:space="preserve"> will pardon </w:t>
      </w:r>
      <w:r>
        <w:rPr>
          <w:lang w:val="en_US" w:bidi="en_US"/>
        </w:rPr>
        <w:t>them</w:t>
      </w:r>
      <w:r>
        <w:rPr>
          <w:lang w:val="en_US" w:bidi="en_US"/>
        </w:rPr>
        <w:t xml:space="preserve"> </w:t>
      </w:r>
      <w:r>
        <w:rPr>
          <w:lang w:val="en_US" w:bidi="en_US"/>
        </w:rPr>
        <w:t>for this sin of theirs</w:t>
      </w:r>
    </w:p>
    <w:p>
      <w:pPr/>
      <w:r>
        <w:rPr>
          <w:lang w:val="en_US" w:bidi="en_US"/>
        </w:rPr>
      </w:r>
      <w:r>
        <w:rPr>
          <w:lang w:val="en_US" w:bidi="en_US"/>
        </w:rPr>
        <w:t>God</w:t>
      </w:r>
      <w:r>
        <w:rPr>
          <w:lang w:val="en_US" w:bidi="en_US"/>
        </w:rPr>
        <w:t xml:space="preserve"> will erase </w:t>
      </w:r>
      <w:r>
        <w:rPr>
          <w:lang w:val="en_US" w:bidi="en_US"/>
        </w:rPr>
        <w:t>the guilt of that sin</w:t>
      </w:r>
    </w:p>
    <w:p>
      <w:pPr>
        <w:pStyle w:val="Heading5"/>
      </w:pPr>
      <w:r>
        <w:rPr>
          <w:lang w:val="en_US" w:bidi="en_US"/>
        </w:rPr>
        <w:t>12:10b</w:t>
      </w:r>
    </w:p>
    <w:p>
      <w:pPr/>
      <w:r>
        <w:rPr>
          <w:lang w:val="en_US" w:bidi="en_US"/>
        </w:rPr>
      </w:r>
      <w:r>
        <w:rPr>
          <w:b/>
          <w:lang w:val="en_US" w:bidi="en_US"/>
        </w:rPr>
        <w:t>but whoever blasphemes against the Holy Spirit will not be forgiven.</w:t>
      </w:r>
    </w:p>
    <w:p>
      <w:pPr>
        <w:pStyle w:val="ListBullet"/>
        <w:spacing w:line="240" w:lineRule="auto"/>
        <w:ind w:left="720"/>
      </w:pPr>
      <w:r>
        <w:rPr>
          <w:lang w:val="en_US" w:bidi="en_US"/>
        </w:rPr>
      </w:r>
      <w:r>
        <w:rPr>
          <w:lang w:val="en_US" w:bidi="en_US"/>
        </w:rPr>
        <w:t>But no one who slanders the Holy Spirit will receive forgiveness.</w:t>
      </w:r>
    </w:p>
    <w:p>
      <w:pPr>
        <w:pStyle w:val="ListBullet"/>
        <w:spacing w:line="240" w:lineRule="auto"/>
        <w:ind w:left="720"/>
      </w:pPr>
      <w:r>
        <w:rPr>
          <w:lang w:val="en_US" w:bidi="en_US"/>
        </w:rPr>
      </w:r>
      <w:r>
        <w:rPr>
          <w:lang w:val="en_US" w:bidi="en_US"/>
        </w:rPr>
        <w:t xml:space="preserve">but if anyone says evil things about God’s Holy Spirit, </w:t>
      </w:r>
      <w:r>
        <w:rPr>
          <w:lang w:val="en_US" w:bidi="en_US"/>
        </w:rPr>
        <w:t>God</w:t>
      </w:r>
      <w:r>
        <w:rPr>
          <w:lang w:val="en_US" w:bidi="en_US"/>
        </w:rPr>
        <w:t xml:space="preserve"> will not forgive him.</w:t>
      </w:r>
    </w:p>
    <w:p>
      <w:pPr>
        <w:pStyle w:val="ListBullet"/>
        <w:spacing w:line="240" w:lineRule="auto"/>
        <w:ind w:left="720"/>
      </w:pPr>
      <w:r>
        <w:rPr>
          <w:lang w:val="en_US" w:bidi="en_US"/>
        </w:rPr>
      </w:r>
      <w:r>
        <w:rPr>
          <w:lang w:val="en_US" w:bidi="en_US"/>
        </w:rPr>
        <w:t xml:space="preserve">but </w:t>
      </w:r>
      <w:r>
        <w:rPr>
          <w:lang w:val="en_US" w:bidi="en_US"/>
        </w:rPr>
        <w:t>he</w:t>
      </w:r>
      <w:r>
        <w:rPr>
          <w:lang w:val="en_US" w:bidi="en_US"/>
        </w:rPr>
        <w:t xml:space="preserve"> will not forgive anyone who insults/dishonors his Holy Spirit.</w:t>
      </w:r>
    </w:p>
    <w:p>
      <w:pPr/>
      <w:r>
        <w:rPr>
          <w:lang w:val="en_US" w:bidi="en_US"/>
        </w:rPr>
      </w:r>
      <w:r>
        <w:rPr>
          <w:b/>
          <w:lang w:val="en_US" w:bidi="en_US"/>
        </w:rPr>
        <w:t>but:</w:t>
      </w:r>
      <w:r>
        <w:rPr>
          <w:lang w:val="en_US" w:bidi="en_US"/>
        </w:rPr>
        <w:t xml:space="preserve"> The Greek conjunction that the BSB here translates as </w:t>
      </w:r>
      <w:r>
        <w:rPr>
          <w:i/>
          <w:lang w:val="en_US" w:bidi="en_US"/>
        </w:rPr>
        <w:t>but</w:t>
      </w:r>
      <w:r>
        <w:rPr>
          <w:lang w:val="en_US" w:bidi="en_US"/>
        </w:rPr>
        <w:t xml:space="preserve"> introduces a contrast between who God will forgive (12:10a) and who he will not forgive (12:10b).</w:t>
      </w:r>
    </w:p>
    <w:p>
      <w:pPr/>
      <w:r>
        <w:rPr>
          <w:lang w:val="en_US" w:bidi="en_US"/>
        </w:rPr>
      </w:r>
      <w:r>
        <w:rPr>
          <w:b/>
          <w:lang w:val="en_US" w:bidi="en_US"/>
        </w:rPr>
        <w:t>whoever blasphemes against the Holy Spirit:</w:t>
      </w:r>
      <w:r>
        <w:rPr>
          <w:lang w:val="en_US" w:bidi="en_US"/>
        </w:rPr>
        <w:t xml:space="preserve"> The Greek word that the BSB translates as </w:t>
      </w:r>
      <w:r>
        <w:rPr>
          <w:i/>
          <w:lang w:val="en_US" w:bidi="en_US"/>
        </w:rPr>
        <w:t>blasphemes</w:t>
      </w:r>
      <w:r>
        <w:rPr>
          <w:lang w:val="en_US" w:bidi="en_US"/>
        </w:rPr>
        <w:t xml:space="preserve"> can refer to speaking evil of either God or people. Here Jesus was referring to anyone who insults or dishonors the Holy Spirit of God. From the passage in Matthew 12:22–32, it appears that Jesus was referring specifically to people who saw the work of the Holy Spirit and said that it was the work of Satan. This is what the Jewish leaders had done in 11:15.</w:t>
      </w:r>
    </w:p>
    <w:p>
      <w:pPr/>
      <w:r>
        <w:rPr>
          <w:lang w:val="en_US" w:bidi="en_US"/>
        </w:rPr>
      </w:r>
      <w:r>
        <w:rPr>
          <w:lang w:val="en_US" w:bidi="en_US"/>
        </w:rPr>
        <w:t xml:space="preserve">Some other ways to translate the word </w:t>
      </w:r>
      <w:r>
        <w:rPr>
          <w:i/>
          <w:lang w:val="en_US" w:bidi="en_US"/>
        </w:rPr>
        <w:t>blasphemes</w:t>
      </w:r>
      <w:r>
        <w:rPr>
          <w:lang w:val="en_US" w:bidi="en_US"/>
        </w:rPr>
        <w:t xml:space="preserve"> are:</w:t>
      </w:r>
    </w:p>
    <w:p>
      <w:pPr/>
      <w:r>
        <w:rPr>
          <w:lang w:val="en_US" w:bidi="en_US"/>
        </w:rPr>
      </w:r>
      <w:r>
        <w:rPr>
          <w:lang w:val="en_US" w:bidi="en_US"/>
        </w:rPr>
        <w:t>slanders (REB)</w:t>
      </w:r>
    </w:p>
    <w:p>
      <w:pPr/>
      <w:r>
        <w:rPr>
          <w:lang w:val="en_US" w:bidi="en_US"/>
        </w:rPr>
      </w:r>
      <w:r>
        <w:rPr>
          <w:lang w:val="en_US" w:bidi="en_US"/>
        </w:rPr>
        <w:t>speaks against (NCV)</w:t>
      </w:r>
    </w:p>
    <w:p>
      <w:pPr/>
      <w:r>
        <w:rPr>
          <w:lang w:val="en_US" w:bidi="en_US"/>
        </w:rPr>
      </w:r>
      <w:r>
        <w:rPr>
          <w:lang w:val="en_US" w:bidi="en_US"/>
        </w:rPr>
        <w:t>dishonors (GW)</w:t>
      </w:r>
    </w:p>
    <w:p>
      <w:pPr/>
      <w:r>
        <w:rPr>
          <w:lang w:val="en_US" w:bidi="en_US"/>
        </w:rPr>
      </w:r>
      <w:r>
        <w:rPr>
          <w:b/>
          <w:lang w:val="en_US" w:bidi="en_US"/>
        </w:rPr>
        <w:t>Holy Spirit:</w:t>
      </w:r>
      <w:r>
        <w:rPr>
          <w:lang w:val="en_US" w:bidi="en_US"/>
        </w:rPr>
        <w:t xml:space="preserve"> The Greek phrase that the BSB translates as </w:t>
      </w:r>
      <w:r>
        <w:rPr>
          <w:i/>
          <w:lang w:val="en_US" w:bidi="en_US"/>
        </w:rPr>
        <w:t>Holy Spirit</w:t>
      </w:r>
      <w:r>
        <w:rPr>
          <w:lang w:val="en_US" w:bidi="en_US"/>
        </w:rPr>
        <w:t xml:space="preserve"> refers to the Spirit of God. The </w:t>
      </w:r>
      <w:r>
        <w:rPr>
          <w:i/>
          <w:lang w:val="en_US" w:bidi="en_US"/>
        </w:rPr>
        <w:t>Holy Spirit</w:t>
      </w:r>
      <w:r>
        <w:rPr>
          <w:lang w:val="en_US" w:bidi="en_US"/>
        </w:rPr>
        <w:t xml:space="preserve"> is God, together with God the Father and God the Son. The </w:t>
      </w:r>
      <w:r>
        <w:rPr>
          <w:i/>
          <w:lang w:val="en_US" w:bidi="en_US"/>
        </w:rPr>
        <w:t>Holy Spirit</w:t>
      </w:r>
      <w:r>
        <w:rPr>
          <w:lang w:val="en_US" w:bidi="en_US"/>
        </w:rPr>
        <w:t xml:space="preserve"> is </w:t>
      </w:r>
      <w:r>
        <w:rPr>
          <w:i/>
          <w:lang w:val="en_US" w:bidi="en_US"/>
        </w:rPr>
        <w:t>Spirit</w:t>
      </w:r>
      <w:r>
        <w:rPr>
          <w:lang w:val="en_US" w:bidi="en_US"/>
        </w:rPr>
        <w:t xml:space="preserve"> in the sense that he is a living being who does not have a physical body. He is </w:t>
      </w:r>
      <w:r>
        <w:rPr>
          <w:i/>
          <w:lang w:val="en_US" w:bidi="en_US"/>
        </w:rPr>
        <w:t>Holy</w:t>
      </w:r>
      <w:r>
        <w:rPr>
          <w:lang w:val="en_US" w:bidi="en_US"/>
        </w:rPr>
        <w:t xml:space="preserve"> in the sense that he is God and unique from every other being. He is perfect in every way and is completely pure and sinless.</w:t>
      </w:r>
    </w:p>
    <w:p>
      <w:pPr/>
      <w:r>
        <w:rPr>
          <w:lang w:val="en_US" w:bidi="en_US"/>
        </w:rPr>
      </w:r>
      <w:r>
        <w:rPr>
          <w:lang w:val="en_US" w:bidi="en_US"/>
        </w:rPr>
        <w:t xml:space="preserve">Some ways to translate </w:t>
      </w:r>
      <w:r>
        <w:rPr>
          <w:i/>
          <w:lang w:val="en_US" w:bidi="en_US"/>
        </w:rPr>
        <w:t>Holy Spirit</w:t>
      </w:r>
      <w:r>
        <w:rPr>
          <w:lang w:val="en_US" w:bidi="en_US"/>
        </w:rPr>
        <w:t xml:space="preserve"> are:</w:t>
      </w:r>
    </w:p>
    <w:p>
      <w:pPr/>
      <w:r>
        <w:rPr>
          <w:lang w:val="en_US" w:bidi="en_US"/>
        </w:rPr>
      </w:r>
      <w:r>
        <w:rPr>
          <w:lang w:val="en_US" w:bidi="en_US"/>
        </w:rPr>
        <w:t>Spirit/Breath of God</w:t>
      </w:r>
    </w:p>
    <w:p>
      <w:pPr/>
      <w:r>
        <w:rPr>
          <w:lang w:val="en_US" w:bidi="en_US"/>
        </w:rPr>
      </w:r>
      <w:r>
        <w:rPr>
          <w:lang w:val="en_US" w:bidi="en_US"/>
        </w:rPr>
        <w:t>Holy/Sacred Spirit</w:t>
      </w:r>
    </w:p>
    <w:p>
      <w:pPr/>
      <w:r>
        <w:rPr>
          <w:lang w:val="en_US" w:bidi="en_US"/>
        </w:rPr>
      </w:r>
      <w:r>
        <w:rPr>
          <w:lang w:val="en_US" w:bidi="en_US"/>
        </w:rPr>
        <w:t xml:space="preserve">Do not imply that the </w:t>
      </w:r>
      <w:r>
        <w:rPr>
          <w:i/>
          <w:lang w:val="en_US" w:bidi="en_US"/>
        </w:rPr>
        <w:t>Holy Spirit</w:t>
      </w:r>
      <w:r>
        <w:rPr>
          <w:lang w:val="en_US" w:bidi="en_US"/>
        </w:rPr>
        <w:t xml:space="preserve"> is like the ghost of a dead person or that God has died.</w:t>
      </w:r>
    </w:p>
    <w:p>
      <w:pPr/>
      <w:r>
        <w:rPr>
          <w:lang w:val="en_US" w:bidi="en_US"/>
        </w:rPr>
      </w:r>
      <w:r>
        <w:rPr>
          <w:lang w:val="en_US" w:bidi="en_US"/>
        </w:rPr>
        <w:t>Translate this term consistently with the way you translated it in 10:21a.</w:t>
      </w:r>
    </w:p>
    <w:p>
      <w:pPr/>
      <w:r>
        <w:rPr>
          <w:lang w:val="en_US" w:bidi="en_US"/>
        </w:rPr>
      </w:r>
      <w:r>
        <w:rPr>
          <w:b/>
          <w:lang w:val="en_US" w:bidi="en_US"/>
        </w:rPr>
        <w:t>will not be forgiven:</w:t>
      </w:r>
      <w:r>
        <w:rPr>
          <w:lang w:val="en_US" w:bidi="en_US"/>
        </w:rPr>
        <w:t xml:space="preserve"> As in 12:10a, if you need to supply a subject, you should supply “God.” For example:</w:t>
      </w:r>
    </w:p>
    <w:p>
      <w:pPr/>
      <w:r>
        <w:rPr>
          <w:lang w:val="en_US" w:bidi="en_US"/>
        </w:rPr>
      </w:r>
      <w:r>
        <w:rPr>
          <w:lang w:val="en_US" w:bidi="en_US"/>
        </w:rPr>
        <w:t>God</w:t>
      </w:r>
      <w:r>
        <w:rPr>
          <w:lang w:val="en_US" w:bidi="en_US"/>
        </w:rPr>
        <w:t xml:space="preserve"> will not forgive </w:t>
      </w:r>
      <w:r>
        <w:rPr>
          <w:lang w:val="en_US" w:bidi="en_US"/>
        </w:rPr>
        <w:t>him/them</w:t>
      </w:r>
      <w:r>
        <w:rPr>
          <w:lang w:val="en_US" w:bidi="en_US"/>
        </w:rPr>
      </w:r>
      <w:r>
        <w:rPr>
          <w:lang w:val="en_US" w:bidi="en_US"/>
        </w:rPr>
      </w:r>
    </w:p>
    <w:p>
      <w:pPr/>
      <w:r>
        <w:rPr>
          <w:lang w:val="en_US" w:bidi="en_US"/>
        </w:rPr>
      </w:r>
    </w:p>
    <w:p>
      <w:pPr>
        <w:pStyle w:val="Heading2"/>
      </w:pPr>
      <w:r>
        <w:rPr>
          <w:lang w:val="en_US" w:bidi="en_US"/>
        </w:rPr>
        <w:t>Luke 12:11</w:t>
      </w:r>
      <w:r>
        <w:rPr>
          <w:lang w:val="en_US" w:bidi="en_US"/>
        </w:rPr>
      </w:r>
    </w:p>
    <w:p>
      <w:pPr>
        <w:pStyle w:val="Heading4"/>
      </w:pPr>
      <w:r>
        <w:rPr>
          <w:lang w:val="en_US" w:bidi="en_US"/>
        </w:rPr>
        <w:t>Section 12:1–12: Jesus warned and encouraged his disciples</w:t>
      </w:r>
    </w:p>
    <w:p>
      <w:pPr/>
      <w:r>
        <w:rPr>
          <w:lang w:val="en_US" w:bidi="en_US"/>
        </w:rPr>
      </w:r>
      <w:r>
        <w:rPr>
          <w:lang w:val="en_US" w:bidi="en_US"/>
        </w:rP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pPr/>
      <w:r>
        <w:rPr>
          <w:lang w:val="en_US" w:bidi="en_US"/>
        </w:rPr>
      </w:r>
      <w:r>
        <w:rPr>
          <w:lang w:val="en_US" w:bidi="en_US"/>
        </w:rPr>
        <w:t>It is good to translate this section before you decide on a heading for it. Another possible heading for this section is:</w:t>
      </w:r>
    </w:p>
    <w:p>
      <w:pPr/>
      <w:r>
        <w:rPr>
          <w:lang w:val="en_US" w:bidi="en_US"/>
        </w:rPr>
      </w:r>
      <w:r>
        <w:rPr>
          <w:lang w:val="en_US" w:bidi="en_US"/>
        </w:rPr>
        <w:t>Warnings and Encouragements (NIV)</w:t>
      </w:r>
    </w:p>
    <w:p>
      <w:pPr/>
      <w:r>
        <w:rPr>
          <w:lang w:val="en_US" w:bidi="en_US"/>
        </w:rPr>
      </w:r>
      <w:r>
        <w:rPr>
          <w:lang w:val="en_US" w:bidi="en_US"/>
        </w:rP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12:1–3</w:t>
            </w:r>
          </w:p>
        </w:tc>
        <w:tc>
          <w:tcPr>
            <w:tcW w:type="dxa" w:w="4680"/>
          </w:tcPr>
          <w:p>
            <w:pPr/>
            <w:r>
              <w:rPr>
                <w:lang w:val="en_US" w:bidi="en_US"/>
              </w:rPr>
            </w:r>
            <w:r>
              <w:rPr>
                <w:lang w:val="en_US" w:bidi="en_US"/>
              </w:rPr>
              <w:t xml:space="preserve">A Warning against Hypocrisy (GNT) </w:t>
            </w:r>
            <w:r>
              <w:rPr>
                <w:i/>
                <w:lang w:val="en_US" w:bidi="en_US"/>
              </w:rPr>
              <w:t>-or-</w:t>
            </w:r>
            <w:r>
              <w:rPr>
                <w:lang w:val="en_US" w:bidi="en_US"/>
              </w:rPr>
              <w:t xml:space="preserve"> Jesus warned his disciples not to be like the Pharisees</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10:26–27.)</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12:4–7</w:t>
            </w:r>
          </w:p>
        </w:tc>
        <w:tc>
          <w:tcPr>
            <w:tcW w:type="dxa" w:w="4680"/>
          </w:tcPr>
          <w:p>
            <w:pPr/>
            <w:r>
              <w:rPr>
                <w:lang w:val="en_US" w:bidi="en_US"/>
              </w:rPr>
            </w:r>
            <w:r>
              <w:rPr>
                <w:lang w:val="en_US" w:bidi="en_US"/>
              </w:rPr>
              <w:t xml:space="preserve">The One Whom People Should Fear </w:t>
            </w:r>
            <w:r>
              <w:rPr>
                <w:i/>
                <w:lang w:val="en_US" w:bidi="en_US"/>
              </w:rPr>
              <w:t>-or-</w:t>
            </w:r>
            <w:r>
              <w:rPr>
                <w:lang w:val="en_US" w:bidi="en_US"/>
              </w:rPr>
              <w:t xml:space="preserve"> Jesus told his disciples whom they should fear</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10:28–31.)</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12:8–12</w:t>
            </w:r>
          </w:p>
        </w:tc>
        <w:tc>
          <w:tcPr>
            <w:tcW w:type="dxa" w:w="4680"/>
          </w:tcPr>
          <w:p>
            <w:pPr/>
            <w:r>
              <w:rPr>
                <w:lang w:val="en_US" w:bidi="en_US"/>
              </w:rPr>
            </w:r>
            <w:r>
              <w:rPr>
                <w:lang w:val="en_US" w:bidi="en_US"/>
              </w:rPr>
              <w:t xml:space="preserve">Confessing and Rejecting Christ (GNT) </w:t>
            </w:r>
            <w:r>
              <w:rPr>
                <w:i/>
                <w:lang w:val="en_US" w:bidi="en_US"/>
              </w:rPr>
              <w:t>-or-</w:t>
            </w:r>
            <w:r>
              <w:rPr>
                <w:lang w:val="en_US" w:bidi="en_US"/>
              </w:rPr>
              <w:t xml:space="preserve"> Don’t Be Ashamed of Jesus (NCV)</w:t>
            </w:r>
          </w:p>
        </w:tc>
      </w:tr>
      <w:tr>
        <w:tc>
          <w:tcPr>
            <w:tcW w:type="dxa" w:w="4680"/>
          </w:tcPr>
          <w:p>
            <w:pPr/>
            <w:r>
              <w:rPr>
                <w:lang w:val="en_US" w:bidi="en_US"/>
              </w:rPr>
            </w:r>
          </w:p>
        </w:tc>
        <w:tc>
          <w:tcPr>
            <w:tcW w:type="dxa" w:w="4680"/>
          </w:tcPr>
          <w:p>
            <w:pPr/>
            <w:r>
              <w:rPr>
                <w:lang w:val="en_US" w:bidi="en_US"/>
              </w:rPr>
            </w:r>
            <w:r>
              <w:rPr>
                <w:lang w:val="en_US" w:bidi="en_US"/>
              </w:rPr>
              <w:t>(There are parallel passages for this section in Matthew 10:32–33, 12:32, 10:19–20.)</w:t>
            </w:r>
          </w:p>
        </w:tc>
      </w:tr>
    </w:tbl>
    <w:p>
      <w:pPr>
        <w:pStyle w:val="Heading5"/>
      </w:pPr>
      <w:r>
        <w:rPr>
          <w:lang w:val="en_US" w:bidi="en_US"/>
        </w:rPr>
        <w:t>12:11a</w:t>
      </w:r>
    </w:p>
    <w:p>
      <w:pPr/>
      <w:r>
        <w:rPr>
          <w:lang w:val="en_US" w:bidi="en_US"/>
        </w:rPr>
      </w:r>
      <w:r>
        <w:rPr>
          <w:b/>
          <w:lang w:val="en_US" w:bidi="en_US"/>
        </w:rPr>
        <w:t>When you are brought before synagogues, rulers, and authorities,</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are brought </w:t>
      </w:r>
      <w:r>
        <w:rPr>
          <w:lang w:val="en_US" w:bidi="en_US"/>
        </w:rPr>
        <w:t>to trial</w:t>
      </w:r>
      <w:r>
        <w:rPr>
          <w:lang w:val="en_US" w:bidi="en_US"/>
        </w:rPr>
        <w:t xml:space="preserve"> before </w:t>
      </w:r>
      <w:r>
        <w:rPr>
          <w:lang w:val="en_US" w:bidi="en_US"/>
        </w:rPr>
        <w:t>the leaders</w:t>
      </w:r>
      <w:r>
        <w:rPr>
          <w:lang w:val="en_US" w:bidi="en_US"/>
        </w:rPr>
        <w:t xml:space="preserve"> in the synagogue and before </w:t>
      </w:r>
      <w:r>
        <w:rPr>
          <w:lang w:val="en_US" w:bidi="en_US"/>
        </w:rPr>
        <w:t>other</w:t>
      </w:r>
      <w:r>
        <w:rPr>
          <w:lang w:val="en_US" w:bidi="en_US"/>
        </w:rPr>
        <w:t xml:space="preserve"> rulers/governors and authorities/officials,</w:t>
      </w:r>
    </w:p>
    <w:p>
      <w:pPr>
        <w:pStyle w:val="ListBullet"/>
        <w:spacing w:line="240" w:lineRule="auto"/>
        <w:ind w:left="720"/>
      </w:pPr>
      <w:r>
        <w:rPr>
          <w:lang w:val="en_US" w:bidi="en_US"/>
        </w:rPr>
      </w:r>
      <w:r>
        <w:rPr>
          <w:lang w:val="en_US" w:bidi="en_US"/>
        </w:rPr>
        <w:t xml:space="preserve">People will </w:t>
      </w:r>
      <w:r>
        <w:rPr>
          <w:lang w:val="en_US" w:bidi="en_US"/>
        </w:rPr>
        <w:t>arrest you</w:t>
      </w:r>
      <w:r>
        <w:rPr>
          <w:vertAlign w:val="superscript"/>
          <w:lang w:val="en_US" w:bidi="en_US"/>
        </w:rPr>
        <w:t>(plur)</w:t>
      </w:r>
      <w:r>
        <w:rPr>
          <w:lang w:val="en_US" w:bidi="en_US"/>
        </w:rPr>
        <w:t xml:space="preserve"> </w:t>
      </w:r>
      <w:r>
        <w:rPr>
          <w:lang w:val="en_US" w:bidi="en_US"/>
        </w:rPr>
        <w:t>and</w:t>
      </w:r>
      <w:r>
        <w:rPr>
          <w:lang w:val="en_US" w:bidi="en_US"/>
        </w:rPr>
        <w:t xml:space="preserve"> take you </w:t>
      </w:r>
      <w:r>
        <w:rPr>
          <w:lang w:val="en_US" w:bidi="en_US"/>
        </w:rPr>
        <w:t>to court. You will stand trial</w:t>
      </w:r>
      <w:r>
        <w:rPr>
          <w:lang w:val="en_US" w:bidi="en_US"/>
        </w:rPr>
        <w:t xml:space="preserve"> in Jewish meeting places and in other courts before government leaders.</w:t>
      </w:r>
    </w:p>
    <w:p>
      <w:pPr/>
      <w:r>
        <w:rPr>
          <w:lang w:val="en_US" w:bidi="en_US"/>
        </w:rPr>
      </w:r>
      <w:r>
        <w:rPr>
          <w:b/>
          <w:lang w:val="en_US" w:bidi="en_US"/>
        </w:rPr>
        <w:t>When you are brought before synagogues:</w:t>
      </w:r>
      <w:r>
        <w:rPr>
          <w:lang w:val="en_US" w:bidi="en_US"/>
        </w:rPr>
        <w:t xml:space="preserve"> The clause that the BSB translates as </w:t>
      </w:r>
      <w:r>
        <w:rPr>
          <w:i/>
          <w:lang w:val="en_US" w:bidi="en_US"/>
        </w:rPr>
        <w:t>When you are brought before synagogues</w:t>
      </w:r>
      <w:r>
        <w:rPr>
          <w:lang w:val="en_US" w:bidi="en_US"/>
        </w:rPr>
        <w:t xml:space="preserve"> contains implied information. It implies that people would arrest the disciples and take them to the synagogues, the local Jewish meeting places. There the Jewish leaders would ask them questions and decide whether they should be punished because they were loyal to Jesus. Jesus implied that the Jewish leaders would be hostile to the disciples because they were Jesus’ followers. In some languages it may be necessary to make some of this information explicit. For example:</w:t>
      </w:r>
    </w:p>
    <w:p>
      <w:pPr/>
      <w:r>
        <w:rPr>
          <w:lang w:val="en_US" w:bidi="en_US"/>
        </w:rPr>
      </w:r>
      <w:r>
        <w:rPr>
          <w:lang w:val="en_US" w:bidi="en_US"/>
        </w:rPr>
        <w:t xml:space="preserve">When you are brought </w:t>
      </w:r>
      <w:r>
        <w:rPr>
          <w:lang w:val="en_US" w:bidi="en_US"/>
        </w:rPr>
        <w:t>to trial</w:t>
      </w:r>
      <w:r>
        <w:rPr>
          <w:lang w:val="en_US" w:bidi="en_US"/>
        </w:rPr>
        <w:t xml:space="preserve"> in the synagogues</w:t>
      </w:r>
    </w:p>
    <w:p>
      <w:pPr/>
      <w:r>
        <w:rPr>
          <w:lang w:val="en_US" w:bidi="en_US"/>
        </w:rPr>
      </w:r>
      <w:r>
        <w:rPr>
          <w:lang w:val="en_US" w:bidi="en_US"/>
        </w:rPr>
        <w:t xml:space="preserve">When you are </w:t>
      </w:r>
      <w:r>
        <w:rPr>
          <w:lang w:val="en_US" w:bidi="en_US"/>
        </w:rPr>
        <w:t>arrested and tried</w:t>
      </w:r>
      <w:r>
        <w:rPr>
          <w:lang w:val="en_US" w:bidi="en_US"/>
        </w:rPr>
        <w:t xml:space="preserve"> in front of the synagogue </w:t>
      </w:r>
      <w:r>
        <w:rPr>
          <w:lang w:val="en_US" w:bidi="en_US"/>
        </w:rPr>
        <w:t>courts</w:t>
      </w:r>
    </w:p>
    <w:p>
      <w:pPr/>
      <w:r>
        <w:rPr>
          <w:lang w:val="en_US" w:bidi="en_US"/>
        </w:rPr>
      </w:r>
      <w:r>
        <w:rPr>
          <w:lang w:val="en_US" w:bidi="en_US"/>
        </w:rPr>
        <w:t xml:space="preserve">The Greek word that the BSB translates as </w:t>
      </w:r>
      <w:r>
        <w:rPr>
          <w:i/>
          <w:lang w:val="en_US" w:bidi="en_US"/>
        </w:rPr>
        <w:t>are brought</w:t>
      </w:r>
      <w:r>
        <w:rPr>
          <w:lang w:val="en_US" w:bidi="en_US"/>
        </w:rPr>
        <w:t xml:space="preserve"> is a passive verb. If it is more natural to use an active verb in your language, you should supply a general subject. For example:</w:t>
      </w:r>
    </w:p>
    <w:p>
      <w:pPr/>
      <w:r>
        <w:rPr>
          <w:lang w:val="en_US" w:bidi="en_US"/>
        </w:rPr>
      </w:r>
      <w:r>
        <w:rPr>
          <w:lang w:val="en_US" w:bidi="en_US"/>
        </w:rPr>
        <w:t xml:space="preserve">When </w:t>
      </w:r>
      <w:r>
        <w:rPr>
          <w:lang w:val="en_US" w:bidi="en_US"/>
        </w:rPr>
        <w:t>people/they</w:t>
      </w:r>
      <w:r>
        <w:rPr>
          <w:lang w:val="en_US" w:bidi="en_US"/>
        </w:rPr>
        <w:t xml:space="preserve"> </w:t>
      </w:r>
      <w:r>
        <w:rPr>
          <w:lang w:val="en_US" w:bidi="en_US"/>
        </w:rPr>
        <w:t>arrest you and accuse</w:t>
      </w:r>
      <w:r>
        <w:rPr>
          <w:lang w:val="en_US" w:bidi="en_US"/>
        </w:rPr>
        <w:t xml:space="preserve"> you in the synagogues</w:t>
      </w:r>
    </w:p>
    <w:p>
      <w:pPr/>
      <w:r>
        <w:rPr>
          <w:lang w:val="en_US" w:bidi="en_US"/>
        </w:rPr>
      </w:r>
      <w:r>
        <w:rPr>
          <w:b/>
          <w:lang w:val="en_US" w:bidi="en_US"/>
        </w:rPr>
        <w:t>synagogues:</w:t>
      </w:r>
      <w:r>
        <w:rPr>
          <w:lang w:val="en_US" w:bidi="en_US"/>
        </w:rPr>
        <w:t xml:space="preserve"> The term </w:t>
      </w:r>
      <w:r>
        <w:rPr>
          <w:i/>
          <w:lang w:val="en_US" w:bidi="en_US"/>
        </w:rPr>
        <w:t>synagogues</w:t>
      </w:r>
      <w:r>
        <w:rPr>
          <w:lang w:val="en_US" w:bidi="en_US"/>
        </w:rPr>
        <w:t xml:space="preserve"> describes buildings where Jews gathered to pray, read Scripture, teach their beliefs, and worship. The Jews also gathered there for cultural activities. There was only one temple (in Jerusalem), but each Jewish community had a synagogue. Some ways to translate </w:t>
      </w:r>
      <w:r>
        <w:rPr>
          <w:i/>
          <w:lang w:val="en_US" w:bidi="en_US"/>
        </w:rPr>
        <w:t>synagogues</w:t>
      </w:r>
      <w:r>
        <w:rPr>
          <w:lang w:val="en_US" w:bidi="en_US"/>
        </w:rPr>
        <w:t xml:space="preserve"> are:</w:t>
      </w:r>
    </w:p>
    <w:p>
      <w:pPr/>
      <w:r>
        <w:rPr>
          <w:lang w:val="en_US" w:bidi="en_US"/>
        </w:rPr>
      </w:r>
      <w:r>
        <w:rPr>
          <w:lang w:val="en_US" w:bidi="en_US"/>
        </w:rPr>
        <w:t xml:space="preserve">prayer-houses </w:t>
      </w:r>
      <w:r>
        <w:rPr>
          <w:lang w:val="en_US" w:bidi="en_US"/>
        </w:rPr>
        <w:t>of the Jews</w:t>
      </w:r>
    </w:p>
    <w:p>
      <w:pPr/>
      <w:r>
        <w:rPr>
          <w:lang w:val="en_US" w:bidi="en_US"/>
        </w:rPr>
      </w:r>
      <w:r>
        <w:rPr>
          <w:lang w:val="en_US" w:bidi="en_US"/>
        </w:rPr>
        <w:t xml:space="preserve">meeting-places </w:t>
      </w:r>
      <w:r>
        <w:rPr>
          <w:lang w:val="en_US" w:bidi="en_US"/>
        </w:rPr>
        <w:t>of the Jews</w:t>
      </w:r>
    </w:p>
    <w:p>
      <w:pPr/>
      <w:r>
        <w:rPr>
          <w:lang w:val="en_US" w:bidi="en_US"/>
        </w:rPr>
      </w:r>
      <w:r>
        <w:rPr>
          <w:lang w:val="en_US" w:bidi="en_US"/>
        </w:rPr>
        <w:t>worship buildings</w:t>
      </w:r>
    </w:p>
    <w:p>
      <w:pPr/>
      <w:r>
        <w:rPr>
          <w:lang w:val="en_US" w:bidi="en_US"/>
        </w:rPr>
      </w:r>
      <w:r>
        <w:rPr>
          <w:lang w:val="en_US" w:bidi="en_US"/>
        </w:rPr>
        <w:t>houses for gathering together</w:t>
      </w:r>
    </w:p>
    <w:p>
      <w:pPr/>
      <w:r>
        <w:rPr>
          <w:lang w:val="en_US" w:bidi="en_US"/>
        </w:rPr>
      </w:r>
      <w:r>
        <w:rPr>
          <w:lang w:val="en_US" w:bidi="en_US"/>
        </w:rPr>
        <w:t>If you make explicit a phrase such as “of the Jews,” be sure that it does not imply that Jesus was not a Jew.</w:t>
      </w:r>
    </w:p>
    <w:p>
      <w:pPr/>
      <w:r>
        <w:rPr>
          <w:lang w:val="en_US" w:bidi="en_US"/>
        </w:rPr>
      </w:r>
      <w:r>
        <w:rPr>
          <w:lang w:val="en_US" w:bidi="en_US"/>
        </w:rPr>
        <w:t xml:space="preserve">If the word </w:t>
      </w:r>
      <w:r>
        <w:rPr>
          <w:i/>
          <w:lang w:val="en_US" w:bidi="en_US"/>
        </w:rPr>
        <w:t>synagogue</w:t>
      </w:r>
      <w:r>
        <w:rPr>
          <w:lang w:val="en_US" w:bidi="en_US"/>
        </w:rPr>
        <w:t xml:space="preserve"> is already known in your area, you may write it according to the sounds of your language. You may want to include a word or phrase to explain the meaning. For example:</w:t>
      </w:r>
    </w:p>
    <w:p>
      <w:pPr/>
      <w:r>
        <w:rPr>
          <w:lang w:val="en_US" w:bidi="en_US"/>
        </w:rPr>
      </w:r>
      <w:r>
        <w:rPr>
          <w:lang w:val="en_US" w:bidi="en_US"/>
        </w:rPr>
        <w:t>sinagog house/building</w:t>
      </w:r>
    </w:p>
    <w:p>
      <w:pPr/>
      <w:r>
        <w:rPr>
          <w:lang w:val="en_US" w:bidi="en_US"/>
        </w:rPr>
      </w:r>
      <w:r>
        <w:rPr>
          <w:lang w:val="en_US" w:bidi="en_US"/>
        </w:rPr>
        <w:t xml:space="preserve">The word </w:t>
      </w:r>
      <w:r>
        <w:rPr>
          <w:i/>
          <w:lang w:val="en_US" w:bidi="en_US"/>
        </w:rPr>
        <w:t>synagogues</w:t>
      </w:r>
      <w:r>
        <w:rPr>
          <w:lang w:val="en_US" w:bidi="en_US"/>
        </w:rPr>
        <w:t xml:space="preserve"> also occurs in 11:43b. See synagogue in the Glossary.</w:t>
      </w:r>
    </w:p>
    <w:p>
      <w:pPr/>
      <w:r>
        <w:rPr>
          <w:lang w:val="en_US" w:bidi="en_US"/>
        </w:rPr>
      </w:r>
      <w:r>
        <w:rPr>
          <w:b/>
          <w:lang w:val="en_US" w:bidi="en_US"/>
        </w:rPr>
        <w:t>rulers, and authorities:</w:t>
      </w:r>
      <w:r>
        <w:rPr>
          <w:lang w:val="en_US" w:bidi="en_US"/>
        </w:rPr>
        <w:t xml:space="preserve"> The phrase </w:t>
      </w:r>
      <w:r>
        <w:rPr>
          <w:i/>
          <w:lang w:val="en_US" w:bidi="en_US"/>
        </w:rPr>
        <w:t>rulers, and authorities</w:t>
      </w:r>
      <w:r>
        <w:rPr>
          <w:lang w:val="en_US" w:bidi="en_US"/>
        </w:rPr>
        <w:t xml:space="preserve"> refers to all kinds of government leaders, both Jews and Gentiles, who ruled people and also acted as judges. For example:</w:t>
      </w:r>
    </w:p>
    <w:p>
      <w:pPr/>
      <w:r>
        <w:rPr>
          <w:lang w:val="en_US" w:bidi="en_US"/>
        </w:rPr>
      </w:r>
      <w:r>
        <w:rPr>
          <w:lang w:val="en_US" w:bidi="en_US"/>
        </w:rPr>
        <w:t>governors or rulers (GNT)</w:t>
      </w:r>
    </w:p>
    <w:p>
      <w:pPr/>
      <w:r>
        <w:rPr>
          <w:lang w:val="en_US" w:bidi="en_US"/>
        </w:rPr>
      </w:r>
      <w:r>
        <w:rPr>
          <w:lang w:val="en_US" w:bidi="en_US"/>
        </w:rPr>
        <w:t>the leaders and other powerful people (NCV)</w:t>
      </w:r>
    </w:p>
    <w:p>
      <w:pPr/>
      <w:r>
        <w:rPr>
          <w:lang w:val="en_US" w:bidi="en_US"/>
        </w:rPr>
      </w:r>
      <w:r>
        <w:rPr>
          <w:lang w:val="en_US" w:bidi="en_US"/>
        </w:rPr>
        <w:t>Use one or more terms in your language that would allow for a variety of civil rulers.</w:t>
      </w:r>
    </w:p>
    <w:p>
      <w:pPr>
        <w:pStyle w:val="Heading5"/>
      </w:pPr>
      <w:r>
        <w:rPr>
          <w:lang w:val="en_US" w:bidi="en_US"/>
        </w:rPr>
        <w:t>12:11b</w:t>
      </w:r>
    </w:p>
    <w:p>
      <w:pPr/>
      <w:r>
        <w:rPr>
          <w:lang w:val="en_US" w:bidi="en_US"/>
        </w:rPr>
      </w:r>
      <w:r>
        <w:rPr>
          <w:b/>
          <w:lang w:val="en_US" w:bidi="en_US"/>
        </w:rPr>
        <w:t>do not worry about how to defend yourselves or what to say.</w:t>
      </w:r>
    </w:p>
    <w:p>
      <w:pPr>
        <w:pStyle w:val="ListBullet"/>
        <w:spacing w:line="240" w:lineRule="auto"/>
        <w:ind w:left="720"/>
      </w:pPr>
      <w:r>
        <w:rPr>
          <w:lang w:val="en_US" w:bidi="en_US"/>
        </w:rPr>
      </w:r>
      <w:r>
        <w:rPr>
          <w:lang w:val="en_US" w:bidi="en_US"/>
        </w:rPr>
        <w:t>do not be anxious about what you</w:t>
      </w:r>
      <w:r>
        <w:rPr>
          <w:vertAlign w:val="superscript"/>
          <w:lang w:val="en_US" w:bidi="en_US"/>
        </w:rPr>
        <w:t>(plur)</w:t>
      </w:r>
      <w:r>
        <w:rPr>
          <w:lang w:val="en_US" w:bidi="en_US"/>
        </w:rPr>
        <w:t xml:space="preserve"> will say in your own defense,</w:t>
      </w:r>
    </w:p>
    <w:p>
      <w:pPr>
        <w:pStyle w:val="ListBullet"/>
        <w:spacing w:line="240" w:lineRule="auto"/>
        <w:ind w:left="720"/>
      </w:pPr>
      <w:r>
        <w:rPr>
          <w:lang w:val="en_US" w:bidi="en_US"/>
        </w:rPr>
      </w:r>
      <w:r>
        <w:rPr>
          <w:lang w:val="en_US" w:bidi="en_US"/>
        </w:rPr>
        <w:t>But do not worry about what you</w:t>
      </w:r>
      <w:r>
        <w:rPr>
          <w:vertAlign w:val="superscript"/>
          <w:lang w:val="en_US" w:bidi="en_US"/>
        </w:rPr>
        <w:t>(plur)</w:t>
      </w:r>
      <w:r>
        <w:rPr>
          <w:lang w:val="en_US" w:bidi="en_US"/>
        </w:rPr>
        <w:t xml:space="preserve"> will say </w:t>
      </w:r>
      <w:r>
        <w:rPr>
          <w:lang w:val="en_US" w:bidi="en_US"/>
        </w:rPr>
        <w:t>when someone asks you</w:t>
      </w:r>
      <w:r>
        <w:rPr>
          <w:lang w:val="en_US" w:bidi="en_US"/>
        </w:rPr>
        <w:t xml:space="preserve"> to answer the accusation/charges against you,</w:t>
      </w:r>
    </w:p>
    <w:p>
      <w:pPr/>
      <w:r>
        <w:rPr>
          <w:lang w:val="en_US" w:bidi="en_US"/>
        </w:rPr>
      </w:r>
      <w:r>
        <w:rPr>
          <w:b/>
          <w:lang w:val="en_US" w:bidi="en_US"/>
        </w:rPr>
        <w:t>do not worry about:</w:t>
      </w:r>
      <w:r>
        <w:rPr>
          <w:lang w:val="en_US" w:bidi="en_US"/>
        </w:rPr>
        <w:t xml:space="preserve"> The Greek verb that the BSB translates as </w:t>
      </w:r>
      <w:r>
        <w:rPr>
          <w:i/>
          <w:lang w:val="en_US" w:bidi="en_US"/>
        </w:rPr>
        <w:t>worry</w:t>
      </w:r>
      <w:r>
        <w:rPr>
          <w:lang w:val="en_US" w:bidi="en_US"/>
        </w:rPr>
        <w:t xml:space="preserve"> means to be anxious or concerned about something. Jesus told his disciples not to be anxious about what they should say when they were accused.</w:t>
      </w:r>
    </w:p>
    <w:p>
      <w:pPr/>
      <w:r>
        <w:rPr>
          <w:lang w:val="en_US" w:bidi="en_US"/>
        </w:rPr>
      </w:r>
      <w:r>
        <w:rPr>
          <w:b/>
          <w:lang w:val="en_US" w:bidi="en_US"/>
        </w:rPr>
        <w:t>how to defend yourselves or what to say:</w:t>
      </w:r>
      <w:r>
        <w:rPr>
          <w:lang w:val="en_US" w:bidi="en_US"/>
        </w:rPr>
        <w:t xml:space="preserve"> The two clauses </w:t>
      </w:r>
      <w:r>
        <w:rPr>
          <w:i/>
          <w:lang w:val="en_US" w:bidi="en_US"/>
        </w:rPr>
        <w:t>how to defend yourselves</w:t>
      </w:r>
      <w:r>
        <w:rPr>
          <w:lang w:val="en_US" w:bidi="en_US"/>
        </w:rPr>
        <w:t xml:space="preserve"> and </w:t>
      </w:r>
      <w:r>
        <w:rPr>
          <w:i/>
          <w:lang w:val="en_US" w:bidi="en_US"/>
        </w:rPr>
        <w:t>what to say</w:t>
      </w:r>
      <w:r>
        <w:rPr>
          <w:lang w:val="en_US" w:bidi="en_US"/>
        </w:rPr>
        <w:t xml:space="preserve"> both refer to what the disciples will say when they are accused in court. The first phrase refers in general to the method or type of defense that the disciples will use to answer the accusations against them. The second phrase refers more specifically to what the disciples will say.</w:t>
      </w:r>
    </w:p>
    <w:p>
      <w:pPr/>
      <w:r>
        <w:rPr>
          <w:lang w:val="en_US" w:bidi="en_US"/>
        </w:rPr>
      </w:r>
      <w:r>
        <w:rPr>
          <w:lang w:val="en_US" w:bidi="en_US"/>
        </w:rPr>
        <w:t>Some ways to translate these similar ideas are:</w:t>
      </w:r>
    </w:p>
    <w:p>
      <w:pPr>
        <w:pStyle w:val="ListBullet"/>
        <w:spacing w:line="240" w:lineRule="auto"/>
        <w:ind w:left="720"/>
      </w:pPr>
      <w:r>
        <w:rPr>
          <w:lang w:val="en_US" w:bidi="en_US"/>
        </w:rPr>
      </w:r>
      <w:r>
        <w:rPr>
          <w:lang w:val="en_US" w:bidi="en_US"/>
        </w:rPr>
        <w:t>Use two separate clauses or phrases, as the BSB does. For example:</w:t>
      </w:r>
      <w:r>
        <w:rPr>
          <w:lang w:val="en_US" w:bidi="en_US"/>
        </w:rPr>
        <w:t>the way you will answer and what you will say</w:t>
      </w:r>
      <w:r>
        <w:rPr>
          <w:lang w:val="en_US" w:bidi="en_US"/>
        </w:rPr>
        <w:t>how you will answer the accusations against you and what you will say</w:t>
      </w:r>
    </w:p>
    <w:p>
      <w:pPr>
        <w:pStyle w:val="ListBullet"/>
        <w:spacing w:line="240" w:lineRule="auto"/>
        <w:ind w:left="720"/>
      </w:pPr>
      <w:r>
        <w:rPr>
          <w:lang w:val="en_US" w:bidi="en_US"/>
        </w:rPr>
      </w:r>
      <w:r>
        <w:rPr>
          <w:lang w:val="en_US" w:bidi="en_US"/>
        </w:rPr>
        <w:t>Combine the ideas in one clause or phrase. For example:</w:t>
      </w:r>
      <w:r>
        <w:rPr>
          <w:lang w:val="en_US" w:bidi="en_US"/>
        </w:rPr>
        <w:t>what to say in your defense (NLT96)</w:t>
      </w:r>
    </w:p>
    <w:p>
      <w:pPr/>
      <w:r>
        <w:rPr>
          <w:lang w:val="en_US" w:bidi="en_US"/>
        </w:rPr>
      </w:r>
      <w:r>
        <w:rPr>
          <w:lang w:val="en_US" w:bidi="en_US"/>
        </w:rPr>
        <w:t>Translate these ideas in a way that is natural in your language.</w:t>
      </w:r>
      <w:r>
        <w:rPr>
          <w:lang w:val="en_US" w:bidi="en_US"/>
        </w:rPr>
      </w:r>
      <w:r>
        <w:rPr>
          <w:lang w:val="en_US" w:bidi="en_US"/>
        </w:rPr>
      </w:r>
    </w:p>
    <w:p>
      <w:pPr/>
      <w:r>
        <w:rPr>
          <w:lang w:val="en_US" w:bidi="en_US"/>
        </w:rPr>
      </w:r>
    </w:p>
    <w:p>
      <w:pPr>
        <w:pStyle w:val="Heading2"/>
      </w:pPr>
      <w:r>
        <w:rPr>
          <w:lang w:val="en_US" w:bidi="en_US"/>
        </w:rPr>
        <w:t>Luke 12:12</w:t>
      </w:r>
      <w:r>
        <w:rPr>
          <w:lang w:val="en_US" w:bidi="en_US"/>
        </w:rPr>
      </w:r>
    </w:p>
    <w:p>
      <w:pPr>
        <w:pStyle w:val="Heading4"/>
      </w:pPr>
      <w:r>
        <w:rPr>
          <w:lang w:val="en_US" w:bidi="en_US"/>
        </w:rPr>
        <w:t>Section 12:1–12: Jesus warned and encouraged his disciples</w:t>
      </w:r>
    </w:p>
    <w:p>
      <w:pPr/>
      <w:r>
        <w:rPr>
          <w:lang w:val="en_US" w:bidi="en_US"/>
        </w:rPr>
      </w:r>
      <w:r>
        <w:rPr>
          <w:lang w:val="en_US" w:bidi="en_US"/>
        </w:rPr>
        <w:t>In the previous section, Jesus criticized the Pharisees and teachers of the law. They responded by being hostile to him. Here in Section 12:1–12 a large crowd gathered around Jesus and his disciples. Jesus spoke first to his disciples. He warned them that they must not be hypocrites like the Pharisees. His disciples should not be afraid to declare that they were loyal to him. They should not fear people, but they should fear and respect God, and they should never insult the Holy Spirit. Jesus encouraged them to remember that they were valuable to God. He assured them that the Holy Spirit would help them when people persecuted them.</w:t>
      </w:r>
    </w:p>
    <w:p>
      <w:pPr/>
      <w:r>
        <w:rPr>
          <w:lang w:val="en_US" w:bidi="en_US"/>
        </w:rPr>
      </w:r>
      <w:r>
        <w:rPr>
          <w:lang w:val="en_US" w:bidi="en_US"/>
        </w:rPr>
        <w:t>It is good to translate this section before you decide on a heading for it. Another possible heading for this section is:</w:t>
      </w:r>
    </w:p>
    <w:p>
      <w:pPr/>
      <w:r>
        <w:rPr>
          <w:lang w:val="en_US" w:bidi="en_US"/>
        </w:rPr>
      </w:r>
      <w:r>
        <w:rPr>
          <w:lang w:val="en_US" w:bidi="en_US"/>
        </w:rPr>
        <w:t>Warnings and Encouragements (NIV)</w:t>
      </w:r>
    </w:p>
    <w:p>
      <w:pPr/>
      <w:r>
        <w:rPr>
          <w:lang w:val="en_US" w:bidi="en_US"/>
        </w:rPr>
      </w:r>
      <w:r>
        <w:rPr>
          <w:lang w:val="en_US" w:bidi="en_US"/>
        </w:rPr>
        <w:t>Some versions have divided this section into three shorter sections. Each section has one or more parallel passages. If you choose to divide this section, here are some examples of headings that you can use.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12:1–3</w:t>
            </w:r>
          </w:p>
        </w:tc>
        <w:tc>
          <w:tcPr>
            <w:tcW w:type="dxa" w:w="4680"/>
          </w:tcPr>
          <w:p>
            <w:pPr/>
            <w:r>
              <w:rPr>
                <w:lang w:val="en_US" w:bidi="en_US"/>
              </w:rPr>
            </w:r>
            <w:r>
              <w:rPr>
                <w:lang w:val="en_US" w:bidi="en_US"/>
              </w:rPr>
              <w:t xml:space="preserve">A Warning against Hypocrisy (GNT) </w:t>
            </w:r>
            <w:r>
              <w:rPr>
                <w:i/>
                <w:lang w:val="en_US" w:bidi="en_US"/>
              </w:rPr>
              <w:t>-or-</w:t>
            </w:r>
            <w:r>
              <w:rPr>
                <w:lang w:val="en_US" w:bidi="en_US"/>
              </w:rPr>
              <w:t xml:space="preserve"> Jesus warned his disciples not to be like the Pharisees</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10:26–27.)</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12:4–7</w:t>
            </w:r>
          </w:p>
        </w:tc>
        <w:tc>
          <w:tcPr>
            <w:tcW w:type="dxa" w:w="4680"/>
          </w:tcPr>
          <w:p>
            <w:pPr/>
            <w:r>
              <w:rPr>
                <w:lang w:val="en_US" w:bidi="en_US"/>
              </w:rPr>
            </w:r>
            <w:r>
              <w:rPr>
                <w:lang w:val="en_US" w:bidi="en_US"/>
              </w:rPr>
              <w:t xml:space="preserve">The One Whom People Should Fear </w:t>
            </w:r>
            <w:r>
              <w:rPr>
                <w:i/>
                <w:lang w:val="en_US" w:bidi="en_US"/>
              </w:rPr>
              <w:t>-or-</w:t>
            </w:r>
            <w:r>
              <w:rPr>
                <w:lang w:val="en_US" w:bidi="en_US"/>
              </w:rPr>
              <w:t xml:space="preserve"> Jesus told his disciples whom they should fear</w:t>
            </w:r>
          </w:p>
        </w:tc>
      </w:tr>
      <w:tr>
        <w:tc>
          <w:tcPr>
            <w:tcW w:type="dxa" w:w="4680"/>
          </w:tcPr>
          <w:p>
            <w:pPr/>
            <w:r>
              <w:rPr>
                <w:lang w:val="en_US" w:bidi="en_US"/>
              </w:rPr>
            </w:r>
          </w:p>
        </w:tc>
        <w:tc>
          <w:tcPr>
            <w:tcW w:type="dxa" w:w="4680"/>
          </w:tcPr>
          <w:p>
            <w:pPr/>
            <w:r>
              <w:rPr>
                <w:lang w:val="en_US" w:bidi="en_US"/>
              </w:rPr>
            </w:r>
            <w:r>
              <w:rPr>
                <w:lang w:val="en_US" w:bidi="en_US"/>
              </w:rPr>
              <w:t>(There is a parallel passage for this section in Matthew 10:28–31.)</w:t>
            </w:r>
          </w:p>
        </w:tc>
      </w:tr>
      <w:tr>
        <w:tc>
          <w:tcPr>
            <w:tcW w:type="dxa" w:w="4680"/>
          </w:tcPr>
          <w:p>
            <w:pPr/>
            <w:r>
              <w:rPr>
                <w:lang w:val="en_US" w:bidi="en_US"/>
              </w:rPr>
            </w:r>
          </w:p>
        </w:tc>
        <w:tc>
          <w:tcPr>
            <w:tcW w:type="dxa" w:w="4680"/>
          </w:tcPr>
          <w:p>
            <w:pPr/>
            <w:r>
              <w:rPr>
                <w:lang w:val="en_US" w:bidi="en_US"/>
              </w:rPr>
            </w:r>
          </w:p>
        </w:tc>
      </w:tr>
      <w:tr>
        <w:tc>
          <w:tcPr>
            <w:tcW w:type="dxa" w:w="4680"/>
          </w:tcPr>
          <w:p>
            <w:pPr/>
            <w:r>
              <w:rPr>
                <w:lang w:val="en_US" w:bidi="en_US"/>
              </w:rPr>
            </w:r>
            <w:r>
              <w:rPr>
                <w:lang w:val="en_US" w:bidi="en_US"/>
              </w:rPr>
              <w:t>12:8–12</w:t>
            </w:r>
          </w:p>
        </w:tc>
        <w:tc>
          <w:tcPr>
            <w:tcW w:type="dxa" w:w="4680"/>
          </w:tcPr>
          <w:p>
            <w:pPr/>
            <w:r>
              <w:rPr>
                <w:lang w:val="en_US" w:bidi="en_US"/>
              </w:rPr>
            </w:r>
            <w:r>
              <w:rPr>
                <w:lang w:val="en_US" w:bidi="en_US"/>
              </w:rPr>
              <w:t xml:space="preserve">Confessing and Rejecting Christ (GNT) </w:t>
            </w:r>
            <w:r>
              <w:rPr>
                <w:i/>
                <w:lang w:val="en_US" w:bidi="en_US"/>
              </w:rPr>
              <w:t>-or-</w:t>
            </w:r>
            <w:r>
              <w:rPr>
                <w:lang w:val="en_US" w:bidi="en_US"/>
              </w:rPr>
              <w:t xml:space="preserve"> Don’t Be Ashamed of Jesus (NCV)</w:t>
            </w:r>
          </w:p>
        </w:tc>
      </w:tr>
      <w:tr>
        <w:tc>
          <w:tcPr>
            <w:tcW w:type="dxa" w:w="4680"/>
          </w:tcPr>
          <w:p>
            <w:pPr/>
            <w:r>
              <w:rPr>
                <w:lang w:val="en_US" w:bidi="en_US"/>
              </w:rPr>
            </w:r>
          </w:p>
        </w:tc>
        <w:tc>
          <w:tcPr>
            <w:tcW w:type="dxa" w:w="4680"/>
          </w:tcPr>
          <w:p>
            <w:pPr/>
            <w:r>
              <w:rPr>
                <w:lang w:val="en_US" w:bidi="en_US"/>
              </w:rPr>
            </w:r>
            <w:r>
              <w:rPr>
                <w:lang w:val="en_US" w:bidi="en_US"/>
              </w:rPr>
              <w:t>(There are parallel passages for this section in Matthew 10:32–33, 12:32, 10:19–20.)</w:t>
            </w:r>
          </w:p>
        </w:tc>
      </w:tr>
    </w:tbl>
    <w:p>
      <w:pPr>
        <w:pStyle w:val="Heading5"/>
      </w:pPr>
      <w:r>
        <w:rPr>
          <w:lang w:val="en_US" w:bidi="en_US"/>
        </w:rPr>
        <w:t>12:12</w:t>
      </w:r>
    </w:p>
    <w:p>
      <w:pPr/>
      <w:r>
        <w:rPr>
          <w:lang w:val="en_US" w:bidi="en_US"/>
        </w:rPr>
      </w:r>
      <w:r>
        <w:rPr>
          <w:b/>
          <w:lang w:val="en_US" w:bidi="en_US"/>
        </w:rPr>
        <w:t>For at that time the Holy Spirit will teach you what you should say.”</w:t>
      </w:r>
    </w:p>
    <w:p>
      <w:pPr>
        <w:pStyle w:val="ListBullet"/>
        <w:spacing w:line="240" w:lineRule="auto"/>
        <w:ind w:left="720"/>
      </w:pPr>
      <w:r>
        <w:rPr>
          <w:lang w:val="en_US" w:bidi="en_US"/>
        </w:rPr>
      </w:r>
      <w:r>
        <w:rPr>
          <w:lang w:val="en_US" w:bidi="en_US"/>
        </w:rPr>
        <w:t xml:space="preserve">because </w:t>
      </w:r>
      <w:r>
        <w:rPr>
          <w:lang w:val="en_US" w:bidi="en_US"/>
        </w:rPr>
        <w:t>when you are in court,</w:t>
      </w:r>
      <w:r>
        <w:rPr>
          <w:lang w:val="en_US" w:bidi="en_US"/>
        </w:rPr>
        <w:t xml:space="preserve"> the Spirit of God will show you</w:t>
      </w:r>
      <w:r>
        <w:rPr>
          <w:vertAlign w:val="superscript"/>
          <w:lang w:val="en_US" w:bidi="en_US"/>
        </w:rPr>
        <w:t>(plur)</w:t>
      </w:r>
      <w:r>
        <w:rPr>
          <w:lang w:val="en_US" w:bidi="en_US"/>
        </w:rPr>
        <w:t xml:space="preserve"> what you need to say.”</w:t>
      </w:r>
    </w:p>
    <w:p>
      <w:pPr>
        <w:pStyle w:val="ListBullet"/>
        <w:spacing w:line="240" w:lineRule="auto"/>
        <w:ind w:left="720"/>
      </w:pPr>
      <w:r>
        <w:rPr>
          <w:lang w:val="en_US" w:bidi="en_US"/>
        </w:rPr>
      </w:r>
      <w:r>
        <w:rPr>
          <w:lang w:val="en_US" w:bidi="en_US"/>
        </w:rPr>
        <w:t>for at that very time the Holy Spirit will guide you</w:t>
      </w:r>
      <w:r>
        <w:rPr>
          <w:vertAlign w:val="superscript"/>
          <w:lang w:val="en_US" w:bidi="en_US"/>
        </w:rPr>
        <w:t>(plur)</w:t>
      </w:r>
      <w:r>
        <w:rPr>
          <w:lang w:val="en_US" w:bidi="en_US"/>
        </w:rPr>
        <w:t xml:space="preserve"> to say what is right/appropriate.”</w:t>
      </w:r>
    </w:p>
    <w:p>
      <w:pPr>
        <w:pStyle w:val="ListBullet"/>
        <w:spacing w:line="240" w:lineRule="auto"/>
        <w:ind w:left="720"/>
      </w:pPr>
      <w:r>
        <w:rPr>
          <w:lang w:val="en_US" w:bidi="en_US"/>
        </w:rPr>
      </w:r>
      <w:r>
        <w:rPr>
          <w:lang w:val="en_US" w:bidi="en_US"/>
        </w:rPr>
        <w:t>for right at that time the Holy Spirit will cause you</w:t>
      </w:r>
      <w:r>
        <w:rPr>
          <w:vertAlign w:val="superscript"/>
          <w:lang w:val="en_US" w:bidi="en_US"/>
        </w:rPr>
        <w:t>(plur)</w:t>
      </w:r>
      <w:r>
        <w:rPr>
          <w:lang w:val="en_US" w:bidi="en_US"/>
        </w:rPr>
        <w:t xml:space="preserve"> to know how God wants you to respond.”</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why the disciples should not worry about their defense (12:11b). They should not worry because the Holy Spirit will help them know what to say. Express this connection in a natural way in your language.</w:t>
      </w:r>
    </w:p>
    <w:p>
      <w:pPr/>
      <w:r>
        <w:rPr>
          <w:lang w:val="en_US" w:bidi="en_US"/>
        </w:rPr>
      </w:r>
      <w:r>
        <w:rPr>
          <w:b/>
          <w:lang w:val="en_US" w:bidi="en_US"/>
        </w:rPr>
        <w:t>at that time the Holy Spirit will teach you what you should say:</w:t>
      </w:r>
      <w:r>
        <w:rPr>
          <w:lang w:val="en_US" w:bidi="en_US"/>
        </w:rPr>
        <w:t xml:space="preserve"> This clause indicates that when Jesus’ disciples were at the court, the Holy Spirit would cause them to know what they should say. Most English versions have translated the verb literally as “teach.”</w:t>
      </w:r>
    </w:p>
    <w:p>
      <w:pPr/>
      <w:r>
        <w:rPr>
          <w:lang w:val="en_US" w:bidi="en_US"/>
        </w:rPr>
      </w:r>
      <w:r>
        <w:rPr>
          <w:b/>
          <w:lang w:val="en_US" w:bidi="en_US"/>
        </w:rPr>
        <w:t>at that time:</w:t>
      </w:r>
      <w:r>
        <w:rPr>
          <w:lang w:val="en_US" w:bidi="en_US"/>
        </w:rPr>
        <w:t xml:space="preserve"> The phrase </w:t>
      </w:r>
      <w:r>
        <w:rPr>
          <w:i/>
          <w:lang w:val="en_US" w:bidi="en_US"/>
        </w:rPr>
        <w:t>at that time</w:t>
      </w:r>
      <w:r>
        <w:rPr>
          <w:lang w:val="en_US" w:bidi="en_US"/>
        </w:rPr>
        <w:t xml:space="preserve"> refers to the time when the disciples needed to speak in court.</w:t>
      </w:r>
    </w:p>
    <w:p>
      <w:pPr/>
      <w:r>
        <w:rPr>
          <w:lang w:val="en_US" w:bidi="en_US"/>
        </w:rPr>
      </w:r>
      <w:r>
        <w:rPr>
          <w:b/>
          <w:lang w:val="en_US" w:bidi="en_US"/>
        </w:rPr>
        <w:t>what you should say:</w:t>
      </w:r>
      <w:r>
        <w:rPr>
          <w:lang w:val="en_US" w:bidi="en_US"/>
        </w:rPr>
        <w:t xml:space="preserve"> The clause that the BSB translates as </w:t>
      </w:r>
      <w:r>
        <w:rPr>
          <w:i/>
          <w:lang w:val="en_US" w:bidi="en_US"/>
        </w:rPr>
        <w:t>what you should say</w:t>
      </w:r>
      <w:r>
        <w:rPr>
          <w:lang w:val="en_US" w:bidi="en_US"/>
        </w:rPr>
        <w:t xml:space="preserve"> refers to what was necessary or right for the disciples to say to the people in the court. Some other ways to translate this phrase are:</w:t>
      </w:r>
    </w:p>
    <w:p>
      <w:pPr/>
      <w:r>
        <w:rPr>
          <w:lang w:val="en_US" w:bidi="en_US"/>
        </w:rPr>
      </w:r>
      <w:r>
        <w:rPr>
          <w:lang w:val="en_US" w:bidi="en_US"/>
        </w:rPr>
        <w:t>what you must say (NCV)</w:t>
      </w:r>
    </w:p>
    <w:p>
      <w:pPr/>
      <w:r>
        <w:rPr>
          <w:lang w:val="en_US" w:bidi="en_US"/>
        </w:rPr>
      </w:r>
      <w:r>
        <w:rPr>
          <w:lang w:val="en_US" w:bidi="en_US"/>
        </w:rPr>
        <w:t>what is the right thing for you to say (JBP)</w:t>
      </w:r>
    </w:p>
    <w:p>
      <w:pPr/>
      <w:r>
        <w:rPr>
          <w:lang w:val="en_US" w:bidi="en_US"/>
        </w:rPr>
      </w:r>
      <w:r>
        <w:rPr>
          <w:lang w:val="en_US" w:bidi="en_US"/>
        </w:rPr>
        <w:t>the best way to respond</w:t>
      </w:r>
      <w:r>
        <w:rPr>
          <w:lang w:val="en_US" w:bidi="en_US"/>
        </w:rPr>
      </w:r>
      <w:r>
        <w:rPr>
          <w:lang w:val="en_US" w:bidi="en_US"/>
        </w:rPr>
      </w:r>
    </w:p>
    <w:p>
      <w:pPr/>
      <w:r>
        <w:rPr>
          <w:lang w:val="en_US" w:bidi="en_US"/>
        </w:rPr>
      </w:r>
    </w:p>
    <w:p>
      <w:pPr>
        <w:pStyle w:val="Heading2"/>
      </w:pPr>
      <w:r>
        <w:rPr>
          <w:lang w:val="en_US" w:bidi="en_US"/>
        </w:rPr>
        <w:t>Luke 12:13</w:t>
      </w:r>
      <w:r>
        <w:rPr>
          <w:lang w:val="en_US" w:bidi="en_US"/>
        </w:rPr>
      </w:r>
    </w:p>
    <w:p>
      <w:pPr>
        <w:pStyle w:val="Heading4"/>
      </w:pPr>
      <w:r>
        <w:rPr>
          <w:lang w:val="en_US" w:bidi="en_US"/>
        </w:rPr>
        <w:t>Section 12:13–21: Jesus warned the people not to be greedy</w:t>
      </w:r>
    </w:p>
    <w:p>
      <w:pPr/>
      <w:r>
        <w:rPr>
          <w:lang w:val="en_US" w:bidi="en_US"/>
        </w:rPr>
      </w:r>
      <w:r>
        <w:rPr>
          <w:lang w:val="en_US" w:bidi="en_US"/>
        </w:rPr>
        <w:t>In the previous section Jesus was speaking to his disciples. In this section a man in the crowd interrupted and asked Jesus to settle a quarrel between him and his brother about an inheritance. Jesus used this situation as an opportunity to warn the crowd about being greedy and selfish. He told them a parable about a rich man who kept all his riches for himself. God called him a fool and judged him for it.</w:t>
      </w:r>
    </w:p>
    <w:p>
      <w:pPr/>
      <w:r>
        <w:rPr>
          <w:lang w:val="en_US" w:bidi="en_US"/>
        </w:rPr>
      </w:r>
      <w:r>
        <w:rPr>
          <w:lang w:val="en_US" w:bidi="en_US"/>
        </w:rPr>
        <w:t>Some other possible headings for this section are:</w:t>
      </w:r>
    </w:p>
    <w:p>
      <w:pPr/>
      <w:r>
        <w:rPr>
          <w:lang w:val="en_US" w:bidi="en_US"/>
        </w:rPr>
      </w:r>
      <w:r>
        <w:rPr>
          <w:lang w:val="en_US" w:bidi="en_US"/>
        </w:rPr>
        <w:t>The Parable About The Rich Fool</w:t>
      </w:r>
    </w:p>
    <w:p>
      <w:pPr/>
      <w:r>
        <w:rPr>
          <w:lang w:val="en_US" w:bidi="en_US"/>
        </w:rPr>
      </w:r>
      <w:r>
        <w:rPr>
          <w:lang w:val="en_US" w:bidi="en_US"/>
        </w:rPr>
        <w:t>A Rich Fool (CEV)</w:t>
      </w:r>
    </w:p>
    <w:p>
      <w:pPr/>
      <w:r>
        <w:rPr>
          <w:lang w:val="en_US" w:bidi="en_US"/>
        </w:rPr>
      </w:r>
      <w:r>
        <w:rPr>
          <w:lang w:val="en_US" w:bidi="en_US"/>
        </w:rPr>
        <w:t>Jesus Warns Against Selfishness (NCV)</w:t>
      </w:r>
    </w:p>
    <w:p>
      <w:pPr/>
      <w:r>
        <w:rPr>
          <w:lang w:val="en_US" w:bidi="en_US"/>
        </w:rPr>
      </w:r>
      <w:r>
        <w:rPr>
          <w:lang w:val="en_US" w:bidi="en_US"/>
        </w:rPr>
        <w:t>This parable is only in the Gospel of Luke.</w:t>
      </w:r>
    </w:p>
    <w:p>
      <w:pPr>
        <w:pStyle w:val="Heading5"/>
      </w:pPr>
      <w:r>
        <w:rPr>
          <w:lang w:val="en_US" w:bidi="en_US"/>
        </w:rPr>
        <w:t>12:13a</w:t>
      </w:r>
    </w:p>
    <w:p>
      <w:pPr/>
      <w:r>
        <w:rPr>
          <w:lang w:val="en_US" w:bidi="en_US"/>
        </w:rPr>
      </w:r>
      <w:r>
        <w:rPr>
          <w:b/>
          <w:lang w:val="en_US" w:bidi="en_US"/>
        </w:rPr>
        <w:t>Someone in the crowd said to Him,</w:t>
      </w:r>
    </w:p>
    <w:p>
      <w:pPr>
        <w:pStyle w:val="ListBullet"/>
        <w:spacing w:line="240" w:lineRule="auto"/>
        <w:ind w:left="720"/>
      </w:pPr>
      <w:r>
        <w:rPr>
          <w:lang w:val="en_US" w:bidi="en_US"/>
        </w:rPr>
      </w:r>
      <w:r>
        <w:rPr>
          <w:lang w:val="en_US" w:bidi="en_US"/>
        </w:rPr>
        <w:t xml:space="preserve">¶ </w:t>
      </w:r>
      <w:r>
        <w:rPr>
          <w:lang w:val="en_US" w:bidi="en_US"/>
        </w:rPr>
        <w:t>Just then,</w:t>
      </w:r>
      <w:r>
        <w:rPr>
          <w:lang w:val="en_US" w:bidi="en_US"/>
        </w:rPr>
        <w:t xml:space="preserve"> a man in the crowd spoke to Jesus. He said,</w:t>
      </w:r>
    </w:p>
    <w:p>
      <w:pPr>
        <w:pStyle w:val="ListBullet"/>
        <w:spacing w:line="240" w:lineRule="auto"/>
        <w:ind w:left="720"/>
      </w:pPr>
      <w:r>
        <w:rPr>
          <w:lang w:val="en_US" w:bidi="en_US"/>
        </w:rPr>
      </w:r>
      <w:r>
        <w:rPr>
          <w:lang w:val="en_US" w:bidi="en_US"/>
        </w:rPr>
        <w:t>¶ In the crowd of people there was a man who said to Jesus,</w:t>
      </w:r>
    </w:p>
    <w:p>
      <w:pPr/>
      <w:r>
        <w:rPr>
          <w:lang w:val="en_US" w:bidi="en_US"/>
        </w:rPr>
      </w:r>
      <w:r>
        <w:rPr>
          <w:lang w:val="en_US" w:bidi="en_US"/>
        </w:rPr>
        <w:t>This verse introduces an interruption to what Jesus was saying. In some languages it may be necessary to provide a connection to the preceding context. For example:</w:t>
      </w:r>
    </w:p>
    <w:p>
      <w:pPr/>
      <w:r>
        <w:rPr>
          <w:lang w:val="en_US" w:bidi="en_US"/>
        </w:rPr>
      </w:r>
      <w:r>
        <w:rPr>
          <w:lang w:val="en_US" w:bidi="en_US"/>
        </w:rPr>
        <w:t>Just then…</w:t>
      </w:r>
    </w:p>
    <w:p>
      <w:pPr/>
      <w:r>
        <w:rPr>
          <w:lang w:val="en_US" w:bidi="en_US"/>
        </w:rPr>
      </w:r>
      <w:r>
        <w:rPr>
          <w:b/>
          <w:lang w:val="en_US" w:bidi="en_US"/>
        </w:rPr>
        <w:t>Someone in the crowd:</w:t>
      </w:r>
      <w:r>
        <w:rPr>
          <w:lang w:val="en_US" w:bidi="en_US"/>
        </w:rPr>
        <w:t xml:space="preserve"> The context makes it clear that this </w:t>
      </w:r>
      <w:r>
        <w:rPr>
          <w:i/>
          <w:lang w:val="en_US" w:bidi="en_US"/>
        </w:rPr>
        <w:t>Someone</w:t>
      </w:r>
      <w:r>
        <w:rPr>
          <w:lang w:val="en_US" w:bidi="en_US"/>
        </w:rPr>
        <w:t xml:space="preserve"> was a man, and if it is natural in your language you may make that explicit at this point. For example:</w:t>
      </w:r>
    </w:p>
    <w:p>
      <w:pPr/>
      <w:r>
        <w:rPr>
          <w:lang w:val="en_US" w:bidi="en_US"/>
        </w:rPr>
      </w:r>
      <w:r>
        <w:rPr>
          <w:lang w:val="en_US" w:bidi="en_US"/>
        </w:rPr>
        <w:t>A man in the crowd (NJB)</w:t>
      </w:r>
    </w:p>
    <w:p>
      <w:pPr>
        <w:pStyle w:val="Heading5"/>
      </w:pPr>
      <w:r>
        <w:rPr>
          <w:lang w:val="en_US" w:bidi="en_US"/>
        </w:rPr>
        <w:t>12:13b</w:t>
      </w:r>
    </w:p>
    <w:p>
      <w:pPr/>
      <w:r>
        <w:rPr>
          <w:lang w:val="en_US" w:bidi="en_US"/>
        </w:rPr>
      </w:r>
      <w:r>
        <w:rPr>
          <w:b/>
          <w:lang w:val="en_US" w:bidi="en_US"/>
        </w:rPr>
        <w:t>“Teacher, tell my brother to divide the inheritance with me.”</w:t>
      </w:r>
    </w:p>
    <w:p>
      <w:pPr>
        <w:pStyle w:val="ListBullet"/>
        <w:spacing w:line="240" w:lineRule="auto"/>
        <w:ind w:left="720"/>
      </w:pPr>
      <w:r>
        <w:rPr>
          <w:lang w:val="en_US" w:bidi="en_US"/>
        </w:rPr>
      </w:r>
      <w:r>
        <w:rPr>
          <w:lang w:val="en_US" w:bidi="en_US"/>
        </w:rPr>
        <w:t xml:space="preserve">“Sir/Teacher, please command my brother to give me my share of </w:t>
      </w:r>
      <w:r>
        <w:rPr>
          <w:lang w:val="en_US" w:bidi="en_US"/>
        </w:rPr>
        <w:t>our</w:t>
      </w:r>
      <w:r>
        <w:rPr>
          <w:vertAlign w:val="superscript"/>
          <w:lang w:val="en_US" w:bidi="en_US"/>
        </w:rPr>
        <w:t>(excl)</w:t>
      </w:r>
      <w:r>
        <w:rPr>
          <w:lang w:val="en_US" w:bidi="en_US"/>
        </w:rPr>
        <w:t xml:space="preserve"> </w:t>
      </w:r>
      <w:r>
        <w:rPr>
          <w:lang w:val="en_US" w:bidi="en_US"/>
        </w:rPr>
        <w:t>dead father’s</w:t>
      </w:r>
      <w:r>
        <w:rPr>
          <w:lang w:val="en_US" w:bidi="en_US"/>
        </w:rPr>
        <w:t xml:space="preserve"> possessions/property.”</w:t>
      </w:r>
    </w:p>
    <w:p>
      <w:pPr>
        <w:pStyle w:val="ListBullet"/>
        <w:spacing w:line="240" w:lineRule="auto"/>
        <w:ind w:left="720"/>
      </w:pPr>
      <w:r>
        <w:rPr>
          <w:lang w:val="en_US" w:bidi="en_US"/>
        </w:rPr>
      </w:r>
      <w:r>
        <w:rPr>
          <w:lang w:val="en_US" w:bidi="en_US"/>
        </w:rPr>
        <w:t>“</w:t>
      </w:r>
      <w:r>
        <w:rPr>
          <w:lang w:val="en_US" w:bidi="en_US"/>
        </w:rPr>
        <w:t>Respected</w:t>
      </w:r>
      <w:r>
        <w:rPr>
          <w:lang w:val="en_US" w:bidi="en_US"/>
        </w:rPr>
        <w:t xml:space="preserve"> teacher, tell my </w:t>
      </w:r>
      <w:r>
        <w:rPr>
          <w:lang w:val="en_US" w:bidi="en_US"/>
        </w:rPr>
        <w:t>older</w:t>
      </w:r>
      <w:r>
        <w:rPr>
          <w:lang w:val="en_US" w:bidi="en_US"/>
        </w:rPr>
        <w:t xml:space="preserve"> brother to </w:t>
      </w:r>
      <w:r>
        <w:rPr>
          <w:lang w:val="en_US" w:bidi="en_US"/>
        </w:rPr>
        <w:t>fairly</w:t>
      </w:r>
      <w:r>
        <w:rPr>
          <w:lang w:val="en_US" w:bidi="en_US"/>
        </w:rPr>
        <w:t xml:space="preserve"> divide up the property </w:t>
      </w:r>
      <w:r>
        <w:rPr>
          <w:lang w:val="en_US" w:bidi="en_US"/>
        </w:rPr>
        <w:t>that our</w:t>
      </w:r>
      <w:r>
        <w:rPr>
          <w:vertAlign w:val="superscript"/>
          <w:lang w:val="en_US" w:bidi="en_US"/>
        </w:rPr>
        <w:t>(excl)</w:t>
      </w:r>
      <w:r>
        <w:rPr>
          <w:lang w:val="en_US" w:bidi="en_US"/>
        </w:rPr>
        <w:t xml:space="preserve"> </w:t>
      </w:r>
      <w:r>
        <w:rPr>
          <w:lang w:val="en_US" w:bidi="en_US"/>
        </w:rPr>
        <w:t>father left to us</w:t>
      </w:r>
      <w:r>
        <w:rPr>
          <w:lang w:val="en_US" w:bidi="en_US"/>
        </w:rPr>
        <w:t xml:space="preserve"> </w:t>
      </w:r>
      <w:r>
        <w:rPr>
          <w:lang w:val="en_US" w:bidi="en_US"/>
        </w:rPr>
        <w:t>when he died</w:t>
      </w:r>
      <w:r>
        <w:rPr>
          <w:lang w:val="en_US" w:bidi="en_US"/>
        </w:rPr>
        <w:t xml:space="preserve"> and to give my share to me.”</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was a polite title for a Jewish religious leader. It was a title of respect for a Jewish man who had authority to teach the things about God. In some languages the appropriate way to address a religious teacher may be:</w:t>
      </w:r>
    </w:p>
    <w:p>
      <w:pPr/>
      <w:r>
        <w:rPr>
          <w:lang w:val="en_US" w:bidi="en_US"/>
        </w:rPr>
      </w:r>
      <w:r>
        <w:rPr>
          <w:lang w:val="en_US" w:bidi="en_US"/>
        </w:rPr>
        <w:t>Sir Teacher</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lang w:val="en_US" w:bidi="en_US"/>
        </w:rPr>
        <w:t>Be careful not to use a term that can refer only to a school teacher. Be sure also to translate the man’s request in a polite way.</w:t>
      </w:r>
    </w:p>
    <w:p>
      <w:pPr/>
      <w:r>
        <w:rPr>
          <w:lang w:val="en_US" w:bidi="en_US"/>
        </w:rPr>
      </w:r>
      <w:r>
        <w:rPr>
          <w:lang w:val="en_US" w:bidi="en_US"/>
        </w:rPr>
        <w:t xml:space="preserve">The word </w:t>
      </w:r>
      <w:r>
        <w:rPr>
          <w:i/>
          <w:lang w:val="en_US" w:bidi="en_US"/>
        </w:rPr>
        <w:t>Teacher</w:t>
      </w:r>
      <w:r>
        <w:rPr>
          <w:lang w:val="en_US" w:bidi="en_US"/>
        </w:rPr>
        <w:t xml:space="preserve"> last occurred in 11:45b.</w:t>
      </w:r>
    </w:p>
    <w:p>
      <w:pPr/>
      <w:r>
        <w:rPr>
          <w:lang w:val="en_US" w:bidi="en_US"/>
        </w:rPr>
      </w:r>
      <w:r>
        <w:rPr>
          <w:b/>
          <w:lang w:val="en_US" w:bidi="en_US"/>
        </w:rPr>
        <w:t>tell my brother to divide the inheritance with me:</w:t>
      </w:r>
      <w:r>
        <w:rPr>
          <w:lang w:val="en_US" w:bidi="en_US"/>
        </w:rPr>
        <w:t xml:space="preserve"> This man had apparently been arguing with his older brother. Their father must have died and the older brother had not given the younger brother his share of the land, money, and other possessions that their father had left. The younger brother who was speaking wanted Jesus to use his authority to help him get what he considered his fair share of this inheritance.</w:t>
      </w:r>
    </w:p>
    <w:p>
      <w:pPr/>
      <w:r>
        <w:rPr>
          <w:lang w:val="en_US" w:bidi="en_US"/>
        </w:rPr>
      </w:r>
      <w:r>
        <w:rPr>
          <w:b/>
          <w:lang w:val="en_US" w:bidi="en_US"/>
        </w:rPr>
        <w:t>my brother:</w:t>
      </w:r>
      <w:r>
        <w:rPr>
          <w:lang w:val="en_US" w:bidi="en_US"/>
        </w:rPr>
        <w:t xml:space="preserve"> This was probably the man’s older brother and his only brother. If you need to make explicit whether or not he was older, you should say:</w:t>
      </w:r>
    </w:p>
    <w:p>
      <w:pPr/>
      <w:r>
        <w:rPr>
          <w:lang w:val="en_US" w:bidi="en_US"/>
        </w:rPr>
      </w:r>
      <w:r>
        <w:rPr>
          <w:lang w:val="en_US" w:bidi="en_US"/>
        </w:rPr>
        <w:t xml:space="preserve">my </w:t>
      </w:r>
      <w:r>
        <w:rPr>
          <w:lang w:val="en_US" w:bidi="en_US"/>
        </w:rPr>
        <w:t>older</w:t>
      </w:r>
      <w:r>
        <w:rPr>
          <w:lang w:val="en_US" w:bidi="en_US"/>
        </w:rPr>
        <w:t xml:space="preserve"> brother</w:t>
      </w:r>
    </w:p>
    <w:p>
      <w:pPr/>
      <w:r>
        <w:rPr>
          <w:lang w:val="en_US" w:bidi="en_US"/>
        </w:rPr>
      </w:r>
      <w:r>
        <w:rPr>
          <w:b/>
          <w:lang w:val="en_US" w:bidi="en_US"/>
        </w:rPr>
        <w:t>inheritance:</w:t>
      </w:r>
      <w:r>
        <w:rPr>
          <w:lang w:val="en_US" w:bidi="en_US"/>
        </w:rPr>
        <w:t xml:space="preserve"> An </w:t>
      </w:r>
      <w:r>
        <w:rPr>
          <w:i/>
          <w:lang w:val="en_US" w:bidi="en_US"/>
        </w:rPr>
        <w:t>inheritance</w:t>
      </w:r>
      <w:r>
        <w:rPr>
          <w:lang w:val="en_US" w:bidi="en_US"/>
        </w:rPr>
        <w:t xml:space="preserve"> is the money, land, and other possessions a man leaves when he dies. In Jewish culture, this inheritance normally went to his sons. The oldest son would receive twice as much as each of the other sons would receive.</w:t>
      </w:r>
    </w:p>
    <w:p>
      <w:pPr/>
      <w:r>
        <w:rPr>
          <w:lang w:val="en_US" w:bidi="en_US"/>
        </w:rPr>
      </w:r>
      <w:r>
        <w:rPr>
          <w:lang w:val="en_US" w:bidi="en_US"/>
        </w:rPr>
        <w:t>Other ways to translate the request in 12:13b are:</w:t>
      </w:r>
    </w:p>
    <w:p>
      <w:pPr/>
      <w:r>
        <w:rPr>
          <w:lang w:val="en_US" w:bidi="en_US"/>
        </w:rPr>
      </w:r>
      <w:r>
        <w:rPr>
          <w:lang w:val="en_US" w:bidi="en_US"/>
        </w:rPr>
        <w:t>Please</w:t>
      </w:r>
      <w:r>
        <w:rPr>
          <w:lang w:val="en_US" w:bidi="en_US"/>
        </w:rPr>
        <w:t xml:space="preserve"> order my </w:t>
      </w:r>
      <w:r>
        <w:rPr>
          <w:lang w:val="en_US" w:bidi="en_US"/>
        </w:rPr>
        <w:t>older</w:t>
      </w:r>
      <w:r>
        <w:rPr>
          <w:lang w:val="en_US" w:bidi="en_US"/>
        </w:rPr>
        <w:t xml:space="preserve"> brother to share/divide our family property with me.</w:t>
      </w:r>
    </w:p>
    <w:p>
      <w:pPr/>
      <w:r>
        <w:rPr>
          <w:lang w:val="en_US" w:bidi="en_US"/>
        </w:rPr>
      </w:r>
      <w:r>
        <w:rPr>
          <w:lang w:val="en_US" w:bidi="en_US"/>
        </w:rPr>
        <w:t>Please</w:t>
      </w:r>
      <w:r>
        <w:rPr>
          <w:lang w:val="en_US" w:bidi="en_US"/>
        </w:rPr>
        <w:t xml:space="preserve"> tell my brother to give me my </w:t>
      </w:r>
      <w:r>
        <w:rPr>
          <w:lang w:val="en_US" w:bidi="en_US"/>
        </w:rPr>
        <w:t>proper</w:t>
      </w:r>
      <w:r>
        <w:rPr>
          <w:lang w:val="en_US" w:bidi="en_US"/>
        </w:rPr>
        <w:t xml:space="preserve"> share of the inheritance </w:t>
      </w:r>
      <w:r>
        <w:rPr>
          <w:lang w:val="en_US" w:bidi="en_US"/>
        </w:rPr>
        <w:t>from our father</w:t>
      </w:r>
      <w:r>
        <w:rPr>
          <w:lang w:val="en_US" w:bidi="en_US"/>
        </w:rPr>
        <w:t>.</w:t>
      </w:r>
      <w:r>
        <w:rPr>
          <w:lang w:val="en_US" w:bidi="en_US"/>
        </w:rPr>
      </w:r>
      <w:r>
        <w:rPr>
          <w:lang w:val="en_US" w:bidi="en_US"/>
        </w:rPr>
      </w:r>
    </w:p>
    <w:p>
      <w:pPr/>
      <w:r>
        <w:rPr>
          <w:lang w:val="en_US" w:bidi="en_US"/>
        </w:rPr>
      </w:r>
    </w:p>
    <w:p>
      <w:pPr>
        <w:pStyle w:val="Heading2"/>
      </w:pPr>
      <w:r>
        <w:rPr>
          <w:lang w:val="en_US" w:bidi="en_US"/>
        </w:rPr>
        <w:t>Luke 12:14</w:t>
      </w:r>
      <w:r>
        <w:rPr>
          <w:lang w:val="en_US" w:bidi="en_US"/>
        </w:rPr>
      </w:r>
    </w:p>
    <w:p>
      <w:pPr>
        <w:pStyle w:val="Heading4"/>
      </w:pPr>
      <w:r>
        <w:rPr>
          <w:lang w:val="en_US" w:bidi="en_US"/>
        </w:rPr>
        <w:t>Section 12:13–21: Jesus warned the people not to be greedy</w:t>
      </w:r>
    </w:p>
    <w:p>
      <w:pPr/>
      <w:r>
        <w:rPr>
          <w:lang w:val="en_US" w:bidi="en_US"/>
        </w:rPr>
      </w:r>
      <w:r>
        <w:rPr>
          <w:lang w:val="en_US" w:bidi="en_US"/>
        </w:rPr>
        <w:t>In the previous section Jesus was speaking to his disciples. In this section a man in the crowd interrupted and asked Jesus to settle a quarrel between him and his brother about an inheritance. Jesus used this situation as an opportunity to warn the crowd about being greedy and selfish. He told them a parable about a rich man who kept all his riches for himself. God called him a fool and judged him for it.</w:t>
      </w:r>
    </w:p>
    <w:p>
      <w:pPr/>
      <w:r>
        <w:rPr>
          <w:lang w:val="en_US" w:bidi="en_US"/>
        </w:rPr>
      </w:r>
      <w:r>
        <w:rPr>
          <w:lang w:val="en_US" w:bidi="en_US"/>
        </w:rPr>
        <w:t>Some other possible headings for this section are:</w:t>
      </w:r>
    </w:p>
    <w:p>
      <w:pPr/>
      <w:r>
        <w:rPr>
          <w:lang w:val="en_US" w:bidi="en_US"/>
        </w:rPr>
      </w:r>
      <w:r>
        <w:rPr>
          <w:lang w:val="en_US" w:bidi="en_US"/>
        </w:rPr>
        <w:t>The Parable About The Rich Fool</w:t>
      </w:r>
    </w:p>
    <w:p>
      <w:pPr/>
      <w:r>
        <w:rPr>
          <w:lang w:val="en_US" w:bidi="en_US"/>
        </w:rPr>
      </w:r>
      <w:r>
        <w:rPr>
          <w:lang w:val="en_US" w:bidi="en_US"/>
        </w:rPr>
        <w:t>A Rich Fool (CEV)</w:t>
      </w:r>
    </w:p>
    <w:p>
      <w:pPr/>
      <w:r>
        <w:rPr>
          <w:lang w:val="en_US" w:bidi="en_US"/>
        </w:rPr>
      </w:r>
      <w:r>
        <w:rPr>
          <w:lang w:val="en_US" w:bidi="en_US"/>
        </w:rPr>
        <w:t>Jesus Warns Against Selfishness (NCV)</w:t>
      </w:r>
    </w:p>
    <w:p>
      <w:pPr/>
      <w:r>
        <w:rPr>
          <w:lang w:val="en_US" w:bidi="en_US"/>
        </w:rPr>
      </w:r>
      <w:r>
        <w:rPr>
          <w:lang w:val="en_US" w:bidi="en_US"/>
        </w:rPr>
        <w:t>This parable is only in the Gospel of Luke.</w:t>
      </w:r>
    </w:p>
    <w:p>
      <w:pPr>
        <w:pStyle w:val="Heading5"/>
      </w:pPr>
      <w:r>
        <w:rPr>
          <w:lang w:val="en_US" w:bidi="en_US"/>
        </w:rPr>
        <w:t>12:14</w:t>
      </w:r>
    </w:p>
    <w:p>
      <w:pPr/>
      <w:r>
        <w:rPr>
          <w:lang w:val="en_US" w:bidi="en_US"/>
        </w:rPr>
      </w:r>
      <w:r>
        <w:rPr>
          <w:b/>
          <w:lang w:val="en_US" w:bidi="en_US"/>
        </w:rPr>
        <w:t>But Jesus replied, “Man, who appointed Me judge or executor between you?”</w:t>
      </w:r>
    </w:p>
    <w:p>
      <w:pPr>
        <w:pStyle w:val="ListBullet"/>
        <w:spacing w:line="240" w:lineRule="auto"/>
        <w:ind w:left="720"/>
      </w:pPr>
      <w:r>
        <w:rPr>
          <w:lang w:val="en_US" w:bidi="en_US"/>
        </w:rPr>
      </w:r>
      <w:r>
        <w:rPr>
          <w:lang w:val="en_US" w:bidi="en_US"/>
        </w:rPr>
        <w:t>Jesus replied, “My friend, who gave me the right/work to judge your</w:t>
      </w:r>
      <w:r>
        <w:rPr>
          <w:vertAlign w:val="superscript"/>
          <w:lang w:val="en_US" w:bidi="en_US"/>
        </w:rPr>
        <w:t>(plur)</w:t>
      </w:r>
      <w:r>
        <w:rPr>
          <w:lang w:val="en_US" w:bidi="en_US"/>
        </w:rPr>
        <w:t xml:space="preserve"> case and divide your</w:t>
      </w:r>
      <w:r>
        <w:rPr>
          <w:vertAlign w:val="superscript"/>
          <w:lang w:val="en_US" w:bidi="en_US"/>
        </w:rPr>
        <w:t>(plur)</w:t>
      </w:r>
      <w:r>
        <w:rPr>
          <w:lang w:val="en_US" w:bidi="en_US"/>
        </w:rPr>
        <w:t xml:space="preserve"> property correctly? </w:t>
      </w:r>
      <w:r>
        <w:rPr>
          <w:lang w:val="en_US" w:bidi="en_US"/>
        </w:rPr>
        <w:t>No one!</w:t>
      </w:r>
      <w:r>
        <w:rPr>
          <w:lang w:val="en_US" w:bidi="en_US"/>
        </w:rPr>
        <w:t>”</w:t>
      </w:r>
    </w:p>
    <w:p>
      <w:pPr>
        <w:pStyle w:val="ListBullet"/>
        <w:spacing w:line="240" w:lineRule="auto"/>
        <w:ind w:left="720"/>
      </w:pPr>
      <w:r>
        <w:rPr>
          <w:lang w:val="en_US" w:bidi="en_US"/>
        </w:rPr>
      </w:r>
      <w:r>
        <w:rPr>
          <w:lang w:val="en_US" w:bidi="en_US"/>
        </w:rPr>
        <w:t>But</w:t>
      </w:r>
      <w:r>
        <w:rPr>
          <w:lang w:val="en_US" w:bidi="en_US"/>
        </w:rPr>
        <w:t xml:space="preserve"> Jesus said </w:t>
      </w:r>
      <w:r>
        <w:rPr>
          <w:lang w:val="en_US" w:bidi="en_US"/>
        </w:rPr>
        <w:t>to him</w:t>
      </w:r>
      <w:r>
        <w:rPr>
          <w:lang w:val="en_US" w:bidi="en_US"/>
        </w:rPr>
        <w:t>, “No one has authorized me to decide what you</w:t>
      </w:r>
      <w:r>
        <w:rPr>
          <w:vertAlign w:val="superscript"/>
          <w:lang w:val="en_US" w:bidi="en_US"/>
        </w:rPr>
        <w:t>(sing)</w:t>
      </w:r>
      <w:r>
        <w:rPr>
          <w:lang w:val="en_US" w:bidi="en_US"/>
        </w:rPr>
        <w:t xml:space="preserve"> </w:t>
      </w:r>
      <w:r>
        <w:rPr>
          <w:lang w:val="en_US" w:bidi="en_US"/>
        </w:rPr>
        <w:t>and your brother</w:t>
      </w:r>
      <w:r>
        <w:rPr>
          <w:lang w:val="en_US" w:bidi="en_US"/>
        </w:rPr>
        <w:t xml:space="preserve"> should do about that.”</w:t>
      </w:r>
    </w:p>
    <w:p>
      <w:pPr/>
      <w:r>
        <w:rPr>
          <w:lang w:val="en_US" w:bidi="en_US"/>
        </w:rPr>
      </w:r>
      <w:r>
        <w:rPr>
          <w:b/>
          <w:lang w:val="en_US" w:bidi="en_US"/>
        </w:rPr>
        <w:t>But Jesus replied:</w:t>
      </w:r>
      <w:r>
        <w:rPr>
          <w:lang w:val="en_US" w:bidi="en_US"/>
        </w:rPr>
        <w:t xml:space="preserve"> The phrase </w:t>
      </w:r>
      <w:r>
        <w:rPr>
          <w:i/>
          <w:lang w:val="en_US" w:bidi="en_US"/>
        </w:rPr>
        <w:t>But Jesus replied</w:t>
      </w:r>
      <w:r>
        <w:rPr>
          <w:lang w:val="en_US" w:bidi="en_US"/>
        </w:rPr>
        <w:t xml:space="preserve"> introduces Jesus’ response to the man. In the response Jesus used a rhetorical question to refuse the man’s request. Jesus’ refusal contrasted with what the man wanted to hear. In some languages it may be natural to make this contrast explicit, as the BSB does by translating the Greek conjunction here as </w:t>
      </w:r>
      <w:r>
        <w:rPr>
          <w:i/>
          <w:lang w:val="en_US" w:bidi="en_US"/>
        </w:rPr>
        <w:t>But</w:t>
      </w:r>
      <w:r>
        <w:rPr>
          <w:lang w:val="en_US" w:bidi="en_US"/>
        </w:rPr>
        <w:t>. Another way to translate this is:</w:t>
      </w:r>
    </w:p>
    <w:p>
      <w:pPr/>
      <w:r>
        <w:rPr>
          <w:lang w:val="en_US" w:bidi="en_US"/>
        </w:rPr>
      </w:r>
      <w:r>
        <w:rPr>
          <w:lang w:val="en_US" w:bidi="en_US"/>
        </w:rPr>
        <w:t>But Jesus said to him (NCV)</w:t>
      </w:r>
    </w:p>
    <w:p>
      <w:pPr/>
      <w:r>
        <w:rPr>
          <w:lang w:val="en_US" w:bidi="en_US"/>
        </w:rPr>
      </w:r>
      <w:r>
        <w:rPr>
          <w:lang w:val="en_US" w:bidi="en_US"/>
        </w:rPr>
        <w:t>Use a natural way in your language to introduce this response.</w:t>
      </w:r>
    </w:p>
    <w:p>
      <w:pPr/>
      <w:r>
        <w:rPr>
          <w:lang w:val="en_US" w:bidi="en_US"/>
        </w:rPr>
      </w:r>
      <w:r>
        <w:rPr>
          <w:b/>
          <w:lang w:val="en_US" w:bidi="en_US"/>
        </w:rPr>
        <w:t>Man:</w:t>
      </w:r>
      <w:r>
        <w:rPr>
          <w:lang w:val="en_US" w:bidi="en_US"/>
        </w:rPr>
        <w:t xml:space="preserve"> The Greek form of address that the BSB translates as </w:t>
      </w:r>
      <w:r>
        <w:rPr>
          <w:i/>
          <w:lang w:val="en_US" w:bidi="en_US"/>
        </w:rPr>
        <w:t>Man</w:t>
      </w:r>
      <w:r>
        <w:rPr>
          <w:lang w:val="en_US" w:bidi="en_US"/>
        </w:rPr>
        <w:t xml:space="preserve"> was a way to address a stranger. It was not disrespectful. In this context it indicated that Jesus disapproved of the man’s request. In some languages it would not be natural for Jesus to address the man like that in this context. If that is true in your language, here are other options:</w:t>
      </w:r>
    </w:p>
    <w:p>
      <w:pPr>
        <w:pStyle w:val="ListBullet"/>
        <w:spacing w:line="240" w:lineRule="auto"/>
        <w:ind w:left="720"/>
      </w:pPr>
      <w:r>
        <w:rPr>
          <w:lang w:val="en_US" w:bidi="en_US"/>
        </w:rPr>
      </w:r>
      <w:r>
        <w:rPr>
          <w:lang w:val="en_US" w:bidi="en_US"/>
        </w:rPr>
        <w:t>Use a term in your language that a teacher such as Jesus would use in a context like this. For example:</w:t>
      </w:r>
      <w:r>
        <w:rPr>
          <w:lang w:val="en_US" w:bidi="en_US"/>
        </w:rPr>
        <w:t>Sir</w:t>
      </w:r>
      <w:r>
        <w:rPr>
          <w:lang w:val="en_US" w:bidi="en_US"/>
        </w:rPr>
        <w:t>My friend</w:t>
      </w:r>
    </w:p>
    <w:p>
      <w:pPr>
        <w:pStyle w:val="ListBullet"/>
        <w:spacing w:line="240" w:lineRule="auto"/>
        <w:ind w:left="720"/>
      </w:pPr>
      <w:r>
        <w:rPr>
          <w:lang w:val="en_US" w:bidi="en_US"/>
        </w:rPr>
      </w:r>
      <w:r>
        <w:rPr>
          <w:lang w:val="en_US" w:bidi="en_US"/>
        </w:rPr>
        <w:t>Omit the direct address. In some languages, it may not be natural to use any form of address here. For example:</w:t>
      </w:r>
      <w:r>
        <w:rPr>
          <w:lang w:val="en_US" w:bidi="en_US"/>
        </w:rPr>
        <w:t>Jesus answered, “Who…” (CEV)</w:t>
      </w:r>
    </w:p>
    <w:p>
      <w:pPr/>
      <w:r>
        <w:rPr>
          <w:lang w:val="en_US" w:bidi="en_US"/>
        </w:rPr>
      </w:r>
      <w:r>
        <w:rPr>
          <w:lang w:val="en_US" w:bidi="en_US"/>
        </w:rPr>
        <w:t>In 5:20b, the BSB translates the same Greek word as “Friend.” Notice, however, that the context is very different.</w:t>
      </w:r>
    </w:p>
    <w:p>
      <w:pPr/>
      <w:r>
        <w:rPr>
          <w:lang w:val="en_US" w:bidi="en_US"/>
        </w:rPr>
      </w:r>
      <w:r>
        <w:rPr>
          <w:b/>
          <w:lang w:val="en_US" w:bidi="en_US"/>
        </w:rPr>
        <w:t>who appointed Me judge or executor between you?:</w:t>
      </w:r>
      <w:r>
        <w:rPr>
          <w:lang w:val="en_US" w:bidi="en_US"/>
        </w:rPr>
        <w:t xml:space="preserve"> This is a rhetorical question. People often went to rabbis to settle disputes. Jesus refused to accept this role. He used this rhetorical question to emphasize that no one had appointed him to decide earthly matters such as an inheritance.</w:t>
      </w:r>
    </w:p>
    <w:p>
      <w:pPr/>
      <w:r>
        <w:rPr>
          <w:lang w:val="en_US" w:bidi="en_US"/>
        </w:rPr>
      </w:r>
      <w:r>
        <w:rPr>
          <w:lang w:val="en_US" w:bidi="en_US"/>
        </w:rPr>
        <w:t>Some ways to translate this question are:</w:t>
      </w:r>
    </w:p>
    <w:p>
      <w:pPr>
        <w:pStyle w:val="ListBullet"/>
        <w:spacing w:line="240" w:lineRule="auto"/>
        <w:ind w:left="720"/>
      </w:pPr>
      <w:r>
        <w:rPr>
          <w:lang w:val="en_US" w:bidi="en_US"/>
        </w:rPr>
      </w:r>
      <w:r>
        <w:rPr>
          <w:lang w:val="en_US" w:bidi="en_US"/>
        </w:rPr>
        <w:t>As a rhetorical question, with or without the implied answer “No one.” For example:</w:t>
      </w:r>
      <w:r>
        <w:rPr>
          <w:lang w:val="en_US" w:bidi="en_US"/>
        </w:rPr>
        <w:t>who made me a judge over you to decide such things as that? (NLT)</w:t>
      </w:r>
      <w:r>
        <w:rPr>
          <w:lang w:val="en_US" w:bidi="en_US"/>
        </w:rPr>
        <w:t xml:space="preserve">Who gave me the authority to decide how you should divide </w:t>
      </w:r>
      <w:r>
        <w:rPr>
          <w:lang w:val="en_US" w:bidi="en_US"/>
        </w:rPr>
        <w:t>your inheritance</w:t>
      </w:r>
      <w:r>
        <w:rPr>
          <w:lang w:val="en_US" w:bidi="en_US"/>
        </w:rPr>
        <w:t xml:space="preserve">? </w:t>
      </w:r>
      <w:r>
        <w:rPr>
          <w:lang w:val="en_US" w:bidi="en_US"/>
        </w:rPr>
        <w:t>No one, of course.</w:t>
      </w:r>
    </w:p>
    <w:p>
      <w:pPr>
        <w:pStyle w:val="ListBullet"/>
        <w:spacing w:line="240" w:lineRule="auto"/>
        <w:ind w:left="720"/>
      </w:pPr>
      <w:r>
        <w:rPr>
          <w:lang w:val="en_US" w:bidi="en_US"/>
        </w:rPr>
      </w:r>
      <w:r>
        <w:rPr>
          <w:lang w:val="en_US" w:bidi="en_US"/>
        </w:rPr>
        <w:t>As a statement. For example:</w:t>
      </w:r>
      <w:r>
        <w:rPr>
          <w:lang w:val="en_US" w:bidi="en_US"/>
        </w:rPr>
        <w:t>No one has appointed me to judge your affairs.</w:t>
      </w:r>
      <w:r>
        <w:rPr>
          <w:lang w:val="en_US" w:bidi="en_US"/>
        </w:rPr>
        <w:t>It is not my responsibility/work to decide your case and divide your property.</w:t>
      </w:r>
    </w:p>
    <w:p>
      <w:pPr/>
      <w:r>
        <w:rPr>
          <w:lang w:val="en_US" w:bidi="en_US"/>
        </w:rPr>
      </w:r>
      <w:r>
        <w:rPr>
          <w:lang w:val="en_US" w:bidi="en_US"/>
        </w:rPr>
        <w:t>Translate this emphasis in a way that is natural in your language.</w:t>
      </w:r>
    </w:p>
    <w:p>
      <w:pPr/>
      <w:r>
        <w:rPr>
          <w:lang w:val="en_US" w:bidi="en_US"/>
        </w:rPr>
      </w:r>
      <w:r>
        <w:rPr>
          <w:b/>
          <w:lang w:val="en_US" w:bidi="en_US"/>
        </w:rPr>
        <w:t>judge or executor:</w:t>
      </w:r>
      <w:r>
        <w:rPr>
          <w:lang w:val="en_US" w:bidi="en_US"/>
        </w:rPr>
        <w:t xml:space="preserve"> In this context, the Greek terms that the BSB translates as </w:t>
      </w:r>
      <w:r>
        <w:rPr>
          <w:i/>
          <w:lang w:val="en_US" w:bidi="en_US"/>
        </w:rPr>
        <w:t>judge</w:t>
      </w:r>
      <w:r>
        <w:rPr>
          <w:lang w:val="en_US" w:bidi="en_US"/>
        </w:rPr>
        <w:t xml:space="preserve"> and </w:t>
      </w:r>
      <w:r>
        <w:rPr>
          <w:i/>
          <w:lang w:val="en_US" w:bidi="en_US"/>
        </w:rPr>
        <w:t>executor</w:t>
      </w:r>
      <w:r>
        <w:rPr>
          <w:lang w:val="en_US" w:bidi="en_US"/>
        </w:rPr>
        <w:t xml:space="preserve"> probably refer to the same type of person. Both terms describe a person who has the authority to decide a property dispute (</w:t>
      </w:r>
      <w:r>
        <w:rPr>
          <w:i/>
          <w:lang w:val="en_US" w:bidi="en_US"/>
        </w:rPr>
        <w:t>judge</w:t>
      </w:r>
      <w:r>
        <w:rPr>
          <w:lang w:val="en_US" w:bidi="en_US"/>
        </w:rPr>
        <w:t>) and divide the property correctly (</w:t>
      </w:r>
      <w:r>
        <w:rPr>
          <w:i/>
          <w:lang w:val="en_US" w:bidi="en_US"/>
        </w:rPr>
        <w:t>executor</w:t>
      </w:r>
      <w:r>
        <w:rPr>
          <w:lang w:val="en_US" w:bidi="en_US"/>
        </w:rPr>
        <w:t xml:space="preserve"> or more literally “arbitrator”). You may translate these terms as two expressions or use only one expression. You may also use nouns, verbal expressions, or a combination of both. See the examples in the preceding note.</w:t>
      </w:r>
      <w:r>
        <w:rPr>
          <w:lang w:val="en_US" w:bidi="en_US"/>
        </w:rPr>
      </w:r>
      <w:r>
        <w:rPr>
          <w:lang w:val="en_US" w:bidi="en_US"/>
        </w:rPr>
      </w:r>
    </w:p>
    <w:p>
      <w:pPr/>
      <w:r>
        <w:rPr>
          <w:lang w:val="en_US" w:bidi="en_US"/>
        </w:rPr>
      </w:r>
    </w:p>
    <w:p>
      <w:pPr>
        <w:pStyle w:val="Heading2"/>
      </w:pPr>
      <w:r>
        <w:rPr>
          <w:lang w:val="en_US" w:bidi="en_US"/>
        </w:rPr>
        <w:t>Luke 12:15</w:t>
      </w:r>
      <w:r>
        <w:rPr>
          <w:lang w:val="en_US" w:bidi="en_US"/>
        </w:rPr>
      </w:r>
    </w:p>
    <w:p>
      <w:pPr>
        <w:pStyle w:val="Heading4"/>
      </w:pPr>
      <w:r>
        <w:rPr>
          <w:lang w:val="en_US" w:bidi="en_US"/>
        </w:rPr>
        <w:t>Section 12:13–21: Jesus warned the people not to be greedy</w:t>
      </w:r>
    </w:p>
    <w:p>
      <w:pPr/>
      <w:r>
        <w:rPr>
          <w:lang w:val="en_US" w:bidi="en_US"/>
        </w:rPr>
      </w:r>
      <w:r>
        <w:rPr>
          <w:lang w:val="en_US" w:bidi="en_US"/>
        </w:rPr>
        <w:t>In the previous section Jesus was speaking to his disciples. In this section a man in the crowd interrupted and asked Jesus to settle a quarrel between him and his brother about an inheritance. Jesus used this situation as an opportunity to warn the crowd about being greedy and selfish. He told them a parable about a rich man who kept all his riches for himself. God called him a fool and judged him for it.</w:t>
      </w:r>
    </w:p>
    <w:p>
      <w:pPr/>
      <w:r>
        <w:rPr>
          <w:lang w:val="en_US" w:bidi="en_US"/>
        </w:rPr>
      </w:r>
      <w:r>
        <w:rPr>
          <w:lang w:val="en_US" w:bidi="en_US"/>
        </w:rPr>
        <w:t>Some other possible headings for this section are:</w:t>
      </w:r>
    </w:p>
    <w:p>
      <w:pPr/>
      <w:r>
        <w:rPr>
          <w:lang w:val="en_US" w:bidi="en_US"/>
        </w:rPr>
      </w:r>
      <w:r>
        <w:rPr>
          <w:lang w:val="en_US" w:bidi="en_US"/>
        </w:rPr>
        <w:t>The Parable About The Rich Fool</w:t>
      </w:r>
    </w:p>
    <w:p>
      <w:pPr/>
      <w:r>
        <w:rPr>
          <w:lang w:val="en_US" w:bidi="en_US"/>
        </w:rPr>
      </w:r>
      <w:r>
        <w:rPr>
          <w:lang w:val="en_US" w:bidi="en_US"/>
        </w:rPr>
        <w:t>A Rich Fool (CEV)</w:t>
      </w:r>
    </w:p>
    <w:p>
      <w:pPr/>
      <w:r>
        <w:rPr>
          <w:lang w:val="en_US" w:bidi="en_US"/>
        </w:rPr>
      </w:r>
      <w:r>
        <w:rPr>
          <w:lang w:val="en_US" w:bidi="en_US"/>
        </w:rPr>
        <w:t>Jesus Warns Against Selfishness (NCV)</w:t>
      </w:r>
    </w:p>
    <w:p>
      <w:pPr/>
      <w:r>
        <w:rPr>
          <w:lang w:val="en_US" w:bidi="en_US"/>
        </w:rPr>
      </w:r>
      <w:r>
        <w:rPr>
          <w:lang w:val="en_US" w:bidi="en_US"/>
        </w:rPr>
        <w:t>This parable is only in the Gospel of Luke.</w:t>
      </w:r>
    </w:p>
    <w:p>
      <w:pPr>
        <w:pStyle w:val="Heading5"/>
      </w:pPr>
      <w:r>
        <w:rPr>
          <w:lang w:val="en_US" w:bidi="en_US"/>
        </w:rPr>
        <w:t>12:15a</w:t>
      </w:r>
    </w:p>
    <w:p>
      <w:pPr/>
      <w:r>
        <w:rPr>
          <w:lang w:val="en_US" w:bidi="en_US"/>
        </w:rPr>
      </w:r>
      <w:r>
        <w:rPr>
          <w:b/>
          <w:lang w:val="en_US" w:bidi="en_US"/>
        </w:rPr>
        <w:t>And He said to them, “Watch out! Guard yourselves against every form of greed,</w:t>
      </w:r>
    </w:p>
    <w:p>
      <w:pPr>
        <w:pStyle w:val="ListBullet"/>
        <w:spacing w:line="240" w:lineRule="auto"/>
        <w:ind w:left="720"/>
      </w:pPr>
      <w:r>
        <w:rPr>
          <w:lang w:val="en_US" w:bidi="en_US"/>
        </w:rPr>
      </w:r>
      <w:r>
        <w:rPr>
          <w:lang w:val="en_US" w:bidi="en_US"/>
        </w:rPr>
        <w:t xml:space="preserve">Then he said to them </w:t>
      </w:r>
      <w:r>
        <w:rPr>
          <w:lang w:val="en_US" w:bidi="en_US"/>
        </w:rPr>
        <w:t>all</w:t>
      </w:r>
      <w:r>
        <w:rPr>
          <w:lang w:val="en_US" w:bidi="en_US"/>
        </w:rPr>
        <w:t>, “Be careful! Make sure that you avoid being greedy for anything,</w:t>
      </w:r>
    </w:p>
    <w:p>
      <w:pPr>
        <w:pStyle w:val="ListBullet"/>
        <w:spacing w:line="240" w:lineRule="auto"/>
        <w:ind w:left="720"/>
      </w:pPr>
      <w:r>
        <w:rPr>
          <w:lang w:val="en_US" w:bidi="en_US"/>
        </w:rPr>
      </w:r>
      <w:r>
        <w:rPr>
          <w:lang w:val="en_US" w:bidi="en_US"/>
        </w:rPr>
        <w:t xml:space="preserve">Then </w:t>
      </w:r>
      <w:r>
        <w:rPr>
          <w:lang w:val="en_US" w:bidi="en_US"/>
        </w:rPr>
        <w:t>Jesus</w:t>
      </w:r>
      <w:r>
        <w:rPr>
          <w:lang w:val="en_US" w:bidi="en_US"/>
        </w:rPr>
        <w:t xml:space="preserve"> said </w:t>
      </w:r>
      <w:r>
        <w:rPr>
          <w:lang w:val="en_US" w:bidi="en_US"/>
        </w:rPr>
        <w:t>to the people who were listening</w:t>
      </w:r>
      <w:r>
        <w:rPr>
          <w:lang w:val="en_US" w:bidi="en_US"/>
        </w:rPr>
        <w:t xml:space="preserve">, “Be very careful that you do not desire to accumulate/gain </w:t>
      </w:r>
      <w:r>
        <w:rPr>
          <w:lang w:val="en_US" w:bidi="en_US"/>
        </w:rPr>
        <w:t>all kinds of</w:t>
      </w:r>
      <w:r>
        <w:rPr>
          <w:lang w:val="en_US" w:bidi="en_US"/>
        </w:rPr>
        <w:t xml:space="preserve"> things for yourselves.</w:t>
      </w:r>
    </w:p>
    <w:p>
      <w:pPr/>
      <w:r>
        <w:rPr>
          <w:lang w:val="en_US" w:bidi="en_US"/>
        </w:rPr>
      </w:r>
      <w:r>
        <w:rPr>
          <w:b/>
          <w:lang w:val="en_US" w:bidi="en_US"/>
        </w:rPr>
        <w:t>And He said to them:</w:t>
      </w:r>
      <w:r>
        <w:rPr>
          <w:lang w:val="en_US" w:bidi="en_US"/>
        </w:rPr>
        <w:t xml:space="preserve"> In this verse Jesus began to speak to other people who had been listening to him. Most scholars think that he spoke to the whole crowd, though he may have been speaking mainly to his disciples. In some languages it may be necessary to make explicit who </w:t>
      </w:r>
      <w:r>
        <w:rPr>
          <w:i/>
          <w:lang w:val="en_US" w:bidi="en_US"/>
        </w:rPr>
        <w:t>them</w:t>
      </w:r>
      <w:r>
        <w:rPr>
          <w:lang w:val="en_US" w:bidi="en_US"/>
        </w:rPr>
        <w:t xml:space="preserve"> refers to. For example:</w:t>
      </w:r>
    </w:p>
    <w:p>
      <w:pPr/>
      <w:r>
        <w:rPr>
          <w:lang w:val="en_US" w:bidi="en_US"/>
        </w:rPr>
      </w:r>
      <w:r>
        <w:rPr>
          <w:lang w:val="en_US" w:bidi="en_US"/>
        </w:rPr>
        <w:t xml:space="preserve">Then he said </w:t>
      </w:r>
      <w:r>
        <w:rPr>
          <w:lang w:val="en_US" w:bidi="en_US"/>
        </w:rPr>
        <w:t>to the other people who were listening</w:t>
      </w:r>
    </w:p>
    <w:p>
      <w:pPr/>
      <w:r>
        <w:rPr>
          <w:lang w:val="en_US" w:bidi="en_US"/>
        </w:rPr>
      </w:r>
      <w:r>
        <w:rPr>
          <w:b/>
          <w:lang w:val="en_US" w:bidi="en_US"/>
        </w:rPr>
        <w:t>Watch out! Guard yourselves against:</w:t>
      </w:r>
      <w:r>
        <w:rPr>
          <w:lang w:val="en_US" w:bidi="en_US"/>
        </w:rPr>
        <w:t xml:space="preserve"> The Greek verb that the BSB translates as </w:t>
      </w:r>
      <w:r>
        <w:rPr>
          <w:i/>
          <w:lang w:val="en_US" w:bidi="en_US"/>
        </w:rPr>
        <w:t>Watch out</w:t>
      </w:r>
      <w:r>
        <w:rPr>
          <w:lang w:val="en_US" w:bidi="en_US"/>
        </w:rPr>
        <w:t xml:space="preserve"> is a warning to be careful. The phrase </w:t>
      </w:r>
      <w:r>
        <w:rPr>
          <w:i/>
          <w:lang w:val="en_US" w:bidi="en_US"/>
        </w:rPr>
        <w:t>Guard yourselves against</w:t>
      </w:r>
      <w:r>
        <w:rPr>
          <w:lang w:val="en_US" w:bidi="en_US"/>
        </w:rPr>
        <w:t xml:space="preserve"> has almost the same meaning as “Watch out.” Jesus used these two similar expressions to emphasize his warning. In some languages it may be natural to use two similar phrases. For example:</w:t>
      </w:r>
    </w:p>
    <w:p>
      <w:pPr/>
      <w:r>
        <w:rPr>
          <w:lang w:val="en_US" w:bidi="en_US"/>
        </w:rPr>
      </w:r>
      <w:r>
        <w:rPr>
          <w:lang w:val="en_US" w:bidi="en_US"/>
        </w:rPr>
        <w:t>Be careful and guard against (NCV)</w:t>
      </w:r>
    </w:p>
    <w:p>
      <w:pPr/>
      <w:r>
        <w:rPr>
          <w:lang w:val="en_US" w:bidi="en_US"/>
        </w:rPr>
      </w:r>
      <w:r>
        <w:rPr>
          <w:lang w:val="en_US" w:bidi="en_US"/>
        </w:rPr>
        <w:t>Be careful to guard yourselves from (GW)</w:t>
      </w:r>
    </w:p>
    <w:p>
      <w:pPr/>
      <w:r>
        <w:rPr>
          <w:lang w:val="en_US" w:bidi="en_US"/>
        </w:rPr>
      </w:r>
      <w:r>
        <w:rPr>
          <w:lang w:val="en_US" w:bidi="en_US"/>
        </w:rPr>
        <w:t>Watch out! Make sure that you avoid</w:t>
      </w:r>
    </w:p>
    <w:p>
      <w:pPr/>
      <w:r>
        <w:rPr>
          <w:lang w:val="en_US" w:bidi="en_US"/>
        </w:rPr>
      </w:r>
      <w:r>
        <w:rPr>
          <w:lang w:val="en_US" w:bidi="en_US"/>
        </w:rPr>
        <w:t>In other languages it may be more natural to combine these expressions and translate the emphasis in a different way. For example:</w:t>
      </w:r>
    </w:p>
    <w:p>
      <w:pPr/>
      <w:r>
        <w:rPr>
          <w:lang w:val="en_US" w:bidi="en_US"/>
        </w:rPr>
      </w:r>
      <w:r>
        <w:rPr>
          <w:lang w:val="en_US" w:bidi="en_US"/>
        </w:rPr>
        <w:t xml:space="preserve">Be </w:t>
      </w:r>
      <w:r>
        <w:rPr>
          <w:u w:val="single"/>
          <w:lang w:val="en_US" w:bidi="en_US"/>
        </w:rPr>
        <w:t>very</w:t>
      </w:r>
      <w:r>
        <w:rPr>
          <w:lang w:val="en_US" w:bidi="en_US"/>
        </w:rPr>
        <w:t xml:space="preserve"> careful to stay away from</w:t>
      </w:r>
    </w:p>
    <w:p>
      <w:pPr/>
      <w:r>
        <w:rPr>
          <w:lang w:val="en_US" w:bidi="en_US"/>
        </w:rPr>
      </w:r>
      <w:r>
        <w:rPr>
          <w:b/>
          <w:lang w:val="en_US" w:bidi="en_US"/>
        </w:rPr>
        <w:t>Guard yourselves against every form of greed:</w:t>
      </w:r>
      <w:r>
        <w:rPr>
          <w:lang w:val="en_US" w:bidi="en_US"/>
        </w:rPr>
        <w:t xml:space="preserve"> Here Jesus warned the people that they must not be greedy in any way. The phrase </w:t>
      </w:r>
      <w:r>
        <w:rPr>
          <w:i/>
          <w:lang w:val="en_US" w:bidi="en_US"/>
        </w:rPr>
        <w:t>Guard yourselves against…greed</w:t>
      </w:r>
      <w:r>
        <w:rPr>
          <w:lang w:val="en_US" w:bidi="en_US"/>
        </w:rPr>
        <w:t xml:space="preserve"> indicates that people must not allow themselves to want more possessions than they ought to have. In some languages there is an idiom to express this. Other ways to translate the clause are:</w:t>
      </w:r>
    </w:p>
    <w:p>
      <w:pPr/>
      <w:r>
        <w:rPr>
          <w:lang w:val="en_US" w:bidi="en_US"/>
        </w:rPr>
      </w:r>
      <w:r>
        <w:rPr>
          <w:lang w:val="en_US" w:bidi="en_US"/>
        </w:rPr>
        <w:t>Be sure that you do not become greedy in any way</w:t>
      </w:r>
    </w:p>
    <w:p>
      <w:pPr/>
      <w:r>
        <w:rPr>
          <w:lang w:val="en_US" w:bidi="en_US"/>
        </w:rPr>
      </w:r>
      <w:r>
        <w:rPr>
          <w:lang w:val="en_US" w:bidi="en_US"/>
        </w:rPr>
        <w:t xml:space="preserve">Do not allow yourselves to want/seek more </w:t>
      </w:r>
      <w:r>
        <w:rPr>
          <w:lang w:val="en_US" w:bidi="en_US"/>
        </w:rPr>
        <w:t>possessions</w:t>
      </w:r>
      <w:r>
        <w:rPr>
          <w:lang w:val="en_US" w:bidi="en_US"/>
        </w:rPr>
        <w:t xml:space="preserve"> than you need</w:t>
      </w:r>
    </w:p>
    <w:p>
      <w:pPr/>
      <w:r>
        <w:rPr>
          <w:lang w:val="en_US" w:bidi="en_US"/>
        </w:rPr>
      </w:r>
      <w:r>
        <w:rPr>
          <w:b/>
          <w:lang w:val="en_US" w:bidi="en_US"/>
        </w:rPr>
        <w:t>every form of greed:</w:t>
      </w:r>
      <w:r>
        <w:rPr>
          <w:lang w:val="en_US" w:bidi="en_US"/>
        </w:rPr>
        <w:t xml:space="preserve"> The Greek expression that the BSB translates as </w:t>
      </w:r>
      <w:r>
        <w:rPr>
          <w:i/>
          <w:lang w:val="en_US" w:bidi="en_US"/>
        </w:rPr>
        <w:t>every form of greed</w:t>
      </w:r>
      <w:r>
        <w:rPr>
          <w:lang w:val="en_US" w:bidi="en_US"/>
        </w:rPr>
        <w:t xml:space="preserve"> is literally “all greed.” The word </w:t>
      </w:r>
      <w:r>
        <w:rPr>
          <w:i/>
          <w:lang w:val="en_US" w:bidi="en_US"/>
        </w:rPr>
        <w:t>greed</w:t>
      </w:r>
      <w:r>
        <w:rPr>
          <w:lang w:val="en_US" w:bidi="en_US"/>
        </w:rPr>
        <w:t xml:space="preserve"> refers to a strong desire for more and more things. The phrase </w:t>
      </w:r>
      <w:r>
        <w:rPr>
          <w:i/>
          <w:lang w:val="en_US" w:bidi="en_US"/>
        </w:rPr>
        <w:t>every form of greed</w:t>
      </w:r>
      <w:r>
        <w:rPr>
          <w:lang w:val="en_US" w:bidi="en_US"/>
        </w:rPr>
        <w:t xml:space="preserve"> indicates that there are different ways to be greedy and many different things that a person can desire too much.</w:t>
      </w:r>
    </w:p>
    <w:p>
      <w:pPr/>
      <w:r>
        <w:rPr>
          <w:lang w:val="en_US" w:bidi="en_US"/>
        </w:rPr>
      </w:r>
      <w:r>
        <w:rPr>
          <w:lang w:val="en_US" w:bidi="en_US"/>
        </w:rPr>
        <w:t>In 12:15b Jesus mentioned possessions. A person can also be greedy for other things, such as land, status, and position. Translate this meaning in a natural way in your language. See the examples in the preceding note.</w:t>
      </w:r>
    </w:p>
    <w:p>
      <w:pPr>
        <w:pStyle w:val="Heading5"/>
      </w:pPr>
      <w:r>
        <w:rPr>
          <w:lang w:val="en_US" w:bidi="en_US"/>
        </w:rPr>
        <w:t>12:15b</w:t>
      </w:r>
    </w:p>
    <w:p>
      <w:pPr/>
      <w:r>
        <w:rPr>
          <w:lang w:val="en_US" w:bidi="en_US"/>
        </w:rPr>
      </w:r>
      <w:r>
        <w:rPr>
          <w:b/>
          <w:lang w:val="en_US" w:bidi="en_US"/>
        </w:rPr>
        <w:t>for one’s life does not consist in the abundance of his possessions.”</w:t>
      </w:r>
    </w:p>
    <w:p>
      <w:pPr>
        <w:pStyle w:val="ListBullet"/>
        <w:spacing w:line="240" w:lineRule="auto"/>
        <w:ind w:left="720"/>
      </w:pPr>
      <w:r>
        <w:rPr>
          <w:lang w:val="en_US" w:bidi="en_US"/>
        </w:rPr>
      </w:r>
      <w:r>
        <w:rPr>
          <w:lang w:val="en_US" w:bidi="en_US"/>
        </w:rPr>
        <w:t xml:space="preserve">because </w:t>
      </w:r>
      <w:r>
        <w:rPr>
          <w:lang w:val="en_US" w:bidi="en_US"/>
        </w:rPr>
        <w:t>the value of</w:t>
      </w:r>
      <w:r>
        <w:rPr>
          <w:lang w:val="en_US" w:bidi="en_US"/>
        </w:rPr>
        <w:t xml:space="preserve"> a person’s life is not based on owning many things.”</w:t>
      </w:r>
    </w:p>
    <w:p>
      <w:pPr>
        <w:pStyle w:val="ListBullet"/>
        <w:spacing w:line="240" w:lineRule="auto"/>
        <w:ind w:left="720"/>
      </w:pPr>
      <w:r>
        <w:rPr>
          <w:lang w:val="en_US" w:bidi="en_US"/>
        </w:rPr>
      </w:r>
      <w:r>
        <w:rPr>
          <w:lang w:val="en_US" w:bidi="en_US"/>
        </w:rPr>
        <w:t xml:space="preserve">For </w:t>
      </w:r>
      <w:r>
        <w:rPr>
          <w:lang w:val="en_US" w:bidi="en_US"/>
        </w:rPr>
        <w:t>the meaning of</w:t>
      </w:r>
      <w:r>
        <w:rPr>
          <w:lang w:val="en_US" w:bidi="en_US"/>
        </w:rPr>
        <w:t xml:space="preserve"> your life is not found in the number/quantity of your possessions.”</w:t>
      </w:r>
    </w:p>
    <w:p>
      <w:pPr>
        <w:pStyle w:val="ListBullet"/>
        <w:spacing w:line="240" w:lineRule="auto"/>
        <w:ind w:left="720"/>
      </w:pPr>
      <w:r>
        <w:rPr>
          <w:lang w:val="en_US" w:bidi="en_US"/>
        </w:rPr>
      </w:r>
      <w:r>
        <w:rPr>
          <w:lang w:val="en_US" w:bidi="en_US"/>
        </w:rPr>
        <w:t xml:space="preserve">Owning a lot of things is not what gives anyone a </w:t>
      </w:r>
      <w:r>
        <w:rPr>
          <w:lang w:val="en_US" w:bidi="en_US"/>
        </w:rPr>
        <w:t>good/real</w:t>
      </w:r>
      <w:r>
        <w:rPr>
          <w:lang w:val="en_US" w:bidi="en_US"/>
        </w:rPr>
        <w:t xml:space="preserve"> life.”</w:t>
      </w:r>
    </w:p>
    <w:p>
      <w:pPr/>
      <w:r>
        <w:rPr>
          <w:lang w:val="en_US" w:bidi="en_US"/>
        </w:rPr>
      </w:r>
      <w:r>
        <w:rPr>
          <w:b/>
          <w:lang w:val="en_US" w:bidi="en_US"/>
        </w:rPr>
        <w:t>for:</w:t>
      </w:r>
      <w:r>
        <w:rPr>
          <w:lang w:val="en_US" w:bidi="en_US"/>
        </w:rPr>
        <w:t xml:space="preserve"> In Greek, this part of the verse begins with a conjunction that the BSB translates as </w:t>
      </w:r>
      <w:r>
        <w:rPr>
          <w:i/>
          <w:lang w:val="en_US" w:bidi="en_US"/>
        </w:rPr>
        <w:t>for</w:t>
      </w:r>
      <w:r>
        <w:rPr>
          <w:lang w:val="en_US" w:bidi="en_US"/>
        </w:rPr>
        <w:t>. It introduces a reason for the warning Jesus had just given. Introduce this reason in a natural way in your language.</w:t>
      </w:r>
    </w:p>
    <w:p>
      <w:pPr/>
      <w:r>
        <w:rPr>
          <w:lang w:val="en_US" w:bidi="en_US"/>
        </w:rPr>
      </w:r>
      <w:r>
        <w:rPr>
          <w:b/>
          <w:lang w:val="en_US" w:bidi="en_US"/>
        </w:rPr>
        <w:t>one’s life does not consist in the abundance of his possessions:</w:t>
      </w:r>
      <w:r>
        <w:rPr>
          <w:lang w:val="en_US" w:bidi="en_US"/>
        </w:rPr>
        <w:t xml:space="preserve"> The expression that the BSB translates as </w:t>
      </w:r>
      <w:r>
        <w:rPr>
          <w:i/>
          <w:lang w:val="en_US" w:bidi="en_US"/>
        </w:rPr>
        <w:t>one’s life does not consist in the abundance of his possessions</w:t>
      </w:r>
      <w:r>
        <w:rPr>
          <w:lang w:val="en_US" w:bidi="en_US"/>
        </w:rPr>
        <w:t xml:space="preserve"> indicates that owning many things does not make a person’s life more important or valuable. This implies that the things that a person owns do not determine the meaning or value of that person’s life. English versions translate this in quite different ways. For example:</w:t>
      </w:r>
    </w:p>
    <w:p>
      <w:pPr/>
      <w:r>
        <w:rPr>
          <w:lang w:val="en_US" w:bidi="en_US"/>
        </w:rPr>
      </w:r>
      <w:r>
        <w:rPr>
          <w:lang w:val="en_US" w:bidi="en_US"/>
        </w:rPr>
        <w:t>Life is not measured by how much one owns. (NCV)</w:t>
      </w:r>
    </w:p>
    <w:p>
      <w:pPr/>
      <w:r>
        <w:rPr>
          <w:lang w:val="en_US" w:bidi="en_US"/>
        </w:rPr>
      </w:r>
      <w:r>
        <w:rPr>
          <w:lang w:val="en_US" w:bidi="en_US"/>
        </w:rPr>
        <w:t>your true life is not made up of the things you own, no matter how rich you may be (GNT)</w:t>
      </w:r>
    </w:p>
    <w:p>
      <w:pPr/>
      <w:r>
        <w:rPr>
          <w:lang w:val="en_US" w:bidi="en_US"/>
        </w:rPr>
      </w:r>
      <w:r>
        <w:rPr>
          <w:lang w:val="en_US" w:bidi="en_US"/>
        </w:rPr>
        <w:t>Life is not about having a lot of material possessions. (GW)</w:t>
      </w:r>
    </w:p>
    <w:p>
      <w:pPr/>
      <w:r>
        <w:rPr>
          <w:lang w:val="en_US" w:bidi="en_US"/>
        </w:rPr>
      </w:r>
      <w:r>
        <w:rPr>
          <w:b/>
          <w:lang w:val="en_US" w:bidi="en_US"/>
        </w:rPr>
        <w:t>one’s life:</w:t>
      </w:r>
      <w:r>
        <w:rPr>
          <w:lang w:val="en_US" w:bidi="en_US"/>
        </w:rPr>
        <w:t xml:space="preserve"> The phrase </w:t>
      </w:r>
      <w:r>
        <w:rPr>
          <w:i/>
          <w:lang w:val="en_US" w:bidi="en_US"/>
        </w:rPr>
        <w:t>one’s life</w:t>
      </w:r>
      <w:r>
        <w:rPr>
          <w:lang w:val="en_US" w:bidi="en_US"/>
        </w:rPr>
        <w:t xml:space="preserve"> means “a person’s life.” The word </w:t>
      </w:r>
      <w:r>
        <w:rPr>
          <w:i/>
          <w:lang w:val="en_US" w:bidi="en_US"/>
        </w:rPr>
        <w:t>life</w:t>
      </w:r>
      <w:r>
        <w:rPr>
          <w:lang w:val="en_US" w:bidi="en_US"/>
        </w:rPr>
        <w:t xml:space="preserve"> in this context is referring to having a meaningful life here on earth.</w:t>
      </w:r>
    </w:p>
    <w:p>
      <w:pPr/>
      <w:r>
        <w:rPr>
          <w:lang w:val="en_US" w:bidi="en_US"/>
        </w:rPr>
      </w:r>
      <w:r>
        <w:rPr>
          <w:b/>
          <w:lang w:val="en_US" w:bidi="en_US"/>
        </w:rPr>
        <w:t>the abundance of his possessions:</w:t>
      </w:r>
      <w:r>
        <w:rPr>
          <w:lang w:val="en_US" w:bidi="en_US"/>
        </w:rPr>
        <w:t xml:space="preserve"> The phrase </w:t>
      </w:r>
      <w:r>
        <w:rPr>
          <w:i/>
          <w:lang w:val="en_US" w:bidi="en_US"/>
        </w:rPr>
        <w:t>the abundance of his possessions</w:t>
      </w:r>
      <w:r>
        <w:rPr>
          <w:lang w:val="en_US" w:bidi="en_US"/>
        </w:rPr>
        <w:t xml:space="preserve"> refers to how many things a person owns or how much wealth he has. Other ways to translate this are:</w:t>
      </w:r>
    </w:p>
    <w:p>
      <w:pPr/>
      <w:r>
        <w:rPr>
          <w:lang w:val="en_US" w:bidi="en_US"/>
        </w:rPr>
      </w:r>
      <w:r>
        <w:rPr>
          <w:lang w:val="en_US" w:bidi="en_US"/>
        </w:rPr>
        <w:t>how many things he possesses</w:t>
      </w:r>
    </w:p>
    <w:p>
      <w:pPr/>
      <w:r>
        <w:rPr>
          <w:lang w:val="en_US" w:bidi="en_US"/>
        </w:rPr>
      </w:r>
      <w:r>
        <w:rPr>
          <w:lang w:val="en_US" w:bidi="en_US"/>
        </w:rPr>
        <w:t>owning a lot of things</w:t>
      </w:r>
      <w:r>
        <w:rPr>
          <w:lang w:val="en_US" w:bidi="en_US"/>
        </w:rPr>
      </w:r>
      <w:r>
        <w:rPr>
          <w:lang w:val="en_US" w:bidi="en_US"/>
        </w:rPr>
      </w:r>
    </w:p>
    <w:p>
      <w:pPr/>
      <w:r>
        <w:rPr>
          <w:lang w:val="en_US" w:bidi="en_US"/>
        </w:rPr>
      </w:r>
    </w:p>
    <w:p>
      <w:pPr>
        <w:pStyle w:val="Heading2"/>
      </w:pPr>
      <w:r>
        <w:rPr>
          <w:lang w:val="en_US" w:bidi="en_US"/>
        </w:rPr>
        <w:t>Luke 12:16</w:t>
      </w:r>
      <w:r>
        <w:rPr>
          <w:lang w:val="en_US" w:bidi="en_US"/>
        </w:rPr>
      </w:r>
    </w:p>
    <w:p>
      <w:pPr>
        <w:pStyle w:val="Heading4"/>
      </w:pPr>
      <w:r>
        <w:rPr>
          <w:lang w:val="en_US" w:bidi="en_US"/>
        </w:rPr>
        <w:t>Section 12:13–21: Jesus warned the people not to be greedy</w:t>
      </w:r>
    </w:p>
    <w:p>
      <w:pPr/>
      <w:r>
        <w:rPr>
          <w:lang w:val="en_US" w:bidi="en_US"/>
        </w:rPr>
      </w:r>
      <w:r>
        <w:rPr>
          <w:lang w:val="en_US" w:bidi="en_US"/>
        </w:rPr>
        <w:t>In the previous section Jesus was speaking to his disciples. In this section a man in the crowd interrupted and asked Jesus to settle a quarrel between him and his brother about an inheritance. Jesus used this situation as an opportunity to warn the crowd about being greedy and selfish. He told them a parable about a rich man who kept all his riches for himself. God called him a fool and judged him for it.</w:t>
      </w:r>
    </w:p>
    <w:p>
      <w:pPr/>
      <w:r>
        <w:rPr>
          <w:lang w:val="en_US" w:bidi="en_US"/>
        </w:rPr>
      </w:r>
      <w:r>
        <w:rPr>
          <w:lang w:val="en_US" w:bidi="en_US"/>
        </w:rPr>
        <w:t>Some other possible headings for this section are:</w:t>
      </w:r>
    </w:p>
    <w:p>
      <w:pPr/>
      <w:r>
        <w:rPr>
          <w:lang w:val="en_US" w:bidi="en_US"/>
        </w:rPr>
      </w:r>
      <w:r>
        <w:rPr>
          <w:lang w:val="en_US" w:bidi="en_US"/>
        </w:rPr>
        <w:t>The Parable About The Rich Fool</w:t>
      </w:r>
    </w:p>
    <w:p>
      <w:pPr/>
      <w:r>
        <w:rPr>
          <w:lang w:val="en_US" w:bidi="en_US"/>
        </w:rPr>
      </w:r>
      <w:r>
        <w:rPr>
          <w:lang w:val="en_US" w:bidi="en_US"/>
        </w:rPr>
        <w:t>A Rich Fool (CEV)</w:t>
      </w:r>
    </w:p>
    <w:p>
      <w:pPr/>
      <w:r>
        <w:rPr>
          <w:lang w:val="en_US" w:bidi="en_US"/>
        </w:rPr>
      </w:r>
      <w:r>
        <w:rPr>
          <w:lang w:val="en_US" w:bidi="en_US"/>
        </w:rPr>
        <w:t>Jesus Warns Against Selfishness (NCV)</w:t>
      </w:r>
    </w:p>
    <w:p>
      <w:pPr/>
      <w:r>
        <w:rPr>
          <w:lang w:val="en_US" w:bidi="en_US"/>
        </w:rPr>
      </w:r>
      <w:r>
        <w:rPr>
          <w:lang w:val="en_US" w:bidi="en_US"/>
        </w:rPr>
        <w:t>This parable is only in the Gospel of Luke.</w:t>
      </w:r>
    </w:p>
    <w:p>
      <w:pPr>
        <w:pStyle w:val="Heading5"/>
      </w:pPr>
      <w:r>
        <w:rPr>
          <w:lang w:val="en_US" w:bidi="en_US"/>
        </w:rPr>
        <w:t>12:16a</w:t>
      </w:r>
    </w:p>
    <w:p>
      <w:pPr/>
      <w:r>
        <w:rPr>
          <w:lang w:val="en_US" w:bidi="en_US"/>
        </w:rPr>
      </w:r>
      <w:r>
        <w:rPr>
          <w:b/>
          <w:lang w:val="en_US" w:bidi="en_US"/>
        </w:rPr>
        <w:t>Then He told them a parable:</w:t>
      </w:r>
    </w:p>
    <w:p>
      <w:pPr>
        <w:pStyle w:val="ListBullet"/>
        <w:spacing w:line="240" w:lineRule="auto"/>
        <w:ind w:left="720"/>
      </w:pPr>
      <w:r>
        <w:rPr>
          <w:lang w:val="en_US" w:bidi="en_US"/>
        </w:rPr>
      </w:r>
      <w:r>
        <w:rPr>
          <w:lang w:val="en_US" w:bidi="en_US"/>
        </w:rPr>
        <w:t>Then Jesus told them a story to illustrate this.</w:t>
      </w:r>
    </w:p>
    <w:p>
      <w:pPr>
        <w:pStyle w:val="ListBullet"/>
        <w:spacing w:line="240" w:lineRule="auto"/>
        <w:ind w:left="720"/>
      </w:pPr>
      <w:r>
        <w:rPr>
          <w:lang w:val="en_US" w:bidi="en_US"/>
        </w:rPr>
      </w:r>
      <w:r>
        <w:rPr>
          <w:lang w:val="en_US" w:bidi="en_US"/>
        </w:rPr>
        <w:t xml:space="preserve">Then Jesus told the people this story/illustration </w:t>
      </w:r>
      <w:r>
        <w:rPr>
          <w:lang w:val="en_US" w:bidi="en_US"/>
        </w:rPr>
        <w:t>in order to help them understand what he had just said</w:t>
      </w:r>
      <w:r>
        <w:rPr>
          <w:lang w:val="en_US" w:bidi="en_US"/>
        </w:rPr>
        <w:t>.</w:t>
      </w:r>
    </w:p>
    <w:p>
      <w:pPr/>
      <w:r>
        <w:rPr>
          <w:lang w:val="en_US" w:bidi="en_US"/>
        </w:rPr>
      </w:r>
      <w:r>
        <w:rPr>
          <w:b/>
          <w:lang w:val="en_US" w:bidi="en_US"/>
        </w:rPr>
        <w:t>Then He told them a parable:</w:t>
      </w:r>
      <w:r>
        <w:rPr>
          <w:lang w:val="en_US" w:bidi="en_US"/>
        </w:rPr>
        <w:t xml:space="preserve"> Jesus told the people a parable to illustrate what he had told them in 12:15.</w:t>
      </w:r>
    </w:p>
    <w:p>
      <w:pPr/>
      <w:r>
        <w:rPr>
          <w:lang w:val="en_US" w:bidi="en_US"/>
        </w:rPr>
      </w:r>
      <w:r>
        <w:rPr>
          <w:b/>
          <w:lang w:val="en_US" w:bidi="en_US"/>
        </w:rPr>
        <w:t>parable:</w:t>
      </w:r>
      <w:r>
        <w:rPr>
          <w:lang w:val="en_US" w:bidi="en_US"/>
        </w:rPr>
        <w:t xml:space="preserve"> The Greek word that the BSB translates as </w:t>
      </w:r>
      <w:r>
        <w:rPr>
          <w:i/>
          <w:lang w:val="en_US" w:bidi="en_US"/>
        </w:rPr>
        <w:t>parable</w:t>
      </w:r>
      <w:r>
        <w:rPr>
          <w:lang w:val="en_US" w:bidi="en_US"/>
        </w:rPr>
        <w:t xml:space="preserve"> is a general word that describes different types of wise speech. This includes symbolic stories, metaphors, proverbs, illustrations, and wise sayings. Here Jesus used the word to refer to a story that illustrated his teaching in 12:15a–b. The story does not describe an event that actually happened.</w:t>
      </w:r>
    </w:p>
    <w:p>
      <w:pPr/>
      <w:r>
        <w:rPr>
          <w:lang w:val="en_US" w:bidi="en_US"/>
        </w:rPr>
      </w:r>
      <w:r>
        <w:rPr>
          <w:lang w:val="en_US" w:bidi="en_US"/>
        </w:rPr>
        <w:t xml:space="preserve">Some other ways to translate </w:t>
      </w:r>
      <w:r>
        <w:rPr>
          <w:i/>
          <w:lang w:val="en_US" w:bidi="en_US"/>
        </w:rPr>
        <w:t>parable</w:t>
      </w:r>
      <w:r>
        <w:rPr>
          <w:lang w:val="en_US" w:bidi="en_US"/>
        </w:rPr>
        <w:t xml:space="preserve"> in this context are:</w:t>
      </w:r>
    </w:p>
    <w:p>
      <w:pPr/>
      <w:r>
        <w:rPr>
          <w:lang w:val="en_US" w:bidi="en_US"/>
        </w:rPr>
      </w:r>
      <w:r>
        <w:rPr>
          <w:lang w:val="en_US" w:bidi="en_US"/>
        </w:rPr>
        <w:t>illustration (GW)</w:t>
      </w:r>
    </w:p>
    <w:p>
      <w:pPr/>
      <w:r>
        <w:rPr>
          <w:lang w:val="en_US" w:bidi="en_US"/>
        </w:rPr>
      </w:r>
      <w:r>
        <w:rPr>
          <w:lang w:val="en_US" w:bidi="en_US"/>
        </w:rPr>
        <w:t>story (NLT)</w:t>
      </w:r>
    </w:p>
    <w:p>
      <w:pPr/>
      <w:r>
        <w:rPr>
          <w:lang w:val="en_US" w:bidi="en_US"/>
        </w:rPr>
      </w:r>
      <w:r>
        <w:rPr>
          <w:lang w:val="en_US" w:bidi="en_US"/>
        </w:rPr>
        <w:t xml:space="preserve">The word </w:t>
      </w:r>
      <w:r>
        <w:rPr>
          <w:i/>
          <w:lang w:val="en_US" w:bidi="en_US"/>
        </w:rPr>
        <w:t>parable</w:t>
      </w:r>
      <w:r>
        <w:rPr>
          <w:lang w:val="en_US" w:bidi="en_US"/>
        </w:rPr>
        <w:t xml:space="preserve"> first occurs in Luke at 5:36a.</w:t>
      </w:r>
    </w:p>
    <w:p>
      <w:pPr>
        <w:pStyle w:val="Heading5"/>
      </w:pPr>
      <w:r>
        <w:rPr>
          <w:lang w:val="en_US" w:bidi="en_US"/>
        </w:rPr>
        <w:t>12:16b</w:t>
      </w:r>
    </w:p>
    <w:p>
      <w:pPr/>
      <w:r>
        <w:rPr>
          <w:lang w:val="en_US" w:bidi="en_US"/>
        </w:rPr>
      </w:r>
      <w:r>
        <w:rPr>
          <w:b/>
          <w:lang w:val="en_US" w:bidi="en_US"/>
        </w:rPr>
        <w:t>“The ground of a certain rich man produced an abundance.</w:t>
      </w:r>
    </w:p>
    <w:p>
      <w:pPr>
        <w:pStyle w:val="ListBullet"/>
        <w:spacing w:line="240" w:lineRule="auto"/>
        <w:ind w:left="720"/>
      </w:pPr>
      <w:r>
        <w:rPr>
          <w:lang w:val="en_US" w:bidi="en_US"/>
        </w:rPr>
      </w:r>
      <w:r>
        <w:rPr>
          <w:lang w:val="en_US" w:bidi="en_US"/>
        </w:rPr>
        <w:t>“A rich man had a great/huge harvest in his fields.</w:t>
      </w:r>
    </w:p>
    <w:p>
      <w:pPr>
        <w:pStyle w:val="ListBullet"/>
        <w:spacing w:line="240" w:lineRule="auto"/>
        <w:ind w:left="720"/>
      </w:pPr>
      <w:r>
        <w:rPr>
          <w:lang w:val="en_US" w:bidi="en_US"/>
        </w:rPr>
      </w:r>
      <w:r>
        <w:rPr>
          <w:lang w:val="en_US" w:bidi="en_US"/>
        </w:rPr>
        <w:t>“</w:t>
      </w:r>
      <w:r>
        <w:rPr>
          <w:lang w:val="en_US" w:bidi="en_US"/>
        </w:rPr>
        <w:t>Once there lived</w:t>
      </w:r>
      <w:r>
        <w:rPr>
          <w:lang w:val="en_US" w:bidi="en_US"/>
        </w:rPr>
        <w:t xml:space="preserve"> a rich man who owned a farm. </w:t>
      </w:r>
      <w:r>
        <w:rPr>
          <w:lang w:val="en_US" w:bidi="en_US"/>
        </w:rPr>
        <w:t>One year he</w:t>
      </w:r>
      <w:r>
        <w:rPr>
          <w:lang w:val="en_US" w:bidi="en_US"/>
        </w:rPr>
        <w:t xml:space="preserve"> harvested a large amount of grain.</w:t>
      </w:r>
    </w:p>
    <w:p>
      <w:pPr>
        <w:pStyle w:val="ListBullet"/>
        <w:spacing w:line="240" w:lineRule="auto"/>
        <w:ind w:left="720"/>
      </w:pPr>
      <w:r>
        <w:rPr>
          <w:lang w:val="en_US" w:bidi="en_US"/>
        </w:rPr>
      </w:r>
      <w:r>
        <w:rPr>
          <w:lang w:val="en_US" w:bidi="en_US"/>
        </w:rPr>
        <w:t>“</w:t>
      </w:r>
      <w:r>
        <w:rPr>
          <w:lang w:val="en_US" w:bidi="en_US"/>
        </w:rPr>
        <w:t>Once</w:t>
      </w:r>
      <w:r>
        <w:rPr>
          <w:lang w:val="en_US" w:bidi="en_US"/>
        </w:rPr>
        <w:t xml:space="preserve"> there was a man who was rich, and a large crop grew on his land.</w:t>
      </w:r>
    </w:p>
    <w:p>
      <w:pPr/>
      <w:r>
        <w:rPr>
          <w:lang w:val="en_US" w:bidi="en_US"/>
        </w:rPr>
      </w:r>
      <w:r>
        <w:rPr>
          <w:b/>
          <w:lang w:val="en_US" w:bidi="en_US"/>
        </w:rPr>
        <w:t>The ground of a certain rich man produced an abundance:</w:t>
      </w:r>
      <w:r>
        <w:rPr>
          <w:lang w:val="en_US" w:bidi="en_US"/>
        </w:rPr>
        <w:t xml:space="preserve"> There is a lot of new information in this verse part. In some languages it may be more natural to give this information in more than one sentence. For example:</w:t>
      </w:r>
    </w:p>
    <w:p>
      <w:pPr/>
      <w:r>
        <w:rPr>
          <w:lang w:val="en_US" w:bidi="en_US"/>
        </w:rPr>
      </w:r>
      <w:r>
        <w:rPr>
          <w:lang w:val="en_US" w:bidi="en_US"/>
        </w:rPr>
        <w:t>Once there was a man who was very rich. He owned fields that produced large harvests.</w:t>
      </w:r>
    </w:p>
    <w:p>
      <w:pPr/>
      <w:r>
        <w:rPr>
          <w:lang w:val="en_US" w:bidi="en_US"/>
        </w:rPr>
      </w:r>
      <w:r>
        <w:rPr>
          <w:lang w:val="en_US" w:bidi="en_US"/>
        </w:rPr>
        <w:t>There was once</w:t>
      </w:r>
      <w:r>
        <w:rPr>
          <w:lang w:val="en_US" w:bidi="en_US"/>
        </w:rPr>
        <w:t xml:space="preserve"> a rich man who owned some farmland. </w:t>
      </w:r>
      <w:r>
        <w:rPr>
          <w:lang w:val="en_US" w:bidi="en_US"/>
        </w:rPr>
        <w:t>One year,</w:t>
      </w:r>
      <w:r>
        <w:rPr>
          <w:lang w:val="en_US" w:bidi="en_US"/>
        </w:rPr>
        <w:t xml:space="preserve"> an unusually large crop grew on this land.</w:t>
      </w:r>
    </w:p>
    <w:p>
      <w:pPr/>
      <w:r>
        <w:rPr>
          <w:lang w:val="en_US" w:bidi="en_US"/>
        </w:rPr>
      </w:r>
      <w:r>
        <w:rPr>
          <w:lang w:val="en_US" w:bidi="en_US"/>
        </w:rPr>
        <w:t>In some languages it is not natural to say that a person’s “ground produced an abundance.” You should speak about this in a natural way in your language. For example:</w:t>
      </w:r>
    </w:p>
    <w:p>
      <w:pPr/>
      <w:r>
        <w:rPr>
          <w:lang w:val="en_US" w:bidi="en_US"/>
        </w:rPr>
      </w:r>
      <w:r>
        <w:rPr>
          <w:lang w:val="en_US" w:bidi="en_US"/>
        </w:rPr>
        <w:t xml:space="preserve">There was a rich man who harvested much </w:t>
      </w:r>
      <w:r>
        <w:rPr>
          <w:lang w:val="en_US" w:bidi="en_US"/>
        </w:rPr>
        <w:t>grain</w:t>
      </w:r>
      <w:r>
        <w:rPr>
          <w:lang w:val="en_US" w:bidi="en_US"/>
        </w:rPr>
        <w:t xml:space="preserve"> from his land.</w:t>
      </w:r>
    </w:p>
    <w:p>
      <w:pPr/>
      <w:r>
        <w:rPr>
          <w:lang w:val="en_US" w:bidi="en_US"/>
        </w:rPr>
      </w:r>
      <w:r>
        <w:rPr>
          <w:lang w:val="en_US" w:bidi="en_US"/>
        </w:rPr>
        <w:t>A certain rich man got much produce from his fields.</w:t>
      </w:r>
    </w:p>
    <w:p>
      <w:pPr/>
      <w:r>
        <w:rPr>
          <w:lang w:val="en_US" w:bidi="en_US"/>
        </w:rPr>
      </w:r>
      <w:r>
        <w:rPr>
          <w:b/>
          <w:lang w:val="en_US" w:bidi="en_US"/>
        </w:rPr>
        <w:t>a certain rich man:</w:t>
      </w:r>
      <w:r>
        <w:rPr>
          <w:lang w:val="en_US" w:bidi="en_US"/>
        </w:rPr>
        <w:t xml:space="preserve"> The phrase </w:t>
      </w:r>
      <w:r>
        <w:rPr>
          <w:i/>
          <w:lang w:val="en_US" w:bidi="en_US"/>
        </w:rPr>
        <w:t>a certain rich man</w:t>
      </w:r>
      <w:r>
        <w:rPr>
          <w:lang w:val="en_US" w:bidi="en_US"/>
        </w:rPr>
        <w:t xml:space="preserve"> does not refer to an actual person. He is a character in the parable that Jesus told.</w:t>
      </w:r>
    </w:p>
    <w:p>
      <w:pPr/>
      <w:r>
        <w:rPr>
          <w:lang w:val="en_US" w:bidi="en_US"/>
        </w:rPr>
      </w:r>
      <w:r>
        <w:rPr>
          <w:lang w:val="en_US" w:bidi="en_US"/>
        </w:rPr>
        <w:t>In some languages there are specific ways to introduce a character like this. For example:</w:t>
      </w:r>
    </w:p>
    <w:p>
      <w:pPr/>
      <w:r>
        <w:rPr>
          <w:lang w:val="en_US" w:bidi="en_US"/>
        </w:rPr>
      </w:r>
      <w:r>
        <w:rPr>
          <w:lang w:val="en_US" w:bidi="en_US"/>
        </w:rPr>
        <w:t>Once there lived a rich man</w:t>
      </w:r>
    </w:p>
    <w:p>
      <w:pPr/>
      <w:r>
        <w:rPr>
          <w:lang w:val="en_US" w:bidi="en_US"/>
        </w:rPr>
      </w:r>
      <w:r>
        <w:rPr>
          <w:lang w:val="en_US" w:bidi="en_US"/>
        </w:rPr>
        <w:t>Use a natural way in your language to introduce the man.</w:t>
      </w:r>
    </w:p>
    <w:p>
      <w:pPr/>
      <w:r>
        <w:rPr>
          <w:lang w:val="en_US" w:bidi="en_US"/>
        </w:rPr>
      </w:r>
      <w:r>
        <w:rPr>
          <w:b/>
          <w:lang w:val="en_US" w:bidi="en_US"/>
        </w:rPr>
        <w:t>an abundance:</w:t>
      </w:r>
      <w:r>
        <w:rPr>
          <w:lang w:val="en_US" w:bidi="en_US"/>
        </w:rPr>
        <w:t xml:space="preserve"> The word </w:t>
      </w:r>
      <w:r>
        <w:rPr>
          <w:i/>
          <w:lang w:val="en_US" w:bidi="en_US"/>
        </w:rPr>
        <w:t>abundance</w:t>
      </w:r>
      <w:r>
        <w:rPr>
          <w:lang w:val="en_US" w:bidi="en_US"/>
        </w:rPr>
        <w:t xml:space="preserve"> refers to the harvest (produce) that a person gets from his cultivated land. It means an “abundant crop.” A crop is described as abundant when much produce is harvested from that land. In this context the crop probably consisted of one or more grains, such as wheat or barley. Describe this in a natural way in your language.</w:t>
      </w:r>
      <w:r>
        <w:rPr>
          <w:lang w:val="en_US" w:bidi="en_US"/>
        </w:rPr>
      </w:r>
      <w:r>
        <w:rPr>
          <w:lang w:val="en_US" w:bidi="en_US"/>
        </w:rPr>
      </w:r>
    </w:p>
    <w:p>
      <w:pPr/>
      <w:r>
        <w:rPr>
          <w:lang w:val="en_US" w:bidi="en_US"/>
        </w:rPr>
      </w:r>
    </w:p>
    <w:p>
      <w:pPr>
        <w:pStyle w:val="Heading2"/>
      </w:pPr>
      <w:r>
        <w:rPr>
          <w:lang w:val="en_US" w:bidi="en_US"/>
        </w:rPr>
        <w:t>Luke 12:17</w:t>
      </w:r>
      <w:r>
        <w:rPr>
          <w:lang w:val="en_US" w:bidi="en_US"/>
        </w:rPr>
      </w:r>
    </w:p>
    <w:p>
      <w:pPr>
        <w:pStyle w:val="Heading4"/>
      </w:pPr>
      <w:r>
        <w:rPr>
          <w:lang w:val="en_US" w:bidi="en_US"/>
        </w:rPr>
        <w:t>Section 12:13–21: Jesus warned the people not to be greedy</w:t>
      </w:r>
    </w:p>
    <w:p>
      <w:pPr/>
      <w:r>
        <w:rPr>
          <w:lang w:val="en_US" w:bidi="en_US"/>
        </w:rPr>
      </w:r>
      <w:r>
        <w:rPr>
          <w:lang w:val="en_US" w:bidi="en_US"/>
        </w:rPr>
        <w:t>In the previous section Jesus was speaking to his disciples. In this section a man in the crowd interrupted and asked Jesus to settle a quarrel between him and his brother about an inheritance. Jesus used this situation as an opportunity to warn the crowd about being greedy and selfish. He told them a parable about a rich man who kept all his riches for himself. God called him a fool and judged him for it.</w:t>
      </w:r>
    </w:p>
    <w:p>
      <w:pPr/>
      <w:r>
        <w:rPr>
          <w:lang w:val="en_US" w:bidi="en_US"/>
        </w:rPr>
      </w:r>
      <w:r>
        <w:rPr>
          <w:lang w:val="en_US" w:bidi="en_US"/>
        </w:rPr>
        <w:t>Some other possible headings for this section are:</w:t>
      </w:r>
    </w:p>
    <w:p>
      <w:pPr/>
      <w:r>
        <w:rPr>
          <w:lang w:val="en_US" w:bidi="en_US"/>
        </w:rPr>
      </w:r>
      <w:r>
        <w:rPr>
          <w:lang w:val="en_US" w:bidi="en_US"/>
        </w:rPr>
        <w:t>The Parable About The Rich Fool</w:t>
      </w:r>
    </w:p>
    <w:p>
      <w:pPr/>
      <w:r>
        <w:rPr>
          <w:lang w:val="en_US" w:bidi="en_US"/>
        </w:rPr>
      </w:r>
      <w:r>
        <w:rPr>
          <w:lang w:val="en_US" w:bidi="en_US"/>
        </w:rPr>
        <w:t>A Rich Fool (CEV)</w:t>
      </w:r>
    </w:p>
    <w:p>
      <w:pPr/>
      <w:r>
        <w:rPr>
          <w:lang w:val="en_US" w:bidi="en_US"/>
        </w:rPr>
      </w:r>
      <w:r>
        <w:rPr>
          <w:lang w:val="en_US" w:bidi="en_US"/>
        </w:rPr>
        <w:t>Jesus Warns Against Selfishness (NCV)</w:t>
      </w:r>
    </w:p>
    <w:p>
      <w:pPr/>
      <w:r>
        <w:rPr>
          <w:lang w:val="en_US" w:bidi="en_US"/>
        </w:rPr>
      </w:r>
      <w:r>
        <w:rPr>
          <w:lang w:val="en_US" w:bidi="en_US"/>
        </w:rPr>
        <w:t>This parable is only in the Gospel of Luke.</w:t>
      </w:r>
    </w:p>
    <w:p>
      <w:pPr>
        <w:pStyle w:val="Heading5"/>
      </w:pPr>
      <w:r>
        <w:rPr>
          <w:lang w:val="en_US" w:bidi="en_US"/>
        </w:rPr>
        <w:t>12:17a</w:t>
      </w:r>
    </w:p>
    <w:p>
      <w:pPr/>
      <w:r>
        <w:rPr>
          <w:lang w:val="en_US" w:bidi="en_US"/>
        </w:rPr>
      </w:r>
      <w:r>
        <w:rPr>
          <w:b/>
          <w:lang w:val="en_US" w:bidi="en_US"/>
        </w:rPr>
        <w:t>So he thought to himself, ‘What shall I do,</w:t>
      </w:r>
    </w:p>
    <w:p>
      <w:pPr>
        <w:pStyle w:val="ListBullet"/>
        <w:spacing w:line="240" w:lineRule="auto"/>
        <w:ind w:left="720"/>
      </w:pPr>
      <w:r>
        <w:rPr>
          <w:lang w:val="en_US" w:bidi="en_US"/>
        </w:rPr>
      </w:r>
      <w:r>
        <w:rPr>
          <w:lang w:val="en_US" w:bidi="en_US"/>
        </w:rPr>
        <w:t>So he thought, ‘What should I do?</w:t>
      </w:r>
    </w:p>
    <w:p>
      <w:pPr>
        <w:pStyle w:val="ListBullet"/>
        <w:spacing w:line="240" w:lineRule="auto"/>
        <w:ind w:left="720"/>
      </w:pPr>
      <w:r>
        <w:rPr>
          <w:lang w:val="en_US" w:bidi="en_US"/>
        </w:rPr>
      </w:r>
      <w:r>
        <w:rPr>
          <w:lang w:val="en_US" w:bidi="en_US"/>
        </w:rPr>
        <w:t xml:space="preserve">He thought to himself, ‘I wonder what I should do </w:t>
      </w:r>
      <w:r>
        <w:rPr>
          <w:lang w:val="en_US" w:bidi="en_US"/>
        </w:rPr>
        <w:t>with all this grain</w:t>
      </w:r>
      <w:r>
        <w:rPr>
          <w:lang w:val="en_US" w:bidi="en_US"/>
        </w:rPr>
        <w:t>.</w:t>
      </w:r>
    </w:p>
    <w:p>
      <w:pPr>
        <w:pStyle w:val="ListBullet"/>
        <w:spacing w:line="240" w:lineRule="auto"/>
        <w:ind w:left="720"/>
      </w:pPr>
      <w:r>
        <w:rPr>
          <w:lang w:val="en_US" w:bidi="en_US"/>
        </w:rPr>
      </w:r>
      <w:r>
        <w:rPr>
          <w:lang w:val="en_US" w:bidi="en_US"/>
        </w:rPr>
        <w:t xml:space="preserve">Because of this, he wondered what he should do </w:t>
      </w:r>
      <w:r>
        <w:rPr>
          <w:lang w:val="en_US" w:bidi="en_US"/>
        </w:rPr>
        <w:t>with all the crops</w:t>
      </w:r>
      <w:r>
        <w:rPr>
          <w:lang w:val="en_US" w:bidi="en_US"/>
        </w:rPr>
        <w:t>,</w:t>
      </w:r>
    </w:p>
    <w:p>
      <w:pPr/>
      <w:r>
        <w:rPr>
          <w:lang w:val="en_US" w:bidi="en_US"/>
        </w:rPr>
      </w:r>
      <w:r>
        <w:rPr>
          <w:b/>
          <w:lang w:val="en_US" w:bidi="en_US"/>
        </w:rPr>
        <w:t>So:</w:t>
      </w:r>
      <w:r>
        <w:rPr>
          <w:lang w:val="en_US" w:bidi="en_US"/>
        </w:rPr>
        <w:t xml:space="preserve"> This verse begins with a Greek conjunction that is often translated as “and.” Some English versions, such as the ESV, translate it that way. The BSB (and the NET) translate it as </w:t>
      </w:r>
      <w:r>
        <w:rPr>
          <w:i/>
          <w:lang w:val="en_US" w:bidi="en_US"/>
        </w:rPr>
        <w:t>So</w:t>
      </w:r>
      <w:r>
        <w:rPr>
          <w:lang w:val="en_US" w:bidi="en_US"/>
        </w:rPr>
        <w:t xml:space="preserve"> in order to show that it introduces the result of what 12:16b described. It was because the rich man harvested such a good crop that he needed to decide what to do with it. Other versions, such as the NIV and GNT, do not translate this conjunction. In some languages it may be more natural to make this connection explicit. For example:</w:t>
      </w:r>
    </w:p>
    <w:p>
      <w:pPr/>
      <w:r>
        <w:rPr>
          <w:lang w:val="en_US" w:bidi="en_US"/>
        </w:rPr>
      </w:r>
      <w:r>
        <w:rPr>
          <w:lang w:val="en_US" w:bidi="en_US"/>
        </w:rPr>
        <w:t>So/Then he thought to himself</w:t>
      </w:r>
    </w:p>
    <w:p>
      <w:pPr/>
      <w:r>
        <w:rPr>
          <w:lang w:val="en_US" w:bidi="en_US"/>
        </w:rPr>
      </w:r>
      <w:r>
        <w:rPr>
          <w:lang w:val="en_US" w:bidi="en_US"/>
        </w:rPr>
        <w:t>Because of this, he thought to himself</w:t>
      </w:r>
    </w:p>
    <w:p>
      <w:pPr/>
      <w:r>
        <w:rPr>
          <w:lang w:val="en_US" w:bidi="en_US"/>
        </w:rPr>
      </w:r>
      <w:r>
        <w:rPr>
          <w:b/>
          <w:lang w:val="en_US" w:bidi="en_US"/>
        </w:rPr>
        <w:t>he thought to himself:</w:t>
      </w:r>
      <w:r>
        <w:rPr>
          <w:lang w:val="en_US" w:bidi="en_US"/>
        </w:rPr>
        <w:t xml:space="preserve"> The Greek expression that the BSB translates as </w:t>
      </w:r>
      <w:r>
        <w:rPr>
          <w:i/>
          <w:lang w:val="en_US" w:bidi="en_US"/>
        </w:rPr>
        <w:t>he thought to himself</w:t>
      </w:r>
      <w:r>
        <w:rPr>
          <w:lang w:val="en_US" w:bidi="en_US"/>
        </w:rPr>
        <w:t xml:space="preserve"> means that the man reasoned or discussed in his own mind what he ought to do. Other ways to translate this idea are:</w:t>
      </w:r>
    </w:p>
    <w:p>
      <w:pPr/>
      <w:r>
        <w:rPr>
          <w:lang w:val="en_US" w:bidi="en_US"/>
        </w:rPr>
      </w:r>
      <w:r>
        <w:rPr>
          <w:lang w:val="en_US" w:bidi="en_US"/>
        </w:rPr>
        <w:t>He thought (GW)</w:t>
      </w:r>
    </w:p>
    <w:p>
      <w:pPr/>
      <w:r>
        <w:rPr>
          <w:lang w:val="en_US" w:bidi="en_US"/>
        </w:rPr>
      </w:r>
      <w:r>
        <w:rPr>
          <w:lang w:val="en_US" w:bidi="en_US"/>
        </w:rPr>
        <w:t>He said in his own mind</w:t>
      </w:r>
    </w:p>
    <w:p>
      <w:pPr/>
      <w:r>
        <w:rPr>
          <w:lang w:val="en_US" w:bidi="en_US"/>
        </w:rPr>
      </w:r>
      <w:r>
        <w:rPr>
          <w:lang w:val="en_US" w:bidi="en_US"/>
        </w:rPr>
        <w:t>He wondered</w:t>
      </w:r>
    </w:p>
    <w:p>
      <w:pPr/>
      <w:r>
        <w:rPr>
          <w:lang w:val="en_US" w:bidi="en_US"/>
        </w:rPr>
      </w:r>
      <w:r>
        <w:rPr>
          <w:lang w:val="en_US" w:bidi="en_US"/>
        </w:rPr>
        <w:t>He asked himself</w:t>
      </w:r>
    </w:p>
    <w:p>
      <w:pPr/>
      <w:r>
        <w:rPr>
          <w:lang w:val="en_US" w:bidi="en_US"/>
        </w:rPr>
      </w:r>
      <w:r>
        <w:rPr>
          <w:lang w:val="en_US" w:bidi="en_US"/>
        </w:rPr>
        <w:t>Notice that the man did not conclude his mental discussion until 12:18–19. Because of this, it may be natural in some languages to indicate in 12:17a that he “began to think.” For example:</w:t>
      </w:r>
    </w:p>
    <w:p>
      <w:pPr/>
      <w:r>
        <w:rPr>
          <w:lang w:val="en_US" w:bidi="en_US"/>
        </w:rPr>
      </w:r>
      <w:r>
        <w:rPr>
          <w:lang w:val="en_US" w:bidi="en_US"/>
        </w:rPr>
        <w:t>He began to think to himself (GNT)</w:t>
      </w:r>
    </w:p>
    <w:p>
      <w:pPr/>
      <w:r>
        <w:rPr>
          <w:lang w:val="en_US" w:bidi="en_US"/>
        </w:rPr>
      </w:r>
      <w:r>
        <w:rPr>
          <w:lang w:val="en_US" w:bidi="en_US"/>
        </w:rPr>
        <w:t>Use an expression that is natural in your own language to describe a person thinking about what to do when he is not sure.</w:t>
      </w:r>
    </w:p>
    <w:p>
      <w:pPr/>
      <w:r>
        <w:rPr>
          <w:lang w:val="en_US" w:bidi="en_US"/>
        </w:rPr>
      </w:r>
      <w:r>
        <w:rPr>
          <w:lang w:val="en_US" w:bidi="en_US"/>
        </w:rPr>
        <w:t>See the General Comment on 12:17–19 at the end of 12:19b for a way to translate 2:17–19 as indirect speech.</w:t>
      </w:r>
    </w:p>
    <w:p>
      <w:pPr/>
      <w:r>
        <w:rPr>
          <w:lang w:val="en_US" w:bidi="en_US"/>
        </w:rPr>
      </w:r>
      <w:r>
        <w:rPr>
          <w:b/>
          <w:lang w:val="en_US" w:bidi="en_US"/>
        </w:rPr>
        <w:t>What shall I do:</w:t>
      </w:r>
      <w:r>
        <w:rPr>
          <w:lang w:val="en_US" w:bidi="en_US"/>
        </w:rPr>
        <w:t xml:space="preserve"> This is a rhetorical question that expresses uncertainty. The rich man was asking himself this question. He was not certain where he would put all the grain.</w:t>
      </w:r>
    </w:p>
    <w:p>
      <w:pPr/>
      <w:r>
        <w:rPr>
          <w:lang w:val="en_US" w:bidi="en_US"/>
        </w:rPr>
      </w:r>
      <w:r>
        <w:rPr>
          <w:lang w:val="en_US" w:bidi="en_US"/>
        </w:rPr>
        <w:t>Some ways to translate this uncertainty are:</w:t>
      </w:r>
    </w:p>
    <w:p>
      <w:pPr>
        <w:pStyle w:val="ListBullet"/>
        <w:spacing w:line="240" w:lineRule="auto"/>
        <w:ind w:left="720"/>
      </w:pPr>
      <w:r>
        <w:rPr>
          <w:lang w:val="en_US" w:bidi="en_US"/>
        </w:rPr>
      </w:r>
      <w:r>
        <w:rPr>
          <w:lang w:val="en_US" w:bidi="en_US"/>
        </w:rPr>
        <w:t>As a rhetorical question. For example:</w:t>
      </w:r>
      <w:r>
        <w:rPr>
          <w:lang w:val="en_US" w:bidi="en_US"/>
        </w:rPr>
        <w:t>What should/can I do?</w:t>
      </w:r>
    </w:p>
    <w:p>
      <w:pPr>
        <w:pStyle w:val="ListBullet"/>
        <w:spacing w:line="240" w:lineRule="auto"/>
        <w:ind w:left="720"/>
      </w:pPr>
      <w:r>
        <w:rPr>
          <w:lang w:val="en_US" w:bidi="en_US"/>
        </w:rPr>
      </w:r>
      <w:r>
        <w:rPr>
          <w:lang w:val="en_US" w:bidi="en_US"/>
        </w:rPr>
        <w:t>As a statement. For example:</w:t>
      </w:r>
      <w:r>
        <w:rPr>
          <w:lang w:val="en_US" w:bidi="en_US"/>
        </w:rPr>
        <w:t>I wonder what I should do.</w:t>
      </w:r>
    </w:p>
    <w:p>
      <w:pPr/>
      <w:r>
        <w:rPr>
          <w:lang w:val="en_US" w:bidi="en_US"/>
        </w:rPr>
      </w:r>
      <w:r>
        <w:rPr>
          <w:lang w:val="en_US" w:bidi="en_US"/>
        </w:rPr>
        <w:t>Translate this uncertainty in a way that is natural in your language.</w:t>
      </w:r>
    </w:p>
    <w:p>
      <w:pPr>
        <w:pStyle w:val="Heading5"/>
      </w:pPr>
      <w:r>
        <w:rPr>
          <w:lang w:val="en_US" w:bidi="en_US"/>
        </w:rPr>
        <w:t>12:17b</w:t>
      </w:r>
    </w:p>
    <w:p>
      <w:pPr/>
      <w:r>
        <w:rPr>
          <w:lang w:val="en_US" w:bidi="en_US"/>
        </w:rPr>
      </w:r>
      <w:r>
        <w:rPr>
          <w:b/>
          <w:lang w:val="en_US" w:bidi="en_US"/>
        </w:rPr>
        <w:t>since I have nowhere to store my crops?’</w:t>
      </w:r>
    </w:p>
    <w:p>
      <w:pPr>
        <w:pStyle w:val="ListBullet"/>
        <w:spacing w:line="240" w:lineRule="auto"/>
        <w:ind w:left="720"/>
      </w:pPr>
      <w:r>
        <w:rPr>
          <w:lang w:val="en_US" w:bidi="en_US"/>
        </w:rPr>
      </w:r>
      <w:r>
        <w:rPr>
          <w:lang w:val="en_US" w:bidi="en_US"/>
        </w:rPr>
        <w:t xml:space="preserve">I do not have any </w:t>
      </w:r>
      <w:r>
        <w:rPr>
          <w:lang w:val="en_US" w:bidi="en_US"/>
        </w:rPr>
        <w:t>more</w:t>
      </w:r>
      <w:r>
        <w:rPr>
          <w:lang w:val="en_US" w:bidi="en_US"/>
        </w:rPr>
        <w:t xml:space="preserve"> room </w:t>
      </w:r>
      <w:r>
        <w:rPr>
          <w:lang w:val="en_US" w:bidi="en_US"/>
        </w:rPr>
        <w:t>in my barns/granaries</w:t>
      </w:r>
      <w:r>
        <w:rPr>
          <w:lang w:val="en_US" w:bidi="en_US"/>
        </w:rPr>
        <w:t xml:space="preserve"> to put all this grain.’</w:t>
      </w:r>
    </w:p>
    <w:p>
      <w:pPr>
        <w:pStyle w:val="ListBullet"/>
        <w:spacing w:line="240" w:lineRule="auto"/>
        <w:ind w:left="720"/>
      </w:pPr>
      <w:r>
        <w:rPr>
          <w:lang w:val="en_US" w:bidi="en_US"/>
        </w:rPr>
      </w:r>
      <w:r>
        <w:rPr>
          <w:lang w:val="en_US" w:bidi="en_US"/>
        </w:rPr>
        <w:t>It will not fit into my current storage places.’</w:t>
      </w:r>
    </w:p>
    <w:p>
      <w:pPr>
        <w:pStyle w:val="ListBullet"/>
        <w:spacing w:line="240" w:lineRule="auto"/>
        <w:ind w:left="720"/>
      </w:pPr>
      <w:r>
        <w:rPr>
          <w:lang w:val="en_US" w:bidi="en_US"/>
        </w:rPr>
      </w:r>
      <w:r>
        <w:rPr>
          <w:lang w:val="en_US" w:bidi="en_US"/>
        </w:rPr>
        <w:t>since he did not have enough space in his barns/granaries for all of it.</w:t>
      </w:r>
    </w:p>
    <w:p>
      <w:pPr/>
      <w:r>
        <w:rPr>
          <w:lang w:val="en_US" w:bidi="en_US"/>
        </w:rPr>
      </w:r>
      <w:r>
        <w:rPr>
          <w:b/>
          <w:lang w:val="en_US" w:bidi="en_US"/>
        </w:rPr>
        <w:t>since I have nowhere to store my crops:</w:t>
      </w:r>
      <w:r>
        <w:rPr>
          <w:lang w:val="en_US" w:bidi="en_US"/>
        </w:rPr>
        <w:t xml:space="preserve"> This clause implies that the man did not have </w:t>
      </w:r>
      <w:r>
        <w:rPr>
          <w:u w:val="single"/>
          <w:lang w:val="en_US" w:bidi="en_US"/>
        </w:rPr>
        <w:t>enough</w:t>
      </w:r>
      <w:r>
        <w:rPr>
          <w:lang w:val="en_US" w:bidi="en_US"/>
        </w:rPr>
        <w:t xml:space="preserve"> space to store the large harvest of grain or other crops that had grown that year. In some languages it may be necessary to make this explicit. For example:</w:t>
      </w:r>
    </w:p>
    <w:p>
      <w:pPr/>
      <w:r>
        <w:rPr>
          <w:lang w:val="en_US" w:bidi="en_US"/>
        </w:rPr>
      </w:r>
      <w:r>
        <w:rPr>
          <w:lang w:val="en_US" w:bidi="en_US"/>
        </w:rPr>
        <w:t xml:space="preserve">I have no </w:t>
      </w:r>
      <w:r>
        <w:rPr>
          <w:lang w:val="en_US" w:bidi="en_US"/>
        </w:rPr>
        <w:t>more</w:t>
      </w:r>
      <w:r>
        <w:rPr>
          <w:lang w:val="en_US" w:bidi="en_US"/>
        </w:rPr>
        <w:t xml:space="preserve"> place to store my crops.</w:t>
      </w:r>
    </w:p>
    <w:p>
      <w:pPr/>
      <w:r>
        <w:rPr>
          <w:lang w:val="en_US" w:bidi="en_US"/>
        </w:rPr>
      </w:r>
      <w:r>
        <w:rPr>
          <w:lang w:val="en_US" w:bidi="en_US"/>
        </w:rPr>
        <w:t xml:space="preserve">It is also clear from 12:18b that the man stored his crops in barns. If it is not natural in your language to use an expression such as </w:t>
      </w:r>
      <w:r>
        <w:rPr>
          <w:i/>
          <w:lang w:val="en_US" w:bidi="en_US"/>
        </w:rPr>
        <w:t>nowhere to store</w:t>
      </w:r>
      <w:r>
        <w:rPr>
          <w:lang w:val="en_US" w:bidi="en_US"/>
        </w:rPr>
        <w:t>, you may use a specific term such as “barns” or “granaries.” For example:</w:t>
      </w:r>
    </w:p>
    <w:p>
      <w:pPr/>
      <w:r>
        <w:rPr>
          <w:lang w:val="en_US" w:bidi="en_US"/>
        </w:rPr>
      </w:r>
      <w:r>
        <w:rPr>
          <w:lang w:val="en_US" w:bidi="en_US"/>
        </w:rPr>
        <w:t>My barns/granaries are not enough to store/put all my crops.</w:t>
      </w:r>
    </w:p>
    <w:p>
      <w:pPr/>
      <w:r>
        <w:rPr>
          <w:lang w:val="en_US" w:bidi="en_US"/>
        </w:rPr>
      </w:r>
      <w:r>
        <w:rPr>
          <w:lang w:val="en_US" w:bidi="en_US"/>
        </w:rPr>
        <w:t>My crops will not fit in my barns/granaries.</w:t>
      </w:r>
    </w:p>
    <w:p>
      <w:pPr/>
      <w:r>
        <w:rPr>
          <w:lang w:val="en_US" w:bidi="en_US"/>
        </w:rPr>
      </w:r>
      <w:r>
        <w:rPr>
          <w:lang w:val="en_US" w:bidi="en_US"/>
        </w:rPr>
        <w:t>Use a term or expression that fits with the term that you use for “barns” in 12:18b.</w:t>
      </w:r>
      <w:r>
        <w:rPr>
          <w:lang w:val="en_US" w:bidi="en_US"/>
        </w:rPr>
      </w:r>
      <w:r>
        <w:rPr>
          <w:lang w:val="en_US" w:bidi="en_US"/>
        </w:rPr>
      </w:r>
    </w:p>
    <w:p>
      <w:pPr/>
      <w:r>
        <w:rPr>
          <w:lang w:val="en_US" w:bidi="en_US"/>
        </w:rPr>
      </w:r>
    </w:p>
    <w:p>
      <w:pPr>
        <w:pStyle w:val="Heading2"/>
      </w:pPr>
      <w:r>
        <w:rPr>
          <w:lang w:val="en_US" w:bidi="en_US"/>
        </w:rPr>
        <w:t>Luke 12:18</w:t>
      </w:r>
      <w:r>
        <w:rPr>
          <w:lang w:val="en_US" w:bidi="en_US"/>
        </w:rPr>
      </w:r>
    </w:p>
    <w:p>
      <w:pPr>
        <w:pStyle w:val="Heading4"/>
      </w:pPr>
      <w:r>
        <w:rPr>
          <w:lang w:val="en_US" w:bidi="en_US"/>
        </w:rPr>
        <w:t>Section 12:13–21: Jesus warned the people not to be greedy</w:t>
      </w:r>
    </w:p>
    <w:p>
      <w:pPr/>
      <w:r>
        <w:rPr>
          <w:lang w:val="en_US" w:bidi="en_US"/>
        </w:rPr>
      </w:r>
      <w:r>
        <w:rPr>
          <w:lang w:val="en_US" w:bidi="en_US"/>
        </w:rPr>
        <w:t>In the previous section Jesus was speaking to his disciples. In this section a man in the crowd interrupted and asked Jesus to settle a quarrel between him and his brother about an inheritance. Jesus used this situation as an opportunity to warn the crowd about being greedy and selfish. He told them a parable about a rich man who kept all his riches for himself. God called him a fool and judged him for it.</w:t>
      </w:r>
    </w:p>
    <w:p>
      <w:pPr/>
      <w:r>
        <w:rPr>
          <w:lang w:val="en_US" w:bidi="en_US"/>
        </w:rPr>
      </w:r>
      <w:r>
        <w:rPr>
          <w:lang w:val="en_US" w:bidi="en_US"/>
        </w:rPr>
        <w:t>Some other possible headings for this section are:</w:t>
      </w:r>
    </w:p>
    <w:p>
      <w:pPr/>
      <w:r>
        <w:rPr>
          <w:lang w:val="en_US" w:bidi="en_US"/>
        </w:rPr>
      </w:r>
      <w:r>
        <w:rPr>
          <w:lang w:val="en_US" w:bidi="en_US"/>
        </w:rPr>
        <w:t>The Parable About The Rich Fool</w:t>
      </w:r>
    </w:p>
    <w:p>
      <w:pPr/>
      <w:r>
        <w:rPr>
          <w:lang w:val="en_US" w:bidi="en_US"/>
        </w:rPr>
      </w:r>
      <w:r>
        <w:rPr>
          <w:lang w:val="en_US" w:bidi="en_US"/>
        </w:rPr>
        <w:t>A Rich Fool (CEV)</w:t>
      </w:r>
    </w:p>
    <w:p>
      <w:pPr/>
      <w:r>
        <w:rPr>
          <w:lang w:val="en_US" w:bidi="en_US"/>
        </w:rPr>
      </w:r>
      <w:r>
        <w:rPr>
          <w:lang w:val="en_US" w:bidi="en_US"/>
        </w:rPr>
        <w:t>Jesus Warns Against Selfishness (NCV)</w:t>
      </w:r>
    </w:p>
    <w:p>
      <w:pPr/>
      <w:r>
        <w:rPr>
          <w:lang w:val="en_US" w:bidi="en_US"/>
        </w:rPr>
      </w:r>
      <w:r>
        <w:rPr>
          <w:lang w:val="en_US" w:bidi="en_US"/>
        </w:rPr>
        <w:t>This parable is only in the Gospel of Luke.</w:t>
      </w:r>
    </w:p>
    <w:p>
      <w:pPr>
        <w:pStyle w:val="Heading5"/>
      </w:pPr>
      <w:r>
        <w:rPr>
          <w:lang w:val="en_US" w:bidi="en_US"/>
        </w:rPr>
        <w:t>12:18a</w:t>
      </w:r>
    </w:p>
    <w:p>
      <w:pPr/>
      <w:r>
        <w:rPr>
          <w:lang w:val="en_US" w:bidi="en_US"/>
        </w:rPr>
      </w:r>
      <w:r>
        <w:rPr>
          <w:b/>
          <w:lang w:val="en_US" w:bidi="en_US"/>
        </w:rPr>
        <w:t>Then he said, ‘This is what I will do:</w:t>
      </w:r>
    </w:p>
    <w:p>
      <w:pPr>
        <w:pStyle w:val="ListBullet"/>
        <w:spacing w:line="240" w:lineRule="auto"/>
        <w:ind w:left="720"/>
      </w:pPr>
      <w:r>
        <w:rPr>
          <w:lang w:val="en_US" w:bidi="en_US"/>
        </w:rPr>
      </w:r>
      <w:r>
        <w:rPr>
          <w:lang w:val="en_US" w:bidi="en_US"/>
        </w:rPr>
        <w:t>Then the man thought, ‘I know what I will do.</w:t>
      </w:r>
    </w:p>
    <w:p>
      <w:pPr>
        <w:pStyle w:val="ListBullet"/>
        <w:spacing w:line="240" w:lineRule="auto"/>
        <w:ind w:left="720"/>
      </w:pPr>
      <w:r>
        <w:rPr>
          <w:lang w:val="en_US" w:bidi="en_US"/>
        </w:rPr>
      </w:r>
      <w:r>
        <w:rPr>
          <w:lang w:val="en_US" w:bidi="en_US"/>
        </w:rPr>
        <w:t>He decided</w:t>
      </w:r>
    </w:p>
    <w:p>
      <w:pPr/>
      <w:r>
        <w:rPr>
          <w:lang w:val="en_US" w:bidi="en_US"/>
        </w:rPr>
      </w:r>
      <w:r>
        <w:rPr>
          <w:b/>
          <w:lang w:val="en_US" w:bidi="en_US"/>
        </w:rPr>
        <w:t>Then he said:</w:t>
      </w:r>
      <w:r>
        <w:rPr>
          <w:lang w:val="en_US" w:bidi="en_US"/>
        </w:rPr>
        <w:t xml:space="preserve"> The phrase </w:t>
      </w:r>
      <w:r>
        <w:rPr>
          <w:i/>
          <w:lang w:val="en_US" w:bidi="en_US"/>
        </w:rPr>
        <w:t>Then he said</w:t>
      </w:r>
      <w:r>
        <w:rPr>
          <w:lang w:val="en_US" w:bidi="en_US"/>
        </w:rPr>
        <w:t xml:space="preserve"> introduces more things that the rich man thought as he was deciding what he should do. He continued to say these things to himself in his own mind. In some languages it may be more natural to continue the man’s thoughts without using an introductory clause such as </w:t>
      </w:r>
      <w:r>
        <w:rPr>
          <w:i/>
          <w:lang w:val="en_US" w:bidi="en_US"/>
        </w:rPr>
        <w:t>Then he said</w:t>
      </w:r>
      <w:r>
        <w:rPr>
          <w:lang w:val="en_US" w:bidi="en_US"/>
        </w:rPr>
        <w:t>. For example:</w:t>
      </w:r>
    </w:p>
    <w:p>
      <w:pPr/>
      <w:r>
        <w:rPr>
          <w:lang w:val="en_US" w:bidi="en_US"/>
        </w:rPr>
      </w:r>
      <w:r>
        <w:rPr>
          <w:lang w:val="en_US" w:bidi="en_US"/>
        </w:rPr>
        <w:t>Aha! I know what I will do.</w:t>
      </w:r>
    </w:p>
    <w:p>
      <w:pPr/>
      <w:r>
        <w:rPr>
          <w:lang w:val="en_US" w:bidi="en_US"/>
        </w:rPr>
      </w:r>
      <w:r>
        <w:rPr>
          <w:b/>
          <w:lang w:val="en_US" w:bidi="en_US"/>
        </w:rPr>
        <w:t>This is what I will do:</w:t>
      </w:r>
      <w:r>
        <w:rPr>
          <w:lang w:val="en_US" w:bidi="en_US"/>
        </w:rPr>
        <w:t xml:space="preserve"> This clause introduces the rich man’s answer to his own question. He had made a decision about what to do. Consider what phrase people use when they have decided to act in a certain way. For example:</w:t>
      </w:r>
    </w:p>
    <w:p>
      <w:pPr/>
      <w:r>
        <w:rPr>
          <w:lang w:val="en_US" w:bidi="en_US"/>
        </w:rPr>
      </w:r>
      <w:r>
        <w:rPr>
          <w:lang w:val="en_US" w:bidi="en_US"/>
        </w:rPr>
        <w:t>I know! (NLT)</w:t>
      </w:r>
    </w:p>
    <w:p>
      <w:pPr>
        <w:pStyle w:val="Heading5"/>
      </w:pPr>
      <w:r>
        <w:rPr>
          <w:lang w:val="en_US" w:bidi="en_US"/>
        </w:rPr>
        <w:t>12:18b</w:t>
      </w:r>
    </w:p>
    <w:p>
      <w:pPr/>
      <w:r>
        <w:rPr>
          <w:lang w:val="en_US" w:bidi="en_US"/>
        </w:rPr>
      </w:r>
      <w:r>
        <w:rPr>
          <w:b/>
          <w:lang w:val="en_US" w:bidi="en_US"/>
        </w:rPr>
        <w:t>I will tear down my barns and will build bigger ones,</w:t>
      </w:r>
    </w:p>
    <w:p>
      <w:pPr>
        <w:pStyle w:val="ListBullet"/>
        <w:spacing w:line="240" w:lineRule="auto"/>
        <w:ind w:left="720"/>
      </w:pPr>
      <w:r>
        <w:rPr>
          <w:lang w:val="en_US" w:bidi="en_US"/>
        </w:rPr>
      </w:r>
      <w:r>
        <w:rPr>
          <w:lang w:val="en_US" w:bidi="en_US"/>
        </w:rPr>
        <w:t>I will destroy/dismantle the barns/granaries that I now have and build big/bigger barns/granaries.</w:t>
      </w:r>
    </w:p>
    <w:p>
      <w:pPr>
        <w:pStyle w:val="ListBullet"/>
        <w:spacing w:line="240" w:lineRule="auto"/>
        <w:ind w:left="720"/>
      </w:pPr>
      <w:r>
        <w:rPr>
          <w:lang w:val="en_US" w:bidi="en_US"/>
        </w:rPr>
      </w:r>
      <w:r>
        <w:rPr>
          <w:lang w:val="en_US" w:bidi="en_US"/>
        </w:rPr>
        <w:t xml:space="preserve">to have his </w:t>
      </w:r>
      <w:r>
        <w:rPr>
          <w:lang w:val="en_US" w:bidi="en_US"/>
        </w:rPr>
        <w:t>old</w:t>
      </w:r>
      <w:r>
        <w:rPr>
          <w:lang w:val="en_US" w:bidi="en_US"/>
        </w:rPr>
        <w:t xml:space="preserve"> barns torn down and to have </w:t>
      </w:r>
      <w:r>
        <w:rPr>
          <w:lang w:val="en_US" w:bidi="en_US"/>
        </w:rPr>
        <w:t>bigger</w:t>
      </w:r>
      <w:r>
        <w:rPr>
          <w:lang w:val="en_US" w:bidi="en_US"/>
        </w:rPr>
        <w:t xml:space="preserve"> ones built,</w:t>
      </w:r>
    </w:p>
    <w:p>
      <w:pPr/>
      <w:r>
        <w:rPr>
          <w:lang w:val="en_US" w:bidi="en_US"/>
        </w:rPr>
      </w:r>
      <w:r>
        <w:rPr>
          <w:b/>
          <w:lang w:val="en_US" w:bidi="en_US"/>
        </w:rPr>
        <w:t>I will tear down my barns and will build bigger ones:</w:t>
      </w:r>
      <w:r>
        <w:rPr>
          <w:lang w:val="en_US" w:bidi="en_US"/>
        </w:rPr>
        <w:t xml:space="preserve"> In the cultural context, this statement implies that the rich man will order his servants to do this work. In some languages it may be necessary to make this information explicit. For example:</w:t>
      </w:r>
    </w:p>
    <w:p>
      <w:pPr/>
      <w:r>
        <w:rPr>
          <w:lang w:val="en_US" w:bidi="en_US"/>
        </w:rPr>
      </w:r>
      <w:r>
        <w:rPr>
          <w:lang w:val="en_US" w:bidi="en_US"/>
        </w:rPr>
        <w:t xml:space="preserve">I will </w:t>
      </w:r>
      <w:r>
        <w:rPr>
          <w:lang w:val="en_US" w:bidi="en_US"/>
        </w:rPr>
        <w:t>tell my workers/men to</w:t>
      </w:r>
      <w:r>
        <w:rPr>
          <w:lang w:val="en_US" w:bidi="en_US"/>
        </w:rPr>
        <w:t xml:space="preserve"> tear down my barns and build bigger ones</w:t>
      </w:r>
    </w:p>
    <w:p>
      <w:pPr/>
      <w:r>
        <w:rPr>
          <w:lang w:val="en_US" w:bidi="en_US"/>
        </w:rPr>
      </w:r>
      <w:r>
        <w:rPr>
          <w:lang w:val="en_US" w:bidi="en_US"/>
        </w:rPr>
        <w:t>Consider whether it is natural in your language to use a causative idea here.</w:t>
      </w:r>
    </w:p>
    <w:p>
      <w:pPr/>
      <w:r>
        <w:rPr>
          <w:lang w:val="en_US" w:bidi="en_US"/>
        </w:rPr>
      </w:r>
      <w:r>
        <w:rPr>
          <w:b/>
          <w:lang w:val="en_US" w:bidi="en_US"/>
        </w:rPr>
        <w:t>tear down:</w:t>
      </w:r>
      <w:r>
        <w:rPr>
          <w:lang w:val="en_US" w:bidi="en_US"/>
        </w:rPr>
        <w:t xml:space="preserve"> The Greek expression that the BSB translates as </w:t>
      </w:r>
      <w:r>
        <w:rPr>
          <w:i/>
          <w:lang w:val="en_US" w:bidi="en_US"/>
        </w:rPr>
        <w:t>tear down</w:t>
      </w:r>
      <w:r>
        <w:rPr>
          <w:lang w:val="en_US" w:bidi="en_US"/>
        </w:rPr>
        <w:t xml:space="preserve"> means to pull down or take apart. The rich man wanted to demolish his old barns in order to make room for new ones.</w:t>
      </w:r>
    </w:p>
    <w:p>
      <w:pPr/>
      <w:r>
        <w:rPr>
          <w:lang w:val="en_US" w:bidi="en_US"/>
        </w:rPr>
      </w:r>
      <w:r>
        <w:rPr>
          <w:b/>
          <w:lang w:val="en_US" w:bidi="en_US"/>
        </w:rPr>
        <w:t>barns…bigger ones:</w:t>
      </w:r>
      <w:r>
        <w:rPr>
          <w:lang w:val="en_US" w:bidi="en_US"/>
        </w:rPr>
        <w:t xml:space="preserve"> In this context the Greek word that the BSB translates as </w:t>
      </w:r>
      <w:r>
        <w:rPr>
          <w:i/>
          <w:lang w:val="en_US" w:bidi="en_US"/>
        </w:rPr>
        <w:t>barns</w:t>
      </w:r>
      <w:r>
        <w:rPr>
          <w:lang w:val="en_US" w:bidi="en_US"/>
        </w:rPr>
        <w:t xml:space="preserve"> literally refers to buildings that were used for storing grain or other crops. The next part of the verse shows that when the man built </w:t>
      </w:r>
      <w:r>
        <w:rPr>
          <w:i/>
          <w:lang w:val="en_US" w:bidi="en_US"/>
        </w:rPr>
        <w:t>bigger ones</w:t>
      </w:r>
      <w:r>
        <w:rPr>
          <w:lang w:val="en_US" w:bidi="en_US"/>
        </w:rPr>
        <w:t xml:space="preserve">, he would also use them to store other possessions besides grain. If your language does not have a word for </w:t>
      </w:r>
      <w:r>
        <w:rPr>
          <w:i/>
          <w:lang w:val="en_US" w:bidi="en_US"/>
        </w:rPr>
        <w:t>barns</w:t>
      </w:r>
      <w:r>
        <w:rPr>
          <w:lang w:val="en_US" w:bidi="en_US"/>
        </w:rPr>
        <w:t>, you may:</w:t>
      </w:r>
    </w:p>
    <w:p>
      <w:pPr>
        <w:pStyle w:val="ListBullet"/>
        <w:spacing w:line="240" w:lineRule="auto"/>
        <w:ind w:left="720"/>
      </w:pPr>
      <w:r>
        <w:rPr>
          <w:lang w:val="en_US" w:bidi="en_US"/>
        </w:rPr>
      </w:r>
      <w:r>
        <w:rPr>
          <w:lang w:val="en_US" w:bidi="en_US"/>
        </w:rPr>
        <w:t>Use a local equivalent. For example:</w:t>
      </w:r>
      <w:r>
        <w:rPr>
          <w:lang w:val="en_US" w:bidi="en_US"/>
        </w:rPr>
        <w:t>granaries</w:t>
      </w:r>
    </w:p>
    <w:p>
      <w:pPr>
        <w:pStyle w:val="ListBullet"/>
        <w:spacing w:line="240" w:lineRule="auto"/>
        <w:ind w:left="720"/>
      </w:pPr>
      <w:r>
        <w:rPr>
          <w:lang w:val="en_US" w:bidi="en_US"/>
        </w:rPr>
      </w:r>
      <w:r>
        <w:rPr>
          <w:lang w:val="en_US" w:bidi="en_US"/>
        </w:rPr>
        <w:t>Use a descriptive phrase. For example:</w:t>
      </w:r>
      <w:r>
        <w:rPr>
          <w:lang w:val="en_US" w:bidi="en_US"/>
        </w:rPr>
        <w:t>storage places/buildings</w:t>
      </w:r>
    </w:p>
    <w:p>
      <w:pPr>
        <w:pStyle w:val="Heading5"/>
      </w:pPr>
      <w:r>
        <w:rPr>
          <w:lang w:val="en_US" w:bidi="en_US"/>
        </w:rPr>
        <w:t>12:18c</w:t>
      </w:r>
    </w:p>
    <w:p>
      <w:pPr/>
      <w:r>
        <w:rPr>
          <w:lang w:val="en_US" w:bidi="en_US"/>
        </w:rPr>
      </w:r>
      <w:r>
        <w:rPr>
          <w:b/>
          <w:lang w:val="en_US" w:bidi="en_US"/>
        </w:rPr>
        <w:t>and there I will store up all my grain and my goods.</w:t>
      </w:r>
    </w:p>
    <w:p>
      <w:pPr>
        <w:pStyle w:val="ListBullet"/>
        <w:spacing w:line="240" w:lineRule="auto"/>
        <w:ind w:left="720"/>
      </w:pPr>
      <w:r>
        <w:rPr>
          <w:lang w:val="en_US" w:bidi="en_US"/>
        </w:rPr>
      </w:r>
      <w:r>
        <w:rPr>
          <w:lang w:val="en_US" w:bidi="en_US"/>
        </w:rPr>
        <w:t xml:space="preserve">That is where I will put all my grain and </w:t>
      </w:r>
      <w:r>
        <w:rPr>
          <w:lang w:val="en_US" w:bidi="en_US"/>
        </w:rPr>
        <w:t>the other</w:t>
      </w:r>
      <w:r>
        <w:rPr>
          <w:lang w:val="en_US" w:bidi="en_US"/>
        </w:rPr>
        <w:t xml:space="preserve"> things I own.</w:t>
      </w:r>
    </w:p>
    <w:p>
      <w:pPr>
        <w:pStyle w:val="ListBullet"/>
        <w:spacing w:line="240" w:lineRule="auto"/>
        <w:ind w:left="720"/>
      </w:pPr>
      <w:r>
        <w:rPr>
          <w:lang w:val="en_US" w:bidi="en_US"/>
        </w:rPr>
      </w:r>
      <w:r>
        <w:rPr>
          <w:lang w:val="en_US" w:bidi="en_US"/>
        </w:rPr>
        <w:t xml:space="preserve">That is how I will store all my grain and </w:t>
      </w:r>
      <w:r>
        <w:rPr>
          <w:lang w:val="en_US" w:bidi="en_US"/>
        </w:rPr>
        <w:t>the other</w:t>
      </w:r>
      <w:r>
        <w:rPr>
          <w:lang w:val="en_US" w:bidi="en_US"/>
        </w:rPr>
        <w:t xml:space="preserve"> things that belong to me.’</w:t>
      </w:r>
    </w:p>
    <w:p>
      <w:pPr>
        <w:pStyle w:val="ListBullet"/>
        <w:spacing w:line="240" w:lineRule="auto"/>
        <w:ind w:left="720"/>
      </w:pPr>
      <w:r>
        <w:rPr>
          <w:lang w:val="en_US" w:bidi="en_US"/>
        </w:rPr>
      </w:r>
      <w:r>
        <w:rPr>
          <w:lang w:val="en_US" w:bidi="en_US"/>
        </w:rPr>
        <w:t>where he could store all his grain/crops and other possessions.</w:t>
      </w:r>
    </w:p>
    <w:p>
      <w:pPr/>
      <w:r>
        <w:rPr>
          <w:lang w:val="en_US" w:bidi="en_US"/>
        </w:rPr>
      </w:r>
      <w:r>
        <w:rPr>
          <w:b/>
          <w:lang w:val="en_US" w:bidi="en_US"/>
        </w:rPr>
        <w:t>there:</w:t>
      </w:r>
      <w:r>
        <w:rPr>
          <w:lang w:val="en_US" w:bidi="en_US"/>
        </w:rPr>
        <w:t xml:space="preserve"> In this context the word </w:t>
      </w:r>
      <w:r>
        <w:rPr>
          <w:i/>
          <w:lang w:val="en_US" w:bidi="en_US"/>
        </w:rPr>
        <w:t>there</w:t>
      </w:r>
      <w:r>
        <w:rPr>
          <w:lang w:val="en_US" w:bidi="en_US"/>
        </w:rPr>
        <w:t xml:space="preserve"> means “in those new barns/storehouses.”</w:t>
      </w:r>
    </w:p>
    <w:p>
      <w:pPr/>
      <w:r>
        <w:rPr>
          <w:lang w:val="en_US" w:bidi="en_US"/>
        </w:rPr>
      </w:r>
      <w:r>
        <w:rPr>
          <w:b/>
          <w:lang w:val="en_US" w:bidi="en_US"/>
        </w:rPr>
        <w:t>my grain:</w:t>
      </w:r>
      <w:r>
        <w:rPr>
          <w:lang w:val="en_US" w:bidi="en_US"/>
        </w:rPr>
        <w:t xml:space="preserve"> The Greek word that the BSB translates as </w:t>
      </w:r>
      <w:r>
        <w:rPr>
          <w:i/>
          <w:lang w:val="en_US" w:bidi="en_US"/>
        </w:rPr>
        <w:t>grain</w:t>
      </w:r>
      <w:r>
        <w:rPr>
          <w:lang w:val="en_US" w:bidi="en_US"/>
        </w:rPr>
        <w:t xml:space="preserve"> refers literally to wheat, but it can be used for any grain. In areas where there is no word for </w:t>
      </w:r>
      <w:r>
        <w:rPr>
          <w:i/>
          <w:lang w:val="en_US" w:bidi="en_US"/>
        </w:rPr>
        <w:t>grain</w:t>
      </w:r>
      <w:r>
        <w:rPr>
          <w:lang w:val="en_US" w:bidi="en_US"/>
        </w:rPr>
        <w:t xml:space="preserve"> or “wheat,” you may use a more general term. For example:</w:t>
      </w:r>
    </w:p>
    <w:p>
      <w:pPr/>
      <w:r>
        <w:rPr>
          <w:lang w:val="en_US" w:bidi="en_US"/>
        </w:rPr>
      </w:r>
      <w:r>
        <w:rPr>
          <w:lang w:val="en_US" w:bidi="en_US"/>
        </w:rPr>
        <w:t>my crops/harvest</w:t>
      </w:r>
    </w:p>
    <w:p>
      <w:pPr/>
      <w:r>
        <w:rPr>
          <w:lang w:val="en_US" w:bidi="en_US"/>
        </w:rPr>
      </w:r>
      <w:r>
        <w:rPr>
          <w:lang w:val="en_US" w:bidi="en_US"/>
        </w:rPr>
        <w:t>what I have harvested</w:t>
      </w:r>
    </w:p>
    <w:p>
      <w:pPr/>
      <w:r>
        <w:rPr>
          <w:lang w:val="en_US" w:bidi="en_US"/>
        </w:rPr>
      </w:r>
      <w:r>
        <w:rPr>
          <w:lang w:val="en_US" w:bidi="en_US"/>
        </w:rPr>
        <w:t>Try not to use the word for a specific grain such as “rice” that was not grown in Israel at that time.</w:t>
      </w:r>
    </w:p>
    <w:p>
      <w:pPr/>
      <w:r>
        <w:rPr>
          <w:lang w:val="en_US" w:bidi="en_US"/>
        </w:rPr>
      </w:r>
      <w:r>
        <w:rPr>
          <w:b/>
          <w:lang w:val="en_US" w:bidi="en_US"/>
        </w:rPr>
        <w:t>my goods:</w:t>
      </w:r>
      <w:r>
        <w:rPr>
          <w:lang w:val="en_US" w:bidi="en_US"/>
        </w:rPr>
        <w:t xml:space="preserve"> The Greek word that the BSB translates as </w:t>
      </w:r>
      <w:r>
        <w:rPr>
          <w:i/>
          <w:lang w:val="en_US" w:bidi="en_US"/>
        </w:rPr>
        <w:t>my goods</w:t>
      </w:r>
      <w:r>
        <w:rPr>
          <w:lang w:val="en_US" w:bidi="en_US"/>
        </w:rPr>
        <w:t xml:space="preserve"> refers to things other than grain that the rich man owned and could put in his barns. In some languages you may need to translate this as:</w:t>
      </w:r>
    </w:p>
    <w:p>
      <w:pPr/>
      <w:r>
        <w:rPr>
          <w:lang w:val="en_US" w:bidi="en_US"/>
        </w:rPr>
      </w:r>
      <w:r>
        <w:rPr>
          <w:lang w:val="en_US" w:bidi="en_US"/>
        </w:rPr>
        <w:t>the rest of</w:t>
      </w:r>
      <w:r>
        <w:rPr>
          <w:lang w:val="en_US" w:bidi="en_US"/>
        </w:rPr>
        <w:t xml:space="preserve"> my possessions/belongings</w:t>
      </w:r>
      <w:r>
        <w:rPr>
          <w:lang w:val="en_US" w:bidi="en_US"/>
        </w:rPr>
      </w:r>
      <w:r>
        <w:rPr>
          <w:lang w:val="en_US" w:bidi="en_US"/>
        </w:rPr>
      </w:r>
    </w:p>
    <w:p>
      <w:pPr/>
      <w:r>
        <w:rPr>
          <w:lang w:val="en_US" w:bidi="en_US"/>
        </w:rPr>
      </w:r>
    </w:p>
    <w:p>
      <w:pPr>
        <w:pStyle w:val="Heading2"/>
      </w:pPr>
      <w:r>
        <w:rPr>
          <w:lang w:val="en_US" w:bidi="en_US"/>
        </w:rPr>
        <w:t>Luke 12:19</w:t>
      </w:r>
      <w:r>
        <w:rPr>
          <w:lang w:val="en_US" w:bidi="en_US"/>
        </w:rPr>
      </w:r>
    </w:p>
    <w:p>
      <w:pPr>
        <w:pStyle w:val="Heading4"/>
      </w:pPr>
      <w:r>
        <w:rPr>
          <w:lang w:val="en_US" w:bidi="en_US"/>
        </w:rPr>
        <w:t>Section 12:13–21: Jesus warned the people not to be greedy</w:t>
      </w:r>
    </w:p>
    <w:p>
      <w:pPr/>
      <w:r>
        <w:rPr>
          <w:lang w:val="en_US" w:bidi="en_US"/>
        </w:rPr>
      </w:r>
      <w:r>
        <w:rPr>
          <w:lang w:val="en_US" w:bidi="en_US"/>
        </w:rPr>
        <w:t>In the previous section Jesus was speaking to his disciples. In this section a man in the crowd interrupted and asked Jesus to settle a quarrel between him and his brother about an inheritance. Jesus used this situation as an opportunity to warn the crowd about being greedy and selfish. He told them a parable about a rich man who kept all his riches for himself. God called him a fool and judged him for it.</w:t>
      </w:r>
    </w:p>
    <w:p>
      <w:pPr/>
      <w:r>
        <w:rPr>
          <w:lang w:val="en_US" w:bidi="en_US"/>
        </w:rPr>
      </w:r>
      <w:r>
        <w:rPr>
          <w:lang w:val="en_US" w:bidi="en_US"/>
        </w:rPr>
        <w:t>Some other possible headings for this section are:</w:t>
      </w:r>
    </w:p>
    <w:p>
      <w:pPr/>
      <w:r>
        <w:rPr>
          <w:lang w:val="en_US" w:bidi="en_US"/>
        </w:rPr>
      </w:r>
      <w:r>
        <w:rPr>
          <w:lang w:val="en_US" w:bidi="en_US"/>
        </w:rPr>
        <w:t>The Parable About The Rich Fool</w:t>
      </w:r>
    </w:p>
    <w:p>
      <w:pPr/>
      <w:r>
        <w:rPr>
          <w:lang w:val="en_US" w:bidi="en_US"/>
        </w:rPr>
      </w:r>
      <w:r>
        <w:rPr>
          <w:lang w:val="en_US" w:bidi="en_US"/>
        </w:rPr>
        <w:t>A Rich Fool (CEV)</w:t>
      </w:r>
    </w:p>
    <w:p>
      <w:pPr/>
      <w:r>
        <w:rPr>
          <w:lang w:val="en_US" w:bidi="en_US"/>
        </w:rPr>
      </w:r>
      <w:r>
        <w:rPr>
          <w:lang w:val="en_US" w:bidi="en_US"/>
        </w:rPr>
        <w:t>Jesus Warns Against Selfishness (NCV)</w:t>
      </w:r>
    </w:p>
    <w:p>
      <w:pPr/>
      <w:r>
        <w:rPr>
          <w:lang w:val="en_US" w:bidi="en_US"/>
        </w:rPr>
      </w:r>
      <w:r>
        <w:rPr>
          <w:lang w:val="en_US" w:bidi="en_US"/>
        </w:rPr>
        <w:t>This parable is only in the Gospel of Luke.</w:t>
      </w:r>
    </w:p>
    <w:p>
      <w:pPr>
        <w:pStyle w:val="Heading5"/>
      </w:pPr>
      <w:r>
        <w:rPr>
          <w:lang w:val="en_US" w:bidi="en_US"/>
        </w:rPr>
        <w:t>12:19a–b</w:t>
      </w:r>
    </w:p>
    <w:p>
      <w:pPr/>
      <w:r>
        <w:rPr>
          <w:lang w:val="en_US" w:bidi="en_US"/>
        </w:rPr>
      </w:r>
      <w:r>
        <w:rPr>
          <w:lang w:val="en_US" w:bidi="en_US"/>
        </w:rPr>
        <w:t>In this verse the rich man thought about what he would say to himself in the future. He thought about what he would say after he had built his new barns and filled them with good things. The text expresses his thoughts as a quotation within a quotation.</w:t>
      </w:r>
      <w:r>
        <w:rPr>
          <w:lang w:val="en_US" w:bidi="en_US"/>
        </w:rPr>
        <w:t>The rich man’s thoughts are what Jesus quoted, so there are actually three levels of quotation. English versions handle these quotes in different ways. It is suggested that you use whatever option is followed by a major language translation in your area.</w:t>
      </w:r>
      <w:r>
        <w:rPr>
          <w:lang w:val="en_US" w:bidi="en_US"/>
        </w:rPr>
        <w:t xml:space="preserve"> In some languages you may need to translate this as indirect speech. For example:</w:t>
      </w:r>
    </w:p>
    <w:p>
      <w:pPr/>
      <w:r>
        <w:rPr>
          <w:lang w:val="en_US" w:bidi="en_US"/>
        </w:rPr>
      </w:r>
      <w:r>
        <w:rPr>
          <w:lang w:val="en_US" w:bidi="en_US"/>
        </w:rPr>
        <w:t>Then I will congratulate myself that I have stored up enough good things to last me for many years. I will plan on taking life easy and enjoying plenty to eat and drink.</w:t>
      </w:r>
    </w:p>
    <w:p>
      <w:pPr>
        <w:pStyle w:val="Heading5"/>
      </w:pPr>
      <w:r>
        <w:rPr>
          <w:lang w:val="en_US" w:bidi="en_US"/>
        </w:rPr>
        <w:t>12:19a</w:t>
      </w:r>
    </w:p>
    <w:p>
      <w:pPr/>
      <w:r>
        <w:rPr>
          <w:lang w:val="en_US" w:bidi="en_US"/>
        </w:rPr>
      </w:r>
      <w:r>
        <w:rPr>
          <w:b/>
          <w:lang w:val="en_US" w:bidi="en_US"/>
        </w:rPr>
        <w:t>Then I will say to myself, “You have plenty of good things laid up for many years.</w:t>
      </w:r>
    </w:p>
    <w:p>
      <w:pPr>
        <w:pStyle w:val="ListBullet"/>
        <w:spacing w:line="240" w:lineRule="auto"/>
        <w:ind w:left="720"/>
      </w:pPr>
      <w:r>
        <w:rPr>
          <w:lang w:val="en_US" w:bidi="en_US"/>
        </w:rPr>
      </w:r>
      <w:r>
        <w:rPr>
          <w:lang w:val="en_US" w:bidi="en_US"/>
        </w:rPr>
        <w:t>Then I will tell myself, “</w:t>
      </w:r>
      <w:r>
        <w:rPr>
          <w:lang w:val="en_US" w:bidi="en_US"/>
        </w:rPr>
        <w:t>You are a lucky man/person, indeed!</w:t>
      </w:r>
      <w:r>
        <w:rPr>
          <w:lang w:val="en_US" w:bidi="en_US"/>
        </w:rPr>
        <w:t xml:space="preserve"> The many good things that you have stored/accumulated will suffice for many years.</w:t>
      </w:r>
    </w:p>
    <w:p>
      <w:pPr>
        <w:pStyle w:val="ListBullet"/>
        <w:spacing w:line="240" w:lineRule="auto"/>
        <w:ind w:left="720"/>
      </w:pPr>
      <w:r>
        <w:rPr>
          <w:lang w:val="en_US" w:bidi="en_US"/>
        </w:rPr>
      </w:r>
      <w:r>
        <w:rPr>
          <w:lang w:val="en_US" w:bidi="en_US"/>
        </w:rPr>
        <w:t>Then he would tell himself, ‘I have many good things that will last for years to come,</w:t>
      </w:r>
    </w:p>
    <w:p>
      <w:pPr>
        <w:pStyle w:val="ListBullet"/>
        <w:spacing w:line="240" w:lineRule="auto"/>
        <w:ind w:left="720"/>
      </w:pPr>
      <w:r>
        <w:rPr>
          <w:lang w:val="en_US" w:bidi="en_US"/>
        </w:rPr>
      </w:r>
      <w:r>
        <w:rPr>
          <w:lang w:val="en_US" w:bidi="en_US"/>
        </w:rPr>
        <w:t>He told himself that when he finished storing them, he would be happy that he had all the food and other things that he needed for many years,</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here introduces what the rich man would say to himself after he had finished storing his goods in his new barns. In some languages it may be more natural to use a word such as “And.”</w:t>
      </w:r>
    </w:p>
    <w:p>
      <w:pPr/>
      <w:r>
        <w:rPr>
          <w:lang w:val="en_US" w:bidi="en_US"/>
        </w:rPr>
      </w:r>
      <w:r>
        <w:rPr>
          <w:b/>
          <w:lang w:val="en_US" w:bidi="en_US"/>
        </w:rPr>
        <w:t>I will say to myself:</w:t>
      </w:r>
      <w:r>
        <w:rPr>
          <w:lang w:val="en_US" w:bidi="en_US"/>
        </w:rPr>
        <w:t xml:space="preserve"> The Greek expression that the BSB translates as </w:t>
      </w:r>
      <w:r>
        <w:rPr>
          <w:i/>
          <w:lang w:val="en_US" w:bidi="en_US"/>
        </w:rPr>
        <w:t>I will say to myself</w:t>
      </w:r>
      <w:r>
        <w:rPr>
          <w:lang w:val="en_US" w:bidi="en_US"/>
        </w:rPr>
        <w:t xml:space="preserve"> is literally “I will say to my soul.” Many English versions translate it that way. It introduces what the rich man would think in the future. He was thinking good thoughts about himself. Because of this, it may be appropriate in some languages to use a word meaning “praise/congratulate oneself” or to supply an exclamation with that meaning as part of the quote. For example:</w:t>
      </w:r>
    </w:p>
    <w:p>
      <w:pPr/>
      <w:r>
        <w:rPr>
          <w:lang w:val="en_US" w:bidi="en_US"/>
        </w:rPr>
      </w:r>
      <w:r>
        <w:rPr>
          <w:lang w:val="en_US" w:bidi="en_US"/>
        </w:rPr>
        <w:t>After that I can congratulate myself because I will have set aside enough good things to last for many years.</w:t>
      </w:r>
    </w:p>
    <w:p>
      <w:pPr/>
      <w:r>
        <w:rPr>
          <w:lang w:val="en_US" w:bidi="en_US"/>
        </w:rPr>
      </w:r>
      <w:r>
        <w:rPr>
          <w:lang w:val="en_US" w:bidi="en_US"/>
        </w:rPr>
        <w:t>Then I will say to myself, Lucky man! (GNT)</w:t>
      </w:r>
    </w:p>
    <w:p>
      <w:pPr/>
      <w:r>
        <w:rPr>
          <w:lang w:val="en_US" w:bidi="en_US"/>
        </w:rPr>
      </w:r>
      <w:r>
        <w:rPr>
          <w:b/>
          <w:lang w:val="en_US" w:bidi="en_US"/>
        </w:rPr>
        <w:t>You have plenty of good things laid up for many years:</w:t>
      </w:r>
      <w:r>
        <w:rPr>
          <w:lang w:val="en_US" w:bidi="en_US"/>
        </w:rPr>
        <w:t xml:space="preserve"> The rich man was saying that he had stored enough grain and other things to use for many years. He was implying that he did not need to continue to work. Another way to translate this is:</w:t>
      </w:r>
    </w:p>
    <w:p>
      <w:pPr/>
      <w:r>
        <w:rPr>
          <w:lang w:val="en_US" w:bidi="en_US"/>
        </w:rPr>
      </w:r>
      <w:r>
        <w:rPr>
          <w:lang w:val="en_US" w:bidi="en_US"/>
        </w:rPr>
        <w:t>You have all the good things you need for many years. (GNT)</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here refers to the rich man, who was talking to himself. In some languages it is more natural to use a pronoun like “I.” For example:</w:t>
      </w:r>
    </w:p>
    <w:p>
      <w:pPr/>
      <w:r>
        <w:rPr>
          <w:lang w:val="en_US" w:bidi="en_US"/>
        </w:rPr>
      </w:r>
      <w:r>
        <w:rPr>
          <w:lang w:val="en_US" w:bidi="en_US"/>
        </w:rPr>
        <w:t>Then I can say to myself, “I have enough good things stored to last for many years…” (NCV)</w:t>
      </w:r>
    </w:p>
    <w:p>
      <w:pPr/>
      <w:r>
        <w:rPr>
          <w:lang w:val="en_US" w:bidi="en_US"/>
        </w:rPr>
      </w:r>
      <w:r>
        <w:rPr>
          <w:b/>
          <w:lang w:val="en_US" w:bidi="en_US"/>
        </w:rPr>
        <w:t>laid up:</w:t>
      </w:r>
      <w:r>
        <w:rPr>
          <w:lang w:val="en_US" w:bidi="en_US"/>
        </w:rPr>
        <w:t xml:space="preserve"> The Greek verb that the BSB translates as </w:t>
      </w:r>
      <w:r>
        <w:rPr>
          <w:i/>
          <w:lang w:val="en_US" w:bidi="en_US"/>
        </w:rPr>
        <w:t>laid up</w:t>
      </w:r>
      <w:r>
        <w:rPr>
          <w:lang w:val="en_US" w:bidi="en_US"/>
        </w:rPr>
        <w:t xml:space="preserve"> here means “stored, put away in a safe place.” It has the same meaning here as the verb that the BSB translates as “store” in 12:17b.</w:t>
      </w:r>
    </w:p>
    <w:p>
      <w:pPr>
        <w:pStyle w:val="Heading5"/>
      </w:pPr>
      <w:r>
        <w:rPr>
          <w:lang w:val="en_US" w:bidi="en_US"/>
        </w:rPr>
        <w:t>12:19b</w:t>
      </w:r>
    </w:p>
    <w:p>
      <w:pPr/>
      <w:r>
        <w:rPr>
          <w:lang w:val="en_US" w:bidi="en_US"/>
        </w:rPr>
      </w:r>
      <w:r>
        <w:rPr>
          <w:b/>
          <w:lang w:val="en_US" w:bidi="en_US"/>
        </w:rPr>
        <w:t>Take it easy. Eat, drink, and be merry!”’</w:t>
      </w:r>
    </w:p>
    <w:p>
      <w:pPr>
        <w:pStyle w:val="ListBullet"/>
        <w:spacing w:line="240" w:lineRule="auto"/>
        <w:ind w:left="720"/>
      </w:pPr>
      <w:r>
        <w:rPr>
          <w:lang w:val="en_US" w:bidi="en_US"/>
        </w:rPr>
      </w:r>
      <w:r>
        <w:rPr>
          <w:lang w:val="en_US" w:bidi="en_US"/>
        </w:rPr>
        <w:t>You will not have to work anymore! You can have many feasts and parties and be happy!” ’</w:t>
      </w:r>
    </w:p>
    <w:p>
      <w:pPr>
        <w:pStyle w:val="ListBullet"/>
        <w:spacing w:line="240" w:lineRule="auto"/>
        <w:ind w:left="720"/>
      </w:pPr>
      <w:r>
        <w:rPr>
          <w:lang w:val="en_US" w:bidi="en_US"/>
        </w:rPr>
      </w:r>
      <w:r>
        <w:rPr>
          <w:lang w:val="en_US" w:bidi="en_US"/>
        </w:rPr>
        <w:t>and I can enjoy a pleasant life with all the parties and feasts I want.’</w:t>
      </w:r>
    </w:p>
    <w:p>
      <w:pPr>
        <w:pStyle w:val="ListBullet"/>
        <w:spacing w:line="240" w:lineRule="auto"/>
        <w:ind w:left="720"/>
      </w:pPr>
      <w:r>
        <w:rPr>
          <w:lang w:val="en_US" w:bidi="en_US"/>
        </w:rPr>
      </w:r>
      <w:r>
        <w:rPr>
          <w:lang w:val="en_US" w:bidi="en_US"/>
        </w:rPr>
        <w:t xml:space="preserve">and he could live easily/comfortably </w:t>
      </w:r>
      <w:r>
        <w:rPr>
          <w:lang w:val="en_US" w:bidi="en_US"/>
        </w:rPr>
        <w:t>without working</w:t>
      </w:r>
      <w:r>
        <w:rPr>
          <w:lang w:val="en_US" w:bidi="en_US"/>
        </w:rPr>
        <w:t>. He could eat and drink and celebrate as much as he wanted.</w:t>
      </w:r>
    </w:p>
    <w:p>
      <w:pPr/>
      <w:r>
        <w:rPr>
          <w:lang w:val="en_US" w:bidi="en_US"/>
        </w:rPr>
      </w:r>
      <w:r>
        <w:rPr>
          <w:b/>
          <w:lang w:val="en_US" w:bidi="en_US"/>
        </w:rPr>
        <w:t>Take it easy:</w:t>
      </w:r>
      <w:r>
        <w:rPr>
          <w:lang w:val="en_US" w:bidi="en_US"/>
        </w:rPr>
        <w:t xml:space="preserve"> The Greek expression that the BSB translates as </w:t>
      </w:r>
      <w:r>
        <w:rPr>
          <w:i/>
          <w:lang w:val="en_US" w:bidi="en_US"/>
        </w:rPr>
        <w:t>Take it easy</w:t>
      </w:r>
      <w:r>
        <w:rPr>
          <w:lang w:val="en_US" w:bidi="en_US"/>
        </w:rPr>
        <w:t xml:space="preserve"> means “rest” or “relax.” Consider what someone would say to himself if he did not need to work hard anymore. For example:</w:t>
      </w:r>
    </w:p>
    <w:p>
      <w:pPr/>
      <w:r>
        <w:rPr>
          <w:lang w:val="en_US" w:bidi="en_US"/>
        </w:rPr>
      </w:r>
      <w:r>
        <w:rPr>
          <w:lang w:val="en_US" w:bidi="en_US"/>
        </w:rPr>
        <w:t>You can live an easy life now.</w:t>
      </w:r>
    </w:p>
    <w:p>
      <w:pPr/>
      <w:r>
        <w:rPr>
          <w:lang w:val="en_US" w:bidi="en_US"/>
        </w:rPr>
      </w:r>
      <w:r>
        <w:rPr>
          <w:lang w:val="en_US" w:bidi="en_US"/>
        </w:rPr>
        <w:t>Now I can rest/relax!</w:t>
      </w:r>
    </w:p>
    <w:p>
      <w:pPr/>
      <w:r>
        <w:rPr>
          <w:lang w:val="en_US" w:bidi="en_US"/>
        </w:rPr>
      </w:r>
      <w:r>
        <w:rPr>
          <w:b/>
          <w:lang w:val="en_US" w:bidi="en_US"/>
        </w:rPr>
        <w:t>Eat, drink, and be merry:</w:t>
      </w:r>
      <w:r>
        <w:rPr>
          <w:lang w:val="en_US" w:bidi="en_US"/>
        </w:rPr>
        <w:t xml:space="preserve"> The clause </w:t>
      </w:r>
      <w:r>
        <w:rPr>
          <w:i/>
          <w:lang w:val="en_US" w:bidi="en_US"/>
        </w:rPr>
        <w:t>Eat, drink, and be merry</w:t>
      </w:r>
      <w:r>
        <w:rPr>
          <w:lang w:val="en_US" w:bidi="en_US"/>
        </w:rPr>
        <w:t xml:space="preserve"> was a common expression to refer to celebrating at feasts and parties. Use an expression in your language that refers to parties where people have more than enough to eat and drink.</w:t>
      </w:r>
    </w:p>
    <w:p>
      <w:pPr>
        <w:pStyle w:val="Heading6"/>
      </w:pPr>
      <w:r>
        <w:rPr>
          <w:b/>
          <w:lang w:val="en_US" w:bidi="en_US"/>
        </w:rPr>
        <w:t>General Comment on 12:17–19</w:t>
      </w:r>
    </w:p>
    <w:p>
      <w:pPr/>
      <w:r>
        <w:rPr>
          <w:lang w:val="en_US" w:bidi="en_US"/>
        </w:rPr>
      </w:r>
      <w:r>
        <w:rPr>
          <w:lang w:val="en_US" w:bidi="en_US"/>
        </w:rPr>
        <w:t>In these verses Jesus said the words that the man was saying to himself. In some languages it may be more natural to use indirect speech here. For example:</w:t>
      </w:r>
    </w:p>
    <w:p>
      <w:pPr/>
      <w:r>
        <w:rPr>
          <w:lang w:val="en_US" w:bidi="en_US"/>
        </w:rPr>
      </w:r>
      <w:r>
        <w:rPr>
          <w:lang w:val="en_US" w:bidi="en_US"/>
        </w:rPr>
        <w:t>He wondered to himself what he should do, since he had no more place to store his crops. He decided to tear down his barns and build bigger ones, and there store all his grain and other goods. Then he could look with satisfaction on all the good things he had stored up to last him many years. He could take life easy and enjoy himself at parties.</w:t>
      </w:r>
      <w:r>
        <w:rPr>
          <w:lang w:val="en_US" w:bidi="en_US"/>
        </w:rPr>
      </w:r>
      <w:r>
        <w:rPr>
          <w:lang w:val="en_US" w:bidi="en_US"/>
        </w:rPr>
      </w:r>
    </w:p>
    <w:p>
      <w:pPr/>
      <w:r>
        <w:rPr>
          <w:lang w:val="en_US" w:bidi="en_US"/>
        </w:rPr>
      </w:r>
    </w:p>
    <w:p>
      <w:pPr>
        <w:pStyle w:val="Heading2"/>
      </w:pPr>
      <w:r>
        <w:rPr>
          <w:lang w:val="en_US" w:bidi="en_US"/>
        </w:rPr>
        <w:t>Luke 12:20</w:t>
      </w:r>
      <w:r>
        <w:rPr>
          <w:lang w:val="en_US" w:bidi="en_US"/>
        </w:rPr>
      </w:r>
    </w:p>
    <w:p>
      <w:pPr>
        <w:pStyle w:val="Heading4"/>
      </w:pPr>
      <w:r>
        <w:rPr>
          <w:lang w:val="en_US" w:bidi="en_US"/>
        </w:rPr>
        <w:t>Section 12:13–21: Jesus warned the people not to be greedy</w:t>
      </w:r>
    </w:p>
    <w:p>
      <w:pPr/>
      <w:r>
        <w:rPr>
          <w:lang w:val="en_US" w:bidi="en_US"/>
        </w:rPr>
      </w:r>
      <w:r>
        <w:rPr>
          <w:lang w:val="en_US" w:bidi="en_US"/>
        </w:rPr>
        <w:t>In the previous section Jesus was speaking to his disciples. In this section a man in the crowd interrupted and asked Jesus to settle a quarrel between him and his brother about an inheritance. Jesus used this situation as an opportunity to warn the crowd about being greedy and selfish. He told them a parable about a rich man who kept all his riches for himself. God called him a fool and judged him for it.</w:t>
      </w:r>
    </w:p>
    <w:p>
      <w:pPr/>
      <w:r>
        <w:rPr>
          <w:lang w:val="en_US" w:bidi="en_US"/>
        </w:rPr>
      </w:r>
      <w:r>
        <w:rPr>
          <w:lang w:val="en_US" w:bidi="en_US"/>
        </w:rPr>
        <w:t>Some other possible headings for this section are:</w:t>
      </w:r>
    </w:p>
    <w:p>
      <w:pPr/>
      <w:r>
        <w:rPr>
          <w:lang w:val="en_US" w:bidi="en_US"/>
        </w:rPr>
      </w:r>
      <w:r>
        <w:rPr>
          <w:lang w:val="en_US" w:bidi="en_US"/>
        </w:rPr>
        <w:t>The Parable About The Rich Fool</w:t>
      </w:r>
    </w:p>
    <w:p>
      <w:pPr/>
      <w:r>
        <w:rPr>
          <w:lang w:val="en_US" w:bidi="en_US"/>
        </w:rPr>
      </w:r>
      <w:r>
        <w:rPr>
          <w:lang w:val="en_US" w:bidi="en_US"/>
        </w:rPr>
        <w:t>A Rich Fool (CEV)</w:t>
      </w:r>
    </w:p>
    <w:p>
      <w:pPr/>
      <w:r>
        <w:rPr>
          <w:lang w:val="en_US" w:bidi="en_US"/>
        </w:rPr>
      </w:r>
      <w:r>
        <w:rPr>
          <w:lang w:val="en_US" w:bidi="en_US"/>
        </w:rPr>
        <w:t>Jesus Warns Against Selfishness (NCV)</w:t>
      </w:r>
    </w:p>
    <w:p>
      <w:pPr/>
      <w:r>
        <w:rPr>
          <w:lang w:val="en_US" w:bidi="en_US"/>
        </w:rPr>
      </w:r>
      <w:r>
        <w:rPr>
          <w:lang w:val="en_US" w:bidi="en_US"/>
        </w:rPr>
        <w:t>This parable is only in the Gospel of Luke.</w:t>
      </w:r>
    </w:p>
    <w:p>
      <w:pPr>
        <w:pStyle w:val="Heading5"/>
      </w:pPr>
      <w:r>
        <w:rPr>
          <w:lang w:val="en_US" w:bidi="en_US"/>
        </w:rPr>
        <w:t>12:20a</w:t>
      </w:r>
    </w:p>
    <w:p>
      <w:pPr/>
      <w:r>
        <w:rPr>
          <w:lang w:val="en_US" w:bidi="en_US"/>
        </w:rPr>
      </w:r>
      <w:r>
        <w:rPr>
          <w:b/>
          <w:lang w:val="en_US" w:bidi="en_US"/>
        </w:rPr>
        <w:t>But God said to him, ‘You fool!</w:t>
      </w:r>
    </w:p>
    <w:p>
      <w:pPr>
        <w:pStyle w:val="ListBullet"/>
        <w:spacing w:line="240" w:lineRule="auto"/>
        <w:ind w:left="720"/>
      </w:pPr>
      <w:r>
        <w:rPr>
          <w:lang w:val="en_US" w:bidi="en_US"/>
        </w:rPr>
      </w:r>
      <w:r>
        <w:rPr>
          <w:lang w:val="en_US" w:bidi="en_US"/>
        </w:rPr>
        <w:t>But God said to him, ‘Foolish man,</w:t>
      </w:r>
    </w:p>
    <w:p>
      <w:pPr>
        <w:pStyle w:val="ListBullet"/>
        <w:spacing w:line="240" w:lineRule="auto"/>
        <w:ind w:left="720"/>
      </w:pPr>
      <w:r>
        <w:rPr>
          <w:lang w:val="en_US" w:bidi="en_US"/>
        </w:rPr>
      </w:r>
      <w:r>
        <w:rPr>
          <w:lang w:val="en_US" w:bidi="en_US"/>
        </w:rPr>
        <w:t xml:space="preserve">But then God told him, ‘You are a </w:t>
      </w:r>
      <w:r>
        <w:rPr>
          <w:lang w:val="en_US" w:bidi="en_US"/>
        </w:rPr>
        <w:t>very</w:t>
      </w:r>
      <w:r>
        <w:rPr>
          <w:lang w:val="en_US" w:bidi="en_US"/>
        </w:rPr>
        <w:t xml:space="preserve"> foolish/ignorant man!</w:t>
      </w:r>
    </w:p>
    <w:p>
      <w:pPr>
        <w:pStyle w:val="ListBullet"/>
        <w:spacing w:line="240" w:lineRule="auto"/>
        <w:ind w:left="720"/>
      </w:pPr>
      <w:r>
        <w:rPr>
          <w:lang w:val="en_US" w:bidi="en_US"/>
        </w:rPr>
      </w:r>
      <w:r>
        <w:rPr>
          <w:lang w:val="en_US" w:bidi="en_US"/>
        </w:rPr>
        <w:t>But God said to him, ‘You have no mind/sense!</w:t>
      </w:r>
    </w:p>
    <w:p>
      <w:pPr/>
      <w:r>
        <w:rPr>
          <w:lang w:val="en_US" w:bidi="en_US"/>
        </w:rPr>
      </w:r>
      <w:r>
        <w:rPr>
          <w:b/>
          <w:lang w:val="en_US" w:bidi="en_US"/>
        </w:rPr>
        <w:t>But God said to him:</w:t>
      </w:r>
      <w:r>
        <w:rPr>
          <w:lang w:val="en_US" w:bidi="en_US"/>
        </w:rPr>
        <w:t xml:space="preserve"> God’s words in this verse contradicted what the man thought would happen in the future. They interrupted what the man was thinking to himself. Introduce these words in a natural way in your language.</w:t>
      </w:r>
    </w:p>
    <w:p>
      <w:pPr/>
      <w:r>
        <w:rPr>
          <w:lang w:val="en_US" w:bidi="en_US"/>
        </w:rPr>
      </w:r>
      <w:r>
        <w:rPr>
          <w:b/>
          <w:lang w:val="en_US" w:bidi="en_US"/>
        </w:rPr>
        <w:t>You fool!:</w:t>
      </w:r>
      <w:r>
        <w:rPr>
          <w:lang w:val="en_US" w:bidi="en_US"/>
        </w:rPr>
        <w:t xml:space="preserve"> Here God addressed the man simply as “Fool!” Several English versions, such as the ESV and NKJV, translate it that way. The BSB adds the word </w:t>
      </w:r>
      <w:r>
        <w:rPr>
          <w:i/>
          <w:lang w:val="en_US" w:bidi="en_US"/>
        </w:rPr>
        <w:t>You</w:t>
      </w:r>
      <w:r>
        <w:rPr>
          <w:lang w:val="en_US" w:bidi="en_US"/>
        </w:rPr>
        <w:t xml:space="preserve"> in order to show that this is direct address. A plural form of the word “fool” is used in 11:40a, where the BSB translates it as “fools.” It describes a person who is ignorant or does not think clearly. It can also describe people who do not think properly or seriously about moral issues.</w:t>
      </w:r>
    </w:p>
    <w:p>
      <w:pPr/>
      <w:r>
        <w:rPr>
          <w:lang w:val="en_US" w:bidi="en_US"/>
        </w:rPr>
      </w:r>
      <w:r>
        <w:rPr>
          <w:lang w:val="en_US" w:bidi="en_US"/>
        </w:rPr>
        <w:t>In some languages it may be more natural to use a statement to express this meaning. For example:</w:t>
      </w:r>
    </w:p>
    <w:p>
      <w:pPr/>
      <w:r>
        <w:rPr>
          <w:lang w:val="en_US" w:bidi="en_US"/>
        </w:rPr>
      </w:r>
      <w:r>
        <w:rPr>
          <w:lang w:val="en_US" w:bidi="en_US"/>
        </w:rPr>
        <w:t>You are an ignorant/foolish man!</w:t>
      </w:r>
    </w:p>
    <w:p>
      <w:pPr/>
      <w:r>
        <w:rPr>
          <w:lang w:val="en_US" w:bidi="en_US"/>
        </w:rPr>
      </w:r>
      <w:r>
        <w:rPr>
          <w:lang w:val="en_US" w:bidi="en_US"/>
        </w:rPr>
        <w:t>You have no mind/thoughts/sense!</w:t>
      </w:r>
    </w:p>
    <w:p>
      <w:pPr/>
      <w:r>
        <w:rPr>
          <w:lang w:val="en_US" w:bidi="en_US"/>
        </w:rPr>
      </w:r>
      <w:r>
        <w:rPr>
          <w:lang w:val="en_US" w:bidi="en_US"/>
        </w:rPr>
        <w:t>If you use a statement like this, be sure that it implies the right meaning. In some languages you may need to add implied information. For example:</w:t>
      </w:r>
    </w:p>
    <w:p>
      <w:pPr/>
      <w:r>
        <w:rPr>
          <w:lang w:val="en_US" w:bidi="en_US"/>
        </w:rPr>
      </w:r>
      <w:r>
        <w:rPr>
          <w:lang w:val="en_US" w:bidi="en_US"/>
        </w:rPr>
        <w:t xml:space="preserve">You are stupid </w:t>
      </w:r>
      <w:r>
        <w:rPr>
          <w:lang w:val="en_US" w:bidi="en_US"/>
        </w:rPr>
        <w:t>to think like that</w:t>
      </w:r>
      <w:r>
        <w:rPr>
          <w:lang w:val="en_US" w:bidi="en_US"/>
        </w:rPr>
        <w:t>!</w:t>
      </w:r>
    </w:p>
    <w:p>
      <w:pPr>
        <w:pStyle w:val="Heading5"/>
      </w:pPr>
      <w:r>
        <w:rPr>
          <w:lang w:val="en_US" w:bidi="en_US"/>
        </w:rPr>
        <w:t>12:20b</w:t>
      </w:r>
    </w:p>
    <w:p>
      <w:pPr/>
      <w:r>
        <w:rPr>
          <w:lang w:val="en_US" w:bidi="en_US"/>
        </w:rPr>
      </w:r>
      <w:r>
        <w:rPr>
          <w:b/>
          <w:lang w:val="en_US" w:bidi="en_US"/>
        </w:rPr>
        <w:t>This very night your life will be required of you.</w:t>
      </w:r>
    </w:p>
    <w:p>
      <w:pPr>
        <w:pStyle w:val="ListBullet"/>
        <w:spacing w:line="240" w:lineRule="auto"/>
        <w:ind w:left="720"/>
      </w:pPr>
      <w:r>
        <w:rPr>
          <w:lang w:val="en_US" w:bidi="en_US"/>
        </w:rPr>
      </w:r>
      <w:r>
        <w:rPr>
          <w:lang w:val="en_US" w:bidi="en_US"/>
        </w:rPr>
        <w:t>this very night you will have to give up/back your soul/life.</w:t>
      </w:r>
    </w:p>
    <w:p>
      <w:pPr>
        <w:pStyle w:val="ListBullet"/>
        <w:spacing w:line="240" w:lineRule="auto"/>
        <w:ind w:left="720"/>
      </w:pPr>
      <w:r>
        <w:rPr>
          <w:lang w:val="en_US" w:bidi="en_US"/>
        </w:rPr>
      </w:r>
      <w:r>
        <w:rPr>
          <w:lang w:val="en_US" w:bidi="en_US"/>
        </w:rPr>
        <w:t>You do not realize that</w:t>
      </w:r>
      <w:r>
        <w:rPr>
          <w:lang w:val="en_US" w:bidi="en_US"/>
        </w:rPr>
        <w:t xml:space="preserve"> </w:t>
      </w:r>
      <w:r>
        <w:rPr>
          <w:lang w:val="en_US" w:bidi="en_US"/>
        </w:rPr>
        <w:t>I</w:t>
      </w:r>
      <w:r>
        <w:rPr>
          <w:lang w:val="en_US" w:bidi="en_US"/>
        </w:rPr>
        <w:t xml:space="preserve"> will take away your life/soul this same night.</w:t>
      </w:r>
    </w:p>
    <w:p>
      <w:pPr>
        <w:pStyle w:val="ListBullet"/>
        <w:spacing w:line="240" w:lineRule="auto"/>
        <w:ind w:left="720"/>
      </w:pPr>
      <w:r>
        <w:rPr>
          <w:lang w:val="en_US" w:bidi="en_US"/>
        </w:rPr>
      </w:r>
      <w:r>
        <w:rPr>
          <w:lang w:val="en_US" w:bidi="en_US"/>
        </w:rPr>
        <w:t xml:space="preserve">Tonight </w:t>
      </w:r>
      <w:r>
        <w:rPr>
          <w:lang w:val="en_US" w:bidi="en_US"/>
        </w:rPr>
        <w:t>I</w:t>
      </w:r>
      <w:r>
        <w:rPr>
          <w:lang w:val="en_US" w:bidi="en_US"/>
        </w:rPr>
        <w:t xml:space="preserve"> will cause you to die!</w:t>
      </w:r>
    </w:p>
    <w:p>
      <w:pPr/>
      <w:r>
        <w:rPr>
          <w:lang w:val="en_US" w:bidi="en_US"/>
        </w:rPr>
      </w:r>
      <w:r>
        <w:rPr>
          <w:b/>
          <w:lang w:val="en_US" w:bidi="en_US"/>
        </w:rPr>
        <w:t>This very night:</w:t>
      </w:r>
      <w:r>
        <w:rPr>
          <w:lang w:val="en_US" w:bidi="en_US"/>
        </w:rPr>
        <w:t xml:space="preserve"> We do not know what time God spoke to the man. If it was at night, then the phrase </w:t>
      </w:r>
      <w:r>
        <w:rPr>
          <w:i/>
          <w:lang w:val="en_US" w:bidi="en_US"/>
        </w:rPr>
        <w:t>This very night</w:t>
      </w:r>
      <w:r>
        <w:rPr>
          <w:lang w:val="en_US" w:bidi="en_US"/>
        </w:rPr>
        <w:t xml:space="preserve"> refers to later during the same night. If God spoke to him during the day, then this phrase refers to the coming night.</w:t>
      </w:r>
    </w:p>
    <w:p>
      <w:pPr/>
      <w:r>
        <w:rPr>
          <w:lang w:val="en_US" w:bidi="en_US"/>
        </w:rPr>
      </w:r>
      <w:r>
        <w:rPr>
          <w:lang w:val="en_US" w:bidi="en_US"/>
        </w:rPr>
        <w:t xml:space="preserve">The phrase </w:t>
      </w:r>
      <w:r>
        <w:rPr>
          <w:i/>
          <w:lang w:val="en_US" w:bidi="en_US"/>
        </w:rPr>
        <w:t>This very night</w:t>
      </w:r>
      <w:r>
        <w:rPr>
          <w:lang w:val="en_US" w:bidi="en_US"/>
        </w:rPr>
        <w:t xml:space="preserve"> is emphatic. In some languages an emphatic phrase occurs at the beginning of a sentence. For example:</w:t>
      </w:r>
    </w:p>
    <w:p>
      <w:pPr/>
      <w:r>
        <w:rPr>
          <w:lang w:val="en_US" w:bidi="en_US"/>
        </w:rPr>
      </w:r>
      <w:r>
        <w:rPr>
          <w:lang w:val="en_US" w:bidi="en_US"/>
        </w:rPr>
        <w:t>Tonight your life will be taken from you. (NCV)</w:t>
      </w:r>
    </w:p>
    <w:p>
      <w:pPr/>
      <w:r>
        <w:rPr>
          <w:lang w:val="en_US" w:bidi="en_US"/>
        </w:rPr>
      </w:r>
      <w:r>
        <w:rPr>
          <w:lang w:val="en_US" w:bidi="en_US"/>
        </w:rPr>
        <w:t>In other languages an emphatic phrase is placed at the end of a sentence. For example:</w:t>
      </w:r>
    </w:p>
    <w:p>
      <w:pPr/>
      <w:r>
        <w:rPr>
          <w:lang w:val="en_US" w:bidi="en_US"/>
        </w:rPr>
      </w:r>
      <w:r>
        <w:rPr>
          <w:lang w:val="en_US" w:bidi="en_US"/>
        </w:rPr>
        <w:t>You will die this very night. (NLT)</w:t>
      </w:r>
    </w:p>
    <w:p>
      <w:pPr/>
      <w:r>
        <w:rPr>
          <w:lang w:val="en_US" w:bidi="en_US"/>
        </w:rPr>
      </w:r>
      <w:r>
        <w:rPr>
          <w:lang w:val="en_US" w:bidi="en_US"/>
        </w:rPr>
        <w:t>You will die before this night is over.</w:t>
      </w:r>
    </w:p>
    <w:p>
      <w:pPr/>
      <w:r>
        <w:rPr>
          <w:lang w:val="en_US" w:bidi="en_US"/>
        </w:rPr>
      </w:r>
      <w:r>
        <w:rPr>
          <w:lang w:val="en_US" w:bidi="en_US"/>
        </w:rPr>
        <w:t>Use a natural way in your language to emphasize that the man would die that same night.</w:t>
      </w:r>
    </w:p>
    <w:p>
      <w:pPr/>
      <w:r>
        <w:rPr>
          <w:lang w:val="en_US" w:bidi="en_US"/>
        </w:rPr>
      </w:r>
      <w:r>
        <w:rPr>
          <w:b/>
          <w:lang w:val="en_US" w:bidi="en_US"/>
        </w:rPr>
        <w:t>your life will be required of you:</w:t>
      </w:r>
      <w:r>
        <w:rPr>
          <w:lang w:val="en_US" w:bidi="en_US"/>
        </w:rPr>
        <w:t xml:space="preserve"> In Greek the phrase </w:t>
      </w:r>
      <w:r>
        <w:rPr>
          <w:i/>
          <w:lang w:val="en_US" w:bidi="en_US"/>
        </w:rPr>
        <w:t>will be required</w:t>
      </w:r>
      <w:r>
        <w:rPr>
          <w:lang w:val="en_US" w:bidi="en_US"/>
        </w:rPr>
        <w:t xml:space="preserve"> is literally “they demand/require.” In this context the phrase is used like a passive, as in the BSB. It probably indicates that God himself would require the rich man’s life. This is a way to say that the man would die. Other ways to translate this expression are:</w:t>
      </w:r>
    </w:p>
    <w:p>
      <w:pPr>
        <w:pStyle w:val="ListBullet"/>
        <w:spacing w:line="240" w:lineRule="auto"/>
        <w:ind w:left="720"/>
      </w:pPr>
      <w:r>
        <w:rPr>
          <w:lang w:val="en_US" w:bidi="en_US"/>
        </w:rPr>
      </w:r>
      <w:r>
        <w:rPr>
          <w:lang w:val="en_US" w:bidi="en_US"/>
        </w:rPr>
        <w:t>As a passive clause. For example:</w:t>
      </w:r>
      <w:r>
        <w:rPr>
          <w:lang w:val="en_US" w:bidi="en_US"/>
        </w:rPr>
        <w:t>your life will be taken from you (NCV)</w:t>
      </w:r>
    </w:p>
    <w:p>
      <w:pPr>
        <w:pStyle w:val="ListBullet"/>
        <w:spacing w:line="240" w:lineRule="auto"/>
        <w:ind w:left="720"/>
      </w:pPr>
      <w:r>
        <w:rPr>
          <w:lang w:val="en_US" w:bidi="en_US"/>
        </w:rPr>
      </w:r>
      <w:r>
        <w:rPr>
          <w:lang w:val="en_US" w:bidi="en_US"/>
        </w:rPr>
        <w:t>As an active clause that specifies God as the actor. For example:</w:t>
      </w:r>
      <w:r>
        <w:rPr>
          <w:lang w:val="en_US" w:bidi="en_US"/>
        </w:rPr>
        <w:t>I will demand your life from you (GW)</w:t>
      </w:r>
    </w:p>
    <w:p>
      <w:pPr>
        <w:pStyle w:val="ListBullet"/>
        <w:spacing w:line="240" w:lineRule="auto"/>
        <w:ind w:left="720"/>
      </w:pPr>
      <w:r>
        <w:rPr>
          <w:lang w:val="en_US" w:bidi="en_US"/>
        </w:rPr>
      </w:r>
      <w:r>
        <w:rPr>
          <w:lang w:val="en_US" w:bidi="en_US"/>
        </w:rPr>
        <w:t>As an active clause that does not specify who will cause the action. For example:</w:t>
      </w:r>
      <w:r>
        <w:rPr>
          <w:lang w:val="en_US" w:bidi="en_US"/>
        </w:rPr>
        <w:t>You will die (NLT)</w:t>
      </w:r>
      <w:r>
        <w:rPr>
          <w:lang w:val="en_US" w:bidi="en_US"/>
        </w:rPr>
        <w:t>you must surrender your life (REB)</w:t>
      </w:r>
    </w:p>
    <w:p>
      <w:pPr/>
      <w:r>
        <w:rPr>
          <w:lang w:val="en_US" w:bidi="en_US"/>
        </w:rPr>
      </w:r>
      <w:r>
        <w:rPr>
          <w:lang w:val="en_US" w:bidi="en_US"/>
        </w:rPr>
        <w:t>Translate this expression in a way that is most natural in your language.</w:t>
      </w:r>
    </w:p>
    <w:p>
      <w:pPr/>
      <w:r>
        <w:rPr>
          <w:lang w:val="en_US" w:bidi="en_US"/>
        </w:rPr>
      </w:r>
      <w:r>
        <w:rPr>
          <w:b/>
          <w:lang w:val="en_US" w:bidi="en_US"/>
        </w:rPr>
        <w:t>your life:</w:t>
      </w:r>
      <w:r>
        <w:rPr>
          <w:lang w:val="en_US" w:bidi="en_US"/>
        </w:rPr>
        <w:t xml:space="preserve"> The Greek word that the BSB translates as </w:t>
      </w:r>
      <w:r>
        <w:rPr>
          <w:i/>
          <w:lang w:val="en_US" w:bidi="en_US"/>
        </w:rPr>
        <w:t>life</w:t>
      </w:r>
      <w:r>
        <w:rPr>
          <w:lang w:val="en_US" w:bidi="en_US"/>
        </w:rPr>
        <w:t xml:space="preserve"> is literally “soul.” Several English versions, such as the NASB and NKJV, translate it that way. Here it refers to the man’s life on this earth.</w:t>
      </w:r>
    </w:p>
    <w:p>
      <w:pPr>
        <w:pStyle w:val="Heading5"/>
      </w:pPr>
      <w:r>
        <w:rPr>
          <w:lang w:val="en_US" w:bidi="en_US"/>
        </w:rPr>
        <w:t>12:20c</w:t>
      </w:r>
    </w:p>
    <w:p>
      <w:pPr/>
      <w:r>
        <w:rPr>
          <w:lang w:val="en_US" w:bidi="en_US"/>
        </w:rPr>
      </w:r>
      <w:r>
        <w:rPr>
          <w:b/>
          <w:lang w:val="en_US" w:bidi="en_US"/>
        </w:rPr>
        <w:t>Then who will own what you have accumulated?’</w:t>
      </w:r>
    </w:p>
    <w:p>
      <w:pPr>
        <w:pStyle w:val="ListBullet"/>
        <w:spacing w:line="240" w:lineRule="auto"/>
        <w:ind w:left="720"/>
      </w:pPr>
      <w:r>
        <w:rPr>
          <w:lang w:val="en_US" w:bidi="en_US"/>
        </w:rPr>
      </w:r>
      <w:r>
        <w:rPr>
          <w:lang w:val="en_US" w:bidi="en_US"/>
        </w:rPr>
        <w:t>Then who will get the things that you have prepared to enjoy/use yourself?'"</w:t>
      </w:r>
    </w:p>
    <w:p>
      <w:pPr>
        <w:pStyle w:val="ListBullet"/>
        <w:spacing w:line="240" w:lineRule="auto"/>
        <w:ind w:left="720"/>
      </w:pPr>
      <w:r>
        <w:rPr>
          <w:lang w:val="en_US" w:bidi="en_US"/>
        </w:rPr>
      </w:r>
      <w:r>
        <w:rPr>
          <w:lang w:val="en_US" w:bidi="en_US"/>
        </w:rPr>
        <w:t>Then the things that you have stored/accumulated for yourself will belong to other people!'"</w:t>
      </w:r>
    </w:p>
    <w:p>
      <w:pPr/>
      <w:r>
        <w:rPr>
          <w:lang w:val="en_US" w:bidi="en_US"/>
        </w:rPr>
      </w:r>
      <w:r>
        <w:rPr>
          <w:b/>
          <w:lang w:val="en_US" w:bidi="en_US"/>
        </w:rPr>
        <w:t>Then who will own what you have accumulated?:</w:t>
      </w:r>
      <w:r>
        <w:rPr>
          <w:lang w:val="en_US" w:bidi="en_US"/>
        </w:rPr>
        <w:t xml:space="preserve"> This is a rhetorical question. It emphasizes that someone else would get all the things that the rich man had been saving for himself.</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Then who will get everything you worked for? (NLT)</w:t>
      </w:r>
      <w:r>
        <w:rPr>
          <w:lang w:val="en_US" w:bidi="en_US"/>
        </w:rPr>
        <w:t>Then who will get what you have stored up? (CEV)</w:t>
      </w:r>
    </w:p>
    <w:p>
      <w:pPr>
        <w:pStyle w:val="ListBullet"/>
        <w:spacing w:line="240" w:lineRule="auto"/>
        <w:ind w:left="720"/>
      </w:pPr>
      <w:r>
        <w:rPr>
          <w:lang w:val="en_US" w:bidi="en_US"/>
        </w:rPr>
      </w:r>
      <w:r>
        <w:rPr>
          <w:lang w:val="en_US" w:bidi="en_US"/>
        </w:rPr>
        <w:t>As a statement. For example:</w:t>
      </w:r>
      <w:r>
        <w:rPr>
          <w:lang w:val="en_US" w:bidi="en_US"/>
        </w:rPr>
        <w:t>Then it will be someone else who gets the things that you have prepared for yourself.</w:t>
      </w:r>
    </w:p>
    <w:p>
      <w:pPr/>
      <w:r>
        <w:rPr>
          <w:lang w:val="en_US" w:bidi="en_US"/>
        </w:rPr>
      </w:r>
      <w:r>
        <w:rPr>
          <w:lang w:val="en_US" w:bidi="en_US"/>
        </w:rPr>
        <w:t>Translate this emphasis in a way that is natural in your language.</w:t>
      </w:r>
    </w:p>
    <w:p>
      <w:pPr/>
      <w:r>
        <w:rPr>
          <w:lang w:val="en_US" w:bidi="en_US"/>
        </w:rPr>
      </w:r>
      <w:r>
        <w:rPr>
          <w:lang w:val="en_US" w:bidi="en_US"/>
        </w:rPr>
        <w:t>The parable ends at this point. In the next verse Jesus gave his conclusion to the parable.</w:t>
      </w:r>
      <w:r>
        <w:rPr>
          <w:lang w:val="en_US" w:bidi="en_US"/>
        </w:rPr>
      </w:r>
      <w:r>
        <w:rPr>
          <w:lang w:val="en_US" w:bidi="en_US"/>
        </w:rPr>
      </w:r>
    </w:p>
    <w:p>
      <w:pPr/>
      <w:r>
        <w:rPr>
          <w:lang w:val="en_US" w:bidi="en_US"/>
        </w:rPr>
      </w:r>
    </w:p>
    <w:p>
      <w:pPr>
        <w:pStyle w:val="Heading2"/>
      </w:pPr>
      <w:r>
        <w:rPr>
          <w:lang w:val="en_US" w:bidi="en_US"/>
        </w:rPr>
        <w:t>Luke 12:21</w:t>
      </w:r>
      <w:r>
        <w:rPr>
          <w:lang w:val="en_US" w:bidi="en_US"/>
        </w:rPr>
      </w:r>
    </w:p>
    <w:p>
      <w:pPr>
        <w:pStyle w:val="Heading4"/>
      </w:pPr>
      <w:r>
        <w:rPr>
          <w:lang w:val="en_US" w:bidi="en_US"/>
        </w:rPr>
        <w:t>Section 12:13–21: Jesus warned the people not to be greedy</w:t>
      </w:r>
    </w:p>
    <w:p>
      <w:pPr/>
      <w:r>
        <w:rPr>
          <w:lang w:val="en_US" w:bidi="en_US"/>
        </w:rPr>
      </w:r>
      <w:r>
        <w:rPr>
          <w:lang w:val="en_US" w:bidi="en_US"/>
        </w:rPr>
        <w:t>In the previous section Jesus was speaking to his disciples. In this section a man in the crowd interrupted and asked Jesus to settle a quarrel between him and his brother about an inheritance. Jesus used this situation as an opportunity to warn the crowd about being greedy and selfish. He told them a parable about a rich man who kept all his riches for himself. God called him a fool and judged him for it.</w:t>
      </w:r>
    </w:p>
    <w:p>
      <w:pPr/>
      <w:r>
        <w:rPr>
          <w:lang w:val="en_US" w:bidi="en_US"/>
        </w:rPr>
      </w:r>
      <w:r>
        <w:rPr>
          <w:lang w:val="en_US" w:bidi="en_US"/>
        </w:rPr>
        <w:t>Some other possible headings for this section are:</w:t>
      </w:r>
    </w:p>
    <w:p>
      <w:pPr/>
      <w:r>
        <w:rPr>
          <w:lang w:val="en_US" w:bidi="en_US"/>
        </w:rPr>
      </w:r>
      <w:r>
        <w:rPr>
          <w:lang w:val="en_US" w:bidi="en_US"/>
        </w:rPr>
        <w:t>The Parable About The Rich Fool</w:t>
      </w:r>
    </w:p>
    <w:p>
      <w:pPr/>
      <w:r>
        <w:rPr>
          <w:lang w:val="en_US" w:bidi="en_US"/>
        </w:rPr>
      </w:r>
      <w:r>
        <w:rPr>
          <w:lang w:val="en_US" w:bidi="en_US"/>
        </w:rPr>
        <w:t>A Rich Fool (CEV)</w:t>
      </w:r>
    </w:p>
    <w:p>
      <w:pPr/>
      <w:r>
        <w:rPr>
          <w:lang w:val="en_US" w:bidi="en_US"/>
        </w:rPr>
      </w:r>
      <w:r>
        <w:rPr>
          <w:lang w:val="en_US" w:bidi="en_US"/>
        </w:rPr>
        <w:t>Jesus Warns Against Selfishness (NCV)</w:t>
      </w:r>
    </w:p>
    <w:p>
      <w:pPr/>
      <w:r>
        <w:rPr>
          <w:lang w:val="en_US" w:bidi="en_US"/>
        </w:rPr>
      </w:r>
      <w:r>
        <w:rPr>
          <w:lang w:val="en_US" w:bidi="en_US"/>
        </w:rPr>
        <w:t>This parable is only in the Gospel of Luke.</w:t>
      </w:r>
    </w:p>
    <w:p>
      <w:pPr>
        <w:pStyle w:val="Heading5"/>
      </w:pPr>
      <w:r>
        <w:rPr>
          <w:lang w:val="en_US" w:bidi="en_US"/>
        </w:rPr>
        <w:t>12:21a</w:t>
      </w:r>
    </w:p>
    <w:p>
      <w:pPr/>
      <w:r>
        <w:rPr>
          <w:lang w:val="en_US" w:bidi="en_US"/>
        </w:rPr>
      </w:r>
      <w:r>
        <w:rPr>
          <w:b/>
          <w:lang w:val="en_US" w:bidi="en_US"/>
        </w:rPr>
        <w:t>This is how it will be for anyone who stores up treasure for himself</w:t>
      </w:r>
    </w:p>
    <w:p>
      <w:pPr>
        <w:pStyle w:val="ListBullet"/>
        <w:spacing w:line="240" w:lineRule="auto"/>
        <w:ind w:left="720"/>
      </w:pPr>
      <w:r>
        <w:rPr>
          <w:lang w:val="en_US" w:bidi="en_US"/>
        </w:rPr>
      </w:r>
      <w:r>
        <w:rPr>
          <w:lang w:val="en_US" w:bidi="en_US"/>
        </w:rPr>
        <w:t>Then Jesus concluded,</w:t>
      </w:r>
      <w:r>
        <w:rPr>
          <w:lang w:val="en_US" w:bidi="en_US"/>
        </w:rPr>
        <w:t xml:space="preserve"> “It is like this for anyone who piles up possessions for himself</w:t>
      </w:r>
    </w:p>
    <w:p>
      <w:pPr>
        <w:pStyle w:val="ListBullet"/>
        <w:spacing w:line="240" w:lineRule="auto"/>
        <w:ind w:left="720"/>
      </w:pPr>
      <w:r>
        <w:rPr>
          <w:lang w:val="en_US" w:bidi="en_US"/>
        </w:rPr>
      </w:r>
      <w:r>
        <w:rPr>
          <w:lang w:val="en_US" w:bidi="en_US"/>
        </w:rPr>
        <w:t>Then Jesus said,</w:t>
      </w:r>
      <w:r>
        <w:rPr>
          <w:lang w:val="en_US" w:bidi="en_US"/>
        </w:rPr>
        <w:t xml:space="preserve"> “This is the situation of all who accumulate riches/wealth for themselves </w:t>
      </w:r>
      <w:r>
        <w:rPr>
          <w:lang w:val="en_US" w:bidi="en_US"/>
        </w:rPr>
        <w:t>on this earth</w:t>
      </w:r>
      <w:r>
        <w:rPr>
          <w:lang w:val="en_US" w:bidi="en_US"/>
        </w:rPr>
        <w:t>,</w:t>
      </w:r>
    </w:p>
    <w:p>
      <w:pPr/>
      <w:r>
        <w:rPr>
          <w:lang w:val="en_US" w:bidi="en_US"/>
        </w:rPr>
      </w:r>
      <w:r>
        <w:rPr>
          <w:lang w:val="en_US" w:bidi="en_US"/>
        </w:rPr>
        <w:t>In 12:21a Jesus gave his conclusion to the parable. In some languages it may be necessary to indicate that 12:21a is Jesus’ conclusion. It is not a continuation of God’s words to the rich man. Some English versions indicate this by starting a new paragraph. Another way to make this clear is to introduce the conclusion explicitly. For example:</w:t>
      </w:r>
    </w:p>
    <w:p>
      <w:pPr/>
      <w:r>
        <w:rPr>
          <w:lang w:val="en_US" w:bidi="en_US"/>
        </w:rPr>
      </w:r>
      <w:r>
        <w:rPr>
          <w:lang w:val="en_US" w:bidi="en_US"/>
        </w:rPr>
        <w:t>Then Jesus concluded</w:t>
      </w:r>
      <w:r>
        <w:rPr>
          <w:lang w:val="en_US" w:bidi="en_US"/>
        </w:rPr>
        <w:t xml:space="preserve"> </w:t>
      </w:r>
      <w:r>
        <w:rPr>
          <w:lang w:val="en_US" w:bidi="en_US"/>
        </w:rPr>
        <w:t>the parable/story</w:t>
      </w:r>
      <w:r>
        <w:rPr>
          <w:lang w:val="en_US" w:bidi="en_US"/>
        </w:rPr>
        <w:t xml:space="preserve"> </w:t>
      </w:r>
      <w:r>
        <w:rPr>
          <w:lang w:val="en_US" w:bidi="en_US"/>
        </w:rPr>
        <w:t>by saying</w:t>
      </w:r>
    </w:p>
    <w:p>
      <w:pPr/>
      <w:r>
        <w:rPr>
          <w:lang w:val="en_US" w:bidi="en_US"/>
        </w:rPr>
      </w:r>
      <w:r>
        <w:rPr>
          <w:b/>
          <w:lang w:val="en_US" w:bidi="en_US"/>
        </w:rPr>
        <w:t>This is how it will be for anyone who stores up treasure for himself:</w:t>
      </w:r>
      <w:r>
        <w:rPr>
          <w:lang w:val="en_US" w:bidi="en_US"/>
        </w:rPr>
        <w:t xml:space="preserve"> This statement indicates that anyone who stores up riches for his own use is in the same situation as the rich man. God considers all such people to be foolish (12:20). Like the man in the parable, they must all die and leave their earthly riches to others.</w:t>
      </w:r>
    </w:p>
    <w:p>
      <w:pPr/>
      <w:r>
        <w:rPr>
          <w:lang w:val="en_US" w:bidi="en_US"/>
        </w:rPr>
      </w:r>
      <w:r>
        <w:rPr>
          <w:lang w:val="en_US" w:bidi="en_US"/>
        </w:rPr>
        <w:t>Other ways to translate this statement are:</w:t>
      </w:r>
    </w:p>
    <w:p>
      <w:pPr/>
      <w:r>
        <w:rPr>
          <w:lang w:val="en_US" w:bidi="en_US"/>
        </w:rPr>
      </w:r>
      <w:r>
        <w:rPr>
          <w:lang w:val="en_US" w:bidi="en_US"/>
        </w:rPr>
        <w:t>This is how it is with those who pile up riches for themselves (GNT)</w:t>
      </w:r>
    </w:p>
    <w:p>
      <w:pPr/>
      <w:r>
        <w:rPr>
          <w:lang w:val="en_US" w:bidi="en_US"/>
        </w:rPr>
      </w:r>
      <w:r>
        <w:rPr>
          <w:lang w:val="en_US" w:bidi="en_US"/>
        </w:rPr>
        <w:t>That’s how it is when a person treasures material possessions (GW)</w:t>
      </w:r>
    </w:p>
    <w:p>
      <w:pPr/>
      <w:r>
        <w:rPr>
          <w:lang w:val="en_US" w:bidi="en_US"/>
        </w:rPr>
      </w:r>
      <w:r>
        <w:rPr>
          <w:lang w:val="en_US" w:bidi="en_US"/>
        </w:rPr>
        <w:t>Notice that the GNT uses plural forms. The GW uses a singular form. You may use whatever is natural in your language.</w:t>
      </w:r>
    </w:p>
    <w:p>
      <w:pPr/>
      <w:r>
        <w:rPr>
          <w:lang w:val="en_US" w:bidi="en_US"/>
        </w:rPr>
      </w:r>
      <w:r>
        <w:rPr>
          <w:b/>
          <w:lang w:val="en_US" w:bidi="en_US"/>
        </w:rPr>
        <w:t>stores up treasure for himself:</w:t>
      </w:r>
      <w:r>
        <w:rPr>
          <w:lang w:val="en_US" w:bidi="en_US"/>
        </w:rPr>
        <w:t xml:space="preserve"> The Greek verb that the BSB translates as </w:t>
      </w:r>
      <w:r>
        <w:rPr>
          <w:i/>
          <w:lang w:val="en_US" w:bidi="en_US"/>
        </w:rPr>
        <w:t>stores up treasure</w:t>
      </w:r>
      <w:r>
        <w:rPr>
          <w:lang w:val="en_US" w:bidi="en_US"/>
        </w:rPr>
        <w:t xml:space="preserve"> means “to store up or accumulate wealth/treasure.” This verb differs from the verb that was translated as “store” in 12:17–18 because it refers particularly to storing wealth. The context implies that the type of wealth is earthly riches. It may be helpful to make this information explicit. For example:</w:t>
      </w:r>
    </w:p>
    <w:p>
      <w:pPr/>
      <w:r>
        <w:rPr>
          <w:lang w:val="en_US" w:bidi="en_US"/>
        </w:rPr>
      </w:r>
      <w:r>
        <w:rPr>
          <w:lang w:val="en_US" w:bidi="en_US"/>
        </w:rPr>
        <w:t>store up earthly wealth (NLT)</w:t>
      </w:r>
    </w:p>
    <w:p>
      <w:pPr>
        <w:pStyle w:val="Heading5"/>
      </w:pPr>
      <w:r>
        <w:rPr>
          <w:lang w:val="en_US" w:bidi="en_US"/>
        </w:rPr>
        <w:t>12:21b</w:t>
      </w:r>
    </w:p>
    <w:p>
      <w:pPr/>
      <w:r>
        <w:rPr>
          <w:lang w:val="en_US" w:bidi="en_US"/>
        </w:rPr>
      </w:r>
      <w:r>
        <w:rPr>
          <w:b/>
          <w:lang w:val="en_US" w:bidi="en_US"/>
        </w:rPr>
        <w:t>but is not rich toward God.”</w:t>
      </w:r>
    </w:p>
    <w:p>
      <w:pPr>
        <w:pStyle w:val="ListBullet"/>
        <w:spacing w:line="240" w:lineRule="auto"/>
        <w:ind w:left="720"/>
      </w:pPr>
      <w:r>
        <w:rPr>
          <w:lang w:val="en_US" w:bidi="en_US"/>
        </w:rPr>
      </w:r>
      <w:r>
        <w:rPr>
          <w:lang w:val="en_US" w:bidi="en_US"/>
        </w:rPr>
        <w:t xml:space="preserve">but is not rich in </w:t>
      </w:r>
      <w:r>
        <w:rPr>
          <w:lang w:val="en_US" w:bidi="en_US"/>
        </w:rPr>
        <w:t>what</w:t>
      </w:r>
      <w:r>
        <w:rPr>
          <w:lang w:val="en_US" w:bidi="en_US"/>
        </w:rPr>
        <w:t xml:space="preserve"> God </w:t>
      </w:r>
      <w:r>
        <w:rPr>
          <w:lang w:val="en_US" w:bidi="en_US"/>
        </w:rPr>
        <w:t>values</w:t>
      </w:r>
      <w:r>
        <w:rPr>
          <w:lang w:val="en_US" w:bidi="en_US"/>
        </w:rPr>
        <w:t>.”</w:t>
      </w:r>
    </w:p>
    <w:p>
      <w:pPr>
        <w:pStyle w:val="ListBullet"/>
        <w:spacing w:line="240" w:lineRule="auto"/>
        <w:ind w:left="720"/>
      </w:pPr>
      <w:r>
        <w:rPr>
          <w:lang w:val="en_US" w:bidi="en_US"/>
        </w:rPr>
      </w:r>
      <w:r>
        <w:rPr>
          <w:lang w:val="en_US" w:bidi="en_US"/>
        </w:rPr>
        <w:t xml:space="preserve">but they have not </w:t>
      </w:r>
      <w:r>
        <w:rPr>
          <w:lang w:val="en_US" w:bidi="en_US"/>
        </w:rPr>
        <w:t>done</w:t>
      </w:r>
      <w:r>
        <w:rPr>
          <w:lang w:val="en_US" w:bidi="en_US"/>
        </w:rPr>
        <w:t xml:space="preserve"> what God </w:t>
      </w:r>
      <w:r>
        <w:rPr>
          <w:lang w:val="en_US" w:bidi="en_US"/>
        </w:rPr>
        <w:t>considers</w:t>
      </w:r>
      <w:r>
        <w:rPr>
          <w:lang w:val="en_US" w:bidi="en_US"/>
        </w:rPr>
        <w:t xml:space="preserve"> valuable.”</w:t>
      </w:r>
    </w:p>
    <w:p>
      <w:pPr/>
      <w:r>
        <w:rPr>
          <w:lang w:val="en_US" w:bidi="en_US"/>
        </w:rPr>
      </w:r>
      <w:r>
        <w:rPr>
          <w:b/>
          <w:lang w:val="en_US" w:bidi="en_US"/>
        </w:rPr>
        <w:t>but is not rich toward God:</w:t>
      </w:r>
      <w:r>
        <w:rPr>
          <w:lang w:val="en_US" w:bidi="en_US"/>
        </w:rPr>
        <w:t xml:space="preserve"> Here the phrase </w:t>
      </w:r>
      <w:r>
        <w:rPr>
          <w:i/>
          <w:lang w:val="en_US" w:bidi="en_US"/>
        </w:rPr>
        <w:t>is not rich toward God</w:t>
      </w:r>
      <w:r>
        <w:rPr>
          <w:lang w:val="en_US" w:bidi="en_US"/>
        </w:rPr>
        <w:t xml:space="preserve"> describes a person who has not done the things that God considers valuable. He does not trust God and he does not use his possessions to serve God and others. Since there are different ways to be “rich toward God,” you should try to translate this expression in a general way that contrasts with 12:21a. For example:</w:t>
      </w:r>
    </w:p>
    <w:p>
      <w:pPr/>
      <w:r>
        <w:rPr>
          <w:lang w:val="en_US" w:bidi="en_US"/>
        </w:rPr>
      </w:r>
      <w:r>
        <w:rPr>
          <w:lang w:val="en_US" w:bidi="en_US"/>
        </w:rPr>
        <w:t>not rich from God’s perspective/viewpoint</w:t>
      </w:r>
    </w:p>
    <w:p>
      <w:pPr/>
      <w:r>
        <w:rPr>
          <w:lang w:val="en_US" w:bidi="en_US"/>
        </w:rPr>
      </w:r>
      <w:r>
        <w:rPr>
          <w:lang w:val="en_US" w:bidi="en_US"/>
        </w:rPr>
        <w:t>poor in the sight of God (CEV)</w:t>
      </w:r>
    </w:p>
    <w:p>
      <w:pPr/>
      <w:r>
        <w:rPr>
          <w:lang w:val="en_US" w:bidi="en_US"/>
        </w:rPr>
      </w:r>
      <w:r>
        <w:rPr>
          <w:lang w:val="en_US" w:bidi="en_US"/>
        </w:rPr>
        <w:t>does not use his abilities and possessions/wealth to serve God (TRT)</w:t>
      </w:r>
      <w:r>
        <w:rPr>
          <w:lang w:val="en_US" w:bidi="en_US"/>
        </w:rPr>
      </w:r>
      <w:r>
        <w:rPr>
          <w:lang w:val="en_US" w:bidi="en_US"/>
        </w:rPr>
      </w:r>
    </w:p>
    <w:p>
      <w:pPr/>
      <w:r>
        <w:rPr>
          <w:lang w:val="en_US" w:bidi="en_US"/>
        </w:rPr>
      </w:r>
    </w:p>
    <w:p>
      <w:pPr>
        <w:pStyle w:val="Heading2"/>
      </w:pPr>
      <w:r>
        <w:rPr>
          <w:lang w:val="en_US" w:bidi="en_US"/>
        </w:rPr>
        <w:t>Luke 12:22</w:t>
      </w:r>
      <w:r>
        <w:rPr>
          <w:lang w:val="en_US" w:bidi="en_US"/>
        </w:rPr>
      </w:r>
    </w:p>
    <w:p>
      <w:pPr>
        <w:pStyle w:val="Heading4"/>
      </w:pPr>
      <w:r>
        <w:rPr>
          <w:lang w:val="en_US" w:bidi="en_US"/>
        </w:rPr>
        <w:t>Section 12:22–34: Jesus encouraged his disciples to trust God to care for them</w:t>
      </w:r>
    </w:p>
    <w:p>
      <w:pPr/>
      <w:r>
        <w:rPr>
          <w:lang w:val="en_US" w:bidi="en_US"/>
        </w:rPr>
      </w:r>
      <w:r>
        <w:rPr>
          <w:lang w:val="en_US" w:bidi="en_US"/>
        </w:rP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pPr/>
      <w:r>
        <w:rPr>
          <w:lang w:val="en_US" w:bidi="en_US"/>
        </w:rPr>
      </w:r>
      <w:r>
        <w:rPr>
          <w:lang w:val="en_US" w:bidi="en_US"/>
        </w:rPr>
        <w:t>Some other possible headings for this section are:</w:t>
      </w:r>
    </w:p>
    <w:p>
      <w:pPr/>
      <w:r>
        <w:rPr>
          <w:lang w:val="en_US" w:bidi="en_US"/>
        </w:rPr>
      </w:r>
      <w:r>
        <w:rPr>
          <w:lang w:val="en_US" w:bidi="en_US"/>
        </w:rPr>
        <w:t>God’s Care For Those Who Trust In Him</w:t>
      </w:r>
    </w:p>
    <w:p>
      <w:pPr/>
      <w:r>
        <w:rPr>
          <w:lang w:val="en_US" w:bidi="en_US"/>
        </w:rPr>
      </w:r>
      <w:r>
        <w:rPr>
          <w:lang w:val="en_US" w:bidi="en_US"/>
        </w:rPr>
        <w:t>Trust in God (GNT)</w:t>
      </w:r>
    </w:p>
    <w:p>
      <w:pPr/>
      <w:r>
        <w:rPr>
          <w:lang w:val="en_US" w:bidi="en_US"/>
        </w:rPr>
      </w:r>
      <w:r>
        <w:rPr>
          <w:lang w:val="en_US" w:bidi="en_US"/>
        </w:rPr>
        <w:t>Do not Worry (NIV)</w:t>
      </w:r>
    </w:p>
    <w:p>
      <w:pPr/>
      <w:r>
        <w:rPr>
          <w:lang w:val="en_US" w:bidi="en_US"/>
        </w:rPr>
      </w:r>
      <w:r>
        <w:rPr>
          <w:lang w:val="en_US" w:bidi="en_US"/>
        </w:rPr>
        <w:t>There is a parallel passage for this section in Matthew 6:25–34.</w:t>
      </w:r>
    </w:p>
    <w:p>
      <w:pPr>
        <w:pStyle w:val="Heading5"/>
      </w:pPr>
      <w:r>
        <w:rPr>
          <w:lang w:val="en_US" w:bidi="en_US"/>
        </w:rPr>
        <w:t>12:22a</w:t>
      </w:r>
    </w:p>
    <w:p>
      <w:pPr/>
      <w:r>
        <w:rPr>
          <w:lang w:val="en_US" w:bidi="en_US"/>
        </w:rPr>
      </w:r>
      <w:r>
        <w:rPr>
          <w:b/>
          <w:lang w:val="en_US" w:bidi="en_US"/>
        </w:rPr>
        <w:t>Then Jesus said to His disciples, “Therefore I tell you,</w:t>
      </w:r>
    </w:p>
    <w:p>
      <w:pPr>
        <w:pStyle w:val="ListBullet"/>
        <w:spacing w:line="240" w:lineRule="auto"/>
        <w:ind w:left="720"/>
      </w:pPr>
      <w:r>
        <w:rPr>
          <w:lang w:val="en_US" w:bidi="en_US"/>
        </w:rPr>
      </w:r>
      <w:r>
        <w:rPr>
          <w:lang w:val="en_US" w:bidi="en_US"/>
        </w:rPr>
        <w:t>¶ Then Jesus told his disciples, “That is why I am now saying to you,</w:t>
      </w:r>
    </w:p>
    <w:p>
      <w:pPr>
        <w:pStyle w:val="ListBullet"/>
        <w:spacing w:line="240" w:lineRule="auto"/>
        <w:ind w:left="720"/>
      </w:pPr>
      <w:r>
        <w:rPr>
          <w:lang w:val="en_US" w:bidi="en_US"/>
        </w:rPr>
      </w:r>
      <w:r>
        <w:rPr>
          <w:lang w:val="en_US" w:bidi="en_US"/>
        </w:rPr>
        <w:t>¶ Then Jesus said to his followers, “Because this is true, I now tell you</w:t>
      </w:r>
    </w:p>
    <w:p>
      <w:pPr/>
      <w:r>
        <w:rPr>
          <w:lang w:val="en_US" w:bidi="en_US"/>
        </w:rPr>
      </w:r>
      <w:r>
        <w:rPr>
          <w:b/>
          <w:lang w:val="en_US" w:bidi="en_US"/>
        </w:rPr>
        <w:t>Then Jesus said to His disciples:</w:t>
      </w:r>
      <w:r>
        <w:rPr>
          <w:lang w:val="en_US" w:bidi="en_US"/>
        </w:rPr>
        <w:t xml:space="preserve"> In the previous paragraph Jesus spoke to the crowd. Now he began to speak specifically to his disciples.</w:t>
      </w:r>
    </w:p>
    <w:p>
      <w:pPr/>
      <w:r>
        <w:rPr>
          <w:lang w:val="en_US" w:bidi="en_US"/>
        </w:rPr>
      </w:r>
      <w:r>
        <w:rPr>
          <w:b/>
          <w:lang w:val="en_US" w:bidi="en_US"/>
        </w:rPr>
        <w:t>Therefore I tell you:</w:t>
      </w:r>
      <w:r>
        <w:rPr>
          <w:lang w:val="en_US" w:bidi="en_US"/>
        </w:rPr>
        <w:t xml:space="preserve"> In this context the clause that the BSB translates as </w:t>
      </w:r>
      <w:r>
        <w:rPr>
          <w:i/>
          <w:lang w:val="en_US" w:bidi="en_US"/>
        </w:rPr>
        <w:t>Therefore I tell you</w:t>
      </w:r>
      <w:r>
        <w:rPr>
          <w:lang w:val="en_US" w:bidi="en_US"/>
        </w:rPr>
        <w:t xml:space="preserve"> introduces advice that Jesus was about to give to his disciples. The word </w:t>
      </w:r>
      <w:r>
        <w:rPr>
          <w:i/>
          <w:lang w:val="en_US" w:bidi="en_US"/>
        </w:rPr>
        <w:t>Therefore</w:t>
      </w:r>
      <w:r>
        <w:rPr>
          <w:lang w:val="en_US" w:bidi="en_US"/>
        </w:rPr>
        <w:t xml:space="preserve"> shows that this advice was based on his teaching about the rich fool (12:21). The words </w:t>
      </w:r>
      <w:r>
        <w:rPr>
          <w:i/>
          <w:lang w:val="en_US" w:bidi="en_US"/>
        </w:rPr>
        <w:t>I tell you</w:t>
      </w:r>
      <w:r>
        <w:rPr>
          <w:lang w:val="en_US" w:bidi="en_US"/>
        </w:rPr>
        <w:t xml:space="preserve"> indicate that the advice is important, and Jesus wanted to emphasize it. Other ways to translate the phrase in English are:</w:t>
      </w:r>
    </w:p>
    <w:p>
      <w:pPr/>
      <w:r>
        <w:rPr>
          <w:lang w:val="en_US" w:bidi="en_US"/>
        </w:rPr>
      </w:r>
      <w:r>
        <w:rPr>
          <w:lang w:val="en_US" w:bidi="en_US"/>
        </w:rPr>
        <w:t>That is why I tell you (NLT)</w:t>
      </w:r>
    </w:p>
    <w:p>
      <w:pPr/>
      <w:r>
        <w:rPr>
          <w:lang w:val="en_US" w:bidi="en_US"/>
        </w:rPr>
      </w:r>
      <w:r>
        <w:rPr>
          <w:lang w:val="en_US" w:bidi="en_US"/>
        </w:rPr>
        <w:t>Because of this, I now tell you</w:t>
      </w:r>
    </w:p>
    <w:p>
      <w:pPr/>
      <w:r>
        <w:rPr>
          <w:lang w:val="en_US" w:bidi="en_US"/>
        </w:rPr>
      </w:r>
      <w:r>
        <w:rPr>
          <w:lang w:val="en_US" w:bidi="en_US"/>
        </w:rPr>
        <w:t>Translate the connection and the emphasis in a natural way in your language.</w:t>
      </w:r>
    </w:p>
    <w:p>
      <w:pPr>
        <w:pStyle w:val="Heading5"/>
      </w:pPr>
      <w:r>
        <w:rPr>
          <w:lang w:val="en_US" w:bidi="en_US"/>
        </w:rPr>
        <w:t>12:22b</w:t>
      </w:r>
    </w:p>
    <w:p>
      <w:pPr/>
      <w:r>
        <w:rPr>
          <w:lang w:val="en_US" w:bidi="en_US"/>
        </w:rPr>
      </w:r>
      <w:r>
        <w:rPr>
          <w:b/>
          <w:lang w:val="en_US" w:bidi="en_US"/>
        </w:rPr>
        <w:t>do not worry about your life, what you will eat,</w:t>
      </w:r>
    </w:p>
    <w:p>
      <w:pPr>
        <w:pStyle w:val="ListBullet"/>
        <w:spacing w:line="240" w:lineRule="auto"/>
        <w:ind w:left="720"/>
      </w:pPr>
      <w:r>
        <w:rPr>
          <w:lang w:val="en_US" w:bidi="en_US"/>
        </w:rPr>
      </w:r>
      <w:r>
        <w:rPr>
          <w:lang w:val="en_US" w:bidi="en_US"/>
        </w:rPr>
        <w:t>do not be anxious about getting enough food for living.</w:t>
      </w:r>
    </w:p>
    <w:p>
      <w:pPr>
        <w:pStyle w:val="ListBullet"/>
        <w:spacing w:line="240" w:lineRule="auto"/>
        <w:ind w:left="720"/>
      </w:pPr>
      <w:r>
        <w:rPr>
          <w:lang w:val="en_US" w:bidi="en_US"/>
        </w:rPr>
      </w:r>
      <w:r>
        <w:rPr>
          <w:lang w:val="en_US" w:bidi="en_US"/>
        </w:rPr>
        <w:t>that you should not worry about whether you will have the food that you need to live</w:t>
      </w:r>
    </w:p>
    <w:p>
      <w:pPr>
        <w:pStyle w:val="ListBullet"/>
        <w:spacing w:line="240" w:lineRule="auto"/>
        <w:ind w:left="720"/>
      </w:pPr>
      <w:r>
        <w:rPr>
          <w:lang w:val="en_US" w:bidi="en_US"/>
        </w:rPr>
      </w:r>
      <w:r>
        <w:rPr>
          <w:lang w:val="en_US" w:bidi="en_US"/>
        </w:rPr>
        <w:t>you should not be worried about the food or clothes</w:t>
      </w:r>
    </w:p>
    <w:p>
      <w:pPr/>
      <w:r>
        <w:rPr>
          <w:lang w:val="en_US" w:bidi="en_US"/>
        </w:rPr>
      </w:r>
      <w:r>
        <w:rPr>
          <w:b/>
          <w:lang w:val="en_US" w:bidi="en_US"/>
        </w:rPr>
        <w:t>do not worry about your life, what you will eat:</w:t>
      </w:r>
      <w:r>
        <w:rPr>
          <w:lang w:val="en_US" w:bidi="en_US"/>
        </w:rPr>
        <w:t xml:space="preserve"> The phrase </w:t>
      </w:r>
      <w:r>
        <w:rPr>
          <w:i/>
          <w:lang w:val="en_US" w:bidi="en_US"/>
        </w:rPr>
        <w:t>your life, what you will eat</w:t>
      </w:r>
      <w:r>
        <w:rPr>
          <w:lang w:val="en_US" w:bidi="en_US"/>
        </w:rPr>
        <w:t xml:space="preserve"> refers to the food that they need to live. For example:</w:t>
      </w:r>
    </w:p>
    <w:p>
      <w:pPr/>
      <w:r>
        <w:rPr>
          <w:lang w:val="en_US" w:bidi="en_US"/>
        </w:rPr>
      </w:r>
      <w:r>
        <w:rPr>
          <w:lang w:val="en_US" w:bidi="en_US"/>
        </w:rPr>
        <w:t>the food you need to stay alive (GNT)</w:t>
      </w:r>
    </w:p>
    <w:p>
      <w:pPr/>
      <w:r>
        <w:rPr>
          <w:lang w:val="en_US" w:bidi="en_US"/>
        </w:rPr>
      </w:r>
      <w:r>
        <w:rPr>
          <w:lang w:val="en_US" w:bidi="en_US"/>
        </w:rPr>
        <w:t>Jesus told his disciples that they should not be anxious about getting enough food to survive.</w:t>
      </w:r>
    </w:p>
    <w:p>
      <w:pPr/>
      <w:r>
        <w:rPr>
          <w:lang w:val="en_US" w:bidi="en_US"/>
        </w:rPr>
      </w:r>
      <w:r>
        <w:rPr>
          <w:b/>
          <w:lang w:val="en_US" w:bidi="en_US"/>
        </w:rPr>
        <w:t>your life:</w:t>
      </w:r>
      <w:r>
        <w:rPr>
          <w:lang w:val="en_US" w:bidi="en_US"/>
        </w:rPr>
        <w:t xml:space="preserve"> The Greek word that the BSB translates as </w:t>
      </w:r>
      <w:r>
        <w:rPr>
          <w:i/>
          <w:lang w:val="en_US" w:bidi="en_US"/>
        </w:rPr>
        <w:t>life</w:t>
      </w:r>
      <w:r>
        <w:rPr>
          <w:lang w:val="en_US" w:bidi="en_US"/>
        </w:rPr>
        <w:t xml:space="preserve"> refers here to living in this world. It is the same word that was used in 12:20b.</w:t>
      </w:r>
    </w:p>
    <w:p>
      <w:pPr>
        <w:pStyle w:val="Heading5"/>
      </w:pPr>
      <w:r>
        <w:rPr>
          <w:lang w:val="en_US" w:bidi="en_US"/>
        </w:rPr>
        <w:t>12:22c</w:t>
      </w:r>
    </w:p>
    <w:p>
      <w:pPr/>
      <w:r>
        <w:rPr>
          <w:lang w:val="en_US" w:bidi="en_US"/>
        </w:rPr>
      </w:r>
      <w:r>
        <w:rPr>
          <w:b/>
          <w:lang w:val="en_US" w:bidi="en_US"/>
        </w:rPr>
        <w:t>or about your body, what you will wear.</w:t>
      </w:r>
    </w:p>
    <w:p>
      <w:pPr>
        <w:pStyle w:val="ListBullet"/>
        <w:spacing w:line="240" w:lineRule="auto"/>
        <w:ind w:left="720"/>
      </w:pPr>
      <w:r>
        <w:rPr>
          <w:lang w:val="en_US" w:bidi="en_US"/>
        </w:rPr>
      </w:r>
      <w:r>
        <w:rPr>
          <w:lang w:val="en_US" w:bidi="en_US"/>
        </w:rPr>
        <w:t>Do not worry, either,</w:t>
      </w:r>
      <w:r>
        <w:rPr>
          <w:lang w:val="en_US" w:bidi="en_US"/>
        </w:rPr>
        <w:t xml:space="preserve"> about having the clothes that your body needs.</w:t>
      </w:r>
    </w:p>
    <w:p>
      <w:pPr>
        <w:pStyle w:val="ListBullet"/>
        <w:spacing w:line="240" w:lineRule="auto"/>
        <w:ind w:left="720"/>
      </w:pPr>
      <w:r>
        <w:rPr>
          <w:lang w:val="en_US" w:bidi="en_US"/>
        </w:rPr>
      </w:r>
      <w:r>
        <w:rPr>
          <w:lang w:val="en_US" w:bidi="en_US"/>
        </w:rPr>
        <w:t>or the clothes that you need to wear.</w:t>
      </w:r>
    </w:p>
    <w:p>
      <w:pPr>
        <w:pStyle w:val="ListBullet"/>
        <w:spacing w:line="240" w:lineRule="auto"/>
        <w:ind w:left="720"/>
      </w:pPr>
      <w:r>
        <w:rPr>
          <w:lang w:val="en_US" w:bidi="en_US"/>
        </w:rPr>
      </w:r>
      <w:r>
        <w:rPr>
          <w:lang w:val="en_US" w:bidi="en_US"/>
        </w:rPr>
        <w:t xml:space="preserve">that you need in your life </w:t>
      </w:r>
      <w:r>
        <w:rPr>
          <w:lang w:val="en_US" w:bidi="en_US"/>
        </w:rPr>
        <w:t>on this earth</w:t>
      </w:r>
      <w:r>
        <w:rPr>
          <w:lang w:val="en_US" w:bidi="en_US"/>
        </w:rPr>
        <w:t>.</w:t>
      </w:r>
    </w:p>
    <w:p>
      <w:pPr/>
      <w:r>
        <w:rPr>
          <w:lang w:val="en_US" w:bidi="en_US"/>
        </w:rPr>
      </w:r>
      <w:r>
        <w:rPr>
          <w:b/>
          <w:lang w:val="en_US" w:bidi="en_US"/>
        </w:rPr>
        <w:t>or about your body, what you will wear:</w:t>
      </w:r>
      <w:r>
        <w:rPr>
          <w:lang w:val="en_US" w:bidi="en_US"/>
        </w:rPr>
        <w:t xml:space="preserve"> This phrase tells another thing about which the disciples should not worry. They should also not worry about the clothes that they need to cover their bodies. Other ways to translate this are:</w:t>
      </w:r>
    </w:p>
    <w:p>
      <w:pPr/>
      <w:r>
        <w:rPr>
          <w:lang w:val="en_US" w:bidi="en_US"/>
        </w:rPr>
      </w:r>
      <w:r>
        <w:rPr>
          <w:lang w:val="en_US" w:bidi="en_US"/>
        </w:rPr>
        <w:t>or about the clothes you need for your body (GNT)</w:t>
      </w:r>
    </w:p>
    <w:p>
      <w:pPr/>
      <w:r>
        <w:rPr>
          <w:lang w:val="en_US" w:bidi="en_US"/>
        </w:rPr>
      </w:r>
      <w:r>
        <w:rPr>
          <w:lang w:val="en_US" w:bidi="en_US"/>
        </w:rPr>
        <w:t>And do not be anxious over having enough clothes for your body</w:t>
      </w:r>
    </w:p>
    <w:p>
      <w:pPr/>
      <w:r>
        <w:rPr>
          <w:lang w:val="en_US" w:bidi="en_US"/>
        </w:rPr>
      </w:r>
      <w:r>
        <w:rPr>
          <w:lang w:val="en_US" w:bidi="en_US"/>
        </w:rPr>
        <w:t xml:space="preserve">In some languages it may be unnatural or redundant to specify that clothes are for wearing on the body. If that is true in your language, you may leave the </w:t>
      </w:r>
      <w:r>
        <w:rPr>
          <w:i/>
          <w:lang w:val="en_US" w:bidi="en_US"/>
        </w:rPr>
        <w:t>body</w:t>
      </w:r>
      <w:r>
        <w:rPr>
          <w:lang w:val="en_US" w:bidi="en_US"/>
        </w:rPr>
        <w:t xml:space="preserve"> implicit. For example:</w:t>
      </w:r>
    </w:p>
    <w:p>
      <w:pPr/>
      <w:r>
        <w:rPr>
          <w:lang w:val="en_US" w:bidi="en_US"/>
        </w:rPr>
      </w:r>
      <w:r>
        <w:rPr>
          <w:lang w:val="en_US" w:bidi="en_US"/>
        </w:rPr>
        <w:t>or about what you will wear</w:t>
      </w:r>
    </w:p>
    <w:p>
      <w:pPr>
        <w:pStyle w:val="Heading6"/>
      </w:pPr>
      <w:r>
        <w:rPr>
          <w:b/>
          <w:lang w:val="en_US" w:bidi="en_US"/>
        </w:rPr>
        <w:t>General Comment on 12:22a–b</w:t>
      </w:r>
    </w:p>
    <w:p>
      <w:pPr/>
      <w:r>
        <w:rPr>
          <w:lang w:val="en_US" w:bidi="en_US"/>
        </w:rPr>
      </w:r>
      <w:r>
        <w:rPr>
          <w:lang w:val="en_US" w:bidi="en_US"/>
        </w:rPr>
        <w:t>In some languages it may be more natural to connect food and clothes more closely and to leave some of the information implied. For example:</w:t>
      </w:r>
    </w:p>
    <w:p>
      <w:pPr/>
      <w:r>
        <w:rPr>
          <w:lang w:val="en_US" w:bidi="en_US"/>
        </w:rPr>
      </w:r>
      <w:r>
        <w:rPr>
          <w:lang w:val="en_US" w:bidi="en_US"/>
        </w:rPr>
        <w:t>not to worry about everyday life—whether you have enough food to eat or enough clothes to wear (NLT)</w:t>
      </w:r>
    </w:p>
    <w:p>
      <w:pPr/>
      <w:r>
        <w:rPr>
          <w:lang w:val="en_US" w:bidi="en_US"/>
        </w:rPr>
      </w:r>
      <w:r>
        <w:rPr>
          <w:lang w:val="en_US" w:bidi="en_US"/>
        </w:rPr>
        <w:t>stop worrying about what you will eat or wear (GW)</w:t>
      </w:r>
      <w:r>
        <w:rPr>
          <w:lang w:val="en_US" w:bidi="en_US"/>
        </w:rPr>
      </w:r>
      <w:r>
        <w:rPr>
          <w:lang w:val="en_US" w:bidi="en_US"/>
        </w:rPr>
      </w:r>
    </w:p>
    <w:p>
      <w:pPr/>
      <w:r>
        <w:rPr>
          <w:lang w:val="en_US" w:bidi="en_US"/>
        </w:rPr>
      </w:r>
    </w:p>
    <w:p>
      <w:pPr>
        <w:pStyle w:val="Heading2"/>
      </w:pPr>
      <w:r>
        <w:rPr>
          <w:lang w:val="en_US" w:bidi="en_US"/>
        </w:rPr>
        <w:t>Luke 12:23</w:t>
      </w:r>
      <w:r>
        <w:rPr>
          <w:lang w:val="en_US" w:bidi="en_US"/>
        </w:rPr>
      </w:r>
    </w:p>
    <w:p>
      <w:pPr>
        <w:pStyle w:val="Heading4"/>
      </w:pPr>
      <w:r>
        <w:rPr>
          <w:lang w:val="en_US" w:bidi="en_US"/>
        </w:rPr>
        <w:t>Section 12:22–34: Jesus encouraged his disciples to trust God to care for them</w:t>
      </w:r>
    </w:p>
    <w:p>
      <w:pPr/>
      <w:r>
        <w:rPr>
          <w:lang w:val="en_US" w:bidi="en_US"/>
        </w:rPr>
      </w:r>
      <w:r>
        <w:rPr>
          <w:lang w:val="en_US" w:bidi="en_US"/>
        </w:rP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pPr/>
      <w:r>
        <w:rPr>
          <w:lang w:val="en_US" w:bidi="en_US"/>
        </w:rPr>
      </w:r>
      <w:r>
        <w:rPr>
          <w:lang w:val="en_US" w:bidi="en_US"/>
        </w:rPr>
        <w:t>Some other possible headings for this section are:</w:t>
      </w:r>
    </w:p>
    <w:p>
      <w:pPr/>
      <w:r>
        <w:rPr>
          <w:lang w:val="en_US" w:bidi="en_US"/>
        </w:rPr>
      </w:r>
      <w:r>
        <w:rPr>
          <w:lang w:val="en_US" w:bidi="en_US"/>
        </w:rPr>
        <w:t>God’s Care For Those Who Trust In Him</w:t>
      </w:r>
    </w:p>
    <w:p>
      <w:pPr/>
      <w:r>
        <w:rPr>
          <w:lang w:val="en_US" w:bidi="en_US"/>
        </w:rPr>
      </w:r>
      <w:r>
        <w:rPr>
          <w:lang w:val="en_US" w:bidi="en_US"/>
        </w:rPr>
        <w:t>Trust in God (GNT)</w:t>
      </w:r>
    </w:p>
    <w:p>
      <w:pPr/>
      <w:r>
        <w:rPr>
          <w:lang w:val="en_US" w:bidi="en_US"/>
        </w:rPr>
      </w:r>
      <w:r>
        <w:rPr>
          <w:lang w:val="en_US" w:bidi="en_US"/>
        </w:rPr>
        <w:t>Do not Worry (NIV)</w:t>
      </w:r>
    </w:p>
    <w:p>
      <w:pPr/>
      <w:r>
        <w:rPr>
          <w:lang w:val="en_US" w:bidi="en_US"/>
        </w:rPr>
      </w:r>
      <w:r>
        <w:rPr>
          <w:lang w:val="en_US" w:bidi="en_US"/>
        </w:rPr>
        <w:t>There is a parallel passage for this section in Matthew 6:25–34.</w:t>
      </w:r>
    </w:p>
    <w:p>
      <w:pPr>
        <w:pStyle w:val="Heading5"/>
      </w:pPr>
      <w:r>
        <w:rPr>
          <w:lang w:val="en_US" w:bidi="en_US"/>
        </w:rPr>
        <w:t>12:23</w:t>
      </w:r>
    </w:p>
    <w:p>
      <w:pPr/>
      <w:r>
        <w:rPr>
          <w:lang w:val="en_US" w:bidi="en_US"/>
        </w:rPr>
      </w:r>
      <w:r>
        <w:rPr>
          <w:b/>
          <w:lang w:val="en_US" w:bidi="en_US"/>
        </w:rPr>
        <w:t>For life is more than food, and the body more than clothes.</w:t>
      </w:r>
    </w:p>
    <w:p>
      <w:pPr>
        <w:pStyle w:val="ListBullet"/>
        <w:spacing w:line="240" w:lineRule="auto"/>
        <w:ind w:left="720"/>
      </w:pPr>
      <w:r>
        <w:rPr>
          <w:lang w:val="en_US" w:bidi="en_US"/>
        </w:rPr>
      </w:r>
      <w:r>
        <w:rPr>
          <w:lang w:val="en_US" w:bidi="en_US"/>
        </w:rPr>
        <w:t xml:space="preserve">Living/Life is more </w:t>
      </w:r>
      <w:r>
        <w:rPr>
          <w:lang w:val="en_US" w:bidi="en_US"/>
        </w:rPr>
        <w:t>important/valuable</w:t>
      </w:r>
      <w:r>
        <w:rPr>
          <w:lang w:val="en_US" w:bidi="en_US"/>
        </w:rPr>
        <w:t xml:space="preserve"> than eating, and your</w:t>
      </w:r>
      <w:r>
        <w:rPr>
          <w:vertAlign w:val="superscript"/>
          <w:lang w:val="en_US" w:bidi="en_US"/>
        </w:rPr>
        <w:t>(plur)</w:t>
      </w:r>
      <w:r>
        <w:rPr>
          <w:lang w:val="en_US" w:bidi="en_US"/>
        </w:rPr>
        <w:t xml:space="preserve"> body is more </w:t>
      </w:r>
      <w:r>
        <w:rPr>
          <w:lang w:val="en_US" w:bidi="en_US"/>
        </w:rPr>
        <w:t>important</w:t>
      </w:r>
      <w:r>
        <w:rPr>
          <w:lang w:val="en_US" w:bidi="en_US"/>
        </w:rPr>
        <w:t xml:space="preserve"> than the clothes </w:t>
      </w:r>
      <w:r>
        <w:rPr>
          <w:lang w:val="en_US" w:bidi="en_US"/>
        </w:rPr>
        <w:t>that you wear</w:t>
      </w:r>
      <w:r>
        <w:rPr>
          <w:lang w:val="en_US" w:bidi="en_US"/>
        </w:rPr>
        <w:t>.</w:t>
      </w:r>
    </w:p>
    <w:p>
      <w:pPr>
        <w:pStyle w:val="ListBullet"/>
        <w:spacing w:line="240" w:lineRule="auto"/>
        <w:ind w:left="720"/>
      </w:pPr>
      <w:r>
        <w:rPr>
          <w:lang w:val="en_US" w:bidi="en_US"/>
        </w:rPr>
      </w:r>
      <w:r>
        <w:rPr>
          <w:lang w:val="en_US" w:bidi="en_US"/>
        </w:rPr>
        <w:t>For</w:t>
      </w:r>
      <w:r>
        <w:rPr>
          <w:lang w:val="en_US" w:bidi="en_US"/>
        </w:rPr>
        <w:t xml:space="preserve"> your</w:t>
      </w:r>
      <w:r>
        <w:rPr>
          <w:vertAlign w:val="superscript"/>
          <w:lang w:val="en_US" w:bidi="en_US"/>
        </w:rPr>
        <w:t>(plur)</w:t>
      </w:r>
      <w:r>
        <w:rPr>
          <w:lang w:val="en_US" w:bidi="en_US"/>
        </w:rPr>
        <w:t xml:space="preserve"> life has more importance/value than food and clothes.</w:t>
      </w:r>
    </w:p>
    <w:p>
      <w:pPr/>
      <w:r>
        <w:rPr>
          <w:lang w:val="en_US" w:bidi="en_US"/>
        </w:rPr>
      </w:r>
      <w:r>
        <w:rPr>
          <w:b/>
          <w:lang w:val="en_US" w:bidi="en_US"/>
        </w:rPr>
        <w:t>For:</w:t>
      </w:r>
      <w:r>
        <w:rPr>
          <w:lang w:val="en_US" w:bidi="en_US"/>
        </w:rPr>
        <w:t xml:space="preserve"> In Greek, this verse begins with a conjunction that the BSB translates as </w:t>
      </w:r>
      <w:r>
        <w:rPr>
          <w:i/>
          <w:lang w:val="en_US" w:bidi="en_US"/>
        </w:rPr>
        <w:t>For</w:t>
      </w:r>
      <w:r>
        <w:rPr>
          <w:lang w:val="en_US" w:bidi="en_US"/>
        </w:rPr>
        <w:t>. The conjunction introduces a reason why Jesus’ disciples should not worry about food and clothes. Express this reason connection in a natural way in your language. In some languages a connector may not be needed.</w:t>
      </w:r>
    </w:p>
    <w:p>
      <w:pPr/>
      <w:r>
        <w:rPr>
          <w:lang w:val="en_US" w:bidi="en_US"/>
        </w:rPr>
      </w:r>
      <w:r>
        <w:rPr>
          <w:b/>
          <w:lang w:val="en_US" w:bidi="en_US"/>
        </w:rPr>
        <w:t>life is more than food, and the body more than clothes:</w:t>
      </w:r>
      <w:r>
        <w:rPr>
          <w:lang w:val="en_US" w:bidi="en_US"/>
        </w:rPr>
        <w:t xml:space="preserve"> This clause indicates that a person’s life is more important than things like food and clothes that he needs. For example:</w:t>
      </w:r>
    </w:p>
    <w:p>
      <w:pPr/>
      <w:r>
        <w:rPr>
          <w:lang w:val="en_US" w:bidi="en_US"/>
        </w:rPr>
      </w:r>
      <w:r>
        <w:rPr>
          <w:lang w:val="en_US" w:bidi="en_US"/>
        </w:rPr>
        <w:t>Life is much more important than food, and the body much more important than clothes. (GNT)</w:t>
      </w:r>
    </w:p>
    <w:p>
      <w:pPr/>
      <w:r>
        <w:rPr>
          <w:lang w:val="en_US" w:bidi="en_US"/>
        </w:rPr>
      </w:r>
      <w:r>
        <w:rPr>
          <w:lang w:val="en_US" w:bidi="en_US"/>
        </w:rPr>
        <w:t>This statement is ambiguous. It can imply that:</w:t>
      </w:r>
    </w:p>
    <w:p>
      <w:pPr>
        <w:pStyle w:val="ListNumber"/>
        <w:numPr>
          <w:ilvl w:val="0"/>
          <w:numId w:val="240"/>
        </w:numPr>
        <w:spacing w:line="240" w:lineRule="auto"/>
        <w:ind w:left="720"/>
      </w:pPr>
      <w:r>
        <w:rPr>
          <w:lang w:val="en_US" w:bidi="en_US"/>
        </w:rPr>
      </w:r>
      <w:r>
        <w:rPr>
          <w:lang w:val="en_US" w:bidi="en_US"/>
        </w:rPr>
        <w:t>Since God gives the disciples their lives (the more important thing), they can also trust him to supply the food and clothing (the less important things) that they need for their lives.</w:t>
      </w:r>
    </w:p>
    <w:p>
      <w:pPr>
        <w:pStyle w:val="ListNumber"/>
        <w:spacing w:line="240" w:lineRule="auto"/>
        <w:ind w:left="720"/>
      </w:pPr>
      <w:r>
        <w:rPr>
          <w:lang w:val="en_US" w:bidi="en_US"/>
        </w:rPr>
      </w:r>
      <w:r>
        <w:rPr>
          <w:lang w:val="en_US" w:bidi="en_US"/>
        </w:rPr>
        <w:t>Life has much more meaning than food and clothes, and the disciples should focus on that meaning.</w:t>
      </w:r>
    </w:p>
    <w:p>
      <w:pPr/>
      <w:r>
        <w:rPr>
          <w:lang w:val="en_US" w:bidi="en_US"/>
        </w:rPr>
      </w:r>
      <w:r>
        <w:rPr>
          <w:lang w:val="en_US" w:bidi="en_US"/>
        </w:rPr>
        <w:t>Jesus taught both these ideas in this chapter, and both ideas may be implied here. If possible, translate so that both ideas may be understood. In some languages it may be necessary to make this implied reasoning explicit, either in the text or in a footnote. For example:</w:t>
      </w:r>
    </w:p>
    <w:p>
      <w:pPr/>
      <w:r>
        <w:rPr>
          <w:lang w:val="en_US" w:bidi="en_US"/>
        </w:rPr>
      </w:r>
      <w:r>
        <w:rPr>
          <w:lang w:val="en_US" w:bidi="en_US"/>
        </w:rPr>
        <w:t xml:space="preserve">Your life is more valuable than what you eat, and your body is more valuable than what you wear. </w:t>
      </w:r>
      <w:r>
        <w:rPr>
          <w:lang w:val="en_US" w:bidi="en_US"/>
        </w:rPr>
        <w:t>Since God has given you both your life and your body, you can certainly trust him to also give you these things that you need.</w:t>
      </w:r>
    </w:p>
    <w:p>
      <w:pPr/>
      <w:r>
        <w:rPr>
          <w:lang w:val="en_US" w:bidi="en_US"/>
        </w:rPr>
      </w:r>
      <w:r>
        <w:rPr>
          <w:lang w:val="en_US" w:bidi="en_US"/>
        </w:rPr>
        <w:t xml:space="preserve">In some languages it may be necessary to translate </w:t>
      </w:r>
      <w:r>
        <w:rPr>
          <w:i/>
          <w:lang w:val="en_US" w:bidi="en_US"/>
        </w:rPr>
        <w:t>life</w:t>
      </w:r>
      <w:r>
        <w:rPr>
          <w:lang w:val="en_US" w:bidi="en_US"/>
        </w:rPr>
        <w:t xml:space="preserve"> as a verb. You could possibly translate </w:t>
      </w:r>
      <w:r>
        <w:rPr>
          <w:i/>
          <w:lang w:val="en_US" w:bidi="en_US"/>
        </w:rPr>
        <w:t>food</w:t>
      </w:r>
      <w:r>
        <w:rPr>
          <w:lang w:val="en_US" w:bidi="en_US"/>
        </w:rPr>
        <w:t xml:space="preserve"> as a verb in order to match this and say something like:</w:t>
      </w:r>
    </w:p>
    <w:p>
      <w:pPr/>
      <w:r>
        <w:rPr>
          <w:lang w:val="en_US" w:bidi="en_US"/>
        </w:rPr>
      </w:r>
      <w:r>
        <w:rPr>
          <w:lang w:val="en_US" w:bidi="en_US"/>
        </w:rPr>
        <w:t>For living involves so much more than eating</w:t>
      </w:r>
    </w:p>
    <w:p>
      <w:pPr>
        <w:pStyle w:val="Heading6"/>
      </w:pPr>
      <w:r>
        <w:rPr>
          <w:b/>
          <w:lang w:val="en_US" w:bidi="en_US"/>
        </w:rPr>
        <w:t>General Comment on 12:23</w:t>
      </w:r>
    </w:p>
    <w:p>
      <w:pPr/>
      <w:r>
        <w:rPr>
          <w:lang w:val="en_US" w:bidi="en_US"/>
        </w:rPr>
      </w:r>
      <w:r>
        <w:rPr>
          <w:lang w:val="en_US" w:bidi="en_US"/>
        </w:rPr>
        <w:t>In some languages it may be more natural to combine the clauses of 12:23. As in 12:22c, it may not be necessary to mention “body” explicitly. For example:</w:t>
      </w:r>
    </w:p>
    <w:p>
      <w:pPr/>
      <w:r>
        <w:rPr>
          <w:lang w:val="en_US" w:bidi="en_US"/>
        </w:rPr>
      </w:r>
      <w:r>
        <w:rPr>
          <w:lang w:val="en_US" w:bidi="en_US"/>
        </w:rPr>
        <w:t>For life is far more important than food and clothing.</w:t>
      </w:r>
      <w:r>
        <w:rPr>
          <w:lang w:val="en_US" w:bidi="en_US"/>
        </w:rPr>
      </w:r>
      <w:r>
        <w:rPr>
          <w:lang w:val="en_US" w:bidi="en_US"/>
        </w:rPr>
      </w:r>
    </w:p>
    <w:p>
      <w:pPr/>
      <w:r>
        <w:rPr>
          <w:lang w:val="en_US" w:bidi="en_US"/>
        </w:rPr>
      </w:r>
    </w:p>
    <w:p>
      <w:pPr>
        <w:pStyle w:val="Heading2"/>
      </w:pPr>
      <w:r>
        <w:rPr>
          <w:lang w:val="en_US" w:bidi="en_US"/>
        </w:rPr>
        <w:t>Luke 12:24</w:t>
      </w:r>
      <w:r>
        <w:rPr>
          <w:lang w:val="en_US" w:bidi="en_US"/>
        </w:rPr>
      </w:r>
    </w:p>
    <w:p>
      <w:pPr>
        <w:pStyle w:val="Heading4"/>
      </w:pPr>
      <w:r>
        <w:rPr>
          <w:lang w:val="en_US" w:bidi="en_US"/>
        </w:rPr>
        <w:t>Section 12:22–34: Jesus encouraged his disciples to trust God to care for them</w:t>
      </w:r>
    </w:p>
    <w:p>
      <w:pPr/>
      <w:r>
        <w:rPr>
          <w:lang w:val="en_US" w:bidi="en_US"/>
        </w:rPr>
      </w:r>
      <w:r>
        <w:rPr>
          <w:lang w:val="en_US" w:bidi="en_US"/>
        </w:rP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pPr/>
      <w:r>
        <w:rPr>
          <w:lang w:val="en_US" w:bidi="en_US"/>
        </w:rPr>
      </w:r>
      <w:r>
        <w:rPr>
          <w:lang w:val="en_US" w:bidi="en_US"/>
        </w:rPr>
        <w:t>Some other possible headings for this section are:</w:t>
      </w:r>
    </w:p>
    <w:p>
      <w:pPr/>
      <w:r>
        <w:rPr>
          <w:lang w:val="en_US" w:bidi="en_US"/>
        </w:rPr>
      </w:r>
      <w:r>
        <w:rPr>
          <w:lang w:val="en_US" w:bidi="en_US"/>
        </w:rPr>
        <w:t>God’s Care For Those Who Trust In Him</w:t>
      </w:r>
    </w:p>
    <w:p>
      <w:pPr/>
      <w:r>
        <w:rPr>
          <w:lang w:val="en_US" w:bidi="en_US"/>
        </w:rPr>
      </w:r>
      <w:r>
        <w:rPr>
          <w:lang w:val="en_US" w:bidi="en_US"/>
        </w:rPr>
        <w:t>Trust in God (GNT)</w:t>
      </w:r>
    </w:p>
    <w:p>
      <w:pPr/>
      <w:r>
        <w:rPr>
          <w:lang w:val="en_US" w:bidi="en_US"/>
        </w:rPr>
      </w:r>
      <w:r>
        <w:rPr>
          <w:lang w:val="en_US" w:bidi="en_US"/>
        </w:rPr>
        <w:t>Do not Worry (NIV)</w:t>
      </w:r>
    </w:p>
    <w:p>
      <w:pPr/>
      <w:r>
        <w:rPr>
          <w:lang w:val="en_US" w:bidi="en_US"/>
        </w:rPr>
      </w:r>
      <w:r>
        <w:rPr>
          <w:lang w:val="en_US" w:bidi="en_US"/>
        </w:rPr>
        <w:t>There is a parallel passage for this section in Matthew 6:25–34.</w:t>
      </w:r>
    </w:p>
    <w:p>
      <w:pPr>
        <w:pStyle w:val="Heading5"/>
      </w:pPr>
      <w:r>
        <w:rPr>
          <w:lang w:val="en_US" w:bidi="en_US"/>
        </w:rPr>
        <w:t>12:24</w:t>
      </w:r>
    </w:p>
    <w:p>
      <w:pPr/>
      <w:r>
        <w:rPr>
          <w:lang w:val="en_US" w:bidi="en_US"/>
        </w:rPr>
      </w:r>
      <w:r>
        <w:rPr>
          <w:lang w:val="en_US" w:bidi="en_US"/>
        </w:rPr>
        <w:t>In this verse Jesus gave another reason why the disciples should not worry about food and clothes. He explained that God takes care of the physical needs of birds, so he will certainly care for the disciples. They are much more important to God than birds.</w:t>
      </w:r>
    </w:p>
    <w:p>
      <w:pPr>
        <w:pStyle w:val="Heading5"/>
      </w:pPr>
      <w:r>
        <w:rPr>
          <w:lang w:val="en_US" w:bidi="en_US"/>
        </w:rPr>
        <w:t>12:24a</w:t>
      </w:r>
    </w:p>
    <w:p>
      <w:pPr/>
      <w:r>
        <w:rPr>
          <w:lang w:val="en_US" w:bidi="en_US"/>
        </w:rPr>
      </w:r>
      <w:r>
        <w:rPr>
          <w:b/>
          <w:lang w:val="en_US" w:bidi="en_US"/>
        </w:rPr>
        <w:t>Consider the ravens:</w:t>
      </w:r>
    </w:p>
    <w:p>
      <w:pPr>
        <w:pStyle w:val="ListBullet"/>
        <w:spacing w:line="240" w:lineRule="auto"/>
        <w:ind w:left="720"/>
      </w:pPr>
      <w:r>
        <w:rPr>
          <w:lang w:val="en_US" w:bidi="en_US"/>
        </w:rPr>
      </w:r>
      <w:r>
        <w:rPr>
          <w:lang w:val="en_US" w:bidi="en_US"/>
        </w:rPr>
        <w:t xml:space="preserve">Look at the ravens/crows, </w:t>
      </w:r>
      <w:r>
        <w:rPr>
          <w:lang w:val="en_US" w:bidi="en_US"/>
        </w:rPr>
        <w:t>for example</w:t>
      </w:r>
      <w:r>
        <w:rPr>
          <w:lang w:val="en_US" w:bidi="en_US"/>
        </w:rPr>
        <w:t>.</w:t>
      </w:r>
    </w:p>
    <w:p>
      <w:pPr>
        <w:pStyle w:val="ListBullet"/>
        <w:spacing w:line="240" w:lineRule="auto"/>
        <w:ind w:left="720"/>
      </w:pPr>
      <w:r>
        <w:rPr>
          <w:lang w:val="en_US" w:bidi="en_US"/>
        </w:rPr>
      </w:r>
      <w:r>
        <w:rPr>
          <w:lang w:val="en_US" w:bidi="en_US"/>
        </w:rPr>
        <w:t xml:space="preserve">Think about </w:t>
      </w:r>
      <w:r>
        <w:rPr>
          <w:lang w:val="en_US" w:bidi="en_US"/>
        </w:rPr>
        <w:t>how God cares for</w:t>
      </w:r>
      <w:r>
        <w:rPr>
          <w:lang w:val="en_US" w:bidi="en_US"/>
        </w:rPr>
        <w:t xml:space="preserve"> the birds.</w:t>
      </w:r>
    </w:p>
    <w:p>
      <w:pPr/>
      <w:r>
        <w:rPr>
          <w:lang w:val="en_US" w:bidi="en_US"/>
        </w:rPr>
      </w:r>
      <w:r>
        <w:rPr>
          <w:b/>
          <w:lang w:val="en_US" w:bidi="en_US"/>
        </w:rPr>
        <w:t>Consider the ravens:</w:t>
      </w:r>
      <w:r>
        <w:rPr>
          <w:lang w:val="en_US" w:bidi="en_US"/>
        </w:rPr>
        <w:t xml:space="preserve"> The clause </w:t>
      </w:r>
      <w:r>
        <w:rPr>
          <w:i/>
          <w:lang w:val="en_US" w:bidi="en_US"/>
        </w:rPr>
        <w:t>Consider the ravens</w:t>
      </w:r>
      <w:r>
        <w:rPr>
          <w:lang w:val="en_US" w:bidi="en_US"/>
        </w:rPr>
        <w:t xml:space="preserve"> indicates that Jesus was introducing an example or illustration. He wanted people to think about ravens and learn something from what he said. Think about how someone would introduce such an illustration in your language. Also consider if you would naturally use the article (</w:t>
      </w:r>
      <w:r>
        <w:rPr>
          <w:u w:val="single"/>
          <w:lang w:val="en_US" w:bidi="en_US"/>
        </w:rPr>
        <w:t>the</w:t>
      </w:r>
      <w:r>
        <w:rPr>
          <w:lang w:val="en_US" w:bidi="en_US"/>
        </w:rPr>
        <w:t xml:space="preserve"> ravens) or omit it. Some other ways to introduce this example are:</w:t>
      </w:r>
    </w:p>
    <w:p>
      <w:pPr/>
      <w:r>
        <w:rPr>
          <w:lang w:val="en_US" w:bidi="en_US"/>
        </w:rPr>
      </w:r>
      <w:r>
        <w:rPr>
          <w:lang w:val="en_US" w:bidi="en_US"/>
        </w:rPr>
        <w:t xml:space="preserve">Think about ravens, </w:t>
      </w:r>
      <w:r>
        <w:rPr>
          <w:lang w:val="en_US" w:bidi="en_US"/>
        </w:rPr>
        <w:t>for example</w:t>
      </w:r>
      <w:r>
        <w:rPr>
          <w:lang w:val="en_US" w:bidi="en_US"/>
        </w:rPr>
        <w:t>.</w:t>
      </w:r>
    </w:p>
    <w:p>
      <w:pPr/>
      <w:r>
        <w:rPr>
          <w:lang w:val="en_US" w:bidi="en_US"/>
        </w:rPr>
      </w:r>
      <w:r>
        <w:rPr>
          <w:lang w:val="en_US" w:bidi="en_US"/>
        </w:rPr>
        <w:t>Let me illustrate by</w:t>
      </w:r>
      <w:r>
        <w:rPr>
          <w:lang w:val="en_US" w:bidi="en_US"/>
        </w:rPr>
        <w:t xml:space="preserve"> reminding you about the ravens.</w:t>
      </w:r>
    </w:p>
    <w:p>
      <w:pPr/>
      <w:r>
        <w:rPr>
          <w:lang w:val="en_US" w:bidi="en_US"/>
        </w:rPr>
      </w:r>
      <w:r>
        <w:rPr>
          <w:b/>
          <w:lang w:val="en_US" w:bidi="en_US"/>
        </w:rPr>
        <w:t>ravens:</w:t>
      </w:r>
      <w:r>
        <w:rPr>
          <w:lang w:val="en_US" w:bidi="en_US"/>
        </w:rPr>
        <w:t xml:space="preserve"> The Greek word that the BSB translates as </w:t>
      </w:r>
      <w:r>
        <w:rPr>
          <w:i/>
          <w:lang w:val="en_US" w:bidi="en_US"/>
        </w:rPr>
        <w:t>ravens</w:t>
      </w:r>
      <w:r>
        <w:rPr>
          <w:lang w:val="en_US" w:bidi="en_US"/>
        </w:rPr>
        <w:t xml:space="preserve"> refers to any birds of the crow family, including ravens, rooks, and jackdaws. These are all large, black birds that the Jews considered to be of no value, since they could not be eaten. According to Leviticus 11:15, they were unclean birds. You may want to include this information in a footnote.</w:t>
      </w:r>
    </w:p>
    <w:p>
      <w:pPr/>
      <w:r>
        <w:rPr>
          <w:lang w:val="en_US" w:bidi="en_US"/>
        </w:rPr>
      </w:r>
      <w:r>
        <w:rPr>
          <w:lang w:val="en_US" w:bidi="en_US"/>
        </w:rPr>
        <w:t xml:space="preserve">If your language has no word for </w:t>
      </w:r>
      <w:r>
        <w:rPr>
          <w:i/>
          <w:lang w:val="en_US" w:bidi="en_US"/>
        </w:rPr>
        <w:t>ravens</w:t>
      </w:r>
      <w:r>
        <w:rPr>
          <w:lang w:val="en_US" w:bidi="en_US"/>
        </w:rPr>
        <w:t xml:space="preserve"> or “crows” or similar birds, you may use a more general term. For example:</w:t>
      </w:r>
    </w:p>
    <w:p>
      <w:pPr/>
      <w:r>
        <w:rPr>
          <w:lang w:val="en_US" w:bidi="en_US"/>
        </w:rPr>
      </w:r>
      <w:r>
        <w:rPr>
          <w:lang w:val="en_US" w:bidi="en_US"/>
        </w:rPr>
        <w:t>Look at the birds. (NCV)</w:t>
      </w:r>
    </w:p>
    <w:p>
      <w:pPr>
        <w:pStyle w:val="Heading5"/>
      </w:pPr>
      <w:r>
        <w:rPr>
          <w:lang w:val="en_US" w:bidi="en_US"/>
        </w:rPr>
        <w:t>12:24b</w:t>
      </w:r>
    </w:p>
    <w:p>
      <w:pPr/>
      <w:r>
        <w:rPr>
          <w:lang w:val="en_US" w:bidi="en_US"/>
        </w:rPr>
      </w:r>
      <w:r>
        <w:rPr>
          <w:b/>
          <w:lang w:val="en_US" w:bidi="en_US"/>
        </w:rPr>
        <w:t>They do not sow or reap,</w:t>
      </w:r>
    </w:p>
    <w:p>
      <w:pPr>
        <w:pStyle w:val="ListBullet"/>
        <w:spacing w:line="240" w:lineRule="auto"/>
        <w:ind w:left="720"/>
      </w:pPr>
      <w:r>
        <w:rPr>
          <w:lang w:val="en_US" w:bidi="en_US"/>
        </w:rPr>
      </w:r>
      <w:r>
        <w:rPr>
          <w:lang w:val="en_US" w:bidi="en_US"/>
        </w:rPr>
        <w:t>They do not plant or harvest,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t>
      </w:r>
      <w:r>
        <w:rPr>
          <w:lang w:val="en_US" w:bidi="en_US"/>
        </w:rPr>
        <w:t>know that</w:t>
      </w:r>
      <w:r>
        <w:rPr>
          <w:lang w:val="en_US" w:bidi="en_US"/>
        </w:rPr>
        <w:t xml:space="preserve"> they do not plant/sow seeds or harvest/pick </w:t>
      </w:r>
      <w:r>
        <w:rPr>
          <w:lang w:val="en_US" w:bidi="en_US"/>
        </w:rPr>
        <w:t>crops</w:t>
      </w:r>
      <w:r>
        <w:rPr>
          <w:lang w:val="en_US" w:bidi="en_US"/>
        </w:rPr>
        <w:t>.</w:t>
      </w:r>
    </w:p>
    <w:p>
      <w:pPr/>
      <w:r>
        <w:rPr>
          <w:lang w:val="en_US" w:bidi="en_US"/>
        </w:rPr>
      </w:r>
      <w:r>
        <w:rPr>
          <w:b/>
          <w:lang w:val="en_US" w:bidi="en_US"/>
        </w:rPr>
        <w:t>They do not sow or reap:</w:t>
      </w:r>
      <w:r>
        <w:rPr>
          <w:lang w:val="en_US" w:bidi="en_US"/>
        </w:rPr>
        <w:t xml:space="preserve"> Here Jesus was stating something that was obviously true. In some languages it may be natural to indicate this by saying something like:</w:t>
      </w:r>
    </w:p>
    <w:p>
      <w:pPr/>
      <w:r>
        <w:rPr>
          <w:lang w:val="en_US" w:bidi="en_US"/>
        </w:rPr>
      </w:r>
      <w:r>
        <w:rPr>
          <w:lang w:val="en_US" w:bidi="en_US"/>
        </w:rPr>
        <w:t>You/We know that</w:t>
      </w:r>
      <w:r>
        <w:rPr>
          <w:lang w:val="en_US" w:bidi="en_US"/>
        </w:rPr>
        <w:t xml:space="preserve"> they do not sow or reap</w:t>
      </w:r>
    </w:p>
    <w:p>
      <w:pPr/>
      <w:r>
        <w:rPr>
          <w:lang w:val="en_US" w:bidi="en_US"/>
        </w:rPr>
      </w:r>
      <w:r>
        <w:rPr>
          <w:b/>
          <w:lang w:val="en_US" w:bidi="en_US"/>
        </w:rPr>
        <w:t>sow or reap:</w:t>
      </w:r>
      <w:r>
        <w:rPr>
          <w:lang w:val="en_US" w:bidi="en_US"/>
        </w:rPr>
        <w:t xml:space="preserve"> To </w:t>
      </w:r>
      <w:r>
        <w:rPr>
          <w:i/>
          <w:lang w:val="en_US" w:bidi="en_US"/>
        </w:rPr>
        <w:t>sow</w:t>
      </w:r>
      <w:r>
        <w:rPr>
          <w:lang w:val="en_US" w:bidi="en_US"/>
        </w:rPr>
        <w:t xml:space="preserve"> is to plant seed by scattering it on the ground by hand. To </w:t>
      </w:r>
      <w:r>
        <w:rPr>
          <w:i/>
          <w:lang w:val="en_US" w:bidi="en_US"/>
        </w:rPr>
        <w:t>reap</w:t>
      </w:r>
      <w:r>
        <w:rPr>
          <w:lang w:val="en_US" w:bidi="en_US"/>
        </w:rPr>
        <w:t xml:space="preserve"> is to cut ripe grain and bring it in from the field. In this verse the focus is not on the type of crop or on the method of planting or harvesting. So you may use general terms that refer to any crop. For example:</w:t>
      </w:r>
    </w:p>
    <w:p>
      <w:pPr/>
      <w:r>
        <w:rPr>
          <w:lang w:val="en_US" w:bidi="en_US"/>
        </w:rPr>
      </w:r>
      <w:r>
        <w:rPr>
          <w:lang w:val="en_US" w:bidi="en_US"/>
        </w:rPr>
        <w:t>They don’t plant or harvest (CEV)</w:t>
      </w:r>
    </w:p>
    <w:p>
      <w:pPr/>
      <w:r>
        <w:rPr>
          <w:lang w:val="en_US" w:bidi="en_US"/>
        </w:rPr>
      </w:r>
      <w:r>
        <w:rPr>
          <w:lang w:val="en_US" w:bidi="en_US"/>
        </w:rPr>
        <w:t>They don’t plant seeds or gather a harvest (GNT)</w:t>
      </w:r>
    </w:p>
    <w:p>
      <w:pPr>
        <w:pStyle w:val="Heading5"/>
      </w:pPr>
      <w:r>
        <w:rPr>
          <w:lang w:val="en_US" w:bidi="en_US"/>
        </w:rPr>
        <w:t>12:24c</w:t>
      </w:r>
    </w:p>
    <w:p>
      <w:pPr/>
      <w:r>
        <w:rPr>
          <w:lang w:val="en_US" w:bidi="en_US"/>
        </w:rPr>
      </w:r>
      <w:r>
        <w:rPr>
          <w:b/>
          <w:lang w:val="en_US" w:bidi="en_US"/>
        </w:rPr>
        <w:t>they have no storehouse or barn;</w:t>
      </w:r>
    </w:p>
    <w:p>
      <w:pPr>
        <w:pStyle w:val="ListBullet"/>
        <w:spacing w:line="240" w:lineRule="auto"/>
        <w:ind w:left="720"/>
      </w:pPr>
      <w:r>
        <w:rPr>
          <w:lang w:val="en_US" w:bidi="en_US"/>
        </w:rPr>
      </w:r>
      <w:r>
        <w:rPr>
          <w:lang w:val="en_US" w:bidi="en_US"/>
        </w:rPr>
        <w:t>and they have no storage rooms or barns/granaries,</w:t>
      </w:r>
    </w:p>
    <w:p>
      <w:pPr>
        <w:pStyle w:val="ListBullet"/>
        <w:spacing w:line="240" w:lineRule="auto"/>
        <w:ind w:left="720"/>
      </w:pPr>
      <w:r>
        <w:rPr>
          <w:lang w:val="en_US" w:bidi="en_US"/>
        </w:rPr>
      </w:r>
      <w:r>
        <w:rPr>
          <w:lang w:val="en_US" w:bidi="en_US"/>
        </w:rPr>
        <w:t xml:space="preserve">They also do not store </w:t>
      </w:r>
      <w:r>
        <w:rPr>
          <w:lang w:val="en_US" w:bidi="en_US"/>
        </w:rPr>
        <w:t>their food</w:t>
      </w:r>
      <w:r>
        <w:rPr>
          <w:lang w:val="en_US" w:bidi="en_US"/>
        </w:rPr>
        <w:t>,</w:t>
      </w:r>
    </w:p>
    <w:p>
      <w:pPr/>
      <w:r>
        <w:rPr>
          <w:lang w:val="en_US" w:bidi="en_US"/>
        </w:rPr>
      </w:r>
      <w:r>
        <w:rPr>
          <w:b/>
          <w:lang w:val="en_US" w:bidi="en_US"/>
        </w:rPr>
        <w:t>they have no storehouse or barn:</w:t>
      </w:r>
      <w:r>
        <w:rPr>
          <w:lang w:val="en_US" w:bidi="en_US"/>
        </w:rPr>
        <w:t xml:space="preserve"> Jesus was again saying what everyone knew. Crows do not have barns or storehouses for storing extra food. In some languages it may be clearer to refer to the purpose of the storerooms or barns rather than the buildings themselves. For example:</w:t>
      </w:r>
    </w:p>
    <w:p>
      <w:pPr/>
      <w:r>
        <w:rPr>
          <w:lang w:val="en_US" w:bidi="en_US"/>
        </w:rPr>
      </w:r>
      <w:r>
        <w:rPr>
          <w:lang w:val="en_US" w:bidi="en_US"/>
        </w:rPr>
        <w:t>they do not store away their extra food</w:t>
      </w:r>
    </w:p>
    <w:p>
      <w:pPr/>
      <w:r>
        <w:rPr>
          <w:lang w:val="en_US" w:bidi="en_US"/>
        </w:rPr>
      </w:r>
      <w:r>
        <w:rPr>
          <w:b/>
          <w:lang w:val="en_US" w:bidi="en_US"/>
        </w:rPr>
        <w:t>storehouse or barn:</w:t>
      </w:r>
      <w:r>
        <w:rPr>
          <w:lang w:val="en_US" w:bidi="en_US"/>
        </w:rPr>
        <w:t xml:space="preserve"> A </w:t>
      </w:r>
      <w:r>
        <w:rPr>
          <w:i/>
          <w:lang w:val="en_US" w:bidi="en_US"/>
        </w:rPr>
        <w:t>storehouse</w:t>
      </w:r>
      <w:r>
        <w:rPr>
          <w:lang w:val="en_US" w:bidi="en_US"/>
        </w:rPr>
        <w:t xml:space="preserve"> is a place in which people keep grain and other food. A </w:t>
      </w:r>
      <w:r>
        <w:rPr>
          <w:i/>
          <w:lang w:val="en_US" w:bidi="en_US"/>
        </w:rPr>
        <w:t>barn</w:t>
      </w:r>
      <w:r>
        <w:rPr>
          <w:lang w:val="en_US" w:bidi="en_US"/>
        </w:rPr>
        <w:t xml:space="preserve"> refers to a structure built for holding grain. It is the same word that was used in 12:18b. See how you translated the word there.</w:t>
      </w:r>
    </w:p>
    <w:p>
      <w:pPr>
        <w:pStyle w:val="Heading5"/>
      </w:pPr>
      <w:r>
        <w:rPr>
          <w:lang w:val="en_US" w:bidi="en_US"/>
        </w:rPr>
        <w:t>12:24d</w:t>
      </w:r>
    </w:p>
    <w:p>
      <w:pPr/>
      <w:r>
        <w:rPr>
          <w:lang w:val="en_US" w:bidi="en_US"/>
        </w:rPr>
      </w:r>
      <w:r>
        <w:rPr>
          <w:b/>
          <w:lang w:val="en_US" w:bidi="en_US"/>
        </w:rPr>
        <w:t>yet God feeds them.</w:t>
      </w:r>
    </w:p>
    <w:p>
      <w:pPr>
        <w:pStyle w:val="ListBullet"/>
        <w:spacing w:line="240" w:lineRule="auto"/>
        <w:ind w:left="720"/>
      </w:pPr>
      <w:r>
        <w:rPr>
          <w:lang w:val="en_US" w:bidi="en_US"/>
        </w:rPr>
      </w:r>
      <w:r>
        <w:rPr>
          <w:lang w:val="en_US" w:bidi="en_US"/>
        </w:rPr>
        <w:t xml:space="preserve">but God </w:t>
      </w:r>
      <w:r>
        <w:rPr>
          <w:lang w:val="en_US" w:bidi="en_US"/>
        </w:rPr>
        <w:t>still</w:t>
      </w:r>
      <w:r>
        <w:rPr>
          <w:lang w:val="en_US" w:bidi="en_US"/>
        </w:rPr>
        <w:t xml:space="preserve"> gives them food.</w:t>
      </w:r>
    </w:p>
    <w:p>
      <w:pPr>
        <w:pStyle w:val="ListBullet"/>
        <w:spacing w:line="240" w:lineRule="auto"/>
        <w:ind w:left="720"/>
      </w:pPr>
      <w:r>
        <w:rPr>
          <w:lang w:val="en_US" w:bidi="en_US"/>
        </w:rPr>
      </w:r>
      <w:r>
        <w:rPr>
          <w:lang w:val="en_US" w:bidi="en_US"/>
        </w:rPr>
        <w:t xml:space="preserve">but </w:t>
      </w:r>
      <w:r>
        <w:rPr>
          <w:lang w:val="en_US" w:bidi="en_US"/>
        </w:rPr>
        <w:t>nevertheless</w:t>
      </w:r>
      <w:r>
        <w:rPr>
          <w:lang w:val="en_US" w:bidi="en_US"/>
        </w:rPr>
        <w:t xml:space="preserve"> God provides them with </w:t>
      </w:r>
      <w:r>
        <w:rPr>
          <w:lang w:val="en_US" w:bidi="en_US"/>
        </w:rPr>
        <w:t>what they need</w:t>
      </w:r>
      <w:r>
        <w:rPr>
          <w:lang w:val="en_US" w:bidi="en_US"/>
        </w:rPr>
        <w:t xml:space="preserve"> to eat.</w:t>
      </w:r>
    </w:p>
    <w:p>
      <w:pPr/>
      <w:r>
        <w:rPr>
          <w:lang w:val="en_US" w:bidi="en_US"/>
        </w:rPr>
      </w:r>
      <w:r>
        <w:rPr>
          <w:b/>
          <w:lang w:val="en_US" w:bidi="en_US"/>
        </w:rPr>
        <w:t>yet:</w:t>
      </w:r>
      <w:r>
        <w:rPr>
          <w:lang w:val="en_US" w:bidi="en_US"/>
        </w:rPr>
        <w:t xml:space="preserve"> The Greek conjunction that the BSB translates as </w:t>
      </w:r>
      <w:r>
        <w:rPr>
          <w:i/>
          <w:lang w:val="en_US" w:bidi="en_US"/>
        </w:rPr>
        <w:t>yet</w:t>
      </w:r>
      <w:r>
        <w:rPr>
          <w:lang w:val="en_US" w:bidi="en_US"/>
        </w:rPr>
        <w:t xml:space="preserve"> here introduces something that happens in spite of what was recorded in the previous verse parts. Another way to introduce 12:24d is:</w:t>
      </w:r>
    </w:p>
    <w:p>
      <w:pPr/>
      <w:r>
        <w:rPr>
          <w:lang w:val="en_US" w:bidi="en_US"/>
        </w:rPr>
      </w:r>
      <w:r>
        <w:rPr>
          <w:lang w:val="en_US" w:bidi="en_US"/>
        </w:rPr>
        <w:t xml:space="preserve">but </w:t>
      </w:r>
      <w:r>
        <w:rPr>
          <w:lang w:val="en_US" w:bidi="en_US"/>
        </w:rPr>
        <w:t>nevertheless/still</w:t>
      </w:r>
    </w:p>
    <w:p>
      <w:pPr/>
      <w:r>
        <w:rPr>
          <w:lang w:val="en_US" w:bidi="en_US"/>
        </w:rPr>
      </w:r>
      <w:r>
        <w:rPr>
          <w:b/>
          <w:lang w:val="en_US" w:bidi="en_US"/>
        </w:rPr>
        <w:t>God feeds them:</w:t>
      </w:r>
      <w:r>
        <w:rPr>
          <w:lang w:val="en_US" w:bidi="en_US"/>
        </w:rPr>
        <w:t xml:space="preserve"> The Greek word that the BSB translates as </w:t>
      </w:r>
      <w:r>
        <w:rPr>
          <w:i/>
          <w:lang w:val="en_US" w:bidi="en_US"/>
        </w:rPr>
        <w:t>feeds</w:t>
      </w:r>
      <w:r>
        <w:rPr>
          <w:lang w:val="en_US" w:bidi="en_US"/>
        </w:rPr>
        <w:t xml:space="preserve"> in this context means “provides food for.”</w:t>
      </w:r>
    </w:p>
    <w:p>
      <w:pPr>
        <w:pStyle w:val="Heading5"/>
      </w:pPr>
      <w:r>
        <w:rPr>
          <w:lang w:val="en_US" w:bidi="en_US"/>
        </w:rPr>
        <w:t>12:24e</w:t>
      </w:r>
    </w:p>
    <w:p>
      <w:pPr/>
      <w:r>
        <w:rPr>
          <w:lang w:val="en_US" w:bidi="en_US"/>
        </w:rPr>
      </w:r>
      <w:r>
        <w:rPr>
          <w:b/>
          <w:lang w:val="en_US" w:bidi="en_US"/>
        </w:rPr>
        <w:t>How much more valuable you are than the birds!</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are much more valuable/important </w:t>
      </w:r>
      <w:r>
        <w:rPr>
          <w:lang w:val="en_US" w:bidi="en_US"/>
        </w:rPr>
        <w:t>to God</w:t>
      </w:r>
      <w:r>
        <w:rPr>
          <w:lang w:val="en_US" w:bidi="en_US"/>
        </w:rPr>
        <w:t xml:space="preserve"> than birds are.</w:t>
      </w:r>
    </w:p>
    <w:p>
      <w:pPr>
        <w:pStyle w:val="ListBullet"/>
        <w:spacing w:line="240" w:lineRule="auto"/>
        <w:ind w:left="720"/>
      </w:pPr>
      <w:r>
        <w:rPr>
          <w:lang w:val="en_US" w:bidi="en_US"/>
        </w:rPr>
      </w:r>
      <w:r>
        <w:rPr>
          <w:lang w:val="en_US" w:bidi="en_US"/>
        </w:rPr>
        <w:t xml:space="preserve">Don’t you know that </w:t>
      </w:r>
      <w:r>
        <w:rPr>
          <w:lang w:val="en_US" w:bidi="en_US"/>
        </w:rPr>
        <w:t>God</w:t>
      </w:r>
      <w:r>
        <w:rPr>
          <w:lang w:val="en_US" w:bidi="en_US"/>
        </w:rPr>
        <w:t xml:space="preserve"> values you</w:t>
      </w:r>
      <w:r>
        <w:rPr>
          <w:vertAlign w:val="superscript"/>
          <w:lang w:val="en_US" w:bidi="en_US"/>
        </w:rPr>
        <w:t>(plur)</w:t>
      </w:r>
      <w:r>
        <w:rPr>
          <w:lang w:val="en_US" w:bidi="en_US"/>
        </w:rPr>
        <w:t xml:space="preserve"> a lot more than birds?</w:t>
      </w:r>
    </w:p>
    <w:p>
      <w:pPr>
        <w:pStyle w:val="ListBullet"/>
        <w:spacing w:line="240" w:lineRule="auto"/>
        <w:ind w:left="720"/>
      </w:pPr>
      <w:r>
        <w:rPr>
          <w:lang w:val="en_US" w:bidi="en_US"/>
        </w:rPr>
      </w:r>
      <w:r>
        <w:rPr>
          <w:lang w:val="en_US" w:bidi="en_US"/>
        </w:rPr>
        <w:t xml:space="preserve">You certainly have more value/importance </w:t>
      </w:r>
      <w:r>
        <w:rPr>
          <w:lang w:val="en_US" w:bidi="en_US"/>
        </w:rPr>
        <w:t>in God’s sight</w:t>
      </w:r>
      <w:r>
        <w:rPr>
          <w:lang w:val="en_US" w:bidi="en_US"/>
        </w:rPr>
        <w:t xml:space="preserve"> than birds!</w:t>
      </w:r>
    </w:p>
    <w:p>
      <w:pPr/>
      <w:r>
        <w:rPr>
          <w:lang w:val="en_US" w:bidi="en_US"/>
        </w:rPr>
      </w:r>
      <w:r>
        <w:rPr>
          <w:lang w:val="en_US" w:bidi="en_US"/>
        </w:rPr>
        <w:t>Some English versions, such as the NIV, begin this verse part with the word “and” in order to connect the following exclamation to the preceding context. There is no conjunction in the Greek text, and some other English versions do not supply a conjunction here. You may do whatever is natural in your language.</w:t>
      </w:r>
    </w:p>
    <w:p>
      <w:pPr/>
      <w:r>
        <w:rPr>
          <w:lang w:val="en_US" w:bidi="en_US"/>
        </w:rPr>
      </w:r>
      <w:r>
        <w:rPr>
          <w:b/>
          <w:lang w:val="en_US" w:bidi="en_US"/>
        </w:rPr>
        <w:t>much more valuable you are than the birds!:</w:t>
      </w:r>
      <w:r>
        <w:rPr>
          <w:lang w:val="en_US" w:bidi="en_US"/>
        </w:rPr>
        <w:t xml:space="preserve"> This is an exclamation. Jesus was emphasizing the fact that his disciples were much more important than birds were. In some languages it may be necessary to indicate who valued the disciples so highly. If this is true in your language, you should supply “God.” For example:</w:t>
      </w:r>
    </w:p>
    <w:p>
      <w:pPr/>
      <w:r>
        <w:rPr>
          <w:lang w:val="en_US" w:bidi="en_US"/>
        </w:rPr>
      </w:r>
      <w:r>
        <w:rPr>
          <w:lang w:val="en_US" w:bidi="en_US"/>
        </w:rPr>
        <w:t>And you are far more valuable to him than any birds! (NLT)</w:t>
      </w:r>
    </w:p>
    <w:p>
      <w:pPr/>
      <w:r>
        <w:rPr>
          <w:lang w:val="en_US" w:bidi="en_US"/>
        </w:rPr>
      </w:r>
      <w:r>
        <w:rPr>
          <w:lang w:val="en_US" w:bidi="en_US"/>
        </w:rPr>
        <w:t>God</w:t>
      </w:r>
      <w:r>
        <w:rPr>
          <w:lang w:val="en_US" w:bidi="en_US"/>
        </w:rPr>
        <w:t xml:space="preserve"> values you much more than he values birds!</w:t>
      </w:r>
    </w:p>
    <w:p>
      <w:pPr/>
      <w:r>
        <w:rPr>
          <w:lang w:val="en_US" w:bidi="en_US"/>
        </w:rPr>
      </w:r>
      <w:r>
        <w:rPr>
          <w:lang w:val="en_US" w:bidi="en_US"/>
        </w:rPr>
        <w:t>In some languages it may be more natural to express this emphatic exclamation as a rhetorical question. For example:</w:t>
      </w:r>
    </w:p>
    <w:p>
      <w:pPr/>
      <w:r>
        <w:rPr>
          <w:lang w:val="en_US" w:bidi="en_US"/>
        </w:rPr>
      </w:r>
      <w:r>
        <w:rPr>
          <w:lang w:val="en_US" w:bidi="en_US"/>
        </w:rPr>
        <w:t xml:space="preserve">Aren’t you far more valuable </w:t>
      </w:r>
      <w:r>
        <w:rPr>
          <w:lang w:val="en_US" w:bidi="en_US"/>
        </w:rPr>
        <w:t>to God</w:t>
      </w:r>
      <w:r>
        <w:rPr>
          <w:lang w:val="en_US" w:bidi="en_US"/>
        </w:rPr>
        <w:t xml:space="preserve"> than birds?</w:t>
      </w:r>
    </w:p>
    <w:p>
      <w:pPr/>
      <w:r>
        <w:rPr>
          <w:lang w:val="en_US" w:bidi="en_US"/>
        </w:rPr>
      </w:r>
      <w:r>
        <w:rPr>
          <w:lang w:val="en_US" w:bidi="en_US"/>
        </w:rPr>
        <w:t xml:space="preserve">You certainly have more value </w:t>
      </w:r>
      <w:r>
        <w:rPr>
          <w:lang w:val="en_US" w:bidi="en_US"/>
        </w:rPr>
        <w:t>in God’s sight</w:t>
      </w:r>
      <w:r>
        <w:rPr>
          <w:lang w:val="en_US" w:bidi="en_US"/>
        </w:rPr>
        <w:t xml:space="preserve"> than birds, </w:t>
      </w:r>
      <w:r>
        <w:rPr>
          <w:lang w:val="en_US" w:bidi="en_US"/>
        </w:rPr>
        <w:t>don’t you?</w:t>
      </w:r>
    </w:p>
    <w:p>
      <w:pPr/>
      <w:r>
        <w:rPr>
          <w:lang w:val="en_US" w:bidi="en_US"/>
        </w:rPr>
      </w:r>
      <w:r>
        <w:rPr>
          <w:b/>
          <w:lang w:val="en_US" w:bidi="en_US"/>
        </w:rPr>
        <w:t>valuable:</w:t>
      </w:r>
      <w:r>
        <w:rPr>
          <w:lang w:val="en_US" w:bidi="en_US"/>
        </w:rPr>
        <w:t xml:space="preserve"> In this context the disciples were </w:t>
      </w:r>
      <w:r>
        <w:rPr>
          <w:i/>
          <w:lang w:val="en_US" w:bidi="en_US"/>
        </w:rPr>
        <w:t>valuable</w:t>
      </w:r>
      <w:r>
        <w:rPr>
          <w:lang w:val="en_US" w:bidi="en_US"/>
        </w:rPr>
        <w:t xml:space="preserve"> in the sense of being of great worth and importance to God.</w:t>
      </w:r>
      <w:r>
        <w:rPr>
          <w:lang w:val="en_US" w:bidi="en_US"/>
        </w:rPr>
      </w:r>
      <w:r>
        <w:rPr>
          <w:lang w:val="en_US" w:bidi="en_US"/>
        </w:rPr>
      </w:r>
    </w:p>
    <w:p>
      <w:pPr/>
      <w:r>
        <w:rPr>
          <w:lang w:val="en_US" w:bidi="en_US"/>
        </w:rPr>
      </w:r>
    </w:p>
    <w:p>
      <w:pPr>
        <w:pStyle w:val="Heading2"/>
      </w:pPr>
      <w:r>
        <w:rPr>
          <w:lang w:val="en_US" w:bidi="en_US"/>
        </w:rPr>
        <w:t>Luke 12:25</w:t>
      </w:r>
      <w:r>
        <w:rPr>
          <w:lang w:val="en_US" w:bidi="en_US"/>
        </w:rPr>
      </w:r>
    </w:p>
    <w:p>
      <w:pPr>
        <w:pStyle w:val="Heading4"/>
      </w:pPr>
      <w:r>
        <w:rPr>
          <w:lang w:val="en_US" w:bidi="en_US"/>
        </w:rPr>
        <w:t>Section 12:22–34: Jesus encouraged his disciples to trust God to care for them</w:t>
      </w:r>
    </w:p>
    <w:p>
      <w:pPr/>
      <w:r>
        <w:rPr>
          <w:lang w:val="en_US" w:bidi="en_US"/>
        </w:rPr>
      </w:r>
      <w:r>
        <w:rPr>
          <w:lang w:val="en_US" w:bidi="en_US"/>
        </w:rP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pPr/>
      <w:r>
        <w:rPr>
          <w:lang w:val="en_US" w:bidi="en_US"/>
        </w:rPr>
      </w:r>
      <w:r>
        <w:rPr>
          <w:lang w:val="en_US" w:bidi="en_US"/>
        </w:rPr>
        <w:t>Some other possible headings for this section are:</w:t>
      </w:r>
    </w:p>
    <w:p>
      <w:pPr/>
      <w:r>
        <w:rPr>
          <w:lang w:val="en_US" w:bidi="en_US"/>
        </w:rPr>
      </w:r>
      <w:r>
        <w:rPr>
          <w:lang w:val="en_US" w:bidi="en_US"/>
        </w:rPr>
        <w:t>God’s Care For Those Who Trust In Him</w:t>
      </w:r>
    </w:p>
    <w:p>
      <w:pPr/>
      <w:r>
        <w:rPr>
          <w:lang w:val="en_US" w:bidi="en_US"/>
        </w:rPr>
      </w:r>
      <w:r>
        <w:rPr>
          <w:lang w:val="en_US" w:bidi="en_US"/>
        </w:rPr>
        <w:t>Trust in God (GNT)</w:t>
      </w:r>
    </w:p>
    <w:p>
      <w:pPr/>
      <w:r>
        <w:rPr>
          <w:lang w:val="en_US" w:bidi="en_US"/>
        </w:rPr>
      </w:r>
      <w:r>
        <w:rPr>
          <w:lang w:val="en_US" w:bidi="en_US"/>
        </w:rPr>
        <w:t>Do not Worry (NIV)</w:t>
      </w:r>
    </w:p>
    <w:p>
      <w:pPr/>
      <w:r>
        <w:rPr>
          <w:lang w:val="en_US" w:bidi="en_US"/>
        </w:rPr>
      </w:r>
      <w:r>
        <w:rPr>
          <w:lang w:val="en_US" w:bidi="en_US"/>
        </w:rPr>
        <w:t>There is a parallel passage for this section in Matthew 6:25–34.</w:t>
      </w:r>
    </w:p>
    <w:p>
      <w:pPr>
        <w:pStyle w:val="Heading5"/>
      </w:pPr>
      <w:r>
        <w:rPr>
          <w:lang w:val="en_US" w:bidi="en_US"/>
        </w:rPr>
        <w:t>12:25</w:t>
      </w:r>
    </w:p>
    <w:p>
      <w:pPr/>
      <w:r>
        <w:rPr>
          <w:lang w:val="en_US" w:bidi="en_US"/>
        </w:rPr>
      </w:r>
      <w:r>
        <w:rPr>
          <w:b/>
          <w:lang w:val="en_US" w:bidi="en_US"/>
        </w:rPr>
        <w:t>Who of you by worrying can add a single hour to his life?</w:t>
      </w:r>
    </w:p>
    <w:p>
      <w:pPr>
        <w:pStyle w:val="ListBullet"/>
        <w:spacing w:line="240" w:lineRule="auto"/>
        <w:ind w:left="720"/>
      </w:pPr>
      <w:r>
        <w:rPr>
          <w:lang w:val="en_US" w:bidi="en_US"/>
        </w:rPr>
      </w:r>
      <w:r>
        <w:rPr>
          <w:lang w:val="en_US" w:bidi="en_US"/>
        </w:rPr>
        <w:t>Can worrying help any of you</w:t>
      </w:r>
      <w:r>
        <w:rPr>
          <w:vertAlign w:val="superscript"/>
          <w:lang w:val="en_US" w:bidi="en_US"/>
        </w:rPr>
        <w:t>(plur)</w:t>
      </w:r>
      <w:r>
        <w:rPr>
          <w:lang w:val="en_US" w:bidi="en_US"/>
        </w:rPr>
        <w:t xml:space="preserve"> add even a little time to how long you live?</w:t>
      </w:r>
    </w:p>
    <w:p>
      <w:pPr>
        <w:pStyle w:val="ListBullet"/>
        <w:spacing w:line="240" w:lineRule="auto"/>
        <w:ind w:left="720"/>
      </w:pPr>
      <w:r>
        <w:rPr>
          <w:lang w:val="en_US" w:bidi="en_US"/>
        </w:rPr>
      </w:r>
      <w:r>
        <w:rPr>
          <w:lang w:val="en_US" w:bidi="en_US"/>
        </w:rPr>
        <w:t>Besides that,</w:t>
      </w:r>
      <w:r>
        <w:rPr>
          <w:lang w:val="en_US" w:bidi="en_US"/>
        </w:rPr>
        <w:t xml:space="preserve"> if you</w:t>
      </w:r>
      <w:r>
        <w:rPr>
          <w:vertAlign w:val="superscript"/>
          <w:lang w:val="en_US" w:bidi="en_US"/>
        </w:rPr>
        <w:t>(plur)</w:t>
      </w:r>
      <w:r>
        <w:rPr>
          <w:lang w:val="en_US" w:bidi="en_US"/>
        </w:rPr>
        <w:t xml:space="preserve"> worry, will that lengthen your life by even one hour/minute/day? </w:t>
      </w:r>
      <w:r>
        <w:rPr>
          <w:lang w:val="en_US" w:bidi="en_US"/>
        </w:rPr>
        <w:t>Of course not!</w:t>
      </w:r>
    </w:p>
    <w:p>
      <w:pPr>
        <w:pStyle w:val="ListBullet"/>
        <w:spacing w:line="240" w:lineRule="auto"/>
        <w:ind w:left="720"/>
      </w:pPr>
      <w:r>
        <w:rPr>
          <w:lang w:val="en_US" w:bidi="en_US"/>
        </w:rPr>
      </w:r>
      <w:r>
        <w:rPr>
          <w:lang w:val="en_US" w:bidi="en_US"/>
        </w:rPr>
        <w:t>Yes, do not worry, because</w:t>
      </w:r>
      <w:r>
        <w:rPr>
          <w:lang w:val="en_US" w:bidi="en_US"/>
        </w:rPr>
        <w:t xml:space="preserve"> you</w:t>
      </w:r>
      <w:r>
        <w:rPr>
          <w:vertAlign w:val="superscript"/>
          <w:lang w:val="en_US" w:bidi="en_US"/>
        </w:rPr>
        <w:t>(plur)</w:t>
      </w:r>
      <w:r>
        <w:rPr>
          <w:lang w:val="en_US" w:bidi="en_US"/>
        </w:rPr>
        <w:t xml:space="preserve"> can worry continuously and it will not cause you to live one minute longer.</w:t>
      </w:r>
    </w:p>
    <w:p>
      <w:pPr/>
      <w:r>
        <w:rPr>
          <w:lang w:val="en_US" w:bidi="en_US"/>
        </w:rPr>
      </w:r>
      <w:r>
        <w:rPr>
          <w:lang w:val="en_US" w:bidi="en_US"/>
        </w:rPr>
        <w:t>In Greek, this verse begins with a conjunction that many English versions translate as “and.” This conjunction introduces a third reason why the disciples should not worry. The reason is that worry does not accomplish anything. Some ways to introduce this third reason are:</w:t>
      </w:r>
    </w:p>
    <w:p>
      <w:pPr/>
      <w:r>
        <w:rPr>
          <w:lang w:val="en_US" w:bidi="en_US"/>
        </w:rPr>
      </w:r>
      <w:r>
        <w:rPr>
          <w:lang w:val="en_US" w:bidi="en_US"/>
        </w:rPr>
        <w:t>Besides that (TRT)</w:t>
      </w:r>
    </w:p>
    <w:p>
      <w:pPr/>
      <w:r>
        <w:rPr>
          <w:lang w:val="en_US" w:bidi="en_US"/>
        </w:rPr>
      </w:r>
      <w:r>
        <w:rPr>
          <w:lang w:val="en_US" w:bidi="en_US"/>
        </w:rPr>
        <w:t>As for worrying</w:t>
      </w:r>
    </w:p>
    <w:p>
      <w:pPr/>
      <w:r>
        <w:rPr>
          <w:lang w:val="en_US" w:bidi="en_US"/>
        </w:rPr>
      </w:r>
      <w:r>
        <w:rPr>
          <w:lang w:val="en_US" w:bidi="en_US"/>
        </w:rPr>
        <w:t>You also should not worry because…</w:t>
      </w:r>
    </w:p>
    <w:p>
      <w:pPr/>
      <w:r>
        <w:rPr>
          <w:lang w:val="en_US" w:bidi="en_US"/>
        </w:rPr>
      </w:r>
      <w:r>
        <w:rPr>
          <w:b/>
          <w:lang w:val="en_US" w:bidi="en_US"/>
        </w:rPr>
        <w:t>Who of you by worrying can add a single hour to his life?:</w:t>
      </w:r>
      <w:r>
        <w:rPr>
          <w:lang w:val="en_US" w:bidi="en_US"/>
        </w:rPr>
        <w:t xml:space="preserve"> This is a rhetorical question. It emphasizes that no one can add a single hour to the length of his life by worrying about it.</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Can worry make you live longer? (CEV)</w:t>
      </w:r>
      <w:r>
        <w:rPr>
          <w:lang w:val="en_US" w:bidi="en_US"/>
        </w:rPr>
        <w:t>Can all your worries add a single moment to your life? Of course not! (NLT96)</w:t>
      </w:r>
    </w:p>
    <w:p>
      <w:pPr>
        <w:pStyle w:val="ListBullet"/>
        <w:spacing w:line="240" w:lineRule="auto"/>
        <w:ind w:left="720"/>
      </w:pPr>
      <w:r>
        <w:rPr>
          <w:lang w:val="en_US" w:bidi="en_US"/>
        </w:rPr>
      </w:r>
      <w:r>
        <w:rPr>
          <w:lang w:val="en_US" w:bidi="en_US"/>
        </w:rPr>
        <w:t>As a statement. For example:</w:t>
      </w:r>
      <w:r>
        <w:rPr>
          <w:lang w:val="en_US" w:bidi="en_US"/>
        </w:rPr>
        <w:t>You cannot add any time to your life by worrying about it. (NCV)</w:t>
      </w:r>
    </w:p>
    <w:p>
      <w:pPr/>
      <w:r>
        <w:rPr>
          <w:lang w:val="en_US" w:bidi="en_US"/>
        </w:rPr>
      </w:r>
      <w:r>
        <w:rPr>
          <w:lang w:val="en_US" w:bidi="en_US"/>
        </w:rPr>
        <w:t>Translate this emphasis in a way that is natural in your language.</w:t>
      </w:r>
    </w:p>
    <w:p>
      <w:pPr/>
      <w:r>
        <w:rPr>
          <w:lang w:val="en_US" w:bidi="en_US"/>
        </w:rPr>
      </w:r>
      <w:r>
        <w:rPr>
          <w:b/>
          <w:lang w:val="en_US" w:bidi="en_US"/>
        </w:rPr>
        <w:t>a single hour:</w:t>
      </w:r>
      <w:r>
        <w:rPr>
          <w:lang w:val="en_US" w:bidi="en_US"/>
        </w:rPr>
        <w:t xml:space="preserve"> The Greek word that the BSB translates as </w:t>
      </w:r>
      <w:r>
        <w:rPr>
          <w:i/>
          <w:lang w:val="en_US" w:bidi="en_US"/>
        </w:rPr>
        <w:t>a single hour</w:t>
      </w:r>
      <w:r>
        <w:rPr>
          <w:lang w:val="en_US" w:bidi="en_US"/>
        </w:rPr>
        <w:t xml:space="preserve"> literally means “a cubit.” Many English versions translate it that way. The cubit was a measure of length, about eighteen inches. Here it probably refers to a short time. Use an expression in your language that is commonly used for a short period of time. For example:</w:t>
      </w:r>
    </w:p>
    <w:p>
      <w:pPr/>
      <w:r>
        <w:rPr>
          <w:lang w:val="en_US" w:bidi="en_US"/>
        </w:rPr>
      </w:r>
      <w:r>
        <w:rPr>
          <w:lang w:val="en_US" w:bidi="en_US"/>
        </w:rPr>
        <w:t>a day (REB)</w:t>
      </w:r>
    </w:p>
    <w:p>
      <w:pPr/>
      <w:r>
        <w:rPr>
          <w:lang w:val="en_US" w:bidi="en_US"/>
        </w:rPr>
      </w:r>
      <w:r>
        <w:rPr>
          <w:lang w:val="en_US" w:bidi="en_US"/>
        </w:rPr>
        <w:t>a single moment (NLT)</w:t>
      </w:r>
      <w:r>
        <w:rPr>
          <w:lang w:val="en_US" w:bidi="en_US"/>
        </w:rPr>
      </w:r>
      <w:r>
        <w:rPr>
          <w:lang w:val="en_US" w:bidi="en_US"/>
        </w:rPr>
      </w:r>
    </w:p>
    <w:p>
      <w:pPr/>
      <w:r>
        <w:rPr>
          <w:lang w:val="en_US" w:bidi="en_US"/>
        </w:rPr>
      </w:r>
    </w:p>
    <w:p>
      <w:pPr>
        <w:pStyle w:val="Heading2"/>
      </w:pPr>
      <w:r>
        <w:rPr>
          <w:lang w:val="en_US" w:bidi="en_US"/>
        </w:rPr>
        <w:t>Luke 12:26</w:t>
      </w:r>
      <w:r>
        <w:rPr>
          <w:lang w:val="en_US" w:bidi="en_US"/>
        </w:rPr>
      </w:r>
    </w:p>
    <w:p>
      <w:pPr>
        <w:pStyle w:val="Heading4"/>
      </w:pPr>
      <w:r>
        <w:rPr>
          <w:lang w:val="en_US" w:bidi="en_US"/>
        </w:rPr>
        <w:t>Section 12:22–34: Jesus encouraged his disciples to trust God to care for them</w:t>
      </w:r>
    </w:p>
    <w:p>
      <w:pPr/>
      <w:r>
        <w:rPr>
          <w:lang w:val="en_US" w:bidi="en_US"/>
        </w:rPr>
      </w:r>
      <w:r>
        <w:rPr>
          <w:lang w:val="en_US" w:bidi="en_US"/>
        </w:rP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pPr/>
      <w:r>
        <w:rPr>
          <w:lang w:val="en_US" w:bidi="en_US"/>
        </w:rPr>
      </w:r>
      <w:r>
        <w:rPr>
          <w:lang w:val="en_US" w:bidi="en_US"/>
        </w:rPr>
        <w:t>Some other possible headings for this section are:</w:t>
      </w:r>
    </w:p>
    <w:p>
      <w:pPr/>
      <w:r>
        <w:rPr>
          <w:lang w:val="en_US" w:bidi="en_US"/>
        </w:rPr>
      </w:r>
      <w:r>
        <w:rPr>
          <w:lang w:val="en_US" w:bidi="en_US"/>
        </w:rPr>
        <w:t>God’s Care For Those Who Trust In Him</w:t>
      </w:r>
    </w:p>
    <w:p>
      <w:pPr/>
      <w:r>
        <w:rPr>
          <w:lang w:val="en_US" w:bidi="en_US"/>
        </w:rPr>
      </w:r>
      <w:r>
        <w:rPr>
          <w:lang w:val="en_US" w:bidi="en_US"/>
        </w:rPr>
        <w:t>Trust in God (GNT)</w:t>
      </w:r>
    </w:p>
    <w:p>
      <w:pPr/>
      <w:r>
        <w:rPr>
          <w:lang w:val="en_US" w:bidi="en_US"/>
        </w:rPr>
      </w:r>
      <w:r>
        <w:rPr>
          <w:lang w:val="en_US" w:bidi="en_US"/>
        </w:rPr>
        <w:t>Do not Worry (NIV)</w:t>
      </w:r>
    </w:p>
    <w:p>
      <w:pPr/>
      <w:r>
        <w:rPr>
          <w:lang w:val="en_US" w:bidi="en_US"/>
        </w:rPr>
      </w:r>
      <w:r>
        <w:rPr>
          <w:lang w:val="en_US" w:bidi="en_US"/>
        </w:rPr>
        <w:t>There is a parallel passage for this section in Matthew 6:25–34.</w:t>
      </w:r>
    </w:p>
    <w:p>
      <w:pPr>
        <w:pStyle w:val="Heading5"/>
      </w:pPr>
      <w:r>
        <w:rPr>
          <w:lang w:val="en_US" w:bidi="en_US"/>
        </w:rPr>
        <w:t>12:26</w:t>
      </w:r>
    </w:p>
    <w:p>
      <w:pPr/>
      <w:r>
        <w:rPr>
          <w:lang w:val="en_US" w:bidi="en_US"/>
        </w:rPr>
      </w:r>
      <w:r>
        <w:rPr>
          <w:b/>
          <w:lang w:val="en_US" w:bidi="en_US"/>
        </w:rPr>
        <w:t>So if you cannot do such a small thing, why do you worry about the rest?</w:t>
      </w:r>
    </w:p>
    <w:p>
      <w:pPr>
        <w:pStyle w:val="ListBullet"/>
        <w:spacing w:line="240" w:lineRule="auto"/>
        <w:ind w:left="720"/>
      </w:pPr>
      <w:r>
        <w:rPr>
          <w:lang w:val="en_US" w:bidi="en_US"/>
        </w:rPr>
      </w:r>
      <w:r>
        <w:rPr>
          <w:lang w:val="en_US" w:bidi="en_US"/>
        </w:rPr>
        <w:t>So,</w:t>
      </w:r>
      <w:r>
        <w:rPr>
          <w:lang w:val="en_US" w:bidi="en_US"/>
        </w:rPr>
        <w:t xml:space="preserve"> since you</w:t>
      </w:r>
      <w:r>
        <w:rPr>
          <w:vertAlign w:val="superscript"/>
          <w:lang w:val="en_US" w:bidi="en_US"/>
        </w:rPr>
        <w:t>(plur)</w:t>
      </w:r>
      <w:r>
        <w:rPr>
          <w:lang w:val="en_US" w:bidi="en_US"/>
        </w:rPr>
        <w:t xml:space="preserve"> cannot do a little thing like that </w:t>
      </w:r>
      <w:r>
        <w:rPr>
          <w:lang w:val="en_US" w:bidi="en_US"/>
        </w:rPr>
        <w:t>by worrying</w:t>
      </w:r>
      <w:r>
        <w:rPr>
          <w:lang w:val="en_US" w:bidi="en_US"/>
        </w:rPr>
        <w:t>, why worry about anything else?</w:t>
      </w:r>
    </w:p>
    <w:p>
      <w:pPr>
        <w:pStyle w:val="ListBullet"/>
        <w:spacing w:line="240" w:lineRule="auto"/>
        <w:ind w:left="720"/>
      </w:pPr>
      <w:r>
        <w:rPr>
          <w:lang w:val="en_US" w:bidi="en_US"/>
        </w:rPr>
      </w:r>
      <w:r>
        <w:rPr>
          <w:lang w:val="en_US" w:bidi="en_US"/>
        </w:rPr>
        <w:t>If therefore/then worrying does not help with such a small thing, it certainly will not help with the other things that you need.</w:t>
      </w:r>
    </w:p>
    <w:p>
      <w:pPr>
        <w:pStyle w:val="ListBullet"/>
        <w:spacing w:line="240" w:lineRule="auto"/>
        <w:ind w:left="720"/>
      </w:pPr>
      <w:r>
        <w:rPr>
          <w:lang w:val="en_US" w:bidi="en_US"/>
        </w:rPr>
      </w:r>
      <w:r>
        <w:rPr>
          <w:lang w:val="en_US" w:bidi="en_US"/>
        </w:rPr>
        <w:t>Worry will obviously not help you accomplish something unimportant like that, so you ought not to worry about more important things either.</w:t>
      </w:r>
    </w:p>
    <w:p>
      <w:pPr/>
      <w:r>
        <w:rPr>
          <w:lang w:val="en_US" w:bidi="en_US"/>
        </w:rPr>
      </w:r>
      <w:r>
        <w:rPr>
          <w:b/>
          <w:lang w:val="en_US" w:bidi="en_US"/>
        </w:rPr>
        <w:t>So:</w:t>
      </w:r>
      <w:r>
        <w:rPr>
          <w:lang w:val="en_US" w:bidi="en_US"/>
        </w:rPr>
        <w:t xml:space="preserve"> In Greek, this verse begins with a conjunction that many English versions translate as “then.” This conjunction introduces a conclusion to Jesus’ third reason. The BSB uses the word </w:t>
      </w:r>
      <w:r>
        <w:rPr>
          <w:i/>
          <w:lang w:val="en_US" w:bidi="en_US"/>
        </w:rPr>
        <w:t>So</w:t>
      </w:r>
      <w:r>
        <w:rPr>
          <w:lang w:val="en_US" w:bidi="en_US"/>
        </w:rPr>
        <w:t>. Other versions do not translate this word. Another way to introduce this conclusion is:</w:t>
      </w:r>
    </w:p>
    <w:p>
      <w:pPr/>
      <w:r>
        <w:rPr>
          <w:lang w:val="en_US" w:bidi="en_US"/>
        </w:rPr>
      </w:r>
      <w:r>
        <w:rPr>
          <w:lang w:val="en_US" w:bidi="en_US"/>
        </w:rPr>
        <w:t>Therefore if you cannot do…</w:t>
      </w:r>
    </w:p>
    <w:p>
      <w:pPr/>
      <w:r>
        <w:rPr>
          <w:lang w:val="en_US" w:bidi="en_US"/>
        </w:rPr>
      </w:r>
      <w:r>
        <w:rPr>
          <w:b/>
          <w:lang w:val="en_US" w:bidi="en_US"/>
        </w:rPr>
        <w:t>if you cannot do such a small thing, why do you worry about the rest?:</w:t>
      </w:r>
      <w:r>
        <w:rPr>
          <w:lang w:val="en_US" w:bidi="en_US"/>
        </w:rPr>
        <w:t xml:space="preserve"> This is another rhetorical question. It functions as a mild rebuke. It also emphasizes that worrying is useless. By worrying, a person cannot even do something small such as make his life one hour longer. So a person should not worry about other things either.</w:t>
      </w:r>
    </w:p>
    <w:p>
      <w:pPr/>
      <w:r>
        <w:rPr>
          <w:lang w:val="en_US" w:bidi="en_US"/>
        </w:rPr>
      </w:r>
      <w:r>
        <w:rPr>
          <w:lang w:val="en_US" w:bidi="en_US"/>
        </w:rPr>
        <w:t>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If you cannot do a small thing like that, why worry about other things?</w:t>
      </w:r>
      <w:r>
        <w:rPr>
          <w:lang w:val="en_US" w:bidi="en_US"/>
        </w:rPr>
        <w:t>And if worry can’t accomplish a little thing like that, what’s the use of worrying over bigger things? (NLT)</w:t>
      </w:r>
    </w:p>
    <w:p>
      <w:pPr>
        <w:pStyle w:val="ListBullet"/>
        <w:spacing w:line="240" w:lineRule="auto"/>
        <w:ind w:left="720"/>
      </w:pPr>
      <w:r>
        <w:rPr>
          <w:lang w:val="en_US" w:bidi="en_US"/>
        </w:rPr>
      </w:r>
      <w:r>
        <w:rPr>
          <w:lang w:val="en_US" w:bidi="en_US"/>
        </w:rPr>
        <w:t>As a statement. For example:</w:t>
      </w:r>
      <w:r>
        <w:rPr>
          <w:lang w:val="en_US" w:bidi="en_US"/>
        </w:rPr>
        <w:t>Since you cannot do even a small thing like that by worrying, then you should not worry about other things either.</w:t>
      </w:r>
      <w:r>
        <w:rPr>
          <w:lang w:val="en_US" w:bidi="en_US"/>
        </w:rPr>
        <w:t>Worrying cannot do a small thing like lengthen your life. So do not worry about bigger issues.</w:t>
      </w:r>
    </w:p>
    <w:p>
      <w:pPr/>
      <w:r>
        <w:rPr>
          <w:lang w:val="en_US" w:bidi="en_US"/>
        </w:rPr>
      </w:r>
      <w:r>
        <w:rPr>
          <w:lang w:val="en_US" w:bidi="en_US"/>
        </w:rPr>
        <w:t>Translate this rebuke in a way that is natural in your language.</w:t>
      </w:r>
    </w:p>
    <w:p>
      <w:pPr/>
      <w:r>
        <w:rPr>
          <w:lang w:val="en_US" w:bidi="en_US"/>
        </w:rPr>
      </w:r>
      <w:r>
        <w:rPr>
          <w:b/>
          <w:lang w:val="en_US" w:bidi="en_US"/>
        </w:rPr>
        <w:t>such a small thing:</w:t>
      </w:r>
      <w:r>
        <w:rPr>
          <w:lang w:val="en_US" w:bidi="en_US"/>
        </w:rPr>
        <w:t xml:space="preserve"> The phrase </w:t>
      </w:r>
      <w:r>
        <w:rPr>
          <w:i/>
          <w:lang w:val="en_US" w:bidi="en_US"/>
        </w:rPr>
        <w:t>such a small thing</w:t>
      </w:r>
      <w:r>
        <w:rPr>
          <w:lang w:val="en_US" w:bidi="en_US"/>
        </w:rPr>
        <w:t xml:space="preserve"> refers to adding a short length of time to how long a person would live.</w:t>
      </w:r>
    </w:p>
    <w:p>
      <w:pPr/>
      <w:r>
        <w:rPr>
          <w:lang w:val="en_US" w:bidi="en_US"/>
        </w:rPr>
      </w:r>
      <w:r>
        <w:rPr>
          <w:b/>
          <w:lang w:val="en_US" w:bidi="en_US"/>
        </w:rPr>
        <w:t>the rest:</w:t>
      </w:r>
      <w:r>
        <w:rPr>
          <w:lang w:val="en_US" w:bidi="en_US"/>
        </w:rPr>
        <w:t xml:space="preserve"> The Greek phrase that the BSB translates as </w:t>
      </w:r>
      <w:r>
        <w:rPr>
          <w:i/>
          <w:lang w:val="en_US" w:bidi="en_US"/>
        </w:rPr>
        <w:t>the rest</w:t>
      </w:r>
      <w:r>
        <w:rPr>
          <w:lang w:val="en_US" w:bidi="en_US"/>
        </w:rPr>
        <w:t xml:space="preserve"> refers to other things or problems that people worry about. Some other ways to translate this are:</w:t>
      </w:r>
    </w:p>
    <w:p>
      <w:pPr/>
      <w:r>
        <w:rPr>
          <w:lang w:val="en_US" w:bidi="en_US"/>
        </w:rPr>
      </w:r>
      <w:r>
        <w:rPr>
          <w:lang w:val="en_US" w:bidi="en_US"/>
        </w:rPr>
        <w:t>the other things (GNT)</w:t>
      </w:r>
    </w:p>
    <w:p>
      <w:pPr/>
      <w:r>
        <w:rPr>
          <w:lang w:val="en_US" w:bidi="en_US"/>
        </w:rPr>
      </w:r>
      <w:r>
        <w:rPr>
          <w:lang w:val="en_US" w:bidi="en_US"/>
        </w:rPr>
        <w:t>everything else (CEV)</w:t>
      </w:r>
    </w:p>
    <w:p>
      <w:pPr/>
      <w:r>
        <w:rPr>
          <w:lang w:val="en_US" w:bidi="en_US"/>
        </w:rPr>
      </w:r>
      <w:r>
        <w:rPr>
          <w:lang w:val="en_US" w:bidi="en_US"/>
        </w:rPr>
        <w:t xml:space="preserve">It is implied that </w:t>
      </w:r>
      <w:r>
        <w:rPr>
          <w:i/>
          <w:lang w:val="en_US" w:bidi="en_US"/>
        </w:rPr>
        <w:t>the rest</w:t>
      </w:r>
      <w:r>
        <w:rPr>
          <w:lang w:val="en_US" w:bidi="en_US"/>
        </w:rPr>
        <w:t xml:space="preserve"> contrasts with the “small thing.” It may be helpful to make this explicit. For example:</w:t>
      </w:r>
    </w:p>
    <w:p>
      <w:pPr/>
      <w:r>
        <w:rPr>
          <w:lang w:val="en_US" w:bidi="en_US"/>
        </w:rPr>
      </w:r>
      <w:r>
        <w:rPr>
          <w:lang w:val="en_US" w:bidi="en_US"/>
        </w:rPr>
        <w:t>bigger things (NLT)</w:t>
      </w:r>
      <w:r>
        <w:rPr>
          <w:lang w:val="en_US" w:bidi="en_US"/>
        </w:rPr>
      </w:r>
      <w:r>
        <w:rPr>
          <w:lang w:val="en_US" w:bidi="en_US"/>
        </w:rPr>
      </w:r>
    </w:p>
    <w:p>
      <w:pPr/>
      <w:r>
        <w:rPr>
          <w:lang w:val="en_US" w:bidi="en_US"/>
        </w:rPr>
      </w:r>
    </w:p>
    <w:p>
      <w:pPr>
        <w:pStyle w:val="Heading2"/>
      </w:pPr>
      <w:r>
        <w:rPr>
          <w:lang w:val="en_US" w:bidi="en_US"/>
        </w:rPr>
        <w:t>Luke 12:27</w:t>
      </w:r>
      <w:r>
        <w:rPr>
          <w:lang w:val="en_US" w:bidi="en_US"/>
        </w:rPr>
      </w:r>
    </w:p>
    <w:p>
      <w:pPr>
        <w:pStyle w:val="Heading4"/>
      </w:pPr>
      <w:r>
        <w:rPr>
          <w:lang w:val="en_US" w:bidi="en_US"/>
        </w:rPr>
        <w:t>Section 12:22–34: Jesus encouraged his disciples to trust God to care for them</w:t>
      </w:r>
    </w:p>
    <w:p>
      <w:pPr/>
      <w:r>
        <w:rPr>
          <w:lang w:val="en_US" w:bidi="en_US"/>
        </w:rPr>
      </w:r>
      <w:r>
        <w:rPr>
          <w:lang w:val="en_US" w:bidi="en_US"/>
        </w:rP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pPr/>
      <w:r>
        <w:rPr>
          <w:lang w:val="en_US" w:bidi="en_US"/>
        </w:rPr>
      </w:r>
      <w:r>
        <w:rPr>
          <w:lang w:val="en_US" w:bidi="en_US"/>
        </w:rPr>
        <w:t>Some other possible headings for this section are:</w:t>
      </w:r>
    </w:p>
    <w:p>
      <w:pPr/>
      <w:r>
        <w:rPr>
          <w:lang w:val="en_US" w:bidi="en_US"/>
        </w:rPr>
      </w:r>
      <w:r>
        <w:rPr>
          <w:lang w:val="en_US" w:bidi="en_US"/>
        </w:rPr>
        <w:t>God’s Care For Those Who Trust In Him</w:t>
      </w:r>
    </w:p>
    <w:p>
      <w:pPr/>
      <w:r>
        <w:rPr>
          <w:lang w:val="en_US" w:bidi="en_US"/>
        </w:rPr>
      </w:r>
      <w:r>
        <w:rPr>
          <w:lang w:val="en_US" w:bidi="en_US"/>
        </w:rPr>
        <w:t>Trust in God (GNT)</w:t>
      </w:r>
    </w:p>
    <w:p>
      <w:pPr/>
      <w:r>
        <w:rPr>
          <w:lang w:val="en_US" w:bidi="en_US"/>
        </w:rPr>
      </w:r>
      <w:r>
        <w:rPr>
          <w:lang w:val="en_US" w:bidi="en_US"/>
        </w:rPr>
        <w:t>Do not Worry (NIV)</w:t>
      </w:r>
    </w:p>
    <w:p>
      <w:pPr/>
      <w:r>
        <w:rPr>
          <w:lang w:val="en_US" w:bidi="en_US"/>
        </w:rPr>
      </w:r>
      <w:r>
        <w:rPr>
          <w:lang w:val="en_US" w:bidi="en_US"/>
        </w:rPr>
        <w:t>There is a parallel passage for this section in Matthew 6:25–34.</w:t>
      </w:r>
    </w:p>
    <w:p>
      <w:pPr>
        <w:pStyle w:val="Heading4"/>
      </w:pPr>
      <w:r>
        <w:rPr>
          <w:lang w:val="en_US" w:bidi="en_US"/>
        </w:rPr>
        <w:t>Paragraph 12:27–28</w:t>
      </w:r>
    </w:p>
    <w:p>
      <w:pPr/>
      <w:r>
        <w:rPr>
          <w:lang w:val="en_US" w:bidi="en_US"/>
        </w:rPr>
      </w:r>
      <w:r>
        <w:rPr>
          <w:lang w:val="en_US" w:bidi="en_US"/>
        </w:rPr>
        <w:t>In 12:22, Jesus told his disciples not to worry about food or clothing. In 12:24 he used ravens as an example of how God provided food for insignificant birds. Here in 12:27–28, he used lilies as a parallel example of how God provided beautiful “clothing” for wildflowers.</w:t>
      </w:r>
    </w:p>
    <w:p>
      <w:pPr>
        <w:pStyle w:val="Heading5"/>
      </w:pPr>
      <w:r>
        <w:rPr>
          <w:lang w:val="en_US" w:bidi="en_US"/>
        </w:rPr>
        <w:t>12:27a</w:t>
      </w:r>
    </w:p>
    <w:p>
      <w:pPr/>
      <w:r>
        <w:rPr>
          <w:lang w:val="en_US" w:bidi="en_US"/>
        </w:rPr>
      </w:r>
      <w:r>
        <w:rPr>
          <w:b/>
          <w:lang w:val="en_US" w:bidi="en_US"/>
        </w:rPr>
        <w:t>Consider how the lilies grow:</w:t>
      </w:r>
    </w:p>
    <w:p>
      <w:pPr>
        <w:pStyle w:val="ListBullet"/>
        <w:spacing w:line="240" w:lineRule="auto"/>
        <w:ind w:left="720"/>
      </w:pPr>
      <w:r>
        <w:rPr>
          <w:lang w:val="en_US" w:bidi="en_US"/>
        </w:rPr>
      </w:r>
      <w:r>
        <w:rPr>
          <w:lang w:val="en_US" w:bidi="en_US"/>
        </w:rPr>
        <w:t xml:space="preserve">¶ “Look at the/those </w:t>
      </w:r>
      <w:r>
        <w:rPr>
          <w:lang w:val="en_US" w:bidi="en_US"/>
        </w:rPr>
        <w:t>wild</w:t>
      </w:r>
      <w:r>
        <w:rPr>
          <w:lang w:val="en_US" w:bidi="en_US"/>
        </w:rPr>
        <w:t xml:space="preserve"> flowers. Think about the way they grow.</w:t>
      </w:r>
    </w:p>
    <w:p>
      <w:pPr>
        <w:pStyle w:val="ListBullet"/>
        <w:spacing w:line="240" w:lineRule="auto"/>
        <w:ind w:left="720"/>
      </w:pPr>
      <w:r>
        <w:rPr>
          <w:lang w:val="en_US" w:bidi="en_US"/>
        </w:rPr>
      </w:r>
      <w:r>
        <w:rPr>
          <w:lang w:val="en_US" w:bidi="en_US"/>
        </w:rPr>
        <w:t xml:space="preserve">¶ “Think about how </w:t>
      </w:r>
      <w:r>
        <w:rPr>
          <w:lang w:val="en_US" w:bidi="en_US"/>
        </w:rPr>
        <w:t>wild</w:t>
      </w:r>
      <w:r>
        <w:rPr>
          <w:lang w:val="en_US" w:bidi="en_US"/>
        </w:rPr>
        <w:t xml:space="preserve"> flowers grow.</w:t>
      </w:r>
    </w:p>
    <w:p>
      <w:pPr/>
      <w:r>
        <w:rPr>
          <w:lang w:val="en_US" w:bidi="en_US"/>
        </w:rPr>
      </w:r>
      <w:r>
        <w:rPr>
          <w:b/>
          <w:lang w:val="en_US" w:bidi="en_US"/>
        </w:rPr>
        <w:t>Consider how the lilies grow:</w:t>
      </w:r>
      <w:r>
        <w:rPr>
          <w:lang w:val="en_US" w:bidi="en_US"/>
        </w:rPr>
        <w:t xml:space="preserve"> The word </w:t>
      </w:r>
      <w:r>
        <w:rPr>
          <w:i/>
          <w:lang w:val="en_US" w:bidi="en_US"/>
        </w:rPr>
        <w:t>Consider</w:t>
      </w:r>
      <w:r>
        <w:rPr>
          <w:lang w:val="en_US" w:bidi="en_US"/>
        </w:rPr>
        <w:t xml:space="preserve"> is the same word that was used in 12:24a. Since this is a parallel example, you may want to use similar wording here. In some languages it may be more natural to make </w:t>
      </w:r>
      <w:r>
        <w:rPr>
          <w:i/>
          <w:lang w:val="en_US" w:bidi="en_US"/>
        </w:rPr>
        <w:t>lilies</w:t>
      </w:r>
      <w:r>
        <w:rPr>
          <w:lang w:val="en_US" w:bidi="en_US"/>
        </w:rPr>
        <w:t xml:space="preserve"> the direct object of </w:t>
      </w:r>
      <w:r>
        <w:rPr>
          <w:i/>
          <w:lang w:val="en_US" w:bidi="en_US"/>
        </w:rPr>
        <w:t>Consider</w:t>
      </w:r>
      <w:r>
        <w:rPr>
          <w:lang w:val="en_US" w:bidi="en_US"/>
        </w:rPr>
        <w:t>:</w:t>
      </w:r>
    </w:p>
    <w:p>
      <w:pPr/>
      <w:r>
        <w:rPr>
          <w:lang w:val="en_US" w:bidi="en_US"/>
        </w:rPr>
      </w:r>
      <w:r>
        <w:rPr>
          <w:lang w:val="en_US" w:bidi="en_US"/>
        </w:rPr>
        <w:t>Consider the lilies. You know how they grow.</w:t>
      </w:r>
    </w:p>
    <w:p>
      <w:pPr/>
      <w:r>
        <w:rPr>
          <w:lang w:val="en_US" w:bidi="en_US"/>
        </w:rPr>
      </w:r>
      <w:r>
        <w:rPr>
          <w:b/>
          <w:lang w:val="en_US" w:bidi="en_US"/>
        </w:rPr>
        <w:t>the lilies:</w:t>
      </w:r>
      <w:r>
        <w:rPr>
          <w:lang w:val="en_US" w:bidi="en_US"/>
        </w:rPr>
        <w:t xml:space="preserve"> Scholars are uncertain about the meaning of the Greek word that the BSB translates as </w:t>
      </w:r>
      <w:r>
        <w:rPr>
          <w:i/>
          <w:lang w:val="en_US" w:bidi="en_US"/>
        </w:rPr>
        <w:t>lilies</w:t>
      </w:r>
      <w:r>
        <w:rPr>
          <w:lang w:val="en_US" w:bidi="en_US"/>
        </w:rPr>
        <w:t>. It may refer to a specific flower, but it may also refer generally to any of the beautiful wildflowers that grew in Palestine (Israel). So you may want to use a general expression. For example:</w:t>
      </w:r>
    </w:p>
    <w:p>
      <w:pPr/>
      <w:r>
        <w:rPr>
          <w:lang w:val="en_US" w:bidi="en_US"/>
        </w:rPr>
      </w:r>
      <w:r>
        <w:rPr>
          <w:lang w:val="en_US" w:bidi="en_US"/>
        </w:rPr>
        <w:t>the wild flowers (GNT)</w:t>
      </w:r>
    </w:p>
    <w:p>
      <w:pPr/>
      <w:r>
        <w:rPr>
          <w:lang w:val="en_US" w:bidi="en_US"/>
        </w:rPr>
      </w:r>
      <w:r>
        <w:rPr>
          <w:lang w:val="en_US" w:bidi="en_US"/>
        </w:rPr>
        <w:t>the flowers (NJB)</w:t>
      </w:r>
    </w:p>
    <w:p>
      <w:pPr/>
      <w:r>
        <w:rPr>
          <w:lang w:val="en_US" w:bidi="en_US"/>
        </w:rPr>
      </w:r>
      <w:r>
        <w:rPr>
          <w:lang w:val="en_US" w:bidi="en_US"/>
        </w:rPr>
        <w:t>As with “the ravens” (12:24a), consider whether or not the definite article (“the”) is natural here in your language. It is probable that Jesus pointed to some nearby flowers as he said these words. In some languages it may be appropriate to indicate that in some way. For example:</w:t>
      </w:r>
    </w:p>
    <w:p>
      <w:pPr/>
      <w:r>
        <w:rPr>
          <w:lang w:val="en_US" w:bidi="en_US"/>
        </w:rPr>
      </w:r>
      <w:r>
        <w:rPr>
          <w:lang w:val="en_US" w:bidi="en_US"/>
        </w:rPr>
        <w:t>these/those wildflowers</w:t>
      </w:r>
    </w:p>
    <w:p>
      <w:pPr>
        <w:pStyle w:val="Heading5"/>
      </w:pPr>
      <w:r>
        <w:rPr>
          <w:lang w:val="en_US" w:bidi="en_US"/>
        </w:rPr>
        <w:t>12:27b</w:t>
      </w:r>
    </w:p>
    <w:p>
      <w:pPr/>
      <w:r>
        <w:rPr>
          <w:lang w:val="en_US" w:bidi="en_US"/>
        </w:rPr>
      </w:r>
      <w:r>
        <w:rPr>
          <w:b/>
          <w:lang w:val="en_US" w:bidi="en_US"/>
        </w:rPr>
        <w:t>They do not labor or spin.</w:t>
      </w:r>
    </w:p>
    <w:p>
      <w:pPr>
        <w:pStyle w:val="ListBullet"/>
        <w:spacing w:line="240" w:lineRule="auto"/>
        <w:ind w:left="720"/>
      </w:pPr>
      <w:r>
        <w:rPr>
          <w:lang w:val="en_US" w:bidi="en_US"/>
        </w:rPr>
      </w:r>
      <w:r>
        <w:rPr>
          <w:lang w:val="en_US" w:bidi="en_US"/>
        </w:rPr>
        <w:t xml:space="preserve">They do not labor/work </w:t>
      </w:r>
      <w:r>
        <w:rPr>
          <w:lang w:val="en_US" w:bidi="en_US"/>
        </w:rPr>
        <w:t>in the fields</w:t>
      </w:r>
      <w:r>
        <w:rPr>
          <w:lang w:val="en_US" w:bidi="en_US"/>
        </w:rPr>
        <w:t xml:space="preserve">, and they do not spin </w:t>
      </w:r>
      <w:r>
        <w:rPr>
          <w:lang w:val="en_US" w:bidi="en_US"/>
        </w:rPr>
        <w:t>thread</w:t>
      </w:r>
      <w:r>
        <w:rPr>
          <w:lang w:val="en_US" w:bidi="en_US"/>
        </w:rPr>
        <w:t xml:space="preserve"> </w:t>
      </w:r>
      <w:r>
        <w:rPr>
          <w:lang w:val="en_US" w:bidi="en_US"/>
        </w:rPr>
        <w:t>to make clothes</w:t>
      </w:r>
      <w:r>
        <w:rPr>
          <w:lang w:val="en_US" w:bidi="en_US"/>
        </w:rPr>
        <w:t>.</w:t>
      </w:r>
    </w:p>
    <w:p>
      <w:pPr>
        <w:pStyle w:val="ListBullet"/>
        <w:spacing w:line="240" w:lineRule="auto"/>
        <w:ind w:left="720"/>
      </w:pPr>
      <w:r>
        <w:rPr>
          <w:lang w:val="en_US" w:bidi="en_US"/>
        </w:rPr>
      </w:r>
      <w:r>
        <w:rPr>
          <w:lang w:val="en_US" w:bidi="en_US"/>
        </w:rPr>
        <w:t xml:space="preserve">They do no </w:t>
      </w:r>
      <w:r>
        <w:rPr>
          <w:lang w:val="en_US" w:bidi="en_US"/>
        </w:rPr>
        <w:t>hard</w:t>
      </w:r>
      <w:r>
        <w:rPr>
          <w:lang w:val="en_US" w:bidi="en_US"/>
        </w:rPr>
        <w:t xml:space="preserve"> work. They do not make their own clothes.</w:t>
      </w:r>
    </w:p>
    <w:p>
      <w:pPr/>
      <w:r>
        <w:rPr>
          <w:lang w:val="en_US" w:bidi="en_US"/>
        </w:rPr>
      </w:r>
      <w:r>
        <w:rPr>
          <w:b/>
          <w:lang w:val="en_US" w:bidi="en_US"/>
        </w:rPr>
        <w:t>labor:</w:t>
      </w:r>
      <w:r>
        <w:rPr>
          <w:lang w:val="en_US" w:bidi="en_US"/>
        </w:rPr>
        <w:t xml:space="preserve"> The Greek word that the BSB translates as </w:t>
      </w:r>
      <w:r>
        <w:rPr>
          <w:i/>
          <w:lang w:val="en_US" w:bidi="en_US"/>
        </w:rPr>
        <w:t>labor</w:t>
      </w:r>
      <w:r>
        <w:rPr>
          <w:lang w:val="en_US" w:bidi="en_US"/>
        </w:rPr>
        <w:t xml:space="preserve"> refers to hard physical work, such as digging in the ground or gathering the harvest.</w:t>
      </w:r>
    </w:p>
    <w:p>
      <w:pPr/>
      <w:r>
        <w:rPr>
          <w:lang w:val="en_US" w:bidi="en_US"/>
        </w:rPr>
      </w:r>
      <w:r>
        <w:rPr>
          <w:b/>
          <w:lang w:val="en_US" w:bidi="en_US"/>
        </w:rPr>
        <w:t>spin:</w:t>
      </w:r>
      <w:r>
        <w:rPr>
          <w:lang w:val="en_US" w:bidi="en_US"/>
        </w:rPr>
        <w:t xml:space="preserve"> The word </w:t>
      </w:r>
      <w:r>
        <w:rPr>
          <w:i/>
          <w:lang w:val="en_US" w:bidi="en_US"/>
        </w:rPr>
        <w:t>spin</w:t>
      </w:r>
      <w:r>
        <w:rPr>
          <w:lang w:val="en_US" w:bidi="en_US"/>
        </w:rPr>
        <w:t xml:space="preserve"> refers to twisting fibers together to make thread for weaving cloth. If in your culture people do not spin thread, you may wish to translate the function of this work:</w:t>
      </w:r>
    </w:p>
    <w:p>
      <w:pPr/>
      <w:r>
        <w:rPr>
          <w:lang w:val="en_US" w:bidi="en_US"/>
        </w:rPr>
      </w:r>
      <w:r>
        <w:rPr>
          <w:lang w:val="en_US" w:bidi="en_US"/>
        </w:rPr>
        <w:t>make clothes</w:t>
      </w:r>
    </w:p>
    <w:p>
      <w:pPr>
        <w:pStyle w:val="Heading5"/>
      </w:pPr>
      <w:r>
        <w:rPr>
          <w:lang w:val="en_US" w:bidi="en_US"/>
        </w:rPr>
        <w:t>12:27c</w:t>
      </w:r>
    </w:p>
    <w:p>
      <w:pPr/>
      <w:r>
        <w:rPr>
          <w:lang w:val="en_US" w:bidi="en_US"/>
        </w:rPr>
      </w:r>
      <w:r>
        <w:rPr>
          <w:b/>
          <w:lang w:val="en_US" w:bidi="en_US"/>
        </w:rPr>
        <w:t>Yet I tell you, not even Solomon in all his glory was adorned like one of these.</w:t>
      </w:r>
    </w:p>
    <w:p>
      <w:pPr>
        <w:pStyle w:val="ListBullet"/>
        <w:spacing w:line="240" w:lineRule="auto"/>
        <w:ind w:left="720"/>
      </w:pPr>
      <w:r>
        <w:rPr>
          <w:lang w:val="en_US" w:bidi="en_US"/>
        </w:rPr>
      </w:r>
      <w:r>
        <w:rPr>
          <w:lang w:val="en_US" w:bidi="en_US"/>
        </w:rPr>
        <w:t xml:space="preserve">But </w:t>
      </w:r>
      <w:r>
        <w:rPr>
          <w:lang w:val="en_US" w:bidi="en_US"/>
        </w:rPr>
        <w:t>in spite of this,</w:t>
      </w:r>
      <w:r>
        <w:rPr>
          <w:lang w:val="en_US" w:bidi="en_US"/>
        </w:rPr>
        <w:t xml:space="preserve"> I want you</w:t>
      </w:r>
      <w:r>
        <w:rPr>
          <w:vertAlign w:val="superscript"/>
          <w:lang w:val="en_US" w:bidi="en_US"/>
        </w:rPr>
        <w:t>(plur)</w:t>
      </w:r>
      <w:r>
        <w:rPr>
          <w:lang w:val="en_US" w:bidi="en_US"/>
        </w:rPr>
        <w:t xml:space="preserve"> to know that even </w:t>
      </w:r>
      <w:r>
        <w:rPr>
          <w:lang w:val="en_US" w:bidi="en_US"/>
        </w:rPr>
        <w:t>King</w:t>
      </w:r>
      <w:r>
        <w:rPr>
          <w:lang w:val="en_US" w:bidi="en_US"/>
        </w:rPr>
        <w:t xml:space="preserve"> Solomon, who was extremely rich, did not have clothes as </w:t>
      </w:r>
      <w:r>
        <w:rPr>
          <w:lang w:val="en_US" w:bidi="en_US"/>
        </w:rPr>
        <w:t>beautiful as</w:t>
      </w:r>
      <w:r>
        <w:rPr>
          <w:lang w:val="en_US" w:bidi="en_US"/>
        </w:rPr>
        <w:t xml:space="preserve"> one of these </w:t>
      </w:r>
      <w:r>
        <w:rPr>
          <w:lang w:val="en_US" w:bidi="en_US"/>
        </w:rPr>
        <w:t>wild</w:t>
      </w:r>
      <w:r>
        <w:rPr>
          <w:lang w:val="en_US" w:bidi="en_US"/>
        </w:rPr>
        <w:t xml:space="preserve"> </w:t>
      </w:r>
      <w:r>
        <w:rPr>
          <w:lang w:val="en_US" w:bidi="en_US"/>
        </w:rPr>
        <w:t>flowers</w:t>
      </w:r>
      <w:r>
        <w:rPr>
          <w:lang w:val="en_US" w:bidi="en_US"/>
        </w:rPr>
        <w:t>.</w:t>
      </w:r>
    </w:p>
    <w:p>
      <w:pPr>
        <w:pStyle w:val="ListBullet"/>
        <w:spacing w:line="240" w:lineRule="auto"/>
        <w:ind w:left="720"/>
      </w:pPr>
      <w:r>
        <w:rPr>
          <w:lang w:val="en_US" w:bidi="en_US"/>
        </w:rPr>
      </w:r>
      <w:r>
        <w:rPr>
          <w:lang w:val="en_US" w:bidi="en_US"/>
        </w:rPr>
        <w:t>But I assure you</w:t>
      </w:r>
      <w:r>
        <w:rPr>
          <w:vertAlign w:val="superscript"/>
          <w:lang w:val="en_US" w:bidi="en_US"/>
        </w:rPr>
        <w:t>(plur)</w:t>
      </w:r>
      <w:r>
        <w:rPr>
          <w:lang w:val="en_US" w:bidi="en_US"/>
        </w:rPr>
        <w:t xml:space="preserve"> that one of these </w:t>
      </w:r>
      <w:r>
        <w:rPr>
          <w:lang w:val="en_US" w:bidi="en_US"/>
        </w:rPr>
        <w:t>flowers</w:t>
      </w:r>
      <w:r>
        <w:rPr>
          <w:lang w:val="en_US" w:bidi="en_US"/>
        </w:rPr>
        <w:t xml:space="preserve"> is more </w:t>
      </w:r>
      <w:r>
        <w:rPr>
          <w:lang w:val="en_US" w:bidi="en_US"/>
        </w:rPr>
        <w:t>beautiful</w:t>
      </w:r>
      <w:r>
        <w:rPr>
          <w:lang w:val="en_US" w:bidi="en_US"/>
        </w:rPr>
        <w:t xml:space="preserve"> than the most beautiful of all </w:t>
      </w:r>
      <w:r>
        <w:rPr>
          <w:lang w:val="en_US" w:bidi="en_US"/>
        </w:rPr>
        <w:t>King</w:t>
      </w:r>
      <w:r>
        <w:rPr>
          <w:lang w:val="en_US" w:bidi="en_US"/>
        </w:rPr>
        <w:t xml:space="preserve"> Solomon’s expensive clothes.</w:t>
      </w:r>
    </w:p>
    <w:p>
      <w:pPr/>
      <w:r>
        <w:rPr>
          <w:lang w:val="en_US" w:bidi="en_US"/>
        </w:rPr>
      </w:r>
      <w:r>
        <w:rPr>
          <w:b/>
          <w:lang w:val="en_US" w:bidi="en_US"/>
        </w:rPr>
        <w:t>Yet I tell you:</w:t>
      </w:r>
      <w:r>
        <w:rPr>
          <w:lang w:val="en_US" w:bidi="en_US"/>
        </w:rPr>
        <w:t xml:space="preserve"> The Greek phrase that the BSB translates as </w:t>
      </w:r>
      <w:r>
        <w:rPr>
          <w:i/>
          <w:lang w:val="en_US" w:bidi="en_US"/>
        </w:rPr>
        <w:t>Yet I tell you</w:t>
      </w:r>
      <w:r>
        <w:rPr>
          <w:lang w:val="en_US" w:bidi="en_US"/>
        </w:rPr>
        <w:t xml:space="preserve"> introduces a statement that Jesus wanted to emphasize. It was surprising and unexpected. People did not expect him to say that ordinary wildflowers had greater beauty than the clothes of King Solomon. Some other ways to emphasize this statement are:</w:t>
      </w:r>
    </w:p>
    <w:p>
      <w:pPr>
        <w:pStyle w:val="ListBullet"/>
        <w:spacing w:line="240" w:lineRule="auto"/>
        <w:ind w:left="720"/>
      </w:pPr>
      <w:r>
        <w:rPr>
          <w:lang w:val="en_US" w:bidi="en_US"/>
        </w:rPr>
      </w:r>
      <w:r>
        <w:rPr>
          <w:lang w:val="en_US" w:bidi="en_US"/>
        </w:rPr>
        <w:t>As a phrase before Jesus’ statement. For example:</w:t>
      </w:r>
      <w:r>
        <w:rPr>
          <w:lang w:val="en_US" w:bidi="en_US"/>
        </w:rPr>
        <w:t>But let me tell you this</w:t>
      </w:r>
      <w:r>
        <w:rPr>
          <w:lang w:val="en_US" w:bidi="en_US"/>
        </w:rPr>
        <w:t>Yet I assure you</w:t>
      </w:r>
    </w:p>
    <w:p>
      <w:pPr>
        <w:pStyle w:val="ListBullet"/>
        <w:spacing w:line="240" w:lineRule="auto"/>
        <w:ind w:left="720"/>
      </w:pPr>
      <w:r>
        <w:rPr>
          <w:lang w:val="en_US" w:bidi="en_US"/>
        </w:rPr>
      </w:r>
      <w:r>
        <w:rPr>
          <w:lang w:val="en_US" w:bidi="en_US"/>
        </w:rPr>
        <w:t>As an emphatic word within Jesus’ statement. For example:</w:t>
      </w:r>
      <w:r>
        <w:rPr>
          <w:lang w:val="en_US" w:bidi="en_US"/>
        </w:rPr>
        <w:t xml:space="preserve">But Solomon in all his splendor was </w:t>
      </w:r>
      <w:r>
        <w:rPr>
          <w:u w:val="single"/>
          <w:lang w:val="en_US" w:bidi="en_US"/>
        </w:rPr>
        <w:t>certainly</w:t>
      </w:r>
      <w:r>
        <w:rPr>
          <w:lang w:val="en_US" w:bidi="en_US"/>
        </w:rPr>
        <w:t xml:space="preserve"> not dressed like one of these</w:t>
      </w:r>
    </w:p>
    <w:p>
      <w:pPr/>
      <w:r>
        <w:rPr>
          <w:lang w:val="en_US" w:bidi="en_US"/>
        </w:rPr>
      </w:r>
      <w:r>
        <w:rPr>
          <w:lang w:val="en_US" w:bidi="en_US"/>
        </w:rPr>
        <w:t>If you have another way in your language to emphasize a statement or to alert people to listen with special attention, consider using it here.</w:t>
      </w:r>
    </w:p>
    <w:p>
      <w:pPr/>
      <w:r>
        <w:rPr>
          <w:lang w:val="en_US" w:bidi="en_US"/>
        </w:rPr>
      </w:r>
      <w:r>
        <w:rPr>
          <w:lang w:val="en_US" w:bidi="en_US"/>
        </w:rPr>
        <w:t xml:space="preserve">The phrase </w:t>
      </w:r>
      <w:r>
        <w:rPr>
          <w:i/>
          <w:lang w:val="en_US" w:bidi="en_US"/>
        </w:rPr>
        <w:t>I tell you</w:t>
      </w:r>
      <w:r>
        <w:rPr>
          <w:lang w:val="en_US" w:bidi="en_US"/>
        </w:rPr>
        <w:t xml:space="preserve"> was used in a different context in 12:4a and 12:8a. It was used in a similar context in 10:12. Be sure to evaluate the context carefully before you decide what expression to use here.</w:t>
      </w:r>
    </w:p>
    <w:p>
      <w:pPr/>
      <w:r>
        <w:rPr>
          <w:lang w:val="en_US" w:bidi="en_US"/>
        </w:rPr>
      </w:r>
      <w:r>
        <w:rPr>
          <w:b/>
          <w:lang w:val="en_US" w:bidi="en_US"/>
        </w:rPr>
        <w:t>Solomon:</w:t>
      </w:r>
      <w:r>
        <w:rPr>
          <w:lang w:val="en_US" w:bidi="en_US"/>
        </w:rPr>
        <w:t xml:space="preserve"> Jesus referred here to King Solomon, the richest of all Israel’s kings. He lived long before Jesus’ time.</w:t>
      </w:r>
    </w:p>
    <w:p>
      <w:pPr/>
      <w:r>
        <w:rPr>
          <w:lang w:val="en_US" w:bidi="en_US"/>
        </w:rPr>
      </w:r>
      <w:r>
        <w:rPr>
          <w:b/>
          <w:lang w:val="en_US" w:bidi="en_US"/>
        </w:rPr>
        <w:t>in all his glory:</w:t>
      </w:r>
      <w:r>
        <w:rPr>
          <w:lang w:val="en_US" w:bidi="en_US"/>
        </w:rPr>
        <w:t xml:space="preserve"> The Greek word that the BSB translates as </w:t>
      </w:r>
      <w:r>
        <w:rPr>
          <w:i/>
          <w:lang w:val="en_US" w:bidi="en_US"/>
        </w:rPr>
        <w:t>glory</w:t>
      </w:r>
      <w:r>
        <w:rPr>
          <w:lang w:val="en_US" w:bidi="en_US"/>
        </w:rPr>
        <w:t xml:space="preserve"> in this context refers to all the ways in which Solomon displayed his wealth and power. This included the expensive and beautiful robes that he wore as king, as well as his luxurious palace and his other possessions. Some versions focus on Solomon’s clothing. For example:</w:t>
      </w:r>
    </w:p>
    <w:p>
      <w:pPr/>
      <w:r>
        <w:rPr>
          <w:lang w:val="en_US" w:bidi="en_US"/>
        </w:rPr>
      </w:r>
      <w:r>
        <w:rPr>
          <w:lang w:val="en_US" w:bidi="en_US"/>
        </w:rPr>
        <w:t>in all his royal robes (NJB)</w:t>
      </w:r>
    </w:p>
    <w:p>
      <w:pPr/>
      <w:r>
        <w:rPr>
          <w:lang w:val="en_US" w:bidi="en_US"/>
        </w:rPr>
      </w:r>
      <w:r>
        <w:rPr>
          <w:lang w:val="en_US" w:bidi="en_US"/>
        </w:rPr>
        <w:t>Most versions use a word that refers more generally to Solomon’s riches. For example:</w:t>
      </w:r>
    </w:p>
    <w:p>
      <w:pPr/>
      <w:r>
        <w:rPr>
          <w:lang w:val="en_US" w:bidi="en_US"/>
        </w:rPr>
      </w:r>
      <w:r>
        <w:rPr>
          <w:lang w:val="en_US" w:bidi="en_US"/>
        </w:rPr>
        <w:t>with all his wealth (GNT)</w:t>
      </w:r>
    </w:p>
    <w:p>
      <w:pPr/>
      <w:r>
        <w:rPr>
          <w:lang w:val="en_US" w:bidi="en_US"/>
        </w:rPr>
      </w:r>
      <w:r>
        <w:rPr>
          <w:lang w:val="en_US" w:bidi="en_US"/>
        </w:rPr>
        <w:t>in all his majesty (GW)</w:t>
      </w:r>
    </w:p>
    <w:p>
      <w:pPr/>
      <w:r>
        <w:rPr>
          <w:lang w:val="en_US" w:bidi="en_US"/>
        </w:rPr>
      </w:r>
      <w:r>
        <w:rPr>
          <w:lang w:val="en_US" w:bidi="en_US"/>
        </w:rPr>
        <w:t xml:space="preserve">In some languages a single term may not be adequate to express the meaning of </w:t>
      </w:r>
      <w:r>
        <w:rPr>
          <w:i/>
          <w:lang w:val="en_US" w:bidi="en_US"/>
        </w:rPr>
        <w:t>glory</w:t>
      </w:r>
      <w:r>
        <w:rPr>
          <w:lang w:val="en_US" w:bidi="en_US"/>
        </w:rPr>
        <w:t>. In that case, consider using more than one term. For example:</w:t>
      </w:r>
    </w:p>
    <w:p>
      <w:pPr/>
      <w:r>
        <w:rPr>
          <w:lang w:val="en_US" w:bidi="en_US"/>
        </w:rPr>
      </w:r>
      <w:r>
        <w:rPr>
          <w:lang w:val="en_US" w:bidi="en_US"/>
        </w:rPr>
        <w:t>who was very rich and wore expensive clothes (TRT)</w:t>
      </w:r>
    </w:p>
    <w:p>
      <w:pPr/>
      <w:r>
        <w:rPr>
          <w:lang w:val="en_US" w:bidi="en_US"/>
        </w:rPr>
      </w:r>
      <w:r>
        <w:rPr>
          <w:b/>
          <w:lang w:val="en_US" w:bidi="en_US"/>
        </w:rPr>
        <w:t>was adorned like one of these:</w:t>
      </w:r>
      <w:r>
        <w:rPr>
          <w:lang w:val="en_US" w:bidi="en_US"/>
        </w:rPr>
        <w:t xml:space="preserve"> In this context the phrase </w:t>
      </w:r>
      <w:r>
        <w:rPr>
          <w:i/>
          <w:lang w:val="en_US" w:bidi="en_US"/>
        </w:rPr>
        <w:t>was adorned like</w:t>
      </w:r>
      <w:r>
        <w:rPr>
          <w:lang w:val="en_US" w:bidi="en_US"/>
        </w:rPr>
        <w:t xml:space="preserve"> means “was dressed as well as” or “wore clothes as beautiful as.” Jesus was saying that even Solomon’s best clothes were not as beautiful as the wildflowers. The NCV makes this explicit:</w:t>
      </w:r>
    </w:p>
    <w:p>
      <w:pPr/>
      <w:r>
        <w:rPr>
          <w:lang w:val="en_US" w:bidi="en_US"/>
        </w:rPr>
      </w:r>
      <w:r>
        <w:rPr>
          <w:lang w:val="en_US" w:bidi="en_US"/>
        </w:rPr>
        <w:t>even Solomon with his riches was not dressed as beautifully as one of these flowers</w:t>
      </w:r>
    </w:p>
    <w:p>
      <w:pPr/>
      <w:r>
        <w:rPr>
          <w:lang w:val="en_US" w:bidi="en_US"/>
        </w:rPr>
      </w:r>
      <w:r>
        <w:rPr>
          <w:lang w:val="en_US" w:bidi="en_US"/>
        </w:rPr>
        <w:t xml:space="preserve">The phrase </w:t>
      </w:r>
      <w:r>
        <w:rPr>
          <w:i/>
          <w:lang w:val="en_US" w:bidi="en_US"/>
        </w:rPr>
        <w:t>adorned like one of these</w:t>
      </w:r>
      <w:r>
        <w:rPr>
          <w:lang w:val="en_US" w:bidi="en_US"/>
        </w:rPr>
        <w:t xml:space="preserve"> is a figurative comparison, since flowers do not literally wear clothes. If this figure is not natural in your language, you may translate this meaning directly. For example:</w:t>
      </w:r>
    </w:p>
    <w:p>
      <w:pPr/>
      <w:r>
        <w:rPr>
          <w:lang w:val="en_US" w:bidi="en_US"/>
        </w:rPr>
      </w:r>
      <w:r>
        <w:rPr>
          <w:lang w:val="en_US" w:bidi="en_US"/>
        </w:rPr>
        <w:t>Solomon’s magnificent robes were not as beautiful as one of these flowers.</w:t>
      </w:r>
      <w:r>
        <w:rPr>
          <w:lang w:val="en_US" w:bidi="en_US"/>
        </w:rPr>
      </w:r>
      <w:r>
        <w:rPr>
          <w:lang w:val="en_US" w:bidi="en_US"/>
        </w:rPr>
      </w:r>
    </w:p>
    <w:p>
      <w:pPr/>
      <w:r>
        <w:rPr>
          <w:lang w:val="en_US" w:bidi="en_US"/>
        </w:rPr>
      </w:r>
    </w:p>
    <w:p>
      <w:pPr>
        <w:pStyle w:val="Heading2"/>
      </w:pPr>
      <w:r>
        <w:rPr>
          <w:lang w:val="en_US" w:bidi="en_US"/>
        </w:rPr>
        <w:t>Luke 12:28</w:t>
      </w:r>
      <w:r>
        <w:rPr>
          <w:lang w:val="en_US" w:bidi="en_US"/>
        </w:rPr>
      </w:r>
    </w:p>
    <w:p>
      <w:pPr>
        <w:pStyle w:val="Heading4"/>
      </w:pPr>
      <w:r>
        <w:rPr>
          <w:lang w:val="en_US" w:bidi="en_US"/>
        </w:rPr>
        <w:t>Section 12:22–34: Jesus encouraged his disciples to trust God to care for them</w:t>
      </w:r>
    </w:p>
    <w:p>
      <w:pPr/>
      <w:r>
        <w:rPr>
          <w:lang w:val="en_US" w:bidi="en_US"/>
        </w:rPr>
      </w:r>
      <w:r>
        <w:rPr>
          <w:lang w:val="en_US" w:bidi="en_US"/>
        </w:rP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pPr/>
      <w:r>
        <w:rPr>
          <w:lang w:val="en_US" w:bidi="en_US"/>
        </w:rPr>
      </w:r>
      <w:r>
        <w:rPr>
          <w:lang w:val="en_US" w:bidi="en_US"/>
        </w:rPr>
        <w:t>Some other possible headings for this section are:</w:t>
      </w:r>
    </w:p>
    <w:p>
      <w:pPr/>
      <w:r>
        <w:rPr>
          <w:lang w:val="en_US" w:bidi="en_US"/>
        </w:rPr>
      </w:r>
      <w:r>
        <w:rPr>
          <w:lang w:val="en_US" w:bidi="en_US"/>
        </w:rPr>
        <w:t>God’s Care For Those Who Trust In Him</w:t>
      </w:r>
    </w:p>
    <w:p>
      <w:pPr/>
      <w:r>
        <w:rPr>
          <w:lang w:val="en_US" w:bidi="en_US"/>
        </w:rPr>
      </w:r>
      <w:r>
        <w:rPr>
          <w:lang w:val="en_US" w:bidi="en_US"/>
        </w:rPr>
        <w:t>Trust in God (GNT)</w:t>
      </w:r>
    </w:p>
    <w:p>
      <w:pPr/>
      <w:r>
        <w:rPr>
          <w:lang w:val="en_US" w:bidi="en_US"/>
        </w:rPr>
      </w:r>
      <w:r>
        <w:rPr>
          <w:lang w:val="en_US" w:bidi="en_US"/>
        </w:rPr>
        <w:t>Do not Worry (NIV)</w:t>
      </w:r>
    </w:p>
    <w:p>
      <w:pPr/>
      <w:r>
        <w:rPr>
          <w:lang w:val="en_US" w:bidi="en_US"/>
        </w:rPr>
      </w:r>
      <w:r>
        <w:rPr>
          <w:lang w:val="en_US" w:bidi="en_US"/>
        </w:rPr>
        <w:t>There is a parallel passage for this section in Matthew 6:25–34.</w:t>
      </w:r>
    </w:p>
    <w:p>
      <w:pPr>
        <w:pStyle w:val="Heading4"/>
      </w:pPr>
      <w:r>
        <w:rPr>
          <w:lang w:val="en_US" w:bidi="en_US"/>
        </w:rPr>
        <w:t>Paragraph 12:27–28</w:t>
      </w:r>
    </w:p>
    <w:p>
      <w:pPr/>
      <w:r>
        <w:rPr>
          <w:lang w:val="en_US" w:bidi="en_US"/>
        </w:rPr>
      </w:r>
      <w:r>
        <w:rPr>
          <w:lang w:val="en_US" w:bidi="en_US"/>
        </w:rPr>
        <w:t>In 12:22, Jesus told his disciples not to worry about food or clothing. In 12:24 he used ravens as an example of how God provided food for insignificant birds. Here in 12:27–28, he used lilies as a parallel example of how God provided beautiful “clothing” for wildflowers.</w:t>
      </w:r>
    </w:p>
    <w:p>
      <w:pPr>
        <w:pStyle w:val="Heading5"/>
      </w:pPr>
      <w:r>
        <w:rPr>
          <w:lang w:val="en_US" w:bidi="en_US"/>
        </w:rPr>
        <w:t>12:28</w:t>
      </w:r>
    </w:p>
    <w:p>
      <w:pPr/>
      <w:r>
        <w:rPr>
          <w:lang w:val="en_US" w:bidi="en_US"/>
        </w:rPr>
      </w:r>
      <w:r>
        <w:rPr>
          <w:lang w:val="en_US" w:bidi="en_US"/>
        </w:rPr>
        <w:t>In Greek this verse is one long sentence. In it, Jesus taught his disciples what the beauty of wildflowers shows about God. God gives even unimportant wild plants great beauty, so he will certainly provide clothes for his own children.</w:t>
      </w:r>
    </w:p>
    <w:p>
      <w:pPr/>
      <w:r>
        <w:rPr>
          <w:lang w:val="en_US" w:bidi="en_US"/>
        </w:rPr>
      </w:r>
      <w:r>
        <w:rPr>
          <w:lang w:val="en_US" w:bidi="en_US"/>
        </w:rPr>
        <w:t>There are many ways to translate the clauses in this verse. In some languages it may be natural to change the order of some of the parts. See the General Comment on 12:28a–d at the end of the notes for 12:28d for translation suggestions.</w:t>
      </w:r>
    </w:p>
    <w:p>
      <w:pPr>
        <w:pStyle w:val="Heading5"/>
      </w:pPr>
      <w:r>
        <w:rPr>
          <w:lang w:val="en_US" w:bidi="en_US"/>
        </w:rPr>
        <w:t>12:28a</w:t>
      </w:r>
    </w:p>
    <w:p>
      <w:pPr/>
      <w:r>
        <w:rPr>
          <w:lang w:val="en_US" w:bidi="en_US"/>
        </w:rPr>
      </w:r>
      <w:r>
        <w:rPr>
          <w:b/>
          <w:lang w:val="en_US" w:bidi="en_US"/>
        </w:rPr>
        <w:t>If that is how God clothes the grass of the field,</w:t>
      </w:r>
    </w:p>
    <w:p>
      <w:pPr>
        <w:pStyle w:val="ListBullet"/>
        <w:spacing w:line="240" w:lineRule="auto"/>
        <w:ind w:left="720"/>
      </w:pPr>
      <w:r>
        <w:rPr>
          <w:lang w:val="en_US" w:bidi="en_US"/>
        </w:rPr>
      </w:r>
      <w:r>
        <w:rPr>
          <w:lang w:val="en_US" w:bidi="en_US"/>
        </w:rPr>
        <w:t>Since/If that is the way God beautifies/decorates the wild grass,</w:t>
      </w:r>
    </w:p>
    <w:p>
      <w:pPr>
        <w:pStyle w:val="ListBullet"/>
        <w:spacing w:line="240" w:lineRule="auto"/>
        <w:ind w:left="720"/>
      </w:pPr>
      <w:r>
        <w:rPr>
          <w:lang w:val="en_US" w:bidi="en_US"/>
        </w:rPr>
      </w:r>
      <w:r>
        <w:rPr>
          <w:lang w:val="en_US" w:bidi="en_US"/>
        </w:rPr>
        <w:t>If God gives weeds/grasses and other wild flowers this kind of beauty,</w:t>
      </w:r>
    </w:p>
    <w:p>
      <w:pPr>
        <w:pStyle w:val="ListBullet"/>
        <w:spacing w:line="240" w:lineRule="auto"/>
        <w:ind w:left="720"/>
      </w:pPr>
      <w:r>
        <w:rPr>
          <w:lang w:val="en_US" w:bidi="en_US"/>
        </w:rPr>
      </w:r>
      <w:r>
        <w:rPr>
          <w:lang w:val="en_US" w:bidi="en_US"/>
        </w:rPr>
        <w:t xml:space="preserve">God gives beauty like that/this to plants </w:t>
      </w:r>
      <w:r>
        <w:rPr>
          <w:lang w:val="en_US" w:bidi="en_US"/>
        </w:rPr>
        <w:t>that grow</w:t>
      </w:r>
      <w:r>
        <w:rPr>
          <w:lang w:val="en_US" w:bidi="en_US"/>
        </w:rPr>
        <w:t xml:space="preserve"> in the fields,</w:t>
      </w:r>
    </w:p>
    <w:p>
      <w:pPr/>
      <w:r>
        <w:rPr>
          <w:lang w:val="en_US" w:bidi="en_US"/>
        </w:rPr>
      </w:r>
      <w:r>
        <w:rPr>
          <w:b/>
          <w:lang w:val="en_US" w:bidi="en_US"/>
        </w:rPr>
        <w:t>If that is how God clothes the grass of the field:</w:t>
      </w:r>
      <w:r>
        <w:rPr>
          <w:lang w:val="en_US" w:bidi="en_US"/>
        </w:rPr>
        <w:t xml:space="preserve"> In this context </w:t>
      </w:r>
      <w:r>
        <w:rPr>
          <w:i/>
          <w:lang w:val="en_US" w:bidi="en_US"/>
        </w:rPr>
        <w:t>If</w:t>
      </w:r>
      <w:r>
        <w:rPr>
          <w:lang w:val="en_US" w:bidi="en_US"/>
        </w:rPr>
        <w:t xml:space="preserve"> introduces a fact that is certainly true and can be used as evidence for the statement in 12:28b. There is no doubt that </w:t>
      </w:r>
      <w:r>
        <w:rPr>
          <w:i/>
          <w:lang w:val="en_US" w:bidi="en_US"/>
        </w:rPr>
        <w:t>God clothes the grass of the field</w:t>
      </w:r>
      <w:r>
        <w:rPr>
          <w:lang w:val="en_US" w:bidi="en_US"/>
        </w:rPr>
        <w:t xml:space="preserve"> in a beautiful way. Consider how to express such evidence in your language. Some other ways to do this in English are:</w:t>
      </w:r>
    </w:p>
    <w:p>
      <w:pPr/>
      <w:r>
        <w:rPr>
          <w:lang w:val="en_US" w:bidi="en_US"/>
        </w:rPr>
      </w:r>
      <w:r>
        <w:rPr>
          <w:lang w:val="en_US" w:bidi="en_US"/>
        </w:rPr>
        <w:t>Since God clothes the grass in the field like that</w:t>
      </w:r>
    </w:p>
    <w:p>
      <w:pPr/>
      <w:r>
        <w:rPr>
          <w:lang w:val="en_US" w:bidi="en_US"/>
        </w:rPr>
      </w:r>
      <w:r>
        <w:rPr>
          <w:lang w:val="en_US" w:bidi="en_US"/>
        </w:rPr>
        <w:t>That’s the way God clothes the grass in the field…. So… (GW)</w:t>
      </w:r>
    </w:p>
    <w:p>
      <w:pPr/>
      <w:r>
        <w:rPr>
          <w:lang w:val="en_US" w:bidi="en_US"/>
        </w:rPr>
      </w:r>
      <w:r>
        <w:rPr>
          <w:lang w:val="en_US" w:bidi="en_US"/>
        </w:rPr>
        <w:t>To “clothe” the grass is a figure of speech like the one in 12:27c. It implies that God makes the wild grass beautiful. If you have a similar figure of speech in your language, you may be able to use it here. If not, you may translate the meaning without this figure of speech. See the examples at the end of the next note.</w:t>
      </w:r>
    </w:p>
    <w:p>
      <w:pPr/>
      <w:r>
        <w:rPr>
          <w:lang w:val="en_US" w:bidi="en_US"/>
        </w:rPr>
      </w:r>
      <w:r>
        <w:rPr>
          <w:b/>
          <w:lang w:val="en_US" w:bidi="en_US"/>
        </w:rPr>
        <w:t>the grass of the field:</w:t>
      </w:r>
      <w:r>
        <w:rPr>
          <w:lang w:val="en_US" w:bidi="en_US"/>
        </w:rPr>
        <w:t xml:space="preserve"> The Greek phrase that the BSB translates as </w:t>
      </w:r>
      <w:r>
        <w:rPr>
          <w:i/>
          <w:lang w:val="en_US" w:bidi="en_US"/>
        </w:rPr>
        <w:t>the grass of the field</w:t>
      </w:r>
      <w:r>
        <w:rPr>
          <w:lang w:val="en_US" w:bidi="en_US"/>
        </w:rPr>
        <w:t xml:space="preserve"> usually refers to green grass or other small, uncultivated plants that grow in a field or meadow.</w:t>
      </w:r>
      <w:r>
        <w:rPr>
          <w:lang w:val="en_US" w:bidi="en_US"/>
        </w:rPr>
        <w:t>BDAG (p. 1087) and Louw &amp; Nida (p. 30) both indicate that this word usually refers to green grass. It clearly refers here to wild grasses or flowers that grow in the countryside.</w:t>
      </w:r>
      <w:r>
        <w:rPr>
          <w:lang w:val="en_US" w:bidi="en_US"/>
        </w:rPr>
        <w:t xml:space="preserve"> In this context it is used in a more general way that includes the wildflowers in 12:27. Such flowers look like tall grass during much of the year. They produce flowers only for brief periods. The word </w:t>
      </w:r>
      <w:r>
        <w:rPr>
          <w:i/>
          <w:lang w:val="en_US" w:bidi="en_US"/>
        </w:rPr>
        <w:t>grass</w:t>
      </w:r>
      <w:r>
        <w:rPr>
          <w:lang w:val="en_US" w:bidi="en_US"/>
        </w:rPr>
        <w:t xml:space="preserve"> probably emphasizes that such flowers are insignificant and temporary compared to the disciples.</w:t>
      </w:r>
    </w:p>
    <w:p>
      <w:pPr/>
      <w:r>
        <w:rPr>
          <w:lang w:val="en_US" w:bidi="en_US"/>
        </w:rPr>
      </w:r>
      <w:r>
        <w:rPr>
          <w:lang w:val="en_US" w:bidi="en_US"/>
        </w:rPr>
        <w:t xml:space="preserve">In some languages a translation such as </w:t>
      </w:r>
      <w:r>
        <w:rPr>
          <w:i/>
          <w:lang w:val="en_US" w:bidi="en_US"/>
        </w:rPr>
        <w:t>grass</w:t>
      </w:r>
      <w:r>
        <w:rPr>
          <w:lang w:val="en_US" w:bidi="en_US"/>
        </w:rPr>
        <w:t xml:space="preserve"> or “plants” is confusing because those things are not considered beautiful. If that is true in your area, you may be able to use an expression that refers to an uncultivated plant that has flowers that last only a short time. For example:</w:t>
      </w:r>
    </w:p>
    <w:p>
      <w:pPr/>
      <w:r>
        <w:rPr>
          <w:lang w:val="en_US" w:bidi="en_US"/>
        </w:rPr>
      </w:r>
      <w:r>
        <w:rPr>
          <w:lang w:val="en_US" w:bidi="en_US"/>
        </w:rPr>
        <w:t>If God cares so wonderfully for wild flowers and other weeds/grasses</w:t>
      </w:r>
    </w:p>
    <w:p>
      <w:pPr/>
      <w:r>
        <w:rPr>
          <w:lang w:val="en_US" w:bidi="en_US"/>
        </w:rPr>
      </w:r>
      <w:r>
        <w:rPr>
          <w:lang w:val="en_US" w:bidi="en_US"/>
        </w:rPr>
        <w:t xml:space="preserve">since God gives </w:t>
      </w:r>
      <w:r>
        <w:rPr>
          <w:lang w:val="en_US" w:bidi="en_US"/>
        </w:rPr>
        <w:t>insignificant</w:t>
      </w:r>
      <w:r>
        <w:rPr>
          <w:lang w:val="en_US" w:bidi="en_US"/>
        </w:rPr>
        <w:t xml:space="preserve"> plants in the fields </w:t>
      </w:r>
      <w:r>
        <w:rPr>
          <w:lang w:val="en_US" w:bidi="en_US"/>
        </w:rPr>
        <w:t>great beauty</w:t>
      </w:r>
      <w:r>
        <w:rPr>
          <w:lang w:val="en_US" w:bidi="en_US"/>
        </w:rPr>
        <w:t xml:space="preserve"> like this</w:t>
      </w:r>
    </w:p>
    <w:p>
      <w:pPr>
        <w:pStyle w:val="Heading5"/>
      </w:pPr>
      <w:r>
        <w:rPr>
          <w:lang w:val="en_US" w:bidi="en_US"/>
        </w:rPr>
        <w:t>12:28b</w:t>
      </w:r>
    </w:p>
    <w:p>
      <w:pPr/>
      <w:r>
        <w:rPr>
          <w:lang w:val="en_US" w:bidi="en_US"/>
        </w:rPr>
      </w:r>
      <w:r>
        <w:rPr>
          <w:b/>
          <w:lang w:val="en_US" w:bidi="en_US"/>
        </w:rPr>
        <w:t>which is here today and tomorrow is thrown into the furnace,</w:t>
      </w:r>
    </w:p>
    <w:p>
      <w:pPr>
        <w:pStyle w:val="ListBullet"/>
        <w:spacing w:line="240" w:lineRule="auto"/>
        <w:ind w:left="720"/>
      </w:pPr>
      <w:r>
        <w:rPr>
          <w:lang w:val="en_US" w:bidi="en_US"/>
        </w:rPr>
      </w:r>
      <w:r>
        <w:rPr>
          <w:lang w:val="en_US" w:bidi="en_US"/>
        </w:rPr>
        <w:t>which exists today, and the next day is tossed into the fire/oven,</w:t>
      </w:r>
    </w:p>
    <w:p>
      <w:pPr>
        <w:pStyle w:val="ListBullet"/>
        <w:spacing w:line="240" w:lineRule="auto"/>
        <w:ind w:left="720"/>
      </w:pPr>
      <w:r>
        <w:rPr>
          <w:lang w:val="en_US" w:bidi="en_US"/>
        </w:rPr>
      </w:r>
      <w:r>
        <w:rPr>
          <w:lang w:val="en_US" w:bidi="en_US"/>
        </w:rPr>
        <w:t>even though</w:t>
      </w:r>
      <w:r>
        <w:rPr>
          <w:lang w:val="en_US" w:bidi="en_US"/>
        </w:rPr>
        <w:t xml:space="preserve"> they live </w:t>
      </w:r>
      <w:r>
        <w:rPr>
          <w:lang w:val="en_US" w:bidi="en_US"/>
        </w:rPr>
        <w:t>only</w:t>
      </w:r>
      <w:r>
        <w:rPr>
          <w:lang w:val="en_US" w:bidi="en_US"/>
        </w:rPr>
        <w:t xml:space="preserve"> a short time before </w:t>
      </w:r>
      <w:r>
        <w:rPr>
          <w:lang w:val="en_US" w:bidi="en_US"/>
        </w:rPr>
        <w:t>people use them</w:t>
      </w:r>
      <w:r>
        <w:rPr>
          <w:lang w:val="en_US" w:bidi="en_US"/>
        </w:rPr>
        <w:t xml:space="preserve"> for kindling/fuel,</w:t>
      </w:r>
    </w:p>
    <w:p>
      <w:pPr/>
      <w:r>
        <w:rPr>
          <w:lang w:val="en_US" w:bidi="en_US"/>
        </w:rPr>
      </w:r>
      <w:r>
        <w:rPr>
          <w:b/>
          <w:lang w:val="en_US" w:bidi="en_US"/>
        </w:rPr>
        <w:t>which is here today and tomorrow is thrown into the furnace:</w:t>
      </w:r>
      <w:r>
        <w:rPr>
          <w:lang w:val="en_US" w:bidi="en_US"/>
        </w:rPr>
        <w:t xml:space="preserve"> These two clauses describe the short life of wild flowering grasses. Their beauty is unexpected since they last such a short time. Some other ways to translate this clause are:</w:t>
      </w:r>
    </w:p>
    <w:p>
      <w:pPr/>
      <w:r>
        <w:rPr>
          <w:lang w:val="en_US" w:bidi="en_US"/>
        </w:rPr>
      </w:r>
      <w:r>
        <w:rPr>
          <w:lang w:val="en_US" w:bidi="en_US"/>
        </w:rPr>
        <w:t>Today it’s alive, and tomorrow it’s thrown into an incinerator. (GW)</w:t>
      </w:r>
    </w:p>
    <w:p>
      <w:pPr/>
      <w:r>
        <w:rPr>
          <w:lang w:val="en_US" w:bidi="en_US"/>
        </w:rPr>
      </w:r>
      <w:r>
        <w:rPr>
          <w:lang w:val="en_US" w:bidi="en_US"/>
        </w:rPr>
        <w:t>even though it is here today and thrown into a fire tomorrow (CEV)</w:t>
      </w:r>
    </w:p>
    <w:p>
      <w:pPr/>
      <w:r>
        <w:rPr>
          <w:lang w:val="en_US" w:bidi="en_US"/>
        </w:rPr>
      </w:r>
      <w:r>
        <w:rPr>
          <w:b/>
          <w:lang w:val="en_US" w:bidi="en_US"/>
        </w:rPr>
        <w:t>which is here:</w:t>
      </w:r>
      <w:r>
        <w:rPr>
          <w:lang w:val="en_US" w:bidi="en_US"/>
        </w:rPr>
        <w:t xml:space="preserve"> The Greek word that the BSB translates as </w:t>
      </w:r>
      <w:r>
        <w:rPr>
          <w:i/>
          <w:lang w:val="en_US" w:bidi="en_US"/>
        </w:rPr>
        <w:t>which is here</w:t>
      </w:r>
      <w:r>
        <w:rPr>
          <w:lang w:val="en_US" w:bidi="en_US"/>
        </w:rPr>
        <w:t xml:space="preserve"> is literally “being.” It refers to the existence of the grass. Other ways to translate it are:</w:t>
      </w:r>
    </w:p>
    <w:p>
      <w:pPr/>
      <w:r>
        <w:rPr>
          <w:lang w:val="en_US" w:bidi="en_US"/>
        </w:rPr>
      </w:r>
      <w:r>
        <w:rPr>
          <w:lang w:val="en_US" w:bidi="en_US"/>
        </w:rPr>
        <w:t>which is alive (NCV)</w:t>
      </w:r>
    </w:p>
    <w:p>
      <w:pPr/>
      <w:r>
        <w:rPr>
          <w:lang w:val="en_US" w:bidi="en_US"/>
        </w:rPr>
      </w:r>
      <w:r>
        <w:rPr>
          <w:lang w:val="en_US" w:bidi="en_US"/>
        </w:rPr>
        <w:t>which exists</w:t>
      </w:r>
    </w:p>
    <w:p>
      <w:pPr/>
      <w:r>
        <w:rPr>
          <w:lang w:val="en_US" w:bidi="en_US"/>
        </w:rPr>
      </w:r>
      <w:r>
        <w:rPr>
          <w:b/>
          <w:lang w:val="en_US" w:bidi="en_US"/>
        </w:rPr>
        <w:t>today and tomorrow:</w:t>
      </w:r>
      <w:r>
        <w:rPr>
          <w:lang w:val="en_US" w:bidi="en_US"/>
        </w:rPr>
        <w:t xml:space="preserve"> The words that the BSB translates literally as </w:t>
      </w:r>
      <w:r>
        <w:rPr>
          <w:i/>
          <w:lang w:val="en_US" w:bidi="en_US"/>
        </w:rPr>
        <w:t>today</w:t>
      </w:r>
      <w:r>
        <w:rPr>
          <w:lang w:val="en_US" w:bidi="en_US"/>
        </w:rPr>
        <w:t xml:space="preserve"> and </w:t>
      </w:r>
      <w:r>
        <w:rPr>
          <w:i/>
          <w:lang w:val="en_US" w:bidi="en_US"/>
        </w:rPr>
        <w:t>tomorrow</w:t>
      </w:r>
      <w:r>
        <w:rPr>
          <w:lang w:val="en_US" w:bidi="en_US"/>
        </w:rPr>
        <w:t xml:space="preserve"> emphasize the temporary life of wildflowers. They do not mean that such plants live for only one day. If a literal translation would cause this misunderstanding, you may wish to say something like:</w:t>
      </w:r>
    </w:p>
    <w:p>
      <w:pPr/>
      <w:r>
        <w:rPr>
          <w:lang w:val="en_US" w:bidi="en_US"/>
        </w:rPr>
      </w:r>
      <w:r>
        <w:rPr>
          <w:lang w:val="en_US" w:bidi="en_US"/>
        </w:rPr>
        <w:t>which live/bloom for a little while and then</w:t>
      </w:r>
    </w:p>
    <w:p>
      <w:pPr/>
      <w:r>
        <w:rPr>
          <w:lang w:val="en_US" w:bidi="en_US"/>
        </w:rPr>
      </w:r>
      <w:r>
        <w:rPr>
          <w:b/>
          <w:lang w:val="en_US" w:bidi="en_US"/>
        </w:rPr>
        <w:t>is thrown into the furnace:</w:t>
      </w:r>
      <w:r>
        <w:rPr>
          <w:lang w:val="en_US" w:bidi="en_US"/>
        </w:rPr>
        <w:t xml:space="preserve"> In the summer in Israel, plants dried up quickly because of the heat. Then people often used the dried-up plants along with wood as fuel for a fire.</w:t>
      </w:r>
    </w:p>
    <w:p>
      <w:pPr/>
      <w:r>
        <w:rPr>
          <w:lang w:val="en_US" w:bidi="en_US"/>
        </w:rPr>
      </w:r>
      <w:r>
        <w:rPr>
          <w:lang w:val="en_US" w:bidi="en_US"/>
        </w:rPr>
        <w:t xml:space="preserve">The verb </w:t>
      </w:r>
      <w:r>
        <w:rPr>
          <w:i/>
          <w:lang w:val="en_US" w:bidi="en_US"/>
        </w:rPr>
        <w:t>is thrown</w:t>
      </w:r>
      <w:r>
        <w:rPr>
          <w:lang w:val="en_US" w:bidi="en_US"/>
        </w:rPr>
        <w:t xml:space="preserve"> is passive. If it is more natural in your language to use an active verb, you may supply a general subject. For example:</w:t>
      </w:r>
    </w:p>
    <w:p>
      <w:pPr/>
      <w:r>
        <w:rPr>
          <w:lang w:val="en_US" w:bidi="en_US"/>
        </w:rPr>
      </w:r>
      <w:r>
        <w:rPr>
          <w:lang w:val="en_US" w:bidi="en_US"/>
        </w:rPr>
        <w:t>people put them into their cooking fires for fuel</w:t>
      </w:r>
    </w:p>
    <w:p>
      <w:pPr/>
      <w:r>
        <w:rPr>
          <w:lang w:val="en_US" w:bidi="en_US"/>
        </w:rPr>
      </w:r>
      <w:r>
        <w:rPr>
          <w:b/>
          <w:lang w:val="en_US" w:bidi="en_US"/>
        </w:rPr>
        <w:t>thrown into the furnace:</w:t>
      </w:r>
      <w:r>
        <w:rPr>
          <w:lang w:val="en_US" w:bidi="en_US"/>
        </w:rPr>
        <w:t xml:space="preserve"> The Greek word that the BSB translates here as </w:t>
      </w:r>
      <w:r>
        <w:rPr>
          <w:i/>
          <w:lang w:val="en_US" w:bidi="en_US"/>
        </w:rPr>
        <w:t>furnace</w:t>
      </w:r>
      <w:r>
        <w:rPr>
          <w:lang w:val="en_US" w:bidi="en_US"/>
        </w:rPr>
        <w:t xml:space="preserve"> refers to a clay oven in which people baked bread. They burned wood and grass as fuel to heat the oven before they put in the bread to bake. Some ways to translate the phrase </w:t>
      </w:r>
      <w:r>
        <w:rPr>
          <w:i/>
          <w:lang w:val="en_US" w:bidi="en_US"/>
        </w:rPr>
        <w:t>thrown into the furnace</w:t>
      </w:r>
      <w:r>
        <w:rPr>
          <w:lang w:val="en_US" w:bidi="en_US"/>
        </w:rPr>
        <w:t xml:space="preserve"> are:</w:t>
      </w:r>
    </w:p>
    <w:p>
      <w:pPr>
        <w:pStyle w:val="ListBullet"/>
        <w:spacing w:line="240" w:lineRule="auto"/>
        <w:ind w:left="720"/>
      </w:pPr>
      <w:r>
        <w:rPr>
          <w:lang w:val="en_US" w:bidi="en_US"/>
        </w:rPr>
      </w:r>
      <w:r>
        <w:rPr>
          <w:lang w:val="en_US" w:bidi="en_US"/>
        </w:rPr>
        <w:t>Use a general expression. For example:</w:t>
      </w:r>
      <w:r>
        <w:rPr>
          <w:lang w:val="en_US" w:bidi="en_US"/>
        </w:rPr>
        <w:t>tossed into the fire</w:t>
      </w:r>
      <w:r>
        <w:rPr>
          <w:lang w:val="en_US" w:bidi="en_US"/>
        </w:rPr>
        <w:t>used as fuel/kindling</w:t>
      </w:r>
    </w:p>
    <w:p>
      <w:pPr>
        <w:pStyle w:val="ListBullet"/>
        <w:spacing w:line="240" w:lineRule="auto"/>
        <w:ind w:left="720"/>
      </w:pPr>
      <w:r>
        <w:rPr>
          <w:lang w:val="en_US" w:bidi="en_US"/>
        </w:rPr>
      </w:r>
      <w:r>
        <w:rPr>
          <w:lang w:val="en_US" w:bidi="en_US"/>
        </w:rPr>
        <w:t>Use a more specific expression. For example:</w:t>
      </w:r>
      <w:r>
        <w:rPr>
          <w:lang w:val="en_US" w:bidi="en_US"/>
        </w:rPr>
        <w:t>thrown into the oven (RSV)</w:t>
      </w:r>
    </w:p>
    <w:p>
      <w:pPr>
        <w:pStyle w:val="Heading5"/>
      </w:pPr>
      <w:r>
        <w:rPr>
          <w:lang w:val="en_US" w:bidi="en_US"/>
        </w:rPr>
        <w:t>12:28c</w:t>
      </w:r>
    </w:p>
    <w:p>
      <w:pPr/>
      <w:r>
        <w:rPr>
          <w:lang w:val="en_US" w:bidi="en_US"/>
        </w:rPr>
      </w:r>
      <w:r>
        <w:rPr>
          <w:b/>
          <w:lang w:val="en_US" w:bidi="en_US"/>
        </w:rPr>
        <w:t>how much more will He clothe you,</w:t>
      </w:r>
    </w:p>
    <w:p>
      <w:pPr>
        <w:pStyle w:val="ListBullet"/>
        <w:spacing w:line="240" w:lineRule="auto"/>
        <w:ind w:left="720"/>
      </w:pPr>
      <w:r>
        <w:rPr>
          <w:lang w:val="en_US" w:bidi="en_US"/>
        </w:rPr>
      </w:r>
      <w:r>
        <w:rPr>
          <w:lang w:val="en_US" w:bidi="en_US"/>
        </w:rPr>
        <w:t>he/God will certainly give you</w:t>
      </w:r>
      <w:r>
        <w:rPr>
          <w:vertAlign w:val="superscript"/>
          <w:lang w:val="en_US" w:bidi="en_US"/>
        </w:rPr>
        <w:t>(plur)</w:t>
      </w:r>
      <w:r>
        <w:rPr>
          <w:lang w:val="en_US" w:bidi="en_US"/>
        </w:rPr>
        <w:t xml:space="preserve"> the clothes that you</w:t>
      </w:r>
      <w:r>
        <w:rPr>
          <w:vertAlign w:val="superscript"/>
          <w:lang w:val="en_US" w:bidi="en_US"/>
        </w:rPr>
        <w:t>(plur)</w:t>
      </w:r>
      <w:r>
        <w:rPr>
          <w:lang w:val="en_US" w:bidi="en_US"/>
        </w:rPr>
        <w:t xml:space="preserve"> need.</w:t>
      </w:r>
    </w:p>
    <w:p>
      <w:pPr>
        <w:pStyle w:val="ListBullet"/>
        <w:spacing w:line="240" w:lineRule="auto"/>
        <w:ind w:left="720"/>
      </w:pPr>
      <w:r>
        <w:rPr>
          <w:lang w:val="en_US" w:bidi="en_US"/>
        </w:rPr>
      </w:r>
      <w:r>
        <w:rPr>
          <w:lang w:val="en_US" w:bidi="en_US"/>
        </w:rPr>
        <w:t>isn’t it even more certain that he will cause you</w:t>
      </w:r>
      <w:r>
        <w:rPr>
          <w:vertAlign w:val="superscript"/>
          <w:lang w:val="en_US" w:bidi="en_US"/>
        </w:rPr>
        <w:t>(plur)</w:t>
      </w:r>
      <w:r>
        <w:rPr>
          <w:lang w:val="en_US" w:bidi="en_US"/>
        </w:rPr>
        <w:t xml:space="preserve"> to be clothed?</w:t>
      </w:r>
    </w:p>
    <w:p>
      <w:pPr/>
      <w:r>
        <w:rPr>
          <w:lang w:val="en_US" w:bidi="en_US"/>
        </w:rPr>
      </w:r>
      <w:r>
        <w:rPr>
          <w:b/>
          <w:lang w:val="en_US" w:bidi="en_US"/>
        </w:rPr>
        <w:t>how much more will He clothe you:</w:t>
      </w:r>
      <w:r>
        <w:rPr>
          <w:lang w:val="en_US" w:bidi="en_US"/>
        </w:rPr>
        <w:t xml:space="preserve"> The clause that the BSB translates as </w:t>
      </w:r>
      <w:r>
        <w:rPr>
          <w:i/>
          <w:lang w:val="en_US" w:bidi="en_US"/>
        </w:rPr>
        <w:t>how much more will He clothe you</w:t>
      </w:r>
      <w:r>
        <w:rPr>
          <w:lang w:val="en_US" w:bidi="en_US"/>
        </w:rPr>
        <w:t xml:space="preserve"> is literally “how much more you.” The BSB has supplied “will He clothe” from the context. This clause is an exclamation that implies: “it is much more </w:t>
      </w:r>
      <w:r>
        <w:rPr>
          <w:lang w:val="en_US" w:bidi="en_US"/>
        </w:rPr>
        <w:t>certain</w:t>
      </w:r>
      <w:r>
        <w:rPr>
          <w:lang w:val="en_US" w:bidi="en_US"/>
        </w:rPr>
        <w:t xml:space="preserve"> that God will provide clothes for </w:t>
      </w:r>
      <w:r>
        <w:rPr>
          <w:u w:val="single"/>
          <w:lang w:val="en_US" w:bidi="en_US"/>
        </w:rPr>
        <w:t>you</w:t>
      </w:r>
      <w:r>
        <w:rPr>
          <w:lang w:val="en_US" w:bidi="en_US"/>
        </w:rPr>
        <w:t xml:space="preserve"> </w:t>
      </w:r>
      <w:r>
        <w:rPr>
          <w:lang w:val="en_US" w:bidi="en_US"/>
        </w:rPr>
        <w:t>whom he values more than flowers</w:t>
      </w:r>
      <w:r>
        <w:rPr>
          <w:lang w:val="en_US" w:bidi="en_US"/>
        </w:rPr>
        <w:t>.”</w:t>
      </w:r>
    </w:p>
    <w:p>
      <w:pPr/>
      <w:r>
        <w:rPr>
          <w:lang w:val="en_US" w:bidi="en_US"/>
        </w:rPr>
      </w:r>
      <w:r>
        <w:rPr>
          <w:lang w:val="en_US" w:bidi="en_US"/>
        </w:rPr>
        <w:t>Some other ways to translate this exclamation are:</w:t>
      </w:r>
    </w:p>
    <w:p>
      <w:pPr>
        <w:pStyle w:val="ListBullet"/>
        <w:spacing w:line="240" w:lineRule="auto"/>
        <w:ind w:left="720"/>
      </w:pPr>
      <w:r>
        <w:rPr>
          <w:lang w:val="en_US" w:bidi="en_US"/>
        </w:rPr>
      </w:r>
      <w:r>
        <w:rPr>
          <w:lang w:val="en_US" w:bidi="en_US"/>
        </w:rPr>
        <w:t>As a rhetorical question. For example:</w:t>
      </w:r>
      <w:r>
        <w:rPr>
          <w:lang w:val="en_US" w:bidi="en_US"/>
        </w:rPr>
        <w:t>Won’t he be all the more sure to clothe you? (GNT)</w:t>
      </w:r>
    </w:p>
    <w:p>
      <w:pPr>
        <w:pStyle w:val="ListBullet"/>
        <w:spacing w:line="240" w:lineRule="auto"/>
        <w:ind w:left="720"/>
      </w:pPr>
      <w:r>
        <w:rPr>
          <w:lang w:val="en_US" w:bidi="en_US"/>
        </w:rPr>
      </w:r>
      <w:r>
        <w:rPr>
          <w:lang w:val="en_US" w:bidi="en_US"/>
        </w:rPr>
        <w:t>As an emphatic statement. For example:</w:t>
      </w:r>
      <w:r>
        <w:rPr>
          <w:lang w:val="en_US" w:bidi="en_US"/>
        </w:rPr>
        <w:t>he will certainly care for you (NLT)</w:t>
      </w:r>
    </w:p>
    <w:p>
      <w:pPr/>
      <w:r>
        <w:rPr>
          <w:lang w:val="en_US" w:bidi="en_US"/>
        </w:rPr>
      </w:r>
      <w:r>
        <w:rPr>
          <w:lang w:val="en_US" w:bidi="en_US"/>
        </w:rPr>
        <w:t>Translate this exclamation in a way that is most natural in your language.</w:t>
      </w:r>
    </w:p>
    <w:p>
      <w:pPr>
        <w:pStyle w:val="Heading5"/>
      </w:pPr>
      <w:r>
        <w:rPr>
          <w:lang w:val="en_US" w:bidi="en_US"/>
        </w:rPr>
        <w:t>12:28d</w:t>
      </w:r>
    </w:p>
    <w:p>
      <w:pPr/>
      <w:r>
        <w:rPr>
          <w:lang w:val="en_US" w:bidi="en_US"/>
        </w:rPr>
      </w:r>
      <w:r>
        <w:rPr>
          <w:b/>
          <w:lang w:val="en_US" w:bidi="en_US"/>
        </w:rPr>
        <w:t>O you of little faith!</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trust </w:t>
      </w:r>
      <w:r>
        <w:rPr>
          <w:lang w:val="en_US" w:bidi="en_US"/>
        </w:rPr>
        <w:t>him</w:t>
      </w:r>
      <w:r>
        <w:rPr>
          <w:lang w:val="en_US" w:bidi="en_US"/>
        </w:rPr>
        <w:t xml:space="preserve"> so little!</w:t>
      </w:r>
    </w:p>
    <w:p>
      <w:pPr>
        <w:pStyle w:val="ListBullet"/>
        <w:spacing w:line="240" w:lineRule="auto"/>
        <w:ind w:left="720"/>
      </w:pPr>
      <w:r>
        <w:rPr>
          <w:lang w:val="en_US" w:bidi="en_US"/>
        </w:rPr>
      </w:r>
      <w:r>
        <w:rPr>
          <w:lang w:val="en_US" w:bidi="en_US"/>
        </w:rPr>
        <w:t xml:space="preserve">Why is your faith/trust </w:t>
      </w:r>
      <w:r>
        <w:rPr>
          <w:lang w:val="en_US" w:bidi="en_US"/>
        </w:rPr>
        <w:t>in him</w:t>
      </w:r>
      <w:r>
        <w:rPr>
          <w:lang w:val="en_US" w:bidi="en_US"/>
        </w:rPr>
        <w:t xml:space="preserve"> so small?</w:t>
      </w:r>
    </w:p>
    <w:p>
      <w:pPr/>
      <w:r>
        <w:rPr>
          <w:lang w:val="en_US" w:bidi="en_US"/>
        </w:rPr>
      </w:r>
      <w:r>
        <w:rPr>
          <w:b/>
          <w:lang w:val="en_US" w:bidi="en_US"/>
        </w:rPr>
        <w:t>O you of little faith!:</w:t>
      </w:r>
      <w:r>
        <w:rPr>
          <w:lang w:val="en_US" w:bidi="en_US"/>
        </w:rPr>
        <w:t xml:space="preserve"> This part of the verse is one word in Greek, literally “little-faith-ones.” Jesus used this word as a description to address his disciples. In some languages it may be necessary to translate it as a clause: For example:</w:t>
      </w:r>
    </w:p>
    <w:p>
      <w:pPr/>
      <w:r>
        <w:rPr>
          <w:lang w:val="en_US" w:bidi="en_US"/>
        </w:rPr>
      </w:r>
      <w:r>
        <w:rPr>
          <w:lang w:val="en_US" w:bidi="en_US"/>
        </w:rPr>
        <w:t>You have such little faith.</w:t>
      </w:r>
    </w:p>
    <w:p>
      <w:pPr/>
      <w:r>
        <w:rPr>
          <w:lang w:val="en_US" w:bidi="en_US"/>
        </w:rPr>
      </w:r>
      <w:r>
        <w:rPr>
          <w:lang w:val="en_US" w:bidi="en_US"/>
        </w:rPr>
        <w:t>This description is a criticism. It implies that they should have more faith in God. Consider how to express this in your language. For example:</w:t>
      </w:r>
    </w:p>
    <w:p>
      <w:pPr/>
      <w:r>
        <w:rPr>
          <w:lang w:val="en_US" w:bidi="en_US"/>
        </w:rPr>
      </w:r>
      <w:r>
        <w:rPr>
          <w:lang w:val="en_US" w:bidi="en_US"/>
        </w:rPr>
        <w:t>Don’t have so little faith! (NCV)</w:t>
      </w:r>
    </w:p>
    <w:p>
      <w:pPr/>
      <w:r>
        <w:rPr>
          <w:lang w:val="en_US" w:bidi="en_US"/>
        </w:rPr>
      </w:r>
      <w:r>
        <w:rPr>
          <w:lang w:val="en_US" w:bidi="en_US"/>
        </w:rPr>
        <w:t>You should have more faith!</w:t>
      </w:r>
    </w:p>
    <w:p>
      <w:pPr/>
      <w:r>
        <w:rPr>
          <w:lang w:val="en_US" w:bidi="en_US"/>
        </w:rPr>
      </w:r>
      <w:r>
        <w:rPr>
          <w:lang w:val="en_US" w:bidi="en_US"/>
        </w:rPr>
        <w:t xml:space="preserve">In some languages it may be necessary to translate </w:t>
      </w:r>
      <w:r>
        <w:rPr>
          <w:i/>
          <w:lang w:val="en_US" w:bidi="en_US"/>
        </w:rPr>
        <w:t>faith</w:t>
      </w:r>
      <w:r>
        <w:rPr>
          <w:lang w:val="en_US" w:bidi="en_US"/>
        </w:rPr>
        <w:t xml:space="preserve"> more specifically. For example:</w:t>
      </w:r>
    </w:p>
    <w:p>
      <w:pPr/>
      <w:r>
        <w:rPr>
          <w:lang w:val="en_US" w:bidi="en_US"/>
        </w:rPr>
      </w:r>
      <w:r>
        <w:rPr>
          <w:lang w:val="en_US" w:bidi="en_US"/>
        </w:rPr>
        <w:t xml:space="preserve">You trust </w:t>
      </w:r>
      <w:r>
        <w:rPr>
          <w:lang w:val="en_US" w:bidi="en_US"/>
        </w:rPr>
        <w:t>God</w:t>
      </w:r>
      <w:r>
        <w:rPr>
          <w:lang w:val="en_US" w:bidi="en_US"/>
        </w:rPr>
        <w:t xml:space="preserve"> so little.</w:t>
      </w:r>
    </w:p>
    <w:p>
      <w:pPr/>
      <w:r>
        <w:rPr>
          <w:lang w:val="en_US" w:bidi="en_US"/>
        </w:rPr>
      </w:r>
      <w:r>
        <w:rPr>
          <w:lang w:val="en_US" w:bidi="en_US"/>
        </w:rPr>
        <w:t xml:space="preserve">Your faith </w:t>
      </w:r>
      <w:r>
        <w:rPr>
          <w:lang w:val="en_US" w:bidi="en_US"/>
        </w:rPr>
        <w:t>in God</w:t>
      </w:r>
      <w:r>
        <w:rPr>
          <w:lang w:val="en_US" w:bidi="en_US"/>
        </w:rPr>
        <w:t xml:space="preserve"> is too small!</w:t>
      </w:r>
    </w:p>
    <w:p>
      <w:pPr/>
      <w:r>
        <w:rPr>
          <w:lang w:val="en_US" w:bidi="en_US"/>
        </w:rPr>
      </w:r>
      <w:r>
        <w:rPr>
          <w:lang w:val="en_US" w:bidi="en_US"/>
        </w:rPr>
        <w:t>In some languages it may be more natural to express this criticism with a rhetorical question. For example:</w:t>
      </w:r>
    </w:p>
    <w:p>
      <w:pPr/>
      <w:r>
        <w:rPr>
          <w:lang w:val="en_US" w:bidi="en_US"/>
        </w:rPr>
      </w:r>
      <w:r>
        <w:rPr>
          <w:lang w:val="en_US" w:bidi="en_US"/>
        </w:rPr>
        <w:t>Why do you have so little faith? (NLT)</w:t>
      </w:r>
    </w:p>
    <w:p>
      <w:pPr/>
      <w:r>
        <w:rPr>
          <w:lang w:val="en_US" w:bidi="en_US"/>
        </w:rPr>
      </w:r>
      <w:r>
        <w:rPr>
          <w:lang w:val="en_US" w:bidi="en_US"/>
        </w:rPr>
        <w:t>Why don’t you trust God more?</w:t>
      </w:r>
    </w:p>
    <w:p>
      <w:pPr>
        <w:pStyle w:val="Heading6"/>
      </w:pPr>
      <w:r>
        <w:rPr>
          <w:b/>
          <w:lang w:val="en_US" w:bidi="en_US"/>
        </w:rPr>
        <w:t>General Comment on 12:28a–d</w:t>
      </w:r>
    </w:p>
    <w:p>
      <w:pPr/>
      <w:r>
        <w:rPr>
          <w:lang w:val="en_US" w:bidi="en_US"/>
        </w:rPr>
      </w:r>
      <w:r>
        <w:rPr>
          <w:lang w:val="en_US" w:bidi="en_US"/>
        </w:rPr>
        <w:t>In some languages it may be helpful to reorder the parts of this verse. For example:</w:t>
      </w:r>
    </w:p>
    <w:p>
      <w:pPr/>
      <w:r>
        <w:rPr>
          <w:lang w:val="en_US" w:bidi="en_US"/>
        </w:rPr>
      </w:r>
      <w:r>
        <w:rPr>
          <w:vertAlign w:val="superscript"/>
          <w:lang w:val="en_US" w:bidi="en_US"/>
        </w:rPr>
        <w:t>28d</w:t>
      </w:r>
      <w:r>
        <w:rPr>
          <w:lang w:val="en_US" w:bidi="en_US"/>
        </w:rPr>
        <w:t xml:space="preserve">Listen, you people who have so little faith! </w:t>
      </w:r>
      <w:r>
        <w:rPr>
          <w:vertAlign w:val="superscript"/>
          <w:lang w:val="en_US" w:bidi="en_US"/>
        </w:rPr>
        <w:t>28a</w:t>
      </w:r>
      <w:r>
        <w:rPr>
          <w:lang w:val="en_US" w:bidi="en_US"/>
        </w:rPr>
        <w:t xml:space="preserve">God clothes the wild plants so </w:t>
      </w:r>
      <w:r>
        <w:rPr>
          <w:lang w:val="en_US" w:bidi="en_US"/>
        </w:rPr>
        <w:t>wonderfully</w:t>
      </w:r>
      <w:r>
        <w:rPr>
          <w:lang w:val="en_US" w:bidi="en_US"/>
        </w:rPr>
        <w:t xml:space="preserve">, </w:t>
      </w:r>
      <w:r>
        <w:rPr>
          <w:vertAlign w:val="superscript"/>
          <w:lang w:val="en_US" w:bidi="en_US"/>
        </w:rPr>
        <w:t>28b</w:t>
      </w:r>
      <w:r>
        <w:rPr>
          <w:lang w:val="en_US" w:bidi="en_US"/>
        </w:rPr>
        <w:t>even though</w:t>
      </w:r>
      <w:r>
        <w:rPr>
          <w:lang w:val="en_US" w:bidi="en_US"/>
        </w:rPr>
        <w:t xml:space="preserve"> they live only a day or two and are then burned up. </w:t>
      </w:r>
      <w:r>
        <w:rPr>
          <w:vertAlign w:val="superscript"/>
          <w:lang w:val="en_US" w:bidi="en_US"/>
        </w:rPr>
        <w:t>28c</w:t>
      </w:r>
      <w:r>
        <w:rPr>
          <w:lang w:val="en_US" w:bidi="en_US"/>
        </w:rPr>
        <w:t>Even more certainly will he provide clothing for you!</w:t>
      </w:r>
    </w:p>
    <w:p>
      <w:pPr/>
      <w:r>
        <w:rPr>
          <w:lang w:val="en_US" w:bidi="en_US"/>
        </w:rPr>
      </w:r>
      <w:r>
        <w:rPr>
          <w:vertAlign w:val="superscript"/>
          <w:lang w:val="en_US" w:bidi="en_US"/>
        </w:rPr>
        <w:t>28b</w:t>
      </w:r>
      <w:r>
        <w:rPr>
          <w:lang w:val="en_US" w:bidi="en_US"/>
        </w:rPr>
        <w:t xml:space="preserve">This grass lives only a day or two, and then people throw it into the fire, </w:t>
      </w:r>
      <w:r>
        <w:rPr>
          <w:vertAlign w:val="superscript"/>
          <w:lang w:val="en_US" w:bidi="en_US"/>
        </w:rPr>
        <w:t>28a</w:t>
      </w:r>
      <w:r>
        <w:rPr>
          <w:lang w:val="en_US" w:bidi="en_US"/>
        </w:rPr>
        <w:t xml:space="preserve">but God clothes it with such beauty. </w:t>
      </w:r>
      <w:r>
        <w:rPr>
          <w:vertAlign w:val="superscript"/>
          <w:lang w:val="en_US" w:bidi="en_US"/>
        </w:rPr>
        <w:t>28d</w:t>
      </w:r>
      <w:r>
        <w:rPr>
          <w:lang w:val="en_US" w:bidi="en_US"/>
        </w:rPr>
        <w:t xml:space="preserve">So you should have more faith in him! </w:t>
      </w:r>
      <w:r>
        <w:rPr>
          <w:vertAlign w:val="superscript"/>
          <w:lang w:val="en_US" w:bidi="en_US"/>
        </w:rPr>
        <w:t>28c</w:t>
      </w:r>
      <w:r>
        <w:rPr>
          <w:lang w:val="en_US" w:bidi="en_US"/>
        </w:rPr>
        <w:t>He is certainly going to clothe you!</w:t>
      </w:r>
    </w:p>
    <w:p>
      <w:pPr/>
      <w:r>
        <w:rPr>
          <w:lang w:val="en_US" w:bidi="en_US"/>
        </w:rPr>
      </w:r>
      <w:r>
        <w:rPr>
          <w:lang w:val="en_US" w:bidi="en_US"/>
        </w:rPr>
        <w:t>Another possible way to translate 12:28 is:</w:t>
      </w:r>
    </w:p>
    <w:p>
      <w:pPr/>
      <w:r>
        <w:rPr>
          <w:lang w:val="en_US" w:bidi="en_US"/>
        </w:rPr>
      </w:r>
      <w:r>
        <w:rPr>
          <w:lang w:val="en_US" w:bidi="en_US"/>
        </w:rPr>
        <w:t xml:space="preserve">The wild plants that are alive today will soon be </w:t>
      </w:r>
      <w:r>
        <w:rPr>
          <w:lang w:val="en_US" w:bidi="en_US"/>
        </w:rPr>
        <w:t>dry and dead</w:t>
      </w:r>
      <w:r>
        <w:rPr>
          <w:lang w:val="en_US" w:bidi="en_US"/>
        </w:rPr>
        <w:t xml:space="preserve">. </w:t>
      </w:r>
      <w:r>
        <w:rPr>
          <w:lang w:val="en_US" w:bidi="en_US"/>
        </w:rPr>
        <w:t>Then people will burn them</w:t>
      </w:r>
      <w:r>
        <w:rPr>
          <w:lang w:val="en_US" w:bidi="en_US"/>
        </w:rPr>
        <w:t xml:space="preserve"> in the fire. Even though </w:t>
      </w:r>
      <w:r>
        <w:rPr>
          <w:lang w:val="en_US" w:bidi="en_US"/>
        </w:rPr>
        <w:t>they last such a short time</w:t>
      </w:r>
      <w:r>
        <w:rPr>
          <w:lang w:val="en_US" w:bidi="en_US"/>
        </w:rPr>
        <w:t xml:space="preserve">, God still causes them to appear beautiful. Since he does this for the plants, he will certainly ensure that you </w:t>
      </w:r>
      <w:r>
        <w:rPr>
          <w:lang w:val="en_US" w:bidi="en_US"/>
        </w:rPr>
        <w:t>his people</w:t>
      </w:r>
      <w:r>
        <w:rPr>
          <w:lang w:val="en_US" w:bidi="en_US"/>
        </w:rPr>
        <w:t xml:space="preserve"> have the clothes you need. Why is your faith </w:t>
      </w:r>
      <w:r>
        <w:rPr>
          <w:lang w:val="en_US" w:bidi="en_US"/>
        </w:rPr>
        <w:t>in him</w:t>
      </w:r>
      <w:r>
        <w:rPr>
          <w:lang w:val="en_US" w:bidi="en_US"/>
        </w:rPr>
        <w:t xml:space="preserve"> so lacking?</w:t>
      </w:r>
      <w:r>
        <w:rPr>
          <w:lang w:val="en_US" w:bidi="en_US"/>
        </w:rPr>
      </w:r>
      <w:r>
        <w:rPr>
          <w:lang w:val="en_US" w:bidi="en_US"/>
        </w:rPr>
      </w:r>
    </w:p>
    <w:p>
      <w:pPr/>
      <w:r>
        <w:rPr>
          <w:lang w:val="en_US" w:bidi="en_US"/>
        </w:rPr>
      </w:r>
    </w:p>
    <w:p>
      <w:pPr>
        <w:pStyle w:val="Heading2"/>
      </w:pPr>
      <w:r>
        <w:rPr>
          <w:lang w:val="en_US" w:bidi="en_US"/>
        </w:rPr>
        <w:t>Luke 12:29</w:t>
      </w:r>
      <w:r>
        <w:rPr>
          <w:lang w:val="en_US" w:bidi="en_US"/>
        </w:rPr>
      </w:r>
    </w:p>
    <w:p>
      <w:pPr>
        <w:pStyle w:val="Heading4"/>
      </w:pPr>
      <w:r>
        <w:rPr>
          <w:lang w:val="en_US" w:bidi="en_US"/>
        </w:rPr>
        <w:t>Section 12:22–34: Jesus encouraged his disciples to trust God to care for them</w:t>
      </w:r>
    </w:p>
    <w:p>
      <w:pPr/>
      <w:r>
        <w:rPr>
          <w:lang w:val="en_US" w:bidi="en_US"/>
        </w:rPr>
      </w:r>
      <w:r>
        <w:rPr>
          <w:lang w:val="en_US" w:bidi="en_US"/>
        </w:rP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pPr/>
      <w:r>
        <w:rPr>
          <w:lang w:val="en_US" w:bidi="en_US"/>
        </w:rPr>
      </w:r>
      <w:r>
        <w:rPr>
          <w:lang w:val="en_US" w:bidi="en_US"/>
        </w:rPr>
        <w:t>Some other possible headings for this section are:</w:t>
      </w:r>
    </w:p>
    <w:p>
      <w:pPr/>
      <w:r>
        <w:rPr>
          <w:lang w:val="en_US" w:bidi="en_US"/>
        </w:rPr>
      </w:r>
      <w:r>
        <w:rPr>
          <w:lang w:val="en_US" w:bidi="en_US"/>
        </w:rPr>
        <w:t>God’s Care For Those Who Trust In Him</w:t>
      </w:r>
    </w:p>
    <w:p>
      <w:pPr/>
      <w:r>
        <w:rPr>
          <w:lang w:val="en_US" w:bidi="en_US"/>
        </w:rPr>
      </w:r>
      <w:r>
        <w:rPr>
          <w:lang w:val="en_US" w:bidi="en_US"/>
        </w:rPr>
        <w:t>Trust in God (GNT)</w:t>
      </w:r>
    </w:p>
    <w:p>
      <w:pPr/>
      <w:r>
        <w:rPr>
          <w:lang w:val="en_US" w:bidi="en_US"/>
        </w:rPr>
      </w:r>
      <w:r>
        <w:rPr>
          <w:lang w:val="en_US" w:bidi="en_US"/>
        </w:rPr>
        <w:t>Do not Worry (NIV)</w:t>
      </w:r>
    </w:p>
    <w:p>
      <w:pPr/>
      <w:r>
        <w:rPr>
          <w:lang w:val="en_US" w:bidi="en_US"/>
        </w:rPr>
      </w:r>
      <w:r>
        <w:rPr>
          <w:lang w:val="en_US" w:bidi="en_US"/>
        </w:rPr>
        <w:t>There is a parallel passage for this section in Matthew 6:25–34.</w:t>
      </w:r>
    </w:p>
    <w:p>
      <w:pPr>
        <w:pStyle w:val="Heading5"/>
      </w:pPr>
      <w:r>
        <w:rPr>
          <w:lang w:val="en_US" w:bidi="en_US"/>
        </w:rPr>
        <w:t>12:29</w:t>
      </w:r>
    </w:p>
    <w:p>
      <w:pPr/>
      <w:r>
        <w:rPr>
          <w:lang w:val="en_US" w:bidi="en_US"/>
        </w:rPr>
      </w:r>
      <w:r>
        <w:rPr>
          <w:lang w:val="en_US" w:bidi="en_US"/>
        </w:rPr>
        <w:t>In the two preceding paragraphs, Jesus told his disciples not to worry about food or clothes. 12:29 repeats Jesus’ command not to worry about food or drink. Then it gives more general instructions not to worry about such things, as pagans do, but to seek God’s kingdom.</w:t>
      </w:r>
    </w:p>
    <w:p>
      <w:pPr/>
      <w:r>
        <w:rPr>
          <w:lang w:val="en_US" w:bidi="en_US"/>
        </w:rPr>
      </w:r>
      <w:r>
        <w:rPr>
          <w:lang w:val="en_US" w:bidi="en_US"/>
        </w:rPr>
        <w:t>Versions such as the NIV, RSV, and NJB do not start a new paragraph with this verse. The BSB, GNT, and some other versions do start a new paragraph here. You should do whatever is appropriate in your language.</w:t>
      </w:r>
    </w:p>
    <w:p>
      <w:pPr>
        <w:pStyle w:val="Heading5"/>
      </w:pPr>
      <w:r>
        <w:rPr>
          <w:lang w:val="en_US" w:bidi="en_US"/>
        </w:rPr>
        <w:t>12:29a</w:t>
      </w:r>
    </w:p>
    <w:p>
      <w:pPr/>
      <w:r>
        <w:rPr>
          <w:lang w:val="en_US" w:bidi="en_US"/>
        </w:rPr>
      </w:r>
      <w:r>
        <w:rPr>
          <w:b/>
          <w:lang w:val="en_US" w:bidi="en_US"/>
        </w:rPr>
        <w:t>And do not be concerned about what you will eat or drink.</w:t>
      </w:r>
    </w:p>
    <w:p>
      <w:pPr>
        <w:pStyle w:val="ListBullet"/>
        <w:spacing w:line="240" w:lineRule="auto"/>
        <w:ind w:left="720"/>
      </w:pPr>
      <w:r>
        <w:rPr>
          <w:lang w:val="en_US" w:bidi="en_US"/>
        </w:rPr>
      </w:r>
      <w:r>
        <w:rPr>
          <w:lang w:val="en_US" w:bidi="en_US"/>
        </w:rPr>
        <w:t>¶ “And do not be always thinking about whether you</w:t>
      </w:r>
      <w:r>
        <w:rPr>
          <w:vertAlign w:val="superscript"/>
          <w:lang w:val="en_US" w:bidi="en_US"/>
        </w:rPr>
        <w:t>(plur)</w:t>
      </w:r>
      <w:r>
        <w:rPr>
          <w:lang w:val="en_US" w:bidi="en_US"/>
        </w:rPr>
        <w:t xml:space="preserve"> will have enough to eat and drink.</w:t>
      </w:r>
    </w:p>
    <w:p>
      <w:pPr>
        <w:pStyle w:val="ListBullet"/>
        <w:spacing w:line="240" w:lineRule="auto"/>
        <w:ind w:left="720"/>
      </w:pPr>
      <w:r>
        <w:rPr>
          <w:lang w:val="en_US" w:bidi="en_US"/>
        </w:rPr>
      </w:r>
      <w:r>
        <w:rPr>
          <w:lang w:val="en_US" w:bidi="en_US"/>
        </w:rPr>
        <w:t xml:space="preserve">¶ “As for you </w:t>
      </w:r>
      <w:r>
        <w:rPr>
          <w:lang w:val="en_US" w:bidi="en_US"/>
        </w:rPr>
        <w:t>disciples</w:t>
      </w:r>
      <w:r>
        <w:rPr>
          <w:lang w:val="en_US" w:bidi="en_US"/>
        </w:rPr>
        <w:t xml:space="preserve">, stop concentrating on </w:t>
      </w:r>
      <w:r>
        <w:rPr>
          <w:lang w:val="en_US" w:bidi="en_US"/>
        </w:rPr>
        <w:t>getting/obtaining</w:t>
      </w:r>
      <w:r>
        <w:rPr>
          <w:lang w:val="en_US" w:bidi="en_US"/>
        </w:rPr>
        <w:t xml:space="preserve"> food and drink.</w:t>
      </w:r>
    </w:p>
    <w:p>
      <w:pPr/>
      <w:r>
        <w:rPr>
          <w:lang w:val="en_US" w:bidi="en_US"/>
        </w:rPr>
      </w:r>
      <w:r>
        <w:rPr>
          <w:b/>
          <w:lang w:val="en_US" w:bidi="en_US"/>
        </w:rPr>
        <w:t>And do not:</w:t>
      </w:r>
      <w:r>
        <w:rPr>
          <w:lang w:val="en_US" w:bidi="en_US"/>
        </w:rPr>
        <w:t xml:space="preserve"> In Greek, this verse begins with the emphatic plural pronoun “you.” More literally, it says “And you, do not….” This emphatic pronoun may contrast the disciples with the birds and flowers (preceding context) or with people who do not know God (12:30). If possible, translate this sentence in a way that focuses attention on “you” (the disciples). For example:</w:t>
      </w:r>
    </w:p>
    <w:p>
      <w:pPr/>
      <w:r>
        <w:rPr>
          <w:lang w:val="en_US" w:bidi="en_US"/>
        </w:rPr>
      </w:r>
      <w:r>
        <w:rPr>
          <w:lang w:val="en_US" w:bidi="en_US"/>
        </w:rPr>
        <w:t>As for you, do not seek (NAB)</w:t>
      </w:r>
    </w:p>
    <w:p>
      <w:pPr/>
      <w:r>
        <w:rPr>
          <w:lang w:val="en_US" w:bidi="en_US"/>
        </w:rPr>
      </w:r>
      <w:r>
        <w:rPr>
          <w:b/>
          <w:lang w:val="en_US" w:bidi="en_US"/>
        </w:rPr>
        <w:t>do not be concerned about what you will eat or drink:</w:t>
      </w:r>
      <w:r>
        <w:rPr>
          <w:lang w:val="en_US" w:bidi="en_US"/>
        </w:rPr>
        <w:t xml:space="preserve"> The Greek phrase that the BSB translates as </w:t>
      </w:r>
      <w:r>
        <w:rPr>
          <w:i/>
          <w:lang w:val="en_US" w:bidi="en_US"/>
        </w:rPr>
        <w:t>do not be concerned about</w:t>
      </w:r>
      <w:r>
        <w:rPr>
          <w:lang w:val="en_US" w:bidi="en_US"/>
        </w:rPr>
        <w:t xml:space="preserve"> is literally “do not seek,” that is, do not make this your life’s aim or goal. Other ways to translate this clause are:</w:t>
      </w:r>
    </w:p>
    <w:p>
      <w:pPr/>
      <w:r>
        <w:rPr>
          <w:lang w:val="en_US" w:bidi="en_US"/>
        </w:rPr>
      </w:r>
      <w:r>
        <w:rPr>
          <w:lang w:val="en_US" w:bidi="en_US"/>
        </w:rPr>
        <w:t>Don’t always think about what you will eat and what you will drink (NCV)</w:t>
      </w:r>
    </w:p>
    <w:p>
      <w:pPr/>
      <w:r>
        <w:rPr>
          <w:lang w:val="en_US" w:bidi="en_US"/>
        </w:rPr>
      </w:r>
      <w:r>
        <w:rPr>
          <w:lang w:val="en_US" w:bidi="en_US"/>
        </w:rPr>
        <w:t>Do not focus your thoughts on the food and drink that you need</w:t>
      </w:r>
    </w:p>
    <w:p>
      <w:pPr/>
      <w:r>
        <w:rPr>
          <w:lang w:val="en_US" w:bidi="en_US"/>
        </w:rPr>
      </w:r>
      <w:r>
        <w:rPr>
          <w:lang w:val="en_US" w:bidi="en_US"/>
        </w:rPr>
        <w:t>Do not use all your time and energy in getting enough to eat and drink</w:t>
      </w:r>
    </w:p>
    <w:p>
      <w:pPr>
        <w:pStyle w:val="Heading5"/>
      </w:pPr>
      <w:r>
        <w:rPr>
          <w:lang w:val="en_US" w:bidi="en_US"/>
        </w:rPr>
        <w:t>12:29b</w:t>
      </w:r>
    </w:p>
    <w:p>
      <w:pPr/>
      <w:r>
        <w:rPr>
          <w:lang w:val="en_US" w:bidi="en_US"/>
        </w:rPr>
      </w:r>
      <w:r>
        <w:rPr>
          <w:b/>
          <w:lang w:val="en_US" w:bidi="en_US"/>
        </w:rPr>
        <w:t>Do not worry about it.</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worry about these things.</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be anxious about this.</w:t>
      </w:r>
    </w:p>
    <w:p>
      <w:pPr/>
      <w:r>
        <w:rPr>
          <w:lang w:val="en_US" w:bidi="en_US"/>
        </w:rPr>
      </w:r>
      <w:r>
        <w:rPr>
          <w:b/>
          <w:lang w:val="en_US" w:bidi="en_US"/>
        </w:rPr>
        <w:t>Do not worry:</w:t>
      </w:r>
      <w:r>
        <w:rPr>
          <w:lang w:val="en_US" w:bidi="en_US"/>
        </w:rPr>
        <w:t xml:space="preserve"> The Greek word that the BSB translates as </w:t>
      </w:r>
      <w:r>
        <w:rPr>
          <w:i/>
          <w:lang w:val="en_US" w:bidi="en_US"/>
        </w:rPr>
        <w:t>worry</w:t>
      </w:r>
      <w:r>
        <w:rPr>
          <w:lang w:val="en_US" w:bidi="en_US"/>
        </w:rPr>
        <w:t xml:space="preserve"> occurs only here in the New Testament. It refers to feeling fear and anxiety. Its meaning is almost the same as the word that was translated as “worry” in 12:22b.</w:t>
      </w:r>
    </w:p>
    <w:p>
      <w:pPr/>
      <w:r>
        <w:rPr>
          <w:lang w:val="en_US" w:bidi="en_US"/>
        </w:rPr>
      </w:r>
      <w:r>
        <w:rPr>
          <w:b/>
          <w:lang w:val="en_US" w:bidi="en_US"/>
        </w:rPr>
        <w:t>about it:</w:t>
      </w:r>
      <w:r>
        <w:rPr>
          <w:lang w:val="en_US" w:bidi="en_US"/>
        </w:rPr>
        <w:t xml:space="preserve"> The BSB has supplied the phrase </w:t>
      </w:r>
      <w:r>
        <w:rPr>
          <w:i/>
          <w:lang w:val="en_US" w:bidi="en_US"/>
        </w:rPr>
        <w:t>about it</w:t>
      </w:r>
      <w:r>
        <w:rPr>
          <w:lang w:val="en_US" w:bidi="en_US"/>
        </w:rPr>
        <w:t>. It is not translated from anything explicit in the Greek text. Consider if you need to supply a phrase indicating what the disciples were not to worry about. Jesus meant that they were not to worry about what they were going to eat and drink, as in 12:22a.</w:t>
      </w:r>
    </w:p>
    <w:p>
      <w:pPr>
        <w:pStyle w:val="Heading6"/>
      </w:pPr>
      <w:r>
        <w:rPr>
          <w:b/>
          <w:lang w:val="en_US" w:bidi="en_US"/>
        </w:rPr>
        <w:t>General Comment on 12:29a–b</w:t>
      </w:r>
    </w:p>
    <w:p>
      <w:pPr/>
      <w:r>
        <w:rPr>
          <w:lang w:val="en_US" w:bidi="en_US"/>
        </w:rPr>
      </w:r>
      <w:r>
        <w:rPr>
          <w:lang w:val="en_US" w:bidi="en_US"/>
        </w:rPr>
        <w:t>In some languages it may be more natural to change the order of words in these two verse parts or to combine them in different ways. For example:</w:t>
      </w:r>
    </w:p>
    <w:p>
      <w:pPr/>
      <w:r>
        <w:rPr>
          <w:lang w:val="en_US" w:bidi="en_US"/>
        </w:rPr>
      </w:r>
      <w:r>
        <w:rPr>
          <w:lang w:val="en_US" w:bidi="en_US"/>
        </w:rPr>
        <w:t>So don’t be all upset, always concerned about what you will eat and drink. (GNT)</w:t>
      </w:r>
    </w:p>
    <w:p>
      <w:pPr/>
      <w:r>
        <w:rPr>
          <w:lang w:val="en_US" w:bidi="en_US"/>
        </w:rPr>
      </w:r>
      <w:r>
        <w:rPr>
          <w:lang w:val="en_US" w:bidi="en_US"/>
        </w:rPr>
        <w:t>Don’t keep worrying about having something to eat and drink. (CEV)</w:t>
      </w:r>
    </w:p>
    <w:p>
      <w:pPr/>
      <w:r>
        <w:rPr>
          <w:lang w:val="en_US" w:bidi="en_US"/>
        </w:rPr>
      </w:r>
      <w:r>
        <w:rPr>
          <w:lang w:val="en_US" w:bidi="en_US"/>
        </w:rPr>
        <w:t>Stop thinking and worrying about the food and drink that you need.</w:t>
      </w:r>
      <w:r>
        <w:rPr>
          <w:lang w:val="en_US" w:bidi="en_US"/>
        </w:rPr>
      </w:r>
      <w:r>
        <w:rPr>
          <w:lang w:val="en_US" w:bidi="en_US"/>
        </w:rPr>
      </w:r>
    </w:p>
    <w:p>
      <w:pPr/>
      <w:r>
        <w:rPr>
          <w:lang w:val="en_US" w:bidi="en_US"/>
        </w:rPr>
      </w:r>
    </w:p>
    <w:p>
      <w:pPr>
        <w:pStyle w:val="Heading2"/>
      </w:pPr>
      <w:r>
        <w:rPr>
          <w:lang w:val="en_US" w:bidi="en_US"/>
        </w:rPr>
        <w:t>Luke 12:30</w:t>
      </w:r>
      <w:r>
        <w:rPr>
          <w:lang w:val="en_US" w:bidi="en_US"/>
        </w:rPr>
      </w:r>
    </w:p>
    <w:p>
      <w:pPr>
        <w:pStyle w:val="Heading4"/>
      </w:pPr>
      <w:r>
        <w:rPr>
          <w:lang w:val="en_US" w:bidi="en_US"/>
        </w:rPr>
        <w:t>Section 12:22–34: Jesus encouraged his disciples to trust God to care for them</w:t>
      </w:r>
    </w:p>
    <w:p>
      <w:pPr/>
      <w:r>
        <w:rPr>
          <w:lang w:val="en_US" w:bidi="en_US"/>
        </w:rPr>
      </w:r>
      <w:r>
        <w:rPr>
          <w:lang w:val="en_US" w:bidi="en_US"/>
        </w:rP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pPr/>
      <w:r>
        <w:rPr>
          <w:lang w:val="en_US" w:bidi="en_US"/>
        </w:rPr>
      </w:r>
      <w:r>
        <w:rPr>
          <w:lang w:val="en_US" w:bidi="en_US"/>
        </w:rPr>
        <w:t>Some other possible headings for this section are:</w:t>
      </w:r>
    </w:p>
    <w:p>
      <w:pPr/>
      <w:r>
        <w:rPr>
          <w:lang w:val="en_US" w:bidi="en_US"/>
        </w:rPr>
      </w:r>
      <w:r>
        <w:rPr>
          <w:lang w:val="en_US" w:bidi="en_US"/>
        </w:rPr>
        <w:t>God’s Care For Those Who Trust In Him</w:t>
      </w:r>
    </w:p>
    <w:p>
      <w:pPr/>
      <w:r>
        <w:rPr>
          <w:lang w:val="en_US" w:bidi="en_US"/>
        </w:rPr>
      </w:r>
      <w:r>
        <w:rPr>
          <w:lang w:val="en_US" w:bidi="en_US"/>
        </w:rPr>
        <w:t>Trust in God (GNT)</w:t>
      </w:r>
    </w:p>
    <w:p>
      <w:pPr/>
      <w:r>
        <w:rPr>
          <w:lang w:val="en_US" w:bidi="en_US"/>
        </w:rPr>
      </w:r>
      <w:r>
        <w:rPr>
          <w:lang w:val="en_US" w:bidi="en_US"/>
        </w:rPr>
        <w:t>Do not Worry (NIV)</w:t>
      </w:r>
    </w:p>
    <w:p>
      <w:pPr/>
      <w:r>
        <w:rPr>
          <w:lang w:val="en_US" w:bidi="en_US"/>
        </w:rPr>
      </w:r>
      <w:r>
        <w:rPr>
          <w:lang w:val="en_US" w:bidi="en_US"/>
        </w:rPr>
        <w:t>There is a parallel passage for this section in Matthew 6:25–34.</w:t>
      </w:r>
    </w:p>
    <w:p>
      <w:pPr>
        <w:pStyle w:val="Heading5"/>
      </w:pPr>
      <w:r>
        <w:rPr>
          <w:lang w:val="en_US" w:bidi="en_US"/>
        </w:rPr>
        <w:t>12:30a</w:t>
      </w:r>
    </w:p>
    <w:p>
      <w:pPr/>
      <w:r>
        <w:rPr>
          <w:lang w:val="en_US" w:bidi="en_US"/>
        </w:rPr>
      </w:r>
      <w:r>
        <w:rPr>
          <w:b/>
          <w:lang w:val="en_US" w:bidi="en_US"/>
        </w:rPr>
        <w:t>For the Gentiles of the world strive after all these things,</w:t>
      </w:r>
    </w:p>
    <w:p>
      <w:pPr>
        <w:pStyle w:val="ListBullet"/>
        <w:spacing w:line="240" w:lineRule="auto"/>
        <w:ind w:left="720"/>
      </w:pPr>
      <w:r>
        <w:rPr>
          <w:lang w:val="en_US" w:bidi="en_US"/>
        </w:rPr>
      </w:r>
      <w:r>
        <w:rPr>
          <w:lang w:val="en_US" w:bidi="en_US"/>
        </w:rPr>
        <w:t xml:space="preserve">For the people of the </w:t>
      </w:r>
      <w:r>
        <w:rPr>
          <w:lang w:val="en_US" w:bidi="en_US"/>
        </w:rPr>
        <w:t>Gentile</w:t>
      </w:r>
      <w:r>
        <w:rPr>
          <w:lang w:val="en_US" w:bidi="en_US"/>
        </w:rPr>
        <w:t>/pagan nations are the ones who are trying so hard to get all those sorts of things.</w:t>
      </w:r>
    </w:p>
    <w:p>
      <w:pPr>
        <w:pStyle w:val="ListBullet"/>
        <w:spacing w:line="240" w:lineRule="auto"/>
        <w:ind w:left="720"/>
      </w:pPr>
      <w:r>
        <w:rPr>
          <w:lang w:val="en_US" w:bidi="en_US"/>
        </w:rPr>
      </w:r>
      <w:r>
        <w:rPr>
          <w:lang w:val="en_US" w:bidi="en_US"/>
        </w:rPr>
        <w:t>All such things are what the peoples/nations who do not know God keep thinking about.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reason why Jesus’ disciples should not worry about what they should eat and drink and wear. They should not worry, because if they worried, they would be like the people of other nations who did not know God.</w:t>
      </w:r>
    </w:p>
    <w:p>
      <w:pPr/>
      <w:r>
        <w:rPr>
          <w:lang w:val="en_US" w:bidi="en_US"/>
        </w:rPr>
      </w:r>
      <w:r>
        <w:rPr>
          <w:b/>
          <w:lang w:val="en_US" w:bidi="en_US"/>
        </w:rPr>
        <w:t>the Gentiles of the world strive after all these things:</w:t>
      </w:r>
      <w:r>
        <w:rPr>
          <w:lang w:val="en_US" w:bidi="en_US"/>
        </w:rPr>
        <w:t xml:space="preserve"> Scholars disagree as to what the word </w:t>
      </w:r>
      <w:r>
        <w:rPr>
          <w:i/>
          <w:lang w:val="en_US" w:bidi="en_US"/>
        </w:rPr>
        <w:t>all</w:t>
      </w:r>
      <w:r>
        <w:rPr>
          <w:lang w:val="en_US" w:bidi="en_US"/>
        </w:rPr>
        <w:t xml:space="preserve"> refers to:</w:t>
      </w:r>
    </w:p>
    <w:p>
      <w:pPr>
        <w:pStyle w:val="ListNumber"/>
        <w:numPr>
          <w:ilvl w:val="0"/>
          <w:numId w:val="241"/>
        </w:numPr>
        <w:spacing w:line="240" w:lineRule="auto"/>
        <w:ind w:left="720"/>
      </w:pPr>
      <w:r>
        <w:rPr>
          <w:lang w:val="en_US" w:bidi="en_US"/>
        </w:rPr>
      </w:r>
      <w:r>
        <w:rPr>
          <w:lang w:val="en_US" w:bidi="en_US"/>
        </w:rPr>
        <w:t xml:space="preserve">It refers to the phrase </w:t>
      </w:r>
      <w:r>
        <w:rPr>
          <w:i/>
          <w:lang w:val="en_US" w:bidi="en_US"/>
        </w:rPr>
        <w:t>these things</w:t>
      </w:r>
      <w:r>
        <w:rPr>
          <w:lang w:val="en_US" w:bidi="en_US"/>
        </w:rPr>
        <w:t>. For example:</w:t>
      </w:r>
      <w:r>
        <w:rPr>
          <w:lang w:val="en_US" w:bidi="en_US"/>
        </w:rPr>
        <w:t xml:space="preserve">These are all things that occupy the minds of the Gentiles (REB) </w:t>
      </w:r>
      <w:r>
        <w:rPr>
          <w:i/>
          <w:lang w:val="en_US" w:bidi="en_US"/>
        </w:rPr>
        <w:t>(BSB, NIV, KJV, NASB, NRSV, REB, GNT, NJB)</w:t>
      </w:r>
    </w:p>
    <w:p>
      <w:pPr>
        <w:pStyle w:val="ListNumber"/>
        <w:spacing w:line="240" w:lineRule="auto"/>
        <w:ind w:left="720"/>
      </w:pPr>
      <w:r>
        <w:rPr>
          <w:lang w:val="en_US" w:bidi="en_US"/>
        </w:rPr>
      </w:r>
      <w:r>
        <w:rPr>
          <w:lang w:val="en_US" w:bidi="en_US"/>
        </w:rPr>
        <w:t xml:space="preserve">It refers to the phrase </w:t>
      </w:r>
      <w:r>
        <w:rPr>
          <w:i/>
          <w:lang w:val="en_US" w:bidi="en_US"/>
        </w:rPr>
        <w:t>the Gentiles of the world</w:t>
      </w:r>
      <w:r>
        <w:rPr>
          <w:lang w:val="en_US" w:bidi="en_US"/>
        </w:rPr>
        <w:t>. For example:</w:t>
      </w:r>
      <w:r>
        <w:rPr>
          <w:lang w:val="en_US" w:bidi="en_US"/>
        </w:rPr>
        <w:t xml:space="preserve">For all the nations of the world seek these things (RSV) </w:t>
      </w:r>
      <w:r>
        <w:rPr>
          <w:i/>
          <w:lang w:val="en_US" w:bidi="en_US"/>
        </w:rPr>
        <w:t>(RSV, NET, NCV, NLT, GW)</w:t>
      </w:r>
    </w:p>
    <w:p>
      <w:pPr/>
      <w:r>
        <w:rPr>
          <w:lang w:val="en_US" w:bidi="en_US"/>
        </w:rPr>
      </w:r>
      <w:r>
        <w:rPr>
          <w:lang w:val="en_US" w:bidi="en_US"/>
        </w:rPr>
        <w:t>It is recommended that you follow interpretation (1). The word “all” appears with “these things” five other times in Luke. This interpretation also agrees with the parallel passage in Matthew 6:32.</w:t>
      </w:r>
    </w:p>
    <w:p>
      <w:pPr/>
      <w:r>
        <w:rPr>
          <w:lang w:val="en_US" w:bidi="en_US"/>
        </w:rPr>
      </w:r>
      <w:r>
        <w:rPr>
          <w:b/>
          <w:lang w:val="en_US" w:bidi="en_US"/>
        </w:rPr>
        <w:t>the Gentiles of the world:</w:t>
      </w:r>
      <w:r>
        <w:rPr>
          <w:lang w:val="en_US" w:bidi="en_US"/>
        </w:rPr>
        <w:t xml:space="preserve"> The Greek phrase that the BSB translates as </w:t>
      </w:r>
      <w:r>
        <w:rPr>
          <w:i/>
          <w:lang w:val="en_US" w:bidi="en_US"/>
        </w:rPr>
        <w:t>the Gentiles of the world</w:t>
      </w:r>
      <w:r>
        <w:rPr>
          <w:lang w:val="en_US" w:bidi="en_US"/>
        </w:rPr>
        <w:t xml:space="preserve"> is literally “the nations of the world.” It refers to the various people groups throughout the world who did not trust in the God of the Jews. Other ways to translate this phrase are:</w:t>
      </w:r>
    </w:p>
    <w:p>
      <w:pPr/>
      <w:r>
        <w:rPr>
          <w:lang w:val="en_US" w:bidi="en_US"/>
        </w:rPr>
      </w:r>
      <w:r>
        <w:rPr>
          <w:lang w:val="en_US" w:bidi="en_US"/>
        </w:rPr>
        <w:t>people who don’t know God (CEV)</w:t>
      </w:r>
    </w:p>
    <w:p>
      <w:pPr/>
      <w:r>
        <w:rPr>
          <w:lang w:val="en_US" w:bidi="en_US"/>
        </w:rPr>
      </w:r>
      <w:r>
        <w:rPr>
          <w:lang w:val="en_US" w:bidi="en_US"/>
        </w:rPr>
        <w:t>nations who do not worship/know God</w:t>
      </w:r>
    </w:p>
    <w:p>
      <w:pPr/>
      <w:r>
        <w:rPr>
          <w:lang w:val="en_US" w:bidi="en_US"/>
        </w:rPr>
      </w:r>
      <w:r>
        <w:rPr>
          <w:lang w:val="en_US" w:bidi="en_US"/>
        </w:rPr>
        <w:t>other/Gentile nations</w:t>
      </w:r>
    </w:p>
    <w:p>
      <w:pPr/>
      <w:r>
        <w:rPr>
          <w:lang w:val="en_US" w:bidi="en_US"/>
        </w:rPr>
      </w:r>
      <w:r>
        <w:rPr>
          <w:b/>
          <w:lang w:val="en_US" w:bidi="en_US"/>
        </w:rPr>
        <w:t>strive after:</w:t>
      </w:r>
      <w:r>
        <w:rPr>
          <w:lang w:val="en_US" w:bidi="en_US"/>
        </w:rPr>
        <w:t xml:space="preserve"> The Greek verb that the BSB translates as </w:t>
      </w:r>
      <w:r>
        <w:rPr>
          <w:i/>
          <w:lang w:val="en_US" w:bidi="en_US"/>
        </w:rPr>
        <w:t>strive after</w:t>
      </w:r>
      <w:r>
        <w:rPr>
          <w:lang w:val="en_US" w:bidi="en_US"/>
        </w:rPr>
        <w:t xml:space="preserve"> means “desire” or “seek.” It has almost the same meaning as the verb that was translated as “be concerned about” in 12:29a and as “seek” in 12:31a. Other ways to translate the verb here are:</w:t>
      </w:r>
    </w:p>
    <w:p>
      <w:pPr/>
      <w:r>
        <w:rPr>
          <w:lang w:val="en_US" w:bidi="en_US"/>
        </w:rPr>
      </w:r>
      <w:r>
        <w:rPr>
          <w:lang w:val="en_US" w:bidi="en_US"/>
        </w:rPr>
        <w:t>are always concerned about (GNT)</w:t>
      </w:r>
    </w:p>
    <w:p>
      <w:pPr/>
      <w:r>
        <w:rPr>
          <w:lang w:val="en_US" w:bidi="en_US"/>
        </w:rPr>
      </w:r>
      <w:r>
        <w:rPr>
          <w:lang w:val="en_US" w:bidi="en_US"/>
        </w:rPr>
        <w:t>set their hearts on (NJB)</w:t>
      </w:r>
    </w:p>
    <w:p>
      <w:pPr/>
      <w:r>
        <w:rPr>
          <w:lang w:val="en_US" w:bidi="en_US"/>
        </w:rPr>
      </w:r>
      <w:r>
        <w:rPr>
          <w:lang w:val="en_US" w:bidi="en_US"/>
        </w:rPr>
        <w:t>occupy the minds of (REB)</w:t>
      </w:r>
    </w:p>
    <w:p>
      <w:pPr/>
      <w:r>
        <w:rPr>
          <w:lang w:val="en_US" w:bidi="en_US"/>
        </w:rPr>
      </w:r>
      <w:r>
        <w:rPr>
          <w:lang w:val="en_US" w:bidi="en_US"/>
        </w:rPr>
        <w:t>trying to get (NCV)</w:t>
      </w:r>
    </w:p>
    <w:p>
      <w:pPr/>
      <w:r>
        <w:rPr>
          <w:lang w:val="en_US" w:bidi="en_US"/>
        </w:rPr>
      </w:r>
      <w:r>
        <w:rPr>
          <w:b/>
          <w:lang w:val="en_US" w:bidi="en_US"/>
        </w:rPr>
        <w:t>all these things:</w:t>
      </w:r>
      <w:r>
        <w:rPr>
          <w:lang w:val="en_US" w:bidi="en_US"/>
        </w:rPr>
        <w:t xml:space="preserve"> The phrase </w:t>
      </w:r>
      <w:r>
        <w:rPr>
          <w:i/>
          <w:lang w:val="en_US" w:bidi="en_US"/>
        </w:rPr>
        <w:t>all these things</w:t>
      </w:r>
      <w:r>
        <w:rPr>
          <w:lang w:val="en_US" w:bidi="en_US"/>
        </w:rPr>
        <w:t xml:space="preserve"> refers to all sorts of material things, including the food, drink, and clothes that Jesus had just been talking about.</w:t>
      </w:r>
    </w:p>
    <w:p>
      <w:pPr>
        <w:pStyle w:val="Heading5"/>
      </w:pPr>
      <w:r>
        <w:rPr>
          <w:lang w:val="en_US" w:bidi="en_US"/>
        </w:rPr>
        <w:t>12:30b</w:t>
      </w:r>
    </w:p>
    <w:p>
      <w:pPr/>
      <w:r>
        <w:rPr>
          <w:lang w:val="en_US" w:bidi="en_US"/>
        </w:rPr>
      </w:r>
      <w:r>
        <w:rPr>
          <w:b/>
          <w:lang w:val="en_US" w:bidi="en_US"/>
        </w:rPr>
        <w:t>and your Father knows that you need them.</w:t>
      </w:r>
    </w:p>
    <w:p>
      <w:pPr>
        <w:pStyle w:val="ListBullet"/>
        <w:spacing w:line="240" w:lineRule="auto"/>
        <w:ind w:left="720"/>
      </w:pPr>
      <w:r>
        <w:rPr>
          <w:lang w:val="en_US" w:bidi="en_US"/>
        </w:rPr>
      </w:r>
      <w:r>
        <w:rPr>
          <w:lang w:val="en_US" w:bidi="en_US"/>
        </w:rPr>
        <w:t xml:space="preserve">But as for you, your </w:t>
      </w:r>
      <w:r>
        <w:rPr>
          <w:lang w:val="en_US" w:bidi="en_US"/>
        </w:rPr>
        <w:t>heavenly</w:t>
      </w:r>
      <w:r>
        <w:rPr>
          <w:lang w:val="en_US" w:bidi="en_US"/>
        </w:rPr>
        <w:t xml:space="preserve"> Father knows that you</w:t>
      </w:r>
      <w:r>
        <w:rPr>
          <w:vertAlign w:val="superscript"/>
          <w:lang w:val="en_US" w:bidi="en_US"/>
        </w:rPr>
        <w:t>(plur)</w:t>
      </w:r>
      <w:r>
        <w:rPr>
          <w:lang w:val="en_US" w:bidi="en_US"/>
        </w:rPr>
        <w:t xml:space="preserve"> </w:t>
      </w:r>
      <w:r>
        <w:rPr>
          <w:lang w:val="en_US" w:bidi="en_US"/>
        </w:rPr>
        <w:t>also</w:t>
      </w:r>
      <w:r>
        <w:rPr>
          <w:lang w:val="en_US" w:bidi="en_US"/>
        </w:rPr>
        <w:t xml:space="preserve"> need these things.</w:t>
      </w:r>
    </w:p>
    <w:p>
      <w:pPr>
        <w:pStyle w:val="ListBullet"/>
        <w:spacing w:line="240" w:lineRule="auto"/>
        <w:ind w:left="720"/>
      </w:pPr>
      <w:r>
        <w:rPr>
          <w:lang w:val="en_US" w:bidi="en_US"/>
        </w:rPr>
      </w:r>
      <w:r>
        <w:rPr>
          <w:lang w:val="en_US" w:bidi="en_US"/>
        </w:rPr>
        <w:t xml:space="preserve">But your Father, </w:t>
      </w:r>
      <w:r>
        <w:rPr>
          <w:lang w:val="en_US" w:bidi="en_US"/>
        </w:rPr>
        <w:t>God,</w:t>
      </w:r>
      <w:r>
        <w:rPr>
          <w:lang w:val="en_US" w:bidi="en_US"/>
        </w:rPr>
        <w:t xml:space="preserve"> </w:t>
      </w:r>
      <w:r>
        <w:rPr>
          <w:lang w:val="en_US" w:bidi="en_US"/>
        </w:rPr>
        <w:t>already</w:t>
      </w:r>
      <w:r>
        <w:rPr>
          <w:lang w:val="en_US" w:bidi="en_US"/>
        </w:rPr>
        <w:t xml:space="preserve"> knows what you</w:t>
      </w:r>
      <w:r>
        <w:rPr>
          <w:vertAlign w:val="superscript"/>
          <w:lang w:val="en_US" w:bidi="en_US"/>
        </w:rPr>
        <w:t>(plur)</w:t>
      </w:r>
      <w:r>
        <w:rPr>
          <w:lang w:val="en_US" w:bidi="en_US"/>
        </w:rPr>
        <w:t xml:space="preserve"> need.</w:t>
      </w:r>
    </w:p>
    <w:p>
      <w:pPr/>
      <w:r>
        <w:rPr>
          <w:lang w:val="en_US" w:bidi="en_US"/>
        </w:rPr>
      </w:r>
      <w:r>
        <w:rPr>
          <w:b/>
          <w:lang w:val="en_US" w:bidi="en_US"/>
        </w:rPr>
        <w:t>and your Father knows that you need them:</w:t>
      </w:r>
      <w:r>
        <w:rPr>
          <w:lang w:val="en_US" w:bidi="en_US"/>
        </w:rPr>
        <w:t xml:space="preserve"> The Greek conjunction that the BSB translates as </w:t>
      </w:r>
      <w:r>
        <w:rPr>
          <w:i/>
          <w:lang w:val="en_US" w:bidi="en_US"/>
        </w:rPr>
        <w:t>and</w:t>
      </w:r>
      <w:r>
        <w:rPr>
          <w:lang w:val="en_US" w:bidi="en_US"/>
        </w:rPr>
        <w:t xml:space="preserve"> is often translated as “but” in English. Here it occurs with </w:t>
      </w:r>
      <w:r>
        <w:rPr>
          <w:i/>
          <w:lang w:val="en_US" w:bidi="en_US"/>
        </w:rPr>
        <w:t>your</w:t>
      </w:r>
      <w:r>
        <w:rPr>
          <w:lang w:val="en_US" w:bidi="en_US"/>
        </w:rPr>
        <w:t>, which is in an emphatic position. It contrasts the disciples with the people who do not know God. The disciples can trust God to care for them. As their Father, he knows what they need. One way to express this meaning is:</w:t>
      </w:r>
    </w:p>
    <w:p>
      <w:pPr/>
      <w:r>
        <w:rPr>
          <w:lang w:val="en_US" w:bidi="en_US"/>
        </w:rPr>
      </w:r>
      <w:r>
        <w:rPr>
          <w:lang w:val="en_US" w:bidi="en_US"/>
        </w:rPr>
        <w:t>But as for you, your Father knows that you need these things</w:t>
      </w:r>
    </w:p>
    <w:p>
      <w:pPr/>
      <w:r>
        <w:rPr>
          <w:lang w:val="en_US" w:bidi="en_US"/>
        </w:rPr>
      </w:r>
      <w:r>
        <w:rPr>
          <w:b/>
          <w:lang w:val="en_US" w:bidi="en_US"/>
        </w:rPr>
        <w:t>your Father:</w:t>
      </w:r>
      <w:r>
        <w:rPr>
          <w:lang w:val="en_US" w:bidi="en_US"/>
        </w:rPr>
        <w:t xml:space="preserve"> This refers to God. If this would not be clear in your language, you may need to make this explicit:</w:t>
      </w:r>
    </w:p>
    <w:p>
      <w:pPr/>
      <w:r>
        <w:rPr>
          <w:lang w:val="en_US" w:bidi="en_US"/>
        </w:rPr>
      </w:r>
      <w:r>
        <w:rPr>
          <w:lang w:val="en_US" w:bidi="en_US"/>
        </w:rPr>
        <w:t xml:space="preserve">your Father </w:t>
      </w:r>
      <w:r>
        <w:rPr>
          <w:lang w:val="en_US" w:bidi="en_US"/>
        </w:rPr>
        <w:t>God</w:t>
      </w:r>
    </w:p>
    <w:p>
      <w:pPr/>
      <w:r>
        <w:rPr>
          <w:lang w:val="en_US" w:bidi="en_US"/>
        </w:rPr>
      </w:r>
      <w:r>
        <w:rPr>
          <w:lang w:val="en_US" w:bidi="en_US"/>
        </w:rPr>
        <w:t xml:space="preserve">your </w:t>
      </w:r>
      <w:r>
        <w:rPr>
          <w:lang w:val="en_US" w:bidi="en_US"/>
        </w:rPr>
        <w:t>heavenly</w:t>
      </w:r>
      <w:r>
        <w:rPr>
          <w:lang w:val="en_US" w:bidi="en_US"/>
        </w:rPr>
        <w:t xml:space="preserve"> Father</w:t>
      </w:r>
      <w:r>
        <w:rPr>
          <w:lang w:val="en_US" w:bidi="en_US"/>
        </w:rPr>
      </w:r>
      <w:r>
        <w:rPr>
          <w:lang w:val="en_US" w:bidi="en_US"/>
        </w:rPr>
      </w:r>
    </w:p>
    <w:p>
      <w:pPr/>
      <w:r>
        <w:rPr>
          <w:lang w:val="en_US" w:bidi="en_US"/>
        </w:rPr>
      </w:r>
    </w:p>
    <w:p>
      <w:pPr>
        <w:pStyle w:val="Heading2"/>
      </w:pPr>
      <w:r>
        <w:rPr>
          <w:lang w:val="en_US" w:bidi="en_US"/>
        </w:rPr>
        <w:t>Luke 12:31</w:t>
      </w:r>
      <w:r>
        <w:rPr>
          <w:lang w:val="en_US" w:bidi="en_US"/>
        </w:rPr>
      </w:r>
    </w:p>
    <w:p>
      <w:pPr>
        <w:pStyle w:val="Heading4"/>
      </w:pPr>
      <w:r>
        <w:rPr>
          <w:lang w:val="en_US" w:bidi="en_US"/>
        </w:rPr>
        <w:t>Section 12:22–34: Jesus encouraged his disciples to trust God to care for them</w:t>
      </w:r>
    </w:p>
    <w:p>
      <w:pPr/>
      <w:r>
        <w:rPr>
          <w:lang w:val="en_US" w:bidi="en_US"/>
        </w:rPr>
      </w:r>
      <w:r>
        <w:rPr>
          <w:lang w:val="en_US" w:bidi="en_US"/>
        </w:rP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pPr/>
      <w:r>
        <w:rPr>
          <w:lang w:val="en_US" w:bidi="en_US"/>
        </w:rPr>
      </w:r>
      <w:r>
        <w:rPr>
          <w:lang w:val="en_US" w:bidi="en_US"/>
        </w:rPr>
        <w:t>Some other possible headings for this section are:</w:t>
      </w:r>
    </w:p>
    <w:p>
      <w:pPr/>
      <w:r>
        <w:rPr>
          <w:lang w:val="en_US" w:bidi="en_US"/>
        </w:rPr>
      </w:r>
      <w:r>
        <w:rPr>
          <w:lang w:val="en_US" w:bidi="en_US"/>
        </w:rPr>
        <w:t>God’s Care For Those Who Trust In Him</w:t>
      </w:r>
    </w:p>
    <w:p>
      <w:pPr/>
      <w:r>
        <w:rPr>
          <w:lang w:val="en_US" w:bidi="en_US"/>
        </w:rPr>
      </w:r>
      <w:r>
        <w:rPr>
          <w:lang w:val="en_US" w:bidi="en_US"/>
        </w:rPr>
        <w:t>Trust in God (GNT)</w:t>
      </w:r>
    </w:p>
    <w:p>
      <w:pPr/>
      <w:r>
        <w:rPr>
          <w:lang w:val="en_US" w:bidi="en_US"/>
        </w:rPr>
      </w:r>
      <w:r>
        <w:rPr>
          <w:lang w:val="en_US" w:bidi="en_US"/>
        </w:rPr>
        <w:t>Do not Worry (NIV)</w:t>
      </w:r>
    </w:p>
    <w:p>
      <w:pPr/>
      <w:r>
        <w:rPr>
          <w:lang w:val="en_US" w:bidi="en_US"/>
        </w:rPr>
      </w:r>
      <w:r>
        <w:rPr>
          <w:lang w:val="en_US" w:bidi="en_US"/>
        </w:rPr>
        <w:t>There is a parallel passage for this section in Matthew 6:25–34.</w:t>
      </w:r>
    </w:p>
    <w:p>
      <w:pPr>
        <w:pStyle w:val="Heading5"/>
      </w:pPr>
      <w:r>
        <w:rPr>
          <w:lang w:val="en_US" w:bidi="en_US"/>
        </w:rPr>
        <w:t>12:31a</w:t>
      </w:r>
    </w:p>
    <w:p>
      <w:pPr/>
      <w:r>
        <w:rPr>
          <w:lang w:val="en_US" w:bidi="en_US"/>
        </w:rPr>
      </w:r>
      <w:r>
        <w:rPr>
          <w:b/>
          <w:lang w:val="en_US" w:bidi="en_US"/>
        </w:rPr>
        <w:t>But seek His kingdom,</w:t>
      </w:r>
    </w:p>
    <w:p>
      <w:pPr>
        <w:pStyle w:val="ListBullet"/>
        <w:spacing w:line="240" w:lineRule="auto"/>
        <w:ind w:left="720"/>
      </w:pPr>
      <w:r>
        <w:rPr>
          <w:lang w:val="en_US" w:bidi="en_US"/>
        </w:rPr>
      </w:r>
      <w:r>
        <w:rPr>
          <w:lang w:val="en_US" w:bidi="en_US"/>
        </w:rPr>
        <w:t>Instead, concentrate</w:t>
      </w:r>
      <w:r>
        <w:rPr>
          <w:vertAlign w:val="superscript"/>
          <w:lang w:val="en_US" w:bidi="en_US"/>
        </w:rPr>
        <w:t>(plur)</w:t>
      </w:r>
      <w:r>
        <w:rPr>
          <w:lang w:val="en_US" w:bidi="en_US"/>
        </w:rPr>
        <w:t xml:space="preserve"> on submitting to God’s kingship/rule,</w:t>
      </w:r>
    </w:p>
    <w:p>
      <w:pPr>
        <w:pStyle w:val="ListBullet"/>
        <w:spacing w:line="240" w:lineRule="auto"/>
        <w:ind w:left="720"/>
      </w:pPr>
      <w:r>
        <w:rPr>
          <w:lang w:val="en_US" w:bidi="en_US"/>
        </w:rPr>
      </w:r>
      <w:r>
        <w:rPr>
          <w:lang w:val="en_US" w:bidi="en_US"/>
        </w:rPr>
        <w:t xml:space="preserve">Instead of </w:t>
      </w:r>
      <w:r>
        <w:rPr>
          <w:lang w:val="en_US" w:bidi="en_US"/>
        </w:rPr>
        <w:t>thinking about such things,</w:t>
      </w:r>
      <w:r>
        <w:rPr>
          <w:lang w:val="en_US" w:bidi="en_US"/>
        </w:rPr>
        <w:t xml:space="preserve"> always seek/try to serve God as your</w:t>
      </w:r>
      <w:r>
        <w:rPr>
          <w:vertAlign w:val="superscript"/>
          <w:lang w:val="en_US" w:bidi="en_US"/>
        </w:rPr>
        <w:t>(plur)</w:t>
      </w:r>
      <w:r>
        <w:rPr>
          <w:lang w:val="en_US" w:bidi="en_US"/>
        </w:rPr>
        <w:t xml:space="preserve"> king/ruler.</w:t>
      </w:r>
    </w:p>
    <w:p>
      <w:pPr>
        <w:pStyle w:val="ListBullet"/>
        <w:spacing w:line="240" w:lineRule="auto"/>
        <w:ind w:left="720"/>
      </w:pPr>
      <w:r>
        <w:rPr>
          <w:lang w:val="en_US" w:bidi="en_US"/>
        </w:rPr>
      </w:r>
      <w:r>
        <w:rPr>
          <w:lang w:val="en_US" w:bidi="en_US"/>
        </w:rPr>
        <w:t>What you</w:t>
      </w:r>
      <w:r>
        <w:rPr>
          <w:vertAlign w:val="superscript"/>
          <w:lang w:val="en_US" w:bidi="en_US"/>
        </w:rPr>
        <w:t>(plur)</w:t>
      </w:r>
      <w:r>
        <w:rPr>
          <w:lang w:val="en_US" w:bidi="en_US"/>
        </w:rPr>
        <w:t xml:space="preserve"> </w:t>
      </w:r>
      <w:r>
        <w:rPr>
          <w:lang w:val="en_US" w:bidi="en_US"/>
        </w:rPr>
        <w:t>should do is</w:t>
      </w:r>
      <w:r>
        <w:rPr>
          <w:lang w:val="en_US" w:bidi="en_US"/>
        </w:rPr>
        <w:t xml:space="preserve"> devote yourselves to loving and obeying God. He is your king.</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introduces what Jesus’ disciples should seek in place of the food and drink mentioned in 12:29a. In some languages the meaning may be implied from the context, and a conjunction may not be needed. Some ways to translate the connection are:</w:t>
      </w:r>
    </w:p>
    <w:p>
      <w:pPr/>
      <w:r>
        <w:rPr>
          <w:lang w:val="en_US" w:bidi="en_US"/>
        </w:rPr>
      </w:r>
      <w:r>
        <w:rPr>
          <w:lang w:val="en_US" w:bidi="en_US"/>
        </w:rPr>
        <w:t>Rather (GW)</w:t>
      </w:r>
    </w:p>
    <w:p>
      <w:pPr/>
      <w:r>
        <w:rPr>
          <w:lang w:val="en_US" w:bidi="en_US"/>
        </w:rPr>
      </w:r>
      <w:r>
        <w:rPr>
          <w:lang w:val="en_US" w:bidi="en_US"/>
        </w:rPr>
        <w:t>Instead (RSV, GNT)</w:t>
      </w:r>
    </w:p>
    <w:p>
      <w:pPr/>
      <w:r>
        <w:rPr>
          <w:lang w:val="en_US" w:bidi="en_US"/>
        </w:rPr>
      </w:r>
      <w:r>
        <w:rPr>
          <w:lang w:val="en_US" w:bidi="en_US"/>
        </w:rPr>
        <w:t>In some languages, readers may wrongly assume that 12:31a connects to 12:30b. If that is true in your language, you may need to make the connection to 12:29a more explicit. For example:</w:t>
      </w:r>
    </w:p>
    <w:p>
      <w:pPr/>
      <w:r>
        <w:rPr>
          <w:lang w:val="en_US" w:bidi="en_US"/>
        </w:rPr>
      </w:r>
      <w:r>
        <w:rPr>
          <w:lang w:val="en_US" w:bidi="en_US"/>
        </w:rPr>
        <w:t>What you must do instead is to seek God’s kingdom</w:t>
      </w:r>
    </w:p>
    <w:p>
      <w:pPr/>
      <w:r>
        <w:rPr>
          <w:lang w:val="en_US" w:bidi="en_US"/>
        </w:rPr>
      </w:r>
      <w:r>
        <w:rPr>
          <w:b/>
          <w:lang w:val="en_US" w:bidi="en_US"/>
        </w:rPr>
        <w:t>seek His kingdom:</w:t>
      </w:r>
      <w:r>
        <w:rPr>
          <w:lang w:val="en_US" w:bidi="en_US"/>
        </w:rPr>
        <w:t xml:space="preserve"> The clause </w:t>
      </w:r>
      <w:r>
        <w:rPr>
          <w:i/>
          <w:lang w:val="en_US" w:bidi="en_US"/>
        </w:rPr>
        <w:t>seek His kingdom</w:t>
      </w:r>
      <w:r>
        <w:rPr>
          <w:lang w:val="en_US" w:bidi="en_US"/>
        </w:rPr>
        <w:t xml:space="preserve"> means to concentrate on living under God’s rule and on helping others to do so. It implies that the disciples should devote themselves to serving God and should follow what he desires.</w:t>
      </w:r>
    </w:p>
    <w:p>
      <w:pPr/>
      <w:r>
        <w:rPr>
          <w:lang w:val="en_US" w:bidi="en_US"/>
        </w:rPr>
      </w:r>
      <w:r>
        <w:rPr>
          <w:lang w:val="en_US" w:bidi="en_US"/>
        </w:rPr>
        <w:t>Some ways to translate this clause are:</w:t>
      </w:r>
    </w:p>
    <w:p>
      <w:pPr/>
      <w:r>
        <w:rPr>
          <w:lang w:val="en_US" w:bidi="en_US"/>
        </w:rPr>
      </w:r>
      <w:r>
        <w:rPr>
          <w:lang w:val="en_US" w:bidi="en_US"/>
        </w:rPr>
        <w:t>focus on submitting to God’s rule/chieftaincy</w:t>
      </w:r>
    </w:p>
    <w:p>
      <w:pPr/>
      <w:r>
        <w:rPr>
          <w:lang w:val="en_US" w:bidi="en_US"/>
        </w:rPr>
      </w:r>
      <w:r>
        <w:rPr>
          <w:lang w:val="en_US" w:bidi="en_US"/>
        </w:rPr>
        <w:t>make every effort to obey/serve God as your king/ruler</w:t>
      </w:r>
    </w:p>
    <w:p>
      <w:pPr/>
      <w:r>
        <w:rPr>
          <w:lang w:val="en_US" w:bidi="en_US"/>
        </w:rPr>
      </w:r>
      <w:r>
        <w:rPr>
          <w:lang w:val="en_US" w:bidi="en_US"/>
        </w:rPr>
        <w:t>truly desire for God to rule in the lives of all people</w:t>
      </w:r>
    </w:p>
    <w:p>
      <w:pPr/>
      <w:r>
        <w:rPr>
          <w:lang w:val="en_US" w:bidi="en_US"/>
        </w:rPr>
      </w:r>
      <w:r>
        <w:rPr>
          <w:b/>
          <w:lang w:val="en_US" w:bidi="en_US"/>
        </w:rPr>
        <w:t>seek:</w:t>
      </w:r>
      <w:r>
        <w:rPr>
          <w:lang w:val="en_US" w:bidi="en_US"/>
        </w:rPr>
        <w:t xml:space="preserve"> The Greek verb that the BSB translates here as </w:t>
      </w:r>
      <w:r>
        <w:rPr>
          <w:i/>
          <w:lang w:val="en_US" w:bidi="en_US"/>
        </w:rPr>
        <w:t>seek</w:t>
      </w:r>
      <w:r>
        <w:rPr>
          <w:lang w:val="en_US" w:bidi="en_US"/>
        </w:rPr>
        <w:t xml:space="preserve"> is the same verb that the BSB translates as “be concerned about” in 12:29a. In 12:29a, it introduces what they should not seek, but here in 12:31 it introduces what they should seek. In some languages, this difference may affect the way you translate this verb.</w:t>
      </w:r>
    </w:p>
    <w:p>
      <w:pPr/>
      <w:r>
        <w:rPr>
          <w:lang w:val="en_US" w:bidi="en_US"/>
        </w:rPr>
      </w:r>
      <w:r>
        <w:rPr>
          <w:b/>
          <w:lang w:val="en_US" w:bidi="en_US"/>
        </w:rPr>
        <w:t>His kingdom:</w:t>
      </w:r>
      <w:r>
        <w:rPr>
          <w:lang w:val="en_US" w:bidi="en_US"/>
        </w:rPr>
        <w:t xml:space="preserve"> The phrase </w:t>
      </w:r>
      <w:r>
        <w:rPr>
          <w:i/>
          <w:lang w:val="en_US" w:bidi="en_US"/>
        </w:rPr>
        <w:t>His kingdom</w:t>
      </w:r>
      <w:r>
        <w:rPr>
          <w:lang w:val="en_US" w:bidi="en_US"/>
        </w:rP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pPr/>
      <w:r>
        <w:rPr>
          <w:lang w:val="en_US" w:bidi="en_US"/>
        </w:rPr>
      </w:r>
      <w:r>
        <w:rPr>
          <w:lang w:val="en_US" w:bidi="en_US"/>
        </w:rPr>
        <w:t>This phrase first occurs in Luke in 4:43a. See also the note at 9:2.</w:t>
      </w:r>
    </w:p>
    <w:p>
      <w:pPr>
        <w:pStyle w:val="Heading5"/>
      </w:pPr>
      <w:r>
        <w:rPr>
          <w:lang w:val="en_US" w:bidi="en_US"/>
        </w:rPr>
        <w:t>12:31b</w:t>
      </w:r>
    </w:p>
    <w:p>
      <w:pPr/>
      <w:r>
        <w:rPr>
          <w:lang w:val="en_US" w:bidi="en_US"/>
        </w:rPr>
      </w:r>
      <w:r>
        <w:rPr>
          <w:b/>
          <w:lang w:val="en_US" w:bidi="en_US"/>
        </w:rPr>
        <w:t>and these things will be added unto you.</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will receive these things as well.</w:t>
      </w:r>
    </w:p>
    <w:p>
      <w:pPr>
        <w:pStyle w:val="ListBullet"/>
        <w:spacing w:line="240" w:lineRule="auto"/>
        <w:ind w:left="720"/>
      </w:pPr>
      <w:r>
        <w:rPr>
          <w:lang w:val="en_US" w:bidi="en_US"/>
        </w:rPr>
      </w:r>
      <w:r>
        <w:rPr>
          <w:lang w:val="en_US" w:bidi="en_US"/>
        </w:rPr>
        <w:t>Then he will also give you</w:t>
      </w:r>
      <w:r>
        <w:rPr>
          <w:vertAlign w:val="superscript"/>
          <w:lang w:val="en_US" w:bidi="en_US"/>
        </w:rPr>
        <w:t>(plur)</w:t>
      </w:r>
      <w:r>
        <w:rPr>
          <w:lang w:val="en_US" w:bidi="en_US"/>
        </w:rPr>
        <w:t xml:space="preserve"> these other things </w:t>
      </w:r>
      <w:r>
        <w:rPr>
          <w:lang w:val="en_US" w:bidi="en_US"/>
        </w:rPr>
        <w:t>that you need</w:t>
      </w:r>
      <w:r>
        <w:rPr>
          <w:lang w:val="en_US" w:bidi="en_US"/>
        </w:rPr>
        <w:t>.</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do this, he will also provide for you the other things </w:t>
      </w:r>
      <w:r>
        <w:rPr>
          <w:lang w:val="en_US" w:bidi="en_US"/>
        </w:rPr>
        <w:t>that you need</w:t>
      </w:r>
      <w:r>
        <w:rPr>
          <w:lang w:val="en_US" w:bidi="en_US"/>
        </w:rPr>
        <w: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the result of seeking God’s kingdom in 12:31a. If people seek his kingdom, then God will also give them the material things they need.</w:t>
      </w:r>
    </w:p>
    <w:p>
      <w:pPr/>
      <w:r>
        <w:rPr>
          <w:lang w:val="en_US" w:bidi="en_US"/>
        </w:rPr>
      </w:r>
      <w:r>
        <w:rPr>
          <w:b/>
          <w:lang w:val="en_US" w:bidi="en_US"/>
        </w:rPr>
        <w:t>these things will be added unto you:</w:t>
      </w:r>
      <w:r>
        <w:rPr>
          <w:lang w:val="en_US" w:bidi="en_US"/>
        </w:rPr>
        <w:t xml:space="preserve"> The clause </w:t>
      </w:r>
      <w:r>
        <w:rPr>
          <w:i/>
          <w:lang w:val="en_US" w:bidi="en_US"/>
        </w:rPr>
        <w:t>these things will be added unto you</w:t>
      </w:r>
      <w:r>
        <w:rPr>
          <w:lang w:val="en_US" w:bidi="en_US"/>
        </w:rPr>
        <w:t xml:space="preserve"> means “God will also give to you these physical things (like food and clothes).”</w:t>
      </w:r>
    </w:p>
    <w:p>
      <w:pPr/>
      <w:r>
        <w:rPr>
          <w:lang w:val="en_US" w:bidi="en_US"/>
        </w:rPr>
      </w:r>
      <w:r>
        <w:rPr>
          <w:lang w:val="en_US" w:bidi="en_US"/>
        </w:rPr>
        <w:t>This is a passive clause. Other ways to translate this clause using an active verb are:</w:t>
      </w:r>
    </w:p>
    <w:p>
      <w:pPr/>
      <w:r>
        <w:rPr>
          <w:lang w:val="en_US" w:bidi="en_US"/>
        </w:rPr>
      </w:r>
      <w:r>
        <w:rPr>
          <w:lang w:val="en_US" w:bidi="en_US"/>
        </w:rPr>
        <w:t>these things will be yours as well (CEV)</w:t>
      </w:r>
    </w:p>
    <w:p>
      <w:pPr/>
      <w:r>
        <w:rPr>
          <w:lang w:val="en_US" w:bidi="en_US"/>
        </w:rPr>
      </w:r>
      <w:r>
        <w:rPr>
          <w:lang w:val="en_US" w:bidi="en_US"/>
        </w:rPr>
        <w:t>he will give you everything you need (NLT)</w:t>
      </w:r>
      <w:r>
        <w:rPr>
          <w:lang w:val="en_US" w:bidi="en_US"/>
        </w:rPr>
      </w:r>
      <w:r>
        <w:rPr>
          <w:lang w:val="en_US" w:bidi="en_US"/>
        </w:rPr>
      </w:r>
    </w:p>
    <w:p>
      <w:pPr/>
      <w:r>
        <w:rPr>
          <w:lang w:val="en_US" w:bidi="en_US"/>
        </w:rPr>
      </w:r>
    </w:p>
    <w:p>
      <w:pPr>
        <w:pStyle w:val="Heading2"/>
      </w:pPr>
      <w:r>
        <w:rPr>
          <w:lang w:val="en_US" w:bidi="en_US"/>
        </w:rPr>
        <w:t>Luke 12:32</w:t>
      </w:r>
      <w:r>
        <w:rPr>
          <w:lang w:val="en_US" w:bidi="en_US"/>
        </w:rPr>
      </w:r>
    </w:p>
    <w:p>
      <w:pPr>
        <w:pStyle w:val="Heading4"/>
      </w:pPr>
      <w:r>
        <w:rPr>
          <w:lang w:val="en_US" w:bidi="en_US"/>
        </w:rPr>
        <w:t>Section 12:22–34: Jesus encouraged his disciples to trust God to care for them</w:t>
      </w:r>
    </w:p>
    <w:p>
      <w:pPr/>
      <w:r>
        <w:rPr>
          <w:lang w:val="en_US" w:bidi="en_US"/>
        </w:rPr>
      </w:r>
      <w:r>
        <w:rPr>
          <w:lang w:val="en_US" w:bidi="en_US"/>
        </w:rP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pPr/>
      <w:r>
        <w:rPr>
          <w:lang w:val="en_US" w:bidi="en_US"/>
        </w:rPr>
      </w:r>
      <w:r>
        <w:rPr>
          <w:lang w:val="en_US" w:bidi="en_US"/>
        </w:rPr>
        <w:t>Some other possible headings for this section are:</w:t>
      </w:r>
    </w:p>
    <w:p>
      <w:pPr/>
      <w:r>
        <w:rPr>
          <w:lang w:val="en_US" w:bidi="en_US"/>
        </w:rPr>
      </w:r>
      <w:r>
        <w:rPr>
          <w:lang w:val="en_US" w:bidi="en_US"/>
        </w:rPr>
        <w:t>God’s Care For Those Who Trust In Him</w:t>
      </w:r>
    </w:p>
    <w:p>
      <w:pPr/>
      <w:r>
        <w:rPr>
          <w:lang w:val="en_US" w:bidi="en_US"/>
        </w:rPr>
      </w:r>
      <w:r>
        <w:rPr>
          <w:lang w:val="en_US" w:bidi="en_US"/>
        </w:rPr>
        <w:t>Trust in God (GNT)</w:t>
      </w:r>
    </w:p>
    <w:p>
      <w:pPr/>
      <w:r>
        <w:rPr>
          <w:lang w:val="en_US" w:bidi="en_US"/>
        </w:rPr>
      </w:r>
      <w:r>
        <w:rPr>
          <w:lang w:val="en_US" w:bidi="en_US"/>
        </w:rPr>
        <w:t>Do not Worry (NIV)</w:t>
      </w:r>
    </w:p>
    <w:p>
      <w:pPr/>
      <w:r>
        <w:rPr>
          <w:lang w:val="en_US" w:bidi="en_US"/>
        </w:rPr>
      </w:r>
      <w:r>
        <w:rPr>
          <w:lang w:val="en_US" w:bidi="en_US"/>
        </w:rPr>
        <w:t>There is a parallel passage for this section in Matthew 6:25–34.</w:t>
      </w:r>
    </w:p>
    <w:p>
      <w:pPr>
        <w:pStyle w:val="Heading4"/>
      </w:pPr>
      <w:r>
        <w:rPr>
          <w:lang w:val="en_US" w:bidi="en_US"/>
        </w:rPr>
        <w:t>Paragraph 12:32–34</w:t>
      </w:r>
    </w:p>
    <w:p>
      <w:pPr/>
      <w:r>
        <w:rPr>
          <w:lang w:val="en_US" w:bidi="en_US"/>
        </w:rPr>
      </w:r>
      <w:r>
        <w:rPr>
          <w:lang w:val="en_US" w:bidi="en_US"/>
        </w:rPr>
        <w:t>This paragraph concludes Section 12:22–34. If you have a special way to introduce the conclusion of a section, you may want to use it here. For example:</w:t>
      </w:r>
    </w:p>
    <w:p>
      <w:pPr/>
      <w:r>
        <w:rPr>
          <w:lang w:val="en_US" w:bidi="en_US"/>
        </w:rPr>
      </w:r>
      <w:r>
        <w:rPr>
          <w:u w:val="single"/>
          <w:lang w:val="en_US" w:bidi="en_US"/>
        </w:rPr>
        <w:t>So</w:t>
      </w:r>
      <w:r>
        <w:rPr>
          <w:lang w:val="en_US" w:bidi="en_US"/>
        </w:rPr>
        <w:t xml:space="preserve"> don’t be afraid (NLT)</w:t>
      </w:r>
    </w:p>
    <w:p>
      <w:pPr>
        <w:pStyle w:val="Heading5"/>
      </w:pPr>
      <w:r>
        <w:rPr>
          <w:lang w:val="en_US" w:bidi="en_US"/>
        </w:rPr>
        <w:t>12:32a</w:t>
      </w:r>
    </w:p>
    <w:p>
      <w:pPr/>
      <w:r>
        <w:rPr>
          <w:lang w:val="en_US" w:bidi="en_US"/>
        </w:rPr>
      </w:r>
      <w:r>
        <w:rPr>
          <w:b/>
          <w:lang w:val="en_US" w:bidi="en_US"/>
        </w:rPr>
        <w:t>Do not be afraid, little flock,</w:t>
      </w:r>
    </w:p>
    <w:p>
      <w:pPr>
        <w:pStyle w:val="ListBullet"/>
        <w:spacing w:line="240" w:lineRule="auto"/>
        <w:ind w:left="720"/>
      </w:pPr>
      <w:r>
        <w:rPr>
          <w:lang w:val="en_US" w:bidi="en_US"/>
        </w:rPr>
      </w:r>
      <w:r>
        <w:rPr>
          <w:lang w:val="en_US" w:bidi="en_US"/>
        </w:rPr>
        <w:t xml:space="preserve">¶ “My disciples, </w:t>
      </w:r>
      <w:r>
        <w:rPr>
          <w:lang w:val="en_US" w:bidi="en_US"/>
        </w:rPr>
        <w:t>whom I care for,</w:t>
      </w:r>
      <w:r>
        <w:rPr>
          <w:lang w:val="en_US" w:bidi="en_US"/>
        </w:rPr>
        <w:t xml:space="preserve"> you</w:t>
      </w:r>
      <w:r>
        <w:rPr>
          <w:vertAlign w:val="superscript"/>
          <w:lang w:val="en_US" w:bidi="en_US"/>
        </w:rPr>
        <w:t>(plur)</w:t>
      </w:r>
      <w:r>
        <w:rPr>
          <w:lang w:val="en_US" w:bidi="en_US"/>
        </w:rPr>
        <w:t xml:space="preserve"> are </w:t>
      </w:r>
      <w:r>
        <w:rPr>
          <w:lang w:val="en_US" w:bidi="en_US"/>
        </w:rPr>
        <w:t>like</w:t>
      </w:r>
      <w:r>
        <w:rPr>
          <w:lang w:val="en_US" w:bidi="en_US"/>
        </w:rPr>
        <w:t xml:space="preserve"> only a few sheep. But you do not need to be afraid,</w:t>
      </w:r>
    </w:p>
    <w:p>
      <w:pPr>
        <w:pStyle w:val="ListBullet"/>
        <w:spacing w:line="240" w:lineRule="auto"/>
        <w:ind w:left="720"/>
      </w:pPr>
      <w:r>
        <w:rPr>
          <w:lang w:val="en_US" w:bidi="en_US"/>
        </w:rPr>
      </w:r>
      <w:r>
        <w:rPr>
          <w:lang w:val="en_US" w:bidi="en_US"/>
        </w:rPr>
        <w:t>¶ “My little group of disciples, don’t be afraid! (CEV)</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“Do not fear/worry. </w:t>
      </w:r>
      <w:r>
        <w:rPr>
          <w:lang w:val="en_US" w:bidi="en_US"/>
        </w:rPr>
        <w:t>Even though</w:t>
      </w:r>
      <w:r>
        <w:rPr>
          <w:lang w:val="en_US" w:bidi="en_US"/>
        </w:rPr>
        <w:t xml:space="preserve"> you</w:t>
      </w:r>
      <w:r>
        <w:rPr>
          <w:vertAlign w:val="superscript"/>
          <w:lang w:val="en_US" w:bidi="en_US"/>
        </w:rPr>
        <w:t>(plur)</w:t>
      </w:r>
      <w:r>
        <w:rPr>
          <w:lang w:val="en_US" w:bidi="en_US"/>
        </w:rPr>
        <w:t xml:space="preserve"> are </w:t>
      </w:r>
      <w:r>
        <w:rPr>
          <w:lang w:val="en_US" w:bidi="en_US"/>
        </w:rPr>
        <w:t>few and weak,</w:t>
      </w:r>
      <w:r>
        <w:rPr>
          <w:lang w:val="en_US" w:bidi="en_US"/>
        </w:rPr>
        <w:t xml:space="preserve"> like a small flock </w:t>
      </w:r>
      <w:r>
        <w:rPr>
          <w:lang w:val="en_US" w:bidi="en_US"/>
        </w:rPr>
        <w:t>of sheep</w:t>
      </w:r>
      <w:r>
        <w:rPr>
          <w:lang w:val="en_US" w:bidi="en_US"/>
        </w:rPr>
        <w:t>.</w:t>
      </w:r>
    </w:p>
    <w:p>
      <w:pPr/>
      <w:r>
        <w:rPr>
          <w:lang w:val="en_US" w:bidi="en_US"/>
        </w:rPr>
      </w:r>
      <w:r>
        <w:rPr>
          <w:b/>
          <w:lang w:val="en_US" w:bidi="en_US"/>
        </w:rPr>
        <w:t>Do not be afraid, little flock:</w:t>
      </w:r>
      <w:r>
        <w:rPr>
          <w:lang w:val="en_US" w:bidi="en_US"/>
        </w:rPr>
        <w:t xml:space="preserve"> Here the command </w:t>
      </w:r>
      <w:r>
        <w:rPr>
          <w:i/>
          <w:lang w:val="en_US" w:bidi="en_US"/>
        </w:rPr>
        <w:t>Do not be afraid</w:t>
      </w:r>
      <w:r>
        <w:rPr>
          <w:lang w:val="en_US" w:bidi="en_US"/>
        </w:rPr>
        <w:t xml:space="preserve"> is similar to the command not to worry at the beginning of the section (12:22). In this context it implies that the disciples did not need to fear or worry that they would not have enough food or clothes. They were like a flock of sheep with a good shepherd to take care of them.</w:t>
      </w:r>
    </w:p>
    <w:p>
      <w:pPr/>
      <w:r>
        <w:rPr>
          <w:lang w:val="en_US" w:bidi="en_US"/>
        </w:rPr>
      </w:r>
      <w:r>
        <w:rPr>
          <w:b/>
          <w:lang w:val="en_US" w:bidi="en_US"/>
        </w:rPr>
        <w:t>little flock:</w:t>
      </w:r>
      <w:r>
        <w:rPr>
          <w:lang w:val="en_US" w:bidi="en_US"/>
        </w:rPr>
        <w:t xml:space="preserve"> Here Jesus addressed his disciples as </w:t>
      </w:r>
      <w:r>
        <w:rPr>
          <w:i/>
          <w:lang w:val="en_US" w:bidi="en_US"/>
        </w:rPr>
        <w:t>little flock</w:t>
      </w:r>
      <w:r>
        <w:rPr>
          <w:lang w:val="en_US" w:bidi="en_US"/>
        </w:rPr>
        <w:t>. In some languages it will not be natural to use a phrase like this as a direct address. Some other ways to translate it are:</w:t>
      </w:r>
    </w:p>
    <w:p>
      <w:pPr/>
      <w:r>
        <w:rPr>
          <w:lang w:val="en_US" w:bidi="en_US"/>
        </w:rPr>
      </w:r>
      <w:r>
        <w:rPr>
          <w:lang w:val="en_US" w:bidi="en_US"/>
        </w:rPr>
        <w:t>You are a little flock.</w:t>
      </w:r>
    </w:p>
    <w:p>
      <w:pPr/>
      <w:r>
        <w:rPr>
          <w:lang w:val="en_US" w:bidi="en_US"/>
        </w:rPr>
      </w:r>
      <w:r>
        <w:rPr>
          <w:lang w:val="en_US" w:bidi="en_US"/>
        </w:rPr>
        <w:t>My disciples, you are a little flock.</w:t>
      </w:r>
    </w:p>
    <w:p>
      <w:pPr/>
      <w:r>
        <w:rPr>
          <w:lang w:val="en_US" w:bidi="en_US"/>
        </w:rPr>
      </w:r>
      <w:r>
        <w:rPr>
          <w:lang w:val="en_US" w:bidi="en_US"/>
        </w:rPr>
        <w:t xml:space="preserve">The phrase </w:t>
      </w:r>
      <w:r>
        <w:rPr>
          <w:i/>
          <w:lang w:val="en_US" w:bidi="en_US"/>
        </w:rPr>
        <w:t>little flock</w:t>
      </w:r>
      <w:r>
        <w:rPr>
          <w:lang w:val="en_US" w:bidi="en_US"/>
        </w:rPr>
        <w:t xml:space="preserve"> is a metaphor. It compares the few disciples to a small group of sheep. Some of the implied similarities are that the disciples were few and had strong enemies. They needed care and protection. Another similarity is that Jesus would care for his disciples just as a shepherd cares for his sheep. Jesus was not insulting his disciples when he compared them to sheep.</w:t>
      </w:r>
    </w:p>
    <w:p>
      <w:pPr/>
      <w:r>
        <w:rPr>
          <w:lang w:val="en_US" w:bidi="en_US"/>
        </w:rPr>
      </w:r>
      <w:r>
        <w:rPr>
          <w:lang w:val="en_US" w:bidi="en_US"/>
        </w:rPr>
        <w:t>In some languages a literal translation of this metaphor may be difficult to understand. Some other ways to translate it are:</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my small group of </w:t>
      </w:r>
      <w:r>
        <w:rPr>
          <w:lang w:val="en_US" w:bidi="en_US"/>
        </w:rPr>
        <w:t>disciples, you are like</w:t>
      </w:r>
      <w:r>
        <w:rPr>
          <w:lang w:val="en_US" w:bidi="en_US"/>
        </w:rPr>
        <w:t xml:space="preserve"> sheep</w:t>
      </w:r>
      <w:r>
        <w:rPr>
          <w:lang w:val="en_US" w:bidi="en_US"/>
        </w:rPr>
        <w:t xml:space="preserve">you are </w:t>
      </w:r>
      <w:r>
        <w:rPr>
          <w:lang w:val="en_US" w:bidi="en_US"/>
        </w:rPr>
        <w:t>few and weak like</w:t>
      </w:r>
      <w:r>
        <w:rPr>
          <w:lang w:val="en_US" w:bidi="en_US"/>
        </w:rPr>
        <w:t xml:space="preserve"> a small flock of sheep</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My little group of disciples (CEV)</w:t>
      </w:r>
    </w:p>
    <w:p>
      <w:pPr/>
      <w:r>
        <w:rPr>
          <w:lang w:val="en_US" w:bidi="en_US"/>
        </w:rPr>
      </w:r>
      <w:r>
        <w:rPr>
          <w:lang w:val="en_US" w:bidi="en_US"/>
        </w:rPr>
        <w:t>Since the metaphor of sheep is used throughout Scripture, you should try to keep the figure if possible. If it is not natural in your language, it is suggested that you add a footnote, giving the literal meaning and some explanation. For example:</w:t>
      </w:r>
    </w:p>
    <w:p>
      <w:pPr/>
      <w:r>
        <w:rPr>
          <w:lang w:val="en_US" w:bidi="en_US"/>
        </w:rPr>
      </w:r>
      <w:r>
        <w:rPr>
          <w:lang w:val="en_US" w:bidi="en_US"/>
        </w:rPr>
        <w:t>In Greek this is “small group of sheep.” Jesus is like a shepherd who takes care of his sheep. He takes care of his disciples. (See John 10:11–15).</w:t>
      </w:r>
    </w:p>
    <w:p>
      <w:pPr>
        <w:pStyle w:val="Heading6"/>
      </w:pPr>
      <w:r>
        <w:rPr>
          <w:b/>
          <w:lang w:val="en_US" w:bidi="en_US"/>
        </w:rPr>
        <w:t>General Comment on 12:32a</w:t>
      </w:r>
    </w:p>
    <w:p>
      <w:pPr/>
      <w:r>
        <w:rPr>
          <w:lang w:val="en_US" w:bidi="en_US"/>
        </w:rPr>
      </w:r>
      <w:r>
        <w:rPr>
          <w:lang w:val="en_US" w:bidi="en_US"/>
        </w:rPr>
        <w:t>In some languages it may be necessary to rearrange 12:32a so that the command “Do not be afraid” will connect more closely to the reason for the command in 12:32b. For example:</w:t>
      </w:r>
    </w:p>
    <w:p>
      <w:pPr/>
      <w:r>
        <w:rPr>
          <w:lang w:val="en_US" w:bidi="en_US"/>
        </w:rPr>
      </w:r>
      <w:r>
        <w:rPr>
          <w:lang w:val="en_US" w:bidi="en_US"/>
        </w:rPr>
        <w:t>You are a little flock. Do not be afraid, for your Father…</w:t>
      </w:r>
    </w:p>
    <w:p>
      <w:pPr>
        <w:pStyle w:val="Heading5"/>
      </w:pPr>
      <w:r>
        <w:rPr>
          <w:lang w:val="en_US" w:bidi="en_US"/>
        </w:rPr>
        <w:t>12:32b</w:t>
      </w:r>
    </w:p>
    <w:p>
      <w:pPr/>
      <w:r>
        <w:rPr>
          <w:lang w:val="en_US" w:bidi="en_US"/>
        </w:rPr>
      </w:r>
      <w:r>
        <w:rPr>
          <w:b/>
          <w:lang w:val="en_US" w:bidi="en_US"/>
        </w:rPr>
        <w:t>for your Father is pleased to give you the kingdom.</w:t>
      </w:r>
    </w:p>
    <w:p>
      <w:pPr>
        <w:pStyle w:val="ListBullet"/>
        <w:spacing w:line="240" w:lineRule="auto"/>
        <w:ind w:left="720"/>
      </w:pPr>
      <w:r>
        <w:rPr>
          <w:lang w:val="en_US" w:bidi="en_US"/>
        </w:rPr>
      </w:r>
      <w:r>
        <w:rPr>
          <w:lang w:val="en_US" w:bidi="en_US"/>
        </w:rPr>
        <w:t xml:space="preserve">because your </w:t>
      </w:r>
      <w:r>
        <w:rPr>
          <w:lang w:val="en_US" w:bidi="en_US"/>
        </w:rPr>
        <w:t>heavenly</w:t>
      </w:r>
      <w:r>
        <w:rPr>
          <w:lang w:val="en_US" w:bidi="en_US"/>
        </w:rPr>
        <w:t xml:space="preserve"> Father is happy to let you</w:t>
      </w:r>
      <w:r>
        <w:rPr>
          <w:vertAlign w:val="superscript"/>
          <w:lang w:val="en_US" w:bidi="en_US"/>
        </w:rPr>
        <w:t>(plur)</w:t>
      </w:r>
      <w:r>
        <w:rPr>
          <w:lang w:val="en_US" w:bidi="en_US"/>
        </w:rPr>
        <w:t xml:space="preserve"> share/live in his kingdom.</w:t>
      </w:r>
    </w:p>
    <w:p>
      <w:pPr>
        <w:pStyle w:val="ListBullet"/>
        <w:spacing w:line="240" w:lineRule="auto"/>
        <w:ind w:left="720"/>
      </w:pPr>
      <w:r>
        <w:rPr>
          <w:lang w:val="en_US" w:bidi="en_US"/>
        </w:rPr>
      </w:r>
      <w:r>
        <w:rPr>
          <w:lang w:val="en_US" w:bidi="en_US"/>
        </w:rPr>
        <w:t xml:space="preserve">Your Father </w:t>
      </w:r>
      <w:r>
        <w:rPr>
          <w:lang w:val="en_US" w:bidi="en_US"/>
        </w:rPr>
        <w:t>in heaven</w:t>
      </w:r>
      <w:r>
        <w:rPr>
          <w:lang w:val="en_US" w:bidi="en_US"/>
        </w:rPr>
        <w:t xml:space="preserve"> has gladly decided to give you</w:t>
      </w:r>
      <w:r>
        <w:rPr>
          <w:vertAlign w:val="superscript"/>
          <w:lang w:val="en_US" w:bidi="en_US"/>
        </w:rPr>
        <w:t>(plur)</w:t>
      </w:r>
      <w:r>
        <w:rPr>
          <w:lang w:val="en_US" w:bidi="en_US"/>
        </w:rPr>
        <w:t xml:space="preserve"> the </w:t>
      </w:r>
      <w:r>
        <w:rPr>
          <w:lang w:val="en_US" w:bidi="en_US"/>
        </w:rPr>
        <w:t>right to</w:t>
      </w:r>
      <w:r>
        <w:rPr>
          <w:lang w:val="en_US" w:bidi="en_US"/>
        </w:rPr>
        <w:t xml:space="preserve"> live under his rule.</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the reason the disciples should not be afraid.</w:t>
      </w:r>
    </w:p>
    <w:p>
      <w:pPr/>
      <w:r>
        <w:rPr>
          <w:lang w:val="en_US" w:bidi="en_US"/>
        </w:rPr>
      </w:r>
      <w:r>
        <w:rPr>
          <w:b/>
          <w:lang w:val="en_US" w:bidi="en_US"/>
        </w:rPr>
        <w:t>your Father is pleased:</w:t>
      </w:r>
      <w:r>
        <w:rPr>
          <w:lang w:val="en_US" w:bidi="en_US"/>
        </w:rPr>
        <w:t xml:space="preserve"> The Greek verb that the BSB translates as </w:t>
      </w:r>
      <w:r>
        <w:rPr>
          <w:i/>
          <w:lang w:val="en_US" w:bidi="en_US"/>
        </w:rPr>
        <w:t>is pleased</w:t>
      </w:r>
      <w:r>
        <w:rPr>
          <w:lang w:val="en_US" w:bidi="en_US"/>
        </w:rPr>
        <w:t xml:space="preserve"> is literally “has been pleased.” It indicates that God chose to do something, and he was pleased to do it. The verb does not indicate that God had stopped being pleased, so many English versions, including the BSB, use the present tense here. Other examples of this are:</w:t>
      </w:r>
    </w:p>
    <w:p>
      <w:pPr/>
      <w:r>
        <w:rPr>
          <w:lang w:val="en_US" w:bidi="en_US"/>
        </w:rPr>
      </w:r>
      <w:r>
        <w:rPr>
          <w:lang w:val="en_US" w:bidi="en_US"/>
        </w:rPr>
        <w:t>your Father is pleased (GW)</w:t>
      </w:r>
    </w:p>
    <w:p>
      <w:pPr/>
      <w:r>
        <w:rPr>
          <w:lang w:val="en_US" w:bidi="en_US"/>
        </w:rPr>
      </w:r>
      <w:r>
        <w:rPr>
          <w:lang w:val="en_US" w:bidi="en_US"/>
        </w:rPr>
        <w:t>it gives your Father great happiness (NLT)</w:t>
      </w:r>
    </w:p>
    <w:p>
      <w:pPr/>
      <w:r>
        <w:rPr>
          <w:lang w:val="en_US" w:bidi="en_US"/>
        </w:rPr>
      </w:r>
      <w:r>
        <w:rPr>
          <w:lang w:val="en_US" w:bidi="en_US"/>
        </w:rPr>
        <w:t>Other ways to translate this phrase are:</w:t>
      </w:r>
    </w:p>
    <w:p>
      <w:pPr/>
      <w:r>
        <w:rPr>
          <w:lang w:val="en_US" w:bidi="en_US"/>
        </w:rPr>
      </w:r>
      <w:r>
        <w:rPr>
          <w:lang w:val="en_US" w:bidi="en_US"/>
        </w:rPr>
        <w:t>your Father has chosen (REB)</w:t>
      </w:r>
    </w:p>
    <w:p>
      <w:pPr/>
      <w:r>
        <w:rPr>
          <w:lang w:val="en_US" w:bidi="en_US"/>
        </w:rPr>
      </w:r>
      <w:r>
        <w:rPr>
          <w:lang w:val="en_US" w:bidi="en_US"/>
        </w:rPr>
        <w:t>your Father gladly decided</w:t>
      </w:r>
    </w:p>
    <w:p>
      <w:pPr/>
      <w:r>
        <w:rPr>
          <w:lang w:val="en_US" w:bidi="en_US"/>
        </w:rPr>
      </w:r>
      <w:r>
        <w:rPr>
          <w:b/>
          <w:lang w:val="en_US" w:bidi="en_US"/>
        </w:rPr>
        <w:t>to give you the kingdom:</w:t>
      </w:r>
      <w:r>
        <w:rPr>
          <w:lang w:val="en_US" w:bidi="en_US"/>
        </w:rPr>
        <w:t xml:space="preserve"> In this context </w:t>
      </w:r>
      <w:r>
        <w:rPr>
          <w:i/>
          <w:lang w:val="en_US" w:bidi="en_US"/>
        </w:rPr>
        <w:t>to give you the kingdom</w:t>
      </w:r>
      <w:r>
        <w:rPr>
          <w:lang w:val="en_US" w:bidi="en_US"/>
        </w:rPr>
        <w:t xml:space="preserve"> means “to allow you to enter the kingdom of God” or “to allow you to live under God’s rule.” Other ways to translate this phrase are:</w:t>
      </w:r>
    </w:p>
    <w:p>
      <w:pPr/>
      <w:r>
        <w:rPr>
          <w:lang w:val="en_US" w:bidi="en_US"/>
        </w:rPr>
      </w:r>
      <w:r>
        <w:rPr>
          <w:lang w:val="en_US" w:bidi="en_US"/>
        </w:rPr>
        <w:t xml:space="preserve">to rule you </w:t>
      </w:r>
      <w:r>
        <w:rPr>
          <w:lang w:val="en_US" w:bidi="en_US"/>
        </w:rPr>
        <w:t>and provide for you</w:t>
      </w:r>
      <w:r>
        <w:rPr>
          <w:lang w:val="en_US" w:bidi="en_US"/>
        </w:rPr>
        <w:t xml:space="preserve"> as your King (TRT)</w:t>
      </w:r>
    </w:p>
    <w:p>
      <w:pPr/>
      <w:r>
        <w:rPr>
          <w:lang w:val="en_US" w:bidi="en_US"/>
        </w:rPr>
      </w:r>
      <w:r>
        <w:rPr>
          <w:lang w:val="en_US" w:bidi="en_US"/>
        </w:rPr>
        <w:t>to receive you among those he rules as King</w:t>
      </w:r>
      <w:r>
        <w:rPr>
          <w:lang w:val="en_US" w:bidi="en_US"/>
        </w:rPr>
      </w:r>
      <w:r>
        <w:rPr>
          <w:lang w:val="en_US" w:bidi="en_US"/>
        </w:rPr>
      </w:r>
    </w:p>
    <w:p>
      <w:pPr/>
      <w:r>
        <w:rPr>
          <w:lang w:val="en_US" w:bidi="en_US"/>
        </w:rPr>
      </w:r>
    </w:p>
    <w:p>
      <w:pPr>
        <w:pStyle w:val="Heading2"/>
      </w:pPr>
      <w:r>
        <w:rPr>
          <w:lang w:val="en_US" w:bidi="en_US"/>
        </w:rPr>
        <w:t>Luke 12:33</w:t>
      </w:r>
      <w:r>
        <w:rPr>
          <w:lang w:val="en_US" w:bidi="en_US"/>
        </w:rPr>
      </w:r>
    </w:p>
    <w:p>
      <w:pPr>
        <w:pStyle w:val="Heading4"/>
      </w:pPr>
      <w:r>
        <w:rPr>
          <w:lang w:val="en_US" w:bidi="en_US"/>
        </w:rPr>
        <w:t>Section 12:22–34: Jesus encouraged his disciples to trust God to care for them</w:t>
      </w:r>
    </w:p>
    <w:p>
      <w:pPr/>
      <w:r>
        <w:rPr>
          <w:lang w:val="en_US" w:bidi="en_US"/>
        </w:rPr>
      </w:r>
      <w:r>
        <w:rPr>
          <w:lang w:val="en_US" w:bidi="en_US"/>
        </w:rP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pPr/>
      <w:r>
        <w:rPr>
          <w:lang w:val="en_US" w:bidi="en_US"/>
        </w:rPr>
      </w:r>
      <w:r>
        <w:rPr>
          <w:lang w:val="en_US" w:bidi="en_US"/>
        </w:rPr>
        <w:t>Some other possible headings for this section are:</w:t>
      </w:r>
    </w:p>
    <w:p>
      <w:pPr/>
      <w:r>
        <w:rPr>
          <w:lang w:val="en_US" w:bidi="en_US"/>
        </w:rPr>
      </w:r>
      <w:r>
        <w:rPr>
          <w:lang w:val="en_US" w:bidi="en_US"/>
        </w:rPr>
        <w:t>God’s Care For Those Who Trust In Him</w:t>
      </w:r>
    </w:p>
    <w:p>
      <w:pPr/>
      <w:r>
        <w:rPr>
          <w:lang w:val="en_US" w:bidi="en_US"/>
        </w:rPr>
      </w:r>
      <w:r>
        <w:rPr>
          <w:lang w:val="en_US" w:bidi="en_US"/>
        </w:rPr>
        <w:t>Trust in God (GNT)</w:t>
      </w:r>
    </w:p>
    <w:p>
      <w:pPr/>
      <w:r>
        <w:rPr>
          <w:lang w:val="en_US" w:bidi="en_US"/>
        </w:rPr>
      </w:r>
      <w:r>
        <w:rPr>
          <w:lang w:val="en_US" w:bidi="en_US"/>
        </w:rPr>
        <w:t>Do not Worry (NIV)</w:t>
      </w:r>
    </w:p>
    <w:p>
      <w:pPr/>
      <w:r>
        <w:rPr>
          <w:lang w:val="en_US" w:bidi="en_US"/>
        </w:rPr>
      </w:r>
      <w:r>
        <w:rPr>
          <w:lang w:val="en_US" w:bidi="en_US"/>
        </w:rPr>
        <w:t>There is a parallel passage for this section in Matthew 6:25–34.</w:t>
      </w:r>
    </w:p>
    <w:p>
      <w:pPr>
        <w:pStyle w:val="Heading4"/>
      </w:pPr>
      <w:r>
        <w:rPr>
          <w:lang w:val="en_US" w:bidi="en_US"/>
        </w:rPr>
        <w:t>Paragraph 12:32–34</w:t>
      </w:r>
    </w:p>
    <w:p>
      <w:pPr/>
      <w:r>
        <w:rPr>
          <w:lang w:val="en_US" w:bidi="en_US"/>
        </w:rPr>
      </w:r>
      <w:r>
        <w:rPr>
          <w:lang w:val="en_US" w:bidi="en_US"/>
        </w:rPr>
        <w:t>This paragraph concludes Section 12:22–34. If you have a special way to introduce the conclusion of a section, you may want to use it here. For example:</w:t>
      </w:r>
    </w:p>
    <w:p>
      <w:pPr/>
      <w:r>
        <w:rPr>
          <w:lang w:val="en_US" w:bidi="en_US"/>
        </w:rPr>
      </w:r>
      <w:r>
        <w:rPr>
          <w:u w:val="single"/>
          <w:lang w:val="en_US" w:bidi="en_US"/>
        </w:rPr>
        <w:t>So</w:t>
      </w:r>
      <w:r>
        <w:rPr>
          <w:lang w:val="en_US" w:bidi="en_US"/>
        </w:rPr>
        <w:t xml:space="preserve"> don’t be afraid (NLT)</w:t>
      </w:r>
    </w:p>
    <w:p>
      <w:pPr>
        <w:pStyle w:val="Heading5"/>
      </w:pPr>
      <w:r>
        <w:rPr>
          <w:lang w:val="en_US" w:bidi="en_US"/>
        </w:rPr>
        <w:t>12:33a</w:t>
      </w:r>
    </w:p>
    <w:p>
      <w:pPr/>
      <w:r>
        <w:rPr>
          <w:lang w:val="en_US" w:bidi="en_US"/>
        </w:rPr>
      </w:r>
      <w:r>
        <w:rPr>
          <w:b/>
          <w:lang w:val="en_US" w:bidi="en_US"/>
        </w:rPr>
        <w:t>Sell your possessions and give to the poor.</w:t>
      </w:r>
    </w:p>
    <w:p>
      <w:pPr>
        <w:pStyle w:val="ListBullet"/>
        <w:spacing w:line="240" w:lineRule="auto"/>
        <w:ind w:left="720"/>
      </w:pPr>
      <w:r>
        <w:rPr>
          <w:lang w:val="en_US" w:bidi="en_US"/>
        </w:rPr>
      </w:r>
      <w:r>
        <w:rPr>
          <w:lang w:val="en_US" w:bidi="en_US"/>
        </w:rPr>
        <w:t>Sell the things you</w:t>
      </w:r>
      <w:r>
        <w:rPr>
          <w:vertAlign w:val="superscript"/>
          <w:lang w:val="en_US" w:bidi="en_US"/>
        </w:rPr>
        <w:t>(plur)</w:t>
      </w:r>
      <w:r>
        <w:rPr>
          <w:lang w:val="en_US" w:bidi="en_US"/>
        </w:rPr>
        <w:t xml:space="preserve"> own and give </w:t>
      </w:r>
      <w:r>
        <w:rPr>
          <w:lang w:val="en_US" w:bidi="en_US"/>
        </w:rPr>
        <w:t>the money</w:t>
      </w:r>
      <w:r>
        <w:rPr>
          <w:lang w:val="en_US" w:bidi="en_US"/>
        </w:rPr>
        <w:t xml:space="preserve"> to poor people.</w:t>
      </w:r>
    </w:p>
    <w:p>
      <w:pPr>
        <w:pStyle w:val="ListBullet"/>
        <w:spacing w:line="240" w:lineRule="auto"/>
        <w:ind w:left="720"/>
      </w:pPr>
      <w:r>
        <w:rPr>
          <w:lang w:val="en_US" w:bidi="en_US"/>
        </w:rPr>
      </w:r>
      <w:r>
        <w:rPr>
          <w:lang w:val="en_US" w:bidi="en_US"/>
        </w:rPr>
        <w:t>So</w:t>
      </w:r>
      <w:r>
        <w:rPr>
          <w:lang w:val="en_US" w:bidi="en_US"/>
        </w:rPr>
        <w:t xml:space="preserve"> sell what you</w:t>
      </w:r>
      <w:r>
        <w:rPr>
          <w:vertAlign w:val="superscript"/>
          <w:lang w:val="en_US" w:bidi="en_US"/>
        </w:rPr>
        <w:t>(plur)</w:t>
      </w:r>
      <w:r>
        <w:rPr>
          <w:lang w:val="en_US" w:bidi="en_US"/>
        </w:rPr>
        <w:t xml:space="preserve"> have and give </w:t>
      </w:r>
      <w:r>
        <w:rPr>
          <w:lang w:val="en_US" w:bidi="en_US"/>
        </w:rPr>
        <w:t>the money that you gain</w:t>
      </w:r>
      <w:r>
        <w:rPr>
          <w:lang w:val="en_US" w:bidi="en_US"/>
        </w:rPr>
        <w:t xml:space="preserve"> to those who do not have what they need.</w:t>
      </w:r>
    </w:p>
    <w:p>
      <w:pPr/>
      <w:r>
        <w:rPr>
          <w:lang w:val="en_US" w:bidi="en_US"/>
        </w:rPr>
      </w:r>
      <w:r>
        <w:rPr>
          <w:lang w:val="en_US" w:bidi="en_US"/>
        </w:rPr>
        <w:t>In the previous verse Jesus assured his disciples that God would care for them as their king. That gave his disciples the assurance they needed to do what Jesus told them here in 12:33. He advised them to share their possessions with the poor. If they did that, they would have lasting wealth in heaven.</w:t>
      </w:r>
    </w:p>
    <w:p>
      <w:pPr/>
      <w:r>
        <w:rPr>
          <w:lang w:val="en_US" w:bidi="en_US"/>
        </w:rPr>
      </w:r>
      <w:r>
        <w:rPr>
          <w:lang w:val="en_US" w:bidi="en_US"/>
        </w:rPr>
        <w:t>In some languages it may be natural to make the connection between 12:33 and the previous verse explicit. For example:</w:t>
      </w:r>
    </w:p>
    <w:p>
      <w:pPr/>
      <w:r>
        <w:rPr>
          <w:lang w:val="en_US" w:bidi="en_US"/>
        </w:rPr>
      </w:r>
      <w:r>
        <w:rPr>
          <w:lang w:val="en_US" w:bidi="en_US"/>
        </w:rPr>
        <w:t>Therefore/So</w:t>
      </w:r>
      <w:r>
        <w:rPr>
          <w:lang w:val="en_US" w:bidi="en_US"/>
        </w:rPr>
        <w:t xml:space="preserve"> sell… (TRT)</w:t>
      </w:r>
    </w:p>
    <w:p>
      <w:pPr/>
      <w:r>
        <w:rPr>
          <w:lang w:val="en_US" w:bidi="en_US"/>
        </w:rPr>
      </w:r>
      <w:r>
        <w:rPr>
          <w:b/>
          <w:lang w:val="en_US" w:bidi="en_US"/>
        </w:rPr>
        <w:t>Sell your possessions:</w:t>
      </w:r>
      <w:r>
        <w:rPr>
          <w:lang w:val="en_US" w:bidi="en_US"/>
        </w:rPr>
        <w:t xml:space="preserve"> </w:t>
      </w:r>
      <w:r>
        <w:rPr>
          <w:i/>
          <w:lang w:val="en_US" w:bidi="en_US"/>
        </w:rPr>
        <w:t>Sell your possessions</w:t>
      </w:r>
      <w:r>
        <w:rPr>
          <w:lang w:val="en_US" w:bidi="en_US"/>
        </w:rPr>
        <w:t xml:space="preserve"> means “sell the things you own.” Jesus did not say how many of their possessions the disciples were to sell, and you should not attempt to supply this information.</w:t>
      </w:r>
    </w:p>
    <w:p>
      <w:pPr/>
      <w:r>
        <w:rPr>
          <w:lang w:val="en_US" w:bidi="en_US"/>
        </w:rPr>
      </w:r>
      <w:r>
        <w:rPr>
          <w:b/>
          <w:lang w:val="en_US" w:bidi="en_US"/>
        </w:rPr>
        <w:t>and give to the poor:</w:t>
      </w:r>
      <w:r>
        <w:rPr>
          <w:lang w:val="en_US" w:bidi="en_US"/>
        </w:rPr>
        <w:t xml:space="preserve"> The Greek phrase that the BSB translates as </w:t>
      </w:r>
      <w:r>
        <w:rPr>
          <w:i/>
          <w:lang w:val="en_US" w:bidi="en_US"/>
        </w:rPr>
        <w:t>give to the poor</w:t>
      </w:r>
      <w:r>
        <w:rPr>
          <w:lang w:val="en_US" w:bidi="en_US"/>
        </w:rPr>
        <w:t xml:space="preserve"> is literally “give alms.” Several English versions, such as the NKJV and NRSV, translate it that way here. The same expression also occurs in 11:41a, where the BSB translates it as “give…alms.” It means to give money to someone in need. In this context it is implied that the disciples would give the money that they got from selling their possessions. In some languages it may be necessary to make this information explicit. For example:</w:t>
      </w:r>
    </w:p>
    <w:p>
      <w:pPr/>
      <w:r>
        <w:rPr>
          <w:lang w:val="en_US" w:bidi="en_US"/>
        </w:rPr>
      </w:r>
      <w:r>
        <w:rPr>
          <w:lang w:val="en_US" w:bidi="en_US"/>
        </w:rPr>
        <w:t>give the money to the poor (GW)</w:t>
      </w:r>
    </w:p>
    <w:p>
      <w:pPr>
        <w:pStyle w:val="Heading5"/>
      </w:pPr>
      <w:r>
        <w:rPr>
          <w:lang w:val="en_US" w:bidi="en_US"/>
        </w:rPr>
        <w:t>12:33b</w:t>
      </w:r>
    </w:p>
    <w:p>
      <w:pPr/>
      <w:r>
        <w:rPr>
          <w:lang w:val="en_US" w:bidi="en_US"/>
        </w:rPr>
      </w:r>
      <w:r>
        <w:rPr>
          <w:b/>
          <w:lang w:val="en_US" w:bidi="en_US"/>
        </w:rPr>
        <w:t>Provide yourselves with purses that will not wear out,</w:t>
      </w:r>
    </w:p>
    <w:p>
      <w:pPr>
        <w:pStyle w:val="ListBullet"/>
        <w:spacing w:line="240" w:lineRule="auto"/>
        <w:ind w:left="720"/>
      </w:pPr>
      <w:r>
        <w:rPr>
          <w:lang w:val="en_US" w:bidi="en_US"/>
        </w:rPr>
      </w:r>
      <w:r>
        <w:rPr>
          <w:lang w:val="en_US" w:bidi="en_US"/>
        </w:rPr>
        <w:t>Get/make for yourselves the sort of money bags/belts that do not grow old/useless.</w:t>
      </w:r>
    </w:p>
    <w:p>
      <w:pPr>
        <w:pStyle w:val="ListBullet"/>
        <w:spacing w:line="240" w:lineRule="auto"/>
        <w:ind w:left="720"/>
      </w:pPr>
      <w:r>
        <w:rPr>
          <w:lang w:val="en_US" w:bidi="en_US"/>
        </w:rPr>
      </w:r>
      <w:r>
        <w:rPr>
          <w:lang w:val="en_US" w:bidi="en_US"/>
        </w:rPr>
        <w:t>In this way, you will</w:t>
      </w:r>
      <w:r>
        <w:rPr>
          <w:lang w:val="en_US" w:bidi="en_US"/>
        </w:rPr>
        <w:t xml:space="preserve"> provide for yourselves </w:t>
      </w:r>
      <w:r>
        <w:rPr>
          <w:lang w:val="en_US" w:bidi="en_US"/>
        </w:rPr>
        <w:t>the kind of wealth</w:t>
      </w:r>
      <w:r>
        <w:rPr>
          <w:lang w:val="en_US" w:bidi="en_US"/>
        </w:rPr>
        <w:t xml:space="preserve"> that will last forever.</w:t>
      </w:r>
    </w:p>
    <w:p>
      <w:pPr/>
      <w:r>
        <w:rPr>
          <w:lang w:val="en_US" w:bidi="en_US"/>
        </w:rPr>
      </w:r>
      <w:r>
        <w:rPr>
          <w:lang w:val="en_US" w:bidi="en_US"/>
        </w:rPr>
        <w:t>The text implies a connection between 12:33a and 12:33b. When the disciples give money to the poor as Jesus said in 12:33a, they will be gaining purses that will not wear out. In some languages it may be helpful to make this connection explicit. For example:</w:t>
      </w:r>
    </w:p>
    <w:p>
      <w:pPr/>
      <w:r>
        <w:rPr>
          <w:lang w:val="en_US" w:bidi="en_US"/>
        </w:rPr>
      </w:r>
      <w:r>
        <w:rPr>
          <w:lang w:val="en_US" w:bidi="en_US"/>
        </w:rPr>
        <w:t>In this way, you will provide purses…</w:t>
      </w:r>
    </w:p>
    <w:p>
      <w:pPr/>
      <w:r>
        <w:rPr>
          <w:lang w:val="en_US" w:bidi="en_US"/>
        </w:rPr>
      </w:r>
      <w:r>
        <w:rPr>
          <w:b/>
          <w:lang w:val="en_US" w:bidi="en_US"/>
        </w:rPr>
        <w:t>Provide yourselves with purses that will not wear out:</w:t>
      </w:r>
      <w:r>
        <w:rPr>
          <w:lang w:val="en_US" w:bidi="en_US"/>
        </w:rPr>
        <w:t xml:space="preserve"> This is a figure of speech. Jesus was using </w:t>
      </w:r>
      <w:r>
        <w:rPr>
          <w:i/>
          <w:lang w:val="en_US" w:bidi="en_US"/>
        </w:rPr>
        <w:t>purses that will not wear out</w:t>
      </w:r>
      <w:r>
        <w:rPr>
          <w:lang w:val="en_US" w:bidi="en_US"/>
        </w:rPr>
        <w:t xml:space="preserve"> as a figure of speech to talk about wealth that will not be used up.</w:t>
      </w:r>
    </w:p>
    <w:p>
      <w:pPr/>
      <w:r>
        <w:rPr>
          <w:lang w:val="en_US" w:bidi="en_US"/>
        </w:rPr>
      </w:r>
      <w:r>
        <w:rPr>
          <w:lang w:val="en_US" w:bidi="en_US"/>
        </w:rPr>
        <w:t xml:space="preserve">In some languages the figurative meaning of purses may not be clear. It may be necessary to translate this part of the verse without using the figure of </w:t>
      </w:r>
      <w:r>
        <w:rPr>
          <w:i/>
          <w:lang w:val="en_US" w:bidi="en_US"/>
        </w:rPr>
        <w:t>purses</w:t>
      </w:r>
      <w:r>
        <w:rPr>
          <w:lang w:val="en_US" w:bidi="en_US"/>
        </w:rPr>
        <w:t>. For example:</w:t>
      </w:r>
    </w:p>
    <w:p>
      <w:pPr/>
      <w:r>
        <w:rPr>
          <w:lang w:val="en_US" w:bidi="en_US"/>
        </w:rPr>
      </w:r>
      <w:r>
        <w:rPr>
          <w:lang w:val="en_US" w:bidi="en_US"/>
        </w:rPr>
        <w:t>Provide/Prepare for yourselves the kind of riches that will never disappear/decrease</w:t>
      </w:r>
    </w:p>
    <w:p>
      <w:pPr/>
      <w:r>
        <w:rPr>
          <w:lang w:val="en_US" w:bidi="en_US"/>
        </w:rPr>
      </w:r>
      <w:r>
        <w:rPr>
          <w:b/>
          <w:lang w:val="en_US" w:bidi="en_US"/>
        </w:rPr>
        <w:t>purses:</w:t>
      </w:r>
      <w:r>
        <w:rPr>
          <w:lang w:val="en_US" w:bidi="en_US"/>
        </w:rPr>
        <w:t xml:space="preserve"> In this context the word </w:t>
      </w:r>
      <w:r>
        <w:rPr>
          <w:i/>
          <w:lang w:val="en_US" w:bidi="en_US"/>
        </w:rPr>
        <w:t>purses</w:t>
      </w:r>
      <w:r>
        <w:rPr>
          <w:lang w:val="en_US" w:bidi="en_US"/>
        </w:rPr>
        <w:t xml:space="preserve"> refers to the contents of the purses. The kind of purses that are referred to here were small bags or pouches made of leather or fabric. The same word was used in 10:4. Both men and women carried money in these bags. In modern English, a purse generally refers to a bag that a woman carries. In your translation, use a word for something that both men and women use to carry money. For example:</w:t>
      </w:r>
    </w:p>
    <w:p>
      <w:pPr/>
      <w:r>
        <w:rPr>
          <w:lang w:val="en_US" w:bidi="en_US"/>
        </w:rPr>
      </w:r>
      <w:r>
        <w:rPr>
          <w:lang w:val="en_US" w:bidi="en_US"/>
        </w:rPr>
        <w:t>moneybags (CEV)</w:t>
      </w:r>
    </w:p>
    <w:p>
      <w:pPr/>
      <w:r>
        <w:rPr>
          <w:lang w:val="en_US" w:bidi="en_US"/>
        </w:rPr>
      </w:r>
      <w:r>
        <w:rPr>
          <w:lang w:val="en_US" w:bidi="en_US"/>
        </w:rPr>
        <w:t>wallets (GW)</w:t>
      </w:r>
    </w:p>
    <w:p>
      <w:pPr/>
      <w:r>
        <w:rPr>
          <w:lang w:val="en_US" w:bidi="en_US"/>
        </w:rPr>
      </w:r>
      <w:r>
        <w:rPr>
          <w:lang w:val="en_US" w:bidi="en_US"/>
        </w:rPr>
        <w:t>money belt/container</w:t>
      </w:r>
    </w:p>
    <w:p>
      <w:pPr/>
      <w:r>
        <w:rPr>
          <w:lang w:val="en_US" w:bidi="en_US"/>
        </w:rPr>
      </w:r>
      <w:r>
        <w:rPr>
          <w:b/>
          <w:lang w:val="en_US" w:bidi="en_US"/>
        </w:rPr>
        <w:t>wear out:</w:t>
      </w:r>
      <w:r>
        <w:rPr>
          <w:lang w:val="en_US" w:bidi="en_US"/>
        </w:rPr>
        <w:t xml:space="preserve"> The Greek verb that the BSB translates as </w:t>
      </w:r>
      <w:r>
        <w:rPr>
          <w:i/>
          <w:lang w:val="en_US" w:bidi="en_US"/>
        </w:rPr>
        <w:t>wear out</w:t>
      </w:r>
      <w:r>
        <w:rPr>
          <w:lang w:val="en_US" w:bidi="en_US"/>
        </w:rPr>
        <w:t xml:space="preserve"> is literally “grow old.” Several English versions, such as the ESV and CSB, translate it that way. When purses wear out, they get holes in them and are no longer useful for carrying money. For example:</w:t>
      </w:r>
    </w:p>
    <w:p>
      <w:pPr/>
      <w:r>
        <w:rPr>
          <w:lang w:val="en_US" w:bidi="en_US"/>
        </w:rPr>
      </w:r>
      <w:r>
        <w:rPr>
          <w:lang w:val="en_US" w:bidi="en_US"/>
        </w:rPr>
        <w:t>never get old or develop holes (NLT)</w:t>
      </w:r>
    </w:p>
    <w:p>
      <w:pPr>
        <w:pStyle w:val="Heading5"/>
      </w:pPr>
      <w:r>
        <w:rPr>
          <w:lang w:val="en_US" w:bidi="en_US"/>
        </w:rPr>
        <w:t>12:33c</w:t>
      </w:r>
    </w:p>
    <w:p>
      <w:pPr/>
      <w:r>
        <w:rPr>
          <w:lang w:val="en_US" w:bidi="en_US"/>
        </w:rPr>
      </w:r>
      <w:r>
        <w:rPr>
          <w:b/>
          <w:lang w:val="en_US" w:bidi="en_US"/>
        </w:rPr>
        <w:t>an inexhaustible treasure in heaven,</w:t>
      </w:r>
    </w:p>
    <w:p>
      <w:pPr>
        <w:pStyle w:val="ListBullet"/>
        <w:spacing w:line="240" w:lineRule="auto"/>
        <w:ind w:left="720"/>
      </w:pPr>
      <w:r>
        <w:rPr>
          <w:lang w:val="en_US" w:bidi="en_US"/>
        </w:rPr>
      </w:r>
      <w:r>
        <w:rPr>
          <w:lang w:val="en_US" w:bidi="en_US"/>
        </w:rPr>
        <w:t>I am speaking of</w:t>
      </w:r>
      <w:r>
        <w:rPr>
          <w:lang w:val="en_US" w:bidi="en_US"/>
        </w:rPr>
        <w:t xml:space="preserve"> riches in heaven. That sort of riches will never decrease/disappear.</w:t>
      </w:r>
    </w:p>
    <w:p>
      <w:pPr>
        <w:pStyle w:val="ListBullet"/>
        <w:spacing w:line="240" w:lineRule="auto"/>
        <w:ind w:left="720"/>
      </w:pPr>
      <w:r>
        <w:rPr>
          <w:lang w:val="en_US" w:bidi="en_US"/>
        </w:rPr>
      </w:r>
      <w:r>
        <w:rPr>
          <w:lang w:val="en_US" w:bidi="en_US"/>
        </w:rPr>
        <w:t xml:space="preserve">It is </w:t>
      </w:r>
      <w:r>
        <w:rPr>
          <w:lang w:val="en_US" w:bidi="en_US"/>
        </w:rPr>
        <w:t>spiritual</w:t>
      </w:r>
      <w:r>
        <w:rPr>
          <w:lang w:val="en_US" w:bidi="en_US"/>
        </w:rPr>
        <w:t xml:space="preserve"> treasure/wealth in heaven, and it will never be used up.</w:t>
      </w:r>
    </w:p>
    <w:p>
      <w:pPr/>
      <w:r>
        <w:rPr>
          <w:lang w:val="en_US" w:bidi="en_US"/>
        </w:rPr>
      </w:r>
      <w:r>
        <w:rPr>
          <w:b/>
          <w:lang w:val="en_US" w:bidi="en_US"/>
        </w:rPr>
        <w:t>an inexhaustible treasure in heaven:</w:t>
      </w:r>
      <w:r>
        <w:rPr>
          <w:lang w:val="en_US" w:bidi="en_US"/>
        </w:rPr>
        <w:t xml:space="preserve"> The phrase </w:t>
      </w:r>
      <w:r>
        <w:rPr>
          <w:i/>
          <w:lang w:val="en_US" w:bidi="en_US"/>
        </w:rPr>
        <w:t>an inexhaustible treasure in heaven</w:t>
      </w:r>
      <w:r>
        <w:rPr>
          <w:lang w:val="en_US" w:bidi="en_US"/>
        </w:rPr>
        <w:t xml:space="preserve"> explains the meaning of “purses that will not wear out” in the previous verse part. Such purses are equivalent to spiritual treasure in heaven. The text does not say what that treasure is. It probably refers to spiritual blessings rather than literal money.</w:t>
      </w:r>
      <w:r>
        <w:rPr>
          <w:lang w:val="en_US" w:bidi="en_US"/>
        </w:rPr>
        <w:t>According to Marshall (pp. 531–32), this treasure refers to spiritual blessings that God gives in heaven. These spiritual blessings contrast with material wealth.</w:t>
      </w:r>
      <w:r>
        <w:rPr>
          <w:lang w:val="en_US" w:bidi="en_US"/>
        </w:rPr>
        <w:t xml:space="preserve"> In some languages it may be possible to avoid a wrong meaning by using a phrase such as:</w:t>
      </w:r>
    </w:p>
    <w:p>
      <w:pPr/>
      <w:r>
        <w:rPr>
          <w:lang w:val="en_US" w:bidi="en_US"/>
        </w:rPr>
      </w:r>
      <w:r>
        <w:rPr>
          <w:lang w:val="en_US" w:bidi="en_US"/>
        </w:rPr>
        <w:t>spiritual/heavenly</w:t>
      </w:r>
      <w:r>
        <w:rPr>
          <w:lang w:val="en_US" w:bidi="en_US"/>
        </w:rPr>
        <w:t xml:space="preserve"> treasure</w:t>
      </w:r>
    </w:p>
    <w:p>
      <w:pPr/>
      <w:r>
        <w:rPr>
          <w:lang w:val="en_US" w:bidi="en_US"/>
        </w:rPr>
      </w:r>
      <w:r>
        <w:rPr>
          <w:b/>
          <w:lang w:val="en_US" w:bidi="en_US"/>
        </w:rPr>
        <w:t>inexhaustible:</w:t>
      </w:r>
      <w:r>
        <w:rPr>
          <w:lang w:val="en_US" w:bidi="en_US"/>
        </w:rPr>
        <w:t xml:space="preserve"> The Greek adjective that the BSB translates as </w:t>
      </w:r>
      <w:r>
        <w:rPr>
          <w:i/>
          <w:lang w:val="en_US" w:bidi="en_US"/>
        </w:rPr>
        <w:t>inexhaustible</w:t>
      </w:r>
      <w:r>
        <w:rPr>
          <w:lang w:val="en_US" w:bidi="en_US"/>
        </w:rPr>
        <w:t xml:space="preserve"> is literally “unfailing.” It refers here to wealth that will never decrease or be used up. Other ways to translate this verb are:</w:t>
      </w:r>
    </w:p>
    <w:p>
      <w:pPr/>
      <w:r>
        <w:rPr>
          <w:lang w:val="en_US" w:bidi="en_US"/>
        </w:rPr>
      </w:r>
      <w:r>
        <w:rPr>
          <w:lang w:val="en_US" w:bidi="en_US"/>
        </w:rPr>
        <w:t>will never decrease (GNT)</w:t>
      </w:r>
    </w:p>
    <w:p>
      <w:pPr/>
      <w:r>
        <w:rPr>
          <w:lang w:val="en_US" w:bidi="en_US"/>
        </w:rPr>
      </w:r>
      <w:r>
        <w:rPr>
          <w:lang w:val="en_US" w:bidi="en_US"/>
        </w:rPr>
        <w:t>will be safe (NLT)</w:t>
      </w:r>
    </w:p>
    <w:p>
      <w:pPr/>
      <w:r>
        <w:rPr>
          <w:lang w:val="en_US" w:bidi="en_US"/>
        </w:rPr>
      </w:r>
      <w:r>
        <w:rPr>
          <w:lang w:val="en_US" w:bidi="en_US"/>
        </w:rPr>
        <w:t>never loses its value (GW)</w:t>
      </w:r>
    </w:p>
    <w:p>
      <w:pPr/>
      <w:r>
        <w:rPr>
          <w:lang w:val="en_US" w:bidi="en_US"/>
        </w:rPr>
      </w:r>
      <w:r>
        <w:rPr>
          <w:b/>
          <w:lang w:val="en_US" w:bidi="en_US"/>
        </w:rPr>
        <w:t>heaven:</w:t>
      </w:r>
      <w:r>
        <w:rPr>
          <w:lang w:val="en_US" w:bidi="en_US"/>
        </w:rPr>
        <w:t xml:space="preserve"> Here the word </w:t>
      </w:r>
      <w:r>
        <w:rPr>
          <w:i/>
          <w:lang w:val="en_US" w:bidi="en_US"/>
        </w:rPr>
        <w:t>heaven</w:t>
      </w:r>
      <w:r>
        <w:rPr>
          <w:lang w:val="en_US" w:bidi="en_US"/>
        </w:rPr>
        <w:t xml:space="preserve"> refers to the place where God lives. Jesus also spoke of heaven as the place where believers will live with God after they die. See heaven, Meaning 2, in the Glossary.</w:t>
      </w:r>
    </w:p>
    <w:p>
      <w:pPr>
        <w:pStyle w:val="Heading6"/>
      </w:pPr>
      <w:r>
        <w:rPr>
          <w:b/>
          <w:lang w:val="en_US" w:bidi="en_US"/>
        </w:rPr>
        <w:t>General Comment on 12:33b–c</w:t>
      </w:r>
    </w:p>
    <w:p>
      <w:pPr/>
      <w:r>
        <w:rPr>
          <w:lang w:val="en_US" w:bidi="en_US"/>
        </w:rPr>
      </w:r>
      <w:r>
        <w:rPr>
          <w:lang w:val="en_US" w:bidi="en_US"/>
        </w:rPr>
        <w:t>In some languages it may be clearer to reorder the parts of this verse so that “treasure in heaven” is mentioned before “purses.” For example:</w:t>
      </w:r>
    </w:p>
    <w:p>
      <w:pPr/>
      <w:r>
        <w:rPr>
          <w:lang w:val="en_US" w:bidi="en_US"/>
        </w:rPr>
      </w:r>
      <w:r>
        <w:rPr>
          <w:lang w:val="en_US" w:bidi="en_US"/>
        </w:rPr>
        <w:t>Store up treasure for yourselves in heaven. Heavenly purses never wear out and their contents never disappear.</w:t>
      </w:r>
    </w:p>
    <w:p>
      <w:pPr>
        <w:pStyle w:val="Heading5"/>
      </w:pPr>
      <w:r>
        <w:rPr>
          <w:lang w:val="en_US" w:bidi="en_US"/>
        </w:rPr>
        <w:t>12:33d</w:t>
      </w:r>
    </w:p>
    <w:p>
      <w:pPr/>
      <w:r>
        <w:rPr>
          <w:lang w:val="en_US" w:bidi="en_US"/>
        </w:rPr>
      </w:r>
      <w:r>
        <w:rPr>
          <w:b/>
          <w:lang w:val="en_US" w:bidi="en_US"/>
        </w:rPr>
        <w:t>where no thief approaches</w:t>
      </w:r>
    </w:p>
    <w:p>
      <w:pPr>
        <w:pStyle w:val="ListBullet"/>
        <w:spacing w:line="240" w:lineRule="auto"/>
        <w:ind w:left="720"/>
      </w:pPr>
      <w:r>
        <w:rPr>
          <w:lang w:val="en_US" w:bidi="en_US"/>
        </w:rPr>
      </w:r>
      <w:r>
        <w:rPr>
          <w:lang w:val="en_US" w:bidi="en_US"/>
        </w:rPr>
        <w:t xml:space="preserve">No one </w:t>
      </w:r>
      <w:r>
        <w:rPr>
          <w:lang w:val="en_US" w:bidi="en_US"/>
        </w:rPr>
        <w:t>can</w:t>
      </w:r>
      <w:r>
        <w:rPr>
          <w:lang w:val="en_US" w:bidi="en_US"/>
        </w:rPr>
        <w:t xml:space="preserve"> come there to steal them,</w:t>
      </w:r>
    </w:p>
    <w:p>
      <w:pPr>
        <w:pStyle w:val="ListBullet"/>
        <w:spacing w:line="240" w:lineRule="auto"/>
        <w:ind w:left="720"/>
      </w:pPr>
      <w:r>
        <w:rPr>
          <w:lang w:val="en_US" w:bidi="en_US"/>
        </w:rPr>
      </w:r>
      <w:r>
        <w:rPr>
          <w:lang w:val="en_US" w:bidi="en_US"/>
        </w:rPr>
        <w:t>No thief approaches it,</w:t>
      </w:r>
    </w:p>
    <w:p>
      <w:pPr/>
      <w:r>
        <w:rPr>
          <w:lang w:val="en_US" w:bidi="en_US"/>
        </w:rPr>
      </w:r>
      <w:r>
        <w:rPr>
          <w:b/>
          <w:lang w:val="en_US" w:bidi="en_US"/>
        </w:rPr>
        <w:t>where no thief approaches:</w:t>
      </w:r>
      <w:r>
        <w:rPr>
          <w:lang w:val="en_US" w:bidi="en_US"/>
        </w:rPr>
        <w:t xml:space="preserve"> The phrase that the BSB translates as </w:t>
      </w:r>
      <w:r>
        <w:rPr>
          <w:i/>
          <w:lang w:val="en_US" w:bidi="en_US"/>
        </w:rPr>
        <w:t>where no thief approaches</w:t>
      </w:r>
      <w:r>
        <w:rPr>
          <w:lang w:val="en_US" w:bidi="en_US"/>
        </w:rPr>
        <w:t xml:space="preserve"> refers to heaven, where a thief cannot approach the riches to steal them.</w:t>
      </w:r>
    </w:p>
    <w:p>
      <w:pPr/>
      <w:r>
        <w:rPr>
          <w:lang w:val="en_US" w:bidi="en_US"/>
        </w:rPr>
      </w:r>
      <w:r>
        <w:rPr>
          <w:b/>
          <w:lang w:val="en_US" w:bidi="en_US"/>
        </w:rPr>
        <w:t>and no moth destroys:</w:t>
      </w:r>
      <w:r>
        <w:rPr>
          <w:lang w:val="en_US" w:bidi="en_US"/>
        </w:rPr>
        <w:t xml:space="preserve"> A moth can eat holes in earthly clothes and destroy them. But the moth cannot harm riches that are stored in heaven. Perhaps Jesus mentioned moths here because he had already talked about clothes in 12:27–28.</w:t>
      </w:r>
    </w:p>
    <w:p>
      <w:pPr/>
      <w:r>
        <w:rPr>
          <w:lang w:val="en_US" w:bidi="en_US"/>
        </w:rPr>
      </w:r>
      <w:r>
        <w:rPr>
          <w:b/>
          <w:lang w:val="en_US" w:bidi="en_US"/>
        </w:rPr>
        <w:t>moth:</w:t>
      </w:r>
      <w:r>
        <w:rPr>
          <w:lang w:val="en_US" w:bidi="en_US"/>
        </w:rPr>
        <w:t xml:space="preserve"> A </w:t>
      </w:r>
      <w:r>
        <w:rPr>
          <w:i/>
          <w:lang w:val="en_US" w:bidi="en_US"/>
        </w:rPr>
        <w:t>moth</w:t>
      </w:r>
      <w:r>
        <w:rPr>
          <w:lang w:val="en_US" w:bidi="en_US"/>
        </w:rPr>
        <w:t xml:space="preserve"> is a flying insect that eats cloth or chews holes in cloth. If you do not have moths in your language area, other ways to translate it are:</w:t>
      </w:r>
    </w:p>
    <w:p>
      <w:pPr>
        <w:pStyle w:val="ListBullet"/>
        <w:spacing w:line="240" w:lineRule="auto"/>
        <w:ind w:left="720"/>
      </w:pPr>
      <w:r>
        <w:rPr>
          <w:lang w:val="en_US" w:bidi="en_US"/>
        </w:rPr>
      </w:r>
      <w:r>
        <w:rPr>
          <w:lang w:val="en_US" w:bidi="en_US"/>
        </w:rPr>
        <w:t>Use a word for another insect that can destroy clothing. For example:</w:t>
      </w:r>
      <w:r>
        <w:rPr>
          <w:lang w:val="en_US" w:bidi="en_US"/>
        </w:rPr>
        <w:t>termite/cricket</w:t>
      </w:r>
    </w:p>
    <w:p>
      <w:pPr>
        <w:pStyle w:val="ListBullet"/>
        <w:spacing w:line="240" w:lineRule="auto"/>
        <w:ind w:left="720"/>
      </w:pPr>
      <w:r>
        <w:rPr>
          <w:lang w:val="en_US" w:bidi="en_US"/>
        </w:rPr>
      </w:r>
      <w:r>
        <w:rPr>
          <w:lang w:val="en_US" w:bidi="en_US"/>
        </w:rPr>
        <w:t>Use a more general expression. For example:</w:t>
      </w:r>
      <w:r>
        <w:rPr>
          <w:lang w:val="en_US" w:bidi="en_US"/>
        </w:rPr>
        <w:t>chewing insect</w:t>
      </w:r>
    </w:p>
    <w:p>
      <w:pPr/>
      <w:r>
        <w:rPr>
          <w:lang w:val="en_US" w:bidi="en_US"/>
        </w:rPr>
      </w:r>
      <w:r>
        <w:rPr>
          <w:lang w:val="en_US" w:bidi="en_US"/>
        </w:rPr>
        <w:t>Translate this term in a way that is natural in your language.</w:t>
      </w:r>
    </w:p>
    <w:p>
      <w:pPr>
        <w:pStyle w:val="Heading5"/>
      </w:pPr>
      <w:r>
        <w:rPr>
          <w:lang w:val="en_US" w:bidi="en_US"/>
        </w:rPr>
        <w:t>12:33e</w:t>
      </w:r>
    </w:p>
    <w:p>
      <w:pPr/>
      <w:r>
        <w:rPr>
          <w:lang w:val="en_US" w:bidi="en_US"/>
        </w:rPr>
      </w:r>
      <w:r>
        <w:rPr>
          <w:b/>
          <w:lang w:val="en_US" w:bidi="en_US"/>
        </w:rPr>
        <w:t>and no moth destroys.</w:t>
      </w:r>
    </w:p>
    <w:p>
      <w:pPr>
        <w:pStyle w:val="ListBullet"/>
        <w:spacing w:line="240" w:lineRule="auto"/>
        <w:ind w:left="720"/>
      </w:pPr>
      <w:r>
        <w:rPr>
          <w:lang w:val="en_US" w:bidi="en_US"/>
        </w:rPr>
      </w:r>
      <w:r>
        <w:rPr>
          <w:lang w:val="en_US" w:bidi="en_US"/>
        </w:rPr>
        <w:t xml:space="preserve">and no moth/insect </w:t>
      </w:r>
      <w:r>
        <w:rPr>
          <w:lang w:val="en_US" w:bidi="en_US"/>
        </w:rPr>
        <w:t>can</w:t>
      </w:r>
      <w:r>
        <w:rPr>
          <w:lang w:val="en_US" w:bidi="en_US"/>
        </w:rPr>
        <w:t xml:space="preserve"> destroy/eat them.</w:t>
      </w:r>
    </w:p>
    <w:p>
      <w:pPr>
        <w:pStyle w:val="ListBullet"/>
        <w:spacing w:line="240" w:lineRule="auto"/>
        <w:ind w:left="720"/>
      </w:pPr>
      <w:r>
        <w:rPr>
          <w:lang w:val="en_US" w:bidi="en_US"/>
        </w:rPr>
      </w:r>
      <w:r>
        <w:rPr>
          <w:lang w:val="en_US" w:bidi="en_US"/>
        </w:rPr>
        <w:t xml:space="preserve">and nothing </w:t>
      </w:r>
      <w:r>
        <w:rPr>
          <w:lang w:val="en_US" w:bidi="en_US"/>
        </w:rPr>
        <w:t>spoils or</w:t>
      </w:r>
      <w:r>
        <w:rPr>
          <w:lang w:val="en_US" w:bidi="en_US"/>
        </w:rPr>
        <w:t xml:space="preserve"> destroys it.</w:t>
      </w:r>
      <w:r>
        <w:rPr>
          <w:lang w:val="en_US" w:bidi="en_US"/>
        </w:rPr>
      </w:r>
      <w:r>
        <w:rPr>
          <w:lang w:val="en_US" w:bidi="en_US"/>
        </w:rPr>
      </w:r>
    </w:p>
    <w:p>
      <w:pPr/>
      <w:r>
        <w:rPr>
          <w:lang w:val="en_US" w:bidi="en_US"/>
        </w:rPr>
      </w:r>
    </w:p>
    <w:p>
      <w:pPr>
        <w:pStyle w:val="Heading2"/>
      </w:pPr>
      <w:r>
        <w:rPr>
          <w:lang w:val="en_US" w:bidi="en_US"/>
        </w:rPr>
        <w:t>Luke 12:34</w:t>
      </w:r>
      <w:r>
        <w:rPr>
          <w:lang w:val="en_US" w:bidi="en_US"/>
        </w:rPr>
      </w:r>
    </w:p>
    <w:p>
      <w:pPr>
        <w:pStyle w:val="Heading4"/>
      </w:pPr>
      <w:r>
        <w:rPr>
          <w:lang w:val="en_US" w:bidi="en_US"/>
        </w:rPr>
        <w:t>Section 12:22–34: Jesus encouraged his disciples to trust God to care for them</w:t>
      </w:r>
    </w:p>
    <w:p>
      <w:pPr/>
      <w:r>
        <w:rPr>
          <w:lang w:val="en_US" w:bidi="en_US"/>
        </w:rPr>
      </w:r>
      <w:r>
        <w:rPr>
          <w:lang w:val="en_US" w:bidi="en_US"/>
        </w:rPr>
        <w:t>In the previous section Jesus told the crowd a parable to teach them not to be greedy. In this section he turned again to his disciples and taught them not to worry about the things they needed. Instead, they should think about the things that were important to God and share their possessions with the poor. God would provide what they needed.</w:t>
      </w:r>
    </w:p>
    <w:p>
      <w:pPr/>
      <w:r>
        <w:rPr>
          <w:lang w:val="en_US" w:bidi="en_US"/>
        </w:rPr>
      </w:r>
      <w:r>
        <w:rPr>
          <w:lang w:val="en_US" w:bidi="en_US"/>
        </w:rPr>
        <w:t>Some other possible headings for this section are:</w:t>
      </w:r>
    </w:p>
    <w:p>
      <w:pPr/>
      <w:r>
        <w:rPr>
          <w:lang w:val="en_US" w:bidi="en_US"/>
        </w:rPr>
      </w:r>
      <w:r>
        <w:rPr>
          <w:lang w:val="en_US" w:bidi="en_US"/>
        </w:rPr>
        <w:t>God’s Care For Those Who Trust In Him</w:t>
      </w:r>
    </w:p>
    <w:p>
      <w:pPr/>
      <w:r>
        <w:rPr>
          <w:lang w:val="en_US" w:bidi="en_US"/>
        </w:rPr>
      </w:r>
      <w:r>
        <w:rPr>
          <w:lang w:val="en_US" w:bidi="en_US"/>
        </w:rPr>
        <w:t>Trust in God (GNT)</w:t>
      </w:r>
    </w:p>
    <w:p>
      <w:pPr/>
      <w:r>
        <w:rPr>
          <w:lang w:val="en_US" w:bidi="en_US"/>
        </w:rPr>
      </w:r>
      <w:r>
        <w:rPr>
          <w:lang w:val="en_US" w:bidi="en_US"/>
        </w:rPr>
        <w:t>Do not Worry (NIV)</w:t>
      </w:r>
    </w:p>
    <w:p>
      <w:pPr/>
      <w:r>
        <w:rPr>
          <w:lang w:val="en_US" w:bidi="en_US"/>
        </w:rPr>
      </w:r>
      <w:r>
        <w:rPr>
          <w:lang w:val="en_US" w:bidi="en_US"/>
        </w:rPr>
        <w:t>There is a parallel passage for this section in Matthew 6:25–34.</w:t>
      </w:r>
    </w:p>
    <w:p>
      <w:pPr>
        <w:pStyle w:val="Heading4"/>
      </w:pPr>
      <w:r>
        <w:rPr>
          <w:lang w:val="en_US" w:bidi="en_US"/>
        </w:rPr>
        <w:t>Paragraph 12:32–34</w:t>
      </w:r>
    </w:p>
    <w:p>
      <w:pPr/>
      <w:r>
        <w:rPr>
          <w:lang w:val="en_US" w:bidi="en_US"/>
        </w:rPr>
      </w:r>
      <w:r>
        <w:rPr>
          <w:lang w:val="en_US" w:bidi="en_US"/>
        </w:rPr>
        <w:t>This paragraph concludes Section 12:22–34. If you have a special way to introduce the conclusion of a section, you may want to use it here. For example:</w:t>
      </w:r>
    </w:p>
    <w:p>
      <w:pPr/>
      <w:r>
        <w:rPr>
          <w:lang w:val="en_US" w:bidi="en_US"/>
        </w:rPr>
      </w:r>
      <w:r>
        <w:rPr>
          <w:u w:val="single"/>
          <w:lang w:val="en_US" w:bidi="en_US"/>
        </w:rPr>
        <w:t>So</w:t>
      </w:r>
      <w:r>
        <w:rPr>
          <w:lang w:val="en_US" w:bidi="en_US"/>
        </w:rPr>
        <w:t xml:space="preserve"> don’t be afraid (NLT)</w:t>
      </w:r>
    </w:p>
    <w:p>
      <w:pPr>
        <w:pStyle w:val="Heading5"/>
      </w:pPr>
      <w:r>
        <w:rPr>
          <w:lang w:val="en_US" w:bidi="en_US"/>
        </w:rPr>
        <w:t>12:34</w:t>
      </w:r>
    </w:p>
    <w:p>
      <w:pPr/>
      <w:r>
        <w:rPr>
          <w:lang w:val="en_US" w:bidi="en_US"/>
        </w:rPr>
      </w:r>
      <w:r>
        <w:rPr>
          <w:b/>
          <w:lang w:val="en_US" w:bidi="en_US"/>
        </w:rPr>
        <w:t>For where your treasure is, there your heart will be also.</w:t>
      </w:r>
    </w:p>
    <w:p>
      <w:pPr>
        <w:pStyle w:val="ListBullet"/>
        <w:spacing w:line="240" w:lineRule="auto"/>
        <w:ind w:left="720"/>
      </w:pPr>
      <w:r>
        <w:rPr>
          <w:lang w:val="en_US" w:bidi="en_US"/>
        </w:rPr>
      </w:r>
      <w:r>
        <w:rPr>
          <w:lang w:val="en_US" w:bidi="en_US"/>
        </w:rPr>
        <w:t>Remember that</w:t>
      </w:r>
      <w:r>
        <w:rPr>
          <w:lang w:val="en_US" w:bidi="en_US"/>
        </w:rPr>
        <w:t xml:space="preserve"> wherever you</w:t>
      </w:r>
      <w:r>
        <w:rPr>
          <w:vertAlign w:val="superscript"/>
          <w:lang w:val="en_US" w:bidi="en_US"/>
        </w:rPr>
        <w:t>(plur)</w:t>
      </w:r>
      <w:r>
        <w:rPr>
          <w:lang w:val="en_US" w:bidi="en_US"/>
        </w:rPr>
        <w:t xml:space="preserve"> have riches is also where your heart/mind will be.”</w:t>
      </w:r>
    </w:p>
    <w:p>
      <w:pPr>
        <w:pStyle w:val="ListBullet"/>
        <w:spacing w:line="240" w:lineRule="auto"/>
        <w:ind w:left="720"/>
      </w:pPr>
      <w:r>
        <w:rPr>
          <w:lang w:val="en_US" w:bidi="en_US"/>
        </w:rPr>
      </w:r>
      <w:r>
        <w:rPr>
          <w:lang w:val="en_US" w:bidi="en_US"/>
        </w:rPr>
        <w:t>For what you truly value, that is where you will direct/focus your thoughts.”</w:t>
      </w:r>
    </w:p>
    <w:p>
      <w:pPr>
        <w:pStyle w:val="ListBullet"/>
        <w:spacing w:line="240" w:lineRule="auto"/>
        <w:ind w:left="720"/>
      </w:pPr>
      <w:r>
        <w:rPr>
          <w:lang w:val="en_US" w:bidi="en_US"/>
        </w:rPr>
      </w:r>
      <w:r>
        <w:rPr>
          <w:lang w:val="en_US" w:bidi="en_US"/>
        </w:rPr>
        <w:t>I tell you these things</w:t>
      </w:r>
      <w:r>
        <w:rPr>
          <w:lang w:val="en_US" w:bidi="en_US"/>
        </w:rPr>
        <w:t xml:space="preserve"> because you will dedicate your life to whatever you consider to be most valuable.”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why the disciples should store up treasure in heaven rather than on earth. This is what Jesus told them in 12:33c. Be careful not to imply a wrong connection to a different part of 12:33. Some English versions do not translate a connector here. In some languages it may be helpful to repeat some information from 12:33. For example:</w:t>
      </w:r>
    </w:p>
    <w:p>
      <w:pPr/>
      <w:r>
        <w:rPr>
          <w:lang w:val="en_US" w:bidi="en_US"/>
        </w:rPr>
      </w:r>
      <w:r>
        <w:rPr>
          <w:lang w:val="en_US" w:bidi="en_US"/>
        </w:rPr>
        <w:t>Provide this treasure in heaven</w:t>
      </w:r>
      <w:r>
        <w:rPr>
          <w:lang w:val="en_US" w:bidi="en_US"/>
        </w:rPr>
        <w:t xml:space="preserve"> because…</w:t>
      </w:r>
    </w:p>
    <w:p>
      <w:pPr/>
      <w:r>
        <w:rPr>
          <w:lang w:val="en_US" w:bidi="en_US"/>
        </w:rPr>
      </w:r>
      <w:r>
        <w:rPr>
          <w:lang w:val="en_US" w:bidi="en_US"/>
        </w:rPr>
        <w:t>In other languages you may be able to use a more general phrase that refers back to all of 12:33. For example:</w:t>
      </w:r>
    </w:p>
    <w:p>
      <w:pPr/>
      <w:r>
        <w:rPr>
          <w:lang w:val="en_US" w:bidi="en_US"/>
        </w:rPr>
      </w:r>
      <w:r>
        <w:rPr>
          <w:lang w:val="en_US" w:bidi="en_US"/>
        </w:rPr>
        <w:t>Remember/Realize that…</w:t>
      </w:r>
    </w:p>
    <w:p>
      <w:pPr/>
      <w:r>
        <w:rPr>
          <w:lang w:val="en_US" w:bidi="en_US"/>
        </w:rPr>
      </w:r>
      <w:r>
        <w:rPr>
          <w:b/>
          <w:lang w:val="en_US" w:bidi="en_US"/>
        </w:rPr>
        <w:t>where your treasure is, there your heart will be also:</w:t>
      </w:r>
      <w:r>
        <w:rPr>
          <w:lang w:val="en_US" w:bidi="en_US"/>
        </w:rPr>
        <w:t xml:space="preserve"> The expression </w:t>
      </w:r>
      <w:r>
        <w:rPr>
          <w:i/>
          <w:lang w:val="en_US" w:bidi="en_US"/>
        </w:rPr>
        <w:t>where your treasure is, there your heart will be also</w:t>
      </w:r>
      <w:r>
        <w:rPr>
          <w:lang w:val="en_US" w:bidi="en_US"/>
        </w:rPr>
        <w:t xml:space="preserve"> means that the place where your treasure is located is the place that you will think about. If a person has stored riches on earth, he will think about them and put efforts into protecting and increasing them. If a person has stored up riches in heaven, he will think about heaven and devote himself to God. Other ways to translate this verse are:</w:t>
      </w:r>
    </w:p>
    <w:p>
      <w:pPr/>
      <w:r>
        <w:rPr>
          <w:lang w:val="en_US" w:bidi="en_US"/>
        </w:rPr>
      </w:r>
      <w:r>
        <w:rPr>
          <w:lang w:val="en_US" w:bidi="en_US"/>
        </w:rPr>
        <w:t>For what you consider to be your wealth is what you will truly love/value and think about.</w:t>
      </w:r>
    </w:p>
    <w:p>
      <w:pPr/>
      <w:r>
        <w:rPr>
          <w:lang w:val="en_US" w:bidi="en_US"/>
        </w:rPr>
      </w:r>
      <w:r>
        <w:rPr>
          <w:lang w:val="en_US" w:bidi="en_US"/>
        </w:rPr>
        <w:t>Where a person puts his treasure, he will also direct his thoughts.</w:t>
      </w:r>
    </w:p>
    <w:p>
      <w:pPr/>
      <w:r>
        <w:rPr>
          <w:lang w:val="en_US" w:bidi="en_US"/>
        </w:rPr>
      </w:r>
      <w:r>
        <w:rPr>
          <w:lang w:val="en_US" w:bidi="en_US"/>
        </w:rPr>
        <w:t>In some languages it may be more natural to reverse the order of the two clauses in this verse. For example:</w:t>
      </w:r>
    </w:p>
    <w:p>
      <w:pPr/>
      <w:r>
        <w:rPr>
          <w:lang w:val="en_US" w:bidi="en_US"/>
        </w:rPr>
      </w:r>
      <w:r>
        <w:rPr>
          <w:lang w:val="en_US" w:bidi="en_US"/>
        </w:rPr>
        <w:t>For your heart will always be where your riches are. (GNT)</w:t>
      </w:r>
    </w:p>
    <w:p>
      <w:pPr/>
      <w:r>
        <w:rPr>
          <w:lang w:val="en_US" w:bidi="en_US"/>
        </w:rPr>
      </w:r>
      <w:r>
        <w:rPr>
          <w:lang w:val="en_US" w:bidi="en_US"/>
        </w:rPr>
        <w:t>You will dedicate your life to whatever you consider to be most valuable. (adapted from the TRT footnote)</w:t>
      </w:r>
    </w:p>
    <w:p>
      <w:pPr/>
      <w:r>
        <w:rPr>
          <w:lang w:val="en_US" w:bidi="en_US"/>
        </w:rPr>
      </w:r>
      <w:r>
        <w:rPr>
          <w:b/>
          <w:lang w:val="en_US" w:bidi="en_US"/>
        </w:rPr>
        <w:t>heart:</w:t>
      </w:r>
      <w:r>
        <w:rPr>
          <w:lang w:val="en_US" w:bidi="en_US"/>
        </w:rPr>
        <w:t xml:space="preserve"> The Greek word that the BSB translates as </w:t>
      </w:r>
      <w:r>
        <w:rPr>
          <w:i/>
          <w:lang w:val="en_US" w:bidi="en_US"/>
        </w:rPr>
        <w:t>heart</w:t>
      </w:r>
      <w:r>
        <w:rPr>
          <w:lang w:val="en_US" w:bidi="en_US"/>
        </w:rPr>
        <w:t xml:space="preserve"> is used here in a figurative way. The Jews often spoke of the heart as the part of a person in which thoughts and feelings occur.</w:t>
      </w:r>
    </w:p>
    <w:p>
      <w:pPr/>
      <w:r>
        <w:rPr>
          <w:lang w:val="en_US" w:bidi="en_US"/>
        </w:rPr>
      </w:r>
      <w:r>
        <w:rPr>
          <w:lang w:val="en_US" w:bidi="en_US"/>
        </w:rPr>
        <w:t>In some languages people use a different part of the body, such as the mind, throat, liver, or stomach, in this way. In other languages people use a non-figurative expression, as in the TRT example above. You should use an expression that is natural in your language.</w:t>
      </w:r>
      <w:r>
        <w:rPr>
          <w:lang w:val="en_US" w:bidi="en_US"/>
        </w:rPr>
      </w:r>
      <w:r>
        <w:rPr>
          <w:lang w:val="en_US" w:bidi="en_US"/>
        </w:rPr>
      </w:r>
    </w:p>
    <w:p>
      <w:pPr/>
      <w:r>
        <w:rPr>
          <w:lang w:val="en_US" w:bidi="en_US"/>
        </w:rPr>
      </w:r>
    </w:p>
    <w:p>
      <w:pPr>
        <w:pStyle w:val="Heading2"/>
      </w:pPr>
      <w:r>
        <w:rPr>
          <w:lang w:val="en_US" w:bidi="en_US"/>
        </w:rPr>
        <w:t>Luke 12:35</w:t>
      </w:r>
      <w:r>
        <w:rPr>
          <w:lang w:val="en_US" w:bidi="en_US"/>
        </w:rPr>
      </w:r>
    </w:p>
    <w:p>
      <w:pPr>
        <w:pStyle w:val="Heading4"/>
      </w:pPr>
      <w:r>
        <w:rPr>
          <w:lang w:val="en_US" w:bidi="en_US"/>
        </w:rPr>
        <w:t>Section 12:35–48: Jesus’ servants should be watchful and faithful</w:t>
      </w:r>
    </w:p>
    <w:p>
      <w:pPr/>
      <w:r>
        <w:rPr>
          <w:lang w:val="en_US" w:bidi="en_US"/>
        </w:rPr>
      </w:r>
      <w:r>
        <w:rPr>
          <w:lang w:val="en_US" w:bidi="en_US"/>
        </w:rP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pPr/>
      <w:r>
        <w:rPr>
          <w:lang w:val="en_US" w:bidi="en_US"/>
        </w:rPr>
      </w:r>
      <w:r>
        <w:rPr>
          <w:lang w:val="en_US" w:bidi="en_US"/>
        </w:rPr>
        <w:t>Some other headings for this section are:</w:t>
      </w:r>
    </w:p>
    <w:p>
      <w:pPr/>
      <w:r>
        <w:rPr>
          <w:lang w:val="en_US" w:bidi="en_US"/>
        </w:rPr>
      </w:r>
      <w:r>
        <w:rPr>
          <w:lang w:val="en_US" w:bidi="en_US"/>
        </w:rPr>
        <w:t>Faithful and Unfaithful Servants (CEV)</w:t>
      </w:r>
    </w:p>
    <w:p>
      <w:pPr/>
      <w:r>
        <w:rPr>
          <w:lang w:val="en_US" w:bidi="en_US"/>
        </w:rPr>
      </w:r>
      <w:r>
        <w:rPr>
          <w:lang w:val="en_US" w:bidi="en_US"/>
        </w:rPr>
        <w:t>Be Ready for the Lord’s Coming (NLT)</w:t>
      </w:r>
    </w:p>
    <w:p>
      <w:pPr/>
      <w:r>
        <w:rPr>
          <w:lang w:val="en_US" w:bidi="en_US"/>
        </w:rPr>
      </w:r>
      <w:r>
        <w:rPr>
          <w:lang w:val="en_US" w:bidi="en_US"/>
        </w:rPr>
        <w:t>Watchfulness (NIV)</w:t>
      </w:r>
    </w:p>
    <w:p>
      <w:pPr/>
      <w:r>
        <w:rPr>
          <w:lang w:val="en_US" w:bidi="en_US"/>
        </w:rPr>
      </w:r>
      <w:r>
        <w:rPr>
          <w:lang w:val="en_US" w:bidi="en_US"/>
        </w:rPr>
        <w:t>There is a parallel passage for 12:41–48 in Matthew 24:45–51.</w:t>
      </w:r>
    </w:p>
    <w:p>
      <w:pPr>
        <w:pStyle w:val="Heading4"/>
      </w:pPr>
      <w:r>
        <w:rPr>
          <w:lang w:val="en_US" w:bidi="en_US"/>
        </w:rPr>
        <w:t>Paragraph 12:35–38</w:t>
      </w:r>
    </w:p>
    <w:p>
      <w:pPr/>
      <w:r>
        <w:rPr>
          <w:lang w:val="en_US" w:bidi="en_US"/>
        </w:rPr>
      </w:r>
      <w:r>
        <w:rPr>
          <w:lang w:val="en_US" w:bidi="en_US"/>
        </w:rPr>
        <w:t>In this paragraph Jesus continued to speak. It may be helpful to indicate this here at the beginning of this new section. For example:</w:t>
      </w:r>
    </w:p>
    <w:p>
      <w:pPr/>
      <w:r>
        <w:rPr>
          <w:lang w:val="en_US" w:bidi="en_US"/>
        </w:rPr>
      </w:r>
      <w:r>
        <w:rPr>
          <w:lang w:val="en_US" w:bidi="en_US"/>
        </w:rPr>
        <w:t>Jesus also said</w:t>
      </w:r>
      <w:r>
        <w:rPr>
          <w:lang w:val="en_US" w:bidi="en_US"/>
        </w:rPr>
        <w:t xml:space="preserve"> …</w:t>
      </w:r>
    </w:p>
    <w:p>
      <w:pPr/>
      <w:r>
        <w:rPr>
          <w:lang w:val="en_US" w:bidi="en_US"/>
        </w:rPr>
      </w:r>
      <w:r>
        <w:rPr>
          <w:lang w:val="en_US" w:bidi="en_US"/>
        </w:rPr>
        <w:t>Jesus continued teaching</w:t>
      </w:r>
      <w:r>
        <w:rPr>
          <w:lang w:val="en_US" w:bidi="en_US"/>
        </w:rPr>
        <w:t xml:space="preserve"> </w:t>
      </w:r>
      <w:r>
        <w:rPr>
          <w:lang w:val="en_US" w:bidi="en_US"/>
        </w:rPr>
        <w:t>his disciples</w:t>
      </w:r>
      <w:r>
        <w:rPr>
          <w:lang w:val="en_US" w:bidi="en_US"/>
        </w:rPr>
        <w:t xml:space="preserve"> </w:t>
      </w:r>
      <w:r>
        <w:rPr>
          <w:lang w:val="en_US" w:bidi="en_US"/>
        </w:rPr>
        <w:t>and he said</w:t>
      </w:r>
      <w:r>
        <w:rPr>
          <w:lang w:val="en_US" w:bidi="en_US"/>
        </w:rPr>
        <w:t>…</w:t>
      </w:r>
    </w:p>
    <w:p>
      <w:pPr>
        <w:pStyle w:val="Heading5"/>
      </w:pPr>
      <w:r>
        <w:rPr>
          <w:lang w:val="en_US" w:bidi="en_US"/>
        </w:rPr>
        <w:t>12:35–36a</w:t>
      </w:r>
    </w:p>
    <w:p>
      <w:pPr/>
      <w:r>
        <w:rPr>
          <w:lang w:val="en_US" w:bidi="en_US"/>
        </w:rPr>
      </w:r>
      <w:r>
        <w:rPr>
          <w:lang w:val="en_US" w:bidi="en_US"/>
        </w:rPr>
        <w:t>In 12:35–36a, Jesus used three figures of speech:</w:t>
      </w:r>
    </w:p>
    <w:p>
      <w:pPr>
        <w:pStyle w:val="ListNumber"/>
        <w:numPr>
          <w:ilvl w:val="0"/>
          <w:numId w:val="242"/>
        </w:numPr>
        <w:spacing w:line="240" w:lineRule="auto"/>
        <w:ind w:left="720"/>
      </w:pPr>
      <w:r>
        <w:rPr>
          <w:lang w:val="en_US" w:bidi="en_US"/>
        </w:rPr>
      </w:r>
      <w:r>
        <w:rPr>
          <w:lang w:val="en_US" w:bidi="en_US"/>
        </w:rPr>
        <w:t>Be dressed for service.</w:t>
      </w:r>
    </w:p>
    <w:p>
      <w:pPr>
        <w:pStyle w:val="ListNumber"/>
        <w:spacing w:line="240" w:lineRule="auto"/>
        <w:ind w:left="720"/>
      </w:pPr>
      <w:r>
        <w:rPr>
          <w:lang w:val="en_US" w:bidi="en_US"/>
        </w:rPr>
      </w:r>
      <w:r>
        <w:rPr>
          <w:lang w:val="en_US" w:bidi="en_US"/>
        </w:rPr>
        <w:t>Keep your lamps burning.</w:t>
      </w:r>
    </w:p>
    <w:p>
      <w:pPr>
        <w:pStyle w:val="ListNumber"/>
        <w:spacing w:line="240" w:lineRule="auto"/>
        <w:ind w:left="720"/>
      </w:pPr>
      <w:r>
        <w:rPr>
          <w:lang w:val="en_US" w:bidi="en_US"/>
        </w:rPr>
      </w:r>
      <w:r>
        <w:rPr>
          <w:lang w:val="en_US" w:bidi="en_US"/>
        </w:rPr>
        <w:t>Be like servants waiting for their master to return from the wedding banquet.</w:t>
      </w:r>
    </w:p>
    <w:p>
      <w:pPr/>
      <w:r>
        <w:rPr>
          <w:lang w:val="en_US" w:bidi="en_US"/>
        </w:rPr>
      </w:r>
      <w:r>
        <w:rPr>
          <w:lang w:val="en_US" w:bidi="en_US"/>
        </w:rPr>
        <w:t>These figures of speech indicate that the disciples should be ready for Jesus’ return, just as servants should be ready for their master’s return. See the General Comment on 12:35–36a at the end of 12:36a for a way to reorder these figures of speech.</w:t>
      </w:r>
    </w:p>
    <w:p>
      <w:pPr>
        <w:pStyle w:val="Heading5"/>
      </w:pPr>
      <w:r>
        <w:rPr>
          <w:lang w:val="en_US" w:bidi="en_US"/>
        </w:rPr>
        <w:t>12:35</w:t>
      </w:r>
    </w:p>
    <w:p>
      <w:pPr/>
      <w:r>
        <w:rPr>
          <w:lang w:val="en_US" w:bidi="en_US"/>
        </w:rPr>
      </w:r>
      <w:r>
        <w:rPr>
          <w:b/>
          <w:lang w:val="en_US" w:bidi="en_US"/>
        </w:rPr>
        <w:t>Be dressed for service and keep your lamps burning.</w:t>
      </w:r>
    </w:p>
    <w:p>
      <w:pPr>
        <w:pStyle w:val="ListBullet"/>
        <w:spacing w:line="240" w:lineRule="auto"/>
        <w:ind w:left="720"/>
      </w:pPr>
      <w:r>
        <w:rPr>
          <w:lang w:val="en_US" w:bidi="en_US"/>
        </w:rPr>
      </w:r>
      <w:r>
        <w:rPr>
          <w:lang w:val="en_US" w:bidi="en_US"/>
        </w:rPr>
        <w:t xml:space="preserve">¶ </w:t>
      </w:r>
      <w:r>
        <w:rPr>
          <w:lang w:val="en_US" w:bidi="en_US"/>
        </w:rPr>
        <w:t>Jesus also said to his disciples,</w:t>
      </w:r>
      <w:r>
        <w:rPr>
          <w:lang w:val="en_US" w:bidi="en_US"/>
        </w:rPr>
        <w:t xml:space="preserve"> “See to it that you are always ready </w:t>
      </w:r>
      <w:r>
        <w:rPr>
          <w:lang w:val="en_US" w:bidi="en_US"/>
        </w:rPr>
        <w:t>for my return</w:t>
      </w:r>
      <w:r>
        <w:rPr>
          <w:lang w:val="en_US" w:bidi="en_US"/>
        </w:rPr>
        <w:t>. Stay dressed for work, and keep your</w:t>
      </w:r>
      <w:r>
        <w:rPr>
          <w:vertAlign w:val="superscript"/>
          <w:lang w:val="en_US" w:bidi="en_US"/>
        </w:rPr>
        <w:t>(plur)</w:t>
      </w:r>
      <w:r>
        <w:rPr>
          <w:lang w:val="en_US" w:bidi="en_US"/>
        </w:rPr>
        <w:t xml:space="preserve"> lamps shining/lit,</w:t>
      </w:r>
    </w:p>
    <w:p>
      <w:pPr>
        <w:pStyle w:val="ListBullet"/>
        <w:spacing w:line="240" w:lineRule="auto"/>
        <w:ind w:left="720"/>
      </w:pPr>
      <w:r>
        <w:rPr>
          <w:lang w:val="en_US" w:bidi="en_US"/>
        </w:rPr>
      </w:r>
      <w:r>
        <w:rPr>
          <w:lang w:val="en_US" w:bidi="en_US"/>
        </w:rPr>
        <w:t xml:space="preserve">¶ </w:t>
      </w:r>
      <w:r>
        <w:rPr>
          <w:lang w:val="en_US" w:bidi="en_US"/>
        </w:rPr>
        <w:t>Jesus continued to speak to his disciples, saying,</w:t>
      </w:r>
      <w:r>
        <w:rPr>
          <w:lang w:val="en_US" w:bidi="en_US"/>
        </w:rPr>
        <w:t xml:space="preserve"> “Always be</w:t>
      </w:r>
      <w:r>
        <w:rPr>
          <w:vertAlign w:val="superscript"/>
          <w:lang w:val="en_US" w:bidi="en_US"/>
        </w:rPr>
        <w:t>(plur)</w:t>
      </w:r>
      <w:r>
        <w:rPr>
          <w:lang w:val="en_US" w:bidi="en_US"/>
        </w:rPr>
        <w:t xml:space="preserve"> ready for me, </w:t>
      </w:r>
      <w:r>
        <w:rPr>
          <w:lang w:val="en_US" w:bidi="en_US"/>
        </w:rPr>
        <w:t>like servants who are</w:t>
      </w:r>
      <w:r>
        <w:rPr>
          <w:lang w:val="en_US" w:bidi="en_US"/>
        </w:rPr>
        <w:t xml:space="preserve"> dressed in their clothes for work with their lamps burning/shining brightly,</w:t>
      </w:r>
    </w:p>
    <w:p>
      <w:pPr>
        <w:pStyle w:val="ListBullet"/>
        <w:spacing w:line="240" w:lineRule="auto"/>
        <w:ind w:left="720"/>
      </w:pPr>
      <w:r>
        <w:rPr>
          <w:lang w:val="en_US" w:bidi="en_US"/>
        </w:rPr>
      </w:r>
      <w:r>
        <w:rPr>
          <w:lang w:val="en_US" w:bidi="en_US"/>
        </w:rPr>
        <w:t xml:space="preserve">¶ </w:t>
      </w:r>
      <w:r>
        <w:rPr>
          <w:lang w:val="en_US" w:bidi="en_US"/>
        </w:rPr>
        <w:t>Jesus continued teaching his disciples, and he said,</w:t>
      </w:r>
      <w:r>
        <w:rPr>
          <w:lang w:val="en_US" w:bidi="en_US"/>
        </w:rPr>
        <w:t xml:space="preserve"> “Be</w:t>
      </w:r>
      <w:r>
        <w:rPr>
          <w:vertAlign w:val="superscript"/>
          <w:lang w:val="en_US" w:bidi="en_US"/>
        </w:rPr>
        <w:t>(plur)</w:t>
      </w:r>
      <w:r>
        <w:rPr>
          <w:lang w:val="en_US" w:bidi="en_US"/>
        </w:rPr>
        <w:t xml:space="preserve"> prepared for me to return </w:t>
      </w:r>
      <w:r>
        <w:rPr>
          <w:lang w:val="en_US" w:bidi="en_US"/>
        </w:rPr>
        <w:t>at any time</w:t>
      </w:r>
      <w:r>
        <w:rPr>
          <w:lang w:val="en_US" w:bidi="en_US"/>
        </w:rPr>
        <w:t>.</w:t>
      </w:r>
    </w:p>
    <w:p>
      <w:pPr/>
      <w:r>
        <w:rPr>
          <w:lang w:val="en_US" w:bidi="en_US"/>
        </w:rPr>
      </w:r>
      <w:r>
        <w:rPr>
          <w:b/>
          <w:lang w:val="en_US" w:bidi="en_US"/>
        </w:rPr>
        <w:t>Be dressed for service:</w:t>
      </w:r>
      <w:r>
        <w:rPr>
          <w:lang w:val="en_US" w:bidi="en_US"/>
        </w:rPr>
        <w:t xml:space="preserve"> The Greek clause that the BSB translates as </w:t>
      </w:r>
      <w:r>
        <w:rPr>
          <w:i/>
          <w:lang w:val="en_US" w:bidi="en_US"/>
        </w:rPr>
        <w:t>Be dressed for service</w:t>
      </w:r>
      <w:r>
        <w:rPr>
          <w:lang w:val="en_US" w:bidi="en_US"/>
        </w:rPr>
        <w:t xml:space="preserve"> is more literally “Have your waists/hips girded.” Jesus referred here to how servants tucked the lower part of their robe up into their belt so they could work more easily. The form of the Greek verb indicates that they should remain dressed in this manner. Some ways to translate this metaphor are:</w:t>
      </w:r>
    </w:p>
    <w:p>
      <w:pPr>
        <w:pStyle w:val="ListBullet"/>
        <w:spacing w:line="240" w:lineRule="auto"/>
        <w:ind w:left="720"/>
      </w:pPr>
      <w:r>
        <w:rPr>
          <w:lang w:val="en_US" w:bidi="en_US"/>
        </w:rPr>
      </w:r>
      <w:r>
        <w:rPr>
          <w:lang w:val="en_US" w:bidi="en_US"/>
        </w:rPr>
        <w:t>Use a specific metaphor that would be appropriate in your culture. For example:</w:t>
      </w:r>
      <w:r>
        <w:rPr>
          <w:lang w:val="en_US" w:bidi="en_US"/>
        </w:rPr>
        <w:t>Keep your belts tightened</w:t>
      </w:r>
      <w:r>
        <w:rPr>
          <w:lang w:val="en_US" w:bidi="en_US"/>
        </w:rPr>
        <w:t>Have your clothes tucked in</w:t>
      </w:r>
    </w:p>
    <w:p>
      <w:pPr>
        <w:pStyle w:val="ListBullet"/>
        <w:spacing w:line="240" w:lineRule="auto"/>
        <w:ind w:left="720"/>
      </w:pPr>
      <w:r>
        <w:rPr>
          <w:lang w:val="en_US" w:bidi="en_US"/>
        </w:rPr>
      </w:r>
      <w:r>
        <w:rPr>
          <w:lang w:val="en_US" w:bidi="en_US"/>
        </w:rPr>
        <w:t>Use a general metaphor and make the function explicit, as the BSB has done. For example:</w:t>
      </w:r>
      <w:r>
        <w:rPr>
          <w:lang w:val="en_US" w:bidi="en_US"/>
        </w:rPr>
        <w:t>Be dressed and ready to work</w:t>
      </w:r>
    </w:p>
    <w:p>
      <w:pPr>
        <w:pStyle w:val="ListBullet"/>
        <w:spacing w:line="240" w:lineRule="auto"/>
        <w:ind w:left="720"/>
      </w:pPr>
      <w:r>
        <w:rPr>
          <w:lang w:val="en_US" w:bidi="en_US"/>
        </w:rPr>
      </w:r>
      <w:r>
        <w:rPr>
          <w:lang w:val="en_US" w:bidi="en_US"/>
        </w:rPr>
        <w:t>Change the metaphor to a simile and supply the point of similarity. For example:</w:t>
      </w:r>
      <w:r>
        <w:rPr>
          <w:lang w:val="en_US" w:bidi="en_US"/>
        </w:rPr>
        <w:t xml:space="preserve">Be ready to serve me, </w:t>
      </w:r>
      <w:r>
        <w:rPr>
          <w:lang w:val="en_US" w:bidi="en_US"/>
        </w:rPr>
        <w:t>like people who are</w:t>
      </w:r>
      <w:r>
        <w:rPr>
          <w:lang w:val="en_US" w:bidi="en_US"/>
        </w:rPr>
        <w:t xml:space="preserve"> dressed in their work clothes</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Be ready for action (GW)</w:t>
      </w:r>
    </w:p>
    <w:p>
      <w:pPr/>
      <w:r>
        <w:rPr>
          <w:lang w:val="en_US" w:bidi="en_US"/>
        </w:rPr>
      </w:r>
      <w:r>
        <w:rPr>
          <w:lang w:val="en_US" w:bidi="en_US"/>
        </w:rPr>
        <w:t>The last option is especially appropriate if other options imply that the disciples are to dress in a particular way. The point is that they should be ready to serve Jesus.</w:t>
      </w:r>
    </w:p>
    <w:p>
      <w:pPr/>
      <w:r>
        <w:rPr>
          <w:lang w:val="en_US" w:bidi="en_US"/>
        </w:rPr>
      </w:r>
      <w:r>
        <w:rPr>
          <w:b/>
          <w:lang w:val="en_US" w:bidi="en_US"/>
        </w:rPr>
        <w:t>keep your lamps burning:</w:t>
      </w:r>
      <w:r>
        <w:rPr>
          <w:lang w:val="en_US" w:bidi="en_US"/>
        </w:rPr>
        <w:t xml:space="preserve"> Jesus was referring to how good servants kept lamps burning all night when they thought their master would return so that everything would be ready for him.</w:t>
      </w:r>
      <w:r>
        <w:rPr>
          <w:lang w:val="en_US" w:bidi="en_US"/>
        </w:rPr>
        <w:t>The lamps burned oil and people had to refill them when the oil got low. Each lamp also had a wick. After it burned for a while, it became charred and someone had to trim it.</w:t>
      </w:r>
      <w:r>
        <w:rPr>
          <w:lang w:val="en_US" w:bidi="en_US"/>
        </w:rPr>
        <w:t xml:space="preserve"> (See also Matthew 25:1–13.) In the same way, Jesus’ disciples should be ready for him to return at any time.</w:t>
      </w:r>
      <w:r>
        <w:rPr>
          <w:lang w:val="en_US" w:bidi="en_US"/>
        </w:rPr>
      </w:r>
      <w:r>
        <w:rPr>
          <w:lang w:val="en_US" w:bidi="en_US"/>
        </w:rPr>
      </w:r>
    </w:p>
    <w:p>
      <w:pPr/>
      <w:r>
        <w:rPr>
          <w:lang w:val="en_US" w:bidi="en_US"/>
        </w:rPr>
      </w:r>
    </w:p>
    <w:p>
      <w:pPr>
        <w:pStyle w:val="Heading2"/>
      </w:pPr>
      <w:r>
        <w:rPr>
          <w:lang w:val="en_US" w:bidi="en_US"/>
        </w:rPr>
        <w:t>Luke 12:36</w:t>
      </w:r>
      <w:r>
        <w:rPr>
          <w:lang w:val="en_US" w:bidi="en_US"/>
        </w:rPr>
      </w:r>
    </w:p>
    <w:p>
      <w:pPr>
        <w:pStyle w:val="Heading4"/>
      </w:pPr>
      <w:r>
        <w:rPr>
          <w:lang w:val="en_US" w:bidi="en_US"/>
        </w:rPr>
        <w:t>Section 12:35–48: Jesus’ servants should be watchful and faithful</w:t>
      </w:r>
    </w:p>
    <w:p>
      <w:pPr/>
      <w:r>
        <w:rPr>
          <w:lang w:val="en_US" w:bidi="en_US"/>
        </w:rPr>
      </w:r>
      <w:r>
        <w:rPr>
          <w:lang w:val="en_US" w:bidi="en_US"/>
        </w:rP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pPr/>
      <w:r>
        <w:rPr>
          <w:lang w:val="en_US" w:bidi="en_US"/>
        </w:rPr>
      </w:r>
      <w:r>
        <w:rPr>
          <w:lang w:val="en_US" w:bidi="en_US"/>
        </w:rPr>
        <w:t>Some other headings for this section are:</w:t>
      </w:r>
    </w:p>
    <w:p>
      <w:pPr/>
      <w:r>
        <w:rPr>
          <w:lang w:val="en_US" w:bidi="en_US"/>
        </w:rPr>
      </w:r>
      <w:r>
        <w:rPr>
          <w:lang w:val="en_US" w:bidi="en_US"/>
        </w:rPr>
        <w:t>Faithful and Unfaithful Servants (CEV)</w:t>
      </w:r>
    </w:p>
    <w:p>
      <w:pPr/>
      <w:r>
        <w:rPr>
          <w:lang w:val="en_US" w:bidi="en_US"/>
        </w:rPr>
      </w:r>
      <w:r>
        <w:rPr>
          <w:lang w:val="en_US" w:bidi="en_US"/>
        </w:rPr>
        <w:t>Be Ready for the Lord’s Coming (NLT)</w:t>
      </w:r>
    </w:p>
    <w:p>
      <w:pPr/>
      <w:r>
        <w:rPr>
          <w:lang w:val="en_US" w:bidi="en_US"/>
        </w:rPr>
      </w:r>
      <w:r>
        <w:rPr>
          <w:lang w:val="en_US" w:bidi="en_US"/>
        </w:rPr>
        <w:t>Watchfulness (NIV)</w:t>
      </w:r>
    </w:p>
    <w:p>
      <w:pPr/>
      <w:r>
        <w:rPr>
          <w:lang w:val="en_US" w:bidi="en_US"/>
        </w:rPr>
      </w:r>
      <w:r>
        <w:rPr>
          <w:lang w:val="en_US" w:bidi="en_US"/>
        </w:rPr>
        <w:t>There is a parallel passage for 12:41–48 in Matthew 24:45–51.</w:t>
      </w:r>
    </w:p>
    <w:p>
      <w:pPr>
        <w:pStyle w:val="Heading4"/>
      </w:pPr>
      <w:r>
        <w:rPr>
          <w:lang w:val="en_US" w:bidi="en_US"/>
        </w:rPr>
        <w:t>Paragraph 12:35–38</w:t>
      </w:r>
    </w:p>
    <w:p>
      <w:pPr/>
      <w:r>
        <w:rPr>
          <w:lang w:val="en_US" w:bidi="en_US"/>
        </w:rPr>
      </w:r>
      <w:r>
        <w:rPr>
          <w:lang w:val="en_US" w:bidi="en_US"/>
        </w:rPr>
        <w:t>In this paragraph Jesus continued to speak. It may be helpful to indicate this here at the beginning of this new section. For example:</w:t>
      </w:r>
    </w:p>
    <w:p>
      <w:pPr/>
      <w:r>
        <w:rPr>
          <w:lang w:val="en_US" w:bidi="en_US"/>
        </w:rPr>
      </w:r>
      <w:r>
        <w:rPr>
          <w:lang w:val="en_US" w:bidi="en_US"/>
        </w:rPr>
        <w:t>Jesus also said</w:t>
      </w:r>
      <w:r>
        <w:rPr>
          <w:lang w:val="en_US" w:bidi="en_US"/>
        </w:rPr>
        <w:t xml:space="preserve"> …</w:t>
      </w:r>
    </w:p>
    <w:p>
      <w:pPr/>
      <w:r>
        <w:rPr>
          <w:lang w:val="en_US" w:bidi="en_US"/>
        </w:rPr>
      </w:r>
      <w:r>
        <w:rPr>
          <w:lang w:val="en_US" w:bidi="en_US"/>
        </w:rPr>
        <w:t>Jesus continued teaching</w:t>
      </w:r>
      <w:r>
        <w:rPr>
          <w:lang w:val="en_US" w:bidi="en_US"/>
        </w:rPr>
        <w:t xml:space="preserve"> </w:t>
      </w:r>
      <w:r>
        <w:rPr>
          <w:lang w:val="en_US" w:bidi="en_US"/>
        </w:rPr>
        <w:t>his disciples</w:t>
      </w:r>
      <w:r>
        <w:rPr>
          <w:lang w:val="en_US" w:bidi="en_US"/>
        </w:rPr>
        <w:t xml:space="preserve"> </w:t>
      </w:r>
      <w:r>
        <w:rPr>
          <w:lang w:val="en_US" w:bidi="en_US"/>
        </w:rPr>
        <w:t>and he said</w:t>
      </w:r>
      <w:r>
        <w:rPr>
          <w:lang w:val="en_US" w:bidi="en_US"/>
        </w:rPr>
        <w:t>…</w:t>
      </w:r>
    </w:p>
    <w:p>
      <w:pPr>
        <w:pStyle w:val="Heading5"/>
      </w:pPr>
      <w:r>
        <w:rPr>
          <w:lang w:val="en_US" w:bidi="en_US"/>
        </w:rPr>
        <w:t>12:36a</w:t>
      </w:r>
    </w:p>
    <w:p>
      <w:pPr/>
      <w:r>
        <w:rPr>
          <w:lang w:val="en_US" w:bidi="en_US"/>
        </w:rPr>
      </w:r>
      <w:r>
        <w:rPr>
          <w:b/>
          <w:lang w:val="en_US" w:bidi="en_US"/>
        </w:rPr>
        <w:t>Then you will be like servants waiting for their master to return from the wedding banquet,</w:t>
      </w:r>
    </w:p>
    <w:p>
      <w:pPr>
        <w:pStyle w:val="ListBullet"/>
        <w:spacing w:line="240" w:lineRule="auto"/>
        <w:ind w:left="720"/>
      </w:pPr>
      <w:r>
        <w:rPr>
          <w:lang w:val="en_US" w:bidi="en_US"/>
        </w:rPr>
      </w:r>
      <w:r>
        <w:rPr>
          <w:lang w:val="en_US" w:bidi="en_US"/>
        </w:rPr>
        <w:t xml:space="preserve">like </w:t>
      </w:r>
      <w:r>
        <w:rPr>
          <w:lang w:val="en_US" w:bidi="en_US"/>
        </w:rPr>
        <w:t>servants</w:t>
      </w:r>
      <w:r>
        <w:rPr>
          <w:lang w:val="en_US" w:bidi="en_US"/>
        </w:rPr>
        <w:t xml:space="preserve"> who are waiting for their master who went to attend a wedding feast.</w:t>
      </w:r>
    </w:p>
    <w:p>
      <w:pPr>
        <w:pStyle w:val="ListBullet"/>
        <w:spacing w:line="240" w:lineRule="auto"/>
        <w:ind w:left="720"/>
      </w:pPr>
      <w:r>
        <w:rPr>
          <w:lang w:val="en_US" w:bidi="en_US"/>
        </w:rPr>
      </w:r>
      <w:r>
        <w:rPr>
          <w:lang w:val="en_US" w:bidi="en_US"/>
        </w:rPr>
        <w:t>as they wait for their master to return home from a wedding feast.</w:t>
      </w:r>
    </w:p>
    <w:p>
      <w:pPr>
        <w:pStyle w:val="ListBullet"/>
        <w:spacing w:line="240" w:lineRule="auto"/>
        <w:ind w:left="720"/>
      </w:pPr>
      <w:r>
        <w:rPr>
          <w:lang w:val="en_US" w:bidi="en_US"/>
        </w:rPr>
      </w:r>
      <w:r>
        <w:rPr>
          <w:lang w:val="en_US" w:bidi="en_US"/>
        </w:rPr>
        <w:t>Be like servants who stay awake and wait for their master’s return from a marriage celebration</w:t>
      </w:r>
    </w:p>
    <w:p>
      <w:pPr/>
      <w:r>
        <w:rPr>
          <w:lang w:val="en_US" w:bidi="en_US"/>
        </w:rPr>
      </w:r>
      <w:r>
        <w:rPr>
          <w:b/>
          <w:lang w:val="en_US" w:bidi="en_US"/>
        </w:rPr>
        <w:t>Then you will be like servants waiting for their master to return from the wedding banquet:</w:t>
      </w:r>
      <w:r>
        <w:rPr>
          <w:lang w:val="en_US" w:bidi="en_US"/>
        </w:rPr>
        <w:t xml:space="preserve"> This simile provides a specific context for the metaphors in 12:35. Jesus wanted his disciples to be ready to receive him. They should be ready in the same way that servants should be ready to welcome their master when he returns from a wedding feast.</w:t>
      </w:r>
    </w:p>
    <w:p>
      <w:pPr/>
      <w:r>
        <w:rPr>
          <w:lang w:val="en_US" w:bidi="en_US"/>
        </w:rPr>
      </w:r>
      <w:r>
        <w:rPr>
          <w:b/>
          <w:lang w:val="en_US" w:bidi="en_US"/>
        </w:rPr>
        <w:t>servants:</w:t>
      </w:r>
      <w:r>
        <w:rPr>
          <w:lang w:val="en_US" w:bidi="en_US"/>
        </w:rPr>
        <w:t xml:space="preserve"> The Greek word that the BSB translates as </w:t>
      </w:r>
      <w:r>
        <w:rPr>
          <w:i/>
          <w:lang w:val="en_US" w:bidi="en_US"/>
        </w:rPr>
        <w:t>servants</w:t>
      </w:r>
      <w:r>
        <w:rPr>
          <w:lang w:val="en_US" w:bidi="en_US"/>
        </w:rPr>
        <w:t xml:space="preserve"> is literally “men.” It often refers to people in general. In this context, it clearly refers to servants.</w:t>
      </w:r>
    </w:p>
    <w:p>
      <w:pPr/>
      <w:r>
        <w:rPr>
          <w:lang w:val="en_US" w:bidi="en_US"/>
        </w:rPr>
      </w:r>
      <w:r>
        <w:rPr>
          <w:b/>
          <w:lang w:val="en_US" w:bidi="en_US"/>
        </w:rPr>
        <w:t>the wedding banquet:</w:t>
      </w:r>
      <w:r>
        <w:rPr>
          <w:lang w:val="en_US" w:bidi="en_US"/>
        </w:rPr>
        <w:t xml:space="preserve"> In NT times, wedding celebrations often continued until late into the night. If this is not true in your culture, you may translate this simply as “a feast/banquet.”</w:t>
      </w:r>
    </w:p>
    <w:p>
      <w:pPr>
        <w:pStyle w:val="Heading6"/>
      </w:pPr>
      <w:r>
        <w:rPr>
          <w:b/>
          <w:lang w:val="en_US" w:bidi="en_US"/>
        </w:rPr>
        <w:t>General Comment on 12:35–36b</w:t>
      </w:r>
    </w:p>
    <w:p>
      <w:pPr/>
      <w:r>
        <w:rPr>
          <w:lang w:val="en_US" w:bidi="en_US"/>
        </w:rPr>
      </w:r>
      <w:r>
        <w:rPr>
          <w:lang w:val="en_US" w:bidi="en_US"/>
        </w:rPr>
        <w:t>In some languages, it may be more natural to give the setting for the figures of speech before giving other details. For example:</w:t>
      </w:r>
    </w:p>
    <w:p>
      <w:pPr/>
      <w:r>
        <w:rPr>
          <w:lang w:val="en_US" w:bidi="en_US"/>
        </w:rPr>
      </w:r>
      <w:r>
        <w:rPr>
          <w:vertAlign w:val="superscript"/>
          <w:lang w:val="en_US" w:bidi="en_US"/>
        </w:rPr>
        <w:t>36b</w:t>
      </w:r>
      <w:r>
        <w:rPr>
          <w:lang w:val="en_US" w:bidi="en_US"/>
        </w:rPr>
        <w:t xml:space="preserve"> </w:t>
      </w:r>
      <w:r>
        <w:rPr>
          <w:lang w:val="en_US" w:bidi="en_US"/>
        </w:rPr>
        <w:t>You must remain ready</w:t>
      </w:r>
      <w:r>
        <w:rPr>
          <w:lang w:val="en_US" w:bidi="en_US"/>
        </w:rPr>
        <w:t xml:space="preserve"> like servants who are waiting for their master to return from a wedding feast. </w:t>
      </w:r>
      <w:r>
        <w:rPr>
          <w:vertAlign w:val="superscript"/>
          <w:lang w:val="en_US" w:bidi="en_US"/>
        </w:rPr>
        <w:t>35</w:t>
      </w:r>
      <w:r>
        <w:rPr>
          <w:lang w:val="en_US" w:bidi="en_US"/>
        </w:rPr>
        <w:t>They are dressed for work and their lamps are shining/lit</w:t>
      </w:r>
    </w:p>
    <w:p>
      <w:pPr/>
      <w:r>
        <w:rPr>
          <w:lang w:val="en_US" w:bidi="en_US"/>
        </w:rPr>
      </w:r>
      <w:r>
        <w:rPr>
          <w:lang w:val="en_US" w:bidi="en_US"/>
        </w:rPr>
        <w:t>Notice that this example makes clear that the phrases about clothing and lamps describe the servants, not the disciples. This helps to avoid the wrong meaning that Jesus wanted his disciples to keep their robes tucked into their belts and carry lamps.</w:t>
      </w:r>
    </w:p>
    <w:p>
      <w:pPr>
        <w:pStyle w:val="Heading5"/>
      </w:pPr>
      <w:r>
        <w:rPr>
          <w:lang w:val="en_US" w:bidi="en_US"/>
        </w:rPr>
        <w:t>12:36b</w:t>
      </w:r>
    </w:p>
    <w:p>
      <w:pPr/>
      <w:r>
        <w:rPr>
          <w:lang w:val="en_US" w:bidi="en_US"/>
        </w:rPr>
      </w:r>
      <w:r>
        <w:rPr>
          <w:b/>
          <w:lang w:val="en_US" w:bidi="en_US"/>
        </w:rPr>
        <w:t>so that when he comes and knocks, they can open the door for him at once.</w:t>
      </w:r>
    </w:p>
    <w:p>
      <w:pPr>
        <w:pStyle w:val="ListBullet"/>
        <w:spacing w:line="240" w:lineRule="auto"/>
        <w:ind w:left="720"/>
      </w:pPr>
      <w:r>
        <w:rPr>
          <w:lang w:val="en_US" w:bidi="en_US"/>
        </w:rPr>
      </w:r>
      <w:r>
        <w:rPr>
          <w:lang w:val="en_US" w:bidi="en_US"/>
        </w:rPr>
        <w:t xml:space="preserve">Then when he returns </w:t>
      </w:r>
      <w:r>
        <w:rPr>
          <w:lang w:val="en_US" w:bidi="en_US"/>
        </w:rPr>
        <w:t>home</w:t>
      </w:r>
      <w:r>
        <w:rPr>
          <w:lang w:val="en_US" w:bidi="en_US"/>
        </w:rPr>
        <w:t xml:space="preserve"> and knocks, </w:t>
      </w:r>
      <w:r>
        <w:rPr>
          <w:lang w:val="en_US" w:bidi="en_US"/>
        </w:rPr>
        <w:t>the servants</w:t>
      </w:r>
      <w:r>
        <w:rPr>
          <w:lang w:val="en_US" w:bidi="en_US"/>
        </w:rPr>
        <w:t xml:space="preserve"> will be ready to open the door immediately </w:t>
      </w:r>
      <w:r>
        <w:rPr>
          <w:lang w:val="en_US" w:bidi="en_US"/>
        </w:rPr>
        <w:t>so that he can enter</w:t>
      </w:r>
      <w:r>
        <w:rPr>
          <w:lang w:val="en_US" w:bidi="en_US"/>
        </w:rPr>
        <w:t>.</w:t>
      </w:r>
    </w:p>
    <w:p>
      <w:pPr>
        <w:pStyle w:val="ListBullet"/>
        <w:spacing w:line="240" w:lineRule="auto"/>
        <w:ind w:left="720"/>
      </w:pPr>
      <w:r>
        <w:rPr>
          <w:lang w:val="en_US" w:bidi="en_US"/>
        </w:rPr>
      </w:r>
      <w:r>
        <w:rPr>
          <w:lang w:val="en_US" w:bidi="en_US"/>
        </w:rPr>
        <w:t>They are watching for him</w:t>
      </w:r>
      <w:r>
        <w:rPr>
          <w:lang w:val="en_US" w:bidi="en_US"/>
        </w:rPr>
        <w:t xml:space="preserve"> in order to unlock the door as soon as he comes.</w:t>
      </w:r>
    </w:p>
    <w:p>
      <w:pPr>
        <w:pStyle w:val="ListBullet"/>
        <w:spacing w:line="240" w:lineRule="auto"/>
        <w:ind w:left="720"/>
      </w:pPr>
      <w:r>
        <w:rPr>
          <w:lang w:val="en_US" w:bidi="en_US"/>
        </w:rPr>
      </w:r>
      <w:r>
        <w:rPr>
          <w:lang w:val="en_US" w:bidi="en_US"/>
        </w:rPr>
        <w:t>in order to cause/allow him to enter as soon as he announces his return.</w:t>
      </w:r>
    </w:p>
    <w:p>
      <w:pPr/>
      <w:r>
        <w:rPr>
          <w:lang w:val="en_US" w:bidi="en_US"/>
        </w:rPr>
      </w:r>
      <w:r>
        <w:rPr>
          <w:b/>
          <w:lang w:val="en_US" w:bidi="en_US"/>
        </w:rPr>
        <w:t>so that when he comes and knocks, they can open the door for him at once:</w:t>
      </w:r>
      <w:r>
        <w:rPr>
          <w:lang w:val="en_US" w:bidi="en_US"/>
        </w:rPr>
        <w:t xml:space="preserve"> This clause tells the purpose for which the servants were waiting alertly for their master. They were dressed, ready to serve him, and they had their lamps burning so that they could open the door and let him into the house as soon as he arrived.</w:t>
      </w:r>
    </w:p>
    <w:p>
      <w:pPr/>
      <w:r>
        <w:rPr>
          <w:lang w:val="en_US" w:bidi="en_US"/>
        </w:rPr>
      </w:r>
      <w:r>
        <w:rPr>
          <w:b/>
          <w:lang w:val="en_US" w:bidi="en_US"/>
        </w:rPr>
        <w:t>he comes and knocks:</w:t>
      </w:r>
      <w:r>
        <w:rPr>
          <w:lang w:val="en_US" w:bidi="en_US"/>
        </w:rPr>
        <w:t xml:space="preserve"> To </w:t>
      </w:r>
      <w:r>
        <w:rPr>
          <w:i/>
          <w:lang w:val="en_US" w:bidi="en_US"/>
        </w:rPr>
        <w:t>knock</w:t>
      </w:r>
      <w:r>
        <w:rPr>
          <w:lang w:val="en_US" w:bidi="en_US"/>
        </w:rPr>
        <w:t xml:space="preserve"> has a symbolic meaning here. In the Jewish culture, when a person arrives at someone’s home, he makes known his arrival by knocking on the door of the house. In some cultures, people do not knock on the door. They call or cough or indicate in some other way that they have arrived. If the action of knocking on a door does not have this meaning in your culture, you may:</w:t>
      </w:r>
    </w:p>
    <w:p>
      <w:pPr>
        <w:pStyle w:val="ListBullet"/>
        <w:spacing w:line="240" w:lineRule="auto"/>
        <w:ind w:left="720"/>
      </w:pPr>
      <w:r>
        <w:rPr>
          <w:lang w:val="en_US" w:bidi="en_US"/>
        </w:rPr>
      </w:r>
      <w:r>
        <w:rPr>
          <w:lang w:val="en_US" w:bidi="en_US"/>
        </w:rPr>
        <w:t>Make explicit the meaning of the action. For example:</w:t>
      </w:r>
      <w:r>
        <w:rPr>
          <w:lang w:val="en_US" w:bidi="en_US"/>
        </w:rPr>
        <w:t>when he comes and knocks to indicate that he has arrived</w:t>
      </w:r>
    </w:p>
    <w:p>
      <w:pPr>
        <w:pStyle w:val="ListBullet"/>
        <w:spacing w:line="240" w:lineRule="auto"/>
        <w:ind w:left="720"/>
      </w:pPr>
      <w:r>
        <w:rPr>
          <w:lang w:val="en_US" w:bidi="en_US"/>
        </w:rPr>
      </w:r>
      <w:r>
        <w:rPr>
          <w:lang w:val="en_US" w:bidi="en_US"/>
        </w:rPr>
        <w:t>Use an action that has the right meaning in your area. For example:</w:t>
      </w:r>
      <w:r>
        <w:rPr>
          <w:lang w:val="en_US" w:bidi="en_US"/>
        </w:rPr>
        <w:t>when he arrives and calls out</w:t>
      </w:r>
    </w:p>
    <w:p>
      <w:pPr>
        <w:pStyle w:val="ListBullet"/>
        <w:spacing w:line="240" w:lineRule="auto"/>
        <w:ind w:left="720"/>
      </w:pPr>
      <w:r>
        <w:rPr>
          <w:lang w:val="en_US" w:bidi="en_US"/>
        </w:rPr>
      </w:r>
      <w:r>
        <w:rPr>
          <w:lang w:val="en_US" w:bidi="en_US"/>
        </w:rPr>
        <w:t>Translate the meaning without the action. For example:</w:t>
      </w:r>
      <w:r>
        <w:rPr>
          <w:lang w:val="en_US" w:bidi="en_US"/>
        </w:rPr>
        <w:t>when he arrives and makes known to them that he is there</w:t>
      </w:r>
    </w:p>
    <w:p>
      <w:pPr/>
      <w:r>
        <w:rPr>
          <w:lang w:val="en_US" w:bidi="en_US"/>
        </w:rPr>
      </w:r>
      <w:r>
        <w:rPr>
          <w:lang w:val="en_US" w:bidi="en_US"/>
        </w:rPr>
        <w:t>See how you translated the verb “knock” in 11:9d.</w:t>
      </w:r>
    </w:p>
    <w:p>
      <w:pPr/>
      <w:r>
        <w:rPr>
          <w:lang w:val="en_US" w:bidi="en_US"/>
        </w:rPr>
      </w:r>
      <w:r>
        <w:rPr>
          <w:b/>
          <w:lang w:val="en_US" w:bidi="en_US"/>
        </w:rPr>
        <w:t>they can open the door for him at once:</w:t>
      </w:r>
      <w:r>
        <w:rPr>
          <w:lang w:val="en_US" w:bidi="en_US"/>
        </w:rPr>
        <w:t xml:space="preserve"> The phrase </w:t>
      </w:r>
      <w:r>
        <w:rPr>
          <w:i/>
          <w:lang w:val="en_US" w:bidi="en_US"/>
        </w:rPr>
        <w:t>open the door for him</w:t>
      </w:r>
      <w:r>
        <w:rPr>
          <w:lang w:val="en_US" w:bidi="en_US"/>
        </w:rPr>
        <w:t xml:space="preserve"> indicates that the servants will unlock and open the door so that their master can enter. In some languages it may not be necessary to make </w:t>
      </w:r>
      <w:r>
        <w:rPr>
          <w:i/>
          <w:lang w:val="en_US" w:bidi="en_US"/>
        </w:rPr>
        <w:t>the door</w:t>
      </w:r>
      <w:r>
        <w:rPr>
          <w:lang w:val="en_US" w:bidi="en_US"/>
        </w:rPr>
        <w:t xml:space="preserve"> explicit, depending on how you translated “knocks” in the preceding clause. Use an expression that is natural in your language.</w:t>
      </w:r>
      <w:r>
        <w:rPr>
          <w:lang w:val="en_US" w:bidi="en_US"/>
        </w:rPr>
      </w:r>
      <w:r>
        <w:rPr>
          <w:lang w:val="en_US" w:bidi="en_US"/>
        </w:rPr>
      </w:r>
    </w:p>
    <w:p>
      <w:pPr/>
      <w:r>
        <w:rPr>
          <w:lang w:val="en_US" w:bidi="en_US"/>
        </w:rPr>
      </w:r>
    </w:p>
    <w:p>
      <w:pPr>
        <w:pStyle w:val="Heading2"/>
      </w:pPr>
      <w:r>
        <w:rPr>
          <w:lang w:val="en_US" w:bidi="en_US"/>
        </w:rPr>
        <w:t>Luke 12:37</w:t>
      </w:r>
      <w:r>
        <w:rPr>
          <w:lang w:val="en_US" w:bidi="en_US"/>
        </w:rPr>
      </w:r>
    </w:p>
    <w:p>
      <w:pPr>
        <w:pStyle w:val="Heading4"/>
      </w:pPr>
      <w:r>
        <w:rPr>
          <w:lang w:val="en_US" w:bidi="en_US"/>
        </w:rPr>
        <w:t>Section 12:35–48: Jesus’ servants should be watchful and faithful</w:t>
      </w:r>
    </w:p>
    <w:p>
      <w:pPr/>
      <w:r>
        <w:rPr>
          <w:lang w:val="en_US" w:bidi="en_US"/>
        </w:rPr>
      </w:r>
      <w:r>
        <w:rPr>
          <w:lang w:val="en_US" w:bidi="en_US"/>
        </w:rP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pPr/>
      <w:r>
        <w:rPr>
          <w:lang w:val="en_US" w:bidi="en_US"/>
        </w:rPr>
      </w:r>
      <w:r>
        <w:rPr>
          <w:lang w:val="en_US" w:bidi="en_US"/>
        </w:rPr>
        <w:t>Some other headings for this section are:</w:t>
      </w:r>
    </w:p>
    <w:p>
      <w:pPr/>
      <w:r>
        <w:rPr>
          <w:lang w:val="en_US" w:bidi="en_US"/>
        </w:rPr>
      </w:r>
      <w:r>
        <w:rPr>
          <w:lang w:val="en_US" w:bidi="en_US"/>
        </w:rPr>
        <w:t>Faithful and Unfaithful Servants (CEV)</w:t>
      </w:r>
    </w:p>
    <w:p>
      <w:pPr/>
      <w:r>
        <w:rPr>
          <w:lang w:val="en_US" w:bidi="en_US"/>
        </w:rPr>
      </w:r>
      <w:r>
        <w:rPr>
          <w:lang w:val="en_US" w:bidi="en_US"/>
        </w:rPr>
        <w:t>Be Ready for the Lord’s Coming (NLT)</w:t>
      </w:r>
    </w:p>
    <w:p>
      <w:pPr/>
      <w:r>
        <w:rPr>
          <w:lang w:val="en_US" w:bidi="en_US"/>
        </w:rPr>
      </w:r>
      <w:r>
        <w:rPr>
          <w:lang w:val="en_US" w:bidi="en_US"/>
        </w:rPr>
        <w:t>Watchfulness (NIV)</w:t>
      </w:r>
    </w:p>
    <w:p>
      <w:pPr/>
      <w:r>
        <w:rPr>
          <w:lang w:val="en_US" w:bidi="en_US"/>
        </w:rPr>
      </w:r>
      <w:r>
        <w:rPr>
          <w:lang w:val="en_US" w:bidi="en_US"/>
        </w:rPr>
        <w:t>There is a parallel passage for 12:41–48 in Matthew 24:45–51.</w:t>
      </w:r>
    </w:p>
    <w:p>
      <w:pPr>
        <w:pStyle w:val="Heading4"/>
      </w:pPr>
      <w:r>
        <w:rPr>
          <w:lang w:val="en_US" w:bidi="en_US"/>
        </w:rPr>
        <w:t>Paragraph 12:35–38</w:t>
      </w:r>
    </w:p>
    <w:p>
      <w:pPr/>
      <w:r>
        <w:rPr>
          <w:lang w:val="en_US" w:bidi="en_US"/>
        </w:rPr>
      </w:r>
      <w:r>
        <w:rPr>
          <w:lang w:val="en_US" w:bidi="en_US"/>
        </w:rPr>
        <w:t>In this paragraph Jesus continued to speak. It may be helpful to indicate this here at the beginning of this new section. For example:</w:t>
      </w:r>
    </w:p>
    <w:p>
      <w:pPr/>
      <w:r>
        <w:rPr>
          <w:lang w:val="en_US" w:bidi="en_US"/>
        </w:rPr>
      </w:r>
      <w:r>
        <w:rPr>
          <w:lang w:val="en_US" w:bidi="en_US"/>
        </w:rPr>
        <w:t>Jesus also said</w:t>
      </w:r>
      <w:r>
        <w:rPr>
          <w:lang w:val="en_US" w:bidi="en_US"/>
        </w:rPr>
        <w:t xml:space="preserve"> …</w:t>
      </w:r>
    </w:p>
    <w:p>
      <w:pPr/>
      <w:r>
        <w:rPr>
          <w:lang w:val="en_US" w:bidi="en_US"/>
        </w:rPr>
      </w:r>
      <w:r>
        <w:rPr>
          <w:lang w:val="en_US" w:bidi="en_US"/>
        </w:rPr>
        <w:t>Jesus continued teaching</w:t>
      </w:r>
      <w:r>
        <w:rPr>
          <w:lang w:val="en_US" w:bidi="en_US"/>
        </w:rPr>
        <w:t xml:space="preserve"> </w:t>
      </w:r>
      <w:r>
        <w:rPr>
          <w:lang w:val="en_US" w:bidi="en_US"/>
        </w:rPr>
        <w:t>his disciples</w:t>
      </w:r>
      <w:r>
        <w:rPr>
          <w:lang w:val="en_US" w:bidi="en_US"/>
        </w:rPr>
        <w:t xml:space="preserve"> </w:t>
      </w:r>
      <w:r>
        <w:rPr>
          <w:lang w:val="en_US" w:bidi="en_US"/>
        </w:rPr>
        <w:t>and he said</w:t>
      </w:r>
      <w:r>
        <w:rPr>
          <w:lang w:val="en_US" w:bidi="en_US"/>
        </w:rPr>
        <w:t>…</w:t>
      </w:r>
    </w:p>
    <w:p>
      <w:pPr>
        <w:pStyle w:val="Heading5"/>
      </w:pPr>
      <w:r>
        <w:rPr>
          <w:lang w:val="en_US" w:bidi="en_US"/>
        </w:rPr>
        <w:t>12:37a</w:t>
      </w:r>
    </w:p>
    <w:p>
      <w:pPr/>
      <w:r>
        <w:rPr>
          <w:lang w:val="en_US" w:bidi="en_US"/>
        </w:rPr>
      </w:r>
      <w:r>
        <w:rPr>
          <w:b/>
          <w:lang w:val="en_US" w:bidi="en_US"/>
        </w:rPr>
        <w:t>Blessed are those servants whom the master finds on watch when he returns.</w:t>
      </w:r>
    </w:p>
    <w:p>
      <w:pPr>
        <w:pStyle w:val="ListBullet"/>
        <w:spacing w:line="240" w:lineRule="auto"/>
        <w:ind w:left="720"/>
      </w:pPr>
      <w:r>
        <w:rPr>
          <w:lang w:val="en_US" w:bidi="en_US"/>
        </w:rPr>
      </w:r>
      <w:r>
        <w:rPr>
          <w:lang w:val="en_US" w:bidi="en_US"/>
        </w:rPr>
        <w:t>Those servants will be truly happy/fortunate when their master sees that they have been watching for him to return.</w:t>
      </w:r>
    </w:p>
    <w:p>
      <w:pPr>
        <w:pStyle w:val="ListBullet"/>
        <w:spacing w:line="240" w:lineRule="auto"/>
        <w:ind w:left="720"/>
      </w:pPr>
      <w:r>
        <w:rPr>
          <w:lang w:val="en_US" w:bidi="en_US"/>
        </w:rPr>
      </w:r>
      <w:r>
        <w:rPr>
          <w:lang w:val="en_US" w:bidi="en_US"/>
        </w:rPr>
        <w:t xml:space="preserve">When their master returns and realizes/discovers that his servants are </w:t>
      </w:r>
      <w:r>
        <w:rPr>
          <w:lang w:val="en_US" w:bidi="en_US"/>
        </w:rPr>
        <w:t>awake and</w:t>
      </w:r>
      <w:r>
        <w:rPr>
          <w:lang w:val="en_US" w:bidi="en_US"/>
        </w:rPr>
        <w:t xml:space="preserve"> watching </w:t>
      </w:r>
      <w:r>
        <w:rPr>
          <w:lang w:val="en_US" w:bidi="en_US"/>
        </w:rPr>
        <w:t>for him</w:t>
      </w:r>
      <w:r>
        <w:rPr>
          <w:lang w:val="en_US" w:bidi="en_US"/>
        </w:rPr>
        <w:t>, he will be very pleased with them.</w:t>
      </w:r>
    </w:p>
    <w:p>
      <w:pPr>
        <w:pStyle w:val="ListBullet"/>
        <w:spacing w:line="240" w:lineRule="auto"/>
        <w:ind w:left="720"/>
      </w:pPr>
      <w:r>
        <w:rPr>
          <w:lang w:val="en_US" w:bidi="en_US"/>
        </w:rPr>
      </w:r>
      <w:r>
        <w:rPr>
          <w:lang w:val="en_US" w:bidi="en_US"/>
        </w:rPr>
        <w:t>The master will certainly reward those servants whom he finds watching for his return.</w:t>
      </w:r>
    </w:p>
    <w:p>
      <w:pPr/>
      <w:r>
        <w:rPr>
          <w:lang w:val="en_US" w:bidi="en_US"/>
        </w:rPr>
      </w:r>
      <w:r>
        <w:rPr>
          <w:b/>
          <w:lang w:val="en_US" w:bidi="en_US"/>
        </w:rPr>
        <w:t>Blessed are those servants whom the master finds on watch when he returns:</w:t>
      </w:r>
      <w:r>
        <w:rPr>
          <w:lang w:val="en_US" w:bidi="en_US"/>
        </w:rPr>
        <w:t xml:space="preserve"> In this context there is one master, and he has more than one servant. Your translation should not imply that there is more than one master. Some other ways to translate the clause are:</w:t>
      </w:r>
    </w:p>
    <w:p>
      <w:pPr/>
      <w:r>
        <w:rPr>
          <w:lang w:val="en_US" w:bidi="en_US"/>
        </w:rPr>
      </w:r>
      <w:r>
        <w:rPr>
          <w:lang w:val="en_US" w:bidi="en_US"/>
        </w:rPr>
        <w:t>How happy are those servants whose master finds them awake (GNT)</w:t>
      </w:r>
    </w:p>
    <w:p>
      <w:pPr/>
      <w:r>
        <w:rPr>
          <w:lang w:val="en_US" w:bidi="en_US"/>
        </w:rPr>
      </w:r>
      <w:r>
        <w:rPr>
          <w:lang w:val="en_US" w:bidi="en_US"/>
        </w:rPr>
        <w:t>Blessed are those servants whom the master finds awake</w:t>
      </w:r>
    </w:p>
    <w:p>
      <w:pPr/>
      <w:r>
        <w:rPr>
          <w:lang w:val="en_US" w:bidi="en_US"/>
        </w:rPr>
      </w:r>
      <w:r>
        <w:rPr>
          <w:lang w:val="en_US" w:bidi="en_US"/>
        </w:rPr>
        <w:t>If their master finds them watching when he arrives, those servants will be most blessed/fortunate.</w:t>
      </w:r>
    </w:p>
    <w:p>
      <w:pPr/>
      <w:r>
        <w:rPr>
          <w:lang w:val="en_US" w:bidi="en_US"/>
        </w:rPr>
      </w:r>
      <w:r>
        <w:rPr>
          <w:b/>
          <w:lang w:val="en_US" w:bidi="en_US"/>
        </w:rPr>
        <w:t>Blessed are those servants:</w:t>
      </w:r>
      <w:r>
        <w:rPr>
          <w:lang w:val="en_US" w:bidi="en_US"/>
        </w:rPr>
        <w:t xml:space="preserve"> The Greek phrase that the BSB translates literally as </w:t>
      </w:r>
      <w:r>
        <w:rPr>
          <w:i/>
          <w:lang w:val="en_US" w:bidi="en_US"/>
        </w:rPr>
        <w:t>Blessed are those servants</w:t>
      </w:r>
      <w:r>
        <w:rPr>
          <w:lang w:val="en_US" w:bidi="en_US"/>
        </w:rPr>
        <w:t xml:space="preserve"> means that these servants will be truly happy or fortunate. In this context it implies that their master will be pleased with them and will show them special favor.</w:t>
      </w:r>
    </w:p>
    <w:p>
      <w:pPr/>
      <w:r>
        <w:rPr>
          <w:lang w:val="en_US" w:bidi="en_US"/>
        </w:rPr>
      </w:r>
      <w:r>
        <w:rPr>
          <w:lang w:val="en_US" w:bidi="en_US"/>
        </w:rPr>
        <w:t>See bless, Meaning 3 in the Glossary.</w:t>
      </w:r>
    </w:p>
    <w:p>
      <w:pPr/>
      <w:r>
        <w:rPr>
          <w:lang w:val="en_US" w:bidi="en_US"/>
        </w:rPr>
      </w:r>
      <w:r>
        <w:rPr>
          <w:b/>
          <w:lang w:val="en_US" w:bidi="en_US"/>
        </w:rPr>
        <w:t>servants:</w:t>
      </w:r>
      <w:r>
        <w:rPr>
          <w:lang w:val="en_US" w:bidi="en_US"/>
        </w:rPr>
        <w:t xml:space="preserve"> The Greek word that the BSB translates as </w:t>
      </w:r>
      <w:r>
        <w:rPr>
          <w:i/>
          <w:lang w:val="en_US" w:bidi="en_US"/>
        </w:rPr>
        <w:t>servants</w:t>
      </w:r>
      <w:r>
        <w:rPr>
          <w:lang w:val="en_US" w:bidi="en_US"/>
        </w:rPr>
        <w:t xml:space="preserve"> also means “slaves.” Some English versions, such as the NASB and NRSV, translate it that way. These people were owned by another person. They worked for their owner/master without receiving pay.</w:t>
      </w:r>
    </w:p>
    <w:p>
      <w:pPr/>
      <w:r>
        <w:rPr>
          <w:lang w:val="en_US" w:bidi="en_US"/>
        </w:rPr>
      </w:r>
      <w:r>
        <w:rPr>
          <w:lang w:val="en_US" w:bidi="en_US"/>
        </w:rPr>
        <w:t>In some cultures, slaves may not be known. In other cultures, a word such as “slaves” may have the wrong connotations. If that is true in your language, other ways to translate this are:</w:t>
      </w:r>
    </w:p>
    <w:p>
      <w:pPr/>
      <w:r>
        <w:rPr>
          <w:lang w:val="en_US" w:bidi="en_US"/>
        </w:rPr>
      </w:r>
      <w:r>
        <w:rPr>
          <w:lang w:val="en_US" w:bidi="en_US"/>
        </w:rPr>
        <w:t>workers</w:t>
      </w:r>
    </w:p>
    <w:p>
      <w:pPr/>
      <w:r>
        <w:rPr>
          <w:lang w:val="en_US" w:bidi="en_US"/>
        </w:rPr>
      </w:r>
      <w:r>
        <w:rPr>
          <w:lang w:val="en_US" w:bidi="en_US"/>
        </w:rPr>
        <w:t>servants</w:t>
      </w:r>
    </w:p>
    <w:p>
      <w:pPr/>
      <w:r>
        <w:rPr>
          <w:lang w:val="en_US" w:bidi="en_US"/>
        </w:rPr>
      </w:r>
      <w:r>
        <w:rPr>
          <w:b/>
          <w:lang w:val="en_US" w:bidi="en_US"/>
        </w:rPr>
        <w:t>whom the master finds on watch when he returns:</w:t>
      </w:r>
      <w:r>
        <w:rPr>
          <w:lang w:val="en_US" w:bidi="en_US"/>
        </w:rPr>
        <w:t xml:space="preserve"> The clause </w:t>
      </w:r>
      <w:r>
        <w:rPr>
          <w:i/>
          <w:lang w:val="en_US" w:bidi="en_US"/>
        </w:rPr>
        <w:t>whom the master finds on watch when he returns</w:t>
      </w:r>
      <w:r>
        <w:rPr>
          <w:lang w:val="en_US" w:bidi="en_US"/>
        </w:rPr>
        <w:t xml:space="preserve"> indicates here that the master sees that his servants are awake and expecting him to come. Some other ways to translate this are:</w:t>
      </w:r>
    </w:p>
    <w:p>
      <w:pPr/>
      <w:r>
        <w:rPr>
          <w:lang w:val="en_US" w:bidi="en_US"/>
        </w:rPr>
      </w:r>
      <w:r>
        <w:rPr>
          <w:lang w:val="en_US" w:bidi="en_US"/>
        </w:rPr>
        <w:t>whose master finds them awake and ready (GNT)</w:t>
      </w:r>
    </w:p>
    <w:p>
      <w:pPr/>
      <w:r>
        <w:rPr>
          <w:lang w:val="en_US" w:bidi="en_US"/>
        </w:rPr>
      </w:r>
      <w:r>
        <w:rPr>
          <w:lang w:val="en_US" w:bidi="en_US"/>
        </w:rPr>
        <w:t>he sees that they were watching for him (NCV)</w:t>
      </w:r>
    </w:p>
    <w:p>
      <w:pPr/>
      <w:r>
        <w:rPr>
          <w:lang w:val="en_US" w:bidi="en_US"/>
        </w:rPr>
      </w:r>
      <w:r>
        <w:rPr>
          <w:lang w:val="en_US" w:bidi="en_US"/>
        </w:rPr>
        <w:t>whom the master finds alert (NRSV)</w:t>
      </w:r>
    </w:p>
    <w:p>
      <w:pPr>
        <w:pStyle w:val="Heading5"/>
      </w:pPr>
      <w:r>
        <w:rPr>
          <w:lang w:val="en_US" w:bidi="en_US"/>
        </w:rPr>
        <w:t>12:37b</w:t>
      </w:r>
    </w:p>
    <w:p>
      <w:pPr/>
      <w:r>
        <w:rPr>
          <w:lang w:val="en_US" w:bidi="en_US"/>
        </w:rPr>
      </w:r>
      <w:r>
        <w:rPr>
          <w:b/>
          <w:lang w:val="en_US" w:bidi="en_US"/>
        </w:rPr>
        <w:t>Truly I tell you, he will dress himself to serve</w:t>
      </w:r>
    </w:p>
    <w:p>
      <w:pPr>
        <w:pStyle w:val="ListBullet"/>
        <w:spacing w:line="240" w:lineRule="auto"/>
        <w:ind w:left="720"/>
      </w:pPr>
      <w:r>
        <w:rPr>
          <w:lang w:val="en_US" w:bidi="en_US"/>
        </w:rPr>
      </w:r>
      <w:r>
        <w:rPr>
          <w:lang w:val="en_US" w:bidi="en_US"/>
        </w:rPr>
        <w:t>In fact, he will put on the clothes of a servant,</w:t>
      </w:r>
    </w:p>
    <w:p>
      <w:pPr>
        <w:pStyle w:val="ListBullet"/>
        <w:spacing w:line="240" w:lineRule="auto"/>
        <w:ind w:left="720"/>
      </w:pPr>
      <w:r>
        <w:rPr>
          <w:lang w:val="en_US" w:bidi="en_US"/>
        </w:rPr>
      </w:r>
      <w:r>
        <w:rPr>
          <w:lang w:val="en_US" w:bidi="en_US"/>
        </w:rPr>
        <w:t>I assure you that he will dress in work clothes,</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xml:space="preserve"> of this, he will prepare to work,</w:t>
      </w:r>
    </w:p>
    <w:p>
      <w:pPr/>
      <w:r>
        <w:rPr>
          <w:lang w:val="en_US" w:bidi="en_US"/>
        </w:rPr>
      </w:r>
      <w:r>
        <w:rPr>
          <w:b/>
          <w:lang w:val="en_US" w:bidi="en_US"/>
        </w:rPr>
        <w:t>Truly I tell you:</w:t>
      </w:r>
      <w:r>
        <w:rPr>
          <w:lang w:val="en_US" w:bidi="en_US"/>
        </w:rPr>
        <w:t xml:space="preserve"> Jesus often used the words </w:t>
      </w:r>
      <w:r>
        <w:rPr>
          <w:i/>
          <w:lang w:val="en_US" w:bidi="en_US"/>
        </w:rPr>
        <w:t>Truly I tell you</w:t>
      </w:r>
      <w:r>
        <w:rPr>
          <w:lang w:val="en_US" w:bidi="en_US"/>
        </w:rPr>
        <w:t xml:space="preserve"> to introduce a statement that he wanted to emphasize. He wanted people to listen with extra attention. Some other ways to show this emphasis are:</w:t>
      </w:r>
    </w:p>
    <w:p>
      <w:pPr/>
      <w:r>
        <w:rPr>
          <w:lang w:val="en_US" w:bidi="en_US"/>
        </w:rPr>
      </w:r>
      <w:r>
        <w:rPr>
          <w:lang w:val="en_US" w:bidi="en_US"/>
        </w:rPr>
        <w:t>I assure you (JBP)</w:t>
      </w:r>
    </w:p>
    <w:p>
      <w:pPr/>
      <w:r>
        <w:rPr>
          <w:lang w:val="en_US" w:bidi="en_US"/>
        </w:rPr>
      </w:r>
      <w:r>
        <w:rPr>
          <w:lang w:val="en_US" w:bidi="en_US"/>
        </w:rPr>
        <w:t>I can guarantee this truth (GW)</w:t>
      </w:r>
    </w:p>
    <w:p>
      <w:pPr/>
      <w:r>
        <w:rPr>
          <w:lang w:val="en_US" w:bidi="en_US"/>
        </w:rPr>
      </w:r>
      <w:r>
        <w:rPr>
          <w:lang w:val="en_US" w:bidi="en_US"/>
        </w:rPr>
        <w:t>This expression first occurs in Luke at 4:24a. It has almost the same meaning as the expression “I tell you,” which first occurs in Luke in 10:12.</w:t>
      </w:r>
    </w:p>
    <w:p>
      <w:pPr/>
      <w:r>
        <w:rPr>
          <w:lang w:val="en_US" w:bidi="en_US"/>
        </w:rPr>
      </w:r>
      <w:r>
        <w:rPr>
          <w:b/>
          <w:lang w:val="en_US" w:bidi="en_US"/>
        </w:rPr>
        <w:t>he will dress himself to serve:</w:t>
      </w:r>
      <w:r>
        <w:rPr>
          <w:lang w:val="en_US" w:bidi="en_US"/>
        </w:rPr>
        <w:t xml:space="preserve"> The Greek verb that the BSB translates as </w:t>
      </w:r>
      <w:r>
        <w:rPr>
          <w:i/>
          <w:lang w:val="en_US" w:bidi="en_US"/>
        </w:rPr>
        <w:t>he will dress himself to serve</w:t>
      </w:r>
      <w:r>
        <w:rPr>
          <w:lang w:val="en_US" w:bidi="en_US"/>
        </w:rPr>
        <w:t xml:space="preserve"> is literally “he will gird himself.” Some English versions, such as the RSV, translate it that way. It is a different form of the same verb used in 12:35. See the note there. In 12:35 the verb was used as a metaphor for a servant being ready.</w:t>
      </w:r>
    </w:p>
    <w:p>
      <w:pPr/>
      <w:r>
        <w:rPr>
          <w:lang w:val="en_US" w:bidi="en_US"/>
        </w:rPr>
      </w:r>
      <w:r>
        <w:rPr>
          <w:lang w:val="en_US" w:bidi="en_US"/>
        </w:rPr>
        <w:t>In the parable in this context, the master had just returned from a wedding feast. He may have changed his clothes, but it is also possible that he simply tucked his robe up into the sash around his waist. Either way, the clause literally describes what the master did with his clothes in order to serve a meal to his servants.</w:t>
      </w:r>
    </w:p>
    <w:p>
      <w:pPr/>
      <w:r>
        <w:rPr>
          <w:lang w:val="en_US" w:bidi="en_US"/>
        </w:rPr>
      </w:r>
      <w:r>
        <w:rPr>
          <w:lang w:val="en_US" w:bidi="en_US"/>
        </w:rPr>
        <w:t>In some languages a literal translation of the clause will not be clear. Some other ways to translate it are:</w:t>
      </w:r>
    </w:p>
    <w:p>
      <w:pPr>
        <w:pStyle w:val="ListBullet"/>
        <w:spacing w:line="240" w:lineRule="auto"/>
        <w:ind w:left="720"/>
      </w:pPr>
      <w:r>
        <w:rPr>
          <w:lang w:val="en_US" w:bidi="en_US"/>
        </w:rPr>
      </w:r>
      <w:r>
        <w:rPr>
          <w:lang w:val="en_US" w:bidi="en_US"/>
        </w:rPr>
        <w:t>Use clothing that is appropriate in your culture for expressing the meaning. For example:</w:t>
      </w:r>
      <w:r>
        <w:rPr>
          <w:lang w:val="en_US" w:bidi="en_US"/>
        </w:rPr>
        <w:t>He will hitch up his robe (REB)</w:t>
      </w:r>
      <w:r>
        <w:rPr>
          <w:lang w:val="en_US" w:bidi="en_US"/>
        </w:rPr>
        <w:t>He will fasten his belt (NRSV)</w:t>
      </w:r>
      <w:r>
        <w:rPr>
          <w:lang w:val="en_US" w:bidi="en_US"/>
        </w:rPr>
        <w:t>put on an apron (NLT)</w:t>
      </w:r>
    </w:p>
    <w:p>
      <w:pPr>
        <w:pStyle w:val="ListBullet"/>
        <w:spacing w:line="240" w:lineRule="auto"/>
        <w:ind w:left="720"/>
      </w:pPr>
      <w:r>
        <w:rPr>
          <w:lang w:val="en_US" w:bidi="en_US"/>
        </w:rPr>
      </w:r>
      <w:r>
        <w:rPr>
          <w:lang w:val="en_US" w:bidi="en_US"/>
        </w:rPr>
        <w:t>Refer to clothing in general and make the function explicit, if necessary. For example:</w:t>
      </w:r>
      <w:r>
        <w:rPr>
          <w:lang w:val="en_US" w:bidi="en_US"/>
        </w:rPr>
        <w:t>He will change his clothes (GW)</w:t>
      </w:r>
      <w:r>
        <w:rPr>
          <w:lang w:val="en_US" w:bidi="en_US"/>
        </w:rPr>
        <w:t>He will dress himself to serve (NCV)</w:t>
      </w:r>
    </w:p>
    <w:p>
      <w:pPr>
        <w:pStyle w:val="ListBullet"/>
        <w:spacing w:line="240" w:lineRule="auto"/>
        <w:ind w:left="720"/>
      </w:pPr>
      <w:r>
        <w:rPr>
          <w:lang w:val="en_US" w:bidi="en_US"/>
        </w:rPr>
      </w:r>
      <w:r>
        <w:rPr>
          <w:lang w:val="en_US" w:bidi="en_US"/>
        </w:rPr>
        <w:t>Omit the reference to clothing. Translate only the function of the clothing. For example:</w:t>
      </w:r>
      <w:r>
        <w:rPr>
          <w:lang w:val="en_US" w:bidi="en_US"/>
        </w:rPr>
        <w:t>he will get ready (CEV)</w:t>
      </w:r>
    </w:p>
    <w:p>
      <w:pPr/>
      <w:r>
        <w:rPr>
          <w:lang w:val="en_US" w:bidi="en_US"/>
        </w:rPr>
      </w:r>
      <w:r>
        <w:rPr>
          <w:lang w:val="en_US" w:bidi="en_US"/>
        </w:rPr>
        <w:t>Consider how the people in your language area dress themselves in order to do work such as cooking and serving food.</w:t>
      </w:r>
    </w:p>
    <w:p>
      <w:pPr>
        <w:pStyle w:val="Heading5"/>
      </w:pPr>
      <w:r>
        <w:rPr>
          <w:lang w:val="en_US" w:bidi="en_US"/>
        </w:rPr>
        <w:t>12:37c</w:t>
      </w:r>
    </w:p>
    <w:p>
      <w:pPr/>
      <w:r>
        <w:rPr>
          <w:lang w:val="en_US" w:bidi="en_US"/>
        </w:rPr>
      </w:r>
      <w:r>
        <w:rPr>
          <w:b/>
          <w:lang w:val="en_US" w:bidi="en_US"/>
        </w:rPr>
        <w:t>and will have them recline at the table, and he himself will come and wait on them.</w:t>
      </w:r>
    </w:p>
    <w:p>
      <w:pPr>
        <w:pStyle w:val="ListBullet"/>
        <w:spacing w:line="240" w:lineRule="auto"/>
        <w:ind w:left="720"/>
      </w:pPr>
      <w:r>
        <w:rPr>
          <w:lang w:val="en_US" w:bidi="en_US"/>
        </w:rPr>
      </w:r>
      <w:r>
        <w:rPr>
          <w:lang w:val="en_US" w:bidi="en_US"/>
        </w:rPr>
        <w:t xml:space="preserve">and he will tell </w:t>
      </w:r>
      <w:r>
        <w:rPr>
          <w:lang w:val="en_US" w:bidi="en_US"/>
        </w:rPr>
        <w:t>his servants</w:t>
      </w:r>
      <w:r>
        <w:rPr>
          <w:lang w:val="en_US" w:bidi="en_US"/>
        </w:rPr>
        <w:t xml:space="preserve"> to sit down </w:t>
      </w:r>
      <w:r>
        <w:rPr>
          <w:lang w:val="en_US" w:bidi="en_US"/>
        </w:rPr>
        <w:t>at the table</w:t>
      </w:r>
      <w:r>
        <w:rPr>
          <w:lang w:val="en_US" w:bidi="en_US"/>
        </w:rPr>
        <w:t>. Then he will serve food to them.</w:t>
      </w:r>
    </w:p>
    <w:p>
      <w:pPr>
        <w:pStyle w:val="ListBullet"/>
        <w:spacing w:line="240" w:lineRule="auto"/>
        <w:ind w:left="720"/>
      </w:pPr>
      <w:r>
        <w:rPr>
          <w:lang w:val="en_US" w:bidi="en_US"/>
        </w:rPr>
      </w:r>
      <w:r>
        <w:rPr>
          <w:lang w:val="en_US" w:bidi="en_US"/>
        </w:rPr>
        <w:t>and then he will cause his servants to sit down to eat and he will feed/serve them.</w:t>
      </w:r>
    </w:p>
    <w:p>
      <w:pPr/>
      <w:r>
        <w:rPr>
          <w:lang w:val="en_US" w:bidi="en_US"/>
        </w:rPr>
      </w:r>
      <w:r>
        <w:rPr>
          <w:b/>
          <w:lang w:val="en_US" w:bidi="en_US"/>
        </w:rPr>
        <w:t>will have them recline at the table:</w:t>
      </w:r>
      <w:r>
        <w:rPr>
          <w:lang w:val="en_US" w:bidi="en_US"/>
        </w:rPr>
        <w:t xml:space="preserve"> The Greek verb that the BSB translates as </w:t>
      </w:r>
      <w:r>
        <w:rPr>
          <w:i/>
          <w:lang w:val="en_US" w:bidi="en_US"/>
        </w:rPr>
        <w:t>have them recline at the table</w:t>
      </w:r>
      <w:r>
        <w:rPr>
          <w:lang w:val="en_US" w:bidi="en_US"/>
        </w:rPr>
        <w:t xml:space="preserve"> is literally “have them recline.” The BSB has supplied the phrase </w:t>
      </w:r>
      <w:r>
        <w:rPr>
          <w:i/>
          <w:lang w:val="en_US" w:bidi="en_US"/>
        </w:rPr>
        <w:t>at the table</w:t>
      </w:r>
      <w:r>
        <w:rPr>
          <w:lang w:val="en_US" w:bidi="en_US"/>
        </w:rPr>
        <w:t xml:space="preserve"> to indicate the specific meaning in this context.</w:t>
      </w:r>
    </w:p>
    <w:p>
      <w:pPr/>
      <w:r>
        <w:rPr>
          <w:lang w:val="en_US" w:bidi="en_US"/>
        </w:rPr>
      </w:r>
      <w:r>
        <w:rPr>
          <w:lang w:val="en_US" w:bidi="en_US"/>
        </w:rPr>
        <w:t>When people ate formal meals in Jesus’ time, they often lay on couches around a low table. They ate while leaning on one elbow. If people in your culture do not normally lie on couches when they eat formal meals, you may use a natural expression in your culture for this context. For example:</w:t>
      </w:r>
    </w:p>
    <w:p>
      <w:pPr/>
      <w:r>
        <w:rPr>
          <w:lang w:val="en_US" w:bidi="en_US"/>
        </w:rPr>
      </w:r>
      <w:r>
        <w:rPr>
          <w:lang w:val="en_US" w:bidi="en_US"/>
        </w:rPr>
        <w:t>make them sit down at the table (GW)</w:t>
      </w:r>
    </w:p>
    <w:p>
      <w:pPr/>
      <w:r>
        <w:rPr>
          <w:lang w:val="en_US" w:bidi="en_US"/>
        </w:rPr>
      </w:r>
      <w:r>
        <w:rPr>
          <w:lang w:val="en_US" w:bidi="en_US"/>
        </w:rPr>
        <w:t>tell the servants to sit at the table (NCV)</w:t>
      </w:r>
    </w:p>
    <w:p>
      <w:pPr/>
      <w:r>
        <w:rPr>
          <w:lang w:val="en_US" w:bidi="en_US"/>
        </w:rPr>
      </w:r>
      <w:r>
        <w:rPr>
          <w:lang w:val="en_US" w:bidi="en_US"/>
        </w:rPr>
        <w:t>have them sit down to eat (NRSV)</w:t>
      </w:r>
    </w:p>
    <w:p>
      <w:pPr/>
      <w:r>
        <w:rPr>
          <w:lang w:val="en_US" w:bidi="en_US"/>
        </w:rPr>
      </w:r>
      <w:r>
        <w:rPr>
          <w:lang w:val="en_US" w:bidi="en_US"/>
        </w:rPr>
        <w:t>See also 7:36b and 11:37c.</w:t>
      </w:r>
    </w:p>
    <w:p>
      <w:pPr/>
      <w:r>
        <w:rPr>
          <w:lang w:val="en_US" w:bidi="en_US"/>
        </w:rPr>
      </w:r>
      <w:r>
        <w:rPr>
          <w:b/>
          <w:lang w:val="en_US" w:bidi="en_US"/>
        </w:rPr>
        <w:t>and he himself will come and wait on them:</w:t>
      </w:r>
      <w:r>
        <w:rPr>
          <w:lang w:val="en_US" w:bidi="en_US"/>
        </w:rPr>
        <w:t xml:space="preserve"> The phrase </w:t>
      </w:r>
      <w:r>
        <w:rPr>
          <w:i/>
          <w:lang w:val="en_US" w:bidi="en_US"/>
        </w:rPr>
        <w:t>he himself will come and wait on them</w:t>
      </w:r>
      <w:r>
        <w:rPr>
          <w:lang w:val="en_US" w:bidi="en_US"/>
        </w:rPr>
        <w:t xml:space="preserve"> indicates that the master will come to where his servants are at the table and will serve them food. In some languages it may be possible to leave the verb </w:t>
      </w:r>
      <w:r>
        <w:rPr>
          <w:i/>
          <w:lang w:val="en_US" w:bidi="en_US"/>
        </w:rPr>
        <w:t>will come</w:t>
      </w:r>
      <w:r>
        <w:rPr>
          <w:lang w:val="en_US" w:bidi="en_US"/>
        </w:rPr>
        <w:t xml:space="preserve"> implied. For example:</w:t>
      </w:r>
    </w:p>
    <w:p>
      <w:pPr/>
      <w:r>
        <w:rPr>
          <w:lang w:val="en_US" w:bidi="en_US"/>
        </w:rPr>
      </w:r>
      <w:r>
        <w:rPr>
          <w:lang w:val="en_US" w:bidi="en_US"/>
        </w:rPr>
        <w:t>will give/serve them their food</w:t>
      </w:r>
    </w:p>
    <w:p>
      <w:pPr/>
      <w:r>
        <w:rPr>
          <w:lang w:val="en_US" w:bidi="en_US"/>
        </w:rPr>
      </w:r>
      <w:r>
        <w:rPr>
          <w:lang w:val="en_US" w:bidi="en_US"/>
        </w:rPr>
        <w:t>will feed them</w:t>
      </w:r>
      <w:r>
        <w:rPr>
          <w:lang w:val="en_US" w:bidi="en_US"/>
        </w:rPr>
      </w:r>
      <w:r>
        <w:rPr>
          <w:lang w:val="en_US" w:bidi="en_US"/>
        </w:rPr>
      </w:r>
    </w:p>
    <w:p>
      <w:pPr/>
      <w:r>
        <w:rPr>
          <w:lang w:val="en_US" w:bidi="en_US"/>
        </w:rPr>
      </w:r>
    </w:p>
    <w:p>
      <w:pPr>
        <w:pStyle w:val="Heading2"/>
      </w:pPr>
      <w:r>
        <w:rPr>
          <w:lang w:val="en_US" w:bidi="en_US"/>
        </w:rPr>
        <w:t>Luke 12:38</w:t>
      </w:r>
      <w:r>
        <w:rPr>
          <w:lang w:val="en_US" w:bidi="en_US"/>
        </w:rPr>
      </w:r>
    </w:p>
    <w:p>
      <w:pPr>
        <w:pStyle w:val="Heading4"/>
      </w:pPr>
      <w:r>
        <w:rPr>
          <w:lang w:val="en_US" w:bidi="en_US"/>
        </w:rPr>
        <w:t>Section 12:35–48: Jesus’ servants should be watchful and faithful</w:t>
      </w:r>
    </w:p>
    <w:p>
      <w:pPr/>
      <w:r>
        <w:rPr>
          <w:lang w:val="en_US" w:bidi="en_US"/>
        </w:rPr>
      </w:r>
      <w:r>
        <w:rPr>
          <w:lang w:val="en_US" w:bidi="en_US"/>
        </w:rP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pPr/>
      <w:r>
        <w:rPr>
          <w:lang w:val="en_US" w:bidi="en_US"/>
        </w:rPr>
      </w:r>
      <w:r>
        <w:rPr>
          <w:lang w:val="en_US" w:bidi="en_US"/>
        </w:rPr>
        <w:t>Some other headings for this section are:</w:t>
      </w:r>
    </w:p>
    <w:p>
      <w:pPr/>
      <w:r>
        <w:rPr>
          <w:lang w:val="en_US" w:bidi="en_US"/>
        </w:rPr>
      </w:r>
      <w:r>
        <w:rPr>
          <w:lang w:val="en_US" w:bidi="en_US"/>
        </w:rPr>
        <w:t>Faithful and Unfaithful Servants (CEV)</w:t>
      </w:r>
    </w:p>
    <w:p>
      <w:pPr/>
      <w:r>
        <w:rPr>
          <w:lang w:val="en_US" w:bidi="en_US"/>
        </w:rPr>
      </w:r>
      <w:r>
        <w:rPr>
          <w:lang w:val="en_US" w:bidi="en_US"/>
        </w:rPr>
        <w:t>Be Ready for the Lord’s Coming (NLT)</w:t>
      </w:r>
    </w:p>
    <w:p>
      <w:pPr/>
      <w:r>
        <w:rPr>
          <w:lang w:val="en_US" w:bidi="en_US"/>
        </w:rPr>
      </w:r>
      <w:r>
        <w:rPr>
          <w:lang w:val="en_US" w:bidi="en_US"/>
        </w:rPr>
        <w:t>Watchfulness (NIV)</w:t>
      </w:r>
    </w:p>
    <w:p>
      <w:pPr/>
      <w:r>
        <w:rPr>
          <w:lang w:val="en_US" w:bidi="en_US"/>
        </w:rPr>
      </w:r>
      <w:r>
        <w:rPr>
          <w:lang w:val="en_US" w:bidi="en_US"/>
        </w:rPr>
        <w:t>There is a parallel passage for 12:41–48 in Matthew 24:45–51.</w:t>
      </w:r>
    </w:p>
    <w:p>
      <w:pPr>
        <w:pStyle w:val="Heading4"/>
      </w:pPr>
      <w:r>
        <w:rPr>
          <w:lang w:val="en_US" w:bidi="en_US"/>
        </w:rPr>
        <w:t>Paragraph 12:35–38</w:t>
      </w:r>
    </w:p>
    <w:p>
      <w:pPr/>
      <w:r>
        <w:rPr>
          <w:lang w:val="en_US" w:bidi="en_US"/>
        </w:rPr>
      </w:r>
      <w:r>
        <w:rPr>
          <w:lang w:val="en_US" w:bidi="en_US"/>
        </w:rPr>
        <w:t>In this paragraph Jesus continued to speak. It may be helpful to indicate this here at the beginning of this new section. For example:</w:t>
      </w:r>
    </w:p>
    <w:p>
      <w:pPr/>
      <w:r>
        <w:rPr>
          <w:lang w:val="en_US" w:bidi="en_US"/>
        </w:rPr>
      </w:r>
      <w:r>
        <w:rPr>
          <w:lang w:val="en_US" w:bidi="en_US"/>
        </w:rPr>
        <w:t>Jesus also said</w:t>
      </w:r>
      <w:r>
        <w:rPr>
          <w:lang w:val="en_US" w:bidi="en_US"/>
        </w:rPr>
        <w:t xml:space="preserve"> …</w:t>
      </w:r>
    </w:p>
    <w:p>
      <w:pPr/>
      <w:r>
        <w:rPr>
          <w:lang w:val="en_US" w:bidi="en_US"/>
        </w:rPr>
      </w:r>
      <w:r>
        <w:rPr>
          <w:lang w:val="en_US" w:bidi="en_US"/>
        </w:rPr>
        <w:t>Jesus continued teaching</w:t>
      </w:r>
      <w:r>
        <w:rPr>
          <w:lang w:val="en_US" w:bidi="en_US"/>
        </w:rPr>
        <w:t xml:space="preserve"> </w:t>
      </w:r>
      <w:r>
        <w:rPr>
          <w:lang w:val="en_US" w:bidi="en_US"/>
        </w:rPr>
        <w:t>his disciples</w:t>
      </w:r>
      <w:r>
        <w:rPr>
          <w:lang w:val="en_US" w:bidi="en_US"/>
        </w:rPr>
        <w:t xml:space="preserve"> </w:t>
      </w:r>
      <w:r>
        <w:rPr>
          <w:lang w:val="en_US" w:bidi="en_US"/>
        </w:rPr>
        <w:t>and he said</w:t>
      </w:r>
      <w:r>
        <w:rPr>
          <w:lang w:val="en_US" w:bidi="en_US"/>
        </w:rPr>
        <w:t>…</w:t>
      </w:r>
    </w:p>
    <w:p>
      <w:pPr>
        <w:pStyle w:val="Heading5"/>
      </w:pPr>
      <w:r>
        <w:rPr>
          <w:lang w:val="en_US" w:bidi="en_US"/>
        </w:rPr>
        <w:t>12:38</w:t>
      </w:r>
    </w:p>
    <w:p>
      <w:pPr/>
      <w:r>
        <w:rPr>
          <w:lang w:val="en_US" w:bidi="en_US"/>
        </w:rPr>
      </w:r>
      <w:r>
        <w:rPr>
          <w:lang w:val="en_US" w:bidi="en_US"/>
        </w:rPr>
        <w:t>Some versions, such as the NIV, order this verse differently than the Greek text. In Greek it literally says:</w:t>
      </w:r>
    </w:p>
    <w:p>
      <w:pPr/>
      <w:r>
        <w:rPr>
          <w:lang w:val="en_US" w:bidi="en_US"/>
        </w:rPr>
      </w:r>
      <w:r>
        <w:rPr>
          <w:lang w:val="en_US" w:bidi="en_US"/>
        </w:rPr>
        <w:t xml:space="preserve">And if in the second or even in the third watch of the night he comes and finds them </w:t>
      </w:r>
      <w:r>
        <w:rPr>
          <w:lang w:val="en_US" w:bidi="en_US"/>
        </w:rPr>
        <w:t>watching</w:t>
      </w:r>
      <w:r>
        <w:rPr>
          <w:lang w:val="en_US" w:bidi="en_US"/>
        </w:rPr>
        <w:t xml:space="preserve"> thus, blessed are those </w:t>
      </w:r>
      <w:r>
        <w:rPr>
          <w:lang w:val="en_US" w:bidi="en_US"/>
        </w:rPr>
        <w:t>servants</w:t>
      </w:r>
      <w:r>
        <w:rPr>
          <w:lang w:val="en_US" w:bidi="en_US"/>
        </w:rPr>
        <w:t>.</w:t>
      </w:r>
    </w:p>
    <w:p>
      <w:pPr/>
      <w:r>
        <w:rPr>
          <w:lang w:val="en_US" w:bidi="en_US"/>
        </w:rPr>
      </w:r>
      <w:r>
        <w:rPr>
          <w:lang w:val="en_US" w:bidi="en_US"/>
        </w:rPr>
        <w:t>The BSB follows this order. Use a natural order in your language.</w:t>
      </w:r>
    </w:p>
    <w:p>
      <w:pPr>
        <w:pStyle w:val="Heading5"/>
      </w:pPr>
      <w:r>
        <w:rPr>
          <w:lang w:val="en_US" w:bidi="en_US"/>
        </w:rPr>
        <w:t>12:38a</w:t>
      </w:r>
    </w:p>
    <w:p>
      <w:pPr/>
      <w:r>
        <w:rPr>
          <w:lang w:val="en_US" w:bidi="en_US"/>
        </w:rPr>
      </w:r>
      <w:r>
        <w:rPr>
          <w:b/>
          <w:lang w:val="en_US" w:bidi="en_US"/>
        </w:rPr>
        <w:t>Even if he comes in the second or third watch of the night</w:t>
      </w:r>
    </w:p>
    <w:p>
      <w:pPr>
        <w:pStyle w:val="ListBullet"/>
        <w:spacing w:line="240" w:lineRule="auto"/>
        <w:ind w:left="720"/>
      </w:pPr>
      <w:r>
        <w:rPr>
          <w:lang w:val="en_US" w:bidi="en_US"/>
        </w:rPr>
      </w:r>
      <w:r>
        <w:rPr>
          <w:lang w:val="en_US" w:bidi="en_US"/>
        </w:rPr>
        <w:t>Yes,</w:t>
      </w:r>
      <w:r>
        <w:rPr>
          <w:lang w:val="en_US" w:bidi="en_US"/>
        </w:rPr>
        <w:t xml:space="preserve"> even if their master comes in the middle of the night or even later,</w:t>
      </w:r>
    </w:p>
    <w:p>
      <w:pPr>
        <w:pStyle w:val="ListBullet"/>
        <w:spacing w:line="240" w:lineRule="auto"/>
        <w:ind w:left="720"/>
      </w:pPr>
      <w:r>
        <w:rPr>
          <w:lang w:val="en_US" w:bidi="en_US"/>
        </w:rPr>
      </w:r>
      <w:r>
        <w:rPr>
          <w:lang w:val="en_US" w:bidi="en_US"/>
        </w:rPr>
        <w:t>Even if he should come in the darkest hours of the night, or even before cockcrow/dawn,</w:t>
      </w:r>
    </w:p>
    <w:p>
      <w:pPr/>
      <w:r>
        <w:rPr>
          <w:lang w:val="en_US" w:bidi="en_US"/>
        </w:rPr>
      </w:r>
      <w:r>
        <w:rPr>
          <w:b/>
          <w:lang w:val="en_US" w:bidi="en_US"/>
        </w:rPr>
        <w:t>Even if he comes in the second or third watch of the night:</w:t>
      </w:r>
      <w:r>
        <w:rPr>
          <w:lang w:val="en_US" w:bidi="en_US"/>
        </w:rPr>
        <w:t xml:space="preserve"> The phrase </w:t>
      </w:r>
      <w:r>
        <w:rPr>
          <w:i/>
          <w:lang w:val="en_US" w:bidi="en_US"/>
        </w:rPr>
        <w:t>second or third watch of the night</w:t>
      </w:r>
      <w:r>
        <w:rPr>
          <w:lang w:val="en_US" w:bidi="en_US"/>
        </w:rPr>
        <w:t xml:space="preserve"> refers to two periods of guard duty that lasted from near midnight until some time before dawn.</w:t>
      </w:r>
      <w:r>
        <w:rPr>
          <w:lang w:val="en_US" w:bidi="en_US"/>
        </w:rPr>
        <w:t>If Jesus was using the Jewish system, the second watch would have been from 10 p.m. to 2 a.m. and the third watch from 2 a.m. to 6 a.m. If he was using the Roman system, the second watch would have been from 9 p.m. to midnight and the third watch from midnight to 3 a.m. Both views are well supported by scholars. The exact timing is not important here, and no English version specifies which system was used.</w:t>
      </w:r>
      <w:r>
        <w:rPr>
          <w:lang w:val="en_US" w:bidi="en_US"/>
        </w:rPr>
        <w:t xml:space="preserve"> During this time it would be increasingly difficult for the servants to keep awake.</w:t>
      </w:r>
    </w:p>
    <w:p>
      <w:pPr/>
      <w:r>
        <w:rPr>
          <w:lang w:val="en_US" w:bidi="en_US"/>
        </w:rPr>
      </w:r>
      <w:r>
        <w:rPr>
          <w:lang w:val="en_US" w:bidi="en_US"/>
        </w:rPr>
        <w:t>If you have natural expressions in your language to refer to periods of guard duty during the night, you may use them here. Otherwise, you may use more general expressions of time. For example:</w:t>
      </w:r>
    </w:p>
    <w:p>
      <w:pPr/>
      <w:r>
        <w:rPr>
          <w:lang w:val="en_US" w:bidi="en_US"/>
        </w:rPr>
      </w:r>
      <w:r>
        <w:rPr>
          <w:lang w:val="en_US" w:bidi="en_US"/>
        </w:rPr>
        <w:t>during the middle of the night, or near dawn (NRSV)</w:t>
      </w:r>
    </w:p>
    <w:p>
      <w:pPr/>
      <w:r>
        <w:rPr>
          <w:lang w:val="en_US" w:bidi="en_US"/>
        </w:rPr>
      </w:r>
      <w:r>
        <w:rPr>
          <w:lang w:val="en_US" w:bidi="en_US"/>
        </w:rPr>
        <w:t>even if it is midnight or later (NCV)</w:t>
      </w:r>
    </w:p>
    <w:p>
      <w:pPr>
        <w:pStyle w:val="Heading5"/>
      </w:pPr>
      <w:r>
        <w:rPr>
          <w:lang w:val="en_US" w:bidi="en_US"/>
        </w:rPr>
        <w:t>12:38b</w:t>
      </w:r>
    </w:p>
    <w:p>
      <w:pPr/>
      <w:r>
        <w:rPr>
          <w:lang w:val="en_US" w:bidi="en_US"/>
        </w:rPr>
      </w:r>
      <w:r>
        <w:rPr>
          <w:b/>
          <w:lang w:val="en_US" w:bidi="en_US"/>
        </w:rPr>
        <w:t>and finds them alert, those servants will be blessed.</w:t>
      </w:r>
    </w:p>
    <w:p>
      <w:pPr>
        <w:pStyle w:val="ListBullet"/>
        <w:spacing w:line="240" w:lineRule="auto"/>
        <w:ind w:left="720"/>
      </w:pPr>
      <w:r>
        <w:rPr>
          <w:lang w:val="en_US" w:bidi="en_US"/>
        </w:rPr>
      </w:r>
      <w:r>
        <w:rPr>
          <w:lang w:val="en_US" w:bidi="en_US"/>
        </w:rPr>
        <w:t xml:space="preserve">those servants will </w:t>
      </w:r>
      <w:r>
        <w:rPr>
          <w:lang w:val="en_US" w:bidi="en_US"/>
        </w:rPr>
        <w:t>indeed</w:t>
      </w:r>
      <w:r>
        <w:rPr>
          <w:lang w:val="en_US" w:bidi="en_US"/>
        </w:rPr>
        <w:t xml:space="preserve"> be very happy/fortunate if he finds them ready </w:t>
      </w:r>
      <w:r>
        <w:rPr>
          <w:lang w:val="en_US" w:bidi="en_US"/>
        </w:rPr>
        <w:t>for him</w:t>
      </w:r>
      <w:r>
        <w:rPr>
          <w:lang w:val="en_US" w:bidi="en_US"/>
        </w:rPr>
        <w:t>,</w:t>
      </w:r>
    </w:p>
    <w:p>
      <w:pPr>
        <w:pStyle w:val="ListBullet"/>
        <w:spacing w:line="240" w:lineRule="auto"/>
        <w:ind w:left="720"/>
      </w:pPr>
      <w:r>
        <w:rPr>
          <w:lang w:val="en_US" w:bidi="en_US"/>
        </w:rPr>
      </w:r>
      <w:r>
        <w:rPr>
          <w:lang w:val="en_US" w:bidi="en_US"/>
        </w:rPr>
        <w:t>there will be great happiness for those servants when the master sees that they were waiting for him,</w:t>
      </w:r>
    </w:p>
    <w:p>
      <w:pPr/>
      <w:r>
        <w:rPr>
          <w:lang w:val="en_US" w:bidi="en_US"/>
        </w:rPr>
      </w:r>
      <w:r>
        <w:rPr>
          <w:b/>
          <w:lang w:val="en_US" w:bidi="en_US"/>
        </w:rPr>
        <w:t>finds them alert:</w:t>
      </w:r>
      <w:r>
        <w:rPr>
          <w:lang w:val="en_US" w:bidi="en_US"/>
        </w:rPr>
        <w:t xml:space="preserve"> The Greek phrase that the BSB translates as </w:t>
      </w:r>
      <w:r>
        <w:rPr>
          <w:i/>
          <w:lang w:val="en_US" w:bidi="en_US"/>
        </w:rPr>
        <w:t>finds them alert</w:t>
      </w:r>
      <w:r>
        <w:rPr>
          <w:lang w:val="en_US" w:bidi="en_US"/>
        </w:rPr>
        <w:t xml:space="preserve"> is literally “finds thus.” The word “thus” refers back to 12:37a, where it makes explicit that the servants were awake and waiting for the master. Other ways to translate this are:</w:t>
      </w:r>
    </w:p>
    <w:p>
      <w:pPr/>
      <w:r>
        <w:rPr>
          <w:lang w:val="en_US" w:bidi="en_US"/>
        </w:rPr>
      </w:r>
      <w:r>
        <w:rPr>
          <w:lang w:val="en_US" w:bidi="en_US"/>
        </w:rPr>
        <w:t>ready (NIV, NJB)</w:t>
      </w:r>
    </w:p>
    <w:p>
      <w:pPr/>
      <w:r>
        <w:rPr>
          <w:lang w:val="en_US" w:bidi="en_US"/>
        </w:rPr>
      </w:r>
      <w:r>
        <w:rPr>
          <w:lang w:val="en_US" w:bidi="en_US"/>
        </w:rPr>
        <w:t>still waiting (NCV)</w:t>
      </w:r>
    </w:p>
    <w:p>
      <w:pPr/>
      <w:r>
        <w:rPr>
          <w:lang w:val="en_US" w:bidi="en_US"/>
        </w:rPr>
      </w:r>
      <w:r>
        <w:rPr>
          <w:lang w:val="en_US" w:bidi="en_US"/>
        </w:rPr>
        <w:t>awake (REB)</w:t>
      </w:r>
    </w:p>
    <w:p>
      <w:pPr/>
      <w:r>
        <w:rPr>
          <w:lang w:val="en_US" w:bidi="en_US"/>
        </w:rPr>
      </w:r>
      <w:r>
        <w:rPr>
          <w:lang w:val="en_US" w:bidi="en_US"/>
        </w:rPr>
        <w:t>In some languages it may not be natural to repeat so soon the exact information that was given in 12:37a. Consider whether there is a natural way to indicate that something is being deliberately repeated for emphasis. One way to do this in English is:</w:t>
      </w:r>
    </w:p>
    <w:p>
      <w:pPr/>
      <w:r>
        <w:rPr>
          <w:lang w:val="en_US" w:bidi="en_US"/>
        </w:rPr>
      </w:r>
      <w:r>
        <w:rPr>
          <w:lang w:val="en_US" w:bidi="en_US"/>
        </w:rPr>
        <w:t>Yes,</w:t>
      </w:r>
      <w:r>
        <w:rPr>
          <w:lang w:val="en_US" w:bidi="en_US"/>
        </w:rPr>
        <w:t xml:space="preserve"> it will </w:t>
      </w:r>
      <w:r>
        <w:rPr>
          <w:lang w:val="en_US" w:bidi="en_US"/>
        </w:rPr>
        <w:t>indeed</w:t>
      </w:r>
      <w:r>
        <w:rPr>
          <w:lang w:val="en_US" w:bidi="en_US"/>
        </w:rPr>
        <w:t xml:space="preserve"> be good for those servants whom the master finds watching like that!</w:t>
      </w:r>
    </w:p>
    <w:p>
      <w:pPr/>
      <w:r>
        <w:rPr>
          <w:lang w:val="en_US" w:bidi="en_US"/>
        </w:rPr>
      </w:r>
      <w:r>
        <w:rPr>
          <w:lang w:val="en_US" w:bidi="en_US"/>
        </w:rPr>
        <w:t>See below for a suggestion on reordering these verses.</w:t>
      </w:r>
    </w:p>
    <w:p>
      <w:pPr>
        <w:pStyle w:val="Heading6"/>
      </w:pPr>
      <w:r>
        <w:rPr>
          <w:b/>
          <w:lang w:val="en_US" w:bidi="en_US"/>
        </w:rPr>
        <w:t>General Comment on 12:37–38</w:t>
      </w:r>
    </w:p>
    <w:p>
      <w:pPr/>
      <w:r>
        <w:rPr>
          <w:lang w:val="en_US" w:bidi="en_US"/>
        </w:rPr>
      </w:r>
      <w:r>
        <w:rPr>
          <w:lang w:val="en_US" w:bidi="en_US"/>
        </w:rPr>
        <w:t>In some languages it may be more natural to change the order of information in these verses. For example:</w:t>
      </w:r>
    </w:p>
    <w:p>
      <w:pPr/>
      <w:r>
        <w:rPr>
          <w:lang w:val="en_US" w:bidi="en_US"/>
        </w:rPr>
      </w:r>
      <w:r>
        <w:rPr>
          <w:vertAlign w:val="superscript"/>
          <w:lang w:val="en_US" w:bidi="en_US"/>
        </w:rPr>
        <w:t>37a/38a</w:t>
      </w:r>
      <w:r>
        <w:rPr>
          <w:lang w:val="en_US" w:bidi="en_US"/>
        </w:rPr>
        <w:t xml:space="preserve">Those servants will be truly happy/fortunate when their master sees that they have been watching alertly for his return. </w:t>
      </w:r>
      <w:r>
        <w:rPr>
          <w:vertAlign w:val="superscript"/>
          <w:lang w:val="en_US" w:bidi="en_US"/>
        </w:rPr>
        <w:t>38b</w:t>
      </w:r>
      <w:r>
        <w:rPr>
          <w:lang w:val="en_US" w:bidi="en_US"/>
        </w:rPr>
        <w:t xml:space="preserve">They will be happy even if he returns in the middle of the night or later yet. </w:t>
      </w:r>
      <w:r>
        <w:rPr>
          <w:vertAlign w:val="superscript"/>
          <w:lang w:val="en_US" w:bidi="en_US"/>
        </w:rPr>
        <w:t>37b</w:t>
      </w:r>
      <w:r>
        <w:rPr>
          <w:lang w:val="en_US" w:bidi="en_US"/>
        </w:rPr>
        <w:t xml:space="preserve">I assure you that their master will change his clothes. </w:t>
      </w:r>
      <w:r>
        <w:rPr>
          <w:vertAlign w:val="superscript"/>
          <w:lang w:val="en_US" w:bidi="en_US"/>
        </w:rPr>
        <w:t>37c</w:t>
      </w:r>
      <w:r>
        <w:rPr>
          <w:lang w:val="en_US" w:bidi="en_US"/>
        </w:rPr>
        <w:t>He will then have his servants sit down and serve them a meal.</w:t>
      </w:r>
    </w:p>
    <w:p>
      <w:pPr/>
      <w:r>
        <w:rPr>
          <w:lang w:val="en_US" w:bidi="en_US"/>
        </w:rPr>
      </w:r>
      <w:r>
        <w:rPr>
          <w:lang w:val="en_US" w:bidi="en_US"/>
        </w:rPr>
        <w:t>Notice that in this example the statements in 12:37a and 12:38a have been combined to avoid repetition. This is a good option if the repetition is not natural in your language.</w:t>
      </w:r>
      <w:r>
        <w:rPr>
          <w:lang w:val="en_US" w:bidi="en_US"/>
        </w:rPr>
      </w:r>
      <w:r>
        <w:rPr>
          <w:lang w:val="en_US" w:bidi="en_US"/>
        </w:rPr>
      </w:r>
    </w:p>
    <w:p>
      <w:pPr/>
      <w:r>
        <w:rPr>
          <w:lang w:val="en_US" w:bidi="en_US"/>
        </w:rPr>
      </w:r>
    </w:p>
    <w:p>
      <w:pPr>
        <w:pStyle w:val="Heading2"/>
      </w:pPr>
      <w:r>
        <w:rPr>
          <w:lang w:val="en_US" w:bidi="en_US"/>
        </w:rPr>
        <w:t>Luke 12:39</w:t>
      </w:r>
      <w:r>
        <w:rPr>
          <w:lang w:val="en_US" w:bidi="en_US"/>
        </w:rPr>
      </w:r>
    </w:p>
    <w:p>
      <w:pPr>
        <w:pStyle w:val="Heading4"/>
      </w:pPr>
      <w:r>
        <w:rPr>
          <w:lang w:val="en_US" w:bidi="en_US"/>
        </w:rPr>
        <w:t>Section 12:35–48: Jesus’ servants should be watchful and faithful</w:t>
      </w:r>
    </w:p>
    <w:p>
      <w:pPr/>
      <w:r>
        <w:rPr>
          <w:lang w:val="en_US" w:bidi="en_US"/>
        </w:rPr>
      </w:r>
      <w:r>
        <w:rPr>
          <w:lang w:val="en_US" w:bidi="en_US"/>
        </w:rP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pPr/>
      <w:r>
        <w:rPr>
          <w:lang w:val="en_US" w:bidi="en_US"/>
        </w:rPr>
      </w:r>
      <w:r>
        <w:rPr>
          <w:lang w:val="en_US" w:bidi="en_US"/>
        </w:rPr>
        <w:t>Some other headings for this section are:</w:t>
      </w:r>
    </w:p>
    <w:p>
      <w:pPr/>
      <w:r>
        <w:rPr>
          <w:lang w:val="en_US" w:bidi="en_US"/>
        </w:rPr>
      </w:r>
      <w:r>
        <w:rPr>
          <w:lang w:val="en_US" w:bidi="en_US"/>
        </w:rPr>
        <w:t>Faithful and Unfaithful Servants (CEV)</w:t>
      </w:r>
    </w:p>
    <w:p>
      <w:pPr/>
      <w:r>
        <w:rPr>
          <w:lang w:val="en_US" w:bidi="en_US"/>
        </w:rPr>
      </w:r>
      <w:r>
        <w:rPr>
          <w:lang w:val="en_US" w:bidi="en_US"/>
        </w:rPr>
        <w:t>Be Ready for the Lord’s Coming (NLT)</w:t>
      </w:r>
    </w:p>
    <w:p>
      <w:pPr/>
      <w:r>
        <w:rPr>
          <w:lang w:val="en_US" w:bidi="en_US"/>
        </w:rPr>
      </w:r>
      <w:r>
        <w:rPr>
          <w:lang w:val="en_US" w:bidi="en_US"/>
        </w:rPr>
        <w:t>Watchfulness (NIV)</w:t>
      </w:r>
    </w:p>
    <w:p>
      <w:pPr/>
      <w:r>
        <w:rPr>
          <w:lang w:val="en_US" w:bidi="en_US"/>
        </w:rPr>
      </w:r>
      <w:r>
        <w:rPr>
          <w:lang w:val="en_US" w:bidi="en_US"/>
        </w:rPr>
        <w:t>There is a parallel passage for 12:41–48 in Matthew 24:45–51.</w:t>
      </w:r>
    </w:p>
    <w:p>
      <w:pPr>
        <w:pStyle w:val="Heading4"/>
      </w:pPr>
      <w:r>
        <w:rPr>
          <w:lang w:val="en_US" w:bidi="en_US"/>
        </w:rPr>
        <w:t>Paragraph 12:39–40</w:t>
      </w:r>
    </w:p>
    <w:p>
      <w:pPr/>
      <w:r>
        <w:rPr>
          <w:lang w:val="en_US" w:bidi="en_US"/>
        </w:rPr>
      </w:r>
      <w:r>
        <w:rPr>
          <w:lang w:val="en_US" w:bidi="en_US"/>
        </w:rPr>
        <w:t xml:space="preserve">In this paragraph Jesus continued to teach his disciples that they needed to be ready for his return. He used a short illustration about a house owner who needed to be ready in case a thief broke into his house. This story is </w:t>
      </w:r>
      <w:r>
        <w:rPr>
          <w:u w:val="single"/>
          <w:lang w:val="en_US" w:bidi="en_US"/>
        </w:rPr>
        <w:t>not</w:t>
      </w:r>
      <w:r>
        <w:rPr>
          <w:lang w:val="en_US" w:bidi="en_US"/>
        </w:rPr>
        <w:t xml:space="preserve"> a continuation of the previous story.</w:t>
      </w:r>
    </w:p>
    <w:p>
      <w:pPr>
        <w:pStyle w:val="Heading5"/>
      </w:pPr>
      <w:r>
        <w:rPr>
          <w:lang w:val="en_US" w:bidi="en_US"/>
        </w:rPr>
        <w:t>12:39a</w:t>
      </w:r>
    </w:p>
    <w:p>
      <w:pPr/>
      <w:r>
        <w:rPr>
          <w:lang w:val="en_US" w:bidi="en_US"/>
        </w:rPr>
      </w:r>
      <w:r>
        <w:rPr>
          <w:b/>
          <w:lang w:val="en_US" w:bidi="en_US"/>
        </w:rPr>
        <w:t>But understand this:</w:t>
      </w:r>
    </w:p>
    <w:p>
      <w:pPr>
        <w:pStyle w:val="ListBullet"/>
        <w:spacing w:line="240" w:lineRule="auto"/>
        <w:ind w:left="720"/>
      </w:pPr>
      <w:r>
        <w:rPr>
          <w:lang w:val="en_US" w:bidi="en_US"/>
        </w:rPr>
      </w:r>
      <w:r>
        <w:rPr>
          <w:lang w:val="en_US" w:bidi="en_US"/>
        </w:rPr>
        <w:t>¶ “Here is something else that you need to remember.</w:t>
      </w:r>
    </w:p>
    <w:p>
      <w:pPr>
        <w:pStyle w:val="ListBullet"/>
        <w:spacing w:line="240" w:lineRule="auto"/>
        <w:ind w:left="720"/>
      </w:pPr>
      <w:r>
        <w:rPr>
          <w:lang w:val="en_US" w:bidi="en_US"/>
        </w:rPr>
      </w:r>
      <w:r>
        <w:rPr>
          <w:lang w:val="en_US" w:bidi="en_US"/>
        </w:rPr>
        <w:t xml:space="preserve">¶ </w:t>
      </w:r>
      <w:r>
        <w:rPr>
          <w:lang w:val="en_US" w:bidi="en_US"/>
        </w:rPr>
        <w:t>Then Jesus told another example. He said,</w:t>
      </w:r>
      <w:r>
        <w:rPr>
          <w:lang w:val="en_US" w:bidi="en_US"/>
        </w:rPr>
        <w:t xml:space="preserve"> “You can be sure of this:</w:t>
      </w:r>
    </w:p>
    <w:p>
      <w:pPr/>
      <w:r>
        <w:rPr>
          <w:lang w:val="en_US" w:bidi="en_US"/>
        </w:rPr>
      </w:r>
      <w:r>
        <w:rPr>
          <w:lang w:val="en_US" w:bidi="en_US"/>
        </w:rPr>
        <w:t>In some languages it may be helpful to introduce this verse by indicating in some way that Jesus was beginning to give a different illustration. For example:</w:t>
      </w:r>
    </w:p>
    <w:p>
      <w:pPr/>
      <w:r>
        <w:rPr>
          <w:lang w:val="en_US" w:bidi="en_US"/>
        </w:rPr>
      </w:r>
      <w:r>
        <w:rPr>
          <w:lang w:val="en_US" w:bidi="en_US"/>
        </w:rPr>
        <w:t>Then Jesus said</w:t>
      </w:r>
      <w:r>
        <w:rPr>
          <w:lang w:val="en_US" w:bidi="en_US"/>
        </w:rPr>
        <w:t xml:space="preserve"> </w:t>
      </w:r>
      <w:r>
        <w:rPr>
          <w:lang w:val="en_US" w:bidi="en_US"/>
        </w:rPr>
        <w:t>to his disciples</w:t>
      </w:r>
    </w:p>
    <w:p>
      <w:pPr/>
      <w:r>
        <w:rPr>
          <w:lang w:val="en_US" w:bidi="en_US"/>
        </w:rPr>
      </w:r>
      <w:r>
        <w:rPr>
          <w:lang w:val="en_US" w:bidi="en_US"/>
        </w:rPr>
        <w:t>Then Jesus gave another example. He said</w:t>
      </w:r>
    </w:p>
    <w:p>
      <w:pPr/>
      <w:r>
        <w:rPr>
          <w:lang w:val="en_US" w:bidi="en_US"/>
        </w:rPr>
      </w:r>
      <w:r>
        <w:rPr>
          <w:b/>
          <w:lang w:val="en_US" w:bidi="en_US"/>
        </w:rPr>
        <w:t>But:</w:t>
      </w:r>
      <w:r>
        <w:rPr>
          <w:lang w:val="en_US" w:bidi="en_US"/>
        </w:rPr>
        <w:t xml:space="preserve"> The Greek conjunction that the BSB translates as translates as </w:t>
      </w:r>
      <w:r>
        <w:rPr>
          <w:i/>
          <w:lang w:val="en_US" w:bidi="en_US"/>
        </w:rPr>
        <w:t>But</w:t>
      </w:r>
      <w:r>
        <w:rPr>
          <w:lang w:val="en_US" w:bidi="en_US"/>
        </w:rPr>
        <w:t xml:space="preserve"> here introduces a new illustration that teaches the same point as the one in 12:35–38. The new illustration does not contrast with the previous one. Be careful not to use a conjunction that implies a wrong connection between the two illustrations. In some languages a conjunction will not be needed.</w:t>
      </w:r>
    </w:p>
    <w:p>
      <w:pPr/>
      <w:r>
        <w:rPr>
          <w:lang w:val="en_US" w:bidi="en_US"/>
        </w:rPr>
      </w:r>
      <w:r>
        <w:rPr>
          <w:b/>
          <w:lang w:val="en_US" w:bidi="en_US"/>
        </w:rPr>
        <w:t>understand this:</w:t>
      </w:r>
      <w:r>
        <w:rPr>
          <w:lang w:val="en_US" w:bidi="en_US"/>
        </w:rPr>
        <w:t xml:space="preserve"> The Greek clause that the BSB translates as translates as </w:t>
      </w:r>
      <w:r>
        <w:rPr>
          <w:i/>
          <w:lang w:val="en_US" w:bidi="en_US"/>
        </w:rPr>
        <w:t>understand this</w:t>
      </w:r>
      <w:r>
        <w:rPr>
          <w:lang w:val="en_US" w:bidi="en_US"/>
        </w:rPr>
        <w:t xml:space="preserve"> is literally “know this” or “you know this.” Jesus used this clause to emphasize that what he was about to say was important. The word </w:t>
      </w:r>
      <w:r>
        <w:rPr>
          <w:i/>
          <w:lang w:val="en_US" w:bidi="en_US"/>
        </w:rPr>
        <w:t>this</w:t>
      </w:r>
      <w:r>
        <w:rPr>
          <w:lang w:val="en_US" w:bidi="en_US"/>
        </w:rPr>
        <w:t xml:space="preserve"> refers to the illustration that he was about to give them. Some ways to translate this clause are:</w:t>
      </w:r>
    </w:p>
    <w:p>
      <w:pPr/>
      <w:r>
        <w:rPr>
          <w:lang w:val="en_US" w:bidi="en_US"/>
        </w:rPr>
      </w:r>
      <w:r>
        <w:rPr>
          <w:lang w:val="en_US" w:bidi="en_US"/>
        </w:rPr>
        <w:t>you can be sure that (GNT)</w:t>
      </w:r>
    </w:p>
    <w:p>
      <w:pPr/>
      <w:r>
        <w:rPr>
          <w:lang w:val="en_US" w:bidi="en_US"/>
        </w:rPr>
      </w:r>
      <w:r>
        <w:rPr>
          <w:lang w:val="en_US" w:bidi="en_US"/>
        </w:rPr>
        <w:t>Here is another example for you to think about</w:t>
      </w:r>
    </w:p>
    <w:p>
      <w:pPr/>
      <w:r>
        <w:rPr>
          <w:lang w:val="en_US" w:bidi="en_US"/>
        </w:rPr>
      </w:r>
      <w:r>
        <w:rPr>
          <w:lang w:val="en_US" w:bidi="en_US"/>
        </w:rPr>
        <w:t>Remember/Consider this also</w:t>
      </w:r>
    </w:p>
    <w:p>
      <w:pPr>
        <w:pStyle w:val="Heading5"/>
      </w:pPr>
      <w:r>
        <w:rPr>
          <w:lang w:val="en_US" w:bidi="en_US"/>
        </w:rPr>
        <w:t>12:39b</w:t>
      </w:r>
    </w:p>
    <w:p>
      <w:pPr/>
      <w:r>
        <w:rPr>
          <w:lang w:val="en_US" w:bidi="en_US"/>
        </w:rPr>
      </w:r>
      <w:r>
        <w:rPr>
          <w:b/>
          <w:lang w:val="en_US" w:bidi="en_US"/>
        </w:rPr>
        <w:t>If the homeowner had known at what hour the thief was coming,</w:t>
      </w:r>
    </w:p>
    <w:p>
      <w:pPr>
        <w:pStyle w:val="ListBullet"/>
        <w:spacing w:line="240" w:lineRule="auto"/>
        <w:ind w:left="720"/>
      </w:pPr>
      <w:r>
        <w:rPr>
          <w:lang w:val="en_US" w:bidi="en_US"/>
        </w:rPr>
      </w:r>
      <w:r>
        <w:rPr>
          <w:lang w:val="en_US" w:bidi="en_US"/>
        </w:rPr>
        <w:t>If a homeowner knew exactly when a burglar was coming, (NLT)</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knew the time when a thief was planning to steal something from your house,</w:t>
      </w:r>
    </w:p>
    <w:p>
      <w:pPr>
        <w:pStyle w:val="Heading5"/>
      </w:pPr>
      <w:r>
        <w:rPr>
          <w:lang w:val="en_US" w:bidi="en_US"/>
        </w:rPr>
        <w:t>12:39c</w:t>
      </w:r>
    </w:p>
    <w:p>
      <w:pPr/>
      <w:r>
        <w:rPr>
          <w:lang w:val="en_US" w:bidi="en_US"/>
        </w:rPr>
      </w:r>
      <w:r>
        <w:rPr>
          <w:b/>
          <w:lang w:val="en_US" w:bidi="en_US"/>
        </w:rPr>
        <w:t>he would not have let his house be broken into.</w:t>
      </w:r>
    </w:p>
    <w:p>
      <w:pPr>
        <w:pStyle w:val="ListBullet"/>
        <w:spacing w:line="240" w:lineRule="auto"/>
        <w:ind w:left="720"/>
      </w:pPr>
      <w:r>
        <w:rPr>
          <w:lang w:val="en_US" w:bidi="en_US"/>
        </w:rPr>
      </w:r>
      <w:r>
        <w:rPr>
          <w:lang w:val="en_US" w:bidi="en_US"/>
        </w:rPr>
        <w:t xml:space="preserve">he </w:t>
      </w:r>
      <w:r>
        <w:rPr>
          <w:lang w:val="en_US" w:bidi="en_US"/>
        </w:rPr>
        <w:t>would be ready and</w:t>
      </w:r>
      <w:r>
        <w:rPr>
          <w:lang w:val="en_US" w:bidi="en_US"/>
        </w:rPr>
        <w:t xml:space="preserve"> would not permit </w:t>
      </w:r>
      <w:r>
        <w:rPr>
          <w:lang w:val="en_US" w:bidi="en_US"/>
        </w:rPr>
        <w:t>the thief</w:t>
      </w:r>
      <w:r>
        <w:rPr>
          <w:lang w:val="en_US" w:bidi="en_US"/>
        </w:rPr>
        <w:t xml:space="preserve"> to enter his house.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would </w:t>
      </w:r>
      <w:r>
        <w:rPr>
          <w:lang w:val="en_US" w:bidi="en_US"/>
        </w:rPr>
        <w:t>stay awake and would</w:t>
      </w:r>
      <w:r>
        <w:rPr>
          <w:lang w:val="en_US" w:bidi="en_US"/>
        </w:rPr>
        <w:t xml:space="preserve"> not let him break in.</w:t>
      </w:r>
    </w:p>
    <w:p>
      <w:pPr>
        <w:pStyle w:val="ListBullet"/>
        <w:spacing w:line="240" w:lineRule="auto"/>
        <w:ind w:left="720"/>
      </w:pPr>
      <w:r>
        <w:rPr>
          <w:lang w:val="en_US" w:bidi="en_US"/>
        </w:rPr>
      </w:r>
      <w:r>
        <w:rPr>
          <w:lang w:val="en_US" w:bidi="en_US"/>
        </w:rPr>
        <w:t xml:space="preserve">he/you would </w:t>
      </w:r>
      <w:r>
        <w:rPr>
          <w:lang w:val="en_US" w:bidi="en_US"/>
        </w:rPr>
        <w:t>stay awake in order to</w:t>
      </w:r>
      <w:r>
        <w:rPr>
          <w:lang w:val="en_US" w:bidi="en_US"/>
        </w:rPr>
        <w:t xml:space="preserve"> stop/prevent the thief from entering.</w:t>
      </w:r>
    </w:p>
    <w:p>
      <w:pPr>
        <w:pStyle w:val="Heading5"/>
      </w:pPr>
      <w:r>
        <w:rPr>
          <w:lang w:val="en_US" w:bidi="en_US"/>
        </w:rPr>
        <w:t>12:39b–c</w:t>
      </w:r>
    </w:p>
    <w:p>
      <w:pPr/>
      <w:r>
        <w:rPr>
          <w:lang w:val="en_US" w:bidi="en_US"/>
        </w:rPr>
      </w:r>
      <w:r>
        <w:rPr>
          <w:lang w:val="en_US" w:bidi="en_US"/>
        </w:rPr>
        <w:t>Here Jesus used an illustration to teach his disciples that he will return when people do not expect him.</w:t>
      </w:r>
    </w:p>
    <w:p>
      <w:pPr/>
      <w:r>
        <w:rPr>
          <w:lang w:val="en_US" w:bidi="en_US"/>
        </w:rPr>
      </w:r>
      <w:r>
        <w:rPr>
          <w:b/>
          <w:lang w:val="en_US" w:bidi="en_US"/>
        </w:rPr>
        <w:t>If the homeowner had known at what hour the thief was coming, he would not have let his house be broken into:</w:t>
      </w:r>
      <w:r>
        <w:rPr>
          <w:lang w:val="en_US" w:bidi="en_US"/>
        </w:rPr>
        <w:t xml:space="preserve"> </w:t>
      </w:r>
      <w:r>
        <w:rPr>
          <w:lang w:val="en_US" w:bidi="en_US"/>
        </w:rPr>
        <w:t>There is a textual issue here. Following the word “coming,” many later Greek manuscripts add “he would have watched and…” This longer text is the same as Matthew 24:43. The earliest manuscripts and the majority of English versions do not include these words. However, they are implied. If a major language version in your area includes them, you may also want to include them in your translation or in a footnote. For more information, see Swanson, p. 235, and Blight 2007b, p. 52.</w:t>
      </w:r>
      <w:r>
        <w:rPr>
          <w:lang w:val="en_US" w:bidi="en_US"/>
        </w:rPr>
        <w:t xml:space="preserve"> This short illustration contains much implied information:</w:t>
      </w:r>
    </w:p>
    <w:p>
      <w:pPr>
        <w:pStyle w:val="ListNumber"/>
        <w:numPr>
          <w:ilvl w:val="0"/>
          <w:numId w:val="243"/>
        </w:numPr>
        <w:spacing w:line="240" w:lineRule="auto"/>
        <w:ind w:left="720"/>
      </w:pPr>
      <w:r>
        <w:rPr>
          <w:lang w:val="en_US" w:bidi="en_US"/>
        </w:rPr>
      </w:r>
      <w:r>
        <w:rPr>
          <w:lang w:val="en_US" w:bidi="en_US"/>
        </w:rPr>
        <w:t>The owner of the house did not know that a thief was coming or what time he would come.</w:t>
      </w:r>
    </w:p>
    <w:p>
      <w:pPr>
        <w:pStyle w:val="ListNumber"/>
        <w:spacing w:line="240" w:lineRule="auto"/>
        <w:ind w:left="720"/>
      </w:pPr>
      <w:r>
        <w:rPr>
          <w:lang w:val="en_US" w:bidi="en_US"/>
        </w:rPr>
      </w:r>
      <w:r>
        <w:rPr>
          <w:lang w:val="en_US" w:bidi="en_US"/>
        </w:rPr>
        <w:t>A thief did come.</w:t>
      </w:r>
    </w:p>
    <w:p>
      <w:pPr>
        <w:pStyle w:val="ListNumber"/>
        <w:spacing w:line="240" w:lineRule="auto"/>
        <w:ind w:left="720"/>
      </w:pPr>
      <w:r>
        <w:rPr>
          <w:lang w:val="en_US" w:bidi="en_US"/>
        </w:rPr>
      </w:r>
      <w:r>
        <w:rPr>
          <w:lang w:val="en_US" w:bidi="en_US"/>
        </w:rPr>
        <w:t>The thief broke into the house.</w:t>
      </w:r>
    </w:p>
    <w:p>
      <w:pPr>
        <w:pStyle w:val="ListNumber"/>
        <w:spacing w:line="240" w:lineRule="auto"/>
        <w:ind w:left="720"/>
      </w:pPr>
      <w:r>
        <w:rPr>
          <w:lang w:val="en_US" w:bidi="en_US"/>
        </w:rPr>
      </w:r>
      <w:r>
        <w:rPr>
          <w:lang w:val="en_US" w:bidi="en_US"/>
        </w:rPr>
        <w:t>The owner could have prevented this if he had been ready.</w:t>
      </w:r>
    </w:p>
    <w:p>
      <w:pPr/>
      <w:r>
        <w:rPr>
          <w:lang w:val="en_US" w:bidi="en_US"/>
        </w:rPr>
      </w:r>
      <w:r>
        <w:rPr>
          <w:lang w:val="en_US" w:bidi="en_US"/>
        </w:rPr>
        <w:t>In some languages a literal translation may be confusing. It may imply to some readers that Jesus was telling about a past event that happened to a specific house owner. Use a natural way in your language to indicate that Jesus was giving an illustration. Some ways to do this in English are:</w:t>
      </w:r>
    </w:p>
    <w:p>
      <w:pPr/>
      <w:r>
        <w:rPr>
          <w:lang w:val="en_US" w:bidi="en_US"/>
        </w:rPr>
      </w:r>
      <w:r>
        <w:rPr>
          <w:lang w:val="en_US" w:bidi="en_US"/>
        </w:rPr>
        <w:t>You would surely not let a thief break into your home, if you knew when the thief was coming. (CEV)</w:t>
      </w:r>
    </w:p>
    <w:p>
      <w:pPr/>
      <w:r>
        <w:rPr>
          <w:lang w:val="en_US" w:bidi="en_US"/>
        </w:rPr>
      </w:r>
      <w:r>
        <w:rPr>
          <w:lang w:val="en_US" w:bidi="en_US"/>
        </w:rPr>
        <w:t>If a homeowner knew exactly when a burglar was coming, he would not permit his house to be broken into. (NLT)</w:t>
      </w:r>
      <w:r>
        <w:rPr>
          <w:lang w:val="en_US" w:bidi="en_US"/>
        </w:rPr>
      </w:r>
      <w:r>
        <w:rPr>
          <w:lang w:val="en_US" w:bidi="en_US"/>
        </w:rPr>
      </w:r>
    </w:p>
    <w:p>
      <w:pPr/>
      <w:r>
        <w:rPr>
          <w:lang w:val="en_US" w:bidi="en_US"/>
        </w:rPr>
      </w:r>
    </w:p>
    <w:p>
      <w:pPr>
        <w:pStyle w:val="Heading2"/>
      </w:pPr>
      <w:r>
        <w:rPr>
          <w:lang w:val="en_US" w:bidi="en_US"/>
        </w:rPr>
        <w:t>Luke 12:40</w:t>
      </w:r>
      <w:r>
        <w:rPr>
          <w:lang w:val="en_US" w:bidi="en_US"/>
        </w:rPr>
      </w:r>
    </w:p>
    <w:p>
      <w:pPr>
        <w:pStyle w:val="Heading4"/>
      </w:pPr>
      <w:r>
        <w:rPr>
          <w:lang w:val="en_US" w:bidi="en_US"/>
        </w:rPr>
        <w:t>Section 12:35–48: Jesus’ servants should be watchful and faithful</w:t>
      </w:r>
    </w:p>
    <w:p>
      <w:pPr/>
      <w:r>
        <w:rPr>
          <w:lang w:val="en_US" w:bidi="en_US"/>
        </w:rPr>
      </w:r>
      <w:r>
        <w:rPr>
          <w:lang w:val="en_US" w:bidi="en_US"/>
        </w:rP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pPr/>
      <w:r>
        <w:rPr>
          <w:lang w:val="en_US" w:bidi="en_US"/>
        </w:rPr>
      </w:r>
      <w:r>
        <w:rPr>
          <w:lang w:val="en_US" w:bidi="en_US"/>
        </w:rPr>
        <w:t>Some other headings for this section are:</w:t>
      </w:r>
    </w:p>
    <w:p>
      <w:pPr/>
      <w:r>
        <w:rPr>
          <w:lang w:val="en_US" w:bidi="en_US"/>
        </w:rPr>
      </w:r>
      <w:r>
        <w:rPr>
          <w:lang w:val="en_US" w:bidi="en_US"/>
        </w:rPr>
        <w:t>Faithful and Unfaithful Servants (CEV)</w:t>
      </w:r>
    </w:p>
    <w:p>
      <w:pPr/>
      <w:r>
        <w:rPr>
          <w:lang w:val="en_US" w:bidi="en_US"/>
        </w:rPr>
      </w:r>
      <w:r>
        <w:rPr>
          <w:lang w:val="en_US" w:bidi="en_US"/>
        </w:rPr>
        <w:t>Be Ready for the Lord’s Coming (NLT)</w:t>
      </w:r>
    </w:p>
    <w:p>
      <w:pPr/>
      <w:r>
        <w:rPr>
          <w:lang w:val="en_US" w:bidi="en_US"/>
        </w:rPr>
      </w:r>
      <w:r>
        <w:rPr>
          <w:lang w:val="en_US" w:bidi="en_US"/>
        </w:rPr>
        <w:t>Watchfulness (NIV)</w:t>
      </w:r>
    </w:p>
    <w:p>
      <w:pPr/>
      <w:r>
        <w:rPr>
          <w:lang w:val="en_US" w:bidi="en_US"/>
        </w:rPr>
      </w:r>
      <w:r>
        <w:rPr>
          <w:lang w:val="en_US" w:bidi="en_US"/>
        </w:rPr>
        <w:t>There is a parallel passage for 12:41–48 in Matthew 24:45–51.</w:t>
      </w:r>
    </w:p>
    <w:p>
      <w:pPr>
        <w:pStyle w:val="Heading4"/>
      </w:pPr>
      <w:r>
        <w:rPr>
          <w:lang w:val="en_US" w:bidi="en_US"/>
        </w:rPr>
        <w:t>Paragraph 12:39–40</w:t>
      </w:r>
    </w:p>
    <w:p>
      <w:pPr/>
      <w:r>
        <w:rPr>
          <w:lang w:val="en_US" w:bidi="en_US"/>
        </w:rPr>
      </w:r>
      <w:r>
        <w:rPr>
          <w:lang w:val="en_US" w:bidi="en_US"/>
        </w:rPr>
        <w:t xml:space="preserve">In this paragraph Jesus continued to teach his disciples that they needed to be ready for his return. He used a short illustration about a house owner who needed to be ready in case a thief broke into his house. This story is </w:t>
      </w:r>
      <w:r>
        <w:rPr>
          <w:u w:val="single"/>
          <w:lang w:val="en_US" w:bidi="en_US"/>
        </w:rPr>
        <w:t>not</w:t>
      </w:r>
      <w:r>
        <w:rPr>
          <w:lang w:val="en_US" w:bidi="en_US"/>
        </w:rPr>
        <w:t xml:space="preserve"> a continuation of the previous story.</w:t>
      </w:r>
    </w:p>
    <w:p>
      <w:pPr>
        <w:pStyle w:val="Heading5"/>
      </w:pPr>
      <w:r>
        <w:rPr>
          <w:lang w:val="en_US" w:bidi="en_US"/>
        </w:rPr>
        <w:t>12:40a</w:t>
      </w:r>
    </w:p>
    <w:p>
      <w:pPr/>
      <w:r>
        <w:rPr>
          <w:lang w:val="en_US" w:bidi="en_US"/>
        </w:rPr>
      </w:r>
      <w:r>
        <w:rPr>
          <w:b/>
          <w:lang w:val="en_US" w:bidi="en_US"/>
        </w:rPr>
        <w:t>You also must be ready,</w:t>
      </w:r>
    </w:p>
    <w:p>
      <w:pPr>
        <w:pStyle w:val="ListBullet"/>
        <w:spacing w:line="240" w:lineRule="auto"/>
        <w:ind w:left="720"/>
      </w:pPr>
      <w:r>
        <w:rPr>
          <w:lang w:val="en_US" w:bidi="en_US"/>
        </w:rPr>
      </w:r>
      <w:r>
        <w:rPr>
          <w:lang w:val="en_US" w:bidi="en_US"/>
        </w:rPr>
        <w:t>As for you,</w:t>
      </w:r>
      <w:r>
        <w:rPr>
          <w:lang w:val="en_US" w:bidi="en_US"/>
        </w:rPr>
        <w:t xml:space="preserve"> you</w:t>
      </w:r>
      <w:r>
        <w:rPr>
          <w:vertAlign w:val="superscript"/>
          <w:lang w:val="en_US" w:bidi="en_US"/>
        </w:rPr>
        <w:t>(plur)</w:t>
      </w:r>
      <w:r>
        <w:rPr>
          <w:lang w:val="en_US" w:bidi="en_US"/>
        </w:rPr>
        <w:t xml:space="preserve"> too must be ready/alert </w:t>
      </w:r>
      <w:r>
        <w:rPr>
          <w:lang w:val="en_US" w:bidi="en_US"/>
        </w:rPr>
        <w:t>at all times</w:t>
      </w:r>
      <w:r>
        <w:rPr>
          <w:lang w:val="en_US" w:bidi="en_US"/>
        </w:rPr>
        <w:t>,</w:t>
      </w:r>
    </w:p>
    <w:p>
      <w:pPr>
        <w:pStyle w:val="ListBullet"/>
        <w:spacing w:line="240" w:lineRule="auto"/>
        <w:ind w:left="720"/>
      </w:pPr>
      <w:r>
        <w:rPr>
          <w:lang w:val="en_US" w:bidi="en_US"/>
        </w:rPr>
      </w:r>
      <w:r>
        <w:rPr>
          <w:lang w:val="en_US" w:bidi="en_US"/>
        </w:rPr>
        <w:t>So you</w:t>
      </w:r>
      <w:r>
        <w:rPr>
          <w:vertAlign w:val="superscript"/>
          <w:lang w:val="en_US" w:bidi="en_US"/>
        </w:rPr>
        <w:t>(plur)</w:t>
      </w:r>
      <w:r>
        <w:rPr>
          <w:lang w:val="en_US" w:bidi="en_US"/>
        </w:rPr>
        <w:t xml:space="preserve"> must always be ready,</w:t>
      </w:r>
    </w:p>
    <w:p>
      <w:pPr/>
      <w:r>
        <w:rPr>
          <w:lang w:val="en_US" w:bidi="en_US"/>
        </w:rPr>
      </w:r>
      <w:r>
        <w:rPr>
          <w:b/>
          <w:lang w:val="en_US" w:bidi="en_US"/>
        </w:rPr>
        <w:t>You also must be ready:</w:t>
      </w:r>
      <w:r>
        <w:rPr>
          <w:lang w:val="en_US" w:bidi="en_US"/>
        </w:rPr>
        <w:t xml:space="preserve"> In this context the phrase </w:t>
      </w:r>
      <w:r>
        <w:rPr>
          <w:i/>
          <w:lang w:val="en_US" w:bidi="en_US"/>
        </w:rPr>
        <w:t>You also</w:t>
      </w:r>
      <w:r>
        <w:rPr>
          <w:lang w:val="en_US" w:bidi="en_US"/>
        </w:rPr>
        <w:t xml:space="preserve"> indicates “In the same way as the owner of the house, you also….” It would be good for the homeowner to be ready for the thief. In the same way, it is good for the disciples to be ready for the Son of Man to return.</w:t>
      </w:r>
    </w:p>
    <w:p>
      <w:pPr/>
      <w:r>
        <w:rPr>
          <w:lang w:val="en_US" w:bidi="en_US"/>
        </w:rPr>
      </w:r>
      <w:r>
        <w:rPr>
          <w:lang w:val="en_US" w:bidi="en_US"/>
        </w:rPr>
        <w:t xml:space="preserve">The verb </w:t>
      </w:r>
      <w:r>
        <w:rPr>
          <w:i/>
          <w:lang w:val="en_US" w:bidi="en_US"/>
        </w:rPr>
        <w:t>be ready</w:t>
      </w:r>
      <w:r>
        <w:rPr>
          <w:lang w:val="en_US" w:bidi="en_US"/>
        </w:rPr>
        <w:t xml:space="preserve"> implies here that the disciples must be ready constantly. In some languages it may be necessary to make this information explicit. For example:</w:t>
      </w:r>
    </w:p>
    <w:p>
      <w:pPr/>
      <w:r>
        <w:rPr>
          <w:lang w:val="en_US" w:bidi="en_US"/>
        </w:rPr>
      </w:r>
      <w:r>
        <w:rPr>
          <w:lang w:val="en_US" w:bidi="en_US"/>
        </w:rPr>
        <w:t>You also must be ready all the time (NLT)</w:t>
      </w:r>
    </w:p>
    <w:p>
      <w:pPr>
        <w:pStyle w:val="Heading5"/>
      </w:pPr>
      <w:r>
        <w:rPr>
          <w:lang w:val="en_US" w:bidi="en_US"/>
        </w:rPr>
        <w:t>12:40b</w:t>
      </w:r>
    </w:p>
    <w:p>
      <w:pPr/>
      <w:r>
        <w:rPr>
          <w:lang w:val="en_US" w:bidi="en_US"/>
        </w:rPr>
      </w:r>
      <w:r>
        <w:rPr>
          <w:b/>
          <w:lang w:val="en_US" w:bidi="en_US"/>
        </w:rPr>
        <w:t>because the Son of Man will come at an hour you do not expect.”</w:t>
      </w:r>
    </w:p>
    <w:p>
      <w:pPr>
        <w:pStyle w:val="ListBullet"/>
        <w:spacing w:line="240" w:lineRule="auto"/>
        <w:ind w:left="720"/>
      </w:pPr>
      <w:r>
        <w:rPr>
          <w:lang w:val="en_US" w:bidi="en_US"/>
        </w:rPr>
      </w:r>
      <w:r>
        <w:rPr>
          <w:lang w:val="en_US" w:bidi="en_US"/>
        </w:rPr>
        <w:t>since you</w:t>
      </w:r>
      <w:r>
        <w:rPr>
          <w:vertAlign w:val="superscript"/>
          <w:lang w:val="en_US" w:bidi="en_US"/>
        </w:rPr>
        <w:t>(plur)</w:t>
      </w:r>
      <w:r>
        <w:rPr>
          <w:lang w:val="en_US" w:bidi="en_US"/>
        </w:rPr>
        <w:t xml:space="preserve"> cannot predict the time when the Son of Man will come.”</w:t>
      </w:r>
    </w:p>
    <w:p>
      <w:pPr>
        <w:pStyle w:val="ListBullet"/>
        <w:spacing w:line="240" w:lineRule="auto"/>
        <w:ind w:left="720"/>
      </w:pPr>
      <w:r>
        <w:rPr>
          <w:lang w:val="en_US" w:bidi="en_US"/>
        </w:rPr>
      </w:r>
      <w:r>
        <w:rPr>
          <w:lang w:val="en_US" w:bidi="en_US"/>
        </w:rPr>
        <w:t xml:space="preserve">because </w:t>
      </w:r>
      <w:r>
        <w:rPr>
          <w:lang w:val="en_US" w:bidi="en_US"/>
        </w:rPr>
        <w:t>I,</w:t>
      </w:r>
      <w:r>
        <w:rPr>
          <w:lang w:val="en_US" w:bidi="en_US"/>
        </w:rPr>
        <w:t xml:space="preserve"> the Son of Man, will return at a time when you</w:t>
      </w:r>
      <w:r>
        <w:rPr>
          <w:vertAlign w:val="superscript"/>
          <w:lang w:val="en_US" w:bidi="en_US"/>
        </w:rPr>
        <w:t>(plur)</w:t>
      </w:r>
      <w:r>
        <w:rPr>
          <w:lang w:val="en_US" w:bidi="en_US"/>
        </w:rPr>
        <w:t xml:space="preserve"> do not expect </w:t>
      </w:r>
      <w:r>
        <w:rPr>
          <w:lang w:val="en_US" w:bidi="en_US"/>
        </w:rPr>
        <w:t>me to come</w:t>
      </w:r>
      <w:r>
        <w:rPr>
          <w:lang w:val="en_US" w:bidi="en_US"/>
        </w:rPr>
        <w:t>!”</w:t>
      </w:r>
    </w:p>
    <w:p>
      <w:pPr/>
      <w:r>
        <w:rPr>
          <w:lang w:val="en_US" w:bidi="en_US"/>
        </w:rPr>
      </w:r>
      <w:r>
        <w:rPr>
          <w:b/>
          <w:lang w:val="en_US" w:bidi="en_US"/>
        </w:rPr>
        <w:t>because:</w:t>
      </w:r>
      <w:r>
        <w:rPr>
          <w:lang w:val="en_US" w:bidi="en_US"/>
        </w:rPr>
        <w:t xml:space="preserve"> The Greek conjunction that the BSB translates as translates as </w:t>
      </w:r>
      <w:r>
        <w:rPr>
          <w:i/>
          <w:lang w:val="en_US" w:bidi="en_US"/>
        </w:rPr>
        <w:t>because</w:t>
      </w:r>
      <w:r>
        <w:rPr>
          <w:lang w:val="en_US" w:bidi="en_US"/>
        </w:rPr>
        <w:t xml:space="preserve"> introduces the reason why the disciples should be ready constantly. They should be ready because the Son of Man will come at an unexpected time.</w:t>
      </w:r>
    </w:p>
    <w:p>
      <w:pPr/>
      <w:r>
        <w:rPr>
          <w:lang w:val="en_US" w:bidi="en_US"/>
        </w:rPr>
      </w:r>
      <w:r>
        <w:rPr>
          <w:b/>
          <w:lang w:val="en_US" w:bidi="en_US"/>
        </w:rPr>
        <w:t>the Son of Man:</w:t>
      </w:r>
      <w:r>
        <w:rPr>
          <w:lang w:val="en_US" w:bidi="en_US"/>
        </w:rPr>
        <w:t xml:space="preserve"> Jesus used the title </w:t>
      </w:r>
      <w:r>
        <w:rPr>
          <w:i/>
          <w:lang w:val="en_US" w:bidi="en_US"/>
        </w:rPr>
        <w:t>the Son of Man</w:t>
      </w:r>
      <w:r>
        <w:rPr>
          <w:lang w:val="en_US" w:bidi="en_US"/>
        </w:rPr>
        <w:t xml:space="preserve"> to refer to himself, as he did in 12:10a. See the note at 11:30b</w:t>
      </w:r>
    </w:p>
    <w:p>
      <w:pPr/>
      <w:r>
        <w:rPr>
          <w:lang w:val="en_US" w:bidi="en_US"/>
        </w:rPr>
      </w:r>
      <w:r>
        <w:rPr>
          <w:b/>
          <w:lang w:val="en_US" w:bidi="en_US"/>
        </w:rPr>
        <w:t>will come:</w:t>
      </w:r>
      <w:r>
        <w:rPr>
          <w:lang w:val="en_US" w:bidi="en_US"/>
        </w:rPr>
        <w:t xml:space="preserve"> The verb that the BSB translates as translates as </w:t>
      </w:r>
      <w:r>
        <w:rPr>
          <w:i/>
          <w:lang w:val="en_US" w:bidi="en_US"/>
        </w:rPr>
        <w:t>will come</w:t>
      </w:r>
      <w:r>
        <w:rPr>
          <w:lang w:val="en_US" w:bidi="en_US"/>
        </w:rPr>
        <w:t xml:space="preserve"> refers to the future return of the Son of Man. It is implied from other verses that he will come from heaven and will return to earth. In some languages it may be necessary to make some of this information explicit. For example:</w:t>
      </w:r>
    </w:p>
    <w:p>
      <w:pPr/>
      <w:r>
        <w:rPr>
          <w:lang w:val="en_US" w:bidi="en_US"/>
        </w:rPr>
      </w:r>
      <w:r>
        <w:rPr>
          <w:lang w:val="en_US" w:bidi="en_US"/>
        </w:rPr>
        <w:t xml:space="preserve">will come </w:t>
      </w:r>
      <w:r>
        <w:rPr>
          <w:lang w:val="en_US" w:bidi="en_US"/>
        </w:rPr>
        <w:t>back to earth</w:t>
      </w:r>
    </w:p>
    <w:p>
      <w:pPr/>
      <w:r>
        <w:rPr>
          <w:lang w:val="en_US" w:bidi="en_US"/>
        </w:rPr>
      </w:r>
      <w:r>
        <w:rPr>
          <w:lang w:val="en_US" w:bidi="en_US"/>
        </w:rPr>
        <w:t xml:space="preserve">will return </w:t>
      </w:r>
      <w:r>
        <w:rPr>
          <w:lang w:val="en_US" w:bidi="en_US"/>
        </w:rPr>
        <w:t>from heaven</w:t>
      </w:r>
    </w:p>
    <w:p>
      <w:pPr/>
      <w:r>
        <w:rPr>
          <w:lang w:val="en_US" w:bidi="en_US"/>
        </w:rPr>
      </w:r>
      <w:r>
        <w:rPr>
          <w:b/>
          <w:lang w:val="en_US" w:bidi="en_US"/>
        </w:rPr>
        <w:t>at an hour you do not expect:</w:t>
      </w:r>
      <w:r>
        <w:rPr>
          <w:lang w:val="en_US" w:bidi="en_US"/>
        </w:rPr>
        <w:t xml:space="preserve"> This clause indicates that the Son of Man will come back at a time when people do not think he will come. Other people, as well as the disciples, will not be expecting him to arrive then. In some languages it may be helpful to use a more general statement. For example:</w:t>
      </w:r>
    </w:p>
    <w:p>
      <w:pPr/>
      <w:r>
        <w:rPr>
          <w:lang w:val="en_US" w:bidi="en_US"/>
        </w:rPr>
      </w:r>
      <w:r>
        <w:rPr>
          <w:lang w:val="en_US" w:bidi="en_US"/>
        </w:rPr>
        <w:t>at an unexpected time</w:t>
      </w:r>
    </w:p>
    <w:p>
      <w:pPr/>
      <w:r>
        <w:rPr>
          <w:lang w:val="en_US" w:bidi="en_US"/>
        </w:rPr>
      </w:r>
      <w:r>
        <w:rPr>
          <w:lang w:val="en_US" w:bidi="en_US"/>
        </w:rPr>
        <w:t>when least expected (NLT)</w:t>
      </w:r>
      <w:r>
        <w:rPr>
          <w:lang w:val="en_US" w:bidi="en_US"/>
        </w:rPr>
      </w:r>
      <w:r>
        <w:rPr>
          <w:lang w:val="en_US" w:bidi="en_US"/>
        </w:rPr>
      </w:r>
    </w:p>
    <w:p>
      <w:pPr/>
      <w:r>
        <w:rPr>
          <w:lang w:val="en_US" w:bidi="en_US"/>
        </w:rPr>
      </w:r>
    </w:p>
    <w:p>
      <w:pPr>
        <w:pStyle w:val="Heading2"/>
      </w:pPr>
      <w:r>
        <w:rPr>
          <w:lang w:val="en_US" w:bidi="en_US"/>
        </w:rPr>
        <w:t>Luke 12:41</w:t>
      </w:r>
      <w:r>
        <w:rPr>
          <w:lang w:val="en_US" w:bidi="en_US"/>
        </w:rPr>
      </w:r>
    </w:p>
    <w:p>
      <w:pPr>
        <w:pStyle w:val="Heading4"/>
      </w:pPr>
      <w:r>
        <w:rPr>
          <w:lang w:val="en_US" w:bidi="en_US"/>
        </w:rPr>
        <w:t>Section 12:35–48: Jesus’ servants should be watchful and faithful</w:t>
      </w:r>
    </w:p>
    <w:p>
      <w:pPr/>
      <w:r>
        <w:rPr>
          <w:lang w:val="en_US" w:bidi="en_US"/>
        </w:rPr>
      </w:r>
      <w:r>
        <w:rPr>
          <w:lang w:val="en_US" w:bidi="en_US"/>
        </w:rP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pPr/>
      <w:r>
        <w:rPr>
          <w:lang w:val="en_US" w:bidi="en_US"/>
        </w:rPr>
      </w:r>
      <w:r>
        <w:rPr>
          <w:lang w:val="en_US" w:bidi="en_US"/>
        </w:rPr>
        <w:t>Some other headings for this section are:</w:t>
      </w:r>
    </w:p>
    <w:p>
      <w:pPr/>
      <w:r>
        <w:rPr>
          <w:lang w:val="en_US" w:bidi="en_US"/>
        </w:rPr>
      </w:r>
      <w:r>
        <w:rPr>
          <w:lang w:val="en_US" w:bidi="en_US"/>
        </w:rPr>
        <w:t>Faithful and Unfaithful Servants (CEV)</w:t>
      </w:r>
    </w:p>
    <w:p>
      <w:pPr/>
      <w:r>
        <w:rPr>
          <w:lang w:val="en_US" w:bidi="en_US"/>
        </w:rPr>
      </w:r>
      <w:r>
        <w:rPr>
          <w:lang w:val="en_US" w:bidi="en_US"/>
        </w:rPr>
        <w:t>Be Ready for the Lord’s Coming (NLT)</w:t>
      </w:r>
    </w:p>
    <w:p>
      <w:pPr/>
      <w:r>
        <w:rPr>
          <w:lang w:val="en_US" w:bidi="en_US"/>
        </w:rPr>
      </w:r>
      <w:r>
        <w:rPr>
          <w:lang w:val="en_US" w:bidi="en_US"/>
        </w:rPr>
        <w:t>Watchfulness (NIV)</w:t>
      </w:r>
    </w:p>
    <w:p>
      <w:pPr/>
      <w:r>
        <w:rPr>
          <w:lang w:val="en_US" w:bidi="en_US"/>
        </w:rPr>
      </w:r>
      <w:r>
        <w:rPr>
          <w:lang w:val="en_US" w:bidi="en_US"/>
        </w:rPr>
        <w:t>There is a parallel passage for 12:41–48 in Matthew 24:45–51.</w:t>
      </w:r>
    </w:p>
    <w:p>
      <w:pPr>
        <w:pStyle w:val="Heading5"/>
      </w:pPr>
      <w:r>
        <w:rPr>
          <w:lang w:val="en_US" w:bidi="en_US"/>
        </w:rPr>
        <w:t>12:41</w:t>
      </w:r>
    </w:p>
    <w:p>
      <w:pPr/>
      <w:r>
        <w:rPr>
          <w:lang w:val="en_US" w:bidi="en_US"/>
        </w:rPr>
      </w:r>
      <w:r>
        <w:rPr>
          <w:b/>
          <w:lang w:val="en_US" w:bidi="en_US"/>
        </w:rPr>
        <w:t>“Lord,” said Peter, “are You addressing this parable to us, or to everyone else as well?”</w:t>
      </w:r>
    </w:p>
    <w:p>
      <w:pPr>
        <w:pStyle w:val="ListBullet"/>
        <w:spacing w:line="240" w:lineRule="auto"/>
        <w:ind w:left="720"/>
      </w:pPr>
      <w:r>
        <w:rPr>
          <w:lang w:val="en_US" w:bidi="en_US"/>
        </w:rPr>
      </w:r>
      <w:r>
        <w:rPr>
          <w:lang w:val="en_US" w:bidi="en_US"/>
        </w:rPr>
        <w:t xml:space="preserve">¶ Then Peter asked Jesus, “Lord, are you talking </w:t>
      </w:r>
      <w:r>
        <w:rPr>
          <w:lang w:val="en_US" w:bidi="en_US"/>
        </w:rPr>
        <w:t>only</w:t>
      </w:r>
      <w:r>
        <w:rPr>
          <w:lang w:val="en_US" w:bidi="en_US"/>
        </w:rPr>
        <w:t xml:space="preserve"> about us</w:t>
      </w:r>
      <w:r>
        <w:rPr>
          <w:vertAlign w:val="superscript"/>
          <w:lang w:val="en_US" w:bidi="en_US"/>
        </w:rPr>
        <w:t>(excl)</w:t>
      </w:r>
      <w:r>
        <w:rPr>
          <w:lang w:val="en_US" w:bidi="en_US"/>
        </w:rPr>
        <w:t xml:space="preserve"> </w:t>
      </w:r>
      <w:r>
        <w:rPr>
          <w:lang w:val="en_US" w:bidi="en_US"/>
        </w:rPr>
        <w:t>disciples</w:t>
      </w:r>
      <w:r>
        <w:rPr>
          <w:lang w:val="en_US" w:bidi="en_US"/>
        </w:rPr>
        <w:t xml:space="preserve"> in this story, or </w:t>
      </w:r>
      <w:r>
        <w:rPr>
          <w:lang w:val="en_US" w:bidi="en_US"/>
        </w:rPr>
        <w:t>are you talking</w:t>
      </w:r>
      <w:r>
        <w:rPr>
          <w:lang w:val="en_US" w:bidi="en_US"/>
        </w:rPr>
        <w:t xml:space="preserve"> about all people?”</w:t>
      </w:r>
    </w:p>
    <w:p>
      <w:pPr>
        <w:pStyle w:val="ListBullet"/>
        <w:spacing w:line="240" w:lineRule="auto"/>
        <w:ind w:left="720"/>
      </w:pPr>
      <w:r>
        <w:rPr>
          <w:lang w:val="en_US" w:bidi="en_US"/>
        </w:rPr>
      </w:r>
      <w:r>
        <w:rPr>
          <w:lang w:val="en_US" w:bidi="en_US"/>
        </w:rPr>
        <w:t>¶ Then Peter said, “Lord, is it only to us</w:t>
      </w:r>
      <w:r>
        <w:rPr>
          <w:vertAlign w:val="superscript"/>
          <w:lang w:val="en_US" w:bidi="en_US"/>
        </w:rPr>
        <w:t>(excl)</w:t>
      </w:r>
      <w:r>
        <w:rPr>
          <w:lang w:val="en_US" w:bidi="en_US"/>
        </w:rPr>
        <w:t xml:space="preserve"> </w:t>
      </w:r>
      <w:r>
        <w:rPr>
          <w:lang w:val="en_US" w:bidi="en_US"/>
        </w:rPr>
        <w:t>disciples</w:t>
      </w:r>
      <w:r>
        <w:rPr>
          <w:lang w:val="en_US" w:bidi="en_US"/>
        </w:rPr>
        <w:t xml:space="preserve"> that you have directed this story/illustration or is it for all people?”</w:t>
      </w:r>
    </w:p>
    <w:p>
      <w:pPr/>
      <w:r>
        <w:rPr>
          <w:lang w:val="en_US" w:bidi="en_US"/>
        </w:rPr>
      </w:r>
      <w:r>
        <w:rPr>
          <w:b/>
          <w:lang w:val="en_US" w:bidi="en_US"/>
        </w:rPr>
        <w:t>Lord:</w:t>
      </w:r>
      <w:r>
        <w:rPr>
          <w:lang w:val="en_US" w:bidi="en_US"/>
        </w:rPr>
        <w:t xml:space="preserve"> In Greek, the word that the BSB translates as translates as </w:t>
      </w:r>
      <w:r>
        <w:rPr>
          <w:i/>
          <w:lang w:val="en_US" w:bidi="en_US"/>
        </w:rPr>
        <w:t>Lord</w:t>
      </w:r>
      <w:r>
        <w:rPr>
          <w:lang w:val="en_US" w:bidi="en_US"/>
        </w:rPr>
        <w:t xml:space="preserve"> had a range of meaning, depending on the context. In this context, it is used as a polite title that expresses great respect. Some other ways to translate </w:t>
      </w:r>
      <w:r>
        <w:rPr>
          <w:i/>
          <w:lang w:val="en_US" w:bidi="en_US"/>
        </w:rPr>
        <w:t>Lord</w:t>
      </w:r>
      <w:r>
        <w:rPr>
          <w:lang w:val="en_US" w:bidi="en_US"/>
        </w:rPr>
        <w:t xml:space="preserve"> are:</w:t>
      </w:r>
    </w:p>
    <w:p>
      <w:pPr/>
      <w:r>
        <w:rPr>
          <w:lang w:val="en_US" w:bidi="en_US"/>
        </w:rPr>
      </w:r>
      <w:r>
        <w:rPr>
          <w:lang w:val="en_US" w:bidi="en_US"/>
        </w:rPr>
        <w:t>Chief</w:t>
      </w:r>
    </w:p>
    <w:p>
      <w:pPr/>
      <w:r>
        <w:rPr>
          <w:lang w:val="en_US" w:bidi="en_US"/>
        </w:rPr>
      </w:r>
      <w:r>
        <w:rPr>
          <w:lang w:val="en_US" w:bidi="en_US"/>
        </w:rPr>
        <w:t>Master</w:t>
      </w:r>
    </w:p>
    <w:p>
      <w:pPr/>
      <w:r>
        <w:rPr>
          <w:lang w:val="en_US" w:bidi="en_US"/>
        </w:rPr>
      </w:r>
      <w:r>
        <w:rPr>
          <w:lang w:val="en_US" w:bidi="en_US"/>
        </w:rPr>
        <w:t>Honored</w:t>
      </w:r>
      <w:r>
        <w:rPr>
          <w:lang w:val="en_US" w:bidi="en_US"/>
        </w:rPr>
        <w:t xml:space="preserve"> Sir</w:t>
      </w:r>
    </w:p>
    <w:p>
      <w:pPr/>
      <w:r>
        <w:rPr>
          <w:lang w:val="en_US" w:bidi="en_US"/>
        </w:rPr>
      </w:r>
      <w:r>
        <w:rPr>
          <w:lang w:val="en_US" w:bidi="en_US"/>
        </w:rPr>
        <w:t>In some languages it may be necessary to add a word like “my” before such a term of address. For example:</w:t>
      </w:r>
    </w:p>
    <w:p>
      <w:pPr/>
      <w:r>
        <w:rPr>
          <w:lang w:val="en_US" w:bidi="en_US"/>
        </w:rPr>
      </w:r>
      <w:r>
        <w:rPr>
          <w:lang w:val="en_US" w:bidi="en_US"/>
        </w:rPr>
        <w:t>my</w:t>
      </w:r>
      <w:r>
        <w:rPr>
          <w:lang w:val="en_US" w:bidi="en_US"/>
        </w:rPr>
        <w:t xml:space="preserve"> Chief/Master</w:t>
      </w:r>
    </w:p>
    <w:p>
      <w:pPr/>
      <w:r>
        <w:rPr>
          <w:lang w:val="en_US" w:bidi="en_US"/>
        </w:rPr>
      </w:r>
      <w:r>
        <w:rPr>
          <w:lang w:val="en_US" w:bidi="en_US"/>
        </w:rPr>
        <w:t>See how you translated “Lord” in 9:54b. See Lord, Context 3, in the Glossary.</w:t>
      </w:r>
    </w:p>
    <w:p>
      <w:pPr/>
      <w:r>
        <w:rPr>
          <w:lang w:val="en_US" w:bidi="en_US"/>
        </w:rPr>
      </w:r>
      <w:r>
        <w:rPr>
          <w:b/>
          <w:lang w:val="en_US" w:bidi="en_US"/>
        </w:rPr>
        <w:t>said Peter:</w:t>
      </w:r>
      <w:r>
        <w:rPr>
          <w:lang w:val="en_US" w:bidi="en_US"/>
        </w:rPr>
        <w:t xml:space="preserve"> The BSB has placed the phrase </w:t>
      </w:r>
      <w:r>
        <w:rPr>
          <w:i/>
          <w:lang w:val="en_US" w:bidi="en_US"/>
        </w:rPr>
        <w:t>said Peter</w:t>
      </w:r>
      <w:r>
        <w:rPr>
          <w:lang w:val="en_US" w:bidi="en_US"/>
        </w:rPr>
        <w:t xml:space="preserve"> after the start of what Peter said. In the Greek text, this phrase is at the beginning of the verse, before the quotation. Place it wherever it is natural in your language.</w:t>
      </w:r>
    </w:p>
    <w:p>
      <w:pPr/>
      <w:r>
        <w:rPr>
          <w:lang w:val="en_US" w:bidi="en_US"/>
        </w:rPr>
      </w:r>
      <w:r>
        <w:rPr>
          <w:b/>
          <w:lang w:val="en_US" w:bidi="en_US"/>
        </w:rPr>
        <w:t>are You addressing this parable to us, or to everyone else as well:</w:t>
      </w:r>
      <w:r>
        <w:rPr>
          <w:lang w:val="en_US" w:bidi="en_US"/>
        </w:rPr>
        <w:t xml:space="preserve"> In 12:22 Jesus had started addressing the disciples, but the crowd was probably still listening. So here Peter wanted to know if Jesus intended to apply what he had just taught only to the disciples. He wondered if the parable applied also to all the other people. Other ways to say this are:</w:t>
      </w:r>
    </w:p>
    <w:p>
      <w:pPr/>
      <w:r>
        <w:rPr>
          <w:lang w:val="en_US" w:bidi="en_US"/>
        </w:rPr>
      </w:r>
      <w:r>
        <w:rPr>
          <w:lang w:val="en_US" w:bidi="en_US"/>
        </w:rPr>
        <w:t>do you intend this parable specially for us or is it for everyone (REB)</w:t>
      </w:r>
    </w:p>
    <w:p>
      <w:pPr/>
      <w:r>
        <w:rPr>
          <w:lang w:val="en_US" w:bidi="en_US"/>
        </w:rPr>
      </w:r>
      <w:r>
        <w:rPr>
          <w:lang w:val="en_US" w:bidi="en_US"/>
        </w:rPr>
        <w:t xml:space="preserve">…is this parable meant </w:t>
      </w:r>
      <w:r>
        <w:rPr>
          <w:lang w:val="en_US" w:bidi="en_US"/>
        </w:rPr>
        <w:t>just/only</w:t>
      </w:r>
      <w:r>
        <w:rPr>
          <w:lang w:val="en_US" w:bidi="en_US"/>
        </w:rPr>
        <w:t xml:space="preserve"> for us</w:t>
      </w:r>
      <w:r>
        <w:rPr>
          <w:vertAlign w:val="superscript"/>
          <w:lang w:val="en_US" w:bidi="en_US"/>
        </w:rPr>
        <w:t>(excl)</w:t>
      </w:r>
      <w:r>
        <w:rPr>
          <w:lang w:val="en_US" w:bidi="en_US"/>
        </w:rPr>
        <w:t xml:space="preserve"> or does it apply to everyone</w:t>
      </w:r>
    </w:p>
    <w:p>
      <w:pPr/>
      <w:r>
        <w:rPr>
          <w:lang w:val="en_US" w:bidi="en_US"/>
        </w:rPr>
      </w:r>
      <w:r>
        <w:rPr>
          <w:b/>
          <w:lang w:val="en_US" w:bidi="en_US"/>
        </w:rPr>
        <w:t>this parable:</w:t>
      </w:r>
      <w:r>
        <w:rPr>
          <w:lang w:val="en_US" w:bidi="en_US"/>
        </w:rPr>
        <w:t xml:space="preserve"> In this context the phrase </w:t>
      </w:r>
      <w:r>
        <w:rPr>
          <w:i/>
          <w:lang w:val="en_US" w:bidi="en_US"/>
        </w:rPr>
        <w:t>this parable</w:t>
      </w:r>
      <w:r>
        <w:rPr>
          <w:lang w:val="en_US" w:bidi="en_US"/>
        </w:rPr>
        <w:t xml:space="preserve"> means “the parable that you have just told us.” Peter may have been referring to all that Jesus taught about being ready for his return in 12:35–40.</w:t>
      </w:r>
    </w:p>
    <w:p>
      <w:pPr/>
      <w:r>
        <w:rPr>
          <w:lang w:val="en_US" w:bidi="en_US"/>
        </w:rPr>
      </w:r>
      <w:r>
        <w:rPr>
          <w:b/>
          <w:lang w:val="en_US" w:bidi="en_US"/>
        </w:rPr>
        <w:t>parable:</w:t>
      </w:r>
      <w:r>
        <w:rPr>
          <w:lang w:val="en_US" w:bidi="en_US"/>
        </w:rPr>
        <w:t xml:space="preserve"> The Greek word that the BSB translates as translates as </w:t>
      </w:r>
      <w:r>
        <w:rPr>
          <w:i/>
          <w:lang w:val="en_US" w:bidi="en_US"/>
        </w:rPr>
        <w:t>parable</w:t>
      </w:r>
      <w:r>
        <w:rPr>
          <w:lang w:val="en_US" w:bidi="en_US"/>
        </w:rPr>
        <w:t xml:space="preserve"> refers here to a story that illustrated what Jesus had just taught. See how you translated this word in 12:16a.</w:t>
      </w:r>
      <w:r>
        <w:rPr>
          <w:lang w:val="en_US" w:bidi="en_US"/>
        </w:rPr>
      </w:r>
      <w:r>
        <w:rPr>
          <w:lang w:val="en_US" w:bidi="en_US"/>
        </w:rPr>
      </w:r>
    </w:p>
    <w:p>
      <w:pPr/>
      <w:r>
        <w:rPr>
          <w:lang w:val="en_US" w:bidi="en_US"/>
        </w:rPr>
      </w:r>
    </w:p>
    <w:p>
      <w:pPr>
        <w:pStyle w:val="Heading2"/>
      </w:pPr>
      <w:r>
        <w:rPr>
          <w:lang w:val="en_US" w:bidi="en_US"/>
        </w:rPr>
        <w:t>Luke 12:42</w:t>
      </w:r>
      <w:r>
        <w:rPr>
          <w:lang w:val="en_US" w:bidi="en_US"/>
        </w:rPr>
      </w:r>
    </w:p>
    <w:p>
      <w:pPr>
        <w:pStyle w:val="Heading4"/>
      </w:pPr>
      <w:r>
        <w:rPr>
          <w:lang w:val="en_US" w:bidi="en_US"/>
        </w:rPr>
        <w:t>Section 12:35–48: Jesus’ servants should be watchful and faithful</w:t>
      </w:r>
    </w:p>
    <w:p>
      <w:pPr/>
      <w:r>
        <w:rPr>
          <w:lang w:val="en_US" w:bidi="en_US"/>
        </w:rPr>
      </w:r>
      <w:r>
        <w:rPr>
          <w:lang w:val="en_US" w:bidi="en_US"/>
        </w:rP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pPr/>
      <w:r>
        <w:rPr>
          <w:lang w:val="en_US" w:bidi="en_US"/>
        </w:rPr>
      </w:r>
      <w:r>
        <w:rPr>
          <w:lang w:val="en_US" w:bidi="en_US"/>
        </w:rPr>
        <w:t>Some other headings for this section are:</w:t>
      </w:r>
    </w:p>
    <w:p>
      <w:pPr/>
      <w:r>
        <w:rPr>
          <w:lang w:val="en_US" w:bidi="en_US"/>
        </w:rPr>
      </w:r>
      <w:r>
        <w:rPr>
          <w:lang w:val="en_US" w:bidi="en_US"/>
        </w:rPr>
        <w:t>Faithful and Unfaithful Servants (CEV)</w:t>
      </w:r>
    </w:p>
    <w:p>
      <w:pPr/>
      <w:r>
        <w:rPr>
          <w:lang w:val="en_US" w:bidi="en_US"/>
        </w:rPr>
      </w:r>
      <w:r>
        <w:rPr>
          <w:lang w:val="en_US" w:bidi="en_US"/>
        </w:rPr>
        <w:t>Be Ready for the Lord’s Coming (NLT)</w:t>
      </w:r>
    </w:p>
    <w:p>
      <w:pPr/>
      <w:r>
        <w:rPr>
          <w:lang w:val="en_US" w:bidi="en_US"/>
        </w:rPr>
      </w:r>
      <w:r>
        <w:rPr>
          <w:lang w:val="en_US" w:bidi="en_US"/>
        </w:rPr>
        <w:t>Watchfulness (NIV)</w:t>
      </w:r>
    </w:p>
    <w:p>
      <w:pPr/>
      <w:r>
        <w:rPr>
          <w:lang w:val="en_US" w:bidi="en_US"/>
        </w:rPr>
      </w:r>
      <w:r>
        <w:rPr>
          <w:lang w:val="en_US" w:bidi="en_US"/>
        </w:rPr>
        <w:t>There is a parallel passage for 12:41–48 in Matthew 24:45–51.</w:t>
      </w:r>
    </w:p>
    <w:p>
      <w:pPr>
        <w:pStyle w:val="Heading5"/>
      </w:pPr>
      <w:r>
        <w:rPr>
          <w:lang w:val="en_US" w:bidi="en_US"/>
        </w:rPr>
        <w:t>12:42–48</w:t>
      </w:r>
    </w:p>
    <w:p>
      <w:pPr/>
      <w:r>
        <w:rPr>
          <w:lang w:val="en_US" w:bidi="en_US"/>
        </w:rPr>
      </w:r>
      <w:r>
        <w:rPr>
          <w:lang w:val="en_US" w:bidi="en_US"/>
        </w:rPr>
        <w:t>In these verses Jesus told a parable to answer the question that Peter asked in 12:41. The parable is about a master and his servants. It has three parts:</w:t>
      </w:r>
    </w:p>
    <w:p>
      <w:pPr>
        <w:pStyle w:val="ListNumber"/>
        <w:numPr>
          <w:ilvl w:val="0"/>
          <w:numId w:val="244"/>
        </w:numPr>
        <w:spacing w:line="240" w:lineRule="auto"/>
        <w:ind w:left="720"/>
      </w:pPr>
      <w:r>
        <w:rPr>
          <w:lang w:val="en_US" w:bidi="en_US"/>
        </w:rPr>
      </w:r>
      <w:r>
        <w:rPr>
          <w:lang w:val="en_US" w:bidi="en_US"/>
        </w:rPr>
        <w:t>If a servant does what his master tells him to do, his master will reward him. (42:41–44)</w:t>
      </w:r>
    </w:p>
    <w:p>
      <w:pPr>
        <w:pStyle w:val="ListNumber"/>
        <w:spacing w:line="240" w:lineRule="auto"/>
        <w:ind w:left="720"/>
      </w:pPr>
      <w:r>
        <w:rPr>
          <w:lang w:val="en_US" w:bidi="en_US"/>
        </w:rPr>
      </w:r>
      <w:r>
        <w:rPr>
          <w:lang w:val="en_US" w:bidi="en_US"/>
        </w:rPr>
        <w:t>If a servant does not do what his master tells him to do, his master will punish him. (42:45–46)</w:t>
      </w:r>
    </w:p>
    <w:p>
      <w:pPr>
        <w:pStyle w:val="ListNumber"/>
        <w:spacing w:line="240" w:lineRule="auto"/>
        <w:ind w:left="720"/>
      </w:pPr>
      <w:r>
        <w:rPr>
          <w:lang w:val="en_US" w:bidi="en_US"/>
        </w:rPr>
      </w:r>
      <w:r>
        <w:rPr>
          <w:lang w:val="en_US" w:bidi="en_US"/>
        </w:rPr>
        <w:t>A master will require much from a servant who knows what he should do. He will not require so much from one who does not know. (42:47–48)</w:t>
      </w:r>
    </w:p>
    <w:p>
      <w:pPr/>
      <w:r>
        <w:rPr>
          <w:lang w:val="en_US" w:bidi="en_US"/>
        </w:rPr>
      </w:r>
      <w:r>
        <w:rPr>
          <w:lang w:val="en_US" w:bidi="en_US"/>
        </w:rPr>
        <w:t>In the parable Jesus made it clear that what he taught applied to all of his servants. This included the disciples. Translate the parts of the parable in a way that is natural in your language.</w:t>
      </w:r>
    </w:p>
    <w:p>
      <w:pPr>
        <w:pStyle w:val="Heading5"/>
      </w:pPr>
      <w:r>
        <w:rPr>
          <w:lang w:val="en_US" w:bidi="en_US"/>
        </w:rPr>
        <w:t>12:42a–c</w:t>
      </w:r>
    </w:p>
    <w:p>
      <w:pPr/>
      <w:r>
        <w:rPr>
          <w:lang w:val="en_US" w:bidi="en_US"/>
        </w:rPr>
      </w:r>
      <w:r>
        <w:rPr>
          <w:lang w:val="en_US" w:bidi="en_US"/>
        </w:rPr>
        <w:t>This verse is one long question. In it, Jesus described something that often happened in that culture. A master often put a manager in charge of his other servants. Jesus used this situation as an example to answer Peter’s question in 12:41. In some languages it is natural to use a different form to translate such examples. Some other ways to do this in English are:</w:t>
      </w:r>
    </w:p>
    <w:p>
      <w:pPr/>
      <w:r>
        <w:rPr>
          <w:lang w:val="en_US" w:bidi="en_US"/>
        </w:rPr>
      </w:r>
      <w:r>
        <w:rPr>
          <w:lang w:val="en_US" w:bidi="en_US"/>
        </w:rPr>
        <w:t>There was a slave who was wise and faithful. His master put him in charge of his other servants to give them their food at the right time.</w:t>
      </w:r>
    </w:p>
    <w:p>
      <w:pPr/>
      <w:r>
        <w:rPr>
          <w:lang w:val="en_US" w:bidi="en_US"/>
        </w:rPr>
      </w:r>
      <w:r>
        <w:rPr>
          <w:lang w:val="en_US" w:bidi="en_US"/>
        </w:rPr>
        <w:t>A man had a servant who is wise and faithful. Then he gave him responsibility over the other servants to give them their food allowances at the proper times.</w:t>
      </w:r>
    </w:p>
    <w:p>
      <w:pPr/>
      <w:r>
        <w:rPr>
          <w:lang w:val="en_US" w:bidi="en_US"/>
        </w:rPr>
      </w:r>
      <w:r>
        <w:rPr>
          <w:b/>
          <w:lang w:val="en_US" w:bidi="en_US"/>
        </w:rPr>
        <w:t>Who then is the faithful and wise manager, whom the master puts in charge of his servants to give them their portion at the proper time?:</w:t>
      </w:r>
      <w:r>
        <w:rPr>
          <w:lang w:val="en_US" w:bidi="en_US"/>
        </w:rPr>
        <w:t xml:space="preserve"> This is a rhetorical question. Jesus used it to introduce a new parable and also to urge his listeners to be faithful in obeying him. He was not asking which servant was wiser or more faithful than the others.</w:t>
      </w:r>
    </w:p>
    <w:p>
      <w:pPr/>
      <w:r>
        <w:rPr>
          <w:lang w:val="en_US" w:bidi="en_US"/>
        </w:rPr>
      </w:r>
      <w:r>
        <w:rPr>
          <w:lang w:val="en_US" w:bidi="en_US"/>
        </w:rPr>
        <w:t>In other languages it may be more natural to use a different way to introduce the parable. See the examples in the previous note. Some ways to translate this question are:</w:t>
      </w:r>
    </w:p>
    <w:p>
      <w:pPr>
        <w:pStyle w:val="ListBullet"/>
        <w:spacing w:line="240" w:lineRule="auto"/>
        <w:ind w:left="720"/>
      </w:pPr>
      <w:r>
        <w:rPr>
          <w:lang w:val="en_US" w:bidi="en_US"/>
        </w:rPr>
      </w:r>
      <w:r>
        <w:rPr>
          <w:lang w:val="en_US" w:bidi="en_US"/>
        </w:rPr>
        <w:t>As a rhetorical question. For example:</w:t>
      </w:r>
      <w:r>
        <w:rPr>
          <w:lang w:val="en_US" w:bidi="en_US"/>
        </w:rPr>
        <w:t>Who, then, is the faithful, skilled manager that the master will put in charge of giving the other servants their share of food at the right time? (GW)</w:t>
      </w:r>
    </w:p>
    <w:p>
      <w:pPr>
        <w:pStyle w:val="ListBullet"/>
        <w:spacing w:line="240" w:lineRule="auto"/>
        <w:ind w:left="720"/>
      </w:pPr>
      <w:r>
        <w:rPr>
          <w:lang w:val="en_US" w:bidi="en_US"/>
        </w:rPr>
      </w:r>
      <w:r>
        <w:rPr>
          <w:lang w:val="en_US" w:bidi="en_US"/>
        </w:rPr>
        <w:t>As a rhetorical question and a statement. For example:</w:t>
      </w:r>
      <w:r>
        <w:rPr>
          <w:lang w:val="en_US" w:bidi="en_US"/>
        </w:rPr>
        <w:t>Who, then, is a faithful and wise servant? He is a servant that his master puts in charge to run the household and give the other servants their share of the food at the proper time.</w:t>
      </w:r>
    </w:p>
    <w:p>
      <w:pPr>
        <w:pStyle w:val="ListBullet"/>
        <w:spacing w:line="240" w:lineRule="auto"/>
        <w:ind w:left="720"/>
      </w:pPr>
      <w:r>
        <w:rPr>
          <w:lang w:val="en_US" w:bidi="en_US"/>
        </w:rPr>
      </w:r>
      <w:r>
        <w:rPr>
          <w:lang w:val="en_US" w:bidi="en_US"/>
        </w:rPr>
        <w:t>As a statement or a command. For example:</w:t>
      </w:r>
      <w:r>
        <w:rPr>
          <w:lang w:val="en_US" w:bidi="en_US"/>
        </w:rPr>
        <w:t>I’m talking to any faithful, sensible servant to whom the master gives the responsibility of managing his household… (NLT96)</w:t>
      </w:r>
      <w:r>
        <w:rPr>
          <w:lang w:val="en_US" w:bidi="en_US"/>
        </w:rPr>
        <w:t>Be like a faithful and wise servant so that your master can trust you to take care of his household and give the other servants food at the proper time.</w:t>
      </w:r>
    </w:p>
    <w:p>
      <w:pPr/>
      <w:r>
        <w:rPr>
          <w:lang w:val="en_US" w:bidi="en_US"/>
        </w:rPr>
      </w:r>
      <w:r>
        <w:rPr>
          <w:lang w:val="en_US" w:bidi="en_US"/>
        </w:rPr>
        <w:t>You should translate this in a way that is natural in your language to introduce this parable.</w:t>
      </w:r>
    </w:p>
    <w:p>
      <w:pPr>
        <w:pStyle w:val="Heading5"/>
      </w:pPr>
      <w:r>
        <w:rPr>
          <w:lang w:val="en_US" w:bidi="en_US"/>
        </w:rPr>
        <w:t>12:42a</w:t>
      </w:r>
    </w:p>
    <w:p>
      <w:pPr/>
      <w:r>
        <w:rPr>
          <w:lang w:val="en_US" w:bidi="en_US"/>
        </w:rPr>
      </w:r>
      <w:r>
        <w:rPr>
          <w:b/>
          <w:lang w:val="en_US" w:bidi="en_US"/>
        </w:rPr>
        <w:t>And the Lord answered, “Who then is the faithful and wise manager,</w:t>
      </w:r>
    </w:p>
    <w:p>
      <w:pPr>
        <w:pStyle w:val="ListBullet"/>
        <w:spacing w:line="240" w:lineRule="auto"/>
        <w:ind w:left="720"/>
      </w:pPr>
      <w:r>
        <w:rPr>
          <w:lang w:val="en_US" w:bidi="en_US"/>
        </w:rPr>
      </w:r>
      <w:r>
        <w:rPr>
          <w:lang w:val="en_US" w:bidi="en_US"/>
        </w:rPr>
        <w:t xml:space="preserve">The Lord replied </w:t>
      </w:r>
      <w:r>
        <w:rPr>
          <w:lang w:val="en_US" w:bidi="en_US"/>
        </w:rPr>
        <w:t>with another parable/illustration</w:t>
      </w:r>
      <w:r>
        <w:rPr>
          <w:lang w:val="en_US" w:bidi="en_US"/>
        </w:rPr>
        <w:t xml:space="preserve">, “Who is </w:t>
      </w:r>
      <w:r>
        <w:rPr>
          <w:lang w:val="en_US" w:bidi="en_US"/>
        </w:rPr>
        <w:t>like</w:t>
      </w:r>
      <w:r>
        <w:rPr>
          <w:lang w:val="en_US" w:bidi="en_US"/>
        </w:rPr>
        <w:t xml:space="preserve"> a servant who is trustworthy/dependable and wise?</w:t>
      </w:r>
    </w:p>
    <w:p>
      <w:pPr>
        <w:pStyle w:val="ListBullet"/>
        <w:spacing w:line="240" w:lineRule="auto"/>
        <w:ind w:left="720"/>
      </w:pPr>
      <w:r>
        <w:rPr>
          <w:lang w:val="en_US" w:bidi="en_US"/>
        </w:rPr>
      </w:r>
      <w:r>
        <w:rPr>
          <w:lang w:val="en_US" w:bidi="en_US"/>
        </w:rPr>
        <w:t xml:space="preserve">The Lord </w:t>
      </w:r>
      <w:r>
        <w:rPr>
          <w:lang w:val="en_US" w:bidi="en_US"/>
        </w:rPr>
        <w:t>Jesus</w:t>
      </w:r>
      <w:r>
        <w:rPr>
          <w:lang w:val="en_US" w:bidi="en_US"/>
        </w:rPr>
        <w:t xml:space="preserve"> answered him </w:t>
      </w:r>
      <w:r>
        <w:rPr>
          <w:lang w:val="en_US" w:bidi="en_US"/>
        </w:rPr>
        <w:t>like this</w:t>
      </w:r>
      <w:r>
        <w:rPr>
          <w:lang w:val="en_US" w:bidi="en_US"/>
        </w:rPr>
        <w:t>: “A sensible and trustworthy servant is a person/man whom</w:t>
      </w:r>
    </w:p>
    <w:p>
      <w:pPr>
        <w:pStyle w:val="ListBullet"/>
        <w:spacing w:line="240" w:lineRule="auto"/>
        <w:ind w:left="720"/>
      </w:pPr>
      <w:r>
        <w:rPr>
          <w:lang w:val="en_US" w:bidi="en_US"/>
        </w:rPr>
      </w:r>
      <w:r>
        <w:rPr>
          <w:lang w:val="en_US" w:bidi="en_US"/>
        </w:rPr>
        <w:t xml:space="preserve">In reply, the Lord </w:t>
      </w:r>
      <w:r>
        <w:rPr>
          <w:lang w:val="en_US" w:bidi="en_US"/>
        </w:rPr>
        <w:t>told another parable/illustration. He</w:t>
      </w:r>
      <w:r>
        <w:rPr>
          <w:lang w:val="en_US" w:bidi="en_US"/>
        </w:rPr>
        <w:t xml:space="preserve"> said, “</w:t>
      </w:r>
      <w:r>
        <w:rPr>
          <w:lang w:val="en_US" w:bidi="en_US"/>
        </w:rPr>
        <w:t>I am talking about</w:t>
      </w:r>
      <w:r>
        <w:rPr>
          <w:lang w:val="en_US" w:bidi="en_US"/>
        </w:rPr>
        <w:t xml:space="preserve"> a prudent/wise servant whom his master can depend on.</w:t>
      </w:r>
    </w:p>
    <w:p>
      <w:pPr/>
      <w:r>
        <w:rPr>
          <w:lang w:val="en_US" w:bidi="en_US"/>
        </w:rPr>
      </w:r>
      <w:r>
        <w:rPr>
          <w:b/>
          <w:lang w:val="en_US" w:bidi="en_US"/>
        </w:rPr>
        <w:t>And the Lord answered:</w:t>
      </w:r>
      <w:r>
        <w:rPr>
          <w:lang w:val="en_US" w:bidi="en_US"/>
        </w:rPr>
        <w:t xml:space="preserve"> The Greek word that the BSB translated as </w:t>
      </w:r>
      <w:r>
        <w:rPr>
          <w:i/>
          <w:lang w:val="en_US" w:bidi="en_US"/>
        </w:rPr>
        <w:t>answered</w:t>
      </w:r>
      <w:r>
        <w:rPr>
          <w:lang w:val="en_US" w:bidi="en_US"/>
        </w:rPr>
        <w:t xml:space="preserve"> is the common word that is usually translated “said.” The BSB has used </w:t>
      </w:r>
      <w:r>
        <w:rPr>
          <w:i/>
          <w:lang w:val="en_US" w:bidi="en_US"/>
        </w:rPr>
        <w:t>answered</w:t>
      </w:r>
      <w:r>
        <w:rPr>
          <w:lang w:val="en_US" w:bidi="en_US"/>
        </w:rPr>
        <w:t xml:space="preserve"> because this is good style in English. You should use the word that is most natural in your language.</w:t>
      </w:r>
    </w:p>
    <w:p>
      <w:pPr/>
      <w:r>
        <w:rPr>
          <w:lang w:val="en_US" w:bidi="en_US"/>
        </w:rPr>
      </w:r>
      <w:r>
        <w:rPr>
          <w:b/>
          <w:lang w:val="en_US" w:bidi="en_US"/>
        </w:rPr>
        <w:t>faithful:</w:t>
      </w:r>
      <w:r>
        <w:rPr>
          <w:lang w:val="en_US" w:bidi="en_US"/>
        </w:rPr>
        <w:t xml:space="preserve"> The Greek word that the BSB translates as </w:t>
      </w:r>
      <w:r>
        <w:rPr>
          <w:i/>
          <w:lang w:val="en_US" w:bidi="en_US"/>
        </w:rPr>
        <w:t>faithful</w:t>
      </w:r>
      <w:r>
        <w:rPr>
          <w:lang w:val="en_US" w:bidi="en_US"/>
        </w:rPr>
        <w:t xml:space="preserve"> refers here to a person who is trustworthy. His master can rely on him to do what he should do. See believe, Meaning 4, in the Glossary.</w:t>
      </w:r>
    </w:p>
    <w:p>
      <w:pPr/>
      <w:r>
        <w:rPr>
          <w:lang w:val="en_US" w:bidi="en_US"/>
        </w:rPr>
      </w:r>
      <w:r>
        <w:rPr>
          <w:b/>
          <w:lang w:val="en_US" w:bidi="en_US"/>
        </w:rPr>
        <w:t>wise:</w:t>
      </w:r>
      <w:r>
        <w:rPr>
          <w:lang w:val="en_US" w:bidi="en_US"/>
        </w:rPr>
        <w:t xml:space="preserve"> The Greek word that the BSB translates as </w:t>
      </w:r>
      <w:r>
        <w:rPr>
          <w:i/>
          <w:lang w:val="en_US" w:bidi="en_US"/>
        </w:rPr>
        <w:t>wise</w:t>
      </w:r>
      <w:r>
        <w:rPr>
          <w:lang w:val="en_US" w:bidi="en_US"/>
        </w:rPr>
        <w:t xml:space="preserve"> refers here to a person who is prudent and sensible.</w:t>
      </w:r>
    </w:p>
    <w:p>
      <w:pPr/>
      <w:r>
        <w:rPr>
          <w:lang w:val="en_US" w:bidi="en_US"/>
        </w:rPr>
      </w:r>
      <w:r>
        <w:rPr>
          <w:b/>
          <w:lang w:val="en_US" w:bidi="en_US"/>
        </w:rPr>
        <w:t>manager:</w:t>
      </w:r>
      <w:r>
        <w:rPr>
          <w:lang w:val="en_US" w:bidi="en_US"/>
        </w:rPr>
        <w:t xml:space="preserve"> The Greek word that the BSB translates as </w:t>
      </w:r>
      <w:r>
        <w:rPr>
          <w:i/>
          <w:lang w:val="en_US" w:bidi="en_US"/>
        </w:rPr>
        <w:t>manager</w:t>
      </w:r>
      <w:r>
        <w:rPr>
          <w:lang w:val="en_US" w:bidi="en_US"/>
        </w:rPr>
        <w:t xml:space="preserve"> refers to someone who managed his master’s household and property. In this context the manager was also a servant. The manager’s primary responsibility was to take care of his master’s other servants.</w:t>
      </w:r>
    </w:p>
    <w:p>
      <w:pPr>
        <w:pStyle w:val="Heading6"/>
      </w:pPr>
      <w:r>
        <w:rPr>
          <w:b/>
          <w:lang w:val="en_US" w:bidi="en_US"/>
        </w:rPr>
        <w:t>General Comment on 12:42a</w:t>
      </w:r>
    </w:p>
    <w:p>
      <w:pPr/>
      <w:r>
        <w:rPr>
          <w:lang w:val="en_US" w:bidi="en_US"/>
        </w:rPr>
      </w:r>
      <w:r>
        <w:rPr>
          <w:lang w:val="en_US" w:bidi="en_US"/>
        </w:rPr>
        <w:t>Another way to translate the phrase “faithful and wise manager” is:</w:t>
      </w:r>
    </w:p>
    <w:p>
      <w:pPr/>
      <w:r>
        <w:rPr>
          <w:lang w:val="en_US" w:bidi="en_US"/>
        </w:rPr>
      </w:r>
      <w:r>
        <w:rPr>
          <w:lang w:val="en_US" w:bidi="en_US"/>
        </w:rPr>
        <w:t>wise and trusted servant (NCV)</w:t>
      </w:r>
    </w:p>
    <w:p>
      <w:pPr>
        <w:pStyle w:val="Heading5"/>
      </w:pPr>
      <w:r>
        <w:rPr>
          <w:lang w:val="en_US" w:bidi="en_US"/>
        </w:rPr>
        <w:t>12:42b</w:t>
      </w:r>
    </w:p>
    <w:p>
      <w:pPr/>
      <w:r>
        <w:rPr>
          <w:lang w:val="en_US" w:bidi="en_US"/>
        </w:rPr>
      </w:r>
      <w:r>
        <w:rPr>
          <w:b/>
          <w:lang w:val="en_US" w:bidi="en_US"/>
        </w:rPr>
        <w:t>whom the master puts in charge of his servants</w:t>
      </w:r>
    </w:p>
    <w:p>
      <w:pPr>
        <w:pStyle w:val="ListBullet"/>
        <w:spacing w:line="240" w:lineRule="auto"/>
        <w:ind w:left="720"/>
      </w:pPr>
      <w:r>
        <w:rPr>
          <w:lang w:val="en_US" w:bidi="en_US"/>
        </w:rPr>
      </w:r>
      <w:r>
        <w:rPr>
          <w:lang w:val="en_US" w:bidi="en_US"/>
        </w:rPr>
        <w:t xml:space="preserve">He is the </w:t>
      </w:r>
      <w:r>
        <w:rPr>
          <w:lang w:val="en_US" w:bidi="en_US"/>
        </w:rPr>
        <w:t>kind of</w:t>
      </w:r>
      <w:r>
        <w:rPr>
          <w:lang w:val="en_US" w:bidi="en_US"/>
        </w:rPr>
        <w:t xml:space="preserve"> person whom his master made leader of the </w:t>
      </w:r>
      <w:r>
        <w:rPr>
          <w:lang w:val="en_US" w:bidi="en_US"/>
        </w:rPr>
        <w:t>other</w:t>
      </w:r>
      <w:r>
        <w:rPr>
          <w:lang w:val="en_US" w:bidi="en_US"/>
        </w:rPr>
        <w:t xml:space="preserve"> servants</w:t>
      </w:r>
    </w:p>
    <w:p>
      <w:pPr>
        <w:pStyle w:val="ListBullet"/>
        <w:spacing w:line="240" w:lineRule="auto"/>
        <w:ind w:left="720"/>
      </w:pPr>
      <w:r>
        <w:rPr>
          <w:lang w:val="en_US" w:bidi="en_US"/>
        </w:rPr>
      </w:r>
      <w:r>
        <w:rPr>
          <w:lang w:val="en_US" w:bidi="en_US"/>
        </w:rPr>
        <w:t xml:space="preserve">the master can confidently appoint to have responsibility for the </w:t>
      </w:r>
      <w:r>
        <w:rPr>
          <w:lang w:val="en_US" w:bidi="en_US"/>
        </w:rPr>
        <w:t>other</w:t>
      </w:r>
      <w:r>
        <w:rPr>
          <w:lang w:val="en_US" w:bidi="en_US"/>
        </w:rPr>
        <w:t xml:space="preserve"> servants.</w:t>
      </w:r>
    </w:p>
    <w:p>
      <w:pPr>
        <w:pStyle w:val="ListBullet"/>
        <w:spacing w:line="240" w:lineRule="auto"/>
        <w:ind w:left="720"/>
      </w:pPr>
      <w:r>
        <w:rPr>
          <w:lang w:val="en_US" w:bidi="en_US"/>
        </w:rPr>
      </w:r>
      <w:r>
        <w:rPr>
          <w:lang w:val="en_US" w:bidi="en_US"/>
        </w:rPr>
        <w:t xml:space="preserve">He is a person whom the master caused to be in charge of the </w:t>
      </w:r>
      <w:r>
        <w:rPr>
          <w:lang w:val="en_US" w:bidi="en_US"/>
        </w:rPr>
        <w:t>other</w:t>
      </w:r>
      <w:r>
        <w:rPr>
          <w:lang w:val="en_US" w:bidi="en_US"/>
        </w:rPr>
        <w:t xml:space="preserve"> servants.</w:t>
      </w:r>
    </w:p>
    <w:p>
      <w:pPr/>
      <w:r>
        <w:rPr>
          <w:lang w:val="en_US" w:bidi="en_US"/>
        </w:rPr>
      </w:r>
      <w:r>
        <w:rPr>
          <w:b/>
          <w:lang w:val="en_US" w:bidi="en_US"/>
        </w:rPr>
        <w:t>whom the master puts in charge of his servants:</w:t>
      </w:r>
      <w:r>
        <w:rPr>
          <w:lang w:val="en_US" w:bidi="en_US"/>
        </w:rPr>
        <w:t xml:space="preserve"> In this context </w:t>
      </w:r>
      <w:r>
        <w:rPr>
          <w:i/>
          <w:lang w:val="en_US" w:bidi="en_US"/>
        </w:rPr>
        <w:t>the master</w:t>
      </w:r>
      <w:r>
        <w:rPr>
          <w:lang w:val="en_US" w:bidi="en_US"/>
        </w:rPr>
        <w:t xml:space="preserve"> refers to a rich man or ruler who had several servants. He chose one of the servants to be their leader. It is clear from the context that the master did this because he was preparing to go away on a trip. In some languages it may be necessary to make this explicit:</w:t>
      </w:r>
    </w:p>
    <w:p>
      <w:pPr/>
      <w:r>
        <w:rPr>
          <w:lang w:val="en_US" w:bidi="en_US"/>
        </w:rPr>
      </w:r>
      <w:r>
        <w:rPr>
          <w:lang w:val="en_US" w:bidi="en_US"/>
        </w:rPr>
        <w:t xml:space="preserve">whom the master, </w:t>
      </w:r>
      <w:r>
        <w:rPr>
          <w:lang w:val="en_US" w:bidi="en_US"/>
        </w:rPr>
        <w:t>because he was about to leave for a while,</w:t>
      </w:r>
      <w:r>
        <w:rPr>
          <w:lang w:val="en_US" w:bidi="en_US"/>
        </w:rPr>
        <w:t xml:space="preserve"> put in charge of his other servants</w:t>
      </w:r>
    </w:p>
    <w:p>
      <w:pPr/>
      <w:r>
        <w:rPr>
          <w:lang w:val="en_US" w:bidi="en_US"/>
        </w:rPr>
      </w:r>
      <w:r>
        <w:rPr>
          <w:lang w:val="en_US" w:bidi="en_US"/>
        </w:rPr>
        <w:t>In some languages it may be helpful to start a new sentence here:</w:t>
      </w:r>
    </w:p>
    <w:p>
      <w:pPr/>
      <w:r>
        <w:rPr>
          <w:lang w:val="en_US" w:bidi="en_US"/>
        </w:rPr>
      </w:r>
      <w:r>
        <w:rPr>
          <w:lang w:val="en_US" w:bidi="en_US"/>
        </w:rPr>
        <w:t xml:space="preserve">He is the one whom his master puts in charge of his </w:t>
      </w:r>
      <w:r>
        <w:rPr>
          <w:lang w:val="en_US" w:bidi="en_US"/>
        </w:rPr>
        <w:t>other</w:t>
      </w:r>
      <w:r>
        <w:rPr>
          <w:lang w:val="en_US" w:bidi="en_US"/>
        </w:rPr>
        <w:t xml:space="preserve"> servants</w:t>
      </w:r>
    </w:p>
    <w:p>
      <w:pPr/>
      <w:r>
        <w:rPr>
          <w:lang w:val="en_US" w:bidi="en_US"/>
        </w:rPr>
      </w:r>
      <w:r>
        <w:rPr>
          <w:b/>
          <w:lang w:val="en_US" w:bidi="en_US"/>
        </w:rPr>
        <w:t>his servants:</w:t>
      </w:r>
      <w:r>
        <w:rPr>
          <w:lang w:val="en_US" w:bidi="en_US"/>
        </w:rPr>
        <w:t xml:space="preserve"> The word </w:t>
      </w:r>
      <w:r>
        <w:rPr>
          <w:i/>
          <w:lang w:val="en_US" w:bidi="en_US"/>
        </w:rPr>
        <w:t>servants</w:t>
      </w:r>
      <w:r>
        <w:rPr>
          <w:lang w:val="en_US" w:bidi="en_US"/>
        </w:rPr>
        <w:t xml:space="preserve"> also occurs in 12:37a.</w:t>
      </w:r>
    </w:p>
    <w:p>
      <w:pPr>
        <w:pStyle w:val="Heading5"/>
      </w:pPr>
      <w:r>
        <w:rPr>
          <w:lang w:val="en_US" w:bidi="en_US"/>
        </w:rPr>
        <w:t>12:42c</w:t>
      </w:r>
    </w:p>
    <w:p>
      <w:pPr/>
      <w:r>
        <w:rPr>
          <w:lang w:val="en_US" w:bidi="en_US"/>
        </w:rPr>
      </w:r>
      <w:r>
        <w:rPr>
          <w:b/>
          <w:lang w:val="en_US" w:bidi="en_US"/>
        </w:rPr>
        <w:t>to give them their portion at the proper time?</w:t>
      </w:r>
    </w:p>
    <w:p>
      <w:pPr>
        <w:pStyle w:val="ListBullet"/>
        <w:spacing w:line="240" w:lineRule="auto"/>
        <w:ind w:left="720"/>
      </w:pPr>
      <w:r>
        <w:rPr>
          <w:lang w:val="en_US" w:bidi="en_US"/>
        </w:rPr>
      </w:r>
      <w:r>
        <w:rPr>
          <w:lang w:val="en_US" w:bidi="en_US"/>
        </w:rPr>
        <w:t>so that he would give them their food rations at the right/fixed times.</w:t>
      </w:r>
    </w:p>
    <w:p>
      <w:pPr>
        <w:pStyle w:val="ListBullet"/>
        <w:spacing w:line="240" w:lineRule="auto"/>
        <w:ind w:left="720"/>
      </w:pPr>
      <w:r>
        <w:rPr>
          <w:lang w:val="en_US" w:bidi="en_US"/>
        </w:rPr>
      </w:r>
      <w:r>
        <w:rPr>
          <w:lang w:val="en_US" w:bidi="en_US"/>
        </w:rPr>
        <w:t>He told him</w:t>
      </w:r>
      <w:r>
        <w:rPr>
          <w:lang w:val="en_US" w:bidi="en_US"/>
        </w:rPr>
        <w:t xml:space="preserve"> to give the </w:t>
      </w:r>
      <w:r>
        <w:rPr>
          <w:lang w:val="en_US" w:bidi="en_US"/>
        </w:rPr>
        <w:t>other</w:t>
      </w:r>
      <w:r>
        <w:rPr>
          <w:lang w:val="en_US" w:bidi="en_US"/>
        </w:rPr>
        <w:t xml:space="preserve"> servants their share of food at the regular times.</w:t>
      </w:r>
    </w:p>
    <w:p>
      <w:pPr>
        <w:pStyle w:val="ListBullet"/>
        <w:spacing w:line="240" w:lineRule="auto"/>
        <w:ind w:left="720"/>
      </w:pPr>
      <w:r>
        <w:rPr>
          <w:lang w:val="en_US" w:bidi="en_US"/>
        </w:rPr>
      </w:r>
      <w:r>
        <w:rPr>
          <w:lang w:val="en_US" w:bidi="en_US"/>
        </w:rPr>
        <w:t>When the master traveled, he ordered this man</w:t>
      </w:r>
      <w:r>
        <w:rPr>
          <w:lang w:val="en_US" w:bidi="en_US"/>
        </w:rPr>
        <w:t xml:space="preserve"> to distribute/provide food to the </w:t>
      </w:r>
      <w:r>
        <w:rPr>
          <w:lang w:val="en_US" w:bidi="en_US"/>
        </w:rPr>
        <w:t>other</w:t>
      </w:r>
      <w:r>
        <w:rPr>
          <w:lang w:val="en_US" w:bidi="en_US"/>
        </w:rPr>
        <w:t xml:space="preserve"> servants at the proper times.</w:t>
      </w:r>
    </w:p>
    <w:p>
      <w:pPr/>
      <w:r>
        <w:rPr>
          <w:lang w:val="en_US" w:bidi="en_US"/>
        </w:rPr>
      </w:r>
      <w:r>
        <w:rPr>
          <w:b/>
          <w:lang w:val="en_US" w:bidi="en_US"/>
        </w:rPr>
        <w:t>to give them their portion at the proper time:</w:t>
      </w:r>
      <w:r>
        <w:rPr>
          <w:lang w:val="en_US" w:bidi="en_US"/>
        </w:rPr>
        <w:t xml:space="preserve"> This verse part explains the duty or responsibility of the leading servant. Their master wanted this servant to ensure that the other servants received their regular share of food.</w:t>
      </w:r>
    </w:p>
    <w:p>
      <w:pPr/>
      <w:r>
        <w:rPr>
          <w:lang w:val="en_US" w:bidi="en_US"/>
        </w:rPr>
      </w:r>
      <w:r>
        <w:rPr>
          <w:b/>
          <w:lang w:val="en_US" w:bidi="en_US"/>
        </w:rPr>
        <w:t>their portion:</w:t>
      </w:r>
      <w:r>
        <w:rPr>
          <w:lang w:val="en_US" w:bidi="en_US"/>
        </w:rPr>
        <w:t xml:space="preserve"> The phrase </w:t>
      </w:r>
      <w:r>
        <w:rPr>
          <w:i/>
          <w:lang w:val="en_US" w:bidi="en_US"/>
        </w:rPr>
        <w:t>their portion</w:t>
      </w:r>
      <w:r>
        <w:rPr>
          <w:lang w:val="en_US" w:bidi="en_US"/>
        </w:rPr>
        <w:t xml:space="preserve"> refers to the set amount of food that servants were supposed to receive. It can also be translated as:</w:t>
      </w:r>
    </w:p>
    <w:p>
      <w:pPr/>
      <w:r>
        <w:rPr>
          <w:lang w:val="en_US" w:bidi="en_US"/>
        </w:rPr>
      </w:r>
      <w:r>
        <w:rPr>
          <w:lang w:val="en_US" w:bidi="en_US"/>
        </w:rPr>
        <w:t>their food allowance (NIV)</w:t>
      </w:r>
    </w:p>
    <w:p>
      <w:pPr/>
      <w:r>
        <w:rPr>
          <w:lang w:val="en_US" w:bidi="en_US"/>
        </w:rPr>
      </w:r>
      <w:r>
        <w:rPr>
          <w:lang w:val="en_US" w:bidi="en_US"/>
        </w:rPr>
        <w:t>their rations (REB)</w:t>
      </w:r>
    </w:p>
    <w:p>
      <w:pPr/>
      <w:r>
        <w:rPr>
          <w:lang w:val="en_US" w:bidi="en_US"/>
        </w:rPr>
      </w:r>
      <w:r>
        <w:rPr>
          <w:b/>
          <w:lang w:val="en_US" w:bidi="en_US"/>
        </w:rPr>
        <w:t>at the proper time:</w:t>
      </w:r>
      <w:r>
        <w:rPr>
          <w:lang w:val="en_US" w:bidi="en_US"/>
        </w:rPr>
        <w:t xml:space="preserve"> In rich Roman families, the servants received a measured portion of food daily, sometimes weekly, sometimes monthly. Most versions use a general expression here. For example:</w:t>
      </w:r>
    </w:p>
    <w:p>
      <w:pPr/>
      <w:r>
        <w:rPr>
          <w:lang w:val="en_US" w:bidi="en_US"/>
        </w:rPr>
      </w:r>
      <w:r>
        <w:rPr>
          <w:lang w:val="en_US" w:bidi="en_US"/>
        </w:rPr>
        <w:t>at the right time (NCV)</w:t>
      </w:r>
    </w:p>
    <w:p>
      <w:pPr/>
      <w:r>
        <w:rPr>
          <w:lang w:val="en_US" w:bidi="en_US"/>
        </w:rPr>
      </w:r>
      <w:r>
        <w:rPr>
          <w:lang w:val="en_US" w:bidi="en_US"/>
        </w:rPr>
        <w:t>In some languages it may be natural to leave this phrase implied. For example:</w:t>
      </w:r>
    </w:p>
    <w:p>
      <w:pPr/>
      <w:r>
        <w:rPr>
          <w:lang w:val="en_US" w:bidi="en_US"/>
        </w:rPr>
      </w:r>
      <w:r>
        <w:rPr>
          <w:lang w:val="en_US" w:bidi="en_US"/>
        </w:rPr>
        <w:t>feeding them (NLT)</w:t>
      </w:r>
      <w:r>
        <w:rPr>
          <w:lang w:val="en_US" w:bidi="en_US"/>
        </w:rPr>
      </w:r>
      <w:r>
        <w:rPr>
          <w:lang w:val="en_US" w:bidi="en_US"/>
        </w:rPr>
      </w:r>
    </w:p>
    <w:p>
      <w:pPr/>
      <w:r>
        <w:rPr>
          <w:lang w:val="en_US" w:bidi="en_US"/>
        </w:rPr>
      </w:r>
    </w:p>
    <w:p>
      <w:pPr>
        <w:pStyle w:val="Heading2"/>
      </w:pPr>
      <w:r>
        <w:rPr>
          <w:lang w:val="en_US" w:bidi="en_US"/>
        </w:rPr>
        <w:t>Luke 12:43</w:t>
      </w:r>
      <w:r>
        <w:rPr>
          <w:lang w:val="en_US" w:bidi="en_US"/>
        </w:rPr>
      </w:r>
    </w:p>
    <w:p>
      <w:pPr>
        <w:pStyle w:val="Heading4"/>
      </w:pPr>
      <w:r>
        <w:rPr>
          <w:lang w:val="en_US" w:bidi="en_US"/>
        </w:rPr>
        <w:t>Section 12:35–48: Jesus’ servants should be watchful and faithful</w:t>
      </w:r>
    </w:p>
    <w:p>
      <w:pPr/>
      <w:r>
        <w:rPr>
          <w:lang w:val="en_US" w:bidi="en_US"/>
        </w:rPr>
      </w:r>
      <w:r>
        <w:rPr>
          <w:lang w:val="en_US" w:bidi="en_US"/>
        </w:rP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pPr/>
      <w:r>
        <w:rPr>
          <w:lang w:val="en_US" w:bidi="en_US"/>
        </w:rPr>
      </w:r>
      <w:r>
        <w:rPr>
          <w:lang w:val="en_US" w:bidi="en_US"/>
        </w:rPr>
        <w:t>Some other headings for this section are:</w:t>
      </w:r>
    </w:p>
    <w:p>
      <w:pPr/>
      <w:r>
        <w:rPr>
          <w:lang w:val="en_US" w:bidi="en_US"/>
        </w:rPr>
      </w:r>
      <w:r>
        <w:rPr>
          <w:lang w:val="en_US" w:bidi="en_US"/>
        </w:rPr>
        <w:t>Faithful and Unfaithful Servants (CEV)</w:t>
      </w:r>
    </w:p>
    <w:p>
      <w:pPr/>
      <w:r>
        <w:rPr>
          <w:lang w:val="en_US" w:bidi="en_US"/>
        </w:rPr>
      </w:r>
      <w:r>
        <w:rPr>
          <w:lang w:val="en_US" w:bidi="en_US"/>
        </w:rPr>
        <w:t>Be Ready for the Lord’s Coming (NLT)</w:t>
      </w:r>
    </w:p>
    <w:p>
      <w:pPr/>
      <w:r>
        <w:rPr>
          <w:lang w:val="en_US" w:bidi="en_US"/>
        </w:rPr>
      </w:r>
      <w:r>
        <w:rPr>
          <w:lang w:val="en_US" w:bidi="en_US"/>
        </w:rPr>
        <w:t>Watchfulness (NIV)</w:t>
      </w:r>
    </w:p>
    <w:p>
      <w:pPr/>
      <w:r>
        <w:rPr>
          <w:lang w:val="en_US" w:bidi="en_US"/>
        </w:rPr>
      </w:r>
      <w:r>
        <w:rPr>
          <w:lang w:val="en_US" w:bidi="en_US"/>
        </w:rPr>
        <w:t>There is a parallel passage for 12:41–48 in Matthew 24:45–51.</w:t>
      </w:r>
    </w:p>
    <w:p>
      <w:pPr>
        <w:pStyle w:val="Heading5"/>
      </w:pPr>
      <w:r>
        <w:rPr>
          <w:lang w:val="en_US" w:bidi="en_US"/>
        </w:rPr>
        <w:t>12:43</w:t>
      </w:r>
    </w:p>
    <w:p>
      <w:pPr/>
      <w:r>
        <w:rPr>
          <w:lang w:val="en_US" w:bidi="en_US"/>
        </w:rPr>
      </w:r>
      <w:r>
        <w:rPr>
          <w:b/>
          <w:lang w:val="en_US" w:bidi="en_US"/>
        </w:rPr>
        <w:t>Blessed is that servant whose master finds him doing so when he returns.</w:t>
      </w:r>
    </w:p>
    <w:p>
      <w:pPr>
        <w:pStyle w:val="ListBullet"/>
        <w:spacing w:line="240" w:lineRule="auto"/>
        <w:ind w:left="720"/>
      </w:pPr>
      <w:r>
        <w:rPr>
          <w:lang w:val="en_US" w:bidi="en_US"/>
        </w:rPr>
      </w:r>
      <w:r>
        <w:rPr>
          <w:lang w:val="en_US" w:bidi="en_US"/>
        </w:rPr>
        <w:t xml:space="preserve">That servant/manager will be truly happy/fortunate if his master returns </w:t>
      </w:r>
      <w:r>
        <w:rPr>
          <w:lang w:val="en_US" w:bidi="en_US"/>
        </w:rPr>
        <w:t>home</w:t>
      </w:r>
      <w:r>
        <w:rPr>
          <w:lang w:val="en_US" w:bidi="en_US"/>
        </w:rPr>
        <w:t xml:space="preserve"> and sees that he is doing </w:t>
      </w:r>
      <w:r>
        <w:rPr>
          <w:lang w:val="en_US" w:bidi="en_US"/>
        </w:rPr>
        <w:t>the work that was entrusted to him</w:t>
      </w:r>
      <w:r>
        <w:rPr>
          <w:lang w:val="en_US" w:bidi="en_US"/>
        </w:rPr>
        <w:t>.</w:t>
      </w:r>
    </w:p>
    <w:p>
      <w:pPr>
        <w:pStyle w:val="ListBullet"/>
        <w:spacing w:line="240" w:lineRule="auto"/>
        <w:ind w:left="720"/>
      </w:pPr>
      <w:r>
        <w:rPr>
          <w:lang w:val="en_US" w:bidi="en_US"/>
        </w:rPr>
      </w:r>
      <w:r>
        <w:rPr>
          <w:lang w:val="en_US" w:bidi="en_US"/>
        </w:rPr>
        <w:t xml:space="preserve">When the master returns </w:t>
      </w:r>
      <w:r>
        <w:rPr>
          <w:lang w:val="en_US" w:bidi="en_US"/>
        </w:rPr>
        <w:t>from a trip</w:t>
      </w:r>
      <w:r>
        <w:rPr>
          <w:lang w:val="en_US" w:bidi="en_US"/>
        </w:rPr>
        <w:t xml:space="preserve"> and learns that the servant has been doing </w:t>
      </w:r>
      <w:r>
        <w:rPr>
          <w:lang w:val="en_US" w:bidi="en_US"/>
        </w:rPr>
        <w:t>his work well</w:t>
      </w:r>
      <w:r>
        <w:rPr>
          <w:lang w:val="en_US" w:bidi="en_US"/>
        </w:rPr>
        <w:t>, the master will be very pleased with him.</w:t>
      </w:r>
    </w:p>
    <w:p>
      <w:pPr>
        <w:pStyle w:val="ListBullet"/>
        <w:spacing w:line="240" w:lineRule="auto"/>
        <w:ind w:left="720"/>
      </w:pPr>
      <w:r>
        <w:rPr>
          <w:lang w:val="en_US" w:bidi="en_US"/>
        </w:rPr>
      </w:r>
      <w:r>
        <w:rPr>
          <w:lang w:val="en_US" w:bidi="en_US"/>
        </w:rPr>
        <w:t xml:space="preserve">The master will reward/favor this servant if he returns </w:t>
      </w:r>
      <w:r>
        <w:rPr>
          <w:lang w:val="en_US" w:bidi="en_US"/>
        </w:rPr>
        <w:t>from his journey</w:t>
      </w:r>
      <w:r>
        <w:rPr>
          <w:lang w:val="en_US" w:bidi="en_US"/>
        </w:rPr>
        <w:t xml:space="preserve"> and discovers him acting </w:t>
      </w:r>
      <w:r>
        <w:rPr>
          <w:lang w:val="en_US" w:bidi="en_US"/>
        </w:rPr>
        <w:t>responsibly/obediently</w:t>
      </w:r>
      <w:r>
        <w:rPr>
          <w:lang w:val="en_US" w:bidi="en_US"/>
        </w:rPr>
        <w:t>.</w:t>
      </w:r>
    </w:p>
    <w:p>
      <w:pPr/>
      <w:r>
        <w:rPr>
          <w:lang w:val="en_US" w:bidi="en_US"/>
        </w:rPr>
      </w:r>
      <w:r>
        <w:rPr>
          <w:b/>
          <w:lang w:val="en_US" w:bidi="en_US"/>
        </w:rPr>
        <w:t>Blessed is that servant whose master finds him doing so when he returns:</w:t>
      </w:r>
      <w:r>
        <w:rPr>
          <w:lang w:val="en_US" w:bidi="en_US"/>
        </w:rPr>
        <w:t xml:space="preserve"> Some time passes between 12:42 and 12:43. In 12:42 the text implies that the master left his servants. This part of the verse describes what happens when he returns home. In some languages it may be helpful to make this more explicit:</w:t>
      </w:r>
    </w:p>
    <w:p>
      <w:pPr/>
      <w:r>
        <w:rPr>
          <w:lang w:val="en_US" w:bidi="en_US"/>
        </w:rPr>
      </w:r>
      <w:r>
        <w:rPr>
          <w:lang w:val="en_US" w:bidi="en_US"/>
        </w:rPr>
        <w:t>After some time,</w:t>
      </w:r>
      <w:r>
        <w:rPr>
          <w:lang w:val="en_US" w:bidi="en_US"/>
        </w:rPr>
        <w:t xml:space="preserve"> the master returns home. It will be good for that servant whom the master finds doing his job properly!</w:t>
      </w:r>
    </w:p>
    <w:p>
      <w:pPr/>
      <w:r>
        <w:rPr>
          <w:lang w:val="en_US" w:bidi="en_US"/>
        </w:rPr>
      </w:r>
      <w:r>
        <w:rPr>
          <w:lang w:val="en_US" w:bidi="en_US"/>
        </w:rPr>
        <w:t>There are other ways to structure this verse part. For example:</w:t>
      </w:r>
    </w:p>
    <w:p>
      <w:pPr/>
      <w:r>
        <w:rPr>
          <w:lang w:val="en_US" w:bidi="en_US"/>
        </w:rPr>
      </w:r>
      <w:r>
        <w:rPr>
          <w:lang w:val="en_US" w:bidi="en_US"/>
        </w:rPr>
        <w:t>If the master returns and finds that the servant has done a good job, there will be a reward. (NLT)</w:t>
      </w:r>
    </w:p>
    <w:p>
      <w:pPr/>
      <w:r>
        <w:rPr>
          <w:lang w:val="en_US" w:bidi="en_US"/>
        </w:rPr>
      </w:r>
      <w:r>
        <w:rPr>
          <w:lang w:val="en_US" w:bidi="en_US"/>
        </w:rPr>
        <w:t>When the master comes and finds the servant doing his work, the servant will be blessed. (NCV)</w:t>
      </w:r>
    </w:p>
    <w:p>
      <w:pPr/>
      <w:r>
        <w:rPr>
          <w:lang w:val="en_US" w:bidi="en_US"/>
        </w:rPr>
      </w:r>
      <w:r>
        <w:rPr>
          <w:b/>
          <w:lang w:val="en_US" w:bidi="en_US"/>
        </w:rPr>
        <w:t>Blessed is that servant:</w:t>
      </w:r>
      <w:r>
        <w:rPr>
          <w:lang w:val="en_US" w:bidi="en_US"/>
        </w:rPr>
        <w:t xml:space="preserve"> As in 12:37a and 38a, the Greek word that the BSB translates literally as </w:t>
      </w:r>
      <w:r>
        <w:rPr>
          <w:i/>
          <w:lang w:val="en_US" w:bidi="en_US"/>
        </w:rPr>
        <w:t>Blessed</w:t>
      </w:r>
      <w:r>
        <w:rPr>
          <w:lang w:val="en_US" w:bidi="en_US"/>
        </w:rPr>
        <w:t xml:space="preserve"> indicates that this servant will be truly happy or fortunate. In this context it implies that his master will be pleased with him and will show him special favor.</w:t>
      </w:r>
    </w:p>
    <w:p>
      <w:pPr/>
      <w:r>
        <w:rPr>
          <w:lang w:val="en_US" w:bidi="en_US"/>
        </w:rPr>
      </w:r>
      <w:r>
        <w:rPr>
          <w:b/>
          <w:lang w:val="en_US" w:bidi="en_US"/>
        </w:rPr>
        <w:t>finds him doing so:</w:t>
      </w:r>
      <w:r>
        <w:rPr>
          <w:lang w:val="en_US" w:bidi="en_US"/>
        </w:rPr>
        <w:t xml:space="preserve"> In this context the phrase </w:t>
      </w:r>
      <w:r>
        <w:rPr>
          <w:i/>
          <w:lang w:val="en_US" w:bidi="en_US"/>
        </w:rPr>
        <w:t>finds him doing so</w:t>
      </w:r>
      <w:r>
        <w:rPr>
          <w:lang w:val="en_US" w:bidi="en_US"/>
        </w:rPr>
        <w:t xml:space="preserve"> means sees/discovers that the servant has been doing his job, that is, he has been giving the other servants their food rations.</w:t>
      </w:r>
      <w:r>
        <w:rPr>
          <w:lang w:val="en_US" w:bidi="en_US"/>
        </w:rPr>
      </w:r>
      <w:r>
        <w:rPr>
          <w:lang w:val="en_US" w:bidi="en_US"/>
        </w:rPr>
      </w:r>
    </w:p>
    <w:p>
      <w:pPr/>
      <w:r>
        <w:rPr>
          <w:lang w:val="en_US" w:bidi="en_US"/>
        </w:rPr>
      </w:r>
    </w:p>
    <w:p>
      <w:pPr>
        <w:pStyle w:val="Heading2"/>
      </w:pPr>
      <w:r>
        <w:rPr>
          <w:lang w:val="en_US" w:bidi="en_US"/>
        </w:rPr>
        <w:t>Luke 12:44</w:t>
      </w:r>
      <w:r>
        <w:rPr>
          <w:lang w:val="en_US" w:bidi="en_US"/>
        </w:rPr>
      </w:r>
    </w:p>
    <w:p>
      <w:pPr>
        <w:pStyle w:val="Heading4"/>
      </w:pPr>
      <w:r>
        <w:rPr>
          <w:lang w:val="en_US" w:bidi="en_US"/>
        </w:rPr>
        <w:t>Section 12:35–48: Jesus’ servants should be watchful and faithful</w:t>
      </w:r>
    </w:p>
    <w:p>
      <w:pPr/>
      <w:r>
        <w:rPr>
          <w:lang w:val="en_US" w:bidi="en_US"/>
        </w:rPr>
      </w:r>
      <w:r>
        <w:rPr>
          <w:lang w:val="en_US" w:bidi="en_US"/>
        </w:rP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pPr/>
      <w:r>
        <w:rPr>
          <w:lang w:val="en_US" w:bidi="en_US"/>
        </w:rPr>
      </w:r>
      <w:r>
        <w:rPr>
          <w:lang w:val="en_US" w:bidi="en_US"/>
        </w:rPr>
        <w:t>Some other headings for this section are:</w:t>
      </w:r>
    </w:p>
    <w:p>
      <w:pPr/>
      <w:r>
        <w:rPr>
          <w:lang w:val="en_US" w:bidi="en_US"/>
        </w:rPr>
      </w:r>
      <w:r>
        <w:rPr>
          <w:lang w:val="en_US" w:bidi="en_US"/>
        </w:rPr>
        <w:t>Faithful and Unfaithful Servants (CEV)</w:t>
      </w:r>
    </w:p>
    <w:p>
      <w:pPr/>
      <w:r>
        <w:rPr>
          <w:lang w:val="en_US" w:bidi="en_US"/>
        </w:rPr>
      </w:r>
      <w:r>
        <w:rPr>
          <w:lang w:val="en_US" w:bidi="en_US"/>
        </w:rPr>
        <w:t>Be Ready for the Lord’s Coming (NLT)</w:t>
      </w:r>
    </w:p>
    <w:p>
      <w:pPr/>
      <w:r>
        <w:rPr>
          <w:lang w:val="en_US" w:bidi="en_US"/>
        </w:rPr>
      </w:r>
      <w:r>
        <w:rPr>
          <w:lang w:val="en_US" w:bidi="en_US"/>
        </w:rPr>
        <w:t>Watchfulness (NIV)</w:t>
      </w:r>
    </w:p>
    <w:p>
      <w:pPr/>
      <w:r>
        <w:rPr>
          <w:lang w:val="en_US" w:bidi="en_US"/>
        </w:rPr>
      </w:r>
      <w:r>
        <w:rPr>
          <w:lang w:val="en_US" w:bidi="en_US"/>
        </w:rPr>
        <w:t>There is a parallel passage for 12:41–48 in Matthew 24:45–51.</w:t>
      </w:r>
    </w:p>
    <w:p>
      <w:pPr>
        <w:pStyle w:val="Heading5"/>
      </w:pPr>
      <w:r>
        <w:rPr>
          <w:lang w:val="en_US" w:bidi="en_US"/>
        </w:rPr>
        <w:t>12:44</w:t>
      </w:r>
    </w:p>
    <w:p>
      <w:pPr/>
      <w:r>
        <w:rPr>
          <w:lang w:val="en_US" w:bidi="en_US"/>
        </w:rPr>
      </w:r>
      <w:r>
        <w:rPr>
          <w:b/>
          <w:lang w:val="en_US" w:bidi="en_US"/>
        </w:rPr>
        <w:t>Truly I tell you, he will put him in charge of all his possessions.</w:t>
      </w:r>
    </w:p>
    <w:p>
      <w:pPr>
        <w:pStyle w:val="ListBullet"/>
        <w:spacing w:line="240" w:lineRule="auto"/>
        <w:ind w:left="720"/>
      </w:pPr>
      <w:r>
        <w:rPr>
          <w:lang w:val="en_US" w:bidi="en_US"/>
        </w:rPr>
      </w:r>
      <w:r>
        <w:rPr>
          <w:lang w:val="en_US" w:bidi="en_US"/>
        </w:rPr>
        <w:t>In fact, his master will make him manager over everything he owns!</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xml:space="preserve"> that the master will give him the responsibility of ruling/managing all his estate/property.</w:t>
      </w:r>
    </w:p>
    <w:p>
      <w:pPr/>
      <w:r>
        <w:rPr>
          <w:lang w:val="en_US" w:bidi="en_US"/>
        </w:rPr>
      </w:r>
      <w:r>
        <w:rPr>
          <w:b/>
          <w:lang w:val="en_US" w:bidi="en_US"/>
        </w:rPr>
        <w:t>Truly I tell you:</w:t>
      </w:r>
      <w:r>
        <w:rPr>
          <w:lang w:val="en_US" w:bidi="en_US"/>
        </w:rPr>
        <w:t xml:space="preserve"> The expression </w:t>
      </w:r>
      <w:r>
        <w:rPr>
          <w:i/>
          <w:lang w:val="en_US" w:bidi="en_US"/>
        </w:rPr>
        <w:t>Truly I tell you</w:t>
      </w:r>
      <w:r>
        <w:rPr>
          <w:lang w:val="en_US" w:bidi="en_US"/>
        </w:rPr>
        <w:t xml:space="preserve"> emphasizes that what Jesus was about to say would certainly happen. The same expression occurs in 12:37b.</w:t>
      </w:r>
    </w:p>
    <w:p>
      <w:pPr/>
      <w:r>
        <w:rPr>
          <w:lang w:val="en_US" w:bidi="en_US"/>
        </w:rPr>
      </w:r>
      <w:r>
        <w:rPr>
          <w:b/>
          <w:lang w:val="en_US" w:bidi="en_US"/>
        </w:rPr>
        <w:t>you:</w:t>
      </w:r>
      <w:r>
        <w:rPr>
          <w:lang w:val="en_US" w:bidi="en_US"/>
        </w:rPr>
        <w:t xml:space="preserve"> The word </w:t>
      </w:r>
      <w:r>
        <w:rPr>
          <w:i/>
          <w:lang w:val="en_US" w:bidi="en_US"/>
        </w:rPr>
        <w:t>you</w:t>
      </w:r>
      <w:r>
        <w:rPr>
          <w:lang w:val="en_US" w:bidi="en_US"/>
        </w:rPr>
        <w:t xml:space="preserve"> here is plural. Although Jesus was answering Peter’s question, what he said applied to all of his disciples.</w:t>
      </w:r>
    </w:p>
    <w:p>
      <w:pPr/>
      <w:r>
        <w:rPr>
          <w:lang w:val="en_US" w:bidi="en_US"/>
        </w:rPr>
      </w:r>
      <w:r>
        <w:rPr>
          <w:b/>
          <w:lang w:val="en_US" w:bidi="en_US"/>
        </w:rPr>
        <w:t>he will put him in charge of all his possessions:</w:t>
      </w:r>
      <w:r>
        <w:rPr>
          <w:lang w:val="en_US" w:bidi="en_US"/>
        </w:rPr>
        <w:t xml:space="preserve"> The expression </w:t>
      </w:r>
      <w:r>
        <w:rPr>
          <w:i/>
          <w:lang w:val="en_US" w:bidi="en_US"/>
        </w:rPr>
        <w:t>he will put him in charge of all his possessions</w:t>
      </w:r>
      <w:r>
        <w:rPr>
          <w:lang w:val="en_US" w:bidi="en_US"/>
        </w:rPr>
        <w:t xml:space="preserve"> means here that the master will give his faithful servant authority to manage his whole estate. Previously he had just been in charge of the other servants.</w:t>
      </w:r>
      <w:r>
        <w:rPr>
          <w:lang w:val="en_US" w:bidi="en_US"/>
        </w:rPr>
      </w:r>
      <w:r>
        <w:rPr>
          <w:lang w:val="en_US" w:bidi="en_US"/>
        </w:rPr>
      </w:r>
    </w:p>
    <w:p>
      <w:pPr/>
      <w:r>
        <w:rPr>
          <w:lang w:val="en_US" w:bidi="en_US"/>
        </w:rPr>
      </w:r>
    </w:p>
    <w:p>
      <w:pPr>
        <w:pStyle w:val="Heading2"/>
      </w:pPr>
      <w:r>
        <w:rPr>
          <w:lang w:val="en_US" w:bidi="en_US"/>
        </w:rPr>
        <w:t>Luke 12:45</w:t>
      </w:r>
      <w:r>
        <w:rPr>
          <w:lang w:val="en_US" w:bidi="en_US"/>
        </w:rPr>
      </w:r>
    </w:p>
    <w:p>
      <w:pPr>
        <w:pStyle w:val="Heading4"/>
      </w:pPr>
      <w:r>
        <w:rPr>
          <w:lang w:val="en_US" w:bidi="en_US"/>
        </w:rPr>
        <w:t>Section 12:35–48: Jesus’ servants should be watchful and faithful</w:t>
      </w:r>
    </w:p>
    <w:p>
      <w:pPr/>
      <w:r>
        <w:rPr>
          <w:lang w:val="en_US" w:bidi="en_US"/>
        </w:rPr>
      </w:r>
      <w:r>
        <w:rPr>
          <w:lang w:val="en_US" w:bidi="en_US"/>
        </w:rP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pPr/>
      <w:r>
        <w:rPr>
          <w:lang w:val="en_US" w:bidi="en_US"/>
        </w:rPr>
      </w:r>
      <w:r>
        <w:rPr>
          <w:lang w:val="en_US" w:bidi="en_US"/>
        </w:rPr>
        <w:t>Some other headings for this section are:</w:t>
      </w:r>
    </w:p>
    <w:p>
      <w:pPr/>
      <w:r>
        <w:rPr>
          <w:lang w:val="en_US" w:bidi="en_US"/>
        </w:rPr>
      </w:r>
      <w:r>
        <w:rPr>
          <w:lang w:val="en_US" w:bidi="en_US"/>
        </w:rPr>
        <w:t>Faithful and Unfaithful Servants (CEV)</w:t>
      </w:r>
    </w:p>
    <w:p>
      <w:pPr/>
      <w:r>
        <w:rPr>
          <w:lang w:val="en_US" w:bidi="en_US"/>
        </w:rPr>
      </w:r>
      <w:r>
        <w:rPr>
          <w:lang w:val="en_US" w:bidi="en_US"/>
        </w:rPr>
        <w:t>Be Ready for the Lord’s Coming (NLT)</w:t>
      </w:r>
    </w:p>
    <w:p>
      <w:pPr/>
      <w:r>
        <w:rPr>
          <w:lang w:val="en_US" w:bidi="en_US"/>
        </w:rPr>
      </w:r>
      <w:r>
        <w:rPr>
          <w:lang w:val="en_US" w:bidi="en_US"/>
        </w:rPr>
        <w:t>Watchfulness (NIV)</w:t>
      </w:r>
    </w:p>
    <w:p>
      <w:pPr/>
      <w:r>
        <w:rPr>
          <w:lang w:val="en_US" w:bidi="en_US"/>
        </w:rPr>
      </w:r>
      <w:r>
        <w:rPr>
          <w:lang w:val="en_US" w:bidi="en_US"/>
        </w:rPr>
        <w:t>There is a parallel passage for 12:41–48 in Matthew 24:45–51.</w:t>
      </w:r>
    </w:p>
    <w:p>
      <w:pPr>
        <w:pStyle w:val="Heading5"/>
      </w:pPr>
      <w:r>
        <w:rPr>
          <w:lang w:val="en_US" w:bidi="en_US"/>
        </w:rPr>
        <w:t>12:45a</w:t>
      </w:r>
    </w:p>
    <w:p>
      <w:pPr/>
      <w:r>
        <w:rPr>
          <w:lang w:val="en_US" w:bidi="en_US"/>
        </w:rPr>
      </w:r>
      <w:r>
        <w:rPr>
          <w:b/>
          <w:lang w:val="en_US" w:bidi="en_US"/>
        </w:rPr>
        <w:t>But suppose that servant says in his heart,</w:t>
      </w:r>
    </w:p>
    <w:p>
      <w:pPr>
        <w:pStyle w:val="ListBullet"/>
        <w:spacing w:line="240" w:lineRule="auto"/>
        <w:ind w:left="720"/>
      </w:pPr>
      <w:r>
        <w:rPr>
          <w:lang w:val="en_US" w:bidi="en_US"/>
        </w:rPr>
      </w:r>
      <w:r>
        <w:rPr>
          <w:lang w:val="en_US" w:bidi="en_US"/>
        </w:rPr>
        <w:t xml:space="preserve">But </w:t>
      </w:r>
      <w:r>
        <w:rPr>
          <w:lang w:val="en_US" w:bidi="en_US"/>
        </w:rPr>
        <w:t>what will happen</w:t>
      </w:r>
      <w:r>
        <w:rPr>
          <w:lang w:val="en_US" w:bidi="en_US"/>
        </w:rPr>
        <w:t xml:space="preserve"> if that servant says to himself,</w:t>
      </w:r>
    </w:p>
    <w:p>
      <w:pPr>
        <w:pStyle w:val="ListBullet"/>
        <w:spacing w:line="240" w:lineRule="auto"/>
        <w:ind w:left="720"/>
      </w:pPr>
      <w:r>
        <w:rPr>
          <w:lang w:val="en_US" w:bidi="en_US"/>
        </w:rPr>
      </w:r>
      <w:r>
        <w:rPr>
          <w:lang w:val="en_US" w:bidi="en_US"/>
        </w:rPr>
        <w:t>But perhaps/possibly the servant will think that</w:t>
      </w:r>
    </w:p>
    <w:p>
      <w:pPr/>
      <w:r>
        <w:rPr>
          <w:lang w:val="en_US" w:bidi="en_US"/>
        </w:rPr>
      </w:r>
      <w:r>
        <w:rPr>
          <w:b/>
          <w:lang w:val="en_US" w:bidi="en_US"/>
        </w:rPr>
        <w:t>But suppose:</w:t>
      </w:r>
      <w:r>
        <w:rPr>
          <w:lang w:val="en_US" w:bidi="en_US"/>
        </w:rPr>
        <w:t xml:space="preserve"> Here Jesus began to talk about what would happen if the servant was not faithful. This contrasts with the situation that Jesus described in 12:43. In some languages it may be natural to indicate this contrast explicitly. For example:</w:t>
      </w:r>
    </w:p>
    <w:p>
      <w:pPr/>
      <w:r>
        <w:rPr>
          <w:lang w:val="en_US" w:bidi="en_US"/>
        </w:rPr>
      </w:r>
      <w:r>
        <w:rPr>
          <w:lang w:val="en_US" w:bidi="en_US"/>
        </w:rPr>
        <w:t>If, on the other hand…</w:t>
      </w:r>
    </w:p>
    <w:p>
      <w:pPr/>
      <w:r>
        <w:rPr>
          <w:lang w:val="en_US" w:bidi="en_US"/>
        </w:rPr>
      </w:r>
      <w:r>
        <w:rPr>
          <w:lang w:val="en_US" w:bidi="en_US"/>
        </w:rPr>
        <w:t>But if, for example…</w:t>
      </w:r>
    </w:p>
    <w:p>
      <w:pPr/>
      <w:r>
        <w:rPr>
          <w:lang w:val="en_US" w:bidi="en_US"/>
        </w:rPr>
      </w:r>
      <w:r>
        <w:rPr>
          <w:b/>
          <w:lang w:val="en_US" w:bidi="en_US"/>
        </w:rPr>
        <w:t>says in his heart:</w:t>
      </w:r>
      <w:r>
        <w:rPr>
          <w:lang w:val="en_US" w:bidi="en_US"/>
        </w:rPr>
        <w:t xml:space="preserve"> The Greek expression that the BSB translates literally as </w:t>
      </w:r>
      <w:r>
        <w:rPr>
          <w:i/>
          <w:lang w:val="en_US" w:bidi="en_US"/>
        </w:rPr>
        <w:t>says in his heart</w:t>
      </w:r>
      <w:r>
        <w:rPr>
          <w:lang w:val="en_US" w:bidi="en_US"/>
        </w:rPr>
        <w:t xml:space="preserve"> means “thinks.” It has the same meaning as the similar expressions in 12:17a and 12:19a that the BSB translates as “thought to himself” and “say to myself.” See the notes there for translation suggestions.</w:t>
      </w:r>
    </w:p>
    <w:p>
      <w:pPr>
        <w:pStyle w:val="Heading5"/>
      </w:pPr>
      <w:r>
        <w:rPr>
          <w:lang w:val="en_US" w:bidi="en_US"/>
        </w:rPr>
        <w:t>12:45b</w:t>
      </w:r>
    </w:p>
    <w:p>
      <w:pPr/>
      <w:r>
        <w:rPr>
          <w:lang w:val="en_US" w:bidi="en_US"/>
        </w:rPr>
      </w:r>
      <w:r>
        <w:rPr>
          <w:b/>
          <w:lang w:val="en_US" w:bidi="en_US"/>
        </w:rPr>
        <w:t>‘My master will be a long time in coming,’</w:t>
      </w:r>
    </w:p>
    <w:p>
      <w:pPr>
        <w:pStyle w:val="ListBullet"/>
        <w:spacing w:line="240" w:lineRule="auto"/>
        <w:ind w:left="720"/>
      </w:pPr>
      <w:r>
        <w:rPr>
          <w:lang w:val="en_US" w:bidi="en_US"/>
        </w:rPr>
      </w:r>
      <w:r>
        <w:rPr>
          <w:lang w:val="en_US" w:bidi="en_US"/>
        </w:rPr>
        <w:t xml:space="preserve">‘My master is staying away a long time, </w:t>
      </w:r>
      <w:r>
        <w:rPr>
          <w:lang w:val="en_US" w:bidi="en_US"/>
        </w:rPr>
        <w:t>so he will not know what I am doing</w:t>
      </w:r>
      <w:r>
        <w:rPr>
          <w:lang w:val="en_US" w:bidi="en_US"/>
        </w:rPr>
        <w:t>’?</w:t>
      </w:r>
    </w:p>
    <w:p>
      <w:pPr>
        <w:pStyle w:val="ListBullet"/>
        <w:spacing w:line="240" w:lineRule="auto"/>
        <w:ind w:left="720"/>
      </w:pPr>
      <w:r>
        <w:rPr>
          <w:lang w:val="en_US" w:bidi="en_US"/>
        </w:rPr>
      </w:r>
      <w:r>
        <w:rPr>
          <w:lang w:val="en_US" w:bidi="en_US"/>
        </w:rPr>
        <w:t>his master will not return for a long time.</w:t>
      </w:r>
    </w:p>
    <w:p>
      <w:pPr/>
      <w:r>
        <w:rPr>
          <w:lang w:val="en_US" w:bidi="en_US"/>
        </w:rPr>
      </w:r>
      <w:r>
        <w:rPr>
          <w:b/>
          <w:lang w:val="en_US" w:bidi="en_US"/>
        </w:rPr>
        <w:t>My master will be a long time in coming:</w:t>
      </w:r>
      <w:r>
        <w:rPr>
          <w:lang w:val="en_US" w:bidi="en_US"/>
        </w:rPr>
        <w:t xml:space="preserve"> </w:t>
      </w:r>
      <w:r>
        <w:rPr>
          <w:i/>
          <w:lang w:val="en_US" w:bidi="en_US"/>
        </w:rPr>
        <w:t>My master will be a long time in coming</w:t>
      </w:r>
      <w:r>
        <w:rPr>
          <w:lang w:val="en_US" w:bidi="en_US"/>
        </w:rPr>
        <w:t xml:space="preserve"> means “My master will not return for a long time” or “It will be a long time before my master comes back.”</w:t>
      </w:r>
    </w:p>
    <w:p>
      <w:pPr/>
      <w:r>
        <w:rPr>
          <w:lang w:val="en_US" w:bidi="en_US"/>
        </w:rPr>
      </w:r>
      <w:r>
        <w:rPr>
          <w:lang w:val="en_US" w:bidi="en_US"/>
        </w:rPr>
        <w:t>In some languages it may be natural to use indirect speech here. For example:</w:t>
      </w:r>
    </w:p>
    <w:p>
      <w:pPr/>
      <w:r>
        <w:rPr>
          <w:lang w:val="en_US" w:bidi="en_US"/>
        </w:rPr>
      </w:r>
      <w:r>
        <w:rPr>
          <w:lang w:val="en_US" w:bidi="en_US"/>
        </w:rPr>
        <w:t>thinks that his master is taking a long time in coming</w:t>
      </w:r>
    </w:p>
    <w:p>
      <w:pPr>
        <w:pStyle w:val="Heading5"/>
      </w:pPr>
      <w:r>
        <w:rPr>
          <w:lang w:val="en_US" w:bidi="en_US"/>
        </w:rPr>
        <w:t>12:45c</w:t>
      </w:r>
    </w:p>
    <w:p>
      <w:pPr/>
      <w:r>
        <w:rPr>
          <w:lang w:val="en_US" w:bidi="en_US"/>
        </w:rPr>
      </w:r>
      <w:r>
        <w:rPr>
          <w:b/>
          <w:lang w:val="en_US" w:bidi="en_US"/>
        </w:rPr>
        <w:t>and he begins to beat the menservants and maidservants,</w:t>
      </w:r>
    </w:p>
    <w:p>
      <w:pPr>
        <w:pStyle w:val="ListBullet"/>
        <w:spacing w:line="240" w:lineRule="auto"/>
        <w:ind w:left="720"/>
      </w:pPr>
      <w:r>
        <w:rPr>
          <w:lang w:val="en_US" w:bidi="en_US"/>
        </w:rPr>
      </w:r>
      <w:r>
        <w:rPr>
          <w:lang w:val="en_US" w:bidi="en_US"/>
        </w:rPr>
        <w:t xml:space="preserve">He may </w:t>
      </w:r>
      <w:r>
        <w:rPr>
          <w:lang w:val="en_US" w:bidi="en_US"/>
        </w:rPr>
        <w:t>repeatedly</w:t>
      </w:r>
      <w:r>
        <w:rPr>
          <w:lang w:val="en_US" w:bidi="en_US"/>
        </w:rPr>
        <w:t xml:space="preserve"> beat/whip the other servants, both men and women.</w:t>
      </w:r>
    </w:p>
    <w:p>
      <w:pPr>
        <w:pStyle w:val="ListBullet"/>
        <w:spacing w:line="240" w:lineRule="auto"/>
        <w:ind w:left="720"/>
      </w:pPr>
      <w:r>
        <w:rPr>
          <w:lang w:val="en_US" w:bidi="en_US"/>
        </w:rPr>
      </w:r>
      <w:r>
        <w:rPr>
          <w:lang w:val="en_US" w:bidi="en_US"/>
        </w:rPr>
        <w:t>Then he may start striking/beating the men and women servants,</w:t>
      </w:r>
    </w:p>
    <w:p>
      <w:pPr/>
      <w:r>
        <w:rPr>
          <w:lang w:val="en_US" w:bidi="en_US"/>
        </w:rPr>
      </w:r>
      <w:r>
        <w:rPr>
          <w:b/>
          <w:lang w:val="en_US" w:bidi="en_US"/>
        </w:rPr>
        <w:t>and he begins to beat:</w:t>
      </w:r>
      <w:r>
        <w:rPr>
          <w:lang w:val="en_US" w:bidi="en_US"/>
        </w:rPr>
        <w:t xml:space="preserve"> This part of the verse introduces two things that the servant will do after he thinks that his master will not return for a long time. The BSB introduces these two things with the word </w:t>
      </w:r>
      <w:r>
        <w:rPr>
          <w:i/>
          <w:lang w:val="en_US" w:bidi="en_US"/>
        </w:rPr>
        <w:t>and</w:t>
      </w:r>
      <w:r>
        <w:rPr>
          <w:lang w:val="en_US" w:bidi="en_US"/>
        </w:rPr>
        <w:t>. Another way to translate this is:</w:t>
      </w:r>
    </w:p>
    <w:p>
      <w:pPr/>
      <w:r>
        <w:rPr>
          <w:lang w:val="en_US" w:bidi="en_US"/>
        </w:rPr>
      </w:r>
      <w:r>
        <w:rPr>
          <w:lang w:val="en_US" w:bidi="en_US"/>
        </w:rPr>
        <w:t>and he then begins to beat (NIV)</w:t>
      </w:r>
    </w:p>
    <w:p>
      <w:pPr/>
      <w:r>
        <w:rPr>
          <w:lang w:val="en_US" w:bidi="en_US"/>
        </w:rPr>
      </w:r>
      <w:r>
        <w:rPr>
          <w:lang w:val="en_US" w:bidi="en_US"/>
        </w:rPr>
        <w:t>It may be helpful to begin a new sentence. For example:</w:t>
      </w:r>
    </w:p>
    <w:p>
      <w:pPr/>
      <w:r>
        <w:rPr>
          <w:lang w:val="en_US" w:bidi="en_US"/>
        </w:rPr>
      </w:r>
      <w:r>
        <w:rPr>
          <w:lang w:val="en_US" w:bidi="en_US"/>
        </w:rPr>
        <w:t>Suppose that servant starts beating (CEV)</w:t>
      </w:r>
    </w:p>
    <w:p>
      <w:pPr/>
      <w:r>
        <w:rPr>
          <w:lang w:val="en_US" w:bidi="en_US"/>
        </w:rPr>
      </w:r>
      <w:r>
        <w:rPr>
          <w:lang w:val="en_US" w:bidi="en_US"/>
        </w:rPr>
        <w:t>Introduce this part of the verse in a way that is natural in your language.</w:t>
      </w:r>
    </w:p>
    <w:p>
      <w:pPr/>
      <w:r>
        <w:rPr>
          <w:lang w:val="en_US" w:bidi="en_US"/>
        </w:rPr>
      </w:r>
      <w:r>
        <w:rPr>
          <w:b/>
          <w:lang w:val="en_US" w:bidi="en_US"/>
        </w:rPr>
        <w:t>he begins to beat the menservants and maidservants:</w:t>
      </w:r>
      <w:r>
        <w:rPr>
          <w:lang w:val="en_US" w:bidi="en_US"/>
        </w:rPr>
        <w:t xml:space="preserve"> The clause </w:t>
      </w:r>
      <w:r>
        <w:rPr>
          <w:i/>
          <w:lang w:val="en_US" w:bidi="en_US"/>
        </w:rPr>
        <w:t>he begins to beat the menservants and maidservants</w:t>
      </w:r>
      <w:r>
        <w:rPr>
          <w:lang w:val="en_US" w:bidi="en_US"/>
        </w:rPr>
        <w:t xml:space="preserve"> means that the manager will then begin to act harshly toward the other servants. He will beat them from time to time over the days that follow. Another way to translate this clause is:</w:t>
      </w:r>
    </w:p>
    <w:p>
      <w:pPr/>
      <w:r>
        <w:rPr>
          <w:lang w:val="en_US" w:bidi="en_US"/>
        </w:rPr>
      </w:r>
      <w:r>
        <w:rPr>
          <w:lang w:val="en_US" w:bidi="en_US"/>
        </w:rPr>
        <w:t>he may repeatedly beat/whip…</w:t>
      </w:r>
    </w:p>
    <w:p>
      <w:pPr/>
      <w:r>
        <w:rPr>
          <w:lang w:val="en_US" w:bidi="en_US"/>
        </w:rPr>
      </w:r>
      <w:r>
        <w:rPr>
          <w:b/>
          <w:lang w:val="en_US" w:bidi="en_US"/>
        </w:rPr>
        <w:t>beat:</w:t>
      </w:r>
      <w:r>
        <w:rPr>
          <w:lang w:val="en_US" w:bidi="en_US"/>
        </w:rPr>
        <w:t xml:space="preserve"> The word </w:t>
      </w:r>
      <w:r>
        <w:rPr>
          <w:i/>
          <w:lang w:val="en_US" w:bidi="en_US"/>
        </w:rPr>
        <w:t>beat</w:t>
      </w:r>
      <w:r>
        <w:rPr>
          <w:lang w:val="en_US" w:bidi="en_US"/>
        </w:rPr>
        <w:t xml:space="preserve"> means to strike or whip someone.</w:t>
      </w:r>
    </w:p>
    <w:p>
      <w:pPr/>
      <w:r>
        <w:rPr>
          <w:lang w:val="en_US" w:bidi="en_US"/>
        </w:rPr>
      </w:r>
      <w:r>
        <w:rPr>
          <w:b/>
          <w:lang w:val="en_US" w:bidi="en_US"/>
        </w:rPr>
        <w:t>menservants and maidservants:</w:t>
      </w:r>
      <w:r>
        <w:rPr>
          <w:lang w:val="en_US" w:bidi="en_US"/>
        </w:rPr>
        <w:t xml:space="preserve"> The words </w:t>
      </w:r>
      <w:r>
        <w:rPr>
          <w:i/>
          <w:lang w:val="en_US" w:bidi="en_US"/>
        </w:rPr>
        <w:t>menservants and maidservants</w:t>
      </w:r>
      <w:r>
        <w:rPr>
          <w:lang w:val="en_US" w:bidi="en_US"/>
        </w:rPr>
        <w:t xml:space="preserve"> refer to male and female servants/slaves. Some other ways to translate this are:</w:t>
      </w:r>
    </w:p>
    <w:p>
      <w:pPr/>
      <w:r>
        <w:rPr>
          <w:lang w:val="en_US" w:bidi="en_US"/>
        </w:rPr>
      </w:r>
      <w:r>
        <w:rPr>
          <w:lang w:val="en_US" w:bidi="en_US"/>
        </w:rPr>
        <w:t>the other servants, both the men and the women (GNT)</w:t>
      </w:r>
    </w:p>
    <w:p>
      <w:pPr/>
      <w:r>
        <w:rPr>
          <w:lang w:val="en_US" w:bidi="en_US"/>
        </w:rPr>
      </w:r>
      <w:r>
        <w:rPr>
          <w:lang w:val="en_US" w:bidi="en_US"/>
        </w:rPr>
        <w:t>all the other servants (CEV)</w:t>
      </w:r>
    </w:p>
    <w:p>
      <w:pPr>
        <w:pStyle w:val="Heading5"/>
      </w:pPr>
      <w:r>
        <w:rPr>
          <w:lang w:val="en_US" w:bidi="en_US"/>
        </w:rPr>
        <w:t>12:45d</w:t>
      </w:r>
    </w:p>
    <w:p>
      <w:pPr/>
      <w:r>
        <w:rPr>
          <w:lang w:val="en_US" w:bidi="en_US"/>
        </w:rPr>
      </w:r>
      <w:r>
        <w:rPr>
          <w:b/>
          <w:lang w:val="en_US" w:bidi="en_US"/>
        </w:rPr>
        <w:t>and to eat and drink and get drunk.</w:t>
      </w:r>
    </w:p>
    <w:p>
      <w:pPr>
        <w:pStyle w:val="ListBullet"/>
        <w:spacing w:line="240" w:lineRule="auto"/>
        <w:ind w:left="720"/>
      </w:pPr>
      <w:r>
        <w:rPr>
          <w:lang w:val="en_US" w:bidi="en_US"/>
        </w:rPr>
      </w:r>
      <w:r>
        <w:rPr>
          <w:lang w:val="en_US" w:bidi="en_US"/>
        </w:rPr>
        <w:t xml:space="preserve">And he may </w:t>
      </w:r>
      <w:r>
        <w:rPr>
          <w:lang w:val="en_US" w:bidi="en_US"/>
        </w:rPr>
        <w:t>spend a lot of his time</w:t>
      </w:r>
      <w:r>
        <w:rPr>
          <w:lang w:val="en_US" w:bidi="en_US"/>
        </w:rPr>
        <w:t xml:space="preserve"> feasting, </w:t>
      </w:r>
      <w:r>
        <w:rPr>
          <w:lang w:val="en_US" w:bidi="en_US"/>
        </w:rPr>
        <w:t>having parties,</w:t>
      </w:r>
      <w:r>
        <w:rPr>
          <w:lang w:val="en_US" w:bidi="en_US"/>
        </w:rPr>
        <w:t xml:space="preserve"> and getting drunk.</w:t>
      </w:r>
    </w:p>
    <w:p>
      <w:pPr>
        <w:pStyle w:val="ListBullet"/>
        <w:spacing w:line="240" w:lineRule="auto"/>
        <w:ind w:left="720"/>
      </w:pPr>
      <w:r>
        <w:rPr>
          <w:lang w:val="en_US" w:bidi="en_US"/>
        </w:rPr>
      </w:r>
      <w:r>
        <w:rPr>
          <w:lang w:val="en_US" w:bidi="en_US"/>
        </w:rPr>
        <w:t>and eating and drinking excessively, and even getting drunk.</w:t>
      </w:r>
    </w:p>
    <w:p>
      <w:pPr/>
      <w:r>
        <w:rPr>
          <w:lang w:val="en_US" w:bidi="en_US"/>
        </w:rPr>
      </w:r>
      <w:r>
        <w:rPr>
          <w:b/>
          <w:lang w:val="en_US" w:bidi="en_US"/>
        </w:rPr>
        <w:t>to eat and drink and get drunk:</w:t>
      </w:r>
      <w:r>
        <w:rPr>
          <w:lang w:val="en_US" w:bidi="en_US"/>
        </w:rPr>
        <w:t xml:space="preserve"> The Greek phrase that the BSB translates literally as </w:t>
      </w:r>
      <w:r>
        <w:rPr>
          <w:i/>
          <w:lang w:val="en_US" w:bidi="en_US"/>
        </w:rPr>
        <w:t>eat and drink</w:t>
      </w:r>
      <w:r>
        <w:rPr>
          <w:lang w:val="en_US" w:bidi="en_US"/>
        </w:rPr>
        <w:t xml:space="preserve"> implies in this context that he was eating and drinking too much. The phrase </w:t>
      </w:r>
      <w:r>
        <w:rPr>
          <w:i/>
          <w:lang w:val="en_US" w:bidi="en_US"/>
        </w:rPr>
        <w:t>and get drunk</w:t>
      </w:r>
      <w:r>
        <w:rPr>
          <w:lang w:val="en_US" w:bidi="en_US"/>
        </w:rPr>
        <w:t xml:space="preserve"> refers to becoming intoxicated from drinking wine or another alcoholic beverage. Other ways to translate this whole phrase are:</w:t>
      </w:r>
    </w:p>
    <w:p>
      <w:pPr/>
      <w:r>
        <w:rPr>
          <w:lang w:val="en_US" w:bidi="en_US"/>
        </w:rPr>
      </w:r>
      <w:r>
        <w:rPr>
          <w:lang w:val="en_US" w:bidi="en_US"/>
        </w:rPr>
        <w:t>partying, and getting drunk (NLT)</w:t>
      </w:r>
    </w:p>
    <w:p>
      <w:pPr/>
      <w:r>
        <w:rPr>
          <w:lang w:val="en_US" w:bidi="en_US"/>
        </w:rPr>
      </w:r>
      <w:r>
        <w:rPr>
          <w:lang w:val="en_US" w:bidi="en_US"/>
        </w:rPr>
        <w:t>to eat and drink too much and even to get drunk</w:t>
      </w:r>
      <w:r>
        <w:rPr>
          <w:lang w:val="en_US" w:bidi="en_US"/>
        </w:rPr>
      </w:r>
      <w:r>
        <w:rPr>
          <w:lang w:val="en_US" w:bidi="en_US"/>
        </w:rPr>
      </w:r>
    </w:p>
    <w:p>
      <w:pPr/>
      <w:r>
        <w:rPr>
          <w:lang w:val="en_US" w:bidi="en_US"/>
        </w:rPr>
      </w:r>
    </w:p>
    <w:p>
      <w:pPr>
        <w:pStyle w:val="Heading2"/>
      </w:pPr>
      <w:r>
        <w:rPr>
          <w:lang w:val="en_US" w:bidi="en_US"/>
        </w:rPr>
        <w:t>Luke 12:46</w:t>
      </w:r>
      <w:r>
        <w:rPr>
          <w:lang w:val="en_US" w:bidi="en_US"/>
        </w:rPr>
      </w:r>
    </w:p>
    <w:p>
      <w:pPr>
        <w:pStyle w:val="Heading4"/>
      </w:pPr>
      <w:r>
        <w:rPr>
          <w:lang w:val="en_US" w:bidi="en_US"/>
        </w:rPr>
        <w:t>Section 12:35–48: Jesus’ servants should be watchful and faithful</w:t>
      </w:r>
    </w:p>
    <w:p>
      <w:pPr/>
      <w:r>
        <w:rPr>
          <w:lang w:val="en_US" w:bidi="en_US"/>
        </w:rPr>
      </w:r>
      <w:r>
        <w:rPr>
          <w:lang w:val="en_US" w:bidi="en_US"/>
        </w:rP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pPr/>
      <w:r>
        <w:rPr>
          <w:lang w:val="en_US" w:bidi="en_US"/>
        </w:rPr>
      </w:r>
      <w:r>
        <w:rPr>
          <w:lang w:val="en_US" w:bidi="en_US"/>
        </w:rPr>
        <w:t>Some other headings for this section are:</w:t>
      </w:r>
    </w:p>
    <w:p>
      <w:pPr/>
      <w:r>
        <w:rPr>
          <w:lang w:val="en_US" w:bidi="en_US"/>
        </w:rPr>
      </w:r>
      <w:r>
        <w:rPr>
          <w:lang w:val="en_US" w:bidi="en_US"/>
        </w:rPr>
        <w:t>Faithful and Unfaithful Servants (CEV)</w:t>
      </w:r>
    </w:p>
    <w:p>
      <w:pPr/>
      <w:r>
        <w:rPr>
          <w:lang w:val="en_US" w:bidi="en_US"/>
        </w:rPr>
      </w:r>
      <w:r>
        <w:rPr>
          <w:lang w:val="en_US" w:bidi="en_US"/>
        </w:rPr>
        <w:t>Be Ready for the Lord’s Coming (NLT)</w:t>
      </w:r>
    </w:p>
    <w:p>
      <w:pPr/>
      <w:r>
        <w:rPr>
          <w:lang w:val="en_US" w:bidi="en_US"/>
        </w:rPr>
      </w:r>
      <w:r>
        <w:rPr>
          <w:lang w:val="en_US" w:bidi="en_US"/>
        </w:rPr>
        <w:t>Watchfulness (NIV)</w:t>
      </w:r>
    </w:p>
    <w:p>
      <w:pPr/>
      <w:r>
        <w:rPr>
          <w:lang w:val="en_US" w:bidi="en_US"/>
        </w:rPr>
      </w:r>
      <w:r>
        <w:rPr>
          <w:lang w:val="en_US" w:bidi="en_US"/>
        </w:rPr>
        <w:t>There is a parallel passage for 12:41–48 in Matthew 24:45–51.</w:t>
      </w:r>
    </w:p>
    <w:p>
      <w:pPr>
        <w:pStyle w:val="Heading5"/>
      </w:pPr>
      <w:r>
        <w:rPr>
          <w:lang w:val="en_US" w:bidi="en_US"/>
        </w:rPr>
        <w:t>12:46a</w:t>
      </w:r>
    </w:p>
    <w:p>
      <w:pPr/>
      <w:r>
        <w:rPr>
          <w:lang w:val="en_US" w:bidi="en_US"/>
        </w:rPr>
      </w:r>
      <w:r>
        <w:rPr>
          <w:b/>
          <w:lang w:val="en_US" w:bidi="en_US"/>
        </w:rPr>
        <w:t>The master of that servant will come</w:t>
      </w:r>
    </w:p>
    <w:p>
      <w:pPr>
        <w:pStyle w:val="ListBullet"/>
        <w:spacing w:line="240" w:lineRule="auto"/>
        <w:ind w:left="720"/>
      </w:pPr>
      <w:r>
        <w:rPr>
          <w:lang w:val="en_US" w:bidi="en_US"/>
        </w:rPr>
      </w:r>
      <w:r>
        <w:rPr>
          <w:lang w:val="en_US" w:bidi="en_US"/>
        </w:rPr>
        <w:t>Then</w:t>
      </w:r>
      <w:r>
        <w:rPr>
          <w:lang w:val="en_US" w:bidi="en_US"/>
        </w:rPr>
        <w:t xml:space="preserve"> his master will return home </w:t>
      </w:r>
      <w:r>
        <w:rPr>
          <w:lang w:val="en_US" w:bidi="en_US"/>
        </w:rPr>
        <w:t>from his trip</w:t>
      </w:r>
    </w:p>
    <w:p>
      <w:pPr>
        <w:pStyle w:val="ListBullet"/>
        <w:spacing w:line="240" w:lineRule="auto"/>
        <w:ind w:left="720"/>
      </w:pPr>
      <w:r>
        <w:rPr>
          <w:lang w:val="en_US" w:bidi="en_US"/>
        </w:rPr>
      </w:r>
      <w:r>
        <w:rPr>
          <w:lang w:val="en_US" w:bidi="en_US"/>
        </w:rPr>
        <w:t>In that case,</w:t>
      </w:r>
      <w:r>
        <w:rPr>
          <w:lang w:val="en_US" w:bidi="en_US"/>
        </w:rPr>
        <w:t xml:space="preserve"> when his master comes home,</w:t>
      </w:r>
    </w:p>
    <w:p>
      <w:pPr>
        <w:pStyle w:val="Heading5"/>
      </w:pPr>
      <w:r>
        <w:rPr>
          <w:lang w:val="en_US" w:bidi="en_US"/>
        </w:rPr>
        <w:t>12:46b</w:t>
      </w:r>
    </w:p>
    <w:p>
      <w:pPr/>
      <w:r>
        <w:rPr>
          <w:lang w:val="en_US" w:bidi="en_US"/>
        </w:rPr>
      </w:r>
      <w:r>
        <w:rPr>
          <w:b/>
          <w:lang w:val="en_US" w:bidi="en_US"/>
        </w:rPr>
        <w:t>on a day he does not expect</w:t>
      </w:r>
    </w:p>
    <w:p>
      <w:pPr>
        <w:pStyle w:val="ListBullet"/>
        <w:spacing w:line="240" w:lineRule="auto"/>
        <w:ind w:left="720"/>
      </w:pPr>
      <w:r>
        <w:rPr>
          <w:lang w:val="en_US" w:bidi="en_US"/>
        </w:rPr>
      </w:r>
      <w:r>
        <w:rPr>
          <w:lang w:val="en_US" w:bidi="en_US"/>
        </w:rPr>
        <w:t>on a day and at a time when that servant is not expecting him to come,</w:t>
      </w:r>
    </w:p>
    <w:p>
      <w:pPr>
        <w:pStyle w:val="ListBullet"/>
        <w:spacing w:line="240" w:lineRule="auto"/>
        <w:ind w:left="720"/>
      </w:pPr>
      <w:r>
        <w:rPr>
          <w:lang w:val="en_US" w:bidi="en_US"/>
        </w:rPr>
      </w:r>
      <w:r>
        <w:rPr>
          <w:lang w:val="en_US" w:bidi="en_US"/>
        </w:rPr>
        <w:t>the servant will not be expecting him.</w:t>
      </w:r>
    </w:p>
    <w:p>
      <w:pPr>
        <w:pStyle w:val="Heading5"/>
      </w:pPr>
      <w:r>
        <w:rPr>
          <w:lang w:val="en_US" w:bidi="en_US"/>
        </w:rPr>
        <w:t>12:46c</w:t>
      </w:r>
    </w:p>
    <w:p>
      <w:pPr/>
      <w:r>
        <w:rPr>
          <w:lang w:val="en_US" w:bidi="en_US"/>
        </w:rPr>
      </w:r>
      <w:r>
        <w:rPr>
          <w:b/>
          <w:lang w:val="en_US" w:bidi="en_US"/>
        </w:rPr>
        <w:t>and at an hour he does not anticipate.</w:t>
      </w:r>
    </w:p>
    <w:p>
      <w:pPr>
        <w:pStyle w:val="ListBullet"/>
        <w:spacing w:line="240" w:lineRule="auto"/>
        <w:ind w:left="720"/>
      </w:pPr>
      <w:r>
        <w:rPr>
          <w:lang w:val="en_US" w:bidi="en_US"/>
        </w:rPr>
      </w:r>
      <w:r>
        <w:rPr>
          <w:lang w:val="en_US" w:bidi="en_US"/>
        </w:rPr>
        <w:t>and the servant will be completely unprepared/surprised.</w:t>
      </w:r>
    </w:p>
    <w:p>
      <w:pPr>
        <w:pStyle w:val="ListBullet"/>
        <w:spacing w:line="240" w:lineRule="auto"/>
        <w:ind w:left="720"/>
      </w:pPr>
      <w:r>
        <w:rPr>
          <w:lang w:val="en_US" w:bidi="en_US"/>
        </w:rPr>
      </w:r>
      <w:r>
        <w:rPr>
          <w:lang w:val="en_US" w:bidi="en_US"/>
        </w:rPr>
        <w:t xml:space="preserve">He will not know that </w:t>
      </w:r>
      <w:r>
        <w:rPr>
          <w:lang w:val="en_US" w:bidi="en_US"/>
        </w:rPr>
        <w:t>his master was going to return</w:t>
      </w:r>
      <w:r>
        <w:rPr>
          <w:lang w:val="en_US" w:bidi="en_US"/>
        </w:rPr>
        <w:t xml:space="preserve"> at that time.</w:t>
      </w:r>
    </w:p>
    <w:p>
      <w:pPr>
        <w:pStyle w:val="Heading5"/>
      </w:pPr>
      <w:r>
        <w:rPr>
          <w:lang w:val="en_US" w:bidi="en_US"/>
        </w:rPr>
        <w:t>12:46a–c</w:t>
      </w:r>
    </w:p>
    <w:p>
      <w:pPr/>
      <w:r>
        <w:rPr>
          <w:lang w:val="en_US" w:bidi="en_US"/>
        </w:rPr>
      </w:r>
      <w:r>
        <w:rPr>
          <w:lang w:val="en_US" w:bidi="en_US"/>
        </w:rPr>
        <w:t>This verse tells what will happen to a servant who does what Jesus described in 12:45. In some languages it may be helpful to introduce this verse with a connecting word or phrase. For example:</w:t>
      </w:r>
    </w:p>
    <w:p>
      <w:pPr/>
      <w:r>
        <w:rPr>
          <w:lang w:val="en_US" w:bidi="en_US"/>
        </w:rPr>
      </w:r>
      <w:r>
        <w:rPr>
          <w:lang w:val="en_US" w:bidi="en_US"/>
        </w:rPr>
        <w:t>then (NET)</w:t>
      </w:r>
    </w:p>
    <w:p>
      <w:pPr/>
      <w:r>
        <w:rPr>
          <w:lang w:val="en_US" w:bidi="en_US"/>
        </w:rPr>
      </w:r>
      <w:r>
        <w:rPr>
          <w:lang w:val="en_US" w:bidi="en_US"/>
        </w:rPr>
        <w:t>If that happens (CEV)</w:t>
      </w:r>
    </w:p>
    <w:p>
      <w:pPr/>
      <w:r>
        <w:rPr>
          <w:lang w:val="en_US" w:bidi="en_US"/>
        </w:rPr>
      </w:r>
      <w:r>
        <w:rPr>
          <w:b/>
          <w:lang w:val="en_US" w:bidi="en_US"/>
        </w:rPr>
        <w:t>The master of that servant will come on a day he does not expect and at an hour he does not anticipate:</w:t>
      </w:r>
      <w:r>
        <w:rPr>
          <w:lang w:val="en_US" w:bidi="en_US"/>
        </w:rPr>
        <w:t xml:space="preserve"> The two phrases </w:t>
      </w:r>
      <w:r>
        <w:rPr>
          <w:i/>
          <w:lang w:val="en_US" w:bidi="en_US"/>
        </w:rPr>
        <w:t>on a day he does not expect</w:t>
      </w:r>
      <w:r>
        <w:rPr>
          <w:lang w:val="en_US" w:bidi="en_US"/>
        </w:rPr>
        <w:t xml:space="preserve"> and </w:t>
      </w:r>
      <w:r>
        <w:rPr>
          <w:i/>
          <w:lang w:val="en_US" w:bidi="en_US"/>
        </w:rPr>
        <w:t>at an hour he does not anticipate</w:t>
      </w:r>
      <w:r>
        <w:rPr>
          <w:lang w:val="en_US" w:bidi="en_US"/>
        </w:rPr>
        <w:t xml:space="preserve"> both mean “at a time when the servant is not expecting his master to return.” The master returns earlier than the servant expected. If your language has parallel structures like this, it may be appropriate to use two different phrases here. But if it does not, it may be better to combine both clauses into one expression. For example:</w:t>
      </w:r>
    </w:p>
    <w:p>
      <w:pPr/>
      <w:r>
        <w:rPr>
          <w:lang w:val="en_US" w:bidi="en_US"/>
        </w:rPr>
      </w:r>
      <w:r>
        <w:rPr>
          <w:lang w:val="en_US" w:bidi="en_US"/>
        </w:rPr>
        <w:t>on a day and at a time when he is not expecting him at all</w:t>
      </w:r>
    </w:p>
    <w:p>
      <w:pPr>
        <w:pStyle w:val="Heading5"/>
      </w:pPr>
      <w:r>
        <w:rPr>
          <w:lang w:val="en_US" w:bidi="en_US"/>
        </w:rPr>
        <w:t>12:46d</w:t>
      </w:r>
    </w:p>
    <w:p>
      <w:pPr/>
      <w:r>
        <w:rPr>
          <w:lang w:val="en_US" w:bidi="en_US"/>
        </w:rPr>
      </w:r>
      <w:r>
        <w:rPr>
          <w:b/>
          <w:lang w:val="en_US" w:bidi="en_US"/>
        </w:rPr>
        <w:t>Then he will cut him to pieces</w:t>
      </w:r>
    </w:p>
    <w:p>
      <w:pPr>
        <w:pStyle w:val="ListBullet"/>
        <w:spacing w:line="240" w:lineRule="auto"/>
        <w:ind w:left="720"/>
      </w:pPr>
      <w:r>
        <w:rPr>
          <w:lang w:val="en_US" w:bidi="en_US"/>
        </w:rPr>
      </w:r>
      <w:r>
        <w:rPr>
          <w:lang w:val="en_US" w:bidi="en_US"/>
        </w:rPr>
        <w:t>His master will punish him severely</w:t>
      </w:r>
    </w:p>
    <w:p>
      <w:pPr>
        <w:pStyle w:val="ListBullet"/>
        <w:spacing w:line="240" w:lineRule="auto"/>
        <w:ind w:left="720"/>
      </w:pPr>
      <w:r>
        <w:rPr>
          <w:lang w:val="en_US" w:bidi="en_US"/>
        </w:rPr>
      </w:r>
      <w:r>
        <w:rPr>
          <w:lang w:val="en_US" w:bidi="en_US"/>
        </w:rPr>
        <w:t>Then his master will give him an extremely harsh punishment,</w:t>
      </w:r>
    </w:p>
    <w:p>
      <w:pPr/>
      <w:r>
        <w:rPr>
          <w:lang w:val="en_US" w:bidi="en_US"/>
        </w:rPr>
      </w:r>
      <w:r>
        <w:rPr>
          <w:b/>
          <w:lang w:val="en_US" w:bidi="en_US"/>
        </w:rPr>
        <w:t>Then he will cut him to pieces:</w:t>
      </w:r>
      <w:r>
        <w:rPr>
          <w:lang w:val="en_US" w:bidi="en_US"/>
        </w:rPr>
        <w:t xml:space="preserve"> There are three ways to interpret the clause that the BSB translates as </w:t>
      </w:r>
      <w:r>
        <w:rPr>
          <w:i/>
          <w:lang w:val="en_US" w:bidi="en_US"/>
        </w:rPr>
        <w:t>Then he will cut him to pieces</w:t>
      </w:r>
      <w:r>
        <w:rPr>
          <w:lang w:val="en_US" w:bidi="en_US"/>
        </w:rPr>
        <w:t>:</w:t>
      </w:r>
    </w:p>
    <w:p>
      <w:pPr>
        <w:pStyle w:val="ListNumber"/>
        <w:numPr>
          <w:ilvl w:val="0"/>
          <w:numId w:val="245"/>
        </w:numPr>
        <w:spacing w:line="240" w:lineRule="auto"/>
        <w:ind w:left="720"/>
      </w:pPr>
      <w:r>
        <w:rPr>
          <w:lang w:val="en_US" w:bidi="en_US"/>
        </w:rPr>
      </w:r>
      <w:r>
        <w:rPr>
          <w:lang w:val="en_US" w:bidi="en_US"/>
        </w:rPr>
        <w:t xml:space="preserve">It is </w:t>
      </w:r>
      <w:r>
        <w:rPr>
          <w:u w:val="single"/>
          <w:lang w:val="en_US" w:bidi="en_US"/>
        </w:rPr>
        <w:t>a figure of speech that refers to severe punishment</w:t>
      </w:r>
      <w:r>
        <w:rPr>
          <w:lang w:val="en_US" w:bidi="en_US"/>
        </w:rPr>
        <w:t>. For example:</w:t>
      </w:r>
      <w:r>
        <w:rPr>
          <w:lang w:val="en_US" w:bidi="en_US"/>
        </w:rPr>
        <w:t xml:space="preserve">his master will punish him severely (GW) </w:t>
      </w:r>
      <w:r>
        <w:rPr>
          <w:i/>
          <w:lang w:val="en_US" w:bidi="en_US"/>
        </w:rPr>
        <w:t>(RSV, GW, CEV, JBP)</w:t>
      </w:r>
    </w:p>
    <w:p>
      <w:pPr>
        <w:pStyle w:val="ListNumber"/>
        <w:spacing w:line="240" w:lineRule="auto"/>
        <w:ind w:left="720"/>
      </w:pPr>
      <w:r>
        <w:rPr>
          <w:lang w:val="en_US" w:bidi="en_US"/>
        </w:rPr>
      </w:r>
      <w:r>
        <w:rPr>
          <w:lang w:val="en_US" w:bidi="en_US"/>
        </w:rPr>
        <w:t xml:space="preserve">It is a punishment that involved </w:t>
      </w:r>
      <w:r>
        <w:rPr>
          <w:u w:val="single"/>
          <w:lang w:val="en_US" w:bidi="en_US"/>
        </w:rPr>
        <w:t>literally cutting a person into two</w:t>
      </w:r>
      <w:r>
        <w:rPr>
          <w:lang w:val="en_US" w:bidi="en_US"/>
        </w:rPr>
        <w:t xml:space="preserve"> or more pieces with a sword or saw. For example:</w:t>
      </w:r>
      <w:r>
        <w:rPr>
          <w:lang w:val="en_US" w:bidi="en_US"/>
        </w:rPr>
        <w:t xml:space="preserve">and will cut him in two (NET) </w:t>
      </w:r>
      <w:r>
        <w:rPr>
          <w:i/>
          <w:lang w:val="en_US" w:bidi="en_US"/>
        </w:rPr>
        <w:t>(BSB, NIV, KJV, NASB, NRSV, REB, NLT, GNT, NCV, NET)</w:t>
      </w:r>
    </w:p>
    <w:p>
      <w:pPr>
        <w:pStyle w:val="ListNumber"/>
        <w:spacing w:line="240" w:lineRule="auto"/>
        <w:ind w:left="720"/>
      </w:pPr>
      <w:r>
        <w:rPr>
          <w:lang w:val="en_US" w:bidi="en_US"/>
        </w:rPr>
      </w:r>
      <w:r>
        <w:rPr>
          <w:lang w:val="en_US" w:bidi="en_US"/>
        </w:rPr>
        <w:t xml:space="preserve">It is an </w:t>
      </w:r>
      <w:r>
        <w:rPr>
          <w:u w:val="single"/>
          <w:lang w:val="en_US" w:bidi="en_US"/>
        </w:rPr>
        <w:t>idiom that meant he would be “cut off</w:t>
      </w:r>
      <w:r>
        <w:rPr>
          <w:lang w:val="en_US" w:bidi="en_US"/>
        </w:rPr>
        <w:t>” or banished. For example:</w:t>
      </w:r>
      <w:r>
        <w:rPr>
          <w:lang w:val="en_US" w:bidi="en_US"/>
        </w:rPr>
        <w:t xml:space="preserve">will cut him off (NJB) </w:t>
      </w:r>
      <w:r>
        <w:rPr>
          <w:i/>
          <w:lang w:val="en_US" w:bidi="en_US"/>
        </w:rPr>
        <w:t>(NJB)</w:t>
      </w:r>
    </w:p>
    <w:p>
      <w:pPr/>
      <w:r>
        <w:rPr>
          <w:lang w:val="en_US" w:bidi="en_US"/>
        </w:rPr>
      </w:r>
      <w:r>
        <w:rPr>
          <w:lang w:val="en_US" w:bidi="en_US"/>
        </w:rPr>
        <w:t>It is recommended that you follow interpretation (1) because its meaning would include the other two interpretations. It also seems unlikely that Jesus was referring to literally cutting a person into pieces. It was certainly not a punishment that Jewish masters used on their servants. Since many versions follow the literal wording, it is suggested that you put interpretation (2) in a footnote. A suggested footnote is:</w:t>
      </w:r>
    </w:p>
    <w:p>
      <w:pPr/>
      <w:r>
        <w:rPr>
          <w:lang w:val="en_US" w:bidi="en_US"/>
        </w:rPr>
      </w:r>
      <w:r>
        <w:rPr>
          <w:lang w:val="en_US" w:bidi="en_US"/>
        </w:rPr>
        <w:t>In Greek it says “cut him in two.” Many scholars think that this is a figurative expression that refers to severe punishment.</w:t>
      </w:r>
    </w:p>
    <w:p>
      <w:pPr>
        <w:pStyle w:val="Heading5"/>
      </w:pPr>
      <w:r>
        <w:rPr>
          <w:lang w:val="en_US" w:bidi="en_US"/>
        </w:rPr>
        <w:t>12:46e</w:t>
      </w:r>
    </w:p>
    <w:p>
      <w:pPr/>
      <w:r>
        <w:rPr>
          <w:lang w:val="en_US" w:bidi="en_US"/>
        </w:rPr>
      </w:r>
      <w:r>
        <w:rPr>
          <w:b/>
          <w:lang w:val="en_US" w:bidi="en_US"/>
        </w:rPr>
        <w:t>and assign him a place with the unbelievers.</w:t>
      </w:r>
    </w:p>
    <w:p>
      <w:pPr>
        <w:pStyle w:val="ListBullet"/>
        <w:spacing w:line="240" w:lineRule="auto"/>
        <w:ind w:left="720"/>
      </w:pPr>
      <w:r>
        <w:rPr>
          <w:lang w:val="en_US" w:bidi="en_US"/>
        </w:rPr>
      </w:r>
      <w:r>
        <w:rPr>
          <w:lang w:val="en_US" w:bidi="en_US"/>
        </w:rPr>
        <w:t>so that he shares the fate/situation of others who are not trustworthy/faithful.</w:t>
      </w:r>
    </w:p>
    <w:p>
      <w:pPr>
        <w:pStyle w:val="ListBullet"/>
        <w:spacing w:line="240" w:lineRule="auto"/>
        <w:ind w:left="720"/>
      </w:pPr>
      <w:r>
        <w:rPr>
          <w:lang w:val="en_US" w:bidi="en_US"/>
        </w:rPr>
      </w:r>
      <w:r>
        <w:rPr>
          <w:lang w:val="en_US" w:bidi="en_US"/>
        </w:rPr>
        <w:t xml:space="preserve">like </w:t>
      </w:r>
      <w:r>
        <w:rPr>
          <w:lang w:val="en_US" w:bidi="en_US"/>
        </w:rPr>
        <w:t>he gives to</w:t>
      </w:r>
      <w:r>
        <w:rPr>
          <w:lang w:val="en_US" w:bidi="en_US"/>
        </w:rPr>
        <w:t xml:space="preserve"> other disobedient servants.</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a further explanation of 12:46d. By punishing the servant severely, the master would cause him to share the same fate as other unfaithful people. Other ways to express this connection are:</w:t>
      </w:r>
    </w:p>
    <w:p>
      <w:pPr/>
      <w:r>
        <w:rPr>
          <w:lang w:val="en_US" w:bidi="en_US"/>
        </w:rPr>
      </w:r>
      <w:r>
        <w:rPr>
          <w:lang w:val="en_US" w:bidi="en_US"/>
        </w:rPr>
        <w:t xml:space="preserve">punish him severely </w:t>
      </w:r>
      <w:r>
        <w:rPr>
          <w:u w:val="single"/>
          <w:lang w:val="en_US" w:bidi="en_US"/>
        </w:rPr>
        <w:t>and in this way</w:t>
      </w:r>
      <w:r>
        <w:rPr>
          <w:lang w:val="en_US" w:bidi="en_US"/>
        </w:rPr>
        <w:t xml:space="preserve"> he will share the fate of others who cannot be trusted</w:t>
      </w:r>
    </w:p>
    <w:p>
      <w:pPr/>
      <w:r>
        <w:rPr>
          <w:lang w:val="en_US" w:bidi="en_US"/>
        </w:rPr>
      </w:r>
      <w:r>
        <w:rPr>
          <w:lang w:val="en_US" w:bidi="en_US"/>
        </w:rPr>
        <w:t>give him an extreme punishment so his situation/fate will be like other servants who were unfaithful</w:t>
      </w:r>
    </w:p>
    <w:p>
      <w:pPr/>
      <w:r>
        <w:rPr>
          <w:lang w:val="en_US" w:bidi="en_US"/>
        </w:rPr>
      </w:r>
      <w:r>
        <w:rPr>
          <w:b/>
          <w:lang w:val="en_US" w:bidi="en_US"/>
        </w:rPr>
        <w:t>assign him a place with the unbelievers:</w:t>
      </w:r>
      <w:r>
        <w:rPr>
          <w:lang w:val="en_US" w:bidi="en_US"/>
        </w:rPr>
        <w:t xml:space="preserve"> The phrase that the BSB translates as </w:t>
      </w:r>
      <w:r>
        <w:rPr>
          <w:i/>
          <w:lang w:val="en_US" w:bidi="en_US"/>
        </w:rPr>
        <w:t>assign him a place with</w:t>
      </w:r>
      <w:r>
        <w:rPr>
          <w:lang w:val="en_US" w:bidi="en_US"/>
        </w:rPr>
        <w:t xml:space="preserve"> is more literally “put his share with.” In this context it probably means “make him share the fate of.” Another way to translate this is:</w:t>
      </w:r>
    </w:p>
    <w:p>
      <w:pPr/>
      <w:r>
        <w:rPr>
          <w:lang w:val="en_US" w:bidi="en_US"/>
        </w:rPr>
      </w:r>
      <w:r>
        <w:rPr>
          <w:lang w:val="en_US" w:bidi="en_US"/>
        </w:rPr>
        <w:t>make him share the fate of the disobedient (GNT)</w:t>
      </w:r>
    </w:p>
    <w:p>
      <w:pPr/>
      <w:r>
        <w:rPr>
          <w:lang w:val="en_US" w:bidi="en_US"/>
        </w:rPr>
      </w:r>
      <w:r>
        <w:rPr>
          <w:b/>
          <w:lang w:val="en_US" w:bidi="en_US"/>
        </w:rPr>
        <w:t>unbelievers:</w:t>
      </w:r>
      <w:r>
        <w:rPr>
          <w:lang w:val="en_US" w:bidi="en_US"/>
        </w:rPr>
        <w:t xml:space="preserve"> The Greek word that the BSB translates as </w:t>
      </w:r>
      <w:r>
        <w:rPr>
          <w:i/>
          <w:lang w:val="en_US" w:bidi="en_US"/>
        </w:rPr>
        <w:t>unbelievers</w:t>
      </w:r>
      <w:r>
        <w:rPr>
          <w:lang w:val="en_US" w:bidi="en_US"/>
        </w:rPr>
        <w:t xml:space="preserve"> is literally “faithless.” There are two main ways to interpret this word:</w:t>
      </w:r>
    </w:p>
    <w:p>
      <w:pPr>
        <w:pStyle w:val="ListNumber"/>
        <w:numPr>
          <w:ilvl w:val="0"/>
          <w:numId w:val="246"/>
        </w:numPr>
        <w:spacing w:line="240" w:lineRule="auto"/>
        <w:ind w:left="720"/>
      </w:pPr>
      <w:r>
        <w:rPr>
          <w:lang w:val="en_US" w:bidi="en_US"/>
        </w:rPr>
      </w:r>
      <w:r>
        <w:rPr>
          <w:lang w:val="en_US" w:bidi="en_US"/>
        </w:rPr>
        <w:t xml:space="preserve">It means </w:t>
      </w:r>
      <w:r>
        <w:rPr>
          <w:u w:val="single"/>
          <w:lang w:val="en_US" w:bidi="en_US"/>
        </w:rPr>
        <w:t>unfaithful</w:t>
      </w:r>
      <w:r>
        <w:rPr>
          <w:lang w:val="en_US" w:bidi="en_US"/>
        </w:rPr>
        <w:t>. These people are disobedient servants whom the master cannot trust. For example:</w:t>
      </w:r>
      <w:r>
        <w:rPr>
          <w:lang w:val="en_US" w:bidi="en_US"/>
        </w:rPr>
        <w:t>unfaithful people (GW)</w:t>
      </w:r>
      <w:r>
        <w:rPr>
          <w:lang w:val="en_US" w:bidi="en_US"/>
        </w:rPr>
        <w:t>servants who cannot be trusted (CEV)</w:t>
      </w:r>
      <w:r>
        <w:rPr>
          <w:lang w:val="en_US" w:bidi="en_US"/>
        </w:rPr>
        <w:t xml:space="preserve">others who don’t obey (NCV) </w:t>
      </w:r>
      <w:r>
        <w:rPr>
          <w:i/>
          <w:lang w:val="en_US" w:bidi="en_US"/>
        </w:rPr>
        <w:t>(NLT, RSV, GNT, GW, NET, CEV, NCV, NJB)</w:t>
      </w:r>
    </w:p>
    <w:p>
      <w:pPr>
        <w:pStyle w:val="ListNumber"/>
        <w:spacing w:line="240" w:lineRule="auto"/>
        <w:ind w:left="720"/>
      </w:pPr>
      <w:r>
        <w:rPr>
          <w:lang w:val="en_US" w:bidi="en_US"/>
        </w:rPr>
      </w:r>
      <w:r>
        <w:rPr>
          <w:lang w:val="en_US" w:bidi="en_US"/>
        </w:rPr>
        <w:t xml:space="preserve">It means these people are </w:t>
      </w:r>
      <w:r>
        <w:rPr>
          <w:u w:val="single"/>
          <w:lang w:val="en_US" w:bidi="en_US"/>
        </w:rPr>
        <w:t>unbelievers</w:t>
      </w:r>
      <w:r>
        <w:rPr>
          <w:lang w:val="en_US" w:bidi="en_US"/>
        </w:rPr>
        <w:t>. They do not believe in God. For example:</w:t>
      </w:r>
      <w:r>
        <w:rPr>
          <w:lang w:val="en_US" w:bidi="en_US"/>
        </w:rPr>
        <w:t xml:space="preserve">the unbelievers (NASB) </w:t>
      </w:r>
      <w:r>
        <w:rPr>
          <w:i/>
          <w:lang w:val="en_US" w:bidi="en_US"/>
        </w:rPr>
        <w:t>(BSB, NIV, NASB, KJV)</w:t>
      </w:r>
    </w:p>
    <w:p>
      <w:pPr/>
      <w:r>
        <w:rPr>
          <w:lang w:val="en_US" w:bidi="en_US"/>
        </w:rPr>
      </w:r>
      <w:r>
        <w:rPr>
          <w:lang w:val="en_US" w:bidi="en_US"/>
        </w:rPr>
        <w:t>The REB has “faithless,” which can be understood either way. If you must choose between the meanings, it is recommended that you follow interpretation (1), as do the majority of English versions. This fits the context of the parable better. See believe, Meaning 4, in the Glossary.</w:t>
      </w:r>
      <w:r>
        <w:rPr>
          <w:lang w:val="en_US" w:bidi="en_US"/>
        </w:rPr>
      </w:r>
      <w:r>
        <w:rPr>
          <w:lang w:val="en_US" w:bidi="en_US"/>
        </w:rPr>
      </w:r>
    </w:p>
    <w:p>
      <w:pPr/>
      <w:r>
        <w:rPr>
          <w:lang w:val="en_US" w:bidi="en_US"/>
        </w:rPr>
      </w:r>
    </w:p>
    <w:p>
      <w:pPr>
        <w:pStyle w:val="Heading2"/>
      </w:pPr>
      <w:r>
        <w:rPr>
          <w:lang w:val="en_US" w:bidi="en_US"/>
        </w:rPr>
        <w:t>Luke 12:47</w:t>
      </w:r>
      <w:r>
        <w:rPr>
          <w:lang w:val="en_US" w:bidi="en_US"/>
        </w:rPr>
      </w:r>
    </w:p>
    <w:p>
      <w:pPr>
        <w:pStyle w:val="Heading4"/>
      </w:pPr>
      <w:r>
        <w:rPr>
          <w:lang w:val="en_US" w:bidi="en_US"/>
        </w:rPr>
        <w:t>Section 12:35–48: Jesus’ servants should be watchful and faithful</w:t>
      </w:r>
    </w:p>
    <w:p>
      <w:pPr/>
      <w:r>
        <w:rPr>
          <w:lang w:val="en_US" w:bidi="en_US"/>
        </w:rPr>
      </w:r>
      <w:r>
        <w:rPr>
          <w:lang w:val="en_US" w:bidi="en_US"/>
        </w:rP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pPr/>
      <w:r>
        <w:rPr>
          <w:lang w:val="en_US" w:bidi="en_US"/>
        </w:rPr>
      </w:r>
      <w:r>
        <w:rPr>
          <w:lang w:val="en_US" w:bidi="en_US"/>
        </w:rPr>
        <w:t>Some other headings for this section are:</w:t>
      </w:r>
    </w:p>
    <w:p>
      <w:pPr/>
      <w:r>
        <w:rPr>
          <w:lang w:val="en_US" w:bidi="en_US"/>
        </w:rPr>
      </w:r>
      <w:r>
        <w:rPr>
          <w:lang w:val="en_US" w:bidi="en_US"/>
        </w:rPr>
        <w:t>Faithful and Unfaithful Servants (CEV)</w:t>
      </w:r>
    </w:p>
    <w:p>
      <w:pPr/>
      <w:r>
        <w:rPr>
          <w:lang w:val="en_US" w:bidi="en_US"/>
        </w:rPr>
      </w:r>
      <w:r>
        <w:rPr>
          <w:lang w:val="en_US" w:bidi="en_US"/>
        </w:rPr>
        <w:t>Be Ready for the Lord’s Coming (NLT)</w:t>
      </w:r>
    </w:p>
    <w:p>
      <w:pPr/>
      <w:r>
        <w:rPr>
          <w:lang w:val="en_US" w:bidi="en_US"/>
        </w:rPr>
      </w:r>
      <w:r>
        <w:rPr>
          <w:lang w:val="en_US" w:bidi="en_US"/>
        </w:rPr>
        <w:t>Watchfulness (NIV)</w:t>
      </w:r>
    </w:p>
    <w:p>
      <w:pPr/>
      <w:r>
        <w:rPr>
          <w:lang w:val="en_US" w:bidi="en_US"/>
        </w:rPr>
      </w:r>
      <w:r>
        <w:rPr>
          <w:lang w:val="en_US" w:bidi="en_US"/>
        </w:rPr>
        <w:t>There is a parallel passage for 12:41–48 in Matthew 24:45–51.</w:t>
      </w:r>
    </w:p>
    <w:p>
      <w:pPr>
        <w:pStyle w:val="Heading5"/>
      </w:pPr>
      <w:r>
        <w:rPr>
          <w:lang w:val="en_US" w:bidi="en_US"/>
        </w:rPr>
        <w:t>12:47</w:t>
      </w:r>
    </w:p>
    <w:p>
      <w:pPr/>
      <w:r>
        <w:rPr>
          <w:lang w:val="en_US" w:bidi="en_US"/>
        </w:rPr>
      </w:r>
      <w:r>
        <w:rPr>
          <w:lang w:val="en_US" w:bidi="en_US"/>
        </w:rPr>
        <w:t>This verse states a general principle. It does not refer to a particular action in the past.</w:t>
      </w:r>
      <w:r>
        <w:rPr>
          <w:lang w:val="en_US" w:bidi="en_US"/>
        </w:rPr>
        <w:t>In Greek the forms used in these verse parts are aorist (past) forms. Some English versions, such as the RSV, translate them using the past tense (“knew,” “did not prepare himself”). Others, such as the BSB, use the present tense.</w:t>
      </w:r>
      <w:r>
        <w:rPr>
          <w:lang w:val="en_US" w:bidi="en_US"/>
        </w:rPr>
        <w:t xml:space="preserve"> Use a natural way in your language to state this general principle. For example:</w:t>
      </w:r>
    </w:p>
    <w:p>
      <w:pPr/>
      <w:r>
        <w:rPr>
          <w:lang w:val="en_US" w:bidi="en_US"/>
        </w:rPr>
      </w:r>
      <w:r>
        <w:rPr>
          <w:lang w:val="en_US" w:bidi="en_US"/>
        </w:rPr>
        <w:t>If servants are not ready or willing to do what their master wants them to do, they will be beaten hard. (CEV)</w:t>
      </w:r>
    </w:p>
    <w:p>
      <w:pPr/>
      <w:r>
        <w:rPr>
          <w:lang w:val="en_US" w:bidi="en_US"/>
        </w:rPr>
      </w:r>
      <w:r>
        <w:rPr>
          <w:lang w:val="en_US" w:bidi="en_US"/>
        </w:rPr>
        <w:t>Servants who know their master’s will but do not get themselves ready or do it will receive many blows.</w:t>
      </w:r>
    </w:p>
    <w:p>
      <w:pPr/>
      <w:r>
        <w:rPr>
          <w:lang w:val="en_US" w:bidi="en_US"/>
        </w:rPr>
      </w:r>
      <w:r>
        <w:rPr>
          <w:lang w:val="en_US" w:bidi="en_US"/>
        </w:rPr>
        <w:t>As for a servant who knows his master’s will but does not do it, he will receive a severe beating.</w:t>
      </w:r>
    </w:p>
    <w:p>
      <w:pPr>
        <w:pStyle w:val="Heading5"/>
      </w:pPr>
      <w:r>
        <w:rPr>
          <w:lang w:val="en_US" w:bidi="en_US"/>
        </w:rPr>
        <w:t>12:47a</w:t>
      </w:r>
    </w:p>
    <w:p>
      <w:pPr/>
      <w:r>
        <w:rPr>
          <w:lang w:val="en_US" w:bidi="en_US"/>
        </w:rPr>
      </w:r>
      <w:r>
        <w:rPr>
          <w:b/>
          <w:lang w:val="en_US" w:bidi="en_US"/>
        </w:rPr>
        <w:t>That servant who knows his master’s will</w:t>
      </w:r>
    </w:p>
    <w:p>
      <w:pPr>
        <w:pStyle w:val="ListBullet"/>
        <w:spacing w:line="240" w:lineRule="auto"/>
        <w:ind w:left="720"/>
      </w:pPr>
      <w:r>
        <w:rPr>
          <w:lang w:val="en_US" w:bidi="en_US"/>
        </w:rPr>
      </w:r>
      <w:r>
        <w:rPr>
          <w:lang w:val="en_US" w:bidi="en_US"/>
        </w:rPr>
        <w:t xml:space="preserve">¶ “The/A servant who knows what his master wants </w:t>
      </w:r>
      <w:r>
        <w:rPr>
          <w:lang w:val="en_US" w:bidi="en_US"/>
        </w:rPr>
        <w:t>him to do</w:t>
      </w:r>
    </w:p>
    <w:p>
      <w:pPr>
        <w:pStyle w:val="ListBullet"/>
        <w:spacing w:line="240" w:lineRule="auto"/>
        <w:ind w:left="720"/>
      </w:pPr>
      <w:r>
        <w:rPr>
          <w:lang w:val="en_US" w:bidi="en_US"/>
        </w:rPr>
      </w:r>
      <w:r>
        <w:rPr>
          <w:lang w:val="en_US" w:bidi="en_US"/>
        </w:rPr>
        <w:t>¶ “If servants know their master’s wishes</w:t>
      </w:r>
    </w:p>
    <w:p>
      <w:pPr/>
      <w:r>
        <w:rPr>
          <w:lang w:val="en_US" w:bidi="en_US"/>
        </w:rPr>
      </w:r>
      <w:r>
        <w:rPr>
          <w:b/>
          <w:lang w:val="en_US" w:bidi="en_US"/>
        </w:rPr>
        <w:t>That servant who knows his master’s will:</w:t>
      </w:r>
      <w:r>
        <w:rPr>
          <w:lang w:val="en_US" w:bidi="en_US"/>
        </w:rPr>
        <w:t xml:space="preserve"> The phrase that the BSB translates as </w:t>
      </w:r>
      <w:r>
        <w:rPr>
          <w:i/>
          <w:lang w:val="en_US" w:bidi="en_US"/>
        </w:rPr>
        <w:t>That servant</w:t>
      </w:r>
      <w:r>
        <w:rPr>
          <w:lang w:val="en_US" w:bidi="en_US"/>
        </w:rPr>
        <w:t xml:space="preserve"> refers to a type of servant that Jesus was about to mention. Jesus was referring to any servant who knew what his master wanted or told him to do. In some languages it may be more natural to use a different form to refer to a servant or servants in general. For example:</w:t>
      </w:r>
    </w:p>
    <w:p>
      <w:pPr/>
      <w:r>
        <w:rPr>
          <w:lang w:val="en_US" w:bidi="en_US"/>
        </w:rPr>
      </w:r>
      <w:r>
        <w:rPr>
          <w:lang w:val="en_US" w:bidi="en_US"/>
        </w:rPr>
        <w:t>a servant who knows what the master wants (NLT)</w:t>
      </w:r>
    </w:p>
    <w:p>
      <w:pPr/>
      <w:r>
        <w:rPr>
          <w:lang w:val="en_US" w:bidi="en_US"/>
        </w:rPr>
      </w:r>
      <w:r>
        <w:rPr>
          <w:lang w:val="en_US" w:bidi="en_US"/>
        </w:rPr>
        <w:t>servants who know what their master wants them to do</w:t>
      </w:r>
    </w:p>
    <w:p>
      <w:pPr>
        <w:pStyle w:val="Heading5"/>
      </w:pPr>
      <w:r>
        <w:rPr>
          <w:lang w:val="en_US" w:bidi="en_US"/>
        </w:rPr>
        <w:t>12:47b</w:t>
      </w:r>
    </w:p>
    <w:p>
      <w:pPr/>
      <w:r>
        <w:rPr>
          <w:lang w:val="en_US" w:bidi="en_US"/>
        </w:rPr>
      </w:r>
      <w:r>
        <w:rPr>
          <w:b/>
          <w:lang w:val="en_US" w:bidi="en_US"/>
        </w:rPr>
        <w:t>but does not get ready or follow his instructions</w:t>
      </w:r>
    </w:p>
    <w:p>
      <w:pPr>
        <w:pStyle w:val="ListBullet"/>
        <w:spacing w:line="240" w:lineRule="auto"/>
        <w:ind w:left="720"/>
      </w:pPr>
      <w:r>
        <w:rPr>
          <w:lang w:val="en_US" w:bidi="en_US"/>
        </w:rPr>
      </w:r>
      <w:r>
        <w:rPr>
          <w:lang w:val="en_US" w:bidi="en_US"/>
        </w:rPr>
        <w:t>and does not get ready or do it,</w:t>
      </w:r>
    </w:p>
    <w:p>
      <w:pPr>
        <w:pStyle w:val="ListBullet"/>
        <w:spacing w:line="240" w:lineRule="auto"/>
        <w:ind w:left="720"/>
      </w:pPr>
      <w:r>
        <w:rPr>
          <w:lang w:val="en_US" w:bidi="en_US"/>
        </w:rPr>
      </w:r>
      <w:r>
        <w:rPr>
          <w:lang w:val="en_US" w:bidi="en_US"/>
        </w:rPr>
        <w:t>and/but they neither obey/fulfill them nor do they prepare for his return,</w:t>
      </w:r>
    </w:p>
    <w:p>
      <w:pPr/>
      <w:r>
        <w:rPr>
          <w:lang w:val="en_US" w:bidi="en_US"/>
        </w:rPr>
      </w:r>
      <w:r>
        <w:rPr>
          <w:b/>
          <w:lang w:val="en_US" w:bidi="en_US"/>
        </w:rPr>
        <w:t>but does not get ready:</w:t>
      </w:r>
      <w:r>
        <w:rPr>
          <w:lang w:val="en_US" w:bidi="en_US"/>
        </w:rPr>
        <w:t xml:space="preserve"> In this context the phrase </w:t>
      </w:r>
      <w:r>
        <w:rPr>
          <w:i/>
          <w:lang w:val="en_US" w:bidi="en_US"/>
        </w:rPr>
        <w:t>does not get ready</w:t>
      </w:r>
      <w:r>
        <w:rPr>
          <w:lang w:val="en_US" w:bidi="en_US"/>
        </w:rPr>
        <w:t xml:space="preserve"> means “does not prepare for the master’s return.”</w:t>
      </w:r>
    </w:p>
    <w:p>
      <w:pPr/>
      <w:r>
        <w:rPr>
          <w:lang w:val="en_US" w:bidi="en_US"/>
        </w:rPr>
      </w:r>
      <w:r>
        <w:rPr>
          <w:b/>
          <w:lang w:val="en_US" w:bidi="en_US"/>
        </w:rPr>
        <w:t>or:</w:t>
      </w:r>
      <w:r>
        <w:rPr>
          <w:lang w:val="en_US" w:bidi="en_US"/>
        </w:rPr>
        <w:t xml:space="preserve"> The Greek conjunction that the BSB translates as </w:t>
      </w:r>
      <w:r>
        <w:rPr>
          <w:i/>
          <w:lang w:val="en_US" w:bidi="en_US"/>
        </w:rPr>
        <w:t>or</w:t>
      </w:r>
      <w:r>
        <w:rPr>
          <w:lang w:val="en_US" w:bidi="en_US"/>
        </w:rPr>
        <w:t xml:space="preserve"> introduces a second thing that the servant does not do. The servant does not get ready and he does not do what his master wants.</w:t>
      </w:r>
    </w:p>
    <w:p>
      <w:pPr/>
      <w:r>
        <w:rPr>
          <w:lang w:val="en_US" w:bidi="en_US"/>
        </w:rPr>
      </w:r>
      <w:r>
        <w:rPr>
          <w:b/>
          <w:lang w:val="en_US" w:bidi="en_US"/>
        </w:rPr>
        <w:t>follow his instructions:</w:t>
      </w:r>
      <w:r>
        <w:rPr>
          <w:lang w:val="en_US" w:bidi="en_US"/>
        </w:rPr>
        <w:t xml:space="preserve"> The Greek phrase that the BSB translates as </w:t>
      </w:r>
      <w:r>
        <w:rPr>
          <w:i/>
          <w:lang w:val="en_US" w:bidi="en_US"/>
        </w:rPr>
        <w:t>follow his instructions</w:t>
      </w:r>
      <w:r>
        <w:rPr>
          <w:lang w:val="en_US" w:bidi="en_US"/>
        </w:rPr>
        <w:t xml:space="preserve"> is literally “do his master’s will,” as in 12:47a. The BSB has varied the translation for stylistic reasons. You may use the same expression if that is good style in your language. Other ways to translate this phrase are:</w:t>
      </w:r>
    </w:p>
    <w:p>
      <w:pPr/>
      <w:r>
        <w:rPr>
          <w:lang w:val="en_US" w:bidi="en_US"/>
        </w:rPr>
      </w:r>
      <w:r>
        <w:rPr>
          <w:lang w:val="en_US" w:bidi="en_US"/>
        </w:rPr>
        <w:t>obey his master</w:t>
      </w:r>
    </w:p>
    <w:p>
      <w:pPr/>
      <w:r>
        <w:rPr>
          <w:lang w:val="en_US" w:bidi="en_US"/>
        </w:rPr>
      </w:r>
      <w:r>
        <w:rPr>
          <w:lang w:val="en_US" w:bidi="en_US"/>
        </w:rPr>
        <w:t>fulfill his master’s desires</w:t>
      </w:r>
    </w:p>
    <w:p>
      <w:pPr>
        <w:pStyle w:val="Heading6"/>
      </w:pPr>
      <w:r>
        <w:rPr>
          <w:b/>
          <w:lang w:val="en_US" w:bidi="en_US"/>
        </w:rPr>
        <w:t>General Comment on 12:47b</w:t>
      </w:r>
    </w:p>
    <w:p>
      <w:pPr/>
      <w:r>
        <w:rPr>
          <w:lang w:val="en_US" w:bidi="en_US"/>
        </w:rPr>
      </w:r>
      <w:r>
        <w:rPr>
          <w:lang w:val="en_US" w:bidi="en_US"/>
        </w:rPr>
        <w:t>In some languages it may be more natural to reverse the order of the two verb phrases in this part of the verse. For example:</w:t>
      </w:r>
    </w:p>
    <w:p>
      <w:pPr/>
      <w:r>
        <w:rPr>
          <w:lang w:val="en_US" w:bidi="en_US"/>
        </w:rPr>
      </w:r>
      <w:r>
        <w:rPr>
          <w:lang w:val="en_US" w:bidi="en_US"/>
        </w:rPr>
        <w:t>and does not obey his master or prepare for his return</w:t>
      </w:r>
    </w:p>
    <w:p>
      <w:pPr>
        <w:pStyle w:val="Heading5"/>
      </w:pPr>
      <w:r>
        <w:rPr>
          <w:lang w:val="en_US" w:bidi="en_US"/>
        </w:rPr>
        <w:t>12:47c</w:t>
      </w:r>
    </w:p>
    <w:p>
      <w:pPr/>
      <w:r>
        <w:rPr>
          <w:lang w:val="en_US" w:bidi="en_US"/>
        </w:rPr>
      </w:r>
      <w:r>
        <w:rPr>
          <w:b/>
          <w:lang w:val="en_US" w:bidi="en_US"/>
        </w:rPr>
        <w:t>will be beaten with many blows.</w:t>
      </w:r>
    </w:p>
    <w:p>
      <w:pPr>
        <w:pStyle w:val="ListBullet"/>
        <w:spacing w:line="240" w:lineRule="auto"/>
        <w:ind w:left="720"/>
      </w:pPr>
      <w:r>
        <w:rPr>
          <w:lang w:val="en_US" w:bidi="en_US"/>
        </w:rPr>
      </w:r>
      <w:r>
        <w:rPr>
          <w:lang w:val="en_US" w:bidi="en_US"/>
        </w:rPr>
        <w:t>will receive a heavy/long beating.</w:t>
      </w:r>
    </w:p>
    <w:p>
      <w:pPr>
        <w:pStyle w:val="ListBullet"/>
        <w:spacing w:line="240" w:lineRule="auto"/>
        <w:ind w:left="720"/>
      </w:pPr>
      <w:r>
        <w:rPr>
          <w:lang w:val="en_US" w:bidi="en_US"/>
        </w:rPr>
      </w:r>
      <w:r>
        <w:rPr>
          <w:lang w:val="en_US" w:bidi="en_US"/>
        </w:rPr>
        <w:t>their master will whip them severely.</w:t>
      </w:r>
    </w:p>
    <w:p>
      <w:pPr/>
      <w:r>
        <w:rPr>
          <w:lang w:val="en_US" w:bidi="en_US"/>
        </w:rPr>
      </w:r>
      <w:r>
        <w:rPr>
          <w:b/>
          <w:lang w:val="en_US" w:bidi="en_US"/>
        </w:rPr>
        <w:t>will be beaten with many blows:</w:t>
      </w:r>
      <w:r>
        <w:rPr>
          <w:lang w:val="en_US" w:bidi="en_US"/>
        </w:rPr>
        <w:t xml:space="preserve"> This is a passive verb phrase. It refers to someone being struck many times with a whip (or possibly a stick). Some ways to translate it are:</w:t>
      </w:r>
    </w:p>
    <w:p>
      <w:pPr>
        <w:pStyle w:val="ListBullet"/>
        <w:spacing w:line="240" w:lineRule="auto"/>
        <w:ind w:left="720"/>
      </w:pPr>
      <w:r>
        <w:rPr>
          <w:lang w:val="en_US" w:bidi="en_US"/>
        </w:rPr>
      </w:r>
      <w:r>
        <w:rPr>
          <w:lang w:val="en_US" w:bidi="en_US"/>
        </w:rPr>
        <w:t>With a passive verb. For example:</w:t>
      </w:r>
      <w:r>
        <w:rPr>
          <w:lang w:val="en_US" w:bidi="en_US"/>
        </w:rPr>
        <w:t>will be whipped with many blows/strokes</w:t>
      </w:r>
    </w:p>
    <w:p>
      <w:pPr>
        <w:pStyle w:val="ListBullet"/>
        <w:spacing w:line="240" w:lineRule="auto"/>
        <w:ind w:left="720"/>
      </w:pPr>
      <w:r>
        <w:rPr>
          <w:lang w:val="en_US" w:bidi="en_US"/>
        </w:rPr>
      </w:r>
      <w:r>
        <w:rPr>
          <w:lang w:val="en_US" w:bidi="en_US"/>
        </w:rPr>
        <w:t>With an active verb. For example:</w:t>
      </w:r>
      <w:r>
        <w:rPr>
          <w:lang w:val="en_US" w:bidi="en_US"/>
        </w:rPr>
        <w:t>will receive a severe beating (NRSV)</w:t>
      </w:r>
    </w:p>
    <w:p>
      <w:pPr>
        <w:pStyle w:val="ListBullet"/>
        <w:spacing w:line="240" w:lineRule="auto"/>
        <w:ind w:left="720"/>
      </w:pPr>
      <w:r>
        <w:rPr>
          <w:lang w:val="en_US" w:bidi="en_US"/>
        </w:rPr>
      </w:r>
      <w:r>
        <w:rPr>
          <w:lang w:val="en_US" w:bidi="en_US"/>
        </w:rPr>
        <w:t>If it is necessary to specify an actor, the implied actor is either the master or someone else whom the master orders to whip him. For example:</w:t>
      </w:r>
      <w:r>
        <w:rPr>
          <w:lang w:val="en_US" w:bidi="en_US"/>
        </w:rPr>
        <w:t>his master</w:t>
      </w:r>
      <w:r>
        <w:rPr>
          <w:lang w:val="en_US" w:bidi="en_US"/>
        </w:rPr>
        <w:t xml:space="preserve"> will give him a severe whipping</w:t>
      </w:r>
      <w:r>
        <w:rPr>
          <w:lang w:val="en_US" w:bidi="en_US"/>
        </w:rPr>
        <w:t>his master will cause/order someone to</w:t>
      </w:r>
      <w:r>
        <w:rPr>
          <w:lang w:val="en_US" w:bidi="en_US"/>
        </w:rPr>
        <w:t xml:space="preserve"> beat him with many blows</w:t>
      </w:r>
    </w:p>
    <w:p>
      <w:pPr/>
      <w:r>
        <w:rPr>
          <w:lang w:val="en_US" w:bidi="en_US"/>
        </w:rPr>
      </w:r>
      <w:r>
        <w:rPr>
          <w:lang w:val="en_US" w:bidi="en_US"/>
        </w:rPr>
        <w:t>Translate this in a way that is most natural in your language.</w:t>
      </w:r>
    </w:p>
    <w:p>
      <w:pPr>
        <w:pStyle w:val="Heading6"/>
      </w:pPr>
      <w:r>
        <w:rPr>
          <w:b/>
          <w:lang w:val="en_US" w:bidi="en_US"/>
        </w:rPr>
        <w:t>General Comment on 12:47a–c</w:t>
      </w:r>
    </w:p>
    <w:p>
      <w:pPr/>
      <w:r>
        <w:rPr>
          <w:lang w:val="en_US" w:bidi="en_US"/>
        </w:rPr>
      </w:r>
      <w:r>
        <w:rPr>
          <w:lang w:val="en_US" w:bidi="en_US"/>
        </w:rPr>
        <w:t>12:47a–b describe a condition or situation that will lead to a particular result (12:47c). In some languages it may be more natural to state 12:47a–b as a conditional (if) clause. For example:</w:t>
      </w:r>
    </w:p>
    <w:p>
      <w:pPr/>
      <w:r>
        <w:rPr>
          <w:lang w:val="en_US" w:bidi="en_US"/>
        </w:rPr>
      </w:r>
      <w:r>
        <w:rPr>
          <w:lang w:val="en_US" w:bidi="en_US"/>
        </w:rPr>
        <w:t>If servants do not obey their master or prepare for him to return, they will receive many lashes with the whip.</w:t>
      </w:r>
      <w:r>
        <w:rPr>
          <w:lang w:val="en_US" w:bidi="en_US"/>
        </w:rPr>
      </w:r>
      <w:r>
        <w:rPr>
          <w:lang w:val="en_US" w:bidi="en_US"/>
        </w:rPr>
      </w:r>
    </w:p>
    <w:p>
      <w:pPr/>
      <w:r>
        <w:rPr>
          <w:lang w:val="en_US" w:bidi="en_US"/>
        </w:rPr>
      </w:r>
    </w:p>
    <w:p>
      <w:pPr>
        <w:pStyle w:val="Heading2"/>
      </w:pPr>
      <w:r>
        <w:rPr>
          <w:lang w:val="en_US" w:bidi="en_US"/>
        </w:rPr>
        <w:t>Luke 12:48</w:t>
      </w:r>
      <w:r>
        <w:rPr>
          <w:lang w:val="en_US" w:bidi="en_US"/>
        </w:rPr>
      </w:r>
    </w:p>
    <w:p>
      <w:pPr>
        <w:pStyle w:val="Heading4"/>
      </w:pPr>
      <w:r>
        <w:rPr>
          <w:lang w:val="en_US" w:bidi="en_US"/>
        </w:rPr>
        <w:t>Section 12:35–48: Jesus’ servants should be watchful and faithful</w:t>
      </w:r>
    </w:p>
    <w:p>
      <w:pPr/>
      <w:r>
        <w:rPr>
          <w:lang w:val="en_US" w:bidi="en_US"/>
        </w:rPr>
      </w:r>
      <w:r>
        <w:rPr>
          <w:lang w:val="en_US" w:bidi="en_US"/>
        </w:rPr>
        <w:t>In this section Jesus continued to teach his disciples. He told them to do their work faithfully and to be ready for the time he would return to earth. He used three illustrations that all emphasized how important it is to be prepared for his return. In 12:35–38 he described a man who had gone to a wedding feast. His servants needed to be ready to open the door for him at whatever time he returned. In 12:39 he described the owner of a house watching out for a thief who might come at an unexpected time. In 12:41–48, Jesus explained the difference between a faithful servant and an unfaithful servant. This encouraged his disciples to be faithful.</w:t>
      </w:r>
    </w:p>
    <w:p>
      <w:pPr/>
      <w:r>
        <w:rPr>
          <w:lang w:val="en_US" w:bidi="en_US"/>
        </w:rPr>
      </w:r>
      <w:r>
        <w:rPr>
          <w:lang w:val="en_US" w:bidi="en_US"/>
        </w:rPr>
        <w:t>Some other headings for this section are:</w:t>
      </w:r>
    </w:p>
    <w:p>
      <w:pPr/>
      <w:r>
        <w:rPr>
          <w:lang w:val="en_US" w:bidi="en_US"/>
        </w:rPr>
      </w:r>
      <w:r>
        <w:rPr>
          <w:lang w:val="en_US" w:bidi="en_US"/>
        </w:rPr>
        <w:t>Faithful and Unfaithful Servants (CEV)</w:t>
      </w:r>
    </w:p>
    <w:p>
      <w:pPr/>
      <w:r>
        <w:rPr>
          <w:lang w:val="en_US" w:bidi="en_US"/>
        </w:rPr>
      </w:r>
      <w:r>
        <w:rPr>
          <w:lang w:val="en_US" w:bidi="en_US"/>
        </w:rPr>
        <w:t>Be Ready for the Lord’s Coming (NLT)</w:t>
      </w:r>
    </w:p>
    <w:p>
      <w:pPr/>
      <w:r>
        <w:rPr>
          <w:lang w:val="en_US" w:bidi="en_US"/>
        </w:rPr>
      </w:r>
      <w:r>
        <w:rPr>
          <w:lang w:val="en_US" w:bidi="en_US"/>
        </w:rPr>
        <w:t>Watchfulness (NIV)</w:t>
      </w:r>
    </w:p>
    <w:p>
      <w:pPr/>
      <w:r>
        <w:rPr>
          <w:lang w:val="en_US" w:bidi="en_US"/>
        </w:rPr>
      </w:r>
      <w:r>
        <w:rPr>
          <w:lang w:val="en_US" w:bidi="en_US"/>
        </w:rPr>
        <w:t>There is a parallel passage for 12:41–48 in Matthew 24:45–51.</w:t>
      </w:r>
    </w:p>
    <w:p>
      <w:pPr>
        <w:pStyle w:val="Heading5"/>
      </w:pPr>
      <w:r>
        <w:rPr>
          <w:lang w:val="en_US" w:bidi="en_US"/>
        </w:rPr>
        <w:t>12:48a</w:t>
      </w:r>
    </w:p>
    <w:p>
      <w:pPr/>
      <w:r>
        <w:rPr>
          <w:lang w:val="en_US" w:bidi="en_US"/>
        </w:rPr>
      </w:r>
      <w:r>
        <w:rPr>
          <w:b/>
          <w:lang w:val="en_US" w:bidi="en_US"/>
        </w:rPr>
        <w:t>But the one who unknowingly does things</w:t>
      </w:r>
    </w:p>
    <w:p>
      <w:pPr>
        <w:pStyle w:val="ListBullet"/>
        <w:spacing w:line="240" w:lineRule="auto"/>
        <w:ind w:left="720"/>
      </w:pPr>
      <w:r>
        <w:rPr>
          <w:lang w:val="en_US" w:bidi="en_US"/>
        </w:rPr>
      </w:r>
      <w:r>
        <w:rPr>
          <w:lang w:val="en_US" w:bidi="en_US"/>
        </w:rPr>
        <w:t xml:space="preserve">But the/a servant who does not know </w:t>
      </w:r>
      <w:r>
        <w:rPr>
          <w:lang w:val="en_US" w:bidi="en_US"/>
        </w:rPr>
        <w:t>what his master wants</w:t>
      </w:r>
    </w:p>
    <w:p>
      <w:pPr>
        <w:pStyle w:val="ListBullet"/>
        <w:spacing w:line="240" w:lineRule="auto"/>
        <w:ind w:left="720"/>
      </w:pPr>
      <w:r>
        <w:rPr>
          <w:lang w:val="en_US" w:bidi="en_US"/>
        </w:rPr>
      </w:r>
      <w:r>
        <w:rPr>
          <w:lang w:val="en_US" w:bidi="en_US"/>
        </w:rPr>
        <w:t xml:space="preserve">But if/when servants do not know </w:t>
      </w:r>
      <w:r>
        <w:rPr>
          <w:lang w:val="en_US" w:bidi="en_US"/>
        </w:rPr>
        <w:t>their master’s wishes</w:t>
      </w:r>
    </w:p>
    <w:p>
      <w:pPr/>
      <w:r>
        <w:rPr>
          <w:lang w:val="en_US" w:bidi="en_US"/>
        </w:rPr>
      </w:r>
      <w:r>
        <w:rPr>
          <w:b/>
          <w:lang w:val="en_US" w:bidi="en_US"/>
        </w:rPr>
        <w:t>But the one who unknowingly does:</w:t>
      </w:r>
      <w:r>
        <w:rPr>
          <w:lang w:val="en_US" w:bidi="en_US"/>
        </w:rPr>
        <w:t xml:space="preserve"> This clause contains an ellipsis. It does not say </w:t>
      </w:r>
      <w:r>
        <w:rPr>
          <w:u w:val="single"/>
          <w:lang w:val="en_US" w:bidi="en_US"/>
        </w:rPr>
        <w:t>what</w:t>
      </w:r>
      <w:r>
        <w:rPr>
          <w:lang w:val="en_US" w:bidi="en_US"/>
        </w:rPr>
        <w:t xml:space="preserve"> this servant </w:t>
      </w:r>
      <w:r>
        <w:rPr>
          <w:i/>
          <w:lang w:val="en_US" w:bidi="en_US"/>
        </w:rPr>
        <w:t>unknowingly</w:t>
      </w:r>
      <w:r>
        <w:rPr>
          <w:lang w:val="en_US" w:bidi="en_US"/>
        </w:rPr>
        <w:t xml:space="preserve"> does. From the context, it is clear that this servant does not know </w:t>
      </w:r>
      <w:r>
        <w:rPr>
          <w:u w:val="single"/>
          <w:lang w:val="en_US" w:bidi="en_US"/>
        </w:rPr>
        <w:t>his master’s will</w:t>
      </w:r>
      <w:r>
        <w:rPr>
          <w:lang w:val="en_US" w:bidi="en_US"/>
        </w:rPr>
        <w:t>. In languages where this kind of ellipsis is unclear or unnatural, you should supply the implied information. For example:</w:t>
      </w:r>
    </w:p>
    <w:p>
      <w:pPr/>
      <w:r>
        <w:rPr>
          <w:lang w:val="en_US" w:bidi="en_US"/>
        </w:rPr>
      </w:r>
      <w:r>
        <w:rPr>
          <w:lang w:val="en_US" w:bidi="en_US"/>
        </w:rPr>
        <w:t xml:space="preserve">But the servant who does not know </w:t>
      </w:r>
      <w:r>
        <w:rPr>
          <w:lang w:val="en_US" w:bidi="en_US"/>
        </w:rPr>
        <w:t>what his master wants him to do</w:t>
      </w:r>
      <w:r>
        <w:rPr>
          <w:lang w:val="en_US" w:bidi="en_US"/>
        </w:rPr>
        <w:t>…</w:t>
      </w:r>
    </w:p>
    <w:p>
      <w:pPr>
        <w:pStyle w:val="Heading5"/>
      </w:pPr>
      <w:r>
        <w:rPr>
          <w:lang w:val="en_US" w:bidi="en_US"/>
        </w:rPr>
        <w:t>12:48b</w:t>
      </w:r>
    </w:p>
    <w:p>
      <w:pPr/>
      <w:r>
        <w:rPr>
          <w:lang w:val="en_US" w:bidi="en_US"/>
        </w:rPr>
      </w:r>
      <w:r>
        <w:rPr>
          <w:b/>
          <w:lang w:val="en_US" w:bidi="en_US"/>
        </w:rPr>
        <w:t>worthy of punishment</w:t>
      </w:r>
    </w:p>
    <w:p>
      <w:pPr>
        <w:pStyle w:val="ListBullet"/>
        <w:spacing w:line="240" w:lineRule="auto"/>
        <w:ind w:left="720"/>
      </w:pPr>
      <w:r>
        <w:rPr>
          <w:lang w:val="en_US" w:bidi="en_US"/>
        </w:rPr>
      </w:r>
      <w:r>
        <w:rPr>
          <w:lang w:val="en_US" w:bidi="en_US"/>
        </w:rPr>
        <w:t>and does things for which he deserves to be punished</w:t>
      </w:r>
    </w:p>
    <w:p>
      <w:pPr>
        <w:pStyle w:val="ListBullet"/>
        <w:spacing w:line="240" w:lineRule="auto"/>
        <w:ind w:left="720"/>
      </w:pPr>
      <w:r>
        <w:rPr>
          <w:lang w:val="en_US" w:bidi="en_US"/>
        </w:rPr>
      </w:r>
      <w:r>
        <w:rPr>
          <w:lang w:val="en_US" w:bidi="en_US"/>
        </w:rPr>
        <w:t xml:space="preserve">and they do something </w:t>
      </w:r>
      <w:r>
        <w:rPr>
          <w:lang w:val="en_US" w:bidi="en_US"/>
        </w:rPr>
        <w:t>wrong</w:t>
      </w:r>
      <w:r>
        <w:rPr>
          <w:lang w:val="en_US" w:bidi="en_US"/>
        </w:rPr>
        <w:t xml:space="preserve"> so that a punishment is necessary,</w:t>
      </w:r>
    </w:p>
    <w:p>
      <w:pPr/>
      <w:r>
        <w:rPr>
          <w:lang w:val="en_US" w:bidi="en_US"/>
        </w:rPr>
      </w:r>
      <w:r>
        <w:rPr>
          <w:b/>
          <w:lang w:val="en_US" w:bidi="en_US"/>
        </w:rPr>
        <w:t>does things worthy of punishment:</w:t>
      </w:r>
      <w:r>
        <w:rPr>
          <w:lang w:val="en_US" w:bidi="en_US"/>
        </w:rPr>
        <w:t xml:space="preserve"> The phrase that the BSB translates as </w:t>
      </w:r>
      <w:r>
        <w:rPr>
          <w:i/>
          <w:lang w:val="en_US" w:bidi="en_US"/>
        </w:rPr>
        <w:t>does things worthy of punishment</w:t>
      </w:r>
      <w:r>
        <w:rPr>
          <w:lang w:val="en_US" w:bidi="en_US"/>
        </w:rPr>
        <w:t xml:space="preserve"> is more literally “having done (things) worthy of blows.” Other ways to translate this phrase are:</w:t>
      </w:r>
    </w:p>
    <w:p>
      <w:pPr/>
      <w:r>
        <w:rPr>
          <w:lang w:val="en_US" w:bidi="en_US"/>
        </w:rPr>
      </w:r>
      <w:r>
        <w:rPr>
          <w:lang w:val="en_US" w:bidi="en_US"/>
        </w:rPr>
        <w:t>does something for which he deserves a whipping (GNT)</w:t>
      </w:r>
    </w:p>
    <w:p>
      <w:pPr/>
      <w:r>
        <w:rPr>
          <w:lang w:val="en_US" w:bidi="en_US"/>
        </w:rPr>
      </w:r>
      <w:r>
        <w:rPr>
          <w:lang w:val="en_US" w:bidi="en_US"/>
        </w:rPr>
        <w:t>does something wrong (NLT)</w:t>
      </w:r>
    </w:p>
    <w:p>
      <w:pPr>
        <w:pStyle w:val="Heading5"/>
      </w:pPr>
      <w:r>
        <w:rPr>
          <w:lang w:val="en_US" w:bidi="en_US"/>
        </w:rPr>
        <w:t>12:48c</w:t>
      </w:r>
    </w:p>
    <w:p>
      <w:pPr/>
      <w:r>
        <w:rPr>
          <w:lang w:val="en_US" w:bidi="en_US"/>
        </w:rPr>
      </w:r>
      <w:r>
        <w:rPr>
          <w:b/>
          <w:lang w:val="en_US" w:bidi="en_US"/>
        </w:rPr>
        <w:t>will be beaten with few blows.</w:t>
      </w:r>
    </w:p>
    <w:p>
      <w:pPr>
        <w:pStyle w:val="ListBullet"/>
        <w:spacing w:line="240" w:lineRule="auto"/>
        <w:ind w:left="720"/>
      </w:pPr>
      <w:r>
        <w:rPr>
          <w:lang w:val="en_US" w:bidi="en_US"/>
        </w:rPr>
      </w:r>
      <w:r>
        <w:rPr>
          <w:lang w:val="en_US" w:bidi="en_US"/>
        </w:rPr>
        <w:t>will receive only a light/short beating.</w:t>
      </w:r>
    </w:p>
    <w:p>
      <w:pPr>
        <w:pStyle w:val="ListBullet"/>
        <w:spacing w:line="240" w:lineRule="auto"/>
        <w:ind w:left="720"/>
      </w:pPr>
      <w:r>
        <w:rPr>
          <w:lang w:val="en_US" w:bidi="en_US"/>
        </w:rPr>
      </w:r>
      <w:r>
        <w:rPr>
          <w:lang w:val="en_US" w:bidi="en_US"/>
        </w:rPr>
        <w:t>their master</w:t>
      </w:r>
      <w:r>
        <w:rPr>
          <w:lang w:val="en_US" w:bidi="en_US"/>
        </w:rPr>
        <w:t xml:space="preserve"> will whip them only a little.</w:t>
      </w:r>
    </w:p>
    <w:p>
      <w:pPr/>
      <w:r>
        <w:rPr>
          <w:lang w:val="en_US" w:bidi="en_US"/>
        </w:rPr>
      </w:r>
      <w:r>
        <w:rPr>
          <w:b/>
          <w:lang w:val="en_US" w:bidi="en_US"/>
        </w:rPr>
        <w:t>will be beaten with few blows:</w:t>
      </w:r>
      <w:r>
        <w:rPr>
          <w:lang w:val="en_US" w:bidi="en_US"/>
        </w:rPr>
        <w:t xml:space="preserve"> You should translate this phrase in a way that clearly shows the contrast with the parallel phrase in 12:47c. Some ways to translate it in English are:</w:t>
      </w:r>
    </w:p>
    <w:p>
      <w:pPr/>
      <w:r>
        <w:rPr>
          <w:lang w:val="en_US" w:bidi="en_US"/>
        </w:rPr>
      </w:r>
      <w:r>
        <w:rPr>
          <w:lang w:val="en_US" w:bidi="en_US"/>
        </w:rPr>
        <w:t>will be flogged less severely (REB)</w:t>
      </w:r>
    </w:p>
    <w:p>
      <w:pPr/>
      <w:r>
        <w:rPr>
          <w:lang w:val="en_US" w:bidi="en_US"/>
        </w:rPr>
      </w:r>
      <w:r>
        <w:rPr>
          <w:lang w:val="en_US" w:bidi="en_US"/>
        </w:rPr>
        <w:t>will not be beaten so hard (CEV)</w:t>
      </w:r>
    </w:p>
    <w:p>
      <w:pPr>
        <w:pStyle w:val="Heading5"/>
      </w:pPr>
      <w:r>
        <w:rPr>
          <w:lang w:val="en_US" w:bidi="en_US"/>
        </w:rPr>
        <w:t>12:48d</w:t>
      </w:r>
    </w:p>
    <w:p>
      <w:pPr/>
      <w:r>
        <w:rPr>
          <w:lang w:val="en_US" w:bidi="en_US"/>
        </w:rPr>
      </w:r>
      <w:r>
        <w:rPr>
          <w:b/>
          <w:lang w:val="en_US" w:bidi="en_US"/>
        </w:rPr>
        <w:t>From everyone who has been given much, much will be required;</w:t>
      </w:r>
    </w:p>
    <w:p>
      <w:pPr>
        <w:pStyle w:val="ListBullet"/>
        <w:spacing w:line="240" w:lineRule="auto"/>
        <w:ind w:left="720"/>
      </w:pPr>
      <w:r>
        <w:rPr>
          <w:lang w:val="en_US" w:bidi="en_US"/>
        </w:rPr>
      </w:r>
      <w:r>
        <w:rPr>
          <w:lang w:val="en_US" w:bidi="en_US"/>
        </w:rPr>
        <w:t>Everyone who has much entrusted to him, much will also be expected of him.</w:t>
      </w:r>
    </w:p>
    <w:p>
      <w:pPr>
        <w:pStyle w:val="ListBullet"/>
        <w:spacing w:line="240" w:lineRule="auto"/>
        <w:ind w:left="720"/>
      </w:pPr>
      <w:r>
        <w:rPr>
          <w:lang w:val="en_US" w:bidi="en_US"/>
        </w:rPr>
      </w:r>
      <w:r>
        <w:rPr>
          <w:lang w:val="en_US" w:bidi="en_US"/>
        </w:rPr>
        <w:t xml:space="preserve">When </w:t>
      </w:r>
      <w:r>
        <w:rPr>
          <w:lang w:val="en_US" w:bidi="en_US"/>
        </w:rPr>
        <w:t>God</w:t>
      </w:r>
      <w:r>
        <w:rPr>
          <w:lang w:val="en_US" w:bidi="en_US"/>
        </w:rPr>
        <w:t xml:space="preserve"> greatly blesses certain people, he requires that those people should be especially </w:t>
      </w:r>
      <w:r>
        <w:rPr>
          <w:lang w:val="en_US" w:bidi="en_US"/>
        </w:rPr>
        <w:t>faithful/diligent</w:t>
      </w:r>
      <w:r>
        <w:rPr>
          <w:lang w:val="en_US" w:bidi="en_US"/>
        </w:rPr>
        <w:t xml:space="preserve"> in serving him.</w:t>
      </w:r>
    </w:p>
    <w:p>
      <w:pPr/>
      <w:r>
        <w:rPr>
          <w:lang w:val="en_US" w:bidi="en_US"/>
        </w:rPr>
      </w:r>
      <w:r>
        <w:rPr>
          <w:b/>
          <w:lang w:val="en_US" w:bidi="en_US"/>
        </w:rPr>
        <w:t>From everyone who has been given much, much will be required:</w:t>
      </w:r>
      <w:r>
        <w:rPr>
          <w:lang w:val="en_US" w:bidi="en_US"/>
        </w:rPr>
        <w:t xml:space="preserve"> This saying is in the form of a proverb or general statement. It applies both to the way people relate to one another and also to the way God relates to people. When a master gives his servants great privileges, he expects those servants to serve him exceptionally well. Similarly, when God gives his people many gifts and blessings, he expects them to work hard for him.</w:t>
      </w:r>
    </w:p>
    <w:p>
      <w:pPr/>
      <w:r>
        <w:rPr>
          <w:lang w:val="en_US" w:bidi="en_US"/>
        </w:rPr>
      </w:r>
      <w:r>
        <w:rPr>
          <w:lang w:val="en_US" w:bidi="en_US"/>
        </w:rPr>
        <w:t>Both clauses in this verse part contain passive verbs. Some ways to translate these verbs are:</w:t>
      </w:r>
    </w:p>
    <w:p>
      <w:pPr>
        <w:pStyle w:val="ListBullet"/>
        <w:spacing w:line="240" w:lineRule="auto"/>
        <w:ind w:left="720"/>
      </w:pPr>
      <w:r>
        <w:rPr>
          <w:lang w:val="en_US" w:bidi="en_US"/>
        </w:rPr>
      </w:r>
      <w:r>
        <w:rPr>
          <w:lang w:val="en_US" w:bidi="en_US"/>
        </w:rPr>
        <w:t>As passive verbs. For example:</w:t>
      </w:r>
      <w:r>
        <w:rPr>
          <w:lang w:val="en_US" w:bidi="en_US"/>
        </w:rPr>
        <w:t>When someone has been given much, much will be required in return (NLT)</w:t>
      </w:r>
    </w:p>
    <w:p>
      <w:pPr>
        <w:pStyle w:val="ListBullet"/>
        <w:spacing w:line="240" w:lineRule="auto"/>
        <w:ind w:left="720"/>
      </w:pPr>
      <w:r>
        <w:rPr>
          <w:lang w:val="en_US" w:bidi="en_US"/>
        </w:rPr>
      </w:r>
      <w:r>
        <w:rPr>
          <w:lang w:val="en_US" w:bidi="en_US"/>
        </w:rPr>
        <w:t>As active verbs. If possible, use a subject that can apply both to God and a human master. For example:</w:t>
      </w:r>
      <w:r>
        <w:rPr>
          <w:lang w:val="en_US" w:bidi="en_US"/>
        </w:rPr>
        <w:t>A master demands much from the one to whom he has given much</w:t>
      </w:r>
    </w:p>
    <w:p>
      <w:pPr/>
      <w:r>
        <w:rPr>
          <w:lang w:val="en_US" w:bidi="en_US"/>
        </w:rPr>
      </w:r>
      <w:r>
        <w:rPr>
          <w:lang w:val="en_US" w:bidi="en_US"/>
        </w:rPr>
        <w:t>If it is not possible to use an ambiguous subject, it is recommended that you supply the subject “God.” You may also need to supply direct objects and say what God gives and demands. For example:</w:t>
      </w:r>
    </w:p>
    <w:p>
      <w:pPr/>
      <w:r>
        <w:rPr>
          <w:lang w:val="en_US" w:bidi="en_US"/>
        </w:rPr>
      </w:r>
      <w:r>
        <w:rPr>
          <w:lang w:val="en_US" w:bidi="en_US"/>
        </w:rPr>
        <w:t xml:space="preserve">When </w:t>
      </w:r>
      <w:r>
        <w:rPr>
          <w:lang w:val="en_US" w:bidi="en_US"/>
        </w:rPr>
        <w:t>God</w:t>
      </w:r>
      <w:r>
        <w:rPr>
          <w:lang w:val="en_US" w:bidi="en_US"/>
        </w:rPr>
        <w:t xml:space="preserve"> gives great </w:t>
      </w:r>
      <w:r>
        <w:rPr>
          <w:lang w:val="en_US" w:bidi="en_US"/>
        </w:rPr>
        <w:t>blessings/privileges</w:t>
      </w:r>
      <w:r>
        <w:rPr>
          <w:lang w:val="en_US" w:bidi="en_US"/>
        </w:rPr>
        <w:t xml:space="preserve"> to people, he requires from them great </w:t>
      </w:r>
      <w:r>
        <w:rPr>
          <w:lang w:val="en_US" w:bidi="en_US"/>
        </w:rPr>
        <w:t>faithfulness</w:t>
      </w:r>
    </w:p>
    <w:p>
      <w:pPr/>
      <w:r>
        <w:rPr>
          <w:lang w:val="en_US" w:bidi="en_US"/>
        </w:rPr>
      </w:r>
      <w:r>
        <w:rPr>
          <w:lang w:val="en_US" w:bidi="en_US"/>
        </w:rPr>
        <w:t>If God has been generous with you, he will expect you to serve him well (CEV)</w:t>
      </w:r>
    </w:p>
    <w:p>
      <w:pPr/>
      <w:r>
        <w:rPr>
          <w:lang w:val="en_US" w:bidi="en_US"/>
        </w:rPr>
      </w:r>
      <w:r>
        <w:rPr>
          <w:lang w:val="en_US" w:bidi="en_US"/>
        </w:rPr>
        <w:t>Translate these verbs in a way that is most natural in your language.</w:t>
      </w:r>
    </w:p>
    <w:p>
      <w:pPr>
        <w:pStyle w:val="Heading5"/>
      </w:pPr>
      <w:r>
        <w:rPr>
          <w:lang w:val="en_US" w:bidi="en_US"/>
        </w:rPr>
        <w:t>12:48e</w:t>
      </w:r>
    </w:p>
    <w:p>
      <w:pPr/>
      <w:r>
        <w:rPr>
          <w:lang w:val="en_US" w:bidi="en_US"/>
        </w:rPr>
      </w:r>
      <w:r>
        <w:rPr>
          <w:b/>
          <w:lang w:val="en_US" w:bidi="en_US"/>
        </w:rPr>
        <w:t>and from him who has been entrusted with much, even more will be demanded.</w:t>
      </w:r>
    </w:p>
    <w:p>
      <w:pPr>
        <w:pStyle w:val="ListBullet"/>
        <w:spacing w:line="240" w:lineRule="auto"/>
        <w:ind w:left="720"/>
      </w:pPr>
      <w:r>
        <w:rPr>
          <w:lang w:val="en_US" w:bidi="en_US"/>
        </w:rPr>
      </w:r>
      <w:r>
        <w:rPr>
          <w:lang w:val="en_US" w:bidi="en_US"/>
        </w:rPr>
        <w:t xml:space="preserve">The person who has accepted a great </w:t>
      </w:r>
      <w:r>
        <w:rPr>
          <w:lang w:val="en_US" w:bidi="en_US"/>
        </w:rPr>
        <w:t>trust</w:t>
      </w:r>
      <w:r>
        <w:rPr>
          <w:lang w:val="en_US" w:bidi="en_US"/>
        </w:rPr>
        <w:t xml:space="preserve"> will be held all the more responsible.”</w:t>
      </w:r>
    </w:p>
    <w:p>
      <w:pPr>
        <w:pStyle w:val="ListBullet"/>
        <w:spacing w:line="240" w:lineRule="auto"/>
        <w:ind w:left="720"/>
      </w:pPr>
      <w:r>
        <w:rPr>
          <w:lang w:val="en_US" w:bidi="en_US"/>
        </w:rPr>
      </w:r>
      <w:r>
        <w:rPr>
          <w:lang w:val="en_US" w:bidi="en_US"/>
        </w:rPr>
        <w:t>Yes,</w:t>
      </w:r>
      <w:r>
        <w:rPr>
          <w:lang w:val="en_US" w:bidi="en_US"/>
        </w:rPr>
        <w:t xml:space="preserve"> when </w:t>
      </w:r>
      <w:r>
        <w:rPr>
          <w:lang w:val="en_US" w:bidi="en_US"/>
        </w:rPr>
        <w:t>God</w:t>
      </w:r>
      <w:r>
        <w:rPr>
          <w:lang w:val="en_US" w:bidi="en_US"/>
        </w:rPr>
        <w:t xml:space="preserve"> gives much </w:t>
      </w:r>
      <w:r>
        <w:rPr>
          <w:lang w:val="en_US" w:bidi="en_US"/>
        </w:rPr>
        <w:t>responsibility/authority</w:t>
      </w:r>
      <w:r>
        <w:rPr>
          <w:lang w:val="en_US" w:bidi="en_US"/>
        </w:rPr>
        <w:t xml:space="preserve"> to someone, he expects much more from him.”</w:t>
      </w:r>
    </w:p>
    <w:p>
      <w:pPr/>
      <w:r>
        <w:rPr>
          <w:lang w:val="en_US" w:bidi="en_US"/>
        </w:rPr>
      </w:r>
      <w:r>
        <w:rPr>
          <w:b/>
          <w:lang w:val="en_US" w:bidi="en_US"/>
        </w:rPr>
        <w:t>and from him who has been entrusted with much, even more will be demanded:</w:t>
      </w:r>
      <w:r>
        <w:rPr>
          <w:lang w:val="en_US" w:bidi="en_US"/>
        </w:rPr>
        <w:t xml:space="preserve"> The conjunction </w:t>
      </w:r>
      <w:r>
        <w:rPr>
          <w:i/>
          <w:lang w:val="en_US" w:bidi="en_US"/>
        </w:rPr>
        <w:t>and</w:t>
      </w:r>
      <w:r>
        <w:rPr>
          <w:lang w:val="en_US" w:bidi="en_US"/>
        </w:rPr>
        <w:t xml:space="preserve"> here introduces a statement that is parallel to the one in 12:48d. In some languages a conjunction may not be needed. For example:</w:t>
      </w:r>
    </w:p>
    <w:p>
      <w:pPr/>
      <w:r>
        <w:rPr>
          <w:lang w:val="en_US" w:bidi="en_US"/>
        </w:rPr>
      </w:r>
      <w:r>
        <w:rPr>
          <w:lang w:val="en_US" w:bidi="en_US"/>
        </w:rPr>
        <w:t>much more is required from the person to whom much more is given (GNT)</w:t>
      </w:r>
    </w:p>
    <w:p>
      <w:pPr/>
      <w:r>
        <w:rPr>
          <w:lang w:val="en_US" w:bidi="en_US"/>
        </w:rPr>
      </w:r>
      <w:r>
        <w:rPr>
          <w:b/>
          <w:lang w:val="en_US" w:bidi="en_US"/>
        </w:rPr>
        <w:t>from him who has been entrusted with much, even more will be demanded:</w:t>
      </w:r>
      <w:r>
        <w:rPr>
          <w:lang w:val="en_US" w:bidi="en_US"/>
        </w:rPr>
        <w:t xml:space="preserve"> This statement has almost the same meaning as 12:48d. This repetition is called parallelism. It was considered good style for Jewish proverbs to use parallelism to emphasize something. See the General Comment on 12:48d–e at the end of 12:48e for a way to combine these two parallel statements into one statement.</w:t>
      </w:r>
    </w:p>
    <w:p>
      <w:pPr/>
      <w:r>
        <w:rPr>
          <w:lang w:val="en_US" w:bidi="en_US"/>
        </w:rPr>
      </w:r>
      <w:r>
        <w:rPr>
          <w:b/>
          <w:lang w:val="en_US" w:bidi="en_US"/>
        </w:rPr>
        <w:t>has been entrusted…even more will be demanded:</w:t>
      </w:r>
      <w:r>
        <w:rPr>
          <w:lang w:val="en_US" w:bidi="en_US"/>
        </w:rPr>
        <w:t xml:space="preserve"> The Greek verbs that the BSB translates as </w:t>
      </w:r>
      <w:r>
        <w:rPr>
          <w:i/>
          <w:lang w:val="en_US" w:bidi="en_US"/>
        </w:rPr>
        <w:t>has been entrusted</w:t>
      </w:r>
      <w:r>
        <w:rPr>
          <w:lang w:val="en_US" w:bidi="en_US"/>
        </w:rPr>
        <w:t xml:space="preserve"> and </w:t>
      </w:r>
      <w:r>
        <w:rPr>
          <w:i/>
          <w:lang w:val="en_US" w:bidi="en_US"/>
        </w:rPr>
        <w:t>will be demanded</w:t>
      </w:r>
      <w:r>
        <w:rPr>
          <w:lang w:val="en_US" w:bidi="en_US"/>
        </w:rPr>
        <w:t xml:space="preserve"> are more literally “they entrust” and “they will demand/require.” Here the subject “they” is a way to include anyone who entrusts or asks something of people. It can be applied to both human masters and God. Some ways to translate these verbs are:</w:t>
      </w:r>
    </w:p>
    <w:p>
      <w:pPr>
        <w:pStyle w:val="ListBullet"/>
        <w:spacing w:line="240" w:lineRule="auto"/>
        <w:ind w:left="720"/>
      </w:pPr>
      <w:r>
        <w:rPr>
          <w:lang w:val="en_US" w:bidi="en_US"/>
        </w:rPr>
      </w:r>
      <w:r>
        <w:rPr>
          <w:lang w:val="en_US" w:bidi="en_US"/>
        </w:rPr>
        <w:t>Use passive verbs. For example:</w:t>
      </w:r>
      <w:r>
        <w:rPr>
          <w:lang w:val="en_US" w:bidi="en_US"/>
        </w:rPr>
        <w:t>the more he has had entrusted to him the more will be demanded of him (REB)</w:t>
      </w:r>
    </w:p>
    <w:p>
      <w:pPr>
        <w:pStyle w:val="ListBullet"/>
        <w:spacing w:line="240" w:lineRule="auto"/>
        <w:ind w:left="720"/>
      </w:pPr>
      <w:r>
        <w:rPr>
          <w:lang w:val="en_US" w:bidi="en_US"/>
        </w:rPr>
      </w:r>
      <w:r>
        <w:rPr>
          <w:lang w:val="en_US" w:bidi="en_US"/>
        </w:rPr>
        <w:t>Use verbs with general subjects such as “anyone” or “someone”:</w:t>
      </w:r>
      <w:r>
        <w:rPr>
          <w:lang w:val="en_US" w:bidi="en_US"/>
        </w:rPr>
        <w:t xml:space="preserve">When </w:t>
      </w:r>
      <w:r>
        <w:rPr>
          <w:lang w:val="en_US" w:bidi="en_US"/>
        </w:rPr>
        <w:t>someone/anyone</w:t>
      </w:r>
      <w:r>
        <w:rPr>
          <w:lang w:val="en_US" w:bidi="en_US"/>
        </w:rPr>
        <w:t xml:space="preserve"> entrusts you with a very precious thing, he will require you to be very faithful</w:t>
      </w:r>
    </w:p>
    <w:p>
      <w:pPr/>
      <w:r>
        <w:rPr>
          <w:lang w:val="en_US" w:bidi="en_US"/>
        </w:rPr>
      </w:r>
      <w:r>
        <w:rPr>
          <w:lang w:val="en_US" w:bidi="en_US"/>
        </w:rPr>
        <w:t>Translate these verbs in a way that is most natural in your language.</w:t>
      </w:r>
    </w:p>
    <w:p>
      <w:pPr>
        <w:pStyle w:val="Heading6"/>
      </w:pPr>
      <w:r>
        <w:rPr>
          <w:b/>
          <w:lang w:val="en_US" w:bidi="en_US"/>
        </w:rPr>
        <w:t>General Comment on 12:48d–e</w:t>
      </w:r>
    </w:p>
    <w:p>
      <w:pPr/>
      <w:r>
        <w:rPr>
          <w:lang w:val="en_US" w:bidi="en_US"/>
        </w:rPr>
      </w:r>
      <w:r>
        <w:rPr>
          <w:lang w:val="en_US" w:bidi="en_US"/>
        </w:rPr>
        <w:t>In some languages it may not be natural to use parallel statements that have almost the same meaning. If that is true in your language, it may be possible to combine the parallel statements into one statement. For example:</w:t>
      </w:r>
    </w:p>
    <w:p>
      <w:pPr/>
      <w:r>
        <w:rPr>
          <w:lang w:val="en_US" w:bidi="en_US"/>
        </w:rPr>
      </w:r>
      <w:r>
        <w:rPr>
          <w:lang w:val="en_US" w:bidi="en_US"/>
        </w:rPr>
        <w:t>If a person is given many blessings and responsibilities, much will be expected from him.</w:t>
      </w:r>
    </w:p>
    <w:p>
      <w:pPr/>
      <w:r>
        <w:rPr>
          <w:lang w:val="en_US" w:bidi="en_US"/>
        </w:rPr>
      </w:r>
      <w:r>
        <w:rPr>
          <w:lang w:val="en_US" w:bidi="en_US"/>
        </w:rPr>
        <w:t>God will certainly require much from people to whom he has entrusted much.</w:t>
      </w:r>
      <w:r>
        <w:rPr>
          <w:lang w:val="en_US" w:bidi="en_US"/>
        </w:rPr>
      </w:r>
      <w:r>
        <w:rPr>
          <w:lang w:val="en_US" w:bidi="en_US"/>
        </w:rPr>
      </w:r>
    </w:p>
    <w:p>
      <w:pPr/>
      <w:r>
        <w:rPr>
          <w:lang w:val="en_US" w:bidi="en_US"/>
        </w:rPr>
      </w:r>
    </w:p>
    <w:p>
      <w:pPr>
        <w:pStyle w:val="Heading2"/>
      </w:pPr>
      <w:r>
        <w:rPr>
          <w:lang w:val="en_US" w:bidi="en_US"/>
        </w:rPr>
        <w:t>Luke 12:49</w:t>
      </w:r>
      <w:r>
        <w:rPr>
          <w:lang w:val="en_US" w:bidi="en_US"/>
        </w:rPr>
      </w:r>
    </w:p>
    <w:p>
      <w:pPr>
        <w:pStyle w:val="Heading4"/>
      </w:pPr>
      <w:r>
        <w:rPr>
          <w:lang w:val="en_US" w:bidi="en_US"/>
        </w:rPr>
        <w:t>Section 12:49–53: Jesus’ message will cause divisions among people</w:t>
      </w:r>
    </w:p>
    <w:p>
      <w:pPr/>
      <w:r>
        <w:rPr>
          <w:lang w:val="en_US" w:bidi="en_US"/>
        </w:rPr>
      </w:r>
      <w:r>
        <w:rPr>
          <w:lang w:val="en_US" w:bidi="en_US"/>
        </w:rPr>
        <w:t>In this section Jesus was still talking to his disciples. He told them that a difficult time was coming. He warned them that in many families, some family members would follow him and some would not. This would cause family members to disagree and separate.</w:t>
      </w:r>
    </w:p>
    <w:p>
      <w:pPr/>
      <w:r>
        <w:rPr>
          <w:lang w:val="en_US" w:bidi="en_US"/>
        </w:rPr>
      </w:r>
      <w:r>
        <w:rPr>
          <w:lang w:val="en_US" w:bidi="en_US"/>
        </w:rPr>
        <w:t>Some other headings for this section are:</w:t>
      </w:r>
    </w:p>
    <w:p>
      <w:pPr/>
      <w:r>
        <w:rPr>
          <w:lang w:val="en_US" w:bidi="en_US"/>
        </w:rPr>
      </w:r>
      <w:r>
        <w:rPr>
          <w:lang w:val="en_US" w:bidi="en_US"/>
        </w:rPr>
        <w:t>Jesus Causes Division (NCV)</w:t>
      </w:r>
    </w:p>
    <w:p>
      <w:pPr/>
      <w:r>
        <w:rPr>
          <w:lang w:val="en_US" w:bidi="en_US"/>
        </w:rPr>
      </w:r>
      <w:r>
        <w:rPr>
          <w:lang w:val="en_US" w:bidi="en_US"/>
        </w:rPr>
        <w:t>Not Peace but Division (NIV)</w:t>
      </w:r>
    </w:p>
    <w:p>
      <w:pPr/>
      <w:r>
        <w:rPr>
          <w:lang w:val="en_US" w:bidi="en_US"/>
        </w:rPr>
      </w:r>
      <w:r>
        <w:rPr>
          <w:lang w:val="en_US" w:bidi="en_US"/>
        </w:rPr>
        <w:t>There is a parallel passage for this section in Matthew 10:34–36.</w:t>
      </w:r>
    </w:p>
    <w:p>
      <w:pPr>
        <w:pStyle w:val="Heading5"/>
      </w:pPr>
      <w:r>
        <w:rPr>
          <w:lang w:val="en_US" w:bidi="en_US"/>
        </w:rPr>
        <w:t>12:49a</w:t>
      </w:r>
    </w:p>
    <w:p>
      <w:pPr/>
      <w:r>
        <w:rPr>
          <w:lang w:val="en_US" w:bidi="en_US"/>
        </w:rPr>
      </w:r>
      <w:r>
        <w:rPr>
          <w:b/>
          <w:lang w:val="en_US" w:bidi="en_US"/>
        </w:rPr>
        <w:t>I have come to ignite a fire on the earth,</w:t>
      </w:r>
    </w:p>
    <w:p>
      <w:pPr>
        <w:pStyle w:val="ListBullet"/>
        <w:spacing w:line="240" w:lineRule="auto"/>
        <w:ind w:left="720"/>
      </w:pPr>
      <w:r>
        <w:rPr>
          <w:lang w:val="en_US" w:bidi="en_US"/>
        </w:rPr>
      </w:r>
      <w:r>
        <w:rPr>
          <w:lang w:val="en_US" w:bidi="en_US"/>
        </w:rPr>
        <w:t xml:space="preserve">¶ </w:t>
      </w:r>
      <w:r>
        <w:rPr>
          <w:lang w:val="en_US" w:bidi="en_US"/>
        </w:rPr>
        <w:t>Jesus also told the people this illustration. He said,</w:t>
      </w:r>
      <w:r>
        <w:rPr>
          <w:lang w:val="en_US" w:bidi="en_US"/>
        </w:rPr>
        <w:t xml:space="preserve"> “My purpose in coming to the world is to cause a fire to burn </w:t>
      </w:r>
      <w:r>
        <w:rPr>
          <w:lang w:val="en_US" w:bidi="en_US"/>
        </w:rPr>
        <w:t>among people</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Then Jesus said,</w:t>
      </w:r>
      <w:r>
        <w:rPr>
          <w:lang w:val="en_US" w:bidi="en_US"/>
        </w:rPr>
        <w:t xml:space="preserve"> “I have come to bring </w:t>
      </w:r>
      <w:r>
        <w:rPr>
          <w:lang w:val="en_US" w:bidi="en_US"/>
        </w:rPr>
        <w:t>judgment</w:t>
      </w:r>
      <w:r>
        <w:rPr>
          <w:lang w:val="en_US" w:bidi="en_US"/>
        </w:rPr>
        <w:t xml:space="preserve"> like fire on </w:t>
      </w:r>
      <w:r>
        <w:rPr>
          <w:lang w:val="en_US" w:bidi="en_US"/>
        </w:rPr>
        <w:t>the people of</w:t>
      </w:r>
      <w:r>
        <w:rPr>
          <w:lang w:val="en_US" w:bidi="en_US"/>
        </w:rPr>
        <w:t xml:space="preserve"> the earth,</w:t>
      </w:r>
    </w:p>
    <w:p>
      <w:pPr/>
      <w:r>
        <w:rPr>
          <w:lang w:val="en_US" w:bidi="en_US"/>
        </w:rPr>
      </w:r>
      <w:r>
        <w:rPr>
          <w:lang w:val="en_US" w:bidi="en_US"/>
        </w:rPr>
        <w:t>This is the first verse in a new section. Jesus continued to speak, and he used a metaphor. In some languages it may be helpful to make this information explicit. For example:</w:t>
      </w:r>
    </w:p>
    <w:p>
      <w:pPr/>
      <w:r>
        <w:rPr>
          <w:lang w:val="en_US" w:bidi="en_US"/>
        </w:rPr>
      </w:r>
      <w:r>
        <w:rPr>
          <w:lang w:val="en_US" w:bidi="en_US"/>
        </w:rPr>
        <w:t>Then Jesus said, using an illustration</w:t>
      </w:r>
    </w:p>
    <w:p>
      <w:pPr/>
      <w:r>
        <w:rPr>
          <w:lang w:val="en_US" w:bidi="en_US"/>
        </w:rPr>
      </w:r>
      <w:r>
        <w:rPr>
          <w:b/>
          <w:lang w:val="en_US" w:bidi="en_US"/>
        </w:rPr>
        <w:t>I have come to ignite a fire on the earth:</w:t>
      </w:r>
      <w:r>
        <w:rPr>
          <w:lang w:val="en_US" w:bidi="en_US"/>
        </w:rPr>
        <w:t xml:space="preserve"> In this verse </w:t>
      </w:r>
      <w:r>
        <w:rPr>
          <w:i/>
          <w:lang w:val="en_US" w:bidi="en_US"/>
        </w:rPr>
        <w:t>fire</w:t>
      </w:r>
      <w:r>
        <w:rPr>
          <w:lang w:val="en_US" w:bidi="en_US"/>
        </w:rPr>
        <w:t xml:space="preserve"> is a complex metaphor. It may symbolize several things in this context:</w:t>
      </w:r>
    </w:p>
    <w:p>
      <w:pPr>
        <w:pStyle w:val="ListNumber"/>
        <w:numPr>
          <w:ilvl w:val="0"/>
          <w:numId w:val="247"/>
        </w:numPr>
        <w:spacing w:line="240" w:lineRule="auto"/>
        <w:ind w:left="720"/>
      </w:pPr>
      <w:r>
        <w:rPr>
          <w:lang w:val="en_US" w:bidi="en_US"/>
        </w:rPr>
      </w:r>
      <w:r>
        <w:rPr>
          <w:lang w:val="en_US" w:bidi="en_US"/>
        </w:rPr>
        <w:t xml:space="preserve">It may symbolize </w:t>
      </w:r>
      <w:r>
        <w:rPr>
          <w:u w:val="single"/>
          <w:lang w:val="en_US" w:bidi="en_US"/>
        </w:rPr>
        <w:t>judgment</w:t>
      </w:r>
      <w:r>
        <w:rPr>
          <w:lang w:val="en_US" w:bidi="en_US"/>
        </w:rPr>
        <w:t>. Jesus came to prepare people to face God’s judgment, and he himself was punished by God on behalf on those who would repent.</w:t>
      </w:r>
    </w:p>
    <w:p>
      <w:pPr>
        <w:pStyle w:val="ListNumber"/>
        <w:spacing w:line="240" w:lineRule="auto"/>
        <w:ind w:left="720"/>
      </w:pPr>
      <w:r>
        <w:rPr>
          <w:lang w:val="en_US" w:bidi="en_US"/>
        </w:rPr>
      </w:r>
      <w:r>
        <w:rPr>
          <w:lang w:val="en_US" w:bidi="en_US"/>
        </w:rPr>
        <w:t xml:space="preserve">It may symbolize </w:t>
      </w:r>
      <w:r>
        <w:rPr>
          <w:u w:val="single"/>
          <w:lang w:val="en_US" w:bidi="en_US"/>
        </w:rPr>
        <w:t>purification</w:t>
      </w:r>
      <w:r>
        <w:rPr>
          <w:lang w:val="en_US" w:bidi="en_US"/>
        </w:rPr>
        <w:t>. God would purify and remove evil from his people.</w:t>
      </w:r>
    </w:p>
    <w:p>
      <w:pPr>
        <w:pStyle w:val="ListNumber"/>
        <w:spacing w:line="240" w:lineRule="auto"/>
        <w:ind w:left="720"/>
      </w:pPr>
      <w:r>
        <w:rPr>
          <w:lang w:val="en_US" w:bidi="en_US"/>
        </w:rPr>
      </w:r>
      <w:r>
        <w:rPr>
          <w:lang w:val="en_US" w:bidi="en_US"/>
        </w:rPr>
        <w:t xml:space="preserve">It may symbolize </w:t>
      </w:r>
      <w:r>
        <w:rPr>
          <w:u w:val="single"/>
          <w:lang w:val="en_US" w:bidi="en_US"/>
        </w:rPr>
        <w:t>division</w:t>
      </w:r>
      <w:r>
        <w:rPr>
          <w:lang w:val="en_US" w:bidi="en_US"/>
        </w:rPr>
        <w:t>. Jesus came with a message that caused people to disagree with one another and separate from one another.</w:t>
      </w:r>
    </w:p>
    <w:p>
      <w:pPr/>
      <w:r>
        <w:rPr>
          <w:lang w:val="en_US" w:bidi="en_US"/>
        </w:rPr>
      </w:r>
      <w:r>
        <w:rPr>
          <w:lang w:val="en_US" w:bidi="en_US"/>
        </w:rPr>
        <w:t>In some languages people may not understand that Jesus was using fire in a figurative way. If that is true in your language, you may be able to keep the figure of fire by using a simile. For example:</w:t>
      </w:r>
    </w:p>
    <w:p>
      <w:pPr/>
      <w:r>
        <w:rPr>
          <w:lang w:val="en_US" w:bidi="en_US"/>
        </w:rPr>
      </w:r>
      <w:r>
        <w:rPr>
          <w:lang w:val="en_US" w:bidi="en_US"/>
        </w:rPr>
        <w:t>What I came to bring to the earth is like fire.</w:t>
      </w:r>
    </w:p>
    <w:p>
      <w:pPr>
        <w:pStyle w:val="ListBullet"/>
        <w:spacing w:line="240" w:lineRule="auto"/>
        <w:ind w:left="720"/>
      </w:pPr>
      <w:r>
        <w:rPr>
          <w:lang w:val="en_US" w:bidi="en_US"/>
        </w:rPr>
      </w:r>
      <w:r>
        <w:rPr>
          <w:lang w:val="en_US" w:bidi="en_US"/>
        </w:rPr>
        <w:t>In other languages, the meaning of fire in this context may not be understood. If that is true in your language, you may need to make the meaning more explicit. Try to use a general expression that could imply any of the meanings listed above. If that is not possible, use an expression that refers to judgment. For example:</w:t>
      </w:r>
      <w:r>
        <w:rPr>
          <w:lang w:val="en_US" w:bidi="en_US"/>
        </w:rPr>
        <w:t>I came to bring judgment like fire on the earth.</w:t>
      </w:r>
    </w:p>
    <w:p>
      <w:pPr>
        <w:pStyle w:val="ListBullet"/>
        <w:spacing w:line="240" w:lineRule="auto"/>
        <w:ind w:left="720"/>
      </w:pPr>
      <w:r>
        <w:rPr>
          <w:lang w:val="en_US" w:bidi="en_US"/>
        </w:rPr>
      </w:r>
      <w:r>
        <w:rPr>
          <w:lang w:val="en_US" w:bidi="en_US"/>
        </w:rPr>
        <w:t>If the meaning is still not clear, translate the meaning without the figure of speech. For example:</w:t>
      </w:r>
      <w:r>
        <w:rPr>
          <w:lang w:val="en_US" w:bidi="en_US"/>
        </w:rPr>
        <w:t>I came to bring judgment and division on the earth.</w:t>
      </w:r>
    </w:p>
    <w:p>
      <w:pPr/>
      <w:r>
        <w:rPr>
          <w:lang w:val="en_US" w:bidi="en_US"/>
        </w:rPr>
      </w:r>
      <w:r>
        <w:rPr>
          <w:lang w:val="en_US" w:bidi="en_US"/>
        </w:rPr>
        <w:t>You may also want to put the possible interpretations in a footnote.</w:t>
      </w:r>
      <w:r>
        <w:rPr>
          <w:lang w:val="en_US" w:bidi="en_US"/>
        </w:rPr>
        <w:t>A fourth interpretation is that fire symbolizes faith or spiritual enthusiasm. This interpretation does not fit the context as well as the other three interpretations.</w:t>
      </w:r>
      <w:r>
        <w:rPr>
          <w:lang w:val="en_US" w:bidi="en_US"/>
        </w:rPr>
        <w:t xml:space="preserve"> A possible footnote is:</w:t>
      </w:r>
    </w:p>
    <w:p>
      <w:pPr/>
      <w:r>
        <w:rPr>
          <w:lang w:val="en_US" w:bidi="en_US"/>
        </w:rPr>
      </w:r>
      <w:r>
        <w:rPr>
          <w:lang w:val="en_US" w:bidi="en_US"/>
        </w:rPr>
        <w:t>There are several ways to interpret “fire” in this verse: (1) Most scholars think it symbolizes God’s judgment on sin (as in Luke 3:16–17). This could refer to Jesus’ death on the cross or to the future judgment of unbelievers. (2) Other scholars think that it is a symbol of people being divided or in conflict. (3) Other scholars think that it is a symbol of God purifying people. It is probable that fire symbolizes more than one thing here.</w:t>
      </w:r>
    </w:p>
    <w:p>
      <w:pPr/>
      <w:r>
        <w:rPr>
          <w:lang w:val="en_US" w:bidi="en_US"/>
        </w:rPr>
      </w:r>
      <w:r>
        <w:rPr>
          <w:b/>
          <w:lang w:val="en_US" w:bidi="en_US"/>
        </w:rPr>
        <w:t>I have come to ignite:</w:t>
      </w:r>
      <w:r>
        <w:rPr>
          <w:lang w:val="en_US" w:bidi="en_US"/>
        </w:rPr>
        <w:t xml:space="preserve"> The phrase </w:t>
      </w:r>
      <w:r>
        <w:rPr>
          <w:i/>
          <w:lang w:val="en_US" w:bidi="en_US"/>
        </w:rPr>
        <w:t>I have come to ignite</w:t>
      </w:r>
      <w:r>
        <w:rPr>
          <w:lang w:val="en_US" w:bidi="en_US"/>
        </w:rPr>
        <w:t xml:space="preserve"> indicates purpose. In some languages it may be more natural to use an explicit purpose statement. For example:</w:t>
      </w:r>
    </w:p>
    <w:p>
      <w:pPr/>
      <w:r>
        <w:rPr>
          <w:lang w:val="en_US" w:bidi="en_US"/>
        </w:rPr>
      </w:r>
      <w:r>
        <w:rPr>
          <w:lang w:val="en_US" w:bidi="en_US"/>
        </w:rPr>
        <w:t xml:space="preserve">I came </w:t>
      </w:r>
      <w:r>
        <w:rPr>
          <w:lang w:val="en_US" w:bidi="en_US"/>
        </w:rPr>
        <w:t>to this earth</w:t>
      </w:r>
      <w:r>
        <w:rPr>
          <w:lang w:val="en_US" w:bidi="en_US"/>
        </w:rPr>
        <w:t xml:space="preserve"> in order to cause something like fire to burn </w:t>
      </w:r>
      <w:r>
        <w:rPr>
          <w:lang w:val="en_US" w:bidi="en_US"/>
        </w:rPr>
        <w:t>among people</w:t>
      </w:r>
      <w:r>
        <w:rPr>
          <w:lang w:val="en_US" w:bidi="en_US"/>
        </w:rPr>
        <w:t>.</w:t>
      </w:r>
    </w:p>
    <w:p>
      <w:pPr>
        <w:pStyle w:val="Heading5"/>
      </w:pPr>
      <w:r>
        <w:rPr>
          <w:lang w:val="en_US" w:bidi="en_US"/>
        </w:rPr>
        <w:t>12:49b</w:t>
      </w:r>
    </w:p>
    <w:p>
      <w:pPr/>
      <w:r>
        <w:rPr>
          <w:lang w:val="en_US" w:bidi="en_US"/>
        </w:rPr>
      </w:r>
      <w:r>
        <w:rPr>
          <w:b/>
          <w:lang w:val="en_US" w:bidi="en_US"/>
        </w:rPr>
        <w:t>and how I wish it were already kindled!</w:t>
      </w:r>
    </w:p>
    <w:p>
      <w:pPr>
        <w:pStyle w:val="ListBullet"/>
        <w:spacing w:line="240" w:lineRule="auto"/>
        <w:ind w:left="720"/>
      </w:pPr>
      <w:r>
        <w:rPr>
          <w:lang w:val="en_US" w:bidi="en_US"/>
        </w:rPr>
      </w:r>
      <w:r>
        <w:rPr>
          <w:lang w:val="en_US" w:bidi="en_US"/>
        </w:rPr>
        <w:t>And I very much wish that this fire had already started!</w:t>
      </w:r>
    </w:p>
    <w:p>
      <w:pPr>
        <w:pStyle w:val="ListBullet"/>
        <w:spacing w:line="240" w:lineRule="auto"/>
        <w:ind w:left="720"/>
      </w:pPr>
      <w:r>
        <w:rPr>
          <w:lang w:val="en_US" w:bidi="en_US"/>
        </w:rPr>
      </w:r>
      <w:r>
        <w:rPr>
          <w:lang w:val="en_US" w:bidi="en_US"/>
        </w:rPr>
        <w:t>and I wish it were already burning now!</w:t>
      </w:r>
    </w:p>
    <w:p>
      <w:pPr/>
      <w:r>
        <w:rPr>
          <w:lang w:val="en_US" w:bidi="en_US"/>
        </w:rPr>
      </w:r>
      <w:r>
        <w:rPr>
          <w:b/>
          <w:lang w:val="en_US" w:bidi="en_US"/>
        </w:rPr>
        <w:t>how I wish it were already kindled:</w:t>
      </w:r>
      <w:r>
        <w:rPr>
          <w:lang w:val="en_US" w:bidi="en_US"/>
        </w:rPr>
        <w:t xml:space="preserve"> The expression </w:t>
      </w:r>
      <w:r>
        <w:rPr>
          <w:i/>
          <w:lang w:val="en_US" w:bidi="en_US"/>
        </w:rPr>
        <w:t>how I wish it were already kindled</w:t>
      </w:r>
      <w:r>
        <w:rPr>
          <w:lang w:val="en_US" w:bidi="en_US"/>
        </w:rPr>
        <w:t xml:space="preserve"> means “I want very much for the fire to begin burning.” This implies that the fire had not yet begun. Another way to translate this is:</w:t>
      </w:r>
    </w:p>
    <w:p>
      <w:pPr/>
      <w:r>
        <w:rPr>
          <w:lang w:val="en_US" w:bidi="en_US"/>
        </w:rPr>
      </w:r>
      <w:r>
        <w:rPr>
          <w:lang w:val="en_US" w:bidi="en_US"/>
        </w:rPr>
        <w:t>and I wish it were already burning (NCV)</w:t>
      </w:r>
    </w:p>
    <w:p>
      <w:pPr/>
      <w:r>
        <w:rPr>
          <w:lang w:val="en_US" w:bidi="en_US"/>
        </w:rPr>
      </w:r>
      <w:r>
        <w:rPr>
          <w:lang w:val="en_US" w:bidi="en_US"/>
        </w:rPr>
        <w:t>If you made the meaning more explicit in 12:49a, you may need to do that here, as well. For example:</w:t>
      </w:r>
    </w:p>
    <w:p>
      <w:pPr/>
      <w:r>
        <w:rPr>
          <w:lang w:val="en_US" w:bidi="en_US"/>
        </w:rPr>
      </w:r>
      <w:r>
        <w:rPr>
          <w:lang w:val="en_US" w:bidi="en_US"/>
        </w:rPr>
        <w:t>and I wish that the judgment had already begun!</w:t>
      </w:r>
      <w:r>
        <w:rPr>
          <w:lang w:val="en_US" w:bidi="en_US"/>
        </w:rPr>
      </w:r>
      <w:r>
        <w:rPr>
          <w:lang w:val="en_US" w:bidi="en_US"/>
        </w:rPr>
      </w:r>
    </w:p>
    <w:p>
      <w:pPr/>
      <w:r>
        <w:rPr>
          <w:lang w:val="en_US" w:bidi="en_US"/>
        </w:rPr>
      </w:r>
    </w:p>
    <w:p>
      <w:pPr>
        <w:pStyle w:val="Heading2"/>
      </w:pPr>
      <w:r>
        <w:rPr>
          <w:lang w:val="en_US" w:bidi="en_US"/>
        </w:rPr>
        <w:t>Luke 12:50</w:t>
      </w:r>
      <w:r>
        <w:rPr>
          <w:lang w:val="en_US" w:bidi="en_US"/>
        </w:rPr>
      </w:r>
    </w:p>
    <w:p>
      <w:pPr>
        <w:pStyle w:val="Heading4"/>
      </w:pPr>
      <w:r>
        <w:rPr>
          <w:lang w:val="en_US" w:bidi="en_US"/>
        </w:rPr>
        <w:t>Section 12:49–53: Jesus’ message will cause divisions among people</w:t>
      </w:r>
    </w:p>
    <w:p>
      <w:pPr/>
      <w:r>
        <w:rPr>
          <w:lang w:val="en_US" w:bidi="en_US"/>
        </w:rPr>
      </w:r>
      <w:r>
        <w:rPr>
          <w:lang w:val="en_US" w:bidi="en_US"/>
        </w:rPr>
        <w:t>In this section Jesus was still talking to his disciples. He told them that a difficult time was coming. He warned them that in many families, some family members would follow him and some would not. This would cause family members to disagree and separate.</w:t>
      </w:r>
    </w:p>
    <w:p>
      <w:pPr/>
      <w:r>
        <w:rPr>
          <w:lang w:val="en_US" w:bidi="en_US"/>
        </w:rPr>
      </w:r>
      <w:r>
        <w:rPr>
          <w:lang w:val="en_US" w:bidi="en_US"/>
        </w:rPr>
        <w:t>Some other headings for this section are:</w:t>
      </w:r>
    </w:p>
    <w:p>
      <w:pPr/>
      <w:r>
        <w:rPr>
          <w:lang w:val="en_US" w:bidi="en_US"/>
        </w:rPr>
      </w:r>
      <w:r>
        <w:rPr>
          <w:lang w:val="en_US" w:bidi="en_US"/>
        </w:rPr>
        <w:t>Jesus Causes Division (NCV)</w:t>
      </w:r>
    </w:p>
    <w:p>
      <w:pPr/>
      <w:r>
        <w:rPr>
          <w:lang w:val="en_US" w:bidi="en_US"/>
        </w:rPr>
      </w:r>
      <w:r>
        <w:rPr>
          <w:lang w:val="en_US" w:bidi="en_US"/>
        </w:rPr>
        <w:t>Not Peace but Division (NIV)</w:t>
      </w:r>
    </w:p>
    <w:p>
      <w:pPr/>
      <w:r>
        <w:rPr>
          <w:lang w:val="en_US" w:bidi="en_US"/>
        </w:rPr>
      </w:r>
      <w:r>
        <w:rPr>
          <w:lang w:val="en_US" w:bidi="en_US"/>
        </w:rPr>
        <w:t>There is a parallel passage for this section in Matthew 10:34–36.</w:t>
      </w:r>
    </w:p>
    <w:p>
      <w:pPr>
        <w:pStyle w:val="Heading5"/>
      </w:pPr>
      <w:r>
        <w:rPr>
          <w:lang w:val="en_US" w:bidi="en_US"/>
        </w:rPr>
        <w:t>12:50a</w:t>
      </w:r>
    </w:p>
    <w:p>
      <w:pPr/>
      <w:r>
        <w:rPr>
          <w:lang w:val="en_US" w:bidi="en_US"/>
        </w:rPr>
      </w:r>
      <w:r>
        <w:rPr>
          <w:b/>
          <w:lang w:val="en_US" w:bidi="en_US"/>
        </w:rPr>
        <w:t>But I have a baptism to undergo,</w:t>
      </w:r>
    </w:p>
    <w:p>
      <w:pPr>
        <w:pStyle w:val="ListBullet"/>
        <w:spacing w:line="240" w:lineRule="auto"/>
        <w:ind w:left="720"/>
      </w:pPr>
      <w:r>
        <w:rPr>
          <w:lang w:val="en_US" w:bidi="en_US"/>
        </w:rPr>
      </w:r>
      <w:r>
        <w:rPr>
          <w:lang w:val="en_US" w:bidi="en_US"/>
        </w:rPr>
        <w:t xml:space="preserve">But </w:t>
      </w:r>
      <w:r>
        <w:rPr>
          <w:lang w:val="en_US" w:bidi="en_US"/>
        </w:rPr>
        <w:t>first</w:t>
      </w:r>
      <w:r>
        <w:rPr>
          <w:lang w:val="en_US" w:bidi="en_US"/>
        </w:rPr>
        <w:t xml:space="preserve"> I must be baptized </w:t>
      </w:r>
      <w:r>
        <w:rPr>
          <w:lang w:val="en_US" w:bidi="en_US"/>
        </w:rPr>
        <w:t>with suffering and death</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before that happens</w:t>
      </w:r>
      <w:r>
        <w:rPr>
          <w:lang w:val="en_US" w:bidi="en_US"/>
        </w:rPr>
        <w:t xml:space="preserve"> I must </w:t>
      </w:r>
      <w:r>
        <w:rPr>
          <w:lang w:val="en_US" w:bidi="en_US"/>
        </w:rPr>
        <w:t>suffer and die</w:t>
      </w:r>
      <w:r>
        <w:rPr>
          <w:lang w:val="en_US" w:bidi="en_US"/>
        </w:rPr>
        <w:t>,</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here introduces something that had to take place before the wish in the previous verse part could be fulfilled. It is not introducing a separate or contrasting idea.</w:t>
      </w:r>
    </w:p>
    <w:p>
      <w:pPr/>
      <w:r>
        <w:rPr>
          <w:lang w:val="en_US" w:bidi="en_US"/>
        </w:rPr>
      </w:r>
      <w:r>
        <w:rPr>
          <w:b/>
          <w:lang w:val="en_US" w:bidi="en_US"/>
        </w:rPr>
        <w:t>I have a baptism to undergo:</w:t>
      </w:r>
      <w:r>
        <w:rPr>
          <w:lang w:val="en_US" w:bidi="en_US"/>
        </w:rPr>
        <w:t xml:space="preserve"> The Greek clause that the BSB translates as </w:t>
      </w:r>
      <w:r>
        <w:rPr>
          <w:i/>
          <w:lang w:val="en_US" w:bidi="en_US"/>
        </w:rPr>
        <w:t>I have a baptism to undergo</w:t>
      </w:r>
      <w:r>
        <w:rPr>
          <w:lang w:val="en_US" w:bidi="en_US"/>
        </w:rPr>
        <w:t xml:space="preserve"> is literally “I have a baptism to be baptized with.” Some English versions, such as the RSV, translate it that way.</w:t>
      </w:r>
    </w:p>
    <w:p>
      <w:pPr/>
      <w:r>
        <w:rPr>
          <w:lang w:val="en_US" w:bidi="en_US"/>
        </w:rPr>
      </w:r>
      <w:r>
        <w:rPr>
          <w:lang w:val="en_US" w:bidi="en_US"/>
        </w:rPr>
        <w:t xml:space="preserve">In this context, Luke used the Greek word </w:t>
      </w:r>
      <w:r>
        <w:rPr>
          <w:i/>
          <w:lang w:val="en_US" w:bidi="en_US"/>
        </w:rPr>
        <w:t>baptism</w:t>
      </w:r>
      <w:r>
        <w:rPr>
          <w:lang w:val="en_US" w:bidi="en_US"/>
        </w:rPr>
        <w:t xml:space="preserve"> figuratively. It describes an experience that is overwhelming. In this context it refers to the terrible suffering that Jesus would endure. In some languages it may not be possible to use the same term that you used for </w:t>
      </w:r>
      <w:r>
        <w:rPr>
          <w:i/>
          <w:lang w:val="en_US" w:bidi="en_US"/>
        </w:rPr>
        <w:t>baptism</w:t>
      </w:r>
      <w:r>
        <w:rPr>
          <w:lang w:val="en_US" w:bidi="en_US"/>
        </w:rPr>
        <w:t xml:space="preserve"> in water. Here are some other ways to translate in this context:</w:t>
      </w:r>
    </w:p>
    <w:p>
      <w:pPr>
        <w:pStyle w:val="ListBullet"/>
        <w:spacing w:line="240" w:lineRule="auto"/>
        <w:ind w:left="720"/>
      </w:pPr>
      <w:r>
        <w:rPr>
          <w:lang w:val="en_US" w:bidi="en_US"/>
        </w:rPr>
      </w:r>
      <w:r>
        <w:rPr>
          <w:lang w:val="en_US" w:bidi="en_US"/>
        </w:rPr>
        <w:t xml:space="preserve">Use an expression that is similar to the one for </w:t>
      </w:r>
      <w:r>
        <w:rPr>
          <w:i/>
          <w:lang w:val="en_US" w:bidi="en_US"/>
        </w:rPr>
        <w:t>baptism</w:t>
      </w:r>
      <w:r>
        <w:rPr>
          <w:lang w:val="en_US" w:bidi="en_US"/>
        </w:rPr>
        <w:t xml:space="preserve"> but does not necessarily require water. For example:</w:t>
      </w:r>
      <w:r>
        <w:rPr>
          <w:lang w:val="en_US" w:bidi="en_US"/>
        </w:rPr>
        <w:t xml:space="preserve">I must endure a </w:t>
      </w:r>
      <w:r>
        <w:rPr>
          <w:u w:val="single"/>
          <w:lang w:val="en_US" w:bidi="en_US"/>
        </w:rPr>
        <w:t>purifying initiation</w:t>
      </w:r>
    </w:p>
    <w:p>
      <w:pPr>
        <w:pStyle w:val="ListBullet"/>
        <w:spacing w:line="240" w:lineRule="auto"/>
        <w:ind w:left="720"/>
      </w:pPr>
      <w:r>
        <w:rPr>
          <w:lang w:val="en_US" w:bidi="en_US"/>
        </w:rPr>
      </w:r>
      <w:r>
        <w:rPr>
          <w:lang w:val="en_US" w:bidi="en_US"/>
        </w:rPr>
        <w:t>Use an expression that is similar to the one you used for baptism but make the meaning explicit. For example:</w:t>
      </w:r>
      <w:r>
        <w:rPr>
          <w:lang w:val="en_US" w:bidi="en_US"/>
        </w:rPr>
        <w:t xml:space="preserve">I must endure a </w:t>
      </w:r>
      <w:r>
        <w:rPr>
          <w:u w:val="single"/>
          <w:lang w:val="en_US" w:bidi="en_US"/>
        </w:rPr>
        <w:t>purifying bath of suffering</w:t>
      </w:r>
      <w:r>
        <w:rPr>
          <w:lang w:val="en_US" w:bidi="en_US"/>
        </w:rPr>
        <w:t>I have a terrible baptism of suffering ahead of me (NLT)</w:t>
      </w:r>
    </w:p>
    <w:p>
      <w:pPr>
        <w:pStyle w:val="ListBullet"/>
        <w:spacing w:line="240" w:lineRule="auto"/>
        <w:ind w:left="720"/>
      </w:pPr>
      <w:r>
        <w:rPr>
          <w:lang w:val="en_US" w:bidi="en_US"/>
        </w:rPr>
      </w:r>
      <w:r>
        <w:rPr>
          <w:lang w:val="en_US" w:bidi="en_US"/>
        </w:rPr>
        <w:t>Translate the meaning without the figure of baptism. For example:</w:t>
      </w:r>
      <w:r>
        <w:rPr>
          <w:lang w:val="en_US" w:bidi="en_US"/>
        </w:rPr>
        <w:t xml:space="preserve">I must endure </w:t>
      </w:r>
      <w:r>
        <w:rPr>
          <w:u w:val="single"/>
          <w:lang w:val="en_US" w:bidi="en_US"/>
        </w:rPr>
        <w:t>overwhelming agony</w:t>
      </w:r>
      <w:r>
        <w:rPr>
          <w:lang w:val="en_US" w:bidi="en_US"/>
        </w:rPr>
        <w:t>I am going to be put to a hard test (CEV)</w:t>
      </w:r>
    </w:p>
    <w:p>
      <w:pPr/>
      <w:r>
        <w:rPr>
          <w:lang w:val="en_US" w:bidi="en_US"/>
        </w:rPr>
      </w:r>
      <w:r>
        <w:rPr>
          <w:lang w:val="en_US" w:bidi="en_US"/>
        </w:rPr>
        <w:t>See baptize, Meaning 2, in the Glossary.</w:t>
      </w:r>
    </w:p>
    <w:p>
      <w:pPr>
        <w:pStyle w:val="Heading5"/>
      </w:pPr>
      <w:r>
        <w:rPr>
          <w:lang w:val="en_US" w:bidi="en_US"/>
        </w:rPr>
        <w:t>12:50b</w:t>
      </w:r>
    </w:p>
    <w:p>
      <w:pPr/>
      <w:r>
        <w:rPr>
          <w:lang w:val="en_US" w:bidi="en_US"/>
        </w:rPr>
      </w:r>
      <w:r>
        <w:rPr>
          <w:b/>
          <w:lang w:val="en_US" w:bidi="en_US"/>
        </w:rPr>
        <w:t>and how distressed I am until it is accomplished!</w:t>
      </w:r>
    </w:p>
    <w:p>
      <w:pPr>
        <w:pStyle w:val="ListBullet"/>
        <w:spacing w:line="240" w:lineRule="auto"/>
        <w:ind w:left="720"/>
      </w:pPr>
      <w:r>
        <w:rPr>
          <w:lang w:val="en_US" w:bidi="en_US"/>
        </w:rPr>
      </w:r>
      <w:r>
        <w:rPr>
          <w:lang w:val="en_US" w:bidi="en_US"/>
        </w:rPr>
        <w:t>and I feel extreme pressure/stress until that is finished!</w:t>
      </w:r>
    </w:p>
    <w:p>
      <w:pPr>
        <w:pStyle w:val="ListBullet"/>
        <w:spacing w:line="240" w:lineRule="auto"/>
        <w:ind w:left="720"/>
      </w:pPr>
      <w:r>
        <w:rPr>
          <w:lang w:val="en_US" w:bidi="en_US"/>
        </w:rPr>
      </w:r>
      <w:r>
        <w:rPr>
          <w:lang w:val="en_US" w:bidi="en_US"/>
        </w:rPr>
        <w:t>and I am very troubled/burdened until that has happened!</w:t>
      </w:r>
    </w:p>
    <w:p>
      <w:pPr/>
      <w:r>
        <w:rPr>
          <w:lang w:val="en_US" w:bidi="en_US"/>
        </w:rPr>
      </w:r>
      <w:r>
        <w:rPr>
          <w:b/>
          <w:lang w:val="en_US" w:bidi="en_US"/>
        </w:rPr>
        <w:t>how distressed I am:</w:t>
      </w:r>
      <w:r>
        <w:rPr>
          <w:lang w:val="en_US" w:bidi="en_US"/>
        </w:rPr>
        <w:t xml:space="preserve"> The phrase </w:t>
      </w:r>
      <w:r>
        <w:rPr>
          <w:i/>
          <w:lang w:val="en_US" w:bidi="en_US"/>
        </w:rPr>
        <w:t>how distressed I am</w:t>
      </w:r>
      <w:r>
        <w:rPr>
          <w:lang w:val="en_US" w:bidi="en_US"/>
        </w:rPr>
        <w:t xml:space="preserve"> expresses the mental and emotional stress/pressure and suffering that Jesus felt as he thought about his coming death on the cross. Other ways to translate this clause are:</w:t>
      </w:r>
    </w:p>
    <w:p>
      <w:pPr/>
      <w:r>
        <w:rPr>
          <w:lang w:val="en_US" w:bidi="en_US"/>
        </w:rPr>
      </w:r>
      <w:r>
        <w:rPr>
          <w:lang w:val="en_US" w:bidi="en_US"/>
        </w:rPr>
        <w:t>I feel very troubled (NCV)</w:t>
      </w:r>
    </w:p>
    <w:p>
      <w:pPr/>
      <w:r>
        <w:rPr>
          <w:lang w:val="en_US" w:bidi="en_US"/>
        </w:rPr>
      </w:r>
      <w:r>
        <w:rPr>
          <w:lang w:val="en_US" w:bidi="en_US"/>
        </w:rPr>
        <w:t>what stress I am under (NRSV)</w:t>
      </w:r>
      <w:r>
        <w:rPr>
          <w:lang w:val="en_US" w:bidi="en_US"/>
        </w:rPr>
      </w:r>
      <w:r>
        <w:rPr>
          <w:lang w:val="en_US" w:bidi="en_US"/>
        </w:rPr>
      </w:r>
    </w:p>
    <w:p>
      <w:pPr/>
      <w:r>
        <w:rPr>
          <w:lang w:val="en_US" w:bidi="en_US"/>
        </w:rPr>
      </w:r>
    </w:p>
    <w:p>
      <w:pPr>
        <w:pStyle w:val="Heading2"/>
      </w:pPr>
      <w:r>
        <w:rPr>
          <w:lang w:val="en_US" w:bidi="en_US"/>
        </w:rPr>
        <w:t>Luke 12:51</w:t>
      </w:r>
      <w:r>
        <w:rPr>
          <w:lang w:val="en_US" w:bidi="en_US"/>
        </w:rPr>
      </w:r>
    </w:p>
    <w:p>
      <w:pPr>
        <w:pStyle w:val="Heading4"/>
      </w:pPr>
      <w:r>
        <w:rPr>
          <w:lang w:val="en_US" w:bidi="en_US"/>
        </w:rPr>
        <w:t>Section 12:49–53: Jesus’ message will cause divisions among people</w:t>
      </w:r>
    </w:p>
    <w:p>
      <w:pPr/>
      <w:r>
        <w:rPr>
          <w:lang w:val="en_US" w:bidi="en_US"/>
        </w:rPr>
      </w:r>
      <w:r>
        <w:rPr>
          <w:lang w:val="en_US" w:bidi="en_US"/>
        </w:rPr>
        <w:t>In this section Jesus was still talking to his disciples. He told them that a difficult time was coming. He warned them that in many families, some family members would follow him and some would not. This would cause family members to disagree and separate.</w:t>
      </w:r>
    </w:p>
    <w:p>
      <w:pPr/>
      <w:r>
        <w:rPr>
          <w:lang w:val="en_US" w:bidi="en_US"/>
        </w:rPr>
      </w:r>
      <w:r>
        <w:rPr>
          <w:lang w:val="en_US" w:bidi="en_US"/>
        </w:rPr>
        <w:t>Some other headings for this section are:</w:t>
      </w:r>
    </w:p>
    <w:p>
      <w:pPr/>
      <w:r>
        <w:rPr>
          <w:lang w:val="en_US" w:bidi="en_US"/>
        </w:rPr>
      </w:r>
      <w:r>
        <w:rPr>
          <w:lang w:val="en_US" w:bidi="en_US"/>
        </w:rPr>
        <w:t>Jesus Causes Division (NCV)</w:t>
      </w:r>
    </w:p>
    <w:p>
      <w:pPr/>
      <w:r>
        <w:rPr>
          <w:lang w:val="en_US" w:bidi="en_US"/>
        </w:rPr>
      </w:r>
      <w:r>
        <w:rPr>
          <w:lang w:val="en_US" w:bidi="en_US"/>
        </w:rPr>
        <w:t>Not Peace but Division (NIV)</w:t>
      </w:r>
    </w:p>
    <w:p>
      <w:pPr/>
      <w:r>
        <w:rPr>
          <w:lang w:val="en_US" w:bidi="en_US"/>
        </w:rPr>
      </w:r>
      <w:r>
        <w:rPr>
          <w:lang w:val="en_US" w:bidi="en_US"/>
        </w:rPr>
        <w:t>There is a parallel passage for this section in Matthew 10:34–36.</w:t>
      </w:r>
    </w:p>
    <w:p>
      <w:pPr>
        <w:pStyle w:val="Heading5"/>
      </w:pPr>
      <w:r>
        <w:rPr>
          <w:lang w:val="en_US" w:bidi="en_US"/>
        </w:rPr>
        <w:t>12:51a</w:t>
      </w:r>
    </w:p>
    <w:p>
      <w:pPr/>
      <w:r>
        <w:rPr>
          <w:lang w:val="en_US" w:bidi="en_US"/>
        </w:rPr>
      </w:r>
      <w:r>
        <w:rPr>
          <w:b/>
          <w:lang w:val="en_US" w:bidi="en_US"/>
        </w:rPr>
        <w:t>Do you think that I have come to bring peace to the earth?</w:t>
      </w:r>
    </w:p>
    <w:p>
      <w:pPr>
        <w:pStyle w:val="ListBullet"/>
        <w:spacing w:line="240" w:lineRule="auto"/>
        <w:ind w:left="720"/>
      </w:pPr>
      <w:r>
        <w:rPr>
          <w:lang w:val="en_US" w:bidi="en_US"/>
        </w:rPr>
      </w:r>
      <w:r>
        <w:rPr>
          <w:lang w:val="en_US" w:bidi="en_US"/>
        </w:rPr>
        <w:t>Do you</w:t>
      </w:r>
      <w:r>
        <w:rPr>
          <w:vertAlign w:val="superscript"/>
          <w:lang w:val="en_US" w:bidi="en_US"/>
        </w:rPr>
        <w:t>(plur)</w:t>
      </w:r>
      <w:r>
        <w:rPr>
          <w:lang w:val="en_US" w:bidi="en_US"/>
        </w:rPr>
        <w:t xml:space="preserve"> think that I have come </w:t>
      </w:r>
      <w:r>
        <w:rPr>
          <w:lang w:val="en_US" w:bidi="en_US"/>
        </w:rPr>
        <w:t>to earth</w:t>
      </w:r>
      <w:r>
        <w:rPr>
          <w:lang w:val="en_US" w:bidi="en_US"/>
        </w:rPr>
        <w:t xml:space="preserve"> to bring peace/harmony to </w:t>
      </w:r>
      <w:r>
        <w:rPr>
          <w:lang w:val="en_US" w:bidi="en_US"/>
        </w:rPr>
        <w:t>the people of</w:t>
      </w:r>
      <w:r>
        <w:rPr>
          <w:lang w:val="en_US" w:bidi="en_US"/>
        </w:rPr>
        <w:t xml:space="preserve"> the earth?</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not think that I came to earth to cause everyone to get along well together!</w:t>
      </w:r>
    </w:p>
    <w:p>
      <w:pPr/>
      <w:r>
        <w:rPr>
          <w:lang w:val="en_US" w:bidi="en_US"/>
        </w:rPr>
      </w:r>
      <w:r>
        <w:rPr>
          <w:b/>
          <w:lang w:val="en_US" w:bidi="en_US"/>
        </w:rPr>
        <w:t>Do you think that I have come to bring peace to the earth?:</w:t>
      </w:r>
      <w:r>
        <w:rPr>
          <w:lang w:val="en_US" w:bidi="en_US"/>
        </w:rPr>
        <w:t xml:space="preserve"> This is a rhetorical question. Jesus knew that many people were thinking that he had come to bring peace on earth, but they were wrong. He used the question to emphasize that he had not come to bring peace on the earth.</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Do you think that I came to bring peace to earth? (CEV)</w:t>
      </w:r>
    </w:p>
    <w:p>
      <w:pPr>
        <w:pStyle w:val="ListBullet"/>
        <w:spacing w:line="240" w:lineRule="auto"/>
        <w:ind w:left="720"/>
      </w:pPr>
      <w:r>
        <w:rPr>
          <w:lang w:val="en_US" w:bidi="en_US"/>
        </w:rPr>
      </w:r>
      <w:r>
        <w:rPr>
          <w:lang w:val="en_US" w:bidi="en_US"/>
        </w:rPr>
        <w:t>As a statement. For example:</w:t>
      </w:r>
      <w:r>
        <w:rPr>
          <w:lang w:val="en_US" w:bidi="en_US"/>
        </w:rPr>
        <w:t>You should not think that I have come to bring peace to the earth.</w:t>
      </w:r>
      <w:r>
        <w:rPr>
          <w:lang w:val="en_US" w:bidi="en_US"/>
        </w:rPr>
        <w:t>Do not think that my coming to earth will bring peace among people.</w:t>
      </w:r>
    </w:p>
    <w:p>
      <w:pPr/>
      <w:r>
        <w:rPr>
          <w:lang w:val="en_US" w:bidi="en_US"/>
        </w:rPr>
      </w:r>
      <w:r>
        <w:rPr>
          <w:lang w:val="en_US" w:bidi="en_US"/>
        </w:rPr>
        <w:t>Translate this emphasis in a way that is natural in your language.</w:t>
      </w:r>
    </w:p>
    <w:p>
      <w:pPr/>
      <w:r>
        <w:rPr>
          <w:lang w:val="en_US" w:bidi="en_US"/>
        </w:rPr>
      </w:r>
      <w:r>
        <w:rPr>
          <w:b/>
          <w:lang w:val="en_US" w:bidi="en_US"/>
        </w:rPr>
        <w:t>peace:</w:t>
      </w:r>
      <w:r>
        <w:rPr>
          <w:lang w:val="en_US" w:bidi="en_US"/>
        </w:rPr>
        <w:t xml:space="preserve"> In this context, the word </w:t>
      </w:r>
      <w:r>
        <w:rPr>
          <w:i/>
          <w:lang w:val="en_US" w:bidi="en_US"/>
        </w:rPr>
        <w:t>peace</w:t>
      </w:r>
      <w:r>
        <w:rPr>
          <w:lang w:val="en_US" w:bidi="en_US"/>
        </w:rPr>
        <w:t xml:space="preserve"> refers to an absence of war or conflict.</w:t>
      </w:r>
    </w:p>
    <w:p>
      <w:pPr/>
      <w:r>
        <w:rPr>
          <w:lang w:val="en_US" w:bidi="en_US"/>
        </w:rPr>
      </w:r>
      <w:r>
        <w:rPr>
          <w:lang w:val="en_US" w:bidi="en_US"/>
        </w:rPr>
        <w:t>See peace, Meaning 3, in the Glossary.</w:t>
      </w:r>
    </w:p>
    <w:p>
      <w:pPr>
        <w:pStyle w:val="Heading5"/>
      </w:pPr>
      <w:r>
        <w:rPr>
          <w:lang w:val="en_US" w:bidi="en_US"/>
        </w:rPr>
        <w:t>12:51b</w:t>
      </w:r>
    </w:p>
    <w:p>
      <w:pPr/>
      <w:r>
        <w:rPr>
          <w:lang w:val="en_US" w:bidi="en_US"/>
        </w:rPr>
      </w:r>
      <w:r>
        <w:rPr>
          <w:b/>
          <w:lang w:val="en_US" w:bidi="en_US"/>
        </w:rPr>
        <w:t>No, I tell you, but division.</w:t>
      </w:r>
    </w:p>
    <w:p>
      <w:pPr>
        <w:pStyle w:val="ListBullet"/>
        <w:spacing w:line="240" w:lineRule="auto"/>
        <w:ind w:left="720"/>
      </w:pPr>
      <w:r>
        <w:rPr>
          <w:lang w:val="en_US" w:bidi="en_US"/>
        </w:rPr>
      </w:r>
      <w:r>
        <w:rPr>
          <w:lang w:val="en_US" w:bidi="en_US"/>
        </w:rPr>
        <w:t>Certainly not! I came to cause people to separate from one another.</w:t>
      </w:r>
    </w:p>
    <w:p>
      <w:pPr>
        <w:pStyle w:val="ListBullet"/>
        <w:spacing w:line="240" w:lineRule="auto"/>
        <w:ind w:left="720"/>
      </w:pPr>
      <w:r>
        <w:rPr>
          <w:lang w:val="en_US" w:bidi="en_US"/>
        </w:rPr>
      </w:r>
      <w:r>
        <w:rPr>
          <w:lang w:val="en_US" w:bidi="en_US"/>
        </w:rPr>
        <w:t>No! I assure you</w:t>
      </w:r>
      <w:r>
        <w:rPr>
          <w:vertAlign w:val="superscript"/>
          <w:lang w:val="en_US" w:bidi="en_US"/>
        </w:rPr>
        <w:t>(plur)</w:t>
      </w:r>
      <w:r>
        <w:rPr>
          <w:lang w:val="en_US" w:bidi="en_US"/>
        </w:rPr>
        <w:t xml:space="preserve"> that people will disagree with one another </w:t>
      </w:r>
      <w:r>
        <w:rPr>
          <w:lang w:val="en_US" w:bidi="en_US"/>
        </w:rPr>
        <w:t>because of me</w:t>
      </w:r>
      <w:r>
        <w:rPr>
          <w:lang w:val="en_US" w:bidi="en_US"/>
        </w:rPr>
        <w:t>.</w:t>
      </w:r>
    </w:p>
    <w:p>
      <w:pPr/>
      <w:r>
        <w:rPr>
          <w:lang w:val="en_US" w:bidi="en_US"/>
        </w:rPr>
      </w:r>
      <w:r>
        <w:rPr>
          <w:b/>
          <w:lang w:val="en_US" w:bidi="en_US"/>
        </w:rPr>
        <w:t>No, I tell you:</w:t>
      </w:r>
      <w:r>
        <w:rPr>
          <w:lang w:val="en_US" w:bidi="en_US"/>
        </w:rPr>
        <w:t xml:space="preserve"> The word </w:t>
      </w:r>
      <w:r>
        <w:rPr>
          <w:i/>
          <w:lang w:val="en_US" w:bidi="en_US"/>
        </w:rPr>
        <w:t>No</w:t>
      </w:r>
      <w:r>
        <w:rPr>
          <w:lang w:val="en_US" w:bidi="en_US"/>
        </w:rPr>
        <w:t xml:space="preserve"> is the explicit answer to the rhetorical question in 12:51a. Jesus was denying that he came to bring peace. In some languages it may not be natural for Jesus to answer his own question with “no.” Consider how to express the denial in a natural way in your language.</w:t>
      </w:r>
    </w:p>
    <w:p>
      <w:pPr/>
      <w:r>
        <w:rPr>
          <w:lang w:val="en_US" w:bidi="en_US"/>
        </w:rPr>
      </w:r>
      <w:r>
        <w:rPr>
          <w:lang w:val="en_US" w:bidi="en_US"/>
        </w:rPr>
        <w:t xml:space="preserve">The phrase </w:t>
      </w:r>
      <w:r>
        <w:rPr>
          <w:i/>
          <w:lang w:val="en_US" w:bidi="en_US"/>
        </w:rPr>
        <w:t>I tell you</w:t>
      </w:r>
      <w:r>
        <w:rPr>
          <w:lang w:val="en_US" w:bidi="en_US"/>
        </w:rPr>
        <w:t xml:space="preserve"> adds emphasis to what Jesus was saying. For example:</w:t>
      </w:r>
    </w:p>
    <w:p>
      <w:pPr/>
      <w:r>
        <w:rPr>
          <w:lang w:val="en_US" w:bidi="en_US"/>
        </w:rPr>
      </w:r>
      <w:r>
        <w:rPr>
          <w:lang w:val="en_US" w:bidi="en_US"/>
        </w:rPr>
        <w:t>No indeed! (CEV)</w:t>
      </w:r>
    </w:p>
    <w:p>
      <w:pPr/>
      <w:r>
        <w:rPr>
          <w:lang w:val="en_US" w:bidi="en_US"/>
        </w:rPr>
      </w:r>
      <w:r>
        <w:rPr>
          <w:lang w:val="en_US" w:bidi="en_US"/>
        </w:rPr>
        <w:t>See the note on this phrase in 12:27c.</w:t>
      </w:r>
    </w:p>
    <w:p>
      <w:pPr/>
      <w:r>
        <w:rPr>
          <w:lang w:val="en_US" w:bidi="en_US"/>
        </w:rPr>
      </w:r>
      <w:r>
        <w:rPr>
          <w:lang w:val="en_US" w:bidi="en_US"/>
        </w:rPr>
        <w:t>In some languages, it may be natural to combine the answer with the next phrase. For example:</w:t>
      </w:r>
    </w:p>
    <w:p>
      <w:pPr/>
      <w:r>
        <w:rPr>
          <w:lang w:val="en_US" w:bidi="en_US"/>
        </w:rPr>
      </w:r>
      <w:r>
        <w:rPr>
          <w:lang w:val="en_US" w:bidi="en_US"/>
        </w:rPr>
        <w:t xml:space="preserve">I tell you that I did not come </w:t>
      </w:r>
      <w:r>
        <w:rPr>
          <w:lang w:val="en_US" w:bidi="en_US"/>
        </w:rPr>
        <w:t>to do that</w:t>
      </w:r>
      <w:r>
        <w:rPr>
          <w:lang w:val="en_US" w:bidi="en_US"/>
        </w:rPr>
        <w:t>.</w:t>
      </w:r>
    </w:p>
    <w:p>
      <w:pPr/>
      <w:r>
        <w:rPr>
          <w:lang w:val="en_US" w:bidi="en_US"/>
        </w:rPr>
      </w:r>
      <w:r>
        <w:rPr>
          <w:b/>
          <w:lang w:val="en_US" w:bidi="en_US"/>
        </w:rPr>
        <w:t>but division:</w:t>
      </w:r>
      <w:r>
        <w:rPr>
          <w:lang w:val="en_US" w:bidi="en_US"/>
        </w:rPr>
        <w:t xml:space="preserve"> The phrase </w:t>
      </w:r>
      <w:r>
        <w:rPr>
          <w:i/>
          <w:lang w:val="en_US" w:bidi="en_US"/>
        </w:rPr>
        <w:t>but division</w:t>
      </w:r>
      <w:r>
        <w:rPr>
          <w:lang w:val="en_US" w:bidi="en_US"/>
        </w:rPr>
        <w:t xml:space="preserve"> means “I have come to bring division rather than peace.” The word </w:t>
      </w:r>
      <w:r>
        <w:rPr>
          <w:i/>
          <w:lang w:val="en_US" w:bidi="en_US"/>
        </w:rPr>
        <w:t>division</w:t>
      </w:r>
      <w:r>
        <w:rPr>
          <w:lang w:val="en_US" w:bidi="en_US"/>
        </w:rPr>
        <w:t xml:space="preserve"> here means that people would be divided among themselves. Some would accept Jesus’ message and others would not. As a result, they would belong to separate groups, and they would oppose each other. Some other ways to translate </w:t>
      </w:r>
      <w:r>
        <w:rPr>
          <w:i/>
          <w:lang w:val="en_US" w:bidi="en_US"/>
        </w:rPr>
        <w:t>division</w:t>
      </w:r>
      <w:r>
        <w:rPr>
          <w:lang w:val="en_US" w:bidi="en_US"/>
        </w:rPr>
        <w:t xml:space="preserve"> are:</w:t>
      </w:r>
    </w:p>
    <w:p>
      <w:pPr/>
      <w:r>
        <w:rPr>
          <w:lang w:val="en_US" w:bidi="en_US"/>
        </w:rPr>
      </w:r>
      <w:r>
        <w:rPr>
          <w:lang w:val="en_US" w:bidi="en_US"/>
        </w:rPr>
        <w:t xml:space="preserve">instead, </w:t>
      </w:r>
      <w:r>
        <w:rPr>
          <w:lang w:val="en_US" w:bidi="en_US"/>
        </w:rPr>
        <w:t>I have come</w:t>
      </w:r>
      <w:r>
        <w:rPr>
          <w:lang w:val="en_US" w:bidi="en_US"/>
        </w:rPr>
        <w:t xml:space="preserve"> to divide/separate </w:t>
      </w:r>
      <w:r>
        <w:rPr>
          <w:lang w:val="en_US" w:bidi="en_US"/>
        </w:rPr>
        <w:t>people</w:t>
      </w:r>
    </w:p>
    <w:p>
      <w:pPr/>
      <w:r>
        <w:rPr>
          <w:lang w:val="en_US" w:bidi="en_US"/>
        </w:rPr>
      </w:r>
      <w:r>
        <w:rPr>
          <w:lang w:val="en_US" w:bidi="en_US"/>
        </w:rPr>
        <w:t>I came to make people choose sides (CEV)</w:t>
      </w:r>
      <w:r>
        <w:rPr>
          <w:lang w:val="en_US" w:bidi="en_US"/>
        </w:rPr>
      </w:r>
      <w:r>
        <w:rPr>
          <w:lang w:val="en_US" w:bidi="en_US"/>
        </w:rPr>
      </w:r>
    </w:p>
    <w:p>
      <w:pPr/>
      <w:r>
        <w:rPr>
          <w:lang w:val="en_US" w:bidi="en_US"/>
        </w:rPr>
      </w:r>
    </w:p>
    <w:p>
      <w:pPr>
        <w:pStyle w:val="Heading2"/>
      </w:pPr>
      <w:r>
        <w:rPr>
          <w:lang w:val="en_US" w:bidi="en_US"/>
        </w:rPr>
        <w:t>Luke 12:52</w:t>
      </w:r>
      <w:r>
        <w:rPr>
          <w:lang w:val="en_US" w:bidi="en_US"/>
        </w:rPr>
      </w:r>
    </w:p>
    <w:p>
      <w:pPr>
        <w:pStyle w:val="Heading4"/>
      </w:pPr>
      <w:r>
        <w:rPr>
          <w:lang w:val="en_US" w:bidi="en_US"/>
        </w:rPr>
        <w:t>Section 12:49–53: Jesus’ message will cause divisions among people</w:t>
      </w:r>
    </w:p>
    <w:p>
      <w:pPr/>
      <w:r>
        <w:rPr>
          <w:lang w:val="en_US" w:bidi="en_US"/>
        </w:rPr>
      </w:r>
      <w:r>
        <w:rPr>
          <w:lang w:val="en_US" w:bidi="en_US"/>
        </w:rPr>
        <w:t>In this section Jesus was still talking to his disciples. He told them that a difficult time was coming. He warned them that in many families, some family members would follow him and some would not. This would cause family members to disagree and separate.</w:t>
      </w:r>
    </w:p>
    <w:p>
      <w:pPr/>
      <w:r>
        <w:rPr>
          <w:lang w:val="en_US" w:bidi="en_US"/>
        </w:rPr>
      </w:r>
      <w:r>
        <w:rPr>
          <w:lang w:val="en_US" w:bidi="en_US"/>
        </w:rPr>
        <w:t>Some other headings for this section are:</w:t>
      </w:r>
    </w:p>
    <w:p>
      <w:pPr/>
      <w:r>
        <w:rPr>
          <w:lang w:val="en_US" w:bidi="en_US"/>
        </w:rPr>
      </w:r>
      <w:r>
        <w:rPr>
          <w:lang w:val="en_US" w:bidi="en_US"/>
        </w:rPr>
        <w:t>Jesus Causes Division (NCV)</w:t>
      </w:r>
    </w:p>
    <w:p>
      <w:pPr/>
      <w:r>
        <w:rPr>
          <w:lang w:val="en_US" w:bidi="en_US"/>
        </w:rPr>
      </w:r>
      <w:r>
        <w:rPr>
          <w:lang w:val="en_US" w:bidi="en_US"/>
        </w:rPr>
        <w:t>Not Peace but Division (NIV)</w:t>
      </w:r>
    </w:p>
    <w:p>
      <w:pPr/>
      <w:r>
        <w:rPr>
          <w:lang w:val="en_US" w:bidi="en_US"/>
        </w:rPr>
      </w:r>
      <w:r>
        <w:rPr>
          <w:lang w:val="en_US" w:bidi="en_US"/>
        </w:rPr>
        <w:t>There is a parallel passage for this section in Matthew 10:34–36.</w:t>
      </w:r>
    </w:p>
    <w:p>
      <w:pPr>
        <w:pStyle w:val="Heading5"/>
      </w:pPr>
      <w:r>
        <w:rPr>
          <w:lang w:val="en_US" w:bidi="en_US"/>
        </w:rPr>
        <w:t>12:52a</w:t>
      </w:r>
    </w:p>
    <w:p>
      <w:pPr/>
      <w:r>
        <w:rPr>
          <w:lang w:val="en_US" w:bidi="en_US"/>
        </w:rPr>
      </w:r>
      <w:r>
        <w:rPr>
          <w:b/>
          <w:lang w:val="en_US" w:bidi="en_US"/>
        </w:rPr>
        <w:t>From now on, five in one household will be divided,</w:t>
      </w:r>
    </w:p>
    <w:p>
      <w:pPr>
        <w:pStyle w:val="ListBullet"/>
        <w:spacing w:line="240" w:lineRule="auto"/>
        <w:ind w:left="720"/>
      </w:pPr>
      <w:r>
        <w:rPr>
          <w:lang w:val="en_US" w:bidi="en_US"/>
        </w:rPr>
      </w:r>
      <w:r>
        <w:rPr>
          <w:lang w:val="en_US" w:bidi="en_US"/>
        </w:rPr>
        <w:t xml:space="preserve">Starting at this time, a family of five, </w:t>
      </w:r>
      <w:r>
        <w:rPr>
          <w:lang w:val="en_US" w:bidi="en_US"/>
        </w:rPr>
        <w:t>for example,</w:t>
      </w:r>
      <w:r>
        <w:rPr>
          <w:lang w:val="en_US" w:bidi="en_US"/>
        </w:rPr>
        <w:t xml:space="preserve"> will argue with one another </w:t>
      </w:r>
      <w:r>
        <w:rPr>
          <w:lang w:val="en_US" w:bidi="en_US"/>
        </w:rPr>
        <w:t>because they think differently about me</w:t>
      </w:r>
      <w:r>
        <w:rPr>
          <w:lang w:val="en_US" w:bidi="en_US"/>
        </w:rPr>
        <w:t>.</w:t>
      </w:r>
    </w:p>
    <w:p>
      <w:pPr>
        <w:pStyle w:val="ListBullet"/>
        <w:spacing w:line="240" w:lineRule="auto"/>
        <w:ind w:left="720"/>
      </w:pPr>
      <w:r>
        <w:rPr>
          <w:lang w:val="en_US" w:bidi="en_US"/>
        </w:rPr>
      </w:r>
      <w:r>
        <w:rPr>
          <w:lang w:val="en_US" w:bidi="en_US"/>
        </w:rPr>
        <w:t>From now on, family members will take/choose sides in opposition to one another.</w:t>
      </w:r>
    </w:p>
    <w:p>
      <w:pPr/>
      <w:r>
        <w:rPr>
          <w:lang w:val="en_US" w:bidi="en_US"/>
        </w:rPr>
      </w:r>
      <w:r>
        <w:rPr>
          <w:b/>
          <w:lang w:val="en_US" w:bidi="en_US"/>
        </w:rPr>
        <w:t>From now on:</w:t>
      </w:r>
      <w:r>
        <w:rPr>
          <w:lang w:val="en_US" w:bidi="en_US"/>
        </w:rPr>
        <w:t xml:space="preserve"> The phrase </w:t>
      </w:r>
      <w:r>
        <w:rPr>
          <w:i/>
          <w:lang w:val="en_US" w:bidi="en_US"/>
        </w:rPr>
        <w:t>From now on</w:t>
      </w:r>
      <w:r>
        <w:rPr>
          <w:lang w:val="en_US" w:bidi="en_US"/>
        </w:rPr>
        <w:t xml:space="preserve"> means “starting now and continuing into the future.”</w:t>
      </w:r>
    </w:p>
    <w:p>
      <w:pPr/>
      <w:r>
        <w:rPr>
          <w:lang w:val="en_US" w:bidi="en_US"/>
        </w:rPr>
      </w:r>
      <w:r>
        <w:rPr>
          <w:b/>
          <w:lang w:val="en_US" w:bidi="en_US"/>
        </w:rPr>
        <w:t>five in one household:</w:t>
      </w:r>
      <w:r>
        <w:rPr>
          <w:lang w:val="en_US" w:bidi="en_US"/>
        </w:rPr>
        <w:t xml:space="preserve"> Jesus used the phrase </w:t>
      </w:r>
      <w:r>
        <w:rPr>
          <w:i/>
          <w:lang w:val="en_US" w:bidi="en_US"/>
        </w:rPr>
        <w:t>five in one household</w:t>
      </w:r>
      <w:r>
        <w:rPr>
          <w:lang w:val="en_US" w:bidi="en_US"/>
        </w:rPr>
        <w:t xml:space="preserve"> to give an example of people in a Jewish household. In 12:53 Jesus talked about </w:t>
      </w:r>
      <w:r>
        <w:rPr>
          <w:i/>
          <w:lang w:val="en_US" w:bidi="en_US"/>
        </w:rPr>
        <w:t>five</w:t>
      </w:r>
      <w:r>
        <w:rPr>
          <w:lang w:val="en_US" w:bidi="en_US"/>
        </w:rPr>
        <w:t xml:space="preserve"> related people: father, mother, son, daughter, and daughter-in-law (son’s wife).</w:t>
      </w:r>
    </w:p>
    <w:p>
      <w:pPr/>
      <w:r>
        <w:rPr>
          <w:lang w:val="en_US" w:bidi="en_US"/>
        </w:rPr>
      </w:r>
      <w:r>
        <w:rPr>
          <w:b/>
          <w:lang w:val="en_US" w:bidi="en_US"/>
        </w:rPr>
        <w:t>will be divided:</w:t>
      </w:r>
      <w:r>
        <w:rPr>
          <w:lang w:val="en_US" w:bidi="en_US"/>
        </w:rPr>
        <w:t xml:space="preserve"> In this context the phrase </w:t>
      </w:r>
      <w:r>
        <w:rPr>
          <w:i/>
          <w:lang w:val="en_US" w:bidi="en_US"/>
        </w:rPr>
        <w:t>will be divided</w:t>
      </w:r>
      <w:r>
        <w:rPr>
          <w:lang w:val="en_US" w:bidi="en_US"/>
        </w:rPr>
        <w:t xml:space="preserve"> indicates that the household was not unified. Some members of the household disagreed with other members about whether Jesus was the Messiah. The family members argued and were on opposite sides.</w:t>
      </w:r>
    </w:p>
    <w:p>
      <w:pPr/>
      <w:r>
        <w:rPr>
          <w:lang w:val="en_US" w:bidi="en_US"/>
        </w:rPr>
      </w:r>
      <w:r>
        <w:rPr>
          <w:lang w:val="en_US" w:bidi="en_US"/>
        </w:rPr>
        <w:t>Some ways to translate this verse part are:</w:t>
      </w:r>
    </w:p>
    <w:p>
      <w:pPr/>
      <w:r>
        <w:rPr>
          <w:lang w:val="en_US" w:bidi="en_US"/>
        </w:rPr>
      </w:r>
      <w:r>
        <w:rPr>
          <w:lang w:val="en_US" w:bidi="en_US"/>
        </w:rPr>
        <w:t>From now on, a family with five people will be divided (NCV)</w:t>
      </w:r>
    </w:p>
    <w:p>
      <w:pPr/>
      <w:r>
        <w:rPr>
          <w:lang w:val="en_US" w:bidi="en_US"/>
        </w:rPr>
      </w:r>
      <w:r>
        <w:rPr>
          <w:lang w:val="en_US" w:bidi="en_US"/>
        </w:rPr>
        <w:t>Starting from now, the members of a family will oppose one another</w:t>
      </w:r>
    </w:p>
    <w:p>
      <w:pPr/>
      <w:r>
        <w:rPr>
          <w:lang w:val="en_US" w:bidi="en_US"/>
        </w:rPr>
      </w:r>
      <w:r>
        <w:rPr>
          <w:lang w:val="en_US" w:bidi="en_US"/>
        </w:rPr>
        <w:t>Notice that in the last example, the number “five” has been left implicit, because it is clear from 12:52b.</w:t>
      </w:r>
    </w:p>
    <w:p>
      <w:pPr>
        <w:pStyle w:val="Heading5"/>
      </w:pPr>
      <w:r>
        <w:rPr>
          <w:lang w:val="en_US" w:bidi="en_US"/>
        </w:rPr>
        <w:t>12:52b</w:t>
      </w:r>
    </w:p>
    <w:p>
      <w:pPr/>
      <w:r>
        <w:rPr>
          <w:lang w:val="en_US" w:bidi="en_US"/>
        </w:rPr>
      </w:r>
      <w:r>
        <w:rPr>
          <w:b/>
          <w:lang w:val="en_US" w:bidi="en_US"/>
        </w:rPr>
        <w:t>three against two and two against three.</w:t>
      </w:r>
    </w:p>
    <w:p>
      <w:pPr>
        <w:pStyle w:val="ListBullet"/>
        <w:spacing w:line="240" w:lineRule="auto"/>
        <w:ind w:left="720"/>
      </w:pPr>
      <w:r>
        <w:rPr>
          <w:lang w:val="en_US" w:bidi="en_US"/>
        </w:rPr>
      </w:r>
      <w:r>
        <w:rPr>
          <w:lang w:val="en_US" w:bidi="en_US"/>
        </w:rPr>
        <w:t>Three of them will be on one side, and the other two will be on the other/opposite side.</w:t>
      </w:r>
    </w:p>
    <w:p>
      <w:pPr>
        <w:pStyle w:val="ListBullet"/>
        <w:spacing w:line="240" w:lineRule="auto"/>
        <w:ind w:left="720"/>
      </w:pPr>
      <w:r>
        <w:rPr>
          <w:lang w:val="en_US" w:bidi="en_US"/>
        </w:rPr>
      </w:r>
      <w:r>
        <w:rPr>
          <w:lang w:val="en_US" w:bidi="en_US"/>
        </w:rPr>
        <w:t>For example, there will be three who oppose the other two.</w:t>
      </w:r>
    </w:p>
    <w:p>
      <w:pPr/>
      <w:r>
        <w:rPr>
          <w:lang w:val="en_US" w:bidi="en_US"/>
        </w:rPr>
      </w:r>
      <w:r>
        <w:rPr>
          <w:b/>
          <w:lang w:val="en_US" w:bidi="en_US"/>
        </w:rPr>
        <w:t>three against two and two against three:</w:t>
      </w:r>
      <w:r>
        <w:rPr>
          <w:lang w:val="en_US" w:bidi="en_US"/>
        </w:rPr>
        <w:t xml:space="preserve"> The word </w:t>
      </w:r>
      <w:r>
        <w:rPr>
          <w:i/>
          <w:lang w:val="en_US" w:bidi="en_US"/>
        </w:rPr>
        <w:t>three</w:t>
      </w:r>
      <w:r>
        <w:rPr>
          <w:lang w:val="en_US" w:bidi="en_US"/>
        </w:rPr>
        <w:t xml:space="preserve"> refers here to three family members, and the word </w:t>
      </w:r>
      <w:r>
        <w:rPr>
          <w:i/>
          <w:lang w:val="en_US" w:bidi="en_US"/>
        </w:rPr>
        <w:t>two</w:t>
      </w:r>
      <w:r>
        <w:rPr>
          <w:lang w:val="en_US" w:bidi="en_US"/>
        </w:rPr>
        <w:t xml:space="preserve"> refers to the other two family members.</w:t>
      </w:r>
    </w:p>
    <w:p>
      <w:pPr/>
      <w:r>
        <w:rPr>
          <w:lang w:val="en_US" w:bidi="en_US"/>
        </w:rPr>
      </w:r>
      <w:r>
        <w:rPr>
          <w:lang w:val="en_US" w:bidi="en_US"/>
        </w:rPr>
        <w:t>In some languages it may not be natural to repeat the numbers in opposite order. If that is true in your language, you may simply mention the numbers once. For example:</w:t>
      </w:r>
    </w:p>
    <w:p>
      <w:pPr/>
      <w:r>
        <w:rPr>
          <w:lang w:val="en_US" w:bidi="en_US"/>
        </w:rPr>
      </w:r>
      <w:r>
        <w:rPr>
          <w:lang w:val="en_US" w:bidi="en_US"/>
        </w:rPr>
        <w:t>with two of them against the other three (CEV)</w:t>
      </w:r>
      <w:r>
        <w:rPr>
          <w:lang w:val="en_US" w:bidi="en_US"/>
        </w:rPr>
      </w:r>
      <w:r>
        <w:rPr>
          <w:lang w:val="en_US" w:bidi="en_US"/>
        </w:rPr>
      </w:r>
    </w:p>
    <w:p>
      <w:pPr/>
      <w:r>
        <w:rPr>
          <w:lang w:val="en_US" w:bidi="en_US"/>
        </w:rPr>
      </w:r>
    </w:p>
    <w:p>
      <w:pPr>
        <w:pStyle w:val="Heading2"/>
      </w:pPr>
      <w:r>
        <w:rPr>
          <w:lang w:val="en_US" w:bidi="en_US"/>
        </w:rPr>
        <w:t>Luke 12:53</w:t>
      </w:r>
      <w:r>
        <w:rPr>
          <w:lang w:val="en_US" w:bidi="en_US"/>
        </w:rPr>
      </w:r>
    </w:p>
    <w:p>
      <w:pPr>
        <w:pStyle w:val="Heading4"/>
      </w:pPr>
      <w:r>
        <w:rPr>
          <w:lang w:val="en_US" w:bidi="en_US"/>
        </w:rPr>
        <w:t>Section 12:49–53: Jesus’ message will cause divisions among people</w:t>
      </w:r>
    </w:p>
    <w:p>
      <w:pPr/>
      <w:r>
        <w:rPr>
          <w:lang w:val="en_US" w:bidi="en_US"/>
        </w:rPr>
      </w:r>
      <w:r>
        <w:rPr>
          <w:lang w:val="en_US" w:bidi="en_US"/>
        </w:rPr>
        <w:t>In this section Jesus was still talking to his disciples. He told them that a difficult time was coming. He warned them that in many families, some family members would follow him and some would not. This would cause family members to disagree and separate.</w:t>
      </w:r>
    </w:p>
    <w:p>
      <w:pPr/>
      <w:r>
        <w:rPr>
          <w:lang w:val="en_US" w:bidi="en_US"/>
        </w:rPr>
      </w:r>
      <w:r>
        <w:rPr>
          <w:lang w:val="en_US" w:bidi="en_US"/>
        </w:rPr>
        <w:t>Some other headings for this section are:</w:t>
      </w:r>
    </w:p>
    <w:p>
      <w:pPr/>
      <w:r>
        <w:rPr>
          <w:lang w:val="en_US" w:bidi="en_US"/>
        </w:rPr>
      </w:r>
      <w:r>
        <w:rPr>
          <w:lang w:val="en_US" w:bidi="en_US"/>
        </w:rPr>
        <w:t>Jesus Causes Division (NCV)</w:t>
      </w:r>
    </w:p>
    <w:p>
      <w:pPr/>
      <w:r>
        <w:rPr>
          <w:lang w:val="en_US" w:bidi="en_US"/>
        </w:rPr>
      </w:r>
      <w:r>
        <w:rPr>
          <w:lang w:val="en_US" w:bidi="en_US"/>
        </w:rPr>
        <w:t>Not Peace but Division (NIV)</w:t>
      </w:r>
    </w:p>
    <w:p>
      <w:pPr/>
      <w:r>
        <w:rPr>
          <w:lang w:val="en_US" w:bidi="en_US"/>
        </w:rPr>
      </w:r>
      <w:r>
        <w:rPr>
          <w:lang w:val="en_US" w:bidi="en_US"/>
        </w:rPr>
        <w:t>There is a parallel passage for this section in Matthew 10:34–36.</w:t>
      </w:r>
    </w:p>
    <w:p>
      <w:pPr>
        <w:pStyle w:val="Heading5"/>
      </w:pPr>
      <w:r>
        <w:rPr>
          <w:lang w:val="en_US" w:bidi="en_US"/>
        </w:rPr>
        <w:t>12:53a</w:t>
      </w:r>
    </w:p>
    <w:p>
      <w:pPr/>
      <w:r>
        <w:rPr>
          <w:lang w:val="en_US" w:bidi="en_US"/>
        </w:rPr>
      </w:r>
      <w:r>
        <w:rPr>
          <w:b/>
          <w:lang w:val="en_US" w:bidi="en_US"/>
        </w:rPr>
        <w:t>They will be divided, father against son and son against father,</w:t>
      </w:r>
    </w:p>
    <w:p>
      <w:pPr>
        <w:pStyle w:val="ListBullet"/>
        <w:spacing w:line="240" w:lineRule="auto"/>
        <w:ind w:left="720"/>
      </w:pPr>
      <w:r>
        <w:rPr>
          <w:lang w:val="en_US" w:bidi="en_US"/>
        </w:rPr>
      </w:r>
      <w:r>
        <w:rPr>
          <w:lang w:val="en_US" w:bidi="en_US"/>
        </w:rPr>
        <w:t>A father/man and his son will oppose each other.</w:t>
      </w:r>
    </w:p>
    <w:p>
      <w:pPr/>
      <w:r>
        <w:rPr>
          <w:lang w:val="en_US" w:bidi="en_US"/>
        </w:rPr>
      </w:r>
      <w:r>
        <w:rPr>
          <w:lang w:val="en_US" w:bidi="en_US"/>
        </w:rPr>
        <w:t>This verse implies that the son and his wife and the daughter would be against the father and mother.</w:t>
      </w:r>
    </w:p>
    <w:p>
      <w:pPr/>
      <w:r>
        <w:rPr>
          <w:lang w:val="en_US" w:bidi="en_US"/>
        </w:rPr>
      </w:r>
      <w:r>
        <w:rPr>
          <w:b/>
          <w:lang w:val="en_US" w:bidi="en_US"/>
        </w:rPr>
        <w:t>father against son and son against father:</w:t>
      </w:r>
      <w:r>
        <w:rPr>
          <w:lang w:val="en_US" w:bidi="en_US"/>
        </w:rPr>
        <w:t xml:space="preserve"> This phrase means that a man and his son would oppose one another because they thought differently about Jesus.</w:t>
      </w:r>
    </w:p>
    <w:p>
      <w:pPr>
        <w:pStyle w:val="Heading5"/>
      </w:pPr>
      <w:r>
        <w:rPr>
          <w:lang w:val="en_US" w:bidi="en_US"/>
        </w:rPr>
        <w:t>12:53b</w:t>
      </w:r>
    </w:p>
    <w:p>
      <w:pPr/>
      <w:r>
        <w:rPr>
          <w:lang w:val="en_US" w:bidi="en_US"/>
        </w:rPr>
      </w:r>
      <w:r>
        <w:rPr>
          <w:b/>
          <w:lang w:val="en_US" w:bidi="en_US"/>
        </w:rPr>
        <w:t>mother against daughter and daughter against mother,</w:t>
      </w:r>
    </w:p>
    <w:p>
      <w:pPr>
        <w:pStyle w:val="ListBullet"/>
        <w:spacing w:line="240" w:lineRule="auto"/>
        <w:ind w:left="720"/>
      </w:pPr>
      <w:r>
        <w:rPr>
          <w:lang w:val="en_US" w:bidi="en_US"/>
        </w:rPr>
      </w:r>
      <w:r>
        <w:rPr>
          <w:lang w:val="en_US" w:bidi="en_US"/>
        </w:rPr>
        <w:t xml:space="preserve">A mother/woman and her daughter will </w:t>
      </w:r>
      <w:r>
        <w:rPr>
          <w:lang w:val="en_US" w:bidi="en_US"/>
        </w:rPr>
        <w:t>also</w:t>
      </w:r>
      <w:r>
        <w:rPr>
          <w:lang w:val="en_US" w:bidi="en_US"/>
        </w:rPr>
        <w:t xml:space="preserve"> oppose each other.</w:t>
      </w:r>
    </w:p>
    <w:p>
      <w:pPr/>
      <w:r>
        <w:rPr>
          <w:lang w:val="en_US" w:bidi="en_US"/>
        </w:rPr>
      </w:r>
      <w:r>
        <w:rPr>
          <w:b/>
          <w:lang w:val="en_US" w:bidi="en_US"/>
        </w:rPr>
        <w:t>mother against daughter and daughter against mother:</w:t>
      </w:r>
      <w:r>
        <w:rPr>
          <w:lang w:val="en_US" w:bidi="en_US"/>
        </w:rPr>
        <w:t xml:space="preserve"> This phrase refers to the same kind of situation as in 12:53a. The women within a family, like the men, were divided about whether they would follow Jesus.</w:t>
      </w:r>
    </w:p>
    <w:p>
      <w:pPr>
        <w:pStyle w:val="Heading5"/>
      </w:pPr>
      <w:r>
        <w:rPr>
          <w:lang w:val="en_US" w:bidi="en_US"/>
        </w:rPr>
        <w:t>12:53c</w:t>
      </w:r>
    </w:p>
    <w:p>
      <w:pPr/>
      <w:r>
        <w:rPr>
          <w:lang w:val="en_US" w:bidi="en_US"/>
        </w:rPr>
      </w:r>
      <w:r>
        <w:rPr>
          <w:b/>
          <w:lang w:val="en_US" w:bidi="en_US"/>
        </w:rPr>
        <w:t>mother-in-law against daughter-in-law and daughter-in-law against mother-in-law.”</w:t>
      </w:r>
    </w:p>
    <w:p>
      <w:pPr>
        <w:pStyle w:val="ListBullet"/>
        <w:spacing w:line="240" w:lineRule="auto"/>
        <w:ind w:left="720"/>
      </w:pPr>
      <w:r>
        <w:rPr>
          <w:lang w:val="en_US" w:bidi="en_US"/>
        </w:rPr>
      </w:r>
      <w:r>
        <w:rPr>
          <w:lang w:val="en_US" w:bidi="en_US"/>
        </w:rPr>
        <w:t xml:space="preserve">And the mother/woman and her daughter-in-law, they will </w:t>
      </w:r>
      <w:r>
        <w:rPr>
          <w:lang w:val="en_US" w:bidi="en_US"/>
        </w:rPr>
        <w:t>also</w:t>
      </w:r>
      <w:r>
        <w:rPr>
          <w:lang w:val="en_US" w:bidi="en_US"/>
        </w:rPr>
        <w:t xml:space="preserve"> oppose each other </w:t>
      </w:r>
      <w:r>
        <w:rPr>
          <w:lang w:val="en_US" w:bidi="en_US"/>
        </w:rPr>
        <w:t>because of me</w:t>
      </w:r>
      <w:r>
        <w:rPr>
          <w:lang w:val="en_US" w:bidi="en_US"/>
        </w:rPr>
        <w:t>.”</w:t>
      </w:r>
    </w:p>
    <w:p>
      <w:pPr/>
      <w:r>
        <w:rPr>
          <w:lang w:val="en_US" w:bidi="en_US"/>
        </w:rPr>
      </w:r>
      <w:r>
        <w:rPr>
          <w:b/>
          <w:lang w:val="en_US" w:bidi="en_US"/>
        </w:rPr>
        <w:t>mother-in-law:</w:t>
      </w:r>
      <w:r>
        <w:rPr>
          <w:lang w:val="en_US" w:bidi="en_US"/>
        </w:rPr>
        <w:t xml:space="preserve"> A woman’s </w:t>
      </w:r>
      <w:r>
        <w:rPr>
          <w:i/>
          <w:lang w:val="en_US" w:bidi="en_US"/>
        </w:rPr>
        <w:t>mother-in-law</w:t>
      </w:r>
      <w:r>
        <w:rPr>
          <w:lang w:val="en_US" w:bidi="en_US"/>
        </w:rPr>
        <w:t xml:space="preserve"> is her husband’s mother. So this is the same mother mentioned in 12:53b. According to Jewish custom, a woman would normally greatly respect her mother-in-law.</w:t>
      </w:r>
    </w:p>
    <w:p>
      <w:pPr/>
      <w:r>
        <w:rPr>
          <w:lang w:val="en_US" w:bidi="en_US"/>
        </w:rPr>
      </w:r>
      <w:r>
        <w:rPr>
          <w:b/>
          <w:lang w:val="en_US" w:bidi="en_US"/>
        </w:rPr>
        <w:t>daughter-in-law:</w:t>
      </w:r>
      <w:r>
        <w:rPr>
          <w:lang w:val="en_US" w:bidi="en_US"/>
        </w:rPr>
        <w:t xml:space="preserve"> A woman’s daughter-in-law is her son’s wife.</w:t>
      </w:r>
    </w:p>
    <w:p>
      <w:pPr>
        <w:pStyle w:val="Heading6"/>
      </w:pPr>
      <w:r>
        <w:rPr>
          <w:b/>
          <w:lang w:val="en_US" w:bidi="en_US"/>
        </w:rPr>
        <w:t>General Comment on 12:53a–c</w:t>
      </w:r>
    </w:p>
    <w:p>
      <w:pPr/>
      <w:r>
        <w:rPr>
          <w:lang w:val="en_US" w:bidi="en_US"/>
        </w:rPr>
      </w:r>
      <w:r>
        <w:rPr>
          <w:lang w:val="en_US" w:bidi="en_US"/>
        </w:rPr>
        <w:t>Languages have different ways of referring to pairs of family members. For example, some languages have specific terms for father-son pairs, and other terms for mother-daughter pairs. Use natural kinship terms in your language as you express the mutual opposition that Jesus was talking about.</w:t>
      </w:r>
      <w:r>
        <w:rPr>
          <w:lang w:val="en_US" w:bidi="en_US"/>
        </w:rPr>
      </w:r>
      <w:r>
        <w:rPr>
          <w:lang w:val="en_US" w:bidi="en_US"/>
        </w:rPr>
      </w:r>
    </w:p>
    <w:p>
      <w:pPr/>
      <w:r>
        <w:rPr>
          <w:lang w:val="en_US" w:bidi="en_US"/>
        </w:rPr>
      </w:r>
    </w:p>
    <w:p>
      <w:pPr>
        <w:pStyle w:val="Heading2"/>
      </w:pPr>
      <w:r>
        <w:rPr>
          <w:lang w:val="en_US" w:bidi="en_US"/>
        </w:rPr>
        <w:t>Luke 12:54</w:t>
      </w:r>
      <w:r>
        <w:rPr>
          <w:lang w:val="en_US" w:bidi="en_US"/>
        </w:rPr>
      </w:r>
    </w:p>
    <w:p>
      <w:pPr>
        <w:pStyle w:val="Heading4"/>
      </w:pPr>
      <w:r>
        <w:rPr>
          <w:lang w:val="en_US" w:bidi="en_US"/>
        </w:rPr>
        <w:t>Section 12:54–59: Jesus told the people to prepare for what was about to happen</w:t>
      </w:r>
    </w:p>
    <w:p>
      <w:pPr/>
      <w:r>
        <w:rPr>
          <w:lang w:val="en_US" w:bidi="en_US"/>
        </w:rPr>
      </w:r>
      <w:r>
        <w:rPr>
          <w:lang w:val="en_US" w:bidi="en_US"/>
        </w:rPr>
        <w:t>In this section Jesus again spoke to the crowd. He first rebuked them because they understood signs that the weather was going to change, but they did not understand what God was about to do. They did not know what to expect from God by the things that they saw Jesus doing. What he taught, the miracles he did, and the things that were happening to him showed that God had sent him. The people should have known and believed that he was the Messiah, and that they needed to listen to him and repent of their sins (12:54–57). Jesus warned them about this by telling them a parable about a legal dispute. The parable showed that they should reconcile with God before the time of judgment arrived (12:58–59).</w:t>
      </w:r>
    </w:p>
    <w:p>
      <w:pPr/>
      <w:r>
        <w:rPr>
          <w:lang w:val="en_US" w:bidi="en_US"/>
        </w:rPr>
      </w:r>
      <w:r>
        <w:rPr>
          <w:lang w:val="en_US" w:bidi="en_US"/>
        </w:rPr>
        <w:t>Other possible headings for this section are:</w:t>
      </w:r>
    </w:p>
    <w:p>
      <w:pPr/>
      <w:r>
        <w:rPr>
          <w:lang w:val="en_US" w:bidi="en_US"/>
        </w:rPr>
      </w:r>
      <w:r>
        <w:rPr>
          <w:lang w:val="en_US" w:bidi="en_US"/>
        </w:rPr>
        <w:t>Understanding the Times (NCV)</w:t>
      </w:r>
    </w:p>
    <w:p>
      <w:pPr/>
      <w:r>
        <w:rPr>
          <w:lang w:val="en_US" w:bidi="en_US"/>
        </w:rPr>
      </w:r>
      <w:r>
        <w:rPr>
          <w:lang w:val="en_US" w:bidi="en_US"/>
        </w:rPr>
        <w:t>Discern What God Wants You to Do in These Days</w:t>
      </w:r>
    </w:p>
    <w:p>
      <w:pPr/>
      <w:r>
        <w:rPr>
          <w:lang w:val="en_US" w:bidi="en_US"/>
        </w:rPr>
      </w:r>
      <w:r>
        <w:rPr>
          <w:lang w:val="en_US" w:bidi="en_US"/>
        </w:rPr>
        <w:t>There is a parallel passage for 12:54–56 in Matthew 16:2–3. There is a parallel passage for 12:57–59 in Matthew 5:25–26.</w:t>
      </w:r>
    </w:p>
    <w:p>
      <w:pPr>
        <w:pStyle w:val="Heading5"/>
      </w:pPr>
      <w:r>
        <w:rPr>
          <w:lang w:val="en_US" w:bidi="en_US"/>
        </w:rPr>
        <w:t>12:54a</w:t>
      </w:r>
    </w:p>
    <w:p>
      <w:pPr/>
      <w:r>
        <w:rPr>
          <w:lang w:val="en_US" w:bidi="en_US"/>
        </w:rPr>
      </w:r>
      <w:r>
        <w:rPr>
          <w:b/>
          <w:lang w:val="en_US" w:bidi="en_US"/>
        </w:rPr>
        <w:t>Then Jesus said to the crowds, “As soon as you see a cloud rising in the west,</w:t>
      </w:r>
    </w:p>
    <w:p>
      <w:pPr>
        <w:pStyle w:val="ListBullet"/>
        <w:spacing w:line="240" w:lineRule="auto"/>
        <w:ind w:left="720"/>
      </w:pPr>
      <w:r>
        <w:rPr>
          <w:lang w:val="en_US" w:bidi="en_US"/>
        </w:rPr>
      </w:r>
      <w:r>
        <w:rPr>
          <w:lang w:val="en_US" w:bidi="en_US"/>
        </w:rPr>
        <w:t>¶ Then Jesus said to all the people, “When you</w:t>
      </w:r>
      <w:r>
        <w:rPr>
          <w:vertAlign w:val="superscript"/>
          <w:lang w:val="en_US" w:bidi="en_US"/>
        </w:rPr>
        <w:t>(plur)</w:t>
      </w:r>
      <w:r>
        <w:rPr>
          <w:lang w:val="en_US" w:bidi="en_US"/>
        </w:rPr>
        <w:t xml:space="preserve"> see </w:t>
      </w:r>
      <w:r>
        <w:rPr>
          <w:lang w:val="en_US" w:bidi="en_US"/>
        </w:rPr>
        <w:t>rain/dark</w:t>
      </w:r>
      <w:r>
        <w:rPr>
          <w:lang w:val="en_US" w:bidi="en_US"/>
        </w:rPr>
        <w:t xml:space="preserve"> clouds coming from </w:t>
      </w:r>
      <w:r>
        <w:rPr>
          <w:lang w:val="en_US" w:bidi="en_US"/>
        </w:rPr>
        <w:t>the sea in</w:t>
      </w:r>
      <w:r>
        <w:rPr>
          <w:lang w:val="en_US" w:bidi="en_US"/>
        </w:rPr>
        <w:t xml:space="preserve"> the west,</w:t>
      </w:r>
    </w:p>
    <w:p>
      <w:pPr>
        <w:pStyle w:val="ListBullet"/>
        <w:spacing w:line="240" w:lineRule="auto"/>
        <w:ind w:left="720"/>
      </w:pPr>
      <w:r>
        <w:rPr>
          <w:lang w:val="en_US" w:bidi="en_US"/>
        </w:rPr>
      </w:r>
      <w:r>
        <w:rPr>
          <w:lang w:val="en_US" w:bidi="en_US"/>
        </w:rPr>
        <w:t>¶ Then Jesus spoke to the crowd and said, “When you</w:t>
      </w:r>
      <w:r>
        <w:rPr>
          <w:vertAlign w:val="superscript"/>
          <w:lang w:val="en_US" w:bidi="en_US"/>
        </w:rPr>
        <w:t>(plur)</w:t>
      </w:r>
      <w:r>
        <w:rPr>
          <w:lang w:val="en_US" w:bidi="en_US"/>
        </w:rPr>
        <w:t xml:space="preserve"> see that the sky is getting cloudy toward the west,</w:t>
      </w:r>
    </w:p>
    <w:p>
      <w:pPr>
        <w:pStyle w:val="Heading5"/>
      </w:pPr>
      <w:r>
        <w:rPr>
          <w:lang w:val="en_US" w:bidi="en_US"/>
        </w:rPr>
        <w:t>12:54b</w:t>
      </w:r>
    </w:p>
    <w:p>
      <w:pPr/>
      <w:r>
        <w:rPr>
          <w:lang w:val="en_US" w:bidi="en_US"/>
        </w:rPr>
      </w:r>
      <w:r>
        <w:rPr>
          <w:b/>
          <w:lang w:val="en_US" w:bidi="en_US"/>
        </w:rPr>
        <w:t>you say, ‘A shower is coming,’ and that is what happens.</w:t>
      </w:r>
    </w:p>
    <w:p>
      <w:pPr>
        <w:pStyle w:val="ListBullet"/>
        <w:spacing w:line="240" w:lineRule="auto"/>
        <w:ind w:left="720"/>
      </w:pPr>
      <w:r>
        <w:rPr>
          <w:lang w:val="en_US" w:bidi="en_US"/>
        </w:rPr>
      </w:r>
      <w:r>
        <w:rPr>
          <w:lang w:val="en_US" w:bidi="en_US"/>
        </w:rPr>
        <w:t>right away you</w:t>
      </w:r>
      <w:r>
        <w:rPr>
          <w:vertAlign w:val="superscript"/>
          <w:lang w:val="en_US" w:bidi="en_US"/>
        </w:rPr>
        <w:t>(plur)</w:t>
      </w:r>
      <w:r>
        <w:rPr>
          <w:lang w:val="en_US" w:bidi="en_US"/>
        </w:rPr>
        <w:t xml:space="preserve"> say, ‘Rain is coming,’ and it truly comes/rains.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announce/predict without delay that it will rain/storm </w:t>
      </w:r>
      <w:r>
        <w:rPr>
          <w:lang w:val="en_US" w:bidi="en_US"/>
        </w:rPr>
        <w:t>soon</w:t>
      </w:r>
      <w:r>
        <w:rPr>
          <w:lang w:val="en_US" w:bidi="en_US"/>
        </w:rPr>
        <w:t>, and it comes true.</w:t>
      </w:r>
    </w:p>
    <w:p>
      <w:pPr>
        <w:pStyle w:val="Heading5"/>
      </w:pPr>
      <w:r>
        <w:rPr>
          <w:lang w:val="en_US" w:bidi="en_US"/>
        </w:rPr>
        <w:t>12:54a–b</w:t>
      </w:r>
    </w:p>
    <w:p>
      <w:pPr/>
      <w:r>
        <w:rPr>
          <w:lang w:val="en_US" w:bidi="en_US"/>
        </w:rPr>
      </w:r>
      <w:r>
        <w:rPr>
          <w:b/>
          <w:lang w:val="en_US" w:bidi="en_US"/>
        </w:rPr>
        <w:t>Then:</w:t>
      </w:r>
      <w:r>
        <w:rPr>
          <w:lang w:val="en_US" w:bidi="en_US"/>
        </w:rPr>
        <w:t xml:space="preserve"> This verse begins with a Greek conjunction. The BSB and some other versions (NCV, NLT) translate it as </w:t>
      </w:r>
      <w:r>
        <w:rPr>
          <w:i/>
          <w:lang w:val="en_US" w:bidi="en_US"/>
        </w:rPr>
        <w:t>Then</w:t>
      </w:r>
      <w:r>
        <w:rPr>
          <w:lang w:val="en_US" w:bidi="en_US"/>
        </w:rPr>
        <w:t xml:space="preserve"> in order to show that it introduces the next thing that happened in the story. Some other versions translate this conjunction as “And” (KJV, NASB), while still others do not translate it (CEV, ESV, NIV, NRSV). Introduce this next event in a natural way in your language.</w:t>
      </w:r>
    </w:p>
    <w:p>
      <w:pPr/>
      <w:r>
        <w:rPr>
          <w:lang w:val="en_US" w:bidi="en_US"/>
        </w:rPr>
      </w:r>
      <w:r>
        <w:rPr>
          <w:b/>
          <w:lang w:val="en_US" w:bidi="en_US"/>
        </w:rPr>
        <w:t>Jesus said to the crowds:</w:t>
      </w:r>
      <w:r>
        <w:rPr>
          <w:lang w:val="en_US" w:bidi="en_US"/>
        </w:rPr>
        <w:t xml:space="preserve"> In the preceding verses, Jesus was speaking mainly to his disciples. Here the Greek text indicates that Jesus began to speak to the whole crowd again. Some ways to indicate this in English are:</w:t>
      </w:r>
    </w:p>
    <w:p>
      <w:pPr/>
      <w:r>
        <w:rPr>
          <w:lang w:val="en_US" w:bidi="en_US"/>
        </w:rPr>
      </w:r>
      <w:r>
        <w:rPr>
          <w:lang w:val="en_US" w:bidi="en_US"/>
        </w:rPr>
        <w:t>Jesus said to all the people (CEV)</w:t>
      </w:r>
    </w:p>
    <w:p>
      <w:pPr/>
      <w:r>
        <w:rPr>
          <w:lang w:val="en_US" w:bidi="en_US"/>
        </w:rPr>
      </w:r>
      <w:r>
        <w:rPr>
          <w:lang w:val="en_US" w:bidi="en_US"/>
        </w:rPr>
        <w:t>Jesus turned to the crowd and said (NLT)</w:t>
      </w:r>
    </w:p>
    <w:p>
      <w:pPr/>
      <w:r>
        <w:rPr>
          <w:lang w:val="en_US" w:bidi="en_US"/>
        </w:rPr>
      </w:r>
      <w:r>
        <w:rPr>
          <w:lang w:val="en_US" w:bidi="en_US"/>
        </w:rPr>
        <w:t>Use a natural way in your language to make this clear.</w:t>
      </w:r>
    </w:p>
    <w:p>
      <w:pPr/>
      <w:r>
        <w:rPr>
          <w:lang w:val="en_US" w:bidi="en_US"/>
        </w:rPr>
      </w:r>
      <w:r>
        <w:rPr>
          <w:b/>
          <w:lang w:val="en_US" w:bidi="en_US"/>
        </w:rPr>
        <w:t>As soon as you see a cloud rising in the west, you say, ‘A shower is coming,’ and that is what happens:</w:t>
      </w:r>
      <w:r>
        <w:rPr>
          <w:lang w:val="en_US" w:bidi="en_US"/>
        </w:rPr>
        <w:t xml:space="preserve"> The rain in Israel comes from the west, from the Mediterranean Sea. So whenever people saw dark rain clouds forming in the west, they would say, “It is going to rain.” And, as they predicted, it would rain. So this verse explains a situation that happened regularly, at various times during the year.</w:t>
      </w:r>
    </w:p>
    <w:p>
      <w:pPr/>
      <w:r>
        <w:rPr>
          <w:lang w:val="en_US" w:bidi="en_US"/>
        </w:rPr>
      </w:r>
      <w:r>
        <w:rPr>
          <w:lang w:val="en_US" w:bidi="en_US"/>
        </w:rPr>
        <w:t>In some languages it may be helpful to make some of this information explicit in the text. For example:</w:t>
      </w:r>
    </w:p>
    <w:p>
      <w:pPr/>
      <w:r>
        <w:rPr>
          <w:lang w:val="en_US" w:bidi="en_US"/>
        </w:rPr>
      </w:r>
      <w:r>
        <w:rPr>
          <w:lang w:val="en_US" w:bidi="en_US"/>
        </w:rPr>
        <w:t xml:space="preserve">When you see </w:t>
      </w:r>
      <w:r>
        <w:rPr>
          <w:lang w:val="en_US" w:bidi="en_US"/>
        </w:rPr>
        <w:t>dark</w:t>
      </w:r>
      <w:r>
        <w:rPr>
          <w:lang w:val="en_US" w:bidi="en_US"/>
        </w:rPr>
        <w:t xml:space="preserve"> clouds coming </w:t>
      </w:r>
      <w:r>
        <w:rPr>
          <w:lang w:val="en_US" w:bidi="en_US"/>
        </w:rPr>
        <w:t>from the sea</w:t>
      </w:r>
      <w:r>
        <w:rPr>
          <w:lang w:val="en_US" w:bidi="en_US"/>
        </w:rPr>
        <w:t xml:space="preserve"> in the west (TRT)</w:t>
      </w:r>
    </w:p>
    <w:p>
      <w:pPr/>
      <w:r>
        <w:rPr>
          <w:lang w:val="en_US" w:bidi="en_US"/>
        </w:rPr>
      </w:r>
      <w:r>
        <w:rPr>
          <w:lang w:val="en_US" w:bidi="en_US"/>
        </w:rPr>
        <w:t>Be sure to use expressions that are natural in your language.</w:t>
      </w:r>
    </w:p>
    <w:p>
      <w:pPr/>
      <w:r>
        <w:rPr>
          <w:lang w:val="en_US" w:bidi="en_US"/>
        </w:rPr>
      </w:r>
      <w:r>
        <w:rPr>
          <w:lang w:val="en_US" w:bidi="en_US"/>
        </w:rPr>
        <w:t>In other languages, a footnote may be more appropriate. See the suggested footnote in the General Comment on 12:54–55 at the end of 12:55a–b.</w:t>
      </w:r>
    </w:p>
    <w:p>
      <w:pPr/>
      <w:r>
        <w:rPr>
          <w:lang w:val="en_US" w:bidi="en_US"/>
        </w:rPr>
      </w:r>
      <w:r>
        <w:rPr>
          <w:b/>
          <w:lang w:val="en_US" w:bidi="en_US"/>
        </w:rPr>
        <w:t>you say, ‘A shower is coming’:</w:t>
      </w:r>
      <w:r>
        <w:rPr>
          <w:lang w:val="en_US" w:bidi="en_US"/>
        </w:rPr>
        <w:t xml:space="preserve"> In this context the verb </w:t>
      </w:r>
      <w:r>
        <w:rPr>
          <w:i/>
          <w:lang w:val="en_US" w:bidi="en_US"/>
        </w:rPr>
        <w:t>say</w:t>
      </w:r>
      <w:r>
        <w:rPr>
          <w:lang w:val="en_US" w:bidi="en_US"/>
        </w:rPr>
        <w:t xml:space="preserve"> can also apply to a thought that people do not speak out loud. Use a natural verb in your language.</w:t>
      </w:r>
    </w:p>
    <w:p>
      <w:pPr/>
      <w:r>
        <w:rPr>
          <w:lang w:val="en_US" w:bidi="en_US"/>
        </w:rPr>
      </w:r>
      <w:r>
        <w:rPr>
          <w:lang w:val="en_US" w:bidi="en_US"/>
        </w:rPr>
        <w:t>In some languages it may be more natural to translate this quotation as indirect speech. For example:</w:t>
      </w:r>
    </w:p>
    <w:p>
      <w:pPr/>
      <w:r>
        <w:rPr>
          <w:lang w:val="en_US" w:bidi="en_US"/>
        </w:rPr>
      </w:r>
      <w:r>
        <w:rPr>
          <w:lang w:val="en_US" w:bidi="en_US"/>
        </w:rPr>
        <w:t>you predict immediately that it is going to rain</w:t>
      </w:r>
    </w:p>
    <w:p>
      <w:pPr/>
      <w:r>
        <w:rPr>
          <w:lang w:val="en_US" w:bidi="en_US"/>
        </w:rPr>
      </w:r>
      <w:r>
        <w:rPr>
          <w:b/>
          <w:lang w:val="en_US" w:bidi="en_US"/>
        </w:rPr>
        <w:t>A shower is coming:</w:t>
      </w:r>
      <w:r>
        <w:rPr>
          <w:lang w:val="en_US" w:bidi="en_US"/>
        </w:rPr>
        <w:t xml:space="preserve"> The phrase that the BSB translates as </w:t>
      </w:r>
      <w:r>
        <w:rPr>
          <w:i/>
          <w:lang w:val="en_US" w:bidi="en_US"/>
        </w:rPr>
        <w:t>A shower is coming</w:t>
      </w:r>
      <w:r>
        <w:rPr>
          <w:lang w:val="en_US" w:bidi="en_US"/>
        </w:rPr>
        <w:t xml:space="preserve"> means that a fairly lengthy, heavy, or violent rain will soon start. If you have a specific term for a rainstorm or thunderstorm in your language, you may use it here. You may also use a general term such as “rain.” For example:</w:t>
      </w:r>
    </w:p>
    <w:p>
      <w:pPr/>
      <w:r>
        <w:rPr>
          <w:lang w:val="en_US" w:bidi="en_US"/>
        </w:rPr>
      </w:r>
      <w:r>
        <w:rPr>
          <w:lang w:val="en_US" w:bidi="en_US"/>
        </w:rPr>
        <w:t>It’s going to rain (NIV)</w:t>
      </w:r>
    </w:p>
    <w:p>
      <w:pPr/>
      <w:r>
        <w:rPr>
          <w:lang w:val="en_US" w:bidi="en_US"/>
        </w:rPr>
      </w:r>
      <w:r>
        <w:rPr>
          <w:lang w:val="en_US" w:bidi="en_US"/>
        </w:rPr>
        <w:t>Some other ways to translate this expression are:</w:t>
      </w:r>
    </w:p>
    <w:p>
      <w:pPr/>
      <w:r>
        <w:rPr>
          <w:lang w:val="en_US" w:bidi="en_US"/>
        </w:rPr>
      </w:r>
      <w:r>
        <w:rPr>
          <w:lang w:val="en_US" w:bidi="en_US"/>
        </w:rPr>
        <w:t>a strong rain will soon arrive</w:t>
      </w:r>
    </w:p>
    <w:p>
      <w:pPr/>
      <w:r>
        <w:rPr>
          <w:lang w:val="en_US" w:bidi="en_US"/>
        </w:rPr>
      </w:r>
      <w:r>
        <w:rPr>
          <w:lang w:val="en_US" w:bidi="en_US"/>
        </w:rPr>
        <w:t>it will soon begin to storm</w:t>
      </w:r>
    </w:p>
    <w:p>
      <w:pPr/>
      <w:r>
        <w:rPr>
          <w:lang w:val="en_US" w:bidi="en_US"/>
        </w:rPr>
      </w:r>
      <w:r>
        <w:rPr>
          <w:b/>
          <w:lang w:val="en_US" w:bidi="en_US"/>
        </w:rPr>
        <w:t>and that is what happens:</w:t>
      </w:r>
      <w:r>
        <w:rPr>
          <w:lang w:val="en_US" w:bidi="en_US"/>
        </w:rPr>
        <w:t xml:space="preserve"> The clause </w:t>
      </w:r>
      <w:r>
        <w:rPr>
          <w:i/>
          <w:lang w:val="en_US" w:bidi="en_US"/>
        </w:rPr>
        <w:t>and that is what happens</w:t>
      </w:r>
      <w:r>
        <w:rPr>
          <w:lang w:val="en_US" w:bidi="en_US"/>
        </w:rPr>
        <w:t xml:space="preserve"> means “and it happens”; that is, it rains. If the expression you have used for “you say” in the previous phrase implies an accurate prediction, it may not be necessary to translate this clause explicitly.</w:t>
      </w:r>
      <w:r>
        <w:rPr>
          <w:lang w:val="en_US" w:bidi="en_US"/>
        </w:rPr>
      </w:r>
      <w:r>
        <w:rPr>
          <w:lang w:val="en_US" w:bidi="en_US"/>
        </w:rPr>
      </w:r>
    </w:p>
    <w:p>
      <w:pPr/>
      <w:r>
        <w:rPr>
          <w:lang w:val="en_US" w:bidi="en_US"/>
        </w:rPr>
      </w:r>
    </w:p>
    <w:p>
      <w:pPr>
        <w:pStyle w:val="Heading2"/>
      </w:pPr>
      <w:r>
        <w:rPr>
          <w:lang w:val="en_US" w:bidi="en_US"/>
        </w:rPr>
        <w:t>Luke 12:55</w:t>
      </w:r>
      <w:r>
        <w:rPr>
          <w:lang w:val="en_US" w:bidi="en_US"/>
        </w:rPr>
      </w:r>
    </w:p>
    <w:p>
      <w:pPr>
        <w:pStyle w:val="Heading4"/>
      </w:pPr>
      <w:r>
        <w:rPr>
          <w:lang w:val="en_US" w:bidi="en_US"/>
        </w:rPr>
        <w:t>Section 12:54–59: Jesus told the people to prepare for what was about to happen</w:t>
      </w:r>
    </w:p>
    <w:p>
      <w:pPr/>
      <w:r>
        <w:rPr>
          <w:lang w:val="en_US" w:bidi="en_US"/>
        </w:rPr>
      </w:r>
      <w:r>
        <w:rPr>
          <w:lang w:val="en_US" w:bidi="en_US"/>
        </w:rPr>
        <w:t>In this section Jesus again spoke to the crowd. He first rebuked them because they understood signs that the weather was going to change, but they did not understand what God was about to do. They did not know what to expect from God by the things that they saw Jesus doing. What he taught, the miracles he did, and the things that were happening to him showed that God had sent him. The people should have known and believed that he was the Messiah, and that they needed to listen to him and repent of their sins (12:54–57). Jesus warned them about this by telling them a parable about a legal dispute. The parable showed that they should reconcile with God before the time of judgment arrived (12:58–59).</w:t>
      </w:r>
    </w:p>
    <w:p>
      <w:pPr/>
      <w:r>
        <w:rPr>
          <w:lang w:val="en_US" w:bidi="en_US"/>
        </w:rPr>
      </w:r>
      <w:r>
        <w:rPr>
          <w:lang w:val="en_US" w:bidi="en_US"/>
        </w:rPr>
        <w:t>Other possible headings for this section are:</w:t>
      </w:r>
    </w:p>
    <w:p>
      <w:pPr/>
      <w:r>
        <w:rPr>
          <w:lang w:val="en_US" w:bidi="en_US"/>
        </w:rPr>
      </w:r>
      <w:r>
        <w:rPr>
          <w:lang w:val="en_US" w:bidi="en_US"/>
        </w:rPr>
        <w:t>Understanding the Times (NCV)</w:t>
      </w:r>
    </w:p>
    <w:p>
      <w:pPr/>
      <w:r>
        <w:rPr>
          <w:lang w:val="en_US" w:bidi="en_US"/>
        </w:rPr>
      </w:r>
      <w:r>
        <w:rPr>
          <w:lang w:val="en_US" w:bidi="en_US"/>
        </w:rPr>
        <w:t>Discern What God Wants You to Do in These Days</w:t>
      </w:r>
    </w:p>
    <w:p>
      <w:pPr/>
      <w:r>
        <w:rPr>
          <w:lang w:val="en_US" w:bidi="en_US"/>
        </w:rPr>
      </w:r>
      <w:r>
        <w:rPr>
          <w:lang w:val="en_US" w:bidi="en_US"/>
        </w:rPr>
        <w:t>There is a parallel passage for 12:54–56 in Matthew 16:2–3. There is a parallel passage for 12:57–59 in Matthew 5:25–26.</w:t>
      </w:r>
    </w:p>
    <w:p>
      <w:pPr>
        <w:pStyle w:val="Heading5"/>
      </w:pPr>
      <w:r>
        <w:rPr>
          <w:lang w:val="en_US" w:bidi="en_US"/>
        </w:rPr>
        <w:t>12:55a</w:t>
      </w:r>
    </w:p>
    <w:p>
      <w:pPr/>
      <w:r>
        <w:rPr>
          <w:lang w:val="en_US" w:bidi="en_US"/>
        </w:rPr>
      </w:r>
      <w:r>
        <w:rPr>
          <w:b/>
          <w:lang w:val="en_US" w:bidi="en_US"/>
        </w:rPr>
        <w:t>And when the south wind blows,</w:t>
      </w:r>
    </w:p>
    <w:p>
      <w:pPr>
        <w:pStyle w:val="ListBullet"/>
        <w:spacing w:line="240" w:lineRule="auto"/>
        <w:ind w:left="720"/>
      </w:pPr>
      <w:r>
        <w:rPr>
          <w:lang w:val="en_US" w:bidi="en_US"/>
        </w:rPr>
      </w:r>
      <w:r>
        <w:rPr>
          <w:lang w:val="en_US" w:bidi="en_US"/>
        </w:rPr>
        <w:t>And when the wind blows from the south,</w:t>
      </w:r>
    </w:p>
    <w:p>
      <w:pPr>
        <w:pStyle w:val="ListBullet"/>
        <w:spacing w:line="240" w:lineRule="auto"/>
        <w:ind w:left="720"/>
      </w:pPr>
      <w:r>
        <w:rPr>
          <w:lang w:val="en_US" w:bidi="en_US"/>
        </w:rPr>
      </w:r>
      <w:r>
        <w:rPr>
          <w:lang w:val="en_US" w:bidi="en_US"/>
        </w:rPr>
        <w:t>When there is a wind from the south,</w:t>
      </w:r>
    </w:p>
    <w:p>
      <w:pPr>
        <w:pStyle w:val="Heading5"/>
      </w:pPr>
      <w:r>
        <w:rPr>
          <w:lang w:val="en_US" w:bidi="en_US"/>
        </w:rPr>
        <w:t>12:55b</w:t>
      </w:r>
    </w:p>
    <w:p>
      <w:pPr/>
      <w:r>
        <w:rPr>
          <w:lang w:val="en_US" w:bidi="en_US"/>
        </w:rPr>
      </w:r>
      <w:r>
        <w:rPr>
          <w:b/>
          <w:lang w:val="en_US" w:bidi="en_US"/>
        </w:rPr>
        <w:t>you say, ‘It will be hot,’ and it is.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say, ‘It will </w:t>
      </w:r>
      <w:r>
        <w:rPr>
          <w:lang w:val="en_US" w:bidi="en_US"/>
        </w:rPr>
        <w:t>soon</w:t>
      </w:r>
      <w:r>
        <w:rPr>
          <w:lang w:val="en_US" w:bidi="en_US"/>
        </w:rPr>
        <w:t xml:space="preserve"> become hot,’ and it truly becomes hot.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correctly predict that it will be a hot day.</w:t>
      </w:r>
    </w:p>
    <w:p>
      <w:pPr>
        <w:pStyle w:val="Heading5"/>
      </w:pPr>
      <w:r>
        <w:rPr>
          <w:lang w:val="en_US" w:bidi="en_US"/>
        </w:rPr>
        <w:t>12:55a–b</w:t>
      </w:r>
    </w:p>
    <w:p>
      <w:pPr/>
      <w:r>
        <w:rPr>
          <w:lang w:val="en_US" w:bidi="en_US"/>
        </w:rPr>
      </w:r>
      <w:r>
        <w:rPr>
          <w:b/>
          <w:lang w:val="en_US" w:bidi="en_US"/>
        </w:rPr>
        <w:t>And when the south wind blows, you say, ‘It will be hot,’ and it is:</w:t>
      </w:r>
      <w:r>
        <w:rPr>
          <w:lang w:val="en_US" w:bidi="en_US"/>
        </w:rPr>
        <w:t xml:space="preserve"> In Israel, the hot and dry weather comes from the south and east. Whenever the wind would blow into Israel from that direction, the people knew that it would soon become hot. And that is what would happen.</w:t>
      </w:r>
    </w:p>
    <w:p>
      <w:pPr/>
      <w:r>
        <w:rPr>
          <w:lang w:val="en_US" w:bidi="en_US"/>
        </w:rPr>
      </w:r>
      <w:r>
        <w:rPr>
          <w:lang w:val="en_US" w:bidi="en_US"/>
        </w:rPr>
        <w:t>Some languages use verbs to refer to wind and temperature. For example:</w:t>
      </w:r>
    </w:p>
    <w:p>
      <w:pPr/>
      <w:r>
        <w:rPr>
          <w:lang w:val="en_US" w:bidi="en_US"/>
        </w:rPr>
      </w:r>
      <w:r>
        <w:rPr>
          <w:lang w:val="en_US" w:bidi="en_US"/>
        </w:rPr>
        <w:t>When it brings-wind from the south, you say that it will-become-hot.</w:t>
      </w:r>
    </w:p>
    <w:p>
      <w:pPr/>
      <w:r>
        <w:rPr>
          <w:lang w:val="en_US" w:bidi="en_US"/>
        </w:rPr>
      </w:r>
      <w:r>
        <w:rPr>
          <w:lang w:val="en_US" w:bidi="en_US"/>
        </w:rPr>
        <w:t>Use natural expressions in your language for wind and weather.</w:t>
      </w:r>
    </w:p>
    <w:p>
      <w:pPr/>
      <w:r>
        <w:rPr>
          <w:lang w:val="en_US" w:bidi="en_US"/>
        </w:rPr>
      </w:r>
      <w:r>
        <w:rPr>
          <w:b/>
          <w:lang w:val="en_US" w:bidi="en_US"/>
        </w:rPr>
        <w:t>you say, ‘It will be hot’:</w:t>
      </w:r>
      <w:r>
        <w:rPr>
          <w:lang w:val="en_US" w:bidi="en_US"/>
        </w:rPr>
        <w:t xml:space="preserve"> As in the previous verse, in some languages it may be more natural to use an indirect quotation here. For example:</w:t>
      </w:r>
    </w:p>
    <w:p>
      <w:pPr/>
      <w:r>
        <w:rPr>
          <w:lang w:val="en_US" w:bidi="en_US"/>
        </w:rPr>
      </w:r>
      <w:r>
        <w:rPr>
          <w:lang w:val="en_US" w:bidi="en_US"/>
        </w:rPr>
        <w:t>you say/predict that it is going to be hot</w:t>
      </w:r>
    </w:p>
    <w:p>
      <w:pPr/>
      <w:r>
        <w:rPr>
          <w:lang w:val="en_US" w:bidi="en_US"/>
        </w:rPr>
      </w:r>
      <w:r>
        <w:rPr>
          <w:b/>
          <w:lang w:val="en_US" w:bidi="en_US"/>
        </w:rPr>
        <w:t>and it is:</w:t>
      </w:r>
      <w:r>
        <w:rPr>
          <w:lang w:val="en_US" w:bidi="en_US"/>
        </w:rPr>
        <w:t xml:space="preserve"> The phrase </w:t>
      </w:r>
      <w:r>
        <w:rPr>
          <w:i/>
          <w:lang w:val="en_US" w:bidi="en_US"/>
        </w:rPr>
        <w:t>and it is</w:t>
      </w:r>
      <w:r>
        <w:rPr>
          <w:lang w:val="en_US" w:bidi="en_US"/>
        </w:rPr>
        <w:t xml:space="preserve"> means “and the weather soon becomes hot” or “and the temperature soon rises.” As in the previous verse, the BSB uses a general expression to indicate that the person’s prediction was accurate. You may also use a specific expression for warmer weather that is natural in your language.</w:t>
      </w:r>
    </w:p>
    <w:p>
      <w:pPr>
        <w:pStyle w:val="Heading6"/>
      </w:pPr>
      <w:r>
        <w:rPr>
          <w:b/>
          <w:lang w:val="en_US" w:bidi="en_US"/>
        </w:rPr>
        <w:t>General Comment on 12:54–55</w:t>
      </w:r>
    </w:p>
    <w:p>
      <w:pPr/>
      <w:r>
        <w:rPr>
          <w:lang w:val="en_US" w:bidi="en_US"/>
        </w:rPr>
      </w:r>
      <w:r>
        <w:rPr>
          <w:lang w:val="en_US" w:bidi="en_US"/>
        </w:rPr>
        <w:t>In some languages it will be helpful to add a footnote that explains the weather situation in Israel. For example:</w:t>
      </w:r>
    </w:p>
    <w:p>
      <w:pPr/>
      <w:r>
        <w:rPr>
          <w:lang w:val="en_US" w:bidi="en_US"/>
        </w:rPr>
      </w:r>
      <w:r>
        <w:rPr>
          <w:lang w:val="en_US" w:bidi="en_US"/>
        </w:rPr>
        <w:t>In the land of Israel, the rain comes from the direction of the Mediterranean Sea in the west. In the south of the country there is a large desert area, so when the wind comes from the south, the weather becomes hot.</w:t>
      </w:r>
      <w:r>
        <w:rPr>
          <w:lang w:val="en_US" w:bidi="en_US"/>
        </w:rPr>
      </w:r>
      <w:r>
        <w:rPr>
          <w:lang w:val="en_US" w:bidi="en_US"/>
        </w:rPr>
      </w:r>
    </w:p>
    <w:p>
      <w:pPr/>
      <w:r>
        <w:rPr>
          <w:lang w:val="en_US" w:bidi="en_US"/>
        </w:rPr>
      </w:r>
    </w:p>
    <w:p>
      <w:pPr>
        <w:pStyle w:val="Heading2"/>
      </w:pPr>
      <w:r>
        <w:rPr>
          <w:lang w:val="en_US" w:bidi="en_US"/>
        </w:rPr>
        <w:t>Luke 12:56</w:t>
      </w:r>
      <w:r>
        <w:rPr>
          <w:lang w:val="en_US" w:bidi="en_US"/>
        </w:rPr>
      </w:r>
    </w:p>
    <w:p>
      <w:pPr>
        <w:pStyle w:val="Heading4"/>
      </w:pPr>
      <w:r>
        <w:rPr>
          <w:lang w:val="en_US" w:bidi="en_US"/>
        </w:rPr>
        <w:t>Section 12:54–59: Jesus told the people to prepare for what was about to happen</w:t>
      </w:r>
    </w:p>
    <w:p>
      <w:pPr/>
      <w:r>
        <w:rPr>
          <w:lang w:val="en_US" w:bidi="en_US"/>
        </w:rPr>
      </w:r>
      <w:r>
        <w:rPr>
          <w:lang w:val="en_US" w:bidi="en_US"/>
        </w:rPr>
        <w:t>In this section Jesus again spoke to the crowd. He first rebuked them because they understood signs that the weather was going to change, but they did not understand what God was about to do. They did not know what to expect from God by the things that they saw Jesus doing. What he taught, the miracles he did, and the things that were happening to him showed that God had sent him. The people should have known and believed that he was the Messiah, and that they needed to listen to him and repent of their sins (12:54–57). Jesus warned them about this by telling them a parable about a legal dispute. The parable showed that they should reconcile with God before the time of judgment arrived (12:58–59).</w:t>
      </w:r>
    </w:p>
    <w:p>
      <w:pPr/>
      <w:r>
        <w:rPr>
          <w:lang w:val="en_US" w:bidi="en_US"/>
        </w:rPr>
      </w:r>
      <w:r>
        <w:rPr>
          <w:lang w:val="en_US" w:bidi="en_US"/>
        </w:rPr>
        <w:t>Other possible headings for this section are:</w:t>
      </w:r>
    </w:p>
    <w:p>
      <w:pPr/>
      <w:r>
        <w:rPr>
          <w:lang w:val="en_US" w:bidi="en_US"/>
        </w:rPr>
      </w:r>
      <w:r>
        <w:rPr>
          <w:lang w:val="en_US" w:bidi="en_US"/>
        </w:rPr>
        <w:t>Understanding the Times (NCV)</w:t>
      </w:r>
    </w:p>
    <w:p>
      <w:pPr/>
      <w:r>
        <w:rPr>
          <w:lang w:val="en_US" w:bidi="en_US"/>
        </w:rPr>
      </w:r>
      <w:r>
        <w:rPr>
          <w:lang w:val="en_US" w:bidi="en_US"/>
        </w:rPr>
        <w:t>Discern What God Wants You to Do in These Days</w:t>
      </w:r>
    </w:p>
    <w:p>
      <w:pPr/>
      <w:r>
        <w:rPr>
          <w:lang w:val="en_US" w:bidi="en_US"/>
        </w:rPr>
      </w:r>
      <w:r>
        <w:rPr>
          <w:lang w:val="en_US" w:bidi="en_US"/>
        </w:rPr>
        <w:t>There is a parallel passage for 12:54–56 in Matthew 16:2–3. There is a parallel passage for 12:57–59 in Matthew 5:25–26.</w:t>
      </w:r>
    </w:p>
    <w:p>
      <w:pPr>
        <w:pStyle w:val="Heading5"/>
      </w:pPr>
      <w:r>
        <w:rPr>
          <w:lang w:val="en_US" w:bidi="en_US"/>
        </w:rPr>
        <w:t>12:56a</w:t>
      </w:r>
    </w:p>
    <w:p>
      <w:pPr/>
      <w:r>
        <w:rPr>
          <w:lang w:val="en_US" w:bidi="en_US"/>
        </w:rPr>
      </w:r>
      <w:r>
        <w:rPr>
          <w:b/>
          <w:lang w:val="en_US" w:bidi="en_US"/>
        </w:rPr>
        <w:t>You hypocrites!</w:t>
      </w:r>
    </w:p>
    <w:p>
      <w:pPr>
        <w:pStyle w:val="ListBullet"/>
        <w:spacing w:line="240" w:lineRule="auto"/>
        <w:ind w:left="720"/>
      </w:pPr>
      <w:r>
        <w:rPr>
          <w:lang w:val="en_US" w:bidi="en_US"/>
        </w:rPr>
      </w:r>
      <w:r>
        <w:rPr>
          <w:lang w:val="en_US" w:bidi="en_US"/>
        </w:rPr>
        <w:t>You</w:t>
      </w:r>
      <w:r>
        <w:rPr>
          <w:lang w:val="en_US" w:bidi="en_US"/>
        </w:rPr>
        <w:t xml:space="preserve"> hypocrites!</w:t>
      </w:r>
    </w:p>
    <w:p>
      <w:pPr>
        <w:pStyle w:val="ListBullet"/>
        <w:spacing w:line="240" w:lineRule="auto"/>
        <w:ind w:left="720"/>
      </w:pPr>
      <w:r>
        <w:rPr>
          <w:lang w:val="en_US" w:bidi="en_US"/>
        </w:rPr>
      </w:r>
      <w:r>
        <w:rPr>
          <w:lang w:val="en_US" w:bidi="en_US"/>
        </w:rPr>
        <w:t>You people think that you are very intelligent.</w:t>
      </w:r>
    </w:p>
    <w:p>
      <w:pPr/>
      <w:r>
        <w:rPr>
          <w:lang w:val="en_US" w:bidi="en_US"/>
        </w:rPr>
      </w:r>
      <w:r>
        <w:rPr>
          <w:b/>
          <w:lang w:val="en_US" w:bidi="en_US"/>
        </w:rPr>
        <w:t>You hypocrites!:</w:t>
      </w:r>
      <w:r>
        <w:rPr>
          <w:lang w:val="en_US" w:bidi="en_US"/>
        </w:rPr>
        <w:t xml:space="preserve"> The Greek word that the BSB translates as </w:t>
      </w:r>
      <w:r>
        <w:rPr>
          <w:i/>
          <w:lang w:val="en_US" w:bidi="en_US"/>
        </w:rPr>
        <w:t>hypocrites</w:t>
      </w:r>
      <w:r>
        <w:rPr>
          <w:lang w:val="en_US" w:bidi="en_US"/>
        </w:rPr>
        <w:t xml:space="preserve"> (adding the word </w:t>
      </w:r>
      <w:r>
        <w:rPr>
          <w:i/>
          <w:lang w:val="en_US" w:bidi="en_US"/>
        </w:rPr>
        <w:t>You</w:t>
      </w:r>
      <w:r>
        <w:rPr>
          <w:lang w:val="en_US" w:bidi="en_US"/>
        </w:rPr>
        <w:t xml:space="preserve"> to show that this is direct address) refers to people whose words are inconsistent with their behavior. They may pretend to be different than they really are, or they may not realize that their beliefs about themselves are not true. In this context the people were intelligent enough to recognize the signs that rain or hot weather was coming. But they refused to recognize that Jesus’ miracles were signs that he was the one whom God had sent to save the world.</w:t>
      </w:r>
    </w:p>
    <w:p>
      <w:pPr/>
      <w:r>
        <w:rPr>
          <w:lang w:val="en_US" w:bidi="en_US"/>
        </w:rPr>
      </w:r>
      <w:r>
        <w:rPr>
          <w:lang w:val="en_US" w:bidi="en_US"/>
        </w:rPr>
        <w:t xml:space="preserve">Translate </w:t>
      </w:r>
      <w:r>
        <w:rPr>
          <w:i/>
          <w:lang w:val="en_US" w:bidi="en_US"/>
        </w:rPr>
        <w:t>hypocrites</w:t>
      </w:r>
      <w:r>
        <w:rPr>
          <w:lang w:val="en_US" w:bidi="en_US"/>
        </w:rPr>
        <w:t xml:space="preserve"> with a term in your language that fits this context. In some languages you may have an idiom to express it. Some other ways to translate it in English are:</w:t>
      </w:r>
    </w:p>
    <w:p>
      <w:pPr/>
      <w:r>
        <w:rPr>
          <w:lang w:val="en_US" w:bidi="en_US"/>
        </w:rPr>
      </w:r>
      <w:r>
        <w:rPr>
          <w:lang w:val="en_US" w:bidi="en_US"/>
        </w:rPr>
        <w:t>You frauds! (JBP)</w:t>
      </w:r>
    </w:p>
    <w:p>
      <w:pPr/>
      <w:r>
        <w:rPr>
          <w:lang w:val="en_US" w:bidi="en_US"/>
        </w:rPr>
      </w:r>
      <w:r>
        <w:rPr>
          <w:lang w:val="en_US" w:bidi="en_US"/>
        </w:rPr>
        <w:t>You inconsistent people (TRT)</w:t>
      </w:r>
    </w:p>
    <w:p>
      <w:pPr/>
      <w:r>
        <w:rPr>
          <w:lang w:val="en_US" w:bidi="en_US"/>
        </w:rPr>
      </w:r>
      <w:r>
        <w:rPr>
          <w:lang w:val="en_US" w:bidi="en_US"/>
        </w:rPr>
        <w:t>You people think you know so much</w:t>
      </w:r>
    </w:p>
    <w:p>
      <w:pPr/>
      <w:r>
        <w:rPr>
          <w:lang w:val="en_US" w:bidi="en_US"/>
        </w:rPr>
      </w:r>
      <w:r>
        <w:rPr>
          <w:lang w:val="en_US" w:bidi="en_US"/>
        </w:rPr>
        <w:t>See the note on “hypocrisy” in 12:1d. See also the note on “hypocrite” in 6:42d. In some languages, the term for “hypocrite” may be general enough to fit all these contexts. In other languages, it may be necessary to use a different term for different kinds of hypocrisy.</w:t>
      </w:r>
    </w:p>
    <w:p>
      <w:pPr>
        <w:pStyle w:val="Heading5"/>
      </w:pPr>
      <w:r>
        <w:rPr>
          <w:lang w:val="en_US" w:bidi="en_US"/>
        </w:rPr>
        <w:t>12:56b</w:t>
      </w:r>
    </w:p>
    <w:p>
      <w:pPr/>
      <w:r>
        <w:rPr>
          <w:lang w:val="en_US" w:bidi="en_US"/>
        </w:rPr>
      </w:r>
      <w:r>
        <w:rPr>
          <w:b/>
          <w:lang w:val="en_US" w:bidi="en_US"/>
        </w:rPr>
        <w:t>You know how to interpret the appearance of the earth and sky.</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understand the meaning of the signs on the earth and in the sky about the weather.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can look at the earth and the sky and know what kind of day/weather to expect.</w:t>
      </w:r>
    </w:p>
    <w:p>
      <w:pPr/>
      <w:r>
        <w:rPr>
          <w:lang w:val="en_US" w:bidi="en_US"/>
        </w:rPr>
      </w:r>
      <w:r>
        <w:rPr>
          <w:b/>
          <w:lang w:val="en_US" w:bidi="en_US"/>
        </w:rPr>
        <w:t>You know how to interpret the appearance of the earth and sky:</w:t>
      </w:r>
      <w:r>
        <w:rPr>
          <w:lang w:val="en_US" w:bidi="en_US"/>
        </w:rPr>
        <w:t xml:space="preserve"> This clause indicates that the people in the crowd could understand the weather signs (clouds and wind) that they could see on the earth and in the sky. Other ways to translate this clause are:</w:t>
      </w:r>
    </w:p>
    <w:p>
      <w:pPr/>
      <w:r>
        <w:rPr>
          <w:lang w:val="en_US" w:bidi="en_US"/>
        </w:rPr>
      </w:r>
      <w:r>
        <w:rPr>
          <w:lang w:val="en_US" w:bidi="en_US"/>
        </w:rPr>
        <w:t>You know how to interpret the weather signs of the earth and sky (NLT)</w:t>
      </w:r>
    </w:p>
    <w:p>
      <w:pPr/>
      <w:r>
        <w:rPr>
          <w:lang w:val="en_US" w:bidi="en_US"/>
        </w:rPr>
      </w:r>
      <w:r>
        <w:rPr>
          <w:lang w:val="en_US" w:bidi="en_US"/>
        </w:rPr>
        <w:t>You can predict the weather by looking at the earth and sky (CEV)</w:t>
      </w:r>
    </w:p>
    <w:p>
      <w:pPr>
        <w:pStyle w:val="Heading5"/>
      </w:pPr>
      <w:r>
        <w:rPr>
          <w:lang w:val="en_US" w:bidi="en_US"/>
        </w:rPr>
        <w:t>12:56c</w:t>
      </w:r>
    </w:p>
    <w:p>
      <w:pPr/>
      <w:r>
        <w:rPr>
          <w:lang w:val="en_US" w:bidi="en_US"/>
        </w:rPr>
      </w:r>
      <w:r>
        <w:rPr>
          <w:b/>
          <w:lang w:val="en_US" w:bidi="en_US"/>
        </w:rPr>
        <w:t>Why don’t you know how to interpret the present time?</w:t>
      </w:r>
    </w:p>
    <w:p>
      <w:pPr>
        <w:pStyle w:val="ListBullet"/>
        <w:spacing w:line="240" w:lineRule="auto"/>
        <w:ind w:left="720"/>
      </w:pPr>
      <w:r>
        <w:rPr>
          <w:lang w:val="en_US" w:bidi="en_US"/>
        </w:rPr>
      </w:r>
      <w:r>
        <w:rPr>
          <w:lang w:val="en_US" w:bidi="en_US"/>
        </w:rPr>
        <w:t>So why don’t you</w:t>
      </w:r>
      <w:r>
        <w:rPr>
          <w:vertAlign w:val="superscript"/>
          <w:lang w:val="en_US" w:bidi="en_US"/>
        </w:rPr>
        <w:t>(plur)</w:t>
      </w:r>
      <w:r>
        <w:rPr>
          <w:lang w:val="en_US" w:bidi="en_US"/>
        </w:rPr>
        <w:t xml:space="preserve"> know the meaning of the events that are happening now?</w:t>
      </w:r>
    </w:p>
    <w:p>
      <w:pPr>
        <w:pStyle w:val="ListBullet"/>
        <w:spacing w:line="240" w:lineRule="auto"/>
        <w:ind w:left="720"/>
      </w:pPr>
      <w:r>
        <w:rPr>
          <w:lang w:val="en_US" w:bidi="en_US"/>
        </w:rPr>
      </w:r>
      <w:r>
        <w:rPr>
          <w:lang w:val="en_US" w:bidi="en_US"/>
        </w:rPr>
        <w:t>So surely you</w:t>
      </w:r>
      <w:r>
        <w:rPr>
          <w:vertAlign w:val="superscript"/>
          <w:lang w:val="en_US" w:bidi="en_US"/>
        </w:rPr>
        <w:t>(plur)</w:t>
      </w:r>
      <w:r>
        <w:rPr>
          <w:lang w:val="en_US" w:bidi="en_US"/>
        </w:rPr>
        <w:t xml:space="preserve"> should understand the meaning of </w:t>
      </w:r>
      <w:r>
        <w:rPr>
          <w:lang w:val="en_US" w:bidi="en_US"/>
        </w:rPr>
        <w:t>what God has been doing through me in</w:t>
      </w:r>
      <w:r>
        <w:rPr>
          <w:lang w:val="en_US" w:bidi="en_US"/>
        </w:rPr>
        <w:t xml:space="preserve"> these days!</w:t>
      </w:r>
    </w:p>
    <w:p>
      <w:pPr/>
      <w:r>
        <w:rPr>
          <w:lang w:val="en_US" w:bidi="en_US"/>
        </w:rPr>
      </w:r>
      <w:r>
        <w:rPr>
          <w:b/>
          <w:lang w:val="en_US" w:bidi="en_US"/>
        </w:rPr>
        <w:t>Why don’t you know how to interpret the present time?:</w:t>
      </w:r>
      <w:r>
        <w:rPr>
          <w:lang w:val="en_US" w:bidi="en_US"/>
        </w:rPr>
        <w:t xml:space="preserve"> This is a rhetorical question. It functions as a rebuke. Jesus was rebuking the crowd for not knowing how to interpret the events that were happening at that time. He implied that they should know how to interpret them.</w:t>
      </w:r>
    </w:p>
    <w:p>
      <w:pPr/>
      <w:r>
        <w:rPr>
          <w:lang w:val="en_US" w:bidi="en_US"/>
        </w:rPr>
      </w:r>
      <w:r>
        <w:rPr>
          <w:lang w:val="en_US" w:bidi="en_US"/>
        </w:rPr>
        <w:t>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Why don’t you understand what is happening now? (NCV)</w:t>
      </w:r>
    </w:p>
    <w:p>
      <w:pPr>
        <w:pStyle w:val="ListBullet"/>
        <w:spacing w:line="240" w:lineRule="auto"/>
        <w:ind w:left="720"/>
      </w:pPr>
      <w:r>
        <w:rPr>
          <w:lang w:val="en_US" w:bidi="en_US"/>
        </w:rPr>
      </w:r>
      <w:r>
        <w:rPr>
          <w:lang w:val="en_US" w:bidi="en_US"/>
        </w:rPr>
        <w:t>As a statement. For example:</w:t>
      </w:r>
      <w:r>
        <w:rPr>
          <w:lang w:val="en_US" w:bidi="en_US"/>
        </w:rPr>
        <w:t>But for some reason you don’t know how to judge the time in which you’re living. (GW)</w:t>
      </w:r>
      <w:r>
        <w:rPr>
          <w:lang w:val="en_US" w:bidi="en_US"/>
        </w:rPr>
        <w:t>You should know how to interpret the present time!</w:t>
      </w:r>
    </w:p>
    <w:p>
      <w:pPr/>
      <w:r>
        <w:rPr>
          <w:lang w:val="en_US" w:bidi="en_US"/>
        </w:rPr>
      </w:r>
      <w:r>
        <w:rPr>
          <w:lang w:val="en_US" w:bidi="en_US"/>
        </w:rPr>
        <w:t>Translate this rebuke in a way that is natural in your language.</w:t>
      </w:r>
    </w:p>
    <w:p>
      <w:pPr/>
      <w:r>
        <w:rPr>
          <w:lang w:val="en_US" w:bidi="en_US"/>
        </w:rPr>
      </w:r>
      <w:r>
        <w:rPr>
          <w:b/>
          <w:lang w:val="en_US" w:bidi="en_US"/>
        </w:rPr>
        <w:t>interpret the present time:</w:t>
      </w:r>
      <w:r>
        <w:rPr>
          <w:lang w:val="en_US" w:bidi="en_US"/>
        </w:rPr>
        <w:t xml:space="preserve"> The phrase that the BSB translates as </w:t>
      </w:r>
      <w:r>
        <w:rPr>
          <w:i/>
          <w:lang w:val="en_US" w:bidi="en_US"/>
        </w:rPr>
        <w:t>interpret the present time</w:t>
      </w:r>
      <w:r>
        <w:rPr>
          <w:lang w:val="en_US" w:bidi="en_US"/>
        </w:rPr>
        <w:t xml:space="preserve"> refers to interpreting what was happening in that period of time. Jesus was referring specifically to the years when he was teaching and doing miracles among the people. The people did not know how to interpret what Jesus was doing. They did not understand that God had sent him, and they did not know what God was going to do through him.</w:t>
      </w:r>
    </w:p>
    <w:p>
      <w:pPr/>
      <w:r>
        <w:rPr>
          <w:lang w:val="en_US" w:bidi="en_US"/>
        </w:rPr>
      </w:r>
      <w:r>
        <w:rPr>
          <w:lang w:val="en_US" w:bidi="en_US"/>
        </w:rPr>
        <w:t>In some languages it may be necessary to make some of this information explicit. For example:</w:t>
      </w:r>
    </w:p>
    <w:p>
      <w:pPr/>
      <w:r>
        <w:rPr>
          <w:lang w:val="en_US" w:bidi="en_US"/>
        </w:rPr>
      </w:r>
      <w:r>
        <w:rPr>
          <w:lang w:val="en_US" w:bidi="en_US"/>
        </w:rPr>
        <w:t xml:space="preserve">interpret </w:t>
      </w:r>
      <w:r>
        <w:rPr>
          <w:lang w:val="en_US" w:bidi="en_US"/>
        </w:rPr>
        <w:t>what I am doing at</w:t>
      </w:r>
      <w:r>
        <w:rPr>
          <w:lang w:val="en_US" w:bidi="en_US"/>
        </w:rPr>
        <w:t xml:space="preserve"> this time</w:t>
      </w:r>
    </w:p>
    <w:p>
      <w:pPr/>
      <w:r>
        <w:rPr>
          <w:lang w:val="en_US" w:bidi="en_US"/>
        </w:rPr>
      </w:r>
      <w:r>
        <w:rPr>
          <w:lang w:val="en_US" w:bidi="en_US"/>
        </w:rPr>
        <w:t xml:space="preserve">understand the meaning of </w:t>
      </w:r>
      <w:r>
        <w:rPr>
          <w:lang w:val="en_US" w:bidi="en_US"/>
        </w:rPr>
        <w:t>the signs that God is causing me to show at</w:t>
      </w:r>
      <w:r>
        <w:rPr>
          <w:lang w:val="en_US" w:bidi="en_US"/>
        </w:rPr>
        <w:t xml:space="preserve"> this time</w:t>
      </w:r>
    </w:p>
    <w:p>
      <w:pPr/>
      <w:r>
        <w:rPr>
          <w:lang w:val="en_US" w:bidi="en_US"/>
        </w:rPr>
      </w:r>
      <w:r>
        <w:rPr>
          <w:b/>
          <w:lang w:val="en_US" w:bidi="en_US"/>
        </w:rPr>
        <w:t>interpret:</w:t>
      </w:r>
      <w:r>
        <w:rPr>
          <w:lang w:val="en_US" w:bidi="en_US"/>
        </w:rPr>
        <w:t xml:space="preserve"> The Greek word that the BSB translates as </w:t>
      </w:r>
      <w:r>
        <w:rPr>
          <w:i/>
          <w:lang w:val="en_US" w:bidi="en_US"/>
        </w:rPr>
        <w:t>interpret</w:t>
      </w:r>
      <w:r>
        <w:rPr>
          <w:lang w:val="en_US" w:bidi="en_US"/>
        </w:rPr>
        <w:t xml:space="preserve"> refers to examining or considering something and making a decision about its worth and value. In this context Jesus probably implied that the people should carefully consider the signs that Jesus had done and decide what the signs meant.</w:t>
      </w:r>
    </w:p>
    <w:p>
      <w:pPr/>
      <w:r>
        <w:rPr>
          <w:lang w:val="en_US" w:bidi="en_US"/>
        </w:rPr>
      </w:r>
      <w:r>
        <w:rPr>
          <w:b/>
          <w:lang w:val="en_US" w:bidi="en_US"/>
        </w:rPr>
        <w:t>the present time:</w:t>
      </w:r>
      <w:r>
        <w:rPr>
          <w:lang w:val="en_US" w:bidi="en_US"/>
        </w:rPr>
        <w:t xml:space="preserve"> The phrase </w:t>
      </w:r>
      <w:r>
        <w:rPr>
          <w:i/>
          <w:lang w:val="en_US" w:bidi="en_US"/>
        </w:rPr>
        <w:t>the present time</w:t>
      </w:r>
      <w:r>
        <w:rPr>
          <w:lang w:val="en_US" w:bidi="en_US"/>
        </w:rPr>
        <w:t xml:space="preserve"> refers here to the period of history in which Jesus and his listeners were living. It does not refer only to the time when Jesus was speaking to that particular crowd.</w:t>
      </w:r>
      <w:r>
        <w:rPr>
          <w:lang w:val="en_US" w:bidi="en_US"/>
        </w:rPr>
      </w:r>
      <w:r>
        <w:rPr>
          <w:lang w:val="en_US" w:bidi="en_US"/>
        </w:rPr>
      </w:r>
    </w:p>
    <w:p>
      <w:pPr/>
      <w:r>
        <w:rPr>
          <w:lang w:val="en_US" w:bidi="en_US"/>
        </w:rPr>
      </w:r>
    </w:p>
    <w:p>
      <w:pPr>
        <w:pStyle w:val="Heading2"/>
      </w:pPr>
      <w:r>
        <w:rPr>
          <w:lang w:val="en_US" w:bidi="en_US"/>
        </w:rPr>
        <w:t>Luke 12:57</w:t>
      </w:r>
      <w:r>
        <w:rPr>
          <w:lang w:val="en_US" w:bidi="en_US"/>
        </w:rPr>
      </w:r>
    </w:p>
    <w:p>
      <w:pPr>
        <w:pStyle w:val="Heading4"/>
      </w:pPr>
      <w:r>
        <w:rPr>
          <w:lang w:val="en_US" w:bidi="en_US"/>
        </w:rPr>
        <w:t>Section 12:54–59: Jesus told the people to prepare for what was about to happen</w:t>
      </w:r>
    </w:p>
    <w:p>
      <w:pPr/>
      <w:r>
        <w:rPr>
          <w:lang w:val="en_US" w:bidi="en_US"/>
        </w:rPr>
      </w:r>
      <w:r>
        <w:rPr>
          <w:lang w:val="en_US" w:bidi="en_US"/>
        </w:rPr>
        <w:t>In this section Jesus again spoke to the crowd. He first rebuked them because they understood signs that the weather was going to change, but they did not understand what God was about to do. They did not know what to expect from God by the things that they saw Jesus doing. What he taught, the miracles he did, and the things that were happening to him showed that God had sent him. The people should have known and believed that he was the Messiah, and that they needed to listen to him and repent of their sins (12:54–57). Jesus warned them about this by telling them a parable about a legal dispute. The parable showed that they should reconcile with God before the time of judgment arrived (12:58–59).</w:t>
      </w:r>
    </w:p>
    <w:p>
      <w:pPr/>
      <w:r>
        <w:rPr>
          <w:lang w:val="en_US" w:bidi="en_US"/>
        </w:rPr>
      </w:r>
      <w:r>
        <w:rPr>
          <w:lang w:val="en_US" w:bidi="en_US"/>
        </w:rPr>
        <w:t>Other possible headings for this section are:</w:t>
      </w:r>
    </w:p>
    <w:p>
      <w:pPr/>
      <w:r>
        <w:rPr>
          <w:lang w:val="en_US" w:bidi="en_US"/>
        </w:rPr>
      </w:r>
      <w:r>
        <w:rPr>
          <w:lang w:val="en_US" w:bidi="en_US"/>
        </w:rPr>
        <w:t>Understanding the Times (NCV)</w:t>
      </w:r>
    </w:p>
    <w:p>
      <w:pPr/>
      <w:r>
        <w:rPr>
          <w:lang w:val="en_US" w:bidi="en_US"/>
        </w:rPr>
      </w:r>
      <w:r>
        <w:rPr>
          <w:lang w:val="en_US" w:bidi="en_US"/>
        </w:rPr>
        <w:t>Discern What God Wants You to Do in These Days</w:t>
      </w:r>
    </w:p>
    <w:p>
      <w:pPr/>
      <w:r>
        <w:rPr>
          <w:lang w:val="en_US" w:bidi="en_US"/>
        </w:rPr>
      </w:r>
      <w:r>
        <w:rPr>
          <w:lang w:val="en_US" w:bidi="en_US"/>
        </w:rPr>
        <w:t>There is a parallel passage for 12:54–56 in Matthew 16:2–3. There is a parallel passage for 12:57–59 in Matthew 5:25–26.</w:t>
      </w:r>
    </w:p>
    <w:p>
      <w:pPr>
        <w:pStyle w:val="Heading5"/>
      </w:pPr>
      <w:r>
        <w:rPr>
          <w:lang w:val="en_US" w:bidi="en_US"/>
        </w:rPr>
        <w:t>12:57</w:t>
      </w:r>
    </w:p>
    <w:p>
      <w:pPr/>
      <w:r>
        <w:rPr>
          <w:lang w:val="en_US" w:bidi="en_US"/>
        </w:rPr>
      </w:r>
      <w:r>
        <w:rPr>
          <w:b/>
          <w:lang w:val="en_US" w:bidi="en_US"/>
        </w:rPr>
        <w:t>And why don’t you judge for yourselves what is right?</w:t>
      </w:r>
    </w:p>
    <w:p>
      <w:pPr>
        <w:pStyle w:val="ListBullet"/>
        <w:spacing w:line="240" w:lineRule="auto"/>
        <w:ind w:left="720"/>
      </w:pPr>
      <w:r>
        <w:rPr>
          <w:lang w:val="en_US" w:bidi="en_US"/>
        </w:rPr>
      </w:r>
      <w:r>
        <w:rPr>
          <w:lang w:val="en_US" w:bidi="en_US"/>
        </w:rPr>
        <w:t>Why don’t you</w:t>
      </w:r>
      <w:r>
        <w:rPr>
          <w:vertAlign w:val="superscript"/>
          <w:lang w:val="en_US" w:bidi="en_US"/>
        </w:rPr>
        <w:t>(plur)</w:t>
      </w:r>
      <w:r>
        <w:rPr>
          <w:lang w:val="en_US" w:bidi="en_US"/>
        </w:rPr>
        <w:t xml:space="preserve"> yourselves consider and approve what is right?</w:t>
      </w:r>
    </w:p>
    <w:p>
      <w:pPr>
        <w:pStyle w:val="ListBullet"/>
        <w:spacing w:line="240" w:lineRule="auto"/>
        <w:ind w:left="720"/>
      </w:pPr>
      <w:r>
        <w:rPr>
          <w:lang w:val="en_US" w:bidi="en_US"/>
        </w:rPr>
      </w:r>
      <w:r>
        <w:rPr>
          <w:lang w:val="en_US" w:bidi="en_US"/>
        </w:rPr>
        <w:t xml:space="preserve">You yourselves should decide what is the right </w:t>
      </w:r>
      <w:r>
        <w:rPr>
          <w:lang w:val="en_US" w:bidi="en_US"/>
        </w:rPr>
        <w:t>thing to do about that</w:t>
      </w:r>
      <w:r>
        <w:rPr>
          <w:lang w:val="en_US" w:bidi="en_US"/>
        </w:rPr>
        <w:t>.</w:t>
      </w:r>
    </w:p>
    <w:p>
      <w:pPr/>
      <w:r>
        <w:rPr>
          <w:lang w:val="en_US" w:bidi="en_US"/>
        </w:rPr>
      </w:r>
      <w:r>
        <w:rPr>
          <w:b/>
          <w:lang w:val="en_US" w:bidi="en_US"/>
        </w:rPr>
        <w:t>And why don’t you judge for yourselves what is right?:</w:t>
      </w:r>
      <w:r>
        <w:rPr>
          <w:lang w:val="en_US" w:bidi="en_US"/>
        </w:rPr>
        <w:t xml:space="preserve"> This is a rhetorical question. It functions as a rebuke. It indicates that the people themselves should think about what was happening and decide what was right. Jesus was rebuking them because they did not do that.</w:t>
      </w:r>
    </w:p>
    <w:p>
      <w:pPr/>
      <w:r>
        <w:rPr>
          <w:lang w:val="en_US" w:bidi="en_US"/>
        </w:rPr>
      </w:r>
      <w:r>
        <w:rPr>
          <w:lang w:val="en_US" w:bidi="en_US"/>
        </w:rPr>
        <w:t>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Why can’t you decide for yourselves what is right? (NLT)</w:t>
      </w:r>
    </w:p>
    <w:p>
      <w:pPr>
        <w:pStyle w:val="ListBullet"/>
        <w:spacing w:line="240" w:lineRule="auto"/>
        <w:ind w:left="720"/>
      </w:pPr>
      <w:r>
        <w:rPr>
          <w:lang w:val="en_US" w:bidi="en_US"/>
        </w:rPr>
      </w:r>
      <w:r>
        <w:rPr>
          <w:lang w:val="en_US" w:bidi="en_US"/>
        </w:rPr>
        <w:t>As a statement. For example:</w:t>
      </w:r>
      <w:r>
        <w:rPr>
          <w:lang w:val="en_US" w:bidi="en_US"/>
        </w:rPr>
        <w:t>You should judge for yourselves what is right.</w:t>
      </w:r>
    </w:p>
    <w:p>
      <w:pPr/>
      <w:r>
        <w:rPr>
          <w:lang w:val="en_US" w:bidi="en_US"/>
        </w:rPr>
      </w:r>
      <w:r>
        <w:rPr>
          <w:lang w:val="en_US" w:bidi="en_US"/>
        </w:rPr>
        <w:t>Translate this rebuke in a way that is natural in your language.</w:t>
      </w:r>
    </w:p>
    <w:p>
      <w:pPr/>
      <w:r>
        <w:rPr>
          <w:lang w:val="en_US" w:bidi="en_US"/>
        </w:rPr>
      </w:r>
      <w:r>
        <w:rPr>
          <w:b/>
          <w:lang w:val="en_US" w:bidi="en_US"/>
        </w:rPr>
        <w:t>judge for yourselves what is right:</w:t>
      </w:r>
      <w:r>
        <w:rPr>
          <w:lang w:val="en_US" w:bidi="en_US"/>
        </w:rPr>
        <w:t xml:space="preserve"> In this context the phrase </w:t>
      </w:r>
      <w:r>
        <w:rPr>
          <w:i/>
          <w:lang w:val="en_US" w:bidi="en_US"/>
        </w:rPr>
        <w:t>judge for yourselves what is right</w:t>
      </w:r>
      <w:r>
        <w:rPr>
          <w:lang w:val="en_US" w:bidi="en_US"/>
        </w:rPr>
        <w:t xml:space="preserve"> probably refers back to 12:56. It indicates that the people should think about what was happening and decide the right way to interpret it. It probably also implies that they should decide what was right to do about it. The parable in 12:58–59 indicates that they should make peace with God.</w:t>
      </w:r>
    </w:p>
    <w:p>
      <w:pPr/>
      <w:r>
        <w:rPr>
          <w:lang w:val="en_US" w:bidi="en_US"/>
        </w:rPr>
      </w:r>
      <w:r>
        <w:rPr>
          <w:lang w:val="en_US" w:bidi="en_US"/>
        </w:rPr>
        <w:t>Translate this phrase in a way that implies this meaning. In some languages you may need to add a phrase to make the meaning clear. For example:</w:t>
      </w:r>
    </w:p>
    <w:p>
      <w:pPr/>
      <w:r>
        <w:rPr>
          <w:lang w:val="en_US" w:bidi="en_US"/>
        </w:rPr>
      </w:r>
      <w:r>
        <w:rPr>
          <w:lang w:val="en_US" w:bidi="en_US"/>
        </w:rPr>
        <w:t xml:space="preserve">think </w:t>
      </w:r>
      <w:r>
        <w:rPr>
          <w:lang w:val="en_US" w:bidi="en_US"/>
        </w:rPr>
        <w:t>about this</w:t>
      </w:r>
      <w:r>
        <w:rPr>
          <w:lang w:val="en_US" w:bidi="en_US"/>
        </w:rPr>
        <w:t xml:space="preserve"> and decide for yourselves what is right</w:t>
      </w:r>
    </w:p>
    <w:p>
      <w:pPr/>
      <w:r>
        <w:rPr>
          <w:lang w:val="en_US" w:bidi="en_US"/>
        </w:rPr>
      </w:r>
      <w:r>
        <w:rPr>
          <w:lang w:val="en_US" w:bidi="en_US"/>
        </w:rPr>
        <w:t xml:space="preserve">decide for yourselves what is the right </w:t>
      </w:r>
      <w:r>
        <w:rPr>
          <w:lang w:val="en_US" w:bidi="en_US"/>
        </w:rPr>
        <w:t>thing to do in these times</w:t>
      </w:r>
    </w:p>
    <w:p>
      <w:pPr/>
      <w:r>
        <w:rPr>
          <w:lang w:val="en_US" w:bidi="en_US"/>
        </w:rPr>
      </w:r>
      <w:r>
        <w:rPr>
          <w:b/>
          <w:lang w:val="en_US" w:bidi="en_US"/>
        </w:rPr>
        <w:t>judge for yourselves:</w:t>
      </w:r>
      <w:r>
        <w:rPr>
          <w:lang w:val="en_US" w:bidi="en_US"/>
        </w:rPr>
        <w:t xml:space="preserve"> The Greek verb that the BSB translates as </w:t>
      </w:r>
      <w:r>
        <w:rPr>
          <w:i/>
          <w:lang w:val="en_US" w:bidi="en_US"/>
        </w:rPr>
        <w:t>judge</w:t>
      </w:r>
      <w:r>
        <w:rPr>
          <w:lang w:val="en_US" w:bidi="en_US"/>
        </w:rPr>
        <w:t xml:space="preserve"> often refers to deciding what is right in court cases. In this context the phrase </w:t>
      </w:r>
      <w:r>
        <w:rPr>
          <w:i/>
          <w:lang w:val="en_US" w:bidi="en_US"/>
        </w:rPr>
        <w:t>judge for yourselves</w:t>
      </w:r>
      <w:r>
        <w:rPr>
          <w:lang w:val="en_US" w:bidi="en_US"/>
        </w:rPr>
        <w:t xml:space="preserve"> indicates that the people themselves should think carefully about what was right. They should not rely only on what someone else told them.</w:t>
      </w:r>
      <w:r>
        <w:rPr>
          <w:lang w:val="en_US" w:bidi="en_US"/>
        </w:rPr>
      </w:r>
      <w:r>
        <w:rPr>
          <w:lang w:val="en_US" w:bidi="en_US"/>
        </w:rPr>
      </w:r>
    </w:p>
    <w:p>
      <w:pPr/>
      <w:r>
        <w:rPr>
          <w:lang w:val="en_US" w:bidi="en_US"/>
        </w:rPr>
      </w:r>
    </w:p>
    <w:p>
      <w:pPr>
        <w:pStyle w:val="Heading2"/>
      </w:pPr>
      <w:r>
        <w:rPr>
          <w:lang w:val="en_US" w:bidi="en_US"/>
        </w:rPr>
        <w:t>Luke 12:58</w:t>
      </w:r>
      <w:r>
        <w:rPr>
          <w:lang w:val="en_US" w:bidi="en_US"/>
        </w:rPr>
      </w:r>
    </w:p>
    <w:p>
      <w:pPr>
        <w:pStyle w:val="Heading4"/>
      </w:pPr>
      <w:r>
        <w:rPr>
          <w:lang w:val="en_US" w:bidi="en_US"/>
        </w:rPr>
        <w:t>Section 12:54–59: Jesus told the people to prepare for what was about to happen</w:t>
      </w:r>
    </w:p>
    <w:p>
      <w:pPr/>
      <w:r>
        <w:rPr>
          <w:lang w:val="en_US" w:bidi="en_US"/>
        </w:rPr>
      </w:r>
      <w:r>
        <w:rPr>
          <w:lang w:val="en_US" w:bidi="en_US"/>
        </w:rPr>
        <w:t>In this section Jesus again spoke to the crowd. He first rebuked them because they understood signs that the weather was going to change, but they did not understand what God was about to do. They did not know what to expect from God by the things that they saw Jesus doing. What he taught, the miracles he did, and the things that were happening to him showed that God had sent him. The people should have known and believed that he was the Messiah, and that they needed to listen to him and repent of their sins (12:54–57). Jesus warned them about this by telling them a parable about a legal dispute. The parable showed that they should reconcile with God before the time of judgment arrived (12:58–59).</w:t>
      </w:r>
    </w:p>
    <w:p>
      <w:pPr/>
      <w:r>
        <w:rPr>
          <w:lang w:val="en_US" w:bidi="en_US"/>
        </w:rPr>
      </w:r>
      <w:r>
        <w:rPr>
          <w:lang w:val="en_US" w:bidi="en_US"/>
        </w:rPr>
        <w:t>Other possible headings for this section are:</w:t>
      </w:r>
    </w:p>
    <w:p>
      <w:pPr/>
      <w:r>
        <w:rPr>
          <w:lang w:val="en_US" w:bidi="en_US"/>
        </w:rPr>
      </w:r>
      <w:r>
        <w:rPr>
          <w:lang w:val="en_US" w:bidi="en_US"/>
        </w:rPr>
        <w:t>Understanding the Times (NCV)</w:t>
      </w:r>
    </w:p>
    <w:p>
      <w:pPr/>
      <w:r>
        <w:rPr>
          <w:lang w:val="en_US" w:bidi="en_US"/>
        </w:rPr>
      </w:r>
      <w:r>
        <w:rPr>
          <w:lang w:val="en_US" w:bidi="en_US"/>
        </w:rPr>
        <w:t>Discern What God Wants You to Do in These Days</w:t>
      </w:r>
    </w:p>
    <w:p>
      <w:pPr/>
      <w:r>
        <w:rPr>
          <w:lang w:val="en_US" w:bidi="en_US"/>
        </w:rPr>
      </w:r>
      <w:r>
        <w:rPr>
          <w:lang w:val="en_US" w:bidi="en_US"/>
        </w:rPr>
        <w:t>There is a parallel passage for 12:54–56 in Matthew 16:2–3. There is a parallel passage for 12:57–59 in Matthew 5:25–26.</w:t>
      </w:r>
    </w:p>
    <w:p>
      <w:pPr>
        <w:pStyle w:val="Heading4"/>
      </w:pPr>
      <w:r>
        <w:rPr>
          <w:lang w:val="en_US" w:bidi="en_US"/>
        </w:rPr>
        <w:t>Paragraph 12:58–59</w:t>
      </w:r>
    </w:p>
    <w:p>
      <w:pPr/>
      <w:r>
        <w:rPr>
          <w:lang w:val="en_US" w:bidi="en_US"/>
        </w:rPr>
      </w:r>
      <w:r>
        <w:rPr>
          <w:lang w:val="en_US" w:bidi="en_US"/>
        </w:rPr>
        <w:t>In this paragraph Jesus continued to speak to the crowd. He used a parable to warn the people that they should reconcile with God before the time of judgment arrived. If your readers will not understand the figurative meaning of the parable, you may wish to explain the meaning briefly in a footnote. An example of a possible footnote is:</w:t>
      </w:r>
    </w:p>
    <w:p>
      <w:pPr/>
      <w:r>
        <w:rPr>
          <w:lang w:val="en_US" w:bidi="en_US"/>
        </w:rPr>
      </w:r>
      <w:r>
        <w:rPr>
          <w:lang w:val="en_US" w:bidi="en_US"/>
        </w:rPr>
        <w:t>Jesus told the people this parable/illustration to warn them that they needed to make peace with God before the time came for him to judge them.</w:t>
      </w:r>
    </w:p>
    <w:p>
      <w:pPr>
        <w:pStyle w:val="Heading5"/>
      </w:pPr>
      <w:r>
        <w:rPr>
          <w:lang w:val="en_US" w:bidi="en_US"/>
        </w:rPr>
        <w:t>12:58</w:t>
      </w:r>
    </w:p>
    <w:p>
      <w:pPr/>
      <w:r>
        <w:rPr>
          <w:lang w:val="en_US" w:bidi="en_US"/>
        </w:rPr>
      </w:r>
      <w:r>
        <w:rPr>
          <w:lang w:val="en_US" w:bidi="en_US"/>
        </w:rPr>
        <w:t>In Greek, this verse begins with a conjunction that can be translated as “for.” Some English versions translate it that way. This conjunction here introduces an example that illustrates the importance of making a good decision. See the examples in the note below for ways to introduce this illustration.</w:t>
      </w:r>
    </w:p>
    <w:p>
      <w:pPr>
        <w:pStyle w:val="Heading5"/>
      </w:pPr>
      <w:r>
        <w:rPr>
          <w:lang w:val="en_US" w:bidi="en_US"/>
        </w:rPr>
        <w:t>12:58a-b</w:t>
      </w:r>
    </w:p>
    <w:p>
      <w:pPr/>
      <w:r>
        <w:rPr>
          <w:lang w:val="en_US" w:bidi="en_US"/>
        </w:rPr>
      </w:r>
      <w:r>
        <w:rPr>
          <w:b/>
          <w:lang w:val="en_US" w:bidi="en_US"/>
        </w:rPr>
        <w:t>Make every effort to reconcile with your adversary while you are on your way to the magistrate.</w:t>
      </w:r>
    </w:p>
    <w:p>
      <w:pPr>
        <w:pStyle w:val="ListBullet"/>
        <w:spacing w:line="240" w:lineRule="auto"/>
        <w:ind w:left="720"/>
      </w:pPr>
      <w:r>
        <w:rPr>
          <w:lang w:val="en_US" w:bidi="en_US"/>
        </w:rPr>
      </w:r>
      <w:r>
        <w:rPr>
          <w:lang w:val="en_US" w:bidi="en_US"/>
        </w:rPr>
        <w:t>¶ “</w:t>
      </w:r>
      <w:r>
        <w:rPr>
          <w:lang w:val="en_US" w:bidi="en_US"/>
        </w:rPr>
        <w:t>For example,</w:t>
      </w:r>
      <w:r>
        <w:rPr>
          <w:lang w:val="en_US" w:bidi="en_US"/>
        </w:rPr>
        <w:t xml:space="preserve"> if you</w:t>
      </w:r>
      <w:r>
        <w:rPr>
          <w:vertAlign w:val="superscript"/>
          <w:lang w:val="en_US" w:bidi="en_US"/>
        </w:rPr>
        <w:t>(sing)</w:t>
      </w:r>
      <w:r>
        <w:rPr>
          <w:lang w:val="en_US" w:bidi="en_US"/>
        </w:rPr>
        <w:t xml:space="preserve"> and your enemy/accuser are going to the judge, you</w:t>
      </w:r>
      <w:r>
        <w:rPr>
          <w:vertAlign w:val="superscript"/>
          <w:lang w:val="en_US" w:bidi="en_US"/>
        </w:rPr>
        <w:t>(sing)</w:t>
      </w:r>
      <w:r>
        <w:rPr>
          <w:lang w:val="en_US" w:bidi="en_US"/>
        </w:rPr>
        <w:t xml:space="preserve"> should try to make peace with him while </w:t>
      </w:r>
      <w:r>
        <w:rPr>
          <w:lang w:val="en_US" w:bidi="en_US"/>
        </w:rPr>
        <w:t>the two of</w:t>
      </w:r>
      <w:r>
        <w:rPr>
          <w:lang w:val="en_US" w:bidi="en_US"/>
        </w:rPr>
        <w:t xml:space="preserve"> you are </w:t>
      </w:r>
      <w:r>
        <w:rPr>
          <w:lang w:val="en_US" w:bidi="en_US"/>
        </w:rPr>
        <w:t>still</w:t>
      </w:r>
      <w:r>
        <w:rPr>
          <w:lang w:val="en_US" w:bidi="en_US"/>
        </w:rPr>
        <w:t xml:space="preserve"> on the way.</w:t>
      </w:r>
    </w:p>
    <w:p>
      <w:pPr>
        <w:pStyle w:val="ListBullet"/>
        <w:spacing w:line="240" w:lineRule="auto"/>
        <w:ind w:left="720"/>
      </w:pPr>
      <w:r>
        <w:rPr>
          <w:lang w:val="en_US" w:bidi="en_US"/>
        </w:rPr>
      </w:r>
      <w:r>
        <w:rPr>
          <w:lang w:val="en_US" w:bidi="en_US"/>
        </w:rPr>
        <w:t>¶ “</w:t>
      </w:r>
      <w:r>
        <w:rPr>
          <w:lang w:val="en_US" w:bidi="en_US"/>
        </w:rPr>
        <w:t>Here is an illustration:</w:t>
      </w:r>
      <w:r>
        <w:rPr>
          <w:lang w:val="en_US" w:bidi="en_US"/>
        </w:rPr>
        <w:t xml:space="preserve"> When/If someone accuses you</w:t>
      </w:r>
      <w:r>
        <w:rPr>
          <w:vertAlign w:val="superscript"/>
          <w:lang w:val="en_US" w:bidi="en_US"/>
        </w:rPr>
        <w:t>(sing)</w:t>
      </w:r>
      <w:r>
        <w:rPr>
          <w:lang w:val="en_US" w:bidi="en_US"/>
        </w:rPr>
        <w:t xml:space="preserve"> </w:t>
      </w:r>
      <w:r>
        <w:rPr>
          <w:lang w:val="en_US" w:bidi="en_US"/>
        </w:rPr>
        <w:t>because of a debt you have not paid</w:t>
      </w:r>
      <w:r>
        <w:rPr>
          <w:lang w:val="en_US" w:bidi="en_US"/>
        </w:rPr>
        <w:t xml:space="preserve"> and wants to take you to court, do all you</w:t>
      </w:r>
      <w:r>
        <w:rPr>
          <w:vertAlign w:val="superscript"/>
          <w:lang w:val="en_US" w:bidi="en_US"/>
        </w:rPr>
        <w:t>(sing)</w:t>
      </w:r>
      <w:r>
        <w:rPr>
          <w:lang w:val="en_US" w:bidi="en_US"/>
        </w:rPr>
        <w:t xml:space="preserve"> can to settle/solve the problem/case before you </w:t>
      </w:r>
      <w:r>
        <w:rPr>
          <w:lang w:val="en_US" w:bidi="en_US"/>
        </w:rPr>
        <w:t>both</w:t>
      </w:r>
      <w:r>
        <w:rPr>
          <w:lang w:val="en_US" w:bidi="en_US"/>
        </w:rPr>
        <w:t xml:space="preserve"> arrive there.</w:t>
      </w:r>
    </w:p>
    <w:p>
      <w:pPr>
        <w:pStyle w:val="Heading5"/>
      </w:pPr>
      <w:r>
        <w:rPr>
          <w:lang w:val="en_US" w:bidi="en_US"/>
        </w:rPr>
        <w:t>12:58a</w:t>
      </w:r>
    </w:p>
    <w:p>
      <w:pPr/>
      <w:r>
        <w:rPr>
          <w:lang w:val="en_US" w:bidi="en_US"/>
        </w:rPr>
      </w:r>
      <w:r>
        <w:rPr>
          <w:b/>
          <w:lang w:val="en_US" w:bidi="en_US"/>
        </w:rPr>
        <w:t>Make every effort:</w:t>
      </w:r>
      <w:r>
        <w:rPr>
          <w:lang w:val="en_US" w:bidi="en_US"/>
        </w:rPr>
        <w:t xml:space="preserve"> The Greek phrase that the BSB translates as </w:t>
      </w:r>
      <w:r>
        <w:rPr>
          <w:i/>
          <w:lang w:val="en_US" w:bidi="en_US"/>
        </w:rPr>
        <w:t>Make every effort</w:t>
      </w:r>
      <w:r>
        <w:rPr>
          <w:lang w:val="en_US" w:bidi="en_US"/>
        </w:rPr>
        <w:t xml:space="preserve"> is more literally “make an effort.” Some English versions, such as the RSV and NJB, translate it that way. It refers here to making a serious effort. Other ways to express this meaning are:</w:t>
      </w:r>
    </w:p>
    <w:p>
      <w:pPr/>
      <w:r>
        <w:rPr>
          <w:lang w:val="en_US" w:bidi="en_US"/>
        </w:rPr>
      </w:r>
      <w:r>
        <w:rPr>
          <w:lang w:val="en_US" w:bidi="en_US"/>
        </w:rPr>
        <w:t>try (CEV)</w:t>
      </w:r>
    </w:p>
    <w:p>
      <w:pPr/>
      <w:r>
        <w:rPr>
          <w:lang w:val="en_US" w:bidi="en_US"/>
        </w:rPr>
      </w:r>
      <w:r>
        <w:rPr>
          <w:lang w:val="en_US" w:bidi="en_US"/>
        </w:rPr>
        <w:t>do your best (GW)</w:t>
      </w:r>
    </w:p>
    <w:p>
      <w:pPr/>
      <w:r>
        <w:rPr>
          <w:lang w:val="en_US" w:bidi="en_US"/>
        </w:rPr>
      </w:r>
      <w:r>
        <w:rPr>
          <w:b/>
          <w:lang w:val="en_US" w:bidi="en_US"/>
        </w:rPr>
        <w:t>to reconcile with your adversary:</w:t>
      </w:r>
      <w:r>
        <w:rPr>
          <w:lang w:val="en_US" w:bidi="en_US"/>
        </w:rPr>
        <w:t xml:space="preserve"> The Greek phrase that the BSB translates as </w:t>
      </w:r>
      <w:r>
        <w:rPr>
          <w:i/>
          <w:lang w:val="en_US" w:bidi="en_US"/>
        </w:rPr>
        <w:t>to reconcile with your adversary</w:t>
      </w:r>
      <w:r>
        <w:rPr>
          <w:lang w:val="en_US" w:bidi="en_US"/>
        </w:rPr>
        <w:t xml:space="preserve"> is more literally “to reach a settlement.” It means in this context that the accused person will try to settle the problem of his debt with the person who has accused him. Other ways to express this phrase are:</w:t>
      </w:r>
    </w:p>
    <w:p>
      <w:pPr/>
      <w:r>
        <w:rPr>
          <w:lang w:val="en_US" w:bidi="en_US"/>
        </w:rPr>
      </w:r>
      <w:r>
        <w:rPr>
          <w:lang w:val="en_US" w:bidi="en_US"/>
        </w:rPr>
        <w:t>to settle the dispute (GNT)</w:t>
      </w:r>
    </w:p>
    <w:p>
      <w:pPr/>
      <w:r>
        <w:rPr>
          <w:lang w:val="en_US" w:bidi="en_US"/>
        </w:rPr>
      </w:r>
      <w:r>
        <w:rPr>
          <w:lang w:val="en_US" w:bidi="en_US"/>
        </w:rPr>
        <w:t>to make an agreement with him</w:t>
      </w:r>
    </w:p>
    <w:p>
      <w:pPr/>
      <w:r>
        <w:rPr>
          <w:lang w:val="en_US" w:bidi="en_US"/>
        </w:rPr>
      </w:r>
      <w:r>
        <w:rPr>
          <w:b/>
          <w:lang w:val="en_US" w:bidi="en_US"/>
        </w:rPr>
        <w:t>adversary:</w:t>
      </w:r>
      <w:r>
        <w:rPr>
          <w:lang w:val="en_US" w:bidi="en_US"/>
        </w:rPr>
        <w:t xml:space="preserve"> The Greek word that the BSB translates as </w:t>
      </w:r>
      <w:r>
        <w:rPr>
          <w:i/>
          <w:lang w:val="en_US" w:bidi="en_US"/>
        </w:rPr>
        <w:t>adversary</w:t>
      </w:r>
      <w:r>
        <w:rPr>
          <w:lang w:val="en_US" w:bidi="en_US"/>
        </w:rPr>
        <w:t xml:space="preserve"> refers here to a person who plans to accuse someone in court.</w:t>
      </w:r>
    </w:p>
    <w:p>
      <w:pPr>
        <w:pStyle w:val="Heading5"/>
      </w:pPr>
      <w:r>
        <w:rPr>
          <w:lang w:val="en_US" w:bidi="en_US"/>
        </w:rPr>
        <w:t>12:58b</w:t>
      </w:r>
    </w:p>
    <w:p>
      <w:pPr/>
      <w:r>
        <w:rPr>
          <w:lang w:val="en_US" w:bidi="en_US"/>
        </w:rPr>
      </w:r>
      <w:r>
        <w:rPr>
          <w:b/>
          <w:lang w:val="en_US" w:bidi="en_US"/>
        </w:rPr>
        <w:t>while you are on your way to the magistrate:</w:t>
      </w:r>
      <w:r>
        <w:rPr>
          <w:lang w:val="en_US" w:bidi="en_US"/>
        </w:rPr>
        <w:t xml:space="preserve"> This clause describes a situation that could happen. It is not a story about something that was actually happening. It describes a person who is traveling to court with the person who plans to accuse him there. If your language has a natural way to indicate that Jesus was not talking about an actual situation, you may want to use it here. For example:</w:t>
      </w:r>
    </w:p>
    <w:p>
      <w:pPr/>
      <w:r>
        <w:rPr>
          <w:lang w:val="en_US" w:bidi="en_US"/>
        </w:rPr>
      </w:r>
      <w:r>
        <w:rPr>
          <w:lang w:val="en_US" w:bidi="en_US"/>
        </w:rPr>
        <w:t>For instance, when an opponent brings you to court in front of a ruler (GW)</w:t>
      </w:r>
    </w:p>
    <w:p>
      <w:pPr/>
      <w:r>
        <w:rPr>
          <w:lang w:val="en_US" w:bidi="en_US"/>
        </w:rPr>
      </w:r>
      <w:r>
        <w:rPr>
          <w:lang w:val="en_US" w:bidi="en_US"/>
        </w:rPr>
        <w:t>If someone brings a lawsuit against you and takes you to court (GNT)</w:t>
      </w:r>
    </w:p>
    <w:p>
      <w:pPr/>
      <w:r>
        <w:rPr>
          <w:lang w:val="en_US" w:bidi="en_US"/>
        </w:rPr>
      </w:r>
      <w:r>
        <w:rPr>
          <w:lang w:val="en_US" w:bidi="en_US"/>
        </w:rPr>
        <w:t>It is implied from 12:59 that the accused person will be accused of not paying a debt. In some languages it may be helpful to introduce this implied information earlier in the story. For example:</w:t>
      </w:r>
    </w:p>
    <w:p>
      <w:pPr/>
      <w:r>
        <w:rPr>
          <w:lang w:val="en_US" w:bidi="en_US"/>
        </w:rPr>
      </w:r>
      <w:r>
        <w:rPr>
          <w:lang w:val="en_US" w:bidi="en_US"/>
        </w:rPr>
        <w:t xml:space="preserve">Let’s suppose that someone plans to bring charges against you in court </w:t>
      </w:r>
      <w:r>
        <w:rPr>
          <w:lang w:val="en_US" w:bidi="en_US"/>
        </w:rPr>
        <w:t>because you owe him money</w:t>
      </w:r>
      <w:r>
        <w:rPr>
          <w:lang w:val="en_US" w:bidi="en_US"/>
        </w:rPr>
        <w:t>.</w:t>
      </w:r>
    </w:p>
    <w:p>
      <w:pPr/>
      <w:r>
        <w:rPr>
          <w:lang w:val="en_US" w:bidi="en_US"/>
        </w:rPr>
      </w:r>
      <w:r>
        <w:rPr>
          <w:b/>
          <w:lang w:val="en_US" w:bidi="en_US"/>
        </w:rPr>
        <w:t>while you are on your way:</w:t>
      </w:r>
      <w:r>
        <w:rPr>
          <w:lang w:val="en_US" w:bidi="en_US"/>
        </w:rPr>
        <w:t xml:space="preserve"> In this context, the phrase </w:t>
      </w:r>
      <w:r>
        <w:rPr>
          <w:i/>
          <w:lang w:val="en_US" w:bidi="en_US"/>
        </w:rPr>
        <w:t>while you are on your way</w:t>
      </w:r>
      <w:r>
        <w:rPr>
          <w:lang w:val="en_US" w:bidi="en_US"/>
        </w:rPr>
        <w:t xml:space="preserve"> refers literally to being on the journey to the court. However, if you have a more general expression that refers to making an out-of-court settlement, you may use it here. For example:</w:t>
      </w:r>
    </w:p>
    <w:p>
      <w:pPr/>
      <w:r>
        <w:rPr>
          <w:lang w:val="en_US" w:bidi="en_US"/>
        </w:rPr>
      </w:r>
      <w:r>
        <w:rPr>
          <w:lang w:val="en_US" w:bidi="en_US"/>
        </w:rPr>
        <w:t>out of court</w:t>
      </w:r>
    </w:p>
    <w:p>
      <w:pPr/>
      <w:r>
        <w:rPr>
          <w:lang w:val="en_US" w:bidi="en_US"/>
        </w:rPr>
      </w:r>
      <w:r>
        <w:rPr>
          <w:lang w:val="en_US" w:bidi="en_US"/>
        </w:rPr>
        <w:t>before you</w:t>
      </w:r>
      <w:r>
        <w:rPr>
          <w:vertAlign w:val="superscript"/>
          <w:lang w:val="en_US" w:bidi="en_US"/>
        </w:rPr>
        <w:t>(dual/plur)</w:t>
      </w:r>
      <w:r>
        <w:rPr>
          <w:lang w:val="en_US" w:bidi="en_US"/>
        </w:rPr>
        <w:t xml:space="preserve"> arrive there</w:t>
      </w:r>
    </w:p>
    <w:p>
      <w:pPr/>
      <w:r>
        <w:rPr>
          <w:lang w:val="en_US" w:bidi="en_US"/>
        </w:rPr>
      </w:r>
      <w:r>
        <w:rPr>
          <w:b/>
          <w:lang w:val="en_US" w:bidi="en_US"/>
        </w:rPr>
        <w:t>you:</w:t>
      </w:r>
      <w:r>
        <w:rPr>
          <w:lang w:val="en_US" w:bidi="en_US"/>
        </w:rPr>
        <w:t xml:space="preserve"> The Greek word for </w:t>
      </w:r>
      <w:r>
        <w:rPr>
          <w:i/>
          <w:lang w:val="en_US" w:bidi="en_US"/>
        </w:rPr>
        <w:t>you</w:t>
      </w:r>
      <w:r>
        <w:rPr>
          <w:lang w:val="en_US" w:bidi="en_US"/>
        </w:rPr>
        <w:t xml:space="preserve"> is in the singular. Jesus was describing a situation that any one of his listeners might face.</w:t>
      </w:r>
    </w:p>
    <w:p>
      <w:pPr/>
      <w:r>
        <w:rPr>
          <w:lang w:val="en_US" w:bidi="en_US"/>
        </w:rPr>
      </w:r>
      <w:r>
        <w:rPr>
          <w:b/>
          <w:lang w:val="en_US" w:bidi="en_US"/>
        </w:rPr>
        <w:t>magistrate:</w:t>
      </w:r>
      <w:r>
        <w:rPr>
          <w:lang w:val="en_US" w:bidi="en_US"/>
        </w:rPr>
        <w:t xml:space="preserve"> The Greek word that the BSB translates as </w:t>
      </w:r>
      <w:r>
        <w:rPr>
          <w:i/>
          <w:lang w:val="en_US" w:bidi="en_US"/>
        </w:rPr>
        <w:t>magistrate</w:t>
      </w:r>
      <w:r>
        <w:rPr>
          <w:lang w:val="en_US" w:bidi="en_US"/>
        </w:rPr>
        <w:t xml:space="preserve"> is a general word for a ruler or person in authority. In this context it refers to a judge who decides civil disputes in a court of law.</w:t>
      </w:r>
    </w:p>
    <w:p>
      <w:pPr>
        <w:pStyle w:val="Heading5"/>
      </w:pPr>
      <w:r>
        <w:rPr>
          <w:lang w:val="en_US" w:bidi="en_US"/>
        </w:rPr>
        <w:t>12:58c</w:t>
      </w:r>
    </w:p>
    <w:p>
      <w:pPr/>
      <w:r>
        <w:rPr>
          <w:lang w:val="en_US" w:bidi="en_US"/>
        </w:rPr>
      </w:r>
      <w:r>
        <w:rPr>
          <w:b/>
          <w:lang w:val="en_US" w:bidi="en_US"/>
        </w:rPr>
        <w:t>Otherwise, he may drag you off to the judge,</w:t>
      </w:r>
    </w:p>
    <w:p>
      <w:pPr>
        <w:pStyle w:val="ListBullet"/>
        <w:spacing w:line="240" w:lineRule="auto"/>
        <w:ind w:left="720"/>
      </w:pPr>
      <w:r>
        <w:rPr>
          <w:lang w:val="en_US" w:bidi="en_US"/>
        </w:rPr>
      </w:r>
      <w:r>
        <w:rPr>
          <w:lang w:val="en_US" w:bidi="en_US"/>
        </w:rPr>
        <w:t>That way, he will not force you</w:t>
      </w:r>
      <w:r>
        <w:rPr>
          <w:vertAlign w:val="superscript"/>
          <w:lang w:val="en_US" w:bidi="en_US"/>
        </w:rPr>
        <w:t>(sing)</w:t>
      </w:r>
      <w:r>
        <w:rPr>
          <w:lang w:val="en_US" w:bidi="en_US"/>
        </w:rPr>
        <w:t xml:space="preserve"> to face the judge.</w:t>
      </w:r>
    </w:p>
    <w:p>
      <w:pPr>
        <w:pStyle w:val="ListBullet"/>
        <w:spacing w:line="240" w:lineRule="auto"/>
        <w:ind w:left="720"/>
      </w:pPr>
      <w:r>
        <w:rPr>
          <w:lang w:val="en_US" w:bidi="en_US"/>
        </w:rPr>
      </w:r>
      <w:r>
        <w:rPr>
          <w:lang w:val="en_US" w:bidi="en_US"/>
        </w:rPr>
        <w:t>Otherwise, he will drag you</w:t>
      </w:r>
      <w:r>
        <w:rPr>
          <w:vertAlign w:val="superscript"/>
          <w:lang w:val="en_US" w:bidi="en_US"/>
        </w:rPr>
        <w:t>(sing)</w:t>
      </w:r>
      <w:r>
        <w:rPr>
          <w:lang w:val="en_US" w:bidi="en_US"/>
        </w:rPr>
        <w:t xml:space="preserve"> before the judge.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do not, he may force you</w:t>
      </w:r>
      <w:r>
        <w:rPr>
          <w:vertAlign w:val="superscript"/>
          <w:lang w:val="en_US" w:bidi="en_US"/>
        </w:rPr>
        <w:t>(sing)</w:t>
      </w:r>
      <w:r>
        <w:rPr>
          <w:lang w:val="en_US" w:bidi="en_US"/>
        </w:rPr>
        <w:t xml:space="preserve"> to go with him to the judge,</w:t>
      </w:r>
    </w:p>
    <w:p>
      <w:pPr/>
      <w:r>
        <w:rPr>
          <w:lang w:val="en_US" w:bidi="en_US"/>
        </w:rPr>
      </w:r>
      <w:r>
        <w:rPr>
          <w:b/>
          <w:lang w:val="en_US" w:bidi="en_US"/>
        </w:rPr>
        <w:t>Otherwise:</w:t>
      </w:r>
      <w:r>
        <w:rPr>
          <w:lang w:val="en_US" w:bidi="en_US"/>
        </w:rPr>
        <w:t xml:space="preserve"> The Greek conjunction that the BSB translates as </w:t>
      </w:r>
      <w:r>
        <w:rPr>
          <w:i/>
          <w:lang w:val="en_US" w:bidi="en_US"/>
        </w:rPr>
        <w:t>Otherwise</w:t>
      </w:r>
      <w:r>
        <w:rPr>
          <w:lang w:val="en_US" w:bidi="en_US"/>
        </w:rPr>
        <w:t xml:space="preserve"> is literally “lest” (meaning “so-that-not”). Some English versions, such as the RSV, translate it that way. It introduces a negative purpose, but most versions translate it as a negative consequence. It implies: “If you do not reach an agreement, this is what will happen.” Other ways to introduce the next clause are:</w:t>
      </w:r>
    </w:p>
    <w:p>
      <w:pPr/>
      <w:r>
        <w:rPr>
          <w:lang w:val="en_US" w:bidi="en_US"/>
        </w:rPr>
      </w:r>
      <w:r>
        <w:rPr>
          <w:u w:val="single"/>
          <w:lang w:val="en_US" w:bidi="en_US"/>
        </w:rPr>
        <w:t>If you don’t</w:t>
      </w:r>
      <w:r>
        <w:rPr>
          <w:lang w:val="en_US" w:bidi="en_US"/>
        </w:rPr>
        <w:t>, you will be dragged (CEV)</w:t>
      </w:r>
    </w:p>
    <w:p>
      <w:pPr/>
      <w:r>
        <w:rPr>
          <w:lang w:val="en_US" w:bidi="en_US"/>
        </w:rPr>
      </w:r>
      <w:r>
        <w:rPr>
          <w:u w:val="single"/>
          <w:lang w:val="en_US" w:bidi="en_US"/>
        </w:rPr>
        <w:t>or</w:t>
      </w:r>
      <w:r>
        <w:rPr>
          <w:lang w:val="en_US" w:bidi="en_US"/>
        </w:rPr>
        <w:t xml:space="preserve"> your adversary may drag you off (NIV)</w:t>
      </w:r>
    </w:p>
    <w:p>
      <w:pPr/>
      <w:r>
        <w:rPr>
          <w:lang w:val="en_US" w:bidi="en_US"/>
        </w:rPr>
      </w:r>
      <w:r>
        <w:rPr>
          <w:b/>
          <w:lang w:val="en_US" w:bidi="en_US"/>
        </w:rPr>
        <w:t>he may drag you off to the judge:</w:t>
      </w:r>
      <w:r>
        <w:rPr>
          <w:lang w:val="en_US" w:bidi="en_US"/>
        </w:rPr>
        <w:t xml:space="preserve"> The Greek phrase that the BSB translates as </w:t>
      </w:r>
      <w:r>
        <w:rPr>
          <w:i/>
          <w:lang w:val="en_US" w:bidi="en_US"/>
        </w:rPr>
        <w:t>he may drag you off</w:t>
      </w:r>
      <w:r>
        <w:rPr>
          <w:lang w:val="en_US" w:bidi="en_US"/>
        </w:rPr>
        <w:t xml:space="preserve"> means “he may force/compel you.” It refers to taking someone somewhere he does not want to go.</w:t>
      </w:r>
    </w:p>
    <w:p>
      <w:pPr/>
      <w:r>
        <w:rPr>
          <w:lang w:val="en_US" w:bidi="en_US"/>
        </w:rPr>
      </w:r>
      <w:r>
        <w:rPr>
          <w:b/>
          <w:lang w:val="en_US" w:bidi="en_US"/>
        </w:rPr>
        <w:t>the judge:</w:t>
      </w:r>
      <w:r>
        <w:rPr>
          <w:lang w:val="en_US" w:bidi="en_US"/>
        </w:rPr>
        <w:t xml:space="preserve"> The Greek word that the BSB translates as </w:t>
      </w:r>
      <w:r>
        <w:rPr>
          <w:i/>
          <w:lang w:val="en_US" w:bidi="en_US"/>
        </w:rPr>
        <w:t>judge</w:t>
      </w:r>
      <w:r>
        <w:rPr>
          <w:lang w:val="en_US" w:bidi="en_US"/>
        </w:rPr>
        <w:t xml:space="preserve"> is not the same word as the word translated as “magistrate” in 12:58a. However, in this context it probably refers to the same person.</w:t>
      </w:r>
      <w:r>
        <w:rPr>
          <w:lang w:val="en_US" w:bidi="en_US"/>
        </w:rPr>
        <w:t>Some scholars think that the accuser asks a magistrate to arrest the accused person. The magistrate then drags the accused person before a judge (a different official). Most scholars understand the words “magistrate” and “judge” to refer to the same person.</w:t>
      </w:r>
      <w:r>
        <w:rPr>
          <w:lang w:val="en_US" w:bidi="en_US"/>
        </w:rPr>
        <w:t xml:space="preserve"> It is a more specific word for the person in charge of a law court.</w:t>
      </w:r>
    </w:p>
    <w:p>
      <w:pPr>
        <w:pStyle w:val="Heading5"/>
      </w:pPr>
      <w:r>
        <w:rPr>
          <w:lang w:val="en_US" w:bidi="en_US"/>
        </w:rPr>
        <w:t>12:58d</w:t>
      </w:r>
    </w:p>
    <w:p>
      <w:pPr/>
      <w:r>
        <w:rPr>
          <w:lang w:val="en_US" w:bidi="en_US"/>
        </w:rPr>
      </w:r>
      <w:r>
        <w:rPr>
          <w:b/>
          <w:lang w:val="en_US" w:bidi="en_US"/>
        </w:rPr>
        <w:t>and the judge may hand you over to the officer,</w:t>
      </w:r>
    </w:p>
    <w:p>
      <w:pPr>
        <w:pStyle w:val="ListBullet"/>
        <w:spacing w:line="240" w:lineRule="auto"/>
        <w:ind w:left="720"/>
      </w:pPr>
      <w:r>
        <w:rPr>
          <w:lang w:val="en_US" w:bidi="en_US"/>
        </w:rPr>
      </w:r>
      <w:r>
        <w:rPr>
          <w:lang w:val="en_US" w:bidi="en_US"/>
        </w:rPr>
        <w:t>If that happens,</w:t>
      </w:r>
      <w:r>
        <w:rPr>
          <w:lang w:val="en_US" w:bidi="en_US"/>
        </w:rPr>
        <w:t xml:space="preserve"> the judge will turn you</w:t>
      </w:r>
      <w:r>
        <w:rPr>
          <w:vertAlign w:val="superscript"/>
          <w:lang w:val="en_US" w:bidi="en_US"/>
        </w:rPr>
        <w:t>(sing)</w:t>
      </w:r>
      <w:r>
        <w:rPr>
          <w:lang w:val="en_US" w:bidi="en_US"/>
        </w:rPr>
        <w:t xml:space="preserve"> over to the official in charge of the jail,</w:t>
      </w:r>
    </w:p>
    <w:p>
      <w:pPr>
        <w:pStyle w:val="ListBullet"/>
        <w:spacing w:line="240" w:lineRule="auto"/>
        <w:ind w:left="720"/>
      </w:pPr>
      <w:r>
        <w:rPr>
          <w:lang w:val="en_US" w:bidi="en_US"/>
        </w:rPr>
      </w:r>
      <w:r>
        <w:rPr>
          <w:lang w:val="en_US" w:bidi="en_US"/>
        </w:rPr>
        <w:t>and the judge may hand you</w:t>
      </w:r>
      <w:r>
        <w:rPr>
          <w:vertAlign w:val="superscript"/>
          <w:lang w:val="en_US" w:bidi="en_US"/>
        </w:rPr>
        <w:t>(sing)</w:t>
      </w:r>
      <w:r>
        <w:rPr>
          <w:lang w:val="en_US" w:bidi="en_US"/>
        </w:rPr>
        <w:t xml:space="preserve"> over to the policeman/jailor.</w:t>
      </w:r>
    </w:p>
    <w:p>
      <w:pPr/>
      <w:r>
        <w:rPr>
          <w:lang w:val="en_US" w:bidi="en_US"/>
        </w:rPr>
      </w:r>
      <w:r>
        <w:rPr>
          <w:b/>
          <w:lang w:val="en_US" w:bidi="en_US"/>
        </w:rPr>
        <w:t>and the judge may hand you over to the officer:</w:t>
      </w:r>
      <w:r>
        <w:rPr>
          <w:lang w:val="en_US" w:bidi="en_US"/>
        </w:rPr>
        <w:t xml:space="preserve"> The Greek phrase that the BSB translates as </w:t>
      </w:r>
      <w:r>
        <w:rPr>
          <w:i/>
          <w:lang w:val="en_US" w:bidi="en_US"/>
        </w:rPr>
        <w:t>hand you over</w:t>
      </w:r>
      <w:r>
        <w:rPr>
          <w:lang w:val="en_US" w:bidi="en_US"/>
        </w:rPr>
        <w:t xml:space="preserve"> means “put you into the power/authority of.”</w:t>
      </w:r>
    </w:p>
    <w:p>
      <w:pPr/>
      <w:r>
        <w:rPr>
          <w:lang w:val="en_US" w:bidi="en_US"/>
        </w:rPr>
      </w:r>
      <w:r>
        <w:rPr>
          <w:b/>
          <w:lang w:val="en_US" w:bidi="en_US"/>
        </w:rPr>
        <w:t>officer:</w:t>
      </w:r>
      <w:r>
        <w:rPr>
          <w:lang w:val="en_US" w:bidi="en_US"/>
        </w:rPr>
        <w:t xml:space="preserve"> The Greek word that the BSB translates as </w:t>
      </w:r>
      <w:r>
        <w:rPr>
          <w:i/>
          <w:lang w:val="en_US" w:bidi="en_US"/>
        </w:rPr>
        <w:t>officer</w:t>
      </w:r>
      <w:r>
        <w:rPr>
          <w:lang w:val="en_US" w:bidi="en_US"/>
        </w:rPr>
        <w:t xml:space="preserve"> refers to the official who carried out the judge’s orders. It was probably the policeman or jailor in charge of the prison. Other ways to translate this word are:</w:t>
      </w:r>
    </w:p>
    <w:p>
      <w:pPr/>
      <w:r>
        <w:rPr>
          <w:lang w:val="en_US" w:bidi="en_US"/>
        </w:rPr>
      </w:r>
      <w:r>
        <w:rPr>
          <w:lang w:val="en_US" w:bidi="en_US"/>
        </w:rPr>
        <w:t>the jailer (CEV)</w:t>
      </w:r>
    </w:p>
    <w:p>
      <w:pPr/>
      <w:r>
        <w:rPr>
          <w:lang w:val="en_US" w:bidi="en_US"/>
        </w:rPr>
      </w:r>
      <w:r>
        <w:rPr>
          <w:lang w:val="en_US" w:bidi="en_US"/>
        </w:rPr>
        <w:t>the police (GNT)</w:t>
      </w:r>
    </w:p>
    <w:p>
      <w:pPr>
        <w:pStyle w:val="Heading5"/>
      </w:pPr>
      <w:r>
        <w:rPr>
          <w:lang w:val="en_US" w:bidi="en_US"/>
        </w:rPr>
        <w:t>12:58e</w:t>
      </w:r>
    </w:p>
    <w:p>
      <w:pPr/>
      <w:r>
        <w:rPr>
          <w:lang w:val="en_US" w:bidi="en_US"/>
        </w:rPr>
      </w:r>
      <w:r>
        <w:rPr>
          <w:b/>
          <w:lang w:val="en_US" w:bidi="en_US"/>
        </w:rPr>
        <w:t>and the officer may throw you into prison.</w:t>
      </w:r>
    </w:p>
    <w:p>
      <w:pPr>
        <w:pStyle w:val="ListBullet"/>
        <w:spacing w:line="240" w:lineRule="auto"/>
        <w:ind w:left="720"/>
      </w:pPr>
      <w:r>
        <w:rPr>
          <w:lang w:val="en_US" w:bidi="en_US"/>
        </w:rPr>
      </w:r>
      <w:r>
        <w:rPr>
          <w:lang w:val="en_US" w:bidi="en_US"/>
        </w:rPr>
        <w:t>and he will imprison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That policeman/jailor will then lock/throw you</w:t>
      </w:r>
      <w:r>
        <w:rPr>
          <w:vertAlign w:val="superscript"/>
          <w:lang w:val="en_US" w:bidi="en_US"/>
        </w:rPr>
        <w:t>(sing)</w:t>
      </w:r>
      <w:r>
        <w:rPr>
          <w:lang w:val="en_US" w:bidi="en_US"/>
        </w:rPr>
        <w:t xml:space="preserve"> in jail.</w:t>
      </w:r>
    </w:p>
    <w:p>
      <w:pPr/>
      <w:r>
        <w:rPr>
          <w:lang w:val="en_US" w:bidi="en_US"/>
        </w:rPr>
      </w:r>
      <w:r>
        <w:rPr>
          <w:b/>
          <w:lang w:val="en_US" w:bidi="en_US"/>
        </w:rPr>
        <w:t>and the officer may throw you into prison:</w:t>
      </w:r>
      <w:r>
        <w:rPr>
          <w:lang w:val="en_US" w:bidi="en_US"/>
        </w:rPr>
        <w:t xml:space="preserve"> The phrase that the BSB translates as </w:t>
      </w:r>
      <w:r>
        <w:rPr>
          <w:i/>
          <w:lang w:val="en_US" w:bidi="en_US"/>
        </w:rPr>
        <w:t>throw you</w:t>
      </w:r>
      <w:r>
        <w:rPr>
          <w:lang w:val="en_US" w:bidi="en_US"/>
        </w:rPr>
        <w:t xml:space="preserve"> here means “put you against your will.” Another way to translate this is:</w:t>
      </w:r>
    </w:p>
    <w:p>
      <w:pPr/>
      <w:r>
        <w:rPr>
          <w:lang w:val="en_US" w:bidi="en_US"/>
        </w:rPr>
      </w:r>
      <w:r>
        <w:rPr>
          <w:lang w:val="en_US" w:bidi="en_US"/>
        </w:rPr>
        <w:t>and you will be locked up (CEV)</w:t>
      </w:r>
      <w:r>
        <w:rPr>
          <w:lang w:val="en_US" w:bidi="en_US"/>
        </w:rPr>
      </w:r>
      <w:r>
        <w:rPr>
          <w:lang w:val="en_US" w:bidi="en_US"/>
        </w:rPr>
      </w:r>
    </w:p>
    <w:p>
      <w:pPr/>
      <w:r>
        <w:rPr>
          <w:lang w:val="en_US" w:bidi="en_US"/>
        </w:rPr>
      </w:r>
    </w:p>
    <w:p>
      <w:pPr>
        <w:pStyle w:val="Heading2"/>
      </w:pPr>
      <w:r>
        <w:rPr>
          <w:lang w:val="en_US" w:bidi="en_US"/>
        </w:rPr>
        <w:t>Luke 12:59</w:t>
      </w:r>
      <w:r>
        <w:rPr>
          <w:lang w:val="en_US" w:bidi="en_US"/>
        </w:rPr>
      </w:r>
    </w:p>
    <w:p>
      <w:pPr>
        <w:pStyle w:val="Heading4"/>
      </w:pPr>
      <w:r>
        <w:rPr>
          <w:lang w:val="en_US" w:bidi="en_US"/>
        </w:rPr>
        <w:t>Section 12:54–59: Jesus told the people to prepare for what was about to happen</w:t>
      </w:r>
    </w:p>
    <w:p>
      <w:pPr/>
      <w:r>
        <w:rPr>
          <w:lang w:val="en_US" w:bidi="en_US"/>
        </w:rPr>
      </w:r>
      <w:r>
        <w:rPr>
          <w:lang w:val="en_US" w:bidi="en_US"/>
        </w:rPr>
        <w:t>In this section Jesus again spoke to the crowd. He first rebuked them because they understood signs that the weather was going to change, but they did not understand what God was about to do. They did not know what to expect from God by the things that they saw Jesus doing. What he taught, the miracles he did, and the things that were happening to him showed that God had sent him. The people should have known and believed that he was the Messiah, and that they needed to listen to him and repent of their sins (12:54–57). Jesus warned them about this by telling them a parable about a legal dispute. The parable showed that they should reconcile with God before the time of judgment arrived (12:58–59).</w:t>
      </w:r>
    </w:p>
    <w:p>
      <w:pPr/>
      <w:r>
        <w:rPr>
          <w:lang w:val="en_US" w:bidi="en_US"/>
        </w:rPr>
      </w:r>
      <w:r>
        <w:rPr>
          <w:lang w:val="en_US" w:bidi="en_US"/>
        </w:rPr>
        <w:t>Other possible headings for this section are:</w:t>
      </w:r>
    </w:p>
    <w:p>
      <w:pPr/>
      <w:r>
        <w:rPr>
          <w:lang w:val="en_US" w:bidi="en_US"/>
        </w:rPr>
      </w:r>
      <w:r>
        <w:rPr>
          <w:lang w:val="en_US" w:bidi="en_US"/>
        </w:rPr>
        <w:t>Understanding the Times (NCV)</w:t>
      </w:r>
    </w:p>
    <w:p>
      <w:pPr/>
      <w:r>
        <w:rPr>
          <w:lang w:val="en_US" w:bidi="en_US"/>
        </w:rPr>
      </w:r>
      <w:r>
        <w:rPr>
          <w:lang w:val="en_US" w:bidi="en_US"/>
        </w:rPr>
        <w:t>Discern What God Wants You to Do in These Days</w:t>
      </w:r>
    </w:p>
    <w:p>
      <w:pPr/>
      <w:r>
        <w:rPr>
          <w:lang w:val="en_US" w:bidi="en_US"/>
        </w:rPr>
      </w:r>
      <w:r>
        <w:rPr>
          <w:lang w:val="en_US" w:bidi="en_US"/>
        </w:rPr>
        <w:t>There is a parallel passage for 12:54–56 in Matthew 16:2–3. There is a parallel passage for 12:57–59 in Matthew 5:25–26.</w:t>
      </w:r>
    </w:p>
    <w:p>
      <w:pPr>
        <w:pStyle w:val="Heading4"/>
      </w:pPr>
      <w:r>
        <w:rPr>
          <w:lang w:val="en_US" w:bidi="en_US"/>
        </w:rPr>
        <w:t>Paragraph 12:58–59</w:t>
      </w:r>
    </w:p>
    <w:p>
      <w:pPr/>
      <w:r>
        <w:rPr>
          <w:lang w:val="en_US" w:bidi="en_US"/>
        </w:rPr>
      </w:r>
      <w:r>
        <w:rPr>
          <w:lang w:val="en_US" w:bidi="en_US"/>
        </w:rPr>
        <w:t>In this paragraph Jesus continued to speak to the crowd. He used a parable to warn the people that they should reconcile with God before the time of judgment arrived. If your readers will not understand the figurative meaning of the parable, you may wish to explain the meaning briefly in a footnote. An example of a possible footnote is:</w:t>
      </w:r>
    </w:p>
    <w:p>
      <w:pPr/>
      <w:r>
        <w:rPr>
          <w:lang w:val="en_US" w:bidi="en_US"/>
        </w:rPr>
      </w:r>
      <w:r>
        <w:rPr>
          <w:lang w:val="en_US" w:bidi="en_US"/>
        </w:rPr>
        <w:t>Jesus told the people this parable/illustration to warn them that they needed to make peace with God before the time came for him to judge them.</w:t>
      </w:r>
    </w:p>
    <w:p>
      <w:pPr>
        <w:pStyle w:val="Heading5"/>
      </w:pPr>
      <w:r>
        <w:rPr>
          <w:lang w:val="en_US" w:bidi="en_US"/>
        </w:rPr>
        <w:t>12:59</w:t>
      </w:r>
    </w:p>
    <w:p>
      <w:pPr/>
      <w:r>
        <w:rPr>
          <w:lang w:val="en_US" w:bidi="en_US"/>
        </w:rPr>
      </w:r>
      <w:r>
        <w:rPr>
          <w:b/>
          <w:lang w:val="en_US" w:bidi="en_US"/>
        </w:rPr>
        <w:t>I tell you, you will not get out until you have paid the very last penny.”</w:t>
      </w:r>
    </w:p>
    <w:p>
      <w:pPr>
        <w:pStyle w:val="ListBullet"/>
        <w:spacing w:line="240" w:lineRule="auto"/>
        <w:ind w:left="720"/>
      </w:pPr>
      <w:r>
        <w:rPr>
          <w:lang w:val="en_US" w:bidi="en_US"/>
        </w:rPr>
      </w:r>
      <w:r>
        <w:rPr>
          <w:lang w:val="en_US" w:bidi="en_US"/>
        </w:rPr>
        <w:t>I tell you</w:t>
      </w:r>
      <w:r>
        <w:rPr>
          <w:vertAlign w:val="superscript"/>
          <w:lang w:val="en_US" w:bidi="en_US"/>
        </w:rPr>
        <w:t>(sing)</w:t>
      </w:r>
      <w:r>
        <w:rPr>
          <w:lang w:val="en_US" w:bidi="en_US"/>
        </w:rPr>
        <w:t xml:space="preserve"> this: you will have to pay every penny/cent </w:t>
      </w:r>
      <w:r>
        <w:rPr>
          <w:lang w:val="en_US" w:bidi="en_US"/>
        </w:rPr>
        <w:t>of your debt</w:t>
      </w:r>
      <w:r>
        <w:rPr>
          <w:lang w:val="en_US" w:bidi="en_US"/>
        </w:rPr>
        <w:t xml:space="preserve"> before you can get out of jail.”</w:t>
      </w:r>
    </w:p>
    <w:p>
      <w:pPr>
        <w:pStyle w:val="ListBullet"/>
        <w:spacing w:line="240" w:lineRule="auto"/>
        <w:ind w:left="720"/>
      </w:pPr>
      <w:r>
        <w:rPr>
          <w:lang w:val="en_US" w:bidi="en_US"/>
        </w:rPr>
      </w:r>
      <w:r>
        <w:rPr>
          <w:lang w:val="en_US" w:bidi="en_US"/>
        </w:rPr>
        <w:t>I assure you</w:t>
      </w:r>
      <w:r>
        <w:rPr>
          <w:vertAlign w:val="superscript"/>
          <w:lang w:val="en_US" w:bidi="en_US"/>
        </w:rPr>
        <w:t>(sing)</w:t>
      </w:r>
      <w:r>
        <w:rPr>
          <w:lang w:val="en_US" w:bidi="en_US"/>
        </w:rPr>
        <w:t xml:space="preserve"> that you will not be able to leave the jail until you pay everything </w:t>
      </w:r>
      <w:r>
        <w:rPr>
          <w:lang w:val="en_US" w:bidi="en_US"/>
        </w:rPr>
        <w:t>that you owe</w:t>
      </w:r>
      <w:r>
        <w:rPr>
          <w:lang w:val="en_US" w:bidi="en_US"/>
        </w:rPr>
        <w:t>.”</w:t>
      </w:r>
    </w:p>
    <w:p>
      <w:pPr/>
      <w:r>
        <w:rPr>
          <w:lang w:val="en_US" w:bidi="en_US"/>
        </w:rPr>
      </w:r>
      <w:r>
        <w:rPr>
          <w:b/>
          <w:lang w:val="en_US" w:bidi="en_US"/>
        </w:rPr>
        <w:t>I tell you:</w:t>
      </w:r>
      <w:r>
        <w:rPr>
          <w:lang w:val="en_US" w:bidi="en_US"/>
        </w:rPr>
        <w:t xml:space="preserve"> Jesus often used the words </w:t>
      </w:r>
      <w:r>
        <w:rPr>
          <w:i/>
          <w:lang w:val="en_US" w:bidi="en_US"/>
        </w:rPr>
        <w:t>I tell you</w:t>
      </w:r>
      <w:r>
        <w:rPr>
          <w:lang w:val="en_US" w:bidi="en_US"/>
        </w:rPr>
        <w:t xml:space="preserve"> to begin a statement that he wanted to emphasize. He was asking people to listen with extra attention. For additional translation suggestions, see the notes on 10:24a and 12:27c.</w:t>
      </w:r>
    </w:p>
    <w:p>
      <w:pPr/>
      <w:r>
        <w:rPr>
          <w:lang w:val="en_US" w:bidi="en_US"/>
        </w:rPr>
      </w:r>
      <w:r>
        <w:rPr>
          <w:b/>
          <w:lang w:val="en_US" w:bidi="en_US"/>
        </w:rPr>
        <w:t>you will not get out until you have paid the very last penny:</w:t>
      </w:r>
      <w:r>
        <w:rPr>
          <w:lang w:val="en_US" w:bidi="en_US"/>
        </w:rPr>
        <w:t xml:space="preserve"> The expression </w:t>
      </w:r>
      <w:r>
        <w:rPr>
          <w:i/>
          <w:lang w:val="en_US" w:bidi="en_US"/>
        </w:rPr>
        <w:t>you will not get out until you have paid the very last penny</w:t>
      </w:r>
      <w:r>
        <w:rPr>
          <w:lang w:val="en_US" w:bidi="en_US"/>
        </w:rPr>
        <w:t xml:space="preserve"> means “you will not be able to leave the jail until you have paid all the money that you owe.”</w:t>
      </w:r>
    </w:p>
    <w:p>
      <w:pPr/>
      <w:r>
        <w:rPr>
          <w:lang w:val="en_US" w:bidi="en_US"/>
        </w:rPr>
      </w:r>
      <w:r>
        <w:rPr>
          <w:b/>
          <w:lang w:val="en_US" w:bidi="en_US"/>
        </w:rPr>
        <w:t>the very last penny:</w:t>
      </w:r>
      <w:r>
        <w:rPr>
          <w:lang w:val="en_US" w:bidi="en_US"/>
        </w:rPr>
        <w:t xml:space="preserve"> The word that the BSB translates as </w:t>
      </w:r>
      <w:r>
        <w:rPr>
          <w:i/>
          <w:lang w:val="en_US" w:bidi="en_US"/>
        </w:rPr>
        <w:t>penny</w:t>
      </w:r>
      <w:r>
        <w:rPr>
          <w:lang w:val="en_US" w:bidi="en_US"/>
        </w:rPr>
        <w:t xml:space="preserve"> referred to the Roman coin with the smallest value. The phrase </w:t>
      </w:r>
      <w:r>
        <w:rPr>
          <w:i/>
          <w:lang w:val="en_US" w:bidi="en_US"/>
        </w:rPr>
        <w:t>the very last penny</w:t>
      </w:r>
      <w:r>
        <w:rPr>
          <w:lang w:val="en_US" w:bidi="en_US"/>
        </w:rPr>
        <w:t xml:space="preserve"> is an idiomatic way of saying “all of the money.” In this context, it could refer to one of two things:</w:t>
      </w:r>
    </w:p>
    <w:p>
      <w:pPr>
        <w:pStyle w:val="ListNumber"/>
        <w:numPr>
          <w:ilvl w:val="0"/>
          <w:numId w:val="248"/>
        </w:numPr>
        <w:spacing w:line="240" w:lineRule="auto"/>
        <w:ind w:left="720"/>
      </w:pPr>
      <w:r>
        <w:rPr>
          <w:lang w:val="en_US" w:bidi="en_US"/>
        </w:rPr>
      </w:r>
      <w:r>
        <w:rPr>
          <w:lang w:val="en_US" w:bidi="en_US"/>
        </w:rPr>
        <w:t xml:space="preserve">It refers to </w:t>
      </w:r>
      <w:r>
        <w:rPr>
          <w:u w:val="single"/>
          <w:lang w:val="en_US" w:bidi="en_US"/>
        </w:rPr>
        <w:t>a debt</w:t>
      </w:r>
      <w:r>
        <w:rPr>
          <w:lang w:val="en_US" w:bidi="en_US"/>
        </w:rPr>
        <w:t>. The prisoner owed money to the adversary mentioned in 12:58a. The judge decided that the prisoner must pay back this debt before he could get out of jail. For example:</w:t>
      </w:r>
      <w:r>
        <w:rPr>
          <w:lang w:val="en_US" w:bidi="en_US"/>
        </w:rPr>
        <w:t>the last cent you owe (CEV)</w:t>
      </w:r>
      <w:r>
        <w:rPr>
          <w:lang w:val="en_US" w:bidi="en_US"/>
        </w:rPr>
        <w:t xml:space="preserve">the last penny of your debt </w:t>
      </w:r>
      <w:r>
        <w:rPr>
          <w:i/>
          <w:lang w:val="en_US" w:bidi="en_US"/>
        </w:rPr>
        <w:t>(CEV, NCV)</w:t>
      </w:r>
    </w:p>
    <w:p>
      <w:pPr>
        <w:pStyle w:val="ListNumber"/>
        <w:spacing w:line="240" w:lineRule="auto"/>
        <w:ind w:left="720"/>
      </w:pPr>
      <w:r>
        <w:rPr>
          <w:lang w:val="en_US" w:bidi="en_US"/>
        </w:rPr>
      </w:r>
      <w:r>
        <w:rPr>
          <w:lang w:val="en_US" w:bidi="en_US"/>
        </w:rPr>
        <w:t xml:space="preserve">It refers to </w:t>
      </w:r>
      <w:r>
        <w:rPr>
          <w:u w:val="single"/>
          <w:lang w:val="en_US" w:bidi="en_US"/>
        </w:rPr>
        <w:t>a court fine</w:t>
      </w:r>
      <w:r>
        <w:rPr>
          <w:lang w:val="en_US" w:bidi="en_US"/>
        </w:rPr>
        <w:t>. The judge decided that the prisoner had to pay a certain amount to the court as his punishment. For example:</w:t>
      </w:r>
      <w:r>
        <w:rPr>
          <w:lang w:val="en_US" w:bidi="en_US"/>
        </w:rPr>
        <w:t xml:space="preserve">the last penny of your fine (GNT) </w:t>
      </w:r>
      <w:r>
        <w:rPr>
          <w:i/>
          <w:lang w:val="en_US" w:bidi="en_US"/>
        </w:rPr>
        <w:t>(GNT, GW)</w:t>
      </w:r>
    </w:p>
    <w:p>
      <w:pPr/>
      <w:r>
        <w:rPr>
          <w:lang w:val="en_US" w:bidi="en_US"/>
        </w:rPr>
      </w:r>
      <w:r>
        <w:rPr>
          <w:lang w:val="en_US" w:bidi="en_US"/>
        </w:rPr>
        <w:t>The Greek text and most English versions do not specify what the last penny refers to. If possible, translate in a way that would include both possibilities. If you need to be explicit in your translation, it is recommended that you follow interpretation (1), along with most scholars. It was a common practice to put people who could not pay their debts in prison. Jesus told other parables about canceling debts (Luke 7:41–43) or about people being imprisoned for unpaid debts (see Matthew 18:30).</w:t>
      </w:r>
      <w:r>
        <w:rPr>
          <w:lang w:val="en_US" w:bidi="en_US"/>
        </w:rPr>
      </w:r>
      <w:r>
        <w:rPr>
          <w:lang w:val="en_US" w:bidi="en_US"/>
        </w:rPr>
      </w:r>
    </w:p>
    <w:p>
      <w:pPr/>
      <w:r>
        <w:rPr>
          <w:lang w:val="en_US" w:bidi="en_US"/>
        </w:rPr>
      </w:r>
    </w:p>
    <w:p>
      <w:pPr>
        <w:pStyle w:val="Heading2"/>
      </w:pPr>
      <w:r>
        <w:rPr>
          <w:lang w:val="en_US" w:bidi="en_US"/>
        </w:rPr>
        <w:t>Luke 13:1</w:t>
      </w:r>
      <w:r>
        <w:rPr>
          <w:lang w:val="en_US" w:bidi="en_US"/>
        </w:rPr>
      </w:r>
    </w:p>
    <w:p>
      <w:pPr>
        <w:pStyle w:val="Heading4"/>
      </w:pPr>
      <w:r>
        <w:rPr>
          <w:lang w:val="en_US" w:bidi="en_US"/>
        </w:rPr>
        <w:t>Section 13:1–5: Everyone must repent</w:t>
      </w:r>
    </w:p>
    <w:p>
      <w:pPr/>
      <w:r>
        <w:rPr>
          <w:lang w:val="en_US" w:bidi="en_US"/>
        </w:rPr>
      </w:r>
      <w:r>
        <w:rPr>
          <w:lang w:val="en_US" w:bidi="en_US"/>
        </w:rPr>
        <w:t>In this section Jesus continued his teaching about God judging people by saying that people needed to repent. Pilate’s soldiers had recently murdered some people from Galilee. Other people had died when a tower fell on them. The crowd that was listening to Jesus thought that all these people had died because they had been evil and God was punishing them. But Jesus told the crowd that they themselves needed to repent just as much as those people who died had needed to repent.</w:t>
      </w:r>
    </w:p>
    <w:p>
      <w:pPr/>
      <w:r>
        <w:rPr>
          <w:lang w:val="en_US" w:bidi="en_US"/>
        </w:rPr>
      </w:r>
      <w:r>
        <w:rPr>
          <w:lang w:val="en_US" w:bidi="en_US"/>
        </w:rPr>
        <w:t>Other possible headings for this section are:</w:t>
      </w:r>
    </w:p>
    <w:p>
      <w:pPr/>
      <w:r>
        <w:rPr>
          <w:lang w:val="en_US" w:bidi="en_US"/>
        </w:rPr>
      </w:r>
      <w:r>
        <w:rPr>
          <w:lang w:val="en_US" w:bidi="en_US"/>
        </w:rPr>
        <w:t>Jesus told people to repent or they would die</w:t>
      </w:r>
    </w:p>
    <w:p>
      <w:pPr/>
      <w:r>
        <w:rPr>
          <w:lang w:val="en_US" w:bidi="en_US"/>
        </w:rPr>
      </w:r>
      <w:r>
        <w:rPr>
          <w:lang w:val="en_US" w:bidi="en_US"/>
        </w:rPr>
        <w:t>Turn from your sins or die (GNT)</w:t>
      </w:r>
    </w:p>
    <w:p>
      <w:pPr/>
      <w:r>
        <w:rPr>
          <w:lang w:val="en_US" w:bidi="en_US"/>
        </w:rPr>
      </w:r>
      <w:r>
        <w:rPr>
          <w:lang w:val="en_US" w:bidi="en_US"/>
        </w:rPr>
        <w:t>This teaching occurs only in Luke.</w:t>
      </w:r>
    </w:p>
    <w:p>
      <w:pPr>
        <w:pStyle w:val="Heading5"/>
      </w:pPr>
      <w:r>
        <w:rPr>
          <w:lang w:val="en_US" w:bidi="en_US"/>
        </w:rPr>
        <w:t>13:1a</w:t>
      </w:r>
    </w:p>
    <w:p>
      <w:pPr/>
      <w:r>
        <w:rPr>
          <w:lang w:val="en_US" w:bidi="en_US"/>
        </w:rPr>
      </w:r>
      <w:r>
        <w:rPr>
          <w:b/>
          <w:lang w:val="en_US" w:bidi="en_US"/>
        </w:rPr>
        <w:t>At that time some of those present told Jesus about the Galileans</w:t>
      </w:r>
    </w:p>
    <w:p>
      <w:pPr>
        <w:pStyle w:val="ListBullet"/>
        <w:spacing w:line="240" w:lineRule="auto"/>
        <w:ind w:left="720"/>
      </w:pPr>
      <w:r>
        <w:rPr>
          <w:lang w:val="en_US" w:bidi="en_US"/>
        </w:rPr>
      </w:r>
      <w:r>
        <w:rPr>
          <w:lang w:val="en_US" w:bidi="en_US"/>
        </w:rPr>
        <w:t xml:space="preserve">¶ At that time some people there talked/reported to Jesus about certain men from </w:t>
      </w:r>
      <w:r>
        <w:rPr>
          <w:lang w:val="en_US" w:bidi="en_US"/>
        </w:rPr>
        <w:t>the region/province of</w:t>
      </w:r>
      <w:r>
        <w:rPr>
          <w:lang w:val="en_US" w:bidi="en_US"/>
        </w:rPr>
        <w:t xml:space="preserve"> Galilee</w:t>
      </w:r>
    </w:p>
    <w:p>
      <w:pPr>
        <w:pStyle w:val="ListBullet"/>
        <w:spacing w:line="240" w:lineRule="auto"/>
        <w:ind w:left="720"/>
      </w:pPr>
      <w:r>
        <w:rPr>
          <w:lang w:val="en_US" w:bidi="en_US"/>
        </w:rPr>
      </w:r>
      <w:r>
        <w:rPr>
          <w:lang w:val="en_US" w:bidi="en_US"/>
        </w:rPr>
        <w:t xml:space="preserve">¶ While </w:t>
      </w:r>
      <w:r>
        <w:rPr>
          <w:lang w:val="en_US" w:bidi="en_US"/>
        </w:rPr>
        <w:t>Jesus was teaching these things</w:t>
      </w:r>
      <w:r>
        <w:rPr>
          <w:lang w:val="en_US" w:bidi="en_US"/>
        </w:rPr>
        <w:t xml:space="preserve">, some people told/informed him what </w:t>
      </w:r>
      <w:r>
        <w:rPr>
          <w:lang w:val="en_US" w:bidi="en_US"/>
        </w:rPr>
        <w:t>had happened</w:t>
      </w:r>
      <w:r>
        <w:rPr>
          <w:lang w:val="en_US" w:bidi="en_US"/>
        </w:rPr>
        <w:t xml:space="preserve"> to some men of Galilee.</w:t>
      </w:r>
    </w:p>
    <w:p>
      <w:pPr>
        <w:pStyle w:val="ListBullet"/>
        <w:spacing w:line="240" w:lineRule="auto"/>
        <w:ind w:left="720"/>
      </w:pPr>
      <w:r>
        <w:rPr>
          <w:lang w:val="en_US" w:bidi="en_US"/>
        </w:rPr>
      </w:r>
      <w:r>
        <w:rPr>
          <w:lang w:val="en_US" w:bidi="en_US"/>
        </w:rPr>
        <w:t>¶ There were some people in the crowd at that time who said to Jesus, “Some people from Galilee</w:t>
      </w:r>
    </w:p>
    <w:p>
      <w:pPr/>
      <w:r>
        <w:rPr>
          <w:lang w:val="en_US" w:bidi="en_US"/>
        </w:rPr>
      </w:r>
      <w:r>
        <w:rPr>
          <w:lang w:val="en_US" w:bidi="en_US"/>
        </w:rPr>
        <w:t>This verse begins with a Greek conjunction that introduces a new incident in the story. While some English versions (NASB, NET, NIV) translate it as “Now,” it is not a time word. Most English translations, including the BSB, do not translate it explicitly.</w:t>
      </w:r>
    </w:p>
    <w:p>
      <w:pPr/>
      <w:r>
        <w:rPr>
          <w:lang w:val="en_US" w:bidi="en_US"/>
        </w:rPr>
      </w:r>
      <w:r>
        <w:rPr>
          <w:b/>
          <w:lang w:val="en_US" w:bidi="en_US"/>
        </w:rPr>
        <w:t>At that time:</w:t>
      </w:r>
      <w:r>
        <w:rPr>
          <w:lang w:val="en_US" w:bidi="en_US"/>
        </w:rPr>
        <w:t xml:space="preserve"> The phrase </w:t>
      </w:r>
      <w:r>
        <w:rPr>
          <w:i/>
          <w:lang w:val="en_US" w:bidi="en_US"/>
        </w:rPr>
        <w:t>At that time</w:t>
      </w:r>
      <w:r>
        <w:rPr>
          <w:lang w:val="en_US" w:bidi="en_US"/>
        </w:rPr>
        <w:t xml:space="preserve"> refers to the same time as the events at the end of chapter 12, when Jesus had been teaching the crowd.</w:t>
      </w:r>
    </w:p>
    <w:p>
      <w:pPr/>
      <w:r>
        <w:rPr>
          <w:lang w:val="en_US" w:bidi="en_US"/>
        </w:rPr>
      </w:r>
      <w:r>
        <w:rPr>
          <w:lang w:val="en_US" w:bidi="en_US"/>
        </w:rPr>
        <w:t>Consider where it is most natural in your language to put the time setting for a story. The BSB and several other English versions place it at the beginning of the sentence. For example:</w:t>
      </w:r>
    </w:p>
    <w:p>
      <w:pPr/>
      <w:r>
        <w:rPr>
          <w:lang w:val="en_US" w:bidi="en_US"/>
        </w:rPr>
      </w:r>
      <w:r>
        <w:rPr>
          <w:lang w:val="en_US" w:bidi="en_US"/>
        </w:rPr>
        <w:t>About this time Jesus was informed (NLT)</w:t>
      </w:r>
    </w:p>
    <w:p>
      <w:pPr/>
      <w:r>
        <w:rPr>
          <w:lang w:val="en_US" w:bidi="en_US"/>
        </w:rPr>
      </w:r>
      <w:r>
        <w:rPr>
          <w:b/>
          <w:lang w:val="en_US" w:bidi="en_US"/>
        </w:rPr>
        <w:t>some of those present:</w:t>
      </w:r>
      <w:r>
        <w:rPr>
          <w:lang w:val="en_US" w:bidi="en_US"/>
        </w:rPr>
        <w:t xml:space="preserve"> There are two ways to interpret the Greek verb that the BSB translates as </w:t>
      </w:r>
      <w:r>
        <w:rPr>
          <w:i/>
          <w:lang w:val="en_US" w:bidi="en_US"/>
        </w:rPr>
        <w:t>some of those present</w:t>
      </w:r>
      <w:r>
        <w:rPr>
          <w:lang w:val="en_US" w:bidi="en_US"/>
        </w:rPr>
        <w:t xml:space="preserve"> in this context:</w:t>
      </w:r>
    </w:p>
    <w:p>
      <w:pPr>
        <w:pStyle w:val="ListNumber"/>
        <w:numPr>
          <w:ilvl w:val="0"/>
          <w:numId w:val="249"/>
        </w:numPr>
        <w:spacing w:line="240" w:lineRule="auto"/>
        <w:ind w:left="720"/>
      </w:pPr>
      <w:r>
        <w:rPr>
          <w:lang w:val="en_US" w:bidi="en_US"/>
        </w:rPr>
      </w:r>
      <w:r>
        <w:rPr>
          <w:lang w:val="en_US" w:bidi="en_US"/>
        </w:rPr>
        <w:t>It indicates that some people were already present. They had been standing there listening to Jesus. For example:</w:t>
      </w:r>
      <w:r>
        <w:rPr>
          <w:lang w:val="en_US" w:bidi="en_US"/>
        </w:rPr>
        <w:t xml:space="preserve">some people were there (NCV) </w:t>
      </w:r>
      <w:r>
        <w:rPr>
          <w:i/>
          <w:lang w:val="en_US" w:bidi="en_US"/>
        </w:rPr>
        <w:t>(BSB, NIV, RSV, NCV, GNT, NET)</w:t>
      </w:r>
    </w:p>
    <w:p>
      <w:pPr>
        <w:pStyle w:val="ListNumber"/>
        <w:spacing w:line="240" w:lineRule="auto"/>
        <w:ind w:left="720"/>
      </w:pPr>
      <w:r>
        <w:rPr>
          <w:lang w:val="en_US" w:bidi="en_US"/>
        </w:rPr>
      </w:r>
      <w:r>
        <w:rPr>
          <w:lang w:val="en_US" w:bidi="en_US"/>
        </w:rPr>
        <w:t>It indicates that some people arrived. They may have heard what Jesus had just said, but they had not been part of the crowd originally. For example:</w:t>
      </w:r>
      <w:r>
        <w:rPr>
          <w:lang w:val="en_US" w:bidi="en_US"/>
        </w:rPr>
        <w:t xml:space="preserve">some people arrived (NJB) </w:t>
      </w:r>
      <w:r>
        <w:rPr>
          <w:i/>
          <w:lang w:val="en_US" w:bidi="en_US"/>
        </w:rPr>
        <w:t>(NJB, REB)</w:t>
      </w:r>
    </w:p>
    <w:p>
      <w:pPr/>
      <w:r>
        <w:rPr>
          <w:lang w:val="en_US" w:bidi="en_US"/>
        </w:rPr>
      </w:r>
      <w:r>
        <w:rPr>
          <w:lang w:val="en_US" w:bidi="en_US"/>
        </w:rPr>
        <w:t>A number of versions translate this clause ambiguously. For example:</w:t>
      </w:r>
    </w:p>
    <w:p>
      <w:pPr/>
      <w:r>
        <w:rPr>
          <w:lang w:val="en_US" w:bidi="en_US"/>
        </w:rPr>
      </w:r>
      <w:r>
        <w:rPr>
          <w:lang w:val="en_US" w:bidi="en_US"/>
        </w:rPr>
        <w:t>some people reported (GW)</w:t>
      </w:r>
    </w:p>
    <w:p>
      <w:pPr/>
      <w:r>
        <w:rPr>
          <w:lang w:val="en_US" w:bidi="en_US"/>
        </w:rPr>
      </w:r>
      <w:r>
        <w:rPr>
          <w:lang w:val="en_US" w:bidi="en_US"/>
        </w:rPr>
        <w:t>Jesus was informed (NLT)</w:t>
      </w:r>
    </w:p>
    <w:p>
      <w:pPr/>
      <w:r>
        <w:rPr>
          <w:lang w:val="en_US" w:bidi="en_US"/>
        </w:rPr>
      </w:r>
      <w:r>
        <w:rPr>
          <w:lang w:val="en_US" w:bidi="en_US"/>
        </w:rPr>
        <w:t>It is recommended that you translate ambiguously, if possible. Both interpretations are well supported. Choosing one or the other does not affect the meaning of the rest of the section. If you cannot translate ambiguously, it is recommended that you follow interpretation (1), along with most English versions.</w:t>
      </w:r>
    </w:p>
    <w:p>
      <w:pPr/>
      <w:r>
        <w:rPr>
          <w:lang w:val="en_US" w:bidi="en_US"/>
        </w:rPr>
      </w:r>
      <w:r>
        <w:rPr>
          <w:b/>
          <w:lang w:val="en_US" w:bidi="en_US"/>
        </w:rPr>
        <w:t>told Jesus:</w:t>
      </w:r>
      <w:r>
        <w:rPr>
          <w:lang w:val="en_US" w:bidi="en_US"/>
        </w:rPr>
        <w:t xml:space="preserve"> The Greek word that the BSB translates as </w:t>
      </w:r>
      <w:r>
        <w:rPr>
          <w:i/>
          <w:lang w:val="en_US" w:bidi="en_US"/>
        </w:rPr>
        <w:t>told</w:t>
      </w:r>
      <w:r>
        <w:rPr>
          <w:lang w:val="en_US" w:bidi="en_US"/>
        </w:rPr>
        <w:t xml:space="preserve"> means to inform or report about something that has happened. See the examples from the GW and NLT quoted earlier in this part of the verse.</w:t>
      </w:r>
    </w:p>
    <w:p>
      <w:pPr/>
      <w:r>
        <w:rPr>
          <w:lang w:val="en_US" w:bidi="en_US"/>
        </w:rPr>
      </w:r>
      <w:r>
        <w:rPr>
          <w:b/>
          <w:lang w:val="en_US" w:bidi="en_US"/>
        </w:rPr>
        <w:t>about the Galileans:</w:t>
      </w:r>
      <w:r>
        <w:rPr>
          <w:lang w:val="en_US" w:bidi="en_US"/>
        </w:rPr>
        <w:t xml:space="preserve"> The phrase </w:t>
      </w:r>
      <w:r>
        <w:rPr>
          <w:i/>
          <w:lang w:val="en_US" w:bidi="en_US"/>
        </w:rPr>
        <w:t>the Galileans</w:t>
      </w:r>
      <w:r>
        <w:rPr>
          <w:lang w:val="en_US" w:bidi="en_US"/>
        </w:rPr>
        <w:t xml:space="preserve"> refers to some Jewish people, probably men, who were from the province called Galilee. At the time when they were killed, they were not in Galilee. They were at the temple in Jerusalem. We do not know how many people were involved, but it may have been as few as two or three.</w:t>
      </w:r>
    </w:p>
    <w:p>
      <w:pPr>
        <w:pStyle w:val="Heading5"/>
      </w:pPr>
      <w:r>
        <w:rPr>
          <w:lang w:val="en_US" w:bidi="en_US"/>
        </w:rPr>
        <w:t>13:1b</w:t>
      </w:r>
    </w:p>
    <w:p>
      <w:pPr/>
      <w:r>
        <w:rPr>
          <w:lang w:val="en_US" w:bidi="en_US"/>
        </w:rPr>
      </w:r>
      <w:r>
        <w:rPr>
          <w:b/>
          <w:lang w:val="en_US" w:bidi="en_US"/>
        </w:rPr>
        <w:t>whose blood Pilate had mixed with their sacrifices.</w:t>
      </w:r>
    </w:p>
    <w:p>
      <w:pPr>
        <w:pStyle w:val="ListBullet"/>
        <w:spacing w:line="240" w:lineRule="auto"/>
        <w:ind w:left="720"/>
      </w:pPr>
      <w:r>
        <w:rPr>
          <w:lang w:val="en_US" w:bidi="en_US"/>
        </w:rPr>
      </w:r>
      <w:r>
        <w:rPr>
          <w:lang w:val="en_US" w:bidi="en_US"/>
        </w:rPr>
        <w:t xml:space="preserve">whom Pilate had caused/ordered to be killed. They were killed as they were slaughtering </w:t>
      </w:r>
      <w:r>
        <w:rPr>
          <w:lang w:val="en_US" w:bidi="en_US"/>
        </w:rPr>
        <w:t>animals</w:t>
      </w:r>
      <w:r>
        <w:rPr>
          <w:lang w:val="en_US" w:bidi="en_US"/>
        </w:rPr>
        <w:t xml:space="preserve"> to sacrifice/offer them </w:t>
      </w:r>
      <w:r>
        <w:rPr>
          <w:lang w:val="en_US" w:bidi="en_US"/>
        </w:rPr>
        <w:t>to God</w:t>
      </w:r>
      <w:r>
        <w:rPr>
          <w:lang w:val="en_US" w:bidi="en_US"/>
        </w:rPr>
        <w:t>.</w:t>
      </w:r>
    </w:p>
    <w:p>
      <w:pPr>
        <w:pStyle w:val="ListBullet"/>
        <w:spacing w:line="240" w:lineRule="auto"/>
        <w:ind w:left="720"/>
      </w:pPr>
      <w:r>
        <w:rPr>
          <w:lang w:val="en_US" w:bidi="en_US"/>
        </w:rPr>
      </w:r>
      <w:r>
        <w:rPr>
          <w:lang w:val="en_US" w:bidi="en_US"/>
        </w:rPr>
        <w:t>The Roman governor</w:t>
      </w:r>
      <w:r>
        <w:rPr>
          <w:lang w:val="en_US" w:bidi="en_US"/>
        </w:rPr>
        <w:t xml:space="preserve"> Pilate caused them to be killed. </w:t>
      </w:r>
      <w:r>
        <w:rPr>
          <w:lang w:val="en_US" w:bidi="en_US"/>
        </w:rPr>
        <w:t>They died</w:t>
      </w:r>
      <w:r>
        <w:rPr>
          <w:lang w:val="en_US" w:bidi="en_US"/>
        </w:rPr>
        <w:t xml:space="preserve"> </w:t>
      </w:r>
      <w:r>
        <w:rPr>
          <w:lang w:val="en_US" w:bidi="en_US"/>
        </w:rPr>
        <w:t>as they were making sacrifices</w:t>
      </w:r>
      <w:r>
        <w:rPr>
          <w:lang w:val="en_US" w:bidi="en_US"/>
        </w:rPr>
        <w:t xml:space="preserve">, and their blood flowed out along with that of their sacrificed </w:t>
      </w:r>
      <w:r>
        <w:rPr>
          <w:lang w:val="en_US" w:bidi="en_US"/>
        </w:rPr>
        <w:t>animals</w:t>
      </w:r>
      <w:r>
        <w:rPr>
          <w:lang w:val="en_US" w:bidi="en_US"/>
        </w:rPr>
        <w:t>.</w:t>
      </w:r>
    </w:p>
    <w:p>
      <w:pPr>
        <w:pStyle w:val="ListBullet"/>
        <w:spacing w:line="240" w:lineRule="auto"/>
        <w:ind w:left="720"/>
      </w:pPr>
      <w:r>
        <w:rPr>
          <w:lang w:val="en_US" w:bidi="en_US"/>
        </w:rPr>
      </w:r>
      <w:r>
        <w:rPr>
          <w:lang w:val="en_US" w:bidi="en_US"/>
        </w:rPr>
        <w:t xml:space="preserve">were killed by </w:t>
      </w:r>
      <w:r>
        <w:rPr>
          <w:lang w:val="en_US" w:bidi="en_US"/>
        </w:rPr>
        <w:t>soldiers whom</w:t>
      </w:r>
      <w:r>
        <w:rPr>
          <w:lang w:val="en_US" w:bidi="en_US"/>
        </w:rPr>
        <w:t xml:space="preserve"> Pilate </w:t>
      </w:r>
      <w:r>
        <w:rPr>
          <w:lang w:val="en_US" w:bidi="en_US"/>
        </w:rPr>
        <w:t>sent to kill them</w:t>
      </w:r>
      <w:r>
        <w:rPr>
          <w:lang w:val="en_US" w:bidi="en_US"/>
        </w:rPr>
        <w:t xml:space="preserve">. This happened while the Galileans were sacrificing </w:t>
      </w:r>
      <w:r>
        <w:rPr>
          <w:lang w:val="en_US" w:bidi="en_US"/>
        </w:rPr>
        <w:t>to God</w:t>
      </w:r>
      <w:r>
        <w:rPr>
          <w:lang w:val="en_US" w:bidi="en_US"/>
        </w:rPr>
        <w:t>.”</w:t>
      </w:r>
    </w:p>
    <w:p>
      <w:pPr/>
      <w:r>
        <w:rPr>
          <w:lang w:val="en_US" w:bidi="en_US"/>
        </w:rPr>
      </w:r>
      <w:r>
        <w:rPr>
          <w:b/>
          <w:lang w:val="en_US" w:bidi="en_US"/>
        </w:rPr>
        <w:t>whose blood Pilate had mixed with their sacrifices:</w:t>
      </w:r>
      <w:r>
        <w:rPr>
          <w:lang w:val="en_US" w:bidi="en_US"/>
        </w:rPr>
        <w:t xml:space="preserve"> The clause </w:t>
      </w:r>
      <w:r>
        <w:rPr>
          <w:i/>
          <w:lang w:val="en_US" w:bidi="en_US"/>
        </w:rPr>
        <w:t>whose blood Pilate had mixed with their sacrifices</w:t>
      </w:r>
      <w:r>
        <w:rPr>
          <w:lang w:val="en_US" w:bidi="en_US"/>
        </w:rPr>
        <w:t xml:space="preserve"> is a figure of speech. It means that Pilate had ordered his soldiers to kill the Galileans. The soldiers killed them while they were offering sacrifices. As a result, their blood mixed with the blood of the animal sacrifices.</w:t>
      </w:r>
    </w:p>
    <w:p>
      <w:pPr/>
      <w:r>
        <w:rPr>
          <w:lang w:val="en_US" w:bidi="en_US"/>
        </w:rPr>
      </w:r>
      <w:r>
        <w:rPr>
          <w:lang w:val="en_US" w:bidi="en_US"/>
        </w:rPr>
        <w:t>In some languages it may be necessary to translate the meaning without the figure of speech. For example:</w:t>
      </w:r>
    </w:p>
    <w:p>
      <w:pPr/>
      <w:r>
        <w:rPr>
          <w:lang w:val="en_US" w:bidi="en_US"/>
        </w:rPr>
      </w:r>
      <w:r>
        <w:rPr>
          <w:lang w:val="en_US" w:bidi="en_US"/>
        </w:rPr>
        <w:t xml:space="preserve">whom Pilate </w:t>
      </w:r>
      <w:r>
        <w:rPr>
          <w:lang w:val="en_US" w:bidi="en_US"/>
        </w:rPr>
        <w:t>ordered his soldiers</w:t>
      </w:r>
      <w:r>
        <w:rPr>
          <w:lang w:val="en_US" w:bidi="en_US"/>
        </w:rPr>
        <w:t xml:space="preserve"> to kill. The soldiers killed them while they were offering sacrifices</w:t>
      </w:r>
    </w:p>
    <w:p>
      <w:pPr/>
      <w:r>
        <w:rPr>
          <w:lang w:val="en_US" w:bidi="en_US"/>
        </w:rPr>
      </w:r>
      <w:r>
        <w:rPr>
          <w:lang w:val="en_US" w:bidi="en_US"/>
        </w:rPr>
        <w:t>When you translate this verse part, be careful not to imply that Pilate ordered the soldiers to kill the Galileans while they were in the act of sacrificing. It is more likely that Pilate ordered the Galileans to be killed, and the soldiers found them at the Temple sacrificing and killed them.</w:t>
      </w:r>
    </w:p>
    <w:p>
      <w:pPr/>
      <w:r>
        <w:rPr>
          <w:lang w:val="en_US" w:bidi="en_US"/>
        </w:rPr>
      </w:r>
      <w:r>
        <w:rPr>
          <w:b/>
          <w:lang w:val="en_US" w:bidi="en_US"/>
        </w:rPr>
        <w:t>Pilate:</w:t>
      </w:r>
      <w:r>
        <w:rPr>
          <w:lang w:val="en_US" w:bidi="en_US"/>
        </w:rPr>
        <w:t xml:space="preserve"> Pilate was the Roman governor.</w:t>
      </w:r>
    </w:p>
    <w:p>
      <w:pPr/>
      <w:r>
        <w:rPr>
          <w:lang w:val="en_US" w:bidi="en_US"/>
        </w:rPr>
      </w:r>
      <w:r>
        <w:rPr>
          <w:b/>
          <w:lang w:val="en_US" w:bidi="en_US"/>
        </w:rPr>
        <w:t>sacrifices:</w:t>
      </w:r>
      <w:r>
        <w:rPr>
          <w:lang w:val="en_US" w:bidi="en_US"/>
        </w:rPr>
        <w:t xml:space="preserve"> The word </w:t>
      </w:r>
      <w:r>
        <w:rPr>
          <w:i/>
          <w:lang w:val="en_US" w:bidi="en_US"/>
        </w:rPr>
        <w:t>sacrifices</w:t>
      </w:r>
      <w:r>
        <w:rPr>
          <w:lang w:val="en_US" w:bidi="en_US"/>
        </w:rPr>
        <w:t xml:space="preserve"> here refers to the animals that the Galileans were killing as an offering </w:t>
      </w:r>
      <w:r>
        <w:rPr>
          <w:u w:val="single"/>
          <w:lang w:val="en_US" w:bidi="en_US"/>
        </w:rPr>
        <w:t>to God</w:t>
      </w:r>
      <w:r>
        <w:rPr>
          <w:lang w:val="en_US" w:bidi="en_US"/>
        </w:rPr>
        <w:t>. For example:</w:t>
      </w:r>
    </w:p>
    <w:p>
      <w:pPr/>
      <w:r>
        <w:rPr>
          <w:lang w:val="en_US" w:bidi="en_US"/>
        </w:rPr>
      </w:r>
      <w:r>
        <w:rPr>
          <w:lang w:val="en_US" w:bidi="en_US"/>
        </w:rPr>
        <w:t>they were offering sacrifices to God (GNT)</w:t>
      </w:r>
    </w:p>
    <w:p>
      <w:pPr>
        <w:pStyle w:val="Heading6"/>
      </w:pPr>
      <w:r>
        <w:rPr>
          <w:b/>
          <w:lang w:val="en_US" w:bidi="en_US"/>
        </w:rPr>
        <w:t>General Comment on 13:1a–b</w:t>
      </w:r>
    </w:p>
    <w:p>
      <w:pPr/>
      <w:r>
        <w:rPr>
          <w:lang w:val="en_US" w:bidi="en_US"/>
        </w:rPr>
      </w:r>
      <w:r>
        <w:rPr>
          <w:lang w:val="en_US" w:bidi="en_US"/>
        </w:rPr>
        <w:t>Another way to translate this verse is to combine the verse parts. For example:</w:t>
      </w:r>
    </w:p>
    <w:p>
      <w:pPr/>
      <w:r>
        <w:rPr>
          <w:lang w:val="en_US" w:bidi="en_US"/>
        </w:rPr>
      </w:r>
      <w:r>
        <w:rPr>
          <w:lang w:val="en_US" w:bidi="en_US"/>
        </w:rPr>
        <w:t xml:space="preserve">About this same time Jesus was told that Pilate had given orders for some people from Galilee to be killed. </w:t>
      </w:r>
      <w:r>
        <w:rPr>
          <w:lang w:val="en_US" w:bidi="en_US"/>
        </w:rPr>
        <w:t>His soldiers</w:t>
      </w:r>
      <w:r>
        <w:rPr>
          <w:lang w:val="en_US" w:bidi="en_US"/>
        </w:rPr>
        <w:t xml:space="preserve"> had killed the people while they were offering sacrifices.</w:t>
      </w:r>
      <w:r>
        <w:rPr>
          <w:lang w:val="en_US" w:bidi="en_US"/>
        </w:rPr>
      </w:r>
      <w:r>
        <w:rPr>
          <w:lang w:val="en_US" w:bidi="en_US"/>
        </w:rPr>
      </w:r>
    </w:p>
    <w:p>
      <w:pPr/>
      <w:r>
        <w:rPr>
          <w:lang w:val="en_US" w:bidi="en_US"/>
        </w:rPr>
      </w:r>
    </w:p>
    <w:p>
      <w:pPr>
        <w:pStyle w:val="Heading2"/>
      </w:pPr>
      <w:r>
        <w:rPr>
          <w:lang w:val="en_US" w:bidi="en_US"/>
        </w:rPr>
        <w:t>Luke 13:2</w:t>
      </w:r>
      <w:r>
        <w:rPr>
          <w:lang w:val="en_US" w:bidi="en_US"/>
        </w:rPr>
      </w:r>
    </w:p>
    <w:p>
      <w:pPr>
        <w:pStyle w:val="Heading4"/>
      </w:pPr>
      <w:r>
        <w:rPr>
          <w:lang w:val="en_US" w:bidi="en_US"/>
        </w:rPr>
        <w:t>Section 13:1–5: Everyone must repent</w:t>
      </w:r>
    </w:p>
    <w:p>
      <w:pPr/>
      <w:r>
        <w:rPr>
          <w:lang w:val="en_US" w:bidi="en_US"/>
        </w:rPr>
      </w:r>
      <w:r>
        <w:rPr>
          <w:lang w:val="en_US" w:bidi="en_US"/>
        </w:rPr>
        <w:t>In this section Jesus continued his teaching about God judging people by saying that people needed to repent. Pilate’s soldiers had recently murdered some people from Galilee. Other people had died when a tower fell on them. The crowd that was listening to Jesus thought that all these people had died because they had been evil and God was punishing them. But Jesus told the crowd that they themselves needed to repent just as much as those people who died had needed to repent.</w:t>
      </w:r>
    </w:p>
    <w:p>
      <w:pPr/>
      <w:r>
        <w:rPr>
          <w:lang w:val="en_US" w:bidi="en_US"/>
        </w:rPr>
      </w:r>
      <w:r>
        <w:rPr>
          <w:lang w:val="en_US" w:bidi="en_US"/>
        </w:rPr>
        <w:t>Other possible headings for this section are:</w:t>
      </w:r>
    </w:p>
    <w:p>
      <w:pPr/>
      <w:r>
        <w:rPr>
          <w:lang w:val="en_US" w:bidi="en_US"/>
        </w:rPr>
      </w:r>
      <w:r>
        <w:rPr>
          <w:lang w:val="en_US" w:bidi="en_US"/>
        </w:rPr>
        <w:t>Jesus told people to repent or they would die</w:t>
      </w:r>
    </w:p>
    <w:p>
      <w:pPr/>
      <w:r>
        <w:rPr>
          <w:lang w:val="en_US" w:bidi="en_US"/>
        </w:rPr>
      </w:r>
      <w:r>
        <w:rPr>
          <w:lang w:val="en_US" w:bidi="en_US"/>
        </w:rPr>
        <w:t>Turn from your sins or die (GNT)</w:t>
      </w:r>
    </w:p>
    <w:p>
      <w:pPr/>
      <w:r>
        <w:rPr>
          <w:lang w:val="en_US" w:bidi="en_US"/>
        </w:rPr>
      </w:r>
      <w:r>
        <w:rPr>
          <w:lang w:val="en_US" w:bidi="en_US"/>
        </w:rPr>
        <w:t>This teaching occurs only in Luke.</w:t>
      </w:r>
    </w:p>
    <w:p>
      <w:pPr>
        <w:pStyle w:val="Heading5"/>
      </w:pPr>
      <w:r>
        <w:rPr>
          <w:lang w:val="en_US" w:bidi="en_US"/>
        </w:rPr>
        <w:t>13:2a–b</w:t>
      </w:r>
    </w:p>
    <w:p>
      <w:pPr/>
      <w:r>
        <w:rPr>
          <w:lang w:val="en_US" w:bidi="en_US"/>
        </w:rPr>
      </w:r>
      <w:r>
        <w:rPr>
          <w:b/>
          <w:lang w:val="en_US" w:bidi="en_US"/>
        </w:rPr>
        <w:t>Do you think that these Galileans were worse sinners than all the other Galileans, because they suffered this fate?:</w:t>
      </w:r>
      <w:r>
        <w:rPr>
          <w:lang w:val="en_US" w:bidi="en_US"/>
        </w:rPr>
        <w:t xml:space="preserve"> This is a rhetorical question. Jesus was challenging the crowd’s belief that these particular Galileans had died because they had committed worse sins than other Galileans. Here are two ways to translate this question:</w:t>
      </w:r>
    </w:p>
    <w:p>
      <w:pPr>
        <w:pStyle w:val="ListBullet"/>
        <w:spacing w:line="240" w:lineRule="auto"/>
        <w:ind w:left="720"/>
      </w:pPr>
      <w:r>
        <w:rPr>
          <w:lang w:val="en_US" w:bidi="en_US"/>
        </w:rPr>
      </w:r>
      <w:r>
        <w:rPr>
          <w:lang w:val="en_US" w:bidi="en_US"/>
        </w:rPr>
        <w:t>As a rhetorical question. For example:</w:t>
      </w:r>
      <w:r>
        <w:rPr>
          <w:lang w:val="en_US" w:bidi="en_US"/>
        </w:rPr>
        <w:t>Do you suppose that, because these Galileans suffered this fate, they must have been greater sinners than anyone else in Galilee? (REB)</w:t>
      </w:r>
      <w:r>
        <w:rPr>
          <w:lang w:val="en_US" w:bidi="en_US"/>
        </w:rPr>
        <w:t>Do you think this happened to them because they were more sinful than all others from Galilee? (NCV)</w:t>
      </w:r>
      <w:r>
        <w:rPr>
          <w:lang w:val="en_US" w:bidi="en_US"/>
        </w:rPr>
        <w:t>Because those Galileans were killed in that way, do you think it proves that they were worse sinners than all other Galileans? (GNT)</w:t>
      </w:r>
    </w:p>
    <w:p>
      <w:pPr>
        <w:pStyle w:val="ListBullet"/>
        <w:spacing w:line="240" w:lineRule="auto"/>
        <w:ind w:left="720"/>
      </w:pPr>
      <w:r>
        <w:rPr>
          <w:lang w:val="en_US" w:bidi="en_US"/>
        </w:rPr>
      </w:r>
      <w:r>
        <w:rPr>
          <w:lang w:val="en_US" w:bidi="en_US"/>
        </w:rPr>
        <w:t>As a statement:</w:t>
      </w:r>
      <w:r>
        <w:rPr>
          <w:lang w:val="en_US" w:bidi="en_US"/>
        </w:rPr>
        <w:t>You may be thinking/assuming that these Galileans were worse sinners than all the other Galileans, and that is why they suffered this way.</w:t>
      </w:r>
      <w:r>
        <w:rPr>
          <w:lang w:val="en_US" w:bidi="en_US"/>
        </w:rPr>
        <w:t>You should not assume/think that these Galileans were killed like that because they had more/worse sins than all the other Galileans.</w:t>
      </w:r>
    </w:p>
    <w:p>
      <w:pPr/>
      <w:r>
        <w:rPr>
          <w:lang w:val="en_US" w:bidi="en_US"/>
        </w:rPr>
      </w:r>
      <w:r>
        <w:rPr>
          <w:lang w:val="en_US" w:bidi="en_US"/>
        </w:rPr>
        <w:t xml:space="preserve">Notice that in English, the clause that the BSB translates as </w:t>
      </w:r>
      <w:r>
        <w:rPr>
          <w:i/>
          <w:lang w:val="en_US" w:bidi="en_US"/>
        </w:rPr>
        <w:t>because they suffered this fate</w:t>
      </w:r>
      <w:r>
        <w:rPr>
          <w:lang w:val="en_US" w:bidi="en_US"/>
        </w:rPr>
        <w:t xml:space="preserve"> may be put in different places in the sentence. This is true whether the sentence is translated as a question or as a statement. You should use an order that is natural in your language.</w:t>
      </w:r>
    </w:p>
    <w:p>
      <w:pPr>
        <w:pStyle w:val="Heading5"/>
      </w:pPr>
      <w:r>
        <w:rPr>
          <w:lang w:val="en_US" w:bidi="en_US"/>
        </w:rPr>
        <w:t>13:2a</w:t>
      </w:r>
    </w:p>
    <w:p>
      <w:pPr/>
      <w:r>
        <w:rPr>
          <w:lang w:val="en_US" w:bidi="en_US"/>
        </w:rPr>
      </w:r>
      <w:r>
        <w:rPr>
          <w:b/>
          <w:lang w:val="en_US" w:bidi="en_US"/>
        </w:rPr>
        <w:t>To this He replied, “Do you think that these Galileans were worse sinners than all the other Galileans,</w:t>
      </w:r>
    </w:p>
    <w:p>
      <w:pPr>
        <w:pStyle w:val="ListBullet"/>
        <w:spacing w:line="240" w:lineRule="auto"/>
        <w:ind w:left="720"/>
      </w:pPr>
      <w:r>
        <w:rPr>
          <w:lang w:val="en_US" w:bidi="en_US"/>
        </w:rPr>
      </w:r>
      <w:r>
        <w:rPr>
          <w:lang w:val="en_US" w:bidi="en_US"/>
        </w:rPr>
        <w:t>Jesus said to them, “Do you</w:t>
      </w:r>
      <w:r>
        <w:rPr>
          <w:vertAlign w:val="superscript"/>
          <w:lang w:val="en_US" w:bidi="en_US"/>
        </w:rPr>
        <w:t>(plur)</w:t>
      </w:r>
      <w:r>
        <w:rPr>
          <w:lang w:val="en_US" w:bidi="en_US"/>
        </w:rPr>
        <w:t xml:space="preserve"> think that those people from Galilee sinned more than everyone else in Galilee,</w:t>
      </w:r>
    </w:p>
    <w:p>
      <w:pPr>
        <w:pStyle w:val="ListBullet"/>
        <w:spacing w:line="240" w:lineRule="auto"/>
        <w:ind w:left="720"/>
      </w:pPr>
      <w:r>
        <w:rPr>
          <w:lang w:val="en_US" w:bidi="en_US"/>
        </w:rPr>
      </w:r>
      <w:r>
        <w:rPr>
          <w:lang w:val="en_US" w:bidi="en_US"/>
        </w:rPr>
        <w:t>Jesus said, “You</w:t>
      </w:r>
      <w:r>
        <w:rPr>
          <w:vertAlign w:val="superscript"/>
          <w:lang w:val="en_US" w:bidi="en_US"/>
        </w:rPr>
        <w:t>(plur)</w:t>
      </w:r>
      <w:r>
        <w:rPr>
          <w:lang w:val="en_US" w:bidi="en_US"/>
        </w:rPr>
        <w:t xml:space="preserve"> may be thinking that those people were more sinful/evil than all the rest of the people in </w:t>
      </w:r>
      <w:r>
        <w:rPr>
          <w:lang w:val="en_US" w:bidi="en_US"/>
        </w:rPr>
        <w:t>the region/province of</w:t>
      </w:r>
      <w:r>
        <w:rPr>
          <w:lang w:val="en_US" w:bidi="en_US"/>
        </w:rPr>
        <w:t xml:space="preserve"> Galilee</w:t>
      </w:r>
    </w:p>
    <w:p>
      <w:pPr/>
      <w:r>
        <w:rPr>
          <w:lang w:val="en_US" w:bidi="en_US"/>
        </w:rPr>
      </w:r>
      <w:r>
        <w:rPr>
          <w:b/>
          <w:lang w:val="en_US" w:bidi="en_US"/>
        </w:rPr>
        <w:t>Do you think:</w:t>
      </w:r>
      <w:r>
        <w:rPr>
          <w:lang w:val="en_US" w:bidi="en_US"/>
        </w:rPr>
        <w:t xml:space="preserve"> Jesus was speaking to people who were mistaken about something. They assumed something that was not true. In some languages there may be a special verb or other expression to refer to a wrong assumption like this.</w:t>
      </w:r>
    </w:p>
    <w:p>
      <w:pPr/>
      <w:r>
        <w:rPr>
          <w:lang w:val="en_US" w:bidi="en_US"/>
        </w:rPr>
      </w:r>
      <w:r>
        <w:rPr>
          <w:b/>
          <w:lang w:val="en_US" w:bidi="en_US"/>
        </w:rPr>
        <w:t>these Galileans were worse sinners than all the other Galileans:</w:t>
      </w:r>
      <w:r>
        <w:rPr>
          <w:lang w:val="en_US" w:bidi="en_US"/>
        </w:rPr>
        <w:t xml:space="preserve"> The BSB has supplied the word </w:t>
      </w:r>
      <w:r>
        <w:rPr>
          <w:i/>
          <w:lang w:val="en_US" w:bidi="en_US"/>
        </w:rPr>
        <w:t>other</w:t>
      </w:r>
      <w:r>
        <w:rPr>
          <w:lang w:val="en_US" w:bidi="en_US"/>
        </w:rPr>
        <w:t xml:space="preserve"> because it is natural in English in this context. Also, the BSB has followed the Greek in repeating </w:t>
      </w:r>
      <w:r>
        <w:rPr>
          <w:i/>
          <w:lang w:val="en_US" w:bidi="en_US"/>
        </w:rPr>
        <w:t>Galileans</w:t>
      </w:r>
      <w:r>
        <w:rPr>
          <w:lang w:val="en_US" w:bidi="en_US"/>
        </w:rPr>
        <w:t>. In some languages this may be not be natural. Some ways to avoid the repetition are:</w:t>
      </w:r>
    </w:p>
    <w:p>
      <w:pPr/>
      <w:r>
        <w:rPr>
          <w:lang w:val="en_US" w:bidi="en_US"/>
        </w:rPr>
      </w:r>
      <w:r>
        <w:rPr>
          <w:lang w:val="en_US" w:bidi="en_US"/>
        </w:rPr>
        <w:t>these people were worse sinners than everyone else in Galilee (CEV)</w:t>
      </w:r>
    </w:p>
    <w:p>
      <w:pPr/>
      <w:r>
        <w:rPr>
          <w:lang w:val="en_US" w:bidi="en_US"/>
        </w:rPr>
      </w:r>
      <w:r>
        <w:rPr>
          <w:lang w:val="en_US" w:bidi="en_US"/>
        </w:rPr>
        <w:t>they were more sinful than all others from Galilee (NCV)</w:t>
      </w:r>
    </w:p>
    <w:p>
      <w:pPr/>
      <w:r>
        <w:rPr>
          <w:lang w:val="en_US" w:bidi="en_US"/>
        </w:rPr>
      </w:r>
      <w:r>
        <w:rPr>
          <w:b/>
          <w:lang w:val="en_US" w:bidi="en_US"/>
        </w:rPr>
        <w:t>worse sinners:</w:t>
      </w:r>
      <w:r>
        <w:rPr>
          <w:lang w:val="en_US" w:bidi="en_US"/>
        </w:rPr>
        <w:t xml:space="preserve"> The Greek word that the BSB translates as </w:t>
      </w:r>
      <w:r>
        <w:rPr>
          <w:i/>
          <w:lang w:val="en_US" w:bidi="en_US"/>
        </w:rPr>
        <w:t>sinners</w:t>
      </w:r>
      <w:r>
        <w:rPr>
          <w:lang w:val="en_US" w:bidi="en_US"/>
        </w:rPr>
        <w:t xml:space="preserve"> refers here to people who habitually do what is contrary to God’s law. The phrase </w:t>
      </w:r>
      <w:r>
        <w:rPr>
          <w:i/>
          <w:lang w:val="en_US" w:bidi="en_US"/>
        </w:rPr>
        <w:t>worse sinners</w:t>
      </w:r>
      <w:r>
        <w:rPr>
          <w:lang w:val="en_US" w:bidi="en_US"/>
        </w:rPr>
        <w:t xml:space="preserve"> is ambiguous. It could refer to people who commit more serious sins or who sin more frequently. Some other ways to translate the phrase </w:t>
      </w:r>
      <w:r>
        <w:rPr>
          <w:i/>
          <w:lang w:val="en_US" w:bidi="en_US"/>
        </w:rPr>
        <w:t>worse sinners</w:t>
      </w:r>
      <w:r>
        <w:rPr>
          <w:lang w:val="en_US" w:bidi="en_US"/>
        </w:rPr>
        <w:t xml:space="preserve"> are:</w:t>
      </w:r>
    </w:p>
    <w:p>
      <w:pPr/>
      <w:r>
        <w:rPr>
          <w:lang w:val="en_US" w:bidi="en_US"/>
        </w:rPr>
      </w:r>
      <w:r>
        <w:rPr>
          <w:lang w:val="en_US" w:bidi="en_US"/>
        </w:rPr>
        <w:t>sinned more</w:t>
      </w:r>
    </w:p>
    <w:p>
      <w:pPr/>
      <w:r>
        <w:rPr>
          <w:lang w:val="en_US" w:bidi="en_US"/>
        </w:rPr>
      </w:r>
      <w:r>
        <w:rPr>
          <w:lang w:val="en_US" w:bidi="en_US"/>
        </w:rPr>
        <w:t>committed more/worse sins</w:t>
      </w:r>
    </w:p>
    <w:p>
      <w:pPr/>
      <w:r>
        <w:rPr>
          <w:lang w:val="en_US" w:bidi="en_US"/>
        </w:rPr>
      </w:r>
      <w:r>
        <w:rPr>
          <w:lang w:val="en_US" w:bidi="en_US"/>
        </w:rPr>
        <w:t>did more wrong/evil deeds</w:t>
      </w:r>
    </w:p>
    <w:p>
      <w:pPr/>
      <w:r>
        <w:rPr>
          <w:lang w:val="en_US" w:bidi="en_US"/>
        </w:rPr>
      </w:r>
      <w:r>
        <w:rPr>
          <w:lang w:val="en_US" w:bidi="en_US"/>
        </w:rPr>
        <w:t>The word “sinner” * last occurred in 7:39e.</w:t>
      </w:r>
    </w:p>
    <w:p>
      <w:pPr>
        <w:pStyle w:val="Heading5"/>
      </w:pPr>
      <w:r>
        <w:rPr>
          <w:lang w:val="en_US" w:bidi="en_US"/>
        </w:rPr>
        <w:t>13:2b</w:t>
      </w:r>
    </w:p>
    <w:p>
      <w:pPr/>
      <w:r>
        <w:rPr>
          <w:lang w:val="en_US" w:bidi="en_US"/>
        </w:rPr>
      </w:r>
      <w:r>
        <w:rPr>
          <w:b/>
          <w:lang w:val="en_US" w:bidi="en_US"/>
        </w:rPr>
        <w:t>because they suffered this fate?</w:t>
      </w:r>
    </w:p>
    <w:p>
      <w:pPr>
        <w:pStyle w:val="ListBullet"/>
        <w:spacing w:line="240" w:lineRule="auto"/>
        <w:ind w:left="720"/>
      </w:pPr>
      <w:r>
        <w:rPr>
          <w:lang w:val="en_US" w:bidi="en_US"/>
        </w:rPr>
      </w:r>
      <w:r>
        <w:rPr>
          <w:lang w:val="en_US" w:bidi="en_US"/>
        </w:rPr>
        <w:t xml:space="preserve">since they died in this </w:t>
      </w:r>
      <w:r>
        <w:rPr>
          <w:lang w:val="en_US" w:bidi="en_US"/>
        </w:rPr>
        <w:t>terrible</w:t>
      </w:r>
      <w:r>
        <w:rPr>
          <w:lang w:val="en_US" w:bidi="en_US"/>
        </w:rPr>
        <w:t xml:space="preserve"> way?</w:t>
      </w:r>
    </w:p>
    <w:p>
      <w:pPr>
        <w:pStyle w:val="ListBullet"/>
        <w:spacing w:line="240" w:lineRule="auto"/>
        <w:ind w:left="720"/>
      </w:pPr>
      <w:r>
        <w:rPr>
          <w:lang w:val="en_US" w:bidi="en_US"/>
        </w:rPr>
      </w:r>
      <w:r>
        <w:rPr>
          <w:lang w:val="en_US" w:bidi="en_US"/>
        </w:rPr>
        <w:t>because this happened to them.</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introduces the reason why Jesus’ hearers assumed that those Galileans were worse sinners than other people. It was a common belief that bad things happened to people as a result of sin. For that reason, the people thought that their terrible death was evidence that they had committed terrible sins.</w:t>
      </w:r>
    </w:p>
    <w:p>
      <w:pPr/>
      <w:r>
        <w:rPr>
          <w:lang w:val="en_US" w:bidi="en_US"/>
        </w:rPr>
      </w:r>
      <w:r>
        <w:rPr>
          <w:b/>
          <w:lang w:val="en_US" w:bidi="en_US"/>
        </w:rPr>
        <w:t>they suffered this fate:</w:t>
      </w:r>
      <w:r>
        <w:rPr>
          <w:lang w:val="en_US" w:bidi="en_US"/>
        </w:rPr>
        <w:t xml:space="preserve"> The Greek clause that the BSB translates as </w:t>
      </w:r>
      <w:r>
        <w:rPr>
          <w:i/>
          <w:lang w:val="en_US" w:bidi="en_US"/>
        </w:rPr>
        <w:t>they suffered this fate</w:t>
      </w:r>
      <w:r>
        <w:rPr>
          <w:lang w:val="en_US" w:bidi="en_US"/>
        </w:rPr>
        <w:t xml:space="preserve"> is literally “they suffered these (things).” This clause refers to the terrible or violent way in which these Galileans died. The verb </w:t>
      </w:r>
      <w:r>
        <w:rPr>
          <w:i/>
          <w:lang w:val="en_US" w:bidi="en_US"/>
        </w:rPr>
        <w:t>suffered</w:t>
      </w:r>
      <w:r>
        <w:rPr>
          <w:lang w:val="en_US" w:bidi="en_US"/>
        </w:rPr>
        <w:t xml:space="preserve"> does not indicate a prolonged period of suffering. Refer to their death in a natural way in your language. For example:</w:t>
      </w:r>
    </w:p>
    <w:p>
      <w:pPr/>
      <w:r>
        <w:rPr>
          <w:lang w:val="en_US" w:bidi="en_US"/>
        </w:rPr>
      </w:r>
      <w:r>
        <w:rPr>
          <w:lang w:val="en_US" w:bidi="en_US"/>
        </w:rPr>
        <w:t>those Galileans were killed in that way (GNT)</w:t>
      </w:r>
    </w:p>
    <w:p>
      <w:pPr/>
      <w:r>
        <w:rPr>
          <w:lang w:val="en_US" w:bidi="en_US"/>
        </w:rPr>
      </w:r>
      <w:r>
        <w:rPr>
          <w:lang w:val="en_US" w:bidi="en_US"/>
        </w:rPr>
        <w:t>this happened to them (NCV)</w:t>
      </w:r>
      <w:r>
        <w:rPr>
          <w:lang w:val="en_US" w:bidi="en_US"/>
        </w:rPr>
      </w:r>
      <w:r>
        <w:rPr>
          <w:lang w:val="en_US" w:bidi="en_US"/>
        </w:rPr>
      </w:r>
    </w:p>
    <w:p>
      <w:pPr/>
      <w:r>
        <w:rPr>
          <w:lang w:val="en_US" w:bidi="en_US"/>
        </w:rPr>
      </w:r>
    </w:p>
    <w:p>
      <w:pPr>
        <w:pStyle w:val="Heading2"/>
      </w:pPr>
      <w:r>
        <w:rPr>
          <w:lang w:val="en_US" w:bidi="en_US"/>
        </w:rPr>
        <w:t>Luke 13:3</w:t>
      </w:r>
      <w:r>
        <w:rPr>
          <w:lang w:val="en_US" w:bidi="en_US"/>
        </w:rPr>
      </w:r>
    </w:p>
    <w:p>
      <w:pPr>
        <w:pStyle w:val="Heading4"/>
      </w:pPr>
      <w:r>
        <w:rPr>
          <w:lang w:val="en_US" w:bidi="en_US"/>
        </w:rPr>
        <w:t>Section 13:1–5: Everyone must repent</w:t>
      </w:r>
    </w:p>
    <w:p>
      <w:pPr/>
      <w:r>
        <w:rPr>
          <w:lang w:val="en_US" w:bidi="en_US"/>
        </w:rPr>
      </w:r>
      <w:r>
        <w:rPr>
          <w:lang w:val="en_US" w:bidi="en_US"/>
        </w:rPr>
        <w:t>In this section Jesus continued his teaching about God judging people by saying that people needed to repent. Pilate’s soldiers had recently murdered some people from Galilee. Other people had died when a tower fell on them. The crowd that was listening to Jesus thought that all these people had died because they had been evil and God was punishing them. But Jesus told the crowd that they themselves needed to repent just as much as those people who died had needed to repent.</w:t>
      </w:r>
    </w:p>
    <w:p>
      <w:pPr/>
      <w:r>
        <w:rPr>
          <w:lang w:val="en_US" w:bidi="en_US"/>
        </w:rPr>
      </w:r>
      <w:r>
        <w:rPr>
          <w:lang w:val="en_US" w:bidi="en_US"/>
        </w:rPr>
        <w:t>Other possible headings for this section are:</w:t>
      </w:r>
    </w:p>
    <w:p>
      <w:pPr/>
      <w:r>
        <w:rPr>
          <w:lang w:val="en_US" w:bidi="en_US"/>
        </w:rPr>
      </w:r>
      <w:r>
        <w:rPr>
          <w:lang w:val="en_US" w:bidi="en_US"/>
        </w:rPr>
        <w:t>Jesus told people to repent or they would die</w:t>
      </w:r>
    </w:p>
    <w:p>
      <w:pPr/>
      <w:r>
        <w:rPr>
          <w:lang w:val="en_US" w:bidi="en_US"/>
        </w:rPr>
      </w:r>
      <w:r>
        <w:rPr>
          <w:lang w:val="en_US" w:bidi="en_US"/>
        </w:rPr>
        <w:t>Turn from your sins or die (GNT)</w:t>
      </w:r>
    </w:p>
    <w:p>
      <w:pPr/>
      <w:r>
        <w:rPr>
          <w:lang w:val="en_US" w:bidi="en_US"/>
        </w:rPr>
      </w:r>
      <w:r>
        <w:rPr>
          <w:lang w:val="en_US" w:bidi="en_US"/>
        </w:rPr>
        <w:t>This teaching occurs only in Luke.</w:t>
      </w:r>
    </w:p>
    <w:p>
      <w:pPr>
        <w:pStyle w:val="Heading5"/>
      </w:pPr>
      <w:r>
        <w:rPr>
          <w:lang w:val="en_US" w:bidi="en_US"/>
        </w:rPr>
        <w:t>13:3a</w:t>
      </w:r>
    </w:p>
    <w:p>
      <w:pPr/>
      <w:r>
        <w:rPr>
          <w:lang w:val="en_US" w:bidi="en_US"/>
        </w:rPr>
      </w:r>
      <w:r>
        <w:rPr>
          <w:b/>
          <w:lang w:val="en_US" w:bidi="en_US"/>
        </w:rPr>
        <w:t>No, I tell you.</w:t>
      </w:r>
    </w:p>
    <w:p>
      <w:pPr>
        <w:pStyle w:val="ListBullet"/>
        <w:spacing w:line="240" w:lineRule="auto"/>
        <w:ind w:left="720"/>
      </w:pPr>
      <w:r>
        <w:rPr>
          <w:lang w:val="en_US" w:bidi="en_US"/>
        </w:rPr>
      </w:r>
      <w:r>
        <w:rPr>
          <w:lang w:val="en_US" w:bidi="en_US"/>
        </w:rPr>
        <w:t>I tell/assure you</w:t>
      </w:r>
      <w:r>
        <w:rPr>
          <w:vertAlign w:val="superscript"/>
          <w:lang w:val="en_US" w:bidi="en_US"/>
        </w:rPr>
        <w:t>(plur)</w:t>
      </w:r>
      <w:r>
        <w:rPr>
          <w:lang w:val="en_US" w:bidi="en_US"/>
        </w:rPr>
        <w:t xml:space="preserve"> that that is not correct/true.</w:t>
      </w:r>
    </w:p>
    <w:p>
      <w:pPr>
        <w:pStyle w:val="ListBullet"/>
        <w:spacing w:line="240" w:lineRule="auto"/>
        <w:ind w:left="720"/>
      </w:pPr>
      <w:r>
        <w:rPr>
          <w:lang w:val="en_US" w:bidi="en_US"/>
        </w:rPr>
      </w:r>
      <w:r>
        <w:rPr>
          <w:lang w:val="en_US" w:bidi="en_US"/>
        </w:rPr>
        <w:t>If so, you</w:t>
      </w:r>
      <w:r>
        <w:rPr>
          <w:vertAlign w:val="superscript"/>
          <w:lang w:val="en_US" w:bidi="en_US"/>
        </w:rPr>
        <w:t>(plur)</w:t>
      </w:r>
      <w:r>
        <w:rPr>
          <w:lang w:val="en_US" w:bidi="en_US"/>
        </w:rPr>
        <w:t xml:space="preserve"> are quite wrong. </w:t>
      </w:r>
      <w:r>
        <w:rPr>
          <w:lang w:val="en_US" w:bidi="en_US"/>
        </w:rPr>
        <w:t>They were not worse sinners.</w:t>
      </w:r>
    </w:p>
    <w:p>
      <w:pPr>
        <w:pStyle w:val="ListBullet"/>
        <w:spacing w:line="240" w:lineRule="auto"/>
        <w:ind w:left="720"/>
      </w:pPr>
      <w:r>
        <w:rPr>
          <w:lang w:val="en_US" w:bidi="en_US"/>
        </w:rPr>
      </w:r>
      <w:r>
        <w:rPr>
          <w:lang w:val="en_US" w:bidi="en_US"/>
        </w:rPr>
        <w:t xml:space="preserve">No indeed! </w:t>
      </w:r>
      <w:r>
        <w:rPr>
          <w:lang w:val="en_US" w:bidi="en_US"/>
        </w:rPr>
        <w:t>That is not the reason it happened.</w:t>
      </w:r>
    </w:p>
    <w:p>
      <w:pPr/>
      <w:r>
        <w:rPr>
          <w:lang w:val="en_US" w:bidi="en_US"/>
        </w:rPr>
      </w:r>
      <w:r>
        <w:rPr>
          <w:b/>
          <w:lang w:val="en_US" w:bidi="en_US"/>
        </w:rPr>
        <w:t>No, I tell you:</w:t>
      </w:r>
      <w:r>
        <w:rPr>
          <w:lang w:val="en_US" w:bidi="en_US"/>
        </w:rPr>
        <w:t xml:space="preserve"> The BSB follows the Greek word order by translating this verse part as </w:t>
      </w:r>
      <w:r>
        <w:rPr>
          <w:i/>
          <w:lang w:val="en_US" w:bidi="en_US"/>
        </w:rPr>
        <w:t>No, I tell you</w:t>
      </w:r>
      <w:r>
        <w:rPr>
          <w:lang w:val="en_US" w:bidi="en_US"/>
        </w:rPr>
        <w:t>. Other versions translate it in a different order. For example:</w:t>
      </w:r>
    </w:p>
    <w:p>
      <w:pPr/>
      <w:r>
        <w:rPr>
          <w:lang w:val="en_US" w:bidi="en_US"/>
        </w:rPr>
      </w:r>
      <w:r>
        <w:rPr>
          <w:lang w:val="en_US" w:bidi="en_US"/>
        </w:rPr>
        <w:t>I tell you, no (NIV)</w:t>
      </w:r>
    </w:p>
    <w:p>
      <w:pPr/>
      <w:r>
        <w:rPr>
          <w:lang w:val="en_US" w:bidi="en_US"/>
        </w:rPr>
      </w:r>
      <w:r>
        <w:rPr>
          <w:lang w:val="en_US" w:bidi="en_US"/>
        </w:rPr>
        <w:t>You should translate this in a natural order in your language.</w:t>
      </w:r>
    </w:p>
    <w:p>
      <w:pPr/>
      <w:r>
        <w:rPr>
          <w:lang w:val="en_US" w:bidi="en_US"/>
        </w:rPr>
      </w:r>
      <w:r>
        <w:rPr>
          <w:lang w:val="en_US" w:bidi="en_US"/>
        </w:rPr>
        <w:t xml:space="preserve">In this verse part, Jesus gave an emphatic negative answer to his own rhetorical question in 13:2a–b. He indicated that it would be completely wrong to think that these Galileans had died in this way because they were worse sinners than other people. He emphasized that fact by using the phrase </w:t>
      </w:r>
      <w:r>
        <w:rPr>
          <w:i/>
          <w:lang w:val="en_US" w:bidi="en_US"/>
        </w:rPr>
        <w:t>I tell you</w:t>
      </w:r>
      <w:r>
        <w:rPr>
          <w:lang w:val="en_US" w:bidi="en_US"/>
        </w:rPr>
        <w:t>. See the note on 12:27c for more information on how to translate that phrase.</w:t>
      </w:r>
    </w:p>
    <w:p>
      <w:pPr/>
      <w:r>
        <w:rPr>
          <w:lang w:val="en_US" w:bidi="en_US"/>
        </w:rPr>
      </w:r>
      <w:r>
        <w:rPr>
          <w:lang w:val="en_US" w:bidi="en_US"/>
        </w:rPr>
        <w:t xml:space="preserve">Some other ways to translate </w:t>
      </w:r>
      <w:r>
        <w:rPr>
          <w:i/>
          <w:lang w:val="en_US" w:bidi="en_US"/>
        </w:rPr>
        <w:t>No, I tell you</w:t>
      </w:r>
      <w:r>
        <w:rPr>
          <w:lang w:val="en_US" w:bidi="en_US"/>
        </w:rPr>
        <w:t xml:space="preserve"> in this context are:</w:t>
      </w:r>
    </w:p>
    <w:p>
      <w:pPr>
        <w:pStyle w:val="ListBullet"/>
        <w:spacing w:line="240" w:lineRule="auto"/>
        <w:ind w:left="720"/>
      </w:pPr>
      <w:r>
        <w:rPr>
          <w:lang w:val="en_US" w:bidi="en_US"/>
        </w:rPr>
      </w:r>
      <w:r>
        <w:rPr>
          <w:lang w:val="en_US" w:bidi="en_US"/>
        </w:rPr>
        <w:t>As a clause before Jesus’ statement. For example:</w:t>
      </w:r>
      <w:r>
        <w:rPr>
          <w:lang w:val="en_US" w:bidi="en_US"/>
        </w:rPr>
        <w:t xml:space="preserve">No! I can guarantee/assure you </w:t>
      </w:r>
      <w:r>
        <w:rPr>
          <w:lang w:val="en_US" w:bidi="en_US"/>
        </w:rPr>
        <w:t>that they were not worse sinners</w:t>
      </w:r>
      <w:r>
        <w:rPr>
          <w:lang w:val="en_US" w:bidi="en_US"/>
        </w:rPr>
        <w:t>I assure you, that is incorrect</w:t>
      </w:r>
    </w:p>
    <w:p>
      <w:pPr>
        <w:pStyle w:val="ListBullet"/>
        <w:spacing w:line="240" w:lineRule="auto"/>
        <w:ind w:left="720"/>
      </w:pPr>
      <w:r>
        <w:rPr>
          <w:lang w:val="en_US" w:bidi="en_US"/>
        </w:rPr>
      </w:r>
      <w:r>
        <w:rPr>
          <w:lang w:val="en_US" w:bidi="en_US"/>
        </w:rPr>
        <w:t>As an emphatic word within Jesus’ statement. For example:</w:t>
      </w:r>
      <w:r>
        <w:rPr>
          <w:lang w:val="en_US" w:bidi="en_US"/>
        </w:rPr>
        <w:t xml:space="preserve">But </w:t>
      </w:r>
      <w:r>
        <w:rPr>
          <w:lang w:val="en_US" w:bidi="en_US"/>
        </w:rPr>
        <w:t>if so,</w:t>
      </w:r>
      <w:r>
        <w:rPr>
          <w:lang w:val="en_US" w:bidi="en_US"/>
        </w:rPr>
        <w:t xml:space="preserve"> you are </w:t>
      </w:r>
      <w:r>
        <w:rPr>
          <w:u w:val="single"/>
          <w:lang w:val="en_US" w:bidi="en_US"/>
        </w:rPr>
        <w:t>completely/very</w:t>
      </w:r>
      <w:r>
        <w:rPr>
          <w:lang w:val="en_US" w:bidi="en_US"/>
        </w:rPr>
        <w:t xml:space="preserve"> wrong!</w:t>
      </w:r>
    </w:p>
    <w:p>
      <w:pPr/>
      <w:r>
        <w:rPr>
          <w:lang w:val="en_US" w:bidi="en_US"/>
        </w:rPr>
      </w:r>
      <w:r>
        <w:rPr>
          <w:lang w:val="en_US" w:bidi="en_US"/>
        </w:rPr>
        <w:t>If you have another way in your language to emphasize a statement or to alert people to listen with special attention, consider using it here.</w:t>
      </w:r>
    </w:p>
    <w:p>
      <w:pPr>
        <w:pStyle w:val="Heading5"/>
      </w:pPr>
      <w:r>
        <w:rPr>
          <w:lang w:val="en_US" w:bidi="en_US"/>
        </w:rPr>
        <w:t>13:3b</w:t>
      </w:r>
    </w:p>
    <w:p>
      <w:pPr/>
      <w:r>
        <w:rPr>
          <w:lang w:val="en_US" w:bidi="en_US"/>
        </w:rPr>
      </w:r>
      <w:r>
        <w:rPr>
          <w:b/>
          <w:lang w:val="en_US" w:bidi="en_US"/>
        </w:rPr>
        <w:t>But unless you repent,</w:t>
      </w:r>
    </w:p>
    <w:p>
      <w:pPr>
        <w:pStyle w:val="ListBullet"/>
        <w:spacing w:line="240" w:lineRule="auto"/>
        <w:ind w:left="720"/>
      </w:pPr>
      <w:r>
        <w:rPr>
          <w:lang w:val="en_US" w:bidi="en_US"/>
        </w:rPr>
      </w:r>
      <w:r>
        <w:rPr>
          <w:lang w:val="en_US" w:bidi="en_US"/>
        </w:rPr>
        <w:t>In fact,</w:t>
      </w:r>
      <w:r>
        <w:rPr>
          <w:lang w:val="en_US" w:bidi="en_US"/>
        </w:rPr>
        <w:t xml:space="preserve"> if you</w:t>
      </w:r>
      <w:r>
        <w:rPr>
          <w:vertAlign w:val="superscript"/>
          <w:lang w:val="en_US" w:bidi="en_US"/>
        </w:rPr>
        <w:t>(plur)</w:t>
      </w:r>
      <w:r>
        <w:rPr>
          <w:lang w:val="en_US" w:bidi="en_US"/>
        </w:rPr>
        <w:t xml:space="preserve"> do not repent of your sins,</w:t>
      </w:r>
    </w:p>
    <w:p>
      <w:pPr>
        <w:pStyle w:val="ListBullet"/>
        <w:spacing w:line="240" w:lineRule="auto"/>
        <w:ind w:left="720"/>
      </w:pPr>
      <w:r>
        <w:rPr>
          <w:lang w:val="en_US" w:bidi="en_US"/>
        </w:rPr>
      </w:r>
      <w:r>
        <w:rPr>
          <w:lang w:val="en_US" w:bidi="en_US"/>
        </w:rPr>
        <w:t>And if you</w:t>
      </w:r>
      <w:r>
        <w:rPr>
          <w:vertAlign w:val="superscript"/>
          <w:lang w:val="en_US" w:bidi="en_US"/>
        </w:rPr>
        <w:t>(plur)</w:t>
      </w:r>
      <w:r>
        <w:rPr>
          <w:lang w:val="en_US" w:bidi="en_US"/>
        </w:rPr>
        <w:t xml:space="preserve"> do not turn from your sins,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Jesus’ main point, in contrast to what the people incorrectly assumed. Since Jesus has already emphatically denied the truth of their assumption in 13:3a, you may need to introduce Jesus’ main point in another way. For example:</w:t>
      </w:r>
    </w:p>
    <w:p>
      <w:pPr/>
      <w:r>
        <w:rPr>
          <w:lang w:val="en_US" w:bidi="en_US"/>
        </w:rPr>
      </w:r>
      <w:r>
        <w:rPr>
          <w:lang w:val="en_US" w:bidi="en_US"/>
        </w:rPr>
        <w:t>In fact, if you do not repent</w:t>
      </w:r>
    </w:p>
    <w:p>
      <w:pPr/>
      <w:r>
        <w:rPr>
          <w:lang w:val="en_US" w:bidi="en_US"/>
        </w:rPr>
      </w:r>
      <w:r>
        <w:rPr>
          <w:b/>
          <w:lang w:val="en_US" w:bidi="en_US"/>
        </w:rPr>
        <w:t>unless you repent:</w:t>
      </w:r>
      <w:r>
        <w:rPr>
          <w:lang w:val="en_US" w:bidi="en_US"/>
        </w:rPr>
        <w:t xml:space="preserve"> The clause </w:t>
      </w:r>
      <w:r>
        <w:rPr>
          <w:i/>
          <w:lang w:val="en_US" w:bidi="en_US"/>
        </w:rPr>
        <w:t>unless you repent</w:t>
      </w:r>
      <w:r>
        <w:rPr>
          <w:lang w:val="en_US" w:bidi="en_US"/>
        </w:rPr>
        <w:t xml:space="preserve"> means “if you do not turn away from your sin.” The word </w:t>
      </w:r>
      <w:r>
        <w:rPr>
          <w:i/>
          <w:lang w:val="en_US" w:bidi="en_US"/>
        </w:rPr>
        <w:t>repent</w:t>
      </w:r>
      <w:r>
        <w:rPr>
          <w:lang w:val="en_US" w:bidi="en_US"/>
        </w:rPr>
        <w:t xml:space="preserve"> means that a person “changes his mind, heart, or will.” In the Bible, it refers specifically to a person changing his mind and heart about sin and about God. When a person repents, he is sorry for his past sins. He decides to stop sinning and obey God. Another way to translate this is:</w:t>
      </w:r>
    </w:p>
    <w:p>
      <w:pPr/>
      <w:r>
        <w:rPr>
          <w:lang w:val="en_US" w:bidi="en_US"/>
        </w:rPr>
      </w:r>
      <w:r>
        <w:rPr>
          <w:lang w:val="en_US" w:bidi="en_US"/>
        </w:rPr>
        <w:t>unless you change your hearts and lives (NCV)</w:t>
      </w:r>
    </w:p>
    <w:p>
      <w:pPr/>
      <w:r>
        <w:rPr>
          <w:lang w:val="en_US" w:bidi="en_US"/>
        </w:rPr>
      </w:r>
      <w:r>
        <w:rPr>
          <w:lang w:val="en_US" w:bidi="en_US"/>
        </w:rPr>
        <w:t>Other ways to translate this clause are:</w:t>
      </w:r>
    </w:p>
    <w:p>
      <w:pPr/>
      <w:r>
        <w:rPr>
          <w:lang w:val="en_US" w:bidi="en_US"/>
        </w:rPr>
      </w:r>
      <w:r>
        <w:rPr>
          <w:lang w:val="en_US" w:bidi="en_US"/>
        </w:rPr>
        <w:t>unless you turn from sin to God</w:t>
      </w:r>
    </w:p>
    <w:p>
      <w:pPr/>
      <w:r>
        <w:rPr>
          <w:lang w:val="en_US" w:bidi="en_US"/>
        </w:rPr>
      </w:r>
      <w:r>
        <w:rPr>
          <w:lang w:val="en_US" w:bidi="en_US"/>
        </w:rPr>
        <w:t>unless you reject your sins</w:t>
      </w:r>
    </w:p>
    <w:p>
      <w:pPr/>
      <w:r>
        <w:rPr>
          <w:lang w:val="en_US" w:bidi="en_US"/>
        </w:rPr>
      </w:r>
      <w:r>
        <w:rPr>
          <w:lang w:val="en_US" w:bidi="en_US"/>
        </w:rPr>
        <w:t>unless you leave your sinning behind</w:t>
      </w:r>
    </w:p>
    <w:p>
      <w:pPr/>
      <w:r>
        <w:rPr>
          <w:lang w:val="en_US" w:bidi="en_US"/>
        </w:rPr>
      </w:r>
      <w:r>
        <w:rPr>
          <w:lang w:val="en_US" w:bidi="en_US"/>
        </w:rPr>
        <w:t>See how you translated “repented” at 10:13d.</w:t>
      </w:r>
    </w:p>
    <w:p>
      <w:pPr>
        <w:pStyle w:val="Heading5"/>
      </w:pPr>
      <w:r>
        <w:rPr>
          <w:lang w:val="en_US" w:bidi="en_US"/>
        </w:rPr>
        <w:t>13:3c</w:t>
      </w:r>
    </w:p>
    <w:p>
      <w:pPr/>
      <w:r>
        <w:rPr>
          <w:lang w:val="en_US" w:bidi="en_US"/>
        </w:rPr>
      </w:r>
      <w:r>
        <w:rPr>
          <w:b/>
          <w:lang w:val="en_US" w:bidi="en_US"/>
        </w:rPr>
        <w:t>you too will all perish.</w:t>
      </w:r>
    </w:p>
    <w:p>
      <w:pPr>
        <w:pStyle w:val="ListBullet"/>
        <w:spacing w:line="240" w:lineRule="auto"/>
        <w:ind w:left="720"/>
      </w:pPr>
      <w:r>
        <w:rPr>
          <w:lang w:val="en_US" w:bidi="en_US"/>
        </w:rPr>
      </w:r>
      <w:r>
        <w:rPr>
          <w:lang w:val="en_US" w:bidi="en_US"/>
        </w:rPr>
        <w:t>all of you will also perish/die.</w:t>
      </w:r>
    </w:p>
    <w:p>
      <w:pPr>
        <w:pStyle w:val="ListBullet"/>
        <w:spacing w:line="240" w:lineRule="auto"/>
        <w:ind w:left="720"/>
      </w:pPr>
      <w:r>
        <w:rPr>
          <w:lang w:val="en_US" w:bidi="en_US"/>
        </w:rPr>
      </w:r>
      <w:r>
        <w:rPr>
          <w:lang w:val="en_US" w:bidi="en_US"/>
        </w:rPr>
        <w:t>God will also judge/punish all of you with death!</w:t>
      </w:r>
    </w:p>
    <w:p>
      <w:pPr/>
      <w:r>
        <w:rPr>
          <w:lang w:val="en_US" w:bidi="en_US"/>
        </w:rPr>
      </w:r>
      <w:r>
        <w:rPr>
          <w:b/>
          <w:lang w:val="en_US" w:bidi="en_US"/>
        </w:rPr>
        <w:t>you too will all perish:</w:t>
      </w:r>
      <w:r>
        <w:rPr>
          <w:lang w:val="en_US" w:bidi="en_US"/>
        </w:rPr>
        <w:t xml:space="preserve"> There are at least two ways to interpret the clause that the BSB translates as </w:t>
      </w:r>
      <w:r>
        <w:rPr>
          <w:i/>
          <w:lang w:val="en_US" w:bidi="en_US"/>
        </w:rPr>
        <w:t>you too will all perish</w:t>
      </w:r>
      <w:r>
        <w:rPr>
          <w:lang w:val="en_US" w:bidi="en_US"/>
        </w:rPr>
        <w:t>:</w:t>
      </w:r>
    </w:p>
    <w:p>
      <w:pPr>
        <w:pStyle w:val="ListNumber"/>
        <w:numPr>
          <w:ilvl w:val="0"/>
          <w:numId w:val="250"/>
        </w:numPr>
        <w:spacing w:line="240" w:lineRule="auto"/>
        <w:ind w:left="720"/>
      </w:pPr>
      <w:r>
        <w:rPr>
          <w:lang w:val="en_US" w:bidi="en_US"/>
        </w:rPr>
      </w:r>
      <w:r>
        <w:rPr>
          <w:lang w:val="en_US" w:bidi="en_US"/>
        </w:rPr>
        <w:t>It means that Jesus’ listeners would also die with their sins not forgiven. They would experience eternal, spiritual death.</w:t>
      </w:r>
    </w:p>
    <w:p>
      <w:pPr>
        <w:pStyle w:val="ListNumber"/>
        <w:spacing w:line="240" w:lineRule="auto"/>
        <w:ind w:left="720"/>
      </w:pPr>
      <w:r>
        <w:rPr>
          <w:lang w:val="en_US" w:bidi="en_US"/>
        </w:rPr>
      </w:r>
      <w:r>
        <w:rPr>
          <w:lang w:val="en_US" w:bidi="en_US"/>
        </w:rPr>
        <w:t>It means that Jesus’ listeners would also die a violent, physical death. They would experience destruction as a nation. This actually happened to many Jews in A.D. 70 when the Romans destroyed Jerusalem. For example:</w:t>
      </w:r>
      <w:r>
        <w:rPr>
          <w:lang w:val="en_US" w:bidi="en_US"/>
        </w:rPr>
        <w:t xml:space="preserve">every one of you will also be killed (CEV) </w:t>
      </w:r>
      <w:r>
        <w:rPr>
          <w:i/>
          <w:lang w:val="en_US" w:bidi="en_US"/>
        </w:rPr>
        <w:t>(CEV, JBP)</w:t>
      </w:r>
    </w:p>
    <w:p>
      <w:pPr/>
      <w:r>
        <w:rPr>
          <w:lang w:val="en_US" w:bidi="en_US"/>
        </w:rPr>
      </w:r>
      <w:r>
        <w:rPr>
          <w:lang w:val="en_US" w:bidi="en_US"/>
        </w:rPr>
        <w:t>Most English versions are ambiguous.</w:t>
      </w:r>
      <w:r>
        <w:rPr>
          <w:lang w:val="en_US" w:bidi="en_US"/>
        </w:rPr>
        <w:t>Versions such as the GNT, which use the word “die,” use this same word in other verses when referring to both eternal death and physical death. Versions such as the BSB, NIV, RSV or NJB, which use the word “perish,” also use this same word in both senses.</w:t>
      </w:r>
      <w:r>
        <w:rPr>
          <w:lang w:val="en_US" w:bidi="en_US"/>
        </w:rPr>
        <w:t xml:space="preserve"> There is good support for both interpretations.</w:t>
      </w:r>
      <w:r>
        <w:rPr>
          <w:lang w:val="en_US" w:bidi="en_US"/>
        </w:rPr>
        <w:t>Blight 2007b, pp. 74–75 deals primarily with the distinction between “also perish” and “perish in a similar way.” These Notes have focused on the distinction between physical death and spiritual death, so the interpretations do not line up in the same way. Scholars who support the view that “perish” refers to dying in an unrepentant state and facing the final judgment include Bock, Fitzmyer, Green, Hendriksen, Lenski, Marshall, and Pate. Scholars who support the view that “perish” refers to “violent death,” such as in a national disaster, include Alford, Arndt, Barclay, Creed, and Godet. If one accepts the first view (followed in TN), the distinction between “die/perish too” and “die/perish in the same manner” becomes irrelevant. This, of course, assumes that the Galileans died without having a chance to repent.</w:t>
      </w:r>
      <w:r>
        <w:rPr>
          <w:lang w:val="en_US" w:bidi="en_US"/>
        </w:rPr>
        <w:t xml:space="preserve"> It is recommended that you translate ambiguously if possible. For example:</w:t>
      </w:r>
    </w:p>
    <w:p>
      <w:pPr/>
      <w:r>
        <w:rPr>
          <w:lang w:val="en_US" w:bidi="en_US"/>
        </w:rPr>
      </w:r>
      <w:r>
        <w:rPr>
          <w:lang w:val="en_US" w:bidi="en_US"/>
        </w:rPr>
        <w:t>your punishment will be the same as theirs</w:t>
      </w:r>
    </w:p>
    <w:p>
      <w:pPr/>
      <w:r>
        <w:rPr>
          <w:lang w:val="en_US" w:bidi="en_US"/>
        </w:rPr>
      </w:r>
      <w:r>
        <w:rPr>
          <w:lang w:val="en_US" w:bidi="en_US"/>
        </w:rPr>
        <w:t>you also will face God’s judgment</w:t>
      </w:r>
    </w:p>
    <w:p>
      <w:pPr/>
      <w:r>
        <w:rPr>
          <w:lang w:val="en_US" w:bidi="en_US"/>
        </w:rPr>
      </w:r>
      <w:r>
        <w:rPr>
          <w:lang w:val="en_US" w:bidi="en_US"/>
        </w:rPr>
        <w:t>you will also perish/die</w:t>
      </w:r>
    </w:p>
    <w:p>
      <w:pPr/>
      <w:r>
        <w:rPr>
          <w:lang w:val="en_US" w:bidi="en_US"/>
        </w:rPr>
      </w:r>
      <w:r>
        <w:rPr>
          <w:lang w:val="en_US" w:bidi="en_US"/>
        </w:rPr>
        <w:t>If it is not possible to translate ambiguously, it is recommended that you follow interpretation (1), since the context stresses the need for repentance. Repentance will always prevent eternal death, but people who repent do not necessarily escape violent physical death.</w:t>
      </w:r>
    </w:p>
    <w:p>
      <w:pPr/>
      <w:r>
        <w:rPr>
          <w:lang w:val="en_US" w:bidi="en_US"/>
        </w:rPr>
      </w:r>
      <w:r>
        <w:rPr>
          <w:lang w:val="en_US" w:bidi="en_US"/>
        </w:rPr>
        <w:t>You may also want to add a footnote, as suggested by the TRT:</w:t>
      </w:r>
    </w:p>
    <w:p>
      <w:pPr/>
      <w:r>
        <w:rPr>
          <w:lang w:val="en_US" w:bidi="en_US"/>
        </w:rPr>
      </w:r>
      <w:r>
        <w:rPr>
          <w:lang w:val="en_US" w:bidi="en_US"/>
        </w:rPr>
        <w:t>In verses 3 and 5 Jesus is especially referring to spiritual death and what will happen on Judgment Day, when people who do not repent of their sins and do not trust in Him will be sent to hell for eternal punishment (Matthew 25:41, 25:46).</w:t>
      </w:r>
      <w:r>
        <w:rPr>
          <w:lang w:val="en_US" w:bidi="en_US"/>
        </w:rPr>
      </w:r>
      <w:r>
        <w:rPr>
          <w:lang w:val="en_US" w:bidi="en_US"/>
        </w:rPr>
      </w:r>
    </w:p>
    <w:p>
      <w:pPr/>
      <w:r>
        <w:rPr>
          <w:lang w:val="en_US" w:bidi="en_US"/>
        </w:rPr>
      </w:r>
    </w:p>
    <w:p>
      <w:pPr>
        <w:pStyle w:val="Heading2"/>
      </w:pPr>
      <w:r>
        <w:rPr>
          <w:lang w:val="en_US" w:bidi="en_US"/>
        </w:rPr>
        <w:t>Luke 13:4</w:t>
      </w:r>
      <w:r>
        <w:rPr>
          <w:lang w:val="en_US" w:bidi="en_US"/>
        </w:rPr>
      </w:r>
    </w:p>
    <w:p>
      <w:pPr>
        <w:pStyle w:val="Heading4"/>
      </w:pPr>
      <w:r>
        <w:rPr>
          <w:lang w:val="en_US" w:bidi="en_US"/>
        </w:rPr>
        <w:t>Section 13:1–5: Everyone must repent</w:t>
      </w:r>
    </w:p>
    <w:p>
      <w:pPr/>
      <w:r>
        <w:rPr>
          <w:lang w:val="en_US" w:bidi="en_US"/>
        </w:rPr>
      </w:r>
      <w:r>
        <w:rPr>
          <w:lang w:val="en_US" w:bidi="en_US"/>
        </w:rPr>
        <w:t>In this section Jesus continued his teaching about God judging people by saying that people needed to repent. Pilate’s soldiers had recently murdered some people from Galilee. Other people had died when a tower fell on them. The crowd that was listening to Jesus thought that all these people had died because they had been evil and God was punishing them. But Jesus told the crowd that they themselves needed to repent just as much as those people who died had needed to repent.</w:t>
      </w:r>
    </w:p>
    <w:p>
      <w:pPr/>
      <w:r>
        <w:rPr>
          <w:lang w:val="en_US" w:bidi="en_US"/>
        </w:rPr>
      </w:r>
      <w:r>
        <w:rPr>
          <w:lang w:val="en_US" w:bidi="en_US"/>
        </w:rPr>
        <w:t>Other possible headings for this section are:</w:t>
      </w:r>
    </w:p>
    <w:p>
      <w:pPr/>
      <w:r>
        <w:rPr>
          <w:lang w:val="en_US" w:bidi="en_US"/>
        </w:rPr>
      </w:r>
      <w:r>
        <w:rPr>
          <w:lang w:val="en_US" w:bidi="en_US"/>
        </w:rPr>
        <w:t>Jesus told people to repent or they would die</w:t>
      </w:r>
    </w:p>
    <w:p>
      <w:pPr/>
      <w:r>
        <w:rPr>
          <w:lang w:val="en_US" w:bidi="en_US"/>
        </w:rPr>
      </w:r>
      <w:r>
        <w:rPr>
          <w:lang w:val="en_US" w:bidi="en_US"/>
        </w:rPr>
        <w:t>Turn from your sins or die (GNT)</w:t>
      </w:r>
    </w:p>
    <w:p>
      <w:pPr/>
      <w:r>
        <w:rPr>
          <w:lang w:val="en_US" w:bidi="en_US"/>
        </w:rPr>
      </w:r>
      <w:r>
        <w:rPr>
          <w:lang w:val="en_US" w:bidi="en_US"/>
        </w:rPr>
        <w:t>This teaching occurs only in Luke.</w:t>
      </w:r>
    </w:p>
    <w:p>
      <w:pPr>
        <w:pStyle w:val="Heading5"/>
      </w:pPr>
      <w:r>
        <w:rPr>
          <w:lang w:val="en_US" w:bidi="en_US"/>
        </w:rPr>
        <w:t>13:4a</w:t>
      </w:r>
    </w:p>
    <w:p>
      <w:pPr/>
      <w:r>
        <w:rPr>
          <w:lang w:val="en_US" w:bidi="en_US"/>
        </w:rPr>
      </w:r>
      <w:r>
        <w:rPr>
          <w:b/>
          <w:lang w:val="en_US" w:bidi="en_US"/>
        </w:rPr>
        <w:t>Or those eighteen who were killed when the tower of Siloam collapsed on them:</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have</w:t>
      </w:r>
      <w:r>
        <w:rPr>
          <w:lang w:val="en_US" w:bidi="en_US"/>
        </w:rPr>
        <w:t xml:space="preserve"> also </w:t>
      </w:r>
      <w:r>
        <w:rPr>
          <w:lang w:val="en_US" w:bidi="en_US"/>
        </w:rPr>
        <w:t>heard about</w:t>
      </w:r>
      <w:r>
        <w:rPr>
          <w:lang w:val="en_US" w:bidi="en_US"/>
        </w:rPr>
        <w:t xml:space="preserve"> the eighteen people who died when the tower of Siloam collapsed and </w:t>
      </w:r>
      <w:r>
        <w:rPr>
          <w:lang w:val="en_US" w:bidi="en_US"/>
        </w:rPr>
        <w:t>its stones</w:t>
      </w:r>
      <w:r>
        <w:rPr>
          <w:lang w:val="en_US" w:bidi="en_US"/>
        </w:rPr>
        <w:t xml:space="preserve"> fell on them.</w:t>
      </w:r>
    </w:p>
    <w:p>
      <w:pPr>
        <w:pStyle w:val="ListBullet"/>
        <w:spacing w:line="240" w:lineRule="auto"/>
        <w:ind w:left="720"/>
      </w:pPr>
      <w:r>
        <w:rPr>
          <w:lang w:val="en_US" w:bidi="en_US"/>
        </w:rPr>
      </w:r>
      <w:r>
        <w:rPr>
          <w:lang w:val="en_US" w:bidi="en_US"/>
        </w:rPr>
        <w:t>Consider another example—the eighteen people who were killed when the high building in Siloam crashed on top of them.</w:t>
      </w:r>
    </w:p>
    <w:p>
      <w:pPr/>
      <w:r>
        <w:rPr>
          <w:lang w:val="en_US" w:bidi="en_US"/>
        </w:rPr>
      </w:r>
      <w:r>
        <w:rPr>
          <w:b/>
          <w:lang w:val="en_US" w:bidi="en_US"/>
        </w:rPr>
        <w:t>Or:</w:t>
      </w:r>
      <w:r>
        <w:rPr>
          <w:lang w:val="en_US" w:bidi="en_US"/>
        </w:rPr>
        <w:t xml:space="preserve"> The word </w:t>
      </w:r>
      <w:r>
        <w:rPr>
          <w:i/>
          <w:lang w:val="en_US" w:bidi="en_US"/>
        </w:rPr>
        <w:t>Or</w:t>
      </w:r>
      <w:r>
        <w:rPr>
          <w:lang w:val="en_US" w:bidi="en_US"/>
        </w:rPr>
        <w:t xml:space="preserve"> here introduces another example of people who had recently died in a tragic way. In this second example, however, the deaths were accidental, not deliberate killings. Other ways to introduce this example are:</w:t>
      </w:r>
    </w:p>
    <w:p>
      <w:pPr/>
      <w:r>
        <w:rPr>
          <w:lang w:val="en_US" w:bidi="en_US"/>
        </w:rPr>
      </w:r>
      <w:r>
        <w:rPr>
          <w:lang w:val="en_US" w:bidi="en_US"/>
        </w:rPr>
        <w:t>What about… (CEV)</w:t>
      </w:r>
    </w:p>
    <w:p>
      <w:pPr/>
      <w:r>
        <w:rPr>
          <w:lang w:val="en_US" w:bidi="en_US"/>
        </w:rPr>
      </w:r>
      <w:r>
        <w:rPr>
          <w:lang w:val="en_US" w:bidi="en_US"/>
        </w:rPr>
        <w:t>Consider also…</w:t>
      </w:r>
    </w:p>
    <w:p>
      <w:pPr/>
      <w:r>
        <w:rPr>
          <w:lang w:val="en_US" w:bidi="en_US"/>
        </w:rPr>
      </w:r>
      <w:r>
        <w:rPr>
          <w:b/>
          <w:lang w:val="en_US" w:bidi="en_US"/>
        </w:rPr>
        <w:t>those eighteen who were killed when the tower of Siloam collapsed on them:</w:t>
      </w:r>
      <w:r>
        <w:rPr>
          <w:lang w:val="en_US" w:bidi="en_US"/>
        </w:rPr>
        <w:t xml:space="preserve"> Jesus was referring here to an event that his listeners already knew about. This event had happened in Jerusalem not long before that. In some languages it may be helpful to make explicit that Jesus’ listeners had already heard about it. For example:</w:t>
      </w:r>
    </w:p>
    <w:p>
      <w:pPr/>
      <w:r>
        <w:rPr>
          <w:lang w:val="en_US" w:bidi="en_US"/>
        </w:rPr>
      </w:r>
      <w:r>
        <w:rPr>
          <w:lang w:val="en_US" w:bidi="en_US"/>
        </w:rPr>
        <w:t>you also heard/know about</w:t>
      </w:r>
      <w:r>
        <w:rPr>
          <w:lang w:val="en_US" w:bidi="en_US"/>
        </w:rPr>
        <w:t xml:space="preserve"> the eighteen people who died when the tower in Siloam fell on them</w:t>
      </w:r>
    </w:p>
    <w:p>
      <w:pPr/>
      <w:r>
        <w:rPr>
          <w:lang w:val="en_US" w:bidi="en_US"/>
        </w:rPr>
      </w:r>
      <w:r>
        <w:rPr>
          <w:b/>
          <w:lang w:val="en_US" w:bidi="en_US"/>
        </w:rPr>
        <w:t>the tower of Siloam:</w:t>
      </w:r>
      <w:r>
        <w:rPr>
          <w:lang w:val="en_US" w:bidi="en_US"/>
        </w:rPr>
        <w:t xml:space="preserve"> </w:t>
      </w:r>
      <w:r>
        <w:rPr>
          <w:i/>
          <w:lang w:val="en_US" w:bidi="en_US"/>
        </w:rPr>
        <w:t>Siloam</w:t>
      </w:r>
      <w:r>
        <w:rPr>
          <w:lang w:val="en_US" w:bidi="en_US"/>
        </w:rPr>
        <w:t xml:space="preserve"> was the name of a pool in Jerusalem and also of the neighborhood around this pool. The tower in Siloam was in this neighborhood. It was probably a high fortified area or building that was part of the city wall. It was probably made of stone and was very heavy. Some other ways to translate it are:</w:t>
      </w:r>
    </w:p>
    <w:p>
      <w:pPr/>
      <w:r>
        <w:rPr>
          <w:lang w:val="en_US" w:bidi="en_US"/>
        </w:rPr>
      </w:r>
      <w:r>
        <w:rPr>
          <w:lang w:val="en_US" w:bidi="en_US"/>
        </w:rPr>
        <w:t>high building in Siloam</w:t>
      </w:r>
    </w:p>
    <w:p>
      <w:pPr/>
      <w:r>
        <w:rPr>
          <w:lang w:val="en_US" w:bidi="en_US"/>
        </w:rPr>
      </w:r>
      <w:r>
        <w:rPr>
          <w:lang w:val="en_US" w:bidi="en_US"/>
        </w:rPr>
        <w:t xml:space="preserve">tall </w:t>
      </w:r>
      <w:r>
        <w:rPr>
          <w:lang w:val="en_US" w:bidi="en_US"/>
        </w:rPr>
        <w:t>stone</w:t>
      </w:r>
      <w:r>
        <w:rPr>
          <w:lang w:val="en_US" w:bidi="en_US"/>
        </w:rPr>
        <w:t xml:space="preserve"> house/wall in Siloam</w:t>
      </w:r>
    </w:p>
    <w:p>
      <w:pPr>
        <w:pStyle w:val="Heading5"/>
      </w:pPr>
      <w:r>
        <w:rPr>
          <w:lang w:val="en_US" w:bidi="en_US"/>
        </w:rPr>
        <w:t>13:4b</w:t>
      </w:r>
    </w:p>
    <w:p>
      <w:pPr/>
      <w:r>
        <w:rPr>
          <w:lang w:val="en_US" w:bidi="en_US"/>
        </w:rPr>
      </w:r>
      <w:r>
        <w:rPr>
          <w:b/>
          <w:lang w:val="en_US" w:bidi="en_US"/>
        </w:rPr>
        <w:t>Do you think that they were more sinful than all the others living in Jerusalem?</w:t>
      </w:r>
    </w:p>
    <w:p>
      <w:pPr>
        <w:pStyle w:val="ListBullet"/>
        <w:spacing w:line="240" w:lineRule="auto"/>
        <w:ind w:left="720"/>
      </w:pPr>
      <w:r>
        <w:rPr>
          <w:lang w:val="en_US" w:bidi="en_US"/>
        </w:rPr>
      </w:r>
      <w:r>
        <w:rPr>
          <w:lang w:val="en_US" w:bidi="en_US"/>
        </w:rPr>
        <w:t>Do you</w:t>
      </w:r>
      <w:r>
        <w:rPr>
          <w:vertAlign w:val="superscript"/>
          <w:lang w:val="en_US" w:bidi="en_US"/>
        </w:rPr>
        <w:t>(plur)</w:t>
      </w:r>
      <w:r>
        <w:rPr>
          <w:lang w:val="en_US" w:bidi="en_US"/>
        </w:rPr>
        <w:t xml:space="preserve"> think/assume that they were guilty of more serious sins than all the other people who lived in Jerusalem?</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may be thinking that they had sinned worse/more than all their fellow citizens in </w:t>
      </w:r>
      <w:r>
        <w:rPr>
          <w:lang w:val="en_US" w:bidi="en_US"/>
        </w:rPr>
        <w:t>the city of</w:t>
      </w:r>
      <w:r>
        <w:rPr>
          <w:lang w:val="en_US" w:bidi="en_US"/>
        </w:rPr>
        <w:t xml:space="preserve"> Jerusalem.</w:t>
      </w:r>
    </w:p>
    <w:p>
      <w:pPr/>
      <w:r>
        <w:rPr>
          <w:lang w:val="en_US" w:bidi="en_US"/>
        </w:rPr>
      </w:r>
      <w:r>
        <w:rPr>
          <w:b/>
          <w:lang w:val="en_US" w:bidi="en_US"/>
        </w:rPr>
        <w:t>Do you think that they were more sinful than all the others living in Jerusalem?:</w:t>
      </w:r>
      <w:r>
        <w:rPr>
          <w:lang w:val="en_US" w:bidi="en_US"/>
        </w:rPr>
        <w:t xml:space="preserve"> This is a rhetorical question. It is parallel to the question in 13:2, so you can probably translate it in a similar way.</w:t>
      </w:r>
    </w:p>
    <w:p>
      <w:pPr/>
      <w:r>
        <w:rPr>
          <w:lang w:val="en_US" w:bidi="en_US"/>
        </w:rPr>
      </w:r>
      <w:r>
        <w:rPr>
          <w:lang w:val="en_US" w:bidi="en_US"/>
        </w:rPr>
        <w:t>Jesus used this question to challenge the crowd’s belief about why the tower fell on those people. The crowd thought that the people must be guilty of worse sins than the other residents of Jerusalem and that was the reason the tower fell on them. Some other ways to translate the question are:</w:t>
      </w:r>
    </w:p>
    <w:p>
      <w:pPr>
        <w:pStyle w:val="ListBullet"/>
        <w:spacing w:line="240" w:lineRule="auto"/>
        <w:ind w:left="720"/>
      </w:pPr>
      <w:r>
        <w:rPr>
          <w:lang w:val="en_US" w:bidi="en_US"/>
        </w:rPr>
      </w:r>
      <w:r>
        <w:rPr>
          <w:lang w:val="en_US" w:bidi="en_US"/>
        </w:rPr>
        <w:t>As a rhetorical question:</w:t>
      </w:r>
      <w:r>
        <w:rPr>
          <w:lang w:val="en_US" w:bidi="en_US"/>
        </w:rPr>
        <w:t>Do you suppose that they were more guilty than all the other people living in Jerusalem? (NJB)</w:t>
      </w:r>
      <w:r>
        <w:rPr>
          <w:lang w:val="en_US" w:bidi="en_US"/>
        </w:rPr>
        <w:t>Do you think they were more sinful than all the others who live in Jerusalem? (NCV)</w:t>
      </w:r>
      <w:r>
        <w:rPr>
          <w:lang w:val="en_US" w:bidi="en_US"/>
        </w:rPr>
        <w:t>Do you suppose this proves that they were worse than all the other people living in Jerusalem? (GNT)</w:t>
      </w:r>
    </w:p>
    <w:p>
      <w:pPr>
        <w:pStyle w:val="ListBullet"/>
        <w:spacing w:line="240" w:lineRule="auto"/>
        <w:ind w:left="720"/>
      </w:pPr>
      <w:r>
        <w:rPr>
          <w:lang w:val="en_US" w:bidi="en_US"/>
        </w:rPr>
      </w:r>
      <w:r>
        <w:rPr>
          <w:lang w:val="en_US" w:bidi="en_US"/>
        </w:rPr>
        <w:t>As a statement:</w:t>
      </w:r>
      <w:r>
        <w:rPr>
          <w:lang w:val="en_US" w:bidi="en_US"/>
        </w:rPr>
        <w:t xml:space="preserve">You may think/assume that they were more guilty </w:t>
      </w:r>
      <w:r>
        <w:rPr>
          <w:lang w:val="en_US" w:bidi="en_US"/>
        </w:rPr>
        <w:t>of sin</w:t>
      </w:r>
      <w:r>
        <w:rPr>
          <w:lang w:val="en_US" w:bidi="en_US"/>
        </w:rPr>
        <w:t xml:space="preserve"> than all the other </w:t>
      </w:r>
      <w:r>
        <w:rPr>
          <w:lang w:val="en_US" w:bidi="en_US"/>
        </w:rPr>
        <w:t>people</w:t>
      </w:r>
      <w:r>
        <w:rPr>
          <w:lang w:val="en_US" w:bidi="en_US"/>
        </w:rPr>
        <w:t xml:space="preserve"> living in Jerusalem.</w:t>
      </w:r>
      <w:r>
        <w:rPr>
          <w:lang w:val="en_US" w:bidi="en_US"/>
        </w:rPr>
        <w:t xml:space="preserve">You should not think/assume that </w:t>
      </w:r>
      <w:r>
        <w:rPr>
          <w:lang w:val="en_US" w:bidi="en_US"/>
        </w:rPr>
        <w:t>this happened to them because</w:t>
      </w:r>
      <w:r>
        <w:rPr>
          <w:lang w:val="en_US" w:bidi="en_US"/>
        </w:rPr>
        <w:t xml:space="preserve"> they were guilty of more </w:t>
      </w:r>
      <w:r>
        <w:rPr>
          <w:lang w:val="en_US" w:bidi="en_US"/>
        </w:rPr>
        <w:t>sin</w:t>
      </w:r>
      <w:r>
        <w:rPr>
          <w:lang w:val="en_US" w:bidi="en_US"/>
        </w:rPr>
        <w:t xml:space="preserve"> than all the other Jerusalem residents.</w:t>
      </w:r>
    </w:p>
    <w:p>
      <w:pPr/>
      <w:r>
        <w:rPr>
          <w:lang w:val="en_US" w:bidi="en_US"/>
        </w:rPr>
      </w:r>
      <w:r>
        <w:rPr>
          <w:lang w:val="en_US" w:bidi="en_US"/>
        </w:rPr>
        <w:t>Translate this question in a way that is most natural in your language.</w:t>
      </w:r>
    </w:p>
    <w:p>
      <w:pPr/>
      <w:r>
        <w:rPr>
          <w:lang w:val="en_US" w:bidi="en_US"/>
        </w:rPr>
      </w:r>
      <w:r>
        <w:rPr>
          <w:b/>
          <w:lang w:val="en_US" w:bidi="en_US"/>
        </w:rPr>
        <w:t>more sinful:</w:t>
      </w:r>
      <w:r>
        <w:rPr>
          <w:lang w:val="en_US" w:bidi="en_US"/>
        </w:rPr>
        <w:t xml:space="preserve"> The Greek word that the BSB translates as </w:t>
      </w:r>
      <w:r>
        <w:rPr>
          <w:i/>
          <w:lang w:val="en_US" w:bidi="en_US"/>
        </w:rPr>
        <w:t>more sinful</w:t>
      </w:r>
      <w:r>
        <w:rPr>
          <w:lang w:val="en_US" w:bidi="en_US"/>
        </w:rPr>
        <w:t xml:space="preserve"> is literally “debtors.” It is a figure of speech that pictures sin as a debt that must be paid to God. In this context it is a synonym of “sinners” in 13:2a. Other ways to translate the phrase </w:t>
      </w:r>
      <w:r>
        <w:rPr>
          <w:i/>
          <w:lang w:val="en_US" w:bidi="en_US"/>
        </w:rPr>
        <w:t>more sinful</w:t>
      </w:r>
      <w:r>
        <w:rPr>
          <w:lang w:val="en_US" w:bidi="en_US"/>
        </w:rPr>
        <w:t xml:space="preserve"> here are:</w:t>
      </w:r>
    </w:p>
    <w:p>
      <w:pPr/>
      <w:r>
        <w:rPr>
          <w:lang w:val="en_US" w:bidi="en_US"/>
        </w:rPr>
      </w:r>
      <w:r>
        <w:rPr>
          <w:lang w:val="en_US" w:bidi="en_US"/>
        </w:rPr>
        <w:t>worse offenders (RSV)</w:t>
      </w:r>
    </w:p>
    <w:p>
      <w:pPr/>
      <w:r>
        <w:rPr>
          <w:lang w:val="en_US" w:bidi="en_US"/>
        </w:rPr>
      </w:r>
      <w:r>
        <w:rPr>
          <w:lang w:val="en_US" w:bidi="en_US"/>
        </w:rPr>
        <w:t>worse sinners (NKJV)</w:t>
      </w:r>
    </w:p>
    <w:p>
      <w:pPr/>
      <w:r>
        <w:rPr>
          <w:lang w:val="en_US" w:bidi="en_US"/>
        </w:rPr>
      </w:r>
      <w:r>
        <w:rPr>
          <w:lang w:val="en_US" w:bidi="en_US"/>
        </w:rPr>
        <w:t>had sinned more</w:t>
      </w:r>
    </w:p>
    <w:p>
      <w:pPr/>
      <w:r>
        <w:rPr>
          <w:lang w:val="en_US" w:bidi="en_US"/>
        </w:rPr>
      </w:r>
      <w:r>
        <w:rPr>
          <w:lang w:val="en_US" w:bidi="en_US"/>
        </w:rPr>
        <w:t>were more sinful (GW)</w:t>
      </w:r>
    </w:p>
    <w:p>
      <w:pPr/>
      <w:r>
        <w:rPr>
          <w:lang w:val="en_US" w:bidi="en_US"/>
        </w:rPr>
      </w:r>
      <w:r>
        <w:rPr>
          <w:b/>
          <w:lang w:val="en_US" w:bidi="en_US"/>
        </w:rPr>
        <w:t>all the others living in Jerusalem:</w:t>
      </w:r>
      <w:r>
        <w:rPr>
          <w:lang w:val="en_US" w:bidi="en_US"/>
        </w:rPr>
        <w:t xml:space="preserve"> The BSB has supplied the word </w:t>
      </w:r>
      <w:r>
        <w:rPr>
          <w:i/>
          <w:lang w:val="en_US" w:bidi="en_US"/>
        </w:rPr>
        <w:t>others</w:t>
      </w:r>
      <w:r>
        <w:rPr>
          <w:lang w:val="en_US" w:bidi="en_US"/>
        </w:rPr>
        <w:t xml:space="preserve"> where the Greek text says “people” in order to clarify that the eighteen people who were killed by the tower also lived in Jerusalem. Another way to translate this is:</w:t>
      </w:r>
    </w:p>
    <w:p>
      <w:pPr/>
      <w:r>
        <w:rPr>
          <w:lang w:val="en_US" w:bidi="en_US"/>
        </w:rPr>
      </w:r>
      <w:r>
        <w:rPr>
          <w:lang w:val="en_US" w:bidi="en_US"/>
        </w:rPr>
        <w:t>the rest of the people who lived in Jerusalem</w:t>
      </w:r>
      <w:r>
        <w:rPr>
          <w:lang w:val="en_US" w:bidi="en_US"/>
        </w:rPr>
      </w:r>
      <w:r>
        <w:rPr>
          <w:lang w:val="en_US" w:bidi="en_US"/>
        </w:rPr>
      </w:r>
    </w:p>
    <w:p>
      <w:pPr/>
      <w:r>
        <w:rPr>
          <w:lang w:val="en_US" w:bidi="en_US"/>
        </w:rPr>
      </w:r>
    </w:p>
    <w:p>
      <w:pPr>
        <w:pStyle w:val="Heading2"/>
      </w:pPr>
      <w:r>
        <w:rPr>
          <w:lang w:val="en_US" w:bidi="en_US"/>
        </w:rPr>
        <w:t>Luke 13:5</w:t>
      </w:r>
      <w:r>
        <w:rPr>
          <w:lang w:val="en_US" w:bidi="en_US"/>
        </w:rPr>
      </w:r>
    </w:p>
    <w:p>
      <w:pPr>
        <w:pStyle w:val="Heading4"/>
      </w:pPr>
      <w:r>
        <w:rPr>
          <w:lang w:val="en_US" w:bidi="en_US"/>
        </w:rPr>
        <w:t>Section 13:1–5: Everyone must repent</w:t>
      </w:r>
    </w:p>
    <w:p>
      <w:pPr/>
      <w:r>
        <w:rPr>
          <w:lang w:val="en_US" w:bidi="en_US"/>
        </w:rPr>
      </w:r>
      <w:r>
        <w:rPr>
          <w:lang w:val="en_US" w:bidi="en_US"/>
        </w:rPr>
        <w:t>In this section Jesus continued his teaching about God judging people by saying that people needed to repent. Pilate’s soldiers had recently murdered some people from Galilee. Other people had died when a tower fell on them. The crowd that was listening to Jesus thought that all these people had died because they had been evil and God was punishing them. But Jesus told the crowd that they themselves needed to repent just as much as those people who died had needed to repent.</w:t>
      </w:r>
    </w:p>
    <w:p>
      <w:pPr/>
      <w:r>
        <w:rPr>
          <w:lang w:val="en_US" w:bidi="en_US"/>
        </w:rPr>
      </w:r>
      <w:r>
        <w:rPr>
          <w:lang w:val="en_US" w:bidi="en_US"/>
        </w:rPr>
        <w:t>Other possible headings for this section are:</w:t>
      </w:r>
    </w:p>
    <w:p>
      <w:pPr/>
      <w:r>
        <w:rPr>
          <w:lang w:val="en_US" w:bidi="en_US"/>
        </w:rPr>
      </w:r>
      <w:r>
        <w:rPr>
          <w:lang w:val="en_US" w:bidi="en_US"/>
        </w:rPr>
        <w:t>Jesus told people to repent or they would die</w:t>
      </w:r>
    </w:p>
    <w:p>
      <w:pPr/>
      <w:r>
        <w:rPr>
          <w:lang w:val="en_US" w:bidi="en_US"/>
        </w:rPr>
      </w:r>
      <w:r>
        <w:rPr>
          <w:lang w:val="en_US" w:bidi="en_US"/>
        </w:rPr>
        <w:t>Turn from your sins or die (GNT)</w:t>
      </w:r>
    </w:p>
    <w:p>
      <w:pPr/>
      <w:r>
        <w:rPr>
          <w:lang w:val="en_US" w:bidi="en_US"/>
        </w:rPr>
      </w:r>
      <w:r>
        <w:rPr>
          <w:lang w:val="en_US" w:bidi="en_US"/>
        </w:rPr>
        <w:t>This teaching occurs only in Luke.</w:t>
      </w:r>
    </w:p>
    <w:p>
      <w:pPr>
        <w:pStyle w:val="Heading5"/>
      </w:pPr>
      <w:r>
        <w:rPr>
          <w:lang w:val="en_US" w:bidi="en_US"/>
        </w:rPr>
        <w:t>13:5a</w:t>
      </w:r>
    </w:p>
    <w:p>
      <w:pPr/>
      <w:r>
        <w:rPr>
          <w:lang w:val="en_US" w:bidi="en_US"/>
        </w:rPr>
      </w:r>
      <w:r>
        <w:rPr>
          <w:b/>
          <w:lang w:val="en_US" w:bidi="en_US"/>
        </w:rPr>
        <w:t>No, I tell you.</w:t>
      </w:r>
    </w:p>
    <w:p>
      <w:pPr>
        <w:pStyle w:val="ListBullet"/>
        <w:spacing w:line="240" w:lineRule="auto"/>
        <w:ind w:left="720"/>
      </w:pPr>
      <w:r>
        <w:rPr>
          <w:lang w:val="en_US" w:bidi="en_US"/>
        </w:rPr>
      </w:r>
      <w:r>
        <w:rPr>
          <w:lang w:val="en_US" w:bidi="en_US"/>
        </w:rPr>
        <w:t>I tell/assure you</w:t>
      </w:r>
      <w:r>
        <w:rPr>
          <w:vertAlign w:val="superscript"/>
          <w:lang w:val="en_US" w:bidi="en_US"/>
        </w:rPr>
        <w:t>(plur)</w:t>
      </w:r>
      <w:r>
        <w:rPr>
          <w:lang w:val="en_US" w:bidi="en_US"/>
        </w:rPr>
        <w:t xml:space="preserve"> that that is not correct/true.</w:t>
      </w:r>
    </w:p>
    <w:p>
      <w:pPr>
        <w:pStyle w:val="ListBullet"/>
        <w:spacing w:line="240" w:lineRule="auto"/>
        <w:ind w:left="720"/>
      </w:pPr>
      <w:r>
        <w:rPr>
          <w:lang w:val="en_US" w:bidi="en_US"/>
        </w:rPr>
      </w:r>
      <w:r>
        <w:rPr>
          <w:lang w:val="en_US" w:bidi="en_US"/>
        </w:rPr>
        <w:t>If so, you</w:t>
      </w:r>
      <w:r>
        <w:rPr>
          <w:vertAlign w:val="superscript"/>
          <w:lang w:val="en_US" w:bidi="en_US"/>
        </w:rPr>
        <w:t>(plur)</w:t>
      </w:r>
      <w:r>
        <w:rPr>
          <w:lang w:val="en_US" w:bidi="en_US"/>
        </w:rPr>
        <w:t xml:space="preserve"> are quite wrong.</w:t>
      </w:r>
    </w:p>
    <w:p>
      <w:pPr>
        <w:pStyle w:val="ListBullet"/>
        <w:spacing w:line="240" w:lineRule="auto"/>
        <w:ind w:left="720"/>
      </w:pPr>
      <w:r>
        <w:rPr>
          <w:lang w:val="en_US" w:bidi="en_US"/>
        </w:rPr>
      </w:r>
      <w:r>
        <w:rPr>
          <w:lang w:val="en_US" w:bidi="en_US"/>
        </w:rPr>
        <w:t xml:space="preserve">No indeed! </w:t>
      </w:r>
      <w:r>
        <w:rPr>
          <w:lang w:val="en_US" w:bidi="en_US"/>
        </w:rPr>
        <w:t>That is not the reason it happened.</w:t>
      </w:r>
    </w:p>
    <w:p>
      <w:pPr/>
      <w:r>
        <w:rPr>
          <w:lang w:val="en_US" w:bidi="en_US"/>
        </w:rPr>
      </w:r>
      <w:r>
        <w:rPr>
          <w:b/>
          <w:lang w:val="en_US" w:bidi="en_US"/>
        </w:rPr>
        <w:t>No, I tell you:</w:t>
      </w:r>
      <w:r>
        <w:rPr>
          <w:lang w:val="en_US" w:bidi="en_US"/>
        </w:rPr>
        <w:t xml:space="preserve"> Jesus was denying that these eighteen people had sinned worse than all the other people living in Jerusalem. What his listeners had assumed was wrong. See the note on the identical clause in 13:3a for suggestions on how to translate this. Consider whether it is good style in your language to use the same wording here.</w:t>
      </w:r>
    </w:p>
    <w:p>
      <w:pPr>
        <w:pStyle w:val="Heading5"/>
      </w:pPr>
      <w:r>
        <w:rPr>
          <w:lang w:val="en_US" w:bidi="en_US"/>
        </w:rPr>
        <w:t>13:5b</w:t>
      </w:r>
    </w:p>
    <w:p>
      <w:pPr/>
      <w:r>
        <w:rPr>
          <w:lang w:val="en_US" w:bidi="en_US"/>
        </w:rPr>
      </w:r>
      <w:r>
        <w:rPr>
          <w:b/>
          <w:lang w:val="en_US" w:bidi="en_US"/>
        </w:rPr>
        <w:t>But unless you repent,</w:t>
      </w:r>
    </w:p>
    <w:p>
      <w:pPr>
        <w:pStyle w:val="ListBullet"/>
        <w:spacing w:line="240" w:lineRule="auto"/>
        <w:ind w:left="720"/>
      </w:pPr>
      <w:r>
        <w:rPr>
          <w:lang w:val="en_US" w:bidi="en_US"/>
        </w:rPr>
      </w:r>
      <w:r>
        <w:rPr>
          <w:lang w:val="en_US" w:bidi="en_US"/>
        </w:rPr>
        <w:t>In fact,</w:t>
      </w:r>
      <w:r>
        <w:rPr>
          <w:lang w:val="en_US" w:bidi="en_US"/>
        </w:rPr>
        <w:t xml:space="preserve"> if you</w:t>
      </w:r>
      <w:r>
        <w:rPr>
          <w:vertAlign w:val="superscript"/>
          <w:lang w:val="en_US" w:bidi="en_US"/>
        </w:rPr>
        <w:t>(plur)</w:t>
      </w:r>
      <w:r>
        <w:rPr>
          <w:lang w:val="en_US" w:bidi="en_US"/>
        </w:rPr>
        <w:t xml:space="preserve"> do not repent of your sins,</w:t>
      </w:r>
    </w:p>
    <w:p>
      <w:pPr>
        <w:pStyle w:val="ListBullet"/>
        <w:spacing w:line="240" w:lineRule="auto"/>
        <w:ind w:left="720"/>
      </w:pPr>
      <w:r>
        <w:rPr>
          <w:lang w:val="en_US" w:bidi="en_US"/>
        </w:rPr>
      </w:r>
      <w:r>
        <w:rPr>
          <w:lang w:val="en_US" w:bidi="en_US"/>
        </w:rPr>
        <w:t>And if you</w:t>
      </w:r>
      <w:r>
        <w:rPr>
          <w:vertAlign w:val="superscript"/>
          <w:lang w:val="en_US" w:bidi="en_US"/>
        </w:rPr>
        <w:t>(plur)</w:t>
      </w:r>
      <w:r>
        <w:rPr>
          <w:lang w:val="en_US" w:bidi="en_US"/>
        </w:rPr>
        <w:t xml:space="preserve"> do not turn from your sins,</w:t>
      </w:r>
    </w:p>
    <w:p>
      <w:pPr>
        <w:pStyle w:val="Heading5"/>
      </w:pPr>
      <w:r>
        <w:rPr>
          <w:lang w:val="en_US" w:bidi="en_US"/>
        </w:rPr>
        <w:t>13:5c</w:t>
      </w:r>
    </w:p>
    <w:p>
      <w:pPr/>
      <w:r>
        <w:rPr>
          <w:lang w:val="en_US" w:bidi="en_US"/>
        </w:rPr>
      </w:r>
      <w:r>
        <w:rPr>
          <w:b/>
          <w:lang w:val="en_US" w:bidi="en_US"/>
        </w:rPr>
        <w:t>you too will all perish.”</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all will die </w:t>
      </w:r>
      <w:r>
        <w:rPr>
          <w:lang w:val="en_US" w:bidi="en_US"/>
        </w:rPr>
        <w:t>suddenly and violently</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all will die like that!”</w:t>
      </w:r>
    </w:p>
    <w:p>
      <w:pPr>
        <w:pStyle w:val="Heading5"/>
      </w:pPr>
      <w:r>
        <w:rPr>
          <w:lang w:val="en_US" w:bidi="en_US"/>
        </w:rPr>
        <w:t>13:5b–c</w:t>
      </w:r>
    </w:p>
    <w:p>
      <w:pPr/>
      <w:r>
        <w:rPr>
          <w:lang w:val="en_US" w:bidi="en_US"/>
        </w:rPr>
      </w:r>
      <w:r>
        <w:rPr>
          <w:lang w:val="en_US" w:bidi="en_US"/>
        </w:rPr>
        <w:t>These verse parts are identical to 13:3b–c. If it is natural in your language, you may translate them in the same way here. In some languages it may be more natural to use slightly different words to express the meaning in this context. If that is true in your language, be sure that people understand that the meaning of 13:3b–c and 13:5b–c is the same.</w:t>
      </w:r>
      <w:r>
        <w:rPr>
          <w:lang w:val="en_US" w:bidi="en_US"/>
        </w:rPr>
      </w:r>
      <w:r>
        <w:rPr>
          <w:lang w:val="en_US" w:bidi="en_US"/>
        </w:rPr>
      </w:r>
    </w:p>
    <w:p>
      <w:pPr/>
      <w:r>
        <w:rPr>
          <w:lang w:val="en_US" w:bidi="en_US"/>
        </w:rPr>
      </w:r>
    </w:p>
    <w:p>
      <w:pPr>
        <w:pStyle w:val="Heading2"/>
      </w:pPr>
      <w:r>
        <w:rPr>
          <w:lang w:val="en_US" w:bidi="en_US"/>
        </w:rPr>
        <w:t>Luke 13:6</w:t>
      </w:r>
      <w:r>
        <w:rPr>
          <w:lang w:val="en_US" w:bidi="en_US"/>
        </w:rPr>
      </w:r>
    </w:p>
    <w:p>
      <w:pPr>
        <w:pStyle w:val="Heading4"/>
      </w:pPr>
      <w:r>
        <w:rPr>
          <w:lang w:val="en_US" w:bidi="en_US"/>
        </w:rPr>
        <w:t>Section 13:6–9: Jesus told people a parable about a tree that did not bear fruit</w:t>
      </w:r>
    </w:p>
    <w:p>
      <w:pPr/>
      <w:r>
        <w:rPr>
          <w:lang w:val="en_US" w:bidi="en_US"/>
        </w:rPr>
      </w:r>
      <w:r>
        <w:rPr>
          <w:lang w:val="en_US" w:bidi="en_US"/>
        </w:rPr>
        <w:t>In the preceding section Jesus had told the people that if they did not turn from their sins, they would die. In this section he told them a parable that was also related to the need for repentance and the certainty of God’s judgment. The parable was about a fig tree that did not bear fruit. The owner of the fig tree told the gardener that if the tree did not bear fruit within another year, he would have to cut it down.</w:t>
      </w:r>
    </w:p>
    <w:p>
      <w:pPr/>
      <w:r>
        <w:rPr>
          <w:lang w:val="en_US" w:bidi="en_US"/>
        </w:rPr>
      </w:r>
      <w:r>
        <w:rPr>
          <w:lang w:val="en_US" w:bidi="en_US"/>
        </w:rPr>
        <w:t>While the BSB has a separate section here, some other versions do not. Those versions include this parable as part of 13:1–9. You will need to decide which of these options is more appropriate in your language.</w:t>
      </w:r>
    </w:p>
    <w:p>
      <w:pPr/>
      <w:r>
        <w:rPr>
          <w:lang w:val="en_US" w:bidi="en_US"/>
        </w:rPr>
      </w:r>
      <w:r>
        <w:rPr>
          <w:lang w:val="en_US" w:bidi="en_US"/>
        </w:rPr>
        <w:t>This parable occurs only in Luke.</w:t>
      </w:r>
    </w:p>
    <w:p>
      <w:pPr>
        <w:pStyle w:val="Heading5"/>
      </w:pPr>
      <w:r>
        <w:rPr>
          <w:lang w:val="en_US" w:bidi="en_US"/>
        </w:rPr>
        <w:t>13:6a</w:t>
      </w:r>
    </w:p>
    <w:p>
      <w:pPr/>
      <w:r>
        <w:rPr>
          <w:lang w:val="en_US" w:bidi="en_US"/>
        </w:rPr>
      </w:r>
      <w:r>
        <w:rPr>
          <w:b/>
          <w:lang w:val="en_US" w:bidi="en_US"/>
        </w:rPr>
        <w:t>Then Jesus told this parable:</w:t>
      </w:r>
    </w:p>
    <w:p>
      <w:pPr>
        <w:pStyle w:val="ListBullet"/>
        <w:spacing w:line="240" w:lineRule="auto"/>
        <w:ind w:left="720"/>
      </w:pPr>
      <w:r>
        <w:rPr>
          <w:lang w:val="en_US" w:bidi="en_US"/>
        </w:rPr>
      </w:r>
      <w:r>
        <w:rPr>
          <w:lang w:val="en_US" w:bidi="en_US"/>
        </w:rPr>
        <w:t xml:space="preserve">¶ Then Jesus taught </w:t>
      </w:r>
      <w:r>
        <w:rPr>
          <w:lang w:val="en_US" w:bidi="en_US"/>
        </w:rPr>
        <w:t>them</w:t>
      </w:r>
      <w:r>
        <w:rPr>
          <w:lang w:val="en_US" w:bidi="en_US"/>
        </w:rPr>
        <w:t xml:space="preserve"> using this story.</w:t>
      </w:r>
    </w:p>
    <w:p>
      <w:pPr>
        <w:pStyle w:val="ListBullet"/>
        <w:spacing w:line="240" w:lineRule="auto"/>
        <w:ind w:left="720"/>
      </w:pPr>
      <w:r>
        <w:rPr>
          <w:lang w:val="en_US" w:bidi="en_US"/>
        </w:rPr>
      </w:r>
      <w:r>
        <w:rPr>
          <w:lang w:val="en_US" w:bidi="en_US"/>
        </w:rPr>
        <w:t xml:space="preserve">¶ Then Jesus told/related this illustration </w:t>
      </w:r>
      <w:r>
        <w:rPr>
          <w:lang w:val="en_US" w:bidi="en_US"/>
        </w:rPr>
        <w:t>to them</w:t>
      </w:r>
      <w:r>
        <w:rPr>
          <w:lang w:val="en_US" w:bidi="en_US"/>
        </w:rPr>
        <w:t>.</w:t>
      </w:r>
    </w:p>
    <w:p>
      <w:pPr/>
      <w:r>
        <w:rPr>
          <w:lang w:val="en_US" w:bidi="en_US"/>
        </w:rPr>
      </w:r>
      <w:r>
        <w:rPr>
          <w:b/>
          <w:lang w:val="en_US" w:bidi="en_US"/>
        </w:rPr>
        <w:t>Then Jesus told this parable:</w:t>
      </w:r>
      <w:r>
        <w:rPr>
          <w:lang w:val="en_US" w:bidi="en_US"/>
        </w:rPr>
        <w:t xml:space="preserve"> This verse begins with a Greek conjunction that many English versions translate as “and.” The BSB translates as </w:t>
      </w:r>
      <w:r>
        <w:rPr>
          <w:i/>
          <w:lang w:val="en_US" w:bidi="en_US"/>
        </w:rPr>
        <w:t>Then</w:t>
      </w:r>
      <w:r>
        <w:rPr>
          <w:lang w:val="en_US" w:bidi="en_US"/>
        </w:rPr>
        <w:t xml:space="preserve"> to show that it introduces something further that Jesus told the people. Jesus continued to speak from 13:5.</w:t>
      </w:r>
    </w:p>
    <w:p>
      <w:pPr/>
      <w:r>
        <w:rPr>
          <w:lang w:val="en_US" w:bidi="en_US"/>
        </w:rPr>
      </w:r>
      <w:r>
        <w:rPr>
          <w:b/>
          <w:lang w:val="en_US" w:bidi="en_US"/>
        </w:rPr>
        <w:t>parable:</w:t>
      </w:r>
      <w:r>
        <w:rPr>
          <w:lang w:val="en_US" w:bidi="en_US"/>
        </w:rPr>
        <w:t xml:space="preserve"> The Greek word that the BSB translates as </w:t>
      </w:r>
      <w:r>
        <w:rPr>
          <w:i/>
          <w:lang w:val="en_US" w:bidi="en_US"/>
        </w:rPr>
        <w:t>parable</w:t>
      </w:r>
      <w:r>
        <w:rPr>
          <w:lang w:val="en_US" w:bidi="en_US"/>
        </w:rPr>
        <w:t xml:space="preserve"> is a general word that describes different types of wise speech. This includes symbolic stories, metaphors, proverbs, illustrations, and wise sayings. Here the word refers to a story that illustrated that people need to repent.</w:t>
      </w:r>
    </w:p>
    <w:p>
      <w:pPr/>
      <w:r>
        <w:rPr>
          <w:lang w:val="en_US" w:bidi="en_US"/>
        </w:rPr>
      </w:r>
      <w:r>
        <w:rPr>
          <w:lang w:val="en_US" w:bidi="en_US"/>
        </w:rPr>
        <w:t xml:space="preserve">Some other ways to translate </w:t>
      </w:r>
      <w:r>
        <w:rPr>
          <w:i/>
          <w:lang w:val="en_US" w:bidi="en_US"/>
        </w:rPr>
        <w:t>parable</w:t>
      </w:r>
      <w:r>
        <w:rPr>
          <w:lang w:val="en_US" w:bidi="en_US"/>
        </w:rPr>
        <w:t xml:space="preserve"> in this context are:</w:t>
      </w:r>
    </w:p>
    <w:p>
      <w:pPr/>
      <w:r>
        <w:rPr>
          <w:lang w:val="en_US" w:bidi="en_US"/>
        </w:rPr>
      </w:r>
      <w:r>
        <w:rPr>
          <w:lang w:val="en_US" w:bidi="en_US"/>
        </w:rPr>
        <w:t>illustration (GW)</w:t>
      </w:r>
    </w:p>
    <w:p>
      <w:pPr/>
      <w:r>
        <w:rPr>
          <w:lang w:val="en_US" w:bidi="en_US"/>
        </w:rPr>
      </w:r>
      <w:r>
        <w:rPr>
          <w:lang w:val="en_US" w:bidi="en_US"/>
        </w:rPr>
        <w:t>story (NLT)</w:t>
      </w:r>
    </w:p>
    <w:p>
      <w:pPr/>
      <w:r>
        <w:rPr>
          <w:lang w:val="en_US" w:bidi="en_US"/>
        </w:rPr>
      </w:r>
      <w:r>
        <w:rPr>
          <w:lang w:val="en_US" w:bidi="en_US"/>
        </w:rPr>
        <w:t xml:space="preserve">The word </w:t>
      </w:r>
      <w:r>
        <w:rPr>
          <w:i/>
          <w:lang w:val="en_US" w:bidi="en_US"/>
        </w:rPr>
        <w:t>parable</w:t>
      </w:r>
      <w:r>
        <w:rPr>
          <w:lang w:val="en_US" w:bidi="en_US"/>
        </w:rPr>
        <w:t xml:space="preserve"> first occurs in Luke at 5:36a. It also occurs at 12:16a.</w:t>
      </w:r>
    </w:p>
    <w:p>
      <w:pPr>
        <w:pStyle w:val="Heading5"/>
      </w:pPr>
      <w:r>
        <w:rPr>
          <w:lang w:val="en_US" w:bidi="en_US"/>
        </w:rPr>
        <w:t>13:6b</w:t>
      </w:r>
    </w:p>
    <w:p>
      <w:pPr/>
      <w:r>
        <w:rPr>
          <w:lang w:val="en_US" w:bidi="en_US"/>
        </w:rPr>
      </w:r>
      <w:r>
        <w:rPr>
          <w:b/>
          <w:lang w:val="en_US" w:bidi="en_US"/>
        </w:rPr>
        <w:t>“A man had a fig tree that was planted in his vineyard.</w:t>
      </w:r>
    </w:p>
    <w:p>
      <w:pPr>
        <w:pStyle w:val="ListBullet"/>
        <w:spacing w:line="240" w:lineRule="auto"/>
        <w:ind w:left="720"/>
      </w:pPr>
      <w:r>
        <w:rPr>
          <w:lang w:val="en_US" w:bidi="en_US"/>
        </w:rPr>
      </w:r>
      <w:r>
        <w:rPr>
          <w:lang w:val="en_US" w:bidi="en_US"/>
        </w:rPr>
        <w:t>“A fig tree was growing in a man’s grape farm/plantation.</w:t>
      </w:r>
    </w:p>
    <w:p>
      <w:pPr>
        <w:pStyle w:val="ListBullet"/>
        <w:spacing w:line="240" w:lineRule="auto"/>
        <w:ind w:left="720"/>
      </w:pPr>
      <w:r>
        <w:rPr>
          <w:lang w:val="en_US" w:bidi="en_US"/>
        </w:rPr>
      </w:r>
      <w:r>
        <w:rPr>
          <w:lang w:val="en_US" w:bidi="en_US"/>
        </w:rPr>
        <w:t>“</w:t>
      </w:r>
      <w:r>
        <w:rPr>
          <w:lang w:val="en_US" w:bidi="en_US"/>
        </w:rPr>
        <w:t>There was once</w:t>
      </w:r>
      <w:r>
        <w:rPr>
          <w:lang w:val="en_US" w:bidi="en_US"/>
        </w:rPr>
        <w:t xml:space="preserve"> a man who had a vineyard/field. In that vineyard/field he had planted a fig tree.</w:t>
      </w:r>
    </w:p>
    <w:p>
      <w:pPr/>
      <w:r>
        <w:rPr>
          <w:lang w:val="en_US" w:bidi="en_US"/>
        </w:rPr>
      </w:r>
      <w:r>
        <w:rPr>
          <w:b/>
          <w:lang w:val="en_US" w:bidi="en_US"/>
        </w:rPr>
        <w:t>A man had a fig tree:</w:t>
      </w:r>
      <w:r>
        <w:rPr>
          <w:lang w:val="en_US" w:bidi="en_US"/>
        </w:rPr>
        <w:t xml:space="preserve"> The </w:t>
      </w:r>
      <w:r>
        <w:rPr>
          <w:i/>
          <w:lang w:val="en_US" w:bidi="en_US"/>
        </w:rPr>
        <w:t>fig tree</w:t>
      </w:r>
      <w:r>
        <w:rPr>
          <w:lang w:val="en_US" w:bidi="en_US"/>
        </w:rPr>
        <w:t xml:space="preserve"> was a common tree in Israel that normally produced small, edible fruit called “figs.” If speakers of your language are not familiar with the </w:t>
      </w:r>
      <w:r>
        <w:rPr>
          <w:i/>
          <w:lang w:val="en_US" w:bidi="en_US"/>
        </w:rPr>
        <w:t>fig tree</w:t>
      </w:r>
      <w:r>
        <w:rPr>
          <w:lang w:val="en_US" w:bidi="en_US"/>
        </w:rPr>
        <w:t>, here are some other ways to translate it:</w:t>
      </w:r>
    </w:p>
    <w:p>
      <w:pPr/>
      <w:r>
        <w:rPr>
          <w:lang w:val="en_US" w:bidi="en_US"/>
        </w:rPr>
      </w:r>
      <w:r>
        <w:rPr>
          <w:lang w:val="en_US" w:bidi="en_US"/>
        </w:rPr>
        <w:t>tree with a fruit called “fig”</w:t>
      </w:r>
    </w:p>
    <w:p>
      <w:pPr/>
      <w:r>
        <w:rPr>
          <w:lang w:val="en_US" w:bidi="en_US"/>
        </w:rPr>
      </w:r>
      <w:r>
        <w:rPr>
          <w:lang w:val="en_US" w:bidi="en_US"/>
        </w:rPr>
        <w:t>fruit tree</w:t>
      </w:r>
    </w:p>
    <w:p>
      <w:pPr/>
      <w:r>
        <w:rPr>
          <w:lang w:val="en_US" w:bidi="en_US"/>
        </w:rPr>
      </w:r>
      <w:r>
        <w:rPr>
          <w:b/>
          <w:lang w:val="en_US" w:bidi="en_US"/>
        </w:rPr>
        <w:t>that was planted in his vineyard:</w:t>
      </w:r>
      <w:r>
        <w:rPr>
          <w:lang w:val="en_US" w:bidi="en_US"/>
        </w:rPr>
        <w:t xml:space="preserve"> A </w:t>
      </w:r>
      <w:r>
        <w:rPr>
          <w:i/>
          <w:lang w:val="en_US" w:bidi="en_US"/>
        </w:rPr>
        <w:t>vineyard</w:t>
      </w:r>
      <w:r>
        <w:rPr>
          <w:lang w:val="en_US" w:bidi="en_US"/>
        </w:rPr>
        <w:t xml:space="preserve"> is a farm where grape vines grow and produce grapes. The man who owned this grape farm also had a fig tree planted there. Other ways to refer to </w:t>
      </w:r>
      <w:r>
        <w:rPr>
          <w:i/>
          <w:lang w:val="en_US" w:bidi="en_US"/>
        </w:rPr>
        <w:t>vineyard</w:t>
      </w:r>
      <w:r>
        <w:rPr>
          <w:lang w:val="en_US" w:bidi="en_US"/>
        </w:rPr>
        <w:t xml:space="preserve"> are:</w:t>
      </w:r>
    </w:p>
    <w:p>
      <w:pPr/>
      <w:r>
        <w:rPr>
          <w:lang w:val="en_US" w:bidi="en_US"/>
        </w:rPr>
      </w:r>
      <w:r>
        <w:rPr>
          <w:lang w:val="en_US" w:bidi="en_US"/>
        </w:rPr>
        <w:t>grape farm</w:t>
      </w:r>
    </w:p>
    <w:p>
      <w:pPr/>
      <w:r>
        <w:rPr>
          <w:lang w:val="en_US" w:bidi="en_US"/>
        </w:rPr>
      </w:r>
      <w:r>
        <w:rPr>
          <w:lang w:val="en_US" w:bidi="en_US"/>
        </w:rPr>
        <w:t>field of grape vines</w:t>
      </w:r>
    </w:p>
    <w:p>
      <w:pPr/>
      <w:r>
        <w:rPr>
          <w:lang w:val="en_US" w:bidi="en_US"/>
        </w:rPr>
      </w:r>
      <w:r>
        <w:rPr>
          <w:lang w:val="en_US" w:bidi="en_US"/>
        </w:rPr>
        <w:t>If your language does not have a term for “vineyard” or for “grape,” a good option may be to use a more general term for “vineyard.” For example:</w:t>
      </w:r>
    </w:p>
    <w:p>
      <w:pPr/>
      <w:r>
        <w:rPr>
          <w:lang w:val="en_US" w:bidi="en_US"/>
        </w:rPr>
      </w:r>
      <w:r>
        <w:rPr>
          <w:lang w:val="en_US" w:bidi="en_US"/>
        </w:rPr>
        <w:t>farm</w:t>
      </w:r>
    </w:p>
    <w:p>
      <w:pPr/>
      <w:r>
        <w:rPr>
          <w:lang w:val="en_US" w:bidi="en_US"/>
        </w:rPr>
      </w:r>
      <w:r>
        <w:rPr>
          <w:lang w:val="en_US" w:bidi="en_US"/>
        </w:rPr>
        <w:t>land</w:t>
      </w:r>
    </w:p>
    <w:p>
      <w:pPr/>
      <w:r>
        <w:rPr>
          <w:lang w:val="en_US" w:bidi="en_US"/>
        </w:rPr>
      </w:r>
      <w:r>
        <w:rPr>
          <w:lang w:val="en_US" w:bidi="en_US"/>
        </w:rPr>
        <w:t>The focus of this story is on the fig tree. Nothing else is mentioned about the vineyard, so a long descriptive term for “vineyard” may distract the readers from the main point.</w:t>
      </w:r>
    </w:p>
    <w:p>
      <w:pPr>
        <w:pStyle w:val="Heading5"/>
      </w:pPr>
      <w:r>
        <w:rPr>
          <w:lang w:val="en_US" w:bidi="en_US"/>
        </w:rPr>
        <w:t>13:6c</w:t>
      </w:r>
    </w:p>
    <w:p>
      <w:pPr/>
      <w:r>
        <w:rPr>
          <w:lang w:val="en_US" w:bidi="en_US"/>
        </w:rPr>
      </w:r>
      <w:r>
        <w:rPr>
          <w:b/>
          <w:lang w:val="en_US" w:bidi="en_US"/>
        </w:rPr>
        <w:t>He went to look for fruit on it,</w:t>
      </w:r>
    </w:p>
    <w:p>
      <w:pPr>
        <w:pStyle w:val="ListBullet"/>
        <w:spacing w:line="240" w:lineRule="auto"/>
        <w:ind w:left="720"/>
      </w:pPr>
      <w:r>
        <w:rPr>
          <w:lang w:val="en_US" w:bidi="en_US"/>
        </w:rPr>
      </w:r>
      <w:r>
        <w:rPr>
          <w:lang w:val="en_US" w:bidi="en_US"/>
        </w:rPr>
        <w:t>From time to time</w:t>
      </w:r>
      <w:r>
        <w:rPr>
          <w:lang w:val="en_US" w:bidi="en_US"/>
        </w:rPr>
        <w:t xml:space="preserve"> he walked over to it to see if it had any fruit/figs,</w:t>
      </w:r>
    </w:p>
    <w:p>
      <w:pPr>
        <w:pStyle w:val="ListBullet"/>
        <w:spacing w:line="240" w:lineRule="auto"/>
        <w:ind w:left="720"/>
      </w:pPr>
      <w:r>
        <w:rPr>
          <w:lang w:val="en_US" w:bidi="en_US"/>
        </w:rPr>
      </w:r>
      <w:r>
        <w:rPr>
          <w:lang w:val="en_US" w:bidi="en_US"/>
        </w:rPr>
        <w:t>When it was the season for figs/fruit,</w:t>
      </w:r>
      <w:r>
        <w:rPr>
          <w:lang w:val="en_US" w:bidi="en_US"/>
        </w:rPr>
        <w:t xml:space="preserve"> he went to see if it had produced fruit,</w:t>
      </w:r>
    </w:p>
    <w:p>
      <w:pPr/>
      <w:r>
        <w:rPr>
          <w:lang w:val="en_US" w:bidi="en_US"/>
        </w:rPr>
      </w:r>
      <w:r>
        <w:rPr>
          <w:b/>
          <w:lang w:val="en_US" w:bidi="en_US"/>
        </w:rPr>
        <w:t>He went to look for fruit on it:</w:t>
      </w:r>
      <w:r>
        <w:rPr>
          <w:lang w:val="en_US" w:bidi="en_US"/>
        </w:rPr>
        <w:t xml:space="preserve"> It is implied that it was the season when fig trees normally bore fruit. In some languages it may be necessary to make this explicit. For example:</w:t>
      </w:r>
    </w:p>
    <w:p>
      <w:pPr/>
      <w:r>
        <w:rPr>
          <w:lang w:val="en_US" w:bidi="en_US"/>
        </w:rPr>
      </w:r>
      <w:r>
        <w:rPr>
          <w:lang w:val="en_US" w:bidi="en_US"/>
        </w:rPr>
        <w:t>When it was time for the tree to bear fruit,</w:t>
      </w:r>
      <w:r>
        <w:rPr>
          <w:lang w:val="en_US" w:bidi="en_US"/>
        </w:rPr>
        <w:t xml:space="preserve"> he went to look…</w:t>
      </w:r>
    </w:p>
    <w:p>
      <w:pPr/>
      <w:r>
        <w:rPr>
          <w:lang w:val="en_US" w:bidi="en_US"/>
        </w:rPr>
      </w:r>
      <w:r>
        <w:rPr>
          <w:lang w:val="en_US" w:bidi="en_US"/>
        </w:rPr>
        <w:t>It is also implied from 3:7b that he had been going to that tree to look for fruit for three years already. In some languages it may be good discourse style to make explicit some of this meaning here in 3:6c. For example:</w:t>
      </w:r>
    </w:p>
    <w:p>
      <w:pPr/>
      <w:r>
        <w:rPr>
          <w:lang w:val="en_US" w:bidi="en_US"/>
        </w:rPr>
      </w:r>
      <w:r>
        <w:rPr>
          <w:lang w:val="en_US" w:bidi="en_US"/>
        </w:rPr>
        <w:t>came again and again to see if there was any fruit on it (NLT)</w:t>
      </w:r>
    </w:p>
    <w:p>
      <w:pPr/>
      <w:r>
        <w:rPr>
          <w:lang w:val="en_US" w:bidi="en_US"/>
        </w:rPr>
      </w:r>
      <w:r>
        <w:rPr>
          <w:b/>
          <w:lang w:val="en_US" w:bidi="en_US"/>
        </w:rPr>
        <w:t>fruit:</w:t>
      </w:r>
      <w:r>
        <w:rPr>
          <w:lang w:val="en_US" w:bidi="en_US"/>
        </w:rPr>
        <w:t xml:space="preserve"> In some languages it may be more natural to use the more specific term for fruit from a fig tree. For example:</w:t>
      </w:r>
    </w:p>
    <w:p>
      <w:pPr/>
      <w:r>
        <w:rPr>
          <w:lang w:val="en_US" w:bidi="en_US"/>
        </w:rPr>
      </w:r>
      <w:r>
        <w:rPr>
          <w:lang w:val="en_US" w:bidi="en_US"/>
        </w:rPr>
        <w:t>He went looking for figs on it (GNT)</w:t>
      </w:r>
    </w:p>
    <w:p>
      <w:pPr>
        <w:pStyle w:val="Heading5"/>
      </w:pPr>
      <w:r>
        <w:rPr>
          <w:lang w:val="en_US" w:bidi="en_US"/>
        </w:rPr>
        <w:t>13:6d</w:t>
      </w:r>
    </w:p>
    <w:p>
      <w:pPr/>
      <w:r>
        <w:rPr>
          <w:lang w:val="en_US" w:bidi="en_US"/>
        </w:rPr>
      </w:r>
      <w:r>
        <w:rPr>
          <w:b/>
          <w:lang w:val="en_US" w:bidi="en_US"/>
        </w:rPr>
        <w:t>but did not find any.</w:t>
      </w:r>
    </w:p>
    <w:p>
      <w:pPr>
        <w:pStyle w:val="ListBullet"/>
        <w:spacing w:line="240" w:lineRule="auto"/>
        <w:ind w:left="720"/>
      </w:pPr>
      <w:r>
        <w:rPr>
          <w:lang w:val="en_US" w:bidi="en_US"/>
        </w:rPr>
      </w:r>
      <w:r>
        <w:rPr>
          <w:lang w:val="en_US" w:bidi="en_US"/>
        </w:rPr>
        <w:t>but he could not find any.</w:t>
      </w:r>
    </w:p>
    <w:p>
      <w:pPr>
        <w:pStyle w:val="ListBullet"/>
        <w:spacing w:line="240" w:lineRule="auto"/>
        <w:ind w:left="720"/>
      </w:pPr>
      <w:r>
        <w:rPr>
          <w:lang w:val="en_US" w:bidi="en_US"/>
        </w:rPr>
      </w:r>
      <w:r>
        <w:rPr>
          <w:lang w:val="en_US" w:bidi="en_US"/>
        </w:rPr>
        <w:t>but there was none.</w:t>
      </w:r>
    </w:p>
    <w:p>
      <w:pPr>
        <w:pStyle w:val="ListBullet"/>
        <w:spacing w:line="240" w:lineRule="auto"/>
        <w:ind w:left="720"/>
      </w:pPr>
      <w:r>
        <w:rPr>
          <w:lang w:val="en_US" w:bidi="en_US"/>
        </w:rPr>
      </w:r>
      <w:r>
        <w:rPr>
          <w:lang w:val="en_US" w:bidi="en_US"/>
        </w:rPr>
        <w:t xml:space="preserve">but there were no </w:t>
      </w:r>
      <w:r>
        <w:rPr>
          <w:lang w:val="en_US" w:bidi="en_US"/>
        </w:rPr>
        <w:t>figs</w:t>
      </w:r>
      <w:r>
        <w:rPr>
          <w:lang w:val="en_US" w:bidi="en_US"/>
        </w:rPr>
        <w:t xml:space="preserve"> to be seen.</w:t>
      </w:r>
    </w:p>
    <w:p>
      <w:pPr/>
      <w:r>
        <w:rPr>
          <w:lang w:val="en_US" w:bidi="en_US"/>
        </w:rPr>
      </w:r>
      <w:r>
        <w:rPr>
          <w:b/>
          <w:lang w:val="en_US" w:bidi="en_US"/>
        </w:rPr>
        <w:t>but did not find any:</w:t>
      </w:r>
      <w:r>
        <w:rPr>
          <w:lang w:val="en_US" w:bidi="en_US"/>
        </w:rPr>
        <w:t xml:space="preserve"> The reason the man did not find any figs is that there were none there. In some languages it may be natural to make this explicit:</w:t>
      </w:r>
    </w:p>
    <w:p>
      <w:pPr/>
      <w:r>
        <w:rPr>
          <w:lang w:val="en_US" w:bidi="en_US"/>
        </w:rPr>
      </w:r>
      <w:r>
        <w:rPr>
          <w:lang w:val="en_US" w:bidi="en_US"/>
        </w:rPr>
        <w:t>but there were none there</w:t>
      </w:r>
      <w:r>
        <w:rPr>
          <w:lang w:val="en_US" w:bidi="en_US"/>
        </w:rPr>
      </w:r>
      <w:r>
        <w:rPr>
          <w:lang w:val="en_US" w:bidi="en_US"/>
        </w:rPr>
      </w:r>
    </w:p>
    <w:p>
      <w:pPr/>
      <w:r>
        <w:rPr>
          <w:lang w:val="en_US" w:bidi="en_US"/>
        </w:rPr>
      </w:r>
    </w:p>
    <w:p>
      <w:pPr>
        <w:pStyle w:val="Heading2"/>
      </w:pPr>
      <w:r>
        <w:rPr>
          <w:lang w:val="en_US" w:bidi="en_US"/>
        </w:rPr>
        <w:t>Luke 13:7</w:t>
      </w:r>
      <w:r>
        <w:rPr>
          <w:lang w:val="en_US" w:bidi="en_US"/>
        </w:rPr>
      </w:r>
    </w:p>
    <w:p>
      <w:pPr>
        <w:pStyle w:val="Heading4"/>
      </w:pPr>
      <w:r>
        <w:rPr>
          <w:lang w:val="en_US" w:bidi="en_US"/>
        </w:rPr>
        <w:t>Section 13:6–9: Jesus told people a parable about a tree that did not bear fruit</w:t>
      </w:r>
    </w:p>
    <w:p>
      <w:pPr/>
      <w:r>
        <w:rPr>
          <w:lang w:val="en_US" w:bidi="en_US"/>
        </w:rPr>
      </w:r>
      <w:r>
        <w:rPr>
          <w:lang w:val="en_US" w:bidi="en_US"/>
        </w:rPr>
        <w:t>In the preceding section Jesus had told the people that if they did not turn from their sins, they would die. In this section he told them a parable that was also related to the need for repentance and the certainty of God’s judgment. The parable was about a fig tree that did not bear fruit. The owner of the fig tree told the gardener that if the tree did not bear fruit within another year, he would have to cut it down.</w:t>
      </w:r>
    </w:p>
    <w:p>
      <w:pPr/>
      <w:r>
        <w:rPr>
          <w:lang w:val="en_US" w:bidi="en_US"/>
        </w:rPr>
      </w:r>
      <w:r>
        <w:rPr>
          <w:lang w:val="en_US" w:bidi="en_US"/>
        </w:rPr>
        <w:t>While the BSB has a separate section here, some other versions do not. Those versions include this parable as part of 13:1–9. You will need to decide which of these options is more appropriate in your language.</w:t>
      </w:r>
    </w:p>
    <w:p>
      <w:pPr/>
      <w:r>
        <w:rPr>
          <w:lang w:val="en_US" w:bidi="en_US"/>
        </w:rPr>
      </w:r>
      <w:r>
        <w:rPr>
          <w:lang w:val="en_US" w:bidi="en_US"/>
        </w:rPr>
        <w:t>This parable occurs only in Luke.</w:t>
      </w:r>
    </w:p>
    <w:p>
      <w:pPr>
        <w:pStyle w:val="Heading5"/>
      </w:pPr>
      <w:r>
        <w:rPr>
          <w:lang w:val="en_US" w:bidi="en_US"/>
        </w:rPr>
        <w:t>13:7a</w:t>
      </w:r>
    </w:p>
    <w:p>
      <w:pPr/>
      <w:r>
        <w:rPr>
          <w:lang w:val="en_US" w:bidi="en_US"/>
        </w:rPr>
      </w:r>
      <w:r>
        <w:rPr>
          <w:b/>
          <w:lang w:val="en_US" w:bidi="en_US"/>
        </w:rPr>
        <w:t>So he said to the keeper of the vineyard,</w:t>
      </w:r>
    </w:p>
    <w:p>
      <w:pPr>
        <w:pStyle w:val="ListBullet"/>
        <w:spacing w:line="240" w:lineRule="auto"/>
        <w:ind w:left="720"/>
      </w:pPr>
      <w:r>
        <w:rPr>
          <w:lang w:val="en_US" w:bidi="en_US"/>
        </w:rPr>
      </w:r>
      <w:r>
        <w:rPr>
          <w:lang w:val="en_US" w:bidi="en_US"/>
        </w:rPr>
        <w:t>So he said to the man/person who took care of his vineyard/farm/field,</w:t>
      </w:r>
    </w:p>
    <w:p>
      <w:pPr>
        <w:pStyle w:val="ListBullet"/>
        <w:spacing w:line="240" w:lineRule="auto"/>
        <w:ind w:left="720"/>
      </w:pPr>
      <w:r>
        <w:rPr>
          <w:lang w:val="en_US" w:bidi="en_US"/>
        </w:rPr>
      </w:r>
      <w:r>
        <w:rPr>
          <w:lang w:val="en_US" w:bidi="en_US"/>
        </w:rPr>
        <w:t>So he said to the gardener/manager,</w:t>
      </w:r>
    </w:p>
    <w:p>
      <w:pPr/>
      <w:r>
        <w:rPr>
          <w:lang w:val="en_US" w:bidi="en_US"/>
        </w:rPr>
      </w:r>
      <w:r>
        <w:rPr>
          <w:b/>
          <w:lang w:val="en_US" w:bidi="en_US"/>
        </w:rPr>
        <w:t>So he said:</w:t>
      </w:r>
      <w:r>
        <w:rPr>
          <w:lang w:val="en_US" w:bidi="en_US"/>
        </w:rPr>
        <w:t xml:space="preserve"> This verse begins with a Greek conjunction that some English versions translate as “and.” The BSB translates as </w:t>
      </w:r>
      <w:r>
        <w:rPr>
          <w:i/>
          <w:lang w:val="en_US" w:bidi="en_US"/>
        </w:rPr>
        <w:t>So</w:t>
      </w:r>
      <w:r>
        <w:rPr>
          <w:lang w:val="en_US" w:bidi="en_US"/>
        </w:rPr>
        <w:t xml:space="preserve"> because it introduces what the owner said as a result of not finding any figs on his fig tree.</w:t>
      </w:r>
    </w:p>
    <w:p>
      <w:pPr/>
      <w:r>
        <w:rPr>
          <w:lang w:val="en_US" w:bidi="en_US"/>
        </w:rPr>
      </w:r>
      <w:r>
        <w:rPr>
          <w:b/>
          <w:lang w:val="en_US" w:bidi="en_US"/>
        </w:rPr>
        <w:t>to the keeper of the vineyard:</w:t>
      </w:r>
      <w:r>
        <w:rPr>
          <w:lang w:val="en_US" w:bidi="en_US"/>
        </w:rPr>
        <w:t xml:space="preserve"> The Greek expression that the BSB translates as </w:t>
      </w:r>
      <w:r>
        <w:rPr>
          <w:i/>
          <w:lang w:val="en_US" w:bidi="en_US"/>
        </w:rPr>
        <w:t>the keeper of the vineyard</w:t>
      </w:r>
      <w:r>
        <w:rPr>
          <w:lang w:val="en_US" w:bidi="en_US"/>
        </w:rPr>
        <w:t xml:space="preserve"> is a single word that referred specifically to someone whose job is to look after grapevines. Another way to translate this word is:</w:t>
      </w:r>
    </w:p>
    <w:p>
      <w:pPr/>
      <w:r>
        <w:rPr>
          <w:lang w:val="en_US" w:bidi="en_US"/>
        </w:rPr>
      </w:r>
      <w:r>
        <w:rPr>
          <w:lang w:val="en_US" w:bidi="en_US"/>
        </w:rPr>
        <w:t>vinedresser (RSV)</w:t>
      </w:r>
    </w:p>
    <w:p>
      <w:pPr/>
      <w:r>
        <w:rPr>
          <w:lang w:val="en_US" w:bidi="en_US"/>
        </w:rPr>
      </w:r>
      <w:r>
        <w:rPr>
          <w:lang w:val="en_US" w:bidi="en_US"/>
        </w:rPr>
        <w:t>Consider if there is a natural expression in your language for a servant who is in charge of looking after vines and trees. If your readers are not familiar with vineyards, you will need to use a more general expression that fits the term you used for “vineyard” in 13:6b. For example:</w:t>
      </w:r>
    </w:p>
    <w:p>
      <w:pPr/>
      <w:r>
        <w:rPr>
          <w:lang w:val="en_US" w:bidi="en_US"/>
        </w:rPr>
      </w:r>
      <w:r>
        <w:rPr>
          <w:lang w:val="en_US" w:bidi="en_US"/>
        </w:rPr>
        <w:t>his gardener (GNT)</w:t>
      </w:r>
    </w:p>
    <w:p>
      <w:pPr/>
      <w:r>
        <w:rPr>
          <w:lang w:val="en_US" w:bidi="en_US"/>
        </w:rPr>
      </w:r>
      <w:r>
        <w:rPr>
          <w:lang w:val="en_US" w:bidi="en_US"/>
        </w:rPr>
        <w:t>the caretaker/manager of his field/trees</w:t>
      </w:r>
    </w:p>
    <w:p>
      <w:pPr/>
      <w:r>
        <w:rPr>
          <w:lang w:val="en_US" w:bidi="en_US"/>
        </w:rPr>
      </w:r>
      <w:r>
        <w:rPr>
          <w:lang w:val="en_US" w:bidi="en_US"/>
        </w:rPr>
        <w:t>the person who took care of his farm</w:t>
      </w:r>
    </w:p>
    <w:p>
      <w:pPr>
        <w:pStyle w:val="Heading5"/>
      </w:pPr>
      <w:r>
        <w:rPr>
          <w:lang w:val="en_US" w:bidi="en_US"/>
        </w:rPr>
        <w:t>13:7b</w:t>
      </w:r>
    </w:p>
    <w:p>
      <w:pPr/>
      <w:r>
        <w:rPr>
          <w:lang w:val="en_US" w:bidi="en_US"/>
        </w:rPr>
      </w:r>
      <w:r>
        <w:rPr>
          <w:b/>
          <w:lang w:val="en_US" w:bidi="en_US"/>
        </w:rPr>
        <w:t>‘Look, for the past three years I have come to search for fruit on this fig tree</w:t>
      </w:r>
    </w:p>
    <w:p>
      <w:pPr>
        <w:pStyle w:val="ListBullet"/>
        <w:spacing w:line="240" w:lineRule="auto"/>
        <w:ind w:left="720"/>
      </w:pPr>
      <w:r>
        <w:rPr>
          <w:lang w:val="en_US" w:bidi="en_US"/>
        </w:rPr>
      </w:r>
      <w:r>
        <w:rPr>
          <w:lang w:val="en_US" w:bidi="en_US"/>
        </w:rPr>
        <w:t>‘Look, this is the third year that I have come and looked for fruit on this fig tree</w:t>
      </w:r>
    </w:p>
    <w:p>
      <w:pPr>
        <w:pStyle w:val="ListBullet"/>
        <w:spacing w:line="240" w:lineRule="auto"/>
        <w:ind w:left="720"/>
      </w:pPr>
      <w:r>
        <w:rPr>
          <w:lang w:val="en_US" w:bidi="en_US"/>
        </w:rPr>
      </w:r>
      <w:r>
        <w:rPr>
          <w:lang w:val="en_US" w:bidi="en_US"/>
        </w:rPr>
        <w:t xml:space="preserve">‘Listen! I have been coming </w:t>
      </w:r>
      <w:r>
        <w:rPr>
          <w:lang w:val="en_US" w:bidi="en_US"/>
        </w:rPr>
        <w:t>here</w:t>
      </w:r>
      <w:r>
        <w:rPr>
          <w:lang w:val="en_US" w:bidi="en_US"/>
        </w:rPr>
        <w:t xml:space="preserve"> each year for three years to see if I could find any figs on this fig tree.</w:t>
      </w:r>
    </w:p>
    <w:p>
      <w:pPr>
        <w:pStyle w:val="Heading5"/>
      </w:pPr>
      <w:r>
        <w:rPr>
          <w:lang w:val="en_US" w:bidi="en_US"/>
        </w:rPr>
        <w:t>13:7c</w:t>
      </w:r>
    </w:p>
    <w:p>
      <w:pPr/>
      <w:r>
        <w:rPr>
          <w:lang w:val="en_US" w:bidi="en_US"/>
        </w:rPr>
      </w:r>
      <w:r>
        <w:rPr>
          <w:b/>
          <w:lang w:val="en_US" w:bidi="en_US"/>
        </w:rPr>
        <w:t>and haven’t found any.</w:t>
      </w:r>
    </w:p>
    <w:p>
      <w:pPr>
        <w:pStyle w:val="ListBullet"/>
        <w:spacing w:line="240" w:lineRule="auto"/>
        <w:ind w:left="720"/>
      </w:pPr>
      <w:r>
        <w:rPr>
          <w:lang w:val="en_US" w:bidi="en_US"/>
        </w:rPr>
      </w:r>
      <w:r>
        <w:rPr>
          <w:lang w:val="en_US" w:bidi="en_US"/>
        </w:rPr>
        <w:t>and/but there has been none.</w:t>
      </w:r>
    </w:p>
    <w:p>
      <w:pPr>
        <w:pStyle w:val="ListBullet"/>
        <w:spacing w:line="240" w:lineRule="auto"/>
        <w:ind w:left="720"/>
      </w:pPr>
      <w:r>
        <w:rPr>
          <w:lang w:val="en_US" w:bidi="en_US"/>
        </w:rPr>
      </w:r>
      <w:r>
        <w:rPr>
          <w:lang w:val="en_US" w:bidi="en_US"/>
        </w:rPr>
        <w:t xml:space="preserve">I have never seen/found any </w:t>
      </w:r>
      <w:r>
        <w:rPr>
          <w:lang w:val="en_US" w:bidi="en_US"/>
        </w:rPr>
        <w:t>at all</w:t>
      </w:r>
      <w:r>
        <w:rPr>
          <w:lang w:val="en_US" w:bidi="en_US"/>
        </w:rPr>
        <w:t>.</w:t>
      </w:r>
    </w:p>
    <w:p>
      <w:pPr>
        <w:pStyle w:val="Heading5"/>
      </w:pPr>
      <w:r>
        <w:rPr>
          <w:lang w:val="en_US" w:bidi="en_US"/>
        </w:rPr>
        <w:t>13:7b–c</w:t>
      </w:r>
    </w:p>
    <w:p>
      <w:pPr/>
      <w:r>
        <w:rPr>
          <w:lang w:val="en_US" w:bidi="en_US"/>
        </w:rPr>
      </w:r>
      <w:r>
        <w:rPr>
          <w:b/>
          <w:lang w:val="en_US" w:bidi="en_US"/>
        </w:rPr>
        <w:t>Look:</w:t>
      </w:r>
      <w:r>
        <w:rPr>
          <w:lang w:val="en_US" w:bidi="en_US"/>
        </w:rPr>
        <w:t xml:space="preserve"> The Greek word that the BSB translates as </w:t>
      </w:r>
      <w:r>
        <w:rPr>
          <w:i/>
          <w:lang w:val="en_US" w:bidi="en_US"/>
        </w:rPr>
        <w:t>Look</w:t>
      </w:r>
      <w:r>
        <w:rPr>
          <w:lang w:val="en_US" w:bidi="en_US"/>
        </w:rPr>
        <w:t xml:space="preserve"> is used here to call attention to the next statement. Other ways to translate this word are:</w:t>
      </w:r>
    </w:p>
    <w:p>
      <w:pPr/>
      <w:r>
        <w:rPr>
          <w:lang w:val="en_US" w:bidi="en_US"/>
        </w:rPr>
      </w:r>
      <w:r>
        <w:rPr>
          <w:lang w:val="en_US" w:bidi="en_US"/>
        </w:rPr>
        <w:t>Behold (NASB)</w:t>
      </w:r>
    </w:p>
    <w:p>
      <w:pPr/>
      <w:r>
        <w:rPr>
          <w:lang w:val="en_US" w:bidi="en_US"/>
        </w:rPr>
      </w:r>
      <w:r>
        <w:rPr>
          <w:lang w:val="en_US" w:bidi="en_US"/>
        </w:rPr>
        <w:t>See here! (NRSV)</w:t>
      </w:r>
    </w:p>
    <w:p>
      <w:pPr/>
      <w:r>
        <w:rPr>
          <w:lang w:val="en_US" w:bidi="en_US"/>
        </w:rPr>
      </w:r>
      <w:r>
        <w:rPr>
          <w:lang w:val="en_US" w:bidi="en_US"/>
        </w:rPr>
        <w:t>Listen!</w:t>
      </w:r>
    </w:p>
    <w:p>
      <w:pPr/>
      <w:r>
        <w:rPr>
          <w:lang w:val="en_US" w:bidi="en_US"/>
        </w:rPr>
      </w:r>
      <w:r>
        <w:rPr>
          <w:lang w:val="en_US" w:bidi="en_US"/>
        </w:rPr>
        <w:t>Several other English versions do not translate this word. If your language has a natural way to draw attention to this statement, consider using it here.</w:t>
      </w:r>
    </w:p>
    <w:p>
      <w:pPr/>
      <w:r>
        <w:rPr>
          <w:lang w:val="en_US" w:bidi="en_US"/>
        </w:rPr>
      </w:r>
      <w:r>
        <w:rPr>
          <w:b/>
          <w:lang w:val="en_US" w:bidi="en_US"/>
        </w:rPr>
        <w:t>for the past three years:</w:t>
      </w:r>
      <w:r>
        <w:rPr>
          <w:lang w:val="en_US" w:bidi="en_US"/>
        </w:rPr>
        <w:t xml:space="preserve"> The Greek expression that the BSB translates as </w:t>
      </w:r>
      <w:r>
        <w:rPr>
          <w:i/>
          <w:lang w:val="en_US" w:bidi="en_US"/>
        </w:rPr>
        <w:t>for the past three years</w:t>
      </w:r>
      <w:r>
        <w:rPr>
          <w:lang w:val="en_US" w:bidi="en_US"/>
        </w:rPr>
        <w:t xml:space="preserve"> means “this is the third year.” The owner had also come looking for fruit the two previous years.</w:t>
      </w:r>
      <w:r>
        <w:rPr>
          <w:lang w:val="en_US" w:bidi="en_US"/>
        </w:rPr>
        <w:t>When a fig tree was three years old, it was usually mature enough to start producing figs, so this tree was probably 5–6 years old at that point.</w:t>
      </w:r>
    </w:p>
    <w:p>
      <w:pPr/>
      <w:r>
        <w:rPr>
          <w:lang w:val="en_US" w:bidi="en_US"/>
        </w:rPr>
      </w:r>
      <w:r>
        <w:rPr>
          <w:b/>
          <w:lang w:val="en_US" w:bidi="en_US"/>
        </w:rPr>
        <w:t>I have come:</w:t>
      </w:r>
      <w:r>
        <w:rPr>
          <w:lang w:val="en_US" w:bidi="en_US"/>
        </w:rPr>
        <w:t xml:space="preserve"> The owner had come at least three times. It is not clear whether he had come several times a year, or just once a year. Use a verb form that refers to doing something more than once.</w:t>
      </w:r>
    </w:p>
    <w:p>
      <w:pPr>
        <w:pStyle w:val="Heading5"/>
      </w:pPr>
      <w:r>
        <w:rPr>
          <w:lang w:val="en_US" w:bidi="en_US"/>
        </w:rPr>
        <w:t>13:7d</w:t>
      </w:r>
    </w:p>
    <w:p>
      <w:pPr/>
      <w:r>
        <w:rPr>
          <w:lang w:val="en_US" w:bidi="en_US"/>
        </w:rPr>
      </w:r>
      <w:r>
        <w:rPr>
          <w:b/>
          <w:lang w:val="en_US" w:bidi="en_US"/>
        </w:rPr>
        <w:t>Therefore cut it down!</w:t>
      </w:r>
    </w:p>
    <w:p>
      <w:pPr>
        <w:pStyle w:val="ListBullet"/>
        <w:spacing w:line="240" w:lineRule="auto"/>
        <w:ind w:left="720"/>
      </w:pPr>
      <w:r>
        <w:rPr>
          <w:lang w:val="en_US" w:bidi="en_US"/>
        </w:rPr>
      </w:r>
      <w:r>
        <w:rPr>
          <w:lang w:val="en_US" w:bidi="en_US"/>
        </w:rPr>
        <w:t>So</w:t>
      </w:r>
      <w:r>
        <w:rPr>
          <w:lang w:val="en_US" w:bidi="en_US"/>
        </w:rPr>
        <w:t xml:space="preserve"> cut/chop it down!</w:t>
      </w:r>
    </w:p>
    <w:p>
      <w:pPr>
        <w:pStyle w:val="ListBullet"/>
        <w:spacing w:line="240" w:lineRule="auto"/>
        <w:ind w:left="720"/>
      </w:pPr>
      <w:r>
        <w:rPr>
          <w:lang w:val="en_US" w:bidi="en_US"/>
        </w:rPr>
      </w:r>
      <w:r>
        <w:rPr>
          <w:lang w:val="en_US" w:bidi="en_US"/>
        </w:rPr>
        <w:t xml:space="preserve">Remove it, </w:t>
      </w:r>
      <w:r>
        <w:rPr>
          <w:lang w:val="en_US" w:bidi="en_US"/>
        </w:rPr>
        <w:t>along with its roots/stump</w:t>
      </w:r>
      <w:r>
        <w:rPr>
          <w:lang w:val="en_US" w:bidi="en_US"/>
        </w:rPr>
        <w:t>!</w:t>
      </w:r>
    </w:p>
    <w:p>
      <w:pPr/>
      <w:r>
        <w:rPr>
          <w:lang w:val="en_US" w:bidi="en_US"/>
        </w:rPr>
      </w:r>
      <w:r>
        <w:rPr>
          <w:b/>
          <w:lang w:val="en_US" w:bidi="en_US"/>
        </w:rPr>
        <w:t>Therefore:</w:t>
      </w:r>
      <w:r>
        <w:rPr>
          <w:lang w:val="en_US" w:bidi="en_US"/>
        </w:rPr>
        <w:t xml:space="preserve"> The Greek word that the BSB translates as </w:t>
      </w:r>
      <w:r>
        <w:rPr>
          <w:i/>
          <w:lang w:val="en_US" w:bidi="en_US"/>
        </w:rPr>
        <w:t>Therefore</w:t>
      </w:r>
      <w:r>
        <w:rPr>
          <w:lang w:val="en_US" w:bidi="en_US"/>
        </w:rPr>
        <w:t xml:space="preserve"> indicates that the command in 13:7d is a result of the situation described in 13:7b–c. In some languages it may be natural to introduce this command with that word or a similar one such as:</w:t>
      </w:r>
    </w:p>
    <w:p>
      <w:pPr/>
      <w:r>
        <w:rPr>
          <w:lang w:val="en_US" w:bidi="en_US"/>
        </w:rPr>
      </w:r>
      <w:r>
        <w:rPr>
          <w:lang w:val="en_US" w:bidi="en_US"/>
        </w:rPr>
        <w:t>So</w:t>
      </w:r>
      <w:r>
        <w:rPr>
          <w:lang w:val="en_US" w:bidi="en_US"/>
        </w:rPr>
        <w:t>Some major Greek manuscripts begin this verse with a conjunction that means “Therefore.” This text is not followed by any of the English versions, but it is implied.</w:t>
      </w:r>
    </w:p>
    <w:p>
      <w:pPr/>
      <w:r>
        <w:rPr>
          <w:lang w:val="en_US" w:bidi="en_US"/>
        </w:rPr>
      </w:r>
      <w:r>
        <w:rPr>
          <w:b/>
          <w:lang w:val="en_US" w:bidi="en_US"/>
        </w:rPr>
        <w:t>cut it down!:</w:t>
      </w:r>
      <w:r>
        <w:rPr>
          <w:lang w:val="en_US" w:bidi="en_US"/>
        </w:rPr>
        <w:t xml:space="preserve"> The command </w:t>
      </w:r>
      <w:r>
        <w:rPr>
          <w:i/>
          <w:lang w:val="en_US" w:bidi="en_US"/>
        </w:rPr>
        <w:t>cut it down!</w:t>
      </w:r>
      <w:r>
        <w:rPr>
          <w:lang w:val="en_US" w:bidi="en_US"/>
        </w:rPr>
        <w:t xml:space="preserve"> implies that the whole tree should be removed, including the roots. In Israel people cut the roots of a tree in order to remove the tree along with its stump. If you have a natural expression in your language for cutting down a tree along with the stump, you may use it here. You may also use a more general expression, as in most English versions.</w:t>
      </w:r>
    </w:p>
    <w:p>
      <w:pPr>
        <w:pStyle w:val="Heading5"/>
      </w:pPr>
      <w:r>
        <w:rPr>
          <w:lang w:val="en_US" w:bidi="en_US"/>
        </w:rPr>
        <w:t>13:7e</w:t>
      </w:r>
    </w:p>
    <w:p>
      <w:pPr/>
      <w:r>
        <w:rPr>
          <w:lang w:val="en_US" w:bidi="en_US"/>
        </w:rPr>
      </w:r>
      <w:r>
        <w:rPr>
          <w:b/>
          <w:lang w:val="en_US" w:bidi="en_US"/>
        </w:rPr>
        <w:t>Why should it use up the soil?’</w:t>
      </w:r>
    </w:p>
    <w:p>
      <w:pPr>
        <w:pStyle w:val="ListBullet"/>
        <w:spacing w:line="240" w:lineRule="auto"/>
        <w:ind w:left="720"/>
      </w:pPr>
      <w:r>
        <w:rPr>
          <w:lang w:val="en_US" w:bidi="en_US"/>
        </w:rPr>
      </w:r>
      <w:r>
        <w:rPr>
          <w:lang w:val="en_US" w:bidi="en_US"/>
        </w:rPr>
        <w:t xml:space="preserve">Why should it waste the </w:t>
      </w:r>
      <w:r>
        <w:rPr>
          <w:lang w:val="en_US" w:bidi="en_US"/>
        </w:rPr>
        <w:t>good</w:t>
      </w:r>
      <w:r>
        <w:rPr>
          <w:lang w:val="en_US" w:bidi="en_US"/>
        </w:rPr>
        <w:t xml:space="preserve"> soil?’</w:t>
      </w:r>
    </w:p>
    <w:p>
      <w:pPr>
        <w:pStyle w:val="ListBullet"/>
        <w:spacing w:line="240" w:lineRule="auto"/>
        <w:ind w:left="720"/>
      </w:pPr>
      <w:r>
        <w:rPr>
          <w:lang w:val="en_US" w:bidi="en_US"/>
        </w:rPr>
      </w:r>
      <w:r>
        <w:rPr>
          <w:lang w:val="en_US" w:bidi="en_US"/>
        </w:rPr>
        <w:t>It is causing this soil to be useless, and that is not right/good.’</w:t>
      </w:r>
    </w:p>
    <w:p>
      <w:pPr>
        <w:pStyle w:val="ListBullet"/>
        <w:spacing w:line="240" w:lineRule="auto"/>
        <w:ind w:left="720"/>
      </w:pPr>
      <w:r>
        <w:rPr>
          <w:lang w:val="en_US" w:bidi="en_US"/>
        </w:rPr>
      </w:r>
      <w:r>
        <w:rPr>
          <w:lang w:val="en_US" w:bidi="en_US"/>
        </w:rPr>
        <w:t xml:space="preserve">It should not continue to occupy space in the vineyard/garden </w:t>
      </w:r>
      <w:r>
        <w:rPr>
          <w:lang w:val="en_US" w:bidi="en_US"/>
        </w:rPr>
        <w:t>for no purpose</w:t>
      </w:r>
      <w:r>
        <w:rPr>
          <w:lang w:val="en_US" w:bidi="en_US"/>
        </w:rPr>
        <w:t>.’</w:t>
      </w:r>
    </w:p>
    <w:p>
      <w:pPr/>
      <w:r>
        <w:rPr>
          <w:lang w:val="en_US" w:bidi="en_US"/>
        </w:rPr>
      </w:r>
      <w:r>
        <w:rPr>
          <w:b/>
          <w:lang w:val="en_US" w:bidi="en_US"/>
        </w:rPr>
        <w:t>Why should it use up the soil?:</w:t>
      </w:r>
      <w:r>
        <w:rPr>
          <w:lang w:val="en_US" w:bidi="en_US"/>
        </w:rPr>
        <w:t xml:space="preserve"> This is a rhetorical question. The owner used this question to express his opinion that the fig tree should not be allowed to continue wasting good soil in the vineyard. The Greek verb that the BSB translates as </w:t>
      </w:r>
      <w:r>
        <w:rPr>
          <w:i/>
          <w:lang w:val="en_US" w:bidi="en_US"/>
        </w:rPr>
        <w:t>use up</w:t>
      </w:r>
      <w:r>
        <w:rPr>
          <w:lang w:val="en_US" w:bidi="en_US"/>
        </w:rPr>
        <w:t xml:space="preserve"> has the basic meaning “make useless.” There are two ways to interpret the word in the context of this parable:</w:t>
      </w:r>
    </w:p>
    <w:p>
      <w:pPr>
        <w:pStyle w:val="ListNumber"/>
        <w:numPr>
          <w:ilvl w:val="0"/>
          <w:numId w:val="251"/>
        </w:numPr>
        <w:spacing w:line="240" w:lineRule="auto"/>
        <w:ind w:left="720"/>
      </w:pPr>
      <w:r>
        <w:rPr>
          <w:lang w:val="en_US" w:bidi="en_US"/>
        </w:rPr>
      </w:r>
      <w:r>
        <w:rPr>
          <w:lang w:val="en_US" w:bidi="en_US"/>
        </w:rPr>
        <w:t>The tree is taking up valuable space in the garden (that some other crop/plant could use to produce fruit). For example:</w:t>
      </w:r>
      <w:r>
        <w:rPr>
          <w:lang w:val="en_US" w:bidi="en_US"/>
        </w:rPr>
        <w:t xml:space="preserve">Why should it take up space? (CEV) </w:t>
      </w:r>
      <w:r>
        <w:rPr>
          <w:i/>
          <w:lang w:val="en_US" w:bidi="en_US"/>
        </w:rPr>
        <w:t>(CEV, NLT, NJB)</w:t>
      </w:r>
    </w:p>
    <w:p>
      <w:pPr>
        <w:pStyle w:val="ListNumber"/>
        <w:spacing w:line="240" w:lineRule="auto"/>
        <w:ind w:left="720"/>
      </w:pPr>
      <w:r>
        <w:rPr>
          <w:lang w:val="en_US" w:bidi="en_US"/>
        </w:rPr>
      </w:r>
      <w:r>
        <w:rPr>
          <w:lang w:val="en_US" w:bidi="en_US"/>
        </w:rPr>
        <w:t>The tree is using up the nutrients in the soil (but producing no fruit). For example:</w:t>
      </w:r>
      <w:r>
        <w:rPr>
          <w:lang w:val="en_US" w:bidi="en_US"/>
        </w:rPr>
        <w:t xml:space="preserve">Why should it go on taking goodness from the soil? (REB) </w:t>
      </w:r>
      <w:r>
        <w:rPr>
          <w:i/>
          <w:lang w:val="en_US" w:bidi="en_US"/>
        </w:rPr>
        <w:t>(REB, NET)</w:t>
      </w:r>
    </w:p>
    <w:p>
      <w:pPr/>
      <w:r>
        <w:rPr>
          <w:lang w:val="en_US" w:bidi="en_US"/>
        </w:rPr>
      </w:r>
      <w:r>
        <w:rPr>
          <w:lang w:val="en_US" w:bidi="en_US"/>
        </w:rPr>
        <w:t>Many English versions translate in a way that allows both these meanings. It is recommended that you also translate in a way that allows both these meanings if possible. For example:</w:t>
      </w:r>
    </w:p>
    <w:p>
      <w:pPr/>
      <w:r>
        <w:rPr>
          <w:lang w:val="en_US" w:bidi="en_US"/>
        </w:rPr>
      </w:r>
      <w:r>
        <w:rPr>
          <w:lang w:val="en_US" w:bidi="en_US"/>
        </w:rPr>
        <w:t>Why should it be wasting the soil? (NRSV)</w:t>
      </w:r>
    </w:p>
    <w:p>
      <w:pPr/>
      <w:r>
        <w:rPr>
          <w:lang w:val="en_US" w:bidi="en_US"/>
        </w:rPr>
      </w:r>
      <w:r>
        <w:rPr>
          <w:lang w:val="en_US" w:bidi="en_US"/>
        </w:rPr>
        <w:t>If it is not possible to allow both meanings, then you should follow interpretation (1), along with most scholars.</w:t>
      </w:r>
    </w:p>
    <w:p>
      <w:pPr/>
      <w:r>
        <w:rPr>
          <w:lang w:val="en_US" w:bidi="en_US"/>
        </w:rPr>
      </w:r>
      <w:r>
        <w:rPr>
          <w:lang w:val="en_US" w:bidi="en_US"/>
        </w:rPr>
        <w:t>Here are some ways to translate the owner’s opinion, following interpretation (1):</w:t>
      </w:r>
    </w:p>
    <w:p>
      <w:pPr>
        <w:pStyle w:val="ListBullet"/>
        <w:spacing w:line="240" w:lineRule="auto"/>
        <w:ind w:left="720"/>
      </w:pPr>
      <w:r>
        <w:rPr>
          <w:lang w:val="en_US" w:bidi="en_US"/>
        </w:rPr>
      </w:r>
      <w:r>
        <w:rPr>
          <w:lang w:val="en_US" w:bidi="en_US"/>
        </w:rPr>
        <w:t>As a rhetorical question. For example:</w:t>
      </w:r>
      <w:r>
        <w:rPr>
          <w:lang w:val="en_US" w:bidi="en_US"/>
        </w:rPr>
        <w:t>Why should it be taking up the ground? (NJB)</w:t>
      </w:r>
    </w:p>
    <w:p>
      <w:pPr>
        <w:pStyle w:val="ListBullet"/>
        <w:spacing w:line="240" w:lineRule="auto"/>
        <w:ind w:left="720"/>
      </w:pPr>
      <w:r>
        <w:rPr>
          <w:lang w:val="en_US" w:bidi="en_US"/>
        </w:rPr>
      </w:r>
      <w:r>
        <w:rPr>
          <w:lang w:val="en_US" w:bidi="en_US"/>
        </w:rPr>
        <w:t>As a statement. For example:</w:t>
      </w:r>
      <w:r>
        <w:rPr>
          <w:lang w:val="en_US" w:bidi="en_US"/>
        </w:rPr>
        <w:t>It’s taking up space we can use for something else. (NLT96)</w:t>
      </w:r>
      <w:r>
        <w:rPr>
          <w:lang w:val="en_US" w:bidi="en_US"/>
        </w:rPr>
        <w:t xml:space="preserve">I will not allow it to keep using the space </w:t>
      </w:r>
      <w:r>
        <w:rPr>
          <w:lang w:val="en_US" w:bidi="en_US"/>
        </w:rPr>
        <w:t>and not produce fruit</w:t>
      </w:r>
      <w:r>
        <w:rPr>
          <w:lang w:val="en_US" w:bidi="en_US"/>
        </w:rPr>
        <w:t>.</w:t>
      </w:r>
    </w:p>
    <w:p>
      <w:pPr/>
      <w:r>
        <w:rPr>
          <w:lang w:val="en_US" w:bidi="en_US"/>
        </w:rPr>
      </w:r>
      <w:r>
        <w:rPr>
          <w:lang w:val="en_US" w:bidi="en_US"/>
        </w:rPr>
        <w:t>Translate this question in a way that is most natural in your language.</w:t>
      </w:r>
      <w:r>
        <w:rPr>
          <w:lang w:val="en_US" w:bidi="en_US"/>
        </w:rPr>
      </w:r>
      <w:r>
        <w:rPr>
          <w:lang w:val="en_US" w:bidi="en_US"/>
        </w:rPr>
      </w:r>
    </w:p>
    <w:p>
      <w:pPr/>
      <w:r>
        <w:rPr>
          <w:lang w:val="en_US" w:bidi="en_US"/>
        </w:rPr>
      </w:r>
    </w:p>
    <w:p>
      <w:pPr>
        <w:pStyle w:val="Heading2"/>
      </w:pPr>
      <w:r>
        <w:rPr>
          <w:lang w:val="en_US" w:bidi="en_US"/>
        </w:rPr>
        <w:t>Luke 13:8</w:t>
      </w:r>
      <w:r>
        <w:rPr>
          <w:lang w:val="en_US" w:bidi="en_US"/>
        </w:rPr>
      </w:r>
    </w:p>
    <w:p>
      <w:pPr>
        <w:pStyle w:val="Heading4"/>
      </w:pPr>
      <w:r>
        <w:rPr>
          <w:lang w:val="en_US" w:bidi="en_US"/>
        </w:rPr>
        <w:t>Section 13:6–9: Jesus told people a parable about a tree that did not bear fruit</w:t>
      </w:r>
    </w:p>
    <w:p>
      <w:pPr/>
      <w:r>
        <w:rPr>
          <w:lang w:val="en_US" w:bidi="en_US"/>
        </w:rPr>
      </w:r>
      <w:r>
        <w:rPr>
          <w:lang w:val="en_US" w:bidi="en_US"/>
        </w:rPr>
        <w:t>In the preceding section Jesus had told the people that if they did not turn from their sins, they would die. In this section he told them a parable that was also related to the need for repentance and the certainty of God’s judgment. The parable was about a fig tree that did not bear fruit. The owner of the fig tree told the gardener that if the tree did not bear fruit within another year, he would have to cut it down.</w:t>
      </w:r>
    </w:p>
    <w:p>
      <w:pPr/>
      <w:r>
        <w:rPr>
          <w:lang w:val="en_US" w:bidi="en_US"/>
        </w:rPr>
      </w:r>
      <w:r>
        <w:rPr>
          <w:lang w:val="en_US" w:bidi="en_US"/>
        </w:rPr>
        <w:t>While the BSB has a separate section here, some other versions do not. Those versions include this parable as part of 13:1–9. You will need to decide which of these options is more appropriate in your language.</w:t>
      </w:r>
    </w:p>
    <w:p>
      <w:pPr/>
      <w:r>
        <w:rPr>
          <w:lang w:val="en_US" w:bidi="en_US"/>
        </w:rPr>
      </w:r>
      <w:r>
        <w:rPr>
          <w:lang w:val="en_US" w:bidi="en_US"/>
        </w:rPr>
        <w:t>This parable occurs only in Luke.</w:t>
      </w:r>
    </w:p>
    <w:p>
      <w:pPr>
        <w:pStyle w:val="Heading5"/>
      </w:pPr>
      <w:r>
        <w:rPr>
          <w:lang w:val="en_US" w:bidi="en_US"/>
        </w:rPr>
        <w:t>13:8a</w:t>
      </w:r>
    </w:p>
    <w:p>
      <w:pPr/>
      <w:r>
        <w:rPr>
          <w:lang w:val="en_US" w:bidi="en_US"/>
        </w:rPr>
      </w:r>
      <w:r>
        <w:rPr>
          <w:b/>
          <w:lang w:val="en_US" w:bidi="en_US"/>
        </w:rPr>
        <w:t>‘Sir,’ the man replied, ‘leave it alone again this year,</w:t>
      </w:r>
    </w:p>
    <w:p>
      <w:pPr>
        <w:pStyle w:val="ListBullet"/>
        <w:spacing w:line="240" w:lineRule="auto"/>
        <w:ind w:left="720"/>
      </w:pPr>
      <w:r>
        <w:rPr>
          <w:lang w:val="en_US" w:bidi="en_US"/>
        </w:rPr>
      </w:r>
      <w:r>
        <w:rPr>
          <w:lang w:val="en_US" w:bidi="en_US"/>
        </w:rPr>
        <w:t>But</w:t>
      </w:r>
      <w:r>
        <w:rPr>
          <w:lang w:val="en_US" w:bidi="en_US"/>
        </w:rPr>
        <w:t xml:space="preserve"> the man/worker said </w:t>
      </w:r>
      <w:r>
        <w:rPr>
          <w:lang w:val="en_US" w:bidi="en_US"/>
        </w:rPr>
        <w:t>to the owner</w:t>
      </w:r>
      <w:r>
        <w:rPr>
          <w:lang w:val="en_US" w:bidi="en_US"/>
        </w:rPr>
        <w:t xml:space="preserve">, ‘Sir, </w:t>
      </w:r>
      <w:r>
        <w:rPr>
          <w:lang w:val="en_US" w:bidi="en_US"/>
        </w:rPr>
        <w:t>please</w:t>
      </w:r>
      <w:r>
        <w:rPr>
          <w:lang w:val="en_US" w:bidi="en_US"/>
        </w:rPr>
        <w:t xml:space="preserve"> let it live/grow one more year.</w:t>
      </w:r>
    </w:p>
    <w:p>
      <w:pPr>
        <w:pStyle w:val="ListBullet"/>
        <w:spacing w:line="240" w:lineRule="auto"/>
        <w:ind w:left="720"/>
      </w:pPr>
      <w:r>
        <w:rPr>
          <w:lang w:val="en_US" w:bidi="en_US"/>
        </w:rPr>
      </w:r>
      <w:r>
        <w:rPr>
          <w:lang w:val="en_US" w:bidi="en_US"/>
        </w:rPr>
        <w:t>But</w:t>
      </w:r>
      <w:r>
        <w:rPr>
          <w:lang w:val="en_US" w:bidi="en_US"/>
        </w:rPr>
        <w:t xml:space="preserve"> </w:t>
      </w:r>
      <w:r>
        <w:rPr>
          <w:lang w:val="en_US" w:bidi="en_US"/>
        </w:rPr>
        <w:t>his</w:t>
      </w:r>
      <w:r>
        <w:rPr>
          <w:lang w:val="en_US" w:bidi="en_US"/>
        </w:rPr>
        <w:t xml:space="preserve"> gardener answered, ‘Master, please let us</w:t>
      </w:r>
      <w:r>
        <w:rPr>
          <w:vertAlign w:val="superscript"/>
          <w:lang w:val="en_US" w:bidi="en_US"/>
        </w:rPr>
        <w:t>(dual)</w:t>
      </w:r>
      <w:r>
        <w:rPr>
          <w:lang w:val="en_US" w:bidi="en_US"/>
        </w:rPr>
        <w:t xml:space="preserve"> be patient with it for this next year also</w:t>
      </w:r>
    </w:p>
    <w:p>
      <w:pPr/>
      <w:r>
        <w:rPr>
          <w:lang w:val="en_US" w:bidi="en_US"/>
        </w:rPr>
      </w:r>
      <w:r>
        <w:rPr>
          <w:lang w:val="en_US" w:bidi="en_US"/>
        </w:rPr>
        <w:t>In the Greek text this verse part connects to the previous verse part with a conjunction that many English versions translate as “and.” The BSB does not translate it. But since it introduces the gardener’s suggestion of doing something different from what his master had said, you may wish to translate it as “But.”</w:t>
      </w:r>
    </w:p>
    <w:p>
      <w:pPr/>
      <w:r>
        <w:rPr>
          <w:lang w:val="en_US" w:bidi="en_US"/>
        </w:rPr>
      </w:r>
      <w:r>
        <w:rPr>
          <w:b/>
          <w:lang w:val="en_US" w:bidi="en_US"/>
        </w:rPr>
        <w:t>Sir:</w:t>
      </w:r>
      <w:r>
        <w:rPr>
          <w:lang w:val="en_US" w:bidi="en_US"/>
        </w:rPr>
        <w:t xml:space="preserve"> The Greek word that the BSB translates as </w:t>
      </w:r>
      <w:r>
        <w:rPr>
          <w:i/>
          <w:lang w:val="en_US" w:bidi="en_US"/>
        </w:rPr>
        <w:t>Sir</w:t>
      </w:r>
      <w:r>
        <w:rPr>
          <w:lang w:val="en_US" w:bidi="en_US"/>
        </w:rPr>
        <w:t xml:space="preserve"> literally means “master” or “lord.” It was the normal, respectful way for a servant to address his master. You should use a natural term of address that has this function in your language.</w:t>
      </w:r>
    </w:p>
    <w:p>
      <w:pPr/>
      <w:r>
        <w:rPr>
          <w:lang w:val="en_US" w:bidi="en_US"/>
        </w:rPr>
      </w:r>
      <w:r>
        <w:rPr>
          <w:b/>
          <w:lang w:val="en_US" w:bidi="en_US"/>
        </w:rPr>
        <w:t>the man replied:</w:t>
      </w:r>
      <w:r>
        <w:rPr>
          <w:lang w:val="en_US" w:bidi="en_US"/>
        </w:rPr>
        <w:t xml:space="preserve"> The Greek word that the BSB translates as </w:t>
      </w:r>
      <w:r>
        <w:rPr>
          <w:i/>
          <w:lang w:val="en_US" w:bidi="en_US"/>
        </w:rPr>
        <w:t>the man replied</w:t>
      </w:r>
      <w:r>
        <w:rPr>
          <w:lang w:val="en_US" w:bidi="en_US"/>
        </w:rPr>
        <w:t xml:space="preserve"> is literally “he replied.” Refer to the servant in the way that is natural in your language.</w:t>
      </w:r>
    </w:p>
    <w:p>
      <w:pPr/>
      <w:r>
        <w:rPr>
          <w:lang w:val="en_US" w:bidi="en_US"/>
        </w:rPr>
      </w:r>
      <w:r>
        <w:rPr>
          <w:lang w:val="en_US" w:bidi="en_US"/>
        </w:rPr>
        <w:t>In Greek the words “he replied” occur before the word “Sir.” The BSB has placed this phrase in the middle of what the gardener was saying. Place it where it is natural in your language.</w:t>
      </w:r>
    </w:p>
    <w:p>
      <w:pPr/>
      <w:r>
        <w:rPr>
          <w:lang w:val="en_US" w:bidi="en_US"/>
        </w:rPr>
      </w:r>
      <w:r>
        <w:rPr>
          <w:b/>
          <w:lang w:val="en_US" w:bidi="en_US"/>
        </w:rPr>
        <w:t>leave it alone again this year:</w:t>
      </w:r>
      <w:r>
        <w:rPr>
          <w:lang w:val="en_US" w:bidi="en_US"/>
        </w:rPr>
        <w:t xml:space="preserve"> The gardener was asking the owner to let the fig tree live for one more year. He wanted to give it another opportunity to bear fruit. It is clear from the following context that the gardener did not want the tree to be left literally alone or ignored. Other ways to translate this request are:</w:t>
      </w:r>
    </w:p>
    <w:p>
      <w:pPr/>
      <w:r>
        <w:rPr>
          <w:lang w:val="en_US" w:bidi="en_US"/>
        </w:rPr>
      </w:r>
      <w:r>
        <w:rPr>
          <w:lang w:val="en_US" w:bidi="en_US"/>
        </w:rPr>
        <w:t>let the tree have one more year to produce fruit (NCV)</w:t>
      </w:r>
    </w:p>
    <w:p>
      <w:pPr/>
      <w:r>
        <w:rPr>
          <w:lang w:val="en_US" w:bidi="en_US"/>
        </w:rPr>
      </w:r>
      <w:r>
        <w:rPr>
          <w:lang w:val="en_US" w:bidi="en_US"/>
        </w:rPr>
        <w:t>let it stand for one more year (GW)</w:t>
      </w:r>
    </w:p>
    <w:p>
      <w:pPr/>
      <w:r>
        <w:rPr>
          <w:lang w:val="en_US" w:bidi="en_US"/>
        </w:rPr>
      </w:r>
      <w:r>
        <w:rPr>
          <w:lang w:val="en_US" w:bidi="en_US"/>
        </w:rPr>
        <w:t>give it one more chance. Leave it another year (NLT)</w:t>
      </w:r>
    </w:p>
    <w:p>
      <w:pPr/>
      <w:r>
        <w:rPr>
          <w:lang w:val="en_US" w:bidi="en_US"/>
        </w:rPr>
      </w:r>
      <w:r>
        <w:rPr>
          <w:lang w:val="en_US" w:bidi="en_US"/>
        </w:rPr>
        <w:t>Be sure to translate this request in a way that shows proper respect in your language. It may be necessary to use a polite word such as “please” or to use a different form of the verb so that it does not sound as if the servant is giving orders to his master. For example:</w:t>
      </w:r>
    </w:p>
    <w:p>
      <w:pPr/>
      <w:r>
        <w:rPr>
          <w:lang w:val="en_US" w:bidi="en_US"/>
        </w:rPr>
      </w:r>
      <w:r>
        <w:rPr>
          <w:lang w:val="en_US" w:bidi="en_US"/>
        </w:rPr>
        <w:t>please let it stay in the garden this next year also</w:t>
      </w:r>
    </w:p>
    <w:p>
      <w:pPr/>
      <w:r>
        <w:rPr>
          <w:lang w:val="en_US" w:bidi="en_US"/>
        </w:rPr>
      </w:r>
      <w:r>
        <w:rPr>
          <w:lang w:val="en_US" w:bidi="en_US"/>
        </w:rPr>
        <w:t>perhaps it would be good if we</w:t>
      </w:r>
      <w:r>
        <w:rPr>
          <w:vertAlign w:val="superscript"/>
          <w:lang w:val="en_US" w:bidi="en_US"/>
        </w:rPr>
        <w:t>(dual)</w:t>
      </w:r>
      <w:r>
        <w:rPr>
          <w:lang w:val="en_US" w:bidi="en_US"/>
        </w:rPr>
        <w:t xml:space="preserve"> allowed the tree one more year</w:t>
      </w:r>
    </w:p>
    <w:p>
      <w:pPr>
        <w:pStyle w:val="Heading5"/>
      </w:pPr>
      <w:r>
        <w:rPr>
          <w:lang w:val="en_US" w:bidi="en_US"/>
        </w:rPr>
        <w:t>13:8b</w:t>
      </w:r>
    </w:p>
    <w:p>
      <w:pPr/>
      <w:r>
        <w:rPr>
          <w:lang w:val="en_US" w:bidi="en_US"/>
        </w:rPr>
      </w:r>
      <w:r>
        <w:rPr>
          <w:b/>
          <w:lang w:val="en_US" w:bidi="en_US"/>
        </w:rPr>
        <w:t>until I dig around it</w:t>
      </w:r>
    </w:p>
    <w:p>
      <w:pPr>
        <w:pStyle w:val="ListBullet"/>
        <w:spacing w:line="240" w:lineRule="auto"/>
        <w:ind w:left="720"/>
      </w:pPr>
      <w:r>
        <w:rPr>
          <w:lang w:val="en_US" w:bidi="en_US"/>
        </w:rPr>
      </w:r>
      <w:r>
        <w:rPr>
          <w:lang w:val="en_US" w:bidi="en_US"/>
        </w:rPr>
        <w:t xml:space="preserve">I will dig/cultivate around it </w:t>
      </w:r>
      <w:r>
        <w:rPr>
          <w:lang w:val="en_US" w:bidi="en_US"/>
        </w:rPr>
        <w:t>to soften the ground</w:t>
      </w:r>
      <w:r>
        <w:rPr>
          <w:lang w:val="en_US" w:bidi="en_US"/>
        </w:rPr>
        <w:t>,</w:t>
      </w:r>
    </w:p>
    <w:p>
      <w:pPr>
        <w:pStyle w:val="ListBullet"/>
        <w:spacing w:line="240" w:lineRule="auto"/>
        <w:ind w:left="720"/>
      </w:pPr>
      <w:r>
        <w:rPr>
          <w:lang w:val="en_US" w:bidi="en_US"/>
        </w:rPr>
      </w:r>
      <w:r>
        <w:rPr>
          <w:lang w:val="en_US" w:bidi="en_US"/>
        </w:rPr>
        <w:t xml:space="preserve">so that I can hoe/dig </w:t>
      </w:r>
      <w:r>
        <w:rPr>
          <w:lang w:val="en_US" w:bidi="en_US"/>
        </w:rPr>
        <w:t>the soil</w:t>
      </w:r>
      <w:r>
        <w:rPr>
          <w:lang w:val="en_US" w:bidi="en_US"/>
        </w:rPr>
        <w:t xml:space="preserve"> near its </w:t>
      </w:r>
      <w:r>
        <w:rPr>
          <w:lang w:val="en_US" w:bidi="en_US"/>
        </w:rPr>
        <w:t>base/roots</w:t>
      </w:r>
    </w:p>
    <w:p>
      <w:pPr/>
      <w:r>
        <w:rPr>
          <w:lang w:val="en_US" w:bidi="en_US"/>
        </w:rPr>
      </w:r>
      <w:r>
        <w:rPr>
          <w:b/>
          <w:lang w:val="en_US" w:bidi="en_US"/>
        </w:rPr>
        <w:t>until I dig around it:</w:t>
      </w:r>
      <w:r>
        <w:rPr>
          <w:lang w:val="en_US" w:bidi="en_US"/>
        </w:rPr>
        <w:t xml:space="preserve"> The gardener was saying that he would care for the fig tree in a special way. He would loosen the soil around the base of the tree, probably using a hoe or similar tool. Other ways to translate this are:</w:t>
      </w:r>
    </w:p>
    <w:p>
      <w:pPr/>
      <w:r>
        <w:rPr>
          <w:lang w:val="en_US" w:bidi="en_US"/>
        </w:rPr>
      </w:r>
      <w:r>
        <w:rPr>
          <w:lang w:val="en_US" w:bidi="en_US"/>
        </w:rPr>
        <w:t>Let me dig up the dirt around it (NCV)</w:t>
      </w:r>
    </w:p>
    <w:p>
      <w:pPr/>
      <w:r>
        <w:rPr>
          <w:lang w:val="en_US" w:bidi="en_US"/>
        </w:rPr>
      </w:r>
      <w:r>
        <w:rPr>
          <w:lang w:val="en_US" w:bidi="en_US"/>
        </w:rPr>
        <w:t>I will hoe/cultivate the soil at its base</w:t>
      </w:r>
    </w:p>
    <w:p>
      <w:pPr/>
      <w:r>
        <w:rPr>
          <w:lang w:val="en_US" w:bidi="en_US"/>
        </w:rPr>
      </w:r>
      <w:r>
        <w:rPr>
          <w:lang w:val="en_US" w:bidi="en_US"/>
        </w:rPr>
        <w:t>I will loosen/soften the ground around it</w:t>
      </w:r>
    </w:p>
    <w:p>
      <w:pPr>
        <w:pStyle w:val="Heading5"/>
      </w:pPr>
      <w:r>
        <w:rPr>
          <w:lang w:val="en_US" w:bidi="en_US"/>
        </w:rPr>
        <w:t>13:8c</w:t>
      </w:r>
    </w:p>
    <w:p>
      <w:pPr/>
      <w:r>
        <w:rPr>
          <w:lang w:val="en_US" w:bidi="en_US"/>
        </w:rPr>
      </w:r>
      <w:r>
        <w:rPr>
          <w:b/>
          <w:lang w:val="en_US" w:bidi="en_US"/>
        </w:rPr>
        <w:t>and fertilize it.</w:t>
      </w:r>
    </w:p>
    <w:p>
      <w:pPr>
        <w:pStyle w:val="ListBullet"/>
        <w:spacing w:line="240" w:lineRule="auto"/>
        <w:ind w:left="720"/>
      </w:pPr>
      <w:r>
        <w:rPr>
          <w:lang w:val="en_US" w:bidi="en_US"/>
        </w:rPr>
      </w:r>
      <w:r>
        <w:rPr>
          <w:lang w:val="en_US" w:bidi="en_US"/>
        </w:rPr>
        <w:t>and I will fertilize it.</w:t>
      </w:r>
    </w:p>
    <w:p>
      <w:pPr>
        <w:pStyle w:val="ListBullet"/>
        <w:spacing w:line="240" w:lineRule="auto"/>
        <w:ind w:left="720"/>
      </w:pPr>
      <w:r>
        <w:rPr>
          <w:lang w:val="en_US" w:bidi="en_US"/>
        </w:rPr>
      </w:r>
      <w:r>
        <w:rPr>
          <w:lang w:val="en_US" w:bidi="en_US"/>
        </w:rPr>
        <w:t xml:space="preserve">and put manure/compost on </w:t>
      </w:r>
      <w:r>
        <w:rPr>
          <w:lang w:val="en_US" w:bidi="en_US"/>
        </w:rPr>
        <w:t>the ground around</w:t>
      </w:r>
      <w:r>
        <w:rPr>
          <w:lang w:val="en_US" w:bidi="en_US"/>
        </w:rPr>
        <w:t xml:space="preserve"> it </w:t>
      </w:r>
      <w:r>
        <w:rPr>
          <w:lang w:val="en_US" w:bidi="en_US"/>
        </w:rPr>
        <w:t>to help it to grow better</w:t>
      </w:r>
      <w:r>
        <w:rPr>
          <w:lang w:val="en_US" w:bidi="en_US"/>
        </w:rPr>
        <w:t>.</w:t>
      </w:r>
    </w:p>
    <w:p>
      <w:pPr/>
      <w:r>
        <w:rPr>
          <w:lang w:val="en_US" w:bidi="en_US"/>
        </w:rPr>
      </w:r>
      <w:r>
        <w:rPr>
          <w:b/>
          <w:lang w:val="en_US" w:bidi="en_US"/>
        </w:rPr>
        <w:t>and fertilize it:</w:t>
      </w:r>
      <w:r>
        <w:rPr>
          <w:lang w:val="en_US" w:bidi="en_US"/>
        </w:rPr>
        <w:t xml:space="preserve"> The Greek phrase that the BSB translates as </w:t>
      </w:r>
      <w:r>
        <w:rPr>
          <w:i/>
          <w:lang w:val="en_US" w:bidi="en_US"/>
        </w:rPr>
        <w:t>fertilize it</w:t>
      </w:r>
      <w:r>
        <w:rPr>
          <w:lang w:val="en_US" w:bidi="en_US"/>
        </w:rPr>
        <w:t xml:space="preserve"> is literally “put-on dung/manure.” The gardener planned to put manure on the ground around the tree to improve the soil quality. This would help the tree to grow better and bear fruit. Some ways to translate this idea are:</w:t>
      </w:r>
    </w:p>
    <w:p>
      <w:pPr>
        <w:pStyle w:val="ListBullet"/>
        <w:spacing w:line="240" w:lineRule="auto"/>
        <w:ind w:left="720"/>
      </w:pPr>
      <w:r>
        <w:rPr>
          <w:lang w:val="en_US" w:bidi="en_US"/>
        </w:rPr>
      </w:r>
      <w:r>
        <w:rPr>
          <w:lang w:val="en_US" w:bidi="en_US"/>
        </w:rPr>
        <w:t>Describe the material used. For example:</w:t>
      </w:r>
      <w:r>
        <w:rPr>
          <w:lang w:val="en_US" w:bidi="en_US"/>
        </w:rPr>
        <w:t>put manure/compost/fertilizer</w:t>
      </w:r>
    </w:p>
    <w:p>
      <w:pPr>
        <w:pStyle w:val="ListBullet"/>
        <w:spacing w:line="240" w:lineRule="auto"/>
        <w:ind w:left="720"/>
      </w:pPr>
      <w:r>
        <w:rPr>
          <w:lang w:val="en_US" w:bidi="en_US"/>
        </w:rPr>
      </w:r>
      <w:r>
        <w:rPr>
          <w:lang w:val="en_US" w:bidi="en_US"/>
        </w:rPr>
        <w:t>Describe the function. For example:</w:t>
      </w:r>
      <w:r>
        <w:rPr>
          <w:lang w:val="en_US" w:bidi="en_US"/>
        </w:rPr>
        <w:t>make the soil better</w:t>
      </w:r>
      <w:r>
        <w:rPr>
          <w:lang w:val="en_US" w:bidi="en_US"/>
        </w:rPr>
      </w:r>
      <w:r>
        <w:rPr>
          <w:lang w:val="en_US" w:bidi="en_US"/>
        </w:rPr>
      </w:r>
    </w:p>
    <w:p>
      <w:pPr/>
      <w:r>
        <w:rPr>
          <w:lang w:val="en_US" w:bidi="en_US"/>
        </w:rPr>
      </w:r>
    </w:p>
    <w:p>
      <w:pPr>
        <w:pStyle w:val="Heading2"/>
      </w:pPr>
      <w:r>
        <w:rPr>
          <w:lang w:val="en_US" w:bidi="en_US"/>
        </w:rPr>
        <w:t>Luke 13:9</w:t>
      </w:r>
      <w:r>
        <w:rPr>
          <w:lang w:val="en_US" w:bidi="en_US"/>
        </w:rPr>
      </w:r>
    </w:p>
    <w:p>
      <w:pPr>
        <w:pStyle w:val="Heading4"/>
      </w:pPr>
      <w:r>
        <w:rPr>
          <w:lang w:val="en_US" w:bidi="en_US"/>
        </w:rPr>
        <w:t>Section 13:6–9: Jesus told people a parable about a tree that did not bear fruit</w:t>
      </w:r>
    </w:p>
    <w:p>
      <w:pPr/>
      <w:r>
        <w:rPr>
          <w:lang w:val="en_US" w:bidi="en_US"/>
        </w:rPr>
      </w:r>
      <w:r>
        <w:rPr>
          <w:lang w:val="en_US" w:bidi="en_US"/>
        </w:rPr>
        <w:t>In the preceding section Jesus had told the people that if they did not turn from their sins, they would die. In this section he told them a parable that was also related to the need for repentance and the certainty of God’s judgment. The parable was about a fig tree that did not bear fruit. The owner of the fig tree told the gardener that if the tree did not bear fruit within another year, he would have to cut it down.</w:t>
      </w:r>
    </w:p>
    <w:p>
      <w:pPr/>
      <w:r>
        <w:rPr>
          <w:lang w:val="en_US" w:bidi="en_US"/>
        </w:rPr>
      </w:r>
      <w:r>
        <w:rPr>
          <w:lang w:val="en_US" w:bidi="en_US"/>
        </w:rPr>
        <w:t>While the BSB has a separate section here, some other versions do not. Those versions include this parable as part of 13:1–9. You will need to decide which of these options is more appropriate in your language.</w:t>
      </w:r>
    </w:p>
    <w:p>
      <w:pPr/>
      <w:r>
        <w:rPr>
          <w:lang w:val="en_US" w:bidi="en_US"/>
        </w:rPr>
      </w:r>
      <w:r>
        <w:rPr>
          <w:lang w:val="en_US" w:bidi="en_US"/>
        </w:rPr>
        <w:t>This parable occurs only in Luke.</w:t>
      </w:r>
    </w:p>
    <w:p>
      <w:pPr>
        <w:pStyle w:val="Heading5"/>
      </w:pPr>
      <w:r>
        <w:rPr>
          <w:lang w:val="en_US" w:bidi="en_US"/>
        </w:rPr>
        <w:t>13:9a</w:t>
      </w:r>
    </w:p>
    <w:p>
      <w:pPr/>
      <w:r>
        <w:rPr>
          <w:lang w:val="en_US" w:bidi="en_US"/>
        </w:rPr>
      </w:r>
      <w:r>
        <w:rPr>
          <w:b/>
          <w:lang w:val="en_US" w:bidi="en_US"/>
        </w:rPr>
        <w:t>If it bears fruit next year, fine.</w:t>
      </w:r>
    </w:p>
    <w:p>
      <w:pPr>
        <w:pStyle w:val="ListBullet"/>
        <w:spacing w:line="240" w:lineRule="auto"/>
        <w:ind w:left="720"/>
      </w:pPr>
      <w:r>
        <w:rPr>
          <w:lang w:val="en_US" w:bidi="en_US"/>
        </w:rPr>
      </w:r>
      <w:r>
        <w:rPr>
          <w:lang w:val="en_US" w:bidi="en_US"/>
        </w:rPr>
        <w:t>If it produces fruit next year, good.</w:t>
      </w:r>
    </w:p>
    <w:p>
      <w:pPr>
        <w:pStyle w:val="ListBullet"/>
        <w:spacing w:line="240" w:lineRule="auto"/>
        <w:ind w:left="720"/>
      </w:pPr>
      <w:r>
        <w:rPr>
          <w:lang w:val="en_US" w:bidi="en_US"/>
        </w:rPr>
      </w:r>
      <w:r>
        <w:rPr>
          <w:lang w:val="en_US" w:bidi="en_US"/>
        </w:rPr>
        <w:t xml:space="preserve">Maybe the tree will have figs next year. If it does, </w:t>
      </w:r>
      <w:r>
        <w:rPr>
          <w:lang w:val="en_US" w:bidi="en_US"/>
        </w:rPr>
        <w:t>I will not need to cut it down</w:t>
      </w:r>
      <w:r>
        <w:rPr>
          <w:lang w:val="en_US" w:bidi="en_US"/>
        </w:rPr>
        <w:t>.</w:t>
      </w:r>
    </w:p>
    <w:p>
      <w:pPr/>
      <w:r>
        <w:rPr>
          <w:lang w:val="en_US" w:bidi="en_US"/>
        </w:rPr>
      </w:r>
      <w:r>
        <w:rPr>
          <w:b/>
          <w:lang w:val="en_US" w:bidi="en_US"/>
        </w:rPr>
        <w:t>If it bears fruit next year, fine:</w:t>
      </w:r>
      <w:r>
        <w:rPr>
          <w:lang w:val="en_US" w:bidi="en_US"/>
        </w:rPr>
        <w:t xml:space="preserve"> The gardener was implying that he would not cut the tree down if it produced figs the next year.</w:t>
      </w:r>
    </w:p>
    <w:p>
      <w:pPr/>
      <w:r>
        <w:rPr>
          <w:lang w:val="en_US" w:bidi="en_US"/>
        </w:rPr>
      </w:r>
      <w:r>
        <w:rPr>
          <w:b/>
          <w:lang w:val="en_US" w:bidi="en_US"/>
        </w:rPr>
        <w:t>fine:</w:t>
      </w:r>
      <w:r>
        <w:rPr>
          <w:lang w:val="en_US" w:bidi="en_US"/>
        </w:rPr>
        <w:t xml:space="preserve"> The BSB has not translated this from any Greek word but has supplied it to make a natural English sentence. Other possibilities of phrases to supply include:</w:t>
      </w:r>
    </w:p>
    <w:p>
      <w:pPr/>
      <w:r>
        <w:rPr>
          <w:lang w:val="en_US" w:bidi="en_US"/>
        </w:rPr>
      </w:r>
      <w:r>
        <w:rPr>
          <w:lang w:val="en_US" w:bidi="en_US"/>
        </w:rPr>
        <w:t>so much the better (GNT)</w:t>
      </w:r>
    </w:p>
    <w:p>
      <w:pPr/>
      <w:r>
        <w:rPr>
          <w:lang w:val="en_US" w:bidi="en_US"/>
        </w:rPr>
      </w:r>
      <w:r>
        <w:rPr>
          <w:lang w:val="en_US" w:bidi="en_US"/>
        </w:rPr>
        <w:t>well and good (RSV)</w:t>
      </w:r>
    </w:p>
    <w:p>
      <w:pPr/>
      <w:r>
        <w:rPr>
          <w:lang w:val="en_US" w:bidi="en_US"/>
        </w:rPr>
      </w:r>
      <w:r>
        <w:rPr>
          <w:lang w:val="en_US" w:bidi="en_US"/>
        </w:rPr>
        <w:t>it can continue to live</w:t>
      </w:r>
    </w:p>
    <w:p>
      <w:pPr/>
      <w:r>
        <w:rPr>
          <w:lang w:val="en_US" w:bidi="en_US"/>
        </w:rPr>
      </w:r>
      <w:r>
        <w:rPr>
          <w:lang w:val="en_US" w:bidi="en_US"/>
        </w:rPr>
        <w:t>In some languages it may not be necessary to supply an expression such as “fine.” For example:</w:t>
      </w:r>
    </w:p>
    <w:p>
      <w:pPr/>
      <w:r>
        <w:rPr>
          <w:lang w:val="en_US" w:bidi="en_US"/>
        </w:rPr>
      </w:r>
      <w:r>
        <w:rPr>
          <w:lang w:val="en_US" w:bidi="en_US"/>
        </w:rPr>
        <w:t>it may bear fruit next year (NJB)</w:t>
      </w:r>
    </w:p>
    <w:p>
      <w:pPr/>
      <w:r>
        <w:rPr>
          <w:lang w:val="en_US" w:bidi="en_US"/>
        </w:rPr>
      </w:r>
      <w:r>
        <w:rPr>
          <w:lang w:val="en_US" w:bidi="en_US"/>
        </w:rPr>
        <w:t>maybe that will help it to produce figs next year (TRT)</w:t>
      </w:r>
    </w:p>
    <w:p>
      <w:pPr>
        <w:pStyle w:val="Heading5"/>
      </w:pPr>
      <w:r>
        <w:rPr>
          <w:lang w:val="en_US" w:bidi="en_US"/>
        </w:rPr>
        <w:t>13:9b</w:t>
      </w:r>
    </w:p>
    <w:p>
      <w:pPr/>
      <w:r>
        <w:rPr>
          <w:lang w:val="en_US" w:bidi="en_US"/>
        </w:rPr>
      </w:r>
      <w:r>
        <w:rPr>
          <w:b/>
          <w:lang w:val="en_US" w:bidi="en_US"/>
        </w:rPr>
        <w:t>But if not, you can cut it down.’”</w:t>
      </w:r>
    </w:p>
    <w:p>
      <w:pPr>
        <w:pStyle w:val="ListBullet"/>
        <w:spacing w:line="240" w:lineRule="auto"/>
        <w:ind w:left="720"/>
      </w:pPr>
      <w:r>
        <w:rPr>
          <w:lang w:val="en_US" w:bidi="en_US"/>
        </w:rPr>
      </w:r>
      <w:r>
        <w:rPr>
          <w:lang w:val="en_US" w:bidi="en_US"/>
        </w:rPr>
        <w:t>If it does not, then you can cause it to be cut down.’”</w:t>
      </w:r>
    </w:p>
    <w:p>
      <w:pPr>
        <w:pStyle w:val="ListBullet"/>
        <w:spacing w:line="240" w:lineRule="auto"/>
        <w:ind w:left="720"/>
      </w:pPr>
      <w:r>
        <w:rPr>
          <w:lang w:val="en_US" w:bidi="en_US"/>
        </w:rPr>
      </w:r>
      <w:r>
        <w:rPr>
          <w:lang w:val="en_US" w:bidi="en_US"/>
        </w:rPr>
        <w:t>But</w:t>
      </w:r>
      <w:r>
        <w:rPr>
          <w:lang w:val="en_US" w:bidi="en_US"/>
        </w:rPr>
        <w:t xml:space="preserve"> if it does not have figs next year, then </w:t>
      </w:r>
      <w:r>
        <w:rPr>
          <w:lang w:val="en_US" w:bidi="en_US"/>
        </w:rPr>
        <w:t>I will</w:t>
      </w:r>
      <w:r>
        <w:rPr>
          <w:lang w:val="en_US" w:bidi="en_US"/>
        </w:rPr>
        <w:t xml:space="preserve"> cut it down.’”</w:t>
      </w:r>
    </w:p>
    <w:p>
      <w:pPr/>
      <w:r>
        <w:rPr>
          <w:lang w:val="en_US" w:bidi="en_US"/>
        </w:rPr>
      </w:r>
      <w:r>
        <w:rPr>
          <w:b/>
          <w:lang w:val="en_US" w:bidi="en_US"/>
        </w:rPr>
        <w:t>But if not:</w:t>
      </w:r>
      <w:r>
        <w:rPr>
          <w:lang w:val="en_US" w:bidi="en_US"/>
        </w:rPr>
        <w:t xml:space="preserve"> The phrase </w:t>
      </w:r>
      <w:r>
        <w:rPr>
          <w:i/>
          <w:lang w:val="en_US" w:bidi="en_US"/>
        </w:rPr>
        <w:t>But if not</w:t>
      </w:r>
      <w:r>
        <w:rPr>
          <w:lang w:val="en_US" w:bidi="en_US"/>
        </w:rPr>
        <w:t xml:space="preserve"> means “If it does not bear figs next year.”</w:t>
      </w:r>
    </w:p>
    <w:p>
      <w:pPr/>
      <w:r>
        <w:rPr>
          <w:lang w:val="en_US" w:bidi="en_US"/>
        </w:rPr>
      </w:r>
      <w:r>
        <w:rPr>
          <w:b/>
          <w:lang w:val="en_US" w:bidi="en_US"/>
        </w:rPr>
        <w:t>you can cut it down:</w:t>
      </w:r>
      <w:r>
        <w:rPr>
          <w:lang w:val="en_US" w:bidi="en_US"/>
        </w:rPr>
        <w:t xml:space="preserve"> The gardener agreed with the owner that the tree should be cut down if it did not bear fruit. He was not telling the owner to cut it down himself. He was advising the owner, and he, the gardener, would probably be the one who would actually cut it down.</w:t>
      </w:r>
      <w:r>
        <w:rPr>
          <w:lang w:val="en_US" w:bidi="en_US"/>
        </w:rPr>
      </w:r>
      <w:r>
        <w:rPr>
          <w:lang w:val="en_US" w:bidi="en_US"/>
        </w:rPr>
      </w:r>
    </w:p>
    <w:p>
      <w:pPr/>
      <w:r>
        <w:rPr>
          <w:lang w:val="en_US" w:bidi="en_US"/>
        </w:rPr>
      </w:r>
    </w:p>
    <w:p>
      <w:pPr>
        <w:pStyle w:val="Heading2"/>
      </w:pPr>
      <w:r>
        <w:rPr>
          <w:lang w:val="en_US" w:bidi="en_US"/>
        </w:rPr>
        <w:t>Luke 13:10</w:t>
      </w:r>
      <w:r>
        <w:rPr>
          <w:lang w:val="en_US" w:bidi="en_US"/>
        </w:rPr>
      </w:r>
    </w:p>
    <w:p>
      <w:pPr>
        <w:pStyle w:val="Heading4"/>
      </w:pPr>
      <w:r>
        <w:rPr>
          <w:lang w:val="en_US" w:bidi="en_US"/>
        </w:rPr>
        <w:t>Section 13:10–17: Jesus healed a crippled woman on the Sabbath</w:t>
      </w:r>
    </w:p>
    <w:p>
      <w:pPr/>
      <w:r>
        <w:rPr>
          <w:lang w:val="en_US" w:bidi="en_US"/>
        </w:rPr>
      </w:r>
      <w:r>
        <w:rPr>
          <w:lang w:val="en_US" w:bidi="en_US"/>
        </w:rPr>
        <w:t>In this section Jesus healed a woman whom an evil spirit had caused to be unable to stand straight. This story occurred on a Sabbath day sometime during Jesus’ ministry. It did not necessarily occur after the previous section. One of its possible connections with the previous section is that Jesus called people in both sections “hypocrites.”</w:t>
      </w:r>
    </w:p>
    <w:p>
      <w:pPr/>
      <w:r>
        <w:rPr>
          <w:lang w:val="en_US" w:bidi="en_US"/>
        </w:rPr>
      </w:r>
      <w:r>
        <w:rPr>
          <w:lang w:val="en_US" w:bidi="en_US"/>
        </w:rPr>
        <w:t>Another possible heading for this section is:</w:t>
      </w:r>
    </w:p>
    <w:p>
      <w:pPr/>
      <w:r>
        <w:rPr>
          <w:lang w:val="en_US" w:bidi="en_US"/>
        </w:rPr>
      </w:r>
      <w:r>
        <w:rPr>
          <w:lang w:val="en_US" w:bidi="en_US"/>
        </w:rPr>
        <w:t>The Healing of a Woman with a Bent/Crooked Back</w:t>
      </w:r>
    </w:p>
    <w:p>
      <w:pPr/>
      <w:r>
        <w:rPr>
          <w:lang w:val="en_US" w:bidi="en_US"/>
        </w:rPr>
      </w:r>
      <w:r>
        <w:rPr>
          <w:lang w:val="en_US" w:bidi="en_US"/>
        </w:rPr>
        <w:t>This story occurs only in Luke.</w:t>
      </w:r>
    </w:p>
    <w:p>
      <w:pPr>
        <w:pStyle w:val="Heading5"/>
      </w:pPr>
      <w:r>
        <w:rPr>
          <w:lang w:val="en_US" w:bidi="en_US"/>
        </w:rPr>
        <w:t>13:10</w:t>
      </w:r>
    </w:p>
    <w:p>
      <w:pPr/>
      <w:r>
        <w:rPr>
          <w:lang w:val="en_US" w:bidi="en_US"/>
        </w:rPr>
      </w:r>
      <w:r>
        <w:rPr>
          <w:b/>
          <w:lang w:val="en_US" w:bidi="en_US"/>
        </w:rPr>
        <w:t>One Sabbath Jesus was teaching in one of the synagogues,</w:t>
      </w:r>
    </w:p>
    <w:p>
      <w:pPr>
        <w:pStyle w:val="ListBullet"/>
        <w:spacing w:line="240" w:lineRule="auto"/>
        <w:ind w:left="720"/>
      </w:pPr>
      <w:r>
        <w:rPr>
          <w:lang w:val="en_US" w:bidi="en_US"/>
        </w:rPr>
      </w:r>
      <w:r>
        <w:rPr>
          <w:lang w:val="en_US" w:bidi="en_US"/>
        </w:rPr>
        <w:t xml:space="preserve">¶ One Sabbath day Jesus was teaching </w:t>
      </w:r>
      <w:r>
        <w:rPr>
          <w:lang w:val="en_US" w:bidi="en_US"/>
        </w:rPr>
        <w:t>the people</w:t>
      </w:r>
      <w:r>
        <w:rPr>
          <w:lang w:val="en_US" w:bidi="en_US"/>
        </w:rPr>
        <w:t xml:space="preserve"> in one of the synagogues.</w:t>
      </w:r>
    </w:p>
    <w:p>
      <w:pPr>
        <w:pStyle w:val="ListBullet"/>
        <w:spacing w:line="240" w:lineRule="auto"/>
        <w:ind w:left="720"/>
      </w:pPr>
      <w:r>
        <w:rPr>
          <w:lang w:val="en_US" w:bidi="en_US"/>
        </w:rPr>
      </w:r>
      <w:r>
        <w:rPr>
          <w:lang w:val="en_US" w:bidi="en_US"/>
        </w:rPr>
        <w:t>¶ On a certain rest day, Jesus was teaching in one of the meeting places/houses.</w:t>
      </w:r>
    </w:p>
    <w:p>
      <w:pPr/>
      <w:r>
        <w:rPr>
          <w:lang w:val="en_US" w:bidi="en_US"/>
        </w:rPr>
      </w:r>
      <w:r>
        <w:rPr>
          <w:lang w:val="en_US" w:bidi="en_US"/>
        </w:rPr>
        <w:t>This section connects to the previous section with a Greek conjunction that many English versions translate as “now.” It is not a time word but introduces a new incident in the narrative. The BSB does not translate it explicitly. Introduce this incident in a way that is natural in your language.</w:t>
      </w:r>
    </w:p>
    <w:p>
      <w:pPr/>
      <w:r>
        <w:rPr>
          <w:lang w:val="en_US" w:bidi="en_US"/>
        </w:rPr>
      </w:r>
      <w:r>
        <w:rPr>
          <w:b/>
          <w:lang w:val="en_US" w:bidi="en_US"/>
        </w:rPr>
        <w:t>One Sabbath:</w:t>
      </w:r>
      <w:r>
        <w:rPr>
          <w:lang w:val="en_US" w:bidi="en_US"/>
        </w:rPr>
        <w:t xml:space="preserve"> The word </w:t>
      </w:r>
      <w:r>
        <w:rPr>
          <w:i/>
          <w:lang w:val="en_US" w:bidi="en_US"/>
        </w:rPr>
        <w:t>Sabbath</w:t>
      </w:r>
      <w:r>
        <w:rPr>
          <w:lang w:val="en_US" w:bidi="en_US"/>
        </w:rPr>
        <w:t xml:space="preserve"> is the name of the seventh and last day of the week for the Jews. This was the special day in the week when they rested and worshiped God. The Law of Moses said that the Jews must not do any work on that day (Deuteronomy 5:12–15).</w:t>
      </w:r>
    </w:p>
    <w:p>
      <w:pPr/>
      <w:r>
        <w:rPr>
          <w:lang w:val="en_US" w:bidi="en_US"/>
        </w:rPr>
      </w:r>
      <w:r>
        <w:rPr>
          <w:lang w:val="en_US" w:bidi="en_US"/>
        </w:rPr>
        <w:t xml:space="preserve">Some ways to translate </w:t>
      </w:r>
      <w:r>
        <w:rPr>
          <w:i/>
          <w:lang w:val="en_US" w:bidi="en_US"/>
        </w:rPr>
        <w:t>Sabbath</w:t>
      </w:r>
      <w:r>
        <w:rPr>
          <w:lang w:val="en_US" w:bidi="en_US"/>
        </w:rPr>
        <w:t xml:space="preserve"> are:</w:t>
      </w:r>
    </w:p>
    <w:p>
      <w:pPr/>
      <w:r>
        <w:rPr>
          <w:lang w:val="en_US" w:bidi="en_US"/>
        </w:rPr>
      </w:r>
      <w:r>
        <w:rPr>
          <w:lang w:val="en_US" w:bidi="en_US"/>
        </w:rPr>
        <w:t xml:space="preserve">the </w:t>
      </w:r>
      <w:r>
        <w:rPr>
          <w:lang w:val="en_US" w:bidi="en_US"/>
        </w:rPr>
        <w:t>Jewish</w:t>
      </w:r>
      <w:r>
        <w:rPr>
          <w:lang w:val="en_US" w:bidi="en_US"/>
        </w:rPr>
        <w:t xml:space="preserve"> rest day</w:t>
      </w:r>
    </w:p>
    <w:p>
      <w:pPr/>
      <w:r>
        <w:rPr>
          <w:lang w:val="en_US" w:bidi="en_US"/>
        </w:rPr>
      </w:r>
      <w:r>
        <w:rPr>
          <w:lang w:val="en_US" w:bidi="en_US"/>
        </w:rPr>
        <w:t>the day for resting</w:t>
      </w:r>
    </w:p>
    <w:p>
      <w:pPr/>
      <w:r>
        <w:rPr>
          <w:lang w:val="en_US" w:bidi="en_US"/>
        </w:rPr>
      </w:r>
      <w:r>
        <w:rPr>
          <w:lang w:val="en_US" w:bidi="en_US"/>
        </w:rPr>
        <w:t>the day to rest and worship God</w:t>
      </w:r>
    </w:p>
    <w:p>
      <w:pPr/>
      <w:r>
        <w:rPr>
          <w:lang w:val="en_US" w:bidi="en_US"/>
        </w:rPr>
      </w:r>
      <w:r>
        <w:rPr>
          <w:lang w:val="en_US" w:bidi="en_US"/>
        </w:rPr>
        <w:t xml:space="preserve">If the word </w:t>
      </w:r>
      <w:r>
        <w:rPr>
          <w:i/>
          <w:lang w:val="en_US" w:bidi="en_US"/>
        </w:rPr>
        <w:t>Sabbath</w:t>
      </w:r>
      <w:r>
        <w:rPr>
          <w:lang w:val="en_US" w:bidi="en_US"/>
        </w:rPr>
        <w:t xml:space="preserve"> is already known in your area, you may write it according to the sounds of your language. You may also want to include a phrase to explain the meaning. For example:</w:t>
      </w:r>
    </w:p>
    <w:p>
      <w:pPr/>
      <w:r>
        <w:rPr>
          <w:lang w:val="en_US" w:bidi="en_US"/>
        </w:rPr>
      </w:r>
      <w:r>
        <w:rPr>
          <w:lang w:val="en_US" w:bidi="en_US"/>
        </w:rPr>
        <w:t xml:space="preserve">the Sabat, the </w:t>
      </w:r>
      <w:r>
        <w:rPr>
          <w:lang w:val="en_US" w:bidi="en_US"/>
        </w:rPr>
        <w:t>Jews’</w:t>
      </w:r>
      <w:r>
        <w:rPr>
          <w:lang w:val="en_US" w:bidi="en_US"/>
        </w:rPr>
        <w:t xml:space="preserve"> rest day</w:t>
      </w:r>
    </w:p>
    <w:p>
      <w:pPr/>
      <w:r>
        <w:rPr>
          <w:lang w:val="en_US" w:bidi="en_US"/>
        </w:rPr>
      </w:r>
      <w:r>
        <w:rPr>
          <w:lang w:val="en_US" w:bidi="en_US"/>
        </w:rPr>
        <w:t xml:space="preserve">The word </w:t>
      </w:r>
      <w:r>
        <w:rPr>
          <w:i/>
          <w:lang w:val="en_US" w:bidi="en_US"/>
        </w:rPr>
        <w:t>Sabbath</w:t>
      </w:r>
      <w:r>
        <w:rPr>
          <w:lang w:val="en_US" w:bidi="en_US"/>
        </w:rPr>
        <w:t xml:space="preserve"> first occurs in Luke in 4:16b. See how you translated this word there.</w:t>
      </w:r>
    </w:p>
    <w:p>
      <w:pPr/>
      <w:r>
        <w:rPr>
          <w:lang w:val="en_US" w:bidi="en_US"/>
        </w:rPr>
      </w:r>
      <w:r>
        <w:rPr>
          <w:b/>
          <w:lang w:val="en_US" w:bidi="en_US"/>
        </w:rPr>
        <w:t>synagogues:</w:t>
      </w:r>
      <w:r>
        <w:rPr>
          <w:lang w:val="en_US" w:bidi="en_US"/>
        </w:rPr>
        <w:t xml:space="preserve"> The term </w:t>
      </w:r>
      <w:r>
        <w:rPr>
          <w:i/>
          <w:lang w:val="en_US" w:bidi="en_US"/>
        </w:rPr>
        <w:t>synagogues</w:t>
      </w:r>
      <w:r>
        <w:rPr>
          <w:lang w:val="en_US" w:bidi="en_US"/>
        </w:rPr>
        <w:t xml:space="preserve"> describes buildings where Jews gathered to pray, read Scripture, teach their beliefs, and worship God. The Jews also gathered there for cultural activities. Some ways to translate </w:t>
      </w:r>
      <w:r>
        <w:rPr>
          <w:i/>
          <w:lang w:val="en_US" w:bidi="en_US"/>
        </w:rPr>
        <w:t>synagogues</w:t>
      </w:r>
      <w:r>
        <w:rPr>
          <w:lang w:val="en_US" w:bidi="en_US"/>
        </w:rPr>
        <w:t xml:space="preserve"> are:</w:t>
      </w:r>
    </w:p>
    <w:p>
      <w:pPr/>
      <w:r>
        <w:rPr>
          <w:lang w:val="en_US" w:bidi="en_US"/>
        </w:rPr>
      </w:r>
      <w:r>
        <w:rPr>
          <w:lang w:val="en_US" w:bidi="en_US"/>
        </w:rPr>
        <w:t xml:space="preserve">prayer-houses </w:t>
      </w:r>
      <w:r>
        <w:rPr>
          <w:lang w:val="en_US" w:bidi="en_US"/>
        </w:rPr>
        <w:t>of the Jews</w:t>
      </w:r>
    </w:p>
    <w:p>
      <w:pPr/>
      <w:r>
        <w:rPr>
          <w:lang w:val="en_US" w:bidi="en_US"/>
        </w:rPr>
      </w:r>
      <w:r>
        <w:rPr>
          <w:lang w:val="en_US" w:bidi="en_US"/>
        </w:rPr>
        <w:t xml:space="preserve">meeting-places </w:t>
      </w:r>
      <w:r>
        <w:rPr>
          <w:lang w:val="en_US" w:bidi="en_US"/>
        </w:rPr>
        <w:t>of the Jews</w:t>
      </w:r>
    </w:p>
    <w:p>
      <w:pPr/>
      <w:r>
        <w:rPr>
          <w:lang w:val="en_US" w:bidi="en_US"/>
        </w:rPr>
      </w:r>
      <w:r>
        <w:rPr>
          <w:lang w:val="en_US" w:bidi="en_US"/>
        </w:rPr>
        <w:t>worship buildings</w:t>
      </w:r>
    </w:p>
    <w:p>
      <w:pPr/>
      <w:r>
        <w:rPr>
          <w:lang w:val="en_US" w:bidi="en_US"/>
        </w:rPr>
      </w:r>
      <w:r>
        <w:rPr>
          <w:lang w:val="en_US" w:bidi="en_US"/>
        </w:rPr>
        <w:t>houses for gathering together</w:t>
      </w:r>
    </w:p>
    <w:p>
      <w:pPr/>
      <w:r>
        <w:rPr>
          <w:lang w:val="en_US" w:bidi="en_US"/>
        </w:rPr>
      </w:r>
      <w:r>
        <w:rPr>
          <w:lang w:val="en_US" w:bidi="en_US"/>
        </w:rPr>
        <w:t>If you make explicit a phrase such as “of the Jews,” be sure that it does not imply that Jesus was not a Jew.</w:t>
      </w:r>
    </w:p>
    <w:p>
      <w:pPr/>
      <w:r>
        <w:rPr>
          <w:lang w:val="en_US" w:bidi="en_US"/>
        </w:rPr>
      </w:r>
      <w:r>
        <w:rPr>
          <w:lang w:val="en_US" w:bidi="en_US"/>
        </w:rPr>
        <w:t>You will need a different term to translate synagogue than you use for temple. There was only one temple (in Jerusalem), but each Jewish community had a synagogue.</w:t>
      </w:r>
    </w:p>
    <w:p>
      <w:pPr/>
      <w:r>
        <w:rPr>
          <w:lang w:val="en_US" w:bidi="en_US"/>
        </w:rPr>
      </w:r>
      <w:r>
        <w:rPr>
          <w:lang w:val="en_US" w:bidi="en_US"/>
        </w:rPr>
        <w:t>If the word “synagogue” is already known in your area, you may write it according to the sounds of your language. You may want to include a word or phrase to explain the meaning. For example:</w:t>
      </w:r>
    </w:p>
    <w:p>
      <w:pPr/>
      <w:r>
        <w:rPr>
          <w:lang w:val="en_US" w:bidi="en_US"/>
        </w:rPr>
      </w:r>
      <w:r>
        <w:rPr>
          <w:lang w:val="en_US" w:bidi="en_US"/>
        </w:rPr>
        <w:t>sinagog house/building</w:t>
      </w:r>
    </w:p>
    <w:p>
      <w:pPr/>
      <w:r>
        <w:rPr>
          <w:lang w:val="en_US" w:bidi="en_US"/>
        </w:rPr>
      </w:r>
      <w:r>
        <w:rPr>
          <w:lang w:val="en_US" w:bidi="en_US"/>
        </w:rPr>
        <w:t>The word “synagogue” also occurs in 4:15a and 11:43b. See also synagogue in the Glossary.</w:t>
      </w:r>
      <w:r>
        <w:rPr>
          <w:lang w:val="en_US" w:bidi="en_US"/>
        </w:rPr>
      </w:r>
      <w:r>
        <w:rPr>
          <w:lang w:val="en_US" w:bidi="en_US"/>
        </w:rPr>
      </w:r>
    </w:p>
    <w:p>
      <w:pPr/>
      <w:r>
        <w:rPr>
          <w:lang w:val="en_US" w:bidi="en_US"/>
        </w:rPr>
      </w:r>
    </w:p>
    <w:p>
      <w:pPr>
        <w:pStyle w:val="Heading2"/>
      </w:pPr>
      <w:r>
        <w:rPr>
          <w:lang w:val="en_US" w:bidi="en_US"/>
        </w:rPr>
        <w:t>Luke 13:11</w:t>
      </w:r>
      <w:r>
        <w:rPr>
          <w:lang w:val="en_US" w:bidi="en_US"/>
        </w:rPr>
      </w:r>
    </w:p>
    <w:p>
      <w:pPr>
        <w:pStyle w:val="Heading4"/>
      </w:pPr>
      <w:r>
        <w:rPr>
          <w:lang w:val="en_US" w:bidi="en_US"/>
        </w:rPr>
        <w:t>Section 13:10–17: Jesus healed a crippled woman on the Sabbath</w:t>
      </w:r>
    </w:p>
    <w:p>
      <w:pPr/>
      <w:r>
        <w:rPr>
          <w:lang w:val="en_US" w:bidi="en_US"/>
        </w:rPr>
      </w:r>
      <w:r>
        <w:rPr>
          <w:lang w:val="en_US" w:bidi="en_US"/>
        </w:rPr>
        <w:t>In this section Jesus healed a woman whom an evil spirit had caused to be unable to stand straight. This story occurred on a Sabbath day sometime during Jesus’ ministry. It did not necessarily occur after the previous section. One of its possible connections with the previous section is that Jesus called people in both sections “hypocrites.”</w:t>
      </w:r>
    </w:p>
    <w:p>
      <w:pPr/>
      <w:r>
        <w:rPr>
          <w:lang w:val="en_US" w:bidi="en_US"/>
        </w:rPr>
      </w:r>
      <w:r>
        <w:rPr>
          <w:lang w:val="en_US" w:bidi="en_US"/>
        </w:rPr>
        <w:t>Another possible heading for this section is:</w:t>
      </w:r>
    </w:p>
    <w:p>
      <w:pPr/>
      <w:r>
        <w:rPr>
          <w:lang w:val="en_US" w:bidi="en_US"/>
        </w:rPr>
      </w:r>
      <w:r>
        <w:rPr>
          <w:lang w:val="en_US" w:bidi="en_US"/>
        </w:rPr>
        <w:t>The Healing of a Woman with a Bent/Crooked Back</w:t>
      </w:r>
    </w:p>
    <w:p>
      <w:pPr/>
      <w:r>
        <w:rPr>
          <w:lang w:val="en_US" w:bidi="en_US"/>
        </w:rPr>
      </w:r>
      <w:r>
        <w:rPr>
          <w:lang w:val="en_US" w:bidi="en_US"/>
        </w:rPr>
        <w:t>This story occurs only in Luke.</w:t>
      </w:r>
    </w:p>
    <w:p>
      <w:pPr>
        <w:pStyle w:val="Heading5"/>
      </w:pPr>
      <w:r>
        <w:rPr>
          <w:lang w:val="en_US" w:bidi="en_US"/>
        </w:rPr>
        <w:t>13:11a</w:t>
      </w:r>
    </w:p>
    <w:p>
      <w:pPr/>
      <w:r>
        <w:rPr>
          <w:lang w:val="en_US" w:bidi="en_US"/>
        </w:rPr>
      </w:r>
      <w:r>
        <w:rPr>
          <w:b/>
          <w:lang w:val="en_US" w:bidi="en_US"/>
        </w:rPr>
        <w:t>and a woman there had been disabled by a spirit for eighteen years.</w:t>
      </w:r>
    </w:p>
    <w:p>
      <w:pPr>
        <w:pStyle w:val="ListBullet"/>
        <w:spacing w:line="240" w:lineRule="auto"/>
        <w:ind w:left="720"/>
      </w:pPr>
      <w:r>
        <w:rPr>
          <w:lang w:val="en_US" w:bidi="en_US"/>
        </w:rPr>
      </w:r>
      <w:r>
        <w:rPr>
          <w:lang w:val="en_US" w:bidi="en_US"/>
        </w:rPr>
        <w:t xml:space="preserve">There was </w:t>
      </w:r>
      <w:r>
        <w:rPr>
          <w:lang w:val="en_US" w:bidi="en_US"/>
        </w:rPr>
        <w:t>also</w:t>
      </w:r>
      <w:r>
        <w:rPr>
          <w:lang w:val="en_US" w:bidi="en_US"/>
        </w:rPr>
        <w:t xml:space="preserve"> a woman there who had an </w:t>
      </w:r>
      <w:r>
        <w:rPr>
          <w:lang w:val="en_US" w:bidi="en_US"/>
        </w:rPr>
        <w:t>evil</w:t>
      </w:r>
      <w:r>
        <w:rPr>
          <w:lang w:val="en_US" w:bidi="en_US"/>
        </w:rPr>
        <w:t xml:space="preserve"> spirit that had crippled/disabled her. She had been this way for eighteen years.</w:t>
      </w:r>
    </w:p>
    <w:p>
      <w:pPr>
        <w:pStyle w:val="ListBullet"/>
        <w:spacing w:line="240" w:lineRule="auto"/>
        <w:ind w:left="720"/>
      </w:pPr>
      <w:r>
        <w:rPr>
          <w:lang w:val="en_US" w:bidi="en_US"/>
        </w:rPr>
      </w:r>
      <w:r>
        <w:rPr>
          <w:lang w:val="en_US" w:bidi="en_US"/>
        </w:rPr>
        <w:t xml:space="preserve">One of the people there was a woman who had been weak/infirm for eighteen years. An </w:t>
      </w:r>
      <w:r>
        <w:rPr>
          <w:lang w:val="en_US" w:bidi="en_US"/>
        </w:rPr>
        <w:t>evil</w:t>
      </w:r>
      <w:r>
        <w:rPr>
          <w:lang w:val="en_US" w:bidi="en_US"/>
        </w:rPr>
        <w:t xml:space="preserve"> spirit was causing this.</w:t>
      </w:r>
    </w:p>
    <w:p>
      <w:pPr/>
      <w:r>
        <w:rPr>
          <w:lang w:val="en_US" w:bidi="en_US"/>
        </w:rPr>
      </w:r>
      <w:r>
        <w:rPr>
          <w:b/>
          <w:lang w:val="en_US" w:bidi="en_US"/>
        </w:rPr>
        <w:t>and a woman there:</w:t>
      </w:r>
      <w:r>
        <w:rPr>
          <w:lang w:val="en_US" w:bidi="en_US"/>
        </w:rPr>
        <w:t xml:space="preserve"> In Greek, this verse begins with the words “and behold.” A few English versions translate these words literally. In this context, these words call attention to a woman who is first mentioned here in this verse. She was one of the people who were in the synagogue listening to Jesus.</w:t>
      </w:r>
    </w:p>
    <w:p>
      <w:pPr/>
      <w:r>
        <w:rPr>
          <w:lang w:val="en_US" w:bidi="en_US"/>
        </w:rPr>
      </w:r>
      <w:r>
        <w:rPr>
          <w:lang w:val="en_US" w:bidi="en_US"/>
        </w:rPr>
        <w:t>Consider how your language introduces a major but unnamed character into a story. Some languages use a word like “certain.” Other use a phrase such as “There was….” For example:</w:t>
      </w:r>
    </w:p>
    <w:p>
      <w:pPr/>
      <w:r>
        <w:rPr>
          <w:lang w:val="en_US" w:bidi="en_US"/>
        </w:rPr>
      </w:r>
      <w:r>
        <w:rPr>
          <w:lang w:val="en_US" w:bidi="en_US"/>
        </w:rPr>
        <w:t xml:space="preserve">A </w:t>
      </w:r>
      <w:r>
        <w:rPr>
          <w:lang w:val="en_US" w:bidi="en_US"/>
        </w:rPr>
        <w:t>certain</w:t>
      </w:r>
      <w:r>
        <w:rPr>
          <w:lang w:val="en_US" w:bidi="en_US"/>
        </w:rPr>
        <w:t xml:space="preserve"> woman was there</w:t>
      </w:r>
    </w:p>
    <w:p>
      <w:pPr/>
      <w:r>
        <w:rPr>
          <w:lang w:val="en_US" w:bidi="en_US"/>
        </w:rPr>
      </w:r>
      <w:r>
        <w:rPr>
          <w:lang w:val="en_US" w:bidi="en_US"/>
        </w:rPr>
        <w:t>There was a woman there</w:t>
      </w:r>
    </w:p>
    <w:p>
      <w:pPr/>
      <w:r>
        <w:rPr>
          <w:lang w:val="en_US" w:bidi="en_US"/>
        </w:rPr>
      </w:r>
      <w:r>
        <w:rPr>
          <w:lang w:val="en_US" w:bidi="en_US"/>
        </w:rPr>
        <w:t>Use a natural way in your language to introduce an important character.</w:t>
      </w:r>
    </w:p>
    <w:p>
      <w:pPr/>
      <w:r>
        <w:rPr>
          <w:lang w:val="en_US" w:bidi="en_US"/>
        </w:rPr>
      </w:r>
      <w:r>
        <w:rPr>
          <w:b/>
          <w:lang w:val="en_US" w:bidi="en_US"/>
        </w:rPr>
        <w:t>had been disabled by a spirit:</w:t>
      </w:r>
      <w:r>
        <w:rPr>
          <w:lang w:val="en_US" w:bidi="en_US"/>
        </w:rPr>
        <w:t xml:space="preserve"> The phrase that the BSB translates as </w:t>
      </w:r>
      <w:r>
        <w:rPr>
          <w:i/>
          <w:lang w:val="en_US" w:bidi="en_US"/>
        </w:rPr>
        <w:t>had been disabled by a spirit</w:t>
      </w:r>
      <w:r>
        <w:rPr>
          <w:lang w:val="en_US" w:bidi="en_US"/>
        </w:rPr>
        <w:t xml:space="preserve"> is more literally “had a spirit of weakness/illness.” It means that an evil spirit had caused the woman to have a weakness or illness that prevented her from straightening her back (13:11b). This condition had lasted for eighteen years. Other ways to translate this phrase are:</w:t>
      </w:r>
    </w:p>
    <w:p>
      <w:pPr/>
      <w:r>
        <w:rPr>
          <w:lang w:val="en_US" w:bidi="en_US"/>
        </w:rPr>
      </w:r>
      <w:r>
        <w:rPr>
          <w:lang w:val="en_US" w:bidi="en_US"/>
        </w:rPr>
        <w:t>had had a spirit of infirmity (RSV)</w:t>
      </w:r>
    </w:p>
    <w:p>
      <w:pPr/>
      <w:r>
        <w:rPr>
          <w:lang w:val="en_US" w:bidi="en_US"/>
        </w:rPr>
      </w:r>
      <w:r>
        <w:rPr>
          <w:lang w:val="en_US" w:bidi="en_US"/>
        </w:rPr>
        <w:t>had been possessed by a spirit that crippled her (NJB)</w:t>
      </w:r>
    </w:p>
    <w:p>
      <w:pPr/>
      <w:r>
        <w:rPr>
          <w:lang w:val="en_US" w:bidi="en_US"/>
        </w:rPr>
      </w:r>
      <w:r>
        <w:rPr>
          <w:lang w:val="en_US" w:bidi="en_US"/>
        </w:rPr>
        <w:t>had been disabled by a spirit (NET)</w:t>
      </w:r>
    </w:p>
    <w:p>
      <w:pPr/>
      <w:r>
        <w:rPr>
          <w:lang w:val="en_US" w:bidi="en_US"/>
        </w:rPr>
      </w:r>
      <w:r>
        <w:rPr>
          <w:lang w:val="en_US" w:bidi="en_US"/>
        </w:rPr>
        <w:t>had an evil spirit that had kept her sick</w:t>
      </w:r>
    </w:p>
    <w:p>
      <w:pPr/>
      <w:r>
        <w:rPr>
          <w:lang w:val="en_US" w:bidi="en_US"/>
        </w:rPr>
      </w:r>
      <w:r>
        <w:rPr>
          <w:lang w:val="en_US" w:bidi="en_US"/>
        </w:rPr>
        <w:t>In some languages, words such as “crippled” refer only to people who are unable to walk. In other languages, words such as “sick” refer only to illnesses, not to conditions such as being hunchbacked. Use a natural expression in your language to describe a long-term condition of this nature that is caused by an evil spirit.</w:t>
      </w:r>
    </w:p>
    <w:p>
      <w:pPr/>
      <w:r>
        <w:rPr>
          <w:lang w:val="en_US" w:bidi="en_US"/>
        </w:rPr>
      </w:r>
      <w:r>
        <w:rPr>
          <w:b/>
          <w:lang w:val="en_US" w:bidi="en_US"/>
        </w:rPr>
        <w:t>a spirit:</w:t>
      </w:r>
      <w:r>
        <w:rPr>
          <w:lang w:val="en_US" w:bidi="en_US"/>
        </w:rPr>
        <w:t xml:space="preserve"> The word </w:t>
      </w:r>
      <w:r>
        <w:rPr>
          <w:i/>
          <w:lang w:val="en_US" w:bidi="en_US"/>
        </w:rPr>
        <w:t>spirit</w:t>
      </w:r>
      <w:r>
        <w:rPr>
          <w:lang w:val="en_US" w:bidi="en_US"/>
        </w:rPr>
        <w:t xml:space="preserve"> here refers to a demon or evil spirit. See demon in the Glossary.</w:t>
      </w:r>
    </w:p>
    <w:p>
      <w:pPr>
        <w:pStyle w:val="Heading5"/>
      </w:pPr>
      <w:r>
        <w:rPr>
          <w:lang w:val="en_US" w:bidi="en_US"/>
        </w:rPr>
        <w:t>13:11b</w:t>
      </w:r>
    </w:p>
    <w:p>
      <w:pPr/>
      <w:r>
        <w:rPr>
          <w:lang w:val="en_US" w:bidi="en_US"/>
        </w:rPr>
      </w:r>
      <w:r>
        <w:rPr>
          <w:b/>
          <w:lang w:val="en_US" w:bidi="en_US"/>
        </w:rPr>
        <w:t>She was hunched over and could not stand up straight.</w:t>
      </w:r>
    </w:p>
    <w:p>
      <w:pPr>
        <w:pStyle w:val="ListBullet"/>
        <w:spacing w:line="240" w:lineRule="auto"/>
        <w:ind w:left="720"/>
      </w:pPr>
      <w:r>
        <w:rPr>
          <w:lang w:val="en_US" w:bidi="en_US"/>
        </w:rPr>
      </w:r>
      <w:r>
        <w:rPr>
          <w:lang w:val="en_US" w:bidi="en_US"/>
        </w:rPr>
        <w:t>Her back was very bent, and she could not stand up straight, even a little.</w:t>
      </w:r>
    </w:p>
    <w:p>
      <w:pPr>
        <w:pStyle w:val="ListBullet"/>
        <w:spacing w:line="240" w:lineRule="auto"/>
        <w:ind w:left="720"/>
      </w:pPr>
      <w:r>
        <w:rPr>
          <w:lang w:val="en_US" w:bidi="en_US"/>
        </w:rPr>
      </w:r>
      <w:r>
        <w:rPr>
          <w:lang w:val="en_US" w:bidi="en_US"/>
        </w:rPr>
        <w:t>She was extremely hunchbacked and was totally unable to stand upright.</w:t>
      </w:r>
    </w:p>
    <w:p>
      <w:pPr/>
      <w:r>
        <w:rPr>
          <w:lang w:val="en_US" w:bidi="en_US"/>
        </w:rPr>
      </w:r>
      <w:r>
        <w:rPr>
          <w:lang w:val="en_US" w:bidi="en_US"/>
        </w:rPr>
        <w:t>This part of the verse further describes the condition caused by the spirit in 13:11a. Make sure that the expression you used in 13:11a fits the details about the woman’s crooked back in 13:11b.</w:t>
      </w:r>
    </w:p>
    <w:p>
      <w:pPr/>
      <w:r>
        <w:rPr>
          <w:lang w:val="en_US" w:bidi="en_US"/>
        </w:rPr>
      </w:r>
      <w:r>
        <w:rPr>
          <w:b/>
          <w:lang w:val="en_US" w:bidi="en_US"/>
        </w:rPr>
        <w:t>She was hunched over:</w:t>
      </w:r>
      <w:r>
        <w:rPr>
          <w:lang w:val="en_US" w:bidi="en_US"/>
        </w:rPr>
        <w:t xml:space="preserve"> The clause </w:t>
      </w:r>
      <w:r>
        <w:rPr>
          <w:i/>
          <w:lang w:val="en_US" w:bidi="en_US"/>
        </w:rPr>
        <w:t>She was hunched over</w:t>
      </w:r>
      <w:r>
        <w:rPr>
          <w:lang w:val="en_US" w:bidi="en_US"/>
        </w:rPr>
        <w:t xml:space="preserve"> means that the woman’s back was bent, or crooked, so that she could not stand upright.</w:t>
      </w:r>
    </w:p>
    <w:p>
      <w:pPr/>
      <w:r>
        <w:rPr>
          <w:lang w:val="en_US" w:bidi="en_US"/>
        </w:rPr>
      </w:r>
      <w:r>
        <w:rPr>
          <w:b/>
          <w:lang w:val="en_US" w:bidi="en_US"/>
        </w:rPr>
        <w:t>could not stand up straight:</w:t>
      </w:r>
      <w:r>
        <w:rPr>
          <w:lang w:val="en_US" w:bidi="en_US"/>
        </w:rPr>
        <w:t xml:space="preserve"> There are two ways to interpret the Greek phrase that the BSB translates as </w:t>
      </w:r>
      <w:r>
        <w:rPr>
          <w:i/>
          <w:lang w:val="en_US" w:bidi="en_US"/>
        </w:rPr>
        <w:t>could not stand up straight</w:t>
      </w:r>
      <w:r>
        <w:rPr>
          <w:lang w:val="en_US" w:bidi="en_US"/>
        </w:rPr>
        <w:t>:</w:t>
      </w:r>
    </w:p>
    <w:p>
      <w:pPr>
        <w:pStyle w:val="ListNumber"/>
        <w:numPr>
          <w:ilvl w:val="0"/>
          <w:numId w:val="252"/>
        </w:numPr>
        <w:spacing w:line="240" w:lineRule="auto"/>
        <w:ind w:left="720"/>
      </w:pPr>
      <w:r>
        <w:rPr>
          <w:lang w:val="en_US" w:bidi="en_US"/>
        </w:rPr>
      </w:r>
      <w:r>
        <w:rPr>
          <w:lang w:val="en_US" w:bidi="en_US"/>
        </w:rPr>
        <w:t>It means that the woman could not straighten up at all, even a little. For example:</w:t>
      </w:r>
      <w:r>
        <w:rPr>
          <w:lang w:val="en_US" w:bidi="en_US"/>
        </w:rPr>
        <w:t xml:space="preserve">was quite unable to stand up straight (NRSV) </w:t>
      </w:r>
      <w:r>
        <w:rPr>
          <w:i/>
          <w:lang w:val="en_US" w:bidi="en_US"/>
        </w:rPr>
        <w:t>(NIV, GNT, NJB, CEV, KJV, NASB, NRSV, REB)</w:t>
      </w:r>
    </w:p>
    <w:p>
      <w:pPr>
        <w:pStyle w:val="ListNumber"/>
        <w:spacing w:line="240" w:lineRule="auto"/>
        <w:ind w:left="720"/>
      </w:pPr>
      <w:r>
        <w:rPr>
          <w:lang w:val="en_US" w:bidi="en_US"/>
        </w:rPr>
      </w:r>
      <w:r>
        <w:rPr>
          <w:lang w:val="en_US" w:bidi="en_US"/>
        </w:rPr>
        <w:t>It means that the woman could straighten up some, but not completely. For example:</w:t>
      </w:r>
      <w:r>
        <w:rPr>
          <w:lang w:val="en_US" w:bidi="en_US"/>
        </w:rPr>
        <w:t xml:space="preserve">and could not fully straighten herself (RSV) </w:t>
      </w:r>
      <w:r>
        <w:rPr>
          <w:i/>
          <w:lang w:val="en_US" w:bidi="en_US"/>
        </w:rPr>
        <w:t>(BSB, RSV, NET)</w:t>
      </w:r>
    </w:p>
    <w:p>
      <w:pPr/>
      <w:r>
        <w:rPr>
          <w:lang w:val="en_US" w:bidi="en_US"/>
        </w:rPr>
      </w:r>
      <w:r>
        <w:rPr>
          <w:lang w:val="en_US" w:bidi="en_US"/>
        </w:rPr>
        <w:t>It is recommended that you follow interpretation (1), which has stronger commentary support.</w:t>
      </w:r>
    </w:p>
    <w:p>
      <w:pPr/>
      <w:r>
        <w:rPr>
          <w:lang w:val="en_US" w:bidi="en_US"/>
        </w:rPr>
      </w:r>
      <w:r>
        <w:rPr>
          <w:lang w:val="en_US" w:bidi="en_US"/>
        </w:rPr>
        <w:t>Notice that the two phrases “was hunched over” and “could not stand up straight” are two ways of saying the same thing. In some languages it may be more natural to put the emphasis of the phrase “at all” on the first expression. For example:</w:t>
      </w:r>
    </w:p>
    <w:p>
      <w:pPr/>
      <w:r>
        <w:rPr>
          <w:lang w:val="en_US" w:bidi="en_US"/>
        </w:rPr>
      </w:r>
      <w:r>
        <w:rPr>
          <w:lang w:val="en_US" w:bidi="en_US"/>
        </w:rPr>
        <w:t>She was completely bent over and could not straighten up. (CEV)</w:t>
      </w:r>
    </w:p>
    <w:p>
      <w:pPr>
        <w:pStyle w:val="Heading6"/>
      </w:pPr>
      <w:r>
        <w:rPr>
          <w:b/>
          <w:lang w:val="en_US" w:bidi="en_US"/>
        </w:rPr>
        <w:t>General Comment on 13:11a–b</w:t>
      </w:r>
    </w:p>
    <w:p>
      <w:pPr/>
      <w:r>
        <w:rPr>
          <w:lang w:val="en_US" w:bidi="en_US"/>
        </w:rPr>
      </w:r>
      <w:r>
        <w:rPr>
          <w:lang w:val="en_US" w:bidi="en_US"/>
        </w:rPr>
        <w:t>In some languages it may be more natural to combine the three expressions describing the woman’s condition into two. For example:</w:t>
      </w:r>
    </w:p>
    <w:p>
      <w:pPr/>
      <w:r>
        <w:rPr>
          <w:lang w:val="en_US" w:bidi="en_US"/>
        </w:rPr>
      </w:r>
      <w:r>
        <w:rPr>
          <w:lang w:val="en_US" w:bidi="en_US"/>
        </w:rPr>
        <w:t>There was also a woman there whom an evil spirit had caused to be hunchbacked for eighteen years. She was completely unable to straighten her back.</w:t>
      </w:r>
      <w:r>
        <w:rPr>
          <w:lang w:val="en_US" w:bidi="en_US"/>
        </w:rPr>
      </w:r>
      <w:r>
        <w:rPr>
          <w:lang w:val="en_US" w:bidi="en_US"/>
        </w:rPr>
      </w:r>
    </w:p>
    <w:p>
      <w:pPr/>
      <w:r>
        <w:rPr>
          <w:lang w:val="en_US" w:bidi="en_US"/>
        </w:rPr>
      </w:r>
    </w:p>
    <w:p>
      <w:pPr>
        <w:pStyle w:val="Heading2"/>
      </w:pPr>
      <w:r>
        <w:rPr>
          <w:lang w:val="en_US" w:bidi="en_US"/>
        </w:rPr>
        <w:t>Luke 13:12</w:t>
      </w:r>
      <w:r>
        <w:rPr>
          <w:lang w:val="en_US" w:bidi="en_US"/>
        </w:rPr>
      </w:r>
    </w:p>
    <w:p>
      <w:pPr>
        <w:pStyle w:val="Heading4"/>
      </w:pPr>
      <w:r>
        <w:rPr>
          <w:lang w:val="en_US" w:bidi="en_US"/>
        </w:rPr>
        <w:t>Section 13:10–17: Jesus healed a crippled woman on the Sabbath</w:t>
      </w:r>
    </w:p>
    <w:p>
      <w:pPr/>
      <w:r>
        <w:rPr>
          <w:lang w:val="en_US" w:bidi="en_US"/>
        </w:rPr>
      </w:r>
      <w:r>
        <w:rPr>
          <w:lang w:val="en_US" w:bidi="en_US"/>
        </w:rPr>
        <w:t>In this section Jesus healed a woman whom an evil spirit had caused to be unable to stand straight. This story occurred on a Sabbath day sometime during Jesus’ ministry. It did not necessarily occur after the previous section. One of its possible connections with the previous section is that Jesus called people in both sections “hypocrites.”</w:t>
      </w:r>
    </w:p>
    <w:p>
      <w:pPr/>
      <w:r>
        <w:rPr>
          <w:lang w:val="en_US" w:bidi="en_US"/>
        </w:rPr>
      </w:r>
      <w:r>
        <w:rPr>
          <w:lang w:val="en_US" w:bidi="en_US"/>
        </w:rPr>
        <w:t>Another possible heading for this section is:</w:t>
      </w:r>
    </w:p>
    <w:p>
      <w:pPr/>
      <w:r>
        <w:rPr>
          <w:lang w:val="en_US" w:bidi="en_US"/>
        </w:rPr>
      </w:r>
      <w:r>
        <w:rPr>
          <w:lang w:val="en_US" w:bidi="en_US"/>
        </w:rPr>
        <w:t>The Healing of a Woman with a Bent/Crooked Back</w:t>
      </w:r>
    </w:p>
    <w:p>
      <w:pPr/>
      <w:r>
        <w:rPr>
          <w:lang w:val="en_US" w:bidi="en_US"/>
        </w:rPr>
      </w:r>
      <w:r>
        <w:rPr>
          <w:lang w:val="en_US" w:bidi="en_US"/>
        </w:rPr>
        <w:t>This story occurs only in Luke.</w:t>
      </w:r>
    </w:p>
    <w:p>
      <w:pPr>
        <w:pStyle w:val="Heading5"/>
      </w:pPr>
      <w:r>
        <w:rPr>
          <w:lang w:val="en_US" w:bidi="en_US"/>
        </w:rPr>
        <w:t>13:12a</w:t>
      </w:r>
    </w:p>
    <w:p>
      <w:pPr/>
      <w:r>
        <w:rPr>
          <w:lang w:val="en_US" w:bidi="en_US"/>
        </w:rPr>
      </w:r>
      <w:r>
        <w:rPr>
          <w:b/>
          <w:lang w:val="en_US" w:bidi="en_US"/>
        </w:rPr>
        <w:t>When Jesus saw her, He called her over and said,</w:t>
      </w:r>
    </w:p>
    <w:p>
      <w:pPr>
        <w:pStyle w:val="ListBullet"/>
        <w:spacing w:line="240" w:lineRule="auto"/>
        <w:ind w:left="720"/>
      </w:pPr>
      <w:r>
        <w:rPr>
          <w:lang w:val="en_US" w:bidi="en_US"/>
        </w:rPr>
      </w:r>
      <w:r>
        <w:rPr>
          <w:lang w:val="en_US" w:bidi="en_US"/>
        </w:rPr>
        <w:t xml:space="preserve">When Jesus saw her, he told her to come </w:t>
      </w:r>
      <w:r>
        <w:rPr>
          <w:lang w:val="en_US" w:bidi="en_US"/>
        </w:rPr>
        <w:t>forward</w:t>
      </w:r>
      <w:r>
        <w:rPr>
          <w:lang w:val="en_US" w:bidi="en_US"/>
        </w:rPr>
        <w:t>. Then he said to her,</w:t>
      </w:r>
    </w:p>
    <w:p>
      <w:pPr>
        <w:pStyle w:val="ListBullet"/>
        <w:spacing w:line="240" w:lineRule="auto"/>
        <w:ind w:left="720"/>
      </w:pPr>
      <w:r>
        <w:rPr>
          <w:lang w:val="en_US" w:bidi="en_US"/>
        </w:rPr>
      </w:r>
      <w:r>
        <w:rPr>
          <w:lang w:val="en_US" w:bidi="en_US"/>
        </w:rPr>
        <w:t xml:space="preserve">When Jesus saw her, he called/invited her </w:t>
      </w:r>
      <w:r>
        <w:rPr>
          <w:lang w:val="en_US" w:bidi="en_US"/>
        </w:rPr>
        <w:t>to come to him</w:t>
      </w:r>
      <w:r>
        <w:rPr>
          <w:lang w:val="en_US" w:bidi="en_US"/>
        </w:rPr>
        <w:t xml:space="preserve">. </w:t>
      </w:r>
      <w:r>
        <w:rPr>
          <w:lang w:val="en_US" w:bidi="en_US"/>
        </w:rPr>
        <w:t>After she came,</w:t>
      </w:r>
      <w:r>
        <w:rPr>
          <w:lang w:val="en_US" w:bidi="en_US"/>
        </w:rPr>
        <w:t xml:space="preserve"> he said to her,</w:t>
      </w:r>
    </w:p>
    <w:p>
      <w:pPr/>
      <w:r>
        <w:rPr>
          <w:lang w:val="en_US" w:bidi="en_US"/>
        </w:rPr>
      </w:r>
      <w:r>
        <w:rPr>
          <w:b/>
          <w:lang w:val="en_US" w:bidi="en_US"/>
        </w:rPr>
        <w:t>He called her over and said:</w:t>
      </w:r>
      <w:r>
        <w:rPr>
          <w:lang w:val="en_US" w:bidi="en_US"/>
        </w:rPr>
        <w:t xml:space="preserve"> The Greek clause that the BSB translates as </w:t>
      </w:r>
      <w:r>
        <w:rPr>
          <w:i/>
          <w:lang w:val="en_US" w:bidi="en_US"/>
        </w:rPr>
        <w:t>He called her over and said</w:t>
      </w:r>
      <w:r>
        <w:rPr>
          <w:lang w:val="en_US" w:bidi="en_US"/>
        </w:rPr>
        <w:t xml:space="preserve"> is literally “he called-out and said to her.” There are two ways to interpret this clause:</w:t>
      </w:r>
    </w:p>
    <w:p>
      <w:pPr>
        <w:pStyle w:val="ListNumber"/>
        <w:numPr>
          <w:ilvl w:val="0"/>
          <w:numId w:val="253"/>
        </w:numPr>
        <w:spacing w:line="240" w:lineRule="auto"/>
        <w:ind w:left="720"/>
      </w:pPr>
      <w:r>
        <w:rPr>
          <w:lang w:val="en_US" w:bidi="en_US"/>
        </w:rPr>
      </w:r>
      <w:r>
        <w:rPr>
          <w:lang w:val="en_US" w:bidi="en_US"/>
        </w:rPr>
        <w:t xml:space="preserve">It describes </w:t>
      </w:r>
      <w:r>
        <w:rPr>
          <w:u w:val="single"/>
          <w:lang w:val="en_US" w:bidi="en_US"/>
        </w:rPr>
        <w:t>two actions</w:t>
      </w:r>
      <w:r>
        <w:rPr>
          <w:lang w:val="en_US" w:bidi="en_US"/>
        </w:rPr>
        <w:t>. Jesus called the woman to come to him, and then he said the words in 13:12b. For example:</w:t>
      </w:r>
      <w:r>
        <w:rPr>
          <w:lang w:val="en_US" w:bidi="en_US"/>
        </w:rPr>
        <w:t xml:space="preserve">he called her over and said (NJB) </w:t>
      </w:r>
      <w:r>
        <w:rPr>
          <w:i/>
          <w:lang w:val="en_US" w:bidi="en_US"/>
        </w:rPr>
        <w:t>(BSB, NIV, RSV, NJB, NASB, NET, GW, CEV, NLT, NCV)</w:t>
      </w:r>
    </w:p>
    <w:p>
      <w:pPr>
        <w:pStyle w:val="ListNumber"/>
        <w:spacing w:line="240" w:lineRule="auto"/>
        <w:ind w:left="720"/>
      </w:pPr>
      <w:r>
        <w:rPr>
          <w:lang w:val="en_US" w:bidi="en_US"/>
        </w:rPr>
      </w:r>
      <w:r>
        <w:rPr>
          <w:lang w:val="en_US" w:bidi="en_US"/>
        </w:rPr>
        <w:t xml:space="preserve">It describes </w:t>
      </w:r>
      <w:r>
        <w:rPr>
          <w:u w:val="single"/>
          <w:lang w:val="en_US" w:bidi="en_US"/>
        </w:rPr>
        <w:t>one action</w:t>
      </w:r>
      <w:r>
        <w:rPr>
          <w:lang w:val="en_US" w:bidi="en_US"/>
        </w:rPr>
        <w:t>. Jesus called out to the woman the words in 13:12b. For example:</w:t>
      </w:r>
      <w:r>
        <w:rPr>
          <w:lang w:val="en_US" w:bidi="en_US"/>
        </w:rPr>
        <w:t xml:space="preserve">he called out to her (GNT) </w:t>
      </w:r>
      <w:r>
        <w:rPr>
          <w:i/>
          <w:lang w:val="en_US" w:bidi="en_US"/>
        </w:rPr>
        <w:t>(GNT)</w:t>
      </w:r>
    </w:p>
    <w:p>
      <w:pPr/>
      <w:r>
        <w:rPr>
          <w:lang w:val="en_US" w:bidi="en_US"/>
        </w:rPr>
      </w:r>
      <w:r>
        <w:rPr>
          <w:lang w:val="en_US" w:bidi="en_US"/>
        </w:rPr>
        <w:t>It is recommended that you follow interpretation (1), along with most versions and commentaries. Jesus was in front of the congregation. The woman would have been sitting in the back with the other women. Jesus summoned her to come to him at the front so that he could speak to her and lay lands on her. Another way to translate this is:</w:t>
      </w:r>
    </w:p>
    <w:p>
      <w:pPr/>
      <w:r>
        <w:rPr>
          <w:lang w:val="en_US" w:bidi="en_US"/>
        </w:rPr>
      </w:r>
      <w:r>
        <w:rPr>
          <w:lang w:val="en_US" w:bidi="en_US"/>
        </w:rPr>
        <w:t>he called her to come to him and said (GW)</w:t>
      </w:r>
    </w:p>
    <w:p>
      <w:pPr>
        <w:pStyle w:val="Heading5"/>
      </w:pPr>
      <w:r>
        <w:rPr>
          <w:lang w:val="en_US" w:bidi="en_US"/>
        </w:rPr>
        <w:t>13:12b</w:t>
      </w:r>
    </w:p>
    <w:p>
      <w:pPr/>
      <w:r>
        <w:rPr>
          <w:lang w:val="en_US" w:bidi="en_US"/>
        </w:rPr>
      </w:r>
      <w:r>
        <w:rPr>
          <w:b/>
          <w:lang w:val="en_US" w:bidi="en_US"/>
        </w:rPr>
        <w:t>“Woman, you are set free from your disability.”</w:t>
      </w:r>
    </w:p>
    <w:p>
      <w:pPr>
        <w:pStyle w:val="ListBullet"/>
        <w:spacing w:line="240" w:lineRule="auto"/>
        <w:ind w:left="720"/>
      </w:pPr>
      <w:r>
        <w:rPr>
          <w:lang w:val="en_US" w:bidi="en_US"/>
        </w:rPr>
      </w:r>
      <w:r>
        <w:rPr>
          <w:lang w:val="en_US" w:bidi="en_US"/>
        </w:rPr>
        <w:t>“</w:t>
      </w:r>
      <w:r>
        <w:rPr>
          <w:lang w:val="en_US" w:bidi="en_US"/>
        </w:rPr>
        <w:t>Dear</w:t>
      </w:r>
      <w:r>
        <w:rPr>
          <w:lang w:val="en_US" w:bidi="en_US"/>
        </w:rPr>
        <w:t xml:space="preserve"> woman, you are now freed/healed from your sickness.”</w:t>
      </w:r>
    </w:p>
    <w:p>
      <w:pPr>
        <w:pStyle w:val="ListBullet"/>
        <w:spacing w:line="240" w:lineRule="auto"/>
        <w:ind w:left="720"/>
      </w:pPr>
      <w:r>
        <w:rPr>
          <w:lang w:val="en_US" w:bidi="en_US"/>
        </w:rPr>
      </w:r>
      <w:r>
        <w:rPr>
          <w:lang w:val="en_US" w:bidi="en_US"/>
        </w:rPr>
        <w:t>“You will now become well/healed.”</w:t>
      </w:r>
    </w:p>
    <w:p>
      <w:pPr>
        <w:pStyle w:val="ListBullet"/>
        <w:spacing w:line="240" w:lineRule="auto"/>
        <w:ind w:left="720"/>
      </w:pPr>
      <w:r>
        <w:rPr>
          <w:lang w:val="en_US" w:bidi="en_US"/>
        </w:rPr>
      </w:r>
      <w:r>
        <w:rPr>
          <w:lang w:val="en_US" w:bidi="en_US"/>
        </w:rPr>
        <w:t xml:space="preserve">“Madam/Sister, </w:t>
      </w:r>
      <w:r>
        <w:rPr>
          <w:lang w:val="en_US" w:bidi="en_US"/>
        </w:rPr>
        <w:t>I</w:t>
      </w:r>
      <w:r>
        <w:rPr>
          <w:lang w:val="en_US" w:bidi="en_US"/>
        </w:rPr>
        <w:t xml:space="preserve"> heal you from your sickness.”</w:t>
      </w:r>
    </w:p>
    <w:p>
      <w:pPr/>
      <w:r>
        <w:rPr>
          <w:lang w:val="en_US" w:bidi="en_US"/>
        </w:rPr>
      </w:r>
      <w:r>
        <w:rPr>
          <w:b/>
          <w:lang w:val="en_US" w:bidi="en_US"/>
        </w:rPr>
        <w:t>Woman:</w:t>
      </w:r>
      <w:r>
        <w:rPr>
          <w:lang w:val="en_US" w:bidi="en_US"/>
        </w:rPr>
        <w:t xml:space="preserve"> This was the way a Jewish man often addressed a woman. Jesus was not being harsh with the woman. He was speaking kindly to her. If it is unkind or unnatural in your culture to speak to a woman this way, then you may:</w:t>
      </w:r>
    </w:p>
    <w:p>
      <w:pPr>
        <w:pStyle w:val="ListBullet"/>
        <w:spacing w:line="240" w:lineRule="auto"/>
        <w:ind w:left="720"/>
      </w:pPr>
      <w:r>
        <w:rPr>
          <w:lang w:val="en_US" w:bidi="en_US"/>
        </w:rPr>
      </w:r>
      <w:r>
        <w:rPr>
          <w:lang w:val="en_US" w:bidi="en_US"/>
        </w:rPr>
        <w:t>Omit the word.</w:t>
      </w:r>
    </w:p>
    <w:p>
      <w:pPr>
        <w:pStyle w:val="ListBullet"/>
        <w:spacing w:line="240" w:lineRule="auto"/>
        <w:ind w:left="720"/>
      </w:pPr>
      <w:r>
        <w:rPr>
          <w:lang w:val="en_US" w:bidi="en_US"/>
        </w:rPr>
      </w:r>
      <w:r>
        <w:rPr>
          <w:lang w:val="en_US" w:bidi="en_US"/>
        </w:rPr>
        <w:t>Use another, more polite form of address, such as “sister,” “mother,” or “madam.”</w:t>
      </w:r>
    </w:p>
    <w:p>
      <w:pPr/>
      <w:r>
        <w:rPr>
          <w:lang w:val="en_US" w:bidi="en_US"/>
        </w:rPr>
      </w:r>
      <w:r>
        <w:rPr>
          <w:b/>
          <w:lang w:val="en_US" w:bidi="en_US"/>
        </w:rPr>
        <w:t>you are set free from your disability:</w:t>
      </w:r>
      <w:r>
        <w:rPr>
          <w:lang w:val="en_US" w:bidi="en_US"/>
        </w:rPr>
        <w:t xml:space="preserve"> The Greek word that the BSB translates as </w:t>
      </w:r>
      <w:r>
        <w:rPr>
          <w:i/>
          <w:lang w:val="en_US" w:bidi="en_US"/>
        </w:rPr>
        <w:t>are set free</w:t>
      </w:r>
      <w:r>
        <w:rPr>
          <w:lang w:val="en_US" w:bidi="en_US"/>
        </w:rPr>
        <w:t xml:space="preserve"> is literally “have been set free.” This form of the word indicates here that Jesus considered the woman’s healing to be already accomplished, starting from that very moment. For example:</w:t>
      </w:r>
    </w:p>
    <w:p>
      <w:pPr/>
      <w:r>
        <w:rPr>
          <w:lang w:val="en_US" w:bidi="en_US"/>
        </w:rPr>
      </w:r>
      <w:r>
        <w:rPr>
          <w:lang w:val="en_US" w:bidi="en_US"/>
        </w:rPr>
        <w:t>You are now well. (CEV)</w:t>
      </w:r>
    </w:p>
    <w:p>
      <w:pPr/>
      <w:r>
        <w:rPr>
          <w:lang w:val="en_US" w:bidi="en_US"/>
        </w:rPr>
      </w:r>
      <w:r>
        <w:rPr>
          <w:lang w:val="en_US" w:bidi="en_US"/>
        </w:rPr>
        <w:t>The form “are set free” is a passive. Some ways to translate this are:</w:t>
      </w:r>
    </w:p>
    <w:p>
      <w:pPr>
        <w:pStyle w:val="ListBullet"/>
        <w:spacing w:line="240" w:lineRule="auto"/>
        <w:ind w:left="720"/>
      </w:pPr>
      <w:r>
        <w:rPr>
          <w:lang w:val="en_US" w:bidi="en_US"/>
        </w:rPr>
      </w:r>
      <w:r>
        <w:rPr>
          <w:lang w:val="en_US" w:bidi="en_US"/>
        </w:rPr>
        <w:t>As a passive form. For example:</w:t>
      </w:r>
      <w:r>
        <w:rPr>
          <w:lang w:val="en_US" w:bidi="en_US"/>
        </w:rPr>
        <w:t>you are healed of your sickness (NLT)</w:t>
      </w:r>
    </w:p>
    <w:p>
      <w:pPr>
        <w:pStyle w:val="ListBullet"/>
        <w:spacing w:line="240" w:lineRule="auto"/>
        <w:ind w:left="720"/>
      </w:pPr>
      <w:r>
        <w:rPr>
          <w:lang w:val="en_US" w:bidi="en_US"/>
        </w:rPr>
      </w:r>
      <w:r>
        <w:rPr>
          <w:lang w:val="en_US" w:bidi="en_US"/>
        </w:rPr>
        <w:t>As an active form, either an adjective or an active verb. For example:</w:t>
      </w:r>
      <w:r>
        <w:rPr>
          <w:lang w:val="en_US" w:bidi="en_US"/>
        </w:rPr>
        <w:t>you are free from your disability (GW)</w:t>
      </w:r>
      <w:r>
        <w:rPr>
          <w:lang w:val="en_US" w:bidi="en_US"/>
        </w:rPr>
        <w:t>you will now become well</w:t>
      </w:r>
    </w:p>
    <w:p>
      <w:pPr>
        <w:pStyle w:val="ListBullet"/>
        <w:spacing w:line="240" w:lineRule="auto"/>
        <w:ind w:left="720"/>
      </w:pPr>
      <w:r>
        <w:rPr>
          <w:lang w:val="en_US" w:bidi="en_US"/>
        </w:rPr>
      </w:r>
      <w:r>
        <w:rPr>
          <w:lang w:val="en_US" w:bidi="en_US"/>
        </w:rPr>
        <w:t>If the one who does the healing needs to be made explicit, the implied subject is God or I (Jesus). For example:</w:t>
      </w:r>
      <w:r>
        <w:rPr>
          <w:lang w:val="en_US" w:bidi="en_US"/>
        </w:rPr>
        <w:t>God</w:t>
      </w:r>
      <w:r>
        <w:rPr>
          <w:lang w:val="en_US" w:bidi="en_US"/>
        </w:rPr>
        <w:t xml:space="preserve"> heals you from your sickness</w:t>
      </w:r>
      <w:r>
        <w:rPr>
          <w:lang w:val="en_US" w:bidi="en_US"/>
        </w:rPr>
        <w:t>I</w:t>
      </w:r>
      <w:r>
        <w:rPr>
          <w:lang w:val="en_US" w:bidi="en_US"/>
        </w:rPr>
        <w:t xml:space="preserve"> free you from your disease</w:t>
      </w:r>
    </w:p>
    <w:p>
      <w:pPr/>
      <w:r>
        <w:rPr>
          <w:lang w:val="en_US" w:bidi="en_US"/>
        </w:rPr>
      </w:r>
      <w:r>
        <w:rPr>
          <w:lang w:val="en_US" w:bidi="en_US"/>
        </w:rPr>
        <w:t>Translate this in a way that is most natural in your language.</w:t>
      </w:r>
      <w:r>
        <w:rPr>
          <w:lang w:val="en_US" w:bidi="en_US"/>
        </w:rPr>
      </w:r>
      <w:r>
        <w:rPr>
          <w:lang w:val="en_US" w:bidi="en_US"/>
        </w:rPr>
      </w:r>
    </w:p>
    <w:p>
      <w:pPr/>
      <w:r>
        <w:rPr>
          <w:lang w:val="en_US" w:bidi="en_US"/>
        </w:rPr>
      </w:r>
    </w:p>
    <w:p>
      <w:pPr>
        <w:pStyle w:val="Heading2"/>
      </w:pPr>
      <w:r>
        <w:rPr>
          <w:lang w:val="en_US" w:bidi="en_US"/>
        </w:rPr>
        <w:t>Luke 13:13</w:t>
      </w:r>
      <w:r>
        <w:rPr>
          <w:lang w:val="en_US" w:bidi="en_US"/>
        </w:rPr>
      </w:r>
    </w:p>
    <w:p>
      <w:pPr>
        <w:pStyle w:val="Heading4"/>
      </w:pPr>
      <w:r>
        <w:rPr>
          <w:lang w:val="en_US" w:bidi="en_US"/>
        </w:rPr>
        <w:t>Section 13:10–17: Jesus healed a crippled woman on the Sabbath</w:t>
      </w:r>
    </w:p>
    <w:p>
      <w:pPr/>
      <w:r>
        <w:rPr>
          <w:lang w:val="en_US" w:bidi="en_US"/>
        </w:rPr>
      </w:r>
      <w:r>
        <w:rPr>
          <w:lang w:val="en_US" w:bidi="en_US"/>
        </w:rPr>
        <w:t>In this section Jesus healed a woman whom an evil spirit had caused to be unable to stand straight. This story occurred on a Sabbath day sometime during Jesus’ ministry. It did not necessarily occur after the previous section. One of its possible connections with the previous section is that Jesus called people in both sections “hypocrites.”</w:t>
      </w:r>
    </w:p>
    <w:p>
      <w:pPr/>
      <w:r>
        <w:rPr>
          <w:lang w:val="en_US" w:bidi="en_US"/>
        </w:rPr>
      </w:r>
      <w:r>
        <w:rPr>
          <w:lang w:val="en_US" w:bidi="en_US"/>
        </w:rPr>
        <w:t>Another possible heading for this section is:</w:t>
      </w:r>
    </w:p>
    <w:p>
      <w:pPr/>
      <w:r>
        <w:rPr>
          <w:lang w:val="en_US" w:bidi="en_US"/>
        </w:rPr>
      </w:r>
      <w:r>
        <w:rPr>
          <w:lang w:val="en_US" w:bidi="en_US"/>
        </w:rPr>
        <w:t>The Healing of a Woman with a Bent/Crooked Back</w:t>
      </w:r>
    </w:p>
    <w:p>
      <w:pPr/>
      <w:r>
        <w:rPr>
          <w:lang w:val="en_US" w:bidi="en_US"/>
        </w:rPr>
      </w:r>
      <w:r>
        <w:rPr>
          <w:lang w:val="en_US" w:bidi="en_US"/>
        </w:rPr>
        <w:t>This story occurs only in Luke.</w:t>
      </w:r>
    </w:p>
    <w:p>
      <w:pPr>
        <w:pStyle w:val="Heading5"/>
      </w:pPr>
      <w:r>
        <w:rPr>
          <w:lang w:val="en_US" w:bidi="en_US"/>
        </w:rPr>
        <w:t>13:13a</w:t>
      </w:r>
    </w:p>
    <w:p>
      <w:pPr/>
      <w:r>
        <w:rPr>
          <w:lang w:val="en_US" w:bidi="en_US"/>
        </w:rPr>
      </w:r>
      <w:r>
        <w:rPr>
          <w:b/>
          <w:lang w:val="en_US" w:bidi="en_US"/>
        </w:rPr>
        <w:t>Then He placed His hands on her,</w:t>
      </w:r>
    </w:p>
    <w:p>
      <w:pPr>
        <w:pStyle w:val="ListBullet"/>
        <w:spacing w:line="240" w:lineRule="auto"/>
        <w:ind w:left="720"/>
      </w:pPr>
      <w:r>
        <w:rPr>
          <w:lang w:val="en_US" w:bidi="en_US"/>
        </w:rPr>
      </w:r>
      <w:r>
        <w:rPr>
          <w:lang w:val="en_US" w:bidi="en_US"/>
        </w:rPr>
        <w:t>Then Jesus laid/placed his hands on the woman.</w:t>
      </w:r>
    </w:p>
    <w:p>
      <w:pPr>
        <w:pStyle w:val="ListBullet"/>
        <w:spacing w:line="240" w:lineRule="auto"/>
        <w:ind w:left="720"/>
      </w:pPr>
      <w:r>
        <w:rPr>
          <w:lang w:val="en_US" w:bidi="en_US"/>
        </w:rPr>
      </w:r>
      <w:r>
        <w:rPr>
          <w:lang w:val="en_US" w:bidi="en_US"/>
        </w:rPr>
        <w:t xml:space="preserve">Jesus touched the woman </w:t>
      </w:r>
      <w:r>
        <w:rPr>
          <w:lang w:val="en_US" w:bidi="en_US"/>
        </w:rPr>
        <w:t>on her back</w:t>
      </w:r>
      <w:r>
        <w:rPr>
          <w:lang w:val="en_US" w:bidi="en_US"/>
        </w:rPr>
        <w:t>,</w:t>
      </w:r>
    </w:p>
    <w:p>
      <w:pPr/>
      <w:r>
        <w:rPr>
          <w:lang w:val="en_US" w:bidi="en_US"/>
        </w:rPr>
      </w:r>
      <w:r>
        <w:rPr>
          <w:b/>
          <w:lang w:val="en_US" w:bidi="en_US"/>
        </w:rPr>
        <w:t>Then:</w:t>
      </w:r>
      <w:r>
        <w:rPr>
          <w:lang w:val="en_US" w:bidi="en_US"/>
        </w:rPr>
        <w:t xml:space="preserve"> This verse begins with a Greek conjunction that many English versions translate as “and.” The BSB translates as </w:t>
      </w:r>
      <w:r>
        <w:rPr>
          <w:i/>
          <w:lang w:val="en_US" w:bidi="en_US"/>
        </w:rPr>
        <w:t>Then</w:t>
      </w:r>
      <w:r>
        <w:rPr>
          <w:lang w:val="en_US" w:bidi="en_US"/>
        </w:rPr>
        <w:t xml:space="preserve"> to show that it introduces something else that Jesus did. He did this either at the same time as speaking to the woman (13:12b) or immediately afterwards. Some English versions, such as the GNT, do not translate this word.</w:t>
      </w:r>
    </w:p>
    <w:p>
      <w:pPr/>
      <w:r>
        <w:rPr>
          <w:lang w:val="en_US" w:bidi="en_US"/>
        </w:rPr>
      </w:r>
      <w:r>
        <w:rPr>
          <w:b/>
          <w:lang w:val="en_US" w:bidi="en_US"/>
        </w:rPr>
        <w:t>He placed His hands on her:</w:t>
      </w:r>
      <w:r>
        <w:rPr>
          <w:lang w:val="en_US" w:bidi="en_US"/>
        </w:rPr>
        <w:t xml:space="preserve"> The clause </w:t>
      </w:r>
      <w:r>
        <w:rPr>
          <w:i/>
          <w:lang w:val="en_US" w:bidi="en_US"/>
        </w:rPr>
        <w:t>He placed His hands on her</w:t>
      </w:r>
      <w:r>
        <w:rPr>
          <w:lang w:val="en_US" w:bidi="en_US"/>
        </w:rPr>
        <w:t xml:space="preserve"> means “Jesus touched the woman.” He touched her in order to heal her. Most likely he touched her back, which was the part of her body that the sickness affected.</w:t>
      </w:r>
    </w:p>
    <w:p>
      <w:pPr/>
      <w:r>
        <w:rPr>
          <w:lang w:val="en_US" w:bidi="en_US"/>
        </w:rPr>
      </w:r>
      <w:r>
        <w:rPr>
          <w:lang w:val="en_US" w:bidi="en_US"/>
        </w:rPr>
        <w:t>In many languages, expressions such as “touch a woman” or “put hands on a woman” have sexual implications. Be very careful to translate this clause in a way that does not imply this wrong meaning.</w:t>
      </w:r>
    </w:p>
    <w:p>
      <w:pPr>
        <w:pStyle w:val="Heading5"/>
      </w:pPr>
      <w:r>
        <w:rPr>
          <w:lang w:val="en_US" w:bidi="en_US"/>
        </w:rPr>
        <w:t>13:13b</w:t>
      </w:r>
    </w:p>
    <w:p>
      <w:pPr/>
      <w:r>
        <w:rPr>
          <w:lang w:val="en_US" w:bidi="en_US"/>
        </w:rPr>
      </w:r>
      <w:r>
        <w:rPr>
          <w:b/>
          <w:lang w:val="en_US" w:bidi="en_US"/>
        </w:rPr>
        <w:t>and immediately she straightened up and began to glorify God.</w:t>
      </w:r>
    </w:p>
    <w:p>
      <w:pPr>
        <w:pStyle w:val="ListBullet"/>
        <w:spacing w:line="240" w:lineRule="auto"/>
        <w:ind w:left="720"/>
      </w:pPr>
      <w:r>
        <w:rPr>
          <w:lang w:val="en_US" w:bidi="en_US"/>
        </w:rPr>
      </w:r>
      <w:r>
        <w:rPr>
          <w:lang w:val="en_US" w:bidi="en_US"/>
        </w:rPr>
        <w:t>Right then she stood up straight and began praising God.</w:t>
      </w:r>
    </w:p>
    <w:p>
      <w:pPr>
        <w:pStyle w:val="ListBullet"/>
        <w:spacing w:line="240" w:lineRule="auto"/>
        <w:ind w:left="720"/>
      </w:pPr>
      <w:r>
        <w:rPr>
          <w:lang w:val="en_US" w:bidi="en_US"/>
        </w:rPr>
      </w:r>
      <w:r>
        <w:rPr>
          <w:lang w:val="en_US" w:bidi="en_US"/>
        </w:rPr>
        <w:t>Immediately, she was able to stand erect/upright, and she said, “God is so good! God does wonderful things!”</w:t>
      </w:r>
    </w:p>
    <w:p>
      <w:pPr>
        <w:pStyle w:val="ListBullet"/>
        <w:spacing w:line="240" w:lineRule="auto"/>
        <w:ind w:left="720"/>
      </w:pPr>
      <w:r>
        <w:rPr>
          <w:lang w:val="en_US" w:bidi="en_US"/>
        </w:rPr>
      </w:r>
      <w:r>
        <w:rPr>
          <w:lang w:val="en_US" w:bidi="en_US"/>
        </w:rPr>
        <w:t>and her back/body became straight immediately, and she began to say how good/wonderful God was.</w:t>
      </w:r>
    </w:p>
    <w:p>
      <w:pPr/>
      <w:r>
        <w:rPr>
          <w:lang w:val="en_US" w:bidi="en_US"/>
        </w:rPr>
      </w:r>
      <w:r>
        <w:rPr>
          <w:b/>
          <w:lang w:val="en_US" w:bidi="en_US"/>
        </w:rPr>
        <w:t>she straightened up:</w:t>
      </w:r>
      <w:r>
        <w:rPr>
          <w:lang w:val="en_US" w:bidi="en_US"/>
        </w:rPr>
        <w:t xml:space="preserve"> The clause </w:t>
      </w:r>
      <w:r>
        <w:rPr>
          <w:i/>
          <w:lang w:val="en_US" w:bidi="en_US"/>
        </w:rPr>
        <w:t>she straightened up</w:t>
      </w:r>
      <w:r>
        <w:rPr>
          <w:lang w:val="en_US" w:bidi="en_US"/>
        </w:rPr>
        <w:t xml:space="preserve"> means that the woman straightened her back and stood up straight. For example:</w:t>
      </w:r>
    </w:p>
    <w:p>
      <w:pPr/>
      <w:r>
        <w:rPr>
          <w:lang w:val="en_US" w:bidi="en_US"/>
        </w:rPr>
      </w:r>
      <w:r>
        <w:rPr>
          <w:lang w:val="en_US" w:bidi="en_US"/>
        </w:rPr>
        <w:t>she stood up straight (CEV)</w:t>
      </w:r>
    </w:p>
    <w:p>
      <w:pPr/>
      <w:r>
        <w:rPr>
          <w:lang w:val="en_US" w:bidi="en_US"/>
        </w:rPr>
      </w:r>
      <w:r>
        <w:rPr>
          <w:b/>
          <w:lang w:val="en_US" w:bidi="en_US"/>
        </w:rPr>
        <w:t>and began to glorify God:</w:t>
      </w:r>
      <w:r>
        <w:rPr>
          <w:lang w:val="en_US" w:bidi="en_US"/>
        </w:rPr>
        <w:t xml:space="preserve"> The form of the Greek verb that the BSB translates as </w:t>
      </w:r>
      <w:r>
        <w:rPr>
          <w:i/>
          <w:lang w:val="en_US" w:bidi="en_US"/>
        </w:rPr>
        <w:t>began to glorify</w:t>
      </w:r>
      <w:r>
        <w:rPr>
          <w:lang w:val="en_US" w:bidi="en_US"/>
        </w:rPr>
        <w:t xml:space="preserve"> implies that the action continued. The woman began to glorify God and continued glorifying him for some time. For example:</w:t>
      </w:r>
    </w:p>
    <w:p>
      <w:pPr/>
      <w:r>
        <w:rPr>
          <w:lang w:val="en_US" w:bidi="en_US"/>
        </w:rPr>
      </w:r>
      <w:r>
        <w:rPr>
          <w:lang w:val="en_US" w:bidi="en_US"/>
        </w:rPr>
        <w:t>and began praising God (NRSV)</w:t>
      </w:r>
    </w:p>
    <w:p>
      <w:pPr/>
      <w:r>
        <w:rPr>
          <w:lang w:val="en_US" w:bidi="en_US"/>
        </w:rPr>
      </w:r>
      <w:r>
        <w:rPr>
          <w:lang w:val="en_US" w:bidi="en_US"/>
        </w:rPr>
        <w:t xml:space="preserve">The Greek word that the BSB translates literally as </w:t>
      </w:r>
      <w:r>
        <w:rPr>
          <w:i/>
          <w:lang w:val="en_US" w:bidi="en_US"/>
        </w:rPr>
        <w:t>glorify</w:t>
      </w:r>
      <w:r>
        <w:rPr>
          <w:lang w:val="en_US" w:bidi="en_US"/>
        </w:rPr>
        <w:t xml:space="preserve"> means to speak about how great or wonderful God is. If your language does not have a word like “glorify,” you may be able to express the meaning with a direct or indirect quote. For example:</w:t>
      </w:r>
    </w:p>
    <w:p>
      <w:pPr/>
      <w:r>
        <w:rPr>
          <w:lang w:val="en_US" w:bidi="en_US"/>
        </w:rPr>
      </w:r>
      <w:r>
        <w:rPr>
          <w:lang w:val="en_US" w:bidi="en_US"/>
        </w:rPr>
        <w:t>and she began to say, “God is so good!”</w:t>
      </w:r>
    </w:p>
    <w:p>
      <w:pPr/>
      <w:r>
        <w:rPr>
          <w:lang w:val="en_US" w:bidi="en_US"/>
        </w:rPr>
      </w:r>
      <w:r>
        <w:rPr>
          <w:lang w:val="en_US" w:bidi="en_US"/>
        </w:rPr>
        <w:t>and she began to say how great and wonderful God was</w:t>
      </w:r>
      <w:r>
        <w:rPr>
          <w:lang w:val="en_US" w:bidi="en_US"/>
        </w:rPr>
      </w:r>
      <w:r>
        <w:rPr>
          <w:lang w:val="en_US" w:bidi="en_US"/>
        </w:rPr>
      </w:r>
    </w:p>
    <w:p>
      <w:pPr/>
      <w:r>
        <w:rPr>
          <w:lang w:val="en_US" w:bidi="en_US"/>
        </w:rPr>
      </w:r>
    </w:p>
    <w:p>
      <w:pPr>
        <w:pStyle w:val="Heading2"/>
      </w:pPr>
      <w:r>
        <w:rPr>
          <w:lang w:val="en_US" w:bidi="en_US"/>
        </w:rPr>
        <w:t>Luke 13:14</w:t>
      </w:r>
      <w:r>
        <w:rPr>
          <w:lang w:val="en_US" w:bidi="en_US"/>
        </w:rPr>
      </w:r>
    </w:p>
    <w:p>
      <w:pPr>
        <w:pStyle w:val="Heading4"/>
      </w:pPr>
      <w:r>
        <w:rPr>
          <w:lang w:val="en_US" w:bidi="en_US"/>
        </w:rPr>
        <w:t>Section 13:10–17: Jesus healed a crippled woman on the Sabbath</w:t>
      </w:r>
    </w:p>
    <w:p>
      <w:pPr/>
      <w:r>
        <w:rPr>
          <w:lang w:val="en_US" w:bidi="en_US"/>
        </w:rPr>
      </w:r>
      <w:r>
        <w:rPr>
          <w:lang w:val="en_US" w:bidi="en_US"/>
        </w:rPr>
        <w:t>In this section Jesus healed a woman whom an evil spirit had caused to be unable to stand straight. This story occurred on a Sabbath day sometime during Jesus’ ministry. It did not necessarily occur after the previous section. One of its possible connections with the previous section is that Jesus called people in both sections “hypocrites.”</w:t>
      </w:r>
    </w:p>
    <w:p>
      <w:pPr/>
      <w:r>
        <w:rPr>
          <w:lang w:val="en_US" w:bidi="en_US"/>
        </w:rPr>
      </w:r>
      <w:r>
        <w:rPr>
          <w:lang w:val="en_US" w:bidi="en_US"/>
        </w:rPr>
        <w:t>Another possible heading for this section is:</w:t>
      </w:r>
    </w:p>
    <w:p>
      <w:pPr/>
      <w:r>
        <w:rPr>
          <w:lang w:val="en_US" w:bidi="en_US"/>
        </w:rPr>
      </w:r>
      <w:r>
        <w:rPr>
          <w:lang w:val="en_US" w:bidi="en_US"/>
        </w:rPr>
        <w:t>The Healing of a Woman with a Bent/Crooked Back</w:t>
      </w:r>
    </w:p>
    <w:p>
      <w:pPr/>
      <w:r>
        <w:rPr>
          <w:lang w:val="en_US" w:bidi="en_US"/>
        </w:rPr>
      </w:r>
      <w:r>
        <w:rPr>
          <w:lang w:val="en_US" w:bidi="en_US"/>
        </w:rPr>
        <w:t>This story occurs only in Luke.</w:t>
      </w:r>
    </w:p>
    <w:p>
      <w:pPr>
        <w:pStyle w:val="Heading5"/>
      </w:pPr>
      <w:r>
        <w:rPr>
          <w:lang w:val="en_US" w:bidi="en_US"/>
        </w:rPr>
        <w:t>13:14a</w:t>
      </w:r>
    </w:p>
    <w:p>
      <w:pPr/>
      <w:r>
        <w:rPr>
          <w:lang w:val="en_US" w:bidi="en_US"/>
        </w:rPr>
      </w:r>
      <w:r>
        <w:rPr>
          <w:b/>
          <w:lang w:val="en_US" w:bidi="en_US"/>
        </w:rPr>
        <w:t>But the synagogue leader was indignant that Jesus had healed on the Sabbath.</w:t>
      </w:r>
    </w:p>
    <w:p>
      <w:pPr>
        <w:pStyle w:val="ListBullet"/>
        <w:spacing w:line="240" w:lineRule="auto"/>
        <w:ind w:left="720"/>
      </w:pPr>
      <w:r>
        <w:rPr>
          <w:lang w:val="en_US" w:bidi="en_US"/>
        </w:rPr>
      </w:r>
      <w:r>
        <w:rPr>
          <w:lang w:val="en_US" w:bidi="en_US"/>
        </w:rPr>
        <w:t>Becoming/Feeling angry because Jesus had made someone well on the Sabbath day,</w:t>
      </w:r>
    </w:p>
    <w:p>
      <w:pPr>
        <w:pStyle w:val="ListBullet"/>
        <w:spacing w:line="240" w:lineRule="auto"/>
        <w:ind w:left="720"/>
      </w:pPr>
      <w:r>
        <w:rPr>
          <w:lang w:val="en_US" w:bidi="en_US"/>
        </w:rPr>
      </w:r>
      <w:r>
        <w:rPr>
          <w:lang w:val="en_US" w:bidi="en_US"/>
        </w:rPr>
        <w:t>The leader of the meeting house/place became angry because Jesus had healed a person on the rest day.</w:t>
      </w:r>
    </w:p>
    <w:p>
      <w:pPr/>
      <w:r>
        <w:rPr>
          <w:lang w:val="en_US" w:bidi="en_US"/>
        </w:rPr>
      </w:r>
      <w:r>
        <w:rPr>
          <w:b/>
          <w:lang w:val="en_US" w:bidi="en_US"/>
        </w:rPr>
        <w:t>But the synagogue leader was indignant that Jesus had healed on the Sabbath:</w:t>
      </w:r>
      <w:r>
        <w:rPr>
          <w:lang w:val="en_US" w:bidi="en_US"/>
        </w:rPr>
        <w:t xml:space="preserve"> The word </w:t>
      </w:r>
      <w:r>
        <w:rPr>
          <w:i/>
          <w:lang w:val="en_US" w:bidi="en_US"/>
        </w:rPr>
        <w:t>indignant</w:t>
      </w:r>
      <w:r>
        <w:rPr>
          <w:lang w:val="en_US" w:bidi="en_US"/>
        </w:rPr>
        <w:t xml:space="preserve"> means “angry.” The ruler was angry because Jesus had done something that the Jewish leaders said was wrong to do on the Sabbath day. He had healed someone. They considered healing a person to be work, and no one was allowed to work on the Sabbath. See the note on Sabbath in 13:10.</w:t>
      </w:r>
    </w:p>
    <w:p>
      <w:pPr/>
      <w:r>
        <w:rPr>
          <w:lang w:val="en_US" w:bidi="en_US"/>
        </w:rPr>
      </w:r>
      <w:r>
        <w:rPr>
          <w:b/>
          <w:lang w:val="en_US" w:bidi="en_US"/>
        </w:rPr>
        <w:t>the synagogue leader:</w:t>
      </w:r>
      <w:r>
        <w:rPr>
          <w:lang w:val="en_US" w:bidi="en_US"/>
        </w:rPr>
        <w:t xml:space="preserve"> Each synagogue had one or more rulers/leaders. In this context, there was probably one man who was the leader. The leaders were responsible to take care of the synagogue building and arrange the synagogue activities and services. Some other ways to translate this are:</w:t>
      </w:r>
    </w:p>
    <w:p>
      <w:pPr/>
      <w:r>
        <w:rPr>
          <w:lang w:val="en_US" w:bidi="en_US"/>
        </w:rPr>
      </w:r>
      <w:r>
        <w:rPr>
          <w:lang w:val="en_US" w:bidi="en_US"/>
        </w:rPr>
        <w:t xml:space="preserve">the </w:t>
      </w:r>
      <w:r>
        <w:rPr>
          <w:u w:val="single"/>
          <w:lang w:val="en_US" w:bidi="en_US"/>
        </w:rPr>
        <w:t>elder</w:t>
      </w:r>
      <w:r>
        <w:rPr>
          <w:lang w:val="en_US" w:bidi="en_US"/>
        </w:rPr>
        <w:t xml:space="preserve"> of the synagogue</w:t>
      </w:r>
    </w:p>
    <w:p>
      <w:pPr/>
      <w:r>
        <w:rPr>
          <w:lang w:val="en_US" w:bidi="en_US"/>
        </w:rPr>
      </w:r>
      <w:r>
        <w:rPr>
          <w:lang w:val="en_US" w:bidi="en_US"/>
        </w:rPr>
        <w:t xml:space="preserve">the man who was the </w:t>
      </w:r>
      <w:r>
        <w:rPr>
          <w:u w:val="single"/>
          <w:lang w:val="en_US" w:bidi="en_US"/>
        </w:rPr>
        <w:t>leader</w:t>
      </w:r>
      <w:r>
        <w:rPr>
          <w:lang w:val="en_US" w:bidi="en_US"/>
        </w:rPr>
        <w:t xml:space="preserve"> at the synagogue</w:t>
      </w:r>
    </w:p>
    <w:p>
      <w:pPr/>
      <w:r>
        <w:rPr>
          <w:lang w:val="en_US" w:bidi="en_US"/>
        </w:rPr>
      </w:r>
      <w:r>
        <w:rPr>
          <w:lang w:val="en_US" w:bidi="en_US"/>
        </w:rPr>
        <w:t>the person who directed the business affairs of the synagogue</w:t>
      </w:r>
    </w:p>
    <w:p>
      <w:pPr/>
      <w:r>
        <w:rPr>
          <w:lang w:val="en_US" w:bidi="en_US"/>
        </w:rPr>
      </w:r>
      <w:r>
        <w:rPr>
          <w:lang w:val="en_US" w:bidi="en_US"/>
        </w:rPr>
        <w:t>If you use footnotes for background information, you may want to use one here. For example:</w:t>
      </w:r>
    </w:p>
    <w:p>
      <w:pPr/>
      <w:r>
        <w:rPr>
          <w:lang w:val="en_US" w:bidi="en_US"/>
        </w:rPr>
      </w:r>
      <w:r>
        <w:rPr>
          <w:lang w:val="en_US" w:bidi="en_US"/>
        </w:rPr>
        <w:t>Each synagogue had one or more leaders. These men were not priests or rabbis. They were responsible for taking care of the synagogue building and for arranging the worship services and other activities at the synagogue.</w:t>
      </w:r>
    </w:p>
    <w:p>
      <w:pPr/>
      <w:r>
        <w:rPr>
          <w:lang w:val="en_US" w:bidi="en_US"/>
        </w:rPr>
      </w:r>
      <w:r>
        <w:rPr>
          <w:lang w:val="en_US" w:bidi="en_US"/>
        </w:rPr>
        <w:t>See how you translated this word in 8:41a.</w:t>
      </w:r>
    </w:p>
    <w:p>
      <w:pPr>
        <w:pStyle w:val="Heading6"/>
      </w:pPr>
      <w:r>
        <w:rPr>
          <w:b/>
          <w:lang w:val="en_US" w:bidi="en_US"/>
        </w:rPr>
        <w:t>General Comment on 13:14a–b</w:t>
      </w:r>
    </w:p>
    <w:p>
      <w:pPr/>
      <w:r>
        <w:rPr>
          <w:lang w:val="en_US" w:bidi="en_US"/>
        </w:rPr>
      </w:r>
      <w:r>
        <w:rPr>
          <w:lang w:val="en_US" w:bidi="en_US"/>
        </w:rPr>
        <w:t>In some languages it may be more natural to mention the synagogue leader in the first part of the verse. For example:</w:t>
      </w:r>
    </w:p>
    <w:p>
      <w:pPr/>
      <w:r>
        <w:rPr>
          <w:lang w:val="en_US" w:bidi="en_US"/>
        </w:rPr>
      </w:r>
      <w:r>
        <w:rPr>
          <w:lang w:val="en_US" w:bidi="en_US"/>
        </w:rPr>
        <w:t>The synagogue leader was angry because Jesus had healed someone on the Sabbath. So he said to the people…</w:t>
      </w:r>
    </w:p>
    <w:p>
      <w:pPr>
        <w:pStyle w:val="Heading5"/>
      </w:pPr>
      <w:r>
        <w:rPr>
          <w:lang w:val="en_US" w:bidi="en_US"/>
        </w:rPr>
        <w:t>13:14b</w:t>
      </w:r>
    </w:p>
    <w:p>
      <w:pPr/>
      <w:r>
        <w:rPr>
          <w:lang w:val="en_US" w:bidi="en_US"/>
        </w:rPr>
      </w:r>
      <w:r>
        <w:rPr>
          <w:b/>
          <w:lang w:val="en_US" w:bidi="en_US"/>
        </w:rPr>
        <w:t>“There are six days for work,”</w:t>
      </w:r>
    </w:p>
    <w:p>
      <w:pPr>
        <w:pStyle w:val="ListBullet"/>
        <w:spacing w:line="240" w:lineRule="auto"/>
        <w:ind w:left="720"/>
      </w:pPr>
      <w:r>
        <w:rPr>
          <w:lang w:val="en_US" w:bidi="en_US"/>
        </w:rPr>
      </w:r>
      <w:r>
        <w:rPr>
          <w:lang w:val="en_US" w:bidi="en_US"/>
        </w:rPr>
        <w:t xml:space="preserve">“There are six days </w:t>
      </w:r>
      <w:r>
        <w:rPr>
          <w:lang w:val="en_US" w:bidi="en_US"/>
        </w:rPr>
        <w:t>on which our</w:t>
      </w:r>
      <w:r>
        <w:rPr>
          <w:vertAlign w:val="superscript"/>
          <w:lang w:val="en_US" w:bidi="en_US"/>
        </w:rPr>
        <w:t>(incl)</w:t>
      </w:r>
      <w:r>
        <w:rPr>
          <w:lang w:val="en_US" w:bidi="en_US"/>
        </w:rPr>
        <w:t xml:space="preserve"> </w:t>
      </w:r>
      <w:r>
        <w:rPr>
          <w:lang w:val="en_US" w:bidi="en_US"/>
        </w:rPr>
        <w:t>law allows people</w:t>
      </w:r>
      <w:r>
        <w:rPr>
          <w:lang w:val="en_US" w:bidi="en_US"/>
        </w:rPr>
        <w:t xml:space="preserve"> to work.</w:t>
      </w:r>
    </w:p>
    <w:p>
      <w:pPr>
        <w:pStyle w:val="ListBullet"/>
        <w:spacing w:line="240" w:lineRule="auto"/>
        <w:ind w:left="720"/>
      </w:pPr>
      <w:r>
        <w:rPr>
          <w:lang w:val="en_US" w:bidi="en_US"/>
        </w:rPr>
      </w:r>
      <w:r>
        <w:rPr>
          <w:lang w:val="en_US" w:bidi="en_US"/>
        </w:rPr>
        <w:t xml:space="preserve">“There are </w:t>
      </w:r>
      <w:r>
        <w:rPr>
          <w:lang w:val="en_US" w:bidi="en_US"/>
        </w:rPr>
        <w:t>only</w:t>
      </w:r>
      <w:r>
        <w:rPr>
          <w:lang w:val="en_US" w:bidi="en_US"/>
        </w:rPr>
        <w:t xml:space="preserve"> six days </w:t>
      </w:r>
      <w:r>
        <w:rPr>
          <w:lang w:val="en_US" w:bidi="en_US"/>
        </w:rPr>
        <w:t>each week</w:t>
      </w:r>
      <w:r>
        <w:rPr>
          <w:lang w:val="en_US" w:bidi="en_US"/>
        </w:rPr>
        <w:t xml:space="preserve"> when we</w:t>
      </w:r>
      <w:r>
        <w:rPr>
          <w:vertAlign w:val="superscript"/>
          <w:lang w:val="en_US" w:bidi="en_US"/>
        </w:rPr>
        <w:t>(incl)</w:t>
      </w:r>
      <w:r>
        <w:rPr>
          <w:lang w:val="en_US" w:bidi="en_US"/>
        </w:rPr>
        <w:t xml:space="preserve"> ought to work,</w:t>
      </w:r>
    </w:p>
    <w:p>
      <w:pPr>
        <w:pStyle w:val="Heading5"/>
      </w:pPr>
      <w:r>
        <w:rPr>
          <w:lang w:val="en_US" w:bidi="en_US"/>
        </w:rPr>
        <w:t>13:14c</w:t>
      </w:r>
    </w:p>
    <w:p>
      <w:pPr/>
      <w:r>
        <w:rPr>
          <w:lang w:val="en_US" w:bidi="en_US"/>
        </w:rPr>
      </w:r>
      <w:r>
        <w:rPr>
          <w:b/>
          <w:lang w:val="en_US" w:bidi="en_US"/>
        </w:rPr>
        <w:t>he told the crowd.</w:t>
      </w:r>
    </w:p>
    <w:p>
      <w:pPr>
        <w:pStyle w:val="ListBullet"/>
        <w:spacing w:line="240" w:lineRule="auto"/>
        <w:ind w:left="720"/>
      </w:pPr>
      <w:r>
        <w:rPr>
          <w:lang w:val="en_US" w:bidi="en_US"/>
        </w:rPr>
      </w:r>
      <w:r>
        <w:rPr>
          <w:lang w:val="en_US" w:bidi="en_US"/>
        </w:rPr>
        <w:t>the synagogue official/president said to the other people,</w:t>
      </w:r>
    </w:p>
    <w:p>
      <w:pPr>
        <w:pStyle w:val="ListBullet"/>
        <w:spacing w:line="240" w:lineRule="auto"/>
        <w:ind w:left="720"/>
      </w:pPr>
      <w:r>
        <w:rPr>
          <w:lang w:val="en_US" w:bidi="en_US"/>
        </w:rPr>
      </w:r>
      <w:r>
        <w:rPr>
          <w:lang w:val="en_US" w:bidi="en_US"/>
        </w:rPr>
        <w:t>So he said to the people,</w:t>
      </w:r>
    </w:p>
    <w:p>
      <w:pPr>
        <w:pStyle w:val="Heading5"/>
      </w:pPr>
      <w:r>
        <w:rPr>
          <w:lang w:val="en_US" w:bidi="en_US"/>
        </w:rPr>
        <w:t>13:14b-c</w:t>
      </w:r>
    </w:p>
    <w:p>
      <w:pPr/>
      <w:r>
        <w:rPr>
          <w:lang w:val="en_US" w:bidi="en_US"/>
        </w:rPr>
      </w:r>
      <w:r>
        <w:rPr>
          <w:b/>
          <w:lang w:val="en_US" w:bidi="en_US"/>
        </w:rPr>
        <w:t>There are six days for work:</w:t>
      </w:r>
      <w:r>
        <w:rPr>
          <w:lang w:val="en_US" w:bidi="en_US"/>
        </w:rPr>
        <w:t xml:space="preserve"> The Greek phrase that the BSB translates as </w:t>
      </w:r>
      <w:r>
        <w:rPr>
          <w:i/>
          <w:lang w:val="en_US" w:bidi="en_US"/>
        </w:rPr>
        <w:t>for work</w:t>
      </w:r>
      <w:r>
        <w:rPr>
          <w:lang w:val="en_US" w:bidi="en_US"/>
        </w:rPr>
        <w:t xml:space="preserve"> is literally “in which it is necessary to work.” In the Law of Moses, God commanded the people to do their work on six days of the week (Sunday through Friday). They were not allowed to work on Saturday. Other ways to express this meaning are:</w:t>
      </w:r>
    </w:p>
    <w:p>
      <w:pPr/>
      <w:r>
        <w:rPr>
          <w:lang w:val="en_US" w:bidi="en_US"/>
        </w:rPr>
      </w:r>
      <w:r>
        <w:rPr>
          <w:lang w:val="en_US" w:bidi="en_US"/>
        </w:rPr>
        <w:t>There are six days in which we should work. (GNT)</w:t>
      </w:r>
    </w:p>
    <w:p>
      <w:pPr/>
      <w:r>
        <w:rPr>
          <w:lang w:val="en_US" w:bidi="en_US"/>
        </w:rPr>
      </w:r>
      <w:r>
        <w:rPr>
          <w:lang w:val="en_US" w:bidi="en_US"/>
        </w:rPr>
        <w:t>The law</w:t>
      </w:r>
      <w:r>
        <w:rPr>
          <w:lang w:val="en_US" w:bidi="en_US"/>
        </w:rPr>
        <w:t xml:space="preserve"> permits us</w:t>
      </w:r>
      <w:r>
        <w:rPr>
          <w:vertAlign w:val="superscript"/>
          <w:lang w:val="en_US" w:bidi="en_US"/>
        </w:rPr>
        <w:t>(incl)</w:t>
      </w:r>
      <w:r>
        <w:rPr>
          <w:lang w:val="en_US" w:bidi="en_US"/>
        </w:rPr>
        <w:t xml:space="preserve"> to work six days out of the week.</w:t>
      </w:r>
    </w:p>
    <w:p>
      <w:pPr/>
      <w:r>
        <w:rPr>
          <w:lang w:val="en_US" w:bidi="en_US"/>
        </w:rPr>
      </w:r>
      <w:r>
        <w:rPr>
          <w:lang w:val="en_US" w:bidi="en_US"/>
        </w:rPr>
        <w:t>Each week has six days when we can work. (CEV)</w:t>
      </w:r>
    </w:p>
    <w:p>
      <w:pPr>
        <w:pStyle w:val="Heading5"/>
      </w:pPr>
      <w:r>
        <w:rPr>
          <w:lang w:val="en_US" w:bidi="en_US"/>
        </w:rPr>
        <w:t>13:14d</w:t>
      </w:r>
    </w:p>
    <w:p>
      <w:pPr/>
      <w:r>
        <w:rPr>
          <w:lang w:val="en_US" w:bidi="en_US"/>
        </w:rPr>
      </w:r>
      <w:r>
        <w:rPr>
          <w:b/>
          <w:lang w:val="en_US" w:bidi="en_US"/>
        </w:rPr>
        <w:t>“So come and be healed on those days</w:t>
      </w:r>
    </w:p>
    <w:p>
      <w:pPr>
        <w:pStyle w:val="ListBullet"/>
        <w:spacing w:line="240" w:lineRule="auto"/>
        <w:ind w:left="720"/>
      </w:pPr>
      <w:r>
        <w:rPr>
          <w:lang w:val="en_US" w:bidi="en_US"/>
        </w:rPr>
      </w:r>
      <w:r>
        <w:rPr>
          <w:lang w:val="en_US" w:bidi="en_US"/>
        </w:rPr>
        <w:t>So come</w:t>
      </w:r>
      <w:r>
        <w:rPr>
          <w:vertAlign w:val="superscript"/>
          <w:lang w:val="en_US" w:bidi="en_US"/>
        </w:rPr>
        <w:t>(plur)</w:t>
      </w:r>
      <w:r>
        <w:rPr>
          <w:lang w:val="en_US" w:bidi="en_US"/>
        </w:rPr>
        <w:t xml:space="preserve"> for </w:t>
      </w:r>
      <w:r>
        <w:rPr>
          <w:lang w:val="en_US" w:bidi="en_US"/>
        </w:rPr>
        <w:t>the work of</w:t>
      </w:r>
      <w:r>
        <w:rPr>
          <w:lang w:val="en_US" w:bidi="en_US"/>
        </w:rPr>
        <w:t xml:space="preserve"> healing on </w:t>
      </w:r>
      <w:r>
        <w:rPr>
          <w:lang w:val="en_US" w:bidi="en_US"/>
        </w:rPr>
        <w:t>one of</w:t>
      </w:r>
      <w:r>
        <w:rPr>
          <w:lang w:val="en_US" w:bidi="en_US"/>
        </w:rPr>
        <w:t xml:space="preserve"> those days.</w:t>
      </w:r>
    </w:p>
    <w:p>
      <w:pPr>
        <w:pStyle w:val="ListBullet"/>
        <w:spacing w:line="240" w:lineRule="auto"/>
        <w:ind w:left="720"/>
      </w:pPr>
      <w:r>
        <w:rPr>
          <w:lang w:val="en_US" w:bidi="en_US"/>
        </w:rPr>
      </w:r>
      <w:r>
        <w:rPr>
          <w:lang w:val="en_US" w:bidi="en_US"/>
        </w:rPr>
        <w:t>so it is on those days that you</w:t>
      </w:r>
      <w:r>
        <w:rPr>
          <w:vertAlign w:val="superscript"/>
          <w:lang w:val="en_US" w:bidi="en_US"/>
        </w:rPr>
        <w:t>(plur)</w:t>
      </w:r>
      <w:r>
        <w:rPr>
          <w:lang w:val="en_US" w:bidi="en_US"/>
        </w:rPr>
        <w:t xml:space="preserve"> ought to come and ask Jesus/God to heal you,</w:t>
      </w:r>
    </w:p>
    <w:p>
      <w:pPr/>
      <w:r>
        <w:rPr>
          <w:lang w:val="en_US" w:bidi="en_US"/>
        </w:rPr>
      </w:r>
      <w:r>
        <w:rPr>
          <w:b/>
          <w:lang w:val="en_US" w:bidi="en_US"/>
        </w:rPr>
        <w:t>So come and be healed on those days:</w:t>
      </w:r>
      <w:r>
        <w:rPr>
          <w:lang w:val="en_US" w:bidi="en_US"/>
        </w:rPr>
        <w:t xml:space="preserve"> The synagogue ruler was saying that people who were sick should come to Jesus to be healed on one of the six work days.</w:t>
      </w:r>
    </w:p>
    <w:p>
      <w:pPr/>
      <w:r>
        <w:rPr>
          <w:lang w:val="en_US" w:bidi="en_US"/>
        </w:rPr>
      </w:r>
      <w:r>
        <w:rPr>
          <w:b/>
          <w:lang w:val="en_US" w:bidi="en_US"/>
        </w:rPr>
        <w:t>be healed:</w:t>
      </w:r>
      <w:r>
        <w:rPr>
          <w:lang w:val="en_US" w:bidi="en_US"/>
        </w:rPr>
        <w:t xml:space="preserve"> This is a passive verb. In some languages it may be necessary to use an active verb. For example:</w:t>
      </w:r>
    </w:p>
    <w:p>
      <w:pPr/>
      <w:r>
        <w:rPr>
          <w:lang w:val="en_US" w:bidi="en_US"/>
        </w:rPr>
      </w:r>
      <w:r>
        <w:rPr>
          <w:lang w:val="en_US" w:bidi="en_US"/>
        </w:rPr>
        <w:t>come and receive healing</w:t>
      </w:r>
    </w:p>
    <w:p>
      <w:pPr/>
      <w:r>
        <w:rPr>
          <w:lang w:val="en_US" w:bidi="en_US"/>
        </w:rPr>
      </w:r>
      <w:r>
        <w:rPr>
          <w:lang w:val="en_US" w:bidi="en_US"/>
        </w:rPr>
        <w:t xml:space="preserve">come and </w:t>
      </w:r>
      <w:r>
        <w:rPr>
          <w:lang w:val="en_US" w:bidi="en_US"/>
        </w:rPr>
        <w:t>ask Jesus/God</w:t>
      </w:r>
      <w:r>
        <w:rPr>
          <w:lang w:val="en_US" w:bidi="en_US"/>
        </w:rPr>
        <w:t xml:space="preserve"> to heal you</w:t>
      </w:r>
    </w:p>
    <w:p>
      <w:pPr>
        <w:pStyle w:val="Heading5"/>
      </w:pPr>
      <w:r>
        <w:rPr>
          <w:lang w:val="en_US" w:bidi="en_US"/>
        </w:rPr>
        <w:t>13:14e</w:t>
      </w:r>
    </w:p>
    <w:p>
      <w:pPr/>
      <w:r>
        <w:rPr>
          <w:lang w:val="en_US" w:bidi="en_US"/>
        </w:rPr>
      </w:r>
      <w:r>
        <w:rPr>
          <w:b/>
          <w:lang w:val="en_US" w:bidi="en_US"/>
        </w:rPr>
        <w:t>and not on the Sabbath.”</w:t>
      </w:r>
    </w:p>
    <w:p>
      <w:pPr>
        <w:pStyle w:val="ListBullet"/>
        <w:spacing w:line="240" w:lineRule="auto"/>
        <w:ind w:left="720"/>
      </w:pPr>
      <w:r>
        <w:rPr>
          <w:lang w:val="en_US" w:bidi="en_US"/>
        </w:rPr>
      </w:r>
      <w:r>
        <w:rPr>
          <w:lang w:val="en_US" w:bidi="en_US"/>
        </w:rPr>
        <w:t xml:space="preserve">Do not come </w:t>
      </w:r>
      <w:r>
        <w:rPr>
          <w:lang w:val="en_US" w:bidi="en_US"/>
        </w:rPr>
        <w:t>to be healed</w:t>
      </w:r>
      <w:r>
        <w:rPr>
          <w:lang w:val="en_US" w:bidi="en_US"/>
        </w:rPr>
        <w:t xml:space="preserve"> on the Sabbath day </w:t>
      </w:r>
      <w:r>
        <w:rPr>
          <w:lang w:val="en_US" w:bidi="en_US"/>
        </w:rPr>
        <w:t>when people must not work</w:t>
      </w:r>
      <w:r>
        <w:rPr>
          <w:lang w:val="en_US" w:bidi="en_US"/>
        </w:rPr>
        <w:t>.”</w:t>
      </w:r>
    </w:p>
    <w:p>
      <w:pPr>
        <w:pStyle w:val="ListBullet"/>
        <w:spacing w:line="240" w:lineRule="auto"/>
        <w:ind w:left="720"/>
      </w:pPr>
      <w:r>
        <w:rPr>
          <w:lang w:val="en_US" w:bidi="en_US"/>
        </w:rPr>
      </w:r>
      <w:r>
        <w:rPr>
          <w:lang w:val="en_US" w:bidi="en_US"/>
        </w:rPr>
        <w:t>not on the rest day.”</w:t>
      </w:r>
    </w:p>
    <w:p>
      <w:pPr/>
      <w:r>
        <w:rPr>
          <w:lang w:val="en_US" w:bidi="en_US"/>
        </w:rPr>
      </w:r>
      <w:r>
        <w:rPr>
          <w:b/>
          <w:lang w:val="en_US" w:bidi="en_US"/>
        </w:rPr>
        <w:t>and not on the Sabbath:</w:t>
      </w:r>
      <w:r>
        <w:rPr>
          <w:lang w:val="en_US" w:bidi="en_US"/>
        </w:rPr>
        <w:t xml:space="preserve"> The phrase </w:t>
      </w:r>
      <w:r>
        <w:rPr>
          <w:i/>
          <w:lang w:val="en_US" w:bidi="en_US"/>
        </w:rPr>
        <w:t>not on the Sabbath</w:t>
      </w:r>
      <w:r>
        <w:rPr>
          <w:lang w:val="en_US" w:bidi="en_US"/>
        </w:rPr>
        <w:t xml:space="preserve"> is an ellipsis. It contains implied information:</w:t>
      </w:r>
    </w:p>
    <w:p>
      <w:pPr/>
      <w:r>
        <w:rPr>
          <w:lang w:val="en_US" w:bidi="en_US"/>
        </w:rPr>
      </w:r>
      <w:r>
        <w:rPr>
          <w:lang w:val="en_US" w:bidi="en_US"/>
        </w:rPr>
        <w:t>do</w:t>
      </w:r>
      <w:r>
        <w:rPr>
          <w:lang w:val="en_US" w:bidi="en_US"/>
        </w:rPr>
        <w:t xml:space="preserve"> not </w:t>
      </w:r>
      <w:r>
        <w:rPr>
          <w:lang w:val="en_US" w:bidi="en_US"/>
        </w:rPr>
        <w:t>come to Jesus to be healed</w:t>
      </w:r>
      <w:r>
        <w:rPr>
          <w:lang w:val="en_US" w:bidi="en_US"/>
        </w:rPr>
        <w:t xml:space="preserve"> on the Sabbath day</w:t>
      </w:r>
    </w:p>
    <w:p>
      <w:pPr/>
      <w:r>
        <w:rPr>
          <w:lang w:val="en_US" w:bidi="en_US"/>
        </w:rPr>
      </w:r>
      <w:r>
        <w:rPr>
          <w:lang w:val="en_US" w:bidi="en_US"/>
        </w:rPr>
        <w:t>The ruler was implying that healing people on the Sabbath was work, and therefore it was wrong. In some languages it may be necessary to make some of this implicit:</w:t>
      </w:r>
    </w:p>
    <w:p>
      <w:pPr/>
      <w:r>
        <w:rPr>
          <w:lang w:val="en_US" w:bidi="en_US"/>
        </w:rPr>
      </w:r>
      <w:r>
        <w:rPr>
          <w:lang w:val="en_US" w:bidi="en_US"/>
        </w:rPr>
        <w:t>it is wrong to come to be healed on the Sabbath, the day of rest</w:t>
      </w:r>
      <w:r>
        <w:rPr>
          <w:lang w:val="en_US" w:bidi="en_US"/>
        </w:rPr>
      </w:r>
      <w:r>
        <w:rPr>
          <w:lang w:val="en_US" w:bidi="en_US"/>
        </w:rPr>
      </w:r>
    </w:p>
    <w:p>
      <w:pPr/>
      <w:r>
        <w:rPr>
          <w:lang w:val="en_US" w:bidi="en_US"/>
        </w:rPr>
      </w:r>
    </w:p>
    <w:p>
      <w:pPr>
        <w:pStyle w:val="Heading2"/>
      </w:pPr>
      <w:r>
        <w:rPr>
          <w:lang w:val="en_US" w:bidi="en_US"/>
        </w:rPr>
        <w:t>Luke 13:15</w:t>
      </w:r>
      <w:r>
        <w:rPr>
          <w:lang w:val="en_US" w:bidi="en_US"/>
        </w:rPr>
      </w:r>
    </w:p>
    <w:p>
      <w:pPr>
        <w:pStyle w:val="Heading4"/>
      </w:pPr>
      <w:r>
        <w:rPr>
          <w:lang w:val="en_US" w:bidi="en_US"/>
        </w:rPr>
        <w:t>Section 13:10–17: Jesus healed a crippled woman on the Sabbath</w:t>
      </w:r>
    </w:p>
    <w:p>
      <w:pPr/>
      <w:r>
        <w:rPr>
          <w:lang w:val="en_US" w:bidi="en_US"/>
        </w:rPr>
      </w:r>
      <w:r>
        <w:rPr>
          <w:lang w:val="en_US" w:bidi="en_US"/>
        </w:rPr>
        <w:t>In this section Jesus healed a woman whom an evil spirit had caused to be unable to stand straight. This story occurred on a Sabbath day sometime during Jesus’ ministry. It did not necessarily occur after the previous section. One of its possible connections with the previous section is that Jesus called people in both sections “hypocrites.”</w:t>
      </w:r>
    </w:p>
    <w:p>
      <w:pPr/>
      <w:r>
        <w:rPr>
          <w:lang w:val="en_US" w:bidi="en_US"/>
        </w:rPr>
      </w:r>
      <w:r>
        <w:rPr>
          <w:lang w:val="en_US" w:bidi="en_US"/>
        </w:rPr>
        <w:t>Another possible heading for this section is:</w:t>
      </w:r>
    </w:p>
    <w:p>
      <w:pPr/>
      <w:r>
        <w:rPr>
          <w:lang w:val="en_US" w:bidi="en_US"/>
        </w:rPr>
      </w:r>
      <w:r>
        <w:rPr>
          <w:lang w:val="en_US" w:bidi="en_US"/>
        </w:rPr>
        <w:t>The Healing of a Woman with a Bent/Crooked Back</w:t>
      </w:r>
    </w:p>
    <w:p>
      <w:pPr/>
      <w:r>
        <w:rPr>
          <w:lang w:val="en_US" w:bidi="en_US"/>
        </w:rPr>
      </w:r>
      <w:r>
        <w:rPr>
          <w:lang w:val="en_US" w:bidi="en_US"/>
        </w:rPr>
        <w:t>This story occurs only in Luke.</w:t>
      </w:r>
    </w:p>
    <w:p>
      <w:pPr>
        <w:pStyle w:val="Heading5"/>
      </w:pPr>
      <w:r>
        <w:rPr>
          <w:lang w:val="en_US" w:bidi="en_US"/>
        </w:rPr>
        <w:t>13:15a</w:t>
      </w:r>
    </w:p>
    <w:p>
      <w:pPr/>
      <w:r>
        <w:rPr>
          <w:lang w:val="en_US" w:bidi="en_US"/>
        </w:rPr>
      </w:r>
      <w:r>
        <w:rPr>
          <w:b/>
          <w:lang w:val="en_US" w:bidi="en_US"/>
        </w:rPr>
        <w:t>“You hypocrites!”</w:t>
      </w:r>
    </w:p>
    <w:p>
      <w:pPr>
        <w:pStyle w:val="ListBullet"/>
        <w:spacing w:line="240" w:lineRule="auto"/>
        <w:ind w:left="720"/>
      </w:pPr>
      <w:r>
        <w:rPr>
          <w:lang w:val="en_US" w:bidi="en_US"/>
        </w:rPr>
      </w:r>
      <w:r>
        <w:rPr>
          <w:lang w:val="en_US" w:bidi="en_US"/>
        </w:rPr>
        <w:t>“You hypocrites/pretenders!”</w:t>
      </w:r>
    </w:p>
    <w:p>
      <w:pPr>
        <w:pStyle w:val="ListBullet"/>
        <w:spacing w:line="240" w:lineRule="auto"/>
        <w:ind w:left="720"/>
      </w:pPr>
      <w:r>
        <w:rPr>
          <w:lang w:val="en_US" w:bidi="en_US"/>
        </w:rPr>
      </w:r>
      <w:r>
        <w:rPr>
          <w:lang w:val="en_US" w:bidi="en_US"/>
        </w:rPr>
        <w:t>“O you people! Your words contradict what you do,”</w:t>
      </w:r>
    </w:p>
    <w:p>
      <w:pPr/>
      <w:r>
        <w:rPr>
          <w:lang w:val="en_US" w:bidi="en_US"/>
        </w:rPr>
      </w:r>
      <w:r>
        <w:rPr>
          <w:lang w:val="en_US" w:bidi="en_US"/>
        </w:rPr>
        <w:t>This verse begins with a Greek conjunction. Since it introduces a contrast between what the synagogue leader wanted and what Jesus said was right, some English versions (NASB, NLT, NRSV) translate it as “But.” Other versions (ESV, NET) translate it as “Then” to introduce what happened next. The BSB and several other versions (CEV, GNT, NIV) do not translate this conjunction. Connect 13:15a to 13:14c-e in a way that is natural in your language.</w:t>
      </w:r>
    </w:p>
    <w:p>
      <w:pPr/>
      <w:r>
        <w:rPr>
          <w:lang w:val="en_US" w:bidi="en_US"/>
        </w:rPr>
      </w:r>
      <w:r>
        <w:rPr>
          <w:b/>
          <w:lang w:val="en_US" w:bidi="en_US"/>
        </w:rPr>
        <w:t>“You hypocrites!” the Lord replied:</w:t>
      </w:r>
      <w:r>
        <w:rPr>
          <w:lang w:val="en_US" w:bidi="en_US"/>
        </w:rPr>
        <w:t xml:space="preserve"> The phrase that the BSB translates as </w:t>
      </w:r>
      <w:r>
        <w:rPr>
          <w:i/>
          <w:lang w:val="en_US" w:bidi="en_US"/>
        </w:rPr>
        <w:t>the Lord replied</w:t>
      </w:r>
      <w:r>
        <w:rPr>
          <w:lang w:val="en_US" w:bidi="en_US"/>
        </w:rPr>
        <w:t xml:space="preserve"> is literally “the Lord answered him and said.” The pronoun “him” refers here to the leader of the synagogue. But it is clear from the next phrase, “You hypocrites,” that Jesus was speaking not only to the synagogue leader. He was also speaking to any other people there who agreed with what the leader had just said. In some languages it may be necessary to make this implied information explicit. For example:</w:t>
      </w:r>
    </w:p>
    <w:p>
      <w:pPr/>
      <w:r>
        <w:rPr>
          <w:lang w:val="en_US" w:bidi="en_US"/>
        </w:rPr>
      </w:r>
      <w:r>
        <w:rPr>
          <w:lang w:val="en_US" w:bidi="en_US"/>
        </w:rPr>
        <w:t xml:space="preserve">The Lord said to the leader </w:t>
      </w:r>
      <w:r>
        <w:rPr>
          <w:lang w:val="en_US" w:bidi="en_US"/>
        </w:rPr>
        <w:t>and to those whose thoughts were similar</w:t>
      </w:r>
    </w:p>
    <w:p>
      <w:pPr>
        <w:pStyle w:val="Heading5"/>
      </w:pPr>
      <w:r>
        <w:rPr>
          <w:lang w:val="en_US" w:bidi="en_US"/>
        </w:rPr>
        <w:t>13:15b</w:t>
      </w:r>
    </w:p>
    <w:p>
      <w:pPr/>
      <w:r>
        <w:rPr>
          <w:lang w:val="en_US" w:bidi="en_US"/>
        </w:rPr>
      </w:r>
      <w:r>
        <w:rPr>
          <w:b/>
          <w:lang w:val="en_US" w:bidi="en_US"/>
        </w:rPr>
        <w:t>the Lord replied.</w:t>
      </w:r>
    </w:p>
    <w:p>
      <w:pPr>
        <w:pStyle w:val="ListBullet"/>
        <w:spacing w:line="240" w:lineRule="auto"/>
        <w:ind w:left="720"/>
      </w:pPr>
      <w:r>
        <w:rPr>
          <w:lang w:val="en_US" w:bidi="en_US"/>
        </w:rPr>
      </w:r>
      <w:r>
        <w:rPr>
          <w:lang w:val="en_US" w:bidi="en_US"/>
        </w:rPr>
        <w:t xml:space="preserve">the Lord </w:t>
      </w:r>
      <w:r>
        <w:rPr>
          <w:lang w:val="en_US" w:bidi="en_US"/>
        </w:rPr>
        <w:t>Jesus</w:t>
      </w:r>
      <w:r>
        <w:rPr>
          <w:lang w:val="en_US" w:bidi="en_US"/>
        </w:rPr>
        <w:t xml:space="preserve"> said to the leader </w:t>
      </w:r>
      <w:r>
        <w:rPr>
          <w:lang w:val="en_US" w:bidi="en_US"/>
        </w:rPr>
        <w:t>and to all those who agreed with the leader</w:t>
      </w:r>
      <w:r>
        <w:rPr>
          <w:lang w:val="en_US" w:bidi="en_US"/>
        </w:rPr>
        <w:t>,</w:t>
      </w:r>
    </w:p>
    <w:p>
      <w:pPr/>
      <w:r>
        <w:rPr>
          <w:lang w:val="en_US" w:bidi="en_US"/>
        </w:rPr>
      </w:r>
      <w:r>
        <w:rPr>
          <w:b/>
          <w:lang w:val="en_US" w:bidi="en_US"/>
        </w:rPr>
        <w:t>You hypocrites!:</w:t>
      </w:r>
      <w:r>
        <w:rPr>
          <w:lang w:val="en_US" w:bidi="en_US"/>
        </w:rPr>
        <w:t xml:space="preserve"> The Greek word that the BSB translates as </w:t>
      </w:r>
      <w:r>
        <w:rPr>
          <w:i/>
          <w:lang w:val="en_US" w:bidi="en_US"/>
        </w:rPr>
        <w:t>hypocrites</w:t>
      </w:r>
      <w:r>
        <w:rPr>
          <w:lang w:val="en_US" w:bidi="en_US"/>
        </w:rPr>
        <w:t xml:space="preserve"> refers to people whose words are inconsistent with their behavior. They may also expect other people to follow a different standard than they follow themselves. Jesus called the synagogue leader and his companions </w:t>
      </w:r>
      <w:r>
        <w:rPr>
          <w:i/>
          <w:lang w:val="en_US" w:bidi="en_US"/>
        </w:rPr>
        <w:t>hypocrites</w:t>
      </w:r>
      <w:r>
        <w:rPr>
          <w:lang w:val="en_US" w:bidi="en_US"/>
        </w:rPr>
        <w:t xml:space="preserve"> for at least two reasons:</w:t>
      </w:r>
    </w:p>
    <w:p>
      <w:pPr>
        <w:pStyle w:val="ListNumber"/>
        <w:numPr>
          <w:ilvl w:val="0"/>
          <w:numId w:val="254"/>
        </w:numPr>
        <w:spacing w:line="240" w:lineRule="auto"/>
        <w:ind w:left="720"/>
      </w:pPr>
      <w:r>
        <w:rPr>
          <w:lang w:val="en_US" w:bidi="en_US"/>
        </w:rPr>
      </w:r>
      <w:r>
        <w:rPr>
          <w:lang w:val="en_US" w:bidi="en_US"/>
        </w:rPr>
        <w:t>They scolded other people for “working” on the Sabbath by coming to get healed, but they themselves took care of their animals on the Sabbath.</w:t>
      </w:r>
    </w:p>
    <w:p>
      <w:pPr>
        <w:pStyle w:val="ListNumber"/>
        <w:spacing w:line="240" w:lineRule="auto"/>
        <w:ind w:left="720"/>
      </w:pPr>
      <w:r>
        <w:rPr>
          <w:lang w:val="en_US" w:bidi="en_US"/>
        </w:rPr>
      </w:r>
      <w:r>
        <w:rPr>
          <w:lang w:val="en_US" w:bidi="en_US"/>
        </w:rPr>
        <w:t>They talked as though they were criticizing the people and really wanted everyone to obey the law, but their real intention was to criticize Jesus.</w:t>
      </w:r>
    </w:p>
    <w:p>
      <w:pPr/>
      <w:r>
        <w:rPr>
          <w:lang w:val="en_US" w:bidi="en_US"/>
        </w:rPr>
      </w:r>
      <w:r>
        <w:rPr>
          <w:lang w:val="en_US" w:bidi="en_US"/>
        </w:rPr>
        <w:t xml:space="preserve">Some ways to translate </w:t>
      </w:r>
      <w:r>
        <w:rPr>
          <w:i/>
          <w:lang w:val="en_US" w:bidi="en_US"/>
        </w:rPr>
        <w:t>hypocrites</w:t>
      </w:r>
      <w:r>
        <w:rPr>
          <w:lang w:val="en_US" w:bidi="en_US"/>
        </w:rPr>
        <w:t xml:space="preserve"> in this context are:</w:t>
      </w:r>
    </w:p>
    <w:p>
      <w:pPr/>
      <w:r>
        <w:rPr>
          <w:lang w:val="en_US" w:bidi="en_US"/>
        </w:rPr>
      </w:r>
      <w:r>
        <w:rPr>
          <w:lang w:val="en_US" w:bidi="en_US"/>
        </w:rPr>
        <w:t>You pretenders/fakes</w:t>
      </w:r>
    </w:p>
    <w:p>
      <w:pPr/>
      <w:r>
        <w:rPr>
          <w:lang w:val="en_US" w:bidi="en_US"/>
        </w:rPr>
      </w:r>
      <w:r>
        <w:rPr>
          <w:lang w:val="en_US" w:bidi="en_US"/>
        </w:rPr>
        <w:t>You who pretend to obey God</w:t>
      </w:r>
    </w:p>
    <w:p>
      <w:pPr/>
      <w:r>
        <w:rPr>
          <w:lang w:val="en_US" w:bidi="en_US"/>
        </w:rPr>
      </w:r>
      <w:r>
        <w:rPr>
          <w:lang w:val="en_US" w:bidi="en_US"/>
        </w:rPr>
        <w:t>Your words do not fit what you do</w:t>
      </w:r>
    </w:p>
    <w:p>
      <w:pPr/>
      <w:r>
        <w:rPr>
          <w:lang w:val="en_US" w:bidi="en_US"/>
        </w:rPr>
      </w:r>
      <w:r>
        <w:rPr>
          <w:lang w:val="en_US" w:bidi="en_US"/>
        </w:rPr>
        <w:t>See the notes on “hypocrisy” or “hypocrites” in 6:42d, 12:1d, and 12:56a. In some languages, the term for “hypocrite” may be general enough to fit all these contexts. In other languages, it may be necessary to use a different term for different kinds of hypocrisy.</w:t>
      </w:r>
    </w:p>
    <w:p>
      <w:pPr>
        <w:pStyle w:val="Heading5"/>
      </w:pPr>
      <w:r>
        <w:rPr>
          <w:lang w:val="en_US" w:bidi="en_US"/>
        </w:rPr>
        <w:t>13:15c–d</w:t>
      </w:r>
    </w:p>
    <w:p>
      <w:pPr/>
      <w:r>
        <w:rPr>
          <w:lang w:val="en_US" w:bidi="en_US"/>
        </w:rPr>
      </w:r>
      <w:r>
        <w:rPr>
          <w:b/>
          <w:lang w:val="en_US" w:bidi="en_US"/>
        </w:rPr>
        <w:t>Does not each of you on the Sabbath untie his ox or donkey from the stall and lead it to water?:</w:t>
      </w:r>
      <w:r>
        <w:rPr>
          <w:lang w:val="en_US" w:bidi="en_US"/>
        </w:rPr>
        <w:t xml:space="preserve"> This is a rhetorical question. It emphasizes the obvious fact that each of the hypocrites worked on the Sabbath just as much as the people they were criticizing. They untied their animals and led them out to drink on the Sabbath, as well as on other days. Here are some possible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Is there one of you who does not untie his ox or his donkey from the manger on the Sabbath and take it out for watering? (NJB)</w:t>
      </w:r>
      <w:r>
        <w:rPr>
          <w:lang w:val="en_US" w:bidi="en_US"/>
        </w:rPr>
        <w:t xml:space="preserve">So </w:t>
      </w:r>
      <w:r>
        <w:rPr>
          <w:lang w:val="en_US" w:bidi="en_US"/>
        </w:rPr>
        <w:t>do you think</w:t>
      </w:r>
      <w:r>
        <w:rPr>
          <w:lang w:val="en_US" w:bidi="en_US"/>
        </w:rPr>
        <w:t xml:space="preserve"> you</w:t>
      </w:r>
      <w:r>
        <w:rPr>
          <w:vertAlign w:val="superscript"/>
          <w:lang w:val="en_US" w:bidi="en_US"/>
        </w:rPr>
        <w:t>(plur)</w:t>
      </w:r>
      <w:r>
        <w:rPr>
          <w:lang w:val="en_US" w:bidi="en_US"/>
        </w:rPr>
        <w:t xml:space="preserve"> are not </w:t>
      </w:r>
      <w:r>
        <w:rPr>
          <w:lang w:val="en_US" w:bidi="en_US"/>
        </w:rPr>
        <w:t>working when you</w:t>
      </w:r>
      <w:r>
        <w:rPr>
          <w:lang w:val="en_US" w:bidi="en_US"/>
        </w:rPr>
        <w:t xml:space="preserve"> untie your ox or donkey from the manger and take it out to give it water on the Sabbath?</w:t>
      </w:r>
    </w:p>
    <w:p>
      <w:pPr>
        <w:pStyle w:val="ListBullet"/>
        <w:spacing w:line="240" w:lineRule="auto"/>
        <w:ind w:left="720"/>
      </w:pPr>
      <w:r>
        <w:rPr>
          <w:lang w:val="en_US" w:bidi="en_US"/>
        </w:rPr>
      </w:r>
      <w:r>
        <w:rPr>
          <w:lang w:val="en_US" w:bidi="en_US"/>
        </w:rPr>
        <w:t>As a statement. For example:</w:t>
      </w:r>
      <w:r>
        <w:rPr>
          <w:lang w:val="en_US" w:bidi="en_US"/>
        </w:rPr>
        <w:t xml:space="preserve">Without doubt, all of you untie your ox or donkey from the stall and take it to drink water on the Sabbath day! </w:t>
      </w:r>
      <w:r>
        <w:rPr>
          <w:lang w:val="en_US" w:bidi="en_US"/>
        </w:rPr>
        <w:t>And so, you, too, are working!</w:t>
      </w:r>
    </w:p>
    <w:p>
      <w:pPr/>
      <w:r>
        <w:rPr>
          <w:lang w:val="en_US" w:bidi="en_US"/>
        </w:rPr>
      </w:r>
      <w:r>
        <w:rPr>
          <w:lang w:val="en_US" w:bidi="en_US"/>
        </w:rPr>
        <w:t>Translate this emphasis in a way that is most natural in your language.</w:t>
      </w:r>
    </w:p>
    <w:p>
      <w:pPr>
        <w:pStyle w:val="Heading5"/>
      </w:pPr>
      <w:r>
        <w:rPr>
          <w:lang w:val="en_US" w:bidi="en_US"/>
        </w:rPr>
        <w:t>13:15c</w:t>
      </w:r>
    </w:p>
    <w:p>
      <w:pPr/>
      <w:r>
        <w:rPr>
          <w:lang w:val="en_US" w:bidi="en_US"/>
        </w:rPr>
      </w:r>
      <w:r>
        <w:rPr>
          <w:b/>
          <w:lang w:val="en_US" w:bidi="en_US"/>
        </w:rPr>
        <w:t>“Does not each of you on the Sabbath untie his ox or donkey from the stall</w:t>
      </w:r>
    </w:p>
    <w:p>
      <w:pPr>
        <w:pStyle w:val="ListBullet"/>
        <w:spacing w:line="240" w:lineRule="auto"/>
        <w:ind w:left="720"/>
      </w:pPr>
      <w:r>
        <w:rPr>
          <w:lang w:val="en_US" w:bidi="en_US"/>
        </w:rPr>
      </w:r>
      <w:r>
        <w:rPr>
          <w:lang w:val="en_US" w:bidi="en_US"/>
        </w:rPr>
        <w:t>Isn’t it true that you all untie/release your cow or donkey/horse from its stall/shelter/manger every Sabbath day?</w:t>
      </w:r>
    </w:p>
    <w:p>
      <w:pPr>
        <w:pStyle w:val="ListBullet"/>
        <w:spacing w:line="240" w:lineRule="auto"/>
        <w:ind w:left="720"/>
      </w:pPr>
      <w:r>
        <w:rPr>
          <w:lang w:val="en_US" w:bidi="en_US"/>
        </w:rPr>
      </w:r>
      <w:r>
        <w:rPr>
          <w:lang w:val="en_US" w:bidi="en_US"/>
        </w:rPr>
        <w:t xml:space="preserve">Every one of you certainly unties/frees your work animals </w:t>
      </w:r>
      <w:r>
        <w:rPr>
          <w:lang w:val="en_US" w:bidi="en_US"/>
        </w:rPr>
        <w:t>daily, even</w:t>
      </w:r>
      <w:r>
        <w:rPr>
          <w:lang w:val="en_US" w:bidi="en_US"/>
        </w:rPr>
        <w:t xml:space="preserve"> on the rest day</w:t>
      </w:r>
    </w:p>
    <w:p>
      <w:pPr/>
      <w:r>
        <w:rPr>
          <w:lang w:val="en_US" w:bidi="en_US"/>
        </w:rPr>
      </w:r>
      <w:r>
        <w:rPr>
          <w:b/>
          <w:lang w:val="en_US" w:bidi="en_US"/>
        </w:rPr>
        <w:t>his ox or donkey:</w:t>
      </w:r>
      <w:r>
        <w:rPr>
          <w:lang w:val="en_US" w:bidi="en_US"/>
        </w:rPr>
        <w:t xml:space="preserve"> The Greek word that the BSB translates as </w:t>
      </w:r>
      <w:r>
        <w:rPr>
          <w:i/>
          <w:lang w:val="en_US" w:bidi="en_US"/>
        </w:rPr>
        <w:t>ox</w:t>
      </w:r>
      <w:r>
        <w:rPr>
          <w:lang w:val="en_US" w:bidi="en_US"/>
        </w:rPr>
        <w:t xml:space="preserve"> is a general word that can refer to any animal that is like a cow. Although the English word “ox” refers specifically to a castrated bull, the Greek word is more general. In languages that do not have terms for </w:t>
      </w:r>
      <w:r>
        <w:rPr>
          <w:i/>
          <w:lang w:val="en_US" w:bidi="en_US"/>
        </w:rPr>
        <w:t>ox</w:t>
      </w:r>
      <w:r>
        <w:rPr>
          <w:lang w:val="en_US" w:bidi="en_US"/>
        </w:rPr>
        <w:t xml:space="preserve"> or </w:t>
      </w:r>
      <w:r>
        <w:rPr>
          <w:i/>
          <w:lang w:val="en_US" w:bidi="en_US"/>
        </w:rPr>
        <w:t>donkey</w:t>
      </w:r>
      <w:r>
        <w:rPr>
          <w:lang w:val="en_US" w:bidi="en_US"/>
        </w:rPr>
        <w:t>, you may:</w:t>
      </w:r>
    </w:p>
    <w:p>
      <w:pPr>
        <w:pStyle w:val="ListBullet"/>
        <w:spacing w:line="240" w:lineRule="auto"/>
        <w:ind w:left="720"/>
      </w:pPr>
      <w:r>
        <w:rPr>
          <w:lang w:val="en_US" w:bidi="en_US"/>
        </w:rPr>
      </w:r>
      <w:r>
        <w:rPr>
          <w:lang w:val="en_US" w:bidi="en_US"/>
        </w:rPr>
        <w:t>Use the names of similar animals in your culture. For example:</w:t>
      </w:r>
      <w:r>
        <w:rPr>
          <w:lang w:val="en_US" w:bidi="en_US"/>
        </w:rPr>
        <w:t>cow/buffalo or horse</w:t>
      </w:r>
    </w:p>
    <w:p>
      <w:pPr>
        <w:pStyle w:val="ListBullet"/>
        <w:spacing w:line="240" w:lineRule="auto"/>
        <w:ind w:left="720"/>
      </w:pPr>
      <w:r>
        <w:rPr>
          <w:lang w:val="en_US" w:bidi="en_US"/>
        </w:rPr>
      </w:r>
      <w:r>
        <w:rPr>
          <w:lang w:val="en_US" w:bidi="en_US"/>
        </w:rPr>
        <w:t>Use a general term. For example:</w:t>
      </w:r>
      <w:r>
        <w:rPr>
          <w:lang w:val="en_US" w:bidi="en_US"/>
        </w:rPr>
        <w:t>your work animals (NCV)</w:t>
      </w:r>
    </w:p>
    <w:p>
      <w:pPr/>
      <w:r>
        <w:rPr>
          <w:lang w:val="en_US" w:bidi="en_US"/>
        </w:rPr>
      </w:r>
      <w:r>
        <w:rPr>
          <w:b/>
          <w:lang w:val="en_US" w:bidi="en_US"/>
        </w:rPr>
        <w:t>from the stall:</w:t>
      </w:r>
      <w:r>
        <w:rPr>
          <w:lang w:val="en_US" w:bidi="en_US"/>
        </w:rPr>
        <w:t xml:space="preserve"> The Greek word that the BSB translates as </w:t>
      </w:r>
      <w:r>
        <w:rPr>
          <w:i/>
          <w:lang w:val="en_US" w:bidi="en_US"/>
        </w:rPr>
        <w:t>stall</w:t>
      </w:r>
      <w:r>
        <w:rPr>
          <w:lang w:val="en_US" w:bidi="en_US"/>
        </w:rPr>
        <w:t xml:space="preserve"> may refer specifically to a feeding trough or “manger.” It may also refer more generally to a “stall,” a section or room inside a stable where the animals were fed. There are several ways to translate this term:</w:t>
      </w:r>
    </w:p>
    <w:p>
      <w:pPr>
        <w:pStyle w:val="ListBullet"/>
        <w:spacing w:line="240" w:lineRule="auto"/>
        <w:ind w:left="720"/>
      </w:pPr>
      <w:r>
        <w:rPr>
          <w:lang w:val="en_US" w:bidi="en_US"/>
        </w:rPr>
      </w:r>
      <w:r>
        <w:rPr>
          <w:lang w:val="en_US" w:bidi="en_US"/>
        </w:rPr>
        <w:t>Specify a place, such as “manger,” “stall,” “stable,” or “animal shelter,” where the animal was tied. For example:</w:t>
      </w:r>
      <w:r>
        <w:rPr>
          <w:lang w:val="en_US" w:bidi="en_US"/>
        </w:rPr>
        <w:t>untie his ox or donkey from the manger (NJB)</w:t>
      </w:r>
    </w:p>
    <w:p>
      <w:pPr>
        <w:pStyle w:val="ListBullet"/>
        <w:spacing w:line="240" w:lineRule="auto"/>
        <w:ind w:left="720"/>
      </w:pPr>
      <w:r>
        <w:rPr>
          <w:lang w:val="en_US" w:bidi="en_US"/>
        </w:rPr>
      </w:r>
      <w:r>
        <w:rPr>
          <w:lang w:val="en_US" w:bidi="en_US"/>
        </w:rPr>
        <w:t>Leave the place implicit. For example:</w:t>
      </w:r>
      <w:r>
        <w:rPr>
          <w:lang w:val="en_US" w:bidi="en_US"/>
        </w:rPr>
        <w:t>untie your ox or donkey and lead it out to drink (CEV)</w:t>
      </w:r>
    </w:p>
    <w:p>
      <w:pPr>
        <w:pStyle w:val="Heading5"/>
      </w:pPr>
      <w:r>
        <w:rPr>
          <w:lang w:val="en_US" w:bidi="en_US"/>
        </w:rPr>
        <w:t>13:15d</w:t>
      </w:r>
    </w:p>
    <w:p>
      <w:pPr/>
      <w:r>
        <w:rPr>
          <w:lang w:val="en_US" w:bidi="en_US"/>
        </w:rPr>
      </w:r>
      <w:r>
        <w:rPr>
          <w:b/>
          <w:lang w:val="en_US" w:bidi="en_US"/>
        </w:rPr>
        <w:t>and lead it to water?</w:t>
      </w:r>
    </w:p>
    <w:p>
      <w:pPr>
        <w:pStyle w:val="ListBullet"/>
        <w:spacing w:line="240" w:lineRule="auto"/>
        <w:ind w:left="720"/>
      </w:pPr>
      <w:r>
        <w:rPr>
          <w:lang w:val="en_US" w:bidi="en_US"/>
        </w:rPr>
      </w:r>
      <w:r>
        <w:rPr>
          <w:lang w:val="en_US" w:bidi="en_US"/>
        </w:rPr>
        <w:t>Then you lead it outside so that it can have some water to drink.</w:t>
      </w:r>
    </w:p>
    <w:p>
      <w:pPr>
        <w:pStyle w:val="ListBullet"/>
        <w:spacing w:line="240" w:lineRule="auto"/>
        <w:ind w:left="720"/>
      </w:pPr>
      <w:r>
        <w:rPr>
          <w:lang w:val="en_US" w:bidi="en_US"/>
        </w:rPr>
      </w:r>
      <w:r>
        <w:rPr>
          <w:lang w:val="en_US" w:bidi="en_US"/>
        </w:rPr>
        <w:t>and leads them to the place where they drink water.</w:t>
      </w:r>
    </w:p>
    <w:p>
      <w:pPr/>
      <w:r>
        <w:rPr>
          <w:lang w:val="en_US" w:bidi="en_US"/>
        </w:rPr>
      </w:r>
      <w:r>
        <w:rPr>
          <w:b/>
          <w:lang w:val="en_US" w:bidi="en_US"/>
        </w:rPr>
        <w:t>and lead it to water:</w:t>
      </w:r>
      <w:r>
        <w:rPr>
          <w:lang w:val="en_US" w:bidi="en_US"/>
        </w:rPr>
        <w:t xml:space="preserve"> This verse part explains the reason people untied their animals every day, even on the Sabbath. They led the animals to a place where they could drink water, and then led them back to their stall. Jews normally considered this as work. But they made an exception for this on the Sabbath, because to them it was necessary.</w:t>
      </w:r>
    </w:p>
    <w:p>
      <w:pPr/>
      <w:r>
        <w:rPr>
          <w:lang w:val="en_US" w:bidi="en_US"/>
        </w:rPr>
      </w:r>
      <w:r>
        <w:rPr>
          <w:lang w:val="en_US" w:bidi="en_US"/>
        </w:rPr>
        <w:t>Languages have different ways to refer to leading an animal to a place where it can drink. For example:</w:t>
      </w:r>
    </w:p>
    <w:p>
      <w:pPr/>
      <w:r>
        <w:rPr>
          <w:lang w:val="en_US" w:bidi="en_US"/>
        </w:rPr>
      </w:r>
      <w:r>
        <w:rPr>
          <w:lang w:val="en_US" w:bidi="en_US"/>
        </w:rPr>
        <w:t>take it out for watering (NJB)</w:t>
      </w:r>
    </w:p>
    <w:p>
      <w:pPr/>
      <w:r>
        <w:rPr>
          <w:lang w:val="en_US" w:bidi="en_US"/>
        </w:rPr>
      </w:r>
      <w:r>
        <w:rPr>
          <w:lang w:val="en_US" w:bidi="en_US"/>
        </w:rPr>
        <w:t>lead them to drink water (NCV)</w:t>
      </w:r>
    </w:p>
    <w:p>
      <w:pPr/>
      <w:r>
        <w:rPr>
          <w:lang w:val="en_US" w:bidi="en_US"/>
        </w:rPr>
      </w:r>
      <w:r>
        <w:rPr>
          <w:lang w:val="en_US" w:bidi="en_US"/>
        </w:rPr>
        <w:t>go and cause it to drink</w:t>
      </w:r>
    </w:p>
    <w:p>
      <w:pPr/>
      <w:r>
        <w:rPr>
          <w:lang w:val="en_US" w:bidi="en_US"/>
        </w:rPr>
      </w:r>
      <w:r>
        <w:rPr>
          <w:lang w:val="en_US" w:bidi="en_US"/>
        </w:rPr>
        <w:t>Use an expression that is natural in your language.</w:t>
      </w:r>
    </w:p>
    <w:p>
      <w:pPr>
        <w:pStyle w:val="Heading6"/>
      </w:pPr>
      <w:r>
        <w:rPr>
          <w:b/>
          <w:lang w:val="en_US" w:bidi="en_US"/>
        </w:rPr>
        <w:t>General Comment on 13:15c–d</w:t>
      </w:r>
    </w:p>
    <w:p>
      <w:pPr/>
      <w:r>
        <w:rPr>
          <w:lang w:val="en_US" w:bidi="en_US"/>
        </w:rPr>
      </w:r>
      <w:r>
        <w:rPr>
          <w:lang w:val="en_US" w:bidi="en_US"/>
        </w:rPr>
        <w:t>In some languages it may be more natural to mention the stall in 13:15d rather than 13:15c. For example:</w:t>
      </w:r>
    </w:p>
    <w:p>
      <w:pPr/>
      <w:r>
        <w:rPr>
          <w:lang w:val="en_US" w:bidi="en_US"/>
        </w:rPr>
      </w:r>
      <w:r>
        <w:rPr>
          <w:lang w:val="en_US" w:bidi="en_US"/>
        </w:rPr>
        <w:t>Each Sabbath you all untie your ox or donkey and lead it out from its stall to give it water.</w:t>
      </w:r>
      <w:r>
        <w:rPr>
          <w:lang w:val="en_US" w:bidi="en_US"/>
        </w:rPr>
      </w:r>
      <w:r>
        <w:rPr>
          <w:lang w:val="en_US" w:bidi="en_US"/>
        </w:rPr>
      </w:r>
    </w:p>
    <w:p>
      <w:pPr/>
      <w:r>
        <w:rPr>
          <w:lang w:val="en_US" w:bidi="en_US"/>
        </w:rPr>
      </w:r>
    </w:p>
    <w:p>
      <w:pPr>
        <w:pStyle w:val="Heading2"/>
      </w:pPr>
      <w:r>
        <w:rPr>
          <w:lang w:val="en_US" w:bidi="en_US"/>
        </w:rPr>
        <w:t>Luke 13:16</w:t>
      </w:r>
      <w:r>
        <w:rPr>
          <w:lang w:val="en_US" w:bidi="en_US"/>
        </w:rPr>
      </w:r>
    </w:p>
    <w:p>
      <w:pPr>
        <w:pStyle w:val="Heading4"/>
      </w:pPr>
      <w:r>
        <w:rPr>
          <w:lang w:val="en_US" w:bidi="en_US"/>
        </w:rPr>
        <w:t>Section 13:10–17: Jesus healed a crippled woman on the Sabbath</w:t>
      </w:r>
    </w:p>
    <w:p>
      <w:pPr/>
      <w:r>
        <w:rPr>
          <w:lang w:val="en_US" w:bidi="en_US"/>
        </w:rPr>
      </w:r>
      <w:r>
        <w:rPr>
          <w:lang w:val="en_US" w:bidi="en_US"/>
        </w:rPr>
        <w:t>In this section Jesus healed a woman whom an evil spirit had caused to be unable to stand straight. This story occurred on a Sabbath day sometime during Jesus’ ministry. It did not necessarily occur after the previous section. One of its possible connections with the previous section is that Jesus called people in both sections “hypocrites.”</w:t>
      </w:r>
    </w:p>
    <w:p>
      <w:pPr/>
      <w:r>
        <w:rPr>
          <w:lang w:val="en_US" w:bidi="en_US"/>
        </w:rPr>
      </w:r>
      <w:r>
        <w:rPr>
          <w:lang w:val="en_US" w:bidi="en_US"/>
        </w:rPr>
        <w:t>Another possible heading for this section is:</w:t>
      </w:r>
    </w:p>
    <w:p>
      <w:pPr/>
      <w:r>
        <w:rPr>
          <w:lang w:val="en_US" w:bidi="en_US"/>
        </w:rPr>
      </w:r>
      <w:r>
        <w:rPr>
          <w:lang w:val="en_US" w:bidi="en_US"/>
        </w:rPr>
        <w:t>The Healing of a Woman with a Bent/Crooked Back</w:t>
      </w:r>
    </w:p>
    <w:p>
      <w:pPr/>
      <w:r>
        <w:rPr>
          <w:lang w:val="en_US" w:bidi="en_US"/>
        </w:rPr>
      </w:r>
      <w:r>
        <w:rPr>
          <w:lang w:val="en_US" w:bidi="en_US"/>
        </w:rPr>
        <w:t>This story occurs only in Luke.</w:t>
      </w:r>
    </w:p>
    <w:p>
      <w:pPr>
        <w:pStyle w:val="Heading5"/>
      </w:pPr>
      <w:r>
        <w:rPr>
          <w:lang w:val="en_US" w:bidi="en_US"/>
        </w:rPr>
        <w:t>13:16a–c</w:t>
      </w:r>
    </w:p>
    <w:p>
      <w:pPr/>
      <w:r>
        <w:rPr>
          <w:lang w:val="en_US" w:bidi="en_US"/>
        </w:rPr>
      </w:r>
      <w:r>
        <w:rPr>
          <w:b/>
          <w:lang w:val="en_US" w:bidi="en_US"/>
        </w:rPr>
        <w:t>Then should not this daughter of Abraham, whom Satan has kept bound for eighteen long years, be released from her bondage on the Sabbath day?:</w:t>
      </w:r>
      <w:r>
        <w:rPr>
          <w:lang w:val="en_US" w:bidi="en_US"/>
        </w:rPr>
        <w:t xml:space="preserve"> This is a rhetorical question. Its function is to emphasize the obvious fact that it was right for Jesus to heal the woman on the Sabbath. It was not wrong.</w:t>
      </w:r>
    </w:p>
    <w:p>
      <w:pPr/>
      <w:r>
        <w:rPr>
          <w:lang w:val="en_US" w:bidi="en_US"/>
        </w:rPr>
      </w:r>
      <w:r>
        <w:rPr>
          <w:lang w:val="en_US" w:bidi="en_US"/>
        </w:rPr>
        <w:t>In Greek, the rhetorical question does not actually start until 13:16c. The following example from starts the question in the same place as the Greek does:</w:t>
      </w:r>
    </w:p>
    <w:p>
      <w:pPr/>
      <w:r>
        <w:rPr>
          <w:lang w:val="en_US" w:bidi="en_US"/>
        </w:rPr>
      </w:r>
      <w:r>
        <w:rPr>
          <w:lang w:val="en_US" w:bidi="en_US"/>
        </w:rPr>
        <w:t>Now, here is a descendant of Abraham. Satan has kept her in this condition for 18 years. Isn’t it right to free her on the day of worship? (GW)</w:t>
      </w:r>
    </w:p>
    <w:p>
      <w:pPr/>
      <w:r>
        <w:rPr>
          <w:lang w:val="en_US" w:bidi="en_US"/>
        </w:rPr>
      </w:r>
      <w:r>
        <w:rPr>
          <w:lang w:val="en_US" w:bidi="en_US"/>
        </w:rPr>
        <w:t>Here are two ways to translate the emphasis in this verse.</w:t>
      </w:r>
    </w:p>
    <w:p>
      <w:pPr>
        <w:pStyle w:val="ListBullet"/>
        <w:spacing w:line="240" w:lineRule="auto"/>
        <w:ind w:left="720"/>
      </w:pPr>
      <w:r>
        <w:rPr>
          <w:lang w:val="en_US" w:bidi="en_US"/>
        </w:rPr>
      </w:r>
      <w:r>
        <w:rPr>
          <w:lang w:val="en_US" w:bidi="en_US"/>
        </w:rPr>
        <w:t>As a rhetorical question. For example:</w:t>
      </w:r>
      <w:r>
        <w:rPr>
          <w:lang w:val="en_US" w:bidi="en_US"/>
        </w:rPr>
        <w:t>This woman belongs to the family of Abraham, but Satan has kept her bound for eighteen years. Isn’t it right to set her free on the Sabbath? (CEV)</w:t>
      </w:r>
    </w:p>
    <w:p>
      <w:pPr>
        <w:pStyle w:val="ListBullet"/>
        <w:spacing w:line="240" w:lineRule="auto"/>
        <w:ind w:left="720"/>
      </w:pPr>
      <w:r>
        <w:rPr>
          <w:lang w:val="en_US" w:bidi="en_US"/>
        </w:rPr>
      </w:r>
      <w:r>
        <w:rPr>
          <w:lang w:val="en_US" w:bidi="en_US"/>
        </w:rPr>
        <w:t>As a statement. For example:</w:t>
      </w:r>
      <w:r>
        <w:rPr>
          <w:lang w:val="en_US" w:bidi="en_US"/>
        </w:rPr>
        <w:t>This woman that I healed, a daughter of Abraham, has been held by Satan for eighteen years. Surely it is not wrong for her to be freed from her sickness on a Sabbath day! (NCV)</w:t>
      </w:r>
    </w:p>
    <w:p>
      <w:pPr/>
      <w:r>
        <w:rPr>
          <w:lang w:val="en_US" w:bidi="en_US"/>
        </w:rPr>
      </w:r>
      <w:r>
        <w:rPr>
          <w:lang w:val="en_US" w:bidi="en_US"/>
        </w:rPr>
        <w:t>Translate this emphasis in a way that is most natural in your language.</w:t>
      </w:r>
    </w:p>
    <w:p>
      <w:pPr/>
      <w:r>
        <w:rPr>
          <w:lang w:val="en_US" w:bidi="en_US"/>
        </w:rPr>
      </w:r>
      <w:r>
        <w:rPr>
          <w:lang w:val="en_US" w:bidi="en_US"/>
        </w:rPr>
        <w:t>See the General Comment on 13:16a–c at the end of 13:16c for another way to order the verse parts.</w:t>
      </w:r>
    </w:p>
    <w:p>
      <w:pPr>
        <w:pStyle w:val="Heading5"/>
      </w:pPr>
      <w:r>
        <w:rPr>
          <w:lang w:val="en_US" w:bidi="en_US"/>
        </w:rPr>
        <w:t>13:16a</w:t>
      </w:r>
    </w:p>
    <w:p>
      <w:pPr/>
      <w:r>
        <w:rPr>
          <w:lang w:val="en_US" w:bidi="en_US"/>
        </w:rPr>
      </w:r>
      <w:r>
        <w:rPr>
          <w:b/>
          <w:lang w:val="en_US" w:bidi="en_US"/>
        </w:rPr>
        <w:t>Then should not this daughter of Abraham,</w:t>
      </w:r>
    </w:p>
    <w:p>
      <w:pPr>
        <w:pStyle w:val="ListBullet"/>
        <w:spacing w:line="240" w:lineRule="auto"/>
        <w:ind w:left="720"/>
      </w:pPr>
      <w:r>
        <w:rPr>
          <w:lang w:val="en_US" w:bidi="en_US"/>
        </w:rPr>
      </w:r>
      <w:r>
        <w:rPr>
          <w:lang w:val="en_US" w:bidi="en_US"/>
        </w:rPr>
        <w:t xml:space="preserve">And here is this woman, a </w:t>
      </w:r>
      <w:r>
        <w:rPr>
          <w:lang w:val="en_US" w:bidi="en_US"/>
        </w:rPr>
        <w:t>precious</w:t>
      </w:r>
      <w:r>
        <w:rPr>
          <w:lang w:val="en_US" w:bidi="en_US"/>
        </w:rPr>
        <w:t xml:space="preserve"> daughter of Abraham,</w:t>
      </w:r>
    </w:p>
    <w:p>
      <w:pPr>
        <w:pStyle w:val="ListBullet"/>
        <w:spacing w:line="240" w:lineRule="auto"/>
        <w:ind w:left="720"/>
      </w:pPr>
      <w:r>
        <w:rPr>
          <w:lang w:val="en_US" w:bidi="en_US"/>
        </w:rPr>
      </w:r>
      <w:r>
        <w:rPr>
          <w:lang w:val="en_US" w:bidi="en_US"/>
        </w:rPr>
        <w:t>Now consider this woman who is a descendant of Abraham.</w:t>
      </w:r>
    </w:p>
    <w:p>
      <w:pPr/>
      <w:r>
        <w:rPr>
          <w:lang w:val="en_US" w:bidi="en_US"/>
        </w:rPr>
      </w:r>
      <w:r>
        <w:rPr>
          <w:b/>
          <w:lang w:val="en_US" w:bidi="en_US"/>
        </w:rPr>
        <w:t>Then:</w:t>
      </w:r>
      <w:r>
        <w:rPr>
          <w:lang w:val="en_US" w:bidi="en_US"/>
        </w:rPr>
        <w:t xml:space="preserve"> This verse begins with a Greek conjunction that many English versions translate as “and.” The BSB translates as </w:t>
      </w:r>
      <w:r>
        <w:rPr>
          <w:i/>
          <w:lang w:val="en_US" w:bidi="en_US"/>
        </w:rPr>
        <w:t>Then</w:t>
      </w:r>
      <w:r>
        <w:rPr>
          <w:lang w:val="en_US" w:bidi="en_US"/>
        </w:rPr>
        <w:t xml:space="preserve"> to show that it introduces a logical conclusion to Jesus’ point in 13:15. It was necessary to set animals free on the Sabbath in order to care for their needs. Therefore, surely it was even more necessary to set a valuable human being free from her bondage on the Sabbath.</w:t>
      </w:r>
    </w:p>
    <w:p>
      <w:pPr/>
      <w:r>
        <w:rPr>
          <w:lang w:val="en_US" w:bidi="en_US"/>
        </w:rPr>
      </w:r>
      <w:r>
        <w:rPr>
          <w:b/>
          <w:lang w:val="en_US" w:bidi="en_US"/>
        </w:rPr>
        <w:t>this daughter of Abraham:</w:t>
      </w:r>
      <w:r>
        <w:rPr>
          <w:lang w:val="en_US" w:bidi="en_US"/>
        </w:rPr>
        <w:t xml:space="preserve"> Jesus was implying that as a daughter of Abraham the woman was very precious, much more valuable than the animals. In some languages it may be helpful to make this explicit:</w:t>
      </w:r>
    </w:p>
    <w:p>
      <w:pPr/>
      <w:r>
        <w:rPr>
          <w:lang w:val="en_US" w:bidi="en_US"/>
        </w:rPr>
      </w:r>
      <w:r>
        <w:rPr>
          <w:lang w:val="en_US" w:bidi="en_US"/>
        </w:rPr>
        <w:t xml:space="preserve">this woman </w:t>
      </w:r>
      <w:r>
        <w:rPr>
          <w:lang w:val="en_US" w:bidi="en_US"/>
        </w:rPr>
        <w:t>is</w:t>
      </w:r>
      <w:r>
        <w:rPr>
          <w:lang w:val="en_US" w:bidi="en_US"/>
        </w:rPr>
        <w:t xml:space="preserve"> a </w:t>
      </w:r>
      <w:r>
        <w:rPr>
          <w:lang w:val="en_US" w:bidi="en_US"/>
        </w:rPr>
        <w:t>valuable/precious</w:t>
      </w:r>
      <w:r>
        <w:rPr>
          <w:lang w:val="en_US" w:bidi="en_US"/>
        </w:rPr>
        <w:t xml:space="preserve"> daughter of Abraham</w:t>
      </w:r>
    </w:p>
    <w:p>
      <w:pPr/>
      <w:r>
        <w:rPr>
          <w:lang w:val="en_US" w:bidi="en_US"/>
        </w:rPr>
      </w:r>
      <w:r>
        <w:rPr>
          <w:b/>
          <w:lang w:val="en_US" w:bidi="en_US"/>
        </w:rPr>
        <w:t>this daughter of Abraham:</w:t>
      </w:r>
      <w:r>
        <w:rPr>
          <w:lang w:val="en_US" w:bidi="en_US"/>
        </w:rPr>
        <w:t xml:space="preserve"> The phrase </w:t>
      </w:r>
      <w:r>
        <w:rPr>
          <w:i/>
          <w:lang w:val="en_US" w:bidi="en_US"/>
        </w:rPr>
        <w:t>daughter of Abraham</w:t>
      </w:r>
      <w:r>
        <w:rPr>
          <w:lang w:val="en_US" w:bidi="en_US"/>
        </w:rPr>
        <w:t xml:space="preserve"> means “a female descendant of Abraham.” This was a common way to refer to a Jewish woman. Use an expression in your language that will be understood to refer to a descendant, not to a literal daughter. For example:</w:t>
      </w:r>
    </w:p>
    <w:p>
      <w:pPr/>
      <w:r>
        <w:rPr>
          <w:lang w:val="en_US" w:bidi="en_US"/>
        </w:rPr>
      </w:r>
      <w:r>
        <w:rPr>
          <w:lang w:val="en_US" w:bidi="en_US"/>
        </w:rPr>
        <w:t>descendant of Abraham (GNT)</w:t>
      </w:r>
    </w:p>
    <w:p>
      <w:pPr>
        <w:pStyle w:val="Heading5"/>
      </w:pPr>
      <w:r>
        <w:rPr>
          <w:lang w:val="en_US" w:bidi="en_US"/>
        </w:rPr>
        <w:t>13:16b</w:t>
      </w:r>
    </w:p>
    <w:p>
      <w:pPr/>
      <w:r>
        <w:rPr>
          <w:lang w:val="en_US" w:bidi="en_US"/>
        </w:rPr>
      </w:r>
      <w:r>
        <w:rPr>
          <w:b/>
          <w:lang w:val="en_US" w:bidi="en_US"/>
        </w:rPr>
        <w:t>whom Satan has kept bound for eighteen long years,</w:t>
      </w:r>
    </w:p>
    <w:p>
      <w:pPr>
        <w:pStyle w:val="ListBullet"/>
        <w:spacing w:line="240" w:lineRule="auto"/>
        <w:ind w:left="720"/>
      </w:pPr>
      <w:r>
        <w:rPr>
          <w:lang w:val="en_US" w:bidi="en_US"/>
        </w:rPr>
      </w:r>
      <w:r>
        <w:rPr>
          <w:lang w:val="en_US" w:bidi="en_US"/>
        </w:rPr>
        <w:t xml:space="preserve">whom Satan has kept </w:t>
      </w:r>
      <w:r>
        <w:rPr>
          <w:lang w:val="en_US" w:bidi="en_US"/>
        </w:rPr>
        <w:t>crippled as if she has been</w:t>
      </w:r>
      <w:r>
        <w:rPr>
          <w:lang w:val="en_US" w:bidi="en_US"/>
        </w:rPr>
        <w:t xml:space="preserve"> tied/imprisoned. She has been this way for a very long time, for eighteen years!</w:t>
      </w:r>
    </w:p>
    <w:p>
      <w:pPr>
        <w:pStyle w:val="ListBullet"/>
        <w:spacing w:line="240" w:lineRule="auto"/>
        <w:ind w:left="720"/>
      </w:pPr>
      <w:r>
        <w:rPr>
          <w:lang w:val="en_US" w:bidi="en_US"/>
        </w:rPr>
      </w:r>
      <w:r>
        <w:rPr>
          <w:lang w:val="en_US" w:bidi="en_US"/>
        </w:rPr>
        <w:t>Satan has been making her sick/crippled for eighteen years—imagine that!</w:t>
      </w:r>
    </w:p>
    <w:p>
      <w:pPr/>
      <w:r>
        <w:rPr>
          <w:lang w:val="en_US" w:bidi="en_US"/>
        </w:rPr>
      </w:r>
      <w:r>
        <w:rPr>
          <w:b/>
          <w:lang w:val="en_US" w:bidi="en_US"/>
        </w:rPr>
        <w:t>Satan has kept bound for eighteen long years:</w:t>
      </w:r>
      <w:r>
        <w:rPr>
          <w:lang w:val="en_US" w:bidi="en_US"/>
        </w:rPr>
        <w:t xml:space="preserve"> Jesus implied here that Satan had caused this woman to be crippled and had kept her in that condition for eighteen years. Jesus would now set her free from it.</w:t>
      </w:r>
    </w:p>
    <w:p>
      <w:pPr/>
      <w:r>
        <w:rPr>
          <w:lang w:val="en_US" w:bidi="en_US"/>
        </w:rPr>
      </w:r>
      <w:r>
        <w:rPr>
          <w:b/>
          <w:lang w:val="en_US" w:bidi="en_US"/>
        </w:rPr>
        <w:t>Satan:</w:t>
      </w:r>
      <w:r>
        <w:rPr>
          <w:lang w:val="en_US" w:bidi="en_US"/>
        </w:rPr>
        <w:t xml:space="preserve"> The word </w:t>
      </w:r>
      <w:r>
        <w:rPr>
          <w:i/>
          <w:lang w:val="en_US" w:bidi="en_US"/>
        </w:rPr>
        <w:t>Satan</w:t>
      </w:r>
      <w:r>
        <w:rPr>
          <w:lang w:val="en_US" w:bidi="en_US"/>
        </w:rPr>
        <w:t xml:space="preserve"> is the Hebrew name of the chief or leader of all the evil spirits. In Hebrew his name means “enemy.” He is the enemy of God and God’s people.</w:t>
      </w:r>
    </w:p>
    <w:p>
      <w:pPr/>
      <w:r>
        <w:rPr>
          <w:lang w:val="en_US" w:bidi="en_US"/>
        </w:rPr>
      </w:r>
      <w:r>
        <w:rPr>
          <w:lang w:val="en_US" w:bidi="en_US"/>
        </w:rPr>
        <w:t xml:space="preserve">Here are some ways to translate </w:t>
      </w:r>
      <w:r>
        <w:rPr>
          <w:i/>
          <w:lang w:val="en_US" w:bidi="en_US"/>
        </w:rPr>
        <w:t>Satan</w:t>
      </w:r>
      <w:r>
        <w:rPr>
          <w:lang w:val="en_US" w:bidi="en_US"/>
        </w:rPr>
        <w:t>:</w:t>
      </w:r>
    </w:p>
    <w:p>
      <w:pPr>
        <w:pStyle w:val="ListBullet"/>
        <w:spacing w:line="240" w:lineRule="auto"/>
        <w:ind w:left="720"/>
      </w:pPr>
      <w:r>
        <w:rPr>
          <w:lang w:val="en_US" w:bidi="en_US"/>
        </w:rPr>
      </w:r>
      <w:r>
        <w:rPr>
          <w:lang w:val="en_US" w:bidi="en_US"/>
        </w:rPr>
        <w:t>Use a local name or idiom that refers to the chief of all demons.</w:t>
      </w:r>
    </w:p>
    <w:p>
      <w:pPr>
        <w:pStyle w:val="ListBullet"/>
        <w:spacing w:line="240" w:lineRule="auto"/>
        <w:ind w:left="720"/>
      </w:pPr>
      <w:r>
        <w:rPr>
          <w:lang w:val="en_US" w:bidi="en_US"/>
        </w:rPr>
      </w:r>
      <w:r>
        <w:rPr>
          <w:lang w:val="en_US" w:bidi="en_US"/>
        </w:rPr>
        <w:t>Use a descriptive phrase such as:</w:t>
      </w:r>
      <w:r>
        <w:rPr>
          <w:lang w:val="en_US" w:bidi="en_US"/>
        </w:rPr>
        <w:t>the chief/leader of the evil spirits</w:t>
      </w:r>
      <w:r>
        <w:rPr>
          <w:lang w:val="en_US" w:bidi="en_US"/>
        </w:rPr>
        <w:t>the spirit enemy of God</w:t>
      </w:r>
    </w:p>
    <w:p>
      <w:pPr>
        <w:pStyle w:val="ListBullet"/>
        <w:spacing w:line="240" w:lineRule="auto"/>
        <w:ind w:left="720"/>
      </w:pPr>
      <w:r>
        <w:rPr>
          <w:lang w:val="en_US" w:bidi="en_US"/>
        </w:rPr>
      </w:r>
      <w:r>
        <w:rPr>
          <w:lang w:val="en_US" w:bidi="en_US"/>
        </w:rPr>
        <w:t xml:space="preserve">Transliterate the name </w:t>
      </w:r>
      <w:r>
        <w:rPr>
          <w:i/>
          <w:lang w:val="en_US" w:bidi="en_US"/>
        </w:rPr>
        <w:t>Satan</w:t>
      </w:r>
      <w:r>
        <w:rPr>
          <w:lang w:val="en_US" w:bidi="en_US"/>
        </w:rPr>
        <w:t>. If this word is not already known in your area, you may also want to add a descriptive phrase. For example:</w:t>
      </w:r>
      <w:r>
        <w:rPr>
          <w:lang w:val="en_US" w:bidi="en_US"/>
        </w:rPr>
        <w:t>Satanas, the ruler of demons</w:t>
      </w:r>
      <w:r>
        <w:rPr>
          <w:lang w:val="en_US" w:bidi="en_US"/>
        </w:rPr>
        <w:t>Shaitan</w:t>
      </w:r>
    </w:p>
    <w:p>
      <w:pPr/>
      <w:r>
        <w:rPr>
          <w:lang w:val="en_US" w:bidi="en_US"/>
        </w:rPr>
      </w:r>
      <w:r>
        <w:rPr>
          <w:lang w:val="en_US" w:bidi="en_US"/>
        </w:rPr>
        <w:t xml:space="preserve">The word </w:t>
      </w:r>
      <w:r>
        <w:rPr>
          <w:i/>
          <w:lang w:val="en_US" w:bidi="en_US"/>
        </w:rPr>
        <w:t>Satan</w:t>
      </w:r>
      <w:r>
        <w:rPr>
          <w:lang w:val="en_US" w:bidi="en_US"/>
        </w:rPr>
        <w:t xml:space="preserve"> also occurs in 11:18a.</w:t>
      </w:r>
    </w:p>
    <w:p>
      <w:pPr/>
      <w:r>
        <w:rPr>
          <w:lang w:val="en_US" w:bidi="en_US"/>
        </w:rPr>
      </w:r>
      <w:r>
        <w:rPr>
          <w:b/>
          <w:lang w:val="en_US" w:bidi="en_US"/>
        </w:rPr>
        <w:t>has kept bound:</w:t>
      </w:r>
      <w:r>
        <w:rPr>
          <w:lang w:val="en_US" w:bidi="en_US"/>
        </w:rPr>
        <w:t xml:space="preserve"> This is a metaphor. It compares the way an animal is tied up to the way Satan had been keeping the woman crippled. If it is not clear or natural to use a metaphor like this about a crippling condition, you may:</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Satan has made her unable to move freely </w:t>
      </w:r>
      <w:r>
        <w:rPr>
          <w:u w:val="single"/>
          <w:lang w:val="en_US" w:bidi="en_US"/>
        </w:rPr>
        <w:t>as if</w:t>
      </w:r>
      <w:r>
        <w:rPr>
          <w:lang w:val="en_US" w:bidi="en_US"/>
        </w:rPr>
        <w:t xml:space="preserve"> she were tied/bound</w:t>
      </w:r>
    </w:p>
    <w:p>
      <w:pPr>
        <w:pStyle w:val="ListBullet"/>
        <w:spacing w:line="240" w:lineRule="auto"/>
        <w:ind w:left="720"/>
      </w:pPr>
      <w:r>
        <w:rPr>
          <w:lang w:val="en_US" w:bidi="en_US"/>
        </w:rPr>
      </w:r>
      <w:r>
        <w:rPr>
          <w:lang w:val="en_US" w:bidi="en_US"/>
        </w:rPr>
        <w:t>Translate the meaning without the metaphor. For example:</w:t>
      </w:r>
      <w:r>
        <w:rPr>
          <w:lang w:val="en_US" w:bidi="en_US"/>
        </w:rPr>
        <w:t>whom Satan has been causing to be crippled</w:t>
      </w:r>
    </w:p>
    <w:p>
      <w:pPr/>
      <w:r>
        <w:rPr>
          <w:lang w:val="en_US" w:bidi="en_US"/>
        </w:rPr>
      </w:r>
      <w:r>
        <w:rPr>
          <w:lang w:val="en_US" w:bidi="en_US"/>
        </w:rPr>
        <w:t>Remember to use a natural way in your language to describe the woman’s condition. You may want to refer again to the note on “had been disabled by a spirit” in 13:11a.</w:t>
      </w:r>
    </w:p>
    <w:p>
      <w:pPr/>
      <w:r>
        <w:rPr>
          <w:lang w:val="en_US" w:bidi="en_US"/>
        </w:rPr>
      </w:r>
      <w:r>
        <w:rPr>
          <w:b/>
          <w:lang w:val="en_US" w:bidi="en_US"/>
        </w:rPr>
        <w:t>for eighteen long years:</w:t>
      </w:r>
      <w:r>
        <w:rPr>
          <w:lang w:val="en_US" w:bidi="en_US"/>
        </w:rPr>
        <w:t xml:space="preserve"> The Greek phrase that the BSB translates as </w:t>
      </w:r>
      <w:r>
        <w:rPr>
          <w:i/>
          <w:lang w:val="en_US" w:bidi="en_US"/>
        </w:rPr>
        <w:t>eighteen long years</w:t>
      </w:r>
      <w:r>
        <w:rPr>
          <w:lang w:val="en_US" w:bidi="en_US"/>
        </w:rPr>
        <w:t xml:space="preserve"> is literally “behold eighteen years.” The exclamation “behold” here calls attention to the fact that eighteen years is a surprisingly long time. Another way to translate this expression is:</w:t>
      </w:r>
    </w:p>
    <w:p>
      <w:pPr/>
      <w:r>
        <w:rPr>
          <w:lang w:val="en_US" w:bidi="en_US"/>
        </w:rPr>
      </w:r>
      <w:r>
        <w:rPr>
          <w:lang w:val="en_US" w:bidi="en_US"/>
        </w:rPr>
        <w:t>for a surprisingly/extremely long time—eighteen years!</w:t>
      </w:r>
    </w:p>
    <w:p>
      <w:pPr>
        <w:pStyle w:val="Heading5"/>
      </w:pPr>
      <w:r>
        <w:rPr>
          <w:lang w:val="en_US" w:bidi="en_US"/>
        </w:rPr>
        <w:t>13:16c</w:t>
      </w:r>
    </w:p>
    <w:p>
      <w:pPr/>
      <w:r>
        <w:rPr>
          <w:lang w:val="en_US" w:bidi="en_US"/>
        </w:rPr>
      </w:r>
      <w:r>
        <w:rPr>
          <w:b/>
          <w:lang w:val="en_US" w:bidi="en_US"/>
        </w:rPr>
        <w:t>be released from her bondage on the Sabbath day?”</w:t>
      </w:r>
    </w:p>
    <w:p>
      <w:pPr>
        <w:pStyle w:val="ListBullet"/>
        <w:spacing w:line="240" w:lineRule="auto"/>
        <w:ind w:left="720"/>
      </w:pPr>
      <w:r>
        <w:rPr>
          <w:lang w:val="en_US" w:bidi="en_US"/>
        </w:rPr>
      </w:r>
      <w:r>
        <w:rPr>
          <w:lang w:val="en_US" w:bidi="en_US"/>
        </w:rPr>
        <w:t>How can it possibly be wrong to free/release her on the Sabbath day from her sickness/weakness?”</w:t>
      </w:r>
    </w:p>
    <w:p>
      <w:pPr>
        <w:pStyle w:val="ListBullet"/>
        <w:spacing w:line="240" w:lineRule="auto"/>
        <w:ind w:left="720"/>
      </w:pPr>
      <w:r>
        <w:rPr>
          <w:lang w:val="en_US" w:bidi="en_US"/>
        </w:rPr>
      </w:r>
      <w:r>
        <w:rPr>
          <w:lang w:val="en_US" w:bidi="en_US"/>
        </w:rPr>
        <w:t xml:space="preserve">So it was also right </w:t>
      </w:r>
      <w:r>
        <w:rPr>
          <w:lang w:val="en_US" w:bidi="en_US"/>
        </w:rPr>
        <w:t>for me</w:t>
      </w:r>
      <w:r>
        <w:rPr>
          <w:lang w:val="en_US" w:bidi="en_US"/>
        </w:rPr>
        <w:t xml:space="preserve"> to free/heal her from that sickness caused by Satan, even if this is a rest day.”</w:t>
      </w:r>
    </w:p>
    <w:p>
      <w:pPr/>
      <w:r>
        <w:rPr>
          <w:lang w:val="en_US" w:bidi="en_US"/>
        </w:rPr>
      </w:r>
      <w:r>
        <w:rPr>
          <w:b/>
          <w:lang w:val="en_US" w:bidi="en_US"/>
        </w:rPr>
        <w:t>be released:</w:t>
      </w:r>
      <w:r>
        <w:rPr>
          <w:lang w:val="en_US" w:bidi="en_US"/>
        </w:rPr>
        <w:t xml:space="preserve"> The Greek verb that the BSB translates as </w:t>
      </w:r>
      <w:r>
        <w:rPr>
          <w:i/>
          <w:lang w:val="en_US" w:bidi="en_US"/>
        </w:rPr>
        <w:t>be released</w:t>
      </w:r>
      <w:r>
        <w:rPr>
          <w:lang w:val="en_US" w:bidi="en_US"/>
        </w:rPr>
        <w:t xml:space="preserve"> is the same as that translated as “untie” in 13:15c. This is closely related to the metaphor used in 13:16b. As the animals are set free from their ropes, so the woman should be set free from her crippled condition.</w:t>
      </w:r>
    </w:p>
    <w:p>
      <w:pPr/>
      <w:r>
        <w:rPr>
          <w:lang w:val="en_US" w:bidi="en_US"/>
        </w:rPr>
      </w:r>
      <w:r>
        <w:rPr>
          <w:lang w:val="en_US" w:bidi="en_US"/>
        </w:rPr>
        <w:t>In some languages it will not be possible to use the same terms to describe a rope tying an animal and Satan keeping a woman bent over. But try to use a word or phrase that will show the similarity with 13:15c in order to emphasize the point that Jesus was making.</w:t>
      </w:r>
    </w:p>
    <w:p>
      <w:pPr/>
      <w:r>
        <w:rPr>
          <w:lang w:val="en_US" w:bidi="en_US"/>
        </w:rPr>
      </w:r>
      <w:r>
        <w:rPr>
          <w:lang w:val="en_US" w:bidi="en_US"/>
        </w:rPr>
        <w:t xml:space="preserve">The verb </w:t>
      </w:r>
      <w:r>
        <w:rPr>
          <w:i/>
          <w:lang w:val="en_US" w:bidi="en_US"/>
        </w:rPr>
        <w:t>be released</w:t>
      </w:r>
      <w:r>
        <w:rPr>
          <w:lang w:val="en_US" w:bidi="en_US"/>
        </w:rPr>
        <w:t xml:space="preserve"> is a passive verb. In some languages it may be necessary to use an active verb and to make the subject explicit. For example:</w:t>
      </w:r>
    </w:p>
    <w:p>
      <w:pPr/>
      <w:r>
        <w:rPr>
          <w:lang w:val="en_US" w:bidi="en_US"/>
        </w:rPr>
      </w:r>
      <w:r>
        <w:rPr>
          <w:lang w:val="en_US" w:bidi="en_US"/>
        </w:rPr>
        <w:t>I</w:t>
      </w:r>
      <w:r>
        <w:rPr>
          <w:lang w:val="en_US" w:bidi="en_US"/>
        </w:rPr>
        <w:t xml:space="preserve"> will set her free</w:t>
      </w:r>
    </w:p>
    <w:p>
      <w:pPr/>
      <w:r>
        <w:rPr>
          <w:lang w:val="en_US" w:bidi="en_US"/>
        </w:rPr>
      </w:r>
      <w:r>
        <w:rPr>
          <w:lang w:val="en_US" w:bidi="en_US"/>
        </w:rPr>
        <w:t>for me to set her free</w:t>
      </w:r>
    </w:p>
    <w:p>
      <w:pPr/>
      <w:r>
        <w:rPr>
          <w:lang w:val="en_US" w:bidi="en_US"/>
        </w:rPr>
      </w:r>
      <w:r>
        <w:rPr>
          <w:b/>
          <w:lang w:val="en_US" w:bidi="en_US"/>
        </w:rPr>
        <w:t>from her bondage:</w:t>
      </w:r>
      <w:r>
        <w:rPr>
          <w:lang w:val="en_US" w:bidi="en_US"/>
        </w:rPr>
        <w:t xml:space="preserve"> The Greek word that the BSB translates as </w:t>
      </w:r>
      <w:r>
        <w:rPr>
          <w:i/>
          <w:lang w:val="en_US" w:bidi="en_US"/>
        </w:rPr>
        <w:t>from her bondage</w:t>
      </w:r>
      <w:r>
        <w:rPr>
          <w:lang w:val="en_US" w:bidi="en_US"/>
        </w:rPr>
        <w:t xml:space="preserve"> sometimes refers literally to chains or ropes that tie a person or animal up. But Jesus was not referring to literal chains here. He was referring to the weakness that Satan had caused. In some languages it may be necessary to make this explicit:</w:t>
      </w:r>
    </w:p>
    <w:p>
      <w:pPr/>
      <w:r>
        <w:rPr>
          <w:lang w:val="en_US" w:bidi="en_US"/>
        </w:rPr>
      </w:r>
      <w:r>
        <w:rPr>
          <w:lang w:val="en_US" w:bidi="en_US"/>
        </w:rPr>
        <w:t xml:space="preserve">from her bondage </w:t>
      </w:r>
      <w:r>
        <w:rPr>
          <w:lang w:val="en_US" w:bidi="en_US"/>
        </w:rPr>
        <w:t>to this illness</w:t>
      </w:r>
    </w:p>
    <w:p>
      <w:pPr/>
      <w:r>
        <w:rPr>
          <w:lang w:val="en_US" w:bidi="en_US"/>
        </w:rPr>
      </w:r>
      <w:r>
        <w:rPr>
          <w:lang w:val="en_US" w:bidi="en_US"/>
        </w:rPr>
        <w:t>from Satan, who caused this weakness</w:t>
      </w:r>
    </w:p>
    <w:p>
      <w:pPr>
        <w:pStyle w:val="Heading6"/>
      </w:pPr>
      <w:r>
        <w:rPr>
          <w:b/>
          <w:lang w:val="en_US" w:bidi="en_US"/>
        </w:rPr>
        <w:t>General Comment on 13:16a–c</w:t>
      </w:r>
    </w:p>
    <w:p>
      <w:pPr/>
      <w:r>
        <w:rPr>
          <w:lang w:val="en_US" w:bidi="en_US"/>
        </w:rPr>
      </w:r>
      <w:r>
        <w:rPr>
          <w:lang w:val="en_US" w:bidi="en_US"/>
        </w:rPr>
        <w:t>In some languages it may be helpful to reorder this verse. For example:</w:t>
      </w:r>
    </w:p>
    <w:p>
      <w:pPr/>
      <w:r>
        <w:rPr>
          <w:lang w:val="en_US" w:bidi="en_US"/>
        </w:rPr>
      </w:r>
      <w:r>
        <w:rPr>
          <w:vertAlign w:val="superscript"/>
          <w:lang w:val="en_US" w:bidi="en_US"/>
        </w:rPr>
        <w:t>16c</w:t>
      </w:r>
      <w:r>
        <w:rPr>
          <w:lang w:val="en_US" w:bidi="en_US"/>
        </w:rPr>
        <w:t xml:space="preserve">So it is not wrong to set this woman free from her sickness on the Sabbath day. </w:t>
      </w:r>
      <w:r>
        <w:rPr>
          <w:vertAlign w:val="superscript"/>
          <w:lang w:val="en_US" w:bidi="en_US"/>
        </w:rPr>
        <w:t>16a</w:t>
      </w:r>
      <w:r>
        <w:rPr>
          <w:lang w:val="en_US" w:bidi="en_US"/>
        </w:rPr>
        <w:t xml:space="preserve">For she is a </w:t>
      </w:r>
      <w:r>
        <w:rPr>
          <w:lang w:val="en_US" w:bidi="en_US"/>
        </w:rPr>
        <w:t>precious/valuable</w:t>
      </w:r>
      <w:r>
        <w:rPr>
          <w:lang w:val="en_US" w:bidi="en_US"/>
        </w:rPr>
        <w:t xml:space="preserve"> daughter of Abraham, </w:t>
      </w:r>
      <w:r>
        <w:rPr>
          <w:vertAlign w:val="superscript"/>
          <w:lang w:val="en_US" w:bidi="en_US"/>
        </w:rPr>
        <w:t>16b</w:t>
      </w:r>
      <w:r>
        <w:rPr>
          <w:lang w:val="en_US" w:bidi="en_US"/>
        </w:rPr>
        <w:t>and Satan has trapped/imprisoned her in this condition for eighteen years.</w:t>
      </w:r>
    </w:p>
    <w:p>
      <w:pPr/>
      <w:r>
        <w:rPr>
          <w:lang w:val="en_US" w:bidi="en_US"/>
        </w:rPr>
      </w:r>
      <w:r>
        <w:rPr>
          <w:vertAlign w:val="superscript"/>
          <w:lang w:val="en_US" w:bidi="en_US"/>
        </w:rPr>
        <w:t>16c</w:t>
      </w:r>
      <w:r>
        <w:rPr>
          <w:lang w:val="en_US" w:bidi="en_US"/>
        </w:rPr>
        <w:t xml:space="preserve">And it is good also to free </w:t>
      </w:r>
      <w:r>
        <w:rPr>
          <w:vertAlign w:val="superscript"/>
          <w:lang w:val="en_US" w:bidi="en_US"/>
        </w:rPr>
        <w:t>16a</w:t>
      </w:r>
      <w:r>
        <w:rPr>
          <w:lang w:val="en_US" w:bidi="en_US"/>
        </w:rPr>
        <w:t xml:space="preserve">this descendant of Abraham </w:t>
      </w:r>
      <w:r>
        <w:rPr>
          <w:vertAlign w:val="superscript"/>
          <w:lang w:val="en_US" w:bidi="en_US"/>
        </w:rPr>
        <w:t>16c</w:t>
      </w:r>
      <w:r>
        <w:rPr>
          <w:lang w:val="en_US" w:bidi="en_US"/>
        </w:rPr>
        <w:t xml:space="preserve">on the Sabbath day from the sickness </w:t>
      </w:r>
      <w:r>
        <w:rPr>
          <w:vertAlign w:val="superscript"/>
          <w:lang w:val="en_US" w:bidi="en_US"/>
        </w:rPr>
        <w:t>16b</w:t>
      </w:r>
      <w:r>
        <w:rPr>
          <w:lang w:val="en_US" w:bidi="en_US"/>
        </w:rPr>
        <w:t>in which Satan has held her captive for eighteen years.</w:t>
      </w:r>
      <w:r>
        <w:rPr>
          <w:lang w:val="en_US" w:bidi="en_US"/>
        </w:rPr>
      </w:r>
      <w:r>
        <w:rPr>
          <w:lang w:val="en_US" w:bidi="en_US"/>
        </w:rPr>
      </w:r>
    </w:p>
    <w:p>
      <w:pPr/>
      <w:r>
        <w:rPr>
          <w:lang w:val="en_US" w:bidi="en_US"/>
        </w:rPr>
      </w:r>
    </w:p>
    <w:p>
      <w:pPr>
        <w:pStyle w:val="Heading2"/>
      </w:pPr>
      <w:r>
        <w:rPr>
          <w:lang w:val="en_US" w:bidi="en_US"/>
        </w:rPr>
        <w:t>Luke 13:17</w:t>
      </w:r>
      <w:r>
        <w:rPr>
          <w:lang w:val="en_US" w:bidi="en_US"/>
        </w:rPr>
      </w:r>
    </w:p>
    <w:p>
      <w:pPr>
        <w:pStyle w:val="Heading4"/>
      </w:pPr>
      <w:r>
        <w:rPr>
          <w:lang w:val="en_US" w:bidi="en_US"/>
        </w:rPr>
        <w:t>Section 13:10–17: Jesus healed a crippled woman on the Sabbath</w:t>
      </w:r>
    </w:p>
    <w:p>
      <w:pPr/>
      <w:r>
        <w:rPr>
          <w:lang w:val="en_US" w:bidi="en_US"/>
        </w:rPr>
      </w:r>
      <w:r>
        <w:rPr>
          <w:lang w:val="en_US" w:bidi="en_US"/>
        </w:rPr>
        <w:t>In this section Jesus healed a woman whom an evil spirit had caused to be unable to stand straight. This story occurred on a Sabbath day sometime during Jesus’ ministry. It did not necessarily occur after the previous section. One of its possible connections with the previous section is that Jesus called people in both sections “hypocrites.”</w:t>
      </w:r>
    </w:p>
    <w:p>
      <w:pPr/>
      <w:r>
        <w:rPr>
          <w:lang w:val="en_US" w:bidi="en_US"/>
        </w:rPr>
      </w:r>
      <w:r>
        <w:rPr>
          <w:lang w:val="en_US" w:bidi="en_US"/>
        </w:rPr>
        <w:t>Another possible heading for this section is:</w:t>
      </w:r>
    </w:p>
    <w:p>
      <w:pPr/>
      <w:r>
        <w:rPr>
          <w:lang w:val="en_US" w:bidi="en_US"/>
        </w:rPr>
      </w:r>
      <w:r>
        <w:rPr>
          <w:lang w:val="en_US" w:bidi="en_US"/>
        </w:rPr>
        <w:t>The Healing of a Woman with a Bent/Crooked Back</w:t>
      </w:r>
    </w:p>
    <w:p>
      <w:pPr/>
      <w:r>
        <w:rPr>
          <w:lang w:val="en_US" w:bidi="en_US"/>
        </w:rPr>
      </w:r>
      <w:r>
        <w:rPr>
          <w:lang w:val="en_US" w:bidi="en_US"/>
        </w:rPr>
        <w:t>This story occurs only in Luke.</w:t>
      </w:r>
    </w:p>
    <w:p>
      <w:pPr>
        <w:pStyle w:val="Heading5"/>
      </w:pPr>
      <w:r>
        <w:rPr>
          <w:lang w:val="en_US" w:bidi="en_US"/>
        </w:rPr>
        <w:t>13:17a</w:t>
      </w:r>
    </w:p>
    <w:p>
      <w:pPr/>
      <w:r>
        <w:rPr>
          <w:lang w:val="en_US" w:bidi="en_US"/>
        </w:rPr>
      </w:r>
      <w:r>
        <w:rPr>
          <w:b/>
          <w:lang w:val="en_US" w:bidi="en_US"/>
        </w:rPr>
        <w:t>When Jesus said this, all His adversaries were humiliated.</w:t>
      </w:r>
    </w:p>
    <w:p>
      <w:pPr>
        <w:pStyle w:val="ListBullet"/>
        <w:spacing w:line="240" w:lineRule="auto"/>
        <w:ind w:left="720"/>
      </w:pPr>
      <w:r>
        <w:rPr>
          <w:lang w:val="en_US" w:bidi="en_US"/>
        </w:rPr>
      </w:r>
      <w:r>
        <w:rPr>
          <w:lang w:val="en_US" w:bidi="en_US"/>
        </w:rPr>
        <w:t xml:space="preserve">¶ When </w:t>
      </w:r>
      <w:r>
        <w:rPr>
          <w:lang w:val="en_US" w:bidi="en_US"/>
        </w:rPr>
        <w:t>Jesus</w:t>
      </w:r>
      <w:r>
        <w:rPr>
          <w:lang w:val="en_US" w:bidi="en_US"/>
        </w:rPr>
        <w:t xml:space="preserve"> said this, all those who were against him became ashamed.</w:t>
      </w:r>
    </w:p>
    <w:p>
      <w:pPr>
        <w:pStyle w:val="ListBullet"/>
        <w:spacing w:line="240" w:lineRule="auto"/>
        <w:ind w:left="720"/>
      </w:pPr>
      <w:r>
        <w:rPr>
          <w:lang w:val="en_US" w:bidi="en_US"/>
        </w:rPr>
      </w:r>
      <w:r>
        <w:rPr>
          <w:lang w:val="en_US" w:bidi="en_US"/>
        </w:rPr>
        <w:t xml:space="preserve">¶ All of </w:t>
      </w:r>
      <w:r>
        <w:rPr>
          <w:lang w:val="en_US" w:bidi="en_US"/>
        </w:rPr>
        <w:t>Jesus’</w:t>
      </w:r>
      <w:r>
        <w:rPr>
          <w:lang w:val="en_US" w:bidi="en_US"/>
        </w:rPr>
        <w:t xml:space="preserve"> enemies were shamed/humiliated by this answer,</w:t>
      </w:r>
    </w:p>
    <w:p>
      <w:pPr>
        <w:pStyle w:val="ListBullet"/>
        <w:spacing w:line="240" w:lineRule="auto"/>
        <w:ind w:left="720"/>
      </w:pPr>
      <w:r>
        <w:rPr>
          <w:lang w:val="en_US" w:bidi="en_US"/>
        </w:rPr>
      </w:r>
      <w:r>
        <w:rPr>
          <w:lang w:val="en_US" w:bidi="en_US"/>
        </w:rPr>
        <w:t xml:space="preserve">¶ </w:t>
      </w:r>
      <w:r>
        <w:rPr>
          <w:lang w:val="en_US" w:bidi="en_US"/>
        </w:rPr>
        <w:t>Jesus’</w:t>
      </w:r>
      <w:r>
        <w:rPr>
          <w:lang w:val="en_US" w:bidi="en_US"/>
        </w:rPr>
        <w:t xml:space="preserve"> response humiliated/shamed his enemies,</w:t>
      </w:r>
    </w:p>
    <w:p>
      <w:pPr/>
      <w:r>
        <w:rPr>
          <w:lang w:val="en_US" w:bidi="en_US"/>
        </w:rPr>
      </w:r>
      <w:r>
        <w:rPr>
          <w:b/>
          <w:lang w:val="en_US" w:bidi="en_US"/>
        </w:rPr>
        <w:t>When Jesus said this, all His adversaries were humiliated:</w:t>
      </w:r>
      <w:r>
        <w:rPr>
          <w:lang w:val="en_US" w:bidi="en_US"/>
        </w:rPr>
        <w:t xml:space="preserve"> The clause </w:t>
      </w:r>
      <w:r>
        <w:rPr>
          <w:i/>
          <w:lang w:val="en_US" w:bidi="en_US"/>
        </w:rPr>
        <w:t>When Jesus said this</w:t>
      </w:r>
      <w:r>
        <w:rPr>
          <w:lang w:val="en_US" w:bidi="en_US"/>
        </w:rPr>
        <w:t xml:space="preserve"> gives not only the time but also the reason why Jesus’ opponents were humiliated. Another way to translate this is:</w:t>
      </w:r>
    </w:p>
    <w:p>
      <w:pPr/>
      <w:r>
        <w:rPr>
          <w:lang w:val="en_US" w:bidi="en_US"/>
        </w:rPr>
      </w:r>
      <w:r>
        <w:rPr>
          <w:lang w:val="en_US" w:bidi="en_US"/>
        </w:rPr>
        <w:t>His answer made his enemies ashamed of themselves. (GNT)</w:t>
      </w:r>
    </w:p>
    <w:p>
      <w:pPr/>
      <w:r>
        <w:rPr>
          <w:lang w:val="en_US" w:bidi="en_US"/>
        </w:rPr>
      </w:r>
      <w:r>
        <w:rPr>
          <w:b/>
          <w:lang w:val="en_US" w:bidi="en_US"/>
        </w:rPr>
        <w:t>His adversaries were humiliated:</w:t>
      </w:r>
      <w:r>
        <w:rPr>
          <w:lang w:val="en_US" w:bidi="en_US"/>
        </w:rPr>
        <w:t xml:space="preserve"> The Greek clause that the BSB translates as </w:t>
      </w:r>
      <w:r>
        <w:rPr>
          <w:i/>
          <w:lang w:val="en_US" w:bidi="en_US"/>
        </w:rPr>
        <w:t>His adversaries were humiliated</w:t>
      </w:r>
      <w:r>
        <w:rPr>
          <w:lang w:val="en_US" w:bidi="en_US"/>
        </w:rPr>
        <w:t xml:space="preserve"> means that Jesus’ opponents felt ashamed because Jesus had publicly shown that they were wrong.</w:t>
      </w:r>
    </w:p>
    <w:p>
      <w:pPr>
        <w:pStyle w:val="Heading5"/>
      </w:pPr>
      <w:r>
        <w:rPr>
          <w:lang w:val="en_US" w:bidi="en_US"/>
        </w:rPr>
        <w:t>13:17b</w:t>
      </w:r>
    </w:p>
    <w:p>
      <w:pPr/>
      <w:r>
        <w:rPr>
          <w:lang w:val="en_US" w:bidi="en_US"/>
        </w:rPr>
      </w:r>
      <w:r>
        <w:rPr>
          <w:b/>
          <w:lang w:val="en_US" w:bidi="en_US"/>
        </w:rPr>
        <w:t>And the whole crowd rejoiced at all the glorious things He was doing.</w:t>
      </w:r>
    </w:p>
    <w:p>
      <w:pPr>
        <w:pStyle w:val="ListBullet"/>
        <w:spacing w:line="240" w:lineRule="auto"/>
        <w:ind w:left="720"/>
      </w:pPr>
      <w:r>
        <w:rPr>
          <w:lang w:val="en_US" w:bidi="en_US"/>
        </w:rPr>
      </w:r>
      <w:r>
        <w:rPr>
          <w:lang w:val="en_US" w:bidi="en_US"/>
        </w:rPr>
        <w:t xml:space="preserve">But </w:t>
      </w:r>
      <w:r>
        <w:rPr>
          <w:lang w:val="en_US" w:bidi="en_US"/>
        </w:rPr>
        <w:t>the rest of</w:t>
      </w:r>
      <w:r>
        <w:rPr>
          <w:lang w:val="en_US" w:bidi="en_US"/>
        </w:rPr>
        <w:t xml:space="preserve"> the people were very happy that he was doing all these marvelous/amazing things.</w:t>
      </w:r>
    </w:p>
    <w:p>
      <w:pPr>
        <w:pStyle w:val="ListBullet"/>
        <w:spacing w:line="240" w:lineRule="auto"/>
        <w:ind w:left="720"/>
      </w:pPr>
      <w:r>
        <w:rPr>
          <w:lang w:val="en_US" w:bidi="en_US"/>
        </w:rPr>
      </w:r>
      <w:r>
        <w:rPr>
          <w:lang w:val="en_US" w:bidi="en_US"/>
        </w:rPr>
        <w:t>but all the miracles that he was doing delighted the others in the crowd.</w:t>
      </w:r>
    </w:p>
    <w:p>
      <w:pPr/>
      <w:r>
        <w:rPr>
          <w:lang w:val="en_US" w:bidi="en_US"/>
        </w:rPr>
      </w:r>
      <w:r>
        <w:rPr>
          <w:b/>
          <w:lang w:val="en_US" w:bidi="en_US"/>
        </w:rPr>
        <w:t>the whole crowd:</w:t>
      </w:r>
      <w:r>
        <w:rPr>
          <w:lang w:val="en_US" w:bidi="en_US"/>
        </w:rPr>
        <w:t xml:space="preserve"> The phrase </w:t>
      </w:r>
      <w:r>
        <w:rPr>
          <w:i/>
          <w:lang w:val="en_US" w:bidi="en_US"/>
        </w:rPr>
        <w:t>the whole crowd</w:t>
      </w:r>
      <w:r>
        <w:rPr>
          <w:lang w:val="en_US" w:bidi="en_US"/>
        </w:rPr>
        <w:t xml:space="preserve"> refers to a different group from “his opponents” in 13:17a. It refers to the ordinary people rather than to the religious leaders. Other ways to translate this phrase are:</w:t>
      </w:r>
    </w:p>
    <w:p>
      <w:pPr/>
      <w:r>
        <w:rPr>
          <w:lang w:val="en_US" w:bidi="en_US"/>
        </w:rPr>
      </w:r>
      <w:r>
        <w:rPr>
          <w:lang w:val="en_US" w:bidi="en_US"/>
        </w:rPr>
        <w:t>everyone else in the crowd (CEV)</w:t>
      </w:r>
    </w:p>
    <w:p>
      <w:pPr/>
      <w:r>
        <w:rPr>
          <w:lang w:val="en_US" w:bidi="en_US"/>
        </w:rPr>
      </w:r>
      <w:r>
        <w:rPr>
          <w:lang w:val="en_US" w:bidi="en_US"/>
        </w:rPr>
        <w:t>the rest of the people</w:t>
      </w:r>
    </w:p>
    <w:p>
      <w:pPr/>
      <w:r>
        <w:rPr>
          <w:lang w:val="en_US" w:bidi="en_US"/>
        </w:rPr>
      </w:r>
      <w:r>
        <w:rPr>
          <w:b/>
          <w:lang w:val="en_US" w:bidi="en_US"/>
        </w:rPr>
        <w:t>rejoiced at all the glorious things He was doing:</w:t>
      </w:r>
      <w:r>
        <w:rPr>
          <w:lang w:val="en_US" w:bidi="en_US"/>
        </w:rPr>
        <w:t xml:space="preserve"> The ordinary people were very happy to see the miracles Jesus was doing. Other ways to translate this verse part are:</w:t>
      </w:r>
    </w:p>
    <w:p>
      <w:pPr/>
      <w:r>
        <w:rPr>
          <w:lang w:val="en_US" w:bidi="en_US"/>
        </w:rPr>
      </w:r>
      <w:r>
        <w:rPr>
          <w:lang w:val="en_US" w:bidi="en_US"/>
        </w:rPr>
        <w:t>But the entire crowd was happy about the miraculous things he was doing (GW)</w:t>
      </w:r>
    </w:p>
    <w:p>
      <w:pPr/>
      <w:r>
        <w:rPr>
          <w:lang w:val="en_US" w:bidi="en_US"/>
        </w:rPr>
      </w:r>
      <w:r>
        <w:rPr>
          <w:lang w:val="en_US" w:bidi="en_US"/>
        </w:rPr>
        <w:t>while all the other people rejoiced because of the amazing/glorious things that he was doing</w:t>
      </w:r>
      <w:r>
        <w:rPr>
          <w:lang w:val="en_US" w:bidi="en_US"/>
        </w:rPr>
      </w:r>
      <w:r>
        <w:rPr>
          <w:lang w:val="en_US" w:bidi="en_US"/>
        </w:rPr>
      </w:r>
    </w:p>
    <w:p>
      <w:pPr/>
      <w:r>
        <w:rPr>
          <w:lang w:val="en_US" w:bidi="en_US"/>
        </w:rPr>
      </w:r>
    </w:p>
    <w:p>
      <w:pPr>
        <w:pStyle w:val="Heading2"/>
      </w:pPr>
      <w:r>
        <w:rPr>
          <w:lang w:val="en_US" w:bidi="en_US"/>
        </w:rPr>
        <w:t>Luke 13:18</w:t>
      </w:r>
      <w:r>
        <w:rPr>
          <w:lang w:val="en_US" w:bidi="en_US"/>
        </w:rPr>
      </w:r>
    </w:p>
    <w:p>
      <w:pPr>
        <w:pStyle w:val="Heading4"/>
      </w:pPr>
      <w:r>
        <w:rPr>
          <w:lang w:val="en_US" w:bidi="en_US"/>
        </w:rPr>
        <w:t>Section 13:18–21: Jesus compared the kingdom of God to a seed and to yeast</w:t>
      </w:r>
    </w:p>
    <w:p>
      <w:pPr/>
      <w:r>
        <w:rPr>
          <w:lang w:val="en_US" w:bidi="en_US"/>
        </w:rPr>
      </w:r>
      <w:r>
        <w:rPr>
          <w:lang w:val="en_US" w:bidi="en_US"/>
        </w:rPr>
        <w:t>In this section Jesus told two parables that figuratively describe what the kingdom of God is like. The parable about the mustard seed illustrates the way God’s kingdom grows or expands. The parable about the yeast illustrates the powerful influence that God’s kingdom has in human society.</w:t>
      </w:r>
    </w:p>
    <w:p>
      <w:pPr/>
      <w:r>
        <w:rPr>
          <w:lang w:val="en_US" w:bidi="en_US"/>
        </w:rPr>
      </w:r>
      <w:r>
        <w:rPr>
          <w:lang w:val="en_US" w:bidi="en_US"/>
        </w:rPr>
        <w:t>Some other headings for this section are:</w:t>
      </w:r>
    </w:p>
    <w:p>
      <w:pPr/>
      <w:r>
        <w:rPr>
          <w:lang w:val="en_US" w:bidi="en_US"/>
        </w:rPr>
      </w:r>
      <w:r>
        <w:rPr>
          <w:lang w:val="en_US" w:bidi="en_US"/>
        </w:rPr>
        <w:t>Stories About a Mustard Seed and Yeast (GW)</w:t>
      </w:r>
    </w:p>
    <w:p>
      <w:pPr/>
      <w:r>
        <w:rPr>
          <w:lang w:val="en_US" w:bidi="en_US"/>
        </w:rPr>
      </w:r>
      <w:r>
        <w:rPr>
          <w:lang w:val="en_US" w:bidi="en_US"/>
        </w:rPr>
        <w:t>Two Parables About God’s Rule</w:t>
      </w:r>
    </w:p>
    <w:p>
      <w:pPr/>
      <w:r>
        <w:rPr>
          <w:lang w:val="en_US" w:bidi="en_US"/>
        </w:rPr>
      </w:r>
      <w:r>
        <w:rPr>
          <w:lang w:val="en_US" w:bidi="en_US"/>
        </w:rPr>
        <w:t>There are parallel passages for this section in Matthew 13:31–33 and Mark 4:30–32 (the mustard seed parable only).</w:t>
      </w:r>
    </w:p>
    <w:p>
      <w:pPr>
        <w:pStyle w:val="Heading5"/>
      </w:pPr>
      <w:r>
        <w:rPr>
          <w:lang w:val="en_US" w:bidi="en_US"/>
        </w:rPr>
        <w:t>13:18b</w:t>
      </w:r>
    </w:p>
    <w:p>
      <w:pPr/>
      <w:r>
        <w:rPr>
          <w:lang w:val="en_US" w:bidi="en_US"/>
        </w:rPr>
      </w:r>
      <w:r>
        <w:rPr>
          <w:b/>
          <w:lang w:val="en_US" w:bidi="en_US"/>
        </w:rPr>
        <w:t>To what can I compare it?</w:t>
      </w:r>
    </w:p>
    <w:p>
      <w:pPr>
        <w:pStyle w:val="ListBullet"/>
        <w:spacing w:line="240" w:lineRule="auto"/>
        <w:ind w:left="720"/>
      </w:pPr>
      <w:r>
        <w:rPr>
          <w:lang w:val="en_US" w:bidi="en_US"/>
        </w:rPr>
      </w:r>
      <w:r>
        <w:rPr>
          <w:lang w:val="en_US" w:bidi="en_US"/>
        </w:rPr>
        <w:t>What illustration/comparison would be appropriate?</w:t>
      </w:r>
    </w:p>
    <w:p>
      <w:pPr>
        <w:pStyle w:val="ListBullet"/>
        <w:spacing w:line="240" w:lineRule="auto"/>
        <w:ind w:left="720"/>
      </w:pPr>
      <w:r>
        <w:rPr>
          <w:lang w:val="en_US" w:bidi="en_US"/>
        </w:rPr>
      </w:r>
      <w:r>
        <w:rPr>
          <w:lang w:val="en_US" w:bidi="en_US"/>
        </w:rPr>
        <w:t>what God’s rule/kingdom is like.</w:t>
      </w:r>
    </w:p>
    <w:p>
      <w:pPr>
        <w:pStyle w:val="Heading5"/>
      </w:pPr>
      <w:r>
        <w:rPr>
          <w:lang w:val="en_US" w:bidi="en_US"/>
        </w:rPr>
        <w:t>13:18a–b</w:t>
      </w:r>
    </w:p>
    <w:p>
      <w:pPr/>
      <w:r>
        <w:rPr>
          <w:lang w:val="en_US" w:bidi="en_US"/>
        </w:rPr>
      </w:r>
      <w:r>
        <w:rPr>
          <w:b/>
          <w:lang w:val="en_US" w:bidi="en_US"/>
        </w:rPr>
        <w:t>What is the kingdom of God like? To what can I compare it?:</w:t>
      </w:r>
      <w:r>
        <w:rPr>
          <w:lang w:val="en_US" w:bidi="en_US"/>
        </w:rPr>
        <w:t xml:space="preserve"> Both these questions have basically the same meaning. In Greek, the first question is more literally, “What is the likeness/comparison of the kingdom of God?” The second question is, “To what shall I liken/compare it?” These similar questions draw attention to what Jesus was about to say.</w:t>
      </w:r>
    </w:p>
    <w:p>
      <w:pPr/>
      <w:r>
        <w:rPr>
          <w:lang w:val="en_US" w:bidi="en_US"/>
        </w:rPr>
      </w:r>
      <w:r>
        <w:rPr>
          <w:lang w:val="en_US" w:bidi="en_US"/>
        </w:rPr>
        <w:t>These are both rhetorical questions. Jesus used these rhetorical questions to introduce a new topic, the kingdom of God. He was inviting his listeners to think about that topic. He was not expecting an answer.</w:t>
      </w:r>
    </w:p>
    <w:p>
      <w:pPr/>
      <w:r>
        <w:rPr>
          <w:lang w:val="en_US" w:bidi="en_US"/>
        </w:rPr>
      </w:r>
      <w:r>
        <w:rPr>
          <w:lang w:val="en_US" w:bidi="en_US"/>
        </w:rPr>
        <w:t>Some ways to translate this introduction are:</w:t>
      </w:r>
    </w:p>
    <w:p>
      <w:pPr>
        <w:pStyle w:val="ListBullet"/>
        <w:spacing w:line="240" w:lineRule="auto"/>
        <w:ind w:left="720"/>
      </w:pPr>
      <w:r>
        <w:rPr>
          <w:lang w:val="en_US" w:bidi="en_US"/>
        </w:rPr>
      </w:r>
      <w:r>
        <w:rPr>
          <w:lang w:val="en_US" w:bidi="en_US"/>
        </w:rPr>
        <w:t>As rhetorical questions. For example:</w:t>
      </w:r>
      <w:r>
        <w:rPr>
          <w:lang w:val="en_US" w:bidi="en_US"/>
        </w:rPr>
        <w:t>What shall I compare the kingdom of God to? What is it like?</w:t>
      </w:r>
      <w:r>
        <w:rPr>
          <w:lang w:val="en_US" w:bidi="en_US"/>
        </w:rPr>
        <w:t>How shall we describe God’s rule? What’s a good illustration?</w:t>
      </w:r>
    </w:p>
    <w:p>
      <w:pPr>
        <w:pStyle w:val="ListBullet"/>
        <w:spacing w:line="240" w:lineRule="auto"/>
        <w:ind w:left="720"/>
      </w:pPr>
      <w:r>
        <w:rPr>
          <w:lang w:val="en_US" w:bidi="en_US"/>
        </w:rPr>
      </w:r>
      <w:r>
        <w:rPr>
          <w:lang w:val="en_US" w:bidi="en_US"/>
        </w:rPr>
        <w:t>As a statement or statements:</w:t>
      </w:r>
      <w:r>
        <w:rPr>
          <w:lang w:val="en_US" w:bidi="en_US"/>
        </w:rPr>
        <w:t>Let me tell you a story that illustrates what the kingdom of God is like.</w:t>
      </w:r>
      <w:r>
        <w:rPr>
          <w:lang w:val="en_US" w:bidi="en_US"/>
        </w:rPr>
        <w:t>I will give you an illustration/comparison about the kingdom of God. This is what it is like.</w:t>
      </w:r>
    </w:p>
    <w:p>
      <w:pPr>
        <w:pStyle w:val="ListBullet"/>
        <w:spacing w:line="240" w:lineRule="auto"/>
        <w:ind w:left="720"/>
      </w:pPr>
      <w:r>
        <w:rPr>
          <w:lang w:val="en_US" w:bidi="en_US"/>
        </w:rPr>
      </w:r>
      <w:r>
        <w:rPr>
          <w:lang w:val="en_US" w:bidi="en_US"/>
        </w:rPr>
        <w:t>As a rhetorical question followed by a statement:</w:t>
      </w:r>
      <w:r>
        <w:rPr>
          <w:lang w:val="en_US" w:bidi="en_US"/>
        </w:rPr>
        <w:t>To what shall we compare God’s rule? Here is a story/example we can use to describe it.</w:t>
      </w:r>
    </w:p>
    <w:p>
      <w:pPr/>
      <w:r>
        <w:rPr>
          <w:lang w:val="en_US" w:bidi="en_US"/>
        </w:rPr>
      </w:r>
      <w:r>
        <w:rPr>
          <w:lang w:val="en_US" w:bidi="en_US"/>
        </w:rPr>
        <w:t>Use whatever form is most natural in your language to introduce a new teaching.</w:t>
      </w:r>
    </w:p>
    <w:p>
      <w:pPr>
        <w:pStyle w:val="Heading5"/>
      </w:pPr>
      <w:r>
        <w:rPr>
          <w:lang w:val="en_US" w:bidi="en_US"/>
        </w:rPr>
        <w:t>13:18a</w:t>
      </w:r>
    </w:p>
    <w:p>
      <w:pPr/>
      <w:r>
        <w:rPr>
          <w:lang w:val="en_US" w:bidi="en_US"/>
        </w:rPr>
      </w:r>
      <w:r>
        <w:rPr>
          <w:b/>
          <w:lang w:val="en_US" w:bidi="en_US"/>
        </w:rPr>
        <w:t>Then Jesus asked, “What is the kingdom of God like?</w:t>
      </w:r>
    </w:p>
    <w:p>
      <w:pPr>
        <w:pStyle w:val="ListBullet"/>
        <w:spacing w:line="240" w:lineRule="auto"/>
        <w:ind w:left="720"/>
      </w:pPr>
      <w:r>
        <w:rPr>
          <w:lang w:val="en_US" w:bidi="en_US"/>
        </w:rPr>
      </w:r>
      <w:r>
        <w:rPr>
          <w:lang w:val="en_US" w:bidi="en_US"/>
        </w:rPr>
        <w:t>¶ Then Jesus asked, “When God rules people, what is it like?</w:t>
      </w:r>
    </w:p>
    <w:p>
      <w:pPr>
        <w:pStyle w:val="ListBullet"/>
        <w:spacing w:line="240" w:lineRule="auto"/>
        <w:ind w:left="720"/>
      </w:pPr>
      <w:r>
        <w:rPr>
          <w:lang w:val="en_US" w:bidi="en_US"/>
        </w:rPr>
      </w:r>
      <w:r>
        <w:rPr>
          <w:lang w:val="en_US" w:bidi="en_US"/>
        </w:rPr>
        <w:t>¶ Then Jesus said, “</w:t>
      </w:r>
      <w:r>
        <w:rPr>
          <w:lang w:val="en_US" w:bidi="en_US"/>
        </w:rPr>
        <w:t>Let me tell you</w:t>
      </w:r>
      <w:r>
        <w:rPr>
          <w:lang w:val="en_US" w:bidi="en_US"/>
        </w:rPr>
        <w:t xml:space="preserve"> a story that illustrates/shows</w:t>
      </w:r>
    </w:p>
    <w:p>
      <w:pPr/>
      <w:r>
        <w:rPr>
          <w:lang w:val="en_US" w:bidi="en_US"/>
        </w:rPr>
      </w:r>
      <w:r>
        <w:rPr>
          <w:b/>
          <w:lang w:val="en_US" w:bidi="en_US"/>
        </w:rPr>
        <w:t>the kingdom of God:</w:t>
      </w:r>
      <w:r>
        <w:rPr>
          <w:lang w:val="en_US" w:bidi="en_US"/>
        </w:rPr>
        <w:t xml:space="preserve"> The phrase </w:t>
      </w:r>
      <w:r>
        <w:rPr>
          <w:i/>
          <w:lang w:val="en_US" w:bidi="en_US"/>
        </w:rPr>
        <w:t>the kingdom of God</w:t>
      </w:r>
      <w:r>
        <w:rPr>
          <w:lang w:val="en_US" w:bidi="en_US"/>
        </w:rPr>
        <w:t xml:space="preserve"> refers here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As a noun. For example:</w:t>
      </w:r>
      <w:r>
        <w:rPr>
          <w:lang w:val="en_US" w:bidi="en_US"/>
        </w:rPr>
        <w:t>God’s rule/reign</w:t>
      </w:r>
      <w:r>
        <w:rPr>
          <w:lang w:val="en_US" w:bidi="en_US"/>
        </w:rPr>
        <w:t>God’s kingship</w:t>
      </w:r>
      <w:r>
        <w:rPr>
          <w:lang w:val="en_US" w:bidi="en_US"/>
        </w:rPr>
        <w:t>God’s chieftaincy</w:t>
      </w:r>
      <w:r>
        <w:rPr>
          <w:lang w:val="en_US" w:bidi="en_US"/>
        </w:rPr>
        <w:t>God’s government</w:t>
      </w:r>
    </w:p>
    <w:p>
      <w:pPr>
        <w:pStyle w:val="ListBullet"/>
        <w:spacing w:line="240" w:lineRule="auto"/>
        <w:ind w:left="720"/>
      </w:pPr>
      <w:r>
        <w:rPr>
          <w:lang w:val="en_US" w:bidi="en_US"/>
        </w:rPr>
      </w:r>
      <w:r>
        <w:rPr>
          <w:lang w:val="en_US" w:bidi="en_US"/>
        </w:rPr>
        <w:t>As a verbal expression:</w:t>
      </w:r>
      <w:r>
        <w:rPr>
          <w:lang w:val="en_US" w:bidi="en_US"/>
        </w:rPr>
        <w:t>the way God rules more and more people</w:t>
      </w:r>
    </w:p>
    <w:p>
      <w:pPr/>
      <w:r>
        <w:rPr>
          <w:lang w:val="en_US" w:bidi="en_US"/>
        </w:rPr>
      </w:r>
      <w:r>
        <w:rPr>
          <w:lang w:val="en_US" w:bidi="en_US"/>
        </w:rPr>
        <w:t>This phrase first occurs in Luke in 4:43a. See the notes on 4:43a and 9:2.</w:t>
      </w:r>
      <w:r>
        <w:rPr>
          <w:lang w:val="en_US" w:bidi="en_US"/>
        </w:rPr>
      </w:r>
      <w:r>
        <w:rPr>
          <w:lang w:val="en_US" w:bidi="en_US"/>
        </w:rPr>
      </w:r>
    </w:p>
    <w:p>
      <w:pPr/>
      <w:r>
        <w:rPr>
          <w:lang w:val="en_US" w:bidi="en_US"/>
        </w:rPr>
      </w:r>
    </w:p>
    <w:p>
      <w:pPr>
        <w:pStyle w:val="Heading2"/>
      </w:pPr>
      <w:r>
        <w:rPr>
          <w:lang w:val="en_US" w:bidi="en_US"/>
        </w:rPr>
        <w:t>Luke 13:19</w:t>
      </w:r>
      <w:r>
        <w:rPr>
          <w:lang w:val="en_US" w:bidi="en_US"/>
        </w:rPr>
      </w:r>
    </w:p>
    <w:p>
      <w:pPr>
        <w:pStyle w:val="Heading4"/>
      </w:pPr>
      <w:r>
        <w:rPr>
          <w:lang w:val="en_US" w:bidi="en_US"/>
        </w:rPr>
        <w:t>Section 13:18–21: Jesus compared the kingdom of God to a seed and to yeast</w:t>
      </w:r>
    </w:p>
    <w:p>
      <w:pPr/>
      <w:r>
        <w:rPr>
          <w:lang w:val="en_US" w:bidi="en_US"/>
        </w:rPr>
      </w:r>
      <w:r>
        <w:rPr>
          <w:lang w:val="en_US" w:bidi="en_US"/>
        </w:rPr>
        <w:t>In this section Jesus told two parables that figuratively describe what the kingdom of God is like. The parable about the mustard seed illustrates the way God’s kingdom grows or expands. The parable about the yeast illustrates the powerful influence that God’s kingdom has in human society.</w:t>
      </w:r>
    </w:p>
    <w:p>
      <w:pPr/>
      <w:r>
        <w:rPr>
          <w:lang w:val="en_US" w:bidi="en_US"/>
        </w:rPr>
      </w:r>
      <w:r>
        <w:rPr>
          <w:lang w:val="en_US" w:bidi="en_US"/>
        </w:rPr>
        <w:t>Some other headings for this section are:</w:t>
      </w:r>
    </w:p>
    <w:p>
      <w:pPr/>
      <w:r>
        <w:rPr>
          <w:lang w:val="en_US" w:bidi="en_US"/>
        </w:rPr>
      </w:r>
      <w:r>
        <w:rPr>
          <w:lang w:val="en_US" w:bidi="en_US"/>
        </w:rPr>
        <w:t>Stories About a Mustard Seed and Yeast (GW)</w:t>
      </w:r>
    </w:p>
    <w:p>
      <w:pPr/>
      <w:r>
        <w:rPr>
          <w:lang w:val="en_US" w:bidi="en_US"/>
        </w:rPr>
      </w:r>
      <w:r>
        <w:rPr>
          <w:lang w:val="en_US" w:bidi="en_US"/>
        </w:rPr>
        <w:t>Two Parables About God’s Rule</w:t>
      </w:r>
    </w:p>
    <w:p>
      <w:pPr/>
      <w:r>
        <w:rPr>
          <w:lang w:val="en_US" w:bidi="en_US"/>
        </w:rPr>
      </w:r>
      <w:r>
        <w:rPr>
          <w:lang w:val="en_US" w:bidi="en_US"/>
        </w:rPr>
        <w:t>There are parallel passages for this section in Matthew 13:31–33 and Mark 4:30–32 (the mustard seed parable only).</w:t>
      </w:r>
    </w:p>
    <w:p>
      <w:pPr>
        <w:pStyle w:val="Heading5"/>
      </w:pPr>
      <w:r>
        <w:rPr>
          <w:lang w:val="en_US" w:bidi="en_US"/>
        </w:rPr>
        <w:t>13:19a–c</w:t>
      </w:r>
    </w:p>
    <w:p>
      <w:pPr/>
      <w:r>
        <w:rPr>
          <w:lang w:val="en_US" w:bidi="en_US"/>
        </w:rPr>
      </w:r>
      <w:r>
        <w:rPr>
          <w:lang w:val="en_US" w:bidi="en_US"/>
        </w:rPr>
        <w:t>The BSB and most other English versions translate the parable in this verse using past-tense verbs such as “tossed,” “grew,” and “became.” A few versions, such as the CEV and GNT, use present-tense verbs such as “takes,” “plants,” and “grows.” Use whatever verb forms are natural in your language for this kind of parable.</w:t>
      </w:r>
    </w:p>
    <w:p>
      <w:pPr>
        <w:pStyle w:val="Heading5"/>
      </w:pPr>
      <w:r>
        <w:rPr>
          <w:lang w:val="en_US" w:bidi="en_US"/>
        </w:rPr>
        <w:t>13:19a</w:t>
      </w:r>
    </w:p>
    <w:p>
      <w:pPr/>
      <w:r>
        <w:rPr>
          <w:lang w:val="en_US" w:bidi="en_US"/>
        </w:rPr>
      </w:r>
      <w:r>
        <w:rPr>
          <w:b/>
          <w:lang w:val="en_US" w:bidi="en_US"/>
        </w:rPr>
        <w:t>It is like a mustard seed that a man tossed into his garden.</w:t>
      </w:r>
    </w:p>
    <w:p>
      <w:pPr>
        <w:pStyle w:val="ListBullet"/>
        <w:spacing w:line="240" w:lineRule="auto"/>
        <w:ind w:left="720"/>
      </w:pPr>
      <w:r>
        <w:rPr>
          <w:lang w:val="en_US" w:bidi="en_US"/>
        </w:rPr>
      </w:r>
      <w:r>
        <w:rPr>
          <w:lang w:val="en_US" w:bidi="en_US"/>
        </w:rPr>
        <w:t>It is like the seed of a mustard plant that someone planted in his garden.</w:t>
      </w:r>
    </w:p>
    <w:p>
      <w:pPr>
        <w:pStyle w:val="ListBullet"/>
        <w:spacing w:line="240" w:lineRule="auto"/>
        <w:ind w:left="720"/>
      </w:pPr>
      <w:r>
        <w:rPr>
          <w:lang w:val="en_US" w:bidi="en_US"/>
        </w:rPr>
      </w:r>
      <w:r>
        <w:rPr>
          <w:lang w:val="en_US" w:bidi="en_US"/>
        </w:rPr>
        <w:t xml:space="preserve">It is like </w:t>
      </w:r>
      <w:r>
        <w:rPr>
          <w:lang w:val="en_US" w:bidi="en_US"/>
        </w:rPr>
        <w:t>what happens to</w:t>
      </w:r>
      <w:r>
        <w:rPr>
          <w:lang w:val="en_US" w:bidi="en_US"/>
        </w:rPr>
        <w:t xml:space="preserve"> a tiny seed after a person plants it in his garden/field.</w:t>
      </w:r>
    </w:p>
    <w:p>
      <w:pPr/>
      <w:r>
        <w:rPr>
          <w:lang w:val="en_US" w:bidi="en_US"/>
        </w:rPr>
      </w:r>
      <w:r>
        <w:rPr>
          <w:b/>
          <w:lang w:val="en_US" w:bidi="en_US"/>
        </w:rPr>
        <w:t>It is like a mustard seed:</w:t>
      </w:r>
      <w:r>
        <w:rPr>
          <w:lang w:val="en_US" w:bidi="en_US"/>
        </w:rPr>
        <w:t xml:space="preserve"> The clause </w:t>
      </w:r>
      <w:r>
        <w:rPr>
          <w:i/>
          <w:lang w:val="en_US" w:bidi="en_US"/>
        </w:rPr>
        <w:t>It is like a mustard seed</w:t>
      </w:r>
      <w:r>
        <w:rPr>
          <w:lang w:val="en_US" w:bidi="en_US"/>
        </w:rPr>
        <w:t xml:space="preserve"> is a simile. It compares the kingdom of God to what happens when a mustard seed is planted. The Jewish people considered the </w:t>
      </w:r>
      <w:r>
        <w:rPr>
          <w:i/>
          <w:lang w:val="en_US" w:bidi="en_US"/>
        </w:rPr>
        <w:t>mustard seed</w:t>
      </w:r>
      <w:r>
        <w:rPr>
          <w:lang w:val="en_US" w:bidi="en_US"/>
        </w:rPr>
        <w:t xml:space="preserve"> to be a symbol of smallness. However, the mustard plant grew to be a tree as large as three meters (ten feet) high.</w:t>
      </w:r>
    </w:p>
    <w:p>
      <w:pPr/>
      <w:r>
        <w:rPr>
          <w:lang w:val="en_US" w:bidi="en_US"/>
        </w:rPr>
      </w:r>
      <w:r>
        <w:rPr>
          <w:lang w:val="en_US" w:bidi="en_US"/>
        </w:rPr>
        <w:t>The point of similarity in this comparison is the growth from something small to something large. Like the mustard plant, the kingdom of God is very small at its beginning, but it becomes very large.</w:t>
      </w:r>
    </w:p>
    <w:p>
      <w:pPr/>
      <w:r>
        <w:rPr>
          <w:lang w:val="en_US" w:bidi="en_US"/>
        </w:rPr>
      </w:r>
      <w:r>
        <w:rPr>
          <w:lang w:val="en_US" w:bidi="en_US"/>
        </w:rPr>
        <w:t>The following may be a good model because it makes clear that the comparison describes the whole growth process, not just what the seed is like:</w:t>
      </w:r>
    </w:p>
    <w:p>
      <w:pPr/>
      <w:r>
        <w:rPr>
          <w:lang w:val="en_US" w:bidi="en_US"/>
        </w:rPr>
      </w:r>
      <w:r>
        <w:rPr>
          <w:lang w:val="en_US" w:bidi="en_US"/>
        </w:rPr>
        <w:t>It is like what happens when someone plants a mustard seed in a garden. (CEV)</w:t>
      </w:r>
    </w:p>
    <w:p>
      <w:pPr/>
      <w:r>
        <w:rPr>
          <w:lang w:val="en_US" w:bidi="en_US"/>
        </w:rPr>
      </w:r>
      <w:r>
        <w:rPr>
          <w:b/>
          <w:lang w:val="en_US" w:bidi="en_US"/>
        </w:rPr>
        <w:t>mustard seed:</w:t>
      </w:r>
      <w:r>
        <w:rPr>
          <w:lang w:val="en_US" w:bidi="en_US"/>
        </w:rPr>
        <w:t xml:space="preserve"> If people in your language group do not know about mustard seeds or plants, here are some ways to translate </w:t>
      </w:r>
      <w:r>
        <w:rPr>
          <w:i/>
          <w:lang w:val="en_US" w:bidi="en_US"/>
        </w:rPr>
        <w:t>mustard seed</w:t>
      </w:r>
      <w:r>
        <w:rPr>
          <w:lang w:val="en_US" w:bidi="en_US"/>
        </w:rPr>
        <w:t>:</w:t>
      </w:r>
    </w:p>
    <w:p>
      <w:pPr>
        <w:pStyle w:val="ListBullet"/>
        <w:spacing w:line="240" w:lineRule="auto"/>
        <w:ind w:left="720"/>
      </w:pPr>
      <w:r>
        <w:rPr>
          <w:lang w:val="en_US" w:bidi="en_US"/>
        </w:rPr>
      </w:r>
      <w:r>
        <w:rPr>
          <w:lang w:val="en_US" w:bidi="en_US"/>
        </w:rPr>
        <w:t>Use a loan-word along with a general term if necessary. For example:</w:t>
      </w:r>
      <w:r>
        <w:rPr>
          <w:lang w:val="en_US" w:bidi="en_US"/>
        </w:rPr>
        <w:t xml:space="preserve">a seed of </w:t>
      </w:r>
      <w:r>
        <w:rPr>
          <w:lang w:val="en_US" w:bidi="en_US"/>
        </w:rPr>
        <w:t>the plant/tree called</w:t>
      </w:r>
      <w:r>
        <w:rPr>
          <w:lang w:val="en_US" w:bidi="en_US"/>
        </w:rPr>
        <w:t xml:space="preserve"> mustard</w:t>
      </w:r>
    </w:p>
    <w:p>
      <w:pPr>
        <w:pStyle w:val="ListBullet"/>
        <w:spacing w:line="240" w:lineRule="auto"/>
        <w:ind w:left="720"/>
      </w:pPr>
      <w:r>
        <w:rPr>
          <w:lang w:val="en_US" w:bidi="en_US"/>
        </w:rPr>
      </w:r>
      <w:r>
        <w:rPr>
          <w:lang w:val="en_US" w:bidi="en_US"/>
        </w:rPr>
        <w:t>Use a descriptive phrase. For example:</w:t>
      </w:r>
      <w:r>
        <w:rPr>
          <w:lang w:val="en_US" w:bidi="en_US"/>
        </w:rPr>
        <w:t>a tiny seed</w:t>
      </w:r>
    </w:p>
    <w:p>
      <w:pPr>
        <w:pStyle w:val="ListBullet"/>
        <w:spacing w:line="240" w:lineRule="auto"/>
        <w:ind w:left="720"/>
      </w:pPr>
      <w:r>
        <w:rPr>
          <w:lang w:val="en_US" w:bidi="en_US"/>
        </w:rPr>
      </w:r>
      <w:r>
        <w:rPr>
          <w:lang w:val="en_US" w:bidi="en_US"/>
        </w:rPr>
        <w:t>Use the name of a local seed that is known to be very small, but which grows into a tree. If you use this option, you may want to indicate the literal name in a footnote. For example, you could say in the footnote:</w:t>
      </w:r>
      <w:r>
        <w:rPr>
          <w:lang w:val="en_US" w:bidi="en_US"/>
        </w:rPr>
        <w:t>The Greek text is literally “a mustard seed.”</w:t>
      </w:r>
    </w:p>
    <w:p>
      <w:pPr/>
      <w:r>
        <w:rPr>
          <w:lang w:val="en_US" w:bidi="en_US"/>
        </w:rPr>
      </w:r>
      <w:r>
        <w:rPr>
          <w:lang w:val="en_US" w:bidi="en_US"/>
        </w:rPr>
        <w:t xml:space="preserve">Regardless of the way you translate </w:t>
      </w:r>
      <w:r>
        <w:rPr>
          <w:i/>
          <w:lang w:val="en_US" w:bidi="en_US"/>
        </w:rPr>
        <w:t>mustard seed</w:t>
      </w:r>
      <w:r>
        <w:rPr>
          <w:lang w:val="en_US" w:bidi="en_US"/>
        </w:rPr>
        <w:t>, you may want to add a footnote that explains the significance of mustard seed in the Jewish culture. For example:</w:t>
      </w:r>
    </w:p>
    <w:p>
      <w:pPr/>
      <w:r>
        <w:rPr>
          <w:lang w:val="en_US" w:bidi="en_US"/>
        </w:rPr>
      </w:r>
      <w:r>
        <w:rPr>
          <w:lang w:val="en_US" w:bidi="en_US"/>
        </w:rPr>
        <w:t>For the Jews, the mustard seed was a symbol of something that was very small. But the mustard seed that was planted in the country of the Jews grew into a tree that was three meters high.</w:t>
      </w:r>
    </w:p>
    <w:p>
      <w:pPr/>
      <w:r>
        <w:rPr>
          <w:lang w:val="en_US" w:bidi="en_US"/>
        </w:rPr>
      </w:r>
      <w:r>
        <w:rPr>
          <w:b/>
          <w:lang w:val="en_US" w:bidi="en_US"/>
        </w:rPr>
        <w:t>a man tossed into his garden:</w:t>
      </w:r>
      <w:r>
        <w:rPr>
          <w:lang w:val="en_US" w:bidi="en_US"/>
        </w:rPr>
        <w:t xml:space="preserve"> The Greek phrase that the BSB translates as </w:t>
      </w:r>
      <w:r>
        <w:rPr>
          <w:i/>
          <w:lang w:val="en_US" w:bidi="en_US"/>
        </w:rPr>
        <w:t>a man tossed</w:t>
      </w:r>
      <w:r>
        <w:rPr>
          <w:lang w:val="en_US" w:bidi="en_US"/>
        </w:rPr>
        <w:t xml:space="preserve"> is literally “taking, a man threw.” The word “taking” means that the man picked up the seed with his hand. In some languages it may be more natural to leave this action implicit. The Greek word that the BSB translates as </w:t>
      </w:r>
      <w:r>
        <w:rPr>
          <w:i/>
          <w:lang w:val="en_US" w:bidi="en_US"/>
        </w:rPr>
        <w:t>tossed</w:t>
      </w:r>
      <w:r>
        <w:rPr>
          <w:lang w:val="en_US" w:bidi="en_US"/>
        </w:rPr>
        <w:t xml:space="preserve"> here means to sow or scatter seed on the ground. The method of planting is not in focus here. You may use whatever term is natural in your language for planting this kind of seed in a vegetable garden or field.</w:t>
      </w:r>
    </w:p>
    <w:p>
      <w:pPr>
        <w:pStyle w:val="Heading5"/>
      </w:pPr>
      <w:r>
        <w:rPr>
          <w:lang w:val="en_US" w:bidi="en_US"/>
        </w:rPr>
        <w:t>13:19b</w:t>
      </w:r>
    </w:p>
    <w:p>
      <w:pPr/>
      <w:r>
        <w:rPr>
          <w:lang w:val="en_US" w:bidi="en_US"/>
        </w:rPr>
      </w:r>
      <w:r>
        <w:rPr>
          <w:b/>
          <w:lang w:val="en_US" w:bidi="en_US"/>
        </w:rPr>
        <w:t>It grew and became a tree,</w:t>
      </w:r>
    </w:p>
    <w:p>
      <w:pPr>
        <w:pStyle w:val="ListBullet"/>
        <w:spacing w:line="240" w:lineRule="auto"/>
        <w:ind w:left="720"/>
      </w:pPr>
      <w:r>
        <w:rPr>
          <w:lang w:val="en_US" w:bidi="en_US"/>
        </w:rPr>
      </w:r>
      <w:r>
        <w:rPr>
          <w:lang w:val="en_US" w:bidi="en_US"/>
        </w:rPr>
        <w:t xml:space="preserve">It grew and became </w:t>
      </w:r>
      <w:r>
        <w:rPr>
          <w:lang w:val="en_US" w:bidi="en_US"/>
        </w:rPr>
        <w:t>as large as</w:t>
      </w:r>
      <w:r>
        <w:rPr>
          <w:lang w:val="en_US" w:bidi="en_US"/>
        </w:rPr>
        <w:t xml:space="preserve"> a tree,</w:t>
      </w:r>
    </w:p>
    <w:p>
      <w:pPr>
        <w:pStyle w:val="ListBullet"/>
        <w:spacing w:line="240" w:lineRule="auto"/>
        <w:ind w:left="720"/>
      </w:pPr>
      <w:r>
        <w:rPr>
          <w:lang w:val="en_US" w:bidi="en_US"/>
        </w:rPr>
      </w:r>
      <w:r>
        <w:rPr>
          <w:lang w:val="en_US" w:bidi="en_US"/>
        </w:rPr>
        <w:t>It grows until it becomes a large plant/bush,</w:t>
      </w:r>
    </w:p>
    <w:p>
      <w:pPr/>
      <w:r>
        <w:rPr>
          <w:lang w:val="en_US" w:bidi="en_US"/>
        </w:rPr>
      </w:r>
      <w:r>
        <w:rPr>
          <w:b/>
          <w:lang w:val="en_US" w:bidi="en_US"/>
        </w:rPr>
        <w:t>It grew and became a tree:</w:t>
      </w:r>
      <w:r>
        <w:rPr>
          <w:lang w:val="en_US" w:bidi="en_US"/>
        </w:rPr>
        <w:t xml:space="preserve"> The Greek word that the BSB translates as </w:t>
      </w:r>
      <w:r>
        <w:rPr>
          <w:i/>
          <w:lang w:val="en_US" w:bidi="en_US"/>
        </w:rPr>
        <w:t>tree</w:t>
      </w:r>
      <w:r>
        <w:rPr>
          <w:lang w:val="en_US" w:bidi="en_US"/>
        </w:rPr>
        <w:t xml:space="preserve"> may refer to either a tree or bush. Most English versions have </w:t>
      </w:r>
      <w:r>
        <w:rPr>
          <w:i/>
          <w:lang w:val="en_US" w:bidi="en_US"/>
        </w:rPr>
        <w:t>tree</w:t>
      </w:r>
      <w:r>
        <w:rPr>
          <w:lang w:val="en_US" w:bidi="en_US"/>
        </w:rPr>
        <w:t>. However, another way to translate this is:</w:t>
      </w:r>
    </w:p>
    <w:p>
      <w:pPr/>
      <w:r>
        <w:rPr>
          <w:lang w:val="en_US" w:bidi="en_US"/>
        </w:rPr>
      </w:r>
      <w:r>
        <w:rPr>
          <w:lang w:val="en_US" w:bidi="en_US"/>
        </w:rPr>
        <w:t>When it was fully grown, it became a large bush (NAB)</w:t>
      </w:r>
    </w:p>
    <w:p>
      <w:pPr/>
      <w:r>
        <w:rPr>
          <w:lang w:val="en_US" w:bidi="en_US"/>
        </w:rPr>
      </w:r>
      <w:r>
        <w:rPr>
          <w:lang w:val="en_US" w:bidi="en_US"/>
        </w:rPr>
        <w:t>In some languages it may not be possible to refer to a mustard plant as a “tree” and there may not be a term such as “bush” or “shrub.” If that is true in your language, you may describe the growth of the mustard using other terms. For example:</w:t>
      </w:r>
    </w:p>
    <w:p>
      <w:pPr/>
      <w:r>
        <w:rPr>
          <w:lang w:val="en_US" w:bidi="en_US"/>
        </w:rPr>
      </w:r>
      <w:r>
        <w:rPr>
          <w:lang w:val="en_US" w:bidi="en_US"/>
        </w:rPr>
        <w:t>grows as big as a tree (CEV)</w:t>
      </w:r>
    </w:p>
    <w:p>
      <w:pPr/>
      <w:r>
        <w:rPr>
          <w:lang w:val="en_US" w:bidi="en_US"/>
        </w:rPr>
      </w:r>
      <w:r>
        <w:rPr>
          <w:lang w:val="en_US" w:bidi="en_US"/>
        </w:rPr>
        <w:t>grew until it was a very large plant</w:t>
      </w:r>
    </w:p>
    <w:p>
      <w:pPr>
        <w:pStyle w:val="Heading5"/>
      </w:pPr>
      <w:r>
        <w:rPr>
          <w:lang w:val="en_US" w:bidi="en_US"/>
        </w:rPr>
        <w:t>13:19c</w:t>
      </w:r>
    </w:p>
    <w:p>
      <w:pPr/>
      <w:r>
        <w:rPr>
          <w:lang w:val="en_US" w:bidi="en_US"/>
        </w:rPr>
      </w:r>
      <w:r>
        <w:rPr>
          <w:b/>
          <w:lang w:val="en_US" w:bidi="en_US"/>
        </w:rPr>
        <w:t>and the birds of the air nested in its branches.”</w:t>
      </w:r>
    </w:p>
    <w:p>
      <w:pPr>
        <w:pStyle w:val="ListBullet"/>
        <w:spacing w:line="240" w:lineRule="auto"/>
        <w:ind w:left="720"/>
      </w:pPr>
      <w:r>
        <w:rPr>
          <w:lang w:val="en_US" w:bidi="en_US"/>
        </w:rPr>
      </w:r>
      <w:r>
        <w:rPr>
          <w:lang w:val="en_US" w:bidi="en_US"/>
        </w:rPr>
        <w:t>and birds roost/rest/shelter in its branches.”</w:t>
      </w:r>
    </w:p>
    <w:p>
      <w:pPr>
        <w:pStyle w:val="ListBullet"/>
        <w:spacing w:line="240" w:lineRule="auto"/>
        <w:ind w:left="720"/>
      </w:pPr>
      <w:r>
        <w:rPr>
          <w:lang w:val="en_US" w:bidi="en_US"/>
        </w:rPr>
      </w:r>
      <w:r>
        <w:rPr>
          <w:lang w:val="en_US" w:bidi="en_US"/>
        </w:rPr>
        <w:t>and birds make their nests/homes in its branches.”</w:t>
      </w:r>
    </w:p>
    <w:p>
      <w:pPr/>
      <w:r>
        <w:rPr>
          <w:lang w:val="en_US" w:bidi="en_US"/>
        </w:rPr>
      </w:r>
      <w:r>
        <w:rPr>
          <w:b/>
          <w:lang w:val="en_US" w:bidi="en_US"/>
        </w:rPr>
        <w:t>the birds of the air:</w:t>
      </w:r>
      <w:r>
        <w:rPr>
          <w:lang w:val="en_US" w:bidi="en_US"/>
        </w:rPr>
        <w:t xml:space="preserve"> The Greek phrase that the BSB translates as </w:t>
      </w:r>
      <w:r>
        <w:rPr>
          <w:i/>
          <w:lang w:val="en_US" w:bidi="en_US"/>
        </w:rPr>
        <w:t>the birds of the air</w:t>
      </w:r>
      <w:r>
        <w:rPr>
          <w:lang w:val="en_US" w:bidi="en_US"/>
        </w:rPr>
        <w:t xml:space="preserve"> was a common way to refer to wild birds that can fly. In some languages it may be more natural to simply use a general word. For example:</w:t>
      </w:r>
    </w:p>
    <w:p>
      <w:pPr/>
      <w:r>
        <w:rPr>
          <w:lang w:val="en_US" w:bidi="en_US"/>
        </w:rPr>
      </w:r>
      <w:r>
        <w:rPr>
          <w:lang w:val="en_US" w:bidi="en_US"/>
        </w:rPr>
        <w:t>birds (GNT)</w:t>
      </w:r>
    </w:p>
    <w:p>
      <w:pPr/>
      <w:r>
        <w:rPr>
          <w:lang w:val="en_US" w:bidi="en_US"/>
        </w:rPr>
      </w:r>
      <w:r>
        <w:rPr>
          <w:lang w:val="en_US" w:bidi="en_US"/>
        </w:rPr>
        <w:t>The same phrase occurs in 8:5.</w:t>
      </w:r>
    </w:p>
    <w:p>
      <w:pPr/>
      <w:r>
        <w:rPr>
          <w:lang w:val="en_US" w:bidi="en_US"/>
        </w:rPr>
      </w:r>
      <w:r>
        <w:rPr>
          <w:b/>
          <w:lang w:val="en_US" w:bidi="en_US"/>
        </w:rPr>
        <w:t>nested in its branches:</w:t>
      </w:r>
      <w:r>
        <w:rPr>
          <w:lang w:val="en_US" w:bidi="en_US"/>
        </w:rPr>
        <w:t xml:space="preserve"> The Greek word that the BSB translates as </w:t>
      </w:r>
      <w:r>
        <w:rPr>
          <w:i/>
          <w:lang w:val="en_US" w:bidi="en_US"/>
        </w:rPr>
        <w:t>nested</w:t>
      </w:r>
      <w:r>
        <w:rPr>
          <w:lang w:val="en_US" w:bidi="en_US"/>
        </w:rPr>
        <w:t xml:space="preserve"> usually means “made a home.” In this context it may also refer to roosting or finding temporary shelter. Some ways to translate this verb are:</w:t>
      </w:r>
    </w:p>
    <w:p>
      <w:pPr/>
      <w:r>
        <w:rPr>
          <w:lang w:val="en_US" w:bidi="en_US"/>
        </w:rPr>
      </w:r>
      <w:r>
        <w:rPr>
          <w:lang w:val="en_US" w:bidi="en_US"/>
        </w:rPr>
        <w:t>make their nests (GNT)</w:t>
      </w:r>
    </w:p>
    <w:p>
      <w:pPr/>
      <w:r>
        <w:rPr>
          <w:lang w:val="en_US" w:bidi="en_US"/>
        </w:rPr>
      </w:r>
      <w:r>
        <w:rPr>
          <w:lang w:val="en_US" w:bidi="en_US"/>
        </w:rPr>
        <w:t>sheltered (NJB)</w:t>
      </w:r>
    </w:p>
    <w:p>
      <w:pPr/>
      <w:r>
        <w:rPr>
          <w:lang w:val="en_US" w:bidi="en_US"/>
        </w:rPr>
      </w:r>
      <w:r>
        <w:rPr>
          <w:lang w:val="en_US" w:bidi="en_US"/>
        </w:rPr>
        <w:t>came to roost (REB)</w:t>
      </w:r>
    </w:p>
    <w:p>
      <w:pPr/>
      <w:r>
        <w:rPr>
          <w:lang w:val="en_US" w:bidi="en_US"/>
        </w:rPr>
      </w:r>
      <w:r>
        <w:rPr>
          <w:lang w:val="en_US" w:bidi="en_US"/>
        </w:rPr>
        <w:t>perched (NIV)</w:t>
      </w:r>
    </w:p>
    <w:p>
      <w:pPr/>
      <w:r>
        <w:rPr>
          <w:lang w:val="en_US" w:bidi="en_US"/>
        </w:rPr>
      </w:r>
      <w:r>
        <w:rPr>
          <w:lang w:val="en_US" w:bidi="en_US"/>
        </w:rPr>
        <w:t>Use a natural term in your language that describes what birds might do in a plant of this size.</w:t>
      </w:r>
      <w:r>
        <w:rPr>
          <w:lang w:val="en_US" w:bidi="en_US"/>
        </w:rPr>
      </w:r>
      <w:r>
        <w:rPr>
          <w:lang w:val="en_US" w:bidi="en_US"/>
        </w:rPr>
      </w:r>
    </w:p>
    <w:p>
      <w:pPr/>
      <w:r>
        <w:rPr>
          <w:lang w:val="en_US" w:bidi="en_US"/>
        </w:rPr>
      </w:r>
    </w:p>
    <w:p>
      <w:pPr>
        <w:pStyle w:val="Heading2"/>
      </w:pPr>
      <w:r>
        <w:rPr>
          <w:lang w:val="en_US" w:bidi="en_US"/>
        </w:rPr>
        <w:t>Luke 13:20</w:t>
      </w:r>
      <w:r>
        <w:rPr>
          <w:lang w:val="en_US" w:bidi="en_US"/>
        </w:rPr>
      </w:r>
    </w:p>
    <w:p>
      <w:pPr>
        <w:pStyle w:val="Heading4"/>
      </w:pPr>
      <w:r>
        <w:rPr>
          <w:lang w:val="en_US" w:bidi="en_US"/>
        </w:rPr>
        <w:t>Section 13:18–21: Jesus compared the kingdom of God to a seed and to yeast</w:t>
      </w:r>
    </w:p>
    <w:p>
      <w:pPr/>
      <w:r>
        <w:rPr>
          <w:lang w:val="en_US" w:bidi="en_US"/>
        </w:rPr>
      </w:r>
      <w:r>
        <w:rPr>
          <w:lang w:val="en_US" w:bidi="en_US"/>
        </w:rPr>
        <w:t>In this section Jesus told two parables that figuratively describe what the kingdom of God is like. The parable about the mustard seed illustrates the way God’s kingdom grows or expands. The parable about the yeast illustrates the powerful influence that God’s kingdom has in human society.</w:t>
      </w:r>
    </w:p>
    <w:p>
      <w:pPr/>
      <w:r>
        <w:rPr>
          <w:lang w:val="en_US" w:bidi="en_US"/>
        </w:rPr>
      </w:r>
      <w:r>
        <w:rPr>
          <w:lang w:val="en_US" w:bidi="en_US"/>
        </w:rPr>
        <w:t>Some other headings for this section are:</w:t>
      </w:r>
    </w:p>
    <w:p>
      <w:pPr/>
      <w:r>
        <w:rPr>
          <w:lang w:val="en_US" w:bidi="en_US"/>
        </w:rPr>
      </w:r>
      <w:r>
        <w:rPr>
          <w:lang w:val="en_US" w:bidi="en_US"/>
        </w:rPr>
        <w:t>Stories About a Mustard Seed and Yeast (GW)</w:t>
      </w:r>
    </w:p>
    <w:p>
      <w:pPr/>
      <w:r>
        <w:rPr>
          <w:lang w:val="en_US" w:bidi="en_US"/>
        </w:rPr>
      </w:r>
      <w:r>
        <w:rPr>
          <w:lang w:val="en_US" w:bidi="en_US"/>
        </w:rPr>
        <w:t>Two Parables About God’s Rule</w:t>
      </w:r>
    </w:p>
    <w:p>
      <w:pPr/>
      <w:r>
        <w:rPr>
          <w:lang w:val="en_US" w:bidi="en_US"/>
        </w:rPr>
      </w:r>
      <w:r>
        <w:rPr>
          <w:lang w:val="en_US" w:bidi="en_US"/>
        </w:rPr>
        <w:t>There are parallel passages for this section in Matthew 13:31–33 and Mark 4:30–32 (the mustard seed parable only).</w:t>
      </w:r>
    </w:p>
    <w:p>
      <w:pPr>
        <w:pStyle w:val="Heading5"/>
      </w:pPr>
      <w:r>
        <w:rPr>
          <w:lang w:val="en_US" w:bidi="en_US"/>
        </w:rPr>
        <w:t>13:20</w:t>
      </w:r>
    </w:p>
    <w:p>
      <w:pPr/>
      <w:r>
        <w:rPr>
          <w:lang w:val="en_US" w:bidi="en_US"/>
        </w:rPr>
      </w:r>
      <w:r>
        <w:rPr>
          <w:b/>
          <w:lang w:val="en_US" w:bidi="en_US"/>
        </w:rPr>
        <w:t>Again He asked, “To what can I compare the kingdom of God?</w:t>
      </w:r>
    </w:p>
    <w:p>
      <w:pPr>
        <w:pStyle w:val="ListBullet"/>
        <w:spacing w:line="240" w:lineRule="auto"/>
        <w:ind w:left="720"/>
      </w:pPr>
      <w:r>
        <w:rPr>
          <w:lang w:val="en_US" w:bidi="en_US"/>
        </w:rPr>
      </w:r>
      <w:r>
        <w:rPr>
          <w:lang w:val="en_US" w:bidi="en_US"/>
        </w:rPr>
        <w:t xml:space="preserve">¶ Jesus also asked, “What </w:t>
      </w:r>
      <w:r>
        <w:rPr>
          <w:lang w:val="en_US" w:bidi="en_US"/>
        </w:rPr>
        <w:t>else</w:t>
      </w:r>
      <w:r>
        <w:rPr>
          <w:lang w:val="en_US" w:bidi="en_US"/>
        </w:rPr>
        <w:t xml:space="preserve"> shall I compare God’s rule with?</w:t>
      </w:r>
    </w:p>
    <w:p>
      <w:pPr>
        <w:pStyle w:val="ListBullet"/>
        <w:spacing w:line="240" w:lineRule="auto"/>
        <w:ind w:left="720"/>
      </w:pPr>
      <w:r>
        <w:rPr>
          <w:lang w:val="en_US" w:bidi="en_US"/>
        </w:rPr>
      </w:r>
      <w:r>
        <w:rPr>
          <w:lang w:val="en_US" w:bidi="en_US"/>
        </w:rPr>
        <w:t>¶ Then Jesus said again, “I will now tell you another story/comparison about God’s kingdom/rule.</w:t>
      </w:r>
    </w:p>
    <w:p>
      <w:pPr/>
      <w:r>
        <w:rPr>
          <w:lang w:val="en_US" w:bidi="en_US"/>
        </w:rPr>
      </w:r>
      <w:r>
        <w:rPr>
          <w:lang w:val="en_US" w:bidi="en_US"/>
        </w:rPr>
        <w:t>This paragraph introduces the second of two brief parables describing what God’s kingdom is like. In the Greek text this paragraph begins with a conjunction. Some English versions, such as the RSV, translate it as “And.” Other versions, such as the CEV. translate it as “Then.” The BSB does not translate this word. You should use a natural way in your language to introduce another similar illustration.</w:t>
      </w:r>
    </w:p>
    <w:p>
      <w:pPr/>
      <w:r>
        <w:rPr>
          <w:lang w:val="en_US" w:bidi="en_US"/>
        </w:rPr>
      </w:r>
      <w:r>
        <w:rPr>
          <w:b/>
          <w:lang w:val="en_US" w:bidi="en_US"/>
        </w:rPr>
        <w:t>Again He asked:</w:t>
      </w:r>
      <w:r>
        <w:rPr>
          <w:lang w:val="en_US" w:bidi="en_US"/>
        </w:rPr>
        <w:t xml:space="preserve"> The word </w:t>
      </w:r>
      <w:r>
        <w:rPr>
          <w:i/>
          <w:lang w:val="en_US" w:bidi="en_US"/>
        </w:rPr>
        <w:t>Again</w:t>
      </w:r>
      <w:r>
        <w:rPr>
          <w:lang w:val="en_US" w:bidi="en_US"/>
        </w:rPr>
        <w:t xml:space="preserve"> refers to the fact that Jesus had asked a similar question in 13:18.</w:t>
      </w:r>
    </w:p>
    <w:p>
      <w:pPr/>
      <w:r>
        <w:rPr>
          <w:lang w:val="en_US" w:bidi="en_US"/>
        </w:rPr>
      </w:r>
      <w:r>
        <w:rPr>
          <w:b/>
          <w:lang w:val="en_US" w:bidi="en_US"/>
        </w:rPr>
        <w:t>To what can I compare the kingdom of God?:</w:t>
      </w:r>
      <w:r>
        <w:rPr>
          <w:lang w:val="en_US" w:bidi="en_US"/>
        </w:rPr>
        <w:t xml:space="preserve"> This is a rhetorical question. Translate this rhetorical question as you translated a similar question in 13:18.</w:t>
      </w:r>
    </w:p>
    <w:p>
      <w:pPr/>
      <w:r>
        <w:rPr>
          <w:lang w:val="en_US" w:bidi="en_US"/>
        </w:rPr>
      </w:r>
      <w:r>
        <w:rPr>
          <w:b/>
          <w:lang w:val="en_US" w:bidi="en_US"/>
        </w:rPr>
        <w:t>kingdom of God:</w:t>
      </w:r>
      <w:r>
        <w:rPr>
          <w:lang w:val="en_US" w:bidi="en_US"/>
        </w:rPr>
        <w:t xml:space="preserve"> The phrase </w:t>
      </w:r>
      <w:r>
        <w:rPr>
          <w:i/>
          <w:lang w:val="en_US" w:bidi="en_US"/>
        </w:rPr>
        <w:t>kingdom of God</w:t>
      </w:r>
      <w:r>
        <w:rPr>
          <w:lang w:val="en_US" w:bidi="en_US"/>
        </w:rPr>
        <w:t xml:space="preserve"> also occurs in 13:18a.</w:t>
      </w:r>
      <w:r>
        <w:rPr>
          <w:lang w:val="en_US" w:bidi="en_US"/>
        </w:rPr>
      </w:r>
      <w:r>
        <w:rPr>
          <w:lang w:val="en_US" w:bidi="en_US"/>
        </w:rPr>
      </w:r>
    </w:p>
    <w:p>
      <w:pPr/>
      <w:r>
        <w:rPr>
          <w:lang w:val="en_US" w:bidi="en_US"/>
        </w:rPr>
      </w:r>
    </w:p>
    <w:p>
      <w:pPr>
        <w:pStyle w:val="Heading2"/>
      </w:pPr>
      <w:r>
        <w:rPr>
          <w:lang w:val="en_US" w:bidi="en_US"/>
        </w:rPr>
        <w:t>Luke 13:21</w:t>
      </w:r>
      <w:r>
        <w:rPr>
          <w:lang w:val="en_US" w:bidi="en_US"/>
        </w:rPr>
      </w:r>
    </w:p>
    <w:p>
      <w:pPr>
        <w:pStyle w:val="Heading4"/>
      </w:pPr>
      <w:r>
        <w:rPr>
          <w:lang w:val="en_US" w:bidi="en_US"/>
        </w:rPr>
        <w:t>Section 13:18–21: Jesus compared the kingdom of God to a seed and to yeast</w:t>
      </w:r>
    </w:p>
    <w:p>
      <w:pPr/>
      <w:r>
        <w:rPr>
          <w:lang w:val="en_US" w:bidi="en_US"/>
        </w:rPr>
      </w:r>
      <w:r>
        <w:rPr>
          <w:lang w:val="en_US" w:bidi="en_US"/>
        </w:rPr>
        <w:t>In this section Jesus told two parables that figuratively describe what the kingdom of God is like. The parable about the mustard seed illustrates the way God’s kingdom grows or expands. The parable about the yeast illustrates the powerful influence that God’s kingdom has in human society.</w:t>
      </w:r>
    </w:p>
    <w:p>
      <w:pPr/>
      <w:r>
        <w:rPr>
          <w:lang w:val="en_US" w:bidi="en_US"/>
        </w:rPr>
      </w:r>
      <w:r>
        <w:rPr>
          <w:lang w:val="en_US" w:bidi="en_US"/>
        </w:rPr>
        <w:t>Some other headings for this section are:</w:t>
      </w:r>
    </w:p>
    <w:p>
      <w:pPr/>
      <w:r>
        <w:rPr>
          <w:lang w:val="en_US" w:bidi="en_US"/>
        </w:rPr>
      </w:r>
      <w:r>
        <w:rPr>
          <w:lang w:val="en_US" w:bidi="en_US"/>
        </w:rPr>
        <w:t>Stories About a Mustard Seed and Yeast (GW)</w:t>
      </w:r>
    </w:p>
    <w:p>
      <w:pPr/>
      <w:r>
        <w:rPr>
          <w:lang w:val="en_US" w:bidi="en_US"/>
        </w:rPr>
      </w:r>
      <w:r>
        <w:rPr>
          <w:lang w:val="en_US" w:bidi="en_US"/>
        </w:rPr>
        <w:t>Two Parables About God’s Rule</w:t>
      </w:r>
    </w:p>
    <w:p>
      <w:pPr/>
      <w:r>
        <w:rPr>
          <w:lang w:val="en_US" w:bidi="en_US"/>
        </w:rPr>
      </w:r>
      <w:r>
        <w:rPr>
          <w:lang w:val="en_US" w:bidi="en_US"/>
        </w:rPr>
        <w:t>There are parallel passages for this section in Matthew 13:31–33 and Mark 4:30–32 (the mustard seed parable only).</w:t>
      </w:r>
    </w:p>
    <w:p>
      <w:pPr>
        <w:pStyle w:val="Heading5"/>
      </w:pPr>
      <w:r>
        <w:rPr>
          <w:lang w:val="en_US" w:bidi="en_US"/>
        </w:rPr>
        <w:t>13:21a</w:t>
      </w:r>
    </w:p>
    <w:p>
      <w:pPr/>
      <w:r>
        <w:rPr>
          <w:lang w:val="en_US" w:bidi="en_US"/>
        </w:rPr>
      </w:r>
      <w:r>
        <w:rPr>
          <w:b/>
          <w:lang w:val="en_US" w:bidi="en_US"/>
        </w:rPr>
        <w:t>It is like leaven that a woman took and mixed into three measures of flour,</w:t>
      </w:r>
    </w:p>
    <w:p>
      <w:pPr>
        <w:pStyle w:val="ListBullet"/>
        <w:spacing w:line="240" w:lineRule="auto"/>
        <w:ind w:left="720"/>
      </w:pPr>
      <w:r>
        <w:rPr>
          <w:lang w:val="en_US" w:bidi="en_US"/>
        </w:rPr>
      </w:r>
      <w:r>
        <w:rPr>
          <w:lang w:val="en_US" w:bidi="en_US"/>
        </w:rPr>
        <w:t>It is like yeast that a woman mixed into much flour</w:t>
      </w:r>
    </w:p>
    <w:p>
      <w:pPr>
        <w:pStyle w:val="ListBullet"/>
        <w:spacing w:line="240" w:lineRule="auto"/>
        <w:ind w:left="720"/>
      </w:pPr>
      <w:r>
        <w:rPr>
          <w:lang w:val="en_US" w:bidi="en_US"/>
        </w:rPr>
      </w:r>
      <w:r>
        <w:rPr>
          <w:lang w:val="en_US" w:bidi="en_US"/>
        </w:rPr>
        <w:t xml:space="preserve">It is like </w:t>
      </w:r>
      <w:r>
        <w:rPr>
          <w:lang w:val="en_US" w:bidi="en_US"/>
        </w:rPr>
        <w:t>what happens when</w:t>
      </w:r>
      <w:r>
        <w:rPr>
          <w:lang w:val="en_US" w:bidi="en_US"/>
        </w:rPr>
        <w:t xml:space="preserve"> a woman mixes yeast with a lot of flour.</w:t>
      </w:r>
    </w:p>
    <w:p>
      <w:pPr/>
      <w:r>
        <w:rPr>
          <w:lang w:val="en_US" w:bidi="en_US"/>
        </w:rPr>
      </w:r>
      <w:r>
        <w:rPr>
          <w:b/>
          <w:lang w:val="en_US" w:bidi="en_US"/>
        </w:rPr>
        <w:t>It is like leaven:</w:t>
      </w:r>
      <w:r>
        <w:rPr>
          <w:lang w:val="en_US" w:bidi="en_US"/>
        </w:rPr>
        <w:t xml:space="preserve"> As in the previous parable, the clause </w:t>
      </w:r>
      <w:r>
        <w:rPr>
          <w:i/>
          <w:lang w:val="en_US" w:bidi="en_US"/>
        </w:rPr>
        <w:t>It is like leaven</w:t>
      </w:r>
      <w:r>
        <w:rPr>
          <w:lang w:val="en_US" w:bidi="en_US"/>
        </w:rPr>
        <w:t xml:space="preserve"> is a simile. It compares the kingdom of God to what happens when leaven is mixed with bread dough. A small amount of leaven spreads through a large amount of dough and affects it in a good way. In the same way, the effect of God’s rule among a few people spreads through the whole world.</w:t>
      </w:r>
    </w:p>
    <w:p>
      <w:pPr/>
      <w:r>
        <w:rPr>
          <w:lang w:val="en_US" w:bidi="en_US"/>
        </w:rPr>
      </w:r>
      <w:r>
        <w:rPr>
          <w:lang w:val="en_US" w:bidi="en_US"/>
        </w:rPr>
        <w:t>This simile is about the effect of leaven in a lump of dough. It is not simply a description of what leaven itself is like. Two ways to make this clear are:</w:t>
      </w:r>
    </w:p>
    <w:p>
      <w:pPr/>
      <w:r>
        <w:rPr>
          <w:lang w:val="en_US" w:bidi="en_US"/>
        </w:rPr>
      </w:r>
      <w:r>
        <w:rPr>
          <w:lang w:val="en_US" w:bidi="en_US"/>
        </w:rPr>
        <w:t>It is like what happens when a woman mixes yeast (CEV)</w:t>
      </w:r>
    </w:p>
    <w:p>
      <w:pPr/>
      <w:r>
        <w:rPr>
          <w:lang w:val="en_US" w:bidi="en_US"/>
        </w:rPr>
      </w:r>
      <w:r>
        <w:rPr>
          <w:lang w:val="en_US" w:bidi="en_US"/>
        </w:rPr>
        <w:t>It is like this. A woman takes some yeast and mixes it (GNT)</w:t>
      </w:r>
    </w:p>
    <w:p>
      <w:pPr/>
      <w:r>
        <w:rPr>
          <w:lang w:val="en_US" w:bidi="en_US"/>
        </w:rPr>
      </w:r>
      <w:r>
        <w:rPr>
          <w:b/>
          <w:lang w:val="en_US" w:bidi="en_US"/>
        </w:rPr>
        <w:t>leaven:</w:t>
      </w:r>
      <w:r>
        <w:rPr>
          <w:lang w:val="en_US" w:bidi="en_US"/>
        </w:rPr>
        <w:t xml:space="preserve"> The Greek word that the BSB translates as </w:t>
      </w:r>
      <w:r>
        <w:rPr>
          <w:i/>
          <w:lang w:val="en_US" w:bidi="en_US"/>
        </w:rPr>
        <w:t>leaven</w:t>
      </w:r>
      <w:r>
        <w:rPr>
          <w:lang w:val="en_US" w:bidi="en_US"/>
        </w:rPr>
        <w:t xml:space="preserve"> refers to a substance that makes bread dough rise or swell. A person mixes this substance with water and flour. Then it spreads throughout the flour and makes the dough expand. The dough is then baked into bread.</w:t>
      </w:r>
    </w:p>
    <w:p>
      <w:pPr/>
      <w:r>
        <w:rPr>
          <w:lang w:val="en_US" w:bidi="en_US"/>
        </w:rPr>
      </w:r>
      <w:r>
        <w:rPr>
          <w:lang w:val="en_US" w:bidi="en_US"/>
        </w:rPr>
        <w:t xml:space="preserve">If people in your area are not familiar with making dough rise, here are other ways to translate </w:t>
      </w:r>
      <w:r>
        <w:rPr>
          <w:i/>
          <w:lang w:val="en_US" w:bidi="en_US"/>
        </w:rPr>
        <w:t>leaven</w:t>
      </w:r>
      <w:r>
        <w:rPr>
          <w:lang w:val="en_US" w:bidi="en_US"/>
        </w:rPr>
        <w:t>:</w:t>
      </w:r>
    </w:p>
    <w:p>
      <w:pPr>
        <w:pStyle w:val="ListBullet"/>
        <w:spacing w:line="240" w:lineRule="auto"/>
        <w:ind w:left="720"/>
      </w:pPr>
      <w:r>
        <w:rPr>
          <w:lang w:val="en_US" w:bidi="en_US"/>
        </w:rPr>
      </w:r>
      <w:r>
        <w:rPr>
          <w:lang w:val="en_US" w:bidi="en_US"/>
        </w:rPr>
        <w:t>Use an expression that describes the yeast. For example:</w:t>
      </w:r>
      <w:r>
        <w:rPr>
          <w:lang w:val="en_US" w:bidi="en_US"/>
        </w:rPr>
        <w:t>what spreads to make bread rise</w:t>
      </w:r>
      <w:r>
        <w:rPr>
          <w:lang w:val="en_US" w:bidi="en_US"/>
        </w:rPr>
        <w:t>bread-expanding substance</w:t>
      </w:r>
    </w:p>
    <w:p>
      <w:pPr>
        <w:pStyle w:val="ListBullet"/>
        <w:spacing w:line="240" w:lineRule="auto"/>
        <w:ind w:left="720"/>
      </w:pPr>
      <w:r>
        <w:rPr>
          <w:lang w:val="en_US" w:bidi="en_US"/>
        </w:rPr>
      </w:r>
      <w:r>
        <w:rPr>
          <w:lang w:val="en_US" w:bidi="en_US"/>
        </w:rPr>
        <w:t>Use a term from the national language and indicate its meaning. For example:</w:t>
      </w:r>
      <w:r>
        <w:rPr>
          <w:lang w:val="en_US" w:bidi="en_US"/>
        </w:rPr>
        <w:t>yeast that spreads to make bread swell</w:t>
      </w:r>
    </w:p>
    <w:p>
      <w:pPr>
        <w:pStyle w:val="ListBullet"/>
        <w:spacing w:line="240" w:lineRule="auto"/>
        <w:ind w:left="720"/>
      </w:pPr>
      <w:r>
        <w:rPr>
          <w:lang w:val="en_US" w:bidi="en_US"/>
        </w:rPr>
      </w:r>
      <w:r>
        <w:rPr>
          <w:lang w:val="en_US" w:bidi="en_US"/>
        </w:rPr>
        <w:t>Borrow a word and explain it in a footnote. Here is an example of a possible footnote:</w:t>
      </w:r>
      <w:r>
        <w:rPr>
          <w:lang w:val="en_US" w:bidi="en_US"/>
        </w:rPr>
        <w:t>Yeast is something that spreads in flour dough and causes it to rise so that after the dough is baked, it is soft to eat.</w:t>
      </w:r>
    </w:p>
    <w:p>
      <w:pPr/>
      <w:r>
        <w:rPr>
          <w:lang w:val="en_US" w:bidi="en_US"/>
        </w:rPr>
      </w:r>
      <w:r>
        <w:rPr>
          <w:lang w:val="en_US" w:bidi="en_US"/>
        </w:rPr>
        <w:t xml:space="preserve">The word </w:t>
      </w:r>
      <w:r>
        <w:rPr>
          <w:i/>
          <w:lang w:val="en_US" w:bidi="en_US"/>
        </w:rPr>
        <w:t>leaven</w:t>
      </w:r>
      <w:r>
        <w:rPr>
          <w:lang w:val="en_US" w:bidi="en_US"/>
        </w:rPr>
        <w:t xml:space="preserve"> also occurs in 12:1d. If you translate </w:t>
      </w:r>
      <w:r>
        <w:rPr>
          <w:i/>
          <w:lang w:val="en_US" w:bidi="en_US"/>
        </w:rPr>
        <w:t>leaven</w:t>
      </w:r>
      <w:r>
        <w:rPr>
          <w:lang w:val="en_US" w:bidi="en_US"/>
        </w:rPr>
        <w:t xml:space="preserve"> with a descriptive phrase in your language, you may be able to use a shorter phrase here, since the context makes explicit the effect of yeast in bread dough.</w:t>
      </w:r>
    </w:p>
    <w:p>
      <w:pPr/>
      <w:r>
        <w:rPr>
          <w:lang w:val="en_US" w:bidi="en_US"/>
        </w:rPr>
      </w:r>
      <w:r>
        <w:rPr>
          <w:b/>
          <w:lang w:val="en_US" w:bidi="en_US"/>
        </w:rPr>
        <w:t>a woman took:</w:t>
      </w:r>
      <w:r>
        <w:rPr>
          <w:lang w:val="en_US" w:bidi="en_US"/>
        </w:rPr>
        <w:t xml:space="preserve"> The word </w:t>
      </w:r>
      <w:r>
        <w:rPr>
          <w:i/>
          <w:lang w:val="en_US" w:bidi="en_US"/>
        </w:rPr>
        <w:t>took</w:t>
      </w:r>
      <w:r>
        <w:rPr>
          <w:lang w:val="en_US" w:bidi="en_US"/>
        </w:rPr>
        <w:t xml:space="preserve"> here means “picked up.” In some languages it may be unnatural to state explicitly that the woman picked up the yeast. In those languages it may be preferable to leave this implicit.</w:t>
      </w:r>
    </w:p>
    <w:p>
      <w:pPr/>
      <w:r>
        <w:rPr>
          <w:lang w:val="en_US" w:bidi="en_US"/>
        </w:rPr>
      </w:r>
      <w:r>
        <w:rPr>
          <w:b/>
          <w:lang w:val="en_US" w:bidi="en_US"/>
        </w:rPr>
        <w:t>mixed into:</w:t>
      </w:r>
      <w:r>
        <w:rPr>
          <w:lang w:val="en_US" w:bidi="en_US"/>
        </w:rPr>
        <w:t xml:space="preserve"> The Greek expression that the BSB translates as </w:t>
      </w:r>
      <w:r>
        <w:rPr>
          <w:i/>
          <w:lang w:val="en_US" w:bidi="en_US"/>
        </w:rPr>
        <w:t>mixed into</w:t>
      </w:r>
      <w:r>
        <w:rPr>
          <w:lang w:val="en_US" w:bidi="en_US"/>
        </w:rPr>
        <w:t xml:space="preserve"> literally says “hid in.” Use the expression that is natural in your language for distributing a very small amount of something (such as yeast or baking powder) in a large quantity of something else (such as dough or flour).</w:t>
      </w:r>
    </w:p>
    <w:p>
      <w:pPr/>
      <w:r>
        <w:rPr>
          <w:lang w:val="en_US" w:bidi="en_US"/>
        </w:rPr>
      </w:r>
      <w:r>
        <w:rPr>
          <w:b/>
          <w:lang w:val="en_US" w:bidi="en_US"/>
        </w:rPr>
        <w:t>three measures of flour:</w:t>
      </w:r>
      <w:r>
        <w:rPr>
          <w:lang w:val="en_US" w:bidi="en_US"/>
        </w:rPr>
        <w:t xml:space="preserve"> The Greek text that the BSB translates as </w:t>
      </w:r>
      <w:r>
        <w:rPr>
          <w:i/>
          <w:lang w:val="en_US" w:bidi="en_US"/>
        </w:rPr>
        <w:t>three measures of flour</w:t>
      </w:r>
      <w:r>
        <w:rPr>
          <w:lang w:val="en_US" w:bidi="en_US"/>
        </w:rPr>
        <w:t xml:space="preserve"> is literally “three seahs of flour.” Scholars do not agree as to exactly how much flour that was. But they do agree that it was a large amount that would have made enough bread to feed over one hundred people.</w:t>
      </w:r>
    </w:p>
    <w:p>
      <w:pPr/>
      <w:r>
        <w:rPr>
          <w:lang w:val="en_US" w:bidi="en_US"/>
        </w:rPr>
      </w:r>
      <w:r>
        <w:rPr>
          <w:lang w:val="en_US" w:bidi="en_US"/>
        </w:rPr>
        <w:t>As this is only a parable or illustration, the exact quantity of flour is not important. Translate using a natural expression that refers to a large quantity of flour. For example:</w:t>
      </w:r>
    </w:p>
    <w:p>
      <w:pPr/>
      <w:r>
        <w:rPr>
          <w:lang w:val="en_US" w:bidi="en_US"/>
        </w:rPr>
      </w:r>
      <w:r>
        <w:rPr>
          <w:lang w:val="en_US" w:bidi="en_US"/>
        </w:rPr>
        <w:t>a bushel of flour (GNT)</w:t>
      </w:r>
    </w:p>
    <w:p>
      <w:pPr/>
      <w:r>
        <w:rPr>
          <w:lang w:val="en_US" w:bidi="en_US"/>
        </w:rPr>
      </w:r>
      <w:r>
        <w:rPr>
          <w:lang w:val="en_US" w:bidi="en_US"/>
        </w:rPr>
        <w:t>a large tub of flour (NCV)</w:t>
      </w:r>
    </w:p>
    <w:p>
      <w:pPr>
        <w:pStyle w:val="Heading5"/>
      </w:pPr>
      <w:r>
        <w:rPr>
          <w:lang w:val="en_US" w:bidi="en_US"/>
        </w:rPr>
        <w:t>13:21b</w:t>
      </w:r>
    </w:p>
    <w:p>
      <w:pPr/>
      <w:r>
        <w:rPr>
          <w:lang w:val="en_US" w:bidi="en_US"/>
        </w:rPr>
      </w:r>
      <w:r>
        <w:rPr>
          <w:b/>
          <w:lang w:val="en_US" w:bidi="en_US"/>
        </w:rPr>
        <w:t>until all of it was leavened.”</w:t>
      </w:r>
    </w:p>
    <w:p>
      <w:pPr>
        <w:pStyle w:val="ListBullet"/>
        <w:spacing w:line="240" w:lineRule="auto"/>
        <w:ind w:left="720"/>
      </w:pPr>
      <w:r>
        <w:rPr>
          <w:lang w:val="en_US" w:bidi="en_US"/>
        </w:rPr>
      </w:r>
      <w:r>
        <w:rPr>
          <w:lang w:val="en_US" w:bidi="en_US"/>
        </w:rPr>
        <w:t>until it caused all the dough to rise/swell.”</w:t>
      </w:r>
    </w:p>
    <w:p>
      <w:pPr>
        <w:pStyle w:val="ListBullet"/>
        <w:spacing w:line="240" w:lineRule="auto"/>
        <w:ind w:left="720"/>
      </w:pPr>
      <w:r>
        <w:rPr>
          <w:lang w:val="en_US" w:bidi="en_US"/>
        </w:rPr>
      </w:r>
      <w:r>
        <w:rPr>
          <w:lang w:val="en_US" w:bidi="en_US"/>
        </w:rPr>
        <w:t>After some time it spreads through all of the flour.”</w:t>
      </w:r>
    </w:p>
    <w:p>
      <w:pPr/>
      <w:r>
        <w:rPr>
          <w:lang w:val="en_US" w:bidi="en_US"/>
        </w:rPr>
      </w:r>
      <w:r>
        <w:rPr>
          <w:b/>
          <w:lang w:val="en_US" w:bidi="en_US"/>
        </w:rPr>
        <w:t>until all of it was leavened:</w:t>
      </w:r>
      <w:r>
        <w:rPr>
          <w:lang w:val="en_US" w:bidi="en_US"/>
        </w:rPr>
        <w:t xml:space="preserve"> The Greek expression that the BSB translates literally as </w:t>
      </w:r>
      <w:r>
        <w:rPr>
          <w:i/>
          <w:lang w:val="en_US" w:bidi="en_US"/>
        </w:rPr>
        <w:t>until all of it was leavened</w:t>
      </w:r>
      <w:r>
        <w:rPr>
          <w:lang w:val="en_US" w:bidi="en_US"/>
        </w:rPr>
        <w:t xml:space="preserve"> means that the leaven affected all the dough. It caused it to rise and become bigger. This would usually take several hours or perhaps overnight. Other ways to translate this clause are:</w:t>
      </w:r>
    </w:p>
    <w:p>
      <w:pPr/>
      <w:r>
        <w:rPr>
          <w:lang w:val="en_US" w:bidi="en_US"/>
        </w:rPr>
      </w:r>
      <w:r>
        <w:rPr>
          <w:lang w:val="en_US" w:bidi="en_US"/>
        </w:rPr>
        <w:t>until the whole batch of dough rises (GNT)</w:t>
      </w:r>
    </w:p>
    <w:p>
      <w:pPr/>
      <w:r>
        <w:rPr>
          <w:lang w:val="en_US" w:bidi="en_US"/>
        </w:rPr>
      </w:r>
      <w:r>
        <w:rPr>
          <w:lang w:val="en_US" w:bidi="en_US"/>
        </w:rPr>
        <w:t>it permeated every part of the dough (NLT)</w:t>
      </w:r>
    </w:p>
    <w:p>
      <w:pPr/>
      <w:r>
        <w:rPr>
          <w:lang w:val="en_US" w:bidi="en_US"/>
        </w:rPr>
      </w:r>
      <w:r>
        <w:rPr>
          <w:b/>
          <w:lang w:val="en_US" w:bidi="en_US"/>
        </w:rPr>
        <w:t>it was leavened:</w:t>
      </w:r>
      <w:r>
        <w:rPr>
          <w:lang w:val="en_US" w:bidi="en_US"/>
        </w:rPr>
        <w:t xml:space="preserve"> The word </w:t>
      </w:r>
      <w:r>
        <w:rPr>
          <w:i/>
          <w:lang w:val="en_US" w:bidi="en_US"/>
        </w:rPr>
        <w:t>it</w:t>
      </w:r>
      <w:r>
        <w:rPr>
          <w:lang w:val="en_US" w:bidi="en_US"/>
        </w:rPr>
        <w:t xml:space="preserve"> refers to the mixture that the woman was making of flour and other things for bread. Such a mixture is called “dough” before people cook it. After it is cooked, it becomes bread. In languages where there is no word “dough,” instead of </w:t>
      </w:r>
      <w:r>
        <w:rPr>
          <w:i/>
          <w:lang w:val="en_US" w:bidi="en_US"/>
        </w:rPr>
        <w:t>it</w:t>
      </w:r>
      <w:r>
        <w:rPr>
          <w:lang w:val="en_US" w:bidi="en_US"/>
        </w:rPr>
        <w:t>, it may be possible to say:</w:t>
      </w:r>
    </w:p>
    <w:p>
      <w:pPr/>
      <w:r>
        <w:rPr>
          <w:lang w:val="en_US" w:bidi="en_US"/>
        </w:rPr>
      </w:r>
      <w:r>
        <w:rPr>
          <w:lang w:val="en_US" w:bidi="en_US"/>
        </w:rPr>
        <w:t>that flour</w:t>
      </w:r>
    </w:p>
    <w:p>
      <w:pPr/>
      <w:r>
        <w:rPr>
          <w:lang w:val="en_US" w:bidi="en_US"/>
        </w:rPr>
      </w:r>
      <w:r>
        <w:rPr>
          <w:lang w:val="en_US" w:bidi="en_US"/>
        </w:rPr>
        <w:t>the whole bread/flour mixture</w:t>
      </w:r>
      <w:r>
        <w:rPr>
          <w:lang w:val="en_US" w:bidi="en_US"/>
        </w:rPr>
      </w:r>
      <w:r>
        <w:rPr>
          <w:lang w:val="en_US" w:bidi="en_US"/>
        </w:rPr>
      </w:r>
    </w:p>
    <w:p>
      <w:pPr/>
      <w:r>
        <w:rPr>
          <w:lang w:val="en_US" w:bidi="en_US"/>
        </w:rPr>
      </w:r>
    </w:p>
    <w:p>
      <w:pPr>
        <w:pStyle w:val="Heading2"/>
      </w:pPr>
      <w:r>
        <w:rPr>
          <w:lang w:val="en_US" w:bidi="en_US"/>
        </w:rPr>
        <w:t>Luke 13:22</w:t>
      </w:r>
      <w:r>
        <w:rPr>
          <w:lang w:val="en_US" w:bidi="en_US"/>
        </w:rPr>
      </w:r>
    </w:p>
    <w:p>
      <w:pPr>
        <w:pStyle w:val="Heading4"/>
      </w:pPr>
      <w:r>
        <w:rPr>
          <w:lang w:val="en_US" w:bidi="en_US"/>
        </w:rPr>
        <w:t>Section 13:22–30: The entrance to the kingdom of God is like a narrow door</w:t>
      </w:r>
    </w:p>
    <w:p>
      <w:pPr/>
      <w:r>
        <w:rPr>
          <w:lang w:val="en_US" w:bidi="en_US"/>
        </w:rPr>
      </w:r>
      <w:r>
        <w:rPr>
          <w:lang w:val="en_US" w:bidi="en_US"/>
        </w:rPr>
        <w:t>In this section Jesus advised people to do their best to enter the kingdom of God while there was still time. He spoke figuratively about this, using the figure of entering through the narrow door. After the owner of the house closed the door, many would try to enter but they would not be able to do so.</w:t>
      </w:r>
    </w:p>
    <w:p>
      <w:pPr/>
      <w:r>
        <w:rPr>
          <w:lang w:val="en_US" w:bidi="en_US"/>
        </w:rPr>
      </w:r>
      <w:r>
        <w:rPr>
          <w:lang w:val="en_US" w:bidi="en_US"/>
        </w:rPr>
        <w:t>Some other headings for this section are:</w:t>
      </w:r>
    </w:p>
    <w:p>
      <w:pPr/>
      <w:r>
        <w:rPr>
          <w:lang w:val="en_US" w:bidi="en_US"/>
        </w:rPr>
      </w:r>
      <w:r>
        <w:rPr>
          <w:lang w:val="en_US" w:bidi="en_US"/>
        </w:rPr>
        <w:t>Jesus warned that many people would not be able to enter the kingdom of God</w:t>
      </w:r>
    </w:p>
    <w:p>
      <w:pPr/>
      <w:r>
        <w:rPr>
          <w:lang w:val="en_US" w:bidi="en_US"/>
        </w:rPr>
      </w:r>
      <w:r>
        <w:rPr>
          <w:lang w:val="en_US" w:bidi="en_US"/>
        </w:rPr>
        <w:t>There are parallel passages for this section in Matthew 7:13–14 and 21–23.</w:t>
      </w:r>
    </w:p>
    <w:p>
      <w:pPr>
        <w:pStyle w:val="Heading4"/>
      </w:pPr>
      <w:r>
        <w:rPr>
          <w:lang w:val="en_US" w:bidi="en_US"/>
        </w:rPr>
        <w:t>Paragraph 13:22–27</w:t>
      </w:r>
    </w:p>
    <w:p>
      <w:pPr/>
      <w:r>
        <w:rPr>
          <w:lang w:val="en_US" w:bidi="en_US"/>
        </w:rPr>
      </w:r>
      <w:r>
        <w:rPr>
          <w:lang w:val="en_US" w:bidi="en_US"/>
        </w:rPr>
        <w:t>In this paragraph someone asked Jesus a question. He replied indirectly by telling the people a parable.</w:t>
      </w:r>
    </w:p>
    <w:p>
      <w:pPr>
        <w:pStyle w:val="Heading5"/>
      </w:pPr>
      <w:r>
        <w:rPr>
          <w:lang w:val="en_US" w:bidi="en_US"/>
        </w:rPr>
        <w:t>13:22a</w:t>
      </w:r>
    </w:p>
    <w:p>
      <w:pPr/>
      <w:r>
        <w:rPr>
          <w:lang w:val="en_US" w:bidi="en_US"/>
        </w:rPr>
      </w:r>
      <w:r>
        <w:rPr>
          <w:b/>
          <w:lang w:val="en_US" w:bidi="en_US"/>
        </w:rPr>
        <w:t>Then Jesus traveled throughout the towns and villages,</w:t>
      </w:r>
    </w:p>
    <w:p>
      <w:pPr>
        <w:pStyle w:val="ListBullet"/>
        <w:spacing w:line="240" w:lineRule="auto"/>
        <w:ind w:left="720"/>
      </w:pPr>
      <w:r>
        <w:rPr>
          <w:lang w:val="en_US" w:bidi="en_US"/>
        </w:rPr>
      </w:r>
      <w:r>
        <w:rPr>
          <w:lang w:val="en_US" w:bidi="en_US"/>
        </w:rPr>
        <w:t xml:space="preserve">¶ Then Jesus journeyed through </w:t>
      </w:r>
      <w:r>
        <w:rPr>
          <w:lang w:val="en_US" w:bidi="en_US"/>
        </w:rPr>
        <w:t>various/many</w:t>
      </w:r>
      <w:r>
        <w:rPr>
          <w:lang w:val="en_US" w:bidi="en_US"/>
        </w:rPr>
        <w:t xml:space="preserve"> towns and villages</w:t>
      </w:r>
    </w:p>
    <w:p>
      <w:pPr>
        <w:pStyle w:val="ListBullet"/>
        <w:spacing w:line="240" w:lineRule="auto"/>
        <w:ind w:left="720"/>
      </w:pPr>
      <w:r>
        <w:rPr>
          <w:lang w:val="en_US" w:bidi="en_US"/>
        </w:rPr>
      </w:r>
      <w:r>
        <w:rPr>
          <w:lang w:val="en_US" w:bidi="en_US"/>
        </w:rPr>
        <w:t>¶ Jesus kept stopping at big and little towns</w:t>
      </w:r>
    </w:p>
    <w:p>
      <w:pPr/>
      <w:r>
        <w:rPr>
          <w:lang w:val="en_US" w:bidi="en_US"/>
        </w:rPr>
      </w:r>
      <w:r>
        <w:rPr>
          <w:b/>
          <w:lang w:val="en_US" w:bidi="en_US"/>
        </w:rPr>
        <w:t>Then:</w:t>
      </w:r>
      <w:r>
        <w:rPr>
          <w:lang w:val="en_US" w:bidi="en_US"/>
        </w:rPr>
        <w:t xml:space="preserve"> The Greek text connects this section to the previous section with the conjunction that the BSB translates as </w:t>
      </w:r>
      <w:r>
        <w:rPr>
          <w:i/>
          <w:lang w:val="en_US" w:bidi="en_US"/>
        </w:rPr>
        <w:t>Then</w:t>
      </w:r>
      <w:r>
        <w:rPr>
          <w:lang w:val="en_US" w:bidi="en_US"/>
        </w:rPr>
        <w:t>. Many English versions do not translate it explicitly. Jesus was continuing his journey to Jerusalem that he had begun in 9:51. Connect this section to the previous section in a way that is natural in your language.</w:t>
      </w:r>
    </w:p>
    <w:p>
      <w:pPr/>
      <w:r>
        <w:rPr>
          <w:lang w:val="en_US" w:bidi="en_US"/>
        </w:rPr>
      </w:r>
      <w:r>
        <w:rPr>
          <w:b/>
          <w:lang w:val="en_US" w:bidi="en_US"/>
        </w:rPr>
        <w:t>Jesus traveled throughout:</w:t>
      </w:r>
      <w:r>
        <w:rPr>
          <w:lang w:val="en_US" w:bidi="en_US"/>
        </w:rPr>
        <w:t xml:space="preserve"> The form of the Greek verb that the BSB translates as </w:t>
      </w:r>
      <w:r>
        <w:rPr>
          <w:i/>
          <w:lang w:val="en_US" w:bidi="en_US"/>
        </w:rPr>
        <w:t>traveled throughout</w:t>
      </w:r>
      <w:r>
        <w:rPr>
          <w:lang w:val="en_US" w:bidi="en_US"/>
        </w:rPr>
        <w:t xml:space="preserve"> indicates continuing action. It refers to traveling through places on a journey to somewhere else. For example:</w:t>
      </w:r>
    </w:p>
    <w:p>
      <w:pPr/>
      <w:r>
        <w:rPr>
          <w:lang w:val="en_US" w:bidi="en_US"/>
        </w:rPr>
      </w:r>
      <w:r>
        <w:rPr>
          <w:lang w:val="en_US" w:bidi="en_US"/>
        </w:rPr>
        <w:t>He continued his journey through towns and villages (REB)</w:t>
      </w:r>
    </w:p>
    <w:p>
      <w:pPr/>
      <w:r>
        <w:rPr>
          <w:lang w:val="en_US" w:bidi="en_US"/>
        </w:rPr>
      </w:r>
      <w:r>
        <w:rPr>
          <w:b/>
          <w:lang w:val="en_US" w:bidi="en_US"/>
        </w:rPr>
        <w:t>the towns and villages:</w:t>
      </w:r>
      <w:r>
        <w:rPr>
          <w:lang w:val="en_US" w:bidi="en_US"/>
        </w:rPr>
        <w:t xml:space="preserve"> The Greek phrase that the BSB translates as </w:t>
      </w:r>
      <w:r>
        <w:rPr>
          <w:i/>
          <w:lang w:val="en_US" w:bidi="en_US"/>
        </w:rPr>
        <w:t>the towns and villages</w:t>
      </w:r>
      <w:r>
        <w:rPr>
          <w:lang w:val="en_US" w:bidi="en_US"/>
        </w:rPr>
        <w:t xml:space="preserve"> refers generally to the “cities/towns” and “towns/villages” of various sizes that Jesus went through on his way to Jerusalem.</w:t>
      </w:r>
    </w:p>
    <w:p>
      <w:pPr/>
      <w:r>
        <w:rPr>
          <w:lang w:val="en_US" w:bidi="en_US"/>
        </w:rPr>
      </w:r>
      <w:r>
        <w:rPr>
          <w:lang w:val="en_US" w:bidi="en_US"/>
        </w:rPr>
        <w:t>If you have words or expressions in your language for urban areas of different sizes, you may use them here. For example:</w:t>
      </w:r>
    </w:p>
    <w:p>
      <w:pPr/>
      <w:r>
        <w:rPr>
          <w:lang w:val="en_US" w:bidi="en_US"/>
        </w:rPr>
      </w:r>
      <w:r>
        <w:rPr>
          <w:lang w:val="en_US" w:bidi="en_US"/>
        </w:rPr>
        <w:t>cities and villages (KJV)</w:t>
      </w:r>
    </w:p>
    <w:p>
      <w:pPr/>
      <w:r>
        <w:rPr>
          <w:lang w:val="en_US" w:bidi="en_US"/>
        </w:rPr>
      </w:r>
      <w:r>
        <w:rPr>
          <w:lang w:val="en_US" w:bidi="en_US"/>
        </w:rPr>
        <w:t>one city and village after another (GW)</w:t>
      </w:r>
    </w:p>
    <w:p>
      <w:pPr/>
      <w:r>
        <w:rPr>
          <w:lang w:val="en_US" w:bidi="en_US"/>
        </w:rPr>
      </w:r>
      <w:r>
        <w:rPr>
          <w:lang w:val="en_US" w:bidi="en_US"/>
        </w:rPr>
        <w:t>big and small towns (TRT)</w:t>
      </w:r>
    </w:p>
    <w:p>
      <w:pPr>
        <w:pStyle w:val="Heading5"/>
      </w:pPr>
      <w:r>
        <w:rPr>
          <w:lang w:val="en_US" w:bidi="en_US"/>
        </w:rPr>
        <w:t>13:22b</w:t>
      </w:r>
    </w:p>
    <w:p>
      <w:pPr/>
      <w:r>
        <w:rPr>
          <w:lang w:val="en_US" w:bidi="en_US"/>
        </w:rPr>
      </w:r>
      <w:r>
        <w:rPr>
          <w:b/>
          <w:lang w:val="en_US" w:bidi="en_US"/>
        </w:rPr>
        <w:t>teaching as He made His way toward Jerusalem.</w:t>
      </w:r>
    </w:p>
    <w:p>
      <w:pPr>
        <w:pStyle w:val="ListBullet"/>
        <w:spacing w:line="240" w:lineRule="auto"/>
        <w:ind w:left="720"/>
      </w:pPr>
      <w:r>
        <w:rPr>
          <w:lang w:val="en_US" w:bidi="en_US"/>
        </w:rPr>
      </w:r>
      <w:r>
        <w:rPr>
          <w:lang w:val="en_US" w:bidi="en_US"/>
        </w:rPr>
        <w:t xml:space="preserve">as he headed toward Jerusalem. In each place he taught </w:t>
      </w:r>
      <w:r>
        <w:rPr>
          <w:lang w:val="en_US" w:bidi="en_US"/>
        </w:rPr>
        <w:t>the people who were there</w:t>
      </w:r>
      <w:r>
        <w:rPr>
          <w:lang w:val="en_US" w:bidi="en_US"/>
        </w:rPr>
        <w:t>.</w:t>
      </w:r>
    </w:p>
    <w:p>
      <w:pPr>
        <w:pStyle w:val="ListBullet"/>
        <w:spacing w:line="240" w:lineRule="auto"/>
        <w:ind w:left="720"/>
      </w:pPr>
      <w:r>
        <w:rPr>
          <w:lang w:val="en_US" w:bidi="en_US"/>
        </w:rPr>
      </w:r>
      <w:r>
        <w:rPr>
          <w:lang w:val="en_US" w:bidi="en_US"/>
        </w:rPr>
        <w:t xml:space="preserve">to teach </w:t>
      </w:r>
      <w:r>
        <w:rPr>
          <w:lang w:val="en_US" w:bidi="en_US"/>
        </w:rPr>
        <w:t>people</w:t>
      </w:r>
      <w:r>
        <w:rPr>
          <w:lang w:val="en_US" w:bidi="en_US"/>
        </w:rPr>
        <w:t xml:space="preserve"> as he continued walking/traveling to Jerusalem.</w:t>
      </w:r>
    </w:p>
    <w:p>
      <w:pPr/>
      <w:r>
        <w:rPr>
          <w:lang w:val="en_US" w:bidi="en_US"/>
        </w:rPr>
      </w:r>
      <w:r>
        <w:rPr>
          <w:b/>
          <w:lang w:val="en_US" w:bidi="en_US"/>
        </w:rPr>
        <w:t>teaching:</w:t>
      </w:r>
      <w:r>
        <w:rPr>
          <w:lang w:val="en_US" w:bidi="en_US"/>
        </w:rPr>
        <w:t xml:space="preserve"> In some languages it may be necessary to provide an object and say whom Jesus was teaching. He taught the people who lived in the towns and villages that he was passing through. For example:</w:t>
      </w:r>
    </w:p>
    <w:p>
      <w:pPr/>
      <w:r>
        <w:rPr>
          <w:lang w:val="en_US" w:bidi="en_US"/>
        </w:rPr>
      </w:r>
      <w:r>
        <w:rPr>
          <w:lang w:val="en_US" w:bidi="en_US"/>
        </w:rPr>
        <w:t>teaching the people (GNT)</w:t>
      </w:r>
    </w:p>
    <w:p>
      <w:pPr/>
      <w:r>
        <w:rPr>
          <w:lang w:val="en_US" w:bidi="en_US"/>
        </w:rPr>
      </w:r>
      <w:r>
        <w:rPr>
          <w:b/>
          <w:lang w:val="en_US" w:bidi="en_US"/>
        </w:rPr>
        <w:t>as He made His way toward Jerusalem:</w:t>
      </w:r>
      <w:r>
        <w:rPr>
          <w:lang w:val="en_US" w:bidi="en_US"/>
        </w:rPr>
        <w:t xml:space="preserve"> Jesus was continuing a journey he had started earlier. It is implied that in each town or village where he arrived, he stayed long enough to teach the people and then traveled to the next place.</w:t>
      </w:r>
    </w:p>
    <w:p>
      <w:pPr/>
      <w:r>
        <w:rPr>
          <w:lang w:val="en_US" w:bidi="en_US"/>
        </w:rPr>
      </w:r>
      <w:r>
        <w:rPr>
          <w:lang w:val="en_US" w:bidi="en_US"/>
        </w:rPr>
        <w:t>In some languages it may be necessary to make this explicit. Otherwise, the translation may imply that Jesus walked through the towns without stopping and taught people as he walked along. See the first example under the General Comment below.</w:t>
      </w:r>
    </w:p>
    <w:p>
      <w:pPr>
        <w:pStyle w:val="Heading6"/>
      </w:pPr>
      <w:r>
        <w:rPr>
          <w:b/>
          <w:lang w:val="en_US" w:bidi="en_US"/>
        </w:rPr>
        <w:t>General Comment on 13:22a–b</w:t>
      </w:r>
    </w:p>
    <w:p>
      <w:pPr/>
      <w:r>
        <w:rPr>
          <w:lang w:val="en_US" w:bidi="en_US"/>
        </w:rPr>
      </w:r>
      <w:r>
        <w:rPr>
          <w:lang w:val="en_US" w:bidi="en_US"/>
        </w:rPr>
        <w:t>In some languages it may be necessary to reorder the phrases in this verse. For example:</w:t>
      </w:r>
    </w:p>
    <w:p>
      <w:pPr/>
      <w:r>
        <w:rPr>
          <w:lang w:val="en_US" w:bidi="en_US"/>
        </w:rPr>
      </w:r>
      <w:r>
        <w:rPr>
          <w:lang w:val="en_US" w:bidi="en_US"/>
        </w:rPr>
        <w:t xml:space="preserve">As Jesus continued on his way to Jerusalem, he kept stopping at the various towns that he went through in order to teach </w:t>
      </w:r>
      <w:r>
        <w:rPr>
          <w:lang w:val="en_US" w:bidi="en_US"/>
        </w:rPr>
        <w:t>the people</w:t>
      </w:r>
      <w:r>
        <w:rPr>
          <w:lang w:val="en_US" w:bidi="en_US"/>
        </w:rPr>
        <w:t>.</w:t>
      </w:r>
    </w:p>
    <w:p>
      <w:pPr/>
      <w:r>
        <w:rPr>
          <w:lang w:val="en_US" w:bidi="en_US"/>
        </w:rPr>
      </w:r>
      <w:r>
        <w:rPr>
          <w:lang w:val="en_US" w:bidi="en_US"/>
        </w:rPr>
        <w:t>As Jesus was on his way to Jerusalem, he taught the people in the towns and villages. (CEV)</w:t>
      </w:r>
      <w:r>
        <w:rPr>
          <w:lang w:val="en_US" w:bidi="en_US"/>
        </w:rPr>
      </w:r>
      <w:r>
        <w:rPr>
          <w:lang w:val="en_US" w:bidi="en_US"/>
        </w:rPr>
      </w:r>
    </w:p>
    <w:p>
      <w:pPr/>
      <w:r>
        <w:rPr>
          <w:lang w:val="en_US" w:bidi="en_US"/>
        </w:rPr>
      </w:r>
    </w:p>
    <w:p>
      <w:pPr>
        <w:pStyle w:val="Heading2"/>
      </w:pPr>
      <w:r>
        <w:rPr>
          <w:lang w:val="en_US" w:bidi="en_US"/>
        </w:rPr>
        <w:t>Luke 13:23</w:t>
      </w:r>
      <w:r>
        <w:rPr>
          <w:lang w:val="en_US" w:bidi="en_US"/>
        </w:rPr>
      </w:r>
    </w:p>
    <w:p>
      <w:pPr>
        <w:pStyle w:val="Heading4"/>
      </w:pPr>
      <w:r>
        <w:rPr>
          <w:lang w:val="en_US" w:bidi="en_US"/>
        </w:rPr>
        <w:t>Section 13:22–30: The entrance to the kingdom of God is like a narrow door</w:t>
      </w:r>
    </w:p>
    <w:p>
      <w:pPr/>
      <w:r>
        <w:rPr>
          <w:lang w:val="en_US" w:bidi="en_US"/>
        </w:rPr>
      </w:r>
      <w:r>
        <w:rPr>
          <w:lang w:val="en_US" w:bidi="en_US"/>
        </w:rPr>
        <w:t>In this section Jesus advised people to do their best to enter the kingdom of God while there was still time. He spoke figuratively about this, using the figure of entering through the narrow door. After the owner of the house closed the door, many would try to enter but they would not be able to do so.</w:t>
      </w:r>
    </w:p>
    <w:p>
      <w:pPr/>
      <w:r>
        <w:rPr>
          <w:lang w:val="en_US" w:bidi="en_US"/>
        </w:rPr>
      </w:r>
      <w:r>
        <w:rPr>
          <w:lang w:val="en_US" w:bidi="en_US"/>
        </w:rPr>
        <w:t>Some other headings for this section are:</w:t>
      </w:r>
    </w:p>
    <w:p>
      <w:pPr/>
      <w:r>
        <w:rPr>
          <w:lang w:val="en_US" w:bidi="en_US"/>
        </w:rPr>
      </w:r>
      <w:r>
        <w:rPr>
          <w:lang w:val="en_US" w:bidi="en_US"/>
        </w:rPr>
        <w:t>Jesus warned that many people would not be able to enter the kingdom of God</w:t>
      </w:r>
    </w:p>
    <w:p>
      <w:pPr/>
      <w:r>
        <w:rPr>
          <w:lang w:val="en_US" w:bidi="en_US"/>
        </w:rPr>
      </w:r>
      <w:r>
        <w:rPr>
          <w:lang w:val="en_US" w:bidi="en_US"/>
        </w:rPr>
        <w:t>There are parallel passages for this section in Matthew 7:13–14 and 21–23.</w:t>
      </w:r>
    </w:p>
    <w:p>
      <w:pPr>
        <w:pStyle w:val="Heading4"/>
      </w:pPr>
      <w:r>
        <w:rPr>
          <w:lang w:val="en_US" w:bidi="en_US"/>
        </w:rPr>
        <w:t>Paragraph 13:22–27</w:t>
      </w:r>
    </w:p>
    <w:p>
      <w:pPr/>
      <w:r>
        <w:rPr>
          <w:lang w:val="en_US" w:bidi="en_US"/>
        </w:rPr>
      </w:r>
      <w:r>
        <w:rPr>
          <w:lang w:val="en_US" w:bidi="en_US"/>
        </w:rPr>
        <w:t>In this paragraph someone asked Jesus a question. He replied indirectly by telling the people a parable.</w:t>
      </w:r>
    </w:p>
    <w:p>
      <w:pPr>
        <w:pStyle w:val="Heading5"/>
      </w:pPr>
      <w:r>
        <w:rPr>
          <w:lang w:val="en_US" w:bidi="en_US"/>
        </w:rPr>
        <w:t>13:23a</w:t>
      </w:r>
    </w:p>
    <w:p>
      <w:pPr/>
      <w:r>
        <w:rPr>
          <w:lang w:val="en_US" w:bidi="en_US"/>
        </w:rPr>
      </w:r>
      <w:r>
        <w:rPr>
          <w:b/>
          <w:lang w:val="en_US" w:bidi="en_US"/>
        </w:rPr>
        <w:t>“Lord,” someone asked Him,</w:t>
      </w:r>
    </w:p>
    <w:p>
      <w:pPr>
        <w:pStyle w:val="ListBullet"/>
        <w:spacing w:line="240" w:lineRule="auto"/>
        <w:ind w:left="720"/>
      </w:pPr>
      <w:r>
        <w:rPr>
          <w:lang w:val="en_US" w:bidi="en_US"/>
        </w:rPr>
      </w:r>
      <w:r>
        <w:rPr>
          <w:lang w:val="en_US" w:bidi="en_US"/>
        </w:rPr>
        <w:t>Someone asked him, “Lord/Master,</w:t>
      </w:r>
    </w:p>
    <w:p>
      <w:pPr>
        <w:pStyle w:val="ListBullet"/>
        <w:spacing w:line="240" w:lineRule="auto"/>
        <w:ind w:left="720"/>
      </w:pPr>
      <w:r>
        <w:rPr>
          <w:lang w:val="en_US" w:bidi="en_US"/>
        </w:rPr>
      </w:r>
      <w:r>
        <w:rPr>
          <w:lang w:val="en_US" w:bidi="en_US"/>
        </w:rPr>
        <w:t>At one place</w:t>
      </w:r>
      <w:r>
        <w:rPr>
          <w:lang w:val="en_US" w:bidi="en_US"/>
        </w:rPr>
        <w:t xml:space="preserve"> there was a person who asked him, “Sir,</w:t>
      </w:r>
    </w:p>
    <w:p>
      <w:pPr/>
      <w:r>
        <w:rPr>
          <w:lang w:val="en_US" w:bidi="en_US"/>
        </w:rPr>
      </w:r>
      <w:r>
        <w:rPr>
          <w:b/>
          <w:lang w:val="en_US" w:bidi="en_US"/>
        </w:rPr>
        <w:t>“Lord,” someone asked Him:</w:t>
      </w:r>
      <w:r>
        <w:rPr>
          <w:lang w:val="en_US" w:bidi="en_US"/>
        </w:rPr>
        <w:t xml:space="preserve"> The BSB has placed the phrase </w:t>
      </w:r>
      <w:r>
        <w:rPr>
          <w:i/>
          <w:lang w:val="en_US" w:bidi="en_US"/>
        </w:rPr>
        <w:t>someone asked Him</w:t>
      </w:r>
      <w:r>
        <w:rPr>
          <w:lang w:val="en_US" w:bidi="en_US"/>
        </w:rPr>
        <w:t xml:space="preserve"> after the start of what this person said. In the Greek text, this phrase is at the beginning of the verse, before the quotation. Place it wherever it is natural in your language.</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was probably used here as a polite, respectful way to address a religious teacher or any other important man. Other ways to translate this term of address are:</w:t>
      </w:r>
    </w:p>
    <w:p>
      <w:pPr/>
      <w:r>
        <w:rPr>
          <w:lang w:val="en_US" w:bidi="en_US"/>
        </w:rPr>
      </w:r>
      <w:r>
        <w:rPr>
          <w:lang w:val="en_US" w:bidi="en_US"/>
        </w:rPr>
        <w:t>Sir (NJB)</w:t>
      </w:r>
    </w:p>
    <w:p>
      <w:pPr/>
      <w:r>
        <w:rPr>
          <w:lang w:val="en_US" w:bidi="en_US"/>
        </w:rPr>
      </w:r>
      <w:r>
        <w:rPr>
          <w:lang w:val="en_US" w:bidi="en_US"/>
        </w:rPr>
        <w:t>Master</w:t>
      </w:r>
    </w:p>
    <w:p>
      <w:pPr/>
      <w:r>
        <w:rPr>
          <w:lang w:val="en_US" w:bidi="en_US"/>
        </w:rPr>
      </w:r>
      <w:r>
        <w:rPr>
          <w:lang w:val="en_US" w:bidi="en_US"/>
        </w:rPr>
        <w:t>See Lord, Context 3, in the Glossary.</w:t>
      </w:r>
    </w:p>
    <w:p>
      <w:pPr/>
      <w:r>
        <w:rPr>
          <w:lang w:val="en_US" w:bidi="en_US"/>
        </w:rPr>
      </w:r>
      <w:r>
        <w:rPr>
          <w:b/>
          <w:lang w:val="en_US" w:bidi="en_US"/>
        </w:rPr>
        <w:t>someone asked Him:</w:t>
      </w:r>
      <w:r>
        <w:rPr>
          <w:lang w:val="en_US" w:bidi="en_US"/>
        </w:rPr>
        <w:t xml:space="preserve"> This clause introduces an incident that happened at one of the places along the way. We do not know whether this questioner was one of Jesus’ followers or was simply a person who was listening to Jesus teach. Use a general term to refer to this person.</w:t>
      </w:r>
    </w:p>
    <w:p>
      <w:pPr>
        <w:pStyle w:val="Heading5"/>
      </w:pPr>
      <w:r>
        <w:rPr>
          <w:lang w:val="en_US" w:bidi="en_US"/>
        </w:rPr>
        <w:t>13:23b</w:t>
      </w:r>
    </w:p>
    <w:p>
      <w:pPr/>
      <w:r>
        <w:rPr>
          <w:lang w:val="en_US" w:bidi="en_US"/>
        </w:rPr>
      </w:r>
      <w:r>
        <w:rPr>
          <w:b/>
          <w:lang w:val="en_US" w:bidi="en_US"/>
        </w:rPr>
        <w:t>“will only a few people be saved?”</w:t>
      </w:r>
    </w:p>
    <w:p>
      <w:pPr>
        <w:pStyle w:val="ListBullet"/>
        <w:spacing w:line="240" w:lineRule="auto"/>
        <w:ind w:left="720"/>
      </w:pPr>
      <w:r>
        <w:rPr>
          <w:lang w:val="en_US" w:bidi="en_US"/>
        </w:rPr>
      </w:r>
      <w:r>
        <w:rPr>
          <w:lang w:val="en_US" w:bidi="en_US"/>
        </w:rPr>
        <w:t xml:space="preserve">will only a few people be saved </w:t>
      </w:r>
      <w:r>
        <w:rPr>
          <w:lang w:val="en_US" w:bidi="en_US"/>
        </w:rPr>
        <w:t>from their sins</w:t>
      </w:r>
      <w:r>
        <w:rPr>
          <w:lang w:val="en_US" w:bidi="en_US"/>
        </w:rPr>
        <w:t>?”</w:t>
      </w:r>
    </w:p>
    <w:p>
      <w:pPr>
        <w:pStyle w:val="ListBullet"/>
        <w:spacing w:line="240" w:lineRule="auto"/>
        <w:ind w:left="720"/>
      </w:pPr>
      <w:r>
        <w:rPr>
          <w:lang w:val="en_US" w:bidi="en_US"/>
        </w:rPr>
      </w:r>
      <w:r>
        <w:rPr>
          <w:lang w:val="en_US" w:bidi="en_US"/>
        </w:rPr>
        <w:t xml:space="preserve">will </w:t>
      </w:r>
      <w:r>
        <w:rPr>
          <w:lang w:val="en_US" w:bidi="en_US"/>
        </w:rPr>
        <w:t>God</w:t>
      </w:r>
      <w:r>
        <w:rPr>
          <w:lang w:val="en_US" w:bidi="en_US"/>
        </w:rPr>
        <w:t xml:space="preserve"> save/rescue only a few people </w:t>
      </w:r>
      <w:r>
        <w:rPr>
          <w:lang w:val="en_US" w:bidi="en_US"/>
        </w:rPr>
        <w:t>from eternal punishment</w:t>
      </w:r>
      <w:r>
        <w:rPr>
          <w:lang w:val="en_US" w:bidi="en_US"/>
        </w:rPr>
        <w:t>?”</w:t>
      </w:r>
    </w:p>
    <w:p>
      <w:pPr/>
      <w:r>
        <w:rPr>
          <w:lang w:val="en_US" w:bidi="en_US"/>
        </w:rPr>
      </w:r>
      <w:r>
        <w:rPr>
          <w:b/>
          <w:lang w:val="en_US" w:bidi="en_US"/>
        </w:rPr>
        <w:t>will only a few people be saved?:</w:t>
      </w:r>
      <w:r>
        <w:rPr>
          <w:lang w:val="en_US" w:bidi="en_US"/>
        </w:rPr>
        <w:t xml:space="preserve"> The verb </w:t>
      </w:r>
      <w:r>
        <w:rPr>
          <w:i/>
          <w:lang w:val="en_US" w:bidi="en_US"/>
        </w:rPr>
        <w:t>be saved</w:t>
      </w:r>
      <w:r>
        <w:rPr>
          <w:lang w:val="en_US" w:bidi="en_US"/>
        </w:rPr>
        <w:t xml:space="preserve"> means “to be rescued or delivered from something.” In this context it refers to being rescued from the spiritual dangers of sin and the punishment from God that results from sinning.</w:t>
      </w:r>
    </w:p>
    <w:p>
      <w:pPr/>
      <w:r>
        <w:rPr>
          <w:lang w:val="en_US" w:bidi="en_US"/>
        </w:rPr>
      </w:r>
      <w:r>
        <w:rPr>
          <w:lang w:val="en_US" w:bidi="en_US"/>
        </w:rPr>
        <w:t xml:space="preserve">The verb </w:t>
      </w:r>
      <w:r>
        <w:rPr>
          <w:i/>
          <w:lang w:val="en_US" w:bidi="en_US"/>
        </w:rPr>
        <w:t>be saved</w:t>
      </w:r>
      <w:r>
        <w:rPr>
          <w:lang w:val="en_US" w:bidi="en_US"/>
        </w:rPr>
        <w:t xml:space="preserve"> is passive. In some languages it may be necessary to use an active verb form and indicate that God is the one who saves. For example:</w:t>
      </w:r>
    </w:p>
    <w:p>
      <w:pPr/>
      <w:r>
        <w:rPr>
          <w:lang w:val="en_US" w:bidi="en_US"/>
        </w:rPr>
      </w:r>
      <w:r>
        <w:rPr>
          <w:lang w:val="en_US" w:bidi="en_US"/>
        </w:rPr>
        <w:t xml:space="preserve">Is </w:t>
      </w:r>
      <w:r>
        <w:rPr>
          <w:lang w:val="en_US" w:bidi="en_US"/>
        </w:rPr>
        <w:t>God</w:t>
      </w:r>
      <w:r>
        <w:rPr>
          <w:lang w:val="en_US" w:bidi="en_US"/>
        </w:rPr>
        <w:t xml:space="preserve"> going to save only a few people?</w:t>
      </w:r>
    </w:p>
    <w:p>
      <w:pPr/>
      <w:r>
        <w:rPr>
          <w:lang w:val="en_US" w:bidi="en_US"/>
        </w:rPr>
      </w:r>
      <w:r>
        <w:rPr>
          <w:lang w:val="en_US" w:bidi="en_US"/>
        </w:rPr>
        <w:t>In some languages it may be necessary to say what God would save these people from. For example:</w:t>
      </w:r>
    </w:p>
    <w:p>
      <w:pPr/>
      <w:r>
        <w:rPr>
          <w:lang w:val="en_US" w:bidi="en_US"/>
        </w:rPr>
      </w:r>
      <w:r>
        <w:rPr>
          <w:lang w:val="en_US" w:bidi="en_US"/>
        </w:rPr>
        <w:t xml:space="preserve">Will only a few people be saved </w:t>
      </w:r>
      <w:r>
        <w:rPr>
          <w:lang w:val="en_US" w:bidi="en_US"/>
        </w:rPr>
        <w:t>from sin</w:t>
      </w:r>
      <w:r>
        <w:rPr>
          <w:lang w:val="en_US" w:bidi="en_US"/>
        </w:rPr>
        <w:t>?</w:t>
      </w:r>
    </w:p>
    <w:p>
      <w:pPr/>
      <w:r>
        <w:rPr>
          <w:lang w:val="en_US" w:bidi="en_US"/>
        </w:rPr>
      </w:r>
      <w:r>
        <w:rPr>
          <w:lang w:val="en_US" w:bidi="en_US"/>
        </w:rPr>
        <w:t xml:space="preserve">Will God rescue only a few people </w:t>
      </w:r>
      <w:r>
        <w:rPr>
          <w:lang w:val="en_US" w:bidi="en_US"/>
        </w:rPr>
        <w:t>from eternal punishment</w:t>
      </w:r>
      <w:r>
        <w:rPr>
          <w:lang w:val="en_US" w:bidi="en_US"/>
        </w:rPr>
        <w:t>?</w:t>
      </w:r>
    </w:p>
    <w:p>
      <w:pPr/>
      <w:r>
        <w:rPr>
          <w:lang w:val="en_US" w:bidi="en_US"/>
        </w:rPr>
      </w:r>
      <w:r>
        <w:rPr>
          <w:lang w:val="en_US" w:bidi="en_US"/>
        </w:rPr>
        <w:t xml:space="preserve">For the word </w:t>
      </w:r>
      <w:r>
        <w:rPr>
          <w:i/>
          <w:lang w:val="en_US" w:bidi="en_US"/>
        </w:rPr>
        <w:t>saved</w:t>
      </w:r>
      <w:r>
        <w:rPr>
          <w:lang w:val="en_US" w:bidi="en_US"/>
        </w:rPr>
        <w:t>, see also the note on 7:50a. See save, Meaning 2, in the Glossary.</w:t>
      </w:r>
    </w:p>
    <w:p>
      <w:pPr>
        <w:pStyle w:val="Heading5"/>
      </w:pPr>
      <w:r>
        <w:rPr>
          <w:lang w:val="en_US" w:bidi="en_US"/>
        </w:rPr>
        <w:t>13:23c</w:t>
      </w:r>
    </w:p>
    <w:p>
      <w:pPr/>
      <w:r>
        <w:rPr>
          <w:lang w:val="en_US" w:bidi="en_US"/>
        </w:rPr>
      </w:r>
      <w:r>
        <w:rPr>
          <w:b/>
          <w:lang w:val="en_US" w:bidi="en_US"/>
        </w:rPr>
        <w:t>Jesus answered,</w:t>
      </w:r>
    </w:p>
    <w:p>
      <w:pPr>
        <w:pStyle w:val="ListBullet"/>
        <w:spacing w:line="240" w:lineRule="auto"/>
        <w:ind w:left="720"/>
      </w:pPr>
      <w:r>
        <w:rPr>
          <w:lang w:val="en_US" w:bidi="en_US"/>
        </w:rPr>
      </w:r>
      <w:r>
        <w:rPr>
          <w:lang w:val="en_US" w:bidi="en_US"/>
        </w:rPr>
        <w:t>Jesus/He answered by saying to everyone there,</w:t>
      </w:r>
    </w:p>
    <w:p>
      <w:pPr>
        <w:pStyle w:val="ListBullet"/>
        <w:spacing w:line="240" w:lineRule="auto"/>
        <w:ind w:left="720"/>
      </w:pPr>
      <w:r>
        <w:rPr>
          <w:lang w:val="en_US" w:bidi="en_US"/>
        </w:rPr>
      </w:r>
      <w:r>
        <w:rPr>
          <w:lang w:val="en_US" w:bidi="en_US"/>
        </w:rPr>
        <w:t>And</w:t>
      </w:r>
      <w:r>
        <w:rPr>
          <w:lang w:val="en_US" w:bidi="en_US"/>
        </w:rPr>
        <w:t xml:space="preserve"> Jesus said to them </w:t>
      </w:r>
      <w:r>
        <w:rPr>
          <w:lang w:val="en_US" w:bidi="en_US"/>
        </w:rPr>
        <w:t>all</w:t>
      </w:r>
      <w:r>
        <w:rPr>
          <w:lang w:val="en_US" w:bidi="en_US"/>
        </w:rPr>
        <w:t>,</w:t>
      </w:r>
    </w:p>
    <w:p>
      <w:pPr/>
      <w:r>
        <w:rPr>
          <w:lang w:val="en_US" w:bidi="en_US"/>
        </w:rPr>
      </w:r>
      <w:r>
        <w:rPr>
          <w:b/>
          <w:lang w:val="en_US" w:bidi="en_US"/>
        </w:rPr>
        <w:t>Jesus answered:</w:t>
      </w:r>
      <w:r>
        <w:rPr>
          <w:lang w:val="en_US" w:bidi="en_US"/>
        </w:rPr>
        <w:t xml:space="preserve"> The clause </w:t>
      </w:r>
      <w:r>
        <w:rPr>
          <w:i/>
          <w:lang w:val="en_US" w:bidi="en_US"/>
        </w:rPr>
        <w:t>Jesus answered</w:t>
      </w:r>
      <w:r>
        <w:rPr>
          <w:lang w:val="en_US" w:bidi="en_US"/>
        </w:rPr>
        <w:t xml:space="preserve"> introduces what Jesus said in response to the question in 13:23b. Notice that although one person asked the question, Jesus’ response was for everyone. He used you</w:t>
      </w:r>
      <w:r>
        <w:rPr>
          <w:vertAlign w:val="superscript"/>
          <w:lang w:val="en_US" w:bidi="en_US"/>
        </w:rPr>
        <w:t>(plur)</w:t>
      </w:r>
      <w:r>
        <w:rPr>
          <w:lang w:val="en_US" w:bidi="en_US"/>
        </w:rPr>
        <w:t xml:space="preserve"> in the verses that follow (13:24–27).</w:t>
      </w:r>
      <w:r>
        <w:rPr>
          <w:lang w:val="en_US" w:bidi="en_US"/>
        </w:rPr>
      </w:r>
      <w:r>
        <w:rPr>
          <w:lang w:val="en_US" w:bidi="en_US"/>
        </w:rPr>
      </w:r>
    </w:p>
    <w:p>
      <w:pPr/>
      <w:r>
        <w:rPr>
          <w:lang w:val="en_US" w:bidi="en_US"/>
        </w:rPr>
      </w:r>
    </w:p>
    <w:p>
      <w:pPr>
        <w:pStyle w:val="Heading2"/>
      </w:pPr>
      <w:r>
        <w:rPr>
          <w:lang w:val="en_US" w:bidi="en_US"/>
        </w:rPr>
        <w:t>Luke 13:24</w:t>
      </w:r>
      <w:r>
        <w:rPr>
          <w:lang w:val="en_US" w:bidi="en_US"/>
        </w:rPr>
      </w:r>
    </w:p>
    <w:p>
      <w:pPr>
        <w:pStyle w:val="Heading4"/>
      </w:pPr>
      <w:r>
        <w:rPr>
          <w:lang w:val="en_US" w:bidi="en_US"/>
        </w:rPr>
        <w:t>Section 13:22–30: The entrance to the kingdom of God is like a narrow door</w:t>
      </w:r>
    </w:p>
    <w:p>
      <w:pPr/>
      <w:r>
        <w:rPr>
          <w:lang w:val="en_US" w:bidi="en_US"/>
        </w:rPr>
      </w:r>
      <w:r>
        <w:rPr>
          <w:lang w:val="en_US" w:bidi="en_US"/>
        </w:rPr>
        <w:t>In this section Jesus advised people to do their best to enter the kingdom of God while there was still time. He spoke figuratively about this, using the figure of entering through the narrow door. After the owner of the house closed the door, many would try to enter but they would not be able to do so.</w:t>
      </w:r>
    </w:p>
    <w:p>
      <w:pPr/>
      <w:r>
        <w:rPr>
          <w:lang w:val="en_US" w:bidi="en_US"/>
        </w:rPr>
      </w:r>
      <w:r>
        <w:rPr>
          <w:lang w:val="en_US" w:bidi="en_US"/>
        </w:rPr>
        <w:t>Some other headings for this section are:</w:t>
      </w:r>
    </w:p>
    <w:p>
      <w:pPr/>
      <w:r>
        <w:rPr>
          <w:lang w:val="en_US" w:bidi="en_US"/>
        </w:rPr>
      </w:r>
      <w:r>
        <w:rPr>
          <w:lang w:val="en_US" w:bidi="en_US"/>
        </w:rPr>
        <w:t>Jesus warned that many people would not be able to enter the kingdom of God</w:t>
      </w:r>
    </w:p>
    <w:p>
      <w:pPr/>
      <w:r>
        <w:rPr>
          <w:lang w:val="en_US" w:bidi="en_US"/>
        </w:rPr>
      </w:r>
      <w:r>
        <w:rPr>
          <w:lang w:val="en_US" w:bidi="en_US"/>
        </w:rPr>
        <w:t>There are parallel passages for this section in Matthew 7:13–14 and 21–23.</w:t>
      </w:r>
    </w:p>
    <w:p>
      <w:pPr>
        <w:pStyle w:val="Heading4"/>
      </w:pPr>
      <w:r>
        <w:rPr>
          <w:lang w:val="en_US" w:bidi="en_US"/>
        </w:rPr>
        <w:t>Paragraph 13:22–27</w:t>
      </w:r>
    </w:p>
    <w:p>
      <w:pPr/>
      <w:r>
        <w:rPr>
          <w:lang w:val="en_US" w:bidi="en_US"/>
        </w:rPr>
      </w:r>
      <w:r>
        <w:rPr>
          <w:lang w:val="en_US" w:bidi="en_US"/>
        </w:rPr>
        <w:t>In this paragraph someone asked Jesus a question. He replied indirectly by telling the people a parable.</w:t>
      </w:r>
    </w:p>
    <w:p>
      <w:pPr>
        <w:pStyle w:val="Heading5"/>
      </w:pPr>
      <w:r>
        <w:rPr>
          <w:lang w:val="en_US" w:bidi="en_US"/>
        </w:rPr>
        <w:t>13:24a</w:t>
      </w:r>
    </w:p>
    <w:p>
      <w:pPr/>
      <w:r>
        <w:rPr>
          <w:lang w:val="en_US" w:bidi="en_US"/>
        </w:rPr>
      </w:r>
      <w:r>
        <w:rPr>
          <w:b/>
          <w:lang w:val="en_US" w:bidi="en_US"/>
        </w:rPr>
        <w:t>“Make every effort to enter through the narrow door.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try very hard to enter the narrow doorway </w:t>
      </w:r>
      <w:r>
        <w:rPr>
          <w:lang w:val="en_US" w:bidi="en_US"/>
        </w:rPr>
        <w:t>to God’s kingdom</w:t>
      </w:r>
      <w:r>
        <w:rPr>
          <w:lang w:val="en_US" w:bidi="en_US"/>
        </w:rPr>
        <w:t>,</w:t>
      </w:r>
    </w:p>
    <w:p>
      <w:pPr>
        <w:pStyle w:val="ListBullet"/>
        <w:spacing w:line="240" w:lineRule="auto"/>
        <w:ind w:left="720"/>
      </w:pPr>
      <w:r>
        <w:rPr>
          <w:lang w:val="en_US" w:bidi="en_US"/>
        </w:rPr>
      </w:r>
      <w:r>
        <w:rPr>
          <w:lang w:val="en_US" w:bidi="en_US"/>
        </w:rPr>
        <w:t>“</w:t>
      </w:r>
      <w:r>
        <w:rPr>
          <w:lang w:val="en_US" w:bidi="en_US"/>
        </w:rPr>
        <w:t>God’s reign/chieftaincy is like a house with</w:t>
      </w:r>
      <w:r>
        <w:rPr>
          <w:lang w:val="en_US" w:bidi="en_US"/>
        </w:rPr>
        <w:t xml:space="preserve"> a narrow door. You</w:t>
      </w:r>
      <w:r>
        <w:rPr>
          <w:vertAlign w:val="superscript"/>
          <w:lang w:val="en_US" w:bidi="en_US"/>
        </w:rPr>
        <w:t>(plur)</w:t>
      </w:r>
      <w:r>
        <w:rPr>
          <w:lang w:val="en_US" w:bidi="en_US"/>
        </w:rPr>
        <w:t xml:space="preserve"> need to do whatever you can to enter,</w:t>
      </w:r>
    </w:p>
    <w:p>
      <w:pPr/>
      <w:r>
        <w:rPr>
          <w:lang w:val="en_US" w:bidi="en_US"/>
        </w:rPr>
      </w:r>
      <w:r>
        <w:rPr>
          <w:lang w:val="en_US" w:bidi="en_US"/>
        </w:rPr>
        <w:t>Jesus did not answer the question directly. Instead, he spoke figuratively of the effort that is necessary to enter God’s kingdom.</w:t>
      </w:r>
    </w:p>
    <w:p>
      <w:pPr/>
      <w:r>
        <w:rPr>
          <w:lang w:val="en_US" w:bidi="en_US"/>
        </w:rPr>
      </w:r>
      <w:r>
        <w:rPr>
          <w:b/>
          <w:lang w:val="en_US" w:bidi="en_US"/>
        </w:rPr>
        <w:t>Make every effort:</w:t>
      </w:r>
      <w:r>
        <w:rPr>
          <w:lang w:val="en_US" w:bidi="en_US"/>
        </w:rPr>
        <w:t xml:space="preserve"> The Greek word that the BSB translates as </w:t>
      </w:r>
      <w:r>
        <w:rPr>
          <w:i/>
          <w:lang w:val="en_US" w:bidi="en_US"/>
        </w:rPr>
        <w:t>Make every effort</w:t>
      </w:r>
      <w:r>
        <w:rPr>
          <w:lang w:val="en_US" w:bidi="en_US"/>
        </w:rPr>
        <w:t xml:space="preserve"> is literally “struggle.” It refers to trying hard to do something. Other ways to translate it are:</w:t>
      </w:r>
    </w:p>
    <w:p>
      <w:pPr/>
      <w:r>
        <w:rPr>
          <w:lang w:val="en_US" w:bidi="en_US"/>
        </w:rPr>
      </w:r>
      <w:r>
        <w:rPr>
          <w:lang w:val="en_US" w:bidi="en_US"/>
        </w:rPr>
        <w:t>Work hard (NLT)</w:t>
      </w:r>
    </w:p>
    <w:p>
      <w:pPr/>
      <w:r>
        <w:rPr>
          <w:lang w:val="en_US" w:bidi="en_US"/>
        </w:rPr>
      </w:r>
      <w:r>
        <w:rPr>
          <w:lang w:val="en_US" w:bidi="en_US"/>
        </w:rPr>
        <w:t>Do all you can (CEV)</w:t>
      </w:r>
    </w:p>
    <w:p>
      <w:pPr/>
      <w:r>
        <w:rPr>
          <w:lang w:val="en_US" w:bidi="en_US"/>
        </w:rPr>
      </w:r>
      <w:r>
        <w:rPr>
          <w:b/>
          <w:lang w:val="en_US" w:bidi="en_US"/>
        </w:rPr>
        <w:t>to enter through the narrow door:</w:t>
      </w:r>
      <w:r>
        <w:rPr>
          <w:lang w:val="en_US" w:bidi="en_US"/>
        </w:rPr>
        <w:t xml:space="preserve"> This phrase is a metaphor that compares the kingdom of God to a house with a narrow door. The point of similarity is the difficulty of entering. Some ways to translate this metaphor are:</w:t>
      </w:r>
    </w:p>
    <w:p>
      <w:pPr>
        <w:pStyle w:val="ListBullet"/>
        <w:spacing w:line="240" w:lineRule="auto"/>
        <w:ind w:left="720"/>
      </w:pPr>
      <w:r>
        <w:rPr>
          <w:lang w:val="en_US" w:bidi="en_US"/>
        </w:rPr>
      </w:r>
      <w:r>
        <w:rPr>
          <w:lang w:val="en_US" w:bidi="en_US"/>
        </w:rPr>
        <w:t>Make the topic explicit. For example:</w:t>
      </w:r>
      <w:r>
        <w:rPr>
          <w:lang w:val="en_US" w:bidi="en_US"/>
        </w:rPr>
        <w:t>Work hard to enter the narrow door to God’s kingdom (NLT)</w:t>
      </w:r>
    </w:p>
    <w:p>
      <w:pPr>
        <w:pStyle w:val="ListBullet"/>
        <w:spacing w:line="240" w:lineRule="auto"/>
        <w:ind w:left="720"/>
      </w:pPr>
      <w:r>
        <w:rPr>
          <w:lang w:val="en_US" w:bidi="en_US"/>
        </w:rPr>
      </w:r>
      <w:r>
        <w:rPr>
          <w:lang w:val="en_US" w:bidi="en_US"/>
        </w:rPr>
        <w:t>Make the topic and point of similarity explicit. For example:</w:t>
      </w:r>
      <w:r>
        <w:rPr>
          <w:lang w:val="en_US" w:bidi="en_US"/>
        </w:rPr>
        <w:t>It is difficult to enter the narrow doorway to God’s kingdom. Make every effort to do so</w:t>
      </w:r>
    </w:p>
    <w:p>
      <w:pPr>
        <w:pStyle w:val="ListBullet"/>
        <w:spacing w:line="240" w:lineRule="auto"/>
        <w:ind w:left="720"/>
      </w:pPr>
      <w:r>
        <w:rPr>
          <w:lang w:val="en_US" w:bidi="en_US"/>
        </w:rPr>
      </w:r>
      <w:r>
        <w:rPr>
          <w:lang w:val="en_US" w:bidi="en_US"/>
        </w:rPr>
        <w:t>Change the metaphor to a simile and make the topic and illustration explicit. For example:</w:t>
      </w:r>
      <w:r>
        <w:rPr>
          <w:lang w:val="en_US" w:bidi="en_US"/>
        </w:rPr>
        <w:t>God’s kingdom/rule is like a house that has a narrow door. You must try very hard to enter that door</w:t>
      </w:r>
    </w:p>
    <w:p>
      <w:pPr/>
      <w:r>
        <w:rPr>
          <w:lang w:val="en_US" w:bidi="en_US"/>
        </w:rPr>
      </w:r>
      <w:r>
        <w:rPr>
          <w:lang w:val="en_US" w:bidi="en_US"/>
        </w:rPr>
        <w:t>Translate this metaphor in a way that is most natural in your language.</w:t>
      </w:r>
    </w:p>
    <w:p>
      <w:pPr>
        <w:pStyle w:val="Heading5"/>
      </w:pPr>
      <w:r>
        <w:rPr>
          <w:lang w:val="en_US" w:bidi="en_US"/>
        </w:rPr>
        <w:t>13:24b</w:t>
      </w:r>
    </w:p>
    <w:p>
      <w:pPr/>
      <w:r>
        <w:rPr>
          <w:lang w:val="en_US" w:bidi="en_US"/>
        </w:rPr>
      </w:r>
      <w:r>
        <w:rPr>
          <w:b/>
          <w:lang w:val="en_US" w:bidi="en_US"/>
        </w:rPr>
        <w:t>For many, I tell you, will try to enter and will not be able.</w:t>
      </w:r>
    </w:p>
    <w:p>
      <w:pPr>
        <w:pStyle w:val="ListBullet"/>
        <w:spacing w:line="240" w:lineRule="auto"/>
        <w:ind w:left="720"/>
      </w:pPr>
      <w:r>
        <w:rPr>
          <w:lang w:val="en_US" w:bidi="en_US"/>
        </w:rPr>
      </w:r>
      <w:r>
        <w:rPr>
          <w:lang w:val="en_US" w:bidi="en_US"/>
        </w:rPr>
        <w:t>because many people will definitely try to get in, and/but it will not be possible.</w:t>
      </w:r>
    </w:p>
    <w:p>
      <w:pPr>
        <w:pStyle w:val="ListBullet"/>
        <w:spacing w:line="240" w:lineRule="auto"/>
        <w:ind w:left="720"/>
      </w:pPr>
      <w:r>
        <w:rPr>
          <w:lang w:val="en_US" w:bidi="en_US"/>
        </w:rPr>
      </w:r>
      <w:r>
        <w:rPr>
          <w:lang w:val="en_US" w:bidi="en_US"/>
        </w:rPr>
        <w:t>for I tell/assure you, many will try to enter, but they will not succeed.</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the reason why people need to make every effort to enter the kingdom of God.</w:t>
      </w:r>
    </w:p>
    <w:p>
      <w:pPr/>
      <w:r>
        <w:rPr>
          <w:lang w:val="en_US" w:bidi="en_US"/>
        </w:rPr>
      </w:r>
      <w:r>
        <w:rPr>
          <w:b/>
          <w:lang w:val="en_US" w:bidi="en_US"/>
        </w:rPr>
        <w:t>many, I tell you, will try to enter:</w:t>
      </w:r>
      <w:r>
        <w:rPr>
          <w:lang w:val="en_US" w:bidi="en_US"/>
        </w:rPr>
        <w:t xml:space="preserve"> The clause </w:t>
      </w:r>
      <w:r>
        <w:rPr>
          <w:i/>
          <w:lang w:val="en_US" w:bidi="en_US"/>
        </w:rPr>
        <w:t>many…will try to enter</w:t>
      </w:r>
      <w:r>
        <w:rPr>
          <w:lang w:val="en_US" w:bidi="en_US"/>
        </w:rPr>
        <w:t xml:space="preserve"> means “many people will attempt to enter the house.” This is a figurative way of saying that many people will want to be part of the kingdom of God.</w:t>
      </w:r>
    </w:p>
    <w:p>
      <w:pPr/>
      <w:r>
        <w:rPr>
          <w:lang w:val="en_US" w:bidi="en_US"/>
        </w:rPr>
      </w:r>
      <w:r>
        <w:rPr>
          <w:b/>
          <w:lang w:val="en_US" w:bidi="en_US"/>
        </w:rPr>
        <w:t>I tell you:</w:t>
      </w:r>
      <w:r>
        <w:rPr>
          <w:lang w:val="en_US" w:bidi="en_US"/>
        </w:rPr>
        <w:t xml:space="preserve"> The clause </w:t>
      </w:r>
      <w:r>
        <w:rPr>
          <w:i/>
          <w:lang w:val="en_US" w:bidi="en_US"/>
        </w:rPr>
        <w:t>I tell you</w:t>
      </w:r>
      <w:r>
        <w:rPr>
          <w:lang w:val="en_US" w:bidi="en_US"/>
        </w:rPr>
        <w:t xml:space="preserve"> emphasizes what Jesus was saying. See the note in 13:3a for translation suggestions. In some languages it will be necessary to order this clause before the word “many.” For example:</w:t>
      </w:r>
    </w:p>
    <w:p>
      <w:pPr/>
      <w:r>
        <w:rPr>
          <w:lang w:val="en_US" w:bidi="en_US"/>
        </w:rPr>
      </w:r>
      <w:r>
        <w:rPr>
          <w:lang w:val="en_US" w:bidi="en_US"/>
        </w:rPr>
        <w:t>I can guarantee that (GW)</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the fact that many people will not be able to do what they try to do. In some languages it may be more natural to translate this as “but,” as in the GNT, NLT, and several other English versions.</w:t>
      </w:r>
    </w:p>
    <w:p>
      <w:pPr/>
      <w:r>
        <w:rPr>
          <w:lang w:val="en_US" w:bidi="en_US"/>
        </w:rPr>
      </w:r>
      <w:r>
        <w:rPr>
          <w:b/>
          <w:lang w:val="en_US" w:bidi="en_US"/>
        </w:rPr>
        <w:t>will not be able:</w:t>
      </w:r>
      <w:r>
        <w:rPr>
          <w:lang w:val="en_US" w:bidi="en_US"/>
        </w:rPr>
        <w:t xml:space="preserve"> The phrase </w:t>
      </w:r>
      <w:r>
        <w:rPr>
          <w:i/>
          <w:lang w:val="en_US" w:bidi="en_US"/>
        </w:rPr>
        <w:t>will not be able</w:t>
      </w:r>
      <w:r>
        <w:rPr>
          <w:lang w:val="en_US" w:bidi="en_US"/>
        </w:rPr>
        <w:t xml:space="preserve"> means “will not be able to enter the house.” The reason why the people will not be able to enter is made clear in the following verse. 13:25 indicates that the door will be shut, and no one can enter unless the owner of the house opens the door and permits him to enter.</w:t>
      </w:r>
      <w:r>
        <w:rPr>
          <w:lang w:val="en_US" w:bidi="en_US"/>
        </w:rPr>
      </w:r>
      <w:r>
        <w:rPr>
          <w:lang w:val="en_US" w:bidi="en_US"/>
        </w:rPr>
      </w:r>
    </w:p>
    <w:p>
      <w:pPr/>
      <w:r>
        <w:rPr>
          <w:lang w:val="en_US" w:bidi="en_US"/>
        </w:rPr>
      </w:r>
    </w:p>
    <w:p>
      <w:pPr>
        <w:pStyle w:val="Heading2"/>
      </w:pPr>
      <w:r>
        <w:rPr>
          <w:lang w:val="en_US" w:bidi="en_US"/>
        </w:rPr>
        <w:t>Luke 13:25</w:t>
      </w:r>
      <w:r>
        <w:rPr>
          <w:lang w:val="en_US" w:bidi="en_US"/>
        </w:rPr>
      </w:r>
    </w:p>
    <w:p>
      <w:pPr>
        <w:pStyle w:val="Heading4"/>
      </w:pPr>
      <w:r>
        <w:rPr>
          <w:lang w:val="en_US" w:bidi="en_US"/>
        </w:rPr>
        <w:t>Section 13:22–30: The entrance to the kingdom of God is like a narrow door</w:t>
      </w:r>
    </w:p>
    <w:p>
      <w:pPr/>
      <w:r>
        <w:rPr>
          <w:lang w:val="en_US" w:bidi="en_US"/>
        </w:rPr>
      </w:r>
      <w:r>
        <w:rPr>
          <w:lang w:val="en_US" w:bidi="en_US"/>
        </w:rPr>
        <w:t>In this section Jesus advised people to do their best to enter the kingdom of God while there was still time. He spoke figuratively about this, using the figure of entering through the narrow door. After the owner of the house closed the door, many would try to enter but they would not be able to do so.</w:t>
      </w:r>
    </w:p>
    <w:p>
      <w:pPr/>
      <w:r>
        <w:rPr>
          <w:lang w:val="en_US" w:bidi="en_US"/>
        </w:rPr>
      </w:r>
      <w:r>
        <w:rPr>
          <w:lang w:val="en_US" w:bidi="en_US"/>
        </w:rPr>
        <w:t>Some other headings for this section are:</w:t>
      </w:r>
    </w:p>
    <w:p>
      <w:pPr/>
      <w:r>
        <w:rPr>
          <w:lang w:val="en_US" w:bidi="en_US"/>
        </w:rPr>
      </w:r>
      <w:r>
        <w:rPr>
          <w:lang w:val="en_US" w:bidi="en_US"/>
        </w:rPr>
        <w:t>Jesus warned that many people would not be able to enter the kingdom of God</w:t>
      </w:r>
    </w:p>
    <w:p>
      <w:pPr/>
      <w:r>
        <w:rPr>
          <w:lang w:val="en_US" w:bidi="en_US"/>
        </w:rPr>
      </w:r>
      <w:r>
        <w:rPr>
          <w:lang w:val="en_US" w:bidi="en_US"/>
        </w:rPr>
        <w:t>There are parallel passages for this section in Matthew 7:13–14 and 21–23.</w:t>
      </w:r>
    </w:p>
    <w:p>
      <w:pPr>
        <w:pStyle w:val="Heading4"/>
      </w:pPr>
      <w:r>
        <w:rPr>
          <w:lang w:val="en_US" w:bidi="en_US"/>
        </w:rPr>
        <w:t>Paragraph 13:22–27</w:t>
      </w:r>
    </w:p>
    <w:p>
      <w:pPr/>
      <w:r>
        <w:rPr>
          <w:lang w:val="en_US" w:bidi="en_US"/>
        </w:rPr>
      </w:r>
      <w:r>
        <w:rPr>
          <w:lang w:val="en_US" w:bidi="en_US"/>
        </w:rPr>
        <w:t>In this paragraph someone asked Jesus a question. He replied indirectly by telling the people a parable.</w:t>
      </w:r>
    </w:p>
    <w:p>
      <w:pPr>
        <w:pStyle w:val="Heading5"/>
      </w:pPr>
      <w:r>
        <w:rPr>
          <w:lang w:val="en_US" w:bidi="en_US"/>
        </w:rPr>
        <w:t>13:25a</w:t>
      </w:r>
    </w:p>
    <w:p>
      <w:pPr/>
      <w:r>
        <w:rPr>
          <w:lang w:val="en_US" w:bidi="en_US"/>
        </w:rPr>
      </w:r>
      <w:r>
        <w:rPr>
          <w:b/>
          <w:lang w:val="en_US" w:bidi="en_US"/>
        </w:rPr>
        <w:t>After the master of the house gets up and shuts the door,</w:t>
      </w:r>
    </w:p>
    <w:p>
      <w:pPr>
        <w:pStyle w:val="ListBullet"/>
        <w:spacing w:line="240" w:lineRule="auto"/>
        <w:ind w:left="720"/>
      </w:pPr>
      <w:r>
        <w:rPr>
          <w:lang w:val="en_US" w:bidi="en_US"/>
        </w:rPr>
      </w:r>
      <w:r>
        <w:rPr>
          <w:lang w:val="en_US" w:bidi="en_US"/>
        </w:rPr>
        <w:t>After/When the owner of the house has gotten up and shut the door,</w:t>
      </w:r>
    </w:p>
    <w:p>
      <w:pPr>
        <w:pStyle w:val="ListBullet"/>
        <w:spacing w:line="240" w:lineRule="auto"/>
        <w:ind w:left="720"/>
      </w:pPr>
      <w:r>
        <w:rPr>
          <w:lang w:val="en_US" w:bidi="en_US"/>
        </w:rPr>
      </w:r>
      <w:r>
        <w:rPr>
          <w:lang w:val="en_US" w:bidi="en_US"/>
        </w:rPr>
        <w:t xml:space="preserve">In the future, the homeowner will </w:t>
      </w:r>
      <w:r>
        <w:rPr>
          <w:lang w:val="en_US" w:bidi="en_US"/>
        </w:rPr>
        <w:t>go</w:t>
      </w:r>
      <w:r>
        <w:rPr>
          <w:lang w:val="en_US" w:bidi="en_US"/>
        </w:rPr>
        <w:t xml:space="preserve"> close the/his door, </w:t>
      </w:r>
      <w:r>
        <w:rPr>
          <w:lang w:val="en_US" w:bidi="en_US"/>
        </w:rPr>
        <w:t>and then it will be too late</w:t>
      </w:r>
      <w:r>
        <w:rPr>
          <w:lang w:val="en_US" w:bidi="en_US"/>
        </w:rPr>
        <w:t xml:space="preserve"> </w:t>
      </w:r>
      <w:r>
        <w:rPr>
          <w:lang w:val="en_US" w:bidi="en_US"/>
        </w:rPr>
        <w:t>to enter</w:t>
      </w:r>
      <w:r>
        <w:rPr>
          <w:lang w:val="en_US" w:bidi="en_US"/>
        </w:rPr>
        <w:t>.</w:t>
      </w:r>
    </w:p>
    <w:p>
      <w:pPr/>
      <w:r>
        <w:rPr>
          <w:lang w:val="en_US" w:bidi="en_US"/>
        </w:rPr>
      </w:r>
      <w:r>
        <w:rPr>
          <w:lang w:val="en_US" w:bidi="en_US"/>
        </w:rPr>
        <w:t>13:25 explains why many people will not be able to enter God’s kingdom. It is because the time will come when the owner will close the door. Consider whether it is necessary in your language to introduce this explanation with an explicit word or phrase. For example:</w:t>
      </w:r>
    </w:p>
    <w:p>
      <w:pPr/>
      <w:r>
        <w:rPr>
          <w:lang w:val="en_US" w:bidi="en_US"/>
        </w:rPr>
      </w:r>
      <w:r>
        <w:rPr>
          <w:lang w:val="en_US" w:bidi="en_US"/>
        </w:rPr>
        <w:t>The reason is that</w:t>
      </w:r>
      <w:r>
        <w:rPr>
          <w:lang w:val="en_US" w:bidi="en_US"/>
        </w:rPr>
        <w:t xml:space="preserve"> …</w:t>
      </w:r>
    </w:p>
    <w:p>
      <w:pPr/>
      <w:r>
        <w:rPr>
          <w:lang w:val="en_US" w:bidi="en_US"/>
        </w:rPr>
      </w:r>
      <w:r>
        <w:rPr>
          <w:b/>
          <w:lang w:val="en_US" w:bidi="en_US"/>
        </w:rPr>
        <w:t>After the master of the house gets up and shuts the door:</w:t>
      </w:r>
      <w:r>
        <w:rPr>
          <w:lang w:val="en_US" w:bidi="en_US"/>
        </w:rPr>
        <w:t xml:space="preserve"> The Greek phrase that the BSB translates as </w:t>
      </w:r>
      <w:r>
        <w:rPr>
          <w:i/>
          <w:lang w:val="en_US" w:bidi="en_US"/>
        </w:rPr>
        <w:t>After</w:t>
      </w:r>
      <w:r>
        <w:rPr>
          <w:lang w:val="en_US" w:bidi="en_US"/>
        </w:rPr>
        <w:t xml:space="preserve"> is literally “from (the time) when.” It refers to the period of time in the future starting from when the owner of the house closes the door.</w:t>
      </w:r>
    </w:p>
    <w:p>
      <w:pPr/>
      <w:r>
        <w:rPr>
          <w:lang w:val="en_US" w:bidi="en_US"/>
        </w:rPr>
      </w:r>
      <w:r>
        <w:rPr>
          <w:b/>
          <w:lang w:val="en_US" w:bidi="en_US"/>
        </w:rPr>
        <w:t>gets up:</w:t>
      </w:r>
      <w:r>
        <w:rPr>
          <w:lang w:val="en_US" w:bidi="en_US"/>
        </w:rPr>
        <w:t xml:space="preserve"> The Greek verb that the BSB translates literally as </w:t>
      </w:r>
      <w:r>
        <w:rPr>
          <w:i/>
          <w:lang w:val="en_US" w:bidi="en_US"/>
        </w:rPr>
        <w:t>gets up</w:t>
      </w:r>
      <w:r>
        <w:rPr>
          <w:lang w:val="en_US" w:bidi="en_US"/>
        </w:rPr>
        <w:t xml:space="preserve"> probably implies here that the owner gets up from the table where he has been sitting with the other guests (see 13:29). However, his position (sitting or standing) is not in focus here. In some languages it may be more natural to leave this information implied.</w:t>
      </w:r>
    </w:p>
    <w:p>
      <w:pPr/>
      <w:r>
        <w:rPr>
          <w:lang w:val="en_US" w:bidi="en_US"/>
        </w:rPr>
      </w:r>
      <w:r>
        <w:rPr>
          <w:lang w:val="en_US" w:bidi="en_US"/>
        </w:rPr>
        <w:t>Some ways to translate this clause are:</w:t>
      </w:r>
    </w:p>
    <w:p>
      <w:pPr/>
      <w:r>
        <w:rPr>
          <w:lang w:val="en_US" w:bidi="en_US"/>
        </w:rPr>
      </w:r>
      <w:r>
        <w:rPr>
          <w:lang w:val="en_US" w:bidi="en_US"/>
        </w:rPr>
        <w:t>After the homeowner gets up and closes the door (GW)</w:t>
      </w:r>
    </w:p>
    <w:p>
      <w:pPr/>
      <w:r>
        <w:rPr>
          <w:lang w:val="en_US" w:bidi="en_US"/>
        </w:rPr>
      </w:r>
      <w:r>
        <w:rPr>
          <w:lang w:val="en_US" w:bidi="en_US"/>
        </w:rPr>
        <w:t>When the master of the house has locked the door (NLT)</w:t>
      </w:r>
    </w:p>
    <w:p>
      <w:pPr/>
      <w:r>
        <w:rPr>
          <w:lang w:val="en_US" w:bidi="en_US"/>
        </w:rPr>
      </w:r>
      <w:r>
        <w:rPr>
          <w:lang w:val="en_US" w:bidi="en_US"/>
        </w:rPr>
        <w:t>Starting from when the head of the household goes and shuts the door</w:t>
      </w:r>
    </w:p>
    <w:p>
      <w:pPr/>
      <w:r>
        <w:rPr>
          <w:lang w:val="en_US" w:bidi="en_US"/>
        </w:rPr>
      </w:r>
      <w:r>
        <w:rPr>
          <w:lang w:val="en_US" w:bidi="en_US"/>
        </w:rPr>
        <w:t>It is implied from the context that after the door is closed, it will be too late for anyone to enter. In some languages it may be more natural to make this information explicit and to start the next verse part with a new sentence. For example:</w:t>
      </w:r>
    </w:p>
    <w:p>
      <w:pPr/>
      <w:r>
        <w:rPr>
          <w:lang w:val="en_US" w:bidi="en_US"/>
        </w:rPr>
      </w:r>
      <w:r>
        <w:rPr>
          <w:lang w:val="en_US" w:bidi="en_US"/>
        </w:rPr>
        <w:t>…it will be too late. You will stand outside… (NLT)</w:t>
      </w:r>
    </w:p>
    <w:p>
      <w:pPr>
        <w:pStyle w:val="Heading6"/>
      </w:pPr>
      <w:r>
        <w:rPr>
          <w:b/>
          <w:lang w:val="en_US" w:bidi="en_US"/>
        </w:rPr>
        <w:t>General Comment on 13:24a–25a</w:t>
      </w:r>
    </w:p>
    <w:p>
      <w:pPr/>
      <w:r>
        <w:rPr>
          <w:lang w:val="en_US" w:bidi="en_US"/>
        </w:rPr>
      </w:r>
      <w:r>
        <w:rPr>
          <w:lang w:val="en_US" w:bidi="en_US"/>
        </w:rPr>
        <w:t>In some languages it may be more natural to reorder the information in these verse parts. You may want to put the information about the owner closing the door before the conclusion that many will be unable to enter. For example:</w:t>
      </w:r>
    </w:p>
    <w:p>
      <w:pPr/>
      <w:r>
        <w:rPr>
          <w:lang w:val="en_US" w:bidi="en_US"/>
        </w:rPr>
      </w:r>
      <w:r>
        <w:rPr>
          <w:vertAlign w:val="superscript"/>
          <w:lang w:val="en_US" w:bidi="en_US"/>
        </w:rPr>
        <w:t>24a</w:t>
      </w:r>
      <w:r>
        <w:rPr>
          <w:lang w:val="en_US" w:bidi="en_US"/>
        </w:rPr>
        <w:t xml:space="preserve">Make every effort to enter the narrow door to God’s kingdom </w:t>
      </w:r>
      <w:r>
        <w:rPr>
          <w:lang w:val="en_US" w:bidi="en_US"/>
        </w:rPr>
        <w:t>while it is still open</w:t>
      </w:r>
      <w:r>
        <w:rPr>
          <w:lang w:val="en_US" w:bidi="en_US"/>
        </w:rPr>
        <w:t xml:space="preserve">. </w:t>
      </w:r>
      <w:r>
        <w:rPr>
          <w:vertAlign w:val="superscript"/>
          <w:lang w:val="en_US" w:bidi="en_US"/>
        </w:rPr>
        <w:t>25a</w:t>
      </w:r>
      <w:r>
        <w:rPr>
          <w:lang w:val="en_US" w:bidi="en_US"/>
        </w:rPr>
        <w:t xml:space="preserve">Because when the owner closes the door, </w:t>
      </w:r>
      <w:r>
        <w:rPr>
          <w:vertAlign w:val="superscript"/>
          <w:lang w:val="en_US" w:bidi="en_US"/>
        </w:rPr>
        <w:t>24b</w:t>
      </w:r>
      <w:r>
        <w:rPr>
          <w:lang w:val="en_US" w:bidi="en_US"/>
        </w:rPr>
        <w:t>I assure you that many people will try to enter, but they will not be able to.</w:t>
      </w:r>
    </w:p>
    <w:p>
      <w:pPr>
        <w:pStyle w:val="Heading5"/>
      </w:pPr>
      <w:r>
        <w:rPr>
          <w:lang w:val="en_US" w:bidi="en_US"/>
        </w:rPr>
        <w:t>13:25b</w:t>
      </w:r>
    </w:p>
    <w:p>
      <w:pPr/>
      <w:r>
        <w:rPr>
          <w:lang w:val="en_US" w:bidi="en_US"/>
        </w:rPr>
      </w:r>
      <w:r>
        <w:rPr>
          <w:b/>
          <w:lang w:val="en_US" w:bidi="en_US"/>
        </w:rPr>
        <w:t>you will stand outside knocking</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stand outside </w:t>
      </w:r>
      <w:r>
        <w:rPr>
          <w:lang w:val="en_US" w:bidi="en_US"/>
        </w:rPr>
        <w:t>the house</w:t>
      </w:r>
      <w:r>
        <w:rPr>
          <w:lang w:val="en_US" w:bidi="en_US"/>
        </w:rPr>
        <w:t xml:space="preserve"> and will knock</w:t>
      </w:r>
    </w:p>
    <w:p>
      <w:pPr>
        <w:pStyle w:val="ListBullet"/>
        <w:spacing w:line="240" w:lineRule="auto"/>
        <w:ind w:left="720"/>
      </w:pPr>
      <w:r>
        <w:rPr>
          <w:lang w:val="en_US" w:bidi="en_US"/>
        </w:rPr>
      </w:r>
      <w:r>
        <w:rPr>
          <w:lang w:val="en_US" w:bidi="en_US"/>
        </w:rPr>
        <w:t>After that</w:t>
      </w:r>
      <w:r>
        <w:rPr>
          <w:lang w:val="en_US" w:bidi="en_US"/>
        </w:rPr>
        <w:t xml:space="preserve"> you</w:t>
      </w:r>
      <w:r>
        <w:rPr>
          <w:vertAlign w:val="superscript"/>
          <w:lang w:val="en_US" w:bidi="en_US"/>
        </w:rPr>
        <w:t>(plur)</w:t>
      </w:r>
      <w:r>
        <w:rPr>
          <w:lang w:val="en_US" w:bidi="en_US"/>
        </w:rPr>
        <w:t xml:space="preserve"> who were left outside will knock </w:t>
      </w:r>
      <w:r>
        <w:rPr>
          <w:lang w:val="en_US" w:bidi="en_US"/>
        </w:rPr>
        <w:t>on the door</w:t>
      </w:r>
    </w:p>
    <w:p>
      <w:pPr/>
      <w:r>
        <w:rPr>
          <w:lang w:val="en_US" w:bidi="en_US"/>
        </w:rPr>
      </w:r>
      <w:r>
        <w:rPr>
          <w:b/>
          <w:lang w:val="en_US" w:bidi="en_US"/>
        </w:rPr>
        <w:t>you will stand outside knocking:</w:t>
      </w:r>
      <w:r>
        <w:rPr>
          <w:lang w:val="en_US" w:bidi="en_US"/>
        </w:rPr>
        <w:t xml:space="preserve"> The word </w:t>
      </w:r>
      <w:r>
        <w:rPr>
          <w:i/>
          <w:lang w:val="en_US" w:bidi="en_US"/>
        </w:rPr>
        <w:t>you</w:t>
      </w:r>
      <w:r>
        <w:rPr>
          <w:lang w:val="en_US" w:bidi="en_US"/>
        </w:rPr>
        <w:t xml:space="preserve"> refers to anyone who does not enter the house before the owner closes the door. One way to make this clear is to say:</w:t>
      </w:r>
    </w:p>
    <w:p>
      <w:pPr/>
      <w:r>
        <w:rPr>
          <w:lang w:val="en_US" w:bidi="en_US"/>
        </w:rPr>
      </w:r>
      <w:r>
        <w:rPr>
          <w:lang w:val="en_US" w:bidi="en_US"/>
        </w:rPr>
        <w:t>you</w:t>
      </w:r>
      <w:r>
        <w:rPr>
          <w:vertAlign w:val="superscript"/>
          <w:lang w:val="en_US" w:bidi="en_US"/>
        </w:rPr>
        <w:t>(plur)</w:t>
      </w:r>
      <w:r>
        <w:rPr>
          <w:lang w:val="en_US" w:bidi="en_US"/>
        </w:rPr>
        <w:t xml:space="preserve"> who are </w:t>
      </w:r>
      <w:r>
        <w:rPr>
          <w:lang w:val="en_US" w:bidi="en_US"/>
        </w:rPr>
        <w:t>still</w:t>
      </w:r>
      <w:r>
        <w:rPr>
          <w:lang w:val="en_US" w:bidi="en_US"/>
        </w:rPr>
        <w:t xml:space="preserve"> outside will stand </w:t>
      </w:r>
      <w:r>
        <w:rPr>
          <w:lang w:val="en_US" w:bidi="en_US"/>
        </w:rPr>
        <w:t>there</w:t>
      </w:r>
      <w:r>
        <w:rPr>
          <w:lang w:val="en_US" w:bidi="en_US"/>
        </w:rPr>
        <w:t xml:space="preserve"> knocking</w:t>
      </w:r>
    </w:p>
    <w:p>
      <w:pPr/>
      <w:r>
        <w:rPr>
          <w:lang w:val="en_US" w:bidi="en_US"/>
        </w:rPr>
      </w:r>
      <w:r>
        <w:rPr>
          <w:lang w:val="en_US" w:bidi="en_US"/>
        </w:rPr>
        <w:t>In some languages it will be clear from the preceding context that the people who are knocking are standing outside the house. If it is unnaturally redundant to make this information explicit, you may leave it implicit. For example:</w:t>
      </w:r>
    </w:p>
    <w:p>
      <w:pPr/>
      <w:r>
        <w:rPr>
          <w:lang w:val="en_US" w:bidi="en_US"/>
        </w:rPr>
      </w:r>
      <w:r>
        <w:rPr>
          <w:lang w:val="en_US" w:bidi="en_US"/>
        </w:rPr>
        <w:t>you will knock and say/plead</w:t>
      </w:r>
    </w:p>
    <w:p>
      <w:pPr/>
      <w:r>
        <w:rPr>
          <w:lang w:val="en_US" w:bidi="en_US"/>
        </w:rPr>
      </w:r>
      <w:r>
        <w:rPr>
          <w:b/>
          <w:lang w:val="en_US" w:bidi="en_US"/>
        </w:rPr>
        <w:t>knocking:</w:t>
      </w:r>
      <w:r>
        <w:rPr>
          <w:lang w:val="en_US" w:bidi="en_US"/>
        </w:rPr>
        <w:t xml:space="preserve"> The Greek phrase that the BSB translates as </w:t>
      </w:r>
      <w:r>
        <w:rPr>
          <w:i/>
          <w:lang w:val="en_US" w:bidi="en_US"/>
        </w:rPr>
        <w:t>knocking</w:t>
      </w:r>
      <w:r>
        <w:rPr>
          <w:lang w:val="en_US" w:bidi="en_US"/>
        </w:rPr>
        <w:t xml:space="preserve"> is more literally “knocking at the door.” Some English versions, such as the RSV, translate it that way. You may translate “the door” literally or leave it implicit as the BSB has done, whichever is more natural in your language.</w:t>
      </w:r>
    </w:p>
    <w:p>
      <w:pPr/>
      <w:r>
        <w:rPr>
          <w:lang w:val="en_US" w:bidi="en_US"/>
        </w:rPr>
      </w:r>
      <w:r>
        <w:rPr>
          <w:lang w:val="en_US" w:bidi="en_US"/>
        </w:rPr>
        <w:t>In Jesus’ time people knocked on a door in order to ask to be let in. If in your culture people make some other sign, other ways to translate it are:</w:t>
      </w:r>
    </w:p>
    <w:p>
      <w:pPr>
        <w:pStyle w:val="ListBullet"/>
        <w:spacing w:line="240" w:lineRule="auto"/>
        <w:ind w:left="720"/>
      </w:pPr>
      <w:r>
        <w:rPr>
          <w:lang w:val="en_US" w:bidi="en_US"/>
        </w:rPr>
      </w:r>
      <w:r>
        <w:rPr>
          <w:lang w:val="en_US" w:bidi="en_US"/>
        </w:rPr>
        <w:t xml:space="preserve">Explain the meaning of </w:t>
      </w:r>
      <w:r>
        <w:rPr>
          <w:i/>
          <w:lang w:val="en_US" w:bidi="en_US"/>
        </w:rPr>
        <w:t>knocking</w:t>
      </w:r>
      <w:r>
        <w:rPr>
          <w:lang w:val="en_US" w:bidi="en_US"/>
        </w:rPr>
        <w:t>. For example:</w:t>
      </w:r>
      <w:r>
        <w:rPr>
          <w:lang w:val="en_US" w:bidi="en_US"/>
        </w:rPr>
        <w:t xml:space="preserve">knocking </w:t>
      </w:r>
      <w:r>
        <w:rPr>
          <w:lang w:val="en_US" w:bidi="en_US"/>
        </w:rPr>
        <w:t>to be let in</w:t>
      </w:r>
    </w:p>
    <w:p>
      <w:pPr>
        <w:pStyle w:val="ListBullet"/>
        <w:spacing w:line="240" w:lineRule="auto"/>
        <w:ind w:left="720"/>
      </w:pPr>
      <w:r>
        <w:rPr>
          <w:lang w:val="en_US" w:bidi="en_US"/>
        </w:rPr>
      </w:r>
      <w:r>
        <w:rPr>
          <w:lang w:val="en_US" w:bidi="en_US"/>
        </w:rPr>
        <w:t>Use a word from your culture that means the same thing. For example:</w:t>
      </w:r>
      <w:r>
        <w:rPr>
          <w:lang w:val="en_US" w:bidi="en_US"/>
        </w:rPr>
        <w:t>coughing</w:t>
      </w:r>
      <w:r>
        <w:rPr>
          <w:lang w:val="en_US" w:bidi="en_US"/>
        </w:rPr>
        <w:t>calling out</w:t>
      </w:r>
    </w:p>
    <w:p>
      <w:pPr>
        <w:pStyle w:val="Heading5"/>
      </w:pPr>
      <w:r>
        <w:rPr>
          <w:lang w:val="en_US" w:bidi="en_US"/>
        </w:rPr>
        <w:t>13:25c</w:t>
      </w:r>
    </w:p>
    <w:p>
      <w:pPr/>
      <w:r>
        <w:rPr>
          <w:lang w:val="en_US" w:bidi="en_US"/>
        </w:rPr>
      </w:r>
      <w:r>
        <w:rPr>
          <w:b/>
          <w:lang w:val="en_US" w:bidi="en_US"/>
        </w:rPr>
        <w:t>and saying, ‘Lord, open the door for us.’</w:t>
      </w:r>
    </w:p>
    <w:p>
      <w:pPr>
        <w:pStyle w:val="ListBullet"/>
        <w:spacing w:line="240" w:lineRule="auto"/>
        <w:ind w:left="720"/>
      </w:pPr>
      <w:r>
        <w:rPr>
          <w:lang w:val="en_US" w:bidi="en_US"/>
        </w:rPr>
      </w:r>
      <w:r>
        <w:rPr>
          <w:lang w:val="en_US" w:bidi="en_US"/>
        </w:rPr>
        <w:t>and beg, ‘Sir, please let us</w:t>
      </w:r>
      <w:r>
        <w:rPr>
          <w:vertAlign w:val="superscript"/>
          <w:lang w:val="en_US" w:bidi="en_US"/>
        </w:rPr>
        <w:t>(excl)</w:t>
      </w:r>
      <w:r>
        <w:rPr>
          <w:lang w:val="en_US" w:bidi="en_US"/>
        </w:rPr>
        <w:t xml:space="preserve"> in!’</w:t>
      </w:r>
    </w:p>
    <w:p>
      <w:pPr>
        <w:pStyle w:val="ListBullet"/>
        <w:spacing w:line="240" w:lineRule="auto"/>
        <w:ind w:left="720"/>
      </w:pPr>
      <w:r>
        <w:rPr>
          <w:lang w:val="en_US" w:bidi="en_US"/>
        </w:rPr>
      </w:r>
      <w:r>
        <w:rPr>
          <w:lang w:val="en_US" w:bidi="en_US"/>
        </w:rPr>
        <w:t>and say, ‘Sir, we</w:t>
      </w:r>
      <w:r>
        <w:rPr>
          <w:vertAlign w:val="superscript"/>
          <w:lang w:val="en_US" w:bidi="en_US"/>
        </w:rPr>
        <w:t>(excl)</w:t>
      </w:r>
      <w:r>
        <w:rPr>
          <w:lang w:val="en_US" w:bidi="en_US"/>
        </w:rPr>
        <w:t xml:space="preserve"> want to enter, please.’</w:t>
      </w:r>
    </w:p>
    <w:p>
      <w:pPr/>
      <w:r>
        <w:rPr>
          <w:lang w:val="en_US" w:bidi="en_US"/>
        </w:rPr>
      </w:r>
      <w:r>
        <w:rPr>
          <w:b/>
          <w:lang w:val="en_US" w:bidi="en_US"/>
        </w:rPr>
        <w:t>saying:</w:t>
      </w:r>
      <w:r>
        <w:rPr>
          <w:lang w:val="en_US" w:bidi="en_US"/>
        </w:rPr>
        <w:t xml:space="preserve"> The BSB translates the Greek term here literally as </w:t>
      </w:r>
      <w:r>
        <w:rPr>
          <w:i/>
          <w:lang w:val="en_US" w:bidi="en_US"/>
        </w:rPr>
        <w:t>saying</w:t>
      </w:r>
      <w:r>
        <w:rPr>
          <w:lang w:val="en_US" w:bidi="en_US"/>
        </w:rPr>
        <w:t>. A colorful way to translate this in order to add interest to the story is:</w:t>
      </w:r>
    </w:p>
    <w:p>
      <w:pPr/>
      <w:r>
        <w:rPr>
          <w:lang w:val="en_US" w:bidi="en_US"/>
        </w:rPr>
      </w:r>
      <w:r>
        <w:rPr>
          <w:lang w:val="en_US" w:bidi="en_US"/>
        </w:rPr>
        <w:t>pleading (NIV, NLT)</w:t>
      </w:r>
    </w:p>
    <w:p>
      <w:pPr/>
      <w:r>
        <w:rPr>
          <w:lang w:val="en_US" w:bidi="en_US"/>
        </w:rPr>
      </w:r>
      <w:r>
        <w:rPr>
          <w:lang w:val="en_US" w:bidi="en_US"/>
        </w:rPr>
        <w:t>Use the verb that is natural in your language for introducing a request.</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is the same title of respect that is translated as Lord in 13:23a.</w:t>
      </w:r>
      <w:r>
        <w:rPr>
          <w:lang w:val="en_US" w:bidi="en_US"/>
        </w:rPr>
        <w:t>There is a textual issue here. Some Greek manuscripts repeat the word “Lord” here and have “Lord, Lord.” The Greek NT does not mention this variant, and of the fourteen English versions consulted, only the KJV follows it. It is recommended that you not include this repetition. In Matthew 25:11, where the foolish women are pleading to be allowed to come in, the word “Lord” is also repeated. It communicates the urgency or earnestness of the plea. This repetition has a different meaning in some languages. If you follow this text, be sure that it does not communicate a wrong meaning in your language. For more information, see Swanson, p. 252; Blight 2007b, p. 92; and Marshall, p. 566.</w:t>
      </w:r>
      <w:r>
        <w:rPr>
          <w:lang w:val="en_US" w:bidi="en_US"/>
        </w:rPr>
        <w:t xml:space="preserve"> You should use a title that is appropriate for addressing the owner of a house.</w:t>
      </w:r>
    </w:p>
    <w:p>
      <w:pPr/>
      <w:r>
        <w:rPr>
          <w:lang w:val="en_US" w:bidi="en_US"/>
        </w:rPr>
      </w:r>
      <w:r>
        <w:rPr>
          <w:b/>
          <w:lang w:val="en_US" w:bidi="en_US"/>
        </w:rPr>
        <w:t>open the door for us:</w:t>
      </w:r>
      <w:r>
        <w:rPr>
          <w:lang w:val="en_US" w:bidi="en_US"/>
        </w:rPr>
        <w:t xml:space="preserve"> The Greek clause that the BSB translates as </w:t>
      </w:r>
      <w:r>
        <w:rPr>
          <w:i/>
          <w:lang w:val="en_US" w:bidi="en_US"/>
        </w:rPr>
        <w:t>open the door for us</w:t>
      </w:r>
      <w:r>
        <w:rPr>
          <w:lang w:val="en_US" w:bidi="en_US"/>
        </w:rPr>
        <w:t xml:space="preserve"> is more literally “open to us.” Some English versions, such as the RSV, translate it that way. Use a natural expression in your language for requesting to enter someone’s house.</w:t>
      </w:r>
    </w:p>
    <w:p>
      <w:pPr/>
      <w:r>
        <w:rPr>
          <w:lang w:val="en_US" w:bidi="en_US"/>
        </w:rPr>
      </w:r>
      <w:r>
        <w:rPr>
          <w:lang w:val="en_US" w:bidi="en_US"/>
        </w:rPr>
        <w:t>In some languages it will be necessary to make explicit that this is a request, not a command. For example:</w:t>
      </w:r>
    </w:p>
    <w:p>
      <w:pPr/>
      <w:r>
        <w:rPr>
          <w:lang w:val="en_US" w:bidi="en_US"/>
        </w:rPr>
      </w:r>
      <w:r>
        <w:rPr>
          <w:lang w:val="en_US" w:bidi="en_US"/>
        </w:rPr>
        <w:t xml:space="preserve">Sir, </w:t>
      </w:r>
      <w:r>
        <w:rPr>
          <w:u w:val="single"/>
          <w:lang w:val="en_US" w:bidi="en_US"/>
        </w:rPr>
        <w:t>please</w:t>
      </w:r>
      <w:r>
        <w:rPr>
          <w:lang w:val="en_US" w:bidi="en_US"/>
        </w:rPr>
        <w:t xml:space="preserve"> let us enter!</w:t>
      </w:r>
    </w:p>
    <w:p>
      <w:pPr>
        <w:pStyle w:val="Heading5"/>
      </w:pPr>
      <w:r>
        <w:rPr>
          <w:lang w:val="en_US" w:bidi="en_US"/>
        </w:rPr>
        <w:t>13:25d</w:t>
      </w:r>
    </w:p>
    <w:p>
      <w:pPr/>
      <w:r>
        <w:rPr>
          <w:lang w:val="en_US" w:bidi="en_US"/>
        </w:rPr>
      </w:r>
      <w:r>
        <w:rPr>
          <w:b/>
          <w:lang w:val="en_US" w:bidi="en_US"/>
        </w:rPr>
        <w:t>But he will reply, ‘I do not know where you are from.’</w:t>
      </w:r>
    </w:p>
    <w:p>
      <w:pPr>
        <w:pStyle w:val="ListBullet"/>
        <w:spacing w:line="240" w:lineRule="auto"/>
        <w:ind w:left="720"/>
      </w:pPr>
      <w:r>
        <w:rPr>
          <w:lang w:val="en_US" w:bidi="en_US"/>
        </w:rPr>
      </w:r>
      <w:r>
        <w:rPr>
          <w:lang w:val="en_US" w:bidi="en_US"/>
        </w:rPr>
        <w:t>But he will say to you</w:t>
      </w:r>
      <w:r>
        <w:rPr>
          <w:vertAlign w:val="superscript"/>
          <w:lang w:val="en_US" w:bidi="en_US"/>
        </w:rPr>
        <w:t>(plur)</w:t>
      </w:r>
      <w:r>
        <w:rPr>
          <w:lang w:val="en_US" w:bidi="en_US"/>
        </w:rPr>
        <w:t>, ‘I do not know who you</w:t>
      </w:r>
      <w:r>
        <w:rPr>
          <w:vertAlign w:val="superscript"/>
          <w:lang w:val="en_US" w:bidi="en_US"/>
        </w:rPr>
        <w:t>(plur)</w:t>
      </w:r>
      <w:r>
        <w:rPr>
          <w:lang w:val="en_US" w:bidi="en_US"/>
        </w:rPr>
        <w:t xml:space="preserve"> are.’</w:t>
      </w:r>
    </w:p>
    <w:p>
      <w:pPr>
        <w:pStyle w:val="ListBullet"/>
        <w:spacing w:line="240" w:lineRule="auto"/>
        <w:ind w:left="720"/>
      </w:pPr>
      <w:r>
        <w:rPr>
          <w:lang w:val="en_US" w:bidi="en_US"/>
        </w:rPr>
      </w:r>
      <w:r>
        <w:rPr>
          <w:lang w:val="en_US" w:bidi="en_US"/>
        </w:rPr>
        <w:t xml:space="preserve">But </w:t>
      </w:r>
      <w:r>
        <w:rPr>
          <w:lang w:val="en_US" w:bidi="en_US"/>
        </w:rPr>
        <w:t>the homeowner</w:t>
      </w:r>
      <w:r>
        <w:rPr>
          <w:lang w:val="en_US" w:bidi="en_US"/>
        </w:rPr>
        <w:t xml:space="preserve"> will deny that he has any relationship with you</w:t>
      </w:r>
      <w:r>
        <w:rPr>
          <w:vertAlign w:val="superscript"/>
          <w:lang w:val="en_US" w:bidi="en_US"/>
        </w:rPr>
        <w:t>(plur)</w:t>
      </w:r>
      <w:r>
        <w:rPr>
          <w:lang w:val="en_US" w:bidi="en_US"/>
        </w:rPr>
        <w:t>.</w:t>
      </w:r>
    </w:p>
    <w:p>
      <w:pPr/>
      <w:r>
        <w:rPr>
          <w:lang w:val="en_US" w:bidi="en_US"/>
        </w:rPr>
      </w:r>
      <w:r>
        <w:rPr>
          <w:b/>
          <w:lang w:val="en_US" w:bidi="en_US"/>
        </w:rPr>
        <w:t>But he will reply, ‘I do not know where you are from’:</w:t>
      </w:r>
      <w:r>
        <w:rPr>
          <w:lang w:val="en_US" w:bidi="en_US"/>
        </w:rPr>
        <w:t xml:space="preserve"> This clause probably means that the homeowner did not know what family these people belonged to. He was refusing to acknowledge any relationship with these people. He was saying that they did not belong to him or his family. He was not talking about the town or place that these people came from. Other ways to translate this clause are:</w:t>
      </w:r>
    </w:p>
    <w:p>
      <w:pPr/>
      <w:r>
        <w:rPr>
          <w:lang w:val="en_US" w:bidi="en_US"/>
        </w:rPr>
      </w:r>
      <w:r>
        <w:rPr>
          <w:lang w:val="en_US" w:bidi="en_US"/>
        </w:rPr>
        <w:t>I don’t know who you are. (GW)</w:t>
      </w:r>
    </w:p>
    <w:p>
      <w:pPr/>
      <w:r>
        <w:rPr>
          <w:lang w:val="en_US" w:bidi="en_US"/>
        </w:rPr>
      </w:r>
      <w:r>
        <w:rPr>
          <w:lang w:val="en_US" w:bidi="en_US"/>
        </w:rPr>
        <w:t>I don’t know a thing about you! (CEV)</w:t>
      </w:r>
    </w:p>
    <w:p>
      <w:pPr/>
      <w:r>
        <w:rPr>
          <w:lang w:val="en_US" w:bidi="en_US"/>
        </w:rPr>
      </w:r>
      <w:r>
        <w:rPr>
          <w:lang w:val="en_US" w:bidi="en_US"/>
        </w:rPr>
        <w:t>In some languages it may be more natural to translate this direct quote as an indirect quote. For example:</w:t>
      </w:r>
    </w:p>
    <w:p>
      <w:pPr/>
      <w:r>
        <w:rPr>
          <w:lang w:val="en_US" w:bidi="en_US"/>
        </w:rPr>
      </w:r>
      <w:r>
        <w:rPr>
          <w:lang w:val="en_US" w:bidi="en_US"/>
        </w:rPr>
        <w:t xml:space="preserve">But </w:t>
      </w:r>
      <w:r>
        <w:rPr>
          <w:lang w:val="en_US" w:bidi="en_US"/>
        </w:rPr>
        <w:t>the owner of the house</w:t>
      </w:r>
      <w:r>
        <w:rPr>
          <w:lang w:val="en_US" w:bidi="en_US"/>
        </w:rPr>
        <w:t xml:space="preserve"> will refuse to acknowledge that he knows you.</w:t>
      </w:r>
      <w:r>
        <w:rPr>
          <w:lang w:val="en_US" w:bidi="en_US"/>
        </w:rPr>
      </w:r>
      <w:r>
        <w:rPr>
          <w:lang w:val="en_US" w:bidi="en_US"/>
        </w:rPr>
      </w:r>
    </w:p>
    <w:p>
      <w:pPr/>
      <w:r>
        <w:rPr>
          <w:lang w:val="en_US" w:bidi="en_US"/>
        </w:rPr>
      </w:r>
    </w:p>
    <w:p>
      <w:pPr>
        <w:pStyle w:val="Heading2"/>
      </w:pPr>
      <w:r>
        <w:rPr>
          <w:lang w:val="en_US" w:bidi="en_US"/>
        </w:rPr>
        <w:t>Luke 13:26</w:t>
      </w:r>
      <w:r>
        <w:rPr>
          <w:lang w:val="en_US" w:bidi="en_US"/>
        </w:rPr>
      </w:r>
    </w:p>
    <w:p>
      <w:pPr>
        <w:pStyle w:val="Heading4"/>
      </w:pPr>
      <w:r>
        <w:rPr>
          <w:lang w:val="en_US" w:bidi="en_US"/>
        </w:rPr>
        <w:t>Section 13:22–30: The entrance to the kingdom of God is like a narrow door</w:t>
      </w:r>
    </w:p>
    <w:p>
      <w:pPr/>
      <w:r>
        <w:rPr>
          <w:lang w:val="en_US" w:bidi="en_US"/>
        </w:rPr>
      </w:r>
      <w:r>
        <w:rPr>
          <w:lang w:val="en_US" w:bidi="en_US"/>
        </w:rPr>
        <w:t>In this section Jesus advised people to do their best to enter the kingdom of God while there was still time. He spoke figuratively about this, using the figure of entering through the narrow door. After the owner of the house closed the door, many would try to enter but they would not be able to do so.</w:t>
      </w:r>
    </w:p>
    <w:p>
      <w:pPr/>
      <w:r>
        <w:rPr>
          <w:lang w:val="en_US" w:bidi="en_US"/>
        </w:rPr>
      </w:r>
      <w:r>
        <w:rPr>
          <w:lang w:val="en_US" w:bidi="en_US"/>
        </w:rPr>
        <w:t>Some other headings for this section are:</w:t>
      </w:r>
    </w:p>
    <w:p>
      <w:pPr/>
      <w:r>
        <w:rPr>
          <w:lang w:val="en_US" w:bidi="en_US"/>
        </w:rPr>
      </w:r>
      <w:r>
        <w:rPr>
          <w:lang w:val="en_US" w:bidi="en_US"/>
        </w:rPr>
        <w:t>Jesus warned that many people would not be able to enter the kingdom of God</w:t>
      </w:r>
    </w:p>
    <w:p>
      <w:pPr/>
      <w:r>
        <w:rPr>
          <w:lang w:val="en_US" w:bidi="en_US"/>
        </w:rPr>
      </w:r>
      <w:r>
        <w:rPr>
          <w:lang w:val="en_US" w:bidi="en_US"/>
        </w:rPr>
        <w:t>There are parallel passages for this section in Matthew 7:13–14 and 21–23.</w:t>
      </w:r>
    </w:p>
    <w:p>
      <w:pPr>
        <w:pStyle w:val="Heading4"/>
      </w:pPr>
      <w:r>
        <w:rPr>
          <w:lang w:val="en_US" w:bidi="en_US"/>
        </w:rPr>
        <w:t>Paragraph 13:22–27</w:t>
      </w:r>
    </w:p>
    <w:p>
      <w:pPr/>
      <w:r>
        <w:rPr>
          <w:lang w:val="en_US" w:bidi="en_US"/>
        </w:rPr>
      </w:r>
      <w:r>
        <w:rPr>
          <w:lang w:val="en_US" w:bidi="en_US"/>
        </w:rPr>
        <w:t>In this paragraph someone asked Jesus a question. He replied indirectly by telling the people a parable.</w:t>
      </w:r>
    </w:p>
    <w:p>
      <w:pPr>
        <w:pStyle w:val="Heading5"/>
      </w:pPr>
      <w:r>
        <w:rPr>
          <w:lang w:val="en_US" w:bidi="en_US"/>
        </w:rPr>
        <w:t>13:26a</w:t>
      </w:r>
    </w:p>
    <w:p>
      <w:pPr/>
      <w:r>
        <w:rPr>
          <w:lang w:val="en_US" w:bidi="en_US"/>
        </w:rPr>
      </w:r>
      <w:r>
        <w:rPr>
          <w:b/>
          <w:lang w:val="en_US" w:bidi="en_US"/>
        </w:rPr>
        <w:t>Then you will say, ‘We ate and drank with you,</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will say, ‘We</w:t>
      </w:r>
      <w:r>
        <w:rPr>
          <w:vertAlign w:val="superscript"/>
          <w:lang w:val="en_US" w:bidi="en_US"/>
        </w:rPr>
        <w:t>(excl)</w:t>
      </w:r>
      <w:r>
        <w:rPr>
          <w:lang w:val="en_US" w:bidi="en_US"/>
        </w:rPr>
        <w:t xml:space="preserve"> ate </w:t>
      </w:r>
      <w:r>
        <w:rPr>
          <w:lang w:val="en_US" w:bidi="en_US"/>
        </w:rPr>
        <w:t>food</w:t>
      </w:r>
      <w:r>
        <w:rPr>
          <w:lang w:val="en_US" w:bidi="en_US"/>
        </w:rPr>
        <w:t xml:space="preserve"> and drank </w:t>
      </w:r>
      <w:r>
        <w:rPr>
          <w:lang w:val="en_US" w:bidi="en_US"/>
        </w:rPr>
        <w:t>liquids/drink</w:t>
      </w:r>
      <w:r>
        <w:rPr>
          <w:lang w:val="en_US" w:bidi="en_US"/>
        </w:rPr>
        <w:t xml:space="preserve"> in your company/presence</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will reply, ‘</w:t>
      </w:r>
      <w:r>
        <w:rPr>
          <w:lang w:val="en_US" w:bidi="en_US"/>
        </w:rPr>
        <w:t>But</w:t>
      </w:r>
      <w:r>
        <w:rPr>
          <w:lang w:val="en_US" w:bidi="en_US"/>
        </w:rPr>
        <w:t xml:space="preserve"> we</w:t>
      </w:r>
      <w:r>
        <w:rPr>
          <w:vertAlign w:val="superscript"/>
          <w:lang w:val="en_US" w:bidi="en_US"/>
        </w:rPr>
        <w:t>(excl)</w:t>
      </w:r>
      <w:r>
        <w:rPr>
          <w:lang w:val="en_US" w:bidi="en_US"/>
        </w:rPr>
        <w:t xml:space="preserve"> shared meals with you</w:t>
      </w:r>
      <w:r>
        <w:rPr>
          <w:vertAlign w:val="superscript"/>
          <w:lang w:val="en_US" w:bidi="en_US"/>
        </w:rPr>
        <w:t>(sing)</w:t>
      </w:r>
      <w:r>
        <w:rPr>
          <w:lang w:val="en_US" w:bidi="en_US"/>
        </w:rPr>
        <w:t>.</w:t>
      </w:r>
    </w:p>
    <w:p>
      <w:pPr/>
      <w:r>
        <w:rPr>
          <w:lang w:val="en_US" w:bidi="en_US"/>
        </w:rPr>
      </w:r>
      <w:r>
        <w:rPr>
          <w:b/>
          <w:lang w:val="en_US" w:bidi="en_US"/>
        </w:rPr>
        <w:t>We ate and drank with you:</w:t>
      </w:r>
      <w:r>
        <w:rPr>
          <w:lang w:val="en_US" w:bidi="en_US"/>
        </w:rPr>
        <w:t xml:space="preserve"> The people whom the homeowner did not allow to come inside want to show him that they really </w:t>
      </w:r>
      <w:r>
        <w:rPr>
          <w:u w:val="single"/>
          <w:lang w:val="en_US" w:bidi="en_US"/>
        </w:rPr>
        <w:t>do</w:t>
      </w:r>
      <w:r>
        <w:rPr>
          <w:lang w:val="en_US" w:bidi="en_US"/>
        </w:rPr>
        <w:t xml:space="preserve"> have a relationship with him. The first way they try to prove this is by saying that they have shared meals with him. In their culture that was a sign of friendship.</w:t>
      </w:r>
    </w:p>
    <w:p>
      <w:pPr/>
      <w:r>
        <w:rPr>
          <w:lang w:val="en_US" w:bidi="en_US"/>
        </w:rPr>
      </w:r>
      <w:r>
        <w:rPr>
          <w:lang w:val="en_US" w:bidi="en_US"/>
        </w:rPr>
        <w:t xml:space="preserve">In some languages it is necessary to provide objects for </w:t>
      </w:r>
      <w:r>
        <w:rPr>
          <w:i/>
          <w:lang w:val="en_US" w:bidi="en_US"/>
        </w:rPr>
        <w:t>ate</w:t>
      </w:r>
      <w:r>
        <w:rPr>
          <w:lang w:val="en_US" w:bidi="en_US"/>
        </w:rPr>
        <w:t xml:space="preserve"> and </w:t>
      </w:r>
      <w:r>
        <w:rPr>
          <w:i/>
          <w:lang w:val="en_US" w:bidi="en_US"/>
        </w:rPr>
        <w:t>drank</w:t>
      </w:r>
      <w:r>
        <w:rPr>
          <w:lang w:val="en_US" w:bidi="en_US"/>
        </w:rPr>
        <w:t>. If this is true in your language, use general words that can refer to various kinds of food and drink. In other languages, it may be more natural to use a term that implies both eating and drinking. For example:</w:t>
      </w:r>
    </w:p>
    <w:p>
      <w:pPr/>
      <w:r>
        <w:rPr>
          <w:lang w:val="en_US" w:bidi="en_US"/>
        </w:rPr>
      </w:r>
      <w:r>
        <w:rPr>
          <w:lang w:val="en_US" w:bidi="en_US"/>
        </w:rPr>
        <w:t>We dined with you. (CEV)</w:t>
      </w:r>
    </w:p>
    <w:p>
      <w:pPr/>
      <w:r>
        <w:rPr>
          <w:lang w:val="en_US" w:bidi="en_US"/>
        </w:rPr>
      </w:r>
      <w:r>
        <w:rPr>
          <w:lang w:val="en_US" w:bidi="en_US"/>
        </w:rPr>
        <w:t>We ate meals with you.</w:t>
      </w:r>
    </w:p>
    <w:p>
      <w:pPr>
        <w:pStyle w:val="Heading5"/>
      </w:pPr>
      <w:r>
        <w:rPr>
          <w:lang w:val="en_US" w:bidi="en_US"/>
        </w:rPr>
        <w:t>13:26b</w:t>
      </w:r>
    </w:p>
    <w:p>
      <w:pPr/>
      <w:r>
        <w:rPr>
          <w:lang w:val="en_US" w:bidi="en_US"/>
        </w:rPr>
      </w:r>
      <w:r>
        <w:rPr>
          <w:b/>
          <w:lang w:val="en_US" w:bidi="en_US"/>
        </w:rPr>
        <w:t>and you taught in our streets.’</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taught in the streets of our</w:t>
      </w:r>
      <w:r>
        <w:rPr>
          <w:vertAlign w:val="superscript"/>
          <w:lang w:val="en_US" w:bidi="en_US"/>
        </w:rPr>
        <w:t>(excl)</w:t>
      </w:r>
      <w:r>
        <w:rPr>
          <w:lang w:val="en_US" w:bidi="en_US"/>
        </w:rPr>
        <w:t xml:space="preserve"> </w:t>
      </w:r>
      <w:r>
        <w:rPr>
          <w:lang w:val="en_US" w:bidi="en_US"/>
        </w:rPr>
        <w:t>town</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also taught in our</w:t>
      </w:r>
      <w:r>
        <w:rPr>
          <w:vertAlign w:val="superscript"/>
          <w:lang w:val="en_US" w:bidi="en_US"/>
        </w:rPr>
        <w:t>(excl)</w:t>
      </w:r>
      <w:r>
        <w:rPr>
          <w:lang w:val="en_US" w:bidi="en_US"/>
        </w:rPr>
        <w:t xml:space="preserve"> town.’</w:t>
      </w:r>
    </w:p>
    <w:p>
      <w:pPr/>
      <w:r>
        <w:rPr>
          <w:lang w:val="en_US" w:bidi="en_US"/>
        </w:rPr>
      </w:r>
      <w:r>
        <w:rPr>
          <w:b/>
          <w:lang w:val="en_US" w:bidi="en_US"/>
        </w:rPr>
        <w:t>you taught in our streets:</w:t>
      </w:r>
      <w:r>
        <w:rPr>
          <w:lang w:val="en_US" w:bidi="en_US"/>
        </w:rPr>
        <w:t xml:space="preserve"> This was a second way the people tried to show that the owner of the house did know them. They said that he had taught in the streets of the town (or towns) where they lived. In some languages it may be more natural not to specify “streets.” For example:</w:t>
      </w:r>
    </w:p>
    <w:p>
      <w:pPr/>
      <w:r>
        <w:rPr>
          <w:lang w:val="en_US" w:bidi="en_US"/>
        </w:rPr>
      </w:r>
      <w:r>
        <w:rPr>
          <w:lang w:val="en_US" w:bidi="en_US"/>
        </w:rPr>
        <w:t>you taught in our town (GNT)</w:t>
      </w:r>
      <w:r>
        <w:rPr>
          <w:lang w:val="en_US" w:bidi="en_US"/>
        </w:rPr>
      </w:r>
      <w:r>
        <w:rPr>
          <w:lang w:val="en_US" w:bidi="en_US"/>
        </w:rPr>
      </w:r>
    </w:p>
    <w:p>
      <w:pPr/>
      <w:r>
        <w:rPr>
          <w:lang w:val="en_US" w:bidi="en_US"/>
        </w:rPr>
      </w:r>
    </w:p>
    <w:p>
      <w:pPr>
        <w:pStyle w:val="Heading2"/>
      </w:pPr>
      <w:r>
        <w:rPr>
          <w:lang w:val="en_US" w:bidi="en_US"/>
        </w:rPr>
        <w:t>Luke 13:27</w:t>
      </w:r>
      <w:r>
        <w:rPr>
          <w:lang w:val="en_US" w:bidi="en_US"/>
        </w:rPr>
      </w:r>
    </w:p>
    <w:p>
      <w:pPr>
        <w:pStyle w:val="Heading4"/>
      </w:pPr>
      <w:r>
        <w:rPr>
          <w:lang w:val="en_US" w:bidi="en_US"/>
        </w:rPr>
        <w:t>Section 13:22–30: The entrance to the kingdom of God is like a narrow door</w:t>
      </w:r>
    </w:p>
    <w:p>
      <w:pPr/>
      <w:r>
        <w:rPr>
          <w:lang w:val="en_US" w:bidi="en_US"/>
        </w:rPr>
      </w:r>
      <w:r>
        <w:rPr>
          <w:lang w:val="en_US" w:bidi="en_US"/>
        </w:rPr>
        <w:t>In this section Jesus advised people to do their best to enter the kingdom of God while there was still time. He spoke figuratively about this, using the figure of entering through the narrow door. After the owner of the house closed the door, many would try to enter but they would not be able to do so.</w:t>
      </w:r>
    </w:p>
    <w:p>
      <w:pPr/>
      <w:r>
        <w:rPr>
          <w:lang w:val="en_US" w:bidi="en_US"/>
        </w:rPr>
      </w:r>
      <w:r>
        <w:rPr>
          <w:lang w:val="en_US" w:bidi="en_US"/>
        </w:rPr>
        <w:t>Some other headings for this section are:</w:t>
      </w:r>
    </w:p>
    <w:p>
      <w:pPr/>
      <w:r>
        <w:rPr>
          <w:lang w:val="en_US" w:bidi="en_US"/>
        </w:rPr>
      </w:r>
      <w:r>
        <w:rPr>
          <w:lang w:val="en_US" w:bidi="en_US"/>
        </w:rPr>
        <w:t>Jesus warned that many people would not be able to enter the kingdom of God</w:t>
      </w:r>
    </w:p>
    <w:p>
      <w:pPr/>
      <w:r>
        <w:rPr>
          <w:lang w:val="en_US" w:bidi="en_US"/>
        </w:rPr>
      </w:r>
      <w:r>
        <w:rPr>
          <w:lang w:val="en_US" w:bidi="en_US"/>
        </w:rPr>
        <w:t>There are parallel passages for this section in Matthew 7:13–14 and 21–23.</w:t>
      </w:r>
    </w:p>
    <w:p>
      <w:pPr>
        <w:pStyle w:val="Heading4"/>
      </w:pPr>
      <w:r>
        <w:rPr>
          <w:lang w:val="en_US" w:bidi="en_US"/>
        </w:rPr>
        <w:t>Paragraph 13:22–27</w:t>
      </w:r>
    </w:p>
    <w:p>
      <w:pPr/>
      <w:r>
        <w:rPr>
          <w:lang w:val="en_US" w:bidi="en_US"/>
        </w:rPr>
      </w:r>
      <w:r>
        <w:rPr>
          <w:lang w:val="en_US" w:bidi="en_US"/>
        </w:rPr>
        <w:t>In this paragraph someone asked Jesus a question. He replied indirectly by telling the people a parable.</w:t>
      </w:r>
    </w:p>
    <w:p>
      <w:pPr>
        <w:pStyle w:val="Heading5"/>
      </w:pPr>
      <w:r>
        <w:rPr>
          <w:lang w:val="en_US" w:bidi="en_US"/>
        </w:rPr>
        <w:t>13:27a</w:t>
      </w:r>
    </w:p>
    <w:p>
      <w:pPr/>
      <w:r>
        <w:rPr>
          <w:lang w:val="en_US" w:bidi="en_US"/>
        </w:rPr>
      </w:r>
      <w:r>
        <w:rPr>
          <w:b/>
          <w:lang w:val="en_US" w:bidi="en_US"/>
        </w:rPr>
        <w:t>And he will answer, ‘I tell you, I do not know where you are from.</w:t>
      </w:r>
    </w:p>
    <w:p>
      <w:pPr>
        <w:pStyle w:val="ListBullet"/>
        <w:spacing w:line="240" w:lineRule="auto"/>
        <w:ind w:left="720"/>
      </w:pPr>
      <w:r>
        <w:rPr>
          <w:lang w:val="en_US" w:bidi="en_US"/>
        </w:rPr>
      </w:r>
      <w:r>
        <w:rPr>
          <w:lang w:val="en_US" w:bidi="en_US"/>
        </w:rPr>
        <w:t>But he will say again, ‘I really do not know who you</w:t>
      </w:r>
      <w:r>
        <w:rPr>
          <w:vertAlign w:val="superscript"/>
          <w:lang w:val="en_US" w:bidi="en_US"/>
        </w:rPr>
        <w:t>(plur)</w:t>
      </w:r>
      <w:r>
        <w:rPr>
          <w:lang w:val="en_US" w:bidi="en_US"/>
        </w:rPr>
        <w:t xml:space="preserve"> are.’</w:t>
      </w:r>
    </w:p>
    <w:p>
      <w:pPr>
        <w:pStyle w:val="ListBullet"/>
        <w:spacing w:line="240" w:lineRule="auto"/>
        <w:ind w:left="720"/>
      </w:pPr>
      <w:r>
        <w:rPr>
          <w:lang w:val="en_US" w:bidi="en_US"/>
        </w:rPr>
      </w:r>
      <w:r>
        <w:rPr>
          <w:lang w:val="en_US" w:bidi="en_US"/>
        </w:rPr>
        <w:t>But he will insist that he has no relationship with you</w:t>
      </w:r>
      <w:r>
        <w:rPr>
          <w:vertAlign w:val="superscript"/>
          <w:lang w:val="en_US" w:bidi="en_US"/>
        </w:rPr>
        <w:t>(plur)</w:t>
      </w:r>
      <w:r>
        <w:rPr>
          <w:lang w:val="en_US" w:bidi="en_US"/>
        </w:rPr>
        <w:t>.</w:t>
      </w:r>
    </w:p>
    <w:p>
      <w:pPr/>
      <w:r>
        <w:rPr>
          <w:lang w:val="en_US" w:bidi="en_US"/>
        </w:rPr>
      </w:r>
      <w:r>
        <w:rPr>
          <w:b/>
          <w:lang w:val="en_US" w:bidi="en_US"/>
        </w:rPr>
        <w:t>And he will answer:</w:t>
      </w:r>
      <w:r>
        <w:rPr>
          <w:lang w:val="en_US" w:bidi="en_US"/>
        </w:rPr>
        <w:t xml:space="preserve"> There is a textual issue here:</w:t>
      </w:r>
    </w:p>
    <w:p>
      <w:pPr>
        <w:pStyle w:val="ListNumber"/>
        <w:numPr>
          <w:ilvl w:val="0"/>
          <w:numId w:val="255"/>
        </w:numPr>
        <w:spacing w:line="240" w:lineRule="auto"/>
        <w:ind w:left="720"/>
      </w:pPr>
      <w:r>
        <w:rPr>
          <w:lang w:val="en_US" w:bidi="en_US"/>
        </w:rPr>
      </w:r>
      <w:r>
        <w:rPr>
          <w:lang w:val="en_US" w:bidi="en_US"/>
        </w:rPr>
        <w:t>Some Greek manuscripts have literally, “he will say, saying to you” or “he will say to you” to introduce the homeowner’s answer to the people. For example:</w:t>
      </w:r>
      <w:r>
        <w:rPr>
          <w:lang w:val="en_US" w:bidi="en_US"/>
        </w:rPr>
        <w:t xml:space="preserve">But he will say, “I do not know…” (NRSV) </w:t>
      </w:r>
      <w:r>
        <w:rPr>
          <w:i/>
          <w:lang w:val="en_US" w:bidi="en_US"/>
        </w:rPr>
        <w:t>(NIV, NRSV, GNT, GW, NCV, NJB, NET, CEV)</w:t>
      </w:r>
    </w:p>
    <w:p>
      <w:pPr>
        <w:pStyle w:val="ListNumber"/>
        <w:spacing w:line="240" w:lineRule="auto"/>
        <w:ind w:left="720"/>
      </w:pPr>
      <w:r>
        <w:rPr>
          <w:lang w:val="en_US" w:bidi="en_US"/>
        </w:rPr>
      </w:r>
      <w:r>
        <w:rPr>
          <w:lang w:val="en_US" w:bidi="en_US"/>
        </w:rPr>
        <w:t>Other Greek manuscripts have literally, “he will say, ‘I tell you….’” The clause “I tell you” (or “I say to you”) is part of the homeowner’s answer to the people. For example:</w:t>
      </w:r>
      <w:r>
        <w:rPr>
          <w:lang w:val="en_US" w:bidi="en_US"/>
        </w:rPr>
        <w:t xml:space="preserve">But he will say, “I tell you, I do not know…” (RSV) </w:t>
      </w:r>
      <w:r>
        <w:rPr>
          <w:i/>
          <w:lang w:val="en_US" w:bidi="en_US"/>
        </w:rPr>
        <w:t>(BSB, RSV, ESV, KJV, NASB, REB, NLT, JBP)</w:t>
      </w:r>
    </w:p>
    <w:p>
      <w:pPr/>
      <w:r>
        <w:rPr>
          <w:lang w:val="en_US" w:bidi="en_US"/>
        </w:rPr>
      </w:r>
      <w:r>
        <w:rPr>
          <w:lang w:val="en_US" w:bidi="en_US"/>
        </w:rPr>
        <w:t>It is recommended that you follow option (1).</w:t>
      </w:r>
      <w:r>
        <w:rPr>
          <w:lang w:val="en_US" w:bidi="en_US"/>
        </w:rPr>
        <w:t>For more information, see Swanson, p. 252, and Blight 2007b, p. 94.</w:t>
      </w:r>
      <w:r>
        <w:rPr>
          <w:lang w:val="en_US" w:bidi="en_US"/>
        </w:rPr>
        <w:t xml:space="preserve"> It is supported by some of the earliest manuscripts.</w:t>
      </w:r>
    </w:p>
    <w:p>
      <w:pPr/>
      <w:r>
        <w:rPr>
          <w:lang w:val="en_US" w:bidi="en_US"/>
        </w:rPr>
      </w:r>
      <w:r>
        <w:rPr>
          <w:lang w:val="en_US" w:bidi="en_US"/>
        </w:rPr>
        <w:t>The first part of the reply is the same as in 13:25d. Because of this, it may be natural in some languages to supply a word such as “again.” For example:</w:t>
      </w:r>
    </w:p>
    <w:p>
      <w:pPr/>
      <w:r>
        <w:rPr>
          <w:lang w:val="en_US" w:bidi="en_US"/>
        </w:rPr>
      </w:r>
      <w:r>
        <w:rPr>
          <w:lang w:val="en_US" w:bidi="en_US"/>
        </w:rPr>
        <w:t>But he will say again (GNT)</w:t>
      </w:r>
    </w:p>
    <w:p>
      <w:pPr/>
      <w:r>
        <w:rPr>
          <w:lang w:val="en_US" w:bidi="en_US"/>
        </w:rPr>
      </w:r>
      <w:r>
        <w:rPr>
          <w:b/>
          <w:lang w:val="en_US" w:bidi="en_US"/>
        </w:rPr>
        <w:t>I tell you, I do not know where you are from:</w:t>
      </w:r>
      <w:r>
        <w:rPr>
          <w:lang w:val="en_US" w:bidi="en_US"/>
        </w:rPr>
        <w:t xml:space="preserve"> This is the same answer as was given in 13:25d. The repetition emphasizes the owner’s disagreement with the people’s claim that they know him. In some languages, it may be more natural to indicate this emphasis by a word such as “really” or a phrase such as “I assure you.” For example:</w:t>
      </w:r>
    </w:p>
    <w:p>
      <w:pPr/>
      <w:r>
        <w:rPr>
          <w:lang w:val="en_US" w:bidi="en_US"/>
        </w:rPr>
      </w:r>
      <w:r>
        <w:rPr>
          <w:lang w:val="en_US" w:bidi="en_US"/>
        </w:rPr>
        <w:t>I really don’t know who you are! (CEV)</w:t>
      </w:r>
    </w:p>
    <w:p>
      <w:pPr/>
      <w:r>
        <w:rPr>
          <w:lang w:val="en_US" w:bidi="en_US"/>
        </w:rPr>
      </w:r>
      <w:r>
        <w:rPr>
          <w:lang w:val="en_US" w:bidi="en_US"/>
        </w:rPr>
        <w:t>I tell you, I do not know anything about you!</w:t>
      </w:r>
    </w:p>
    <w:p>
      <w:pPr>
        <w:pStyle w:val="Heading5"/>
      </w:pPr>
      <w:r>
        <w:rPr>
          <w:lang w:val="en_US" w:bidi="en_US"/>
        </w:rPr>
        <w:t>13:27b</w:t>
      </w:r>
    </w:p>
    <w:p>
      <w:pPr/>
      <w:r>
        <w:rPr>
          <w:lang w:val="en_US" w:bidi="en_US"/>
        </w:rPr>
      </w:r>
      <w:r>
        <w:rPr>
          <w:b/>
          <w:lang w:val="en_US" w:bidi="en_US"/>
        </w:rPr>
        <w:t>Depart from me, all you evildoers.’</w:t>
      </w:r>
    </w:p>
    <w:p>
      <w:pPr>
        <w:pStyle w:val="ListBullet"/>
        <w:spacing w:line="240" w:lineRule="auto"/>
        <w:ind w:left="720"/>
      </w:pPr>
      <w:r>
        <w:rPr>
          <w:lang w:val="en_US" w:bidi="en_US"/>
        </w:rPr>
      </w:r>
      <w:r>
        <w:rPr>
          <w:lang w:val="en_US" w:bidi="en_US"/>
        </w:rPr>
        <w:t>He will say,</w:t>
      </w:r>
      <w:r>
        <w:rPr>
          <w:lang w:val="en_US" w:bidi="en_US"/>
        </w:rPr>
        <w:t xml:space="preserve"> ‘Leave me! You</w:t>
      </w:r>
      <w:r>
        <w:rPr>
          <w:vertAlign w:val="superscript"/>
          <w:lang w:val="en_US" w:bidi="en_US"/>
        </w:rPr>
        <w:t>(plur)</w:t>
      </w:r>
      <w:r>
        <w:rPr>
          <w:lang w:val="en_US" w:bidi="en_US"/>
        </w:rPr>
        <w:t xml:space="preserve"> are people who </w:t>
      </w:r>
      <w:r>
        <w:rPr>
          <w:lang w:val="en_US" w:bidi="en_US"/>
        </w:rPr>
        <w:t>habitually</w:t>
      </w:r>
      <w:r>
        <w:rPr>
          <w:lang w:val="en_US" w:bidi="en_US"/>
        </w:rPr>
        <w:t xml:space="preserve"> do evil.’</w:t>
      </w:r>
    </w:p>
    <w:p>
      <w:pPr>
        <w:pStyle w:val="ListBullet"/>
        <w:spacing w:line="240" w:lineRule="auto"/>
        <w:ind w:left="720"/>
      </w:pPr>
      <w:r>
        <w:rPr>
          <w:lang w:val="en_US" w:bidi="en_US"/>
        </w:rPr>
      </w:r>
      <w:r>
        <w:rPr>
          <w:lang w:val="en_US" w:bidi="en_US"/>
        </w:rPr>
        <w:t>He will call you wrongdoers and will order you</w:t>
      </w:r>
      <w:r>
        <w:rPr>
          <w:vertAlign w:val="superscript"/>
          <w:lang w:val="en_US" w:bidi="en_US"/>
        </w:rPr>
        <w:t>(plur)</w:t>
      </w:r>
      <w:r>
        <w:rPr>
          <w:lang w:val="en_US" w:bidi="en_US"/>
        </w:rPr>
        <w:t xml:space="preserve"> to leave.</w:t>
      </w:r>
    </w:p>
    <w:p>
      <w:pPr/>
      <w:r>
        <w:rPr>
          <w:lang w:val="en_US" w:bidi="en_US"/>
        </w:rPr>
      </w:r>
      <w:r>
        <w:rPr>
          <w:b/>
          <w:lang w:val="en_US" w:bidi="en_US"/>
        </w:rPr>
        <w:t>Depart from me:</w:t>
      </w:r>
      <w:r>
        <w:rPr>
          <w:lang w:val="en_US" w:bidi="en_US"/>
        </w:rPr>
        <w:t xml:space="preserve"> The expression </w:t>
      </w:r>
      <w:r>
        <w:rPr>
          <w:i/>
          <w:lang w:val="en_US" w:bidi="en_US"/>
        </w:rPr>
        <w:t>Depart from me</w:t>
      </w:r>
      <w:r>
        <w:rPr>
          <w:lang w:val="en_US" w:bidi="en_US"/>
        </w:rPr>
        <w:t xml:space="preserve"> means “Leave me” or “Go away from me.” The homeowner was rejecting the people who asked him to let them in. He refused to have anything to do with them.</w:t>
      </w:r>
    </w:p>
    <w:p>
      <w:pPr/>
      <w:r>
        <w:rPr>
          <w:lang w:val="en_US" w:bidi="en_US"/>
        </w:rPr>
      </w:r>
      <w:r>
        <w:rPr>
          <w:b/>
          <w:lang w:val="en_US" w:bidi="en_US"/>
        </w:rPr>
        <w:t>all you evildoers:</w:t>
      </w:r>
      <w:r>
        <w:rPr>
          <w:lang w:val="en_US" w:bidi="en_US"/>
        </w:rPr>
        <w:t xml:space="preserve"> The Greek expression that the BSB translates as </w:t>
      </w:r>
      <w:r>
        <w:rPr>
          <w:i/>
          <w:lang w:val="en_US" w:bidi="en_US"/>
        </w:rPr>
        <w:t>you evildoers</w:t>
      </w:r>
      <w:r>
        <w:rPr>
          <w:lang w:val="en_US" w:bidi="en_US"/>
        </w:rPr>
        <w:t xml:space="preserve"> means “you who do evil.” These people regularly or habitually did what was wrong.</w:t>
      </w:r>
      <w:r>
        <w:rPr>
          <w:lang w:val="en_US" w:bidi="en_US"/>
        </w:rPr>
      </w:r>
      <w:r>
        <w:rPr>
          <w:lang w:val="en_US" w:bidi="en_US"/>
        </w:rPr>
      </w:r>
    </w:p>
    <w:p>
      <w:pPr/>
      <w:r>
        <w:rPr>
          <w:lang w:val="en_US" w:bidi="en_US"/>
        </w:rPr>
      </w:r>
    </w:p>
    <w:p>
      <w:pPr>
        <w:pStyle w:val="Heading2"/>
      </w:pPr>
      <w:r>
        <w:rPr>
          <w:lang w:val="en_US" w:bidi="en_US"/>
        </w:rPr>
        <w:t>Luke 13:28</w:t>
      </w:r>
      <w:r>
        <w:rPr>
          <w:lang w:val="en_US" w:bidi="en_US"/>
        </w:rPr>
      </w:r>
    </w:p>
    <w:p>
      <w:pPr>
        <w:pStyle w:val="Heading4"/>
      </w:pPr>
      <w:r>
        <w:rPr>
          <w:lang w:val="en_US" w:bidi="en_US"/>
        </w:rPr>
        <w:t>Section 13:22–30: The entrance to the kingdom of God is like a narrow door</w:t>
      </w:r>
    </w:p>
    <w:p>
      <w:pPr/>
      <w:r>
        <w:rPr>
          <w:lang w:val="en_US" w:bidi="en_US"/>
        </w:rPr>
      </w:r>
      <w:r>
        <w:rPr>
          <w:lang w:val="en_US" w:bidi="en_US"/>
        </w:rPr>
        <w:t>In this section Jesus advised people to do their best to enter the kingdom of God while there was still time. He spoke figuratively about this, using the figure of entering through the narrow door. After the owner of the house closed the door, many would try to enter but they would not be able to do so.</w:t>
      </w:r>
    </w:p>
    <w:p>
      <w:pPr/>
      <w:r>
        <w:rPr>
          <w:lang w:val="en_US" w:bidi="en_US"/>
        </w:rPr>
      </w:r>
      <w:r>
        <w:rPr>
          <w:lang w:val="en_US" w:bidi="en_US"/>
        </w:rPr>
        <w:t>Some other headings for this section are:</w:t>
      </w:r>
    </w:p>
    <w:p>
      <w:pPr/>
      <w:r>
        <w:rPr>
          <w:lang w:val="en_US" w:bidi="en_US"/>
        </w:rPr>
      </w:r>
      <w:r>
        <w:rPr>
          <w:lang w:val="en_US" w:bidi="en_US"/>
        </w:rPr>
        <w:t>Jesus warned that many people would not be able to enter the kingdom of God</w:t>
      </w:r>
    </w:p>
    <w:p>
      <w:pPr/>
      <w:r>
        <w:rPr>
          <w:lang w:val="en_US" w:bidi="en_US"/>
        </w:rPr>
      </w:r>
      <w:r>
        <w:rPr>
          <w:lang w:val="en_US" w:bidi="en_US"/>
        </w:rPr>
        <w:t>There are parallel passages for this section in Matthew 7:13–14 and 21–23.</w:t>
      </w:r>
    </w:p>
    <w:p>
      <w:pPr>
        <w:pStyle w:val="Heading4"/>
      </w:pPr>
      <w:r>
        <w:rPr>
          <w:lang w:val="en_US" w:bidi="en_US"/>
        </w:rPr>
        <w:t>Paragraph 13:28–30</w:t>
      </w:r>
    </w:p>
    <w:p>
      <w:pPr/>
      <w:r>
        <w:rPr>
          <w:lang w:val="en_US" w:bidi="en_US"/>
        </w:rPr>
      </w:r>
      <w:r>
        <w:rPr>
          <w:lang w:val="en_US" w:bidi="en_US"/>
        </w:rPr>
        <w:t>In this paragraph Jesus stopped talking in a parable and began talking directly about God’s kingdom. He spoke about two kinds of people: those who will be in God’s kingdom and those who will be in a place of punishment outside of God’s kingdom. Matthew 8:11–12 is a parallel passage.</w:t>
      </w:r>
    </w:p>
    <w:p>
      <w:pPr>
        <w:pStyle w:val="Heading5"/>
      </w:pPr>
      <w:r>
        <w:rPr>
          <w:lang w:val="en_US" w:bidi="en_US"/>
        </w:rPr>
        <w:t>13:28a</w:t>
      </w:r>
    </w:p>
    <w:p>
      <w:pPr/>
      <w:r>
        <w:rPr>
          <w:lang w:val="en_US" w:bidi="en_US"/>
        </w:rPr>
      </w:r>
      <w:r>
        <w:rPr>
          <w:b/>
          <w:lang w:val="en_US" w:bidi="en_US"/>
        </w:rPr>
        <w:t>There will be weeping and gnashing of teeth</w:t>
      </w:r>
    </w:p>
    <w:p>
      <w:pPr>
        <w:pStyle w:val="ListBullet"/>
        <w:spacing w:line="240" w:lineRule="auto"/>
        <w:ind w:left="720"/>
      </w:pPr>
      <w:r>
        <w:rPr>
          <w:lang w:val="en_US" w:bidi="en_US"/>
        </w:rPr>
      </w:r>
      <w:r>
        <w:rPr>
          <w:lang w:val="en_US" w:bidi="en_US"/>
        </w:rPr>
        <w:t xml:space="preserve">¶ “There </w:t>
      </w:r>
      <w:r>
        <w:rPr>
          <w:lang w:val="en_US" w:bidi="en_US"/>
        </w:rPr>
        <w:t>outside</w:t>
      </w:r>
      <w:r>
        <w:rPr>
          <w:lang w:val="en_US" w:bidi="en_US"/>
        </w:rPr>
        <w:t xml:space="preserve"> you</w:t>
      </w:r>
      <w:r>
        <w:rPr>
          <w:vertAlign w:val="superscript"/>
          <w:lang w:val="en_US" w:bidi="en_US"/>
        </w:rPr>
        <w:t>(plur)</w:t>
      </w:r>
      <w:r>
        <w:rPr>
          <w:lang w:val="en_US" w:bidi="en_US"/>
        </w:rPr>
        <w:t xml:space="preserve"> will weep and grind/grit your</w:t>
      </w:r>
      <w:r>
        <w:rPr>
          <w:vertAlign w:val="superscript"/>
          <w:lang w:val="en_US" w:bidi="en_US"/>
        </w:rPr>
        <w:t>(plur)</w:t>
      </w:r>
      <w:r>
        <w:rPr>
          <w:lang w:val="en_US" w:bidi="en_US"/>
        </w:rPr>
        <w:t xml:space="preserve"> teeth </w:t>
      </w:r>
      <w:r>
        <w:rPr>
          <w:lang w:val="en_US" w:bidi="en_US"/>
        </w:rPr>
        <w:t>with anger</w:t>
      </w:r>
      <w:r>
        <w:rPr>
          <w:lang w:val="en_US" w:bidi="en_US"/>
        </w:rPr>
        <w:t>,</w:t>
      </w:r>
    </w:p>
    <w:p>
      <w:pPr>
        <w:pStyle w:val="ListBullet"/>
        <w:spacing w:line="240" w:lineRule="auto"/>
        <w:ind w:left="720"/>
      </w:pPr>
      <w:r>
        <w:rPr>
          <w:lang w:val="en_US" w:bidi="en_US"/>
        </w:rPr>
      </w:r>
      <w:r>
        <w:rPr>
          <w:lang w:val="en_US" w:bidi="en_US"/>
        </w:rPr>
        <w:t>¶ “Then you</w:t>
      </w:r>
      <w:r>
        <w:rPr>
          <w:vertAlign w:val="superscript"/>
          <w:lang w:val="en_US" w:bidi="en_US"/>
        </w:rPr>
        <w:t>(plur)</w:t>
      </w:r>
      <w:r>
        <w:rPr>
          <w:lang w:val="en_US" w:bidi="en_US"/>
        </w:rPr>
        <w:t xml:space="preserve"> will be sorrowful and also very angry,</w:t>
      </w:r>
    </w:p>
    <w:p>
      <w:pPr/>
      <w:r>
        <w:rPr>
          <w:lang w:val="en_US" w:bidi="en_US"/>
        </w:rPr>
      </w:r>
      <w:r>
        <w:rPr>
          <w:b/>
          <w:lang w:val="en_US" w:bidi="en_US"/>
        </w:rPr>
        <w:t>There will be weeping and gnashing of teeth:</w:t>
      </w:r>
      <w:r>
        <w:rPr>
          <w:lang w:val="en_US" w:bidi="en_US"/>
        </w:rPr>
        <w:t xml:space="preserve"> The people who are left outside God’s kingdom will cry and gnash their teeth. If you must provide a subject, you should provide “you</w:t>
      </w:r>
      <w:r>
        <w:rPr>
          <w:vertAlign w:val="superscript"/>
          <w:lang w:val="en_US" w:bidi="en_US"/>
        </w:rPr>
        <w:t>(plur)</w:t>
      </w:r>
      <w:r>
        <w:rPr>
          <w:lang w:val="en_US" w:bidi="en_US"/>
        </w:rPr>
        <w:t>,” because that is what Jesus used in the next verse part:</w:t>
      </w:r>
    </w:p>
    <w:p>
      <w:pPr/>
      <w:r>
        <w:rPr>
          <w:lang w:val="en_US" w:bidi="en_US"/>
        </w:rPr>
      </w:r>
      <w:r>
        <w:rPr>
          <w:lang w:val="en_US" w:bidi="en_US"/>
        </w:rPr>
        <w:t>You</w:t>
      </w:r>
      <w:r>
        <w:rPr>
          <w:vertAlign w:val="superscript"/>
          <w:lang w:val="en_US" w:bidi="en_US"/>
        </w:rPr>
        <w:t>(plur)</w:t>
      </w:r>
      <w:r>
        <w:rPr>
          <w:lang w:val="en_US" w:bidi="en_US"/>
        </w:rPr>
        <w:t xml:space="preserve"> will weep there and gnash your teeth.</w:t>
      </w:r>
    </w:p>
    <w:p>
      <w:pPr/>
      <w:r>
        <w:rPr>
          <w:lang w:val="en_US" w:bidi="en_US"/>
        </w:rPr>
      </w:r>
      <w:r>
        <w:rPr>
          <w:lang w:val="en_US" w:bidi="en_US"/>
        </w:rPr>
        <w:t xml:space="preserve">The Greek text says literally that there will be </w:t>
      </w:r>
      <w:r>
        <w:rPr>
          <w:i/>
          <w:lang w:val="en_US" w:bidi="en_US"/>
        </w:rPr>
        <w:t>weeping and gnashing of teeth</w:t>
      </w:r>
      <w:r>
        <w:rPr>
          <w:lang w:val="en_US" w:bidi="en_US"/>
        </w:rPr>
        <w:t xml:space="preserve"> “there” or “in that place.” In this context, the word “there” probably refers to outside the kingdom of God, as 13:28c indicates. In some languages the context may already indicate this, and a word such as “there” will be unnecessary. For example:</w:t>
      </w:r>
    </w:p>
    <w:p>
      <w:pPr/>
      <w:r>
        <w:rPr>
          <w:lang w:val="en_US" w:bidi="en_US"/>
        </w:rPr>
      </w:r>
      <w:r>
        <w:rPr>
          <w:lang w:val="en_US" w:bidi="en_US"/>
        </w:rPr>
        <w:t>Then there will be weeping… (NJB)</w:t>
      </w:r>
    </w:p>
    <w:p>
      <w:pPr/>
      <w:r>
        <w:rPr>
          <w:lang w:val="en_US" w:bidi="en_US"/>
        </w:rPr>
      </w:r>
      <w:r>
        <w:rPr>
          <w:lang w:val="en_US" w:bidi="en_US"/>
        </w:rPr>
        <w:t>How you will cry… (GNT)</w:t>
      </w:r>
    </w:p>
    <w:p>
      <w:pPr/>
      <w:r>
        <w:rPr>
          <w:lang w:val="en_US" w:bidi="en_US"/>
        </w:rPr>
      </w:r>
      <w:r>
        <w:rPr>
          <w:lang w:val="en_US" w:bidi="en_US"/>
        </w:rPr>
        <w:t>Another way to avoid an unnatural or wrong use of “there” is to reorder the parts of this verse. See the General Comment on 13:28a–c at the end of 13:28c.</w:t>
      </w:r>
    </w:p>
    <w:p>
      <w:pPr/>
      <w:r>
        <w:rPr>
          <w:lang w:val="en_US" w:bidi="en_US"/>
        </w:rPr>
      </w:r>
      <w:r>
        <w:rPr>
          <w:b/>
          <w:lang w:val="en_US" w:bidi="en_US"/>
        </w:rPr>
        <w:t>gnashing of teeth:</w:t>
      </w:r>
      <w:r>
        <w:rPr>
          <w:lang w:val="en_US" w:bidi="en_US"/>
        </w:rPr>
        <w:t xml:space="preserve"> The phrase </w:t>
      </w:r>
      <w:r>
        <w:rPr>
          <w:i/>
          <w:lang w:val="en_US" w:bidi="en_US"/>
        </w:rPr>
        <w:t>gnashing of teeth</w:t>
      </w:r>
      <w:r>
        <w:rPr>
          <w:lang w:val="en_US" w:bidi="en_US"/>
        </w:rPr>
        <w:t xml:space="preserve"> is a symbolic action. It refers to a person who grinds his teeth together as an expression of anger, bitterness, and resentment. If in your culture the gnashing of teeth would not be understood in this way, some other ways to translate it are:</w:t>
      </w:r>
    </w:p>
    <w:p>
      <w:pPr>
        <w:pStyle w:val="ListBullet"/>
        <w:spacing w:line="240" w:lineRule="auto"/>
        <w:ind w:left="720"/>
      </w:pPr>
      <w:r>
        <w:rPr>
          <w:lang w:val="en_US" w:bidi="en_US"/>
        </w:rPr>
      </w:r>
      <w:r>
        <w:rPr>
          <w:lang w:val="en_US" w:bidi="en_US"/>
        </w:rPr>
        <w:t>Keep the symbolic action but provide an explanation. For example:</w:t>
      </w:r>
      <w:r>
        <w:rPr>
          <w:lang w:val="en_US" w:bidi="en_US"/>
        </w:rPr>
        <w:t xml:space="preserve">you will gnash your teeth </w:t>
      </w:r>
      <w:r>
        <w:rPr>
          <w:lang w:val="en_US" w:bidi="en_US"/>
        </w:rPr>
        <w:t>in anger</w:t>
      </w:r>
    </w:p>
    <w:p>
      <w:pPr>
        <w:pStyle w:val="ListBullet"/>
        <w:spacing w:line="240" w:lineRule="auto"/>
        <w:ind w:left="720"/>
      </w:pPr>
      <w:r>
        <w:rPr>
          <w:lang w:val="en_US" w:bidi="en_US"/>
        </w:rPr>
      </w:r>
      <w:r>
        <w:rPr>
          <w:lang w:val="en_US" w:bidi="en_US"/>
        </w:rPr>
        <w:t>Translate the meaning without the action. For example:</w:t>
      </w:r>
      <w:r>
        <w:rPr>
          <w:lang w:val="en_US" w:bidi="en_US"/>
        </w:rPr>
        <w:t>you will be bitterly angry</w:t>
      </w:r>
    </w:p>
    <w:p>
      <w:pPr>
        <w:pStyle w:val="ListBullet"/>
        <w:spacing w:line="240" w:lineRule="auto"/>
        <w:ind w:left="720"/>
      </w:pPr>
      <w:r>
        <w:rPr>
          <w:lang w:val="en_US" w:bidi="en_US"/>
        </w:rPr>
      </w:r>
      <w:r>
        <w:rPr>
          <w:lang w:val="en_US" w:bidi="en_US"/>
        </w:rPr>
        <w:t>Use an action that would be meaningful in your culture. For example:</w:t>
      </w:r>
      <w:r>
        <w:rPr>
          <w:lang w:val="en_US" w:bidi="en_US"/>
        </w:rPr>
        <w:t>you will stamp your feet</w:t>
      </w:r>
    </w:p>
    <w:p>
      <w:pPr>
        <w:pStyle w:val="Heading5"/>
      </w:pPr>
      <w:r>
        <w:rPr>
          <w:lang w:val="en_US" w:bidi="en_US"/>
        </w:rPr>
        <w:t>13:28b</w:t>
      </w:r>
    </w:p>
    <w:p>
      <w:pPr/>
      <w:r>
        <w:rPr>
          <w:lang w:val="en_US" w:bidi="en_US"/>
        </w:rPr>
      </w:r>
      <w:r>
        <w:rPr>
          <w:b/>
          <w:lang w:val="en_US" w:bidi="en_US"/>
        </w:rPr>
        <w:t>when you see Abraham, Isaac, Jacob, and all the prophets in the kingdom of God,</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will see Abraham and Isaac and Jacob and all the prophets included in God’s rule/kingdom,</w:t>
      </w:r>
    </w:p>
    <w:p>
      <w:pPr>
        <w:pStyle w:val="ListBullet"/>
        <w:spacing w:line="240" w:lineRule="auto"/>
        <w:ind w:left="720"/>
      </w:pPr>
      <w:r>
        <w:rPr>
          <w:lang w:val="en_US" w:bidi="en_US"/>
        </w:rPr>
      </w:r>
      <w:r>
        <w:rPr>
          <w:lang w:val="en_US" w:bidi="en_US"/>
        </w:rPr>
        <w:t xml:space="preserve">for you will see Abraham, Isaac, Jacob, and all God’s prophets </w:t>
      </w:r>
      <w:r>
        <w:rPr>
          <w:lang w:val="en_US" w:bidi="en_US"/>
        </w:rPr>
        <w:t>present</w:t>
      </w:r>
      <w:r>
        <w:rPr>
          <w:lang w:val="en_US" w:bidi="en_US"/>
        </w:rPr>
        <w:t xml:space="preserve"> in the place where God rules,</w:t>
      </w:r>
    </w:p>
    <w:p>
      <w:pPr/>
      <w:r>
        <w:rPr>
          <w:lang w:val="en_US" w:bidi="en_US"/>
        </w:rPr>
      </w:r>
      <w:r>
        <w:rPr>
          <w:b/>
          <w:lang w:val="en_US" w:bidi="en_US"/>
        </w:rPr>
        <w:t>when you see Abraham, Isaac, Jacob, and all the prophets in the kingdom of God:</w:t>
      </w:r>
      <w:r>
        <w:rPr>
          <w:lang w:val="en_US" w:bidi="en_US"/>
        </w:rPr>
        <w:t xml:space="preserve"> Jesus was referring here to the future time in the kingdom of God. At that time, people will see how God will bless the faithful believers from the past. Abraham, Isaac, and Jacob were the first ancestors of the Jews. They and the prophets were people who would definitely be included in the kingdom of God. The text does not imply that they were the only people who would be in the kingdom. They would be there along with all other faithful believers who had died.</w:t>
      </w:r>
    </w:p>
    <w:p>
      <w:pPr/>
      <w:r>
        <w:rPr>
          <w:lang w:val="en_US" w:bidi="en_US"/>
        </w:rPr>
      </w:r>
      <w:r>
        <w:rPr>
          <w:b/>
          <w:lang w:val="en_US" w:bidi="en_US"/>
        </w:rPr>
        <w:t>all the prophets:</w:t>
      </w:r>
      <w:r>
        <w:rPr>
          <w:lang w:val="en_US" w:bidi="en_US"/>
        </w:rPr>
        <w:t xml:space="preserve"> The phrase </w:t>
      </w:r>
      <w:r>
        <w:rPr>
          <w:i/>
          <w:lang w:val="en_US" w:bidi="en_US"/>
        </w:rPr>
        <w:t>all the prophets</w:t>
      </w:r>
      <w:r>
        <w:rPr>
          <w:lang w:val="en_US" w:bidi="en_US"/>
        </w:rPr>
        <w:t xml:space="preserve"> here refers to all the faithful prophets of God. It does not include the false prophets or prophets of other deities.</w:t>
      </w:r>
    </w:p>
    <w:p>
      <w:pPr/>
      <w:r>
        <w:rPr>
          <w:lang w:val="en_US" w:bidi="en_US"/>
        </w:rPr>
      </w:r>
      <w:r>
        <w:rPr>
          <w:b/>
          <w:lang w:val="en_US" w:bidi="en_US"/>
        </w:rPr>
        <w:t>prophets:</w:t>
      </w:r>
      <w:r>
        <w:rPr>
          <w:lang w:val="en_US" w:bidi="en_US"/>
        </w:rPr>
        <w:t xml:space="preserve"> The word </w:t>
      </w:r>
      <w:r>
        <w:rPr>
          <w:i/>
          <w:lang w:val="en_US" w:bidi="en_US"/>
        </w:rPr>
        <w:t>prophets</w:t>
      </w:r>
      <w:r>
        <w:rPr>
          <w:lang w:val="en_US" w:bidi="en_US"/>
        </w:rPr>
        <w:t xml:space="preserve"> describes men and women who spoke on behalf of God. They told people what God revealed to them. Some ways to translate </w:t>
      </w:r>
      <w:r>
        <w:rPr>
          <w:i/>
          <w:lang w:val="en_US" w:bidi="en_US"/>
        </w:rPr>
        <w:t>prophets</w:t>
      </w:r>
      <w:r>
        <w:rPr>
          <w:lang w:val="en_US" w:bidi="en_US"/>
        </w:rPr>
        <w:t xml:space="preserve"> are:</w:t>
      </w:r>
    </w:p>
    <w:p>
      <w:pPr/>
      <w:r>
        <w:rPr>
          <w:lang w:val="en_US" w:bidi="en_US"/>
        </w:rPr>
      </w:r>
      <w:r>
        <w:rPr>
          <w:lang w:val="en_US" w:bidi="en_US"/>
        </w:rPr>
        <w:t>spokesmen for God</w:t>
      </w:r>
    </w:p>
    <w:p>
      <w:pPr/>
      <w:r>
        <w:rPr>
          <w:lang w:val="en_US" w:bidi="en_US"/>
        </w:rPr>
      </w:r>
      <w:r>
        <w:rPr>
          <w:lang w:val="en_US" w:bidi="en_US"/>
        </w:rPr>
        <w:t>men who speak God’s words</w:t>
      </w:r>
    </w:p>
    <w:p>
      <w:pPr/>
      <w:r>
        <w:rPr>
          <w:lang w:val="en_US" w:bidi="en_US"/>
        </w:rPr>
      </w:r>
      <w:r>
        <w:rPr>
          <w:lang w:val="en_US" w:bidi="en_US"/>
        </w:rPr>
        <w:t>God’s message-speakers</w:t>
      </w:r>
    </w:p>
    <w:p>
      <w:pPr/>
      <w:r>
        <w:rPr>
          <w:lang w:val="en_US" w:bidi="en_US"/>
        </w:rPr>
      </w:r>
      <w:r>
        <w:rPr>
          <w:lang w:val="en_US" w:bidi="en_US"/>
        </w:rPr>
        <w:t xml:space="preserve">The word </w:t>
      </w:r>
      <w:r>
        <w:rPr>
          <w:i/>
          <w:lang w:val="en_US" w:bidi="en_US"/>
        </w:rPr>
        <w:t>prophets</w:t>
      </w:r>
      <w:r>
        <w:rPr>
          <w:lang w:val="en_US" w:bidi="en_US"/>
        </w:rPr>
        <w:t xml:space="preserve"> also occurs in 11:47b. See also prophet in the Glossary.</w:t>
      </w:r>
    </w:p>
    <w:p>
      <w:pPr/>
      <w:r>
        <w:rPr>
          <w:lang w:val="en_US" w:bidi="en_US"/>
        </w:rPr>
      </w:r>
      <w:r>
        <w:rPr>
          <w:b/>
          <w:lang w:val="en_US" w:bidi="en_US"/>
        </w:rPr>
        <w:t>in the kingdom of God:</w:t>
      </w:r>
      <w:r>
        <w:rPr>
          <w:lang w:val="en_US" w:bidi="en_US"/>
        </w:rPr>
        <w:t xml:space="preserve"> In most contexts the phrase </w:t>
      </w:r>
      <w:r>
        <w:rPr>
          <w:i/>
          <w:lang w:val="en_US" w:bidi="en_US"/>
        </w:rPr>
        <w:t>the kingdom of God</w:t>
      </w:r>
      <w:r>
        <w:rPr>
          <w:lang w:val="en_US" w:bidi="en_US"/>
        </w:rPr>
        <w:t xml:space="preserve"> refers to God’s activity of ruling and caring for his people as their king. It does not refer to a land or country that he rules over. However, 13:28–29 has the metaphor of people gathering from all directions to sit down at a feast. Here, the emphasis is on being inside or outside the area of God’s rule, and being included or excluded from a particular group whom God rules.</w:t>
      </w:r>
    </w:p>
    <w:p>
      <w:pPr/>
      <w:r>
        <w:rPr>
          <w:lang w:val="en_US" w:bidi="en_US"/>
        </w:rPr>
      </w:r>
      <w:r>
        <w:rPr>
          <w:lang w:val="en_US" w:bidi="en_US"/>
        </w:rPr>
        <w:t xml:space="preserve">Some ways to translate </w:t>
      </w:r>
      <w:r>
        <w:rPr>
          <w:i/>
          <w:lang w:val="en_US" w:bidi="en_US"/>
        </w:rPr>
        <w:t>in the kingdom of God</w:t>
      </w:r>
      <w:r>
        <w:rPr>
          <w:lang w:val="en_US" w:bidi="en_US"/>
        </w:rPr>
        <w:t xml:space="preserve"> here are:</w:t>
      </w:r>
    </w:p>
    <w:p>
      <w:pPr/>
      <w:r>
        <w:rPr>
          <w:lang w:val="en_US" w:bidi="en_US"/>
        </w:rPr>
      </w:r>
      <w:r>
        <w:rPr>
          <w:lang w:val="en_US" w:bidi="en_US"/>
        </w:rPr>
        <w:t>included among those whom God rules and cares for</w:t>
      </w:r>
    </w:p>
    <w:p>
      <w:pPr/>
      <w:r>
        <w:rPr>
          <w:lang w:val="en_US" w:bidi="en_US"/>
        </w:rPr>
      </w:r>
      <w:r>
        <w:rPr>
          <w:lang w:val="en_US" w:bidi="en_US"/>
        </w:rPr>
        <w:t xml:space="preserve">in the </w:t>
      </w:r>
      <w:r>
        <w:rPr>
          <w:lang w:val="en_US" w:bidi="en_US"/>
        </w:rPr>
        <w:t>good</w:t>
      </w:r>
      <w:r>
        <w:rPr>
          <w:lang w:val="en_US" w:bidi="en_US"/>
        </w:rPr>
        <w:t xml:space="preserve"> place where God rules</w:t>
      </w:r>
    </w:p>
    <w:p>
      <w:pPr/>
      <w:r>
        <w:rPr>
          <w:lang w:val="en_US" w:bidi="en_US"/>
        </w:rPr>
      </w:r>
      <w:r>
        <w:rPr>
          <w:lang w:val="en_US" w:bidi="en_US"/>
        </w:rPr>
        <w:t xml:space="preserve">The term </w:t>
      </w:r>
      <w:r>
        <w:rPr>
          <w:i/>
          <w:lang w:val="en_US" w:bidi="en_US"/>
        </w:rPr>
        <w:t>kingdom of God</w:t>
      </w:r>
      <w:r>
        <w:rPr>
          <w:lang w:val="en_US" w:bidi="en_US"/>
        </w:rPr>
        <w:t xml:space="preserve"> also occurs in 13:18a, but there the context is different.</w:t>
      </w:r>
    </w:p>
    <w:p>
      <w:pPr>
        <w:pStyle w:val="Heading5"/>
      </w:pPr>
      <w:r>
        <w:rPr>
          <w:lang w:val="en_US" w:bidi="en_US"/>
        </w:rPr>
        <w:t>13:28c</w:t>
      </w:r>
    </w:p>
    <w:p>
      <w:pPr/>
      <w:r>
        <w:rPr>
          <w:lang w:val="en_US" w:bidi="en_US"/>
        </w:rPr>
      </w:r>
      <w:r>
        <w:rPr>
          <w:b/>
          <w:lang w:val="en_US" w:bidi="en_US"/>
        </w:rPr>
        <w:t>but you yourselves are thrown out.</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yourselves are excluded/banished from it.</w:t>
      </w:r>
    </w:p>
    <w:p>
      <w:pPr>
        <w:pStyle w:val="ListBullet"/>
        <w:spacing w:line="240" w:lineRule="auto"/>
        <w:ind w:left="720"/>
      </w:pPr>
      <w:r>
        <w:rPr>
          <w:lang w:val="en_US" w:bidi="en_US"/>
        </w:rPr>
      </w:r>
      <w:r>
        <w:rPr>
          <w:lang w:val="en_US" w:bidi="en_US"/>
        </w:rPr>
        <w:t xml:space="preserve">but </w:t>
      </w:r>
      <w:r>
        <w:rPr>
          <w:lang w:val="en_US" w:bidi="en_US"/>
        </w:rPr>
        <w:t>God</w:t>
      </w:r>
      <w:r>
        <w:rPr>
          <w:lang w:val="en_US" w:bidi="en_US"/>
        </w:rPr>
        <w:t xml:space="preserve"> will </w:t>
      </w:r>
      <w:r>
        <w:rPr>
          <w:lang w:val="en_US" w:bidi="en_US"/>
        </w:rPr>
        <w:t>keep</w:t>
      </w:r>
      <w:r>
        <w:rPr>
          <w:lang w:val="en_US" w:bidi="en_US"/>
        </w:rPr>
        <w:t xml:space="preserve"> you</w:t>
      </w:r>
      <w:r>
        <w:rPr>
          <w:vertAlign w:val="superscript"/>
          <w:lang w:val="en_US" w:bidi="en_US"/>
        </w:rPr>
        <w:t>(plur)</w:t>
      </w:r>
      <w:r>
        <w:rPr>
          <w:lang w:val="en_US" w:bidi="en_US"/>
        </w:rPr>
        <w:t xml:space="preserve"> out of it.</w:t>
      </w:r>
    </w:p>
    <w:p>
      <w:pPr/>
      <w:r>
        <w:rPr>
          <w:lang w:val="en_US" w:bidi="en_US"/>
        </w:rPr>
      </w:r>
      <w:r>
        <w:rPr>
          <w:b/>
          <w:lang w:val="en_US" w:bidi="en_US"/>
        </w:rPr>
        <w:t>but you yourselves are thrown out:</w:t>
      </w:r>
      <w:r>
        <w:rPr>
          <w:lang w:val="en_US" w:bidi="en_US"/>
        </w:rPr>
        <w:t xml:space="preserve"> The phrase </w:t>
      </w:r>
      <w:r>
        <w:rPr>
          <w:i/>
          <w:lang w:val="en_US" w:bidi="en_US"/>
        </w:rPr>
        <w:t>you yourselves</w:t>
      </w:r>
      <w:r>
        <w:rPr>
          <w:lang w:val="en_US" w:bidi="en_US"/>
        </w:rPr>
        <w:t xml:space="preserve"> refers to all the people in the crowd who did not obey God and believe in Jesus. They would be excluded from joining their ancestors in the kingdom of God.</w:t>
      </w:r>
    </w:p>
    <w:p>
      <w:pPr/>
      <w:r>
        <w:rPr>
          <w:lang w:val="en_US" w:bidi="en_US"/>
        </w:rPr>
      </w:r>
      <w:r>
        <w:rPr>
          <w:b/>
          <w:lang w:val="en_US" w:bidi="en_US"/>
        </w:rPr>
        <w:t>are thrown out:</w:t>
      </w:r>
      <w:r>
        <w:rPr>
          <w:lang w:val="en_US" w:bidi="en_US"/>
        </w:rPr>
        <w:t xml:space="preserve"> In this context, the term that the BSB translates literally as </w:t>
      </w:r>
      <w:r>
        <w:rPr>
          <w:i/>
          <w:lang w:val="en_US" w:bidi="en_US"/>
        </w:rPr>
        <w:t>thrown out</w:t>
      </w:r>
      <w:r>
        <w:rPr>
          <w:lang w:val="en_US" w:bidi="en_US"/>
        </w:rPr>
        <w:t xml:space="preserve"> means “excluded” or “banished.” It means that God will keep these people outside his kingdom. In this context it does not imply that these people were once in God’s kingdom and were then thrown out. Other ways to translate this verse part are:</w:t>
      </w:r>
    </w:p>
    <w:p>
      <w:pPr/>
      <w:r>
        <w:rPr>
          <w:lang w:val="en_US" w:bidi="en_US"/>
        </w:rPr>
      </w:r>
      <w:r>
        <w:rPr>
          <w:lang w:val="en_US" w:bidi="en_US"/>
        </w:rPr>
        <w:t>and you yourselves are driven away (REB)</w:t>
      </w:r>
    </w:p>
    <w:p>
      <w:pPr/>
      <w:r>
        <w:rPr>
          <w:lang w:val="en_US" w:bidi="en_US"/>
        </w:rPr>
      </w:r>
      <w:r>
        <w:rPr>
          <w:lang w:val="en_US" w:bidi="en_US"/>
        </w:rPr>
        <w:t>and you yourselves excluded, outside (JBP)</w:t>
      </w:r>
    </w:p>
    <w:p>
      <w:pPr>
        <w:pStyle w:val="Heading6"/>
      </w:pPr>
      <w:r>
        <w:rPr>
          <w:b/>
          <w:lang w:val="en_US" w:bidi="en_US"/>
        </w:rPr>
        <w:t>General Comment on 13:28a–c</w:t>
      </w:r>
    </w:p>
    <w:p>
      <w:pPr/>
      <w:r>
        <w:rPr>
          <w:lang w:val="en_US" w:bidi="en_US"/>
        </w:rPr>
      </w:r>
      <w:r>
        <w:rPr>
          <w:lang w:val="en_US" w:bidi="en_US"/>
        </w:rPr>
        <w:t>Weeping and gnashing of teeth is the result of being excluded from God’s kingdom and seeing others inside it. In some languages it may be more natural to reorder this verse so that one or both of these causes precede the result. For example:</w:t>
      </w:r>
    </w:p>
    <w:p>
      <w:pPr/>
      <w:r>
        <w:rPr>
          <w:lang w:val="en_US" w:bidi="en_US"/>
        </w:rPr>
      </w:r>
      <w:r>
        <w:rPr>
          <w:vertAlign w:val="superscript"/>
          <w:lang w:val="en_US" w:bidi="en_US"/>
        </w:rPr>
        <w:t>28b</w:t>
      </w:r>
      <w:r>
        <w:rPr>
          <w:lang w:val="en_US" w:bidi="en_US"/>
        </w:rPr>
        <w:t xml:space="preserve">You will see Abraham, Isaac, and Jacob, and all the prophets in the kingdom of God, </w:t>
      </w:r>
      <w:r>
        <w:rPr>
          <w:vertAlign w:val="superscript"/>
          <w:lang w:val="en_US" w:bidi="en_US"/>
        </w:rPr>
        <w:t>28c</w:t>
      </w:r>
      <w:r>
        <w:rPr>
          <w:lang w:val="en_US" w:bidi="en_US"/>
        </w:rPr>
        <w:t xml:space="preserve">but </w:t>
      </w:r>
      <w:r>
        <w:rPr>
          <w:lang w:val="en_US" w:bidi="en_US"/>
        </w:rPr>
        <w:t>God</w:t>
      </w:r>
      <w:r>
        <w:rPr>
          <w:lang w:val="en_US" w:bidi="en_US"/>
        </w:rPr>
        <w:t xml:space="preserve"> will not permit you to enter. </w:t>
      </w:r>
      <w:r>
        <w:rPr>
          <w:vertAlign w:val="superscript"/>
          <w:lang w:val="en_US" w:bidi="en_US"/>
        </w:rPr>
        <w:t>28a</w:t>
      </w:r>
      <w:r>
        <w:rPr>
          <w:lang w:val="en_US" w:bidi="en_US"/>
        </w:rPr>
        <w:t xml:space="preserve">Then/So you will cry and gnash your teeth </w:t>
      </w:r>
      <w:r>
        <w:rPr>
          <w:lang w:val="en_US" w:bidi="en_US"/>
        </w:rPr>
        <w:t>in anger</w:t>
      </w:r>
      <w:r>
        <w:rPr>
          <w:lang w:val="en_US" w:bidi="en_US"/>
        </w:rPr>
        <w:t>.</w:t>
      </w:r>
    </w:p>
    <w:p>
      <w:pPr/>
      <w:r>
        <w:rPr>
          <w:lang w:val="en_US" w:bidi="en_US"/>
        </w:rPr>
      </w:r>
      <w:r>
        <w:rPr>
          <w:vertAlign w:val="superscript"/>
          <w:lang w:val="en_US" w:bidi="en_US"/>
        </w:rPr>
        <w:t>28c</w:t>
      </w:r>
      <w:r>
        <w:rPr>
          <w:lang w:val="en_US" w:bidi="en_US"/>
        </w:rPr>
        <w:t xml:space="preserve">Then when you have been thrown outside, </w:t>
      </w:r>
      <w:r>
        <w:rPr>
          <w:vertAlign w:val="superscript"/>
          <w:lang w:val="en_US" w:bidi="en_US"/>
        </w:rPr>
        <w:t>28a</w:t>
      </w:r>
      <w:r>
        <w:rPr>
          <w:lang w:val="en_US" w:bidi="en_US"/>
        </w:rPr>
        <w:t xml:space="preserve">you will weep and grit your teeth </w:t>
      </w:r>
      <w:r>
        <w:rPr>
          <w:vertAlign w:val="superscript"/>
          <w:lang w:val="en_US" w:bidi="en_US"/>
        </w:rPr>
        <w:t>28b</w:t>
      </w:r>
      <w:r>
        <w:rPr>
          <w:lang w:val="en_US" w:bidi="en_US"/>
        </w:rPr>
        <w:t>because you will see Abraham and Isaac and all the prophets in God’s kingdom. (CEV)</w:t>
      </w:r>
    </w:p>
    <w:p>
      <w:pPr/>
      <w:r>
        <w:rPr>
          <w:lang w:val="en_US" w:bidi="en_US"/>
        </w:rPr>
      </w:r>
      <w:r>
        <w:rPr>
          <w:vertAlign w:val="superscript"/>
          <w:lang w:val="en_US" w:bidi="en_US"/>
        </w:rPr>
        <w:t>28c</w:t>
      </w:r>
      <w:r>
        <w:rPr>
          <w:lang w:val="en_US" w:bidi="en_US"/>
        </w:rPr>
        <w:t xml:space="preserve">When you see Abraham, Isaac, and Jacob, and all the prophets there in the good place where God is king, </w:t>
      </w:r>
      <w:r>
        <w:rPr>
          <w:vertAlign w:val="superscript"/>
          <w:lang w:val="en_US" w:bidi="en_US"/>
        </w:rPr>
        <w:t>28a</w:t>
      </w:r>
      <w:r>
        <w:rPr>
          <w:lang w:val="en_US" w:bidi="en_US"/>
        </w:rPr>
        <w:t xml:space="preserve">you will weep and grind your teeth, </w:t>
      </w:r>
      <w:r>
        <w:rPr>
          <w:vertAlign w:val="superscript"/>
          <w:lang w:val="en_US" w:bidi="en_US"/>
        </w:rPr>
        <w:t>28c</w:t>
      </w:r>
      <w:r>
        <w:rPr>
          <w:lang w:val="en_US" w:bidi="en_US"/>
        </w:rPr>
        <w:t>because as for you, you will be excluded/outside.</w:t>
      </w:r>
      <w:r>
        <w:rPr>
          <w:lang w:val="en_US" w:bidi="en_US"/>
        </w:rPr>
      </w:r>
      <w:r>
        <w:rPr>
          <w:lang w:val="en_US" w:bidi="en_US"/>
        </w:rPr>
      </w:r>
    </w:p>
    <w:p>
      <w:pPr/>
      <w:r>
        <w:rPr>
          <w:lang w:val="en_US" w:bidi="en_US"/>
        </w:rPr>
      </w:r>
    </w:p>
    <w:p>
      <w:pPr>
        <w:pStyle w:val="Heading2"/>
      </w:pPr>
      <w:r>
        <w:rPr>
          <w:lang w:val="en_US" w:bidi="en_US"/>
        </w:rPr>
        <w:t>Luke 13:29</w:t>
      </w:r>
      <w:r>
        <w:rPr>
          <w:lang w:val="en_US" w:bidi="en_US"/>
        </w:rPr>
      </w:r>
    </w:p>
    <w:p>
      <w:pPr>
        <w:pStyle w:val="Heading4"/>
      </w:pPr>
      <w:r>
        <w:rPr>
          <w:lang w:val="en_US" w:bidi="en_US"/>
        </w:rPr>
        <w:t>Section 13:22–30: The entrance to the kingdom of God is like a narrow door</w:t>
      </w:r>
    </w:p>
    <w:p>
      <w:pPr/>
      <w:r>
        <w:rPr>
          <w:lang w:val="en_US" w:bidi="en_US"/>
        </w:rPr>
      </w:r>
      <w:r>
        <w:rPr>
          <w:lang w:val="en_US" w:bidi="en_US"/>
        </w:rPr>
        <w:t>In this section Jesus advised people to do their best to enter the kingdom of God while there was still time. He spoke figuratively about this, using the figure of entering through the narrow door. After the owner of the house closed the door, many would try to enter but they would not be able to do so.</w:t>
      </w:r>
    </w:p>
    <w:p>
      <w:pPr/>
      <w:r>
        <w:rPr>
          <w:lang w:val="en_US" w:bidi="en_US"/>
        </w:rPr>
      </w:r>
      <w:r>
        <w:rPr>
          <w:lang w:val="en_US" w:bidi="en_US"/>
        </w:rPr>
        <w:t>Some other headings for this section are:</w:t>
      </w:r>
    </w:p>
    <w:p>
      <w:pPr/>
      <w:r>
        <w:rPr>
          <w:lang w:val="en_US" w:bidi="en_US"/>
        </w:rPr>
      </w:r>
      <w:r>
        <w:rPr>
          <w:lang w:val="en_US" w:bidi="en_US"/>
        </w:rPr>
        <w:t>Jesus warned that many people would not be able to enter the kingdom of God</w:t>
      </w:r>
    </w:p>
    <w:p>
      <w:pPr/>
      <w:r>
        <w:rPr>
          <w:lang w:val="en_US" w:bidi="en_US"/>
        </w:rPr>
      </w:r>
      <w:r>
        <w:rPr>
          <w:lang w:val="en_US" w:bidi="en_US"/>
        </w:rPr>
        <w:t>There are parallel passages for this section in Matthew 7:13–14 and 21–23.</w:t>
      </w:r>
    </w:p>
    <w:p>
      <w:pPr>
        <w:pStyle w:val="Heading4"/>
      </w:pPr>
      <w:r>
        <w:rPr>
          <w:lang w:val="en_US" w:bidi="en_US"/>
        </w:rPr>
        <w:t>Paragraph 13:28–30</w:t>
      </w:r>
    </w:p>
    <w:p>
      <w:pPr/>
      <w:r>
        <w:rPr>
          <w:lang w:val="en_US" w:bidi="en_US"/>
        </w:rPr>
      </w:r>
      <w:r>
        <w:rPr>
          <w:lang w:val="en_US" w:bidi="en_US"/>
        </w:rPr>
        <w:t>In this paragraph Jesus stopped talking in a parable and began talking directly about God’s kingdom. He spoke about two kinds of people: those who will be in God’s kingdom and those who will be in a place of punishment outside of God’s kingdom. Matthew 8:11–12 is a parallel passage.</w:t>
      </w:r>
    </w:p>
    <w:p>
      <w:pPr>
        <w:pStyle w:val="Heading5"/>
      </w:pPr>
      <w:r>
        <w:rPr>
          <w:lang w:val="en_US" w:bidi="en_US"/>
        </w:rPr>
        <w:t>13:29a</w:t>
      </w:r>
    </w:p>
    <w:p>
      <w:pPr/>
      <w:r>
        <w:rPr>
          <w:lang w:val="en_US" w:bidi="en_US"/>
        </w:rPr>
      </w:r>
      <w:r>
        <w:rPr>
          <w:b/>
          <w:lang w:val="en_US" w:bidi="en_US"/>
        </w:rPr>
        <w:t>People will come from east and west and north and south,</w:t>
      </w:r>
    </w:p>
    <w:p>
      <w:pPr>
        <w:pStyle w:val="ListBullet"/>
        <w:spacing w:line="240" w:lineRule="auto"/>
        <w:ind w:left="720"/>
      </w:pPr>
      <w:r>
        <w:rPr>
          <w:lang w:val="en_US" w:bidi="en_US"/>
        </w:rPr>
      </w:r>
      <w:r>
        <w:rPr>
          <w:lang w:val="en_US" w:bidi="en_US"/>
        </w:rPr>
        <w:t>Other</w:t>
      </w:r>
      <w:r>
        <w:rPr>
          <w:lang w:val="en_US" w:bidi="en_US"/>
        </w:rPr>
        <w:t xml:space="preserve"> people will come from the east and from the west and from the north and from the south,</w:t>
      </w:r>
    </w:p>
    <w:p>
      <w:pPr>
        <w:pStyle w:val="ListBullet"/>
        <w:spacing w:line="240" w:lineRule="auto"/>
        <w:ind w:left="720"/>
      </w:pPr>
      <w:r>
        <w:rPr>
          <w:lang w:val="en_US" w:bidi="en_US"/>
        </w:rPr>
      </w:r>
      <w:r>
        <w:rPr>
          <w:lang w:val="en_US" w:bidi="en_US"/>
        </w:rPr>
        <w:t>Non-Jewish</w:t>
      </w:r>
      <w:r>
        <w:rPr>
          <w:lang w:val="en_US" w:bidi="en_US"/>
        </w:rPr>
        <w:t xml:space="preserve"> people will come from all countries/directions</w:t>
      </w:r>
    </w:p>
    <w:p>
      <w:pPr/>
      <w:r>
        <w:rPr>
          <w:lang w:val="en_US" w:bidi="en_US"/>
        </w:rPr>
      </w:r>
      <w:r>
        <w:rPr>
          <w:b/>
          <w:lang w:val="en_US" w:bidi="en_US"/>
        </w:rPr>
        <w:t>People will come from east and west and north and south:</w:t>
      </w:r>
      <w:r>
        <w:rPr>
          <w:lang w:val="en_US" w:bidi="en_US"/>
        </w:rPr>
        <w:t xml:space="preserve"> This clause refers to Gentiles, people who were not descendants of Abraham, Isaac, and Jacob. It indicates that non-Jewish people will come from many different places and countries to take part in the feast.</w:t>
      </w:r>
    </w:p>
    <w:p>
      <w:pPr/>
      <w:r>
        <w:rPr>
          <w:lang w:val="en_US" w:bidi="en_US"/>
        </w:rPr>
      </w:r>
      <w:r>
        <w:rPr>
          <w:lang w:val="en_US" w:bidi="en_US"/>
        </w:rPr>
        <w:t>In languages where it is not natural to refer to four specific directions like this, you may translate more generally. For example:</w:t>
      </w:r>
    </w:p>
    <w:p>
      <w:pPr/>
      <w:r>
        <w:rPr>
          <w:lang w:val="en_US" w:bidi="en_US"/>
        </w:rPr>
      </w:r>
      <w:r>
        <w:rPr>
          <w:lang w:val="en_US" w:bidi="en_US"/>
        </w:rPr>
        <w:t>People will come from all over the world (GW)</w:t>
      </w:r>
    </w:p>
    <w:p>
      <w:pPr/>
      <w:r>
        <w:rPr>
          <w:lang w:val="en_US" w:bidi="en_US"/>
        </w:rPr>
      </w:r>
      <w:r>
        <w:rPr>
          <w:lang w:val="en_US" w:bidi="en_US"/>
        </w:rPr>
        <w:t>People will come from all directions (CEV)</w:t>
      </w:r>
    </w:p>
    <w:p>
      <w:pPr>
        <w:pStyle w:val="Heading5"/>
      </w:pPr>
      <w:r>
        <w:rPr>
          <w:lang w:val="en_US" w:bidi="en_US"/>
        </w:rPr>
        <w:t>13:29b</w:t>
      </w:r>
    </w:p>
    <w:p>
      <w:pPr/>
      <w:r>
        <w:rPr>
          <w:lang w:val="en_US" w:bidi="en_US"/>
        </w:rPr>
      </w:r>
      <w:r>
        <w:rPr>
          <w:b/>
          <w:lang w:val="en_US" w:bidi="en_US"/>
        </w:rPr>
        <w:t>and will recline at the table in the kingdom of God.</w:t>
      </w:r>
    </w:p>
    <w:p>
      <w:pPr>
        <w:pStyle w:val="ListBullet"/>
        <w:spacing w:line="240" w:lineRule="auto"/>
        <w:ind w:left="720"/>
      </w:pPr>
      <w:r>
        <w:rPr>
          <w:lang w:val="en_US" w:bidi="en_US"/>
        </w:rPr>
      </w:r>
      <w:r>
        <w:rPr>
          <w:lang w:val="en_US" w:bidi="en_US"/>
        </w:rPr>
        <w:t xml:space="preserve">and will sit down to feast/eat </w:t>
      </w:r>
      <w:r>
        <w:rPr>
          <w:lang w:val="en_US" w:bidi="en_US"/>
        </w:rPr>
        <w:t>with the others who are included</w:t>
      </w:r>
      <w:r>
        <w:rPr>
          <w:lang w:val="en_US" w:bidi="en_US"/>
        </w:rPr>
        <w:t xml:space="preserve"> in God’s rule/kingdom.</w:t>
      </w:r>
    </w:p>
    <w:p>
      <w:pPr>
        <w:pStyle w:val="ListBullet"/>
        <w:spacing w:line="240" w:lineRule="auto"/>
        <w:ind w:left="720"/>
      </w:pPr>
      <w:r>
        <w:rPr>
          <w:lang w:val="en_US" w:bidi="en_US"/>
        </w:rPr>
      </w:r>
      <w:r>
        <w:rPr>
          <w:lang w:val="en_US" w:bidi="en_US"/>
        </w:rPr>
        <w:t xml:space="preserve">and will join </w:t>
      </w:r>
      <w:r>
        <w:rPr>
          <w:lang w:val="en_US" w:bidi="en_US"/>
        </w:rPr>
        <w:t>the others whom</w:t>
      </w:r>
      <w:r>
        <w:rPr>
          <w:lang w:val="en_US" w:bidi="en_US"/>
        </w:rPr>
        <w:t xml:space="preserve"> God rules and they will all feast/eat together.</w:t>
      </w:r>
    </w:p>
    <w:p>
      <w:pPr/>
      <w:r>
        <w:rPr>
          <w:lang w:val="en_US" w:bidi="en_US"/>
        </w:rPr>
      </w:r>
      <w:r>
        <w:rPr>
          <w:b/>
          <w:lang w:val="en_US" w:bidi="en_US"/>
        </w:rPr>
        <w:t>will recline at the table in the kingdom of God:</w:t>
      </w:r>
      <w:r>
        <w:rPr>
          <w:lang w:val="en_US" w:bidi="en_US"/>
        </w:rPr>
        <w:t xml:space="preserve"> The Jews believed that they would go to a great feast when the Messiah came. In this verse Jesus implied that many Gentiles would also join in this feast.</w:t>
      </w:r>
    </w:p>
    <w:p>
      <w:pPr/>
      <w:r>
        <w:rPr>
          <w:lang w:val="en_US" w:bidi="en_US"/>
        </w:rPr>
      </w:r>
      <w:r>
        <w:rPr>
          <w:b/>
          <w:lang w:val="en_US" w:bidi="en_US"/>
        </w:rPr>
        <w:t>will recline at the table:</w:t>
      </w:r>
      <w:r>
        <w:rPr>
          <w:lang w:val="en_US" w:bidi="en_US"/>
        </w:rPr>
        <w:t xml:space="preserve"> The Greek verb that the BSB translates literally as </w:t>
      </w:r>
      <w:r>
        <w:rPr>
          <w:i/>
          <w:lang w:val="en_US" w:bidi="en_US"/>
        </w:rPr>
        <w:t>will recline at the table</w:t>
      </w:r>
      <w:r>
        <w:rPr>
          <w:lang w:val="en_US" w:bidi="en_US"/>
        </w:rPr>
        <w:t xml:space="preserve"> refers to the custom in Jesus’ time of reclining around a table in order to eat a formal meal. If reclining does not carry this meaning in your culture, you may:</w:t>
      </w:r>
    </w:p>
    <w:p>
      <w:pPr>
        <w:pStyle w:val="ListBullet"/>
        <w:spacing w:line="240" w:lineRule="auto"/>
        <w:ind w:left="720"/>
      </w:pPr>
      <w:r>
        <w:rPr>
          <w:lang w:val="en_US" w:bidi="en_US"/>
        </w:rPr>
      </w:r>
      <w:r>
        <w:rPr>
          <w:lang w:val="en_US" w:bidi="en_US"/>
        </w:rPr>
        <w:t>Use the normal position for eating in your culture. For example:</w:t>
      </w:r>
      <w:r>
        <w:rPr>
          <w:lang w:val="en_US" w:bidi="en_US"/>
        </w:rPr>
        <w:t>sit down at the feast (NJB)</w:t>
      </w:r>
    </w:p>
    <w:p>
      <w:pPr>
        <w:pStyle w:val="ListBullet"/>
        <w:spacing w:line="240" w:lineRule="auto"/>
        <w:ind w:left="720"/>
      </w:pPr>
      <w:r>
        <w:rPr>
          <w:lang w:val="en_US" w:bidi="en_US"/>
        </w:rPr>
      </w:r>
      <w:r>
        <w:rPr>
          <w:lang w:val="en_US" w:bidi="en_US"/>
        </w:rPr>
        <w:t>Use a general expression for eating at a feast but do not specify the particular position. For example:</w:t>
      </w:r>
      <w:r>
        <w:rPr>
          <w:lang w:val="en_US" w:bidi="en_US"/>
        </w:rPr>
        <w:t>take their places at the banquet (REB)</w:t>
      </w:r>
      <w:r>
        <w:rPr>
          <w:lang w:val="en_US" w:bidi="en_US"/>
        </w:rPr>
        <w:t>eat (NRSV)</w:t>
      </w:r>
    </w:p>
    <w:p>
      <w:pPr/>
      <w:r>
        <w:rPr>
          <w:lang w:val="en_US" w:bidi="en_US"/>
        </w:rPr>
      </w:r>
      <w:r>
        <w:rPr>
          <w:b/>
          <w:lang w:val="en_US" w:bidi="en_US"/>
        </w:rPr>
        <w:t>in the kingdom of God:</w:t>
      </w:r>
      <w:r>
        <w:rPr>
          <w:lang w:val="en_US" w:bidi="en_US"/>
        </w:rPr>
        <w:t xml:space="preserve"> The phrase </w:t>
      </w:r>
      <w:r>
        <w:rPr>
          <w:i/>
          <w:lang w:val="en_US" w:bidi="en_US"/>
        </w:rPr>
        <w:t>in the kingdom of God</w:t>
      </w:r>
      <w:r>
        <w:rPr>
          <w:lang w:val="en_US" w:bidi="en_US"/>
        </w:rPr>
        <w:t xml:space="preserve"> also occurs in 13:28b. Translate it in a way that is consistent with your translation there.</w:t>
      </w:r>
      <w:r>
        <w:rPr>
          <w:lang w:val="en_US" w:bidi="en_US"/>
        </w:rPr>
      </w:r>
      <w:r>
        <w:rPr>
          <w:lang w:val="en_US" w:bidi="en_US"/>
        </w:rPr>
      </w:r>
    </w:p>
    <w:p>
      <w:pPr/>
      <w:r>
        <w:rPr>
          <w:lang w:val="en_US" w:bidi="en_US"/>
        </w:rPr>
      </w:r>
    </w:p>
    <w:p>
      <w:pPr>
        <w:pStyle w:val="Heading2"/>
      </w:pPr>
      <w:r>
        <w:rPr>
          <w:lang w:val="en_US" w:bidi="en_US"/>
        </w:rPr>
        <w:t>Luke 13:30</w:t>
      </w:r>
      <w:r>
        <w:rPr>
          <w:lang w:val="en_US" w:bidi="en_US"/>
        </w:rPr>
      </w:r>
    </w:p>
    <w:p>
      <w:pPr>
        <w:pStyle w:val="Heading4"/>
      </w:pPr>
      <w:r>
        <w:rPr>
          <w:lang w:val="en_US" w:bidi="en_US"/>
        </w:rPr>
        <w:t>Section 13:22–30: The entrance to the kingdom of God is like a narrow door</w:t>
      </w:r>
    </w:p>
    <w:p>
      <w:pPr/>
      <w:r>
        <w:rPr>
          <w:lang w:val="en_US" w:bidi="en_US"/>
        </w:rPr>
      </w:r>
      <w:r>
        <w:rPr>
          <w:lang w:val="en_US" w:bidi="en_US"/>
        </w:rPr>
        <w:t>In this section Jesus advised people to do their best to enter the kingdom of God while there was still time. He spoke figuratively about this, using the figure of entering through the narrow door. After the owner of the house closed the door, many would try to enter but they would not be able to do so.</w:t>
      </w:r>
    </w:p>
    <w:p>
      <w:pPr/>
      <w:r>
        <w:rPr>
          <w:lang w:val="en_US" w:bidi="en_US"/>
        </w:rPr>
      </w:r>
      <w:r>
        <w:rPr>
          <w:lang w:val="en_US" w:bidi="en_US"/>
        </w:rPr>
        <w:t>Some other headings for this section are:</w:t>
      </w:r>
    </w:p>
    <w:p>
      <w:pPr/>
      <w:r>
        <w:rPr>
          <w:lang w:val="en_US" w:bidi="en_US"/>
        </w:rPr>
      </w:r>
      <w:r>
        <w:rPr>
          <w:lang w:val="en_US" w:bidi="en_US"/>
        </w:rPr>
        <w:t>Jesus warned that many people would not be able to enter the kingdom of God</w:t>
      </w:r>
    </w:p>
    <w:p>
      <w:pPr/>
      <w:r>
        <w:rPr>
          <w:lang w:val="en_US" w:bidi="en_US"/>
        </w:rPr>
      </w:r>
      <w:r>
        <w:rPr>
          <w:lang w:val="en_US" w:bidi="en_US"/>
        </w:rPr>
        <w:t>There are parallel passages for this section in Matthew 7:13–14 and 21–23.</w:t>
      </w:r>
    </w:p>
    <w:p>
      <w:pPr>
        <w:pStyle w:val="Heading4"/>
      </w:pPr>
      <w:r>
        <w:rPr>
          <w:lang w:val="en_US" w:bidi="en_US"/>
        </w:rPr>
        <w:t>Paragraph 13:28–30</w:t>
      </w:r>
    </w:p>
    <w:p>
      <w:pPr/>
      <w:r>
        <w:rPr>
          <w:lang w:val="en_US" w:bidi="en_US"/>
        </w:rPr>
      </w:r>
      <w:r>
        <w:rPr>
          <w:lang w:val="en_US" w:bidi="en_US"/>
        </w:rPr>
        <w:t>In this paragraph Jesus stopped talking in a parable and began talking directly about God’s kingdom. He spoke about two kinds of people: those who will be in God’s kingdom and those who will be in a place of punishment outside of God’s kingdom. Matthew 8:11–12 is a parallel passage.</w:t>
      </w:r>
    </w:p>
    <w:p>
      <w:pPr>
        <w:pStyle w:val="Heading5"/>
      </w:pPr>
      <w:r>
        <w:rPr>
          <w:lang w:val="en_US" w:bidi="en_US"/>
        </w:rPr>
        <w:t>13:30a</w:t>
      </w:r>
    </w:p>
    <w:p>
      <w:pPr/>
      <w:r>
        <w:rPr>
          <w:lang w:val="en_US" w:bidi="en_US"/>
        </w:rPr>
      </w:r>
      <w:r>
        <w:rPr>
          <w:b/>
          <w:lang w:val="en_US" w:bidi="en_US"/>
        </w:rPr>
        <w:t>And indeed, some who are last will be first,</w:t>
      </w:r>
    </w:p>
    <w:p>
      <w:pPr>
        <w:pStyle w:val="ListBullet"/>
        <w:spacing w:line="240" w:lineRule="auto"/>
        <w:ind w:left="720"/>
      </w:pPr>
      <w:r>
        <w:rPr>
          <w:lang w:val="en_US" w:bidi="en_US"/>
        </w:rPr>
      </w:r>
      <w:r>
        <w:rPr>
          <w:lang w:val="en_US" w:bidi="en_US"/>
        </w:rPr>
        <w:t xml:space="preserve">Indeed/Yes, </w:t>
      </w:r>
      <w:r>
        <w:rPr>
          <w:lang w:val="en_US" w:bidi="en_US"/>
        </w:rPr>
        <w:t>some people</w:t>
      </w:r>
      <w:r>
        <w:rPr>
          <w:lang w:val="en_US" w:bidi="en_US"/>
        </w:rPr>
        <w:t xml:space="preserve"> who are </w:t>
      </w:r>
      <w:r>
        <w:rPr>
          <w:lang w:val="en_US" w:bidi="en_US"/>
        </w:rPr>
        <w:t>now</w:t>
      </w:r>
      <w:r>
        <w:rPr>
          <w:lang w:val="en_US" w:bidi="en_US"/>
        </w:rPr>
        <w:t xml:space="preserve"> last will </w:t>
      </w:r>
      <w:r>
        <w:rPr>
          <w:lang w:val="en_US" w:bidi="en_US"/>
        </w:rPr>
        <w:t>then</w:t>
      </w:r>
      <w:r>
        <w:rPr>
          <w:lang w:val="en_US" w:bidi="en_US"/>
        </w:rPr>
        <w:t xml:space="preserve"> be first,</w:t>
      </w:r>
    </w:p>
    <w:p>
      <w:pPr>
        <w:pStyle w:val="ListBullet"/>
        <w:spacing w:line="240" w:lineRule="auto"/>
        <w:ind w:left="720"/>
      </w:pPr>
      <w:r>
        <w:rPr>
          <w:lang w:val="en_US" w:bidi="en_US"/>
        </w:rPr>
      </w:r>
      <w:r>
        <w:rPr>
          <w:lang w:val="en_US" w:bidi="en_US"/>
        </w:rPr>
        <w:t xml:space="preserve">In fact, many/some of those who are not important </w:t>
      </w:r>
      <w:r>
        <w:rPr>
          <w:lang w:val="en_US" w:bidi="en_US"/>
        </w:rPr>
        <w:t>to people now</w:t>
      </w:r>
      <w:r>
        <w:rPr>
          <w:lang w:val="en_US" w:bidi="en_US"/>
        </w:rPr>
        <w:t xml:space="preserve"> will be very important </w:t>
      </w:r>
      <w:r>
        <w:rPr>
          <w:lang w:val="en_US" w:bidi="en_US"/>
        </w:rPr>
        <w:t>to God then</w:t>
      </w:r>
      <w:r>
        <w:rPr>
          <w:lang w:val="en_US" w:bidi="en_US"/>
        </w:rPr>
        <w:t>.</w:t>
      </w:r>
    </w:p>
    <w:p>
      <w:pPr/>
      <w:r>
        <w:rPr>
          <w:lang w:val="en_US" w:bidi="en_US"/>
        </w:rPr>
      </w:r>
      <w:r>
        <w:rPr>
          <w:b/>
          <w:lang w:val="en_US" w:bidi="en_US"/>
        </w:rPr>
        <w:t>And indeed:</w:t>
      </w:r>
      <w:r>
        <w:rPr>
          <w:lang w:val="en_US" w:bidi="en_US"/>
        </w:rPr>
        <w:t xml:space="preserve"> The Greek phrase that the BSB translates as </w:t>
      </w:r>
      <w:r>
        <w:rPr>
          <w:i/>
          <w:lang w:val="en_US" w:bidi="en_US"/>
        </w:rPr>
        <w:t>And indeed</w:t>
      </w:r>
      <w:r>
        <w:rPr>
          <w:lang w:val="en_US" w:bidi="en_US"/>
        </w:rPr>
        <w:t>, literally “And behold,” introduces something that is important and also unexpected. It indicates that the listener should give it special attention. In this context, the unexpected statement that Jesus is about to make is also closely related to what he has just said about Jews and Gentiles. Consider whether there is an expression in your language that has a similar function.</w:t>
      </w:r>
    </w:p>
    <w:p>
      <w:pPr/>
      <w:r>
        <w:rPr>
          <w:lang w:val="en_US" w:bidi="en_US"/>
        </w:rPr>
      </w:r>
      <w:r>
        <w:rPr>
          <w:lang w:val="en_US" w:bidi="en_US"/>
        </w:rPr>
        <w:t>This Greek phrase is not easy to translate into English. Some versions, such as the RSV, translate it as “And behold.” Other versions, such as the NJB, translate it as “Look.” Still other English versions, including the GNT, do not translate it here. Other examples in English are:</w:t>
      </w:r>
    </w:p>
    <w:p>
      <w:pPr/>
      <w:r>
        <w:rPr>
          <w:lang w:val="en_US" w:bidi="en_US"/>
        </w:rPr>
      </w:r>
      <w:r>
        <w:rPr>
          <w:lang w:val="en_US" w:bidi="en_US"/>
        </w:rPr>
        <w:t>Yes, and some who are now last… (REB)</w:t>
      </w:r>
    </w:p>
    <w:p>
      <w:pPr/>
      <w:r>
        <w:rPr>
          <w:lang w:val="en_US" w:bidi="en_US"/>
        </w:rPr>
      </w:r>
      <w:r>
        <w:rPr>
          <w:lang w:val="en_US" w:bidi="en_US"/>
        </w:rPr>
        <w:t>And note this: Some who seem… (NLT)</w:t>
      </w:r>
    </w:p>
    <w:p>
      <w:pPr/>
      <w:r>
        <w:rPr>
          <w:lang w:val="en_US" w:bidi="en_US"/>
        </w:rPr>
      </w:r>
      <w:r>
        <w:rPr>
          <w:b/>
          <w:lang w:val="en_US" w:bidi="en_US"/>
        </w:rPr>
        <w:t>some who are last will be first:</w:t>
      </w:r>
      <w:r>
        <w:rPr>
          <w:lang w:val="en_US" w:bidi="en_US"/>
        </w:rPr>
        <w:t xml:space="preserve"> The expression </w:t>
      </w:r>
      <w:r>
        <w:rPr>
          <w:i/>
          <w:lang w:val="en_US" w:bidi="en_US"/>
        </w:rPr>
        <w:t>some who are last will be first</w:t>
      </w:r>
      <w:r>
        <w:rPr>
          <w:lang w:val="en_US" w:bidi="en_US"/>
        </w:rPr>
        <w:t xml:space="preserve"> means that God will consider as very important many people whom others say are not important. In the context this includes Gentiles, whom the Jews considered as less important than themselves. It can also include any other people whom others do not honor or think important. Some other ways to translate this clause are:</w:t>
      </w:r>
    </w:p>
    <w:p>
      <w:pPr/>
      <w:r>
        <w:rPr>
          <w:lang w:val="en_US" w:bidi="en_US"/>
        </w:rPr>
      </w:r>
      <w:r>
        <w:rPr>
          <w:lang w:val="en_US" w:bidi="en_US"/>
        </w:rPr>
        <w:t>Some who seem least important now will be the greatest then (NLT)</w:t>
      </w:r>
    </w:p>
    <w:p>
      <w:pPr/>
      <w:r>
        <w:rPr>
          <w:lang w:val="en_US" w:bidi="en_US"/>
        </w:rPr>
      </w:r>
      <w:r>
        <w:rPr>
          <w:lang w:val="en_US" w:bidi="en_US"/>
        </w:rPr>
        <w:t>There are those who have the lowest place in life now who will have the highest place in the future. (NCV)</w:t>
      </w:r>
    </w:p>
    <w:p>
      <w:pPr/>
      <w:r>
        <w:rPr>
          <w:lang w:val="en_US" w:bidi="en_US"/>
        </w:rPr>
      </w:r>
      <w:r>
        <w:rPr>
          <w:b/>
          <w:lang w:val="en_US" w:bidi="en_US"/>
        </w:rPr>
        <w:t>last:</w:t>
      </w:r>
      <w:r>
        <w:rPr>
          <w:lang w:val="en_US" w:bidi="en_US"/>
        </w:rPr>
        <w:t xml:space="preserve"> The word </w:t>
      </w:r>
      <w:r>
        <w:rPr>
          <w:i/>
          <w:lang w:val="en_US" w:bidi="en_US"/>
        </w:rPr>
        <w:t>last</w:t>
      </w:r>
      <w:r>
        <w:rPr>
          <w:lang w:val="en_US" w:bidi="en_US"/>
        </w:rPr>
        <w:t xml:space="preserve"> here means “last in importance” or “unimportant.” It does not primarily mean last in time or last in line, though it could include the idea that the Gentiles learned about God after the Jews.</w:t>
      </w:r>
    </w:p>
    <w:p>
      <w:pPr/>
      <w:r>
        <w:rPr>
          <w:lang w:val="en_US" w:bidi="en_US"/>
        </w:rPr>
      </w:r>
      <w:r>
        <w:rPr>
          <w:b/>
          <w:lang w:val="en_US" w:bidi="en_US"/>
        </w:rPr>
        <w:t>first:</w:t>
      </w:r>
      <w:r>
        <w:rPr>
          <w:lang w:val="en_US" w:bidi="en_US"/>
        </w:rPr>
        <w:t xml:space="preserve"> The word </w:t>
      </w:r>
      <w:r>
        <w:rPr>
          <w:i/>
          <w:lang w:val="en_US" w:bidi="en_US"/>
        </w:rPr>
        <w:t>first</w:t>
      </w:r>
      <w:r>
        <w:rPr>
          <w:lang w:val="en_US" w:bidi="en_US"/>
        </w:rPr>
        <w:t xml:space="preserve"> here means “important.” It refers to those whom God will favor and honor in his kingdom. It does not primarily refer to being first in time or place. However, it could include the idea that the Jews were the first to know about the true God and hear the gospel of Christ.</w:t>
      </w:r>
    </w:p>
    <w:p>
      <w:pPr>
        <w:pStyle w:val="Heading5"/>
      </w:pPr>
      <w:r>
        <w:rPr>
          <w:lang w:val="en_US" w:bidi="en_US"/>
        </w:rPr>
        <w:t>13:30b</w:t>
      </w:r>
    </w:p>
    <w:p>
      <w:pPr/>
      <w:r>
        <w:rPr>
          <w:lang w:val="en_US" w:bidi="en_US"/>
        </w:rPr>
      </w:r>
      <w:r>
        <w:rPr>
          <w:b/>
          <w:lang w:val="en_US" w:bidi="en_US"/>
        </w:rPr>
        <w:t>and some who are first will be last.”</w:t>
      </w:r>
    </w:p>
    <w:p>
      <w:pPr>
        <w:pStyle w:val="ListBullet"/>
        <w:spacing w:line="240" w:lineRule="auto"/>
        <w:ind w:left="720"/>
      </w:pPr>
      <w:r>
        <w:rPr>
          <w:lang w:val="en_US" w:bidi="en_US"/>
        </w:rPr>
      </w:r>
      <w:r>
        <w:rPr>
          <w:lang w:val="en_US" w:bidi="en_US"/>
        </w:rPr>
        <w:t xml:space="preserve">and </w:t>
      </w:r>
      <w:r>
        <w:rPr>
          <w:lang w:val="en_US" w:bidi="en_US"/>
        </w:rPr>
        <w:t>some people who are now</w:t>
      </w:r>
      <w:r>
        <w:rPr>
          <w:lang w:val="en_US" w:bidi="en_US"/>
        </w:rPr>
        <w:t xml:space="preserve"> first will </w:t>
      </w:r>
      <w:r>
        <w:rPr>
          <w:lang w:val="en_US" w:bidi="en_US"/>
        </w:rPr>
        <w:t>then</w:t>
      </w:r>
      <w:r>
        <w:rPr>
          <w:lang w:val="en_US" w:bidi="en_US"/>
        </w:rPr>
        <w:t xml:space="preserve"> be last.”</w:t>
      </w:r>
    </w:p>
    <w:p>
      <w:pPr>
        <w:pStyle w:val="ListBullet"/>
        <w:spacing w:line="240" w:lineRule="auto"/>
        <w:ind w:left="720"/>
      </w:pPr>
      <w:r>
        <w:rPr>
          <w:lang w:val="en_US" w:bidi="en_US"/>
        </w:rPr>
      </w:r>
      <w:r>
        <w:rPr>
          <w:lang w:val="en_US" w:bidi="en_US"/>
        </w:rPr>
        <w:t xml:space="preserve">And </w:t>
      </w:r>
      <w:r>
        <w:rPr>
          <w:lang w:val="en_US" w:bidi="en_US"/>
        </w:rPr>
        <w:t>many/some of those whom people consider</w:t>
      </w:r>
      <w:r>
        <w:rPr>
          <w:lang w:val="en_US" w:bidi="en_US"/>
        </w:rPr>
        <w:t xml:space="preserve"> to be important </w:t>
      </w:r>
      <w:r>
        <w:rPr>
          <w:lang w:val="en_US" w:bidi="en_US"/>
        </w:rPr>
        <w:t>today</w:t>
      </w:r>
      <w:r>
        <w:rPr>
          <w:lang w:val="en_US" w:bidi="en_US"/>
        </w:rPr>
        <w:t xml:space="preserve">, </w:t>
      </w:r>
      <w:r>
        <w:rPr>
          <w:lang w:val="en_US" w:bidi="en_US"/>
        </w:rPr>
        <w:t>God will consider them</w:t>
      </w:r>
      <w:r>
        <w:rPr>
          <w:lang w:val="en_US" w:bidi="en_US"/>
        </w:rPr>
        <w:t xml:space="preserve"> unimportant </w:t>
      </w:r>
      <w:r>
        <w:rPr>
          <w:lang w:val="en_US" w:bidi="en_US"/>
        </w:rPr>
        <w:t>then</w:t>
      </w:r>
      <w:r>
        <w:rPr>
          <w:lang w:val="en_US" w:bidi="en_US"/>
        </w:rPr>
        <w:t>.”</w:t>
      </w:r>
    </w:p>
    <w:p>
      <w:pPr/>
      <w:r>
        <w:rPr>
          <w:lang w:val="en_US" w:bidi="en_US"/>
        </w:rPr>
      </w:r>
      <w:r>
        <w:rPr>
          <w:b/>
          <w:lang w:val="en_US" w:bidi="en_US"/>
        </w:rPr>
        <w:t>and some who are first will be last:</w:t>
      </w:r>
      <w:r>
        <w:rPr>
          <w:lang w:val="en_US" w:bidi="en_US"/>
        </w:rPr>
        <w:t xml:space="preserve"> This expression is the opposite of 13:30a. It contains implied information from that verse part. In many languages it will be necessary to fill in the implied information. For example:</w:t>
      </w:r>
    </w:p>
    <w:p>
      <w:pPr/>
      <w:r>
        <w:rPr>
          <w:lang w:val="en_US" w:bidi="en_US"/>
        </w:rPr>
      </w:r>
      <w:r>
        <w:rPr>
          <w:lang w:val="en_US" w:bidi="en_US"/>
        </w:rPr>
        <w:t xml:space="preserve">and </w:t>
      </w:r>
      <w:r>
        <w:rPr>
          <w:lang w:val="en_US" w:bidi="en_US"/>
        </w:rPr>
        <w:t>there are those who are</w:t>
      </w:r>
      <w:r>
        <w:rPr>
          <w:lang w:val="en_US" w:bidi="en_US"/>
        </w:rPr>
        <w:t xml:space="preserve"> first now who will be last</w:t>
      </w:r>
    </w:p>
    <w:p>
      <w:pPr/>
      <w:r>
        <w:rPr>
          <w:lang w:val="en_US" w:bidi="en_US"/>
        </w:rPr>
      </w:r>
      <w:r>
        <w:rPr>
          <w:lang w:val="en_US" w:bidi="en_US"/>
        </w:rPr>
        <w:t>Jesus meant that many people who have high status on this earth will have low status in God’s kingdom. God will not give them important positions, even though people considered them important on earth. Other ways to translate this expression are:</w:t>
      </w:r>
    </w:p>
    <w:p>
      <w:pPr/>
      <w:r>
        <w:rPr>
          <w:lang w:val="en_US" w:bidi="en_US"/>
        </w:rPr>
      </w:r>
      <w:r>
        <w:rPr>
          <w:lang w:val="en_US" w:bidi="en_US"/>
        </w:rPr>
        <w:t>and some who are the greatest now will be least important then (NLT)</w:t>
      </w:r>
    </w:p>
    <w:p>
      <w:pPr/>
      <w:r>
        <w:rPr>
          <w:lang w:val="en_US" w:bidi="en_US"/>
        </w:rPr>
      </w:r>
      <w:r>
        <w:rPr>
          <w:lang w:val="en_US" w:bidi="en_US"/>
        </w:rPr>
        <w:t>And there are those who have the highest place now who will have the lowest place in the future (NCV)</w:t>
      </w:r>
    </w:p>
    <w:p>
      <w:pPr/>
      <w:r>
        <w:rPr>
          <w:lang w:val="en_US" w:bidi="en_US"/>
        </w:rPr>
      </w:r>
      <w:r>
        <w:rPr>
          <w:lang w:val="en_US" w:bidi="en_US"/>
        </w:rPr>
        <w:t>You should translate this verse part using terms that correspond to those you used in 13:30a.</w:t>
      </w:r>
      <w:r>
        <w:rPr>
          <w:lang w:val="en_US" w:bidi="en_US"/>
        </w:rPr>
      </w:r>
      <w:r>
        <w:rPr>
          <w:lang w:val="en_US" w:bidi="en_US"/>
        </w:rPr>
      </w:r>
    </w:p>
    <w:p>
      <w:pPr/>
      <w:r>
        <w:rPr>
          <w:lang w:val="en_US" w:bidi="en_US"/>
        </w:rPr>
      </w:r>
    </w:p>
    <w:p>
      <w:pPr>
        <w:pStyle w:val="Heading2"/>
      </w:pPr>
      <w:r>
        <w:rPr>
          <w:lang w:val="en_US" w:bidi="en_US"/>
        </w:rPr>
        <w:t>Luke 13:31</w:t>
      </w:r>
      <w:r>
        <w:rPr>
          <w:lang w:val="en_US" w:bidi="en_US"/>
        </w:rPr>
      </w:r>
    </w:p>
    <w:p>
      <w:pPr>
        <w:pStyle w:val="Heading4"/>
      </w:pPr>
      <w:r>
        <w:rPr>
          <w:lang w:val="en_US" w:bidi="en_US"/>
        </w:rPr>
        <w:t>Section 13:31–35: Jesus grieved for the people in Jerusalem</w:t>
      </w:r>
    </w:p>
    <w:p>
      <w:pPr/>
      <w:r>
        <w:rPr>
          <w:lang w:val="en_US" w:bidi="en_US"/>
        </w:rPr>
      </w:r>
      <w:r>
        <w:rPr>
          <w:lang w:val="en_US" w:bidi="en_US"/>
        </w:rPr>
        <w:t>In this section Jesus spoke about how he would die in Jerusalem, as many other prophets had. He mourned that the people of Jerusalem would not turn to him so that he could save them from the coming destruction.</w:t>
      </w:r>
    </w:p>
    <w:p>
      <w:pPr/>
      <w:r>
        <w:rPr>
          <w:lang w:val="en_US" w:bidi="en_US"/>
        </w:rPr>
      </w:r>
      <w:r>
        <w:rPr>
          <w:lang w:val="en_US" w:bidi="en_US"/>
        </w:rPr>
        <w:t>Some other headings for this section are:</w:t>
      </w:r>
    </w:p>
    <w:p>
      <w:pPr/>
      <w:r>
        <w:rPr>
          <w:lang w:val="en_US" w:bidi="en_US"/>
        </w:rPr>
      </w:r>
      <w:r>
        <w:rPr>
          <w:lang w:val="en_US" w:bidi="en_US"/>
        </w:rPr>
        <w:t>Jesus’ Sorrow for Jerusalem (NIV)</w:t>
      </w:r>
    </w:p>
    <w:p>
      <w:pPr/>
      <w:r>
        <w:rPr>
          <w:lang w:val="en_US" w:bidi="en_US"/>
        </w:rPr>
      </w:r>
      <w:r>
        <w:rPr>
          <w:lang w:val="en_US" w:bidi="en_US"/>
        </w:rPr>
        <w:t>Jesus’ Love for the Residents of Jerusalem</w:t>
      </w:r>
    </w:p>
    <w:p>
      <w:pPr/>
      <w:r>
        <w:rPr>
          <w:lang w:val="en_US" w:bidi="en_US"/>
        </w:rPr>
      </w:r>
      <w:r>
        <w:rPr>
          <w:lang w:val="en_US" w:bidi="en_US"/>
        </w:rPr>
        <w:t>There is a parallel passage for this section in Matthew 23:37–39.</w:t>
      </w:r>
    </w:p>
    <w:p>
      <w:pPr>
        <w:pStyle w:val="Heading4"/>
      </w:pPr>
      <w:r>
        <w:rPr>
          <w:lang w:val="en_US" w:bidi="en_US"/>
        </w:rPr>
        <w:t>Paragraph 13:31–33</w:t>
      </w:r>
    </w:p>
    <w:p>
      <w:pPr/>
      <w:r>
        <w:rPr>
          <w:lang w:val="en_US" w:bidi="en_US"/>
        </w:rPr>
      </w:r>
      <w:r>
        <w:rPr>
          <w:lang w:val="en_US" w:bidi="en_US"/>
        </w:rPr>
        <w:t>In this paragraph some Pharisees warned Jesus that Herod wanted to kill him. Jesus replied that he intended to finish the work he was doing, even though that meant that he would die in Jerusalem.</w:t>
      </w:r>
    </w:p>
    <w:p>
      <w:pPr>
        <w:pStyle w:val="Heading5"/>
      </w:pPr>
      <w:r>
        <w:rPr>
          <w:lang w:val="en_US" w:bidi="en_US"/>
        </w:rPr>
        <w:t>13:31a</w:t>
      </w:r>
    </w:p>
    <w:p>
      <w:pPr/>
      <w:r>
        <w:rPr>
          <w:lang w:val="en_US" w:bidi="en_US"/>
        </w:rPr>
      </w:r>
      <w:r>
        <w:rPr>
          <w:b/>
          <w:lang w:val="en_US" w:bidi="en_US"/>
        </w:rPr>
        <w:t>At that very hour, some Pharisees came to Jesus and told Him,</w:t>
      </w:r>
    </w:p>
    <w:p>
      <w:pPr>
        <w:pStyle w:val="ListBullet"/>
        <w:spacing w:line="240" w:lineRule="auto"/>
        <w:ind w:left="720"/>
      </w:pPr>
      <w:r>
        <w:rPr>
          <w:lang w:val="en_US" w:bidi="en_US"/>
        </w:rPr>
      </w:r>
      <w:r>
        <w:rPr>
          <w:lang w:val="en_US" w:bidi="en_US"/>
        </w:rPr>
        <w:t>¶ Just then some Pharisees arrived and said to Jesus,</w:t>
      </w:r>
    </w:p>
    <w:p>
      <w:pPr/>
      <w:r>
        <w:rPr>
          <w:lang w:val="en_US" w:bidi="en_US"/>
        </w:rPr>
      </w:r>
      <w:r>
        <w:rPr>
          <w:b/>
          <w:lang w:val="en_US" w:bidi="en_US"/>
        </w:rPr>
        <w:t>At that very hour:</w:t>
      </w:r>
      <w:r>
        <w:rPr>
          <w:lang w:val="en_US" w:bidi="en_US"/>
        </w:rPr>
        <w:t xml:space="preserve"> The Greek expression that the BSB translates literally as </w:t>
      </w:r>
      <w:r>
        <w:rPr>
          <w:i/>
          <w:lang w:val="en_US" w:bidi="en_US"/>
        </w:rPr>
        <w:t>At that very hour</w:t>
      </w:r>
      <w:r>
        <w:rPr>
          <w:lang w:val="en_US" w:bidi="en_US"/>
        </w:rPr>
        <w:t xml:space="preserve"> means that the Pharisees came to Jesus immediately after he taught in 13:24–30. One way to express this is:</w:t>
      </w:r>
    </w:p>
    <w:p>
      <w:pPr/>
      <w:r>
        <w:rPr>
          <w:lang w:val="en_US" w:bidi="en_US"/>
        </w:rPr>
      </w:r>
      <w:r>
        <w:rPr>
          <w:lang w:val="en_US" w:bidi="en_US"/>
        </w:rPr>
        <w:t>Right when Jesus said that</w:t>
      </w:r>
    </w:p>
    <w:p>
      <w:pPr/>
      <w:r>
        <w:rPr>
          <w:lang w:val="en_US" w:bidi="en_US"/>
        </w:rPr>
      </w:r>
      <w:r>
        <w:rPr>
          <w:b/>
          <w:lang w:val="en_US" w:bidi="en_US"/>
        </w:rPr>
        <w:t>some Pharisees:</w:t>
      </w:r>
      <w:r>
        <w:rPr>
          <w:lang w:val="en_US" w:bidi="en_US"/>
        </w:rPr>
        <w:t xml:space="preserve"> </w:t>
      </w:r>
      <w:r>
        <w:rPr>
          <w:i/>
          <w:lang w:val="en_US" w:bidi="en_US"/>
        </w:rPr>
        <w:t>Pharisees</w:t>
      </w:r>
      <w:r>
        <w:rPr>
          <w:lang w:val="en_US" w:bidi="en_US"/>
        </w:rPr>
        <w:t xml:space="preserve"> were members of a Jewish religious group or party. It was very important to them to obey all of the Jewish religious laws. They were generally opposed to Jesus. These particular Pharisees may have been sincere in warning Jesus about the danger he was in or they may have simply wanted him to leave the area.</w:t>
      </w:r>
    </w:p>
    <w:p>
      <w:pPr/>
      <w:r>
        <w:rPr>
          <w:lang w:val="en_US" w:bidi="en_US"/>
        </w:rPr>
      </w:r>
      <w:r>
        <w:rPr>
          <w:lang w:val="en_US" w:bidi="en_US"/>
        </w:rPr>
        <w:t xml:space="preserve">Here are some ways to translate the word </w:t>
      </w:r>
      <w:r>
        <w:rPr>
          <w:i/>
          <w:lang w:val="en_US" w:bidi="en_US"/>
        </w:rPr>
        <w:t>Pharisees</w:t>
      </w:r>
      <w:r>
        <w:rPr>
          <w:lang w:val="en_US" w:bidi="en_US"/>
        </w:rPr>
        <w:t>:</w:t>
      </w:r>
    </w:p>
    <w:p>
      <w:pPr>
        <w:pStyle w:val="ListBullet"/>
        <w:spacing w:line="240" w:lineRule="auto"/>
        <w:ind w:left="720"/>
      </w:pPr>
      <w:r>
        <w:rPr>
          <w:lang w:val="en_US" w:bidi="en_US"/>
        </w:rPr>
      </w:r>
      <w:r>
        <w:rPr>
          <w:lang w:val="en_US" w:bidi="en_US"/>
        </w:rPr>
        <w:t>Transliterate the word according to the sounds of your language and indicate that it refers to a person. For example:</w:t>
      </w:r>
      <w:r>
        <w:rPr>
          <w:lang w:val="en_US" w:bidi="en_US"/>
        </w:rPr>
        <w:t>Farisi members</w:t>
      </w:r>
      <w:r>
        <w:rPr>
          <w:lang w:val="en_US" w:bidi="en_US"/>
        </w:rPr>
        <w:t>Parise adherents</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Farise religious sect/group</w:t>
      </w:r>
      <w:r>
        <w:rPr>
          <w:lang w:val="en_US" w:bidi="en_US"/>
        </w:rPr>
        <w:t>members of the religious group called the Farasi</w:t>
      </w:r>
    </w:p>
    <w:p>
      <w:pPr/>
      <w:r>
        <w:rPr>
          <w:lang w:val="en_US" w:bidi="en_US"/>
        </w:rPr>
      </w:r>
      <w:r>
        <w:rPr>
          <w:lang w:val="en_US" w:bidi="en_US"/>
        </w:rPr>
        <w:t>This word first occurs in 5:17b.</w:t>
      </w:r>
    </w:p>
    <w:p>
      <w:pPr>
        <w:pStyle w:val="Heading5"/>
      </w:pPr>
      <w:r>
        <w:rPr>
          <w:lang w:val="en_US" w:bidi="en_US"/>
        </w:rPr>
        <w:t>13:31b</w:t>
      </w:r>
    </w:p>
    <w:p>
      <w:pPr/>
      <w:r>
        <w:rPr>
          <w:lang w:val="en_US" w:bidi="en_US"/>
        </w:rPr>
      </w:r>
      <w:r>
        <w:rPr>
          <w:b/>
          <w:lang w:val="en_US" w:bidi="en_US"/>
        </w:rPr>
        <w:t>“Leave this place and get away,</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leave here and go to a different place,</w:t>
      </w:r>
    </w:p>
    <w:p>
      <w:pPr>
        <w:pStyle w:val="ListBullet"/>
        <w:spacing w:line="240" w:lineRule="auto"/>
        <w:ind w:left="720"/>
      </w:pPr>
      <w:r>
        <w:rPr>
          <w:lang w:val="en_US" w:bidi="en_US"/>
        </w:rPr>
      </w:r>
      <w:r>
        <w:rPr>
          <w:lang w:val="en_US" w:bidi="en_US"/>
        </w:rPr>
        <w:t>“</w:t>
      </w:r>
      <w:r>
        <w:rPr>
          <w:lang w:val="en_US" w:bidi="en_US"/>
        </w:rPr>
        <w:t>We</w:t>
      </w:r>
      <w:r>
        <w:rPr>
          <w:vertAlign w:val="superscript"/>
          <w:lang w:val="en_US" w:bidi="en_US"/>
        </w:rPr>
        <w:t>(excl)</w:t>
      </w:r>
      <w:r>
        <w:rPr>
          <w:lang w:val="en_US" w:bidi="en_US"/>
        </w:rPr>
        <w:t xml:space="preserve"> </w:t>
      </w:r>
      <w:r>
        <w:rPr>
          <w:lang w:val="en_US" w:bidi="en_US"/>
        </w:rPr>
        <w:t>advise you</w:t>
      </w:r>
      <w:r>
        <w:rPr>
          <w:vertAlign w:val="superscript"/>
          <w:lang w:val="en_US" w:bidi="en_US"/>
        </w:rPr>
        <w:t>(sing)</w:t>
      </w:r>
      <w:r>
        <w:rPr>
          <w:lang w:val="en_US" w:bidi="en_US"/>
        </w:rPr>
        <w:t xml:space="preserve"> </w:t>
      </w:r>
      <w:r>
        <w:rPr>
          <w:lang w:val="en_US" w:bidi="en_US"/>
        </w:rPr>
        <w:t>to</w:t>
      </w:r>
      <w:r>
        <w:rPr>
          <w:lang w:val="en_US" w:bidi="en_US"/>
        </w:rPr>
        <w:t xml:space="preserve"> go away from here,</w:t>
      </w:r>
    </w:p>
    <w:p>
      <w:pPr/>
      <w:r>
        <w:rPr>
          <w:lang w:val="en_US" w:bidi="en_US"/>
        </w:rPr>
      </w:r>
      <w:r>
        <w:rPr>
          <w:b/>
          <w:lang w:val="en_US" w:bidi="en_US"/>
        </w:rPr>
        <w:t>Leave this place and get away:</w:t>
      </w:r>
      <w:r>
        <w:rPr>
          <w:lang w:val="en_US" w:bidi="en_US"/>
        </w:rPr>
        <w:t xml:space="preserve"> In some languages it may be more natural to combine these two clauses into one, as the RSV has done:</w:t>
      </w:r>
    </w:p>
    <w:p>
      <w:pPr/>
      <w:r>
        <w:rPr>
          <w:lang w:val="en_US" w:bidi="en_US"/>
        </w:rPr>
      </w:r>
      <w:r>
        <w:rPr>
          <w:lang w:val="en_US" w:bidi="en_US"/>
        </w:rPr>
        <w:t>Get away from here.</w:t>
      </w:r>
    </w:p>
    <w:p>
      <w:pPr/>
      <w:r>
        <w:rPr>
          <w:lang w:val="en_US" w:bidi="en_US"/>
        </w:rPr>
      </w:r>
      <w:r>
        <w:rPr>
          <w:lang w:val="en_US" w:bidi="en_US"/>
        </w:rPr>
        <w:t>Notice that the Pharisees were advising Jesus about how he could keep himself safe. The BSB has translated this verse part as a command, as do other versions such as the RSV, but you should consider how a courteous warning is normally expressed in your language. In some languages it may be more natural to say:</w:t>
      </w:r>
    </w:p>
    <w:p>
      <w:pPr/>
      <w:r>
        <w:rPr>
          <w:lang w:val="en_US" w:bidi="en_US"/>
        </w:rPr>
      </w:r>
      <w:r>
        <w:rPr>
          <w:lang w:val="en_US" w:bidi="en_US"/>
        </w:rPr>
        <w:t>We advise you to leave here and go to a different place.</w:t>
      </w:r>
    </w:p>
    <w:p>
      <w:pPr>
        <w:pStyle w:val="Heading5"/>
      </w:pPr>
      <w:r>
        <w:rPr>
          <w:lang w:val="en_US" w:bidi="en_US"/>
        </w:rPr>
        <w:t>13:31c</w:t>
      </w:r>
    </w:p>
    <w:p>
      <w:pPr/>
      <w:r>
        <w:rPr>
          <w:lang w:val="en_US" w:bidi="en_US"/>
        </w:rPr>
      </w:r>
      <w:r>
        <w:rPr>
          <w:b/>
          <w:lang w:val="en_US" w:bidi="en_US"/>
        </w:rPr>
        <w:t>because Herod wants to kill You.”</w:t>
      </w:r>
    </w:p>
    <w:p>
      <w:pPr>
        <w:pStyle w:val="ListBullet"/>
        <w:spacing w:line="240" w:lineRule="auto"/>
        <w:ind w:left="720"/>
      </w:pPr>
      <w:r>
        <w:rPr>
          <w:lang w:val="en_US" w:bidi="en_US"/>
        </w:rPr>
      </w:r>
      <w:r>
        <w:rPr>
          <w:lang w:val="en_US" w:bidi="en_US"/>
        </w:rPr>
        <w:t xml:space="preserve">because </w:t>
      </w:r>
      <w:r>
        <w:rPr>
          <w:lang w:val="en_US" w:bidi="en_US"/>
        </w:rPr>
        <w:t>Governor</w:t>
      </w:r>
      <w:r>
        <w:rPr>
          <w:lang w:val="en_US" w:bidi="en_US"/>
        </w:rPr>
        <w:t xml:space="preserve"> Herod is planning to kill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because Herod intends/wants to have you killed.”</w:t>
      </w:r>
    </w:p>
    <w:p>
      <w:pPr/>
      <w:r>
        <w:rPr>
          <w:lang w:val="en_US" w:bidi="en_US"/>
        </w:rPr>
      </w:r>
      <w:r>
        <w:rPr>
          <w:b/>
          <w:lang w:val="en_US" w:bidi="en_US"/>
        </w:rPr>
        <w:t>because:</w:t>
      </w:r>
      <w:r>
        <w:rPr>
          <w:lang w:val="en_US" w:bidi="en_US"/>
        </w:rPr>
        <w:t xml:space="preserve"> In Greek, 13:31c begins with a conjunction that the BSB translates as </w:t>
      </w:r>
      <w:r>
        <w:rPr>
          <w:i/>
          <w:lang w:val="en_US" w:bidi="en_US"/>
        </w:rPr>
        <w:t>because</w:t>
      </w:r>
      <w:r>
        <w:rPr>
          <w:lang w:val="en_US" w:bidi="en_US"/>
        </w:rPr>
        <w:t>. It introduces the reason for the advice in the previous verse part. Another way to translate this is:</w:t>
      </w:r>
    </w:p>
    <w:p>
      <w:pPr/>
      <w:r>
        <w:rPr>
          <w:lang w:val="en_US" w:bidi="en_US"/>
        </w:rPr>
      </w:r>
      <w:r>
        <w:rPr>
          <w:lang w:val="en_US" w:bidi="en_US"/>
        </w:rPr>
        <w:t>for (RSV)</w:t>
      </w:r>
    </w:p>
    <w:p>
      <w:pPr/>
      <w:r>
        <w:rPr>
          <w:lang w:val="en_US" w:bidi="en_US"/>
        </w:rPr>
      </w:r>
      <w:r>
        <w:rPr>
          <w:b/>
          <w:lang w:val="en_US" w:bidi="en_US"/>
        </w:rPr>
        <w:t>Herod:</w:t>
      </w:r>
      <w:r>
        <w:rPr>
          <w:lang w:val="en_US" w:bidi="en_US"/>
        </w:rPr>
        <w:t xml:space="preserve"> The Pharisees were referring here to Herod Antipas, the governor/ruler of Galilee. See the note on 9:7a. In some languages it may be necessary to specify who Herod was. For example:</w:t>
      </w:r>
    </w:p>
    <w:p>
      <w:pPr/>
      <w:r>
        <w:rPr>
          <w:lang w:val="en_US" w:bidi="en_US"/>
        </w:rPr>
      </w:r>
      <w:r>
        <w:rPr>
          <w:lang w:val="en_US" w:bidi="en_US"/>
        </w:rPr>
        <w:t>Herod Antipas (NLT)</w:t>
      </w:r>
    </w:p>
    <w:p>
      <w:pPr/>
      <w:r>
        <w:rPr>
          <w:lang w:val="en_US" w:bidi="en_US"/>
        </w:rPr>
      </w:r>
      <w:r>
        <w:rPr>
          <w:lang w:val="en_US" w:bidi="en_US"/>
        </w:rPr>
        <w:t>Governor Herod</w:t>
      </w:r>
    </w:p>
    <w:p>
      <w:pPr/>
      <w:r>
        <w:rPr>
          <w:lang w:val="en_US" w:bidi="en_US"/>
        </w:rPr>
      </w:r>
      <w:r>
        <w:rPr>
          <w:lang w:val="en_US" w:bidi="en_US"/>
        </w:rPr>
        <w:t>However, when the Pharisees spoke to Jesus, there was no confusion about which Herod they meant. In some translations it may be better to put this information in a footnote or include a cross-reference to 9:7.</w:t>
      </w:r>
    </w:p>
    <w:p>
      <w:pPr/>
      <w:r>
        <w:rPr>
          <w:lang w:val="en_US" w:bidi="en_US"/>
        </w:rPr>
      </w:r>
      <w:r>
        <w:rPr>
          <w:b/>
          <w:lang w:val="en_US" w:bidi="en_US"/>
        </w:rPr>
        <w:t>wants to kill You:</w:t>
      </w:r>
      <w:r>
        <w:rPr>
          <w:lang w:val="en_US" w:bidi="en_US"/>
        </w:rPr>
        <w:t xml:space="preserve"> This phrase means “desires/intends/plans to have you killed.”</w:t>
      </w:r>
      <w:r>
        <w:rPr>
          <w:lang w:val="en_US" w:bidi="en_US"/>
        </w:rPr>
      </w:r>
      <w:r>
        <w:rPr>
          <w:lang w:val="en_US" w:bidi="en_US"/>
        </w:rPr>
      </w:r>
    </w:p>
    <w:p>
      <w:pPr/>
      <w:r>
        <w:rPr>
          <w:lang w:val="en_US" w:bidi="en_US"/>
        </w:rPr>
      </w:r>
    </w:p>
    <w:p>
      <w:pPr>
        <w:pStyle w:val="Heading2"/>
      </w:pPr>
      <w:r>
        <w:rPr>
          <w:lang w:val="en_US" w:bidi="en_US"/>
        </w:rPr>
        <w:t>Luke 13:32</w:t>
      </w:r>
      <w:r>
        <w:rPr>
          <w:lang w:val="en_US" w:bidi="en_US"/>
        </w:rPr>
      </w:r>
    </w:p>
    <w:p>
      <w:pPr>
        <w:pStyle w:val="Heading4"/>
      </w:pPr>
      <w:r>
        <w:rPr>
          <w:lang w:val="en_US" w:bidi="en_US"/>
        </w:rPr>
        <w:t>Section 13:31–35: Jesus grieved for the people in Jerusalem</w:t>
      </w:r>
    </w:p>
    <w:p>
      <w:pPr/>
      <w:r>
        <w:rPr>
          <w:lang w:val="en_US" w:bidi="en_US"/>
        </w:rPr>
      </w:r>
      <w:r>
        <w:rPr>
          <w:lang w:val="en_US" w:bidi="en_US"/>
        </w:rPr>
        <w:t>In this section Jesus spoke about how he would die in Jerusalem, as many other prophets had. He mourned that the people of Jerusalem would not turn to him so that he could save them from the coming destruction.</w:t>
      </w:r>
    </w:p>
    <w:p>
      <w:pPr/>
      <w:r>
        <w:rPr>
          <w:lang w:val="en_US" w:bidi="en_US"/>
        </w:rPr>
      </w:r>
      <w:r>
        <w:rPr>
          <w:lang w:val="en_US" w:bidi="en_US"/>
        </w:rPr>
        <w:t>Some other headings for this section are:</w:t>
      </w:r>
    </w:p>
    <w:p>
      <w:pPr/>
      <w:r>
        <w:rPr>
          <w:lang w:val="en_US" w:bidi="en_US"/>
        </w:rPr>
      </w:r>
      <w:r>
        <w:rPr>
          <w:lang w:val="en_US" w:bidi="en_US"/>
        </w:rPr>
        <w:t>Jesus’ Sorrow for Jerusalem (NIV)</w:t>
      </w:r>
    </w:p>
    <w:p>
      <w:pPr/>
      <w:r>
        <w:rPr>
          <w:lang w:val="en_US" w:bidi="en_US"/>
        </w:rPr>
      </w:r>
      <w:r>
        <w:rPr>
          <w:lang w:val="en_US" w:bidi="en_US"/>
        </w:rPr>
        <w:t>Jesus’ Love for the Residents of Jerusalem</w:t>
      </w:r>
    </w:p>
    <w:p>
      <w:pPr/>
      <w:r>
        <w:rPr>
          <w:lang w:val="en_US" w:bidi="en_US"/>
        </w:rPr>
      </w:r>
      <w:r>
        <w:rPr>
          <w:lang w:val="en_US" w:bidi="en_US"/>
        </w:rPr>
        <w:t>There is a parallel passage for this section in Matthew 23:37–39.</w:t>
      </w:r>
    </w:p>
    <w:p>
      <w:pPr>
        <w:pStyle w:val="Heading4"/>
      </w:pPr>
      <w:r>
        <w:rPr>
          <w:lang w:val="en_US" w:bidi="en_US"/>
        </w:rPr>
        <w:t>Paragraph 13:31–33</w:t>
      </w:r>
    </w:p>
    <w:p>
      <w:pPr/>
      <w:r>
        <w:rPr>
          <w:lang w:val="en_US" w:bidi="en_US"/>
        </w:rPr>
      </w:r>
      <w:r>
        <w:rPr>
          <w:lang w:val="en_US" w:bidi="en_US"/>
        </w:rPr>
        <w:t>In this paragraph some Pharisees warned Jesus that Herod wanted to kill him. Jesus replied that he intended to finish the work he was doing, even though that meant that he would die in Jerusalem.</w:t>
      </w:r>
    </w:p>
    <w:p>
      <w:pPr>
        <w:pStyle w:val="Heading5"/>
      </w:pPr>
      <w:r>
        <w:rPr>
          <w:lang w:val="en_US" w:bidi="en_US"/>
        </w:rPr>
        <w:t>13:32a</w:t>
      </w:r>
    </w:p>
    <w:p>
      <w:pPr/>
      <w:r>
        <w:rPr>
          <w:lang w:val="en_US" w:bidi="en_US"/>
        </w:rPr>
      </w:r>
      <w:r>
        <w:rPr>
          <w:b/>
          <w:lang w:val="en_US" w:bidi="en_US"/>
        </w:rPr>
        <w:t>But Jesus replied, “Go tell that fox,</w:t>
      </w:r>
    </w:p>
    <w:p>
      <w:pPr>
        <w:pStyle w:val="ListBullet"/>
        <w:spacing w:line="240" w:lineRule="auto"/>
        <w:ind w:left="720"/>
      </w:pPr>
      <w:r>
        <w:rPr>
          <w:lang w:val="en_US" w:bidi="en_US"/>
        </w:rPr>
      </w:r>
      <w:r>
        <w:rPr>
          <w:lang w:val="en_US" w:bidi="en_US"/>
        </w:rPr>
        <w:t xml:space="preserve">Jesus replied, “Go to Herod and speak this message to that </w:t>
      </w:r>
      <w:r>
        <w:rPr>
          <w:lang w:val="en_US" w:bidi="en_US"/>
        </w:rPr>
        <w:t>sly</w:t>
      </w:r>
      <w:r>
        <w:rPr>
          <w:lang w:val="en_US" w:bidi="en_US"/>
        </w:rPr>
        <w:t xml:space="preserve"> fox:</w:t>
      </w:r>
    </w:p>
    <w:p>
      <w:pPr>
        <w:pStyle w:val="ListBullet"/>
        <w:spacing w:line="240" w:lineRule="auto"/>
        <w:ind w:left="720"/>
      </w:pPr>
      <w:r>
        <w:rPr>
          <w:lang w:val="en_US" w:bidi="en_US"/>
        </w:rPr>
      </w:r>
      <w:r>
        <w:rPr>
          <w:lang w:val="en_US" w:bidi="en_US"/>
        </w:rPr>
        <w:t>Jesus said to them, “You</w:t>
      </w:r>
      <w:r>
        <w:rPr>
          <w:vertAlign w:val="superscript"/>
          <w:lang w:val="en_US" w:bidi="en_US"/>
        </w:rPr>
        <w:t>(plur)</w:t>
      </w:r>
      <w:r>
        <w:rPr>
          <w:lang w:val="en_US" w:bidi="en_US"/>
        </w:rPr>
        <w:t xml:space="preserve"> go </w:t>
      </w:r>
      <w:r>
        <w:rPr>
          <w:lang w:val="en_US" w:bidi="en_US"/>
        </w:rPr>
        <w:t>back</w:t>
      </w:r>
      <w:r>
        <w:rPr>
          <w:lang w:val="en_US" w:bidi="en_US"/>
        </w:rPr>
        <w:t xml:space="preserve"> to that cunning/crafty man and tell him</w:t>
      </w:r>
    </w:p>
    <w:p>
      <w:pPr/>
      <w:r>
        <w:rPr>
          <w:lang w:val="en_US" w:bidi="en_US"/>
        </w:rPr>
      </w:r>
      <w:r>
        <w:rPr>
          <w:b/>
          <w:lang w:val="en_US" w:bidi="en_US"/>
        </w:rPr>
        <w:t>But Jesus replied, “Go tell that fox…”:</w:t>
      </w:r>
      <w:r>
        <w:rPr>
          <w:lang w:val="en_US" w:bidi="en_US"/>
        </w:rPr>
        <w:t xml:space="preserve"> Jesus was telling the Pharisees to take a message from him to Herod. The message that follows is in the form of a quotation within a quotation. If this is not a natural way to give people a message for someone else in your language, consider expressing one of the direct quotations as an indirect quotation. For example:</w:t>
      </w:r>
    </w:p>
    <w:p>
      <w:pPr/>
      <w:r>
        <w:rPr>
          <w:lang w:val="en_US" w:bidi="en_US"/>
        </w:rPr>
      </w:r>
      <w:r>
        <w:rPr>
          <w:lang w:val="en_US" w:bidi="en_US"/>
        </w:rPr>
        <w:t>Jesus told them, “Go tell Herod, that fox, that I will…”</w:t>
      </w:r>
    </w:p>
    <w:p>
      <w:pPr/>
      <w:r>
        <w:rPr>
          <w:lang w:val="en_US" w:bidi="en_US"/>
        </w:rPr>
      </w:r>
      <w:r>
        <w:rPr>
          <w:b/>
          <w:lang w:val="en_US" w:bidi="en_US"/>
        </w:rPr>
        <w:t>that fox:</w:t>
      </w:r>
      <w:r>
        <w:rPr>
          <w:lang w:val="en_US" w:bidi="en_US"/>
        </w:rPr>
        <w:t xml:space="preserve"> This is a metaphor. Many scholars think that Jesus referred to Herod as a </w:t>
      </w:r>
      <w:r>
        <w:rPr>
          <w:i/>
          <w:lang w:val="en_US" w:bidi="en_US"/>
        </w:rPr>
        <w:t>fox</w:t>
      </w:r>
      <w:r>
        <w:rPr>
          <w:lang w:val="en_US" w:bidi="en_US"/>
        </w:rPr>
        <w:t xml:space="preserve"> because he was cunning or crafty.</w:t>
      </w:r>
      <w:r>
        <w:rPr>
          <w:lang w:val="en_US" w:bidi="en_US"/>
        </w:rPr>
        <w:t>A few scholars think that the point of similarity was (a) insignificance/cowardliness (Creed, Tolbert), (b) destructiveness (Bock, Leaney), or (c) a combination of traits, e.g., cunning but cowardly (Geldenhuys, Green, Pate, Robertson, Nolland).</w:t>
      </w:r>
      <w:r>
        <w:rPr>
          <w:lang w:val="en_US" w:bidi="en_US"/>
        </w:rPr>
        <w:t xml:space="preserve"> In some languages it is not natural to use a metaphor in this way. In some cultures foxes may be unknown or people may not think of them as cunning or sly. If any of these are true in your language, here are some translation options:</w:t>
      </w:r>
    </w:p>
    <w:p>
      <w:pPr>
        <w:pStyle w:val="ListBullet"/>
        <w:spacing w:line="240" w:lineRule="auto"/>
        <w:ind w:left="720"/>
      </w:pPr>
      <w:r>
        <w:rPr>
          <w:lang w:val="en_US" w:bidi="en_US"/>
        </w:rPr>
      </w:r>
      <w:r>
        <w:rPr>
          <w:lang w:val="en_US" w:bidi="en_US"/>
        </w:rPr>
        <w:t>Supply the point of similarity. For example:</w:t>
      </w:r>
      <w:r>
        <w:rPr>
          <w:lang w:val="en_US" w:bidi="en_US"/>
        </w:rPr>
        <w:t>sly</w:t>
      </w:r>
      <w:r>
        <w:rPr>
          <w:lang w:val="en_US" w:bidi="en_US"/>
        </w:rPr>
        <w:t xml:space="preserve"> fox</w:t>
      </w:r>
    </w:p>
    <w:p>
      <w:pPr>
        <w:pStyle w:val="ListBullet"/>
        <w:spacing w:line="240" w:lineRule="auto"/>
        <w:ind w:left="720"/>
      </w:pPr>
      <w:r>
        <w:rPr>
          <w:lang w:val="en_US" w:bidi="en_US"/>
        </w:rPr>
      </w:r>
      <w:r>
        <w:rPr>
          <w:lang w:val="en_US" w:bidi="en_US"/>
        </w:rPr>
        <w:t>Use a term in your language for a local animal that is regarded as sly or crafty. Choose an animal that is as similar to a fox as possible. For example:</w:t>
      </w:r>
      <w:r>
        <w:rPr>
          <w:lang w:val="en_US" w:bidi="en_US"/>
        </w:rPr>
        <w:t>coyote/jackal</w:t>
      </w:r>
      <w:r>
        <w:rPr>
          <w:lang w:val="en_US" w:bidi="en_US"/>
        </w:rPr>
        <w:t>wild dog</w:t>
      </w:r>
      <w:r>
        <w:rPr>
          <w:lang w:val="en_US" w:bidi="en_US"/>
        </w:rPr>
        <w:t>civet cat</w:t>
      </w:r>
    </w:p>
    <w:p>
      <w:pPr>
        <w:pStyle w:val="ListBullet"/>
        <w:spacing w:line="240" w:lineRule="auto"/>
        <w:ind w:left="720"/>
      </w:pPr>
      <w:r>
        <w:rPr>
          <w:lang w:val="en_US" w:bidi="en_US"/>
        </w:rPr>
      </w:r>
      <w:r>
        <w:rPr>
          <w:lang w:val="en_US" w:bidi="en_US"/>
        </w:rPr>
        <w:t>Change the metaphor to a simile. Use a local animal and/or supply the point of similarity if necessary. For example:</w:t>
      </w:r>
      <w:r>
        <w:rPr>
          <w:lang w:val="en_US" w:bidi="en_US"/>
        </w:rPr>
        <w:t xml:space="preserve">That Herod is like a </w:t>
      </w:r>
      <w:r>
        <w:rPr>
          <w:lang w:val="en_US" w:bidi="en_US"/>
        </w:rPr>
        <w:t>sly</w:t>
      </w:r>
      <w:r>
        <w:rPr>
          <w:lang w:val="en_US" w:bidi="en_US"/>
        </w:rPr>
        <w:t xml:space="preserve"> fox/jackal! Go tell him…</w:t>
      </w:r>
    </w:p>
    <w:p>
      <w:pPr>
        <w:pStyle w:val="ListBullet"/>
        <w:spacing w:line="240" w:lineRule="auto"/>
        <w:ind w:left="720"/>
      </w:pPr>
      <w:r>
        <w:rPr>
          <w:lang w:val="en_US" w:bidi="en_US"/>
        </w:rPr>
      </w:r>
      <w:r>
        <w:rPr>
          <w:lang w:val="en_US" w:bidi="en_US"/>
        </w:rPr>
        <w:t>Translate the meaning without a figure of speech. For example:</w:t>
      </w:r>
      <w:r>
        <w:rPr>
          <w:lang w:val="en_US" w:bidi="en_US"/>
        </w:rPr>
        <w:t>that cunning/sly man</w:t>
      </w:r>
    </w:p>
    <w:p>
      <w:pPr/>
      <w:r>
        <w:rPr>
          <w:lang w:val="en_US" w:bidi="en_US"/>
        </w:rPr>
      </w:r>
      <w:r>
        <w:rPr>
          <w:lang w:val="en_US" w:bidi="en_US"/>
        </w:rPr>
        <w:t>The word “foxes” occurs in 9:58a, but the point of that verse is that foxes have burrows to live in. If you used a general term or a local equivalent in 9:58a, you may not be able to use the same term here.</w:t>
      </w:r>
    </w:p>
    <w:p>
      <w:pPr>
        <w:pStyle w:val="Heading5"/>
      </w:pPr>
      <w:r>
        <w:rPr>
          <w:lang w:val="en_US" w:bidi="en_US"/>
        </w:rPr>
        <w:t>13:32b</w:t>
      </w:r>
    </w:p>
    <w:p>
      <w:pPr/>
      <w:r>
        <w:rPr>
          <w:lang w:val="en_US" w:bidi="en_US"/>
        </w:rPr>
      </w:r>
      <w:r>
        <w:rPr>
          <w:b/>
          <w:lang w:val="en_US" w:bidi="en_US"/>
        </w:rPr>
        <w:t>‘Look, I will keep driving out demons and healing people today and tomorrow,</w:t>
      </w:r>
    </w:p>
    <w:p>
      <w:pPr>
        <w:pStyle w:val="ListBullet"/>
        <w:spacing w:line="240" w:lineRule="auto"/>
        <w:ind w:left="720"/>
      </w:pPr>
      <w:r>
        <w:rPr>
          <w:lang w:val="en_US" w:bidi="en_US"/>
        </w:rPr>
      </w:r>
      <w:r>
        <w:rPr>
          <w:lang w:val="en_US" w:bidi="en_US"/>
        </w:rPr>
        <w:t>‘Listen. Today and the next day I will continue to expel demons and to heal people,</w:t>
      </w:r>
    </w:p>
    <w:p>
      <w:pPr>
        <w:pStyle w:val="ListBullet"/>
        <w:spacing w:line="240" w:lineRule="auto"/>
        <w:ind w:left="720"/>
      </w:pPr>
      <w:r>
        <w:rPr>
          <w:lang w:val="en_US" w:bidi="en_US"/>
        </w:rPr>
      </w:r>
      <w:r>
        <w:rPr>
          <w:lang w:val="en_US" w:bidi="en_US"/>
        </w:rPr>
        <w:t xml:space="preserve">that I will continue to cast demons out </w:t>
      </w:r>
      <w:r>
        <w:rPr>
          <w:lang w:val="en_US" w:bidi="en_US"/>
        </w:rPr>
        <w:t>of people</w:t>
      </w:r>
      <w:r>
        <w:rPr>
          <w:lang w:val="en_US" w:bidi="en_US"/>
        </w:rPr>
        <w:t xml:space="preserve"> and heal people for a short while.</w:t>
      </w:r>
    </w:p>
    <w:p>
      <w:pPr/>
      <w:r>
        <w:rPr>
          <w:lang w:val="en_US" w:bidi="en_US"/>
        </w:rPr>
      </w:r>
      <w:r>
        <w:rPr>
          <w:b/>
          <w:lang w:val="en_US" w:bidi="en_US"/>
        </w:rPr>
        <w:t>Look:</w:t>
      </w:r>
      <w:r>
        <w:rPr>
          <w:lang w:val="en_US" w:bidi="en_US"/>
        </w:rPr>
        <w:t xml:space="preserve"> In Greek the quote in this verse begins with a word that the BSB translates as </w:t>
      </w:r>
      <w:r>
        <w:rPr>
          <w:i/>
          <w:lang w:val="en_US" w:bidi="en_US"/>
        </w:rPr>
        <w:t>Look</w:t>
      </w:r>
      <w:r>
        <w:rPr>
          <w:lang w:val="en_US" w:bidi="en_US"/>
        </w:rPr>
        <w:t>. It introduces something that is important or unexpected and indicates that the listener should give it special attention. Consider whether there is an expression in your language that has a similar function.</w:t>
      </w:r>
    </w:p>
    <w:p>
      <w:pPr/>
      <w:r>
        <w:rPr>
          <w:lang w:val="en_US" w:bidi="en_US"/>
        </w:rPr>
      </w:r>
      <w:r>
        <w:rPr>
          <w:lang w:val="en_US" w:bidi="en_US"/>
        </w:rPr>
        <w:t>This Greek word is not easy to translate into English in this context, so some English versions do not translate it here. Other ways to translate this are:</w:t>
      </w:r>
    </w:p>
    <w:p>
      <w:pPr/>
      <w:r>
        <w:rPr>
          <w:lang w:val="en_US" w:bidi="en_US"/>
        </w:rPr>
      </w:r>
      <w:r>
        <w:rPr>
          <w:lang w:val="en_US" w:bidi="en_US"/>
        </w:rPr>
        <w:t>Behold (RSV)</w:t>
      </w:r>
    </w:p>
    <w:p>
      <w:pPr/>
      <w:r>
        <w:rPr>
          <w:lang w:val="en_US" w:bidi="en_US"/>
        </w:rPr>
      </w:r>
      <w:r>
        <w:rPr>
          <w:lang w:val="en_US" w:bidi="en_US"/>
        </w:rPr>
        <w:t>See (NLV)</w:t>
      </w:r>
    </w:p>
    <w:p>
      <w:pPr/>
      <w:r>
        <w:rPr>
          <w:lang w:val="en_US" w:bidi="en_US"/>
        </w:rPr>
      </w:r>
      <w:r>
        <w:rPr>
          <w:lang w:val="en_US" w:bidi="en_US"/>
        </w:rPr>
        <w:t>Listen (REB)</w:t>
      </w:r>
    </w:p>
    <w:p>
      <w:pPr/>
      <w:r>
        <w:rPr>
          <w:lang w:val="en_US" w:bidi="en_US"/>
        </w:rPr>
      </w:r>
      <w:r>
        <w:rPr>
          <w:lang w:val="en_US" w:bidi="en_US"/>
        </w:rPr>
        <w:t>Other examples in English are:</w:t>
      </w:r>
    </w:p>
    <w:p>
      <w:pPr/>
      <w:r>
        <w:rPr>
          <w:lang w:val="en_US" w:bidi="en_US"/>
        </w:rPr>
      </w:r>
      <w:r>
        <w:rPr>
          <w:lang w:val="en_US" w:bidi="en_US"/>
        </w:rPr>
        <w:t>Listen carefully</w:t>
      </w:r>
    </w:p>
    <w:p>
      <w:pPr/>
      <w:r>
        <w:rPr>
          <w:lang w:val="en_US" w:bidi="en_US"/>
        </w:rPr>
      </w:r>
      <w:r>
        <w:rPr>
          <w:lang w:val="en_US" w:bidi="en_US"/>
        </w:rPr>
        <w:t>Pay attention to this</w:t>
      </w:r>
    </w:p>
    <w:p>
      <w:pPr/>
      <w:r>
        <w:rPr>
          <w:lang w:val="en_US" w:bidi="en_US"/>
        </w:rPr>
      </w:r>
      <w:r>
        <w:rPr>
          <w:lang w:val="en_US" w:bidi="en_US"/>
        </w:rPr>
        <w:t>This word was also used in 13:30a, where the BSB translated it as “indeed.”</w:t>
      </w:r>
    </w:p>
    <w:p>
      <w:pPr/>
      <w:r>
        <w:rPr>
          <w:lang w:val="en_US" w:bidi="en_US"/>
        </w:rPr>
      </w:r>
      <w:r>
        <w:rPr>
          <w:b/>
          <w:lang w:val="en_US" w:bidi="en_US"/>
        </w:rPr>
        <w:t>I will keep driving out demons and healing people:</w:t>
      </w:r>
      <w:r>
        <w:rPr>
          <w:lang w:val="en_US" w:bidi="en_US"/>
        </w:rPr>
        <w:t xml:space="preserve"> Jesus was saying that he would continue to deliver some people from evil spirits and to heal others from sickness. For some people, he would heal them from sickness by casting out demons from them.</w:t>
      </w:r>
    </w:p>
    <w:p>
      <w:pPr/>
      <w:r>
        <w:rPr>
          <w:lang w:val="en_US" w:bidi="en_US"/>
        </w:rPr>
      </w:r>
      <w:r>
        <w:rPr>
          <w:b/>
          <w:lang w:val="en_US" w:bidi="en_US"/>
        </w:rPr>
        <w:t>driving out:</w:t>
      </w:r>
      <w:r>
        <w:rPr>
          <w:lang w:val="en_US" w:bidi="en_US"/>
        </w:rPr>
        <w:t xml:space="preserve"> The Greek word that the BSB translates as </w:t>
      </w:r>
      <w:r>
        <w:rPr>
          <w:i/>
          <w:lang w:val="en_US" w:bidi="en_US"/>
        </w:rPr>
        <w:t>driving out</w:t>
      </w:r>
      <w:r>
        <w:rPr>
          <w:lang w:val="en_US" w:bidi="en_US"/>
        </w:rPr>
        <w:t xml:space="preserve"> is literally “cast/throw out.” The expression </w:t>
      </w:r>
      <w:r>
        <w:rPr>
          <w:i/>
          <w:lang w:val="en_US" w:bidi="en_US"/>
        </w:rPr>
        <w:t>driving out</w:t>
      </w:r>
      <w:r>
        <w:rPr>
          <w:lang w:val="en_US" w:bidi="en_US"/>
        </w:rPr>
        <w:t xml:space="preserve"> demons means causing demons to stop controlling a person. Jesus did this by commanding the spirit/spirits to leave.</w:t>
      </w:r>
    </w:p>
    <w:p>
      <w:pPr/>
      <w:r>
        <w:rPr>
          <w:lang w:val="en_US" w:bidi="en_US"/>
        </w:rPr>
      </w:r>
      <w:r>
        <w:rPr>
          <w:lang w:val="en_US" w:bidi="en_US"/>
        </w:rPr>
        <w:t xml:space="preserve">Jewish people often spoke of evil spirits as being </w:t>
      </w:r>
      <w:r>
        <w:rPr>
          <w:u w:val="single"/>
          <w:lang w:val="en_US" w:bidi="en_US"/>
        </w:rPr>
        <w:t>in</w:t>
      </w:r>
      <w:r>
        <w:rPr>
          <w:lang w:val="en_US" w:bidi="en_US"/>
        </w:rPr>
        <w:t xml:space="preserve"> someone. Different cultures have different ways of speaking about people being controlled by demons and being released from the control of demons. Use a natural expression for this in your language. Some ways to translate this are:</w:t>
      </w:r>
    </w:p>
    <w:p>
      <w:pPr/>
      <w:r>
        <w:rPr>
          <w:lang w:val="en_US" w:bidi="en_US"/>
        </w:rPr>
      </w:r>
      <w:r>
        <w:rPr>
          <w:lang w:val="en_US" w:bidi="en_US"/>
        </w:rPr>
        <w:t>send the demons away</w:t>
      </w:r>
    </w:p>
    <w:p>
      <w:pPr/>
      <w:r>
        <w:rPr>
          <w:lang w:val="en_US" w:bidi="en_US"/>
        </w:rPr>
      </w:r>
      <w:r>
        <w:rPr>
          <w:lang w:val="en_US" w:bidi="en_US"/>
        </w:rPr>
        <w:t>exorcize the evil spirits</w:t>
      </w:r>
    </w:p>
    <w:p>
      <w:pPr/>
      <w:r>
        <w:rPr>
          <w:lang w:val="en_US" w:bidi="en_US"/>
        </w:rPr>
      </w:r>
      <w:r>
        <w:rPr>
          <w:lang w:val="en_US" w:bidi="en_US"/>
        </w:rPr>
        <w:t>free people who were controlled by demons</w:t>
      </w:r>
    </w:p>
    <w:p>
      <w:pPr/>
      <w:r>
        <w:rPr>
          <w:lang w:val="en_US" w:bidi="en_US"/>
        </w:rPr>
      </w:r>
      <w:r>
        <w:rPr>
          <w:lang w:val="en_US" w:bidi="en_US"/>
        </w:rPr>
        <w:t>The term “driving out” also occurs in 11:14a.</w:t>
      </w:r>
    </w:p>
    <w:p>
      <w:pPr/>
      <w:r>
        <w:rPr>
          <w:lang w:val="en_US" w:bidi="en_US"/>
        </w:rPr>
      </w:r>
      <w:r>
        <w:rPr>
          <w:b/>
          <w:lang w:val="en_US" w:bidi="en_US"/>
        </w:rPr>
        <w:t>demons:</w:t>
      </w:r>
      <w:r>
        <w:rPr>
          <w:lang w:val="en_US" w:bidi="en_US"/>
        </w:rPr>
        <w:t xml:space="preserve"> The Greek word that the BSB translates as </w:t>
      </w:r>
      <w:r>
        <w:rPr>
          <w:i/>
          <w:lang w:val="en_US" w:bidi="en_US"/>
        </w:rPr>
        <w:t>demons</w:t>
      </w:r>
      <w:r>
        <w:rPr>
          <w:lang w:val="en_US" w:bidi="en_US"/>
        </w:rPr>
        <w:t xml:space="preserve"> refers to spirits that are evil and can control people’s actions. The word </w:t>
      </w:r>
      <w:r>
        <w:rPr>
          <w:i/>
          <w:lang w:val="en_US" w:bidi="en_US"/>
        </w:rPr>
        <w:t>demons</w:t>
      </w:r>
      <w:r>
        <w:rPr>
          <w:lang w:val="en_US" w:bidi="en_US"/>
        </w:rPr>
        <w:t xml:space="preserve"> refers to the same type of spirit as the Greek terms that are often translated as “evil spirits” and “unclean spirits.”</w:t>
      </w:r>
    </w:p>
    <w:p>
      <w:pPr/>
      <w:r>
        <w:rPr>
          <w:lang w:val="en_US" w:bidi="en_US"/>
        </w:rPr>
      </w:r>
      <w:r>
        <w:rPr>
          <w:lang w:val="en_US" w:bidi="en_US"/>
        </w:rPr>
        <w:t xml:space="preserve">Some ways to translate </w:t>
      </w:r>
      <w:r>
        <w:rPr>
          <w:i/>
          <w:lang w:val="en_US" w:bidi="en_US"/>
        </w:rPr>
        <w:t>demons</w:t>
      </w:r>
      <w:r>
        <w:rPr>
          <w:lang w:val="en_US" w:bidi="en_US"/>
        </w:rPr>
        <w:t xml:space="preserve"> are:</w:t>
      </w:r>
    </w:p>
    <w:p>
      <w:pPr>
        <w:pStyle w:val="ListBullet"/>
        <w:spacing w:line="240" w:lineRule="auto"/>
        <w:ind w:left="720"/>
      </w:pPr>
      <w:r>
        <w:rPr>
          <w:lang w:val="en_US" w:bidi="en_US"/>
        </w:rPr>
      </w:r>
      <w:r>
        <w:rPr>
          <w:lang w:val="en_US" w:bidi="en_US"/>
        </w:rPr>
        <w:t xml:space="preserve">Use </w:t>
      </w:r>
      <w:r>
        <w:rPr>
          <w:u w:val="single"/>
          <w:lang w:val="en_US" w:bidi="en_US"/>
        </w:rPr>
        <w:t>a general term in your language</w:t>
      </w:r>
      <w:r>
        <w:rPr>
          <w:lang w:val="en_US" w:bidi="en_US"/>
        </w:rPr>
        <w:t xml:space="preserve"> that refers to spirits that are evil and can control people.</w:t>
      </w:r>
    </w:p>
    <w:p>
      <w:pPr>
        <w:pStyle w:val="ListBullet"/>
        <w:spacing w:line="240" w:lineRule="auto"/>
        <w:ind w:left="720"/>
      </w:pPr>
      <w:r>
        <w:rPr>
          <w:lang w:val="en_US" w:bidi="en_US"/>
        </w:rPr>
      </w:r>
      <w:r>
        <w:rPr>
          <w:lang w:val="en_US" w:bidi="en_US"/>
        </w:rPr>
        <w:t xml:space="preserve">Use </w:t>
      </w:r>
      <w:r>
        <w:rPr>
          <w:u w:val="single"/>
          <w:lang w:val="en_US" w:bidi="en_US"/>
        </w:rPr>
        <w:t>a specific term in your language</w:t>
      </w:r>
      <w:r>
        <w:rPr>
          <w:lang w:val="en_US" w:bidi="en_US"/>
        </w:rPr>
        <w:t xml:space="preserve"> that refers to a certain type of spirit. These spirits should be able to do evil things. Do not use a term that refers to spirits of dead people.</w:t>
      </w:r>
    </w:p>
    <w:p>
      <w:pPr>
        <w:pStyle w:val="ListBullet"/>
        <w:spacing w:line="240" w:lineRule="auto"/>
        <w:ind w:left="720"/>
      </w:pPr>
      <w:r>
        <w:rPr>
          <w:lang w:val="en_US" w:bidi="en_US"/>
        </w:rPr>
      </w:r>
      <w:r>
        <w:rPr>
          <w:lang w:val="en_US" w:bidi="en_US"/>
        </w:rPr>
        <w:t xml:space="preserve">Use </w:t>
      </w:r>
      <w:r>
        <w:rPr>
          <w:u w:val="single"/>
          <w:lang w:val="en_US" w:bidi="en_US"/>
        </w:rPr>
        <w:t>a descriptive phrase</w:t>
      </w:r>
      <w:r>
        <w:rPr>
          <w:lang w:val="en_US" w:bidi="en_US"/>
        </w:rPr>
        <w:t>. For example:</w:t>
      </w:r>
      <w:r>
        <w:rPr>
          <w:lang w:val="en_US" w:bidi="en_US"/>
        </w:rPr>
        <w:t>evil/bad spirits</w:t>
      </w:r>
      <w:r>
        <w:rPr>
          <w:lang w:val="en_US" w:bidi="en_US"/>
        </w:rPr>
        <w:t>unclean spirits</w:t>
      </w:r>
    </w:p>
    <w:p>
      <w:pPr/>
      <w:r>
        <w:rPr>
          <w:lang w:val="en_US" w:bidi="en_US"/>
        </w:rPr>
      </w:r>
      <w:r>
        <w:rPr>
          <w:lang w:val="en_US" w:bidi="en_US"/>
        </w:rPr>
        <w:t>Be sure that an expression like “unclean spirits” does not imply that the spirits are literally dirty.</w:t>
      </w:r>
    </w:p>
    <w:p>
      <w:pPr/>
      <w:r>
        <w:rPr>
          <w:lang w:val="en_US" w:bidi="en_US"/>
        </w:rPr>
      </w:r>
      <w:r>
        <w:rPr>
          <w:lang w:val="en_US" w:bidi="en_US"/>
        </w:rPr>
        <w:t>This same word occurs in 9:1b. See demon in the Glossary.</w:t>
      </w:r>
    </w:p>
    <w:p>
      <w:pPr/>
      <w:r>
        <w:rPr>
          <w:lang w:val="en_US" w:bidi="en_US"/>
        </w:rPr>
      </w:r>
      <w:r>
        <w:rPr>
          <w:b/>
          <w:lang w:val="en_US" w:bidi="en_US"/>
        </w:rPr>
        <w:t>today and tomorrow:</w:t>
      </w:r>
      <w:r>
        <w:rPr>
          <w:lang w:val="en_US" w:bidi="en_US"/>
        </w:rPr>
        <w:t xml:space="preserve"> The Greek phrase that the BSB translates literally as </w:t>
      </w:r>
      <w:r>
        <w:rPr>
          <w:i/>
          <w:lang w:val="en_US" w:bidi="en_US"/>
        </w:rPr>
        <w:t>today and tomorrow</w:t>
      </w:r>
      <w:r>
        <w:rPr>
          <w:lang w:val="en_US" w:bidi="en_US"/>
        </w:rPr>
        <w:t xml:space="preserve"> is used here in a figurative sense. Jesus meant that for a short while longer he would continue to do what he was doing.</w:t>
      </w:r>
      <w:r>
        <w:rPr>
          <w:lang w:val="en_US" w:bidi="en_US"/>
        </w:rPr>
        <w:t>Scholars differ as to whether this expression refers to a definite period of time that God has determined or to an indefinite but short time, but most scholars agree that it does not refer to literal days.</w:t>
      </w:r>
      <w:r>
        <w:rPr>
          <w:lang w:val="en_US" w:bidi="en_US"/>
        </w:rPr>
        <w:t xml:space="preserve"> In languages where this phrase will be understood as two literal days, it may be necessary to translate the figurative meaning. For example:</w:t>
      </w:r>
    </w:p>
    <w:p>
      <w:pPr/>
      <w:r>
        <w:rPr>
          <w:lang w:val="en_US" w:bidi="en_US"/>
        </w:rPr>
      </w:r>
      <w:r>
        <w:rPr>
          <w:lang w:val="en_US" w:bidi="en_US"/>
        </w:rPr>
        <w:t>for a short period of time</w:t>
      </w:r>
    </w:p>
    <w:p>
      <w:pPr/>
      <w:r>
        <w:rPr>
          <w:lang w:val="en_US" w:bidi="en_US"/>
        </w:rPr>
      </w:r>
      <w:r>
        <w:rPr>
          <w:lang w:val="en_US" w:bidi="en_US"/>
        </w:rPr>
        <w:t>If you put the figurative meaning in the text, you may want to give the literal meaning in a footnote. Another option is to translate the literal meaning in the text and explain the figurative meaning in a footnote. This applies also to the next phrase “on the third day.” Consider what is more appropriate in your situation.</w:t>
      </w:r>
    </w:p>
    <w:p>
      <w:pPr>
        <w:pStyle w:val="Heading5"/>
      </w:pPr>
      <w:r>
        <w:rPr>
          <w:lang w:val="en_US" w:bidi="en_US"/>
        </w:rPr>
        <w:t>13:32c–33a</w:t>
      </w:r>
    </w:p>
    <w:p>
      <w:pPr/>
      <w:r>
        <w:rPr>
          <w:lang w:val="en_US" w:bidi="en_US"/>
        </w:rPr>
      </w:r>
      <w:r>
        <w:rPr>
          <w:lang w:val="en_US" w:bidi="en_US"/>
        </w:rPr>
        <w:t>It is difficult to tell exactly at what point Jesus completed his message to Herod. There are two opinions about this:</w:t>
      </w:r>
    </w:p>
    <w:p>
      <w:pPr>
        <w:pStyle w:val="ListNumber"/>
        <w:numPr>
          <w:ilvl w:val="0"/>
          <w:numId w:val="256"/>
        </w:numPr>
        <w:spacing w:line="240" w:lineRule="auto"/>
        <w:ind w:left="720"/>
      </w:pPr>
      <w:r>
        <w:rPr>
          <w:lang w:val="en_US" w:bidi="en_US"/>
        </w:rPr>
      </w:r>
      <w:r>
        <w:rPr>
          <w:lang w:val="en_US" w:bidi="en_US"/>
        </w:rPr>
        <w:t>Jesus completed his message to Herod at the end of 13:32c. In 13:33a he began to speak to the Pharisees again. For example:</w:t>
      </w:r>
      <w:r>
        <w:rPr>
          <w:vertAlign w:val="superscript"/>
          <w:lang w:val="en_US" w:bidi="en_US"/>
        </w:rPr>
        <w:t>32</w:t>
      </w:r>
      <w:r>
        <w:rPr>
          <w:lang w:val="en_US" w:bidi="en_US"/>
        </w:rPr>
        <w:t xml:space="preserve">‘…on the third day I shall finish my work.’ </w:t>
      </w:r>
      <w:r>
        <w:rPr>
          <w:vertAlign w:val="superscript"/>
          <w:lang w:val="en_US" w:bidi="en_US"/>
        </w:rPr>
        <w:t>33</w:t>
      </w:r>
      <w:r>
        <w:rPr>
          <w:lang w:val="en_US" w:bidi="en_US"/>
        </w:rPr>
        <w:t xml:space="preserve">Yet I must be on my way today, tomorrow, and the next day; it is not right for a prophet to be killed anywhere except in Jerusalem. (GNT) </w:t>
      </w:r>
      <w:r>
        <w:rPr>
          <w:i/>
          <w:lang w:val="en_US" w:bidi="en_US"/>
        </w:rPr>
        <w:t>(BSB, NIV, GNT, REB, NASB, NCV, CEV)</w:t>
      </w:r>
    </w:p>
    <w:p>
      <w:pPr>
        <w:pStyle w:val="ListNumber"/>
        <w:spacing w:line="240" w:lineRule="auto"/>
        <w:ind w:left="720"/>
      </w:pPr>
      <w:r>
        <w:rPr>
          <w:lang w:val="en_US" w:bidi="en_US"/>
        </w:rPr>
      </w:r>
      <w:r>
        <w:rPr>
          <w:lang w:val="en_US" w:bidi="en_US"/>
        </w:rPr>
        <w:t>Jesus completed his message to Herod at the end of 13:33. For example:</w:t>
      </w:r>
      <w:r>
        <w:rPr>
          <w:vertAlign w:val="superscript"/>
          <w:lang w:val="en_US" w:bidi="en_US"/>
        </w:rPr>
        <w:t>32</w:t>
      </w:r>
      <w:r>
        <w:rPr>
          <w:lang w:val="en_US" w:bidi="en_US"/>
        </w:rPr>
        <w:t xml:space="preserve">‘…and the third day I finish my course. </w:t>
      </w:r>
      <w:r>
        <w:rPr>
          <w:vertAlign w:val="superscript"/>
          <w:lang w:val="en_US" w:bidi="en_US"/>
        </w:rPr>
        <w:t>33</w:t>
      </w:r>
      <w:r>
        <w:rPr>
          <w:lang w:val="en_US" w:bidi="en_US"/>
        </w:rPr>
        <w:t xml:space="preserve">Nevertheless I must go on my way today and tomorrow and the day following; for it cannot be that a prophet should perish away from Jerusalem.’ (RSV) </w:t>
      </w:r>
      <w:r>
        <w:rPr>
          <w:i/>
          <w:lang w:val="en_US" w:bidi="en_US"/>
        </w:rPr>
        <w:t>(RSV, NET)</w:t>
      </w:r>
    </w:p>
    <w:p>
      <w:pPr/>
      <w:r>
        <w:rPr>
          <w:lang w:val="en_US" w:bidi="en_US"/>
        </w:rPr>
      </w:r>
      <w:r>
        <w:rPr>
          <w:lang w:val="en_US" w:bidi="en_US"/>
        </w:rPr>
        <w:t>It is recommended that you follow interpretation (1) along with most versions.</w:t>
      </w:r>
    </w:p>
    <w:p>
      <w:pPr/>
      <w:r>
        <w:rPr>
          <w:lang w:val="en_US" w:bidi="en_US"/>
        </w:rPr>
      </w:r>
      <w:r>
        <w:rPr>
          <w:lang w:val="en_US" w:bidi="en_US"/>
        </w:rPr>
        <w:t>Notice that English versions indicate the difference in these interpretations only by where they place the single quotation marks to end the quote. If, instead of quote marks, you use an indirect quotation here as the GW and NLT do, the end of Jesus’ message to Herod may be ambiguous. That is also very acceptable.</w:t>
      </w:r>
    </w:p>
    <w:p>
      <w:pPr>
        <w:pStyle w:val="Heading5"/>
      </w:pPr>
      <w:r>
        <w:rPr>
          <w:lang w:val="en_US" w:bidi="en_US"/>
        </w:rPr>
        <w:t>13:32c</w:t>
      </w:r>
    </w:p>
    <w:p>
      <w:pPr/>
      <w:r>
        <w:rPr>
          <w:lang w:val="en_US" w:bidi="en_US"/>
        </w:rPr>
      </w:r>
      <w:r>
        <w:rPr>
          <w:b/>
          <w:lang w:val="en_US" w:bidi="en_US"/>
        </w:rPr>
        <w:t>and on the third day I will reach My goal.’</w:t>
      </w:r>
    </w:p>
    <w:p>
      <w:pPr>
        <w:pStyle w:val="ListBullet"/>
        <w:spacing w:line="240" w:lineRule="auto"/>
        <w:ind w:left="720"/>
      </w:pPr>
      <w:r>
        <w:rPr>
          <w:lang w:val="en_US" w:bidi="en_US"/>
        </w:rPr>
      </w:r>
      <w:r>
        <w:rPr>
          <w:lang w:val="en_US" w:bidi="en_US"/>
        </w:rPr>
        <w:t>and on the third day I will finish what I came to do.’</w:t>
      </w:r>
    </w:p>
    <w:p>
      <w:pPr>
        <w:pStyle w:val="ListBullet"/>
        <w:spacing w:line="240" w:lineRule="auto"/>
        <w:ind w:left="720"/>
      </w:pPr>
      <w:r>
        <w:rPr>
          <w:lang w:val="en_US" w:bidi="en_US"/>
        </w:rPr>
      </w:r>
      <w:r>
        <w:rPr>
          <w:lang w:val="en_US" w:bidi="en_US"/>
        </w:rPr>
        <w:t>Then/But soon I will accomplish/fulfill my purpose/work.</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what will happen next in a series of events. Connect this event to the others in a natural way in your language.</w:t>
      </w:r>
    </w:p>
    <w:p>
      <w:pPr/>
      <w:r>
        <w:rPr>
          <w:lang w:val="en_US" w:bidi="en_US"/>
        </w:rPr>
      </w:r>
      <w:r>
        <w:rPr>
          <w:b/>
          <w:lang w:val="en_US" w:bidi="en_US"/>
        </w:rPr>
        <w:t>on the third day:</w:t>
      </w:r>
      <w:r>
        <w:rPr>
          <w:lang w:val="en_US" w:bidi="en_US"/>
        </w:rPr>
        <w:t xml:space="preserve"> The Greek phrase that the BSB translates as </w:t>
      </w:r>
      <w:r>
        <w:rPr>
          <w:i/>
          <w:lang w:val="en_US" w:bidi="en_US"/>
        </w:rPr>
        <w:t>on the third day</w:t>
      </w:r>
      <w:r>
        <w:rPr>
          <w:lang w:val="en_US" w:bidi="en_US"/>
        </w:rPr>
        <w:t xml:space="preserve"> would literally refer to “the day after tomorrow,” that is, to two days after the day when Jesus was speaking. However, the phrase is used figuratively here to refer to the time after the short period of time indicated by “today and tomorrow” in 13:32b. In some languages it may be necessary to translate the figurative meaning. For example:</w:t>
      </w:r>
    </w:p>
    <w:p>
      <w:pPr/>
      <w:r>
        <w:rPr>
          <w:lang w:val="en_US" w:bidi="en_US"/>
        </w:rPr>
      </w:r>
      <w:r>
        <w:rPr>
          <w:lang w:val="en_US" w:bidi="en_US"/>
        </w:rPr>
        <w:t>soon</w:t>
      </w:r>
    </w:p>
    <w:p>
      <w:pPr/>
      <w:r>
        <w:rPr>
          <w:lang w:val="en_US" w:bidi="en_US"/>
        </w:rPr>
      </w:r>
      <w:r>
        <w:rPr>
          <w:lang w:val="en_US" w:bidi="en_US"/>
        </w:rPr>
        <w:t>not long after that</w:t>
      </w:r>
    </w:p>
    <w:p>
      <w:pPr/>
      <w:r>
        <w:rPr>
          <w:lang w:val="en_US" w:bidi="en_US"/>
        </w:rPr>
      </w:r>
      <w:r>
        <w:rPr>
          <w:b/>
          <w:lang w:val="en_US" w:bidi="en_US"/>
        </w:rPr>
        <w:t>I will reach My goal:</w:t>
      </w:r>
      <w:r>
        <w:rPr>
          <w:lang w:val="en_US" w:bidi="en_US"/>
        </w:rPr>
        <w:t xml:space="preserve"> The Greek word that the BSB translates as </w:t>
      </w:r>
      <w:r>
        <w:rPr>
          <w:i/>
          <w:lang w:val="en_US" w:bidi="en_US"/>
        </w:rPr>
        <w:t>I will reach My goal</w:t>
      </w:r>
      <w:r>
        <w:rPr>
          <w:lang w:val="en_US" w:bidi="en_US"/>
        </w:rPr>
        <w:t xml:space="preserve"> is literally “I-will-be-finished.” This can refer to finishing a task, reaching a goal, or accomplishing a purpose. Jesus was probably referring both to his work of casting out demons and healing people and to his final work of dying on the cross to save people from their sins. You should translate in a general way if possible and not specify one task or goal. Other ways to translate this include:</w:t>
      </w:r>
    </w:p>
    <w:p>
      <w:pPr/>
      <w:r>
        <w:rPr>
          <w:lang w:val="en_US" w:bidi="en_US"/>
        </w:rPr>
      </w:r>
      <w:r>
        <w:rPr>
          <w:lang w:val="en_US" w:bidi="en_US"/>
        </w:rPr>
        <w:t>I finish my course (RSV)</w:t>
      </w:r>
    </w:p>
    <w:p>
      <w:pPr/>
      <w:r>
        <w:rPr>
          <w:lang w:val="en_US" w:bidi="en_US"/>
        </w:rPr>
      </w:r>
      <w:r>
        <w:rPr>
          <w:lang w:val="en_US" w:bidi="en_US"/>
        </w:rPr>
        <w:t>I shall finish my work (GNT)</w:t>
      </w:r>
    </w:p>
    <w:p>
      <w:pPr/>
      <w:r>
        <w:rPr>
          <w:lang w:val="en_US" w:bidi="en_US"/>
        </w:rPr>
      </w:r>
      <w:r>
        <w:rPr>
          <w:lang w:val="en_US" w:bidi="en_US"/>
        </w:rPr>
        <w:t>I will accomplish my purpose (NLT)</w:t>
      </w:r>
      <w:r>
        <w:rPr>
          <w:lang w:val="en_US" w:bidi="en_US"/>
        </w:rPr>
      </w:r>
      <w:r>
        <w:rPr>
          <w:lang w:val="en_US" w:bidi="en_US"/>
        </w:rPr>
      </w:r>
    </w:p>
    <w:p>
      <w:pPr/>
      <w:r>
        <w:rPr>
          <w:lang w:val="en_US" w:bidi="en_US"/>
        </w:rPr>
      </w:r>
    </w:p>
    <w:p>
      <w:pPr>
        <w:pStyle w:val="Heading2"/>
      </w:pPr>
      <w:r>
        <w:rPr>
          <w:lang w:val="en_US" w:bidi="en_US"/>
        </w:rPr>
        <w:t>Luke 13:33</w:t>
      </w:r>
      <w:r>
        <w:rPr>
          <w:lang w:val="en_US" w:bidi="en_US"/>
        </w:rPr>
      </w:r>
    </w:p>
    <w:p>
      <w:pPr>
        <w:pStyle w:val="Heading4"/>
      </w:pPr>
      <w:r>
        <w:rPr>
          <w:lang w:val="en_US" w:bidi="en_US"/>
        </w:rPr>
        <w:t>Section 13:31–35: Jesus grieved for the people in Jerusalem</w:t>
      </w:r>
    </w:p>
    <w:p>
      <w:pPr/>
      <w:r>
        <w:rPr>
          <w:lang w:val="en_US" w:bidi="en_US"/>
        </w:rPr>
      </w:r>
      <w:r>
        <w:rPr>
          <w:lang w:val="en_US" w:bidi="en_US"/>
        </w:rPr>
        <w:t>In this section Jesus spoke about how he would die in Jerusalem, as many other prophets had. He mourned that the people of Jerusalem would not turn to him so that he could save them from the coming destruction.</w:t>
      </w:r>
    </w:p>
    <w:p>
      <w:pPr/>
      <w:r>
        <w:rPr>
          <w:lang w:val="en_US" w:bidi="en_US"/>
        </w:rPr>
      </w:r>
      <w:r>
        <w:rPr>
          <w:lang w:val="en_US" w:bidi="en_US"/>
        </w:rPr>
        <w:t>Some other headings for this section are:</w:t>
      </w:r>
    </w:p>
    <w:p>
      <w:pPr/>
      <w:r>
        <w:rPr>
          <w:lang w:val="en_US" w:bidi="en_US"/>
        </w:rPr>
      </w:r>
      <w:r>
        <w:rPr>
          <w:lang w:val="en_US" w:bidi="en_US"/>
        </w:rPr>
        <w:t>Jesus’ Sorrow for Jerusalem (NIV)</w:t>
      </w:r>
    </w:p>
    <w:p>
      <w:pPr/>
      <w:r>
        <w:rPr>
          <w:lang w:val="en_US" w:bidi="en_US"/>
        </w:rPr>
      </w:r>
      <w:r>
        <w:rPr>
          <w:lang w:val="en_US" w:bidi="en_US"/>
        </w:rPr>
        <w:t>Jesus’ Love for the Residents of Jerusalem</w:t>
      </w:r>
    </w:p>
    <w:p>
      <w:pPr/>
      <w:r>
        <w:rPr>
          <w:lang w:val="en_US" w:bidi="en_US"/>
        </w:rPr>
      </w:r>
      <w:r>
        <w:rPr>
          <w:lang w:val="en_US" w:bidi="en_US"/>
        </w:rPr>
        <w:t>There is a parallel passage for this section in Matthew 23:37–39.</w:t>
      </w:r>
    </w:p>
    <w:p>
      <w:pPr>
        <w:pStyle w:val="Heading4"/>
      </w:pPr>
      <w:r>
        <w:rPr>
          <w:lang w:val="en_US" w:bidi="en_US"/>
        </w:rPr>
        <w:t>Paragraph 13:31–33</w:t>
      </w:r>
    </w:p>
    <w:p>
      <w:pPr/>
      <w:r>
        <w:rPr>
          <w:lang w:val="en_US" w:bidi="en_US"/>
        </w:rPr>
      </w:r>
      <w:r>
        <w:rPr>
          <w:lang w:val="en_US" w:bidi="en_US"/>
        </w:rPr>
        <w:t>In this paragraph some Pharisees warned Jesus that Herod wanted to kill him. Jesus replied that he intended to finish the work he was doing, even though that meant that he would die in Jerusalem.</w:t>
      </w:r>
    </w:p>
    <w:p>
      <w:pPr>
        <w:pStyle w:val="Heading5"/>
      </w:pPr>
      <w:r>
        <w:rPr>
          <w:lang w:val="en_US" w:bidi="en_US"/>
        </w:rPr>
        <w:t>13:33a</w:t>
      </w:r>
    </w:p>
    <w:p>
      <w:pPr/>
      <w:r>
        <w:rPr>
          <w:lang w:val="en_US" w:bidi="en_US"/>
        </w:rPr>
      </w:r>
      <w:r>
        <w:rPr>
          <w:b/>
          <w:lang w:val="en_US" w:bidi="en_US"/>
        </w:rPr>
        <w:t>Nevertheless, I must keep going today and tomorrow and the next day,</w:t>
      </w:r>
    </w:p>
    <w:p>
      <w:pPr>
        <w:pStyle w:val="ListBullet"/>
        <w:spacing w:line="240" w:lineRule="auto"/>
        <w:ind w:left="720"/>
      </w:pPr>
      <w:r>
        <w:rPr>
          <w:lang w:val="en_US" w:bidi="en_US"/>
        </w:rPr>
      </w:r>
      <w:r>
        <w:rPr>
          <w:lang w:val="en_US" w:bidi="en_US"/>
        </w:rPr>
        <w:t xml:space="preserve">However, for today and the two days that follow, it is necessary that I continue </w:t>
      </w:r>
      <w:r>
        <w:rPr>
          <w:lang w:val="en_US" w:bidi="en_US"/>
        </w:rPr>
        <w:t>in my work</w:t>
      </w:r>
      <w:r>
        <w:rPr>
          <w:lang w:val="en_US" w:bidi="en_US"/>
        </w:rPr>
        <w:t xml:space="preserve"> on my way </w:t>
      </w:r>
      <w:r>
        <w:rPr>
          <w:lang w:val="en_US" w:bidi="en_US"/>
        </w:rPr>
        <w:t>to Jerusalem</w:t>
      </w:r>
      <w:r>
        <w:rPr>
          <w:lang w:val="en_US" w:bidi="en_US"/>
        </w:rPr>
        <w:t>,</w:t>
      </w:r>
    </w:p>
    <w:p>
      <w:pPr>
        <w:pStyle w:val="ListBullet"/>
        <w:spacing w:line="240" w:lineRule="auto"/>
        <w:ind w:left="720"/>
      </w:pPr>
      <w:r>
        <w:rPr>
          <w:lang w:val="en_US" w:bidi="en_US"/>
        </w:rPr>
      </w:r>
      <w:r>
        <w:rPr>
          <w:lang w:val="en_US" w:bidi="en_US"/>
        </w:rPr>
        <w:t xml:space="preserve">Yes, it is true that for a short while I need to keep doing what I am doing and continue to travel </w:t>
      </w:r>
      <w:r>
        <w:rPr>
          <w:lang w:val="en_US" w:bidi="en_US"/>
        </w:rPr>
        <w:t>toward Jerusalem</w:t>
      </w:r>
      <w:r>
        <w:rPr>
          <w:lang w:val="en_US" w:bidi="en_US"/>
        </w:rPr>
        <w:t>.</w:t>
      </w:r>
    </w:p>
    <w:p>
      <w:pPr/>
      <w:r>
        <w:rPr>
          <w:lang w:val="en_US" w:bidi="en_US"/>
        </w:rPr>
      </w:r>
      <w:r>
        <w:rPr>
          <w:b/>
          <w:lang w:val="en_US" w:bidi="en_US"/>
        </w:rPr>
        <w:t>Nevertheless:</w:t>
      </w:r>
      <w:r>
        <w:rPr>
          <w:lang w:val="en_US" w:bidi="en_US"/>
        </w:rPr>
        <w:t xml:space="preserve"> The Greek conjunction that the BSB translates as </w:t>
      </w:r>
      <w:r>
        <w:rPr>
          <w:i/>
          <w:lang w:val="en_US" w:bidi="en_US"/>
        </w:rPr>
        <w:t>Nevertheless</w:t>
      </w:r>
      <w:r>
        <w:rPr>
          <w:lang w:val="en_US" w:bidi="en_US"/>
        </w:rPr>
        <w:t xml:space="preserve"> introduces a contrast with the statement that Jesus would soon complete his work (13:32c). Some other ways to introduce this contrast are:</w:t>
      </w:r>
    </w:p>
    <w:p>
      <w:pPr/>
      <w:r>
        <w:rPr>
          <w:lang w:val="en_US" w:bidi="en_US"/>
        </w:rPr>
      </w:r>
      <w:r>
        <w:rPr>
          <w:lang w:val="en_US" w:bidi="en_US"/>
        </w:rPr>
        <w:t>Yet (GNT)</w:t>
      </w:r>
    </w:p>
    <w:p>
      <w:pPr/>
      <w:r>
        <w:rPr>
          <w:lang w:val="en_US" w:bidi="en_US"/>
        </w:rPr>
      </w:r>
      <w:r>
        <w:rPr>
          <w:lang w:val="en_US" w:bidi="en_US"/>
        </w:rPr>
        <w:t>However (REB)</w:t>
      </w:r>
    </w:p>
    <w:p>
      <w:pPr/>
      <w:r>
        <w:rPr>
          <w:lang w:val="en_US" w:bidi="en_US"/>
        </w:rPr>
      </w:r>
      <w:r>
        <w:rPr>
          <w:lang w:val="en_US" w:bidi="en_US"/>
        </w:rPr>
        <w:t>But (GW)</w:t>
      </w:r>
    </w:p>
    <w:p>
      <w:pPr/>
      <w:r>
        <w:rPr>
          <w:lang w:val="en_US" w:bidi="en_US"/>
        </w:rPr>
      </w:r>
      <w:r>
        <w:rPr>
          <w:lang w:val="en_US" w:bidi="en_US"/>
        </w:rPr>
        <w:t>However, 13:33a does not contrast with 13:32b. Instead, it repeats the information there. So in some languages it may be more natural to indicate that in 13:33a Jesus was restating for emphasis what he had said in 13:32b. Here is another way to begin this verse:</w:t>
      </w:r>
    </w:p>
    <w:p>
      <w:pPr/>
      <w:r>
        <w:rPr>
          <w:lang w:val="en_US" w:bidi="en_US"/>
        </w:rPr>
      </w:r>
      <w:r>
        <w:rPr>
          <w:lang w:val="en_US" w:bidi="en_US"/>
        </w:rPr>
        <w:t>Yes (NLT)</w:t>
      </w:r>
    </w:p>
    <w:p>
      <w:pPr/>
      <w:r>
        <w:rPr>
          <w:lang w:val="en_US" w:bidi="en_US"/>
        </w:rPr>
      </w:r>
      <w:r>
        <w:rPr>
          <w:b/>
          <w:lang w:val="en_US" w:bidi="en_US"/>
        </w:rPr>
        <w:t>I must keep going today and tomorrow and the next day:</w:t>
      </w:r>
      <w:r>
        <w:rPr>
          <w:lang w:val="en_US" w:bidi="en_US"/>
        </w:rPr>
        <w:t xml:space="preserve"> In Greek, this clause is literally “it-is-necessary for-me to travel/go today and tomorrow and the following.” The verb “it is necessary” implies here that it was necessary for Jesus to keep going for a time </w:t>
      </w:r>
      <w:r>
        <w:rPr>
          <w:lang w:val="en_US" w:bidi="en_US"/>
        </w:rPr>
        <w:t>to fulfill God’s plan</w:t>
      </w:r>
      <w:r>
        <w:rPr>
          <w:lang w:val="en_US" w:bidi="en_US"/>
        </w:rPr>
        <w:t>.</w:t>
      </w:r>
    </w:p>
    <w:p>
      <w:pPr/>
      <w:r>
        <w:rPr>
          <w:lang w:val="en_US" w:bidi="en_US"/>
        </w:rPr>
      </w:r>
      <w:r>
        <w:rPr>
          <w:b/>
          <w:lang w:val="en_US" w:bidi="en_US"/>
        </w:rPr>
        <w:t>keep going:</w:t>
      </w:r>
      <w:r>
        <w:rPr>
          <w:lang w:val="en_US" w:bidi="en_US"/>
        </w:rPr>
        <w:t xml:space="preserve"> The verb that the BSB translates as </w:t>
      </w:r>
      <w:r>
        <w:rPr>
          <w:i/>
          <w:lang w:val="en_US" w:bidi="en_US"/>
        </w:rPr>
        <w:t>keep going</w:t>
      </w:r>
      <w:r>
        <w:rPr>
          <w:lang w:val="en_US" w:bidi="en_US"/>
        </w:rPr>
        <w:t xml:space="preserve"> refers not only to Jesus’ literal travel toward Jerusalem but also to his progress in accomplishing all his purposes. Both aspects of the meaning should be clear in your translation if possible.</w:t>
      </w:r>
    </w:p>
    <w:p>
      <w:pPr/>
      <w:r>
        <w:rPr>
          <w:lang w:val="en_US" w:bidi="en_US"/>
        </w:rPr>
      </w:r>
      <w:r>
        <w:rPr>
          <w:b/>
          <w:lang w:val="en_US" w:bidi="en_US"/>
        </w:rPr>
        <w:t>today and tomorrow and the next day:</w:t>
      </w:r>
      <w:r>
        <w:rPr>
          <w:lang w:val="en_US" w:bidi="en_US"/>
        </w:rPr>
        <w:t xml:space="preserve"> These three terms are used figuratively. They probably refer to the same period of time as the three terms in 13:32b–c. The NIV uses a dash at the end of this verse part. Most English versions do not.</w:t>
      </w:r>
    </w:p>
    <w:p>
      <w:pPr>
        <w:pStyle w:val="Heading5"/>
      </w:pPr>
      <w:r>
        <w:rPr>
          <w:lang w:val="en_US" w:bidi="en_US"/>
        </w:rPr>
        <w:t>13:33b</w:t>
      </w:r>
    </w:p>
    <w:p>
      <w:pPr/>
      <w:r>
        <w:rPr>
          <w:lang w:val="en_US" w:bidi="en_US"/>
        </w:rPr>
      </w:r>
      <w:r>
        <w:rPr>
          <w:b/>
          <w:lang w:val="en_US" w:bidi="en_US"/>
        </w:rPr>
        <w:t>for it is not admissible for a prophet to perish outside of Jerusalem.</w:t>
      </w:r>
    </w:p>
    <w:p>
      <w:pPr>
        <w:pStyle w:val="ListBullet"/>
        <w:spacing w:line="240" w:lineRule="auto"/>
        <w:ind w:left="720"/>
      </w:pPr>
      <w:r>
        <w:rPr>
          <w:lang w:val="en_US" w:bidi="en_US"/>
        </w:rPr>
      </w:r>
      <w:r>
        <w:rPr>
          <w:lang w:val="en_US" w:bidi="en_US"/>
        </w:rPr>
        <w:t>because Jerusalem seems to be the place where every prophet must die!</w:t>
      </w:r>
    </w:p>
    <w:p>
      <w:pPr>
        <w:pStyle w:val="ListBullet"/>
        <w:spacing w:line="240" w:lineRule="auto"/>
        <w:ind w:left="720"/>
      </w:pPr>
      <w:r>
        <w:rPr>
          <w:lang w:val="en_US" w:bidi="en_US"/>
        </w:rPr>
      </w:r>
      <w:r>
        <w:rPr>
          <w:lang w:val="en_US" w:bidi="en_US"/>
        </w:rPr>
        <w:t xml:space="preserve">After all, so many prophets have been killed in Jerusalem, it would seem wrong </w:t>
      </w:r>
      <w:r>
        <w:rPr>
          <w:lang w:val="en_US" w:bidi="en_US"/>
        </w:rPr>
        <w:t>for me</w:t>
      </w:r>
      <w:r>
        <w:rPr>
          <w:lang w:val="en_US" w:bidi="en_US"/>
        </w:rPr>
        <w:t xml:space="preserve"> to die in any other place!</w:t>
      </w:r>
    </w:p>
    <w:p>
      <w:pPr>
        <w:pStyle w:val="ListBullet"/>
        <w:spacing w:line="240" w:lineRule="auto"/>
        <w:ind w:left="720"/>
      </w:pPr>
      <w:r>
        <w:rPr>
          <w:lang w:val="en_US" w:bidi="en_US"/>
        </w:rPr>
      </w:r>
      <w:r>
        <w:rPr>
          <w:lang w:val="en_US" w:bidi="en_US"/>
        </w:rPr>
        <w:t xml:space="preserve">Isn’t it in Jerusalem where they kill all </w:t>
      </w:r>
      <w:r>
        <w:rPr>
          <w:lang w:val="en_US" w:bidi="en_US"/>
        </w:rPr>
        <w:t>God’s</w:t>
      </w:r>
      <w:r>
        <w:rPr>
          <w:lang w:val="en_US" w:bidi="en_US"/>
        </w:rPr>
        <w:t xml:space="preserve"> prophets? </w:t>
      </w:r>
      <w:r>
        <w:rPr>
          <w:lang w:val="en_US" w:bidi="en_US"/>
        </w:rPr>
        <w:t>How could I die anywhere else?</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for what Jesus had said in 13:33a.</w:t>
      </w:r>
    </w:p>
    <w:p>
      <w:pPr/>
      <w:r>
        <w:rPr>
          <w:lang w:val="en_US" w:bidi="en_US"/>
        </w:rPr>
      </w:r>
      <w:r>
        <w:rPr>
          <w:b/>
          <w:lang w:val="en_US" w:bidi="en_US"/>
        </w:rPr>
        <w:t>it is not admissible for a prophet to perish outside of Jerusalem:</w:t>
      </w:r>
      <w:r>
        <w:rPr>
          <w:lang w:val="en_US" w:bidi="en_US"/>
        </w:rPr>
        <w:t xml:space="preserve"> Here Jesus was using a figure of speech called irony. Jerusalem was the city that God had chosen for his temple. It was supposed to be the holy city, so it would be reasonable to think that the people of Jerusalem would welcome God’s prophets. However, the people of Jerusalem had killed so many prophets that Jerusalem had developed a reputation as a place where prophets were murdered. Jesus was stating this in an exaggerated, sarcastic way. He did not mean literally that every prophet died in Jerusalem.</w:t>
      </w:r>
    </w:p>
    <w:p>
      <w:pPr/>
      <w:r>
        <w:rPr>
          <w:lang w:val="en_US" w:bidi="en_US"/>
        </w:rPr>
      </w:r>
      <w:r>
        <w:rPr>
          <w:lang w:val="en_US" w:bidi="en_US"/>
        </w:rPr>
        <w:t>It can be very difficult to translate irony and sarcasm meaningfully. Some ways to translate this statement in English are:</w:t>
      </w:r>
    </w:p>
    <w:p>
      <w:pPr/>
      <w:r>
        <w:rPr>
          <w:lang w:val="en_US" w:bidi="en_US"/>
        </w:rPr>
      </w:r>
      <w:r>
        <w:rPr>
          <w:lang w:val="en_US" w:bidi="en_US"/>
        </w:rPr>
        <w:t>After all, Jerusalem is the place where prophets are killed. (CEV)</w:t>
      </w:r>
    </w:p>
    <w:p>
      <w:pPr/>
      <w:r>
        <w:rPr>
          <w:lang w:val="en_US" w:bidi="en_US"/>
        </w:rPr>
      </w:r>
      <w:r>
        <w:rPr>
          <w:lang w:val="en_US" w:bidi="en_US"/>
        </w:rPr>
        <w:t>Surely it cannot be right for a prophet to be killed anywhere except in Jerusalem. (NCV)</w:t>
      </w:r>
    </w:p>
    <w:p>
      <w:pPr/>
      <w:r>
        <w:rPr>
          <w:lang w:val="en_US" w:bidi="en_US"/>
        </w:rPr>
      </w:r>
      <w:r>
        <w:rPr>
          <w:lang w:val="en_US" w:bidi="en_US"/>
        </w:rPr>
        <w:t>it would never do for a prophet to meet his death outside Jerusalem! (JBP)</w:t>
      </w:r>
    </w:p>
    <w:p>
      <w:pPr/>
      <w:r>
        <w:rPr>
          <w:lang w:val="en_US" w:bidi="en_US"/>
        </w:rPr>
      </w:r>
      <w:r>
        <w:rPr>
          <w:lang w:val="en_US" w:bidi="en_US"/>
        </w:rPr>
        <w:t>By saying this, Jesus implied that he also was a prophet, and that people would kill him in Jerusalem. In some languages it may be necessary to make some of this information explicit. See the last two meaning lines in the Display for 13:33b.</w:t>
      </w:r>
    </w:p>
    <w:p>
      <w:pPr/>
      <w:r>
        <w:rPr>
          <w:lang w:val="en_US" w:bidi="en_US"/>
        </w:rPr>
      </w:r>
      <w:r>
        <w:rPr>
          <w:b/>
          <w:lang w:val="en_US" w:bidi="en_US"/>
        </w:rPr>
        <w:t>prophet:</w:t>
      </w:r>
      <w:r>
        <w:rPr>
          <w:lang w:val="en_US" w:bidi="en_US"/>
        </w:rPr>
        <w:t xml:space="preserve"> This is the same word as in 13:28b and 13:34b. See also prophet in the Glossary.</w:t>
      </w:r>
      <w:r>
        <w:rPr>
          <w:lang w:val="en_US" w:bidi="en_US"/>
        </w:rPr>
      </w:r>
      <w:r>
        <w:rPr>
          <w:lang w:val="en_US" w:bidi="en_US"/>
        </w:rPr>
      </w:r>
    </w:p>
    <w:p>
      <w:pPr/>
      <w:r>
        <w:rPr>
          <w:lang w:val="en_US" w:bidi="en_US"/>
        </w:rPr>
      </w:r>
    </w:p>
    <w:p>
      <w:pPr>
        <w:pStyle w:val="Heading2"/>
      </w:pPr>
      <w:r>
        <w:rPr>
          <w:lang w:val="en_US" w:bidi="en_US"/>
        </w:rPr>
        <w:t>Luke 13:34</w:t>
      </w:r>
      <w:r>
        <w:rPr>
          <w:lang w:val="en_US" w:bidi="en_US"/>
        </w:rPr>
      </w:r>
    </w:p>
    <w:p>
      <w:pPr>
        <w:pStyle w:val="Heading4"/>
      </w:pPr>
      <w:r>
        <w:rPr>
          <w:lang w:val="en_US" w:bidi="en_US"/>
        </w:rPr>
        <w:t>Section 13:31–35: Jesus grieved for the people in Jerusalem</w:t>
      </w:r>
    </w:p>
    <w:p>
      <w:pPr/>
      <w:r>
        <w:rPr>
          <w:lang w:val="en_US" w:bidi="en_US"/>
        </w:rPr>
      </w:r>
      <w:r>
        <w:rPr>
          <w:lang w:val="en_US" w:bidi="en_US"/>
        </w:rPr>
        <w:t>In this section Jesus spoke about how he would die in Jerusalem, as many other prophets had. He mourned that the people of Jerusalem would not turn to him so that he could save them from the coming destruction.</w:t>
      </w:r>
    </w:p>
    <w:p>
      <w:pPr/>
      <w:r>
        <w:rPr>
          <w:lang w:val="en_US" w:bidi="en_US"/>
        </w:rPr>
      </w:r>
      <w:r>
        <w:rPr>
          <w:lang w:val="en_US" w:bidi="en_US"/>
        </w:rPr>
        <w:t>Some other headings for this section are:</w:t>
      </w:r>
    </w:p>
    <w:p>
      <w:pPr/>
      <w:r>
        <w:rPr>
          <w:lang w:val="en_US" w:bidi="en_US"/>
        </w:rPr>
      </w:r>
      <w:r>
        <w:rPr>
          <w:lang w:val="en_US" w:bidi="en_US"/>
        </w:rPr>
        <w:t>Jesus’ Sorrow for Jerusalem (NIV)</w:t>
      </w:r>
    </w:p>
    <w:p>
      <w:pPr/>
      <w:r>
        <w:rPr>
          <w:lang w:val="en_US" w:bidi="en_US"/>
        </w:rPr>
      </w:r>
      <w:r>
        <w:rPr>
          <w:lang w:val="en_US" w:bidi="en_US"/>
        </w:rPr>
        <w:t>Jesus’ Love for the Residents of Jerusalem</w:t>
      </w:r>
    </w:p>
    <w:p>
      <w:pPr/>
      <w:r>
        <w:rPr>
          <w:lang w:val="en_US" w:bidi="en_US"/>
        </w:rPr>
      </w:r>
      <w:r>
        <w:rPr>
          <w:lang w:val="en_US" w:bidi="en_US"/>
        </w:rPr>
        <w:t>There is a parallel passage for this section in Matthew 23:37–39.</w:t>
      </w:r>
    </w:p>
    <w:p>
      <w:pPr>
        <w:pStyle w:val="Heading4"/>
      </w:pPr>
      <w:r>
        <w:rPr>
          <w:lang w:val="en_US" w:bidi="en_US"/>
        </w:rPr>
        <w:t>Paragraph 13:34–35</w:t>
      </w:r>
    </w:p>
    <w:p>
      <w:pPr/>
      <w:r>
        <w:rPr>
          <w:lang w:val="en_US" w:bidi="en_US"/>
        </w:rPr>
      </w:r>
      <w:r>
        <w:rPr>
          <w:lang w:val="en_US" w:bidi="en_US"/>
        </w:rPr>
        <w:t>In this paragraph Jesus spoke of his great sorrow for the people of Jerusalem. He knew that God would soon forsake them and would no longer protect them. The parallel passage in Matthew is almost identical, but the setting may be different. According to Matthew 21:23 and Matthew 24:1, Jesus may have been in the Temple area when he spoke these words. Here in Luke, he seems to be in Galilee (Herod’s territory) on his way to Jerusalem. Some scholars feel that Jesus may have spoken these words on more than one occasion. You should translate in a way that allows for either possibility.</w:t>
      </w:r>
    </w:p>
    <w:p>
      <w:pPr>
        <w:pStyle w:val="Heading5"/>
      </w:pPr>
      <w:r>
        <w:rPr>
          <w:lang w:val="en_US" w:bidi="en_US"/>
        </w:rPr>
        <w:t>13:34a</w:t>
      </w:r>
    </w:p>
    <w:p>
      <w:pPr/>
      <w:r>
        <w:rPr>
          <w:lang w:val="en_US" w:bidi="en_US"/>
        </w:rPr>
      </w:r>
      <w:r>
        <w:rPr>
          <w:b/>
          <w:lang w:val="en_US" w:bidi="en_US"/>
        </w:rPr>
        <w:t>O Jerusalem, Jerusalem,</w:t>
      </w:r>
    </w:p>
    <w:p>
      <w:pPr>
        <w:pStyle w:val="ListBullet"/>
        <w:spacing w:line="240" w:lineRule="auto"/>
        <w:ind w:left="720"/>
      </w:pPr>
      <w:r>
        <w:rPr>
          <w:lang w:val="en_US" w:bidi="en_US"/>
        </w:rPr>
      </w:r>
      <w:r>
        <w:rPr>
          <w:lang w:val="en_US" w:bidi="en_US"/>
        </w:rPr>
        <w:t>¶ “Jerusalem, Jerusalem,</w:t>
      </w:r>
    </w:p>
    <w:p>
      <w:pPr>
        <w:pStyle w:val="ListBullet"/>
        <w:spacing w:line="240" w:lineRule="auto"/>
        <w:ind w:left="720"/>
      </w:pPr>
      <w:r>
        <w:rPr>
          <w:lang w:val="en_US" w:bidi="en_US"/>
        </w:rPr>
      </w:r>
      <w:r>
        <w:rPr>
          <w:lang w:val="en_US" w:bidi="en_US"/>
        </w:rPr>
        <w:t xml:space="preserve">¶ “O </w:t>
      </w:r>
      <w:r>
        <w:rPr>
          <w:lang w:val="en_US" w:bidi="en_US"/>
        </w:rPr>
        <w:t>you people of</w:t>
      </w:r>
      <w:r>
        <w:rPr>
          <w:lang w:val="en_US" w:bidi="en_US"/>
        </w:rPr>
        <w:t xml:space="preserve"> Jerusalem! </w:t>
      </w:r>
      <w:r>
        <w:rPr>
          <w:lang w:val="en_US" w:bidi="en_US"/>
        </w:rPr>
        <w:t>You</w:t>
      </w:r>
      <w:r>
        <w:rPr>
          <w:vertAlign w:val="superscript"/>
          <w:lang w:val="en_US" w:bidi="en_US"/>
        </w:rPr>
        <w:t>(plur)</w:t>
      </w:r>
      <w:r>
        <w:rPr>
          <w:lang w:val="en_US" w:bidi="en_US"/>
        </w:rPr>
        <w:t xml:space="preserve"> </w:t>
      </w:r>
      <w:r>
        <w:rPr>
          <w:lang w:val="en_US" w:bidi="en_US"/>
        </w:rPr>
        <w:t>have caused me such sorrow!</w:t>
      </w:r>
    </w:p>
    <w:p>
      <w:pPr>
        <w:pStyle w:val="ListBullet"/>
        <w:spacing w:line="240" w:lineRule="auto"/>
        <w:ind w:left="720"/>
      </w:pPr>
      <w:r>
        <w:rPr>
          <w:lang w:val="en_US" w:bidi="en_US"/>
        </w:rPr>
      </w:r>
      <w:r>
        <w:rPr>
          <w:lang w:val="en_US" w:bidi="en_US"/>
        </w:rPr>
        <w:t xml:space="preserve">¶ </w:t>
      </w:r>
      <w:r>
        <w:rPr>
          <w:lang w:val="en_US" w:bidi="en_US"/>
        </w:rPr>
        <w:t>Then Jesus said,</w:t>
      </w:r>
      <w:r>
        <w:rPr>
          <w:lang w:val="en_US" w:bidi="en_US"/>
        </w:rPr>
        <w:t xml:space="preserve"> “</w:t>
      </w:r>
      <w:r>
        <w:rPr>
          <w:lang w:val="en_US" w:bidi="en_US"/>
        </w:rPr>
        <w:t>I am very sad about the inhabitants of</w:t>
      </w:r>
      <w:r>
        <w:rPr>
          <w:lang w:val="en_US" w:bidi="en_US"/>
        </w:rPr>
        <w:t xml:space="preserve"> Jerusalem.</w:t>
      </w:r>
    </w:p>
    <w:p>
      <w:pPr/>
      <w:r>
        <w:rPr>
          <w:lang w:val="en_US" w:bidi="en_US"/>
        </w:rPr>
      </w:r>
      <w:r>
        <w:rPr>
          <w:b/>
          <w:lang w:val="en_US" w:bidi="en_US"/>
        </w:rPr>
        <w:t>O Jerusalem, Jerusalem:</w:t>
      </w:r>
      <w:r>
        <w:rPr>
          <w:lang w:val="en_US" w:bidi="en_US"/>
        </w:rPr>
        <w:t xml:space="preserve"> Jesus was using a figure of speech here. He was speaking to the city of Jerusalem as if it were a person who was present and could hear him. This may seem strange or be hard to understand in some languages. It may be necessary to make it clear that the name of the city represents its inhabitants. For example:</w:t>
      </w:r>
    </w:p>
    <w:p>
      <w:pPr/>
      <w:r>
        <w:rPr>
          <w:lang w:val="en_US" w:bidi="en_US"/>
        </w:rPr>
      </w:r>
      <w:r>
        <w:rPr>
          <w:lang w:val="en_US" w:bidi="en_US"/>
        </w:rPr>
        <w:t xml:space="preserve">O </w:t>
      </w:r>
      <w:r>
        <w:rPr>
          <w:lang w:val="en_US" w:bidi="en_US"/>
        </w:rPr>
        <w:t>people of</w:t>
      </w:r>
      <w:r>
        <w:rPr>
          <w:lang w:val="en_US" w:bidi="en_US"/>
        </w:rPr>
        <w:t xml:space="preserve"> Jerusalem! O </w:t>
      </w:r>
      <w:r>
        <w:rPr>
          <w:lang w:val="en_US" w:bidi="en_US"/>
        </w:rPr>
        <w:t>people of</w:t>
      </w:r>
      <w:r>
        <w:rPr>
          <w:lang w:val="en_US" w:bidi="en_US"/>
        </w:rPr>
        <w:t xml:space="preserve"> Jerusalem!</w:t>
      </w:r>
    </w:p>
    <w:p>
      <w:pPr/>
      <w:r>
        <w:rPr>
          <w:lang w:val="en_US" w:bidi="en_US"/>
        </w:rPr>
      </w:r>
      <w:r>
        <w:rPr>
          <w:lang w:val="en_US" w:bidi="en_US"/>
        </w:rPr>
        <w:t xml:space="preserve">The word </w:t>
      </w:r>
      <w:r>
        <w:rPr>
          <w:i/>
          <w:lang w:val="en_US" w:bidi="en_US"/>
        </w:rPr>
        <w:t>Jerusalem</w:t>
      </w:r>
      <w:r>
        <w:rPr>
          <w:lang w:val="en_US" w:bidi="en_US"/>
        </w:rPr>
        <w:t xml:space="preserve"> is repeated here because that was a normal style for addressing someone in a sad or reproachful way. Some languages may have a different way to indicate this feeling. For example:</w:t>
      </w:r>
    </w:p>
    <w:p>
      <w:pPr/>
      <w:r>
        <w:rPr>
          <w:lang w:val="en_US" w:bidi="en_US"/>
        </w:rPr>
      </w:r>
      <w:r>
        <w:rPr>
          <w:lang w:val="en_US" w:bidi="en_US"/>
        </w:rPr>
        <w:t xml:space="preserve">Oh </w:t>
      </w:r>
      <w:r>
        <w:rPr>
          <w:lang w:val="en_US" w:bidi="en_US"/>
        </w:rPr>
        <w:t>how I grieve for you</w:t>
      </w:r>
      <w:r>
        <w:rPr>
          <w:lang w:val="en_US" w:bidi="en_US"/>
        </w:rPr>
        <w:t xml:space="preserve">, </w:t>
      </w:r>
      <w:r>
        <w:rPr>
          <w:lang w:val="en_US" w:bidi="en_US"/>
        </w:rPr>
        <w:t>you people in/from</w:t>
      </w:r>
      <w:r>
        <w:rPr>
          <w:lang w:val="en_US" w:bidi="en_US"/>
        </w:rPr>
        <w:t xml:space="preserve"> Jerusalem!</w:t>
      </w:r>
    </w:p>
    <w:p>
      <w:pPr/>
      <w:r>
        <w:rPr>
          <w:lang w:val="en_US" w:bidi="en_US"/>
        </w:rPr>
      </w:r>
      <w:r>
        <w:rPr>
          <w:lang w:val="en_US" w:bidi="en_US"/>
        </w:rPr>
        <w:t xml:space="preserve">Oh! </w:t>
      </w:r>
      <w:r>
        <w:rPr>
          <w:lang w:val="en_US" w:bidi="en_US"/>
        </w:rPr>
        <w:t>You residents of</w:t>
      </w:r>
      <w:r>
        <w:rPr>
          <w:lang w:val="en_US" w:bidi="en_US"/>
        </w:rPr>
        <w:t xml:space="preserve"> Jerusalem! </w:t>
      </w:r>
      <w:r>
        <w:rPr>
          <w:lang w:val="en_US" w:bidi="en_US"/>
        </w:rPr>
        <w:t>I am so sad about you!</w:t>
      </w:r>
    </w:p>
    <w:p>
      <w:pPr/>
      <w:r>
        <w:rPr>
          <w:lang w:val="en_US" w:bidi="en_US"/>
        </w:rPr>
      </w:r>
      <w:r>
        <w:rPr>
          <w:lang w:val="en_US" w:bidi="en_US"/>
        </w:rPr>
        <w:t>In some languages it may also be unnatural to address someone who is not there. If that is true in your language, you may need to adjust this figure of speech so that Jesus is talking about the people in Jerusalem, not talking directly to them. For example:</w:t>
      </w:r>
    </w:p>
    <w:p>
      <w:pPr/>
      <w:r>
        <w:rPr>
          <w:lang w:val="en_US" w:bidi="en_US"/>
        </w:rPr>
      </w:r>
      <w:r>
        <w:rPr>
          <w:lang w:val="en_US" w:bidi="en_US"/>
        </w:rPr>
        <w:t>I feel great sorrow because of the inhabitants of</w:t>
      </w:r>
      <w:r>
        <w:rPr>
          <w:lang w:val="en_US" w:bidi="en_US"/>
        </w:rPr>
        <w:t xml:space="preserve"> Jerusalem. They kill the prophets…</w:t>
      </w:r>
    </w:p>
    <w:p>
      <w:pPr/>
      <w:r>
        <w:rPr>
          <w:lang w:val="en_US" w:bidi="en_US"/>
        </w:rPr>
      </w:r>
      <w:r>
        <w:rPr>
          <w:lang w:val="en_US" w:bidi="en_US"/>
        </w:rPr>
        <w:t>If you change “you” to “they” in this phrase, you will need to make similar changes to the other pronouns in the rest of this verse and in 13:35.</w:t>
      </w:r>
    </w:p>
    <w:p>
      <w:pPr>
        <w:pStyle w:val="Heading5"/>
      </w:pPr>
      <w:r>
        <w:rPr>
          <w:lang w:val="en_US" w:bidi="en_US"/>
        </w:rPr>
        <w:t>13:34b</w:t>
      </w:r>
    </w:p>
    <w:p>
      <w:pPr/>
      <w:r>
        <w:rPr>
          <w:lang w:val="en_US" w:bidi="en_US"/>
        </w:rPr>
      </w:r>
      <w:r>
        <w:rPr>
          <w:b/>
          <w:lang w:val="en_US" w:bidi="en_US"/>
        </w:rPr>
        <w:t>who kills the prophets and stones those sent to her,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kill </w:t>
      </w:r>
      <w:r>
        <w:rPr>
          <w:lang w:val="en_US" w:bidi="en_US"/>
        </w:rPr>
        <w:t>God’s</w:t>
      </w:r>
      <w:r>
        <w:rPr>
          <w:lang w:val="en_US" w:bidi="en_US"/>
        </w:rPr>
        <w:t xml:space="preserve"> prophets! Yes, you throw stones at the people God has sent to you!</w:t>
      </w:r>
    </w:p>
    <w:p>
      <w:pPr>
        <w:pStyle w:val="ListBullet"/>
        <w:spacing w:line="240" w:lineRule="auto"/>
        <w:ind w:left="720"/>
      </w:pPr>
      <w:r>
        <w:rPr>
          <w:lang w:val="en_US" w:bidi="en_US"/>
        </w:rPr>
      </w:r>
      <w:r>
        <w:rPr>
          <w:lang w:val="en_US" w:bidi="en_US"/>
        </w:rPr>
        <w:t xml:space="preserve">You people have </w:t>
      </w:r>
      <w:r>
        <w:rPr>
          <w:lang w:val="en_US" w:bidi="en_US"/>
        </w:rPr>
        <w:t>habitually/repeatedly</w:t>
      </w:r>
      <w:r>
        <w:rPr>
          <w:lang w:val="en_US" w:bidi="en_US"/>
        </w:rPr>
        <w:t xml:space="preserve"> stoned to death the prophets whom God sent to you.</w:t>
      </w:r>
    </w:p>
    <w:p>
      <w:pPr>
        <w:pStyle w:val="ListBullet"/>
        <w:spacing w:line="240" w:lineRule="auto"/>
        <w:ind w:left="720"/>
      </w:pPr>
      <w:r>
        <w:rPr>
          <w:lang w:val="en_US" w:bidi="en_US"/>
        </w:rPr>
      </w:r>
      <w:r>
        <w:rPr>
          <w:lang w:val="en_US" w:bidi="en_US"/>
        </w:rPr>
        <w:t>It has been their custom to kill God’s spokesmen by throwing stones at them.</w:t>
      </w:r>
    </w:p>
    <w:p>
      <w:pPr/>
      <w:r>
        <w:rPr>
          <w:lang w:val="en_US" w:bidi="en_US"/>
        </w:rPr>
      </w:r>
      <w:r>
        <w:rPr>
          <w:b/>
          <w:lang w:val="en_US" w:bidi="en_US"/>
        </w:rPr>
        <w:t>who kills the prophets:</w:t>
      </w:r>
      <w:r>
        <w:rPr>
          <w:lang w:val="en_US" w:bidi="en_US"/>
        </w:rPr>
        <w:t xml:space="preserve"> The Greek clause that the BSB translates as </w:t>
      </w:r>
      <w:r>
        <w:rPr>
          <w:i/>
          <w:lang w:val="en_US" w:bidi="en_US"/>
        </w:rPr>
        <w:t>who kills the prophets</w:t>
      </w:r>
      <w:r>
        <w:rPr>
          <w:lang w:val="en_US" w:bidi="en_US"/>
        </w:rPr>
        <w:t xml:space="preserve"> is more literally “the one killing the prophets.” Even though this is in the third person, Jesus was continuing to address the city of Jerusalem directly, as he began to do in 13:34a. If you used a phrase like “you inhabitants of Jerusalem” there, here you may say something like:</w:t>
      </w:r>
    </w:p>
    <w:p>
      <w:pPr/>
      <w:r>
        <w:rPr>
          <w:lang w:val="en_US" w:bidi="en_US"/>
        </w:rPr>
      </w:r>
      <w:r>
        <w:rPr>
          <w:lang w:val="en_US" w:bidi="en_US"/>
        </w:rPr>
        <w:t>you who kill the prophets (NIV)</w:t>
      </w:r>
    </w:p>
    <w:p>
      <w:pPr/>
      <w:r>
        <w:rPr>
          <w:lang w:val="en_US" w:bidi="en_US"/>
        </w:rPr>
      </w:r>
      <w:r>
        <w:rPr>
          <w:lang w:val="en_US" w:bidi="en_US"/>
        </w:rPr>
        <w:t>You would need to use a plural form of “you.”</w:t>
      </w:r>
    </w:p>
    <w:p>
      <w:pPr/>
      <w:r>
        <w:rPr>
          <w:lang w:val="en_US" w:bidi="en_US"/>
        </w:rPr>
      </w:r>
      <w:r>
        <w:rPr>
          <w:b/>
          <w:lang w:val="en_US" w:bidi="en_US"/>
        </w:rPr>
        <w:t>kills:</w:t>
      </w:r>
      <w:r>
        <w:rPr>
          <w:lang w:val="en_US" w:bidi="en_US"/>
        </w:rPr>
        <w:t xml:space="preserve"> The Greek word that the BSB translates as </w:t>
      </w:r>
      <w:r>
        <w:rPr>
          <w:i/>
          <w:lang w:val="en_US" w:bidi="en_US"/>
        </w:rPr>
        <w:t>kills</w:t>
      </w:r>
      <w:r>
        <w:rPr>
          <w:lang w:val="en_US" w:bidi="en_US"/>
        </w:rPr>
        <w:t xml:space="preserve"> indicates habitual action. The people living in Jerusalem had murdered God’s prophets over the past centuries and were ready to do so again.</w:t>
      </w:r>
    </w:p>
    <w:p>
      <w:pPr/>
      <w:r>
        <w:rPr>
          <w:lang w:val="en_US" w:bidi="en_US"/>
        </w:rPr>
      </w:r>
      <w:r>
        <w:rPr>
          <w:b/>
          <w:lang w:val="en_US" w:bidi="en_US"/>
        </w:rPr>
        <w:t>and stones those sent to her:</w:t>
      </w:r>
      <w:r>
        <w:rPr>
          <w:lang w:val="en_US" w:bidi="en_US"/>
        </w:rPr>
        <w:t xml:space="preserve"> The clause </w:t>
      </w:r>
      <w:r>
        <w:rPr>
          <w:i/>
          <w:lang w:val="en_US" w:bidi="en_US"/>
        </w:rPr>
        <w:t>stones those sent to her</w:t>
      </w:r>
      <w:r>
        <w:rPr>
          <w:lang w:val="en_US" w:bidi="en_US"/>
        </w:rPr>
        <w:t xml:space="preserve"> and the previous clause “who kills the prophets” are parallel, but the verb </w:t>
      </w:r>
      <w:r>
        <w:rPr>
          <w:i/>
          <w:lang w:val="en_US" w:bidi="en_US"/>
        </w:rPr>
        <w:t>stones</w:t>
      </w:r>
      <w:r>
        <w:rPr>
          <w:lang w:val="en_US" w:bidi="en_US"/>
        </w:rPr>
        <w:t xml:space="preserve"> is more specific than “kills.” In some languages, it may be necessary to adjust the parallel statements to show that “kill” and “stone” refer to the same action, and that </w:t>
      </w:r>
      <w:r>
        <w:rPr>
          <w:i/>
          <w:lang w:val="en_US" w:bidi="en_US"/>
        </w:rPr>
        <w:t>prophets</w:t>
      </w:r>
      <w:r>
        <w:rPr>
          <w:lang w:val="en_US" w:bidi="en_US"/>
        </w:rPr>
        <w:t xml:space="preserve"> and </w:t>
      </w:r>
      <w:r>
        <w:rPr>
          <w:i/>
          <w:lang w:val="en_US" w:bidi="en_US"/>
        </w:rPr>
        <w:t>those sent</w:t>
      </w:r>
      <w:r>
        <w:rPr>
          <w:lang w:val="en_US" w:bidi="en_US"/>
        </w:rPr>
        <w:t xml:space="preserve"> refer to the same people. For example:</w:t>
      </w:r>
    </w:p>
    <w:p>
      <w:pPr/>
      <w:r>
        <w:rPr>
          <w:lang w:val="en_US" w:bidi="en_US"/>
        </w:rPr>
      </w:r>
      <w:r>
        <w:rPr>
          <w:lang w:val="en_US" w:bidi="en_US"/>
        </w:rPr>
        <w:t>You have repeatedly killed the prophets! Yes, you have repeatedly stoned those sent to you!</w:t>
      </w:r>
    </w:p>
    <w:p>
      <w:pPr/>
      <w:r>
        <w:rPr>
          <w:lang w:val="en_US" w:bidi="en_US"/>
        </w:rPr>
      </w:r>
      <w:r>
        <w:rPr>
          <w:lang w:val="en_US" w:bidi="en_US"/>
        </w:rPr>
        <w:t>You habitually kill the prophets whom God sends to you by stoning them to death!</w:t>
      </w:r>
    </w:p>
    <w:p>
      <w:pPr/>
      <w:r>
        <w:rPr>
          <w:lang w:val="en_US" w:bidi="en_US"/>
        </w:rPr>
      </w:r>
      <w:r>
        <w:rPr>
          <w:b/>
          <w:lang w:val="en_US" w:bidi="en_US"/>
        </w:rPr>
        <w:t>stones:</w:t>
      </w:r>
      <w:r>
        <w:rPr>
          <w:lang w:val="en_US" w:bidi="en_US"/>
        </w:rPr>
        <w:t xml:space="preserve"> The verb </w:t>
      </w:r>
      <w:r>
        <w:rPr>
          <w:i/>
          <w:lang w:val="en_US" w:bidi="en_US"/>
        </w:rPr>
        <w:t>stones</w:t>
      </w:r>
      <w:r>
        <w:rPr>
          <w:lang w:val="en_US" w:bidi="en_US"/>
        </w:rPr>
        <w:t xml:space="preserve"> means to kill someone by throwing stones at them. This was the way in which Jewish leaders usually put criminals to death. In some languages, </w:t>
      </w:r>
      <w:r>
        <w:rPr>
          <w:i/>
          <w:lang w:val="en_US" w:bidi="en_US"/>
        </w:rPr>
        <w:t>stones</w:t>
      </w:r>
      <w:r>
        <w:rPr>
          <w:lang w:val="en_US" w:bidi="en_US"/>
        </w:rPr>
        <w:t xml:space="preserve"> is not used as a verb and stoning is not recognized as a means of execution. If that is true in your language, it may be necessary to use a descriptive phrase. For example:</w:t>
      </w:r>
    </w:p>
    <w:p>
      <w:pPr/>
      <w:r>
        <w:rPr>
          <w:lang w:val="en_US" w:bidi="en_US"/>
        </w:rPr>
      </w:r>
      <w:r>
        <w:rPr>
          <w:u w:val="single"/>
          <w:lang w:val="en_US" w:bidi="en_US"/>
        </w:rPr>
        <w:t>throw stones</w:t>
      </w:r>
      <w:r>
        <w:rPr>
          <w:lang w:val="en_US" w:bidi="en_US"/>
        </w:rPr>
        <w:t xml:space="preserve"> at those whom God has sent to you </w:t>
      </w:r>
      <w:r>
        <w:rPr>
          <w:u w:val="single"/>
          <w:lang w:val="en_US" w:bidi="en_US"/>
        </w:rPr>
        <w:t>until they die</w:t>
      </w:r>
    </w:p>
    <w:p>
      <w:pPr/>
      <w:r>
        <w:rPr>
          <w:lang w:val="en_US" w:bidi="en_US"/>
        </w:rPr>
      </w:r>
      <w:r>
        <w:rPr>
          <w:u w:val="single"/>
          <w:lang w:val="en_US" w:bidi="en_US"/>
        </w:rPr>
        <w:t>kill</w:t>
      </w:r>
      <w:r>
        <w:rPr>
          <w:lang w:val="en_US" w:bidi="en_US"/>
        </w:rPr>
        <w:t xml:space="preserve"> them </w:t>
      </w:r>
      <w:r>
        <w:rPr>
          <w:u w:val="single"/>
          <w:lang w:val="en_US" w:bidi="en_US"/>
        </w:rPr>
        <w:t>by throwing stones</w:t>
      </w:r>
      <w:r>
        <w:rPr>
          <w:lang w:val="en_US" w:bidi="en_US"/>
        </w:rPr>
        <w:t xml:space="preserve"> at them</w:t>
      </w:r>
    </w:p>
    <w:p>
      <w:pPr/>
      <w:r>
        <w:rPr>
          <w:lang w:val="en_US" w:bidi="en_US"/>
        </w:rPr>
      </w:r>
      <w:r>
        <w:rPr>
          <w:b/>
          <w:lang w:val="en_US" w:bidi="en_US"/>
        </w:rPr>
        <w:t>those sent to her:</w:t>
      </w:r>
      <w:r>
        <w:rPr>
          <w:lang w:val="en_US" w:bidi="en_US"/>
        </w:rPr>
        <w:t xml:space="preserve"> The verb </w:t>
      </w:r>
      <w:r>
        <w:rPr>
          <w:i/>
          <w:lang w:val="en_US" w:bidi="en_US"/>
        </w:rPr>
        <w:t>sent</w:t>
      </w:r>
      <w:r>
        <w:rPr>
          <w:lang w:val="en_US" w:bidi="en_US"/>
        </w:rPr>
        <w:t xml:space="preserve"> is passive. In some languages it may be necessary to use an active verb and supply the implied subject, God. Although Jesus is speaking in the third person, he is addressing the people of Jerusalem directly, so it may be appropriate in your language to say “you” (plural). For example:</w:t>
      </w:r>
    </w:p>
    <w:p>
      <w:pPr/>
      <w:r>
        <w:rPr>
          <w:lang w:val="en_US" w:bidi="en_US"/>
        </w:rPr>
      </w:r>
      <w:r>
        <w:rPr>
          <w:lang w:val="en_US" w:bidi="en_US"/>
        </w:rPr>
        <w:t xml:space="preserve">whom </w:t>
      </w:r>
      <w:r>
        <w:rPr>
          <w:lang w:val="en_US" w:bidi="en_US"/>
        </w:rPr>
        <w:t>God</w:t>
      </w:r>
      <w:r>
        <w:rPr>
          <w:lang w:val="en_US" w:bidi="en_US"/>
        </w:rPr>
        <w:t xml:space="preserve"> has sent to you</w:t>
      </w:r>
    </w:p>
    <w:p>
      <w:pPr>
        <w:pStyle w:val="Heading5"/>
      </w:pPr>
      <w:r>
        <w:rPr>
          <w:lang w:val="en_US" w:bidi="en_US"/>
        </w:rPr>
        <w:t>13:34c</w:t>
      </w:r>
    </w:p>
    <w:p>
      <w:pPr/>
      <w:r>
        <w:rPr>
          <w:lang w:val="en_US" w:bidi="en_US"/>
        </w:rPr>
      </w:r>
      <w:r>
        <w:rPr>
          <w:b/>
          <w:lang w:val="en_US" w:bidi="en_US"/>
        </w:rPr>
        <w:t>how often I have longed to gather your children together</w:t>
      </w:r>
    </w:p>
    <w:p>
      <w:pPr>
        <w:pStyle w:val="ListBullet"/>
        <w:spacing w:line="240" w:lineRule="auto"/>
        <w:ind w:left="720"/>
      </w:pPr>
      <w:r>
        <w:rPr>
          <w:lang w:val="en_US" w:bidi="en_US"/>
        </w:rPr>
      </w:r>
      <w:r>
        <w:rPr>
          <w:lang w:val="en_US" w:bidi="en_US"/>
        </w:rPr>
        <w:t>Many times I have wanted very much to protect your</w:t>
      </w:r>
      <w:r>
        <w:rPr>
          <w:vertAlign w:val="superscript"/>
          <w:lang w:val="en_US" w:bidi="en_US"/>
        </w:rPr>
        <w:t>(sing)</w:t>
      </w:r>
      <w:r>
        <w:rPr>
          <w:lang w:val="en_US" w:bidi="en_US"/>
        </w:rPr>
        <w:t xml:space="preserve"> inhabitants</w:t>
      </w:r>
    </w:p>
    <w:p>
      <w:pPr>
        <w:pStyle w:val="ListBullet"/>
        <w:spacing w:line="240" w:lineRule="auto"/>
        <w:ind w:left="720"/>
      </w:pPr>
      <w:r>
        <w:rPr>
          <w:lang w:val="en_US" w:bidi="en_US"/>
        </w:rPr>
      </w:r>
      <w:r>
        <w:rPr>
          <w:lang w:val="en_US" w:bidi="en_US"/>
        </w:rPr>
        <w:t>I have often had a strong desire to spare you</w:t>
      </w:r>
      <w:r>
        <w:rPr>
          <w:vertAlign w:val="superscript"/>
          <w:lang w:val="en_US" w:bidi="en_US"/>
        </w:rPr>
        <w:t>(plur)</w:t>
      </w:r>
      <w:r>
        <w:rPr>
          <w:lang w:val="en_US" w:bidi="en_US"/>
        </w:rPr>
        <w:t xml:space="preserve"> </w:t>
      </w:r>
      <w:r>
        <w:rPr>
          <w:lang w:val="en_US" w:bidi="en_US"/>
        </w:rPr>
        <w:t>and your fellow countrymen</w:t>
      </w:r>
      <w:r>
        <w:rPr>
          <w:lang w:val="en_US" w:bidi="en_US"/>
        </w:rPr>
        <w:t xml:space="preserve"> </w:t>
      </w:r>
      <w:r>
        <w:rPr>
          <w:lang w:val="en_US" w:bidi="en_US"/>
        </w:rPr>
        <w:t>from danger/judgment</w:t>
      </w:r>
    </w:p>
    <w:p>
      <w:pPr>
        <w:pStyle w:val="ListBullet"/>
        <w:spacing w:line="240" w:lineRule="auto"/>
        <w:ind w:left="720"/>
      </w:pPr>
      <w:r>
        <w:rPr>
          <w:lang w:val="en_US" w:bidi="en_US"/>
        </w:rPr>
      </w:r>
      <w:r>
        <w:rPr>
          <w:lang w:val="en_US" w:bidi="en_US"/>
        </w:rPr>
        <w:t xml:space="preserve">Many times I have wanted to protect the people of Jerusalem </w:t>
      </w:r>
      <w:r>
        <w:rPr>
          <w:lang w:val="en_US" w:bidi="en_US"/>
        </w:rPr>
        <w:t>so that they will not experience God’s judgment</w:t>
      </w:r>
      <w:r>
        <w:rPr>
          <w:lang w:val="en_US" w:bidi="en_US"/>
        </w:rPr>
        <w:t>,</w:t>
      </w:r>
    </w:p>
    <w:p>
      <w:pPr>
        <w:pStyle w:val="Heading5"/>
      </w:pPr>
      <w:r>
        <w:rPr>
          <w:lang w:val="en_US" w:bidi="en_US"/>
        </w:rPr>
        <w:t>13:34d</w:t>
      </w:r>
    </w:p>
    <w:p>
      <w:pPr/>
      <w:r>
        <w:rPr>
          <w:lang w:val="en_US" w:bidi="en_US"/>
        </w:rPr>
      </w:r>
      <w:r>
        <w:rPr>
          <w:b/>
          <w:lang w:val="en_US" w:bidi="en_US"/>
        </w:rPr>
        <w:t>as a hen gathers her chicks under her wings,</w:t>
      </w:r>
    </w:p>
    <w:p>
      <w:pPr>
        <w:pStyle w:val="ListBullet"/>
        <w:spacing w:line="240" w:lineRule="auto"/>
        <w:ind w:left="720"/>
      </w:pPr>
      <w:r>
        <w:rPr>
          <w:lang w:val="en_US" w:bidi="en_US"/>
        </w:rPr>
      </w:r>
      <w:r>
        <w:rPr>
          <w:lang w:val="en_US" w:bidi="en_US"/>
        </w:rPr>
        <w:t>just like a mother chicken gathers her chicks and covers them with her wings.</w:t>
      </w:r>
    </w:p>
    <w:p>
      <w:pPr>
        <w:pStyle w:val="ListBullet"/>
        <w:spacing w:line="240" w:lineRule="auto"/>
        <w:ind w:left="720"/>
      </w:pPr>
      <w:r>
        <w:rPr>
          <w:lang w:val="en_US" w:bidi="en_US"/>
        </w:rPr>
      </w:r>
      <w:r>
        <w:rPr>
          <w:lang w:val="en_US" w:bidi="en_US"/>
        </w:rPr>
        <w:t>in the same way that a hen shelters her babies beneath her wings.</w:t>
      </w:r>
    </w:p>
    <w:p>
      <w:pPr>
        <w:pStyle w:val="Heading5"/>
      </w:pPr>
      <w:r>
        <w:rPr>
          <w:lang w:val="en_US" w:bidi="en_US"/>
        </w:rPr>
        <w:t>13:34c–d</w:t>
      </w:r>
    </w:p>
    <w:p>
      <w:pPr/>
      <w:r>
        <w:rPr>
          <w:lang w:val="en_US" w:bidi="en_US"/>
        </w:rPr>
      </w:r>
      <w:r>
        <w:rPr>
          <w:b/>
          <w:lang w:val="en_US" w:bidi="en_US"/>
        </w:rPr>
        <w:t>how often:</w:t>
      </w:r>
      <w:r>
        <w:rPr>
          <w:lang w:val="en_US" w:bidi="en_US"/>
        </w:rPr>
        <w:t xml:space="preserve"> The phrase </w:t>
      </w:r>
      <w:r>
        <w:rPr>
          <w:i/>
          <w:lang w:val="en_US" w:bidi="en_US"/>
        </w:rPr>
        <w:t>how often</w:t>
      </w:r>
      <w:r>
        <w:rPr>
          <w:lang w:val="en_US" w:bidi="en_US"/>
        </w:rPr>
        <w:t xml:space="preserve"> introduces an exclamation. It means “many times.”</w:t>
      </w:r>
    </w:p>
    <w:p>
      <w:pPr/>
      <w:r>
        <w:rPr>
          <w:lang w:val="en_US" w:bidi="en_US"/>
        </w:rPr>
      </w:r>
      <w:r>
        <w:rPr>
          <w:b/>
          <w:lang w:val="en_US" w:bidi="en_US"/>
        </w:rPr>
        <w:t>I have longed to gather your children together as a hen gathers her chicks under her wings:</w:t>
      </w:r>
      <w:r>
        <w:rPr>
          <w:lang w:val="en_US" w:bidi="en_US"/>
        </w:rPr>
        <w:t xml:space="preserve"> This is a simile. Jesus was saying that he had wanted to protect the people from danger and from judgment in the way that a mother chicken protects her babies.</w:t>
      </w:r>
    </w:p>
    <w:p>
      <w:pPr/>
      <w:r>
        <w:rPr>
          <w:lang w:val="en_US" w:bidi="en_US"/>
        </w:rPr>
      </w:r>
      <w:r>
        <w:rPr>
          <w:b/>
          <w:lang w:val="en_US" w:bidi="en_US"/>
        </w:rPr>
        <w:t>your children:</w:t>
      </w:r>
      <w:r>
        <w:rPr>
          <w:lang w:val="en_US" w:bidi="en_US"/>
        </w:rPr>
        <w:t xml:space="preserve"> The phrase </w:t>
      </w:r>
      <w:r>
        <w:rPr>
          <w:i/>
          <w:lang w:val="en_US" w:bidi="en_US"/>
        </w:rPr>
        <w:t>your children</w:t>
      </w:r>
      <w:r>
        <w:rPr>
          <w:lang w:val="en_US" w:bidi="en_US"/>
        </w:rPr>
        <w:t xml:space="preserve"> is a figurative way to refer to the inhabitants of Jerusalem. It does not refer to literal children. For example:</w:t>
      </w:r>
    </w:p>
    <w:p>
      <w:pPr/>
      <w:r>
        <w:rPr>
          <w:lang w:val="en_US" w:bidi="en_US"/>
        </w:rPr>
      </w:r>
      <w:r>
        <w:rPr>
          <w:lang w:val="en_US" w:bidi="en_US"/>
        </w:rPr>
        <w:t>your people (NCV)</w:t>
      </w:r>
    </w:p>
    <w:p>
      <w:pPr/>
      <w:r>
        <w:rPr>
          <w:lang w:val="en_US" w:bidi="en_US"/>
        </w:rPr>
      </w:r>
      <w:r>
        <w:rPr>
          <w:lang w:val="en_US" w:bidi="en_US"/>
        </w:rPr>
        <w:t>Some scholars feel that Jerusalem represented the whole nation of Israel here. In some translations you may want to put this information in a footnote. For example:</w:t>
      </w:r>
    </w:p>
    <w:p>
      <w:pPr/>
      <w:r>
        <w:rPr>
          <w:lang w:val="en_US" w:bidi="en_US"/>
        </w:rPr>
      </w:r>
      <w:r>
        <w:rPr>
          <w:lang w:val="en_US" w:bidi="en_US"/>
        </w:rPr>
        <w:t>When Jesus spoke about the inhabitants of Jerusalem, he was also including their fellow countrymen.</w:t>
      </w:r>
    </w:p>
    <w:p>
      <w:pPr/>
      <w:r>
        <w:rPr>
          <w:lang w:val="en_US" w:bidi="en_US"/>
        </w:rPr>
      </w:r>
      <w:r>
        <w:rPr>
          <w:b/>
          <w:lang w:val="en_US" w:bidi="en_US"/>
        </w:rPr>
        <w:t>as a hen gathers her chicks under her wings:</w:t>
      </w:r>
      <w:r>
        <w:rPr>
          <w:lang w:val="en_US" w:bidi="en_US"/>
        </w:rPr>
        <w:t xml:space="preserve"> Hens gather their chicks under their wings in order to protect them from danger. For example:</w:t>
      </w:r>
    </w:p>
    <w:p>
      <w:pPr/>
      <w:r>
        <w:rPr>
          <w:lang w:val="en_US" w:bidi="en_US"/>
        </w:rPr>
      </w:r>
      <w:r>
        <w:rPr>
          <w:lang w:val="en_US" w:bidi="en_US"/>
        </w:rPr>
        <w:t>as a hen protects her chicks beneath her wings (NLT)</w:t>
      </w:r>
    </w:p>
    <w:p>
      <w:pPr/>
      <w:r>
        <w:rPr>
          <w:lang w:val="en_US" w:bidi="en_US"/>
        </w:rPr>
      </w:r>
      <w:r>
        <w:rPr>
          <w:lang w:val="en_US" w:bidi="en_US"/>
        </w:rPr>
        <w:t>Some languages have a single word or expression that refers to the way mother chickens or other birds protect their babies. If so, you may use it here.</w:t>
      </w:r>
    </w:p>
    <w:p>
      <w:pPr>
        <w:pStyle w:val="Heading5"/>
      </w:pPr>
      <w:r>
        <w:rPr>
          <w:lang w:val="en_US" w:bidi="en_US"/>
        </w:rPr>
        <w:t>13:34e</w:t>
      </w:r>
    </w:p>
    <w:p>
      <w:pPr/>
      <w:r>
        <w:rPr>
          <w:lang w:val="en_US" w:bidi="en_US"/>
        </w:rPr>
      </w:r>
      <w:r>
        <w:rPr>
          <w:b/>
          <w:lang w:val="en_US" w:bidi="en_US"/>
        </w:rPr>
        <w:t>but you were unwilling!</w:t>
      </w:r>
    </w:p>
    <w:p>
      <w:pPr>
        <w:pStyle w:val="ListBullet"/>
        <w:spacing w:line="240" w:lineRule="auto"/>
        <w:ind w:left="720"/>
      </w:pPr>
      <w:r>
        <w:rPr>
          <w:lang w:val="en_US" w:bidi="en_US"/>
        </w:rPr>
      </w:r>
      <w:r>
        <w:rPr>
          <w:lang w:val="en_US" w:bidi="en_US"/>
        </w:rPr>
        <w:t>But you</w:t>
      </w:r>
      <w:r>
        <w:rPr>
          <w:vertAlign w:val="superscript"/>
          <w:lang w:val="en_US" w:bidi="en_US"/>
        </w:rPr>
        <w:t>(sing)</w:t>
      </w:r>
      <w:r>
        <w:rPr>
          <w:lang w:val="en_US" w:bidi="en_US"/>
        </w:rPr>
        <w:t xml:space="preserve"> did not want </w:t>
      </w:r>
      <w:r>
        <w:rPr>
          <w:lang w:val="en_US" w:bidi="en_US"/>
        </w:rPr>
        <w:t>me to do that</w:t>
      </w:r>
      <w:r>
        <w:rPr>
          <w:lang w:val="en_US" w:bidi="en_US"/>
        </w:rPr>
        <w:t>.</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did not let </w:t>
      </w:r>
      <w:r>
        <w:rPr>
          <w:lang w:val="en_US" w:bidi="en_US"/>
        </w:rPr>
        <w:t>me protect you</w:t>
      </w:r>
      <w:r>
        <w:rPr>
          <w:lang w:val="en_US" w:bidi="en_US"/>
        </w:rPr>
        <w:t>.</w:t>
      </w:r>
    </w:p>
    <w:p>
      <w:pPr>
        <w:pStyle w:val="ListBullet"/>
        <w:spacing w:line="240" w:lineRule="auto"/>
        <w:ind w:left="720"/>
      </w:pPr>
      <w:r>
        <w:rPr>
          <w:lang w:val="en_US" w:bidi="en_US"/>
        </w:rPr>
      </w:r>
      <w:r>
        <w:rPr>
          <w:lang w:val="en_US" w:bidi="en_US"/>
        </w:rPr>
        <w:t xml:space="preserve">But they refused </w:t>
      </w:r>
      <w:r>
        <w:rPr>
          <w:lang w:val="en_US" w:bidi="en_US"/>
        </w:rPr>
        <w:t>to be sheltered/protected by me</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the fact that the people refused to let Jesus protect them as he wished. Other versions, such as the RSV, translate this conjunction as “and.” Use a natural way in your language to connect this part of the verse with the statement in 13:34c–d.</w:t>
      </w:r>
    </w:p>
    <w:p>
      <w:pPr/>
      <w:r>
        <w:rPr>
          <w:lang w:val="en_US" w:bidi="en_US"/>
        </w:rPr>
      </w:r>
      <w:r>
        <w:rPr>
          <w:b/>
          <w:lang w:val="en_US" w:bidi="en_US"/>
        </w:rPr>
        <w:t>you were unwilling:</w:t>
      </w:r>
      <w:r>
        <w:rPr>
          <w:lang w:val="en_US" w:bidi="en_US"/>
        </w:rPr>
        <w:t xml:space="preserve"> The clause </w:t>
      </w:r>
      <w:r>
        <w:rPr>
          <w:i/>
          <w:lang w:val="en_US" w:bidi="en_US"/>
        </w:rPr>
        <w:t>you were unwilling</w:t>
      </w:r>
      <w:r>
        <w:rPr>
          <w:lang w:val="en_US" w:bidi="en_US"/>
        </w:rPr>
        <w:t xml:space="preserve"> is an ellipsis. It contains implied information. The full clause means “you were unwilling for me to gather and protect you.” The people of Jerusalem refused to trust Jesus as their Messiah, so they could not receive his protection from God’s future judgment.</w:t>
      </w:r>
    </w:p>
    <w:p>
      <w:pPr/>
      <w:r>
        <w:rPr>
          <w:lang w:val="en_US" w:bidi="en_US"/>
        </w:rPr>
      </w:r>
      <w:r>
        <w:rPr>
          <w:b/>
          <w:lang w:val="en_US" w:bidi="en_US"/>
        </w:rPr>
        <w:t>you:</w:t>
      </w:r>
      <w:r>
        <w:rPr>
          <w:lang w:val="en_US" w:bidi="en_US"/>
        </w:rPr>
        <w:t xml:space="preserve"> In Greek, the pronoun “your” in the phrase “your children” (13:34c) is singular because it refers to the city. Here the pronoun </w:t>
      </w:r>
      <w:r>
        <w:rPr>
          <w:i/>
          <w:lang w:val="en_US" w:bidi="en_US"/>
        </w:rPr>
        <w:t>you</w:t>
      </w:r>
      <w:r>
        <w:rPr>
          <w:lang w:val="en_US" w:bidi="en_US"/>
        </w:rPr>
        <w:t xml:space="preserve"> is plural because it refers to the people of the city. The pronoun that you decide to use here will depend on how you translated “Jerusalem” and “your children” in the preceding context. See the Display for 13:34e for an example of each option.</w:t>
      </w:r>
      <w:r>
        <w:rPr>
          <w:lang w:val="en_US" w:bidi="en_US"/>
        </w:rPr>
      </w:r>
      <w:r>
        <w:rPr>
          <w:lang w:val="en_US" w:bidi="en_US"/>
        </w:rPr>
      </w:r>
    </w:p>
    <w:p>
      <w:pPr/>
      <w:r>
        <w:rPr>
          <w:lang w:val="en_US" w:bidi="en_US"/>
        </w:rPr>
      </w:r>
    </w:p>
    <w:p>
      <w:pPr>
        <w:pStyle w:val="Heading2"/>
      </w:pPr>
      <w:r>
        <w:rPr>
          <w:lang w:val="en_US" w:bidi="en_US"/>
        </w:rPr>
        <w:t>Luke 13:35</w:t>
      </w:r>
      <w:r>
        <w:rPr>
          <w:lang w:val="en_US" w:bidi="en_US"/>
        </w:rPr>
      </w:r>
    </w:p>
    <w:p>
      <w:pPr>
        <w:pStyle w:val="Heading4"/>
      </w:pPr>
      <w:r>
        <w:rPr>
          <w:lang w:val="en_US" w:bidi="en_US"/>
        </w:rPr>
        <w:t>Section 13:31–35: Jesus grieved for the people in Jerusalem</w:t>
      </w:r>
    </w:p>
    <w:p>
      <w:pPr/>
      <w:r>
        <w:rPr>
          <w:lang w:val="en_US" w:bidi="en_US"/>
        </w:rPr>
      </w:r>
      <w:r>
        <w:rPr>
          <w:lang w:val="en_US" w:bidi="en_US"/>
        </w:rPr>
        <w:t>In this section Jesus spoke about how he would die in Jerusalem, as many other prophets had. He mourned that the people of Jerusalem would not turn to him so that he could save them from the coming destruction.</w:t>
      </w:r>
    </w:p>
    <w:p>
      <w:pPr/>
      <w:r>
        <w:rPr>
          <w:lang w:val="en_US" w:bidi="en_US"/>
        </w:rPr>
      </w:r>
      <w:r>
        <w:rPr>
          <w:lang w:val="en_US" w:bidi="en_US"/>
        </w:rPr>
        <w:t>Some other headings for this section are:</w:t>
      </w:r>
    </w:p>
    <w:p>
      <w:pPr/>
      <w:r>
        <w:rPr>
          <w:lang w:val="en_US" w:bidi="en_US"/>
        </w:rPr>
      </w:r>
      <w:r>
        <w:rPr>
          <w:lang w:val="en_US" w:bidi="en_US"/>
        </w:rPr>
        <w:t>Jesus’ Sorrow for Jerusalem (NIV)</w:t>
      </w:r>
    </w:p>
    <w:p>
      <w:pPr/>
      <w:r>
        <w:rPr>
          <w:lang w:val="en_US" w:bidi="en_US"/>
        </w:rPr>
      </w:r>
      <w:r>
        <w:rPr>
          <w:lang w:val="en_US" w:bidi="en_US"/>
        </w:rPr>
        <w:t>Jesus’ Love for the Residents of Jerusalem</w:t>
      </w:r>
    </w:p>
    <w:p>
      <w:pPr/>
      <w:r>
        <w:rPr>
          <w:lang w:val="en_US" w:bidi="en_US"/>
        </w:rPr>
      </w:r>
      <w:r>
        <w:rPr>
          <w:lang w:val="en_US" w:bidi="en_US"/>
        </w:rPr>
        <w:t>There is a parallel passage for this section in Matthew 23:37–39.</w:t>
      </w:r>
    </w:p>
    <w:p>
      <w:pPr>
        <w:pStyle w:val="Heading4"/>
      </w:pPr>
      <w:r>
        <w:rPr>
          <w:lang w:val="en_US" w:bidi="en_US"/>
        </w:rPr>
        <w:t>Paragraph 13:34–35</w:t>
      </w:r>
    </w:p>
    <w:p>
      <w:pPr/>
      <w:r>
        <w:rPr>
          <w:lang w:val="en_US" w:bidi="en_US"/>
        </w:rPr>
      </w:r>
      <w:r>
        <w:rPr>
          <w:lang w:val="en_US" w:bidi="en_US"/>
        </w:rPr>
        <w:t>In this paragraph Jesus spoke of his great sorrow for the people of Jerusalem. He knew that God would soon forsake them and would no longer protect them. The parallel passage in Matthew is almost identical, but the setting may be different. According to Matthew 21:23 and Matthew 24:1, Jesus may have been in the Temple area when he spoke these words. Here in Luke, he seems to be in Galilee (Herod’s territory) on his way to Jerusalem. Some scholars feel that Jesus may have spoken these words on more than one occasion. You should translate in a way that allows for either possibility.</w:t>
      </w:r>
    </w:p>
    <w:p>
      <w:pPr>
        <w:pStyle w:val="Heading5"/>
      </w:pPr>
      <w:r>
        <w:rPr>
          <w:lang w:val="en_US" w:bidi="en_US"/>
        </w:rPr>
        <w:t>13:35a</w:t>
      </w:r>
    </w:p>
    <w:p>
      <w:pPr/>
      <w:r>
        <w:rPr>
          <w:lang w:val="en_US" w:bidi="en_US"/>
        </w:rPr>
      </w:r>
      <w:r>
        <w:rPr>
          <w:b/>
          <w:lang w:val="en_US" w:bidi="en_US"/>
        </w:rPr>
        <w:t>Look, your house is left to you desolate.</w:t>
      </w:r>
    </w:p>
    <w:p>
      <w:pPr>
        <w:pStyle w:val="ListBullet"/>
        <w:spacing w:line="240" w:lineRule="auto"/>
        <w:ind w:left="720"/>
      </w:pPr>
      <w:r>
        <w:rPr>
          <w:lang w:val="en_US" w:bidi="en_US"/>
        </w:rPr>
      </w:r>
      <w:r>
        <w:rPr>
          <w:lang w:val="en_US" w:bidi="en_US"/>
        </w:rPr>
        <w:t>Listen! You</w:t>
      </w:r>
      <w:r>
        <w:rPr>
          <w:vertAlign w:val="superscript"/>
          <w:lang w:val="en_US" w:bidi="en_US"/>
        </w:rPr>
        <w:t>(sing)</w:t>
      </w:r>
      <w:r>
        <w:rPr>
          <w:lang w:val="en_US" w:bidi="en_US"/>
        </w:rPr>
        <w:t xml:space="preserve"> will be on your own. Your house will be abandoned.</w:t>
      </w:r>
    </w:p>
    <w:p>
      <w:pPr>
        <w:pStyle w:val="ListBullet"/>
        <w:spacing w:line="240" w:lineRule="auto"/>
        <w:ind w:left="720"/>
      </w:pPr>
      <w:r>
        <w:rPr>
          <w:lang w:val="en_US" w:bidi="en_US"/>
        </w:rPr>
      </w:r>
      <w:r>
        <w:rPr>
          <w:lang w:val="en_US" w:bidi="en_US"/>
        </w:rPr>
        <w:t>So</w:t>
      </w:r>
      <w:r>
        <w:rPr>
          <w:lang w:val="en_US" w:bidi="en_US"/>
        </w:rPr>
        <w:t xml:space="preserve"> listen </w:t>
      </w:r>
      <w:r>
        <w:rPr>
          <w:lang w:val="en_US" w:bidi="en_US"/>
        </w:rPr>
        <w:t>to what will happen</w:t>
      </w:r>
      <w:r>
        <w:rPr>
          <w:lang w:val="en_US" w:bidi="en_US"/>
        </w:rPr>
        <w:t xml:space="preserve">: </w:t>
      </w:r>
      <w:r>
        <w:rPr>
          <w:lang w:val="en_US" w:bidi="en_US"/>
        </w:rPr>
        <w:t>God</w:t>
      </w:r>
      <w:r>
        <w:rPr>
          <w:lang w:val="en_US" w:bidi="en_US"/>
        </w:rPr>
        <w:t xml:space="preserve"> will forsake/leave you</w:t>
      </w:r>
      <w:r>
        <w:rPr>
          <w:vertAlign w:val="superscript"/>
          <w:lang w:val="en_US" w:bidi="en_US"/>
        </w:rPr>
        <w:t>(plur)</w:t>
      </w:r>
      <w:r>
        <w:rPr>
          <w:lang w:val="en_US" w:bidi="en_US"/>
        </w:rPr>
        <w:t xml:space="preserve"> </w:t>
      </w:r>
      <w:r>
        <w:rPr>
          <w:lang w:val="en_US" w:bidi="en_US"/>
        </w:rPr>
        <w:t>and your city</w:t>
      </w:r>
      <w:r>
        <w:rPr>
          <w:lang w:val="en_US" w:bidi="en_US"/>
        </w:rPr>
        <w:t>.</w:t>
      </w:r>
    </w:p>
    <w:p>
      <w:pPr>
        <w:pStyle w:val="ListBullet"/>
        <w:spacing w:line="240" w:lineRule="auto"/>
        <w:ind w:left="720"/>
      </w:pPr>
      <w:r>
        <w:rPr>
          <w:lang w:val="en_US" w:bidi="en_US"/>
        </w:rPr>
      </w:r>
      <w:r>
        <w:rPr>
          <w:lang w:val="en_US" w:bidi="en_US"/>
        </w:rPr>
        <w:t xml:space="preserve">So now </w:t>
      </w:r>
      <w:r>
        <w:rPr>
          <w:lang w:val="en_US" w:bidi="en_US"/>
        </w:rPr>
        <w:t>God</w:t>
      </w:r>
      <w:r>
        <w:rPr>
          <w:lang w:val="en_US" w:bidi="en_US"/>
        </w:rPr>
        <w:t xml:space="preserve"> is going to forsake them, </w:t>
      </w:r>
      <w:r>
        <w:rPr>
          <w:lang w:val="en_US" w:bidi="en_US"/>
        </w:rPr>
        <w:t>along with their temple and their whole city</w:t>
      </w:r>
      <w:r>
        <w:rPr>
          <w:lang w:val="en_US" w:bidi="en_US"/>
        </w:rPr>
        <w:t>.</w:t>
      </w:r>
    </w:p>
    <w:p>
      <w:pPr/>
      <w:r>
        <w:rPr>
          <w:lang w:val="en_US" w:bidi="en_US"/>
        </w:rPr>
      </w:r>
      <w:r>
        <w:rPr>
          <w:b/>
          <w:lang w:val="en_US" w:bidi="en_US"/>
        </w:rPr>
        <w:t>Look:</w:t>
      </w:r>
      <w:r>
        <w:rPr>
          <w:lang w:val="en_US" w:bidi="en_US"/>
        </w:rPr>
        <w:t xml:space="preserve"> The Greek word that the BSB translate as </w:t>
      </w:r>
      <w:r>
        <w:rPr>
          <w:i/>
          <w:lang w:val="en_US" w:bidi="en_US"/>
        </w:rPr>
        <w:t>Look</w:t>
      </w:r>
      <w:r>
        <w:rPr>
          <w:lang w:val="en_US" w:bidi="en_US"/>
        </w:rPr>
        <w:t xml:space="preserve"> introduces a surprising or unexpected statement. Other versions, such as the NET, NIV, and NJB, also translate it that way. This statement is an implied result of Jerusalem’s refusal to accept Jesus’ protection. In some languages it may be more natural to introduce this result with a word such as “Therefore” or “So.” For example:</w:t>
      </w:r>
    </w:p>
    <w:p>
      <w:pPr/>
      <w:r>
        <w:rPr>
          <w:lang w:val="en_US" w:bidi="en_US"/>
        </w:rPr>
      </w:r>
      <w:r>
        <w:rPr>
          <w:lang w:val="en_US" w:bidi="en_US"/>
        </w:rPr>
        <w:t>Therefore,</w:t>
      </w:r>
      <w:r>
        <w:rPr>
          <w:lang w:val="en_US" w:bidi="en_US"/>
        </w:rPr>
        <w:t xml:space="preserve"> listen </w:t>
      </w:r>
      <w:r>
        <w:rPr>
          <w:lang w:val="en_US" w:bidi="en_US"/>
        </w:rPr>
        <w:t>to what will happen</w:t>
      </w:r>
      <w:r>
        <w:rPr>
          <w:lang w:val="en_US" w:bidi="en_US"/>
        </w:rPr>
        <w:t xml:space="preserve"> (TRT)</w:t>
      </w:r>
    </w:p>
    <w:p>
      <w:pPr/>
      <w:r>
        <w:rPr>
          <w:lang w:val="en_US" w:bidi="en_US"/>
        </w:rPr>
      </w:r>
      <w:r>
        <w:rPr>
          <w:lang w:val="en_US" w:bidi="en_US"/>
        </w:rPr>
        <w:t>This word last occurred in 13:32b. See the note there.</w:t>
      </w:r>
    </w:p>
    <w:p>
      <w:pPr/>
      <w:r>
        <w:rPr>
          <w:lang w:val="en_US" w:bidi="en_US"/>
        </w:rPr>
      </w:r>
      <w:r>
        <w:rPr>
          <w:b/>
          <w:lang w:val="en_US" w:bidi="en_US"/>
        </w:rPr>
        <w:t>your house is left to you desolate:</w:t>
      </w:r>
      <w:r>
        <w:rPr>
          <w:lang w:val="en_US" w:bidi="en_US"/>
        </w:rPr>
        <w:t xml:space="preserve"> </w:t>
      </w:r>
      <w:r>
        <w:rPr>
          <w:lang w:val="en_US" w:bidi="en_US"/>
        </w:rPr>
        <w:t>There is a textual issue here. Most manuscripts have literally “your house is left to you.” A few manuscripts add the word that means “desolate,” as in Matthew 23:38. The meaning is virtually the same, since the meaning “desolate” is implied by the verb “is left to.” There are two senses of “desolate” that could apply here. If “desolate” refers to a building or a place, it means “uninhabited” or “empty.” If it refers to a person, it means “abandoned/forsaken” or “deserted.” For more information, see Swanson, p. 252, and Blight 2007b, p. 94.</w:t>
      </w:r>
      <w:r>
        <w:rPr>
          <w:lang w:val="en_US" w:bidi="en_US"/>
        </w:rPr>
        <w:t xml:space="preserve"> This clause is a prophecy of what was going to happen in the future. It was not a description of Jerusalem at the time when Jesus spoke these words. So in some languages it will be clearer to use a verb tense that refers to the future. For example:</w:t>
      </w:r>
    </w:p>
    <w:p>
      <w:pPr/>
      <w:r>
        <w:rPr>
          <w:lang w:val="en_US" w:bidi="en_US"/>
        </w:rPr>
      </w:r>
      <w:r>
        <w:rPr>
          <w:lang w:val="en_US" w:bidi="en_US"/>
        </w:rPr>
        <w:t>Your house will be left to you (NJB)</w:t>
      </w:r>
    </w:p>
    <w:p>
      <w:pPr/>
      <w:r>
        <w:rPr>
          <w:lang w:val="en_US" w:bidi="en_US"/>
        </w:rPr>
      </w:r>
      <w:r>
        <w:rPr>
          <w:lang w:val="en_US" w:bidi="en_US"/>
        </w:rPr>
        <w:t xml:space="preserve">The clause </w:t>
      </w:r>
      <w:r>
        <w:rPr>
          <w:i/>
          <w:lang w:val="en_US" w:bidi="en_US"/>
        </w:rPr>
        <w:t>your house is left to you desolate</w:t>
      </w:r>
      <w:r>
        <w:rPr>
          <w:lang w:val="en_US" w:bidi="en_US"/>
        </w:rPr>
        <w:t xml:space="preserve"> is passive. Another way to translate this is:</w:t>
      </w:r>
    </w:p>
    <w:p>
      <w:pPr/>
      <w:r>
        <w:rPr>
          <w:lang w:val="en_US" w:bidi="en_US"/>
        </w:rPr>
      </w:r>
      <w:r>
        <w:rPr>
          <w:lang w:val="en_US" w:bidi="en_US"/>
        </w:rPr>
        <w:t>Your house will be abandoned. (GW)</w:t>
      </w:r>
    </w:p>
    <w:p>
      <w:pPr/>
      <w:r>
        <w:rPr>
          <w:lang w:val="en_US" w:bidi="en_US"/>
        </w:rPr>
      </w:r>
      <w:r>
        <w:rPr>
          <w:lang w:val="en_US" w:bidi="en_US"/>
        </w:rPr>
        <w:t>If it is more natural to use an active clause, you may supply the implied subject “God.” For example:</w:t>
      </w:r>
    </w:p>
    <w:p>
      <w:pPr/>
      <w:r>
        <w:rPr>
          <w:lang w:val="en_US" w:bidi="en_US"/>
        </w:rPr>
      </w:r>
      <w:r>
        <w:rPr>
          <w:lang w:val="en_US" w:bidi="en_US"/>
        </w:rPr>
        <w:t>God</w:t>
      </w:r>
      <w:r>
        <w:rPr>
          <w:lang w:val="en_US" w:bidi="en_US"/>
        </w:rPr>
        <w:t xml:space="preserve"> will forsake/abandon you and your city</w:t>
      </w:r>
    </w:p>
    <w:p>
      <w:pPr/>
      <w:r>
        <w:rPr>
          <w:lang w:val="en_US" w:bidi="en_US"/>
        </w:rPr>
      </w:r>
      <w:r>
        <w:rPr>
          <w:b/>
          <w:lang w:val="en_US" w:bidi="en_US"/>
        </w:rPr>
        <w:t>your house:</w:t>
      </w:r>
      <w:r>
        <w:rPr>
          <w:lang w:val="en_US" w:bidi="en_US"/>
        </w:rPr>
        <w:t xml:space="preserve"> There are two ways to interpret the phrase that the BSB translates literally as </w:t>
      </w:r>
      <w:r>
        <w:rPr>
          <w:i/>
          <w:lang w:val="en_US" w:bidi="en_US"/>
        </w:rPr>
        <w:t>your house</w:t>
      </w:r>
      <w:r>
        <w:rPr>
          <w:lang w:val="en_US" w:bidi="en_US"/>
        </w:rPr>
        <w:t>:</w:t>
      </w:r>
    </w:p>
    <w:p>
      <w:pPr>
        <w:pStyle w:val="ListNumber"/>
        <w:numPr>
          <w:ilvl w:val="0"/>
          <w:numId w:val="257"/>
        </w:numPr>
        <w:spacing w:line="240" w:lineRule="auto"/>
        <w:ind w:left="720"/>
      </w:pPr>
      <w:r>
        <w:rPr>
          <w:lang w:val="en_US" w:bidi="en_US"/>
        </w:rPr>
      </w:r>
      <w:r>
        <w:rPr>
          <w:lang w:val="en_US" w:bidi="en_US"/>
        </w:rPr>
        <w:t>“Your house” refers primarily to the inhabitants of Jerusalem, as does the expression “your children” in 13:34c. For example:</w:t>
      </w:r>
      <w:r>
        <w:rPr>
          <w:lang w:val="en_US" w:bidi="en_US"/>
        </w:rPr>
        <w:t>You will be forsaken/abandoned</w:t>
      </w:r>
    </w:p>
    <w:p>
      <w:pPr>
        <w:pStyle w:val="ListNumber"/>
        <w:spacing w:line="240" w:lineRule="auto"/>
        <w:ind w:left="720"/>
      </w:pPr>
      <w:r>
        <w:rPr>
          <w:lang w:val="en_US" w:bidi="en_US"/>
        </w:rPr>
      </w:r>
      <w:r>
        <w:rPr>
          <w:lang w:val="en_US" w:bidi="en_US"/>
        </w:rPr>
        <w:t>“Your house” refers primarily to the Temple. For example:</w:t>
      </w:r>
      <w:r>
        <w:rPr>
          <w:lang w:val="en_US" w:bidi="en_US"/>
        </w:rPr>
        <w:t xml:space="preserve">your Temple will be abandoned (GNT) </w:t>
      </w:r>
      <w:r>
        <w:rPr>
          <w:i/>
          <w:lang w:val="en_US" w:bidi="en_US"/>
        </w:rPr>
        <w:t>(GNT, REB, CEV)</w:t>
      </w:r>
    </w:p>
    <w:p>
      <w:pPr/>
      <w:r>
        <w:rPr>
          <w:lang w:val="en_US" w:bidi="en_US"/>
        </w:rPr>
      </w:r>
      <w:r>
        <w:rPr>
          <w:lang w:val="en_US" w:bidi="en_US"/>
        </w:rPr>
        <w:t>It is recommended that you follow interpretation (1), along with most scholars. This interpretation includes the city of Jerusalem and the Temple. Almost all English versions retain the literal expression “your house.”</w:t>
      </w:r>
    </w:p>
    <w:p>
      <w:pPr>
        <w:pStyle w:val="Heading6"/>
      </w:pPr>
      <w:r>
        <w:rPr>
          <w:b/>
          <w:lang w:val="en_US" w:bidi="en_US"/>
        </w:rPr>
        <w:t>General Comment on 13:35a</w:t>
      </w:r>
    </w:p>
    <w:p>
      <w:pPr/>
      <w:r>
        <w:rPr>
          <w:lang w:val="en_US" w:bidi="en_US"/>
        </w:rPr>
      </w:r>
      <w:r>
        <w:rPr>
          <w:lang w:val="en_US" w:bidi="en_US"/>
        </w:rPr>
        <w:t>The clause “your house is left to you desolate” indicates that the people of Jerusalem would be abandoned. God would leave the people of Jerusalem alone. He would no longer protect them. Most scholars feel that this happened when the Roman army destroyed Jerusalem in A.D. 70.</w:t>
      </w:r>
    </w:p>
    <w:p>
      <w:pPr>
        <w:pStyle w:val="Heading5"/>
      </w:pPr>
      <w:r>
        <w:rPr>
          <w:lang w:val="en_US" w:bidi="en_US"/>
        </w:rPr>
        <w:t>13:35b</w:t>
      </w:r>
    </w:p>
    <w:p>
      <w:pPr/>
      <w:r>
        <w:rPr>
          <w:lang w:val="en_US" w:bidi="en_US"/>
        </w:rPr>
      </w:r>
      <w:r>
        <w:rPr>
          <w:b/>
          <w:lang w:val="en_US" w:bidi="en_US"/>
        </w:rPr>
        <w:t>And I tell you that you will not see Me again until you say,</w:t>
      </w:r>
    </w:p>
    <w:p>
      <w:pPr>
        <w:pStyle w:val="ListBullet"/>
        <w:spacing w:line="240" w:lineRule="auto"/>
        <w:ind w:left="720"/>
      </w:pPr>
      <w:r>
        <w:rPr>
          <w:lang w:val="en_US" w:bidi="en_US"/>
        </w:rPr>
      </w:r>
      <w:r>
        <w:rPr>
          <w:lang w:val="en_US" w:bidi="en_US"/>
        </w:rPr>
        <w:t>Be sure of this: you</w:t>
      </w:r>
      <w:r>
        <w:rPr>
          <w:vertAlign w:val="superscript"/>
          <w:lang w:val="en_US" w:bidi="en_US"/>
        </w:rPr>
        <w:t>(sing/plur)</w:t>
      </w:r>
      <w:r>
        <w:rPr>
          <w:lang w:val="en_US" w:bidi="en_US"/>
        </w:rPr>
        <w:t xml:space="preserve"> will not see me any more until you say,</w:t>
      </w:r>
    </w:p>
    <w:p>
      <w:pPr>
        <w:pStyle w:val="ListBullet"/>
        <w:spacing w:line="240" w:lineRule="auto"/>
        <w:ind w:left="720"/>
      </w:pPr>
      <w:r>
        <w:rPr>
          <w:lang w:val="en_US" w:bidi="en_US"/>
        </w:rPr>
      </w:r>
      <w:r>
        <w:rPr>
          <w:lang w:val="en_US" w:bidi="en_US"/>
        </w:rPr>
        <w:t>They will certainly not see me again until the future time when they say,</w:t>
      </w:r>
    </w:p>
    <w:p>
      <w:pPr/>
      <w:r>
        <w:rPr>
          <w:lang w:val="en_US" w:bidi="en_US"/>
        </w:rPr>
      </w:r>
      <w:r>
        <w:rPr>
          <w:b/>
          <w:lang w:val="en_US" w:bidi="en_US"/>
        </w:rPr>
        <w:t>And:</w:t>
      </w:r>
      <w:r>
        <w:rPr>
          <w:lang w:val="en_US" w:bidi="en_US"/>
        </w:rPr>
        <w:t xml:space="preserve"> Many Greek manuscripts include a conjunction here. The BSB translates it as </w:t>
      </w:r>
      <w:r>
        <w:rPr>
          <w:i/>
          <w:lang w:val="en_US" w:bidi="en_US"/>
        </w:rPr>
        <w:t>And</w:t>
      </w:r>
      <w:r>
        <w:rPr>
          <w:lang w:val="en_US" w:bidi="en_US"/>
        </w:rPr>
        <w:t>. You should connect this part of the verse to the preceding one in a natural way in your language.</w:t>
      </w:r>
      <w:r>
        <w:rPr>
          <w:lang w:val="en_US" w:bidi="en_US"/>
        </w:rPr>
        <w:t>Some manuscripts also add a word that means “truly.” Of the fourteen English versions consulted, only the KJV includes this. It is recommended that you not include it. For more information, see Metzger, p. 163; Greek NT UBS 4</w:t>
      </w:r>
      <w:r>
        <w:rPr>
          <w:vertAlign w:val="superscript"/>
          <w:lang w:val="en_US" w:bidi="en_US"/>
        </w:rPr>
        <w:t>th</w:t>
      </w:r>
      <w:r>
        <w:rPr>
          <w:lang w:val="en_US" w:bidi="en_US"/>
        </w:rPr>
        <w:t xml:space="preserve"> ed., p. 264; Swanson, p. 256; and Blight 2007b, pp. 103–4.</w:t>
      </w:r>
    </w:p>
    <w:p>
      <w:pPr/>
      <w:r>
        <w:rPr>
          <w:lang w:val="en_US" w:bidi="en_US"/>
        </w:rPr>
      </w:r>
      <w:r>
        <w:rPr>
          <w:b/>
          <w:lang w:val="en_US" w:bidi="en_US"/>
        </w:rPr>
        <w:t>I tell you:</w:t>
      </w:r>
      <w:r>
        <w:rPr>
          <w:lang w:val="en_US" w:bidi="en_US"/>
        </w:rPr>
        <w:t xml:space="preserve"> The clause </w:t>
      </w:r>
      <w:r>
        <w:rPr>
          <w:i/>
          <w:lang w:val="en_US" w:bidi="en_US"/>
        </w:rPr>
        <w:t>I tell you</w:t>
      </w:r>
      <w:r>
        <w:rPr>
          <w:lang w:val="en_US" w:bidi="en_US"/>
        </w:rPr>
        <w:t xml:space="preserve"> emphasizes the fact that what Jesus was about to say would certainly happen. This clause was also used in 13:3a and 13:5a.</w:t>
      </w:r>
    </w:p>
    <w:p>
      <w:pPr/>
      <w:r>
        <w:rPr>
          <w:lang w:val="en_US" w:bidi="en_US"/>
        </w:rPr>
      </w:r>
      <w:r>
        <w:rPr>
          <w:b/>
          <w:lang w:val="en_US" w:bidi="en_US"/>
        </w:rPr>
        <w:t>you will not see Me again until you say:</w:t>
      </w:r>
      <w:r>
        <w:rPr>
          <w:lang w:val="en_US" w:bidi="en_US"/>
        </w:rPr>
        <w:t xml:space="preserve"> The clause </w:t>
      </w:r>
      <w:r>
        <w:rPr>
          <w:i/>
          <w:lang w:val="en_US" w:bidi="en_US"/>
        </w:rPr>
        <w:t>you will not see Me again until you say</w:t>
      </w:r>
      <w:r>
        <w:rPr>
          <w:lang w:val="en_US" w:bidi="en_US"/>
        </w:rPr>
        <w:t xml:space="preserve"> indicates here that the people would not see Jesus again until the time when they would welcome him with the blessing in 13:35c.</w:t>
      </w:r>
      <w:r>
        <w:rPr>
          <w:lang w:val="en_US" w:bidi="en_US"/>
        </w:rPr>
        <w:t>There is a textual issue here. Many Greek manuscripts have “until (the time) will come when you say.” Other manuscripts have only “when you say.” The former reading has strong support. However, the same meaning is implied in the shorter “when you say.” You should communicate the meaning in a natural way in your language. For more information, see Swanson, p. 252; TRT, pp. 289–90; and Blight 2007b, p. 94.</w:t>
      </w:r>
      <w:r>
        <w:rPr>
          <w:lang w:val="en_US" w:bidi="en_US"/>
        </w:rPr>
        <w:t xml:space="preserve"> Scholars suggest three possible periods or points of time Jesus was referring to here:</w:t>
      </w:r>
    </w:p>
    <w:p>
      <w:pPr>
        <w:pStyle w:val="ListNumber"/>
        <w:numPr>
          <w:ilvl w:val="0"/>
          <w:numId w:val="258"/>
        </w:numPr>
        <w:spacing w:line="240" w:lineRule="auto"/>
        <w:ind w:left="720"/>
      </w:pPr>
      <w:r>
        <w:rPr>
          <w:lang w:val="en_US" w:bidi="en_US"/>
        </w:rPr>
      </w:r>
      <w:r>
        <w:rPr>
          <w:lang w:val="en_US" w:bidi="en_US"/>
        </w:rPr>
        <w:t>The day of the triumphal entry into Jerusalem during Passover week, when the crowds would welcome Jesus into Jerusalem (19:38).</w:t>
      </w:r>
    </w:p>
    <w:p>
      <w:pPr>
        <w:pStyle w:val="ListNumber"/>
        <w:spacing w:line="240" w:lineRule="auto"/>
        <w:ind w:left="720"/>
      </w:pPr>
      <w:r>
        <w:rPr>
          <w:lang w:val="en_US" w:bidi="en_US"/>
        </w:rPr>
      </w:r>
      <w:r>
        <w:rPr>
          <w:lang w:val="en_US" w:bidi="en_US"/>
        </w:rPr>
        <w:t>The time when Jesus would return to earth from heaven.</w:t>
      </w:r>
    </w:p>
    <w:p>
      <w:pPr>
        <w:pStyle w:val="ListNumber"/>
        <w:spacing w:line="240" w:lineRule="auto"/>
        <w:ind w:left="720"/>
      </w:pPr>
      <w:r>
        <w:rPr>
          <w:lang w:val="en_US" w:bidi="en_US"/>
        </w:rPr>
      </w:r>
      <w:r>
        <w:rPr>
          <w:lang w:val="en_US" w:bidi="en_US"/>
        </w:rPr>
        <w:t>Whenever Jews accepted Jesus as the Messiah.</w:t>
      </w:r>
    </w:p>
    <w:p>
      <w:pPr/>
      <w:r>
        <w:rPr>
          <w:lang w:val="en_US" w:bidi="en_US"/>
        </w:rPr>
      </w:r>
      <w:r>
        <w:rPr>
          <w:lang w:val="en_US" w:bidi="en_US"/>
        </w:rPr>
        <w:t>All three interpretations have commentary support. You should not make any one interpretation explicit in your translation. You may wish to mention the possible interpretations in a footnote.</w:t>
      </w:r>
    </w:p>
    <w:p>
      <w:pPr>
        <w:pStyle w:val="Heading5"/>
      </w:pPr>
      <w:r>
        <w:rPr>
          <w:lang w:val="en_US" w:bidi="en_US"/>
        </w:rPr>
        <w:t>13:35c</w:t>
      </w:r>
    </w:p>
    <w:p>
      <w:pPr/>
      <w:r>
        <w:rPr>
          <w:lang w:val="en_US" w:bidi="en_US"/>
        </w:rPr>
      </w:r>
      <w:r>
        <w:rPr>
          <w:b/>
          <w:lang w:val="en_US" w:bidi="en_US"/>
        </w:rPr>
        <w:t>‘Blessed is He who comes in the name of the Lord.’”</w:t>
      </w:r>
    </w:p>
    <w:p>
      <w:pPr>
        <w:pStyle w:val="ListBullet"/>
        <w:spacing w:line="240" w:lineRule="auto"/>
        <w:ind w:left="720"/>
      </w:pPr>
      <w:r>
        <w:rPr>
          <w:lang w:val="en_US" w:bidi="en_US"/>
        </w:rPr>
      </w:r>
      <w:r>
        <w:rPr>
          <w:lang w:val="en_US" w:bidi="en_US"/>
        </w:rPr>
        <w:t xml:space="preserve">‘May </w:t>
      </w:r>
      <w:r>
        <w:rPr>
          <w:lang w:val="en_US" w:bidi="en_US"/>
        </w:rPr>
        <w:t>God</w:t>
      </w:r>
      <w:r>
        <w:rPr>
          <w:lang w:val="en_US" w:bidi="en_US"/>
        </w:rPr>
        <w:t xml:space="preserve"> bless the one who comes as his messenger/representative!'"</w:t>
      </w:r>
    </w:p>
    <w:p>
      <w:pPr>
        <w:pStyle w:val="ListBullet"/>
        <w:spacing w:line="240" w:lineRule="auto"/>
        <w:ind w:left="720"/>
      </w:pPr>
      <w:r>
        <w:rPr>
          <w:lang w:val="en_US" w:bidi="en_US"/>
        </w:rPr>
      </w:r>
      <w:r>
        <w:rPr>
          <w:lang w:val="en_US" w:bidi="en_US"/>
        </w:rPr>
        <w:t>‘Let us</w:t>
      </w:r>
      <w:r>
        <w:rPr>
          <w:vertAlign w:val="superscript"/>
          <w:lang w:val="en_US" w:bidi="en_US"/>
        </w:rPr>
        <w:t>(incl)</w:t>
      </w:r>
      <w:r>
        <w:rPr>
          <w:lang w:val="en_US" w:bidi="en_US"/>
        </w:rPr>
        <w:t xml:space="preserve"> praise this one who is coming whom the Lord </w:t>
      </w:r>
      <w:r>
        <w:rPr>
          <w:lang w:val="en_US" w:bidi="en_US"/>
        </w:rPr>
        <w:t>God</w:t>
      </w:r>
      <w:r>
        <w:rPr>
          <w:lang w:val="en_US" w:bidi="en_US"/>
        </w:rPr>
        <w:t xml:space="preserve"> has sent!'"</w:t>
      </w:r>
    </w:p>
    <w:p>
      <w:pPr>
        <w:pStyle w:val="ListBullet"/>
        <w:spacing w:line="240" w:lineRule="auto"/>
        <w:ind w:left="720"/>
      </w:pPr>
      <w:r>
        <w:rPr>
          <w:lang w:val="en_US" w:bidi="en_US"/>
        </w:rPr>
      </w:r>
      <w:r>
        <w:rPr>
          <w:lang w:val="en_US" w:bidi="en_US"/>
        </w:rPr>
        <w:t>‘</w:t>
      </w:r>
      <w:r>
        <w:rPr>
          <w:lang w:val="en_US" w:bidi="en_US"/>
        </w:rPr>
        <w:t>God</w:t>
      </w:r>
      <w:r>
        <w:rPr>
          <w:lang w:val="en_US" w:bidi="en_US"/>
        </w:rPr>
        <w:t xml:space="preserve"> has done good things for this one who comes in his name!'"</w:t>
      </w:r>
    </w:p>
    <w:p>
      <w:pPr/>
      <w:r>
        <w:rPr>
          <w:lang w:val="en_US" w:bidi="en_US"/>
        </w:rPr>
      </w:r>
      <w:r>
        <w:rPr>
          <w:b/>
          <w:lang w:val="en_US" w:bidi="en_US"/>
        </w:rPr>
        <w:t>Blessed is He who comes in the name of the Lord:</w:t>
      </w:r>
      <w:r>
        <w:rPr>
          <w:lang w:val="en_US" w:bidi="en_US"/>
        </w:rPr>
        <w:t xml:space="preserve"> This clause is a quotation from Psalm 118:26. Jesus predicted here what the crowd would say during his triumphal entry into Jerusalem (see 19:38). At that time they would shout praises to God for all the miracles that they had seen Jesus do.</w:t>
      </w:r>
    </w:p>
    <w:p>
      <w:pPr/>
      <w:r>
        <w:rPr>
          <w:lang w:val="en_US" w:bidi="en_US"/>
        </w:rPr>
      </w:r>
      <w:r>
        <w:rPr>
          <w:lang w:val="en_US" w:bidi="en_US"/>
        </w:rPr>
        <w:t>This shout of praise can express several different ideas:</w:t>
      </w:r>
    </w:p>
    <w:p>
      <w:pPr>
        <w:pStyle w:val="ListNumber"/>
        <w:numPr>
          <w:ilvl w:val="0"/>
          <w:numId w:val="259"/>
        </w:numPr>
        <w:spacing w:line="240" w:lineRule="auto"/>
        <w:ind w:left="720"/>
      </w:pPr>
      <w:r>
        <w:rPr>
          <w:lang w:val="en_US" w:bidi="en_US"/>
        </w:rPr>
      </w:r>
      <w:r>
        <w:rPr>
          <w:u w:val="single"/>
          <w:lang w:val="en_US" w:bidi="en_US"/>
        </w:rPr>
        <w:t>It is an emphatic statement or exclamation</w:t>
      </w:r>
      <w:r>
        <w:rPr>
          <w:lang w:val="en_US" w:bidi="en_US"/>
        </w:rPr>
        <w:t>. It affirms that God had blessed and shown his favor to the Messiah who was coming in his name. For example:</w:t>
      </w:r>
      <w:r>
        <w:rPr>
          <w:lang w:val="en_US" w:bidi="en_US"/>
        </w:rPr>
        <w:t>Blessed is the one who comes in the name of the Lord! (GW)</w:t>
      </w:r>
      <w:r>
        <w:rPr>
          <w:lang w:val="en_US" w:bidi="en_US"/>
        </w:rPr>
        <w:t>God has done good things for this one who comes in his name!</w:t>
      </w:r>
    </w:p>
    <w:p>
      <w:pPr>
        <w:pStyle w:val="ListNumber"/>
        <w:spacing w:line="240" w:lineRule="auto"/>
        <w:ind w:left="720"/>
      </w:pPr>
      <w:r>
        <w:rPr>
          <w:lang w:val="en_US" w:bidi="en_US"/>
        </w:rPr>
      </w:r>
      <w:r>
        <w:rPr>
          <w:u w:val="single"/>
          <w:lang w:val="en_US" w:bidi="en_US"/>
        </w:rPr>
        <w:t>It is a joyful exclamation of praise</w:t>
      </w:r>
      <w:r>
        <w:rPr>
          <w:lang w:val="en_US" w:bidi="en_US"/>
        </w:rPr>
        <w:t>. It expresses the crowd’s enthusiastic welcome for the Messiah. For example:</w:t>
      </w:r>
      <w:r>
        <w:rPr>
          <w:lang w:val="en_US" w:bidi="en_US"/>
        </w:rPr>
        <w:t>Praise the one who comes in the name of the Lord!</w:t>
      </w:r>
    </w:p>
    <w:p>
      <w:pPr>
        <w:pStyle w:val="ListNumber"/>
        <w:spacing w:line="240" w:lineRule="auto"/>
        <w:ind w:left="720"/>
      </w:pPr>
      <w:r>
        <w:rPr>
          <w:lang w:val="en_US" w:bidi="en_US"/>
        </w:rPr>
      </w:r>
      <w:r>
        <w:rPr>
          <w:u w:val="single"/>
          <w:lang w:val="en_US" w:bidi="en_US"/>
        </w:rPr>
        <w:t>It is a wish or prayer</w:t>
      </w:r>
      <w:r>
        <w:rPr>
          <w:lang w:val="en_US" w:bidi="en_US"/>
        </w:rPr>
        <w:t>. It expresses the crowd’s desire that God would continue to bless the Messiah. For example:</w:t>
      </w:r>
      <w:r>
        <w:rPr>
          <w:lang w:val="en_US" w:bidi="en_US"/>
        </w:rPr>
        <w:t>God bless the One who comes in the name of the Lord. (NCV)</w:t>
      </w:r>
      <w:r>
        <w:rPr>
          <w:lang w:val="en_US" w:bidi="en_US"/>
        </w:rPr>
        <w:t>Blessings on the one who comes in the name of the Lord! (NLT)</w:t>
      </w:r>
    </w:p>
    <w:p>
      <w:pPr/>
      <w:r>
        <w:rPr>
          <w:lang w:val="en_US" w:bidi="en_US"/>
        </w:rPr>
      </w:r>
      <w:r>
        <w:rPr>
          <w:lang w:val="en_US" w:bidi="en_US"/>
        </w:rPr>
        <w:t>It is probable that when the crowd shouted these words, they intended to express any or all of the above.</w:t>
      </w:r>
      <w:r>
        <w:rPr>
          <w:lang w:val="en_US" w:bidi="en_US"/>
        </w:rPr>
        <w:t>Scholars have interpreted this clause as a statement, a request, or an exclamation of praise. The position taken in these Notes is that these minor differences of meaning are not mutually exclusive. It is not likely that the shouting crowd intended only one but not the others.</w:t>
      </w:r>
      <w:r>
        <w:rPr>
          <w:lang w:val="en_US" w:bidi="en_US"/>
        </w:rPr>
        <w:t xml:space="preserve"> Try to use an expression in your language that will convey one or more of these meanings in a natural way.</w:t>
      </w:r>
    </w:p>
    <w:p>
      <w:pPr/>
      <w:r>
        <w:rPr>
          <w:lang w:val="en_US" w:bidi="en_US"/>
        </w:rPr>
      </w:r>
      <w:r>
        <w:rPr>
          <w:lang w:val="en_US" w:bidi="en_US"/>
        </w:rPr>
        <w:t>See bless, Meaning 1 in the Glossary.</w:t>
      </w:r>
    </w:p>
    <w:p>
      <w:pPr/>
      <w:r>
        <w:rPr>
          <w:lang w:val="en_US" w:bidi="en_US"/>
        </w:rPr>
      </w:r>
      <w:r>
        <w:rPr>
          <w:b/>
          <w:lang w:val="en_US" w:bidi="en_US"/>
        </w:rPr>
        <w:t>He who comes in the name of the Lord:</w:t>
      </w:r>
      <w:r>
        <w:rPr>
          <w:lang w:val="en_US" w:bidi="en_US"/>
        </w:rPr>
        <w:t xml:space="preserve"> The clause </w:t>
      </w:r>
      <w:r>
        <w:rPr>
          <w:i/>
          <w:lang w:val="en_US" w:bidi="en_US"/>
        </w:rPr>
        <w:t>He who comes in the name of the Lord</w:t>
      </w:r>
      <w:r>
        <w:rPr>
          <w:lang w:val="en_US" w:bidi="en_US"/>
        </w:rPr>
        <w:t xml:space="preserve"> was a title that was used for the Messiah. It means “the one who comes as a representative of the Lord,” that is, as his messenger or spokesman. Another way to translate this expression is:</w:t>
      </w:r>
    </w:p>
    <w:p>
      <w:pPr/>
      <w:r>
        <w:rPr>
          <w:lang w:val="en_US" w:bidi="en_US"/>
        </w:rPr>
      </w:r>
      <w:r>
        <w:rPr>
          <w:lang w:val="en_US" w:bidi="en_US"/>
        </w:rPr>
        <w:t>the One whom the Lord has sent</w:t>
      </w:r>
    </w:p>
    <w:p>
      <w:pPr/>
      <w:r>
        <w:rPr>
          <w:lang w:val="en_US" w:bidi="en_US"/>
        </w:rPr>
      </w:r>
      <w:r>
        <w:rPr>
          <w:b/>
          <w:lang w:val="en_US" w:bidi="en_US"/>
        </w:rPr>
        <w:t>the Lord:</w:t>
      </w:r>
      <w:r>
        <w:rPr>
          <w:lang w:val="en_US" w:bidi="en_US"/>
        </w:rPr>
        <w:t xml:space="preserve"> In this context </w:t>
      </w:r>
      <w:r>
        <w:rPr>
          <w:i/>
          <w:lang w:val="en_US" w:bidi="en_US"/>
        </w:rPr>
        <w:t>the Lord</w:t>
      </w:r>
      <w:r>
        <w:rPr>
          <w:lang w:val="en_US" w:bidi="en_US"/>
        </w:rPr>
        <w:t xml:space="preserve"> refers to Yahweh, the God of Israel. In some languages the word for “Lord” is not normally used for God, so it may be misunderstood. In that case, you may want to make explicit that it refers to God. For example:</w:t>
      </w:r>
    </w:p>
    <w:p>
      <w:pPr/>
      <w:r>
        <w:rPr>
          <w:lang w:val="en_US" w:bidi="en_US"/>
        </w:rPr>
      </w:r>
      <w:r>
        <w:rPr>
          <w:lang w:val="en_US" w:bidi="en_US"/>
        </w:rPr>
        <w:t>the Lord God</w:t>
      </w:r>
    </w:p>
    <w:p>
      <w:pPr/>
      <w:r>
        <w:rPr>
          <w:lang w:val="en_US" w:bidi="en_US"/>
        </w:rPr>
      </w:r>
      <w:r>
        <w:rPr>
          <w:lang w:val="en_US" w:bidi="en_US"/>
        </w:rPr>
        <w:t>God</w:t>
      </w:r>
    </w:p>
    <w:p>
      <w:pPr/>
      <w:r>
        <w:rPr>
          <w:lang w:val="en_US" w:bidi="en_US"/>
        </w:rPr>
      </w:r>
      <w:r>
        <w:rPr>
          <w:lang w:val="en_US" w:bidi="en_US"/>
        </w:rPr>
        <w:t>See Lord, Context 2, in the Glossary.</w:t>
      </w:r>
      <w:r>
        <w:rPr>
          <w:lang w:val="en_US" w:bidi="en_US"/>
        </w:rPr>
      </w:r>
      <w:r>
        <w:rPr>
          <w:lang w:val="en_US" w:bidi="en_US"/>
        </w:rPr>
      </w:r>
    </w:p>
    <w:p>
      <w:pPr/>
      <w:r>
        <w:rPr>
          <w:lang w:val="en_US" w:bidi="en_US"/>
        </w:rPr>
      </w:r>
    </w:p>
    <w:p>
      <w:pPr>
        <w:pStyle w:val="Heading2"/>
      </w:pPr>
      <w:r>
        <w:rPr>
          <w:lang w:val="en_US" w:bidi="en_US"/>
        </w:rPr>
        <w:t>Luke 14:1</w:t>
      </w:r>
      <w:r>
        <w:rPr>
          <w:lang w:val="en_US" w:bidi="en_US"/>
        </w:rPr>
      </w:r>
    </w:p>
    <w:p>
      <w:pPr>
        <w:pStyle w:val="Heading4"/>
      </w:pPr>
      <w:r>
        <w:rPr>
          <w:lang w:val="en_US" w:bidi="en_US"/>
        </w:rPr>
        <w:t>Section 14:1–6: Jesus healed a sick man on the Sabbath</w:t>
      </w:r>
    </w:p>
    <w:p>
      <w:pPr/>
      <w:r>
        <w:rPr>
          <w:lang w:val="en_US" w:bidi="en_US"/>
        </w:rPr>
      </w:r>
      <w:r>
        <w:rPr>
          <w:lang w:val="en_US" w:bidi="en_US"/>
        </w:rPr>
        <w:t>In this section Jesus healed a man whose arms and legs were swollen. He performed this miracle on a Sabbath day in the house of a Pharisee. This event did not necessarily happen after the events of the previous section. It occurs only in Luke.</w:t>
      </w:r>
    </w:p>
    <w:p>
      <w:pPr/>
      <w:r>
        <w:rPr>
          <w:lang w:val="en_US" w:bidi="en_US"/>
        </w:rPr>
      </w:r>
      <w:r>
        <w:rPr>
          <w:lang w:val="en_US" w:bidi="en_US"/>
        </w:rPr>
        <w:t>Another possible heading for this section is:</w:t>
      </w:r>
    </w:p>
    <w:p>
      <w:pPr/>
      <w:r>
        <w:rPr>
          <w:lang w:val="en_US" w:bidi="en_US"/>
        </w:rPr>
      </w:r>
      <w:r>
        <w:rPr>
          <w:lang w:val="en_US" w:bidi="en_US"/>
        </w:rPr>
        <w:t>Jesus Heals a Sick Man (GNT)</w:t>
      </w:r>
    </w:p>
    <w:p>
      <w:pPr/>
      <w:r>
        <w:rPr>
          <w:lang w:val="en_US" w:bidi="en_US"/>
        </w:rPr>
      </w:r>
      <w:r>
        <w:rPr>
          <w:lang w:val="en_US" w:bidi="en_US"/>
        </w:rPr>
        <w:t>The next two sections, 14:7–14 and 14:15–24, also occur in the house of the Pharisee. English versions have divided 14:1–24 into sections in different ways. For example:</w:t>
      </w:r>
    </w:p>
    <w:p>
      <w:pPr>
        <w:pStyle w:val="ListBullet"/>
        <w:spacing w:line="240" w:lineRule="auto"/>
        <w:ind w:left="720"/>
      </w:pPr>
      <w:r>
        <w:rPr>
          <w:lang w:val="en_US" w:bidi="en_US"/>
        </w:rPr>
      </w:r>
      <w:r>
        <w:rPr>
          <w:lang w:val="en_US" w:bidi="en_US"/>
        </w:rPr>
        <w:t>The GW has one section for 14:1–24. The section heading is:</w:t>
      </w:r>
      <w:r>
        <w:rPr>
          <w:lang w:val="en_US" w:bidi="en_US"/>
        </w:rPr>
        <w:t>Jesus attends a banquet</w:t>
      </w:r>
    </w:p>
    <w:p>
      <w:pPr>
        <w:pStyle w:val="ListBullet"/>
        <w:spacing w:line="240" w:lineRule="auto"/>
        <w:ind w:left="720"/>
      </w:pPr>
      <w:r>
        <w:rPr>
          <w:lang w:val="en_US" w:bidi="en_US"/>
        </w:rPr>
      </w:r>
      <w:r>
        <w:rPr>
          <w:lang w:val="en_US" w:bidi="en_US"/>
        </w:rPr>
        <w:t>The NIV has two sections. They are:</w:t>
      </w:r>
      <w:r>
        <w:rPr>
          <w:lang w:val="en_US" w:bidi="en_US"/>
        </w:rPr>
        <w:t>Jesus at a Pharisee’s House (14:1–14)</w:t>
      </w:r>
      <w:r>
        <w:rPr>
          <w:lang w:val="en_US" w:bidi="en_US"/>
        </w:rPr>
        <w:t>The Parable of the Great Banquet (14:15–24)</w:t>
      </w:r>
    </w:p>
    <w:p>
      <w:pPr/>
      <w:r>
        <w:rPr>
          <w:lang w:val="en_US" w:bidi="en_US"/>
        </w:rPr>
      </w:r>
      <w:r>
        <w:rPr>
          <w:lang w:val="en_US" w:bidi="en_US"/>
        </w:rPr>
        <w:t>It is good to read these sections before you decide where to make the section breaks. You should divide the sections in a way that will be appropriate in your language.</w:t>
      </w:r>
    </w:p>
    <w:p>
      <w:pPr>
        <w:pStyle w:val="Heading5"/>
      </w:pPr>
      <w:r>
        <w:rPr>
          <w:lang w:val="en_US" w:bidi="en_US"/>
        </w:rPr>
        <w:t>14:1a</w:t>
      </w:r>
    </w:p>
    <w:p>
      <w:pPr/>
      <w:r>
        <w:rPr>
          <w:lang w:val="en_US" w:bidi="en_US"/>
        </w:rPr>
      </w:r>
      <w:r>
        <w:rPr>
          <w:b/>
          <w:lang w:val="en_US" w:bidi="en_US"/>
        </w:rPr>
        <w:t>One Sabbath, Jesus went to eat in the home of a leading Pharisee,</w:t>
      </w:r>
    </w:p>
    <w:p>
      <w:pPr>
        <w:pStyle w:val="ListBullet"/>
        <w:spacing w:line="240" w:lineRule="auto"/>
        <w:ind w:left="720"/>
      </w:pPr>
      <w:r>
        <w:rPr>
          <w:lang w:val="en_US" w:bidi="en_US"/>
        </w:rPr>
      </w:r>
      <w:r>
        <w:rPr>
          <w:lang w:val="en_US" w:bidi="en_US"/>
        </w:rPr>
        <w:t xml:space="preserve">¶ On a certain Sabbath day, Jesus went to the house of a leading/important Pharisee to eat </w:t>
      </w:r>
      <w:r>
        <w:rPr>
          <w:lang w:val="en_US" w:bidi="en_US"/>
        </w:rPr>
        <w:t>a meal</w:t>
      </w:r>
      <w:r>
        <w:rPr>
          <w:lang w:val="en_US" w:bidi="en_US"/>
        </w:rPr>
        <w:t>.</w:t>
      </w:r>
    </w:p>
    <w:p>
      <w:pPr>
        <w:pStyle w:val="ListBullet"/>
        <w:spacing w:line="240" w:lineRule="auto"/>
        <w:ind w:left="720"/>
      </w:pPr>
      <w:r>
        <w:rPr>
          <w:lang w:val="en_US" w:bidi="en_US"/>
        </w:rPr>
      </w:r>
      <w:r>
        <w:rPr>
          <w:lang w:val="en_US" w:bidi="en_US"/>
        </w:rPr>
        <w:t xml:space="preserve">¶ One day Jesus </w:t>
      </w:r>
      <w:r>
        <w:rPr>
          <w:lang w:val="en_US" w:bidi="en_US"/>
        </w:rPr>
        <w:t>was invited to</w:t>
      </w:r>
      <w:r>
        <w:rPr>
          <w:lang w:val="en_US" w:bidi="en_US"/>
        </w:rPr>
        <w:t xml:space="preserve"> a meal at the home of a leader of the Pharisees. It was the rest day,</w:t>
      </w:r>
    </w:p>
    <w:p>
      <w:pPr/>
      <w:r>
        <w:rPr>
          <w:lang w:val="en_US" w:bidi="en_US"/>
        </w:rPr>
      </w:r>
      <w:r>
        <w:rPr>
          <w:lang w:val="en_US" w:bidi="en_US"/>
        </w:rPr>
        <w:t>In the Greek text this section begins with a phrase that often introduces a new event. Many modern English translations do not translate this phrase explicitly (BSB, NIV, RSV, GNT). If it is natural in your language, you may translate it with a phrase that introduces a new incident. For example:</w:t>
      </w:r>
    </w:p>
    <w:p>
      <w:pPr/>
      <w:r>
        <w:rPr>
          <w:lang w:val="en_US" w:bidi="en_US"/>
        </w:rPr>
      </w:r>
      <w:r>
        <w:rPr>
          <w:lang w:val="en_US" w:bidi="en_US"/>
        </w:rPr>
        <w:t>Now it happened that (NJB)</w:t>
      </w:r>
    </w:p>
    <w:p>
      <w:pPr/>
      <w:r>
        <w:rPr>
          <w:lang w:val="en_US" w:bidi="en_US"/>
        </w:rPr>
      </w:r>
      <w:r>
        <w:rPr>
          <w:b/>
          <w:lang w:val="en_US" w:bidi="en_US"/>
        </w:rPr>
        <w:t>One Sabbath:</w:t>
      </w:r>
      <w:r>
        <w:rPr>
          <w:lang w:val="en_US" w:bidi="en_US"/>
        </w:rPr>
        <w:t xml:space="preserve"> The phrase </w:t>
      </w:r>
      <w:r>
        <w:rPr>
          <w:i/>
          <w:lang w:val="en_US" w:bidi="en_US"/>
        </w:rPr>
        <w:t>One Sabbath</w:t>
      </w:r>
      <w:r>
        <w:rPr>
          <w:lang w:val="en_US" w:bidi="en_US"/>
        </w:rPr>
        <w:t xml:space="preserve"> gives the time setting for this incident. Use a natural way in your language to introduce this background information. For example:</w:t>
      </w:r>
    </w:p>
    <w:p>
      <w:pPr/>
      <w:r>
        <w:rPr>
          <w:lang w:val="en_US" w:bidi="en_US"/>
        </w:rPr>
      </w:r>
      <w:r>
        <w:rPr>
          <w:lang w:val="en_US" w:bidi="en_US"/>
        </w:rPr>
        <w:t>On a certain rest day</w:t>
      </w:r>
    </w:p>
    <w:p>
      <w:pPr/>
      <w:r>
        <w:rPr>
          <w:lang w:val="en_US" w:bidi="en_US"/>
        </w:rPr>
      </w:r>
      <w:r>
        <w:rPr>
          <w:lang w:val="en_US" w:bidi="en_US"/>
        </w:rPr>
        <w:t>In some languages it may be more natural to use a general expression at the beginning of the sentence and specify later that it was the Sabbath day. This would connect the information that it was the Sabbath more closely to the statement in 14:1b that Jesus was being watched. For example:</w:t>
      </w:r>
    </w:p>
    <w:p>
      <w:pPr/>
      <w:r>
        <w:rPr>
          <w:lang w:val="en_US" w:bidi="en_US"/>
        </w:rPr>
      </w:r>
      <w:r>
        <w:rPr>
          <w:lang w:val="en_US" w:bidi="en_US"/>
        </w:rPr>
        <w:t>On one occasion, when Jesus…to eat a meal on the sabbath (NRSV)</w:t>
      </w:r>
    </w:p>
    <w:p>
      <w:pPr/>
      <w:r>
        <w:rPr>
          <w:lang w:val="en_US" w:bidi="en_US"/>
        </w:rPr>
      </w:r>
      <w:r>
        <w:rPr>
          <w:lang w:val="en_US" w:bidi="en_US"/>
        </w:rPr>
        <w:t>One day, Jesus went…. It was the day for resting.</w:t>
      </w:r>
    </w:p>
    <w:p>
      <w:pPr/>
      <w:r>
        <w:rPr>
          <w:lang w:val="en_US" w:bidi="en_US"/>
        </w:rPr>
      </w:r>
      <w:r>
        <w:rPr>
          <w:b/>
          <w:lang w:val="en_US" w:bidi="en_US"/>
        </w:rPr>
        <w:t>Sabbath:</w:t>
      </w:r>
      <w:r>
        <w:rPr>
          <w:lang w:val="en_US" w:bidi="en_US"/>
        </w:rPr>
        <w:t xml:space="preserve"> The word </w:t>
      </w:r>
      <w:r>
        <w:rPr>
          <w:i/>
          <w:lang w:val="en_US" w:bidi="en_US"/>
        </w:rPr>
        <w:t>Sabbath</w:t>
      </w:r>
      <w:r>
        <w:rPr>
          <w:lang w:val="en_US" w:bidi="en_US"/>
        </w:rPr>
        <w:t xml:space="preserve"> is the name of the seventh and last day of the week for the Jews. This was the special day in the week when they rested and worshiped God. Some ways to translate </w:t>
      </w:r>
      <w:r>
        <w:rPr>
          <w:i/>
          <w:lang w:val="en_US" w:bidi="en_US"/>
        </w:rPr>
        <w:t>Sabbath</w:t>
      </w:r>
      <w:r>
        <w:rPr>
          <w:lang w:val="en_US" w:bidi="en_US"/>
        </w:rPr>
        <w:t xml:space="preserve"> are:</w:t>
      </w:r>
    </w:p>
    <w:p>
      <w:pPr/>
      <w:r>
        <w:rPr>
          <w:lang w:val="en_US" w:bidi="en_US"/>
        </w:rPr>
      </w:r>
      <w:r>
        <w:rPr>
          <w:lang w:val="en_US" w:bidi="en_US"/>
        </w:rPr>
        <w:t xml:space="preserve">the </w:t>
      </w:r>
      <w:r>
        <w:rPr>
          <w:lang w:val="en_US" w:bidi="en_US"/>
        </w:rPr>
        <w:t>Jewish</w:t>
      </w:r>
      <w:r>
        <w:rPr>
          <w:lang w:val="en_US" w:bidi="en_US"/>
        </w:rPr>
        <w:t xml:space="preserve"> rest day</w:t>
      </w:r>
    </w:p>
    <w:p>
      <w:pPr/>
      <w:r>
        <w:rPr>
          <w:lang w:val="en_US" w:bidi="en_US"/>
        </w:rPr>
      </w:r>
      <w:r>
        <w:rPr>
          <w:lang w:val="en_US" w:bidi="en_US"/>
        </w:rPr>
        <w:t>the day for resting</w:t>
      </w:r>
    </w:p>
    <w:p>
      <w:pPr/>
      <w:r>
        <w:rPr>
          <w:lang w:val="en_US" w:bidi="en_US"/>
        </w:rPr>
      </w:r>
      <w:r>
        <w:rPr>
          <w:lang w:val="en_US" w:bidi="en_US"/>
        </w:rPr>
        <w:t>the day to rest and worship God</w:t>
      </w:r>
    </w:p>
    <w:p>
      <w:pPr/>
      <w:r>
        <w:rPr>
          <w:lang w:val="en_US" w:bidi="en_US"/>
        </w:rPr>
      </w:r>
      <w:r>
        <w:rPr>
          <w:lang w:val="en_US" w:bidi="en_US"/>
        </w:rPr>
        <w:t xml:space="preserve">If the word </w:t>
      </w:r>
      <w:r>
        <w:rPr>
          <w:i/>
          <w:lang w:val="en_US" w:bidi="en_US"/>
        </w:rPr>
        <w:t>Sabbath</w:t>
      </w:r>
      <w:r>
        <w:rPr>
          <w:lang w:val="en_US" w:bidi="en_US"/>
        </w:rPr>
        <w:t xml:space="preserve"> is already known in your area, you may write it according to the sounds of your language. You may also want to include a phrase to explain the meaning. For example:</w:t>
      </w:r>
    </w:p>
    <w:p>
      <w:pPr/>
      <w:r>
        <w:rPr>
          <w:lang w:val="en_US" w:bidi="en_US"/>
        </w:rPr>
      </w:r>
      <w:r>
        <w:rPr>
          <w:lang w:val="en_US" w:bidi="en_US"/>
        </w:rPr>
        <w:t xml:space="preserve">the Sabat, the </w:t>
      </w:r>
      <w:r>
        <w:rPr>
          <w:lang w:val="en_US" w:bidi="en_US"/>
        </w:rPr>
        <w:t>Jews’</w:t>
      </w:r>
      <w:r>
        <w:rPr>
          <w:lang w:val="en_US" w:bidi="en_US"/>
        </w:rPr>
        <w:t xml:space="preserve"> rest day</w:t>
      </w:r>
    </w:p>
    <w:p>
      <w:pPr/>
      <w:r>
        <w:rPr>
          <w:lang w:val="en_US" w:bidi="en_US"/>
        </w:rPr>
      </w:r>
      <w:r>
        <w:rPr>
          <w:lang w:val="en_US" w:bidi="en_US"/>
        </w:rPr>
        <w:t>The word Sabbath also occurs in 13:10.</w:t>
      </w:r>
    </w:p>
    <w:p>
      <w:pPr/>
      <w:r>
        <w:rPr>
          <w:lang w:val="en_US" w:bidi="en_US"/>
        </w:rPr>
      </w:r>
      <w:r>
        <w:rPr>
          <w:b/>
          <w:lang w:val="en_US" w:bidi="en_US"/>
        </w:rPr>
        <w:t>Jesus went to eat:</w:t>
      </w:r>
      <w:r>
        <w:rPr>
          <w:lang w:val="en_US" w:bidi="en_US"/>
        </w:rPr>
        <w:t xml:space="preserve"> The Greek phrase that the BSB translates as </w:t>
      </w:r>
      <w:r>
        <w:rPr>
          <w:i/>
          <w:lang w:val="en_US" w:bidi="en_US"/>
        </w:rPr>
        <w:t>to eat</w:t>
      </w:r>
      <w:r>
        <w:rPr>
          <w:lang w:val="en_US" w:bidi="en_US"/>
        </w:rPr>
        <w:t xml:space="preserve"> is literally “to eat bread.” Bread was the main food that was eaten at meals in that culture. Another way to translate this is:</w:t>
      </w:r>
    </w:p>
    <w:p>
      <w:pPr/>
      <w:r>
        <w:rPr>
          <w:lang w:val="en_US" w:bidi="en_US"/>
        </w:rPr>
      </w:r>
      <w:r>
        <w:rPr>
          <w:lang w:val="en_US" w:bidi="en_US"/>
        </w:rPr>
        <w:t>to eat a meal (GNT)</w:t>
      </w:r>
    </w:p>
    <w:p>
      <w:pPr/>
      <w:r>
        <w:rPr>
          <w:lang w:val="en_US" w:bidi="en_US"/>
        </w:rPr>
      </w:r>
      <w:r>
        <w:rPr>
          <w:lang w:val="en_US" w:bidi="en_US"/>
        </w:rPr>
        <w:t>The context implies that Jesus was invited to this meal along with other guests. In some languages it may be natural to make this information explicit here. For example:</w:t>
      </w:r>
    </w:p>
    <w:p>
      <w:pPr/>
      <w:r>
        <w:rPr>
          <w:lang w:val="en_US" w:bidi="en_US"/>
        </w:rPr>
      </w:r>
      <w:r>
        <w:rPr>
          <w:lang w:val="en_US" w:bidi="en_US"/>
        </w:rPr>
        <w:t xml:space="preserve">a leader of the Pharisees invited Jesus to eat </w:t>
      </w:r>
      <w:r>
        <w:rPr>
          <w:lang w:val="en_US" w:bidi="en_US"/>
        </w:rPr>
        <w:t>with others</w:t>
      </w:r>
      <w:r>
        <w:rPr>
          <w:lang w:val="en_US" w:bidi="en_US"/>
        </w:rPr>
        <w:t xml:space="preserve"> at his home</w:t>
      </w:r>
    </w:p>
    <w:p>
      <w:pPr/>
      <w:r>
        <w:rPr>
          <w:lang w:val="en_US" w:bidi="en_US"/>
        </w:rPr>
      </w:r>
      <w:r>
        <w:rPr>
          <w:b/>
          <w:lang w:val="en_US" w:bidi="en_US"/>
        </w:rPr>
        <w:t>in the home of a leading Pharisee:</w:t>
      </w:r>
      <w:r>
        <w:rPr>
          <w:lang w:val="en_US" w:bidi="en_US"/>
        </w:rPr>
        <w:t xml:space="preserve"> There are two ways to interpret the Greek phrase that the BSB translates as </w:t>
      </w:r>
      <w:r>
        <w:rPr>
          <w:i/>
          <w:lang w:val="en_US" w:bidi="en_US"/>
        </w:rPr>
        <w:t>a leading Pharisee</w:t>
      </w:r>
      <w:r>
        <w:rPr>
          <w:lang w:val="en_US" w:bidi="en_US"/>
        </w:rPr>
        <w:t>:</w:t>
      </w:r>
    </w:p>
    <w:p>
      <w:pPr>
        <w:pStyle w:val="ListNumber"/>
        <w:numPr>
          <w:ilvl w:val="0"/>
          <w:numId w:val="260"/>
        </w:numPr>
        <w:spacing w:line="240" w:lineRule="auto"/>
        <w:ind w:left="720"/>
      </w:pPr>
      <w:r>
        <w:rPr>
          <w:lang w:val="en_US" w:bidi="en_US"/>
        </w:rPr>
      </w:r>
      <w:r>
        <w:rPr>
          <w:lang w:val="en_US" w:bidi="en_US"/>
        </w:rPr>
        <w:t>It refers to a leader of other Pharisees or an important person among them. For example:</w:t>
      </w:r>
      <w:r>
        <w:rPr>
          <w:lang w:val="en_US" w:bidi="en_US"/>
        </w:rPr>
        <w:t>a leader of the Pharisees (NLT)</w:t>
      </w:r>
      <w:r>
        <w:rPr>
          <w:lang w:val="en_US" w:bidi="en_US"/>
        </w:rPr>
        <w:t xml:space="preserve">an important Pharisee (CEV) </w:t>
      </w:r>
      <w:r>
        <w:rPr>
          <w:i/>
          <w:lang w:val="en_US" w:bidi="en_US"/>
        </w:rPr>
        <w:t>(BSB, NLT, NIV, GNT, KJV, NCV, CEV, GW, NET, REB, NRSV, NJB)</w:t>
      </w:r>
    </w:p>
    <w:p>
      <w:pPr>
        <w:pStyle w:val="ListNumber"/>
        <w:spacing w:line="240" w:lineRule="auto"/>
        <w:ind w:left="720"/>
      </w:pPr>
      <w:r>
        <w:rPr>
          <w:lang w:val="en_US" w:bidi="en_US"/>
        </w:rPr>
      </w:r>
      <w:r>
        <w:rPr>
          <w:lang w:val="en_US" w:bidi="en_US"/>
        </w:rPr>
        <w:t>It refers to a Pharisee who was a leader of the Jews. For example:</w:t>
      </w:r>
      <w:r>
        <w:rPr>
          <w:lang w:val="en_US" w:bidi="en_US"/>
        </w:rPr>
        <w:t xml:space="preserve">a ruler who belonged to the Pharisees (RSV) </w:t>
      </w:r>
      <w:r>
        <w:rPr>
          <w:i/>
          <w:lang w:val="en_US" w:bidi="en_US"/>
        </w:rPr>
        <w:t>(RSV)</w:t>
      </w:r>
    </w:p>
    <w:p>
      <w:pPr/>
      <w:r>
        <w:rPr>
          <w:lang w:val="en_US" w:bidi="en_US"/>
        </w:rPr>
      </w:r>
      <w:r>
        <w:rPr>
          <w:lang w:val="en_US" w:bidi="en_US"/>
        </w:rPr>
        <w:t>It is recommended that you follow interpretation (1), along with the majority of English versions.</w:t>
      </w:r>
    </w:p>
    <w:p>
      <w:pPr/>
      <w:r>
        <w:rPr>
          <w:lang w:val="en_US" w:bidi="en_US"/>
        </w:rPr>
      </w:r>
      <w:r>
        <w:rPr>
          <w:b/>
          <w:lang w:val="en_US" w:bidi="en_US"/>
        </w:rPr>
        <w:t>Pharisee:</w:t>
      </w:r>
      <w:r>
        <w:rPr>
          <w:lang w:val="en_US" w:bidi="en_US"/>
        </w:rPr>
        <w:t xml:space="preserve"> A </w:t>
      </w:r>
      <w:r>
        <w:rPr>
          <w:i/>
          <w:lang w:val="en_US" w:bidi="en_US"/>
        </w:rPr>
        <w:t>Pharisee</w:t>
      </w:r>
      <w:r>
        <w:rPr>
          <w:lang w:val="en_US" w:bidi="en_US"/>
        </w:rPr>
        <w:t xml:space="preserve"> was a member of the Pharisee party, a religious group that emphasized obeying the Law of Moses. Here are some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Pharisee</w:t>
      </w:r>
      <w:r>
        <w:rPr>
          <w:lang w:val="en_US" w:bidi="en_US"/>
        </w:rPr>
        <w:t xml:space="preserve"> according to the sounds of your language and indicate that it refers to a person. For example:</w:t>
      </w:r>
      <w:r>
        <w:rPr>
          <w:lang w:val="en_US" w:bidi="en_US"/>
        </w:rPr>
        <w:t>Farisi member</w:t>
      </w:r>
      <w:r>
        <w:rPr>
          <w:lang w:val="en_US" w:bidi="en_US"/>
        </w:rPr>
        <w:t>Parise adherent</w:t>
      </w:r>
    </w:p>
    <w:p>
      <w:pPr>
        <w:pStyle w:val="ListBullet"/>
        <w:spacing w:line="240" w:lineRule="auto"/>
        <w:ind w:left="720"/>
      </w:pPr>
      <w:r>
        <w:rPr>
          <w:lang w:val="en_US" w:bidi="en_US"/>
        </w:rPr>
      </w:r>
      <w:r>
        <w:rPr>
          <w:lang w:val="en_US" w:bidi="en_US"/>
        </w:rPr>
        <w:t xml:space="preserve">Transliterate the word </w:t>
      </w:r>
      <w:r>
        <w:rPr>
          <w:i/>
          <w:lang w:val="en_US" w:bidi="en_US"/>
        </w:rPr>
        <w:t>Pharisee</w:t>
      </w:r>
      <w:r>
        <w:rPr>
          <w:lang w:val="en_US" w:bidi="en_US"/>
        </w:rPr>
        <w:t xml:space="preserve"> and indicate that it refers to a group of people with certain beliefs. For example:</w:t>
      </w:r>
      <w:r>
        <w:rPr>
          <w:lang w:val="en_US" w:bidi="en_US"/>
        </w:rPr>
        <w:t>person belonging to the Farise religious sect/group</w:t>
      </w:r>
      <w:r>
        <w:rPr>
          <w:lang w:val="en_US" w:bidi="en_US"/>
        </w:rPr>
        <w:t>member of the religious group called the Farasi</w:t>
      </w:r>
    </w:p>
    <w:p>
      <w:pPr/>
      <w:r>
        <w:rPr>
          <w:lang w:val="en_US" w:bidi="en_US"/>
        </w:rPr>
      </w:r>
      <w:r>
        <w:rPr>
          <w:lang w:val="en_US" w:bidi="en_US"/>
        </w:rPr>
        <w:t xml:space="preserve">See how you translated </w:t>
      </w:r>
      <w:r>
        <w:rPr>
          <w:i/>
          <w:lang w:val="en_US" w:bidi="en_US"/>
        </w:rPr>
        <w:t>Pharisee</w:t>
      </w:r>
      <w:r>
        <w:rPr>
          <w:lang w:val="en_US" w:bidi="en_US"/>
        </w:rPr>
        <w:t xml:space="preserve"> in 11:37a. The word first occurs in Luke in 5:17b.</w:t>
      </w:r>
    </w:p>
    <w:p>
      <w:pPr>
        <w:pStyle w:val="Heading5"/>
      </w:pPr>
      <w:r>
        <w:rPr>
          <w:lang w:val="en_US" w:bidi="en_US"/>
        </w:rPr>
        <w:t>14:1b</w:t>
      </w:r>
    </w:p>
    <w:p>
      <w:pPr/>
      <w:r>
        <w:rPr>
          <w:lang w:val="en_US" w:bidi="en_US"/>
        </w:rPr>
      </w:r>
      <w:r>
        <w:rPr>
          <w:b/>
          <w:lang w:val="en_US" w:bidi="en_US"/>
        </w:rPr>
        <w:t>and those in attendance were watching Him closely.</w:t>
      </w:r>
    </w:p>
    <w:p>
      <w:pPr>
        <w:pStyle w:val="ListBullet"/>
        <w:spacing w:line="240" w:lineRule="auto"/>
        <w:ind w:left="720"/>
      </w:pPr>
      <w:r>
        <w:rPr>
          <w:lang w:val="en_US" w:bidi="en_US"/>
        </w:rPr>
      </w:r>
      <w:r>
        <w:rPr>
          <w:lang w:val="en_US" w:bidi="en_US"/>
        </w:rPr>
        <w:t>Those who were there</w:t>
      </w:r>
      <w:r>
        <w:rPr>
          <w:lang w:val="en_US" w:bidi="en_US"/>
        </w:rPr>
        <w:t xml:space="preserve"> watched/observed him carefully.</w:t>
      </w:r>
    </w:p>
    <w:p>
      <w:pPr>
        <w:pStyle w:val="ListBullet"/>
        <w:spacing w:line="240" w:lineRule="auto"/>
        <w:ind w:left="720"/>
      </w:pPr>
      <w:r>
        <w:rPr>
          <w:lang w:val="en_US" w:bidi="en_US"/>
        </w:rPr>
      </w:r>
      <w:r>
        <w:rPr>
          <w:lang w:val="en_US" w:bidi="en_US"/>
        </w:rPr>
        <w:t xml:space="preserve">and </w:t>
      </w:r>
      <w:r>
        <w:rPr>
          <w:lang w:val="en_US" w:bidi="en_US"/>
        </w:rPr>
        <w:t>the Pharisees and experts in the law</w:t>
      </w:r>
      <w:r>
        <w:rPr>
          <w:lang w:val="en_US" w:bidi="en_US"/>
        </w:rPr>
        <w:t xml:space="preserve"> were watching him closely </w:t>
      </w:r>
      <w:r>
        <w:rPr>
          <w:lang w:val="en_US" w:bidi="en_US"/>
        </w:rPr>
        <w:t>to see if he would do something against their laws</w:t>
      </w:r>
      <w:r>
        <w:rPr>
          <w:lang w:val="en_US" w:bidi="en_US"/>
        </w:rPr>
        <w:t>.</w:t>
      </w:r>
    </w:p>
    <w:p>
      <w:pPr/>
      <w:r>
        <w:rPr>
          <w:lang w:val="en_US" w:bidi="en_US"/>
        </w:rPr>
      </w:r>
      <w:r>
        <w:rPr>
          <w:b/>
          <w:lang w:val="en_US" w:bidi="en_US"/>
        </w:rPr>
        <w:t>those in attendance were watching Him closely:</w:t>
      </w:r>
      <w:r>
        <w:rPr>
          <w:lang w:val="en_US" w:bidi="en_US"/>
        </w:rPr>
        <w:t xml:space="preserve"> In Greek, the phrase that the BSB translates as </w:t>
      </w:r>
      <w:r>
        <w:rPr>
          <w:i/>
          <w:lang w:val="en_US" w:bidi="en_US"/>
        </w:rPr>
        <w:t>those in attendance were watching Him closely</w:t>
      </w:r>
      <w:r>
        <w:rPr>
          <w:lang w:val="en_US" w:bidi="en_US"/>
        </w:rPr>
        <w:t xml:space="preserve"> is literally “they were watching him closely.” The word “they” is an indefinite pronoun. If your language would not use an indefinite pronoun in this way, you may:</w:t>
      </w:r>
    </w:p>
    <w:p>
      <w:pPr>
        <w:pStyle w:val="ListBullet"/>
        <w:spacing w:line="240" w:lineRule="auto"/>
        <w:ind w:left="720"/>
      </w:pPr>
      <w:r>
        <w:rPr>
          <w:lang w:val="en_US" w:bidi="en_US"/>
        </w:rPr>
      </w:r>
      <w:r>
        <w:rPr>
          <w:lang w:val="en_US" w:bidi="en_US"/>
        </w:rPr>
        <w:t>Translate this as a passive verbal phrase. For example:</w:t>
      </w:r>
      <w:r>
        <w:rPr>
          <w:lang w:val="en_US" w:bidi="en_US"/>
        </w:rPr>
        <w:t>he was being carefully watched (NIV)</w:t>
      </w:r>
    </w:p>
    <w:p>
      <w:pPr>
        <w:pStyle w:val="ListBullet"/>
        <w:spacing w:line="240" w:lineRule="auto"/>
        <w:ind w:left="720"/>
      </w:pPr>
      <w:r>
        <w:rPr>
          <w:lang w:val="en_US" w:bidi="en_US"/>
        </w:rPr>
      </w:r>
      <w:r>
        <w:rPr>
          <w:lang w:val="en_US" w:bidi="en_US"/>
        </w:rPr>
        <w:t xml:space="preserve">Supply a general subject, as the BSB does: </w:t>
      </w:r>
      <w:r>
        <w:rPr>
          <w:i/>
          <w:lang w:val="en_US" w:bidi="en_US"/>
        </w:rPr>
        <w:t>those in attendance</w:t>
      </w:r>
      <w:r>
        <w:rPr>
          <w:lang w:val="en_US" w:bidi="en_US"/>
        </w:rPr>
        <w:t>. For example:</w:t>
      </w:r>
      <w:r>
        <w:rPr>
          <w:u w:val="single"/>
          <w:lang w:val="en_US" w:bidi="en_US"/>
        </w:rPr>
        <w:t>the other people present</w:t>
      </w:r>
      <w:r>
        <w:rPr>
          <w:lang w:val="en_US" w:bidi="en_US"/>
        </w:rPr>
        <w:t xml:space="preserve"> closely watched him</w:t>
      </w:r>
      <w:r>
        <w:rPr>
          <w:u w:val="single"/>
          <w:lang w:val="en_US" w:bidi="en_US"/>
        </w:rPr>
        <w:t>Jesus’ enemies</w:t>
      </w:r>
      <w:r>
        <w:rPr>
          <w:lang w:val="en_US" w:bidi="en_US"/>
        </w:rPr>
        <w:t xml:space="preserve"> observed him carefully</w:t>
      </w:r>
    </w:p>
    <w:p>
      <w:pPr>
        <w:pStyle w:val="ListBullet"/>
        <w:spacing w:line="240" w:lineRule="auto"/>
        <w:ind w:left="720"/>
      </w:pPr>
      <w:r>
        <w:rPr>
          <w:lang w:val="en_US" w:bidi="en_US"/>
        </w:rPr>
      </w:r>
      <w:r>
        <w:rPr>
          <w:lang w:val="en_US" w:bidi="en_US"/>
        </w:rPr>
        <w:t>Use a specific subject from 14:3a. For example:</w:t>
      </w:r>
      <w:r>
        <w:rPr>
          <w:u w:val="single"/>
          <w:lang w:val="en_US" w:bidi="en_US"/>
        </w:rPr>
        <w:t>the Pharisees and the law experts</w:t>
      </w:r>
      <w:r>
        <w:rPr>
          <w:lang w:val="en_US" w:bidi="en_US"/>
        </w:rPr>
        <w:t xml:space="preserve"> watched him carefully</w:t>
      </w:r>
    </w:p>
    <w:p>
      <w:pPr/>
      <w:r>
        <w:rPr>
          <w:lang w:val="en_US" w:bidi="en_US"/>
        </w:rPr>
      </w:r>
      <w:r>
        <w:rPr>
          <w:lang w:val="en_US" w:bidi="en_US"/>
        </w:rPr>
        <w:t xml:space="preserve">In this context, the Greek verb that the BSB translates as </w:t>
      </w:r>
      <w:r>
        <w:rPr>
          <w:i/>
          <w:lang w:val="en_US" w:bidi="en_US"/>
        </w:rPr>
        <w:t>were watching Him closely</w:t>
      </w:r>
      <w:r>
        <w:rPr>
          <w:lang w:val="en_US" w:bidi="en_US"/>
        </w:rPr>
        <w:t xml:space="preserve"> implies that the other people who came to the dinner were watching Jesus suspiciously or with hostility. The other people at the dinner included Pharisees and experts in the Jewish religious laws (see 14:3). They wanted to be able to accuse Jesus of breaking one of these laws.</w:t>
      </w:r>
    </w:p>
    <w:p>
      <w:pPr/>
      <w:r>
        <w:rPr>
          <w:lang w:val="en_US" w:bidi="en_US"/>
        </w:rPr>
      </w:r>
      <w:r>
        <w:rPr>
          <w:lang w:val="en_US" w:bidi="en_US"/>
        </w:rPr>
        <w:t>In some languages there may be idioms that suggest a hostile reason for watching someone. One English idiom that expresses this is:</w:t>
      </w:r>
    </w:p>
    <w:p>
      <w:pPr/>
      <w:r>
        <w:rPr>
          <w:lang w:val="en_US" w:bidi="en_US"/>
        </w:rPr>
      </w:r>
      <w:r>
        <w:rPr>
          <w:lang w:val="en_US" w:bidi="en_US"/>
        </w:rPr>
        <w:t>they had their eyes on him</w:t>
      </w:r>
      <w:r>
        <w:rPr>
          <w:lang w:val="en_US" w:bidi="en_US"/>
        </w:rPr>
      </w:r>
      <w:r>
        <w:rPr>
          <w:lang w:val="en_US" w:bidi="en_US"/>
        </w:rPr>
      </w:r>
    </w:p>
    <w:p>
      <w:pPr/>
      <w:r>
        <w:rPr>
          <w:lang w:val="en_US" w:bidi="en_US"/>
        </w:rPr>
      </w:r>
    </w:p>
    <w:p>
      <w:pPr>
        <w:pStyle w:val="Heading2"/>
      </w:pPr>
      <w:r>
        <w:rPr>
          <w:lang w:val="en_US" w:bidi="en_US"/>
        </w:rPr>
        <w:t>Luke 14:2</w:t>
      </w:r>
      <w:r>
        <w:rPr>
          <w:lang w:val="en_US" w:bidi="en_US"/>
        </w:rPr>
      </w:r>
    </w:p>
    <w:p>
      <w:pPr>
        <w:pStyle w:val="Heading4"/>
      </w:pPr>
      <w:r>
        <w:rPr>
          <w:lang w:val="en_US" w:bidi="en_US"/>
        </w:rPr>
        <w:t>Section 14:1–6: Jesus healed a sick man on the Sabbath</w:t>
      </w:r>
    </w:p>
    <w:p>
      <w:pPr/>
      <w:r>
        <w:rPr>
          <w:lang w:val="en_US" w:bidi="en_US"/>
        </w:rPr>
      </w:r>
      <w:r>
        <w:rPr>
          <w:lang w:val="en_US" w:bidi="en_US"/>
        </w:rPr>
        <w:t>In this section Jesus healed a man whose arms and legs were swollen. He performed this miracle on a Sabbath day in the house of a Pharisee. This event did not necessarily happen after the events of the previous section. It occurs only in Luke.</w:t>
      </w:r>
    </w:p>
    <w:p>
      <w:pPr/>
      <w:r>
        <w:rPr>
          <w:lang w:val="en_US" w:bidi="en_US"/>
        </w:rPr>
      </w:r>
      <w:r>
        <w:rPr>
          <w:lang w:val="en_US" w:bidi="en_US"/>
        </w:rPr>
        <w:t>Another possible heading for this section is:</w:t>
      </w:r>
    </w:p>
    <w:p>
      <w:pPr/>
      <w:r>
        <w:rPr>
          <w:lang w:val="en_US" w:bidi="en_US"/>
        </w:rPr>
      </w:r>
      <w:r>
        <w:rPr>
          <w:lang w:val="en_US" w:bidi="en_US"/>
        </w:rPr>
        <w:t>Jesus Heals a Sick Man (GNT)</w:t>
      </w:r>
    </w:p>
    <w:p>
      <w:pPr/>
      <w:r>
        <w:rPr>
          <w:lang w:val="en_US" w:bidi="en_US"/>
        </w:rPr>
      </w:r>
      <w:r>
        <w:rPr>
          <w:lang w:val="en_US" w:bidi="en_US"/>
        </w:rPr>
        <w:t>The next two sections, 14:7–14 and 14:15–24, also occur in the house of the Pharisee. English versions have divided 14:1–24 into sections in different ways. For example:</w:t>
      </w:r>
    </w:p>
    <w:p>
      <w:pPr>
        <w:pStyle w:val="ListBullet"/>
        <w:spacing w:line="240" w:lineRule="auto"/>
        <w:ind w:left="720"/>
      </w:pPr>
      <w:r>
        <w:rPr>
          <w:lang w:val="en_US" w:bidi="en_US"/>
        </w:rPr>
      </w:r>
      <w:r>
        <w:rPr>
          <w:lang w:val="en_US" w:bidi="en_US"/>
        </w:rPr>
        <w:t>The GW has one section for 14:1–24. The section heading is:</w:t>
      </w:r>
      <w:r>
        <w:rPr>
          <w:lang w:val="en_US" w:bidi="en_US"/>
        </w:rPr>
        <w:t>Jesus attends a banquet</w:t>
      </w:r>
    </w:p>
    <w:p>
      <w:pPr>
        <w:pStyle w:val="ListBullet"/>
        <w:spacing w:line="240" w:lineRule="auto"/>
        <w:ind w:left="720"/>
      </w:pPr>
      <w:r>
        <w:rPr>
          <w:lang w:val="en_US" w:bidi="en_US"/>
        </w:rPr>
      </w:r>
      <w:r>
        <w:rPr>
          <w:lang w:val="en_US" w:bidi="en_US"/>
        </w:rPr>
        <w:t>The NIV has two sections. They are:</w:t>
      </w:r>
      <w:r>
        <w:rPr>
          <w:lang w:val="en_US" w:bidi="en_US"/>
        </w:rPr>
        <w:t>Jesus at a Pharisee’s House (14:1–14)</w:t>
      </w:r>
      <w:r>
        <w:rPr>
          <w:lang w:val="en_US" w:bidi="en_US"/>
        </w:rPr>
        <w:t>The Parable of the Great Banquet (14:15–24)</w:t>
      </w:r>
    </w:p>
    <w:p>
      <w:pPr/>
      <w:r>
        <w:rPr>
          <w:lang w:val="en_US" w:bidi="en_US"/>
        </w:rPr>
      </w:r>
      <w:r>
        <w:rPr>
          <w:lang w:val="en_US" w:bidi="en_US"/>
        </w:rPr>
        <w:t>It is good to read these sections before you decide where to make the section breaks. You should divide the sections in a way that will be appropriate in your language.</w:t>
      </w:r>
    </w:p>
    <w:p>
      <w:pPr>
        <w:pStyle w:val="Heading5"/>
      </w:pPr>
      <w:r>
        <w:rPr>
          <w:lang w:val="en_US" w:bidi="en_US"/>
        </w:rPr>
        <w:t>14:2</w:t>
      </w:r>
    </w:p>
    <w:p>
      <w:pPr/>
      <w:r>
        <w:rPr>
          <w:lang w:val="en_US" w:bidi="en_US"/>
        </w:rPr>
      </w:r>
      <w:r>
        <w:rPr>
          <w:b/>
          <w:lang w:val="en_US" w:bidi="en_US"/>
        </w:rPr>
        <w:t>Right there before Him was a man with dropsy.</w:t>
      </w:r>
    </w:p>
    <w:p>
      <w:pPr>
        <w:pStyle w:val="ListBullet"/>
        <w:spacing w:line="240" w:lineRule="auto"/>
        <w:ind w:left="720"/>
      </w:pPr>
      <w:r>
        <w:rPr>
          <w:lang w:val="en_US" w:bidi="en_US"/>
        </w:rPr>
      </w:r>
      <w:r>
        <w:rPr>
          <w:lang w:val="en_US" w:bidi="en_US"/>
        </w:rPr>
        <w:t>Right there in front of Jesus, there was a man who had swollen arms and legs.</w:t>
      </w:r>
    </w:p>
    <w:p>
      <w:pPr>
        <w:pStyle w:val="ListBullet"/>
        <w:spacing w:line="240" w:lineRule="auto"/>
        <w:ind w:left="720"/>
      </w:pPr>
      <w:r>
        <w:rPr>
          <w:lang w:val="en_US" w:bidi="en_US"/>
        </w:rPr>
      </w:r>
      <w:r>
        <w:rPr>
          <w:lang w:val="en_US" w:bidi="en_US"/>
        </w:rPr>
        <w:t>Now listen to this! A man with a sickness that caused his body to swell was there in the Pharisee’s house with Jesus.</w:t>
      </w:r>
    </w:p>
    <w:p>
      <w:pPr/>
      <w:r>
        <w:rPr>
          <w:lang w:val="en_US" w:bidi="en_US"/>
        </w:rPr>
      </w:r>
      <w:r>
        <w:rPr>
          <w:b/>
          <w:lang w:val="en_US" w:bidi="en_US"/>
        </w:rPr>
        <w:t>Right there before Him:</w:t>
      </w:r>
      <w:r>
        <w:rPr>
          <w:lang w:val="en_US" w:bidi="en_US"/>
        </w:rPr>
        <w:t xml:space="preserve"> In the Greek text this verse begins literally with the phrase “And behold.” Versions such as the RSV translate it that way. Here it introduces something new that the author wants people to pay attention to. It introduces a person who was sick with dropsy. This man did not say or do anything in this context, but his presence indirectly caused everything that happened.</w:t>
      </w:r>
    </w:p>
    <w:p>
      <w:pPr/>
      <w:r>
        <w:rPr>
          <w:lang w:val="en_US" w:bidi="en_US"/>
        </w:rPr>
      </w:r>
      <w:r>
        <w:rPr>
          <w:lang w:val="en_US" w:bidi="en_US"/>
        </w:rPr>
        <w:t>In some languages you may have a special way to introduce a person like this into a story and to focus attention on him. Another way to translate this is:</w:t>
      </w:r>
    </w:p>
    <w:p>
      <w:pPr/>
      <w:r>
        <w:rPr>
          <w:lang w:val="en_US" w:bidi="en_US"/>
        </w:rPr>
      </w:r>
      <w:r>
        <w:rPr>
          <w:lang w:val="en_US" w:bidi="en_US"/>
        </w:rPr>
        <w:t>There right in front of him was a man (NET)</w:t>
      </w:r>
    </w:p>
    <w:p>
      <w:pPr/>
      <w:r>
        <w:rPr>
          <w:lang w:val="en_US" w:bidi="en_US"/>
        </w:rPr>
      </w:r>
      <w:r>
        <w:rPr>
          <w:lang w:val="en_US" w:bidi="en_US"/>
        </w:rPr>
        <w:t>See the note on 10:25a, where the phrase “And behold” has a similar function.</w:t>
      </w:r>
    </w:p>
    <w:p>
      <w:pPr/>
      <w:r>
        <w:rPr>
          <w:lang w:val="en_US" w:bidi="en_US"/>
        </w:rPr>
      </w:r>
      <w:r>
        <w:rPr>
          <w:b/>
          <w:lang w:val="en_US" w:bidi="en_US"/>
        </w:rPr>
        <w:t>a man with dropsy:</w:t>
      </w:r>
      <w:r>
        <w:rPr>
          <w:lang w:val="en_US" w:bidi="en_US"/>
        </w:rPr>
        <w:t xml:space="preserve"> The Greek phrase that the BSB translates as </w:t>
      </w:r>
      <w:r>
        <w:rPr>
          <w:i/>
          <w:lang w:val="en_US" w:bidi="en_US"/>
        </w:rPr>
        <w:t>a man with dropsy</w:t>
      </w:r>
      <w:r>
        <w:rPr>
          <w:lang w:val="en_US" w:bidi="en_US"/>
        </w:rPr>
        <w:t xml:space="preserve"> means that the man was sick with an illness called dropsy. In this illness water (lymph fluid) gathers in a person’s body and causes swelling, especially in the arms and legs. Use an expression for this sickness that is natural in your language. Some examples of descriptive phrases in English are:</w:t>
      </w:r>
    </w:p>
    <w:p>
      <w:pPr/>
      <w:r>
        <w:rPr>
          <w:lang w:val="en_US" w:bidi="en_US"/>
        </w:rPr>
      </w:r>
      <w:r>
        <w:rPr>
          <w:lang w:val="en_US" w:bidi="en_US"/>
        </w:rPr>
        <w:t>A man whose legs and arms were swollen (GNT)</w:t>
      </w:r>
    </w:p>
    <w:p>
      <w:pPr/>
      <w:r>
        <w:rPr>
          <w:lang w:val="en_US" w:bidi="en_US"/>
        </w:rPr>
      </w:r>
      <w:r>
        <w:rPr>
          <w:lang w:val="en_US" w:bidi="en_US"/>
        </w:rPr>
        <w:t>A man whose body was swollen with fluid (GW)</w:t>
      </w:r>
      <w:r>
        <w:rPr>
          <w:lang w:val="en_US" w:bidi="en_US"/>
        </w:rPr>
      </w:r>
      <w:r>
        <w:rPr>
          <w:lang w:val="en_US" w:bidi="en_US"/>
        </w:rPr>
      </w:r>
    </w:p>
    <w:p>
      <w:pPr/>
      <w:r>
        <w:rPr>
          <w:lang w:val="en_US" w:bidi="en_US"/>
        </w:rPr>
      </w:r>
    </w:p>
    <w:p>
      <w:pPr>
        <w:pStyle w:val="Heading2"/>
      </w:pPr>
      <w:r>
        <w:rPr>
          <w:lang w:val="en_US" w:bidi="en_US"/>
        </w:rPr>
        <w:t>Luke 14:3</w:t>
      </w:r>
      <w:r>
        <w:rPr>
          <w:lang w:val="en_US" w:bidi="en_US"/>
        </w:rPr>
      </w:r>
    </w:p>
    <w:p>
      <w:pPr>
        <w:pStyle w:val="Heading4"/>
      </w:pPr>
      <w:r>
        <w:rPr>
          <w:lang w:val="en_US" w:bidi="en_US"/>
        </w:rPr>
        <w:t>Section 14:1–6: Jesus healed a sick man on the Sabbath</w:t>
      </w:r>
    </w:p>
    <w:p>
      <w:pPr/>
      <w:r>
        <w:rPr>
          <w:lang w:val="en_US" w:bidi="en_US"/>
        </w:rPr>
      </w:r>
      <w:r>
        <w:rPr>
          <w:lang w:val="en_US" w:bidi="en_US"/>
        </w:rPr>
        <w:t>In this section Jesus healed a man whose arms and legs were swollen. He performed this miracle on a Sabbath day in the house of a Pharisee. This event did not necessarily happen after the events of the previous section. It occurs only in Luke.</w:t>
      </w:r>
    </w:p>
    <w:p>
      <w:pPr/>
      <w:r>
        <w:rPr>
          <w:lang w:val="en_US" w:bidi="en_US"/>
        </w:rPr>
      </w:r>
      <w:r>
        <w:rPr>
          <w:lang w:val="en_US" w:bidi="en_US"/>
        </w:rPr>
        <w:t>Another possible heading for this section is:</w:t>
      </w:r>
    </w:p>
    <w:p>
      <w:pPr/>
      <w:r>
        <w:rPr>
          <w:lang w:val="en_US" w:bidi="en_US"/>
        </w:rPr>
      </w:r>
      <w:r>
        <w:rPr>
          <w:lang w:val="en_US" w:bidi="en_US"/>
        </w:rPr>
        <w:t>Jesus Heals a Sick Man (GNT)</w:t>
      </w:r>
    </w:p>
    <w:p>
      <w:pPr/>
      <w:r>
        <w:rPr>
          <w:lang w:val="en_US" w:bidi="en_US"/>
        </w:rPr>
      </w:r>
      <w:r>
        <w:rPr>
          <w:lang w:val="en_US" w:bidi="en_US"/>
        </w:rPr>
        <w:t>The next two sections, 14:7–14 and 14:15–24, also occur in the house of the Pharisee. English versions have divided 14:1–24 into sections in different ways. For example:</w:t>
      </w:r>
    </w:p>
    <w:p>
      <w:pPr>
        <w:pStyle w:val="ListBullet"/>
        <w:spacing w:line="240" w:lineRule="auto"/>
        <w:ind w:left="720"/>
      </w:pPr>
      <w:r>
        <w:rPr>
          <w:lang w:val="en_US" w:bidi="en_US"/>
        </w:rPr>
      </w:r>
      <w:r>
        <w:rPr>
          <w:lang w:val="en_US" w:bidi="en_US"/>
        </w:rPr>
        <w:t>The GW has one section for 14:1–24. The section heading is:</w:t>
      </w:r>
      <w:r>
        <w:rPr>
          <w:lang w:val="en_US" w:bidi="en_US"/>
        </w:rPr>
        <w:t>Jesus attends a banquet</w:t>
      </w:r>
    </w:p>
    <w:p>
      <w:pPr>
        <w:pStyle w:val="ListBullet"/>
        <w:spacing w:line="240" w:lineRule="auto"/>
        <w:ind w:left="720"/>
      </w:pPr>
      <w:r>
        <w:rPr>
          <w:lang w:val="en_US" w:bidi="en_US"/>
        </w:rPr>
      </w:r>
      <w:r>
        <w:rPr>
          <w:lang w:val="en_US" w:bidi="en_US"/>
        </w:rPr>
        <w:t>The NIV has two sections. They are:</w:t>
      </w:r>
      <w:r>
        <w:rPr>
          <w:lang w:val="en_US" w:bidi="en_US"/>
        </w:rPr>
        <w:t>Jesus at a Pharisee’s House (14:1–14)</w:t>
      </w:r>
      <w:r>
        <w:rPr>
          <w:lang w:val="en_US" w:bidi="en_US"/>
        </w:rPr>
        <w:t>The Parable of the Great Banquet (14:15–24)</w:t>
      </w:r>
    </w:p>
    <w:p>
      <w:pPr/>
      <w:r>
        <w:rPr>
          <w:lang w:val="en_US" w:bidi="en_US"/>
        </w:rPr>
      </w:r>
      <w:r>
        <w:rPr>
          <w:lang w:val="en_US" w:bidi="en_US"/>
        </w:rPr>
        <w:t>It is good to read these sections before you decide where to make the section breaks. You should divide the sections in a way that will be appropriate in your language.</w:t>
      </w:r>
    </w:p>
    <w:p>
      <w:pPr>
        <w:pStyle w:val="Heading5"/>
      </w:pPr>
      <w:r>
        <w:rPr>
          <w:lang w:val="en_US" w:bidi="en_US"/>
        </w:rPr>
        <w:t>14:3a</w:t>
      </w:r>
    </w:p>
    <w:p>
      <w:pPr/>
      <w:r>
        <w:rPr>
          <w:lang w:val="en_US" w:bidi="en_US"/>
        </w:rPr>
      </w:r>
      <w:r>
        <w:rPr>
          <w:b/>
          <w:lang w:val="en_US" w:bidi="en_US"/>
        </w:rPr>
        <w:t>So Jesus asked the experts in the law and the Pharisees,</w:t>
      </w:r>
    </w:p>
    <w:p>
      <w:pPr>
        <w:pStyle w:val="ListBullet"/>
        <w:spacing w:line="240" w:lineRule="auto"/>
        <w:ind w:left="720"/>
      </w:pPr>
      <w:r>
        <w:rPr>
          <w:lang w:val="en_US" w:bidi="en_US"/>
        </w:rPr>
      </w:r>
      <w:r>
        <w:rPr>
          <w:lang w:val="en_US" w:bidi="en_US"/>
        </w:rPr>
        <w:t>So Jesus asked the Pharisees and the teachers of the law,</w:t>
      </w:r>
    </w:p>
    <w:p>
      <w:pPr>
        <w:pStyle w:val="ListBullet"/>
        <w:spacing w:line="240" w:lineRule="auto"/>
        <w:ind w:left="720"/>
      </w:pPr>
      <w:r>
        <w:rPr>
          <w:lang w:val="en_US" w:bidi="en_US"/>
        </w:rPr>
      </w:r>
      <w:r>
        <w:rPr>
          <w:lang w:val="en_US" w:bidi="en_US"/>
        </w:rPr>
        <w:t>Then Jesus asked the Pharisees and experts in the law,</w:t>
      </w:r>
    </w:p>
    <w:p>
      <w:pPr/>
      <w:r>
        <w:rPr>
          <w:lang w:val="en_US" w:bidi="en_US"/>
        </w:rPr>
      </w:r>
      <w:r>
        <w:rPr>
          <w:b/>
          <w:lang w:val="en_US" w:bidi="en_US"/>
        </w:rPr>
        <w:t>So Jesus asked the experts in the law and the Pharisees:</w:t>
      </w:r>
      <w:r>
        <w:rPr>
          <w:lang w:val="en_US" w:bidi="en_US"/>
        </w:rPr>
        <w:t xml:space="preserve"> The Greek clause that the BSB translates as </w:t>
      </w:r>
      <w:r>
        <w:rPr>
          <w:i/>
          <w:lang w:val="en_US" w:bidi="en_US"/>
        </w:rPr>
        <w:t>Jesus asked the experts in the law and the Pharisees</w:t>
      </w:r>
      <w:r>
        <w:rPr>
          <w:lang w:val="en_US" w:bidi="en_US"/>
        </w:rPr>
        <w:t xml:space="preserve"> is more literally “And Jesus answering spoke to the Pharisees and experts in the law saying.” The Pharisees and experts in the law had not said anything out loud, but Jesus responded to what they were thinking and to the problem of the sick man. Other ways to translate this clause are:</w:t>
      </w:r>
    </w:p>
    <w:p>
      <w:pPr/>
      <w:r>
        <w:rPr>
          <w:lang w:val="en_US" w:bidi="en_US"/>
        </w:rPr>
      </w:r>
      <w:r>
        <w:rPr>
          <w:lang w:val="en_US" w:bidi="en_US"/>
        </w:rPr>
        <w:t>Jesus reacted by asking the Pharisees and the experts in Moses’ Teachings (GW)</w:t>
      </w:r>
    </w:p>
    <w:p>
      <w:pPr/>
      <w:r>
        <w:rPr>
          <w:lang w:val="en_US" w:bidi="en_US"/>
        </w:rPr>
      </w:r>
      <w:r>
        <w:rPr>
          <w:lang w:val="en_US" w:bidi="en_US"/>
        </w:rPr>
        <w:t>So Jesus asked the experts in religious law and the Pharisees (NET)</w:t>
      </w:r>
    </w:p>
    <w:p>
      <w:pPr/>
      <w:r>
        <w:rPr>
          <w:lang w:val="en_US" w:bidi="en_US"/>
        </w:rPr>
      </w:r>
      <w:r>
        <w:rPr>
          <w:b/>
          <w:lang w:val="en_US" w:bidi="en_US"/>
        </w:rPr>
        <w:t>experts in the law:</w:t>
      </w:r>
      <w:r>
        <w:rPr>
          <w:lang w:val="en_US" w:bidi="en_US"/>
        </w:rPr>
        <w:t xml:space="preserve"> The Greek word that the BSB translates as </w:t>
      </w:r>
      <w:r>
        <w:rPr>
          <w:i/>
          <w:lang w:val="en_US" w:bidi="en_US"/>
        </w:rPr>
        <w:t>experts in the law</w:t>
      </w:r>
      <w:r>
        <w:rPr>
          <w:lang w:val="en_US" w:bidi="en_US"/>
        </w:rPr>
        <w:t xml:space="preserve"> refers to men who studied, interpreted, and taught the Jewish law. This included the laws that God gave to Moses, as well as the “oral law” that the Jewish religious leaders had added over time.</w:t>
      </w:r>
    </w:p>
    <w:p>
      <w:pPr/>
      <w:r>
        <w:rPr>
          <w:lang w:val="en_US" w:bidi="en_US"/>
        </w:rPr>
      </w:r>
      <w:r>
        <w:rPr>
          <w:lang w:val="en_US" w:bidi="en_US"/>
        </w:rPr>
        <w:t>This word is sometimes translated as “lawyer.” Some English versions, such as the RSV, translate it that way. But the function of a lawyer today is quite different from the function of an “expert in the law” in Jesus’ time.</w:t>
      </w:r>
    </w:p>
    <w:p>
      <w:pPr/>
      <w:r>
        <w:rPr>
          <w:lang w:val="en_US" w:bidi="en_US"/>
        </w:rPr>
      </w:r>
      <w:r>
        <w:rPr>
          <w:lang w:val="en_US" w:bidi="en_US"/>
        </w:rPr>
        <w:t xml:space="preserve">Since the main function of </w:t>
      </w:r>
      <w:r>
        <w:rPr>
          <w:i/>
          <w:lang w:val="en_US" w:bidi="en_US"/>
        </w:rPr>
        <w:t>experts in the law</w:t>
      </w:r>
      <w:r>
        <w:rPr>
          <w:lang w:val="en_US" w:bidi="en_US"/>
        </w:rPr>
        <w:t xml:space="preserve"> was to teach the laws of Moses, this function should be in focus in your translation of this term. Some ways to translate this term are:</w:t>
      </w:r>
    </w:p>
    <w:p>
      <w:pPr/>
      <w:r>
        <w:rPr>
          <w:lang w:val="en_US" w:bidi="en_US"/>
        </w:rPr>
      </w:r>
      <w:r>
        <w:rPr>
          <w:lang w:val="en_US" w:bidi="en_US"/>
        </w:rPr>
        <w:t>teachers of the Law of Moses</w:t>
      </w:r>
    </w:p>
    <w:p>
      <w:pPr/>
      <w:r>
        <w:rPr>
          <w:lang w:val="en_US" w:bidi="en_US"/>
        </w:rPr>
      </w:r>
      <w:r>
        <w:rPr>
          <w:lang w:val="en_US" w:bidi="en_US"/>
        </w:rPr>
        <w:t>teachers of religious law</w:t>
      </w:r>
    </w:p>
    <w:p>
      <w:pPr/>
      <w:r>
        <w:rPr>
          <w:lang w:val="en_US" w:bidi="en_US"/>
        </w:rPr>
      </w:r>
      <w:r>
        <w:rPr>
          <w:lang w:val="en_US" w:bidi="en_US"/>
        </w:rPr>
        <w:t>experts on the law</w:t>
      </w:r>
    </w:p>
    <w:p>
      <w:pPr/>
      <w:r>
        <w:rPr>
          <w:lang w:val="en_US" w:bidi="en_US"/>
        </w:rPr>
      </w:r>
      <w:r>
        <w:rPr>
          <w:lang w:val="en_US" w:bidi="en_US"/>
        </w:rPr>
        <w:t>This same word occurs in 10:25a. See expert in the law in the Glossary.</w:t>
      </w:r>
    </w:p>
    <w:p>
      <w:pPr>
        <w:pStyle w:val="Heading5"/>
      </w:pPr>
      <w:r>
        <w:rPr>
          <w:lang w:val="en_US" w:bidi="en_US"/>
        </w:rPr>
        <w:t>14:3b</w:t>
      </w:r>
    </w:p>
    <w:p>
      <w:pPr/>
      <w:r>
        <w:rPr>
          <w:lang w:val="en_US" w:bidi="en_US"/>
        </w:rPr>
      </w:r>
      <w:r>
        <w:rPr>
          <w:b/>
          <w:lang w:val="en_US" w:bidi="en_US"/>
        </w:rPr>
        <w:t>“Is it lawful to heal on the Sabbath or not?”</w:t>
      </w:r>
    </w:p>
    <w:p>
      <w:pPr>
        <w:pStyle w:val="ListBullet"/>
        <w:spacing w:line="240" w:lineRule="auto"/>
        <w:ind w:left="720"/>
      </w:pPr>
      <w:r>
        <w:rPr>
          <w:lang w:val="en_US" w:bidi="en_US"/>
        </w:rPr>
      </w:r>
      <w:r>
        <w:rPr>
          <w:lang w:val="en_US" w:bidi="en_US"/>
        </w:rPr>
        <w:t xml:space="preserve">“Does the Law </w:t>
      </w:r>
      <w:r>
        <w:rPr>
          <w:lang w:val="en_US" w:bidi="en_US"/>
        </w:rPr>
        <w:t>of Moses</w:t>
      </w:r>
      <w:r>
        <w:rPr>
          <w:lang w:val="en_US" w:bidi="en_US"/>
        </w:rPr>
        <w:t xml:space="preserve"> allow someone to heal </w:t>
      </w:r>
      <w:r>
        <w:rPr>
          <w:lang w:val="en_US" w:bidi="en_US"/>
        </w:rPr>
        <w:t>a sick person</w:t>
      </w:r>
      <w:r>
        <w:rPr>
          <w:lang w:val="en_US" w:bidi="en_US"/>
        </w:rPr>
        <w:t xml:space="preserve"> on the Sabbath day, or does it not </w:t>
      </w:r>
      <w:r>
        <w:rPr>
          <w:lang w:val="en_US" w:bidi="en_US"/>
        </w:rPr>
        <w:t>allow it</w:t>
      </w:r>
      <w:r>
        <w:rPr>
          <w:lang w:val="en_US" w:bidi="en_US"/>
        </w:rPr>
        <w:t>?”</w:t>
      </w:r>
    </w:p>
    <w:p>
      <w:pPr>
        <w:pStyle w:val="ListBullet"/>
        <w:spacing w:line="240" w:lineRule="auto"/>
        <w:ind w:left="720"/>
      </w:pPr>
      <w:r>
        <w:rPr>
          <w:lang w:val="en_US" w:bidi="en_US"/>
        </w:rPr>
      </w:r>
      <w:r>
        <w:rPr>
          <w:lang w:val="en_US" w:bidi="en_US"/>
        </w:rPr>
        <w:t>“According to our</w:t>
      </w:r>
      <w:r>
        <w:rPr>
          <w:vertAlign w:val="superscript"/>
          <w:lang w:val="en_US" w:bidi="en_US"/>
        </w:rPr>
        <w:t>(incl)</w:t>
      </w:r>
      <w:r>
        <w:rPr>
          <w:lang w:val="en_US" w:bidi="en_US"/>
        </w:rPr>
        <w:t xml:space="preserve"> law, is it permissible to heal </w:t>
      </w:r>
      <w:r>
        <w:rPr>
          <w:lang w:val="en_US" w:bidi="en_US"/>
        </w:rPr>
        <w:t>a sick person</w:t>
      </w:r>
      <w:r>
        <w:rPr>
          <w:lang w:val="en_US" w:bidi="en_US"/>
        </w:rPr>
        <w:t xml:space="preserve"> on the rest day or is it forbidden?”</w:t>
      </w:r>
    </w:p>
    <w:p>
      <w:pPr>
        <w:pStyle w:val="ListBullet"/>
        <w:spacing w:line="240" w:lineRule="auto"/>
        <w:ind w:left="720"/>
      </w:pPr>
      <w:r>
        <w:rPr>
          <w:lang w:val="en_US" w:bidi="en_US"/>
        </w:rPr>
      </w:r>
      <w:r>
        <w:rPr>
          <w:lang w:val="en_US" w:bidi="en_US"/>
        </w:rPr>
        <w:t>“What does our</w:t>
      </w:r>
      <w:r>
        <w:rPr>
          <w:vertAlign w:val="superscript"/>
          <w:lang w:val="en_US" w:bidi="en_US"/>
        </w:rPr>
        <w:t>(incl)</w:t>
      </w:r>
      <w:r>
        <w:rPr>
          <w:lang w:val="en_US" w:bidi="en_US"/>
        </w:rPr>
        <w:t xml:space="preserve"> law say about healing </w:t>
      </w:r>
      <w:r>
        <w:rPr>
          <w:lang w:val="en_US" w:bidi="en_US"/>
        </w:rPr>
        <w:t>someone</w:t>
      </w:r>
      <w:r>
        <w:rPr>
          <w:lang w:val="en_US" w:bidi="en_US"/>
        </w:rPr>
        <w:t xml:space="preserve"> on the rest day? Is it right or wrong? </w:t>
      </w:r>
      <w:r>
        <w:rPr>
          <w:lang w:val="en_US" w:bidi="en_US"/>
        </w:rPr>
        <w:t>Please tell me what you</w:t>
      </w:r>
      <w:r>
        <w:rPr>
          <w:vertAlign w:val="superscript"/>
          <w:lang w:val="en_US" w:bidi="en_US"/>
        </w:rPr>
        <w:t>(plur)</w:t>
      </w:r>
      <w:r>
        <w:rPr>
          <w:lang w:val="en_US" w:bidi="en_US"/>
        </w:rPr>
        <w:t xml:space="preserve"> </w:t>
      </w:r>
      <w:r>
        <w:rPr>
          <w:lang w:val="en_US" w:bidi="en_US"/>
        </w:rPr>
        <w:t>think.</w:t>
      </w:r>
      <w:r>
        <w:rPr>
          <w:lang w:val="en_US" w:bidi="en_US"/>
        </w:rPr>
        <w:t>”</w:t>
      </w:r>
    </w:p>
    <w:p>
      <w:pPr/>
      <w:r>
        <w:rPr>
          <w:lang w:val="en_US" w:bidi="en_US"/>
        </w:rPr>
      </w:r>
      <w:r>
        <w:rPr>
          <w:b/>
          <w:lang w:val="en_US" w:bidi="en_US"/>
        </w:rPr>
        <w:t>Is it lawful to heal on the Sabbath or not?:</w:t>
      </w:r>
      <w:r>
        <w:rPr>
          <w:lang w:val="en_US" w:bidi="en_US"/>
        </w:rPr>
        <w:t xml:space="preserve"> The question </w:t>
      </w:r>
      <w:r>
        <w:rPr>
          <w:i/>
          <w:lang w:val="en_US" w:bidi="en_US"/>
        </w:rPr>
        <w:t>Is it lawful to heal…?</w:t>
      </w:r>
      <w:r>
        <w:rPr>
          <w:lang w:val="en_US" w:bidi="en_US"/>
        </w:rPr>
        <w:t xml:space="preserve"> is more literally “Is it permitted to heal?” It implies the meaning, “Does the Law of Moses allow someone to heal a sick person…?” For example:</w:t>
      </w:r>
    </w:p>
    <w:p>
      <w:pPr/>
      <w:r>
        <w:rPr>
          <w:lang w:val="en_US" w:bidi="en_US"/>
        </w:rPr>
      </w:r>
      <w:r>
        <w:rPr>
          <w:lang w:val="en_US" w:bidi="en_US"/>
        </w:rPr>
        <w:t>Does our Law allow healing on the Sabbath…? (GNT)</w:t>
      </w:r>
    </w:p>
    <w:p>
      <w:pPr/>
      <w:r>
        <w:rPr>
          <w:lang w:val="en_US" w:bidi="en_US"/>
        </w:rPr>
      </w:r>
      <w:r>
        <w:rPr>
          <w:lang w:val="en_US" w:bidi="en_US"/>
        </w:rPr>
        <w:t>In this question Jesus was not asking for information, but he did expect a response. He was challenging the Pharisees and the experts in the law to say publicly what they believed about healing on the Sabbath. Jesus clearly believed that it was right to heal people on the rest day. However, many Jewish leaders thought that it was wrong to heal someone on the rest day unless his life was in danger.</w:t>
      </w:r>
    </w:p>
    <w:p>
      <w:pPr/>
      <w:r>
        <w:rPr>
          <w:lang w:val="en_US" w:bidi="en_US"/>
        </w:rPr>
      </w:r>
      <w:r>
        <w:rPr>
          <w:lang w:val="en_US" w:bidi="en_US"/>
        </w:rPr>
        <w:t>Here are some ways that you can translate this challenge.</w:t>
      </w:r>
    </w:p>
    <w:p>
      <w:pPr>
        <w:pStyle w:val="ListBullet"/>
        <w:spacing w:line="240" w:lineRule="auto"/>
        <w:ind w:left="720"/>
      </w:pPr>
      <w:r>
        <w:rPr>
          <w:lang w:val="en_US" w:bidi="en_US"/>
        </w:rPr>
      </w:r>
      <w:r>
        <w:rPr>
          <w:lang w:val="en_US" w:bidi="en_US"/>
        </w:rPr>
        <w:t>As a question:</w:t>
      </w:r>
      <w:r>
        <w:rPr>
          <w:lang w:val="en_US" w:bidi="en_US"/>
        </w:rPr>
        <w:t xml:space="preserve">Does our law permit </w:t>
      </w:r>
      <w:r>
        <w:rPr>
          <w:lang w:val="en_US" w:bidi="en_US"/>
        </w:rPr>
        <w:t>someone</w:t>
      </w:r>
      <w:r>
        <w:rPr>
          <w:lang w:val="en_US" w:bidi="en_US"/>
        </w:rPr>
        <w:t xml:space="preserve"> to heal </w:t>
      </w:r>
      <w:r>
        <w:rPr>
          <w:lang w:val="en_US" w:bidi="en_US"/>
        </w:rPr>
        <w:t>another person</w:t>
      </w:r>
      <w:r>
        <w:rPr>
          <w:lang w:val="en_US" w:bidi="en_US"/>
        </w:rPr>
        <w:t xml:space="preserve"> on the Sabbath or does it not?</w:t>
      </w:r>
      <w:r>
        <w:rPr>
          <w:lang w:val="en_US" w:bidi="en_US"/>
        </w:rPr>
        <w:t>In your opinion, is it right or wrong to heal someone on the rest day?</w:t>
      </w:r>
    </w:p>
    <w:p>
      <w:pPr>
        <w:pStyle w:val="ListBullet"/>
        <w:spacing w:line="240" w:lineRule="auto"/>
        <w:ind w:left="720"/>
      </w:pPr>
      <w:r>
        <w:rPr>
          <w:lang w:val="en_US" w:bidi="en_US"/>
        </w:rPr>
      </w:r>
      <w:r>
        <w:rPr>
          <w:lang w:val="en_US" w:bidi="en_US"/>
        </w:rPr>
        <w:t>As a statement or request:</w:t>
      </w:r>
      <w:r>
        <w:rPr>
          <w:lang w:val="en_US" w:bidi="en_US"/>
        </w:rPr>
        <w:t>I would like you to tell me your thoughts/opinion about whether it is right or wrong to heal a sick person on the rest day.</w:t>
      </w:r>
      <w:r>
        <w:rPr>
          <w:lang w:val="en_US" w:bidi="en_US"/>
        </w:rPr>
        <w:t>Tell me whether you think it is right to heal a sick person on the rest day.</w:t>
      </w:r>
    </w:p>
    <w:p>
      <w:pPr/>
      <w:r>
        <w:rPr>
          <w:lang w:val="en_US" w:bidi="en_US"/>
        </w:rPr>
      </w:r>
      <w:r>
        <w:rPr>
          <w:b/>
          <w:lang w:val="en_US" w:bidi="en_US"/>
        </w:rPr>
        <w:t>or not?:</w:t>
      </w:r>
      <w:r>
        <w:rPr>
          <w:lang w:val="en_US" w:bidi="en_US"/>
        </w:rPr>
        <w:t xml:space="preserve"> The phrase </w:t>
      </w:r>
      <w:r>
        <w:rPr>
          <w:i/>
          <w:lang w:val="en_US" w:bidi="en_US"/>
        </w:rPr>
        <w:t>or not</w:t>
      </w:r>
      <w:r>
        <w:rPr>
          <w:lang w:val="en_US" w:bidi="en_US"/>
        </w:rPr>
        <w:t xml:space="preserve"> is an ellipsis. It implies “…or is it not lawful,” “…or is it against the law.” For example:</w:t>
      </w:r>
    </w:p>
    <w:p>
      <w:pPr/>
      <w:r>
        <w:rPr>
          <w:lang w:val="en_US" w:bidi="en_US"/>
        </w:rPr>
      </w:r>
      <w:r>
        <w:rPr>
          <w:lang w:val="en_US" w:bidi="en_US"/>
        </w:rPr>
        <w:t>Is it lawful to heal on the Sabbath or is it not lawful to heal on the Sabbath?</w:t>
      </w:r>
    </w:p>
    <w:p>
      <w:pPr/>
      <w:r>
        <w:rPr>
          <w:lang w:val="en_US" w:bidi="en_US"/>
        </w:rPr>
      </w:r>
      <w:r>
        <w:rPr>
          <w:lang w:val="en_US" w:bidi="en_US"/>
        </w:rPr>
        <w:t>In some languages the question “is it not lawful” may already be implied by the positive part of the question “Is it lawful….” If that is true in your language, it may be natural to leave the negative part of the question implied. For example:</w:t>
      </w:r>
    </w:p>
    <w:p>
      <w:pPr/>
      <w:r>
        <w:rPr>
          <w:lang w:val="en_US" w:bidi="en_US"/>
        </w:rPr>
      </w:r>
      <w:r>
        <w:rPr>
          <w:lang w:val="en_US" w:bidi="en_US"/>
        </w:rPr>
        <w:t>Is it lawful to heal someone on the Sabbath?</w:t>
      </w:r>
    </w:p>
    <w:p>
      <w:pPr/>
      <w:r>
        <w:rPr>
          <w:lang w:val="en_US" w:bidi="en_US"/>
        </w:rPr>
      </w:r>
      <w:r>
        <w:rPr>
          <w:lang w:val="en_US" w:bidi="en_US"/>
        </w:rPr>
        <w:t>In other languages it may be more natural to express only the negative part of the question and leave the positive part implied.</w:t>
      </w:r>
      <w:r>
        <w:rPr>
          <w:lang w:val="en_US" w:bidi="en_US"/>
        </w:rPr>
        <w:t>Some Greek manuscripts do not have “or not.” See Swanson, p. 258; TRT, p. 291; and Blight 2007b, p. 107. The KJV and CEV also do not have “or not.”</w:t>
      </w:r>
      <w:r>
        <w:rPr>
          <w:lang w:val="en_US" w:bidi="en_US"/>
        </w:rPr>
        <w:t xml:space="preserve"> For example:</w:t>
      </w:r>
    </w:p>
    <w:p>
      <w:pPr/>
      <w:r>
        <w:rPr>
          <w:lang w:val="en_US" w:bidi="en_US"/>
        </w:rPr>
      </w:r>
      <w:r>
        <w:rPr>
          <w:lang w:val="en_US" w:bidi="en_US"/>
        </w:rPr>
        <w:t>Is it against the law to heal someone on the Sabbath?</w:t>
      </w:r>
    </w:p>
    <w:p>
      <w:pPr/>
      <w:r>
        <w:rPr>
          <w:lang w:val="en_US" w:bidi="en_US"/>
        </w:rPr>
      </w:r>
      <w:r>
        <w:rPr>
          <w:lang w:val="en_US" w:bidi="en_US"/>
        </w:rPr>
        <w:t>Translate in a natural way in your language.</w:t>
      </w:r>
      <w:r>
        <w:rPr>
          <w:lang w:val="en_US" w:bidi="en_US"/>
        </w:rPr>
      </w:r>
      <w:r>
        <w:rPr>
          <w:lang w:val="en_US" w:bidi="en_US"/>
        </w:rPr>
      </w:r>
    </w:p>
    <w:p>
      <w:pPr/>
      <w:r>
        <w:rPr>
          <w:lang w:val="en_US" w:bidi="en_US"/>
        </w:rPr>
      </w:r>
    </w:p>
    <w:p>
      <w:pPr>
        <w:pStyle w:val="Heading2"/>
      </w:pPr>
      <w:r>
        <w:rPr>
          <w:lang w:val="en_US" w:bidi="en_US"/>
        </w:rPr>
        <w:t>Luke 14:4</w:t>
      </w:r>
      <w:r>
        <w:rPr>
          <w:lang w:val="en_US" w:bidi="en_US"/>
        </w:rPr>
      </w:r>
    </w:p>
    <w:p>
      <w:pPr>
        <w:pStyle w:val="Heading4"/>
      </w:pPr>
      <w:r>
        <w:rPr>
          <w:lang w:val="en_US" w:bidi="en_US"/>
        </w:rPr>
        <w:t>Section 14:1–6: Jesus healed a sick man on the Sabbath</w:t>
      </w:r>
    </w:p>
    <w:p>
      <w:pPr/>
      <w:r>
        <w:rPr>
          <w:lang w:val="en_US" w:bidi="en_US"/>
        </w:rPr>
      </w:r>
      <w:r>
        <w:rPr>
          <w:lang w:val="en_US" w:bidi="en_US"/>
        </w:rPr>
        <w:t>In this section Jesus healed a man whose arms and legs were swollen. He performed this miracle on a Sabbath day in the house of a Pharisee. This event did not necessarily happen after the events of the previous section. It occurs only in Luke.</w:t>
      </w:r>
    </w:p>
    <w:p>
      <w:pPr/>
      <w:r>
        <w:rPr>
          <w:lang w:val="en_US" w:bidi="en_US"/>
        </w:rPr>
      </w:r>
      <w:r>
        <w:rPr>
          <w:lang w:val="en_US" w:bidi="en_US"/>
        </w:rPr>
        <w:t>Another possible heading for this section is:</w:t>
      </w:r>
    </w:p>
    <w:p>
      <w:pPr/>
      <w:r>
        <w:rPr>
          <w:lang w:val="en_US" w:bidi="en_US"/>
        </w:rPr>
      </w:r>
      <w:r>
        <w:rPr>
          <w:lang w:val="en_US" w:bidi="en_US"/>
        </w:rPr>
        <w:t>Jesus Heals a Sick Man (GNT)</w:t>
      </w:r>
    </w:p>
    <w:p>
      <w:pPr/>
      <w:r>
        <w:rPr>
          <w:lang w:val="en_US" w:bidi="en_US"/>
        </w:rPr>
      </w:r>
      <w:r>
        <w:rPr>
          <w:lang w:val="en_US" w:bidi="en_US"/>
        </w:rPr>
        <w:t>The next two sections, 14:7–14 and 14:15–24, also occur in the house of the Pharisee. English versions have divided 14:1–24 into sections in different ways. For example:</w:t>
      </w:r>
    </w:p>
    <w:p>
      <w:pPr>
        <w:pStyle w:val="ListBullet"/>
        <w:spacing w:line="240" w:lineRule="auto"/>
        <w:ind w:left="720"/>
      </w:pPr>
      <w:r>
        <w:rPr>
          <w:lang w:val="en_US" w:bidi="en_US"/>
        </w:rPr>
      </w:r>
      <w:r>
        <w:rPr>
          <w:lang w:val="en_US" w:bidi="en_US"/>
        </w:rPr>
        <w:t>The GW has one section for 14:1–24. The section heading is:</w:t>
      </w:r>
      <w:r>
        <w:rPr>
          <w:lang w:val="en_US" w:bidi="en_US"/>
        </w:rPr>
        <w:t>Jesus attends a banquet</w:t>
      </w:r>
    </w:p>
    <w:p>
      <w:pPr>
        <w:pStyle w:val="ListBullet"/>
        <w:spacing w:line="240" w:lineRule="auto"/>
        <w:ind w:left="720"/>
      </w:pPr>
      <w:r>
        <w:rPr>
          <w:lang w:val="en_US" w:bidi="en_US"/>
        </w:rPr>
      </w:r>
      <w:r>
        <w:rPr>
          <w:lang w:val="en_US" w:bidi="en_US"/>
        </w:rPr>
        <w:t>The NIV has two sections. They are:</w:t>
      </w:r>
      <w:r>
        <w:rPr>
          <w:lang w:val="en_US" w:bidi="en_US"/>
        </w:rPr>
        <w:t>Jesus at a Pharisee’s House (14:1–14)</w:t>
      </w:r>
      <w:r>
        <w:rPr>
          <w:lang w:val="en_US" w:bidi="en_US"/>
        </w:rPr>
        <w:t>The Parable of the Great Banquet (14:15–24)</w:t>
      </w:r>
    </w:p>
    <w:p>
      <w:pPr/>
      <w:r>
        <w:rPr>
          <w:lang w:val="en_US" w:bidi="en_US"/>
        </w:rPr>
      </w:r>
      <w:r>
        <w:rPr>
          <w:lang w:val="en_US" w:bidi="en_US"/>
        </w:rPr>
        <w:t>It is good to read these sections before you decide where to make the section breaks. You should divide the sections in a way that will be appropriate in your language.</w:t>
      </w:r>
    </w:p>
    <w:p>
      <w:pPr>
        <w:pStyle w:val="Heading5"/>
      </w:pPr>
      <w:r>
        <w:rPr>
          <w:lang w:val="en_US" w:bidi="en_US"/>
        </w:rPr>
        <w:t>14:4a</w:t>
      </w:r>
    </w:p>
    <w:p>
      <w:pPr/>
      <w:r>
        <w:rPr>
          <w:lang w:val="en_US" w:bidi="en_US"/>
        </w:rPr>
      </w:r>
      <w:r>
        <w:rPr>
          <w:b/>
          <w:lang w:val="en_US" w:bidi="en_US"/>
        </w:rPr>
        <w:t>But they remained silent.</w:t>
      </w:r>
    </w:p>
    <w:p>
      <w:pPr>
        <w:pStyle w:val="ListBullet"/>
        <w:spacing w:line="240" w:lineRule="auto"/>
        <w:ind w:left="720"/>
      </w:pPr>
      <w:r>
        <w:rPr>
          <w:lang w:val="en_US" w:bidi="en_US"/>
        </w:rPr>
      </w:r>
      <w:r>
        <w:rPr>
          <w:lang w:val="en_US" w:bidi="en_US"/>
        </w:rPr>
        <w:t>¶ But they did not say anything.</w:t>
      </w:r>
    </w:p>
    <w:p>
      <w:pPr>
        <w:pStyle w:val="ListBullet"/>
        <w:spacing w:line="240" w:lineRule="auto"/>
        <w:ind w:left="720"/>
      </w:pPr>
      <w:r>
        <w:rPr>
          <w:lang w:val="en_US" w:bidi="en_US"/>
        </w:rPr>
      </w:r>
      <w:r>
        <w:rPr>
          <w:lang w:val="en_US" w:bidi="en_US"/>
        </w:rPr>
        <w:t xml:space="preserve">¶ </w:t>
      </w:r>
      <w:r>
        <w:rPr>
          <w:lang w:val="en_US" w:bidi="en_US"/>
        </w:rPr>
        <w:t>The Pharisees and law experts</w:t>
      </w:r>
      <w:r>
        <w:rPr>
          <w:lang w:val="en_US" w:bidi="en_US"/>
        </w:rPr>
        <w:t xml:space="preserve"> did not reply.</w:t>
      </w:r>
    </w:p>
    <w:p>
      <w:pPr>
        <w:pStyle w:val="ListBullet"/>
        <w:spacing w:line="240" w:lineRule="auto"/>
        <w:ind w:left="720"/>
      </w:pPr>
      <w:r>
        <w:rPr>
          <w:lang w:val="en_US" w:bidi="en_US"/>
        </w:rPr>
      </w:r>
      <w:r>
        <w:rPr>
          <w:lang w:val="en_US" w:bidi="en_US"/>
        </w:rPr>
        <w:t>¶ When they refused to answer, (NLT)</w:t>
      </w:r>
    </w:p>
    <w:p>
      <w:pPr/>
      <w:r>
        <w:rPr>
          <w:lang w:val="en_US" w:bidi="en_US"/>
        </w:rPr>
      </w:r>
      <w:r>
        <w:rPr>
          <w:b/>
          <w:lang w:val="en_US" w:bidi="en_US"/>
        </w:rPr>
        <w:t>But they remained silent:</w:t>
      </w:r>
      <w:r>
        <w:rPr>
          <w:lang w:val="en_US" w:bidi="en_US"/>
        </w:rPr>
        <w:t xml:space="preserve"> The clause </w:t>
      </w:r>
      <w:r>
        <w:rPr>
          <w:i/>
          <w:lang w:val="en_US" w:bidi="en_US"/>
        </w:rPr>
        <w:t>they remained silent</w:t>
      </w:r>
      <w:r>
        <w:rPr>
          <w:lang w:val="en_US" w:bidi="en_US"/>
        </w:rPr>
        <w:t xml:space="preserve"> indicates that the Pharisees and experts did not answer Jesus’ question. The text does not indicate the exact reason why they did not answer. They probably realized that people would criticize them for either answer they gave. If they said that it was lawful to heal on the Sabbath, the other Jewish leaders could accuse them of not supporting the law against work on the Sabbath. If they said it was not lawful, the common people would accuse them of not caring about the suffering of sick people.</w:t>
      </w:r>
    </w:p>
    <w:p>
      <w:pPr>
        <w:pStyle w:val="Heading5"/>
      </w:pPr>
      <w:r>
        <w:rPr>
          <w:lang w:val="en_US" w:bidi="en_US"/>
        </w:rPr>
        <w:t>14:4b</w:t>
      </w:r>
    </w:p>
    <w:p>
      <w:pPr/>
      <w:r>
        <w:rPr>
          <w:lang w:val="en_US" w:bidi="en_US"/>
        </w:rPr>
      </w:r>
      <w:r>
        <w:rPr>
          <w:b/>
          <w:lang w:val="en_US" w:bidi="en_US"/>
        </w:rPr>
        <w:t>Then Jesus took hold of the man, healed him, and sent him on his way.</w:t>
      </w:r>
    </w:p>
    <w:p>
      <w:pPr>
        <w:pStyle w:val="ListBullet"/>
        <w:spacing w:line="240" w:lineRule="auto"/>
        <w:ind w:left="720"/>
      </w:pPr>
      <w:r>
        <w:rPr>
          <w:lang w:val="en_US" w:bidi="en_US"/>
        </w:rPr>
      </w:r>
      <w:r>
        <w:rPr>
          <w:lang w:val="en_US" w:bidi="en_US"/>
        </w:rPr>
        <w:t xml:space="preserve">Then Jesus put his hands on the man and healed him. After that, he let him go </w:t>
      </w:r>
      <w:r>
        <w:rPr>
          <w:lang w:val="en_US" w:bidi="en_US"/>
        </w:rPr>
        <w:t>home</w:t>
      </w:r>
      <w:r>
        <w:rPr>
          <w:lang w:val="en_US" w:bidi="en_US"/>
        </w:rPr>
        <w:t>.</w:t>
      </w:r>
    </w:p>
    <w:p>
      <w:pPr>
        <w:pStyle w:val="ListBullet"/>
        <w:spacing w:line="240" w:lineRule="auto"/>
        <w:ind w:left="720"/>
      </w:pPr>
      <w:r>
        <w:rPr>
          <w:lang w:val="en_US" w:bidi="en_US"/>
        </w:rPr>
      </w:r>
      <w:r>
        <w:rPr>
          <w:lang w:val="en_US" w:bidi="en_US"/>
        </w:rPr>
        <w:t xml:space="preserve">So Jesus placed his hands on the man and he became well. Then he told the man that he could go </w:t>
      </w:r>
      <w:r>
        <w:rPr>
          <w:lang w:val="en_US" w:bidi="en_US"/>
        </w:rPr>
        <w:t>home</w:t>
      </w:r>
      <w:r>
        <w:rPr>
          <w:lang w:val="en_US" w:bidi="en_US"/>
        </w:rPr>
        <w:t>.</w:t>
      </w:r>
    </w:p>
    <w:p>
      <w:pPr>
        <w:pStyle w:val="ListBullet"/>
        <w:spacing w:line="240" w:lineRule="auto"/>
        <w:ind w:left="720"/>
      </w:pPr>
      <w:r>
        <w:rPr>
          <w:lang w:val="en_US" w:bidi="en_US"/>
        </w:rPr>
      </w:r>
      <w:r>
        <w:rPr>
          <w:lang w:val="en_US" w:bidi="en_US"/>
        </w:rPr>
        <w:t>Jesus touched the sick man and healed him and sent him away. (NLT)</w:t>
      </w:r>
    </w:p>
    <w:p>
      <w:pPr/>
      <w:r>
        <w:rPr>
          <w:lang w:val="en_US" w:bidi="en_US"/>
        </w:rPr>
      </w:r>
      <w:r>
        <w:rPr>
          <w:b/>
          <w:lang w:val="en_US" w:bidi="en_US"/>
        </w:rPr>
        <w:t>Then:</w:t>
      </w:r>
      <w:r>
        <w:rPr>
          <w:lang w:val="en_US" w:bidi="en_US"/>
        </w:rPr>
        <w:t xml:space="preserve"> In Greek 14:4b begins with a conjunction that the BSB translates as </w:t>
      </w:r>
      <w:r>
        <w:rPr>
          <w:i/>
          <w:lang w:val="en_US" w:bidi="en_US"/>
        </w:rPr>
        <w:t>Then</w:t>
      </w:r>
      <w:r>
        <w:rPr>
          <w:lang w:val="en_US" w:bidi="en_US"/>
        </w:rPr>
        <w:t>. This conjunction introduces Jesus’ next action after the Jewish leaders refused to answer his question. Many English versions, including the NIV, translate the conjunction as “So.” Other versions, such as the GNT, do not translate this conjunction. Here is another way to connect 14:4a and 14:4b:</w:t>
      </w:r>
    </w:p>
    <w:p>
      <w:pPr/>
      <w:r>
        <w:rPr>
          <w:lang w:val="en_US" w:bidi="en_US"/>
        </w:rPr>
      </w:r>
      <w:r>
        <w:rPr>
          <w:lang w:val="en_US" w:bidi="en_US"/>
        </w:rPr>
        <w:t>When they refused to answer, Jesus touched the sick man… (NLT)</w:t>
      </w:r>
    </w:p>
    <w:p>
      <w:pPr/>
      <w:r>
        <w:rPr>
          <w:lang w:val="en_US" w:bidi="en_US"/>
        </w:rPr>
      </w:r>
      <w:r>
        <w:rPr>
          <w:lang w:val="en_US" w:bidi="en_US"/>
        </w:rPr>
        <w:t>Translate this connection in a natural way in your language.</w:t>
      </w:r>
    </w:p>
    <w:p>
      <w:pPr/>
      <w:r>
        <w:rPr>
          <w:lang w:val="en_US" w:bidi="en_US"/>
        </w:rPr>
      </w:r>
      <w:r>
        <w:rPr>
          <w:b/>
          <w:lang w:val="en_US" w:bidi="en_US"/>
        </w:rPr>
        <w:t>Jesus took hold of the man, healed him:</w:t>
      </w:r>
      <w:r>
        <w:rPr>
          <w:lang w:val="en_US" w:bidi="en_US"/>
        </w:rPr>
        <w:t xml:space="preserve"> The Greek phrase that the BSB translates as </w:t>
      </w:r>
      <w:r>
        <w:rPr>
          <w:i/>
          <w:lang w:val="en_US" w:bidi="en_US"/>
        </w:rPr>
        <w:t>took hold of the man</w:t>
      </w:r>
      <w:r>
        <w:rPr>
          <w:lang w:val="en_US" w:bidi="en_US"/>
        </w:rPr>
        <w:t xml:space="preserve"> is literally “having-taken” or “having-taken-hold.” It probably indicates that Jesus put his hands on the man in order to heal him.</w:t>
      </w:r>
      <w:r>
        <w:rPr>
          <w:lang w:val="en_US" w:bidi="en_US"/>
        </w:rPr>
        <w:t>Most scholars understand the verb to mean here that Jesus placed his hands on the man in order to heal him. There is no indication that Jesus led the man anywhere before he healed him.</w:t>
      </w:r>
      <w:r>
        <w:rPr>
          <w:lang w:val="en_US" w:bidi="en_US"/>
        </w:rPr>
        <w:t xml:space="preserve"> It does not imply that Jesus took the man to a different location. While 14:4b is part of the same sentence as 14:4a in Greek, in some languages it will be more natural to start a new sentence at 14:4b. Most English versions do that. For example:</w:t>
      </w:r>
    </w:p>
    <w:p>
      <w:pPr/>
      <w:r>
        <w:rPr>
          <w:lang w:val="en_US" w:bidi="en_US"/>
        </w:rPr>
      </w:r>
      <w:r>
        <w:rPr>
          <w:lang w:val="en_US" w:bidi="en_US"/>
        </w:rPr>
        <w:t>So Jesus took hold of the man, healed him (NET)</w:t>
      </w:r>
    </w:p>
    <w:p>
      <w:pPr/>
      <w:r>
        <w:rPr>
          <w:lang w:val="en_US" w:bidi="en_US"/>
        </w:rPr>
      </w:r>
      <w:r>
        <w:rPr>
          <w:lang w:val="en_US" w:bidi="en_US"/>
        </w:rPr>
        <w:t>Then Jesus touched the man and healed him</w:t>
      </w:r>
    </w:p>
    <w:p>
      <w:pPr/>
      <w:r>
        <w:rPr>
          <w:lang w:val="en_US" w:bidi="en_US"/>
        </w:rPr>
      </w:r>
      <w:r>
        <w:rPr>
          <w:b/>
          <w:lang w:val="en_US" w:bidi="en_US"/>
        </w:rPr>
        <w:t>sent him on his way:</w:t>
      </w:r>
      <w:r>
        <w:rPr>
          <w:lang w:val="en_US" w:bidi="en_US"/>
        </w:rPr>
        <w:t xml:space="preserve"> The Greek word that the BSB translates as </w:t>
      </w:r>
      <w:r>
        <w:rPr>
          <w:i/>
          <w:lang w:val="en_US" w:bidi="en_US"/>
        </w:rPr>
        <w:t>sent him on his way</w:t>
      </w:r>
      <w:r>
        <w:rPr>
          <w:lang w:val="en_US" w:bidi="en_US"/>
        </w:rPr>
        <w:t xml:space="preserve"> indicates here that Jesus dismissed the man. He gave him permission to leave and go home. Be careful not to imply that Jesus harshly ordered the man to leave.</w:t>
      </w:r>
      <w:r>
        <w:rPr>
          <w:lang w:val="en_US" w:bidi="en_US"/>
        </w:rPr>
      </w:r>
      <w:r>
        <w:rPr>
          <w:lang w:val="en_US" w:bidi="en_US"/>
        </w:rPr>
      </w:r>
    </w:p>
    <w:p>
      <w:pPr/>
      <w:r>
        <w:rPr>
          <w:lang w:val="en_US" w:bidi="en_US"/>
        </w:rPr>
      </w:r>
    </w:p>
    <w:p>
      <w:pPr>
        <w:pStyle w:val="Heading2"/>
      </w:pPr>
      <w:r>
        <w:rPr>
          <w:lang w:val="en_US" w:bidi="en_US"/>
        </w:rPr>
        <w:t>Luke 14:5</w:t>
      </w:r>
      <w:r>
        <w:rPr>
          <w:lang w:val="en_US" w:bidi="en_US"/>
        </w:rPr>
      </w:r>
    </w:p>
    <w:p>
      <w:pPr>
        <w:pStyle w:val="Heading4"/>
      </w:pPr>
      <w:r>
        <w:rPr>
          <w:lang w:val="en_US" w:bidi="en_US"/>
        </w:rPr>
        <w:t>Section 14:1–6: Jesus healed a sick man on the Sabbath</w:t>
      </w:r>
    </w:p>
    <w:p>
      <w:pPr/>
      <w:r>
        <w:rPr>
          <w:lang w:val="en_US" w:bidi="en_US"/>
        </w:rPr>
      </w:r>
      <w:r>
        <w:rPr>
          <w:lang w:val="en_US" w:bidi="en_US"/>
        </w:rPr>
        <w:t>In this section Jesus healed a man whose arms and legs were swollen. He performed this miracle on a Sabbath day in the house of a Pharisee. This event did not necessarily happen after the events of the previous section. It occurs only in Luke.</w:t>
      </w:r>
    </w:p>
    <w:p>
      <w:pPr/>
      <w:r>
        <w:rPr>
          <w:lang w:val="en_US" w:bidi="en_US"/>
        </w:rPr>
      </w:r>
      <w:r>
        <w:rPr>
          <w:lang w:val="en_US" w:bidi="en_US"/>
        </w:rPr>
        <w:t>Another possible heading for this section is:</w:t>
      </w:r>
    </w:p>
    <w:p>
      <w:pPr/>
      <w:r>
        <w:rPr>
          <w:lang w:val="en_US" w:bidi="en_US"/>
        </w:rPr>
      </w:r>
      <w:r>
        <w:rPr>
          <w:lang w:val="en_US" w:bidi="en_US"/>
        </w:rPr>
        <w:t>Jesus Heals a Sick Man (GNT)</w:t>
      </w:r>
    </w:p>
    <w:p>
      <w:pPr/>
      <w:r>
        <w:rPr>
          <w:lang w:val="en_US" w:bidi="en_US"/>
        </w:rPr>
      </w:r>
      <w:r>
        <w:rPr>
          <w:lang w:val="en_US" w:bidi="en_US"/>
        </w:rPr>
        <w:t>The next two sections, 14:7–14 and 14:15–24, also occur in the house of the Pharisee. English versions have divided 14:1–24 into sections in different ways. For example:</w:t>
      </w:r>
    </w:p>
    <w:p>
      <w:pPr>
        <w:pStyle w:val="ListBullet"/>
        <w:spacing w:line="240" w:lineRule="auto"/>
        <w:ind w:left="720"/>
      </w:pPr>
      <w:r>
        <w:rPr>
          <w:lang w:val="en_US" w:bidi="en_US"/>
        </w:rPr>
      </w:r>
      <w:r>
        <w:rPr>
          <w:lang w:val="en_US" w:bidi="en_US"/>
        </w:rPr>
        <w:t>The GW has one section for 14:1–24. The section heading is:</w:t>
      </w:r>
      <w:r>
        <w:rPr>
          <w:lang w:val="en_US" w:bidi="en_US"/>
        </w:rPr>
        <w:t>Jesus attends a banquet</w:t>
      </w:r>
    </w:p>
    <w:p>
      <w:pPr>
        <w:pStyle w:val="ListBullet"/>
        <w:spacing w:line="240" w:lineRule="auto"/>
        <w:ind w:left="720"/>
      </w:pPr>
      <w:r>
        <w:rPr>
          <w:lang w:val="en_US" w:bidi="en_US"/>
        </w:rPr>
      </w:r>
      <w:r>
        <w:rPr>
          <w:lang w:val="en_US" w:bidi="en_US"/>
        </w:rPr>
        <w:t>The NIV has two sections. They are:</w:t>
      </w:r>
      <w:r>
        <w:rPr>
          <w:lang w:val="en_US" w:bidi="en_US"/>
        </w:rPr>
        <w:t>Jesus at a Pharisee’s House (14:1–14)</w:t>
      </w:r>
      <w:r>
        <w:rPr>
          <w:lang w:val="en_US" w:bidi="en_US"/>
        </w:rPr>
        <w:t>The Parable of the Great Banquet (14:15–24)</w:t>
      </w:r>
    </w:p>
    <w:p>
      <w:pPr/>
      <w:r>
        <w:rPr>
          <w:lang w:val="en_US" w:bidi="en_US"/>
        </w:rPr>
      </w:r>
      <w:r>
        <w:rPr>
          <w:lang w:val="en_US" w:bidi="en_US"/>
        </w:rPr>
        <w:t>It is good to read these sections before you decide where to make the section breaks. You should divide the sections in a way that will be appropriate in your language.</w:t>
      </w:r>
    </w:p>
    <w:p>
      <w:pPr>
        <w:pStyle w:val="Heading5"/>
      </w:pPr>
      <w:r>
        <w:rPr>
          <w:lang w:val="en_US" w:bidi="en_US"/>
        </w:rPr>
        <w:t>14:5a–b</w:t>
      </w:r>
    </w:p>
    <w:p>
      <w:pPr/>
      <w:r>
        <w:rPr>
          <w:lang w:val="en_US" w:bidi="en_US"/>
        </w:rPr>
      </w:r>
      <w:r>
        <w:rPr>
          <w:b/>
          <w:lang w:val="en_US" w:bidi="en_US"/>
        </w:rPr>
        <w:t>Which of you whose son or ox falls into a pit on the Sabbath day will not immediately pull him out?:</w:t>
      </w:r>
      <w:r>
        <w:rPr>
          <w:lang w:val="en_US" w:bidi="en_US"/>
        </w:rPr>
        <w:t xml:space="preserve"> </w:t>
      </w:r>
      <w:r>
        <w:rPr>
          <w:lang w:val="en_US" w:bidi="en_US"/>
        </w:rPr>
        <w:t xml:space="preserve">There is a textual issue here. (1) Many Greek manuscripts have “son” here. The BSB, NIV, RSV, NJB, NASB, ESV, REB, NLT, GW, NCV, CEV, GNT, and NET follow these manuscripts. (2) A few Greek manuscripts have “donkey/ass” as in Luke 13:15. The KJV and JBP follow these manuscripts. It is recommended that you follow the first option. It has the earliest and strongest manuscript support, and most English versions follow this option. For more information see Swanson, p. 258; TRT, p. 291; Blight 2007b, p. 109; Marshall, pp. 579–80; Greek NT UBS 4 </w:t>
      </w:r>
      <w:r>
        <w:rPr>
          <w:vertAlign w:val="superscript"/>
          <w:lang w:val="en_US" w:bidi="en_US"/>
        </w:rPr>
        <w:t>th</w:t>
      </w:r>
      <w:r>
        <w:rPr>
          <w:lang w:val="en_US" w:bidi="en_US"/>
        </w:rPr>
        <w:t xml:space="preserve"> ed., p. 265; and Metzger, p. 164.</w:t>
      </w:r>
      <w:r>
        <w:rPr>
          <w:lang w:val="en_US" w:bidi="en_US"/>
        </w:rPr>
        <w:t xml:space="preserve"> This question emphasizes an obvious fact: the leaders would help their children or even animals on the Sabbath by pulling them out of a well. Jesus implied that it was also right for him to help the sick man on the Sabbath. The next verse indicates that Jesus expected a reply. Some ways to translate this emphatic question are:</w:t>
      </w:r>
    </w:p>
    <w:p>
      <w:pPr>
        <w:pStyle w:val="ListBullet"/>
        <w:spacing w:line="240" w:lineRule="auto"/>
        <w:ind w:left="720"/>
      </w:pPr>
      <w:r>
        <w:rPr>
          <w:lang w:val="en_US" w:bidi="en_US"/>
        </w:rPr>
      </w:r>
      <w:r>
        <w:rPr>
          <w:lang w:val="en_US" w:bidi="en_US"/>
        </w:rPr>
        <w:t>As a rhetorical question. For example:</w:t>
      </w:r>
      <w:r>
        <w:rPr>
          <w:lang w:val="en_US" w:bidi="en_US"/>
        </w:rPr>
        <w:t>If any one of you had a child or an ox that happened to fall in a well on a Sabbath, would you not pull it out at once on the Sabbath itself? (GNT)</w:t>
      </w:r>
    </w:p>
    <w:p>
      <w:pPr>
        <w:pStyle w:val="ListBullet"/>
        <w:spacing w:line="240" w:lineRule="auto"/>
        <w:ind w:left="720"/>
      </w:pPr>
      <w:r>
        <w:rPr>
          <w:lang w:val="en_US" w:bidi="en_US"/>
        </w:rPr>
      </w:r>
      <w:r>
        <w:rPr>
          <w:lang w:val="en_US" w:bidi="en_US"/>
        </w:rPr>
        <w:t>As a statement or a statement followed by a question:</w:t>
      </w:r>
      <w:r>
        <w:rPr>
          <w:lang w:val="en_US" w:bidi="en_US"/>
        </w:rPr>
        <w:t>You must admit that</w:t>
      </w:r>
      <w:r>
        <w:rPr>
          <w:lang w:val="en_US" w:bidi="en_US"/>
        </w:rPr>
        <w:t xml:space="preserve"> when your child or your ox falls into a well, you pull him out right away, even if it is the Sabbath day. </w:t>
      </w:r>
      <w:r>
        <w:rPr>
          <w:lang w:val="en_US" w:bidi="en_US"/>
        </w:rPr>
        <w:t>Am I not correct?</w:t>
      </w:r>
    </w:p>
    <w:p>
      <w:pPr>
        <w:pStyle w:val="Heading5"/>
      </w:pPr>
      <w:r>
        <w:rPr>
          <w:lang w:val="en_US" w:bidi="en_US"/>
        </w:rPr>
        <w:t>14:5a</w:t>
      </w:r>
    </w:p>
    <w:p>
      <w:pPr/>
      <w:r>
        <w:rPr>
          <w:lang w:val="en_US" w:bidi="en_US"/>
        </w:rPr>
      </w:r>
      <w:r>
        <w:rPr>
          <w:b/>
          <w:lang w:val="en_US" w:bidi="en_US"/>
        </w:rPr>
        <w:t>And He asked them, “Which of you whose son or ox falls into a pit on the Sabbath day</w:t>
      </w:r>
    </w:p>
    <w:p>
      <w:pPr>
        <w:pStyle w:val="ListBullet"/>
        <w:spacing w:line="240" w:lineRule="auto"/>
        <w:ind w:left="720"/>
      </w:pPr>
      <w:r>
        <w:rPr>
          <w:lang w:val="en_US" w:bidi="en_US"/>
        </w:rPr>
      </w:r>
      <w:r>
        <w:rPr>
          <w:lang w:val="en_US" w:bidi="en_US"/>
        </w:rPr>
        <w:t>Then Jesus said to them. “Suppose any one of you</w:t>
      </w:r>
      <w:r>
        <w:rPr>
          <w:vertAlign w:val="superscript"/>
          <w:lang w:val="en_US" w:bidi="en_US"/>
        </w:rPr>
        <w:t>(plur)</w:t>
      </w:r>
      <w:r>
        <w:rPr>
          <w:lang w:val="en_US" w:bidi="en_US"/>
        </w:rPr>
        <w:t xml:space="preserve"> has a son or an ox, and one Sabbath day that son or ox falls into a well.</w:t>
      </w:r>
    </w:p>
    <w:p>
      <w:pPr>
        <w:pStyle w:val="ListBullet"/>
        <w:spacing w:line="240" w:lineRule="auto"/>
        <w:ind w:left="720"/>
      </w:pPr>
      <w:r>
        <w:rPr>
          <w:lang w:val="en_US" w:bidi="en_US"/>
        </w:rPr>
      </w:r>
      <w:r>
        <w:rPr>
          <w:lang w:val="en_US" w:bidi="en_US"/>
        </w:rPr>
        <w:t xml:space="preserve">After that Jesus asked them, “What do you do if your child or </w:t>
      </w:r>
      <w:r>
        <w:rPr>
          <w:lang w:val="en_US" w:bidi="en_US"/>
        </w:rPr>
        <w:t>even just</w:t>
      </w:r>
      <w:r>
        <w:rPr>
          <w:lang w:val="en_US" w:bidi="en_US"/>
        </w:rPr>
        <w:t xml:space="preserve"> your cow falls into a well on the rest day?</w:t>
      </w:r>
    </w:p>
    <w:p>
      <w:pPr/>
      <w:r>
        <w:rPr>
          <w:lang w:val="en_US" w:bidi="en_US"/>
        </w:rPr>
      </w:r>
      <w:r>
        <w:rPr>
          <w:b/>
          <w:lang w:val="en_US" w:bidi="en_US"/>
        </w:rPr>
        <w:t>son:</w:t>
      </w:r>
      <w:r>
        <w:rPr>
          <w:lang w:val="en_US" w:bidi="en_US"/>
        </w:rPr>
        <w:t xml:space="preserve"> In languages that do not have a single word for </w:t>
      </w:r>
      <w:r>
        <w:rPr>
          <w:i/>
          <w:lang w:val="en_US" w:bidi="en_US"/>
        </w:rPr>
        <w:t>son</w:t>
      </w:r>
      <w:r>
        <w:rPr>
          <w:lang w:val="en_US" w:bidi="en_US"/>
        </w:rPr>
        <w:t>, you may use a more general word such as “child,” as in the GNT. The focus here is not on whether the child is male or female.</w:t>
      </w:r>
    </w:p>
    <w:p>
      <w:pPr/>
      <w:r>
        <w:rPr>
          <w:lang w:val="en_US" w:bidi="en_US"/>
        </w:rPr>
      </w:r>
      <w:r>
        <w:rPr>
          <w:b/>
          <w:lang w:val="en_US" w:bidi="en_US"/>
        </w:rPr>
        <w:t>ox:</w:t>
      </w:r>
      <w:r>
        <w:rPr>
          <w:lang w:val="en_US" w:bidi="en_US"/>
        </w:rPr>
        <w:t xml:space="preserve"> The Greek word that the BSB translates as </w:t>
      </w:r>
      <w:r>
        <w:rPr>
          <w:i/>
          <w:lang w:val="en_US" w:bidi="en_US"/>
        </w:rPr>
        <w:t>ox</w:t>
      </w:r>
      <w:r>
        <w:rPr>
          <w:lang w:val="en_US" w:bidi="en_US"/>
        </w:rPr>
        <w:t xml:space="preserve"> is a general word that can refer to any animal that is like a cow. It often refers to an animal that is used in farm work. Although the English word “ox” refers specifically to a castrated bull, the Greek word is more general. In languages that do not have a term for </w:t>
      </w:r>
      <w:r>
        <w:rPr>
          <w:i/>
          <w:lang w:val="en_US" w:bidi="en_US"/>
        </w:rPr>
        <w:t>ox</w:t>
      </w:r>
      <w:r>
        <w:rPr>
          <w:lang w:val="en_US" w:bidi="en_US"/>
        </w:rPr>
        <w:t>, you may:</w:t>
      </w:r>
    </w:p>
    <w:p>
      <w:pPr>
        <w:pStyle w:val="ListBullet"/>
        <w:spacing w:line="240" w:lineRule="auto"/>
        <w:ind w:left="720"/>
      </w:pPr>
      <w:r>
        <w:rPr>
          <w:lang w:val="en_US" w:bidi="en_US"/>
        </w:rPr>
      </w:r>
      <w:r>
        <w:rPr>
          <w:lang w:val="en_US" w:bidi="en_US"/>
        </w:rPr>
        <w:t>Use the name of a similar animal in your culture. For example:</w:t>
      </w:r>
      <w:r>
        <w:rPr>
          <w:lang w:val="en_US" w:bidi="en_US"/>
        </w:rPr>
        <w:t>cow/buffalo</w:t>
      </w:r>
    </w:p>
    <w:p>
      <w:pPr>
        <w:pStyle w:val="ListBullet"/>
        <w:spacing w:line="240" w:lineRule="auto"/>
        <w:ind w:left="720"/>
      </w:pPr>
      <w:r>
        <w:rPr>
          <w:lang w:val="en_US" w:bidi="en_US"/>
        </w:rPr>
      </w:r>
      <w:r>
        <w:rPr>
          <w:lang w:val="en_US" w:bidi="en_US"/>
        </w:rPr>
        <w:t>Use a general term. For example:</w:t>
      </w:r>
      <w:r>
        <w:rPr>
          <w:lang w:val="en_US" w:bidi="en_US"/>
        </w:rPr>
        <w:t>one of your work animals</w:t>
      </w:r>
    </w:p>
    <w:p>
      <w:pPr/>
      <w:r>
        <w:rPr>
          <w:lang w:val="en_US" w:bidi="en_US"/>
        </w:rPr>
      </w:r>
      <w:r>
        <w:rPr>
          <w:lang w:val="en_US" w:bidi="en_US"/>
        </w:rPr>
        <w:t xml:space="preserve">The word </w:t>
      </w:r>
      <w:r>
        <w:rPr>
          <w:i/>
          <w:lang w:val="en_US" w:bidi="en_US"/>
        </w:rPr>
        <w:t>ox</w:t>
      </w:r>
      <w:r>
        <w:rPr>
          <w:lang w:val="en_US" w:bidi="en_US"/>
        </w:rPr>
        <w:t xml:space="preserve"> is used in a similar context in 13:15c.</w:t>
      </w:r>
    </w:p>
    <w:p>
      <w:pPr/>
      <w:r>
        <w:rPr>
          <w:lang w:val="en_US" w:bidi="en_US"/>
        </w:rPr>
      </w:r>
      <w:r>
        <w:rPr>
          <w:b/>
          <w:lang w:val="en_US" w:bidi="en_US"/>
        </w:rPr>
        <w:t>pit:</w:t>
      </w:r>
      <w:r>
        <w:rPr>
          <w:lang w:val="en_US" w:bidi="en_US"/>
        </w:rPr>
        <w:t xml:space="preserve"> The Greek word that the BSB translates as </w:t>
      </w:r>
      <w:r>
        <w:rPr>
          <w:i/>
          <w:lang w:val="en_US" w:bidi="en_US"/>
        </w:rPr>
        <w:t>pit</w:t>
      </w:r>
      <w:r>
        <w:rPr>
          <w:lang w:val="en_US" w:bidi="en_US"/>
        </w:rPr>
        <w:t xml:space="preserve"> refers to a hole that people dig to get water from a source under the ground. It may or may not have water at the bottom at any certain time. This kind of hole is deep, and if someone fell in, he could not climb out by himself. Other ways to translate this word are:</w:t>
      </w:r>
    </w:p>
    <w:p>
      <w:pPr/>
      <w:r>
        <w:rPr>
          <w:lang w:val="en_US" w:bidi="en_US"/>
        </w:rPr>
      </w:r>
      <w:r>
        <w:rPr>
          <w:lang w:val="en_US" w:bidi="en_US"/>
        </w:rPr>
        <w:t>well (NIV)</w:t>
      </w:r>
    </w:p>
    <w:p>
      <w:pPr/>
      <w:r>
        <w:rPr>
          <w:lang w:val="en_US" w:bidi="en_US"/>
        </w:rPr>
      </w:r>
      <w:r>
        <w:rPr>
          <w:lang w:val="en_US" w:bidi="en_US"/>
        </w:rPr>
        <w:t>deep hole</w:t>
      </w:r>
    </w:p>
    <w:p>
      <w:pPr>
        <w:pStyle w:val="Heading5"/>
      </w:pPr>
      <w:r>
        <w:rPr>
          <w:lang w:val="en_US" w:bidi="en_US"/>
        </w:rPr>
        <w:t>14:5b</w:t>
      </w:r>
    </w:p>
    <w:p>
      <w:pPr/>
      <w:r>
        <w:rPr>
          <w:lang w:val="en_US" w:bidi="en_US"/>
        </w:rPr>
      </w:r>
      <w:r>
        <w:rPr>
          <w:b/>
          <w:lang w:val="en_US" w:bidi="en_US"/>
        </w:rPr>
        <w:t>will not immediately pull him out?”</w:t>
      </w:r>
    </w:p>
    <w:p>
      <w:pPr>
        <w:pStyle w:val="ListBullet"/>
        <w:spacing w:line="240" w:lineRule="auto"/>
        <w:ind w:left="720"/>
      </w:pPr>
      <w:r>
        <w:rPr>
          <w:lang w:val="en_US" w:bidi="en_US"/>
        </w:rPr>
      </w:r>
      <w:r>
        <w:rPr>
          <w:lang w:val="en_US" w:bidi="en_US"/>
        </w:rPr>
        <w:t>Will you</w:t>
      </w:r>
      <w:r>
        <w:rPr>
          <w:vertAlign w:val="superscript"/>
          <w:lang w:val="en_US" w:bidi="en_US"/>
        </w:rPr>
        <w:t>(sing)</w:t>
      </w:r>
      <w:r>
        <w:rPr>
          <w:lang w:val="en_US" w:bidi="en_US"/>
        </w:rPr>
        <w:t xml:space="preserve"> pull him out at once? Yes, of course!”</w:t>
      </w:r>
    </w:p>
    <w:p>
      <w:pPr>
        <w:pStyle w:val="ListBullet"/>
        <w:spacing w:line="240" w:lineRule="auto"/>
        <w:ind w:left="720"/>
      </w:pPr>
      <w:r>
        <w:rPr>
          <w:lang w:val="en_US" w:bidi="en_US"/>
        </w:rPr>
      </w:r>
      <w:r>
        <w:rPr>
          <w:lang w:val="en_US" w:bidi="en_US"/>
        </w:rPr>
        <w:t>You pull him up quickly! Isn’t that right?”</w:t>
      </w:r>
    </w:p>
    <w:p>
      <w:pPr/>
      <w:r>
        <w:rPr>
          <w:lang w:val="en_US" w:bidi="en_US"/>
        </w:rPr>
      </w:r>
      <w:r>
        <w:rPr>
          <w:b/>
          <w:lang w:val="en_US" w:bidi="en_US"/>
        </w:rPr>
        <w:t>immediately pull him out:</w:t>
      </w:r>
      <w:r>
        <w:rPr>
          <w:lang w:val="en_US" w:bidi="en_US"/>
        </w:rPr>
        <w:t xml:space="preserve"> If a person or an animal fell into a well that had water in it, someone would have to pull him up quickly. Otherwise, the person or animal might drown. People would not wait until the Sabbath day ended before they helped him get out. Use an appropriate verb to describe getting someone out of a deep hole.</w:t>
      </w:r>
    </w:p>
    <w:p>
      <w:pPr>
        <w:pStyle w:val="Heading6"/>
      </w:pPr>
      <w:r>
        <w:rPr>
          <w:b/>
          <w:lang w:val="en_US" w:bidi="en_US"/>
        </w:rPr>
        <w:t>General Comment on 14:5a–b</w:t>
      </w:r>
    </w:p>
    <w:p>
      <w:pPr/>
      <w:r>
        <w:rPr>
          <w:lang w:val="en_US" w:bidi="en_US"/>
        </w:rPr>
      </w:r>
      <w:r>
        <w:rPr>
          <w:lang w:val="en_US" w:bidi="en_US"/>
        </w:rPr>
        <w:t>In the Greek text, the Sabbath day is mentioned in 14:5b, rather than in 14:5a. For example:</w:t>
      </w:r>
    </w:p>
    <w:p>
      <w:pPr/>
      <w:r>
        <w:rPr>
          <w:lang w:val="en_US" w:bidi="en_US"/>
        </w:rPr>
      </w:r>
      <w:r>
        <w:rPr>
          <w:vertAlign w:val="superscript"/>
          <w:lang w:val="en_US" w:bidi="en_US"/>
        </w:rPr>
        <w:t>5a</w:t>
      </w:r>
      <w:r>
        <w:rPr>
          <w:lang w:val="en_US" w:bidi="en_US"/>
        </w:rPr>
        <w:t xml:space="preserve">If one of you has a son or an ox that falls into a well, </w:t>
      </w:r>
      <w:r>
        <w:rPr>
          <w:vertAlign w:val="superscript"/>
          <w:lang w:val="en_US" w:bidi="en_US"/>
        </w:rPr>
        <w:t>5b</w:t>
      </w:r>
      <w:r>
        <w:rPr>
          <w:lang w:val="en_US" w:bidi="en_US"/>
        </w:rPr>
        <w:t xml:space="preserve">will he hesitate to pull him out </w:t>
      </w:r>
      <w:r>
        <w:rPr>
          <w:u w:val="single"/>
          <w:lang w:val="en_US" w:bidi="en_US"/>
        </w:rPr>
        <w:t>on the sabbath day</w:t>
      </w:r>
      <w:r>
        <w:rPr>
          <w:lang w:val="en_US" w:bidi="en_US"/>
        </w:rPr>
        <w:t>? (REB)</w:t>
      </w:r>
    </w:p>
    <w:p>
      <w:pPr/>
      <w:r>
        <w:rPr>
          <w:lang w:val="en_US" w:bidi="en_US"/>
        </w:rPr>
      </w:r>
      <w:r>
        <w:rPr>
          <w:lang w:val="en_US" w:bidi="en_US"/>
        </w:rPr>
        <w:t>This order specifies that people were willing to pull out a child or animal on the Sabbath day. The text does not actually say that the child or animal fell into the well earlier that same day, but it implies it. The BSB order specifies that the child or animal fell into the well on the Sabbath. The word “immediately” in the BSB shows that the child or animal was also pulled out on the Sabbath. You may use whichever order is natural in your language.</w:t>
      </w:r>
      <w:r>
        <w:rPr>
          <w:lang w:val="en_US" w:bidi="en_US"/>
        </w:rPr>
      </w:r>
      <w:r>
        <w:rPr>
          <w:lang w:val="en_US" w:bidi="en_US"/>
        </w:rPr>
      </w:r>
    </w:p>
    <w:p>
      <w:pPr/>
      <w:r>
        <w:rPr>
          <w:lang w:val="en_US" w:bidi="en_US"/>
        </w:rPr>
      </w:r>
    </w:p>
    <w:p>
      <w:pPr>
        <w:pStyle w:val="Heading2"/>
      </w:pPr>
      <w:r>
        <w:rPr>
          <w:lang w:val="en_US" w:bidi="en_US"/>
        </w:rPr>
        <w:t>Luke 14:6</w:t>
      </w:r>
      <w:r>
        <w:rPr>
          <w:lang w:val="en_US" w:bidi="en_US"/>
        </w:rPr>
      </w:r>
    </w:p>
    <w:p>
      <w:pPr>
        <w:pStyle w:val="Heading4"/>
      </w:pPr>
      <w:r>
        <w:rPr>
          <w:lang w:val="en_US" w:bidi="en_US"/>
        </w:rPr>
        <w:t>Section 14:1–6: Jesus healed a sick man on the Sabbath</w:t>
      </w:r>
    </w:p>
    <w:p>
      <w:pPr/>
      <w:r>
        <w:rPr>
          <w:lang w:val="en_US" w:bidi="en_US"/>
        </w:rPr>
      </w:r>
      <w:r>
        <w:rPr>
          <w:lang w:val="en_US" w:bidi="en_US"/>
        </w:rPr>
        <w:t>In this section Jesus healed a man whose arms and legs were swollen. He performed this miracle on a Sabbath day in the house of a Pharisee. This event did not necessarily happen after the events of the previous section. It occurs only in Luke.</w:t>
      </w:r>
    </w:p>
    <w:p>
      <w:pPr/>
      <w:r>
        <w:rPr>
          <w:lang w:val="en_US" w:bidi="en_US"/>
        </w:rPr>
      </w:r>
      <w:r>
        <w:rPr>
          <w:lang w:val="en_US" w:bidi="en_US"/>
        </w:rPr>
        <w:t>Another possible heading for this section is:</w:t>
      </w:r>
    </w:p>
    <w:p>
      <w:pPr/>
      <w:r>
        <w:rPr>
          <w:lang w:val="en_US" w:bidi="en_US"/>
        </w:rPr>
      </w:r>
      <w:r>
        <w:rPr>
          <w:lang w:val="en_US" w:bidi="en_US"/>
        </w:rPr>
        <w:t>Jesus Heals a Sick Man (GNT)</w:t>
      </w:r>
    </w:p>
    <w:p>
      <w:pPr/>
      <w:r>
        <w:rPr>
          <w:lang w:val="en_US" w:bidi="en_US"/>
        </w:rPr>
      </w:r>
      <w:r>
        <w:rPr>
          <w:lang w:val="en_US" w:bidi="en_US"/>
        </w:rPr>
        <w:t>The next two sections, 14:7–14 and 14:15–24, also occur in the house of the Pharisee. English versions have divided 14:1–24 into sections in different ways. For example:</w:t>
      </w:r>
    </w:p>
    <w:p>
      <w:pPr>
        <w:pStyle w:val="ListBullet"/>
        <w:spacing w:line="240" w:lineRule="auto"/>
        <w:ind w:left="720"/>
      </w:pPr>
      <w:r>
        <w:rPr>
          <w:lang w:val="en_US" w:bidi="en_US"/>
        </w:rPr>
      </w:r>
      <w:r>
        <w:rPr>
          <w:lang w:val="en_US" w:bidi="en_US"/>
        </w:rPr>
        <w:t>The GW has one section for 14:1–24. The section heading is:</w:t>
      </w:r>
      <w:r>
        <w:rPr>
          <w:lang w:val="en_US" w:bidi="en_US"/>
        </w:rPr>
        <w:t>Jesus attends a banquet</w:t>
      </w:r>
    </w:p>
    <w:p>
      <w:pPr>
        <w:pStyle w:val="ListBullet"/>
        <w:spacing w:line="240" w:lineRule="auto"/>
        <w:ind w:left="720"/>
      </w:pPr>
      <w:r>
        <w:rPr>
          <w:lang w:val="en_US" w:bidi="en_US"/>
        </w:rPr>
      </w:r>
      <w:r>
        <w:rPr>
          <w:lang w:val="en_US" w:bidi="en_US"/>
        </w:rPr>
        <w:t>The NIV has two sections. They are:</w:t>
      </w:r>
      <w:r>
        <w:rPr>
          <w:lang w:val="en_US" w:bidi="en_US"/>
        </w:rPr>
        <w:t>Jesus at a Pharisee’s House (14:1–14)</w:t>
      </w:r>
      <w:r>
        <w:rPr>
          <w:lang w:val="en_US" w:bidi="en_US"/>
        </w:rPr>
        <w:t>The Parable of the Great Banquet (14:15–24)</w:t>
      </w:r>
    </w:p>
    <w:p>
      <w:pPr/>
      <w:r>
        <w:rPr>
          <w:lang w:val="en_US" w:bidi="en_US"/>
        </w:rPr>
      </w:r>
      <w:r>
        <w:rPr>
          <w:lang w:val="en_US" w:bidi="en_US"/>
        </w:rPr>
        <w:t>It is good to read these sections before you decide where to make the section breaks. You should divide the sections in a way that will be appropriate in your language.</w:t>
      </w:r>
    </w:p>
    <w:p>
      <w:pPr>
        <w:pStyle w:val="Heading5"/>
      </w:pPr>
      <w:r>
        <w:rPr>
          <w:lang w:val="en_US" w:bidi="en_US"/>
        </w:rPr>
        <w:t>14:6</w:t>
      </w:r>
    </w:p>
    <w:p>
      <w:pPr/>
      <w:r>
        <w:rPr>
          <w:lang w:val="en_US" w:bidi="en_US"/>
        </w:rPr>
      </w:r>
      <w:r>
        <w:rPr>
          <w:b/>
          <w:lang w:val="en_US" w:bidi="en_US"/>
        </w:rPr>
        <w:t>And they were unable to answer these questions.</w:t>
      </w:r>
    </w:p>
    <w:p>
      <w:pPr>
        <w:pStyle w:val="ListBullet"/>
        <w:spacing w:line="240" w:lineRule="auto"/>
        <w:ind w:left="720"/>
      </w:pPr>
      <w:r>
        <w:rPr>
          <w:lang w:val="en_US" w:bidi="en_US"/>
        </w:rPr>
      </w:r>
      <w:r>
        <w:rPr>
          <w:lang w:val="en_US" w:bidi="en_US"/>
        </w:rPr>
        <w:t>Again there was nothing they were able to say/answer.</w:t>
      </w:r>
    </w:p>
    <w:p>
      <w:pPr>
        <w:pStyle w:val="ListBullet"/>
        <w:spacing w:line="240" w:lineRule="auto"/>
        <w:ind w:left="720"/>
      </w:pPr>
      <w:r>
        <w:rPr>
          <w:lang w:val="en_US" w:bidi="en_US"/>
        </w:rPr>
      </w:r>
      <w:r>
        <w:rPr>
          <w:lang w:val="en_US" w:bidi="en_US"/>
        </w:rPr>
        <w:t xml:space="preserve">But they could not </w:t>
      </w:r>
      <w:r>
        <w:rPr>
          <w:lang w:val="en_US" w:bidi="en_US"/>
        </w:rPr>
        <w:t>think of</w:t>
      </w:r>
      <w:r>
        <w:rPr>
          <w:lang w:val="en_US" w:bidi="en_US"/>
        </w:rPr>
        <w:t xml:space="preserve"> a </w:t>
      </w:r>
      <w:r>
        <w:rPr>
          <w:lang w:val="en_US" w:bidi="en_US"/>
        </w:rPr>
        <w:t>good</w:t>
      </w:r>
      <w:r>
        <w:rPr>
          <w:lang w:val="en_US" w:bidi="en_US"/>
        </w:rPr>
        <w:t xml:space="preserve"> reply.</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the fact that the leaders did not respond to Jesus’ question in 14:5a–b in the way Jesus wanted them to. Some English versions do not have a conjunction here. Other versions, such as the GNT and NET, introduce this verse with “But.” Connect 14:6 to 14:5 in a natural way in your language. See the examples in the next note.</w:t>
      </w:r>
    </w:p>
    <w:p>
      <w:pPr/>
      <w:r>
        <w:rPr>
          <w:lang w:val="en_US" w:bidi="en_US"/>
        </w:rPr>
      </w:r>
      <w:r>
        <w:rPr>
          <w:b/>
          <w:lang w:val="en_US" w:bidi="en_US"/>
        </w:rPr>
        <w:t>they were unable to answer these questions:</w:t>
      </w:r>
      <w:r>
        <w:rPr>
          <w:lang w:val="en_US" w:bidi="en_US"/>
        </w:rPr>
        <w:t xml:space="preserve"> The Greek clause that the BSB translates as </w:t>
      </w:r>
      <w:r>
        <w:rPr>
          <w:i/>
          <w:lang w:val="en_US" w:bidi="en_US"/>
        </w:rPr>
        <w:t>they were unable to answer these questions</w:t>
      </w:r>
      <w:r>
        <w:rPr>
          <w:lang w:val="en_US" w:bidi="en_US"/>
        </w:rPr>
        <w:t xml:space="preserve"> is literally “they </w:t>
      </w:r>
      <w:r>
        <w:rPr>
          <w:u w:val="single"/>
          <w:lang w:val="en_US" w:bidi="en_US"/>
        </w:rPr>
        <w:t>could not reply</w:t>
      </w:r>
      <w:r>
        <w:rPr>
          <w:lang w:val="en_US" w:bidi="en_US"/>
        </w:rPr>
        <w:t xml:space="preserve"> to these things.” The ESV translates it that way. This Greek clause is slightly different from the clause that the BSB translates as “they remained silent” in 14:4a.</w:t>
      </w:r>
    </w:p>
    <w:p>
      <w:pPr/>
      <w:r>
        <w:rPr>
          <w:lang w:val="en_US" w:bidi="en_US"/>
        </w:rPr>
      </w:r>
      <w:r>
        <w:rPr>
          <w:lang w:val="en_US" w:bidi="en_US"/>
        </w:rPr>
        <w:t>The phrase “could not reply” implies that the leaders could not think of a way to answer Jesus’ question without supporting his viewpoint. They did not want to admit that they would rescue a person or animal from a well on the Sabbath. If they admitted that, they would also be admitting that Jesus was right to heal the man. Other ways to translate this clause are:</w:t>
      </w:r>
    </w:p>
    <w:p>
      <w:pPr/>
      <w:r>
        <w:rPr>
          <w:lang w:val="en_US" w:bidi="en_US"/>
        </w:rPr>
      </w:r>
      <w:r>
        <w:rPr>
          <w:lang w:val="en_US" w:bidi="en_US"/>
        </w:rPr>
        <w:t>And to this they could find no answer (NJB)</w:t>
      </w:r>
    </w:p>
    <w:p>
      <w:pPr/>
      <w:r>
        <w:rPr>
          <w:lang w:val="en_US" w:bidi="en_US"/>
        </w:rPr>
      </w:r>
      <w:r>
        <w:rPr>
          <w:lang w:val="en_US" w:bidi="en_US"/>
        </w:rPr>
        <w:t>They couldn’t argue with him about this. (GW)</w:t>
      </w:r>
    </w:p>
    <w:p>
      <w:pPr/>
      <w:r>
        <w:rPr>
          <w:lang w:val="en_US" w:bidi="en_US"/>
        </w:rPr>
      </w:r>
      <w:r>
        <w:rPr>
          <w:lang w:val="en_US" w:bidi="en_US"/>
        </w:rPr>
        <w:t>But they were not able to answer him about this. (GNT)</w:t>
      </w:r>
    </w:p>
    <w:p>
      <w:pPr/>
      <w:r>
        <w:rPr>
          <w:lang w:val="en_US" w:bidi="en_US"/>
        </w:rPr>
      </w:r>
      <w:r>
        <w:rPr>
          <w:lang w:val="en_US" w:bidi="en_US"/>
        </w:rPr>
        <w:t>Your translation should not imply that they were literally unable to speak.</w:t>
      </w:r>
      <w:r>
        <w:rPr>
          <w:lang w:val="en_US" w:bidi="en_US"/>
        </w:rPr>
      </w:r>
      <w:r>
        <w:rPr>
          <w:lang w:val="en_US" w:bidi="en_US"/>
        </w:rPr>
      </w:r>
    </w:p>
    <w:p>
      <w:pPr/>
      <w:r>
        <w:rPr>
          <w:lang w:val="en_US" w:bidi="en_US"/>
        </w:rPr>
      </w:r>
    </w:p>
    <w:p>
      <w:pPr>
        <w:pStyle w:val="Heading2"/>
      </w:pPr>
      <w:r>
        <w:rPr>
          <w:lang w:val="en_US" w:bidi="en_US"/>
        </w:rPr>
        <w:t>Luke 14:7</w:t>
      </w:r>
      <w:r>
        <w:rPr>
          <w:lang w:val="en_US" w:bidi="en_US"/>
        </w:rPr>
      </w:r>
    </w:p>
    <w:p>
      <w:pPr>
        <w:pStyle w:val="Heading4"/>
      </w:pPr>
      <w:r>
        <w:rPr>
          <w:lang w:val="en_US" w:bidi="en_US"/>
        </w:rPr>
        <w:t>Section 14:7–14: Jesus gave advice to the other guests and to his host</w:t>
      </w:r>
    </w:p>
    <w:p>
      <w:pPr/>
      <w:r>
        <w:rPr>
          <w:lang w:val="en_US" w:bidi="en_US"/>
        </w:rPr>
      </w:r>
      <w:r>
        <w:rPr>
          <w:lang w:val="en_US" w:bidi="en_US"/>
        </w:rPr>
        <w:t>In this section Jesus was still in the house of the Pharisee. He noticed that the other guests who came into the house were choosing positions of honor at the meal. He instructed them by means of a parable about wedding guests that they should be humble and not seek their own honor (14:7–11). He then instructed the Pharisee who was their host to hold feasts for people who were poor. Poor people could not invite him to a feast in return, so God would reward him (14:12–14).</w:t>
      </w:r>
    </w:p>
    <w:p>
      <w:pPr/>
      <w:r>
        <w:rPr>
          <w:lang w:val="en_US" w:bidi="en_US"/>
        </w:rPr>
      </w:r>
      <w:r>
        <w:rPr>
          <w:lang w:val="en_US" w:bidi="en_US"/>
        </w:rPr>
        <w:t>Some other possible headings for this section are:</w:t>
      </w:r>
    </w:p>
    <w:p>
      <w:pPr/>
      <w:r>
        <w:rPr>
          <w:lang w:val="en_US" w:bidi="en_US"/>
        </w:rPr>
      </w:r>
      <w:r>
        <w:rPr>
          <w:lang w:val="en_US" w:bidi="en_US"/>
        </w:rPr>
        <w:t>Humility and Hospitality (GNT)</w:t>
      </w:r>
    </w:p>
    <w:p>
      <w:pPr/>
      <w:r>
        <w:rPr>
          <w:lang w:val="en_US" w:bidi="en_US"/>
        </w:rPr>
      </w:r>
      <w:r>
        <w:rPr>
          <w:lang w:val="en_US" w:bidi="en_US"/>
        </w:rPr>
        <w:t>Instructions to Guests and to a Host</w:t>
      </w:r>
    </w:p>
    <w:p>
      <w:pPr>
        <w:pStyle w:val="Heading5"/>
      </w:pPr>
      <w:r>
        <w:rPr>
          <w:lang w:val="en_US" w:bidi="en_US"/>
        </w:rPr>
        <w:t>14:7a</w:t>
      </w:r>
    </w:p>
    <w:p>
      <w:pPr/>
      <w:r>
        <w:rPr>
          <w:lang w:val="en_US" w:bidi="en_US"/>
        </w:rPr>
      </w:r>
      <w:r>
        <w:rPr>
          <w:b/>
          <w:lang w:val="en_US" w:bidi="en_US"/>
        </w:rPr>
        <w:t>When Jesus noticed how the guests chose the places of honor,</w:t>
      </w:r>
    </w:p>
    <w:p>
      <w:pPr>
        <w:pStyle w:val="ListBullet"/>
        <w:spacing w:line="240" w:lineRule="auto"/>
        <w:ind w:left="720"/>
      </w:pPr>
      <w:r>
        <w:rPr>
          <w:lang w:val="en_US" w:bidi="en_US"/>
        </w:rPr>
      </w:r>
      <w:r>
        <w:rPr>
          <w:lang w:val="en_US" w:bidi="en_US"/>
        </w:rPr>
        <w:t xml:space="preserve">¶ When </w:t>
      </w:r>
      <w:r>
        <w:rPr>
          <w:lang w:val="en_US" w:bidi="en_US"/>
        </w:rPr>
        <w:t>Jesus</w:t>
      </w:r>
      <w:r>
        <w:rPr>
          <w:lang w:val="en_US" w:bidi="en_US"/>
        </w:rPr>
        <w:t xml:space="preserve"> observed that </w:t>
      </w:r>
      <w:r>
        <w:rPr>
          <w:lang w:val="en_US" w:bidi="en_US"/>
        </w:rPr>
        <w:t>some of</w:t>
      </w:r>
      <w:r>
        <w:rPr>
          <w:lang w:val="en_US" w:bidi="en_US"/>
        </w:rPr>
        <w:t xml:space="preserve"> the guests </w:t>
      </w:r>
      <w:r>
        <w:rPr>
          <w:lang w:val="en_US" w:bidi="en_US"/>
        </w:rPr>
        <w:t>at the meal/feast</w:t>
      </w:r>
      <w:r>
        <w:rPr>
          <w:lang w:val="en_US" w:bidi="en_US"/>
        </w:rPr>
        <w:t xml:space="preserve"> were choosing the best seats,</w:t>
      </w:r>
    </w:p>
    <w:p>
      <w:pPr>
        <w:pStyle w:val="ListBullet"/>
        <w:spacing w:line="240" w:lineRule="auto"/>
        <w:ind w:left="720"/>
      </w:pPr>
      <w:r>
        <w:rPr>
          <w:lang w:val="en_US" w:bidi="en_US"/>
        </w:rPr>
      </w:r>
      <w:r>
        <w:rPr>
          <w:lang w:val="en_US" w:bidi="en_US"/>
        </w:rPr>
        <w:t xml:space="preserve">¶ </w:t>
      </w:r>
      <w:r>
        <w:rPr>
          <w:lang w:val="en_US" w:bidi="en_US"/>
        </w:rPr>
        <w:t>Jesus</w:t>
      </w:r>
      <w:r>
        <w:rPr>
          <w:lang w:val="en_US" w:bidi="en_US"/>
        </w:rPr>
        <w:t xml:space="preserve"> saw that the </w:t>
      </w:r>
      <w:r>
        <w:rPr>
          <w:lang w:val="en_US" w:bidi="en_US"/>
        </w:rPr>
        <w:t>other</w:t>
      </w:r>
      <w:r>
        <w:rPr>
          <w:lang w:val="en_US" w:bidi="en_US"/>
        </w:rPr>
        <w:t xml:space="preserve"> people whom </w:t>
      </w:r>
      <w:r>
        <w:rPr>
          <w:lang w:val="en_US" w:bidi="en_US"/>
        </w:rPr>
        <w:t>the Pharisee</w:t>
      </w:r>
      <w:r>
        <w:rPr>
          <w:lang w:val="en_US" w:bidi="en_US"/>
        </w:rPr>
        <w:t xml:space="preserve"> had invited </w:t>
      </w:r>
      <w:r>
        <w:rPr>
          <w:lang w:val="en_US" w:bidi="en_US"/>
        </w:rPr>
        <w:t>to eat</w:t>
      </w:r>
      <w:r>
        <w:rPr>
          <w:lang w:val="en_US" w:bidi="en_US"/>
        </w:rPr>
        <w:t xml:space="preserve"> tried to sit down in/at the important places,</w:t>
      </w:r>
    </w:p>
    <w:p>
      <w:pPr/>
      <w:r>
        <w:rPr>
          <w:lang w:val="en_US" w:bidi="en_US"/>
        </w:rPr>
      </w:r>
      <w:r>
        <w:rPr>
          <w:b/>
          <w:lang w:val="en_US" w:bidi="en_US"/>
        </w:rPr>
        <w:t>When Jesus noticed how the guests chose the places of honor:</w:t>
      </w:r>
      <w:r>
        <w:rPr>
          <w:lang w:val="en_US" w:bidi="en_US"/>
        </w:rPr>
        <w:t xml:space="preserve"> This part of the verse gives the setting for the following illustration or parable. Jesus told this parable because he saw how the guests at the banquet were behaving. In some languages it may be more natural to make this a separate sentence:</w:t>
      </w:r>
    </w:p>
    <w:p>
      <w:pPr/>
      <w:r>
        <w:rPr>
          <w:lang w:val="en_US" w:bidi="en_US"/>
        </w:rPr>
      </w:r>
      <w:r>
        <w:rPr>
          <w:lang w:val="en_US" w:bidi="en_US"/>
        </w:rPr>
        <w:t>He noticed how the guests picked the places of honor at the table. So…</w:t>
      </w:r>
    </w:p>
    <w:p>
      <w:pPr/>
      <w:r>
        <w:rPr>
          <w:lang w:val="en_US" w:bidi="en_US"/>
        </w:rPr>
      </w:r>
      <w:r>
        <w:rPr>
          <w:b/>
          <w:lang w:val="en_US" w:bidi="en_US"/>
        </w:rPr>
        <w:t>Jesus noticed:</w:t>
      </w:r>
      <w:r>
        <w:rPr>
          <w:lang w:val="en_US" w:bidi="en_US"/>
        </w:rPr>
        <w:t xml:space="preserve"> The Greek text literally reads “he noticed” here. The pronoun “he” refers to Jesus. In many languages it will be helpful to refer to him more explicitly here, as the BSB does, because it is the beginning of a new paragraph and section. For example:</w:t>
      </w:r>
    </w:p>
    <w:p>
      <w:pPr/>
      <w:r>
        <w:rPr>
          <w:lang w:val="en_US" w:bidi="en_US"/>
        </w:rPr>
      </w:r>
      <w:r>
        <w:rPr>
          <w:lang w:val="en_US" w:bidi="en_US"/>
        </w:rPr>
        <w:t>Jesus noticed (GNT)</w:t>
      </w:r>
    </w:p>
    <w:p>
      <w:pPr/>
      <w:r>
        <w:rPr>
          <w:lang w:val="en_US" w:bidi="en_US"/>
        </w:rPr>
      </w:r>
      <w:r>
        <w:rPr>
          <w:b/>
          <w:lang w:val="en_US" w:bidi="en_US"/>
        </w:rPr>
        <w:t>the guests chose the places of honor:</w:t>
      </w:r>
      <w:r>
        <w:rPr>
          <w:lang w:val="en_US" w:bidi="en_US"/>
        </w:rPr>
        <w:t xml:space="preserve"> At the dinner in the Pharisee’s house, the people who came into the house were deciding for themselves where they would sit. They all tried to choose the places where the honored guests usually sat.</w:t>
      </w:r>
    </w:p>
    <w:p>
      <w:pPr/>
      <w:r>
        <w:rPr>
          <w:lang w:val="en_US" w:bidi="en_US"/>
        </w:rPr>
      </w:r>
      <w:r>
        <w:rPr>
          <w:b/>
          <w:lang w:val="en_US" w:bidi="en_US"/>
        </w:rPr>
        <w:t>the guests:</w:t>
      </w:r>
      <w:r>
        <w:rPr>
          <w:lang w:val="en_US" w:bidi="en_US"/>
        </w:rPr>
        <w:t xml:space="preserve"> The Greek word that the BSB translates as </w:t>
      </w:r>
      <w:r>
        <w:rPr>
          <w:i/>
          <w:lang w:val="en_US" w:bidi="en_US"/>
        </w:rPr>
        <w:t>guests</w:t>
      </w:r>
      <w:r>
        <w:rPr>
          <w:lang w:val="en_US" w:bidi="en_US"/>
        </w:rPr>
        <w:t xml:space="preserve"> refers to the other people who were invited along with Jesus to dine at the home of the Pharisee, as mentioned in 14:1. Since Jesus was one of the guests, it may be clearer to say:</w:t>
      </w:r>
    </w:p>
    <w:p>
      <w:pPr/>
      <w:r>
        <w:rPr>
          <w:lang w:val="en_US" w:bidi="en_US"/>
        </w:rPr>
      </w:r>
      <w:r>
        <w:rPr>
          <w:lang w:val="en_US" w:bidi="en_US"/>
        </w:rPr>
        <w:t xml:space="preserve">the </w:t>
      </w:r>
      <w:r>
        <w:rPr>
          <w:lang w:val="en_US" w:bidi="en_US"/>
        </w:rPr>
        <w:t>other</w:t>
      </w:r>
      <w:r>
        <w:rPr>
          <w:lang w:val="en_US" w:bidi="en_US"/>
        </w:rPr>
        <w:t xml:space="preserve"> guests</w:t>
      </w:r>
    </w:p>
    <w:p>
      <w:pPr/>
      <w:r>
        <w:rPr>
          <w:lang w:val="en_US" w:bidi="en_US"/>
        </w:rPr>
      </w:r>
      <w:r>
        <w:rPr>
          <w:lang w:val="en_US" w:bidi="en_US"/>
        </w:rPr>
        <w:t>some of the guests (GNT)</w:t>
      </w:r>
    </w:p>
    <w:p>
      <w:pPr/>
      <w:r>
        <w:rPr>
          <w:lang w:val="en_US" w:bidi="en_US"/>
        </w:rPr>
      </w:r>
      <w:r>
        <w:rPr>
          <w:b/>
          <w:lang w:val="en_US" w:bidi="en_US"/>
        </w:rPr>
        <w:t>the places of honor:</w:t>
      </w:r>
      <w:r>
        <w:rPr>
          <w:lang w:val="en_US" w:bidi="en_US"/>
        </w:rPr>
        <w:t xml:space="preserve"> The Greek phrase that the BSB translates as </w:t>
      </w:r>
      <w:r>
        <w:rPr>
          <w:i/>
          <w:lang w:val="en_US" w:bidi="en_US"/>
        </w:rPr>
        <w:t>the places of honor</w:t>
      </w:r>
      <w:r>
        <w:rPr>
          <w:lang w:val="en_US" w:bidi="en_US"/>
        </w:rPr>
        <w:t xml:space="preserve"> refers to the places of honor at the table where this dinner was being served. For clarity, the NIV adds the phrase “at the table.” The NASB and NLT add similar phrases. But if such a phrase would not be helpful in your translation, there is no need to add one.</w:t>
      </w:r>
    </w:p>
    <w:p>
      <w:pPr/>
      <w:r>
        <w:rPr>
          <w:lang w:val="en_US" w:bidi="en_US"/>
        </w:rPr>
      </w:r>
      <w:r>
        <w:rPr>
          <w:lang w:val="en_US" w:bidi="en_US"/>
        </w:rPr>
        <w:t xml:space="preserve">The phrase </w:t>
      </w:r>
      <w:r>
        <w:rPr>
          <w:i/>
          <w:lang w:val="en_US" w:bidi="en_US"/>
        </w:rPr>
        <w:t>the places of honor</w:t>
      </w:r>
      <w:r>
        <w:rPr>
          <w:lang w:val="en_US" w:bidi="en_US"/>
        </w:rPr>
        <w:t xml:space="preserve"> refers to the places at the feast where the most important people sat. Scholars are not sure where these places of honor were in the Jewish culture. Use a natural expression in your language to describe places where important guests sit at a feast. Other ways to translate this phrase are:</w:t>
      </w:r>
    </w:p>
    <w:p>
      <w:pPr/>
      <w:r>
        <w:rPr>
          <w:lang w:val="en_US" w:bidi="en_US"/>
        </w:rPr>
      </w:r>
      <w:r>
        <w:rPr>
          <w:lang w:val="en_US" w:bidi="en_US"/>
        </w:rPr>
        <w:t>the best places to sit (NCV)</w:t>
      </w:r>
    </w:p>
    <w:p>
      <w:pPr/>
      <w:r>
        <w:rPr>
          <w:lang w:val="en_US" w:bidi="en_US"/>
        </w:rPr>
      </w:r>
      <w:r>
        <w:rPr>
          <w:lang w:val="en_US" w:bidi="en_US"/>
        </w:rPr>
        <w:t xml:space="preserve">the most important places </w:t>
      </w:r>
      <w:r>
        <w:rPr>
          <w:lang w:val="en_US" w:bidi="en_US"/>
        </w:rPr>
        <w:t>at the table</w:t>
      </w:r>
      <w:r>
        <w:rPr>
          <w:lang w:val="en_US" w:bidi="en_US"/>
        </w:rPr>
        <w:t xml:space="preserve"> (TRT)</w:t>
      </w:r>
    </w:p>
    <w:p>
      <w:pPr/>
      <w:r>
        <w:rPr>
          <w:lang w:val="en_US" w:bidi="en_US"/>
        </w:rPr>
      </w:r>
      <w:r>
        <w:rPr>
          <w:lang w:val="en_US" w:bidi="en_US"/>
        </w:rPr>
        <w:t xml:space="preserve">the places </w:t>
      </w:r>
      <w:r>
        <w:rPr>
          <w:lang w:val="en_US" w:bidi="en_US"/>
        </w:rPr>
        <w:t>at the table</w:t>
      </w:r>
      <w:r>
        <w:rPr>
          <w:lang w:val="en_US" w:bidi="en_US"/>
        </w:rPr>
        <w:t xml:space="preserve"> reserved for the most important people/guests (TRT)</w:t>
      </w:r>
    </w:p>
    <w:p>
      <w:pPr>
        <w:pStyle w:val="Heading5"/>
      </w:pPr>
      <w:r>
        <w:rPr>
          <w:lang w:val="en_US" w:bidi="en_US"/>
        </w:rPr>
        <w:t>14:7b</w:t>
      </w:r>
    </w:p>
    <w:p>
      <w:pPr/>
      <w:r>
        <w:rPr>
          <w:lang w:val="en_US" w:bidi="en_US"/>
        </w:rPr>
      </w:r>
      <w:r>
        <w:rPr>
          <w:b/>
          <w:lang w:val="en_US" w:bidi="en_US"/>
        </w:rPr>
        <w:t>He told them a parable:</w:t>
      </w:r>
    </w:p>
    <w:p>
      <w:pPr>
        <w:pStyle w:val="ListBullet"/>
        <w:spacing w:line="240" w:lineRule="auto"/>
        <w:ind w:left="720"/>
      </w:pPr>
      <w:r>
        <w:rPr>
          <w:lang w:val="en_US" w:bidi="en_US"/>
        </w:rPr>
      </w:r>
      <w:r>
        <w:rPr>
          <w:lang w:val="en_US" w:bidi="en_US"/>
        </w:rPr>
        <w:t>he advised/instructed them, saying,</w:t>
      </w:r>
    </w:p>
    <w:p>
      <w:pPr>
        <w:pStyle w:val="ListBullet"/>
        <w:spacing w:line="240" w:lineRule="auto"/>
        <w:ind w:left="720"/>
      </w:pPr>
      <w:r>
        <w:rPr>
          <w:lang w:val="en_US" w:bidi="en_US"/>
        </w:rPr>
      </w:r>
      <w:r>
        <w:rPr>
          <w:lang w:val="en_US" w:bidi="en_US"/>
        </w:rPr>
        <w:t>so he gave them this advice:</w:t>
      </w:r>
    </w:p>
    <w:p>
      <w:pPr/>
      <w:r>
        <w:rPr>
          <w:lang w:val="en_US" w:bidi="en_US"/>
        </w:rPr>
      </w:r>
      <w:r>
        <w:rPr>
          <w:b/>
          <w:lang w:val="en_US" w:bidi="en_US"/>
        </w:rPr>
        <w:t>He told them a parable:</w:t>
      </w:r>
      <w:r>
        <w:rPr>
          <w:lang w:val="en_US" w:bidi="en_US"/>
        </w:rPr>
        <w:t xml:space="preserve"> The Greek word that the BSB translates as </w:t>
      </w:r>
      <w:r>
        <w:rPr>
          <w:i/>
          <w:lang w:val="en_US" w:bidi="en_US"/>
        </w:rPr>
        <w:t>parable</w:t>
      </w:r>
      <w:r>
        <w:rPr>
          <w:lang w:val="en_US" w:bidi="en_US"/>
        </w:rPr>
        <w:t xml:space="preserve"> usually refers to a story, metaphor, or saying that was used to teach a spiritual truth. In this context, it introduces Jesus’ advice to the other guests in the Pharisee’s house.</w:t>
      </w:r>
    </w:p>
    <w:p>
      <w:pPr/>
      <w:r>
        <w:rPr>
          <w:lang w:val="en_US" w:bidi="en_US"/>
        </w:rPr>
      </w:r>
      <w:r>
        <w:rPr>
          <w:lang w:val="en_US" w:bidi="en_US"/>
        </w:rPr>
        <w:t xml:space="preserve">In some languages the word that is normally used to translate </w:t>
      </w:r>
      <w:r>
        <w:rPr>
          <w:i/>
          <w:lang w:val="en_US" w:bidi="en_US"/>
        </w:rPr>
        <w:t>parable</w:t>
      </w:r>
      <w:r>
        <w:rPr>
          <w:lang w:val="en_US" w:bidi="en_US"/>
        </w:rPr>
        <w:t xml:space="preserve"> may not be clear or natural in this context. You may need to use a different word. Some other ways to translate this clause are:</w:t>
      </w:r>
    </w:p>
    <w:p>
      <w:pPr/>
      <w:r>
        <w:rPr>
          <w:lang w:val="en_US" w:bidi="en_US"/>
        </w:rPr>
      </w:r>
      <w:r>
        <w:rPr>
          <w:lang w:val="en_US" w:bidi="en_US"/>
        </w:rPr>
        <w:t>he used this illustration (GW)</w:t>
      </w:r>
    </w:p>
    <w:p>
      <w:pPr/>
      <w:r>
        <w:rPr>
          <w:lang w:val="en_US" w:bidi="en_US"/>
        </w:rPr>
      </w:r>
      <w:r>
        <w:rPr>
          <w:lang w:val="en_US" w:bidi="en_US"/>
        </w:rPr>
        <w:t>he gave them this advice (NLT)</w:t>
      </w:r>
    </w:p>
    <w:p>
      <w:pPr/>
      <w:r>
        <w:rPr>
          <w:lang w:val="en_US" w:bidi="en_US"/>
        </w:rPr>
      </w:r>
      <w:r>
        <w:rPr>
          <w:lang w:val="en_US" w:bidi="en_US"/>
        </w:rPr>
        <w:t>he advised/instructed them, saying</w:t>
      </w:r>
    </w:p>
    <w:p>
      <w:pPr>
        <w:pStyle w:val="Heading6"/>
      </w:pPr>
      <w:r>
        <w:rPr>
          <w:b/>
          <w:lang w:val="en_US" w:bidi="en_US"/>
        </w:rPr>
        <w:t>General Comment on 14:7a–b</w:t>
      </w:r>
    </w:p>
    <w:p>
      <w:pPr/>
      <w:r>
        <w:rPr>
          <w:lang w:val="en_US" w:bidi="en_US"/>
        </w:rPr>
      </w:r>
      <w:r>
        <w:rPr>
          <w:lang w:val="en_US" w:bidi="en_US"/>
        </w:rPr>
        <w:t>In the Greek text the order of the clauses is different from the BSB order. Some English versions follow this order. For example:</w:t>
      </w:r>
    </w:p>
    <w:p>
      <w:pPr/>
      <w:r>
        <w:rPr>
          <w:lang w:val="en_US" w:bidi="en_US"/>
        </w:rPr>
      </w:r>
      <w:r>
        <w:rPr>
          <w:vertAlign w:val="superscript"/>
          <w:lang w:val="en_US" w:bidi="en_US"/>
        </w:rPr>
        <w:t>7b</w:t>
      </w:r>
      <w:r>
        <w:rPr>
          <w:lang w:val="en_US" w:bidi="en_US"/>
        </w:rPr>
        <w:t xml:space="preserve">He then told the guests a parable, </w:t>
      </w:r>
      <w:r>
        <w:rPr>
          <w:vertAlign w:val="superscript"/>
          <w:lang w:val="en_US" w:bidi="en_US"/>
        </w:rPr>
        <w:t>7a</w:t>
      </w:r>
      <w:r>
        <w:rPr>
          <w:lang w:val="en_US" w:bidi="en_US"/>
        </w:rPr>
        <w:t>because he had noticed how they picked the places of honor. (NJB)</w:t>
      </w:r>
    </w:p>
    <w:p>
      <w:pPr/>
      <w:r>
        <w:rPr>
          <w:lang w:val="en_US" w:bidi="en_US"/>
        </w:rPr>
      </w:r>
      <w:r>
        <w:rPr>
          <w:lang w:val="en_US" w:bidi="en_US"/>
        </w:rPr>
        <w:t>Consider which order is more natural in your language.</w:t>
      </w:r>
      <w:r>
        <w:rPr>
          <w:lang w:val="en_US" w:bidi="en_US"/>
        </w:rPr>
      </w:r>
      <w:r>
        <w:rPr>
          <w:lang w:val="en_US" w:bidi="en_US"/>
        </w:rPr>
      </w:r>
    </w:p>
    <w:p>
      <w:pPr/>
      <w:r>
        <w:rPr>
          <w:lang w:val="en_US" w:bidi="en_US"/>
        </w:rPr>
      </w:r>
    </w:p>
    <w:p>
      <w:pPr>
        <w:pStyle w:val="Heading2"/>
      </w:pPr>
      <w:r>
        <w:rPr>
          <w:lang w:val="en_US" w:bidi="en_US"/>
        </w:rPr>
        <w:t>Luke 14:8</w:t>
      </w:r>
      <w:r>
        <w:rPr>
          <w:lang w:val="en_US" w:bidi="en_US"/>
        </w:rPr>
      </w:r>
    </w:p>
    <w:p>
      <w:pPr>
        <w:pStyle w:val="Heading4"/>
      </w:pPr>
      <w:r>
        <w:rPr>
          <w:lang w:val="en_US" w:bidi="en_US"/>
        </w:rPr>
        <w:t>Section 14:7–14: Jesus gave advice to the other guests and to his host</w:t>
      </w:r>
    </w:p>
    <w:p>
      <w:pPr/>
      <w:r>
        <w:rPr>
          <w:lang w:val="en_US" w:bidi="en_US"/>
        </w:rPr>
      </w:r>
      <w:r>
        <w:rPr>
          <w:lang w:val="en_US" w:bidi="en_US"/>
        </w:rPr>
        <w:t>In this section Jesus was still in the house of the Pharisee. He noticed that the other guests who came into the house were choosing positions of honor at the meal. He instructed them by means of a parable about wedding guests that they should be humble and not seek their own honor (14:7–11). He then instructed the Pharisee who was their host to hold feasts for people who were poor. Poor people could not invite him to a feast in return, so God would reward him (14:12–14).</w:t>
      </w:r>
    </w:p>
    <w:p>
      <w:pPr/>
      <w:r>
        <w:rPr>
          <w:lang w:val="en_US" w:bidi="en_US"/>
        </w:rPr>
      </w:r>
      <w:r>
        <w:rPr>
          <w:lang w:val="en_US" w:bidi="en_US"/>
        </w:rPr>
        <w:t>Some other possible headings for this section are:</w:t>
      </w:r>
    </w:p>
    <w:p>
      <w:pPr/>
      <w:r>
        <w:rPr>
          <w:lang w:val="en_US" w:bidi="en_US"/>
        </w:rPr>
      </w:r>
      <w:r>
        <w:rPr>
          <w:lang w:val="en_US" w:bidi="en_US"/>
        </w:rPr>
        <w:t>Humility and Hospitality (GNT)</w:t>
      </w:r>
    </w:p>
    <w:p>
      <w:pPr/>
      <w:r>
        <w:rPr>
          <w:lang w:val="en_US" w:bidi="en_US"/>
        </w:rPr>
      </w:r>
      <w:r>
        <w:rPr>
          <w:lang w:val="en_US" w:bidi="en_US"/>
        </w:rPr>
        <w:t>Instructions to Guests and to a Host</w:t>
      </w:r>
    </w:p>
    <w:p>
      <w:pPr>
        <w:pStyle w:val="Heading5"/>
      </w:pPr>
      <w:r>
        <w:rPr>
          <w:lang w:val="en_US" w:bidi="en_US"/>
        </w:rPr>
        <w:t>14:8a</w:t>
      </w:r>
    </w:p>
    <w:p>
      <w:pPr/>
      <w:r>
        <w:rPr>
          <w:lang w:val="en_US" w:bidi="en_US"/>
        </w:rPr>
      </w:r>
      <w:r>
        <w:rPr>
          <w:b/>
          <w:lang w:val="en_US" w:bidi="en_US"/>
        </w:rPr>
        <w:t>“When you are invited to a wedding banquet,</w:t>
      </w:r>
    </w:p>
    <w:p>
      <w:pPr>
        <w:pStyle w:val="ListBullet"/>
        <w:spacing w:line="240" w:lineRule="auto"/>
        <w:ind w:left="720"/>
      </w:pPr>
      <w:r>
        <w:rPr>
          <w:lang w:val="en_US" w:bidi="en_US"/>
        </w:rPr>
      </w:r>
      <w:r>
        <w:rPr>
          <w:lang w:val="en_US" w:bidi="en_US"/>
        </w:rPr>
        <w:t>“When someone invites you</w:t>
      </w:r>
      <w:r>
        <w:rPr>
          <w:vertAlign w:val="superscript"/>
          <w:lang w:val="en_US" w:bidi="en_US"/>
        </w:rPr>
        <w:t>(sing)</w:t>
      </w:r>
      <w:r>
        <w:rPr>
          <w:lang w:val="en_US" w:bidi="en_US"/>
        </w:rPr>
        <w:t xml:space="preserve"> to go to a wedding feast/banquet,</w:t>
      </w:r>
    </w:p>
    <w:p>
      <w:pPr>
        <w:pStyle w:val="ListBullet"/>
        <w:spacing w:line="240" w:lineRule="auto"/>
        <w:ind w:left="720"/>
      </w:pPr>
      <w:r>
        <w:rPr>
          <w:lang w:val="en_US" w:bidi="en_US"/>
        </w:rPr>
      </w:r>
      <w:r>
        <w:rPr>
          <w:lang w:val="en_US" w:bidi="en_US"/>
        </w:rPr>
        <w:t>“If one of you</w:t>
      </w:r>
      <w:r>
        <w:rPr>
          <w:vertAlign w:val="superscript"/>
          <w:lang w:val="en_US" w:bidi="en_US"/>
        </w:rPr>
        <w:t>(plur)</w:t>
      </w:r>
      <w:r>
        <w:rPr>
          <w:lang w:val="en_US" w:bidi="en_US"/>
        </w:rPr>
        <w:t xml:space="preserve"> receives an invitation to a feast/celebration,</w:t>
      </w:r>
    </w:p>
    <w:p>
      <w:pPr/>
      <w:r>
        <w:rPr>
          <w:lang w:val="en_US" w:bidi="en_US"/>
        </w:rPr>
      </w:r>
      <w:r>
        <w:rPr>
          <w:b/>
          <w:lang w:val="en_US" w:bidi="en_US"/>
        </w:rPr>
        <w:t>When you are invited to a wedding banquet:</w:t>
      </w:r>
      <w:r>
        <w:rPr>
          <w:lang w:val="en_US" w:bidi="en_US"/>
        </w:rPr>
        <w:t xml:space="preserve"> In Greek this clause is passive. If your language does not use passive verbs, you may want to use an active verb here. For example:</w:t>
      </w:r>
    </w:p>
    <w:p>
      <w:pPr/>
      <w:r>
        <w:rPr>
          <w:lang w:val="en_US" w:bidi="en_US"/>
        </w:rPr>
      </w:r>
      <w:r>
        <w:rPr>
          <w:lang w:val="en_US" w:bidi="en_US"/>
        </w:rPr>
        <w:t>When someone invites you to a wedding feast (NIV)</w:t>
      </w:r>
    </w:p>
    <w:p>
      <w:pPr/>
      <w:r>
        <w:rPr>
          <w:lang w:val="en_US" w:bidi="en_US"/>
        </w:rPr>
      </w:r>
      <w:r>
        <w:rPr>
          <w:lang w:val="en_US" w:bidi="en_US"/>
        </w:rPr>
        <w:t>The context implies that when someone is invited to a feast, they will accept the invitation and attend the feast. In some languages it may be necessary to make this explicit. For example:</w:t>
      </w:r>
    </w:p>
    <w:p>
      <w:pPr/>
      <w:r>
        <w:rPr>
          <w:lang w:val="en_US" w:bidi="en_US"/>
        </w:rPr>
      </w:r>
      <w:r>
        <w:rPr>
          <w:lang w:val="en_US" w:bidi="en_US"/>
        </w:rPr>
        <w:t xml:space="preserve">Suppose someone invites you to a wedding feast. </w:t>
      </w:r>
      <w:r>
        <w:rPr>
          <w:lang w:val="en_US" w:bidi="en_US"/>
        </w:rPr>
        <w:t>When you arrive at the feast</w:t>
      </w:r>
      <w:r>
        <w:rPr>
          <w:lang w:val="en_US" w:bidi="en_US"/>
        </w:rPr>
        <w:t>…</w:t>
      </w:r>
    </w:p>
    <w:p>
      <w:pPr/>
      <w:r>
        <w:rPr>
          <w:lang w:val="en_US" w:bidi="en_US"/>
        </w:rPr>
      </w:r>
      <w:r>
        <w:rPr>
          <w:b/>
          <w:lang w:val="en_US" w:bidi="en_US"/>
        </w:rPr>
        <w:t>you:</w:t>
      </w:r>
      <w:r>
        <w:rPr>
          <w:lang w:val="en_US" w:bidi="en_US"/>
        </w:rPr>
        <w:t xml:space="preserve"> In Greek Jesus used a singular form here. This implied that he was referring to any of his listeners. He wanted each of them to think about himself and his own actions. In some languages, it is natural for a person who gives advice in this kind of situation to use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Use a pronoun that is appropriate for your own language throughout this section (14:8–10).</w:t>
      </w:r>
      <w:r>
        <w:rPr>
          <w:lang w:val="en_US" w:bidi="en_US"/>
        </w:rPr>
        <w:t>See the Western Bukidnon Manobo back translation on TW for an example of using we</w:t>
      </w:r>
      <w:r>
        <w:rPr>
          <w:vertAlign w:val="superscript"/>
          <w:lang w:val="en_US" w:bidi="en_US"/>
        </w:rPr>
        <w:t>(dual)</w:t>
      </w:r>
      <w:r>
        <w:rPr>
          <w:lang w:val="en_US" w:bidi="en_US"/>
        </w:rPr>
        <w:t xml:space="preserve"> in 14:8–10.</w:t>
      </w:r>
    </w:p>
    <w:p>
      <w:pPr/>
      <w:r>
        <w:rPr>
          <w:lang w:val="en_US" w:bidi="en_US"/>
        </w:rPr>
      </w:r>
      <w:r>
        <w:rPr>
          <w:b/>
          <w:lang w:val="en_US" w:bidi="en_US"/>
        </w:rPr>
        <w:t>a wedding banquet:</w:t>
      </w:r>
      <w:r>
        <w:rPr>
          <w:lang w:val="en_US" w:bidi="en_US"/>
        </w:rPr>
        <w:t xml:space="preserve"> Among the Jews, when a man and a woman got married, their families held a feast to celebrate the wedding. Jesus may have specified </w:t>
      </w:r>
      <w:r>
        <w:rPr>
          <w:i/>
          <w:lang w:val="en_US" w:bidi="en_US"/>
        </w:rPr>
        <w:t>a wedding banquet</w:t>
      </w:r>
      <w:r>
        <w:rPr>
          <w:lang w:val="en_US" w:bidi="en_US"/>
        </w:rPr>
        <w:t xml:space="preserve"> because such feasts were formal events at which guests were seated according to their importance. Jesus did not mean that his advice was limited only to wedding feasts. If that would be the implication in your language, you may use a more general expression. For example:</w:t>
      </w:r>
    </w:p>
    <w:p>
      <w:pPr/>
      <w:r>
        <w:rPr>
          <w:lang w:val="en_US" w:bidi="en_US"/>
        </w:rPr>
      </w:r>
      <w:r>
        <w:rPr>
          <w:lang w:val="en_US" w:bidi="en_US"/>
        </w:rPr>
        <w:t>a feast</w:t>
      </w:r>
    </w:p>
    <w:p>
      <w:pPr/>
      <w:r>
        <w:rPr>
          <w:lang w:val="en_US" w:bidi="en_US"/>
        </w:rPr>
      </w:r>
      <w:r>
        <w:rPr>
          <w:lang w:val="en_US" w:bidi="en_US"/>
        </w:rPr>
        <w:t>an important celebration</w:t>
      </w:r>
    </w:p>
    <w:p>
      <w:pPr>
        <w:pStyle w:val="Heading5"/>
      </w:pPr>
      <w:r>
        <w:rPr>
          <w:lang w:val="en_US" w:bidi="en_US"/>
        </w:rPr>
        <w:t>14:8b</w:t>
      </w:r>
    </w:p>
    <w:p>
      <w:pPr/>
      <w:r>
        <w:rPr>
          <w:lang w:val="en_US" w:bidi="en_US"/>
        </w:rPr>
      </w:r>
      <w:r>
        <w:rPr>
          <w:b/>
          <w:lang w:val="en_US" w:bidi="en_US"/>
        </w:rPr>
        <w:t>do not sit in the place of honor,</w:t>
      </w:r>
    </w:p>
    <w:p>
      <w:pPr>
        <w:pStyle w:val="ListBullet"/>
        <w:spacing w:line="240" w:lineRule="auto"/>
        <w:ind w:left="720"/>
      </w:pPr>
      <w:r>
        <w:rPr>
          <w:lang w:val="en_US" w:bidi="en_US"/>
        </w:rPr>
      </w:r>
      <w:r>
        <w:rPr>
          <w:lang w:val="en_US" w:bidi="en_US"/>
        </w:rPr>
        <w:t xml:space="preserve">do not choose </w:t>
      </w:r>
      <w:r>
        <w:rPr>
          <w:lang w:val="en_US" w:bidi="en_US"/>
        </w:rPr>
        <w:t>for yourself</w:t>
      </w:r>
      <w:r>
        <w:rPr>
          <w:vertAlign w:val="superscript"/>
          <w:lang w:val="en_US" w:bidi="en_US"/>
        </w:rPr>
        <w:t>(sing)</w:t>
      </w:r>
      <w:r>
        <w:rPr>
          <w:lang w:val="en_US" w:bidi="en_US"/>
        </w:rPr>
        <w:t xml:space="preserve"> one of the important places </w:t>
      </w:r>
      <w:r>
        <w:rPr>
          <w:lang w:val="en_US" w:bidi="en_US"/>
        </w:rPr>
        <w:t>to sit</w:t>
      </w:r>
      <w:r>
        <w:rPr>
          <w:lang w:val="en_US" w:bidi="en_US"/>
        </w:rPr>
        <w:t>,</w:t>
      </w:r>
    </w:p>
    <w:p>
      <w:pPr>
        <w:pStyle w:val="ListBullet"/>
        <w:spacing w:line="240" w:lineRule="auto"/>
        <w:ind w:left="720"/>
      </w:pPr>
      <w:r>
        <w:rPr>
          <w:lang w:val="en_US" w:bidi="en_US"/>
        </w:rPr>
      </w:r>
      <w:r>
        <w:rPr>
          <w:lang w:val="en_US" w:bidi="en_US"/>
        </w:rPr>
        <w:t xml:space="preserve">do not </w:t>
      </w:r>
      <w:r>
        <w:rPr>
          <w:lang w:val="en_US" w:bidi="en_US"/>
        </w:rPr>
        <w:t>go and</w:t>
      </w:r>
      <w:r>
        <w:rPr>
          <w:lang w:val="en_US" w:bidi="en_US"/>
        </w:rPr>
        <w:t xml:space="preserve"> sit in the best seat.</w:t>
      </w:r>
    </w:p>
    <w:p>
      <w:pPr/>
      <w:r>
        <w:rPr>
          <w:lang w:val="en_US" w:bidi="en_US"/>
        </w:rPr>
      </w:r>
      <w:r>
        <w:rPr>
          <w:b/>
          <w:lang w:val="en_US" w:bidi="en_US"/>
        </w:rPr>
        <w:t>do not sit in:</w:t>
      </w:r>
      <w:r>
        <w:rPr>
          <w:lang w:val="en_US" w:bidi="en_US"/>
        </w:rPr>
        <w:t xml:space="preserve"> The Greek phrase that the BSB translates as </w:t>
      </w:r>
      <w:r>
        <w:rPr>
          <w:i/>
          <w:lang w:val="en_US" w:bidi="en_US"/>
        </w:rPr>
        <w:t>do not sit in</w:t>
      </w:r>
      <w:r>
        <w:rPr>
          <w:lang w:val="en_US" w:bidi="en_US"/>
        </w:rPr>
        <w:t xml:space="preserve"> is literally “do not recline at.” See the note at 11:37c, where the same word occurs. Jesus advised them here that they should not choose to sit/recline in a place of honor. Another way to translate this is:</w:t>
      </w:r>
    </w:p>
    <w:p>
      <w:pPr/>
      <w:r>
        <w:rPr>
          <w:lang w:val="en_US" w:bidi="en_US"/>
        </w:rPr>
      </w:r>
      <w:r>
        <w:rPr>
          <w:lang w:val="en_US" w:bidi="en_US"/>
        </w:rPr>
        <w:t>do not sit down in (REB)</w:t>
      </w:r>
    </w:p>
    <w:p>
      <w:pPr/>
      <w:r>
        <w:rPr>
          <w:lang w:val="en_US" w:bidi="en_US"/>
        </w:rPr>
      </w:r>
      <w:r>
        <w:rPr>
          <w:b/>
          <w:lang w:val="en_US" w:bidi="en_US"/>
        </w:rPr>
        <w:t>the place of honor:</w:t>
      </w:r>
      <w:r>
        <w:rPr>
          <w:lang w:val="en_US" w:bidi="en_US"/>
        </w:rPr>
        <w:t xml:space="preserve"> This same phrase is plural in 14:7a (“places of honor”). There was probably more than one place of honor at weddings as well. So you could also translate this phrase as:</w:t>
      </w:r>
    </w:p>
    <w:p>
      <w:pPr/>
      <w:r>
        <w:rPr>
          <w:lang w:val="en_US" w:bidi="en_US"/>
        </w:rPr>
      </w:r>
      <w:r>
        <w:rPr>
          <w:lang w:val="en_US" w:bidi="en_US"/>
        </w:rPr>
        <w:t>one of the places of honor</w:t>
      </w:r>
    </w:p>
    <w:p>
      <w:pPr>
        <w:pStyle w:val="Heading5"/>
      </w:pPr>
      <w:r>
        <w:rPr>
          <w:lang w:val="en_US" w:bidi="en_US"/>
        </w:rPr>
        <w:t>14:8c–9</w:t>
      </w:r>
    </w:p>
    <w:p>
      <w:pPr/>
      <w:r>
        <w:rPr>
          <w:lang w:val="en_US" w:bidi="en_US"/>
        </w:rPr>
      </w:r>
      <w:r>
        <w:rPr>
          <w:b/>
          <w:lang w:val="en_US" w:bidi="en_US"/>
        </w:rPr>
        <w:t>in case…Then…And:</w:t>
      </w:r>
      <w:r>
        <w:rPr>
          <w:lang w:val="en_US" w:bidi="en_US"/>
        </w:rPr>
        <w:t xml:space="preserve"> The Greek conjunction that the BSB translates as </w:t>
      </w:r>
      <w:r>
        <w:rPr>
          <w:i/>
          <w:lang w:val="en_US" w:bidi="en_US"/>
        </w:rPr>
        <w:t>in case</w:t>
      </w:r>
      <w:r>
        <w:rPr>
          <w:lang w:val="en_US" w:bidi="en_US"/>
        </w:rPr>
        <w:t xml:space="preserve"> is more literally “lest.” Usually, it introduces a “negative purpose” (</w:t>
      </w:r>
      <w:r>
        <w:rPr>
          <w:u w:val="single"/>
          <w:lang w:val="en_US" w:bidi="en_US"/>
        </w:rPr>
        <w:t>so that</w:t>
      </w:r>
      <w:r>
        <w:rPr>
          <w:lang w:val="en_US" w:bidi="en_US"/>
        </w:rPr>
        <w:t xml:space="preserve"> something would </w:t>
      </w:r>
      <w:r>
        <w:rPr>
          <w:u w:val="single"/>
          <w:lang w:val="en_US" w:bidi="en_US"/>
        </w:rPr>
        <w:t>not</w:t>
      </w:r>
      <w:r>
        <w:rPr>
          <w:lang w:val="en_US" w:bidi="en_US"/>
        </w:rPr>
        <w:t xml:space="preserve"> happen). Here it introduces something bad that might happen to a guest if he did not follow Jesus’ advice in 14:8b. He might be shamed. For example:</w:t>
      </w:r>
    </w:p>
    <w:p>
      <w:pPr/>
      <w:r>
        <w:rPr>
          <w:lang w:val="en_US" w:bidi="en_US"/>
        </w:rPr>
      </w:r>
      <w:r>
        <w:rPr>
          <w:u w:val="single"/>
          <w:lang w:val="en_US" w:bidi="en_US"/>
        </w:rPr>
        <w:t>lest</w:t>
      </w:r>
      <w:r>
        <w:rPr>
          <w:lang w:val="en_US" w:bidi="en_US"/>
        </w:rPr>
        <w:t xml:space="preserve"> a more eminent man than you be invited by him </w:t>
      </w:r>
      <w:r>
        <w:rPr>
          <w:u w:val="single"/>
          <w:lang w:val="en_US" w:bidi="en_US"/>
        </w:rPr>
        <w:t>and</w:t>
      </w:r>
      <w:r>
        <w:rPr>
          <w:lang w:val="en_US" w:bidi="en_US"/>
        </w:rPr>
        <w:t xml:space="preserve"> he who invited you both will come and say to you “Give place to this man,” </w:t>
      </w:r>
      <w:r>
        <w:rPr>
          <w:u w:val="single"/>
          <w:lang w:val="en_US" w:bidi="en_US"/>
        </w:rPr>
        <w:t>and then</w:t>
      </w:r>
      <w:r>
        <w:rPr>
          <w:lang w:val="en_US" w:bidi="en_US"/>
        </w:rPr>
        <w:t xml:space="preserve"> you will begin with shame to take the lowest place. (RSV)</w:t>
      </w:r>
    </w:p>
    <w:p>
      <w:pPr/>
      <w:r>
        <w:rPr>
          <w:lang w:val="en_US" w:bidi="en_US"/>
        </w:rPr>
      </w:r>
      <w:r>
        <w:rPr>
          <w:lang w:val="en_US" w:bidi="en_US"/>
        </w:rPr>
        <w:t>Two events that might happen were mentioned following the conjunctions “in case” and “Then.” The phrase “And in humiliation” introduces the result of these events. So another way to translate this is:</w:t>
      </w:r>
    </w:p>
    <w:p>
      <w:pPr/>
      <w:r>
        <w:rPr>
          <w:lang w:val="en_US" w:bidi="en_US"/>
        </w:rPr>
      </w:r>
      <w:r>
        <w:rPr>
          <w:lang w:val="en_US" w:bidi="en_US"/>
        </w:rPr>
        <w:t xml:space="preserve">It could happen that someone more important than you has been invited, </w:t>
      </w:r>
      <w:r>
        <w:rPr>
          <w:u w:val="single"/>
          <w:lang w:val="en_US" w:bidi="en_US"/>
        </w:rPr>
        <w:t>and</w:t>
      </w:r>
      <w:r>
        <w:rPr>
          <w:lang w:val="en_US" w:bidi="en_US"/>
        </w:rPr>
        <w:t xml:space="preserve"> your host, who invited both of you, would have to come and say to you, “Let him have this place.” </w:t>
      </w:r>
      <w:r>
        <w:rPr>
          <w:u w:val="single"/>
          <w:lang w:val="en_US" w:bidi="en_US"/>
        </w:rPr>
        <w:t>Then</w:t>
      </w:r>
      <w:r>
        <w:rPr>
          <w:lang w:val="en_US" w:bidi="en_US"/>
        </w:rPr>
        <w:t xml:space="preserve"> you would be embarrassed and have to sit in the lowest place. (GNT)</w:t>
      </w:r>
    </w:p>
    <w:p>
      <w:pPr/>
      <w:r>
        <w:rPr>
          <w:lang w:val="en_US" w:bidi="en_US"/>
        </w:rPr>
      </w:r>
      <w:r>
        <w:rPr>
          <w:lang w:val="en_US" w:bidi="en_US"/>
        </w:rPr>
        <w:t>In the examples above and below, notice the conjunctions and verbs that are used in English. In some languages special verb forms, conjunctions, or affixes are used for situations like this. For example:</w:t>
      </w:r>
    </w:p>
    <w:p>
      <w:pPr/>
      <w:r>
        <w:rPr>
          <w:lang w:val="en_US" w:bidi="en_US"/>
        </w:rPr>
      </w:r>
      <w:r>
        <w:rPr>
          <w:lang w:val="en_US" w:bidi="en_US"/>
        </w:rPr>
        <w:t xml:space="preserve">A more distinguished person than you </w:t>
      </w:r>
      <w:r>
        <w:rPr>
          <w:u w:val="single"/>
          <w:lang w:val="en_US" w:bidi="en_US"/>
        </w:rPr>
        <w:t>may have been invited</w:t>
      </w:r>
      <w:r>
        <w:rPr>
          <w:lang w:val="en_US" w:bidi="en_US"/>
        </w:rPr>
        <w:t xml:space="preserve"> and the person who invited you both </w:t>
      </w:r>
      <w:r>
        <w:rPr>
          <w:u w:val="single"/>
          <w:lang w:val="en_US" w:bidi="en_US"/>
        </w:rPr>
        <w:t>may come and say</w:t>
      </w:r>
      <w:r>
        <w:rPr>
          <w:lang w:val="en_US" w:bidi="en_US"/>
        </w:rPr>
        <w:t xml:space="preserve">, “Give up your place to this man.” And then, to your embarrassment, </w:t>
      </w:r>
      <w:r>
        <w:rPr>
          <w:u w:val="single"/>
          <w:lang w:val="en_US" w:bidi="en_US"/>
        </w:rPr>
        <w:t>you will have to go and take</w:t>
      </w:r>
      <w:r>
        <w:rPr>
          <w:lang w:val="en_US" w:bidi="en_US"/>
        </w:rPr>
        <w:t xml:space="preserve"> the lowest place. (NJB)</w:t>
      </w:r>
    </w:p>
    <w:p>
      <w:pPr/>
      <w:r>
        <w:rPr>
          <w:lang w:val="en_US" w:bidi="en_US"/>
        </w:rPr>
      </w:r>
      <w:r>
        <w:rPr>
          <w:lang w:val="en_US" w:bidi="en_US"/>
        </w:rPr>
        <w:t>Express this situation in a natural way in your language.</w:t>
      </w:r>
    </w:p>
    <w:p>
      <w:pPr>
        <w:pStyle w:val="Heading5"/>
      </w:pPr>
      <w:r>
        <w:rPr>
          <w:lang w:val="en_US" w:bidi="en_US"/>
        </w:rPr>
        <w:t>14:8c</w:t>
      </w:r>
    </w:p>
    <w:p>
      <w:pPr/>
      <w:r>
        <w:rPr>
          <w:lang w:val="en_US" w:bidi="en_US"/>
        </w:rPr>
      </w:r>
      <w:r>
        <w:rPr>
          <w:b/>
          <w:lang w:val="en_US" w:bidi="en_US"/>
        </w:rPr>
        <w:t>in case someone more distinguished than you has been invited.</w:t>
      </w:r>
    </w:p>
    <w:p>
      <w:pPr>
        <w:pStyle w:val="ListBullet"/>
        <w:spacing w:line="240" w:lineRule="auto"/>
        <w:ind w:left="720"/>
      </w:pPr>
      <w:r>
        <w:rPr>
          <w:lang w:val="en_US" w:bidi="en_US"/>
        </w:rPr>
      </w:r>
      <w:r>
        <w:rPr>
          <w:lang w:val="en_US" w:bidi="en_US"/>
        </w:rPr>
        <w:t>because another person who is more important than you</w:t>
      </w:r>
      <w:r>
        <w:rPr>
          <w:vertAlign w:val="superscript"/>
          <w:lang w:val="en_US" w:bidi="en_US"/>
        </w:rPr>
        <w:t>(sing)</w:t>
      </w:r>
      <w:r>
        <w:rPr>
          <w:lang w:val="en_US" w:bidi="en_US"/>
        </w:rPr>
        <w:t xml:space="preserve"> may </w:t>
      </w:r>
      <w:r>
        <w:rPr>
          <w:lang w:val="en_US" w:bidi="en_US"/>
        </w:rPr>
        <w:t>also</w:t>
      </w:r>
      <w:r>
        <w:rPr>
          <w:lang w:val="en_US" w:bidi="en_US"/>
        </w:rPr>
        <w:t xml:space="preserve"> have been invited.</w:t>
      </w:r>
    </w:p>
    <w:p>
      <w:pPr>
        <w:pStyle w:val="ListBullet"/>
        <w:spacing w:line="240" w:lineRule="auto"/>
        <w:ind w:left="720"/>
      </w:pPr>
      <w:r>
        <w:rPr>
          <w:lang w:val="en_US" w:bidi="en_US"/>
        </w:rPr>
      </w:r>
      <w:r>
        <w:rPr>
          <w:lang w:val="en_US" w:bidi="en_US"/>
        </w:rPr>
        <w:t>The host may have invited someone whose status/rank is higher than yours.</w:t>
      </w:r>
    </w:p>
    <w:p>
      <w:pPr/>
      <w:r>
        <w:rPr>
          <w:lang w:val="en_US" w:bidi="en_US"/>
        </w:rPr>
      </w:r>
      <w:r>
        <w:rPr>
          <w:b/>
          <w:lang w:val="en_US" w:bidi="en_US"/>
        </w:rPr>
        <w:t>someone more distinguished than you has been invited:</w:t>
      </w:r>
      <w:r>
        <w:rPr>
          <w:lang w:val="en_US" w:bidi="en_US"/>
        </w:rPr>
        <w:t xml:space="preserve"> The verb that the BSB translates as </w:t>
      </w:r>
      <w:r>
        <w:rPr>
          <w:i/>
          <w:lang w:val="en_US" w:bidi="en_US"/>
        </w:rPr>
        <w:t>has been invited</w:t>
      </w:r>
      <w:r>
        <w:rPr>
          <w:lang w:val="en_US" w:bidi="en_US"/>
        </w:rPr>
        <w:t xml:space="preserve"> is passive. If you need to use an active verb here and to supply a subject, the implied subject is “the host” (14:9a). For example:</w:t>
      </w:r>
    </w:p>
    <w:p>
      <w:pPr/>
      <w:r>
        <w:rPr>
          <w:lang w:val="en_US" w:bidi="en_US"/>
        </w:rPr>
      </w:r>
      <w:r>
        <w:rPr>
          <w:lang w:val="en_US" w:bidi="en_US"/>
        </w:rPr>
        <w:t xml:space="preserve">It may be that </w:t>
      </w:r>
      <w:r>
        <w:rPr>
          <w:lang w:val="en_US" w:bidi="en_US"/>
        </w:rPr>
        <w:t>the host</w:t>
      </w:r>
      <w:r>
        <w:rPr>
          <w:lang w:val="en_US" w:bidi="en_US"/>
        </w:rPr>
        <w:t xml:space="preserve"> has invited another person to the feast who is more important than you are.</w:t>
      </w:r>
    </w:p>
    <w:p>
      <w:pPr/>
      <w:r>
        <w:rPr>
          <w:lang w:val="en_US" w:bidi="en_US"/>
        </w:rPr>
      </w:r>
      <w:r>
        <w:rPr>
          <w:b/>
          <w:lang w:val="en_US" w:bidi="en_US"/>
        </w:rPr>
        <w:t>someone more distinguished than you:</w:t>
      </w:r>
      <w:r>
        <w:rPr>
          <w:lang w:val="en_US" w:bidi="en_US"/>
        </w:rPr>
        <w:t xml:space="preserve"> The phrase </w:t>
      </w:r>
      <w:r>
        <w:rPr>
          <w:i/>
          <w:lang w:val="en_US" w:bidi="en_US"/>
        </w:rPr>
        <w:t>someone more distinguished</w:t>
      </w:r>
      <w:r>
        <w:rPr>
          <w:lang w:val="en_US" w:bidi="en_US"/>
        </w:rPr>
        <w:t xml:space="preserve"> refers to a person of higher social status. Some other ways to translate it are:</w:t>
      </w:r>
    </w:p>
    <w:p>
      <w:pPr/>
      <w:r>
        <w:rPr>
          <w:lang w:val="en_US" w:bidi="en_US"/>
        </w:rPr>
      </w:r>
      <w:r>
        <w:rPr>
          <w:lang w:val="en_US" w:bidi="en_US"/>
        </w:rPr>
        <w:t>Someone more important (CEV)</w:t>
      </w:r>
    </w:p>
    <w:p>
      <w:pPr/>
      <w:r>
        <w:rPr>
          <w:lang w:val="en_US" w:bidi="en_US"/>
        </w:rPr>
      </w:r>
      <w:r>
        <w:rPr>
          <w:lang w:val="en_US" w:bidi="en_US"/>
        </w:rPr>
        <w:t xml:space="preserve">a person whom </w:t>
      </w:r>
      <w:r>
        <w:rPr>
          <w:lang w:val="en_US" w:bidi="en_US"/>
        </w:rPr>
        <w:t>people</w:t>
      </w:r>
      <w:r>
        <w:rPr>
          <w:lang w:val="en_US" w:bidi="en_US"/>
        </w:rPr>
        <w:t xml:space="preserve"> respect/honor more than you</w:t>
      </w:r>
    </w:p>
    <w:p>
      <w:pPr/>
      <w:r>
        <w:rPr>
          <w:lang w:val="en_US" w:bidi="en_US"/>
        </w:rPr>
      </w:r>
      <w:r>
        <w:rPr>
          <w:lang w:val="en_US" w:bidi="en_US"/>
        </w:rPr>
        <w:t>a very prominent/eminent person</w:t>
      </w:r>
      <w:r>
        <w:rPr>
          <w:lang w:val="en_US" w:bidi="en_US"/>
        </w:rPr>
      </w:r>
      <w:r>
        <w:rPr>
          <w:lang w:val="en_US" w:bidi="en_US"/>
        </w:rPr>
      </w:r>
    </w:p>
    <w:p>
      <w:pPr/>
      <w:r>
        <w:rPr>
          <w:lang w:val="en_US" w:bidi="en_US"/>
        </w:rPr>
      </w:r>
    </w:p>
    <w:p>
      <w:pPr>
        <w:pStyle w:val="Heading2"/>
      </w:pPr>
      <w:r>
        <w:rPr>
          <w:lang w:val="en_US" w:bidi="en_US"/>
        </w:rPr>
        <w:t>Luke 14:9</w:t>
      </w:r>
      <w:r>
        <w:rPr>
          <w:lang w:val="en_US" w:bidi="en_US"/>
        </w:rPr>
      </w:r>
    </w:p>
    <w:p>
      <w:pPr>
        <w:pStyle w:val="Heading4"/>
      </w:pPr>
      <w:r>
        <w:rPr>
          <w:lang w:val="en_US" w:bidi="en_US"/>
        </w:rPr>
        <w:t>Section 14:7–14: Jesus gave advice to the other guests and to his host</w:t>
      </w:r>
    </w:p>
    <w:p>
      <w:pPr/>
      <w:r>
        <w:rPr>
          <w:lang w:val="en_US" w:bidi="en_US"/>
        </w:rPr>
      </w:r>
      <w:r>
        <w:rPr>
          <w:lang w:val="en_US" w:bidi="en_US"/>
        </w:rPr>
        <w:t>In this section Jesus was still in the house of the Pharisee. He noticed that the other guests who came into the house were choosing positions of honor at the meal. He instructed them by means of a parable about wedding guests that they should be humble and not seek their own honor (14:7–11). He then instructed the Pharisee who was their host to hold feasts for people who were poor. Poor people could not invite him to a feast in return, so God would reward him (14:12–14).</w:t>
      </w:r>
    </w:p>
    <w:p>
      <w:pPr/>
      <w:r>
        <w:rPr>
          <w:lang w:val="en_US" w:bidi="en_US"/>
        </w:rPr>
      </w:r>
      <w:r>
        <w:rPr>
          <w:lang w:val="en_US" w:bidi="en_US"/>
        </w:rPr>
        <w:t>Some other possible headings for this section are:</w:t>
      </w:r>
    </w:p>
    <w:p>
      <w:pPr/>
      <w:r>
        <w:rPr>
          <w:lang w:val="en_US" w:bidi="en_US"/>
        </w:rPr>
      </w:r>
      <w:r>
        <w:rPr>
          <w:lang w:val="en_US" w:bidi="en_US"/>
        </w:rPr>
        <w:t>Humility and Hospitality (GNT)</w:t>
      </w:r>
    </w:p>
    <w:p>
      <w:pPr/>
      <w:r>
        <w:rPr>
          <w:lang w:val="en_US" w:bidi="en_US"/>
        </w:rPr>
      </w:r>
      <w:r>
        <w:rPr>
          <w:lang w:val="en_US" w:bidi="en_US"/>
        </w:rPr>
        <w:t>Instructions to Guests and to a Host</w:t>
      </w:r>
    </w:p>
    <w:p>
      <w:pPr>
        <w:pStyle w:val="Heading5"/>
      </w:pPr>
      <w:r>
        <w:rPr>
          <w:lang w:val="en_US" w:bidi="en_US"/>
        </w:rPr>
        <w:t>14:9a–b</w:t>
      </w:r>
    </w:p>
    <w:p>
      <w:pPr/>
      <w:r>
        <w:rPr>
          <w:lang w:val="en_US" w:bidi="en_US"/>
        </w:rPr>
      </w:r>
      <w:r>
        <w:rPr>
          <w:lang w:val="en_US" w:bidi="en_US"/>
        </w:rPr>
        <w:t>In 14:9a–b Jesus quoted what the host might say to a person who chose an important seat. In some languages it may be more natural to use indirect speech for this quotation. For example:</w:t>
      </w:r>
    </w:p>
    <w:p>
      <w:pPr/>
      <w:r>
        <w:rPr>
          <w:lang w:val="en_US" w:bidi="en_US"/>
        </w:rPr>
      </w:r>
      <w:r>
        <w:rPr>
          <w:lang w:val="en_US" w:bidi="en_US"/>
        </w:rPr>
        <w:t xml:space="preserve">If that happens, the one who invited the two of you </w:t>
      </w:r>
      <w:r>
        <w:rPr>
          <w:lang w:val="en_US" w:bidi="en_US"/>
        </w:rPr>
        <w:t>to join in the feast</w:t>
      </w:r>
      <w:r>
        <w:rPr>
          <w:lang w:val="en_US" w:bidi="en_US"/>
        </w:rPr>
        <w:t xml:space="preserve"> will go to you and ask you to let the other man sit in your place.</w:t>
      </w:r>
    </w:p>
    <w:p>
      <w:pPr/>
      <w:r>
        <w:rPr>
          <w:lang w:val="en_US" w:bidi="en_US"/>
        </w:rPr>
      </w:r>
      <w:r>
        <w:rPr>
          <w:lang w:val="en_US" w:bidi="en_US"/>
        </w:rPr>
        <w:t>In this verse Jesus continued to use a singular form of “you” to refer to any of his listeners. You should continue to use the appropriate form in your language for this type of context. You may want to refer back to the note on “you” in 14:8a.</w:t>
      </w:r>
    </w:p>
    <w:p>
      <w:pPr>
        <w:pStyle w:val="Heading5"/>
      </w:pPr>
      <w:r>
        <w:rPr>
          <w:lang w:val="en_US" w:bidi="en_US"/>
        </w:rPr>
        <w:t>14:9a</w:t>
      </w:r>
    </w:p>
    <w:p>
      <w:pPr/>
      <w:r>
        <w:rPr>
          <w:lang w:val="en_US" w:bidi="en_US"/>
        </w:rPr>
      </w:r>
      <w:r>
        <w:rPr>
          <w:b/>
          <w:lang w:val="en_US" w:bidi="en_US"/>
        </w:rPr>
        <w:t>Then the host who invited both of you will come and tell you,</w:t>
      </w:r>
    </w:p>
    <w:p>
      <w:pPr>
        <w:pStyle w:val="ListBullet"/>
        <w:spacing w:line="240" w:lineRule="auto"/>
        <w:ind w:left="720"/>
      </w:pPr>
      <w:r>
        <w:rPr>
          <w:lang w:val="en_US" w:bidi="en_US"/>
        </w:rPr>
      </w:r>
      <w:r>
        <w:rPr>
          <w:lang w:val="en_US" w:bidi="en_US"/>
        </w:rPr>
        <w:t xml:space="preserve">If that </w:t>
      </w:r>
      <w:r>
        <w:rPr>
          <w:lang w:val="en_US" w:bidi="en_US"/>
        </w:rPr>
        <w:t>more important person arrives</w:t>
      </w:r>
      <w:r>
        <w:rPr>
          <w:lang w:val="en_US" w:bidi="en_US"/>
        </w:rPr>
        <w:t>, the host who invited you</w:t>
      </w:r>
      <w:r>
        <w:rPr>
          <w:vertAlign w:val="superscript"/>
          <w:lang w:val="en_US" w:bidi="en_US"/>
        </w:rPr>
        <w:t>(dual/plur)</w:t>
      </w:r>
      <w:r>
        <w:rPr>
          <w:lang w:val="en_US" w:bidi="en_US"/>
        </w:rPr>
        <w:t xml:space="preserve"> both will come to you</w:t>
      </w:r>
      <w:r>
        <w:rPr>
          <w:vertAlign w:val="superscript"/>
          <w:lang w:val="en_US" w:bidi="en_US"/>
        </w:rPr>
        <w:t>(sing)</w:t>
      </w:r>
      <w:r>
        <w:rPr>
          <w:lang w:val="en_US" w:bidi="en_US"/>
        </w:rPr>
        <w:t xml:space="preserve"> and say,</w:t>
      </w:r>
    </w:p>
    <w:p>
      <w:pPr>
        <w:pStyle w:val="ListBullet"/>
        <w:spacing w:line="240" w:lineRule="auto"/>
        <w:ind w:left="720"/>
      </w:pPr>
      <w:r>
        <w:rPr>
          <w:lang w:val="en_US" w:bidi="en_US"/>
        </w:rPr>
      </w:r>
      <w:r>
        <w:rPr>
          <w:lang w:val="en_US" w:bidi="en_US"/>
        </w:rPr>
        <w:t>And when that person comes, your host may approach you and say,</w:t>
      </w:r>
    </w:p>
    <w:p>
      <w:pPr>
        <w:pStyle w:val="ListBullet"/>
        <w:spacing w:line="240" w:lineRule="auto"/>
        <w:ind w:left="720"/>
      </w:pPr>
      <w:r>
        <w:rPr>
          <w:lang w:val="en_US" w:bidi="en_US"/>
        </w:rPr>
      </w:r>
      <w:r>
        <w:rPr>
          <w:lang w:val="en_US" w:bidi="en_US"/>
        </w:rPr>
        <w:t>If that happens, the one who invited the two of you to the banquet/celebration will go to you</w:t>
      </w:r>
      <w:r>
        <w:rPr>
          <w:vertAlign w:val="superscript"/>
          <w:lang w:val="en_US" w:bidi="en_US"/>
        </w:rPr>
        <w:t>(sing)</w:t>
      </w:r>
      <w:r>
        <w:rPr>
          <w:lang w:val="en_US" w:bidi="en_US"/>
        </w:rPr>
        <w:t xml:space="preserve"> and ask that you</w:t>
      </w:r>
    </w:p>
    <w:p>
      <w:pPr/>
      <w:r>
        <w:rPr>
          <w:lang w:val="en_US" w:bidi="en_US"/>
        </w:rPr>
      </w:r>
      <w:r>
        <w:rPr>
          <w:b/>
          <w:lang w:val="en_US" w:bidi="en_US"/>
        </w:rPr>
        <w:t>Then:</w:t>
      </w:r>
      <w:r>
        <w:rPr>
          <w:lang w:val="en_US" w:bidi="en_US"/>
        </w:rPr>
        <w:t xml:space="preserve"> In Greek this verse begins with the conjunction that is often translated as “and.” It introduces what might happen if a more important guest arrived in 14:8. The BSB has translated this conjunction as </w:t>
      </w:r>
      <w:r>
        <w:rPr>
          <w:i/>
          <w:lang w:val="en_US" w:bidi="en_US"/>
        </w:rPr>
        <w:t>Then</w:t>
      </w:r>
      <w:r>
        <w:rPr>
          <w:lang w:val="en_US" w:bidi="en_US"/>
        </w:rPr>
        <w:t xml:space="preserve"> as one natural way in English to express this connection. Use a natural way in your language to express this. See the note on 14:8c–9 for other suggestions.</w:t>
      </w:r>
    </w:p>
    <w:p>
      <w:pPr/>
      <w:r>
        <w:rPr>
          <w:lang w:val="en_US" w:bidi="en_US"/>
        </w:rPr>
      </w:r>
      <w:r>
        <w:rPr>
          <w:b/>
          <w:lang w:val="en_US" w:bidi="en_US"/>
        </w:rPr>
        <w:t>the host who invited:</w:t>
      </w:r>
      <w:r>
        <w:rPr>
          <w:lang w:val="en_US" w:bidi="en_US"/>
        </w:rPr>
        <w:t xml:space="preserve"> The Greek word that the BSB translates as </w:t>
      </w:r>
      <w:r>
        <w:rPr>
          <w:i/>
          <w:lang w:val="en_US" w:bidi="en_US"/>
        </w:rPr>
        <w:t>host</w:t>
      </w:r>
      <w:r>
        <w:rPr>
          <w:lang w:val="en_US" w:bidi="en_US"/>
        </w:rPr>
        <w:t xml:space="preserve"> is literally “(one) having-invited.” It refers to the man who decided to give the feast and invite all the guests. The BSB has used the word </w:t>
      </w:r>
      <w:r>
        <w:rPr>
          <w:i/>
          <w:lang w:val="en_US" w:bidi="en_US"/>
        </w:rPr>
        <w:t>host</w:t>
      </w:r>
      <w:r>
        <w:rPr>
          <w:lang w:val="en_US" w:bidi="en_US"/>
        </w:rPr>
        <w:t xml:space="preserve"> because that is an appropriate term in English. In other languages there may be different expressions to refer to this person. For example:</w:t>
      </w:r>
    </w:p>
    <w:p>
      <w:pPr/>
      <w:r>
        <w:rPr>
          <w:lang w:val="en_US" w:bidi="en_US"/>
        </w:rPr>
      </w:r>
      <w:r>
        <w:rPr>
          <w:lang w:val="en_US" w:bidi="en_US"/>
        </w:rPr>
        <w:t>your host (GNT)</w:t>
      </w:r>
    </w:p>
    <w:p>
      <w:pPr/>
      <w:r>
        <w:rPr>
          <w:lang w:val="en_US" w:bidi="en_US"/>
        </w:rPr>
      </w:r>
      <w:r>
        <w:rPr>
          <w:lang w:val="en_US" w:bidi="en_US"/>
        </w:rPr>
        <w:t>the one who invited you (CEV)</w:t>
      </w:r>
    </w:p>
    <w:p>
      <w:pPr/>
      <w:r>
        <w:rPr>
          <w:lang w:val="en_US" w:bidi="en_US"/>
        </w:rPr>
      </w:r>
      <w:r>
        <w:rPr>
          <w:lang w:val="en_US" w:bidi="en_US"/>
        </w:rPr>
        <w:t>the house owner</w:t>
      </w:r>
    </w:p>
    <w:p>
      <w:pPr/>
      <w:r>
        <w:rPr>
          <w:lang w:val="en_US" w:bidi="en_US"/>
        </w:rPr>
      </w:r>
      <w:r>
        <w:rPr>
          <w:lang w:val="en_US" w:bidi="en_US"/>
        </w:rPr>
        <w:t>the one who gave the feast</w:t>
      </w:r>
    </w:p>
    <w:p>
      <w:pPr/>
      <w:r>
        <w:rPr>
          <w:lang w:val="en_US" w:bidi="en_US"/>
        </w:rPr>
      </w:r>
      <w:r>
        <w:rPr>
          <w:b/>
          <w:lang w:val="en_US" w:bidi="en_US"/>
        </w:rPr>
        <w:t>both of you:</w:t>
      </w:r>
      <w:r>
        <w:rPr>
          <w:lang w:val="en_US" w:bidi="en_US"/>
        </w:rPr>
        <w:t xml:space="preserve"> The phrase </w:t>
      </w:r>
      <w:r>
        <w:rPr>
          <w:i/>
          <w:lang w:val="en_US" w:bidi="en_US"/>
        </w:rPr>
        <w:t>both of you</w:t>
      </w:r>
      <w:r>
        <w:rPr>
          <w:lang w:val="en_US" w:bidi="en_US"/>
        </w:rPr>
        <w:t xml:space="preserve"> means “you</w:t>
      </w:r>
      <w:r>
        <w:rPr>
          <w:vertAlign w:val="superscript"/>
          <w:lang w:val="en_US" w:bidi="en_US"/>
        </w:rPr>
        <w:t>(sing)</w:t>
      </w:r>
      <w:r>
        <w:rPr>
          <w:lang w:val="en_US" w:bidi="en_US"/>
        </w:rPr>
        <w:t xml:space="preserve"> and the more distinguished guest.” Notice that these were not the only two guests. They were just two guests among many others.</w:t>
      </w:r>
    </w:p>
    <w:p>
      <w:pPr/>
      <w:r>
        <w:rPr>
          <w:lang w:val="en_US" w:bidi="en_US"/>
        </w:rPr>
      </w:r>
      <w:r>
        <w:rPr>
          <w:b/>
          <w:lang w:val="en_US" w:bidi="en_US"/>
        </w:rPr>
        <w:t>will come and tell you:</w:t>
      </w:r>
      <w:r>
        <w:rPr>
          <w:lang w:val="en_US" w:bidi="en_US"/>
        </w:rPr>
        <w:t xml:space="preserve"> Languages use the verbs “come” and “go” in different ways. Consider whether it may be more natural in this context to say “will go to you.”</w:t>
      </w:r>
    </w:p>
    <w:p>
      <w:pPr>
        <w:pStyle w:val="Heading5"/>
      </w:pPr>
      <w:r>
        <w:rPr>
          <w:lang w:val="en_US" w:bidi="en_US"/>
        </w:rPr>
        <w:t>14:9b</w:t>
      </w:r>
    </w:p>
    <w:p>
      <w:pPr/>
      <w:r>
        <w:rPr>
          <w:lang w:val="en_US" w:bidi="en_US"/>
        </w:rPr>
      </w:r>
      <w:r>
        <w:rPr>
          <w:b/>
          <w:lang w:val="en_US" w:bidi="en_US"/>
        </w:rPr>
        <w:t>‘Give this man your seat.’</w:t>
      </w:r>
    </w:p>
    <w:p>
      <w:pPr>
        <w:pStyle w:val="ListBullet"/>
        <w:spacing w:line="240" w:lineRule="auto"/>
        <w:ind w:left="720"/>
      </w:pPr>
      <w:r>
        <w:rPr>
          <w:lang w:val="en_US" w:bidi="en_US"/>
        </w:rPr>
      </w:r>
      <w:r>
        <w:rPr>
          <w:lang w:val="en_US" w:bidi="en_US"/>
        </w:rPr>
        <w:t>‘Let this man sit where you</w:t>
      </w:r>
      <w:r>
        <w:rPr>
          <w:vertAlign w:val="superscript"/>
          <w:lang w:val="en_US" w:bidi="en_US"/>
        </w:rPr>
        <w:t>(sing)</w:t>
      </w:r>
      <w:r>
        <w:rPr>
          <w:lang w:val="en_US" w:bidi="en_US"/>
        </w:rPr>
        <w:t xml:space="preserve"> are now sitting.’</w:t>
      </w:r>
    </w:p>
    <w:p>
      <w:pPr>
        <w:pStyle w:val="ListBullet"/>
        <w:spacing w:line="240" w:lineRule="auto"/>
        <w:ind w:left="720"/>
      </w:pPr>
      <w:r>
        <w:rPr>
          <w:lang w:val="en_US" w:bidi="en_US"/>
        </w:rPr>
      </w:r>
      <w:r>
        <w:rPr>
          <w:lang w:val="en_US" w:bidi="en_US"/>
        </w:rPr>
        <w:t>‘</w:t>
      </w:r>
      <w:r>
        <w:rPr>
          <w:lang w:val="en_US" w:bidi="en_US"/>
        </w:rPr>
        <w:t>Please</w:t>
      </w:r>
      <w:r>
        <w:rPr>
          <w:lang w:val="en_US" w:bidi="en_US"/>
        </w:rPr>
        <w:t xml:space="preserve"> sit in a different place so that this man can sit here.’</w:t>
      </w:r>
    </w:p>
    <w:p>
      <w:pPr>
        <w:pStyle w:val="ListBullet"/>
        <w:spacing w:line="240" w:lineRule="auto"/>
        <w:ind w:left="720"/>
      </w:pPr>
      <w:r>
        <w:rPr>
          <w:lang w:val="en_US" w:bidi="en_US"/>
        </w:rPr>
      </w:r>
      <w:r>
        <w:rPr>
          <w:lang w:val="en_US" w:bidi="en_US"/>
        </w:rPr>
        <w:t>allow the other man to take your</w:t>
      </w:r>
      <w:r>
        <w:rPr>
          <w:vertAlign w:val="superscript"/>
          <w:lang w:val="en_US" w:bidi="en_US"/>
        </w:rPr>
        <w:t>(sing)</w:t>
      </w:r>
      <w:r>
        <w:rPr>
          <w:lang w:val="en_US" w:bidi="en_US"/>
        </w:rPr>
        <w:t xml:space="preserve"> place.</w:t>
      </w:r>
    </w:p>
    <w:p>
      <w:pPr/>
      <w:r>
        <w:rPr>
          <w:lang w:val="en_US" w:bidi="en_US"/>
        </w:rPr>
      </w:r>
      <w:r>
        <w:rPr>
          <w:b/>
          <w:lang w:val="en_US" w:bidi="en_US"/>
        </w:rPr>
        <w:t>Give this man your seat:</w:t>
      </w:r>
      <w:r>
        <w:rPr>
          <w:lang w:val="en_US" w:bidi="en_US"/>
        </w:rPr>
        <w:t xml:space="preserve"> In this context the clause </w:t>
      </w:r>
      <w:r>
        <w:rPr>
          <w:i/>
          <w:lang w:val="en_US" w:bidi="en_US"/>
        </w:rPr>
        <w:t>Give this man your seat</w:t>
      </w:r>
      <w:r>
        <w:rPr>
          <w:lang w:val="en_US" w:bidi="en_US"/>
        </w:rPr>
        <w:t xml:space="preserve"> means “Let this man sit where you are sitting.” It indicates that the host will tell the person to move to a different seat so that the more distinguished guest can sit in the seat of honor.</w:t>
      </w:r>
    </w:p>
    <w:p>
      <w:pPr/>
      <w:r>
        <w:rPr>
          <w:lang w:val="en_US" w:bidi="en_US"/>
        </w:rPr>
      </w:r>
      <w:r>
        <w:rPr>
          <w:lang w:val="en_US" w:bidi="en_US"/>
        </w:rPr>
        <w:t>Consider what a host in your language area would say in this situation. It may be necessary to use special polite expressions so that the host will not sound rude. For example:</w:t>
      </w:r>
    </w:p>
    <w:p>
      <w:pPr/>
      <w:r>
        <w:rPr>
          <w:lang w:val="en_US" w:bidi="en_US"/>
        </w:rPr>
      </w:r>
      <w:r>
        <w:rPr>
          <w:lang w:val="en_US" w:bidi="en_US"/>
        </w:rPr>
        <w:t>Please move to a different place so that this man may sit in your chair.</w:t>
      </w:r>
    </w:p>
    <w:p>
      <w:pPr/>
      <w:r>
        <w:rPr>
          <w:lang w:val="en_US" w:bidi="en_US"/>
        </w:rPr>
      </w:r>
      <w:r>
        <w:rPr>
          <w:lang w:val="en_US" w:bidi="en_US"/>
        </w:rPr>
        <w:t>Excuse me, please. You seem to be sitting in this gentleman’s seat. Would you sit in another place?</w:t>
      </w:r>
    </w:p>
    <w:p>
      <w:pPr>
        <w:pStyle w:val="Heading5"/>
      </w:pPr>
      <w:r>
        <w:rPr>
          <w:lang w:val="en_US" w:bidi="en_US"/>
        </w:rPr>
        <w:t>14:9c</w:t>
      </w:r>
    </w:p>
    <w:p>
      <w:pPr/>
      <w:r>
        <w:rPr>
          <w:lang w:val="en_US" w:bidi="en_US"/>
        </w:rPr>
      </w:r>
      <w:r>
        <w:rPr>
          <w:b/>
          <w:lang w:val="en_US" w:bidi="en_US"/>
        </w:rPr>
        <w:t>And in humiliation, you will have to take the last place.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must then go and sit in the least important place. How shameful/embarrassing that will be!</w:t>
      </w:r>
    </w:p>
    <w:p>
      <w:pPr>
        <w:pStyle w:val="ListBullet"/>
        <w:spacing w:line="240" w:lineRule="auto"/>
        <w:ind w:left="720"/>
      </w:pPr>
      <w:r>
        <w:rPr>
          <w:lang w:val="en_US" w:bidi="en_US"/>
        </w:rPr>
      </w:r>
      <w:r>
        <w:rPr>
          <w:lang w:val="en_US" w:bidi="en_US"/>
        </w:rPr>
        <w:t>And as a result you</w:t>
      </w:r>
      <w:r>
        <w:rPr>
          <w:vertAlign w:val="superscript"/>
          <w:lang w:val="en_US" w:bidi="en_US"/>
        </w:rPr>
        <w:t>(sing)</w:t>
      </w:r>
      <w:r>
        <w:rPr>
          <w:lang w:val="en_US" w:bidi="en_US"/>
        </w:rPr>
        <w:t xml:space="preserve"> will feel ashamed and will have to take the lowest/last place </w:t>
      </w:r>
      <w:r>
        <w:rPr>
          <w:lang w:val="en_US" w:bidi="en_US"/>
        </w:rPr>
        <w:t>at the feast</w:t>
      </w:r>
      <w:r>
        <w:rPr>
          <w:lang w:val="en_US" w:bidi="en_US"/>
        </w:rPr>
        <w:t>.</w:t>
      </w:r>
    </w:p>
    <w:p>
      <w:pPr>
        <w:pStyle w:val="ListBullet"/>
        <w:spacing w:line="240" w:lineRule="auto"/>
        <w:ind w:left="720"/>
      </w:pPr>
      <w:r>
        <w:rPr>
          <w:lang w:val="en_US" w:bidi="en_US"/>
        </w:rPr>
      </w:r>
      <w:r>
        <w:rPr>
          <w:lang w:val="en_US" w:bidi="en_US"/>
        </w:rPr>
        <w:t>Then you</w:t>
      </w:r>
      <w:r>
        <w:rPr>
          <w:vertAlign w:val="superscript"/>
          <w:lang w:val="en_US" w:bidi="en_US"/>
        </w:rPr>
        <w:t>(sing)</w:t>
      </w:r>
      <w:r>
        <w:rPr>
          <w:lang w:val="en_US" w:bidi="en_US"/>
        </w:rPr>
        <w:t xml:space="preserve"> will have to move down to the worst seat. This will cause you great shame/embarrassment.</w:t>
      </w:r>
    </w:p>
    <w:p>
      <w:pPr/>
      <w:r>
        <w:rPr>
          <w:lang w:val="en_US" w:bidi="en_US"/>
        </w:rPr>
      </w:r>
      <w:r>
        <w:rPr>
          <w:b/>
          <w:lang w:val="en_US" w:bidi="en_US"/>
        </w:rPr>
        <w:t>And:</w:t>
      </w:r>
      <w:r>
        <w:rPr>
          <w:lang w:val="en_US" w:bidi="en_US"/>
        </w:rPr>
        <w:t xml:space="preserve"> The Greek phrase that the BSB translates as </w:t>
      </w:r>
      <w:r>
        <w:rPr>
          <w:i/>
          <w:lang w:val="en_US" w:bidi="en_US"/>
        </w:rPr>
        <w:t>And</w:t>
      </w:r>
      <w:r>
        <w:rPr>
          <w:lang w:val="en_US" w:bidi="en_US"/>
        </w:rPr>
        <w:t xml:space="preserve"> is more literally “and then.” Some English versions, such as the RSV, translate it that way. This phrase introduces the next thing that will happen to the less important guest as a result of what the host told him in 14:9b.</w:t>
      </w:r>
    </w:p>
    <w:p>
      <w:pPr/>
      <w:r>
        <w:rPr>
          <w:lang w:val="en_US" w:bidi="en_US"/>
        </w:rPr>
      </w:r>
      <w:r>
        <w:rPr>
          <w:b/>
          <w:lang w:val="en_US" w:bidi="en_US"/>
        </w:rPr>
        <w:t>in humiliation:</w:t>
      </w:r>
      <w:r>
        <w:rPr>
          <w:lang w:val="en_US" w:bidi="en_US"/>
        </w:rPr>
        <w:t xml:space="preserve"> The Greek expression that the BSB translates as </w:t>
      </w:r>
      <w:r>
        <w:rPr>
          <w:i/>
          <w:lang w:val="en_US" w:bidi="en_US"/>
        </w:rPr>
        <w:t>in humiliation</w:t>
      </w:r>
      <w:r>
        <w:rPr>
          <w:lang w:val="en_US" w:bidi="en_US"/>
        </w:rPr>
        <w:t xml:space="preserve"> is more literally “with shame.” Some English versions, such as the RSV, translate it that way. In this context it implies that the first guest will feel embarrassed when he has to leave his good seat and take the least important one.</w:t>
      </w:r>
    </w:p>
    <w:p>
      <w:pPr/>
      <w:r>
        <w:rPr>
          <w:lang w:val="en_US" w:bidi="en_US"/>
        </w:rPr>
      </w:r>
      <w:r>
        <w:rPr>
          <w:lang w:val="en_US" w:bidi="en_US"/>
        </w:rPr>
        <w:t xml:space="preserve">In some languages it may be more natural to translate the word </w:t>
      </w:r>
      <w:r>
        <w:rPr>
          <w:i/>
          <w:lang w:val="en_US" w:bidi="en_US"/>
        </w:rPr>
        <w:t>humiliation</w:t>
      </w:r>
      <w:r>
        <w:rPr>
          <w:lang w:val="en_US" w:bidi="en_US"/>
        </w:rPr>
        <w:t xml:space="preserve"> as a noun or a verb in a separate sentence. Consider whether it will be more natural to place it at the beginning or the end of the verse. For example:</w:t>
      </w:r>
    </w:p>
    <w:p>
      <w:pPr/>
      <w:r>
        <w:rPr>
          <w:lang w:val="en_US" w:bidi="en_US"/>
        </w:rPr>
      </w:r>
      <w:r>
        <w:rPr>
          <w:u w:val="single"/>
          <w:lang w:val="en_US" w:bidi="en_US"/>
        </w:rPr>
        <w:t>You will be embarrassed</w:t>
      </w:r>
      <w:r>
        <w:rPr>
          <w:lang w:val="en_US" w:bidi="en_US"/>
        </w:rPr>
        <w:t xml:space="preserve"> and will have to sit in the worst place. (CEV)</w:t>
      </w:r>
    </w:p>
    <w:p>
      <w:pPr/>
      <w:r>
        <w:rPr>
          <w:lang w:val="en_US" w:bidi="en_US"/>
        </w:rPr>
      </w:r>
      <w:r>
        <w:rPr>
          <w:lang w:val="en_US" w:bidi="en_US"/>
        </w:rPr>
        <w:t xml:space="preserve">So you will have to transfer to the least important seat. </w:t>
      </w:r>
      <w:r>
        <w:rPr>
          <w:u w:val="single"/>
          <w:lang w:val="en_US" w:bidi="en_US"/>
        </w:rPr>
        <w:t>This will make you feel very ashamed</w:t>
      </w:r>
      <w:r>
        <w:rPr>
          <w:lang w:val="en_US" w:bidi="en_US"/>
        </w:rPr>
        <w:t>.</w:t>
      </w:r>
    </w:p>
    <w:p>
      <w:pPr/>
      <w:r>
        <w:rPr>
          <w:lang w:val="en_US" w:bidi="en_US"/>
        </w:rPr>
      </w:r>
      <w:r>
        <w:rPr>
          <w:lang w:val="en_US" w:bidi="en_US"/>
        </w:rPr>
        <w:t xml:space="preserve">You will have to move to the lowest place. </w:t>
      </w:r>
      <w:r>
        <w:rPr>
          <w:u w:val="single"/>
          <w:lang w:val="en_US" w:bidi="en_US"/>
        </w:rPr>
        <w:t>How shameful</w:t>
      </w:r>
      <w:r>
        <w:rPr>
          <w:lang w:val="en_US" w:bidi="en_US"/>
        </w:rPr>
        <w:t>!</w:t>
      </w:r>
    </w:p>
    <w:p>
      <w:pPr/>
      <w:r>
        <w:rPr>
          <w:lang w:val="en_US" w:bidi="en_US"/>
        </w:rPr>
      </w:r>
      <w:r>
        <w:rPr>
          <w:lang w:val="en_US" w:bidi="en_US"/>
        </w:rPr>
        <w:t xml:space="preserve">This will </w:t>
      </w:r>
      <w:r>
        <w:rPr>
          <w:u w:val="single"/>
          <w:lang w:val="en_US" w:bidi="en_US"/>
        </w:rPr>
        <w:t>cause/give you much shame</w:t>
      </w:r>
      <w:r>
        <w:rPr>
          <w:lang w:val="en_US" w:bidi="en_US"/>
        </w:rPr>
        <w:t>. You will have to get up and go sit in the seat where no one else wanted to sit.</w:t>
      </w:r>
    </w:p>
    <w:p>
      <w:pPr/>
      <w:r>
        <w:rPr>
          <w:lang w:val="en_US" w:bidi="en_US"/>
        </w:rPr>
      </w:r>
      <w:r>
        <w:rPr>
          <w:b/>
          <w:lang w:val="en_US" w:bidi="en_US"/>
        </w:rPr>
        <w:t>you will have to take:</w:t>
      </w:r>
      <w:r>
        <w:rPr>
          <w:lang w:val="en_US" w:bidi="en_US"/>
        </w:rPr>
        <w:t xml:space="preserve"> The Greek expression that the BSB translates as </w:t>
      </w:r>
      <w:r>
        <w:rPr>
          <w:i/>
          <w:lang w:val="en_US" w:bidi="en_US"/>
        </w:rPr>
        <w:t>you will have to take</w:t>
      </w:r>
      <w:r>
        <w:rPr>
          <w:lang w:val="en_US" w:bidi="en_US"/>
        </w:rPr>
        <w:t xml:space="preserve"> is more literally “you will begin to take.” Some English versions, such as the RSV, translate it that way. The man will have to get out of the best seat and start to move down the table to the worst seat.</w:t>
      </w:r>
    </w:p>
    <w:p>
      <w:pPr/>
      <w:r>
        <w:rPr>
          <w:lang w:val="en_US" w:bidi="en_US"/>
        </w:rPr>
      </w:r>
      <w:r>
        <w:rPr>
          <w:b/>
          <w:lang w:val="en_US" w:bidi="en_US"/>
        </w:rPr>
        <w:t>you:</w:t>
      </w:r>
      <w:r>
        <w:rPr>
          <w:lang w:val="en_US" w:bidi="en_US"/>
        </w:rPr>
        <w:t xml:space="preserve"> Here Jesus continued to refer to any of his listeners. Use an appropriate form to do this in your language. You may want to refer again to the note on 14:8a.</w:t>
      </w:r>
    </w:p>
    <w:p>
      <w:pPr/>
      <w:r>
        <w:rPr>
          <w:lang w:val="en_US" w:bidi="en_US"/>
        </w:rPr>
      </w:r>
      <w:r>
        <w:rPr>
          <w:b/>
          <w:lang w:val="en_US" w:bidi="en_US"/>
        </w:rPr>
        <w:t>the last place:</w:t>
      </w:r>
      <w:r>
        <w:rPr>
          <w:lang w:val="en_US" w:bidi="en_US"/>
        </w:rPr>
        <w:t xml:space="preserve"> The phrase </w:t>
      </w:r>
      <w:r>
        <w:rPr>
          <w:i/>
          <w:lang w:val="en_US" w:bidi="en_US"/>
        </w:rPr>
        <w:t>the last place</w:t>
      </w:r>
      <w:r>
        <w:rPr>
          <w:lang w:val="en_US" w:bidi="en_US"/>
        </w:rPr>
        <w:t xml:space="preserve"> probably refers to the seat farthest from the host. It implies that people were already seated in all the other places. Some other ways to translate this phrase are:</w:t>
      </w:r>
    </w:p>
    <w:p>
      <w:pPr>
        <w:pStyle w:val="ListBullet"/>
        <w:spacing w:line="240" w:lineRule="auto"/>
        <w:ind w:left="720"/>
      </w:pPr>
      <w:r>
        <w:rPr>
          <w:lang w:val="en_US" w:bidi="en_US"/>
        </w:rPr>
      </w:r>
      <w:r>
        <w:rPr>
          <w:lang w:val="en_US" w:bidi="en_US"/>
        </w:rPr>
        <w:t>Use a similar descriptive phrase. For example:</w:t>
      </w:r>
      <w:r>
        <w:rPr>
          <w:lang w:val="en_US" w:bidi="en_US"/>
        </w:rPr>
        <w:t>the worst place (CEV)</w:t>
      </w:r>
      <w:r>
        <w:rPr>
          <w:lang w:val="en_US" w:bidi="en_US"/>
        </w:rPr>
        <w:t>the last place (NCV)</w:t>
      </w:r>
      <w:r>
        <w:rPr>
          <w:lang w:val="en_US" w:bidi="en_US"/>
        </w:rPr>
        <w:t>the lowest place (GNT)</w:t>
      </w:r>
    </w:p>
    <w:p>
      <w:pPr/>
      <w:r>
        <w:rPr>
          <w:lang w:val="en_US" w:bidi="en_US"/>
        </w:rPr>
      </w:r>
      <w:r>
        <w:rPr>
          <w:lang w:val="en_US" w:bidi="en_US"/>
        </w:rPr>
        <w:t xml:space="preserve">If you cannot use a phrase such as </w:t>
      </w:r>
      <w:r>
        <w:rPr>
          <w:i/>
          <w:lang w:val="en_US" w:bidi="en_US"/>
        </w:rPr>
        <w:t>the last place</w:t>
      </w:r>
      <w:r>
        <w:rPr>
          <w:lang w:val="en_US" w:bidi="en_US"/>
        </w:rPr>
        <w:t xml:space="preserve"> here in your language, you may be able to use a phrase such as “a very unimportant/low place.”</w:t>
      </w:r>
    </w:p>
    <w:p>
      <w:pPr>
        <w:pStyle w:val="ListBullet"/>
        <w:spacing w:line="240" w:lineRule="auto"/>
        <w:ind w:left="720"/>
      </w:pPr>
      <w:r>
        <w:rPr>
          <w:lang w:val="en_US" w:bidi="en_US"/>
        </w:rPr>
      </w:r>
      <w:r>
        <w:rPr>
          <w:lang w:val="en_US" w:bidi="en_US"/>
        </w:rPr>
        <w:t>Use a phrase in your language that refers to a seat where a person of low status would sit. For example:</w:t>
      </w:r>
      <w:r>
        <w:rPr>
          <w:lang w:val="en_US" w:bidi="en_US"/>
        </w:rPr>
        <w:t>whatever seat is left at the foot of the table (NLT)</w:t>
      </w:r>
      <w:r>
        <w:rPr>
          <w:lang w:val="en_US" w:bidi="en_US"/>
        </w:rPr>
        <w:t>at the back/edge of the room</w:t>
      </w:r>
      <w:r>
        <w:rPr>
          <w:lang w:val="en_US" w:bidi="en_US"/>
        </w:rPr>
      </w:r>
      <w:r>
        <w:rPr>
          <w:lang w:val="en_US" w:bidi="en_US"/>
        </w:rPr>
      </w:r>
    </w:p>
    <w:p>
      <w:pPr/>
      <w:r>
        <w:rPr>
          <w:lang w:val="en_US" w:bidi="en_US"/>
        </w:rPr>
      </w:r>
    </w:p>
    <w:p>
      <w:pPr>
        <w:pStyle w:val="Heading2"/>
      </w:pPr>
      <w:r>
        <w:rPr>
          <w:lang w:val="en_US" w:bidi="en_US"/>
        </w:rPr>
        <w:t>Luke 14:10</w:t>
      </w:r>
      <w:r>
        <w:rPr>
          <w:lang w:val="en_US" w:bidi="en_US"/>
        </w:rPr>
      </w:r>
    </w:p>
    <w:p>
      <w:pPr>
        <w:pStyle w:val="Heading4"/>
      </w:pPr>
      <w:r>
        <w:rPr>
          <w:lang w:val="en_US" w:bidi="en_US"/>
        </w:rPr>
        <w:t>Section 14:7–14: Jesus gave advice to the other guests and to his host</w:t>
      </w:r>
    </w:p>
    <w:p>
      <w:pPr/>
      <w:r>
        <w:rPr>
          <w:lang w:val="en_US" w:bidi="en_US"/>
        </w:rPr>
      </w:r>
      <w:r>
        <w:rPr>
          <w:lang w:val="en_US" w:bidi="en_US"/>
        </w:rPr>
        <w:t>In this section Jesus was still in the house of the Pharisee. He noticed that the other guests who came into the house were choosing positions of honor at the meal. He instructed them by means of a parable about wedding guests that they should be humble and not seek their own honor (14:7–11). He then instructed the Pharisee who was their host to hold feasts for people who were poor. Poor people could not invite him to a feast in return, so God would reward him (14:12–14).</w:t>
      </w:r>
    </w:p>
    <w:p>
      <w:pPr/>
      <w:r>
        <w:rPr>
          <w:lang w:val="en_US" w:bidi="en_US"/>
        </w:rPr>
      </w:r>
      <w:r>
        <w:rPr>
          <w:lang w:val="en_US" w:bidi="en_US"/>
        </w:rPr>
        <w:t>Some other possible headings for this section are:</w:t>
      </w:r>
    </w:p>
    <w:p>
      <w:pPr/>
      <w:r>
        <w:rPr>
          <w:lang w:val="en_US" w:bidi="en_US"/>
        </w:rPr>
      </w:r>
      <w:r>
        <w:rPr>
          <w:lang w:val="en_US" w:bidi="en_US"/>
        </w:rPr>
        <w:t>Humility and Hospitality (GNT)</w:t>
      </w:r>
    </w:p>
    <w:p>
      <w:pPr/>
      <w:r>
        <w:rPr>
          <w:lang w:val="en_US" w:bidi="en_US"/>
        </w:rPr>
      </w:r>
      <w:r>
        <w:rPr>
          <w:lang w:val="en_US" w:bidi="en_US"/>
        </w:rPr>
        <w:t>Instructions to Guests and to a Host</w:t>
      </w:r>
    </w:p>
    <w:p>
      <w:pPr>
        <w:pStyle w:val="Heading5"/>
      </w:pPr>
      <w:r>
        <w:rPr>
          <w:lang w:val="en_US" w:bidi="en_US"/>
        </w:rPr>
        <w:t>14:10a</w:t>
      </w:r>
    </w:p>
    <w:p>
      <w:pPr/>
      <w:r>
        <w:rPr>
          <w:lang w:val="en_US" w:bidi="en_US"/>
        </w:rPr>
      </w:r>
      <w:r>
        <w:rPr>
          <w:b/>
          <w:lang w:val="en_US" w:bidi="en_US"/>
        </w:rPr>
        <w:t>But when you are invited, go and sit in the last place,</w:t>
      </w:r>
    </w:p>
    <w:p>
      <w:pPr>
        <w:pStyle w:val="ListBullet"/>
        <w:spacing w:line="240" w:lineRule="auto"/>
        <w:ind w:left="720"/>
      </w:pPr>
      <w:r>
        <w:rPr>
          <w:lang w:val="en_US" w:bidi="en_US"/>
        </w:rPr>
      </w:r>
      <w:r>
        <w:rPr>
          <w:lang w:val="en_US" w:bidi="en_US"/>
        </w:rPr>
        <w:t>Instead/Rather, when someone invites you</w:t>
      </w:r>
      <w:r>
        <w:rPr>
          <w:vertAlign w:val="superscript"/>
          <w:lang w:val="en_US" w:bidi="en_US"/>
        </w:rPr>
        <w:t>(sing)</w:t>
      </w:r>
      <w:r>
        <w:rPr>
          <w:lang w:val="en_US" w:bidi="en_US"/>
        </w:rPr>
        <w:t xml:space="preserve"> </w:t>
      </w:r>
      <w:r>
        <w:rPr>
          <w:lang w:val="en_US" w:bidi="en_US"/>
        </w:rPr>
        <w:t>to a feast</w:t>
      </w:r>
      <w:r>
        <w:rPr>
          <w:lang w:val="en_US" w:bidi="en_US"/>
        </w:rPr>
        <w:t>, choose the least important place</w:t>
      </w:r>
    </w:p>
    <w:p>
      <w:pPr>
        <w:pStyle w:val="ListBullet"/>
        <w:spacing w:line="240" w:lineRule="auto"/>
        <w:ind w:left="720"/>
      </w:pPr>
      <w:r>
        <w:rPr>
          <w:lang w:val="en_US" w:bidi="en_US"/>
        </w:rPr>
      </w:r>
      <w:r>
        <w:rPr>
          <w:lang w:val="en_US" w:bidi="en_US"/>
        </w:rPr>
        <w:t xml:space="preserve">So </w:t>
      </w:r>
      <w:r>
        <w:rPr>
          <w:lang w:val="en_US" w:bidi="en_US"/>
        </w:rPr>
        <w:t>what you should do</w:t>
      </w:r>
      <w:r>
        <w:rPr>
          <w:lang w:val="en_US" w:bidi="en_US"/>
        </w:rPr>
        <w:t xml:space="preserve"> when you</w:t>
      </w:r>
      <w:r>
        <w:rPr>
          <w:vertAlign w:val="superscript"/>
          <w:lang w:val="en_US" w:bidi="en_US"/>
        </w:rPr>
        <w:t>(sing)</w:t>
      </w:r>
      <w:r>
        <w:rPr>
          <w:lang w:val="en_US" w:bidi="en_US"/>
        </w:rPr>
        <w:t xml:space="preserve"> receive an invitation </w:t>
      </w:r>
      <w:r>
        <w:rPr>
          <w:lang w:val="en_US" w:bidi="en_US"/>
        </w:rPr>
        <w:t>to a wedding feast</w:t>
      </w:r>
      <w:r>
        <w:rPr>
          <w:lang w:val="en_US" w:bidi="en_US"/>
        </w:rPr>
        <w:t xml:space="preserve"> is to go and sit in the worst seat.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command that contrasts with the command in 14:8b: “do not take the place of honor (14:8b)…but rather…take the lowest place (14:10a).” Most English versions use a similar contrasting conjunction or exclamation. For example:</w:t>
      </w:r>
    </w:p>
    <w:p>
      <w:pPr/>
      <w:r>
        <w:rPr>
          <w:lang w:val="en_US" w:bidi="en_US"/>
        </w:rPr>
      </w:r>
      <w:r>
        <w:rPr>
          <w:lang w:val="en_US" w:bidi="en_US"/>
        </w:rPr>
        <w:t>No (NJB)</w:t>
      </w:r>
    </w:p>
    <w:p>
      <w:pPr/>
      <w:r>
        <w:rPr>
          <w:lang w:val="en_US" w:bidi="en_US"/>
        </w:rPr>
      </w:r>
      <w:r>
        <w:rPr>
          <w:lang w:val="en_US" w:bidi="en_US"/>
        </w:rPr>
        <w:t>Instead (GNT)</w:t>
      </w:r>
    </w:p>
    <w:p>
      <w:pPr/>
      <w:r>
        <w:rPr>
          <w:lang w:val="en_US" w:bidi="en_US"/>
        </w:rPr>
      </w:r>
      <w:r>
        <w:rPr>
          <w:lang w:val="en_US" w:bidi="en_US"/>
        </w:rPr>
        <w:t>However, in some languages, this contrast with 14:8b may not be clear. Your readers may connect the command in 14:10a to the immediately preceding result in 14:9c: “you will be humiliated.” If that is true in your language, you may want to introduce 14:10a as a command that is based on the fact that people do not want to be humiliated. For example:</w:t>
      </w:r>
    </w:p>
    <w:p>
      <w:pPr/>
      <w:r>
        <w:rPr>
          <w:lang w:val="en_US" w:bidi="en_US"/>
        </w:rPr>
      </w:r>
      <w:r>
        <w:rPr>
          <w:u w:val="single"/>
          <w:lang w:val="en_US" w:bidi="en_US"/>
        </w:rPr>
        <w:t>So</w:t>
      </w:r>
      <w:r>
        <w:rPr>
          <w:lang w:val="en_US" w:bidi="en_US"/>
        </w:rPr>
        <w:t xml:space="preserve"> when you are invited (NCV)</w:t>
      </w:r>
    </w:p>
    <w:p>
      <w:pPr/>
      <w:r>
        <w:rPr>
          <w:lang w:val="en_US" w:bidi="en_US"/>
        </w:rPr>
      </w:r>
      <w:r>
        <w:rPr>
          <w:lang w:val="en_US" w:bidi="en_US"/>
        </w:rPr>
        <w:t>Some versions also leave the connection implied. For example:</w:t>
      </w:r>
    </w:p>
    <w:p>
      <w:pPr/>
      <w:r>
        <w:rPr>
          <w:lang w:val="en_US" w:bidi="en_US"/>
        </w:rPr>
      </w:r>
      <w:r>
        <w:rPr>
          <w:lang w:val="en_US" w:bidi="en_US"/>
        </w:rPr>
        <w:t>When you are invited to be a guest (CEV)</w:t>
      </w:r>
    </w:p>
    <w:p>
      <w:pPr/>
      <w:r>
        <w:rPr>
          <w:lang w:val="en_US" w:bidi="en_US"/>
        </w:rPr>
      </w:r>
      <w:r>
        <w:rPr>
          <w:lang w:val="en_US" w:bidi="en_US"/>
        </w:rPr>
        <w:t>Indicate the connection between the commands in 14:10a and 14:8b in a clear and natural way in your language.</w:t>
      </w:r>
    </w:p>
    <w:p>
      <w:pPr/>
      <w:r>
        <w:rPr>
          <w:lang w:val="en_US" w:bidi="en_US"/>
        </w:rPr>
      </w:r>
      <w:r>
        <w:rPr>
          <w:b/>
          <w:lang w:val="en_US" w:bidi="en_US"/>
        </w:rPr>
        <w:t>when you are invited:</w:t>
      </w:r>
      <w:r>
        <w:rPr>
          <w:lang w:val="en_US" w:bidi="en_US"/>
        </w:rPr>
        <w:t xml:space="preserve"> In some languages it may be necessary to indicate the place to which you are invited. Supply the same word or phrase as in 14:8a. It may also be necessary to indicate that you actually arrive at the feast. For example:</w:t>
      </w:r>
    </w:p>
    <w:p>
      <w:pPr/>
      <w:r>
        <w:rPr>
          <w:lang w:val="en_US" w:bidi="en_US"/>
        </w:rPr>
      </w:r>
      <w:r>
        <w:rPr>
          <w:lang w:val="en_US" w:bidi="en_US"/>
        </w:rPr>
        <w:t xml:space="preserve">But when </w:t>
      </w:r>
      <w:r>
        <w:rPr>
          <w:lang w:val="en_US" w:bidi="en_US"/>
        </w:rPr>
        <w:t>you arrive</w:t>
      </w:r>
      <w:r>
        <w:rPr>
          <w:lang w:val="en_US" w:bidi="en_US"/>
        </w:rPr>
        <w:t xml:space="preserve"> </w:t>
      </w:r>
      <w:r>
        <w:rPr>
          <w:lang w:val="en_US" w:bidi="en_US"/>
        </w:rPr>
        <w:t>at a wedding feast to which</w:t>
      </w:r>
      <w:r>
        <w:rPr>
          <w:lang w:val="en_US" w:bidi="en_US"/>
        </w:rPr>
        <w:t xml:space="preserve"> you have been invited</w:t>
      </w:r>
    </w:p>
    <w:p>
      <w:pPr/>
      <w:r>
        <w:rPr>
          <w:lang w:val="en_US" w:bidi="en_US"/>
        </w:rPr>
      </w:r>
      <w:r>
        <w:rPr>
          <w:lang w:val="en_US" w:bidi="en_US"/>
        </w:rPr>
        <w:t>In other languages it may be redundant to repeat the information in this clause, since it is clear from 14:8a. If that is true in your language, you may want to leave this information implied. For example:</w:t>
      </w:r>
    </w:p>
    <w:p>
      <w:pPr/>
      <w:r>
        <w:rPr>
          <w:lang w:val="en_US" w:bidi="en_US"/>
        </w:rPr>
      </w:r>
      <w:r>
        <w:rPr>
          <w:lang w:val="en_US" w:bidi="en_US"/>
        </w:rPr>
        <w:t>Instead, take the lowest place… (NLT)</w:t>
      </w:r>
    </w:p>
    <w:p>
      <w:pPr/>
      <w:r>
        <w:rPr>
          <w:lang w:val="en_US" w:bidi="en_US"/>
        </w:rPr>
      </w:r>
      <w:r>
        <w:rPr>
          <w:b/>
          <w:lang w:val="en_US" w:bidi="en_US"/>
        </w:rPr>
        <w:t>you:</w:t>
      </w:r>
      <w:r>
        <w:rPr>
          <w:lang w:val="en_US" w:bidi="en_US"/>
        </w:rPr>
        <w:t xml:space="preserve"> As in 14:8a Jesus continued to refer to any of his listeners. Use an appropriate form in your language.</w:t>
      </w:r>
    </w:p>
    <w:p>
      <w:pPr/>
      <w:r>
        <w:rPr>
          <w:lang w:val="en_US" w:bidi="en_US"/>
        </w:rPr>
      </w:r>
      <w:r>
        <w:rPr>
          <w:b/>
          <w:lang w:val="en_US" w:bidi="en_US"/>
        </w:rPr>
        <w:t>go and sit in the last place:</w:t>
      </w:r>
      <w:r>
        <w:rPr>
          <w:lang w:val="en_US" w:bidi="en_US"/>
        </w:rPr>
        <w:t xml:space="preserve"> The Greek expression that the BSB translates as </w:t>
      </w:r>
      <w:r>
        <w:rPr>
          <w:i/>
          <w:lang w:val="en_US" w:bidi="en_US"/>
        </w:rPr>
        <w:t>go and sit in the last place</w:t>
      </w:r>
      <w:r>
        <w:rPr>
          <w:lang w:val="en_US" w:bidi="en_US"/>
        </w:rPr>
        <w:t xml:space="preserve"> is the same as the expression translated as “take the last place” in 14:9c. You may translate it with the same expression here if that is good style in your language. If it is not natural to repeat the same expression, you may use a similar expression, as the BSB has done.</w:t>
      </w:r>
    </w:p>
    <w:p>
      <w:pPr/>
      <w:r>
        <w:rPr>
          <w:lang w:val="en_US" w:bidi="en_US"/>
        </w:rPr>
      </w:r>
      <w:r>
        <w:rPr>
          <w:b/>
          <w:lang w:val="en_US" w:bidi="en_US"/>
        </w:rPr>
        <w:t>go and sit:</w:t>
      </w:r>
      <w:r>
        <w:rPr>
          <w:lang w:val="en_US" w:bidi="en_US"/>
        </w:rPr>
        <w:t xml:space="preserve"> The Greek phrase that the BSB translates as </w:t>
      </w:r>
      <w:r>
        <w:rPr>
          <w:i/>
          <w:lang w:val="en_US" w:bidi="en_US"/>
        </w:rPr>
        <w:t>go and sit</w:t>
      </w:r>
      <w:r>
        <w:rPr>
          <w:lang w:val="en_US" w:bidi="en_US"/>
        </w:rPr>
        <w:t xml:space="preserve"> is more literally “go and take.” Some English versions, such as the RSV, translate it that way. The verb “go” refers here to what the guest should do after he arrives at the feast. He should go to the least important place. Some English versions use the verb “take” here, and since the action of going to a seat is already implied in English by the verb “take,” some versions, such as the NIV, have left the verb “go” implied. You may do what is natural in your language here.</w:t>
      </w:r>
    </w:p>
    <w:p>
      <w:pPr>
        <w:pStyle w:val="Heading5"/>
      </w:pPr>
      <w:r>
        <w:rPr>
          <w:lang w:val="en_US" w:bidi="en_US"/>
        </w:rPr>
        <w:t>14:10b</w:t>
      </w:r>
    </w:p>
    <w:p>
      <w:pPr/>
      <w:r>
        <w:rPr>
          <w:lang w:val="en_US" w:bidi="en_US"/>
        </w:rPr>
      </w:r>
      <w:r>
        <w:rPr>
          <w:b/>
          <w:lang w:val="en_US" w:bidi="en_US"/>
        </w:rPr>
        <w:t>so that your host will come and tell you,</w:t>
      </w:r>
    </w:p>
    <w:p>
      <w:pPr>
        <w:pStyle w:val="ListBullet"/>
        <w:spacing w:line="240" w:lineRule="auto"/>
        <w:ind w:left="720"/>
      </w:pPr>
      <w:r>
        <w:rPr>
          <w:lang w:val="en_US" w:bidi="en_US"/>
        </w:rPr>
      </w:r>
      <w:r>
        <w:rPr>
          <w:lang w:val="en_US" w:bidi="en_US"/>
        </w:rPr>
        <w:t>so that when the host comes/goes to where you</w:t>
      </w:r>
      <w:r>
        <w:rPr>
          <w:vertAlign w:val="superscript"/>
          <w:lang w:val="en_US" w:bidi="en_US"/>
        </w:rPr>
        <w:t>(sing)</w:t>
      </w:r>
      <w:r>
        <w:rPr>
          <w:lang w:val="en_US" w:bidi="en_US"/>
        </w:rPr>
        <w:t xml:space="preserve"> are, he will say,</w:t>
      </w:r>
    </w:p>
    <w:p>
      <w:pPr>
        <w:pStyle w:val="ListBullet"/>
        <w:spacing w:line="240" w:lineRule="auto"/>
        <w:ind w:left="720"/>
      </w:pPr>
      <w:r>
        <w:rPr>
          <w:lang w:val="en_US" w:bidi="en_US"/>
        </w:rPr>
      </w:r>
      <w:r>
        <w:rPr>
          <w:lang w:val="en_US" w:bidi="en_US"/>
        </w:rPr>
        <w:t>If you do that, the one who invited you will come/go to you and say,</w:t>
      </w:r>
    </w:p>
    <w:p>
      <w:pPr/>
      <w:r>
        <w:rPr>
          <w:lang w:val="en_US" w:bidi="en_US"/>
        </w:rPr>
      </w:r>
      <w:r>
        <w:rPr>
          <w:b/>
          <w:lang w:val="en_US" w:bidi="en_US"/>
        </w:rPr>
        <w:t>so that:</w:t>
      </w:r>
      <w:r>
        <w:rPr>
          <w:lang w:val="en_US" w:bidi="en_US"/>
        </w:rPr>
        <w:t xml:space="preserve"> The Greek conjunction that the BSB translates as </w:t>
      </w:r>
      <w:r>
        <w:rPr>
          <w:i/>
          <w:lang w:val="en_US" w:bidi="en_US"/>
        </w:rPr>
        <w:t>so that</w:t>
      </w:r>
      <w:r>
        <w:rPr>
          <w:lang w:val="en_US" w:bidi="en_US"/>
        </w:rPr>
        <w:t xml:space="preserve"> introduces the purpose for taking the lowest place at the feast (14:10a). Jesus told his listeners what they should do at a feast in order to be honored by the host.</w:t>
      </w:r>
    </w:p>
    <w:p>
      <w:pPr/>
      <w:r>
        <w:rPr>
          <w:lang w:val="en_US" w:bidi="en_US"/>
        </w:rPr>
      </w:r>
      <w:r>
        <w:rPr>
          <w:lang w:val="en_US" w:bidi="en_US"/>
        </w:rPr>
        <w:t>In some languages it may be more natural to begin a new sentence here. See the examples in the next note.</w:t>
      </w:r>
    </w:p>
    <w:p>
      <w:pPr/>
      <w:r>
        <w:rPr>
          <w:lang w:val="en_US" w:bidi="en_US"/>
        </w:rPr>
      </w:r>
      <w:r>
        <w:rPr>
          <w:b/>
          <w:lang w:val="en_US" w:bidi="en_US"/>
        </w:rPr>
        <w:t>your host will come and tell you:</w:t>
      </w:r>
      <w:r>
        <w:rPr>
          <w:lang w:val="en_US" w:bidi="en_US"/>
        </w:rPr>
        <w:t xml:space="preserve"> The clause </w:t>
      </w:r>
      <w:r>
        <w:rPr>
          <w:i/>
          <w:lang w:val="en_US" w:bidi="en_US"/>
        </w:rPr>
        <w:t>your host will come</w:t>
      </w:r>
      <w:r>
        <w:rPr>
          <w:lang w:val="en_US" w:bidi="en_US"/>
        </w:rPr>
        <w:t xml:space="preserve"> probably refers to the host coming to the place where you and the other guests are seated. It probably does not imply that the host had not yet come to the feast. It is good to translate in a way that avoids implying that. For example:</w:t>
      </w:r>
    </w:p>
    <w:p>
      <w:pPr/>
      <w:r>
        <w:rPr>
          <w:lang w:val="en_US" w:bidi="en_US"/>
        </w:rPr>
      </w:r>
      <w:r>
        <w:rPr>
          <w:lang w:val="en_US" w:bidi="en_US"/>
        </w:rPr>
        <w:t>Then when your host sees you, he will come and say (NLT)</w:t>
      </w:r>
    </w:p>
    <w:p>
      <w:pPr/>
      <w:r>
        <w:rPr>
          <w:lang w:val="en_US" w:bidi="en_US"/>
        </w:rPr>
      </w:r>
      <w:r>
        <w:rPr>
          <w:lang w:val="en_US" w:bidi="en_US"/>
        </w:rPr>
        <w:t>so that when your host approaches he will say to you (NET)</w:t>
      </w:r>
    </w:p>
    <w:p>
      <w:pPr/>
      <w:r>
        <w:rPr>
          <w:lang w:val="en_US" w:bidi="en_US"/>
        </w:rPr>
      </w:r>
      <w:r>
        <w:rPr>
          <w:lang w:val="en_US" w:bidi="en_US"/>
        </w:rPr>
        <w:t>When the host comes to you, he may say (NCV)</w:t>
      </w:r>
    </w:p>
    <w:p>
      <w:pPr/>
      <w:r>
        <w:rPr>
          <w:lang w:val="en_US" w:bidi="en_US"/>
        </w:rPr>
      </w:r>
      <w:r>
        <w:rPr>
          <w:b/>
          <w:lang w:val="en_US" w:bidi="en_US"/>
        </w:rPr>
        <w:t>and tell you:</w:t>
      </w:r>
      <w:r>
        <w:rPr>
          <w:lang w:val="en_US" w:bidi="en_US"/>
        </w:rPr>
        <w:t xml:space="preserve"> The words </w:t>
      </w:r>
      <w:r>
        <w:rPr>
          <w:i/>
          <w:lang w:val="en_US" w:bidi="en_US"/>
        </w:rPr>
        <w:t>and tell you</w:t>
      </w:r>
      <w:r>
        <w:rPr>
          <w:lang w:val="en_US" w:bidi="en_US"/>
        </w:rPr>
        <w:t xml:space="preserve"> introduce a direct quotation of what the host would say. In some languages it may be more natural to use indirect speech here. For example:</w:t>
      </w:r>
    </w:p>
    <w:p>
      <w:pPr/>
      <w:r>
        <w:rPr>
          <w:lang w:val="en_US" w:bidi="en_US"/>
        </w:rPr>
      </w:r>
      <w:r>
        <w:rPr>
          <w:lang w:val="en_US" w:bidi="en_US"/>
        </w:rPr>
        <w:t>he will tell you to move to a better seat</w:t>
      </w:r>
    </w:p>
    <w:p>
      <w:pPr>
        <w:pStyle w:val="Heading5"/>
      </w:pPr>
      <w:r>
        <w:rPr>
          <w:lang w:val="en_US" w:bidi="en_US"/>
        </w:rPr>
        <w:t>14:10c</w:t>
      </w:r>
    </w:p>
    <w:p>
      <w:pPr/>
      <w:r>
        <w:rPr>
          <w:lang w:val="en_US" w:bidi="en_US"/>
        </w:rPr>
      </w:r>
      <w:r>
        <w:rPr>
          <w:b/>
          <w:lang w:val="en_US" w:bidi="en_US"/>
        </w:rPr>
        <w:t>‘Friend, move up to a better place.’</w:t>
      </w:r>
    </w:p>
    <w:p>
      <w:pPr>
        <w:pStyle w:val="ListBullet"/>
        <w:spacing w:line="240" w:lineRule="auto"/>
        <w:ind w:left="720"/>
      </w:pPr>
      <w:r>
        <w:rPr>
          <w:lang w:val="en_US" w:bidi="en_US"/>
        </w:rPr>
      </w:r>
      <w:r>
        <w:rPr>
          <w:lang w:val="en_US" w:bidi="en_US"/>
        </w:rPr>
        <w:t>‘</w:t>
      </w:r>
      <w:r>
        <w:rPr>
          <w:lang w:val="en_US" w:bidi="en_US"/>
        </w:rPr>
        <w:t>My</w:t>
      </w:r>
      <w:r>
        <w:rPr>
          <w:lang w:val="en_US" w:bidi="en_US"/>
        </w:rPr>
        <w:t xml:space="preserve"> friend/brother, come</w:t>
      </w:r>
      <w:r>
        <w:rPr>
          <w:vertAlign w:val="superscript"/>
          <w:lang w:val="en_US" w:bidi="en_US"/>
        </w:rPr>
        <w:t>(sing)</w:t>
      </w:r>
      <w:r>
        <w:rPr>
          <w:lang w:val="en_US" w:bidi="en_US"/>
        </w:rPr>
        <w:t xml:space="preserve"> and sit in a more important place.’</w:t>
      </w:r>
    </w:p>
    <w:p>
      <w:pPr>
        <w:pStyle w:val="ListBullet"/>
        <w:spacing w:line="240" w:lineRule="auto"/>
        <w:ind w:left="720"/>
      </w:pPr>
      <w:r>
        <w:rPr>
          <w:lang w:val="en_US" w:bidi="en_US"/>
        </w:rPr>
      </w:r>
      <w:r>
        <w:rPr>
          <w:lang w:val="en_US" w:bidi="en_US"/>
        </w:rPr>
        <w:t xml:space="preserve">‘Brother/Sir, </w:t>
      </w:r>
      <w:r>
        <w:rPr>
          <w:lang w:val="en_US" w:bidi="en_US"/>
        </w:rPr>
        <w:t>that is not a good seat for you.</w:t>
      </w:r>
      <w:r>
        <w:rPr>
          <w:lang w:val="en_US" w:bidi="en_US"/>
        </w:rPr>
        <w:t xml:space="preserve"> Please come here to a better seat.’</w:t>
      </w:r>
    </w:p>
    <w:p>
      <w:pPr/>
      <w:r>
        <w:rPr>
          <w:lang w:val="en_US" w:bidi="en_US"/>
        </w:rPr>
      </w:r>
      <w:r>
        <w:rPr>
          <w:b/>
          <w:lang w:val="en_US" w:bidi="en_US"/>
        </w:rPr>
        <w:t>Friend:</w:t>
      </w:r>
      <w:r>
        <w:rPr>
          <w:lang w:val="en_US" w:bidi="en_US"/>
        </w:rPr>
        <w:t xml:space="preserve"> The Greek word that the BSB translates literally as </w:t>
      </w:r>
      <w:r>
        <w:rPr>
          <w:i/>
          <w:lang w:val="en_US" w:bidi="en_US"/>
        </w:rPr>
        <w:t>Friend</w:t>
      </w:r>
      <w:r>
        <w:rPr>
          <w:lang w:val="en_US" w:bidi="en_US"/>
        </w:rPr>
        <w:t xml:space="preserve"> was a common and polite way for one man to address another. If this would not be natural in your language, you may use another polite form of address, such as “Brother” or “Sir.” In some languages it may also be necessary to use a pronoun with the term of address. For example:</w:t>
      </w:r>
    </w:p>
    <w:p>
      <w:pPr/>
      <w:r>
        <w:rPr>
          <w:lang w:val="en_US" w:bidi="en_US"/>
        </w:rPr>
      </w:r>
      <w:r>
        <w:rPr>
          <w:u w:val="single"/>
          <w:lang w:val="en_US" w:bidi="en_US"/>
        </w:rPr>
        <w:t>My</w:t>
      </w:r>
      <w:r>
        <w:rPr>
          <w:lang w:val="en_US" w:bidi="en_US"/>
        </w:rPr>
        <w:t xml:space="preserve"> friend (CEV)</w:t>
      </w:r>
    </w:p>
    <w:p>
      <w:pPr/>
      <w:r>
        <w:rPr>
          <w:lang w:val="en_US" w:bidi="en_US"/>
        </w:rPr>
      </w:r>
      <w:r>
        <w:rPr>
          <w:b/>
          <w:lang w:val="en_US" w:bidi="en_US"/>
        </w:rPr>
        <w:t>move up to a better place:</w:t>
      </w:r>
      <w:r>
        <w:rPr>
          <w:lang w:val="en_US" w:bidi="en_US"/>
        </w:rPr>
        <w:t xml:space="preserve"> The expression that the BSB translates as </w:t>
      </w:r>
      <w:r>
        <w:rPr>
          <w:i/>
          <w:lang w:val="en_US" w:bidi="en_US"/>
        </w:rPr>
        <w:t>move up to a better place</w:t>
      </w:r>
      <w:r>
        <w:rPr>
          <w:lang w:val="en_US" w:bidi="en_US"/>
        </w:rPr>
        <w:t xml:space="preserve"> is literally “go up to a higher place.” It means “go and take one of the seats intended for the more important guests.” The new seat was </w:t>
      </w:r>
      <w:r>
        <w:rPr>
          <w:i/>
          <w:lang w:val="en_US" w:bidi="en_US"/>
        </w:rPr>
        <w:t>better</w:t>
      </w:r>
      <w:r>
        <w:rPr>
          <w:lang w:val="en_US" w:bidi="en_US"/>
        </w:rPr>
        <w:t xml:space="preserve"> in the sense than it was considered to be a place of honor. See how you translated “place of honor” in 14:8b.</w:t>
      </w:r>
    </w:p>
    <w:p>
      <w:pPr/>
      <w:r>
        <w:rPr>
          <w:lang w:val="en_US" w:bidi="en_US"/>
        </w:rPr>
      </w:r>
      <w:r>
        <w:rPr>
          <w:lang w:val="en_US" w:bidi="en_US"/>
        </w:rPr>
        <w:t>In some languages it may not be natural to talk about moving to a “better place” unless one first mentions the original place. For example:</w:t>
      </w:r>
    </w:p>
    <w:p>
      <w:pPr/>
      <w:r>
        <w:rPr>
          <w:lang w:val="en_US" w:bidi="en_US"/>
        </w:rPr>
      </w:r>
      <w:r>
        <w:rPr>
          <w:lang w:val="en_US" w:bidi="en_US"/>
        </w:rPr>
        <w:t>That place is not good enough for you!</w:t>
      </w:r>
      <w:r>
        <w:rPr>
          <w:lang w:val="en_US" w:bidi="en_US"/>
        </w:rPr>
        <w:t xml:space="preserve"> Here is a place that is better.</w:t>
      </w:r>
    </w:p>
    <w:p>
      <w:pPr>
        <w:pStyle w:val="Heading5"/>
      </w:pPr>
      <w:r>
        <w:rPr>
          <w:lang w:val="en_US" w:bidi="en_US"/>
        </w:rPr>
        <w:t>14:10d</w:t>
      </w:r>
    </w:p>
    <w:p>
      <w:pPr/>
      <w:r>
        <w:rPr>
          <w:lang w:val="en_US" w:bidi="en_US"/>
        </w:rPr>
      </w:r>
      <w:r>
        <w:rPr>
          <w:b/>
          <w:lang w:val="en_US" w:bidi="en_US"/>
        </w:rPr>
        <w:t>Then you will be honored in front of everyone at the table with you.</w:t>
      </w:r>
    </w:p>
    <w:p>
      <w:pPr>
        <w:pStyle w:val="ListBullet"/>
        <w:spacing w:line="240" w:lineRule="auto"/>
        <w:ind w:left="720"/>
      </w:pPr>
      <w:r>
        <w:rPr>
          <w:lang w:val="en_US" w:bidi="en_US"/>
        </w:rPr>
      </w:r>
      <w:r>
        <w:rPr>
          <w:lang w:val="en_US" w:bidi="en_US"/>
        </w:rPr>
        <w:t>Then you</w:t>
      </w:r>
      <w:r>
        <w:rPr>
          <w:vertAlign w:val="superscript"/>
          <w:lang w:val="en_US" w:bidi="en_US"/>
        </w:rPr>
        <w:t>(sing)</w:t>
      </w:r>
      <w:r>
        <w:rPr>
          <w:lang w:val="en_US" w:bidi="en_US"/>
        </w:rPr>
        <w:t xml:space="preserve"> will receive honor while all the other guests are watching.</w:t>
      </w:r>
    </w:p>
    <w:p>
      <w:pPr>
        <w:pStyle w:val="ListBullet"/>
        <w:spacing w:line="240" w:lineRule="auto"/>
        <w:ind w:left="720"/>
      </w:pPr>
      <w:r>
        <w:rPr>
          <w:lang w:val="en_US" w:bidi="en_US"/>
        </w:rPr>
      </w:r>
      <w:r>
        <w:rPr>
          <w:lang w:val="en_US" w:bidi="en_US"/>
        </w:rPr>
        <w:t>If that happens,</w:t>
      </w:r>
      <w:r>
        <w:rPr>
          <w:lang w:val="en_US" w:bidi="en_US"/>
        </w:rPr>
        <w:t xml:space="preserve"> all the other people at the feast will see that </w:t>
      </w:r>
      <w:r>
        <w:rPr>
          <w:lang w:val="en_US" w:bidi="en_US"/>
        </w:rPr>
        <w:t>the host</w:t>
      </w:r>
      <w:r>
        <w:rPr>
          <w:lang w:val="en_US" w:bidi="en_US"/>
        </w:rPr>
        <w:t xml:space="preserve"> has shown you honor/respect.</w:t>
      </w:r>
    </w:p>
    <w:p>
      <w:pPr/>
      <w:r>
        <w:rPr>
          <w:lang w:val="en_US" w:bidi="en_US"/>
        </w:rPr>
      </w:r>
      <w:r>
        <w:rPr>
          <w:b/>
          <w:lang w:val="en_US" w:bidi="en_US"/>
        </w:rPr>
        <w:t>Then:</w:t>
      </w:r>
      <w:r>
        <w:rPr>
          <w:lang w:val="en_US" w:bidi="en_US"/>
        </w:rPr>
        <w:t xml:space="preserve"> Here the word </w:t>
      </w:r>
      <w:r>
        <w:rPr>
          <w:i/>
          <w:lang w:val="en_US" w:bidi="en_US"/>
        </w:rPr>
        <w:t>Then</w:t>
      </w:r>
      <w:r>
        <w:rPr>
          <w:lang w:val="en_US" w:bidi="en_US"/>
        </w:rPr>
        <w:t xml:space="preserve"> introduces the result of 14:10a–c. When the host finds his guest in such an unimportant seat, he may tell him to take a more important one. Other ways to express this result are:</w:t>
      </w:r>
    </w:p>
    <w:p>
      <w:pPr/>
      <w:r>
        <w:rPr>
          <w:lang w:val="en_US" w:bidi="en_US"/>
        </w:rPr>
      </w:r>
      <w:r>
        <w:rPr>
          <w:lang w:val="en_US" w:bidi="en_US"/>
        </w:rPr>
        <w:t>This will bring you honor (GNT)</w:t>
      </w:r>
    </w:p>
    <w:p>
      <w:pPr/>
      <w:r>
        <w:rPr>
          <w:lang w:val="en_US" w:bidi="en_US"/>
        </w:rPr>
      </w:r>
      <w:r>
        <w:rPr>
          <w:lang w:val="en_US" w:bidi="en_US"/>
        </w:rPr>
        <w:t>In this way you will receive honor</w:t>
      </w:r>
    </w:p>
    <w:p>
      <w:pPr/>
      <w:r>
        <w:rPr>
          <w:lang w:val="en_US" w:bidi="en_US"/>
        </w:rPr>
      </w:r>
      <w:r>
        <w:rPr>
          <w:b/>
          <w:lang w:val="en_US" w:bidi="en_US"/>
        </w:rPr>
        <w:t>you will be honored in front of everyone at the table with you:</w:t>
      </w:r>
      <w:r>
        <w:rPr>
          <w:lang w:val="en_US" w:bidi="en_US"/>
        </w:rPr>
        <w:t xml:space="preserve"> In Greek this clause is more literally “(there) will be for you honor before all your fellow guests.” In this context it indicates that all the other people at the feast will see the host honoring the guest. Some other ways to translate this are:</w:t>
      </w:r>
    </w:p>
    <w:p>
      <w:pPr/>
      <w:r>
        <w:rPr>
          <w:lang w:val="en_US" w:bidi="en_US"/>
        </w:rPr>
      </w:r>
      <w:r>
        <w:rPr>
          <w:lang w:val="en_US" w:bidi="en_US"/>
        </w:rPr>
        <w:t>all your fellow-guests will see the respect in which you are held (REB)</w:t>
      </w:r>
    </w:p>
    <w:p>
      <w:pPr/>
      <w:r>
        <w:rPr>
          <w:lang w:val="en_US" w:bidi="en_US"/>
        </w:rPr>
      </w:r>
      <w:r>
        <w:rPr>
          <w:lang w:val="en_US" w:bidi="en_US"/>
        </w:rPr>
        <w:t xml:space="preserve">all the others will see how much </w:t>
      </w:r>
      <w:r>
        <w:rPr>
          <w:lang w:val="en_US" w:bidi="en_US"/>
        </w:rPr>
        <w:t>the host</w:t>
      </w:r>
      <w:r>
        <w:rPr>
          <w:lang w:val="en_US" w:bidi="en_US"/>
        </w:rPr>
        <w:t xml:space="preserve"> respects you</w:t>
      </w:r>
      <w:r>
        <w:rPr>
          <w:lang w:val="en_US" w:bidi="en_US"/>
        </w:rPr>
      </w:r>
      <w:r>
        <w:rPr>
          <w:lang w:val="en_US" w:bidi="en_US"/>
        </w:rPr>
      </w:r>
    </w:p>
    <w:p>
      <w:pPr/>
      <w:r>
        <w:rPr>
          <w:lang w:val="en_US" w:bidi="en_US"/>
        </w:rPr>
      </w:r>
    </w:p>
    <w:p>
      <w:pPr>
        <w:pStyle w:val="Heading2"/>
      </w:pPr>
      <w:r>
        <w:rPr>
          <w:lang w:val="en_US" w:bidi="en_US"/>
        </w:rPr>
        <w:t>Luke 14:11</w:t>
      </w:r>
      <w:r>
        <w:rPr>
          <w:lang w:val="en_US" w:bidi="en_US"/>
        </w:rPr>
      </w:r>
    </w:p>
    <w:p>
      <w:pPr>
        <w:pStyle w:val="Heading4"/>
      </w:pPr>
      <w:r>
        <w:rPr>
          <w:lang w:val="en_US" w:bidi="en_US"/>
        </w:rPr>
        <w:t>Section 14:7–14: Jesus gave advice to the other guests and to his host</w:t>
      </w:r>
    </w:p>
    <w:p>
      <w:pPr/>
      <w:r>
        <w:rPr>
          <w:lang w:val="en_US" w:bidi="en_US"/>
        </w:rPr>
      </w:r>
      <w:r>
        <w:rPr>
          <w:lang w:val="en_US" w:bidi="en_US"/>
        </w:rPr>
        <w:t>In this section Jesus was still in the house of the Pharisee. He noticed that the other guests who came into the house were choosing positions of honor at the meal. He instructed them by means of a parable about wedding guests that they should be humble and not seek their own honor (14:7–11). He then instructed the Pharisee who was their host to hold feasts for people who were poor. Poor people could not invite him to a feast in return, so God would reward him (14:12–14).</w:t>
      </w:r>
    </w:p>
    <w:p>
      <w:pPr/>
      <w:r>
        <w:rPr>
          <w:lang w:val="en_US" w:bidi="en_US"/>
        </w:rPr>
      </w:r>
      <w:r>
        <w:rPr>
          <w:lang w:val="en_US" w:bidi="en_US"/>
        </w:rPr>
        <w:t>Some other possible headings for this section are:</w:t>
      </w:r>
    </w:p>
    <w:p>
      <w:pPr/>
      <w:r>
        <w:rPr>
          <w:lang w:val="en_US" w:bidi="en_US"/>
        </w:rPr>
      </w:r>
      <w:r>
        <w:rPr>
          <w:lang w:val="en_US" w:bidi="en_US"/>
        </w:rPr>
        <w:t>Humility and Hospitality (GNT)</w:t>
      </w:r>
    </w:p>
    <w:p>
      <w:pPr/>
      <w:r>
        <w:rPr>
          <w:lang w:val="en_US" w:bidi="en_US"/>
        </w:rPr>
      </w:r>
      <w:r>
        <w:rPr>
          <w:lang w:val="en_US" w:bidi="en_US"/>
        </w:rPr>
        <w:t>Instructions to Guests and to a Host</w:t>
      </w:r>
    </w:p>
    <w:p>
      <w:pPr>
        <w:pStyle w:val="Heading5"/>
      </w:pPr>
      <w:r>
        <w:rPr>
          <w:lang w:val="en_US" w:bidi="en_US"/>
        </w:rPr>
        <w:t>14:11a</w:t>
      </w:r>
    </w:p>
    <w:p>
      <w:pPr/>
      <w:r>
        <w:rPr>
          <w:lang w:val="en_US" w:bidi="en_US"/>
        </w:rPr>
      </w:r>
      <w:r>
        <w:rPr>
          <w:b/>
          <w:lang w:val="en_US" w:bidi="en_US"/>
        </w:rPr>
        <w:t>For everyone who exalts himself will be humbled,</w:t>
      </w:r>
    </w:p>
    <w:p>
      <w:pPr>
        <w:pStyle w:val="ListBullet"/>
        <w:spacing w:line="240" w:lineRule="auto"/>
        <w:ind w:left="720"/>
      </w:pPr>
      <w:r>
        <w:rPr>
          <w:lang w:val="en_US" w:bidi="en_US"/>
        </w:rPr>
      </w:r>
      <w:r>
        <w:rPr>
          <w:lang w:val="en_US" w:bidi="en_US"/>
        </w:rPr>
        <w:t xml:space="preserve">For </w:t>
      </w:r>
      <w:r>
        <w:rPr>
          <w:lang w:val="en_US" w:bidi="en_US"/>
        </w:rPr>
        <w:t>it is true that</w:t>
      </w:r>
      <w:r>
        <w:rPr>
          <w:lang w:val="en_US" w:bidi="en_US"/>
        </w:rPr>
        <w:t xml:space="preserve"> everyone who </w:t>
      </w:r>
      <w:r>
        <w:rPr>
          <w:lang w:val="en_US" w:bidi="en_US"/>
        </w:rPr>
        <w:t>tries to</w:t>
      </w:r>
      <w:r>
        <w:rPr>
          <w:lang w:val="en_US" w:bidi="en_US"/>
        </w:rPr>
        <w:t xml:space="preserve"> raise/honor himself will be made low/unimportant,</w:t>
      </w:r>
    </w:p>
    <w:p>
      <w:pPr>
        <w:pStyle w:val="ListBullet"/>
        <w:spacing w:line="240" w:lineRule="auto"/>
        <w:ind w:left="720"/>
      </w:pPr>
      <w:r>
        <w:rPr>
          <w:lang w:val="en_US" w:bidi="en_US"/>
        </w:rPr>
      </w:r>
      <w:r>
        <w:rPr>
          <w:lang w:val="en_US" w:bidi="en_US"/>
        </w:rPr>
        <w:t>I told you this parable/example to teach you</w:t>
      </w:r>
      <w:r>
        <w:rPr>
          <w:lang w:val="en_US" w:bidi="en_US"/>
        </w:rPr>
        <w:t xml:space="preserve"> that </w:t>
      </w:r>
      <w:r>
        <w:rPr>
          <w:lang w:val="en_US" w:bidi="en_US"/>
        </w:rPr>
        <w:t>God</w:t>
      </w:r>
      <w:r>
        <w:rPr>
          <w:lang w:val="en_US" w:bidi="en_US"/>
        </w:rPr>
        <w:t xml:space="preserve"> will put in an unimportant/low position every person who tries to make himself </w:t>
      </w:r>
      <w:r>
        <w:rPr>
          <w:lang w:val="en_US" w:bidi="en_US"/>
        </w:rPr>
        <w:t>seem</w:t>
      </w:r>
      <w:r>
        <w:rPr>
          <w:lang w:val="en_US" w:bidi="en_US"/>
        </w:rPr>
        <w:t xml:space="preserve"> important/high.</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general principle that Jesus wanted people to understand from the preceding parable. In some languages it may be necessary to clarify this connection. For example:</w:t>
      </w:r>
    </w:p>
    <w:p>
      <w:pPr/>
      <w:r>
        <w:rPr>
          <w:lang w:val="en_US" w:bidi="en_US"/>
        </w:rPr>
      </w:r>
      <w:r>
        <w:rPr>
          <w:lang w:val="en_US" w:bidi="en_US"/>
        </w:rPr>
        <w:t>This parable illustrates</w:t>
      </w:r>
      <w:r>
        <w:rPr>
          <w:lang w:val="en_US" w:bidi="en_US"/>
        </w:rPr>
        <w:t xml:space="preserve"> that…</w:t>
      </w:r>
    </w:p>
    <w:p>
      <w:pPr/>
      <w:r>
        <w:rPr>
          <w:lang w:val="en_US" w:bidi="en_US"/>
        </w:rPr>
      </w:r>
      <w:r>
        <w:rPr>
          <w:lang w:val="en_US" w:bidi="en_US"/>
        </w:rPr>
        <w:t>I told this parable to teach you</w:t>
      </w:r>
      <w:r>
        <w:rPr>
          <w:lang w:val="en_US" w:bidi="en_US"/>
        </w:rPr>
        <w:t xml:space="preserve"> that</w:t>
      </w:r>
    </w:p>
    <w:p>
      <w:pPr/>
      <w:r>
        <w:rPr>
          <w:lang w:val="en_US" w:bidi="en_US"/>
        </w:rPr>
      </w:r>
      <w:r>
        <w:rPr>
          <w:lang w:val="en_US" w:bidi="en_US"/>
        </w:rPr>
        <w:t>In other languages an explicit conjunction may not be necessary. For example:</w:t>
      </w:r>
    </w:p>
    <w:p>
      <w:pPr/>
      <w:r>
        <w:rPr>
          <w:lang w:val="en_US" w:bidi="en_US"/>
        </w:rPr>
      </w:r>
      <w:r>
        <w:rPr>
          <w:lang w:val="en_US" w:bidi="en_US"/>
        </w:rPr>
        <w:t>Those who honor themselves (GW)</w:t>
      </w:r>
    </w:p>
    <w:p>
      <w:pPr/>
      <w:r>
        <w:rPr>
          <w:lang w:val="en_US" w:bidi="en_US"/>
        </w:rPr>
      </w:r>
      <w:r>
        <w:rPr>
          <w:b/>
          <w:lang w:val="en_US" w:bidi="en_US"/>
        </w:rPr>
        <w:t>everyone who exalts himself will be humbled:</w:t>
      </w:r>
      <w:r>
        <w:rPr>
          <w:lang w:val="en_US" w:bidi="en_US"/>
        </w:rPr>
        <w:t xml:space="preserve"> The verb that the BSB translates as </w:t>
      </w:r>
      <w:r>
        <w:rPr>
          <w:i/>
          <w:lang w:val="en_US" w:bidi="en_US"/>
        </w:rPr>
        <w:t>will be humbled</w:t>
      </w:r>
      <w:r>
        <w:rPr>
          <w:lang w:val="en_US" w:bidi="en_US"/>
        </w:rPr>
        <w:t xml:space="preserve"> is passive. Other ways to translate it are:</w:t>
      </w:r>
    </w:p>
    <w:p>
      <w:pPr>
        <w:pStyle w:val="ListBullet"/>
        <w:spacing w:line="240" w:lineRule="auto"/>
        <w:ind w:left="720"/>
      </w:pPr>
      <w:r>
        <w:rPr>
          <w:lang w:val="en_US" w:bidi="en_US"/>
        </w:rPr>
      </w:r>
      <w:r>
        <w:rPr>
          <w:lang w:val="en_US" w:bidi="en_US"/>
        </w:rPr>
        <w:t>Use an active verb that does not require a subject. For example:</w:t>
      </w:r>
      <w:r>
        <w:rPr>
          <w:lang w:val="en_US" w:bidi="en_US"/>
        </w:rPr>
        <w:t xml:space="preserve">Everyone who </w:t>
      </w:r>
      <w:r>
        <w:rPr>
          <w:lang w:val="en_US" w:bidi="en_US"/>
        </w:rPr>
        <w:t>tries to</w:t>
      </w:r>
      <w:r>
        <w:rPr>
          <w:lang w:val="en_US" w:bidi="en_US"/>
        </w:rPr>
        <w:t xml:space="preserve"> honor himself will receive shame</w:t>
      </w:r>
      <w:r>
        <w:rPr>
          <w:lang w:val="en_US" w:bidi="en_US"/>
        </w:rPr>
        <w:t>Seeking your own honor results in shame/humiliation</w:t>
      </w:r>
    </w:p>
    <w:p>
      <w:pPr>
        <w:pStyle w:val="ListBullet"/>
        <w:spacing w:line="240" w:lineRule="auto"/>
        <w:ind w:left="720"/>
      </w:pPr>
      <w:r>
        <w:rPr>
          <w:lang w:val="en_US" w:bidi="en_US"/>
        </w:rPr>
      </w:r>
      <w:r>
        <w:rPr>
          <w:lang w:val="en_US" w:bidi="en_US"/>
        </w:rPr>
        <w:t>If it is necessary in your language to supply a subject, the implied subject is God. For example:</w:t>
      </w:r>
      <w:r>
        <w:rPr>
          <w:lang w:val="en_US" w:bidi="en_US"/>
        </w:rPr>
        <w:t>God</w:t>
      </w:r>
      <w:r>
        <w:rPr>
          <w:lang w:val="en_US" w:bidi="en_US"/>
        </w:rPr>
        <w:t xml:space="preserve"> will humble everyone who exalts himself</w:t>
      </w:r>
    </w:p>
    <w:p>
      <w:pPr/>
      <w:r>
        <w:rPr>
          <w:lang w:val="en_US" w:bidi="en_US"/>
        </w:rPr>
      </w:r>
      <w:r>
        <w:rPr>
          <w:lang w:val="en_US" w:bidi="en_US"/>
        </w:rPr>
        <w:t>In some languages it may be more natural to reword this clause as an “if” clause followed by a conclusion. For example:</w:t>
      </w:r>
    </w:p>
    <w:p>
      <w:pPr/>
      <w:r>
        <w:rPr>
          <w:lang w:val="en_US" w:bidi="en_US"/>
        </w:rPr>
      </w:r>
      <w:r>
        <w:rPr>
          <w:lang w:val="en_US" w:bidi="en_US"/>
        </w:rPr>
        <w:t>If you put yourself above others, you will be put down (CEV)</w:t>
      </w:r>
    </w:p>
    <w:p>
      <w:pPr/>
      <w:r>
        <w:rPr>
          <w:lang w:val="en_US" w:bidi="en_US"/>
        </w:rPr>
      </w:r>
      <w:r>
        <w:rPr>
          <w:b/>
          <w:lang w:val="en_US" w:bidi="en_US"/>
        </w:rPr>
        <w:t>exalts himself:</w:t>
      </w:r>
      <w:r>
        <w:rPr>
          <w:lang w:val="en_US" w:bidi="en_US"/>
        </w:rPr>
        <w:t xml:space="preserve"> The Greek phrase that the BSB translates as </w:t>
      </w:r>
      <w:r>
        <w:rPr>
          <w:i/>
          <w:lang w:val="en_US" w:bidi="en_US"/>
        </w:rPr>
        <w:t>exalts himself</w:t>
      </w:r>
      <w:r>
        <w:rPr>
          <w:lang w:val="en_US" w:bidi="en_US"/>
        </w:rPr>
        <w:t xml:space="preserve"> literally means to raise or lift up oneself. This is a figurative way to describe someone who tries to gain honor from other people. Some other ways to translate this are:</w:t>
      </w:r>
    </w:p>
    <w:p>
      <w:pPr/>
      <w:r>
        <w:rPr>
          <w:lang w:val="en_US" w:bidi="en_US"/>
        </w:rPr>
      </w:r>
      <w:r>
        <w:rPr>
          <w:lang w:val="en_US" w:bidi="en_US"/>
        </w:rPr>
        <w:t>make themselves great (GNT)</w:t>
      </w:r>
    </w:p>
    <w:p>
      <w:pPr/>
      <w:r>
        <w:rPr>
          <w:lang w:val="en_US" w:bidi="en_US"/>
        </w:rPr>
      </w:r>
      <w:r>
        <w:rPr>
          <w:lang w:val="en_US" w:bidi="en_US"/>
        </w:rPr>
        <w:t>tries to make himself look important</w:t>
      </w:r>
    </w:p>
    <w:p>
      <w:pPr>
        <w:pStyle w:val="Heading5"/>
      </w:pPr>
      <w:r>
        <w:rPr>
          <w:lang w:val="en_US" w:bidi="en_US"/>
        </w:rPr>
        <w:t>14:11b</w:t>
      </w:r>
    </w:p>
    <w:p>
      <w:pPr/>
      <w:r>
        <w:rPr>
          <w:lang w:val="en_US" w:bidi="en_US"/>
        </w:rPr>
      </w:r>
      <w:r>
        <w:rPr>
          <w:b/>
          <w:lang w:val="en_US" w:bidi="en_US"/>
        </w:rPr>
        <w:t>and the one who humbles himself will be exalted.”</w:t>
      </w:r>
    </w:p>
    <w:p>
      <w:pPr>
        <w:pStyle w:val="ListBullet"/>
        <w:spacing w:line="240" w:lineRule="auto"/>
        <w:ind w:left="720"/>
      </w:pPr>
      <w:r>
        <w:rPr>
          <w:lang w:val="en_US" w:bidi="en_US"/>
        </w:rPr>
      </w:r>
      <w:r>
        <w:rPr>
          <w:lang w:val="en_US" w:bidi="en_US"/>
        </w:rPr>
        <w:t>but/while the person who has a humble/lowly attitude will be raised/honored.”</w:t>
      </w:r>
    </w:p>
    <w:p>
      <w:pPr>
        <w:pStyle w:val="ListBullet"/>
        <w:spacing w:line="240" w:lineRule="auto"/>
        <w:ind w:left="720"/>
      </w:pPr>
      <w:r>
        <w:rPr>
          <w:lang w:val="en_US" w:bidi="en_US"/>
        </w:rPr>
      </w:r>
      <w:r>
        <w:rPr>
          <w:lang w:val="en_US" w:bidi="en_US"/>
        </w:rPr>
        <w:t xml:space="preserve">And </w:t>
      </w:r>
      <w:r>
        <w:rPr>
          <w:lang w:val="en_US" w:bidi="en_US"/>
        </w:rPr>
        <w:t>God</w:t>
      </w:r>
      <w:r>
        <w:rPr>
          <w:lang w:val="en_US" w:bidi="en_US"/>
        </w:rPr>
        <w:t xml:space="preserve"> will </w:t>
      </w:r>
      <w:r>
        <w:rPr>
          <w:lang w:val="en_US" w:bidi="en_US"/>
        </w:rPr>
        <w:t>also</w:t>
      </w:r>
      <w:r>
        <w:rPr>
          <w:lang w:val="en_US" w:bidi="en_US"/>
        </w:rPr>
        <w:t xml:space="preserve"> make important </w:t>
      </w:r>
      <w:r>
        <w:rPr>
          <w:lang w:val="en_US" w:bidi="en_US"/>
        </w:rPr>
        <w:t>every</w:t>
      </w:r>
      <w:r>
        <w:rPr>
          <w:lang w:val="en_US" w:bidi="en_US"/>
        </w:rPr>
        <w:t xml:space="preserve"> person who makes himself unimportant/humble/low.”</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another principle that Jesus illustrated by the parable in 14:8–10. This principle corresponds to the principle in 14:11a. However, the results of a person humbling himself (11b) contrast with the results of exalting himself (11a), so some English versions have “but” here. For example:</w:t>
      </w:r>
    </w:p>
    <w:p>
      <w:pPr/>
      <w:r>
        <w:rPr>
          <w:lang w:val="en_US" w:bidi="en_US"/>
        </w:rPr>
      </w:r>
      <w:r>
        <w:rPr>
          <w:lang w:val="en_US" w:bidi="en_US"/>
        </w:rPr>
        <w:t>but people who humble themselves will be honored (GW)</w:t>
      </w:r>
    </w:p>
    <w:p>
      <w:pPr/>
      <w:r>
        <w:rPr>
          <w:lang w:val="en_US" w:bidi="en_US"/>
        </w:rPr>
      </w:r>
      <w:r>
        <w:rPr>
          <w:lang w:val="en_US" w:bidi="en_US"/>
        </w:rPr>
        <w:t>Connect 14:11a and 14:11b in a natural way in your language.</w:t>
      </w:r>
    </w:p>
    <w:p>
      <w:pPr/>
      <w:r>
        <w:rPr>
          <w:lang w:val="en_US" w:bidi="en_US"/>
        </w:rPr>
      </w:r>
      <w:r>
        <w:rPr>
          <w:b/>
          <w:lang w:val="en_US" w:bidi="en_US"/>
        </w:rPr>
        <w:t>the one who humbles himself will be exalted:</w:t>
      </w:r>
      <w:r>
        <w:rPr>
          <w:lang w:val="en_US" w:bidi="en_US"/>
        </w:rPr>
        <w:t xml:space="preserve"> This clause indicates that if a person decides to be humble and willingly takes a place of low status, God will honor him. As in the previous clause, in some languages it will be necessary to make the implied subject “God” explicit. For example:</w:t>
      </w:r>
    </w:p>
    <w:p>
      <w:pPr/>
      <w:r>
        <w:rPr>
          <w:lang w:val="en_US" w:bidi="en_US"/>
        </w:rPr>
      </w:r>
      <w:r>
        <w:rPr>
          <w:lang w:val="en_US" w:bidi="en_US"/>
        </w:rPr>
        <w:t>God</w:t>
      </w:r>
      <w:r>
        <w:rPr>
          <w:lang w:val="en_US" w:bidi="en_US"/>
        </w:rPr>
        <w:t xml:space="preserve"> will honor the one who humbles himself.</w:t>
      </w:r>
    </w:p>
    <w:p>
      <w:pPr/>
      <w:r>
        <w:rPr>
          <w:lang w:val="en_US" w:bidi="en_US"/>
        </w:rPr>
      </w:r>
      <w:r>
        <w:rPr>
          <w:lang w:val="en_US" w:bidi="en_US"/>
        </w:rPr>
        <w:t>If you used an “if” clause in the previous part of the verse, you will also need to do the same thing here. For example:</w:t>
      </w:r>
    </w:p>
    <w:p>
      <w:pPr/>
      <w:r>
        <w:rPr>
          <w:lang w:val="en_US" w:bidi="en_US"/>
        </w:rPr>
      </w:r>
      <w:r>
        <w:rPr>
          <w:lang w:val="en_US" w:bidi="en_US"/>
        </w:rPr>
        <w:t>But if you humble yourself, you will be honored. (CEV)</w:t>
      </w:r>
      <w:r>
        <w:rPr>
          <w:lang w:val="en_US" w:bidi="en_US"/>
        </w:rPr>
      </w:r>
      <w:r>
        <w:rPr>
          <w:lang w:val="en_US" w:bidi="en_US"/>
        </w:rPr>
      </w:r>
    </w:p>
    <w:p>
      <w:pPr/>
      <w:r>
        <w:rPr>
          <w:lang w:val="en_US" w:bidi="en_US"/>
        </w:rPr>
      </w:r>
    </w:p>
    <w:p>
      <w:pPr>
        <w:pStyle w:val="Heading2"/>
      </w:pPr>
      <w:r>
        <w:rPr>
          <w:lang w:val="en_US" w:bidi="en_US"/>
        </w:rPr>
        <w:t>Luke 14:12</w:t>
      </w:r>
      <w:r>
        <w:rPr>
          <w:lang w:val="en_US" w:bidi="en_US"/>
        </w:rPr>
      </w:r>
    </w:p>
    <w:p>
      <w:pPr>
        <w:pStyle w:val="Heading4"/>
      </w:pPr>
      <w:r>
        <w:rPr>
          <w:lang w:val="en_US" w:bidi="en_US"/>
        </w:rPr>
        <w:t>Section 14:7–14: Jesus gave advice to the other guests and to his host</w:t>
      </w:r>
    </w:p>
    <w:p>
      <w:pPr/>
      <w:r>
        <w:rPr>
          <w:lang w:val="en_US" w:bidi="en_US"/>
        </w:rPr>
      </w:r>
      <w:r>
        <w:rPr>
          <w:lang w:val="en_US" w:bidi="en_US"/>
        </w:rPr>
        <w:t>In this section Jesus was still in the house of the Pharisee. He noticed that the other guests who came into the house were choosing positions of honor at the meal. He instructed them by means of a parable about wedding guests that they should be humble and not seek their own honor (14:7–11). He then instructed the Pharisee who was their host to hold feasts for people who were poor. Poor people could not invite him to a feast in return, so God would reward him (14:12–14).</w:t>
      </w:r>
    </w:p>
    <w:p>
      <w:pPr/>
      <w:r>
        <w:rPr>
          <w:lang w:val="en_US" w:bidi="en_US"/>
        </w:rPr>
      </w:r>
      <w:r>
        <w:rPr>
          <w:lang w:val="en_US" w:bidi="en_US"/>
        </w:rPr>
        <w:t>Some other possible headings for this section are:</w:t>
      </w:r>
    </w:p>
    <w:p>
      <w:pPr/>
      <w:r>
        <w:rPr>
          <w:lang w:val="en_US" w:bidi="en_US"/>
        </w:rPr>
      </w:r>
      <w:r>
        <w:rPr>
          <w:lang w:val="en_US" w:bidi="en_US"/>
        </w:rPr>
        <w:t>Humility and Hospitality (GNT)</w:t>
      </w:r>
    </w:p>
    <w:p>
      <w:pPr/>
      <w:r>
        <w:rPr>
          <w:lang w:val="en_US" w:bidi="en_US"/>
        </w:rPr>
      </w:r>
      <w:r>
        <w:rPr>
          <w:lang w:val="en_US" w:bidi="en_US"/>
        </w:rPr>
        <w:t>Instructions to Guests and to a Host</w:t>
      </w:r>
    </w:p>
    <w:p>
      <w:pPr>
        <w:pStyle w:val="Heading4"/>
      </w:pPr>
      <w:r>
        <w:rPr>
          <w:lang w:val="en_US" w:bidi="en_US"/>
        </w:rPr>
        <w:t>Paragraph 14:12–14</w:t>
      </w:r>
    </w:p>
    <w:p>
      <w:pPr/>
      <w:r>
        <w:rPr>
          <w:lang w:val="en_US" w:bidi="en_US"/>
        </w:rPr>
      </w:r>
      <w:r>
        <w:rPr>
          <w:lang w:val="en_US" w:bidi="en_US"/>
        </w:rPr>
        <w:t>In this paragraph Jesus taught that people should not invite to their feasts only people who can repay them by inviting them to a meal. They should also invite poor people who cannot repay them.</w:t>
      </w:r>
    </w:p>
    <w:p>
      <w:pPr>
        <w:pStyle w:val="Heading5"/>
      </w:pPr>
      <w:r>
        <w:rPr>
          <w:lang w:val="en_US" w:bidi="en_US"/>
        </w:rPr>
        <w:t>14:12a</w:t>
      </w:r>
    </w:p>
    <w:p>
      <w:pPr/>
      <w:r>
        <w:rPr>
          <w:lang w:val="en_US" w:bidi="en_US"/>
        </w:rPr>
      </w:r>
      <w:r>
        <w:rPr>
          <w:b/>
          <w:lang w:val="en_US" w:bidi="en_US"/>
        </w:rPr>
        <w:t>Then Jesus said to the man who had invited Him,</w:t>
      </w:r>
    </w:p>
    <w:p>
      <w:pPr>
        <w:pStyle w:val="ListBullet"/>
        <w:spacing w:line="240" w:lineRule="auto"/>
        <w:ind w:left="720"/>
      </w:pPr>
      <w:r>
        <w:rPr>
          <w:lang w:val="en_US" w:bidi="en_US"/>
        </w:rPr>
      </w:r>
      <w:r>
        <w:rPr>
          <w:lang w:val="en_US" w:bidi="en_US"/>
        </w:rPr>
        <w:t xml:space="preserve">¶ Then Jesus said to the man/one who invited him </w:t>
      </w:r>
      <w:r>
        <w:rPr>
          <w:lang w:val="en_US" w:bidi="en_US"/>
        </w:rPr>
        <w:t>to dinner</w:t>
      </w:r>
      <w:r>
        <w:rPr>
          <w:lang w:val="en_US" w:bidi="en_US"/>
        </w:rPr>
        <w:t>,</w:t>
      </w:r>
    </w:p>
    <w:p>
      <w:pPr/>
      <w:r>
        <w:rPr>
          <w:lang w:val="en_US" w:bidi="en_US"/>
        </w:rPr>
      </w:r>
      <w:r>
        <w:rPr>
          <w:b/>
          <w:lang w:val="en_US" w:bidi="en_US"/>
        </w:rPr>
        <w:t>Then Jesus said to the man who had invited Him:</w:t>
      </w:r>
      <w:r>
        <w:rPr>
          <w:lang w:val="en_US" w:bidi="en_US"/>
        </w:rPr>
        <w:t xml:space="preserve"> The Greek phrase that the BSB translates as </w:t>
      </w:r>
      <w:r>
        <w:rPr>
          <w:i/>
          <w:lang w:val="en_US" w:bidi="en_US"/>
        </w:rPr>
        <w:t>the man who had invited Him</w:t>
      </w:r>
      <w:r>
        <w:rPr>
          <w:lang w:val="en_US" w:bidi="en_US"/>
        </w:rPr>
        <w:t xml:space="preserve"> is literally “the (one) having-invited him,” as in 14:9a. Here it refers to the Pharisee who had invited Jesus to eat dinner in his home (in 14:1a). See how you translated this same expression in 14:9a.</w:t>
      </w:r>
    </w:p>
    <w:p>
      <w:pPr>
        <w:pStyle w:val="Heading5"/>
      </w:pPr>
      <w:r>
        <w:rPr>
          <w:lang w:val="en_US" w:bidi="en_US"/>
        </w:rPr>
        <w:t>14:12b</w:t>
      </w:r>
    </w:p>
    <w:p>
      <w:pPr/>
      <w:r>
        <w:rPr>
          <w:lang w:val="en_US" w:bidi="en_US"/>
        </w:rPr>
      </w:r>
      <w:r>
        <w:rPr>
          <w:b/>
          <w:lang w:val="en_US" w:bidi="en_US"/>
        </w:rPr>
        <w:t>“When you host a dinner or a banquet,</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invite people to lunch/brunch or dinner/supper,</w:t>
      </w:r>
    </w:p>
    <w:p>
      <w:pPr>
        <w:pStyle w:val="ListBullet"/>
        <w:spacing w:line="240" w:lineRule="auto"/>
        <w:ind w:left="720"/>
      </w:pPr>
      <w:r>
        <w:rPr>
          <w:lang w:val="en_US" w:bidi="en_US"/>
        </w:rPr>
      </w:r>
      <w:r>
        <w:rPr>
          <w:lang w:val="en_US" w:bidi="en_US"/>
        </w:rPr>
        <w:t>“When you invite people to a meal,</w:t>
      </w:r>
    </w:p>
    <w:p>
      <w:pPr/>
      <w:r>
        <w:rPr>
          <w:lang w:val="en_US" w:bidi="en_US"/>
        </w:rPr>
      </w:r>
      <w:r>
        <w:rPr>
          <w:b/>
          <w:lang w:val="en_US" w:bidi="en_US"/>
        </w:rPr>
        <w:t>When you host a dinner or a banquet:</w:t>
      </w:r>
      <w:r>
        <w:rPr>
          <w:lang w:val="en_US" w:bidi="en_US"/>
        </w:rPr>
        <w:t xml:space="preserve"> The phrase that the BSB translates as </w:t>
      </w:r>
      <w:r>
        <w:rPr>
          <w:i/>
          <w:lang w:val="en_US" w:bidi="en_US"/>
        </w:rPr>
        <w:t>host a dinner or a banquet</w:t>
      </w:r>
      <w:r>
        <w:rPr>
          <w:lang w:val="en_US" w:bidi="en_US"/>
        </w:rPr>
        <w:t xml:space="preserve"> is literally “make a dinner or a banquet.” It refers to preparing a special meal or dinner for people to eat. The host may not actually make the food himself, but he pays for it and decides whom to invite. Other ways to translate the clause are:</w:t>
      </w:r>
    </w:p>
    <w:p>
      <w:pPr/>
      <w:r>
        <w:rPr>
          <w:lang w:val="en_US" w:bidi="en_US"/>
        </w:rPr>
      </w:r>
      <w:r>
        <w:rPr>
          <w:lang w:val="en_US" w:bidi="en_US"/>
        </w:rPr>
        <w:t>When you are having guests for lunch or supper (REB)</w:t>
      </w:r>
    </w:p>
    <w:p>
      <w:pPr/>
      <w:r>
        <w:rPr>
          <w:lang w:val="en_US" w:bidi="en_US"/>
        </w:rPr>
      </w:r>
      <w:r>
        <w:rPr>
          <w:lang w:val="en_US" w:bidi="en_US"/>
        </w:rPr>
        <w:t>When you give a luncheon or dinner (NIV)</w:t>
      </w:r>
    </w:p>
    <w:p>
      <w:pPr/>
      <w:r>
        <w:rPr>
          <w:lang w:val="en_US" w:bidi="en_US"/>
        </w:rPr>
      </w:r>
      <w:r>
        <w:rPr>
          <w:b/>
          <w:lang w:val="en_US" w:bidi="en_US"/>
        </w:rPr>
        <w:t>a dinner or a banquet:</w:t>
      </w:r>
      <w:r>
        <w:rPr>
          <w:lang w:val="en_US" w:bidi="en_US"/>
        </w:rPr>
        <w:t xml:space="preserve"> Jewish people normally ate two meals a day, one in the late morning, the other in the late afternoon or evening. The second meal was the main meal of the day. Either meal could be a special meal/feast for guests. English versions identify these meals in different ways. See the examples in the preceding note.</w:t>
      </w:r>
    </w:p>
    <w:p>
      <w:pPr/>
      <w:r>
        <w:rPr>
          <w:lang w:val="en_US" w:bidi="en_US"/>
        </w:rPr>
      </w:r>
      <w:r>
        <w:rPr>
          <w:lang w:val="en_US" w:bidi="en_US"/>
        </w:rPr>
        <w:t>The point of Jesus’ advice was not the time of the meal but rather the people who were invited. If it is awkward to specify different meals in your language, it may be better to use one general term. For example:</w:t>
      </w:r>
    </w:p>
    <w:p>
      <w:pPr/>
      <w:r>
        <w:rPr>
          <w:lang w:val="en_US" w:bidi="en_US"/>
        </w:rPr>
      </w:r>
      <w:r>
        <w:rPr>
          <w:lang w:val="en_US" w:bidi="en_US"/>
        </w:rPr>
        <w:t>a feast</w:t>
      </w:r>
    </w:p>
    <w:p>
      <w:pPr/>
      <w:r>
        <w:rPr>
          <w:lang w:val="en_US" w:bidi="en_US"/>
        </w:rPr>
      </w:r>
      <w:r>
        <w:rPr>
          <w:lang w:val="en_US" w:bidi="en_US"/>
        </w:rPr>
        <w:t>a meal</w:t>
      </w:r>
    </w:p>
    <w:p>
      <w:pPr>
        <w:pStyle w:val="Heading5"/>
      </w:pPr>
      <w:r>
        <w:rPr>
          <w:lang w:val="en_US" w:bidi="en_US"/>
        </w:rPr>
        <w:t>14:12c</w:t>
      </w:r>
    </w:p>
    <w:p>
      <w:pPr/>
      <w:r>
        <w:rPr>
          <w:lang w:val="en_US" w:bidi="en_US"/>
        </w:rPr>
      </w:r>
      <w:r>
        <w:rPr>
          <w:b/>
          <w:lang w:val="en_US" w:bidi="en_US"/>
        </w:rPr>
        <w:t>do not invite your friends or brothers or relatives or rich neighbors.</w:t>
      </w:r>
    </w:p>
    <w:p>
      <w:pPr>
        <w:pStyle w:val="ListBullet"/>
        <w:spacing w:line="240" w:lineRule="auto"/>
        <w:ind w:left="720"/>
      </w:pPr>
      <w:r>
        <w:rPr>
          <w:lang w:val="en_US" w:bidi="en_US"/>
        </w:rPr>
      </w:r>
      <w:r>
        <w:rPr>
          <w:lang w:val="en_US" w:bidi="en_US"/>
        </w:rPr>
        <w:t xml:space="preserve">do not invite </w:t>
      </w:r>
      <w:r>
        <w:rPr>
          <w:lang w:val="en_US" w:bidi="en_US"/>
        </w:rPr>
        <w:t>only</w:t>
      </w:r>
      <w:r>
        <w:rPr>
          <w:lang w:val="en_US" w:bidi="en_US"/>
        </w:rPr>
        <w:t xml:space="preserve"> your</w:t>
      </w:r>
      <w:r>
        <w:rPr>
          <w:vertAlign w:val="superscript"/>
          <w:lang w:val="en_US" w:bidi="en_US"/>
        </w:rPr>
        <w:t>(sing)</w:t>
      </w:r>
      <w:r>
        <w:rPr>
          <w:lang w:val="en_US" w:bidi="en_US"/>
        </w:rPr>
        <w:t xml:space="preserve"> friends, your siblings or your </w:t>
      </w:r>
      <w:r>
        <w:rPr>
          <w:lang w:val="en_US" w:bidi="en_US"/>
        </w:rPr>
        <w:t>other</w:t>
      </w:r>
      <w:r>
        <w:rPr>
          <w:lang w:val="en_US" w:bidi="en_US"/>
        </w:rPr>
        <w:t xml:space="preserve"> relatives, or the rich people nearby.</w:t>
      </w:r>
    </w:p>
    <w:p>
      <w:pPr>
        <w:pStyle w:val="ListBullet"/>
        <w:spacing w:line="240" w:lineRule="auto"/>
        <w:ind w:left="720"/>
      </w:pPr>
      <w:r>
        <w:rPr>
          <w:lang w:val="en_US" w:bidi="en_US"/>
        </w:rPr>
      </w:r>
      <w:r>
        <w:rPr>
          <w:lang w:val="en_US" w:bidi="en_US"/>
        </w:rPr>
        <w:t xml:space="preserve">do not </w:t>
      </w:r>
      <w:r>
        <w:rPr>
          <w:lang w:val="en_US" w:bidi="en_US"/>
        </w:rPr>
        <w:t>always</w:t>
      </w:r>
      <w:r>
        <w:rPr>
          <w:lang w:val="en_US" w:bidi="en_US"/>
        </w:rPr>
        <w:t xml:space="preserve"> invite your friends and relatives and rich townsmen/neighbors</w:t>
      </w:r>
    </w:p>
    <w:p>
      <w:pPr/>
      <w:r>
        <w:rPr>
          <w:lang w:val="en_US" w:bidi="en_US"/>
        </w:rPr>
      </w:r>
      <w:r>
        <w:rPr>
          <w:b/>
          <w:lang w:val="en_US" w:bidi="en_US"/>
        </w:rPr>
        <w:t>do not invite your friends or brothers or relatives or rich neighbors:</w:t>
      </w:r>
      <w:r>
        <w:rPr>
          <w:lang w:val="en_US" w:bidi="en_US"/>
        </w:rPr>
        <w:t xml:space="preserve"> Jesus gave this command specifically to his host, so he used a singular form. However, Jesus intended what he said to apply to anyone who was wealthy enough to invite others to meals or parties.</w:t>
      </w:r>
    </w:p>
    <w:p>
      <w:pPr/>
      <w:r>
        <w:rPr>
          <w:lang w:val="en_US" w:bidi="en_US"/>
        </w:rPr>
      </w:r>
      <w:r>
        <w:rPr>
          <w:lang w:val="en_US" w:bidi="en_US"/>
        </w:rPr>
        <w:t xml:space="preserve">This command is an example of hyperbole (deliberate exaggeration to emphasize a point). Jesus did not mean that a person should </w:t>
      </w:r>
      <w:r>
        <w:rPr>
          <w:u w:val="single"/>
          <w:lang w:val="en_US" w:bidi="en_US"/>
        </w:rPr>
        <w:t>never</w:t>
      </w:r>
      <w:r>
        <w:rPr>
          <w:lang w:val="en_US" w:bidi="en_US"/>
        </w:rPr>
        <w:t xml:space="preserve"> invite his friends, brothers, relatives, or rich neighbors to a meal. Jesus himself invited his disciples to the Passover supper before he died, and before that he had many meals with his friends. Rather, he meant that his host should also invite other people who were too poor to invite him in return.</w:t>
      </w:r>
    </w:p>
    <w:p>
      <w:pPr/>
      <w:r>
        <w:rPr>
          <w:lang w:val="en_US" w:bidi="en_US"/>
        </w:rPr>
      </w:r>
      <w:r>
        <w:rPr>
          <w:lang w:val="en_US" w:bidi="en_US"/>
        </w:rPr>
        <w:t>If the meaning of this hyperbole will not be clear, you may need to say something like:</w:t>
      </w:r>
    </w:p>
    <w:p>
      <w:pPr/>
      <w:r>
        <w:rPr>
          <w:lang w:val="en_US" w:bidi="en_US"/>
        </w:rPr>
      </w:r>
      <w:r>
        <w:rPr>
          <w:lang w:val="en_US" w:bidi="en_US"/>
        </w:rPr>
        <w:t xml:space="preserve">rather than </w:t>
      </w:r>
      <w:r>
        <w:rPr>
          <w:lang w:val="en_US" w:bidi="en_US"/>
        </w:rPr>
        <w:t>always</w:t>
      </w:r>
      <w:r>
        <w:rPr>
          <w:lang w:val="en_US" w:bidi="en_US"/>
        </w:rPr>
        <w:t xml:space="preserve"> inviting </w:t>
      </w:r>
      <w:r>
        <w:rPr>
          <w:lang w:val="en_US" w:bidi="en_US"/>
        </w:rPr>
        <w:t>only</w:t>
      </w:r>
      <w:r>
        <w:rPr>
          <w:lang w:val="en_US" w:bidi="en_US"/>
        </w:rPr>
        <w:t xml:space="preserve"> your friends and brothers and other relatives, and your rich neighbors</w:t>
      </w:r>
    </w:p>
    <w:p>
      <w:pPr/>
      <w:r>
        <w:rPr>
          <w:lang w:val="en_US" w:bidi="en_US"/>
        </w:rPr>
      </w:r>
      <w:r>
        <w:rPr>
          <w:b/>
          <w:lang w:val="en_US" w:bidi="en_US"/>
        </w:rPr>
        <w:t>brothers:</w:t>
      </w:r>
      <w:r>
        <w:rPr>
          <w:lang w:val="en_US" w:bidi="en_US"/>
        </w:rPr>
        <w:t xml:space="preserve"> The Greek word that the BSB translates as </w:t>
      </w:r>
      <w:r>
        <w:rPr>
          <w:i/>
          <w:lang w:val="en_US" w:bidi="en_US"/>
        </w:rPr>
        <w:t>brothers</w:t>
      </w:r>
      <w:r>
        <w:rPr>
          <w:lang w:val="en_US" w:bidi="en_US"/>
        </w:rPr>
        <w:t xml:space="preserve"> sometimes includes sisters as well. However, if women do not attend formal meals or feasts in your culture, you may use a word that refers specifically to male siblings. The Greek word also sometimes includes other close relatives, such as cousins. So if it is natural in your language, you may use an expression that includes other close relatives.</w:t>
      </w:r>
    </w:p>
    <w:p>
      <w:pPr/>
      <w:r>
        <w:rPr>
          <w:lang w:val="en_US" w:bidi="en_US"/>
        </w:rPr>
      </w:r>
      <w:r>
        <w:rPr>
          <w:b/>
          <w:lang w:val="en_US" w:bidi="en_US"/>
        </w:rPr>
        <w:t>relatives:</w:t>
      </w:r>
      <w:r>
        <w:rPr>
          <w:lang w:val="en_US" w:bidi="en_US"/>
        </w:rPr>
        <w:t xml:space="preserve"> The Greek word that the BSB translates as </w:t>
      </w:r>
      <w:r>
        <w:rPr>
          <w:i/>
          <w:lang w:val="en_US" w:bidi="en_US"/>
        </w:rPr>
        <w:t>relatives</w:t>
      </w:r>
      <w:r>
        <w:rPr>
          <w:lang w:val="en_US" w:bidi="en_US"/>
        </w:rPr>
        <w:t xml:space="preserve"> is a general word that can refer to any family members or other relatives.</w:t>
      </w:r>
    </w:p>
    <w:p>
      <w:pPr/>
      <w:r>
        <w:rPr>
          <w:lang w:val="en_US" w:bidi="en_US"/>
        </w:rPr>
      </w:r>
      <w:r>
        <w:rPr>
          <w:b/>
          <w:lang w:val="en_US" w:bidi="en_US"/>
        </w:rPr>
        <w:t>rich neighbors:</w:t>
      </w:r>
      <w:r>
        <w:rPr>
          <w:lang w:val="en_US" w:bidi="en_US"/>
        </w:rPr>
        <w:t xml:space="preserve"> The phrase </w:t>
      </w:r>
      <w:r>
        <w:rPr>
          <w:i/>
          <w:lang w:val="en_US" w:bidi="en_US"/>
        </w:rPr>
        <w:t>rich neighbors</w:t>
      </w:r>
      <w:r>
        <w:rPr>
          <w:lang w:val="en_US" w:bidi="en_US"/>
        </w:rPr>
        <w:t xml:space="preserve"> refers to people who live nearby and who have a lot of money or property.</w:t>
      </w:r>
    </w:p>
    <w:p>
      <w:pPr>
        <w:pStyle w:val="Heading5"/>
      </w:pPr>
      <w:r>
        <w:rPr>
          <w:lang w:val="en_US" w:bidi="en_US"/>
        </w:rPr>
        <w:t>14:12d</w:t>
      </w:r>
    </w:p>
    <w:p>
      <w:pPr/>
      <w:r>
        <w:rPr>
          <w:lang w:val="en_US" w:bidi="en_US"/>
        </w:rPr>
      </w:r>
      <w:r>
        <w:rPr>
          <w:b/>
          <w:lang w:val="en_US" w:bidi="en_US"/>
        </w:rPr>
        <w:t>Otherwise, they may invite you in return,</w:t>
      </w:r>
    </w:p>
    <w:p>
      <w:pPr>
        <w:pStyle w:val="ListBullet"/>
        <w:spacing w:line="240" w:lineRule="auto"/>
        <w:ind w:left="720"/>
      </w:pPr>
      <w:r>
        <w:rPr>
          <w:lang w:val="en_US" w:bidi="en_US"/>
        </w:rPr>
      </w:r>
      <w:r>
        <w:rPr>
          <w:lang w:val="en_US" w:bidi="en_US"/>
        </w:rPr>
        <w:t xml:space="preserve">If you do </w:t>
      </w:r>
      <w:r>
        <w:rPr>
          <w:lang w:val="en_US" w:bidi="en_US"/>
        </w:rPr>
        <w:t>invite them</w:t>
      </w:r>
      <w:r>
        <w:rPr>
          <w:lang w:val="en_US" w:bidi="en_US"/>
        </w:rPr>
        <w:t>, they may then invite you</w:t>
      </w:r>
      <w:r>
        <w:rPr>
          <w:vertAlign w:val="superscript"/>
          <w:lang w:val="en_US" w:bidi="en_US"/>
        </w:rPr>
        <w:t>(sing)</w:t>
      </w:r>
      <w:r>
        <w:rPr>
          <w:lang w:val="en_US" w:bidi="en_US"/>
        </w:rPr>
        <w:t xml:space="preserve"> </w:t>
      </w:r>
      <w:r>
        <w:rPr>
          <w:lang w:val="en_US" w:bidi="en_US"/>
        </w:rPr>
        <w:t>to one of their parties</w:t>
      </w:r>
      <w:r>
        <w:rPr>
          <w:lang w:val="en_US" w:bidi="en_US"/>
        </w:rPr>
        <w:t>,</w:t>
      </w:r>
    </w:p>
    <w:p>
      <w:pPr>
        <w:pStyle w:val="ListBullet"/>
        <w:spacing w:line="240" w:lineRule="auto"/>
        <w:ind w:left="720"/>
      </w:pPr>
      <w:r>
        <w:rPr>
          <w:lang w:val="en_US" w:bidi="en_US"/>
        </w:rPr>
      </w:r>
      <w:r>
        <w:rPr>
          <w:lang w:val="en_US" w:bidi="en_US"/>
        </w:rPr>
        <w:t>On another occasion, they may also invite you to eat at their houses,</w:t>
      </w:r>
    </w:p>
    <w:p>
      <w:pPr>
        <w:pStyle w:val="ListBullet"/>
        <w:spacing w:line="240" w:lineRule="auto"/>
        <w:ind w:left="720"/>
      </w:pPr>
      <w:r>
        <w:rPr>
          <w:lang w:val="en_US" w:bidi="en_US"/>
        </w:rPr>
      </w:r>
      <w:r>
        <w:rPr>
          <w:lang w:val="en_US" w:bidi="en_US"/>
        </w:rPr>
        <w:t>because they may also invite you in return</w:t>
      </w:r>
    </w:p>
    <w:p>
      <w:pPr/>
      <w:r>
        <w:rPr>
          <w:lang w:val="en_US" w:bidi="en_US"/>
        </w:rPr>
      </w:r>
      <w:r>
        <w:rPr>
          <w:b/>
          <w:lang w:val="en_US" w:bidi="en_US"/>
        </w:rPr>
        <w:t>Otherwise:</w:t>
      </w:r>
      <w:r>
        <w:rPr>
          <w:lang w:val="en_US" w:bidi="en_US"/>
        </w:rPr>
        <w:t xml:space="preserve"> The Greek conjunction that the BSB translates as </w:t>
      </w:r>
      <w:r>
        <w:rPr>
          <w:i/>
          <w:lang w:val="en_US" w:bidi="en_US"/>
        </w:rPr>
        <w:t>Otherwise</w:t>
      </w:r>
      <w:r>
        <w:rPr>
          <w:lang w:val="en_US" w:bidi="en_US"/>
        </w:rPr>
        <w:t xml:space="preserve"> is more literally “lest.” For example:</w:t>
      </w:r>
    </w:p>
    <w:p>
      <w:pPr/>
      <w:r>
        <w:rPr>
          <w:lang w:val="en_US" w:bidi="en_US"/>
        </w:rPr>
      </w:r>
      <w:r>
        <w:rPr>
          <w:lang w:val="en_US" w:bidi="en_US"/>
        </w:rPr>
        <w:t>lest they also invite you in return (RSV)</w:t>
      </w:r>
    </w:p>
    <w:p>
      <w:pPr/>
      <w:r>
        <w:rPr>
          <w:lang w:val="en_US" w:bidi="en_US"/>
        </w:rPr>
      </w:r>
      <w:r>
        <w:rPr>
          <w:lang w:val="en_US" w:bidi="en_US"/>
        </w:rPr>
        <w:t xml:space="preserve">This Greek conjunction was also used in 14:8c–9. See the note on “for…If so…Then” in 14:8c–9. Here it introduces a future situation that the host should desire to avoid. One way to summarize the idea is: Avoid inviting only friends and rich people who will invite you back </w:t>
      </w:r>
      <w:r>
        <w:rPr>
          <w:u w:val="single"/>
          <w:lang w:val="en_US" w:bidi="en_US"/>
        </w:rPr>
        <w:t>so that</w:t>
      </w:r>
      <w:r>
        <w:rPr>
          <w:lang w:val="en_US" w:bidi="en_US"/>
        </w:rPr>
        <w:t xml:space="preserve"> this will </w:t>
      </w:r>
      <w:r>
        <w:rPr>
          <w:u w:val="single"/>
          <w:lang w:val="en_US" w:bidi="en_US"/>
        </w:rPr>
        <w:t>not</w:t>
      </w:r>
      <w:r>
        <w:rPr>
          <w:lang w:val="en_US" w:bidi="en_US"/>
        </w:rPr>
        <w:t xml:space="preserve"> be your only reward.</w:t>
      </w:r>
    </w:p>
    <w:p>
      <w:pPr/>
      <w:r>
        <w:rPr>
          <w:lang w:val="en_US" w:bidi="en_US"/>
        </w:rPr>
      </w:r>
      <w:r>
        <w:rPr>
          <w:lang w:val="en_US" w:bidi="en_US"/>
        </w:rPr>
        <w:t>The relationship between 14:12c and 14:12d may also be explained as a command that you should obey in order to avoid a bad result. In other words, do not invite only friends and rich people, because they will invite you back and that will be your only reward.</w:t>
      </w:r>
    </w:p>
    <w:p>
      <w:pPr/>
      <w:r>
        <w:rPr>
          <w:lang w:val="en_US" w:bidi="en_US"/>
        </w:rPr>
      </w:r>
      <w:r>
        <w:rPr>
          <w:lang w:val="en_US" w:bidi="en_US"/>
        </w:rPr>
        <w:t>In some languages it may be clearer to express this relationship in other ways. For example:</w:t>
      </w:r>
    </w:p>
    <w:p>
      <w:pPr/>
      <w:r>
        <w:rPr>
          <w:lang w:val="en_US" w:bidi="en_US"/>
        </w:rPr>
      </w:r>
      <w:r>
        <w:rPr>
          <w:lang w:val="en_US" w:bidi="en_US"/>
        </w:rPr>
        <w:t>in case they may invite you in return (NRSV)</w:t>
      </w:r>
    </w:p>
    <w:p>
      <w:pPr/>
      <w:r>
        <w:rPr>
          <w:lang w:val="en_US" w:bidi="en_US"/>
        </w:rPr>
      </w:r>
      <w:r>
        <w:rPr>
          <w:lang w:val="en_US" w:bidi="en_US"/>
        </w:rPr>
        <w:t>for they will invite you back (GNT)</w:t>
      </w:r>
    </w:p>
    <w:p>
      <w:pPr/>
      <w:r>
        <w:rPr>
          <w:lang w:val="en_US" w:bidi="en_US"/>
        </w:rPr>
      </w:r>
      <w:r>
        <w:rPr>
          <w:lang w:val="en_US" w:bidi="en_US"/>
        </w:rPr>
        <w:t>In some languages this relationship may not need to be made explicit. For example:</w:t>
      </w:r>
    </w:p>
    <w:p>
      <w:pPr/>
      <w:r>
        <w:rPr>
          <w:lang w:val="en_US" w:bidi="en_US"/>
        </w:rPr>
      </w:r>
      <w:r>
        <w:rPr>
          <w:lang w:val="en_US" w:bidi="en_US"/>
        </w:rPr>
        <w:t>they will only ask you back again (REB)</w:t>
      </w:r>
    </w:p>
    <w:p>
      <w:pPr/>
      <w:r>
        <w:rPr>
          <w:lang w:val="en_US" w:bidi="en_US"/>
        </w:rPr>
      </w:r>
      <w:r>
        <w:rPr>
          <w:lang w:val="en_US" w:bidi="en_US"/>
        </w:rPr>
        <w:t>At another time they will invite you to eat with them (NCV)</w:t>
      </w:r>
    </w:p>
    <w:p>
      <w:pPr/>
      <w:r>
        <w:rPr>
          <w:lang w:val="en_US" w:bidi="en_US"/>
        </w:rPr>
      </w:r>
      <w:r>
        <w:rPr>
          <w:b/>
          <w:lang w:val="en_US" w:bidi="en_US"/>
        </w:rPr>
        <w:t>they may invite you in return:</w:t>
      </w:r>
      <w:r>
        <w:rPr>
          <w:lang w:val="en_US" w:bidi="en_US"/>
        </w:rPr>
        <w:t xml:space="preserve"> The clause </w:t>
      </w:r>
      <w:r>
        <w:rPr>
          <w:i/>
          <w:lang w:val="en_US" w:bidi="en_US"/>
        </w:rPr>
        <w:t>they may invite you in return</w:t>
      </w:r>
      <w:r>
        <w:rPr>
          <w:lang w:val="en_US" w:bidi="en_US"/>
        </w:rPr>
        <w:t xml:space="preserve"> means that the present guests may sometime invite their host to their own luncheon or dinner party. In some languages it may be necessary to say explicitly what they will invite the host to attend. For example:</w:t>
      </w:r>
    </w:p>
    <w:p>
      <w:pPr/>
      <w:r>
        <w:rPr>
          <w:lang w:val="en_US" w:bidi="en_US"/>
        </w:rPr>
      </w:r>
      <w:r>
        <w:rPr>
          <w:lang w:val="en_US" w:bidi="en_US"/>
        </w:rPr>
        <w:t xml:space="preserve">they may also invite you </w:t>
      </w:r>
      <w:r>
        <w:rPr>
          <w:lang w:val="en_US" w:bidi="en_US"/>
        </w:rPr>
        <w:t>to their own feast/party</w:t>
      </w:r>
    </w:p>
    <w:p>
      <w:pPr>
        <w:pStyle w:val="Heading5"/>
      </w:pPr>
      <w:r>
        <w:rPr>
          <w:lang w:val="en_US" w:bidi="en_US"/>
        </w:rPr>
        <w:t>14:12e</w:t>
      </w:r>
    </w:p>
    <w:p>
      <w:pPr/>
      <w:r>
        <w:rPr>
          <w:lang w:val="en_US" w:bidi="en_US"/>
        </w:rPr>
      </w:r>
      <w:r>
        <w:rPr>
          <w:b/>
          <w:lang w:val="en_US" w:bidi="en_US"/>
        </w:rPr>
        <w:t>and you will be repaid.</w:t>
      </w:r>
    </w:p>
    <w:p>
      <w:pPr>
        <w:pStyle w:val="ListBullet"/>
        <w:spacing w:line="240" w:lineRule="auto"/>
        <w:ind w:left="720"/>
      </w:pPr>
      <w:r>
        <w:rPr>
          <w:lang w:val="en_US" w:bidi="en_US"/>
        </w:rPr>
      </w:r>
      <w:r>
        <w:rPr>
          <w:lang w:val="en_US" w:bidi="en_US"/>
        </w:rPr>
        <w:t>and so repay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and in this way they will reward you.</w:t>
      </w:r>
    </w:p>
    <w:p>
      <w:pPr>
        <w:pStyle w:val="ListBullet"/>
        <w:spacing w:line="240" w:lineRule="auto"/>
        <w:ind w:left="720"/>
      </w:pPr>
      <w:r>
        <w:rPr>
          <w:lang w:val="en_US" w:bidi="en_US"/>
        </w:rPr>
      </w:r>
      <w:r>
        <w:rPr>
          <w:lang w:val="en_US" w:bidi="en_US"/>
        </w:rPr>
        <w:t xml:space="preserve">and that will be your </w:t>
      </w:r>
      <w:r>
        <w:rPr>
          <w:lang w:val="en_US" w:bidi="en_US"/>
        </w:rPr>
        <w:t>only</w:t>
      </w:r>
      <w:r>
        <w:rPr>
          <w:lang w:val="en_US" w:bidi="en_US"/>
        </w:rPr>
        <w:t xml:space="preserve"> reward/repayment.</w:t>
      </w:r>
    </w:p>
    <w:p>
      <w:pPr/>
      <w:r>
        <w:rPr>
          <w:lang w:val="en_US" w:bidi="en_US"/>
        </w:rPr>
      </w:r>
      <w:r>
        <w:rPr>
          <w:b/>
          <w:lang w:val="en_US" w:bidi="en_US"/>
        </w:rPr>
        <w:t>and you will be repaid:</w:t>
      </w:r>
      <w:r>
        <w:rPr>
          <w:lang w:val="en_US" w:bidi="en_US"/>
        </w:rPr>
        <w:t xml:space="preserve"> The word </w:t>
      </w:r>
      <w:r>
        <w:rPr>
          <w:i/>
          <w:lang w:val="en_US" w:bidi="en_US"/>
        </w:rPr>
        <w:t>repaid</w:t>
      </w:r>
      <w:r>
        <w:rPr>
          <w:lang w:val="en_US" w:bidi="en_US"/>
        </w:rPr>
        <w:t xml:space="preserve"> implies here that when guests invite their host back to a meal, that is like repaying or rewarding him for inviting them. The clause implies that the host only invited people whom he expected to invite him to a meal at a future time. It is also implied that being invited to other meals is the only reward this host can expect.</w:t>
      </w:r>
    </w:p>
    <w:p>
      <w:pPr/>
      <w:r>
        <w:rPr>
          <w:lang w:val="en_US" w:bidi="en_US"/>
        </w:rPr>
      </w:r>
      <w:r>
        <w:rPr>
          <w:b/>
          <w:lang w:val="en_US" w:bidi="en_US"/>
        </w:rPr>
        <w:t>you will be repaid:</w:t>
      </w:r>
      <w:r>
        <w:rPr>
          <w:lang w:val="en_US" w:bidi="en_US"/>
        </w:rPr>
        <w:t xml:space="preserve"> The clause that the BSB translates as </w:t>
      </w:r>
      <w:r>
        <w:rPr>
          <w:i/>
          <w:lang w:val="en_US" w:bidi="en_US"/>
        </w:rPr>
        <w:t>you will be repaid</w:t>
      </w:r>
      <w:r>
        <w:rPr>
          <w:lang w:val="en_US" w:bidi="en_US"/>
        </w:rPr>
        <w:t xml:space="preserve"> is literally “it becomes a repayment to you.” The BSB translates this as a passive clause. Other ways to translate this clause are:</w:t>
      </w:r>
    </w:p>
    <w:p>
      <w:pPr/>
      <w:r>
        <w:rPr>
          <w:lang w:val="en_US" w:bidi="en_US"/>
        </w:rPr>
      </w:r>
      <w:r>
        <w:rPr>
          <w:lang w:val="en_US" w:bidi="en_US"/>
        </w:rPr>
        <w:t xml:space="preserve">and so </w:t>
      </w:r>
      <w:r>
        <w:rPr>
          <w:lang w:val="en_US" w:bidi="en_US"/>
        </w:rPr>
        <w:t>they</w:t>
      </w:r>
      <w:r>
        <w:rPr>
          <w:lang w:val="en_US" w:bidi="en_US"/>
        </w:rPr>
        <w:t xml:space="preserve"> will repay you</w:t>
      </w:r>
    </w:p>
    <w:p>
      <w:pPr/>
      <w:r>
        <w:rPr>
          <w:lang w:val="en_US" w:bidi="en_US"/>
        </w:rPr>
      </w:r>
      <w:r>
        <w:rPr>
          <w:lang w:val="en_US" w:bidi="en_US"/>
        </w:rPr>
        <w:t xml:space="preserve">and this will be </w:t>
      </w:r>
      <w:r>
        <w:rPr>
          <w:lang w:val="en_US" w:bidi="en_US"/>
        </w:rPr>
        <w:t>the extent of</w:t>
      </w:r>
      <w:r>
        <w:rPr>
          <w:lang w:val="en_US" w:bidi="en_US"/>
        </w:rPr>
        <w:t xml:space="preserve"> your reward/repayment</w:t>
      </w:r>
      <w:r>
        <w:rPr>
          <w:lang w:val="en_US" w:bidi="en_US"/>
        </w:rPr>
      </w:r>
      <w:r>
        <w:rPr>
          <w:lang w:val="en_US" w:bidi="en_US"/>
        </w:rPr>
      </w:r>
    </w:p>
    <w:p>
      <w:pPr/>
      <w:r>
        <w:rPr>
          <w:lang w:val="en_US" w:bidi="en_US"/>
        </w:rPr>
      </w:r>
    </w:p>
    <w:p>
      <w:pPr>
        <w:pStyle w:val="Heading2"/>
      </w:pPr>
      <w:r>
        <w:rPr>
          <w:lang w:val="en_US" w:bidi="en_US"/>
        </w:rPr>
        <w:t>Luke 14:13</w:t>
      </w:r>
      <w:r>
        <w:rPr>
          <w:lang w:val="en_US" w:bidi="en_US"/>
        </w:rPr>
      </w:r>
    </w:p>
    <w:p>
      <w:pPr>
        <w:pStyle w:val="Heading4"/>
      </w:pPr>
      <w:r>
        <w:rPr>
          <w:lang w:val="en_US" w:bidi="en_US"/>
        </w:rPr>
        <w:t>Section 14:7–14: Jesus gave advice to the other guests and to his host</w:t>
      </w:r>
    </w:p>
    <w:p>
      <w:pPr/>
      <w:r>
        <w:rPr>
          <w:lang w:val="en_US" w:bidi="en_US"/>
        </w:rPr>
      </w:r>
      <w:r>
        <w:rPr>
          <w:lang w:val="en_US" w:bidi="en_US"/>
        </w:rPr>
        <w:t>In this section Jesus was still in the house of the Pharisee. He noticed that the other guests who came into the house were choosing positions of honor at the meal. He instructed them by means of a parable about wedding guests that they should be humble and not seek their own honor (14:7–11). He then instructed the Pharisee who was their host to hold feasts for people who were poor. Poor people could not invite him to a feast in return, so God would reward him (14:12–14).</w:t>
      </w:r>
    </w:p>
    <w:p>
      <w:pPr/>
      <w:r>
        <w:rPr>
          <w:lang w:val="en_US" w:bidi="en_US"/>
        </w:rPr>
      </w:r>
      <w:r>
        <w:rPr>
          <w:lang w:val="en_US" w:bidi="en_US"/>
        </w:rPr>
        <w:t>Some other possible headings for this section are:</w:t>
      </w:r>
    </w:p>
    <w:p>
      <w:pPr/>
      <w:r>
        <w:rPr>
          <w:lang w:val="en_US" w:bidi="en_US"/>
        </w:rPr>
      </w:r>
      <w:r>
        <w:rPr>
          <w:lang w:val="en_US" w:bidi="en_US"/>
        </w:rPr>
        <w:t>Humility and Hospitality (GNT)</w:t>
      </w:r>
    </w:p>
    <w:p>
      <w:pPr/>
      <w:r>
        <w:rPr>
          <w:lang w:val="en_US" w:bidi="en_US"/>
        </w:rPr>
      </w:r>
      <w:r>
        <w:rPr>
          <w:lang w:val="en_US" w:bidi="en_US"/>
        </w:rPr>
        <w:t>Instructions to Guests and to a Host</w:t>
      </w:r>
    </w:p>
    <w:p>
      <w:pPr>
        <w:pStyle w:val="Heading4"/>
      </w:pPr>
      <w:r>
        <w:rPr>
          <w:lang w:val="en_US" w:bidi="en_US"/>
        </w:rPr>
        <w:t>Paragraph 14:12–14</w:t>
      </w:r>
    </w:p>
    <w:p>
      <w:pPr/>
      <w:r>
        <w:rPr>
          <w:lang w:val="en_US" w:bidi="en_US"/>
        </w:rPr>
      </w:r>
      <w:r>
        <w:rPr>
          <w:lang w:val="en_US" w:bidi="en_US"/>
        </w:rPr>
        <w:t>In this paragraph Jesus taught that people should not invite to their feasts only people who can repay them by inviting them to a meal. They should also invite poor people who cannot repay them.</w:t>
      </w:r>
    </w:p>
    <w:p>
      <w:pPr>
        <w:pStyle w:val="Heading5"/>
      </w:pPr>
      <w:r>
        <w:rPr>
          <w:lang w:val="en_US" w:bidi="en_US"/>
        </w:rPr>
        <w:t>14:13a</w:t>
      </w:r>
    </w:p>
    <w:p>
      <w:pPr/>
      <w:r>
        <w:rPr>
          <w:lang w:val="en_US" w:bidi="en_US"/>
        </w:rPr>
      </w:r>
      <w:r>
        <w:rPr>
          <w:b/>
          <w:lang w:val="en_US" w:bidi="en_US"/>
        </w:rPr>
        <w:t>But when you host a banquet, invite</w:t>
      </w:r>
    </w:p>
    <w:p>
      <w:pPr>
        <w:pStyle w:val="ListBullet"/>
        <w:spacing w:line="240" w:lineRule="auto"/>
        <w:ind w:left="720"/>
      </w:pPr>
      <w:r>
        <w:rPr>
          <w:lang w:val="en_US" w:bidi="en_US"/>
        </w:rPr>
      </w:r>
      <w:r>
        <w:rPr>
          <w:lang w:val="en_US" w:bidi="en_US"/>
        </w:rPr>
        <w:t xml:space="preserve">But </w:t>
      </w:r>
      <w:r>
        <w:rPr>
          <w:lang w:val="en_US" w:bidi="en_US"/>
        </w:rPr>
        <w:t>also</w:t>
      </w:r>
      <w:r>
        <w:rPr>
          <w:lang w:val="en_US" w:bidi="en_US"/>
        </w:rPr>
        <w:t xml:space="preserve"> call/invite to the banquets/meals </w:t>
      </w:r>
      <w:r>
        <w:rPr>
          <w:lang w:val="en_US" w:bidi="en_US"/>
        </w:rPr>
        <w:t>in your home</w:t>
      </w:r>
    </w:p>
    <w:p>
      <w:pPr>
        <w:pStyle w:val="ListBullet"/>
        <w:spacing w:line="240" w:lineRule="auto"/>
        <w:ind w:left="720"/>
      </w:pPr>
      <w:r>
        <w:rPr>
          <w:lang w:val="en_US" w:bidi="en_US"/>
        </w:rPr>
      </w:r>
      <w:r>
        <w:rPr>
          <w:lang w:val="en_US" w:bidi="en_US"/>
        </w:rPr>
        <w:t>Instead, whenever you</w:t>
      </w:r>
      <w:r>
        <w:rPr>
          <w:vertAlign w:val="superscript"/>
          <w:lang w:val="en_US" w:bidi="en_US"/>
        </w:rPr>
        <w:t>(sing)</w:t>
      </w:r>
      <w:r>
        <w:rPr>
          <w:lang w:val="en_US" w:bidi="en_US"/>
        </w:rPr>
        <w:t xml:space="preserve"> have a feast, </w:t>
      </w:r>
      <w:r>
        <w:rPr>
          <w:lang w:val="en_US" w:bidi="en_US"/>
        </w:rPr>
        <w:t>make a habit of</w:t>
      </w:r>
      <w:r>
        <w:rPr>
          <w:lang w:val="en_US" w:bidi="en_US"/>
        </w:rPr>
        <w:t xml:space="preserve"> inviting </w:t>
      </w:r>
      <w:r>
        <w:rPr>
          <w:lang w:val="en_US" w:bidi="en_US"/>
        </w:rPr>
        <w:t>people who cannot repay you, like</w:t>
      </w:r>
    </w:p>
    <w:p>
      <w:pPr/>
      <w:r>
        <w:rPr>
          <w:lang w:val="en_US" w:bidi="en_US"/>
        </w:rPr>
      </w:r>
      <w:r>
        <w:rPr>
          <w:b/>
          <w:lang w:val="en_US" w:bidi="en_US"/>
        </w:rPr>
        <w:t>But when you host a banquet, invite:</w:t>
      </w:r>
      <w:r>
        <w:rPr>
          <w:lang w:val="en_US" w:bidi="en_US"/>
        </w:rPr>
        <w:t xml:space="preserve"> This part of the verse gives the advice that corresponds to the negative advice given in 14:12b–c. It begins with a conjunction that indicates contrast. The BSB translates the conjunction as </w:t>
      </w:r>
      <w:r>
        <w:rPr>
          <w:i/>
          <w:lang w:val="en_US" w:bidi="en_US"/>
        </w:rPr>
        <w:t>But</w:t>
      </w:r>
      <w:r>
        <w:rPr>
          <w:lang w:val="en_US" w:bidi="en_US"/>
        </w:rPr>
        <w:t>. Several English versions say “Instead.” Other versions, such as the GNT, make the contrast implicit.</w:t>
      </w:r>
    </w:p>
    <w:p>
      <w:pPr/>
      <w:r>
        <w:rPr>
          <w:lang w:val="en_US" w:bidi="en_US"/>
        </w:rPr>
      </w:r>
      <w:r>
        <w:rPr>
          <w:lang w:val="en_US" w:bidi="en_US"/>
        </w:rPr>
        <w:t>In some languages it may sound redundant to repeat this clause, when it is so similar to 14:12b. If that is true in your language, you may want to leave some of this information implicit, for example:</w:t>
      </w:r>
    </w:p>
    <w:p>
      <w:pPr/>
      <w:r>
        <w:rPr>
          <w:lang w:val="en_US" w:bidi="en_US"/>
        </w:rPr>
      </w:r>
      <w:r>
        <w:rPr>
          <w:lang w:val="en_US" w:bidi="en_US"/>
        </w:rPr>
        <w:t>Instead, invite… (NLT)</w:t>
      </w:r>
    </w:p>
    <w:p>
      <w:pPr/>
      <w:r>
        <w:rPr>
          <w:lang w:val="en_US" w:bidi="en_US"/>
        </w:rPr>
      </w:r>
      <w:r>
        <w:rPr>
          <w:lang w:val="en_US" w:bidi="en_US"/>
        </w:rPr>
        <w:t xml:space="preserve">As in 14:12c, the Greek form of the verb </w:t>
      </w:r>
      <w:r>
        <w:rPr>
          <w:i/>
          <w:lang w:val="en_US" w:bidi="en_US"/>
        </w:rPr>
        <w:t>invite</w:t>
      </w:r>
      <w:r>
        <w:rPr>
          <w:lang w:val="en_US" w:bidi="en_US"/>
        </w:rPr>
        <w:t xml:space="preserve"> used here implies habitual or customary action. Consider whether you have a natural way to indicate that in your language here.</w:t>
      </w:r>
    </w:p>
    <w:p>
      <w:pPr/>
      <w:r>
        <w:rPr>
          <w:lang w:val="en_US" w:bidi="en_US"/>
        </w:rPr>
      </w:r>
      <w:r>
        <w:rPr>
          <w:b/>
          <w:lang w:val="en_US" w:bidi="en_US"/>
        </w:rPr>
        <w:t>banquet:</w:t>
      </w:r>
      <w:r>
        <w:rPr>
          <w:lang w:val="en_US" w:bidi="en_US"/>
        </w:rPr>
        <w:t xml:space="preserve"> The Greek word that the BSB translates as </w:t>
      </w:r>
      <w:r>
        <w:rPr>
          <w:i/>
          <w:lang w:val="en_US" w:bidi="en_US"/>
        </w:rPr>
        <w:t>banquet</w:t>
      </w:r>
      <w:r>
        <w:rPr>
          <w:lang w:val="en_US" w:bidi="en_US"/>
        </w:rPr>
        <w:t xml:space="preserve"> refers to any large feast or dinner party. The word you use in your translation should include both meals mentioned in 14:12b. If you used a general term such as “meal” in that verse, you may translate the word in the same way here. No distinction is intended between the words used in 14:12b and the word “banquet” used here.</w:t>
      </w:r>
    </w:p>
    <w:p>
      <w:pPr>
        <w:pStyle w:val="Heading5"/>
      </w:pPr>
      <w:r>
        <w:rPr>
          <w:lang w:val="en_US" w:bidi="en_US"/>
        </w:rPr>
        <w:t>14:13b</w:t>
      </w:r>
    </w:p>
    <w:p>
      <w:pPr/>
      <w:r>
        <w:rPr>
          <w:lang w:val="en_US" w:bidi="en_US"/>
        </w:rPr>
      </w:r>
      <w:r>
        <w:rPr>
          <w:b/>
          <w:lang w:val="en_US" w:bidi="en_US"/>
        </w:rPr>
        <w:t>the poor, the crippled,</w:t>
      </w:r>
    </w:p>
    <w:p>
      <w:pPr>
        <w:pStyle w:val="ListBullet"/>
        <w:spacing w:line="240" w:lineRule="auto"/>
        <w:ind w:left="720"/>
      </w:pPr>
      <w:r>
        <w:rPr>
          <w:lang w:val="en_US" w:bidi="en_US"/>
        </w:rPr>
      </w:r>
      <w:r>
        <w:rPr>
          <w:lang w:val="en_US" w:bidi="en_US"/>
        </w:rPr>
        <w:t>those who have no money, those who are disabled/handicapped/maimed,</w:t>
      </w:r>
    </w:p>
    <w:p>
      <w:pPr/>
      <w:r>
        <w:rPr>
          <w:lang w:val="en_US" w:bidi="en_US"/>
        </w:rPr>
      </w:r>
      <w:r>
        <w:rPr>
          <w:b/>
          <w:lang w:val="en_US" w:bidi="en_US"/>
        </w:rPr>
        <w:t>the poor:</w:t>
      </w:r>
      <w:r>
        <w:rPr>
          <w:lang w:val="en_US" w:bidi="en_US"/>
        </w:rPr>
        <w:t xml:space="preserve"> The word </w:t>
      </w:r>
      <w:r>
        <w:rPr>
          <w:i/>
          <w:lang w:val="en_US" w:bidi="en_US"/>
        </w:rPr>
        <w:t>poor</w:t>
      </w:r>
      <w:r>
        <w:rPr>
          <w:lang w:val="en_US" w:bidi="en_US"/>
        </w:rPr>
        <w:t xml:space="preserve"> here refers to people who own few things and have little or no money.</w:t>
      </w:r>
    </w:p>
    <w:p>
      <w:pPr/>
      <w:r>
        <w:rPr>
          <w:lang w:val="en_US" w:bidi="en_US"/>
        </w:rPr>
      </w:r>
      <w:r>
        <w:rPr>
          <w:b/>
          <w:lang w:val="en_US" w:bidi="en_US"/>
        </w:rPr>
        <w:t>the crippled:</w:t>
      </w:r>
      <w:r>
        <w:rPr>
          <w:lang w:val="en_US" w:bidi="en_US"/>
        </w:rPr>
        <w:t xml:space="preserve"> The Greek word that the BSB translates as </w:t>
      </w:r>
      <w:r>
        <w:rPr>
          <w:i/>
          <w:lang w:val="en_US" w:bidi="en_US"/>
        </w:rPr>
        <w:t>crippled</w:t>
      </w:r>
      <w:r>
        <w:rPr>
          <w:lang w:val="en_US" w:bidi="en_US"/>
        </w:rPr>
        <w:t xml:space="preserve"> refers to people who have lost the use of some part of their body or who are missing a body part. Some other ways to translate this are:</w:t>
      </w:r>
    </w:p>
    <w:p>
      <w:pPr/>
      <w:r>
        <w:rPr>
          <w:lang w:val="en_US" w:bidi="en_US"/>
        </w:rPr>
      </w:r>
      <w:r>
        <w:rPr>
          <w:lang w:val="en_US" w:bidi="en_US"/>
        </w:rPr>
        <w:t>the maimed (RSV)</w:t>
      </w:r>
    </w:p>
    <w:p>
      <w:pPr/>
      <w:r>
        <w:rPr>
          <w:lang w:val="en_US" w:bidi="en_US"/>
        </w:rPr>
      </w:r>
      <w:r>
        <w:rPr>
          <w:lang w:val="en_US" w:bidi="en_US"/>
        </w:rPr>
        <w:t>those having a bodily defect</w:t>
      </w:r>
    </w:p>
    <w:p>
      <w:pPr/>
      <w:r>
        <w:rPr>
          <w:lang w:val="en_US" w:bidi="en_US"/>
        </w:rPr>
      </w:r>
      <w:r>
        <w:rPr>
          <w:lang w:val="en_US" w:bidi="en_US"/>
        </w:rPr>
        <w:t>those missing a limb</w:t>
      </w:r>
      <w:r>
        <w:rPr>
          <w:lang w:val="en_US" w:bidi="en_US"/>
        </w:rPr>
        <w:t>These last two examples are translated into English from Javanese and Balinese respectively (TH, p. 528–29).</w:t>
      </w:r>
    </w:p>
    <w:p>
      <w:pPr>
        <w:pStyle w:val="Heading5"/>
      </w:pPr>
      <w:r>
        <w:rPr>
          <w:lang w:val="en_US" w:bidi="en_US"/>
        </w:rPr>
        <w:t>14:13c</w:t>
      </w:r>
    </w:p>
    <w:p>
      <w:pPr/>
      <w:r>
        <w:rPr>
          <w:lang w:val="en_US" w:bidi="en_US"/>
        </w:rPr>
      </w:r>
      <w:r>
        <w:rPr>
          <w:b/>
          <w:lang w:val="en_US" w:bidi="en_US"/>
        </w:rPr>
        <w:t>the lame, and the blind,</w:t>
      </w:r>
    </w:p>
    <w:p>
      <w:pPr>
        <w:pStyle w:val="ListBullet"/>
        <w:spacing w:line="240" w:lineRule="auto"/>
        <w:ind w:left="720"/>
      </w:pPr>
      <w:r>
        <w:rPr>
          <w:lang w:val="en_US" w:bidi="en_US"/>
        </w:rPr>
      </w:r>
      <w:r>
        <w:rPr>
          <w:lang w:val="en_US" w:bidi="en_US"/>
        </w:rPr>
        <w:t>those who cannot walk properly, and those who cannot see.</w:t>
      </w:r>
    </w:p>
    <w:p>
      <w:pPr/>
      <w:r>
        <w:rPr>
          <w:lang w:val="en_US" w:bidi="en_US"/>
        </w:rPr>
      </w:r>
      <w:r>
        <w:rPr>
          <w:b/>
          <w:lang w:val="en_US" w:bidi="en_US"/>
        </w:rPr>
        <w:t>the lame:</w:t>
      </w:r>
      <w:r>
        <w:rPr>
          <w:lang w:val="en_US" w:bidi="en_US"/>
        </w:rPr>
        <w:t xml:space="preserve"> The word </w:t>
      </w:r>
      <w:r>
        <w:rPr>
          <w:i/>
          <w:lang w:val="en_US" w:bidi="en_US"/>
        </w:rPr>
        <w:t>lame</w:t>
      </w:r>
      <w:r>
        <w:rPr>
          <w:lang w:val="en_US" w:bidi="en_US"/>
        </w:rPr>
        <w:t xml:space="preserve"> refers to people who cannot walk properly. There is something wrong with one or both legs.</w:t>
      </w:r>
      <w:r>
        <w:rPr>
          <w:lang w:val="en_US" w:bidi="en_US"/>
        </w:rPr>
      </w:r>
      <w:r>
        <w:rPr>
          <w:lang w:val="en_US" w:bidi="en_US"/>
        </w:rPr>
      </w:r>
    </w:p>
    <w:p>
      <w:pPr/>
      <w:r>
        <w:rPr>
          <w:lang w:val="en_US" w:bidi="en_US"/>
        </w:rPr>
      </w:r>
    </w:p>
    <w:p>
      <w:pPr>
        <w:pStyle w:val="Heading2"/>
      </w:pPr>
      <w:r>
        <w:rPr>
          <w:lang w:val="en_US" w:bidi="en_US"/>
        </w:rPr>
        <w:t>Luke 14:14</w:t>
      </w:r>
      <w:r>
        <w:rPr>
          <w:lang w:val="en_US" w:bidi="en_US"/>
        </w:rPr>
      </w:r>
    </w:p>
    <w:p>
      <w:pPr>
        <w:pStyle w:val="Heading4"/>
      </w:pPr>
      <w:r>
        <w:rPr>
          <w:lang w:val="en_US" w:bidi="en_US"/>
        </w:rPr>
        <w:t>Section 14:7–14: Jesus gave advice to the other guests and to his host</w:t>
      </w:r>
    </w:p>
    <w:p>
      <w:pPr/>
      <w:r>
        <w:rPr>
          <w:lang w:val="en_US" w:bidi="en_US"/>
        </w:rPr>
      </w:r>
      <w:r>
        <w:rPr>
          <w:lang w:val="en_US" w:bidi="en_US"/>
        </w:rPr>
        <w:t>In this section Jesus was still in the house of the Pharisee. He noticed that the other guests who came into the house were choosing positions of honor at the meal. He instructed them by means of a parable about wedding guests that they should be humble and not seek their own honor (14:7–11). He then instructed the Pharisee who was their host to hold feasts for people who were poor. Poor people could not invite him to a feast in return, so God would reward him (14:12–14).</w:t>
      </w:r>
    </w:p>
    <w:p>
      <w:pPr/>
      <w:r>
        <w:rPr>
          <w:lang w:val="en_US" w:bidi="en_US"/>
        </w:rPr>
      </w:r>
      <w:r>
        <w:rPr>
          <w:lang w:val="en_US" w:bidi="en_US"/>
        </w:rPr>
        <w:t>Some other possible headings for this section are:</w:t>
      </w:r>
    </w:p>
    <w:p>
      <w:pPr/>
      <w:r>
        <w:rPr>
          <w:lang w:val="en_US" w:bidi="en_US"/>
        </w:rPr>
      </w:r>
      <w:r>
        <w:rPr>
          <w:lang w:val="en_US" w:bidi="en_US"/>
        </w:rPr>
        <w:t>Humility and Hospitality (GNT)</w:t>
      </w:r>
    </w:p>
    <w:p>
      <w:pPr/>
      <w:r>
        <w:rPr>
          <w:lang w:val="en_US" w:bidi="en_US"/>
        </w:rPr>
      </w:r>
      <w:r>
        <w:rPr>
          <w:lang w:val="en_US" w:bidi="en_US"/>
        </w:rPr>
        <w:t>Instructions to Guests and to a Host</w:t>
      </w:r>
    </w:p>
    <w:p>
      <w:pPr>
        <w:pStyle w:val="Heading4"/>
      </w:pPr>
      <w:r>
        <w:rPr>
          <w:lang w:val="en_US" w:bidi="en_US"/>
        </w:rPr>
        <w:t>Paragraph 14:12–14</w:t>
      </w:r>
    </w:p>
    <w:p>
      <w:pPr/>
      <w:r>
        <w:rPr>
          <w:lang w:val="en_US" w:bidi="en_US"/>
        </w:rPr>
      </w:r>
      <w:r>
        <w:rPr>
          <w:lang w:val="en_US" w:bidi="en_US"/>
        </w:rPr>
        <w:t>In this paragraph Jesus taught that people should not invite to their feasts only people who can repay them by inviting them to a meal. They should also invite poor people who cannot repay them.</w:t>
      </w:r>
    </w:p>
    <w:p>
      <w:pPr>
        <w:pStyle w:val="Heading5"/>
      </w:pPr>
      <w:r>
        <w:rPr>
          <w:lang w:val="en_US" w:bidi="en_US"/>
        </w:rPr>
        <w:t>14:14a</w:t>
      </w:r>
    </w:p>
    <w:p>
      <w:pPr/>
      <w:r>
        <w:rPr>
          <w:lang w:val="en_US" w:bidi="en_US"/>
        </w:rPr>
      </w:r>
      <w:r>
        <w:rPr>
          <w:b/>
          <w:lang w:val="en_US" w:bidi="en_US"/>
        </w:rPr>
        <w:t>and you will be blessed.</w:t>
      </w:r>
    </w:p>
    <w:p>
      <w:pPr>
        <w:pStyle w:val="ListBullet"/>
        <w:spacing w:line="240" w:lineRule="auto"/>
        <w:ind w:left="720"/>
      </w:pPr>
      <w:r>
        <w:rPr>
          <w:lang w:val="en_US" w:bidi="en_US"/>
        </w:rPr>
      </w:r>
      <w:r>
        <w:rPr>
          <w:lang w:val="en_US" w:bidi="en_US"/>
        </w:rPr>
        <w:t>Then you</w:t>
      </w:r>
      <w:r>
        <w:rPr>
          <w:vertAlign w:val="superscript"/>
          <w:lang w:val="en_US" w:bidi="en_US"/>
        </w:rPr>
        <w:t>(sing)</w:t>
      </w:r>
      <w:r>
        <w:rPr>
          <w:lang w:val="en_US" w:bidi="en_US"/>
        </w:rPr>
        <w:t xml:space="preserve"> will be truly fortunate/blessed/happy,</w:t>
      </w:r>
    </w:p>
    <w:p>
      <w:pPr>
        <w:pStyle w:val="ListBullet"/>
        <w:spacing w:line="240" w:lineRule="auto"/>
        <w:ind w:left="720"/>
      </w:pPr>
      <w:r>
        <w:rPr>
          <w:lang w:val="en_US" w:bidi="en_US"/>
        </w:rPr>
      </w:r>
      <w:r>
        <w:rPr>
          <w:lang w:val="en_US" w:bidi="en_US"/>
        </w:rPr>
        <w:t>If you do that,</w:t>
      </w:r>
      <w:r>
        <w:rPr>
          <w:lang w:val="en_US" w:bidi="en_US"/>
        </w:rPr>
        <w:t xml:space="preserve"> God will bless/favor you,</w:t>
      </w:r>
    </w:p>
    <w:p>
      <w:pPr/>
      <w:r>
        <w:rPr>
          <w:lang w:val="en_US" w:bidi="en_US"/>
        </w:rPr>
      </w:r>
      <w:r>
        <w:rPr>
          <w:b/>
          <w:lang w:val="en_US" w:bidi="en_US"/>
        </w:rPr>
        <w:t>you will be blessed:</w:t>
      </w:r>
      <w:r>
        <w:rPr>
          <w:lang w:val="en_US" w:bidi="en_US"/>
        </w:rPr>
        <w:t xml:space="preserve"> The Greek word that the BSB translates as </w:t>
      </w:r>
      <w:r>
        <w:rPr>
          <w:i/>
          <w:lang w:val="en_US" w:bidi="en_US"/>
        </w:rPr>
        <w:t>blessed</w:t>
      </w:r>
      <w:r>
        <w:rPr>
          <w:lang w:val="en_US" w:bidi="en_US"/>
        </w:rPr>
        <w:t xml:space="preserve"> here refers to being in a good situation. This situation is a result of God showing favor or kindness to that person. Some other ways to translate this word are:</w:t>
      </w:r>
    </w:p>
    <w:p>
      <w:pPr/>
      <w:r>
        <w:rPr>
          <w:lang w:val="en_US" w:bidi="en_US"/>
        </w:rPr>
      </w:r>
      <w:r>
        <w:rPr>
          <w:lang w:val="en_US" w:bidi="en_US"/>
        </w:rPr>
        <w:t>you will be truly fortunate/happy</w:t>
      </w:r>
    </w:p>
    <w:p>
      <w:pPr/>
      <w:r>
        <w:rPr>
          <w:lang w:val="en_US" w:bidi="en_US"/>
        </w:rPr>
      </w:r>
      <w:r>
        <w:rPr>
          <w:lang w:val="en_US" w:bidi="en_US"/>
        </w:rPr>
        <w:t>God will bless/favor you</w:t>
      </w:r>
    </w:p>
    <w:p>
      <w:pPr/>
      <w:r>
        <w:rPr>
          <w:lang w:val="en_US" w:bidi="en_US"/>
        </w:rPr>
      </w:r>
      <w:r>
        <w:rPr>
          <w:lang w:val="en_US" w:bidi="en_US"/>
        </w:rPr>
        <w:t>See the notes on this word in 1:45a–b and 11:27b. See bless, Meaning 3, in the Glossary.</w:t>
      </w:r>
    </w:p>
    <w:p>
      <w:pPr>
        <w:pStyle w:val="Heading5"/>
      </w:pPr>
      <w:r>
        <w:rPr>
          <w:lang w:val="en_US" w:bidi="en_US"/>
        </w:rPr>
        <w:t>14:14b</w:t>
      </w:r>
    </w:p>
    <w:p>
      <w:pPr/>
      <w:r>
        <w:rPr>
          <w:lang w:val="en_US" w:bidi="en_US"/>
        </w:rPr>
      </w:r>
      <w:r>
        <w:rPr>
          <w:b/>
          <w:lang w:val="en_US" w:bidi="en_US"/>
        </w:rPr>
        <w:t>Since they cannot repay you,</w:t>
      </w:r>
    </w:p>
    <w:p>
      <w:pPr>
        <w:pStyle w:val="ListBullet"/>
        <w:spacing w:line="240" w:lineRule="auto"/>
        <w:ind w:left="720"/>
      </w:pPr>
      <w:r>
        <w:rPr>
          <w:lang w:val="en_US" w:bidi="en_US"/>
        </w:rPr>
      </w:r>
      <w:r>
        <w:rPr>
          <w:lang w:val="en_US" w:bidi="en_US"/>
        </w:rPr>
        <w:t>for</w:t>
      </w:r>
      <w:r>
        <w:rPr>
          <w:lang w:val="en_US" w:bidi="en_US"/>
        </w:rPr>
        <w:t xml:space="preserve"> those people cannot pay you</w:t>
      </w:r>
      <w:r>
        <w:rPr>
          <w:vertAlign w:val="superscript"/>
          <w:lang w:val="en_US" w:bidi="en_US"/>
        </w:rPr>
        <w:t>(sing)</w:t>
      </w:r>
      <w:r>
        <w:rPr>
          <w:lang w:val="en_US" w:bidi="en_US"/>
        </w:rPr>
        <w:t xml:space="preserve"> back,</w:t>
      </w:r>
    </w:p>
    <w:p>
      <w:pPr>
        <w:pStyle w:val="ListBullet"/>
        <w:spacing w:line="240" w:lineRule="auto"/>
        <w:ind w:left="720"/>
      </w:pPr>
      <w:r>
        <w:rPr>
          <w:lang w:val="en_US" w:bidi="en_US"/>
        </w:rPr>
      </w:r>
      <w:r>
        <w:rPr>
          <w:lang w:val="en_US" w:bidi="en_US"/>
        </w:rPr>
        <w:t xml:space="preserve">because </w:t>
      </w:r>
      <w:r>
        <w:rPr>
          <w:lang w:val="en_US" w:bidi="en_US"/>
        </w:rPr>
        <w:t>the people you invited</w:t>
      </w:r>
      <w:r>
        <w:rPr>
          <w:lang w:val="en_US" w:bidi="en_US"/>
        </w:rPr>
        <w:t xml:space="preserve"> cannot give you any repayment/reward,</w:t>
      </w:r>
    </w:p>
    <w:p>
      <w:pPr/>
      <w:r>
        <w:rPr>
          <w:lang w:val="en_US" w:bidi="en_US"/>
        </w:rPr>
      </w:r>
      <w:r>
        <w:rPr>
          <w:b/>
          <w:lang w:val="en_US" w:bidi="en_US"/>
        </w:rPr>
        <w:t>Since:</w:t>
      </w:r>
      <w:r>
        <w:rPr>
          <w:lang w:val="en_US" w:bidi="en_US"/>
        </w:rPr>
        <w:t xml:space="preserve"> In Greek, this verse part begins with a conjunction that some versions, such as the RSV and GNT, translate as “because.” This conjunction introduces the reason why the host who invites the poor will be blessed. This reason is given in 14:14b–c. 14:14b gives the negative part of the reason: Poor people cannot repay you here in this life. 14:14c gives the positive part of the reason: God will repay you in the future. See the General Comment at the end of 14:14c for a way to reorder these verse parts.</w:t>
      </w:r>
    </w:p>
    <w:p>
      <w:pPr/>
      <w:r>
        <w:rPr>
          <w:lang w:val="en_US" w:bidi="en_US"/>
        </w:rPr>
      </w:r>
      <w:r>
        <w:rPr>
          <w:lang w:val="en_US" w:bidi="en_US"/>
        </w:rPr>
        <w:t xml:space="preserve">The BSB uses the conjunction </w:t>
      </w:r>
      <w:r>
        <w:rPr>
          <w:i/>
          <w:lang w:val="en_US" w:bidi="en_US"/>
        </w:rPr>
        <w:t>Since</w:t>
      </w:r>
      <w:r>
        <w:rPr>
          <w:lang w:val="en_US" w:bidi="en_US"/>
        </w:rPr>
        <w:t xml:space="preserve"> here because the negative clause in 14:14b is not a blessing in itself. This helps the reader to understand that the blessing will come from God in the future. Consider how to connect these clauses so that your readers correctly understand the reason for the blessing.</w:t>
      </w:r>
    </w:p>
    <w:p>
      <w:pPr/>
      <w:r>
        <w:rPr>
          <w:lang w:val="en_US" w:bidi="en_US"/>
        </w:rPr>
      </w:r>
      <w:r>
        <w:rPr>
          <w:b/>
          <w:lang w:val="en_US" w:bidi="en_US"/>
        </w:rPr>
        <w:t>they cannot repay you:</w:t>
      </w:r>
      <w:r>
        <w:rPr>
          <w:lang w:val="en_US" w:bidi="en_US"/>
        </w:rPr>
        <w:t xml:space="preserve"> The expression </w:t>
      </w:r>
      <w:r>
        <w:rPr>
          <w:i/>
          <w:lang w:val="en_US" w:bidi="en_US"/>
        </w:rPr>
        <w:t>they cannot repay you</w:t>
      </w:r>
      <w:r>
        <w:rPr>
          <w:lang w:val="en_US" w:bidi="en_US"/>
        </w:rPr>
        <w:t xml:space="preserve"> means that the poor and disabled are not able to do the same kind of thing for the host as he has done for them. They are too poor or too weak to have a feast to which they could invite others.</w:t>
      </w:r>
    </w:p>
    <w:p>
      <w:pPr>
        <w:pStyle w:val="Heading5"/>
      </w:pPr>
      <w:r>
        <w:rPr>
          <w:lang w:val="en_US" w:bidi="en_US"/>
        </w:rPr>
        <w:t>14:14c</w:t>
      </w:r>
    </w:p>
    <w:p>
      <w:pPr/>
      <w:r>
        <w:rPr>
          <w:lang w:val="en_US" w:bidi="en_US"/>
        </w:rPr>
      </w:r>
      <w:r>
        <w:rPr>
          <w:b/>
          <w:lang w:val="en_US" w:bidi="en_US"/>
        </w:rPr>
        <w:t>you will be repaid at the resurrection of the righteous.”</w:t>
      </w:r>
    </w:p>
    <w:p>
      <w:pPr>
        <w:pStyle w:val="ListBullet"/>
        <w:spacing w:line="240" w:lineRule="auto"/>
        <w:ind w:left="720"/>
      </w:pPr>
      <w:r>
        <w:rPr>
          <w:lang w:val="en_US" w:bidi="en_US"/>
        </w:rPr>
      </w:r>
      <w:r>
        <w:rPr>
          <w:lang w:val="en_US" w:bidi="en_US"/>
        </w:rPr>
        <w:t>and/but</w:t>
      </w:r>
      <w:r>
        <w:rPr>
          <w:lang w:val="en_US" w:bidi="en_US"/>
        </w:rPr>
        <w:t xml:space="preserve"> </w:t>
      </w:r>
      <w:r>
        <w:rPr>
          <w:lang w:val="en_US" w:bidi="en_US"/>
        </w:rPr>
        <w:t>God</w:t>
      </w:r>
      <w:r>
        <w:rPr>
          <w:lang w:val="en_US" w:bidi="en_US"/>
        </w:rPr>
        <w:t xml:space="preserve"> will reward/repay you</w:t>
      </w:r>
      <w:r>
        <w:rPr>
          <w:vertAlign w:val="superscript"/>
          <w:lang w:val="en_US" w:bidi="en_US"/>
        </w:rPr>
        <w:t>(sing)</w:t>
      </w:r>
      <w:r>
        <w:rPr>
          <w:lang w:val="en_US" w:bidi="en_US"/>
        </w:rPr>
        <w:t xml:space="preserve"> when he causes the righteous/just people </w:t>
      </w:r>
      <w:r>
        <w:rPr>
          <w:lang w:val="en_US" w:bidi="en_US"/>
        </w:rPr>
        <w:t>who have died</w:t>
      </w:r>
      <w:r>
        <w:rPr>
          <w:lang w:val="en_US" w:bidi="en_US"/>
        </w:rPr>
        <w:t xml:space="preserve"> to live again.”</w:t>
      </w:r>
    </w:p>
    <w:p>
      <w:pPr>
        <w:pStyle w:val="ListBullet"/>
        <w:spacing w:line="240" w:lineRule="auto"/>
        <w:ind w:left="720"/>
      </w:pPr>
      <w:r>
        <w:rPr>
          <w:lang w:val="en_US" w:bidi="en_US"/>
        </w:rPr>
      </w:r>
      <w:r>
        <w:rPr>
          <w:lang w:val="en_US" w:bidi="en_US"/>
        </w:rPr>
        <w:t>so</w:t>
      </w:r>
      <w:r>
        <w:rPr>
          <w:lang w:val="en_US" w:bidi="en_US"/>
        </w:rPr>
        <w:t xml:space="preserve"> </w:t>
      </w:r>
      <w:r>
        <w:rPr>
          <w:lang w:val="en_US" w:bidi="en_US"/>
        </w:rPr>
        <w:t>God</w:t>
      </w:r>
      <w:r>
        <w:rPr>
          <w:lang w:val="en_US" w:bidi="en_US"/>
        </w:rPr>
        <w:t xml:space="preserve"> will give you a </w:t>
      </w:r>
      <w:r>
        <w:rPr>
          <w:lang w:val="en_US" w:bidi="en_US"/>
        </w:rPr>
        <w:t>good</w:t>
      </w:r>
      <w:r>
        <w:rPr>
          <w:lang w:val="en_US" w:bidi="en_US"/>
        </w:rPr>
        <w:t xml:space="preserve"> reward when those </w:t>
      </w:r>
      <w:r>
        <w:rPr>
          <w:lang w:val="en_US" w:bidi="en_US"/>
        </w:rPr>
        <w:t>whom he considers to be</w:t>
      </w:r>
      <w:r>
        <w:rPr>
          <w:lang w:val="en_US" w:bidi="en_US"/>
        </w:rPr>
        <w:t xml:space="preserve"> good/upright people come to life again.”</w:t>
      </w:r>
    </w:p>
    <w:p>
      <w:pPr/>
      <w:r>
        <w:rPr>
          <w:lang w:val="en_US" w:bidi="en_US"/>
        </w:rPr>
      </w:r>
      <w:r>
        <w:rPr>
          <w:b/>
          <w:lang w:val="en_US" w:bidi="en_US"/>
        </w:rPr>
        <w:t>you will be repaid:</w:t>
      </w:r>
      <w:r>
        <w:rPr>
          <w:lang w:val="en_US" w:bidi="en_US"/>
        </w:rPr>
        <w:t xml:space="preserve"> The clause </w:t>
      </w:r>
      <w:r>
        <w:rPr>
          <w:i/>
          <w:lang w:val="en_US" w:bidi="en_US"/>
        </w:rPr>
        <w:t>you will be repaid</w:t>
      </w:r>
      <w:r>
        <w:rPr>
          <w:lang w:val="en_US" w:bidi="en_US"/>
        </w:rPr>
        <w:t xml:space="preserve"> is a passive clause. The implied subject is God. Other ways to translate this clause are:</w:t>
      </w:r>
    </w:p>
    <w:p>
      <w:pPr/>
      <w:r>
        <w:rPr>
          <w:lang w:val="en_US" w:bidi="en_US"/>
        </w:rPr>
      </w:r>
      <w:r>
        <w:rPr>
          <w:lang w:val="en_US" w:bidi="en_US"/>
        </w:rPr>
        <w:t>you will be rewarded</w:t>
      </w:r>
    </w:p>
    <w:p>
      <w:pPr/>
      <w:r>
        <w:rPr>
          <w:lang w:val="en_US" w:bidi="en_US"/>
        </w:rPr>
      </w:r>
      <w:r>
        <w:rPr>
          <w:lang w:val="en_US" w:bidi="en_US"/>
        </w:rPr>
        <w:t>God will bless you and reward you (CEV)</w:t>
      </w:r>
    </w:p>
    <w:p>
      <w:pPr/>
      <w:r>
        <w:rPr>
          <w:lang w:val="en_US" w:bidi="en_US"/>
        </w:rPr>
      </w:r>
      <w:r>
        <w:rPr>
          <w:b/>
          <w:lang w:val="en_US" w:bidi="en_US"/>
        </w:rPr>
        <w:t>at the resurrection of the righteous:</w:t>
      </w:r>
      <w:r>
        <w:rPr>
          <w:lang w:val="en_US" w:bidi="en_US"/>
        </w:rPr>
        <w:t xml:space="preserve"> The phrase </w:t>
      </w:r>
      <w:r>
        <w:rPr>
          <w:i/>
          <w:lang w:val="en_US" w:bidi="en_US"/>
        </w:rPr>
        <w:t>the resurrection of the righteous</w:t>
      </w:r>
      <w:r>
        <w:rPr>
          <w:lang w:val="en_US" w:bidi="en_US"/>
        </w:rPr>
        <w:t xml:space="preserve"> refers to the time in the future when God will cause all the righteous people who have died to live again. Other ways to translate this phrase are:</w:t>
      </w:r>
    </w:p>
    <w:p>
      <w:pPr/>
      <w:r>
        <w:rPr>
          <w:lang w:val="en_US" w:bidi="en_US"/>
        </w:rPr>
      </w:r>
      <w:r>
        <w:rPr>
          <w:lang w:val="en_US" w:bidi="en_US"/>
        </w:rPr>
        <w:t>when the good people rise from the dead (NCV)</w:t>
      </w:r>
    </w:p>
    <w:p>
      <w:pPr/>
      <w:r>
        <w:rPr>
          <w:lang w:val="en_US" w:bidi="en_US"/>
        </w:rPr>
      </w:r>
      <w:r>
        <w:rPr>
          <w:lang w:val="en_US" w:bidi="en_US"/>
        </w:rPr>
        <w:t>when upright people come to life again</w:t>
      </w:r>
    </w:p>
    <w:p>
      <w:pPr/>
      <w:r>
        <w:rPr>
          <w:lang w:val="en_US" w:bidi="en_US"/>
        </w:rPr>
      </w:r>
      <w:r>
        <w:rPr>
          <w:lang w:val="en_US" w:bidi="en_US"/>
        </w:rPr>
        <w:t>on the day when God causes righteous people to live again</w:t>
      </w:r>
    </w:p>
    <w:p>
      <w:pPr/>
      <w:r>
        <w:rPr>
          <w:lang w:val="en_US" w:bidi="en_US"/>
        </w:rPr>
      </w:r>
      <w:r>
        <w:rPr>
          <w:b/>
          <w:lang w:val="en_US" w:bidi="en_US"/>
        </w:rPr>
        <w:t>the righteous:</w:t>
      </w:r>
      <w:r>
        <w:rPr>
          <w:lang w:val="en_US" w:bidi="en_US"/>
        </w:rPr>
        <w:t xml:space="preserve"> The Greek phrase that the BSB translates as </w:t>
      </w:r>
      <w:r>
        <w:rPr>
          <w:i/>
          <w:lang w:val="en_US" w:bidi="en_US"/>
        </w:rPr>
        <w:t>the righteous</w:t>
      </w:r>
      <w:r>
        <w:rPr>
          <w:lang w:val="en_US" w:bidi="en_US"/>
        </w:rPr>
        <w:t xml:space="preserve"> probably refers to people whom God accepts as righteous. He considers them to be just and good according to his standards. Some ways to translate this are:</w:t>
      </w:r>
    </w:p>
    <w:p>
      <w:pPr/>
      <w:r>
        <w:rPr>
          <w:lang w:val="en_US" w:bidi="en_US"/>
        </w:rPr>
      </w:r>
      <w:r>
        <w:rPr>
          <w:lang w:val="en_US" w:bidi="en_US"/>
        </w:rPr>
        <w:t>all those who have a right relationship with God</w:t>
      </w:r>
    </w:p>
    <w:p>
      <w:pPr/>
      <w:r>
        <w:rPr>
          <w:lang w:val="en_US" w:bidi="en_US"/>
        </w:rPr>
      </w:r>
      <w:r>
        <w:rPr>
          <w:lang w:val="en_US" w:bidi="en_US"/>
        </w:rPr>
        <w:t>those who have God’s approval (GW)</w:t>
      </w:r>
    </w:p>
    <w:p>
      <w:pPr/>
      <w:r>
        <w:rPr>
          <w:lang w:val="en_US" w:bidi="en_US"/>
        </w:rPr>
      </w:r>
      <w:r>
        <w:rPr>
          <w:lang w:val="en_US" w:bidi="en_US"/>
        </w:rPr>
        <w:t>those whom he/God considers to be good/righteous</w:t>
      </w:r>
    </w:p>
    <w:p>
      <w:pPr/>
      <w:r>
        <w:rPr>
          <w:lang w:val="en_US" w:bidi="en_US"/>
        </w:rPr>
      </w:r>
      <w:r>
        <w:rPr>
          <w:lang w:val="en_US" w:bidi="en_US"/>
        </w:rPr>
        <w:t>In some languages people use an idiom to express this meaning. For example:</w:t>
      </w:r>
    </w:p>
    <w:p>
      <w:pPr/>
      <w:r>
        <w:rPr>
          <w:lang w:val="en_US" w:bidi="en_US"/>
        </w:rPr>
      </w:r>
      <w:r>
        <w:rPr>
          <w:lang w:val="en_US" w:bidi="en_US"/>
        </w:rPr>
        <w:t>those who follow a straight path</w:t>
      </w:r>
    </w:p>
    <w:p>
      <w:pPr/>
      <w:r>
        <w:rPr>
          <w:lang w:val="en_US" w:bidi="en_US"/>
        </w:rPr>
      </w:r>
      <w:r>
        <w:rPr>
          <w:lang w:val="en_US" w:bidi="en_US"/>
        </w:rPr>
        <w:t>upright people</w:t>
      </w:r>
    </w:p>
    <w:p>
      <w:pPr>
        <w:pStyle w:val="Heading6"/>
      </w:pPr>
      <w:r>
        <w:rPr>
          <w:b/>
          <w:lang w:val="en_US" w:bidi="en_US"/>
        </w:rPr>
        <w:t>General Comment on 14:14b–c</w:t>
      </w:r>
    </w:p>
    <w:p>
      <w:pPr/>
      <w:r>
        <w:rPr>
          <w:lang w:val="en_US" w:bidi="en_US"/>
        </w:rPr>
      </w:r>
      <w:r>
        <w:rPr>
          <w:lang w:val="en_US" w:bidi="en_US"/>
        </w:rPr>
        <w:t>In some languages it may be more natural to place 14:14c before 14:14b. This may help readers to understand the reason why those who invite the poor and crippled in 14:14a are blessed. For example:</w:t>
      </w:r>
    </w:p>
    <w:p>
      <w:pPr/>
      <w:r>
        <w:rPr>
          <w:lang w:val="en_US" w:bidi="en_US"/>
        </w:rPr>
      </w:r>
      <w:r>
        <w:rPr>
          <w:vertAlign w:val="superscript"/>
          <w:lang w:val="en_US" w:bidi="en_US"/>
        </w:rPr>
        <w:t>14c</w:t>
      </w:r>
      <w:r>
        <w:rPr>
          <w:lang w:val="en_US" w:bidi="en_US"/>
        </w:rPr>
        <w:t xml:space="preserve">Then at the resurrection of the righteous, God will reward you </w:t>
      </w:r>
      <w:r>
        <w:rPr>
          <w:vertAlign w:val="superscript"/>
          <w:lang w:val="en_US" w:bidi="en_US"/>
        </w:rPr>
        <w:t>14b</w:t>
      </w:r>
      <w:r>
        <w:rPr>
          <w:lang w:val="en_US" w:bidi="en_US"/>
        </w:rPr>
        <w:t>for inviting those who could not repay you. (NLT)</w:t>
      </w:r>
      <w:r>
        <w:rPr>
          <w:lang w:val="en_US" w:bidi="en_US"/>
        </w:rPr>
      </w:r>
      <w:r>
        <w:rPr>
          <w:lang w:val="en_US" w:bidi="en_US"/>
        </w:rPr>
      </w:r>
    </w:p>
    <w:p>
      <w:pPr/>
      <w:r>
        <w:rPr>
          <w:lang w:val="en_US" w:bidi="en_US"/>
        </w:rPr>
      </w:r>
    </w:p>
    <w:p>
      <w:pPr>
        <w:pStyle w:val="Heading2"/>
      </w:pPr>
      <w:r>
        <w:rPr>
          <w:lang w:val="en_US" w:bidi="en_US"/>
        </w:rPr>
        <w:t>Luke 14:15</w:t>
      </w:r>
      <w:r>
        <w:rPr>
          <w:lang w:val="en_US" w:bidi="en_US"/>
        </w:rPr>
      </w:r>
    </w:p>
    <w:p>
      <w:pPr>
        <w:pStyle w:val="Heading4"/>
      </w:pPr>
      <w:r>
        <w:rPr>
          <w:lang w:val="en_US" w:bidi="en_US"/>
        </w:rPr>
        <w:t>Section 14:15–24: Jesus told a parable about a great feast</w:t>
      </w:r>
    </w:p>
    <w:p>
      <w:pPr/>
      <w:r>
        <w:rPr>
          <w:lang w:val="en_US" w:bidi="en_US"/>
        </w:rPr>
      </w:r>
      <w:r>
        <w:rPr>
          <w:lang w:val="en_US" w:bidi="en_US"/>
        </w:rPr>
        <w:t>Jesus next told a parable about a feast that a man invited many people to attend. When they refused to come, he invited other people instead. This parable teaches that it is very important to accept God’s invitation to be a part of his kingdom. The people who refused the invitation represent people who are not interested in being part of God’s kingdom. Those who accepted the invitation represent people who are glad to be part of God’s kingdom.</w:t>
      </w:r>
    </w:p>
    <w:p>
      <w:pPr/>
      <w:r>
        <w:rPr>
          <w:lang w:val="en_US" w:bidi="en_US"/>
        </w:rPr>
      </w:r>
      <w:r>
        <w:rPr>
          <w:lang w:val="en_US" w:bidi="en_US"/>
        </w:rPr>
        <w:t>Luke 14:16–24 is all one speech by Jesus. Check to be sure that this is clear in your translation.</w:t>
      </w:r>
    </w:p>
    <w:p>
      <w:pPr/>
      <w:r>
        <w:rPr>
          <w:lang w:val="en_US" w:bidi="en_US"/>
        </w:rPr>
      </w:r>
      <w:r>
        <w:rPr>
          <w:lang w:val="en_US" w:bidi="en_US"/>
        </w:rPr>
        <w:t>Some other possible headings for this section are:</w:t>
      </w:r>
    </w:p>
    <w:p>
      <w:pPr/>
      <w:r>
        <w:rPr>
          <w:lang w:val="en_US" w:bidi="en_US"/>
        </w:rPr>
      </w:r>
      <w:r>
        <w:rPr>
          <w:lang w:val="en_US" w:bidi="en_US"/>
        </w:rPr>
        <w:t>The parable of the excuses</w:t>
      </w:r>
    </w:p>
    <w:p>
      <w:pPr/>
      <w:r>
        <w:rPr>
          <w:lang w:val="en_US" w:bidi="en_US"/>
        </w:rPr>
      </w:r>
      <w:r>
        <w:rPr>
          <w:lang w:val="en_US" w:bidi="en_US"/>
        </w:rPr>
        <w:t>The guests who refused the invitation to attend a banquet</w:t>
      </w:r>
    </w:p>
    <w:p>
      <w:pPr/>
      <w:r>
        <w:rPr>
          <w:lang w:val="en_US" w:bidi="en_US"/>
        </w:rPr>
      </w:r>
      <w:r>
        <w:rPr>
          <w:lang w:val="en_US" w:bidi="en_US"/>
        </w:rPr>
        <w:t>There is a similar parable in Matthew 22:1–10. However, many details are different, so be careful not to translate both parables in the same way.</w:t>
      </w:r>
    </w:p>
    <w:p>
      <w:pPr>
        <w:pStyle w:val="Heading5"/>
      </w:pPr>
      <w:r>
        <w:rPr>
          <w:lang w:val="en_US" w:bidi="en_US"/>
        </w:rPr>
        <w:t>14:15a</w:t>
      </w:r>
    </w:p>
    <w:p>
      <w:pPr/>
      <w:r>
        <w:rPr>
          <w:lang w:val="en_US" w:bidi="en_US"/>
        </w:rPr>
      </w:r>
      <w:r>
        <w:rPr>
          <w:b/>
          <w:lang w:val="en_US" w:bidi="en_US"/>
        </w:rPr>
        <w:t>When one of those reclining with Him heard this, he said to Jesus,</w:t>
      </w:r>
    </w:p>
    <w:p>
      <w:pPr>
        <w:pStyle w:val="ListBullet"/>
        <w:spacing w:line="240" w:lineRule="auto"/>
        <w:ind w:left="720"/>
      </w:pPr>
      <w:r>
        <w:rPr>
          <w:lang w:val="en_US" w:bidi="en_US"/>
        </w:rPr>
      </w:r>
      <w:r>
        <w:rPr>
          <w:lang w:val="en_US" w:bidi="en_US"/>
        </w:rPr>
        <w:t>¶ When one of the other guests heard this, he said to Jesus,</w:t>
      </w:r>
    </w:p>
    <w:p>
      <w:pPr>
        <w:pStyle w:val="ListBullet"/>
        <w:spacing w:line="240" w:lineRule="auto"/>
        <w:ind w:left="720"/>
      </w:pPr>
      <w:r>
        <w:rPr>
          <w:lang w:val="en_US" w:bidi="en_US"/>
        </w:rPr>
      </w:r>
      <w:r>
        <w:rPr>
          <w:lang w:val="en_US" w:bidi="en_US"/>
        </w:rPr>
        <w:t>¶ Those eating with Jesus heard him say that, and one of them said to Jesus,</w:t>
      </w:r>
    </w:p>
    <w:p>
      <w:pPr/>
      <w:r>
        <w:rPr>
          <w:lang w:val="en_US" w:bidi="en_US"/>
        </w:rPr>
      </w:r>
      <w:r>
        <w:rPr>
          <w:b/>
          <w:lang w:val="en_US" w:bidi="en_US"/>
        </w:rPr>
        <w:t>When one of those reclining with Him heard this:</w:t>
      </w:r>
      <w:r>
        <w:rPr>
          <w:lang w:val="en_US" w:bidi="en_US"/>
        </w:rPr>
        <w:t xml:space="preserve"> The phrase </w:t>
      </w:r>
      <w:r>
        <w:rPr>
          <w:i/>
          <w:lang w:val="en_US" w:bidi="en_US"/>
        </w:rPr>
        <w:t>one of those reclining with Him</w:t>
      </w:r>
      <w:r>
        <w:rPr>
          <w:lang w:val="en_US" w:bidi="en_US"/>
        </w:rPr>
        <w:t xml:space="preserve"> refers to one of the guests who was eating at the Pharisee’s house with Jesus (14:1). Probably all the other guests also heard what Jesus said. Be careful not to imply that only one of the guests heard what Jesus said. Some other ways to translate the meaning are:</w:t>
      </w:r>
    </w:p>
    <w:p>
      <w:pPr/>
      <w:r>
        <w:rPr>
          <w:lang w:val="en_US" w:bidi="en_US"/>
        </w:rPr>
      </w:r>
      <w:r>
        <w:rPr>
          <w:lang w:val="en_US" w:bidi="en_US"/>
        </w:rPr>
        <w:t>After Jesus had finished speaking, one of the guests said (CEV)</w:t>
      </w:r>
    </w:p>
    <w:p>
      <w:pPr/>
      <w:r>
        <w:rPr>
          <w:lang w:val="en_US" w:bidi="en_US"/>
        </w:rPr>
      </w:r>
      <w:r>
        <w:rPr>
          <w:lang w:val="en_US" w:bidi="en_US"/>
        </w:rPr>
        <w:t>One of the guests who heard what Jesus said spoke up. He said to Jesus</w:t>
      </w:r>
    </w:p>
    <w:p>
      <w:pPr/>
      <w:r>
        <w:rPr>
          <w:lang w:val="en_US" w:bidi="en_US"/>
        </w:rPr>
      </w:r>
      <w:r>
        <w:rPr>
          <w:b/>
          <w:lang w:val="en_US" w:bidi="en_US"/>
        </w:rPr>
        <w:t>those reclining with Him:</w:t>
      </w:r>
      <w:r>
        <w:rPr>
          <w:lang w:val="en_US" w:bidi="en_US"/>
        </w:rPr>
        <w:t xml:space="preserve"> The Greek expression that the BSB translates literally as </w:t>
      </w:r>
      <w:r>
        <w:rPr>
          <w:i/>
          <w:lang w:val="en_US" w:bidi="en_US"/>
        </w:rPr>
        <w:t>those reclining with Him</w:t>
      </w:r>
      <w:r>
        <w:rPr>
          <w:lang w:val="en_US" w:bidi="en_US"/>
        </w:rPr>
        <w:t xml:space="preserve"> refers to the people who were eating with Jesus. They were probably lying down next to a low table. The NIV adds the phrase “at the table” to make the meaning clear, and most other English versions do something similar. You should use an expression that is natural in your language. Other ways to translate it are:</w:t>
      </w:r>
    </w:p>
    <w:p>
      <w:pPr/>
      <w:r>
        <w:rPr>
          <w:lang w:val="en_US" w:bidi="en_US"/>
        </w:rPr>
      </w:r>
      <w:r>
        <w:rPr>
          <w:lang w:val="en_US" w:bidi="en_US"/>
        </w:rPr>
        <w:t>the dinner guests (NRSV)</w:t>
      </w:r>
    </w:p>
    <w:p>
      <w:pPr/>
      <w:r>
        <w:rPr>
          <w:lang w:val="en_US" w:bidi="en_US"/>
        </w:rPr>
      </w:r>
      <w:r>
        <w:rPr>
          <w:lang w:val="en_US" w:bidi="en_US"/>
        </w:rPr>
        <w:t>those eating with him (GW)</w:t>
      </w:r>
    </w:p>
    <w:p>
      <w:pPr/>
      <w:r>
        <w:rPr>
          <w:lang w:val="en_US" w:bidi="en_US"/>
        </w:rPr>
      </w:r>
      <w:r>
        <w:rPr>
          <w:lang w:val="en_US" w:bidi="en_US"/>
        </w:rPr>
        <w:t>the guests sitting at the table (GNT)</w:t>
      </w:r>
    </w:p>
    <w:p>
      <w:pPr>
        <w:pStyle w:val="Heading5"/>
      </w:pPr>
      <w:r>
        <w:rPr>
          <w:lang w:val="en_US" w:bidi="en_US"/>
        </w:rPr>
        <w:t>14:15b</w:t>
      </w:r>
    </w:p>
    <w:p>
      <w:pPr/>
      <w:r>
        <w:rPr>
          <w:lang w:val="en_US" w:bidi="en_US"/>
        </w:rPr>
      </w:r>
      <w:r>
        <w:rPr>
          <w:b/>
          <w:lang w:val="en_US" w:bidi="en_US"/>
        </w:rPr>
        <w:t>“Blessed is everyone who will eat at the feast in the kingdom of God.”</w:t>
      </w:r>
    </w:p>
    <w:p>
      <w:pPr>
        <w:pStyle w:val="ListBullet"/>
        <w:spacing w:line="240" w:lineRule="auto"/>
        <w:ind w:left="720"/>
      </w:pPr>
      <w:r>
        <w:rPr>
          <w:lang w:val="en_US" w:bidi="en_US"/>
        </w:rPr>
      </w:r>
      <w:r>
        <w:rPr>
          <w:lang w:val="en_US" w:bidi="en_US"/>
        </w:rPr>
        <w:t>“The people who will eat at the feast in God’s kingdom are very fortunate/blessed!”</w:t>
      </w:r>
    </w:p>
    <w:p>
      <w:pPr>
        <w:pStyle w:val="ListBullet"/>
        <w:spacing w:line="240" w:lineRule="auto"/>
        <w:ind w:left="720"/>
      </w:pPr>
      <w:r>
        <w:rPr>
          <w:lang w:val="en_US" w:bidi="en_US"/>
        </w:rPr>
      </w:r>
      <w:r>
        <w:rPr>
          <w:lang w:val="en_US" w:bidi="en_US"/>
        </w:rPr>
        <w:t xml:space="preserve">“What happiness/blessing there will be for the ones who participate/join in the feast for all those whom God rules </w:t>
      </w:r>
      <w:r>
        <w:rPr>
          <w:lang w:val="en_US" w:bidi="en_US"/>
        </w:rPr>
        <w:t>and cares for</w:t>
      </w:r>
      <w:r>
        <w:rPr>
          <w:lang w:val="en_US" w:bidi="en_US"/>
        </w:rPr>
        <w:t>!”</w:t>
      </w:r>
    </w:p>
    <w:p>
      <w:pPr/>
      <w:r>
        <w:rPr>
          <w:lang w:val="en_US" w:bidi="en_US"/>
        </w:rPr>
      </w:r>
      <w:r>
        <w:rPr>
          <w:b/>
          <w:lang w:val="en_US" w:bidi="en_US"/>
        </w:rPr>
        <w:t>Blessed is everyone who will eat at the feast in the kingdom of God:</w:t>
      </w:r>
      <w:r>
        <w:rPr>
          <w:lang w:val="en_US" w:bidi="en_US"/>
        </w:rPr>
        <w:t xml:space="preserve"> Many Jews believed that when the Messiah came to rule, he would begin his rule by inviting people to a great feast. All of the people who had been faithful to God would come to the feast. They would be the ones who would enjoy the blessings of the Messiah’s rule.</w:t>
      </w:r>
    </w:p>
    <w:p>
      <w:pPr/>
      <w:r>
        <w:rPr>
          <w:lang w:val="en_US" w:bidi="en_US"/>
        </w:rPr>
      </w:r>
      <w:r>
        <w:rPr>
          <w:lang w:val="en_US" w:bidi="en_US"/>
        </w:rPr>
        <w:t xml:space="preserve">The phrase </w:t>
      </w:r>
      <w:r>
        <w:rPr>
          <w:i/>
          <w:lang w:val="en_US" w:bidi="en_US"/>
        </w:rPr>
        <w:t>at the feast in the kingdom of God</w:t>
      </w:r>
      <w:r>
        <w:rPr>
          <w:lang w:val="en_US" w:bidi="en_US"/>
        </w:rPr>
        <w:t xml:space="preserve"> is similar to the reference in 13:29b. See how you translated the phrase there.</w:t>
      </w:r>
    </w:p>
    <w:p>
      <w:pPr/>
      <w:r>
        <w:rPr>
          <w:lang w:val="en_US" w:bidi="en_US"/>
        </w:rPr>
      </w:r>
      <w:r>
        <w:rPr>
          <w:b/>
          <w:lang w:val="en_US" w:bidi="en_US"/>
        </w:rPr>
        <w:t>Blessed:</w:t>
      </w:r>
      <w:r>
        <w:rPr>
          <w:lang w:val="en_US" w:bidi="en_US"/>
        </w:rPr>
        <w:t xml:space="preserve"> The Greek word that the BSB translates as </w:t>
      </w:r>
      <w:r>
        <w:rPr>
          <w:i/>
          <w:lang w:val="en_US" w:bidi="en_US"/>
        </w:rPr>
        <w:t>Blessed</w:t>
      </w:r>
      <w:r>
        <w:rPr>
          <w:lang w:val="en_US" w:bidi="en_US"/>
        </w:rPr>
        <w:t xml:space="preserve"> describes a person who has received a great honor and privilege from God. The favor and kindness that God has shown to the person results in the person being in a good situation.</w:t>
      </w:r>
    </w:p>
    <w:p>
      <w:pPr/>
      <w:r>
        <w:rPr>
          <w:lang w:val="en_US" w:bidi="en_US"/>
        </w:rPr>
      </w:r>
      <w:r>
        <w:rPr>
          <w:lang w:val="en_US" w:bidi="en_US"/>
        </w:rPr>
        <w:t>Some English versions translate this word as “happy.” In your translation, try to use an expression that refers to a fortunate situation rather than simply to a feeling of happiness. For example:</w:t>
      </w:r>
    </w:p>
    <w:p>
      <w:pPr/>
      <w:r>
        <w:rPr>
          <w:lang w:val="en_US" w:bidi="en_US"/>
        </w:rPr>
      </w:r>
      <w:r>
        <w:rPr>
          <w:lang w:val="en_US" w:bidi="en_US"/>
        </w:rPr>
        <w:t>Joyful/desirable is your situation</w:t>
      </w:r>
    </w:p>
    <w:p>
      <w:pPr/>
      <w:r>
        <w:rPr>
          <w:lang w:val="en_US" w:bidi="en_US"/>
        </w:rPr>
      </w:r>
      <w:r>
        <w:rPr>
          <w:lang w:val="en_US" w:bidi="en_US"/>
        </w:rPr>
        <w:t>How good it is for you</w:t>
      </w:r>
    </w:p>
    <w:p>
      <w:pPr/>
      <w:r>
        <w:rPr>
          <w:lang w:val="en_US" w:bidi="en_US"/>
        </w:rPr>
      </w:r>
      <w:r>
        <w:rPr>
          <w:lang w:val="en_US" w:bidi="en_US"/>
        </w:rPr>
        <w:t>You are privileged/fortunate</w:t>
      </w:r>
    </w:p>
    <w:p>
      <w:pPr/>
      <w:r>
        <w:rPr>
          <w:lang w:val="en_US" w:bidi="en_US"/>
        </w:rPr>
      </w:r>
      <w:r>
        <w:rPr>
          <w:lang w:val="en_US" w:bidi="en_US"/>
        </w:rPr>
        <w:t xml:space="preserve">Do not use a word that </w:t>
      </w:r>
      <w:r>
        <w:rPr>
          <w:u w:val="single"/>
          <w:lang w:val="en_US" w:bidi="en_US"/>
        </w:rPr>
        <w:t>only</w:t>
      </w:r>
      <w:r>
        <w:rPr>
          <w:lang w:val="en_US" w:bidi="en_US"/>
        </w:rPr>
        <w:t xml:space="preserve"> refers to material prosperity or physical health. See the note at 10:23b, where the same word occurs in a similar context. It also occurs in 6:20b and in this chapter at 14:14a. See bless, Meaning 3, in the Glossary.</w:t>
      </w:r>
    </w:p>
    <w:p>
      <w:pPr/>
      <w:r>
        <w:rPr>
          <w:lang w:val="en_US" w:bidi="en_US"/>
        </w:rPr>
      </w:r>
      <w:r>
        <w:rPr>
          <w:b/>
          <w:lang w:val="en_US" w:bidi="en_US"/>
        </w:rPr>
        <w:t>everyone:</w:t>
      </w:r>
      <w:r>
        <w:rPr>
          <w:lang w:val="en_US" w:bidi="en_US"/>
        </w:rPr>
        <w:t xml:space="preserve"> The Greek expression that the BSB translates as </w:t>
      </w:r>
      <w:r>
        <w:rPr>
          <w:i/>
          <w:lang w:val="en_US" w:bidi="en_US"/>
        </w:rPr>
        <w:t>everyone</w:t>
      </w:r>
      <w:r>
        <w:rPr>
          <w:lang w:val="en_US" w:bidi="en_US"/>
        </w:rPr>
        <w:t xml:space="preserve"> refers to anyone and everyone who goes to the feast. It is not talking about only one person. Other ways to translate this expression are:</w:t>
      </w:r>
    </w:p>
    <w:p>
      <w:pPr/>
      <w:r>
        <w:rPr>
          <w:lang w:val="en_US" w:bidi="en_US"/>
        </w:rPr>
      </w:r>
      <w:r>
        <w:rPr>
          <w:lang w:val="en_US" w:bidi="en_US"/>
        </w:rPr>
        <w:t>anyone (NJB)</w:t>
      </w:r>
    </w:p>
    <w:p>
      <w:pPr/>
      <w:r>
        <w:rPr>
          <w:lang w:val="en_US" w:bidi="en_US"/>
        </w:rPr>
      </w:r>
      <w:r>
        <w:rPr>
          <w:lang w:val="en_US" w:bidi="en_US"/>
        </w:rPr>
        <w:t>those (REB)</w:t>
      </w:r>
    </w:p>
    <w:p>
      <w:pPr/>
      <w:r>
        <w:rPr>
          <w:lang w:val="en_US" w:bidi="en_US"/>
        </w:rPr>
      </w:r>
      <w:r>
        <w:rPr>
          <w:b/>
          <w:lang w:val="en_US" w:bidi="en_US"/>
        </w:rPr>
        <w:t>will eat at the feast in the kingdom of God:</w:t>
      </w:r>
      <w:r>
        <w:rPr>
          <w:lang w:val="en_US" w:bidi="en_US"/>
        </w:rPr>
        <w:t xml:space="preserve"> In most contexts the phrase </w:t>
      </w:r>
      <w:r>
        <w:rPr>
          <w:i/>
          <w:lang w:val="en_US" w:bidi="en_US"/>
        </w:rPr>
        <w:t>the kingdom of God</w:t>
      </w:r>
      <w:r>
        <w:rPr>
          <w:lang w:val="en_US" w:bidi="en_US"/>
        </w:rPr>
        <w:t xml:space="preserve"> refers to God’s activity of ruling and caring for his people as their king. It does not refer to a land or country that he rules over. However, in this context, the emphasis is on being in a place where God rules or being among people whom God rules. Some ways to translate this phrase are:</w:t>
      </w:r>
    </w:p>
    <w:p>
      <w:pPr/>
      <w:r>
        <w:rPr>
          <w:lang w:val="en_US" w:bidi="en_US"/>
        </w:rPr>
      </w:r>
      <w:r>
        <w:rPr>
          <w:lang w:val="en_US" w:bidi="en_US"/>
        </w:rPr>
        <w:t>will be included in the feast of all those whom God rules and cares for</w:t>
      </w:r>
    </w:p>
    <w:p>
      <w:pPr/>
      <w:r>
        <w:rPr>
          <w:lang w:val="en_US" w:bidi="en_US"/>
        </w:rPr>
      </w:r>
      <w:r>
        <w:rPr>
          <w:lang w:val="en_US" w:bidi="en_US"/>
        </w:rPr>
        <w:t xml:space="preserve">will feast together in the </w:t>
      </w:r>
      <w:r>
        <w:rPr>
          <w:lang w:val="en_US" w:bidi="en_US"/>
        </w:rPr>
        <w:t>good</w:t>
      </w:r>
      <w:r>
        <w:rPr>
          <w:lang w:val="en_US" w:bidi="en_US"/>
        </w:rPr>
        <w:t xml:space="preserve"> place where God rules</w:t>
      </w:r>
    </w:p>
    <w:p>
      <w:pPr/>
      <w:r>
        <w:rPr>
          <w:lang w:val="en_US" w:bidi="en_US"/>
        </w:rPr>
      </w:r>
      <w:r>
        <w:rPr>
          <w:lang w:val="en_US" w:bidi="en_US"/>
        </w:rPr>
        <w:t>See the notes at 13:28b and 13:29b, where the term “kingdom of God” is used in a similar context.</w:t>
      </w:r>
      <w:r>
        <w:rPr>
          <w:lang w:val="en_US" w:bidi="en_US"/>
        </w:rPr>
      </w:r>
      <w:r>
        <w:rPr>
          <w:lang w:val="en_US" w:bidi="en_US"/>
        </w:rPr>
      </w:r>
    </w:p>
    <w:p>
      <w:pPr/>
      <w:r>
        <w:rPr>
          <w:lang w:val="en_US" w:bidi="en_US"/>
        </w:rPr>
      </w:r>
    </w:p>
    <w:p>
      <w:pPr>
        <w:pStyle w:val="Heading2"/>
      </w:pPr>
      <w:r>
        <w:rPr>
          <w:lang w:val="en_US" w:bidi="en_US"/>
        </w:rPr>
        <w:t>Luke 14:16</w:t>
      </w:r>
      <w:r>
        <w:rPr>
          <w:lang w:val="en_US" w:bidi="en_US"/>
        </w:rPr>
      </w:r>
    </w:p>
    <w:p>
      <w:pPr>
        <w:pStyle w:val="Heading4"/>
      </w:pPr>
      <w:r>
        <w:rPr>
          <w:lang w:val="en_US" w:bidi="en_US"/>
        </w:rPr>
        <w:t>Section 14:15–24: Jesus told a parable about a great feast</w:t>
      </w:r>
    </w:p>
    <w:p>
      <w:pPr/>
      <w:r>
        <w:rPr>
          <w:lang w:val="en_US" w:bidi="en_US"/>
        </w:rPr>
      </w:r>
      <w:r>
        <w:rPr>
          <w:lang w:val="en_US" w:bidi="en_US"/>
        </w:rPr>
        <w:t>Jesus next told a parable about a feast that a man invited many people to attend. When they refused to come, he invited other people instead. This parable teaches that it is very important to accept God’s invitation to be a part of his kingdom. The people who refused the invitation represent people who are not interested in being part of God’s kingdom. Those who accepted the invitation represent people who are glad to be part of God’s kingdom.</w:t>
      </w:r>
    </w:p>
    <w:p>
      <w:pPr/>
      <w:r>
        <w:rPr>
          <w:lang w:val="en_US" w:bidi="en_US"/>
        </w:rPr>
      </w:r>
      <w:r>
        <w:rPr>
          <w:lang w:val="en_US" w:bidi="en_US"/>
        </w:rPr>
        <w:t>Luke 14:16–24 is all one speech by Jesus. Check to be sure that this is clear in your translation.</w:t>
      </w:r>
    </w:p>
    <w:p>
      <w:pPr/>
      <w:r>
        <w:rPr>
          <w:lang w:val="en_US" w:bidi="en_US"/>
        </w:rPr>
      </w:r>
      <w:r>
        <w:rPr>
          <w:lang w:val="en_US" w:bidi="en_US"/>
        </w:rPr>
        <w:t>Some other possible headings for this section are:</w:t>
      </w:r>
    </w:p>
    <w:p>
      <w:pPr/>
      <w:r>
        <w:rPr>
          <w:lang w:val="en_US" w:bidi="en_US"/>
        </w:rPr>
      </w:r>
      <w:r>
        <w:rPr>
          <w:lang w:val="en_US" w:bidi="en_US"/>
        </w:rPr>
        <w:t>The parable of the excuses</w:t>
      </w:r>
    </w:p>
    <w:p>
      <w:pPr/>
      <w:r>
        <w:rPr>
          <w:lang w:val="en_US" w:bidi="en_US"/>
        </w:rPr>
      </w:r>
      <w:r>
        <w:rPr>
          <w:lang w:val="en_US" w:bidi="en_US"/>
        </w:rPr>
        <w:t>The guests who refused the invitation to attend a banquet</w:t>
      </w:r>
    </w:p>
    <w:p>
      <w:pPr/>
      <w:r>
        <w:rPr>
          <w:lang w:val="en_US" w:bidi="en_US"/>
        </w:rPr>
      </w:r>
      <w:r>
        <w:rPr>
          <w:lang w:val="en_US" w:bidi="en_US"/>
        </w:rPr>
        <w:t>There is a similar parable in Matthew 22:1–10. However, many details are different, so be careful not to translate both parables in the same way.</w:t>
      </w:r>
    </w:p>
    <w:p>
      <w:pPr>
        <w:pStyle w:val="Heading5"/>
      </w:pPr>
      <w:r>
        <w:rPr>
          <w:lang w:val="en_US" w:bidi="en_US"/>
        </w:rPr>
        <w:t>14:16a</w:t>
      </w:r>
    </w:p>
    <w:p>
      <w:pPr/>
      <w:r>
        <w:rPr>
          <w:lang w:val="en_US" w:bidi="en_US"/>
        </w:rPr>
      </w:r>
      <w:r>
        <w:rPr>
          <w:b/>
          <w:lang w:val="en_US" w:bidi="en_US"/>
        </w:rPr>
        <w:t>But Jesus replied, “A certain man prepared a great banquet</w:t>
      </w:r>
    </w:p>
    <w:p>
      <w:pPr>
        <w:pStyle w:val="ListBullet"/>
        <w:spacing w:line="240" w:lineRule="auto"/>
        <w:ind w:left="720"/>
      </w:pPr>
      <w:r>
        <w:rPr>
          <w:lang w:val="en_US" w:bidi="en_US"/>
        </w:rPr>
      </w:r>
      <w:r>
        <w:rPr>
          <w:lang w:val="en_US" w:bidi="en_US"/>
        </w:rPr>
        <w:t>Jesus said to him, “A certain man made preparations for a large feast.</w:t>
      </w:r>
    </w:p>
    <w:p>
      <w:pPr>
        <w:pStyle w:val="ListBullet"/>
        <w:spacing w:line="240" w:lineRule="auto"/>
        <w:ind w:left="720"/>
      </w:pPr>
      <w:r>
        <w:rPr>
          <w:lang w:val="en_US" w:bidi="en_US"/>
        </w:rPr>
      </w:r>
      <w:r>
        <w:rPr>
          <w:lang w:val="en_US" w:bidi="en_US"/>
        </w:rPr>
        <w:t xml:space="preserve">Jesus responded </w:t>
      </w:r>
      <w:r>
        <w:rPr>
          <w:lang w:val="en_US" w:bidi="en_US"/>
        </w:rPr>
        <w:t>with this story</w:t>
      </w:r>
      <w:r>
        <w:rPr>
          <w:lang w:val="en_US" w:bidi="en_US"/>
        </w:rPr>
        <w:t>: “Once there was a man who decided/wanted to give a big party/feast.</w:t>
      </w:r>
    </w:p>
    <w:p>
      <w:pPr/>
      <w:r>
        <w:rPr>
          <w:lang w:val="en_US" w:bidi="en_US"/>
        </w:rPr>
      </w:r>
      <w:r>
        <w:rPr>
          <w:b/>
          <w:lang w:val="en_US" w:bidi="en_US"/>
        </w:rPr>
        <w:t>But Jesus replied:</w:t>
      </w:r>
      <w:r>
        <w:rPr>
          <w:lang w:val="en_US" w:bidi="en_US"/>
        </w:rPr>
        <w:t xml:space="preserve"> The Greek clause that the BSB translates as </w:t>
      </w:r>
      <w:r>
        <w:rPr>
          <w:i/>
          <w:lang w:val="en_US" w:bidi="en_US"/>
        </w:rPr>
        <w:t>But Jesus replied</w:t>
      </w:r>
      <w:r>
        <w:rPr>
          <w:lang w:val="en_US" w:bidi="en_US"/>
        </w:rPr>
        <w:t xml:space="preserve"> is more literally “But/and he said to him.” Notice that Jesus was responding to a comment, not a question. Use a quote introduction that is appropriate in your language for this kind of situation.</w:t>
      </w:r>
    </w:p>
    <w:p>
      <w:pPr/>
      <w:r>
        <w:rPr>
          <w:lang w:val="en_US" w:bidi="en_US"/>
        </w:rPr>
      </w:r>
      <w:r>
        <w:rPr>
          <w:b/>
          <w:lang w:val="en_US" w:bidi="en_US"/>
        </w:rPr>
        <w:t>A certain man prepared a great banquet:</w:t>
      </w:r>
      <w:r>
        <w:rPr>
          <w:lang w:val="en_US" w:bidi="en_US"/>
        </w:rPr>
        <w:t xml:space="preserve"> The Greek phrase that the BSB translates as </w:t>
      </w:r>
      <w:r>
        <w:rPr>
          <w:i/>
          <w:lang w:val="en_US" w:bidi="en_US"/>
        </w:rPr>
        <w:t>A certain man</w:t>
      </w:r>
      <w:r>
        <w:rPr>
          <w:lang w:val="en_US" w:bidi="en_US"/>
        </w:rPr>
        <w:t xml:space="preserve"> was a natural way to begin a story. It introduced the main character by telling what he was doing. Consider how to naturally introduce a short story like this in your language. Another way to do this in English is:</w:t>
      </w:r>
    </w:p>
    <w:p>
      <w:pPr/>
      <w:r>
        <w:rPr>
          <w:lang w:val="en_US" w:bidi="en_US"/>
        </w:rPr>
      </w:r>
      <w:r>
        <w:rPr>
          <w:lang w:val="en_US" w:bidi="en_US"/>
        </w:rPr>
        <w:t>There was once a man who began to prepare a great banquet.</w:t>
      </w:r>
    </w:p>
    <w:p>
      <w:pPr/>
      <w:r>
        <w:rPr>
          <w:lang w:val="en_US" w:bidi="en_US"/>
        </w:rPr>
      </w:r>
      <w:r>
        <w:rPr>
          <w:b/>
          <w:lang w:val="en_US" w:bidi="en_US"/>
        </w:rPr>
        <w:t>prepared:</w:t>
      </w:r>
      <w:r>
        <w:rPr>
          <w:lang w:val="en_US" w:bidi="en_US"/>
        </w:rPr>
        <w:t xml:space="preserve"> The Greek verb that the BSB translates as </w:t>
      </w:r>
      <w:r>
        <w:rPr>
          <w:i/>
          <w:lang w:val="en_US" w:bidi="en_US"/>
        </w:rPr>
        <w:t>prepared</w:t>
      </w:r>
      <w:r>
        <w:rPr>
          <w:lang w:val="en_US" w:bidi="en_US"/>
        </w:rPr>
        <w:t xml:space="preserve"> literally means “made.” In this context it means “was planning.” The man himself would have been a rich man who had slaves to do the actual work of purchasing the food and cooking.</w:t>
      </w:r>
    </w:p>
    <w:p>
      <w:pPr/>
      <w:r>
        <w:rPr>
          <w:lang w:val="en_US" w:bidi="en_US"/>
        </w:rPr>
      </w:r>
      <w:r>
        <w:rPr>
          <w:b/>
          <w:lang w:val="en_US" w:bidi="en_US"/>
        </w:rPr>
        <w:t>a great banquet:</w:t>
      </w:r>
      <w:r>
        <w:rPr>
          <w:lang w:val="en_US" w:bidi="en_US"/>
        </w:rPr>
        <w:t xml:space="preserve"> The word that the BSB translates as </w:t>
      </w:r>
      <w:r>
        <w:rPr>
          <w:i/>
          <w:lang w:val="en_US" w:bidi="en_US"/>
        </w:rPr>
        <w:t>banquet</w:t>
      </w:r>
      <w:r>
        <w:rPr>
          <w:lang w:val="en_US" w:bidi="en_US"/>
        </w:rPr>
        <w:t xml:space="preserve"> is the same word that it translated as “banquet” in 14:12b. In this context it clearly refers to a large meal or feast.</w:t>
      </w:r>
    </w:p>
    <w:p>
      <w:pPr>
        <w:pStyle w:val="Heading5"/>
      </w:pPr>
      <w:r>
        <w:rPr>
          <w:lang w:val="en_US" w:bidi="en_US"/>
        </w:rPr>
        <w:t>14:16b</w:t>
      </w:r>
    </w:p>
    <w:p>
      <w:pPr/>
      <w:r>
        <w:rPr>
          <w:lang w:val="en_US" w:bidi="en_US"/>
        </w:rPr>
      </w:r>
      <w:r>
        <w:rPr>
          <w:b/>
          <w:lang w:val="en_US" w:bidi="en_US"/>
        </w:rPr>
        <w:t>and invited many guests.</w:t>
      </w:r>
    </w:p>
    <w:p>
      <w:pPr>
        <w:pStyle w:val="ListBullet"/>
        <w:spacing w:line="240" w:lineRule="auto"/>
        <w:ind w:left="720"/>
      </w:pPr>
      <w:r>
        <w:rPr>
          <w:lang w:val="en_US" w:bidi="en_US"/>
        </w:rPr>
      </w:r>
      <w:r>
        <w:rPr>
          <w:lang w:val="en_US" w:bidi="en_US"/>
        </w:rPr>
        <w:t xml:space="preserve">And he invited many people </w:t>
      </w:r>
      <w:r>
        <w:rPr>
          <w:lang w:val="en_US" w:bidi="en_US"/>
        </w:rPr>
        <w:t>to come to the feast</w:t>
      </w:r>
      <w:r>
        <w:rPr>
          <w:lang w:val="en_US" w:bidi="en_US"/>
        </w:rPr>
        <w:t>.</w:t>
      </w:r>
    </w:p>
    <w:p>
      <w:pPr>
        <w:pStyle w:val="ListBullet"/>
        <w:spacing w:line="240" w:lineRule="auto"/>
        <w:ind w:left="720"/>
      </w:pPr>
      <w:r>
        <w:rPr>
          <w:lang w:val="en_US" w:bidi="en_US"/>
        </w:rPr>
      </w:r>
      <w:r>
        <w:rPr>
          <w:lang w:val="en_US" w:bidi="en_US"/>
        </w:rPr>
        <w:t>He sent messages to many people to ask/invite them to come.</w:t>
      </w:r>
    </w:p>
    <w:p>
      <w:pPr/>
      <w:r>
        <w:rPr>
          <w:lang w:val="en_US" w:bidi="en_US"/>
        </w:rPr>
      </w:r>
      <w:r>
        <w:rPr>
          <w:b/>
          <w:lang w:val="en_US" w:bidi="en_US"/>
        </w:rPr>
        <w:t>and invited many guests:</w:t>
      </w:r>
      <w:r>
        <w:rPr>
          <w:lang w:val="en_US" w:bidi="en_US"/>
        </w:rPr>
        <w:t xml:space="preserve"> According to Jewish custom, a person who was planning a banquet first sent out a servant with an invitation that gave general information. He probably did not go personally to invite the guests. Invited guests normally indicated whether they planned to attend. Some other ways to translate this phrase are:</w:t>
      </w:r>
    </w:p>
    <w:p>
      <w:pPr/>
      <w:r>
        <w:rPr>
          <w:lang w:val="en_US" w:bidi="en_US"/>
        </w:rPr>
      </w:r>
      <w:r>
        <w:rPr>
          <w:lang w:val="en_US" w:bidi="en_US"/>
        </w:rPr>
        <w:t>and had sent out many invitations (REB)</w:t>
      </w:r>
    </w:p>
    <w:p>
      <w:pPr/>
      <w:r>
        <w:rPr>
          <w:lang w:val="en_US" w:bidi="en_US"/>
        </w:rPr>
      </w:r>
      <w:r>
        <w:rPr>
          <w:lang w:val="en_US" w:bidi="en_US"/>
        </w:rPr>
        <w:t>He sent a servant to invite many people to attend</w:t>
      </w:r>
      <w:r>
        <w:rPr>
          <w:lang w:val="en_US" w:bidi="en_US"/>
        </w:rPr>
      </w:r>
      <w:r>
        <w:rPr>
          <w:lang w:val="en_US" w:bidi="en_US"/>
        </w:rPr>
      </w:r>
    </w:p>
    <w:p>
      <w:pPr/>
      <w:r>
        <w:rPr>
          <w:lang w:val="en_US" w:bidi="en_US"/>
        </w:rPr>
      </w:r>
    </w:p>
    <w:p>
      <w:pPr>
        <w:pStyle w:val="Heading2"/>
      </w:pPr>
      <w:r>
        <w:rPr>
          <w:lang w:val="en_US" w:bidi="en_US"/>
        </w:rPr>
        <w:t>Luke 14:17</w:t>
      </w:r>
      <w:r>
        <w:rPr>
          <w:lang w:val="en_US" w:bidi="en_US"/>
        </w:rPr>
      </w:r>
    </w:p>
    <w:p>
      <w:pPr>
        <w:pStyle w:val="Heading4"/>
      </w:pPr>
      <w:r>
        <w:rPr>
          <w:lang w:val="en_US" w:bidi="en_US"/>
        </w:rPr>
        <w:t>Section 14:15–24: Jesus told a parable about a great feast</w:t>
      </w:r>
    </w:p>
    <w:p>
      <w:pPr/>
      <w:r>
        <w:rPr>
          <w:lang w:val="en_US" w:bidi="en_US"/>
        </w:rPr>
      </w:r>
      <w:r>
        <w:rPr>
          <w:lang w:val="en_US" w:bidi="en_US"/>
        </w:rPr>
        <w:t>Jesus next told a parable about a feast that a man invited many people to attend. When they refused to come, he invited other people instead. This parable teaches that it is very important to accept God’s invitation to be a part of his kingdom. The people who refused the invitation represent people who are not interested in being part of God’s kingdom. Those who accepted the invitation represent people who are glad to be part of God’s kingdom.</w:t>
      </w:r>
    </w:p>
    <w:p>
      <w:pPr/>
      <w:r>
        <w:rPr>
          <w:lang w:val="en_US" w:bidi="en_US"/>
        </w:rPr>
      </w:r>
      <w:r>
        <w:rPr>
          <w:lang w:val="en_US" w:bidi="en_US"/>
        </w:rPr>
        <w:t>Luke 14:16–24 is all one speech by Jesus. Check to be sure that this is clear in your translation.</w:t>
      </w:r>
    </w:p>
    <w:p>
      <w:pPr/>
      <w:r>
        <w:rPr>
          <w:lang w:val="en_US" w:bidi="en_US"/>
        </w:rPr>
      </w:r>
      <w:r>
        <w:rPr>
          <w:lang w:val="en_US" w:bidi="en_US"/>
        </w:rPr>
        <w:t>Some other possible headings for this section are:</w:t>
      </w:r>
    </w:p>
    <w:p>
      <w:pPr/>
      <w:r>
        <w:rPr>
          <w:lang w:val="en_US" w:bidi="en_US"/>
        </w:rPr>
      </w:r>
      <w:r>
        <w:rPr>
          <w:lang w:val="en_US" w:bidi="en_US"/>
        </w:rPr>
        <w:t>The parable of the excuses</w:t>
      </w:r>
    </w:p>
    <w:p>
      <w:pPr/>
      <w:r>
        <w:rPr>
          <w:lang w:val="en_US" w:bidi="en_US"/>
        </w:rPr>
      </w:r>
      <w:r>
        <w:rPr>
          <w:lang w:val="en_US" w:bidi="en_US"/>
        </w:rPr>
        <w:t>The guests who refused the invitation to attend a banquet</w:t>
      </w:r>
    </w:p>
    <w:p>
      <w:pPr/>
      <w:r>
        <w:rPr>
          <w:lang w:val="en_US" w:bidi="en_US"/>
        </w:rPr>
      </w:r>
      <w:r>
        <w:rPr>
          <w:lang w:val="en_US" w:bidi="en_US"/>
        </w:rPr>
        <w:t>There is a similar parable in Matthew 22:1–10. However, many details are different, so be careful not to translate both parables in the same way.</w:t>
      </w:r>
    </w:p>
    <w:p>
      <w:pPr>
        <w:pStyle w:val="Heading5"/>
      </w:pPr>
      <w:r>
        <w:rPr>
          <w:lang w:val="en_US" w:bidi="en_US"/>
        </w:rPr>
        <w:t>14:17a</w:t>
      </w:r>
    </w:p>
    <w:p>
      <w:pPr/>
      <w:r>
        <w:rPr>
          <w:lang w:val="en_US" w:bidi="en_US"/>
        </w:rPr>
      </w:r>
      <w:r>
        <w:rPr>
          <w:b/>
          <w:lang w:val="en_US" w:bidi="en_US"/>
        </w:rPr>
        <w:t>When it was time for the banquet,</w:t>
      </w:r>
    </w:p>
    <w:p>
      <w:pPr>
        <w:pStyle w:val="ListBullet"/>
        <w:spacing w:line="240" w:lineRule="auto"/>
        <w:ind w:left="720"/>
      </w:pPr>
      <w:r>
        <w:rPr>
          <w:lang w:val="en_US" w:bidi="en_US"/>
        </w:rPr>
      </w:r>
      <w:r>
        <w:rPr>
          <w:lang w:val="en_US" w:bidi="en_US"/>
        </w:rPr>
        <w:t>When everything was ready for the feast/party to begin,</w:t>
      </w:r>
    </w:p>
    <w:p>
      <w:pPr/>
      <w:r>
        <w:rPr>
          <w:lang w:val="en_US" w:bidi="en_US"/>
        </w:rPr>
      </w:r>
      <w:r>
        <w:rPr>
          <w:b/>
          <w:lang w:val="en_US" w:bidi="en_US"/>
        </w:rPr>
        <w:t>When it was time for the banquet:</w:t>
      </w:r>
      <w:r>
        <w:rPr>
          <w:lang w:val="en_US" w:bidi="en_US"/>
        </w:rPr>
        <w:t xml:space="preserve"> The phrase </w:t>
      </w:r>
      <w:r>
        <w:rPr>
          <w:i/>
          <w:lang w:val="en_US" w:bidi="en_US"/>
        </w:rPr>
        <w:t>When it was time for the banquet</w:t>
      </w:r>
      <w:r>
        <w:rPr>
          <w:lang w:val="en_US" w:bidi="en_US"/>
        </w:rPr>
        <w:t xml:space="preserve"> is more literally “at the hour of the feast.” It refers to the time when the host was ready for his guests to come to the feast. At this time the host sent out another message telling the invited guests to come.</w:t>
      </w:r>
    </w:p>
    <w:p>
      <w:pPr>
        <w:pStyle w:val="Heading5"/>
      </w:pPr>
      <w:r>
        <w:rPr>
          <w:lang w:val="en_US" w:bidi="en_US"/>
        </w:rPr>
        <w:t>14:17b</w:t>
      </w:r>
    </w:p>
    <w:p>
      <w:pPr/>
      <w:r>
        <w:rPr>
          <w:lang w:val="en_US" w:bidi="en_US"/>
        </w:rPr>
      </w:r>
      <w:r>
        <w:rPr>
          <w:b/>
          <w:lang w:val="en_US" w:bidi="en_US"/>
        </w:rPr>
        <w:t>he sent his servant to tell those who had been invited,</w:t>
      </w:r>
    </w:p>
    <w:p>
      <w:pPr>
        <w:pStyle w:val="ListBullet"/>
        <w:spacing w:line="240" w:lineRule="auto"/>
        <w:ind w:left="720"/>
      </w:pPr>
      <w:r>
        <w:rPr>
          <w:lang w:val="en_US" w:bidi="en_US"/>
        </w:rPr>
      </w:r>
      <w:r>
        <w:rPr>
          <w:lang w:val="en_US" w:bidi="en_US"/>
        </w:rPr>
        <w:t>he sent one of his servants/slaves to tell the people whom he had invited</w:t>
      </w:r>
    </w:p>
    <w:p>
      <w:pPr>
        <w:pStyle w:val="ListBullet"/>
        <w:spacing w:line="240" w:lineRule="auto"/>
        <w:ind w:left="720"/>
      </w:pPr>
      <w:r>
        <w:rPr>
          <w:lang w:val="en_US" w:bidi="en_US"/>
        </w:rPr>
      </w:r>
      <w:r>
        <w:rPr>
          <w:lang w:val="en_US" w:bidi="en_US"/>
        </w:rPr>
        <w:t>he sent a slave/worker to give them this message:</w:t>
      </w:r>
    </w:p>
    <w:p>
      <w:pPr/>
      <w:r>
        <w:rPr>
          <w:lang w:val="en_US" w:bidi="en_US"/>
        </w:rPr>
      </w:r>
      <w:r>
        <w:rPr>
          <w:b/>
          <w:lang w:val="en_US" w:bidi="en_US"/>
        </w:rPr>
        <w:t>he sent his servant to tell those who had been invited:</w:t>
      </w:r>
      <w:r>
        <w:rPr>
          <w:lang w:val="en_US" w:bidi="en_US"/>
        </w:rPr>
        <w:t xml:space="preserve"> This verse part introduces a message that the host wanted to give his guests. Another way to translate this is:</w:t>
      </w:r>
    </w:p>
    <w:p>
      <w:pPr/>
      <w:r>
        <w:rPr>
          <w:lang w:val="en_US" w:bidi="en_US"/>
        </w:rPr>
      </w:r>
      <w:r>
        <w:rPr>
          <w:lang w:val="en_US" w:bidi="en_US"/>
        </w:rPr>
        <w:t>he gave his servant this message to deliver/take to the people who had been invited</w:t>
      </w:r>
    </w:p>
    <w:p>
      <w:pPr/>
      <w:r>
        <w:rPr>
          <w:lang w:val="en_US" w:bidi="en_US"/>
        </w:rPr>
      </w:r>
      <w:r>
        <w:rPr>
          <w:lang w:val="en_US" w:bidi="en_US"/>
        </w:rPr>
        <w:t>The message in 14:17c is in direct speech. In some languages it may be more natural to use indirect speech here. See the General Comment on 14:17b–c for suggestions.</w:t>
      </w:r>
    </w:p>
    <w:p>
      <w:pPr/>
      <w:r>
        <w:rPr>
          <w:lang w:val="en_US" w:bidi="en_US"/>
        </w:rPr>
      </w:r>
      <w:r>
        <w:rPr>
          <w:b/>
          <w:lang w:val="en_US" w:bidi="en_US"/>
        </w:rPr>
        <w:t>his servant:</w:t>
      </w:r>
      <w:r>
        <w:rPr>
          <w:lang w:val="en_US" w:bidi="en_US"/>
        </w:rPr>
        <w:t xml:space="preserve"> The Greek word that the BSB translates as </w:t>
      </w:r>
      <w:r>
        <w:rPr>
          <w:i/>
          <w:lang w:val="en_US" w:bidi="en_US"/>
        </w:rPr>
        <w:t>servant</w:t>
      </w:r>
      <w:r>
        <w:rPr>
          <w:lang w:val="en_US" w:bidi="en_US"/>
        </w:rPr>
        <w:t xml:space="preserve"> means “slave” (as in the NRSV). This word refers to someone who was owned by another person. He worked for his owner/master without receiving pay. The plural form of this word also occurs in 12:37a.</w:t>
      </w:r>
    </w:p>
    <w:p>
      <w:pPr/>
      <w:r>
        <w:rPr>
          <w:lang w:val="en_US" w:bidi="en_US"/>
        </w:rPr>
      </w:r>
      <w:r>
        <w:rPr>
          <w:lang w:val="en_US" w:bidi="en_US"/>
        </w:rPr>
        <w:t>In some cultures, slaves may not be known. In other cultures, the word for slave may imply different customs than in biblical culture. If that is true in your language, some ways to translate this are:</w:t>
      </w:r>
    </w:p>
    <w:p>
      <w:pPr/>
      <w:r>
        <w:rPr>
          <w:lang w:val="en_US" w:bidi="en_US"/>
        </w:rPr>
      </w:r>
      <w:r>
        <w:rPr>
          <w:lang w:val="en_US" w:bidi="en_US"/>
        </w:rPr>
        <w:t>worker/servant</w:t>
      </w:r>
    </w:p>
    <w:p>
      <w:pPr/>
      <w:r>
        <w:rPr>
          <w:lang w:val="en_US" w:bidi="en_US"/>
        </w:rPr>
      </w:r>
      <w:r>
        <w:rPr>
          <w:lang w:val="en_US" w:bidi="en_US"/>
        </w:rPr>
        <w:t>messenger</w:t>
      </w:r>
    </w:p>
    <w:p>
      <w:pPr/>
      <w:r>
        <w:rPr>
          <w:lang w:val="en_US" w:bidi="en_US"/>
        </w:rPr>
      </w:r>
      <w:r>
        <w:rPr>
          <w:b/>
          <w:lang w:val="en_US" w:bidi="en_US"/>
        </w:rPr>
        <w:t>those who had been invited:</w:t>
      </w:r>
      <w:r>
        <w:rPr>
          <w:lang w:val="en_US" w:bidi="en_US"/>
        </w:rPr>
        <w:t xml:space="preserve"> The verb </w:t>
      </w:r>
      <w:r>
        <w:rPr>
          <w:i/>
          <w:lang w:val="en_US" w:bidi="en_US"/>
        </w:rPr>
        <w:t>had been invited</w:t>
      </w:r>
      <w:r>
        <w:rPr>
          <w:lang w:val="en_US" w:bidi="en_US"/>
        </w:rPr>
        <w:t xml:space="preserve"> is a passive verb. If a passive verb is not natural in your language here, some other ways to translate this clause are:</w:t>
      </w:r>
    </w:p>
    <w:p>
      <w:pPr/>
      <w:r>
        <w:rPr>
          <w:lang w:val="en_US" w:bidi="en_US"/>
        </w:rPr>
      </w:r>
      <w:r>
        <w:rPr>
          <w:lang w:val="en_US" w:bidi="en_US"/>
        </w:rPr>
        <w:t>his guests (GNT)</w:t>
      </w:r>
    </w:p>
    <w:p>
      <w:pPr/>
      <w:r>
        <w:rPr>
          <w:lang w:val="en_US" w:bidi="en_US"/>
        </w:rPr>
      </w:r>
      <w:r>
        <w:rPr>
          <w:lang w:val="en_US" w:bidi="en_US"/>
        </w:rPr>
        <w:t xml:space="preserve">those whom </w:t>
      </w:r>
      <w:r>
        <w:rPr>
          <w:lang w:val="en_US" w:bidi="en_US"/>
        </w:rPr>
        <w:t>he</w:t>
      </w:r>
      <w:r>
        <w:rPr>
          <w:lang w:val="en_US" w:bidi="en_US"/>
        </w:rPr>
        <w:t xml:space="preserve"> had invited</w:t>
      </w:r>
    </w:p>
    <w:p>
      <w:pPr/>
      <w:r>
        <w:rPr>
          <w:lang w:val="en_US" w:bidi="en_US"/>
        </w:rPr>
      </w:r>
      <w:r>
        <w:rPr>
          <w:lang w:val="en_US" w:bidi="en_US"/>
        </w:rPr>
        <w:t>them</w:t>
      </w:r>
    </w:p>
    <w:p>
      <w:pPr>
        <w:pStyle w:val="Heading5"/>
      </w:pPr>
      <w:r>
        <w:rPr>
          <w:lang w:val="en_US" w:bidi="en_US"/>
        </w:rPr>
        <w:t>14:17c</w:t>
      </w:r>
    </w:p>
    <w:p>
      <w:pPr/>
      <w:r>
        <w:rPr>
          <w:lang w:val="en_US" w:bidi="en_US"/>
        </w:rPr>
      </w:r>
      <w:r>
        <w:rPr>
          <w:b/>
          <w:lang w:val="en_US" w:bidi="en_US"/>
        </w:rPr>
        <w:t>‘Come, for everything is now ready.’</w:t>
      </w:r>
    </w:p>
    <w:p>
      <w:pPr>
        <w:pStyle w:val="ListBullet"/>
        <w:spacing w:line="240" w:lineRule="auto"/>
        <w:ind w:left="720"/>
      </w:pPr>
      <w:r>
        <w:rPr>
          <w:lang w:val="en_US" w:bidi="en_US"/>
        </w:rPr>
      </w:r>
      <w:r>
        <w:rPr>
          <w:lang w:val="en_US" w:bidi="en_US"/>
        </w:rPr>
        <w:t>that everything was now ready, and they should come to the feast.</w:t>
      </w:r>
    </w:p>
    <w:p>
      <w:pPr>
        <w:pStyle w:val="ListBullet"/>
        <w:spacing w:line="240" w:lineRule="auto"/>
        <w:ind w:left="720"/>
      </w:pPr>
      <w:r>
        <w:rPr>
          <w:lang w:val="en_US" w:bidi="en_US"/>
        </w:rPr>
      </w:r>
      <w:r>
        <w:rPr>
          <w:lang w:val="en_US" w:bidi="en_US"/>
        </w:rPr>
        <w:t>‘The meal is ready. You can come now.’</w:t>
      </w:r>
    </w:p>
    <w:p>
      <w:pPr/>
      <w:r>
        <w:rPr>
          <w:lang w:val="en_US" w:bidi="en_US"/>
        </w:rPr>
      </w:r>
      <w:r>
        <w:rPr>
          <w:b/>
          <w:lang w:val="en_US" w:bidi="en_US"/>
        </w:rPr>
        <w:t>Come, for everything is now ready:</w:t>
      </w:r>
      <w:r>
        <w:rPr>
          <w:lang w:val="en_US" w:bidi="en_US"/>
        </w:rPr>
        <w:t xml:space="preserve"> This message implies that the guests should come to the host’s house for the banquet. In some languages it may be necessary to make the message more explicit. For example:</w:t>
      </w:r>
    </w:p>
    <w:p>
      <w:pPr/>
      <w:r>
        <w:rPr>
          <w:lang w:val="en_US" w:bidi="en_US"/>
        </w:rPr>
      </w:r>
      <w:r>
        <w:rPr>
          <w:lang w:val="en_US" w:bidi="en_US"/>
        </w:rPr>
        <w:t xml:space="preserve">Come </w:t>
      </w:r>
      <w:r>
        <w:rPr>
          <w:lang w:val="en_US" w:bidi="en_US"/>
        </w:rPr>
        <w:t>to the banquet</w:t>
      </w:r>
      <w:r>
        <w:rPr>
          <w:lang w:val="en_US" w:bidi="en_US"/>
        </w:rPr>
        <w:t>, for everything is now ready.</w:t>
      </w:r>
    </w:p>
    <w:p>
      <w:pPr/>
      <w:r>
        <w:rPr>
          <w:lang w:val="en_US" w:bidi="en_US"/>
        </w:rPr>
      </w:r>
      <w:r>
        <w:rPr>
          <w:lang w:val="en_US" w:bidi="en_US"/>
        </w:rPr>
        <w:t xml:space="preserve">Come </w:t>
      </w:r>
      <w:r>
        <w:rPr>
          <w:lang w:val="en_US" w:bidi="en_US"/>
        </w:rPr>
        <w:t>to my house</w:t>
      </w:r>
      <w:r>
        <w:rPr>
          <w:lang w:val="en_US" w:bidi="en_US"/>
        </w:rPr>
        <w:t xml:space="preserve">, for everything is now ready </w:t>
      </w:r>
      <w:r>
        <w:rPr>
          <w:lang w:val="en_US" w:bidi="en_US"/>
        </w:rPr>
        <w:t>for the banquet</w:t>
      </w:r>
      <w:r>
        <w:rPr>
          <w:lang w:val="en_US" w:bidi="en_US"/>
        </w:rPr>
        <w:t>.</w:t>
      </w:r>
    </w:p>
    <w:p>
      <w:pPr/>
      <w:r>
        <w:rPr>
          <w:lang w:val="en_US" w:bidi="en_US"/>
        </w:rPr>
      </w:r>
      <w:r>
        <w:rPr>
          <w:lang w:val="en_US" w:bidi="en_US"/>
        </w:rPr>
        <w:t>Translate this message in a natural way in your language. In some languages it may be necessary to change the order of clauses in the message. For example:</w:t>
      </w:r>
    </w:p>
    <w:p>
      <w:pPr/>
      <w:r>
        <w:rPr>
          <w:lang w:val="en_US" w:bidi="en_US"/>
        </w:rPr>
      </w:r>
      <w:r>
        <w:rPr>
          <w:lang w:val="en_US" w:bidi="en_US"/>
        </w:rPr>
        <w:t>Everything is now ready. So come!</w:t>
      </w:r>
    </w:p>
    <w:p>
      <w:pPr>
        <w:pStyle w:val="Heading6"/>
      </w:pPr>
      <w:r>
        <w:rPr>
          <w:b/>
          <w:lang w:val="en_US" w:bidi="en_US"/>
        </w:rPr>
        <w:t>General Comment on 14:17b–c</w:t>
      </w:r>
    </w:p>
    <w:p>
      <w:pPr/>
      <w:r>
        <w:rPr>
          <w:lang w:val="en_US" w:bidi="en_US"/>
        </w:rPr>
      </w:r>
      <w:r>
        <w:rPr>
          <w:lang w:val="en_US" w:bidi="en_US"/>
        </w:rPr>
        <w:t>In some languages it may be more natural to translate this message as indirect speech. For example:</w:t>
      </w:r>
    </w:p>
    <w:p>
      <w:pPr/>
      <w:r>
        <w:rPr>
          <w:lang w:val="en_US" w:bidi="en_US"/>
        </w:rPr>
      </w:r>
      <w:r>
        <w:rPr>
          <w:lang w:val="en_US" w:bidi="en_US"/>
        </w:rPr>
        <w:t>he sent his servant to tell the guests that they should come to the feast because everything was ready</w:t>
      </w:r>
      <w:r>
        <w:rPr>
          <w:lang w:val="en_US" w:bidi="en_US"/>
        </w:rPr>
      </w:r>
      <w:r>
        <w:rPr>
          <w:lang w:val="en_US" w:bidi="en_US"/>
        </w:rPr>
      </w:r>
    </w:p>
    <w:p>
      <w:pPr/>
      <w:r>
        <w:rPr>
          <w:lang w:val="en_US" w:bidi="en_US"/>
        </w:rPr>
      </w:r>
    </w:p>
    <w:p>
      <w:pPr>
        <w:pStyle w:val="Heading2"/>
      </w:pPr>
      <w:r>
        <w:rPr>
          <w:lang w:val="en_US" w:bidi="en_US"/>
        </w:rPr>
        <w:t>Luke 14:18</w:t>
      </w:r>
      <w:r>
        <w:rPr>
          <w:lang w:val="en_US" w:bidi="en_US"/>
        </w:rPr>
      </w:r>
    </w:p>
    <w:p>
      <w:pPr>
        <w:pStyle w:val="Heading4"/>
      </w:pPr>
      <w:r>
        <w:rPr>
          <w:lang w:val="en_US" w:bidi="en_US"/>
        </w:rPr>
        <w:t>Section 14:15–24: Jesus told a parable about a great feast</w:t>
      </w:r>
    </w:p>
    <w:p>
      <w:pPr/>
      <w:r>
        <w:rPr>
          <w:lang w:val="en_US" w:bidi="en_US"/>
        </w:rPr>
      </w:r>
      <w:r>
        <w:rPr>
          <w:lang w:val="en_US" w:bidi="en_US"/>
        </w:rPr>
        <w:t>Jesus next told a parable about a feast that a man invited many people to attend. When they refused to come, he invited other people instead. This parable teaches that it is very important to accept God’s invitation to be a part of his kingdom. The people who refused the invitation represent people who are not interested in being part of God’s kingdom. Those who accepted the invitation represent people who are glad to be part of God’s kingdom.</w:t>
      </w:r>
    </w:p>
    <w:p>
      <w:pPr/>
      <w:r>
        <w:rPr>
          <w:lang w:val="en_US" w:bidi="en_US"/>
        </w:rPr>
      </w:r>
      <w:r>
        <w:rPr>
          <w:lang w:val="en_US" w:bidi="en_US"/>
        </w:rPr>
        <w:t>Luke 14:16–24 is all one speech by Jesus. Check to be sure that this is clear in your translation.</w:t>
      </w:r>
    </w:p>
    <w:p>
      <w:pPr/>
      <w:r>
        <w:rPr>
          <w:lang w:val="en_US" w:bidi="en_US"/>
        </w:rPr>
      </w:r>
      <w:r>
        <w:rPr>
          <w:lang w:val="en_US" w:bidi="en_US"/>
        </w:rPr>
        <w:t>Some other possible headings for this section are:</w:t>
      </w:r>
    </w:p>
    <w:p>
      <w:pPr/>
      <w:r>
        <w:rPr>
          <w:lang w:val="en_US" w:bidi="en_US"/>
        </w:rPr>
      </w:r>
      <w:r>
        <w:rPr>
          <w:lang w:val="en_US" w:bidi="en_US"/>
        </w:rPr>
        <w:t>The parable of the excuses</w:t>
      </w:r>
    </w:p>
    <w:p>
      <w:pPr/>
      <w:r>
        <w:rPr>
          <w:lang w:val="en_US" w:bidi="en_US"/>
        </w:rPr>
      </w:r>
      <w:r>
        <w:rPr>
          <w:lang w:val="en_US" w:bidi="en_US"/>
        </w:rPr>
        <w:t>The guests who refused the invitation to attend a banquet</w:t>
      </w:r>
    </w:p>
    <w:p>
      <w:pPr/>
      <w:r>
        <w:rPr>
          <w:lang w:val="en_US" w:bidi="en_US"/>
        </w:rPr>
      </w:r>
      <w:r>
        <w:rPr>
          <w:lang w:val="en_US" w:bidi="en_US"/>
        </w:rPr>
        <w:t>There is a similar parable in Matthew 22:1–10. However, many details are different, so be careful not to translate both parables in the same way.</w:t>
      </w:r>
    </w:p>
    <w:p>
      <w:pPr>
        <w:pStyle w:val="Heading5"/>
      </w:pPr>
      <w:r>
        <w:rPr>
          <w:lang w:val="en_US" w:bidi="en_US"/>
        </w:rPr>
        <w:t>14:18a</w:t>
      </w:r>
    </w:p>
    <w:p>
      <w:pPr/>
      <w:r>
        <w:rPr>
          <w:lang w:val="en_US" w:bidi="en_US"/>
        </w:rPr>
      </w:r>
      <w:r>
        <w:rPr>
          <w:b/>
          <w:lang w:val="en_US" w:bidi="en_US"/>
        </w:rPr>
        <w:t>But one after another they all began to make excuses.</w:t>
      </w:r>
    </w:p>
    <w:p>
      <w:pPr>
        <w:pStyle w:val="ListBullet"/>
        <w:spacing w:line="240" w:lineRule="auto"/>
        <w:ind w:left="720"/>
      </w:pPr>
      <w:r>
        <w:rPr>
          <w:lang w:val="en_US" w:bidi="en_US"/>
        </w:rPr>
      </w:r>
      <w:r>
        <w:rPr>
          <w:lang w:val="en_US" w:bidi="en_US"/>
        </w:rPr>
        <w:t xml:space="preserve">¶ “But all of them started to tell him </w:t>
      </w:r>
      <w:r>
        <w:rPr>
          <w:lang w:val="en_US" w:bidi="en_US"/>
        </w:rPr>
        <w:t>different</w:t>
      </w:r>
      <w:r>
        <w:rPr>
          <w:lang w:val="en_US" w:bidi="en_US"/>
        </w:rPr>
        <w:t xml:space="preserve"> reasons why they could not come.</w:t>
      </w:r>
    </w:p>
    <w:p>
      <w:pPr>
        <w:pStyle w:val="ListBullet"/>
        <w:spacing w:line="240" w:lineRule="auto"/>
        <w:ind w:left="720"/>
      </w:pPr>
      <w:r>
        <w:rPr>
          <w:lang w:val="en_US" w:bidi="en_US"/>
        </w:rPr>
      </w:r>
      <w:r>
        <w:rPr>
          <w:lang w:val="en_US" w:bidi="en_US"/>
        </w:rPr>
        <w:t xml:space="preserve">¶ “But one by one they all refused to go, and they </w:t>
      </w:r>
      <w:r>
        <w:rPr>
          <w:lang w:val="en_US" w:bidi="en_US"/>
        </w:rPr>
        <w:t>each</w:t>
      </w:r>
      <w:r>
        <w:rPr>
          <w:lang w:val="en_US" w:bidi="en_US"/>
        </w:rPr>
        <w:t xml:space="preserve"> had/gave a reason/excuse.</w:t>
      </w:r>
    </w:p>
    <w:p>
      <w:pPr/>
      <w:r>
        <w:rPr>
          <w:lang w:val="en_US" w:bidi="en_US"/>
        </w:rPr>
      </w:r>
      <w:r>
        <w:rPr>
          <w:b/>
          <w:lang w:val="en_US" w:bidi="en_US"/>
        </w:rPr>
        <w:t>But one after another they all began to make excuses:</w:t>
      </w:r>
      <w:r>
        <w:rPr>
          <w:lang w:val="en_US" w:bidi="en_US"/>
        </w:rPr>
        <w:t xml:space="preserve"> All the people who had been invited to the feast told the servant reasons why they could not come. The clause implies that the reasons were inadequate excuses. See 14:18b–20 for examples of the type of excuses that the guests gave.</w:t>
      </w:r>
    </w:p>
    <w:p>
      <w:pPr/>
      <w:r>
        <w:rPr>
          <w:lang w:val="en_US" w:bidi="en_US"/>
        </w:rPr>
      </w:r>
      <w:r>
        <w:rPr>
          <w:b/>
          <w:lang w:val="en_US" w:bidi="en_US"/>
        </w:rPr>
        <w:t>one after another:</w:t>
      </w:r>
      <w:r>
        <w:rPr>
          <w:lang w:val="en_US" w:bidi="en_US"/>
        </w:rPr>
        <w:t xml:space="preserve"> The Greek expression that the BSB translates as </w:t>
      </w:r>
      <w:r>
        <w:rPr>
          <w:i/>
          <w:lang w:val="en_US" w:bidi="en_US"/>
        </w:rPr>
        <w:t>one after another</w:t>
      </w:r>
      <w:r>
        <w:rPr>
          <w:lang w:val="en_US" w:bidi="en_US"/>
        </w:rPr>
        <w:t xml:space="preserve"> is literally “from one.” It means that the people all acted in the same way. They all refused to come. It does not mean that they were all together and that they took turns speaking to the servant. Several English versions (ESV, NASB, NIV, NRSV) translate this expression as “alike,” but it does not mean that they gave the same reasons or that they spoke at the same time. Another way to express this meaning is:</w:t>
      </w:r>
    </w:p>
    <w:p>
      <w:pPr/>
      <w:r>
        <w:rPr>
          <w:lang w:val="en_US" w:bidi="en_US"/>
        </w:rPr>
      </w:r>
      <w:r>
        <w:rPr>
          <w:lang w:val="en_US" w:bidi="en_US"/>
        </w:rPr>
        <w:t>They all gave different reasons why they could not come. (NLV)</w:t>
      </w:r>
    </w:p>
    <w:p>
      <w:pPr/>
      <w:r>
        <w:rPr>
          <w:lang w:val="en_US" w:bidi="en_US"/>
        </w:rPr>
      </w:r>
      <w:r>
        <w:rPr>
          <w:b/>
          <w:lang w:val="en_US" w:bidi="en_US"/>
        </w:rPr>
        <w:t>began:</w:t>
      </w:r>
      <w:r>
        <w:rPr>
          <w:lang w:val="en_US" w:bidi="en_US"/>
        </w:rPr>
        <w:t xml:space="preserve"> In this context the Greek verb that the BSB translates as </w:t>
      </w:r>
      <w:r>
        <w:rPr>
          <w:i/>
          <w:lang w:val="en_US" w:bidi="en_US"/>
        </w:rPr>
        <w:t>began</w:t>
      </w:r>
      <w:r>
        <w:rPr>
          <w:lang w:val="en_US" w:bidi="en_US"/>
        </w:rPr>
        <w:t xml:space="preserve"> indicates that each person responded by making an excuse. It does not imply that they started to make excuses and did not finish. In some languages it may be more natural to omit the word “began.” For example:</w:t>
      </w:r>
    </w:p>
    <w:p>
      <w:pPr/>
      <w:r>
        <w:rPr>
          <w:lang w:val="en_US" w:bidi="en_US"/>
        </w:rPr>
      </w:r>
      <w:r>
        <w:rPr>
          <w:lang w:val="en_US" w:bidi="en_US"/>
        </w:rPr>
        <w:t>One after another they all sent excuses. (REB)</w:t>
      </w:r>
    </w:p>
    <w:p>
      <w:pPr/>
      <w:r>
        <w:rPr>
          <w:lang w:val="en_US" w:bidi="en_US"/>
        </w:rPr>
      </w:r>
      <w:r>
        <w:rPr>
          <w:b/>
          <w:lang w:val="en_US" w:bidi="en_US"/>
        </w:rPr>
        <w:t>to make excuses:</w:t>
      </w:r>
      <w:r>
        <w:rPr>
          <w:lang w:val="en_US" w:bidi="en_US"/>
        </w:rPr>
        <w:t xml:space="preserve"> The Greek verb that the BSB translates as </w:t>
      </w:r>
      <w:r>
        <w:rPr>
          <w:i/>
          <w:lang w:val="en_US" w:bidi="en_US"/>
        </w:rPr>
        <w:t>make excuses</w:t>
      </w:r>
      <w:r>
        <w:rPr>
          <w:lang w:val="en_US" w:bidi="en_US"/>
        </w:rPr>
        <w:t xml:space="preserve"> here means to give reasons for the host to release them from their previous commitment. The guests had earlier said they would come to the feast, but now they did not want to come.</w:t>
      </w:r>
    </w:p>
    <w:p>
      <w:pPr>
        <w:pStyle w:val="Heading5"/>
      </w:pPr>
      <w:r>
        <w:rPr>
          <w:lang w:val="en_US" w:bidi="en_US"/>
        </w:rPr>
        <w:t>14:18b,19a,20</w:t>
      </w:r>
    </w:p>
    <w:p>
      <w:pPr/>
      <w:r>
        <w:rPr>
          <w:lang w:val="en_US" w:bidi="en_US"/>
        </w:rPr>
      </w:r>
      <w:r>
        <w:rPr>
          <w:b/>
          <w:lang w:val="en_US" w:bidi="en_US"/>
        </w:rPr>
        <w:t>The first one said, ‘I have bought a field,</w:t>
      </w:r>
    </w:p>
    <w:p>
      <w:pPr>
        <w:pStyle w:val="ListBullet"/>
        <w:spacing w:line="240" w:lineRule="auto"/>
        <w:ind w:left="720"/>
      </w:pPr>
      <w:r>
        <w:rPr>
          <w:lang w:val="en_US" w:bidi="en_US"/>
        </w:rPr>
      </w:r>
      <w:r>
        <w:rPr>
          <w:lang w:val="en_US" w:bidi="en_US"/>
        </w:rPr>
        <w:t xml:space="preserve">The first </w:t>
      </w:r>
      <w:r>
        <w:rPr>
          <w:lang w:val="en_US" w:bidi="en_US"/>
        </w:rPr>
        <w:t>man</w:t>
      </w:r>
      <w:r>
        <w:rPr>
          <w:lang w:val="en_US" w:bidi="en_US"/>
        </w:rPr>
        <w:t xml:space="preserve"> said, ‘I have just bought a </w:t>
      </w:r>
      <w:r>
        <w:rPr>
          <w:lang w:val="en_US" w:bidi="en_US"/>
        </w:rPr>
        <w:t>piece/plot of</w:t>
      </w:r>
      <w:r>
        <w:rPr>
          <w:lang w:val="en_US" w:bidi="en_US"/>
        </w:rPr>
        <w:t xml:space="preserve"> land,</w:t>
      </w:r>
    </w:p>
    <w:p>
      <w:pPr>
        <w:pStyle w:val="ListBullet"/>
        <w:spacing w:line="240" w:lineRule="auto"/>
        <w:ind w:left="720"/>
      </w:pPr>
      <w:r>
        <w:rPr>
          <w:lang w:val="en_US" w:bidi="en_US"/>
        </w:rPr>
      </w:r>
      <w:r>
        <w:rPr>
          <w:lang w:val="en_US" w:bidi="en_US"/>
        </w:rPr>
        <w:t xml:space="preserve">One </w:t>
      </w:r>
      <w:r>
        <w:rPr>
          <w:lang w:val="en_US" w:bidi="en_US"/>
        </w:rPr>
        <w:t>man</w:t>
      </w:r>
      <w:r>
        <w:rPr>
          <w:lang w:val="en_US" w:bidi="en_US"/>
        </w:rPr>
        <w:t xml:space="preserve"> said, ‘I bought a field/farm,</w:t>
      </w:r>
    </w:p>
    <w:p>
      <w:pPr/>
      <w:r>
        <w:rPr>
          <w:lang w:val="en_US" w:bidi="en_US"/>
        </w:rPr>
      </w:r>
      <w:r>
        <w:rPr>
          <w:lang w:val="en_US" w:bidi="en_US"/>
        </w:rPr>
        <w:t>In each of these verse parts, the NIV supplies the word “just” (</w:t>
      </w:r>
      <w:r>
        <w:rPr>
          <w:u w:val="single"/>
          <w:lang w:val="en_US" w:bidi="en_US"/>
        </w:rPr>
        <w:t>just</w:t>
      </w:r>
      <w:r>
        <w:rPr>
          <w:lang w:val="en_US" w:bidi="en_US"/>
        </w:rPr>
        <w:t xml:space="preserve"> bought a field, </w:t>
      </w:r>
      <w:r>
        <w:rPr>
          <w:u w:val="single"/>
          <w:lang w:val="en_US" w:bidi="en_US"/>
        </w:rPr>
        <w:t>just</w:t>
      </w:r>
      <w:r>
        <w:rPr>
          <w:lang w:val="en_US" w:bidi="en_US"/>
        </w:rPr>
        <w:t xml:space="preserve"> bought five yoke of oxen, </w:t>
      </w:r>
      <w:r>
        <w:rPr>
          <w:u w:val="single"/>
          <w:lang w:val="en_US" w:bidi="en_US"/>
        </w:rPr>
        <w:t>just</w:t>
      </w:r>
      <w:r>
        <w:rPr>
          <w:lang w:val="en_US" w:bidi="en_US"/>
        </w:rPr>
        <w:t xml:space="preserve"> got married). The context probably implies that the person had recently done each of these things, but there is no word in the Greek text with that specific meaning. Other versions such as the RSV, GNT, and NJB do not include the word “just” in 14:18b and 14:19a. But in 14:20, those versions, like the NIV, do supply the word “just.” The BSB does not say “just” in any of these verse parts. Consider whether it is natural in your language to make explicit this implied information.</w:t>
      </w:r>
    </w:p>
    <w:p>
      <w:pPr/>
      <w:r>
        <w:rPr>
          <w:lang w:val="en_US" w:bidi="en_US"/>
        </w:rPr>
      </w:r>
      <w:r>
        <w:rPr>
          <w:b/>
          <w:lang w:val="en_US" w:bidi="en_US"/>
        </w:rPr>
        <w:t>The first one said:</w:t>
      </w:r>
      <w:r>
        <w:rPr>
          <w:lang w:val="en_US" w:bidi="en_US"/>
        </w:rPr>
        <w:t xml:space="preserve"> The expression </w:t>
      </w:r>
      <w:r>
        <w:rPr>
          <w:i/>
          <w:lang w:val="en_US" w:bidi="en_US"/>
        </w:rPr>
        <w:t>The first</w:t>
      </w:r>
      <w:r>
        <w:rPr>
          <w:lang w:val="en_US" w:bidi="en_US"/>
        </w:rPr>
        <w:t xml:space="preserve"> refers to the first man to whom the servant spoke. In some languages it is better to translate this as “One man,” since no “second” or “third” men are mentioned. The three who are mentioned are just examples of the many people to whom the servant spoke. For example:</w:t>
      </w:r>
    </w:p>
    <w:p>
      <w:pPr/>
      <w:r>
        <w:rPr>
          <w:lang w:val="en_US" w:bidi="en_US"/>
        </w:rPr>
      </w:r>
      <w:r>
        <w:rPr>
          <w:lang w:val="en_US" w:bidi="en_US"/>
        </w:rPr>
        <w:t>One said (NLT)</w:t>
      </w:r>
    </w:p>
    <w:p>
      <w:pPr/>
      <w:r>
        <w:rPr>
          <w:lang w:val="en_US" w:bidi="en_US"/>
        </w:rPr>
      </w:r>
      <w:r>
        <w:rPr>
          <w:b/>
          <w:lang w:val="en_US" w:bidi="en_US"/>
        </w:rPr>
        <w:t>I have bought a field:</w:t>
      </w:r>
      <w:r>
        <w:rPr>
          <w:lang w:val="en_US" w:bidi="en_US"/>
        </w:rPr>
        <w:t xml:space="preserve"> A </w:t>
      </w:r>
      <w:r>
        <w:rPr>
          <w:i/>
          <w:lang w:val="en_US" w:bidi="en_US"/>
        </w:rPr>
        <w:t>field</w:t>
      </w:r>
      <w:r>
        <w:rPr>
          <w:lang w:val="en_US" w:bidi="en_US"/>
        </w:rPr>
        <w:t xml:space="preserve"> is a piece of land used for growing crops or pasturing animals. For example:</w:t>
      </w:r>
    </w:p>
    <w:p>
      <w:pPr/>
      <w:r>
        <w:rPr>
          <w:lang w:val="en_US" w:bidi="en_US"/>
        </w:rPr>
      </w:r>
      <w:r>
        <w:rPr>
          <w:lang w:val="en_US" w:bidi="en_US"/>
        </w:rPr>
        <w:t>I bought some land (CEV)</w:t>
      </w:r>
    </w:p>
    <w:p>
      <w:pPr>
        <w:pStyle w:val="Heading5"/>
      </w:pPr>
      <w:r>
        <w:rPr>
          <w:lang w:val="en_US" w:bidi="en_US"/>
        </w:rPr>
        <w:t>14:18c</w:t>
      </w:r>
    </w:p>
    <w:p>
      <w:pPr/>
      <w:r>
        <w:rPr>
          <w:lang w:val="en_US" w:bidi="en_US"/>
        </w:rPr>
      </w:r>
      <w:r>
        <w:rPr>
          <w:b/>
          <w:lang w:val="en_US" w:bidi="en_US"/>
        </w:rPr>
        <w:t>and I need to go see it.</w:t>
      </w:r>
    </w:p>
    <w:p>
      <w:pPr>
        <w:pStyle w:val="ListBullet"/>
        <w:spacing w:line="240" w:lineRule="auto"/>
        <w:ind w:left="720"/>
      </w:pPr>
      <w:r>
        <w:rPr>
          <w:lang w:val="en_US" w:bidi="en_US"/>
        </w:rPr>
      </w:r>
      <w:r>
        <w:rPr>
          <w:lang w:val="en_US" w:bidi="en_US"/>
        </w:rPr>
        <w:t xml:space="preserve">and I have to go </w:t>
      </w:r>
      <w:r>
        <w:rPr>
          <w:lang w:val="en_US" w:bidi="en_US"/>
        </w:rPr>
        <w:t>there</w:t>
      </w:r>
      <w:r>
        <w:rPr>
          <w:lang w:val="en_US" w:bidi="en_US"/>
        </w:rPr>
        <w:t xml:space="preserve"> and look at it.</w:t>
      </w:r>
    </w:p>
    <w:p>
      <w:pPr>
        <w:pStyle w:val="ListBullet"/>
        <w:spacing w:line="240" w:lineRule="auto"/>
        <w:ind w:left="720"/>
      </w:pPr>
      <w:r>
        <w:rPr>
          <w:lang w:val="en_US" w:bidi="en_US"/>
        </w:rPr>
      </w:r>
      <w:r>
        <w:rPr>
          <w:lang w:val="en_US" w:bidi="en_US"/>
        </w:rPr>
        <w:t>and I need to go and inspect it.</w:t>
      </w:r>
    </w:p>
    <w:p>
      <w:pPr/>
      <w:r>
        <w:rPr>
          <w:lang w:val="en_US" w:bidi="en_US"/>
        </w:rPr>
      </w:r>
      <w:r>
        <w:rPr>
          <w:b/>
          <w:lang w:val="en_US" w:bidi="en_US"/>
        </w:rPr>
        <w:t>I need to go:</w:t>
      </w:r>
      <w:r>
        <w:rPr>
          <w:lang w:val="en_US" w:bidi="en_US"/>
        </w:rPr>
        <w:t xml:space="preserve"> The man spoke as though it were his duty or obligation to travel to his new piece of property. In some languages it may be necessary to make explicit where he needed to go:</w:t>
      </w:r>
    </w:p>
    <w:p>
      <w:pPr/>
      <w:r>
        <w:rPr>
          <w:lang w:val="en_US" w:bidi="en_US"/>
        </w:rPr>
      </w:r>
      <w:r>
        <w:rPr>
          <w:lang w:val="en_US" w:bidi="en_US"/>
        </w:rPr>
        <w:t xml:space="preserve">I need to go </w:t>
      </w:r>
      <w:r>
        <w:rPr>
          <w:lang w:val="en_US" w:bidi="en_US"/>
        </w:rPr>
        <w:t>to the field</w:t>
      </w:r>
    </w:p>
    <w:p>
      <w:pPr/>
      <w:r>
        <w:rPr>
          <w:lang w:val="en_US" w:bidi="en_US"/>
        </w:rPr>
      </w:r>
      <w:r>
        <w:rPr>
          <w:b/>
          <w:lang w:val="en_US" w:bidi="en_US"/>
        </w:rPr>
        <w:t>see it:</w:t>
      </w:r>
      <w:r>
        <w:rPr>
          <w:lang w:val="en_US" w:bidi="en_US"/>
        </w:rPr>
        <w:t xml:space="preserve"> The verb </w:t>
      </w:r>
      <w:r>
        <w:rPr>
          <w:i/>
          <w:lang w:val="en_US" w:bidi="en_US"/>
        </w:rPr>
        <w:t>see</w:t>
      </w:r>
      <w:r>
        <w:rPr>
          <w:lang w:val="en_US" w:bidi="en_US"/>
        </w:rPr>
        <w:t xml:space="preserve"> in this context means to look something over to see how good it is. Another way to translate this is:</w:t>
      </w:r>
    </w:p>
    <w:p>
      <w:pPr/>
      <w:r>
        <w:rPr>
          <w:lang w:val="en_US" w:bidi="en_US"/>
        </w:rPr>
      </w:r>
      <w:r>
        <w:rPr>
          <w:lang w:val="en_US" w:bidi="en_US"/>
        </w:rPr>
        <w:t>inspect it (NLT)</w:t>
      </w:r>
    </w:p>
    <w:p>
      <w:pPr>
        <w:pStyle w:val="Heading5"/>
      </w:pPr>
      <w:r>
        <w:rPr>
          <w:lang w:val="en_US" w:bidi="en_US"/>
        </w:rPr>
        <w:t>14:18d</w:t>
      </w:r>
    </w:p>
    <w:p>
      <w:pPr/>
      <w:r>
        <w:rPr>
          <w:lang w:val="en_US" w:bidi="en_US"/>
        </w:rPr>
      </w:r>
      <w:r>
        <w:rPr>
          <w:b/>
          <w:lang w:val="en_US" w:bidi="en_US"/>
        </w:rPr>
        <w:t>Please excuse me.’</w:t>
      </w:r>
    </w:p>
    <w:p>
      <w:pPr>
        <w:pStyle w:val="ListBullet"/>
        <w:spacing w:line="240" w:lineRule="auto"/>
        <w:ind w:left="720"/>
      </w:pPr>
      <w:r>
        <w:rPr>
          <w:lang w:val="en_US" w:bidi="en_US"/>
        </w:rPr>
      </w:r>
      <w:r>
        <w:rPr>
          <w:lang w:val="en_US" w:bidi="en_US"/>
        </w:rPr>
        <w:t>Please accept my excuse/apologies.’</w:t>
      </w:r>
    </w:p>
    <w:p>
      <w:pPr>
        <w:pStyle w:val="ListBullet"/>
        <w:spacing w:line="240" w:lineRule="auto"/>
        <w:ind w:left="720"/>
      </w:pPr>
      <w:r>
        <w:rPr>
          <w:lang w:val="en_US" w:bidi="en_US"/>
        </w:rPr>
      </w:r>
      <w:r>
        <w:rPr>
          <w:lang w:val="en_US" w:bidi="en_US"/>
        </w:rPr>
        <w:t>So</w:t>
      </w:r>
      <w:r>
        <w:rPr>
          <w:lang w:val="en_US" w:bidi="en_US"/>
        </w:rPr>
        <w:t xml:space="preserve"> I am sorry </w:t>
      </w:r>
      <w:r>
        <w:rPr>
          <w:lang w:val="en_US" w:bidi="en_US"/>
        </w:rPr>
        <w:t>I cannot go to the feast</w:t>
      </w:r>
      <w:r>
        <w:rPr>
          <w:lang w:val="en_US" w:bidi="en_US"/>
        </w:rPr>
        <w:t>.’</w:t>
      </w:r>
    </w:p>
    <w:p>
      <w:pPr>
        <w:pStyle w:val="ListBullet"/>
        <w:spacing w:line="240" w:lineRule="auto"/>
        <w:ind w:left="720"/>
      </w:pPr>
      <w:r>
        <w:rPr>
          <w:lang w:val="en_US" w:bidi="en_US"/>
        </w:rPr>
      </w:r>
      <w:r>
        <w:rPr>
          <w:lang w:val="en_US" w:bidi="en_US"/>
        </w:rPr>
        <w:t xml:space="preserve">Please </w:t>
      </w:r>
      <w:r>
        <w:rPr>
          <w:lang w:val="en_US" w:bidi="en_US"/>
        </w:rPr>
        <w:t>tell your master</w:t>
      </w:r>
      <w:r>
        <w:rPr>
          <w:lang w:val="en_US" w:bidi="en_US"/>
        </w:rPr>
        <w:t xml:space="preserve"> that is why </w:t>
      </w:r>
      <w:r>
        <w:rPr>
          <w:lang w:val="en_US" w:bidi="en_US"/>
        </w:rPr>
        <w:t>I cannot go to the feast</w:t>
      </w:r>
      <w:r>
        <w:rPr>
          <w:lang w:val="en_US" w:bidi="en_US"/>
        </w:rPr>
        <w:t>.’</w:t>
      </w:r>
    </w:p>
    <w:p>
      <w:pPr/>
      <w:r>
        <w:rPr>
          <w:lang w:val="en_US" w:bidi="en_US"/>
        </w:rPr>
      </w:r>
      <w:r>
        <w:rPr>
          <w:b/>
          <w:lang w:val="en_US" w:bidi="en_US"/>
        </w:rPr>
        <w:t>Please excuse me:</w:t>
      </w:r>
      <w:r>
        <w:rPr>
          <w:lang w:val="en_US" w:bidi="en_US"/>
        </w:rPr>
        <w:t xml:space="preserve"> The phrase that the BSB translates as </w:t>
      </w:r>
      <w:r>
        <w:rPr>
          <w:i/>
          <w:lang w:val="en_US" w:bidi="en_US"/>
        </w:rPr>
        <w:t>Please excuse me</w:t>
      </w:r>
      <w:r>
        <w:rPr>
          <w:lang w:val="en_US" w:bidi="en_US"/>
        </w:rPr>
        <w:t xml:space="preserve"> is more literally “I ask you, have me excused.” The man was politely refusing to go to the feast. He was not asking permission to be absent. Another way to translate this is:</w:t>
      </w:r>
    </w:p>
    <w:p>
      <w:pPr/>
      <w:r>
        <w:rPr>
          <w:lang w:val="en_US" w:bidi="en_US"/>
        </w:rPr>
      </w:r>
      <w:r>
        <w:rPr>
          <w:lang w:val="en_US" w:bidi="en_US"/>
        </w:rPr>
        <w:t>please accept my apologies (GNT)</w:t>
      </w:r>
    </w:p>
    <w:p>
      <w:pPr>
        <w:pStyle w:val="Heading6"/>
      </w:pPr>
      <w:r>
        <w:rPr>
          <w:b/>
          <w:lang w:val="en_US" w:bidi="en_US"/>
        </w:rPr>
        <w:t>General Comment on 14:18b–d</w:t>
      </w:r>
    </w:p>
    <w:p>
      <w:pPr/>
      <w:r>
        <w:rPr>
          <w:lang w:val="en_US" w:bidi="en_US"/>
        </w:rPr>
      </w:r>
      <w:r>
        <w:rPr>
          <w:lang w:val="en_US" w:bidi="en_US"/>
        </w:rPr>
        <w:t>In some languages, it may be more natural to place the expression of apology (18d) before the excuse (18b–c). For example:</w:t>
      </w:r>
    </w:p>
    <w:p>
      <w:pPr/>
      <w:r>
        <w:rPr>
          <w:lang w:val="en_US" w:bidi="en_US"/>
        </w:rPr>
      </w:r>
      <w:r>
        <w:rPr>
          <w:vertAlign w:val="superscript"/>
          <w:lang w:val="en_US" w:bidi="en_US"/>
        </w:rPr>
        <w:t>14d</w:t>
      </w:r>
      <w:r>
        <w:rPr>
          <w:lang w:val="en_US" w:bidi="en_US"/>
        </w:rPr>
        <w:t xml:space="preserve">I am sorry, I cannot attend. </w:t>
      </w:r>
      <w:r>
        <w:rPr>
          <w:vertAlign w:val="superscript"/>
          <w:lang w:val="en_US" w:bidi="en_US"/>
        </w:rPr>
        <w:t>14b</w:t>
      </w:r>
      <w:r>
        <w:rPr>
          <w:lang w:val="en_US" w:bidi="en_US"/>
        </w:rPr>
        <w:t xml:space="preserve">I bought a field, </w:t>
      </w:r>
      <w:r>
        <w:rPr>
          <w:vertAlign w:val="superscript"/>
          <w:lang w:val="en_US" w:bidi="en_US"/>
        </w:rPr>
        <w:t>14c</w:t>
      </w:r>
      <w:r>
        <w:rPr>
          <w:lang w:val="en_US" w:bidi="en_US"/>
        </w:rPr>
        <w:t>and I need to go and inspect it.</w:t>
      </w:r>
    </w:p>
    <w:p>
      <w:pPr/>
      <w:r>
        <w:rPr>
          <w:lang w:val="en_US" w:bidi="en_US"/>
        </w:rPr>
      </w:r>
      <w:r>
        <w:rPr>
          <w:lang w:val="en_US" w:bidi="en_US"/>
        </w:rPr>
        <w:t>Use a natural order in your language for this verse and also for 14:19 and 14:20.</w:t>
      </w:r>
      <w:r>
        <w:rPr>
          <w:lang w:val="en_US" w:bidi="en_US"/>
        </w:rPr>
      </w:r>
      <w:r>
        <w:rPr>
          <w:lang w:val="en_US" w:bidi="en_US"/>
        </w:rPr>
      </w:r>
    </w:p>
    <w:p>
      <w:pPr/>
      <w:r>
        <w:rPr>
          <w:lang w:val="en_US" w:bidi="en_US"/>
        </w:rPr>
      </w:r>
    </w:p>
    <w:p>
      <w:pPr>
        <w:pStyle w:val="Heading2"/>
      </w:pPr>
      <w:r>
        <w:rPr>
          <w:lang w:val="en_US" w:bidi="en_US"/>
        </w:rPr>
        <w:t>Luke 14:19</w:t>
      </w:r>
      <w:r>
        <w:rPr>
          <w:lang w:val="en_US" w:bidi="en_US"/>
        </w:rPr>
      </w:r>
    </w:p>
    <w:p>
      <w:pPr>
        <w:pStyle w:val="Heading4"/>
      </w:pPr>
      <w:r>
        <w:rPr>
          <w:lang w:val="en_US" w:bidi="en_US"/>
        </w:rPr>
        <w:t>Section 14:15–24: Jesus told a parable about a great feast</w:t>
      </w:r>
    </w:p>
    <w:p>
      <w:pPr/>
      <w:r>
        <w:rPr>
          <w:lang w:val="en_US" w:bidi="en_US"/>
        </w:rPr>
      </w:r>
      <w:r>
        <w:rPr>
          <w:lang w:val="en_US" w:bidi="en_US"/>
        </w:rPr>
        <w:t>Jesus next told a parable about a feast that a man invited many people to attend. When they refused to come, he invited other people instead. This parable teaches that it is very important to accept God’s invitation to be a part of his kingdom. The people who refused the invitation represent people who are not interested in being part of God’s kingdom. Those who accepted the invitation represent people who are glad to be part of God’s kingdom.</w:t>
      </w:r>
    </w:p>
    <w:p>
      <w:pPr/>
      <w:r>
        <w:rPr>
          <w:lang w:val="en_US" w:bidi="en_US"/>
        </w:rPr>
      </w:r>
      <w:r>
        <w:rPr>
          <w:lang w:val="en_US" w:bidi="en_US"/>
        </w:rPr>
        <w:t>Luke 14:16–24 is all one speech by Jesus. Check to be sure that this is clear in your translation.</w:t>
      </w:r>
    </w:p>
    <w:p>
      <w:pPr/>
      <w:r>
        <w:rPr>
          <w:lang w:val="en_US" w:bidi="en_US"/>
        </w:rPr>
      </w:r>
      <w:r>
        <w:rPr>
          <w:lang w:val="en_US" w:bidi="en_US"/>
        </w:rPr>
        <w:t>Some other possible headings for this section are:</w:t>
      </w:r>
    </w:p>
    <w:p>
      <w:pPr/>
      <w:r>
        <w:rPr>
          <w:lang w:val="en_US" w:bidi="en_US"/>
        </w:rPr>
      </w:r>
      <w:r>
        <w:rPr>
          <w:lang w:val="en_US" w:bidi="en_US"/>
        </w:rPr>
        <w:t>The parable of the excuses</w:t>
      </w:r>
    </w:p>
    <w:p>
      <w:pPr/>
      <w:r>
        <w:rPr>
          <w:lang w:val="en_US" w:bidi="en_US"/>
        </w:rPr>
      </w:r>
      <w:r>
        <w:rPr>
          <w:lang w:val="en_US" w:bidi="en_US"/>
        </w:rPr>
        <w:t>The guests who refused the invitation to attend a banquet</w:t>
      </w:r>
    </w:p>
    <w:p>
      <w:pPr/>
      <w:r>
        <w:rPr>
          <w:lang w:val="en_US" w:bidi="en_US"/>
        </w:rPr>
      </w:r>
      <w:r>
        <w:rPr>
          <w:lang w:val="en_US" w:bidi="en_US"/>
        </w:rPr>
        <w:t>There is a similar parable in Matthew 22:1–10. However, many details are different, so be careful not to translate both parables in the same way.</w:t>
      </w:r>
    </w:p>
    <w:p>
      <w:pPr>
        <w:pStyle w:val="Heading5"/>
      </w:pPr>
      <w:r>
        <w:rPr>
          <w:lang w:val="en_US" w:bidi="en_US"/>
        </w:rPr>
        <w:t>14:19a</w:t>
      </w:r>
    </w:p>
    <w:p>
      <w:pPr/>
      <w:r>
        <w:rPr>
          <w:lang w:val="en_US" w:bidi="en_US"/>
        </w:rPr>
      </w:r>
      <w:r>
        <w:rPr>
          <w:b/>
          <w:lang w:val="en_US" w:bidi="en_US"/>
        </w:rPr>
        <w:t>Another said, ‘I have bought five yoke of oxen,</w:t>
      </w:r>
    </w:p>
    <w:p>
      <w:pPr>
        <w:pStyle w:val="ListBullet"/>
        <w:spacing w:line="240" w:lineRule="auto"/>
        <w:ind w:left="720"/>
      </w:pPr>
      <w:r>
        <w:rPr>
          <w:lang w:val="en_US" w:bidi="en_US"/>
        </w:rPr>
      </w:r>
      <w:r>
        <w:rPr>
          <w:lang w:val="en_US" w:bidi="en_US"/>
        </w:rPr>
        <w:t xml:space="preserve">Another </w:t>
      </w:r>
      <w:r>
        <w:rPr>
          <w:lang w:val="en_US" w:bidi="en_US"/>
        </w:rPr>
        <w:t>man</w:t>
      </w:r>
      <w:r>
        <w:rPr>
          <w:lang w:val="en_US" w:bidi="en_US"/>
        </w:rPr>
        <w:t xml:space="preserve"> said, ‘I have just bought five pairs of bullocks/cattle/oxen,</w:t>
      </w:r>
    </w:p>
    <w:p>
      <w:pPr>
        <w:pStyle w:val="ListBullet"/>
        <w:spacing w:line="240" w:lineRule="auto"/>
        <w:ind w:left="720"/>
      </w:pPr>
      <w:r>
        <w:rPr>
          <w:lang w:val="en_US" w:bidi="en_US"/>
        </w:rPr>
      </w:r>
      <w:r>
        <w:rPr>
          <w:lang w:val="en_US" w:bidi="en_US"/>
        </w:rPr>
        <w:t>Someone else said, ‘I bought ten work animals,</w:t>
      </w:r>
    </w:p>
    <w:p>
      <w:pPr/>
      <w:r>
        <w:rPr>
          <w:lang w:val="en_US" w:bidi="en_US"/>
        </w:rPr>
      </w:r>
      <w:r>
        <w:rPr>
          <w:b/>
          <w:lang w:val="en_US" w:bidi="en_US"/>
        </w:rPr>
        <w:t>I have bought five yoke of oxen:</w:t>
      </w:r>
      <w:r>
        <w:rPr>
          <w:lang w:val="en_US" w:bidi="en_US"/>
        </w:rPr>
        <w:t xml:space="preserve"> The term </w:t>
      </w:r>
      <w:r>
        <w:rPr>
          <w:i/>
          <w:lang w:val="en_US" w:bidi="en_US"/>
        </w:rPr>
        <w:t>yoke of oxen</w:t>
      </w:r>
      <w:r>
        <w:rPr>
          <w:lang w:val="en_US" w:bidi="en_US"/>
        </w:rPr>
        <w:t xml:space="preserve"> refers to two oxen hitched together to pull something. So </w:t>
      </w:r>
      <w:r>
        <w:rPr>
          <w:i/>
          <w:lang w:val="en_US" w:bidi="en_US"/>
        </w:rPr>
        <w:t>five yoke of oxen</w:t>
      </w:r>
      <w:r>
        <w:rPr>
          <w:lang w:val="en_US" w:bidi="en_US"/>
        </w:rPr>
        <w:t xml:space="preserve"> is equivalent to five pairs of oxen. In areas where people are not familiar with animals working in pairs, you may say “ten work animals.”</w:t>
      </w:r>
    </w:p>
    <w:p>
      <w:pPr/>
      <w:r>
        <w:rPr>
          <w:lang w:val="en_US" w:bidi="en_US"/>
        </w:rPr>
      </w:r>
      <w:r>
        <w:rPr>
          <w:b/>
          <w:lang w:val="en_US" w:bidi="en_US"/>
        </w:rPr>
        <w:t>oxen:</w:t>
      </w:r>
      <w:r>
        <w:rPr>
          <w:lang w:val="en_US" w:bidi="en_US"/>
        </w:rPr>
        <w:t xml:space="preserve"> See the note on “ox” at 14:5a.</w:t>
      </w:r>
    </w:p>
    <w:p>
      <w:pPr>
        <w:pStyle w:val="Heading5"/>
      </w:pPr>
      <w:r>
        <w:rPr>
          <w:lang w:val="en_US" w:bidi="en_US"/>
        </w:rPr>
        <w:t>14:19b</w:t>
      </w:r>
    </w:p>
    <w:p>
      <w:pPr/>
      <w:r>
        <w:rPr>
          <w:lang w:val="en_US" w:bidi="en_US"/>
        </w:rPr>
      </w:r>
      <w:r>
        <w:rPr>
          <w:b/>
          <w:lang w:val="en_US" w:bidi="en_US"/>
        </w:rPr>
        <w:t>and I am going to try them out.</w:t>
      </w:r>
    </w:p>
    <w:p>
      <w:pPr>
        <w:pStyle w:val="ListBullet"/>
        <w:spacing w:line="240" w:lineRule="auto"/>
        <w:ind w:left="720"/>
      </w:pPr>
      <w:r>
        <w:rPr>
          <w:lang w:val="en_US" w:bidi="en_US"/>
        </w:rPr>
      </w:r>
      <w:r>
        <w:rPr>
          <w:lang w:val="en_US" w:bidi="en_US"/>
        </w:rPr>
        <w:t xml:space="preserve">and I am </w:t>
      </w:r>
      <w:r>
        <w:rPr>
          <w:lang w:val="en_US" w:bidi="en_US"/>
        </w:rPr>
        <w:t>just now</w:t>
      </w:r>
      <w:r>
        <w:rPr>
          <w:lang w:val="en_US" w:bidi="en_US"/>
        </w:rPr>
        <w:t xml:space="preserve"> going to test them.</w:t>
      </w:r>
    </w:p>
    <w:p>
      <w:pPr>
        <w:pStyle w:val="ListBullet"/>
        <w:spacing w:line="240" w:lineRule="auto"/>
        <w:ind w:left="720"/>
      </w:pPr>
      <w:r>
        <w:rPr>
          <w:lang w:val="en_US" w:bidi="en_US"/>
        </w:rPr>
      </w:r>
      <w:r>
        <w:rPr>
          <w:lang w:val="en_US" w:bidi="en_US"/>
        </w:rPr>
        <w:t xml:space="preserve">and I am leaving right now to go and see/check </w:t>
      </w:r>
      <w:r>
        <w:rPr>
          <w:lang w:val="en_US" w:bidi="en_US"/>
        </w:rPr>
        <w:t>whether they can plow/work together properly</w:t>
      </w:r>
      <w:r>
        <w:rPr>
          <w:lang w:val="en_US" w:bidi="en_US"/>
        </w:rPr>
        <w:t>.</w:t>
      </w:r>
    </w:p>
    <w:p>
      <w:pPr/>
      <w:r>
        <w:rPr>
          <w:lang w:val="en_US" w:bidi="en_US"/>
        </w:rPr>
      </w:r>
      <w:r>
        <w:rPr>
          <w:b/>
          <w:lang w:val="en_US" w:bidi="en_US"/>
        </w:rPr>
        <w:t>and I am going to try them out:</w:t>
      </w:r>
      <w:r>
        <w:rPr>
          <w:lang w:val="en_US" w:bidi="en_US"/>
        </w:rPr>
        <w:t xml:space="preserve"> The clause </w:t>
      </w:r>
      <w:r>
        <w:rPr>
          <w:i/>
          <w:lang w:val="en_US" w:bidi="en_US"/>
        </w:rPr>
        <w:t>I am going to try them out</w:t>
      </w:r>
      <w:r>
        <w:rPr>
          <w:lang w:val="en_US" w:bidi="en_US"/>
        </w:rPr>
        <w:t xml:space="preserve"> indicates that the man was about to leave for his farm to test the animals. This was clearly a poor excuse, because no one would buy animals before checking to see that they were good ones.</w:t>
      </w:r>
    </w:p>
    <w:p>
      <w:pPr/>
      <w:r>
        <w:rPr>
          <w:lang w:val="en_US" w:bidi="en_US"/>
        </w:rPr>
      </w:r>
      <w:r>
        <w:rPr>
          <w:b/>
          <w:lang w:val="en_US" w:bidi="en_US"/>
        </w:rPr>
        <w:t>try them out:</w:t>
      </w:r>
      <w:r>
        <w:rPr>
          <w:lang w:val="en_US" w:bidi="en_US"/>
        </w:rPr>
        <w:t xml:space="preserve"> The Greek verb that the BSB translates as </w:t>
      </w:r>
      <w:r>
        <w:rPr>
          <w:i/>
          <w:lang w:val="en_US" w:bidi="en_US"/>
        </w:rPr>
        <w:t>try them out</w:t>
      </w:r>
      <w:r>
        <w:rPr>
          <w:lang w:val="en_US" w:bidi="en_US"/>
        </w:rPr>
        <w:t xml:space="preserve"> can also mean “examine.” Some English versions, such as the RSV, translate it that way. But in this context, it means to test or verify the usefulness of the oxen or perhaps their ability to work together. For example:</w:t>
      </w:r>
    </w:p>
    <w:p>
      <w:pPr/>
      <w:r>
        <w:rPr>
          <w:lang w:val="en_US" w:bidi="en_US"/>
        </w:rPr>
      </w:r>
      <w:r>
        <w:rPr>
          <w:lang w:val="en_US" w:bidi="en_US"/>
        </w:rPr>
        <w:t>to see how well they plow (GW)</w:t>
      </w:r>
    </w:p>
    <w:p>
      <w:pPr>
        <w:pStyle w:val="Heading5"/>
      </w:pPr>
      <w:r>
        <w:rPr>
          <w:lang w:val="en_US" w:bidi="en_US"/>
        </w:rPr>
        <w:t>14:19c</w:t>
      </w:r>
    </w:p>
    <w:p>
      <w:pPr/>
      <w:r>
        <w:rPr>
          <w:lang w:val="en_US" w:bidi="en_US"/>
        </w:rPr>
      </w:r>
      <w:r>
        <w:rPr>
          <w:b/>
          <w:lang w:val="en_US" w:bidi="en_US"/>
        </w:rPr>
        <w:t>Please excuse me.’</w:t>
      </w:r>
    </w:p>
    <w:p>
      <w:pPr>
        <w:pStyle w:val="ListBullet"/>
        <w:spacing w:line="240" w:lineRule="auto"/>
        <w:ind w:left="720"/>
      </w:pPr>
      <w:r>
        <w:rPr>
          <w:lang w:val="en_US" w:bidi="en_US"/>
        </w:rPr>
      </w:r>
      <w:r>
        <w:rPr>
          <w:lang w:val="en_US" w:bidi="en_US"/>
        </w:rPr>
        <w:t>Please accept my excuse/apologies.’</w:t>
      </w:r>
    </w:p>
    <w:p>
      <w:pPr>
        <w:pStyle w:val="ListBullet"/>
        <w:spacing w:line="240" w:lineRule="auto"/>
        <w:ind w:left="720"/>
      </w:pPr>
      <w:r>
        <w:rPr>
          <w:lang w:val="en_US" w:bidi="en_US"/>
        </w:rPr>
      </w:r>
      <w:r>
        <w:rPr>
          <w:lang w:val="en_US" w:bidi="en_US"/>
        </w:rPr>
        <w:t>So</w:t>
      </w:r>
      <w:r>
        <w:rPr>
          <w:lang w:val="en_US" w:bidi="en_US"/>
        </w:rPr>
        <w:t xml:space="preserve"> I am sorry </w:t>
      </w:r>
      <w:r>
        <w:rPr>
          <w:lang w:val="en_US" w:bidi="en_US"/>
        </w:rPr>
        <w:t>I cannot go to the feast</w:t>
      </w:r>
      <w:r>
        <w:rPr>
          <w:lang w:val="en_US" w:bidi="en_US"/>
        </w:rPr>
        <w:t>.’</w:t>
      </w:r>
    </w:p>
    <w:p>
      <w:pPr>
        <w:pStyle w:val="ListBullet"/>
        <w:spacing w:line="240" w:lineRule="auto"/>
        <w:ind w:left="720"/>
      </w:pPr>
      <w:r>
        <w:rPr>
          <w:lang w:val="en_US" w:bidi="en_US"/>
        </w:rPr>
      </w:r>
      <w:r>
        <w:rPr>
          <w:lang w:val="en_US" w:bidi="en_US"/>
        </w:rPr>
        <w:t xml:space="preserve">Please </w:t>
      </w:r>
      <w:r>
        <w:rPr>
          <w:lang w:val="en_US" w:bidi="en_US"/>
        </w:rPr>
        <w:t>tell your master</w:t>
      </w:r>
      <w:r>
        <w:rPr>
          <w:lang w:val="en_US" w:bidi="en_US"/>
        </w:rPr>
        <w:t xml:space="preserve"> that this is why </w:t>
      </w:r>
      <w:r>
        <w:rPr>
          <w:lang w:val="en_US" w:bidi="en_US"/>
        </w:rPr>
        <w:t>I cannot go to the feast</w:t>
      </w:r>
      <w:r>
        <w:rPr>
          <w:lang w:val="en_US" w:bidi="en_US"/>
        </w:rPr>
        <w:t>.’</w:t>
      </w:r>
    </w:p>
    <w:p>
      <w:pPr/>
      <w:r>
        <w:rPr>
          <w:lang w:val="en_US" w:bidi="en_US"/>
        </w:rPr>
      </w:r>
      <w:r>
        <w:rPr>
          <w:b/>
          <w:lang w:val="en_US" w:bidi="en_US"/>
        </w:rPr>
        <w:t>Please excuse me:</w:t>
      </w:r>
      <w:r>
        <w:rPr>
          <w:lang w:val="en_US" w:bidi="en_US"/>
        </w:rPr>
        <w:t xml:space="preserve"> See the note on the identical sentence in 14:18d.</w:t>
      </w:r>
      <w:r>
        <w:rPr>
          <w:lang w:val="en_US" w:bidi="en_US"/>
        </w:rPr>
      </w:r>
      <w:r>
        <w:rPr>
          <w:lang w:val="en_US" w:bidi="en_US"/>
        </w:rPr>
      </w:r>
    </w:p>
    <w:p>
      <w:pPr/>
      <w:r>
        <w:rPr>
          <w:lang w:val="en_US" w:bidi="en_US"/>
        </w:rPr>
      </w:r>
    </w:p>
    <w:p>
      <w:pPr>
        <w:pStyle w:val="Heading2"/>
      </w:pPr>
      <w:r>
        <w:rPr>
          <w:lang w:val="en_US" w:bidi="en_US"/>
        </w:rPr>
        <w:t>Luke 14:20</w:t>
      </w:r>
      <w:r>
        <w:rPr>
          <w:lang w:val="en_US" w:bidi="en_US"/>
        </w:rPr>
      </w:r>
    </w:p>
    <w:p>
      <w:pPr>
        <w:pStyle w:val="Heading4"/>
      </w:pPr>
      <w:r>
        <w:rPr>
          <w:lang w:val="en_US" w:bidi="en_US"/>
        </w:rPr>
        <w:t>Section 14:15–24: Jesus told a parable about a great feast</w:t>
      </w:r>
    </w:p>
    <w:p>
      <w:pPr/>
      <w:r>
        <w:rPr>
          <w:lang w:val="en_US" w:bidi="en_US"/>
        </w:rPr>
      </w:r>
      <w:r>
        <w:rPr>
          <w:lang w:val="en_US" w:bidi="en_US"/>
        </w:rPr>
        <w:t>Jesus next told a parable about a feast that a man invited many people to attend. When they refused to come, he invited other people instead. This parable teaches that it is very important to accept God’s invitation to be a part of his kingdom. The people who refused the invitation represent people who are not interested in being part of God’s kingdom. Those who accepted the invitation represent people who are glad to be part of God’s kingdom.</w:t>
      </w:r>
    </w:p>
    <w:p>
      <w:pPr/>
      <w:r>
        <w:rPr>
          <w:lang w:val="en_US" w:bidi="en_US"/>
        </w:rPr>
      </w:r>
      <w:r>
        <w:rPr>
          <w:lang w:val="en_US" w:bidi="en_US"/>
        </w:rPr>
        <w:t>Luke 14:16–24 is all one speech by Jesus. Check to be sure that this is clear in your translation.</w:t>
      </w:r>
    </w:p>
    <w:p>
      <w:pPr/>
      <w:r>
        <w:rPr>
          <w:lang w:val="en_US" w:bidi="en_US"/>
        </w:rPr>
      </w:r>
      <w:r>
        <w:rPr>
          <w:lang w:val="en_US" w:bidi="en_US"/>
        </w:rPr>
        <w:t>Some other possible headings for this section are:</w:t>
      </w:r>
    </w:p>
    <w:p>
      <w:pPr/>
      <w:r>
        <w:rPr>
          <w:lang w:val="en_US" w:bidi="en_US"/>
        </w:rPr>
      </w:r>
      <w:r>
        <w:rPr>
          <w:lang w:val="en_US" w:bidi="en_US"/>
        </w:rPr>
        <w:t>The parable of the excuses</w:t>
      </w:r>
    </w:p>
    <w:p>
      <w:pPr/>
      <w:r>
        <w:rPr>
          <w:lang w:val="en_US" w:bidi="en_US"/>
        </w:rPr>
      </w:r>
      <w:r>
        <w:rPr>
          <w:lang w:val="en_US" w:bidi="en_US"/>
        </w:rPr>
        <w:t>The guests who refused the invitation to attend a banquet</w:t>
      </w:r>
    </w:p>
    <w:p>
      <w:pPr/>
      <w:r>
        <w:rPr>
          <w:lang w:val="en_US" w:bidi="en_US"/>
        </w:rPr>
      </w:r>
      <w:r>
        <w:rPr>
          <w:lang w:val="en_US" w:bidi="en_US"/>
        </w:rPr>
        <w:t>There is a similar parable in Matthew 22:1–10. However, many details are different, so be careful not to translate both parables in the same way.</w:t>
      </w:r>
    </w:p>
    <w:p>
      <w:pPr>
        <w:pStyle w:val="Heading5"/>
      </w:pPr>
      <w:r>
        <w:rPr>
          <w:lang w:val="en_US" w:bidi="en_US"/>
        </w:rPr>
        <w:t>14:20</w:t>
      </w:r>
    </w:p>
    <w:p>
      <w:pPr/>
      <w:r>
        <w:rPr>
          <w:lang w:val="en_US" w:bidi="en_US"/>
        </w:rPr>
      </w:r>
      <w:r>
        <w:rPr>
          <w:b/>
          <w:lang w:val="en_US" w:bidi="en_US"/>
        </w:rPr>
        <w:t>Still another said, ‘I have married a wife, so I cannot come.’</w:t>
      </w:r>
    </w:p>
    <w:p>
      <w:pPr>
        <w:pStyle w:val="ListBullet"/>
        <w:spacing w:line="240" w:lineRule="auto"/>
        <w:ind w:left="720"/>
      </w:pPr>
      <w:r>
        <w:rPr>
          <w:lang w:val="en_US" w:bidi="en_US"/>
        </w:rPr>
      </w:r>
      <w:r>
        <w:rPr>
          <w:lang w:val="en_US" w:bidi="en_US"/>
        </w:rPr>
        <w:t xml:space="preserve">And another man said, ‘I have just married a wife/woman, and so I cannot come/go </w:t>
      </w:r>
      <w:r>
        <w:rPr>
          <w:lang w:val="en_US" w:bidi="en_US"/>
        </w:rPr>
        <w:t>to the feast</w:t>
      </w:r>
      <w:r>
        <w:rPr>
          <w:lang w:val="en_US" w:bidi="en_US"/>
        </w:rPr>
        <w:t>.’</w:t>
      </w:r>
    </w:p>
    <w:p>
      <w:pPr>
        <w:pStyle w:val="ListBullet"/>
        <w:spacing w:line="240" w:lineRule="auto"/>
        <w:ind w:left="720"/>
      </w:pPr>
      <w:r>
        <w:rPr>
          <w:lang w:val="en_US" w:bidi="en_US"/>
        </w:rPr>
      </w:r>
      <w:r>
        <w:rPr>
          <w:lang w:val="en_US" w:bidi="en_US"/>
        </w:rPr>
        <w:t xml:space="preserve">Still another person also said, ‘It is not possible for me to attend </w:t>
      </w:r>
      <w:r>
        <w:rPr>
          <w:lang w:val="en_US" w:bidi="en_US"/>
        </w:rPr>
        <w:t>the feast</w:t>
      </w:r>
      <w:r>
        <w:rPr>
          <w:lang w:val="en_US" w:bidi="en_US"/>
        </w:rPr>
        <w:t>, because it has not been long since I took a wife.’</w:t>
      </w:r>
    </w:p>
    <w:p>
      <w:pPr/>
      <w:r>
        <w:rPr>
          <w:lang w:val="en_US" w:bidi="en_US"/>
        </w:rPr>
      </w:r>
      <w:r>
        <w:rPr>
          <w:b/>
          <w:lang w:val="en_US" w:bidi="en_US"/>
        </w:rPr>
        <w:t>I have married a wife, so I cannot come:</w:t>
      </w:r>
      <w:r>
        <w:rPr>
          <w:lang w:val="en_US" w:bidi="en_US"/>
        </w:rPr>
        <w:t xml:space="preserve"> The man did not say exactly why he could not go to the feast. He may have implied that he wished to spend the time alone with his new wife.</w:t>
      </w:r>
    </w:p>
    <w:p>
      <w:pPr/>
      <w:r>
        <w:rPr>
          <w:lang w:val="en_US" w:bidi="en_US"/>
        </w:rPr>
      </w:r>
      <w:r>
        <w:rPr>
          <w:b/>
          <w:lang w:val="en_US" w:bidi="en_US"/>
        </w:rPr>
        <w:t>I have married a wife:</w:t>
      </w:r>
      <w:r>
        <w:rPr>
          <w:lang w:val="en_US" w:bidi="en_US"/>
        </w:rPr>
        <w:t xml:space="preserve"> The clause that the BSB translates as </w:t>
      </w:r>
      <w:r>
        <w:rPr>
          <w:i/>
          <w:lang w:val="en_US" w:bidi="en_US"/>
        </w:rPr>
        <w:t>I have married a wife</w:t>
      </w:r>
      <w:r>
        <w:rPr>
          <w:lang w:val="en_US" w:bidi="en_US"/>
        </w:rPr>
        <w:t xml:space="preserve"> is literally “a woman I married.” This probably implies that he had gotten married fairly recently. Other ways to translate this clause are:</w:t>
      </w:r>
    </w:p>
    <w:p>
      <w:pPr/>
      <w:r>
        <w:rPr>
          <w:lang w:val="en_US" w:bidi="en_US"/>
        </w:rPr>
      </w:r>
      <w:r>
        <w:rPr>
          <w:lang w:val="en_US" w:bidi="en_US"/>
        </w:rPr>
        <w:t>I recently got married (GW)</w:t>
      </w:r>
    </w:p>
    <w:p>
      <w:pPr/>
      <w:r>
        <w:rPr>
          <w:lang w:val="en_US" w:bidi="en_US"/>
        </w:rPr>
      </w:r>
      <w:r>
        <w:rPr>
          <w:lang w:val="en_US" w:bidi="en_US"/>
        </w:rPr>
        <w:t>I now have a wife (NLT)</w:t>
      </w:r>
    </w:p>
    <w:p>
      <w:pPr/>
      <w:r>
        <w:rPr>
          <w:lang w:val="en_US" w:bidi="en_US"/>
        </w:rPr>
      </w:r>
      <w:r>
        <w:rPr>
          <w:lang w:val="en_US" w:bidi="en_US"/>
        </w:rPr>
        <w:t>Use an expression that is natural in your language.</w:t>
      </w:r>
    </w:p>
    <w:p>
      <w:pPr/>
      <w:r>
        <w:rPr>
          <w:lang w:val="en_US" w:bidi="en_US"/>
        </w:rPr>
      </w:r>
      <w:r>
        <w:rPr>
          <w:b/>
          <w:lang w:val="en_US" w:bidi="en_US"/>
        </w:rPr>
        <w:t>so I cannot come:</w:t>
      </w:r>
      <w:r>
        <w:rPr>
          <w:lang w:val="en_US" w:bidi="en_US"/>
        </w:rPr>
        <w:t xml:space="preserve"> In the context of coming or going to the feast, it may be more natural in some languages to say “I cannot </w:t>
      </w:r>
      <w:r>
        <w:rPr>
          <w:u w:val="single"/>
          <w:lang w:val="en_US" w:bidi="en_US"/>
        </w:rPr>
        <w:t>go</w:t>
      </w:r>
      <w:r>
        <w:rPr>
          <w:lang w:val="en_US" w:bidi="en_US"/>
        </w:rPr>
        <w:t>.” Use whatever term is more natural in your language.</w:t>
      </w:r>
    </w:p>
    <w:p>
      <w:pPr>
        <w:pStyle w:val="Heading6"/>
      </w:pPr>
      <w:r>
        <w:rPr>
          <w:b/>
          <w:lang w:val="en_US" w:bidi="en_US"/>
        </w:rPr>
        <w:t>General Comment on 14:17–20</w:t>
      </w:r>
    </w:p>
    <w:p>
      <w:pPr/>
      <w:r>
        <w:rPr>
          <w:lang w:val="en_US" w:bidi="en_US"/>
        </w:rPr>
      </w:r>
      <w:r>
        <w:rPr>
          <w:lang w:val="en_US" w:bidi="en_US"/>
        </w:rPr>
        <w:t>These verses contain several short speeches. These speeches occur within the story that Jesus was telling. In some languages it is more natural to use indirect quotations here. For example:</w:t>
      </w:r>
    </w:p>
    <w:p>
      <w:pPr/>
      <w:r>
        <w:rPr>
          <w:lang w:val="en_US" w:bidi="en_US"/>
        </w:rPr>
      </w:r>
      <w:r>
        <w:rPr>
          <w:vertAlign w:val="superscript"/>
          <w:lang w:val="en_US" w:bidi="en_US"/>
        </w:rPr>
        <w:t>17</w:t>
      </w:r>
      <w:r>
        <w:rPr>
          <w:lang w:val="en_US" w:bidi="en_US"/>
        </w:rPr>
        <w:t xml:space="preserve">When all was ready, he sent his servant around to notify the guests that it was time for them to come. </w:t>
      </w:r>
      <w:r>
        <w:rPr>
          <w:vertAlign w:val="superscript"/>
          <w:lang w:val="en_US" w:bidi="en_US"/>
        </w:rPr>
        <w:t>18</w:t>
      </w:r>
      <w:r>
        <w:rPr>
          <w:lang w:val="en_US" w:bidi="en_US"/>
        </w:rPr>
        <w:t xml:space="preserve">But they all began making excuses. One said he had just bought a field and wanted to inspect it, so he asked to be excused. </w:t>
      </w:r>
      <w:r>
        <w:rPr>
          <w:vertAlign w:val="superscript"/>
          <w:lang w:val="en_US" w:bidi="en_US"/>
        </w:rPr>
        <w:t>19</w:t>
      </w:r>
      <w:r>
        <w:rPr>
          <w:lang w:val="en_US" w:bidi="en_US"/>
        </w:rPr>
        <w:t xml:space="preserve">Another said he had just bought five pair of oxen and wanted to try them out. </w:t>
      </w:r>
      <w:r>
        <w:rPr>
          <w:vertAlign w:val="superscript"/>
          <w:lang w:val="en_US" w:bidi="en_US"/>
        </w:rPr>
        <w:t>20</w:t>
      </w:r>
      <w:r>
        <w:rPr>
          <w:lang w:val="en_US" w:bidi="en_US"/>
        </w:rPr>
        <w:t>Another had just been married, so he said he couldn’t come. (NLT96)</w:t>
      </w:r>
      <w:r>
        <w:rPr>
          <w:lang w:val="en_US" w:bidi="en_US"/>
        </w:rPr>
      </w:r>
      <w:r>
        <w:rPr>
          <w:lang w:val="en_US" w:bidi="en_US"/>
        </w:rPr>
      </w:r>
    </w:p>
    <w:p>
      <w:pPr/>
      <w:r>
        <w:rPr>
          <w:lang w:val="en_US" w:bidi="en_US"/>
        </w:rPr>
      </w:r>
    </w:p>
    <w:p>
      <w:pPr>
        <w:pStyle w:val="Heading2"/>
      </w:pPr>
      <w:r>
        <w:rPr>
          <w:lang w:val="en_US" w:bidi="en_US"/>
        </w:rPr>
        <w:t>Luke 14:21</w:t>
      </w:r>
      <w:r>
        <w:rPr>
          <w:lang w:val="en_US" w:bidi="en_US"/>
        </w:rPr>
      </w:r>
    </w:p>
    <w:p>
      <w:pPr>
        <w:pStyle w:val="Heading4"/>
      </w:pPr>
      <w:r>
        <w:rPr>
          <w:lang w:val="en_US" w:bidi="en_US"/>
        </w:rPr>
        <w:t>Section 14:15–24: Jesus told a parable about a great feast</w:t>
      </w:r>
    </w:p>
    <w:p>
      <w:pPr/>
      <w:r>
        <w:rPr>
          <w:lang w:val="en_US" w:bidi="en_US"/>
        </w:rPr>
      </w:r>
      <w:r>
        <w:rPr>
          <w:lang w:val="en_US" w:bidi="en_US"/>
        </w:rPr>
        <w:t>Jesus next told a parable about a feast that a man invited many people to attend. When they refused to come, he invited other people instead. This parable teaches that it is very important to accept God’s invitation to be a part of his kingdom. The people who refused the invitation represent people who are not interested in being part of God’s kingdom. Those who accepted the invitation represent people who are glad to be part of God’s kingdom.</w:t>
      </w:r>
    </w:p>
    <w:p>
      <w:pPr/>
      <w:r>
        <w:rPr>
          <w:lang w:val="en_US" w:bidi="en_US"/>
        </w:rPr>
      </w:r>
      <w:r>
        <w:rPr>
          <w:lang w:val="en_US" w:bidi="en_US"/>
        </w:rPr>
        <w:t>Luke 14:16–24 is all one speech by Jesus. Check to be sure that this is clear in your translation.</w:t>
      </w:r>
    </w:p>
    <w:p>
      <w:pPr/>
      <w:r>
        <w:rPr>
          <w:lang w:val="en_US" w:bidi="en_US"/>
        </w:rPr>
      </w:r>
      <w:r>
        <w:rPr>
          <w:lang w:val="en_US" w:bidi="en_US"/>
        </w:rPr>
        <w:t>Some other possible headings for this section are:</w:t>
      </w:r>
    </w:p>
    <w:p>
      <w:pPr/>
      <w:r>
        <w:rPr>
          <w:lang w:val="en_US" w:bidi="en_US"/>
        </w:rPr>
      </w:r>
      <w:r>
        <w:rPr>
          <w:lang w:val="en_US" w:bidi="en_US"/>
        </w:rPr>
        <w:t>The parable of the excuses</w:t>
      </w:r>
    </w:p>
    <w:p>
      <w:pPr/>
      <w:r>
        <w:rPr>
          <w:lang w:val="en_US" w:bidi="en_US"/>
        </w:rPr>
      </w:r>
      <w:r>
        <w:rPr>
          <w:lang w:val="en_US" w:bidi="en_US"/>
        </w:rPr>
        <w:t>The guests who refused the invitation to attend a banquet</w:t>
      </w:r>
    </w:p>
    <w:p>
      <w:pPr/>
      <w:r>
        <w:rPr>
          <w:lang w:val="en_US" w:bidi="en_US"/>
        </w:rPr>
      </w:r>
      <w:r>
        <w:rPr>
          <w:lang w:val="en_US" w:bidi="en_US"/>
        </w:rPr>
        <w:t>There is a similar parable in Matthew 22:1–10. However, many details are different, so be careful not to translate both parables in the same way.</w:t>
      </w:r>
    </w:p>
    <w:p>
      <w:pPr>
        <w:pStyle w:val="Heading5"/>
      </w:pPr>
      <w:r>
        <w:rPr>
          <w:lang w:val="en_US" w:bidi="en_US"/>
        </w:rPr>
        <w:t>14:21a–b</w:t>
      </w:r>
    </w:p>
    <w:p>
      <w:pPr/>
      <w:r>
        <w:rPr>
          <w:lang w:val="en_US" w:bidi="en_US"/>
        </w:rPr>
      </w:r>
      <w:r>
        <w:rPr>
          <w:b/>
          <w:lang w:val="en_US" w:bidi="en_US"/>
        </w:rPr>
        <w:t>his master…the owner of the house:</w:t>
      </w:r>
      <w:r>
        <w:rPr>
          <w:lang w:val="en_US" w:bidi="en_US"/>
        </w:rPr>
        <w:t xml:space="preserve"> The two phrases </w:t>
      </w:r>
      <w:r>
        <w:rPr>
          <w:i/>
          <w:lang w:val="en_US" w:bidi="en_US"/>
        </w:rPr>
        <w:t>his master</w:t>
      </w:r>
      <w:r>
        <w:rPr>
          <w:lang w:val="en_US" w:bidi="en_US"/>
        </w:rPr>
        <w:t xml:space="preserve"> and </w:t>
      </w:r>
      <w:r>
        <w:rPr>
          <w:i/>
          <w:lang w:val="en_US" w:bidi="en_US"/>
        </w:rPr>
        <w:t>the owner of the house</w:t>
      </w:r>
      <w:r>
        <w:rPr>
          <w:lang w:val="en_US" w:bidi="en_US"/>
        </w:rPr>
        <w:t xml:space="preserve"> refer to the same person, the man who was planning the big feast in 14:16. If a literal translation does not make this clear, you may make it explicit in some way. For example:</w:t>
      </w:r>
    </w:p>
    <w:p>
      <w:pPr/>
      <w:r>
        <w:rPr>
          <w:lang w:val="en_US" w:bidi="en_US"/>
        </w:rPr>
      </w:r>
      <w:r>
        <w:rPr>
          <w:lang w:val="en_US" w:bidi="en_US"/>
        </w:rPr>
        <w:t>The servant came back and reported this to his master, the owner of the house, who became very angry. He ordered the servant…</w:t>
      </w:r>
    </w:p>
    <w:p>
      <w:pPr/>
      <w:r>
        <w:rPr>
          <w:lang w:val="en_US" w:bidi="en_US"/>
        </w:rPr>
      </w:r>
      <w:r>
        <w:rPr>
          <w:lang w:val="en_US" w:bidi="en_US"/>
        </w:rPr>
        <w:t>You may also use the same term or a very similar term in both places, as many English versions have done. For example:</w:t>
      </w:r>
    </w:p>
    <w:p>
      <w:pPr/>
      <w:r>
        <w:rPr>
          <w:lang w:val="en_US" w:bidi="en_US"/>
        </w:rPr>
      </w:r>
      <w:r>
        <w:rPr>
          <w:lang w:val="en_US" w:bidi="en_US"/>
        </w:rPr>
        <w:t>his master…the master (NCV)</w:t>
      </w:r>
    </w:p>
    <w:p>
      <w:pPr/>
      <w:r>
        <w:rPr>
          <w:lang w:val="en_US" w:bidi="en_US"/>
        </w:rPr>
      </w:r>
      <w:r>
        <w:rPr>
          <w:lang w:val="en_US" w:bidi="en_US"/>
        </w:rPr>
        <w:t>his master…the master of the house (GW)</w:t>
      </w:r>
    </w:p>
    <w:p>
      <w:pPr>
        <w:pStyle w:val="Heading5"/>
      </w:pPr>
      <w:r>
        <w:rPr>
          <w:lang w:val="en_US" w:bidi="en_US"/>
        </w:rPr>
        <w:t>14:21a</w:t>
      </w:r>
    </w:p>
    <w:p>
      <w:pPr/>
      <w:r>
        <w:rPr>
          <w:lang w:val="en_US" w:bidi="en_US"/>
        </w:rPr>
      </w:r>
      <w:r>
        <w:rPr>
          <w:b/>
          <w:lang w:val="en_US" w:bidi="en_US"/>
        </w:rPr>
        <w:t>The servant returned and reported all this to his master.</w:t>
      </w:r>
    </w:p>
    <w:p>
      <w:pPr>
        <w:pStyle w:val="ListBullet"/>
        <w:spacing w:line="240" w:lineRule="auto"/>
        <w:ind w:left="720"/>
      </w:pPr>
      <w:r>
        <w:rPr>
          <w:lang w:val="en_US" w:bidi="en_US"/>
        </w:rPr>
      </w:r>
      <w:r>
        <w:rPr>
          <w:lang w:val="en_US" w:bidi="en_US"/>
        </w:rPr>
        <w:t>¶ “</w:t>
      </w:r>
      <w:r>
        <w:rPr>
          <w:lang w:val="en_US" w:bidi="en_US"/>
        </w:rPr>
        <w:t>So</w:t>
      </w:r>
      <w:r>
        <w:rPr>
          <w:lang w:val="en_US" w:bidi="en_US"/>
        </w:rPr>
        <w:t xml:space="preserve"> the servant returned to his master and told him </w:t>
      </w:r>
      <w:r>
        <w:rPr>
          <w:lang w:val="en_US" w:bidi="en_US"/>
        </w:rPr>
        <w:t>what the invited people had said</w:t>
      </w:r>
      <w:r>
        <w:rPr>
          <w:lang w:val="en_US" w:bidi="en_US"/>
        </w:rPr>
        <w:t>.</w:t>
      </w:r>
    </w:p>
    <w:p>
      <w:pPr>
        <w:pStyle w:val="ListBullet"/>
        <w:spacing w:line="240" w:lineRule="auto"/>
        <w:ind w:left="720"/>
      </w:pPr>
      <w:r>
        <w:rPr>
          <w:lang w:val="en_US" w:bidi="en_US"/>
        </w:rPr>
      </w:r>
      <w:r>
        <w:rPr>
          <w:lang w:val="en_US" w:bidi="en_US"/>
        </w:rPr>
        <w:t xml:space="preserve">¶ “When the servant went back, he reported to his master </w:t>
      </w:r>
      <w:r>
        <w:rPr>
          <w:lang w:val="en_US" w:bidi="en_US"/>
        </w:rPr>
        <w:t>what had happened</w:t>
      </w:r>
      <w:r>
        <w:rPr>
          <w:lang w:val="en_US" w:bidi="en_US"/>
        </w:rPr>
        <w:t>.</w:t>
      </w:r>
    </w:p>
    <w:p>
      <w:pPr/>
      <w:r>
        <w:rPr>
          <w:lang w:val="en_US" w:bidi="en_US"/>
        </w:rPr>
      </w:r>
      <w:r>
        <w:rPr>
          <w:lang w:val="en_US" w:bidi="en_US"/>
        </w:rPr>
        <w:t>This verse introduces what the servant did after the invited guests told him their excuses. In Greek, it begins with a conjunction. Several English versions translate it as “So.” Some versions translate it as “And,” Others, such as the BSB, NIV, GNT, and NJB, do not explicitly translate this conjunction. It can also be translated as a time clause. For example:</w:t>
      </w:r>
    </w:p>
    <w:p>
      <w:pPr/>
      <w:r>
        <w:rPr>
          <w:lang w:val="en_US" w:bidi="en_US"/>
        </w:rPr>
      </w:r>
      <w:r>
        <w:rPr>
          <w:lang w:val="en_US" w:bidi="en_US"/>
        </w:rPr>
        <w:t>When the servant came back he reported this… (REB)</w:t>
      </w:r>
    </w:p>
    <w:p>
      <w:pPr/>
      <w:r>
        <w:rPr>
          <w:lang w:val="en_US" w:bidi="en_US"/>
        </w:rPr>
      </w:r>
      <w:r>
        <w:rPr>
          <w:lang w:val="en_US" w:bidi="en_US"/>
        </w:rPr>
        <w:t>Use a natural way in your language for connecting these events.</w:t>
      </w:r>
    </w:p>
    <w:p>
      <w:pPr/>
      <w:r>
        <w:rPr>
          <w:lang w:val="en_US" w:bidi="en_US"/>
        </w:rPr>
      </w:r>
      <w:r>
        <w:rPr>
          <w:b/>
          <w:lang w:val="en_US" w:bidi="en_US"/>
        </w:rPr>
        <w:t>The servant returned and reported all this to his master:</w:t>
      </w:r>
      <w:r>
        <w:rPr>
          <w:lang w:val="en_US" w:bidi="en_US"/>
        </w:rPr>
        <w:t xml:space="preserve"> In some languages it may be more natural to connect the phrase </w:t>
      </w:r>
      <w:r>
        <w:rPr>
          <w:i/>
          <w:lang w:val="en_US" w:bidi="en_US"/>
        </w:rPr>
        <w:t>to his master</w:t>
      </w:r>
      <w:r>
        <w:rPr>
          <w:lang w:val="en_US" w:bidi="en_US"/>
        </w:rPr>
        <w:t xml:space="preserve"> directly to the first verb, </w:t>
      </w:r>
      <w:r>
        <w:rPr>
          <w:i/>
          <w:lang w:val="en_US" w:bidi="en_US"/>
        </w:rPr>
        <w:t>returned</w:t>
      </w:r>
      <w:r>
        <w:rPr>
          <w:lang w:val="en_US" w:bidi="en_US"/>
        </w:rPr>
        <w:t>. For example:</w:t>
      </w:r>
    </w:p>
    <w:p>
      <w:pPr/>
      <w:r>
        <w:rPr>
          <w:lang w:val="en_US" w:bidi="en_US"/>
        </w:rPr>
      </w:r>
      <w:r>
        <w:rPr>
          <w:lang w:val="en_US" w:bidi="en_US"/>
        </w:rPr>
        <w:t>The servant came back to his master and reported this to him.</w:t>
      </w:r>
    </w:p>
    <w:p>
      <w:pPr/>
      <w:r>
        <w:rPr>
          <w:lang w:val="en_US" w:bidi="en_US"/>
        </w:rPr>
      </w:r>
      <w:r>
        <w:rPr>
          <w:b/>
          <w:lang w:val="en_US" w:bidi="en_US"/>
        </w:rPr>
        <w:t>servant:</w:t>
      </w:r>
      <w:r>
        <w:rPr>
          <w:lang w:val="en_US" w:bidi="en_US"/>
        </w:rPr>
        <w:t xml:space="preserve"> The word </w:t>
      </w:r>
      <w:r>
        <w:rPr>
          <w:i/>
          <w:lang w:val="en_US" w:bidi="en_US"/>
        </w:rPr>
        <w:t>servant</w:t>
      </w:r>
      <w:r>
        <w:rPr>
          <w:lang w:val="en_US" w:bidi="en_US"/>
        </w:rPr>
        <w:t xml:space="preserve"> also occurs in 14:17b.</w:t>
      </w:r>
    </w:p>
    <w:p>
      <w:pPr/>
      <w:r>
        <w:rPr>
          <w:lang w:val="en_US" w:bidi="en_US"/>
        </w:rPr>
      </w:r>
      <w:r>
        <w:rPr>
          <w:b/>
          <w:lang w:val="en_US" w:bidi="en_US"/>
        </w:rPr>
        <w:t>returned:</w:t>
      </w:r>
      <w:r>
        <w:rPr>
          <w:lang w:val="en_US" w:bidi="en_US"/>
        </w:rPr>
        <w:t xml:space="preserve"> Use the most natural way in your language to translate the servant’s return to his master. Other ways to translate it in English are:</w:t>
      </w:r>
    </w:p>
    <w:p>
      <w:pPr/>
      <w:r>
        <w:rPr>
          <w:lang w:val="en_US" w:bidi="en_US"/>
        </w:rPr>
      </w:r>
      <w:r>
        <w:rPr>
          <w:lang w:val="en_US" w:bidi="en_US"/>
        </w:rPr>
        <w:t>went back (GNT)</w:t>
      </w:r>
    </w:p>
    <w:p>
      <w:pPr/>
      <w:r>
        <w:rPr>
          <w:lang w:val="en_US" w:bidi="en_US"/>
        </w:rPr>
      </w:r>
      <w:r>
        <w:rPr>
          <w:lang w:val="en_US" w:bidi="en_US"/>
        </w:rPr>
        <w:t>came back (NIV)</w:t>
      </w:r>
    </w:p>
    <w:p>
      <w:pPr/>
      <w:r>
        <w:rPr>
          <w:lang w:val="en_US" w:bidi="en_US"/>
        </w:rPr>
      </w:r>
      <w:r>
        <w:rPr>
          <w:b/>
          <w:lang w:val="en_US" w:bidi="en_US"/>
        </w:rPr>
        <w:t>reported all this to his master:</w:t>
      </w:r>
      <w:r>
        <w:rPr>
          <w:lang w:val="en_US" w:bidi="en_US"/>
        </w:rPr>
        <w:t xml:space="preserve"> The words </w:t>
      </w:r>
      <w:r>
        <w:rPr>
          <w:i/>
          <w:lang w:val="en_US" w:bidi="en_US"/>
        </w:rPr>
        <w:t>all this</w:t>
      </w:r>
      <w:r>
        <w:rPr>
          <w:lang w:val="en_US" w:bidi="en_US"/>
        </w:rPr>
        <w:t xml:space="preserve"> refer here to what the guests told the servant. Other ways to translate this phrase are:</w:t>
      </w:r>
    </w:p>
    <w:p>
      <w:pPr/>
      <w:r>
        <w:rPr>
          <w:lang w:val="en_US" w:bidi="en_US"/>
        </w:rPr>
      </w:r>
      <w:r>
        <w:rPr>
          <w:lang w:val="en_US" w:bidi="en_US"/>
        </w:rPr>
        <w:t>told his master what they had said (NLT)</w:t>
      </w:r>
    </w:p>
    <w:p>
      <w:pPr/>
      <w:r>
        <w:rPr>
          <w:lang w:val="en_US" w:bidi="en_US"/>
        </w:rPr>
      </w:r>
      <w:r>
        <w:rPr>
          <w:lang w:val="en_US" w:bidi="en_US"/>
        </w:rPr>
        <w:t>told his master what had happened (NCV)</w:t>
      </w:r>
    </w:p>
    <w:p>
      <w:pPr/>
      <w:r>
        <w:rPr>
          <w:lang w:val="en_US" w:bidi="en_US"/>
        </w:rPr>
      </w:r>
      <w:r>
        <w:rPr>
          <w:b/>
          <w:lang w:val="en_US" w:bidi="en_US"/>
        </w:rPr>
        <w:t>his master:</w:t>
      </w:r>
      <w:r>
        <w:rPr>
          <w:lang w:val="en_US" w:bidi="en_US"/>
        </w:rPr>
        <w:t xml:space="preserve"> The Greek word that the BSB translates as </w:t>
      </w:r>
      <w:r>
        <w:rPr>
          <w:i/>
          <w:lang w:val="en_US" w:bidi="en_US"/>
        </w:rPr>
        <w:t>master</w:t>
      </w:r>
      <w:r>
        <w:rPr>
          <w:lang w:val="en_US" w:bidi="en_US"/>
        </w:rPr>
        <w:t xml:space="preserve"> refers here to the person who had authority over the slave. See lord, Context 1e, in the Glossary. The word last occurred in this context in 12:47.</w:t>
      </w:r>
    </w:p>
    <w:p>
      <w:pPr>
        <w:pStyle w:val="Heading5"/>
      </w:pPr>
      <w:r>
        <w:rPr>
          <w:lang w:val="en_US" w:bidi="en_US"/>
        </w:rPr>
        <w:t>14:21b</w:t>
      </w:r>
    </w:p>
    <w:p>
      <w:pPr/>
      <w:r>
        <w:rPr>
          <w:lang w:val="en_US" w:bidi="en_US"/>
        </w:rPr>
      </w:r>
      <w:r>
        <w:rPr>
          <w:b/>
          <w:lang w:val="en_US" w:bidi="en_US"/>
        </w:rPr>
        <w:t>Then the owner of the house became angry and said to his servant,</w:t>
      </w:r>
    </w:p>
    <w:p>
      <w:pPr>
        <w:pStyle w:val="ListBullet"/>
        <w:spacing w:line="240" w:lineRule="auto"/>
        <w:ind w:left="720"/>
      </w:pPr>
      <w:r>
        <w:rPr>
          <w:lang w:val="en_US" w:bidi="en_US"/>
        </w:rPr>
      </w:r>
      <w:r>
        <w:rPr>
          <w:lang w:val="en_US" w:bidi="en_US"/>
        </w:rPr>
        <w:t xml:space="preserve">Then the master became very angry </w:t>
      </w:r>
      <w:r>
        <w:rPr>
          <w:lang w:val="en_US" w:bidi="en_US"/>
        </w:rPr>
        <w:t>with those invited people</w:t>
      </w:r>
      <w:r>
        <w:rPr>
          <w:lang w:val="en_US" w:bidi="en_US"/>
        </w:rPr>
        <w:t xml:space="preserve"> and commanded his servant:</w:t>
      </w:r>
    </w:p>
    <w:p>
      <w:pPr>
        <w:pStyle w:val="ListBullet"/>
        <w:spacing w:line="240" w:lineRule="auto"/>
        <w:ind w:left="720"/>
      </w:pPr>
      <w:r>
        <w:rPr>
          <w:lang w:val="en_US" w:bidi="en_US"/>
        </w:rPr>
      </w:r>
      <w:r>
        <w:rPr>
          <w:lang w:val="en_US" w:bidi="en_US"/>
        </w:rPr>
        <w:t>The master was furious when he heard this. He told his servant</w:t>
      </w:r>
    </w:p>
    <w:p>
      <w:pPr/>
      <w:r>
        <w:rPr>
          <w:lang w:val="en_US" w:bidi="en_US"/>
        </w:rPr>
      </w:r>
      <w:r>
        <w:rPr>
          <w:b/>
          <w:lang w:val="en_US" w:bidi="en_US"/>
        </w:rPr>
        <w:t>Then the owner of the house:</w:t>
      </w:r>
      <w:r>
        <w:rPr>
          <w:lang w:val="en_US" w:bidi="en_US"/>
        </w:rPr>
        <w:t xml:space="preserve"> The Greek word that the BSB translates as </w:t>
      </w:r>
      <w:r>
        <w:rPr>
          <w:i/>
          <w:lang w:val="en_US" w:bidi="en_US"/>
        </w:rPr>
        <w:t>owner of the house</w:t>
      </w:r>
      <w:r>
        <w:rPr>
          <w:lang w:val="en_US" w:bidi="en_US"/>
        </w:rPr>
        <w:t xml:space="preserve"> is literally “house-master.” See the note above on 14:21a–b for translation suggestions.</w:t>
      </w:r>
    </w:p>
    <w:p>
      <w:pPr/>
      <w:r>
        <w:rPr>
          <w:lang w:val="en_US" w:bidi="en_US"/>
        </w:rPr>
      </w:r>
      <w:r>
        <w:rPr>
          <w:b/>
          <w:lang w:val="en_US" w:bidi="en_US"/>
        </w:rPr>
        <w:t>became angry:</w:t>
      </w:r>
      <w:r>
        <w:rPr>
          <w:lang w:val="en_US" w:bidi="en_US"/>
        </w:rPr>
        <w:t xml:space="preserve"> The owner of the house was angry at the guests he had invited, because they had refused his invitation. He was not angry at the servant. In some languages it may be necessary to make some of this explicit:</w:t>
      </w:r>
    </w:p>
    <w:p>
      <w:pPr/>
      <w:r>
        <w:rPr>
          <w:lang w:val="en_US" w:bidi="en_US"/>
        </w:rPr>
      </w:r>
      <w:r>
        <w:rPr>
          <w:lang w:val="en_US" w:bidi="en_US"/>
        </w:rPr>
        <w:t xml:space="preserve">the owner of the house became angry </w:t>
      </w:r>
      <w:r>
        <w:rPr>
          <w:lang w:val="en_US" w:bidi="en_US"/>
        </w:rPr>
        <w:t>with them</w:t>
      </w:r>
    </w:p>
    <w:p>
      <w:pPr/>
      <w:r>
        <w:rPr>
          <w:lang w:val="en_US" w:bidi="en_US"/>
        </w:rPr>
      </w:r>
      <w:r>
        <w:rPr>
          <w:lang w:val="en_US" w:bidi="en_US"/>
        </w:rPr>
        <w:t xml:space="preserve">the owner of the house was furious </w:t>
      </w:r>
      <w:r>
        <w:rPr>
          <w:lang w:val="en_US" w:bidi="en_US"/>
        </w:rPr>
        <w:t>because of these answers/excuses</w:t>
      </w:r>
    </w:p>
    <w:p>
      <w:pPr/>
      <w:r>
        <w:rPr>
          <w:lang w:val="en_US" w:bidi="en_US"/>
        </w:rPr>
      </w:r>
      <w:r>
        <w:rPr>
          <w:b/>
          <w:lang w:val="en_US" w:bidi="en_US"/>
        </w:rPr>
        <w:t>and said to his servant:</w:t>
      </w:r>
      <w:r>
        <w:rPr>
          <w:lang w:val="en_US" w:bidi="en_US"/>
        </w:rPr>
        <w:t xml:space="preserve"> The verb that the BSB translates literally as </w:t>
      </w:r>
      <w:r>
        <w:rPr>
          <w:i/>
          <w:lang w:val="en_US" w:bidi="en_US"/>
        </w:rPr>
        <w:t>said</w:t>
      </w:r>
      <w:r>
        <w:rPr>
          <w:lang w:val="en_US" w:bidi="en_US"/>
        </w:rPr>
        <w:t xml:space="preserve"> introduces a command. Use a word that is natural in your language. For example:</w:t>
      </w:r>
    </w:p>
    <w:p>
      <w:pPr/>
      <w:r>
        <w:rPr>
          <w:lang w:val="en_US" w:bidi="en_US"/>
        </w:rPr>
      </w:r>
      <w:r>
        <w:rPr>
          <w:lang w:val="en_US" w:bidi="en_US"/>
        </w:rPr>
        <w:t>and ordered his servant (NIV)</w:t>
      </w:r>
    </w:p>
    <w:p>
      <w:pPr>
        <w:pStyle w:val="Heading5"/>
      </w:pPr>
      <w:r>
        <w:rPr>
          <w:lang w:val="en_US" w:bidi="en_US"/>
        </w:rPr>
        <w:t>14:21c</w:t>
      </w:r>
    </w:p>
    <w:p>
      <w:pPr/>
      <w:r>
        <w:rPr>
          <w:lang w:val="en_US" w:bidi="en_US"/>
        </w:rPr>
      </w:r>
      <w:r>
        <w:rPr>
          <w:b/>
          <w:lang w:val="en_US" w:bidi="en_US"/>
        </w:rPr>
        <w:t>‘Go out quickly into the streets and alleys of the city,</w:t>
      </w:r>
    </w:p>
    <w:p>
      <w:pPr>
        <w:pStyle w:val="ListBullet"/>
        <w:spacing w:line="240" w:lineRule="auto"/>
        <w:ind w:left="720"/>
      </w:pPr>
      <w:r>
        <w:rPr>
          <w:lang w:val="en_US" w:bidi="en_US"/>
        </w:rPr>
      </w:r>
      <w:r>
        <w:rPr>
          <w:lang w:val="en_US" w:bidi="en_US"/>
        </w:rPr>
        <w:t>‘Go</w:t>
      </w:r>
      <w:r>
        <w:rPr>
          <w:vertAlign w:val="superscript"/>
          <w:lang w:val="en_US" w:bidi="en_US"/>
        </w:rPr>
        <w:t>(sing)</w:t>
      </w:r>
      <w:r>
        <w:rPr>
          <w:lang w:val="en_US" w:bidi="en_US"/>
        </w:rPr>
        <w:t xml:space="preserve"> quickly into the streets and paths/alleys of </w:t>
      </w:r>
      <w:r>
        <w:rPr>
          <w:lang w:val="en_US" w:bidi="en_US"/>
        </w:rPr>
        <w:t>this/our</w:t>
      </w:r>
      <w:r>
        <w:rPr>
          <w:vertAlign w:val="superscript"/>
          <w:lang w:val="en_US" w:bidi="en_US"/>
        </w:rPr>
        <w:t>(incl)</w:t>
      </w:r>
      <w:r>
        <w:rPr>
          <w:lang w:val="en_US" w:bidi="en_US"/>
        </w:rPr>
        <w:t xml:space="preserve"> town.</w:t>
      </w:r>
    </w:p>
    <w:p>
      <w:pPr>
        <w:pStyle w:val="ListBullet"/>
        <w:spacing w:line="240" w:lineRule="auto"/>
        <w:ind w:left="720"/>
      </w:pPr>
      <w:r>
        <w:rPr>
          <w:lang w:val="en_US" w:bidi="en_US"/>
        </w:rPr>
      </w:r>
      <w:r>
        <w:rPr>
          <w:lang w:val="en_US" w:bidi="en_US"/>
        </w:rPr>
        <w:t xml:space="preserve">to hurry out to all the streets of </w:t>
      </w:r>
      <w:r>
        <w:rPr>
          <w:lang w:val="en_US" w:bidi="en_US"/>
        </w:rPr>
        <w:t>their</w:t>
      </w:r>
      <w:r>
        <w:rPr>
          <w:lang w:val="en_US" w:bidi="en_US"/>
        </w:rPr>
        <w:t xml:space="preserve"> town, the big/wide ones and the small/narrow ones,</w:t>
      </w:r>
    </w:p>
    <w:p>
      <w:pPr/>
      <w:r>
        <w:rPr>
          <w:lang w:val="en_US" w:bidi="en_US"/>
        </w:rPr>
      </w:r>
      <w:r>
        <w:rPr>
          <w:b/>
          <w:lang w:val="en_US" w:bidi="en_US"/>
        </w:rPr>
        <w:t>Go out quickly:</w:t>
      </w:r>
      <w:r>
        <w:rPr>
          <w:lang w:val="en_US" w:bidi="en_US"/>
        </w:rPr>
        <w:t xml:space="preserve"> When the master replied to his servant, he did not mention what the servant had said. He immediately gave a command that told the servant what to do about it. In some languages it may be more natural to include a connection to the servant’s report. For example:</w:t>
      </w:r>
    </w:p>
    <w:p>
      <w:pPr/>
      <w:r>
        <w:rPr>
          <w:lang w:val="en_US" w:bidi="en_US"/>
        </w:rPr>
      </w:r>
      <w:r>
        <w:rPr>
          <w:lang w:val="en_US" w:bidi="en_US"/>
        </w:rPr>
        <w:t>All right then, hurry</w:t>
      </w:r>
    </w:p>
    <w:p>
      <w:pPr/>
      <w:r>
        <w:rPr>
          <w:lang w:val="en_US" w:bidi="en_US"/>
        </w:rPr>
      </w:r>
      <w:r>
        <w:rPr>
          <w:lang w:val="en_US" w:bidi="en_US"/>
        </w:rPr>
        <w:t>In some languages it may be more natural to express the master’s words as an indirect quote. See the second example for 14:21c in the Display.</w:t>
      </w:r>
    </w:p>
    <w:p>
      <w:pPr/>
      <w:r>
        <w:rPr>
          <w:lang w:val="en_US" w:bidi="en_US"/>
        </w:rPr>
      </w:r>
      <w:r>
        <w:rPr>
          <w:b/>
          <w:lang w:val="en_US" w:bidi="en_US"/>
        </w:rPr>
        <w:t>the streets and alleys of the city:</w:t>
      </w:r>
      <w:r>
        <w:rPr>
          <w:lang w:val="en_US" w:bidi="en_US"/>
        </w:rPr>
        <w:t xml:space="preserve"> The word that the BSB translates as </w:t>
      </w:r>
      <w:r>
        <w:rPr>
          <w:i/>
          <w:lang w:val="en_US" w:bidi="en_US"/>
        </w:rPr>
        <w:t>streets</w:t>
      </w:r>
      <w:r>
        <w:rPr>
          <w:lang w:val="en_US" w:bidi="en_US"/>
        </w:rPr>
        <w:t xml:space="preserve"> refers to the main streets of a town. The word that the BSB translates as </w:t>
      </w:r>
      <w:r>
        <w:rPr>
          <w:i/>
          <w:lang w:val="en_US" w:bidi="en_US"/>
        </w:rPr>
        <w:t>alleys</w:t>
      </w:r>
      <w:r>
        <w:rPr>
          <w:lang w:val="en_US" w:bidi="en_US"/>
        </w:rPr>
        <w:t xml:space="preserve"> refers to smaller, narrow streets. Together these terms refer to public areas in the town where beggars were likely to be found. In your translation you may use expressions that refer to such areas. For example:</w:t>
      </w:r>
    </w:p>
    <w:p>
      <w:pPr/>
      <w:r>
        <w:rPr>
          <w:lang w:val="en_US" w:bidi="en_US"/>
        </w:rPr>
      </w:r>
      <w:r>
        <w:rPr>
          <w:lang w:val="en_US" w:bidi="en_US"/>
        </w:rPr>
        <w:t>streets and markets of the town</w:t>
      </w:r>
    </w:p>
    <w:p>
      <w:pPr/>
      <w:r>
        <w:rPr>
          <w:lang w:val="en_US" w:bidi="en_US"/>
        </w:rPr>
      </w:r>
      <w:r>
        <w:rPr>
          <w:lang w:val="en_US" w:bidi="en_US"/>
        </w:rPr>
        <w:t>the roads and trails/paths in this town</w:t>
      </w:r>
    </w:p>
    <w:p>
      <w:pPr/>
      <w:r>
        <w:rPr>
          <w:lang w:val="en_US" w:bidi="en_US"/>
        </w:rPr>
      </w:r>
      <w:r>
        <w:rPr>
          <w:lang w:val="en_US" w:bidi="en_US"/>
        </w:rPr>
        <w:t>main streets and side/narrow streets</w:t>
      </w:r>
    </w:p>
    <w:p>
      <w:pPr>
        <w:pStyle w:val="Heading5"/>
      </w:pPr>
      <w:r>
        <w:rPr>
          <w:lang w:val="en_US" w:bidi="en_US"/>
        </w:rPr>
        <w:t>14:21d</w:t>
      </w:r>
    </w:p>
    <w:p>
      <w:pPr/>
      <w:r>
        <w:rPr>
          <w:lang w:val="en_US" w:bidi="en_US"/>
        </w:rPr>
      </w:r>
      <w:r>
        <w:rPr>
          <w:b/>
          <w:lang w:val="en_US" w:bidi="en_US"/>
        </w:rPr>
        <w:t>and bring in the poor, the crippled, the blind, and the lame.’</w:t>
      </w:r>
    </w:p>
    <w:p>
      <w:pPr>
        <w:pStyle w:val="ListBullet"/>
        <w:spacing w:line="240" w:lineRule="auto"/>
        <w:ind w:left="720"/>
      </w:pPr>
      <w:r>
        <w:rPr>
          <w:lang w:val="en_US" w:bidi="en_US"/>
        </w:rPr>
      </w:r>
      <w:r>
        <w:rPr>
          <w:lang w:val="en_US" w:bidi="en_US"/>
        </w:rPr>
        <w:t>Invite</w:t>
      </w:r>
      <w:r>
        <w:rPr>
          <w:vertAlign w:val="superscript"/>
          <w:lang w:val="en_US" w:bidi="en_US"/>
        </w:rPr>
        <w:t>(sing)</w:t>
      </w:r>
      <w:r>
        <w:rPr>
          <w:lang w:val="en_US" w:bidi="en_US"/>
        </w:rPr>
        <w:t xml:space="preserve"> those who are poor, disabled/handicapped/maimed, blind, and lame </w:t>
      </w:r>
      <w:r>
        <w:rPr>
          <w:lang w:val="en_US" w:bidi="en_US"/>
        </w:rPr>
        <w:t>to come to the feast</w:t>
      </w:r>
      <w:r>
        <w:rPr>
          <w:lang w:val="en_US" w:bidi="en_US"/>
        </w:rPr>
        <w:t>.’</w:t>
      </w:r>
    </w:p>
    <w:p>
      <w:pPr>
        <w:pStyle w:val="ListBullet"/>
        <w:spacing w:line="240" w:lineRule="auto"/>
        <w:ind w:left="720"/>
      </w:pPr>
      <w:r>
        <w:rPr>
          <w:lang w:val="en_US" w:bidi="en_US"/>
        </w:rPr>
      </w:r>
      <w:r>
        <w:rPr>
          <w:lang w:val="en_US" w:bidi="en_US"/>
        </w:rPr>
        <w:t xml:space="preserve">and bring any poor people </w:t>
      </w:r>
      <w:r>
        <w:rPr>
          <w:lang w:val="en_US" w:bidi="en_US"/>
        </w:rPr>
        <w:t>who were there</w:t>
      </w:r>
      <w:r>
        <w:rPr>
          <w:lang w:val="en_US" w:bidi="en_US"/>
        </w:rPr>
        <w:t xml:space="preserve"> </w:t>
      </w:r>
      <w:r>
        <w:rPr>
          <w:lang w:val="en_US" w:bidi="en_US"/>
        </w:rPr>
        <w:t>to the feast</w:t>
      </w:r>
      <w:r>
        <w:rPr>
          <w:lang w:val="en_US" w:bidi="en_US"/>
        </w:rPr>
        <w:t>, along with people who were crippled, people who could not see, and people who could not walk properly.</w:t>
      </w:r>
    </w:p>
    <w:p>
      <w:pPr/>
      <w:r>
        <w:rPr>
          <w:lang w:val="en_US" w:bidi="en_US"/>
        </w:rPr>
      </w:r>
      <w:r>
        <w:rPr>
          <w:b/>
          <w:lang w:val="en_US" w:bidi="en_US"/>
        </w:rPr>
        <w:t>bring in:</w:t>
      </w:r>
      <w:r>
        <w:rPr>
          <w:lang w:val="en_US" w:bidi="en_US"/>
        </w:rPr>
        <w:t xml:space="preserve"> The verb </w:t>
      </w:r>
      <w:r>
        <w:rPr>
          <w:i/>
          <w:lang w:val="en_US" w:bidi="en_US"/>
        </w:rPr>
        <w:t>bring in</w:t>
      </w:r>
      <w:r>
        <w:rPr>
          <w:lang w:val="en_US" w:bidi="en_US"/>
        </w:rPr>
        <w:t xml:space="preserve"> in this context means “invite to come right away.” The master wanted his servant to tell these other people to accompany him back to the feast at once.</w:t>
      </w:r>
    </w:p>
    <w:p>
      <w:pPr/>
      <w:r>
        <w:rPr>
          <w:lang w:val="en_US" w:bidi="en_US"/>
        </w:rPr>
      </w:r>
      <w:r>
        <w:rPr>
          <w:b/>
          <w:lang w:val="en_US" w:bidi="en_US"/>
        </w:rPr>
        <w:t>the poor, the crippled, the blind, and the lame:</w:t>
      </w:r>
      <w:r>
        <w:rPr>
          <w:lang w:val="en_US" w:bidi="en_US"/>
        </w:rPr>
        <w:t xml:space="preserve"> These are the same four types of people as in 14:13. See the notes at 14:13b and 14:13c.</w:t>
      </w:r>
      <w:r>
        <w:rPr>
          <w:lang w:val="en_US" w:bidi="en_US"/>
        </w:rPr>
      </w:r>
      <w:r>
        <w:rPr>
          <w:lang w:val="en_US" w:bidi="en_US"/>
        </w:rPr>
      </w:r>
    </w:p>
    <w:p>
      <w:pPr/>
      <w:r>
        <w:rPr>
          <w:lang w:val="en_US" w:bidi="en_US"/>
        </w:rPr>
      </w:r>
    </w:p>
    <w:p>
      <w:pPr>
        <w:pStyle w:val="Heading2"/>
      </w:pPr>
      <w:r>
        <w:rPr>
          <w:lang w:val="en_US" w:bidi="en_US"/>
        </w:rPr>
        <w:t>Luke 14:22</w:t>
      </w:r>
      <w:r>
        <w:rPr>
          <w:lang w:val="en_US" w:bidi="en_US"/>
        </w:rPr>
      </w:r>
    </w:p>
    <w:p>
      <w:pPr>
        <w:pStyle w:val="Heading4"/>
      </w:pPr>
      <w:r>
        <w:rPr>
          <w:lang w:val="en_US" w:bidi="en_US"/>
        </w:rPr>
        <w:t>Section 14:15–24: Jesus told a parable about a great feast</w:t>
      </w:r>
    </w:p>
    <w:p>
      <w:pPr/>
      <w:r>
        <w:rPr>
          <w:lang w:val="en_US" w:bidi="en_US"/>
        </w:rPr>
      </w:r>
      <w:r>
        <w:rPr>
          <w:lang w:val="en_US" w:bidi="en_US"/>
        </w:rPr>
        <w:t>Jesus next told a parable about a feast that a man invited many people to attend. When they refused to come, he invited other people instead. This parable teaches that it is very important to accept God’s invitation to be a part of his kingdom. The people who refused the invitation represent people who are not interested in being part of God’s kingdom. Those who accepted the invitation represent people who are glad to be part of God’s kingdom.</w:t>
      </w:r>
    </w:p>
    <w:p>
      <w:pPr/>
      <w:r>
        <w:rPr>
          <w:lang w:val="en_US" w:bidi="en_US"/>
        </w:rPr>
      </w:r>
      <w:r>
        <w:rPr>
          <w:lang w:val="en_US" w:bidi="en_US"/>
        </w:rPr>
        <w:t>Luke 14:16–24 is all one speech by Jesus. Check to be sure that this is clear in your translation.</w:t>
      </w:r>
    </w:p>
    <w:p>
      <w:pPr/>
      <w:r>
        <w:rPr>
          <w:lang w:val="en_US" w:bidi="en_US"/>
        </w:rPr>
      </w:r>
      <w:r>
        <w:rPr>
          <w:lang w:val="en_US" w:bidi="en_US"/>
        </w:rPr>
        <w:t>Some other possible headings for this section are:</w:t>
      </w:r>
    </w:p>
    <w:p>
      <w:pPr/>
      <w:r>
        <w:rPr>
          <w:lang w:val="en_US" w:bidi="en_US"/>
        </w:rPr>
      </w:r>
      <w:r>
        <w:rPr>
          <w:lang w:val="en_US" w:bidi="en_US"/>
        </w:rPr>
        <w:t>The parable of the excuses</w:t>
      </w:r>
    </w:p>
    <w:p>
      <w:pPr/>
      <w:r>
        <w:rPr>
          <w:lang w:val="en_US" w:bidi="en_US"/>
        </w:rPr>
      </w:r>
      <w:r>
        <w:rPr>
          <w:lang w:val="en_US" w:bidi="en_US"/>
        </w:rPr>
        <w:t>The guests who refused the invitation to attend a banquet</w:t>
      </w:r>
    </w:p>
    <w:p>
      <w:pPr/>
      <w:r>
        <w:rPr>
          <w:lang w:val="en_US" w:bidi="en_US"/>
        </w:rPr>
      </w:r>
      <w:r>
        <w:rPr>
          <w:lang w:val="en_US" w:bidi="en_US"/>
        </w:rPr>
        <w:t>There is a similar parable in Matthew 22:1–10. However, many details are different, so be careful not to translate both parables in the same way.</w:t>
      </w:r>
    </w:p>
    <w:p>
      <w:pPr>
        <w:pStyle w:val="Heading5"/>
      </w:pPr>
      <w:r>
        <w:rPr>
          <w:lang w:val="en_US" w:bidi="en_US"/>
        </w:rPr>
        <w:t>14:22a</w:t>
      </w:r>
    </w:p>
    <w:p>
      <w:pPr/>
      <w:r>
        <w:rPr>
          <w:lang w:val="en_US" w:bidi="en_US"/>
        </w:rPr>
      </w:r>
      <w:r>
        <w:rPr>
          <w:b/>
          <w:lang w:val="en_US" w:bidi="en_US"/>
        </w:rPr>
        <w:t>‘Sir,’ the servant replied, ‘what you ordered has been done,</w:t>
      </w:r>
    </w:p>
    <w:p>
      <w:pPr>
        <w:pStyle w:val="ListBullet"/>
        <w:spacing w:line="240" w:lineRule="auto"/>
        <w:ind w:left="720"/>
      </w:pPr>
      <w:r>
        <w:rPr>
          <w:lang w:val="en_US" w:bidi="en_US"/>
        </w:rPr>
      </w:r>
      <w:r>
        <w:rPr>
          <w:lang w:val="en_US" w:bidi="en_US"/>
        </w:rPr>
        <w:t>The servant went and did this and then returned.</w:t>
      </w:r>
      <w:r>
        <w:rPr>
          <w:lang w:val="en_US" w:bidi="en_US"/>
        </w:rPr>
        <w:t xml:space="preserve"> He then said, ‘Sir, </w:t>
      </w:r>
      <w:r>
        <w:rPr>
          <w:lang w:val="en_US" w:bidi="en_US"/>
        </w:rPr>
        <w:t>I</w:t>
      </w:r>
      <w:r>
        <w:rPr>
          <w:lang w:val="en_US" w:bidi="en_US"/>
        </w:rPr>
        <w:t xml:space="preserve"> have done what you</w:t>
      </w:r>
      <w:r>
        <w:rPr>
          <w:vertAlign w:val="superscript"/>
          <w:lang w:val="en_US" w:bidi="en_US"/>
        </w:rPr>
        <w:t>(sing)</w:t>
      </w:r>
      <w:r>
        <w:rPr>
          <w:lang w:val="en_US" w:bidi="en_US"/>
        </w:rPr>
        <w:t xml:space="preserve"> told </w:t>
      </w:r>
      <w:r>
        <w:rPr>
          <w:lang w:val="en_US" w:bidi="en_US"/>
        </w:rPr>
        <w:t>me</w:t>
      </w:r>
      <w:r>
        <w:rPr>
          <w:lang w:val="en_US" w:bidi="en_US"/>
        </w:rPr>
        <w:t xml:space="preserve"> </w:t>
      </w:r>
      <w:r>
        <w:rPr>
          <w:lang w:val="en_US" w:bidi="en_US"/>
        </w:rPr>
        <w:t>to do</w:t>
      </w:r>
      <w:r>
        <w:rPr>
          <w:lang w:val="en_US" w:bidi="en_US"/>
        </w:rPr>
        <w:t>.</w:t>
      </w:r>
    </w:p>
    <w:p>
      <w:pPr>
        <w:pStyle w:val="ListBullet"/>
        <w:spacing w:line="240" w:lineRule="auto"/>
        <w:ind w:left="720"/>
      </w:pPr>
      <w:r>
        <w:rPr>
          <w:lang w:val="en_US" w:bidi="en_US"/>
        </w:rPr>
      </w:r>
      <w:r>
        <w:rPr>
          <w:lang w:val="en_US" w:bidi="en_US"/>
        </w:rPr>
        <w:t>The servant did what his master had said/ordered.</w:t>
      </w:r>
      <w:r>
        <w:rPr>
          <w:lang w:val="en_US" w:bidi="en_US"/>
        </w:rPr>
        <w:t xml:space="preserve"> He then reported </w:t>
      </w:r>
      <w:r>
        <w:rPr>
          <w:lang w:val="en_US" w:bidi="en_US"/>
        </w:rPr>
        <w:t>back to his master</w:t>
      </w:r>
      <w:r>
        <w:rPr>
          <w:lang w:val="en_US" w:bidi="en_US"/>
        </w:rPr>
        <w:t xml:space="preserve"> that </w:t>
      </w:r>
      <w:r>
        <w:rPr>
          <w:lang w:val="en_US" w:bidi="en_US"/>
        </w:rPr>
        <w:t>he</w:t>
      </w:r>
      <w:r>
        <w:rPr>
          <w:lang w:val="en_US" w:bidi="en_US"/>
        </w:rPr>
        <w:t xml:space="preserve"> had obeyed his orders,</w:t>
      </w:r>
    </w:p>
    <w:p>
      <w:pPr/>
      <w:r>
        <w:rPr>
          <w:lang w:val="en_US" w:bidi="en_US"/>
        </w:rPr>
      </w:r>
      <w:r>
        <w:rPr>
          <w:lang w:val="en_US" w:bidi="en_US"/>
        </w:rPr>
        <w:t>There is implied information between 14:21d and 14:22a. This information is that the servant did what he was told to do in 14:21 and then returned to his master. Your translation should not imply that the servant had done the action in 14:21 before his master commanded him to do it. In some languages it may be necessary to make the implied information explicit. For example:</w:t>
      </w:r>
    </w:p>
    <w:p>
      <w:pPr/>
      <w:r>
        <w:rPr>
          <w:lang w:val="en_US" w:bidi="en_US"/>
        </w:rPr>
      </w:r>
      <w:r>
        <w:rPr>
          <w:lang w:val="en_US" w:bidi="en_US"/>
        </w:rPr>
        <w:t>When the servant returned, he said (CEV)</w:t>
      </w:r>
    </w:p>
    <w:p>
      <w:pPr/>
      <w:r>
        <w:rPr>
          <w:lang w:val="en_US" w:bidi="en_US"/>
        </w:rPr>
      </w:r>
      <w:r>
        <w:rPr>
          <w:lang w:val="en_US" w:bidi="en_US"/>
        </w:rPr>
        <w:t>After the servant had done this, he reported (NLT)</w:t>
      </w:r>
    </w:p>
    <w:p>
      <w:pPr/>
      <w:r>
        <w:rPr>
          <w:lang w:val="en_US" w:bidi="en_US"/>
        </w:rPr>
      </w:r>
      <w:r>
        <w:rPr>
          <w:b/>
          <w:lang w:val="en_US" w:bidi="en_US"/>
        </w:rPr>
        <w:t>Sir:</w:t>
      </w:r>
      <w:r>
        <w:rPr>
          <w:lang w:val="en_US" w:bidi="en_US"/>
        </w:rPr>
        <w:t xml:space="preserve"> In this context the Greek word that the BSB translates as </w:t>
      </w:r>
      <w:r>
        <w:rPr>
          <w:i/>
          <w:lang w:val="en_US" w:bidi="en_US"/>
        </w:rPr>
        <w:t>Sir</w:t>
      </w:r>
      <w:r>
        <w:rPr>
          <w:lang w:val="en_US" w:bidi="en_US"/>
        </w:rPr>
        <w:t xml:space="preserve"> is a general term of respect that a person uses when he is speaking to anyone in authority. Other ways to translate it include “master” or “lord.” See lord, Context 3, in the Glossary.</w:t>
      </w:r>
    </w:p>
    <w:p>
      <w:pPr/>
      <w:r>
        <w:rPr>
          <w:lang w:val="en_US" w:bidi="en_US"/>
        </w:rPr>
      </w:r>
      <w:r>
        <w:rPr>
          <w:b/>
          <w:lang w:val="en_US" w:bidi="en_US"/>
        </w:rPr>
        <w:t>the servant replied:</w:t>
      </w:r>
      <w:r>
        <w:rPr>
          <w:lang w:val="en_US" w:bidi="en_US"/>
        </w:rPr>
        <w:t xml:space="preserve"> The BSB has placed the clause </w:t>
      </w:r>
      <w:r>
        <w:rPr>
          <w:i/>
          <w:lang w:val="en_US" w:bidi="en_US"/>
        </w:rPr>
        <w:t>the servant replied</w:t>
      </w:r>
      <w:r>
        <w:rPr>
          <w:lang w:val="en_US" w:bidi="en_US"/>
        </w:rPr>
        <w:t xml:space="preserve"> after the word “Sir.” Place it where it is natural in your language.</w:t>
      </w:r>
    </w:p>
    <w:p>
      <w:pPr/>
      <w:r>
        <w:rPr>
          <w:lang w:val="en_US" w:bidi="en_US"/>
        </w:rPr>
      </w:r>
      <w:r>
        <w:rPr>
          <w:b/>
          <w:lang w:val="en_US" w:bidi="en_US"/>
        </w:rPr>
        <w:t>what you ordered has been done:</w:t>
      </w:r>
      <w:r>
        <w:rPr>
          <w:lang w:val="en_US" w:bidi="en_US"/>
        </w:rPr>
        <w:t xml:space="preserve"> These words were a humble and indirect way for the servant to say that he had obeyed his master. In some languages it may not be natural to use a passive verb such as </w:t>
      </w:r>
      <w:r>
        <w:rPr>
          <w:i/>
          <w:lang w:val="en_US" w:bidi="en_US"/>
        </w:rPr>
        <w:t>has been done</w:t>
      </w:r>
      <w:r>
        <w:rPr>
          <w:lang w:val="en_US" w:bidi="en_US"/>
        </w:rPr>
        <w:t>. If that is true in your language, you may use an active verb. For example:</w:t>
      </w:r>
    </w:p>
    <w:p>
      <w:pPr/>
      <w:r>
        <w:rPr>
          <w:lang w:val="en_US" w:bidi="en_US"/>
        </w:rPr>
      </w:r>
      <w:r>
        <w:rPr>
          <w:lang w:val="en_US" w:bidi="en_US"/>
        </w:rPr>
        <w:t>I did what you commanded (NCV)</w:t>
      </w:r>
    </w:p>
    <w:p>
      <w:pPr>
        <w:pStyle w:val="Heading5"/>
      </w:pPr>
      <w:r>
        <w:rPr>
          <w:lang w:val="en_US" w:bidi="en_US"/>
        </w:rPr>
        <w:t>14:22b</w:t>
      </w:r>
    </w:p>
    <w:p>
      <w:pPr/>
      <w:r>
        <w:rPr>
          <w:lang w:val="en_US" w:bidi="en_US"/>
        </w:rPr>
      </w:r>
      <w:r>
        <w:rPr>
          <w:b/>
          <w:lang w:val="en_US" w:bidi="en_US"/>
        </w:rPr>
        <w:t>and there is still room.’</w:t>
      </w:r>
    </w:p>
    <w:p>
      <w:pPr>
        <w:pStyle w:val="ListBullet"/>
        <w:spacing w:line="240" w:lineRule="auto"/>
        <w:ind w:left="720"/>
      </w:pPr>
      <w:r>
        <w:rPr>
          <w:lang w:val="en_US" w:bidi="en_US"/>
        </w:rPr>
      </w:r>
      <w:r>
        <w:rPr>
          <w:lang w:val="en_US" w:bidi="en_US"/>
        </w:rPr>
        <w:t xml:space="preserve">However, there is still space </w:t>
      </w:r>
      <w:r>
        <w:rPr>
          <w:lang w:val="en_US" w:bidi="en_US"/>
        </w:rPr>
        <w:t>for more people/guests</w:t>
      </w:r>
      <w:r>
        <w:rPr>
          <w:lang w:val="en_US" w:bidi="en_US"/>
        </w:rPr>
        <w:t>.’</w:t>
      </w:r>
    </w:p>
    <w:p>
      <w:pPr>
        <w:pStyle w:val="ListBullet"/>
        <w:spacing w:line="240" w:lineRule="auto"/>
        <w:ind w:left="720"/>
      </w:pPr>
      <w:r>
        <w:rPr>
          <w:lang w:val="en_US" w:bidi="en_US"/>
        </w:rPr>
      </w:r>
      <w:r>
        <w:rPr>
          <w:lang w:val="en_US" w:bidi="en_US"/>
        </w:rPr>
        <w:t xml:space="preserve">but that some of the seats </w:t>
      </w:r>
      <w:r>
        <w:rPr>
          <w:lang w:val="en_US" w:bidi="en_US"/>
        </w:rPr>
        <w:t>at the feast</w:t>
      </w:r>
      <w:r>
        <w:rPr>
          <w:lang w:val="en_US" w:bidi="en_US"/>
        </w:rPr>
        <w:t xml:space="preserve"> were still empty.</w:t>
      </w:r>
    </w:p>
    <w:p>
      <w:pPr/>
      <w:r>
        <w:rPr>
          <w:lang w:val="en_US" w:bidi="en_US"/>
        </w:rPr>
      </w:r>
      <w:r>
        <w:rPr>
          <w:b/>
          <w:lang w:val="en_US" w:bidi="en_US"/>
        </w:rPr>
        <w:t>and there is still room:</w:t>
      </w:r>
      <w:r>
        <w:rPr>
          <w:lang w:val="en_US" w:bidi="en_US"/>
        </w:rPr>
        <w:t xml:space="preserve"> The expression </w:t>
      </w:r>
      <w:r>
        <w:rPr>
          <w:i/>
          <w:lang w:val="en_US" w:bidi="en_US"/>
        </w:rPr>
        <w:t>there is still room</w:t>
      </w:r>
      <w:r>
        <w:rPr>
          <w:lang w:val="en_US" w:bidi="en_US"/>
        </w:rPr>
        <w:t xml:space="preserve"> means here that there were still places or seats remaining for other guests. Other ways to translate this expression are:</w:t>
      </w:r>
    </w:p>
    <w:p>
      <w:pPr/>
      <w:r>
        <w:rPr>
          <w:lang w:val="en_US" w:bidi="en_US"/>
        </w:rPr>
      </w:r>
      <w:r>
        <w:rPr>
          <w:lang w:val="en_US" w:bidi="en_US"/>
        </w:rPr>
        <w:t>there is still plenty of room for more people (CEV)</w:t>
      </w:r>
    </w:p>
    <w:p>
      <w:pPr/>
      <w:r>
        <w:rPr>
          <w:lang w:val="en_US" w:bidi="en_US"/>
        </w:rPr>
      </w:r>
      <w:r>
        <w:rPr>
          <w:lang w:val="en_US" w:bidi="en_US"/>
        </w:rPr>
        <w:t>we still have room (NCV)</w:t>
      </w:r>
    </w:p>
    <w:p>
      <w:pPr/>
      <w:r>
        <w:rPr>
          <w:lang w:val="en_US" w:bidi="en_US"/>
        </w:rPr>
      </w:r>
      <w:r>
        <w:rPr>
          <w:lang w:val="en_US" w:bidi="en_US"/>
        </w:rPr>
        <w:t>Use a natural way in your language to express this idea.</w:t>
      </w:r>
      <w:r>
        <w:rPr>
          <w:lang w:val="en_US" w:bidi="en_US"/>
        </w:rPr>
      </w:r>
      <w:r>
        <w:rPr>
          <w:lang w:val="en_US" w:bidi="en_US"/>
        </w:rPr>
      </w:r>
    </w:p>
    <w:p>
      <w:pPr/>
      <w:r>
        <w:rPr>
          <w:lang w:val="en_US" w:bidi="en_US"/>
        </w:rPr>
      </w:r>
    </w:p>
    <w:p>
      <w:pPr>
        <w:pStyle w:val="Heading2"/>
      </w:pPr>
      <w:r>
        <w:rPr>
          <w:lang w:val="en_US" w:bidi="en_US"/>
        </w:rPr>
        <w:t>Luke 14:23</w:t>
      </w:r>
      <w:r>
        <w:rPr>
          <w:lang w:val="en_US" w:bidi="en_US"/>
        </w:rPr>
      </w:r>
    </w:p>
    <w:p>
      <w:pPr>
        <w:pStyle w:val="Heading4"/>
      </w:pPr>
      <w:r>
        <w:rPr>
          <w:lang w:val="en_US" w:bidi="en_US"/>
        </w:rPr>
        <w:t>Section 14:15–24: Jesus told a parable about a great feast</w:t>
      </w:r>
    </w:p>
    <w:p>
      <w:pPr/>
      <w:r>
        <w:rPr>
          <w:lang w:val="en_US" w:bidi="en_US"/>
        </w:rPr>
      </w:r>
      <w:r>
        <w:rPr>
          <w:lang w:val="en_US" w:bidi="en_US"/>
        </w:rPr>
        <w:t>Jesus next told a parable about a feast that a man invited many people to attend. When they refused to come, he invited other people instead. This parable teaches that it is very important to accept God’s invitation to be a part of his kingdom. The people who refused the invitation represent people who are not interested in being part of God’s kingdom. Those who accepted the invitation represent people who are glad to be part of God’s kingdom.</w:t>
      </w:r>
    </w:p>
    <w:p>
      <w:pPr/>
      <w:r>
        <w:rPr>
          <w:lang w:val="en_US" w:bidi="en_US"/>
        </w:rPr>
      </w:r>
      <w:r>
        <w:rPr>
          <w:lang w:val="en_US" w:bidi="en_US"/>
        </w:rPr>
        <w:t>Luke 14:16–24 is all one speech by Jesus. Check to be sure that this is clear in your translation.</w:t>
      </w:r>
    </w:p>
    <w:p>
      <w:pPr/>
      <w:r>
        <w:rPr>
          <w:lang w:val="en_US" w:bidi="en_US"/>
        </w:rPr>
      </w:r>
      <w:r>
        <w:rPr>
          <w:lang w:val="en_US" w:bidi="en_US"/>
        </w:rPr>
        <w:t>Some other possible headings for this section are:</w:t>
      </w:r>
    </w:p>
    <w:p>
      <w:pPr/>
      <w:r>
        <w:rPr>
          <w:lang w:val="en_US" w:bidi="en_US"/>
        </w:rPr>
      </w:r>
      <w:r>
        <w:rPr>
          <w:lang w:val="en_US" w:bidi="en_US"/>
        </w:rPr>
        <w:t>The parable of the excuses</w:t>
      </w:r>
    </w:p>
    <w:p>
      <w:pPr/>
      <w:r>
        <w:rPr>
          <w:lang w:val="en_US" w:bidi="en_US"/>
        </w:rPr>
      </w:r>
      <w:r>
        <w:rPr>
          <w:lang w:val="en_US" w:bidi="en_US"/>
        </w:rPr>
        <w:t>The guests who refused the invitation to attend a banquet</w:t>
      </w:r>
    </w:p>
    <w:p>
      <w:pPr/>
      <w:r>
        <w:rPr>
          <w:lang w:val="en_US" w:bidi="en_US"/>
        </w:rPr>
      </w:r>
      <w:r>
        <w:rPr>
          <w:lang w:val="en_US" w:bidi="en_US"/>
        </w:rPr>
        <w:t>There is a similar parable in Matthew 22:1–10. However, many details are different, so be careful not to translate both parables in the same way.</w:t>
      </w:r>
    </w:p>
    <w:p>
      <w:pPr>
        <w:pStyle w:val="Heading5"/>
      </w:pPr>
      <w:r>
        <w:rPr>
          <w:lang w:val="en_US" w:bidi="en_US"/>
        </w:rPr>
        <w:t>14:23a</w:t>
      </w:r>
    </w:p>
    <w:p>
      <w:pPr/>
      <w:r>
        <w:rPr>
          <w:lang w:val="en_US" w:bidi="en_US"/>
        </w:rPr>
      </w:r>
      <w:r>
        <w:rPr>
          <w:b/>
          <w:lang w:val="en_US" w:bidi="en_US"/>
        </w:rPr>
        <w:t>So the master told his servant, ‘Go out to the highways and hedges</w:t>
      </w:r>
    </w:p>
    <w:p>
      <w:pPr>
        <w:pStyle w:val="ListBullet"/>
        <w:spacing w:line="240" w:lineRule="auto"/>
        <w:ind w:left="720"/>
      </w:pPr>
      <w:r>
        <w:rPr>
          <w:lang w:val="en_US" w:bidi="en_US"/>
        </w:rPr>
      </w:r>
      <w:r>
        <w:rPr>
          <w:lang w:val="en_US" w:bidi="en_US"/>
        </w:rPr>
        <w:t>Then the master told his servant, ‘Go</w:t>
      </w:r>
      <w:r>
        <w:rPr>
          <w:vertAlign w:val="superscript"/>
          <w:lang w:val="en_US" w:bidi="en_US"/>
        </w:rPr>
        <w:t>(sing)</w:t>
      </w:r>
      <w:r>
        <w:rPr>
          <w:lang w:val="en_US" w:bidi="en_US"/>
        </w:rPr>
        <w:t xml:space="preserve"> out to the rural/country roads and hedges/fences </w:t>
      </w:r>
      <w:r>
        <w:rPr>
          <w:lang w:val="en_US" w:bidi="en_US"/>
        </w:rPr>
        <w:t>between the fields</w:t>
      </w:r>
    </w:p>
    <w:p>
      <w:pPr>
        <w:pStyle w:val="ListBullet"/>
        <w:spacing w:line="240" w:lineRule="auto"/>
        <w:ind w:left="720"/>
      </w:pPr>
      <w:r>
        <w:rPr>
          <w:lang w:val="en_US" w:bidi="en_US"/>
        </w:rPr>
      </w:r>
      <w:r>
        <w:rPr>
          <w:lang w:val="en_US" w:bidi="en_US"/>
        </w:rPr>
        <w:t>So the master said to him, ‘Go to places outside the town where there are other people</w:t>
      </w:r>
    </w:p>
    <w:p>
      <w:pPr/>
      <w:r>
        <w:rPr>
          <w:lang w:val="en_US" w:bidi="en_US"/>
        </w:rPr>
      </w:r>
      <w:r>
        <w:rPr>
          <w:b/>
          <w:lang w:val="en_US" w:bidi="en_US"/>
        </w:rPr>
        <w:t>So the master told his servant:</w:t>
      </w:r>
      <w:r>
        <w:rPr>
          <w:lang w:val="en_US" w:bidi="en_US"/>
        </w:rPr>
        <w:t xml:space="preserve"> The Greek conjunction that the BSB translates as </w:t>
      </w:r>
      <w:r>
        <w:rPr>
          <w:i/>
          <w:lang w:val="en_US" w:bidi="en_US"/>
        </w:rPr>
        <w:t>So</w:t>
      </w:r>
      <w:r>
        <w:rPr>
          <w:lang w:val="en_US" w:bidi="en_US"/>
        </w:rPr>
        <w:t xml:space="preserve"> introduces the master’s response to what his servant had just said. Another way to translate this is:</w:t>
      </w:r>
    </w:p>
    <w:p>
      <w:pPr/>
      <w:r>
        <w:rPr>
          <w:lang w:val="en_US" w:bidi="en_US"/>
        </w:rPr>
      </w:r>
      <w:r>
        <w:rPr>
          <w:lang w:val="en_US" w:bidi="en_US"/>
        </w:rPr>
        <w:t>Then (NIV)</w:t>
      </w:r>
    </w:p>
    <w:p>
      <w:pPr/>
      <w:r>
        <w:rPr>
          <w:lang w:val="en_US" w:bidi="en_US"/>
        </w:rPr>
      </w:r>
      <w:r>
        <w:rPr>
          <w:b/>
          <w:lang w:val="en_US" w:bidi="en_US"/>
        </w:rPr>
        <w:t>Go out to the highways and hedges:</w:t>
      </w:r>
      <w:r>
        <w:rPr>
          <w:lang w:val="en_US" w:bidi="en_US"/>
        </w:rPr>
        <w:t xml:space="preserve"> The phrase </w:t>
      </w:r>
      <w:r>
        <w:rPr>
          <w:i/>
          <w:lang w:val="en_US" w:bidi="en_US"/>
        </w:rPr>
        <w:t>the highways and hedges</w:t>
      </w:r>
      <w:r>
        <w:rPr>
          <w:lang w:val="en_US" w:bidi="en_US"/>
        </w:rPr>
        <w:t xml:space="preserve"> refers to places outside the town where the servant would probably be able to find other people. Other ways to translate this phrase are:</w:t>
      </w:r>
    </w:p>
    <w:p>
      <w:pPr/>
      <w:r>
        <w:rPr>
          <w:lang w:val="en_US" w:bidi="en_US"/>
        </w:rPr>
      </w:r>
      <w:r>
        <w:rPr>
          <w:lang w:val="en_US" w:bidi="en_US"/>
        </w:rPr>
        <w:t>into the country lanes and behind the hedges (NLT)</w:t>
      </w:r>
    </w:p>
    <w:p>
      <w:pPr/>
      <w:r>
        <w:rPr>
          <w:lang w:val="en_US" w:bidi="en_US"/>
        </w:rPr>
      </w:r>
      <w:r>
        <w:rPr>
          <w:lang w:val="en_US" w:bidi="en_US"/>
        </w:rPr>
        <w:t>along the back roads and fence rows (CEV)</w:t>
      </w:r>
    </w:p>
    <w:p>
      <w:pPr/>
      <w:r>
        <w:rPr>
          <w:lang w:val="en_US" w:bidi="en_US"/>
        </w:rPr>
      </w:r>
      <w:r>
        <w:rPr>
          <w:b/>
          <w:lang w:val="en_US" w:bidi="en_US"/>
        </w:rPr>
        <w:t>highways:</w:t>
      </w:r>
      <w:r>
        <w:rPr>
          <w:lang w:val="en_US" w:bidi="en_US"/>
        </w:rPr>
        <w:t xml:space="preserve"> The Greek word that the BSB translates as </w:t>
      </w:r>
      <w:r>
        <w:rPr>
          <w:i/>
          <w:lang w:val="en_US" w:bidi="en_US"/>
        </w:rPr>
        <w:t>highways</w:t>
      </w:r>
      <w:r>
        <w:rPr>
          <w:lang w:val="en_US" w:bidi="en_US"/>
        </w:rPr>
        <w:t xml:space="preserve"> refers to roads that lie outside of towns in the rural areas. However, it does not refer to a major highway in the sense of a wide road with much traffic. Some English versions translate this word as “roads.”</w:t>
      </w:r>
    </w:p>
    <w:p>
      <w:pPr/>
      <w:r>
        <w:rPr>
          <w:lang w:val="en_US" w:bidi="en_US"/>
        </w:rPr>
      </w:r>
      <w:r>
        <w:rPr>
          <w:b/>
          <w:lang w:val="en_US" w:bidi="en_US"/>
        </w:rPr>
        <w:t>hedges:</w:t>
      </w:r>
      <w:r>
        <w:rPr>
          <w:lang w:val="en_US" w:bidi="en_US"/>
        </w:rPr>
        <w:t xml:space="preserve"> The Greek word that the BSB translates literally as </w:t>
      </w:r>
      <w:r>
        <w:rPr>
          <w:i/>
          <w:lang w:val="en_US" w:bidi="en_US"/>
        </w:rPr>
        <w:t>hedges</w:t>
      </w:r>
      <w:r>
        <w:rPr>
          <w:lang w:val="en_US" w:bidi="en_US"/>
        </w:rPr>
        <w:t xml:space="preserve"> refers to the rows of bushes that acted as fences in the countryside. They were planted along the country paths and divided the fields from each other. In your culture hedges may not have this purpose. If that is true, you may wish to use a general word such as “lanes” or “paths,” since there would have been narrow walkways alongside these hedges and that may be what the master was referring to by using the word “hedges.”</w:t>
      </w:r>
    </w:p>
    <w:p>
      <w:pPr>
        <w:pStyle w:val="Heading5"/>
      </w:pPr>
      <w:r>
        <w:rPr>
          <w:lang w:val="en_US" w:bidi="en_US"/>
        </w:rPr>
        <w:t>14:23b</w:t>
      </w:r>
    </w:p>
    <w:p>
      <w:pPr/>
      <w:r>
        <w:rPr>
          <w:lang w:val="en_US" w:bidi="en_US"/>
        </w:rPr>
      </w:r>
      <w:r>
        <w:rPr>
          <w:b/>
          <w:lang w:val="en_US" w:bidi="en_US"/>
        </w:rPr>
        <w:t>and compel them to come in,</w:t>
      </w:r>
    </w:p>
    <w:p>
      <w:pPr>
        <w:pStyle w:val="ListBullet"/>
        <w:spacing w:line="240" w:lineRule="auto"/>
        <w:ind w:left="720"/>
      </w:pPr>
      <w:r>
        <w:rPr>
          <w:lang w:val="en_US" w:bidi="en_US"/>
        </w:rPr>
      </w:r>
      <w:r>
        <w:rPr>
          <w:lang w:val="en_US" w:bidi="en_US"/>
        </w:rPr>
        <w:t>and urge/persuade</w:t>
      </w:r>
      <w:r>
        <w:rPr>
          <w:vertAlign w:val="superscript"/>
          <w:lang w:val="en_US" w:bidi="en_US"/>
        </w:rPr>
        <w:t>(sing)</w:t>
      </w:r>
      <w:r>
        <w:rPr>
          <w:lang w:val="en_US" w:bidi="en_US"/>
        </w:rPr>
        <w:t xml:space="preserve"> the people there to come,</w:t>
      </w:r>
    </w:p>
    <w:p>
      <w:pPr>
        <w:pStyle w:val="ListBullet"/>
        <w:spacing w:line="240" w:lineRule="auto"/>
        <w:ind w:left="720"/>
      </w:pPr>
      <w:r>
        <w:rPr>
          <w:lang w:val="en_US" w:bidi="en_US"/>
        </w:rPr>
      </w:r>
      <w:r>
        <w:rPr>
          <w:lang w:val="en_US" w:bidi="en_US"/>
        </w:rPr>
        <w:t xml:space="preserve">and speak earnestly to them. </w:t>
      </w:r>
      <w:r>
        <w:rPr>
          <w:lang w:val="en_US" w:bidi="en_US"/>
        </w:rPr>
        <w:t>Make it clear that I really want them</w:t>
      </w:r>
      <w:r>
        <w:rPr>
          <w:lang w:val="en_US" w:bidi="en_US"/>
        </w:rPr>
        <w:t xml:space="preserve"> to come!</w:t>
      </w:r>
    </w:p>
    <w:p>
      <w:pPr/>
      <w:r>
        <w:rPr>
          <w:lang w:val="en_US" w:bidi="en_US"/>
        </w:rPr>
      </w:r>
      <w:r>
        <w:rPr>
          <w:b/>
          <w:lang w:val="en_US" w:bidi="en_US"/>
        </w:rPr>
        <w:t>compel them to come in:</w:t>
      </w:r>
      <w:r>
        <w:rPr>
          <w:lang w:val="en_US" w:bidi="en_US"/>
        </w:rPr>
        <w:t xml:space="preserve"> The Greek verb that the BSB translates as </w:t>
      </w:r>
      <w:r>
        <w:rPr>
          <w:i/>
          <w:lang w:val="en_US" w:bidi="en_US"/>
        </w:rPr>
        <w:t>compel</w:t>
      </w:r>
      <w:r>
        <w:rPr>
          <w:lang w:val="en_US" w:bidi="en_US"/>
        </w:rPr>
        <w:t xml:space="preserve"> in this context means to urge or persuade strongly. It does not imply that the servant should threaten the people or force them to do something that they did not want to do. The master wanted his servant to convince the people to come.</w:t>
      </w:r>
    </w:p>
    <w:p>
      <w:pPr/>
      <w:r>
        <w:rPr>
          <w:lang w:val="en_US" w:bidi="en_US"/>
        </w:rPr>
      </w:r>
      <w:r>
        <w:rPr>
          <w:b/>
          <w:lang w:val="en_US" w:bidi="en_US"/>
        </w:rPr>
        <w:t>them:</w:t>
      </w:r>
      <w:r>
        <w:rPr>
          <w:lang w:val="en_US" w:bidi="en_US"/>
        </w:rPr>
        <w:t xml:space="preserve"> Make sure that the pronoun </w:t>
      </w:r>
      <w:r>
        <w:rPr>
          <w:i/>
          <w:lang w:val="en_US" w:bidi="en_US"/>
        </w:rPr>
        <w:t>them</w:t>
      </w:r>
      <w:r>
        <w:rPr>
          <w:lang w:val="en_US" w:bidi="en_US"/>
        </w:rPr>
        <w:t xml:space="preserve"> refers to the </w:t>
      </w:r>
      <w:r>
        <w:rPr>
          <w:u w:val="single"/>
          <w:lang w:val="en_US" w:bidi="en_US"/>
        </w:rPr>
        <w:t>people</w:t>
      </w:r>
      <w:r>
        <w:rPr>
          <w:lang w:val="en_US" w:bidi="en_US"/>
        </w:rPr>
        <w:t xml:space="preserve"> in the rural areas, not to the highways and hedges. Many English versions make this explicit. For example:</w:t>
      </w:r>
    </w:p>
    <w:p>
      <w:pPr/>
      <w:r>
        <w:rPr>
          <w:lang w:val="en_US" w:bidi="en_US"/>
        </w:rPr>
      </w:r>
      <w:r>
        <w:rPr>
          <w:lang w:val="en_US" w:bidi="en_US"/>
        </w:rPr>
        <w:t>compel people to come in (RSV)</w:t>
      </w:r>
    </w:p>
    <w:p>
      <w:pPr>
        <w:pStyle w:val="Heading5"/>
      </w:pPr>
      <w:r>
        <w:rPr>
          <w:lang w:val="en_US" w:bidi="en_US"/>
        </w:rPr>
        <w:t>14:23c</w:t>
      </w:r>
    </w:p>
    <w:p>
      <w:pPr/>
      <w:r>
        <w:rPr>
          <w:lang w:val="en_US" w:bidi="en_US"/>
        </w:rPr>
      </w:r>
      <w:r>
        <w:rPr>
          <w:b/>
          <w:lang w:val="en_US" w:bidi="en_US"/>
        </w:rPr>
        <w:t>so that my house will be full.</w:t>
      </w:r>
    </w:p>
    <w:p>
      <w:pPr>
        <w:pStyle w:val="ListBullet"/>
        <w:spacing w:line="240" w:lineRule="auto"/>
        <w:ind w:left="720"/>
      </w:pPr>
      <w:r>
        <w:rPr>
          <w:lang w:val="en_US" w:bidi="en_US"/>
        </w:rPr>
      </w:r>
      <w:r>
        <w:rPr>
          <w:lang w:val="en_US" w:bidi="en_US"/>
        </w:rPr>
        <w:t>so that people/guests will fill my house!</w:t>
      </w:r>
    </w:p>
    <w:p>
      <w:pPr>
        <w:pStyle w:val="ListBullet"/>
        <w:spacing w:line="240" w:lineRule="auto"/>
        <w:ind w:left="720"/>
      </w:pPr>
      <w:r>
        <w:rPr>
          <w:lang w:val="en_US" w:bidi="en_US"/>
        </w:rPr>
      </w:r>
      <w:r>
        <w:rPr>
          <w:lang w:val="en_US" w:bidi="en_US"/>
        </w:rPr>
        <w:t>Every place/seat at my feast must be filled!</w:t>
      </w:r>
    </w:p>
    <w:p>
      <w:pPr>
        <w:pStyle w:val="ListBullet"/>
        <w:spacing w:line="240" w:lineRule="auto"/>
        <w:ind w:left="720"/>
      </w:pPr>
      <w:r>
        <w:rPr>
          <w:lang w:val="en_US" w:bidi="en_US"/>
        </w:rPr>
      </w:r>
      <w:r>
        <w:rPr>
          <w:lang w:val="en_US" w:bidi="en_US"/>
        </w:rPr>
        <w:t>I do not want any empty places at my feast.</w:t>
      </w:r>
    </w:p>
    <w:p>
      <w:pPr/>
      <w:r>
        <w:rPr>
          <w:lang w:val="en_US" w:bidi="en_US"/>
        </w:rPr>
      </w:r>
      <w:r>
        <w:rPr>
          <w:b/>
          <w:lang w:val="en_US" w:bidi="en_US"/>
        </w:rPr>
        <w:t>so that my house will be full:</w:t>
      </w:r>
      <w:r>
        <w:rPr>
          <w:lang w:val="en_US" w:bidi="en_US"/>
        </w:rPr>
        <w:t xml:space="preserve"> This is a purpose clause. It is also a hyperbole (deliberate exaggeration for emphasis). The master wanted every seat in the dining area to have a person sitting in it. He did not literally want his entire house to be full of people. In many languages the hyperbole will be clear and natural. In other languages it may be necessary to state the meaning more directly. For example:</w:t>
      </w:r>
    </w:p>
    <w:p>
      <w:pPr/>
      <w:r>
        <w:rPr>
          <w:lang w:val="en_US" w:bidi="en_US"/>
        </w:rPr>
      </w:r>
      <w:r>
        <w:rPr>
          <w:lang w:val="en_US" w:bidi="en_US"/>
        </w:rPr>
        <w:t>so that there will be people sitting in every seat at my feast</w:t>
      </w:r>
      <w:r>
        <w:rPr>
          <w:lang w:val="en_US" w:bidi="en_US"/>
        </w:rPr>
      </w:r>
      <w:r>
        <w:rPr>
          <w:lang w:val="en_US" w:bidi="en_US"/>
        </w:rPr>
      </w:r>
    </w:p>
    <w:p>
      <w:pPr/>
      <w:r>
        <w:rPr>
          <w:lang w:val="en_US" w:bidi="en_US"/>
        </w:rPr>
      </w:r>
    </w:p>
    <w:p>
      <w:pPr>
        <w:pStyle w:val="Heading2"/>
      </w:pPr>
      <w:r>
        <w:rPr>
          <w:lang w:val="en_US" w:bidi="en_US"/>
        </w:rPr>
        <w:t>Luke 14:24</w:t>
      </w:r>
      <w:r>
        <w:rPr>
          <w:lang w:val="en_US" w:bidi="en_US"/>
        </w:rPr>
      </w:r>
    </w:p>
    <w:p>
      <w:pPr>
        <w:pStyle w:val="Heading4"/>
      </w:pPr>
      <w:r>
        <w:rPr>
          <w:lang w:val="en_US" w:bidi="en_US"/>
        </w:rPr>
        <w:t>Section 14:15–24: Jesus told a parable about a great feast</w:t>
      </w:r>
    </w:p>
    <w:p>
      <w:pPr/>
      <w:r>
        <w:rPr>
          <w:lang w:val="en_US" w:bidi="en_US"/>
        </w:rPr>
      </w:r>
      <w:r>
        <w:rPr>
          <w:lang w:val="en_US" w:bidi="en_US"/>
        </w:rPr>
        <w:t>Jesus next told a parable about a feast that a man invited many people to attend. When they refused to come, he invited other people instead. This parable teaches that it is very important to accept God’s invitation to be a part of his kingdom. The people who refused the invitation represent people who are not interested in being part of God’s kingdom. Those who accepted the invitation represent people who are glad to be part of God’s kingdom.</w:t>
      </w:r>
    </w:p>
    <w:p>
      <w:pPr/>
      <w:r>
        <w:rPr>
          <w:lang w:val="en_US" w:bidi="en_US"/>
        </w:rPr>
      </w:r>
      <w:r>
        <w:rPr>
          <w:lang w:val="en_US" w:bidi="en_US"/>
        </w:rPr>
        <w:t>Luke 14:16–24 is all one speech by Jesus. Check to be sure that this is clear in your translation.</w:t>
      </w:r>
    </w:p>
    <w:p>
      <w:pPr/>
      <w:r>
        <w:rPr>
          <w:lang w:val="en_US" w:bidi="en_US"/>
        </w:rPr>
      </w:r>
      <w:r>
        <w:rPr>
          <w:lang w:val="en_US" w:bidi="en_US"/>
        </w:rPr>
        <w:t>Some other possible headings for this section are:</w:t>
      </w:r>
    </w:p>
    <w:p>
      <w:pPr/>
      <w:r>
        <w:rPr>
          <w:lang w:val="en_US" w:bidi="en_US"/>
        </w:rPr>
      </w:r>
      <w:r>
        <w:rPr>
          <w:lang w:val="en_US" w:bidi="en_US"/>
        </w:rPr>
        <w:t>The parable of the excuses</w:t>
      </w:r>
    </w:p>
    <w:p>
      <w:pPr/>
      <w:r>
        <w:rPr>
          <w:lang w:val="en_US" w:bidi="en_US"/>
        </w:rPr>
      </w:r>
      <w:r>
        <w:rPr>
          <w:lang w:val="en_US" w:bidi="en_US"/>
        </w:rPr>
        <w:t>The guests who refused the invitation to attend a banquet</w:t>
      </w:r>
    </w:p>
    <w:p>
      <w:pPr/>
      <w:r>
        <w:rPr>
          <w:lang w:val="en_US" w:bidi="en_US"/>
        </w:rPr>
      </w:r>
      <w:r>
        <w:rPr>
          <w:lang w:val="en_US" w:bidi="en_US"/>
        </w:rPr>
        <w:t>There is a similar parable in Matthew 22:1–10. However, many details are different, so be careful not to translate both parables in the same way.</w:t>
      </w:r>
    </w:p>
    <w:p>
      <w:pPr>
        <w:pStyle w:val="Heading5"/>
      </w:pPr>
      <w:r>
        <w:rPr>
          <w:lang w:val="en_US" w:bidi="en_US"/>
        </w:rPr>
        <w:t>14:24</w:t>
      </w:r>
    </w:p>
    <w:p>
      <w:pPr/>
      <w:r>
        <w:rPr>
          <w:lang w:val="en_US" w:bidi="en_US"/>
        </w:rPr>
      </w:r>
      <w:r>
        <w:rPr>
          <w:b/>
          <w:lang w:val="en_US" w:bidi="en_US"/>
        </w:rPr>
        <w:t>For I tell you, not one of those men who were invited will taste my banquet.’”</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xml:space="preserve"> that none of the people I invited </w:t>
      </w:r>
      <w:r>
        <w:rPr>
          <w:lang w:val="en_US" w:bidi="en_US"/>
        </w:rPr>
        <w:t>at the beginning</w:t>
      </w:r>
      <w:r>
        <w:rPr>
          <w:lang w:val="en_US" w:bidi="en_US"/>
        </w:rPr>
        <w:t xml:space="preserve"> will be eating any of the food I prepared!'"</w:t>
      </w:r>
    </w:p>
    <w:p>
      <w:pPr>
        <w:pStyle w:val="ListBullet"/>
        <w:spacing w:line="240" w:lineRule="auto"/>
        <w:ind w:left="720"/>
      </w:pPr>
      <w:r>
        <w:rPr>
          <w:lang w:val="en_US" w:bidi="en_US"/>
        </w:rPr>
      </w:r>
      <w:r>
        <w:rPr>
          <w:lang w:val="en_US" w:bidi="en_US"/>
        </w:rPr>
        <w:t xml:space="preserve">Be sure of this: </w:t>
      </w:r>
      <w:r>
        <w:rPr>
          <w:lang w:val="en_US" w:bidi="en_US"/>
        </w:rPr>
        <w:t>I will not allow</w:t>
      </w:r>
      <w:r>
        <w:rPr>
          <w:lang w:val="en_US" w:bidi="en_US"/>
        </w:rPr>
        <w:t xml:space="preserve"> any of those </w:t>
      </w:r>
      <w:r>
        <w:rPr>
          <w:lang w:val="en_US" w:bidi="en_US"/>
        </w:rPr>
        <w:t>I first/originally</w:t>
      </w:r>
      <w:r>
        <w:rPr>
          <w:lang w:val="en_US" w:bidi="en_US"/>
        </w:rPr>
        <w:t xml:space="preserve"> invited to come to my feast!'"</w:t>
      </w:r>
    </w:p>
    <w:p>
      <w:pPr>
        <w:pStyle w:val="ListBullet"/>
        <w:spacing w:line="240" w:lineRule="auto"/>
        <w:ind w:left="720"/>
      </w:pPr>
      <w:r>
        <w:rPr>
          <w:lang w:val="en_US" w:bidi="en_US"/>
        </w:rPr>
      </w:r>
      <w:r>
        <w:rPr>
          <w:lang w:val="en_US" w:bidi="en_US"/>
        </w:rPr>
        <w:t>so you must fill my feast with other people,</w:t>
      </w:r>
      <w:r>
        <w:rPr>
          <w:lang w:val="en_US" w:bidi="en_US"/>
        </w:rPr>
        <w:t xml:space="preserve"> because I will certainly not allow any of the people I first invited to come.'"</w:t>
      </w:r>
    </w:p>
    <w:p>
      <w:pPr/>
      <w:r>
        <w:rPr>
          <w:lang w:val="en_US" w:bidi="en_US"/>
        </w:rPr>
      </w:r>
      <w:r>
        <w:rPr>
          <w:b/>
          <w:lang w:val="en_US" w:bidi="en_US"/>
        </w:rPr>
        <w:t>For I tell you:</w:t>
      </w:r>
      <w:r>
        <w:rPr>
          <w:lang w:val="en_US" w:bidi="en_US"/>
        </w:rPr>
        <w:t xml:space="preserve"> The phrase </w:t>
      </w:r>
      <w:r>
        <w:rPr>
          <w:i/>
          <w:lang w:val="en_US" w:bidi="en_US"/>
        </w:rPr>
        <w:t>For I tell you</w:t>
      </w:r>
      <w:r>
        <w:rPr>
          <w:lang w:val="en_US" w:bidi="en_US"/>
        </w:rPr>
        <w:t xml:space="preserve"> introduces an important statement about the people who refused to come to the banquet (14:18). The host wanted to emphasize this statement. Some ways to show this emphasis are:</w:t>
      </w:r>
    </w:p>
    <w:p>
      <w:pPr>
        <w:pStyle w:val="ListBullet"/>
        <w:spacing w:line="240" w:lineRule="auto"/>
        <w:ind w:left="720"/>
      </w:pPr>
      <w:r>
        <w:rPr>
          <w:lang w:val="en_US" w:bidi="en_US"/>
        </w:rPr>
      </w:r>
      <w:r>
        <w:rPr>
          <w:lang w:val="en_US" w:bidi="en_US"/>
        </w:rPr>
        <w:t>As a phrase before the master’s statement. For example:</w:t>
      </w:r>
      <w:r>
        <w:rPr>
          <w:lang w:val="en_US" w:bidi="en_US"/>
        </w:rPr>
        <w:t>For let me tell you this</w:t>
      </w:r>
      <w:r>
        <w:rPr>
          <w:lang w:val="en_US" w:bidi="en_US"/>
        </w:rPr>
        <w:t>Listen</w:t>
      </w:r>
      <w:r>
        <w:rPr>
          <w:lang w:val="en_US" w:bidi="en_US"/>
        </w:rPr>
        <w:t>I assure you</w:t>
      </w:r>
    </w:p>
    <w:p>
      <w:pPr>
        <w:pStyle w:val="ListBullet"/>
        <w:spacing w:line="240" w:lineRule="auto"/>
        <w:ind w:left="720"/>
      </w:pPr>
      <w:r>
        <w:rPr>
          <w:lang w:val="en_US" w:bidi="en_US"/>
        </w:rPr>
      </w:r>
      <w:r>
        <w:rPr>
          <w:lang w:val="en_US" w:bidi="en_US"/>
        </w:rPr>
        <w:t>As an emphatic word within the master’s statement. For example:</w:t>
      </w:r>
      <w:r>
        <w:rPr>
          <w:lang w:val="en_US" w:bidi="en_US"/>
        </w:rPr>
        <w:t xml:space="preserve">I will </w:t>
      </w:r>
      <w:r>
        <w:rPr>
          <w:u w:val="single"/>
          <w:lang w:val="en_US" w:bidi="en_US"/>
        </w:rPr>
        <w:t>certainly</w:t>
      </w:r>
      <w:r>
        <w:rPr>
          <w:lang w:val="en_US" w:bidi="en_US"/>
        </w:rPr>
        <w:t xml:space="preserve"> not allow any of those men whom I originally invited to come to my feast.</w:t>
      </w:r>
    </w:p>
    <w:p>
      <w:pPr/>
      <w:r>
        <w:rPr>
          <w:lang w:val="en_US" w:bidi="en_US"/>
        </w:rPr>
      </w:r>
      <w:r>
        <w:rPr>
          <w:lang w:val="en_US" w:bidi="en_US"/>
        </w:rPr>
        <w:t>See the notes on 3:8d and 10:12.</w:t>
      </w:r>
    </w:p>
    <w:p>
      <w:pPr/>
      <w:r>
        <w:rPr>
          <w:lang w:val="en_US" w:bidi="en_US"/>
        </w:rPr>
      </w:r>
      <w:r>
        <w:rPr>
          <w:lang w:val="en_US" w:bidi="en_US"/>
        </w:rPr>
        <w:t xml:space="preserve">The pronoun </w:t>
      </w:r>
      <w:r>
        <w:rPr>
          <w:i/>
          <w:lang w:val="en_US" w:bidi="en_US"/>
        </w:rPr>
        <w:t>you</w:t>
      </w:r>
      <w:r>
        <w:rPr>
          <w:lang w:val="en_US" w:bidi="en_US"/>
        </w:rPr>
        <w:t xml:space="preserve"> is plural in Greek. It probably refers here to the servant and the second group of invited guests who were already present in the house.</w:t>
      </w:r>
    </w:p>
    <w:p>
      <w:pPr/>
      <w:r>
        <w:rPr>
          <w:lang w:val="en_US" w:bidi="en_US"/>
        </w:rPr>
      </w:r>
      <w:r>
        <w:rPr>
          <w:lang w:val="en_US" w:bidi="en_US"/>
        </w:rPr>
        <w:t xml:space="preserve">The command </w:t>
      </w:r>
      <w:r>
        <w:rPr>
          <w:i/>
          <w:lang w:val="en_US" w:bidi="en_US"/>
        </w:rPr>
        <w:t>I tell you</w:t>
      </w:r>
      <w:r>
        <w:rPr>
          <w:lang w:val="en_US" w:bidi="en_US"/>
        </w:rPr>
        <w:t xml:space="preserve"> contrasts with the singular commands given to the servant in the preceding verses. Almost all English versions indicate with quotation marks that this command is part of the parable and gives the words of the host. However, Jesus probably implied that God would react in a similar way at the feast in the kingdom of God (see 14:15).</w:t>
      </w:r>
      <w:r>
        <w:rPr>
          <w:lang w:val="en_US" w:bidi="en_US"/>
        </w:rPr>
        <w:t>There are three main ways to interpret the clause “I tell you” here. (1) “I” refers to the host in the parable, and “you</w:t>
      </w:r>
      <w:r>
        <w:rPr>
          <w:vertAlign w:val="superscript"/>
          <w:lang w:val="en_US" w:bidi="en_US"/>
        </w:rPr>
        <w:t>(plur)</w:t>
      </w:r>
      <w:r>
        <w:rPr>
          <w:lang w:val="en_US" w:bidi="en_US"/>
        </w:rPr>
        <w:t>” refers to the servant and the group of guests who had already arrived. With this interpretation, the parable continues until the end of 14:24. Scholars who support this view include Bruce, Liefeld, Godet, Morris, Lenski, Arndt, and Reiling and Swellengrebel (Translator’s Handbook). (2) “I” refers to Jesus, and “you</w:t>
      </w:r>
      <w:r>
        <w:rPr>
          <w:vertAlign w:val="superscript"/>
          <w:lang w:val="en_US" w:bidi="en_US"/>
        </w:rPr>
        <w:t>(plur)</w:t>
      </w:r>
      <w:r>
        <w:rPr>
          <w:lang w:val="en_US" w:bidi="en_US"/>
        </w:rPr>
        <w:t>” refers to the Pharisee and the other guests at the feast where Jesus was eating. With this interpretation Jesus concluded the parable in 14:23. In 14:24 he applied the parable to the future messianic banquet at which he himself will be the host. Scholars who support this view include Hendriksen, Bock, Fitzmyer, and Bailey. (3) A third view is that 14:24 represents a transition from the parable to its application. “I” refers either to the host of the parable, who figuratively addresses the people in the room with Jesus rather than the people in the parable, or else “I” represents Jesus who places himself in the role of the host. Scholars who support this view include Nolland and Green. It is recommended that you follow interpretation (1), along with a majority of scholars and almost all English versions.</w:t>
      </w:r>
    </w:p>
    <w:p>
      <w:pPr/>
      <w:r>
        <w:rPr>
          <w:lang w:val="en_US" w:bidi="en_US"/>
        </w:rPr>
      </w:r>
      <w:r>
        <w:rPr>
          <w:b/>
          <w:lang w:val="en_US" w:bidi="en_US"/>
        </w:rPr>
        <w:t>not one of those men who were invited will taste my banquet:</w:t>
      </w:r>
      <w:r>
        <w:rPr>
          <w:lang w:val="en_US" w:bidi="en_US"/>
        </w:rPr>
        <w:t xml:space="preserve"> The leader of the feast was speaking very strongly here. He meant that he would certainly not allow any of the people he had first invited to come to his feast. He was referring to those who had refused his first invitation (14:16–20). In some languages it may be necessary to make this explicit:</w:t>
      </w:r>
    </w:p>
    <w:p>
      <w:pPr/>
      <w:r>
        <w:rPr>
          <w:lang w:val="en_US" w:bidi="en_US"/>
        </w:rPr>
      </w:r>
      <w:r>
        <w:rPr>
          <w:lang w:val="en_US" w:bidi="en_US"/>
        </w:rPr>
        <w:t>I will not permit</w:t>
      </w:r>
      <w:r>
        <w:rPr>
          <w:lang w:val="en_US" w:bidi="en_US"/>
        </w:rPr>
        <w:t xml:space="preserve"> any of those men whom </w:t>
      </w:r>
      <w:r>
        <w:rPr>
          <w:lang w:val="en_US" w:bidi="en_US"/>
        </w:rPr>
        <w:t>I</w:t>
      </w:r>
      <w:r>
        <w:rPr>
          <w:lang w:val="en_US" w:bidi="en_US"/>
        </w:rPr>
        <w:t xml:space="preserve"> invited </w:t>
      </w:r>
      <w:r>
        <w:rPr>
          <w:lang w:val="en_US" w:bidi="en_US"/>
        </w:rPr>
        <w:t>at the beginning</w:t>
      </w:r>
      <w:r>
        <w:rPr>
          <w:lang w:val="en_US" w:bidi="en_US"/>
        </w:rPr>
        <w:t xml:space="preserve"> to eat any of my banquet.</w:t>
      </w:r>
    </w:p>
    <w:p>
      <w:pPr/>
      <w:r>
        <w:rPr>
          <w:lang w:val="en_US" w:bidi="en_US"/>
        </w:rPr>
      </w:r>
      <w:r>
        <w:rPr>
          <w:b/>
          <w:lang w:val="en_US" w:bidi="en_US"/>
        </w:rPr>
        <w:t>will taste my banquet:</w:t>
      </w:r>
      <w:r>
        <w:rPr>
          <w:lang w:val="en_US" w:bidi="en_US"/>
        </w:rPr>
        <w:t xml:space="preserve"> This phrase indicates that the people who made excuses would not be allowed to attend the feast or to eat any of the food. In some languages, this phrase is clear and natural. Otherwise, you may use a more general phrase. Some of the ways to translate this phrase are:</w:t>
      </w:r>
    </w:p>
    <w:p>
      <w:pPr/>
      <w:r>
        <w:rPr>
          <w:lang w:val="en_US" w:bidi="en_US"/>
        </w:rPr>
      </w:r>
      <w:r>
        <w:rPr>
          <w:lang w:val="en_US" w:bidi="en_US"/>
        </w:rPr>
        <w:t>will taste my dinner (NRSV)</w:t>
      </w:r>
    </w:p>
    <w:p>
      <w:pPr/>
      <w:r>
        <w:rPr>
          <w:lang w:val="en_US" w:bidi="en_US"/>
        </w:rPr>
      </w:r>
      <w:r>
        <w:rPr>
          <w:lang w:val="en_US" w:bidi="en_US"/>
        </w:rPr>
        <w:t>will get even a bite of my food (CEV)</w:t>
      </w:r>
    </w:p>
    <w:p>
      <w:pPr/>
      <w:r>
        <w:rPr>
          <w:lang w:val="en_US" w:bidi="en_US"/>
        </w:rPr>
      </w:r>
      <w:r>
        <w:rPr>
          <w:lang w:val="en_US" w:bidi="en_US"/>
        </w:rPr>
        <w:t>will eat with me (NCV)</w:t>
      </w:r>
    </w:p>
    <w:p>
      <w:pPr/>
      <w:r>
        <w:rPr>
          <w:lang w:val="en_US" w:bidi="en_US"/>
        </w:rPr>
      </w:r>
      <w:r>
        <w:rPr>
          <w:b/>
          <w:lang w:val="en_US" w:bidi="en_US"/>
        </w:rPr>
        <w:t>my banquet:</w:t>
      </w:r>
      <w:r>
        <w:rPr>
          <w:lang w:val="en_US" w:bidi="en_US"/>
        </w:rPr>
        <w:t xml:space="preserve"> The phrase that the BSB translates as </w:t>
      </w:r>
      <w:r>
        <w:rPr>
          <w:i/>
          <w:lang w:val="en_US" w:bidi="en_US"/>
        </w:rPr>
        <w:t>my banquet</w:t>
      </w:r>
      <w:r>
        <w:rPr>
          <w:lang w:val="en_US" w:bidi="en_US"/>
        </w:rPr>
        <w:t xml:space="preserve"> means “the banquet that I caused to be prepared.” It refers to the feast that the master had prepared for his guests.</w:t>
      </w:r>
      <w:r>
        <w:rPr>
          <w:lang w:val="en_US" w:bidi="en_US"/>
        </w:rPr>
      </w:r>
      <w:r>
        <w:rPr>
          <w:lang w:val="en_US" w:bidi="en_US"/>
        </w:rPr>
      </w:r>
    </w:p>
    <w:p>
      <w:pPr/>
      <w:r>
        <w:rPr>
          <w:lang w:val="en_US" w:bidi="en_US"/>
        </w:rPr>
      </w:r>
    </w:p>
    <w:p>
      <w:pPr>
        <w:pStyle w:val="Heading2"/>
      </w:pPr>
      <w:r>
        <w:rPr>
          <w:lang w:val="en_US" w:bidi="en_US"/>
        </w:rPr>
        <w:t>Luke 14:25</w:t>
      </w:r>
      <w:r>
        <w:rPr>
          <w:lang w:val="en_US" w:bidi="en_US"/>
        </w:rPr>
      </w:r>
    </w:p>
    <w:p>
      <w:pPr>
        <w:pStyle w:val="Heading4"/>
      </w:pPr>
      <w:r>
        <w:rPr>
          <w:lang w:val="en_US" w:bidi="en_US"/>
        </w:rPr>
        <w:t>Section 14:25–35: A disciple of Jesus must be ready to suffer for him</w:t>
      </w:r>
    </w:p>
    <w:p>
      <w:pPr/>
      <w:r>
        <w:rPr>
          <w:lang w:val="en_US" w:bidi="en_US"/>
        </w:rPr>
      </w:r>
      <w:r>
        <w:rPr>
          <w:lang w:val="en_US" w:bidi="en_US"/>
        </w:rP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pPr/>
      <w:r>
        <w:rPr>
          <w:lang w:val="en_US" w:bidi="en_US"/>
        </w:rPr>
      </w:r>
      <w:r>
        <w:rPr>
          <w:lang w:val="en_US" w:bidi="en_US"/>
        </w:rPr>
        <w:t>Some other possible headings for this section are:</w:t>
      </w:r>
    </w:p>
    <w:p>
      <w:pPr/>
      <w:r>
        <w:rPr>
          <w:lang w:val="en_US" w:bidi="en_US"/>
        </w:rPr>
      </w:r>
      <w:r>
        <w:rPr>
          <w:lang w:val="en_US" w:bidi="en_US"/>
        </w:rPr>
        <w:t>The Cost of Being a Disciple (NIV)</w:t>
      </w:r>
    </w:p>
    <w:p>
      <w:pPr/>
      <w:r>
        <w:rPr>
          <w:lang w:val="en_US" w:bidi="en_US"/>
        </w:rPr>
      </w:r>
      <w:r>
        <w:rPr>
          <w:lang w:val="en_US" w:bidi="en_US"/>
        </w:rPr>
        <w:t>Do not underestimate the hardship of being a disciple</w:t>
      </w:r>
    </w:p>
    <w:p>
      <w:pPr>
        <w:pStyle w:val="Heading5"/>
      </w:pPr>
      <w:r>
        <w:rPr>
          <w:lang w:val="en_US" w:bidi="en_US"/>
        </w:rPr>
        <w:t>14:25a</w:t>
      </w:r>
    </w:p>
    <w:p>
      <w:pPr/>
      <w:r>
        <w:rPr>
          <w:lang w:val="en_US" w:bidi="en_US"/>
        </w:rPr>
      </w:r>
      <w:r>
        <w:rPr>
          <w:b/>
          <w:lang w:val="en_US" w:bidi="en_US"/>
        </w:rPr>
        <w:t>Large crowds were now traveling with Jesus,</w:t>
      </w:r>
    </w:p>
    <w:p>
      <w:pPr>
        <w:pStyle w:val="ListBullet"/>
        <w:spacing w:line="240" w:lineRule="auto"/>
        <w:ind w:left="720"/>
      </w:pPr>
      <w:r>
        <w:rPr>
          <w:lang w:val="en_US" w:bidi="en_US"/>
        </w:rPr>
      </w:r>
      <w:r>
        <w:rPr>
          <w:lang w:val="en_US" w:bidi="en_US"/>
        </w:rPr>
        <w:t xml:space="preserve">¶ </w:t>
      </w:r>
      <w:r>
        <w:rPr>
          <w:lang w:val="en_US" w:bidi="en_US"/>
        </w:rPr>
        <w:t>One day when</w:t>
      </w:r>
      <w:r>
        <w:rPr>
          <w:lang w:val="en_US" w:bidi="en_US"/>
        </w:rPr>
        <w:t xml:space="preserve"> many people were walking/journeying with Jesus,</w:t>
      </w:r>
    </w:p>
    <w:p>
      <w:pPr>
        <w:pStyle w:val="ListBullet"/>
        <w:spacing w:line="240" w:lineRule="auto"/>
        <w:ind w:left="720"/>
      </w:pPr>
      <w:r>
        <w:rPr>
          <w:lang w:val="en_US" w:bidi="en_US"/>
        </w:rPr>
      </w:r>
      <w:r>
        <w:rPr>
          <w:lang w:val="en_US" w:bidi="en_US"/>
        </w:rPr>
        <w:t xml:space="preserve">¶ </w:t>
      </w:r>
      <w:r>
        <w:rPr>
          <w:lang w:val="en_US" w:bidi="en_US"/>
        </w:rPr>
        <w:t>On one occasion,</w:t>
      </w:r>
      <w:r>
        <w:rPr>
          <w:lang w:val="en_US" w:bidi="en_US"/>
        </w:rPr>
        <w:t xml:space="preserve"> large numbers of people were accompanying/following Jesus </w:t>
      </w:r>
      <w:r>
        <w:rPr>
          <w:lang w:val="en_US" w:bidi="en_US"/>
        </w:rPr>
        <w:t>on his way to Jerusalem</w:t>
      </w:r>
      <w:r>
        <w:rPr>
          <w:lang w:val="en_US" w:bidi="en_US"/>
        </w:rPr>
        <w:t>.</w:t>
      </w:r>
    </w:p>
    <w:p>
      <w:pPr/>
      <w:r>
        <w:rPr>
          <w:lang w:val="en_US" w:bidi="en_US"/>
        </w:rPr>
      </w:r>
      <w:r>
        <w:rPr>
          <w:lang w:val="en_US" w:bidi="en_US"/>
        </w:rPr>
        <w:t>In Greek this verse begins with a conjunction that many English versions translate as “Now.” This conjunction is not an expression of time. It introduces the next event, which happened at a different time and place from the preceding section. The BSB does not translate this conjunction. Since this is the start of a new section, it may be good style to indicate a general time setting. For example:</w:t>
      </w:r>
    </w:p>
    <w:p>
      <w:pPr/>
      <w:r>
        <w:rPr>
          <w:lang w:val="en_US" w:bidi="en_US"/>
        </w:rPr>
      </w:r>
      <w:r>
        <w:rPr>
          <w:lang w:val="en_US" w:bidi="en_US"/>
        </w:rPr>
        <w:t>Once, when great crowds (REB)</w:t>
      </w:r>
    </w:p>
    <w:p>
      <w:pPr/>
      <w:r>
        <w:rPr>
          <w:lang w:val="en_US" w:bidi="en_US"/>
        </w:rPr>
      </w:r>
      <w:r>
        <w:rPr>
          <w:lang w:val="en_US" w:bidi="en_US"/>
        </w:rPr>
        <w:t>On one occasion, many people</w:t>
      </w:r>
    </w:p>
    <w:p>
      <w:pPr/>
      <w:r>
        <w:rPr>
          <w:lang w:val="en_US" w:bidi="en_US"/>
        </w:rPr>
      </w:r>
      <w:r>
        <w:rPr>
          <w:b/>
          <w:lang w:val="en_US" w:bidi="en_US"/>
        </w:rPr>
        <w:t>Large crowds were…traveling with Jesus:</w:t>
      </w:r>
      <w:r>
        <w:rPr>
          <w:lang w:val="en_US" w:bidi="en_US"/>
        </w:rPr>
        <w:t xml:space="preserve"> Many people were accompanying Jesus. They were walking along behind him as he traveled. Although other verses indicate that he was traveling toward Jerusalem, you should only make this information explicit if it is necessary in your language.</w:t>
      </w:r>
    </w:p>
    <w:p>
      <w:pPr>
        <w:pStyle w:val="Heading5"/>
      </w:pPr>
      <w:r>
        <w:rPr>
          <w:lang w:val="en_US" w:bidi="en_US"/>
        </w:rPr>
        <w:t>14:25b</w:t>
      </w:r>
    </w:p>
    <w:p>
      <w:pPr/>
      <w:r>
        <w:rPr>
          <w:lang w:val="en_US" w:bidi="en_US"/>
        </w:rPr>
      </w:r>
      <w:r>
        <w:rPr>
          <w:b/>
          <w:lang w:val="en_US" w:bidi="en_US"/>
        </w:rPr>
        <w:t>and He turned and said to them,</w:t>
      </w:r>
    </w:p>
    <w:p>
      <w:pPr>
        <w:pStyle w:val="ListBullet"/>
        <w:spacing w:line="240" w:lineRule="auto"/>
        <w:ind w:left="720"/>
      </w:pPr>
      <w:r>
        <w:rPr>
          <w:lang w:val="en_US" w:bidi="en_US"/>
        </w:rPr>
      </w:r>
      <w:r>
        <w:rPr>
          <w:lang w:val="en_US" w:bidi="en_US"/>
        </w:rPr>
        <w:t>he turned to them and said,</w:t>
      </w:r>
    </w:p>
    <w:p>
      <w:pPr>
        <w:pStyle w:val="ListBullet"/>
        <w:spacing w:line="240" w:lineRule="auto"/>
        <w:ind w:left="720"/>
      </w:pPr>
      <w:r>
        <w:rPr>
          <w:lang w:val="en_US" w:bidi="en_US"/>
        </w:rPr>
      </w:r>
      <w:r>
        <w:rPr>
          <w:lang w:val="en_US" w:bidi="en_US"/>
        </w:rPr>
        <w:t>He turned and said to them,</w:t>
      </w:r>
    </w:p>
    <w:p>
      <w:pPr/>
      <w:r>
        <w:rPr>
          <w:lang w:val="en_US" w:bidi="en_US"/>
        </w:rPr>
      </w:r>
      <w:r>
        <w:rPr>
          <w:b/>
          <w:lang w:val="en_US" w:bidi="en_US"/>
        </w:rPr>
        <w:t>He turned and said to them:</w:t>
      </w:r>
      <w:r>
        <w:rPr>
          <w:lang w:val="en_US" w:bidi="en_US"/>
        </w:rPr>
        <w:t xml:space="preserve"> The phrase </w:t>
      </w:r>
      <w:r>
        <w:rPr>
          <w:i/>
          <w:lang w:val="en_US" w:bidi="en_US"/>
        </w:rPr>
        <w:t>turned and said to them</w:t>
      </w:r>
      <w:r>
        <w:rPr>
          <w:lang w:val="en_US" w:bidi="en_US"/>
        </w:rPr>
        <w:t xml:space="preserve"> implies that Jesus was walking in front of the crowds of people who were following him. Then he stopped and turned to face them.</w:t>
      </w:r>
      <w:r>
        <w:rPr>
          <w:lang w:val="en_US" w:bidi="en_US"/>
        </w:rPr>
      </w:r>
      <w:r>
        <w:rPr>
          <w:lang w:val="en_US" w:bidi="en_US"/>
        </w:rPr>
      </w:r>
    </w:p>
    <w:p>
      <w:pPr/>
      <w:r>
        <w:rPr>
          <w:lang w:val="en_US" w:bidi="en_US"/>
        </w:rPr>
      </w:r>
    </w:p>
    <w:p>
      <w:pPr>
        <w:pStyle w:val="Heading2"/>
      </w:pPr>
      <w:r>
        <w:rPr>
          <w:lang w:val="en_US" w:bidi="en_US"/>
        </w:rPr>
        <w:t>Luke 14:26</w:t>
      </w:r>
      <w:r>
        <w:rPr>
          <w:lang w:val="en_US" w:bidi="en_US"/>
        </w:rPr>
      </w:r>
    </w:p>
    <w:p>
      <w:pPr>
        <w:pStyle w:val="Heading4"/>
      </w:pPr>
      <w:r>
        <w:rPr>
          <w:lang w:val="en_US" w:bidi="en_US"/>
        </w:rPr>
        <w:t>Section 14:25–35: A disciple of Jesus must be ready to suffer for him</w:t>
      </w:r>
    </w:p>
    <w:p>
      <w:pPr/>
      <w:r>
        <w:rPr>
          <w:lang w:val="en_US" w:bidi="en_US"/>
        </w:rPr>
      </w:r>
      <w:r>
        <w:rPr>
          <w:lang w:val="en_US" w:bidi="en_US"/>
        </w:rP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pPr/>
      <w:r>
        <w:rPr>
          <w:lang w:val="en_US" w:bidi="en_US"/>
        </w:rPr>
      </w:r>
      <w:r>
        <w:rPr>
          <w:lang w:val="en_US" w:bidi="en_US"/>
        </w:rPr>
        <w:t>Some other possible headings for this section are:</w:t>
      </w:r>
    </w:p>
    <w:p>
      <w:pPr/>
      <w:r>
        <w:rPr>
          <w:lang w:val="en_US" w:bidi="en_US"/>
        </w:rPr>
      </w:r>
      <w:r>
        <w:rPr>
          <w:lang w:val="en_US" w:bidi="en_US"/>
        </w:rPr>
        <w:t>The Cost of Being a Disciple (NIV)</w:t>
      </w:r>
    </w:p>
    <w:p>
      <w:pPr/>
      <w:r>
        <w:rPr>
          <w:lang w:val="en_US" w:bidi="en_US"/>
        </w:rPr>
      </w:r>
      <w:r>
        <w:rPr>
          <w:lang w:val="en_US" w:bidi="en_US"/>
        </w:rPr>
        <w:t>Do not underestimate the hardship of being a disciple</w:t>
      </w:r>
    </w:p>
    <w:p>
      <w:pPr>
        <w:pStyle w:val="Heading5"/>
      </w:pPr>
      <w:r>
        <w:rPr>
          <w:lang w:val="en_US" w:bidi="en_US"/>
        </w:rPr>
        <w:t>14:26a</w:t>
      </w:r>
    </w:p>
    <w:p>
      <w:pPr/>
      <w:r>
        <w:rPr>
          <w:lang w:val="en_US" w:bidi="en_US"/>
        </w:rPr>
      </w:r>
      <w:r>
        <w:rPr>
          <w:b/>
          <w:lang w:val="en_US" w:bidi="en_US"/>
        </w:rPr>
        <w:t>“If anyone comes to Me</w:t>
      </w:r>
    </w:p>
    <w:p>
      <w:pPr>
        <w:pStyle w:val="ListBullet"/>
        <w:spacing w:line="240" w:lineRule="auto"/>
        <w:ind w:left="720"/>
      </w:pPr>
      <w:r>
        <w:rPr>
          <w:lang w:val="en_US" w:bidi="en_US"/>
        </w:rPr>
      </w:r>
      <w:r>
        <w:rPr>
          <w:lang w:val="en_US" w:bidi="en_US"/>
        </w:rPr>
        <w:t xml:space="preserve">“If a person comes to me </w:t>
      </w:r>
      <w:r>
        <w:rPr>
          <w:lang w:val="en_US" w:bidi="en_US"/>
        </w:rPr>
        <w:t>to become my disciple</w:t>
      </w:r>
      <w:r>
        <w:rPr>
          <w:lang w:val="en_US" w:bidi="en_US"/>
        </w:rPr>
        <w:t>,</w:t>
      </w:r>
    </w:p>
    <w:p>
      <w:pPr>
        <w:pStyle w:val="ListBullet"/>
        <w:spacing w:line="240" w:lineRule="auto"/>
        <w:ind w:left="720"/>
      </w:pPr>
      <w:r>
        <w:rPr>
          <w:lang w:val="en_US" w:bidi="en_US"/>
        </w:rPr>
      </w:r>
      <w:r>
        <w:rPr>
          <w:lang w:val="en_US" w:bidi="en_US"/>
        </w:rPr>
        <w:t>“If you</w:t>
      </w:r>
      <w:r>
        <w:rPr>
          <w:vertAlign w:val="superscript"/>
          <w:lang w:val="en_US" w:bidi="en_US"/>
        </w:rPr>
        <w:t>(sing/plur)</w:t>
      </w:r>
      <w:r>
        <w:rPr>
          <w:lang w:val="en_US" w:bidi="en_US"/>
        </w:rPr>
        <w:t xml:space="preserve"> want to be my disciple</w:t>
      </w:r>
    </w:p>
    <w:p>
      <w:pPr/>
      <w:r>
        <w:rPr>
          <w:lang w:val="en_US" w:bidi="en_US"/>
        </w:rPr>
      </w:r>
      <w:r>
        <w:rPr>
          <w:b/>
          <w:lang w:val="en_US" w:bidi="en_US"/>
        </w:rPr>
        <w:t>If anyone comes to Me:</w:t>
      </w:r>
      <w:r>
        <w:rPr>
          <w:lang w:val="en_US" w:bidi="en_US"/>
        </w:rPr>
        <w:t xml:space="preserve"> It is implied from 14:26d that the person comes to Jesus in order to follow him or to become his disciple. In some languages it may be more natural to make this information explicit here. For example:</w:t>
      </w:r>
    </w:p>
    <w:p>
      <w:pPr/>
      <w:r>
        <w:rPr>
          <w:lang w:val="en_US" w:bidi="en_US"/>
        </w:rPr>
      </w:r>
      <w:r>
        <w:rPr>
          <w:lang w:val="en_US" w:bidi="en_US"/>
        </w:rPr>
        <w:t xml:space="preserve">If a person comes to me </w:t>
      </w:r>
      <w:r>
        <w:rPr>
          <w:lang w:val="en_US" w:bidi="en_US"/>
        </w:rPr>
        <w:t>to be my disciple</w:t>
      </w:r>
    </w:p>
    <w:p>
      <w:pPr/>
      <w:r>
        <w:rPr>
          <w:lang w:val="en_US" w:bidi="en_US"/>
        </w:rPr>
      </w:r>
      <w:r>
        <w:rPr>
          <w:b/>
          <w:lang w:val="en_US" w:bidi="en_US"/>
        </w:rPr>
        <w:t>anyone:</w:t>
      </w:r>
      <w:r>
        <w:rPr>
          <w:lang w:val="en_US" w:bidi="en_US"/>
        </w:rPr>
        <w:t xml:space="preserve"> Jesus was speaking here to anyone in the crowd. In this context, English can use a wide range of nouns or pronouns. For example:</w:t>
      </w:r>
    </w:p>
    <w:p>
      <w:pPr/>
      <w:r>
        <w:rPr>
          <w:lang w:val="en_US" w:bidi="en_US"/>
        </w:rPr>
      </w:r>
      <w:r>
        <w:rPr>
          <w:lang w:val="en_US" w:bidi="en_US"/>
        </w:rPr>
        <w:t>a person</w:t>
      </w:r>
    </w:p>
    <w:p>
      <w:pPr/>
      <w:r>
        <w:rPr>
          <w:lang w:val="en_US" w:bidi="en_US"/>
        </w:rPr>
      </w:r>
      <w:r>
        <w:rPr>
          <w:lang w:val="en_US" w:bidi="en_US"/>
        </w:rPr>
        <w:t>people (GW)</w:t>
      </w:r>
    </w:p>
    <w:p>
      <w:pPr/>
      <w:r>
        <w:rPr>
          <w:lang w:val="en_US" w:bidi="en_US"/>
        </w:rPr>
      </w:r>
      <w:r>
        <w:rPr>
          <w:lang w:val="en_US" w:bidi="en_US"/>
        </w:rPr>
        <w:t>Those (GNT)</w:t>
      </w:r>
    </w:p>
    <w:p>
      <w:pPr/>
      <w:r>
        <w:rPr>
          <w:lang w:val="en_US" w:bidi="en_US"/>
        </w:rPr>
      </w:r>
      <w:r>
        <w:rPr>
          <w:lang w:val="en_US" w:bidi="en_US"/>
        </w:rPr>
        <w:t>you (NLT)</w:t>
      </w:r>
    </w:p>
    <w:p>
      <w:pPr/>
      <w:r>
        <w:rPr>
          <w:lang w:val="en_US" w:bidi="en_US"/>
        </w:rPr>
      </w:r>
      <w:r>
        <w:rPr>
          <w:lang w:val="en_US" w:bidi="en_US"/>
        </w:rPr>
        <w:t>Use a natural way in your language to address any individual in a crowd.</w:t>
      </w:r>
    </w:p>
    <w:p>
      <w:pPr>
        <w:pStyle w:val="Heading5"/>
      </w:pPr>
      <w:r>
        <w:rPr>
          <w:lang w:val="en_US" w:bidi="en_US"/>
        </w:rPr>
        <w:t>14:26b</w:t>
      </w:r>
    </w:p>
    <w:p>
      <w:pPr/>
      <w:r>
        <w:rPr>
          <w:lang w:val="en_US" w:bidi="en_US"/>
        </w:rPr>
      </w:r>
      <w:r>
        <w:rPr>
          <w:b/>
          <w:lang w:val="en_US" w:bidi="en_US"/>
        </w:rPr>
        <w:t>and does not hate his father and mother and wife and children and brothers and sisters—</w:t>
      </w:r>
    </w:p>
    <w:p>
      <w:pPr>
        <w:pStyle w:val="ListBullet"/>
        <w:spacing w:line="240" w:lineRule="auto"/>
        <w:ind w:left="720"/>
      </w:pPr>
      <w:r>
        <w:rPr>
          <w:lang w:val="en_US" w:bidi="en_US"/>
        </w:rPr>
      </w:r>
      <w:r>
        <w:rPr>
          <w:lang w:val="en_US" w:bidi="en_US"/>
        </w:rPr>
        <w:t>he must hate his father and mother, his wife and children, his brothers and sisters,</w:t>
      </w:r>
    </w:p>
    <w:p>
      <w:pPr>
        <w:pStyle w:val="ListBullet"/>
        <w:spacing w:line="240" w:lineRule="auto"/>
        <w:ind w:left="720"/>
      </w:pPr>
      <w:r>
        <w:rPr>
          <w:lang w:val="en_US" w:bidi="en_US"/>
        </w:rPr>
      </w:r>
      <w:r>
        <w:rPr>
          <w:lang w:val="en_US" w:bidi="en_US"/>
        </w:rPr>
        <w:t>it is necessary that you love me more than you love your father and mother, your wife and children, and your siblings.</w:t>
      </w:r>
    </w:p>
    <w:p>
      <w:pPr/>
      <w:r>
        <w:rPr>
          <w:lang w:val="en_US" w:bidi="en_US"/>
        </w:rPr>
      </w:r>
      <w:r>
        <w:rPr>
          <w:b/>
          <w:lang w:val="en_US" w:bidi="en_US"/>
        </w:rPr>
        <w:t>and does not hate:</w:t>
      </w:r>
      <w:r>
        <w:rPr>
          <w:lang w:val="en_US" w:bidi="en_US"/>
        </w:rPr>
        <w:t xml:space="preserve"> This verse part gives the condition that a person must fulfill in order to become Jesus’ disciple. In many languages it will be more natural to state this condition in a separate clause as a requirement. For example:</w:t>
      </w:r>
    </w:p>
    <w:p>
      <w:pPr/>
      <w:r>
        <w:rPr>
          <w:lang w:val="en_US" w:bidi="en_US"/>
        </w:rPr>
      </w:r>
      <w:r>
        <w:rPr>
          <w:lang w:val="en_US" w:bidi="en_US"/>
        </w:rPr>
        <w:t>he must hate</w:t>
      </w:r>
    </w:p>
    <w:p>
      <w:pPr/>
      <w:r>
        <w:rPr>
          <w:lang w:val="en_US" w:bidi="en_US"/>
        </w:rPr>
      </w:r>
      <w:r>
        <w:rPr>
          <w:b/>
          <w:lang w:val="en_US" w:bidi="en_US"/>
        </w:rPr>
        <w:t>hate:</w:t>
      </w:r>
      <w:r>
        <w:rPr>
          <w:lang w:val="en_US" w:bidi="en_US"/>
        </w:rPr>
        <w:t xml:space="preserve"> The word </w:t>
      </w:r>
      <w:r>
        <w:rPr>
          <w:i/>
          <w:lang w:val="en_US" w:bidi="en_US"/>
        </w:rPr>
        <w:t>hate</w:t>
      </w:r>
      <w:r>
        <w:rPr>
          <w:lang w:val="en_US" w:bidi="en_US"/>
        </w:rPr>
        <w:t xml:space="preserve"> is used here as a figure of speech in which hatred means “a lesser degree of love.” When Jesus said that a person must </w:t>
      </w:r>
      <w:r>
        <w:rPr>
          <w:i/>
          <w:lang w:val="en_US" w:bidi="en_US"/>
        </w:rPr>
        <w:t>hate</w:t>
      </w:r>
      <w:r>
        <w:rPr>
          <w:lang w:val="en_US" w:bidi="en_US"/>
        </w:rPr>
        <w:t xml:space="preserve"> his father and mother, he did not mean that a person must literally hate his parents. He meant that a person must love his father and mother less than he loved Jesus. He must love Jesus more than he loved his father and mother. See the parallel verse in Matthew 10:37.</w:t>
      </w:r>
    </w:p>
    <w:p>
      <w:pPr/>
      <w:r>
        <w:rPr>
          <w:lang w:val="en_US" w:bidi="en_US"/>
        </w:rPr>
      </w:r>
      <w:r>
        <w:rPr>
          <w:lang w:val="en_US" w:bidi="en_US"/>
        </w:rPr>
        <w:t>In some languages a strong word such as “hate” will express the right meaning very dramatically. In other languages, a literal translation will express the wrong meaning. Jesus did not literally mean that anyone should “hate” his family. Some translation options to avoid that wrong meaning are:</w:t>
      </w:r>
    </w:p>
    <w:p>
      <w:pPr>
        <w:pStyle w:val="ListBullet"/>
        <w:spacing w:line="240" w:lineRule="auto"/>
        <w:ind w:left="720"/>
      </w:pPr>
      <w:r>
        <w:rPr>
          <w:lang w:val="en_US" w:bidi="en_US"/>
        </w:rPr>
      </w:r>
      <w:r>
        <w:rPr>
          <w:lang w:val="en_US" w:bidi="en_US"/>
        </w:rPr>
        <w:t>Keep the literal word “hate” but make explicit that it is a comparison. For example:</w:t>
      </w:r>
      <w:r>
        <w:rPr>
          <w:lang w:val="en_US" w:bidi="en_US"/>
        </w:rPr>
        <w:t>you must hate everyone else by comparison—your father and mother… (NLT)</w:t>
      </w:r>
    </w:p>
    <w:p>
      <w:pPr>
        <w:pStyle w:val="ListBullet"/>
        <w:spacing w:line="240" w:lineRule="auto"/>
        <w:ind w:left="720"/>
      </w:pPr>
      <w:r>
        <w:rPr>
          <w:lang w:val="en_US" w:bidi="en_US"/>
        </w:rPr>
      </w:r>
      <w:r>
        <w:rPr>
          <w:lang w:val="en_US" w:bidi="en_US"/>
        </w:rPr>
        <w:t>Use a strong expression such as “reject” or “turn his back on” that avoids the unacceptable connotations of hatred. For example:</w:t>
      </w:r>
      <w:r>
        <w:rPr>
          <w:lang w:val="en_US" w:bidi="en_US"/>
        </w:rPr>
        <w:t>and are not ready to abandon their fathers, mothers… (GW)</w:t>
      </w:r>
    </w:p>
    <w:p>
      <w:pPr>
        <w:pStyle w:val="ListBullet"/>
        <w:spacing w:line="240" w:lineRule="auto"/>
        <w:ind w:left="720"/>
      </w:pPr>
      <w:r>
        <w:rPr>
          <w:lang w:val="en_US" w:bidi="en_US"/>
        </w:rPr>
      </w:r>
      <w:r>
        <w:rPr>
          <w:lang w:val="en_US" w:bidi="en_US"/>
        </w:rPr>
        <w:t>Translate the figurative meaning directly. For example:</w:t>
      </w:r>
      <w:r>
        <w:rPr>
          <w:lang w:val="en_US" w:bidi="en_US"/>
        </w:rPr>
        <w:t>but loves his father, mother…more than me (NCV)</w:t>
      </w:r>
    </w:p>
    <w:p>
      <w:pPr/>
      <w:r>
        <w:rPr>
          <w:lang w:val="en_US" w:bidi="en_US"/>
        </w:rPr>
      </w:r>
      <w:r>
        <w:rPr>
          <w:b/>
          <w:lang w:val="en_US" w:bidi="en_US"/>
        </w:rPr>
        <w:t>his father and mother and wife and children and brothers and sisters:</w:t>
      </w:r>
      <w:r>
        <w:rPr>
          <w:lang w:val="en_US" w:bidi="en_US"/>
        </w:rPr>
        <w:t xml:space="preserve"> Languages express these terms in different ways. In some languages it may be more natural to say “his parents, his spouse and children, his siblings.” Use terms that are natural in your language.</w:t>
      </w:r>
    </w:p>
    <w:p>
      <w:pPr>
        <w:pStyle w:val="Heading5"/>
      </w:pPr>
      <w:r>
        <w:rPr>
          <w:lang w:val="en_US" w:bidi="en_US"/>
        </w:rPr>
        <w:t>14:26c</w:t>
      </w:r>
    </w:p>
    <w:p>
      <w:pPr/>
      <w:r>
        <w:rPr>
          <w:lang w:val="en_US" w:bidi="en_US"/>
        </w:rPr>
      </w:r>
      <w:r>
        <w:rPr>
          <w:b/>
          <w:lang w:val="en_US" w:bidi="en_US"/>
        </w:rPr>
        <w:t>yes, even his own life—</w:t>
      </w:r>
    </w:p>
    <w:p>
      <w:pPr>
        <w:pStyle w:val="ListBullet"/>
        <w:spacing w:line="240" w:lineRule="auto"/>
        <w:ind w:left="720"/>
      </w:pPr>
      <w:r>
        <w:rPr>
          <w:lang w:val="en_US" w:bidi="en_US"/>
        </w:rPr>
      </w:r>
      <w:r>
        <w:rPr>
          <w:lang w:val="en_US" w:bidi="en_US"/>
        </w:rPr>
        <w:t>and even his own life.</w:t>
      </w:r>
    </w:p>
    <w:p>
      <w:pPr>
        <w:pStyle w:val="ListBullet"/>
        <w:spacing w:line="240" w:lineRule="auto"/>
        <w:ind w:left="720"/>
      </w:pPr>
      <w:r>
        <w:rPr>
          <w:lang w:val="en_US" w:bidi="en_US"/>
        </w:rPr>
      </w:r>
      <w:r>
        <w:rPr>
          <w:lang w:val="en_US" w:bidi="en_US"/>
        </w:rPr>
        <w:t xml:space="preserve">In fact, </w:t>
      </w:r>
      <w:r>
        <w:rPr>
          <w:lang w:val="en_US" w:bidi="en_US"/>
        </w:rPr>
        <w:t>you</w:t>
      </w:r>
      <w:r>
        <w:rPr>
          <w:vertAlign w:val="superscript"/>
          <w:lang w:val="en_US" w:bidi="en_US"/>
        </w:rPr>
        <w:t>(sing/plur)</w:t>
      </w:r>
      <w:r>
        <w:rPr>
          <w:lang w:val="en_US" w:bidi="en_US"/>
        </w:rPr>
        <w:t xml:space="preserve"> </w:t>
      </w:r>
      <w:r>
        <w:rPr>
          <w:lang w:val="en_US" w:bidi="en_US"/>
        </w:rPr>
        <w:t>must even love me more than</w:t>
      </w:r>
      <w:r>
        <w:rPr>
          <w:lang w:val="en_US" w:bidi="en_US"/>
        </w:rPr>
        <w:t xml:space="preserve"> your own life/self.</w:t>
      </w:r>
    </w:p>
    <w:p>
      <w:pPr/>
      <w:r>
        <w:rPr>
          <w:lang w:val="en_US" w:bidi="en_US"/>
        </w:rPr>
      </w:r>
      <w:r>
        <w:rPr>
          <w:b/>
          <w:lang w:val="en_US" w:bidi="en_US"/>
        </w:rPr>
        <w:t>yes, even his own life:</w:t>
      </w:r>
      <w:r>
        <w:rPr>
          <w:lang w:val="en_US" w:bidi="en_US"/>
        </w:rPr>
        <w:t xml:space="preserve"> The Greek words that the BSB translates as </w:t>
      </w:r>
      <w:r>
        <w:rPr>
          <w:i/>
          <w:lang w:val="en_US" w:bidi="en_US"/>
        </w:rPr>
        <w:t>yes, even</w:t>
      </w:r>
      <w:r>
        <w:rPr>
          <w:lang w:val="en_US" w:bidi="en_US"/>
        </w:rPr>
        <w:t xml:space="preserve"> are literally “and also in-addition.” These words emphasize the phrase </w:t>
      </w:r>
      <w:r>
        <w:rPr>
          <w:i/>
          <w:lang w:val="en_US" w:bidi="en_US"/>
        </w:rPr>
        <w:t>his own life</w:t>
      </w:r>
      <w:r>
        <w:rPr>
          <w:lang w:val="en_US" w:bidi="en_US"/>
        </w:rPr>
        <w:t>. It was startling enough for Jesus to say that a person had to hate his own relatives. It was even more startling that a person needed to hate his own life. He needed to love Jesus more than he loved himself and be willing to die for Jesus if necessary.</w:t>
      </w:r>
    </w:p>
    <w:p>
      <w:pPr/>
      <w:r>
        <w:rPr>
          <w:lang w:val="en_US" w:bidi="en_US"/>
        </w:rPr>
      </w:r>
      <w:r>
        <w:rPr>
          <w:lang w:val="en_US" w:bidi="en_US"/>
        </w:rPr>
        <w:t>The BSB uses long dashes at the beginning and end of this phrase to indicate this emphasis. You do not need to use dashes unless it is natural in your language. Another way to emphasize this last item in the series is to start a new sentence. For example:</w:t>
      </w:r>
    </w:p>
    <w:p>
      <w:pPr/>
      <w:r>
        <w:rPr>
          <w:lang w:val="en_US" w:bidi="en_US"/>
        </w:rPr>
      </w:r>
      <w:r>
        <w:rPr>
          <w:lang w:val="en_US" w:bidi="en_US"/>
        </w:rPr>
        <w:t>In fact, he must hate even his own life. Otherwise, he cannot be…</w:t>
      </w:r>
    </w:p>
    <w:p>
      <w:pPr>
        <w:pStyle w:val="Heading5"/>
      </w:pPr>
      <w:r>
        <w:rPr>
          <w:lang w:val="en_US" w:bidi="en_US"/>
        </w:rPr>
        <w:t>14:26d</w:t>
      </w:r>
    </w:p>
    <w:p>
      <w:pPr/>
      <w:r>
        <w:rPr>
          <w:lang w:val="en_US" w:bidi="en_US"/>
        </w:rPr>
      </w:r>
      <w:r>
        <w:rPr>
          <w:b/>
          <w:lang w:val="en_US" w:bidi="en_US"/>
        </w:rPr>
        <w:t>he cannot be My disciple.</w:t>
      </w:r>
    </w:p>
    <w:p>
      <w:pPr>
        <w:pStyle w:val="ListBullet"/>
        <w:spacing w:line="240" w:lineRule="auto"/>
        <w:ind w:left="720"/>
      </w:pPr>
      <w:r>
        <w:rPr>
          <w:lang w:val="en_US" w:bidi="en_US"/>
        </w:rPr>
      </w:r>
      <w:r>
        <w:rPr>
          <w:lang w:val="en_US" w:bidi="en_US"/>
        </w:rPr>
        <w:t>Otherwise,</w:t>
      </w:r>
      <w:r>
        <w:rPr>
          <w:lang w:val="en_US" w:bidi="en_US"/>
        </w:rPr>
        <w:t xml:space="preserve"> he cannot be my disciple.</w:t>
      </w:r>
    </w:p>
    <w:p>
      <w:pPr>
        <w:pStyle w:val="ListBullet"/>
        <w:spacing w:line="240" w:lineRule="auto"/>
        <w:ind w:left="720"/>
      </w:pPr>
      <w:r>
        <w:rPr>
          <w:lang w:val="en_US" w:bidi="en_US"/>
        </w:rPr>
      </w:r>
      <w:r>
        <w:rPr>
          <w:lang w:val="en_US" w:bidi="en_US"/>
        </w:rPr>
        <w:t>If you do not,</w:t>
      </w:r>
      <w:r>
        <w:rPr>
          <w:lang w:val="en_US" w:bidi="en_US"/>
        </w:rPr>
        <w:t xml:space="preserve"> you</w:t>
      </w:r>
      <w:r>
        <w:rPr>
          <w:vertAlign w:val="superscript"/>
          <w:lang w:val="en_US" w:bidi="en_US"/>
        </w:rPr>
        <w:t>(sing/plur)</w:t>
      </w:r>
      <w:r>
        <w:rPr>
          <w:lang w:val="en_US" w:bidi="en_US"/>
        </w:rPr>
        <w:t xml:space="preserve"> cannot be my follower.</w:t>
      </w:r>
    </w:p>
    <w:p>
      <w:pPr/>
      <w:r>
        <w:rPr>
          <w:lang w:val="en_US" w:bidi="en_US"/>
        </w:rPr>
      </w:r>
      <w:r>
        <w:rPr>
          <w:b/>
          <w:lang w:val="en_US" w:bidi="en_US"/>
        </w:rPr>
        <w:t>he cannot be My disciple:</w:t>
      </w:r>
      <w:r>
        <w:rPr>
          <w:lang w:val="en_US" w:bidi="en_US"/>
        </w:rPr>
        <w:t xml:space="preserve"> If you stated 14:26b as a requirement “he must hate,” you will need to connect 14:26d in a different way. For example:</w:t>
      </w:r>
    </w:p>
    <w:p>
      <w:pPr/>
      <w:r>
        <w:rPr>
          <w:lang w:val="en_US" w:bidi="en_US"/>
        </w:rPr>
      </w:r>
      <w:r>
        <w:rPr>
          <w:lang w:val="en_US" w:bidi="en_US"/>
        </w:rPr>
        <w:t>Otherwise,</w:t>
      </w:r>
      <w:r>
        <w:rPr>
          <w:lang w:val="en_US" w:bidi="en_US"/>
        </w:rPr>
        <w:t xml:space="preserve"> you cannot be my disciple</w:t>
      </w:r>
    </w:p>
    <w:p>
      <w:pPr/>
      <w:r>
        <w:rPr>
          <w:lang w:val="en_US" w:bidi="en_US"/>
        </w:rPr>
      </w:r>
      <w:r>
        <w:rPr>
          <w:lang w:val="en_US" w:bidi="en_US"/>
        </w:rPr>
        <w:t>If you do not do this,</w:t>
      </w:r>
      <w:r>
        <w:rPr>
          <w:lang w:val="en_US" w:bidi="en_US"/>
        </w:rPr>
        <w:t xml:space="preserve"> you cannot be my follower</w:t>
      </w:r>
    </w:p>
    <w:p>
      <w:pPr/>
      <w:r>
        <w:rPr>
          <w:lang w:val="en_US" w:bidi="en_US"/>
        </w:rPr>
      </w:r>
      <w:r>
        <w:rPr>
          <w:b/>
          <w:lang w:val="en_US" w:bidi="en_US"/>
        </w:rPr>
        <w:t>disciple:</w:t>
      </w:r>
      <w:r>
        <w:rPr>
          <w:lang w:val="en_US" w:bidi="en_US"/>
        </w:rPr>
        <w:t xml:space="preserve"> For help in translating the word </w:t>
      </w:r>
      <w:r>
        <w:rPr>
          <w:i/>
          <w:lang w:val="en_US" w:bidi="en_US"/>
        </w:rPr>
        <w:t>disciple</w:t>
      </w:r>
      <w:r>
        <w:rPr>
          <w:lang w:val="en_US" w:bidi="en_US"/>
        </w:rPr>
        <w:t>, see the note at 9:14b.</w:t>
      </w:r>
    </w:p>
    <w:p>
      <w:pPr>
        <w:pStyle w:val="Heading6"/>
      </w:pPr>
      <w:r>
        <w:rPr>
          <w:b/>
          <w:lang w:val="en_US" w:bidi="en_US"/>
        </w:rPr>
        <w:t>General Comment on 14:26a–d</w:t>
      </w:r>
    </w:p>
    <w:p>
      <w:pPr/>
      <w:r>
        <w:rPr>
          <w:lang w:val="en_US" w:bidi="en_US"/>
        </w:rPr>
      </w:r>
      <w:r>
        <w:rPr>
          <w:lang w:val="en_US" w:bidi="en_US"/>
        </w:rPr>
        <w:t>In some languages it may be helpful to reorder the clauses in this verse. For example:</w:t>
      </w:r>
    </w:p>
    <w:p>
      <w:pPr/>
      <w:r>
        <w:rPr>
          <w:lang w:val="en_US" w:bidi="en_US"/>
        </w:rPr>
      </w:r>
      <w:r>
        <w:rPr>
          <w:vertAlign w:val="superscript"/>
          <w:lang w:val="en_US" w:bidi="en_US"/>
        </w:rPr>
        <w:t>26a</w:t>
      </w:r>
      <w:r>
        <w:rPr>
          <w:lang w:val="en_US" w:bidi="en_US"/>
        </w:rPr>
        <w:t xml:space="preserve">No one who comes to me </w:t>
      </w:r>
      <w:r>
        <w:rPr>
          <w:vertAlign w:val="superscript"/>
          <w:lang w:val="en_US" w:bidi="en_US"/>
        </w:rPr>
        <w:t>26d</w:t>
      </w:r>
      <w:r>
        <w:rPr>
          <w:lang w:val="en_US" w:bidi="en_US"/>
        </w:rPr>
        <w:t xml:space="preserve">can be my disciple </w:t>
      </w:r>
      <w:r>
        <w:rPr>
          <w:vertAlign w:val="superscript"/>
          <w:lang w:val="en_US" w:bidi="en_US"/>
        </w:rPr>
        <w:t>26b</w:t>
      </w:r>
      <w:r>
        <w:rPr>
          <w:lang w:val="en_US" w:bidi="en_US"/>
        </w:rPr>
        <w:t>if he does not hate his father and mother, his wife and children, his brothers and sisters—</w:t>
      </w:r>
      <w:r>
        <w:rPr>
          <w:vertAlign w:val="superscript"/>
          <w:lang w:val="en_US" w:bidi="en_US"/>
        </w:rPr>
        <w:t>26c</w:t>
      </w:r>
      <w:r>
        <w:rPr>
          <w:lang w:val="en_US" w:bidi="en_US"/>
        </w:rPr>
        <w:t>yes, even his own life.</w:t>
      </w:r>
    </w:p>
    <w:p>
      <w:pPr/>
      <w:r>
        <w:rPr>
          <w:lang w:val="en_US" w:bidi="en_US"/>
        </w:rPr>
      </w:r>
      <w:r>
        <w:rPr>
          <w:lang w:val="en_US" w:bidi="en_US"/>
        </w:rPr>
        <w:t>It is also possible to follow this order but translate the figurative meaning of “hate”:</w:t>
      </w:r>
    </w:p>
    <w:p>
      <w:pPr/>
      <w:r>
        <w:rPr>
          <w:lang w:val="en_US" w:bidi="en_US"/>
        </w:rPr>
      </w:r>
      <w:r>
        <w:rPr>
          <w:vertAlign w:val="superscript"/>
          <w:lang w:val="en_US" w:bidi="en_US"/>
        </w:rPr>
        <w:t>26a</w:t>
      </w:r>
      <w:r>
        <w:rPr>
          <w:lang w:val="en_US" w:bidi="en_US"/>
        </w:rPr>
        <w:t xml:space="preserve">Those who come to me </w:t>
      </w:r>
      <w:r>
        <w:rPr>
          <w:vertAlign w:val="superscript"/>
          <w:lang w:val="en_US" w:bidi="en_US"/>
        </w:rPr>
        <w:t>26d</w:t>
      </w:r>
      <w:r>
        <w:rPr>
          <w:lang w:val="en_US" w:bidi="en_US"/>
        </w:rPr>
        <w:t xml:space="preserve">cannot be my disciples </w:t>
      </w:r>
      <w:r>
        <w:rPr>
          <w:vertAlign w:val="superscript"/>
          <w:lang w:val="en_US" w:bidi="en_US"/>
        </w:rPr>
        <w:t>26b</w:t>
      </w:r>
      <w:r>
        <w:rPr>
          <w:lang w:val="en_US" w:bidi="en_US"/>
        </w:rPr>
        <w:t xml:space="preserve">unless they love me more than they love father and mother, wife and children, brothers and sisters, </w:t>
      </w:r>
      <w:r>
        <w:rPr>
          <w:vertAlign w:val="superscript"/>
          <w:lang w:val="en_US" w:bidi="en_US"/>
        </w:rPr>
        <w:t>26c</w:t>
      </w:r>
      <w:r>
        <w:rPr>
          <w:lang w:val="en_US" w:bidi="en_US"/>
        </w:rPr>
        <w:t>and themselves as well. (GNT)</w:t>
      </w:r>
      <w:r>
        <w:rPr>
          <w:lang w:val="en_US" w:bidi="en_US"/>
        </w:rPr>
      </w:r>
      <w:r>
        <w:rPr>
          <w:lang w:val="en_US" w:bidi="en_US"/>
        </w:rPr>
      </w:r>
    </w:p>
    <w:p>
      <w:pPr/>
      <w:r>
        <w:rPr>
          <w:lang w:val="en_US" w:bidi="en_US"/>
        </w:rPr>
      </w:r>
    </w:p>
    <w:p>
      <w:pPr>
        <w:pStyle w:val="Heading2"/>
      </w:pPr>
      <w:r>
        <w:rPr>
          <w:lang w:val="en_US" w:bidi="en_US"/>
        </w:rPr>
        <w:t>Luke 14:27</w:t>
      </w:r>
      <w:r>
        <w:rPr>
          <w:lang w:val="en_US" w:bidi="en_US"/>
        </w:rPr>
      </w:r>
    </w:p>
    <w:p>
      <w:pPr>
        <w:pStyle w:val="Heading4"/>
      </w:pPr>
      <w:r>
        <w:rPr>
          <w:lang w:val="en_US" w:bidi="en_US"/>
        </w:rPr>
        <w:t>Section 14:25–35: A disciple of Jesus must be ready to suffer for him</w:t>
      </w:r>
    </w:p>
    <w:p>
      <w:pPr/>
      <w:r>
        <w:rPr>
          <w:lang w:val="en_US" w:bidi="en_US"/>
        </w:rPr>
      </w:r>
      <w:r>
        <w:rPr>
          <w:lang w:val="en_US" w:bidi="en_US"/>
        </w:rP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pPr/>
      <w:r>
        <w:rPr>
          <w:lang w:val="en_US" w:bidi="en_US"/>
        </w:rPr>
      </w:r>
      <w:r>
        <w:rPr>
          <w:lang w:val="en_US" w:bidi="en_US"/>
        </w:rPr>
        <w:t>Some other possible headings for this section are:</w:t>
      </w:r>
    </w:p>
    <w:p>
      <w:pPr/>
      <w:r>
        <w:rPr>
          <w:lang w:val="en_US" w:bidi="en_US"/>
        </w:rPr>
      </w:r>
      <w:r>
        <w:rPr>
          <w:lang w:val="en_US" w:bidi="en_US"/>
        </w:rPr>
        <w:t>The Cost of Being a Disciple (NIV)</w:t>
      </w:r>
    </w:p>
    <w:p>
      <w:pPr/>
      <w:r>
        <w:rPr>
          <w:lang w:val="en_US" w:bidi="en_US"/>
        </w:rPr>
      </w:r>
      <w:r>
        <w:rPr>
          <w:lang w:val="en_US" w:bidi="en_US"/>
        </w:rPr>
        <w:t>Do not underestimate the hardship of being a disciple</w:t>
      </w:r>
    </w:p>
    <w:p>
      <w:pPr>
        <w:pStyle w:val="Heading5"/>
      </w:pPr>
      <w:r>
        <w:rPr>
          <w:lang w:val="en_US" w:bidi="en_US"/>
        </w:rPr>
        <w:t>14:27</w:t>
      </w:r>
    </w:p>
    <w:p>
      <w:pPr/>
      <w:r>
        <w:rPr>
          <w:lang w:val="en_US" w:bidi="en_US"/>
        </w:rPr>
      </w:r>
      <w:r>
        <w:rPr>
          <w:b/>
          <w:lang w:val="en_US" w:bidi="en_US"/>
        </w:rPr>
        <w:t>And whoever does not carry his cross and follow Me cannot be My disciple.</w:t>
      </w:r>
    </w:p>
    <w:p>
      <w:pPr>
        <w:pStyle w:val="ListBullet"/>
        <w:spacing w:line="240" w:lineRule="auto"/>
        <w:ind w:left="720"/>
      </w:pPr>
      <w:r>
        <w:rPr>
          <w:lang w:val="en_US" w:bidi="en_US"/>
        </w:rPr>
      </w:r>
      <w:r>
        <w:rPr>
          <w:lang w:val="en_US" w:bidi="en_US"/>
        </w:rPr>
        <w:t>If any person refuses to carry his cross and follow me, he cannot be my disciple.</w:t>
      </w:r>
    </w:p>
    <w:p>
      <w:pPr>
        <w:pStyle w:val="ListBullet"/>
        <w:spacing w:line="240" w:lineRule="auto"/>
        <w:ind w:left="720"/>
      </w:pPr>
      <w:r>
        <w:rPr>
          <w:lang w:val="en_US" w:bidi="en_US"/>
        </w:rPr>
      </w:r>
      <w:r>
        <w:rPr>
          <w:lang w:val="en_US" w:bidi="en_US"/>
        </w:rPr>
        <w:t xml:space="preserve">Everyone must be willing to suffer as the result of being my disciple, </w:t>
      </w:r>
      <w:r>
        <w:rPr>
          <w:lang w:val="en_US" w:bidi="en_US"/>
        </w:rPr>
        <w:t>even if he must die</w:t>
      </w:r>
      <w:r>
        <w:rPr>
          <w:lang w:val="en_US" w:bidi="en_US"/>
        </w:rPr>
        <w:t>. If he is not willing to die, he cannot be my disciple.</w:t>
      </w:r>
    </w:p>
    <w:p>
      <w:pPr>
        <w:pStyle w:val="ListBullet"/>
        <w:spacing w:line="240" w:lineRule="auto"/>
        <w:ind w:left="720"/>
      </w:pPr>
      <w:r>
        <w:rPr>
          <w:lang w:val="en_US" w:bidi="en_US"/>
        </w:rPr>
      </w:r>
      <w:r>
        <w:rPr>
          <w:lang w:val="en_US" w:bidi="en_US"/>
        </w:rPr>
        <w:t>Also, if you</w:t>
      </w:r>
      <w:r>
        <w:rPr>
          <w:vertAlign w:val="superscript"/>
          <w:lang w:val="en_US" w:bidi="en_US"/>
        </w:rPr>
        <w:t>(sing/plur)</w:t>
      </w:r>
      <w:r>
        <w:rPr>
          <w:lang w:val="en_US" w:bidi="en_US"/>
        </w:rPr>
        <w:t xml:space="preserve"> are not willing to suffer and die because of being my follower, it is not possible for you to be my follower.</w:t>
      </w:r>
    </w:p>
    <w:p>
      <w:pPr/>
      <w:r>
        <w:rPr>
          <w:lang w:val="en_US" w:bidi="en_US"/>
        </w:rPr>
      </w:r>
      <w:r>
        <w:rPr>
          <w:b/>
          <w:lang w:val="en_US" w:bidi="en_US"/>
        </w:rPr>
        <w:t>And whoever does not carry his cross and follow Me cannot be My disciple:</w:t>
      </w:r>
      <w:r>
        <w:rPr>
          <w:lang w:val="en_US" w:bidi="en_US"/>
        </w:rPr>
        <w:t xml:space="preserve"> If you reordered 14:26 as shown in the preceding General Comment, you may also want to reorder 14:27. For example:</w:t>
      </w:r>
    </w:p>
    <w:p>
      <w:pPr/>
      <w:r>
        <w:rPr>
          <w:lang w:val="en_US" w:bidi="en_US"/>
        </w:rPr>
      </w:r>
      <w:r>
        <w:rPr>
          <w:lang w:val="en_US" w:bidi="en_US"/>
        </w:rPr>
        <w:t>And no one can be my disciple unless he carries his cross and follows me.</w:t>
      </w:r>
    </w:p>
    <w:p>
      <w:pPr/>
      <w:r>
        <w:rPr>
          <w:lang w:val="en_US" w:bidi="en_US"/>
        </w:rPr>
      </w:r>
      <w:r>
        <w:rPr>
          <w:b/>
          <w:lang w:val="en_US" w:bidi="en_US"/>
        </w:rPr>
        <w:t>carry his cross:</w:t>
      </w:r>
      <w:r>
        <w:rPr>
          <w:lang w:val="en_US" w:bidi="en_US"/>
        </w:rPr>
        <w:t xml:space="preserve"> The phrase </w:t>
      </w:r>
      <w:r>
        <w:rPr>
          <w:i/>
          <w:lang w:val="en_US" w:bidi="en_US"/>
        </w:rPr>
        <w:t>carry his cross</w:t>
      </w:r>
      <w:r>
        <w:rPr>
          <w:lang w:val="en_US" w:bidi="en_US"/>
        </w:rPr>
        <w:t xml:space="preserve"> refers to the way that Roman soldiers executed criminals. They forced a condemned criminal to pick up a large wooden cross. He had to carry it to the place where he would be put to death. Then the soldiers nailed him on the cross to die.</w:t>
      </w:r>
    </w:p>
    <w:p>
      <w:pPr/>
      <w:r>
        <w:rPr>
          <w:lang w:val="en_US" w:bidi="en_US"/>
        </w:rPr>
      </w:r>
      <w:r>
        <w:rPr>
          <w:lang w:val="en_US" w:bidi="en_US"/>
        </w:rPr>
        <w:t>When Jesus used this phrase, he knew that the Romans would soon force him to carry a literal cross. But in this context, he used the phrase figuratively. Jesus meant that anyone who wanted to become his disciple had to be willing to suffer and die in order to obey him.</w:t>
      </w:r>
    </w:p>
    <w:p>
      <w:pPr/>
      <w:r>
        <w:rPr>
          <w:lang w:val="en_US" w:bidi="en_US"/>
        </w:rPr>
      </w:r>
      <w:r>
        <w:rPr>
          <w:lang w:val="en_US" w:bidi="en_US"/>
        </w:rPr>
        <w:t xml:space="preserve">Some ways to translate the phrase </w:t>
      </w:r>
      <w:r>
        <w:rPr>
          <w:i/>
          <w:lang w:val="en_US" w:bidi="en_US"/>
        </w:rPr>
        <w:t>carry his cross</w:t>
      </w:r>
      <w:r>
        <w:rPr>
          <w:lang w:val="en_US" w:bidi="en_US"/>
        </w:rPr>
        <w:t xml:space="preserve"> are:</w:t>
      </w:r>
    </w:p>
    <w:p>
      <w:pPr>
        <w:pStyle w:val="ListBullet"/>
        <w:spacing w:line="240" w:lineRule="auto"/>
        <w:ind w:left="720"/>
      </w:pPr>
      <w:r>
        <w:rPr>
          <w:lang w:val="en_US" w:bidi="en_US"/>
        </w:rPr>
      </w:r>
      <w:r>
        <w:rPr>
          <w:lang w:val="en_US" w:bidi="en_US"/>
        </w:rPr>
        <w:t>Translate the figure of speech literally and add a footnote that explains the meaning. A sample footnote is:</w:t>
      </w:r>
      <w:r>
        <w:rPr>
          <w:lang w:val="en_US" w:bidi="en_US"/>
        </w:rPr>
        <w:t>In the time of Jesus, a person who was condemned to be nailed to a cross was forced to carry the cross. He carried it to the place where he would be nailed to it. Here Jesus was saying that a person who wants to be his follower must be ready to suffer and die in order to follow Jesus.</w:t>
      </w:r>
    </w:p>
    <w:p>
      <w:pPr>
        <w:pStyle w:val="ListBullet"/>
        <w:spacing w:line="240" w:lineRule="auto"/>
        <w:ind w:left="720"/>
      </w:pPr>
      <w:r>
        <w:rPr>
          <w:lang w:val="en_US" w:bidi="en_US"/>
        </w:rPr>
      </w:r>
      <w:r>
        <w:rPr>
          <w:lang w:val="en_US" w:bidi="en_US"/>
        </w:rPr>
        <w:t>Omit the figure of speech and translate the meaning directly. For example:</w:t>
      </w:r>
      <w:r>
        <w:rPr>
          <w:lang w:val="en_US" w:bidi="en_US"/>
        </w:rPr>
        <w:t>is not willing to suffer and even die</w:t>
      </w:r>
    </w:p>
    <w:p>
      <w:pPr/>
      <w:r>
        <w:rPr>
          <w:lang w:val="en_US" w:bidi="en_US"/>
        </w:rPr>
      </w:r>
      <w:r>
        <w:rPr>
          <w:lang w:val="en_US" w:bidi="en_US"/>
        </w:rPr>
        <w:t>If you follow this option, consider adding a footnote that gives Jesus’ literal words.</w:t>
      </w:r>
    </w:p>
    <w:p>
      <w:pPr/>
      <w:r>
        <w:rPr>
          <w:lang w:val="en_US" w:bidi="en_US"/>
        </w:rPr>
      </w:r>
      <w:r>
        <w:rPr>
          <w:lang w:val="en_US" w:bidi="en_US"/>
        </w:rPr>
        <w:t>See also the note on 9:23d, where a similar phrase occurs. Be aware that in that verse, the word “daily” may make a slight difference in the meaning.</w:t>
      </w:r>
    </w:p>
    <w:p>
      <w:pPr/>
      <w:r>
        <w:rPr>
          <w:lang w:val="en_US" w:bidi="en_US"/>
        </w:rPr>
      </w:r>
      <w:r>
        <w:rPr>
          <w:b/>
          <w:lang w:val="en_US" w:bidi="en_US"/>
        </w:rPr>
        <w:t>cross:</w:t>
      </w:r>
      <w:r>
        <w:rPr>
          <w:lang w:val="en_US" w:bidi="en_US"/>
        </w:rPr>
        <w:t xml:space="preserve"> A </w:t>
      </w:r>
      <w:r>
        <w:rPr>
          <w:i/>
          <w:lang w:val="en_US" w:bidi="en_US"/>
        </w:rPr>
        <w:t>cross</w:t>
      </w:r>
      <w:r>
        <w:rPr>
          <w:lang w:val="en_US" w:bidi="en_US"/>
        </w:rPr>
        <w:t xml:space="preserve"> refers to two large wooden boards or beams that were attached to each other. Roman soldiers used crosses to kill criminals. They nailed or tied a criminal to these wooden beams, then set them upright. They did this in order to cause the criminal to die slowly and painfully.</w:t>
      </w:r>
    </w:p>
    <w:p>
      <w:pPr/>
      <w:r>
        <w:rPr>
          <w:lang w:val="en_US" w:bidi="en_US"/>
        </w:rPr>
      </w:r>
      <w:r>
        <w:rPr>
          <w:lang w:val="en_US" w:bidi="en_US"/>
        </w:rPr>
        <w:t xml:space="preserve">The word </w:t>
      </w:r>
      <w:r>
        <w:rPr>
          <w:i/>
          <w:lang w:val="en_US" w:bidi="en_US"/>
        </w:rPr>
        <w:t>cross</w:t>
      </w:r>
      <w:r>
        <w:rPr>
          <w:lang w:val="en_US" w:bidi="en_US"/>
        </w:rPr>
        <w:t xml:space="preserve"> comes from the fact that the beams were </w:t>
      </w:r>
      <w:r>
        <w:rPr>
          <w:u w:val="single"/>
          <w:lang w:val="en_US" w:bidi="en_US"/>
        </w:rPr>
        <w:t>crossed</w:t>
      </w:r>
      <w:r>
        <w:rPr>
          <w:lang w:val="en_US" w:bidi="en_US"/>
        </w:rPr>
        <w:t xml:space="preserve"> and attached. This made the shape of a </w:t>
      </w:r>
      <w:r>
        <w:rPr>
          <w:b/>
          <w:lang w:val="en_US" w:bidi="en_US"/>
        </w:rPr>
        <w:t>+</w:t>
      </w:r>
      <w:r>
        <w:rPr>
          <w:lang w:val="en_US" w:bidi="en_US"/>
        </w:rPr>
        <w:t xml:space="preserve"> or </w:t>
      </w:r>
      <w:r>
        <w:rPr>
          <w:b/>
          <w:lang w:val="en_US" w:bidi="en_US"/>
        </w:rPr>
        <w:t>✝</w:t>
      </w:r>
      <w:r>
        <w:rPr>
          <w:lang w:val="en_US" w:bidi="en_US"/>
        </w:rPr>
        <w:t xml:space="preserve"> (or sometimes a </w:t>
      </w:r>
      <w:r>
        <w:rPr>
          <w:b/>
          <w:lang w:val="en_US" w:bidi="en_US"/>
        </w:rPr>
        <w:t>T</w:t>
      </w:r>
      <w:r>
        <w:rPr>
          <w:lang w:val="en_US" w:bidi="en_US"/>
        </w:rPr>
        <w:t>).</w:t>
      </w:r>
    </w:p>
    <w:p>
      <w:pPr/>
      <w:r>
        <w:rPr>
          <w:lang w:val="en_US" w:bidi="en_US"/>
        </w:rPr>
      </w:r>
      <w:r>
        <w:rPr>
          <w:lang w:val="en_US" w:bidi="en_US"/>
        </w:rPr>
        <w:t xml:space="preserve">In many languages there may be no word for </w:t>
      </w:r>
      <w:r>
        <w:rPr>
          <w:i/>
          <w:lang w:val="en_US" w:bidi="en_US"/>
        </w:rPr>
        <w:t>cross</w:t>
      </w:r>
      <w:r>
        <w:rPr>
          <w:lang w:val="en_US" w:bidi="en_US"/>
        </w:rPr>
        <w:t>. If that is true in your language, you may need to use a descriptive phrase. For example:</w:t>
      </w:r>
    </w:p>
    <w:p>
      <w:pPr/>
      <w:r>
        <w:rPr>
          <w:lang w:val="en_US" w:bidi="en_US"/>
        </w:rPr>
      </w:r>
      <w:r>
        <w:rPr>
          <w:lang w:val="en_US" w:bidi="en_US"/>
        </w:rPr>
        <w:t>board/wood of death</w:t>
      </w:r>
    </w:p>
    <w:p>
      <w:pPr/>
      <w:r>
        <w:rPr>
          <w:lang w:val="en_US" w:bidi="en_US"/>
        </w:rPr>
      </w:r>
      <w:r>
        <w:rPr>
          <w:lang w:val="en_US" w:bidi="en_US"/>
        </w:rPr>
        <w:t>crossed-beam(s) of death</w:t>
      </w:r>
    </w:p>
    <w:p>
      <w:pPr/>
      <w:r>
        <w:rPr>
          <w:lang w:val="en_US" w:bidi="en_US"/>
        </w:rPr>
      </w:r>
      <w:r>
        <w:rPr>
          <w:lang w:val="en_US" w:bidi="en_US"/>
        </w:rPr>
        <w:t>a tree for killing people</w:t>
      </w:r>
    </w:p>
    <w:p>
      <w:pPr/>
      <w:r>
        <w:rPr>
          <w:lang w:val="en_US" w:bidi="en_US"/>
        </w:rPr>
      </w:r>
      <w:r>
        <w:rPr>
          <w:lang w:val="en_US" w:bidi="en_US"/>
        </w:rPr>
        <w:t>a stake/plank to which they fasten/nail someone to kill him</w:t>
      </w:r>
      <w:r>
        <w:rPr>
          <w:lang w:val="en_US" w:bidi="en_US"/>
        </w:rPr>
      </w:r>
      <w:r>
        <w:rPr>
          <w:lang w:val="en_US" w:bidi="en_US"/>
        </w:rPr>
      </w:r>
    </w:p>
    <w:p>
      <w:pPr/>
      <w:r>
        <w:rPr>
          <w:lang w:val="en_US" w:bidi="en_US"/>
        </w:rPr>
      </w:r>
    </w:p>
    <w:p>
      <w:pPr>
        <w:pStyle w:val="Heading2"/>
      </w:pPr>
      <w:r>
        <w:rPr>
          <w:lang w:val="en_US" w:bidi="en_US"/>
        </w:rPr>
        <w:t>Luke 14:28</w:t>
      </w:r>
      <w:r>
        <w:rPr>
          <w:lang w:val="en_US" w:bidi="en_US"/>
        </w:rPr>
      </w:r>
    </w:p>
    <w:p>
      <w:pPr>
        <w:pStyle w:val="Heading4"/>
      </w:pPr>
      <w:r>
        <w:rPr>
          <w:lang w:val="en_US" w:bidi="en_US"/>
        </w:rPr>
        <w:t>Section 14:25–35: A disciple of Jesus must be ready to suffer for him</w:t>
      </w:r>
    </w:p>
    <w:p>
      <w:pPr/>
      <w:r>
        <w:rPr>
          <w:lang w:val="en_US" w:bidi="en_US"/>
        </w:rPr>
      </w:r>
      <w:r>
        <w:rPr>
          <w:lang w:val="en_US" w:bidi="en_US"/>
        </w:rP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pPr/>
      <w:r>
        <w:rPr>
          <w:lang w:val="en_US" w:bidi="en_US"/>
        </w:rPr>
      </w:r>
      <w:r>
        <w:rPr>
          <w:lang w:val="en_US" w:bidi="en_US"/>
        </w:rPr>
        <w:t>Some other possible headings for this section are:</w:t>
      </w:r>
    </w:p>
    <w:p>
      <w:pPr/>
      <w:r>
        <w:rPr>
          <w:lang w:val="en_US" w:bidi="en_US"/>
        </w:rPr>
      </w:r>
      <w:r>
        <w:rPr>
          <w:lang w:val="en_US" w:bidi="en_US"/>
        </w:rPr>
        <w:t>The Cost of Being a Disciple (NIV)</w:t>
      </w:r>
    </w:p>
    <w:p>
      <w:pPr/>
      <w:r>
        <w:rPr>
          <w:lang w:val="en_US" w:bidi="en_US"/>
        </w:rPr>
      </w:r>
      <w:r>
        <w:rPr>
          <w:lang w:val="en_US" w:bidi="en_US"/>
        </w:rPr>
        <w:t>Do not underestimate the hardship of being a disciple</w:t>
      </w:r>
    </w:p>
    <w:p>
      <w:pPr>
        <w:pStyle w:val="Heading4"/>
      </w:pPr>
      <w:r>
        <w:rPr>
          <w:lang w:val="en_US" w:bidi="en_US"/>
        </w:rPr>
        <w:t>Paragraph 14:28–30</w:t>
      </w:r>
    </w:p>
    <w:p>
      <w:pPr/>
      <w:r>
        <w:rPr>
          <w:lang w:val="en_US" w:bidi="en_US"/>
        </w:rPr>
      </w:r>
      <w:r>
        <w:rPr>
          <w:lang w:val="en_US" w:bidi="en_US"/>
        </w:rPr>
        <w:t>In Greek, this paragraph (14:28–30) begins with a conjunction that many versions, such as the RSV, translate as “For.” It introduces an example that illustrates what Jesus said in the previous paragraph. Jesus taught that becoming his disciple was a serious commitment. The illustration shows that a person should think carefully about the difficulties and cost before making such a serious commitment.</w:t>
      </w:r>
    </w:p>
    <w:p>
      <w:pPr/>
      <w:r>
        <w:rPr>
          <w:lang w:val="en_US" w:bidi="en_US"/>
        </w:rPr>
      </w:r>
      <w:r>
        <w:rPr>
          <w:lang w:val="en_US" w:bidi="en_US"/>
        </w:rPr>
        <w:t>The BSB does not translate this connection explicitly. In some languages you may need to make the connection more explicit. This may be done in different ways. For example:</w:t>
      </w:r>
    </w:p>
    <w:p>
      <w:pPr/>
      <w:r>
        <w:rPr>
          <w:lang w:val="en_US" w:bidi="en_US"/>
        </w:rPr>
      </w:r>
      <w:r>
        <w:rPr>
          <w:lang w:val="en_US" w:bidi="en_US"/>
        </w:rPr>
        <w:t>But don’t begin until you count the cost. For who would begin construction of a building…? (NLT)</w:t>
      </w:r>
    </w:p>
    <w:p>
      <w:pPr/>
      <w:r>
        <w:rPr>
          <w:lang w:val="en_US" w:bidi="en_US"/>
        </w:rPr>
      </w:r>
      <w:r>
        <w:rPr>
          <w:lang w:val="en_US" w:bidi="en_US"/>
        </w:rPr>
        <w:t>You must think first about this before you become my disciple. Just as…</w:t>
      </w:r>
    </w:p>
    <w:p>
      <w:pPr>
        <w:pStyle w:val="Heading5"/>
      </w:pPr>
      <w:r>
        <w:rPr>
          <w:lang w:val="en_US" w:bidi="en_US"/>
        </w:rPr>
        <w:t>14:28c</w:t>
      </w:r>
    </w:p>
    <w:p>
      <w:pPr/>
      <w:r>
        <w:rPr>
          <w:lang w:val="en_US" w:bidi="en_US"/>
        </w:rPr>
      </w:r>
      <w:r>
        <w:rPr>
          <w:b/>
          <w:lang w:val="en_US" w:bidi="en_US"/>
        </w:rPr>
        <w:t>to see if he has the resources to complete it?</w:t>
      </w:r>
    </w:p>
    <w:p>
      <w:pPr>
        <w:pStyle w:val="ListBullet"/>
        <w:spacing w:line="240" w:lineRule="auto"/>
        <w:ind w:left="720"/>
      </w:pPr>
      <w:r>
        <w:rPr>
          <w:lang w:val="en_US" w:bidi="en_US"/>
        </w:rPr>
      </w:r>
      <w:r>
        <w:rPr>
          <w:lang w:val="en_US" w:bidi="en_US"/>
        </w:rPr>
        <w:t>to complete it?</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w:t>
      </w:r>
      <w:r>
        <w:rPr>
          <w:lang w:val="en_US" w:bidi="en_US"/>
        </w:rPr>
        <w:t>will count your money</w:t>
      </w:r>
      <w:r>
        <w:rPr>
          <w:lang w:val="en_US" w:bidi="en_US"/>
        </w:rPr>
        <w:t xml:space="preserve"> to see whether it is enough to finish the work/house.</w:t>
      </w:r>
    </w:p>
    <w:p>
      <w:pPr>
        <w:pStyle w:val="Heading5"/>
      </w:pPr>
      <w:r>
        <w:rPr>
          <w:lang w:val="en_US" w:bidi="en_US"/>
        </w:rPr>
        <w:t>14:28</w:t>
      </w:r>
    </w:p>
    <w:p>
      <w:pPr/>
      <w:r>
        <w:rPr>
          <w:lang w:val="en_US" w:bidi="en_US"/>
        </w:rPr>
      </w:r>
      <w:r>
        <w:rPr>
          <w:b/>
          <w:lang w:val="en_US" w:bidi="en_US"/>
        </w:rPr>
        <w:t>Which of you, wishing to build a tower, does not first sit down and count the cost to see if he has the resources to complete it?:</w:t>
      </w:r>
      <w:r>
        <w:rPr>
          <w:lang w:val="en_US" w:bidi="en_US"/>
        </w:rPr>
        <w:t xml:space="preserve"> In Greek, verse 14:28 is a single rhetorical question, as in the BSB. Another way to translate this is:</w:t>
      </w:r>
    </w:p>
    <w:p>
      <w:pPr/>
      <w:r>
        <w:rPr>
          <w:lang w:val="en_US" w:bidi="en_US"/>
        </w:rPr>
      </w:r>
      <w:r>
        <w:rPr>
          <w:lang w:val="en_US" w:bidi="en_US"/>
        </w:rPr>
        <w:t>For which of you, desiring to build a tower, does not first sit down and count the cost, whether he has enough to complete it? (RSV)</w:t>
      </w:r>
    </w:p>
    <w:p>
      <w:pPr/>
      <w:r>
        <w:rPr>
          <w:lang w:val="en_US" w:bidi="en_US"/>
        </w:rPr>
      </w:r>
      <w:r>
        <w:rPr>
          <w:lang w:val="en_US" w:bidi="en_US"/>
        </w:rPr>
        <w:t xml:space="preserve">The function of the rhetorical question is to emphasize that </w:t>
      </w:r>
      <w:r>
        <w:rPr>
          <w:u w:val="single"/>
          <w:lang w:val="en_US" w:bidi="en_US"/>
        </w:rPr>
        <w:t>of course</w:t>
      </w:r>
      <w:r>
        <w:rPr>
          <w:lang w:val="en_US" w:bidi="en_US"/>
        </w:rPr>
        <w:t xml:space="preserve"> someone would estimate the cost before starting to build a tower. He would </w:t>
      </w:r>
      <w:r>
        <w:rPr>
          <w:u w:val="single"/>
          <w:lang w:val="en_US" w:bidi="en_US"/>
        </w:rPr>
        <w:t>never</w:t>
      </w:r>
      <w:r>
        <w:rPr>
          <w:lang w:val="en_US" w:bidi="en_US"/>
        </w:rPr>
        <w:t xml:space="preserve"> start building a tower without knowing if he had enough money to finish it.</w:t>
      </w:r>
    </w:p>
    <w:p>
      <w:pPr/>
      <w:r>
        <w:rPr>
          <w:lang w:val="en_US" w:bidi="en_US"/>
        </w:rPr>
      </w:r>
      <w:r>
        <w:rPr>
          <w:lang w:val="en_US" w:bidi="en_US"/>
        </w:rPr>
        <w:t>The NIV and NLT translate this question in two parts: an introductory statement and a shorter rhetorical question. Other ways to translate this verse are:</w:t>
      </w:r>
    </w:p>
    <w:p>
      <w:pPr>
        <w:pStyle w:val="ListBullet"/>
        <w:spacing w:line="240" w:lineRule="auto"/>
        <w:ind w:left="720"/>
      </w:pPr>
      <w:r>
        <w:rPr>
          <w:lang w:val="en_US" w:bidi="en_US"/>
        </w:rPr>
      </w:r>
      <w:r>
        <w:rPr>
          <w:lang w:val="en_US" w:bidi="en_US"/>
        </w:rPr>
        <w:t>With a combination of statements and rhetorical questions. For example:</w:t>
      </w:r>
      <w:r>
        <w:rPr>
          <w:lang w:val="en_US" w:bidi="en_US"/>
        </w:rPr>
        <w:t>Suppose one of you wants to build a tower. What is the first thing you will do? Won’t you sit down and figure out how much it will cost and if you have enough money to pay for it? (CEV)</w:t>
      </w:r>
      <w:r>
        <w:rPr>
          <w:lang w:val="en_US" w:bidi="en_US"/>
        </w:rPr>
        <w:t>For example, if one of you wants to build a tower, what will you do? You will surely sit down first to figure out how much that would cost. You need to know if you have enough money to complete it.</w:t>
      </w:r>
    </w:p>
    <w:p>
      <w:pPr>
        <w:pStyle w:val="ListBullet"/>
        <w:spacing w:line="240" w:lineRule="auto"/>
        <w:ind w:left="720"/>
      </w:pPr>
      <w:r>
        <w:rPr>
          <w:lang w:val="en_US" w:bidi="en_US"/>
        </w:rPr>
      </w:r>
      <w:r>
        <w:rPr>
          <w:lang w:val="en_US" w:bidi="en_US"/>
        </w:rPr>
        <w:t>As one or more statements. For example:</w:t>
      </w:r>
      <w:r>
        <w:rPr>
          <w:lang w:val="en_US" w:bidi="en_US"/>
        </w:rPr>
        <w:t>If one of you is planning to build a tower, you sit down first and figure out what it will cost, to see if you have enough money to finish the job. (GNT)</w:t>
      </w:r>
      <w:r>
        <w:rPr>
          <w:lang w:val="en_US" w:bidi="en_US"/>
        </w:rPr>
        <w:t>Suppose you want to build a tower. You would first sit down and figure out what it costs. Then you would see if you have enough money to finish it. (GW)</w:t>
      </w:r>
    </w:p>
    <w:p>
      <w:pPr>
        <w:pStyle w:val="Heading5"/>
      </w:pPr>
      <w:r>
        <w:rPr>
          <w:lang w:val="en_US" w:bidi="en_US"/>
        </w:rPr>
        <w:t>14:28a</w:t>
      </w:r>
    </w:p>
    <w:p>
      <w:pPr/>
      <w:r>
        <w:rPr>
          <w:lang w:val="en_US" w:bidi="en_US"/>
        </w:rPr>
      </w:r>
      <w:r>
        <w:rPr>
          <w:b/>
          <w:lang w:val="en_US" w:bidi="en_US"/>
        </w:rPr>
        <w:t>Which of you, wishing to build a tower,</w:t>
      </w:r>
    </w:p>
    <w:p>
      <w:pPr>
        <w:pStyle w:val="ListBullet"/>
        <w:spacing w:line="240" w:lineRule="auto"/>
        <w:ind w:left="720"/>
      </w:pPr>
      <w:r>
        <w:rPr>
          <w:lang w:val="en_US" w:bidi="en_US"/>
        </w:rPr>
      </w:r>
      <w:r>
        <w:rPr>
          <w:lang w:val="en_US" w:bidi="en_US"/>
        </w:rPr>
        <w:t>¶ “Imagine that someone has decided to build a tower.</w:t>
      </w:r>
    </w:p>
    <w:p>
      <w:pPr>
        <w:pStyle w:val="ListBullet"/>
        <w:spacing w:line="240" w:lineRule="auto"/>
        <w:ind w:left="720"/>
      </w:pPr>
      <w:r>
        <w:rPr>
          <w:lang w:val="en_US" w:bidi="en_US"/>
        </w:rPr>
      </w:r>
      <w:r>
        <w:rPr>
          <w:lang w:val="en_US" w:bidi="en_US"/>
        </w:rPr>
        <w:t>¶ “</w:t>
      </w:r>
      <w:r>
        <w:rPr>
          <w:lang w:val="en_US" w:bidi="en_US"/>
        </w:rPr>
        <w:t>So before a person becomes my disciple, he should first think about the hardships he will need to face.</w:t>
      </w:r>
      <w:r>
        <w:rPr>
          <w:lang w:val="en_US" w:bidi="en_US"/>
        </w:rPr>
        <w:t xml:space="preserve"> If one of you</w:t>
      </w:r>
      <w:r>
        <w:rPr>
          <w:vertAlign w:val="superscript"/>
          <w:lang w:val="en_US" w:bidi="en_US"/>
        </w:rPr>
        <w:t>(plur)</w:t>
      </w:r>
      <w:r>
        <w:rPr>
          <w:lang w:val="en_US" w:bidi="en_US"/>
        </w:rPr>
        <w:t xml:space="preserve"> wants/plans to build a tall/big house,</w:t>
      </w:r>
    </w:p>
    <w:p>
      <w:pPr/>
      <w:r>
        <w:rPr>
          <w:lang w:val="en_US" w:bidi="en_US"/>
        </w:rPr>
      </w:r>
      <w:r>
        <w:rPr>
          <w:b/>
          <w:lang w:val="en_US" w:bidi="en_US"/>
        </w:rPr>
        <w:t>tower:</w:t>
      </w:r>
      <w:r>
        <w:rPr>
          <w:lang w:val="en_US" w:bidi="en_US"/>
        </w:rPr>
        <w:t xml:space="preserve"> The Greek word that the BSB translates as </w:t>
      </w:r>
      <w:r>
        <w:rPr>
          <w:i/>
          <w:lang w:val="en_US" w:bidi="en_US"/>
        </w:rPr>
        <w:t>tower</w:t>
      </w:r>
      <w:r>
        <w:rPr>
          <w:lang w:val="en_US" w:bidi="en_US"/>
        </w:rPr>
        <w:t xml:space="preserve"> may refer here to a tall observation tower from which men guarded a vineyard. But the parable implies a large, expensive building, so it may be better to translate in a general way. In languages that do not have a word for tower, here is another way to translate this term:</w:t>
      </w:r>
    </w:p>
    <w:p>
      <w:pPr/>
      <w:r>
        <w:rPr>
          <w:lang w:val="en_US" w:bidi="en_US"/>
        </w:rPr>
      </w:r>
      <w:r>
        <w:rPr>
          <w:lang w:val="en_US" w:bidi="en_US"/>
        </w:rPr>
        <w:t>high building/house</w:t>
      </w:r>
    </w:p>
    <w:p>
      <w:pPr/>
      <w:r>
        <w:rPr>
          <w:lang w:val="en_US" w:bidi="en_US"/>
        </w:rPr>
      </w:r>
      <w:r>
        <w:rPr>
          <w:lang w:val="en_US" w:bidi="en_US"/>
        </w:rPr>
        <w:t>See how you translated this word in 13:4a.</w:t>
      </w:r>
    </w:p>
    <w:p>
      <w:pPr>
        <w:pStyle w:val="Heading5"/>
      </w:pPr>
      <w:r>
        <w:rPr>
          <w:lang w:val="en_US" w:bidi="en_US"/>
        </w:rPr>
        <w:t>14:28b</w:t>
      </w:r>
    </w:p>
    <w:p>
      <w:pPr/>
      <w:r>
        <w:rPr>
          <w:lang w:val="en_US" w:bidi="en_US"/>
        </w:rPr>
      </w:r>
      <w:r>
        <w:rPr>
          <w:b/>
          <w:lang w:val="en_US" w:bidi="en_US"/>
        </w:rPr>
        <w:t>does not first sit down and count the cost</w:t>
      </w:r>
    </w:p>
    <w:p>
      <w:pPr>
        <w:pStyle w:val="ListBullet"/>
        <w:spacing w:line="240" w:lineRule="auto"/>
        <w:ind w:left="720"/>
      </w:pPr>
      <w:r>
        <w:rPr>
          <w:lang w:val="en_US" w:bidi="en_US"/>
        </w:rPr>
      </w:r>
      <w:r>
        <w:rPr>
          <w:lang w:val="en_US" w:bidi="en_US"/>
        </w:rPr>
        <w:t>What will he do first? Will he not sit down and calculate how much money he will need to spend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surely first find out how much it will cost you to build it.</w:t>
      </w:r>
    </w:p>
    <w:p>
      <w:pPr/>
      <w:r>
        <w:rPr>
          <w:lang w:val="en_US" w:bidi="en_US"/>
        </w:rPr>
      </w:r>
      <w:r>
        <w:rPr>
          <w:b/>
          <w:lang w:val="en_US" w:bidi="en_US"/>
        </w:rPr>
        <w:t>sit down:</w:t>
      </w:r>
      <w:r>
        <w:rPr>
          <w:lang w:val="en_US" w:bidi="en_US"/>
        </w:rPr>
        <w:t xml:space="preserve"> The verb that the BSB translates literally as </w:t>
      </w:r>
      <w:r>
        <w:rPr>
          <w:i/>
          <w:lang w:val="en_US" w:bidi="en_US"/>
        </w:rPr>
        <w:t>sit down</w:t>
      </w:r>
      <w:r>
        <w:rPr>
          <w:lang w:val="en_US" w:bidi="en_US"/>
        </w:rPr>
        <w:t xml:space="preserve"> implies here that the person will take the time to make a careful estimate. In some languages it may not be necessary to make the sitting posture explicit. For example:</w:t>
      </w:r>
    </w:p>
    <w:p>
      <w:pPr/>
      <w:r>
        <w:rPr>
          <w:lang w:val="en_US" w:bidi="en_US"/>
        </w:rPr>
      </w:r>
      <w:r>
        <w:rPr>
          <w:lang w:val="en_US" w:bidi="en_US"/>
        </w:rPr>
        <w:t>he will first carefully estimate</w:t>
      </w:r>
    </w:p>
    <w:p>
      <w:pPr/>
      <w:r>
        <w:rPr>
          <w:lang w:val="en_US" w:bidi="en_US"/>
        </w:rPr>
      </w:r>
      <w:r>
        <w:rPr>
          <w:lang w:val="en_US" w:bidi="en_US"/>
        </w:rPr>
        <w:t>he will take the time to estimate</w:t>
      </w:r>
    </w:p>
    <w:p>
      <w:pPr/>
      <w:r>
        <w:rPr>
          <w:lang w:val="en_US" w:bidi="en_US"/>
        </w:rPr>
      </w:r>
      <w:r>
        <w:rPr>
          <w:b/>
          <w:lang w:val="en_US" w:bidi="en_US"/>
        </w:rPr>
        <w:t>count the cost:</w:t>
      </w:r>
      <w:r>
        <w:rPr>
          <w:lang w:val="en_US" w:bidi="en_US"/>
        </w:rPr>
        <w:t xml:space="preserve"> The phrase </w:t>
      </w:r>
      <w:r>
        <w:rPr>
          <w:i/>
          <w:lang w:val="en_US" w:bidi="en_US"/>
        </w:rPr>
        <w:t>count the cost</w:t>
      </w:r>
      <w:r>
        <w:rPr>
          <w:lang w:val="en_US" w:bidi="en_US"/>
        </w:rPr>
        <w:t xml:space="preserve"> means to calculate or compute how much money something will cost. The man would add up the cost of the different building materials he would use and the wages of the men who would work for him.</w:t>
      </w:r>
      <w:r>
        <w:rPr>
          <w:lang w:val="en_US" w:bidi="en_US"/>
        </w:rPr>
      </w:r>
      <w:r>
        <w:rPr>
          <w:lang w:val="en_US" w:bidi="en_US"/>
        </w:rPr>
      </w:r>
    </w:p>
    <w:p>
      <w:pPr/>
      <w:r>
        <w:rPr>
          <w:lang w:val="en_US" w:bidi="en_US"/>
        </w:rPr>
      </w:r>
    </w:p>
    <w:p>
      <w:pPr>
        <w:pStyle w:val="Heading2"/>
      </w:pPr>
      <w:r>
        <w:rPr>
          <w:lang w:val="en_US" w:bidi="en_US"/>
        </w:rPr>
        <w:t>Luke 14:29</w:t>
      </w:r>
      <w:r>
        <w:rPr>
          <w:lang w:val="en_US" w:bidi="en_US"/>
        </w:rPr>
      </w:r>
    </w:p>
    <w:p>
      <w:pPr>
        <w:pStyle w:val="Heading4"/>
      </w:pPr>
      <w:r>
        <w:rPr>
          <w:lang w:val="en_US" w:bidi="en_US"/>
        </w:rPr>
        <w:t>Section 14:25–35: A disciple of Jesus must be ready to suffer for him</w:t>
      </w:r>
    </w:p>
    <w:p>
      <w:pPr/>
      <w:r>
        <w:rPr>
          <w:lang w:val="en_US" w:bidi="en_US"/>
        </w:rPr>
      </w:r>
      <w:r>
        <w:rPr>
          <w:lang w:val="en_US" w:bidi="en_US"/>
        </w:rP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pPr/>
      <w:r>
        <w:rPr>
          <w:lang w:val="en_US" w:bidi="en_US"/>
        </w:rPr>
      </w:r>
      <w:r>
        <w:rPr>
          <w:lang w:val="en_US" w:bidi="en_US"/>
        </w:rPr>
        <w:t>Some other possible headings for this section are:</w:t>
      </w:r>
    </w:p>
    <w:p>
      <w:pPr/>
      <w:r>
        <w:rPr>
          <w:lang w:val="en_US" w:bidi="en_US"/>
        </w:rPr>
      </w:r>
      <w:r>
        <w:rPr>
          <w:lang w:val="en_US" w:bidi="en_US"/>
        </w:rPr>
        <w:t>The Cost of Being a Disciple (NIV)</w:t>
      </w:r>
    </w:p>
    <w:p>
      <w:pPr/>
      <w:r>
        <w:rPr>
          <w:lang w:val="en_US" w:bidi="en_US"/>
        </w:rPr>
      </w:r>
      <w:r>
        <w:rPr>
          <w:lang w:val="en_US" w:bidi="en_US"/>
        </w:rPr>
        <w:t>Do not underestimate the hardship of being a disciple</w:t>
      </w:r>
    </w:p>
    <w:p>
      <w:pPr>
        <w:pStyle w:val="Heading4"/>
      </w:pPr>
      <w:r>
        <w:rPr>
          <w:lang w:val="en_US" w:bidi="en_US"/>
        </w:rPr>
        <w:t>Paragraph 14:28–30</w:t>
      </w:r>
    </w:p>
    <w:p>
      <w:pPr/>
      <w:r>
        <w:rPr>
          <w:lang w:val="en_US" w:bidi="en_US"/>
        </w:rPr>
      </w:r>
      <w:r>
        <w:rPr>
          <w:lang w:val="en_US" w:bidi="en_US"/>
        </w:rPr>
        <w:t>In Greek, this paragraph (14:28–30) begins with a conjunction that many versions, such as the RSV, translate as “For.” It introduces an example that illustrates what Jesus said in the previous paragraph. Jesus taught that becoming his disciple was a serious commitment. The illustration shows that a person should think carefully about the difficulties and cost before making such a serious commitment.</w:t>
      </w:r>
    </w:p>
    <w:p>
      <w:pPr/>
      <w:r>
        <w:rPr>
          <w:lang w:val="en_US" w:bidi="en_US"/>
        </w:rPr>
      </w:r>
      <w:r>
        <w:rPr>
          <w:lang w:val="en_US" w:bidi="en_US"/>
        </w:rPr>
        <w:t>The BSB does not translate this connection explicitly. In some languages you may need to make the connection more explicit. This may be done in different ways. For example:</w:t>
      </w:r>
    </w:p>
    <w:p>
      <w:pPr/>
      <w:r>
        <w:rPr>
          <w:lang w:val="en_US" w:bidi="en_US"/>
        </w:rPr>
      </w:r>
      <w:r>
        <w:rPr>
          <w:lang w:val="en_US" w:bidi="en_US"/>
        </w:rPr>
        <w:t>But don’t begin until you count the cost. For who would begin construction of a building…? (NLT)</w:t>
      </w:r>
    </w:p>
    <w:p>
      <w:pPr/>
      <w:r>
        <w:rPr>
          <w:lang w:val="en_US" w:bidi="en_US"/>
        </w:rPr>
      </w:r>
      <w:r>
        <w:rPr>
          <w:lang w:val="en_US" w:bidi="en_US"/>
        </w:rPr>
        <w:t>You must think first about this before you become my disciple. Just as…</w:t>
      </w:r>
    </w:p>
    <w:p>
      <w:pPr>
        <w:pStyle w:val="Heading5"/>
      </w:pPr>
      <w:r>
        <w:rPr>
          <w:lang w:val="en_US" w:bidi="en_US"/>
        </w:rPr>
        <w:t>14:29a</w:t>
      </w:r>
    </w:p>
    <w:p>
      <w:pPr/>
      <w:r>
        <w:rPr>
          <w:lang w:val="en_US" w:bidi="en_US"/>
        </w:rPr>
      </w:r>
      <w:r>
        <w:rPr>
          <w:b/>
          <w:lang w:val="en_US" w:bidi="en_US"/>
        </w:rPr>
        <w:t>Otherwise, if he lays the foundation and is unable to finish the work,</w:t>
      </w:r>
    </w:p>
    <w:p>
      <w:pPr>
        <w:pStyle w:val="ListBullet"/>
        <w:spacing w:line="240" w:lineRule="auto"/>
        <w:ind w:left="720"/>
      </w:pPr>
      <w:r>
        <w:rPr>
          <w:lang w:val="en_US" w:bidi="en_US"/>
        </w:rPr>
      </w:r>
      <w:r>
        <w:rPr>
          <w:lang w:val="en_US" w:bidi="en_US"/>
        </w:rPr>
        <w:t xml:space="preserve">Otherwise, he may finish building </w:t>
      </w:r>
      <w:r>
        <w:rPr>
          <w:lang w:val="en_US" w:bidi="en_US"/>
        </w:rPr>
        <w:t>only</w:t>
      </w:r>
      <w:r>
        <w:rPr>
          <w:lang w:val="en_US" w:bidi="en_US"/>
        </w:rPr>
        <w:t xml:space="preserve"> the foundation/bottom, and/but he will not be able to build the rest/top </w:t>
      </w:r>
      <w:r>
        <w:rPr>
          <w:lang w:val="en_US" w:bidi="en_US"/>
        </w:rPr>
        <w:t>of the tower</w:t>
      </w:r>
      <w:r>
        <w:rPr>
          <w:lang w:val="en_US" w:bidi="en_US"/>
        </w:rPr>
        <w:t>.</w:t>
      </w:r>
    </w:p>
    <w:p>
      <w:pPr>
        <w:pStyle w:val="ListBullet"/>
        <w:spacing w:line="240" w:lineRule="auto"/>
        <w:ind w:left="720"/>
      </w:pPr>
      <w:r>
        <w:rPr>
          <w:lang w:val="en_US" w:bidi="en_US"/>
        </w:rPr>
      </w:r>
      <w:r>
        <w:rPr>
          <w:lang w:val="en_US" w:bidi="en_US"/>
        </w:rPr>
        <w:t xml:space="preserve">For </w:t>
      </w:r>
      <w:r>
        <w:rPr>
          <w:lang w:val="en_US" w:bidi="en_US"/>
        </w:rPr>
        <w:t>if you do not wait until you have enough money,</w:t>
      </w:r>
      <w:r>
        <w:rPr>
          <w:lang w:val="en_US" w:bidi="en_US"/>
        </w:rPr>
        <w:t xml:space="preserve"> you</w:t>
      </w:r>
      <w:r>
        <w:rPr>
          <w:vertAlign w:val="superscript"/>
          <w:lang w:val="en_US" w:bidi="en_US"/>
        </w:rPr>
        <w:t>(plur)</w:t>
      </w:r>
      <w:r>
        <w:rPr>
          <w:lang w:val="en_US" w:bidi="en_US"/>
        </w:rPr>
        <w:t xml:space="preserve"> will set up the supports/posts, but you will not be able to finish </w:t>
      </w:r>
      <w:r>
        <w:rPr>
          <w:lang w:val="en_US" w:bidi="en_US"/>
        </w:rPr>
        <w:t>the other parts of the house</w:t>
      </w:r>
      <w:r>
        <w:rPr>
          <w:lang w:val="en_US" w:bidi="en_US"/>
        </w:rPr>
        <w:t>.</w:t>
      </w:r>
    </w:p>
    <w:p>
      <w:pPr/>
      <w:r>
        <w:rPr>
          <w:lang w:val="en_US" w:bidi="en_US"/>
        </w:rPr>
      </w:r>
      <w:r>
        <w:rPr>
          <w:b/>
          <w:lang w:val="en_US" w:bidi="en_US"/>
        </w:rPr>
        <w:t>Otherwise:</w:t>
      </w:r>
      <w:r>
        <w:rPr>
          <w:lang w:val="en_US" w:bidi="en_US"/>
        </w:rPr>
        <w:t xml:space="preserve"> The Greek conjunction that the BSB translates as </w:t>
      </w:r>
      <w:r>
        <w:rPr>
          <w:i/>
          <w:lang w:val="en_US" w:bidi="en_US"/>
        </w:rPr>
        <w:t>Otherwise</w:t>
      </w:r>
      <w:r>
        <w:rPr>
          <w:lang w:val="en_US" w:bidi="en_US"/>
        </w:rPr>
        <w:t xml:space="preserve"> is literally “lest,” as in versions such as the KJV. It introduces a situation the builder should wish to avoid. Consider how to express this situation in a natural way in your language.</w:t>
      </w:r>
    </w:p>
    <w:p>
      <w:pPr/>
      <w:r>
        <w:rPr>
          <w:lang w:val="en_US" w:bidi="en_US"/>
        </w:rPr>
      </w:r>
      <w:r>
        <w:rPr>
          <w:b/>
          <w:lang w:val="en_US" w:bidi="en_US"/>
        </w:rPr>
        <w:t>if he lays the foundation and is unable to finish the work:</w:t>
      </w:r>
      <w:r>
        <w:rPr>
          <w:lang w:val="en_US" w:bidi="en_US"/>
        </w:rPr>
        <w:t xml:space="preserve"> This verse part contains some implied reasoning. The steps in the reasoning are:</w:t>
      </w:r>
    </w:p>
    <w:p>
      <w:pPr>
        <w:pStyle w:val="ListNumber"/>
        <w:numPr>
          <w:ilvl w:val="0"/>
          <w:numId w:val="261"/>
        </w:numPr>
        <w:spacing w:line="240" w:lineRule="auto"/>
        <w:ind w:left="720"/>
      </w:pPr>
      <w:r>
        <w:rPr>
          <w:lang w:val="en_US" w:bidi="en_US"/>
        </w:rPr>
      </w:r>
      <w:r>
        <w:rPr>
          <w:lang w:val="en_US" w:bidi="en_US"/>
        </w:rPr>
        <w:t>If he does not calculate the cost, and</w:t>
      </w:r>
    </w:p>
    <w:p>
      <w:pPr>
        <w:pStyle w:val="ListNumber"/>
        <w:spacing w:line="240" w:lineRule="auto"/>
        <w:ind w:left="720"/>
      </w:pPr>
      <w:r>
        <w:rPr>
          <w:lang w:val="en_US" w:bidi="en_US"/>
        </w:rPr>
      </w:r>
      <w:r>
        <w:rPr>
          <w:lang w:val="en_US" w:bidi="en_US"/>
        </w:rPr>
        <w:t>if he does not have enough money,</w:t>
      </w:r>
    </w:p>
    <w:p>
      <w:pPr>
        <w:pStyle w:val="ListNumber"/>
        <w:spacing w:line="240" w:lineRule="auto"/>
        <w:ind w:left="720"/>
      </w:pPr>
      <w:r>
        <w:rPr>
          <w:lang w:val="en_US" w:bidi="en_US"/>
        </w:rPr>
      </w:r>
      <w:r>
        <w:rPr>
          <w:lang w:val="en_US" w:bidi="en_US"/>
        </w:rPr>
        <w:t>then he will lay and foundation, and</w:t>
      </w:r>
    </w:p>
    <w:p>
      <w:pPr>
        <w:pStyle w:val="ListNumber"/>
        <w:spacing w:line="240" w:lineRule="auto"/>
        <w:ind w:left="720"/>
      </w:pPr>
      <w:r>
        <w:rPr>
          <w:lang w:val="en_US" w:bidi="en_US"/>
        </w:rPr>
      </w:r>
      <w:r>
        <w:rPr>
          <w:lang w:val="en_US" w:bidi="en_US"/>
        </w:rPr>
        <w:t>he will not be able to finish the rest of the building.</w:t>
      </w:r>
    </w:p>
    <w:p>
      <w:pPr/>
      <w:r>
        <w:rPr>
          <w:lang w:val="en_US" w:bidi="en_US"/>
        </w:rPr>
      </w:r>
      <w:r>
        <w:rPr>
          <w:lang w:val="en_US" w:bidi="en_US"/>
        </w:rPr>
        <w:t>In some languages it may be necessary to make explicit one or more of the implied steps in the reasoning.</w:t>
      </w:r>
    </w:p>
    <w:p>
      <w:pPr/>
      <w:r>
        <w:rPr>
          <w:lang w:val="en_US" w:bidi="en_US"/>
        </w:rPr>
      </w:r>
      <w:r>
        <w:rPr>
          <w:b/>
          <w:lang w:val="en_US" w:bidi="en_US"/>
        </w:rPr>
        <w:t>lays the foundation:</w:t>
      </w:r>
      <w:r>
        <w:rPr>
          <w:lang w:val="en_US" w:bidi="en_US"/>
        </w:rPr>
        <w:t xml:space="preserve"> The Greek phrase that the BSB translates as </w:t>
      </w:r>
      <w:r>
        <w:rPr>
          <w:i/>
          <w:lang w:val="en_US" w:bidi="en_US"/>
        </w:rPr>
        <w:t>lays the foundation</w:t>
      </w:r>
      <w:r>
        <w:rPr>
          <w:lang w:val="en_US" w:bidi="en_US"/>
        </w:rPr>
        <w:t xml:space="preserve"> is literally “places/puts the foundation.” The </w:t>
      </w:r>
      <w:r>
        <w:rPr>
          <w:i/>
          <w:lang w:val="en_US" w:bidi="en_US"/>
        </w:rPr>
        <w:t>foundation</w:t>
      </w:r>
      <w:r>
        <w:rPr>
          <w:lang w:val="en_US" w:bidi="en_US"/>
        </w:rPr>
        <w:t xml:space="preserve"> supports the tower. It could also be called the “base” or the “support” of the tower.</w:t>
      </w:r>
    </w:p>
    <w:p>
      <w:pPr/>
      <w:r>
        <w:rPr>
          <w:lang w:val="en_US" w:bidi="en_US"/>
        </w:rPr>
      </w:r>
      <w:r>
        <w:rPr>
          <w:lang w:val="en_US" w:bidi="en_US"/>
        </w:rPr>
        <w:t>If building methods are different in your region, you could adapt this illustration to fit your culture. Describe here what a man would do to build a house that was sturdy and strong. For example, where houses are built of wood and supported by posts, you could say:</w:t>
      </w:r>
    </w:p>
    <w:p>
      <w:pPr/>
      <w:r>
        <w:rPr>
          <w:lang w:val="en_US" w:bidi="en_US"/>
        </w:rPr>
      </w:r>
      <w:r>
        <w:rPr>
          <w:lang w:val="en_US" w:bidi="en_US"/>
        </w:rPr>
        <w:t>he sets the house posts in place</w:t>
      </w:r>
    </w:p>
    <w:p>
      <w:pPr/>
      <w:r>
        <w:rPr>
          <w:lang w:val="en_US" w:bidi="en_US"/>
        </w:rPr>
      </w:r>
      <w:r>
        <w:rPr>
          <w:lang w:val="en_US" w:bidi="en_US"/>
        </w:rPr>
        <w:t>An almost identical phrase “laid the foundation” occurs in 6:48b.</w:t>
      </w:r>
    </w:p>
    <w:p>
      <w:pPr/>
      <w:r>
        <w:rPr>
          <w:lang w:val="en_US" w:bidi="en_US"/>
        </w:rPr>
      </w:r>
      <w:r>
        <w:rPr>
          <w:b/>
          <w:lang w:val="en_US" w:bidi="en_US"/>
        </w:rPr>
        <w:t>unable to finish the work:</w:t>
      </w:r>
      <w:r>
        <w:rPr>
          <w:lang w:val="en_US" w:bidi="en_US"/>
        </w:rPr>
        <w:t xml:space="preserve"> The word </w:t>
      </w:r>
      <w:r>
        <w:rPr>
          <w:i/>
          <w:lang w:val="en_US" w:bidi="en_US"/>
        </w:rPr>
        <w:t>work</w:t>
      </w:r>
      <w:r>
        <w:rPr>
          <w:lang w:val="en_US" w:bidi="en_US"/>
        </w:rPr>
        <w:t xml:space="preserve"> refers to the rest of the building—everything besides the foundation. Other ways to translate this phrase are:</w:t>
      </w:r>
    </w:p>
    <w:p>
      <w:pPr/>
      <w:r>
        <w:rPr>
          <w:lang w:val="en_US" w:bidi="en_US"/>
        </w:rPr>
      </w:r>
      <w:r>
        <w:rPr>
          <w:lang w:val="en_US" w:bidi="en_US"/>
        </w:rPr>
        <w:t xml:space="preserve">not able to continue </w:t>
      </w:r>
      <w:r>
        <w:rPr>
          <w:lang w:val="en_US" w:bidi="en_US"/>
        </w:rPr>
        <w:t>building the rest of it</w:t>
      </w:r>
    </w:p>
    <w:p>
      <w:pPr/>
      <w:r>
        <w:rPr>
          <w:lang w:val="en_US" w:bidi="en_US"/>
        </w:rPr>
      </w:r>
      <w:r>
        <w:rPr>
          <w:lang w:val="en_US" w:bidi="en_US"/>
        </w:rPr>
        <w:t>not able to finish the building</w:t>
      </w:r>
    </w:p>
    <w:p>
      <w:pPr>
        <w:pStyle w:val="Heading5"/>
      </w:pPr>
      <w:r>
        <w:rPr>
          <w:lang w:val="en_US" w:bidi="en_US"/>
        </w:rPr>
        <w:t>14:29b</w:t>
      </w:r>
    </w:p>
    <w:p>
      <w:pPr/>
      <w:r>
        <w:rPr>
          <w:lang w:val="en_US" w:bidi="en_US"/>
        </w:rPr>
      </w:r>
      <w:r>
        <w:rPr>
          <w:b/>
          <w:lang w:val="en_US" w:bidi="en_US"/>
        </w:rPr>
        <w:t>everyone who sees it will ridicule him,</w:t>
      </w:r>
    </w:p>
    <w:p>
      <w:pPr>
        <w:pStyle w:val="ListBullet"/>
        <w:spacing w:line="240" w:lineRule="auto"/>
        <w:ind w:left="720"/>
      </w:pPr>
      <w:r>
        <w:rPr>
          <w:lang w:val="en_US" w:bidi="en_US"/>
        </w:rPr>
      </w:r>
      <w:r>
        <w:rPr>
          <w:lang w:val="en_US" w:bidi="en_US"/>
        </w:rPr>
        <w:t>Then all the people who see it will make fun of him,</w:t>
      </w:r>
    </w:p>
    <w:p>
      <w:pPr>
        <w:pStyle w:val="ListBullet"/>
        <w:spacing w:line="240" w:lineRule="auto"/>
        <w:ind w:left="720"/>
      </w:pPr>
      <w:r>
        <w:rPr>
          <w:lang w:val="en_US" w:bidi="en_US"/>
        </w:rPr>
      </w:r>
      <w:r>
        <w:rPr>
          <w:lang w:val="en_US" w:bidi="en_US"/>
        </w:rPr>
        <w:t xml:space="preserve">Then everyone who sees </w:t>
      </w:r>
      <w:r>
        <w:rPr>
          <w:lang w:val="en_US" w:bidi="en_US"/>
        </w:rPr>
        <w:t>what has happened</w:t>
      </w:r>
      <w:r>
        <w:rPr>
          <w:lang w:val="en_US" w:bidi="en_US"/>
        </w:rPr>
        <w:t xml:space="preserve"> will laugh at you</w:t>
      </w:r>
      <w:r>
        <w:rPr>
          <w:vertAlign w:val="superscript"/>
          <w:lang w:val="en_US" w:bidi="en_US"/>
        </w:rPr>
        <w:t>(plur)</w:t>
      </w:r>
      <w:r>
        <w:rPr>
          <w:lang w:val="en_US" w:bidi="en_US"/>
        </w:rPr>
        <w:t>.</w:t>
      </w:r>
    </w:p>
    <w:p>
      <w:pPr/>
      <w:r>
        <w:rPr>
          <w:lang w:val="en_US" w:bidi="en_US"/>
        </w:rPr>
      </w:r>
      <w:r>
        <w:rPr>
          <w:b/>
          <w:lang w:val="en_US" w:bidi="en_US"/>
        </w:rPr>
        <w:t>ridicule:</w:t>
      </w:r>
      <w:r>
        <w:rPr>
          <w:lang w:val="en_US" w:bidi="en_US"/>
        </w:rPr>
        <w:t xml:space="preserve"> The word </w:t>
      </w:r>
      <w:r>
        <w:rPr>
          <w:i/>
          <w:lang w:val="en_US" w:bidi="en_US"/>
        </w:rPr>
        <w:t>ridicule</w:t>
      </w:r>
      <w:r>
        <w:rPr>
          <w:lang w:val="en_US" w:bidi="en_US"/>
        </w:rPr>
        <w:t xml:space="preserve"> means to laugh at or make fun of someone, to try to say something that will make him ashamed.</w:t>
      </w:r>
      <w:r>
        <w:rPr>
          <w:lang w:val="en_US" w:bidi="en_US"/>
        </w:rPr>
      </w:r>
      <w:r>
        <w:rPr>
          <w:lang w:val="en_US" w:bidi="en_US"/>
        </w:rPr>
      </w:r>
    </w:p>
    <w:p>
      <w:pPr/>
      <w:r>
        <w:rPr>
          <w:lang w:val="en_US" w:bidi="en_US"/>
        </w:rPr>
      </w:r>
    </w:p>
    <w:p>
      <w:pPr>
        <w:pStyle w:val="Heading2"/>
      </w:pPr>
      <w:r>
        <w:rPr>
          <w:lang w:val="en_US" w:bidi="en_US"/>
        </w:rPr>
        <w:t>Luke 14:30</w:t>
      </w:r>
      <w:r>
        <w:rPr>
          <w:lang w:val="en_US" w:bidi="en_US"/>
        </w:rPr>
      </w:r>
    </w:p>
    <w:p>
      <w:pPr>
        <w:pStyle w:val="Heading4"/>
      </w:pPr>
      <w:r>
        <w:rPr>
          <w:lang w:val="en_US" w:bidi="en_US"/>
        </w:rPr>
        <w:t>Section 14:25–35: A disciple of Jesus must be ready to suffer for him</w:t>
      </w:r>
    </w:p>
    <w:p>
      <w:pPr/>
      <w:r>
        <w:rPr>
          <w:lang w:val="en_US" w:bidi="en_US"/>
        </w:rPr>
      </w:r>
      <w:r>
        <w:rPr>
          <w:lang w:val="en_US" w:bidi="en_US"/>
        </w:rP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pPr/>
      <w:r>
        <w:rPr>
          <w:lang w:val="en_US" w:bidi="en_US"/>
        </w:rPr>
      </w:r>
      <w:r>
        <w:rPr>
          <w:lang w:val="en_US" w:bidi="en_US"/>
        </w:rPr>
        <w:t>Some other possible headings for this section are:</w:t>
      </w:r>
    </w:p>
    <w:p>
      <w:pPr/>
      <w:r>
        <w:rPr>
          <w:lang w:val="en_US" w:bidi="en_US"/>
        </w:rPr>
      </w:r>
      <w:r>
        <w:rPr>
          <w:lang w:val="en_US" w:bidi="en_US"/>
        </w:rPr>
        <w:t>The Cost of Being a Disciple (NIV)</w:t>
      </w:r>
    </w:p>
    <w:p>
      <w:pPr/>
      <w:r>
        <w:rPr>
          <w:lang w:val="en_US" w:bidi="en_US"/>
        </w:rPr>
      </w:r>
      <w:r>
        <w:rPr>
          <w:lang w:val="en_US" w:bidi="en_US"/>
        </w:rPr>
        <w:t>Do not underestimate the hardship of being a disciple</w:t>
      </w:r>
    </w:p>
    <w:p>
      <w:pPr>
        <w:pStyle w:val="Heading4"/>
      </w:pPr>
      <w:r>
        <w:rPr>
          <w:lang w:val="en_US" w:bidi="en_US"/>
        </w:rPr>
        <w:t>Paragraph 14:28–30</w:t>
      </w:r>
    </w:p>
    <w:p>
      <w:pPr/>
      <w:r>
        <w:rPr>
          <w:lang w:val="en_US" w:bidi="en_US"/>
        </w:rPr>
      </w:r>
      <w:r>
        <w:rPr>
          <w:lang w:val="en_US" w:bidi="en_US"/>
        </w:rPr>
        <w:t>In Greek, this paragraph (14:28–30) begins with a conjunction that many versions, such as the RSV, translate as “For.” It introduces an example that illustrates what Jesus said in the previous paragraph. Jesus taught that becoming his disciple was a serious commitment. The illustration shows that a person should think carefully about the difficulties and cost before making such a serious commitment.</w:t>
      </w:r>
    </w:p>
    <w:p>
      <w:pPr/>
      <w:r>
        <w:rPr>
          <w:lang w:val="en_US" w:bidi="en_US"/>
        </w:rPr>
      </w:r>
      <w:r>
        <w:rPr>
          <w:lang w:val="en_US" w:bidi="en_US"/>
        </w:rPr>
        <w:t>The BSB does not translate this connection explicitly. In some languages you may need to make the connection more explicit. This may be done in different ways. For example:</w:t>
      </w:r>
    </w:p>
    <w:p>
      <w:pPr/>
      <w:r>
        <w:rPr>
          <w:lang w:val="en_US" w:bidi="en_US"/>
        </w:rPr>
      </w:r>
      <w:r>
        <w:rPr>
          <w:lang w:val="en_US" w:bidi="en_US"/>
        </w:rPr>
        <w:t>But don’t begin until you count the cost. For who would begin construction of a building…? (NLT)</w:t>
      </w:r>
    </w:p>
    <w:p>
      <w:pPr/>
      <w:r>
        <w:rPr>
          <w:lang w:val="en_US" w:bidi="en_US"/>
        </w:rPr>
      </w:r>
      <w:r>
        <w:rPr>
          <w:lang w:val="en_US" w:bidi="en_US"/>
        </w:rPr>
        <w:t>You must think first about this before you become my disciple. Just as…</w:t>
      </w:r>
    </w:p>
    <w:p>
      <w:pPr>
        <w:pStyle w:val="Heading5"/>
      </w:pPr>
      <w:r>
        <w:rPr>
          <w:lang w:val="en_US" w:bidi="en_US"/>
        </w:rPr>
        <w:t>14:30</w:t>
      </w:r>
    </w:p>
    <w:p>
      <w:pPr/>
      <w:r>
        <w:rPr>
          <w:lang w:val="en_US" w:bidi="en_US"/>
        </w:rPr>
      </w:r>
      <w:r>
        <w:rPr>
          <w:b/>
          <w:lang w:val="en_US" w:bidi="en_US"/>
        </w:rPr>
        <w:t>saying, ‘This man could not finish what he started to build.’</w:t>
      </w:r>
    </w:p>
    <w:p>
      <w:pPr>
        <w:pStyle w:val="ListBullet"/>
        <w:spacing w:line="240" w:lineRule="auto"/>
        <w:ind w:left="720"/>
      </w:pPr>
      <w:r>
        <w:rPr>
          <w:lang w:val="en_US" w:bidi="en_US"/>
        </w:rPr>
      </w:r>
      <w:r>
        <w:rPr>
          <w:lang w:val="en_US" w:bidi="en_US"/>
        </w:rPr>
        <w:t xml:space="preserve">saying, ‘This </w:t>
      </w:r>
      <w:r>
        <w:rPr>
          <w:lang w:val="en_US" w:bidi="en_US"/>
        </w:rPr>
        <w:t>foolish</w:t>
      </w:r>
      <w:r>
        <w:rPr>
          <w:lang w:val="en_US" w:bidi="en_US"/>
        </w:rPr>
        <w:t xml:space="preserve"> man started </w:t>
      </w:r>
      <w:r>
        <w:rPr>
          <w:lang w:val="en_US" w:bidi="en_US"/>
        </w:rPr>
        <w:t>this project/work</w:t>
      </w:r>
      <w:r>
        <w:rPr>
          <w:lang w:val="en_US" w:bidi="en_US"/>
        </w:rPr>
        <w:t xml:space="preserve"> but ran out of money before finishing it!’</w:t>
      </w:r>
    </w:p>
    <w:p>
      <w:pPr>
        <w:pStyle w:val="ListBullet"/>
        <w:spacing w:line="240" w:lineRule="auto"/>
        <w:ind w:left="720"/>
      </w:pPr>
      <w:r>
        <w:rPr>
          <w:lang w:val="en_US" w:bidi="en_US"/>
        </w:rPr>
      </w:r>
      <w:r>
        <w:rPr>
          <w:lang w:val="en_US" w:bidi="en_US"/>
        </w:rPr>
        <w:t>They will say things like: ‘</w:t>
      </w:r>
      <w:r>
        <w:rPr>
          <w:lang w:val="en_US" w:bidi="en_US"/>
        </w:rPr>
        <w:t>Look at that!</w:t>
      </w:r>
      <w:r>
        <w:rPr>
          <w:lang w:val="en_US" w:bidi="en_US"/>
        </w:rPr>
        <w:t xml:space="preserve"> There is the person who could not finish </w:t>
      </w:r>
      <w:r>
        <w:rPr>
          <w:lang w:val="en_US" w:bidi="en_US"/>
        </w:rPr>
        <w:t>the job/house</w:t>
      </w:r>
      <w:r>
        <w:rPr>
          <w:lang w:val="en_US" w:bidi="en_US"/>
        </w:rPr>
        <w:t xml:space="preserve"> that he started!’</w:t>
      </w:r>
    </w:p>
    <w:p>
      <w:pPr/>
      <w:r>
        <w:rPr>
          <w:lang w:val="en_US" w:bidi="en_US"/>
        </w:rPr>
      </w:r>
      <w:r>
        <w:rPr>
          <w:b/>
          <w:lang w:val="en_US" w:bidi="en_US"/>
        </w:rPr>
        <w:t>saying:</w:t>
      </w:r>
      <w:r>
        <w:rPr>
          <w:lang w:val="en_US" w:bidi="en_US"/>
        </w:rPr>
        <w:t xml:space="preserve"> The verb </w:t>
      </w:r>
      <w:r>
        <w:rPr>
          <w:i/>
          <w:lang w:val="en_US" w:bidi="en_US"/>
        </w:rPr>
        <w:t>saying</w:t>
      </w:r>
      <w:r>
        <w:rPr>
          <w:lang w:val="en_US" w:bidi="en_US"/>
        </w:rPr>
        <w:t xml:space="preserve"> introduces an example of the things that people might say in this situation. It does not imply that everyone said the same words or that they spoke at the same time. One way to make this clear is:</w:t>
      </w:r>
    </w:p>
    <w:p>
      <w:pPr/>
      <w:r>
        <w:rPr>
          <w:lang w:val="en_US" w:bidi="en_US"/>
        </w:rPr>
      </w:r>
      <w:r>
        <w:rPr>
          <w:lang w:val="en_US" w:bidi="en_US"/>
        </w:rPr>
        <w:t>They will say things like</w:t>
      </w:r>
    </w:p>
    <w:p>
      <w:pPr/>
      <w:r>
        <w:rPr>
          <w:lang w:val="en_US" w:bidi="en_US"/>
        </w:rPr>
      </w:r>
      <w:r>
        <w:rPr>
          <w:b/>
          <w:lang w:val="en_US" w:bidi="en_US"/>
        </w:rPr>
        <w:t>This man:</w:t>
      </w:r>
      <w:r>
        <w:rPr>
          <w:lang w:val="en_US" w:bidi="en_US"/>
        </w:rPr>
        <w:t xml:space="preserve"> In this context, the expression that the BSB translates as </w:t>
      </w:r>
      <w:r>
        <w:rPr>
          <w:i/>
          <w:lang w:val="en_US" w:bidi="en_US"/>
        </w:rPr>
        <w:t>This man</w:t>
      </w:r>
      <w:r>
        <w:rPr>
          <w:lang w:val="en_US" w:bidi="en_US"/>
        </w:rPr>
        <w:t xml:space="preserve"> is a mocking way to refer to someone. Try to use an expression in your language that shows that people are ridiculing someone. Various English versions use expressions such as “fool” and “this fellow” (NRSV) and “that guy.” See the Display for some further suggestions.</w:t>
      </w:r>
    </w:p>
    <w:p>
      <w:pPr/>
      <w:r>
        <w:rPr>
          <w:lang w:val="en_US" w:bidi="en_US"/>
        </w:rPr>
      </w:r>
      <w:r>
        <w:rPr>
          <w:b/>
          <w:lang w:val="en_US" w:bidi="en_US"/>
        </w:rPr>
        <w:t>could not finish what he started to build:</w:t>
      </w:r>
      <w:r>
        <w:rPr>
          <w:lang w:val="en_US" w:bidi="en_US"/>
        </w:rPr>
        <w:t xml:space="preserve"> In some languages it may be necessary to supply an object for at least one of the verbs. For example:</w:t>
      </w:r>
    </w:p>
    <w:p>
      <w:pPr/>
      <w:r>
        <w:rPr>
          <w:lang w:val="en_US" w:bidi="en_US"/>
        </w:rPr>
      </w:r>
      <w:r>
        <w:rPr>
          <w:lang w:val="en_US" w:bidi="en_US"/>
        </w:rPr>
        <w:t xml:space="preserve">began to build </w:t>
      </w:r>
      <w:r>
        <w:rPr>
          <w:lang w:val="en_US" w:bidi="en_US"/>
        </w:rPr>
        <w:t>this tower</w:t>
      </w:r>
    </w:p>
    <w:p>
      <w:pPr/>
      <w:r>
        <w:rPr>
          <w:lang w:val="en_US" w:bidi="en_US"/>
        </w:rPr>
      </w:r>
      <w:r>
        <w:rPr>
          <w:lang w:val="en_US" w:bidi="en_US"/>
        </w:rPr>
        <w:t>In other languages, it may be more natural to say only “began it” and leave the words “to build” implied. Consider what is clear and natural in your language.</w:t>
      </w:r>
      <w:r>
        <w:rPr>
          <w:lang w:val="en_US" w:bidi="en_US"/>
        </w:rPr>
      </w:r>
      <w:r>
        <w:rPr>
          <w:lang w:val="en_US" w:bidi="en_US"/>
        </w:rPr>
      </w:r>
    </w:p>
    <w:p>
      <w:pPr/>
      <w:r>
        <w:rPr>
          <w:lang w:val="en_US" w:bidi="en_US"/>
        </w:rPr>
      </w:r>
    </w:p>
    <w:p>
      <w:pPr>
        <w:pStyle w:val="Heading2"/>
      </w:pPr>
      <w:r>
        <w:rPr>
          <w:lang w:val="en_US" w:bidi="en_US"/>
        </w:rPr>
        <w:t>Luke 14:31</w:t>
      </w:r>
      <w:r>
        <w:rPr>
          <w:lang w:val="en_US" w:bidi="en_US"/>
        </w:rPr>
      </w:r>
    </w:p>
    <w:p>
      <w:pPr>
        <w:pStyle w:val="Heading4"/>
      </w:pPr>
      <w:r>
        <w:rPr>
          <w:lang w:val="en_US" w:bidi="en_US"/>
        </w:rPr>
        <w:t>Section 14:25–35: A disciple of Jesus must be ready to suffer for him</w:t>
      </w:r>
    </w:p>
    <w:p>
      <w:pPr/>
      <w:r>
        <w:rPr>
          <w:lang w:val="en_US" w:bidi="en_US"/>
        </w:rPr>
      </w:r>
      <w:r>
        <w:rPr>
          <w:lang w:val="en_US" w:bidi="en_US"/>
        </w:rP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pPr/>
      <w:r>
        <w:rPr>
          <w:lang w:val="en_US" w:bidi="en_US"/>
        </w:rPr>
      </w:r>
      <w:r>
        <w:rPr>
          <w:lang w:val="en_US" w:bidi="en_US"/>
        </w:rPr>
        <w:t>Some other possible headings for this section are:</w:t>
      </w:r>
    </w:p>
    <w:p>
      <w:pPr/>
      <w:r>
        <w:rPr>
          <w:lang w:val="en_US" w:bidi="en_US"/>
        </w:rPr>
      </w:r>
      <w:r>
        <w:rPr>
          <w:lang w:val="en_US" w:bidi="en_US"/>
        </w:rPr>
        <w:t>The Cost of Being a Disciple (NIV)</w:t>
      </w:r>
    </w:p>
    <w:p>
      <w:pPr/>
      <w:r>
        <w:rPr>
          <w:lang w:val="en_US" w:bidi="en_US"/>
        </w:rPr>
      </w:r>
      <w:r>
        <w:rPr>
          <w:lang w:val="en_US" w:bidi="en_US"/>
        </w:rPr>
        <w:t>Do not underestimate the hardship of being a disciple</w:t>
      </w:r>
    </w:p>
    <w:p>
      <w:pPr>
        <w:pStyle w:val="Heading4"/>
      </w:pPr>
      <w:r>
        <w:rPr>
          <w:lang w:val="en_US" w:bidi="en_US"/>
        </w:rPr>
        <w:t>Paragraph 14:31–33</w:t>
      </w:r>
    </w:p>
    <w:p>
      <w:pPr/>
      <w:r>
        <w:rPr>
          <w:lang w:val="en_US" w:bidi="en_US"/>
        </w:rPr>
      </w:r>
      <w:r>
        <w:rPr>
          <w:lang w:val="en_US" w:bidi="en_US"/>
        </w:rPr>
        <w:t>See the summary of Paragraph 14:28–30. This paragraph gives a second parallel example that illustrates the importance of thinking carefully before deciding to start something. The structure of this example, using a rhetorical question, is very similar to 14:28–30, so you may be able to make similar kinds of translation adjustments.</w:t>
      </w:r>
    </w:p>
    <w:p>
      <w:pPr>
        <w:pStyle w:val="Heading5"/>
      </w:pPr>
      <w:r>
        <w:rPr>
          <w:lang w:val="en_US" w:bidi="en_US"/>
        </w:rPr>
        <w:t>14:31a–d</w:t>
      </w:r>
    </w:p>
    <w:p>
      <w:pPr/>
      <w:r>
        <w:rPr>
          <w:lang w:val="en_US" w:bidi="en_US"/>
        </w:rPr>
      </w:r>
      <w:r>
        <w:rPr>
          <w:b/>
          <w:lang w:val="en_US" w:bidi="en_US"/>
        </w:rPr>
        <w:t>Or:</w:t>
      </w:r>
      <w:r>
        <w:rPr>
          <w:lang w:val="en_US" w:bidi="en_US"/>
        </w:rPr>
        <w:t xml:space="preserve"> In Greek, this verse begins with a conjunction that the BSB translates literally as </w:t>
      </w:r>
      <w:r>
        <w:rPr>
          <w:i/>
          <w:lang w:val="en_US" w:bidi="en_US"/>
        </w:rPr>
        <w:t>Or</w:t>
      </w:r>
      <w:r>
        <w:rPr>
          <w:lang w:val="en_US" w:bidi="en_US"/>
        </w:rPr>
        <w:t>. This conjunction introduces another example that makes the same point. It does not introduce an alternative example (either this or that). Other ways to introduce a similar example are:</w:t>
      </w:r>
    </w:p>
    <w:p>
      <w:pPr/>
      <w:r>
        <w:rPr>
          <w:lang w:val="en_US" w:bidi="en_US"/>
        </w:rPr>
      </w:r>
      <w:r>
        <w:rPr>
          <w:lang w:val="en_US" w:bidi="en_US"/>
        </w:rPr>
        <w:t>In the same way</w:t>
      </w:r>
    </w:p>
    <w:p>
      <w:pPr/>
      <w:r>
        <w:rPr>
          <w:lang w:val="en_US" w:bidi="en_US"/>
        </w:rPr>
      </w:r>
      <w:r>
        <w:rPr>
          <w:lang w:val="en_US" w:bidi="en_US"/>
        </w:rPr>
        <w:t>Here is another example</w:t>
      </w:r>
    </w:p>
    <w:p>
      <w:pPr/>
      <w:r>
        <w:rPr>
          <w:lang w:val="en_US" w:bidi="en_US"/>
        </w:rPr>
      </w:r>
      <w:r>
        <w:rPr>
          <w:b/>
          <w:lang w:val="en_US" w:bidi="en_US"/>
        </w:rPr>
        <w:t>what king on his way to war with another king will not first sit down and consider whether he can engage with ten thousand men the one coming against him with twenty thousand?:</w:t>
      </w:r>
      <w:r>
        <w:rPr>
          <w:lang w:val="en_US" w:bidi="en_US"/>
        </w:rPr>
        <w:t xml:space="preserve"> As the BSB shows, in Greek, 14:31a–d is a single rhetorical question, as in 14:28. Another way to translate this is:</w:t>
      </w:r>
    </w:p>
    <w:p>
      <w:pPr/>
      <w:r>
        <w:rPr>
          <w:lang w:val="en_US" w:bidi="en_US"/>
        </w:rPr>
      </w:r>
      <w:r>
        <w:rPr>
          <w:lang w:val="en_US" w:bidi="en_US"/>
        </w:rPr>
        <w:t>Or what king would go to war against another king without first sitting down with his counselors to discuss whether his army of 10,000 could defeat the 20,000 soldiers marching against him? (NLT)</w:t>
      </w:r>
    </w:p>
    <w:p>
      <w:pPr/>
      <w:r>
        <w:rPr>
          <w:lang w:val="en_US" w:bidi="en_US"/>
        </w:rPr>
      </w:r>
      <w:r>
        <w:rPr>
          <w:lang w:val="en_US" w:bidi="en_US"/>
        </w:rPr>
        <w:t xml:space="preserve">The function of the rhetorical question is to emphasize that the king would </w:t>
      </w:r>
      <w:r>
        <w:rPr>
          <w:u w:val="single"/>
          <w:lang w:val="en_US" w:bidi="en_US"/>
        </w:rPr>
        <w:t>certainly</w:t>
      </w:r>
      <w:r>
        <w:rPr>
          <w:lang w:val="en_US" w:bidi="en_US"/>
        </w:rPr>
        <w:t xml:space="preserve"> sit down and make plans. He would decide whether his men are able to defeat the other kings’ men before he goes out and begins to fight. Other ways to translate this question are:</w:t>
      </w:r>
    </w:p>
    <w:p>
      <w:pPr>
        <w:pStyle w:val="ListBullet"/>
        <w:spacing w:line="240" w:lineRule="auto"/>
        <w:ind w:left="720"/>
      </w:pPr>
      <w:r>
        <w:rPr>
          <w:lang w:val="en_US" w:bidi="en_US"/>
        </w:rPr>
      </w:r>
      <w:r>
        <w:rPr>
          <w:lang w:val="en_US" w:bidi="en_US"/>
        </w:rPr>
        <w:t>As two or more rhetorical questions. For example:</w:t>
      </w:r>
      <w:r>
        <w:rPr>
          <w:lang w:val="en_US" w:bidi="en_US"/>
        </w:rPr>
        <w:t>What will a king do if he has only ten thousand soldiers to defend himself against a king who is about to attack him with twenty thousand soldiers? Before he goes out to battle, won’t he first sit down and decide if he can win? (CEV)</w:t>
      </w:r>
    </w:p>
    <w:p>
      <w:pPr/>
      <w:r>
        <w:rPr>
          <w:lang w:val="en_US" w:bidi="en_US"/>
        </w:rPr>
      </w:r>
      <w:r>
        <w:rPr>
          <w:lang w:val="en_US" w:bidi="en_US"/>
        </w:rPr>
        <w:t>Notice that the CEV has reordered the information. For another suggestion about reordering, see the General Comment on 14:31a–d at the end of 14:31d.</w:t>
      </w:r>
    </w:p>
    <w:p>
      <w:pPr>
        <w:pStyle w:val="ListBullet"/>
        <w:spacing w:line="240" w:lineRule="auto"/>
        <w:ind w:left="720"/>
      </w:pPr>
      <w:r>
        <w:rPr>
          <w:lang w:val="en_US" w:bidi="en_US"/>
        </w:rPr>
      </w:r>
      <w:r>
        <w:rPr>
          <w:lang w:val="en_US" w:bidi="en_US"/>
        </w:rPr>
        <w:t>As one or more statements. For example:</w:t>
      </w:r>
      <w:r>
        <w:rPr>
          <w:lang w:val="en_US" w:bidi="en_US"/>
        </w:rPr>
        <w:t>If a king goes out with ten thousand men to fight another king who comes against him with twenty thousand men, he will sit down first and decide if he is strong enough to face that other king. (GNT)</w:t>
      </w:r>
      <w:r>
        <w:rPr>
          <w:lang w:val="en_US" w:bidi="en_US"/>
        </w:rPr>
        <w:t>If a king is going to fight another king, first he will sit down and plan. He will decide if he and his ten thousand soldiers can defeat the other king who has twenty thousand soldiers. (NCV)</w:t>
      </w:r>
    </w:p>
    <w:p>
      <w:pPr>
        <w:pStyle w:val="ListBullet"/>
        <w:spacing w:line="240" w:lineRule="auto"/>
        <w:ind w:left="720"/>
      </w:pPr>
      <w:r>
        <w:rPr>
          <w:lang w:val="en_US" w:bidi="en_US"/>
        </w:rPr>
      </w:r>
      <w:r>
        <w:rPr>
          <w:lang w:val="en_US" w:bidi="en_US"/>
        </w:rPr>
        <w:t>As a combination of statements and questions. For example:</w:t>
      </w:r>
      <w:r>
        <w:rPr>
          <w:lang w:val="en_US" w:bidi="en_US"/>
        </w:rPr>
        <w:t>Or suppose a king is going to war against another king. He would first sit down and think things through. Can he and his 10,000 soldiers fight against a king with 20,000 soldiers? (GW)</w:t>
      </w:r>
    </w:p>
    <w:p>
      <w:pPr>
        <w:pStyle w:val="Heading5"/>
      </w:pPr>
      <w:r>
        <w:rPr>
          <w:lang w:val="en_US" w:bidi="en_US"/>
        </w:rPr>
        <w:t>14:31a</w:t>
      </w:r>
    </w:p>
    <w:p>
      <w:pPr/>
      <w:r>
        <w:rPr>
          <w:lang w:val="en_US" w:bidi="en_US"/>
        </w:rPr>
      </w:r>
      <w:r>
        <w:rPr>
          <w:b/>
          <w:lang w:val="en_US" w:bidi="en_US"/>
        </w:rPr>
        <w:t>Or what king on his way to war with another king</w:t>
      </w:r>
    </w:p>
    <w:p>
      <w:pPr>
        <w:pStyle w:val="ListBullet"/>
        <w:spacing w:line="240" w:lineRule="auto"/>
        <w:ind w:left="720"/>
      </w:pPr>
      <w:r>
        <w:rPr>
          <w:lang w:val="en_US" w:bidi="en_US"/>
        </w:rPr>
      </w:r>
      <w:r>
        <w:rPr>
          <w:lang w:val="en_US" w:bidi="en_US"/>
        </w:rPr>
        <w:t xml:space="preserve">¶ “Or, </w:t>
      </w:r>
      <w:r>
        <w:rPr>
          <w:lang w:val="en_US" w:bidi="en_US"/>
        </w:rPr>
        <w:t>here is another example:</w:t>
      </w:r>
      <w:r>
        <w:rPr>
          <w:lang w:val="en_US" w:bidi="en_US"/>
        </w:rPr>
        <w:t xml:space="preserve"> If a king is getting ready </w:t>
      </w:r>
      <w:r>
        <w:rPr>
          <w:lang w:val="en_US" w:bidi="en_US"/>
        </w:rPr>
        <w:t>for his soldiers</w:t>
      </w:r>
      <w:r>
        <w:rPr>
          <w:lang w:val="en_US" w:bidi="en_US"/>
        </w:rPr>
        <w:t xml:space="preserve"> to fight against </w:t>
      </w:r>
      <w:r>
        <w:rPr>
          <w:lang w:val="en_US" w:bidi="en_US"/>
        </w:rPr>
        <w:t>the soldiers of</w:t>
      </w:r>
      <w:r>
        <w:rPr>
          <w:lang w:val="en_US" w:bidi="en_US"/>
        </w:rPr>
        <w:t xml:space="preserve"> another king, </w:t>
      </w:r>
      <w:r>
        <w:rPr>
          <w:lang w:val="en_US" w:bidi="en_US"/>
        </w:rPr>
        <w:t>what does he do first?</w:t>
      </w:r>
    </w:p>
    <w:p>
      <w:pPr>
        <w:pStyle w:val="ListBullet"/>
        <w:spacing w:line="240" w:lineRule="auto"/>
        <w:ind w:left="720"/>
      </w:pPr>
      <w:r>
        <w:rPr>
          <w:lang w:val="en_US" w:bidi="en_US"/>
        </w:rPr>
      </w:r>
      <w:r>
        <w:rPr>
          <w:lang w:val="en_US" w:bidi="en_US"/>
        </w:rPr>
        <w:t>¶ “Similarly/Again, think about a king who is being attacked by the army of another king.</w:t>
      </w:r>
    </w:p>
    <w:p>
      <w:pPr/>
      <w:r>
        <w:rPr>
          <w:lang w:val="en_US" w:bidi="en_US"/>
        </w:rPr>
      </w:r>
      <w:r>
        <w:rPr>
          <w:b/>
          <w:lang w:val="en_US" w:bidi="en_US"/>
        </w:rPr>
        <w:t>what king on his way to war with another king:</w:t>
      </w:r>
      <w:r>
        <w:rPr>
          <w:lang w:val="en_US" w:bidi="en_US"/>
        </w:rPr>
        <w:t xml:space="preserve"> In this example the first king discovers that another king is bringing his soldiers to attack him. This first king who is </w:t>
      </w:r>
      <w:r>
        <w:rPr>
          <w:i/>
          <w:lang w:val="en_US" w:bidi="en_US"/>
        </w:rPr>
        <w:t>on his way to war</w:t>
      </w:r>
      <w:r>
        <w:rPr>
          <w:lang w:val="en_US" w:bidi="en_US"/>
        </w:rPr>
        <w:t xml:space="preserve"> is wondering whether to defend himself or to surrender. Some ways to make this clear are:</w:t>
      </w:r>
    </w:p>
    <w:p>
      <w:pPr/>
      <w:r>
        <w:rPr>
          <w:lang w:val="en_US" w:bidi="en_US"/>
        </w:rPr>
      </w:r>
      <w:r>
        <w:rPr>
          <w:lang w:val="en_US" w:bidi="en_US"/>
        </w:rPr>
        <w:t>suppose a king is facing an attack from another king</w:t>
      </w:r>
    </w:p>
    <w:p>
      <w:pPr/>
      <w:r>
        <w:rPr>
          <w:lang w:val="en_US" w:bidi="en_US"/>
        </w:rPr>
      </w:r>
      <w:r>
        <w:rPr>
          <w:lang w:val="en_US" w:bidi="en_US"/>
        </w:rPr>
        <w:t xml:space="preserve">if a king is about to be attacked by another king </w:t>
      </w:r>
      <w:r>
        <w:rPr>
          <w:lang w:val="en_US" w:bidi="en_US"/>
        </w:rPr>
        <w:t>and his army</w:t>
      </w:r>
    </w:p>
    <w:p>
      <w:pPr/>
      <w:r>
        <w:rPr>
          <w:lang w:val="en_US" w:bidi="en_US"/>
        </w:rPr>
      </w:r>
      <w:r>
        <w:rPr>
          <w:lang w:val="en_US" w:bidi="en_US"/>
        </w:rPr>
        <w:t>The kings represent themselves and their soldiers. Be sure that is clear in your language. See the preceding example.</w:t>
      </w:r>
    </w:p>
    <w:p>
      <w:pPr>
        <w:pStyle w:val="Heading5"/>
      </w:pPr>
      <w:r>
        <w:rPr>
          <w:lang w:val="en_US" w:bidi="en_US"/>
        </w:rPr>
        <w:t>14:31b</w:t>
      </w:r>
    </w:p>
    <w:p>
      <w:pPr/>
      <w:r>
        <w:rPr>
          <w:lang w:val="en_US" w:bidi="en_US"/>
        </w:rPr>
      </w:r>
      <w:r>
        <w:rPr>
          <w:b/>
          <w:lang w:val="en_US" w:bidi="en_US"/>
        </w:rPr>
        <w:t>will not first sit down and consider</w:t>
      </w:r>
    </w:p>
    <w:p>
      <w:pPr>
        <w:pStyle w:val="ListBullet"/>
        <w:spacing w:line="240" w:lineRule="auto"/>
        <w:ind w:left="720"/>
      </w:pPr>
      <w:r>
        <w:rPr>
          <w:lang w:val="en_US" w:bidi="en_US"/>
        </w:rPr>
      </w:r>
      <w:r>
        <w:rPr>
          <w:lang w:val="en_US" w:bidi="en_US"/>
        </w:rPr>
        <w:t>He will sit down and plan/decide</w:t>
      </w:r>
    </w:p>
    <w:p>
      <w:pPr>
        <w:pStyle w:val="ListBullet"/>
        <w:spacing w:line="240" w:lineRule="auto"/>
        <w:ind w:left="720"/>
      </w:pPr>
      <w:r>
        <w:rPr>
          <w:lang w:val="en_US" w:bidi="en_US"/>
        </w:rPr>
      </w:r>
      <w:r>
        <w:rPr>
          <w:lang w:val="en_US" w:bidi="en_US"/>
        </w:rPr>
        <w:t>Before he goes to defend himself,</w:t>
      </w:r>
      <w:r>
        <w:rPr>
          <w:lang w:val="en_US" w:bidi="en_US"/>
        </w:rPr>
        <w:t xml:space="preserve"> surely he will first carefully think like this:</w:t>
      </w:r>
    </w:p>
    <w:p>
      <w:pPr>
        <w:pStyle w:val="Heading5"/>
      </w:pPr>
      <w:r>
        <w:rPr>
          <w:lang w:val="en_US" w:bidi="en_US"/>
        </w:rPr>
        <w:t>14:31c</w:t>
      </w:r>
    </w:p>
    <w:p>
      <w:pPr/>
      <w:r>
        <w:rPr>
          <w:lang w:val="en_US" w:bidi="en_US"/>
        </w:rPr>
      </w:r>
      <w:r>
        <w:rPr>
          <w:b/>
          <w:lang w:val="en_US" w:bidi="en_US"/>
        </w:rPr>
        <w:t>whether he can engage with ten thousand men</w:t>
      </w:r>
    </w:p>
    <w:p>
      <w:pPr>
        <w:pStyle w:val="ListBullet"/>
        <w:spacing w:line="240" w:lineRule="auto"/>
        <w:ind w:left="720"/>
      </w:pPr>
      <w:r>
        <w:rPr>
          <w:lang w:val="en_US" w:bidi="en_US"/>
        </w:rPr>
      </w:r>
      <w:r>
        <w:rPr>
          <w:lang w:val="en_US" w:bidi="en_US"/>
        </w:rPr>
        <w:t xml:space="preserve">whether his </w:t>
      </w:r>
      <w:r>
        <w:rPr>
          <w:lang w:val="en_US" w:bidi="en_US"/>
        </w:rPr>
        <w:t>army of</w:t>
      </w:r>
      <w:r>
        <w:rPr>
          <w:lang w:val="en_US" w:bidi="en_US"/>
        </w:rPr>
        <w:t xml:space="preserve"> ten thousand soldiers/men is strong enough</w:t>
      </w:r>
    </w:p>
    <w:p>
      <w:pPr>
        <w:pStyle w:val="ListBullet"/>
        <w:spacing w:line="240" w:lineRule="auto"/>
        <w:ind w:left="720"/>
      </w:pPr>
      <w:r>
        <w:rPr>
          <w:lang w:val="en_US" w:bidi="en_US"/>
        </w:rPr>
      </w:r>
      <w:r>
        <w:rPr>
          <w:lang w:val="en_US" w:bidi="en_US"/>
        </w:rPr>
        <w:t>‘I have only ten thousand soldiers.</w:t>
      </w:r>
    </w:p>
    <w:p>
      <w:pPr>
        <w:pStyle w:val="Heading5"/>
      </w:pPr>
      <w:r>
        <w:rPr>
          <w:lang w:val="en_US" w:bidi="en_US"/>
        </w:rPr>
        <w:t>14:31b–c</w:t>
      </w:r>
    </w:p>
    <w:p>
      <w:pPr/>
      <w:r>
        <w:rPr>
          <w:lang w:val="en_US" w:bidi="en_US"/>
        </w:rPr>
      </w:r>
      <w:r>
        <w:rPr>
          <w:b/>
          <w:lang w:val="en_US" w:bidi="en_US"/>
        </w:rPr>
        <w:t>sit down and consider:</w:t>
      </w:r>
      <w:r>
        <w:rPr>
          <w:lang w:val="en_US" w:bidi="en_US"/>
        </w:rPr>
        <w:t xml:space="preserve"> The verb that the BSB translates as </w:t>
      </w:r>
      <w:r>
        <w:rPr>
          <w:i/>
          <w:lang w:val="en_US" w:bidi="en_US"/>
        </w:rPr>
        <w:t>consider</w:t>
      </w:r>
      <w:r>
        <w:rPr>
          <w:lang w:val="en_US" w:bidi="en_US"/>
        </w:rPr>
        <w:t xml:space="preserve"> means to think about carefully in order to decide. Other ways to translate this phrase are:</w:t>
      </w:r>
    </w:p>
    <w:p>
      <w:pPr/>
      <w:r>
        <w:rPr>
          <w:lang w:val="en_US" w:bidi="en_US"/>
        </w:rPr>
      </w:r>
      <w:r>
        <w:rPr>
          <w:lang w:val="en_US" w:bidi="en_US"/>
        </w:rPr>
        <w:t>sit down and think things through (GW)</w:t>
      </w:r>
    </w:p>
    <w:p>
      <w:pPr/>
      <w:r>
        <w:rPr>
          <w:lang w:val="en_US" w:bidi="en_US"/>
        </w:rPr>
      </w:r>
      <w:r>
        <w:rPr>
          <w:lang w:val="en_US" w:bidi="en_US"/>
        </w:rPr>
        <w:t>sit down and plan. He will decide (NCV)</w:t>
      </w:r>
    </w:p>
    <w:p>
      <w:pPr/>
      <w:r>
        <w:rPr>
          <w:lang w:val="en_US" w:bidi="en_US"/>
        </w:rPr>
      </w:r>
      <w:r>
        <w:rPr>
          <w:lang w:val="en_US" w:bidi="en_US"/>
        </w:rPr>
        <w:t>It is likely that the king planned and discussed the situation with a group of advisers (see the NLT example in the first note on 14:31), but this information is not implied in the text itself.</w:t>
      </w:r>
    </w:p>
    <w:p>
      <w:pPr/>
      <w:r>
        <w:rPr>
          <w:lang w:val="en_US" w:bidi="en_US"/>
        </w:rPr>
      </w:r>
      <w:r>
        <w:rPr>
          <w:b/>
          <w:lang w:val="en_US" w:bidi="en_US"/>
        </w:rPr>
        <w:t>sit down:</w:t>
      </w:r>
      <w:r>
        <w:rPr>
          <w:lang w:val="en_US" w:bidi="en_US"/>
        </w:rPr>
        <w:t xml:space="preserve"> See the note on </w:t>
      </w:r>
      <w:r>
        <w:rPr>
          <w:i/>
          <w:lang w:val="en_US" w:bidi="en_US"/>
        </w:rPr>
        <w:t>sit down</w:t>
      </w:r>
      <w:r>
        <w:rPr>
          <w:lang w:val="en_US" w:bidi="en_US"/>
        </w:rPr>
        <w:t xml:space="preserve"> in 14:28b.</w:t>
      </w:r>
    </w:p>
    <w:p>
      <w:pPr>
        <w:pStyle w:val="Heading5"/>
      </w:pPr>
      <w:r>
        <w:rPr>
          <w:lang w:val="en_US" w:bidi="en_US"/>
        </w:rPr>
        <w:t>14:31d</w:t>
      </w:r>
    </w:p>
    <w:p>
      <w:pPr/>
      <w:r>
        <w:rPr>
          <w:lang w:val="en_US" w:bidi="en_US"/>
        </w:rPr>
      </w:r>
      <w:r>
        <w:rPr>
          <w:b/>
          <w:lang w:val="en_US" w:bidi="en_US"/>
        </w:rPr>
        <w:t>the one coming against him with twenty thousand?</w:t>
      </w:r>
    </w:p>
    <w:p>
      <w:pPr>
        <w:pStyle w:val="ListBullet"/>
        <w:spacing w:line="240" w:lineRule="auto"/>
        <w:ind w:left="720"/>
      </w:pPr>
      <w:r>
        <w:rPr>
          <w:lang w:val="en_US" w:bidi="en_US"/>
        </w:rPr>
      </w:r>
      <w:r>
        <w:rPr>
          <w:lang w:val="en_US" w:bidi="en_US"/>
        </w:rPr>
        <w:t xml:space="preserve">to defeat his enemy who is coming to attack him with twenty thousand </w:t>
      </w:r>
      <w:r>
        <w:rPr>
          <w:lang w:val="en_US" w:bidi="en_US"/>
        </w:rPr>
        <w:t>soldiers</w:t>
      </w:r>
      <w:r>
        <w:rPr>
          <w:lang w:val="en_US" w:bidi="en_US"/>
        </w:rPr>
        <w:t>.</w:t>
      </w:r>
    </w:p>
    <w:p>
      <w:pPr>
        <w:pStyle w:val="ListBullet"/>
        <w:spacing w:line="240" w:lineRule="auto"/>
        <w:ind w:left="720"/>
      </w:pPr>
      <w:r>
        <w:rPr>
          <w:lang w:val="en_US" w:bidi="en_US"/>
        </w:rPr>
      </w:r>
      <w:r>
        <w:rPr>
          <w:lang w:val="en_US" w:bidi="en_US"/>
        </w:rPr>
        <w:t xml:space="preserve">Can I defeat my enemy who is coming to attack me with twenty thousand </w:t>
      </w:r>
      <w:r>
        <w:rPr>
          <w:lang w:val="en_US" w:bidi="en_US"/>
        </w:rPr>
        <w:t>soldiers</w:t>
      </w:r>
      <w:r>
        <w:rPr>
          <w:lang w:val="en_US" w:bidi="en_US"/>
        </w:rPr>
        <w:t>?’</w:t>
      </w:r>
    </w:p>
    <w:p>
      <w:pPr/>
      <w:r>
        <w:rPr>
          <w:lang w:val="en_US" w:bidi="en_US"/>
        </w:rPr>
      </w:r>
      <w:r>
        <w:rPr>
          <w:b/>
          <w:lang w:val="en_US" w:bidi="en_US"/>
        </w:rPr>
        <w:t>engage:</w:t>
      </w:r>
      <w:r>
        <w:rPr>
          <w:lang w:val="en_US" w:bidi="en_US"/>
        </w:rPr>
        <w:t xml:space="preserve"> In this context the verb </w:t>
      </w:r>
      <w:r>
        <w:rPr>
          <w:i/>
          <w:lang w:val="en_US" w:bidi="en_US"/>
        </w:rPr>
        <w:t>engage</w:t>
      </w:r>
      <w:r>
        <w:rPr>
          <w:lang w:val="en_US" w:bidi="en_US"/>
        </w:rPr>
        <w:t xml:space="preserve"> means to successfully defend oneself against an enemy. Other ways to translate this are:</w:t>
      </w:r>
    </w:p>
    <w:p>
      <w:pPr/>
      <w:r>
        <w:rPr>
          <w:lang w:val="en_US" w:bidi="en_US"/>
        </w:rPr>
      </w:r>
      <w:r>
        <w:rPr>
          <w:lang w:val="en_US" w:bidi="en_US"/>
        </w:rPr>
        <w:t>to defend himself against (CEV)</w:t>
      </w:r>
    </w:p>
    <w:p>
      <w:pPr/>
      <w:r>
        <w:rPr>
          <w:lang w:val="en_US" w:bidi="en_US"/>
        </w:rPr>
      </w:r>
      <w:r>
        <w:rPr>
          <w:lang w:val="en_US" w:bidi="en_US"/>
        </w:rPr>
        <w:t>can defeat (NCV)</w:t>
      </w:r>
    </w:p>
    <w:p>
      <w:pPr/>
      <w:r>
        <w:rPr>
          <w:lang w:val="en_US" w:bidi="en_US"/>
        </w:rPr>
      </w:r>
      <w:r>
        <w:rPr>
          <w:b/>
          <w:lang w:val="en_US" w:bidi="en_US"/>
        </w:rPr>
        <w:t>the one coming against him with twenty thousand:</w:t>
      </w:r>
      <w:r>
        <w:rPr>
          <w:lang w:val="en_US" w:bidi="en_US"/>
        </w:rPr>
        <w:t xml:space="preserve"> The phrase </w:t>
      </w:r>
      <w:r>
        <w:rPr>
          <w:i/>
          <w:lang w:val="en_US" w:bidi="en_US"/>
        </w:rPr>
        <w:t>the one coming against him</w:t>
      </w:r>
      <w:r>
        <w:rPr>
          <w:lang w:val="en_US" w:bidi="en_US"/>
        </w:rPr>
        <w:t xml:space="preserve"> refers to the king who is coming to attack the first king. The phrase </w:t>
      </w:r>
      <w:r>
        <w:rPr>
          <w:i/>
          <w:lang w:val="en_US" w:bidi="en_US"/>
        </w:rPr>
        <w:t>with twenty thousand</w:t>
      </w:r>
      <w:r>
        <w:rPr>
          <w:lang w:val="en_US" w:bidi="en_US"/>
        </w:rPr>
        <w:t xml:space="preserve"> means “with an army of twenty thousand men.” This is twice the size of the first king’s army, so in some languages it may be natural to translate this as:</w:t>
      </w:r>
    </w:p>
    <w:p>
      <w:pPr/>
      <w:r>
        <w:rPr>
          <w:lang w:val="en_US" w:bidi="en_US"/>
        </w:rPr>
      </w:r>
      <w:r>
        <w:rPr>
          <w:lang w:val="en_US" w:bidi="en_US"/>
        </w:rPr>
        <w:t>with an army twice the size of his</w:t>
      </w:r>
    </w:p>
    <w:p>
      <w:pPr>
        <w:pStyle w:val="Heading6"/>
      </w:pPr>
      <w:r>
        <w:rPr>
          <w:b/>
          <w:lang w:val="en_US" w:bidi="en_US"/>
        </w:rPr>
        <w:t>General Comment on 14:31a–d</w:t>
      </w:r>
    </w:p>
    <w:p>
      <w:pPr/>
      <w:r>
        <w:rPr>
          <w:lang w:val="en_US" w:bidi="en_US"/>
        </w:rPr>
      </w:r>
      <w:r>
        <w:rPr>
          <w:lang w:val="en_US" w:bidi="en_US"/>
        </w:rPr>
        <w:t>In some languages it may be necessary to reorder the parts in this verse to explain the situation at the beginning of the verse. For example:</w:t>
      </w:r>
    </w:p>
    <w:p>
      <w:pPr/>
      <w:r>
        <w:rPr>
          <w:lang w:val="en_US" w:bidi="en_US"/>
        </w:rPr>
      </w:r>
      <w:r>
        <w:rPr>
          <w:vertAlign w:val="superscript"/>
          <w:lang w:val="en_US" w:bidi="en_US"/>
        </w:rPr>
        <w:t>31a</w:t>
      </w:r>
      <w:r>
        <w:rPr>
          <w:lang w:val="en_US" w:bidi="en_US"/>
        </w:rPr>
        <w:t xml:space="preserve">Take another example. Suppose there is a king </w:t>
      </w:r>
      <w:r>
        <w:rPr>
          <w:vertAlign w:val="superscript"/>
          <w:lang w:val="en_US" w:bidi="en_US"/>
        </w:rPr>
        <w:t>31c</w:t>
      </w:r>
      <w:r>
        <w:rPr>
          <w:lang w:val="en_US" w:bidi="en_US"/>
        </w:rPr>
        <w:t xml:space="preserve">who has ten thousand soldiers. </w:t>
      </w:r>
      <w:r>
        <w:rPr>
          <w:vertAlign w:val="superscript"/>
          <w:lang w:val="en_US" w:bidi="en_US"/>
        </w:rPr>
        <w:t>31a</w:t>
      </w:r>
      <w:r>
        <w:rPr>
          <w:lang w:val="en_US" w:bidi="en_US"/>
        </w:rPr>
        <w:t xml:space="preserve">If he wants to defend himself against </w:t>
      </w:r>
      <w:r>
        <w:rPr>
          <w:vertAlign w:val="superscript"/>
          <w:lang w:val="en_US" w:bidi="en_US"/>
        </w:rPr>
        <w:t>31d</w:t>
      </w:r>
      <w:r>
        <w:rPr>
          <w:lang w:val="en_US" w:bidi="en_US"/>
        </w:rPr>
        <w:t xml:space="preserve">another king with twenty thousand soldiers, </w:t>
      </w:r>
      <w:r>
        <w:rPr>
          <w:vertAlign w:val="superscript"/>
          <w:lang w:val="en_US" w:bidi="en_US"/>
        </w:rPr>
        <w:t>31b</w:t>
      </w:r>
      <w:r>
        <w:rPr>
          <w:lang w:val="en_US" w:bidi="en_US"/>
        </w:rPr>
        <w:t xml:space="preserve">what will he do? First he will sit down and carefully consider </w:t>
      </w:r>
      <w:r>
        <w:rPr>
          <w:vertAlign w:val="superscript"/>
          <w:lang w:val="en_US" w:bidi="en_US"/>
        </w:rPr>
        <w:t>31c</w:t>
      </w:r>
      <w:r>
        <w:rPr>
          <w:lang w:val="en_US" w:bidi="en_US"/>
        </w:rPr>
        <w:t xml:space="preserve">whether he can </w:t>
      </w:r>
      <w:r>
        <w:rPr>
          <w:vertAlign w:val="superscript"/>
          <w:lang w:val="en_US" w:bidi="en_US"/>
        </w:rPr>
        <w:t>31d</w:t>
      </w:r>
      <w:r>
        <w:rPr>
          <w:lang w:val="en_US" w:bidi="en_US"/>
        </w:rPr>
        <w:t>successfully defeat this king.</w:t>
      </w:r>
      <w:r>
        <w:rPr>
          <w:lang w:val="en_US" w:bidi="en_US"/>
        </w:rPr>
      </w:r>
      <w:r>
        <w:rPr>
          <w:lang w:val="en_US" w:bidi="en_US"/>
        </w:rPr>
      </w:r>
    </w:p>
    <w:p>
      <w:pPr/>
      <w:r>
        <w:rPr>
          <w:lang w:val="en_US" w:bidi="en_US"/>
        </w:rPr>
      </w:r>
    </w:p>
    <w:p>
      <w:pPr>
        <w:pStyle w:val="Heading2"/>
      </w:pPr>
      <w:r>
        <w:rPr>
          <w:lang w:val="en_US" w:bidi="en_US"/>
        </w:rPr>
        <w:t>Luke 14:32</w:t>
      </w:r>
      <w:r>
        <w:rPr>
          <w:lang w:val="en_US" w:bidi="en_US"/>
        </w:rPr>
      </w:r>
    </w:p>
    <w:p>
      <w:pPr>
        <w:pStyle w:val="Heading4"/>
      </w:pPr>
      <w:r>
        <w:rPr>
          <w:lang w:val="en_US" w:bidi="en_US"/>
        </w:rPr>
        <w:t>Section 14:25–35: A disciple of Jesus must be ready to suffer for him</w:t>
      </w:r>
    </w:p>
    <w:p>
      <w:pPr/>
      <w:r>
        <w:rPr>
          <w:lang w:val="en_US" w:bidi="en_US"/>
        </w:rPr>
      </w:r>
      <w:r>
        <w:rPr>
          <w:lang w:val="en_US" w:bidi="en_US"/>
        </w:rP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pPr/>
      <w:r>
        <w:rPr>
          <w:lang w:val="en_US" w:bidi="en_US"/>
        </w:rPr>
      </w:r>
      <w:r>
        <w:rPr>
          <w:lang w:val="en_US" w:bidi="en_US"/>
        </w:rPr>
        <w:t>Some other possible headings for this section are:</w:t>
      </w:r>
    </w:p>
    <w:p>
      <w:pPr/>
      <w:r>
        <w:rPr>
          <w:lang w:val="en_US" w:bidi="en_US"/>
        </w:rPr>
      </w:r>
      <w:r>
        <w:rPr>
          <w:lang w:val="en_US" w:bidi="en_US"/>
        </w:rPr>
        <w:t>The Cost of Being a Disciple (NIV)</w:t>
      </w:r>
    </w:p>
    <w:p>
      <w:pPr/>
      <w:r>
        <w:rPr>
          <w:lang w:val="en_US" w:bidi="en_US"/>
        </w:rPr>
      </w:r>
      <w:r>
        <w:rPr>
          <w:lang w:val="en_US" w:bidi="en_US"/>
        </w:rPr>
        <w:t>Do not underestimate the hardship of being a disciple</w:t>
      </w:r>
    </w:p>
    <w:p>
      <w:pPr>
        <w:pStyle w:val="Heading4"/>
      </w:pPr>
      <w:r>
        <w:rPr>
          <w:lang w:val="en_US" w:bidi="en_US"/>
        </w:rPr>
        <w:t>Paragraph 14:31–33</w:t>
      </w:r>
    </w:p>
    <w:p>
      <w:pPr/>
      <w:r>
        <w:rPr>
          <w:lang w:val="en_US" w:bidi="en_US"/>
        </w:rPr>
      </w:r>
      <w:r>
        <w:rPr>
          <w:lang w:val="en_US" w:bidi="en_US"/>
        </w:rPr>
        <w:t>See the summary of Paragraph 14:28–30. This paragraph gives a second parallel example that illustrates the importance of thinking carefully before deciding to start something. The structure of this example, using a rhetorical question, is very similar to 14:28–30, so you may be able to make similar kinds of translation adjustments.</w:t>
      </w:r>
    </w:p>
    <w:p>
      <w:pPr>
        <w:pStyle w:val="Heading5"/>
      </w:pPr>
      <w:r>
        <w:rPr>
          <w:lang w:val="en_US" w:bidi="en_US"/>
        </w:rPr>
        <w:t>14:32a</w:t>
      </w:r>
    </w:p>
    <w:p>
      <w:pPr/>
      <w:r>
        <w:rPr>
          <w:lang w:val="en_US" w:bidi="en_US"/>
        </w:rPr>
      </w:r>
      <w:r>
        <w:rPr>
          <w:b/>
          <w:lang w:val="en_US" w:bidi="en_US"/>
        </w:rPr>
        <w:t>And if he is unable,</w:t>
      </w:r>
    </w:p>
    <w:p>
      <w:pPr>
        <w:pStyle w:val="ListBullet"/>
        <w:spacing w:line="240" w:lineRule="auto"/>
        <w:ind w:left="720"/>
      </w:pPr>
      <w:r>
        <w:rPr>
          <w:lang w:val="en_US" w:bidi="en_US"/>
        </w:rPr>
      </w:r>
      <w:r>
        <w:rPr>
          <w:lang w:val="en_US" w:bidi="en_US"/>
        </w:rPr>
        <w:t xml:space="preserve">If he decides/thinks that he cannot </w:t>
      </w:r>
      <w:r>
        <w:rPr>
          <w:lang w:val="en_US" w:bidi="en_US"/>
        </w:rPr>
        <w:t>win</w:t>
      </w:r>
      <w:r>
        <w:rPr>
          <w:lang w:val="en_US" w:bidi="en_US"/>
        </w:rPr>
        <w:t>,</w:t>
      </w:r>
    </w:p>
    <w:p>
      <w:pPr>
        <w:pStyle w:val="ListBullet"/>
        <w:spacing w:line="240" w:lineRule="auto"/>
        <w:ind w:left="720"/>
      </w:pPr>
      <w:r>
        <w:rPr>
          <w:lang w:val="en_US" w:bidi="en_US"/>
        </w:rPr>
      </w:r>
      <w:r>
        <w:rPr>
          <w:lang w:val="en_US" w:bidi="en_US"/>
        </w:rPr>
        <w:t>If he realizes/figures that it would be impossible,</w:t>
      </w:r>
    </w:p>
    <w:p>
      <w:pPr/>
      <w:r>
        <w:rPr>
          <w:lang w:val="en_US" w:bidi="en_US"/>
        </w:rPr>
      </w:r>
      <w:r>
        <w:rPr>
          <w:b/>
          <w:lang w:val="en_US" w:bidi="en_US"/>
        </w:rPr>
        <w:t>And if he is unable:</w:t>
      </w:r>
      <w:r>
        <w:rPr>
          <w:lang w:val="en_US" w:bidi="en_US"/>
        </w:rPr>
        <w:t xml:space="preserve"> In this context the phrase </w:t>
      </w:r>
      <w:r>
        <w:rPr>
          <w:i/>
          <w:lang w:val="en_US" w:bidi="en_US"/>
        </w:rPr>
        <w:t>if he is unable</w:t>
      </w:r>
      <w:r>
        <w:rPr>
          <w:lang w:val="en_US" w:bidi="en_US"/>
        </w:rPr>
        <w:t xml:space="preserve"> means “if the first king decides that he cannot defend himself.” Other ways to translate this are:</w:t>
      </w:r>
    </w:p>
    <w:p>
      <w:pPr/>
      <w:r>
        <w:rPr>
          <w:lang w:val="en_US" w:bidi="en_US"/>
        </w:rPr>
      </w:r>
      <w:r>
        <w:rPr>
          <w:lang w:val="en_US" w:bidi="en_US"/>
        </w:rPr>
        <w:t>If he thinks he won’t be able to defend himself (CEV)</w:t>
      </w:r>
    </w:p>
    <w:p>
      <w:pPr/>
      <w:r>
        <w:rPr>
          <w:lang w:val="en_US" w:bidi="en_US"/>
        </w:rPr>
      </w:r>
      <w:r>
        <w:rPr>
          <w:lang w:val="en_US" w:bidi="en_US"/>
        </w:rPr>
        <w:t>if he realizes that he will not win the battle</w:t>
      </w:r>
    </w:p>
    <w:p>
      <w:pPr>
        <w:pStyle w:val="Heading5"/>
      </w:pPr>
      <w:r>
        <w:rPr>
          <w:lang w:val="en_US" w:bidi="en_US"/>
        </w:rPr>
        <w:t>14:32b</w:t>
      </w:r>
    </w:p>
    <w:p>
      <w:pPr/>
      <w:r>
        <w:rPr>
          <w:lang w:val="en_US" w:bidi="en_US"/>
        </w:rPr>
      </w:r>
      <w:r>
        <w:rPr>
          <w:b/>
          <w:lang w:val="en_US" w:bidi="en_US"/>
        </w:rPr>
        <w:t>he will send a delegation while the other king is still far off,</w:t>
      </w:r>
    </w:p>
    <w:p>
      <w:pPr>
        <w:pStyle w:val="ListBullet"/>
        <w:spacing w:line="240" w:lineRule="auto"/>
        <w:ind w:left="720"/>
      </w:pPr>
      <w:r>
        <w:rPr>
          <w:lang w:val="en_US" w:bidi="en_US"/>
        </w:rPr>
      </w:r>
      <w:r>
        <w:rPr>
          <w:lang w:val="en_US" w:bidi="en_US"/>
        </w:rPr>
        <w:t>then</w:t>
      </w:r>
      <w:r>
        <w:rPr>
          <w:lang w:val="en_US" w:bidi="en_US"/>
        </w:rPr>
        <w:t xml:space="preserve"> he will send men/representatives </w:t>
      </w:r>
      <w:r>
        <w:rPr>
          <w:lang w:val="en_US" w:bidi="en_US"/>
        </w:rPr>
        <w:t>to the other king</w:t>
      </w:r>
      <w:r>
        <w:rPr>
          <w:lang w:val="en_US" w:bidi="en_US"/>
        </w:rPr>
        <w:t xml:space="preserve"> while his army is still far away</w:t>
      </w:r>
    </w:p>
    <w:p>
      <w:pPr>
        <w:pStyle w:val="ListBullet"/>
        <w:spacing w:line="240" w:lineRule="auto"/>
        <w:ind w:left="720"/>
      </w:pPr>
      <w:r>
        <w:rPr>
          <w:lang w:val="en_US" w:bidi="en_US"/>
        </w:rPr>
      </w:r>
      <w:r>
        <w:rPr>
          <w:lang w:val="en_US" w:bidi="en_US"/>
        </w:rPr>
        <w:t xml:space="preserve">he will send messengers </w:t>
      </w:r>
      <w:r>
        <w:rPr>
          <w:lang w:val="en_US" w:bidi="en_US"/>
        </w:rPr>
        <w:t>to meet the enemy king</w:t>
      </w:r>
      <w:r>
        <w:rPr>
          <w:lang w:val="en_US" w:bidi="en_US"/>
        </w:rPr>
        <w:t xml:space="preserve"> before he approaches</w:t>
      </w:r>
    </w:p>
    <w:p>
      <w:pPr/>
      <w:r>
        <w:rPr>
          <w:lang w:val="en_US" w:bidi="en_US"/>
        </w:rPr>
      </w:r>
      <w:r>
        <w:rPr>
          <w:b/>
          <w:lang w:val="en_US" w:bidi="en_US"/>
        </w:rPr>
        <w:t>he will send a delegation:</w:t>
      </w:r>
      <w:r>
        <w:rPr>
          <w:lang w:val="en_US" w:bidi="en_US"/>
        </w:rPr>
        <w:t xml:space="preserve"> In this context the word </w:t>
      </w:r>
      <w:r>
        <w:rPr>
          <w:i/>
          <w:lang w:val="en_US" w:bidi="en_US"/>
        </w:rPr>
        <w:t>delegation</w:t>
      </w:r>
      <w:r>
        <w:rPr>
          <w:lang w:val="en_US" w:bidi="en_US"/>
        </w:rPr>
        <w:t xml:space="preserve"> refers to a small group of people who represent the king who wants peace. Other ways to translate this clause are:</w:t>
      </w:r>
    </w:p>
    <w:p>
      <w:pPr/>
      <w:r>
        <w:rPr>
          <w:lang w:val="en_US" w:bidi="en_US"/>
        </w:rPr>
      </w:r>
      <w:r>
        <w:rPr>
          <w:lang w:val="en_US" w:bidi="en_US"/>
        </w:rPr>
        <w:t>he will send messengers to meet the other king (GNT)</w:t>
      </w:r>
    </w:p>
    <w:p>
      <w:pPr/>
      <w:r>
        <w:rPr>
          <w:lang w:val="en_US" w:bidi="en_US"/>
        </w:rPr>
      </w:r>
      <w:r>
        <w:rPr>
          <w:lang w:val="en_US" w:bidi="en_US"/>
        </w:rPr>
        <w:t>he’ll send ambassadors (GW)</w:t>
      </w:r>
    </w:p>
    <w:p>
      <w:pPr/>
      <w:r>
        <w:rPr>
          <w:lang w:val="en_US" w:bidi="en_US"/>
        </w:rPr>
      </w:r>
      <w:r>
        <w:rPr>
          <w:b/>
          <w:lang w:val="en_US" w:bidi="en_US"/>
        </w:rPr>
        <w:t>while the other king is still far off:</w:t>
      </w:r>
      <w:r>
        <w:rPr>
          <w:lang w:val="en_US" w:bidi="en_US"/>
        </w:rPr>
        <w:t xml:space="preserve"> The phrase </w:t>
      </w:r>
      <w:r>
        <w:rPr>
          <w:i/>
          <w:lang w:val="en_US" w:bidi="en_US"/>
        </w:rPr>
        <w:t>the other king</w:t>
      </w:r>
      <w:r>
        <w:rPr>
          <w:lang w:val="en_US" w:bidi="en_US"/>
        </w:rPr>
        <w:t xml:space="preserve"> refers to the second king, the one with the larger army. This king is advancing toward the first king and his army but is still some distance away. Another way to translate this is:</w:t>
      </w:r>
    </w:p>
    <w:p>
      <w:pPr/>
      <w:r>
        <w:rPr>
          <w:lang w:val="en_US" w:bidi="en_US"/>
        </w:rPr>
      </w:r>
      <w:r>
        <w:rPr>
          <w:lang w:val="en_US" w:bidi="en_US"/>
        </w:rPr>
        <w:t>long before the enemy approaches (REB)</w:t>
      </w:r>
    </w:p>
    <w:p>
      <w:pPr>
        <w:pStyle w:val="Heading5"/>
      </w:pPr>
      <w:r>
        <w:rPr>
          <w:lang w:val="en_US" w:bidi="en_US"/>
        </w:rPr>
        <w:t>14:32c</w:t>
      </w:r>
    </w:p>
    <w:p>
      <w:pPr/>
      <w:r>
        <w:rPr>
          <w:lang w:val="en_US" w:bidi="en_US"/>
        </w:rPr>
      </w:r>
      <w:r>
        <w:rPr>
          <w:b/>
          <w:lang w:val="en_US" w:bidi="en_US"/>
        </w:rPr>
        <w:t>to ask for terms of peace.</w:t>
      </w:r>
    </w:p>
    <w:p>
      <w:pPr>
        <w:pStyle w:val="ListBullet"/>
        <w:spacing w:line="240" w:lineRule="auto"/>
        <w:ind w:left="720"/>
      </w:pPr>
      <w:r>
        <w:rPr>
          <w:lang w:val="en_US" w:bidi="en_US"/>
        </w:rPr>
      </w:r>
      <w:r>
        <w:rPr>
          <w:lang w:val="en_US" w:bidi="en_US"/>
        </w:rPr>
        <w:t>to negotiate/discuss the terms of a peace treaty.</w:t>
      </w:r>
    </w:p>
    <w:p>
      <w:pPr>
        <w:pStyle w:val="ListBullet"/>
        <w:spacing w:line="240" w:lineRule="auto"/>
        <w:ind w:left="720"/>
      </w:pPr>
      <w:r>
        <w:rPr>
          <w:lang w:val="en_US" w:bidi="en_US"/>
        </w:rPr>
      </w:r>
      <w:r>
        <w:rPr>
          <w:lang w:val="en_US" w:bidi="en_US"/>
        </w:rPr>
        <w:t>to make an agreement so that there will be peace.</w:t>
      </w:r>
    </w:p>
    <w:p>
      <w:pPr>
        <w:pStyle w:val="ListBullet"/>
        <w:spacing w:line="240" w:lineRule="auto"/>
        <w:ind w:left="720"/>
      </w:pPr>
      <w:r>
        <w:rPr>
          <w:lang w:val="en_US" w:bidi="en_US"/>
        </w:rPr>
      </w:r>
      <w:r>
        <w:rPr>
          <w:lang w:val="en_US" w:bidi="en_US"/>
        </w:rPr>
        <w:t>to say, ‘What must we</w:t>
      </w:r>
      <w:r>
        <w:rPr>
          <w:vertAlign w:val="superscript"/>
          <w:lang w:val="en_US" w:bidi="en_US"/>
        </w:rPr>
        <w:t>(excl)</w:t>
      </w:r>
      <w:r>
        <w:rPr>
          <w:lang w:val="en_US" w:bidi="en_US"/>
        </w:rPr>
        <w:t xml:space="preserve"> do so that we</w:t>
      </w:r>
      <w:r>
        <w:rPr>
          <w:vertAlign w:val="superscript"/>
          <w:lang w:val="en_US" w:bidi="en_US"/>
        </w:rPr>
        <w:t>(incl)</w:t>
      </w:r>
      <w:r>
        <w:rPr>
          <w:lang w:val="en_US" w:bidi="en_US"/>
        </w:rPr>
        <w:t xml:space="preserve"> will not need to fight?’</w:t>
      </w:r>
    </w:p>
    <w:p>
      <w:pPr/>
      <w:r>
        <w:rPr>
          <w:lang w:val="en_US" w:bidi="en_US"/>
        </w:rPr>
      </w:r>
      <w:r>
        <w:rPr>
          <w:b/>
          <w:lang w:val="en_US" w:bidi="en_US"/>
        </w:rPr>
        <w:t>to ask for terms of peace:</w:t>
      </w:r>
      <w:r>
        <w:rPr>
          <w:lang w:val="en_US" w:bidi="en_US"/>
        </w:rPr>
        <w:t xml:space="preserve"> The phrase </w:t>
      </w:r>
      <w:r>
        <w:rPr>
          <w:i/>
          <w:lang w:val="en_US" w:bidi="en_US"/>
        </w:rPr>
        <w:t>ask for terms of peace</w:t>
      </w:r>
      <w:r>
        <w:rPr>
          <w:lang w:val="en_US" w:bidi="en_US"/>
        </w:rPr>
        <w:t xml:space="preserve"> means “ask the king under what conditions he will make peace.” The delegation goes to the enemy king and asks what he wants in order to stop fighting against their king. In some languages, it is better to put this in a direct quote. For example:</w:t>
      </w:r>
    </w:p>
    <w:p>
      <w:pPr/>
      <w:r>
        <w:rPr>
          <w:lang w:val="en_US" w:bidi="en_US"/>
        </w:rPr>
      </w:r>
      <w:r>
        <w:rPr>
          <w:lang w:val="en_US" w:bidi="en_US"/>
        </w:rPr>
        <w:t>they will ask the other king, “What must we</w:t>
      </w:r>
      <w:r>
        <w:rPr>
          <w:vertAlign w:val="superscript"/>
          <w:lang w:val="en_US" w:bidi="en_US"/>
        </w:rPr>
        <w:t>(excl)</w:t>
      </w:r>
      <w:r>
        <w:rPr>
          <w:lang w:val="en_US" w:bidi="en_US"/>
        </w:rPr>
        <w:t xml:space="preserve"> do in order that there may be peace?”</w:t>
      </w:r>
    </w:p>
    <w:p>
      <w:pPr/>
      <w:r>
        <w:rPr>
          <w:lang w:val="en_US" w:bidi="en_US"/>
        </w:rPr>
      </w:r>
      <w:r>
        <w:rPr>
          <w:b/>
          <w:lang w:val="en_US" w:bidi="en_US"/>
        </w:rPr>
        <w:t>peace:</w:t>
      </w:r>
      <w:r>
        <w:rPr>
          <w:lang w:val="en_US" w:bidi="en_US"/>
        </w:rPr>
        <w:t xml:space="preserve"> In this context, the word </w:t>
      </w:r>
      <w:r>
        <w:rPr>
          <w:i/>
          <w:lang w:val="en_US" w:bidi="en_US"/>
        </w:rPr>
        <w:t>peace</w:t>
      </w:r>
      <w:r>
        <w:rPr>
          <w:lang w:val="en_US" w:bidi="en_US"/>
        </w:rPr>
        <w:t xml:space="preserve"> means the absence of war or conflict.</w:t>
      </w:r>
    </w:p>
    <w:p>
      <w:pPr/>
      <w:r>
        <w:rPr>
          <w:lang w:val="en_US" w:bidi="en_US"/>
        </w:rPr>
      </w:r>
      <w:r>
        <w:rPr>
          <w:lang w:val="en_US" w:bidi="en_US"/>
        </w:rPr>
        <w:t>See peace, Meaning 2, in the Glossary.</w:t>
      </w:r>
      <w:r>
        <w:rPr>
          <w:lang w:val="en_US" w:bidi="en_US"/>
        </w:rPr>
      </w:r>
      <w:r>
        <w:rPr>
          <w:lang w:val="en_US" w:bidi="en_US"/>
        </w:rPr>
      </w:r>
    </w:p>
    <w:p>
      <w:pPr/>
      <w:r>
        <w:rPr>
          <w:lang w:val="en_US" w:bidi="en_US"/>
        </w:rPr>
      </w:r>
    </w:p>
    <w:p>
      <w:pPr>
        <w:pStyle w:val="Heading2"/>
      </w:pPr>
      <w:r>
        <w:rPr>
          <w:lang w:val="en_US" w:bidi="en_US"/>
        </w:rPr>
        <w:t>Luke 14:33</w:t>
      </w:r>
      <w:r>
        <w:rPr>
          <w:lang w:val="en_US" w:bidi="en_US"/>
        </w:rPr>
      </w:r>
    </w:p>
    <w:p>
      <w:pPr>
        <w:pStyle w:val="Heading4"/>
      </w:pPr>
      <w:r>
        <w:rPr>
          <w:lang w:val="en_US" w:bidi="en_US"/>
        </w:rPr>
        <w:t>Section 14:25–35: A disciple of Jesus must be ready to suffer for him</w:t>
      </w:r>
    </w:p>
    <w:p>
      <w:pPr/>
      <w:r>
        <w:rPr>
          <w:lang w:val="en_US" w:bidi="en_US"/>
        </w:rPr>
      </w:r>
      <w:r>
        <w:rPr>
          <w:lang w:val="en_US" w:bidi="en_US"/>
        </w:rP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pPr/>
      <w:r>
        <w:rPr>
          <w:lang w:val="en_US" w:bidi="en_US"/>
        </w:rPr>
      </w:r>
      <w:r>
        <w:rPr>
          <w:lang w:val="en_US" w:bidi="en_US"/>
        </w:rPr>
        <w:t>Some other possible headings for this section are:</w:t>
      </w:r>
    </w:p>
    <w:p>
      <w:pPr/>
      <w:r>
        <w:rPr>
          <w:lang w:val="en_US" w:bidi="en_US"/>
        </w:rPr>
      </w:r>
      <w:r>
        <w:rPr>
          <w:lang w:val="en_US" w:bidi="en_US"/>
        </w:rPr>
        <w:t>The Cost of Being a Disciple (NIV)</w:t>
      </w:r>
    </w:p>
    <w:p>
      <w:pPr/>
      <w:r>
        <w:rPr>
          <w:lang w:val="en_US" w:bidi="en_US"/>
        </w:rPr>
      </w:r>
      <w:r>
        <w:rPr>
          <w:lang w:val="en_US" w:bidi="en_US"/>
        </w:rPr>
        <w:t>Do not underestimate the hardship of being a disciple</w:t>
      </w:r>
    </w:p>
    <w:p>
      <w:pPr>
        <w:pStyle w:val="Heading4"/>
      </w:pPr>
      <w:r>
        <w:rPr>
          <w:lang w:val="en_US" w:bidi="en_US"/>
        </w:rPr>
        <w:t>Paragraph 14:31–33</w:t>
      </w:r>
    </w:p>
    <w:p>
      <w:pPr/>
      <w:r>
        <w:rPr>
          <w:lang w:val="en_US" w:bidi="en_US"/>
        </w:rPr>
      </w:r>
      <w:r>
        <w:rPr>
          <w:lang w:val="en_US" w:bidi="en_US"/>
        </w:rPr>
        <w:t>See the summary of Paragraph 14:28–30. This paragraph gives a second parallel example that illustrates the importance of thinking carefully before deciding to start something. The structure of this example, using a rhetorical question, is very similar to 14:28–30, so you may be able to make similar kinds of translation adjustments.</w:t>
      </w:r>
    </w:p>
    <w:p>
      <w:pPr>
        <w:pStyle w:val="Heading5"/>
      </w:pPr>
      <w:r>
        <w:rPr>
          <w:lang w:val="en_US" w:bidi="en_US"/>
        </w:rPr>
        <w:t>14:33</w:t>
      </w:r>
    </w:p>
    <w:p>
      <w:pPr/>
      <w:r>
        <w:rPr>
          <w:lang w:val="en_US" w:bidi="en_US"/>
        </w:rPr>
      </w:r>
      <w:r>
        <w:rPr>
          <w:b/>
          <w:lang w:val="en_US" w:bidi="en_US"/>
        </w:rPr>
        <w:t>In the same way, any one of you who does not give up everything he has cannot be My disciple.</w:t>
      </w:r>
    </w:p>
    <w:p>
      <w:pPr>
        <w:pStyle w:val="ListBullet"/>
        <w:spacing w:line="240" w:lineRule="auto"/>
        <w:ind w:left="720"/>
      </w:pPr>
      <w:r>
        <w:rPr>
          <w:lang w:val="en_US" w:bidi="en_US"/>
        </w:rPr>
      </w:r>
      <w:r>
        <w:rPr>
          <w:lang w:val="en_US" w:bidi="en_US"/>
        </w:rPr>
        <w:t>It is the same with you</w:t>
      </w:r>
      <w:r>
        <w:rPr>
          <w:vertAlign w:val="superscript"/>
          <w:lang w:val="en_US" w:bidi="en_US"/>
        </w:rPr>
        <w:t>(plur)</w:t>
      </w:r>
      <w:r>
        <w:rPr>
          <w:lang w:val="en_US" w:bidi="en_US"/>
        </w:rPr>
        <w:t xml:space="preserve">. </w:t>
      </w:r>
      <w:r>
        <w:rPr>
          <w:lang w:val="en_US" w:bidi="en_US"/>
        </w:rPr>
        <w:t>Each of you must decide whether you are ready to be my disciple, because</w:t>
      </w:r>
      <w:r>
        <w:rPr>
          <w:lang w:val="en_US" w:bidi="en_US"/>
        </w:rPr>
        <w:t xml:space="preserve"> none of you can be my disciple unless you leave everything you have.”</w:t>
      </w:r>
    </w:p>
    <w:p>
      <w:pPr>
        <w:pStyle w:val="ListBullet"/>
        <w:spacing w:line="240" w:lineRule="auto"/>
        <w:ind w:left="720"/>
      </w:pPr>
      <w:r>
        <w:rPr>
          <w:lang w:val="en_US" w:bidi="en_US"/>
        </w:rPr>
      </w:r>
      <w:r>
        <w:rPr>
          <w:lang w:val="en_US" w:bidi="en_US"/>
        </w:rPr>
        <w:t xml:space="preserve">Therefore, </w:t>
      </w:r>
      <w:r>
        <w:rPr>
          <w:lang w:val="en_US" w:bidi="en_US"/>
        </w:rPr>
        <w:t>if any of you wants to be my follower, you must first think about the requirements.</w:t>
      </w:r>
      <w:r>
        <w:rPr>
          <w:lang w:val="en_US" w:bidi="en_US"/>
        </w:rPr>
        <w:t xml:space="preserve"> To be my follower a person must give up everything that he has.”</w:t>
      </w:r>
    </w:p>
    <w:p>
      <w:pPr/>
      <w:r>
        <w:rPr>
          <w:lang w:val="en_US" w:bidi="en_US"/>
        </w:rPr>
      </w:r>
      <w:r>
        <w:rPr>
          <w:b/>
          <w:lang w:val="en_US" w:bidi="en_US"/>
        </w:rPr>
        <w:t>In the same way:</w:t>
      </w:r>
      <w:r>
        <w:rPr>
          <w:lang w:val="en_US" w:bidi="en_US"/>
        </w:rPr>
        <w:t xml:space="preserve"> The Greek phrase that the BSB translates as </w:t>
      </w:r>
      <w:r>
        <w:rPr>
          <w:i/>
          <w:lang w:val="en_US" w:bidi="en_US"/>
        </w:rPr>
        <w:t>In the same way</w:t>
      </w:r>
      <w:r>
        <w:rPr>
          <w:lang w:val="en_US" w:bidi="en_US"/>
        </w:rPr>
        <w:t xml:space="preserve"> literally says “So therefore.” Some English versions, such as the RSV, translate it that way. It refers back to what Jesus said in 14:26–27. There Jesus said that a person who wanted to become his disciple must value loyalty to Jesus more than any other loyalty. The phrase does not connect directly with the two preceding parables (14:28–30 and 14:31–32). Those two parables illustrate the need to think carefully before making an important decision.</w:t>
      </w:r>
    </w:p>
    <w:p>
      <w:pPr/>
      <w:r>
        <w:rPr>
          <w:lang w:val="en_US" w:bidi="en_US"/>
        </w:rPr>
      </w:r>
      <w:r>
        <w:rPr>
          <w:lang w:val="en_US" w:bidi="en_US"/>
        </w:rPr>
        <w:t>If it is not clear in your language that Jesus is referring to what he said in 14:26–27, it may be necessary to make it explicit. For example:</w:t>
      </w:r>
    </w:p>
    <w:p>
      <w:pPr/>
      <w:r>
        <w:rPr>
          <w:lang w:val="en_US" w:bidi="en_US"/>
        </w:rPr>
      </w:r>
      <w:r>
        <w:rPr>
          <w:lang w:val="en_US" w:bidi="en_US"/>
        </w:rPr>
        <w:t xml:space="preserve">In the same way, </w:t>
      </w:r>
      <w:r>
        <w:rPr>
          <w:lang w:val="en_US" w:bidi="en_US"/>
        </w:rPr>
        <w:t>each of you must decide whether you are ready to be my disciple, because</w:t>
      </w:r>
      <w:r>
        <w:rPr>
          <w:lang w:val="en_US" w:bidi="en_US"/>
        </w:rPr>
        <w:t>…</w:t>
      </w:r>
    </w:p>
    <w:p>
      <w:pPr/>
      <w:r>
        <w:rPr>
          <w:lang w:val="en_US" w:bidi="en_US"/>
        </w:rPr>
      </w:r>
      <w:r>
        <w:rPr>
          <w:lang w:val="en_US" w:bidi="en_US"/>
        </w:rPr>
        <w:t xml:space="preserve">So then, </w:t>
      </w:r>
      <w:r>
        <w:rPr>
          <w:lang w:val="en_US" w:bidi="en_US"/>
        </w:rPr>
        <w:t>if you want to become my followers, you must first consider the requirements/difficulty</w:t>
      </w:r>
      <w:r>
        <w:rPr>
          <w:lang w:val="en_US" w:bidi="en_US"/>
        </w:rPr>
        <w:t>.</w:t>
      </w:r>
    </w:p>
    <w:p>
      <w:pPr/>
      <w:r>
        <w:rPr>
          <w:lang w:val="en_US" w:bidi="en_US"/>
        </w:rPr>
      </w:r>
      <w:r>
        <w:rPr>
          <w:lang w:val="en_US" w:bidi="en_US"/>
        </w:rPr>
        <w:t>Another option is to make this connection clear in a footnote.</w:t>
      </w:r>
    </w:p>
    <w:p>
      <w:pPr/>
      <w:r>
        <w:rPr>
          <w:lang w:val="en_US" w:bidi="en_US"/>
        </w:rPr>
      </w:r>
      <w:r>
        <w:rPr>
          <w:b/>
          <w:lang w:val="en_US" w:bidi="en_US"/>
        </w:rPr>
        <w:t>any one of you who does not give up everything he has cannot be My disciple:</w:t>
      </w:r>
      <w:r>
        <w:rPr>
          <w:lang w:val="en_US" w:bidi="en_US"/>
        </w:rPr>
        <w:t xml:space="preserve"> The two negatives in this verse may be confusing. In some languages it may be clearer to translate this as:</w:t>
      </w:r>
    </w:p>
    <w:p>
      <w:pPr/>
      <w:r>
        <w:rPr>
          <w:lang w:val="en_US" w:bidi="en_US"/>
        </w:rPr>
      </w:r>
      <w:r>
        <w:rPr>
          <w:lang w:val="en_US" w:bidi="en_US"/>
        </w:rPr>
        <w:t>none of you can be my disciple unless you give up everything you have (GNT)</w:t>
      </w:r>
    </w:p>
    <w:p>
      <w:pPr/>
      <w:r>
        <w:rPr>
          <w:lang w:val="en_US" w:bidi="en_US"/>
        </w:rPr>
      </w:r>
      <w:r>
        <w:rPr>
          <w:lang w:val="en_US" w:bidi="en_US"/>
        </w:rPr>
        <w:t>you cannot become my disciple without giving up everything you own (NLT)</w:t>
      </w:r>
    </w:p>
    <w:p>
      <w:pPr/>
      <w:r>
        <w:rPr>
          <w:lang w:val="en_US" w:bidi="en_US"/>
        </w:rPr>
      </w:r>
      <w:r>
        <w:rPr>
          <w:lang w:val="en_US" w:bidi="en_US"/>
        </w:rPr>
        <w:t>In other languages it may be more natural to translate this as a positive statement. For example:</w:t>
      </w:r>
    </w:p>
    <w:p>
      <w:pPr/>
      <w:r>
        <w:rPr>
          <w:lang w:val="en_US" w:bidi="en_US"/>
        </w:rPr>
      </w:r>
      <w:r>
        <w:rPr>
          <w:lang w:val="en_US" w:bidi="en_US"/>
        </w:rPr>
        <w:t>you must give up everything you have to be my follower (NCV)</w:t>
      </w:r>
    </w:p>
    <w:p>
      <w:pPr/>
      <w:r>
        <w:rPr>
          <w:lang w:val="en_US" w:bidi="en_US"/>
        </w:rPr>
      </w:r>
      <w:r>
        <w:rPr>
          <w:b/>
          <w:lang w:val="en_US" w:bidi="en_US"/>
        </w:rPr>
        <w:t>give up everything he has:</w:t>
      </w:r>
      <w:r>
        <w:rPr>
          <w:lang w:val="en_US" w:bidi="en_US"/>
        </w:rPr>
        <w:t xml:space="preserve"> The phrase that the BSB translates as </w:t>
      </w:r>
      <w:r>
        <w:rPr>
          <w:i/>
          <w:lang w:val="en_US" w:bidi="en_US"/>
        </w:rPr>
        <w:t>give up everything he has</w:t>
      </w:r>
      <w:r>
        <w:rPr>
          <w:lang w:val="en_US" w:bidi="en_US"/>
        </w:rPr>
        <w:t xml:space="preserve"> is more literally “renounce all his possessions.” It means that a person must not keep anything that would hinder him from being a disciple. Other ways to translate this idea are:</w:t>
      </w:r>
    </w:p>
    <w:p>
      <w:pPr/>
      <w:r>
        <w:rPr>
          <w:lang w:val="en_US" w:bidi="en_US"/>
        </w:rPr>
      </w:r>
      <w:r>
        <w:rPr>
          <w:lang w:val="en_US" w:bidi="en_US"/>
        </w:rPr>
        <w:t>leave behind everything that he has</w:t>
      </w:r>
    </w:p>
    <w:p>
      <w:pPr/>
      <w:r>
        <w:rPr>
          <w:lang w:val="en_US" w:bidi="en_US"/>
        </w:rPr>
      </w:r>
      <w:r>
        <w:rPr>
          <w:lang w:val="en_US" w:bidi="en_US"/>
        </w:rPr>
        <w:t>turn his back on all his possessions</w:t>
      </w:r>
    </w:p>
    <w:p>
      <w:pPr/>
      <w:r>
        <w:rPr>
          <w:lang w:val="en_US" w:bidi="en_US"/>
        </w:rPr>
      </w:r>
      <w:r>
        <w:rPr>
          <w:lang w:val="en_US" w:bidi="en_US"/>
        </w:rPr>
        <w:t>say good-bye to everything he owns</w:t>
      </w:r>
      <w:r>
        <w:rPr>
          <w:lang w:val="en_US" w:bidi="en_US"/>
        </w:rPr>
      </w:r>
      <w:r>
        <w:rPr>
          <w:lang w:val="en_US" w:bidi="en_US"/>
        </w:rPr>
      </w:r>
    </w:p>
    <w:p>
      <w:pPr/>
      <w:r>
        <w:rPr>
          <w:lang w:val="en_US" w:bidi="en_US"/>
        </w:rPr>
      </w:r>
    </w:p>
    <w:p>
      <w:pPr>
        <w:pStyle w:val="Heading2"/>
      </w:pPr>
      <w:r>
        <w:rPr>
          <w:lang w:val="en_US" w:bidi="en_US"/>
        </w:rPr>
        <w:t>Luke 14:34</w:t>
      </w:r>
      <w:r>
        <w:rPr>
          <w:lang w:val="en_US" w:bidi="en_US"/>
        </w:rPr>
      </w:r>
    </w:p>
    <w:p>
      <w:pPr>
        <w:pStyle w:val="Heading4"/>
      </w:pPr>
      <w:r>
        <w:rPr>
          <w:lang w:val="en_US" w:bidi="en_US"/>
        </w:rPr>
        <w:t>Section 14:25–35: A disciple of Jesus must be ready to suffer for him</w:t>
      </w:r>
    </w:p>
    <w:p>
      <w:pPr/>
      <w:r>
        <w:rPr>
          <w:lang w:val="en_US" w:bidi="en_US"/>
        </w:rPr>
      </w:r>
      <w:r>
        <w:rPr>
          <w:lang w:val="en_US" w:bidi="en_US"/>
        </w:rP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pPr/>
      <w:r>
        <w:rPr>
          <w:lang w:val="en_US" w:bidi="en_US"/>
        </w:rPr>
      </w:r>
      <w:r>
        <w:rPr>
          <w:lang w:val="en_US" w:bidi="en_US"/>
        </w:rPr>
        <w:t>Some other possible headings for this section are:</w:t>
      </w:r>
    </w:p>
    <w:p>
      <w:pPr/>
      <w:r>
        <w:rPr>
          <w:lang w:val="en_US" w:bidi="en_US"/>
        </w:rPr>
      </w:r>
      <w:r>
        <w:rPr>
          <w:lang w:val="en_US" w:bidi="en_US"/>
        </w:rPr>
        <w:t>The Cost of Being a Disciple (NIV)</w:t>
      </w:r>
    </w:p>
    <w:p>
      <w:pPr/>
      <w:r>
        <w:rPr>
          <w:lang w:val="en_US" w:bidi="en_US"/>
        </w:rPr>
      </w:r>
      <w:r>
        <w:rPr>
          <w:lang w:val="en_US" w:bidi="en_US"/>
        </w:rPr>
        <w:t>Do not underestimate the hardship of being a disciple</w:t>
      </w:r>
    </w:p>
    <w:p>
      <w:pPr>
        <w:pStyle w:val="Heading4"/>
      </w:pPr>
      <w:r>
        <w:rPr>
          <w:lang w:val="en_US" w:bidi="en_US"/>
        </w:rPr>
        <w:t>Paragraph 14:34–35</w:t>
      </w:r>
    </w:p>
    <w:p>
      <w:pPr/>
      <w:r>
        <w:rPr>
          <w:lang w:val="en_US" w:bidi="en_US"/>
        </w:rPr>
      </w:r>
      <w:r>
        <w:rPr>
          <w:lang w:val="en_US" w:bidi="en_US"/>
        </w:rPr>
        <w:t>In this paragraph Jesus used a figure of speech. He compared the disciples to salt, but he did not mention them explicitly. One way to indicate that Jesus was using a figure of speech is to add a separate section heading for this paragraph. A suggested heading is:</w:t>
      </w:r>
    </w:p>
    <w:p>
      <w:pPr/>
      <w:r>
        <w:rPr>
          <w:lang w:val="en_US" w:bidi="en_US"/>
        </w:rPr>
      </w:r>
      <w:r>
        <w:rPr>
          <w:lang w:val="en_US" w:bidi="en_US"/>
        </w:rPr>
        <w:t>Jesus compared his disciples to salt</w:t>
      </w:r>
    </w:p>
    <w:p>
      <w:pPr/>
      <w:r>
        <w:rPr>
          <w:lang w:val="en_US" w:bidi="en_US"/>
        </w:rPr>
      </w:r>
      <w:r>
        <w:rPr>
          <w:lang w:val="en_US" w:bidi="en_US"/>
        </w:rPr>
        <w:t>Parallel verses occur in Matthew 5:13 and Mark 9:50.</w:t>
      </w:r>
    </w:p>
    <w:p>
      <w:pPr>
        <w:pStyle w:val="Heading5"/>
      </w:pPr>
      <w:r>
        <w:rPr>
          <w:lang w:val="en_US" w:bidi="en_US"/>
        </w:rPr>
        <w:t>14:34a</w:t>
      </w:r>
    </w:p>
    <w:p>
      <w:pPr/>
      <w:r>
        <w:rPr>
          <w:lang w:val="en_US" w:bidi="en_US"/>
        </w:rPr>
      </w:r>
      <w:r>
        <w:rPr>
          <w:b/>
          <w:lang w:val="en_US" w:bidi="en_US"/>
        </w:rPr>
        <w:t>Salt is good,</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“Salt is a good/useful thing.</w:t>
      </w:r>
    </w:p>
    <w:p>
      <w:pPr>
        <w:pStyle w:val="ListBullet"/>
        <w:spacing w:line="240" w:lineRule="auto"/>
        <w:ind w:left="720"/>
      </w:pPr>
      <w:r>
        <w:rPr>
          <w:lang w:val="en_US" w:bidi="en_US"/>
        </w:rPr>
      </w:r>
      <w:r>
        <w:rPr>
          <w:lang w:val="en_US" w:bidi="en_US"/>
        </w:rPr>
        <w:t xml:space="preserve">¶ </w:t>
      </w:r>
      <w:r>
        <w:rPr>
          <w:lang w:val="en_US" w:bidi="en_US"/>
        </w:rPr>
        <w:t>Jesus then told them this parable:</w:t>
      </w:r>
      <w:r>
        <w:rPr>
          <w:lang w:val="en_US" w:bidi="en_US"/>
        </w:rPr>
        <w:t xml:space="preserve"> “There is value/usefulness to salt.</w:t>
      </w:r>
    </w:p>
    <w:p>
      <w:pPr/>
      <w:r>
        <w:rPr>
          <w:lang w:val="en_US" w:bidi="en_US"/>
        </w:rPr>
      </w:r>
      <w:r>
        <w:rPr>
          <w:lang w:val="en_US" w:bidi="en_US"/>
        </w:rPr>
        <w:t>If you decide to begin a new section here, you may want to indicate that Jesus was still speaking. For example:</w:t>
      </w:r>
    </w:p>
    <w:p>
      <w:pPr/>
      <w:r>
        <w:rPr>
          <w:lang w:val="en_US" w:bidi="en_US"/>
        </w:rPr>
      </w:r>
      <w:r>
        <w:rPr>
          <w:lang w:val="en_US" w:bidi="en_US"/>
        </w:rPr>
        <w:t>Jesus then told them a parable. He said</w:t>
      </w:r>
    </w:p>
    <w:p>
      <w:pPr/>
      <w:r>
        <w:rPr>
          <w:lang w:val="en_US" w:bidi="en_US"/>
        </w:rPr>
      </w:r>
      <w:r>
        <w:rPr>
          <w:lang w:val="en_US" w:bidi="en_US"/>
        </w:rPr>
        <w:t>If you do not have a separate section heading, a quote introduction like the one above may help to clarify that Jesus was speaking about salt figuratively, not literally.</w:t>
      </w:r>
    </w:p>
    <w:p>
      <w:pPr/>
      <w:r>
        <w:rPr>
          <w:lang w:val="en_US" w:bidi="en_US"/>
        </w:rPr>
      </w:r>
      <w:r>
        <w:rPr>
          <w:b/>
          <w:lang w:val="en_US" w:bidi="en_US"/>
        </w:rPr>
        <w:t>Salt is good:</w:t>
      </w:r>
      <w:r>
        <w:rPr>
          <w:lang w:val="en_US" w:bidi="en_US"/>
        </w:rPr>
        <w:t xml:space="preserve"> The Greek word that the BSB translates as </w:t>
      </w:r>
      <w:r>
        <w:rPr>
          <w:i/>
          <w:lang w:val="en_US" w:bidi="en_US"/>
        </w:rPr>
        <w:t>good</w:t>
      </w:r>
      <w:r>
        <w:rPr>
          <w:lang w:val="en_US" w:bidi="en_US"/>
        </w:rPr>
        <w:t xml:space="preserve"> can also mean “useful.” Salt is useful or valuable because it makes food taste good and it stops food from rotting. Since there is more than one possible use for salt, you should avoid specifying only one use in your translation. Some other ways to translate this clause are:</w:t>
      </w:r>
    </w:p>
    <w:p>
      <w:pPr/>
      <w:r>
        <w:rPr>
          <w:lang w:val="en_US" w:bidi="en_US"/>
        </w:rPr>
      </w:r>
      <w:r>
        <w:rPr>
          <w:lang w:val="en_US" w:bidi="en_US"/>
        </w:rPr>
        <w:t>Salt is a good thing (NJB)</w:t>
      </w:r>
    </w:p>
    <w:p>
      <w:pPr/>
      <w:r>
        <w:rPr>
          <w:lang w:val="en_US" w:bidi="en_US"/>
        </w:rPr>
      </w:r>
      <w:r>
        <w:rPr>
          <w:lang w:val="en_US" w:bidi="en_US"/>
        </w:rPr>
        <w:t>There are good uses for salt</w:t>
      </w:r>
    </w:p>
    <w:p>
      <w:pPr/>
      <w:r>
        <w:rPr>
          <w:lang w:val="en_US" w:bidi="en_US"/>
        </w:rPr>
      </w:r>
      <w:r>
        <w:rPr>
          <w:lang w:val="en_US" w:bidi="en_US"/>
        </w:rPr>
        <w:t>Salt is useful/valuable</w:t>
      </w:r>
    </w:p>
    <w:p>
      <w:pPr>
        <w:pStyle w:val="Heading5"/>
      </w:pPr>
      <w:r>
        <w:rPr>
          <w:lang w:val="en_US" w:bidi="en_US"/>
        </w:rPr>
        <w:t>14:34b–c</w:t>
      </w:r>
    </w:p>
    <w:p>
      <w:pPr/>
      <w:r>
        <w:rPr>
          <w:lang w:val="en_US" w:bidi="en_US"/>
        </w:rPr>
      </w:r>
      <w:r>
        <w:rPr>
          <w:b/>
          <w:lang w:val="en_US" w:bidi="en_US"/>
        </w:rPr>
        <w:t>but if the salt loses its savor, with what will it be seasoned?:</w:t>
      </w:r>
      <w:r>
        <w:rPr>
          <w:lang w:val="en_US" w:bidi="en_US"/>
        </w:rPr>
        <w:t xml:space="preserve"> This is a rhetorical question. It emphasizes the fact that it </w:t>
      </w:r>
      <w:r>
        <w:rPr>
          <w:u w:val="single"/>
          <w:lang w:val="en_US" w:bidi="en_US"/>
        </w:rPr>
        <w:t>certainly cannot</w:t>
      </w:r>
      <w:r>
        <w:rPr>
          <w:lang w:val="en_US" w:bidi="en_US"/>
        </w:rPr>
        <w:t xml:space="preserve"> become salty again. Some ways to emphasize this fact are:</w:t>
      </w:r>
    </w:p>
    <w:p>
      <w:pPr>
        <w:pStyle w:val="ListBullet"/>
        <w:spacing w:line="240" w:lineRule="auto"/>
        <w:ind w:left="720"/>
      </w:pPr>
      <w:r>
        <w:rPr>
          <w:lang w:val="en_US" w:bidi="en_US"/>
        </w:rPr>
      </w:r>
      <w:r>
        <w:rPr>
          <w:lang w:val="en_US" w:bidi="en_US"/>
        </w:rPr>
        <w:t>As a rhetorical question. For example:</w:t>
      </w:r>
      <w:r>
        <w:rPr>
          <w:lang w:val="en_US" w:bidi="en_US"/>
        </w:rPr>
        <w:t>But if salt loses its flavor, how can it be restored?</w:t>
      </w:r>
      <w:r>
        <w:rPr>
          <w:lang w:val="en_US" w:bidi="en_US"/>
        </w:rPr>
        <w:t xml:space="preserve">But if it loses its saltiness, is there a way to make it salty again? </w:t>
      </w:r>
      <w:r>
        <w:rPr>
          <w:lang w:val="en_US" w:bidi="en_US"/>
        </w:rPr>
        <w:t>No! It is not possible!</w:t>
      </w:r>
    </w:p>
    <w:p>
      <w:pPr>
        <w:pStyle w:val="ListBullet"/>
        <w:spacing w:line="240" w:lineRule="auto"/>
        <w:ind w:left="720"/>
      </w:pPr>
      <w:r>
        <w:rPr>
          <w:lang w:val="en_US" w:bidi="en_US"/>
        </w:rPr>
      </w:r>
      <w:r>
        <w:rPr>
          <w:lang w:val="en_US" w:bidi="en_US"/>
        </w:rPr>
        <w:t>As a statement. For example:</w:t>
      </w:r>
      <w:r>
        <w:rPr>
          <w:lang w:val="en_US" w:bidi="en_US"/>
        </w:rPr>
        <w:t>but if it loses its saltiness, there is no way to make it salty again (GNT)</w:t>
      </w:r>
      <w:r>
        <w:rPr>
          <w:lang w:val="en_US" w:bidi="en_US"/>
        </w:rPr>
        <w:t>but salt that loses its flavor certainly cannot become salty again</w:t>
      </w:r>
      <w:r>
        <w:rPr>
          <w:lang w:val="en_US" w:bidi="en_US"/>
        </w:rPr>
        <w:t>but if it loses its taste/strength, it is definitely not possible to cause its taste/strength to return</w:t>
      </w:r>
    </w:p>
    <w:p>
      <w:pPr>
        <w:pStyle w:val="Heading5"/>
      </w:pPr>
      <w:r>
        <w:rPr>
          <w:lang w:val="en_US" w:bidi="en_US"/>
        </w:rPr>
        <w:t>14:34b</w:t>
      </w:r>
    </w:p>
    <w:p>
      <w:pPr/>
      <w:r>
        <w:rPr>
          <w:lang w:val="en_US" w:bidi="en_US"/>
        </w:rPr>
      </w:r>
      <w:r>
        <w:rPr>
          <w:b/>
          <w:lang w:val="en_US" w:bidi="en_US"/>
        </w:rPr>
        <w:t>but if the salt loses its savor,</w:t>
      </w:r>
    </w:p>
    <w:p>
      <w:pPr>
        <w:pStyle w:val="ListBullet"/>
        <w:spacing w:line="240" w:lineRule="auto"/>
        <w:ind w:left="720"/>
      </w:pPr>
      <w:r>
        <w:rPr>
          <w:lang w:val="en_US" w:bidi="en_US"/>
        </w:rPr>
      </w:r>
      <w:r>
        <w:rPr>
          <w:lang w:val="en_US" w:bidi="en_US"/>
        </w:rPr>
        <w:t>But if its taste/strength is gone,</w:t>
      </w:r>
    </w:p>
    <w:p>
      <w:pPr>
        <w:pStyle w:val="ListBullet"/>
        <w:spacing w:line="240" w:lineRule="auto"/>
        <w:ind w:left="720"/>
      </w:pPr>
      <w:r>
        <w:rPr>
          <w:lang w:val="en_US" w:bidi="en_US"/>
        </w:rPr>
      </w:r>
      <w:r>
        <w:rPr>
          <w:lang w:val="en_US" w:bidi="en_US"/>
        </w:rPr>
        <w:t>But if it has become insipid/tasteless,</w:t>
      </w:r>
    </w:p>
    <w:p>
      <w:pPr/>
      <w:r>
        <w:rPr>
          <w:lang w:val="en_US" w:bidi="en_US"/>
        </w:rPr>
      </w:r>
      <w:r>
        <w:rPr>
          <w:b/>
          <w:lang w:val="en_US" w:bidi="en_US"/>
        </w:rPr>
        <w:t>but if the salt loses its savor:</w:t>
      </w:r>
      <w:r>
        <w:rPr>
          <w:lang w:val="en_US" w:bidi="en_US"/>
        </w:rPr>
        <w:t xml:space="preserve"> The Greek phrase that the BSB translates as </w:t>
      </w:r>
      <w:r>
        <w:rPr>
          <w:i/>
          <w:lang w:val="en_US" w:bidi="en_US"/>
        </w:rPr>
        <w:t>loses its savor</w:t>
      </w:r>
      <w:r>
        <w:rPr>
          <w:lang w:val="en_US" w:bidi="en_US"/>
        </w:rPr>
        <w:t xml:space="preserve"> is literally “becomes tasteless.” It refers to salt that has stopped having a salty flavor.</w:t>
      </w:r>
      <w:r>
        <w:rPr>
          <w:lang w:val="en_US" w:bidi="en_US"/>
        </w:rPr>
        <w:t>This does not happen to pure salt, but in NT times salt was sometimes impure or mixed with other things. If it got damp, the pure salt could dissolve, leaving a tasteless substance.</w:t>
      </w:r>
      <w:r>
        <w:rPr>
          <w:lang w:val="en_US" w:bidi="en_US"/>
        </w:rPr>
        <w:t xml:space="preserve"> This expression can be difficult to translate. The word “loses” may not fit in this context. The taste of salt is also expressed in many different ways. Some other ways to translate this expression are:</w:t>
      </w:r>
    </w:p>
    <w:p>
      <w:pPr/>
      <w:r>
        <w:rPr>
          <w:lang w:val="en_US" w:bidi="en_US"/>
        </w:rPr>
      </w:r>
      <w:r>
        <w:rPr>
          <w:lang w:val="en_US" w:bidi="en_US"/>
        </w:rPr>
        <w:t>if its saltiness is removed</w:t>
      </w:r>
    </w:p>
    <w:p>
      <w:pPr/>
      <w:r>
        <w:rPr>
          <w:lang w:val="en_US" w:bidi="en_US"/>
        </w:rPr>
      </w:r>
      <w:r>
        <w:rPr>
          <w:lang w:val="en_US" w:bidi="en_US"/>
        </w:rPr>
        <w:t>if it no longer has its taste/flavor</w:t>
      </w:r>
    </w:p>
    <w:p>
      <w:pPr/>
      <w:r>
        <w:rPr>
          <w:lang w:val="en_US" w:bidi="en_US"/>
        </w:rPr>
      </w:r>
      <w:r>
        <w:rPr>
          <w:lang w:val="en_US" w:bidi="en_US"/>
        </w:rPr>
        <w:t>if it has become insipid/tasteless</w:t>
      </w:r>
    </w:p>
    <w:p>
      <w:pPr/>
      <w:r>
        <w:rPr>
          <w:lang w:val="en_US" w:bidi="en_US"/>
        </w:rPr>
      </w:r>
      <w:r>
        <w:rPr>
          <w:lang w:val="en_US" w:bidi="en_US"/>
        </w:rPr>
        <w:t>if its strength is gone</w:t>
      </w:r>
    </w:p>
    <w:p>
      <w:pPr/>
      <w:r>
        <w:rPr>
          <w:lang w:val="en_US" w:bidi="en_US"/>
        </w:rPr>
      </w:r>
      <w:r>
        <w:rPr>
          <w:lang w:val="en_US" w:bidi="en_US"/>
        </w:rPr>
        <w:t>Use a natural expression in your language.</w:t>
      </w:r>
    </w:p>
    <w:p>
      <w:pPr>
        <w:pStyle w:val="Heading5"/>
      </w:pPr>
      <w:r>
        <w:rPr>
          <w:lang w:val="en_US" w:bidi="en_US"/>
        </w:rPr>
        <w:t>14:34c</w:t>
      </w:r>
    </w:p>
    <w:p>
      <w:pPr/>
      <w:r>
        <w:rPr>
          <w:lang w:val="en_US" w:bidi="en_US"/>
        </w:rPr>
      </w:r>
      <w:r>
        <w:rPr>
          <w:b/>
          <w:lang w:val="en_US" w:bidi="en_US"/>
        </w:rPr>
        <w:t>with what will it be seasoned?</w:t>
      </w:r>
    </w:p>
    <w:p>
      <w:pPr>
        <w:pStyle w:val="ListBullet"/>
        <w:spacing w:line="240" w:lineRule="auto"/>
        <w:ind w:left="720"/>
      </w:pPr>
      <w:r>
        <w:rPr>
          <w:lang w:val="en_US" w:bidi="en_US"/>
        </w:rPr>
      </w:r>
      <w:r>
        <w:rPr>
          <w:lang w:val="en_US" w:bidi="en_US"/>
        </w:rPr>
        <w:t xml:space="preserve">can it perhaps become salty/strong again? </w:t>
      </w:r>
      <w:r>
        <w:rPr>
          <w:lang w:val="en_US" w:bidi="en_US"/>
        </w:rPr>
        <w:t>Of course not!</w:t>
      </w:r>
    </w:p>
    <w:p>
      <w:pPr>
        <w:pStyle w:val="ListBullet"/>
        <w:spacing w:line="240" w:lineRule="auto"/>
        <w:ind w:left="720"/>
      </w:pPr>
      <w:r>
        <w:rPr>
          <w:lang w:val="en_US" w:bidi="en_US"/>
        </w:rPr>
      </w:r>
      <w:r>
        <w:rPr>
          <w:lang w:val="en_US" w:bidi="en_US"/>
        </w:rPr>
        <w:t>it is definitely not possible to restore its taste/strength.</w:t>
      </w:r>
    </w:p>
    <w:p>
      <w:pPr/>
      <w:r>
        <w:rPr>
          <w:lang w:val="en_US" w:bidi="en_US"/>
        </w:rPr>
      </w:r>
      <w:r>
        <w:rPr>
          <w:b/>
          <w:lang w:val="en_US" w:bidi="en_US"/>
        </w:rPr>
        <w:t>with what will it be seasoned?:</w:t>
      </w:r>
      <w:r>
        <w:rPr>
          <w:lang w:val="en_US" w:bidi="en_US"/>
        </w:rPr>
        <w:t xml:space="preserve"> The Greek verb that the BSB translates as </w:t>
      </w:r>
      <w:r>
        <w:rPr>
          <w:i/>
          <w:lang w:val="en_US" w:bidi="en_US"/>
        </w:rPr>
        <w:t>will…be seasoned</w:t>
      </w:r>
      <w:r>
        <w:rPr>
          <w:lang w:val="en_US" w:bidi="en_US"/>
        </w:rPr>
        <w:t xml:space="preserve"> is passive. Some other ways to translate this passive are:</w:t>
      </w:r>
    </w:p>
    <w:p>
      <w:pPr>
        <w:pStyle w:val="ListBullet"/>
        <w:spacing w:line="240" w:lineRule="auto"/>
        <w:ind w:left="720"/>
      </w:pPr>
      <w:r>
        <w:rPr>
          <w:lang w:val="en_US" w:bidi="en_US"/>
        </w:rPr>
      </w:r>
      <w:r>
        <w:rPr>
          <w:lang w:val="en_US" w:bidi="en_US"/>
        </w:rPr>
        <w:t>Make it active and supply a subject that can refer to any person. For example:</w:t>
      </w:r>
      <w:r>
        <w:rPr>
          <w:lang w:val="en_US" w:bidi="en_US"/>
        </w:rPr>
        <w:t>how will you restore its flavor? (GW)</w:t>
      </w:r>
    </w:p>
    <w:p>
      <w:pPr>
        <w:pStyle w:val="ListBullet"/>
        <w:spacing w:line="240" w:lineRule="auto"/>
        <w:ind w:left="720"/>
      </w:pPr>
      <w:r>
        <w:rPr>
          <w:lang w:val="en_US" w:bidi="en_US"/>
        </w:rPr>
      </w:r>
      <w:r>
        <w:rPr>
          <w:lang w:val="en_US" w:bidi="en_US"/>
        </w:rPr>
        <w:t>Use a causative. For example:</w:t>
      </w:r>
      <w:r>
        <w:rPr>
          <w:lang w:val="en_US" w:bidi="en_US"/>
        </w:rPr>
        <w:t>it is definitely not possible to cause its taste/strength to return</w:t>
      </w:r>
      <w:r>
        <w:rPr>
          <w:lang w:val="en_US" w:bidi="en_US"/>
        </w:rPr>
      </w:r>
      <w:r>
        <w:rPr>
          <w:lang w:val="en_US" w:bidi="en_US"/>
        </w:rPr>
      </w:r>
    </w:p>
    <w:p>
      <w:pPr/>
      <w:r>
        <w:rPr>
          <w:lang w:val="en_US" w:bidi="en_US"/>
        </w:rPr>
      </w:r>
    </w:p>
    <w:p>
      <w:pPr>
        <w:pStyle w:val="Heading2"/>
      </w:pPr>
      <w:r>
        <w:rPr>
          <w:lang w:val="en_US" w:bidi="en_US"/>
        </w:rPr>
        <w:t>Luke 14:35</w:t>
      </w:r>
      <w:r>
        <w:rPr>
          <w:lang w:val="en_US" w:bidi="en_US"/>
        </w:rPr>
      </w:r>
    </w:p>
    <w:p>
      <w:pPr>
        <w:pStyle w:val="Heading4"/>
      </w:pPr>
      <w:r>
        <w:rPr>
          <w:lang w:val="en_US" w:bidi="en_US"/>
        </w:rPr>
        <w:t>Section 14:25–35: A disciple of Jesus must be ready to suffer for him</w:t>
      </w:r>
    </w:p>
    <w:p>
      <w:pPr/>
      <w:r>
        <w:rPr>
          <w:lang w:val="en_US" w:bidi="en_US"/>
        </w:rPr>
      </w:r>
      <w:r>
        <w:rPr>
          <w:lang w:val="en_US" w:bidi="en_US"/>
        </w:rPr>
        <w:t>In the previous section, Jesus warned people about the danger of rejecting God’s invitation to join his kingdom. In this section he told them two parables to advise them that they should not underestimate the suffering and difficulties which they would face if they decided to truly be his disciples.</w:t>
      </w:r>
    </w:p>
    <w:p>
      <w:pPr/>
      <w:r>
        <w:rPr>
          <w:lang w:val="en_US" w:bidi="en_US"/>
        </w:rPr>
      </w:r>
      <w:r>
        <w:rPr>
          <w:lang w:val="en_US" w:bidi="en_US"/>
        </w:rPr>
        <w:t>Some other possible headings for this section are:</w:t>
      </w:r>
    </w:p>
    <w:p>
      <w:pPr/>
      <w:r>
        <w:rPr>
          <w:lang w:val="en_US" w:bidi="en_US"/>
        </w:rPr>
      </w:r>
      <w:r>
        <w:rPr>
          <w:lang w:val="en_US" w:bidi="en_US"/>
        </w:rPr>
        <w:t>The Cost of Being a Disciple (NIV)</w:t>
      </w:r>
    </w:p>
    <w:p>
      <w:pPr/>
      <w:r>
        <w:rPr>
          <w:lang w:val="en_US" w:bidi="en_US"/>
        </w:rPr>
      </w:r>
      <w:r>
        <w:rPr>
          <w:lang w:val="en_US" w:bidi="en_US"/>
        </w:rPr>
        <w:t>Do not underestimate the hardship of being a disciple</w:t>
      </w:r>
    </w:p>
    <w:p>
      <w:pPr>
        <w:pStyle w:val="Heading4"/>
      </w:pPr>
      <w:r>
        <w:rPr>
          <w:lang w:val="en_US" w:bidi="en_US"/>
        </w:rPr>
        <w:t>Paragraph 14:34–35</w:t>
      </w:r>
    </w:p>
    <w:p>
      <w:pPr/>
      <w:r>
        <w:rPr>
          <w:lang w:val="en_US" w:bidi="en_US"/>
        </w:rPr>
      </w:r>
      <w:r>
        <w:rPr>
          <w:lang w:val="en_US" w:bidi="en_US"/>
        </w:rPr>
        <w:t>In this paragraph Jesus used a figure of speech. He compared the disciples to salt, but he did not mention them explicitly. One way to indicate that Jesus was using a figure of speech is to add a separate section heading for this paragraph. A suggested heading is:</w:t>
      </w:r>
    </w:p>
    <w:p>
      <w:pPr/>
      <w:r>
        <w:rPr>
          <w:lang w:val="en_US" w:bidi="en_US"/>
        </w:rPr>
      </w:r>
      <w:r>
        <w:rPr>
          <w:lang w:val="en_US" w:bidi="en_US"/>
        </w:rPr>
        <w:t>Jesus compared his disciples to salt</w:t>
      </w:r>
    </w:p>
    <w:p>
      <w:pPr/>
      <w:r>
        <w:rPr>
          <w:lang w:val="en_US" w:bidi="en_US"/>
        </w:rPr>
      </w:r>
      <w:r>
        <w:rPr>
          <w:lang w:val="en_US" w:bidi="en_US"/>
        </w:rPr>
        <w:t>Parallel verses occur in Matthew 5:13 and Mark 9:50.</w:t>
      </w:r>
    </w:p>
    <w:p>
      <w:pPr>
        <w:pStyle w:val="Heading5"/>
      </w:pPr>
      <w:r>
        <w:rPr>
          <w:lang w:val="en_US" w:bidi="en_US"/>
        </w:rPr>
        <w:t>14:35a</w:t>
      </w:r>
    </w:p>
    <w:p>
      <w:pPr/>
      <w:r>
        <w:rPr>
          <w:lang w:val="en_US" w:bidi="en_US"/>
        </w:rPr>
      </w:r>
      <w:r>
        <w:rPr>
          <w:b/>
          <w:lang w:val="en_US" w:bidi="en_US"/>
        </w:rPr>
        <w:t>It is fit neither for the soil nor for the manure pile,</w:t>
      </w:r>
    </w:p>
    <w:p>
      <w:pPr>
        <w:pStyle w:val="ListBullet"/>
        <w:spacing w:line="240" w:lineRule="auto"/>
        <w:ind w:left="720"/>
      </w:pPr>
      <w:r>
        <w:rPr>
          <w:lang w:val="en_US" w:bidi="en_US"/>
        </w:rPr>
      </w:r>
      <w:r>
        <w:rPr>
          <w:lang w:val="en_US" w:bidi="en_US"/>
        </w:rPr>
        <w:t>People</w:t>
      </w:r>
      <w:r>
        <w:rPr>
          <w:lang w:val="en_US" w:bidi="en_US"/>
        </w:rPr>
        <w:t xml:space="preserve"> cannot even use it to fertilize the soil!</w:t>
      </w:r>
    </w:p>
    <w:p>
      <w:pPr>
        <w:pStyle w:val="ListBullet"/>
        <w:spacing w:line="240" w:lineRule="auto"/>
        <w:ind w:left="720"/>
      </w:pPr>
      <w:r>
        <w:rPr>
          <w:lang w:val="en_US" w:bidi="en_US"/>
        </w:rPr>
      </w:r>
      <w:r>
        <w:rPr>
          <w:lang w:val="en_US" w:bidi="en_US"/>
        </w:rPr>
        <w:t>It is useless!</w:t>
      </w:r>
      <w:r>
        <w:rPr>
          <w:lang w:val="en_US" w:bidi="en_US"/>
        </w:rPr>
        <w:t xml:space="preserve"> It is not acceptable/useful even for making fertilizer to add to the soil.</w:t>
      </w:r>
    </w:p>
    <w:p>
      <w:pPr/>
      <w:r>
        <w:rPr>
          <w:lang w:val="en_US" w:bidi="en_US"/>
        </w:rPr>
      </w:r>
      <w:r>
        <w:rPr>
          <w:b/>
          <w:lang w:val="en_US" w:bidi="en_US"/>
        </w:rPr>
        <w:t>It is fit neither for the soil nor for the manure pile:</w:t>
      </w:r>
      <w:r>
        <w:rPr>
          <w:lang w:val="en_US" w:bidi="en_US"/>
        </w:rPr>
        <w:t xml:space="preserve"> The phrase </w:t>
      </w:r>
      <w:r>
        <w:rPr>
          <w:i/>
          <w:lang w:val="en_US" w:bidi="en_US"/>
        </w:rPr>
        <w:t>It is fit</w:t>
      </w:r>
      <w:r>
        <w:rPr>
          <w:lang w:val="en_US" w:bidi="en_US"/>
        </w:rPr>
        <w:t xml:space="preserve"> means “It is good” or “It is useful.” Salt that has lost its strength is useless. It does not help to improve either the soil or the manure pile.</w:t>
      </w:r>
    </w:p>
    <w:p>
      <w:pPr/>
      <w:r>
        <w:rPr>
          <w:lang w:val="en_US" w:bidi="en_US"/>
        </w:rPr>
      </w:r>
      <w:r>
        <w:rPr>
          <w:b/>
          <w:lang w:val="en_US" w:bidi="en_US"/>
        </w:rPr>
        <w:t>for the soil nor for the manure pile:</w:t>
      </w:r>
      <w:r>
        <w:rPr>
          <w:lang w:val="en_US" w:bidi="en_US"/>
        </w:rPr>
        <w:t xml:space="preserve"> The phrase </w:t>
      </w:r>
      <w:r>
        <w:rPr>
          <w:i/>
          <w:lang w:val="en_US" w:bidi="en_US"/>
        </w:rPr>
        <w:t>for the soil</w:t>
      </w:r>
      <w:r>
        <w:rPr>
          <w:lang w:val="en_US" w:bidi="en_US"/>
        </w:rPr>
        <w:t xml:space="preserve"> refers here to putting the salt on/in the soil as a fertilizer. The phrase </w:t>
      </w:r>
      <w:r>
        <w:rPr>
          <w:i/>
          <w:lang w:val="en_US" w:bidi="en_US"/>
        </w:rPr>
        <w:t>for the manure pile</w:t>
      </w:r>
      <w:r>
        <w:rPr>
          <w:lang w:val="en_US" w:bidi="en_US"/>
        </w:rPr>
        <w:t xml:space="preserve"> refers to putting something like salt in the manure pile to make fertilizer.</w:t>
      </w:r>
    </w:p>
    <w:p>
      <w:pPr/>
      <w:r>
        <w:rPr>
          <w:lang w:val="en_US" w:bidi="en_US"/>
        </w:rPr>
      </w:r>
      <w:r>
        <w:rPr>
          <w:lang w:val="en_US" w:bidi="en_US"/>
        </w:rPr>
        <w:t>These two phrases refer to a similar purpose. In some languages it may more natural to combine them into one expression. For example:</w:t>
      </w:r>
    </w:p>
    <w:p>
      <w:pPr/>
      <w:r>
        <w:rPr>
          <w:lang w:val="en_US" w:bidi="en_US"/>
        </w:rPr>
      </w:r>
      <w:r>
        <w:rPr>
          <w:lang w:val="en_US" w:bidi="en_US"/>
        </w:rPr>
        <w:t>It is not even useful for making fertilizer to improve the soil.</w:t>
      </w:r>
    </w:p>
    <w:p>
      <w:pPr>
        <w:pStyle w:val="Heading5"/>
      </w:pPr>
      <w:r>
        <w:rPr>
          <w:lang w:val="en_US" w:bidi="en_US"/>
        </w:rPr>
        <w:t>14:35b</w:t>
      </w:r>
    </w:p>
    <w:p>
      <w:pPr/>
      <w:r>
        <w:rPr>
          <w:lang w:val="en_US" w:bidi="en_US"/>
        </w:rPr>
      </w:r>
      <w:r>
        <w:rPr>
          <w:b/>
          <w:lang w:val="en_US" w:bidi="en_US"/>
        </w:rPr>
        <w:t>and it is thrown out.</w:t>
      </w:r>
    </w:p>
    <w:p>
      <w:pPr>
        <w:pStyle w:val="ListBullet"/>
        <w:spacing w:line="240" w:lineRule="auto"/>
        <w:ind w:left="720"/>
      </w:pPr>
      <w:r>
        <w:rPr>
          <w:lang w:val="en_US" w:bidi="en_US"/>
        </w:rPr>
      </w:r>
      <w:r>
        <w:rPr>
          <w:lang w:val="en_US" w:bidi="en_US"/>
        </w:rPr>
        <w:t>It has to be thrown away/out.</w:t>
      </w:r>
    </w:p>
    <w:p>
      <w:pPr>
        <w:pStyle w:val="ListBullet"/>
        <w:spacing w:line="240" w:lineRule="auto"/>
        <w:ind w:left="720"/>
      </w:pPr>
      <w:r>
        <w:rPr>
          <w:lang w:val="en_US" w:bidi="en_US"/>
        </w:rPr>
      </w:r>
      <w:r>
        <w:rPr>
          <w:lang w:val="en_US" w:bidi="en_US"/>
        </w:rPr>
        <w:t>They/People just throw it away.</w:t>
      </w:r>
    </w:p>
    <w:p>
      <w:pPr/>
      <w:r>
        <w:rPr>
          <w:lang w:val="en_US" w:bidi="en_US"/>
        </w:rPr>
      </w:r>
      <w:r>
        <w:rPr>
          <w:b/>
          <w:lang w:val="en_US" w:bidi="en_US"/>
        </w:rPr>
        <w:t>it is thrown out:</w:t>
      </w:r>
      <w:r>
        <w:rPr>
          <w:lang w:val="en_US" w:bidi="en_US"/>
        </w:rPr>
        <w:t xml:space="preserve"> The clause </w:t>
      </w:r>
      <w:r>
        <w:rPr>
          <w:i/>
          <w:lang w:val="en_US" w:bidi="en_US"/>
        </w:rPr>
        <w:t>it is thrown out</w:t>
      </w:r>
      <w:r>
        <w:rPr>
          <w:lang w:val="en_US" w:bidi="en_US"/>
        </w:rPr>
        <w:t xml:space="preserve"> means that people throw useless salt away. It is rubbish. In some languages it may be more natural to use an active verb. For example:</w:t>
      </w:r>
    </w:p>
    <w:p>
      <w:pPr/>
      <w:r>
        <w:rPr>
          <w:lang w:val="en_US" w:bidi="en_US"/>
        </w:rPr>
      </w:r>
      <w:r>
        <w:rPr>
          <w:lang w:val="en_US" w:bidi="en_US"/>
        </w:rPr>
        <w:t>People simply throw it out. (CEV)</w:t>
      </w:r>
    </w:p>
    <w:p>
      <w:pPr>
        <w:pStyle w:val="Heading5"/>
      </w:pPr>
      <w:r>
        <w:rPr>
          <w:lang w:val="en_US" w:bidi="en_US"/>
        </w:rPr>
        <w:t>14:35c</w:t>
      </w:r>
    </w:p>
    <w:p>
      <w:pPr/>
      <w:r>
        <w:rPr>
          <w:lang w:val="en_US" w:bidi="en_US"/>
        </w:rPr>
      </w:r>
      <w:r>
        <w:rPr>
          <w:b/>
          <w:lang w:val="en_US" w:bidi="en_US"/>
        </w:rPr>
        <w:t>He who has ears to hear, let him hear.”</w:t>
      </w:r>
    </w:p>
    <w:p>
      <w:pPr>
        <w:pStyle w:val="ListBullet"/>
        <w:spacing w:line="240" w:lineRule="auto"/>
        <w:ind w:left="720"/>
      </w:pPr>
      <w:r>
        <w:rPr>
          <w:lang w:val="en_US" w:bidi="en_US"/>
        </w:rPr>
      </w:r>
      <w:r>
        <w:rPr>
          <w:lang w:val="en_US" w:bidi="en_US"/>
        </w:rPr>
        <w:t xml:space="preserve">Everyone who is able to hear should listen </w:t>
      </w:r>
      <w:r>
        <w:rPr>
          <w:lang w:val="en_US" w:bidi="en_US"/>
        </w:rPr>
        <w:t>to what I am saying</w:t>
      </w:r>
      <w:r>
        <w:rPr>
          <w:lang w:val="en_US" w:bidi="en_US"/>
        </w:rPr>
        <w:t>.”</w:t>
      </w:r>
    </w:p>
    <w:p>
      <w:pPr>
        <w:pStyle w:val="ListBullet"/>
        <w:spacing w:line="240" w:lineRule="auto"/>
        <w:ind w:left="720"/>
      </w:pPr>
      <w:r>
        <w:rPr>
          <w:lang w:val="en_US" w:bidi="en_US"/>
        </w:rPr>
      </w:r>
      <w:r>
        <w:rPr>
          <w:lang w:val="en_US" w:bidi="en_US"/>
        </w:rPr>
        <w:t xml:space="preserve">Whoever is able to hear </w:t>
      </w:r>
      <w:r>
        <w:rPr>
          <w:lang w:val="en_US" w:bidi="en_US"/>
        </w:rPr>
        <w:t>what I say</w:t>
      </w:r>
      <w:r>
        <w:rPr>
          <w:lang w:val="en_US" w:bidi="en_US"/>
        </w:rPr>
        <w:t xml:space="preserve"> should try to understand it.”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are listening, think carefully about what you</w:t>
      </w:r>
      <w:r>
        <w:rPr>
          <w:vertAlign w:val="superscript"/>
          <w:lang w:val="en_US" w:bidi="en_US"/>
        </w:rPr>
        <w:t>(plur)</w:t>
      </w:r>
      <w:r>
        <w:rPr>
          <w:lang w:val="en_US" w:bidi="en_US"/>
        </w:rPr>
        <w:t xml:space="preserve"> have heard.”</w:t>
      </w:r>
    </w:p>
    <w:p>
      <w:pPr/>
      <w:r>
        <w:rPr>
          <w:lang w:val="en_US" w:bidi="en_US"/>
        </w:rPr>
      </w:r>
      <w:r>
        <w:rPr>
          <w:lang w:val="en_US" w:bidi="en_US"/>
        </w:rPr>
        <w:t>This verse part is the same as 8:8d and Mark 4:9. It would be good to translate it the same way.</w:t>
      </w:r>
    </w:p>
    <w:p>
      <w:pPr/>
      <w:r>
        <w:rPr>
          <w:lang w:val="en_US" w:bidi="en_US"/>
        </w:rPr>
      </w:r>
      <w:r>
        <w:rPr>
          <w:b/>
          <w:lang w:val="en_US" w:bidi="en_US"/>
        </w:rPr>
        <w:t>He who has ears to hear, let him hear:</w:t>
      </w:r>
      <w:r>
        <w:rPr>
          <w:lang w:val="en_US" w:bidi="en_US"/>
        </w:rPr>
        <w:t xml:space="preserve"> With this saying, Jesus commanded or urged the crowd to give careful attention to the parable that they had just heard. He implied that they should do more than just listen to it. They should understand its meaning and then act on what they had learned from it.</w:t>
      </w:r>
    </w:p>
    <w:p>
      <w:pPr/>
      <w:r>
        <w:rPr>
          <w:lang w:val="en_US" w:bidi="en_US"/>
        </w:rPr>
      </w:r>
      <w:r>
        <w:rPr>
          <w:lang w:val="en_US" w:bidi="en_US"/>
        </w:rPr>
        <w:t>This saying assumes that everyone in the crowd had ears that were able to hear. Jesus said it to all the people there who were listening to him. Some other ways to translate this saying are:</w:t>
      </w:r>
    </w:p>
    <w:p>
      <w:pPr>
        <w:pStyle w:val="ListBullet"/>
        <w:spacing w:line="240" w:lineRule="auto"/>
        <w:ind w:left="720"/>
      </w:pPr>
      <w:r>
        <w:rPr>
          <w:lang w:val="en_US" w:bidi="en_US"/>
        </w:rPr>
      </w:r>
      <w:r>
        <w:rPr>
          <w:lang w:val="en_US" w:bidi="en_US"/>
        </w:rPr>
        <w:t xml:space="preserve">Use “they” or “you” instead of </w:t>
      </w:r>
      <w:r>
        <w:rPr>
          <w:i/>
          <w:lang w:val="en_US" w:bidi="en_US"/>
        </w:rPr>
        <w:t>he</w:t>
      </w:r>
      <w:r>
        <w:rPr>
          <w:lang w:val="en_US" w:bidi="en_US"/>
        </w:rPr>
        <w:t>. For example:</w:t>
      </w:r>
      <w:r>
        <w:rPr>
          <w:lang w:val="en_US" w:bidi="en_US"/>
        </w:rPr>
        <w:t>All</w:t>
      </w:r>
      <w:r>
        <w:rPr>
          <w:lang w:val="en_US" w:bidi="en_US"/>
        </w:rPr>
        <w:t xml:space="preserve"> </w:t>
      </w:r>
      <w:r>
        <w:rPr>
          <w:u w:val="single"/>
          <w:lang w:val="en_US" w:bidi="en_US"/>
        </w:rPr>
        <w:t>those</w:t>
      </w:r>
      <w:r>
        <w:rPr>
          <w:lang w:val="en_US" w:bidi="en_US"/>
        </w:rPr>
        <w:t xml:space="preserve"> who have ears to hear, let </w:t>
      </w:r>
      <w:r>
        <w:rPr>
          <w:u w:val="single"/>
          <w:lang w:val="en_US" w:bidi="en_US"/>
        </w:rPr>
        <w:t>them</w:t>
      </w:r>
      <w:r>
        <w:rPr>
          <w:lang w:val="en_US" w:bidi="en_US"/>
        </w:rPr>
        <w:t xml:space="preserve"> hear.</w:t>
      </w:r>
      <w:r>
        <w:rPr>
          <w:lang w:val="en_US" w:bidi="en_US"/>
        </w:rPr>
        <w:t>All of</w:t>
      </w:r>
      <w:r>
        <w:rPr>
          <w:lang w:val="en_US" w:bidi="en_US"/>
        </w:rPr>
        <w:t xml:space="preserve"> </w:t>
      </w:r>
      <w:r>
        <w:rPr>
          <w:u w:val="single"/>
          <w:lang w:val="en_US" w:bidi="en_US"/>
        </w:rPr>
        <w:t>you</w:t>
      </w:r>
      <w:r>
        <w:rPr>
          <w:lang w:val="en_US" w:bidi="en_US"/>
        </w:rPr>
        <w:t xml:space="preserve"> who have ears to hear, hear.</w:t>
      </w:r>
    </w:p>
    <w:p>
      <w:pPr>
        <w:pStyle w:val="ListBullet"/>
        <w:spacing w:line="240" w:lineRule="auto"/>
        <w:ind w:left="720"/>
      </w:pPr>
      <w:r>
        <w:rPr>
          <w:lang w:val="en_US" w:bidi="en_US"/>
        </w:rPr>
      </w:r>
      <w:r>
        <w:rPr>
          <w:lang w:val="en_US" w:bidi="en_US"/>
        </w:rPr>
        <w:t>Use a different type of clause or clauses. In some languages it may be more natural to use an “if” clause or a reason clause. For example:</w:t>
      </w:r>
      <w:r>
        <w:rPr>
          <w:lang w:val="en_US" w:bidi="en_US"/>
        </w:rPr>
        <w:t>If/Since you have ears that can hear, then pay attention.</w:t>
      </w:r>
    </w:p>
    <w:p>
      <w:pPr>
        <w:pStyle w:val="ListBullet"/>
        <w:spacing w:line="240" w:lineRule="auto"/>
        <w:ind w:left="720"/>
      </w:pPr>
      <w:r>
        <w:rPr>
          <w:lang w:val="en_US" w:bidi="en_US"/>
        </w:rPr>
      </w:r>
      <w:r>
        <w:rPr>
          <w:lang w:val="en_US" w:bidi="en_US"/>
        </w:rPr>
        <w:t>Translate the saying without including the word “ears.” For example:</w:t>
      </w:r>
      <w:r>
        <w:rPr>
          <w:lang w:val="en_US" w:bidi="en_US"/>
        </w:rPr>
        <w:t>You people who can hear me, listen! (NCV)</w:t>
      </w:r>
    </w:p>
    <w:p>
      <w:pPr>
        <w:pStyle w:val="ListBullet"/>
        <w:spacing w:line="240" w:lineRule="auto"/>
        <w:ind w:left="720"/>
      </w:pPr>
      <w:r>
        <w:rPr>
          <w:lang w:val="en_US" w:bidi="en_US"/>
        </w:rPr>
      </w:r>
      <w:r>
        <w:rPr>
          <w:lang w:val="en_US" w:bidi="en_US"/>
        </w:rPr>
        <w:t>Change the order of the clauses. For example:</w:t>
      </w:r>
      <w:r>
        <w:rPr>
          <w:lang w:val="en_US" w:bidi="en_US"/>
        </w:rPr>
        <w:t>Listen, then, if you have ears! (GNT)</w:t>
      </w:r>
    </w:p>
    <w:p>
      <w:pPr/>
      <w:r>
        <w:rPr>
          <w:lang w:val="en_US" w:bidi="en_US"/>
        </w:rPr>
      </w:r>
      <w:r>
        <w:rPr>
          <w:lang w:val="en_US" w:bidi="en_US"/>
        </w:rPr>
        <w:t>If you have an expression in your language that urges an audience to listen carefully to what you are saying, you may want to use it here.</w:t>
      </w:r>
    </w:p>
    <w:p>
      <w:pPr/>
      <w:r>
        <w:rPr>
          <w:lang w:val="en_US" w:bidi="en_US"/>
        </w:rPr>
      </w:r>
      <w:r>
        <w:rPr>
          <w:b/>
          <w:lang w:val="en_US" w:bidi="en_US"/>
        </w:rPr>
        <w:t>hear…hear:</w:t>
      </w:r>
      <w:r>
        <w:rPr>
          <w:lang w:val="en_US" w:bidi="en_US"/>
        </w:rPr>
        <w:t xml:space="preserve"> The word </w:t>
      </w:r>
      <w:r>
        <w:rPr>
          <w:i/>
          <w:lang w:val="en_US" w:bidi="en_US"/>
        </w:rPr>
        <w:t>hear</w:t>
      </w:r>
      <w:r>
        <w:rPr>
          <w:lang w:val="en_US" w:bidi="en_US"/>
        </w:rPr>
        <w:t xml:space="preserve"> is used twice in this verse part but with slightly different meanings. The first </w:t>
      </w:r>
      <w:r>
        <w:rPr>
          <w:i/>
          <w:lang w:val="en_US" w:bidi="en_US"/>
        </w:rPr>
        <w:t>hear</w:t>
      </w:r>
      <w:r>
        <w:rPr>
          <w:lang w:val="en_US" w:bidi="en_US"/>
        </w:rPr>
        <w:t xml:space="preserve"> refers to the physical ability to hear. The second </w:t>
      </w:r>
      <w:r>
        <w:rPr>
          <w:i/>
          <w:lang w:val="en_US" w:bidi="en_US"/>
        </w:rPr>
        <w:t>hear</w:t>
      </w:r>
      <w:r>
        <w:rPr>
          <w:lang w:val="en_US" w:bidi="en_US"/>
        </w:rPr>
        <w:t xml:space="preserve"> means to think about, understand, and respond to what the parable means.</w:t>
      </w:r>
    </w:p>
    <w:p>
      <w:pPr/>
      <w:r>
        <w:rPr>
          <w:lang w:val="en_US" w:bidi="en_US"/>
        </w:rPr>
      </w:r>
      <w:r>
        <w:rPr>
          <w:lang w:val="en_US" w:bidi="en_US"/>
        </w:rPr>
        <w:t>Other ways to translate these two meanings are:</w:t>
      </w:r>
    </w:p>
    <w:p>
      <w:pPr/>
      <w:r>
        <w:rPr>
          <w:lang w:val="en_US" w:bidi="en_US"/>
        </w:rPr>
      </w:r>
      <w:r>
        <w:rPr>
          <w:lang w:val="en_US" w:bidi="en_US"/>
        </w:rPr>
        <w:t>Anyone with ears to hear should listen and understand. (NLT)</w:t>
      </w:r>
    </w:p>
    <w:p>
      <w:pPr/>
      <w:r>
        <w:rPr>
          <w:lang w:val="en_US" w:bidi="en_US"/>
        </w:rPr>
      </w:r>
      <w:r>
        <w:rPr>
          <w:lang w:val="en_US" w:bidi="en_US"/>
        </w:rPr>
        <w:t>You who are listening, think about what you have just heard.</w:t>
      </w:r>
    </w:p>
    <w:p>
      <w:pPr/>
      <w:r>
        <w:rPr>
          <w:lang w:val="en_US" w:bidi="en_US"/>
        </w:rPr>
      </w:r>
      <w:r>
        <w:rPr>
          <w:b/>
          <w:lang w:val="en_US" w:bidi="en_US"/>
        </w:rPr>
        <w:t>let him hear:</w:t>
      </w:r>
      <w:r>
        <w:rPr>
          <w:lang w:val="en_US" w:bidi="en_US"/>
        </w:rPr>
        <w:t xml:space="preserve"> The Greek verb that the BSB translates as </w:t>
      </w:r>
      <w:r>
        <w:rPr>
          <w:i/>
          <w:lang w:val="en_US" w:bidi="en_US"/>
        </w:rPr>
        <w:t>let him hear</w:t>
      </w:r>
      <w:r>
        <w:rPr>
          <w:lang w:val="en_US" w:bidi="en_US"/>
        </w:rPr>
        <w:t xml:space="preserve"> is an indirect command. It does not express permission. Another way to translate this is:</w:t>
      </w:r>
    </w:p>
    <w:p>
      <w:pPr/>
      <w:r>
        <w:rPr>
          <w:lang w:val="en_US" w:bidi="en_US"/>
        </w:rPr>
      </w:r>
      <w:r>
        <w:rPr>
          <w:lang w:val="en_US" w:bidi="en_US"/>
        </w:rPr>
        <w:t xml:space="preserve">Anyone who has ears for listening </w:t>
      </w:r>
      <w:r>
        <w:rPr>
          <w:u w:val="single"/>
          <w:lang w:val="en_US" w:bidi="en_US"/>
        </w:rPr>
        <w:t>should</w:t>
      </w:r>
      <w:r>
        <w:rPr>
          <w:lang w:val="en_US" w:bidi="en_US"/>
        </w:rPr>
        <w:t xml:space="preserve"> listen! (NJB)</w:t>
      </w:r>
    </w:p>
    <w:p>
      <w:pPr/>
      <w:r>
        <w:rPr>
          <w:lang w:val="en_US" w:bidi="en_US"/>
        </w:rPr>
      </w:r>
      <w:r>
        <w:rPr>
          <w:lang w:val="en_US" w:bidi="en_US"/>
        </w:rPr>
        <w:t>In some languages it may be necessary to make explicit what the listener should be listening to. In those languages you could supply a phrase such as “to me (Jesus)” or “to my words.”</w:t>
      </w:r>
      <w:r>
        <w:rPr>
          <w:lang w:val="en_US" w:bidi="en_US"/>
        </w:rPr>
      </w:r>
      <w:r>
        <w:rPr>
          <w:lang w:val="en_US" w:bidi="en_US"/>
        </w:rPr>
      </w:r>
    </w:p>
    <w:p>
      <w:pPr/>
      <w:r>
        <w:rPr>
          <w:lang w:val="en_US" w:bidi="en_US"/>
        </w:rPr>
      </w:r>
    </w:p>
    <w:p>
      <w:pPr>
        <w:pStyle w:val="Heading2"/>
      </w:pPr>
      <w:r>
        <w:rPr>
          <w:lang w:val="en_US" w:bidi="en_US"/>
        </w:rPr>
        <w:t>Luke 15:1</w:t>
      </w:r>
      <w:r>
        <w:rPr>
          <w:lang w:val="en_US" w:bidi="en_US"/>
        </w:rPr>
      </w:r>
    </w:p>
    <w:p>
      <w:pPr>
        <w:pStyle w:val="Heading4"/>
      </w:pPr>
      <w:r>
        <w:rPr>
          <w:lang w:val="en_US" w:bidi="en_US"/>
        </w:rPr>
        <w:t>Section 15:1–7: Jesus told a parable about a man looking for his lost sheep</w:t>
      </w:r>
    </w:p>
    <w:p>
      <w:pPr/>
      <w:r>
        <w:rPr>
          <w:lang w:val="en_US" w:bidi="en_US"/>
        </w:rPr>
      </w:r>
      <w:r>
        <w:rPr>
          <w:lang w:val="en_US" w:bidi="en_US"/>
        </w:rPr>
        <w:t>In Luke 15 Jesus welcomed sinful people, and many listened to him. However, the Pharisees criticized Jesus for welcoming people like that. Then Jesus told the three parables in this chapter. Each parable tells about something that was lost and the joy of the one who found it. The things that were lost represent sinful people. They need help to be restored to God. The parables illustrate that God feels great joy when even one sinful person repents and is restored to a good relationship with him. In the Notes each parable will be described in a separate section.</w:t>
      </w:r>
    </w:p>
    <w:p>
      <w:pPr/>
      <w:r>
        <w:rPr>
          <w:lang w:val="en_US" w:bidi="en_US"/>
        </w:rPr>
      </w:r>
      <w:r>
        <w:rPr>
          <w:lang w:val="en_US" w:bidi="en_US"/>
        </w:rPr>
        <w:t>The parable in this section is about a sheep that went away from its shepherd. The sheep did not know how to find the shepherd again. When the shepherd noticed that this one sheep was missing, he searched for it diligently until he found it. He then invited his friends and neighbors to rejoice with him that he had found the lost sheep. Another heading for this section is:</w:t>
      </w:r>
    </w:p>
    <w:p>
      <w:pPr/>
      <w:r>
        <w:rPr>
          <w:lang w:val="en_US" w:bidi="en_US"/>
        </w:rPr>
      </w:r>
      <w:r>
        <w:rPr>
          <w:lang w:val="en_US" w:bidi="en_US"/>
        </w:rPr>
        <w:t>The Lost Sheep (GW)</w:t>
      </w:r>
    </w:p>
    <w:p>
      <w:pPr/>
      <w:r>
        <w:rPr>
          <w:lang w:val="en_US" w:bidi="en_US"/>
        </w:rPr>
      </w:r>
      <w:r>
        <w:rPr>
          <w:lang w:val="en_US" w:bidi="en_US"/>
        </w:rPr>
        <w:t>A shepherd was happy to find his lost sheep</w:t>
      </w:r>
    </w:p>
    <w:p>
      <w:pPr/>
      <w:r>
        <w:rPr>
          <w:lang w:val="en_US" w:bidi="en_US"/>
        </w:rPr>
      </w:r>
      <w:r>
        <w:rPr>
          <w:lang w:val="en_US" w:bidi="en_US"/>
        </w:rPr>
        <w:t>There is a parallel passage for this section in Matthew 18:12–14. However, the context and some of the details are different.</w:t>
      </w:r>
    </w:p>
    <w:p>
      <w:pPr>
        <w:pStyle w:val="Heading5"/>
      </w:pPr>
      <w:r>
        <w:rPr>
          <w:lang w:val="en_US" w:bidi="en_US"/>
        </w:rPr>
        <w:t>15:1a</w:t>
      </w:r>
    </w:p>
    <w:p>
      <w:pPr/>
      <w:r>
        <w:rPr>
          <w:lang w:val="en_US" w:bidi="en_US"/>
        </w:rPr>
      </w:r>
      <w:r>
        <w:rPr>
          <w:b/>
          <w:lang w:val="en_US" w:bidi="en_US"/>
        </w:rPr>
        <w:t>Now all the tax collectors and sinners were gathering around</w:t>
      </w:r>
    </w:p>
    <w:p>
      <w:pPr>
        <w:pStyle w:val="ListBullet"/>
        <w:spacing w:line="240" w:lineRule="auto"/>
        <w:ind w:left="720"/>
      </w:pPr>
      <w:r>
        <w:rPr>
          <w:lang w:val="en_US" w:bidi="en_US"/>
        </w:rPr>
      </w:r>
      <w:r>
        <w:rPr>
          <w:lang w:val="en_US" w:bidi="en_US"/>
        </w:rPr>
        <w:t>¶ It happened that all the tax collectors and sinners used to gather around Jesus</w:t>
      </w:r>
    </w:p>
    <w:p>
      <w:pPr>
        <w:pStyle w:val="ListBullet"/>
        <w:spacing w:line="240" w:lineRule="auto"/>
        <w:ind w:left="720"/>
      </w:pPr>
      <w:r>
        <w:rPr>
          <w:lang w:val="en_US" w:bidi="en_US"/>
        </w:rPr>
      </w:r>
      <w:r>
        <w:rPr>
          <w:lang w:val="en_US" w:bidi="en_US"/>
        </w:rPr>
        <w:t xml:space="preserve">¶ Many people who collected taxes </w:t>
      </w:r>
      <w:r>
        <w:rPr>
          <w:lang w:val="en_US" w:bidi="en_US"/>
        </w:rPr>
        <w:t>for the government</w:t>
      </w:r>
      <w:r>
        <w:rPr>
          <w:lang w:val="en_US" w:bidi="en_US"/>
        </w:rPr>
        <w:t xml:space="preserve"> and </w:t>
      </w:r>
      <w:r>
        <w:rPr>
          <w:lang w:val="en_US" w:bidi="en_US"/>
        </w:rPr>
        <w:t>other</w:t>
      </w:r>
      <w:r>
        <w:rPr>
          <w:lang w:val="en_US" w:bidi="en_US"/>
        </w:rPr>
        <w:t xml:space="preserve"> people </w:t>
      </w:r>
      <w:r>
        <w:rPr>
          <w:lang w:val="en_US" w:bidi="en_US"/>
        </w:rPr>
        <w:t>who were known to be</w:t>
      </w:r>
      <w:r>
        <w:rPr>
          <w:lang w:val="en_US" w:bidi="en_US"/>
        </w:rPr>
        <w:t xml:space="preserve"> sinful kept coming near to Jesus</w:t>
      </w:r>
    </w:p>
    <w:p>
      <w:pPr>
        <w:pStyle w:val="Heading5"/>
      </w:pPr>
      <w:r>
        <w:rPr>
          <w:lang w:val="en_US" w:bidi="en_US"/>
        </w:rPr>
        <w:t>15:1b</w:t>
      </w:r>
    </w:p>
    <w:p>
      <w:pPr/>
      <w:r>
        <w:rPr>
          <w:lang w:val="en_US" w:bidi="en_US"/>
        </w:rPr>
      </w:r>
      <w:r>
        <w:rPr>
          <w:b/>
          <w:lang w:val="en_US" w:bidi="en_US"/>
        </w:rPr>
        <w:t>to listen to Jesus.</w:t>
      </w:r>
    </w:p>
    <w:p>
      <w:pPr>
        <w:pStyle w:val="ListBullet"/>
        <w:spacing w:line="240" w:lineRule="auto"/>
        <w:ind w:left="720"/>
      </w:pPr>
      <w:r>
        <w:rPr>
          <w:lang w:val="en_US" w:bidi="en_US"/>
        </w:rPr>
      </w:r>
      <w:r>
        <w:rPr>
          <w:lang w:val="en_US" w:bidi="en_US"/>
        </w:rPr>
        <w:t>to listen to him.</w:t>
      </w:r>
    </w:p>
    <w:p>
      <w:pPr>
        <w:pStyle w:val="ListBullet"/>
        <w:spacing w:line="240" w:lineRule="auto"/>
        <w:ind w:left="720"/>
      </w:pPr>
      <w:r>
        <w:rPr>
          <w:lang w:val="en_US" w:bidi="en_US"/>
        </w:rPr>
      </w:r>
      <w:r>
        <w:rPr>
          <w:lang w:val="en_US" w:bidi="en_US"/>
        </w:rPr>
        <w:t>to listen to what he was saying.</w:t>
      </w:r>
    </w:p>
    <w:p>
      <w:pPr>
        <w:pStyle w:val="Heading5"/>
      </w:pPr>
      <w:r>
        <w:rPr>
          <w:lang w:val="en_US" w:bidi="en_US"/>
        </w:rPr>
        <w:t>15:1a–b</w:t>
      </w:r>
    </w:p>
    <w:p>
      <w:pPr/>
      <w:r>
        <w:rPr>
          <w:lang w:val="en_US" w:bidi="en_US"/>
        </w:rPr>
      </w:r>
      <w:r>
        <w:rPr>
          <w:b/>
          <w:lang w:val="en_US" w:bidi="en_US"/>
        </w:rPr>
        <w:t>Now:</w:t>
      </w:r>
      <w:r>
        <w:rPr>
          <w:lang w:val="en_US" w:bidi="en_US"/>
        </w:rPr>
        <w:t xml:space="preserve"> In this context the Greek conjunction that the BSB translates as </w:t>
      </w:r>
      <w:r>
        <w:rPr>
          <w:i/>
          <w:lang w:val="en_US" w:bidi="en_US"/>
        </w:rPr>
        <w:t>Now</w:t>
      </w:r>
      <w:r>
        <w:rPr>
          <w:lang w:val="en_US" w:bidi="en_US"/>
        </w:rPr>
        <w:t xml:space="preserve"> introduces a new event and a new topic. It is not a time word here. Introduce the topic in a natural way in your language.</w:t>
      </w:r>
    </w:p>
    <w:p>
      <w:pPr/>
      <w:r>
        <w:rPr>
          <w:lang w:val="en_US" w:bidi="en_US"/>
        </w:rPr>
      </w:r>
      <w:r>
        <w:rPr>
          <w:b/>
          <w:lang w:val="en_US" w:bidi="en_US"/>
        </w:rPr>
        <w:t>all the tax collectors and sinners:</w:t>
      </w:r>
      <w:r>
        <w:rPr>
          <w:lang w:val="en_US" w:bidi="en_US"/>
        </w:rPr>
        <w:t xml:space="preserve"> The terms </w:t>
      </w:r>
      <w:r>
        <w:rPr>
          <w:i/>
          <w:lang w:val="en_US" w:bidi="en_US"/>
        </w:rPr>
        <w:t>tax collectors</w:t>
      </w:r>
      <w:r>
        <w:rPr>
          <w:lang w:val="en_US" w:bidi="en_US"/>
        </w:rPr>
        <w:t xml:space="preserve"> and </w:t>
      </w:r>
      <w:r>
        <w:rPr>
          <w:i/>
          <w:lang w:val="en_US" w:bidi="en_US"/>
        </w:rPr>
        <w:t>sinners</w:t>
      </w:r>
      <w:r>
        <w:rPr>
          <w:lang w:val="en_US" w:bidi="en_US"/>
        </w:rPr>
        <w:t xml:space="preserve"> refer to people who were known to be sinful. Many Jews refused to associate with such people. See how you translated this phrase in 7:34.</w:t>
      </w:r>
    </w:p>
    <w:p>
      <w:pPr/>
      <w:r>
        <w:rPr>
          <w:lang w:val="en_US" w:bidi="en_US"/>
        </w:rPr>
      </w:r>
      <w:r>
        <w:rPr>
          <w:lang w:val="en_US" w:bidi="en_US"/>
        </w:rPr>
        <w:t>It is clear from 15:2 that tax collectors were included among those who were called “sinners.”</w:t>
      </w:r>
      <w:r>
        <w:rPr>
          <w:lang w:val="en_US" w:bidi="en_US"/>
        </w:rPr>
        <w:t>In Greek there is an article before each term (</w:t>
      </w:r>
      <w:r>
        <w:rPr>
          <w:u w:val="single"/>
          <w:lang w:val="en_US" w:bidi="en_US"/>
        </w:rPr>
        <w:t>the</w:t>
      </w:r>
      <w:r>
        <w:rPr>
          <w:lang w:val="en_US" w:bidi="en_US"/>
        </w:rPr>
        <w:t xml:space="preserve"> tax collectors and </w:t>
      </w:r>
      <w:r>
        <w:rPr>
          <w:u w:val="single"/>
          <w:lang w:val="en_US" w:bidi="en_US"/>
        </w:rPr>
        <w:t>the</w:t>
      </w:r>
      <w:r>
        <w:rPr>
          <w:lang w:val="en_US" w:bidi="en_US"/>
        </w:rPr>
        <w:t xml:space="preserve"> sinners). Several scholars point out that the two articles indicate two different groups of people. However, in 15:2, both groups are collectively referred to as “sinners.” In similar passages, such as Mark 2:15–16, these two terms are also used together with a single article, indicating that the two groups were closely associated in people’s minds.</w:t>
      </w:r>
      <w:r>
        <w:rPr>
          <w:lang w:val="en_US" w:bidi="en_US"/>
        </w:rPr>
        <w:t xml:space="preserve"> In some languages it may be necessary to indicate this connection. For example:</w:t>
      </w:r>
    </w:p>
    <w:p>
      <w:pPr/>
      <w:r>
        <w:rPr>
          <w:lang w:val="en_US" w:bidi="en_US"/>
        </w:rPr>
      </w:r>
      <w:r>
        <w:rPr>
          <w:lang w:val="en_US" w:bidi="en_US"/>
        </w:rPr>
        <w:t>tax collectors and other notorious sinners (NLT)</w:t>
      </w:r>
    </w:p>
    <w:p>
      <w:pPr/>
      <w:r>
        <w:rPr>
          <w:lang w:val="en_US" w:bidi="en_US"/>
        </w:rPr>
      </w:r>
      <w:r>
        <w:rPr>
          <w:b/>
          <w:lang w:val="en_US" w:bidi="en_US"/>
        </w:rPr>
        <w:t>all:</w:t>
      </w:r>
      <w:r>
        <w:rPr>
          <w:lang w:val="en_US" w:bidi="en_US"/>
        </w:rPr>
        <w:t xml:space="preserve"> In this context the word </w:t>
      </w:r>
      <w:r>
        <w:rPr>
          <w:i/>
          <w:lang w:val="en_US" w:bidi="en_US"/>
        </w:rPr>
        <w:t>all</w:t>
      </w:r>
      <w:r>
        <w:rPr>
          <w:lang w:val="en_US" w:bidi="en_US"/>
        </w:rPr>
        <w:t xml:space="preserve"> emphasizes that </w:t>
      </w:r>
      <w:r>
        <w:rPr>
          <w:u w:val="single"/>
          <w:lang w:val="en_US" w:bidi="en_US"/>
        </w:rPr>
        <w:t>very many</w:t>
      </w:r>
      <w:r>
        <w:rPr>
          <w:lang w:val="en_US" w:bidi="en_US"/>
        </w:rPr>
        <w:t xml:space="preserve"> tax collectors and other sinners gathered around Jesus. It probably does not indicate that every sinner came. In some languages it may be more natural to make this clear. For example:</w:t>
      </w:r>
    </w:p>
    <w:p>
      <w:pPr/>
      <w:r>
        <w:rPr>
          <w:lang w:val="en_US" w:bidi="en_US"/>
        </w:rPr>
      </w:r>
      <w:r>
        <w:rPr>
          <w:lang w:val="en_US" w:bidi="en_US"/>
        </w:rPr>
        <w:t>many tax collectors and sinners</w:t>
      </w:r>
    </w:p>
    <w:p>
      <w:pPr/>
      <w:r>
        <w:rPr>
          <w:lang w:val="en_US" w:bidi="en_US"/>
        </w:rPr>
      </w:r>
      <w:r>
        <w:rPr>
          <w:b/>
          <w:lang w:val="en_US" w:bidi="en_US"/>
        </w:rPr>
        <w:t>tax collectors:</w:t>
      </w:r>
      <w:r>
        <w:rPr>
          <w:lang w:val="en_US" w:bidi="en_US"/>
        </w:rPr>
        <w:t xml:space="preserve"> The Greek word that the BSB translates as </w:t>
      </w:r>
      <w:r>
        <w:rPr>
          <w:i/>
          <w:lang w:val="en_US" w:bidi="en_US"/>
        </w:rPr>
        <w:t>tax collectors</w:t>
      </w:r>
      <w:r>
        <w:rPr>
          <w:lang w:val="en_US" w:bidi="en_US"/>
        </w:rPr>
        <w:t xml:space="preserve"> refers to Jewish men who collected taxes from their fellow Jews for the government. Ordinary Jews despised them because:</w:t>
      </w:r>
    </w:p>
    <w:p>
      <w:pPr>
        <w:pStyle w:val="ListNumber"/>
        <w:numPr>
          <w:ilvl w:val="0"/>
          <w:numId w:val="262"/>
        </w:numPr>
        <w:spacing w:line="240" w:lineRule="auto"/>
        <w:ind w:left="720"/>
      </w:pPr>
      <w:r>
        <w:rPr>
          <w:lang w:val="en_US" w:bidi="en_US"/>
        </w:rPr>
      </w:r>
      <w:r>
        <w:rPr>
          <w:lang w:val="en_US" w:bidi="en_US"/>
        </w:rPr>
        <w:t>Tax collectors worked for a government that oppressed the people.</w:t>
      </w:r>
    </w:p>
    <w:p>
      <w:pPr>
        <w:pStyle w:val="ListNumber"/>
        <w:spacing w:line="240" w:lineRule="auto"/>
        <w:ind w:left="720"/>
      </w:pPr>
      <w:r>
        <w:rPr>
          <w:lang w:val="en_US" w:bidi="en_US"/>
        </w:rPr>
      </w:r>
      <w:r>
        <w:rPr>
          <w:lang w:val="en_US" w:bidi="en_US"/>
        </w:rPr>
        <w:t>Tax collectors often cheated the people by collecting more money than the law required and keeping the extra money for themselves.</w:t>
      </w:r>
    </w:p>
    <w:p>
      <w:pPr/>
      <w:r>
        <w:rPr>
          <w:lang w:val="en_US" w:bidi="en_US"/>
        </w:rPr>
      </w:r>
      <w:r>
        <w:rPr>
          <w:lang w:val="en_US" w:bidi="en_US"/>
        </w:rPr>
        <w:t>If you do not have a word in your language for “tax collectors,” some other ways to describe them are:</w:t>
      </w:r>
    </w:p>
    <w:p>
      <w:pPr/>
      <w:r>
        <w:rPr>
          <w:lang w:val="en_US" w:bidi="en_US"/>
        </w:rPr>
      </w:r>
      <w:r>
        <w:rPr>
          <w:lang w:val="en_US" w:bidi="en_US"/>
        </w:rPr>
        <w:t>men who collected taxes/payment for the government</w:t>
      </w:r>
    </w:p>
    <w:p>
      <w:pPr/>
      <w:r>
        <w:rPr>
          <w:lang w:val="en_US" w:bidi="en_US"/>
        </w:rPr>
      </w:r>
      <w:r>
        <w:rPr>
          <w:lang w:val="en_US" w:bidi="en_US"/>
        </w:rPr>
        <w:t>men who were paid by rulers to collect money for them from people</w:t>
      </w:r>
    </w:p>
    <w:p>
      <w:pPr/>
      <w:r>
        <w:rPr>
          <w:lang w:val="en_US" w:bidi="en_US"/>
        </w:rPr>
      </w:r>
      <w:r>
        <w:rPr>
          <w:lang w:val="en_US" w:bidi="en_US"/>
        </w:rPr>
        <w:t xml:space="preserve">See how you translated </w:t>
      </w:r>
      <w:r>
        <w:rPr>
          <w:i/>
          <w:lang w:val="en_US" w:bidi="en_US"/>
        </w:rPr>
        <w:t>tax collectors</w:t>
      </w:r>
      <w:r>
        <w:rPr>
          <w:lang w:val="en_US" w:bidi="en_US"/>
        </w:rPr>
        <w:t xml:space="preserve"> in 3:12a. You may also want to include a footnote in your translation to help readers understand why most Jews hated tax collectors.</w:t>
      </w:r>
    </w:p>
    <w:p>
      <w:pPr/>
      <w:r>
        <w:rPr>
          <w:lang w:val="en_US" w:bidi="en_US"/>
        </w:rPr>
      </w:r>
      <w:r>
        <w:rPr>
          <w:b/>
          <w:lang w:val="en_US" w:bidi="en_US"/>
        </w:rPr>
        <w:t>sinners:</w:t>
      </w:r>
      <w:r>
        <w:rPr>
          <w:lang w:val="en_US" w:bidi="en_US"/>
        </w:rPr>
        <w:t xml:space="preserve"> The Greek word that the BSB translates as </w:t>
      </w:r>
      <w:r>
        <w:rPr>
          <w:i/>
          <w:lang w:val="en_US" w:bidi="en_US"/>
        </w:rPr>
        <w:t>sinners</w:t>
      </w:r>
      <w:r>
        <w:rPr>
          <w:lang w:val="en_US" w:bidi="en_US"/>
        </w:rPr>
        <w:t xml:space="preserve"> refers to people who habitually disobey God or do not do what he wants them to do. In this context </w:t>
      </w:r>
      <w:r>
        <w:rPr>
          <w:i/>
          <w:lang w:val="en_US" w:bidi="en_US"/>
        </w:rPr>
        <w:t>sinners</w:t>
      </w:r>
      <w:r>
        <w:rPr>
          <w:lang w:val="en_US" w:bidi="en_US"/>
        </w:rPr>
        <w:t xml:space="preserve"> refers to people whom the Pharisees thought were especially sinful. The NIV uses quote marks to indicate that the people had a reputation for being more sinful than others. Some ways to translate </w:t>
      </w:r>
      <w:r>
        <w:rPr>
          <w:i/>
          <w:lang w:val="en_US" w:bidi="en_US"/>
        </w:rPr>
        <w:t>sinners</w:t>
      </w:r>
      <w:r>
        <w:rPr>
          <w:lang w:val="en_US" w:bidi="en_US"/>
        </w:rPr>
        <w:t xml:space="preserve"> here are:</w:t>
      </w:r>
    </w:p>
    <w:p>
      <w:pPr/>
      <w:r>
        <w:rPr>
          <w:lang w:val="en_US" w:bidi="en_US"/>
        </w:rPr>
      </w:r>
      <w:r>
        <w:rPr>
          <w:lang w:val="en_US" w:bidi="en_US"/>
        </w:rPr>
        <w:t xml:space="preserve">people who </w:t>
      </w:r>
      <w:r>
        <w:rPr>
          <w:lang w:val="en_US" w:bidi="en_US"/>
        </w:rPr>
        <w:t>habitually</w:t>
      </w:r>
      <w:r>
        <w:rPr>
          <w:lang w:val="en_US" w:bidi="en_US"/>
        </w:rPr>
        <w:t xml:space="preserve"> sin</w:t>
      </w:r>
    </w:p>
    <w:p>
      <w:pPr/>
      <w:r>
        <w:rPr>
          <w:lang w:val="en_US" w:bidi="en_US"/>
        </w:rPr>
      </w:r>
      <w:r>
        <w:rPr>
          <w:lang w:val="en_US" w:bidi="en_US"/>
        </w:rPr>
        <w:t>people who do not obey God</w:t>
      </w:r>
    </w:p>
    <w:p>
      <w:pPr/>
      <w:r>
        <w:rPr>
          <w:lang w:val="en_US" w:bidi="en_US"/>
        </w:rPr>
      </w:r>
      <w:r>
        <w:rPr>
          <w:lang w:val="en_US" w:bidi="en_US"/>
        </w:rPr>
        <w:t>wrongdoers</w:t>
      </w:r>
    </w:p>
    <w:p>
      <w:pPr/>
      <w:r>
        <w:rPr>
          <w:lang w:val="en_US" w:bidi="en_US"/>
        </w:rPr>
      </w:r>
      <w:r>
        <w:rPr>
          <w:lang w:val="en_US" w:bidi="en_US"/>
        </w:rPr>
        <w:t xml:space="preserve">The word </w:t>
      </w:r>
      <w:r>
        <w:rPr>
          <w:i/>
          <w:lang w:val="en_US" w:bidi="en_US"/>
        </w:rPr>
        <w:t>sinners</w:t>
      </w:r>
      <w:r>
        <w:rPr>
          <w:lang w:val="en_US" w:bidi="en_US"/>
        </w:rPr>
        <w:t xml:space="preserve"> also occurs in 5:30b.</w:t>
      </w:r>
    </w:p>
    <w:p>
      <w:pPr/>
      <w:r>
        <w:rPr>
          <w:lang w:val="en_US" w:bidi="en_US"/>
        </w:rPr>
      </w:r>
      <w:r>
        <w:rPr>
          <w:b/>
          <w:lang w:val="en_US" w:bidi="en_US"/>
        </w:rPr>
        <w:t>were gathering around to listen to Jesus:</w:t>
      </w:r>
      <w:r>
        <w:rPr>
          <w:lang w:val="en_US" w:bidi="en_US"/>
        </w:rPr>
        <w:t xml:space="preserve"> The Greek verb that the BSB translates as </w:t>
      </w:r>
      <w:r>
        <w:rPr>
          <w:i/>
          <w:lang w:val="en_US" w:bidi="en_US"/>
        </w:rPr>
        <w:t>were…gathering around</w:t>
      </w:r>
      <w:r>
        <w:rPr>
          <w:lang w:val="en_US" w:bidi="en_US"/>
        </w:rPr>
        <w:t xml:space="preserve"> means “were approaching” or “were coming near.” The people were coming nearer to Jesus so that they could listen to his teaching. Other ways to translate this are:</w:t>
      </w:r>
    </w:p>
    <w:p>
      <w:pPr/>
      <w:r>
        <w:rPr>
          <w:lang w:val="en_US" w:bidi="en_US"/>
        </w:rPr>
      </w:r>
      <w:r>
        <w:rPr>
          <w:lang w:val="en_US" w:bidi="en_US"/>
        </w:rPr>
        <w:t>were…crowding in to listen to him (REB)</w:t>
      </w:r>
    </w:p>
    <w:p>
      <w:pPr/>
      <w:r>
        <w:rPr>
          <w:lang w:val="en_US" w:bidi="en_US"/>
        </w:rPr>
      </w:r>
      <w:r>
        <w:rPr>
          <w:lang w:val="en_US" w:bidi="en_US"/>
        </w:rPr>
        <w:t>were coming near Him to listen to Him (NASB)</w:t>
      </w:r>
      <w:r>
        <w:rPr>
          <w:lang w:val="en_US" w:bidi="en_US"/>
        </w:rPr>
      </w:r>
      <w:r>
        <w:rPr>
          <w:lang w:val="en_US" w:bidi="en_US"/>
        </w:rPr>
      </w:r>
    </w:p>
    <w:p>
      <w:pPr/>
      <w:r>
        <w:rPr>
          <w:lang w:val="en_US" w:bidi="en_US"/>
        </w:rPr>
      </w:r>
    </w:p>
    <w:p>
      <w:pPr>
        <w:pStyle w:val="Heading2"/>
      </w:pPr>
      <w:r>
        <w:rPr>
          <w:lang w:val="en_US" w:bidi="en_US"/>
        </w:rPr>
        <w:t>Luke 15:2</w:t>
      </w:r>
      <w:r>
        <w:rPr>
          <w:lang w:val="en_US" w:bidi="en_US"/>
        </w:rPr>
      </w:r>
    </w:p>
    <w:p>
      <w:pPr>
        <w:pStyle w:val="Heading4"/>
      </w:pPr>
      <w:r>
        <w:rPr>
          <w:lang w:val="en_US" w:bidi="en_US"/>
        </w:rPr>
        <w:t>Section 15:1–7: Jesus told a parable about a man looking for his lost sheep</w:t>
      </w:r>
    </w:p>
    <w:p>
      <w:pPr/>
      <w:r>
        <w:rPr>
          <w:lang w:val="en_US" w:bidi="en_US"/>
        </w:rPr>
      </w:r>
      <w:r>
        <w:rPr>
          <w:lang w:val="en_US" w:bidi="en_US"/>
        </w:rPr>
        <w:t>In Luke 15 Jesus welcomed sinful people, and many listened to him. However, the Pharisees criticized Jesus for welcoming people like that. Then Jesus told the three parables in this chapter. Each parable tells about something that was lost and the joy of the one who found it. The things that were lost represent sinful people. They need help to be restored to God. The parables illustrate that God feels great joy when even one sinful person repents and is restored to a good relationship with him. In the Notes each parable will be described in a separate section.</w:t>
      </w:r>
    </w:p>
    <w:p>
      <w:pPr/>
      <w:r>
        <w:rPr>
          <w:lang w:val="en_US" w:bidi="en_US"/>
        </w:rPr>
      </w:r>
      <w:r>
        <w:rPr>
          <w:lang w:val="en_US" w:bidi="en_US"/>
        </w:rPr>
        <w:t>The parable in this section is about a sheep that went away from its shepherd. The sheep did not know how to find the shepherd again. When the shepherd noticed that this one sheep was missing, he searched for it diligently until he found it. He then invited his friends and neighbors to rejoice with him that he had found the lost sheep. Another heading for this section is:</w:t>
      </w:r>
    </w:p>
    <w:p>
      <w:pPr/>
      <w:r>
        <w:rPr>
          <w:lang w:val="en_US" w:bidi="en_US"/>
        </w:rPr>
      </w:r>
      <w:r>
        <w:rPr>
          <w:lang w:val="en_US" w:bidi="en_US"/>
        </w:rPr>
        <w:t>The Lost Sheep (GW)</w:t>
      </w:r>
    </w:p>
    <w:p>
      <w:pPr/>
      <w:r>
        <w:rPr>
          <w:lang w:val="en_US" w:bidi="en_US"/>
        </w:rPr>
      </w:r>
      <w:r>
        <w:rPr>
          <w:lang w:val="en_US" w:bidi="en_US"/>
        </w:rPr>
        <w:t>A shepherd was happy to find his lost sheep</w:t>
      </w:r>
    </w:p>
    <w:p>
      <w:pPr/>
      <w:r>
        <w:rPr>
          <w:lang w:val="en_US" w:bidi="en_US"/>
        </w:rPr>
      </w:r>
      <w:r>
        <w:rPr>
          <w:lang w:val="en_US" w:bidi="en_US"/>
        </w:rPr>
        <w:t>There is a parallel passage for this section in Matthew 18:12–14. However, the context and some of the details are different.</w:t>
      </w:r>
    </w:p>
    <w:p>
      <w:pPr>
        <w:pStyle w:val="Heading5"/>
      </w:pPr>
      <w:r>
        <w:rPr>
          <w:lang w:val="en_US" w:bidi="en_US"/>
        </w:rPr>
        <w:t>15:2a</w:t>
      </w:r>
    </w:p>
    <w:p>
      <w:pPr/>
      <w:r>
        <w:rPr>
          <w:lang w:val="en_US" w:bidi="en_US"/>
        </w:rPr>
      </w:r>
      <w:r>
        <w:rPr>
          <w:b/>
          <w:lang w:val="en_US" w:bidi="en_US"/>
        </w:rPr>
        <w:t>So the Pharisees and scribes began to grumble:</w:t>
      </w:r>
    </w:p>
    <w:p>
      <w:pPr>
        <w:pStyle w:val="ListBullet"/>
        <w:spacing w:line="240" w:lineRule="auto"/>
        <w:ind w:left="720"/>
      </w:pPr>
      <w:r>
        <w:rPr>
          <w:lang w:val="en_US" w:bidi="en_US"/>
        </w:rPr>
      </w:r>
      <w:r>
        <w:rPr>
          <w:lang w:val="en_US" w:bidi="en_US"/>
        </w:rPr>
        <w:t xml:space="preserve">As a result, the Pharisees and the teachers of the law complained </w:t>
      </w:r>
      <w:r>
        <w:rPr>
          <w:lang w:val="en_US" w:bidi="en_US"/>
        </w:rPr>
        <w:t>to one another</w:t>
      </w:r>
      <w:r>
        <w:rPr>
          <w:lang w:val="en_US" w:bidi="en_US"/>
        </w:rPr>
        <w:t>, saying,</w:t>
      </w:r>
    </w:p>
    <w:p>
      <w:pPr>
        <w:pStyle w:val="ListBullet"/>
        <w:spacing w:line="240" w:lineRule="auto"/>
        <w:ind w:left="720"/>
      </w:pPr>
      <w:r>
        <w:rPr>
          <w:lang w:val="en_US" w:bidi="en_US"/>
        </w:rPr>
      </w:r>
      <w:r>
        <w:rPr>
          <w:lang w:val="en_US" w:bidi="en_US"/>
        </w:rPr>
        <w:t>The Pharisees and the experts in the law criticized this. They said,</w:t>
      </w:r>
    </w:p>
    <w:p>
      <w:pPr/>
      <w:r>
        <w:rPr>
          <w:lang w:val="en_US" w:bidi="en_US"/>
        </w:rPr>
      </w:r>
      <w:r>
        <w:rPr>
          <w:b/>
          <w:lang w:val="en_US" w:bidi="en_US"/>
        </w:rPr>
        <w:t>So:</w:t>
      </w:r>
      <w:r>
        <w:rPr>
          <w:lang w:val="en_US" w:bidi="en_US"/>
        </w:rPr>
        <w:t xml:space="preserve"> This verse begins with a Greek conjunction that many English versions translate as “and.” The BSB translates it as </w:t>
      </w:r>
      <w:r>
        <w:rPr>
          <w:i/>
          <w:lang w:val="en_US" w:bidi="en_US"/>
        </w:rPr>
        <w:t>So</w:t>
      </w:r>
      <w:r>
        <w:rPr>
          <w:lang w:val="en_US" w:bidi="en_US"/>
        </w:rPr>
        <w:t xml:space="preserve"> because it introduces what the Pharisees’ said as a result of what was happening. The CEV also translates it as “So.” Jesus accepted people whom the Pharisees had rejected as sinners. They did not like this and they complained about it. Consider what conjunction would be natural here in your language. In some languages a conjunction may not be needed.</w:t>
      </w:r>
    </w:p>
    <w:p>
      <w:pPr/>
      <w:r>
        <w:rPr>
          <w:lang w:val="en_US" w:bidi="en_US"/>
        </w:rPr>
      </w:r>
      <w:r>
        <w:rPr>
          <w:b/>
          <w:lang w:val="en_US" w:bidi="en_US"/>
        </w:rPr>
        <w:t>the Pharisees:</w:t>
      </w:r>
      <w:r>
        <w:rPr>
          <w:lang w:val="en_US" w:bidi="en_US"/>
        </w:rPr>
        <w:t xml:space="preserve"> The </w:t>
      </w:r>
      <w:r>
        <w:rPr>
          <w:i/>
          <w:lang w:val="en_US" w:bidi="en_US"/>
        </w:rPr>
        <w:t>Pharisees</w:t>
      </w:r>
      <w:r>
        <w:rPr>
          <w:lang w:val="en_US" w:bidi="en_US"/>
        </w:rPr>
        <w:t xml:space="preserve"> were members of a religious group that emphasized obeying Moses’ Law. Here are some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For example:</w:t>
      </w:r>
      <w:r>
        <w:rPr>
          <w:lang w:val="en_US" w:bidi="en_US"/>
        </w:rPr>
        <w:t>Farisi members</w:t>
      </w:r>
      <w:r>
        <w:rPr>
          <w:lang w:val="en_US" w:bidi="en_US"/>
        </w:rPr>
        <w:t>Parise adherents</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Farise religious sect/group</w:t>
      </w:r>
      <w:r>
        <w:rPr>
          <w:lang w:val="en_US" w:bidi="en_US"/>
        </w:rPr>
        <w:t>members of the religious group called the Farasi</w:t>
      </w:r>
    </w:p>
    <w:p>
      <w:pPr/>
      <w:r>
        <w:rPr>
          <w:lang w:val="en_US" w:bidi="en_US"/>
        </w:rPr>
      </w:r>
      <w:r>
        <w:rPr>
          <w:lang w:val="en_US" w:bidi="en_US"/>
        </w:rPr>
        <w:t>This word first occurs in 5:17b. See also the note at 11:37b.</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refers to men whose most important work at the time of Jesus was to study, interpret, and teach the Law of Moses. This word is sometimes translated as “scribes” by versions such as the RSV. That is because the original work of these men was to copy the laws of Moses by hand. In New Testament times, this was no longer their main task.</w:t>
      </w:r>
    </w:p>
    <w:p>
      <w:pPr/>
      <w:r>
        <w:rPr>
          <w:lang w:val="en_US" w:bidi="en_US"/>
        </w:rPr>
      </w:r>
      <w:r>
        <w:rPr>
          <w:lang w:val="en_US" w:bidi="en_US"/>
        </w:rPr>
        <w:t>Some ways to translate this term are:</w:t>
      </w:r>
    </w:p>
    <w:p>
      <w:pPr/>
      <w:r>
        <w:rPr>
          <w:lang w:val="en_US" w:bidi="en_US"/>
        </w:rPr>
      </w:r>
      <w:r>
        <w:rPr>
          <w:lang w:val="en_US" w:bidi="en_US"/>
        </w:rPr>
        <w:t>teachers of the Law of Moses (CEV)</w:t>
      </w:r>
    </w:p>
    <w:p>
      <w:pPr/>
      <w:r>
        <w:rPr>
          <w:lang w:val="en_US" w:bidi="en_US"/>
        </w:rPr>
      </w:r>
      <w:r>
        <w:rPr>
          <w:lang w:val="en_US" w:bidi="en_US"/>
        </w:rPr>
        <w:t>teachers of religious law</w:t>
      </w:r>
    </w:p>
    <w:p>
      <w:pPr/>
      <w:r>
        <w:rPr>
          <w:lang w:val="en_US" w:bidi="en_US"/>
        </w:rPr>
      </w:r>
      <w:r>
        <w:rPr>
          <w:lang w:val="en_US" w:bidi="en_US"/>
        </w:rPr>
        <w:t>experts in the law (NET)</w:t>
      </w:r>
    </w:p>
    <w:p>
      <w:pPr/>
      <w:r>
        <w:rPr>
          <w:lang w:val="en_US" w:bidi="en_US"/>
        </w:rPr>
      </w:r>
      <w:r>
        <w:rPr>
          <w:lang w:val="en_US" w:bidi="en_US"/>
        </w:rPr>
        <w:t xml:space="preserve">The term </w:t>
      </w:r>
      <w:r>
        <w:rPr>
          <w:i/>
          <w:lang w:val="en_US" w:bidi="en_US"/>
        </w:rPr>
        <w:t>scribes</w:t>
      </w:r>
      <w:r>
        <w:rPr>
          <w:lang w:val="en_US" w:bidi="en_US"/>
        </w:rPr>
        <w:t xml:space="preserve"> also occurs at 9:22b. See also teacher of the law in the Glossary.</w:t>
      </w:r>
    </w:p>
    <w:p>
      <w:pPr/>
      <w:r>
        <w:rPr>
          <w:lang w:val="en_US" w:bidi="en_US"/>
        </w:rPr>
      </w:r>
      <w:r>
        <w:rPr>
          <w:b/>
          <w:lang w:val="en_US" w:bidi="en_US"/>
        </w:rPr>
        <w:t>began to grumble:</w:t>
      </w:r>
      <w:r>
        <w:rPr>
          <w:lang w:val="en_US" w:bidi="en_US"/>
        </w:rPr>
        <w:t xml:space="preserve"> The Greek word that the BSB translates as </w:t>
      </w:r>
      <w:r>
        <w:rPr>
          <w:i/>
          <w:lang w:val="en_US" w:bidi="en_US"/>
        </w:rPr>
        <w:t>began to grumble</w:t>
      </w:r>
      <w:r>
        <w:rPr>
          <w:lang w:val="en_US" w:bidi="en_US"/>
        </w:rPr>
        <w:t xml:space="preserve"> here means “complained.” The religious leaders expressed to each other their disapproval or criticism of what Jesus was doing. The following context implies that they spoke loudly enough for Jesus to hear them.</w:t>
      </w:r>
    </w:p>
    <w:p>
      <w:pPr/>
      <w:r>
        <w:rPr>
          <w:lang w:val="en_US" w:bidi="en_US"/>
        </w:rPr>
      </w:r>
      <w:r>
        <w:rPr>
          <w:lang w:val="en_US" w:bidi="en_US"/>
        </w:rPr>
        <w:t>The form of the Greek verb here may also be translated as an action that was beginning or continuing. For example:</w:t>
      </w:r>
    </w:p>
    <w:p>
      <w:pPr/>
      <w:r>
        <w:rPr>
          <w:lang w:val="en_US" w:bidi="en_US"/>
        </w:rPr>
      </w:r>
      <w:r>
        <w:rPr>
          <w:lang w:val="en_US" w:bidi="en_US"/>
        </w:rPr>
        <w:t>started grumbling (GNT)</w:t>
      </w:r>
    </w:p>
    <w:p>
      <w:pPr/>
      <w:r>
        <w:rPr>
          <w:lang w:val="en_US" w:bidi="en_US"/>
        </w:rPr>
      </w:r>
      <w:r>
        <w:rPr>
          <w:lang w:val="en_US" w:bidi="en_US"/>
        </w:rPr>
        <w:t>were grumbling (NRSV)</w:t>
      </w:r>
    </w:p>
    <w:p>
      <w:pPr>
        <w:pStyle w:val="Heading5"/>
      </w:pPr>
      <w:r>
        <w:rPr>
          <w:lang w:val="en_US" w:bidi="en_US"/>
        </w:rPr>
        <w:t>15:2b</w:t>
      </w:r>
    </w:p>
    <w:p>
      <w:pPr/>
      <w:r>
        <w:rPr>
          <w:lang w:val="en_US" w:bidi="en_US"/>
        </w:rPr>
      </w:r>
      <w:r>
        <w:rPr>
          <w:b/>
          <w:lang w:val="en_US" w:bidi="en_US"/>
        </w:rPr>
        <w:t>“This man welcomes sinners and eats with them.”</w:t>
      </w:r>
    </w:p>
    <w:p>
      <w:pPr>
        <w:pStyle w:val="ListBullet"/>
        <w:spacing w:line="240" w:lineRule="auto"/>
        <w:ind w:left="720"/>
      </w:pPr>
      <w:r>
        <w:rPr>
          <w:lang w:val="en_US" w:bidi="en_US"/>
        </w:rPr>
      </w:r>
      <w:r>
        <w:rPr>
          <w:lang w:val="en_US" w:bidi="en_US"/>
        </w:rPr>
        <w:t xml:space="preserve">“As for this person, he is friendly to sinners and </w:t>
      </w:r>
      <w:r>
        <w:rPr>
          <w:lang w:val="en_US" w:bidi="en_US"/>
        </w:rPr>
        <w:t>even</w:t>
      </w:r>
      <w:r>
        <w:rPr>
          <w:lang w:val="en_US" w:bidi="en_US"/>
        </w:rPr>
        <w:t xml:space="preserve"> eats with them.”</w:t>
      </w:r>
    </w:p>
    <w:p>
      <w:pPr>
        <w:pStyle w:val="ListBullet"/>
        <w:spacing w:line="240" w:lineRule="auto"/>
        <w:ind w:left="720"/>
      </w:pPr>
      <w:r>
        <w:rPr>
          <w:lang w:val="en_US" w:bidi="en_US"/>
        </w:rPr>
      </w:r>
      <w:r>
        <w:rPr>
          <w:lang w:val="en_US" w:bidi="en_US"/>
        </w:rPr>
        <w:t xml:space="preserve">“That fellow </w:t>
      </w:r>
      <w:r>
        <w:rPr>
          <w:lang w:val="en_US" w:bidi="en_US"/>
        </w:rPr>
        <w:t>Jesus</w:t>
      </w:r>
      <w:r>
        <w:rPr>
          <w:lang w:val="en_US" w:bidi="en_US"/>
        </w:rPr>
        <w:t xml:space="preserve"> likes to associate with sinful people and shares meals with them.”</w:t>
      </w:r>
    </w:p>
    <w:p>
      <w:pPr/>
      <w:r>
        <w:rPr>
          <w:lang w:val="en_US" w:bidi="en_US"/>
        </w:rPr>
      </w:r>
      <w:r>
        <w:rPr>
          <w:b/>
          <w:lang w:val="en_US" w:bidi="en_US"/>
        </w:rPr>
        <w:t>This man welcomes sinners:</w:t>
      </w:r>
      <w:r>
        <w:rPr>
          <w:lang w:val="en_US" w:bidi="en_US"/>
        </w:rPr>
        <w:t xml:space="preserve"> The Greek expression that the BSB translates as </w:t>
      </w:r>
      <w:r>
        <w:rPr>
          <w:i/>
          <w:lang w:val="en_US" w:bidi="en_US"/>
        </w:rPr>
        <w:t>This man welcomes sinners</w:t>
      </w:r>
      <w:r>
        <w:rPr>
          <w:lang w:val="en_US" w:bidi="en_US"/>
        </w:rPr>
        <w:t xml:space="preserve"> is a complaint or criticism. The religious leaders were not pleased that Jesus was friendly to people whom they considered to be worthless sinners.</w:t>
      </w:r>
    </w:p>
    <w:p>
      <w:pPr/>
      <w:r>
        <w:rPr>
          <w:lang w:val="en_US" w:bidi="en_US"/>
        </w:rPr>
      </w:r>
      <w:r>
        <w:rPr>
          <w:b/>
          <w:lang w:val="en_US" w:bidi="en_US"/>
        </w:rPr>
        <w:t>This man:</w:t>
      </w:r>
      <w:r>
        <w:rPr>
          <w:lang w:val="en_US" w:bidi="en_US"/>
        </w:rPr>
        <w:t xml:space="preserve"> The Greek expression that the BSB translates as </w:t>
      </w:r>
      <w:r>
        <w:rPr>
          <w:i/>
          <w:lang w:val="en_US" w:bidi="en_US"/>
        </w:rPr>
        <w:t>This man</w:t>
      </w:r>
      <w:r>
        <w:rPr>
          <w:lang w:val="en_US" w:bidi="en_US"/>
        </w:rPr>
        <w:t xml:space="preserve"> refers to Jesus. When the religious leaders referred to Jesus in this way, they showed that they disliked and disapproved of him. People in your culture may have a different way to indicate that they do not approve of someone they are referring to. In some languages it may be natural to use a separate phrase or a separate sentence. For example:</w:t>
      </w:r>
    </w:p>
    <w:p>
      <w:pPr/>
      <w:r>
        <w:rPr>
          <w:lang w:val="en_US" w:bidi="en_US"/>
        </w:rPr>
      </w:r>
      <w:r>
        <w:rPr>
          <w:lang w:val="en_US" w:bidi="en_US"/>
        </w:rPr>
        <w:t>As for this fellow/person, he welcomes</w:t>
      </w:r>
    </w:p>
    <w:p>
      <w:pPr/>
      <w:r>
        <w:rPr>
          <w:lang w:val="en_US" w:bidi="en_US"/>
        </w:rPr>
      </w:r>
      <w:r>
        <w:rPr>
          <w:lang w:val="en_US" w:bidi="en_US"/>
        </w:rPr>
        <w:t>Look at that Jesus/guy! He welcomes</w:t>
      </w:r>
    </w:p>
    <w:p>
      <w:pPr/>
      <w:r>
        <w:rPr>
          <w:lang w:val="en_US" w:bidi="en_US"/>
        </w:rPr>
      </w:r>
      <w:r>
        <w:rPr>
          <w:b/>
          <w:lang w:val="en_US" w:bidi="en_US"/>
        </w:rPr>
        <w:t>welcomes:</w:t>
      </w:r>
      <w:r>
        <w:rPr>
          <w:lang w:val="en_US" w:bidi="en_US"/>
        </w:rPr>
        <w:t xml:space="preserve"> The Greek word that the BSB translates as </w:t>
      </w:r>
      <w:r>
        <w:rPr>
          <w:i/>
          <w:lang w:val="en_US" w:bidi="en_US"/>
        </w:rPr>
        <w:t>welcomes</w:t>
      </w:r>
      <w:r>
        <w:rPr>
          <w:lang w:val="en_US" w:bidi="en_US"/>
        </w:rPr>
        <w:t xml:space="preserve"> means “to receive in a friendly way.” In this context it refers to an action that Jesus did as a habit. He showed that he was happy to have sinners around him. He regularly talked with them in a friendly way.</w:t>
      </w:r>
    </w:p>
    <w:p>
      <w:pPr/>
      <w:r>
        <w:rPr>
          <w:lang w:val="en_US" w:bidi="en_US"/>
        </w:rPr>
      </w:r>
      <w:r>
        <w:rPr>
          <w:b/>
          <w:lang w:val="en_US" w:bidi="en_US"/>
        </w:rPr>
        <w:t>sinners:</w:t>
      </w:r>
      <w:r>
        <w:rPr>
          <w:lang w:val="en_US" w:bidi="en_US"/>
        </w:rPr>
        <w:t xml:space="preserve"> This is the same word as in 15:1.</w:t>
      </w:r>
    </w:p>
    <w:p>
      <w:pPr/>
      <w:r>
        <w:rPr>
          <w:lang w:val="en_US" w:bidi="en_US"/>
        </w:rPr>
      </w:r>
      <w:r>
        <w:rPr>
          <w:b/>
          <w:lang w:val="en_US" w:bidi="en_US"/>
        </w:rPr>
        <w:t>eats with them:</w:t>
      </w:r>
      <w:r>
        <w:rPr>
          <w:lang w:val="en_US" w:bidi="en_US"/>
        </w:rPr>
        <w:t xml:space="preserve"> The phrase </w:t>
      </w:r>
      <w:r>
        <w:rPr>
          <w:i/>
          <w:lang w:val="en_US" w:bidi="en_US"/>
        </w:rPr>
        <w:t>eats with them</w:t>
      </w:r>
      <w:r>
        <w:rPr>
          <w:lang w:val="en_US" w:bidi="en_US"/>
        </w:rPr>
        <w:t xml:space="preserve"> again refers to an action that Jesus often did. He often ate at the home of people whom others despised as sinners.</w:t>
      </w:r>
    </w:p>
    <w:p>
      <w:pPr>
        <w:pStyle w:val="Heading6"/>
      </w:pPr>
      <w:r>
        <w:rPr>
          <w:b/>
          <w:lang w:val="en_US" w:bidi="en_US"/>
        </w:rPr>
        <w:t>General Comment on 15:2a–b</w:t>
      </w:r>
    </w:p>
    <w:p>
      <w:pPr/>
      <w:r>
        <w:rPr>
          <w:lang w:val="en_US" w:bidi="en_US"/>
        </w:rPr>
      </w:r>
      <w:r>
        <w:rPr>
          <w:lang w:val="en_US" w:bidi="en_US"/>
        </w:rPr>
        <w:t>In some languages it may be more natural to express what the Jewish leaders said as an indirect quote. For example:</w:t>
      </w:r>
    </w:p>
    <w:p>
      <w:pPr/>
      <w:r>
        <w:rPr>
          <w:lang w:val="en_US" w:bidi="en_US"/>
        </w:rPr>
      </w:r>
      <w:r>
        <w:rPr>
          <w:lang w:val="en_US" w:bidi="en_US"/>
        </w:rPr>
        <w:t>This made the Pharisees and teachers of religious law complain that he was associating with such sinful people—even eating with them! (NLT)</w:t>
      </w:r>
      <w:r>
        <w:rPr>
          <w:lang w:val="en_US" w:bidi="en_US"/>
        </w:rPr>
      </w:r>
      <w:r>
        <w:rPr>
          <w:lang w:val="en_US" w:bidi="en_US"/>
        </w:rPr>
      </w:r>
    </w:p>
    <w:p>
      <w:pPr/>
      <w:r>
        <w:rPr>
          <w:lang w:val="en_US" w:bidi="en_US"/>
        </w:rPr>
      </w:r>
    </w:p>
    <w:p>
      <w:pPr>
        <w:pStyle w:val="Heading2"/>
      </w:pPr>
      <w:r>
        <w:rPr>
          <w:lang w:val="en_US" w:bidi="en_US"/>
        </w:rPr>
        <w:t>Luke 15:3</w:t>
      </w:r>
      <w:r>
        <w:rPr>
          <w:lang w:val="en_US" w:bidi="en_US"/>
        </w:rPr>
      </w:r>
    </w:p>
    <w:p>
      <w:pPr>
        <w:pStyle w:val="Heading4"/>
      </w:pPr>
      <w:r>
        <w:rPr>
          <w:lang w:val="en_US" w:bidi="en_US"/>
        </w:rPr>
        <w:t>Section 15:1–7: Jesus told a parable about a man looking for his lost sheep</w:t>
      </w:r>
    </w:p>
    <w:p>
      <w:pPr/>
      <w:r>
        <w:rPr>
          <w:lang w:val="en_US" w:bidi="en_US"/>
        </w:rPr>
      </w:r>
      <w:r>
        <w:rPr>
          <w:lang w:val="en_US" w:bidi="en_US"/>
        </w:rPr>
        <w:t>In Luke 15 Jesus welcomed sinful people, and many listened to him. However, the Pharisees criticized Jesus for welcoming people like that. Then Jesus told the three parables in this chapter. Each parable tells about something that was lost and the joy of the one who found it. The things that were lost represent sinful people. They need help to be restored to God. The parables illustrate that God feels great joy when even one sinful person repents and is restored to a good relationship with him. In the Notes each parable will be described in a separate section.</w:t>
      </w:r>
    </w:p>
    <w:p>
      <w:pPr/>
      <w:r>
        <w:rPr>
          <w:lang w:val="en_US" w:bidi="en_US"/>
        </w:rPr>
      </w:r>
      <w:r>
        <w:rPr>
          <w:lang w:val="en_US" w:bidi="en_US"/>
        </w:rPr>
        <w:t>The parable in this section is about a sheep that went away from its shepherd. The sheep did not know how to find the shepherd again. When the shepherd noticed that this one sheep was missing, he searched for it diligently until he found it. He then invited his friends and neighbors to rejoice with him that he had found the lost sheep. Another heading for this section is:</w:t>
      </w:r>
    </w:p>
    <w:p>
      <w:pPr/>
      <w:r>
        <w:rPr>
          <w:lang w:val="en_US" w:bidi="en_US"/>
        </w:rPr>
      </w:r>
      <w:r>
        <w:rPr>
          <w:lang w:val="en_US" w:bidi="en_US"/>
        </w:rPr>
        <w:t>The Lost Sheep (GW)</w:t>
      </w:r>
    </w:p>
    <w:p>
      <w:pPr/>
      <w:r>
        <w:rPr>
          <w:lang w:val="en_US" w:bidi="en_US"/>
        </w:rPr>
      </w:r>
      <w:r>
        <w:rPr>
          <w:lang w:val="en_US" w:bidi="en_US"/>
        </w:rPr>
        <w:t>A shepherd was happy to find his lost sheep</w:t>
      </w:r>
    </w:p>
    <w:p>
      <w:pPr/>
      <w:r>
        <w:rPr>
          <w:lang w:val="en_US" w:bidi="en_US"/>
        </w:rPr>
      </w:r>
      <w:r>
        <w:rPr>
          <w:lang w:val="en_US" w:bidi="en_US"/>
        </w:rPr>
        <w:t>There is a parallel passage for this section in Matthew 18:12–14. However, the context and some of the details are different.</w:t>
      </w:r>
    </w:p>
    <w:p>
      <w:pPr>
        <w:pStyle w:val="Heading5"/>
      </w:pPr>
      <w:r>
        <w:rPr>
          <w:lang w:val="en_US" w:bidi="en_US"/>
        </w:rPr>
        <w:t>15:3</w:t>
      </w:r>
    </w:p>
    <w:p>
      <w:pPr/>
      <w:r>
        <w:rPr>
          <w:lang w:val="en_US" w:bidi="en_US"/>
        </w:rPr>
      </w:r>
      <w:r>
        <w:rPr>
          <w:b/>
          <w:lang w:val="en_US" w:bidi="en_US"/>
        </w:rPr>
        <w:t>Then Jesus told them this parable:</w:t>
      </w:r>
    </w:p>
    <w:p>
      <w:pPr>
        <w:pStyle w:val="ListBullet"/>
        <w:spacing w:line="240" w:lineRule="auto"/>
        <w:ind w:left="720"/>
      </w:pPr>
      <w:r>
        <w:rPr>
          <w:lang w:val="en_US" w:bidi="en_US"/>
        </w:rPr>
      </w:r>
      <w:r>
        <w:rPr>
          <w:lang w:val="en_US" w:bidi="en_US"/>
        </w:rPr>
        <w:t xml:space="preserve">¶ So/Then Jesus told this parable/story/illustration to them. </w:t>
      </w:r>
      <w:r>
        <w:rPr>
          <w:lang w:val="en_US" w:bidi="en_US"/>
        </w:rPr>
        <w:t>He said:</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introduces what Jesus said when the religious leaders criticized him. Many English versions translate it as “So.” Some versions do not use a conjunction here. Connect this paragraph to the preceding one in a natural way in your language.</w:t>
      </w:r>
    </w:p>
    <w:p>
      <w:pPr/>
      <w:r>
        <w:rPr>
          <w:lang w:val="en_US" w:bidi="en_US"/>
        </w:rPr>
      </w:r>
      <w:r>
        <w:rPr>
          <w:b/>
          <w:lang w:val="en_US" w:bidi="en_US"/>
        </w:rPr>
        <w:t>parable:</w:t>
      </w:r>
      <w:r>
        <w:rPr>
          <w:lang w:val="en_US" w:bidi="en_US"/>
        </w:rPr>
        <w:t xml:space="preserve"> The Greek word that the BSB translates as </w:t>
      </w:r>
      <w:r>
        <w:rPr>
          <w:i/>
          <w:lang w:val="en_US" w:bidi="en_US"/>
        </w:rPr>
        <w:t>parable</w:t>
      </w:r>
      <w:r>
        <w:rPr>
          <w:lang w:val="en_US" w:bidi="en_US"/>
        </w:rPr>
        <w:t xml:space="preserve"> is a general word that describes different types of wise speech. This includes symbolic stories, metaphors, proverbs, illustrations, and wise sayings. Here Jesus used the word to refer to a story or illustration that answered the complaints of the Jewish leaders.</w:t>
      </w:r>
    </w:p>
    <w:p>
      <w:pPr/>
      <w:r>
        <w:rPr>
          <w:lang w:val="en_US" w:bidi="en_US"/>
        </w:rPr>
      </w:r>
      <w:r>
        <w:rPr>
          <w:lang w:val="en_US" w:bidi="en_US"/>
        </w:rPr>
        <w:t xml:space="preserve">Some other ways to translate </w:t>
      </w:r>
      <w:r>
        <w:rPr>
          <w:i/>
          <w:lang w:val="en_US" w:bidi="en_US"/>
        </w:rPr>
        <w:t>parable</w:t>
      </w:r>
      <w:r>
        <w:rPr>
          <w:lang w:val="en_US" w:bidi="en_US"/>
        </w:rPr>
        <w:t xml:space="preserve"> in this context are:</w:t>
      </w:r>
    </w:p>
    <w:p>
      <w:pPr/>
      <w:r>
        <w:rPr>
          <w:lang w:val="en_US" w:bidi="en_US"/>
        </w:rPr>
      </w:r>
      <w:r>
        <w:rPr>
          <w:lang w:val="en_US" w:bidi="en_US"/>
        </w:rPr>
        <w:t>illustration (GW)</w:t>
      </w:r>
    </w:p>
    <w:p>
      <w:pPr/>
      <w:r>
        <w:rPr>
          <w:lang w:val="en_US" w:bidi="en_US"/>
        </w:rPr>
      </w:r>
      <w:r>
        <w:rPr>
          <w:lang w:val="en_US" w:bidi="en_US"/>
        </w:rPr>
        <w:t>story (NLT)</w:t>
      </w:r>
    </w:p>
    <w:p>
      <w:pPr/>
      <w:r>
        <w:rPr>
          <w:lang w:val="en_US" w:bidi="en_US"/>
        </w:rPr>
      </w:r>
      <w:r>
        <w:rPr>
          <w:lang w:val="en_US" w:bidi="en_US"/>
        </w:rPr>
        <w:t xml:space="preserve">The word </w:t>
      </w:r>
      <w:r>
        <w:rPr>
          <w:i/>
          <w:lang w:val="en_US" w:bidi="en_US"/>
        </w:rPr>
        <w:t>parable</w:t>
      </w:r>
      <w:r>
        <w:rPr>
          <w:lang w:val="en_US" w:bidi="en_US"/>
        </w:rPr>
        <w:t xml:space="preserve"> first occurs in Luke at 5:36a.</w:t>
      </w:r>
      <w:r>
        <w:rPr>
          <w:lang w:val="en_US" w:bidi="en_US"/>
        </w:rPr>
      </w:r>
      <w:r>
        <w:rPr>
          <w:lang w:val="en_US" w:bidi="en_US"/>
        </w:rPr>
      </w:r>
    </w:p>
    <w:p>
      <w:pPr/>
      <w:r>
        <w:rPr>
          <w:lang w:val="en_US" w:bidi="en_US"/>
        </w:rPr>
      </w:r>
    </w:p>
    <w:p>
      <w:pPr>
        <w:pStyle w:val="Heading2"/>
      </w:pPr>
      <w:r>
        <w:rPr>
          <w:lang w:val="en_US" w:bidi="en_US"/>
        </w:rPr>
        <w:t>Luke 15:4</w:t>
      </w:r>
      <w:r>
        <w:rPr>
          <w:lang w:val="en_US" w:bidi="en_US"/>
        </w:rPr>
      </w:r>
    </w:p>
    <w:p>
      <w:pPr>
        <w:pStyle w:val="Heading4"/>
      </w:pPr>
      <w:r>
        <w:rPr>
          <w:lang w:val="en_US" w:bidi="en_US"/>
        </w:rPr>
        <w:t>Section 15:1–7: Jesus told a parable about a man looking for his lost sheep</w:t>
      </w:r>
    </w:p>
    <w:p>
      <w:pPr/>
      <w:r>
        <w:rPr>
          <w:lang w:val="en_US" w:bidi="en_US"/>
        </w:rPr>
      </w:r>
      <w:r>
        <w:rPr>
          <w:lang w:val="en_US" w:bidi="en_US"/>
        </w:rPr>
        <w:t>In Luke 15 Jesus welcomed sinful people, and many listened to him. However, the Pharisees criticized Jesus for welcoming people like that. Then Jesus told the three parables in this chapter. Each parable tells about something that was lost and the joy of the one who found it. The things that were lost represent sinful people. They need help to be restored to God. The parables illustrate that God feels great joy when even one sinful person repents and is restored to a good relationship with him. In the Notes each parable will be described in a separate section.</w:t>
      </w:r>
    </w:p>
    <w:p>
      <w:pPr/>
      <w:r>
        <w:rPr>
          <w:lang w:val="en_US" w:bidi="en_US"/>
        </w:rPr>
      </w:r>
      <w:r>
        <w:rPr>
          <w:lang w:val="en_US" w:bidi="en_US"/>
        </w:rPr>
        <w:t>The parable in this section is about a sheep that went away from its shepherd. The sheep did not know how to find the shepherd again. When the shepherd noticed that this one sheep was missing, he searched for it diligently until he found it. He then invited his friends and neighbors to rejoice with him that he had found the lost sheep. Another heading for this section is:</w:t>
      </w:r>
    </w:p>
    <w:p>
      <w:pPr/>
      <w:r>
        <w:rPr>
          <w:lang w:val="en_US" w:bidi="en_US"/>
        </w:rPr>
      </w:r>
      <w:r>
        <w:rPr>
          <w:lang w:val="en_US" w:bidi="en_US"/>
        </w:rPr>
        <w:t>The Lost Sheep (GW)</w:t>
      </w:r>
    </w:p>
    <w:p>
      <w:pPr/>
      <w:r>
        <w:rPr>
          <w:lang w:val="en_US" w:bidi="en_US"/>
        </w:rPr>
      </w:r>
      <w:r>
        <w:rPr>
          <w:lang w:val="en_US" w:bidi="en_US"/>
        </w:rPr>
        <w:t>A shepherd was happy to find his lost sheep</w:t>
      </w:r>
    </w:p>
    <w:p>
      <w:pPr/>
      <w:r>
        <w:rPr>
          <w:lang w:val="en_US" w:bidi="en_US"/>
        </w:rPr>
      </w:r>
      <w:r>
        <w:rPr>
          <w:lang w:val="en_US" w:bidi="en_US"/>
        </w:rPr>
        <w:t>There is a parallel passage for this section in Matthew 18:12–14. However, the context and some of the details are different.</w:t>
      </w:r>
    </w:p>
    <w:p>
      <w:pPr>
        <w:pStyle w:val="Heading5"/>
      </w:pPr>
      <w:r>
        <w:rPr>
          <w:lang w:val="en_US" w:bidi="en_US"/>
        </w:rPr>
        <w:t>15:4</w:t>
      </w:r>
    </w:p>
    <w:p>
      <w:pPr/>
      <w:r>
        <w:rPr>
          <w:lang w:val="en_US" w:bidi="en_US"/>
        </w:rPr>
      </w:r>
      <w:r>
        <w:rPr>
          <w:lang w:val="en_US" w:bidi="en_US"/>
        </w:rPr>
        <w:t>In Greek, 15:4 is a single rhetorical question. For example:</w:t>
      </w:r>
    </w:p>
    <w:p>
      <w:pPr/>
      <w:r>
        <w:rPr>
          <w:lang w:val="en_US" w:bidi="en_US"/>
        </w:rPr>
      </w:r>
      <w:r>
        <w:rPr>
          <w:lang w:val="en_US" w:bidi="en_US"/>
        </w:rPr>
        <w:t>If one of you has a hundred sheep and loses one of them, does he not leave the ninety-nine in the wilderness and go after the one that is missing until he finds it? (REB)</w:t>
      </w:r>
    </w:p>
    <w:p>
      <w:pPr/>
      <w:r>
        <w:rPr>
          <w:lang w:val="en_US" w:bidi="en_US"/>
        </w:rPr>
      </w:r>
      <w:r>
        <w:rPr>
          <w:lang w:val="en_US" w:bidi="en_US"/>
        </w:rPr>
        <w:t>Jesus used this question to illustrate what he wanted to teach the people about God’s attitude toward sinners. The question emphasizes that any of them would surely search for one of their sheep that got lost. In some languages it is not natural to use a long rhetorical question to express this. Other ways to translate it are:</w:t>
      </w:r>
    </w:p>
    <w:p>
      <w:pPr>
        <w:pStyle w:val="ListBullet"/>
        <w:spacing w:line="240" w:lineRule="auto"/>
        <w:ind w:left="720"/>
      </w:pPr>
      <w:r>
        <w:rPr>
          <w:lang w:val="en_US" w:bidi="en_US"/>
        </w:rPr>
      </w:r>
      <w:r>
        <w:rPr>
          <w:lang w:val="en_US" w:bidi="en_US"/>
        </w:rPr>
        <w:t>As a combination of a statement or command with a rhetorical question. For example:</w:t>
      </w:r>
      <w:r>
        <w:rPr>
          <w:lang w:val="en_US" w:bidi="en_US"/>
        </w:rPr>
        <w:t>Suppose you have a hundred sheep and one gets lost. What will you do? You will leave ninety-nine that are safe and go to look for the one that is lost until you find it.</w:t>
      </w:r>
    </w:p>
    <w:p>
      <w:pPr>
        <w:pStyle w:val="ListBullet"/>
        <w:spacing w:line="240" w:lineRule="auto"/>
        <w:ind w:left="720"/>
      </w:pPr>
      <w:r>
        <w:rPr>
          <w:lang w:val="en_US" w:bidi="en_US"/>
        </w:rPr>
      </w:r>
      <w:r>
        <w:rPr>
          <w:lang w:val="en_US" w:bidi="en_US"/>
        </w:rPr>
        <w:t>As two or more rhetorical questions. For example:</w:t>
      </w:r>
      <w:r>
        <w:rPr>
          <w:lang w:val="en_US" w:bidi="en_US"/>
        </w:rPr>
        <w:t>If any of you has a hundred sheep, and one of them gets lost, what will you do? Won’t you leave the ninety-nine in the field and go look for the lost sheep until you find it? (CEV)</w:t>
      </w:r>
    </w:p>
    <w:p>
      <w:pPr>
        <w:pStyle w:val="ListBullet"/>
        <w:spacing w:line="240" w:lineRule="auto"/>
        <w:ind w:left="720"/>
      </w:pPr>
      <w:r>
        <w:rPr>
          <w:lang w:val="en_US" w:bidi="en_US"/>
        </w:rPr>
      </w:r>
      <w:r>
        <w:rPr>
          <w:lang w:val="en_US" w:bidi="en_US"/>
        </w:rPr>
        <w:t>As two or more statements. For example:</w:t>
      </w:r>
      <w:r>
        <w:rPr>
          <w:lang w:val="en_US" w:bidi="en_US"/>
        </w:rPr>
        <w:t>Suppose one of you has a hundred sheep but loses one of them. You will certainly leave the other ninety-nine sheep in the open field and go out and look for the lost sheep until you find it.</w:t>
      </w:r>
    </w:p>
    <w:p>
      <w:pPr/>
      <w:r>
        <w:rPr>
          <w:lang w:val="en_US" w:bidi="en_US"/>
        </w:rPr>
      </w:r>
      <w:r>
        <w:rPr>
          <w:lang w:val="en_US" w:bidi="en_US"/>
        </w:rPr>
        <w:t>Translate this rhetorical question in a way that will emphasize that any person among them would search for his lost sheep.</w:t>
      </w:r>
    </w:p>
    <w:p>
      <w:pPr/>
      <w:r>
        <w:rPr>
          <w:lang w:val="en_US" w:bidi="en_US"/>
        </w:rPr>
      </w:r>
      <w:r>
        <w:rPr>
          <w:b/>
          <w:lang w:val="en_US" w:bidi="en_US"/>
        </w:rPr>
        <w:t>What man among you, if he:</w:t>
      </w:r>
      <w:r>
        <w:rPr>
          <w:lang w:val="en_US" w:bidi="en_US"/>
        </w:rPr>
        <w:t xml:space="preserve"> Notice that the BSB uses “among you” and “he” to refer to the listeners. The CEV uses “one of you,” and “you.” Another option is to use forms like “someone” and “he” throughout. For example:</w:t>
      </w:r>
    </w:p>
    <w:p>
      <w:pPr/>
      <w:r>
        <w:rPr>
          <w:lang w:val="en_US" w:bidi="en_US"/>
        </w:rPr>
      </w:r>
      <w:r>
        <w:rPr>
          <w:lang w:val="en_US" w:bidi="en_US"/>
        </w:rPr>
        <w:t>If a man has a hundred sheep and one of them gets lost, what will he do? Won’t he leave the ninety-nine others… (NLT)</w:t>
      </w:r>
    </w:p>
    <w:p>
      <w:pPr/>
      <w:r>
        <w:rPr>
          <w:lang w:val="en_US" w:bidi="en_US"/>
        </w:rPr>
      </w:r>
      <w:r>
        <w:rPr>
          <w:lang w:val="en_US" w:bidi="en_US"/>
        </w:rPr>
        <w:t>Use a natural way in your language to refer to the person in this illustration.</w:t>
      </w:r>
    </w:p>
    <w:p>
      <w:pPr>
        <w:pStyle w:val="Heading5"/>
      </w:pPr>
      <w:r>
        <w:rPr>
          <w:lang w:val="en_US" w:bidi="en_US"/>
        </w:rPr>
        <w:t>15:4a</w:t>
      </w:r>
    </w:p>
    <w:p>
      <w:pPr/>
      <w:r>
        <w:rPr>
          <w:lang w:val="en_US" w:bidi="en_US"/>
        </w:rPr>
      </w:r>
      <w:r>
        <w:rPr>
          <w:b/>
          <w:lang w:val="en_US" w:bidi="en_US"/>
        </w:rPr>
        <w:t>“What man among you, if he has a hundred sheep and loses one of them,</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had one hundred sheep and one became lost,</w:t>
      </w:r>
    </w:p>
    <w:p>
      <w:pPr>
        <w:pStyle w:val="ListBullet"/>
        <w:spacing w:line="240" w:lineRule="auto"/>
        <w:ind w:left="720"/>
      </w:pPr>
      <w:r>
        <w:rPr>
          <w:lang w:val="en_US" w:bidi="en_US"/>
        </w:rPr>
      </w:r>
      <w:r>
        <w:rPr>
          <w:lang w:val="en_US" w:bidi="en_US"/>
        </w:rPr>
        <w:t>“If one of you</w:t>
      </w:r>
      <w:r>
        <w:rPr>
          <w:vertAlign w:val="superscript"/>
          <w:lang w:val="en_US" w:bidi="en_US"/>
        </w:rPr>
        <w:t>(plur)</w:t>
      </w:r>
      <w:r>
        <w:rPr>
          <w:lang w:val="en_US" w:bidi="en_US"/>
        </w:rPr>
        <w:t xml:space="preserve"> owns one hundred sheep and one goes astray,</w:t>
      </w:r>
    </w:p>
    <w:p>
      <w:pPr>
        <w:pStyle w:val="ListBullet"/>
        <w:spacing w:line="240" w:lineRule="auto"/>
        <w:ind w:left="720"/>
      </w:pPr>
      <w:r>
        <w:rPr>
          <w:lang w:val="en_US" w:bidi="en_US"/>
        </w:rPr>
      </w:r>
      <w:r>
        <w:rPr>
          <w:lang w:val="en_US" w:bidi="en_US"/>
        </w:rPr>
        <w:t xml:space="preserve">“What would someone do if he owned a hundred sheep and just one </w:t>
      </w:r>
      <w:r>
        <w:rPr>
          <w:lang w:val="en_US" w:bidi="en_US"/>
        </w:rPr>
        <w:t>wandered away and</w:t>
      </w:r>
      <w:r>
        <w:rPr>
          <w:lang w:val="en_US" w:bidi="en_US"/>
        </w:rPr>
        <w:t xml:space="preserve"> became lost?</w:t>
      </w:r>
    </w:p>
    <w:p>
      <w:pPr/>
      <w:r>
        <w:rPr>
          <w:lang w:val="en_US" w:bidi="en_US"/>
        </w:rPr>
      </w:r>
      <w:r>
        <w:rPr>
          <w:b/>
          <w:lang w:val="en_US" w:bidi="en_US"/>
        </w:rPr>
        <w:t>if he has a hundred sheep and loses one of them:</w:t>
      </w:r>
      <w:r>
        <w:rPr>
          <w:lang w:val="en_US" w:bidi="en_US"/>
        </w:rPr>
        <w:t xml:space="preserve"> In this context the owner of the sheep </w:t>
      </w:r>
      <w:r>
        <w:rPr>
          <w:i/>
          <w:lang w:val="en_US" w:bidi="en_US"/>
        </w:rPr>
        <w:t>loses</w:t>
      </w:r>
      <w:r>
        <w:rPr>
          <w:lang w:val="en_US" w:bidi="en_US"/>
        </w:rPr>
        <w:t xml:space="preserve"> a sheep when the sheep wanders off by itself and becomes lost. The phrase does not imply here that the sheep is stolen or dies. For example:</w:t>
      </w:r>
    </w:p>
    <w:p>
      <w:pPr/>
      <w:r>
        <w:rPr>
          <w:lang w:val="en_US" w:bidi="en_US"/>
        </w:rPr>
      </w:r>
      <w:r>
        <w:rPr>
          <w:lang w:val="en_US" w:bidi="en_US"/>
        </w:rPr>
        <w:t>one of them gets lost (CEV)</w:t>
      </w:r>
    </w:p>
    <w:p>
      <w:pPr/>
      <w:r>
        <w:rPr>
          <w:lang w:val="en_US" w:bidi="en_US"/>
        </w:rPr>
      </w:r>
      <w:r>
        <w:rPr>
          <w:b/>
          <w:lang w:val="en_US" w:bidi="en_US"/>
        </w:rPr>
        <w:t>sheep:</w:t>
      </w:r>
      <w:r>
        <w:rPr>
          <w:lang w:val="en_US" w:bidi="en_US"/>
        </w:rPr>
        <w:t xml:space="preserve"> The word </w:t>
      </w:r>
      <w:r>
        <w:rPr>
          <w:i/>
          <w:lang w:val="en_US" w:bidi="en_US"/>
        </w:rPr>
        <w:t>sheep</w:t>
      </w:r>
      <w:r>
        <w:rPr>
          <w:lang w:val="en_US" w:bidi="en_US"/>
        </w:rPr>
        <w:t xml:space="preserve"> refers to domestic animals that are raised for meat and for wool. In some languages there may not be a word for “sheep.” If that is true in your language, you may borrow the word for “sheep” and indicate its meaning with a general word such as “herd/flock” or “animals.” For example:</w:t>
      </w:r>
    </w:p>
    <w:p>
      <w:pPr/>
      <w:r>
        <w:rPr>
          <w:lang w:val="en_US" w:bidi="en_US"/>
        </w:rPr>
      </w:r>
      <w:r>
        <w:rPr>
          <w:lang w:val="en_US" w:bidi="en_US"/>
        </w:rPr>
        <w:t xml:space="preserve">a hundred </w:t>
      </w:r>
      <w:r>
        <w:rPr>
          <w:lang w:val="en_US" w:bidi="en_US"/>
        </w:rPr>
        <w:t>animals called</w:t>
      </w:r>
      <w:r>
        <w:rPr>
          <w:lang w:val="en_US" w:bidi="en_US"/>
        </w:rPr>
        <w:t xml:space="preserve"> sheep</w:t>
      </w:r>
    </w:p>
    <w:p>
      <w:pPr/>
      <w:r>
        <w:rPr>
          <w:lang w:val="en_US" w:bidi="en_US"/>
        </w:rPr>
      </w:r>
      <w:r>
        <w:rPr>
          <w:lang w:val="en_US" w:bidi="en_US"/>
        </w:rPr>
        <w:t>herd/flock of</w:t>
      </w:r>
      <w:r>
        <w:rPr>
          <w:lang w:val="en_US" w:bidi="en_US"/>
        </w:rPr>
        <w:t xml:space="preserve"> one hundred sheep</w:t>
      </w:r>
    </w:p>
    <w:p>
      <w:pPr/>
      <w:r>
        <w:rPr>
          <w:lang w:val="en_US" w:bidi="en_US"/>
        </w:rPr>
      </w:r>
      <w:r>
        <w:rPr>
          <w:lang w:val="en_US" w:bidi="en_US"/>
        </w:rPr>
        <w:t>If people are not familiar with sheep in your area, it is suggested that you insert a picture in your translation.</w:t>
      </w:r>
    </w:p>
    <w:p>
      <w:pPr>
        <w:pStyle w:val="Heading5"/>
      </w:pPr>
      <w:r>
        <w:rPr>
          <w:lang w:val="en_US" w:bidi="en_US"/>
        </w:rPr>
        <w:t>15:4b</w:t>
      </w:r>
    </w:p>
    <w:p>
      <w:pPr/>
      <w:r>
        <w:rPr>
          <w:lang w:val="en_US" w:bidi="en_US"/>
        </w:rPr>
      </w:r>
      <w:r>
        <w:rPr>
          <w:b/>
          <w:lang w:val="en_US" w:bidi="en_US"/>
        </w:rPr>
        <w:t>does not leave the ninety-nine in the pasture</w:t>
      </w:r>
    </w:p>
    <w:p>
      <w:pPr>
        <w:pStyle w:val="ListBullet"/>
        <w:spacing w:line="240" w:lineRule="auto"/>
        <w:ind w:left="720"/>
      </w:pPr>
      <w:r>
        <w:rPr>
          <w:lang w:val="en_US" w:bidi="en_US"/>
        </w:rPr>
      </w:r>
      <w:r>
        <w:rPr>
          <w:lang w:val="en_US" w:bidi="en_US"/>
        </w:rPr>
        <w:t>what would you</w:t>
      </w:r>
      <w:r>
        <w:rPr>
          <w:vertAlign w:val="superscript"/>
          <w:lang w:val="en_US" w:bidi="en_US"/>
        </w:rPr>
        <w:t>(plur)</w:t>
      </w:r>
      <w:r>
        <w:rPr>
          <w:lang w:val="en_US" w:bidi="en_US"/>
        </w:rPr>
        <w:t xml:space="preserve"> do? You would leave the other ninety-nine sheep in the pasture,</w:t>
      </w:r>
    </w:p>
    <w:p>
      <w:pPr>
        <w:pStyle w:val="ListBullet"/>
        <w:spacing w:line="240" w:lineRule="auto"/>
        <w:ind w:left="720"/>
      </w:pPr>
      <w:r>
        <w:rPr>
          <w:lang w:val="en_US" w:bidi="en_US"/>
        </w:rPr>
      </w:r>
      <w:r>
        <w:rPr>
          <w:lang w:val="en_US" w:bidi="en_US"/>
        </w:rPr>
        <w:t>think about what you would do.</w:t>
      </w:r>
      <w:r>
        <w:rPr>
          <w:lang w:val="en_US" w:bidi="en_US"/>
        </w:rPr>
        <w:t xml:space="preserve"> You</w:t>
      </w:r>
      <w:r>
        <w:rPr>
          <w:vertAlign w:val="superscript"/>
          <w:lang w:val="en_US" w:bidi="en_US"/>
        </w:rPr>
        <w:t>(plur)</w:t>
      </w:r>
      <w:r>
        <w:rPr>
          <w:lang w:val="en_US" w:bidi="en_US"/>
        </w:rPr>
        <w:t xml:space="preserve"> would leave the </w:t>
      </w:r>
      <w:r>
        <w:rPr>
          <w:lang w:val="en_US" w:bidi="en_US"/>
        </w:rPr>
        <w:t>other</w:t>
      </w:r>
      <w:r>
        <w:rPr>
          <w:lang w:val="en_US" w:bidi="en_US"/>
        </w:rPr>
        <w:t xml:space="preserve"> ninety-nine sheep </w:t>
      </w:r>
      <w:r>
        <w:rPr>
          <w:lang w:val="en_US" w:bidi="en_US"/>
        </w:rPr>
        <w:t>to keep feeding</w:t>
      </w:r>
      <w:r>
        <w:rPr>
          <w:lang w:val="en_US" w:bidi="en_US"/>
        </w:rPr>
        <w:t xml:space="preserve"> in the grassland,</w:t>
      </w:r>
    </w:p>
    <w:p>
      <w:pPr>
        <w:pStyle w:val="ListBullet"/>
        <w:spacing w:line="240" w:lineRule="auto"/>
        <w:ind w:left="720"/>
      </w:pPr>
      <w:r>
        <w:rPr>
          <w:lang w:val="en_US" w:bidi="en_US"/>
        </w:rPr>
      </w:r>
      <w:r>
        <w:rPr>
          <w:lang w:val="en_US" w:bidi="en_US"/>
        </w:rPr>
        <w:t xml:space="preserve">He would leave the </w:t>
      </w:r>
      <w:r>
        <w:rPr>
          <w:lang w:val="en_US" w:bidi="en_US"/>
        </w:rPr>
        <w:t>other</w:t>
      </w:r>
      <w:r>
        <w:rPr>
          <w:lang w:val="en_US" w:bidi="en_US"/>
        </w:rPr>
        <w:t xml:space="preserve"> ninety-nine sheep in the field/place where they were </w:t>
      </w:r>
      <w:r>
        <w:rPr>
          <w:lang w:val="en_US" w:bidi="en_US"/>
        </w:rPr>
        <w:t>safely</w:t>
      </w:r>
      <w:r>
        <w:rPr>
          <w:lang w:val="en_US" w:bidi="en_US"/>
        </w:rPr>
        <w:t xml:space="preserve"> eating </w:t>
      </w:r>
      <w:r>
        <w:rPr>
          <w:lang w:val="en_US" w:bidi="en_US"/>
        </w:rPr>
        <w:t>grass</w:t>
      </w:r>
    </w:p>
    <w:p>
      <w:pPr/>
      <w:r>
        <w:rPr>
          <w:lang w:val="en_US" w:bidi="en_US"/>
        </w:rPr>
      </w:r>
      <w:r>
        <w:rPr>
          <w:b/>
          <w:lang w:val="en_US" w:bidi="en_US"/>
        </w:rPr>
        <w:t>does not leave the ninety-nine in the pasture:</w:t>
      </w:r>
      <w:r>
        <w:rPr>
          <w:lang w:val="en_US" w:bidi="en_US"/>
        </w:rPr>
        <w:t xml:space="preserve"> The Greek word that the BSB translates as </w:t>
      </w:r>
      <w:r>
        <w:rPr>
          <w:i/>
          <w:lang w:val="en_US" w:bidi="en_US"/>
        </w:rPr>
        <w:t>the pasture</w:t>
      </w:r>
      <w:r>
        <w:rPr>
          <w:lang w:val="en_US" w:bidi="en_US"/>
        </w:rPr>
        <w:t xml:space="preserve"> is sometimes translated as “wilderness.” Some English versions, such as the RSV, translate it that way. In this context it probably refers specifically to a pasture area where the sheep could eat grass and other plants. This was a normal place for sheep to stay.</w:t>
      </w:r>
    </w:p>
    <w:p>
      <w:pPr/>
      <w:r>
        <w:rPr>
          <w:lang w:val="en_US" w:bidi="en_US"/>
        </w:rPr>
      </w:r>
      <w:r>
        <w:rPr>
          <w:lang w:val="en_US" w:bidi="en_US"/>
        </w:rPr>
        <w:t>It was common for shepherds to have enclosures in such pasture areas where the sheep could be safe at night. The shepherd was not being cruel or foolish to leave the ninety-nine sheep in such a place. Use a term in your language that describes a good place for sheep to eat and rest. It is best to avoid a word that implies a dangerous place. For example:</w:t>
      </w:r>
    </w:p>
    <w:p>
      <w:pPr/>
      <w:r>
        <w:rPr>
          <w:lang w:val="en_US" w:bidi="en_US"/>
        </w:rPr>
      </w:r>
      <w:r>
        <w:rPr>
          <w:lang w:val="en_US" w:bidi="en_US"/>
        </w:rPr>
        <w:t>grazing in the pasture (GW)</w:t>
      </w:r>
    </w:p>
    <w:p>
      <w:pPr>
        <w:pStyle w:val="Heading5"/>
      </w:pPr>
      <w:r>
        <w:rPr>
          <w:lang w:val="en_US" w:bidi="en_US"/>
        </w:rPr>
        <w:t>15:4c</w:t>
      </w:r>
    </w:p>
    <w:p>
      <w:pPr/>
      <w:r>
        <w:rPr>
          <w:lang w:val="en_US" w:bidi="en_US"/>
        </w:rPr>
      </w:r>
      <w:r>
        <w:rPr>
          <w:b/>
          <w:lang w:val="en_US" w:bidi="en_US"/>
        </w:rPr>
        <w:t>and go after the one that is lost, until he finds it?</w:t>
      </w:r>
    </w:p>
    <w:p>
      <w:pPr>
        <w:pStyle w:val="ListBullet"/>
        <w:spacing w:line="240" w:lineRule="auto"/>
        <w:ind w:left="720"/>
      </w:pPr>
      <w:r>
        <w:rPr>
          <w:lang w:val="en_US" w:bidi="en_US"/>
        </w:rPr>
      </w:r>
      <w:r>
        <w:rPr>
          <w:lang w:val="en_US" w:bidi="en_US"/>
        </w:rPr>
        <w:t>and go and look for the lost sheep until you</w:t>
      </w:r>
      <w:r>
        <w:rPr>
          <w:vertAlign w:val="superscript"/>
          <w:lang w:val="en_US" w:bidi="en_US"/>
        </w:rPr>
        <w:t>(plur)</w:t>
      </w:r>
      <w:r>
        <w:rPr>
          <w:lang w:val="en_US" w:bidi="en_US"/>
        </w:rPr>
        <w:t xml:space="preserve"> found it, wouldn’t you? </w:t>
      </w:r>
      <w:r>
        <w:rPr>
          <w:lang w:val="en_US" w:bidi="en_US"/>
        </w:rPr>
        <w:t>Of course you would do that!</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would go and search for that one lost sheep until you found it.</w:t>
      </w:r>
    </w:p>
    <w:p>
      <w:pPr>
        <w:pStyle w:val="ListBullet"/>
        <w:spacing w:line="240" w:lineRule="auto"/>
        <w:ind w:left="720"/>
      </w:pPr>
      <w:r>
        <w:rPr>
          <w:lang w:val="en_US" w:bidi="en_US"/>
        </w:rPr>
      </w:r>
      <w:r>
        <w:rPr>
          <w:lang w:val="en_US" w:bidi="en_US"/>
        </w:rPr>
        <w:t>while he went and searched for that one missing sheep.</w:t>
      </w:r>
    </w:p>
    <w:p>
      <w:pPr/>
      <w:r>
        <w:rPr>
          <w:lang w:val="en_US" w:bidi="en_US"/>
        </w:rPr>
      </w:r>
      <w:r>
        <w:rPr>
          <w:b/>
          <w:lang w:val="en_US" w:bidi="en_US"/>
        </w:rPr>
        <w:t>go after the one that is lost, until he finds it:</w:t>
      </w:r>
      <w:r>
        <w:rPr>
          <w:lang w:val="en_US" w:bidi="en_US"/>
        </w:rPr>
        <w:t xml:space="preserve"> The phrase </w:t>
      </w:r>
      <w:r>
        <w:rPr>
          <w:i/>
          <w:lang w:val="en_US" w:bidi="en_US"/>
        </w:rPr>
        <w:t>go after</w:t>
      </w:r>
      <w:r>
        <w:rPr>
          <w:lang w:val="en_US" w:bidi="en_US"/>
        </w:rPr>
        <w:t xml:space="preserve"> means here “go to look/search for.” The shepherd would keep looking for the sheep until he found it. Other ways to translate this phrase are:</w:t>
      </w:r>
    </w:p>
    <w:p>
      <w:pPr/>
      <w:r>
        <w:rPr>
          <w:lang w:val="en_US" w:bidi="en_US"/>
        </w:rPr>
      </w:r>
      <w:r>
        <w:rPr>
          <w:lang w:val="en_US" w:bidi="en_US"/>
        </w:rPr>
        <w:t>look for (GW)</w:t>
      </w:r>
    </w:p>
    <w:p>
      <w:pPr/>
      <w:r>
        <w:rPr>
          <w:lang w:val="en_US" w:bidi="en_US"/>
        </w:rPr>
      </w:r>
      <w:r>
        <w:rPr>
          <w:lang w:val="en_US" w:bidi="en_US"/>
        </w:rPr>
        <w:t>go to search for (NLT)</w:t>
      </w:r>
    </w:p>
    <w:p>
      <w:pPr/>
      <w:r>
        <w:rPr>
          <w:lang w:val="en_US" w:bidi="en_US"/>
        </w:rPr>
      </w:r>
      <w:r>
        <w:rPr>
          <w:lang w:val="en_US" w:bidi="en_US"/>
        </w:rPr>
        <w:t>go out and look for (NCV)</w:t>
      </w:r>
      <w:r>
        <w:rPr>
          <w:lang w:val="en_US" w:bidi="en_US"/>
        </w:rPr>
      </w:r>
      <w:r>
        <w:rPr>
          <w:lang w:val="en_US" w:bidi="en_US"/>
        </w:rPr>
      </w:r>
    </w:p>
    <w:p>
      <w:pPr/>
      <w:r>
        <w:rPr>
          <w:lang w:val="en_US" w:bidi="en_US"/>
        </w:rPr>
      </w:r>
    </w:p>
    <w:p>
      <w:pPr>
        <w:pStyle w:val="Heading2"/>
      </w:pPr>
      <w:r>
        <w:rPr>
          <w:lang w:val="en_US" w:bidi="en_US"/>
        </w:rPr>
        <w:t>Luke 15:5</w:t>
      </w:r>
      <w:r>
        <w:rPr>
          <w:lang w:val="en_US" w:bidi="en_US"/>
        </w:rPr>
      </w:r>
    </w:p>
    <w:p>
      <w:pPr>
        <w:pStyle w:val="Heading4"/>
      </w:pPr>
      <w:r>
        <w:rPr>
          <w:lang w:val="en_US" w:bidi="en_US"/>
        </w:rPr>
        <w:t>Section 15:1–7: Jesus told a parable about a man looking for his lost sheep</w:t>
      </w:r>
    </w:p>
    <w:p>
      <w:pPr/>
      <w:r>
        <w:rPr>
          <w:lang w:val="en_US" w:bidi="en_US"/>
        </w:rPr>
      </w:r>
      <w:r>
        <w:rPr>
          <w:lang w:val="en_US" w:bidi="en_US"/>
        </w:rPr>
        <w:t>In Luke 15 Jesus welcomed sinful people, and many listened to him. However, the Pharisees criticized Jesus for welcoming people like that. Then Jesus told the three parables in this chapter. Each parable tells about something that was lost and the joy of the one who found it. The things that were lost represent sinful people. They need help to be restored to God. The parables illustrate that God feels great joy when even one sinful person repents and is restored to a good relationship with him. In the Notes each parable will be described in a separate section.</w:t>
      </w:r>
    </w:p>
    <w:p>
      <w:pPr/>
      <w:r>
        <w:rPr>
          <w:lang w:val="en_US" w:bidi="en_US"/>
        </w:rPr>
      </w:r>
      <w:r>
        <w:rPr>
          <w:lang w:val="en_US" w:bidi="en_US"/>
        </w:rPr>
        <w:t>The parable in this section is about a sheep that went away from its shepherd. The sheep did not know how to find the shepherd again. When the shepherd noticed that this one sheep was missing, he searched for it diligently until he found it. He then invited his friends and neighbors to rejoice with him that he had found the lost sheep. Another heading for this section is:</w:t>
      </w:r>
    </w:p>
    <w:p>
      <w:pPr/>
      <w:r>
        <w:rPr>
          <w:lang w:val="en_US" w:bidi="en_US"/>
        </w:rPr>
      </w:r>
      <w:r>
        <w:rPr>
          <w:lang w:val="en_US" w:bidi="en_US"/>
        </w:rPr>
        <w:t>The Lost Sheep (GW)</w:t>
      </w:r>
    </w:p>
    <w:p>
      <w:pPr/>
      <w:r>
        <w:rPr>
          <w:lang w:val="en_US" w:bidi="en_US"/>
        </w:rPr>
      </w:r>
      <w:r>
        <w:rPr>
          <w:lang w:val="en_US" w:bidi="en_US"/>
        </w:rPr>
        <w:t>A shepherd was happy to find his lost sheep</w:t>
      </w:r>
    </w:p>
    <w:p>
      <w:pPr/>
      <w:r>
        <w:rPr>
          <w:lang w:val="en_US" w:bidi="en_US"/>
        </w:rPr>
      </w:r>
      <w:r>
        <w:rPr>
          <w:lang w:val="en_US" w:bidi="en_US"/>
        </w:rPr>
        <w:t>There is a parallel passage for this section in Matthew 18:12–14. However, the context and some of the details are different.</w:t>
      </w:r>
    </w:p>
    <w:p>
      <w:pPr>
        <w:pStyle w:val="Heading5"/>
      </w:pPr>
      <w:r>
        <w:rPr>
          <w:lang w:val="en_US" w:bidi="en_US"/>
        </w:rPr>
        <w:t>15:5</w:t>
      </w:r>
    </w:p>
    <w:p>
      <w:pPr/>
      <w:r>
        <w:rPr>
          <w:lang w:val="en_US" w:bidi="en_US"/>
        </w:rPr>
      </w:r>
      <w:r>
        <w:rPr>
          <w:b/>
          <w:lang w:val="en_US" w:bidi="en_US"/>
        </w:rPr>
        <w:t>And when he finds it, he joyfully puts it on his shoulders,</w:t>
      </w:r>
    </w:p>
    <w:p>
      <w:pPr>
        <w:pStyle w:val="ListBullet"/>
        <w:spacing w:line="240" w:lineRule="auto"/>
        <w:ind w:left="720"/>
      </w:pPr>
      <w:r>
        <w:rPr>
          <w:lang w:val="en_US" w:bidi="en_US"/>
        </w:rPr>
      </w:r>
      <w:r>
        <w:rPr>
          <w:lang w:val="en_US" w:bidi="en_US"/>
        </w:rPr>
        <w:t>And after you</w:t>
      </w:r>
      <w:r>
        <w:rPr>
          <w:vertAlign w:val="superscript"/>
          <w:lang w:val="en_US" w:bidi="en_US"/>
        </w:rPr>
        <w:t>(plur)</w:t>
      </w:r>
      <w:r>
        <w:rPr>
          <w:lang w:val="en_US" w:bidi="en_US"/>
        </w:rPr>
        <w:t xml:space="preserve"> have found it, you will be very happy, and you will carry it on your shoulders</w:t>
      </w:r>
    </w:p>
    <w:p>
      <w:pPr>
        <w:pStyle w:val="ListBullet"/>
        <w:spacing w:line="240" w:lineRule="auto"/>
        <w:ind w:left="720"/>
      </w:pPr>
      <w:r>
        <w:rPr>
          <w:lang w:val="en_US" w:bidi="en_US"/>
        </w:rPr>
      </w:r>
      <w:r>
        <w:rPr>
          <w:lang w:val="en_US" w:bidi="en_US"/>
        </w:rPr>
        <w:t>Then when he finds it, he happily puts it on his shoulders</w:t>
      </w:r>
    </w:p>
    <w:p>
      <w:pPr/>
      <w:r>
        <w:rPr>
          <w:lang w:val="en_US" w:bidi="en_US"/>
        </w:rPr>
      </w:r>
      <w:r>
        <w:rPr>
          <w:b/>
          <w:lang w:val="en_US" w:bidi="en_US"/>
        </w:rPr>
        <w:t>when he finds it:</w:t>
      </w:r>
      <w:r>
        <w:rPr>
          <w:lang w:val="en_US" w:bidi="en_US"/>
        </w:rPr>
        <w:t xml:space="preserve"> This clause is very similar to the phrase “until he finds it” in 15:4c. In some languages it may not be natural to repeat the idea of finding the sheep so soon after its mention in the previous verse part. In those languages you may need to leave it implied or use a conjunction like “Then.”</w:t>
      </w:r>
    </w:p>
    <w:p>
      <w:pPr/>
      <w:r>
        <w:rPr>
          <w:lang w:val="en_US" w:bidi="en_US"/>
        </w:rPr>
      </w:r>
      <w:r>
        <w:rPr>
          <w:b/>
          <w:lang w:val="en_US" w:bidi="en_US"/>
        </w:rPr>
        <w:t>puts it on his shoulders:</w:t>
      </w:r>
      <w:r>
        <w:rPr>
          <w:lang w:val="en_US" w:bidi="en_US"/>
        </w:rPr>
        <w:t xml:space="preserve"> The shepherd would have carried the sheep by putting it across both his shoulders. Its stomach would be against the back of his neck, with the feet held or tied in front. If your language has a specific verb for carrying an animal in this way, you may use it here. If people in your language area do not carry an animal in this way or your language uses a different word in this context, you may:</w:t>
      </w:r>
    </w:p>
    <w:p>
      <w:pPr>
        <w:pStyle w:val="ListBullet"/>
        <w:spacing w:line="240" w:lineRule="auto"/>
        <w:ind w:left="720"/>
      </w:pPr>
      <w:r>
        <w:rPr>
          <w:lang w:val="en_US" w:bidi="en_US"/>
        </w:rPr>
      </w:r>
      <w:r>
        <w:rPr>
          <w:lang w:val="en_US" w:bidi="en_US"/>
        </w:rPr>
        <w:t>Use a more general expression. For example:</w:t>
      </w:r>
      <w:r>
        <w:rPr>
          <w:lang w:val="en_US" w:bidi="en_US"/>
        </w:rPr>
        <w:t>picks it up and carries it</w:t>
      </w:r>
    </w:p>
    <w:p>
      <w:pPr>
        <w:pStyle w:val="ListBullet"/>
        <w:spacing w:line="240" w:lineRule="auto"/>
        <w:ind w:left="720"/>
      </w:pPr>
      <w:r>
        <w:rPr>
          <w:lang w:val="en_US" w:bidi="en_US"/>
        </w:rPr>
      </w:r>
      <w:r>
        <w:rPr>
          <w:lang w:val="en_US" w:bidi="en_US"/>
        </w:rPr>
        <w:t>Use a natural expression in your language for carrying a sheep. For example:</w:t>
      </w:r>
      <w:r>
        <w:rPr>
          <w:lang w:val="en_US" w:bidi="en_US"/>
        </w:rPr>
        <w:t>carries it in his arms</w:t>
      </w:r>
      <w:r>
        <w:rPr>
          <w:lang w:val="en_US" w:bidi="en_US"/>
        </w:rPr>
      </w:r>
      <w:r>
        <w:rPr>
          <w:lang w:val="en_US" w:bidi="en_US"/>
        </w:rPr>
      </w:r>
    </w:p>
    <w:p>
      <w:pPr/>
      <w:r>
        <w:rPr>
          <w:lang w:val="en_US" w:bidi="en_US"/>
        </w:rPr>
      </w:r>
    </w:p>
    <w:p>
      <w:pPr>
        <w:pStyle w:val="Heading2"/>
      </w:pPr>
      <w:r>
        <w:rPr>
          <w:lang w:val="en_US" w:bidi="en_US"/>
        </w:rPr>
        <w:t>Luke 15:6</w:t>
      </w:r>
      <w:r>
        <w:rPr>
          <w:lang w:val="en_US" w:bidi="en_US"/>
        </w:rPr>
      </w:r>
    </w:p>
    <w:p>
      <w:pPr>
        <w:pStyle w:val="Heading4"/>
      </w:pPr>
      <w:r>
        <w:rPr>
          <w:lang w:val="en_US" w:bidi="en_US"/>
        </w:rPr>
        <w:t>Section 15:1–7: Jesus told a parable about a man looking for his lost sheep</w:t>
      </w:r>
    </w:p>
    <w:p>
      <w:pPr/>
      <w:r>
        <w:rPr>
          <w:lang w:val="en_US" w:bidi="en_US"/>
        </w:rPr>
      </w:r>
      <w:r>
        <w:rPr>
          <w:lang w:val="en_US" w:bidi="en_US"/>
        </w:rPr>
        <w:t>In Luke 15 Jesus welcomed sinful people, and many listened to him. However, the Pharisees criticized Jesus for welcoming people like that. Then Jesus told the three parables in this chapter. Each parable tells about something that was lost and the joy of the one who found it. The things that were lost represent sinful people. They need help to be restored to God. The parables illustrate that God feels great joy when even one sinful person repents and is restored to a good relationship with him. In the Notes each parable will be described in a separate section.</w:t>
      </w:r>
    </w:p>
    <w:p>
      <w:pPr/>
      <w:r>
        <w:rPr>
          <w:lang w:val="en_US" w:bidi="en_US"/>
        </w:rPr>
      </w:r>
      <w:r>
        <w:rPr>
          <w:lang w:val="en_US" w:bidi="en_US"/>
        </w:rPr>
        <w:t>The parable in this section is about a sheep that went away from its shepherd. The sheep did not know how to find the shepherd again. When the shepherd noticed that this one sheep was missing, he searched for it diligently until he found it. He then invited his friends and neighbors to rejoice with him that he had found the lost sheep. Another heading for this section is:</w:t>
      </w:r>
    </w:p>
    <w:p>
      <w:pPr/>
      <w:r>
        <w:rPr>
          <w:lang w:val="en_US" w:bidi="en_US"/>
        </w:rPr>
      </w:r>
      <w:r>
        <w:rPr>
          <w:lang w:val="en_US" w:bidi="en_US"/>
        </w:rPr>
        <w:t>The Lost Sheep (GW)</w:t>
      </w:r>
    </w:p>
    <w:p>
      <w:pPr/>
      <w:r>
        <w:rPr>
          <w:lang w:val="en_US" w:bidi="en_US"/>
        </w:rPr>
      </w:r>
      <w:r>
        <w:rPr>
          <w:lang w:val="en_US" w:bidi="en_US"/>
        </w:rPr>
        <w:t>A shepherd was happy to find his lost sheep</w:t>
      </w:r>
    </w:p>
    <w:p>
      <w:pPr/>
      <w:r>
        <w:rPr>
          <w:lang w:val="en_US" w:bidi="en_US"/>
        </w:rPr>
      </w:r>
      <w:r>
        <w:rPr>
          <w:lang w:val="en_US" w:bidi="en_US"/>
        </w:rPr>
        <w:t>There is a parallel passage for this section in Matthew 18:12–14. However, the context and some of the details are different.</w:t>
      </w:r>
    </w:p>
    <w:p>
      <w:pPr>
        <w:pStyle w:val="Heading5"/>
      </w:pPr>
      <w:r>
        <w:rPr>
          <w:lang w:val="en_US" w:bidi="en_US"/>
        </w:rPr>
        <w:t>15:6a</w:t>
      </w:r>
    </w:p>
    <w:p>
      <w:pPr/>
      <w:r>
        <w:rPr>
          <w:lang w:val="en_US" w:bidi="en_US"/>
        </w:rPr>
      </w:r>
      <w:r>
        <w:rPr>
          <w:b/>
          <w:lang w:val="en_US" w:bidi="en_US"/>
        </w:rPr>
        <w:t>comes home, and calls together his friends and neighbors</w:t>
      </w:r>
    </w:p>
    <w:p>
      <w:pPr>
        <w:pStyle w:val="ListBullet"/>
        <w:spacing w:line="240" w:lineRule="auto"/>
        <w:ind w:left="720"/>
      </w:pPr>
      <w:r>
        <w:rPr>
          <w:lang w:val="en_US" w:bidi="en_US"/>
        </w:rPr>
      </w:r>
      <w:r>
        <w:rPr>
          <w:lang w:val="en_US" w:bidi="en_US"/>
        </w:rPr>
        <w:t>to take it home. Then you</w:t>
      </w:r>
      <w:r>
        <w:rPr>
          <w:vertAlign w:val="superscript"/>
          <w:lang w:val="en_US" w:bidi="en_US"/>
        </w:rPr>
        <w:t>(plur)</w:t>
      </w:r>
      <w:r>
        <w:rPr>
          <w:lang w:val="en_US" w:bidi="en_US"/>
        </w:rPr>
        <w:t xml:space="preserve"> will go to your friends and those living nearby,</w:t>
      </w:r>
    </w:p>
    <w:p>
      <w:pPr>
        <w:pStyle w:val="ListBullet"/>
        <w:spacing w:line="240" w:lineRule="auto"/>
        <w:ind w:left="720"/>
      </w:pPr>
      <w:r>
        <w:rPr>
          <w:lang w:val="en_US" w:bidi="en_US"/>
        </w:rPr>
      </w:r>
      <w:r>
        <w:rPr>
          <w:lang w:val="en_US" w:bidi="en_US"/>
        </w:rPr>
        <w:t xml:space="preserve">and carries it home. Then he invites his friends and neighbors to come </w:t>
      </w:r>
      <w:r>
        <w:rPr>
          <w:lang w:val="en_US" w:bidi="en_US"/>
        </w:rPr>
        <w:t>to his house</w:t>
      </w:r>
      <w:r>
        <w:rPr>
          <w:lang w:val="en_US" w:bidi="en_US"/>
        </w:rPr>
        <w:t>,</w:t>
      </w:r>
    </w:p>
    <w:p>
      <w:pPr/>
      <w:r>
        <w:rPr>
          <w:lang w:val="en_US" w:bidi="en_US"/>
        </w:rPr>
      </w:r>
      <w:r>
        <w:rPr>
          <w:b/>
          <w:lang w:val="en_US" w:bidi="en_US"/>
        </w:rPr>
        <w:t>and calls together his friends and neighbors:</w:t>
      </w:r>
      <w:r>
        <w:rPr>
          <w:lang w:val="en_US" w:bidi="en_US"/>
        </w:rPr>
        <w:t xml:space="preserve"> This clause indicates that he invites his friends and neighbors to come to his house, probably for a feast or celebration.</w:t>
      </w:r>
    </w:p>
    <w:p>
      <w:pPr/>
      <w:r>
        <w:rPr>
          <w:lang w:val="en_US" w:bidi="en_US"/>
        </w:rPr>
      </w:r>
      <w:r>
        <w:rPr>
          <w:b/>
          <w:lang w:val="en_US" w:bidi="en_US"/>
        </w:rPr>
        <w:t>neighbors:</w:t>
      </w:r>
      <w:r>
        <w:rPr>
          <w:lang w:val="en_US" w:bidi="en_US"/>
        </w:rPr>
        <w:t xml:space="preserve"> The Greek word that the BSB translates as </w:t>
      </w:r>
      <w:r>
        <w:rPr>
          <w:i/>
          <w:lang w:val="en_US" w:bidi="en_US"/>
        </w:rPr>
        <w:t>neighbors</w:t>
      </w:r>
      <w:r>
        <w:rPr>
          <w:lang w:val="en_US" w:bidi="en_US"/>
        </w:rPr>
        <w:t xml:space="preserve"> refers to the people who lived nearby.</w:t>
      </w:r>
    </w:p>
    <w:p>
      <w:pPr>
        <w:pStyle w:val="Heading5"/>
      </w:pPr>
      <w:r>
        <w:rPr>
          <w:lang w:val="en_US" w:bidi="en_US"/>
        </w:rPr>
        <w:t>15:6b</w:t>
      </w:r>
    </w:p>
    <w:p>
      <w:pPr/>
      <w:r>
        <w:rPr>
          <w:lang w:val="en_US" w:bidi="en_US"/>
        </w:rPr>
      </w:r>
      <w:r>
        <w:rPr>
          <w:b/>
          <w:lang w:val="en_US" w:bidi="en_US"/>
        </w:rPr>
        <w:t>to tell them, ‘Rejoice with me, for I have found my lost sheep!’</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will say </w:t>
      </w:r>
      <w:r>
        <w:rPr>
          <w:lang w:val="en_US" w:bidi="en_US"/>
        </w:rPr>
        <w:t>to them</w:t>
      </w:r>
      <w:r>
        <w:rPr>
          <w:lang w:val="en_US" w:bidi="en_US"/>
        </w:rPr>
        <w:t xml:space="preserve">, ‘Come and be happy with me, </w:t>
      </w:r>
      <w:r>
        <w:rPr>
          <w:lang w:val="en_US" w:bidi="en_US"/>
        </w:rPr>
        <w:t>because</w:t>
      </w:r>
      <w:r>
        <w:rPr>
          <w:lang w:val="en_US" w:bidi="en_US"/>
        </w:rPr>
        <w:t xml:space="preserve"> I have found my sheep that strayed away!’</w:t>
      </w:r>
    </w:p>
    <w:p>
      <w:pPr>
        <w:pStyle w:val="ListBullet"/>
        <w:spacing w:line="240" w:lineRule="auto"/>
        <w:ind w:left="720"/>
      </w:pPr>
      <w:r>
        <w:rPr>
          <w:lang w:val="en_US" w:bidi="en_US"/>
        </w:rPr>
      </w:r>
      <w:r>
        <w:rPr>
          <w:lang w:val="en_US" w:bidi="en_US"/>
        </w:rPr>
        <w:t>saying, ‘Let’s</w:t>
      </w:r>
      <w:r>
        <w:rPr>
          <w:vertAlign w:val="superscript"/>
          <w:lang w:val="en_US" w:bidi="en_US"/>
        </w:rPr>
        <w:t>(incl)</w:t>
      </w:r>
      <w:r>
        <w:rPr>
          <w:lang w:val="en_US" w:bidi="en_US"/>
        </w:rPr>
        <w:t xml:space="preserve"> celebrate! I have found my missing sheep.’”</w:t>
      </w:r>
    </w:p>
    <w:p>
      <w:pPr/>
      <w:r>
        <w:rPr>
          <w:lang w:val="en_US" w:bidi="en_US"/>
        </w:rPr>
      </w:r>
      <w:r>
        <w:rPr>
          <w:b/>
          <w:lang w:val="en_US" w:bidi="en_US"/>
        </w:rPr>
        <w:t>to tell them, ‘Rejoice with me, for I have found my lost sheep!’:</w:t>
      </w:r>
      <w:r>
        <w:rPr>
          <w:lang w:val="en_US" w:bidi="en_US"/>
        </w:rPr>
        <w:t xml:space="preserve"> In some languages it may be more natural to use indirect speech and to say:</w:t>
      </w:r>
    </w:p>
    <w:p>
      <w:pPr/>
      <w:r>
        <w:rPr>
          <w:lang w:val="en_US" w:bidi="en_US"/>
        </w:rPr>
      </w:r>
      <w:r>
        <w:rPr>
          <w:lang w:val="en_US" w:bidi="en_US"/>
        </w:rPr>
        <w:t>…and he will invite them to rejoice with him, because he has found his missing sheep.</w:t>
      </w:r>
    </w:p>
    <w:p>
      <w:pPr/>
      <w:r>
        <w:rPr>
          <w:lang w:val="en_US" w:bidi="en_US"/>
        </w:rPr>
      </w:r>
      <w:r>
        <w:rPr>
          <w:b/>
          <w:lang w:val="en_US" w:bidi="en_US"/>
        </w:rPr>
        <w:t>to tell them:</w:t>
      </w:r>
      <w:r>
        <w:rPr>
          <w:lang w:val="en_US" w:bidi="en_US"/>
        </w:rPr>
        <w:t xml:space="preserve"> The Greek word that the BSB translates as </w:t>
      </w:r>
      <w:r>
        <w:rPr>
          <w:i/>
          <w:lang w:val="en_US" w:bidi="en_US"/>
        </w:rPr>
        <w:t>to tell them</w:t>
      </w:r>
      <w:r>
        <w:rPr>
          <w:lang w:val="en_US" w:bidi="en_US"/>
        </w:rPr>
        <w:t xml:space="preserve"> is literally “saying.” It introduces what the shepherd said to his friends and neighbors. He may have said this as his invitation to them or in addition to other words of invitation.</w:t>
      </w:r>
    </w:p>
    <w:p>
      <w:pPr/>
      <w:r>
        <w:rPr>
          <w:lang w:val="en_US" w:bidi="en_US"/>
        </w:rPr>
      </w:r>
      <w:r>
        <w:rPr>
          <w:b/>
          <w:lang w:val="en_US" w:bidi="en_US"/>
        </w:rPr>
        <w:t>Rejoice with me, for I have found my lost sheep!:</w:t>
      </w:r>
      <w:r>
        <w:rPr>
          <w:lang w:val="en_US" w:bidi="en_US"/>
        </w:rPr>
        <w:t xml:space="preserve"> The Greek text connects these two clauses with a conjunction that is often translated as “because.” The shepherd had found his sheep, and that was the reason why he wanted to rejoice:</w:t>
      </w:r>
    </w:p>
    <w:p>
      <w:pPr/>
      <w:r>
        <w:rPr>
          <w:lang w:val="en_US" w:bidi="en_US"/>
        </w:rPr>
      </w:r>
      <w:r>
        <w:rPr>
          <w:lang w:val="en_US" w:bidi="en_US"/>
        </w:rPr>
        <w:t>Rejoice with me for/because I have found my lost sheep.</w:t>
      </w:r>
    </w:p>
    <w:p>
      <w:pPr/>
      <w:r>
        <w:rPr>
          <w:lang w:val="en_US" w:bidi="en_US"/>
        </w:rPr>
      </w:r>
      <w:r>
        <w:rPr>
          <w:lang w:val="en_US" w:bidi="en_US"/>
        </w:rPr>
        <w:t>In some languages it may be necessary to reverse the order of the two clauses:</w:t>
      </w:r>
    </w:p>
    <w:p>
      <w:pPr/>
      <w:r>
        <w:rPr>
          <w:lang w:val="en_US" w:bidi="en_US"/>
        </w:rPr>
      </w:r>
      <w:r>
        <w:rPr>
          <w:lang w:val="en_US" w:bidi="en_US"/>
        </w:rPr>
        <w:t xml:space="preserve">I have found my lost sheep! </w:t>
      </w:r>
      <w:r>
        <w:rPr>
          <w:lang w:val="en_US" w:bidi="en_US"/>
        </w:rPr>
        <w:t>So come,</w:t>
      </w:r>
      <w:r>
        <w:rPr>
          <w:lang w:val="en_US" w:bidi="en_US"/>
        </w:rPr>
        <w:t xml:space="preserve"> rejoice with me!</w:t>
      </w:r>
    </w:p>
    <w:p>
      <w:pPr/>
      <w:r>
        <w:rPr>
          <w:lang w:val="en_US" w:bidi="en_US"/>
        </w:rPr>
      </w:r>
      <w:r>
        <w:rPr>
          <w:b/>
          <w:lang w:val="en_US" w:bidi="en_US"/>
        </w:rPr>
        <w:t>Rejoice with:</w:t>
      </w:r>
      <w:r>
        <w:rPr>
          <w:lang w:val="en_US" w:bidi="en_US"/>
        </w:rPr>
        <w:t xml:space="preserve"> The Greek word that the BSB translates as </w:t>
      </w:r>
      <w:r>
        <w:rPr>
          <w:i/>
          <w:lang w:val="en_US" w:bidi="en_US"/>
        </w:rPr>
        <w:t>Rejoice with</w:t>
      </w:r>
      <w:r>
        <w:rPr>
          <w:lang w:val="en_US" w:bidi="en_US"/>
        </w:rPr>
        <w:t xml:space="preserve"> means “be happy with” or “be glad with.”</w:t>
      </w:r>
      <w:r>
        <w:rPr>
          <w:lang w:val="en_US" w:bidi="en_US"/>
        </w:rPr>
      </w:r>
      <w:r>
        <w:rPr>
          <w:lang w:val="en_US" w:bidi="en_US"/>
        </w:rPr>
      </w:r>
    </w:p>
    <w:p>
      <w:pPr/>
      <w:r>
        <w:rPr>
          <w:lang w:val="en_US" w:bidi="en_US"/>
        </w:rPr>
      </w:r>
    </w:p>
    <w:p>
      <w:pPr>
        <w:pStyle w:val="Heading2"/>
      </w:pPr>
      <w:r>
        <w:rPr>
          <w:lang w:val="en_US" w:bidi="en_US"/>
        </w:rPr>
        <w:t>Luke 15:7</w:t>
      </w:r>
      <w:r>
        <w:rPr>
          <w:lang w:val="en_US" w:bidi="en_US"/>
        </w:rPr>
      </w:r>
    </w:p>
    <w:p>
      <w:pPr>
        <w:pStyle w:val="Heading4"/>
      </w:pPr>
      <w:r>
        <w:rPr>
          <w:lang w:val="en_US" w:bidi="en_US"/>
        </w:rPr>
        <w:t>Section 15:1–7: Jesus told a parable about a man looking for his lost sheep</w:t>
      </w:r>
    </w:p>
    <w:p>
      <w:pPr/>
      <w:r>
        <w:rPr>
          <w:lang w:val="en_US" w:bidi="en_US"/>
        </w:rPr>
      </w:r>
      <w:r>
        <w:rPr>
          <w:lang w:val="en_US" w:bidi="en_US"/>
        </w:rPr>
        <w:t>In Luke 15 Jesus welcomed sinful people, and many listened to him. However, the Pharisees criticized Jesus for welcoming people like that. Then Jesus told the three parables in this chapter. Each parable tells about something that was lost and the joy of the one who found it. The things that were lost represent sinful people. They need help to be restored to God. The parables illustrate that God feels great joy when even one sinful person repents and is restored to a good relationship with him. In the Notes each parable will be described in a separate section.</w:t>
      </w:r>
    </w:p>
    <w:p>
      <w:pPr/>
      <w:r>
        <w:rPr>
          <w:lang w:val="en_US" w:bidi="en_US"/>
        </w:rPr>
      </w:r>
      <w:r>
        <w:rPr>
          <w:lang w:val="en_US" w:bidi="en_US"/>
        </w:rPr>
        <w:t>The parable in this section is about a sheep that went away from its shepherd. The sheep did not know how to find the shepherd again. When the shepherd noticed that this one sheep was missing, he searched for it diligently until he found it. He then invited his friends and neighbors to rejoice with him that he had found the lost sheep. Another heading for this section is:</w:t>
      </w:r>
    </w:p>
    <w:p>
      <w:pPr/>
      <w:r>
        <w:rPr>
          <w:lang w:val="en_US" w:bidi="en_US"/>
        </w:rPr>
      </w:r>
      <w:r>
        <w:rPr>
          <w:lang w:val="en_US" w:bidi="en_US"/>
        </w:rPr>
        <w:t>The Lost Sheep (GW)</w:t>
      </w:r>
    </w:p>
    <w:p>
      <w:pPr/>
      <w:r>
        <w:rPr>
          <w:lang w:val="en_US" w:bidi="en_US"/>
        </w:rPr>
      </w:r>
      <w:r>
        <w:rPr>
          <w:lang w:val="en_US" w:bidi="en_US"/>
        </w:rPr>
        <w:t>A shepherd was happy to find his lost sheep</w:t>
      </w:r>
    </w:p>
    <w:p>
      <w:pPr/>
      <w:r>
        <w:rPr>
          <w:lang w:val="en_US" w:bidi="en_US"/>
        </w:rPr>
      </w:r>
      <w:r>
        <w:rPr>
          <w:lang w:val="en_US" w:bidi="en_US"/>
        </w:rPr>
        <w:t>There is a parallel passage for this section in Matthew 18:12–14. However, the context and some of the details are different.</w:t>
      </w:r>
    </w:p>
    <w:p>
      <w:pPr>
        <w:pStyle w:val="Heading5"/>
      </w:pPr>
      <w:r>
        <w:rPr>
          <w:lang w:val="en_US" w:bidi="en_US"/>
        </w:rPr>
        <w:t>15:7</w:t>
      </w:r>
    </w:p>
    <w:p>
      <w:pPr/>
      <w:r>
        <w:rPr>
          <w:lang w:val="en_US" w:bidi="en_US"/>
        </w:rPr>
      </w:r>
      <w:r>
        <w:rPr>
          <w:lang w:val="en_US" w:bidi="en_US"/>
        </w:rPr>
        <w:t>In 15:6 the parable ended with the shepherd’s words. In 15:7 Jesus concluded the parable and showed how it applied to his listeners. If this is not clear in your language, you may want to supply a separate quote introduction. For example:</w:t>
      </w:r>
    </w:p>
    <w:p>
      <w:pPr/>
      <w:r>
        <w:rPr>
          <w:lang w:val="en_US" w:bidi="en_US"/>
        </w:rPr>
      </w:r>
      <w:r>
        <w:rPr>
          <w:lang w:val="en_US" w:bidi="en_US"/>
        </w:rPr>
        <w:t>Jesus concluded</w:t>
      </w:r>
    </w:p>
    <w:p>
      <w:pPr/>
      <w:r>
        <w:rPr>
          <w:lang w:val="en_US" w:bidi="en_US"/>
        </w:rPr>
      </w:r>
      <w:r>
        <w:rPr>
          <w:lang w:val="en_US" w:bidi="en_US"/>
        </w:rPr>
        <w:t>See the note on “in the same way” in 15:7a for more information.</w:t>
      </w:r>
    </w:p>
    <w:p>
      <w:pPr>
        <w:pStyle w:val="Heading5"/>
      </w:pPr>
      <w:r>
        <w:rPr>
          <w:lang w:val="en_US" w:bidi="en_US"/>
        </w:rPr>
        <w:t>15:7a</w:t>
      </w:r>
    </w:p>
    <w:p>
      <w:pPr/>
      <w:r>
        <w:rPr>
          <w:lang w:val="en_US" w:bidi="en_US"/>
        </w:rPr>
      </w:r>
      <w:r>
        <w:rPr>
          <w:b/>
          <w:lang w:val="en_US" w:bidi="en_US"/>
        </w:rPr>
        <w:t>In the same way, I tell you that</w:t>
      </w:r>
    </w:p>
    <w:p>
      <w:pPr>
        <w:pStyle w:val="ListBullet"/>
        <w:spacing w:line="240" w:lineRule="auto"/>
        <w:ind w:left="720"/>
      </w:pPr>
      <w:r>
        <w:rPr>
          <w:lang w:val="en_US" w:bidi="en_US"/>
        </w:rPr>
      </w:r>
      <w:r>
        <w:rPr>
          <w:lang w:val="en_US" w:bidi="en_US"/>
        </w:rPr>
        <w:t>And I tell you</w:t>
      </w:r>
      <w:r>
        <w:rPr>
          <w:vertAlign w:val="superscript"/>
          <w:lang w:val="en_US" w:bidi="en_US"/>
        </w:rPr>
        <w:t>(plur)</w:t>
      </w:r>
      <w:r>
        <w:rPr>
          <w:lang w:val="en_US" w:bidi="en_US"/>
        </w:rPr>
        <w:t xml:space="preserve"> this: it is the same </w:t>
      </w:r>
      <w:r>
        <w:rPr>
          <w:lang w:val="en_US" w:bidi="en_US"/>
        </w:rPr>
        <w:t>when a sinner repents</w:t>
      </w:r>
      <w:r>
        <w:rPr>
          <w:lang w:val="en_US" w:bidi="en_US"/>
        </w:rPr>
        <w:t>.</w:t>
      </w:r>
    </w:p>
    <w:p>
      <w:pPr>
        <w:pStyle w:val="ListBullet"/>
        <w:spacing w:line="240" w:lineRule="auto"/>
        <w:ind w:left="720"/>
      </w:pPr>
      <w:r>
        <w:rPr>
          <w:lang w:val="en_US" w:bidi="en_US"/>
        </w:rPr>
      </w:r>
      <w:r>
        <w:rPr>
          <w:lang w:val="en_US" w:bidi="en_US"/>
        </w:rPr>
        <w:t>Jesus concluded:</w:t>
      </w:r>
      <w:r>
        <w:rPr>
          <w:lang w:val="en_US" w:bidi="en_US"/>
        </w:rPr>
        <w:t xml:space="preserve"> “I assure you</w:t>
      </w:r>
      <w:r>
        <w:rPr>
          <w:vertAlign w:val="superscript"/>
          <w:lang w:val="en_US" w:bidi="en_US"/>
        </w:rPr>
        <w:t>(plur)</w:t>
      </w:r>
      <w:r>
        <w:rPr>
          <w:lang w:val="en_US" w:bidi="en_US"/>
        </w:rPr>
        <w:t xml:space="preserve"> that just like </w:t>
      </w:r>
      <w:r>
        <w:rPr>
          <w:lang w:val="en_US" w:bidi="en_US"/>
        </w:rPr>
        <w:t>the shepherd in that story</w:t>
      </w:r>
      <w:r>
        <w:rPr>
          <w:lang w:val="en_US" w:bidi="en_US"/>
        </w:rPr>
        <w:t>,</w:t>
      </w:r>
    </w:p>
    <w:p>
      <w:pPr/>
      <w:r>
        <w:rPr>
          <w:lang w:val="en_US" w:bidi="en_US"/>
        </w:rPr>
      </w:r>
      <w:r>
        <w:rPr>
          <w:b/>
          <w:lang w:val="en_US" w:bidi="en_US"/>
        </w:rPr>
        <w:t>In the same way:</w:t>
      </w:r>
      <w:r>
        <w:rPr>
          <w:lang w:val="en_US" w:bidi="en_US"/>
        </w:rPr>
        <w:t xml:space="preserve"> The Greek word that the BSB translates as </w:t>
      </w:r>
      <w:r>
        <w:rPr>
          <w:i/>
          <w:lang w:val="en_US" w:bidi="en_US"/>
        </w:rPr>
        <w:t>In the same way</w:t>
      </w:r>
      <w:r>
        <w:rPr>
          <w:lang w:val="en_US" w:bidi="en_US"/>
        </w:rPr>
        <w:t xml:space="preserve"> here introduces the important truth that the parable illustrated. A shepherd cares about a sheep that is lost, and he searches for it until he finds it. Then he celebrates. In the same way, God cares about each sinful person, and he celebrates when any sinful person repents.</w:t>
      </w:r>
    </w:p>
    <w:p>
      <w:pPr/>
      <w:r>
        <w:rPr>
          <w:lang w:val="en_US" w:bidi="en_US"/>
        </w:rPr>
      </w:r>
      <w:r>
        <w:rPr>
          <w:lang w:val="en_US" w:bidi="en_US"/>
        </w:rPr>
        <w:t>A sinner is like a lost sheep because he has stopped following (obeying) God, just as the sheep left the shepherd and became lost. God is happy when each sinner repents and turns to him.</w:t>
      </w:r>
    </w:p>
    <w:p>
      <w:pPr/>
      <w:r>
        <w:rPr>
          <w:lang w:val="en_US" w:bidi="en_US"/>
        </w:rPr>
      </w:r>
      <w:r>
        <w:rPr>
          <w:b/>
          <w:lang w:val="en_US" w:bidi="en_US"/>
        </w:rPr>
        <w:t>I tell you:</w:t>
      </w:r>
      <w:r>
        <w:rPr>
          <w:lang w:val="en_US" w:bidi="en_US"/>
        </w:rPr>
        <w:t xml:space="preserve"> Jesus often used the words </w:t>
      </w:r>
      <w:r>
        <w:rPr>
          <w:i/>
          <w:lang w:val="en_US" w:bidi="en_US"/>
        </w:rPr>
        <w:t>I tell you</w:t>
      </w:r>
      <w:r>
        <w:rPr>
          <w:lang w:val="en_US" w:bidi="en_US"/>
        </w:rPr>
        <w:t xml:space="preserve"> to begin a statement that he wanted to emphasize. He was asking people to listen with extra attention. Some ways to show this emphasis could be:</w:t>
      </w:r>
    </w:p>
    <w:p>
      <w:pPr>
        <w:pStyle w:val="ListBullet"/>
        <w:spacing w:line="240" w:lineRule="auto"/>
        <w:ind w:left="720"/>
      </w:pPr>
      <w:r>
        <w:rPr>
          <w:lang w:val="en_US" w:bidi="en_US"/>
        </w:rPr>
      </w:r>
      <w:r>
        <w:rPr>
          <w:lang w:val="en_US" w:bidi="en_US"/>
        </w:rPr>
        <w:t>As a phrase before Jesus’ statement. For example:</w:t>
      </w:r>
      <w:r>
        <w:rPr>
          <w:lang w:val="en_US" w:bidi="en_US"/>
        </w:rPr>
        <w:t>Let me tell you this</w:t>
      </w:r>
      <w:r>
        <w:rPr>
          <w:lang w:val="en_US" w:bidi="en_US"/>
        </w:rPr>
        <w:t>Listen</w:t>
      </w:r>
      <w:r>
        <w:rPr>
          <w:lang w:val="en_US" w:bidi="en_US"/>
        </w:rPr>
        <w:t>I assure you</w:t>
      </w:r>
    </w:p>
    <w:p>
      <w:pPr>
        <w:pStyle w:val="ListBullet"/>
        <w:spacing w:line="240" w:lineRule="auto"/>
        <w:ind w:left="720"/>
      </w:pPr>
      <w:r>
        <w:rPr>
          <w:lang w:val="en_US" w:bidi="en_US"/>
        </w:rPr>
      </w:r>
      <w:r>
        <w:rPr>
          <w:lang w:val="en_US" w:bidi="en_US"/>
        </w:rPr>
        <w:t>As an emphatic word within Jesus’ statement. For example:</w:t>
      </w:r>
      <w:r>
        <w:rPr>
          <w:lang w:val="en_US" w:bidi="en_US"/>
        </w:rPr>
        <w:t xml:space="preserve">In the same way there will </w:t>
      </w:r>
      <w:r>
        <w:rPr>
          <w:u w:val="single"/>
          <w:lang w:val="en_US" w:bidi="en_US"/>
        </w:rPr>
        <w:t>certainly</w:t>
      </w:r>
      <w:r>
        <w:rPr>
          <w:lang w:val="en_US" w:bidi="en_US"/>
        </w:rPr>
        <w:t xml:space="preserve"> be more rejoicing in heaven over one sinner…</w:t>
      </w:r>
    </w:p>
    <w:p>
      <w:pPr/>
      <w:r>
        <w:rPr>
          <w:lang w:val="en_US" w:bidi="en_US"/>
        </w:rPr>
      </w:r>
      <w:r>
        <w:rPr>
          <w:lang w:val="en_US" w:bidi="en_US"/>
        </w:rPr>
        <w:t>If you have another way in your language to emphasize a statement or to alert people to listen with special attention, consider using it here. See how you translated this expression in 10:12.</w:t>
      </w:r>
    </w:p>
    <w:p>
      <w:pPr>
        <w:pStyle w:val="Heading5"/>
      </w:pPr>
      <w:r>
        <w:rPr>
          <w:lang w:val="en_US" w:bidi="en_US"/>
        </w:rPr>
        <w:t>15:7b–c</w:t>
      </w:r>
    </w:p>
    <w:p>
      <w:pPr/>
      <w:r>
        <w:rPr>
          <w:lang w:val="en_US" w:bidi="en_US"/>
        </w:rPr>
      </w:r>
      <w:r>
        <w:rPr>
          <w:b/>
          <w:lang w:val="en_US" w:bidi="en_US"/>
        </w:rPr>
        <w:t>there will be more joy in heaven over one sinner who repents than over ninety-nine righteous ones:</w:t>
      </w:r>
      <w:r>
        <w:rPr>
          <w:lang w:val="en_US" w:bidi="en_US"/>
        </w:rPr>
        <w:t xml:space="preserve"> These two verse parts are a comparison. Jesus said that God and his angels rejoice very much when a sinner repents. They are even happier about this than they are about all the righteous people who do not need to repent. In languages that do not use comparisons in this way, you may be able to reorder the verse parts and translate the comparison like this:</w:t>
      </w:r>
    </w:p>
    <w:p>
      <w:pPr/>
      <w:r>
        <w:rPr>
          <w:lang w:val="en_US" w:bidi="en_US"/>
        </w:rPr>
      </w:r>
      <w:r>
        <w:rPr>
          <w:vertAlign w:val="superscript"/>
          <w:lang w:val="en_US" w:bidi="en_US"/>
        </w:rPr>
        <w:t>7c</w:t>
      </w:r>
      <w:r>
        <w:rPr>
          <w:lang w:val="en_US" w:bidi="en_US"/>
        </w:rPr>
        <w:t xml:space="preserve">There is already rejoicing in heaven over ninety-nine righteous people who do not need to repent. </w:t>
      </w:r>
      <w:r>
        <w:rPr>
          <w:vertAlign w:val="superscript"/>
          <w:lang w:val="en_US" w:bidi="en_US"/>
        </w:rPr>
        <w:t>7b</w:t>
      </w:r>
      <w:r>
        <w:rPr>
          <w:lang w:val="en_US" w:bidi="en_US"/>
        </w:rPr>
        <w:t>But there will be great rejoicing over one sinner who repents.</w:t>
      </w:r>
    </w:p>
    <w:p>
      <w:pPr>
        <w:pStyle w:val="Heading5"/>
      </w:pPr>
      <w:r>
        <w:rPr>
          <w:lang w:val="en_US" w:bidi="en_US"/>
        </w:rPr>
        <w:t>15:7b</w:t>
      </w:r>
    </w:p>
    <w:p>
      <w:pPr/>
      <w:r>
        <w:rPr>
          <w:lang w:val="en_US" w:bidi="en_US"/>
        </w:rPr>
      </w:r>
      <w:r>
        <w:rPr>
          <w:b/>
          <w:lang w:val="en_US" w:bidi="en_US"/>
        </w:rPr>
        <w:t>there will be more joy in heaven over one sinner who repents</w:t>
      </w:r>
    </w:p>
    <w:p>
      <w:pPr>
        <w:pStyle w:val="ListBullet"/>
        <w:spacing w:line="240" w:lineRule="auto"/>
        <w:ind w:left="720"/>
      </w:pPr>
      <w:r>
        <w:rPr>
          <w:lang w:val="en_US" w:bidi="en_US"/>
        </w:rPr>
      </w:r>
      <w:r>
        <w:rPr>
          <w:lang w:val="en_US" w:bidi="en_US"/>
        </w:rPr>
        <w:t>Those in heaven will be very happy. They will be happier about the one sinner who repents</w:t>
      </w:r>
    </w:p>
    <w:p>
      <w:pPr>
        <w:pStyle w:val="ListBullet"/>
        <w:spacing w:line="240" w:lineRule="auto"/>
        <w:ind w:left="720"/>
      </w:pPr>
      <w:r>
        <w:rPr>
          <w:lang w:val="en_US" w:bidi="en_US"/>
        </w:rPr>
      </w:r>
      <w:r>
        <w:rPr>
          <w:lang w:val="en_US" w:bidi="en_US"/>
        </w:rPr>
        <w:t>God and his angels will have greater joy/happiness because of one sinner who turns away from his sins</w:t>
      </w:r>
    </w:p>
    <w:p>
      <w:pPr/>
      <w:r>
        <w:rPr>
          <w:lang w:val="en_US" w:bidi="en_US"/>
        </w:rPr>
      </w:r>
      <w:r>
        <w:rPr>
          <w:b/>
          <w:lang w:val="en_US" w:bidi="en_US"/>
        </w:rPr>
        <w:t>there will be more joy in heaven:</w:t>
      </w:r>
      <w:r>
        <w:rPr>
          <w:lang w:val="en_US" w:bidi="en_US"/>
        </w:rPr>
        <w:t xml:space="preserve"> The Greek phrase that the BSB translates as </w:t>
      </w:r>
      <w:r>
        <w:rPr>
          <w:i/>
          <w:lang w:val="en_US" w:bidi="en_US"/>
        </w:rPr>
        <w:t>joy in heaven</w:t>
      </w:r>
      <w:r>
        <w:rPr>
          <w:lang w:val="en_US" w:bidi="en_US"/>
        </w:rPr>
        <w:t xml:space="preserve"> refers primarily to God, but it also includes the angels, who are with him in heaven. It indicates here that God and those in heaven with him will be very happy. In some languages you may need to make the meaning more explicit. For example:</w:t>
      </w:r>
    </w:p>
    <w:p>
      <w:pPr/>
      <w:r>
        <w:rPr>
          <w:lang w:val="en_US" w:bidi="en_US"/>
        </w:rPr>
      </w:r>
      <w:r>
        <w:rPr>
          <w:lang w:val="en_US" w:bidi="en_US"/>
        </w:rPr>
        <w:t>those in heaven will be happier</w:t>
      </w:r>
    </w:p>
    <w:p>
      <w:pPr/>
      <w:r>
        <w:rPr>
          <w:lang w:val="en_US" w:bidi="en_US"/>
        </w:rPr>
      </w:r>
      <w:r>
        <w:rPr>
          <w:lang w:val="en_US" w:bidi="en_US"/>
        </w:rPr>
        <w:t>God and his angels in heaven will rejoice greatly</w:t>
      </w:r>
    </w:p>
    <w:p>
      <w:pPr/>
      <w:r>
        <w:rPr>
          <w:lang w:val="en_US" w:bidi="en_US"/>
        </w:rPr>
      </w:r>
      <w:r>
        <w:rPr>
          <w:lang w:val="en_US" w:bidi="en_US"/>
        </w:rPr>
        <w:t>See heaven, Meaning 2, in the Glossary.</w:t>
      </w:r>
    </w:p>
    <w:p>
      <w:pPr/>
      <w:r>
        <w:rPr>
          <w:lang w:val="en_US" w:bidi="en_US"/>
        </w:rPr>
      </w:r>
      <w:r>
        <w:rPr>
          <w:b/>
          <w:lang w:val="en_US" w:bidi="en_US"/>
        </w:rPr>
        <w:t>repents:</w:t>
      </w:r>
      <w:r>
        <w:rPr>
          <w:lang w:val="en_US" w:bidi="en_US"/>
        </w:rPr>
        <w:t xml:space="preserve"> The Greek word that the BSB translates as </w:t>
      </w:r>
      <w:r>
        <w:rPr>
          <w:i/>
          <w:lang w:val="en_US" w:bidi="en_US"/>
        </w:rPr>
        <w:t>repents</w:t>
      </w:r>
      <w:r>
        <w:rPr>
          <w:lang w:val="en_US" w:bidi="en_US"/>
        </w:rPr>
        <w:t xml:space="preserve"> means that a person “changes his mind, heart, or will.” In the Bible, it refers specifically to a person’s changing his mind and heart about sin and about God. When a person repents, he is sorry for his past sins. He decides to stop sinning and obey God.</w:t>
      </w:r>
    </w:p>
    <w:p>
      <w:pPr/>
      <w:r>
        <w:rPr>
          <w:lang w:val="en_US" w:bidi="en_US"/>
        </w:rPr>
      </w:r>
      <w:r>
        <w:rPr>
          <w:lang w:val="en_US" w:bidi="en_US"/>
        </w:rPr>
        <w:t xml:space="preserve">Some ways to translate </w:t>
      </w:r>
      <w:r>
        <w:rPr>
          <w:i/>
          <w:lang w:val="en_US" w:bidi="en_US"/>
        </w:rPr>
        <w:t>repents</w:t>
      </w:r>
      <w:r>
        <w:rPr>
          <w:lang w:val="en_US" w:bidi="en_US"/>
        </w:rPr>
        <w:t xml:space="preserve"> in this context are:</w:t>
      </w:r>
    </w:p>
    <w:p>
      <w:pPr/>
      <w:r>
        <w:rPr>
          <w:lang w:val="en_US" w:bidi="en_US"/>
        </w:rPr>
      </w:r>
      <w:r>
        <w:rPr>
          <w:lang w:val="en_US" w:bidi="en_US"/>
        </w:rPr>
        <w:t>changes his thinking/mind/heart</w:t>
      </w:r>
    </w:p>
    <w:p>
      <w:pPr/>
      <w:r>
        <w:rPr>
          <w:lang w:val="en_US" w:bidi="en_US"/>
        </w:rPr>
      </w:r>
      <w:r>
        <w:rPr>
          <w:lang w:val="en_US" w:bidi="en_US"/>
        </w:rPr>
        <w:t>rejects his sins</w:t>
      </w:r>
    </w:p>
    <w:p>
      <w:pPr/>
      <w:r>
        <w:rPr>
          <w:lang w:val="en_US" w:bidi="en_US"/>
        </w:rPr>
      </w:r>
      <w:r>
        <w:rPr>
          <w:lang w:val="en_US" w:bidi="en_US"/>
        </w:rPr>
        <w:t>In some languages, you may have an idiom for this type of change. For example:</w:t>
      </w:r>
    </w:p>
    <w:p>
      <w:pPr/>
      <w:r>
        <w:rPr>
          <w:lang w:val="en_US" w:bidi="en_US"/>
        </w:rPr>
      </w:r>
      <w:r>
        <w:rPr>
          <w:lang w:val="en_US" w:bidi="en_US"/>
        </w:rPr>
        <w:t>turns from sin to God</w:t>
      </w:r>
    </w:p>
    <w:p>
      <w:pPr/>
      <w:r>
        <w:rPr>
          <w:lang w:val="en_US" w:bidi="en_US"/>
        </w:rPr>
      </w:r>
      <w:r>
        <w:rPr>
          <w:lang w:val="en_US" w:bidi="en_US"/>
        </w:rPr>
        <w:t>leaves his sinning behind</w:t>
      </w:r>
    </w:p>
    <w:p>
      <w:pPr/>
      <w:r>
        <w:rPr>
          <w:lang w:val="en_US" w:bidi="en_US"/>
        </w:rPr>
      </w:r>
      <w:r>
        <w:rPr>
          <w:lang w:val="en_US" w:bidi="en_US"/>
        </w:rPr>
        <w:t xml:space="preserve">The word </w:t>
      </w:r>
      <w:r>
        <w:rPr>
          <w:i/>
          <w:lang w:val="en_US" w:bidi="en_US"/>
        </w:rPr>
        <w:t>repent</w:t>
      </w:r>
      <w:r>
        <w:rPr>
          <w:lang w:val="en_US" w:bidi="en_US"/>
        </w:rPr>
        <w:t xml:space="preserve"> also occurs in 13:3b.</w:t>
      </w:r>
    </w:p>
    <w:p>
      <w:pPr>
        <w:pStyle w:val="Heading5"/>
      </w:pPr>
      <w:r>
        <w:rPr>
          <w:lang w:val="en_US" w:bidi="en_US"/>
        </w:rPr>
        <w:t>15:7c</w:t>
      </w:r>
    </w:p>
    <w:p>
      <w:pPr/>
      <w:r>
        <w:rPr>
          <w:lang w:val="en_US" w:bidi="en_US"/>
        </w:rPr>
      </w:r>
      <w:r>
        <w:rPr>
          <w:b/>
          <w:lang w:val="en_US" w:bidi="en_US"/>
        </w:rPr>
        <w:t>than over ninety-nine righteous ones who do not need to repent.</w:t>
      </w:r>
    </w:p>
    <w:p>
      <w:pPr>
        <w:pStyle w:val="ListBullet"/>
        <w:spacing w:line="240" w:lineRule="auto"/>
        <w:ind w:left="720"/>
      </w:pPr>
      <w:r>
        <w:rPr>
          <w:lang w:val="en_US" w:bidi="en_US"/>
        </w:rPr>
      </w:r>
      <w:r>
        <w:rPr>
          <w:lang w:val="en_US" w:bidi="en_US"/>
        </w:rPr>
        <w:t>than about the ninety-nine people who are righteous/upright and do not need to repent.”</w:t>
      </w:r>
    </w:p>
    <w:p>
      <w:pPr>
        <w:pStyle w:val="ListBullet"/>
        <w:spacing w:line="240" w:lineRule="auto"/>
        <w:ind w:left="720"/>
      </w:pPr>
      <w:r>
        <w:rPr>
          <w:lang w:val="en_US" w:bidi="en_US"/>
        </w:rPr>
      </w:r>
      <w:r>
        <w:rPr>
          <w:lang w:val="en_US" w:bidi="en_US"/>
        </w:rPr>
        <w:t>than because of ninety-nine good/respectable people who do not need to turn away from any sins.”</w:t>
      </w:r>
    </w:p>
    <w:p>
      <w:pPr/>
      <w:r>
        <w:rPr>
          <w:lang w:val="en_US" w:bidi="en_US"/>
        </w:rPr>
      </w:r>
      <w:r>
        <w:rPr>
          <w:b/>
          <w:lang w:val="en_US" w:bidi="en_US"/>
        </w:rPr>
        <w:t>righteous ones who do not need to repent:</w:t>
      </w:r>
      <w:r>
        <w:rPr>
          <w:lang w:val="en_US" w:bidi="en_US"/>
        </w:rPr>
        <w:t xml:space="preserve"> The Greek word that the BSB translates as </w:t>
      </w:r>
      <w:r>
        <w:rPr>
          <w:i/>
          <w:lang w:val="en_US" w:bidi="en_US"/>
        </w:rPr>
        <w:t>righteous ones</w:t>
      </w:r>
      <w:r>
        <w:rPr>
          <w:lang w:val="en_US" w:bidi="en_US"/>
        </w:rPr>
        <w:t xml:space="preserve"> refers to people who live according to God’s standards.</w:t>
      </w:r>
    </w:p>
    <w:p>
      <w:pPr/>
      <w:r>
        <w:rPr>
          <w:lang w:val="en_US" w:bidi="en_US"/>
        </w:rPr>
      </w:r>
      <w:r>
        <w:rPr>
          <w:lang w:val="en_US" w:bidi="en_US"/>
        </w:rPr>
        <w:t>Jesus may have referred here to people who wrongly think that they are righteous. According to their thinking, they do not need to repent. However, Jesus may have referred to people who had already repented and so God considered them to be righteous. In some languages it may be helpful to add a footnote that gives these two options.</w:t>
      </w:r>
    </w:p>
    <w:p>
      <w:pPr/>
      <w:r>
        <w:rPr>
          <w:lang w:val="en_US" w:bidi="en_US"/>
        </w:rPr>
      </w:r>
      <w:r>
        <w:rPr>
          <w:lang w:val="en_US" w:bidi="en_US"/>
        </w:rPr>
        <w:t>See the note on “the righteous” at 5:32a, where the context is similar.</w:t>
      </w:r>
    </w:p>
    <w:p>
      <w:pPr/>
      <w:r>
        <w:rPr>
          <w:lang w:val="en_US" w:bidi="en_US"/>
        </w:rPr>
      </w:r>
      <w:r>
        <w:rPr>
          <w:lang w:val="en_US" w:bidi="en_US"/>
        </w:rPr>
        <w:t xml:space="preserve">Some ways to translate the word </w:t>
      </w:r>
      <w:r>
        <w:rPr>
          <w:i/>
          <w:lang w:val="en_US" w:bidi="en_US"/>
        </w:rPr>
        <w:t>righteous</w:t>
      </w:r>
      <w:r>
        <w:rPr>
          <w:lang w:val="en_US" w:bidi="en_US"/>
        </w:rPr>
        <w:t xml:space="preserve"> are:</w:t>
      </w:r>
    </w:p>
    <w:p>
      <w:pPr/>
      <w:r>
        <w:rPr>
          <w:lang w:val="en_US" w:bidi="en_US"/>
        </w:rPr>
      </w:r>
      <w:r>
        <w:rPr>
          <w:lang w:val="en_US" w:bidi="en_US"/>
        </w:rPr>
        <w:t>those who obey God’s law</w:t>
      </w:r>
    </w:p>
    <w:p>
      <w:pPr/>
      <w:r>
        <w:rPr>
          <w:lang w:val="en_US" w:bidi="en_US"/>
        </w:rPr>
      </w:r>
      <w:r>
        <w:rPr>
          <w:lang w:val="en_US" w:bidi="en_US"/>
        </w:rPr>
        <w:t>those who do what is right</w:t>
      </w:r>
    </w:p>
    <w:p>
      <w:pPr/>
      <w:r>
        <w:rPr>
          <w:lang w:val="en_US" w:bidi="en_US"/>
        </w:rPr>
      </w:r>
      <w:r>
        <w:rPr>
          <w:lang w:val="en_US" w:bidi="en_US"/>
        </w:rPr>
        <w:t>In some languages people use an idiom to express this meaning. For example:</w:t>
      </w:r>
    </w:p>
    <w:p>
      <w:pPr/>
      <w:r>
        <w:rPr>
          <w:lang w:val="en_US" w:bidi="en_US"/>
        </w:rPr>
      </w:r>
      <w:r>
        <w:rPr>
          <w:lang w:val="en_US" w:bidi="en_US"/>
        </w:rPr>
        <w:t>those who follow a straight path</w:t>
      </w:r>
    </w:p>
    <w:p>
      <w:pPr/>
      <w:r>
        <w:rPr>
          <w:lang w:val="en_US" w:bidi="en_US"/>
        </w:rPr>
      </w:r>
      <w:r>
        <w:rPr>
          <w:lang w:val="en_US" w:bidi="en_US"/>
        </w:rPr>
        <w:t>upright people</w:t>
      </w:r>
      <w:r>
        <w:rPr>
          <w:lang w:val="en_US" w:bidi="en_US"/>
        </w:rPr>
      </w:r>
      <w:r>
        <w:rPr>
          <w:lang w:val="en_US" w:bidi="en_US"/>
        </w:rPr>
      </w:r>
    </w:p>
    <w:p>
      <w:pPr/>
      <w:r>
        <w:rPr>
          <w:lang w:val="en_US" w:bidi="en_US"/>
        </w:rPr>
      </w:r>
    </w:p>
    <w:p>
      <w:pPr>
        <w:pStyle w:val="Heading2"/>
      </w:pPr>
      <w:r>
        <w:rPr>
          <w:lang w:val="en_US" w:bidi="en_US"/>
        </w:rPr>
        <w:t>Luke 15:8</w:t>
      </w:r>
      <w:r>
        <w:rPr>
          <w:lang w:val="en_US" w:bidi="en_US"/>
        </w:rPr>
      </w:r>
    </w:p>
    <w:p>
      <w:pPr>
        <w:pStyle w:val="Heading4"/>
      </w:pPr>
      <w:r>
        <w:rPr>
          <w:lang w:val="en_US" w:bidi="en_US"/>
        </w:rPr>
        <w:t>Section 15:8–10: Jesus told a parable about a woman looking for her lost coin</w:t>
      </w:r>
    </w:p>
    <w:p>
      <w:pPr/>
      <w:r>
        <w:rPr>
          <w:lang w:val="en_US" w:bidi="en_US"/>
        </w:rPr>
      </w:r>
      <w:r>
        <w:rPr>
          <w:lang w:val="en_US" w:bidi="en_US"/>
        </w:rPr>
        <w:t>The parable about the lost coin in 15:8–10 is similar to the parable in the last section about the lost sheep. It has a similar theme, and it contains some similar words and phrases. You should translate these words and phrases in similar ways, if possible. In this parable a woman searched diligently for a lost coin until she found it. She then invited her friends and neighbors to rejoice with her that she had found the coin.</w:t>
      </w:r>
    </w:p>
    <w:p>
      <w:pPr/>
      <w:r>
        <w:rPr>
          <w:lang w:val="en_US" w:bidi="en_US"/>
        </w:rPr>
      </w:r>
      <w:r>
        <w:rPr>
          <w:lang w:val="en_US" w:bidi="en_US"/>
        </w:rPr>
        <w:t>Some other headings for this section are:</w:t>
      </w:r>
    </w:p>
    <w:p>
      <w:pPr/>
      <w:r>
        <w:rPr>
          <w:lang w:val="en_US" w:bidi="en_US"/>
        </w:rPr>
      </w:r>
      <w:r>
        <w:rPr>
          <w:lang w:val="en_US" w:bidi="en_US"/>
        </w:rPr>
        <w:t>The Lost Coin (GNT)</w:t>
      </w:r>
    </w:p>
    <w:p>
      <w:pPr/>
      <w:r>
        <w:rPr>
          <w:lang w:val="en_US" w:bidi="en_US"/>
        </w:rPr>
      </w:r>
      <w:r>
        <w:rPr>
          <w:lang w:val="en_US" w:bidi="en_US"/>
        </w:rPr>
        <w:t>A woman was happy to find a lost coin</w:t>
      </w:r>
    </w:p>
    <w:p>
      <w:pPr>
        <w:pStyle w:val="Heading5"/>
      </w:pPr>
      <w:r>
        <w:rPr>
          <w:lang w:val="en_US" w:bidi="en_US"/>
        </w:rPr>
        <w:t>15:8a–d</w:t>
      </w:r>
    </w:p>
    <w:p>
      <w:pPr/>
      <w:r>
        <w:rPr>
          <w:lang w:val="en_US" w:bidi="en_US"/>
        </w:rPr>
      </w:r>
      <w:r>
        <w:rPr>
          <w:b/>
          <w:lang w:val="en_US" w:bidi="en_US"/>
        </w:rPr>
        <w:t>Or what woman who has ten silver coins and loses one of them does not light a lamp, sweep her house, and search carefully until she finds it?:</w:t>
      </w:r>
      <w:r>
        <w:rPr>
          <w:lang w:val="en_US" w:bidi="en_US"/>
        </w:rPr>
        <w:t xml:space="preserve"> Jesus used this rhetorical question to emphasize what a woman would do if she lost a valuable coin. She would certainly search carefully for the coin until she found it.</w:t>
      </w:r>
    </w:p>
    <w:p>
      <w:pPr/>
      <w:r>
        <w:rPr>
          <w:lang w:val="en_US" w:bidi="en_US"/>
        </w:rPr>
      </w:r>
      <w:r>
        <w:rPr>
          <w:lang w:val="en_US" w:bidi="en_US"/>
        </w:rPr>
        <w:t>Here are some other ways to translate this verse.</w:t>
      </w:r>
    </w:p>
    <w:p>
      <w:pPr>
        <w:pStyle w:val="ListBullet"/>
        <w:spacing w:line="240" w:lineRule="auto"/>
        <w:ind w:left="720"/>
      </w:pPr>
      <w:r>
        <w:rPr>
          <w:lang w:val="en_US" w:bidi="en_US"/>
        </w:rPr>
      </w:r>
      <w:r>
        <w:rPr>
          <w:lang w:val="en_US" w:bidi="en_US"/>
        </w:rPr>
        <w:t>As an introductory statement and a shorter rhetorical question. For example: Or suppose a woman has ten silver coins and loses one. Doesn’t she light a lamp, sweep the house and search carefully until she finds it? (NIV)</w:t>
      </w:r>
    </w:p>
    <w:p>
      <w:pPr>
        <w:pStyle w:val="ListBullet"/>
        <w:spacing w:line="240" w:lineRule="auto"/>
        <w:ind w:left="720"/>
      </w:pPr>
      <w:r>
        <w:rPr>
          <w:lang w:val="en_US" w:bidi="en_US"/>
        </w:rPr>
      </w:r>
      <w:r>
        <w:rPr>
          <w:lang w:val="en_US" w:bidi="en_US"/>
        </w:rPr>
        <w:t>As two rhetorical questions. For example:</w:t>
      </w:r>
      <w:r>
        <w:rPr>
          <w:lang w:val="en_US" w:bidi="en_US"/>
        </w:rPr>
        <w:t>What will a woman do if she has ten silver coins and loses one of them? Won’t she light a lamp, sweep the floor, and look carefully until she finds it? (CEV)</w:t>
      </w:r>
    </w:p>
    <w:p>
      <w:pPr>
        <w:pStyle w:val="ListBullet"/>
        <w:spacing w:line="240" w:lineRule="auto"/>
        <w:ind w:left="720"/>
      </w:pPr>
      <w:r>
        <w:rPr>
          <w:lang w:val="en_US" w:bidi="en_US"/>
        </w:rPr>
      </w:r>
      <w:r>
        <w:rPr>
          <w:lang w:val="en_US" w:bidi="en_US"/>
        </w:rPr>
        <w:t>As two or more statements. For example:</w:t>
      </w:r>
      <w:r>
        <w:rPr>
          <w:lang w:val="en_US" w:bidi="en_US"/>
        </w:rPr>
        <w:t xml:space="preserve">Suppose there is a woman who has ten silver coins but loses one of them. </w:t>
      </w:r>
      <w:r>
        <w:rPr>
          <w:lang w:val="en_US" w:bidi="en_US"/>
        </w:rPr>
        <w:t>We all know what she would do.</w:t>
      </w:r>
      <w:r>
        <w:rPr>
          <w:lang w:val="en_US" w:bidi="en_US"/>
        </w:rPr>
        <w:t xml:space="preserve"> She would light a lamp and sweep the entire house, searching carefully until she found the coin.</w:t>
      </w:r>
    </w:p>
    <w:p>
      <w:pPr>
        <w:pStyle w:val="Heading5"/>
      </w:pPr>
      <w:r>
        <w:rPr>
          <w:lang w:val="en_US" w:bidi="en_US"/>
        </w:rPr>
        <w:t>15:8a</w:t>
      </w:r>
    </w:p>
    <w:p>
      <w:pPr/>
      <w:r>
        <w:rPr>
          <w:lang w:val="en_US" w:bidi="en_US"/>
        </w:rPr>
      </w:r>
      <w:r>
        <w:rPr>
          <w:b/>
          <w:lang w:val="en_US" w:bidi="en_US"/>
        </w:rPr>
        <w:t>Or what woman who has ten silver coins</w:t>
      </w:r>
    </w:p>
    <w:p>
      <w:pPr>
        <w:pStyle w:val="ListBullet"/>
        <w:spacing w:line="240" w:lineRule="auto"/>
        <w:ind w:left="720"/>
      </w:pPr>
      <w:r>
        <w:rPr>
          <w:lang w:val="en_US" w:bidi="en_US"/>
        </w:rPr>
      </w:r>
      <w:r>
        <w:rPr>
          <w:lang w:val="en_US" w:bidi="en_US"/>
        </w:rPr>
        <w:t>¶ “Similarly/Again, what if a woman has ten silver coins</w:t>
      </w:r>
    </w:p>
    <w:p>
      <w:pPr>
        <w:pStyle w:val="ListBullet"/>
        <w:spacing w:line="240" w:lineRule="auto"/>
        <w:ind w:left="720"/>
      </w:pPr>
      <w:r>
        <w:rPr>
          <w:lang w:val="en_US" w:bidi="en_US"/>
        </w:rPr>
      </w:r>
      <w:r>
        <w:rPr>
          <w:lang w:val="en_US" w:bidi="en_US"/>
        </w:rPr>
        <w:t xml:space="preserve">¶ </w:t>
      </w:r>
      <w:r>
        <w:rPr>
          <w:lang w:val="en_US" w:bidi="en_US"/>
        </w:rPr>
        <w:t>Jesus also said,</w:t>
      </w:r>
      <w:r>
        <w:rPr>
          <w:lang w:val="en_US" w:bidi="en_US"/>
        </w:rPr>
        <w:t xml:space="preserve"> “If a woman has ten silver coins</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w:t>
      </w:r>
      <w:r>
        <w:rPr>
          <w:lang w:val="en_US" w:bidi="en_US"/>
        </w:rPr>
        <w:t>Here is another example.</w:t>
      </w:r>
      <w:r>
        <w:rPr>
          <w:lang w:val="en_US" w:bidi="en_US"/>
        </w:rPr>
        <w:t xml:space="preserve"> A woman has ten valuable coins.</w:t>
      </w:r>
    </w:p>
    <w:p>
      <w:pPr>
        <w:pStyle w:val="Heading5"/>
      </w:pPr>
      <w:r>
        <w:rPr>
          <w:lang w:val="en_US" w:bidi="en_US"/>
        </w:rPr>
        <w:t>15:8b</w:t>
      </w:r>
    </w:p>
    <w:p>
      <w:pPr/>
      <w:r>
        <w:rPr>
          <w:lang w:val="en_US" w:bidi="en_US"/>
        </w:rPr>
      </w:r>
      <w:r>
        <w:rPr>
          <w:b/>
          <w:lang w:val="en_US" w:bidi="en_US"/>
        </w:rPr>
        <w:t>and loses one of them</w:t>
      </w:r>
    </w:p>
    <w:p>
      <w:pPr>
        <w:pStyle w:val="ListBullet"/>
        <w:spacing w:line="240" w:lineRule="auto"/>
        <w:ind w:left="720"/>
      </w:pPr>
      <w:r>
        <w:rPr>
          <w:lang w:val="en_US" w:bidi="en_US"/>
        </w:rPr>
      </w:r>
      <w:r>
        <w:rPr>
          <w:lang w:val="en_US" w:bidi="en_US"/>
        </w:rPr>
        <w:t>and loses one?</w:t>
      </w:r>
    </w:p>
    <w:p>
      <w:pPr>
        <w:pStyle w:val="ListBullet"/>
        <w:spacing w:line="240" w:lineRule="auto"/>
        <w:ind w:left="720"/>
      </w:pPr>
      <w:r>
        <w:rPr>
          <w:lang w:val="en_US" w:bidi="en_US"/>
        </w:rPr>
      </w:r>
      <w:r>
        <w:rPr>
          <w:lang w:val="en_US" w:bidi="en_US"/>
        </w:rPr>
        <w:t xml:space="preserve">and one gets lost, </w:t>
      </w:r>
      <w:r>
        <w:rPr>
          <w:lang w:val="en_US" w:bidi="en_US"/>
        </w:rPr>
        <w:t>what will she do?</w:t>
      </w:r>
    </w:p>
    <w:p>
      <w:pPr>
        <w:pStyle w:val="ListBullet"/>
        <w:spacing w:line="240" w:lineRule="auto"/>
        <w:ind w:left="720"/>
      </w:pPr>
      <w:r>
        <w:rPr>
          <w:lang w:val="en_US" w:bidi="en_US"/>
        </w:rPr>
      </w:r>
      <w:r>
        <w:rPr>
          <w:lang w:val="en_US" w:bidi="en_US"/>
        </w:rPr>
        <w:t>One day</w:t>
      </w:r>
      <w:r>
        <w:rPr>
          <w:lang w:val="en_US" w:bidi="en_US"/>
        </w:rPr>
        <w:t xml:space="preserve"> </w:t>
      </w:r>
      <w:r>
        <w:rPr>
          <w:lang w:val="en_US" w:bidi="en_US"/>
        </w:rPr>
        <w:t>she sees that</w:t>
      </w:r>
      <w:r>
        <w:rPr>
          <w:lang w:val="en_US" w:bidi="en_US"/>
        </w:rPr>
        <w:t xml:space="preserve"> one of them is gone. </w:t>
      </w:r>
      <w:r>
        <w:rPr>
          <w:lang w:val="en_US" w:bidi="en_US"/>
        </w:rPr>
        <w:t>You</w:t>
      </w:r>
      <w:r>
        <w:rPr>
          <w:vertAlign w:val="superscript"/>
          <w:lang w:val="en_US" w:bidi="en_US"/>
        </w:rPr>
        <w:t>(plur)</w:t>
      </w:r>
      <w:r>
        <w:rPr>
          <w:lang w:val="en_US" w:bidi="en_US"/>
        </w:rPr>
        <w:t xml:space="preserve"> </w:t>
      </w:r>
      <w:r>
        <w:rPr>
          <w:lang w:val="en_US" w:bidi="en_US"/>
        </w:rPr>
        <w:t>know what she will do:</w:t>
      </w:r>
    </w:p>
    <w:p>
      <w:pPr>
        <w:pStyle w:val="Heading5"/>
      </w:pPr>
      <w:r>
        <w:rPr>
          <w:lang w:val="en_US" w:bidi="en_US"/>
        </w:rPr>
        <w:t>15:8a–b</w:t>
      </w:r>
    </w:p>
    <w:p>
      <w:pPr/>
      <w:r>
        <w:rPr>
          <w:lang w:val="en_US" w:bidi="en_US"/>
        </w:rPr>
      </w:r>
      <w:r>
        <w:rPr>
          <w:b/>
          <w:lang w:val="en_US" w:bidi="en_US"/>
        </w:rPr>
        <w:t>Or:</w:t>
      </w:r>
      <w:r>
        <w:rPr>
          <w:lang w:val="en_US" w:bidi="en_US"/>
        </w:rPr>
        <w:t xml:space="preserve"> In Greek, this verse begins with a conjunction that the BSB translates literally as “Or.” This conjunction introduces a parable that has the same theme as the preceding parable. Another way to introduce a similar example like this is:</w:t>
      </w:r>
    </w:p>
    <w:p>
      <w:pPr/>
      <w:r>
        <w:rPr>
          <w:lang w:val="en_US" w:bidi="en_US"/>
        </w:rPr>
      </w:r>
      <w:r>
        <w:rPr>
          <w:lang w:val="en_US" w:bidi="en_US"/>
        </w:rPr>
        <w:t>In the same way</w:t>
      </w:r>
    </w:p>
    <w:p>
      <w:pPr/>
      <w:r>
        <w:rPr>
          <w:lang w:val="en_US" w:bidi="en_US"/>
        </w:rPr>
      </w:r>
      <w:r>
        <w:rPr>
          <w:lang w:val="en_US" w:bidi="en_US"/>
        </w:rPr>
        <w:t>Here is another example</w:t>
      </w:r>
    </w:p>
    <w:p>
      <w:pPr/>
      <w:r>
        <w:rPr>
          <w:lang w:val="en_US" w:bidi="en_US"/>
        </w:rPr>
      </w:r>
      <w:r>
        <w:rPr>
          <w:lang w:val="en_US" w:bidi="en_US"/>
        </w:rPr>
        <w:t>See how you introduced the second example in 14:31, which begins in the same way.</w:t>
      </w:r>
    </w:p>
    <w:p>
      <w:pPr/>
      <w:r>
        <w:rPr>
          <w:lang w:val="en_US" w:bidi="en_US"/>
        </w:rPr>
      </w:r>
      <w:r>
        <w:rPr>
          <w:lang w:val="en_US" w:bidi="en_US"/>
        </w:rPr>
        <w:t>If you put a section heading before this verse, you may want to indicate at the beginning of the verse that Jesus was still speaking. For example:</w:t>
      </w:r>
    </w:p>
    <w:p>
      <w:pPr/>
      <w:r>
        <w:rPr>
          <w:lang w:val="en_US" w:bidi="en_US"/>
        </w:rPr>
      </w:r>
      <w:r>
        <w:rPr>
          <w:lang w:val="en_US" w:bidi="en_US"/>
        </w:rPr>
        <w:t>Jesus told the people another story. (CEV)</w:t>
      </w:r>
    </w:p>
    <w:p>
      <w:pPr/>
      <w:r>
        <w:rPr>
          <w:lang w:val="en_US" w:bidi="en_US"/>
        </w:rPr>
      </w:r>
      <w:r>
        <w:rPr>
          <w:lang w:val="en_US" w:bidi="en_US"/>
        </w:rPr>
        <w:t>Jesus continued</w:t>
      </w:r>
    </w:p>
    <w:p>
      <w:pPr/>
      <w:r>
        <w:rPr>
          <w:lang w:val="en_US" w:bidi="en_US"/>
        </w:rPr>
      </w:r>
      <w:r>
        <w:rPr>
          <w:b/>
          <w:lang w:val="en_US" w:bidi="en_US"/>
        </w:rPr>
        <w:t>ten silver coins:</w:t>
      </w:r>
      <w:r>
        <w:rPr>
          <w:lang w:val="en_US" w:bidi="en_US"/>
        </w:rPr>
        <w:t xml:space="preserve"> The Greek phrase that the BSB translates as </w:t>
      </w:r>
      <w:r>
        <w:rPr>
          <w:i/>
          <w:lang w:val="en_US" w:bidi="en_US"/>
        </w:rPr>
        <w:t>ten silver coins</w:t>
      </w:r>
      <w:r>
        <w:rPr>
          <w:lang w:val="en_US" w:bidi="en_US"/>
        </w:rPr>
        <w:t xml:space="preserve"> is literally “ten drachmas,” as in the NJB. A drachma was a Greek coin made of silver.</w:t>
      </w:r>
      <w:r>
        <w:rPr>
          <w:lang w:val="en_US" w:bidi="en_US"/>
        </w:rPr>
        <w:t>The drachma was roughly equivalent in value to the Roman coin called a denarius.</w:t>
      </w:r>
      <w:r>
        <w:rPr>
          <w:lang w:val="en_US" w:bidi="en_US"/>
        </w:rPr>
        <w:t xml:space="preserve"> It was worth about one day’s pay for a common worker. Some other ways to translate this expression are:</w:t>
      </w:r>
    </w:p>
    <w:p>
      <w:pPr>
        <w:pStyle w:val="ListBullet"/>
        <w:spacing w:line="240" w:lineRule="auto"/>
        <w:ind w:left="720"/>
      </w:pPr>
      <w:r>
        <w:rPr>
          <w:lang w:val="en_US" w:bidi="en_US"/>
        </w:rPr>
      </w:r>
      <w:r>
        <w:rPr>
          <w:lang w:val="en_US" w:bidi="en_US"/>
        </w:rPr>
        <w:t>Use a general word or expression that does not specify the name of the coin. For example:</w:t>
      </w:r>
      <w:r>
        <w:rPr>
          <w:lang w:val="en_US" w:bidi="en_US"/>
        </w:rPr>
        <w:t xml:space="preserve">ten </w:t>
      </w:r>
      <w:r>
        <w:rPr>
          <w:u w:val="single"/>
          <w:lang w:val="en_US" w:bidi="en_US"/>
        </w:rPr>
        <w:t>silver coins</w:t>
      </w:r>
      <w:r>
        <w:rPr>
          <w:lang w:val="en_US" w:bidi="en_US"/>
        </w:rPr>
        <w:t xml:space="preserve"> (GNT)</w:t>
      </w:r>
    </w:p>
    <w:p>
      <w:pPr>
        <w:pStyle w:val="ListBullet"/>
        <w:spacing w:line="240" w:lineRule="auto"/>
        <w:ind w:left="720"/>
      </w:pPr>
      <w:r>
        <w:rPr>
          <w:lang w:val="en_US" w:bidi="en_US"/>
        </w:rPr>
      </w:r>
      <w:r>
        <w:rPr>
          <w:lang w:val="en_US" w:bidi="en_US"/>
        </w:rPr>
        <w:t>Use an expression that explains the value of the coins. For example:</w:t>
      </w:r>
      <w:r>
        <w:rPr>
          <w:lang w:val="en_US" w:bidi="en_US"/>
        </w:rPr>
        <w:t>money worth the pay/wages for ten days of work</w:t>
      </w:r>
    </w:p>
    <w:p>
      <w:pPr>
        <w:pStyle w:val="ListBullet"/>
        <w:spacing w:line="240" w:lineRule="auto"/>
        <w:ind w:left="720"/>
      </w:pPr>
      <w:r>
        <w:rPr>
          <w:lang w:val="en_US" w:bidi="en_US"/>
        </w:rPr>
      </w:r>
      <w:r>
        <w:rPr>
          <w:lang w:val="en_US" w:bidi="en_US"/>
        </w:rPr>
        <w:t>Use a transliterated or borrowed term. In Muslim countries, the Arabic term “dirham” may be an option.</w:t>
      </w:r>
      <w:r>
        <w:rPr>
          <w:lang w:val="en_US" w:bidi="en_US"/>
        </w:rPr>
        <w:t>This suggestion is from TH, p. 544–45.</w:t>
      </w:r>
    </w:p>
    <w:p>
      <w:pPr/>
      <w:r>
        <w:rPr>
          <w:lang w:val="en_US" w:bidi="en_US"/>
        </w:rPr>
      </w:r>
      <w:r>
        <w:rPr>
          <w:lang w:val="en_US" w:bidi="en_US"/>
        </w:rPr>
        <w:t>You may also want to include a footnote with more information.</w:t>
      </w:r>
      <w:r>
        <w:rPr>
          <w:lang w:val="en_US" w:bidi="en_US"/>
        </w:rPr>
        <w:t>Some scholars think that these coins may have been part of the woman’s wedding dowry. Others think that they may have been used as an ornament. All that we know from the text itself is that the lost coin was valuable and significant to the woman.</w:t>
      </w:r>
      <w:r>
        <w:rPr>
          <w:lang w:val="en_US" w:bidi="en_US"/>
        </w:rPr>
        <w:t xml:space="preserve"> For example:</w:t>
      </w:r>
    </w:p>
    <w:p>
      <w:pPr/>
      <w:r>
        <w:rPr>
          <w:lang w:val="en_US" w:bidi="en_US"/>
        </w:rPr>
      </w:r>
      <w:r>
        <w:rPr>
          <w:lang w:val="en_US" w:bidi="en_US"/>
        </w:rPr>
        <w:t>Each of these coins was worth as much as an ordinary worker earned for one day of work.</w:t>
      </w:r>
    </w:p>
    <w:p>
      <w:pPr>
        <w:pStyle w:val="Heading5"/>
      </w:pPr>
      <w:r>
        <w:rPr>
          <w:lang w:val="en_US" w:bidi="en_US"/>
        </w:rPr>
        <w:t>15:8c</w:t>
      </w:r>
    </w:p>
    <w:p>
      <w:pPr/>
      <w:r>
        <w:rPr>
          <w:lang w:val="en_US" w:bidi="en_US"/>
        </w:rPr>
      </w:r>
      <w:r>
        <w:rPr>
          <w:b/>
          <w:lang w:val="en_US" w:bidi="en_US"/>
        </w:rPr>
        <w:t>does not light a lamp, sweep her house,</w:t>
      </w:r>
    </w:p>
    <w:p>
      <w:pPr>
        <w:pStyle w:val="ListBullet"/>
        <w:spacing w:line="240" w:lineRule="auto"/>
        <w:ind w:left="720"/>
      </w:pPr>
      <w:r>
        <w:rPr>
          <w:lang w:val="en_US" w:bidi="en_US"/>
        </w:rPr>
      </w:r>
      <w:r>
        <w:rPr>
          <w:lang w:val="en_US" w:bidi="en_US"/>
        </w:rPr>
        <w:t xml:space="preserve">Doesn’t she light a lamp and sweep the </w:t>
      </w:r>
      <w:r>
        <w:rPr>
          <w:lang w:val="en_US" w:bidi="en_US"/>
        </w:rPr>
        <w:t>floor of her</w:t>
      </w:r>
      <w:r>
        <w:rPr>
          <w:lang w:val="en_US" w:bidi="en_US"/>
        </w:rPr>
        <w:t xml:space="preserve"> house</w:t>
      </w:r>
    </w:p>
    <w:p>
      <w:pPr>
        <w:pStyle w:val="ListBullet"/>
        <w:spacing w:line="240" w:lineRule="auto"/>
        <w:ind w:left="720"/>
      </w:pPr>
      <w:r>
        <w:rPr>
          <w:lang w:val="en_US" w:bidi="en_US"/>
        </w:rPr>
      </w:r>
      <w:r>
        <w:rPr>
          <w:lang w:val="en_US" w:bidi="en_US"/>
        </w:rPr>
        <w:t>Certainly/Surely</w:t>
      </w:r>
      <w:r>
        <w:rPr>
          <w:lang w:val="en_US" w:bidi="en_US"/>
        </w:rPr>
        <w:t xml:space="preserve"> she will light a lamp/candle Then she will sweep/search the </w:t>
      </w:r>
      <w:r>
        <w:rPr>
          <w:lang w:val="en_US" w:bidi="en_US"/>
        </w:rPr>
        <w:t>entire</w:t>
      </w:r>
      <w:r>
        <w:rPr>
          <w:lang w:val="en_US" w:bidi="en_US"/>
        </w:rPr>
        <w:t xml:space="preserve"> house</w:t>
      </w:r>
    </w:p>
    <w:p>
      <w:pPr>
        <w:pStyle w:val="Heading5"/>
      </w:pPr>
      <w:r>
        <w:rPr>
          <w:lang w:val="en_US" w:bidi="en_US"/>
        </w:rPr>
        <w:t>15:8d</w:t>
      </w:r>
    </w:p>
    <w:p>
      <w:pPr/>
      <w:r>
        <w:rPr>
          <w:lang w:val="en_US" w:bidi="en_US"/>
        </w:rPr>
      </w:r>
      <w:r>
        <w:rPr>
          <w:b/>
          <w:lang w:val="en_US" w:bidi="en_US"/>
        </w:rPr>
        <w:t>and search carefully until she finds it?</w:t>
      </w:r>
    </w:p>
    <w:p>
      <w:pPr>
        <w:pStyle w:val="ListBullet"/>
        <w:spacing w:line="240" w:lineRule="auto"/>
        <w:ind w:left="720"/>
      </w:pPr>
      <w:r>
        <w:rPr>
          <w:lang w:val="en_US" w:bidi="en_US"/>
        </w:rPr>
      </w:r>
      <w:r>
        <w:rPr>
          <w:lang w:val="en_US" w:bidi="en_US"/>
        </w:rPr>
        <w:t>and look carefully until she finds it?</w:t>
      </w:r>
    </w:p>
    <w:p>
      <w:pPr>
        <w:pStyle w:val="ListBullet"/>
        <w:spacing w:line="240" w:lineRule="auto"/>
        <w:ind w:left="720"/>
      </w:pPr>
      <w:r>
        <w:rPr>
          <w:lang w:val="en_US" w:bidi="en_US"/>
        </w:rPr>
      </w:r>
      <w:r>
        <w:rPr>
          <w:lang w:val="en_US" w:bidi="en_US"/>
        </w:rPr>
        <w:t xml:space="preserve">and carefully search </w:t>
      </w:r>
      <w:r>
        <w:rPr>
          <w:lang w:val="en_US" w:bidi="en_US"/>
        </w:rPr>
        <w:t>in every place</w:t>
      </w:r>
      <w:r>
        <w:rPr>
          <w:lang w:val="en_US" w:bidi="en_US"/>
        </w:rPr>
        <w:t xml:space="preserve"> until she finds it.</w:t>
      </w:r>
    </w:p>
    <w:p>
      <w:pPr>
        <w:pStyle w:val="Heading5"/>
      </w:pPr>
      <w:r>
        <w:rPr>
          <w:lang w:val="en_US" w:bidi="en_US"/>
        </w:rPr>
        <w:t>15:8c–d</w:t>
      </w:r>
    </w:p>
    <w:p>
      <w:pPr/>
      <w:r>
        <w:rPr>
          <w:lang w:val="en_US" w:bidi="en_US"/>
        </w:rPr>
      </w:r>
      <w:r>
        <w:rPr>
          <w:b/>
          <w:lang w:val="en_US" w:bidi="en_US"/>
        </w:rPr>
        <w:t>light a lamp:</w:t>
      </w:r>
      <w:r>
        <w:rPr>
          <w:lang w:val="en_US" w:bidi="en_US"/>
        </w:rPr>
        <w:t xml:space="preserve"> The type of </w:t>
      </w:r>
      <w:r>
        <w:rPr>
          <w:i/>
          <w:lang w:val="en_US" w:bidi="en_US"/>
        </w:rPr>
        <w:t>lamp</w:t>
      </w:r>
      <w:r>
        <w:rPr>
          <w:lang w:val="en_US" w:bidi="en_US"/>
        </w:rPr>
        <w:t xml:space="preserve"> that Jesus referred to here was probably a small container with a wick. It burned oil.</w:t>
      </w:r>
    </w:p>
    <w:p>
      <w:pPr/>
      <w:r>
        <w:rPr>
          <w:lang w:val="en_US" w:bidi="en_US"/>
        </w:rPr>
      </w:r>
      <w:r>
        <w:rPr>
          <w:lang w:val="en_US" w:bidi="en_US"/>
        </w:rPr>
        <w:t>Some ways to translate it are:</w:t>
      </w:r>
    </w:p>
    <w:p>
      <w:pPr>
        <w:pStyle w:val="ListBullet"/>
        <w:spacing w:line="240" w:lineRule="auto"/>
        <w:ind w:left="720"/>
      </w:pPr>
      <w:r>
        <w:rPr>
          <w:lang w:val="en_US" w:bidi="en_US"/>
        </w:rPr>
      </w:r>
      <w:r>
        <w:rPr>
          <w:lang w:val="en_US" w:bidi="en_US"/>
        </w:rPr>
        <w:t>Use a specific type of lamp that people use in your culture. A type that burns oil or kerosene is a good option.</w:t>
      </w:r>
    </w:p>
    <w:p>
      <w:pPr>
        <w:pStyle w:val="ListBullet"/>
        <w:spacing w:line="240" w:lineRule="auto"/>
        <w:ind w:left="720"/>
      </w:pPr>
      <w:r>
        <w:rPr>
          <w:lang w:val="en_US" w:bidi="en_US"/>
        </w:rPr>
      </w:r>
      <w:r>
        <w:rPr>
          <w:lang w:val="en_US" w:bidi="en_US"/>
        </w:rPr>
        <w:t>Use a different type of light, such as a pitch-pine torch or a candle.</w:t>
      </w:r>
    </w:p>
    <w:p>
      <w:pPr>
        <w:pStyle w:val="ListBullet"/>
        <w:spacing w:line="240" w:lineRule="auto"/>
        <w:ind w:left="720"/>
      </w:pPr>
      <w:r>
        <w:rPr>
          <w:lang w:val="en_US" w:bidi="en_US"/>
        </w:rPr>
      </w:r>
      <w:r>
        <w:rPr>
          <w:lang w:val="en_US" w:bidi="en_US"/>
        </w:rPr>
        <w:t>Use a general word for lamp or light.</w:t>
      </w:r>
    </w:p>
    <w:p>
      <w:pPr/>
      <w:r>
        <w:rPr>
          <w:lang w:val="en_US" w:bidi="en_US"/>
        </w:rPr>
      </w:r>
      <w:r>
        <w:rPr>
          <w:lang w:val="en_US" w:bidi="en_US"/>
        </w:rPr>
        <w:t>If you use a specific type of lamp from your culture, do not use a word that refers only to a modern type of lamp or only to a pressurized lamp.</w:t>
      </w:r>
    </w:p>
    <w:p>
      <w:pPr/>
      <w:r>
        <w:rPr>
          <w:lang w:val="en_US" w:bidi="en_US"/>
        </w:rPr>
      </w:r>
      <w:r>
        <w:rPr>
          <w:lang w:val="en_US" w:bidi="en_US"/>
        </w:rPr>
        <w:t>See how you translated the word “lamp” in 11:33a.</w:t>
      </w:r>
    </w:p>
    <w:p>
      <w:pPr/>
      <w:r>
        <w:rPr>
          <w:lang w:val="en_US" w:bidi="en_US"/>
        </w:rPr>
      </w:r>
      <w:r>
        <w:rPr>
          <w:b/>
          <w:lang w:val="en_US" w:bidi="en_US"/>
        </w:rPr>
        <w:t>sweep her house:</w:t>
      </w:r>
      <w:r>
        <w:rPr>
          <w:lang w:val="en_US" w:bidi="en_US"/>
        </w:rPr>
        <w:t xml:space="preserve"> The phrase </w:t>
      </w:r>
      <w:r>
        <w:rPr>
          <w:i/>
          <w:lang w:val="en_US" w:bidi="en_US"/>
        </w:rPr>
        <w:t>sweep her house</w:t>
      </w:r>
      <w:r>
        <w:rPr>
          <w:lang w:val="en_US" w:bidi="en_US"/>
        </w:rPr>
        <w:t xml:space="preserve"> means to brush the floor with a broom, usually to clean it. For example:</w:t>
      </w:r>
    </w:p>
    <w:p>
      <w:pPr/>
      <w:r>
        <w:rPr>
          <w:lang w:val="en_US" w:bidi="en_US"/>
        </w:rPr>
      </w:r>
      <w:r>
        <w:rPr>
          <w:lang w:val="en_US" w:bidi="en_US"/>
        </w:rPr>
        <w:t>sweep the floor (CEV)</w:t>
      </w:r>
    </w:p>
    <w:p>
      <w:pPr/>
      <w:r>
        <w:rPr>
          <w:lang w:val="en_US" w:bidi="en_US"/>
        </w:rPr>
      </w:r>
      <w:r>
        <w:rPr>
          <w:lang w:val="en_US" w:bidi="en_US"/>
        </w:rPr>
        <w:t>However, in this context the woman swept the floor in order to search it for the missing coin. In some cultures people would not search a floor by sweeping it. If that is true in your culture, you may want to use a more general expression. For example:</w:t>
      </w:r>
    </w:p>
    <w:p>
      <w:pPr/>
      <w:r>
        <w:rPr>
          <w:lang w:val="en_US" w:bidi="en_US"/>
        </w:rPr>
      </w:r>
      <w:r>
        <w:rPr>
          <w:lang w:val="en_US" w:bidi="en_US"/>
        </w:rPr>
        <w:t>search the floor/house</w:t>
      </w:r>
    </w:p>
    <w:p>
      <w:pPr/>
      <w:r>
        <w:rPr>
          <w:lang w:val="en_US" w:bidi="en_US"/>
        </w:rPr>
      </w:r>
      <w:r>
        <w:rPr>
          <w:lang w:val="en_US" w:bidi="en_US"/>
        </w:rPr>
        <w:t>A similar expression occurs in 11:25b.</w:t>
      </w:r>
      <w:r>
        <w:rPr>
          <w:lang w:val="en_US" w:bidi="en_US"/>
        </w:rPr>
      </w:r>
      <w:r>
        <w:rPr>
          <w:lang w:val="en_US" w:bidi="en_US"/>
        </w:rPr>
      </w:r>
    </w:p>
    <w:p>
      <w:pPr/>
      <w:r>
        <w:rPr>
          <w:lang w:val="en_US" w:bidi="en_US"/>
        </w:rPr>
      </w:r>
    </w:p>
    <w:p>
      <w:pPr>
        <w:pStyle w:val="Heading2"/>
      </w:pPr>
      <w:r>
        <w:rPr>
          <w:lang w:val="en_US" w:bidi="en_US"/>
        </w:rPr>
        <w:t>Luke 15:9</w:t>
      </w:r>
      <w:r>
        <w:rPr>
          <w:lang w:val="en_US" w:bidi="en_US"/>
        </w:rPr>
      </w:r>
    </w:p>
    <w:p>
      <w:pPr>
        <w:pStyle w:val="Heading4"/>
      </w:pPr>
      <w:r>
        <w:rPr>
          <w:lang w:val="en_US" w:bidi="en_US"/>
        </w:rPr>
        <w:t>Section 15:8–10: Jesus told a parable about a woman looking for her lost coin</w:t>
      </w:r>
    </w:p>
    <w:p>
      <w:pPr/>
      <w:r>
        <w:rPr>
          <w:lang w:val="en_US" w:bidi="en_US"/>
        </w:rPr>
      </w:r>
      <w:r>
        <w:rPr>
          <w:lang w:val="en_US" w:bidi="en_US"/>
        </w:rPr>
        <w:t>The parable about the lost coin in 15:8–10 is similar to the parable in the last section about the lost sheep. It has a similar theme, and it contains some similar words and phrases. You should translate these words and phrases in similar ways, if possible. In this parable a woman searched diligently for a lost coin until she found it. She then invited her friends and neighbors to rejoice with her that she had found the coin.</w:t>
      </w:r>
    </w:p>
    <w:p>
      <w:pPr/>
      <w:r>
        <w:rPr>
          <w:lang w:val="en_US" w:bidi="en_US"/>
        </w:rPr>
      </w:r>
      <w:r>
        <w:rPr>
          <w:lang w:val="en_US" w:bidi="en_US"/>
        </w:rPr>
        <w:t>Some other headings for this section are:</w:t>
      </w:r>
    </w:p>
    <w:p>
      <w:pPr/>
      <w:r>
        <w:rPr>
          <w:lang w:val="en_US" w:bidi="en_US"/>
        </w:rPr>
      </w:r>
      <w:r>
        <w:rPr>
          <w:lang w:val="en_US" w:bidi="en_US"/>
        </w:rPr>
        <w:t>The Lost Coin (GNT)</w:t>
      </w:r>
    </w:p>
    <w:p>
      <w:pPr/>
      <w:r>
        <w:rPr>
          <w:lang w:val="en_US" w:bidi="en_US"/>
        </w:rPr>
      </w:r>
      <w:r>
        <w:rPr>
          <w:lang w:val="en_US" w:bidi="en_US"/>
        </w:rPr>
        <w:t>A woman was happy to find a lost coin</w:t>
      </w:r>
    </w:p>
    <w:p>
      <w:pPr>
        <w:pStyle w:val="Heading5"/>
      </w:pPr>
      <w:r>
        <w:rPr>
          <w:lang w:val="en_US" w:bidi="en_US"/>
        </w:rPr>
        <w:t>15:9a</w:t>
      </w:r>
    </w:p>
    <w:p>
      <w:pPr/>
      <w:r>
        <w:rPr>
          <w:lang w:val="en_US" w:bidi="en_US"/>
        </w:rPr>
      </w:r>
      <w:r>
        <w:rPr>
          <w:b/>
          <w:lang w:val="en_US" w:bidi="en_US"/>
        </w:rPr>
        <w:t>And when she finds it, she calls together her friends and neighbors</w:t>
      </w:r>
    </w:p>
    <w:p>
      <w:pPr>
        <w:pStyle w:val="ListBullet"/>
        <w:spacing w:line="240" w:lineRule="auto"/>
        <w:ind w:left="720"/>
      </w:pPr>
      <w:r>
        <w:rPr>
          <w:lang w:val="en_US" w:bidi="en_US"/>
        </w:rPr>
      </w:r>
      <w:r>
        <w:rPr>
          <w:lang w:val="en_US" w:bidi="en_US"/>
        </w:rPr>
        <w:t>After she has found it, she will go to her friends and neighbors,</w:t>
      </w:r>
    </w:p>
    <w:p>
      <w:pPr>
        <w:pStyle w:val="ListBullet"/>
        <w:spacing w:line="240" w:lineRule="auto"/>
        <w:ind w:left="720"/>
      </w:pPr>
      <w:r>
        <w:rPr>
          <w:lang w:val="en_US" w:bidi="en_US"/>
        </w:rPr>
      </w:r>
      <w:r>
        <w:rPr>
          <w:lang w:val="en_US" w:bidi="en_US"/>
        </w:rPr>
        <w:t xml:space="preserve">And then she will invite her </w:t>
      </w:r>
      <w:r>
        <w:rPr>
          <w:lang w:val="en_US" w:bidi="en_US"/>
        </w:rPr>
        <w:t>women</w:t>
      </w:r>
      <w:r>
        <w:rPr>
          <w:lang w:val="en_US" w:bidi="en_US"/>
        </w:rPr>
        <w:t xml:space="preserve"> friends and those living nearby to come </w:t>
      </w:r>
      <w:r>
        <w:rPr>
          <w:lang w:val="en_US" w:bidi="en_US"/>
        </w:rPr>
        <w:t>to her house</w:t>
      </w:r>
      <w:r>
        <w:rPr>
          <w:lang w:val="en_US" w:bidi="en_US"/>
        </w:rPr>
        <w:t>,</w:t>
      </w:r>
    </w:p>
    <w:p>
      <w:pPr/>
      <w:r>
        <w:rPr>
          <w:lang w:val="en_US" w:bidi="en_US"/>
        </w:rPr>
      </w:r>
      <w:r>
        <w:rPr>
          <w:b/>
          <w:lang w:val="en_US" w:bidi="en_US"/>
        </w:rPr>
        <w:t>she calls together her friends and neighbors:</w:t>
      </w:r>
      <w:r>
        <w:rPr>
          <w:lang w:val="en_US" w:bidi="en_US"/>
        </w:rPr>
        <w:t xml:space="preserve"> See the note on 15:6a.</w:t>
      </w:r>
    </w:p>
    <w:p>
      <w:pPr/>
      <w:r>
        <w:rPr>
          <w:lang w:val="en_US" w:bidi="en_US"/>
        </w:rPr>
      </w:r>
      <w:r>
        <w:rPr>
          <w:b/>
          <w:lang w:val="en_US" w:bidi="en_US"/>
        </w:rPr>
        <w:t>her friends and neighbors:</w:t>
      </w:r>
      <w:r>
        <w:rPr>
          <w:lang w:val="en_US" w:bidi="en_US"/>
        </w:rPr>
        <w:t xml:space="preserve"> In Greek, the words that the BSB translates as </w:t>
      </w:r>
      <w:r>
        <w:rPr>
          <w:i/>
          <w:lang w:val="en_US" w:bidi="en_US"/>
        </w:rPr>
        <w:t>friends</w:t>
      </w:r>
      <w:r>
        <w:rPr>
          <w:lang w:val="en_US" w:bidi="en_US"/>
        </w:rPr>
        <w:t xml:space="preserve"> and </w:t>
      </w:r>
      <w:r>
        <w:rPr>
          <w:i/>
          <w:lang w:val="en_US" w:bidi="en_US"/>
        </w:rPr>
        <w:t>neighbors</w:t>
      </w:r>
      <w:r>
        <w:rPr>
          <w:lang w:val="en_US" w:bidi="en_US"/>
        </w:rPr>
        <w:t xml:space="preserve"> are forms that refer only to females.</w:t>
      </w:r>
    </w:p>
    <w:p>
      <w:pPr/>
      <w:r>
        <w:rPr>
          <w:lang w:val="en_US" w:bidi="en_US"/>
        </w:rPr>
      </w:r>
      <w:r>
        <w:rPr>
          <w:lang w:val="en_US" w:bidi="en_US"/>
        </w:rPr>
        <w:t>If your language has such feminine forms for “friends” and “neighbors,” you may use them here. You may also use specific terms for “female friends” and “female neighbors” if that would be appropriate in your cultural context. Otherwise, you may use general terms that can refer to both men and women, as English versions have done.</w:t>
      </w:r>
    </w:p>
    <w:p>
      <w:pPr>
        <w:pStyle w:val="Heading5"/>
      </w:pPr>
      <w:r>
        <w:rPr>
          <w:lang w:val="en_US" w:bidi="en_US"/>
        </w:rPr>
        <w:t>15:9b</w:t>
      </w:r>
    </w:p>
    <w:p>
      <w:pPr/>
      <w:r>
        <w:rPr>
          <w:lang w:val="en_US" w:bidi="en_US"/>
        </w:rPr>
      </w:r>
      <w:r>
        <w:rPr>
          <w:b/>
          <w:lang w:val="en_US" w:bidi="en_US"/>
        </w:rPr>
        <w:t>to say, ‘Rejoice with me, for I have found my lost coin.’</w:t>
      </w:r>
    </w:p>
    <w:p>
      <w:pPr>
        <w:pStyle w:val="ListBullet"/>
        <w:spacing w:line="240" w:lineRule="auto"/>
        <w:ind w:left="720"/>
      </w:pPr>
      <w:r>
        <w:rPr>
          <w:lang w:val="en_US" w:bidi="en_US"/>
        </w:rPr>
      </w:r>
      <w:r>
        <w:rPr>
          <w:lang w:val="en_US" w:bidi="en_US"/>
        </w:rPr>
        <w:t xml:space="preserve">and she will say </w:t>
      </w:r>
      <w:r>
        <w:rPr>
          <w:lang w:val="en_US" w:bidi="en_US"/>
        </w:rPr>
        <w:t>to them</w:t>
      </w:r>
      <w:r>
        <w:rPr>
          <w:lang w:val="en_US" w:bidi="en_US"/>
        </w:rPr>
        <w:t xml:space="preserve">, ‘Come and be happy with me, </w:t>
      </w:r>
      <w:r>
        <w:rPr>
          <w:lang w:val="en_US" w:bidi="en_US"/>
        </w:rPr>
        <w:t>because</w:t>
      </w:r>
      <w:r>
        <w:rPr>
          <w:lang w:val="en_US" w:bidi="en_US"/>
        </w:rPr>
        <w:t xml:space="preserve"> I have found my lost/missing coin!’</w:t>
      </w:r>
    </w:p>
    <w:p>
      <w:pPr>
        <w:pStyle w:val="ListBullet"/>
        <w:spacing w:line="240" w:lineRule="auto"/>
        <w:ind w:left="720"/>
      </w:pPr>
      <w:r>
        <w:rPr>
          <w:lang w:val="en_US" w:bidi="en_US"/>
        </w:rPr>
      </w:r>
      <w:r>
        <w:rPr>
          <w:lang w:val="en_US" w:bidi="en_US"/>
        </w:rPr>
        <w:t>saying, ‘Let’s</w:t>
      </w:r>
      <w:r>
        <w:rPr>
          <w:vertAlign w:val="superscript"/>
          <w:lang w:val="en_US" w:bidi="en_US"/>
        </w:rPr>
        <w:t>(incl)</w:t>
      </w:r>
      <w:r>
        <w:rPr>
          <w:lang w:val="en_US" w:bidi="en_US"/>
        </w:rPr>
        <w:t xml:space="preserve"> celebrate! I have found the coin that I lost.’”</w:t>
      </w:r>
    </w:p>
    <w:p>
      <w:pPr/>
      <w:r>
        <w:rPr>
          <w:lang w:val="en_US" w:bidi="en_US"/>
        </w:rPr>
      </w:r>
      <w:r>
        <w:rPr>
          <w:b/>
          <w:lang w:val="en_US" w:bidi="en_US"/>
        </w:rPr>
        <w:t>to say:</w:t>
      </w:r>
      <w:r>
        <w:rPr>
          <w:lang w:val="en_US" w:bidi="en_US"/>
        </w:rPr>
        <w:t xml:space="preserve"> The Greek word that the BSB translates as </w:t>
      </w:r>
      <w:r>
        <w:rPr>
          <w:i/>
          <w:lang w:val="en_US" w:bidi="en_US"/>
        </w:rPr>
        <w:t>to say</w:t>
      </w:r>
      <w:r>
        <w:rPr>
          <w:lang w:val="en_US" w:bidi="en_US"/>
        </w:rPr>
        <w:t xml:space="preserve"> is literally “saying,” as in 15:6b. See the note there.</w:t>
      </w:r>
    </w:p>
    <w:p>
      <w:pPr/>
      <w:r>
        <w:rPr>
          <w:lang w:val="en_US" w:bidi="en_US"/>
        </w:rPr>
      </w:r>
      <w:r>
        <w:rPr>
          <w:b/>
          <w:lang w:val="en_US" w:bidi="en_US"/>
        </w:rPr>
        <w:t>‘Rejoice with me, for I have found my lost coin.’:</w:t>
      </w:r>
      <w:r>
        <w:rPr>
          <w:lang w:val="en_US" w:bidi="en_US"/>
        </w:rPr>
        <w:t xml:space="preserve"> See the note on the similar quotation in 15:6b.</w:t>
      </w:r>
    </w:p>
    <w:p>
      <w:pPr/>
      <w:r>
        <w:rPr>
          <w:lang w:val="en_US" w:bidi="en_US"/>
        </w:rPr>
      </w:r>
      <w:r>
        <w:rPr>
          <w:b/>
          <w:lang w:val="en_US" w:bidi="en_US"/>
        </w:rPr>
        <w:t>my lost coin:</w:t>
      </w:r>
      <w:r>
        <w:rPr>
          <w:lang w:val="en_US" w:bidi="en_US"/>
        </w:rPr>
        <w:t xml:space="preserve"> The Greek phrase that the BSB translates as </w:t>
      </w:r>
      <w:r>
        <w:rPr>
          <w:i/>
          <w:lang w:val="en_US" w:bidi="en_US"/>
        </w:rPr>
        <w:t>my lost coin</w:t>
      </w:r>
      <w:r>
        <w:rPr>
          <w:lang w:val="en_US" w:bidi="en_US"/>
        </w:rPr>
        <w:t xml:space="preserve"> is literally “the lost coin.” The GW has another way to translate this phrase:</w:t>
      </w:r>
    </w:p>
    <w:p>
      <w:pPr/>
      <w:r>
        <w:rPr>
          <w:lang w:val="en_US" w:bidi="en_US"/>
        </w:rPr>
      </w:r>
      <w:r>
        <w:rPr>
          <w:lang w:val="en_US" w:bidi="en_US"/>
        </w:rPr>
        <w:t>the coin that I lost</w:t>
      </w:r>
      <w:r>
        <w:rPr>
          <w:lang w:val="en_US" w:bidi="en_US"/>
        </w:rPr>
      </w:r>
      <w:r>
        <w:rPr>
          <w:lang w:val="en_US" w:bidi="en_US"/>
        </w:rPr>
      </w:r>
    </w:p>
    <w:p>
      <w:pPr/>
      <w:r>
        <w:rPr>
          <w:lang w:val="en_US" w:bidi="en_US"/>
        </w:rPr>
      </w:r>
    </w:p>
    <w:p>
      <w:pPr>
        <w:pStyle w:val="Heading2"/>
      </w:pPr>
      <w:r>
        <w:rPr>
          <w:lang w:val="en_US" w:bidi="en_US"/>
        </w:rPr>
        <w:t>Luke 15:10</w:t>
      </w:r>
      <w:r>
        <w:rPr>
          <w:lang w:val="en_US" w:bidi="en_US"/>
        </w:rPr>
      </w:r>
    </w:p>
    <w:p>
      <w:pPr>
        <w:pStyle w:val="Heading4"/>
      </w:pPr>
      <w:r>
        <w:rPr>
          <w:lang w:val="en_US" w:bidi="en_US"/>
        </w:rPr>
        <w:t>Section 15:8–10: Jesus told a parable about a woman looking for her lost coin</w:t>
      </w:r>
    </w:p>
    <w:p>
      <w:pPr/>
      <w:r>
        <w:rPr>
          <w:lang w:val="en_US" w:bidi="en_US"/>
        </w:rPr>
      </w:r>
      <w:r>
        <w:rPr>
          <w:lang w:val="en_US" w:bidi="en_US"/>
        </w:rPr>
        <w:t>The parable about the lost coin in 15:8–10 is similar to the parable in the last section about the lost sheep. It has a similar theme, and it contains some similar words and phrases. You should translate these words and phrases in similar ways, if possible. In this parable a woman searched diligently for a lost coin until she found it. She then invited her friends and neighbors to rejoice with her that she had found the coin.</w:t>
      </w:r>
    </w:p>
    <w:p>
      <w:pPr/>
      <w:r>
        <w:rPr>
          <w:lang w:val="en_US" w:bidi="en_US"/>
        </w:rPr>
      </w:r>
      <w:r>
        <w:rPr>
          <w:lang w:val="en_US" w:bidi="en_US"/>
        </w:rPr>
        <w:t>Some other headings for this section are:</w:t>
      </w:r>
    </w:p>
    <w:p>
      <w:pPr/>
      <w:r>
        <w:rPr>
          <w:lang w:val="en_US" w:bidi="en_US"/>
        </w:rPr>
      </w:r>
      <w:r>
        <w:rPr>
          <w:lang w:val="en_US" w:bidi="en_US"/>
        </w:rPr>
        <w:t>The Lost Coin (GNT)</w:t>
      </w:r>
    </w:p>
    <w:p>
      <w:pPr/>
      <w:r>
        <w:rPr>
          <w:lang w:val="en_US" w:bidi="en_US"/>
        </w:rPr>
      </w:r>
      <w:r>
        <w:rPr>
          <w:lang w:val="en_US" w:bidi="en_US"/>
        </w:rPr>
        <w:t>A woman was happy to find a lost coin</w:t>
      </w:r>
    </w:p>
    <w:p>
      <w:pPr>
        <w:pStyle w:val="Heading5"/>
      </w:pPr>
      <w:r>
        <w:rPr>
          <w:lang w:val="en_US" w:bidi="en_US"/>
        </w:rPr>
        <w:t>15:10a</w:t>
      </w:r>
    </w:p>
    <w:p>
      <w:pPr/>
      <w:r>
        <w:rPr>
          <w:lang w:val="en_US" w:bidi="en_US"/>
        </w:rPr>
      </w:r>
      <w:r>
        <w:rPr>
          <w:b/>
          <w:lang w:val="en_US" w:bidi="en_US"/>
        </w:rPr>
        <w:t>In the same way, I tell you,</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it is the same</w:t>
      </w:r>
    </w:p>
    <w:p>
      <w:pPr>
        <w:pStyle w:val="ListBullet"/>
        <w:spacing w:line="240" w:lineRule="auto"/>
        <w:ind w:left="720"/>
      </w:pPr>
      <w:r>
        <w:rPr>
          <w:lang w:val="en_US" w:bidi="en_US"/>
        </w:rPr>
      </w:r>
      <w:r>
        <w:rPr>
          <w:lang w:val="en_US" w:bidi="en_US"/>
        </w:rPr>
        <w:t>Jesus said/concluded,</w:t>
      </w:r>
      <w:r>
        <w:rPr>
          <w:lang w:val="en_US" w:bidi="en_US"/>
        </w:rPr>
        <w:t xml:space="preserve"> “I tell you</w:t>
      </w:r>
      <w:r>
        <w:rPr>
          <w:vertAlign w:val="superscript"/>
          <w:lang w:val="en_US" w:bidi="en_US"/>
        </w:rPr>
        <w:t>(plur)</w:t>
      </w:r>
      <w:r>
        <w:rPr>
          <w:lang w:val="en_US" w:bidi="en_US"/>
        </w:rPr>
        <w:t xml:space="preserve"> this: Just like </w:t>
      </w:r>
      <w:r>
        <w:rPr>
          <w:lang w:val="en_US" w:bidi="en_US"/>
        </w:rPr>
        <w:t>the woman in that story</w:t>
      </w:r>
      <w:r>
        <w:rPr>
          <w:lang w:val="en_US" w:bidi="en_US"/>
        </w:rPr>
        <w:t>,</w:t>
      </w:r>
    </w:p>
    <w:p>
      <w:pPr/>
      <w:r>
        <w:rPr>
          <w:lang w:val="en_US" w:bidi="en_US"/>
        </w:rPr>
      </w:r>
      <w:r>
        <w:rPr>
          <w:b/>
          <w:lang w:val="en_US" w:bidi="en_US"/>
        </w:rPr>
        <w:t>In the same way:</w:t>
      </w:r>
      <w:r>
        <w:rPr>
          <w:lang w:val="en_US" w:bidi="en_US"/>
        </w:rPr>
        <w:t xml:space="preserve"> The Greek word that the BSB translates as </w:t>
      </w:r>
      <w:r>
        <w:rPr>
          <w:i/>
          <w:lang w:val="en_US" w:bidi="en_US"/>
        </w:rPr>
        <w:t>In the same way</w:t>
      </w:r>
      <w:r>
        <w:rPr>
          <w:lang w:val="en_US" w:bidi="en_US"/>
        </w:rPr>
        <w:t xml:space="preserve"> again introduces the important truth that the parable illustrates. When the woman found her lost coin, she invited her friends to rejoice with her. In the same way, God rejoices, and his angels rejoice with him. See the note on 15:7a.</w:t>
      </w:r>
    </w:p>
    <w:p>
      <w:pPr/>
      <w:r>
        <w:rPr>
          <w:lang w:val="en_US" w:bidi="en_US"/>
        </w:rPr>
      </w:r>
      <w:r>
        <w:rPr>
          <w:b/>
          <w:lang w:val="en_US" w:bidi="en_US"/>
        </w:rPr>
        <w:t>I tell you:</w:t>
      </w:r>
      <w:r>
        <w:rPr>
          <w:lang w:val="en_US" w:bidi="en_US"/>
        </w:rPr>
        <w:t xml:space="preserve"> Jesus often used the words </w:t>
      </w:r>
      <w:r>
        <w:rPr>
          <w:i/>
          <w:lang w:val="en_US" w:bidi="en_US"/>
        </w:rPr>
        <w:t>I tell you</w:t>
      </w:r>
      <w:r>
        <w:rPr>
          <w:lang w:val="en_US" w:bidi="en_US"/>
        </w:rPr>
        <w:t xml:space="preserve"> in a statement that he wanted to emphasize. He was asking people to listen with extra attention. Some ways to show this emphasis could be:</w:t>
      </w:r>
    </w:p>
    <w:p>
      <w:pPr>
        <w:pStyle w:val="ListBullet"/>
        <w:spacing w:line="240" w:lineRule="auto"/>
        <w:ind w:left="720"/>
      </w:pPr>
      <w:r>
        <w:rPr>
          <w:lang w:val="en_US" w:bidi="en_US"/>
        </w:rPr>
      </w:r>
      <w:r>
        <w:rPr>
          <w:lang w:val="en_US" w:bidi="en_US"/>
        </w:rPr>
        <w:t>As a phrase before Jesus’ statement. For example:</w:t>
      </w:r>
      <w:r>
        <w:rPr>
          <w:lang w:val="en_US" w:bidi="en_US"/>
        </w:rPr>
        <w:t>let me tell you this</w:t>
      </w:r>
      <w:r>
        <w:rPr>
          <w:lang w:val="en_US" w:bidi="en_US"/>
        </w:rPr>
        <w:t>listen</w:t>
      </w:r>
      <w:r>
        <w:rPr>
          <w:lang w:val="en_US" w:bidi="en_US"/>
        </w:rPr>
        <w:t>I assure you</w:t>
      </w:r>
    </w:p>
    <w:p>
      <w:pPr>
        <w:pStyle w:val="ListBullet"/>
        <w:spacing w:line="240" w:lineRule="auto"/>
        <w:ind w:left="720"/>
      </w:pPr>
      <w:r>
        <w:rPr>
          <w:lang w:val="en_US" w:bidi="en_US"/>
        </w:rPr>
      </w:r>
      <w:r>
        <w:rPr>
          <w:lang w:val="en_US" w:bidi="en_US"/>
        </w:rPr>
        <w:t>As an emphatic word within Jesus’ statement. For example:</w:t>
      </w:r>
      <w:r>
        <w:rPr>
          <w:lang w:val="en_US" w:bidi="en_US"/>
        </w:rPr>
        <w:t xml:space="preserve">In the same way there will </w:t>
      </w:r>
      <w:r>
        <w:rPr>
          <w:u w:val="single"/>
          <w:lang w:val="en_US" w:bidi="en_US"/>
        </w:rPr>
        <w:t>certainly</w:t>
      </w:r>
      <w:r>
        <w:rPr>
          <w:lang w:val="en_US" w:bidi="en_US"/>
        </w:rPr>
        <w:t xml:space="preserve"> be rejoicing in the presence of the angels…</w:t>
      </w:r>
    </w:p>
    <w:p>
      <w:pPr/>
      <w:r>
        <w:rPr>
          <w:lang w:val="en_US" w:bidi="en_US"/>
        </w:rPr>
      </w:r>
      <w:r>
        <w:rPr>
          <w:lang w:val="en_US" w:bidi="en_US"/>
        </w:rPr>
        <w:t>If you have another way in your language to emphasize a statement or to alert people to listen with special attention, consider using it here. See how you translated this expression in 10:12.</w:t>
      </w:r>
    </w:p>
    <w:p>
      <w:pPr>
        <w:pStyle w:val="Heading5"/>
      </w:pPr>
      <w:r>
        <w:rPr>
          <w:lang w:val="en_US" w:bidi="en_US"/>
        </w:rPr>
        <w:t>15:10b</w:t>
      </w:r>
    </w:p>
    <w:p>
      <w:pPr/>
      <w:r>
        <w:rPr>
          <w:lang w:val="en_US" w:bidi="en_US"/>
        </w:rPr>
      </w:r>
      <w:r>
        <w:rPr>
          <w:b/>
          <w:lang w:val="en_US" w:bidi="en_US"/>
        </w:rPr>
        <w:t>there is joy in the presence of God’s angels over one sinner who repents.”</w:t>
      </w:r>
    </w:p>
    <w:p>
      <w:pPr>
        <w:pStyle w:val="ListBullet"/>
        <w:spacing w:line="240" w:lineRule="auto"/>
        <w:ind w:left="720"/>
      </w:pPr>
      <w:r>
        <w:rPr>
          <w:lang w:val="en_US" w:bidi="en_US"/>
        </w:rPr>
      </w:r>
      <w:r>
        <w:rPr>
          <w:lang w:val="en_US" w:bidi="en_US"/>
        </w:rPr>
        <w:t xml:space="preserve">when one sinner repents. </w:t>
      </w:r>
      <w:r>
        <w:rPr>
          <w:lang w:val="en_US" w:bidi="en_US"/>
        </w:rPr>
        <w:t>When that happens,</w:t>
      </w:r>
      <w:r>
        <w:rPr>
          <w:lang w:val="en_US" w:bidi="en_US"/>
        </w:rPr>
        <w:t xml:space="preserve"> </w:t>
      </w:r>
      <w:r>
        <w:rPr>
          <w:lang w:val="en_US" w:bidi="en_US"/>
        </w:rPr>
        <w:t>God’s joy/gladness</w:t>
      </w:r>
      <w:r>
        <w:rPr>
          <w:lang w:val="en_US" w:bidi="en_US"/>
        </w:rPr>
        <w:t xml:space="preserve"> is great, as is the joy/gladness of his angels.”</w:t>
      </w:r>
    </w:p>
    <w:p>
      <w:pPr>
        <w:pStyle w:val="ListBullet"/>
        <w:spacing w:line="240" w:lineRule="auto"/>
        <w:ind w:left="720"/>
      </w:pPr>
      <w:r>
        <w:rPr>
          <w:lang w:val="en_US" w:bidi="en_US"/>
        </w:rPr>
      </w:r>
      <w:r>
        <w:rPr>
          <w:lang w:val="en_US" w:bidi="en_US"/>
        </w:rPr>
        <w:t>God</w:t>
      </w:r>
      <w:r>
        <w:rPr>
          <w:lang w:val="en_US" w:bidi="en_US"/>
        </w:rPr>
        <w:t xml:space="preserve"> rejoices with his angels when </w:t>
      </w:r>
      <w:r>
        <w:rPr>
          <w:lang w:val="en_US" w:bidi="en_US"/>
        </w:rPr>
        <w:t>even</w:t>
      </w:r>
      <w:r>
        <w:rPr>
          <w:lang w:val="en_US" w:bidi="en_US"/>
        </w:rPr>
        <w:t xml:space="preserve"> one sinner stops sinning.”</w:t>
      </w:r>
    </w:p>
    <w:p>
      <w:pPr/>
      <w:r>
        <w:rPr>
          <w:lang w:val="en_US" w:bidi="en_US"/>
        </w:rPr>
      </w:r>
      <w:r>
        <w:rPr>
          <w:b/>
          <w:lang w:val="en_US" w:bidi="en_US"/>
        </w:rPr>
        <w:t>there is joy in the presence of God’s angels:</w:t>
      </w:r>
      <w:r>
        <w:rPr>
          <w:lang w:val="en_US" w:bidi="en_US"/>
        </w:rPr>
        <w:t xml:space="preserve"> In this context the clause </w:t>
      </w:r>
      <w:r>
        <w:rPr>
          <w:i/>
          <w:lang w:val="en_US" w:bidi="en_US"/>
        </w:rPr>
        <w:t>there is joy in the presence of God’s angels</w:t>
      </w:r>
      <w:r>
        <w:rPr>
          <w:lang w:val="en_US" w:bidi="en_US"/>
        </w:rPr>
        <w:t xml:space="preserve"> has a similar meaning to the clause “there will be more joy in heaven” in 15:7b. It indicates indirectly that God rejoices. It also implies that his angels rejoice with him.</w:t>
      </w:r>
      <w:r>
        <w:rPr>
          <w:lang w:val="en_US" w:bidi="en_US"/>
        </w:rPr>
        <w:t>There are three ways to interpret this clause: (1) It indicates indirectly that God rejoices in the presence of his angels. (2) It indicates that both God and the angels rejoice. (3) It indicates simply that the angels rejoice. Most scholars think that the focus is on God’s rejoicing, but that his angels also rejoice with him. The text does not imply any difference in the attitude of God and the angels.</w:t>
      </w:r>
      <w:r>
        <w:rPr>
          <w:lang w:val="en_US" w:bidi="en_US"/>
        </w:rPr>
        <w:t xml:space="preserve"> Some ways to translate it are:</w:t>
      </w:r>
    </w:p>
    <w:p>
      <w:pPr/>
      <w:r>
        <w:rPr>
          <w:lang w:val="en_US" w:bidi="en_US"/>
        </w:rPr>
      </w:r>
      <w:r>
        <w:rPr>
          <w:lang w:val="en_US" w:bidi="en_US"/>
        </w:rPr>
        <w:t>God rejoices in the presence of his angels</w:t>
      </w:r>
    </w:p>
    <w:p>
      <w:pPr/>
      <w:r>
        <w:rPr>
          <w:lang w:val="en_US" w:bidi="en_US"/>
        </w:rPr>
      </w:r>
      <w:r>
        <w:rPr>
          <w:lang w:val="en_US" w:bidi="en_US"/>
        </w:rPr>
        <w:t>God rejoices and his angels rejoice with him</w:t>
      </w:r>
    </w:p>
    <w:p>
      <w:pPr/>
      <w:r>
        <w:rPr>
          <w:lang w:val="en_US" w:bidi="en_US"/>
        </w:rPr>
      </w:r>
      <w:r>
        <w:rPr>
          <w:lang w:val="en_US" w:bidi="en_US"/>
        </w:rPr>
        <w:t>See angel, Meaning 1, in the Glossary.</w:t>
      </w:r>
    </w:p>
    <w:p>
      <w:pPr/>
      <w:r>
        <w:rPr>
          <w:lang w:val="en_US" w:bidi="en_US"/>
        </w:rPr>
      </w:r>
      <w:r>
        <w:rPr>
          <w:b/>
          <w:lang w:val="en_US" w:bidi="en_US"/>
        </w:rPr>
        <w:t>joy:</w:t>
      </w:r>
      <w:r>
        <w:rPr>
          <w:lang w:val="en_US" w:bidi="en_US"/>
        </w:rPr>
        <w:t xml:space="preserve"> The Greek word that the BSB translates as </w:t>
      </w:r>
      <w:r>
        <w:rPr>
          <w:i/>
          <w:lang w:val="en_US" w:bidi="en_US"/>
        </w:rPr>
        <w:t>joy</w:t>
      </w:r>
      <w:r>
        <w:rPr>
          <w:lang w:val="en_US" w:bidi="en_US"/>
        </w:rPr>
        <w:t xml:space="preserve"> is the same word as in 15:7b.</w:t>
      </w:r>
    </w:p>
    <w:p>
      <w:pPr/>
      <w:r>
        <w:rPr>
          <w:lang w:val="en_US" w:bidi="en_US"/>
        </w:rPr>
      </w:r>
      <w:r>
        <w:rPr>
          <w:b/>
          <w:lang w:val="en_US" w:bidi="en_US"/>
        </w:rPr>
        <w:t>over one sinner who repents:</w:t>
      </w:r>
      <w:r>
        <w:rPr>
          <w:lang w:val="en_US" w:bidi="en_US"/>
        </w:rPr>
        <w:t xml:space="preserve"> This phrase also occurs in 15:7b.</w:t>
      </w:r>
      <w:r>
        <w:rPr>
          <w:lang w:val="en_US" w:bidi="en_US"/>
        </w:rPr>
      </w:r>
      <w:r>
        <w:rPr>
          <w:lang w:val="en_US" w:bidi="en_US"/>
        </w:rPr>
      </w:r>
    </w:p>
    <w:p>
      <w:pPr/>
      <w:r>
        <w:rPr>
          <w:lang w:val="en_US" w:bidi="en_US"/>
        </w:rPr>
      </w:r>
    </w:p>
    <w:p>
      <w:pPr>
        <w:pStyle w:val="Heading2"/>
      </w:pPr>
      <w:r>
        <w:rPr>
          <w:lang w:val="en_US" w:bidi="en_US"/>
        </w:rPr>
        <w:t>Luke 15:11</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5"/>
      </w:pPr>
      <w:r>
        <w:rPr>
          <w:lang w:val="en_US" w:bidi="en_US"/>
        </w:rPr>
        <w:t>15:11</w:t>
      </w:r>
    </w:p>
    <w:p>
      <w:pPr/>
      <w:r>
        <w:rPr>
          <w:lang w:val="en_US" w:bidi="en_US"/>
        </w:rPr>
      </w:r>
      <w:r>
        <w:rPr>
          <w:b/>
          <w:lang w:val="en_US" w:bidi="en_US"/>
        </w:rPr>
        <w:t>Then Jesus said, “There was a man who had two sons.</w:t>
      </w:r>
    </w:p>
    <w:p>
      <w:pPr>
        <w:pStyle w:val="ListBullet"/>
        <w:spacing w:line="240" w:lineRule="auto"/>
        <w:ind w:left="720"/>
      </w:pPr>
      <w:r>
        <w:rPr>
          <w:lang w:val="en_US" w:bidi="en_US"/>
        </w:rPr>
      </w:r>
      <w:r>
        <w:rPr>
          <w:lang w:val="en_US" w:bidi="en_US"/>
        </w:rPr>
        <w:t xml:space="preserve">¶ Then Jesus </w:t>
      </w:r>
      <w:r>
        <w:rPr>
          <w:lang w:val="en_US" w:bidi="en_US"/>
        </w:rPr>
        <w:t>told another story. He</w:t>
      </w:r>
      <w:r>
        <w:rPr>
          <w:lang w:val="en_US" w:bidi="en_US"/>
        </w:rPr>
        <w:t xml:space="preserve"> said, “A certain man had two sons.</w:t>
      </w:r>
    </w:p>
    <w:p>
      <w:pPr>
        <w:pStyle w:val="ListBullet"/>
        <w:spacing w:line="240" w:lineRule="auto"/>
        <w:ind w:left="720"/>
      </w:pPr>
      <w:r>
        <w:rPr>
          <w:lang w:val="en_US" w:bidi="en_US"/>
        </w:rPr>
      </w:r>
      <w:r>
        <w:rPr>
          <w:lang w:val="en_US" w:bidi="en_US"/>
        </w:rPr>
        <w:t xml:space="preserve">¶ As Jesus continued talking, </w:t>
      </w:r>
      <w:r>
        <w:rPr>
          <w:lang w:val="en_US" w:bidi="en_US"/>
        </w:rPr>
        <w:t>he told another parable</w:t>
      </w:r>
      <w:r>
        <w:rPr>
          <w:lang w:val="en_US" w:bidi="en_US"/>
        </w:rPr>
        <w:t>. “Once there lived a man and his two male children.</w:t>
      </w:r>
    </w:p>
    <w:p>
      <w:pPr/>
      <w:r>
        <w:rPr>
          <w:lang w:val="en_US" w:bidi="en_US"/>
        </w:rPr>
      </w:r>
      <w:r>
        <w:rPr>
          <w:b/>
          <w:lang w:val="en_US" w:bidi="en_US"/>
        </w:rPr>
        <w:t>Then Jesus said:</w:t>
      </w:r>
      <w:r>
        <w:rPr>
          <w:lang w:val="en_US" w:bidi="en_US"/>
        </w:rPr>
        <w:t xml:space="preserve"> The Greek phrase that the BSB translates as </w:t>
      </w:r>
      <w:r>
        <w:rPr>
          <w:i/>
          <w:lang w:val="en_US" w:bidi="en_US"/>
        </w:rPr>
        <w:t>Then Jesus said</w:t>
      </w:r>
      <w:r>
        <w:rPr>
          <w:lang w:val="en_US" w:bidi="en_US"/>
        </w:rPr>
        <w:t xml:space="preserve"> is literally “and/then he said.” It introduces the next parable that Jesus told the people. Other ways to introduce this parable are:</w:t>
      </w:r>
    </w:p>
    <w:p>
      <w:pPr/>
      <w:r>
        <w:rPr>
          <w:lang w:val="en_US" w:bidi="en_US"/>
        </w:rPr>
      </w:r>
      <w:r>
        <w:rPr>
          <w:lang w:val="en_US" w:bidi="en_US"/>
        </w:rPr>
        <w:t>Jesus also told them another story. (CEV)</w:t>
      </w:r>
    </w:p>
    <w:p>
      <w:pPr/>
      <w:r>
        <w:rPr>
          <w:lang w:val="en_US" w:bidi="en_US"/>
        </w:rPr>
      </w:r>
      <w:r>
        <w:rPr>
          <w:lang w:val="en_US" w:bidi="en_US"/>
        </w:rPr>
        <w:t>To illustrate the point further, Jesus told them this story: (NLT)</w:t>
      </w:r>
    </w:p>
    <w:p>
      <w:pPr/>
      <w:r>
        <w:rPr>
          <w:lang w:val="en_US" w:bidi="en_US"/>
        </w:rPr>
      </w:r>
      <w:r>
        <w:rPr>
          <w:b/>
          <w:lang w:val="en_US" w:bidi="en_US"/>
        </w:rPr>
        <w:t>There was a man who had two sons:</w:t>
      </w:r>
      <w:r>
        <w:rPr>
          <w:lang w:val="en_US" w:bidi="en_US"/>
        </w:rPr>
        <w:t xml:space="preserve"> The Greek clause that the BSB translates as </w:t>
      </w:r>
      <w:r>
        <w:rPr>
          <w:i/>
          <w:lang w:val="en_US" w:bidi="en_US"/>
        </w:rPr>
        <w:t>There was a man who had two sons</w:t>
      </w:r>
      <w:r>
        <w:rPr>
          <w:lang w:val="en_US" w:bidi="en_US"/>
        </w:rPr>
        <w:t xml:space="preserve"> begins the story by introducing all three of the main characters. The BSB has translated it in a way that is natural in English. Use an introductory phrase that is natural in your language for beginning a story. The events of the story did not actually happen, but they illustrate something that is true about God.</w:t>
      </w:r>
    </w:p>
    <w:p>
      <w:pPr/>
      <w:r>
        <w:rPr>
          <w:lang w:val="en_US" w:bidi="en_US"/>
        </w:rPr>
      </w:r>
      <w:r>
        <w:rPr>
          <w:b/>
          <w:lang w:val="en_US" w:bidi="en_US"/>
        </w:rPr>
        <w:t>who had two sons:</w:t>
      </w:r>
      <w:r>
        <w:rPr>
          <w:lang w:val="en_US" w:bidi="en_US"/>
        </w:rPr>
        <w:t xml:space="preserve"> In some languages there may not be one word like “son.” Another way to translate the clause is:</w:t>
      </w:r>
    </w:p>
    <w:p>
      <w:pPr/>
      <w:r>
        <w:rPr>
          <w:lang w:val="en_US" w:bidi="en_US"/>
        </w:rPr>
      </w:r>
      <w:r>
        <w:rPr>
          <w:lang w:val="en_US" w:bidi="en_US"/>
        </w:rPr>
        <w:t>who had two male offspring</w:t>
      </w:r>
    </w:p>
    <w:p>
      <w:pPr/>
      <w:r>
        <w:rPr>
          <w:lang w:val="en_US" w:bidi="en_US"/>
        </w:rPr>
      </w:r>
      <w:r>
        <w:rPr>
          <w:lang w:val="en_US" w:bidi="en_US"/>
        </w:rPr>
        <w:t>Consider how your language describes this relationship.</w:t>
      </w:r>
      <w:r>
        <w:rPr>
          <w:lang w:val="en_US" w:bidi="en_US"/>
        </w:rPr>
      </w:r>
      <w:r>
        <w:rPr>
          <w:lang w:val="en_US" w:bidi="en_US"/>
        </w:rPr>
      </w:r>
    </w:p>
    <w:p>
      <w:pPr/>
      <w:r>
        <w:rPr>
          <w:lang w:val="en_US" w:bidi="en_US"/>
        </w:rPr>
      </w:r>
    </w:p>
    <w:p>
      <w:pPr>
        <w:pStyle w:val="Heading2"/>
      </w:pPr>
      <w:r>
        <w:rPr>
          <w:lang w:val="en_US" w:bidi="en_US"/>
        </w:rPr>
        <w:t>Luke 15:12</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5"/>
      </w:pPr>
      <w:r>
        <w:rPr>
          <w:lang w:val="en_US" w:bidi="en_US"/>
        </w:rPr>
        <w:t>15:12a</w:t>
      </w:r>
    </w:p>
    <w:p>
      <w:pPr/>
      <w:r>
        <w:rPr>
          <w:lang w:val="en_US" w:bidi="en_US"/>
        </w:rPr>
      </w:r>
      <w:r>
        <w:rPr>
          <w:b/>
          <w:lang w:val="en_US" w:bidi="en_US"/>
        </w:rPr>
        <w:t>The younger son said to him, ‘Father, give me my share of the estate.’</w:t>
      </w:r>
    </w:p>
    <w:p>
      <w:pPr>
        <w:pStyle w:val="ListBullet"/>
        <w:spacing w:line="240" w:lineRule="auto"/>
        <w:ind w:left="720"/>
      </w:pPr>
      <w:r>
        <w:rPr>
          <w:lang w:val="en_US" w:bidi="en_US"/>
        </w:rPr>
      </w:r>
      <w:r>
        <w:rPr>
          <w:lang w:val="en_US" w:bidi="en_US"/>
        </w:rPr>
        <w:t xml:space="preserve">The younger </w:t>
      </w:r>
      <w:r>
        <w:rPr>
          <w:lang w:val="en_US" w:bidi="en_US"/>
        </w:rPr>
        <w:t>son</w:t>
      </w:r>
      <w:r>
        <w:rPr>
          <w:lang w:val="en_US" w:bidi="en_US"/>
        </w:rPr>
        <w:t xml:space="preserve"> said to his father, ‘</w:t>
      </w:r>
      <w:r>
        <w:rPr>
          <w:lang w:val="en_US" w:bidi="en_US"/>
        </w:rPr>
        <w:t>My</w:t>
      </w:r>
      <w:r>
        <w:rPr>
          <w:lang w:val="en_US" w:bidi="en_US"/>
        </w:rPr>
        <w:t xml:space="preserve"> father, </w:t>
      </w:r>
      <w:r>
        <w:rPr>
          <w:lang w:val="en_US" w:bidi="en_US"/>
        </w:rPr>
        <w:t>please</w:t>
      </w:r>
      <w:r>
        <w:rPr>
          <w:lang w:val="en_US" w:bidi="en_US"/>
        </w:rPr>
        <w:t xml:space="preserve"> </w:t>
      </w:r>
      <w:r>
        <w:rPr>
          <w:lang w:val="en_US" w:bidi="en_US"/>
        </w:rPr>
        <w:t>divide your property and</w:t>
      </w:r>
      <w:r>
        <w:rPr>
          <w:lang w:val="en_US" w:bidi="en_US"/>
        </w:rPr>
        <w:t xml:space="preserve"> give to me </w:t>
      </w:r>
      <w:r>
        <w:rPr>
          <w:lang w:val="en_US" w:bidi="en_US"/>
        </w:rPr>
        <w:t>now</w:t>
      </w:r>
      <w:r>
        <w:rPr>
          <w:lang w:val="en_US" w:bidi="en_US"/>
        </w:rPr>
        <w:t xml:space="preserve"> the part that </w:t>
      </w:r>
      <w:r>
        <w:rPr>
          <w:lang w:val="en_US" w:bidi="en_US"/>
        </w:rPr>
        <w:t>will</w:t>
      </w:r>
      <w:r>
        <w:rPr>
          <w:lang w:val="en_US" w:bidi="en_US"/>
        </w:rPr>
        <w:t xml:space="preserve"> belong to me.’</w:t>
      </w:r>
    </w:p>
    <w:p>
      <w:pPr>
        <w:pStyle w:val="ListBullet"/>
        <w:spacing w:line="240" w:lineRule="auto"/>
        <w:ind w:left="720"/>
      </w:pPr>
      <w:r>
        <w:rPr>
          <w:lang w:val="en_US" w:bidi="en_US"/>
        </w:rPr>
      </w:r>
      <w:r>
        <w:rPr>
          <w:lang w:val="en_US" w:bidi="en_US"/>
        </w:rPr>
        <w:t>One day,</w:t>
      </w:r>
      <w:r>
        <w:rPr>
          <w:lang w:val="en_US" w:bidi="en_US"/>
        </w:rPr>
        <w:t xml:space="preserve"> the younger </w:t>
      </w:r>
      <w:r>
        <w:rPr>
          <w:lang w:val="en_US" w:bidi="en_US"/>
        </w:rPr>
        <w:t>child</w:t>
      </w:r>
      <w:r>
        <w:rPr>
          <w:lang w:val="en_US" w:bidi="en_US"/>
        </w:rPr>
        <w:t xml:space="preserve"> asked his father to give him the share of the family inheritance that was his </w:t>
      </w:r>
      <w:r>
        <w:rPr>
          <w:lang w:val="en_US" w:bidi="en_US"/>
        </w:rPr>
        <w:t>by right/custom</w:t>
      </w:r>
      <w:r>
        <w:rPr>
          <w:lang w:val="en_US" w:bidi="en_US"/>
        </w:rPr>
        <w:t>.</w:t>
      </w:r>
    </w:p>
    <w:p>
      <w:pPr/>
      <w:r>
        <w:rPr>
          <w:lang w:val="en_US" w:bidi="en_US"/>
        </w:rPr>
      </w:r>
      <w:r>
        <w:rPr>
          <w:lang w:val="en_US" w:bidi="en_US"/>
        </w:rPr>
        <w:t>The action of the story begins in this part of the verse. In some languages it may be good style to supply a general time phrase. For example:</w:t>
      </w:r>
    </w:p>
    <w:p>
      <w:pPr/>
      <w:r>
        <w:rPr>
          <w:lang w:val="en_US" w:bidi="en_US"/>
        </w:rPr>
      </w:r>
      <w:r>
        <w:rPr>
          <w:lang w:val="en_US" w:bidi="en_US"/>
        </w:rPr>
        <w:t>One day</w:t>
      </w:r>
    </w:p>
    <w:p>
      <w:pPr/>
      <w:r>
        <w:rPr>
          <w:lang w:val="en_US" w:bidi="en_US"/>
        </w:rPr>
      </w:r>
      <w:r>
        <w:rPr>
          <w:b/>
          <w:lang w:val="en_US" w:bidi="en_US"/>
        </w:rPr>
        <w:t>The younger son:</w:t>
      </w:r>
      <w:r>
        <w:rPr>
          <w:lang w:val="en_US" w:bidi="en_US"/>
        </w:rPr>
        <w:t xml:space="preserve"> The Greek phrase that the BSB translates as </w:t>
      </w:r>
      <w:r>
        <w:rPr>
          <w:i/>
          <w:lang w:val="en_US" w:bidi="en_US"/>
        </w:rPr>
        <w:t>The younger son</w:t>
      </w:r>
      <w:r>
        <w:rPr>
          <w:lang w:val="en_US" w:bidi="en_US"/>
        </w:rPr>
        <w:t xml:space="preserve"> means “The younger of the two sons.” In some languages it is necessary to indicate approximately how old the son was. If this is true in your language, you should use a word that applies to a man of about sixteen to twenty years old.</w:t>
      </w:r>
    </w:p>
    <w:p>
      <w:pPr/>
      <w:r>
        <w:rPr>
          <w:lang w:val="en_US" w:bidi="en_US"/>
        </w:rPr>
      </w:r>
      <w:r>
        <w:rPr>
          <w:b/>
          <w:lang w:val="en_US" w:bidi="en_US"/>
        </w:rPr>
        <w:t>give me my share of the estate:</w:t>
      </w:r>
      <w:r>
        <w:rPr>
          <w:lang w:val="en_US" w:bidi="en_US"/>
        </w:rPr>
        <w:t xml:space="preserve"> In Greek, this was a request. It should not sound like a rude or abrupt command. In some languages it may be appropriate to supply a word such as “please.” Other ways to translate this request are given in the next note.</w:t>
      </w:r>
    </w:p>
    <w:p>
      <w:pPr/>
      <w:r>
        <w:rPr>
          <w:lang w:val="en_US" w:bidi="en_US"/>
        </w:rPr>
      </w:r>
      <w:r>
        <w:rPr>
          <w:b/>
          <w:lang w:val="en_US" w:bidi="en_US"/>
        </w:rPr>
        <w:t>my share of the estate:</w:t>
      </w:r>
      <w:r>
        <w:rPr>
          <w:lang w:val="en_US" w:bidi="en_US"/>
        </w:rPr>
        <w:t xml:space="preserve"> The Greek phrase that the BSB translates as </w:t>
      </w:r>
      <w:r>
        <w:rPr>
          <w:i/>
          <w:lang w:val="en_US" w:bidi="en_US"/>
        </w:rPr>
        <w:t>my share of the estate</w:t>
      </w:r>
      <w:r>
        <w:rPr>
          <w:lang w:val="en_US" w:bidi="en_US"/>
        </w:rPr>
        <w:t xml:space="preserve"> means “that part of the family property that belongs to me.” Usually, sons received their portion of the family property when their father became very old or died. However, this son did not want to wait until his father died to inherit the property. He wanted to have his inheritance immediately.</w:t>
      </w:r>
    </w:p>
    <w:p>
      <w:pPr/>
      <w:r>
        <w:rPr>
          <w:lang w:val="en_US" w:bidi="en_US"/>
        </w:rPr>
      </w:r>
      <w:r>
        <w:rPr>
          <w:lang w:val="en_US" w:bidi="en_US"/>
        </w:rPr>
        <w:t xml:space="preserve">In some languages it may be necessary to make explicit that the phrase </w:t>
      </w:r>
      <w:r>
        <w:rPr>
          <w:i/>
          <w:lang w:val="en_US" w:bidi="en_US"/>
        </w:rPr>
        <w:t>my share of the estate</w:t>
      </w:r>
      <w:r>
        <w:rPr>
          <w:lang w:val="en_US" w:bidi="en_US"/>
        </w:rPr>
        <w:t xml:space="preserve"> refers to the portion that he would inherit from his father. It may also be necessary to indicate that the father would need to divide the property right then, before he died, in order to give this son his share. For example:</w:t>
      </w:r>
    </w:p>
    <w:p>
      <w:pPr/>
      <w:r>
        <w:rPr>
          <w:lang w:val="en_US" w:bidi="en_US"/>
        </w:rPr>
      </w:r>
      <w:r>
        <w:rPr>
          <w:lang w:val="en_US" w:bidi="en_US"/>
        </w:rPr>
        <w:t>Please divide your wealth now and give me my share.</w:t>
      </w:r>
    </w:p>
    <w:p>
      <w:pPr/>
      <w:r>
        <w:rPr>
          <w:lang w:val="en_US" w:bidi="en_US"/>
        </w:rPr>
      </w:r>
      <w:r>
        <w:rPr>
          <w:lang w:val="en_US" w:bidi="en_US"/>
        </w:rPr>
        <w:t>I want my share of your estate now before you die. (NLT)</w:t>
      </w:r>
    </w:p>
    <w:p>
      <w:pPr/>
      <w:r>
        <w:rPr>
          <w:lang w:val="en_US" w:bidi="en_US"/>
        </w:rPr>
      </w:r>
      <w:r>
        <w:rPr>
          <w:lang w:val="en_US" w:bidi="en_US"/>
        </w:rPr>
        <w:t>Please give me now my share of the inheritance.</w:t>
      </w:r>
    </w:p>
    <w:p>
      <w:pPr/>
      <w:r>
        <w:rPr>
          <w:lang w:val="en_US" w:bidi="en_US"/>
        </w:rPr>
      </w:r>
      <w:r>
        <w:rPr>
          <w:lang w:val="en_US" w:bidi="en_US"/>
        </w:rPr>
        <w:t>In some languages it may be more natural to leave more information implied here, since the next verse will supply some of that information. For example:</w:t>
      </w:r>
    </w:p>
    <w:p>
      <w:pPr/>
      <w:r>
        <w:rPr>
          <w:lang w:val="en_US" w:bidi="en_US"/>
        </w:rPr>
      </w:r>
      <w:r>
        <w:rPr>
          <w:lang w:val="en_US" w:bidi="en_US"/>
        </w:rPr>
        <w:t>I would like to get my inheritance now.</w:t>
      </w:r>
    </w:p>
    <w:p>
      <w:pPr/>
      <w:r>
        <w:rPr>
          <w:lang w:val="en_US" w:bidi="en_US"/>
        </w:rPr>
      </w:r>
      <w:r>
        <w:rPr>
          <w:lang w:val="en_US" w:bidi="en_US"/>
        </w:rPr>
        <w:t>In some languages it may be more natural to translate this request as indirect speech. See the second meaning line for 15:12a in the Display.</w:t>
      </w:r>
    </w:p>
    <w:p>
      <w:pPr>
        <w:pStyle w:val="Heading5"/>
      </w:pPr>
      <w:r>
        <w:rPr>
          <w:lang w:val="en_US" w:bidi="en_US"/>
        </w:rPr>
        <w:t>15:12b</w:t>
      </w:r>
    </w:p>
    <w:p>
      <w:pPr/>
      <w:r>
        <w:rPr>
          <w:lang w:val="en_US" w:bidi="en_US"/>
        </w:rPr>
      </w:r>
      <w:r>
        <w:rPr>
          <w:b/>
          <w:lang w:val="en_US" w:bidi="en_US"/>
        </w:rPr>
        <w:t>So he divided his property between them.</w:t>
      </w:r>
    </w:p>
    <w:p>
      <w:pPr>
        <w:pStyle w:val="ListBullet"/>
        <w:spacing w:line="240" w:lineRule="auto"/>
        <w:ind w:left="720"/>
      </w:pPr>
      <w:r>
        <w:rPr>
          <w:lang w:val="en_US" w:bidi="en_US"/>
        </w:rPr>
      </w:r>
      <w:r>
        <w:rPr>
          <w:lang w:val="en_US" w:bidi="en_US"/>
        </w:rPr>
        <w:t xml:space="preserve">So </w:t>
      </w:r>
      <w:r>
        <w:rPr>
          <w:lang w:val="en_US" w:bidi="en_US"/>
        </w:rPr>
        <w:t>his father</w:t>
      </w:r>
      <w:r>
        <w:rPr>
          <w:lang w:val="en_US" w:bidi="en_US"/>
        </w:rPr>
        <w:t xml:space="preserve"> gave </w:t>
      </w:r>
      <w:r>
        <w:rPr>
          <w:lang w:val="en_US" w:bidi="en_US"/>
        </w:rPr>
        <w:t>his two sons</w:t>
      </w:r>
      <w:r>
        <w:rPr>
          <w:lang w:val="en_US" w:bidi="en_US"/>
        </w:rPr>
        <w:t xml:space="preserve"> the share that each one should receive.</w:t>
      </w:r>
    </w:p>
    <w:p>
      <w:pPr>
        <w:pStyle w:val="ListBullet"/>
        <w:spacing w:line="240" w:lineRule="auto"/>
        <w:ind w:left="720"/>
      </w:pPr>
      <w:r>
        <w:rPr>
          <w:lang w:val="en_US" w:bidi="en_US"/>
        </w:rPr>
      </w:r>
      <w:r>
        <w:rPr>
          <w:lang w:val="en_US" w:bidi="en_US"/>
        </w:rPr>
        <w:t>His father agreed and</w:t>
      </w:r>
      <w:r>
        <w:rPr>
          <w:lang w:val="en_US" w:bidi="en_US"/>
        </w:rPr>
        <w:t xml:space="preserve"> split his property/estate between </w:t>
      </w:r>
      <w:r>
        <w:rPr>
          <w:lang w:val="en_US" w:bidi="en_US"/>
        </w:rPr>
        <w:t>his two children</w:t>
      </w:r>
      <w:r>
        <w:rPr>
          <w:lang w:val="en_US" w:bidi="en_US"/>
        </w:rPr>
        <w:t>.</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here introduces what his father did in response to his son’s request. In some languages it may be necessary to make it explicit that the father agreed to give his son his inheritance right away:</w:t>
      </w:r>
    </w:p>
    <w:p>
      <w:pPr/>
      <w:r>
        <w:rPr>
          <w:lang w:val="en_US" w:bidi="en_US"/>
        </w:rPr>
      </w:r>
      <w:r>
        <w:rPr>
          <w:lang w:val="en_US" w:bidi="en_US"/>
        </w:rPr>
        <w:t>His father agreed to do this</w:t>
      </w:r>
      <w:r>
        <w:rPr>
          <w:lang w:val="en_US" w:bidi="en_US"/>
        </w:rPr>
        <w:t xml:space="preserve"> and</w:t>
      </w:r>
    </w:p>
    <w:p>
      <w:pPr/>
      <w:r>
        <w:rPr>
          <w:lang w:val="en_US" w:bidi="en_US"/>
        </w:rPr>
      </w:r>
      <w:r>
        <w:rPr>
          <w:b/>
          <w:lang w:val="en_US" w:bidi="en_US"/>
        </w:rPr>
        <w:t>he divided his property between them:</w:t>
      </w:r>
      <w:r>
        <w:rPr>
          <w:lang w:val="en_US" w:bidi="en_US"/>
        </w:rPr>
        <w:t xml:space="preserve"> According to Jewish custom, the older son received a share of the family property that was twice as large as that of any other son. So probably the younger son received a third of his father’s property. You may want to put this information in a footnote. Be careful not to translate </w:t>
      </w:r>
      <w:r>
        <w:rPr>
          <w:i/>
          <w:lang w:val="en_US" w:bidi="en_US"/>
        </w:rPr>
        <w:t>divided</w:t>
      </w:r>
      <w:r>
        <w:rPr>
          <w:lang w:val="en_US" w:bidi="en_US"/>
        </w:rPr>
        <w:t xml:space="preserve"> in a way that implies dividing into two equal halves.</w:t>
      </w:r>
      <w:r>
        <w:rPr>
          <w:lang w:val="en_US" w:bidi="en_US"/>
        </w:rPr>
      </w:r>
      <w:r>
        <w:rPr>
          <w:lang w:val="en_US" w:bidi="en_US"/>
        </w:rPr>
      </w:r>
    </w:p>
    <w:p>
      <w:pPr/>
      <w:r>
        <w:rPr>
          <w:lang w:val="en_US" w:bidi="en_US"/>
        </w:rPr>
      </w:r>
    </w:p>
    <w:p>
      <w:pPr>
        <w:pStyle w:val="Heading2"/>
      </w:pPr>
      <w:r>
        <w:rPr>
          <w:lang w:val="en_US" w:bidi="en_US"/>
        </w:rPr>
        <w:t>Luke 15:13</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5"/>
      </w:pPr>
      <w:r>
        <w:rPr>
          <w:lang w:val="en_US" w:bidi="en_US"/>
        </w:rPr>
        <w:t>15:13a</w:t>
      </w:r>
    </w:p>
    <w:p>
      <w:pPr/>
      <w:r>
        <w:rPr>
          <w:lang w:val="en_US" w:bidi="en_US"/>
        </w:rPr>
      </w:r>
      <w:r>
        <w:rPr>
          <w:b/>
          <w:lang w:val="en_US" w:bidi="en_US"/>
        </w:rPr>
        <w:t>After a few days, the younger son got everything together</w:t>
      </w:r>
    </w:p>
    <w:p>
      <w:pPr>
        <w:pStyle w:val="ListBullet"/>
        <w:spacing w:line="240" w:lineRule="auto"/>
        <w:ind w:left="720"/>
      </w:pPr>
      <w:r>
        <w:rPr>
          <w:lang w:val="en_US" w:bidi="en_US"/>
        </w:rPr>
      </w:r>
      <w:r>
        <w:rPr>
          <w:lang w:val="en_US" w:bidi="en_US"/>
        </w:rPr>
        <w:t xml:space="preserve">Very soon after that, the younger son </w:t>
      </w:r>
      <w:r>
        <w:rPr>
          <w:lang w:val="en_US" w:bidi="en_US"/>
        </w:rPr>
        <w:t>sold his share of the property and</w:t>
      </w:r>
      <w:r>
        <w:rPr>
          <w:lang w:val="en_US" w:bidi="en_US"/>
        </w:rPr>
        <w:t xml:space="preserve"> gathered together everything he owned.</w:t>
      </w:r>
    </w:p>
    <w:p>
      <w:pPr>
        <w:pStyle w:val="ListBullet"/>
        <w:spacing w:line="240" w:lineRule="auto"/>
        <w:ind w:left="720"/>
      </w:pPr>
      <w:r>
        <w:rPr>
          <w:lang w:val="en_US" w:bidi="en_US"/>
        </w:rPr>
      </w:r>
      <w:r>
        <w:rPr>
          <w:lang w:val="en_US" w:bidi="en_US"/>
        </w:rPr>
        <w:t>Just a few days later, the younger child collected/took all his possessions/wealth</w:t>
      </w:r>
    </w:p>
    <w:p>
      <w:pPr/>
      <w:r>
        <w:rPr>
          <w:lang w:val="en_US" w:bidi="en_US"/>
        </w:rPr>
      </w:r>
      <w:r>
        <w:rPr>
          <w:b/>
          <w:lang w:val="en_US" w:bidi="en_US"/>
        </w:rPr>
        <w:t>After a few days:</w:t>
      </w:r>
      <w:r>
        <w:rPr>
          <w:lang w:val="en_US" w:bidi="en_US"/>
        </w:rPr>
        <w:t xml:space="preserve"> The Greek phrase that the BSB translates as </w:t>
      </w:r>
      <w:r>
        <w:rPr>
          <w:i/>
          <w:lang w:val="en_US" w:bidi="en_US"/>
        </w:rPr>
        <w:t>After a few days</w:t>
      </w:r>
      <w:r>
        <w:rPr>
          <w:lang w:val="en_US" w:bidi="en_US"/>
        </w:rPr>
        <w:t xml:space="preserve"> is more literally “Not many days later.” For example:</w:t>
      </w:r>
    </w:p>
    <w:p>
      <w:pPr/>
      <w:r>
        <w:rPr>
          <w:lang w:val="en_US" w:bidi="en_US"/>
        </w:rPr>
      </w:r>
      <w:r>
        <w:rPr>
          <w:lang w:val="en_US" w:bidi="en_US"/>
        </w:rPr>
        <w:t>After a few days (GNT)</w:t>
      </w:r>
    </w:p>
    <w:p>
      <w:pPr/>
      <w:r>
        <w:rPr>
          <w:lang w:val="en_US" w:bidi="en_US"/>
        </w:rPr>
      </w:r>
      <w:r>
        <w:rPr>
          <w:b/>
          <w:lang w:val="en_US" w:bidi="en_US"/>
        </w:rPr>
        <w:t>the younger son got everything together:</w:t>
      </w:r>
      <w:r>
        <w:rPr>
          <w:lang w:val="en_US" w:bidi="en_US"/>
        </w:rPr>
        <w:t xml:space="preserve"> The Greek expression that the BSB translates as </w:t>
      </w:r>
      <w:r>
        <w:rPr>
          <w:i/>
          <w:lang w:val="en_US" w:bidi="en_US"/>
        </w:rPr>
        <w:t>got everything together</w:t>
      </w:r>
      <w:r>
        <w:rPr>
          <w:lang w:val="en_US" w:bidi="en_US"/>
        </w:rPr>
        <w:t xml:space="preserve"> indicates that he gathered all his possessions that could be moved. The context probably implies that the younger son sold all his share of the property as soon as he could. Then he packed up his money and everything else that he wanted to take with him. Other ways to translate this clause are:</w:t>
      </w:r>
    </w:p>
    <w:p>
      <w:pPr/>
      <w:r>
        <w:rPr>
          <w:lang w:val="en_US" w:bidi="en_US"/>
        </w:rPr>
      </w:r>
      <w:r>
        <w:rPr>
          <w:lang w:val="en_US" w:bidi="en_US"/>
        </w:rPr>
        <w:t>the younger son sold his part of the property and left home with the money (GNT)</w:t>
      </w:r>
    </w:p>
    <w:p>
      <w:pPr/>
      <w:r>
        <w:rPr>
          <w:lang w:val="en_US" w:bidi="en_US"/>
        </w:rPr>
      </w:r>
      <w:r>
        <w:rPr>
          <w:lang w:val="en_US" w:bidi="en_US"/>
        </w:rPr>
        <w:t>the younger son sold his share and took his money and possessions</w:t>
      </w:r>
    </w:p>
    <w:p>
      <w:pPr>
        <w:pStyle w:val="Heading5"/>
      </w:pPr>
      <w:r>
        <w:rPr>
          <w:lang w:val="en_US" w:bidi="en_US"/>
        </w:rPr>
        <w:t>15:13b</w:t>
      </w:r>
    </w:p>
    <w:p>
      <w:pPr/>
      <w:r>
        <w:rPr>
          <w:lang w:val="en_US" w:bidi="en_US"/>
        </w:rPr>
      </w:r>
      <w:r>
        <w:rPr>
          <w:b/>
          <w:lang w:val="en_US" w:bidi="en_US"/>
        </w:rPr>
        <w:t>and journeyed to a distant country,</w:t>
      </w:r>
    </w:p>
    <w:p>
      <w:pPr>
        <w:pStyle w:val="ListBullet"/>
        <w:spacing w:line="240" w:lineRule="auto"/>
        <w:ind w:left="720"/>
      </w:pPr>
      <w:r>
        <w:rPr>
          <w:lang w:val="en_US" w:bidi="en_US"/>
        </w:rPr>
      </w:r>
      <w:r>
        <w:rPr>
          <w:lang w:val="en_US" w:bidi="en_US"/>
        </w:rPr>
        <w:t>Then he left home and went to another country far away.</w:t>
      </w:r>
    </w:p>
    <w:p>
      <w:pPr>
        <w:pStyle w:val="ListBullet"/>
        <w:spacing w:line="240" w:lineRule="auto"/>
        <w:ind w:left="720"/>
      </w:pPr>
      <w:r>
        <w:rPr>
          <w:lang w:val="en_US" w:bidi="en_US"/>
        </w:rPr>
      </w:r>
      <w:r>
        <w:rPr>
          <w:lang w:val="en_US" w:bidi="en_US"/>
        </w:rPr>
        <w:t>and traveled a great distance to a foreign land.</w:t>
      </w:r>
    </w:p>
    <w:p>
      <w:pPr/>
      <w:r>
        <w:rPr>
          <w:lang w:val="en_US" w:bidi="en_US"/>
        </w:rPr>
      </w:r>
      <w:r>
        <w:rPr>
          <w:b/>
          <w:lang w:val="en_US" w:bidi="en_US"/>
        </w:rPr>
        <w:t>journeyed to a distant country:</w:t>
      </w:r>
      <w:r>
        <w:rPr>
          <w:lang w:val="en_US" w:bidi="en_US"/>
        </w:rPr>
        <w:t xml:space="preserve"> The Greek phrase that the BSB translates as </w:t>
      </w:r>
      <w:r>
        <w:rPr>
          <w:i/>
          <w:lang w:val="en_US" w:bidi="en_US"/>
        </w:rPr>
        <w:t>journeyed to a distant country</w:t>
      </w:r>
      <w:r>
        <w:rPr>
          <w:lang w:val="en_US" w:bidi="en_US"/>
        </w:rPr>
        <w:t xml:space="preserve"> means here that the younger son left home and traveled to a foreign land that was far from his home.</w:t>
      </w:r>
    </w:p>
    <w:p>
      <w:pPr>
        <w:pStyle w:val="Heading5"/>
      </w:pPr>
      <w:r>
        <w:rPr>
          <w:lang w:val="en_US" w:bidi="en_US"/>
        </w:rPr>
        <w:t>15:13c</w:t>
      </w:r>
    </w:p>
    <w:p>
      <w:pPr/>
      <w:r>
        <w:rPr>
          <w:lang w:val="en_US" w:bidi="en_US"/>
        </w:rPr>
      </w:r>
      <w:r>
        <w:rPr>
          <w:b/>
          <w:lang w:val="en_US" w:bidi="en_US"/>
        </w:rPr>
        <w:t>where he squandered his wealth in wild living.</w:t>
      </w:r>
    </w:p>
    <w:p>
      <w:pPr>
        <w:pStyle w:val="ListBullet"/>
        <w:spacing w:line="240" w:lineRule="auto"/>
        <w:ind w:left="720"/>
      </w:pPr>
      <w:r>
        <w:rPr>
          <w:lang w:val="en_US" w:bidi="en_US"/>
        </w:rPr>
      </w:r>
      <w:r>
        <w:rPr>
          <w:lang w:val="en_US" w:bidi="en_US"/>
        </w:rPr>
        <w:t>After he arrived</w:t>
      </w:r>
      <w:r>
        <w:rPr>
          <w:lang w:val="en_US" w:bidi="en_US"/>
        </w:rPr>
        <w:t xml:space="preserve"> there, he wasted/spent his money by living foolishly/recklessly.</w:t>
      </w:r>
    </w:p>
    <w:p>
      <w:pPr>
        <w:pStyle w:val="ListBullet"/>
        <w:spacing w:line="240" w:lineRule="auto"/>
        <w:ind w:left="720"/>
      </w:pPr>
      <w:r>
        <w:rPr>
          <w:lang w:val="en_US" w:bidi="en_US"/>
        </w:rPr>
      </w:r>
      <w:r>
        <w:rPr>
          <w:lang w:val="en_US" w:bidi="en_US"/>
        </w:rPr>
        <w:t>There he lived an extravagant and immoral life.</w:t>
      </w:r>
    </w:p>
    <w:p>
      <w:pPr/>
      <w:r>
        <w:rPr>
          <w:lang w:val="en_US" w:bidi="en_US"/>
        </w:rPr>
      </w:r>
      <w:r>
        <w:rPr>
          <w:lang w:val="en_US" w:bidi="en_US"/>
        </w:rPr>
        <w:t>In some languages it may be necessary to make explicit that the younger son not only set off for this distant country but actually reached it. For example:</w:t>
      </w:r>
    </w:p>
    <w:p>
      <w:pPr/>
      <w:r>
        <w:rPr>
          <w:lang w:val="en_US" w:bidi="en_US"/>
        </w:rPr>
      </w:r>
      <w:r>
        <w:rPr>
          <w:lang w:val="en_US" w:bidi="en_US"/>
        </w:rPr>
        <w:t>When he arrived</w:t>
      </w:r>
      <w:r>
        <w:rPr>
          <w:lang w:val="en_US" w:bidi="en_US"/>
        </w:rPr>
        <w:t xml:space="preserve"> …</w:t>
      </w:r>
    </w:p>
    <w:p>
      <w:pPr/>
      <w:r>
        <w:rPr>
          <w:lang w:val="en_US" w:bidi="en_US"/>
        </w:rPr>
      </w:r>
      <w:r>
        <w:rPr>
          <w:b/>
          <w:lang w:val="en_US" w:bidi="en_US"/>
        </w:rPr>
        <w:t>squandered his wealth in wild living:</w:t>
      </w:r>
      <w:r>
        <w:rPr>
          <w:lang w:val="en_US" w:bidi="en_US"/>
        </w:rPr>
        <w:t xml:space="preserve"> The Greek phrase that the BSB translates as </w:t>
      </w:r>
      <w:r>
        <w:rPr>
          <w:i/>
          <w:lang w:val="en_US" w:bidi="en_US"/>
        </w:rPr>
        <w:t>squandered his wealth</w:t>
      </w:r>
      <w:r>
        <w:rPr>
          <w:lang w:val="en_US" w:bidi="en_US"/>
        </w:rPr>
        <w:t xml:space="preserve"> means “wasted his money.” The younger son was extravagant and wasteful. He did not try to use his money wisely. Other ways to translate this are:</w:t>
      </w:r>
    </w:p>
    <w:p>
      <w:pPr/>
      <w:r>
        <w:rPr>
          <w:lang w:val="en_US" w:bidi="en_US"/>
        </w:rPr>
      </w:r>
      <w:r>
        <w:rPr>
          <w:lang w:val="en_US" w:bidi="en_US"/>
        </w:rPr>
        <w:t>he wasted his money by behaving in ways that were not appropriate</w:t>
      </w:r>
    </w:p>
    <w:p>
      <w:pPr/>
      <w:r>
        <w:rPr>
          <w:lang w:val="en_US" w:bidi="en_US"/>
        </w:rPr>
      </w:r>
      <w:r>
        <w:rPr>
          <w:lang w:val="en_US" w:bidi="en_US"/>
        </w:rPr>
        <w:t>he did all sorts of useless things and wasted his wealth</w:t>
      </w:r>
    </w:p>
    <w:p>
      <w:pPr/>
      <w:r>
        <w:rPr>
          <w:lang w:val="en_US" w:bidi="en_US"/>
        </w:rPr>
      </w:r>
      <w:r>
        <w:rPr>
          <w:b/>
          <w:lang w:val="en_US" w:bidi="en_US"/>
        </w:rPr>
        <w:t>wild living:</w:t>
      </w:r>
      <w:r>
        <w:rPr>
          <w:lang w:val="en_US" w:bidi="en_US"/>
        </w:rPr>
        <w:t xml:space="preserve"> The Greek phrase that the BSB translates as </w:t>
      </w:r>
      <w:r>
        <w:rPr>
          <w:i/>
          <w:lang w:val="en_US" w:bidi="en_US"/>
        </w:rPr>
        <w:t>wild living</w:t>
      </w:r>
      <w:r>
        <w:rPr>
          <w:lang w:val="en_US" w:bidi="en_US"/>
        </w:rPr>
        <w:t xml:space="preserve"> refers to a way of life that is reckless and immoral. It would have included activities like gambling, getting drunk, holding big parties, and spending time with immoral women.</w:t>
      </w:r>
      <w:r>
        <w:rPr>
          <w:lang w:val="en_US" w:bidi="en_US"/>
        </w:rPr>
      </w:r>
      <w:r>
        <w:rPr>
          <w:lang w:val="en_US" w:bidi="en_US"/>
        </w:rPr>
      </w:r>
    </w:p>
    <w:p>
      <w:pPr/>
      <w:r>
        <w:rPr>
          <w:lang w:val="en_US" w:bidi="en_US"/>
        </w:rPr>
      </w:r>
    </w:p>
    <w:p>
      <w:pPr>
        <w:pStyle w:val="Heading2"/>
      </w:pPr>
      <w:r>
        <w:rPr>
          <w:lang w:val="en_US" w:bidi="en_US"/>
        </w:rPr>
        <w:t>Luke 15:14</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5"/>
      </w:pPr>
      <w:r>
        <w:rPr>
          <w:lang w:val="en_US" w:bidi="en_US"/>
        </w:rPr>
        <w:t>15:14a</w:t>
      </w:r>
    </w:p>
    <w:p>
      <w:pPr/>
      <w:r>
        <w:rPr>
          <w:lang w:val="en_US" w:bidi="en_US"/>
        </w:rPr>
      </w:r>
      <w:r>
        <w:rPr>
          <w:b/>
          <w:lang w:val="en_US" w:bidi="en_US"/>
        </w:rPr>
        <w:t>After he had spent all he had,</w:t>
      </w:r>
    </w:p>
    <w:p>
      <w:pPr>
        <w:pStyle w:val="ListBullet"/>
        <w:spacing w:line="240" w:lineRule="auto"/>
        <w:ind w:left="720"/>
      </w:pPr>
      <w:r>
        <w:rPr>
          <w:lang w:val="en_US" w:bidi="en_US"/>
        </w:rPr>
      </w:r>
      <w:r>
        <w:rPr>
          <w:lang w:val="en_US" w:bidi="en_US"/>
        </w:rPr>
        <w:t>After he had used up all his money,</w:t>
      </w:r>
    </w:p>
    <w:p>
      <w:pPr>
        <w:pStyle w:val="ListBullet"/>
        <w:spacing w:line="240" w:lineRule="auto"/>
        <w:ind w:left="720"/>
      </w:pPr>
      <w:r>
        <w:rPr>
          <w:lang w:val="en_US" w:bidi="en_US"/>
        </w:rPr>
      </w:r>
      <w:r>
        <w:rPr>
          <w:lang w:val="en_US" w:bidi="en_US"/>
        </w:rPr>
        <w:t>His wealth was soon all gone, and by then</w:t>
      </w:r>
    </w:p>
    <w:p>
      <w:pPr/>
      <w:r>
        <w:rPr>
          <w:lang w:val="en_US" w:bidi="en_US"/>
        </w:rPr>
      </w:r>
      <w:r>
        <w:rPr>
          <w:b/>
          <w:lang w:val="en_US" w:bidi="en_US"/>
        </w:rPr>
        <w:t>After he had spent all he had:</w:t>
      </w:r>
      <w:r>
        <w:rPr>
          <w:lang w:val="en_US" w:bidi="en_US"/>
        </w:rPr>
        <w:t xml:space="preserve"> The clause </w:t>
      </w:r>
      <w:r>
        <w:rPr>
          <w:i/>
          <w:lang w:val="en_US" w:bidi="en_US"/>
        </w:rPr>
        <w:t>After he had spent all he had</w:t>
      </w:r>
      <w:r>
        <w:rPr>
          <w:lang w:val="en_US" w:bidi="en_US"/>
        </w:rPr>
        <w:t xml:space="preserve"> means that the young man had used up all his money. Other ways to translate this are:</w:t>
      </w:r>
    </w:p>
    <w:p>
      <w:pPr/>
      <w:r>
        <w:rPr>
          <w:lang w:val="en_US" w:bidi="en_US"/>
        </w:rPr>
      </w:r>
      <w:r>
        <w:rPr>
          <w:lang w:val="en_US" w:bidi="en_US"/>
        </w:rPr>
        <w:t>In this way he spent all his money</w:t>
      </w:r>
    </w:p>
    <w:p>
      <w:pPr/>
      <w:r>
        <w:rPr>
          <w:lang w:val="en_US" w:bidi="en_US"/>
        </w:rPr>
      </w:r>
      <w:r>
        <w:rPr>
          <w:lang w:val="en_US" w:bidi="en_US"/>
        </w:rPr>
        <w:t>He had nothing left when… (GW)</w:t>
      </w:r>
    </w:p>
    <w:p>
      <w:pPr>
        <w:pStyle w:val="Heading5"/>
      </w:pPr>
      <w:r>
        <w:rPr>
          <w:lang w:val="en_US" w:bidi="en_US"/>
        </w:rPr>
        <w:t>15:14b</w:t>
      </w:r>
    </w:p>
    <w:p>
      <w:pPr/>
      <w:r>
        <w:rPr>
          <w:lang w:val="en_US" w:bidi="en_US"/>
        </w:rPr>
      </w:r>
      <w:r>
        <w:rPr>
          <w:b/>
          <w:lang w:val="en_US" w:bidi="en_US"/>
        </w:rPr>
        <w:t>a severe famine swept through that country,</w:t>
      </w:r>
    </w:p>
    <w:p>
      <w:pPr>
        <w:pStyle w:val="ListBullet"/>
        <w:spacing w:line="240" w:lineRule="auto"/>
        <w:ind w:left="720"/>
      </w:pPr>
      <w:r>
        <w:rPr>
          <w:lang w:val="en_US" w:bidi="en_US"/>
        </w:rPr>
      </w:r>
      <w:r>
        <w:rPr>
          <w:lang w:val="en_US" w:bidi="en_US"/>
        </w:rPr>
        <w:t>a famine came to that entire land.</w:t>
      </w:r>
    </w:p>
    <w:p>
      <w:pPr>
        <w:pStyle w:val="ListBullet"/>
        <w:spacing w:line="240" w:lineRule="auto"/>
        <w:ind w:left="720"/>
      </w:pPr>
      <w:r>
        <w:rPr>
          <w:lang w:val="en_US" w:bidi="en_US"/>
        </w:rPr>
      </w:r>
      <w:r>
        <w:rPr>
          <w:lang w:val="en_US" w:bidi="en_US"/>
        </w:rPr>
        <w:t xml:space="preserve">a food shortage had spread throughout that country </w:t>
      </w:r>
      <w:r>
        <w:rPr>
          <w:lang w:val="en_US" w:bidi="en_US"/>
        </w:rPr>
        <w:t>where he was</w:t>
      </w:r>
      <w:r>
        <w:rPr>
          <w:lang w:val="en_US" w:bidi="en_US"/>
        </w:rPr>
        <w:t>.</w:t>
      </w:r>
    </w:p>
    <w:p>
      <w:pPr>
        <w:pStyle w:val="ListBullet"/>
        <w:spacing w:line="240" w:lineRule="auto"/>
        <w:ind w:left="720"/>
      </w:pPr>
      <w:r>
        <w:rPr>
          <w:lang w:val="en_US" w:bidi="en_US"/>
        </w:rPr>
      </w:r>
      <w:r>
        <w:rPr>
          <w:lang w:val="en_US" w:bidi="en_US"/>
        </w:rPr>
        <w:t>people in that whole country were finding it hard to obtain enough food.</w:t>
      </w:r>
    </w:p>
    <w:p>
      <w:pPr/>
      <w:r>
        <w:rPr>
          <w:lang w:val="en_US" w:bidi="en_US"/>
        </w:rPr>
      </w:r>
      <w:r>
        <w:rPr>
          <w:b/>
          <w:lang w:val="en_US" w:bidi="en_US"/>
        </w:rPr>
        <w:t>a severe famine swept through that country:</w:t>
      </w:r>
      <w:r>
        <w:rPr>
          <w:lang w:val="en_US" w:bidi="en_US"/>
        </w:rPr>
        <w:t xml:space="preserve"> The Greek clause that the BSB translates as </w:t>
      </w:r>
      <w:r>
        <w:rPr>
          <w:i/>
          <w:lang w:val="en_US" w:bidi="en_US"/>
        </w:rPr>
        <w:t>a severe famine swept through that country</w:t>
      </w:r>
      <w:r>
        <w:rPr>
          <w:lang w:val="en_US" w:bidi="en_US"/>
        </w:rPr>
        <w:t xml:space="preserve"> is literally “there-came a severe famine.” Languages have different ways to describe the start or spread of a famine. Some other ways to translate this clause are:</w:t>
      </w:r>
    </w:p>
    <w:p>
      <w:pPr/>
      <w:r>
        <w:rPr>
          <w:lang w:val="en_US" w:bidi="en_US"/>
        </w:rPr>
      </w:r>
      <w:r>
        <w:rPr>
          <w:lang w:val="en_US" w:bidi="en_US"/>
        </w:rPr>
        <w:t>a time came when there was no food anywhere in the country (NCV)</w:t>
      </w:r>
    </w:p>
    <w:p>
      <w:pPr/>
      <w:r>
        <w:rPr>
          <w:lang w:val="en_US" w:bidi="en_US"/>
        </w:rPr>
      </w:r>
      <w:r>
        <w:rPr>
          <w:lang w:val="en_US" w:bidi="en_US"/>
        </w:rPr>
        <w:t>a bad famine spread through that whole land (CEV)</w:t>
      </w:r>
    </w:p>
    <w:p>
      <w:pPr/>
      <w:r>
        <w:rPr>
          <w:lang w:val="en_US" w:bidi="en_US"/>
        </w:rPr>
      </w:r>
      <w:r>
        <w:rPr>
          <w:lang w:val="en_US" w:bidi="en_US"/>
        </w:rPr>
        <w:t>that country experienced a severe famine (NJB)</w:t>
      </w:r>
    </w:p>
    <w:p>
      <w:pPr/>
      <w:r>
        <w:rPr>
          <w:lang w:val="en_US" w:bidi="en_US"/>
        </w:rPr>
      </w:r>
      <w:r>
        <w:rPr>
          <w:b/>
          <w:lang w:val="en_US" w:bidi="en_US"/>
        </w:rPr>
        <w:t>a severe famine:</w:t>
      </w:r>
      <w:r>
        <w:rPr>
          <w:lang w:val="en_US" w:bidi="en_US"/>
        </w:rPr>
        <w:t xml:space="preserve"> The phrase </w:t>
      </w:r>
      <w:r>
        <w:rPr>
          <w:i/>
          <w:lang w:val="en_US" w:bidi="en_US"/>
        </w:rPr>
        <w:t>a severe famine</w:t>
      </w:r>
      <w:r>
        <w:rPr>
          <w:lang w:val="en_US" w:bidi="en_US"/>
        </w:rPr>
        <w:t xml:space="preserve"> refers to a time when there was little food available for humans or animals to eat.</w:t>
      </w:r>
    </w:p>
    <w:p>
      <w:pPr>
        <w:pStyle w:val="Heading5"/>
      </w:pPr>
      <w:r>
        <w:rPr>
          <w:lang w:val="en_US" w:bidi="en_US"/>
        </w:rPr>
        <w:t>15:14c</w:t>
      </w:r>
    </w:p>
    <w:p>
      <w:pPr/>
      <w:r>
        <w:rPr>
          <w:lang w:val="en_US" w:bidi="en_US"/>
        </w:rPr>
      </w:r>
      <w:r>
        <w:rPr>
          <w:b/>
          <w:lang w:val="en_US" w:bidi="en_US"/>
        </w:rPr>
        <w:t>and he began to be in need.</w:t>
      </w:r>
    </w:p>
    <w:p>
      <w:pPr>
        <w:pStyle w:val="ListBullet"/>
        <w:spacing w:line="240" w:lineRule="auto"/>
        <w:ind w:left="720"/>
      </w:pPr>
      <w:r>
        <w:rPr>
          <w:lang w:val="en_US" w:bidi="en_US"/>
        </w:rPr>
      </w:r>
      <w:r>
        <w:rPr>
          <w:lang w:val="en_US" w:bidi="en_US"/>
        </w:rPr>
        <w:t xml:space="preserve">He began to lack </w:t>
      </w:r>
      <w:r>
        <w:rPr>
          <w:lang w:val="en_US" w:bidi="en_US"/>
        </w:rPr>
        <w:t>what he needed to live</w:t>
      </w:r>
      <w:r>
        <w:rPr>
          <w:lang w:val="en_US" w:bidi="en_US"/>
        </w:rPr>
        <w:t>.</w:t>
      </w:r>
    </w:p>
    <w:p>
      <w:pPr>
        <w:pStyle w:val="ListBullet"/>
        <w:spacing w:line="240" w:lineRule="auto"/>
        <w:ind w:left="720"/>
      </w:pPr>
      <w:r>
        <w:rPr>
          <w:lang w:val="en_US" w:bidi="en_US"/>
        </w:rPr>
      </w:r>
      <w:r>
        <w:rPr>
          <w:lang w:val="en_US" w:bidi="en_US"/>
        </w:rPr>
        <w:t>Soon he had nothing to eat. (CEV)</w:t>
      </w:r>
    </w:p>
    <w:p>
      <w:pPr>
        <w:pStyle w:val="ListBullet"/>
        <w:spacing w:line="240" w:lineRule="auto"/>
        <w:ind w:left="720"/>
      </w:pPr>
      <w:r>
        <w:rPr>
          <w:lang w:val="en_US" w:bidi="en_US"/>
        </w:rPr>
      </w:r>
      <w:r>
        <w:rPr>
          <w:lang w:val="en_US" w:bidi="en_US"/>
        </w:rPr>
        <w:t>The young man</w:t>
      </w:r>
      <w:r>
        <w:rPr>
          <w:lang w:val="en_US" w:bidi="en_US"/>
        </w:rPr>
        <w:t xml:space="preserve"> began to starve.</w:t>
      </w:r>
    </w:p>
    <w:p>
      <w:pPr/>
      <w:r>
        <w:rPr>
          <w:lang w:val="en_US" w:bidi="en_US"/>
        </w:rPr>
      </w:r>
      <w:r>
        <w:rPr>
          <w:b/>
          <w:lang w:val="en_US" w:bidi="en_US"/>
        </w:rPr>
        <w:t>and he began to be in need:</w:t>
      </w:r>
      <w:r>
        <w:rPr>
          <w:lang w:val="en_US" w:bidi="en_US"/>
        </w:rPr>
        <w:t xml:space="preserve"> The Greek clause that the BSB translates as </w:t>
      </w:r>
      <w:r>
        <w:rPr>
          <w:i/>
          <w:lang w:val="en_US" w:bidi="en_US"/>
        </w:rPr>
        <w:t>he began to be in need</w:t>
      </w:r>
      <w:r>
        <w:rPr>
          <w:lang w:val="en_US" w:bidi="en_US"/>
        </w:rPr>
        <w:t xml:space="preserve"> indicates that the younger son no longer had any money. He could not buy food, so he began to go hungry. Other ways to translate this clause are:</w:t>
      </w:r>
    </w:p>
    <w:p>
      <w:pPr/>
      <w:r>
        <w:rPr>
          <w:lang w:val="en_US" w:bidi="en_US"/>
        </w:rPr>
      </w:r>
      <w:r>
        <w:rPr>
          <w:lang w:val="en_US" w:bidi="en_US"/>
        </w:rPr>
        <w:t>Soon he had nothing to eat. (CEV)</w:t>
      </w:r>
    </w:p>
    <w:p>
      <w:pPr/>
      <w:r>
        <w:rPr>
          <w:lang w:val="en_US" w:bidi="en_US"/>
        </w:rPr>
      </w:r>
      <w:r>
        <w:rPr>
          <w:lang w:val="en_US" w:bidi="en_US"/>
        </w:rPr>
        <w:t>He had nothing to live on. (GW)</w:t>
      </w:r>
    </w:p>
    <w:p>
      <w:pPr/>
      <w:r>
        <w:rPr>
          <w:lang w:val="en_US" w:bidi="en_US"/>
        </w:rPr>
      </w:r>
      <w:r>
        <w:rPr>
          <w:lang w:val="en_US" w:bidi="en_US"/>
        </w:rPr>
        <w:t>he began to starve (NLT)</w:t>
      </w:r>
      <w:r>
        <w:rPr>
          <w:lang w:val="en_US" w:bidi="en_US"/>
        </w:rPr>
      </w:r>
      <w:r>
        <w:rPr>
          <w:lang w:val="en_US" w:bidi="en_US"/>
        </w:rPr>
      </w:r>
    </w:p>
    <w:p>
      <w:pPr/>
      <w:r>
        <w:rPr>
          <w:lang w:val="en_US" w:bidi="en_US"/>
        </w:rPr>
      </w:r>
    </w:p>
    <w:p>
      <w:pPr>
        <w:pStyle w:val="Heading2"/>
      </w:pPr>
      <w:r>
        <w:rPr>
          <w:lang w:val="en_US" w:bidi="en_US"/>
        </w:rPr>
        <w:t>Luke 15:15</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5"/>
      </w:pPr>
      <w:r>
        <w:rPr>
          <w:lang w:val="en_US" w:bidi="en_US"/>
        </w:rPr>
        <w:t>15:15a</w:t>
      </w:r>
    </w:p>
    <w:p>
      <w:pPr/>
      <w:r>
        <w:rPr>
          <w:lang w:val="en_US" w:bidi="en_US"/>
        </w:rPr>
      </w:r>
      <w:r>
        <w:rPr>
          <w:b/>
          <w:lang w:val="en_US" w:bidi="en_US"/>
        </w:rPr>
        <w:t>So he went and hired himself out to a citizen of that country,</w:t>
      </w:r>
    </w:p>
    <w:p>
      <w:pPr>
        <w:pStyle w:val="ListBullet"/>
        <w:spacing w:line="240" w:lineRule="auto"/>
        <w:ind w:left="720"/>
      </w:pPr>
      <w:r>
        <w:rPr>
          <w:lang w:val="en_US" w:bidi="en_US"/>
        </w:rPr>
      </w:r>
      <w:r>
        <w:rPr>
          <w:lang w:val="en_US" w:bidi="en_US"/>
        </w:rPr>
        <w:t xml:space="preserve">So he began working for a man </w:t>
      </w:r>
      <w:r>
        <w:rPr>
          <w:lang w:val="en_US" w:bidi="en_US"/>
        </w:rPr>
        <w:t>who owned property</w:t>
      </w:r>
      <w:r>
        <w:rPr>
          <w:lang w:val="en_US" w:bidi="en_US"/>
        </w:rPr>
        <w:t xml:space="preserve"> in that country.</w:t>
      </w:r>
    </w:p>
    <w:p>
      <w:pPr>
        <w:pStyle w:val="ListBullet"/>
        <w:spacing w:line="240" w:lineRule="auto"/>
        <w:ind w:left="720"/>
      </w:pPr>
      <w:r>
        <w:rPr>
          <w:lang w:val="en_US" w:bidi="en_US"/>
        </w:rPr>
      </w:r>
      <w:r>
        <w:rPr>
          <w:lang w:val="en_US" w:bidi="en_US"/>
        </w:rPr>
        <w:t>So he persuaded a person/farmer who lived there to hire him,</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here introduces what the younger son did because he was hungry.</w:t>
      </w:r>
    </w:p>
    <w:p>
      <w:pPr/>
      <w:r>
        <w:rPr>
          <w:lang w:val="en_US" w:bidi="en_US"/>
        </w:rPr>
      </w:r>
      <w:r>
        <w:rPr>
          <w:b/>
          <w:lang w:val="en_US" w:bidi="en_US"/>
        </w:rPr>
        <w:t>he went and hired himself out to a citizen of that country:</w:t>
      </w:r>
      <w:r>
        <w:rPr>
          <w:lang w:val="en_US" w:bidi="en_US"/>
        </w:rPr>
        <w:t xml:space="preserve"> The Greek phrase that the BSB translates as </w:t>
      </w:r>
      <w:r>
        <w:rPr>
          <w:i/>
          <w:lang w:val="en_US" w:bidi="en_US"/>
        </w:rPr>
        <w:t>hired himself out</w:t>
      </w:r>
      <w:r>
        <w:rPr>
          <w:lang w:val="en_US" w:bidi="en_US"/>
        </w:rPr>
        <w:t xml:space="preserve"> is literally “joined himself.” Some English versions, such as the RSV, translate it that way. It indicates that he started working for a man who lived in that country. Other ways to translate this phrase are:</w:t>
      </w:r>
    </w:p>
    <w:p>
      <w:pPr/>
      <w:r>
        <w:rPr>
          <w:lang w:val="en_US" w:bidi="en_US"/>
        </w:rPr>
      </w:r>
      <w:r>
        <w:rPr>
          <w:lang w:val="en_US" w:bidi="en_US"/>
        </w:rPr>
        <w:t>He went to work for a man in that country (CEV)</w:t>
      </w:r>
    </w:p>
    <w:p>
      <w:pPr/>
      <w:r>
        <w:rPr>
          <w:lang w:val="en_US" w:bidi="en_US"/>
        </w:rPr>
      </w:r>
      <w:r>
        <w:rPr>
          <w:lang w:val="en_US" w:bidi="en_US"/>
        </w:rPr>
        <w:t>he got a job with one of the citizens there (NCV)</w:t>
      </w:r>
    </w:p>
    <w:p>
      <w:pPr/>
      <w:r>
        <w:rPr>
          <w:lang w:val="en_US" w:bidi="en_US"/>
        </w:rPr>
      </w:r>
      <w:r>
        <w:rPr>
          <w:lang w:val="en_US" w:bidi="en_US"/>
        </w:rPr>
        <w:t>He persuaded a local farmer to hire him (NLT)</w:t>
      </w:r>
    </w:p>
    <w:p>
      <w:pPr/>
      <w:r>
        <w:rPr>
          <w:lang w:val="en_US" w:bidi="en_US"/>
        </w:rPr>
      </w:r>
      <w:r>
        <w:rPr>
          <w:b/>
          <w:lang w:val="en_US" w:bidi="en_US"/>
        </w:rPr>
        <w:t>a citizen of that country:</w:t>
      </w:r>
      <w:r>
        <w:rPr>
          <w:lang w:val="en_US" w:bidi="en_US"/>
        </w:rPr>
        <w:t xml:space="preserve"> The Greek phrase that the BSB translates as </w:t>
      </w:r>
      <w:r>
        <w:rPr>
          <w:i/>
          <w:lang w:val="en_US" w:bidi="en_US"/>
        </w:rPr>
        <w:t>a citizen of that country</w:t>
      </w:r>
      <w:r>
        <w:rPr>
          <w:lang w:val="en_US" w:bidi="en_US"/>
        </w:rPr>
        <w:t xml:space="preserve"> refers to a man who was a native of that country. It is also clear from the next verse part that the man owned property there. Some other ways to translate this phrase are:</w:t>
      </w:r>
    </w:p>
    <w:p>
      <w:pPr/>
      <w:r>
        <w:rPr>
          <w:lang w:val="en_US" w:bidi="en_US"/>
        </w:rPr>
      </w:r>
      <w:r>
        <w:rPr>
          <w:lang w:val="en_US" w:bidi="en_US"/>
        </w:rPr>
        <w:t>a person/farmer from there</w:t>
      </w:r>
    </w:p>
    <w:p>
      <w:pPr/>
      <w:r>
        <w:rPr>
          <w:lang w:val="en_US" w:bidi="en_US"/>
        </w:rPr>
      </w:r>
      <w:r>
        <w:rPr>
          <w:lang w:val="en_US" w:bidi="en_US"/>
        </w:rPr>
        <w:t>one of the inhabitants/residents of that place/country</w:t>
      </w:r>
    </w:p>
    <w:p>
      <w:pPr/>
      <w:r>
        <w:rPr>
          <w:lang w:val="en_US" w:bidi="en_US"/>
        </w:rPr>
      </w:r>
      <w:r>
        <w:rPr>
          <w:lang w:val="en_US" w:bidi="en_US"/>
        </w:rPr>
        <w:t>one of the local landowners (REB)</w:t>
      </w:r>
    </w:p>
    <w:p>
      <w:pPr>
        <w:pStyle w:val="Heading5"/>
      </w:pPr>
      <w:r>
        <w:rPr>
          <w:lang w:val="en_US" w:bidi="en_US"/>
        </w:rPr>
        <w:t>15:15b</w:t>
      </w:r>
    </w:p>
    <w:p>
      <w:pPr/>
      <w:r>
        <w:rPr>
          <w:lang w:val="en_US" w:bidi="en_US"/>
        </w:rPr>
      </w:r>
      <w:r>
        <w:rPr>
          <w:b/>
          <w:lang w:val="en_US" w:bidi="en_US"/>
        </w:rPr>
        <w:t>who sent him into his fields to feed the pigs.</w:t>
      </w:r>
    </w:p>
    <w:p>
      <w:pPr>
        <w:pStyle w:val="ListBullet"/>
        <w:spacing w:line="240" w:lineRule="auto"/>
        <w:ind w:left="720"/>
      </w:pPr>
      <w:r>
        <w:rPr>
          <w:lang w:val="en_US" w:bidi="en_US"/>
        </w:rPr>
      </w:r>
      <w:r>
        <w:rPr>
          <w:lang w:val="en_US" w:bidi="en_US"/>
        </w:rPr>
        <w:t>The man gave him the job of feeding/tending his pigs in the fields.</w:t>
      </w:r>
    </w:p>
    <w:p>
      <w:pPr>
        <w:pStyle w:val="ListBullet"/>
        <w:spacing w:line="240" w:lineRule="auto"/>
        <w:ind w:left="720"/>
      </w:pPr>
      <w:r>
        <w:rPr>
          <w:lang w:val="en_US" w:bidi="en_US"/>
        </w:rPr>
      </w:r>
      <w:r>
        <w:rPr>
          <w:lang w:val="en_US" w:bidi="en_US"/>
        </w:rPr>
        <w:t>and that man told him to take care of his pigs and sent him to the pasture where his pigs were located.</w:t>
      </w:r>
    </w:p>
    <w:p>
      <w:pPr/>
      <w:r>
        <w:rPr>
          <w:lang w:val="en_US" w:bidi="en_US"/>
        </w:rPr>
      </w:r>
      <w:r>
        <w:rPr>
          <w:b/>
          <w:lang w:val="en_US" w:bidi="en_US"/>
        </w:rPr>
        <w:t>who sent him:</w:t>
      </w:r>
      <w:r>
        <w:rPr>
          <w:lang w:val="en_US" w:bidi="en_US"/>
        </w:rPr>
        <w:t xml:space="preserve"> The word </w:t>
      </w:r>
      <w:r>
        <w:rPr>
          <w:i/>
          <w:lang w:val="en_US" w:bidi="en_US"/>
        </w:rPr>
        <w:t>who</w:t>
      </w:r>
      <w:r>
        <w:rPr>
          <w:lang w:val="en_US" w:bidi="en_US"/>
        </w:rPr>
        <w:t xml:space="preserve"> here refers to the landowner. In some languages it may be more natural to start a new sentence here. For example:</w:t>
      </w:r>
    </w:p>
    <w:p>
      <w:pPr/>
      <w:r>
        <w:rPr>
          <w:lang w:val="en_US" w:bidi="en_US"/>
        </w:rPr>
      </w:r>
      <w:r>
        <w:rPr>
          <w:lang w:val="en_US" w:bidi="en_US"/>
        </w:rPr>
        <w:t>That man sent him to his fields</w:t>
      </w:r>
    </w:p>
    <w:p>
      <w:pPr/>
      <w:r>
        <w:rPr>
          <w:lang w:val="en_US" w:bidi="en_US"/>
        </w:rPr>
      </w:r>
      <w:r>
        <w:rPr>
          <w:b/>
          <w:lang w:val="en_US" w:bidi="en_US"/>
        </w:rPr>
        <w:t>into his fields:</w:t>
      </w:r>
      <w:r>
        <w:rPr>
          <w:lang w:val="en_US" w:bidi="en_US"/>
        </w:rPr>
        <w:t xml:space="preserve"> The Greek word that the BSB translates as </w:t>
      </w:r>
      <w:r>
        <w:rPr>
          <w:i/>
          <w:lang w:val="en_US" w:bidi="en_US"/>
        </w:rPr>
        <w:t>fields</w:t>
      </w:r>
      <w:r>
        <w:rPr>
          <w:lang w:val="en_US" w:bidi="en_US"/>
        </w:rPr>
        <w:t xml:space="preserve"> refers here to land used for pasturing animals. This word last occurred in 14:18b.</w:t>
      </w:r>
    </w:p>
    <w:p>
      <w:pPr/>
      <w:r>
        <w:rPr>
          <w:lang w:val="en_US" w:bidi="en_US"/>
        </w:rPr>
      </w:r>
      <w:r>
        <w:rPr>
          <w:b/>
          <w:lang w:val="en_US" w:bidi="en_US"/>
        </w:rPr>
        <w:t>to feed the pigs:</w:t>
      </w:r>
      <w:r>
        <w:rPr>
          <w:lang w:val="en_US" w:bidi="en_US"/>
        </w:rPr>
        <w:t xml:space="preserve"> The Greek phrase that the BSB translates as </w:t>
      </w:r>
      <w:r>
        <w:rPr>
          <w:i/>
          <w:lang w:val="en_US" w:bidi="en_US"/>
        </w:rPr>
        <w:t>feed the pigs</w:t>
      </w:r>
      <w:r>
        <w:rPr>
          <w:lang w:val="en_US" w:bidi="en_US"/>
        </w:rPr>
        <w:t xml:space="preserve"> refers here to the work of tending pigs while they are in the fields. The next verse implies that the pigs ate the pods that fell from the carob trees. Another way to translate this is:</w:t>
      </w:r>
    </w:p>
    <w:p>
      <w:pPr/>
      <w:r>
        <w:rPr>
          <w:lang w:val="en_US" w:bidi="en_US"/>
        </w:rPr>
      </w:r>
      <w:r>
        <w:rPr>
          <w:lang w:val="en_US" w:bidi="en_US"/>
        </w:rPr>
        <w:t>to take care of the pigs (GNT)</w:t>
      </w:r>
    </w:p>
    <w:p>
      <w:pPr/>
      <w:r>
        <w:rPr>
          <w:lang w:val="en_US" w:bidi="en_US"/>
        </w:rPr>
      </w:r>
      <w:r>
        <w:rPr>
          <w:b/>
          <w:lang w:val="en_US" w:bidi="en_US"/>
        </w:rPr>
        <w:t>the pigs:</w:t>
      </w:r>
      <w:r>
        <w:rPr>
          <w:lang w:val="en_US" w:bidi="en_US"/>
        </w:rPr>
        <w:t xml:space="preserve"> The Jews considered pigs to be unclean animals, and they despised them. See the note on 8:32a. The young man must have been very hungry to have been willing to take care of pigs. If pigs are not considered unclean or despised in your culture, it may be helpful to have a footnote. Here is an example:</w:t>
      </w:r>
    </w:p>
    <w:p>
      <w:pPr/>
      <w:r>
        <w:rPr>
          <w:lang w:val="en_US" w:bidi="en_US"/>
        </w:rPr>
      </w:r>
      <w:r>
        <w:rPr>
          <w:lang w:val="en_US" w:bidi="en_US"/>
        </w:rPr>
        <w:t>The Jewish law said that pigs were unclean animals. According to this law, Jews were not to eat pig meat (pork). See Leviticus 11:7. So the Jewish people despised pigs and people who took care of pigs.</w:t>
      </w:r>
      <w:r>
        <w:rPr>
          <w:lang w:val="en_US" w:bidi="en_US"/>
        </w:rPr>
      </w:r>
      <w:r>
        <w:rPr>
          <w:lang w:val="en_US" w:bidi="en_US"/>
        </w:rPr>
      </w:r>
    </w:p>
    <w:p>
      <w:pPr/>
      <w:r>
        <w:rPr>
          <w:lang w:val="en_US" w:bidi="en_US"/>
        </w:rPr>
      </w:r>
    </w:p>
    <w:p>
      <w:pPr>
        <w:pStyle w:val="Heading2"/>
      </w:pPr>
      <w:r>
        <w:rPr>
          <w:lang w:val="en_US" w:bidi="en_US"/>
        </w:rPr>
        <w:t>Luke 15:16</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5"/>
      </w:pPr>
      <w:r>
        <w:rPr>
          <w:lang w:val="en_US" w:bidi="en_US"/>
        </w:rPr>
        <w:t>15:16a</w:t>
      </w:r>
    </w:p>
    <w:p>
      <w:pPr/>
      <w:r>
        <w:rPr>
          <w:lang w:val="en_US" w:bidi="en_US"/>
        </w:rPr>
      </w:r>
      <w:r>
        <w:rPr>
          <w:b/>
          <w:lang w:val="en_US" w:bidi="en_US"/>
        </w:rPr>
        <w:t>He longed to fill his belly with the pods the pigs were eating,</w:t>
      </w:r>
    </w:p>
    <w:p>
      <w:pPr>
        <w:pStyle w:val="ListBullet"/>
        <w:spacing w:line="240" w:lineRule="auto"/>
        <w:ind w:left="720"/>
      </w:pPr>
      <w:r>
        <w:rPr>
          <w:lang w:val="en_US" w:bidi="en_US"/>
        </w:rPr>
      </w:r>
      <w:r>
        <w:rPr>
          <w:lang w:val="en_US" w:bidi="en_US"/>
        </w:rPr>
        <w:t>The young man was so hungry that</w:t>
      </w:r>
      <w:r>
        <w:rPr>
          <w:lang w:val="en_US" w:bidi="en_US"/>
        </w:rPr>
        <w:t xml:space="preserve"> he wanted to eat some of the fruit/pods/seeds </w:t>
      </w:r>
      <w:r>
        <w:rPr>
          <w:lang w:val="en_US" w:bidi="en_US"/>
        </w:rPr>
        <w:t>of the carob tree</w:t>
      </w:r>
      <w:r>
        <w:rPr>
          <w:lang w:val="en_US" w:bidi="en_US"/>
        </w:rPr>
        <w:t xml:space="preserve"> that the pigs were eating.</w:t>
      </w:r>
    </w:p>
    <w:p>
      <w:pPr>
        <w:pStyle w:val="ListBullet"/>
        <w:spacing w:line="240" w:lineRule="auto"/>
        <w:ind w:left="720"/>
      </w:pPr>
      <w:r>
        <w:rPr>
          <w:lang w:val="en_US" w:bidi="en_US"/>
        </w:rPr>
      </w:r>
      <w:r>
        <w:rPr>
          <w:lang w:val="en_US" w:bidi="en_US"/>
        </w:rPr>
        <w:t>He would gladly have eaten what the pigs were eating,</w:t>
      </w:r>
    </w:p>
    <w:p>
      <w:pPr>
        <w:pStyle w:val="ListBullet"/>
        <w:spacing w:line="240" w:lineRule="auto"/>
        <w:ind w:left="720"/>
      </w:pPr>
      <w:r>
        <w:rPr>
          <w:lang w:val="en_US" w:bidi="en_US"/>
        </w:rPr>
      </w:r>
      <w:r>
        <w:rPr>
          <w:lang w:val="en_US" w:bidi="en_US"/>
        </w:rPr>
        <w:t>Because of his great hunger,</w:t>
      </w:r>
      <w:r>
        <w:rPr>
          <w:lang w:val="en_US" w:bidi="en_US"/>
        </w:rPr>
        <w:t xml:space="preserve"> he even yearned/desired to eat the pigs’ food,</w:t>
      </w:r>
    </w:p>
    <w:p>
      <w:pPr/>
      <w:r>
        <w:rPr>
          <w:lang w:val="en_US" w:bidi="en_US"/>
        </w:rPr>
      </w:r>
      <w:r>
        <w:rPr>
          <w:b/>
          <w:lang w:val="en_US" w:bidi="en_US"/>
        </w:rPr>
        <w:t>He longed to fill his belly with:</w:t>
      </w:r>
      <w:r>
        <w:rPr>
          <w:lang w:val="en_US" w:bidi="en_US"/>
        </w:rPr>
        <w:t xml:space="preserve"> This verse part implies that the younger son was very hungry. He felt hungry enough to eat the pigs’ food. However, probably he did not actually eat it.</w:t>
      </w:r>
      <w:r>
        <w:rPr>
          <w:lang w:val="en_US" w:bidi="en_US"/>
        </w:rPr>
        <w:t>A number of scholars (including Alford, Bailey, Bruce, and Summers) feel that the young man did eat the pods, but that they were not enough to satisfy his hunger. No English versions follow this interpretation.</w:t>
      </w:r>
      <w:r>
        <w:rPr>
          <w:lang w:val="en_US" w:bidi="en_US"/>
        </w:rPr>
        <w:t xml:space="preserve"> Other ways to translate the words </w:t>
      </w:r>
      <w:r>
        <w:rPr>
          <w:i/>
          <w:lang w:val="en_US" w:bidi="en_US"/>
        </w:rPr>
        <w:t>He longed to fill his belly with</w:t>
      </w:r>
      <w:r>
        <w:rPr>
          <w:lang w:val="en_US" w:bidi="en_US"/>
        </w:rPr>
        <w:t xml:space="preserve"> are:</w:t>
      </w:r>
    </w:p>
    <w:p>
      <w:pPr/>
      <w:r>
        <w:rPr>
          <w:lang w:val="en_US" w:bidi="en_US"/>
        </w:rPr>
      </w:r>
      <w:r>
        <w:rPr>
          <w:lang w:val="en_US" w:bidi="en_US"/>
        </w:rPr>
        <w:t>The son was so hungry that he wanted to eat… (NCV)</w:t>
      </w:r>
    </w:p>
    <w:p>
      <w:pPr/>
      <w:r>
        <w:rPr>
          <w:lang w:val="en_US" w:bidi="en_US"/>
        </w:rPr>
      </w:r>
      <w:r>
        <w:rPr>
          <w:lang w:val="en_US" w:bidi="en_US"/>
        </w:rPr>
        <w:t>He wished he could fill himself with… (GNT)</w:t>
      </w:r>
    </w:p>
    <w:p>
      <w:pPr/>
      <w:r>
        <w:rPr>
          <w:lang w:val="en_US" w:bidi="en_US"/>
        </w:rPr>
      </w:r>
      <w:r>
        <w:rPr>
          <w:lang w:val="en_US" w:bidi="en_US"/>
        </w:rPr>
        <w:t>He would have been glad to fill his belly with… (REB)</w:t>
      </w:r>
    </w:p>
    <w:p>
      <w:pPr/>
      <w:r>
        <w:rPr>
          <w:lang w:val="en_US" w:bidi="en_US"/>
        </w:rPr>
      </w:r>
      <w:r>
        <w:rPr>
          <w:b/>
          <w:lang w:val="en_US" w:bidi="en_US"/>
        </w:rPr>
        <w:t>to fill his belly with:</w:t>
      </w:r>
      <w:r>
        <w:rPr>
          <w:lang w:val="en_US" w:bidi="en_US"/>
        </w:rPr>
        <w:t xml:space="preserve"> There is a textual difference here, but the actual difference in meaning is slight. Both texts mean “to eat until one is satisfied/full.”</w:t>
      </w:r>
      <w:r>
        <w:rPr>
          <w:lang w:val="en_US" w:bidi="en_US"/>
        </w:rPr>
        <w:t xml:space="preserve">The textual issue here involves two Greek phrases that are very similar in meaning in this context. (1) Some Greek manuscripts have “to </w:t>
      </w:r>
      <w:r>
        <w:rPr>
          <w:u w:val="single"/>
          <w:lang w:val="en_US" w:bidi="en_US"/>
        </w:rPr>
        <w:t>be satisfied/filled</w:t>
      </w:r>
      <w:r>
        <w:rPr>
          <w:lang w:val="en_US" w:bidi="en_US"/>
        </w:rPr>
        <w:t xml:space="preserve"> with.” For example, the GNT says: “fill himself with.” The RSV, CEV, NCV, GW, NET, GNT, and NJB follow these manuscripts. (2) Other Greek manuscripts have “</w:t>
      </w:r>
      <w:r>
        <w:rPr>
          <w:u w:val="single"/>
          <w:lang w:val="en_US" w:bidi="en_US"/>
        </w:rPr>
        <w:t>fill his stomach</w:t>
      </w:r>
      <w:r>
        <w:rPr>
          <w:lang w:val="en_US" w:bidi="en_US"/>
        </w:rPr>
        <w:t xml:space="preserve"> with” The BSB, NIV, KJV, NASB, and REB follow these manuscripts. The Greek NT follows option (1). There is little practical difference in meaning. The first option has the earliest and best manuscript support. For more information, see the Greek NT UBS 4</w:t>
      </w:r>
      <w:r>
        <w:rPr>
          <w:vertAlign w:val="superscript"/>
          <w:lang w:val="en_US" w:bidi="en_US"/>
        </w:rPr>
        <w:t>th</w:t>
      </w:r>
      <w:r>
        <w:rPr>
          <w:lang w:val="en_US" w:bidi="en_US"/>
        </w:rPr>
        <w:t xml:space="preserve"> ed., p. 269; Metzger, p. 164; Blight 2007b, p. 147; and the TRT, p. 307.</w:t>
      </w:r>
    </w:p>
    <w:p>
      <w:pPr/>
      <w:r>
        <w:rPr>
          <w:lang w:val="en_US" w:bidi="en_US"/>
        </w:rPr>
      </w:r>
      <w:r>
        <w:rPr>
          <w:b/>
          <w:lang w:val="en_US" w:bidi="en_US"/>
        </w:rPr>
        <w:t>the pods the pigs were eating:</w:t>
      </w:r>
      <w:r>
        <w:rPr>
          <w:lang w:val="en_US" w:bidi="en_US"/>
        </w:rPr>
        <w:t xml:space="preserve"> The Greek word that the BSB translates as </w:t>
      </w:r>
      <w:r>
        <w:rPr>
          <w:i/>
          <w:lang w:val="en_US" w:bidi="en_US"/>
        </w:rPr>
        <w:t>pods</w:t>
      </w:r>
      <w:r>
        <w:rPr>
          <w:lang w:val="en_US" w:bidi="en_US"/>
        </w:rPr>
        <w:t xml:space="preserve"> refers to the fruit or pods of the carob tree. People normally used these pods only for feeding animals. But in times of famine, people also would sometimes eat them. If carob pods are unknown in your culture, you may use a more general expression, as the BSB has done. Some other examples are:</w:t>
      </w:r>
    </w:p>
    <w:p>
      <w:pPr/>
      <w:r>
        <w:rPr>
          <w:lang w:val="en_US" w:bidi="en_US"/>
        </w:rPr>
      </w:r>
      <w:r>
        <w:rPr>
          <w:lang w:val="en_US" w:bidi="en_US"/>
        </w:rPr>
        <w:t>what the pigs were eating (CEV)</w:t>
      </w:r>
    </w:p>
    <w:p>
      <w:pPr/>
      <w:r>
        <w:rPr>
          <w:lang w:val="en_US" w:bidi="en_US"/>
        </w:rPr>
      </w:r>
      <w:r>
        <w:rPr>
          <w:lang w:val="en_US" w:bidi="en_US"/>
        </w:rPr>
        <w:t>tree fruit/seed-pods that the pigs ate</w:t>
      </w:r>
    </w:p>
    <w:p>
      <w:pPr/>
      <w:r>
        <w:rPr>
          <w:lang w:val="en_US" w:bidi="en_US"/>
        </w:rPr>
      </w:r>
      <w:r>
        <w:rPr>
          <w:lang w:val="en_US" w:bidi="en_US"/>
        </w:rPr>
        <w:t>the bean pods the pigs ate (GNT)</w:t>
      </w:r>
    </w:p>
    <w:p>
      <w:pPr/>
      <w:r>
        <w:rPr>
          <w:lang w:val="en_US" w:bidi="en_US"/>
        </w:rPr>
      </w:r>
      <w:r>
        <w:rPr>
          <w:lang w:val="en_US" w:bidi="en_US"/>
        </w:rPr>
        <w:t>If you use an expression such as “bean pods,” as in the GNT here, be sure it does not wrongly imply the vegetable “green beans.”</w:t>
      </w:r>
    </w:p>
    <w:p>
      <w:pPr>
        <w:pStyle w:val="Heading5"/>
      </w:pPr>
      <w:r>
        <w:rPr>
          <w:lang w:val="en_US" w:bidi="en_US"/>
        </w:rPr>
        <w:t>15:16b</w:t>
      </w:r>
    </w:p>
    <w:p>
      <w:pPr/>
      <w:r>
        <w:rPr>
          <w:lang w:val="en_US" w:bidi="en_US"/>
        </w:rPr>
      </w:r>
      <w:r>
        <w:rPr>
          <w:b/>
          <w:lang w:val="en_US" w:bidi="en_US"/>
        </w:rPr>
        <w:t>but no one would give him a thing.</w:t>
      </w:r>
    </w:p>
    <w:p>
      <w:pPr>
        <w:pStyle w:val="ListBullet"/>
        <w:spacing w:line="240" w:lineRule="auto"/>
        <w:ind w:left="720"/>
      </w:pPr>
      <w:r>
        <w:rPr>
          <w:lang w:val="en_US" w:bidi="en_US"/>
        </w:rPr>
      </w:r>
      <w:r>
        <w:rPr>
          <w:lang w:val="en_US" w:bidi="en_US"/>
        </w:rPr>
        <w:t xml:space="preserve">But people gave him no </w:t>
      </w:r>
      <w:r>
        <w:rPr>
          <w:lang w:val="en_US" w:bidi="en_US"/>
        </w:rPr>
        <w:t>food</w:t>
      </w:r>
      <w:r>
        <w:rPr>
          <w:lang w:val="en_US" w:bidi="en_US"/>
        </w:rPr>
        <w:t xml:space="preserve"> at all.</w:t>
      </w:r>
    </w:p>
    <w:p>
      <w:pPr>
        <w:pStyle w:val="ListBullet"/>
        <w:spacing w:line="240" w:lineRule="auto"/>
        <w:ind w:left="720"/>
      </w:pPr>
      <w:r>
        <w:rPr>
          <w:lang w:val="en_US" w:bidi="en_US"/>
        </w:rPr>
      </w:r>
      <w:r>
        <w:rPr>
          <w:lang w:val="en_US" w:bidi="en_US"/>
        </w:rPr>
        <w:t xml:space="preserve">but/and no one gave him anything </w:t>
      </w:r>
      <w:r>
        <w:rPr>
          <w:lang w:val="en_US" w:bidi="en_US"/>
        </w:rPr>
        <w:t>to eat</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statement that contrasts with the young man’s hunger. Some English versions translate the conjunction as “and.” Translate the connection in a natural way in your language.</w:t>
      </w:r>
    </w:p>
    <w:p>
      <w:pPr/>
      <w:r>
        <w:rPr>
          <w:lang w:val="en_US" w:bidi="en_US"/>
        </w:rPr>
      </w:r>
      <w:r>
        <w:rPr>
          <w:b/>
          <w:lang w:val="en_US" w:bidi="en_US"/>
        </w:rPr>
        <w:t>no one would give him a thing:</w:t>
      </w:r>
      <w:r>
        <w:rPr>
          <w:lang w:val="en_US" w:bidi="en_US"/>
        </w:rPr>
        <w:t xml:space="preserve"> The Greek text is literally “no one was-giving.” It implies that no one gave him anything to eat, even any of the pods. Another way to translate this is:</w:t>
      </w:r>
    </w:p>
    <w:p>
      <w:pPr/>
      <w:r>
        <w:rPr>
          <w:lang w:val="en_US" w:bidi="en_US"/>
        </w:rPr>
      </w:r>
      <w:r>
        <w:rPr>
          <w:lang w:val="en_US" w:bidi="en_US"/>
        </w:rPr>
        <w:t>no one gave him anything to eat (GNT)</w:t>
      </w:r>
    </w:p>
    <w:p>
      <w:pPr>
        <w:pStyle w:val="Heading6"/>
      </w:pPr>
      <w:r>
        <w:rPr>
          <w:b/>
          <w:lang w:val="en_US" w:bidi="en_US"/>
        </w:rPr>
        <w:t>General Comment on 15:16a–b</w:t>
      </w:r>
    </w:p>
    <w:p>
      <w:pPr/>
      <w:r>
        <w:rPr>
          <w:lang w:val="en_US" w:bidi="en_US"/>
        </w:rPr>
      </w:r>
      <w:r>
        <w:rPr>
          <w:lang w:val="en_US" w:bidi="en_US"/>
        </w:rPr>
        <w:t>In some languages it may be more natural to reorder the parts of this verse. For example:</w:t>
      </w:r>
    </w:p>
    <w:p>
      <w:pPr/>
      <w:r>
        <w:rPr>
          <w:lang w:val="en_US" w:bidi="en_US"/>
        </w:rPr>
      </w:r>
      <w:r>
        <w:rPr>
          <w:vertAlign w:val="superscript"/>
          <w:lang w:val="en_US" w:bidi="en_US"/>
        </w:rPr>
        <w:t>16b</w:t>
      </w:r>
      <w:r>
        <w:rPr>
          <w:lang w:val="en_US" w:bidi="en_US"/>
        </w:rPr>
        <w:t xml:space="preserve">No one in the country would give him any food, </w:t>
      </w:r>
      <w:r>
        <w:rPr>
          <w:vertAlign w:val="superscript"/>
          <w:lang w:val="en_US" w:bidi="en_US"/>
        </w:rPr>
        <w:t>16a</w:t>
      </w:r>
      <w:r>
        <w:rPr>
          <w:lang w:val="en_US" w:bidi="en_US"/>
        </w:rPr>
        <w:t>and he was so hungry that he would have eaten what the pigs were eating. (GW)</w:t>
      </w:r>
      <w:r>
        <w:rPr>
          <w:lang w:val="en_US" w:bidi="en_US"/>
        </w:rPr>
      </w:r>
      <w:r>
        <w:rPr>
          <w:lang w:val="en_US" w:bidi="en_US"/>
        </w:rPr>
      </w:r>
    </w:p>
    <w:p>
      <w:pPr/>
      <w:r>
        <w:rPr>
          <w:lang w:val="en_US" w:bidi="en_US"/>
        </w:rPr>
      </w:r>
    </w:p>
    <w:p>
      <w:pPr>
        <w:pStyle w:val="Heading2"/>
      </w:pPr>
      <w:r>
        <w:rPr>
          <w:lang w:val="en_US" w:bidi="en_US"/>
        </w:rPr>
        <w:t>Luke 15:17</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5"/>
      </w:pPr>
      <w:r>
        <w:rPr>
          <w:lang w:val="en_US" w:bidi="en_US"/>
        </w:rPr>
        <w:t>15:17a</w:t>
      </w:r>
    </w:p>
    <w:p>
      <w:pPr/>
      <w:r>
        <w:rPr>
          <w:lang w:val="en_US" w:bidi="en_US"/>
        </w:rPr>
      </w:r>
      <w:r>
        <w:rPr>
          <w:b/>
          <w:lang w:val="en_US" w:bidi="en_US"/>
        </w:rPr>
        <w:t>Finally he came to his senses and said,</w:t>
      </w:r>
    </w:p>
    <w:p>
      <w:pPr>
        <w:pStyle w:val="ListBullet"/>
        <w:spacing w:line="240" w:lineRule="auto"/>
        <w:ind w:left="720"/>
      </w:pPr>
      <w:r>
        <w:rPr>
          <w:lang w:val="en_US" w:bidi="en_US"/>
        </w:rPr>
      </w:r>
      <w:r>
        <w:rPr>
          <w:lang w:val="en_US" w:bidi="en_US"/>
        </w:rPr>
        <w:t>¶ “Finally/Then he began to think clearly/sensibly.</w:t>
      </w:r>
    </w:p>
    <w:p>
      <w:pPr>
        <w:pStyle w:val="ListBullet"/>
        <w:spacing w:line="240" w:lineRule="auto"/>
        <w:ind w:left="720"/>
      </w:pPr>
      <w:r>
        <w:rPr>
          <w:lang w:val="en_US" w:bidi="en_US"/>
        </w:rPr>
      </w:r>
      <w:r>
        <w:rPr>
          <w:lang w:val="en_US" w:bidi="en_US"/>
        </w:rPr>
        <w:t>¶ “When the young man realized how foolish he had been,</w:t>
      </w:r>
    </w:p>
    <w:p>
      <w:pPr/>
      <w:r>
        <w:rPr>
          <w:lang w:val="en_US" w:bidi="en_US"/>
        </w:rPr>
      </w:r>
      <w:r>
        <w:rPr>
          <w:b/>
          <w:lang w:val="en_US" w:bidi="en_US"/>
        </w:rPr>
        <w:t>Finally</w:t>
      </w:r>
      <w:r>
        <w:rPr>
          <w:lang w:val="en_US" w:bidi="en_US"/>
        </w:rPr>
        <w:t xml:space="preserve"> This verse is a turning point in the story. In Greek, the verse begins with a conjunction that some English versions translate here as “But.” It introduces the important things that happened after the young man came to his senses. The BSB represents it with the expression </w:t>
      </w:r>
      <w:r>
        <w:rPr>
          <w:i/>
          <w:lang w:val="en_US" w:bidi="en_US"/>
        </w:rPr>
        <w:t>Finally</w:t>
      </w:r>
      <w:r>
        <w:rPr>
          <w:lang w:val="en_US" w:bidi="en_US"/>
        </w:rPr>
        <w:t>. Other ways to introduce this verse are:</w:t>
      </w:r>
    </w:p>
    <w:p>
      <w:pPr/>
      <w:r>
        <w:rPr>
          <w:lang w:val="en_US" w:bidi="en_US"/>
        </w:rPr>
      </w:r>
      <w:r>
        <w:rPr>
          <w:lang w:val="en_US" w:bidi="en_US"/>
        </w:rPr>
        <w:t>At last</w:t>
      </w:r>
    </w:p>
    <w:p>
      <w:pPr/>
      <w:r>
        <w:rPr>
          <w:lang w:val="en_US" w:bidi="en_US"/>
        </w:rPr>
      </w:r>
      <w:r>
        <w:rPr>
          <w:lang w:val="en_US" w:bidi="en_US"/>
        </w:rPr>
        <w:t>Then</w:t>
      </w:r>
    </w:p>
    <w:p>
      <w:pPr/>
      <w:r>
        <w:rPr>
          <w:lang w:val="en_US" w:bidi="en_US"/>
        </w:rPr>
      </w:r>
      <w:r>
        <w:rPr>
          <w:b/>
          <w:lang w:val="en_US" w:bidi="en_US"/>
        </w:rPr>
        <w:t>he came to his senses:</w:t>
      </w:r>
      <w:r>
        <w:rPr>
          <w:lang w:val="en_US" w:bidi="en_US"/>
        </w:rPr>
        <w:t xml:space="preserve"> The idiomatic Greek expression that the BSB translates as </w:t>
      </w:r>
      <w:r>
        <w:rPr>
          <w:i/>
          <w:lang w:val="en_US" w:bidi="en_US"/>
        </w:rPr>
        <w:t>he came to his senses</w:t>
      </w:r>
      <w:r>
        <w:rPr>
          <w:lang w:val="en_US" w:bidi="en_US"/>
        </w:rPr>
        <w:t xml:space="preserve"> indicates that the younger son finally began to think clearly and sensibly about himself and his situation.</w:t>
      </w:r>
      <w:r>
        <w:rPr>
          <w:lang w:val="en_US" w:bidi="en_US"/>
        </w:rPr>
        <w:t>Some scholars, including Marshall, Godet, and Stein, suggest that the expression “came to his senses” implies that the young man repented, but no English versions specify that he repented. Most scholars feel that the expression has a weaker, more general meaning here.</w:t>
      </w:r>
      <w:r>
        <w:rPr>
          <w:lang w:val="en_US" w:bidi="en_US"/>
        </w:rPr>
        <w:t xml:space="preserve"> If you have an idiom in your language that expresses this meaning, you may use it here. Other ways to translate this expression are:</w:t>
      </w:r>
    </w:p>
    <w:p>
      <w:pPr/>
      <w:r>
        <w:rPr>
          <w:lang w:val="en_US" w:bidi="en_US"/>
        </w:rPr>
      </w:r>
      <w:r>
        <w:rPr>
          <w:lang w:val="en_US" w:bidi="en_US"/>
        </w:rPr>
        <w:t>he realized what he was doing (NCV)</w:t>
      </w:r>
    </w:p>
    <w:p>
      <w:pPr/>
      <w:r>
        <w:rPr>
          <w:lang w:val="en_US" w:bidi="en_US"/>
        </w:rPr>
      </w:r>
      <w:r>
        <w:rPr>
          <w:lang w:val="en_US" w:bidi="en_US"/>
        </w:rPr>
        <w:t>he realized how foolish he had been (TRT)</w:t>
      </w:r>
    </w:p>
    <w:p>
      <w:pPr>
        <w:pStyle w:val="Heading5"/>
      </w:pPr>
      <w:r>
        <w:rPr>
          <w:lang w:val="en_US" w:bidi="en_US"/>
        </w:rPr>
        <w:t>15:17b</w:t>
      </w:r>
    </w:p>
    <w:p>
      <w:pPr/>
      <w:r>
        <w:rPr>
          <w:lang w:val="en_US" w:bidi="en_US"/>
        </w:rPr>
      </w:r>
      <w:r>
        <w:rPr>
          <w:b/>
          <w:lang w:val="en_US" w:bidi="en_US"/>
        </w:rPr>
        <w:t>‘How many of my father’s hired servants have plenty of food?</w:t>
      </w:r>
    </w:p>
    <w:p>
      <w:pPr>
        <w:pStyle w:val="ListBullet"/>
        <w:spacing w:line="240" w:lineRule="auto"/>
        <w:ind w:left="720"/>
      </w:pPr>
      <w:r>
        <w:rPr>
          <w:lang w:val="en_US" w:bidi="en_US"/>
        </w:rPr>
      </w:r>
      <w:r>
        <w:rPr>
          <w:lang w:val="en_US" w:bidi="en_US"/>
        </w:rPr>
        <w:t xml:space="preserve">He said </w:t>
      </w:r>
      <w:r>
        <w:rPr>
          <w:lang w:val="en_US" w:bidi="en_US"/>
        </w:rPr>
        <w:t>to himself</w:t>
      </w:r>
      <w:r>
        <w:rPr>
          <w:lang w:val="en_US" w:bidi="en_US"/>
        </w:rPr>
        <w:t>, ‘All my father’s workmen/employees have more food than they need,</w:t>
      </w:r>
    </w:p>
    <w:p>
      <w:pPr>
        <w:pStyle w:val="ListBullet"/>
        <w:spacing w:line="240" w:lineRule="auto"/>
        <w:ind w:left="720"/>
      </w:pPr>
      <w:r>
        <w:rPr>
          <w:lang w:val="en_US" w:bidi="en_US"/>
        </w:rPr>
      </w:r>
      <w:r>
        <w:rPr>
          <w:lang w:val="en_US" w:bidi="en_US"/>
        </w:rPr>
        <w:t xml:space="preserve">he thought, ‘Those who earn </w:t>
      </w:r>
      <w:r>
        <w:rPr>
          <w:lang w:val="en_US" w:bidi="en_US"/>
        </w:rPr>
        <w:t>daily</w:t>
      </w:r>
      <w:r>
        <w:rPr>
          <w:lang w:val="en_US" w:bidi="en_US"/>
        </w:rPr>
        <w:t xml:space="preserve"> wages from my father all have plenty to eat,</w:t>
      </w:r>
    </w:p>
    <w:p>
      <w:pPr/>
      <w:r>
        <w:rPr>
          <w:lang w:val="en_US" w:bidi="en_US"/>
        </w:rPr>
      </w:r>
      <w:r>
        <w:rPr>
          <w:b/>
          <w:lang w:val="en_US" w:bidi="en_US"/>
        </w:rPr>
        <w:t>and said:</w:t>
      </w:r>
      <w:r>
        <w:rPr>
          <w:lang w:val="en_US" w:bidi="en_US"/>
        </w:rPr>
        <w:t xml:space="preserve"> The Greek word that the BSB translates as </w:t>
      </w:r>
      <w:r>
        <w:rPr>
          <w:i/>
          <w:lang w:val="en_US" w:bidi="en_US"/>
        </w:rPr>
        <w:t>and said</w:t>
      </w:r>
      <w:r>
        <w:rPr>
          <w:lang w:val="en_US" w:bidi="en_US"/>
        </w:rPr>
        <w:t xml:space="preserve"> can also refer to thoughts that are not spoken out loud. Other ways to translate the word here are:</w:t>
      </w:r>
    </w:p>
    <w:p>
      <w:pPr/>
      <w:r>
        <w:rPr>
          <w:lang w:val="en_US" w:bidi="en_US"/>
        </w:rPr>
      </w:r>
      <w:r>
        <w:rPr>
          <w:lang w:val="en_US" w:bidi="en_US"/>
        </w:rPr>
        <w:t>he said to himself (NLT)</w:t>
      </w:r>
    </w:p>
    <w:p>
      <w:pPr/>
      <w:r>
        <w:rPr>
          <w:lang w:val="en_US" w:bidi="en_US"/>
        </w:rPr>
      </w:r>
      <w:r>
        <w:rPr>
          <w:lang w:val="en_US" w:bidi="en_US"/>
        </w:rPr>
        <w:t>he thought (NCV)</w:t>
      </w:r>
    </w:p>
    <w:p>
      <w:pPr/>
      <w:r>
        <w:rPr>
          <w:lang w:val="en_US" w:bidi="en_US"/>
        </w:rPr>
      </w:r>
      <w:r>
        <w:rPr>
          <w:b/>
          <w:lang w:val="en_US" w:bidi="en_US"/>
        </w:rPr>
        <w:t>‘How many of my father’s hired servants have plenty of food?:</w:t>
      </w:r>
      <w:r>
        <w:rPr>
          <w:lang w:val="en_US" w:bidi="en_US"/>
        </w:rPr>
        <w:t xml:space="preserve"> This clause is an explanation. It emphasizes that the many men whom his father paid to work for him had plenty of food to eat. It is not meant as a question, and it does not imply that some of his father’s workers did not have enough food. Other ways to translate this expression are:</w:t>
      </w:r>
    </w:p>
    <w:p>
      <w:pPr/>
      <w:r>
        <w:rPr>
          <w:lang w:val="en_US" w:bidi="en_US"/>
        </w:rPr>
      </w:r>
      <w:r>
        <w:rPr>
          <w:lang w:val="en_US" w:bidi="en_US"/>
        </w:rPr>
        <w:t>All my father’s hired workers have more than they can eat (GNT)</w:t>
      </w:r>
    </w:p>
    <w:p>
      <w:pPr/>
      <w:r>
        <w:rPr>
          <w:lang w:val="en_US" w:bidi="en_US"/>
        </w:rPr>
      </w:r>
      <w:r>
        <w:rPr>
          <w:lang w:val="en_US" w:bidi="en_US"/>
        </w:rPr>
        <w:t>My father’s workers have plenty to eat (CEV)</w:t>
      </w:r>
    </w:p>
    <w:p>
      <w:pPr/>
      <w:r>
        <w:rPr>
          <w:lang w:val="en_US" w:bidi="en_US"/>
        </w:rPr>
      </w:r>
      <w:r>
        <w:rPr>
          <w:b/>
          <w:lang w:val="en_US" w:bidi="en_US"/>
        </w:rPr>
        <w:t>my father’s hired servants:</w:t>
      </w:r>
      <w:r>
        <w:rPr>
          <w:lang w:val="en_US" w:bidi="en_US"/>
        </w:rPr>
        <w:t xml:space="preserve"> The Greek expression that the BSB translates as </w:t>
      </w:r>
      <w:r>
        <w:rPr>
          <w:i/>
          <w:lang w:val="en_US" w:bidi="en_US"/>
        </w:rPr>
        <w:t>my father’s hired servants</w:t>
      </w:r>
      <w:r>
        <w:rPr>
          <w:lang w:val="en_US" w:bidi="en_US"/>
        </w:rPr>
        <w:t xml:space="preserve"> refers here to the men whom his father hired to work on his farm. These men were probably paid each day. A different word is used to refer to the slaves in 15:22a.</w:t>
      </w:r>
    </w:p>
    <w:p>
      <w:pPr/>
      <w:r>
        <w:rPr>
          <w:lang w:val="en_US" w:bidi="en_US"/>
        </w:rPr>
      </w:r>
      <w:r>
        <w:rPr>
          <w:lang w:val="en_US" w:bidi="en_US"/>
        </w:rPr>
        <w:t>If your language has an expression that refers specifically to people who work on a daily wage basis, you may use it here. Otherwise, a more general term is fine.</w:t>
      </w:r>
    </w:p>
    <w:p>
      <w:pPr>
        <w:pStyle w:val="Heading5"/>
      </w:pPr>
      <w:r>
        <w:rPr>
          <w:lang w:val="en_US" w:bidi="en_US"/>
        </w:rPr>
        <w:t>15:17c</w:t>
      </w:r>
    </w:p>
    <w:p>
      <w:pPr/>
      <w:r>
        <w:rPr>
          <w:lang w:val="en_US" w:bidi="en_US"/>
        </w:rPr>
      </w:r>
      <w:r>
        <w:rPr>
          <w:b/>
          <w:lang w:val="en_US" w:bidi="en_US"/>
        </w:rPr>
        <w:t>But here I am, starving to death!</w:t>
      </w:r>
    </w:p>
    <w:p>
      <w:pPr>
        <w:pStyle w:val="ListBullet"/>
        <w:spacing w:line="240" w:lineRule="auto"/>
        <w:ind w:left="720"/>
      </w:pPr>
      <w:r>
        <w:rPr>
          <w:lang w:val="en_US" w:bidi="en_US"/>
        </w:rPr>
      </w:r>
      <w:r>
        <w:rPr>
          <w:lang w:val="en_US" w:bidi="en_US"/>
        </w:rPr>
        <w:t xml:space="preserve">and/but I, </w:t>
      </w:r>
      <w:r>
        <w:rPr>
          <w:lang w:val="en_US" w:bidi="en_US"/>
        </w:rPr>
        <w:t>his son,</w:t>
      </w:r>
      <w:r>
        <w:rPr>
          <w:lang w:val="en_US" w:bidi="en_US"/>
        </w:rPr>
        <w:t xml:space="preserve"> am here, dying from hunger/starvation!</w:t>
      </w:r>
    </w:p>
    <w:p>
      <w:pPr>
        <w:pStyle w:val="ListBullet"/>
        <w:spacing w:line="240" w:lineRule="auto"/>
        <w:ind w:left="720"/>
      </w:pPr>
      <w:r>
        <w:rPr>
          <w:lang w:val="en_US" w:bidi="en_US"/>
        </w:rPr>
      </w:r>
      <w:r>
        <w:rPr>
          <w:lang w:val="en_US" w:bidi="en_US"/>
        </w:rPr>
        <w:t xml:space="preserve">while here </w:t>
      </w:r>
      <w:r>
        <w:rPr>
          <w:lang w:val="en_US" w:bidi="en_US"/>
        </w:rPr>
        <w:t>in this place/land</w:t>
      </w:r>
      <w:r>
        <w:rPr>
          <w:lang w:val="en_US" w:bidi="en_US"/>
        </w:rPr>
        <w:t xml:space="preserve"> I am starving!</w:t>
      </w:r>
    </w:p>
    <w:p>
      <w:pPr/>
      <w:r>
        <w:rPr>
          <w:lang w:val="en_US" w:bidi="en_US"/>
        </w:rPr>
      </w:r>
      <w:r>
        <w:rPr>
          <w:b/>
          <w:lang w:val="en_US" w:bidi="en_US"/>
        </w:rPr>
        <w:t>But here I am, starving to death!:</w:t>
      </w:r>
      <w:r>
        <w:rPr>
          <w:lang w:val="en_US" w:bidi="en_US"/>
        </w:rPr>
        <w:t xml:space="preserve"> The Greek conjunction that the BSB translates as </w:t>
      </w:r>
      <w:r>
        <w:rPr>
          <w:i/>
          <w:lang w:val="en_US" w:bidi="en_US"/>
        </w:rPr>
        <w:t>But</w:t>
      </w:r>
      <w:r>
        <w:rPr>
          <w:lang w:val="en_US" w:bidi="en_US"/>
        </w:rPr>
        <w:t xml:space="preserve"> here introduces a surprising contrast to the previous statement. The younger son was comparing himself to his father’s workmen and thinking about how they had enough food, whereas he was extremely hungry. Other ways to express this contrast are:</w:t>
      </w:r>
    </w:p>
    <w:p>
      <w:pPr/>
      <w:r>
        <w:rPr>
          <w:lang w:val="en_US" w:bidi="en_US"/>
        </w:rPr>
      </w:r>
      <w:r>
        <w:rPr>
          <w:u w:val="single"/>
          <w:lang w:val="en_US" w:bidi="en_US"/>
        </w:rPr>
        <w:t>while</w:t>
      </w:r>
      <w:r>
        <w:rPr>
          <w:lang w:val="en_US" w:bidi="en_US"/>
        </w:rPr>
        <w:t xml:space="preserve"> I’m starving to death here (GW)</w:t>
      </w:r>
    </w:p>
    <w:p>
      <w:pPr/>
      <w:r>
        <w:rPr>
          <w:lang w:val="en_US" w:bidi="en_US"/>
        </w:rPr>
      </w:r>
      <w:r>
        <w:rPr>
          <w:u w:val="single"/>
          <w:lang w:val="en_US" w:bidi="en_US"/>
        </w:rPr>
        <w:t>but</w:t>
      </w:r>
      <w:r>
        <w:rPr>
          <w:lang w:val="en_US" w:bidi="en_US"/>
        </w:rPr>
        <w:t xml:space="preserve"> here I am dying from hunger (NET)</w:t>
      </w:r>
    </w:p>
    <w:p>
      <w:pPr/>
      <w:r>
        <w:rPr>
          <w:lang w:val="en_US" w:bidi="en_US"/>
        </w:rPr>
      </w:r>
      <w:r>
        <w:rPr>
          <w:b/>
          <w:lang w:val="en_US" w:bidi="en_US"/>
        </w:rPr>
        <w:t>here:</w:t>
      </w:r>
      <w:r>
        <w:rPr>
          <w:lang w:val="en_US" w:bidi="en_US"/>
        </w:rPr>
        <w:t xml:space="preserve"> The Greek word that the BSB translates as </w:t>
      </w:r>
      <w:r>
        <w:rPr>
          <w:i/>
          <w:lang w:val="en_US" w:bidi="en_US"/>
        </w:rPr>
        <w:t>here</w:t>
      </w:r>
      <w:r>
        <w:rPr>
          <w:lang w:val="en_US" w:bidi="en_US"/>
        </w:rPr>
        <w:t xml:space="preserve"> refers to the place where the young man was staying.</w:t>
      </w:r>
      <w:r>
        <w:rPr>
          <w:lang w:val="en_US" w:bidi="en_US"/>
        </w:rPr>
        <w:t>Some Greek manuscripts omit “here.” The KJV follows these manuscripts. For more information see Swanson, p. 276, and Blight 2007, p. 149.</w:t>
      </w:r>
    </w:p>
    <w:p>
      <w:pPr/>
      <w:r>
        <w:rPr>
          <w:lang w:val="en_US" w:bidi="en_US"/>
        </w:rPr>
      </w:r>
      <w:r>
        <w:rPr>
          <w:b/>
          <w:lang w:val="en_US" w:bidi="en_US"/>
        </w:rPr>
        <w:t>I am, starving to death!:</w:t>
      </w:r>
      <w:r>
        <w:rPr>
          <w:lang w:val="en_US" w:bidi="en_US"/>
        </w:rPr>
        <w:t xml:space="preserve"> The Greek phrase that the BSB translates as </w:t>
      </w:r>
      <w:r>
        <w:rPr>
          <w:i/>
          <w:lang w:val="en_US" w:bidi="en_US"/>
        </w:rPr>
        <w:t>starving to death</w:t>
      </w:r>
      <w:r>
        <w:rPr>
          <w:lang w:val="en_US" w:bidi="en_US"/>
        </w:rPr>
        <w:t xml:space="preserve"> means “dying from hunger.”</w:t>
      </w:r>
      <w:r>
        <w:rPr>
          <w:lang w:val="en_US" w:bidi="en_US"/>
        </w:rPr>
      </w:r>
      <w:r>
        <w:rPr>
          <w:lang w:val="en_US" w:bidi="en_US"/>
        </w:rPr>
      </w:r>
    </w:p>
    <w:p>
      <w:pPr/>
      <w:r>
        <w:rPr>
          <w:lang w:val="en_US" w:bidi="en_US"/>
        </w:rPr>
      </w:r>
    </w:p>
    <w:p>
      <w:pPr>
        <w:pStyle w:val="Heading2"/>
      </w:pPr>
      <w:r>
        <w:rPr>
          <w:lang w:val="en_US" w:bidi="en_US"/>
        </w:rPr>
        <w:t>Luke 15:18</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5"/>
      </w:pPr>
      <w:r>
        <w:rPr>
          <w:lang w:val="en_US" w:bidi="en_US"/>
        </w:rPr>
        <w:t>15:18a</w:t>
      </w:r>
    </w:p>
    <w:p>
      <w:pPr/>
      <w:r>
        <w:rPr>
          <w:lang w:val="en_US" w:bidi="en_US"/>
        </w:rPr>
      </w:r>
      <w:r>
        <w:rPr>
          <w:b/>
          <w:lang w:val="en_US" w:bidi="en_US"/>
        </w:rPr>
        <w:t>I will get up and go back to my father</w:t>
      </w:r>
    </w:p>
    <w:p>
      <w:pPr>
        <w:pStyle w:val="ListBullet"/>
        <w:spacing w:line="240" w:lineRule="auto"/>
        <w:ind w:left="720"/>
      </w:pPr>
      <w:r>
        <w:rPr>
          <w:lang w:val="en_US" w:bidi="en_US"/>
        </w:rPr>
      </w:r>
      <w:r>
        <w:rPr>
          <w:lang w:val="en_US" w:bidi="en_US"/>
        </w:rPr>
        <w:t xml:space="preserve">I will leave </w:t>
      </w:r>
      <w:r>
        <w:rPr>
          <w:lang w:val="en_US" w:bidi="en_US"/>
        </w:rPr>
        <w:t>this place</w:t>
      </w:r>
      <w:r>
        <w:rPr>
          <w:lang w:val="en_US" w:bidi="en_US"/>
        </w:rPr>
        <w:t xml:space="preserve"> to/and return to my father.</w:t>
      </w:r>
    </w:p>
    <w:p>
      <w:pPr>
        <w:pStyle w:val="ListBullet"/>
        <w:spacing w:line="240" w:lineRule="auto"/>
        <w:ind w:left="720"/>
      </w:pPr>
      <w:r>
        <w:rPr>
          <w:lang w:val="en_US" w:bidi="en_US"/>
        </w:rPr>
      </w:r>
      <w:r>
        <w:rPr>
          <w:lang w:val="en_US" w:bidi="en_US"/>
        </w:rPr>
        <w:t>It would be better if I just go home</w:t>
      </w:r>
    </w:p>
    <w:p>
      <w:pPr/>
      <w:r>
        <w:rPr>
          <w:lang w:val="en_US" w:bidi="en_US"/>
        </w:rPr>
      </w:r>
      <w:r>
        <w:rPr>
          <w:b/>
          <w:lang w:val="en_US" w:bidi="en_US"/>
        </w:rPr>
        <w:t>I will get up and go back to my father:</w:t>
      </w:r>
      <w:r>
        <w:rPr>
          <w:lang w:val="en_US" w:bidi="en_US"/>
        </w:rPr>
        <w:t xml:space="preserve"> The Greek word that the BSB translates as </w:t>
      </w:r>
      <w:r>
        <w:rPr>
          <w:i/>
          <w:lang w:val="en_US" w:bidi="en_US"/>
        </w:rPr>
        <w:t>I will get up</w:t>
      </w:r>
      <w:r>
        <w:rPr>
          <w:lang w:val="en_US" w:bidi="en_US"/>
        </w:rPr>
        <w:t xml:space="preserve"> is literally “having-risen.” Here it indicates that the younger son decided to leave that country and return home. Other ways to express this clause are:</w:t>
      </w:r>
    </w:p>
    <w:p>
      <w:pPr/>
      <w:r>
        <w:rPr>
          <w:lang w:val="en_US" w:bidi="en_US"/>
        </w:rPr>
      </w:r>
      <w:r>
        <w:rPr>
          <w:lang w:val="en_US" w:bidi="en_US"/>
        </w:rPr>
        <w:t>I will leave here to return to my father</w:t>
      </w:r>
    </w:p>
    <w:p>
      <w:pPr/>
      <w:r>
        <w:rPr>
          <w:lang w:val="en_US" w:bidi="en_US"/>
        </w:rPr>
      </w:r>
      <w:r>
        <w:rPr>
          <w:lang w:val="en_US" w:bidi="en_US"/>
        </w:rPr>
        <w:t>I’ll go at once to my father (GW)</w:t>
      </w:r>
    </w:p>
    <w:p>
      <w:pPr/>
      <w:r>
        <w:rPr>
          <w:lang w:val="en_US" w:bidi="en_US"/>
        </w:rPr>
      </w:r>
      <w:r>
        <w:rPr>
          <w:lang w:val="en_US" w:bidi="en_US"/>
        </w:rPr>
        <w:t>In some languages it may be more natural to introduce a decision like this by saying:</w:t>
      </w:r>
    </w:p>
    <w:p>
      <w:pPr/>
      <w:r>
        <w:rPr>
          <w:lang w:val="en_US" w:bidi="en_US"/>
        </w:rPr>
      </w:r>
      <w:r>
        <w:rPr>
          <w:lang w:val="en_US" w:bidi="en_US"/>
        </w:rPr>
        <w:t>It would be better if…</w:t>
      </w:r>
    </w:p>
    <w:p>
      <w:pPr>
        <w:pStyle w:val="Heading5"/>
      </w:pPr>
      <w:r>
        <w:rPr>
          <w:lang w:val="en_US" w:bidi="en_US"/>
        </w:rPr>
        <w:t>15:18b</w:t>
      </w:r>
    </w:p>
    <w:p>
      <w:pPr/>
      <w:r>
        <w:rPr>
          <w:lang w:val="en_US" w:bidi="en_US"/>
        </w:rPr>
      </w:r>
      <w:r>
        <w:rPr>
          <w:b/>
          <w:lang w:val="en_US" w:bidi="en_US"/>
        </w:rPr>
        <w:t>and say to him,</w:t>
      </w:r>
    </w:p>
    <w:p>
      <w:pPr>
        <w:pStyle w:val="ListBullet"/>
        <w:spacing w:line="240" w:lineRule="auto"/>
        <w:ind w:left="720"/>
      </w:pPr>
      <w:r>
        <w:rPr>
          <w:lang w:val="en_US" w:bidi="en_US"/>
        </w:rPr>
      </w:r>
      <w:r>
        <w:rPr>
          <w:lang w:val="en_US" w:bidi="en_US"/>
        </w:rPr>
        <w:t>And I will say to him,</w:t>
      </w:r>
    </w:p>
    <w:p>
      <w:pPr>
        <w:pStyle w:val="ListBullet"/>
        <w:spacing w:line="240" w:lineRule="auto"/>
        <w:ind w:left="720"/>
      </w:pPr>
      <w:r>
        <w:rPr>
          <w:lang w:val="en_US" w:bidi="en_US"/>
        </w:rPr>
      </w:r>
      <w:r>
        <w:rPr>
          <w:lang w:val="en_US" w:bidi="en_US"/>
        </w:rPr>
        <w:t>and say to my father,</w:t>
      </w:r>
    </w:p>
    <w:p>
      <w:pPr/>
      <w:r>
        <w:rPr>
          <w:lang w:val="en_US" w:bidi="en_US"/>
        </w:rPr>
      </w:r>
      <w:r>
        <w:rPr>
          <w:b/>
          <w:lang w:val="en_US" w:bidi="en_US"/>
        </w:rPr>
        <w:t>say to him:</w:t>
      </w:r>
      <w:r>
        <w:rPr>
          <w:lang w:val="en_US" w:bidi="en_US"/>
        </w:rPr>
        <w:t xml:space="preserve"> In some languages it may be necessary to make explicit that the younger son was thinking about what to say when he arrived home. For example:</w:t>
      </w:r>
    </w:p>
    <w:p>
      <w:pPr/>
      <w:r>
        <w:rPr>
          <w:lang w:val="en_US" w:bidi="en_US"/>
        </w:rPr>
      </w:r>
      <w:r>
        <w:rPr>
          <w:lang w:val="en_US" w:bidi="en_US"/>
        </w:rPr>
        <w:t>When I arrive there,</w:t>
      </w:r>
      <w:r>
        <w:rPr>
          <w:lang w:val="en_US" w:bidi="en_US"/>
        </w:rPr>
        <w:t xml:space="preserve"> I will say to him…</w:t>
      </w:r>
    </w:p>
    <w:p>
      <w:pPr>
        <w:pStyle w:val="Heading5"/>
      </w:pPr>
      <w:r>
        <w:rPr>
          <w:lang w:val="en_US" w:bidi="en_US"/>
        </w:rPr>
        <w:t>15:18c</w:t>
      </w:r>
    </w:p>
    <w:p>
      <w:pPr/>
      <w:r>
        <w:rPr>
          <w:lang w:val="en_US" w:bidi="en_US"/>
        </w:rPr>
      </w:r>
      <w:r>
        <w:rPr>
          <w:b/>
          <w:lang w:val="en_US" w:bidi="en_US"/>
        </w:rPr>
        <w:t>“Father, I have sinned against heaven and against you.</w:t>
      </w:r>
    </w:p>
    <w:p>
      <w:pPr>
        <w:pStyle w:val="ListBullet"/>
        <w:spacing w:line="240" w:lineRule="auto"/>
        <w:ind w:left="720"/>
      </w:pPr>
      <w:r>
        <w:rPr>
          <w:lang w:val="en_US" w:bidi="en_US"/>
        </w:rPr>
      </w:r>
      <w:r>
        <w:rPr>
          <w:lang w:val="en_US" w:bidi="en_US"/>
        </w:rPr>
        <w:t xml:space="preserve">Father, I have sinned both against </w:t>
      </w:r>
      <w:r>
        <w:rPr>
          <w:lang w:val="en_US" w:bidi="en_US"/>
        </w:rPr>
        <w:t>God in</w:t>
      </w:r>
      <w:r>
        <w:rPr>
          <w:lang w:val="en_US" w:bidi="en_US"/>
        </w:rPr>
        <w:t xml:space="preserve"> heaven and against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My</w:t>
      </w:r>
      <w:r>
        <w:rPr>
          <w:lang w:val="en_US" w:bidi="en_US"/>
        </w:rPr>
        <w:t xml:space="preserve"> father, I have sinned against God and </w:t>
      </w:r>
      <w:r>
        <w:rPr>
          <w:lang w:val="en_US" w:bidi="en_US"/>
        </w:rPr>
        <w:t>I have done wrong</w:t>
      </w:r>
      <w:r>
        <w:rPr>
          <w:lang w:val="en_US" w:bidi="en_US"/>
        </w:rPr>
        <w:t xml:space="preserve"> to you</w:t>
      </w:r>
      <w:r>
        <w:rPr>
          <w:vertAlign w:val="superscript"/>
          <w:lang w:val="en_US" w:bidi="en_US"/>
        </w:rPr>
        <w:t>(sing)</w:t>
      </w:r>
      <w:r>
        <w:rPr>
          <w:lang w:val="en_US" w:bidi="en_US"/>
        </w:rPr>
        <w:t>.</w:t>
      </w:r>
    </w:p>
    <w:p>
      <w:pPr/>
      <w:r>
        <w:rPr>
          <w:lang w:val="en_US" w:bidi="en_US"/>
        </w:rPr>
      </w:r>
      <w:r>
        <w:rPr>
          <w:b/>
          <w:lang w:val="en_US" w:bidi="en_US"/>
        </w:rPr>
        <w:t>Father:</w:t>
      </w:r>
      <w:r>
        <w:rPr>
          <w:lang w:val="en_US" w:bidi="en_US"/>
        </w:rPr>
        <w:t xml:space="preserve"> Translate with whatever form of address would be most polite for a young man to use in speaking to his father.</w:t>
      </w:r>
    </w:p>
    <w:p>
      <w:pPr/>
      <w:r>
        <w:rPr>
          <w:lang w:val="en_US" w:bidi="en_US"/>
        </w:rPr>
      </w:r>
      <w:r>
        <w:rPr>
          <w:b/>
          <w:lang w:val="en_US" w:bidi="en_US"/>
        </w:rPr>
        <w:t>I have sinned against heaven and against you:</w:t>
      </w:r>
      <w:r>
        <w:rPr>
          <w:lang w:val="en_US" w:bidi="en_US"/>
        </w:rPr>
        <w:t xml:space="preserve"> The word </w:t>
      </w:r>
      <w:r>
        <w:rPr>
          <w:i/>
          <w:lang w:val="en_US" w:bidi="en_US"/>
        </w:rPr>
        <w:t>sinned</w:t>
      </w:r>
      <w:r>
        <w:rPr>
          <w:lang w:val="en_US" w:bidi="en_US"/>
        </w:rPr>
        <w:t xml:space="preserve"> indicates here that the son had done wrong. He had committed an offense against God and against his father. In some languages it may be necessary to use different expressions to refer to sins against God and sins against people. For example:</w:t>
      </w:r>
    </w:p>
    <w:p>
      <w:pPr/>
      <w:r>
        <w:rPr>
          <w:lang w:val="en_US" w:bidi="en_US"/>
        </w:rPr>
      </w:r>
      <w:r>
        <w:rPr>
          <w:lang w:val="en_US" w:bidi="en_US"/>
        </w:rPr>
        <w:t>I have sinned against God and have done wrong to you. (NCV)</w:t>
      </w:r>
    </w:p>
    <w:p>
      <w:pPr/>
      <w:r>
        <w:rPr>
          <w:lang w:val="en_US" w:bidi="en_US"/>
        </w:rPr>
      </w:r>
      <w:r>
        <w:rPr>
          <w:b/>
          <w:lang w:val="en_US" w:bidi="en_US"/>
        </w:rPr>
        <w:t>against heaven:</w:t>
      </w:r>
      <w:r>
        <w:rPr>
          <w:lang w:val="en_US" w:bidi="en_US"/>
        </w:rPr>
        <w:t xml:space="preserve"> The Greek phrase that the BSB translates as </w:t>
      </w:r>
      <w:r>
        <w:rPr>
          <w:i/>
          <w:lang w:val="en_US" w:bidi="en_US"/>
        </w:rPr>
        <w:t>against heaven</w:t>
      </w:r>
      <w:r>
        <w:rPr>
          <w:lang w:val="en_US" w:bidi="en_US"/>
        </w:rPr>
        <w:t xml:space="preserve"> implies “against God.” The Jews often referred indirectly to God in order to show their great respect for him and his name. You may need to make it explicit in your translation that the phrase </w:t>
      </w:r>
      <w:r>
        <w:rPr>
          <w:i/>
          <w:lang w:val="en_US" w:bidi="en_US"/>
        </w:rPr>
        <w:t>against heaven</w:t>
      </w:r>
      <w:r>
        <w:rPr>
          <w:lang w:val="en_US" w:bidi="en_US"/>
        </w:rPr>
        <w:t xml:space="preserve"> refers to God. For example:</w:t>
      </w:r>
    </w:p>
    <w:p>
      <w:pPr/>
      <w:r>
        <w:rPr>
          <w:lang w:val="en_US" w:bidi="en_US"/>
        </w:rPr>
      </w:r>
      <w:r>
        <w:rPr>
          <w:lang w:val="en_US" w:bidi="en_US"/>
        </w:rPr>
        <w:t xml:space="preserve">against </w:t>
      </w:r>
      <w:r>
        <w:rPr>
          <w:lang w:val="en_US" w:bidi="en_US"/>
        </w:rPr>
        <w:t>God in</w:t>
      </w:r>
      <w:r>
        <w:rPr>
          <w:lang w:val="en_US" w:bidi="en_US"/>
        </w:rPr>
        <w:t xml:space="preserve"> heaven</w:t>
      </w:r>
    </w:p>
    <w:p>
      <w:pPr/>
      <w:r>
        <w:rPr>
          <w:lang w:val="en_US" w:bidi="en_US"/>
        </w:rPr>
      </w:r>
      <w:r>
        <w:rPr>
          <w:lang w:val="en_US" w:bidi="en_US"/>
        </w:rPr>
        <w:t>against God (GNT)</w:t>
      </w:r>
    </w:p>
    <w:p>
      <w:pPr/>
      <w:r>
        <w:rPr>
          <w:lang w:val="en_US" w:bidi="en_US"/>
        </w:rPr>
      </w:r>
      <w:r>
        <w:rPr>
          <w:lang w:val="en_US" w:bidi="en_US"/>
        </w:rPr>
        <w:t>See heaven, Meaning 3, in the Glossary.</w:t>
      </w:r>
      <w:r>
        <w:rPr>
          <w:lang w:val="en_US" w:bidi="en_US"/>
        </w:rPr>
      </w:r>
      <w:r>
        <w:rPr>
          <w:lang w:val="en_US" w:bidi="en_US"/>
        </w:rPr>
      </w:r>
    </w:p>
    <w:p>
      <w:pPr/>
      <w:r>
        <w:rPr>
          <w:lang w:val="en_US" w:bidi="en_US"/>
        </w:rPr>
      </w:r>
    </w:p>
    <w:p>
      <w:pPr>
        <w:pStyle w:val="Heading2"/>
      </w:pPr>
      <w:r>
        <w:rPr>
          <w:lang w:val="en_US" w:bidi="en_US"/>
        </w:rPr>
        <w:t>Luke 15:19</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5"/>
      </w:pPr>
      <w:r>
        <w:rPr>
          <w:lang w:val="en_US" w:bidi="en_US"/>
        </w:rPr>
        <w:t>15:19a</w:t>
      </w:r>
    </w:p>
    <w:p>
      <w:pPr/>
      <w:r>
        <w:rPr>
          <w:lang w:val="en_US" w:bidi="en_US"/>
        </w:rPr>
      </w:r>
      <w:r>
        <w:rPr>
          <w:b/>
          <w:lang w:val="en_US" w:bidi="en_US"/>
        </w:rPr>
        <w:t>I am no longer worthy to be called your son.</w:t>
      </w:r>
    </w:p>
    <w:p>
      <w:pPr>
        <w:pStyle w:val="ListBullet"/>
        <w:spacing w:line="240" w:lineRule="auto"/>
        <w:ind w:left="720"/>
      </w:pPr>
      <w:r>
        <w:rPr>
          <w:lang w:val="en_US" w:bidi="en_US"/>
        </w:rPr>
      </w:r>
      <w:r>
        <w:rPr>
          <w:lang w:val="en_US" w:bidi="en_US"/>
        </w:rPr>
        <w:t>I do not deserve to be considered your</w:t>
      </w:r>
      <w:r>
        <w:rPr>
          <w:vertAlign w:val="superscript"/>
          <w:lang w:val="en_US" w:bidi="en_US"/>
        </w:rPr>
        <w:t>(sing)</w:t>
      </w:r>
      <w:r>
        <w:rPr>
          <w:lang w:val="en_US" w:bidi="en_US"/>
        </w:rPr>
        <w:t xml:space="preserve"> son any more.</w:t>
      </w:r>
    </w:p>
    <w:p>
      <w:pPr>
        <w:pStyle w:val="ListBullet"/>
        <w:spacing w:line="240" w:lineRule="auto"/>
        <w:ind w:left="720"/>
      </w:pPr>
      <w:r>
        <w:rPr>
          <w:lang w:val="en_US" w:bidi="en_US"/>
        </w:rPr>
      </w:r>
      <w:r>
        <w:rPr>
          <w:lang w:val="en_US" w:bidi="en_US"/>
        </w:rPr>
        <w:t>Please</w:t>
      </w:r>
      <w:r>
        <w:rPr>
          <w:lang w:val="en_US" w:bidi="en_US"/>
        </w:rPr>
        <w:t xml:space="preserve"> do not call/consider me your</w:t>
      </w:r>
      <w:r>
        <w:rPr>
          <w:vertAlign w:val="superscript"/>
          <w:lang w:val="en_US" w:bidi="en_US"/>
        </w:rPr>
        <w:t>(sing)</w:t>
      </w:r>
      <w:r>
        <w:rPr>
          <w:lang w:val="en_US" w:bidi="en_US"/>
        </w:rPr>
        <w:t xml:space="preserve"> son any longer. I am not worthy </w:t>
      </w:r>
      <w:r>
        <w:rPr>
          <w:lang w:val="en_US" w:bidi="en_US"/>
        </w:rPr>
        <w:t>of that honor</w:t>
      </w:r>
      <w:r>
        <w:rPr>
          <w:lang w:val="en_US" w:bidi="en_US"/>
        </w:rPr>
        <w:t>.</w:t>
      </w:r>
    </w:p>
    <w:p>
      <w:pPr/>
      <w:r>
        <w:rPr>
          <w:lang w:val="en_US" w:bidi="en_US"/>
        </w:rPr>
      </w:r>
      <w:r>
        <w:rPr>
          <w:b/>
          <w:lang w:val="en_US" w:bidi="en_US"/>
        </w:rPr>
        <w:t>I am no longer worthy to be called your son:</w:t>
      </w:r>
      <w:r>
        <w:rPr>
          <w:lang w:val="en_US" w:bidi="en_US"/>
        </w:rPr>
        <w:t xml:space="preserve"> The younger son was speaking very humbly. He was saying that he no longer deserved the honor of being called a son. He implied that what he had done was so wrong that he could not expect his father to treat him as a son.</w:t>
      </w:r>
    </w:p>
    <w:p>
      <w:pPr/>
      <w:r>
        <w:rPr>
          <w:lang w:val="en_US" w:bidi="en_US"/>
        </w:rPr>
      </w:r>
      <w:r>
        <w:rPr>
          <w:lang w:val="en_US" w:bidi="en_US"/>
        </w:rPr>
        <w:t>This clause is passive. In some languages you may need to use an active verb and supply a subject. Here, the father is the implied subject. For example:</w:t>
      </w:r>
    </w:p>
    <w:p>
      <w:pPr/>
      <w:r>
        <w:rPr>
          <w:lang w:val="en_US" w:bidi="en_US"/>
        </w:rPr>
      </w:r>
      <w:r>
        <w:rPr>
          <w:lang w:val="en_US" w:bidi="en_US"/>
        </w:rPr>
        <w:t>I am no longer worthy for you to call me your son.</w:t>
      </w:r>
    </w:p>
    <w:p>
      <w:pPr>
        <w:pStyle w:val="Heading5"/>
      </w:pPr>
      <w:r>
        <w:rPr>
          <w:lang w:val="en_US" w:bidi="en_US"/>
        </w:rPr>
        <w:t>15:19b</w:t>
      </w:r>
    </w:p>
    <w:p>
      <w:pPr/>
      <w:r>
        <w:rPr>
          <w:lang w:val="en_US" w:bidi="en_US"/>
        </w:rPr>
      </w:r>
      <w:r>
        <w:rPr>
          <w:b/>
          <w:lang w:val="en_US" w:bidi="en_US"/>
        </w:rPr>
        <w:t>Make me like one of your hired servants.”’</w:t>
      </w:r>
    </w:p>
    <w:p>
      <w:pPr>
        <w:pStyle w:val="ListBullet"/>
        <w:spacing w:line="240" w:lineRule="auto"/>
        <w:ind w:left="720"/>
      </w:pPr>
      <w:r>
        <w:rPr>
          <w:lang w:val="en_US" w:bidi="en_US"/>
        </w:rPr>
      </w:r>
      <w:r>
        <w:rPr>
          <w:lang w:val="en_US" w:bidi="en_US"/>
        </w:rPr>
        <w:t>But</w:t>
      </w:r>
      <w:r>
        <w:rPr>
          <w:lang w:val="en_US" w:bidi="en_US"/>
        </w:rPr>
        <w:t xml:space="preserve"> </w:t>
      </w:r>
      <w:r>
        <w:rPr>
          <w:lang w:val="en_US" w:bidi="en_US"/>
        </w:rPr>
        <w:t>please</w:t>
      </w:r>
      <w:r>
        <w:rPr>
          <w:lang w:val="en_US" w:bidi="en_US"/>
        </w:rPr>
        <w:t xml:space="preserve"> allow me to be one of your</w:t>
      </w:r>
      <w:r>
        <w:rPr>
          <w:vertAlign w:val="superscript"/>
          <w:lang w:val="en_US" w:bidi="en_US"/>
        </w:rPr>
        <w:t>(sing)</w:t>
      </w:r>
      <w:r>
        <w:rPr>
          <w:lang w:val="en_US" w:bidi="en_US"/>
        </w:rPr>
        <w:t xml:space="preserve"> paid workers/employees.’</w:t>
      </w:r>
    </w:p>
    <w:p>
      <w:pPr>
        <w:pStyle w:val="ListBullet"/>
        <w:spacing w:line="240" w:lineRule="auto"/>
        <w:ind w:left="720"/>
      </w:pPr>
      <w:r>
        <w:rPr>
          <w:lang w:val="en_US" w:bidi="en_US"/>
        </w:rPr>
      </w:r>
      <w:r>
        <w:rPr>
          <w:lang w:val="en_US" w:bidi="en_US"/>
        </w:rPr>
        <w:t>Instead,</w:t>
      </w:r>
      <w:r>
        <w:rPr>
          <w:lang w:val="en_US" w:bidi="en_US"/>
        </w:rPr>
        <w:t xml:space="preserve"> treat me the same as you</w:t>
      </w:r>
      <w:r>
        <w:rPr>
          <w:vertAlign w:val="superscript"/>
          <w:lang w:val="en_US" w:bidi="en_US"/>
        </w:rPr>
        <w:t>(sing)</w:t>
      </w:r>
      <w:r>
        <w:rPr>
          <w:lang w:val="en_US" w:bidi="en_US"/>
        </w:rPr>
        <w:t xml:space="preserve"> treat the men who earn </w:t>
      </w:r>
      <w:r>
        <w:rPr>
          <w:lang w:val="en_US" w:bidi="en_US"/>
        </w:rPr>
        <w:t>daily</w:t>
      </w:r>
      <w:r>
        <w:rPr>
          <w:lang w:val="en_US" w:bidi="en_US"/>
        </w:rPr>
        <w:t xml:space="preserve"> wages from you.’</w:t>
      </w:r>
    </w:p>
    <w:p>
      <w:pPr/>
      <w:r>
        <w:rPr>
          <w:lang w:val="en_US" w:bidi="en_US"/>
        </w:rPr>
      </w:r>
      <w:r>
        <w:rPr>
          <w:b/>
          <w:lang w:val="en_US" w:bidi="en_US"/>
        </w:rPr>
        <w:t>Make me like one of your hired servants:</w:t>
      </w:r>
      <w:r>
        <w:rPr>
          <w:lang w:val="en_US" w:bidi="en_US"/>
        </w:rPr>
        <w:t xml:space="preserve"> This clause indicates that the young man planned to ask his father to let him work for him, just as his father’s other workmen did. This request was a contrast to being treated like a son, and it was also the result of his unworthiness. Another way to translate this clause is:</w:t>
      </w:r>
    </w:p>
    <w:p>
      <w:pPr/>
      <w:r>
        <w:rPr>
          <w:lang w:val="en_US" w:bidi="en_US"/>
        </w:rPr>
      </w:r>
      <w:r>
        <w:rPr>
          <w:lang w:val="en_US" w:bidi="en_US"/>
        </w:rPr>
        <w:t>Instead, treat me like one of your workers.</w:t>
      </w:r>
    </w:p>
    <w:p>
      <w:pPr/>
      <w:r>
        <w:rPr>
          <w:lang w:val="en_US" w:bidi="en_US"/>
        </w:rPr>
      </w:r>
      <w:r>
        <w:rPr>
          <w:lang w:val="en_US" w:bidi="en_US"/>
        </w:rPr>
        <w:t>Express the connection with 15:19a in a natural way in your language.</w:t>
      </w:r>
    </w:p>
    <w:p>
      <w:pPr/>
      <w:r>
        <w:rPr>
          <w:lang w:val="en_US" w:bidi="en_US"/>
        </w:rPr>
      </w:r>
      <w:r>
        <w:rPr>
          <w:b/>
          <w:lang w:val="en_US" w:bidi="en_US"/>
        </w:rPr>
        <w:t>hired servants:</w:t>
      </w:r>
      <w:r>
        <w:rPr>
          <w:lang w:val="en_US" w:bidi="en_US"/>
        </w:rPr>
        <w:t xml:space="preserve"> The Greek word that the BSB translates as </w:t>
      </w:r>
      <w:r>
        <w:rPr>
          <w:i/>
          <w:lang w:val="en_US" w:bidi="en_US"/>
        </w:rPr>
        <w:t>hired servants</w:t>
      </w:r>
      <w:r>
        <w:rPr>
          <w:lang w:val="en_US" w:bidi="en_US"/>
        </w:rPr>
        <w:t xml:space="preserve"> is the same word as in 15:17b. It refers to free men who worked for pay.</w:t>
      </w:r>
    </w:p>
    <w:p>
      <w:pPr>
        <w:pStyle w:val="Heading6"/>
      </w:pPr>
      <w:r>
        <w:rPr>
          <w:b/>
          <w:lang w:val="en_US" w:bidi="en_US"/>
        </w:rPr>
        <w:t>General Comment on 15:18–19</w:t>
      </w:r>
    </w:p>
    <w:p>
      <w:pPr/>
      <w:r>
        <w:rPr>
          <w:lang w:val="en_US" w:bidi="en_US"/>
        </w:rPr>
      </w:r>
      <w:r>
        <w:rPr>
          <w:lang w:val="en_US" w:bidi="en_US"/>
        </w:rPr>
        <w:t>These verses contain a quotation within a quotation within the story that Jesus was telling. In some languages, readers may find this difficult to understand. In those languages it may be necessary to use indirect speech for what the young man would say to his father. For example:</w:t>
      </w:r>
    </w:p>
    <w:p>
      <w:pPr/>
      <w:r>
        <w:rPr>
          <w:lang w:val="en_US" w:bidi="en_US"/>
        </w:rPr>
      </w:r>
      <w:r>
        <w:rPr>
          <w:lang w:val="en_US" w:bidi="en_US"/>
        </w:rPr>
        <w:t xml:space="preserve">I will leave here and go back to my father. </w:t>
      </w:r>
      <w:r>
        <w:rPr>
          <w:lang w:val="en_US" w:bidi="en_US"/>
        </w:rPr>
        <w:t>When I get back home,</w:t>
      </w:r>
      <w:r>
        <w:rPr>
          <w:lang w:val="en_US" w:bidi="en_US"/>
        </w:rPr>
        <w:t xml:space="preserve"> I will admit to him that I have sinned against God and against him. I will tell him that I am no longer worthy to be considered his son. I will ask him to let me work for him like a hired laborer.</w:t>
      </w:r>
      <w:r>
        <w:rPr>
          <w:lang w:val="en_US" w:bidi="en_US"/>
        </w:rPr>
      </w:r>
      <w:r>
        <w:rPr>
          <w:lang w:val="en_US" w:bidi="en_US"/>
        </w:rPr>
      </w:r>
    </w:p>
    <w:p>
      <w:pPr/>
      <w:r>
        <w:rPr>
          <w:lang w:val="en_US" w:bidi="en_US"/>
        </w:rPr>
      </w:r>
    </w:p>
    <w:p>
      <w:pPr>
        <w:pStyle w:val="Heading2"/>
      </w:pPr>
      <w:r>
        <w:rPr>
          <w:lang w:val="en_US" w:bidi="en_US"/>
        </w:rPr>
        <w:t>Luke 15:20</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5"/>
      </w:pPr>
      <w:r>
        <w:rPr>
          <w:lang w:val="en_US" w:bidi="en_US"/>
        </w:rPr>
        <w:t>15:20a</w:t>
      </w:r>
    </w:p>
    <w:p>
      <w:pPr/>
      <w:r>
        <w:rPr>
          <w:lang w:val="en_US" w:bidi="en_US"/>
        </w:rPr>
      </w:r>
      <w:r>
        <w:rPr>
          <w:b/>
          <w:lang w:val="en_US" w:bidi="en_US"/>
        </w:rPr>
        <w:t>So he got up and went to his father.</w:t>
      </w:r>
    </w:p>
    <w:p>
      <w:pPr>
        <w:pStyle w:val="ListBullet"/>
        <w:spacing w:line="240" w:lineRule="auto"/>
        <w:ind w:left="720"/>
      </w:pPr>
      <w:r>
        <w:rPr>
          <w:lang w:val="en_US" w:bidi="en_US"/>
        </w:rPr>
      </w:r>
      <w:r>
        <w:rPr>
          <w:lang w:val="en_US" w:bidi="en_US"/>
        </w:rPr>
        <w:t xml:space="preserve">So </w:t>
      </w:r>
      <w:r>
        <w:rPr>
          <w:lang w:val="en_US" w:bidi="en_US"/>
        </w:rPr>
        <w:t>the younger son</w:t>
      </w:r>
      <w:r>
        <w:rPr>
          <w:lang w:val="en_US" w:bidi="en_US"/>
        </w:rPr>
        <w:t xml:space="preserve"> left and went back to his father.</w:t>
      </w:r>
    </w:p>
    <w:p>
      <w:pPr>
        <w:pStyle w:val="ListBullet"/>
        <w:spacing w:line="240" w:lineRule="auto"/>
        <w:ind w:left="720"/>
      </w:pPr>
      <w:r>
        <w:rPr>
          <w:lang w:val="en_US" w:bidi="en_US"/>
        </w:rPr>
      </w:r>
      <w:r>
        <w:rPr>
          <w:lang w:val="en_US" w:bidi="en_US"/>
        </w:rPr>
        <w:t xml:space="preserve">Then he started </w:t>
      </w:r>
      <w:r>
        <w:rPr>
          <w:lang w:val="en_US" w:bidi="en_US"/>
        </w:rPr>
        <w:t>on his journey</w:t>
      </w:r>
      <w:r>
        <w:rPr>
          <w:lang w:val="en_US" w:bidi="en_US"/>
        </w:rPr>
        <w:t xml:space="preserve"> to return to his father.</w:t>
      </w:r>
    </w:p>
    <w:p>
      <w:pPr/>
      <w:r>
        <w:rPr>
          <w:lang w:val="en_US" w:bidi="en_US"/>
        </w:rPr>
      </w:r>
      <w:r>
        <w:rPr>
          <w:b/>
          <w:lang w:val="en_US" w:bidi="en_US"/>
        </w:rPr>
        <w:t>So:</w:t>
      </w:r>
      <w:r>
        <w:rPr>
          <w:lang w:val="en_US" w:bidi="en_US"/>
        </w:rPr>
        <w:t xml:space="preserve"> This verse begins with a Greek conjunction that many English versions translate as “and.” The BSB, along with many other English versions, translates it as </w:t>
      </w:r>
      <w:r>
        <w:rPr>
          <w:i/>
          <w:lang w:val="en_US" w:bidi="en_US"/>
        </w:rPr>
        <w:t>So</w:t>
      </w:r>
      <w:r>
        <w:rPr>
          <w:lang w:val="en_US" w:bidi="en_US"/>
        </w:rPr>
        <w:t xml:space="preserve"> because it introduces what the young man did as a result of his decision to return home to his father. Translate the connection in a natural way in your language.</w:t>
      </w:r>
    </w:p>
    <w:p>
      <w:pPr/>
      <w:r>
        <w:rPr>
          <w:lang w:val="en_US" w:bidi="en_US"/>
        </w:rPr>
      </w:r>
      <w:r>
        <w:rPr>
          <w:b/>
          <w:lang w:val="en_US" w:bidi="en_US"/>
        </w:rPr>
        <w:t>he got up and went to his father:</w:t>
      </w:r>
      <w:r>
        <w:rPr>
          <w:lang w:val="en_US" w:bidi="en_US"/>
        </w:rPr>
        <w:t xml:space="preserve"> The Greek word that the BSB translates as </w:t>
      </w:r>
      <w:r>
        <w:rPr>
          <w:i/>
          <w:lang w:val="en_US" w:bidi="en_US"/>
        </w:rPr>
        <w:t>he got up</w:t>
      </w:r>
      <w:r>
        <w:rPr>
          <w:lang w:val="en_US" w:bidi="en_US"/>
        </w:rPr>
        <w:t xml:space="preserve"> is the same word as the word translated as “I will get up” in 15:18a. It is used here to indicate that the young man started to go to his father. It does not mean that he had been sitting down or lying down.</w:t>
      </w:r>
    </w:p>
    <w:p>
      <w:pPr/>
      <w:r>
        <w:rPr>
          <w:lang w:val="en_US" w:bidi="en_US"/>
        </w:rPr>
      </w:r>
      <w:r>
        <w:rPr>
          <w:b/>
          <w:lang w:val="en_US" w:bidi="en_US"/>
        </w:rPr>
        <w:t>went to his father:</w:t>
      </w:r>
      <w:r>
        <w:rPr>
          <w:lang w:val="en_US" w:bidi="en_US"/>
        </w:rPr>
        <w:t xml:space="preserve"> The Greek verb that the BSB translates as </w:t>
      </w:r>
      <w:r>
        <w:rPr>
          <w:i/>
          <w:lang w:val="en_US" w:bidi="en_US"/>
        </w:rPr>
        <w:t>went</w:t>
      </w:r>
      <w:r>
        <w:rPr>
          <w:lang w:val="en_US" w:bidi="en_US"/>
        </w:rPr>
        <w:t xml:space="preserve"> can also be translated as “came.” Some English versions, such as the RSV, translate it that way. Express this in a way that is natural in your language.</w:t>
      </w:r>
    </w:p>
    <w:p>
      <w:pPr/>
      <w:r>
        <w:rPr>
          <w:lang w:val="en_US" w:bidi="en_US"/>
        </w:rPr>
      </w:r>
      <w:r>
        <w:rPr>
          <w:lang w:val="en_US" w:bidi="en_US"/>
        </w:rPr>
        <w:t>Notice that the young man had not reached his father when the action of the next verse parts occurred. In some languages it may be necessary to translate this as:</w:t>
      </w:r>
    </w:p>
    <w:p>
      <w:pPr/>
      <w:r>
        <w:rPr>
          <w:lang w:val="en_US" w:bidi="en_US"/>
        </w:rPr>
      </w:r>
      <w:r>
        <w:rPr>
          <w:lang w:val="en_US" w:bidi="en_US"/>
        </w:rPr>
        <w:t>started back to his father</w:t>
      </w:r>
    </w:p>
    <w:p>
      <w:pPr>
        <w:pStyle w:val="Heading4"/>
      </w:pPr>
      <w:r>
        <w:rPr>
          <w:lang w:val="en_US" w:bidi="en_US"/>
        </w:rPr>
        <w:t>Paragraph 15:20b–24</w:t>
      </w:r>
    </w:p>
    <w:p>
      <w:pPr/>
      <w:r>
        <w:rPr>
          <w:lang w:val="en_US" w:bidi="en_US"/>
        </w:rPr>
      </w:r>
      <w:r>
        <w:rPr>
          <w:lang w:val="en_US" w:bidi="en_US"/>
        </w:rPr>
        <w:t>In 15:20b–c the focus changes from the young man to the father and what the father felt and did when the son came home.</w:t>
      </w:r>
    </w:p>
    <w:p>
      <w:pPr>
        <w:pStyle w:val="Heading5"/>
      </w:pPr>
      <w:r>
        <w:rPr>
          <w:lang w:val="en_US" w:bidi="en_US"/>
        </w:rPr>
        <w:t>15:20b</w:t>
      </w:r>
    </w:p>
    <w:p>
      <w:pPr/>
      <w:r>
        <w:rPr>
          <w:lang w:val="en_US" w:bidi="en_US"/>
        </w:rPr>
      </w:r>
      <w:r>
        <w:rPr>
          <w:b/>
          <w:lang w:val="en_US" w:bidi="en_US"/>
        </w:rPr>
        <w:t>But while he was still in the distance, his father saw him</w:t>
      </w:r>
    </w:p>
    <w:p>
      <w:pPr>
        <w:pStyle w:val="ListBullet"/>
        <w:spacing w:line="240" w:lineRule="auto"/>
        <w:ind w:left="720"/>
      </w:pPr>
      <w:r>
        <w:rPr>
          <w:lang w:val="en_US" w:bidi="en_US"/>
        </w:rPr>
      </w:r>
      <w:r>
        <w:rPr>
          <w:lang w:val="en_US" w:bidi="en_US"/>
        </w:rPr>
        <w:t xml:space="preserve">¶ “While he was still far away, his father saw him </w:t>
      </w:r>
      <w:r>
        <w:rPr>
          <w:lang w:val="en_US" w:bidi="en_US"/>
        </w:rPr>
        <w:t>coming</w:t>
      </w:r>
      <w:r>
        <w:rPr>
          <w:lang w:val="en_US" w:bidi="en_US"/>
        </w:rPr>
        <w:t>.</w:t>
      </w:r>
    </w:p>
    <w:p>
      <w:pPr>
        <w:pStyle w:val="ListBullet"/>
        <w:spacing w:line="240" w:lineRule="auto"/>
        <w:ind w:left="720"/>
      </w:pPr>
      <w:r>
        <w:rPr>
          <w:lang w:val="en_US" w:bidi="en_US"/>
        </w:rPr>
      </w:r>
      <w:r>
        <w:rPr>
          <w:lang w:val="en_US" w:bidi="en_US"/>
        </w:rPr>
        <w:t xml:space="preserve">¶ “His father saw him in the distance </w:t>
      </w:r>
      <w:r>
        <w:rPr>
          <w:lang w:val="en_US" w:bidi="en_US"/>
        </w:rPr>
        <w:t>and recognized him</w:t>
      </w:r>
      <w:r>
        <w:rPr>
          <w:lang w:val="en_US" w:bidi="en_US"/>
        </w:rPr>
        <w:t>.</w:t>
      </w:r>
    </w:p>
    <w:p>
      <w:pPr/>
      <w:r>
        <w:rPr>
          <w:lang w:val="en_US" w:bidi="en_US"/>
        </w:rPr>
      </w:r>
      <w:r>
        <w:rPr>
          <w:b/>
          <w:lang w:val="en_US" w:bidi="en_US"/>
        </w:rPr>
        <w:t>But while he was still in the distance:</w:t>
      </w:r>
      <w:r>
        <w:rPr>
          <w:lang w:val="en_US" w:bidi="en_US"/>
        </w:rPr>
        <w:t xml:space="preserve"> The Greek phrase that the BSB translates as </w:t>
      </w:r>
      <w:r>
        <w:rPr>
          <w:i/>
          <w:lang w:val="en_US" w:bidi="en_US"/>
        </w:rPr>
        <w:t>But while he was still in the distance</w:t>
      </w:r>
      <w:r>
        <w:rPr>
          <w:lang w:val="en_US" w:bidi="en_US"/>
        </w:rPr>
        <w:t xml:space="preserve"> is literally “but still being-away at-a-distance.” It means that the younger son was still far away from his father. However, he was close enough for his father to recognize him, as the next clause implies. Another way to translate this is:</w:t>
      </w:r>
    </w:p>
    <w:p>
      <w:pPr/>
      <w:r>
        <w:rPr>
          <w:lang w:val="en_US" w:bidi="en_US"/>
        </w:rPr>
      </w:r>
      <w:r>
        <w:rPr>
          <w:lang w:val="en_US" w:bidi="en_US"/>
        </w:rPr>
        <w:t>While he was still at a distance (GW)</w:t>
      </w:r>
    </w:p>
    <w:p>
      <w:pPr/>
      <w:r>
        <w:rPr>
          <w:lang w:val="en_US" w:bidi="en_US"/>
        </w:rPr>
      </w:r>
      <w:r>
        <w:rPr>
          <w:b/>
          <w:lang w:val="en_US" w:bidi="en_US"/>
        </w:rPr>
        <w:t>his father saw him:</w:t>
      </w:r>
      <w:r>
        <w:rPr>
          <w:lang w:val="en_US" w:bidi="en_US"/>
        </w:rPr>
        <w:t xml:space="preserve"> The Greek phrase that the BSB translates as </w:t>
      </w:r>
      <w:r>
        <w:rPr>
          <w:i/>
          <w:lang w:val="en_US" w:bidi="en_US"/>
        </w:rPr>
        <w:t>his father saw him</w:t>
      </w:r>
      <w:r>
        <w:rPr>
          <w:lang w:val="en_US" w:bidi="en_US"/>
        </w:rPr>
        <w:t xml:space="preserve"> in this context means that the father saw who he was. He recognized him as he was coming. If you have a specific term in your language that refers to seeing someone in the distance, you may use it here.</w:t>
      </w:r>
    </w:p>
    <w:p>
      <w:pPr>
        <w:pStyle w:val="Heading5"/>
      </w:pPr>
      <w:r>
        <w:rPr>
          <w:lang w:val="en_US" w:bidi="en_US"/>
        </w:rPr>
        <w:t>15:20c</w:t>
      </w:r>
    </w:p>
    <w:p>
      <w:pPr/>
      <w:r>
        <w:rPr>
          <w:lang w:val="en_US" w:bidi="en_US"/>
        </w:rPr>
      </w:r>
      <w:r>
        <w:rPr>
          <w:b/>
          <w:lang w:val="en_US" w:bidi="en_US"/>
        </w:rPr>
        <w:t>and was filled with compassion. He ran to his son,</w:t>
      </w:r>
    </w:p>
    <w:p>
      <w:pPr>
        <w:pStyle w:val="ListBullet"/>
        <w:spacing w:line="240" w:lineRule="auto"/>
        <w:ind w:left="720"/>
      </w:pPr>
      <w:r>
        <w:rPr>
          <w:lang w:val="en_US" w:bidi="en_US"/>
        </w:rPr>
      </w:r>
      <w:r>
        <w:rPr>
          <w:lang w:val="en_US" w:bidi="en_US"/>
        </w:rPr>
        <w:t xml:space="preserve">He felt very sorry for his son and ran to </w:t>
      </w:r>
      <w:r>
        <w:rPr>
          <w:lang w:val="en_US" w:bidi="en_US"/>
        </w:rPr>
        <w:t>meet</w:t>
      </w:r>
      <w:r>
        <w:rPr>
          <w:lang w:val="en_US" w:bidi="en_US"/>
        </w:rPr>
        <w:t xml:space="preserve"> him.</w:t>
      </w:r>
    </w:p>
    <w:p>
      <w:pPr>
        <w:pStyle w:val="ListBullet"/>
        <w:spacing w:line="240" w:lineRule="auto"/>
        <w:ind w:left="720"/>
      </w:pPr>
      <w:r>
        <w:rPr>
          <w:lang w:val="en_US" w:bidi="en_US"/>
        </w:rPr>
      </w:r>
      <w:r>
        <w:rPr>
          <w:lang w:val="en_US" w:bidi="en_US"/>
        </w:rPr>
        <w:t>His heart was filled with pity for his son/child. He ran toward his son/child</w:t>
      </w:r>
    </w:p>
    <w:p>
      <w:pPr/>
      <w:r>
        <w:rPr>
          <w:lang w:val="en_US" w:bidi="en_US"/>
        </w:rPr>
      </w:r>
      <w:r>
        <w:rPr>
          <w:b/>
          <w:lang w:val="en_US" w:bidi="en_US"/>
        </w:rPr>
        <w:t>and was filled with compassion:</w:t>
      </w:r>
      <w:r>
        <w:rPr>
          <w:lang w:val="en_US" w:bidi="en_US"/>
        </w:rPr>
        <w:t xml:space="preserve"> The Greek phrase that the BSB translates as </w:t>
      </w:r>
      <w:r>
        <w:rPr>
          <w:i/>
          <w:lang w:val="en_US" w:bidi="en_US"/>
        </w:rPr>
        <w:t>was filled with compassion</w:t>
      </w:r>
      <w:r>
        <w:rPr>
          <w:lang w:val="en_US" w:bidi="en_US"/>
        </w:rPr>
        <w:t xml:space="preserve"> means that the father felt great compassion for his younger son. He strongly desired to show mercy to him. In some languages there may be an idiom to describe this. For example:</w:t>
      </w:r>
    </w:p>
    <w:p>
      <w:pPr/>
      <w:r>
        <w:rPr>
          <w:lang w:val="en_US" w:bidi="en_US"/>
        </w:rPr>
      </w:r>
      <w:r>
        <w:rPr>
          <w:lang w:val="en_US" w:bidi="en_US"/>
        </w:rPr>
        <w:t>his heart went out to him (NET)</w:t>
      </w:r>
    </w:p>
    <w:p>
      <w:pPr/>
      <w:r>
        <w:rPr>
          <w:lang w:val="en_US" w:bidi="en_US"/>
        </w:rPr>
      </w:r>
      <w:r>
        <w:rPr>
          <w:b/>
          <w:lang w:val="en_US" w:bidi="en_US"/>
        </w:rPr>
        <w:t>He ran to his son:</w:t>
      </w:r>
      <w:r>
        <w:rPr>
          <w:lang w:val="en_US" w:bidi="en_US"/>
        </w:rPr>
        <w:t xml:space="preserve"> The father ran to his son in order to welcome him. In some languages it may be more natural to make this information explicit. For example:</w:t>
      </w:r>
    </w:p>
    <w:p>
      <w:pPr/>
      <w:r>
        <w:rPr>
          <w:lang w:val="en_US" w:bidi="en_US"/>
        </w:rPr>
      </w:r>
      <w:r>
        <w:rPr>
          <w:lang w:val="en_US" w:bidi="en_US"/>
        </w:rPr>
        <w:t xml:space="preserve">he ran </w:t>
      </w:r>
      <w:r>
        <w:rPr>
          <w:lang w:val="en_US" w:bidi="en_US"/>
        </w:rPr>
        <w:t>to meet/greet</w:t>
      </w:r>
      <w:r>
        <w:rPr>
          <w:lang w:val="en_US" w:bidi="en_US"/>
        </w:rPr>
        <w:t xml:space="preserve"> his son</w:t>
      </w:r>
    </w:p>
    <w:p>
      <w:pPr/>
      <w:r>
        <w:rPr>
          <w:lang w:val="en_US" w:bidi="en_US"/>
        </w:rPr>
      </w:r>
      <w:r>
        <w:rPr>
          <w:lang w:val="en_US" w:bidi="en_US"/>
        </w:rPr>
        <w:t>In other languages it may better to make information implicit. For example:</w:t>
      </w:r>
    </w:p>
    <w:p>
      <w:pPr/>
      <w:r>
        <w:rPr>
          <w:lang w:val="en_US" w:bidi="en_US"/>
        </w:rPr>
      </w:r>
      <w:r>
        <w:rPr>
          <w:lang w:val="en_US" w:bidi="en_US"/>
        </w:rPr>
        <w:t>he ran (GNT)</w:t>
      </w:r>
    </w:p>
    <w:p>
      <w:pPr/>
      <w:r>
        <w:rPr>
          <w:lang w:val="en_US" w:bidi="en_US"/>
        </w:rPr>
      </w:r>
      <w:r>
        <w:rPr>
          <w:lang w:val="en_US" w:bidi="en_US"/>
        </w:rPr>
        <w:t>Use a natural way to express this clause in your language.</w:t>
      </w:r>
    </w:p>
    <w:p>
      <w:pPr>
        <w:pStyle w:val="Heading5"/>
      </w:pPr>
      <w:r>
        <w:rPr>
          <w:lang w:val="en_US" w:bidi="en_US"/>
        </w:rPr>
        <w:t>15:20d</w:t>
      </w:r>
    </w:p>
    <w:p>
      <w:pPr/>
      <w:r>
        <w:rPr>
          <w:lang w:val="en_US" w:bidi="en_US"/>
        </w:rPr>
      </w:r>
      <w:r>
        <w:rPr>
          <w:b/>
          <w:lang w:val="en_US" w:bidi="en_US"/>
        </w:rPr>
        <w:t>embraced him, and kissed him.</w:t>
      </w:r>
    </w:p>
    <w:p>
      <w:pPr>
        <w:pStyle w:val="ListBullet"/>
        <w:spacing w:line="240" w:lineRule="auto"/>
        <w:ind w:left="720"/>
      </w:pPr>
      <w:r>
        <w:rPr>
          <w:lang w:val="en_US" w:bidi="en_US"/>
        </w:rPr>
      </w:r>
      <w:r>
        <w:rPr>
          <w:lang w:val="en_US" w:bidi="en_US"/>
        </w:rPr>
        <w:t xml:space="preserve">He </w:t>
      </w:r>
      <w:r>
        <w:rPr>
          <w:lang w:val="en_US" w:bidi="en_US"/>
        </w:rPr>
        <w:t>welcomed him by</w:t>
      </w:r>
      <w:r>
        <w:rPr>
          <w:lang w:val="en_US" w:bidi="en_US"/>
        </w:rPr>
        <w:t xml:space="preserve"> hugging and kissing him </w:t>
      </w:r>
      <w:r>
        <w:rPr>
          <w:lang w:val="en_US" w:bidi="en_US"/>
        </w:rPr>
        <w:t>repeatedly</w:t>
      </w:r>
      <w:r>
        <w:rPr>
          <w:lang w:val="en_US" w:bidi="en_US"/>
        </w:rPr>
        <w:t xml:space="preserve"> </w:t>
      </w:r>
      <w:r>
        <w:rPr>
          <w:lang w:val="en_US" w:bidi="en_US"/>
        </w:rPr>
        <w:t>on the cheeks</w:t>
      </w:r>
      <w:r>
        <w:rPr>
          <w:lang w:val="en_US" w:bidi="en_US"/>
        </w:rPr>
        <w:t>.</w:t>
      </w:r>
    </w:p>
    <w:p>
      <w:pPr>
        <w:pStyle w:val="ListBullet"/>
        <w:spacing w:line="240" w:lineRule="auto"/>
        <w:ind w:left="720"/>
      </w:pPr>
      <w:r>
        <w:rPr>
          <w:lang w:val="en_US" w:bidi="en_US"/>
        </w:rPr>
      </w:r>
      <w:r>
        <w:rPr>
          <w:lang w:val="en_US" w:bidi="en_US"/>
        </w:rPr>
        <w:t>and greeted him joyfully/affectionately.</w:t>
      </w:r>
    </w:p>
    <w:p>
      <w:pPr/>
      <w:r>
        <w:rPr>
          <w:lang w:val="en_US" w:bidi="en_US"/>
        </w:rPr>
      </w:r>
      <w:r>
        <w:rPr>
          <w:b/>
          <w:lang w:val="en_US" w:bidi="en_US"/>
        </w:rPr>
        <w:t>embraced him, and kissed him:</w:t>
      </w:r>
      <w:r>
        <w:rPr>
          <w:lang w:val="en_US" w:bidi="en_US"/>
        </w:rPr>
        <w:t xml:space="preserve"> The phrase </w:t>
      </w:r>
      <w:r>
        <w:rPr>
          <w:i/>
          <w:lang w:val="en_US" w:bidi="en_US"/>
        </w:rPr>
        <w:t>embraced him, and kissed him</w:t>
      </w:r>
      <w:r>
        <w:rPr>
          <w:lang w:val="en_US" w:bidi="en_US"/>
        </w:rPr>
        <w:t xml:space="preserve"> is a cultural gesture. In that culture a man greeted a family member or close friend by putting his arms around him and kissing him once on each cheek. The form of the Greek verb for </w:t>
      </w:r>
      <w:r>
        <w:rPr>
          <w:i/>
          <w:lang w:val="en_US" w:bidi="en_US"/>
        </w:rPr>
        <w:t>kissed</w:t>
      </w:r>
      <w:r>
        <w:rPr>
          <w:lang w:val="en_US" w:bidi="en_US"/>
        </w:rPr>
        <w:t xml:space="preserve"> here implies that the father kissed his son repeatedly. He did this in order to show him that he loved him and welcomed him back home. If men in your culture would not welcome a grown son in this way, you may:</w:t>
      </w:r>
    </w:p>
    <w:p>
      <w:pPr>
        <w:pStyle w:val="ListBullet"/>
        <w:spacing w:line="240" w:lineRule="auto"/>
        <w:ind w:left="720"/>
      </w:pPr>
      <w:r>
        <w:rPr>
          <w:lang w:val="en_US" w:bidi="en_US"/>
        </w:rPr>
      </w:r>
      <w:r>
        <w:rPr>
          <w:lang w:val="en_US" w:bidi="en_US"/>
        </w:rPr>
        <w:t>Translate the gesture and make the meaning explicit. For example:</w:t>
      </w:r>
      <w:r>
        <w:rPr>
          <w:lang w:val="en_US" w:bidi="en_US"/>
        </w:rPr>
        <w:t xml:space="preserve">He put his arms around him and kissed him </w:t>
      </w:r>
      <w:r>
        <w:rPr>
          <w:lang w:val="en_US" w:bidi="en_US"/>
        </w:rPr>
        <w:t>repeatedly</w:t>
      </w:r>
      <w:r>
        <w:rPr>
          <w:lang w:val="en_US" w:bidi="en_US"/>
        </w:rPr>
        <w:t xml:space="preserve"> </w:t>
      </w:r>
      <w:r>
        <w:rPr>
          <w:lang w:val="en_US" w:bidi="en_US"/>
        </w:rPr>
        <w:t>on the cheeks</w:t>
      </w:r>
      <w:r>
        <w:rPr>
          <w:lang w:val="en_US" w:bidi="en_US"/>
        </w:rPr>
        <w:t xml:space="preserve"> </w:t>
      </w:r>
      <w:r>
        <w:rPr>
          <w:u w:val="single"/>
          <w:lang w:val="en_US" w:bidi="en_US"/>
        </w:rPr>
        <w:t>to welcome him</w:t>
      </w:r>
      <w:r>
        <w:rPr>
          <w:lang w:val="en_US" w:bidi="en_US"/>
        </w:rPr>
        <w:t>.</w:t>
      </w:r>
    </w:p>
    <w:p>
      <w:pPr>
        <w:pStyle w:val="ListBullet"/>
        <w:spacing w:line="240" w:lineRule="auto"/>
        <w:ind w:left="720"/>
      </w:pPr>
      <w:r>
        <w:rPr>
          <w:lang w:val="en_US" w:bidi="en_US"/>
        </w:rPr>
      </w:r>
      <w:r>
        <w:rPr>
          <w:lang w:val="en_US" w:bidi="en_US"/>
        </w:rPr>
        <w:t>Translate the meaning without the gesture. For example:</w:t>
      </w:r>
      <w:r>
        <w:rPr>
          <w:lang w:val="en_US" w:bidi="en_US"/>
        </w:rPr>
        <w:t>He greeted/welcomed his son with great affection.</w:t>
      </w:r>
      <w:r>
        <w:rPr>
          <w:lang w:val="en_US" w:bidi="en_US"/>
        </w:rPr>
      </w:r>
      <w:r>
        <w:rPr>
          <w:lang w:val="en_US" w:bidi="en_US"/>
        </w:rPr>
      </w:r>
    </w:p>
    <w:p>
      <w:pPr/>
      <w:r>
        <w:rPr>
          <w:lang w:val="en_US" w:bidi="en_US"/>
        </w:rPr>
      </w:r>
    </w:p>
    <w:p>
      <w:pPr>
        <w:pStyle w:val="Heading2"/>
      </w:pPr>
      <w:r>
        <w:rPr>
          <w:lang w:val="en_US" w:bidi="en_US"/>
        </w:rPr>
        <w:t>Luke 15:21</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rPr>
          <w:lang w:val="en_US" w:bidi="en_US"/>
        </w:rPr>
        <w:t>Paragraph 15:20b–24</w:t>
      </w:r>
    </w:p>
    <w:p>
      <w:pPr/>
      <w:r>
        <w:rPr>
          <w:lang w:val="en_US" w:bidi="en_US"/>
        </w:rPr>
      </w:r>
      <w:r>
        <w:rPr>
          <w:lang w:val="en_US" w:bidi="en_US"/>
        </w:rPr>
        <w:t>In 15:20b–c the focus changes from the young man to the father and what the father felt and did when the son came home.</w:t>
      </w:r>
    </w:p>
    <w:p>
      <w:pPr>
        <w:pStyle w:val="Heading5"/>
      </w:pPr>
      <w:r>
        <w:rPr>
          <w:lang w:val="en_US" w:bidi="en_US"/>
        </w:rPr>
        <w:t>15:21a</w:t>
      </w:r>
    </w:p>
    <w:p>
      <w:pPr/>
      <w:r>
        <w:rPr>
          <w:lang w:val="en_US" w:bidi="en_US"/>
        </w:rPr>
      </w:r>
      <w:r>
        <w:rPr>
          <w:b/>
          <w:lang w:val="en_US" w:bidi="en_US"/>
        </w:rPr>
        <w:t>The son declared,</w:t>
      </w:r>
    </w:p>
    <w:p>
      <w:pPr>
        <w:pStyle w:val="ListBullet"/>
        <w:spacing w:line="240" w:lineRule="auto"/>
        <w:ind w:left="720"/>
      </w:pPr>
      <w:r>
        <w:rPr>
          <w:lang w:val="en_US" w:bidi="en_US"/>
        </w:rPr>
      </w:r>
      <w:r>
        <w:rPr>
          <w:lang w:val="en_US" w:bidi="en_US"/>
        </w:rPr>
        <w:t>Then the young man said to his father,</w:t>
      </w:r>
    </w:p>
    <w:p>
      <w:pPr>
        <w:pStyle w:val="ListBullet"/>
        <w:spacing w:line="240" w:lineRule="auto"/>
        <w:ind w:left="720"/>
      </w:pPr>
      <w:r>
        <w:rPr>
          <w:lang w:val="en_US" w:bidi="en_US"/>
        </w:rPr>
      </w:r>
      <w:r>
        <w:rPr>
          <w:lang w:val="en_US" w:bidi="en_US"/>
        </w:rPr>
        <w:t>Then his son/child said,</w:t>
      </w:r>
    </w:p>
    <w:p>
      <w:pPr>
        <w:pStyle w:val="Heading5"/>
      </w:pPr>
      <w:r>
        <w:rPr>
          <w:lang w:val="en_US" w:bidi="en_US"/>
        </w:rPr>
        <w:t>15:21b</w:t>
      </w:r>
    </w:p>
    <w:p>
      <w:pPr/>
      <w:r>
        <w:rPr>
          <w:lang w:val="en_US" w:bidi="en_US"/>
        </w:rPr>
      </w:r>
      <w:r>
        <w:rPr>
          <w:b/>
          <w:lang w:val="en_US" w:bidi="en_US"/>
        </w:rPr>
        <w:t>‘Father, I have sinned against heaven and against you.</w:t>
      </w:r>
    </w:p>
    <w:p>
      <w:pPr>
        <w:pStyle w:val="ListBullet"/>
        <w:spacing w:line="240" w:lineRule="auto"/>
        <w:ind w:left="720"/>
      </w:pPr>
      <w:r>
        <w:rPr>
          <w:lang w:val="en_US" w:bidi="en_US"/>
        </w:rPr>
      </w:r>
      <w:r>
        <w:rPr>
          <w:lang w:val="en_US" w:bidi="en_US"/>
        </w:rPr>
        <w:t xml:space="preserve">‘Father, I have sinned both against </w:t>
      </w:r>
      <w:r>
        <w:rPr>
          <w:lang w:val="en_US" w:bidi="en_US"/>
        </w:rPr>
        <w:t>God in</w:t>
      </w:r>
      <w:r>
        <w:rPr>
          <w:lang w:val="en_US" w:bidi="en_US"/>
        </w:rPr>
        <w:t xml:space="preserve"> heaven and against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w:t>
      </w:r>
      <w:r>
        <w:rPr>
          <w:lang w:val="en_US" w:bidi="en_US"/>
        </w:rPr>
        <w:t>My</w:t>
      </w:r>
      <w:r>
        <w:rPr>
          <w:lang w:val="en_US" w:bidi="en_US"/>
        </w:rPr>
        <w:t xml:space="preserve"> father, I have sinned against God and </w:t>
      </w:r>
      <w:r>
        <w:rPr>
          <w:lang w:val="en_US" w:bidi="en_US"/>
        </w:rPr>
        <w:t>I have done wrong</w:t>
      </w:r>
      <w:r>
        <w:rPr>
          <w:lang w:val="en_US" w:bidi="en_US"/>
        </w:rPr>
        <w:t xml:space="preserve"> to you</w:t>
      </w:r>
      <w:r>
        <w:rPr>
          <w:vertAlign w:val="superscript"/>
          <w:lang w:val="en_US" w:bidi="en_US"/>
        </w:rPr>
        <w:t>(sing)</w:t>
      </w:r>
      <w:r>
        <w:rPr>
          <w:lang w:val="en_US" w:bidi="en_US"/>
        </w:rPr>
        <w:t>.</w:t>
      </w:r>
    </w:p>
    <w:p>
      <w:pPr>
        <w:pStyle w:val="Heading5"/>
      </w:pPr>
      <w:r>
        <w:rPr>
          <w:lang w:val="en_US" w:bidi="en_US"/>
        </w:rPr>
        <w:t>15:21c</w:t>
      </w:r>
    </w:p>
    <w:p>
      <w:pPr/>
      <w:r>
        <w:rPr>
          <w:lang w:val="en_US" w:bidi="en_US"/>
        </w:rPr>
      </w:r>
      <w:r>
        <w:rPr>
          <w:b/>
          <w:lang w:val="en_US" w:bidi="en_US"/>
        </w:rPr>
        <w:t>I am no longer worthy to be called your son.’</w:t>
      </w:r>
    </w:p>
    <w:p>
      <w:pPr>
        <w:pStyle w:val="ListBullet"/>
        <w:spacing w:line="240" w:lineRule="auto"/>
        <w:ind w:left="720"/>
      </w:pPr>
      <w:r>
        <w:rPr>
          <w:lang w:val="en_US" w:bidi="en_US"/>
        </w:rPr>
      </w:r>
      <w:r>
        <w:rPr>
          <w:lang w:val="en_US" w:bidi="en_US"/>
        </w:rPr>
        <w:t>I do not deserve to be considered your</w:t>
      </w:r>
      <w:r>
        <w:rPr>
          <w:vertAlign w:val="superscript"/>
          <w:lang w:val="en_US" w:bidi="en_US"/>
        </w:rPr>
        <w:t>(sing)</w:t>
      </w:r>
      <w:r>
        <w:rPr>
          <w:lang w:val="en_US" w:bidi="en_US"/>
        </w:rPr>
        <w:t xml:space="preserve"> son anymore.’</w:t>
      </w:r>
    </w:p>
    <w:p>
      <w:pPr>
        <w:pStyle w:val="ListBullet"/>
        <w:spacing w:line="240" w:lineRule="auto"/>
        <w:ind w:left="720"/>
      </w:pPr>
      <w:r>
        <w:rPr>
          <w:lang w:val="en_US" w:bidi="en_US"/>
        </w:rPr>
      </w:r>
      <w:r>
        <w:rPr>
          <w:lang w:val="en_US" w:bidi="en_US"/>
        </w:rPr>
        <w:t>Please</w:t>
      </w:r>
      <w:r>
        <w:rPr>
          <w:lang w:val="en_US" w:bidi="en_US"/>
        </w:rPr>
        <w:t xml:space="preserve"> do not call/consider me your</w:t>
      </w:r>
      <w:r>
        <w:rPr>
          <w:vertAlign w:val="superscript"/>
          <w:lang w:val="en_US" w:bidi="en_US"/>
        </w:rPr>
        <w:t>(sing)</w:t>
      </w:r>
      <w:r>
        <w:rPr>
          <w:lang w:val="en_US" w:bidi="en_US"/>
        </w:rPr>
        <w:t xml:space="preserve"> son any longer. I am not worthy of </w:t>
      </w:r>
      <w:r>
        <w:rPr>
          <w:lang w:val="en_US" w:bidi="en_US"/>
        </w:rPr>
        <w:t>that honor</w:t>
      </w:r>
      <w:r>
        <w:rPr>
          <w:lang w:val="en_US" w:bidi="en_US"/>
        </w:rPr>
        <w:t>.’</w:t>
      </w:r>
    </w:p>
    <w:p>
      <w:pPr>
        <w:pStyle w:val="Heading5"/>
      </w:pPr>
      <w:r>
        <w:rPr>
          <w:lang w:val="en_US" w:bidi="en_US"/>
        </w:rPr>
        <w:t>15:21</w:t>
      </w:r>
    </w:p>
    <w:p>
      <w:pPr/>
      <w:r>
        <w:rPr>
          <w:lang w:val="en_US" w:bidi="en_US"/>
        </w:rPr>
      </w:r>
      <w:r>
        <w:rPr>
          <w:lang w:val="en_US" w:bidi="en_US"/>
        </w:rPr>
        <w:t>In this verse the younger son began to tell his father what he had decided to tell him in 15:18–19. Here he repeated only the words from 15:18c and 15:19a. See how you translated the son’s words there. However, the son did not complete his speech. His father apparently interrupted him before he could finish.</w:t>
      </w:r>
    </w:p>
    <w:p>
      <w:pPr/>
      <w:r>
        <w:rPr>
          <w:lang w:val="en_US" w:bidi="en_US"/>
        </w:rPr>
      </w:r>
      <w:r>
        <w:rPr>
          <w:lang w:val="en_US" w:bidi="en_US"/>
        </w:rPr>
        <w:t xml:space="preserve">At the end of this verse some Greek manuscripts add, “Make me like one of your hired servants,” which occurred in 15:19. No English version on </w:t>
      </w:r>
      <w:r>
        <w:rPr>
          <w:i/>
          <w:lang w:val="en_US" w:bidi="en_US"/>
        </w:rPr>
        <w:t>Translator’s Workplace</w:t>
      </w:r>
      <w:r>
        <w:rPr>
          <w:lang w:val="en_US" w:bidi="en_US"/>
        </w:rPr>
        <w:t xml:space="preserve"> includes those words here in 15:21. It is recommended that you also not include them.</w:t>
      </w:r>
      <w:r>
        <w:rPr>
          <w:lang w:val="en_US" w:bidi="en_US"/>
        </w:rPr>
        <w:t>Many scholars believe that copyists may have added this accidentally or deliberately to be consistent with 15:19, where these words appear. For more information, see Greek NT UBS 4</w:t>
      </w:r>
      <w:r>
        <w:rPr>
          <w:vertAlign w:val="superscript"/>
          <w:lang w:val="en_US" w:bidi="en_US"/>
        </w:rPr>
        <w:t>th</w:t>
      </w:r>
      <w:r>
        <w:rPr>
          <w:lang w:val="en_US" w:bidi="en_US"/>
        </w:rPr>
        <w:t xml:space="preserve"> ed., p. 265; Metzger, p. 164; TRT, p. 309; Blight 2007, p. 152; and Marshall, p. 610.</w:t>
      </w:r>
      <w:r>
        <w:rPr>
          <w:lang w:val="en_US" w:bidi="en_US"/>
        </w:rPr>
        <w:t xml:space="preserve"> However, you may want to add a footnote, as many English versions do. For example:</w:t>
      </w:r>
    </w:p>
    <w:p>
      <w:pPr/>
      <w:r>
        <w:rPr>
          <w:lang w:val="en_US" w:bidi="en_US"/>
        </w:rPr>
      </w:r>
      <w:r>
        <w:rPr>
          <w:lang w:val="en_US" w:bidi="en_US"/>
        </w:rPr>
        <w:t xml:space="preserve">Other ancient authorities add </w:t>
      </w:r>
      <w:r>
        <w:rPr>
          <w:i/>
          <w:lang w:val="en_US" w:bidi="en_US"/>
        </w:rPr>
        <w:t>Treat me like one of your hired servants</w:t>
      </w:r>
      <w:r>
        <w:rPr>
          <w:lang w:val="en_US" w:bidi="en_US"/>
        </w:rPr>
        <w:t xml:space="preserve"> (NRSV)</w:t>
      </w:r>
      <w:r>
        <w:rPr>
          <w:lang w:val="en_US" w:bidi="en_US"/>
        </w:rPr>
      </w:r>
      <w:r>
        <w:rPr>
          <w:lang w:val="en_US" w:bidi="en_US"/>
        </w:rPr>
      </w:r>
    </w:p>
    <w:p>
      <w:pPr/>
      <w:r>
        <w:rPr>
          <w:lang w:val="en_US" w:bidi="en_US"/>
        </w:rPr>
      </w:r>
    </w:p>
    <w:p>
      <w:pPr>
        <w:pStyle w:val="Heading2"/>
      </w:pPr>
      <w:r>
        <w:rPr>
          <w:lang w:val="en_US" w:bidi="en_US"/>
        </w:rPr>
        <w:t>Luke 15:22</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rPr>
          <w:lang w:val="en_US" w:bidi="en_US"/>
        </w:rPr>
        <w:t>Paragraph 15:20b–24</w:t>
      </w:r>
    </w:p>
    <w:p>
      <w:pPr/>
      <w:r>
        <w:rPr>
          <w:lang w:val="en_US" w:bidi="en_US"/>
        </w:rPr>
      </w:r>
      <w:r>
        <w:rPr>
          <w:lang w:val="en_US" w:bidi="en_US"/>
        </w:rPr>
        <w:t>In 15:20b–c the focus changes from the young man to the father and what the father felt and did when the son came home.</w:t>
      </w:r>
    </w:p>
    <w:p>
      <w:pPr>
        <w:pStyle w:val="Heading5"/>
      </w:pPr>
      <w:r>
        <w:rPr>
          <w:lang w:val="en_US" w:bidi="en_US"/>
        </w:rPr>
        <w:t>15:22a</w:t>
      </w:r>
    </w:p>
    <w:p>
      <w:pPr/>
      <w:r>
        <w:rPr>
          <w:lang w:val="en_US" w:bidi="en_US"/>
        </w:rPr>
      </w:r>
      <w:r>
        <w:rPr>
          <w:b/>
          <w:lang w:val="en_US" w:bidi="en_US"/>
        </w:rPr>
        <w:t>But the father said to his servants,</w:t>
      </w:r>
    </w:p>
    <w:p>
      <w:pPr>
        <w:pStyle w:val="ListBullet"/>
        <w:spacing w:line="240" w:lineRule="auto"/>
        <w:ind w:left="720"/>
      </w:pPr>
      <w:r>
        <w:rPr>
          <w:lang w:val="en_US" w:bidi="en_US"/>
        </w:rPr>
      </w:r>
      <w:r>
        <w:rPr>
          <w:lang w:val="en_US" w:bidi="en_US"/>
        </w:rPr>
        <w:t xml:space="preserve">But his father </w:t>
      </w:r>
      <w:r>
        <w:rPr>
          <w:lang w:val="en_US" w:bidi="en_US"/>
        </w:rPr>
        <w:t>turned to</w:t>
      </w:r>
      <w:r>
        <w:rPr>
          <w:lang w:val="en_US" w:bidi="en_US"/>
        </w:rPr>
        <w:t xml:space="preserve"> his servants/slaves and ordered </w:t>
      </w:r>
      <w:r>
        <w:rPr>
          <w:lang w:val="en_US" w:bidi="en_US"/>
        </w:rPr>
        <w:t>them</w:t>
      </w:r>
      <w:r>
        <w:rPr>
          <w:lang w:val="en_US" w:bidi="en_US"/>
        </w:rPr>
        <w:t>,</w:t>
      </w:r>
    </w:p>
    <w:p>
      <w:pPr>
        <w:pStyle w:val="ListBullet"/>
        <w:spacing w:line="240" w:lineRule="auto"/>
        <w:ind w:left="720"/>
      </w:pPr>
      <w:r>
        <w:rPr>
          <w:lang w:val="en_US" w:bidi="en_US"/>
        </w:rPr>
      </w:r>
      <w:r>
        <w:rPr>
          <w:lang w:val="en_US" w:bidi="en_US"/>
        </w:rPr>
        <w:t xml:space="preserve">But his father </w:t>
      </w:r>
      <w:r>
        <w:rPr>
          <w:lang w:val="en_US" w:bidi="en_US"/>
        </w:rPr>
        <w:t>called to</w:t>
      </w:r>
      <w:r>
        <w:rPr>
          <w:lang w:val="en_US" w:bidi="en_US"/>
        </w:rPr>
        <w:t xml:space="preserve"> his servants/slaves and said </w:t>
      </w:r>
      <w:r>
        <w:rPr>
          <w:lang w:val="en_US" w:bidi="en_US"/>
        </w:rPr>
        <w:t>to them</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something his father said which was in complete contrast to what the son had been saying. The son had said he was not worthy to be called a son, but the father told the slaves to treat him like a son. Translate the contrast in a natural way in your language.</w:t>
      </w:r>
    </w:p>
    <w:p>
      <w:pPr/>
      <w:r>
        <w:rPr>
          <w:lang w:val="en_US" w:bidi="en_US"/>
        </w:rPr>
      </w:r>
      <w:r>
        <w:rPr>
          <w:b/>
          <w:lang w:val="en_US" w:bidi="en_US"/>
        </w:rPr>
        <w:t>the father said to his servants:</w:t>
      </w:r>
      <w:r>
        <w:rPr>
          <w:lang w:val="en_US" w:bidi="en_US"/>
        </w:rPr>
        <w:t xml:space="preserve"> The text does not specify where the servants were. They may have followed the father from the house, or the father may have spoken to them after he returned to the house with his son. If possible, translate in a way that allows both possibilities. For example:</w:t>
      </w:r>
    </w:p>
    <w:p>
      <w:pPr/>
      <w:r>
        <w:rPr>
          <w:lang w:val="en_US" w:bidi="en_US"/>
        </w:rPr>
      </w:r>
      <w:r>
        <w:rPr>
          <w:lang w:val="en_US" w:bidi="en_US"/>
        </w:rPr>
        <w:t>the father called to his servants (GNT)</w:t>
      </w:r>
    </w:p>
    <w:p>
      <w:pPr/>
      <w:r>
        <w:rPr>
          <w:lang w:val="en_US" w:bidi="en_US"/>
        </w:rPr>
      </w:r>
      <w:r>
        <w:rPr>
          <w:lang w:val="en_US" w:bidi="en_US"/>
        </w:rPr>
        <w:t xml:space="preserve">the father turned to </w:t>
      </w:r>
      <w:r>
        <w:rPr>
          <w:lang w:val="en_US" w:bidi="en_US"/>
        </w:rPr>
        <w:t>some of</w:t>
      </w:r>
      <w:r>
        <w:rPr>
          <w:lang w:val="en_US" w:bidi="en_US"/>
        </w:rPr>
        <w:t xml:space="preserve"> his servants and ordered </w:t>
      </w:r>
      <w:r>
        <w:rPr>
          <w:lang w:val="en_US" w:bidi="en_US"/>
        </w:rPr>
        <w:t>them</w:t>
      </w:r>
      <w:r>
        <w:rPr>
          <w:lang w:val="en_US" w:bidi="en_US"/>
        </w:rPr>
        <w:t xml:space="preserve"> (TRT)</w:t>
      </w:r>
    </w:p>
    <w:p>
      <w:pPr/>
      <w:r>
        <w:rPr>
          <w:lang w:val="en_US" w:bidi="en_US"/>
        </w:rPr>
      </w:r>
      <w:r>
        <w:rPr>
          <w:b/>
          <w:lang w:val="en_US" w:bidi="en_US"/>
        </w:rPr>
        <w:t>his servants:</w:t>
      </w:r>
      <w:r>
        <w:rPr>
          <w:lang w:val="en_US" w:bidi="en_US"/>
        </w:rPr>
        <w:t xml:space="preserve"> The Greek word that the BSB translates as </w:t>
      </w:r>
      <w:r>
        <w:rPr>
          <w:i/>
          <w:lang w:val="en_US" w:bidi="en_US"/>
        </w:rPr>
        <w:t>servants</w:t>
      </w:r>
      <w:r>
        <w:rPr>
          <w:lang w:val="en_US" w:bidi="en_US"/>
        </w:rPr>
        <w:t xml:space="preserve"> also means “slaves” (as in the NRSV). Here this word refers to household servants. These people were owned by another person. Unlike the hired men mentioned in 15:17b and 15:19b, they worked for their owner/master without receiving pay.</w:t>
      </w:r>
    </w:p>
    <w:p>
      <w:pPr/>
      <w:r>
        <w:rPr>
          <w:lang w:val="en_US" w:bidi="en_US"/>
        </w:rPr>
      </w:r>
      <w:r>
        <w:rPr>
          <w:lang w:val="en_US" w:bidi="en_US"/>
        </w:rPr>
        <w:t>The word “servant” also occurs in 14:17b. But in that context it was not necessary to distinguish household servants from hired workers. Be sure that the term you use here fits this context.</w:t>
      </w:r>
    </w:p>
    <w:p>
      <w:pPr>
        <w:pStyle w:val="Heading5"/>
      </w:pPr>
      <w:r>
        <w:rPr>
          <w:lang w:val="en_US" w:bidi="en_US"/>
        </w:rPr>
        <w:t>15:22b</w:t>
      </w:r>
    </w:p>
    <w:p>
      <w:pPr/>
      <w:r>
        <w:rPr>
          <w:lang w:val="en_US" w:bidi="en_US"/>
        </w:rPr>
      </w:r>
      <w:r>
        <w:rPr>
          <w:b/>
          <w:lang w:val="en_US" w:bidi="en_US"/>
        </w:rPr>
        <w:t>‘Quick! Bring the best robe and put it on him.</w:t>
      </w:r>
    </w:p>
    <w:p>
      <w:pPr>
        <w:pStyle w:val="ListBullet"/>
        <w:spacing w:line="240" w:lineRule="auto"/>
        <w:ind w:left="720"/>
      </w:pPr>
      <w:r>
        <w:rPr>
          <w:lang w:val="en_US" w:bidi="en_US"/>
        </w:rPr>
      </w:r>
      <w:r>
        <w:rPr>
          <w:lang w:val="en_US" w:bidi="en_US"/>
        </w:rPr>
        <w:t>‘Hurry</w:t>
      </w:r>
      <w:r>
        <w:rPr>
          <w:vertAlign w:val="superscript"/>
          <w:lang w:val="en_US" w:bidi="en_US"/>
        </w:rPr>
        <w:t>(plur)</w:t>
      </w:r>
      <w:r>
        <w:rPr>
          <w:lang w:val="en_US" w:bidi="en_US"/>
        </w:rPr>
        <w:t xml:space="preserve"> and bring </w:t>
      </w:r>
      <w:r>
        <w:rPr>
          <w:lang w:val="en_US" w:bidi="en_US"/>
        </w:rPr>
        <w:t>here</w:t>
      </w:r>
      <w:r>
        <w:rPr>
          <w:lang w:val="en_US" w:bidi="en_US"/>
        </w:rPr>
        <w:t xml:space="preserve"> the best robe </w:t>
      </w:r>
      <w:r>
        <w:rPr>
          <w:lang w:val="en_US" w:bidi="en_US"/>
        </w:rPr>
        <w:t>in the house</w:t>
      </w:r>
      <w:r>
        <w:rPr>
          <w:lang w:val="en_US" w:bidi="en_US"/>
        </w:rPr>
        <w:t>. Then put it on him.</w:t>
      </w:r>
    </w:p>
    <w:p>
      <w:pPr>
        <w:pStyle w:val="ListBullet"/>
        <w:spacing w:line="240" w:lineRule="auto"/>
        <w:ind w:left="720"/>
      </w:pPr>
      <w:r>
        <w:rPr>
          <w:lang w:val="en_US" w:bidi="en_US"/>
        </w:rPr>
      </w:r>
      <w:r>
        <w:rPr>
          <w:lang w:val="en_US" w:bidi="en_US"/>
        </w:rPr>
        <w:t>‘Quickly bring</w:t>
      </w:r>
      <w:r>
        <w:rPr>
          <w:vertAlign w:val="superscript"/>
          <w:lang w:val="en_US" w:bidi="en_US"/>
        </w:rPr>
        <w:t>(plur)</w:t>
      </w:r>
      <w:r>
        <w:rPr>
          <w:lang w:val="en_US" w:bidi="en_US"/>
        </w:rPr>
        <w:t xml:space="preserve"> </w:t>
      </w:r>
      <w:r>
        <w:rPr>
          <w:lang w:val="en_US" w:bidi="en_US"/>
        </w:rPr>
        <w:t>to me</w:t>
      </w:r>
      <w:r>
        <w:rPr>
          <w:lang w:val="en_US" w:bidi="en_US"/>
        </w:rPr>
        <w:t xml:space="preserve"> </w:t>
      </w:r>
      <w:r>
        <w:rPr>
          <w:lang w:val="en_US" w:bidi="en_US"/>
        </w:rPr>
        <w:t>my</w:t>
      </w:r>
      <w:r>
        <w:rPr>
          <w:lang w:val="en_US" w:bidi="en_US"/>
        </w:rPr>
        <w:t xml:space="preserve"> nicest/finest clothes and dress my son in them.</w:t>
      </w:r>
    </w:p>
    <w:p>
      <w:pPr/>
      <w:r>
        <w:rPr>
          <w:lang w:val="en_US" w:bidi="en_US"/>
        </w:rPr>
      </w:r>
      <w:r>
        <w:rPr>
          <w:b/>
          <w:lang w:val="en_US" w:bidi="en_US"/>
        </w:rPr>
        <w:t>Quick!:</w:t>
      </w:r>
      <w:r>
        <w:rPr>
          <w:lang w:val="en_US" w:bidi="en_US"/>
        </w:rPr>
        <w:t xml:space="preserve"> The Greek word that the BSB translates as </w:t>
      </w:r>
      <w:r>
        <w:rPr>
          <w:i/>
          <w:lang w:val="en_US" w:bidi="en_US"/>
        </w:rPr>
        <w:t>Quick!</w:t>
      </w:r>
      <w:r>
        <w:rPr>
          <w:lang w:val="en_US" w:bidi="en_US"/>
        </w:rPr>
        <w:t xml:space="preserve"> can also be translated as “At once.”</w:t>
      </w:r>
      <w:r>
        <w:rPr>
          <w:lang w:val="en_US" w:bidi="en_US"/>
        </w:rPr>
        <w:t>There is a textual issue here. Most Greek manuscripts and the UBS4 Greek NT have the word that the BSB translates as “Quick.” The Textus Receptus followed by the KJV omits this word. It is recommended that you follow the texts that include this word. It has the earliest and strongest manuscript support. Also, almost every English version translates this word. Its meaning is implied in the context. For more information see Blight 2007b, p. 153, and TRT, p. 309.</w:t>
      </w:r>
      <w:r>
        <w:rPr>
          <w:lang w:val="en_US" w:bidi="en_US"/>
        </w:rPr>
        <w:t xml:space="preserve"> It means that the slaves were not to delay or take a long time. For example:</w:t>
      </w:r>
    </w:p>
    <w:p>
      <w:pPr/>
      <w:r>
        <w:rPr>
          <w:lang w:val="en_US" w:bidi="en_US"/>
        </w:rPr>
      </w:r>
      <w:r>
        <w:rPr>
          <w:lang w:val="en_US" w:bidi="en_US"/>
        </w:rPr>
        <w:t>Hurry! (GNT)</w:t>
      </w:r>
    </w:p>
    <w:p>
      <w:pPr/>
      <w:r>
        <w:rPr>
          <w:lang w:val="en_US" w:bidi="en_US"/>
        </w:rPr>
      </w:r>
      <w:r>
        <w:rPr>
          <w:b/>
          <w:lang w:val="en_US" w:bidi="en_US"/>
        </w:rPr>
        <w:t>Bring the best robe:</w:t>
      </w:r>
      <w:r>
        <w:rPr>
          <w:lang w:val="en_US" w:bidi="en_US"/>
        </w:rPr>
        <w:t xml:space="preserve"> The Greek phrase that the BSB translates as </w:t>
      </w:r>
      <w:r>
        <w:rPr>
          <w:i/>
          <w:lang w:val="en_US" w:bidi="en_US"/>
        </w:rPr>
        <w:t>the best robe</w:t>
      </w:r>
      <w:r>
        <w:rPr>
          <w:lang w:val="en_US" w:bidi="en_US"/>
        </w:rPr>
        <w:t xml:space="preserve"> refers to the finest/best robe that the father had in the house. A </w:t>
      </w:r>
      <w:r>
        <w:rPr>
          <w:i/>
          <w:lang w:val="en_US" w:bidi="en_US"/>
        </w:rPr>
        <w:t>robe</w:t>
      </w:r>
      <w:r>
        <w:rPr>
          <w:lang w:val="en_US" w:bidi="en_US"/>
        </w:rPr>
        <w:t xml:space="preserve"> was a long loose garment worn on top of one’s other clothes on formal occasions. The best robe would have been one that belonged to the father himself. In languages that do not have a word for “robe,” you may use a more general word. For example:</w:t>
      </w:r>
    </w:p>
    <w:p>
      <w:pPr/>
      <w:r>
        <w:rPr>
          <w:lang w:val="en_US" w:bidi="en_US"/>
        </w:rPr>
      </w:r>
      <w:r>
        <w:rPr>
          <w:lang w:val="en_US" w:bidi="en_US"/>
        </w:rPr>
        <w:t>the best clothes (CEV)</w:t>
      </w:r>
    </w:p>
    <w:p>
      <w:pPr/>
      <w:r>
        <w:rPr>
          <w:lang w:val="en_US" w:bidi="en_US"/>
        </w:rPr>
      </w:r>
      <w:r>
        <w:rPr>
          <w:b/>
          <w:lang w:val="en_US" w:bidi="en_US"/>
        </w:rPr>
        <w:t>put it on him:</w:t>
      </w:r>
      <w:r>
        <w:rPr>
          <w:lang w:val="en_US" w:bidi="en_US"/>
        </w:rPr>
        <w:t xml:space="preserve"> The father told his slaves to dress his son in this best robe. This was a way to show honor to the son. In some languages the idea of putting a robe on someone may be expressed as:</w:t>
      </w:r>
    </w:p>
    <w:p>
      <w:pPr/>
      <w:r>
        <w:rPr>
          <w:lang w:val="en_US" w:bidi="en_US"/>
        </w:rPr>
      </w:r>
      <w:r>
        <w:rPr>
          <w:lang w:val="en_US" w:bidi="en_US"/>
        </w:rPr>
        <w:t>cause him to wear it</w:t>
      </w:r>
    </w:p>
    <w:p>
      <w:pPr/>
      <w:r>
        <w:rPr>
          <w:lang w:val="en_US" w:bidi="en_US"/>
        </w:rPr>
      </w:r>
      <w:r>
        <w:rPr>
          <w:lang w:val="en_US" w:bidi="en_US"/>
        </w:rPr>
        <w:t>Use an expression that would be appropriate in your language for servants helping a grown son to put on a robe.</w:t>
      </w:r>
    </w:p>
    <w:p>
      <w:pPr>
        <w:pStyle w:val="Heading5"/>
      </w:pPr>
      <w:r>
        <w:rPr>
          <w:lang w:val="en_US" w:bidi="en_US"/>
        </w:rPr>
        <w:t>15:22c</w:t>
      </w:r>
    </w:p>
    <w:p>
      <w:pPr/>
      <w:r>
        <w:rPr>
          <w:lang w:val="en_US" w:bidi="en_US"/>
        </w:rPr>
      </w:r>
      <w:r>
        <w:rPr>
          <w:b/>
          <w:lang w:val="en_US" w:bidi="en_US"/>
        </w:rPr>
        <w:t>Put a ring on his finger and sandals on his feet.</w:t>
      </w:r>
    </w:p>
    <w:p>
      <w:pPr>
        <w:pStyle w:val="ListBullet"/>
        <w:spacing w:line="240" w:lineRule="auto"/>
        <w:ind w:left="720"/>
      </w:pPr>
      <w:r>
        <w:rPr>
          <w:lang w:val="en_US" w:bidi="en_US"/>
        </w:rPr>
      </w:r>
      <w:r>
        <w:rPr>
          <w:lang w:val="en_US" w:bidi="en_US"/>
        </w:rPr>
        <w:t>Give</w:t>
      </w:r>
      <w:r>
        <w:rPr>
          <w:vertAlign w:val="superscript"/>
          <w:lang w:val="en_US" w:bidi="en_US"/>
        </w:rPr>
        <w:t>(plur)</w:t>
      </w:r>
      <w:r>
        <w:rPr>
          <w:lang w:val="en_US" w:bidi="en_US"/>
        </w:rPr>
        <w:t xml:space="preserve"> him a </w:t>
      </w:r>
      <w:r>
        <w:rPr>
          <w:lang w:val="en_US" w:bidi="en_US"/>
        </w:rPr>
        <w:t>special/signet</w:t>
      </w:r>
      <w:r>
        <w:rPr>
          <w:lang w:val="en_US" w:bidi="en_US"/>
        </w:rPr>
        <w:t xml:space="preserve"> ring for his finger and </w:t>
      </w:r>
      <w:r>
        <w:rPr>
          <w:lang w:val="en_US" w:bidi="en_US"/>
        </w:rPr>
        <w:t>nice</w:t>
      </w:r>
      <w:r>
        <w:rPr>
          <w:lang w:val="en_US" w:bidi="en_US"/>
        </w:rPr>
        <w:t xml:space="preserve"> sandals for his feet.</w:t>
      </w:r>
    </w:p>
    <w:p>
      <w:pPr>
        <w:pStyle w:val="ListBullet"/>
        <w:spacing w:line="240" w:lineRule="auto"/>
        <w:ind w:left="720"/>
      </w:pPr>
      <w:r>
        <w:rPr>
          <w:lang w:val="en_US" w:bidi="en_US"/>
        </w:rPr>
      </w:r>
      <w:r>
        <w:rPr>
          <w:lang w:val="en_US" w:bidi="en_US"/>
        </w:rPr>
        <w:t>Cause</w:t>
      </w:r>
      <w:r>
        <w:rPr>
          <w:vertAlign w:val="superscript"/>
          <w:lang w:val="en_US" w:bidi="en_US"/>
        </w:rPr>
        <w:t>(plur)</w:t>
      </w:r>
      <w:r>
        <w:rPr>
          <w:lang w:val="en_US" w:bidi="en_US"/>
        </w:rPr>
        <w:t xml:space="preserve"> him to wear a </w:t>
      </w:r>
      <w:r>
        <w:rPr>
          <w:lang w:val="en_US" w:bidi="en_US"/>
        </w:rPr>
        <w:t>valuable</w:t>
      </w:r>
      <w:r>
        <w:rPr>
          <w:lang w:val="en_US" w:bidi="en_US"/>
        </w:rPr>
        <w:t xml:space="preserve"> ring and cause him to put on </w:t>
      </w:r>
      <w:r>
        <w:rPr>
          <w:lang w:val="en_US" w:bidi="en_US"/>
        </w:rPr>
        <w:t>new</w:t>
      </w:r>
      <w:r>
        <w:rPr>
          <w:lang w:val="en_US" w:bidi="en_US"/>
        </w:rPr>
        <w:t xml:space="preserve"> shoes/sandals.</w:t>
      </w:r>
    </w:p>
    <w:p>
      <w:pPr/>
      <w:r>
        <w:rPr>
          <w:lang w:val="en_US" w:bidi="en_US"/>
        </w:rPr>
      </w:r>
      <w:r>
        <w:rPr>
          <w:b/>
          <w:lang w:val="en_US" w:bidi="en_US"/>
        </w:rPr>
        <w:t>Put a ring on his finger and sandals on his feet:</w:t>
      </w:r>
      <w:r>
        <w:rPr>
          <w:lang w:val="en_US" w:bidi="en_US"/>
        </w:rPr>
        <w:t xml:space="preserve"> By giving these orders, the father was honoring his son and showing that he loved him and cared about him. In some languages phrases like </w:t>
      </w:r>
      <w:r>
        <w:rPr>
          <w:i/>
          <w:lang w:val="en_US" w:bidi="en_US"/>
        </w:rPr>
        <w:t>on his finger</w:t>
      </w:r>
      <w:r>
        <w:rPr>
          <w:lang w:val="en_US" w:bidi="en_US"/>
        </w:rPr>
        <w:t xml:space="preserve"> and </w:t>
      </w:r>
      <w:r>
        <w:rPr>
          <w:i/>
          <w:lang w:val="en_US" w:bidi="en_US"/>
        </w:rPr>
        <w:t>on his feet</w:t>
      </w:r>
      <w:r>
        <w:rPr>
          <w:lang w:val="en_US" w:bidi="en_US"/>
        </w:rPr>
        <w:t xml:space="preserve"> may not be needed here. For example:</w:t>
      </w:r>
    </w:p>
    <w:p>
      <w:pPr/>
      <w:r>
        <w:rPr>
          <w:lang w:val="en_US" w:bidi="en_US"/>
        </w:rPr>
      </w:r>
      <w:r>
        <w:rPr>
          <w:lang w:val="en_US" w:bidi="en_US"/>
        </w:rPr>
        <w:t>Give him a ring and sandals to wear.</w:t>
      </w:r>
    </w:p>
    <w:p>
      <w:pPr/>
      <w:r>
        <w:rPr>
          <w:lang w:val="en_US" w:bidi="en_US"/>
        </w:rPr>
      </w:r>
      <w:r>
        <w:rPr>
          <w:lang w:val="en_US" w:bidi="en_US"/>
        </w:rPr>
        <w:t>Other languages may use causatives. For example:</w:t>
      </w:r>
    </w:p>
    <w:p>
      <w:pPr/>
      <w:r>
        <w:rPr>
          <w:lang w:val="en_US" w:bidi="en_US"/>
        </w:rPr>
      </w:r>
      <w:r>
        <w:rPr>
          <w:lang w:val="en_US" w:bidi="en_US"/>
        </w:rPr>
        <w:t>Cause him to wear a ring and cause him to wear sandals/shoes.</w:t>
      </w:r>
    </w:p>
    <w:p>
      <w:pPr/>
      <w:r>
        <w:rPr>
          <w:lang w:val="en_US" w:bidi="en_US"/>
        </w:rPr>
      </w:r>
      <w:r>
        <w:rPr>
          <w:lang w:val="en_US" w:bidi="en_US"/>
        </w:rPr>
        <w:t>Consider how your language would express these ideas.</w:t>
      </w:r>
    </w:p>
    <w:p>
      <w:pPr/>
      <w:r>
        <w:rPr>
          <w:lang w:val="en_US" w:bidi="en_US"/>
        </w:rPr>
      </w:r>
      <w:r>
        <w:rPr>
          <w:b/>
          <w:lang w:val="en_US" w:bidi="en_US"/>
        </w:rPr>
        <w:t>ring:</w:t>
      </w:r>
      <w:r>
        <w:rPr>
          <w:lang w:val="en_US" w:bidi="en_US"/>
        </w:rPr>
        <w:t xml:space="preserve"> The Greek word that the BSB translates as </w:t>
      </w:r>
      <w:r>
        <w:rPr>
          <w:i/>
          <w:lang w:val="en_US" w:bidi="en_US"/>
        </w:rPr>
        <w:t>ring</w:t>
      </w:r>
      <w:r>
        <w:rPr>
          <w:lang w:val="en_US" w:bidi="en_US"/>
        </w:rPr>
        <w:t xml:space="preserve"> was probably a signet ring that a man wore on his finger as a sign of honor and authority.</w:t>
      </w:r>
    </w:p>
    <w:p>
      <w:pPr/>
      <w:r>
        <w:rPr>
          <w:lang w:val="en_US" w:bidi="en_US"/>
        </w:rPr>
      </w:r>
      <w:r>
        <w:rPr>
          <w:b/>
          <w:lang w:val="en_US" w:bidi="en_US"/>
        </w:rPr>
        <w:t>sandals:</w:t>
      </w:r>
      <w:r>
        <w:rPr>
          <w:lang w:val="en_US" w:bidi="en_US"/>
        </w:rPr>
        <w:t xml:space="preserve"> The Greek word that the BSB translates as </w:t>
      </w:r>
      <w:r>
        <w:rPr>
          <w:i/>
          <w:lang w:val="en_US" w:bidi="en_US"/>
        </w:rPr>
        <w:t>sandals</w:t>
      </w:r>
      <w:r>
        <w:rPr>
          <w:lang w:val="en_US" w:bidi="en_US"/>
        </w:rPr>
        <w:t xml:space="preserve"> refers here to open shoes that were tied to a person’s feet with straps.</w:t>
      </w:r>
    </w:p>
    <w:p>
      <w:pPr/>
      <w:r>
        <w:rPr>
          <w:lang w:val="en_US" w:bidi="en_US"/>
        </w:rPr>
      </w:r>
      <w:r>
        <w:rPr>
          <w:lang w:val="en_US" w:bidi="en_US"/>
        </w:rPr>
        <w:t>If people in your area are not familiar with sandals, you may use the term for a similar kind of local footwear. For example:</w:t>
      </w:r>
    </w:p>
    <w:p>
      <w:pPr/>
      <w:r>
        <w:rPr>
          <w:lang w:val="en_US" w:bidi="en_US"/>
        </w:rPr>
      </w:r>
      <w:r>
        <w:rPr>
          <w:lang w:val="en_US" w:bidi="en_US"/>
        </w:rPr>
        <w:t>shoes (GNT)</w:t>
      </w:r>
    </w:p>
    <w:p>
      <w:pPr/>
      <w:r>
        <w:rPr>
          <w:lang w:val="en_US" w:bidi="en_US"/>
        </w:rPr>
      </w:r>
      <w:r>
        <w:rPr>
          <w:lang w:val="en_US" w:bidi="en_US"/>
        </w:rPr>
        <w:t>thongs</w:t>
      </w:r>
    </w:p>
    <w:p>
      <w:pPr/>
      <w:r>
        <w:rPr>
          <w:lang w:val="en_US" w:bidi="en_US"/>
        </w:rPr>
      </w:r>
      <w:r>
        <w:rPr>
          <w:lang w:val="en_US" w:bidi="en_US"/>
        </w:rPr>
        <w:t xml:space="preserve">The word </w:t>
      </w:r>
      <w:r>
        <w:rPr>
          <w:i/>
          <w:lang w:val="en_US" w:bidi="en_US"/>
        </w:rPr>
        <w:t>sandals</w:t>
      </w:r>
      <w:r>
        <w:rPr>
          <w:lang w:val="en_US" w:bidi="en_US"/>
        </w:rPr>
        <w:t xml:space="preserve"> also occurs in 10:4a.</w:t>
      </w:r>
      <w:r>
        <w:rPr>
          <w:lang w:val="en_US" w:bidi="en_US"/>
        </w:rPr>
      </w:r>
      <w:r>
        <w:rPr>
          <w:lang w:val="en_US" w:bidi="en_US"/>
        </w:rPr>
      </w:r>
    </w:p>
    <w:p>
      <w:pPr/>
      <w:r>
        <w:rPr>
          <w:lang w:val="en_US" w:bidi="en_US"/>
        </w:rPr>
      </w:r>
    </w:p>
    <w:p>
      <w:pPr>
        <w:pStyle w:val="Heading2"/>
      </w:pPr>
      <w:r>
        <w:rPr>
          <w:lang w:val="en_US" w:bidi="en_US"/>
        </w:rPr>
        <w:t>Luke 15:23</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rPr>
          <w:lang w:val="en_US" w:bidi="en_US"/>
        </w:rPr>
        <w:t>Paragraph 15:20b–24</w:t>
      </w:r>
    </w:p>
    <w:p>
      <w:pPr/>
      <w:r>
        <w:rPr>
          <w:lang w:val="en_US" w:bidi="en_US"/>
        </w:rPr>
      </w:r>
      <w:r>
        <w:rPr>
          <w:lang w:val="en_US" w:bidi="en_US"/>
        </w:rPr>
        <w:t>In 15:20b–c the focus changes from the young man to the father and what the father felt and did when the son came home.</w:t>
      </w:r>
    </w:p>
    <w:p>
      <w:pPr>
        <w:pStyle w:val="Heading5"/>
      </w:pPr>
      <w:r>
        <w:rPr>
          <w:lang w:val="en_US" w:bidi="en_US"/>
        </w:rPr>
        <w:t>15:23a</w:t>
      </w:r>
    </w:p>
    <w:p>
      <w:pPr/>
      <w:r>
        <w:rPr>
          <w:lang w:val="en_US" w:bidi="en_US"/>
        </w:rPr>
      </w:r>
      <w:r>
        <w:rPr>
          <w:b/>
          <w:lang w:val="en_US" w:bidi="en_US"/>
        </w:rPr>
        <w:t>Bring the fattened calf and kill it.</w:t>
      </w:r>
    </w:p>
    <w:p>
      <w:pPr>
        <w:pStyle w:val="ListBullet"/>
        <w:spacing w:line="240" w:lineRule="auto"/>
        <w:ind w:left="720"/>
      </w:pPr>
      <w:r>
        <w:rPr>
          <w:lang w:val="en_US" w:bidi="en_US"/>
        </w:rPr>
      </w:r>
      <w:r>
        <w:rPr>
          <w:lang w:val="en_US" w:bidi="en_US"/>
        </w:rPr>
        <w:t>Go</w:t>
      </w:r>
      <w:r>
        <w:rPr>
          <w:vertAlign w:val="superscript"/>
          <w:lang w:val="en_US" w:bidi="en_US"/>
        </w:rPr>
        <w:t>(plur)</w:t>
      </w:r>
      <w:r>
        <w:rPr>
          <w:lang w:val="en_US" w:bidi="en_US"/>
        </w:rPr>
        <w:t xml:space="preserve"> get the young cow/bull that we</w:t>
      </w:r>
      <w:r>
        <w:rPr>
          <w:vertAlign w:val="superscript"/>
          <w:lang w:val="en_US" w:bidi="en_US"/>
        </w:rPr>
        <w:t>(incl)</w:t>
      </w:r>
      <w:r>
        <w:rPr>
          <w:lang w:val="en_US" w:bidi="en_US"/>
        </w:rPr>
        <w:t xml:space="preserve"> have fattened </w:t>
      </w:r>
      <w:r>
        <w:rPr>
          <w:lang w:val="en_US" w:bidi="en_US"/>
        </w:rPr>
        <w:t>ready for a feast</w:t>
      </w:r>
      <w:r>
        <w:rPr>
          <w:lang w:val="en_US" w:bidi="en_US"/>
        </w:rPr>
        <w:t xml:space="preserve">. Kill/Butcher it </w:t>
      </w:r>
      <w:r>
        <w:rPr>
          <w:lang w:val="en_US" w:bidi="en_US"/>
        </w:rPr>
        <w:t>and cook/roast it</w:t>
      </w:r>
      <w:r>
        <w:rPr>
          <w:lang w:val="en_US" w:bidi="en_US"/>
        </w:rPr>
        <w:t>!</w:t>
      </w:r>
    </w:p>
    <w:p>
      <w:pPr>
        <w:pStyle w:val="ListBullet"/>
        <w:spacing w:line="240" w:lineRule="auto"/>
        <w:ind w:left="720"/>
      </w:pPr>
      <w:r>
        <w:rPr>
          <w:lang w:val="en_US" w:bidi="en_US"/>
        </w:rPr>
      </w:r>
      <w:r>
        <w:rPr>
          <w:lang w:val="en_US" w:bidi="en_US"/>
        </w:rPr>
        <w:t>Go</w:t>
      </w:r>
      <w:r>
        <w:rPr>
          <w:vertAlign w:val="superscript"/>
          <w:lang w:val="en_US" w:bidi="en_US"/>
        </w:rPr>
        <w:t>(plur)</w:t>
      </w:r>
      <w:r>
        <w:rPr>
          <w:lang w:val="en_US" w:bidi="en_US"/>
        </w:rPr>
        <w:t xml:space="preserve"> get our</w:t>
      </w:r>
      <w:r>
        <w:rPr>
          <w:vertAlign w:val="superscript"/>
          <w:lang w:val="en_US" w:bidi="en_US"/>
        </w:rPr>
        <w:t>(incl)</w:t>
      </w:r>
      <w:r>
        <w:rPr>
          <w:lang w:val="en_US" w:bidi="en_US"/>
        </w:rPr>
        <w:t xml:space="preserve"> best/fattest animal. Slaughter it </w:t>
      </w:r>
      <w:r>
        <w:rPr>
          <w:lang w:val="en_US" w:bidi="en_US"/>
        </w:rPr>
        <w:t>and prepare it</w:t>
      </w:r>
    </w:p>
    <w:p>
      <w:pPr/>
      <w:r>
        <w:rPr>
          <w:lang w:val="en_US" w:bidi="en_US"/>
        </w:rPr>
      </w:r>
      <w:r>
        <w:rPr>
          <w:b/>
          <w:lang w:val="en_US" w:bidi="en_US"/>
        </w:rPr>
        <w:t>Bring:</w:t>
      </w:r>
      <w:r>
        <w:rPr>
          <w:lang w:val="en_US" w:bidi="en_US"/>
        </w:rPr>
        <w:t xml:space="preserve"> The Greek word that the BSB translates as </w:t>
      </w:r>
      <w:r>
        <w:rPr>
          <w:i/>
          <w:lang w:val="en_US" w:bidi="en_US"/>
        </w:rPr>
        <w:t>Bring</w:t>
      </w:r>
      <w:r>
        <w:rPr>
          <w:lang w:val="en_US" w:bidi="en_US"/>
        </w:rPr>
        <w:t xml:space="preserve"> indicates here that the servants should go out to the pasture or barn and get the fattened calf.</w:t>
      </w:r>
    </w:p>
    <w:p>
      <w:pPr/>
      <w:r>
        <w:rPr>
          <w:lang w:val="en_US" w:bidi="en_US"/>
        </w:rPr>
      </w:r>
      <w:r>
        <w:rPr>
          <w:b/>
          <w:lang w:val="en_US" w:bidi="en_US"/>
        </w:rPr>
        <w:t>the fattened calf:</w:t>
      </w:r>
      <w:r>
        <w:rPr>
          <w:lang w:val="en_US" w:bidi="en_US"/>
        </w:rPr>
        <w:t xml:space="preserve"> Jewish families who had enough money fed one of their young cows much grain so that it would become fat. Then when the family wanted to have a special feast, it would be ready to be killed and eaten. If it is not natural in your language to speak of a </w:t>
      </w:r>
      <w:r>
        <w:rPr>
          <w:i/>
          <w:lang w:val="en_US" w:bidi="en_US"/>
        </w:rPr>
        <w:t>fattened</w:t>
      </w:r>
      <w:r>
        <w:rPr>
          <w:lang w:val="en_US" w:bidi="en_US"/>
        </w:rPr>
        <w:t xml:space="preserve"> calf, you may translate this phrase as:</w:t>
      </w:r>
    </w:p>
    <w:p>
      <w:pPr/>
      <w:r>
        <w:rPr>
          <w:lang w:val="en_US" w:bidi="en_US"/>
        </w:rPr>
      </w:r>
      <w:r>
        <w:rPr>
          <w:lang w:val="en_US" w:bidi="en_US"/>
        </w:rPr>
        <w:t>the fat/best calf</w:t>
      </w:r>
    </w:p>
    <w:p>
      <w:pPr/>
      <w:r>
        <w:rPr>
          <w:lang w:val="en_US" w:bidi="en_US"/>
        </w:rPr>
      </w:r>
      <w:r>
        <w:rPr>
          <w:lang w:val="en_US" w:bidi="en_US"/>
        </w:rPr>
        <w:t>the calf that we</w:t>
      </w:r>
      <w:r>
        <w:rPr>
          <w:vertAlign w:val="superscript"/>
          <w:lang w:val="en_US" w:bidi="en_US"/>
        </w:rPr>
        <w:t>(incl)</w:t>
      </w:r>
      <w:r>
        <w:rPr>
          <w:lang w:val="en_US" w:bidi="en_US"/>
        </w:rPr>
        <w:t xml:space="preserve"> have been fattening</w:t>
      </w:r>
    </w:p>
    <w:p>
      <w:pPr/>
      <w:r>
        <w:rPr>
          <w:lang w:val="en_US" w:bidi="en_US"/>
        </w:rPr>
      </w:r>
      <w:r>
        <w:rPr>
          <w:b/>
          <w:lang w:val="en_US" w:bidi="en_US"/>
        </w:rPr>
        <w:t>calf:</w:t>
      </w:r>
      <w:r>
        <w:rPr>
          <w:lang w:val="en_US" w:bidi="en_US"/>
        </w:rPr>
        <w:t xml:space="preserve"> The Greek word that the BSB translates as </w:t>
      </w:r>
      <w:r>
        <w:rPr>
          <w:i/>
          <w:lang w:val="en_US" w:bidi="en_US"/>
        </w:rPr>
        <w:t>calf</w:t>
      </w:r>
      <w:r>
        <w:rPr>
          <w:lang w:val="en_US" w:bidi="en_US"/>
        </w:rPr>
        <w:t xml:space="preserve"> refers to the male offspring of a cow. If the idea of killing a calf is unacceptable to your readers, you may be able to use a more general word for a domestic animal. For example:</w:t>
      </w:r>
    </w:p>
    <w:p>
      <w:pPr/>
      <w:r>
        <w:rPr>
          <w:lang w:val="en_US" w:bidi="en_US"/>
        </w:rPr>
      </w:r>
      <w:r>
        <w:rPr>
          <w:lang w:val="en_US" w:bidi="en_US"/>
        </w:rPr>
        <w:t>our fattest/best animal</w:t>
      </w:r>
    </w:p>
    <w:p>
      <w:pPr/>
      <w:r>
        <w:rPr>
          <w:lang w:val="en_US" w:bidi="en_US"/>
        </w:rPr>
      </w:r>
      <w:r>
        <w:rPr>
          <w:b/>
          <w:lang w:val="en_US" w:bidi="en_US"/>
        </w:rPr>
        <w:t>and kill it:</w:t>
      </w:r>
      <w:r>
        <w:rPr>
          <w:lang w:val="en_US" w:bidi="en_US"/>
        </w:rPr>
        <w:t xml:space="preserve"> The Greek word that the BSB translates as </w:t>
      </w:r>
      <w:r>
        <w:rPr>
          <w:i/>
          <w:lang w:val="en_US" w:bidi="en_US"/>
        </w:rPr>
        <w:t>kill</w:t>
      </w:r>
      <w:r>
        <w:rPr>
          <w:lang w:val="en_US" w:bidi="en_US"/>
        </w:rPr>
        <w:t xml:space="preserve"> means here to kill and butcher it. In some languages it may be necessary to supply the implied information that the calf was to be cooked or roasted. For example:</w:t>
      </w:r>
    </w:p>
    <w:p>
      <w:pPr/>
      <w:r>
        <w:rPr>
          <w:lang w:val="en_US" w:bidi="en_US"/>
        </w:rPr>
      </w:r>
      <w:r>
        <w:rPr>
          <w:lang w:val="en_US" w:bidi="en_US"/>
        </w:rPr>
        <w:t xml:space="preserve">kill/butcher it </w:t>
      </w:r>
      <w:r>
        <w:rPr>
          <w:lang w:val="en_US" w:bidi="en_US"/>
        </w:rPr>
        <w:t>and cook/roast it</w:t>
      </w:r>
    </w:p>
    <w:p>
      <w:pPr>
        <w:pStyle w:val="Heading5"/>
      </w:pPr>
      <w:r>
        <w:rPr>
          <w:lang w:val="en_US" w:bidi="en_US"/>
        </w:rPr>
        <w:t>15:23b</w:t>
      </w:r>
    </w:p>
    <w:p>
      <w:pPr/>
      <w:r>
        <w:rPr>
          <w:lang w:val="en_US" w:bidi="en_US"/>
        </w:rPr>
      </w:r>
      <w:r>
        <w:rPr>
          <w:b/>
          <w:lang w:val="en_US" w:bidi="en_US"/>
        </w:rPr>
        <w:t>Let us feast and celebrate.</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will have a feast to celebrate </w:t>
      </w:r>
      <w:r>
        <w:rPr>
          <w:lang w:val="en_US" w:bidi="en_US"/>
        </w:rPr>
        <w:t>my son’s return</w:t>
      </w:r>
      <w:r>
        <w:rPr>
          <w:lang w:val="en_US" w:bidi="en_US"/>
        </w:rPr>
        <w:t>,</w:t>
      </w:r>
    </w:p>
    <w:p>
      <w:pPr>
        <w:pStyle w:val="ListBullet"/>
        <w:spacing w:line="240" w:lineRule="auto"/>
        <w:ind w:left="720"/>
      </w:pPr>
      <w:r>
        <w:rPr>
          <w:lang w:val="en_US" w:bidi="en_US"/>
        </w:rPr>
      </w:r>
      <w:r>
        <w:rPr>
          <w:lang w:val="en_US" w:bidi="en_US"/>
        </w:rPr>
        <w:t>so that we</w:t>
      </w:r>
      <w:r>
        <w:rPr>
          <w:vertAlign w:val="superscript"/>
          <w:lang w:val="en_US" w:bidi="en_US"/>
        </w:rPr>
        <w:t>(incl)</w:t>
      </w:r>
      <w:r>
        <w:rPr>
          <w:lang w:val="en_US" w:bidi="en_US"/>
        </w:rPr>
        <w:t xml:space="preserve"> will all have a </w:t>
      </w:r>
      <w:r>
        <w:rPr>
          <w:lang w:val="en_US" w:bidi="en_US"/>
        </w:rPr>
        <w:t>big</w:t>
      </w:r>
      <w:r>
        <w:rPr>
          <w:lang w:val="en_US" w:bidi="en_US"/>
        </w:rPr>
        <w:t xml:space="preserve"> feast and be happy together.</w:t>
      </w:r>
    </w:p>
    <w:p>
      <w:pPr/>
      <w:r>
        <w:rPr>
          <w:lang w:val="en_US" w:bidi="en_US"/>
        </w:rPr>
      </w:r>
      <w:r>
        <w:rPr>
          <w:b/>
          <w:lang w:val="en_US" w:bidi="en_US"/>
        </w:rPr>
        <w:t>Let us feast and celebrate:</w:t>
      </w:r>
      <w:r>
        <w:rPr>
          <w:lang w:val="en_US" w:bidi="en_US"/>
        </w:rPr>
        <w:t xml:space="preserve"> The Greek word that the BSB translates as </w:t>
      </w:r>
      <w:r>
        <w:rPr>
          <w:i/>
          <w:lang w:val="en_US" w:bidi="en_US"/>
        </w:rPr>
        <w:t>Let us feast</w:t>
      </w:r>
      <w:r>
        <w:rPr>
          <w:lang w:val="en_US" w:bidi="en_US"/>
        </w:rPr>
        <w:t xml:space="preserve"> is literally “let us eat.” The father was saying that they would all eat a big meal together and rejoice that his son had returned. He probably implied that they would invite people and have a big celebration. In some languages it may be necessary to make some of this implied information explicit. For example:</w:t>
      </w:r>
    </w:p>
    <w:p>
      <w:pPr/>
      <w:r>
        <w:rPr>
          <w:lang w:val="en_US" w:bidi="en_US"/>
        </w:rPr>
      </w:r>
      <w:r>
        <w:rPr>
          <w:lang w:val="en_US" w:bidi="en_US"/>
        </w:rPr>
        <w:t xml:space="preserve">Let us have a feast to celebrate </w:t>
      </w:r>
      <w:r>
        <w:rPr>
          <w:lang w:val="en_US" w:bidi="en_US"/>
        </w:rPr>
        <w:t>my son’s return</w:t>
      </w:r>
    </w:p>
    <w:p>
      <w:pPr/>
      <w:r>
        <w:rPr>
          <w:lang w:val="en_US" w:bidi="en_US"/>
        </w:rPr>
      </w:r>
      <w:r>
        <w:rPr>
          <w:b/>
          <w:lang w:val="en_US" w:bidi="en_US"/>
        </w:rPr>
        <w:t>celebrate:</w:t>
      </w:r>
      <w:r>
        <w:rPr>
          <w:lang w:val="en_US" w:bidi="en_US"/>
        </w:rPr>
        <w:t xml:space="preserve"> The Greek word that the BSB translates as </w:t>
      </w:r>
      <w:r>
        <w:rPr>
          <w:i/>
          <w:lang w:val="en_US" w:bidi="en_US"/>
        </w:rPr>
        <w:t>celebrate</w:t>
      </w:r>
      <w:r>
        <w:rPr>
          <w:lang w:val="en_US" w:bidi="en_US"/>
        </w:rPr>
        <w:t xml:space="preserve"> literally means “make merry.” It refers here to enjoying oneself by eating a good meal. Another way to translate </w:t>
      </w:r>
      <w:r>
        <w:rPr>
          <w:i/>
          <w:lang w:val="en_US" w:bidi="en_US"/>
        </w:rPr>
        <w:t>celebrate</w:t>
      </w:r>
      <w:r>
        <w:rPr>
          <w:lang w:val="en_US" w:bidi="en_US"/>
        </w:rPr>
        <w:t xml:space="preserve"> here is:</w:t>
      </w:r>
    </w:p>
    <w:p>
      <w:pPr/>
      <w:r>
        <w:rPr>
          <w:lang w:val="en_US" w:bidi="en_US"/>
        </w:rPr>
      </w:r>
      <w:r>
        <w:rPr>
          <w:lang w:val="en_US" w:bidi="en_US"/>
        </w:rPr>
        <w:t>we will enjoy ourselves</w:t>
      </w:r>
    </w:p>
    <w:p>
      <w:pPr/>
      <w:r>
        <w:rPr>
          <w:lang w:val="en_US" w:bidi="en_US"/>
        </w:rPr>
      </w:r>
      <w:r>
        <w:rPr>
          <w:lang w:val="en_US" w:bidi="en_US"/>
        </w:rPr>
        <w:t>we will be happy together</w:t>
      </w:r>
      <w:r>
        <w:rPr>
          <w:lang w:val="en_US" w:bidi="en_US"/>
        </w:rPr>
      </w:r>
      <w:r>
        <w:rPr>
          <w:lang w:val="en_US" w:bidi="en_US"/>
        </w:rPr>
      </w:r>
    </w:p>
    <w:p>
      <w:pPr/>
      <w:r>
        <w:rPr>
          <w:lang w:val="en_US" w:bidi="en_US"/>
        </w:rPr>
      </w:r>
    </w:p>
    <w:p>
      <w:pPr>
        <w:pStyle w:val="Heading2"/>
      </w:pPr>
      <w:r>
        <w:rPr>
          <w:lang w:val="en_US" w:bidi="en_US"/>
        </w:rPr>
        <w:t>Luke 15:24</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4"/>
      </w:pPr>
      <w:r>
        <w:rPr>
          <w:lang w:val="en_US" w:bidi="en_US"/>
        </w:rPr>
        <w:t>Paragraph 15:20b–24</w:t>
      </w:r>
    </w:p>
    <w:p>
      <w:pPr/>
      <w:r>
        <w:rPr>
          <w:lang w:val="en_US" w:bidi="en_US"/>
        </w:rPr>
      </w:r>
      <w:r>
        <w:rPr>
          <w:lang w:val="en_US" w:bidi="en_US"/>
        </w:rPr>
        <w:t>In 15:20b–c the focus changes from the young man to the father and what the father felt and did when the son came home.</w:t>
      </w:r>
    </w:p>
    <w:p>
      <w:pPr>
        <w:pStyle w:val="Heading5"/>
      </w:pPr>
      <w:r>
        <w:rPr>
          <w:lang w:val="en_US" w:bidi="en_US"/>
        </w:rPr>
        <w:t>15:24a</w:t>
      </w:r>
    </w:p>
    <w:p>
      <w:pPr/>
      <w:r>
        <w:rPr>
          <w:lang w:val="en_US" w:bidi="en_US"/>
        </w:rPr>
      </w:r>
      <w:r>
        <w:rPr>
          <w:b/>
          <w:lang w:val="en_US" w:bidi="en_US"/>
        </w:rPr>
        <w:t>For this son of mine was dead and is alive again!</w:t>
      </w:r>
    </w:p>
    <w:p>
      <w:pPr>
        <w:pStyle w:val="ListBullet"/>
        <w:spacing w:line="240" w:lineRule="auto"/>
        <w:ind w:left="720"/>
      </w:pPr>
      <w:r>
        <w:rPr>
          <w:lang w:val="en_US" w:bidi="en_US"/>
        </w:rPr>
      </w:r>
      <w:r>
        <w:rPr>
          <w:lang w:val="en_US" w:bidi="en_US"/>
        </w:rPr>
        <w:t xml:space="preserve">because </w:t>
      </w:r>
      <w:r>
        <w:rPr>
          <w:lang w:val="en_US" w:bidi="en_US"/>
        </w:rPr>
        <w:t>it is like</w:t>
      </w:r>
      <w:r>
        <w:rPr>
          <w:lang w:val="en_US" w:bidi="en_US"/>
        </w:rPr>
        <w:t xml:space="preserve"> this one who is my son died and came back to life!</w:t>
      </w:r>
    </w:p>
    <w:p>
      <w:pPr>
        <w:pStyle w:val="ListBullet"/>
        <w:spacing w:line="240" w:lineRule="auto"/>
        <w:ind w:left="720"/>
      </w:pPr>
      <w:r>
        <w:rPr>
          <w:lang w:val="en_US" w:bidi="en_US"/>
        </w:rPr>
      </w:r>
      <w:r>
        <w:rPr>
          <w:lang w:val="en_US" w:bidi="en_US"/>
        </w:rPr>
        <w:t xml:space="preserve">For this son of mine was </w:t>
      </w:r>
      <w:r>
        <w:rPr>
          <w:lang w:val="en_US" w:bidi="en_US"/>
        </w:rPr>
        <w:t>as if</w:t>
      </w:r>
      <w:r>
        <w:rPr>
          <w:lang w:val="en_US" w:bidi="en_US"/>
        </w:rPr>
        <w:t xml:space="preserve"> dead, and now he is here alive!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gives the reason why the father wanted to celebrate.</w:t>
      </w:r>
    </w:p>
    <w:p>
      <w:pPr/>
      <w:r>
        <w:rPr>
          <w:lang w:val="en_US" w:bidi="en_US"/>
        </w:rPr>
      </w:r>
      <w:r>
        <w:rPr>
          <w:b/>
          <w:lang w:val="en_US" w:bidi="en_US"/>
        </w:rPr>
        <w:t>this son of mine was dead and is alive again!:</w:t>
      </w:r>
      <w:r>
        <w:rPr>
          <w:lang w:val="en_US" w:bidi="en_US"/>
        </w:rPr>
        <w:t xml:space="preserve"> The father used the words </w:t>
      </w:r>
      <w:r>
        <w:rPr>
          <w:i/>
          <w:lang w:val="en_US" w:bidi="en_US"/>
        </w:rPr>
        <w:t>dead</w:t>
      </w:r>
      <w:r>
        <w:rPr>
          <w:lang w:val="en_US" w:bidi="en_US"/>
        </w:rPr>
        <w:t xml:space="preserve"> and </w:t>
      </w:r>
      <w:r>
        <w:rPr>
          <w:i/>
          <w:lang w:val="en_US" w:bidi="en_US"/>
        </w:rPr>
        <w:t>alive</w:t>
      </w:r>
      <w:r>
        <w:rPr>
          <w:lang w:val="en_US" w:bidi="en_US"/>
        </w:rPr>
        <w:t xml:space="preserve"> here in a figurative way. He meant that his son was like someone who had died and had become alive again. His son had not actually died, but the father had not expected to ever see him again.</w:t>
      </w:r>
    </w:p>
    <w:p>
      <w:pPr/>
      <w:r>
        <w:rPr>
          <w:lang w:val="en_US" w:bidi="en_US"/>
        </w:rPr>
      </w:r>
      <w:r>
        <w:rPr>
          <w:lang w:val="en_US" w:bidi="en_US"/>
        </w:rPr>
        <w:t>If this expression will be understood literally in your language, you may need to make explicit that it is a figurative comparison. For example:</w:t>
      </w:r>
    </w:p>
    <w:p>
      <w:pPr/>
      <w:r>
        <w:rPr>
          <w:lang w:val="en_US" w:bidi="en_US"/>
        </w:rPr>
      </w:r>
      <w:r>
        <w:rPr>
          <w:lang w:val="en_US" w:bidi="en_US"/>
        </w:rPr>
        <w:t>I thought this son of mine had died and here he is alive!</w:t>
      </w:r>
    </w:p>
    <w:p>
      <w:pPr/>
      <w:r>
        <w:rPr>
          <w:lang w:val="en_US" w:bidi="en_US"/>
        </w:rPr>
      </w:r>
      <w:r>
        <w:rPr>
          <w:lang w:val="en_US" w:bidi="en_US"/>
        </w:rPr>
        <w:t>It is as if my son had been dead, and now he has come back to life.</w:t>
      </w:r>
    </w:p>
    <w:p>
      <w:pPr/>
      <w:r>
        <w:rPr>
          <w:lang w:val="en_US" w:bidi="en_US"/>
        </w:rPr>
      </w:r>
      <w:r>
        <w:rPr>
          <w:b/>
          <w:lang w:val="en_US" w:bidi="en_US"/>
        </w:rPr>
        <w:t>this son of mine:</w:t>
      </w:r>
      <w:r>
        <w:rPr>
          <w:lang w:val="en_US" w:bidi="en_US"/>
        </w:rPr>
        <w:t xml:space="preserve"> This phrase probably indicates that the son was standing right there. The father was probably gesturing toward him as he spoke.</w:t>
      </w:r>
    </w:p>
    <w:p>
      <w:pPr>
        <w:pStyle w:val="Heading5"/>
      </w:pPr>
      <w:r>
        <w:rPr>
          <w:lang w:val="en_US" w:bidi="en_US"/>
        </w:rPr>
        <w:t>15:24b</w:t>
      </w:r>
    </w:p>
    <w:p>
      <w:pPr/>
      <w:r>
        <w:rPr>
          <w:lang w:val="en_US" w:bidi="en_US"/>
        </w:rPr>
      </w:r>
      <w:r>
        <w:rPr>
          <w:b/>
          <w:lang w:val="en_US" w:bidi="en_US"/>
        </w:rPr>
        <w:t>He was lost and is found!’</w:t>
      </w:r>
    </w:p>
    <w:p>
      <w:pPr>
        <w:pStyle w:val="ListBullet"/>
        <w:spacing w:line="240" w:lineRule="auto"/>
        <w:ind w:left="720"/>
      </w:pPr>
      <w:r>
        <w:rPr>
          <w:lang w:val="en_US" w:bidi="en_US"/>
        </w:rPr>
      </w:r>
      <w:r>
        <w:rPr>
          <w:lang w:val="en_US" w:bidi="en_US"/>
        </w:rPr>
        <w:t>It is like</w:t>
      </w:r>
      <w:r>
        <w:rPr>
          <w:lang w:val="en_US" w:bidi="en_US"/>
        </w:rPr>
        <w:t xml:space="preserve"> he was lost, and </w:t>
      </w:r>
      <w:r>
        <w:rPr>
          <w:lang w:val="en_US" w:bidi="en_US"/>
        </w:rPr>
        <w:t>later</w:t>
      </w:r>
      <w:r>
        <w:rPr>
          <w:lang w:val="en_US" w:bidi="en_US"/>
        </w:rPr>
        <w:t xml:space="preserve"> </w:t>
      </w:r>
      <w:r>
        <w:rPr>
          <w:lang w:val="en_US" w:bidi="en_US"/>
        </w:rPr>
        <w:t>I</w:t>
      </w:r>
      <w:r>
        <w:rPr>
          <w:lang w:val="en_US" w:bidi="en_US"/>
        </w:rPr>
        <w:t xml:space="preserve"> found him!’</w:t>
      </w:r>
    </w:p>
    <w:p>
      <w:pPr>
        <w:pStyle w:val="ListBullet"/>
        <w:spacing w:line="240" w:lineRule="auto"/>
        <w:ind w:left="720"/>
      </w:pPr>
      <w:r>
        <w:rPr>
          <w:lang w:val="en_US" w:bidi="en_US"/>
        </w:rPr>
      </w:r>
      <w:r>
        <w:rPr>
          <w:lang w:val="en_US" w:bidi="en_US"/>
        </w:rPr>
        <w:t xml:space="preserve">He was </w:t>
      </w:r>
      <w:r>
        <w:rPr>
          <w:lang w:val="en_US" w:bidi="en_US"/>
        </w:rPr>
        <w:t>as if lost</w:t>
      </w:r>
      <w:r>
        <w:rPr>
          <w:lang w:val="en_US" w:bidi="en_US"/>
        </w:rPr>
        <w:t xml:space="preserve">, but now he has arrived </w:t>
      </w:r>
      <w:r>
        <w:rPr>
          <w:lang w:val="en_US" w:bidi="en_US"/>
        </w:rPr>
        <w:t>safely home</w:t>
      </w:r>
      <w:r>
        <w:rPr>
          <w:lang w:val="en_US" w:bidi="en_US"/>
        </w:rPr>
        <w:t>!’</w:t>
      </w:r>
    </w:p>
    <w:p>
      <w:pPr/>
      <w:r>
        <w:rPr>
          <w:lang w:val="en_US" w:bidi="en_US"/>
        </w:rPr>
      </w:r>
      <w:r>
        <w:rPr>
          <w:b/>
          <w:lang w:val="en_US" w:bidi="en_US"/>
        </w:rPr>
        <w:t>He was lost and is found!:</w:t>
      </w:r>
      <w:r>
        <w:rPr>
          <w:lang w:val="en_US" w:bidi="en_US"/>
        </w:rPr>
        <w:t xml:space="preserve"> This clause expresses the same idea as 15:24a but in different words. The son was not literally lost. He knew how to get back home. But his father compared him to something that gets lost and later someone finds it. As in 15:24a, it may be necessary in some languages to make explicit that this is figurative language. For example:</w:t>
      </w:r>
    </w:p>
    <w:p>
      <w:pPr/>
      <w:r>
        <w:rPr>
          <w:lang w:val="en_US" w:bidi="en_US"/>
        </w:rPr>
      </w:r>
      <w:r>
        <w:rPr>
          <w:lang w:val="en_US" w:bidi="en_US"/>
        </w:rPr>
        <w:t>It is as if</w:t>
      </w:r>
      <w:r>
        <w:rPr>
          <w:lang w:val="en_US" w:bidi="en_US"/>
        </w:rPr>
        <w:t xml:space="preserve"> he was lost and now </w:t>
      </w:r>
      <w:r>
        <w:rPr>
          <w:lang w:val="en_US" w:bidi="en_US"/>
        </w:rPr>
        <w:t>I</w:t>
      </w:r>
      <w:r>
        <w:rPr>
          <w:lang w:val="en_US" w:bidi="en_US"/>
        </w:rPr>
        <w:t xml:space="preserve"> have found him!</w:t>
      </w:r>
    </w:p>
    <w:p>
      <w:pPr/>
      <w:r>
        <w:rPr>
          <w:lang w:val="en_US" w:bidi="en_US"/>
        </w:rPr>
      </w:r>
      <w:r>
        <w:rPr>
          <w:lang w:val="en_US" w:bidi="en_US"/>
        </w:rPr>
        <w:t xml:space="preserve">He was </w:t>
      </w:r>
      <w:r>
        <w:rPr>
          <w:lang w:val="en_US" w:bidi="en_US"/>
        </w:rPr>
        <w:t>as if</w:t>
      </w:r>
      <w:r>
        <w:rPr>
          <w:lang w:val="en_US" w:bidi="en_US"/>
        </w:rPr>
        <w:t xml:space="preserve"> lost, but now he has returned home!</w:t>
      </w:r>
    </w:p>
    <w:p>
      <w:pPr>
        <w:pStyle w:val="Heading5"/>
      </w:pPr>
      <w:r>
        <w:rPr>
          <w:lang w:val="en_US" w:bidi="en_US"/>
        </w:rPr>
        <w:t>15:24c</w:t>
      </w:r>
    </w:p>
    <w:p>
      <w:pPr/>
      <w:r>
        <w:rPr>
          <w:lang w:val="en_US" w:bidi="en_US"/>
        </w:rPr>
      </w:r>
      <w:r>
        <w:rPr>
          <w:b/>
          <w:lang w:val="en_US" w:bidi="en_US"/>
        </w:rPr>
        <w:t>So they began to celebrate.</w:t>
      </w:r>
    </w:p>
    <w:p>
      <w:pPr>
        <w:pStyle w:val="ListBullet"/>
        <w:spacing w:line="240" w:lineRule="auto"/>
        <w:ind w:left="720"/>
      </w:pPr>
      <w:r>
        <w:rPr>
          <w:lang w:val="en_US" w:bidi="en_US"/>
        </w:rPr>
      </w:r>
      <w:r>
        <w:rPr>
          <w:lang w:val="en_US" w:bidi="en_US"/>
        </w:rPr>
        <w:t>So they started the feast.</w:t>
      </w:r>
    </w:p>
    <w:p>
      <w:pPr>
        <w:pStyle w:val="ListBullet"/>
        <w:spacing w:line="240" w:lineRule="auto"/>
        <w:ind w:left="720"/>
      </w:pPr>
      <w:r>
        <w:rPr>
          <w:lang w:val="en_US" w:bidi="en_US"/>
        </w:rPr>
      </w:r>
      <w:r>
        <w:rPr>
          <w:lang w:val="en_US" w:bidi="en_US"/>
        </w:rPr>
        <w:t xml:space="preserve">So </w:t>
      </w:r>
      <w:r>
        <w:rPr>
          <w:lang w:val="en_US" w:bidi="en_US"/>
        </w:rPr>
        <w:t>when everything was ready,</w:t>
      </w:r>
      <w:r>
        <w:rPr>
          <w:lang w:val="en_US" w:bidi="en_US"/>
        </w:rPr>
        <w:t xml:space="preserve"> they began to eat and be happy together.</w:t>
      </w:r>
    </w:p>
    <w:p>
      <w:pPr/>
      <w:r>
        <w:rPr>
          <w:lang w:val="en_US" w:bidi="en_US"/>
        </w:rPr>
      </w:r>
      <w:r>
        <w:rPr>
          <w:b/>
          <w:lang w:val="en_US" w:bidi="en_US"/>
        </w:rPr>
        <w:t>So they began to celebrate:</w:t>
      </w:r>
      <w:r>
        <w:rPr>
          <w:lang w:val="en_US" w:bidi="en_US"/>
        </w:rPr>
        <w:t xml:space="preserve"> Some time passed after 15:24b before the celebration started. The servants obeyed the father and everyone got ready for the party. In some languages it may be necessary to make this clear. For example:</w:t>
      </w:r>
    </w:p>
    <w:p>
      <w:pPr/>
      <w:r>
        <w:rPr>
          <w:lang w:val="en_US" w:bidi="en_US"/>
        </w:rPr>
      </w:r>
      <w:r>
        <w:rPr>
          <w:lang w:val="en_US" w:bidi="en_US"/>
        </w:rPr>
        <w:t xml:space="preserve">so </w:t>
      </w:r>
      <w:r>
        <w:rPr>
          <w:lang w:val="en_US" w:bidi="en_US"/>
        </w:rPr>
        <w:t>they all got ready and then</w:t>
      </w:r>
      <w:r>
        <w:rPr>
          <w:lang w:val="en_US" w:bidi="en_US"/>
        </w:rPr>
        <w:t xml:space="preserve"> began to celebrate</w:t>
      </w:r>
    </w:p>
    <w:p>
      <w:pPr/>
      <w:r>
        <w:rPr>
          <w:lang w:val="en_US" w:bidi="en_US"/>
        </w:rPr>
      </w:r>
      <w:r>
        <w:rPr>
          <w:b/>
          <w:lang w:val="en_US" w:bidi="en_US"/>
        </w:rPr>
        <w:t>celebrate:</w:t>
      </w:r>
      <w:r>
        <w:rPr>
          <w:lang w:val="en_US" w:bidi="en_US"/>
        </w:rPr>
        <w:t xml:space="preserve"> See the note at 15:23b.</w:t>
      </w:r>
      <w:r>
        <w:rPr>
          <w:lang w:val="en_US" w:bidi="en_US"/>
        </w:rPr>
      </w:r>
      <w:r>
        <w:rPr>
          <w:lang w:val="en_US" w:bidi="en_US"/>
        </w:rPr>
      </w:r>
    </w:p>
    <w:p>
      <w:pPr/>
      <w:r>
        <w:rPr>
          <w:lang w:val="en_US" w:bidi="en_US"/>
        </w:rPr>
      </w:r>
    </w:p>
    <w:p>
      <w:pPr>
        <w:pStyle w:val="Heading2"/>
      </w:pPr>
      <w:r>
        <w:rPr>
          <w:lang w:val="en_US" w:bidi="en_US"/>
        </w:rPr>
        <w:t>Luke 15:25</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5"/>
      </w:pPr>
      <w:r>
        <w:rPr>
          <w:lang w:val="en_US" w:bidi="en_US"/>
        </w:rPr>
        <w:t>15:25a</w:t>
      </w:r>
    </w:p>
    <w:p>
      <w:pPr/>
      <w:r>
        <w:rPr>
          <w:lang w:val="en_US" w:bidi="en_US"/>
        </w:rPr>
      </w:r>
      <w:r>
        <w:rPr>
          <w:b/>
          <w:lang w:val="en_US" w:bidi="en_US"/>
        </w:rPr>
        <w:t>Meanwhile the older son was in the field,</w:t>
      </w:r>
    </w:p>
    <w:p>
      <w:pPr>
        <w:pStyle w:val="ListBullet"/>
        <w:spacing w:line="240" w:lineRule="auto"/>
        <w:ind w:left="720"/>
      </w:pPr>
      <w:r>
        <w:rPr>
          <w:lang w:val="en_US" w:bidi="en_US"/>
        </w:rPr>
      </w:r>
      <w:r>
        <w:rPr>
          <w:lang w:val="en_US" w:bidi="en_US"/>
        </w:rPr>
        <w:t>¶ “As for the older son, he was in one of the fields at that time.</w:t>
      </w:r>
    </w:p>
    <w:p>
      <w:pPr>
        <w:pStyle w:val="ListBullet"/>
        <w:spacing w:line="240" w:lineRule="auto"/>
        <w:ind w:left="720"/>
      </w:pPr>
      <w:r>
        <w:rPr>
          <w:lang w:val="en_US" w:bidi="en_US"/>
        </w:rPr>
      </w:r>
      <w:r>
        <w:rPr>
          <w:lang w:val="en_US" w:bidi="en_US"/>
        </w:rPr>
        <w:t xml:space="preserve">¶ “While this was happening, his older son was away </w:t>
      </w:r>
      <w:r>
        <w:rPr>
          <w:lang w:val="en_US" w:bidi="en_US"/>
        </w:rPr>
        <w:t>working</w:t>
      </w:r>
      <w:r>
        <w:rPr>
          <w:lang w:val="en_US" w:bidi="en_US"/>
        </w:rPr>
        <w:t xml:space="preserve"> in </w:t>
      </w:r>
      <w:r>
        <w:rPr>
          <w:lang w:val="en_US" w:bidi="en_US"/>
        </w:rPr>
        <w:t>a different part of</w:t>
      </w:r>
      <w:r>
        <w:rPr>
          <w:lang w:val="en_US" w:bidi="en_US"/>
        </w:rPr>
        <w:t xml:space="preserve"> the farm.</w:t>
      </w:r>
    </w:p>
    <w:p>
      <w:pPr/>
      <w:r>
        <w:rPr>
          <w:lang w:val="en_US" w:bidi="en_US"/>
        </w:rPr>
      </w:r>
      <w:r>
        <w:rPr>
          <w:b/>
          <w:lang w:val="en_US" w:bidi="en_US"/>
        </w:rPr>
        <w:t>Meanwhile:</w:t>
      </w:r>
      <w:r>
        <w:rPr>
          <w:lang w:val="en_US" w:bidi="en_US"/>
        </w:rPr>
        <w:t xml:space="preserve"> The Greek conjunction that the BSB translates as </w:t>
      </w:r>
      <w:r>
        <w:rPr>
          <w:i/>
          <w:lang w:val="en_US" w:bidi="en_US"/>
        </w:rPr>
        <w:t>Meanwhile</w:t>
      </w:r>
      <w:r>
        <w:rPr>
          <w:lang w:val="en_US" w:bidi="en_US"/>
        </w:rPr>
        <w:t xml:space="preserve"> here introduces something else that happened at the same time that the things in 15:20b–24 were happening. It also introduces the older son as an important person in the story. Before this, he was mentioned only indirectly in 15:11.</w:t>
      </w:r>
    </w:p>
    <w:p>
      <w:pPr/>
      <w:r>
        <w:rPr>
          <w:lang w:val="en_US" w:bidi="en_US"/>
        </w:rPr>
      </w:r>
      <w:r>
        <w:rPr>
          <w:b/>
          <w:lang w:val="en_US" w:bidi="en_US"/>
        </w:rPr>
        <w:t>the older son was in the field:</w:t>
      </w:r>
      <w:r>
        <w:rPr>
          <w:lang w:val="en_US" w:bidi="en_US"/>
        </w:rPr>
        <w:t xml:space="preserve"> The phrase </w:t>
      </w:r>
      <w:r>
        <w:rPr>
          <w:i/>
          <w:lang w:val="en_US" w:bidi="en_US"/>
        </w:rPr>
        <w:t>the older son</w:t>
      </w:r>
      <w:r>
        <w:rPr>
          <w:lang w:val="en_US" w:bidi="en_US"/>
        </w:rPr>
        <w:t xml:space="preserve"> refers to the older brother of the son who had come home. This older son was working in one of the fields that the family owned. He was away from the house.</w:t>
      </w:r>
    </w:p>
    <w:p>
      <w:pPr/>
      <w:r>
        <w:rPr>
          <w:lang w:val="en_US" w:bidi="en_US"/>
        </w:rPr>
      </w:r>
      <w:r>
        <w:rPr>
          <w:lang w:val="en_US" w:bidi="en_US"/>
        </w:rPr>
        <w:t>Other ways to translate this part of the verse are:</w:t>
      </w:r>
    </w:p>
    <w:p>
      <w:pPr/>
      <w:r>
        <w:rPr>
          <w:lang w:val="en_US" w:bidi="en_US"/>
        </w:rPr>
      </w:r>
      <w:r>
        <w:rPr>
          <w:lang w:val="en_US" w:bidi="en_US"/>
        </w:rPr>
        <w:t>Meanwhile, the older son was in the fields working. (NLT)</w:t>
      </w:r>
    </w:p>
    <w:p>
      <w:pPr/>
      <w:r>
        <w:rPr>
          <w:lang w:val="en_US" w:bidi="en_US"/>
        </w:rPr>
      </w:r>
      <w:r>
        <w:rPr>
          <w:lang w:val="en_US" w:bidi="en_US"/>
        </w:rPr>
        <w:t>While this was happening, his older child was working in one of the fields.</w:t>
      </w:r>
    </w:p>
    <w:p>
      <w:pPr>
        <w:pStyle w:val="Heading5"/>
      </w:pPr>
      <w:r>
        <w:rPr>
          <w:lang w:val="en_US" w:bidi="en_US"/>
        </w:rPr>
        <w:t>15:25b</w:t>
      </w:r>
    </w:p>
    <w:p>
      <w:pPr/>
      <w:r>
        <w:rPr>
          <w:lang w:val="en_US" w:bidi="en_US"/>
        </w:rPr>
      </w:r>
      <w:r>
        <w:rPr>
          <w:b/>
          <w:lang w:val="en_US" w:bidi="en_US"/>
        </w:rPr>
        <w:t>and as he approached the house,</w:t>
      </w:r>
    </w:p>
    <w:p>
      <w:pPr>
        <w:pStyle w:val="ListBullet"/>
        <w:spacing w:line="240" w:lineRule="auto"/>
        <w:ind w:left="720"/>
      </w:pPr>
      <w:r>
        <w:rPr>
          <w:lang w:val="en_US" w:bidi="en_US"/>
        </w:rPr>
      </w:r>
      <w:r>
        <w:rPr>
          <w:lang w:val="en_US" w:bidi="en_US"/>
        </w:rPr>
        <w:t xml:space="preserve">When he was </w:t>
      </w:r>
      <w:r>
        <w:rPr>
          <w:lang w:val="en_US" w:bidi="en_US"/>
        </w:rPr>
        <w:t>returning home and</w:t>
      </w:r>
      <w:r>
        <w:rPr>
          <w:lang w:val="en_US" w:bidi="en_US"/>
        </w:rPr>
        <w:t xml:space="preserve"> was near the house,</w:t>
      </w:r>
    </w:p>
    <w:p>
      <w:pPr>
        <w:pStyle w:val="ListBullet"/>
        <w:spacing w:line="240" w:lineRule="auto"/>
        <w:ind w:left="720"/>
      </w:pPr>
      <w:r>
        <w:rPr>
          <w:lang w:val="en_US" w:bidi="en_US"/>
        </w:rPr>
      </w:r>
      <w:r>
        <w:rPr>
          <w:lang w:val="en_US" w:bidi="en_US"/>
        </w:rPr>
        <w:t>In the evening</w:t>
      </w:r>
      <w:r>
        <w:rPr>
          <w:lang w:val="en_US" w:bidi="en_US"/>
        </w:rPr>
        <w:t xml:space="preserve"> he started to go home. As he approached,</w:t>
      </w:r>
    </w:p>
    <w:p>
      <w:pPr/>
      <w:r>
        <w:rPr>
          <w:lang w:val="en_US" w:bidi="en_US"/>
        </w:rPr>
      </w:r>
      <w:r>
        <w:rPr>
          <w:b/>
          <w:lang w:val="en_US" w:bidi="en_US"/>
        </w:rPr>
        <w:t>and as he approached the house:</w:t>
      </w:r>
      <w:r>
        <w:rPr>
          <w:lang w:val="en_US" w:bidi="en_US"/>
        </w:rPr>
        <w:t xml:space="preserve"> The older son finished his day’s work and began to return home for his evening meal. In some languages it may be necessary to supply a phrase explaining that the older son left the field and began to walk home. For example:</w:t>
      </w:r>
    </w:p>
    <w:p>
      <w:pPr/>
      <w:r>
        <w:rPr>
          <w:lang w:val="en_US" w:bidi="en_US"/>
        </w:rPr>
      </w:r>
      <w:r>
        <w:rPr>
          <w:lang w:val="en_US" w:bidi="en_US"/>
        </w:rPr>
        <w:t>In the evening he left</w:t>
      </w:r>
      <w:r>
        <w:rPr>
          <w:lang w:val="en_US" w:bidi="en_US"/>
        </w:rPr>
        <w:t xml:space="preserve"> for home. When he got close…</w:t>
      </w:r>
    </w:p>
    <w:p>
      <w:pPr>
        <w:pStyle w:val="Heading5"/>
      </w:pPr>
      <w:r>
        <w:rPr>
          <w:lang w:val="en_US" w:bidi="en_US"/>
        </w:rPr>
        <w:t>15:25c</w:t>
      </w:r>
    </w:p>
    <w:p>
      <w:pPr/>
      <w:r>
        <w:rPr>
          <w:lang w:val="en_US" w:bidi="en_US"/>
        </w:rPr>
      </w:r>
      <w:r>
        <w:rPr>
          <w:b/>
          <w:lang w:val="en_US" w:bidi="en_US"/>
        </w:rPr>
        <w:t>he heard music and dancing.</w:t>
      </w:r>
    </w:p>
    <w:p>
      <w:pPr>
        <w:pStyle w:val="ListBullet"/>
        <w:spacing w:line="240" w:lineRule="auto"/>
        <w:ind w:left="720"/>
      </w:pPr>
      <w:r>
        <w:rPr>
          <w:lang w:val="en_US" w:bidi="en_US"/>
        </w:rPr>
      </w:r>
      <w:r>
        <w:rPr>
          <w:lang w:val="en_US" w:bidi="en_US"/>
        </w:rPr>
        <w:t xml:space="preserve">he heard </w:t>
      </w:r>
      <w:r>
        <w:rPr>
          <w:lang w:val="en_US" w:bidi="en_US"/>
        </w:rPr>
        <w:t>the sound of</w:t>
      </w:r>
      <w:r>
        <w:rPr>
          <w:lang w:val="en_US" w:bidi="en_US"/>
        </w:rPr>
        <w:t xml:space="preserve"> </w:t>
      </w:r>
      <w:r>
        <w:rPr>
          <w:lang w:val="en_US" w:bidi="en_US"/>
        </w:rPr>
        <w:t>people making</w:t>
      </w:r>
      <w:r>
        <w:rPr>
          <w:lang w:val="en_US" w:bidi="en_US"/>
        </w:rPr>
        <w:t xml:space="preserve"> music and dancing.</w:t>
      </w:r>
    </w:p>
    <w:p>
      <w:pPr>
        <w:pStyle w:val="ListBullet"/>
        <w:spacing w:line="240" w:lineRule="auto"/>
        <w:ind w:left="720"/>
      </w:pPr>
      <w:r>
        <w:rPr>
          <w:lang w:val="en_US" w:bidi="en_US"/>
        </w:rPr>
      </w:r>
      <w:r>
        <w:rPr>
          <w:lang w:val="en_US" w:bidi="en_US"/>
        </w:rPr>
        <w:t xml:space="preserve">he heard </w:t>
      </w:r>
      <w:r>
        <w:rPr>
          <w:lang w:val="en_US" w:bidi="en_US"/>
        </w:rPr>
        <w:t>strumming, drumming</w:t>
      </w:r>
      <w:r>
        <w:rPr>
          <w:lang w:val="en_US" w:bidi="en_US"/>
        </w:rPr>
        <w:t xml:space="preserve">, </w:t>
      </w:r>
      <w:r>
        <w:rPr>
          <w:lang w:val="en_US" w:bidi="en_US"/>
        </w:rPr>
        <w:t>and flute playing</w:t>
      </w:r>
      <w:r>
        <w:rPr>
          <w:lang w:val="en_US" w:bidi="en_US"/>
        </w:rPr>
        <w:t xml:space="preserve">, and </w:t>
      </w:r>
      <w:r>
        <w:rPr>
          <w:lang w:val="en_US" w:bidi="en_US"/>
        </w:rPr>
        <w:t>people</w:t>
      </w:r>
      <w:r>
        <w:rPr>
          <w:lang w:val="en_US" w:bidi="en_US"/>
        </w:rPr>
        <w:t xml:space="preserve"> dancing.</w:t>
      </w:r>
    </w:p>
    <w:p>
      <w:pPr/>
      <w:r>
        <w:rPr>
          <w:lang w:val="en_US" w:bidi="en_US"/>
        </w:rPr>
      </w:r>
      <w:r>
        <w:rPr>
          <w:b/>
          <w:lang w:val="en_US" w:bidi="en_US"/>
        </w:rPr>
        <w:t>he heard music and dancing:</w:t>
      </w:r>
      <w:r>
        <w:rPr>
          <w:lang w:val="en_US" w:bidi="en_US"/>
        </w:rPr>
        <w:t xml:space="preserve"> The Greek phrase that the BSB translates as </w:t>
      </w:r>
      <w:r>
        <w:rPr>
          <w:i/>
          <w:lang w:val="en_US" w:bidi="en_US"/>
        </w:rPr>
        <w:t>he heard music and dancing</w:t>
      </w:r>
      <w:r>
        <w:rPr>
          <w:lang w:val="en_US" w:bidi="en_US"/>
        </w:rPr>
        <w:t xml:space="preserve"> means that the older son heard the sound of musical instruments being played and the beat of dancing feet. There were probably several people who played instruments and others who danced as a group. The dancers may have been acting out the story of the younger son’s experiences.</w:t>
      </w:r>
    </w:p>
    <w:p>
      <w:pPr/>
      <w:r>
        <w:rPr>
          <w:lang w:val="en_US" w:bidi="en_US"/>
        </w:rPr>
      </w:r>
      <w:r>
        <w:rPr>
          <w:lang w:val="en_US" w:bidi="en_US"/>
        </w:rPr>
        <w:t>The text does not specify what kind of instruments people were playing or what kind of dancing they did. So, if possible, you should use general terms for these ideas, as the BSB has done. Another way to translate it is:</w:t>
      </w:r>
    </w:p>
    <w:p>
      <w:pPr/>
      <w:r>
        <w:rPr>
          <w:lang w:val="en_US" w:bidi="en_US"/>
        </w:rPr>
      </w:r>
      <w:r>
        <w:rPr>
          <w:lang w:val="en_US" w:bidi="en_US"/>
        </w:rPr>
        <w:t>he heard people playing instruments and dancing</w:t>
      </w:r>
    </w:p>
    <w:p>
      <w:pPr/>
      <w:r>
        <w:rPr>
          <w:lang w:val="en_US" w:bidi="en_US"/>
        </w:rPr>
      </w:r>
      <w:r>
        <w:rPr>
          <w:lang w:val="en_US" w:bidi="en_US"/>
        </w:rPr>
        <w:t>In some languages there are no general terms for either music or dancing. Instead, there are many specific terms for different instruments and other terms for different kinds of dances. If that is true in your language, try to use terms that refer to music/instruments that accompany a dance. Use a term for dancing that refers either to a dance in which a story is acted out or a dance in which people are celebrating a happy occasion. Avoid terms for ritual or religious dances or erotic dances.</w:t>
      </w:r>
      <w:r>
        <w:rPr>
          <w:lang w:val="en_US" w:bidi="en_US"/>
        </w:rPr>
      </w:r>
      <w:r>
        <w:rPr>
          <w:lang w:val="en_US" w:bidi="en_US"/>
        </w:rPr>
      </w:r>
    </w:p>
    <w:p>
      <w:pPr/>
      <w:r>
        <w:rPr>
          <w:lang w:val="en_US" w:bidi="en_US"/>
        </w:rPr>
      </w:r>
    </w:p>
    <w:p>
      <w:pPr>
        <w:pStyle w:val="Heading2"/>
      </w:pPr>
      <w:r>
        <w:rPr>
          <w:lang w:val="en_US" w:bidi="en_US"/>
        </w:rPr>
        <w:t>Luke 15:26</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5"/>
      </w:pPr>
      <w:r>
        <w:rPr>
          <w:lang w:val="en_US" w:bidi="en_US"/>
        </w:rPr>
        <w:t>15:26</w:t>
      </w:r>
    </w:p>
    <w:p>
      <w:pPr/>
      <w:r>
        <w:rPr>
          <w:lang w:val="en_US" w:bidi="en_US"/>
        </w:rPr>
      </w:r>
      <w:r>
        <w:rPr>
          <w:b/>
          <w:lang w:val="en_US" w:bidi="en_US"/>
        </w:rPr>
        <w:t>So he called one of the servants and asked what was going on.</w:t>
      </w:r>
    </w:p>
    <w:p>
      <w:pPr>
        <w:pStyle w:val="ListBullet"/>
        <w:spacing w:line="240" w:lineRule="auto"/>
        <w:ind w:left="720"/>
      </w:pPr>
      <w:r>
        <w:rPr>
          <w:lang w:val="en_US" w:bidi="en_US"/>
        </w:rPr>
      </w:r>
      <w:r>
        <w:rPr>
          <w:lang w:val="en_US" w:bidi="en_US"/>
        </w:rPr>
        <w:t xml:space="preserve">So he called one of the servants/slaves </w:t>
      </w:r>
      <w:r>
        <w:rPr>
          <w:lang w:val="en_US" w:bidi="en_US"/>
        </w:rPr>
        <w:t>to come</w:t>
      </w:r>
      <w:r>
        <w:rPr>
          <w:lang w:val="en_US" w:bidi="en_US"/>
        </w:rPr>
        <w:t xml:space="preserve"> so that he could ask him what was happening.</w:t>
      </w:r>
    </w:p>
    <w:p>
      <w:pPr>
        <w:pStyle w:val="ListBullet"/>
        <w:spacing w:line="240" w:lineRule="auto"/>
        <w:ind w:left="720"/>
      </w:pPr>
      <w:r>
        <w:rPr>
          <w:lang w:val="en_US" w:bidi="en_US"/>
        </w:rPr>
      </w:r>
      <w:r>
        <w:rPr>
          <w:lang w:val="en_US" w:bidi="en_US"/>
        </w:rPr>
        <w:t>When he arrived,</w:t>
      </w:r>
      <w:r>
        <w:rPr>
          <w:lang w:val="en_US" w:bidi="en_US"/>
        </w:rPr>
        <w:t xml:space="preserve"> the older son called a servant and asked him, ‘What is happening?’</w:t>
      </w:r>
    </w:p>
    <w:p>
      <w:pPr/>
      <w:r>
        <w:rPr>
          <w:lang w:val="en_US" w:bidi="en_US"/>
        </w:rPr>
      </w:r>
      <w:r>
        <w:rPr>
          <w:b/>
          <w:lang w:val="en_US" w:bidi="en_US"/>
        </w:rPr>
        <w:t>So:</w:t>
      </w:r>
      <w:r>
        <w:rPr>
          <w:lang w:val="en_US" w:bidi="en_US"/>
        </w:rPr>
        <w:t xml:space="preserve"> This verse begins with a Greek conjunction that many English versions translate as “and.” The BSB, along with several other English versions, translates as </w:t>
      </w:r>
      <w:r>
        <w:rPr>
          <w:i/>
          <w:lang w:val="en_US" w:bidi="en_US"/>
        </w:rPr>
        <w:t>So</w:t>
      </w:r>
      <w:r>
        <w:rPr>
          <w:lang w:val="en_US" w:bidi="en_US"/>
        </w:rPr>
        <w:t xml:space="preserve"> because introduces what the older son did as a result of hearing the music and dancing. Translate the connection in a natural way in your language.</w:t>
      </w:r>
    </w:p>
    <w:p>
      <w:pPr/>
      <w:r>
        <w:rPr>
          <w:lang w:val="en_US" w:bidi="en_US"/>
        </w:rPr>
      </w:r>
      <w:r>
        <w:rPr>
          <w:b/>
          <w:lang w:val="en_US" w:bidi="en_US"/>
        </w:rPr>
        <w:t>he called:</w:t>
      </w:r>
      <w:r>
        <w:rPr>
          <w:lang w:val="en_US" w:bidi="en_US"/>
        </w:rPr>
        <w:t xml:space="preserve"> The verb that the BSB translates as </w:t>
      </w:r>
      <w:r>
        <w:rPr>
          <w:i/>
          <w:lang w:val="en_US" w:bidi="en_US"/>
        </w:rPr>
        <w:t>he called</w:t>
      </w:r>
      <w:r>
        <w:rPr>
          <w:lang w:val="en_US" w:bidi="en_US"/>
        </w:rPr>
        <w:t xml:space="preserve"> means here that he summoned or called a servant to come to him. The servant was probably outside the house at the time.</w:t>
      </w:r>
    </w:p>
    <w:p>
      <w:pPr/>
      <w:r>
        <w:rPr>
          <w:lang w:val="en_US" w:bidi="en_US"/>
        </w:rPr>
      </w:r>
      <w:r>
        <w:rPr>
          <w:b/>
          <w:lang w:val="en_US" w:bidi="en_US"/>
        </w:rPr>
        <w:t>one of the servants:</w:t>
      </w:r>
      <w:r>
        <w:rPr>
          <w:lang w:val="en_US" w:bidi="en_US"/>
        </w:rPr>
        <w:t xml:space="preserve"> The Greek phrase that the BSB translates as </w:t>
      </w:r>
      <w:r>
        <w:rPr>
          <w:i/>
          <w:lang w:val="en_US" w:bidi="en_US"/>
        </w:rPr>
        <w:t>one of the servants</w:t>
      </w:r>
      <w:r>
        <w:rPr>
          <w:lang w:val="en_US" w:bidi="en_US"/>
        </w:rPr>
        <w:t xml:space="preserve"> refers to a household servant/slave. It is a different word from the word translated as “servants” in 15:22a. Here it may refer to one of the younger servants.</w:t>
      </w:r>
      <w:r>
        <w:rPr>
          <w:lang w:val="en_US" w:bidi="en_US"/>
        </w:rPr>
        <w:t>Bock (p. 1316) suggests that the servant was probably a young servant or special servant.</w:t>
      </w:r>
    </w:p>
    <w:p>
      <w:pPr/>
      <w:r>
        <w:rPr>
          <w:lang w:val="en_US" w:bidi="en_US"/>
        </w:rPr>
      </w:r>
      <w:r>
        <w:rPr>
          <w:b/>
          <w:lang w:val="en_US" w:bidi="en_US"/>
        </w:rPr>
        <w:t>asked what was going on:</w:t>
      </w:r>
      <w:r>
        <w:rPr>
          <w:lang w:val="en_US" w:bidi="en_US"/>
        </w:rPr>
        <w:t xml:space="preserve"> The Greek phrase that the BSB translates as </w:t>
      </w:r>
      <w:r>
        <w:rPr>
          <w:i/>
          <w:lang w:val="en_US" w:bidi="en_US"/>
        </w:rPr>
        <w:t>asked what was going on</w:t>
      </w:r>
      <w:r>
        <w:rPr>
          <w:lang w:val="en_US" w:bidi="en_US"/>
        </w:rPr>
        <w:t xml:space="preserve"> means that the older brother asked the servant to tell him why people were playing music and dancing. If in your language it is more natural to translate this as direct speech, you could say something like:</w:t>
      </w:r>
    </w:p>
    <w:p>
      <w:pPr/>
      <w:r>
        <w:rPr>
          <w:lang w:val="en_US" w:bidi="en_US"/>
        </w:rPr>
      </w:r>
      <w:r>
        <w:rPr>
          <w:lang w:val="en_US" w:bidi="en_US"/>
        </w:rPr>
        <w:t>asked him, “Why are people celebrating like this?”</w:t>
      </w:r>
      <w:r>
        <w:rPr>
          <w:lang w:val="en_US" w:bidi="en_US"/>
        </w:rPr>
      </w:r>
      <w:r>
        <w:rPr>
          <w:lang w:val="en_US" w:bidi="en_US"/>
        </w:rPr>
      </w:r>
    </w:p>
    <w:p>
      <w:pPr/>
      <w:r>
        <w:rPr>
          <w:lang w:val="en_US" w:bidi="en_US"/>
        </w:rPr>
      </w:r>
    </w:p>
    <w:p>
      <w:pPr>
        <w:pStyle w:val="Heading2"/>
      </w:pPr>
      <w:r>
        <w:rPr>
          <w:lang w:val="en_US" w:bidi="en_US"/>
        </w:rPr>
        <w:t>Luke 15:27</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5"/>
      </w:pPr>
      <w:r>
        <w:rPr>
          <w:lang w:val="en_US" w:bidi="en_US"/>
        </w:rPr>
        <w:t>15:27a</w:t>
      </w:r>
    </w:p>
    <w:p>
      <w:pPr/>
      <w:r>
        <w:rPr>
          <w:lang w:val="en_US" w:bidi="en_US"/>
        </w:rPr>
      </w:r>
      <w:r>
        <w:rPr>
          <w:b/>
          <w:lang w:val="en_US" w:bidi="en_US"/>
        </w:rPr>
        <w:t>‘Your brother has returned,’ he said,</w:t>
      </w:r>
    </w:p>
    <w:p>
      <w:pPr>
        <w:pStyle w:val="ListBullet"/>
        <w:spacing w:line="240" w:lineRule="auto"/>
        <w:ind w:left="720"/>
      </w:pPr>
      <w:r>
        <w:rPr>
          <w:lang w:val="en_US" w:bidi="en_US"/>
        </w:rPr>
      </w:r>
      <w:r>
        <w:rPr>
          <w:lang w:val="en_US" w:bidi="en_US"/>
        </w:rPr>
        <w:t>The servant said, ‘Your</w:t>
      </w:r>
      <w:r>
        <w:rPr>
          <w:vertAlign w:val="superscript"/>
          <w:lang w:val="en_US" w:bidi="en_US"/>
        </w:rPr>
        <w:t>(sing)</w:t>
      </w:r>
      <w:r>
        <w:rPr>
          <w:lang w:val="en_US" w:bidi="en_US"/>
        </w:rPr>
        <w:t xml:space="preserve"> </w:t>
      </w:r>
      <w:r>
        <w:rPr>
          <w:lang w:val="en_US" w:bidi="en_US"/>
        </w:rPr>
        <w:t>younger</w:t>
      </w:r>
      <w:r>
        <w:rPr>
          <w:lang w:val="en_US" w:bidi="en_US"/>
        </w:rPr>
        <w:t xml:space="preserve"> brother is here.</w:t>
      </w:r>
    </w:p>
    <w:p>
      <w:pPr>
        <w:pStyle w:val="ListBullet"/>
        <w:spacing w:line="240" w:lineRule="auto"/>
        <w:ind w:left="720"/>
      </w:pPr>
      <w:r>
        <w:rPr>
          <w:lang w:val="en_US" w:bidi="en_US"/>
        </w:rPr>
      </w:r>
      <w:r>
        <w:rPr>
          <w:lang w:val="en_US" w:bidi="en_US"/>
        </w:rPr>
        <w:t>He answered, ‘Your</w:t>
      </w:r>
      <w:r>
        <w:rPr>
          <w:vertAlign w:val="superscript"/>
          <w:lang w:val="en_US" w:bidi="en_US"/>
        </w:rPr>
        <w:t>(sing)</w:t>
      </w:r>
      <w:r>
        <w:rPr>
          <w:lang w:val="en_US" w:bidi="en_US"/>
        </w:rPr>
        <w:t xml:space="preserve"> </w:t>
      </w:r>
      <w:r>
        <w:rPr>
          <w:lang w:val="en_US" w:bidi="en_US"/>
        </w:rPr>
        <w:t>younger</w:t>
      </w:r>
      <w:r>
        <w:rPr>
          <w:lang w:val="en_US" w:bidi="en_US"/>
        </w:rPr>
        <w:t xml:space="preserve"> sibling has arrived/returned </w:t>
      </w:r>
      <w:r>
        <w:rPr>
          <w:lang w:val="en_US" w:bidi="en_US"/>
        </w:rPr>
        <w:t>home</w:t>
      </w:r>
      <w:r>
        <w:rPr>
          <w:lang w:val="en_US" w:bidi="en_US"/>
        </w:rPr>
        <w:t>,</w:t>
      </w:r>
    </w:p>
    <w:p>
      <w:pPr/>
      <w:r>
        <w:rPr>
          <w:lang w:val="en_US" w:bidi="en_US"/>
        </w:rPr>
      </w:r>
      <w:r>
        <w:rPr>
          <w:b/>
          <w:lang w:val="en_US" w:bidi="en_US"/>
        </w:rPr>
        <w:t>Your brother has returned:</w:t>
      </w:r>
      <w:r>
        <w:rPr>
          <w:lang w:val="en_US" w:bidi="en_US"/>
        </w:rPr>
        <w:t xml:space="preserve"> The word </w:t>
      </w:r>
      <w:r>
        <w:rPr>
          <w:i/>
          <w:lang w:val="en_US" w:bidi="en_US"/>
        </w:rPr>
        <w:t>brother</w:t>
      </w:r>
      <w:r>
        <w:rPr>
          <w:lang w:val="en_US" w:bidi="en_US"/>
        </w:rPr>
        <w:t xml:space="preserve"> refers here to the younger brother. The verb that the BSB translates as </w:t>
      </w:r>
      <w:r>
        <w:rPr>
          <w:i/>
          <w:lang w:val="en_US" w:bidi="en_US"/>
        </w:rPr>
        <w:t>has returned</w:t>
      </w:r>
      <w:r>
        <w:rPr>
          <w:lang w:val="en_US" w:bidi="en_US"/>
        </w:rPr>
        <w:t xml:space="preserve"> is literally “is here/present.” Other ways to translate this verb are:</w:t>
      </w:r>
    </w:p>
    <w:p>
      <w:pPr/>
      <w:r>
        <w:rPr>
          <w:lang w:val="en_US" w:bidi="en_US"/>
        </w:rPr>
      </w:r>
      <w:r>
        <w:rPr>
          <w:lang w:val="en_US" w:bidi="en_US"/>
        </w:rPr>
        <w:t>has come home (GW)</w:t>
      </w:r>
    </w:p>
    <w:p>
      <w:pPr/>
      <w:r>
        <w:rPr>
          <w:lang w:val="en_US" w:bidi="en_US"/>
        </w:rPr>
      </w:r>
      <w:r>
        <w:rPr>
          <w:lang w:val="en_US" w:bidi="en_US"/>
        </w:rPr>
        <w:t>has returned/arrived</w:t>
      </w:r>
    </w:p>
    <w:p>
      <w:pPr/>
      <w:r>
        <w:rPr>
          <w:lang w:val="en_US" w:bidi="en_US"/>
        </w:rPr>
      </w:r>
      <w:r>
        <w:rPr>
          <w:b/>
          <w:lang w:val="en_US" w:bidi="en_US"/>
        </w:rPr>
        <w:t>he said:</w:t>
      </w:r>
      <w:r>
        <w:rPr>
          <w:lang w:val="en_US" w:bidi="en_US"/>
        </w:rPr>
        <w:t xml:space="preserve"> The BSB has placed the phrase </w:t>
      </w:r>
      <w:r>
        <w:rPr>
          <w:i/>
          <w:lang w:val="en_US" w:bidi="en_US"/>
        </w:rPr>
        <w:t>he said</w:t>
      </w:r>
      <w:r>
        <w:rPr>
          <w:lang w:val="en_US" w:bidi="en_US"/>
        </w:rPr>
        <w:t xml:space="preserve"> in the middle of what the servant said. In Greek this phrase occurs at the beginning of the verse. You should place it where it is natural in your language.</w:t>
      </w:r>
    </w:p>
    <w:p>
      <w:pPr>
        <w:pStyle w:val="Heading5"/>
      </w:pPr>
      <w:r>
        <w:rPr>
          <w:lang w:val="en_US" w:bidi="en_US"/>
        </w:rPr>
        <w:t>15:27b</w:t>
      </w:r>
    </w:p>
    <w:p>
      <w:pPr/>
      <w:r>
        <w:rPr>
          <w:lang w:val="en_US" w:bidi="en_US"/>
        </w:rPr>
      </w:r>
      <w:r>
        <w:rPr>
          <w:b/>
          <w:lang w:val="en_US" w:bidi="en_US"/>
        </w:rPr>
        <w:t>‘and your father has killed the fattened calf,</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father has caused the young cow/bull that we</w:t>
      </w:r>
      <w:r>
        <w:rPr>
          <w:vertAlign w:val="superscript"/>
          <w:lang w:val="en_US" w:bidi="en_US"/>
        </w:rPr>
        <w:t>(incl)</w:t>
      </w:r>
      <w:r>
        <w:rPr>
          <w:lang w:val="en_US" w:bidi="en_US"/>
        </w:rPr>
        <w:t xml:space="preserve"> have fattened to be slaughtered,</w:t>
      </w:r>
    </w:p>
    <w:p>
      <w:pPr>
        <w:pStyle w:val="ListBullet"/>
        <w:spacing w:line="240" w:lineRule="auto"/>
        <w:ind w:left="720"/>
      </w:pPr>
      <w:r>
        <w:rPr>
          <w:lang w:val="en_US" w:bidi="en_US"/>
        </w:rPr>
      </w:r>
      <w:r>
        <w:rPr>
          <w:lang w:val="en_US" w:bidi="en_US"/>
        </w:rPr>
        <w:t>and/so your</w:t>
      </w:r>
      <w:r>
        <w:rPr>
          <w:vertAlign w:val="superscript"/>
          <w:lang w:val="en_US" w:bidi="en_US"/>
        </w:rPr>
        <w:t>(sing)</w:t>
      </w:r>
      <w:r>
        <w:rPr>
          <w:lang w:val="en_US" w:bidi="en_US"/>
        </w:rPr>
        <w:t xml:space="preserve"> father ordered that our</w:t>
      </w:r>
      <w:r>
        <w:rPr>
          <w:vertAlign w:val="superscript"/>
          <w:lang w:val="en_US" w:bidi="en_US"/>
        </w:rPr>
        <w:t>(incl)</w:t>
      </w:r>
      <w:r>
        <w:rPr>
          <w:lang w:val="en_US" w:bidi="en_US"/>
        </w:rPr>
        <w:t xml:space="preserve"> best/fattest animal be butchered,</w:t>
      </w:r>
    </w:p>
    <w:p>
      <w:pPr/>
      <w:r>
        <w:rPr>
          <w:lang w:val="en_US" w:bidi="en_US"/>
        </w:rPr>
      </w:r>
      <w:r>
        <w:rPr>
          <w:b/>
          <w:lang w:val="en_US" w:bidi="en_US"/>
        </w:rPr>
        <w:t>and:</w:t>
      </w:r>
      <w:r>
        <w:rPr>
          <w:lang w:val="en_US" w:bidi="en_US"/>
        </w:rPr>
        <w:t xml:space="preserve"> The conjunction that the BSB translates as </w:t>
      </w:r>
      <w:r>
        <w:rPr>
          <w:i/>
          <w:lang w:val="en_US" w:bidi="en_US"/>
        </w:rPr>
        <w:t>and</w:t>
      </w:r>
      <w:r>
        <w:rPr>
          <w:lang w:val="en_US" w:bidi="en_US"/>
        </w:rPr>
        <w:t xml:space="preserve"> introduces what the father did because his son returned home. Another way to translate this is:</w:t>
      </w:r>
    </w:p>
    <w:p>
      <w:pPr/>
      <w:r>
        <w:rPr>
          <w:lang w:val="en_US" w:bidi="en_US"/>
        </w:rPr>
      </w:r>
      <w:r>
        <w:rPr>
          <w:lang w:val="en_US" w:bidi="en_US"/>
        </w:rPr>
        <w:t>So (GW)</w:t>
      </w:r>
    </w:p>
    <w:p>
      <w:pPr/>
      <w:r>
        <w:rPr>
          <w:lang w:val="en_US" w:bidi="en_US"/>
        </w:rPr>
      </w:r>
      <w:r>
        <w:rPr>
          <w:b/>
          <w:lang w:val="en_US" w:bidi="en_US"/>
        </w:rPr>
        <w:t>your father has killed the fattened calf:</w:t>
      </w:r>
      <w:r>
        <w:rPr>
          <w:lang w:val="en_US" w:bidi="en_US"/>
        </w:rPr>
        <w:t xml:space="preserve"> The Greek phrase that the BSB translates as </w:t>
      </w:r>
      <w:r>
        <w:rPr>
          <w:i/>
          <w:lang w:val="en_US" w:bidi="en_US"/>
        </w:rPr>
        <w:t>your father has killed the fattened calf</w:t>
      </w:r>
      <w:r>
        <w:rPr>
          <w:lang w:val="en_US" w:bidi="en_US"/>
        </w:rPr>
        <w:t xml:space="preserve"> means that the father had given orders to the servants and they had killed the fattened calf. One way to make this information explicit is:</w:t>
      </w:r>
    </w:p>
    <w:p>
      <w:pPr/>
      <w:r>
        <w:rPr>
          <w:lang w:val="en_US" w:bidi="en_US"/>
        </w:rPr>
      </w:r>
      <w:r>
        <w:rPr>
          <w:lang w:val="en_US" w:bidi="en_US"/>
        </w:rPr>
        <w:t>your father ordered us to kill the best calf (CEV)</w:t>
      </w:r>
    </w:p>
    <w:p>
      <w:pPr/>
      <w:r>
        <w:rPr>
          <w:lang w:val="en_US" w:bidi="en_US"/>
        </w:rPr>
      </w:r>
      <w:r>
        <w:rPr>
          <w:b/>
          <w:lang w:val="en_US" w:bidi="en_US"/>
        </w:rPr>
        <w:t>fattened calf:</w:t>
      </w:r>
      <w:r>
        <w:rPr>
          <w:lang w:val="en_US" w:bidi="en_US"/>
        </w:rPr>
        <w:t xml:space="preserve"> See the note on 15:23a.</w:t>
      </w:r>
    </w:p>
    <w:p>
      <w:pPr>
        <w:pStyle w:val="Heading5"/>
      </w:pPr>
      <w:r>
        <w:rPr>
          <w:lang w:val="en_US" w:bidi="en_US"/>
        </w:rPr>
        <w:t>15:27c</w:t>
      </w:r>
    </w:p>
    <w:p>
      <w:pPr/>
      <w:r>
        <w:rPr>
          <w:lang w:val="en_US" w:bidi="en_US"/>
        </w:rPr>
      </w:r>
      <w:r>
        <w:rPr>
          <w:b/>
          <w:lang w:val="en_US" w:bidi="en_US"/>
        </w:rPr>
        <w:t>because he has him back safe and sound.’</w:t>
      </w:r>
    </w:p>
    <w:p>
      <w:pPr>
        <w:pStyle w:val="ListBullet"/>
        <w:spacing w:line="240" w:lineRule="auto"/>
        <w:ind w:left="720"/>
      </w:pPr>
      <w:r>
        <w:rPr>
          <w:lang w:val="en_US" w:bidi="en_US"/>
        </w:rPr>
      </w:r>
      <w:r>
        <w:rPr>
          <w:lang w:val="en_US" w:bidi="en_US"/>
        </w:rPr>
        <w:t>because your</w:t>
      </w:r>
      <w:r>
        <w:rPr>
          <w:vertAlign w:val="superscript"/>
          <w:lang w:val="en_US" w:bidi="en_US"/>
        </w:rPr>
        <w:t>(sing)</w:t>
      </w:r>
      <w:r>
        <w:rPr>
          <w:lang w:val="en_US" w:bidi="en_US"/>
        </w:rPr>
        <w:t xml:space="preserve"> brother has come back home safe and well.’</w:t>
      </w:r>
    </w:p>
    <w:p>
      <w:pPr>
        <w:pStyle w:val="ListBullet"/>
        <w:spacing w:line="240" w:lineRule="auto"/>
        <w:ind w:left="720"/>
      </w:pPr>
      <w:r>
        <w:rPr>
          <w:lang w:val="en_US" w:bidi="en_US"/>
        </w:rPr>
      </w:r>
      <w:r>
        <w:rPr>
          <w:lang w:val="en_US" w:bidi="en_US"/>
        </w:rPr>
        <w:t xml:space="preserve">because </w:t>
      </w:r>
      <w:r>
        <w:rPr>
          <w:lang w:val="en_US" w:bidi="en_US"/>
        </w:rPr>
        <w:t>your</w:t>
      </w:r>
      <w:r>
        <w:rPr>
          <w:vertAlign w:val="superscript"/>
          <w:lang w:val="en_US" w:bidi="en_US"/>
        </w:rPr>
        <w:t>(sing)</w:t>
      </w:r>
      <w:r>
        <w:rPr>
          <w:lang w:val="en_US" w:bidi="en_US"/>
        </w:rPr>
        <w:t xml:space="preserve"> </w:t>
      </w:r>
      <w:r>
        <w:rPr>
          <w:lang w:val="en_US" w:bidi="en_US"/>
        </w:rPr>
        <w:t>younger brother</w:t>
      </w:r>
      <w:r>
        <w:rPr>
          <w:lang w:val="en_US" w:bidi="en_US"/>
        </w:rPr>
        <w:t xml:space="preserve"> is with him again in good health.’</w:t>
      </w:r>
    </w:p>
    <w:p>
      <w:pPr/>
      <w:r>
        <w:rPr>
          <w:lang w:val="en_US" w:bidi="en_US"/>
        </w:rPr>
      </w:r>
      <w:r>
        <w:rPr>
          <w:b/>
          <w:lang w:val="en_US" w:bidi="en_US"/>
        </w:rPr>
        <w:t>because he has him back:</w:t>
      </w:r>
      <w:r>
        <w:rPr>
          <w:lang w:val="en_US" w:bidi="en_US"/>
        </w:rPr>
        <w:t xml:space="preserve"> The Greek phrase that the BSB translates as </w:t>
      </w:r>
      <w:r>
        <w:rPr>
          <w:i/>
          <w:lang w:val="en_US" w:bidi="en_US"/>
        </w:rPr>
        <w:t>he has him back</w:t>
      </w:r>
      <w:r>
        <w:rPr>
          <w:lang w:val="en_US" w:bidi="en_US"/>
        </w:rPr>
        <w:t xml:space="preserve"> means “he has received/gotten him back” or “he has been reunited with him.”</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refers back to “your brother” in 15:27a.</w:t>
      </w:r>
    </w:p>
    <w:p>
      <w:pPr/>
      <w:r>
        <w:rPr>
          <w:lang w:val="en_US" w:bidi="en_US"/>
        </w:rPr>
      </w:r>
      <w:r>
        <w:rPr>
          <w:b/>
          <w:lang w:val="en_US" w:bidi="en_US"/>
        </w:rPr>
        <w:t>safe and sound:</w:t>
      </w:r>
      <w:r>
        <w:rPr>
          <w:lang w:val="en_US" w:bidi="en_US"/>
        </w:rPr>
        <w:t xml:space="preserve"> The Greek word that the BSB translates as </w:t>
      </w:r>
      <w:r>
        <w:rPr>
          <w:i/>
          <w:lang w:val="en_US" w:bidi="en_US"/>
        </w:rPr>
        <w:t>safe and sound</w:t>
      </w:r>
      <w:r>
        <w:rPr>
          <w:lang w:val="en_US" w:bidi="en_US"/>
        </w:rPr>
        <w:t xml:space="preserve"> means “healthy” and refers to being in good bodily health.</w:t>
      </w:r>
    </w:p>
    <w:p>
      <w:pPr/>
      <w:r>
        <w:rPr>
          <w:lang w:val="en_US" w:bidi="en_US"/>
        </w:rPr>
      </w:r>
      <w:r>
        <w:rPr>
          <w:lang w:val="en_US" w:bidi="en_US"/>
        </w:rPr>
        <w:t>In some languages it may be difficult to translate the idea of getting a person back in good health. Some English versions have made the reference to the father implicit in this part of the verse. For example:</w:t>
      </w:r>
    </w:p>
    <w:p>
      <w:pPr/>
      <w:r>
        <w:rPr>
          <w:lang w:val="en_US" w:bidi="en_US"/>
        </w:rPr>
      </w:r>
      <w:r>
        <w:rPr>
          <w:lang w:val="en_US" w:bidi="en_US"/>
        </w:rPr>
        <w:t>your brother came home safely (NCV)</w:t>
      </w:r>
    </w:p>
    <w:p>
      <w:pPr/>
      <w:r>
        <w:rPr>
          <w:lang w:val="en_US" w:bidi="en_US"/>
        </w:rPr>
      </w:r>
      <w:r>
        <w:rPr>
          <w:lang w:val="en_US" w:bidi="en_US"/>
        </w:rPr>
        <w:t>to celebrate your brother’s safe return (GW)</w:t>
      </w:r>
    </w:p>
    <w:p>
      <w:pPr/>
      <w:r>
        <w:rPr>
          <w:lang w:val="en_US" w:bidi="en_US"/>
        </w:rPr>
      </w:r>
      <w:r>
        <w:rPr>
          <w:lang w:val="en_US" w:bidi="en_US"/>
        </w:rPr>
        <w:t>Other ways to translate this idea are:</w:t>
      </w:r>
    </w:p>
    <w:p>
      <w:pPr/>
      <w:r>
        <w:rPr>
          <w:lang w:val="en_US" w:bidi="en_US"/>
        </w:rPr>
      </w:r>
      <w:r>
        <w:rPr>
          <w:lang w:val="en_US" w:bidi="en_US"/>
        </w:rPr>
        <w:t>your brother has rejoined him and nothing bad has happened to him</w:t>
      </w:r>
    </w:p>
    <w:p>
      <w:pPr/>
      <w:r>
        <w:rPr>
          <w:lang w:val="en_US" w:bidi="en_US"/>
        </w:rPr>
      </w:r>
      <w:r>
        <w:rPr>
          <w:lang w:val="en_US" w:bidi="en_US"/>
        </w:rPr>
        <w:t>he has come home to him without harm</w:t>
      </w:r>
      <w:r>
        <w:rPr>
          <w:lang w:val="en_US" w:bidi="en_US"/>
        </w:rPr>
      </w:r>
      <w:r>
        <w:rPr>
          <w:lang w:val="en_US" w:bidi="en_US"/>
        </w:rPr>
      </w:r>
    </w:p>
    <w:p>
      <w:pPr/>
      <w:r>
        <w:rPr>
          <w:lang w:val="en_US" w:bidi="en_US"/>
        </w:rPr>
      </w:r>
    </w:p>
    <w:p>
      <w:pPr>
        <w:pStyle w:val="Heading2"/>
      </w:pPr>
      <w:r>
        <w:rPr>
          <w:lang w:val="en_US" w:bidi="en_US"/>
        </w:rPr>
        <w:t>Luke 15:28</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5"/>
      </w:pPr>
      <w:r>
        <w:rPr>
          <w:lang w:val="en_US" w:bidi="en_US"/>
        </w:rPr>
        <w:t>15:28a</w:t>
      </w:r>
    </w:p>
    <w:p>
      <w:pPr/>
      <w:r>
        <w:rPr>
          <w:lang w:val="en_US" w:bidi="en_US"/>
        </w:rPr>
      </w:r>
      <w:r>
        <w:rPr>
          <w:b/>
          <w:lang w:val="en_US" w:bidi="en_US"/>
        </w:rPr>
        <w:t>The older son became angry and refused to go in.</w:t>
      </w:r>
    </w:p>
    <w:p>
      <w:pPr>
        <w:pStyle w:val="ListBullet"/>
        <w:spacing w:line="240" w:lineRule="auto"/>
        <w:ind w:left="720"/>
      </w:pPr>
      <w:r>
        <w:rPr>
          <w:lang w:val="en_US" w:bidi="en_US"/>
        </w:rPr>
      </w:r>
      <w:r>
        <w:rPr>
          <w:lang w:val="en_US" w:bidi="en_US"/>
        </w:rPr>
        <w:t>But/Then</w:t>
      </w:r>
      <w:r>
        <w:rPr>
          <w:lang w:val="en_US" w:bidi="en_US"/>
        </w:rPr>
        <w:t xml:space="preserve"> the older brother became </w:t>
      </w:r>
      <w:r>
        <w:rPr>
          <w:lang w:val="en_US" w:bidi="en_US"/>
        </w:rPr>
        <w:t>very</w:t>
      </w:r>
      <w:r>
        <w:rPr>
          <w:lang w:val="en_US" w:bidi="en_US"/>
        </w:rPr>
        <w:t xml:space="preserve"> angry and did not want to go inside </w:t>
      </w:r>
      <w:r>
        <w:rPr>
          <w:lang w:val="en_US" w:bidi="en_US"/>
        </w:rPr>
        <w:t>the house</w:t>
      </w:r>
      <w:r>
        <w:rPr>
          <w:lang w:val="en_US" w:bidi="en_US"/>
        </w:rPr>
        <w:t>.</w:t>
      </w:r>
    </w:p>
    <w:p>
      <w:pPr>
        <w:pStyle w:val="ListBullet"/>
        <w:spacing w:line="240" w:lineRule="auto"/>
        <w:ind w:left="720"/>
      </w:pPr>
      <w:r>
        <w:rPr>
          <w:lang w:val="en_US" w:bidi="en_US"/>
        </w:rPr>
      </w:r>
      <w:r>
        <w:rPr>
          <w:lang w:val="en_US" w:bidi="en_US"/>
        </w:rPr>
        <w:t xml:space="preserve">When the older brother </w:t>
      </w:r>
      <w:r>
        <w:rPr>
          <w:lang w:val="en_US" w:bidi="en_US"/>
        </w:rPr>
        <w:t>heard this</w:t>
      </w:r>
      <w:r>
        <w:rPr>
          <w:lang w:val="en_US" w:bidi="en_US"/>
        </w:rPr>
        <w:t>, he became so angry that he would not enter.</w:t>
      </w:r>
    </w:p>
    <w:p>
      <w:pPr/>
      <w:r>
        <w:rPr>
          <w:lang w:val="en_US" w:bidi="en_US"/>
        </w:rPr>
      </w:r>
      <w:r>
        <w:rPr>
          <w:lang w:val="en_US" w:bidi="en_US"/>
        </w:rPr>
        <w:t>In Greek, this verse begins with a conjunction that introduces the unexpected way that the older brother reacted to what the servant told him. Other ways to translate this conjunction are:</w:t>
      </w:r>
    </w:p>
    <w:p>
      <w:pPr/>
      <w:r>
        <w:rPr>
          <w:lang w:val="en_US" w:bidi="en_US"/>
        </w:rPr>
      </w:r>
      <w:r>
        <w:rPr>
          <w:lang w:val="en_US" w:bidi="en_US"/>
        </w:rPr>
        <w:t>But (RSV)</w:t>
      </w:r>
    </w:p>
    <w:p>
      <w:pPr/>
      <w:r>
        <w:rPr>
          <w:lang w:val="en_US" w:bidi="en_US"/>
        </w:rPr>
      </w:r>
      <w:r>
        <w:rPr>
          <w:lang w:val="en_US" w:bidi="en_US"/>
        </w:rPr>
        <w:t>Then (NRSV)</w:t>
      </w:r>
    </w:p>
    <w:p>
      <w:pPr/>
      <w:r>
        <w:rPr>
          <w:lang w:val="en_US" w:bidi="en_US"/>
        </w:rPr>
      </w:r>
      <w:r>
        <w:rPr>
          <w:b/>
          <w:lang w:val="en_US" w:bidi="en_US"/>
        </w:rPr>
        <w:t>The older son became angry:</w:t>
      </w:r>
      <w:r>
        <w:rPr>
          <w:lang w:val="en_US" w:bidi="en_US"/>
        </w:rPr>
        <w:t xml:space="preserve"> The older brother’s words in 15:29–30 explain why he was angry.</w:t>
      </w:r>
    </w:p>
    <w:p>
      <w:pPr/>
      <w:r>
        <w:rPr>
          <w:lang w:val="en_US" w:bidi="en_US"/>
        </w:rPr>
      </w:r>
      <w:r>
        <w:rPr>
          <w:b/>
          <w:lang w:val="en_US" w:bidi="en_US"/>
        </w:rPr>
        <w:t>and refused to go in:</w:t>
      </w:r>
      <w:r>
        <w:rPr>
          <w:lang w:val="en_US" w:bidi="en_US"/>
        </w:rPr>
        <w:t xml:space="preserve"> The verb that the BSB translates as </w:t>
      </w:r>
      <w:r>
        <w:rPr>
          <w:i/>
          <w:lang w:val="en_US" w:bidi="en_US"/>
        </w:rPr>
        <w:t>refused</w:t>
      </w:r>
      <w:r>
        <w:rPr>
          <w:lang w:val="en_US" w:bidi="en_US"/>
        </w:rPr>
        <w:t xml:space="preserve"> is literally “did not want.” It indicates that the brother continued to be unwilling to enter the house and join the feast. Be careful not to imply that the servant asked him to enter and he refused.</w:t>
      </w:r>
    </w:p>
    <w:p>
      <w:pPr/>
      <w:r>
        <w:rPr>
          <w:lang w:val="en_US" w:bidi="en_US"/>
        </w:rPr>
      </w:r>
      <w:r>
        <w:rPr>
          <w:lang w:val="en_US" w:bidi="en_US"/>
        </w:rPr>
        <w:t xml:space="preserve">If in your language you must say where the older brother </w:t>
      </w:r>
      <w:r>
        <w:rPr>
          <w:i/>
          <w:lang w:val="en_US" w:bidi="en_US"/>
        </w:rPr>
        <w:t>refused to go in</w:t>
      </w:r>
      <w:r>
        <w:rPr>
          <w:lang w:val="en_US" w:bidi="en_US"/>
        </w:rPr>
        <w:t>, you should supply “the house.”</w:t>
      </w:r>
    </w:p>
    <w:p>
      <w:pPr>
        <w:pStyle w:val="Heading5"/>
      </w:pPr>
      <w:r>
        <w:rPr>
          <w:lang w:val="en_US" w:bidi="en_US"/>
        </w:rPr>
        <w:t>15:28b</w:t>
      </w:r>
    </w:p>
    <w:p>
      <w:pPr/>
      <w:r>
        <w:rPr>
          <w:lang w:val="en_US" w:bidi="en_US"/>
        </w:rPr>
      </w:r>
      <w:r>
        <w:rPr>
          <w:b/>
          <w:lang w:val="en_US" w:bidi="en_US"/>
        </w:rPr>
        <w:t>So his father came out and pleaded with him.</w:t>
      </w:r>
    </w:p>
    <w:p>
      <w:pPr>
        <w:pStyle w:val="ListBullet"/>
        <w:spacing w:line="240" w:lineRule="auto"/>
        <w:ind w:left="720"/>
      </w:pPr>
      <w:r>
        <w:rPr>
          <w:lang w:val="en_US" w:bidi="en_US"/>
        </w:rPr>
      </w:r>
      <w:r>
        <w:rPr>
          <w:lang w:val="en_US" w:bidi="en_US"/>
        </w:rPr>
        <w:t xml:space="preserve">So his father came/went out </w:t>
      </w:r>
      <w:r>
        <w:rPr>
          <w:lang w:val="en_US" w:bidi="en_US"/>
        </w:rPr>
        <w:t>to where he was</w:t>
      </w:r>
      <w:r>
        <w:rPr>
          <w:lang w:val="en_US" w:bidi="en_US"/>
        </w:rPr>
        <w:t xml:space="preserve"> and begged/urged him </w:t>
      </w:r>
      <w:r>
        <w:rPr>
          <w:lang w:val="en_US" w:bidi="en_US"/>
        </w:rPr>
        <w:t>to go in</w:t>
      </w:r>
      <w:r>
        <w:rPr>
          <w:lang w:val="en_US" w:bidi="en_US"/>
        </w:rPr>
        <w:t>.</w:t>
      </w:r>
    </w:p>
    <w:p>
      <w:pPr>
        <w:pStyle w:val="ListBullet"/>
        <w:spacing w:line="240" w:lineRule="auto"/>
        <w:ind w:left="720"/>
      </w:pPr>
      <w:r>
        <w:rPr>
          <w:lang w:val="en_US" w:bidi="en_US"/>
        </w:rPr>
      </w:r>
      <w:r>
        <w:rPr>
          <w:lang w:val="en_US" w:bidi="en_US"/>
        </w:rPr>
        <w:t>Then his father came/went outside and tried to persuade him to enter.</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introduces what the father did when his older son refused to enter the house. Some versions, such as the RSV, do not translate this conjunction explicitly. Other versions, such as the NASB, translate it as “and.” Translate the connection in a natural way in your language.</w:t>
      </w:r>
    </w:p>
    <w:p>
      <w:pPr/>
      <w:r>
        <w:rPr>
          <w:lang w:val="en_US" w:bidi="en_US"/>
        </w:rPr>
      </w:r>
      <w:r>
        <w:rPr>
          <w:b/>
          <w:lang w:val="en_US" w:bidi="en_US"/>
        </w:rPr>
        <w:t>his father came out:</w:t>
      </w:r>
      <w:r>
        <w:rPr>
          <w:lang w:val="en_US" w:bidi="en_US"/>
        </w:rPr>
        <w:t xml:space="preserve"> The father left the house where the party was going on and went outside to talk to his older son.</w:t>
      </w:r>
    </w:p>
    <w:p>
      <w:pPr/>
      <w:r>
        <w:rPr>
          <w:lang w:val="en_US" w:bidi="en_US"/>
        </w:rPr>
      </w:r>
      <w:r>
        <w:rPr>
          <w:b/>
          <w:lang w:val="en_US" w:bidi="en_US"/>
        </w:rPr>
        <w:t>and pleaded with him:</w:t>
      </w:r>
      <w:r>
        <w:rPr>
          <w:lang w:val="en_US" w:bidi="en_US"/>
        </w:rPr>
        <w:t xml:space="preserve"> The Greek verb that the BSB translates as </w:t>
      </w:r>
      <w:r>
        <w:rPr>
          <w:i/>
          <w:lang w:val="en_US" w:bidi="en_US"/>
        </w:rPr>
        <w:t>pleaded with</w:t>
      </w:r>
      <w:r>
        <w:rPr>
          <w:lang w:val="en_US" w:bidi="en_US"/>
        </w:rPr>
        <w:t xml:space="preserve"> here means to persistently invite, urge, or encourage someone to do something. In some languages it may be necessary to supply this information and say what the father pleaded with his son to do. For example:</w:t>
      </w:r>
    </w:p>
    <w:p>
      <w:pPr/>
      <w:r>
        <w:rPr>
          <w:lang w:val="en_US" w:bidi="en_US"/>
        </w:rPr>
      </w:r>
      <w:r>
        <w:rPr>
          <w:lang w:val="en_US" w:bidi="en_US"/>
        </w:rPr>
        <w:t>begged him to come in (GNT)</w:t>
      </w:r>
      <w:r>
        <w:rPr>
          <w:lang w:val="en_US" w:bidi="en_US"/>
        </w:rPr>
      </w:r>
      <w:r>
        <w:rPr>
          <w:lang w:val="en_US" w:bidi="en_US"/>
        </w:rPr>
      </w:r>
    </w:p>
    <w:p>
      <w:pPr/>
      <w:r>
        <w:rPr>
          <w:lang w:val="en_US" w:bidi="en_US"/>
        </w:rPr>
      </w:r>
    </w:p>
    <w:p>
      <w:pPr>
        <w:pStyle w:val="Heading2"/>
      </w:pPr>
      <w:r>
        <w:rPr>
          <w:lang w:val="en_US" w:bidi="en_US"/>
        </w:rPr>
        <w:t>Luke 15:29</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5"/>
      </w:pPr>
      <w:r>
        <w:rPr>
          <w:lang w:val="en_US" w:bidi="en_US"/>
        </w:rPr>
        <w:t>15:29a</w:t>
      </w:r>
    </w:p>
    <w:p>
      <w:pPr/>
      <w:r>
        <w:rPr>
          <w:lang w:val="en_US" w:bidi="en_US"/>
        </w:rPr>
      </w:r>
      <w:r>
        <w:rPr>
          <w:b/>
          <w:lang w:val="en_US" w:bidi="en_US"/>
        </w:rPr>
        <w:t>But he answered his father,</w:t>
      </w:r>
    </w:p>
    <w:p>
      <w:pPr>
        <w:pStyle w:val="ListBullet"/>
        <w:spacing w:line="240" w:lineRule="auto"/>
        <w:ind w:left="720"/>
      </w:pPr>
      <w:r>
        <w:rPr>
          <w:lang w:val="en_US" w:bidi="en_US"/>
        </w:rPr>
      </w:r>
      <w:r>
        <w:rPr>
          <w:lang w:val="en_US" w:bidi="en_US"/>
        </w:rPr>
        <w:t>But he said to his father,</w:t>
      </w:r>
    </w:p>
    <w:p>
      <w:pPr>
        <w:pStyle w:val="ListBullet"/>
        <w:spacing w:line="240" w:lineRule="auto"/>
        <w:ind w:left="720"/>
      </w:pPr>
      <w:r>
        <w:rPr>
          <w:lang w:val="en_US" w:bidi="en_US"/>
        </w:rPr>
      </w:r>
      <w:r>
        <w:rPr>
          <w:lang w:val="en_US" w:bidi="en_US"/>
        </w:rPr>
        <w:t>But he responded,</w:t>
      </w:r>
    </w:p>
    <w:p>
      <w:pPr/>
      <w:r>
        <w:rPr>
          <w:lang w:val="en_US" w:bidi="en_US"/>
        </w:rPr>
      </w:r>
      <w:r>
        <w:rPr>
          <w:b/>
          <w:lang w:val="en_US" w:bidi="en_US"/>
        </w:rPr>
        <w:t>But he answered his father:</w:t>
      </w:r>
      <w:r>
        <w:rPr>
          <w:lang w:val="en_US" w:bidi="en_US"/>
        </w:rPr>
        <w:t xml:space="preserve"> The Greek word that the BSB translates as </w:t>
      </w:r>
      <w:r>
        <w:rPr>
          <w:i/>
          <w:lang w:val="en_US" w:bidi="en_US"/>
        </w:rPr>
        <w:t>answered</w:t>
      </w:r>
      <w:r>
        <w:rPr>
          <w:lang w:val="en_US" w:bidi="en_US"/>
        </w:rPr>
        <w:t xml:space="preserve"> here means “responded to.” The older son responded to his father’s pleading by telling him why he would not go in to the party. He answered in an angry and disrespectful way. Another way to translate this is:</w:t>
      </w:r>
    </w:p>
    <w:p>
      <w:pPr/>
      <w:r>
        <w:rPr>
          <w:lang w:val="en_US" w:bidi="en_US"/>
        </w:rPr>
      </w:r>
      <w:r>
        <w:rPr>
          <w:lang w:val="en_US" w:bidi="en_US"/>
        </w:rPr>
        <w:t>he retorted to his father (NJB)</w:t>
      </w:r>
    </w:p>
    <w:p>
      <w:pPr>
        <w:pStyle w:val="Heading5"/>
      </w:pPr>
      <w:r>
        <w:rPr>
          <w:lang w:val="en_US" w:bidi="en_US"/>
        </w:rPr>
        <w:t>15:29b</w:t>
      </w:r>
    </w:p>
    <w:p>
      <w:pPr/>
      <w:r>
        <w:rPr>
          <w:lang w:val="en_US" w:bidi="en_US"/>
        </w:rPr>
      </w:r>
      <w:r>
        <w:rPr>
          <w:b/>
          <w:lang w:val="en_US" w:bidi="en_US"/>
        </w:rPr>
        <w:t>‘Look, all these years I have served you</w:t>
      </w:r>
    </w:p>
    <w:p>
      <w:pPr>
        <w:pStyle w:val="ListBullet"/>
        <w:spacing w:line="240" w:lineRule="auto"/>
        <w:ind w:left="720"/>
      </w:pPr>
      <w:r>
        <w:rPr>
          <w:lang w:val="en_US" w:bidi="en_US"/>
        </w:rPr>
      </w:r>
      <w:r>
        <w:rPr>
          <w:lang w:val="en_US" w:bidi="en_US"/>
        </w:rPr>
        <w:t>‘Listen to me! For many years I have been serving you</w:t>
      </w:r>
      <w:r>
        <w:rPr>
          <w:vertAlign w:val="superscript"/>
          <w:lang w:val="en_US" w:bidi="en_US"/>
        </w:rPr>
        <w:t>(sing)</w:t>
      </w:r>
      <w:r>
        <w:rPr>
          <w:lang w:val="en_US" w:bidi="en_US"/>
        </w:rPr>
        <w:t xml:space="preserve"> like a slave,</w:t>
      </w:r>
    </w:p>
    <w:p>
      <w:pPr>
        <w:pStyle w:val="ListBullet"/>
        <w:spacing w:line="240" w:lineRule="auto"/>
        <w:ind w:left="720"/>
      </w:pPr>
      <w:r>
        <w:rPr>
          <w:lang w:val="en_US" w:bidi="en_US"/>
        </w:rPr>
      </w:r>
      <w:r>
        <w:rPr>
          <w:lang w:val="en_US" w:bidi="en_US"/>
        </w:rPr>
        <w:t>‘Remember this! All this time I have been working like your</w:t>
      </w:r>
      <w:r>
        <w:rPr>
          <w:vertAlign w:val="superscript"/>
          <w:lang w:val="en_US" w:bidi="en_US"/>
        </w:rPr>
        <w:t>(sing)</w:t>
      </w:r>
      <w:r>
        <w:rPr>
          <w:lang w:val="en_US" w:bidi="en_US"/>
        </w:rPr>
        <w:t xml:space="preserve"> slave,</w:t>
      </w:r>
    </w:p>
    <w:p>
      <w:pPr/>
      <w:r>
        <w:rPr>
          <w:lang w:val="en_US" w:bidi="en_US"/>
        </w:rPr>
      </w:r>
      <w:r>
        <w:rPr>
          <w:b/>
          <w:lang w:val="en_US" w:bidi="en_US"/>
        </w:rPr>
        <w:t>Look:</w:t>
      </w:r>
      <w:r>
        <w:rPr>
          <w:lang w:val="en_US" w:bidi="en_US"/>
        </w:rPr>
        <w:t xml:space="preserve"> The Greek word that the BSB translates as </w:t>
      </w:r>
      <w:r>
        <w:rPr>
          <w:i/>
          <w:lang w:val="en_US" w:bidi="en_US"/>
        </w:rPr>
        <w:t>Look</w:t>
      </w:r>
      <w:r>
        <w:rPr>
          <w:lang w:val="en_US" w:bidi="en_US"/>
        </w:rPr>
        <w:t xml:space="preserve"> calls attention to something important. Here the older son used it to emphasize something in an angry way. Some versions do not translate this word. Other ways to translate it are:</w:t>
      </w:r>
    </w:p>
    <w:p>
      <w:pPr/>
      <w:r>
        <w:rPr>
          <w:lang w:val="en_US" w:bidi="en_US"/>
        </w:rPr>
      </w:r>
      <w:r>
        <w:rPr>
          <w:lang w:val="en_US" w:bidi="en_US"/>
        </w:rPr>
        <w:t>You listen to me!</w:t>
      </w:r>
    </w:p>
    <w:p>
      <w:pPr/>
      <w:r>
        <w:rPr>
          <w:lang w:val="en_US" w:bidi="en_US"/>
        </w:rPr>
      </w:r>
      <w:r>
        <w:rPr>
          <w:lang w:val="en_US" w:bidi="en_US"/>
        </w:rPr>
        <w:t>Just remember this!</w:t>
      </w:r>
    </w:p>
    <w:p>
      <w:pPr/>
      <w:r>
        <w:rPr>
          <w:lang w:val="en_US" w:bidi="en_US"/>
        </w:rPr>
      </w:r>
      <w:r>
        <w:rPr>
          <w:lang w:val="en_US" w:bidi="en_US"/>
        </w:rPr>
        <w:t>See the note at 11:31d, where this word also occurs and the BSB translates it as “now.”</w:t>
      </w:r>
    </w:p>
    <w:p>
      <w:pPr/>
      <w:r>
        <w:rPr>
          <w:lang w:val="en_US" w:bidi="en_US"/>
        </w:rPr>
      </w:r>
      <w:r>
        <w:rPr>
          <w:b/>
          <w:lang w:val="en_US" w:bidi="en_US"/>
        </w:rPr>
        <w:t>all these years:</w:t>
      </w:r>
      <w:r>
        <w:rPr>
          <w:lang w:val="en_US" w:bidi="en_US"/>
        </w:rPr>
        <w:t xml:space="preserve"> The Greek phrase that the BSB translates as </w:t>
      </w:r>
      <w:r>
        <w:rPr>
          <w:i/>
          <w:lang w:val="en_US" w:bidi="en_US"/>
        </w:rPr>
        <w:t>all these years</w:t>
      </w:r>
      <w:r>
        <w:rPr>
          <w:lang w:val="en_US" w:bidi="en_US"/>
        </w:rPr>
        <w:t xml:space="preserve"> is literally “so-many years.” It emphasizes the large number of years that had gone by.</w:t>
      </w:r>
    </w:p>
    <w:p>
      <w:pPr/>
      <w:r>
        <w:rPr>
          <w:lang w:val="en_US" w:bidi="en_US"/>
        </w:rPr>
      </w:r>
      <w:r>
        <w:rPr>
          <w:b/>
          <w:lang w:val="en_US" w:bidi="en_US"/>
        </w:rPr>
        <w:t>I have served you:</w:t>
      </w:r>
      <w:r>
        <w:rPr>
          <w:lang w:val="en_US" w:bidi="en_US"/>
        </w:rPr>
        <w:t xml:space="preserve"> The Greek phrase that the BSB translates as </w:t>
      </w:r>
      <w:r>
        <w:rPr>
          <w:i/>
          <w:lang w:val="en_US" w:bidi="en_US"/>
        </w:rPr>
        <w:t>I have served you</w:t>
      </w:r>
      <w:r>
        <w:rPr>
          <w:lang w:val="en_US" w:bidi="en_US"/>
        </w:rPr>
        <w:t xml:space="preserve"> means “I have been working like a slave for you.” It shows that the older son felt bitter and angry toward his father.</w:t>
      </w:r>
    </w:p>
    <w:p>
      <w:pPr>
        <w:pStyle w:val="Heading5"/>
      </w:pPr>
      <w:r>
        <w:rPr>
          <w:lang w:val="en_US" w:bidi="en_US"/>
        </w:rPr>
        <w:t>15:29c</w:t>
      </w:r>
    </w:p>
    <w:p>
      <w:pPr/>
      <w:r>
        <w:rPr>
          <w:lang w:val="en_US" w:bidi="en_US"/>
        </w:rPr>
      </w:r>
      <w:r>
        <w:rPr>
          <w:b/>
          <w:lang w:val="en_US" w:bidi="en_US"/>
        </w:rPr>
        <w:t>and never disobeyed a commandment of yours.</w:t>
      </w:r>
    </w:p>
    <w:p>
      <w:pPr>
        <w:pStyle w:val="ListBullet"/>
        <w:spacing w:line="240" w:lineRule="auto"/>
        <w:ind w:left="720"/>
      </w:pPr>
      <w:r>
        <w:rPr>
          <w:lang w:val="en_US" w:bidi="en_US"/>
        </w:rPr>
      </w:r>
      <w:r>
        <w:rPr>
          <w:lang w:val="en_US" w:bidi="en_US"/>
        </w:rPr>
        <w:t>and I have never refused to obey your</w:t>
      </w:r>
      <w:r>
        <w:rPr>
          <w:vertAlign w:val="superscript"/>
          <w:lang w:val="en_US" w:bidi="en_US"/>
        </w:rPr>
        <w:t>(sing)</w:t>
      </w:r>
      <w:r>
        <w:rPr>
          <w:lang w:val="en_US" w:bidi="en_US"/>
        </w:rPr>
        <w:t xml:space="preserve"> commands.</w:t>
      </w:r>
    </w:p>
    <w:p>
      <w:pPr>
        <w:pStyle w:val="ListBullet"/>
        <w:spacing w:line="240" w:lineRule="auto"/>
        <w:ind w:left="720"/>
      </w:pPr>
      <w:r>
        <w:rPr>
          <w:lang w:val="en_US" w:bidi="en_US"/>
        </w:rPr>
      </w:r>
      <w:r>
        <w:rPr>
          <w:lang w:val="en_US" w:bidi="en_US"/>
        </w:rPr>
        <w:t>and I always did what you</w:t>
      </w:r>
      <w:r>
        <w:rPr>
          <w:vertAlign w:val="superscript"/>
          <w:lang w:val="en_US" w:bidi="en_US"/>
        </w:rPr>
        <w:t>(sing)</w:t>
      </w:r>
      <w:r>
        <w:rPr>
          <w:lang w:val="en_US" w:bidi="en_US"/>
        </w:rPr>
        <w:t xml:space="preserve"> told me to do.</w:t>
      </w:r>
    </w:p>
    <w:p>
      <w:pPr/>
      <w:r>
        <w:rPr>
          <w:lang w:val="en_US" w:bidi="en_US"/>
        </w:rPr>
      </w:r>
      <w:r>
        <w:rPr>
          <w:b/>
          <w:lang w:val="en_US" w:bidi="en_US"/>
        </w:rPr>
        <w:t>never disobeyed a commandment of yours:</w:t>
      </w:r>
      <w:r>
        <w:rPr>
          <w:lang w:val="en_US" w:bidi="en_US"/>
        </w:rPr>
        <w:t xml:space="preserve"> In some languages it may be more natural to translate this phrase in a positive way. For example:</w:t>
      </w:r>
    </w:p>
    <w:p>
      <w:pPr/>
      <w:r>
        <w:rPr>
          <w:lang w:val="en_US" w:bidi="en_US"/>
        </w:rPr>
      </w:r>
      <w:r>
        <w:rPr>
          <w:lang w:val="en_US" w:bidi="en_US"/>
        </w:rPr>
        <w:t>have always obeyed your commands (NCV)</w:t>
      </w:r>
    </w:p>
    <w:p>
      <w:pPr>
        <w:pStyle w:val="Heading5"/>
      </w:pPr>
      <w:r>
        <w:rPr>
          <w:lang w:val="en_US" w:bidi="en_US"/>
        </w:rPr>
        <w:t>15:29d</w:t>
      </w:r>
    </w:p>
    <w:p>
      <w:pPr/>
      <w:r>
        <w:rPr>
          <w:lang w:val="en_US" w:bidi="en_US"/>
        </w:rPr>
      </w:r>
      <w:r>
        <w:rPr>
          <w:b/>
          <w:lang w:val="en_US" w:bidi="en_US"/>
        </w:rPr>
        <w:t>Yet you never gave me even a young goat so I could celebrate with my friends.</w:t>
      </w:r>
    </w:p>
    <w:p>
      <w:pPr>
        <w:pStyle w:val="ListBullet"/>
        <w:spacing w:line="240" w:lineRule="auto"/>
        <w:ind w:left="720"/>
      </w:pPr>
      <w:r>
        <w:rPr>
          <w:lang w:val="en_US" w:bidi="en_US"/>
        </w:rPr>
      </w:r>
      <w:r>
        <w:rPr>
          <w:lang w:val="en_US" w:bidi="en_US"/>
        </w:rPr>
        <w:t>But as for me, what have you</w:t>
      </w:r>
      <w:r>
        <w:rPr>
          <w:vertAlign w:val="superscript"/>
          <w:lang w:val="en_US" w:bidi="en_US"/>
        </w:rPr>
        <w:t>(sing)</w:t>
      </w:r>
      <w:r>
        <w:rPr>
          <w:lang w:val="en_US" w:bidi="en_US"/>
        </w:rPr>
        <w:t xml:space="preserve"> ever given to me? Nothing! Not even a young goat so that I could be happy with my friends.</w:t>
      </w:r>
    </w:p>
    <w:p>
      <w:pPr>
        <w:pStyle w:val="ListBullet"/>
        <w:spacing w:line="240" w:lineRule="auto"/>
        <w:ind w:left="720"/>
      </w:pPr>
      <w:r>
        <w:rPr>
          <w:lang w:val="en_US" w:bidi="en_US"/>
        </w:rPr>
      </w:r>
      <w:r>
        <w:rPr>
          <w:lang w:val="en_US" w:bidi="en_US"/>
        </w:rPr>
        <w:t xml:space="preserve">But </w:t>
      </w:r>
      <w:r>
        <w:rPr>
          <w:lang w:val="en_US" w:bidi="en_US"/>
        </w:rPr>
        <w:t>in spite of this,</w:t>
      </w:r>
      <w:r>
        <w:rPr>
          <w:lang w:val="en_US" w:bidi="en_US"/>
        </w:rPr>
        <w:t xml:space="preserve"> you</w:t>
      </w:r>
      <w:r>
        <w:rPr>
          <w:vertAlign w:val="superscript"/>
          <w:lang w:val="en_US" w:bidi="en_US"/>
        </w:rPr>
        <w:t>(sing)</w:t>
      </w:r>
      <w:r>
        <w:rPr>
          <w:lang w:val="en_US" w:bidi="en_US"/>
        </w:rPr>
        <w:t xml:space="preserve"> never even gave me a young goat so that I could have a </w:t>
      </w:r>
      <w:r>
        <w:rPr>
          <w:lang w:val="en_US" w:bidi="en_US"/>
        </w:rPr>
        <w:t>small</w:t>
      </w:r>
      <w:r>
        <w:rPr>
          <w:lang w:val="en_US" w:bidi="en_US"/>
        </w:rPr>
        <w:t xml:space="preserve"> party/feast with my friends.</w:t>
      </w:r>
    </w:p>
    <w:p>
      <w:pPr/>
      <w:r>
        <w:rPr>
          <w:lang w:val="en_US" w:bidi="en_US"/>
        </w:rPr>
      </w:r>
      <w:r>
        <w:rPr>
          <w:b/>
          <w:lang w:val="en_US" w:bidi="en_US"/>
        </w:rPr>
        <w:t>Yet you never gave me even a young goat so I could celebrate with my friends:</w:t>
      </w:r>
      <w:r>
        <w:rPr>
          <w:lang w:val="en_US" w:bidi="en_US"/>
        </w:rPr>
        <w:t xml:space="preserve"> This is a complaint. The older son was implying that his father had treated him badly in comparison with the younger son. The father had honored the younger son by killing a fat calf, but he had not offered the older son anything for a feast. The father had not given the older son even a goat, which was not as expensive.</w:t>
      </w:r>
    </w:p>
    <w:p>
      <w:pPr/>
      <w:r>
        <w:rPr>
          <w:lang w:val="en_US" w:bidi="en_US"/>
        </w:rPr>
      </w:r>
      <w:r>
        <w:rPr>
          <w:b/>
          <w:lang w:val="en_US" w:bidi="en_US"/>
        </w:rPr>
        <w:t>Yet you never gave me:</w:t>
      </w:r>
      <w:r>
        <w:rPr>
          <w:lang w:val="en_US" w:bidi="en_US"/>
        </w:rPr>
        <w:t xml:space="preserve"> In Greek this phrase is literally “and to-me never did-you-give.” The word order emphasizes the older son’s selfish focus on himself. In some languages it may be possible to indicate this emphasis by placing a phrase such as “As for me” at the beginning of the sentence.</w:t>
      </w:r>
    </w:p>
    <w:p>
      <w:pPr/>
      <w:r>
        <w:rPr>
          <w:lang w:val="en_US" w:bidi="en_US"/>
        </w:rPr>
      </w:r>
      <w:r>
        <w:rPr>
          <w:lang w:val="en_US" w:bidi="en_US"/>
        </w:rPr>
        <w:t>In some languages it may also be possible to express the complaining tone of the older son’s words by changing this statement to a rhetorical question. For example:</w:t>
      </w:r>
    </w:p>
    <w:p>
      <w:pPr/>
      <w:r>
        <w:rPr>
          <w:lang w:val="en_US" w:bidi="en_US"/>
        </w:rPr>
      </w:r>
      <w:r>
        <w:rPr>
          <w:lang w:val="en_US" w:bidi="en_US"/>
        </w:rPr>
        <w:t>What have you given me? Not even a goat for me to have a feast with my friends! (GNT)</w:t>
      </w:r>
    </w:p>
    <w:p>
      <w:pPr/>
      <w:r>
        <w:rPr>
          <w:lang w:val="en_US" w:bidi="en_US"/>
        </w:rPr>
      </w:r>
      <w:r>
        <w:rPr>
          <w:b/>
          <w:lang w:val="en_US" w:bidi="en_US"/>
        </w:rPr>
        <w:t>even a young goat:</w:t>
      </w:r>
      <w:r>
        <w:rPr>
          <w:lang w:val="en_US" w:bidi="en_US"/>
        </w:rPr>
        <w:t xml:space="preserve"> A </w:t>
      </w:r>
      <w:r>
        <w:rPr>
          <w:i/>
          <w:lang w:val="en_US" w:bidi="en_US"/>
        </w:rPr>
        <w:t>young goat</w:t>
      </w:r>
      <w:r>
        <w:rPr>
          <w:lang w:val="en_US" w:bidi="en_US"/>
        </w:rPr>
        <w:t xml:space="preserve"> was less valuable than a fattened calf. It did not have as much meat as a calf. The BSB has supplied the word </w:t>
      </w:r>
      <w:r>
        <w:rPr>
          <w:i/>
          <w:lang w:val="en_US" w:bidi="en_US"/>
        </w:rPr>
        <w:t>even</w:t>
      </w:r>
      <w:r>
        <w:rPr>
          <w:lang w:val="en_US" w:bidi="en_US"/>
        </w:rPr>
        <w:t xml:space="preserve"> in order to make this clear.</w:t>
      </w:r>
      <w:r>
        <w:rPr>
          <w:lang w:val="en_US" w:bidi="en_US"/>
        </w:rPr>
      </w:r>
      <w:r>
        <w:rPr>
          <w:lang w:val="en_US" w:bidi="en_US"/>
        </w:rPr>
      </w:r>
    </w:p>
    <w:p>
      <w:pPr/>
      <w:r>
        <w:rPr>
          <w:lang w:val="en_US" w:bidi="en_US"/>
        </w:rPr>
      </w:r>
    </w:p>
    <w:p>
      <w:pPr>
        <w:pStyle w:val="Heading2"/>
      </w:pPr>
      <w:r>
        <w:rPr>
          <w:lang w:val="en_US" w:bidi="en_US"/>
        </w:rPr>
        <w:t>Luke 15:30</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5"/>
      </w:pPr>
      <w:r>
        <w:rPr>
          <w:lang w:val="en_US" w:bidi="en_US"/>
        </w:rPr>
        <w:t>15:30a</w:t>
      </w:r>
    </w:p>
    <w:p>
      <w:pPr/>
      <w:r>
        <w:rPr>
          <w:lang w:val="en_US" w:bidi="en_US"/>
        </w:rPr>
      </w:r>
      <w:r>
        <w:rPr>
          <w:b/>
          <w:lang w:val="en_US" w:bidi="en_US"/>
        </w:rPr>
        <w:t>But when this son of yours returns from squandering your wealth with prostitutes,</w:t>
      </w:r>
    </w:p>
    <w:p>
      <w:pPr>
        <w:pStyle w:val="ListBullet"/>
        <w:spacing w:line="240" w:lineRule="auto"/>
        <w:ind w:left="720"/>
      </w:pPr>
      <w:r>
        <w:rPr>
          <w:lang w:val="en_US" w:bidi="en_US"/>
        </w:rPr>
      </w:r>
      <w:r>
        <w:rPr>
          <w:lang w:val="en_US" w:bidi="en_US"/>
        </w:rPr>
        <w:t>But when your</w:t>
      </w:r>
      <w:r>
        <w:rPr>
          <w:vertAlign w:val="superscript"/>
          <w:lang w:val="en_US" w:bidi="en_US"/>
        </w:rPr>
        <w:t>(sing)</w:t>
      </w:r>
      <w:r>
        <w:rPr>
          <w:lang w:val="en_US" w:bidi="en_US"/>
        </w:rPr>
        <w:t xml:space="preserve"> </w:t>
      </w:r>
      <w:r>
        <w:rPr>
          <w:lang w:val="en_US" w:bidi="en_US"/>
        </w:rPr>
        <w:t>younger</w:t>
      </w:r>
      <w:r>
        <w:rPr>
          <w:lang w:val="en_US" w:bidi="en_US"/>
        </w:rPr>
        <w:t xml:space="preserve"> son comes home, this son who has wasted your money/wealth on prostitutes,</w:t>
      </w:r>
    </w:p>
    <w:p>
      <w:pPr>
        <w:pStyle w:val="ListBullet"/>
        <w:spacing w:line="240" w:lineRule="auto"/>
        <w:ind w:left="720"/>
      </w:pPr>
      <w:r>
        <w:rPr>
          <w:lang w:val="en_US" w:bidi="en_US"/>
        </w:rPr>
      </w:r>
      <w:r>
        <w:rPr>
          <w:lang w:val="en_US" w:bidi="en_US"/>
        </w:rPr>
        <w:t xml:space="preserve">But now this </w:t>
      </w:r>
      <w:r>
        <w:rPr>
          <w:lang w:val="en_US" w:bidi="en_US"/>
        </w:rPr>
        <w:t>other</w:t>
      </w:r>
      <w:r>
        <w:rPr>
          <w:lang w:val="en_US" w:bidi="en_US"/>
        </w:rPr>
        <w:t xml:space="preserve"> son of yours</w:t>
      </w:r>
      <w:r>
        <w:rPr>
          <w:vertAlign w:val="superscript"/>
          <w:lang w:val="en_US" w:bidi="en_US"/>
        </w:rPr>
        <w:t>(sing)</w:t>
      </w:r>
      <w:r>
        <w:rPr>
          <w:lang w:val="en_US" w:bidi="en_US"/>
        </w:rPr>
        <w:t xml:space="preserve"> has come home. He threw away your money on immoral women,</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contrast with the previous verse. The older son implied that his father had not treated him in the generous way that he had treated the younger son.</w:t>
      </w:r>
    </w:p>
    <w:p>
      <w:pPr/>
      <w:r>
        <w:rPr>
          <w:lang w:val="en_US" w:bidi="en_US"/>
        </w:rPr>
      </w:r>
      <w:r>
        <w:rPr>
          <w:b/>
          <w:lang w:val="en_US" w:bidi="en_US"/>
        </w:rPr>
        <w:t>this son of yours:</w:t>
      </w:r>
      <w:r>
        <w:rPr>
          <w:lang w:val="en_US" w:bidi="en_US"/>
        </w:rPr>
        <w:t xml:space="preserve"> The older son was referring to his brother, but because he was very angry with him he did not want to call him “my brother.” Consider in what way in your culture a man might refer to a brother with whom he was angry. Notice that the older brother was also a son to the same father, and so it may be necessary to say:</w:t>
      </w:r>
    </w:p>
    <w:p>
      <w:pPr/>
      <w:r>
        <w:rPr>
          <w:lang w:val="en_US" w:bidi="en_US"/>
        </w:rPr>
      </w:r>
      <w:r>
        <w:rPr>
          <w:lang w:val="en_US" w:bidi="en_US"/>
        </w:rPr>
        <w:t xml:space="preserve">this </w:t>
      </w:r>
      <w:r>
        <w:rPr>
          <w:lang w:val="en_US" w:bidi="en_US"/>
        </w:rPr>
        <w:t>other</w:t>
      </w:r>
      <w:r>
        <w:rPr>
          <w:lang w:val="en_US" w:bidi="en_US"/>
        </w:rPr>
        <w:t xml:space="preserve"> son of yours</w:t>
      </w:r>
    </w:p>
    <w:p>
      <w:pPr/>
      <w:r>
        <w:rPr>
          <w:lang w:val="en_US" w:bidi="en_US"/>
        </w:rPr>
      </w:r>
      <w:r>
        <w:rPr>
          <w:b/>
          <w:lang w:val="en_US" w:bidi="en_US"/>
        </w:rPr>
        <w:t>returns from squandering your wealth with prostitutes:</w:t>
      </w:r>
      <w:r>
        <w:rPr>
          <w:lang w:val="en_US" w:bidi="en_US"/>
        </w:rPr>
        <w:t xml:space="preserve"> The older son accused the younger son of wasting his father’s money by paying prostitutes to have sex with him. See the note on “squandered his wealth” in 15:13c. Although all the Greek words are different, the two phrases have the same meaning.</w:t>
      </w:r>
    </w:p>
    <w:p>
      <w:pPr/>
      <w:r>
        <w:rPr>
          <w:lang w:val="en_US" w:bidi="en_US"/>
        </w:rPr>
      </w:r>
      <w:r>
        <w:rPr>
          <w:b/>
          <w:lang w:val="en_US" w:bidi="en_US"/>
        </w:rPr>
        <w:t>prostitutes:</w:t>
      </w:r>
      <w:r>
        <w:rPr>
          <w:lang w:val="en_US" w:bidi="en_US"/>
        </w:rPr>
        <w:t xml:space="preserve"> The word </w:t>
      </w:r>
      <w:r>
        <w:rPr>
          <w:i/>
          <w:lang w:val="en_US" w:bidi="en_US"/>
        </w:rPr>
        <w:t>prostitutes</w:t>
      </w:r>
      <w:r>
        <w:rPr>
          <w:lang w:val="en_US" w:bidi="en_US"/>
        </w:rPr>
        <w:t xml:space="preserve"> refers to women who earned money by having sex with men who were not their husbands. Many languages have expressions to refer to these women. For example:</w:t>
      </w:r>
    </w:p>
    <w:p>
      <w:pPr/>
      <w:r>
        <w:rPr>
          <w:lang w:val="en_US" w:bidi="en_US"/>
        </w:rPr>
      </w:r>
      <w:r>
        <w:rPr>
          <w:lang w:val="en_US" w:bidi="en_US"/>
        </w:rPr>
        <w:t>bad women</w:t>
      </w:r>
    </w:p>
    <w:p>
      <w:pPr/>
      <w:r>
        <w:rPr>
          <w:lang w:val="en_US" w:bidi="en_US"/>
        </w:rPr>
      </w:r>
      <w:r>
        <w:rPr>
          <w:lang w:val="en_US" w:bidi="en_US"/>
        </w:rPr>
        <w:t>women with bad reputations</w:t>
      </w:r>
    </w:p>
    <w:p>
      <w:pPr/>
      <w:r>
        <w:rPr>
          <w:lang w:val="en_US" w:bidi="en_US"/>
        </w:rPr>
      </w:r>
      <w:r>
        <w:rPr>
          <w:lang w:val="en_US" w:bidi="en_US"/>
        </w:rPr>
        <w:t>women who sell their womanhood</w:t>
      </w:r>
    </w:p>
    <w:p>
      <w:pPr/>
      <w:r>
        <w:rPr>
          <w:lang w:val="en_US" w:bidi="en_US"/>
        </w:rPr>
      </w:r>
      <w:r>
        <w:rPr>
          <w:lang w:val="en_US" w:bidi="en_US"/>
        </w:rPr>
        <w:t>This is a long sentence. In some languages it may need to be reordered and broken into two sentences. For example:</w:t>
      </w:r>
    </w:p>
    <w:p>
      <w:pPr/>
      <w:r>
        <w:rPr>
          <w:lang w:val="en_US" w:bidi="en_US"/>
        </w:rPr>
      </w:r>
      <w:r>
        <w:rPr>
          <w:lang w:val="en_US" w:bidi="en_US"/>
        </w:rPr>
        <w:t>This other son of yours wasted your money on prostitutes. And now that he has come home… (CEV)</w:t>
      </w:r>
    </w:p>
    <w:p>
      <w:pPr/>
      <w:r>
        <w:rPr>
          <w:lang w:val="en_US" w:bidi="en_US"/>
        </w:rPr>
      </w:r>
      <w:r>
        <w:rPr>
          <w:lang w:val="en_US" w:bidi="en_US"/>
        </w:rPr>
        <w:t>But now this other son of yours has come home. He threw away your wealth on bad women, but now…</w:t>
      </w:r>
    </w:p>
    <w:p>
      <w:pPr>
        <w:pStyle w:val="Heading5"/>
      </w:pPr>
      <w:r>
        <w:rPr>
          <w:lang w:val="en_US" w:bidi="en_US"/>
        </w:rPr>
        <w:t>15:30b</w:t>
      </w:r>
    </w:p>
    <w:p>
      <w:pPr/>
      <w:r>
        <w:rPr>
          <w:lang w:val="en_US" w:bidi="en_US"/>
        </w:rPr>
      </w:r>
      <w:r>
        <w:rPr>
          <w:b/>
          <w:lang w:val="en_US" w:bidi="en_US"/>
        </w:rPr>
        <w:t>you kill the fattened calf for him!’</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order</w:t>
      </w:r>
      <w:r>
        <w:rPr>
          <w:lang w:val="en_US" w:bidi="en_US"/>
        </w:rPr>
        <w:t xml:space="preserve"> the calf that we</w:t>
      </w:r>
      <w:r>
        <w:rPr>
          <w:vertAlign w:val="superscript"/>
          <w:lang w:val="en_US" w:bidi="en_US"/>
        </w:rPr>
        <w:t>(incl)</w:t>
      </w:r>
      <w:r>
        <w:rPr>
          <w:lang w:val="en_US" w:bidi="en_US"/>
        </w:rPr>
        <w:t xml:space="preserve"> fattened to be slaughtered for him!’</w:t>
      </w:r>
    </w:p>
    <w:p>
      <w:pPr>
        <w:pStyle w:val="ListBullet"/>
        <w:spacing w:line="240" w:lineRule="auto"/>
        <w:ind w:left="720"/>
      </w:pPr>
      <w:r>
        <w:rPr>
          <w:lang w:val="en_US" w:bidi="en_US"/>
        </w:rPr>
      </w:r>
      <w:r>
        <w:rPr>
          <w:lang w:val="en_US" w:bidi="en_US"/>
        </w:rPr>
        <w:t>so why have you</w:t>
      </w:r>
      <w:r>
        <w:rPr>
          <w:vertAlign w:val="superscript"/>
          <w:lang w:val="en_US" w:bidi="en_US"/>
        </w:rPr>
        <w:t>(sing)</w:t>
      </w:r>
      <w:r>
        <w:rPr>
          <w:lang w:val="en_US" w:bidi="en_US"/>
        </w:rPr>
        <w:t xml:space="preserve"> used/killed our</w:t>
      </w:r>
      <w:r>
        <w:rPr>
          <w:vertAlign w:val="superscript"/>
          <w:lang w:val="en_US" w:bidi="en_US"/>
        </w:rPr>
        <w:t>(incl/dual)</w:t>
      </w:r>
      <w:r>
        <w:rPr>
          <w:lang w:val="en_US" w:bidi="en_US"/>
        </w:rPr>
        <w:t xml:space="preserve"> best animal to hold a feast for him?’</w:t>
      </w:r>
    </w:p>
    <w:p>
      <w:pPr/>
      <w:r>
        <w:rPr>
          <w:lang w:val="en_US" w:bidi="en_US"/>
        </w:rPr>
      </w:r>
      <w:r>
        <w:rPr>
          <w:b/>
          <w:lang w:val="en_US" w:bidi="en_US"/>
        </w:rPr>
        <w:t>you kill the fattened calf for him!:</w:t>
      </w:r>
      <w:r>
        <w:rPr>
          <w:lang w:val="en_US" w:bidi="en_US"/>
        </w:rPr>
        <w:t xml:space="preserve"> This is an exclamation that is also a protest or an accusation. Some other ways to express this are:</w:t>
      </w:r>
    </w:p>
    <w:p>
      <w:pPr/>
      <w:r>
        <w:rPr>
          <w:lang w:val="en_US" w:bidi="en_US"/>
        </w:rPr>
      </w:r>
      <w:r>
        <w:rPr>
          <w:lang w:val="en_US" w:bidi="en_US"/>
        </w:rPr>
        <w:t>you have a special feast for him and kill our fattest calf!</w:t>
      </w:r>
    </w:p>
    <w:p>
      <w:pPr/>
      <w:r>
        <w:rPr>
          <w:lang w:val="en_US" w:bidi="en_US"/>
        </w:rPr>
      </w:r>
      <w:r>
        <w:rPr>
          <w:lang w:val="en_US" w:bidi="en_US"/>
        </w:rPr>
        <w:t>Why should you celebrate by killing our best animal for him?</w:t>
      </w:r>
    </w:p>
    <w:p>
      <w:pPr/>
      <w:r>
        <w:rPr>
          <w:lang w:val="en_US" w:bidi="en_US"/>
        </w:rPr>
      </w:r>
      <w:r>
        <w:rPr>
          <w:lang w:val="en_US" w:bidi="en_US"/>
        </w:rPr>
        <w:t>Express this accusation in a natural way in your language.</w:t>
      </w:r>
    </w:p>
    <w:p>
      <w:pPr>
        <w:pStyle w:val="Heading6"/>
      </w:pPr>
      <w:r>
        <w:rPr>
          <w:b/>
          <w:lang w:val="en_US" w:bidi="en_US"/>
        </w:rPr>
        <w:t>General Comment on 15:30a–b</w:t>
      </w:r>
    </w:p>
    <w:p>
      <w:pPr/>
      <w:r>
        <w:rPr>
          <w:lang w:val="en_US" w:bidi="en_US"/>
        </w:rPr>
      </w:r>
      <w:r>
        <w:rPr>
          <w:lang w:val="en_US" w:bidi="en_US"/>
        </w:rPr>
        <w:t>It is fairly common in English to use present tense when talking about completed actions. This helps to create vividness. Notice that in 15:30 the actions “comes home” and “you kill” are expressed in present tense. In some languages it may be more natural to use past tense for all the actions. For example:</w:t>
      </w:r>
    </w:p>
    <w:p>
      <w:pPr/>
      <w:r>
        <w:rPr>
          <w:lang w:val="en_US" w:bidi="en_US"/>
        </w:rPr>
      </w:r>
      <w:r>
        <w:rPr>
          <w:lang w:val="en_US" w:bidi="en_US"/>
        </w:rPr>
        <w:t xml:space="preserve">But this son of yours </w:t>
      </w:r>
      <w:r>
        <w:rPr>
          <w:u w:val="single"/>
          <w:lang w:val="en_US" w:bidi="en_US"/>
        </w:rPr>
        <w:t>spent</w:t>
      </w:r>
      <w:r>
        <w:rPr>
          <w:lang w:val="en_US" w:bidi="en_US"/>
        </w:rPr>
        <w:t xml:space="preserve"> your money on prostitutes, and when he </w:t>
      </w:r>
      <w:r>
        <w:rPr>
          <w:u w:val="single"/>
          <w:lang w:val="en_US" w:bidi="en_US"/>
        </w:rPr>
        <w:t>came home</w:t>
      </w:r>
      <w:r>
        <w:rPr>
          <w:lang w:val="en_US" w:bidi="en_US"/>
        </w:rPr>
        <w:t xml:space="preserve">, </w:t>
      </w:r>
      <w:r>
        <w:rPr>
          <w:u w:val="single"/>
          <w:lang w:val="en_US" w:bidi="en_US"/>
        </w:rPr>
        <w:t>you killed</w:t>
      </w:r>
      <w:r>
        <w:rPr>
          <w:lang w:val="en_US" w:bidi="en_US"/>
        </w:rPr>
        <w:t xml:space="preserve"> the fattened calf for him. (GW)</w:t>
      </w:r>
    </w:p>
    <w:p>
      <w:pPr/>
      <w:r>
        <w:rPr>
          <w:lang w:val="en_US" w:bidi="en_US"/>
        </w:rPr>
      </w:r>
      <w:r>
        <w:rPr>
          <w:lang w:val="en_US" w:bidi="en_US"/>
        </w:rPr>
        <w:t>Consider what is natural in your language.</w:t>
      </w:r>
      <w:r>
        <w:rPr>
          <w:lang w:val="en_US" w:bidi="en_US"/>
        </w:rPr>
      </w:r>
      <w:r>
        <w:rPr>
          <w:lang w:val="en_US" w:bidi="en_US"/>
        </w:rPr>
      </w:r>
    </w:p>
    <w:p>
      <w:pPr/>
      <w:r>
        <w:rPr>
          <w:lang w:val="en_US" w:bidi="en_US"/>
        </w:rPr>
      </w:r>
    </w:p>
    <w:p>
      <w:pPr>
        <w:pStyle w:val="Heading2"/>
      </w:pPr>
      <w:r>
        <w:rPr>
          <w:lang w:val="en_US" w:bidi="en_US"/>
        </w:rPr>
        <w:t>Luke 15:31</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5"/>
      </w:pPr>
      <w:r>
        <w:rPr>
          <w:lang w:val="en_US" w:bidi="en_US"/>
        </w:rPr>
        <w:t>15:31a</w:t>
      </w:r>
    </w:p>
    <w:p>
      <w:pPr/>
      <w:r>
        <w:rPr>
          <w:lang w:val="en_US" w:bidi="en_US"/>
        </w:rPr>
      </w:r>
      <w:r>
        <w:rPr>
          <w:b/>
          <w:lang w:val="en_US" w:bidi="en_US"/>
        </w:rPr>
        <w:t>‘Son, you are always with me,’ the father said,</w:t>
      </w:r>
    </w:p>
    <w:p>
      <w:pPr>
        <w:pStyle w:val="ListBullet"/>
        <w:spacing w:line="240" w:lineRule="auto"/>
        <w:ind w:left="720"/>
      </w:pPr>
      <w:r>
        <w:rPr>
          <w:lang w:val="en_US" w:bidi="en_US"/>
        </w:rPr>
      </w:r>
      <w:r>
        <w:rPr>
          <w:lang w:val="en_US" w:bidi="en_US"/>
        </w:rPr>
        <w:t>Then his father said to him, ‘My son, you</w:t>
      </w:r>
      <w:r>
        <w:rPr>
          <w:vertAlign w:val="superscript"/>
          <w:lang w:val="en_US" w:bidi="en_US"/>
        </w:rPr>
        <w:t>(sing)</w:t>
      </w:r>
      <w:r>
        <w:rPr>
          <w:lang w:val="en_US" w:bidi="en_US"/>
        </w:rPr>
        <w:t xml:space="preserve"> have been </w:t>
      </w:r>
      <w:r>
        <w:rPr>
          <w:lang w:val="en_US" w:bidi="en_US"/>
        </w:rPr>
        <w:t>here</w:t>
      </w:r>
      <w:r>
        <w:rPr>
          <w:lang w:val="en_US" w:bidi="en_US"/>
        </w:rPr>
        <w:t xml:space="preserve"> with me all the time,</w:t>
      </w:r>
    </w:p>
    <w:p>
      <w:pPr>
        <w:pStyle w:val="ListBullet"/>
        <w:spacing w:line="240" w:lineRule="auto"/>
        <w:ind w:left="720"/>
      </w:pPr>
      <w:r>
        <w:rPr>
          <w:lang w:val="en_US" w:bidi="en_US"/>
        </w:rPr>
      </w:r>
      <w:r>
        <w:rPr>
          <w:lang w:val="en_US" w:bidi="en_US"/>
        </w:rPr>
        <w:t xml:space="preserve">The father said, ‘My </w:t>
      </w:r>
      <w:r>
        <w:rPr>
          <w:lang w:val="en_US" w:bidi="en_US"/>
        </w:rPr>
        <w:t>dear</w:t>
      </w:r>
      <w:r>
        <w:rPr>
          <w:lang w:val="en_US" w:bidi="en_US"/>
        </w:rPr>
        <w:t xml:space="preserve"> child, you</w:t>
      </w:r>
      <w:r>
        <w:rPr>
          <w:vertAlign w:val="superscript"/>
          <w:lang w:val="en_US" w:bidi="en_US"/>
        </w:rPr>
        <w:t>(sing)</w:t>
      </w:r>
      <w:r>
        <w:rPr>
          <w:lang w:val="en_US" w:bidi="en_US"/>
        </w:rPr>
        <w:t xml:space="preserve"> have always stayed with me </w:t>
      </w:r>
      <w:r>
        <w:rPr>
          <w:lang w:val="en_US" w:bidi="en_US"/>
        </w:rPr>
        <w:t>here at home</w:t>
      </w:r>
      <w:r>
        <w:rPr>
          <w:lang w:val="en_US" w:bidi="en_US"/>
        </w:rPr>
        <w:t>.</w:t>
      </w:r>
    </w:p>
    <w:p>
      <w:pPr/>
      <w:r>
        <w:rPr>
          <w:lang w:val="en_US" w:bidi="en_US"/>
        </w:rPr>
      </w:r>
      <w:r>
        <w:rPr>
          <w:b/>
          <w:lang w:val="en_US" w:bidi="en_US"/>
        </w:rPr>
        <w:t>‘Son, you are always with me,’ the father said:</w:t>
      </w:r>
      <w:r>
        <w:rPr>
          <w:lang w:val="en_US" w:bidi="en_US"/>
        </w:rPr>
        <w:t xml:space="preserve"> The BSB has placed the words </w:t>
      </w:r>
      <w:r>
        <w:rPr>
          <w:i/>
          <w:lang w:val="en_US" w:bidi="en_US"/>
        </w:rPr>
        <w:t>the father said</w:t>
      </w:r>
      <w:r>
        <w:rPr>
          <w:lang w:val="en_US" w:bidi="en_US"/>
        </w:rPr>
        <w:t xml:space="preserve"> at the end of the quotation. In Greek, the words “And he said” are at the beginning of the verse. You should place the quote introduction where it is natural in your language.</w:t>
      </w:r>
    </w:p>
    <w:p>
      <w:pPr/>
      <w:r>
        <w:rPr>
          <w:lang w:val="en_US" w:bidi="en_US"/>
        </w:rPr>
      </w:r>
      <w:r>
        <w:rPr>
          <w:b/>
          <w:lang w:val="en_US" w:bidi="en_US"/>
        </w:rPr>
        <w:t>Son:</w:t>
      </w:r>
      <w:r>
        <w:rPr>
          <w:lang w:val="en_US" w:bidi="en_US"/>
        </w:rPr>
        <w:t xml:space="preserve"> The Greek word that the BSB translates as </w:t>
      </w:r>
      <w:r>
        <w:rPr>
          <w:i/>
          <w:lang w:val="en_US" w:bidi="en_US"/>
        </w:rPr>
        <w:t>Son</w:t>
      </w:r>
      <w:r>
        <w:rPr>
          <w:lang w:val="en_US" w:bidi="en_US"/>
        </w:rPr>
        <w:t xml:space="preserve"> is a different word from the word that was translated as “son” in 15:31a. It was an affectionate way for the father to address his son.</w:t>
      </w:r>
      <w:r>
        <w:rPr>
          <w:lang w:val="en_US" w:bidi="en_US"/>
        </w:rPr>
        <w:t>This connotation of affection is mentioned by BDAG, p. 994; Plummer, p. 379; Marshall, p. 612; and Nolland, p. 788.</w:t>
      </w:r>
      <w:r>
        <w:rPr>
          <w:lang w:val="en_US" w:bidi="en_US"/>
        </w:rPr>
        <w:t xml:space="preserve"> Another way to translate this is:</w:t>
      </w:r>
    </w:p>
    <w:p>
      <w:pPr/>
      <w:r>
        <w:rPr>
          <w:lang w:val="en_US" w:bidi="en_US"/>
        </w:rPr>
      </w:r>
      <w:r>
        <w:rPr>
          <w:lang w:val="en_US" w:bidi="en_US"/>
        </w:rPr>
        <w:t>dear son (NLT)</w:t>
      </w:r>
    </w:p>
    <w:p>
      <w:pPr/>
      <w:r>
        <w:rPr>
          <w:lang w:val="en_US" w:bidi="en_US"/>
        </w:rPr>
      </w:r>
      <w:r>
        <w:rPr>
          <w:lang w:val="en_US" w:bidi="en_US"/>
        </w:rPr>
        <w:t>Use a term of address that is natural in your language.</w:t>
      </w:r>
    </w:p>
    <w:p>
      <w:pPr/>
      <w:r>
        <w:rPr>
          <w:lang w:val="en_US" w:bidi="en_US"/>
        </w:rPr>
      </w:r>
      <w:r>
        <w:rPr>
          <w:b/>
          <w:lang w:val="en_US" w:bidi="en_US"/>
        </w:rPr>
        <w:t>you are always with me:</w:t>
      </w:r>
      <w:r>
        <w:rPr>
          <w:lang w:val="en_US" w:bidi="en_US"/>
        </w:rPr>
        <w:t xml:space="preserve"> The Greek clause that the BSB translates as </w:t>
      </w:r>
      <w:r>
        <w:rPr>
          <w:i/>
          <w:lang w:val="en_US" w:bidi="en_US"/>
        </w:rPr>
        <w:t>you are always with me</w:t>
      </w:r>
      <w:r>
        <w:rPr>
          <w:lang w:val="en_US" w:bidi="en_US"/>
        </w:rPr>
        <w:t xml:space="preserve"> means “you live here with me all the time.” The father was implying that the older son had never been away from home, so there was no need for a special occasion to celebrate his return.</w:t>
      </w:r>
    </w:p>
    <w:p>
      <w:pPr>
        <w:pStyle w:val="Heading5"/>
      </w:pPr>
      <w:r>
        <w:rPr>
          <w:lang w:val="en_US" w:bidi="en_US"/>
        </w:rPr>
        <w:t>15:31b</w:t>
      </w:r>
    </w:p>
    <w:p>
      <w:pPr/>
      <w:r>
        <w:rPr>
          <w:lang w:val="en_US" w:bidi="en_US"/>
        </w:rPr>
      </w:r>
      <w:r>
        <w:rPr>
          <w:b/>
          <w:lang w:val="en_US" w:bidi="en_US"/>
        </w:rPr>
        <w:t>‘and all that is mine is yours.</w:t>
      </w:r>
    </w:p>
    <w:p>
      <w:pPr>
        <w:pStyle w:val="ListBullet"/>
        <w:spacing w:line="240" w:lineRule="auto"/>
        <w:ind w:left="720"/>
      </w:pPr>
      <w:r>
        <w:rPr>
          <w:lang w:val="en_US" w:bidi="en_US"/>
        </w:rPr>
      </w:r>
      <w:r>
        <w:rPr>
          <w:lang w:val="en_US" w:bidi="en_US"/>
        </w:rPr>
        <w:t>and all my possessions belong 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Everything I have already belongs to you</w:t>
      </w:r>
      <w:r>
        <w:rPr>
          <w:vertAlign w:val="superscript"/>
          <w:lang w:val="en_US" w:bidi="en_US"/>
        </w:rPr>
        <w:t>(sing)</w:t>
      </w:r>
      <w:r>
        <w:rPr>
          <w:lang w:val="en_US" w:bidi="en_US"/>
        </w:rPr>
        <w:t>.</w:t>
      </w:r>
    </w:p>
    <w:p>
      <w:pPr/>
      <w:r>
        <w:rPr>
          <w:lang w:val="en_US" w:bidi="en_US"/>
        </w:rPr>
      </w:r>
      <w:r>
        <w:rPr>
          <w:b/>
          <w:lang w:val="en_US" w:bidi="en_US"/>
        </w:rPr>
        <w:t>all that is mine is yours:</w:t>
      </w:r>
      <w:r>
        <w:rPr>
          <w:lang w:val="en_US" w:bidi="en_US"/>
        </w:rPr>
        <w:t xml:space="preserve"> The Greek phrase that the BSB translates as </w:t>
      </w:r>
      <w:r>
        <w:rPr>
          <w:i/>
          <w:lang w:val="en_US" w:bidi="en_US"/>
        </w:rPr>
        <w:t>all that is mine is yours</w:t>
      </w:r>
      <w:r>
        <w:rPr>
          <w:lang w:val="en_US" w:bidi="en_US"/>
        </w:rPr>
        <w:t xml:space="preserve"> means “all my property belongs to you.” The father had already divided his property and given both of the sons their shares. The younger son had spent his share, so all that the father had left rightfully belonged to the older son.</w:t>
      </w:r>
      <w:r>
        <w:rPr>
          <w:lang w:val="en_US" w:bidi="en_US"/>
        </w:rPr>
      </w:r>
      <w:r>
        <w:rPr>
          <w:lang w:val="en_US" w:bidi="en_US"/>
        </w:rPr>
      </w:r>
    </w:p>
    <w:p>
      <w:pPr/>
      <w:r>
        <w:rPr>
          <w:lang w:val="en_US" w:bidi="en_US"/>
        </w:rPr>
      </w:r>
    </w:p>
    <w:p>
      <w:pPr>
        <w:pStyle w:val="Heading2"/>
      </w:pPr>
      <w:r>
        <w:rPr>
          <w:lang w:val="en_US" w:bidi="en_US"/>
        </w:rPr>
        <w:t>Luke 15:32</w:t>
      </w:r>
      <w:r>
        <w:rPr>
          <w:lang w:val="en_US" w:bidi="en_US"/>
        </w:rPr>
      </w:r>
    </w:p>
    <w:p>
      <w:pPr>
        <w:pStyle w:val="Heading4"/>
      </w:pPr>
      <w:r>
        <w:rPr>
          <w:lang w:val="en_US" w:bidi="en_US"/>
        </w:rPr>
        <w:t>Section 15:11–32: Jesus told about a father welcoming his sinful son home</w:t>
      </w:r>
    </w:p>
    <w:p>
      <w:pPr/>
      <w:r>
        <w:rPr>
          <w:lang w:val="en_US" w:bidi="en_US"/>
        </w:rPr>
      </w:r>
      <w:r>
        <w:rPr>
          <w:lang w:val="en_US" w:bidi="en_US"/>
        </w:rPr>
        <w:t>In this parable Jesus told about a young man who left his father’s home and wasted the money that his father had given him. Then Jesus told how the young man returned to his father, and how his father welcomed him home. The young man had an older brother who was not happy at all when his father welcomed his younger brother. This story illustrates what God is like. He is ready to forgive anyone who truly turns from his sins and begins to obey him. It also warns people not to be like the older son, who did not want to forgive his brother.</w:t>
      </w:r>
    </w:p>
    <w:p>
      <w:pPr/>
      <w:r>
        <w:rPr>
          <w:lang w:val="en_US" w:bidi="en_US"/>
        </w:rPr>
      </w:r>
      <w:r>
        <w:rPr>
          <w:lang w:val="en_US" w:bidi="en_US"/>
        </w:rPr>
        <w:t>Some other headings for this section are:</w:t>
      </w:r>
    </w:p>
    <w:p>
      <w:pPr/>
      <w:r>
        <w:rPr>
          <w:lang w:val="en_US" w:bidi="en_US"/>
        </w:rPr>
      </w:r>
      <w:r>
        <w:rPr>
          <w:lang w:val="en_US" w:bidi="en_US"/>
        </w:rPr>
        <w:t>The Lost Son (GNT)</w:t>
      </w:r>
    </w:p>
    <w:p>
      <w:pPr/>
      <w:r>
        <w:rPr>
          <w:lang w:val="en_US" w:bidi="en_US"/>
        </w:rPr>
      </w:r>
      <w:r>
        <w:rPr>
          <w:lang w:val="en_US" w:bidi="en_US"/>
        </w:rPr>
        <w:t>The Son Who Left Home (NCV)</w:t>
      </w:r>
    </w:p>
    <w:p>
      <w:pPr/>
      <w:r>
        <w:rPr>
          <w:lang w:val="en_US" w:bidi="en_US"/>
        </w:rPr>
      </w:r>
      <w:r>
        <w:rPr>
          <w:lang w:val="en_US" w:bidi="en_US"/>
        </w:rPr>
        <w:t>A son who wasted his share of the inheritance</w:t>
      </w:r>
    </w:p>
    <w:p>
      <w:pPr/>
      <w:r>
        <w:rPr>
          <w:lang w:val="en_US" w:bidi="en_US"/>
        </w:rPr>
      </w:r>
      <w:r>
        <w:rPr>
          <w:lang w:val="en_US" w:bidi="en_US"/>
        </w:rPr>
        <w:t>A father was happy when his son returned home</w:t>
      </w:r>
    </w:p>
    <w:p>
      <w:pPr/>
      <w:r>
        <w:rPr>
          <w:lang w:val="en_US" w:bidi="en_US"/>
        </w:rPr>
      </w:r>
      <w:r>
        <w:rPr>
          <w:lang w:val="en_US" w:bidi="en_US"/>
        </w:rPr>
        <w:t>Before you decide on a heading for this section, think about a natural way in your language to describe a child who deliberately left home and foolishly wasted his money. In some languages a word such as “lost” can only be used to describe someone who doesn’t know where he is. If that is true in your language, you will want to use a more appropriate expression for this context.</w:t>
      </w:r>
    </w:p>
    <w:p>
      <w:pPr>
        <w:pStyle w:val="Heading5"/>
      </w:pPr>
      <w:r>
        <w:rPr>
          <w:lang w:val="en_US" w:bidi="en_US"/>
        </w:rPr>
        <w:t>15:32a</w:t>
      </w:r>
    </w:p>
    <w:p>
      <w:pPr/>
      <w:r>
        <w:rPr>
          <w:lang w:val="en_US" w:bidi="en_US"/>
        </w:rPr>
      </w:r>
      <w:r>
        <w:rPr>
          <w:b/>
          <w:lang w:val="en_US" w:bidi="en_US"/>
        </w:rPr>
        <w:t>But it was fitting to celebrate and be glad,</w:t>
      </w:r>
    </w:p>
    <w:p>
      <w:pPr>
        <w:pStyle w:val="ListBullet"/>
        <w:spacing w:line="240" w:lineRule="auto"/>
        <w:ind w:left="720"/>
      </w:pPr>
      <w:r>
        <w:rPr>
          <w:lang w:val="en_US" w:bidi="en_US"/>
        </w:rPr>
      </w:r>
      <w:r>
        <w:rPr>
          <w:lang w:val="en_US" w:bidi="en_US"/>
        </w:rPr>
        <w:t>But it was necessary to have a feast and be happy together,</w:t>
      </w:r>
    </w:p>
    <w:p>
      <w:pPr>
        <w:pStyle w:val="ListBullet"/>
        <w:spacing w:line="240" w:lineRule="auto"/>
        <w:ind w:left="720"/>
      </w:pPr>
      <w:r>
        <w:rPr>
          <w:lang w:val="en_US" w:bidi="en_US"/>
        </w:rPr>
      </w:r>
      <w:r>
        <w:rPr>
          <w:lang w:val="en_US" w:bidi="en_US"/>
        </w:rPr>
        <w:t>But it was right and proper to have a party and be happy,</w:t>
      </w:r>
    </w:p>
    <w:p>
      <w:pPr>
        <w:pStyle w:val="ListBullet"/>
        <w:spacing w:line="240" w:lineRule="auto"/>
        <w:ind w:left="720"/>
      </w:pPr>
      <w:r>
        <w:rPr>
          <w:lang w:val="en_US" w:bidi="en_US"/>
        </w:rPr>
      </w:r>
      <w:r>
        <w:rPr>
          <w:lang w:val="en_US" w:bidi="en_US"/>
        </w:rPr>
        <w:t>We</w:t>
      </w:r>
      <w:r>
        <w:rPr>
          <w:vertAlign w:val="superscript"/>
          <w:lang w:val="en_US" w:bidi="en_US"/>
        </w:rPr>
        <w:t>(incl/excl)</w:t>
      </w:r>
      <w:r>
        <w:rPr>
          <w:lang w:val="en_US" w:bidi="en_US"/>
        </w:rPr>
        <w:t xml:space="preserve"> needed to have a joyful celebration,</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the conclusion and climax of the parable. In this verse the father declared that it was necessary to celebrate the fact that his other son had come home.</w:t>
      </w:r>
    </w:p>
    <w:p>
      <w:pPr/>
      <w:r>
        <w:rPr>
          <w:lang w:val="en_US" w:bidi="en_US"/>
        </w:rPr>
      </w:r>
      <w:r>
        <w:rPr>
          <w:lang w:val="en_US" w:bidi="en_US"/>
        </w:rPr>
        <w:t>This verse is in contrast to the fact that the son was refusing to celebrate. His attitude was like the Pharisees’ complaint that Jesus ate with sinners (15:2). In this verse Jesus gave the concluding statement of his answer to the Pharisees.</w:t>
      </w:r>
    </w:p>
    <w:p>
      <w:pPr/>
      <w:r>
        <w:rPr>
          <w:lang w:val="en_US" w:bidi="en_US"/>
        </w:rPr>
      </w:r>
      <w:r>
        <w:rPr>
          <w:lang w:val="en_US" w:bidi="en_US"/>
        </w:rPr>
        <w:t>Some English versions have “but” here. In some languages this may be confusing because the contrast is not mainly with the preceding verse (15:31). Some English versions do not have a conjunction here. You should translate in a way that is appropriate to introduce the father’s statement and also to conclude the parable.</w:t>
      </w:r>
    </w:p>
    <w:p>
      <w:pPr/>
      <w:r>
        <w:rPr>
          <w:lang w:val="en_US" w:bidi="en_US"/>
        </w:rPr>
      </w:r>
      <w:r>
        <w:rPr>
          <w:b/>
          <w:lang w:val="en_US" w:bidi="en_US"/>
        </w:rPr>
        <w:t>it was fitting to celebrate and be glad:</w:t>
      </w:r>
      <w:r>
        <w:rPr>
          <w:lang w:val="en_US" w:bidi="en_US"/>
        </w:rPr>
        <w:t xml:space="preserve"> The Greek clause that the BSB translates as </w:t>
      </w:r>
      <w:r>
        <w:rPr>
          <w:i/>
          <w:lang w:val="en_US" w:bidi="en_US"/>
        </w:rPr>
        <w:t>it was fitting to celebrate and be glad</w:t>
      </w:r>
      <w:r>
        <w:rPr>
          <w:lang w:val="en_US" w:bidi="en_US"/>
        </w:rPr>
        <w:t xml:space="preserve"> is more literally “it was necessary/fitting to celebrate and be glad.” The Greek text does not specify who needed to celebrate. Another way to translate this clause is:</w:t>
      </w:r>
    </w:p>
    <w:p>
      <w:pPr/>
      <w:r>
        <w:rPr>
          <w:lang w:val="en_US" w:bidi="en_US"/>
        </w:rPr>
      </w:r>
      <w:r>
        <w:rPr>
          <w:lang w:val="en_US" w:bidi="en_US"/>
        </w:rPr>
        <w:t>It would have been wrong not to celebrate and be happy</w:t>
      </w:r>
    </w:p>
    <w:p>
      <w:pPr/>
      <w:r>
        <w:rPr>
          <w:lang w:val="en_US" w:bidi="en_US"/>
        </w:rPr>
      </w:r>
      <w:r>
        <w:rPr>
          <w:lang w:val="en_US" w:bidi="en_US"/>
        </w:rPr>
        <w:t>In many languages it will be necessary to supply a pronoun such as “we.” If you need to further specify “we</w:t>
      </w:r>
      <w:r>
        <w:rPr>
          <w:vertAlign w:val="superscript"/>
          <w:lang w:val="en_US" w:bidi="en_US"/>
        </w:rPr>
        <w:t>(excl)</w:t>
      </w:r>
      <w:r>
        <w:rPr>
          <w:lang w:val="en_US" w:bidi="en_US"/>
        </w:rPr>
        <w:t>” or “we</w:t>
      </w:r>
      <w:r>
        <w:rPr>
          <w:vertAlign w:val="superscript"/>
          <w:lang w:val="en_US" w:bidi="en_US"/>
        </w:rPr>
        <w:t>(incl)</w:t>
      </w:r>
      <w:r>
        <w:rPr>
          <w:lang w:val="en_US" w:bidi="en_US"/>
        </w:rPr>
        <w:t>,” here are some factors that you may need to consider in deciding which form you need to use in your language:</w:t>
      </w:r>
    </w:p>
    <w:p>
      <w:pPr>
        <w:pStyle w:val="ListNumber"/>
        <w:numPr>
          <w:ilvl w:val="0"/>
          <w:numId w:val="263"/>
        </w:numPr>
        <w:spacing w:line="240" w:lineRule="auto"/>
        <w:ind w:left="720"/>
      </w:pPr>
      <w:r>
        <w:rPr>
          <w:lang w:val="en_US" w:bidi="en_US"/>
        </w:rPr>
      </w:r>
      <w:r>
        <w:rPr>
          <w:lang w:val="en_US" w:bidi="en_US"/>
        </w:rPr>
        <w:t>The father wanted the older son to join in the celebration. The context implies that all of them should celebrate, including the older son.</w:t>
      </w:r>
    </w:p>
    <w:p>
      <w:pPr>
        <w:pStyle w:val="ListNumber"/>
        <w:spacing w:line="240" w:lineRule="auto"/>
        <w:ind w:left="720"/>
      </w:pPr>
      <w:r>
        <w:rPr>
          <w:lang w:val="en_US" w:bidi="en_US"/>
        </w:rPr>
      </w:r>
      <w:r>
        <w:rPr>
          <w:lang w:val="en_US" w:bidi="en_US"/>
        </w:rPr>
        <w:t>The older son was not present when the celebration started.</w:t>
      </w:r>
    </w:p>
    <w:p>
      <w:pPr>
        <w:pStyle w:val="ListNumber"/>
        <w:spacing w:line="240" w:lineRule="auto"/>
        <w:ind w:left="720"/>
      </w:pPr>
      <w:r>
        <w:rPr>
          <w:lang w:val="en_US" w:bidi="en_US"/>
        </w:rPr>
      </w:r>
      <w:r>
        <w:rPr>
          <w:lang w:val="en_US" w:bidi="en_US"/>
        </w:rPr>
        <w:t>The father’s statement “it was necessary to celebrate…” explains why they were already celebrating. It also implies that the older son should not be refusing to celebrate.</w:t>
      </w:r>
    </w:p>
    <w:p>
      <w:pPr>
        <w:pStyle w:val="Heading5"/>
      </w:pPr>
      <w:r>
        <w:rPr>
          <w:lang w:val="en_US" w:bidi="en_US"/>
        </w:rPr>
        <w:t>15:32b</w:t>
      </w:r>
    </w:p>
    <w:p>
      <w:pPr/>
      <w:r>
        <w:rPr>
          <w:lang w:val="en_US" w:bidi="en_US"/>
        </w:rPr>
      </w:r>
      <w:r>
        <w:rPr>
          <w:b/>
          <w:lang w:val="en_US" w:bidi="en_US"/>
        </w:rPr>
        <w:t>because this brother of yours was dead and is alive again;</w:t>
      </w:r>
    </w:p>
    <w:p>
      <w:pPr>
        <w:pStyle w:val="ListBullet"/>
        <w:spacing w:line="240" w:lineRule="auto"/>
        <w:ind w:left="720"/>
      </w:pPr>
      <w:r>
        <w:rPr>
          <w:lang w:val="en_US" w:bidi="en_US"/>
        </w:rPr>
      </w:r>
      <w:r>
        <w:rPr>
          <w:lang w:val="en_US" w:bidi="en_US"/>
        </w:rPr>
        <w:t xml:space="preserve">because </w:t>
      </w:r>
      <w:r>
        <w:rPr>
          <w:lang w:val="en_US" w:bidi="en_US"/>
        </w:rPr>
        <w:t>it is like</w:t>
      </w:r>
      <w:r>
        <w:rPr>
          <w:lang w:val="en_US" w:bidi="en_US"/>
        </w:rPr>
        <w:t xml:space="preserve"> this one who is your</w:t>
      </w:r>
      <w:r>
        <w:rPr>
          <w:vertAlign w:val="superscript"/>
          <w:lang w:val="en_US" w:bidi="en_US"/>
        </w:rPr>
        <w:t>(sing)</w:t>
      </w:r>
      <w:r>
        <w:rPr>
          <w:lang w:val="en_US" w:bidi="en_US"/>
        </w:rPr>
        <w:t xml:space="preserve"> </w:t>
      </w:r>
      <w:r>
        <w:rPr>
          <w:lang w:val="en_US" w:bidi="en_US"/>
        </w:rPr>
        <w:t>younger</w:t>
      </w:r>
      <w:r>
        <w:rPr>
          <w:lang w:val="en_US" w:bidi="en_US"/>
        </w:rPr>
        <w:t xml:space="preserve"> brother died and came back to life.</w:t>
      </w:r>
    </w:p>
    <w:p>
      <w:pPr>
        <w:pStyle w:val="ListBullet"/>
        <w:spacing w:line="240" w:lineRule="auto"/>
        <w:ind w:left="720"/>
      </w:pPr>
      <w:r>
        <w:rPr>
          <w:lang w:val="en_US" w:bidi="en_US"/>
        </w:rPr>
      </w:r>
      <w:r>
        <w:rPr>
          <w:lang w:val="en_US" w:bidi="en_US"/>
        </w:rPr>
        <w:t xml:space="preserve">because this </w:t>
      </w:r>
      <w:r>
        <w:rPr>
          <w:lang w:val="en_US" w:bidi="en_US"/>
        </w:rPr>
        <w:t>younger</w:t>
      </w:r>
      <w:r>
        <w:rPr>
          <w:lang w:val="en_US" w:bidi="en_US"/>
        </w:rPr>
        <w:t xml:space="preserve"> brother of yours</w:t>
      </w:r>
      <w:r>
        <w:rPr>
          <w:vertAlign w:val="superscript"/>
          <w:lang w:val="en_US" w:bidi="en_US"/>
        </w:rPr>
        <w:t>(sing)</w:t>
      </w:r>
      <w:r>
        <w:rPr>
          <w:lang w:val="en_US" w:bidi="en_US"/>
        </w:rPr>
        <w:t xml:space="preserve"> was </w:t>
      </w:r>
      <w:r>
        <w:rPr>
          <w:lang w:val="en_US" w:bidi="en_US"/>
        </w:rPr>
        <w:t>as if</w:t>
      </w:r>
      <w:r>
        <w:rPr>
          <w:lang w:val="en_US" w:bidi="en_US"/>
        </w:rPr>
        <w:t xml:space="preserve"> dead, and now he is here alive!</w:t>
      </w:r>
    </w:p>
    <w:p>
      <w:pPr>
        <w:pStyle w:val="Heading5"/>
      </w:pPr>
      <w:r>
        <w:rPr>
          <w:lang w:val="en_US" w:bidi="en_US"/>
        </w:rPr>
        <w:t>15:32c</w:t>
      </w:r>
    </w:p>
    <w:p>
      <w:pPr/>
      <w:r>
        <w:rPr>
          <w:lang w:val="en_US" w:bidi="en_US"/>
        </w:rPr>
      </w:r>
      <w:r>
        <w:rPr>
          <w:b/>
          <w:lang w:val="en_US" w:bidi="en_US"/>
        </w:rPr>
        <w:t>he was lost and is found.’”</w:t>
      </w:r>
    </w:p>
    <w:p>
      <w:pPr>
        <w:pStyle w:val="ListBullet"/>
        <w:spacing w:line="240" w:lineRule="auto"/>
        <w:ind w:left="720"/>
      </w:pPr>
      <w:r>
        <w:rPr>
          <w:lang w:val="en_US" w:bidi="en_US"/>
        </w:rPr>
      </w:r>
      <w:r>
        <w:rPr>
          <w:lang w:val="en_US" w:bidi="en_US"/>
        </w:rPr>
        <w:t>It is like</w:t>
      </w:r>
      <w:r>
        <w:rPr>
          <w:lang w:val="en_US" w:bidi="en_US"/>
        </w:rPr>
        <w:t xml:space="preserve"> he was lost and </w:t>
      </w:r>
      <w:r>
        <w:rPr>
          <w:lang w:val="en_US" w:bidi="en_US"/>
        </w:rPr>
        <w:t>I</w:t>
      </w:r>
      <w:r>
        <w:rPr>
          <w:lang w:val="en_US" w:bidi="en_US"/>
        </w:rPr>
        <w:t xml:space="preserve"> found him.'"</w:t>
      </w:r>
    </w:p>
    <w:p>
      <w:pPr>
        <w:pStyle w:val="ListBullet"/>
        <w:spacing w:line="240" w:lineRule="auto"/>
        <w:ind w:left="720"/>
      </w:pPr>
      <w:r>
        <w:rPr>
          <w:lang w:val="en_US" w:bidi="en_US"/>
        </w:rPr>
      </w:r>
      <w:r>
        <w:rPr>
          <w:lang w:val="en_US" w:bidi="en_US"/>
        </w:rPr>
        <w:t xml:space="preserve">He was </w:t>
      </w:r>
      <w:r>
        <w:rPr>
          <w:lang w:val="en_US" w:bidi="en_US"/>
        </w:rPr>
        <w:t>as if</w:t>
      </w:r>
      <w:r>
        <w:rPr>
          <w:lang w:val="en_US" w:bidi="en_US"/>
        </w:rPr>
        <w:t xml:space="preserve"> lost, but now he has arrived </w:t>
      </w:r>
      <w:r>
        <w:rPr>
          <w:lang w:val="en_US" w:bidi="en_US"/>
        </w:rPr>
        <w:t>safely home</w:t>
      </w:r>
      <w:r>
        <w:rPr>
          <w:lang w:val="en_US" w:bidi="en_US"/>
        </w:rPr>
        <w:t>!'"</w:t>
      </w:r>
    </w:p>
    <w:p>
      <w:pPr>
        <w:pStyle w:val="Heading5"/>
      </w:pPr>
      <w:r>
        <w:rPr>
          <w:lang w:val="en_US" w:bidi="en_US"/>
        </w:rPr>
        <w:t>15:32b–c</w:t>
      </w:r>
    </w:p>
    <w:p>
      <w:pPr/>
      <w:r>
        <w:rPr>
          <w:lang w:val="en_US" w:bidi="en_US"/>
        </w:rPr>
      </w:r>
      <w:r>
        <w:rPr>
          <w:b/>
          <w:lang w:val="en_US" w:bidi="en_US"/>
        </w:rPr>
        <w:t>because this brother of yours:</w:t>
      </w:r>
      <w:r>
        <w:rPr>
          <w:lang w:val="en_US" w:bidi="en_US"/>
        </w:rPr>
        <w:t xml:space="preserve"> Notice that the phrase </w:t>
      </w:r>
      <w:r>
        <w:rPr>
          <w:i/>
          <w:lang w:val="en_US" w:bidi="en_US"/>
        </w:rPr>
        <w:t>this brother of yours</w:t>
      </w:r>
      <w:r>
        <w:rPr>
          <w:lang w:val="en_US" w:bidi="en_US"/>
        </w:rPr>
        <w:t xml:space="preserve"> is similar to the phrase “this son of yours” which the older son had used with contempt in 15:30a. The father may have used this similar phrase as an implied rebuke to his older son. He may also have used it to remind his son of his family relationship with his brother.</w:t>
      </w:r>
    </w:p>
    <w:p>
      <w:pPr/>
      <w:r>
        <w:rPr>
          <w:lang w:val="en_US" w:bidi="en_US"/>
        </w:rPr>
      </w:r>
      <w:r>
        <w:rPr>
          <w:b/>
          <w:lang w:val="en_US" w:bidi="en_US"/>
        </w:rPr>
        <w:t>was dead and is alive again; he was lost and is found:</w:t>
      </w:r>
      <w:r>
        <w:rPr>
          <w:lang w:val="en_US" w:bidi="en_US"/>
        </w:rPr>
        <w:t xml:space="preserve"> These figurative expressions are repeated exactly from 15:24a and 15:24b. See the notes there.</w:t>
      </w:r>
      <w:r>
        <w:rPr>
          <w:lang w:val="en_US" w:bidi="en_US"/>
        </w:rPr>
      </w:r>
      <w:r>
        <w:rPr>
          <w:lang w:val="en_US" w:bidi="en_US"/>
        </w:rPr>
      </w:r>
    </w:p>
    <w:p>
      <w:pPr/>
      <w:r>
        <w:rPr>
          <w:lang w:val="en_US" w:bidi="en_US"/>
        </w:rPr>
      </w:r>
    </w:p>
    <w:p>
      <w:pPr>
        <w:pStyle w:val="Heading2"/>
      </w:pPr>
      <w:r>
        <w:rPr>
          <w:lang w:val="en_US" w:bidi="en_US"/>
        </w:rPr>
        <w:t>Luke 16:1</w:t>
      </w:r>
      <w:r>
        <w:rPr>
          <w:lang w:val="en_US" w:bidi="en_US"/>
        </w:rPr>
      </w:r>
    </w:p>
    <w:p>
      <w:pPr>
        <w:pStyle w:val="Heading4"/>
      </w:pPr>
      <w:r>
        <w:rPr>
          <w:lang w:val="en_US" w:bidi="en_US"/>
        </w:rPr>
        <w:t>Section 16:1–13: Jesus told a parable about a dishonest manager who acted wisely</w:t>
      </w:r>
    </w:p>
    <w:p>
      <w:pPr/>
      <w:r>
        <w:rPr>
          <w:lang w:val="en_US" w:bidi="en_US"/>
        </w:rPr>
      </w:r>
      <w:r>
        <w:rPr>
          <w:lang w:val="en_US" w:bidi="en_US"/>
        </w:rP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pPr/>
      <w:r>
        <w:rPr>
          <w:lang w:val="en_US" w:bidi="en_US"/>
        </w:rPr>
      </w:r>
      <w:r>
        <w:rPr>
          <w:lang w:val="en_US" w:bidi="en_US"/>
        </w:rPr>
        <w:t>The main point of this parable is that the manager knew how to use money to make things better for his own future. In this way he was a good example for Jesus’ disciples. The parable does not mean that Jesus approved of the manager’s dishonesty.</w:t>
      </w:r>
    </w:p>
    <w:p>
      <w:pPr/>
      <w:r>
        <w:rPr>
          <w:lang w:val="en_US" w:bidi="en_US"/>
        </w:rPr>
      </w:r>
      <w:r>
        <w:rPr>
          <w:lang w:val="en_US" w:bidi="en_US"/>
        </w:rPr>
        <w:t>In 16:8c–16:9 Jesus commented on the parable and applied it to his disciples. In 16:10–13 he gave other teachings about the proper use of wealth.</w:t>
      </w:r>
    </w:p>
    <w:p>
      <w:pPr/>
      <w:r>
        <w:rPr>
          <w:lang w:val="en_US" w:bidi="en_US"/>
        </w:rPr>
      </w:r>
      <w:r>
        <w:rPr>
          <w:lang w:val="en_US" w:bidi="en_US"/>
        </w:rPr>
        <w:t>Other possible headings for this section are:</w:t>
      </w:r>
    </w:p>
    <w:p>
      <w:pPr/>
      <w:r>
        <w:rPr>
          <w:lang w:val="en_US" w:bidi="en_US"/>
        </w:rPr>
      </w:r>
      <w:r>
        <w:rPr>
          <w:lang w:val="en_US" w:bidi="en_US"/>
        </w:rPr>
        <w:t>The Parable of the Shrewd Manager (NIV)</w:t>
      </w:r>
    </w:p>
    <w:p>
      <w:pPr/>
      <w:r>
        <w:rPr>
          <w:lang w:val="en_US" w:bidi="en_US"/>
        </w:rPr>
      </w:r>
      <w:r>
        <w:rPr>
          <w:lang w:val="en_US" w:bidi="en_US"/>
        </w:rPr>
        <w:t>The dishonest man who was in charge of a rich man’s wealth</w:t>
      </w:r>
    </w:p>
    <w:p>
      <w:pPr>
        <w:pStyle w:val="Heading5"/>
      </w:pPr>
      <w:r>
        <w:rPr>
          <w:lang w:val="en_US" w:bidi="en_US"/>
        </w:rPr>
        <w:t>16:1a</w:t>
      </w:r>
    </w:p>
    <w:p>
      <w:pPr/>
      <w:r>
        <w:rPr>
          <w:lang w:val="en_US" w:bidi="en_US"/>
        </w:rPr>
      </w:r>
      <w:r>
        <w:rPr>
          <w:b/>
          <w:lang w:val="en_US" w:bidi="en_US"/>
        </w:rPr>
        <w:t>Jesus also said to His disciples,</w:t>
      </w:r>
    </w:p>
    <w:p>
      <w:pPr>
        <w:pStyle w:val="ListBullet"/>
        <w:spacing w:line="240" w:lineRule="auto"/>
        <w:ind w:left="720"/>
      </w:pPr>
      <w:r>
        <w:rPr>
          <w:lang w:val="en_US" w:bidi="en_US"/>
        </w:rPr>
      </w:r>
      <w:r>
        <w:rPr>
          <w:lang w:val="en_US" w:bidi="en_US"/>
        </w:rPr>
        <w:t xml:space="preserve">¶ Then Jesus told </w:t>
      </w:r>
      <w:r>
        <w:rPr>
          <w:lang w:val="en_US" w:bidi="en_US"/>
        </w:rPr>
        <w:t>this story/parable</w:t>
      </w:r>
      <w:r>
        <w:rPr>
          <w:lang w:val="en_US" w:bidi="en_US"/>
        </w:rPr>
        <w:t xml:space="preserve"> to his disciples:</w:t>
      </w:r>
    </w:p>
    <w:p>
      <w:pPr>
        <w:pStyle w:val="ListBullet"/>
        <w:spacing w:line="240" w:lineRule="auto"/>
        <w:ind w:left="720"/>
      </w:pPr>
      <w:r>
        <w:rPr>
          <w:lang w:val="en_US" w:bidi="en_US"/>
        </w:rPr>
      </w:r>
      <w:r>
        <w:rPr>
          <w:lang w:val="en_US" w:bidi="en_US"/>
        </w:rPr>
        <w:t xml:space="preserve">¶ Jesus </w:t>
      </w:r>
      <w:r>
        <w:rPr>
          <w:lang w:val="en_US" w:bidi="en_US"/>
        </w:rPr>
        <w:t>turned to</w:t>
      </w:r>
      <w:r>
        <w:rPr>
          <w:lang w:val="en_US" w:bidi="en_US"/>
        </w:rPr>
        <w:t xml:space="preserve"> his disciples and told them another </w:t>
      </w:r>
      <w:r>
        <w:rPr>
          <w:lang w:val="en_US" w:bidi="en_US"/>
        </w:rPr>
        <w:t>story/parable</w:t>
      </w:r>
      <w:r>
        <w:rPr>
          <w:lang w:val="en_US" w:bidi="en_US"/>
        </w:rPr>
        <w:t xml:space="preserve">. </w:t>
      </w:r>
      <w:r>
        <w:rPr>
          <w:lang w:val="en_US" w:bidi="en_US"/>
        </w:rPr>
        <w:t>He said,</w:t>
      </w:r>
    </w:p>
    <w:p>
      <w:pPr/>
      <w:r>
        <w:rPr>
          <w:lang w:val="en_US" w:bidi="en_US"/>
        </w:rPr>
      </w:r>
      <w:r>
        <w:rPr>
          <w:b/>
          <w:lang w:val="en_US" w:bidi="en_US"/>
        </w:rPr>
        <w:t>Jesus also said:</w:t>
      </w:r>
      <w:r>
        <w:rPr>
          <w:lang w:val="en_US" w:bidi="en_US"/>
        </w:rPr>
        <w:t xml:space="preserve"> In Greek, this verse begins with a phrase that is literally “and he said also.” The word </w:t>
      </w:r>
      <w:r>
        <w:rPr>
          <w:i/>
          <w:lang w:val="en_US" w:bidi="en_US"/>
        </w:rPr>
        <w:t>also</w:t>
      </w:r>
      <w:r>
        <w:rPr>
          <w:lang w:val="en_US" w:bidi="en_US"/>
        </w:rPr>
        <w:t xml:space="preserve"> indicates that Jesus was continuing to tell parables. In some languages it may be helpful to indicate explicitly that Jesus’ next words were a parable. For example:</w:t>
      </w:r>
    </w:p>
    <w:p>
      <w:pPr/>
      <w:r>
        <w:rPr>
          <w:lang w:val="en_US" w:bidi="en_US"/>
        </w:rPr>
      </w:r>
      <w:r>
        <w:rPr>
          <w:lang w:val="en_US" w:bidi="en_US"/>
        </w:rPr>
        <w:t xml:space="preserve">Jesus told </w:t>
      </w:r>
      <w:r>
        <w:rPr>
          <w:lang w:val="en_US" w:bidi="en_US"/>
        </w:rPr>
        <w:t>a story</w:t>
      </w:r>
    </w:p>
    <w:p>
      <w:pPr/>
      <w:r>
        <w:rPr>
          <w:lang w:val="en_US" w:bidi="en_US"/>
        </w:rPr>
      </w:r>
      <w:r>
        <w:rPr>
          <w:lang w:val="en_US" w:bidi="en_US"/>
        </w:rPr>
        <w:t xml:space="preserve">Jesus also told </w:t>
      </w:r>
      <w:r>
        <w:rPr>
          <w:lang w:val="en_US" w:bidi="en_US"/>
        </w:rPr>
        <w:t>a parable</w:t>
      </w:r>
    </w:p>
    <w:p>
      <w:pPr/>
      <w:r>
        <w:rPr>
          <w:lang w:val="en_US" w:bidi="en_US"/>
        </w:rPr>
      </w:r>
      <w:r>
        <w:rPr>
          <w:b/>
          <w:lang w:val="en_US" w:bidi="en_US"/>
        </w:rPr>
        <w:t>His disciples:</w:t>
      </w:r>
      <w:r>
        <w:rPr>
          <w:lang w:val="en_US" w:bidi="en_US"/>
        </w:rPr>
        <w:t xml:space="preserve"> In the previous chapter Jesus told three parables to the Pharisees and scribes. In this chapter he addressed a parable particularly to his disciples.</w:t>
      </w:r>
      <w:r>
        <w:rPr>
          <w:lang w:val="en_US" w:bidi="en_US"/>
        </w:rPr>
        <w:t>Most scholars think that the setting for Luke 16 is the same as for Luke 15. According to 16:14, the Pharisees were listening to Jesus as he told this parable to his disciples.</w:t>
      </w:r>
      <w:r>
        <w:rPr>
          <w:lang w:val="en_US" w:bidi="en_US"/>
        </w:rPr>
        <w:t xml:space="preserve"> In some languages it may be more natural to indicate in some way that Jesus was now speaking to a different group. For example:</w:t>
      </w:r>
    </w:p>
    <w:p>
      <w:pPr/>
      <w:r>
        <w:rPr>
          <w:lang w:val="en_US" w:bidi="en_US"/>
        </w:rPr>
      </w:r>
      <w:r>
        <w:rPr>
          <w:lang w:val="en_US" w:bidi="en_US"/>
        </w:rPr>
        <w:t xml:space="preserve">Then Jesus also told </w:t>
      </w:r>
      <w:r>
        <w:rPr>
          <w:lang w:val="en_US" w:bidi="en_US"/>
        </w:rPr>
        <w:t>a parable</w:t>
      </w:r>
      <w:r>
        <w:rPr>
          <w:lang w:val="en_US" w:bidi="en_US"/>
        </w:rPr>
        <w:t xml:space="preserve"> to his disciples. He said</w:t>
      </w:r>
    </w:p>
    <w:p>
      <w:pPr/>
      <w:r>
        <w:rPr>
          <w:lang w:val="en_US" w:bidi="en_US"/>
        </w:rPr>
      </w:r>
      <w:r>
        <w:rPr>
          <w:b/>
          <w:lang w:val="en_US" w:bidi="en_US"/>
        </w:rPr>
        <w:t>disciples:</w:t>
      </w:r>
      <w:r>
        <w:rPr>
          <w:lang w:val="en_US" w:bidi="en_US"/>
        </w:rPr>
        <w:t xml:space="preserve"> For help in translating the word </w:t>
      </w:r>
      <w:r>
        <w:rPr>
          <w:i/>
          <w:lang w:val="en_US" w:bidi="en_US"/>
        </w:rPr>
        <w:t>disciples</w:t>
      </w:r>
      <w:r>
        <w:rPr>
          <w:lang w:val="en_US" w:bidi="en_US"/>
        </w:rPr>
        <w:t>, see the note at 9:14b.</w:t>
      </w:r>
    </w:p>
    <w:p>
      <w:pPr>
        <w:pStyle w:val="Heading5"/>
      </w:pPr>
      <w:r>
        <w:rPr>
          <w:lang w:val="en_US" w:bidi="en_US"/>
        </w:rPr>
        <w:t>16:1b</w:t>
      </w:r>
    </w:p>
    <w:p>
      <w:pPr/>
      <w:r>
        <w:rPr>
          <w:lang w:val="en_US" w:bidi="en_US"/>
        </w:rPr>
      </w:r>
      <w:r>
        <w:rPr>
          <w:b/>
          <w:lang w:val="en_US" w:bidi="en_US"/>
        </w:rPr>
        <w:t>“There was a rich man</w:t>
      </w:r>
    </w:p>
    <w:p>
      <w:pPr>
        <w:pStyle w:val="ListBullet"/>
        <w:spacing w:line="240" w:lineRule="auto"/>
        <w:ind w:left="720"/>
      </w:pPr>
      <w:r>
        <w:rPr>
          <w:lang w:val="en_US" w:bidi="en_US"/>
        </w:rPr>
      </w:r>
      <w:r>
        <w:rPr>
          <w:lang w:val="en_US" w:bidi="en_US"/>
        </w:rPr>
        <w:t>“There was once a rich man</w:t>
      </w:r>
    </w:p>
    <w:p>
      <w:pPr>
        <w:pStyle w:val="ListBullet"/>
        <w:spacing w:line="240" w:lineRule="auto"/>
        <w:ind w:left="720"/>
      </w:pPr>
      <w:r>
        <w:rPr>
          <w:lang w:val="en_US" w:bidi="en_US"/>
        </w:rPr>
      </w:r>
      <w:r>
        <w:rPr>
          <w:lang w:val="en_US" w:bidi="en_US"/>
        </w:rPr>
        <w:t>“A certain rich man</w:t>
      </w:r>
    </w:p>
    <w:p>
      <w:pPr/>
      <w:r>
        <w:rPr>
          <w:lang w:val="en_US" w:bidi="en_US"/>
        </w:rPr>
      </w:r>
      <w:r>
        <w:rPr>
          <w:b/>
          <w:lang w:val="en_US" w:bidi="en_US"/>
        </w:rPr>
        <w:t>There was a rich man:</w:t>
      </w:r>
      <w:r>
        <w:rPr>
          <w:lang w:val="en_US" w:bidi="en_US"/>
        </w:rPr>
        <w:t xml:space="preserve"> This clause introduces one of the characters in the story. Use a natural way in your language to introduce such a character.</w:t>
      </w:r>
    </w:p>
    <w:p>
      <w:pPr>
        <w:pStyle w:val="Heading5"/>
      </w:pPr>
      <w:r>
        <w:rPr>
          <w:lang w:val="en_US" w:bidi="en_US"/>
        </w:rPr>
        <w:t>16:1c</w:t>
      </w:r>
    </w:p>
    <w:p>
      <w:pPr/>
      <w:r>
        <w:rPr>
          <w:lang w:val="en_US" w:bidi="en_US"/>
        </w:rPr>
      </w:r>
      <w:r>
        <w:rPr>
          <w:b/>
          <w:lang w:val="en_US" w:bidi="en_US"/>
        </w:rPr>
        <w:t>whose manager</w:t>
      </w:r>
    </w:p>
    <w:p>
      <w:pPr>
        <w:pStyle w:val="ListBullet"/>
        <w:spacing w:line="240" w:lineRule="auto"/>
        <w:ind w:left="720"/>
      </w:pPr>
      <w:r>
        <w:rPr>
          <w:lang w:val="en_US" w:bidi="en_US"/>
        </w:rPr>
      </w:r>
      <w:r>
        <w:rPr>
          <w:lang w:val="en_US" w:bidi="en_US"/>
        </w:rPr>
        <w:t xml:space="preserve">who had an employee who managed </w:t>
      </w:r>
      <w:r>
        <w:rPr>
          <w:lang w:val="en_US" w:bidi="en_US"/>
        </w:rPr>
        <w:t>his property</w:t>
      </w:r>
      <w:r>
        <w:rPr>
          <w:lang w:val="en_US" w:bidi="en_US"/>
        </w:rPr>
        <w:t>.</w:t>
      </w:r>
    </w:p>
    <w:p>
      <w:pPr>
        <w:pStyle w:val="ListBullet"/>
        <w:spacing w:line="240" w:lineRule="auto"/>
        <w:ind w:left="720"/>
      </w:pPr>
      <w:r>
        <w:rPr>
          <w:lang w:val="en_US" w:bidi="en_US"/>
        </w:rPr>
      </w:r>
      <w:r>
        <w:rPr>
          <w:lang w:val="en_US" w:bidi="en_US"/>
        </w:rPr>
        <w:t xml:space="preserve">hired/paid a man to be in charge </w:t>
      </w:r>
      <w:r>
        <w:rPr>
          <w:lang w:val="en_US" w:bidi="en_US"/>
        </w:rPr>
        <w:t>of his wealth/possessions</w:t>
      </w:r>
      <w:r>
        <w:rPr>
          <w:lang w:val="en_US" w:bidi="en_US"/>
        </w:rPr>
        <w:t>.</w:t>
      </w:r>
    </w:p>
    <w:p>
      <w:pPr/>
      <w:r>
        <w:rPr>
          <w:lang w:val="en_US" w:bidi="en_US"/>
        </w:rPr>
      </w:r>
      <w:r>
        <w:rPr>
          <w:b/>
          <w:lang w:val="en_US" w:bidi="en_US"/>
        </w:rPr>
        <w:t>manager:</w:t>
      </w:r>
      <w:r>
        <w:rPr>
          <w:lang w:val="en_US" w:bidi="en_US"/>
        </w:rPr>
        <w:t xml:space="preserve"> The </w:t>
      </w:r>
      <w:r>
        <w:rPr>
          <w:i/>
          <w:lang w:val="en_US" w:bidi="en_US"/>
        </w:rPr>
        <w:t>manager</w:t>
      </w:r>
      <w:r>
        <w:rPr>
          <w:lang w:val="en_US" w:bidi="en_US"/>
        </w:rPr>
        <w:t xml:space="preserve"> was a skilled servant who managed the rich man’s money and property. The story makes it clear that he was an employee, not a slave. Other ways to translate this word are:</w:t>
      </w:r>
    </w:p>
    <w:p>
      <w:pPr/>
      <w:r>
        <w:rPr>
          <w:lang w:val="en_US" w:bidi="en_US"/>
        </w:rPr>
      </w:r>
      <w:r>
        <w:rPr>
          <w:lang w:val="en_US" w:bidi="en_US"/>
        </w:rPr>
        <w:t xml:space="preserve">employee who was in charge </w:t>
      </w:r>
      <w:r>
        <w:rPr>
          <w:lang w:val="en_US" w:bidi="en_US"/>
        </w:rPr>
        <w:t>of his wealth</w:t>
      </w:r>
    </w:p>
    <w:p>
      <w:pPr/>
      <w:r>
        <w:rPr>
          <w:lang w:val="en_US" w:bidi="en_US"/>
        </w:rPr>
      </w:r>
      <w:r>
        <w:rPr>
          <w:lang w:val="en_US" w:bidi="en_US"/>
        </w:rPr>
        <w:t>servant who managed his property (GNT)</w:t>
      </w:r>
    </w:p>
    <w:p>
      <w:pPr/>
      <w:r>
        <w:rPr>
          <w:lang w:val="en_US" w:bidi="en_US"/>
        </w:rPr>
      </w:r>
      <w:r>
        <w:rPr>
          <w:lang w:val="en_US" w:bidi="en_US"/>
        </w:rPr>
        <w:t>manager to take care of his business (NCV)</w:t>
      </w:r>
    </w:p>
    <w:p>
      <w:pPr>
        <w:pStyle w:val="Heading5"/>
      </w:pPr>
      <w:r>
        <w:rPr>
          <w:lang w:val="en_US" w:bidi="en_US"/>
        </w:rPr>
        <w:t>16:1d</w:t>
      </w:r>
    </w:p>
    <w:p>
      <w:pPr/>
      <w:r>
        <w:rPr>
          <w:lang w:val="en_US" w:bidi="en_US"/>
        </w:rPr>
      </w:r>
      <w:r>
        <w:rPr>
          <w:b/>
          <w:lang w:val="en_US" w:bidi="en_US"/>
        </w:rPr>
        <w:t>was accused of wasting his possessions.</w:t>
      </w:r>
    </w:p>
    <w:p>
      <w:pPr>
        <w:pStyle w:val="ListBullet"/>
        <w:spacing w:line="240" w:lineRule="auto"/>
        <w:ind w:left="720"/>
      </w:pPr>
      <w:r>
        <w:rPr>
          <w:lang w:val="en_US" w:bidi="en_US"/>
        </w:rPr>
      </w:r>
      <w:r>
        <w:rPr>
          <w:lang w:val="en_US" w:bidi="en_US"/>
        </w:rPr>
        <w:t>The rich man</w:t>
      </w:r>
      <w:r>
        <w:rPr>
          <w:lang w:val="en_US" w:bidi="en_US"/>
        </w:rPr>
        <w:t xml:space="preserve"> heard that </w:t>
      </w:r>
      <w:r>
        <w:rPr>
          <w:lang w:val="en_US" w:bidi="en_US"/>
        </w:rPr>
        <w:t>this manager</w:t>
      </w:r>
      <w:r>
        <w:rPr>
          <w:lang w:val="en_US" w:bidi="en_US"/>
        </w:rPr>
        <w:t xml:space="preserve"> was spending/misusing </w:t>
      </w:r>
      <w:r>
        <w:rPr>
          <w:lang w:val="en_US" w:bidi="en_US"/>
        </w:rPr>
        <w:t>that rich man’s</w:t>
      </w:r>
      <w:r>
        <w:rPr>
          <w:lang w:val="en_US" w:bidi="en_US"/>
        </w:rPr>
        <w:t xml:space="preserve"> money.</w:t>
      </w:r>
    </w:p>
    <w:p>
      <w:pPr>
        <w:pStyle w:val="ListBullet"/>
        <w:spacing w:line="240" w:lineRule="auto"/>
        <w:ind w:left="720"/>
      </w:pPr>
      <w:r>
        <w:rPr>
          <w:lang w:val="en_US" w:bidi="en_US"/>
        </w:rPr>
      </w:r>
      <w:r>
        <w:rPr>
          <w:lang w:val="en_US" w:bidi="en_US"/>
        </w:rPr>
        <w:t>One day someone went to the rich man and</w:t>
      </w:r>
      <w:r>
        <w:rPr>
          <w:lang w:val="en_US" w:bidi="en_US"/>
        </w:rPr>
        <w:t xml:space="preserve"> told him that </w:t>
      </w:r>
      <w:r>
        <w:rPr>
          <w:lang w:val="en_US" w:bidi="en_US"/>
        </w:rPr>
        <w:t>this man/employee</w:t>
      </w:r>
      <w:r>
        <w:rPr>
          <w:lang w:val="en_US" w:bidi="en_US"/>
        </w:rPr>
        <w:t xml:space="preserve"> was managing his property badly.</w:t>
      </w:r>
    </w:p>
    <w:p>
      <w:pPr/>
      <w:r>
        <w:rPr>
          <w:lang w:val="en_US" w:bidi="en_US"/>
        </w:rPr>
      </w:r>
      <w:r>
        <w:rPr>
          <w:b/>
          <w:lang w:val="en_US" w:bidi="en_US"/>
        </w:rPr>
        <w:t>was accused of wasting his possessions:</w:t>
      </w:r>
      <w:r>
        <w:rPr>
          <w:lang w:val="en_US" w:bidi="en_US"/>
        </w:rPr>
        <w:t xml:space="preserve"> The verb that the BSB translates as </w:t>
      </w:r>
      <w:r>
        <w:rPr>
          <w:i/>
          <w:lang w:val="en_US" w:bidi="en_US"/>
        </w:rPr>
        <w:t>was accused</w:t>
      </w:r>
      <w:r>
        <w:rPr>
          <w:lang w:val="en_US" w:bidi="en_US"/>
        </w:rPr>
        <w:t xml:space="preserve"> is a passive verb. It implies here that another person spoke to the rich man and told him that his manager was not taking good care of his possessions. In some languages it may be necessary to use an active verb and provide a subject. If that is true in your language, you should provide a general subject. For example:</w:t>
      </w:r>
    </w:p>
    <w:p>
      <w:pPr/>
      <w:r>
        <w:rPr>
          <w:lang w:val="en_US" w:bidi="en_US"/>
        </w:rPr>
      </w:r>
      <w:r>
        <w:rPr>
          <w:lang w:val="en_US" w:bidi="en_US"/>
        </w:rPr>
        <w:t>Someone</w:t>
      </w:r>
      <w:r>
        <w:rPr>
          <w:lang w:val="en_US" w:bidi="en_US"/>
        </w:rPr>
        <w:t xml:space="preserve"> </w:t>
      </w:r>
      <w:r>
        <w:rPr>
          <w:lang w:val="en_US" w:bidi="en_US"/>
        </w:rPr>
        <w:t>went to him and</w:t>
      </w:r>
      <w:r>
        <w:rPr>
          <w:lang w:val="en_US" w:bidi="en_US"/>
        </w:rPr>
        <w:t xml:space="preserve"> accused the manager of wasting the rich man’s possessions.</w:t>
      </w:r>
    </w:p>
    <w:p>
      <w:pPr/>
      <w:r>
        <w:rPr>
          <w:lang w:val="en_US" w:bidi="en_US"/>
        </w:rPr>
      </w:r>
      <w:r>
        <w:rPr>
          <w:b/>
          <w:lang w:val="en_US" w:bidi="en_US"/>
        </w:rPr>
        <w:t>wasting his possessions:</w:t>
      </w:r>
      <w:r>
        <w:rPr>
          <w:lang w:val="en_US" w:bidi="en_US"/>
        </w:rPr>
        <w:t xml:space="preserve"> The phrase that the BSB translates as </w:t>
      </w:r>
      <w:r>
        <w:rPr>
          <w:i/>
          <w:lang w:val="en_US" w:bidi="en_US"/>
        </w:rPr>
        <w:t>wasting his possessions</w:t>
      </w:r>
      <w:r>
        <w:rPr>
          <w:lang w:val="en_US" w:bidi="en_US"/>
        </w:rPr>
        <w:t xml:space="preserve"> means here that the manager was misusing the rich man’s money and property. Apparently he was spending it for his own enjoyment. In 16:8 Jesus said explicitly that the manager was being dishonest. Some other ways to translate this expression are:</w:t>
      </w:r>
    </w:p>
    <w:p>
      <w:pPr/>
      <w:r>
        <w:rPr>
          <w:lang w:val="en_US" w:bidi="en_US"/>
        </w:rPr>
      </w:r>
      <w:r>
        <w:rPr>
          <w:lang w:val="en_US" w:bidi="en_US"/>
        </w:rPr>
        <w:t>cheating him (NCV)</w:t>
      </w:r>
    </w:p>
    <w:p>
      <w:pPr/>
      <w:r>
        <w:rPr>
          <w:lang w:val="en_US" w:bidi="en_US"/>
        </w:rPr>
      </w:r>
      <w:r>
        <w:rPr>
          <w:lang w:val="en_US" w:bidi="en_US"/>
        </w:rPr>
        <w:t>wasting his employer’s money (NLT)</w:t>
      </w:r>
    </w:p>
    <w:p>
      <w:pPr/>
      <w:r>
        <w:rPr>
          <w:lang w:val="en_US" w:bidi="en_US"/>
        </w:rPr>
      </w:r>
      <w:r>
        <w:rPr>
          <w:b/>
          <w:lang w:val="en_US" w:bidi="en_US"/>
        </w:rPr>
        <w:t>his possessions:</w:t>
      </w:r>
      <w:r>
        <w:rPr>
          <w:lang w:val="en_US" w:bidi="en_US"/>
        </w:rPr>
        <w:t xml:space="preserve"> In your translation, make sure that it is clear that the pronoun </w:t>
      </w:r>
      <w:r>
        <w:rPr>
          <w:i/>
          <w:lang w:val="en_US" w:bidi="en_US"/>
        </w:rPr>
        <w:t>his</w:t>
      </w:r>
      <w:r>
        <w:rPr>
          <w:lang w:val="en_US" w:bidi="en_US"/>
        </w:rPr>
        <w:t xml:space="preserve"> refers to the rich man.</w:t>
      </w:r>
    </w:p>
    <w:p>
      <w:pPr>
        <w:pStyle w:val="Heading6"/>
      </w:pPr>
      <w:r>
        <w:rPr>
          <w:b/>
          <w:lang w:val="en_US" w:bidi="en_US"/>
        </w:rPr>
        <w:t>General Comment on 16:1b–d</w:t>
      </w:r>
    </w:p>
    <w:p>
      <w:pPr/>
      <w:r>
        <w:rPr>
          <w:lang w:val="en_US" w:bidi="en_US"/>
        </w:rPr>
      </w:r>
      <w:r>
        <w:rPr>
          <w:lang w:val="en_US" w:bidi="en_US"/>
        </w:rPr>
        <w:t>There is a lot of information in 16:1b–d. In some languages it may be helpful to divide it into two or more sentences. For example:</w:t>
      </w:r>
    </w:p>
    <w:p>
      <w:pPr/>
      <w:r>
        <w:rPr>
          <w:lang w:val="en_US" w:bidi="en_US"/>
        </w:rPr>
      </w:r>
      <w:r>
        <w:rPr>
          <w:lang w:val="en_US" w:bidi="en_US"/>
        </w:rPr>
        <w:t>A rich man once had a manager to take care of his business. But he was told that his manager was wasting money. (CEV)</w:t>
      </w:r>
      <w:r>
        <w:rPr>
          <w:lang w:val="en_US" w:bidi="en_US"/>
        </w:rPr>
      </w:r>
      <w:r>
        <w:rPr>
          <w:lang w:val="en_US" w:bidi="en_US"/>
        </w:rPr>
      </w:r>
    </w:p>
    <w:p>
      <w:pPr/>
      <w:r>
        <w:rPr>
          <w:lang w:val="en_US" w:bidi="en_US"/>
        </w:rPr>
      </w:r>
    </w:p>
    <w:p>
      <w:pPr>
        <w:pStyle w:val="Heading2"/>
      </w:pPr>
      <w:r>
        <w:rPr>
          <w:lang w:val="en_US" w:bidi="en_US"/>
        </w:rPr>
        <w:t>Luke 16:2</w:t>
      </w:r>
      <w:r>
        <w:rPr>
          <w:lang w:val="en_US" w:bidi="en_US"/>
        </w:rPr>
      </w:r>
    </w:p>
    <w:p>
      <w:pPr>
        <w:pStyle w:val="Heading4"/>
      </w:pPr>
      <w:r>
        <w:rPr>
          <w:lang w:val="en_US" w:bidi="en_US"/>
        </w:rPr>
        <w:t>Section 16:1–13: Jesus told a parable about a dishonest manager who acted wisely</w:t>
      </w:r>
    </w:p>
    <w:p>
      <w:pPr/>
      <w:r>
        <w:rPr>
          <w:lang w:val="en_US" w:bidi="en_US"/>
        </w:rPr>
      </w:r>
      <w:r>
        <w:rPr>
          <w:lang w:val="en_US" w:bidi="en_US"/>
        </w:rP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pPr/>
      <w:r>
        <w:rPr>
          <w:lang w:val="en_US" w:bidi="en_US"/>
        </w:rPr>
      </w:r>
      <w:r>
        <w:rPr>
          <w:lang w:val="en_US" w:bidi="en_US"/>
        </w:rPr>
        <w:t>The main point of this parable is that the manager knew how to use money to make things better for his own future. In this way he was a good example for Jesus’ disciples. The parable does not mean that Jesus approved of the manager’s dishonesty.</w:t>
      </w:r>
    </w:p>
    <w:p>
      <w:pPr/>
      <w:r>
        <w:rPr>
          <w:lang w:val="en_US" w:bidi="en_US"/>
        </w:rPr>
      </w:r>
      <w:r>
        <w:rPr>
          <w:lang w:val="en_US" w:bidi="en_US"/>
        </w:rPr>
        <w:t>In 16:8c–16:9 Jesus commented on the parable and applied it to his disciples. In 16:10–13 he gave other teachings about the proper use of wealth.</w:t>
      </w:r>
    </w:p>
    <w:p>
      <w:pPr/>
      <w:r>
        <w:rPr>
          <w:lang w:val="en_US" w:bidi="en_US"/>
        </w:rPr>
      </w:r>
      <w:r>
        <w:rPr>
          <w:lang w:val="en_US" w:bidi="en_US"/>
        </w:rPr>
        <w:t>Other possible headings for this section are:</w:t>
      </w:r>
    </w:p>
    <w:p>
      <w:pPr/>
      <w:r>
        <w:rPr>
          <w:lang w:val="en_US" w:bidi="en_US"/>
        </w:rPr>
      </w:r>
      <w:r>
        <w:rPr>
          <w:lang w:val="en_US" w:bidi="en_US"/>
        </w:rPr>
        <w:t>The Parable of the Shrewd Manager (NIV)</w:t>
      </w:r>
    </w:p>
    <w:p>
      <w:pPr/>
      <w:r>
        <w:rPr>
          <w:lang w:val="en_US" w:bidi="en_US"/>
        </w:rPr>
      </w:r>
      <w:r>
        <w:rPr>
          <w:lang w:val="en_US" w:bidi="en_US"/>
        </w:rPr>
        <w:t>The dishonest man who was in charge of a rich man’s wealth</w:t>
      </w:r>
    </w:p>
    <w:p>
      <w:pPr>
        <w:pStyle w:val="Heading5"/>
      </w:pPr>
      <w:r>
        <w:rPr>
          <w:lang w:val="en_US" w:bidi="en_US"/>
        </w:rPr>
        <w:t>16:2a</w:t>
      </w:r>
    </w:p>
    <w:p>
      <w:pPr/>
      <w:r>
        <w:rPr>
          <w:lang w:val="en_US" w:bidi="en_US"/>
        </w:rPr>
      </w:r>
      <w:r>
        <w:rPr>
          <w:b/>
          <w:lang w:val="en_US" w:bidi="en_US"/>
        </w:rPr>
        <w:t>So he called him in to ask,</w:t>
      </w:r>
    </w:p>
    <w:p>
      <w:pPr>
        <w:pStyle w:val="ListBullet"/>
        <w:spacing w:line="240" w:lineRule="auto"/>
        <w:ind w:left="720"/>
      </w:pPr>
      <w:r>
        <w:rPr>
          <w:lang w:val="en_US" w:bidi="en_US"/>
        </w:rPr>
      </w:r>
      <w:r>
        <w:rPr>
          <w:lang w:val="en_US" w:bidi="en_US"/>
        </w:rPr>
        <w:t xml:space="preserve">So </w:t>
      </w:r>
      <w:r>
        <w:rPr>
          <w:lang w:val="en_US" w:bidi="en_US"/>
        </w:rPr>
        <w:t>the rich man</w:t>
      </w:r>
      <w:r>
        <w:rPr>
          <w:lang w:val="en_US" w:bidi="en_US"/>
        </w:rPr>
        <w:t xml:space="preserve"> ordered the manager to come. Then the rich man asked the manager,</w:t>
      </w:r>
    </w:p>
    <w:p>
      <w:pPr>
        <w:pStyle w:val="ListBullet"/>
        <w:spacing w:line="240" w:lineRule="auto"/>
        <w:ind w:left="720"/>
      </w:pPr>
      <w:r>
        <w:rPr>
          <w:lang w:val="en_US" w:bidi="en_US"/>
        </w:rPr>
      </w:r>
      <w:r>
        <w:rPr>
          <w:lang w:val="en_US" w:bidi="en_US"/>
        </w:rPr>
        <w:t xml:space="preserve">So </w:t>
      </w:r>
      <w:r>
        <w:rPr>
          <w:lang w:val="en_US" w:bidi="en_US"/>
        </w:rPr>
        <w:t>the rich man</w:t>
      </w:r>
      <w:r>
        <w:rPr>
          <w:lang w:val="en_US" w:bidi="en_US"/>
        </w:rPr>
        <w:t xml:space="preserve"> sent a message for </w:t>
      </w:r>
      <w:r>
        <w:rPr>
          <w:lang w:val="en_US" w:bidi="en_US"/>
        </w:rPr>
        <w:t>the employee/manager</w:t>
      </w:r>
      <w:r>
        <w:rPr>
          <w:lang w:val="en_US" w:bidi="en_US"/>
        </w:rPr>
        <w:t xml:space="preserve"> to come to him. </w:t>
      </w:r>
      <w:r>
        <w:rPr>
          <w:lang w:val="en_US" w:bidi="en_US"/>
        </w:rPr>
        <w:t>When he came,</w:t>
      </w:r>
      <w:r>
        <w:rPr>
          <w:lang w:val="en_US" w:bidi="en_US"/>
        </w:rPr>
        <w:t xml:space="preserve"> </w:t>
      </w:r>
      <w:r>
        <w:rPr>
          <w:lang w:val="en_US" w:bidi="en_US"/>
        </w:rPr>
        <w:t>the rich man</w:t>
      </w:r>
      <w:r>
        <w:rPr>
          <w:lang w:val="en_US" w:bidi="en_US"/>
        </w:rPr>
        <w:t xml:space="preserve"> said to him,</w:t>
      </w:r>
    </w:p>
    <w:p>
      <w:pPr/>
      <w:r>
        <w:rPr>
          <w:lang w:val="en_US" w:bidi="en_US"/>
        </w:rPr>
      </w:r>
      <w:r>
        <w:rPr>
          <w:b/>
          <w:lang w:val="en_US" w:bidi="en_US"/>
        </w:rPr>
        <w:t>called him in:</w:t>
      </w:r>
      <w:r>
        <w:rPr>
          <w:lang w:val="en_US" w:bidi="en_US"/>
        </w:rPr>
        <w:t xml:space="preserve"> The phrase that the BSB translates as </w:t>
      </w:r>
      <w:r>
        <w:rPr>
          <w:i/>
          <w:lang w:val="en_US" w:bidi="en_US"/>
        </w:rPr>
        <w:t>called him in</w:t>
      </w:r>
      <w:r>
        <w:rPr>
          <w:lang w:val="en_US" w:bidi="en_US"/>
        </w:rPr>
        <w:t xml:space="preserve"> means here that the rich man sent a messenger to tell the manager to come and talk to him. Other ways to translate this phrase are:</w:t>
      </w:r>
    </w:p>
    <w:p>
      <w:pPr/>
      <w:r>
        <w:rPr>
          <w:lang w:val="en_US" w:bidi="en_US"/>
        </w:rPr>
      </w:r>
      <w:r>
        <w:rPr>
          <w:lang w:val="en_US" w:bidi="en_US"/>
        </w:rPr>
        <w:t>summoned him (NRSV)</w:t>
      </w:r>
    </w:p>
    <w:p>
      <w:pPr/>
      <w:r>
        <w:rPr>
          <w:lang w:val="en_US" w:bidi="en_US"/>
        </w:rPr>
      </w:r>
      <w:r>
        <w:rPr>
          <w:lang w:val="en_US" w:bidi="en_US"/>
        </w:rPr>
        <w:t>caused him to be called</w:t>
      </w:r>
    </w:p>
    <w:p>
      <w:pPr/>
      <w:r>
        <w:rPr>
          <w:lang w:val="en_US" w:bidi="en_US"/>
        </w:rPr>
      </w:r>
      <w:r>
        <w:rPr>
          <w:lang w:val="en_US" w:bidi="en_US"/>
        </w:rPr>
        <w:t>sent a message for him to come</w:t>
      </w:r>
    </w:p>
    <w:p>
      <w:pPr>
        <w:pStyle w:val="Heading5"/>
      </w:pPr>
      <w:r>
        <w:rPr>
          <w:lang w:val="en_US" w:bidi="en_US"/>
        </w:rPr>
        <w:t>16:2b</w:t>
      </w:r>
    </w:p>
    <w:p>
      <w:pPr/>
      <w:r>
        <w:rPr>
          <w:lang w:val="en_US" w:bidi="en_US"/>
        </w:rPr>
      </w:r>
      <w:r>
        <w:rPr>
          <w:b/>
          <w:lang w:val="en_US" w:bidi="en_US"/>
        </w:rPr>
        <w:t>‘What is this I hear about you?</w:t>
      </w:r>
    </w:p>
    <w:p>
      <w:pPr>
        <w:pStyle w:val="ListBullet"/>
        <w:spacing w:line="240" w:lineRule="auto"/>
        <w:ind w:left="720"/>
      </w:pPr>
      <w:r>
        <w:rPr>
          <w:lang w:val="en_US" w:bidi="en_US"/>
        </w:rPr>
      </w:r>
      <w:r>
        <w:rPr>
          <w:lang w:val="en_US" w:bidi="en_US"/>
        </w:rPr>
        <w:t xml:space="preserve">‘What are these </w:t>
      </w:r>
      <w:r>
        <w:rPr>
          <w:lang w:val="en_US" w:bidi="en_US"/>
        </w:rPr>
        <w:t>bad</w:t>
      </w:r>
      <w:r>
        <w:rPr>
          <w:lang w:val="en_US" w:bidi="en_US"/>
        </w:rPr>
        <w:t xml:space="preserve"> things that people have been saying about you?</w:t>
      </w:r>
      <w:r>
        <w:rPr>
          <w:vertAlign w:val="superscript"/>
          <w:lang w:val="en_US" w:bidi="en_US"/>
        </w:rPr>
        <w:t>(sing)</w:t>
      </w:r>
    </w:p>
    <w:p>
      <w:pPr>
        <w:pStyle w:val="ListBullet"/>
        <w:spacing w:line="240" w:lineRule="auto"/>
        <w:ind w:left="720"/>
      </w:pPr>
      <w:r>
        <w:rPr>
          <w:lang w:val="en_US" w:bidi="en_US"/>
        </w:rPr>
      </w:r>
      <w:r>
        <w:rPr>
          <w:lang w:val="en_US" w:bidi="en_US"/>
        </w:rPr>
        <w:t>‘I have heard reports that you</w:t>
      </w:r>
      <w:r>
        <w:rPr>
          <w:vertAlign w:val="superscript"/>
          <w:lang w:val="en_US" w:bidi="en_US"/>
        </w:rPr>
        <w:t>(sing)</w:t>
      </w:r>
      <w:r>
        <w:rPr>
          <w:lang w:val="en_US" w:bidi="en_US"/>
        </w:rPr>
        <w:t xml:space="preserve"> </w:t>
      </w:r>
      <w:r>
        <w:rPr>
          <w:lang w:val="en_US" w:bidi="en_US"/>
        </w:rPr>
        <w:t>have been wasting my money.</w:t>
      </w:r>
      <w:r>
        <w:rPr>
          <w:lang w:val="en_US" w:bidi="en_US"/>
        </w:rPr>
        <w:t xml:space="preserve"> </w:t>
      </w:r>
      <w:r>
        <w:rPr>
          <w:lang w:val="en_US" w:bidi="en_US"/>
        </w:rPr>
        <w:t>I am very unhappy/disappointed with you.</w:t>
      </w:r>
    </w:p>
    <w:p>
      <w:pPr/>
      <w:r>
        <w:rPr>
          <w:lang w:val="en_US" w:bidi="en_US"/>
        </w:rPr>
      </w:r>
      <w:r>
        <w:rPr>
          <w:b/>
          <w:lang w:val="en_US" w:bidi="en_US"/>
        </w:rPr>
        <w:t>What is this I hear about you?:</w:t>
      </w:r>
      <w:r>
        <w:rPr>
          <w:lang w:val="en_US" w:bidi="en_US"/>
        </w:rPr>
        <w:t xml:space="preserve"> This is a rhetorical question. The rich man used this question to express that he was unhappy because of what he had heard about the manager. People had reported that the manager was cheating him. The rich man was not asking for an explanation. He believed that the reports were true, and he had already decided to dismiss the manager from his job (16:2d). Some ways to translate the rich man’s question here are:</w:t>
      </w:r>
    </w:p>
    <w:p>
      <w:pPr>
        <w:pStyle w:val="ListBullet"/>
        <w:spacing w:line="240" w:lineRule="auto"/>
        <w:ind w:left="720"/>
      </w:pPr>
      <w:r>
        <w:rPr>
          <w:lang w:val="en_US" w:bidi="en_US"/>
        </w:rPr>
      </w:r>
      <w:r>
        <w:rPr>
          <w:lang w:val="en_US" w:bidi="en_US"/>
        </w:rPr>
        <w:t>As a rhetorical question. For example:</w:t>
      </w:r>
      <w:r>
        <w:rPr>
          <w:lang w:val="en_US" w:bidi="en_US"/>
        </w:rPr>
        <w:t>What are these bad reports that I have heard about you?</w:t>
      </w:r>
      <w:r>
        <w:rPr>
          <w:lang w:val="en_US" w:bidi="en_US"/>
        </w:rPr>
        <w:t>Why have I been hearing that you are cheating me?</w:t>
      </w:r>
    </w:p>
    <w:p>
      <w:pPr>
        <w:pStyle w:val="ListBullet"/>
        <w:spacing w:line="240" w:lineRule="auto"/>
        <w:ind w:left="720"/>
      </w:pPr>
      <w:r>
        <w:rPr>
          <w:lang w:val="en_US" w:bidi="en_US"/>
        </w:rPr>
      </w:r>
      <w:r>
        <w:rPr>
          <w:lang w:val="en_US" w:bidi="en_US"/>
        </w:rPr>
        <w:t>As a statement. For example:</w:t>
      </w:r>
      <w:r>
        <w:rPr>
          <w:lang w:val="en_US" w:bidi="en_US"/>
        </w:rPr>
        <w:t>I am very unhappy at what I have heard about you.</w:t>
      </w:r>
    </w:p>
    <w:p>
      <w:pPr>
        <w:pStyle w:val="Heading5"/>
      </w:pPr>
      <w:r>
        <w:rPr>
          <w:lang w:val="en_US" w:bidi="en_US"/>
        </w:rPr>
        <w:t>16:2c</w:t>
      </w:r>
    </w:p>
    <w:p>
      <w:pPr/>
      <w:r>
        <w:rPr>
          <w:lang w:val="en_US" w:bidi="en_US"/>
        </w:rPr>
      </w:r>
      <w:r>
        <w:rPr>
          <w:b/>
          <w:lang w:val="en_US" w:bidi="en_US"/>
        </w:rPr>
        <w:t>Turn in an account of your management,</w:t>
      </w:r>
    </w:p>
    <w:p>
      <w:pPr>
        <w:pStyle w:val="ListBullet"/>
        <w:spacing w:line="240" w:lineRule="auto"/>
        <w:ind w:left="720"/>
      </w:pPr>
      <w:r>
        <w:rPr>
          <w:lang w:val="en_US" w:bidi="en_US"/>
        </w:rPr>
      </w:r>
      <w:r>
        <w:rPr>
          <w:lang w:val="en_US" w:bidi="en_US"/>
        </w:rPr>
        <w:t xml:space="preserve">Go prepare your </w:t>
      </w:r>
      <w:r>
        <w:rPr>
          <w:lang w:val="en_US" w:bidi="en_US"/>
        </w:rPr>
        <w:t>final</w:t>
      </w:r>
      <w:r>
        <w:rPr>
          <w:lang w:val="en_US" w:bidi="en_US"/>
        </w:rPr>
        <w:t xml:space="preserve"> report of how you</w:t>
      </w:r>
      <w:r>
        <w:rPr>
          <w:vertAlign w:val="superscript"/>
          <w:lang w:val="en_US" w:bidi="en_US"/>
        </w:rPr>
        <w:t>(sing)</w:t>
      </w:r>
      <w:r>
        <w:rPr>
          <w:lang w:val="en_US" w:bidi="en_US"/>
        </w:rPr>
        <w:t xml:space="preserve"> have managed </w:t>
      </w:r>
      <w:r>
        <w:rPr>
          <w:lang w:val="en_US" w:bidi="en_US"/>
        </w:rPr>
        <w:t>my money and my possessions</w:t>
      </w:r>
      <w:r>
        <w:rPr>
          <w:lang w:val="en_US" w:bidi="en_US"/>
        </w:rPr>
        <w:t>,</w:t>
      </w:r>
    </w:p>
    <w:p>
      <w:pPr>
        <w:pStyle w:val="ListBullet"/>
        <w:spacing w:line="240" w:lineRule="auto"/>
        <w:ind w:left="720"/>
      </w:pPr>
      <w:r>
        <w:rPr>
          <w:lang w:val="en_US" w:bidi="en_US"/>
        </w:rPr>
      </w:r>
      <w:r>
        <w:rPr>
          <w:lang w:val="en_US" w:bidi="en_US"/>
        </w:rPr>
        <w:t>Give me the list/statement that shows what you</w:t>
      </w:r>
      <w:r>
        <w:rPr>
          <w:vertAlign w:val="superscript"/>
          <w:lang w:val="en_US" w:bidi="en_US"/>
        </w:rPr>
        <w:t>(sing)</w:t>
      </w:r>
      <w:r>
        <w:rPr>
          <w:lang w:val="en_US" w:bidi="en_US"/>
        </w:rPr>
        <w:t xml:space="preserve"> have done with my money, </w:t>
      </w:r>
      <w:r>
        <w:rPr>
          <w:lang w:val="en_US" w:bidi="en_US"/>
        </w:rPr>
        <w:t>what you have spent and what you have gained</w:t>
      </w:r>
      <w:r>
        <w:rPr>
          <w:lang w:val="en_US" w:bidi="en_US"/>
        </w:rPr>
        <w:t>,</w:t>
      </w:r>
    </w:p>
    <w:p>
      <w:pPr/>
      <w:r>
        <w:rPr>
          <w:lang w:val="en_US" w:bidi="en_US"/>
        </w:rPr>
      </w:r>
      <w:r>
        <w:rPr>
          <w:b/>
          <w:lang w:val="en_US" w:bidi="en_US"/>
        </w:rPr>
        <w:t>Turn in an account of your management:</w:t>
      </w:r>
      <w:r>
        <w:rPr>
          <w:lang w:val="en_US" w:bidi="en_US"/>
        </w:rPr>
        <w:t xml:space="preserve"> Here the rich man indicated that the manager should write a report about how he had managed the rich man’s property. He should list everything that he had bought and sold. He should also list the debts that people still owed, and he should indicate the current value of the rich man’s property. Other ways to translate this command are:</w:t>
      </w:r>
    </w:p>
    <w:p>
      <w:pPr/>
      <w:r>
        <w:rPr>
          <w:lang w:val="en_US" w:bidi="en_US"/>
        </w:rPr>
      </w:r>
      <w:r>
        <w:rPr>
          <w:lang w:val="en_US" w:bidi="en_US"/>
        </w:rPr>
        <w:t>Give me a report of what you have done with my money (NCV)</w:t>
      </w:r>
    </w:p>
    <w:p>
      <w:pPr/>
      <w:r>
        <w:rPr>
          <w:lang w:val="en_US" w:bidi="en_US"/>
        </w:rPr>
      </w:r>
      <w:r>
        <w:rPr>
          <w:lang w:val="en_US" w:bidi="en_US"/>
        </w:rPr>
        <w:t xml:space="preserve">Write/Make a </w:t>
      </w:r>
      <w:r>
        <w:rPr>
          <w:lang w:val="en_US" w:bidi="en_US"/>
        </w:rPr>
        <w:t>detailed</w:t>
      </w:r>
      <w:r>
        <w:rPr>
          <w:lang w:val="en_US" w:bidi="en_US"/>
        </w:rPr>
        <w:t xml:space="preserve"> report </w:t>
      </w:r>
      <w:r>
        <w:rPr>
          <w:lang w:val="en_US" w:bidi="en_US"/>
        </w:rPr>
        <w:t>for me</w:t>
      </w:r>
      <w:r>
        <w:rPr>
          <w:lang w:val="en_US" w:bidi="en_US"/>
        </w:rPr>
        <w:t xml:space="preserve"> about how you have managed my property (TRT)</w:t>
      </w:r>
    </w:p>
    <w:p>
      <w:pPr/>
      <w:r>
        <w:rPr>
          <w:lang w:val="en_US" w:bidi="en_US"/>
        </w:rPr>
      </w:r>
      <w:r>
        <w:rPr>
          <w:lang w:val="en_US" w:bidi="en_US"/>
        </w:rPr>
        <w:t>Turn in a complete account of your handling of my property (GNT)</w:t>
      </w:r>
    </w:p>
    <w:p>
      <w:pPr>
        <w:pStyle w:val="Heading5"/>
      </w:pPr>
      <w:r>
        <w:rPr>
          <w:lang w:val="en_US" w:bidi="en_US"/>
        </w:rPr>
        <w:t>16:2d</w:t>
      </w:r>
    </w:p>
    <w:p>
      <w:pPr/>
      <w:r>
        <w:rPr>
          <w:lang w:val="en_US" w:bidi="en_US"/>
        </w:rPr>
      </w:r>
      <w:r>
        <w:rPr>
          <w:b/>
          <w:lang w:val="en_US" w:bidi="en_US"/>
        </w:rPr>
        <w:t>for you cannot be manager any longer.’</w:t>
      </w:r>
    </w:p>
    <w:p>
      <w:pPr>
        <w:pStyle w:val="ListBullet"/>
        <w:spacing w:line="240" w:lineRule="auto"/>
        <w:ind w:left="720"/>
      </w:pPr>
      <w:r>
        <w:rPr>
          <w:lang w:val="en_US" w:bidi="en_US"/>
        </w:rPr>
      </w:r>
      <w:r>
        <w:rPr>
          <w:lang w:val="en_US" w:bidi="en_US"/>
        </w:rPr>
        <w:t>because I cannot permit you</w:t>
      </w:r>
      <w:r>
        <w:rPr>
          <w:vertAlign w:val="superscript"/>
          <w:lang w:val="en_US" w:bidi="en_US"/>
        </w:rPr>
        <w:t>(sing)</w:t>
      </w:r>
      <w:r>
        <w:rPr>
          <w:lang w:val="en_US" w:bidi="en_US"/>
        </w:rPr>
        <w:t xml:space="preserve"> to manage my property/money any more.’</w:t>
      </w:r>
    </w:p>
    <w:p>
      <w:pPr>
        <w:pStyle w:val="ListBullet"/>
        <w:spacing w:line="240" w:lineRule="auto"/>
        <w:ind w:left="720"/>
      </w:pPr>
      <w:r>
        <w:rPr>
          <w:lang w:val="en_US" w:bidi="en_US"/>
        </w:rPr>
      </w:r>
      <w:r>
        <w:rPr>
          <w:lang w:val="en_US" w:bidi="en_US"/>
        </w:rPr>
        <w:t>because I am going to remove you</w:t>
      </w:r>
      <w:r>
        <w:rPr>
          <w:vertAlign w:val="superscript"/>
          <w:lang w:val="en_US" w:bidi="en_US"/>
        </w:rPr>
        <w:t>(sing)</w:t>
      </w:r>
      <w:r>
        <w:rPr>
          <w:lang w:val="en_US" w:bidi="en_US"/>
        </w:rPr>
        <w:t xml:space="preserve"> from your job.’</w:t>
      </w:r>
    </w:p>
    <w:p>
      <w:pPr>
        <w:pStyle w:val="ListBullet"/>
        <w:spacing w:line="240" w:lineRule="auto"/>
        <w:ind w:left="720"/>
      </w:pPr>
      <w:r>
        <w:rPr>
          <w:lang w:val="en_US" w:bidi="en_US"/>
        </w:rPr>
      </w:r>
      <w:r>
        <w:rPr>
          <w:lang w:val="en_US" w:bidi="en_US"/>
        </w:rPr>
        <w:t>because you</w:t>
      </w:r>
      <w:r>
        <w:rPr>
          <w:vertAlign w:val="superscript"/>
          <w:lang w:val="en_US" w:bidi="en_US"/>
        </w:rPr>
        <w:t>(sing)</w:t>
      </w:r>
      <w:r>
        <w:rPr>
          <w:lang w:val="en_US" w:bidi="en_US"/>
        </w:rPr>
        <w:t xml:space="preserve"> are not fit to look after my property/money any more.’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why the rich man told the manager to turn in his final financial report.</w:t>
      </w:r>
    </w:p>
    <w:p>
      <w:pPr/>
      <w:r>
        <w:rPr>
          <w:lang w:val="en_US" w:bidi="en_US"/>
        </w:rPr>
      </w:r>
      <w:r>
        <w:rPr>
          <w:b/>
          <w:lang w:val="en_US" w:bidi="en_US"/>
        </w:rPr>
        <w:t>you cannot be manager any longer:</w:t>
      </w:r>
      <w:r>
        <w:rPr>
          <w:lang w:val="en_US" w:bidi="en_US"/>
        </w:rPr>
        <w:t xml:space="preserve"> This statement means “you cannot continue working as my manager.” It is an indirect way for the rich man to say that he was removing the manager from his job. Other ways to translate this clause are:</w:t>
      </w:r>
    </w:p>
    <w:p>
      <w:pPr/>
      <w:r>
        <w:rPr>
          <w:lang w:val="en_US" w:bidi="en_US"/>
        </w:rPr>
      </w:r>
      <w:r>
        <w:rPr>
          <w:lang w:val="en_US" w:bidi="en_US"/>
        </w:rPr>
        <w:t>you are going to be fired (NLT)</w:t>
      </w:r>
    </w:p>
    <w:p>
      <w:pPr/>
      <w:r>
        <w:rPr>
          <w:lang w:val="en_US" w:bidi="en_US"/>
        </w:rPr>
      </w:r>
      <w:r>
        <w:rPr>
          <w:lang w:val="en_US" w:bidi="en_US"/>
        </w:rPr>
        <w:t>from now on, it is not you who will be in charge of my property</w:t>
      </w:r>
      <w:r>
        <w:rPr>
          <w:lang w:val="en_US" w:bidi="en_US"/>
        </w:rPr>
      </w:r>
      <w:r>
        <w:rPr>
          <w:lang w:val="en_US" w:bidi="en_US"/>
        </w:rPr>
      </w:r>
    </w:p>
    <w:p>
      <w:pPr/>
      <w:r>
        <w:rPr>
          <w:lang w:val="en_US" w:bidi="en_US"/>
        </w:rPr>
      </w:r>
    </w:p>
    <w:p>
      <w:pPr>
        <w:pStyle w:val="Heading2"/>
      </w:pPr>
      <w:r>
        <w:rPr>
          <w:lang w:val="en_US" w:bidi="en_US"/>
        </w:rPr>
        <w:t>Luke 16:3</w:t>
      </w:r>
      <w:r>
        <w:rPr>
          <w:lang w:val="en_US" w:bidi="en_US"/>
        </w:rPr>
      </w:r>
    </w:p>
    <w:p>
      <w:pPr>
        <w:pStyle w:val="Heading4"/>
      </w:pPr>
      <w:r>
        <w:rPr>
          <w:lang w:val="en_US" w:bidi="en_US"/>
        </w:rPr>
        <w:t>Section 16:1–13: Jesus told a parable about a dishonest manager who acted wisely</w:t>
      </w:r>
    </w:p>
    <w:p>
      <w:pPr/>
      <w:r>
        <w:rPr>
          <w:lang w:val="en_US" w:bidi="en_US"/>
        </w:rPr>
      </w:r>
      <w:r>
        <w:rPr>
          <w:lang w:val="en_US" w:bidi="en_US"/>
        </w:rP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pPr/>
      <w:r>
        <w:rPr>
          <w:lang w:val="en_US" w:bidi="en_US"/>
        </w:rPr>
      </w:r>
      <w:r>
        <w:rPr>
          <w:lang w:val="en_US" w:bidi="en_US"/>
        </w:rPr>
        <w:t>The main point of this parable is that the manager knew how to use money to make things better for his own future. In this way he was a good example for Jesus’ disciples. The parable does not mean that Jesus approved of the manager’s dishonesty.</w:t>
      </w:r>
    </w:p>
    <w:p>
      <w:pPr/>
      <w:r>
        <w:rPr>
          <w:lang w:val="en_US" w:bidi="en_US"/>
        </w:rPr>
      </w:r>
      <w:r>
        <w:rPr>
          <w:lang w:val="en_US" w:bidi="en_US"/>
        </w:rPr>
        <w:t>In 16:8c–16:9 Jesus commented on the parable and applied it to his disciples. In 16:10–13 he gave other teachings about the proper use of wealth.</w:t>
      </w:r>
    </w:p>
    <w:p>
      <w:pPr/>
      <w:r>
        <w:rPr>
          <w:lang w:val="en_US" w:bidi="en_US"/>
        </w:rPr>
      </w:r>
      <w:r>
        <w:rPr>
          <w:lang w:val="en_US" w:bidi="en_US"/>
        </w:rPr>
        <w:t>Other possible headings for this section are:</w:t>
      </w:r>
    </w:p>
    <w:p>
      <w:pPr/>
      <w:r>
        <w:rPr>
          <w:lang w:val="en_US" w:bidi="en_US"/>
        </w:rPr>
      </w:r>
      <w:r>
        <w:rPr>
          <w:lang w:val="en_US" w:bidi="en_US"/>
        </w:rPr>
        <w:t>The Parable of the Shrewd Manager (NIV)</w:t>
      </w:r>
    </w:p>
    <w:p>
      <w:pPr/>
      <w:r>
        <w:rPr>
          <w:lang w:val="en_US" w:bidi="en_US"/>
        </w:rPr>
      </w:r>
      <w:r>
        <w:rPr>
          <w:lang w:val="en_US" w:bidi="en_US"/>
        </w:rPr>
        <w:t>The dishonest man who was in charge of a rich man’s wealth</w:t>
      </w:r>
    </w:p>
    <w:p>
      <w:pPr>
        <w:pStyle w:val="Heading5"/>
      </w:pPr>
      <w:r>
        <w:rPr>
          <w:lang w:val="en_US" w:bidi="en_US"/>
        </w:rPr>
        <w:t>16:3a</w:t>
      </w:r>
    </w:p>
    <w:p>
      <w:pPr/>
      <w:r>
        <w:rPr>
          <w:lang w:val="en_US" w:bidi="en_US"/>
        </w:rPr>
      </w:r>
      <w:r>
        <w:rPr>
          <w:b/>
          <w:lang w:val="en_US" w:bidi="en_US"/>
        </w:rPr>
        <w:t>The manager said to himself,</w:t>
      </w:r>
    </w:p>
    <w:p>
      <w:pPr>
        <w:pStyle w:val="ListBullet"/>
        <w:spacing w:line="240" w:lineRule="auto"/>
        <w:ind w:left="720"/>
      </w:pPr>
      <w:r>
        <w:rPr>
          <w:lang w:val="en_US" w:bidi="en_US"/>
        </w:rPr>
      </w:r>
      <w:r>
        <w:rPr>
          <w:lang w:val="en_US" w:bidi="en_US"/>
        </w:rPr>
        <w:t>¶ “The manager asked himself,</w:t>
      </w:r>
    </w:p>
    <w:p>
      <w:pPr>
        <w:pStyle w:val="ListBullet"/>
        <w:spacing w:line="240" w:lineRule="auto"/>
        <w:ind w:left="720"/>
      </w:pPr>
      <w:r>
        <w:rPr>
          <w:lang w:val="en_US" w:bidi="en_US"/>
        </w:rPr>
      </w:r>
      <w:r>
        <w:rPr>
          <w:lang w:val="en_US" w:bidi="en_US"/>
        </w:rPr>
        <w:t>¶ “Then/Later that employee thought,</w:t>
      </w:r>
    </w:p>
    <w:p>
      <w:pPr/>
      <w:r>
        <w:rPr>
          <w:lang w:val="en_US" w:bidi="en_US"/>
        </w:rPr>
      </w:r>
      <w:r>
        <w:rPr>
          <w:lang w:val="en_US" w:bidi="en_US"/>
        </w:rPr>
        <w:t>In Greek, this verse begins with a conjunction that many versions translate as “and.” It probably introduces an action that occurred after some time had passed, after the manager had been able to think about his situation. For that reason, versions such as the NET and NRSV translate it as “Then.” The BSB and several other versions do not translate this conjunction. Introduce this verse in a way that is natural in your language.</w:t>
      </w:r>
    </w:p>
    <w:p>
      <w:pPr/>
      <w:r>
        <w:rPr>
          <w:lang w:val="en_US" w:bidi="en_US"/>
        </w:rPr>
      </w:r>
      <w:r>
        <w:rPr>
          <w:b/>
          <w:lang w:val="en_US" w:bidi="en_US"/>
        </w:rPr>
        <w:t>The manager said to himself:</w:t>
      </w:r>
      <w:r>
        <w:rPr>
          <w:lang w:val="en_US" w:bidi="en_US"/>
        </w:rPr>
        <w:t xml:space="preserve"> The phrase </w:t>
      </w:r>
      <w:r>
        <w:rPr>
          <w:i/>
          <w:lang w:val="en_US" w:bidi="en_US"/>
        </w:rPr>
        <w:t>The manager said to himself</w:t>
      </w:r>
      <w:r>
        <w:rPr>
          <w:lang w:val="en_US" w:bidi="en_US"/>
        </w:rPr>
        <w:t xml:space="preserve"> introduces something that the manager thought. It represents a conversation that he carried on with himself in his own mind. A similar idea occurs in 15:17.</w:t>
      </w:r>
    </w:p>
    <w:p>
      <w:pPr>
        <w:pStyle w:val="Heading5"/>
      </w:pPr>
      <w:r>
        <w:rPr>
          <w:lang w:val="en_US" w:bidi="en_US"/>
        </w:rPr>
        <w:t>16:3b</w:t>
      </w:r>
    </w:p>
    <w:p>
      <w:pPr/>
      <w:r>
        <w:rPr>
          <w:lang w:val="en_US" w:bidi="en_US"/>
        </w:rPr>
      </w:r>
      <w:r>
        <w:rPr>
          <w:b/>
          <w:lang w:val="en_US" w:bidi="en_US"/>
        </w:rPr>
        <w:t>‘What shall I do, now</w:t>
      </w:r>
    </w:p>
    <w:p>
      <w:pPr>
        <w:pStyle w:val="ListBullet"/>
        <w:spacing w:line="240" w:lineRule="auto"/>
        <w:ind w:left="720"/>
      </w:pPr>
      <w:r>
        <w:rPr>
          <w:lang w:val="en_US" w:bidi="en_US"/>
        </w:rPr>
      </w:r>
      <w:r>
        <w:rPr>
          <w:lang w:val="en_US" w:bidi="en_US"/>
        </w:rPr>
        <w:t>‘What should I do now?</w:t>
      </w:r>
    </w:p>
    <w:p>
      <w:pPr>
        <w:pStyle w:val="ListBullet"/>
        <w:spacing w:line="240" w:lineRule="auto"/>
        <w:ind w:left="720"/>
      </w:pPr>
      <w:r>
        <w:rPr>
          <w:lang w:val="en_US" w:bidi="en_US"/>
        </w:rPr>
      </w:r>
      <w:r>
        <w:rPr>
          <w:lang w:val="en_US" w:bidi="en_US"/>
        </w:rPr>
        <w:t xml:space="preserve">‘I wonder what to do now </w:t>
      </w:r>
      <w:r>
        <w:rPr>
          <w:lang w:val="en_US" w:bidi="en_US"/>
        </w:rPr>
        <w:t>to support myself</w:t>
      </w:r>
      <w:r>
        <w:rPr>
          <w:lang w:val="en_US" w:bidi="en_US"/>
        </w:rPr>
        <w:t>.</w:t>
      </w:r>
    </w:p>
    <w:p>
      <w:pPr/>
      <w:r>
        <w:rPr>
          <w:lang w:val="en_US" w:bidi="en_US"/>
        </w:rPr>
      </w:r>
      <w:r>
        <w:rPr>
          <w:b/>
          <w:lang w:val="en_US" w:bidi="en_US"/>
        </w:rPr>
        <w:t>What shall I do…?:</w:t>
      </w:r>
      <w:r>
        <w:rPr>
          <w:lang w:val="en_US" w:bidi="en_US"/>
        </w:rPr>
        <w:t xml:space="preserve"> This is probably a rhetorical question. The manager was thinking to himself. He was expressing uncertainty about what he could do now that he no longer had his job. He was wondering how to get money to buy the food and other things that he needed. Some ways to translate this question are:</w:t>
      </w:r>
    </w:p>
    <w:p>
      <w:pPr>
        <w:pStyle w:val="ListBullet"/>
        <w:spacing w:line="240" w:lineRule="auto"/>
        <w:ind w:left="720"/>
      </w:pPr>
      <w:r>
        <w:rPr>
          <w:lang w:val="en_US" w:bidi="en_US"/>
        </w:rPr>
      </w:r>
      <w:r>
        <w:rPr>
          <w:lang w:val="en_US" w:bidi="en_US"/>
        </w:rPr>
        <w:t>As a rhetorical question. For example:</w:t>
      </w:r>
      <w:r>
        <w:rPr>
          <w:lang w:val="en_US" w:bidi="en_US"/>
        </w:rPr>
        <w:t>What should I do? (GW)</w:t>
      </w:r>
    </w:p>
    <w:p>
      <w:pPr>
        <w:pStyle w:val="ListBullet"/>
        <w:spacing w:line="240" w:lineRule="auto"/>
        <w:ind w:left="720"/>
      </w:pPr>
      <w:r>
        <w:rPr>
          <w:lang w:val="en_US" w:bidi="en_US"/>
        </w:rPr>
      </w:r>
      <w:r>
        <w:rPr>
          <w:lang w:val="en_US" w:bidi="en_US"/>
        </w:rPr>
        <w:t>As a statement. For example:</w:t>
      </w:r>
      <w:r>
        <w:rPr>
          <w:lang w:val="en_US" w:bidi="en_US"/>
        </w:rPr>
        <w:t>I wonder what I should do now.</w:t>
      </w:r>
      <w:r>
        <w:rPr>
          <w:lang w:val="en_US" w:bidi="en_US"/>
        </w:rPr>
        <w:t xml:space="preserve">I am uncertain what to do now. </w:t>
      </w:r>
      <w:r>
        <w:rPr>
          <w:lang w:val="en_US" w:bidi="en_US"/>
        </w:rPr>
        <w:t>I need to find another way to support myself.</w:t>
      </w:r>
    </w:p>
    <w:p>
      <w:pPr/>
      <w:r>
        <w:rPr>
          <w:lang w:val="en_US" w:bidi="en_US"/>
        </w:rPr>
      </w:r>
      <w:r>
        <w:rPr>
          <w:lang w:val="en_US" w:bidi="en_US"/>
        </w:rPr>
        <w:t>Translate the manager’s uncertainty in a way that is natural in your language.</w:t>
      </w:r>
    </w:p>
    <w:p>
      <w:pPr>
        <w:pStyle w:val="Heading5"/>
      </w:pPr>
      <w:r>
        <w:rPr>
          <w:lang w:val="en_US" w:bidi="en_US"/>
        </w:rPr>
        <w:t>16:3c</w:t>
      </w:r>
    </w:p>
    <w:p>
      <w:pPr/>
      <w:r>
        <w:rPr>
          <w:lang w:val="en_US" w:bidi="en_US"/>
        </w:rPr>
      </w:r>
      <w:r>
        <w:rPr>
          <w:b/>
          <w:lang w:val="en_US" w:bidi="en_US"/>
        </w:rPr>
        <w:t>that my master is taking away my position?</w:t>
      </w:r>
    </w:p>
    <w:p>
      <w:pPr>
        <w:pStyle w:val="ListBullet"/>
        <w:spacing w:line="240" w:lineRule="auto"/>
        <w:ind w:left="720"/>
      </w:pPr>
      <w:r>
        <w:rPr>
          <w:lang w:val="en_US" w:bidi="en_US"/>
        </w:rPr>
      </w:r>
      <w:r>
        <w:rPr>
          <w:lang w:val="en_US" w:bidi="en_US"/>
        </w:rPr>
        <w:t xml:space="preserve">My master </w:t>
      </w:r>
      <w:r>
        <w:rPr>
          <w:lang w:val="en_US" w:bidi="en_US"/>
        </w:rPr>
        <w:t>has told me</w:t>
      </w:r>
      <w:r>
        <w:rPr>
          <w:lang w:val="en_US" w:bidi="en_US"/>
        </w:rPr>
        <w:t xml:space="preserve"> that I cannot work for him any more.</w:t>
      </w:r>
    </w:p>
    <w:p>
      <w:pPr>
        <w:pStyle w:val="ListBullet"/>
        <w:spacing w:line="240" w:lineRule="auto"/>
        <w:ind w:left="720"/>
      </w:pPr>
      <w:r>
        <w:rPr>
          <w:lang w:val="en_US" w:bidi="en_US"/>
        </w:rPr>
      </w:r>
      <w:r>
        <w:rPr>
          <w:lang w:val="en_US" w:bidi="en_US"/>
        </w:rPr>
        <w:t>My employer will remove me from my work.</w:t>
      </w:r>
    </w:p>
    <w:p>
      <w:pPr>
        <w:pStyle w:val="ListBullet"/>
        <w:spacing w:line="240" w:lineRule="auto"/>
        <w:ind w:left="720"/>
      </w:pPr>
      <w:r>
        <w:rPr>
          <w:lang w:val="en_US" w:bidi="en_US"/>
        </w:rPr>
      </w:r>
      <w:r>
        <w:rPr>
          <w:lang w:val="en_US" w:bidi="en_US"/>
        </w:rPr>
        <w:t>My boss has fired/dismissed me.</w:t>
      </w:r>
    </w:p>
    <w:p>
      <w:pPr/>
      <w:r>
        <w:rPr>
          <w:lang w:val="en_US" w:bidi="en_US"/>
        </w:rPr>
      </w:r>
      <w:r>
        <w:rPr>
          <w:b/>
          <w:lang w:val="en_US" w:bidi="en_US"/>
        </w:rPr>
        <w:t>now that my master is taking away my position:</w:t>
      </w:r>
      <w:r>
        <w:rPr>
          <w:lang w:val="en_US" w:bidi="en_US"/>
        </w:rPr>
        <w:t xml:space="preserve"> In Greek and in the BSB, the verb </w:t>
      </w:r>
      <w:r>
        <w:rPr>
          <w:i/>
          <w:lang w:val="en_US" w:bidi="en_US"/>
        </w:rPr>
        <w:t>is taking away</w:t>
      </w:r>
      <w:r>
        <w:rPr>
          <w:lang w:val="en_US" w:bidi="en_US"/>
        </w:rPr>
        <w:t xml:space="preserve"> is in the present tense. It indicates that the action was still happening. The rich man had told him that he could not continue to be his manager. However, the manager’s work would not actually be finished until he had turned in the financial accounts. Consider what verb tense you would use to express this situation in your language.</w:t>
      </w:r>
    </w:p>
    <w:p>
      <w:pPr/>
      <w:r>
        <w:rPr>
          <w:lang w:val="en_US" w:bidi="en_US"/>
        </w:rPr>
      </w:r>
      <w:r>
        <w:rPr>
          <w:lang w:val="en_US" w:bidi="en_US"/>
        </w:rPr>
        <w:t xml:space="preserve">In some languages a </w:t>
      </w:r>
      <w:r>
        <w:rPr>
          <w:i/>
          <w:lang w:val="en_US" w:bidi="en_US"/>
        </w:rPr>
        <w:t>position</w:t>
      </w:r>
      <w:r>
        <w:rPr>
          <w:lang w:val="en_US" w:bidi="en_US"/>
        </w:rPr>
        <w:t xml:space="preserve"> is not something that can be “taken away” from someone. Use an expression that is natural in your language. Another way to translate it in English is:</w:t>
      </w:r>
    </w:p>
    <w:p>
      <w:pPr/>
      <w:r>
        <w:rPr>
          <w:lang w:val="en_US" w:bidi="en_US"/>
        </w:rPr>
      </w:r>
      <w:r>
        <w:rPr>
          <w:lang w:val="en_US" w:bidi="en_US"/>
        </w:rPr>
        <w:t>My master is not going to employ me any longer.</w:t>
      </w:r>
    </w:p>
    <w:p>
      <w:pPr/>
      <w:r>
        <w:rPr>
          <w:lang w:val="en_US" w:bidi="en_US"/>
        </w:rPr>
      </w:r>
      <w:r>
        <w:rPr>
          <w:b/>
          <w:lang w:val="en_US" w:bidi="en_US"/>
        </w:rPr>
        <w:t>my master:</w:t>
      </w:r>
      <w:r>
        <w:rPr>
          <w:lang w:val="en_US" w:bidi="en_US"/>
        </w:rPr>
        <w:t xml:space="preserve"> The words </w:t>
      </w:r>
      <w:r>
        <w:rPr>
          <w:i/>
          <w:lang w:val="en_US" w:bidi="en_US"/>
        </w:rPr>
        <w:t>my master</w:t>
      </w:r>
      <w:r>
        <w:rPr>
          <w:lang w:val="en_US" w:bidi="en_US"/>
        </w:rPr>
        <w:t xml:space="preserve"> refer here to the manager’s employer. The manager was a hired servant rather than a slave. Use an expression that is natural for a hired man to use to refer to his employer.</w:t>
      </w:r>
    </w:p>
    <w:p>
      <w:pPr>
        <w:pStyle w:val="Heading6"/>
      </w:pPr>
      <w:r>
        <w:rPr>
          <w:b/>
          <w:lang w:val="en_US" w:bidi="en_US"/>
        </w:rPr>
        <w:t>General Comment on 16:3b–c</w:t>
      </w:r>
    </w:p>
    <w:p>
      <w:pPr/>
      <w:r>
        <w:rPr>
          <w:lang w:val="en_US" w:bidi="en_US"/>
        </w:rPr>
      </w:r>
      <w:r>
        <w:rPr>
          <w:lang w:val="en_US" w:bidi="en_US"/>
        </w:rPr>
        <w:t>In some languages it may be more natural to reverse the order of 16:3b and 16:3c. For example:</w:t>
      </w:r>
    </w:p>
    <w:p>
      <w:pPr/>
      <w:r>
        <w:rPr>
          <w:lang w:val="en_US" w:bidi="en_US"/>
        </w:rPr>
      </w:r>
      <w:r>
        <w:rPr>
          <w:vertAlign w:val="superscript"/>
          <w:lang w:val="en_US" w:bidi="en_US"/>
        </w:rPr>
        <w:t>16c</w:t>
      </w:r>
      <w:r>
        <w:rPr>
          <w:lang w:val="en_US" w:bidi="en_US"/>
        </w:rPr>
        <w:t xml:space="preserve">My master is taking away my job. </w:t>
      </w:r>
      <w:r>
        <w:rPr>
          <w:vertAlign w:val="superscript"/>
          <w:lang w:val="en_US" w:bidi="en_US"/>
        </w:rPr>
        <w:t>16b</w:t>
      </w:r>
      <w:r>
        <w:rPr>
          <w:lang w:val="en_US" w:bidi="en_US"/>
        </w:rPr>
        <w:t>What shall I do now?</w:t>
      </w:r>
    </w:p>
    <w:p>
      <w:pPr>
        <w:pStyle w:val="Heading5"/>
      </w:pPr>
      <w:r>
        <w:rPr>
          <w:lang w:val="en_US" w:bidi="en_US"/>
        </w:rPr>
        <w:t>16:3d</w:t>
      </w:r>
    </w:p>
    <w:p>
      <w:pPr/>
      <w:r>
        <w:rPr>
          <w:lang w:val="en_US" w:bidi="en_US"/>
        </w:rPr>
      </w:r>
      <w:r>
        <w:rPr>
          <w:b/>
          <w:lang w:val="en_US" w:bidi="en_US"/>
        </w:rPr>
        <w:t>I am too weak to dig</w:t>
      </w:r>
    </w:p>
    <w:p>
      <w:pPr>
        <w:pStyle w:val="ListBullet"/>
        <w:spacing w:line="240" w:lineRule="auto"/>
        <w:ind w:left="720"/>
      </w:pPr>
      <w:r>
        <w:rPr>
          <w:lang w:val="en_US" w:bidi="en_US"/>
        </w:rPr>
      </w:r>
      <w:r>
        <w:rPr>
          <w:lang w:val="en_US" w:bidi="en_US"/>
        </w:rPr>
        <w:t xml:space="preserve">I lack the strength to do </w:t>
      </w:r>
      <w:r>
        <w:rPr>
          <w:lang w:val="en_US" w:bidi="en_US"/>
        </w:rPr>
        <w:t>heavy work like</w:t>
      </w:r>
      <w:r>
        <w:rPr>
          <w:lang w:val="en_US" w:bidi="en_US"/>
        </w:rPr>
        <w:t xml:space="preserve"> digging/shoveling/hoeing,</w:t>
      </w:r>
    </w:p>
    <w:p>
      <w:pPr>
        <w:pStyle w:val="ListBullet"/>
        <w:spacing w:line="240" w:lineRule="auto"/>
        <w:ind w:left="720"/>
      </w:pPr>
      <w:r>
        <w:rPr>
          <w:lang w:val="en_US" w:bidi="en_US"/>
        </w:rPr>
      </w:r>
      <w:r>
        <w:rPr>
          <w:lang w:val="en_US" w:bidi="en_US"/>
        </w:rPr>
        <w:t xml:space="preserve">I am too weak to work </w:t>
      </w:r>
      <w:r>
        <w:rPr>
          <w:lang w:val="en_US" w:bidi="en_US"/>
        </w:rPr>
        <w:t>in the fields</w:t>
      </w:r>
      <w:r>
        <w:rPr>
          <w:lang w:val="en_US" w:bidi="en_US"/>
        </w:rPr>
        <w:t xml:space="preserve"> </w:t>
      </w:r>
      <w:r>
        <w:rPr>
          <w:lang w:val="en_US" w:bidi="en_US"/>
        </w:rPr>
        <w:t>for pay</w:t>
      </w:r>
      <w:r>
        <w:rPr>
          <w:lang w:val="en_US" w:bidi="en_US"/>
        </w:rPr>
        <w:t>,</w:t>
      </w:r>
    </w:p>
    <w:p>
      <w:pPr/>
      <w:r>
        <w:rPr>
          <w:lang w:val="en_US" w:bidi="en_US"/>
        </w:rPr>
      </w:r>
      <w:r>
        <w:rPr>
          <w:b/>
          <w:lang w:val="en_US" w:bidi="en_US"/>
        </w:rPr>
        <w:t>I am too weak to dig:</w:t>
      </w:r>
      <w:r>
        <w:rPr>
          <w:lang w:val="en_US" w:bidi="en_US"/>
        </w:rPr>
        <w:t xml:space="preserve"> The expression </w:t>
      </w:r>
      <w:r>
        <w:rPr>
          <w:i/>
          <w:lang w:val="en_US" w:bidi="en_US"/>
        </w:rPr>
        <w:t>I am too weak to dig</w:t>
      </w:r>
      <w:r>
        <w:rPr>
          <w:lang w:val="en_US" w:bidi="en_US"/>
        </w:rPr>
        <w:t xml:space="preserve"> may refer to work such as digging ditches or digging in the fields with a shovel or hoe. It was also used to refer to any kind of hard physical labor. In this context it also implies that it was a type of work that people were paid to do.</w:t>
      </w:r>
    </w:p>
    <w:p>
      <w:pPr/>
      <w:r>
        <w:rPr>
          <w:lang w:val="en_US" w:bidi="en_US"/>
        </w:rPr>
      </w:r>
      <w:r>
        <w:rPr>
          <w:lang w:val="en_US" w:bidi="en_US"/>
        </w:rPr>
        <w:t>If the literal expression does not have the right meaning in your language, here are some other ways to translate this clause:</w:t>
      </w:r>
    </w:p>
    <w:p>
      <w:pPr>
        <w:pStyle w:val="ListBullet"/>
        <w:spacing w:line="240" w:lineRule="auto"/>
        <w:ind w:left="720"/>
      </w:pPr>
      <w:r>
        <w:rPr>
          <w:lang w:val="en_US" w:bidi="en_US"/>
        </w:rPr>
      </w:r>
      <w:r>
        <w:rPr>
          <w:lang w:val="en_US" w:bidi="en_US"/>
        </w:rPr>
        <w:t>Make explicit a specific kind of digging that is known to be hard. For example:</w:t>
      </w:r>
      <w:r>
        <w:rPr>
          <w:lang w:val="en_US" w:bidi="en_US"/>
        </w:rPr>
        <w:t>I don’t have the strength to dig ditches (NLT)</w:t>
      </w:r>
      <w:r>
        <w:rPr>
          <w:lang w:val="en_US" w:bidi="en_US"/>
        </w:rPr>
        <w:t>I am not strong enough to use a shovel/hoe</w:t>
      </w:r>
    </w:p>
    <w:p>
      <w:pPr>
        <w:pStyle w:val="ListBullet"/>
        <w:spacing w:line="240" w:lineRule="auto"/>
        <w:ind w:left="720"/>
      </w:pPr>
      <w:r>
        <w:rPr>
          <w:lang w:val="en_US" w:bidi="en_US"/>
        </w:rPr>
      </w:r>
      <w:r>
        <w:rPr>
          <w:lang w:val="en_US" w:bidi="en_US"/>
        </w:rPr>
        <w:t>Use an expression that refers more generally to hard physical labor. For example:</w:t>
      </w:r>
      <w:r>
        <w:rPr>
          <w:lang w:val="en_US" w:bidi="en_US"/>
        </w:rPr>
        <w:t>I am too weak to work in the fields</w:t>
      </w:r>
      <w:r>
        <w:rPr>
          <w:lang w:val="en_US" w:bidi="en_US"/>
        </w:rPr>
        <w:t>I am not able to do manual labor</w:t>
      </w:r>
    </w:p>
    <w:p>
      <w:pPr>
        <w:pStyle w:val="Heading5"/>
      </w:pPr>
      <w:r>
        <w:rPr>
          <w:lang w:val="en_US" w:bidi="en_US"/>
        </w:rPr>
        <w:t>16:3e</w:t>
      </w:r>
    </w:p>
    <w:p>
      <w:pPr/>
      <w:r>
        <w:rPr>
          <w:lang w:val="en_US" w:bidi="en_US"/>
        </w:rPr>
      </w:r>
      <w:r>
        <w:rPr>
          <w:b/>
          <w:lang w:val="en_US" w:bidi="en_US"/>
        </w:rPr>
        <w:t>and too ashamed to beg.</w:t>
      </w:r>
    </w:p>
    <w:p>
      <w:pPr>
        <w:pStyle w:val="ListBullet"/>
        <w:spacing w:line="240" w:lineRule="auto"/>
        <w:ind w:left="720"/>
      </w:pPr>
      <w:r>
        <w:rPr>
          <w:lang w:val="en_US" w:bidi="en_US"/>
        </w:rPr>
      </w:r>
      <w:r>
        <w:rPr>
          <w:lang w:val="en_US" w:bidi="en_US"/>
        </w:rPr>
        <w:t>and I would feel ashamed/embarrassed to beg for money.</w:t>
      </w:r>
    </w:p>
    <w:p>
      <w:pPr>
        <w:pStyle w:val="ListBullet"/>
        <w:spacing w:line="240" w:lineRule="auto"/>
        <w:ind w:left="720"/>
      </w:pPr>
      <w:r>
        <w:rPr>
          <w:lang w:val="en_US" w:bidi="en_US"/>
        </w:rPr>
      </w:r>
      <w:r>
        <w:rPr>
          <w:lang w:val="en_US" w:bidi="en_US"/>
        </w:rPr>
        <w:t>and begging would be too humiliating/shameful.</w:t>
      </w:r>
    </w:p>
    <w:p>
      <w:pPr>
        <w:pStyle w:val="ListBullet"/>
        <w:spacing w:line="240" w:lineRule="auto"/>
        <w:ind w:left="720"/>
      </w:pPr>
      <w:r>
        <w:rPr>
          <w:lang w:val="en_US" w:bidi="en_US"/>
        </w:rPr>
      </w:r>
      <w:r>
        <w:rPr>
          <w:lang w:val="en_US" w:bidi="en_US"/>
        </w:rPr>
        <w:t>and as for becoming a beggar, I am too proud to do that.</w:t>
      </w:r>
    </w:p>
    <w:p>
      <w:pPr/>
      <w:r>
        <w:rPr>
          <w:lang w:val="en_US" w:bidi="en_US"/>
        </w:rPr>
      </w:r>
      <w:r>
        <w:rPr>
          <w:b/>
          <w:lang w:val="en_US" w:bidi="en_US"/>
        </w:rPr>
        <w:t>and too ashamed to beg:</w:t>
      </w:r>
      <w:r>
        <w:rPr>
          <w:lang w:val="en_US" w:bidi="en_US"/>
        </w:rPr>
        <w:t xml:space="preserve"> This clause indicates that the manager would feel shame or embarrassment if he needed to become a beggar and ask people for money. Another way to express this idea is:</w:t>
      </w:r>
    </w:p>
    <w:p>
      <w:pPr/>
      <w:r>
        <w:rPr>
          <w:lang w:val="en_US" w:bidi="en_US"/>
        </w:rPr>
      </w:r>
      <w:r>
        <w:rPr>
          <w:lang w:val="en_US" w:bidi="en_US"/>
        </w:rPr>
        <w:t>I am too proud to become a beggar</w:t>
      </w:r>
    </w:p>
    <w:p>
      <w:pPr>
        <w:pStyle w:val="Heading6"/>
      </w:pPr>
      <w:r>
        <w:rPr>
          <w:b/>
          <w:lang w:val="en_US" w:bidi="en_US"/>
        </w:rPr>
        <w:t>General Comment on 16:3d–e</w:t>
      </w:r>
    </w:p>
    <w:p>
      <w:pPr/>
      <w:r>
        <w:rPr>
          <w:lang w:val="en_US" w:bidi="en_US"/>
        </w:rPr>
      </w:r>
      <w:r>
        <w:rPr>
          <w:lang w:val="en_US" w:bidi="en_US"/>
        </w:rPr>
        <w:t>The two clauses in 16:3d and 16:3e give two options that the manager considered in order to support himself. In some languages it may be good style to express these two alternatives by using a question or by changing the order of the phrases within each verse part. For example:</w:t>
      </w:r>
    </w:p>
    <w:p>
      <w:pPr/>
      <w:r>
        <w:rPr>
          <w:lang w:val="en_US" w:bidi="en_US"/>
        </w:rPr>
      </w:r>
      <w:r>
        <w:rPr>
          <w:lang w:val="en_US" w:bidi="en_US"/>
        </w:rPr>
        <w:t>Dig? I am not strong enough. Go begging? I should be too ashamed. (NJB)</w:t>
      </w:r>
    </w:p>
    <w:p>
      <w:pPr/>
      <w:r>
        <w:rPr>
          <w:lang w:val="en_US" w:bidi="en_US"/>
        </w:rPr>
      </w:r>
      <w:r>
        <w:rPr>
          <w:lang w:val="en_US" w:bidi="en_US"/>
        </w:rPr>
        <w:t>As for digging ditches, I am not strong enough, and as for begging, it would be shameful.</w:t>
      </w:r>
      <w:r>
        <w:rPr>
          <w:lang w:val="en_US" w:bidi="en_US"/>
        </w:rPr>
      </w:r>
      <w:r>
        <w:rPr>
          <w:lang w:val="en_US" w:bidi="en_US"/>
        </w:rPr>
      </w:r>
    </w:p>
    <w:p>
      <w:pPr/>
      <w:r>
        <w:rPr>
          <w:lang w:val="en_US" w:bidi="en_US"/>
        </w:rPr>
      </w:r>
    </w:p>
    <w:p>
      <w:pPr>
        <w:pStyle w:val="Heading2"/>
      </w:pPr>
      <w:r>
        <w:rPr>
          <w:lang w:val="en_US" w:bidi="en_US"/>
        </w:rPr>
        <w:t>Luke 16:4</w:t>
      </w:r>
      <w:r>
        <w:rPr>
          <w:lang w:val="en_US" w:bidi="en_US"/>
        </w:rPr>
      </w:r>
    </w:p>
    <w:p>
      <w:pPr>
        <w:pStyle w:val="Heading4"/>
      </w:pPr>
      <w:r>
        <w:rPr>
          <w:lang w:val="en_US" w:bidi="en_US"/>
        </w:rPr>
        <w:t>Section 16:1–13: Jesus told a parable about a dishonest manager who acted wisely</w:t>
      </w:r>
    </w:p>
    <w:p>
      <w:pPr/>
      <w:r>
        <w:rPr>
          <w:lang w:val="en_US" w:bidi="en_US"/>
        </w:rPr>
      </w:r>
      <w:r>
        <w:rPr>
          <w:lang w:val="en_US" w:bidi="en_US"/>
        </w:rP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pPr/>
      <w:r>
        <w:rPr>
          <w:lang w:val="en_US" w:bidi="en_US"/>
        </w:rPr>
      </w:r>
      <w:r>
        <w:rPr>
          <w:lang w:val="en_US" w:bidi="en_US"/>
        </w:rPr>
        <w:t>The main point of this parable is that the manager knew how to use money to make things better for his own future. In this way he was a good example for Jesus’ disciples. The parable does not mean that Jesus approved of the manager’s dishonesty.</w:t>
      </w:r>
    </w:p>
    <w:p>
      <w:pPr/>
      <w:r>
        <w:rPr>
          <w:lang w:val="en_US" w:bidi="en_US"/>
        </w:rPr>
      </w:r>
      <w:r>
        <w:rPr>
          <w:lang w:val="en_US" w:bidi="en_US"/>
        </w:rPr>
        <w:t>In 16:8c–16:9 Jesus commented on the parable and applied it to his disciples. In 16:10–13 he gave other teachings about the proper use of wealth.</w:t>
      </w:r>
    </w:p>
    <w:p>
      <w:pPr/>
      <w:r>
        <w:rPr>
          <w:lang w:val="en_US" w:bidi="en_US"/>
        </w:rPr>
      </w:r>
      <w:r>
        <w:rPr>
          <w:lang w:val="en_US" w:bidi="en_US"/>
        </w:rPr>
        <w:t>Other possible headings for this section are:</w:t>
      </w:r>
    </w:p>
    <w:p>
      <w:pPr/>
      <w:r>
        <w:rPr>
          <w:lang w:val="en_US" w:bidi="en_US"/>
        </w:rPr>
      </w:r>
      <w:r>
        <w:rPr>
          <w:lang w:val="en_US" w:bidi="en_US"/>
        </w:rPr>
        <w:t>The Parable of the Shrewd Manager (NIV)</w:t>
      </w:r>
    </w:p>
    <w:p>
      <w:pPr/>
      <w:r>
        <w:rPr>
          <w:lang w:val="en_US" w:bidi="en_US"/>
        </w:rPr>
      </w:r>
      <w:r>
        <w:rPr>
          <w:lang w:val="en_US" w:bidi="en_US"/>
        </w:rPr>
        <w:t>The dishonest man who was in charge of a rich man’s wealth</w:t>
      </w:r>
    </w:p>
    <w:p>
      <w:pPr>
        <w:pStyle w:val="Heading5"/>
      </w:pPr>
      <w:r>
        <w:rPr>
          <w:lang w:val="en_US" w:bidi="en_US"/>
        </w:rPr>
        <w:t>16:4a</w:t>
      </w:r>
    </w:p>
    <w:p>
      <w:pPr/>
      <w:r>
        <w:rPr>
          <w:lang w:val="en_US" w:bidi="en_US"/>
        </w:rPr>
      </w:r>
      <w:r>
        <w:rPr>
          <w:b/>
          <w:lang w:val="en_US" w:bidi="en_US"/>
        </w:rPr>
        <w:t>I know what I will do,</w:t>
      </w:r>
    </w:p>
    <w:p>
      <w:pPr>
        <w:pStyle w:val="ListBullet"/>
        <w:spacing w:line="240" w:lineRule="auto"/>
        <w:ind w:left="720"/>
      </w:pPr>
      <w:r>
        <w:rPr>
          <w:lang w:val="en_US" w:bidi="en_US"/>
        </w:rPr>
      </w:r>
      <w:r>
        <w:rPr>
          <w:lang w:val="en_US" w:bidi="en_US"/>
        </w:rPr>
        <w:t>I know. I will do something</w:t>
      </w:r>
    </w:p>
    <w:p>
      <w:pPr>
        <w:pStyle w:val="ListBullet"/>
        <w:spacing w:line="240" w:lineRule="auto"/>
        <w:ind w:left="720"/>
      </w:pPr>
      <w:r>
        <w:rPr>
          <w:lang w:val="en_US" w:bidi="en_US"/>
        </w:rPr>
      </w:r>
      <w:r>
        <w:rPr>
          <w:lang w:val="en_US" w:bidi="en_US"/>
        </w:rPr>
        <w:t>This is what I will do</w:t>
      </w:r>
    </w:p>
    <w:p>
      <w:pPr/>
      <w:r>
        <w:rPr>
          <w:lang w:val="en_US" w:bidi="en_US"/>
        </w:rPr>
      </w:r>
      <w:r>
        <w:rPr>
          <w:b/>
          <w:lang w:val="en_US" w:bidi="en_US"/>
        </w:rPr>
        <w:t>I know what I will do:</w:t>
      </w:r>
      <w:r>
        <w:rPr>
          <w:lang w:val="en_US" w:bidi="en_US"/>
        </w:rPr>
        <w:t xml:space="preserve"> The clause </w:t>
      </w:r>
      <w:r>
        <w:rPr>
          <w:i/>
          <w:lang w:val="en_US" w:bidi="en_US"/>
        </w:rPr>
        <w:t>I know what I will do</w:t>
      </w:r>
      <w:r>
        <w:rPr>
          <w:lang w:val="en_US" w:bidi="en_US"/>
        </w:rPr>
        <w:t xml:space="preserve"> indicates that the manager had a sudden idea to answer his own question in 16:3b–e. If your language has an expression or exclamation that people use when they have suddenly realized something, you may be able to use it here. For example:</w:t>
      </w:r>
    </w:p>
    <w:p>
      <w:pPr/>
      <w:r>
        <w:rPr>
          <w:lang w:val="en_US" w:bidi="en_US"/>
        </w:rPr>
      </w:r>
      <w:r>
        <w:rPr>
          <w:u w:val="single"/>
          <w:lang w:val="en_US" w:bidi="en_US"/>
        </w:rPr>
        <w:t>Ah</w:t>
      </w:r>
      <w:r>
        <w:rPr>
          <w:lang w:val="en_US" w:bidi="en_US"/>
        </w:rPr>
        <w:t>, I know… (NLT)</w:t>
      </w:r>
    </w:p>
    <w:p>
      <w:pPr>
        <w:pStyle w:val="Heading5"/>
      </w:pPr>
      <w:r>
        <w:rPr>
          <w:lang w:val="en_US" w:bidi="en_US"/>
        </w:rPr>
        <w:t>16:4b</w:t>
      </w:r>
    </w:p>
    <w:p>
      <w:pPr/>
      <w:r>
        <w:rPr>
          <w:lang w:val="en_US" w:bidi="en_US"/>
        </w:rPr>
      </w:r>
      <w:r>
        <w:rPr>
          <w:b/>
          <w:lang w:val="en_US" w:bidi="en_US"/>
        </w:rPr>
        <w:t>so that after my removal from management, people will welcome me into their homes.’</w:t>
      </w:r>
    </w:p>
    <w:p>
      <w:pPr>
        <w:pStyle w:val="ListBullet"/>
        <w:spacing w:line="240" w:lineRule="auto"/>
        <w:ind w:left="720"/>
      </w:pPr>
      <w:r>
        <w:rPr>
          <w:lang w:val="en_US" w:bidi="en_US"/>
        </w:rPr>
      </w:r>
      <w:r>
        <w:rPr>
          <w:lang w:val="en_US" w:bidi="en_US"/>
        </w:rPr>
        <w:t xml:space="preserve">that will cause people to invite me into their homes after I leave my work </w:t>
      </w:r>
      <w:r>
        <w:rPr>
          <w:lang w:val="en_US" w:bidi="en_US"/>
        </w:rPr>
        <w:t>as manager for the rich man</w:t>
      </w:r>
      <w:r>
        <w:rPr>
          <w:lang w:val="en_US" w:bidi="en_US"/>
        </w:rPr>
        <w:t>.’</w:t>
      </w:r>
    </w:p>
    <w:p>
      <w:pPr>
        <w:pStyle w:val="ListBullet"/>
        <w:spacing w:line="240" w:lineRule="auto"/>
        <w:ind w:left="720"/>
      </w:pPr>
      <w:r>
        <w:rPr>
          <w:lang w:val="en_US" w:bidi="en_US"/>
        </w:rPr>
      </w:r>
      <w:r>
        <w:rPr>
          <w:lang w:val="en_US" w:bidi="en_US"/>
        </w:rPr>
        <w:t xml:space="preserve">so that people will want to </w:t>
      </w:r>
      <w:r>
        <w:rPr>
          <w:lang w:val="en_US" w:bidi="en_US"/>
        </w:rPr>
        <w:t>help me and</w:t>
      </w:r>
      <w:r>
        <w:rPr>
          <w:lang w:val="en_US" w:bidi="en_US"/>
        </w:rPr>
        <w:t xml:space="preserve"> give me a place to live after I have to stop working here.’</w:t>
      </w:r>
    </w:p>
    <w:p>
      <w:pPr/>
      <w:r>
        <w:rPr>
          <w:lang w:val="en_US" w:bidi="en_US"/>
        </w:rPr>
      </w:r>
      <w:r>
        <w:rPr>
          <w:b/>
          <w:lang w:val="en_US" w:bidi="en_US"/>
        </w:rPr>
        <w:t>so that…people will welcome me into their homes:</w:t>
      </w:r>
      <w:r>
        <w:rPr>
          <w:lang w:val="en_US" w:bidi="en_US"/>
        </w:rPr>
        <w:t xml:space="preserve"> The Greek conjunction that the BSB translates as </w:t>
      </w:r>
      <w:r>
        <w:rPr>
          <w:i/>
          <w:lang w:val="en_US" w:bidi="en_US"/>
        </w:rPr>
        <w:t>so that</w:t>
      </w:r>
      <w:r>
        <w:rPr>
          <w:lang w:val="en_US" w:bidi="en_US"/>
        </w:rPr>
        <w:t xml:space="preserve"> introduces a purpose or intended result. It introduces what the manager wanted to happen as a result of what he had decided to do. He wanted some people to invite him to stay in their houses and provide for his needs. Other ways to translate this clause are:</w:t>
      </w:r>
    </w:p>
    <w:p>
      <w:pPr/>
      <w:r>
        <w:rPr>
          <w:lang w:val="en_US" w:bidi="en_US"/>
        </w:rPr>
      </w:r>
      <w:r>
        <w:rPr>
          <w:lang w:val="en_US" w:bidi="en_US"/>
        </w:rPr>
        <w:t>so that people will welcome me to live with them</w:t>
      </w:r>
    </w:p>
    <w:p>
      <w:pPr/>
      <w:r>
        <w:rPr>
          <w:lang w:val="en_US" w:bidi="en_US"/>
        </w:rPr>
      </w:r>
      <w:r>
        <w:rPr>
          <w:lang w:val="en_US" w:bidi="en_US"/>
        </w:rPr>
        <w:t>so that people will let me stay with them</w:t>
      </w:r>
    </w:p>
    <w:p>
      <w:pPr/>
      <w:r>
        <w:rPr>
          <w:lang w:val="en_US" w:bidi="en_US"/>
        </w:rPr>
      </w:r>
      <w:r>
        <w:rPr>
          <w:b/>
          <w:lang w:val="en_US" w:bidi="en_US"/>
        </w:rPr>
        <w:t>after my removal from management:</w:t>
      </w:r>
      <w:r>
        <w:rPr>
          <w:lang w:val="en_US" w:bidi="en_US"/>
        </w:rPr>
        <w:t xml:space="preserve"> The Greek clause that the BSB translates as </w:t>
      </w:r>
      <w:r>
        <w:rPr>
          <w:i/>
          <w:lang w:val="en_US" w:bidi="en_US"/>
        </w:rPr>
        <w:t>after my removal from management</w:t>
      </w:r>
      <w:r>
        <w:rPr>
          <w:lang w:val="en_US" w:bidi="en_US"/>
        </w:rPr>
        <w:t xml:space="preserve"> is a time clause. It is literally “when I am removed from the management.” He had already been told that he must leave his position as manager. This clause refers to the time when he would actually finish his work and have to leave. See the note at 16:3c.</w:t>
      </w:r>
    </w:p>
    <w:p>
      <w:pPr>
        <w:pStyle w:val="Heading6"/>
      </w:pPr>
      <w:r>
        <w:rPr>
          <w:b/>
          <w:lang w:val="en_US" w:bidi="en_US"/>
        </w:rPr>
        <w:t>General Comment on 16:4a–b</w:t>
      </w:r>
    </w:p>
    <w:p>
      <w:pPr/>
      <w:r>
        <w:rPr>
          <w:lang w:val="en_US" w:bidi="en_US"/>
        </w:rPr>
      </w:r>
      <w:r>
        <w:rPr>
          <w:lang w:val="en_US" w:bidi="en_US"/>
        </w:rPr>
        <w:t>These two verse parts form a single, fairly complicated sentence. In some languages it may be more natural to divide this information into two or more sentences. For example:</w:t>
      </w:r>
    </w:p>
    <w:p>
      <w:pPr/>
      <w:r>
        <w:rPr>
          <w:lang w:val="en_US" w:bidi="en_US"/>
        </w:rPr>
      </w:r>
      <w:r>
        <w:rPr>
          <w:lang w:val="en_US" w:bidi="en_US"/>
        </w:rPr>
        <w:t>Now I know what I will do! Then when my job is gone, I shall have friends who will welcome me in their homes. (GNT)</w:t>
      </w:r>
    </w:p>
    <w:p>
      <w:pPr>
        <w:pStyle w:val="Heading6"/>
      </w:pPr>
      <w:r>
        <w:rPr>
          <w:b/>
          <w:lang w:val="en_US" w:bidi="en_US"/>
        </w:rPr>
        <w:t>General Comment on 16:4b</w:t>
      </w:r>
    </w:p>
    <w:p>
      <w:pPr/>
      <w:r>
        <w:rPr>
          <w:lang w:val="en_US" w:bidi="en_US"/>
        </w:rPr>
      </w:r>
      <w:r>
        <w:rPr>
          <w:lang w:val="en_US" w:bidi="en_US"/>
        </w:rPr>
        <w:t>In some languages it may be helpful to put the purpose clause first and the time clause second. For example:</w:t>
      </w:r>
    </w:p>
    <w:p>
      <w:pPr/>
      <w:r>
        <w:rPr>
          <w:lang w:val="en_US" w:bidi="en_US"/>
        </w:rPr>
      </w:r>
      <w:r>
        <w:rPr>
          <w:lang w:val="en_US" w:bidi="en_US"/>
        </w:rPr>
        <w:t>I know what I’ll do, so that people will welcome me into their homes after I’ve lost my job. (CEV)</w:t>
      </w:r>
    </w:p>
    <w:p>
      <w:pPr/>
      <w:r>
        <w:rPr>
          <w:lang w:val="en_US" w:bidi="en_US"/>
        </w:rPr>
      </w:r>
      <w:r>
        <w:rPr>
          <w:lang w:val="en_US" w:bidi="en_US"/>
        </w:rPr>
        <w:t>The GW, NLT, and RSV also put these clauses in this same order. Use a natural order in your language.</w:t>
      </w:r>
      <w:r>
        <w:rPr>
          <w:lang w:val="en_US" w:bidi="en_US"/>
        </w:rPr>
      </w:r>
      <w:r>
        <w:rPr>
          <w:lang w:val="en_US" w:bidi="en_US"/>
        </w:rPr>
      </w:r>
    </w:p>
    <w:p>
      <w:pPr/>
      <w:r>
        <w:rPr>
          <w:lang w:val="en_US" w:bidi="en_US"/>
        </w:rPr>
      </w:r>
    </w:p>
    <w:p>
      <w:pPr>
        <w:pStyle w:val="Heading2"/>
      </w:pPr>
      <w:r>
        <w:rPr>
          <w:lang w:val="en_US" w:bidi="en_US"/>
        </w:rPr>
        <w:t>Luke 16:5</w:t>
      </w:r>
      <w:r>
        <w:rPr>
          <w:lang w:val="en_US" w:bidi="en_US"/>
        </w:rPr>
      </w:r>
    </w:p>
    <w:p>
      <w:pPr>
        <w:pStyle w:val="Heading4"/>
      </w:pPr>
      <w:r>
        <w:rPr>
          <w:lang w:val="en_US" w:bidi="en_US"/>
        </w:rPr>
        <w:t>Section 16:1–13: Jesus told a parable about a dishonest manager who acted wisely</w:t>
      </w:r>
    </w:p>
    <w:p>
      <w:pPr/>
      <w:r>
        <w:rPr>
          <w:lang w:val="en_US" w:bidi="en_US"/>
        </w:rPr>
      </w:r>
      <w:r>
        <w:rPr>
          <w:lang w:val="en_US" w:bidi="en_US"/>
        </w:rP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pPr/>
      <w:r>
        <w:rPr>
          <w:lang w:val="en_US" w:bidi="en_US"/>
        </w:rPr>
      </w:r>
      <w:r>
        <w:rPr>
          <w:lang w:val="en_US" w:bidi="en_US"/>
        </w:rPr>
        <w:t>The main point of this parable is that the manager knew how to use money to make things better for his own future. In this way he was a good example for Jesus’ disciples. The parable does not mean that Jesus approved of the manager’s dishonesty.</w:t>
      </w:r>
    </w:p>
    <w:p>
      <w:pPr/>
      <w:r>
        <w:rPr>
          <w:lang w:val="en_US" w:bidi="en_US"/>
        </w:rPr>
      </w:r>
      <w:r>
        <w:rPr>
          <w:lang w:val="en_US" w:bidi="en_US"/>
        </w:rPr>
        <w:t>In 16:8c–16:9 Jesus commented on the parable and applied it to his disciples. In 16:10–13 he gave other teachings about the proper use of wealth.</w:t>
      </w:r>
    </w:p>
    <w:p>
      <w:pPr/>
      <w:r>
        <w:rPr>
          <w:lang w:val="en_US" w:bidi="en_US"/>
        </w:rPr>
      </w:r>
      <w:r>
        <w:rPr>
          <w:lang w:val="en_US" w:bidi="en_US"/>
        </w:rPr>
        <w:t>Other possible headings for this section are:</w:t>
      </w:r>
    </w:p>
    <w:p>
      <w:pPr/>
      <w:r>
        <w:rPr>
          <w:lang w:val="en_US" w:bidi="en_US"/>
        </w:rPr>
      </w:r>
      <w:r>
        <w:rPr>
          <w:lang w:val="en_US" w:bidi="en_US"/>
        </w:rPr>
        <w:t>The Parable of the Shrewd Manager (NIV)</w:t>
      </w:r>
    </w:p>
    <w:p>
      <w:pPr/>
      <w:r>
        <w:rPr>
          <w:lang w:val="en_US" w:bidi="en_US"/>
        </w:rPr>
      </w:r>
      <w:r>
        <w:rPr>
          <w:lang w:val="en_US" w:bidi="en_US"/>
        </w:rPr>
        <w:t>The dishonest man who was in charge of a rich man’s wealth</w:t>
      </w:r>
    </w:p>
    <w:p>
      <w:pPr>
        <w:pStyle w:val="Heading5"/>
      </w:pPr>
      <w:r>
        <w:rPr>
          <w:lang w:val="en_US" w:bidi="en_US"/>
        </w:rPr>
        <w:t>16:5a</w:t>
      </w:r>
    </w:p>
    <w:p>
      <w:pPr/>
      <w:r>
        <w:rPr>
          <w:lang w:val="en_US" w:bidi="en_US"/>
        </w:rPr>
      </w:r>
      <w:r>
        <w:rPr>
          <w:b/>
          <w:lang w:val="en_US" w:bidi="en_US"/>
        </w:rPr>
        <w:t>And he called in each one of his master’s debtors.</w:t>
      </w:r>
    </w:p>
    <w:p>
      <w:pPr>
        <w:pStyle w:val="ListBullet"/>
        <w:spacing w:line="240" w:lineRule="auto"/>
        <w:ind w:left="720"/>
      </w:pPr>
      <w:r>
        <w:rPr>
          <w:lang w:val="en_US" w:bidi="en_US"/>
        </w:rPr>
      </w:r>
      <w:r>
        <w:rPr>
          <w:lang w:val="en_US" w:bidi="en_US"/>
        </w:rPr>
        <w:t xml:space="preserve">¶ “So the manager told all of the men who had debts to his master to come </w:t>
      </w:r>
      <w:r>
        <w:rPr>
          <w:lang w:val="en_US" w:bidi="en_US"/>
        </w:rPr>
        <w:t>and discuss it</w:t>
      </w:r>
      <w:r>
        <w:rPr>
          <w:lang w:val="en_US" w:bidi="en_US"/>
        </w:rPr>
        <w:t>.</w:t>
      </w:r>
    </w:p>
    <w:p>
      <w:pPr>
        <w:pStyle w:val="ListBullet"/>
        <w:spacing w:line="240" w:lineRule="auto"/>
        <w:ind w:left="720"/>
      </w:pPr>
      <w:r>
        <w:rPr>
          <w:lang w:val="en_US" w:bidi="en_US"/>
        </w:rPr>
      </w:r>
      <w:r>
        <w:rPr>
          <w:lang w:val="en_US" w:bidi="en_US"/>
        </w:rPr>
        <w:t>¶ “</w:t>
      </w:r>
      <w:r>
        <w:rPr>
          <w:lang w:val="en_US" w:bidi="en_US"/>
        </w:rPr>
        <w:t>When he had made his plan,</w:t>
      </w:r>
      <w:r>
        <w:rPr>
          <w:lang w:val="en_US" w:bidi="en_US"/>
        </w:rPr>
        <w:t xml:space="preserve"> he sent a message to each person who owed money to his employer, and they came </w:t>
      </w:r>
      <w:r>
        <w:rPr>
          <w:lang w:val="en_US" w:bidi="en_US"/>
        </w:rPr>
        <w:t>one by one</w:t>
      </w:r>
      <w:r>
        <w:rPr>
          <w:lang w:val="en_US" w:bidi="en_US"/>
        </w:rPr>
        <w: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what the manager did as a result of his decision in 16:4b. The CEV translates it as “Then.” The manager began to do what he had planned in 16:4. In some languages it may be helpful to make this more explicit. For example:</w:t>
      </w:r>
    </w:p>
    <w:p>
      <w:pPr/>
      <w:r>
        <w:rPr>
          <w:lang w:val="en_US" w:bidi="en_US"/>
        </w:rPr>
      </w:r>
      <w:r>
        <w:rPr>
          <w:lang w:val="en_US" w:bidi="en_US"/>
        </w:rPr>
        <w:t xml:space="preserve">So </w:t>
      </w:r>
      <w:r>
        <w:rPr>
          <w:lang w:val="en_US" w:bidi="en_US"/>
        </w:rPr>
        <w:t>he began to do what he had planned.</w:t>
      </w:r>
    </w:p>
    <w:p>
      <w:pPr/>
      <w:r>
        <w:rPr>
          <w:lang w:val="en_US" w:bidi="en_US"/>
        </w:rPr>
      </w:r>
      <w:r>
        <w:rPr>
          <w:b/>
          <w:lang w:val="en_US" w:bidi="en_US"/>
        </w:rPr>
        <w:t>he called in each one of his master’s debtors:</w:t>
      </w:r>
      <w:r>
        <w:rPr>
          <w:lang w:val="en_US" w:bidi="en_US"/>
        </w:rPr>
        <w:t xml:space="preserve"> The clause </w:t>
      </w:r>
      <w:r>
        <w:rPr>
          <w:i/>
          <w:lang w:val="en_US" w:bidi="en_US"/>
        </w:rPr>
        <w:t>he called in each one of his master’s debtors</w:t>
      </w:r>
      <w:r>
        <w:rPr>
          <w:lang w:val="en_US" w:bidi="en_US"/>
        </w:rPr>
        <w:t xml:space="preserve"> implies that he sent a message to each person who owed something to the rich man. The manager arranged for these men to come and talk with him about their debts, one at a time. Other ways to translate this clause are:</w:t>
      </w:r>
    </w:p>
    <w:p>
      <w:pPr/>
      <w:r>
        <w:rPr>
          <w:lang w:val="en_US" w:bidi="en_US"/>
        </w:rPr>
      </w:r>
      <w:r>
        <w:rPr>
          <w:lang w:val="en_US" w:bidi="en_US"/>
        </w:rPr>
        <w:t>Then one by one he called in the people who were in debt to his master. (CEV)</w:t>
      </w:r>
    </w:p>
    <w:p>
      <w:pPr/>
      <w:r>
        <w:rPr>
          <w:lang w:val="en_US" w:bidi="en_US"/>
        </w:rPr>
      </w:r>
      <w:r>
        <w:rPr>
          <w:lang w:val="en_US" w:bidi="en_US"/>
        </w:rPr>
        <w:t>So he invited each person who owed money to his employer to come and discuss the situation. (NLT)</w:t>
      </w:r>
    </w:p>
    <w:p>
      <w:pPr/>
      <w:r>
        <w:rPr>
          <w:lang w:val="en_US" w:bidi="en_US"/>
        </w:rPr>
      </w:r>
      <w:r>
        <w:rPr>
          <w:lang w:val="en_US" w:bidi="en_US"/>
        </w:rPr>
        <w:t>See how you translated the similar phrase “called him in” in 16:2a.</w:t>
      </w:r>
    </w:p>
    <w:p>
      <w:pPr/>
      <w:r>
        <w:rPr>
          <w:lang w:val="en_US" w:bidi="en_US"/>
        </w:rPr>
      </w:r>
      <w:r>
        <w:rPr>
          <w:b/>
          <w:lang w:val="en_US" w:bidi="en_US"/>
        </w:rPr>
        <w:t>debtors:</w:t>
      </w:r>
      <w:r>
        <w:rPr>
          <w:lang w:val="en_US" w:bidi="en_US"/>
        </w:rPr>
        <w:t xml:space="preserve"> The Greek word that the BSB translates as </w:t>
      </w:r>
      <w:r>
        <w:rPr>
          <w:i/>
          <w:lang w:val="en_US" w:bidi="en_US"/>
        </w:rPr>
        <w:t>debtors</w:t>
      </w:r>
      <w:r>
        <w:rPr>
          <w:lang w:val="en_US" w:bidi="en_US"/>
        </w:rPr>
        <w:t xml:space="preserve"> can refer to people who owe debts of any kind. The debtors mentioned here may have been tenants who paid their rent with produce rather than money. They may also have been traders who bought goods from the rich man on credit. There were probably other debtors not mentioned here who owed money. If possible, use a term that could refer to any kind of debtor.</w:t>
      </w:r>
    </w:p>
    <w:p>
      <w:pPr>
        <w:pStyle w:val="Heading5"/>
      </w:pPr>
      <w:r>
        <w:rPr>
          <w:lang w:val="en_US" w:bidi="en_US"/>
        </w:rPr>
        <w:t>16:5b</w:t>
      </w:r>
    </w:p>
    <w:p>
      <w:pPr/>
      <w:r>
        <w:rPr>
          <w:lang w:val="en_US" w:bidi="en_US"/>
        </w:rPr>
      </w:r>
      <w:r>
        <w:rPr>
          <w:b/>
          <w:lang w:val="en_US" w:bidi="en_US"/>
        </w:rPr>
        <w:t>‘How much do you owe my master?’ he asked the first.</w:t>
      </w:r>
    </w:p>
    <w:p>
      <w:pPr>
        <w:pStyle w:val="ListBullet"/>
        <w:spacing w:line="240" w:lineRule="auto"/>
        <w:ind w:left="720"/>
      </w:pPr>
      <w:r>
        <w:rPr>
          <w:lang w:val="en_US" w:bidi="en_US"/>
        </w:rPr>
      </w:r>
      <w:r>
        <w:rPr>
          <w:lang w:val="en_US" w:bidi="en_US"/>
        </w:rPr>
        <w:t xml:space="preserve">He asked the first person, ‘What is your debt </w:t>
      </w:r>
      <w:r>
        <w:rPr>
          <w:lang w:val="en_US" w:bidi="en_US"/>
        </w:rPr>
        <w:t>to my employer</w:t>
      </w:r>
      <w:r>
        <w:rPr>
          <w:lang w:val="en_US" w:bidi="en_US"/>
        </w:rPr>
        <w:t>?</w:t>
      </w:r>
    </w:p>
    <w:p>
      <w:pPr>
        <w:pStyle w:val="ListBullet"/>
        <w:spacing w:line="240" w:lineRule="auto"/>
        <w:ind w:left="720"/>
      </w:pPr>
      <w:r>
        <w:rPr>
          <w:lang w:val="en_US" w:bidi="en_US"/>
        </w:rPr>
      </w:r>
      <w:r>
        <w:rPr>
          <w:lang w:val="en_US" w:bidi="en_US"/>
        </w:rPr>
        <w:t xml:space="preserve">When the first one </w:t>
      </w:r>
      <w:r>
        <w:rPr>
          <w:lang w:val="en_US" w:bidi="en_US"/>
        </w:rPr>
        <w:t>came/arrived</w:t>
      </w:r>
      <w:r>
        <w:rPr>
          <w:lang w:val="en_US" w:bidi="en_US"/>
        </w:rPr>
        <w:t xml:space="preserve">, the manager/employee asked him, ‘How much do you owe </w:t>
      </w:r>
      <w:r>
        <w:rPr>
          <w:lang w:val="en_US" w:bidi="en_US"/>
        </w:rPr>
        <w:t>my boss</w:t>
      </w:r>
      <w:r>
        <w:rPr>
          <w:lang w:val="en_US" w:bidi="en_US"/>
        </w:rPr>
        <w:t>?’</w:t>
      </w:r>
    </w:p>
    <w:p>
      <w:pPr/>
      <w:r>
        <w:rPr>
          <w:lang w:val="en_US" w:bidi="en_US"/>
        </w:rPr>
      </w:r>
      <w:r>
        <w:rPr>
          <w:b/>
          <w:lang w:val="en_US" w:bidi="en_US"/>
        </w:rPr>
        <w:t>How much do you owe my master?:</w:t>
      </w:r>
      <w:r>
        <w:rPr>
          <w:lang w:val="en_US" w:bidi="en_US"/>
        </w:rPr>
        <w:t xml:space="preserve"> The manager already knew how much each man owed his employer. He wanted the man to say the amount. He knew that he was about to offer to greatly reduce the man’s debt, and he wanted the man to appreciate it.</w:t>
      </w:r>
    </w:p>
    <w:p>
      <w:pPr/>
      <w:r>
        <w:rPr>
          <w:lang w:val="en_US" w:bidi="en_US"/>
        </w:rPr>
      </w:r>
      <w:r>
        <w:rPr>
          <w:b/>
          <w:lang w:val="en_US" w:bidi="en_US"/>
        </w:rPr>
        <w:t>he asked the first:</w:t>
      </w:r>
      <w:r>
        <w:rPr>
          <w:lang w:val="en_US" w:bidi="en_US"/>
        </w:rPr>
        <w:t xml:space="preserve"> For natural English style, the BSB has placed this phrase after the quotation. In Greek, it comes before the quotation. Place it where it would be natural in your language.</w:t>
      </w:r>
    </w:p>
    <w:p>
      <w:pPr/>
      <w:r>
        <w:rPr>
          <w:lang w:val="en_US" w:bidi="en_US"/>
        </w:rPr>
      </w:r>
      <w:r>
        <w:rPr>
          <w:b/>
          <w:lang w:val="en_US" w:bidi="en_US"/>
        </w:rPr>
        <w:t>the first:</w:t>
      </w:r>
      <w:r>
        <w:rPr>
          <w:lang w:val="en_US" w:bidi="en_US"/>
        </w:rPr>
        <w:t xml:space="preserve"> The phrase </w:t>
      </w:r>
      <w:r>
        <w:rPr>
          <w:i/>
          <w:lang w:val="en_US" w:bidi="en_US"/>
        </w:rPr>
        <w:t>the first</w:t>
      </w:r>
      <w:r>
        <w:rPr>
          <w:lang w:val="en_US" w:bidi="en_US"/>
        </w:rPr>
        <w:t xml:space="preserve"> refers to the first man who came to see the manager about his debt.</w:t>
      </w:r>
      <w:r>
        <w:rPr>
          <w:lang w:val="en_US" w:bidi="en_US"/>
        </w:rPr>
      </w:r>
      <w:r>
        <w:rPr>
          <w:lang w:val="en_US" w:bidi="en_US"/>
        </w:rPr>
      </w:r>
    </w:p>
    <w:p>
      <w:pPr/>
      <w:r>
        <w:rPr>
          <w:lang w:val="en_US" w:bidi="en_US"/>
        </w:rPr>
      </w:r>
    </w:p>
    <w:p>
      <w:pPr>
        <w:pStyle w:val="Heading2"/>
      </w:pPr>
      <w:r>
        <w:rPr>
          <w:lang w:val="en_US" w:bidi="en_US"/>
        </w:rPr>
        <w:t>Luke 16:6</w:t>
      </w:r>
      <w:r>
        <w:rPr>
          <w:lang w:val="en_US" w:bidi="en_US"/>
        </w:rPr>
      </w:r>
    </w:p>
    <w:p>
      <w:pPr>
        <w:pStyle w:val="Heading4"/>
      </w:pPr>
      <w:r>
        <w:rPr>
          <w:lang w:val="en_US" w:bidi="en_US"/>
        </w:rPr>
        <w:t>Section 16:1–13: Jesus told a parable about a dishonest manager who acted wisely</w:t>
      </w:r>
    </w:p>
    <w:p>
      <w:pPr/>
      <w:r>
        <w:rPr>
          <w:lang w:val="en_US" w:bidi="en_US"/>
        </w:rPr>
      </w:r>
      <w:r>
        <w:rPr>
          <w:lang w:val="en_US" w:bidi="en_US"/>
        </w:rP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pPr/>
      <w:r>
        <w:rPr>
          <w:lang w:val="en_US" w:bidi="en_US"/>
        </w:rPr>
      </w:r>
      <w:r>
        <w:rPr>
          <w:lang w:val="en_US" w:bidi="en_US"/>
        </w:rPr>
        <w:t>The main point of this parable is that the manager knew how to use money to make things better for his own future. In this way he was a good example for Jesus’ disciples. The parable does not mean that Jesus approved of the manager’s dishonesty.</w:t>
      </w:r>
    </w:p>
    <w:p>
      <w:pPr/>
      <w:r>
        <w:rPr>
          <w:lang w:val="en_US" w:bidi="en_US"/>
        </w:rPr>
      </w:r>
      <w:r>
        <w:rPr>
          <w:lang w:val="en_US" w:bidi="en_US"/>
        </w:rPr>
        <w:t>In 16:8c–16:9 Jesus commented on the parable and applied it to his disciples. In 16:10–13 he gave other teachings about the proper use of wealth.</w:t>
      </w:r>
    </w:p>
    <w:p>
      <w:pPr/>
      <w:r>
        <w:rPr>
          <w:lang w:val="en_US" w:bidi="en_US"/>
        </w:rPr>
      </w:r>
      <w:r>
        <w:rPr>
          <w:lang w:val="en_US" w:bidi="en_US"/>
        </w:rPr>
        <w:t>Other possible headings for this section are:</w:t>
      </w:r>
    </w:p>
    <w:p>
      <w:pPr/>
      <w:r>
        <w:rPr>
          <w:lang w:val="en_US" w:bidi="en_US"/>
        </w:rPr>
      </w:r>
      <w:r>
        <w:rPr>
          <w:lang w:val="en_US" w:bidi="en_US"/>
        </w:rPr>
        <w:t>The Parable of the Shrewd Manager (NIV)</w:t>
      </w:r>
    </w:p>
    <w:p>
      <w:pPr/>
      <w:r>
        <w:rPr>
          <w:lang w:val="en_US" w:bidi="en_US"/>
        </w:rPr>
      </w:r>
      <w:r>
        <w:rPr>
          <w:lang w:val="en_US" w:bidi="en_US"/>
        </w:rPr>
        <w:t>The dishonest man who was in charge of a rich man’s wealth</w:t>
      </w:r>
    </w:p>
    <w:p>
      <w:pPr>
        <w:pStyle w:val="Heading5"/>
      </w:pPr>
      <w:r>
        <w:rPr>
          <w:lang w:val="en_US" w:bidi="en_US"/>
        </w:rPr>
        <w:t>16:6a</w:t>
      </w:r>
    </w:p>
    <w:p>
      <w:pPr/>
      <w:r>
        <w:rPr>
          <w:lang w:val="en_US" w:bidi="en_US"/>
        </w:rPr>
      </w:r>
      <w:r>
        <w:rPr>
          <w:b/>
          <w:lang w:val="en_US" w:bidi="en_US"/>
        </w:rPr>
        <w:t>‘A hundred measures of olive oil,’ he answered.</w:t>
      </w:r>
    </w:p>
    <w:p>
      <w:pPr>
        <w:pStyle w:val="ListBullet"/>
        <w:spacing w:line="240" w:lineRule="auto"/>
        <w:ind w:left="720"/>
      </w:pPr>
      <w:r>
        <w:rPr>
          <w:lang w:val="en_US" w:bidi="en_US"/>
        </w:rPr>
      </w:r>
      <w:r>
        <w:rPr>
          <w:lang w:val="en_US" w:bidi="en_US"/>
        </w:rPr>
        <w:t xml:space="preserve">And </w:t>
      </w:r>
      <w:r>
        <w:rPr>
          <w:lang w:val="en_US" w:bidi="en_US"/>
        </w:rPr>
        <w:t>the man</w:t>
      </w:r>
      <w:r>
        <w:rPr>
          <w:lang w:val="en_US" w:bidi="en_US"/>
        </w:rPr>
        <w:t xml:space="preserve"> said, ‘Eight hundred gallons of olive oil.’</w:t>
      </w:r>
    </w:p>
    <w:p>
      <w:pPr>
        <w:pStyle w:val="ListBullet"/>
        <w:spacing w:line="240" w:lineRule="auto"/>
        <w:ind w:left="720"/>
      </w:pPr>
      <w:r>
        <w:rPr>
          <w:lang w:val="en_US" w:bidi="en_US"/>
        </w:rPr>
      </w:r>
      <w:r>
        <w:rPr>
          <w:lang w:val="en_US" w:bidi="en_US"/>
        </w:rPr>
        <w:t>And he answered, ‘</w:t>
      </w:r>
      <w:r>
        <w:rPr>
          <w:lang w:val="en_US" w:bidi="en_US"/>
        </w:rPr>
        <w:t>I owe him</w:t>
      </w:r>
      <w:r>
        <w:rPr>
          <w:lang w:val="en_US" w:bidi="en_US"/>
        </w:rPr>
        <w:t xml:space="preserve"> one hundred drums of olive oil.’</w:t>
      </w:r>
    </w:p>
    <w:p>
      <w:pPr/>
      <w:r>
        <w:rPr>
          <w:lang w:val="en_US" w:bidi="en_US"/>
        </w:rPr>
      </w:r>
      <w:r>
        <w:rPr>
          <w:b/>
          <w:lang w:val="en_US" w:bidi="en_US"/>
        </w:rPr>
        <w:t>A hundred measures of olive oil:</w:t>
      </w:r>
      <w:r>
        <w:rPr>
          <w:lang w:val="en_US" w:bidi="en_US"/>
        </w:rPr>
        <w:t xml:space="preserve"> This phrase is an ellipsis. The full form is:</w:t>
      </w:r>
    </w:p>
    <w:p>
      <w:pPr/>
      <w:r>
        <w:rPr>
          <w:lang w:val="en_US" w:bidi="en_US"/>
        </w:rPr>
      </w:r>
      <w:r>
        <w:rPr>
          <w:u w:val="single"/>
          <w:lang w:val="en_US" w:bidi="en_US"/>
        </w:rPr>
        <w:t>I owe him</w:t>
      </w:r>
      <w:r>
        <w:rPr>
          <w:lang w:val="en_US" w:bidi="en_US"/>
        </w:rPr>
        <w:t xml:space="preserve"> a hundred measures of olive oil</w:t>
      </w:r>
    </w:p>
    <w:p>
      <w:pPr/>
      <w:r>
        <w:rPr>
          <w:lang w:val="en_US" w:bidi="en_US"/>
        </w:rPr>
      </w:r>
      <w:r>
        <w:rPr>
          <w:lang w:val="en_US" w:bidi="en_US"/>
        </w:rPr>
        <w:t>Many languages use similar types of ellipsis in normal conversation. If it is not natural in your language in this context, you may supply the full form.</w:t>
      </w:r>
    </w:p>
    <w:p>
      <w:pPr/>
      <w:r>
        <w:rPr>
          <w:lang w:val="en_US" w:bidi="en_US"/>
        </w:rPr>
      </w:r>
      <w:r>
        <w:rPr>
          <w:lang w:val="en_US" w:bidi="en_US"/>
        </w:rPr>
        <w:t xml:space="preserve">The Greek phrase that the BSB translates as </w:t>
      </w:r>
      <w:r>
        <w:rPr>
          <w:i/>
          <w:lang w:val="en_US" w:bidi="en_US"/>
        </w:rPr>
        <w:t>A hundred measures</w:t>
      </w:r>
      <w:r>
        <w:rPr>
          <w:lang w:val="en_US" w:bidi="en_US"/>
        </w:rPr>
        <w:t xml:space="preserve"> is “one hundred baths.” A “bath” was a liquid measure of between eight and ten gallons, or thirty to forty liters.</w:t>
      </w:r>
      <w:r>
        <w:rPr>
          <w:lang w:val="en_US" w:bidi="en_US"/>
        </w:rPr>
        <w:t>Marshall (pp. 618–19) estimates that the New Testament “bath” held 8.6 gallons or 39 liters. TH (p. 561) has about 8 gallons or 37 liters.</w:t>
      </w:r>
      <w:r>
        <w:rPr>
          <w:lang w:val="en_US" w:bidi="en_US"/>
        </w:rPr>
        <w:t xml:space="preserve"> Scholars are uncertain of the exact quantity. Some ways to translate this quantity are:</w:t>
      </w:r>
    </w:p>
    <w:p>
      <w:pPr>
        <w:pStyle w:val="ListBullet"/>
        <w:spacing w:line="240" w:lineRule="auto"/>
        <w:ind w:left="720"/>
      </w:pPr>
      <w:r>
        <w:rPr>
          <w:lang w:val="en_US" w:bidi="en_US"/>
        </w:rPr>
      </w:r>
      <w:r>
        <w:rPr>
          <w:lang w:val="en_US" w:bidi="en_US"/>
        </w:rPr>
        <w:t>Use a standard liquid measure. For example:</w:t>
      </w:r>
      <w:r>
        <w:rPr>
          <w:lang w:val="en_US" w:bidi="en_US"/>
        </w:rPr>
        <w:t>Nine hundred gallons (NIV)</w:t>
      </w:r>
    </w:p>
    <w:p>
      <w:pPr/>
      <w:r>
        <w:rPr>
          <w:lang w:val="en_US" w:bidi="en_US"/>
        </w:rPr>
      </w:r>
      <w:r>
        <w:rPr>
          <w:lang w:val="en_US" w:bidi="en_US"/>
        </w:rPr>
        <w:t>For areas that use liters instead of gallons you may say:</w:t>
      </w:r>
    </w:p>
    <w:p>
      <w:pPr/>
      <w:r>
        <w:rPr>
          <w:lang w:val="en_US" w:bidi="en_US"/>
        </w:rPr>
      </w:r>
      <w:r>
        <w:rPr>
          <w:lang w:val="en_US" w:bidi="en_US"/>
        </w:rPr>
        <w:t>3,700 liters (TRT)</w:t>
      </w:r>
    </w:p>
    <w:p>
      <w:pPr>
        <w:pStyle w:val="ListBullet"/>
        <w:spacing w:line="240" w:lineRule="auto"/>
        <w:ind w:left="720"/>
      </w:pPr>
      <w:r>
        <w:rPr>
          <w:lang w:val="en_US" w:bidi="en_US"/>
        </w:rPr>
      </w:r>
      <w:r>
        <w:rPr>
          <w:lang w:val="en_US" w:bidi="en_US"/>
        </w:rPr>
        <w:t>Use a commonly known local container or unit of measure for cooking oil. For example:</w:t>
      </w:r>
      <w:r>
        <w:rPr>
          <w:lang w:val="en_US" w:bidi="en_US"/>
        </w:rPr>
        <w:t>One hundred barrels (GNT)</w:t>
      </w:r>
      <w:r>
        <w:rPr>
          <w:lang w:val="en_US" w:bidi="en_US"/>
        </w:rPr>
        <w:t>A hundred jars (REB)</w:t>
      </w:r>
      <w:r>
        <w:rPr>
          <w:lang w:val="en_US" w:bidi="en_US"/>
        </w:rPr>
        <w:t>one hundred cans/measures</w:t>
      </w:r>
    </w:p>
    <w:p>
      <w:pPr/>
      <w:r>
        <w:rPr>
          <w:lang w:val="en_US" w:bidi="en_US"/>
        </w:rPr>
      </w:r>
      <w:r>
        <w:rPr>
          <w:lang w:val="en_US" w:bidi="en_US"/>
        </w:rPr>
        <w:t>You may adjust the number of containers so that the total contents are approximately equal to 100 Greek “baths.” But the exact quantity is not in focus in this passage. Consider whether it will be important in your language area to use the same number as a national or trade language translation.</w:t>
      </w:r>
    </w:p>
    <w:p>
      <w:pPr/>
      <w:r>
        <w:rPr>
          <w:lang w:val="en_US" w:bidi="en_US"/>
        </w:rPr>
      </w:r>
      <w:r>
        <w:rPr>
          <w:b/>
          <w:lang w:val="en_US" w:bidi="en_US"/>
        </w:rPr>
        <w:t>olive oil:</w:t>
      </w:r>
      <w:r>
        <w:rPr>
          <w:lang w:val="en_US" w:bidi="en_US"/>
        </w:rPr>
        <w:t xml:space="preserve"> Fruit from the olive tree is used to make </w:t>
      </w:r>
      <w:r>
        <w:rPr>
          <w:i/>
          <w:lang w:val="en_US" w:bidi="en_US"/>
        </w:rPr>
        <w:t>olive oil</w:t>
      </w:r>
      <w:r>
        <w:rPr>
          <w:lang w:val="en_US" w:bidi="en_US"/>
        </w:rPr>
        <w:t>. If in your culture olive oil is unknown, you could translate this with a general word that refers to cooking oil.</w:t>
      </w:r>
    </w:p>
    <w:p>
      <w:pPr/>
      <w:r>
        <w:rPr>
          <w:lang w:val="en_US" w:bidi="en_US"/>
        </w:rPr>
      </w:r>
      <w:r>
        <w:rPr>
          <w:b/>
          <w:lang w:val="en_US" w:bidi="en_US"/>
        </w:rPr>
        <w:t>he answered:</w:t>
      </w:r>
      <w:r>
        <w:rPr>
          <w:lang w:val="en_US" w:bidi="en_US"/>
        </w:rPr>
        <w:t xml:space="preserve"> The BSB has placed the words </w:t>
      </w:r>
      <w:r>
        <w:rPr>
          <w:i/>
          <w:lang w:val="en_US" w:bidi="en_US"/>
        </w:rPr>
        <w:t>he answered</w:t>
      </w:r>
      <w:r>
        <w:rPr>
          <w:lang w:val="en_US" w:bidi="en_US"/>
        </w:rPr>
        <w:t xml:space="preserve"> at the end of the quotation. You should place them where it is natural in your language.</w:t>
      </w:r>
    </w:p>
    <w:p>
      <w:pPr>
        <w:pStyle w:val="Heading5"/>
      </w:pPr>
      <w:r>
        <w:rPr>
          <w:lang w:val="en_US" w:bidi="en_US"/>
        </w:rPr>
        <w:t>16:6b</w:t>
      </w:r>
    </w:p>
    <w:p>
      <w:pPr/>
      <w:r>
        <w:rPr>
          <w:lang w:val="en_US" w:bidi="en_US"/>
        </w:rPr>
      </w:r>
      <w:r>
        <w:rPr>
          <w:b/>
          <w:lang w:val="en_US" w:bidi="en_US"/>
        </w:rPr>
        <w:t>‘Take your bill,’ said the manager.</w:t>
      </w:r>
    </w:p>
    <w:p>
      <w:pPr>
        <w:pStyle w:val="ListBullet"/>
        <w:spacing w:line="240" w:lineRule="auto"/>
        <w:ind w:left="720"/>
      </w:pPr>
      <w:r>
        <w:rPr>
          <w:lang w:val="en_US" w:bidi="en_US"/>
        </w:rPr>
      </w:r>
      <w:r>
        <w:rPr>
          <w:lang w:val="en_US" w:bidi="en_US"/>
        </w:rPr>
        <w:t>Then the manager/employee said to him, ‘Here is your</w:t>
      </w:r>
      <w:r>
        <w:rPr>
          <w:vertAlign w:val="superscript"/>
          <w:lang w:val="en_US" w:bidi="en_US"/>
        </w:rPr>
        <w:t>(sing)</w:t>
      </w:r>
      <w:r>
        <w:rPr>
          <w:lang w:val="en_US" w:bidi="en_US"/>
        </w:rPr>
        <w:t xml:space="preserve"> written/loan agreement/contract.</w:t>
      </w:r>
    </w:p>
    <w:p>
      <w:pPr/>
      <w:r>
        <w:rPr>
          <w:lang w:val="en_US" w:bidi="en_US"/>
        </w:rPr>
      </w:r>
      <w:r>
        <w:rPr>
          <w:b/>
          <w:lang w:val="en_US" w:bidi="en_US"/>
        </w:rPr>
        <w:t>Take your bill:</w:t>
      </w:r>
      <w:r>
        <w:rPr>
          <w:lang w:val="en_US" w:bidi="en_US"/>
        </w:rPr>
        <w:t xml:space="preserve"> The manager had the bill that showed how much the man owed.</w:t>
      </w:r>
      <w:r>
        <w:rPr>
          <w:lang w:val="en_US" w:bidi="en_US"/>
        </w:rPr>
        <w:t>The total debt probably included interest charges as well as a fee to the manager. Some scholars (Kistemaker, Marshall, Morris, Fitzmyer) suggest that when the manager told the debtors to change the amount they owed, he was only removing the high interest and other charges that he had planned to take for himself. If this is correct, it would help explain why the rich man was not angry when he found out.</w:t>
      </w:r>
      <w:r>
        <w:rPr>
          <w:lang w:val="en_US" w:bidi="en_US"/>
        </w:rPr>
        <w:t xml:space="preserve"> He now handed this written agreement to the man. The manager could not change the bill himself, because it was handwritten by the borrower. Any change would need to be made in the borrower’s handwriting. Other ways to translate this clause are:</w:t>
      </w:r>
    </w:p>
    <w:p>
      <w:pPr/>
      <w:r>
        <w:rPr>
          <w:lang w:val="en_US" w:bidi="en_US"/>
        </w:rPr>
      </w:r>
      <w:r>
        <w:rPr>
          <w:lang w:val="en_US" w:bidi="en_US"/>
        </w:rPr>
        <w:t>Here is your account (GNT)</w:t>
      </w:r>
    </w:p>
    <w:p>
      <w:pPr/>
      <w:r>
        <w:rPr>
          <w:lang w:val="en_US" w:bidi="en_US"/>
        </w:rPr>
      </w:r>
      <w:r>
        <w:rPr>
          <w:lang w:val="en_US" w:bidi="en_US"/>
        </w:rPr>
        <w:t>Here, take your original contract</w:t>
      </w:r>
    </w:p>
    <w:p>
      <w:pPr>
        <w:pStyle w:val="Heading5"/>
      </w:pPr>
      <w:r>
        <w:rPr>
          <w:lang w:val="en_US" w:bidi="en_US"/>
        </w:rPr>
        <w:t>16:6c</w:t>
      </w:r>
    </w:p>
    <w:p>
      <w:pPr/>
      <w:r>
        <w:rPr>
          <w:lang w:val="en_US" w:bidi="en_US"/>
        </w:rPr>
      </w:r>
      <w:r>
        <w:rPr>
          <w:b/>
          <w:lang w:val="en_US" w:bidi="en_US"/>
        </w:rPr>
        <w:t>‘Sit down quickly, and write fifty.’</w:t>
      </w:r>
    </w:p>
    <w:p>
      <w:pPr>
        <w:pStyle w:val="ListBullet"/>
        <w:spacing w:line="240" w:lineRule="auto"/>
        <w:ind w:left="720"/>
      </w:pPr>
      <w:r>
        <w:rPr>
          <w:lang w:val="en_US" w:bidi="en_US"/>
        </w:rPr>
      </w:r>
      <w:r>
        <w:rPr>
          <w:lang w:val="en_US" w:bidi="en_US"/>
        </w:rPr>
        <w:t xml:space="preserve">Quickly sit down and write </w:t>
      </w:r>
      <w:r>
        <w:rPr>
          <w:lang w:val="en_US" w:bidi="en_US"/>
        </w:rPr>
        <w:t>that you</w:t>
      </w:r>
      <w:r>
        <w:rPr>
          <w:vertAlign w:val="superscript"/>
          <w:lang w:val="en_US" w:bidi="en_US"/>
        </w:rPr>
        <w:t>(sing)</w:t>
      </w:r>
      <w:r>
        <w:rPr>
          <w:lang w:val="en_US" w:bidi="en_US"/>
        </w:rPr>
        <w:t xml:space="preserve"> </w:t>
      </w:r>
      <w:r>
        <w:rPr>
          <w:lang w:val="en_US" w:bidi="en_US"/>
        </w:rPr>
        <w:t>owe him</w:t>
      </w:r>
      <w:r>
        <w:rPr>
          <w:lang w:val="en_US" w:bidi="en_US"/>
        </w:rPr>
        <w:t xml:space="preserve"> four hundred </w:t>
      </w:r>
      <w:r>
        <w:rPr>
          <w:lang w:val="en_US" w:bidi="en_US"/>
        </w:rPr>
        <w:t>gallons of olive oil</w:t>
      </w:r>
      <w:r>
        <w:rPr>
          <w:lang w:val="en_US" w:bidi="en_US"/>
        </w:rPr>
        <w:t>.’</w:t>
      </w:r>
    </w:p>
    <w:p>
      <w:pPr>
        <w:pStyle w:val="ListBullet"/>
        <w:spacing w:line="240" w:lineRule="auto"/>
        <w:ind w:left="720"/>
      </w:pPr>
      <w:r>
        <w:rPr>
          <w:lang w:val="en_US" w:bidi="en_US"/>
        </w:rPr>
      </w:r>
      <w:r>
        <w:rPr>
          <w:lang w:val="en_US" w:bidi="en_US"/>
        </w:rPr>
        <w:t xml:space="preserve">Hurry and replace what is written here with fifty </w:t>
      </w:r>
      <w:r>
        <w:rPr>
          <w:lang w:val="en_US" w:bidi="en_US"/>
        </w:rPr>
        <w:t>drums/jars of cooking/vegetable oil.</w:t>
      </w:r>
      <w:r>
        <w:rPr>
          <w:lang w:val="en_US" w:bidi="en_US"/>
        </w:rPr>
        <w:t xml:space="preserve">’ </w:t>
      </w:r>
      <w:r>
        <w:rPr>
          <w:lang w:val="en_US" w:bidi="en_US"/>
        </w:rPr>
        <w:t>The man did this.</w:t>
      </w:r>
    </w:p>
    <w:p>
      <w:pPr/>
      <w:r>
        <w:rPr>
          <w:lang w:val="en_US" w:bidi="en_US"/>
        </w:rPr>
      </w:r>
      <w:r>
        <w:rPr>
          <w:b/>
          <w:lang w:val="en_US" w:bidi="en_US"/>
        </w:rPr>
        <w:t>Sit down quickly, and write fifty:</w:t>
      </w:r>
      <w:r>
        <w:rPr>
          <w:lang w:val="en_US" w:bidi="en_US"/>
        </w:rPr>
        <w:t xml:space="preserve"> In this clause the Greek word that means </w:t>
      </w:r>
      <w:r>
        <w:rPr>
          <w:i/>
          <w:lang w:val="en_US" w:bidi="en_US"/>
        </w:rPr>
        <w:t>quickly</w:t>
      </w:r>
      <w:r>
        <w:rPr>
          <w:lang w:val="en_US" w:bidi="en_US"/>
        </w:rPr>
        <w:t xml:space="preserve"> may describe both the verbs </w:t>
      </w:r>
      <w:r>
        <w:rPr>
          <w:i/>
          <w:lang w:val="en_US" w:bidi="en_US"/>
        </w:rPr>
        <w:t>Sit down</w:t>
      </w:r>
      <w:r>
        <w:rPr>
          <w:lang w:val="en_US" w:bidi="en_US"/>
        </w:rPr>
        <w:t xml:space="preserve"> and </w:t>
      </w:r>
      <w:r>
        <w:rPr>
          <w:i/>
          <w:lang w:val="en_US" w:bidi="en_US"/>
        </w:rPr>
        <w:t>write</w:t>
      </w:r>
      <w:r>
        <w:rPr>
          <w:lang w:val="en_US" w:bidi="en_US"/>
        </w:rPr>
        <w:t xml:space="preserve"> or one of these actions. The manager wanted the debtor to act quickly. The manager probably wanted to make changes to the bills before the master could stop him. Express this desire for haste in a natural way in your language. For example:</w:t>
      </w:r>
    </w:p>
    <w:p>
      <w:pPr/>
      <w:r>
        <w:rPr>
          <w:lang w:val="en_US" w:bidi="en_US"/>
        </w:rPr>
      </w:r>
      <w:r>
        <w:rPr>
          <w:lang w:val="en_US" w:bidi="en_US"/>
        </w:rPr>
        <w:t>Quick! Sit down, and write “four hundred!” (GW)</w:t>
      </w:r>
    </w:p>
    <w:p>
      <w:pPr/>
      <w:r>
        <w:rPr>
          <w:lang w:val="en_US" w:bidi="en_US"/>
        </w:rPr>
      </w:r>
      <w:r>
        <w:rPr>
          <w:lang w:val="en_US" w:bidi="en_US"/>
        </w:rPr>
        <w:t>The text does not say that the debtor did as the manager told him to. However, this information is implied. In some languages it may be necessary to make it explicit:</w:t>
      </w:r>
    </w:p>
    <w:p>
      <w:pPr/>
      <w:r>
        <w:rPr>
          <w:lang w:val="en_US" w:bidi="en_US"/>
        </w:rPr>
      </w:r>
      <w:r>
        <w:rPr>
          <w:lang w:val="en_US" w:bidi="en_US"/>
        </w:rPr>
        <w:t xml:space="preserve">Quickly sit down and write four hundred. </w:t>
      </w:r>
      <w:r>
        <w:rPr>
          <w:lang w:val="en_US" w:bidi="en_US"/>
        </w:rPr>
        <w:t>The man did this.</w:t>
      </w:r>
    </w:p>
    <w:p>
      <w:pPr/>
      <w:r>
        <w:rPr>
          <w:lang w:val="en_US" w:bidi="en_US"/>
        </w:rPr>
      </w:r>
      <w:r>
        <w:rPr>
          <w:b/>
          <w:lang w:val="en_US" w:bidi="en_US"/>
        </w:rPr>
        <w:t>Sit down:</w:t>
      </w:r>
      <w:r>
        <w:rPr>
          <w:lang w:val="en_US" w:bidi="en_US"/>
        </w:rPr>
        <w:t xml:space="preserve"> The manager told the debtor to </w:t>
      </w:r>
      <w:r>
        <w:rPr>
          <w:i/>
          <w:lang w:val="en_US" w:bidi="en_US"/>
        </w:rPr>
        <w:t>Sit down</w:t>
      </w:r>
      <w:r>
        <w:rPr>
          <w:lang w:val="en_US" w:bidi="en_US"/>
        </w:rPr>
        <w:t xml:space="preserve"> in order to be able to quickly and easily write down the new figures.</w:t>
      </w:r>
    </w:p>
    <w:p>
      <w:pPr/>
      <w:r>
        <w:rPr>
          <w:lang w:val="en_US" w:bidi="en_US"/>
        </w:rPr>
      </w:r>
      <w:r>
        <w:rPr>
          <w:b/>
          <w:lang w:val="en_US" w:bidi="en_US"/>
        </w:rPr>
        <w:t>write fifty:</w:t>
      </w:r>
      <w:r>
        <w:rPr>
          <w:lang w:val="en_US" w:bidi="en_US"/>
        </w:rPr>
        <w:t xml:space="preserve"> There are two ways to interpret the command that the BSB translates as </w:t>
      </w:r>
      <w:r>
        <w:rPr>
          <w:i/>
          <w:lang w:val="en_US" w:bidi="en_US"/>
        </w:rPr>
        <w:t>write fifty</w:t>
      </w:r>
      <w:r>
        <w:rPr>
          <w:lang w:val="en_US" w:bidi="en_US"/>
        </w:rPr>
        <w:t>:</w:t>
      </w:r>
    </w:p>
    <w:p>
      <w:pPr>
        <w:pStyle w:val="ListNumber"/>
        <w:numPr>
          <w:ilvl w:val="0"/>
          <w:numId w:val="264"/>
        </w:numPr>
        <w:spacing w:line="240" w:lineRule="auto"/>
        <w:ind w:left="720"/>
      </w:pPr>
      <w:r>
        <w:rPr>
          <w:lang w:val="en_US" w:bidi="en_US"/>
        </w:rPr>
      </w:r>
      <w:r>
        <w:rPr>
          <w:lang w:val="en_US" w:bidi="en_US"/>
        </w:rPr>
        <w:t xml:space="preserve">It means to </w:t>
      </w:r>
      <w:r>
        <w:rPr>
          <w:u w:val="single"/>
          <w:lang w:val="en_US" w:bidi="en_US"/>
        </w:rPr>
        <w:t>write a new bill</w:t>
      </w:r>
      <w:r>
        <w:rPr>
          <w:lang w:val="en_US" w:bidi="en_US"/>
        </w:rPr>
        <w:t xml:space="preserve"> for half the amount. For example:</w:t>
      </w:r>
      <w:r>
        <w:rPr>
          <w:lang w:val="en_US" w:bidi="en_US"/>
        </w:rPr>
        <w:t>Here is your promissory note. Sit down and quickly write one for fifty. (NAB)</w:t>
      </w:r>
    </w:p>
    <w:p>
      <w:pPr>
        <w:pStyle w:val="ListNumber"/>
        <w:spacing w:line="240" w:lineRule="auto"/>
        <w:ind w:left="720"/>
      </w:pPr>
      <w:r>
        <w:rPr>
          <w:lang w:val="en_US" w:bidi="en_US"/>
        </w:rPr>
      </w:r>
      <w:r>
        <w:rPr>
          <w:lang w:val="en_US" w:bidi="en_US"/>
        </w:rPr>
        <w:t xml:space="preserve">It means to </w:t>
      </w:r>
      <w:r>
        <w:rPr>
          <w:u w:val="single"/>
          <w:lang w:val="en_US" w:bidi="en_US"/>
        </w:rPr>
        <w:t>change the figures on the old bill</w:t>
      </w:r>
      <w:r>
        <w:rPr>
          <w:lang w:val="en_US" w:bidi="en_US"/>
        </w:rPr>
        <w:t xml:space="preserve"> to half the amount. For example:</w:t>
      </w:r>
      <w:r>
        <w:rPr>
          <w:lang w:val="en_US" w:bidi="en_US"/>
        </w:rPr>
        <w:t>Take the bill and quickly change it to 400 gallons. (NLT)</w:t>
      </w:r>
    </w:p>
    <w:p>
      <w:pPr/>
      <w:r>
        <w:rPr>
          <w:lang w:val="en_US" w:bidi="en_US"/>
        </w:rPr>
      </w:r>
      <w:r>
        <w:rPr>
          <w:lang w:val="en_US" w:bidi="en_US"/>
        </w:rPr>
        <w:t>Most English versions are ambiguous. If possible, translate this command so that it could have either meaning. If that is not possible, it is recommended that you follow interpretation (1), along with several scholars who comment on this issue.</w:t>
      </w:r>
      <w:r>
        <w:rPr>
          <w:lang w:val="en_US" w:bidi="en_US"/>
        </w:rPr>
        <w:t xml:space="preserve">Marshall, Bock, Geldenhuys, and the </w:t>
      </w:r>
      <w:r>
        <w:rPr>
          <w:i/>
          <w:lang w:val="en_US" w:bidi="en_US"/>
        </w:rPr>
        <w:t>Translator’s Handbook</w:t>
      </w:r>
      <w:r>
        <w:rPr>
          <w:lang w:val="en_US" w:bidi="en_US"/>
        </w:rPr>
        <w:t xml:space="preserve"> all prefer this interpretation. It also seems to the author of these Notes that it would look suspicious for the manager to turn in two or more loan agreements with figures that had been changed.</w:t>
      </w:r>
    </w:p>
    <w:p>
      <w:pPr/>
      <w:r>
        <w:rPr>
          <w:lang w:val="en_US" w:bidi="en_US"/>
        </w:rPr>
      </w:r>
      <w:r>
        <w:rPr>
          <w:b/>
          <w:lang w:val="en_US" w:bidi="en_US"/>
        </w:rPr>
        <w:t>fifty:</w:t>
      </w:r>
      <w:r>
        <w:rPr>
          <w:lang w:val="en_US" w:bidi="en_US"/>
        </w:rPr>
        <w:t xml:space="preserve"> The suggested figure of </w:t>
      </w:r>
      <w:r>
        <w:rPr>
          <w:i/>
          <w:lang w:val="en_US" w:bidi="en_US"/>
        </w:rPr>
        <w:t>fifty</w:t>
      </w:r>
      <w:r>
        <w:rPr>
          <w:lang w:val="en_US" w:bidi="en_US"/>
        </w:rPr>
        <w:t xml:space="preserve"> measures was half of the total amount. So whatever expression you used in 16:6a, you should divide it in half in 16:6c. For example, if you translated “one hundred barrels” in 16:6a, you should translate “fifty barrels” in 16:6c.</w:t>
      </w:r>
      <w:r>
        <w:rPr>
          <w:lang w:val="en_US" w:bidi="en_US"/>
        </w:rPr>
      </w:r>
      <w:r>
        <w:rPr>
          <w:lang w:val="en_US" w:bidi="en_US"/>
        </w:rPr>
      </w:r>
    </w:p>
    <w:p>
      <w:pPr/>
      <w:r>
        <w:rPr>
          <w:lang w:val="en_US" w:bidi="en_US"/>
        </w:rPr>
      </w:r>
    </w:p>
    <w:p>
      <w:pPr>
        <w:pStyle w:val="Heading2"/>
      </w:pPr>
      <w:r>
        <w:rPr>
          <w:lang w:val="en_US" w:bidi="en_US"/>
        </w:rPr>
        <w:t>Luke 16:7</w:t>
      </w:r>
      <w:r>
        <w:rPr>
          <w:lang w:val="en_US" w:bidi="en_US"/>
        </w:rPr>
      </w:r>
    </w:p>
    <w:p>
      <w:pPr>
        <w:pStyle w:val="Heading4"/>
      </w:pPr>
      <w:r>
        <w:rPr>
          <w:lang w:val="en_US" w:bidi="en_US"/>
        </w:rPr>
        <w:t>Section 16:1–13: Jesus told a parable about a dishonest manager who acted wisely</w:t>
      </w:r>
    </w:p>
    <w:p>
      <w:pPr/>
      <w:r>
        <w:rPr>
          <w:lang w:val="en_US" w:bidi="en_US"/>
        </w:rPr>
      </w:r>
      <w:r>
        <w:rPr>
          <w:lang w:val="en_US" w:bidi="en_US"/>
        </w:rP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pPr/>
      <w:r>
        <w:rPr>
          <w:lang w:val="en_US" w:bidi="en_US"/>
        </w:rPr>
      </w:r>
      <w:r>
        <w:rPr>
          <w:lang w:val="en_US" w:bidi="en_US"/>
        </w:rPr>
        <w:t>The main point of this parable is that the manager knew how to use money to make things better for his own future. In this way he was a good example for Jesus’ disciples. The parable does not mean that Jesus approved of the manager’s dishonesty.</w:t>
      </w:r>
    </w:p>
    <w:p>
      <w:pPr/>
      <w:r>
        <w:rPr>
          <w:lang w:val="en_US" w:bidi="en_US"/>
        </w:rPr>
      </w:r>
      <w:r>
        <w:rPr>
          <w:lang w:val="en_US" w:bidi="en_US"/>
        </w:rPr>
        <w:t>In 16:8c–16:9 Jesus commented on the parable and applied it to his disciples. In 16:10–13 he gave other teachings about the proper use of wealth.</w:t>
      </w:r>
    </w:p>
    <w:p>
      <w:pPr/>
      <w:r>
        <w:rPr>
          <w:lang w:val="en_US" w:bidi="en_US"/>
        </w:rPr>
      </w:r>
      <w:r>
        <w:rPr>
          <w:lang w:val="en_US" w:bidi="en_US"/>
        </w:rPr>
        <w:t>Other possible headings for this section are:</w:t>
      </w:r>
    </w:p>
    <w:p>
      <w:pPr/>
      <w:r>
        <w:rPr>
          <w:lang w:val="en_US" w:bidi="en_US"/>
        </w:rPr>
      </w:r>
      <w:r>
        <w:rPr>
          <w:lang w:val="en_US" w:bidi="en_US"/>
        </w:rPr>
        <w:t>The Parable of the Shrewd Manager (NIV)</w:t>
      </w:r>
    </w:p>
    <w:p>
      <w:pPr/>
      <w:r>
        <w:rPr>
          <w:lang w:val="en_US" w:bidi="en_US"/>
        </w:rPr>
      </w:r>
      <w:r>
        <w:rPr>
          <w:lang w:val="en_US" w:bidi="en_US"/>
        </w:rPr>
        <w:t>The dishonest man who was in charge of a rich man’s wealth</w:t>
      </w:r>
    </w:p>
    <w:p>
      <w:pPr>
        <w:pStyle w:val="Heading5"/>
      </w:pPr>
      <w:r>
        <w:rPr>
          <w:lang w:val="en_US" w:bidi="en_US"/>
        </w:rPr>
        <w:t>16:7a</w:t>
      </w:r>
    </w:p>
    <w:p>
      <w:pPr/>
      <w:r>
        <w:rPr>
          <w:lang w:val="en_US" w:bidi="en_US"/>
        </w:rPr>
      </w:r>
      <w:r>
        <w:rPr>
          <w:b/>
          <w:lang w:val="en_US" w:bidi="en_US"/>
        </w:rPr>
        <w:t>Then he asked another,</w:t>
      </w:r>
    </w:p>
    <w:p>
      <w:pPr>
        <w:pStyle w:val="ListBullet"/>
        <w:spacing w:line="240" w:lineRule="auto"/>
        <w:ind w:left="720"/>
      </w:pPr>
      <w:r>
        <w:rPr>
          <w:lang w:val="en_US" w:bidi="en_US"/>
        </w:rPr>
      </w:r>
      <w:r>
        <w:rPr>
          <w:lang w:val="en_US" w:bidi="en_US"/>
        </w:rPr>
        <w:t xml:space="preserve">Then he asked another </w:t>
      </w:r>
      <w:r>
        <w:rPr>
          <w:lang w:val="en_US" w:bidi="en_US"/>
        </w:rPr>
        <w:t>debtor/person</w:t>
      </w:r>
      <w:r>
        <w:rPr>
          <w:lang w:val="en_US" w:bidi="en_US"/>
        </w:rPr>
        <w:t>,</w:t>
      </w:r>
    </w:p>
    <w:p>
      <w:pPr>
        <w:pStyle w:val="ListBullet"/>
        <w:spacing w:line="240" w:lineRule="auto"/>
        <w:ind w:left="720"/>
      </w:pPr>
      <w:r>
        <w:rPr>
          <w:lang w:val="en_US" w:bidi="en_US"/>
        </w:rPr>
      </w:r>
      <w:r>
        <w:rPr>
          <w:lang w:val="en_US" w:bidi="en_US"/>
        </w:rPr>
        <w:t xml:space="preserve">When the next man </w:t>
      </w:r>
      <w:r>
        <w:rPr>
          <w:lang w:val="en_US" w:bidi="en_US"/>
        </w:rPr>
        <w:t>came/arrived</w:t>
      </w:r>
      <w:r>
        <w:rPr>
          <w:lang w:val="en_US" w:bidi="en_US"/>
        </w:rPr>
        <w:t>, the manager/employee asked him,</w:t>
      </w:r>
    </w:p>
    <w:p>
      <w:pPr/>
      <w:r>
        <w:rPr>
          <w:lang w:val="en_US" w:bidi="en_US"/>
        </w:rPr>
      </w:r>
      <w:r>
        <w:rPr>
          <w:b/>
          <w:lang w:val="en_US" w:bidi="en_US"/>
        </w:rPr>
        <w:t>Then he asked another:</w:t>
      </w:r>
      <w:r>
        <w:rPr>
          <w:lang w:val="en_US" w:bidi="en_US"/>
        </w:rPr>
        <w:t xml:space="preserve"> The Greek phrase that the BSB translates literally as </w:t>
      </w:r>
      <w:r>
        <w:rPr>
          <w:i/>
          <w:lang w:val="en_US" w:bidi="en_US"/>
        </w:rPr>
        <w:t>another</w:t>
      </w:r>
      <w:r>
        <w:rPr>
          <w:lang w:val="en_US" w:bidi="en_US"/>
        </w:rPr>
        <w:t xml:space="preserve"> refers to another of the men who owed something to the rich man. While versions such as the NET and NIV describe this as “the second” debtor, he was not necessarily the second one who spoke to the manager. Here is another way to translate this:</w:t>
      </w:r>
    </w:p>
    <w:p>
      <w:pPr/>
      <w:r>
        <w:rPr>
          <w:lang w:val="en_US" w:bidi="en_US"/>
        </w:rPr>
      </w:r>
      <w:r>
        <w:rPr>
          <w:lang w:val="en_US" w:bidi="en_US"/>
        </w:rPr>
        <w:t>Then he said to another (REB)</w:t>
      </w:r>
    </w:p>
    <w:p>
      <w:pPr>
        <w:pStyle w:val="Heading5"/>
      </w:pPr>
      <w:r>
        <w:rPr>
          <w:lang w:val="en_US" w:bidi="en_US"/>
        </w:rPr>
        <w:t>16:7b</w:t>
      </w:r>
    </w:p>
    <w:p>
      <w:pPr/>
      <w:r>
        <w:rPr>
          <w:lang w:val="en_US" w:bidi="en_US"/>
        </w:rPr>
      </w:r>
      <w:r>
        <w:rPr>
          <w:b/>
          <w:lang w:val="en_US" w:bidi="en_US"/>
        </w:rPr>
        <w:t>‘And how much do you owe?’</w:t>
      </w:r>
    </w:p>
    <w:p>
      <w:pPr>
        <w:pStyle w:val="ListBullet"/>
        <w:spacing w:line="240" w:lineRule="auto"/>
        <w:ind w:left="720"/>
      </w:pPr>
      <w:r>
        <w:rPr>
          <w:lang w:val="en_US" w:bidi="en_US"/>
        </w:rPr>
      </w:r>
      <w:r>
        <w:rPr>
          <w:lang w:val="en_US" w:bidi="en_US"/>
        </w:rPr>
        <w:t xml:space="preserve">‘And </w:t>
      </w:r>
      <w:r>
        <w:rPr>
          <w:lang w:val="en_US" w:bidi="en_US"/>
        </w:rPr>
        <w:t>as for you,</w:t>
      </w:r>
      <w:r>
        <w:rPr>
          <w:vertAlign w:val="superscript"/>
          <w:lang w:val="en_US" w:bidi="en_US"/>
        </w:rPr>
        <w:t>(sing)</w:t>
      </w:r>
      <w:r>
        <w:rPr>
          <w:lang w:val="en_US" w:bidi="en_US"/>
        </w:rPr>
        <w:t xml:space="preserve"> </w:t>
      </w:r>
      <w:r>
        <w:rPr>
          <w:lang w:val="en_US" w:bidi="en_US"/>
        </w:rPr>
        <w:t>sir,</w:t>
      </w:r>
      <w:r>
        <w:rPr>
          <w:lang w:val="en_US" w:bidi="en_US"/>
        </w:rPr>
        <w:t xml:space="preserve"> what is your debt </w:t>
      </w:r>
      <w:r>
        <w:rPr>
          <w:lang w:val="en_US" w:bidi="en_US"/>
        </w:rPr>
        <w:t>to my employer</w:t>
      </w:r>
      <w:r>
        <w:rPr>
          <w:lang w:val="en_US" w:bidi="en_US"/>
        </w:rPr>
        <w:t>?’</w:t>
      </w:r>
    </w:p>
    <w:p>
      <w:pPr>
        <w:pStyle w:val="ListBullet"/>
        <w:spacing w:line="240" w:lineRule="auto"/>
        <w:ind w:left="720"/>
      </w:pPr>
      <w:r>
        <w:rPr>
          <w:lang w:val="en_US" w:bidi="en_US"/>
        </w:rPr>
      </w:r>
      <w:r>
        <w:rPr>
          <w:lang w:val="en_US" w:bidi="en_US"/>
        </w:rPr>
        <w:t xml:space="preserve">‘How much do you owe </w:t>
      </w:r>
      <w:r>
        <w:rPr>
          <w:lang w:val="en_US" w:bidi="en_US"/>
        </w:rPr>
        <w:t>my boss</w:t>
      </w:r>
      <w:r>
        <w:rPr>
          <w:lang w:val="en_US" w:bidi="en_US"/>
        </w:rPr>
        <w:t>?’</w:t>
      </w:r>
    </w:p>
    <w:p>
      <w:pPr/>
      <w:r>
        <w:rPr>
          <w:lang w:val="en_US" w:bidi="en_US"/>
        </w:rPr>
      </w:r>
      <w:r>
        <w:rPr>
          <w:b/>
          <w:lang w:val="en_US" w:bidi="en_US"/>
        </w:rPr>
        <w:t>And how much do you owe:</w:t>
      </w:r>
      <w:r>
        <w:rPr>
          <w:lang w:val="en_US" w:bidi="en_US"/>
        </w:rPr>
        <w:t xml:space="preserve"> The Greek conjunction that the BSB translates as </w:t>
      </w:r>
      <w:r>
        <w:rPr>
          <w:i/>
          <w:lang w:val="en_US" w:bidi="en_US"/>
        </w:rPr>
        <w:t>And</w:t>
      </w:r>
      <w:r>
        <w:rPr>
          <w:lang w:val="en_US" w:bidi="en_US"/>
        </w:rPr>
        <w:t xml:space="preserve"> introduces the same question as in 16:5b. The manager was now asking it to a different person. In some languages it may be natural to indicate the change to a different person by putting the pronoun </w:t>
      </w:r>
      <w:r>
        <w:rPr>
          <w:i/>
          <w:lang w:val="en_US" w:bidi="en_US"/>
        </w:rPr>
        <w:t>you</w:t>
      </w:r>
      <w:r>
        <w:rPr>
          <w:lang w:val="en_US" w:bidi="en_US"/>
        </w:rPr>
        <w:t xml:space="preserve"> in a more emphatic position. For example:</w:t>
      </w:r>
    </w:p>
    <w:p>
      <w:pPr/>
      <w:r>
        <w:rPr>
          <w:lang w:val="en_US" w:bidi="en_US"/>
        </w:rPr>
      </w:r>
      <w:r>
        <w:rPr>
          <w:lang w:val="en_US" w:bidi="en_US"/>
        </w:rPr>
        <w:t>And you, sir, how much do you owe? (NJB)</w:t>
      </w:r>
    </w:p>
    <w:p>
      <w:pPr>
        <w:pStyle w:val="Heading5"/>
      </w:pPr>
      <w:r>
        <w:rPr>
          <w:lang w:val="en_US" w:bidi="en_US"/>
        </w:rPr>
        <w:t>16:7c</w:t>
      </w:r>
    </w:p>
    <w:p>
      <w:pPr/>
      <w:r>
        <w:rPr>
          <w:lang w:val="en_US" w:bidi="en_US"/>
        </w:rPr>
      </w:r>
      <w:r>
        <w:rPr>
          <w:b/>
          <w:lang w:val="en_US" w:bidi="en_US"/>
        </w:rPr>
        <w:t>‘A hundred measures of wheat,’ he replied.</w:t>
      </w:r>
    </w:p>
    <w:p>
      <w:pPr>
        <w:pStyle w:val="ListBullet"/>
        <w:spacing w:line="240" w:lineRule="auto"/>
        <w:ind w:left="720"/>
      </w:pPr>
      <w:r>
        <w:rPr>
          <w:lang w:val="en_US" w:bidi="en_US"/>
        </w:rPr>
      </w:r>
      <w:r>
        <w:rPr>
          <w:lang w:val="en_US" w:bidi="en_US"/>
        </w:rPr>
        <w:t xml:space="preserve">And </w:t>
      </w:r>
      <w:r>
        <w:rPr>
          <w:lang w:val="en_US" w:bidi="en_US"/>
        </w:rPr>
        <w:t>the man</w:t>
      </w:r>
      <w:r>
        <w:rPr>
          <w:lang w:val="en_US" w:bidi="en_US"/>
        </w:rPr>
        <w:t xml:space="preserve"> said, ‘One thousand bushels of wheat.’</w:t>
      </w:r>
    </w:p>
    <w:p>
      <w:pPr>
        <w:pStyle w:val="ListBullet"/>
        <w:spacing w:line="240" w:lineRule="auto"/>
        <w:ind w:left="720"/>
      </w:pPr>
      <w:r>
        <w:rPr>
          <w:lang w:val="en_US" w:bidi="en_US"/>
        </w:rPr>
      </w:r>
      <w:r>
        <w:rPr>
          <w:lang w:val="en_US" w:bidi="en_US"/>
        </w:rPr>
        <w:t>He answered, ‘</w:t>
      </w:r>
      <w:r>
        <w:rPr>
          <w:lang w:val="en_US" w:bidi="en_US"/>
        </w:rPr>
        <w:t>I owe him</w:t>
      </w:r>
      <w:r>
        <w:rPr>
          <w:lang w:val="en_US" w:bidi="en_US"/>
        </w:rPr>
        <w:t xml:space="preserve"> one hundred large sacks of grain.’</w:t>
      </w:r>
    </w:p>
    <w:p>
      <w:pPr/>
      <w:r>
        <w:rPr>
          <w:lang w:val="en_US" w:bidi="en_US"/>
        </w:rPr>
      </w:r>
      <w:r>
        <w:rPr>
          <w:b/>
          <w:lang w:val="en_US" w:bidi="en_US"/>
        </w:rPr>
        <w:t>A hundred measures of wheat:</w:t>
      </w:r>
      <w:r>
        <w:rPr>
          <w:lang w:val="en_US" w:bidi="en_US"/>
        </w:rPr>
        <w:t xml:space="preserve"> The Greek phrase that the BSB translates literally as </w:t>
      </w:r>
      <w:r>
        <w:rPr>
          <w:i/>
          <w:lang w:val="en_US" w:bidi="en_US"/>
        </w:rPr>
        <w:t>A hundred measures of wheat</w:t>
      </w:r>
      <w:r>
        <w:rPr>
          <w:lang w:val="en_US" w:bidi="en_US"/>
        </w:rPr>
        <w:t xml:space="preserve"> refers to a “measure” that was a dry measure of about ten bushels.</w:t>
      </w:r>
      <w:r>
        <w:rPr>
          <w:lang w:val="en_US" w:bidi="en_US"/>
        </w:rPr>
        <w:t>In terms of a metric measure, a bushel was about thirty-seven liters. In terms of money, a “measure” of wheat was worth about twenty-five to thirty days’ wages for a workman.</w:t>
      </w:r>
      <w:r>
        <w:rPr>
          <w:lang w:val="en_US" w:bidi="en_US"/>
        </w:rPr>
        <w:t xml:space="preserve"> Some ways to translate this quantity are:</w:t>
      </w:r>
    </w:p>
    <w:p>
      <w:pPr>
        <w:pStyle w:val="ListBullet"/>
        <w:spacing w:line="240" w:lineRule="auto"/>
        <w:ind w:left="720"/>
      </w:pPr>
      <w:r>
        <w:rPr>
          <w:lang w:val="en_US" w:bidi="en_US"/>
        </w:rPr>
      </w:r>
      <w:r>
        <w:rPr>
          <w:lang w:val="en_US" w:bidi="en_US"/>
        </w:rPr>
        <w:t>Use a standard dry measure. For example:</w:t>
      </w:r>
      <w:r>
        <w:rPr>
          <w:lang w:val="en_US" w:bidi="en_US"/>
        </w:rPr>
        <w:t>A thousand bushels of wheat (NIV)</w:t>
      </w:r>
    </w:p>
    <w:p>
      <w:pPr>
        <w:pStyle w:val="ListBullet"/>
        <w:spacing w:line="240" w:lineRule="auto"/>
        <w:ind w:left="720"/>
      </w:pPr>
      <w:r>
        <w:rPr>
          <w:lang w:val="en_US" w:bidi="en_US"/>
        </w:rPr>
      </w:r>
      <w:r>
        <w:rPr>
          <w:lang w:val="en_US" w:bidi="en_US"/>
        </w:rPr>
        <w:t>Use a measure of weight. For example:</w:t>
      </w:r>
      <w:r>
        <w:rPr>
          <w:lang w:val="en_US" w:bidi="en_US"/>
        </w:rPr>
        <w:t>44,000 pounds</w:t>
      </w:r>
      <w:r>
        <w:rPr>
          <w:lang w:val="en_US" w:bidi="en_US"/>
        </w:rPr>
        <w:t>20,000 kilos</w:t>
      </w:r>
    </w:p>
    <w:p>
      <w:pPr>
        <w:pStyle w:val="ListBullet"/>
        <w:spacing w:line="240" w:lineRule="auto"/>
        <w:ind w:left="720"/>
      </w:pPr>
      <w:r>
        <w:rPr>
          <w:lang w:val="en_US" w:bidi="en_US"/>
        </w:rPr>
      </w:r>
      <w:r>
        <w:rPr>
          <w:lang w:val="en_US" w:bidi="en_US"/>
        </w:rPr>
        <w:t>Use a commonly known local container or unit of measure for wheat or other grain. For example:</w:t>
      </w:r>
      <w:r>
        <w:rPr>
          <w:lang w:val="en_US" w:bidi="en_US"/>
        </w:rPr>
        <w:t>One hundred bags (NLV)</w:t>
      </w:r>
      <w:r>
        <w:rPr>
          <w:lang w:val="en_US" w:bidi="en_US"/>
        </w:rPr>
        <w:t>A hundred containers (NRSV)</w:t>
      </w:r>
      <w:r>
        <w:rPr>
          <w:lang w:val="en_US" w:bidi="en_US"/>
        </w:rPr>
        <w:t>one hundred sacks/baskets</w:t>
      </w:r>
    </w:p>
    <w:p>
      <w:pPr/>
      <w:r>
        <w:rPr>
          <w:lang w:val="en_US" w:bidi="en_US"/>
        </w:rPr>
      </w:r>
      <w:r>
        <w:rPr>
          <w:b/>
          <w:lang w:val="en_US" w:bidi="en_US"/>
        </w:rPr>
        <w:t>wheat:</w:t>
      </w:r>
      <w:r>
        <w:rPr>
          <w:lang w:val="en_US" w:bidi="en_US"/>
        </w:rPr>
        <w:t xml:space="preserve"> In this context the word </w:t>
      </w:r>
      <w:r>
        <w:rPr>
          <w:i/>
          <w:lang w:val="en_US" w:bidi="en_US"/>
        </w:rPr>
        <w:t>wheat</w:t>
      </w:r>
      <w:r>
        <w:rPr>
          <w:lang w:val="en_US" w:bidi="en_US"/>
        </w:rPr>
        <w:t xml:space="preserve"> refers to just the grain kernels, not to the stalks. In some areas wheat may not be known. If that is true in your area, other ways to translate it are:</w:t>
      </w:r>
    </w:p>
    <w:p>
      <w:pPr>
        <w:pStyle w:val="ListBullet"/>
        <w:spacing w:line="240" w:lineRule="auto"/>
        <w:ind w:left="720"/>
      </w:pPr>
      <w:r>
        <w:rPr>
          <w:lang w:val="en_US" w:bidi="en_US"/>
        </w:rPr>
      </w:r>
      <w:r>
        <w:rPr>
          <w:lang w:val="en_US" w:bidi="en_US"/>
        </w:rPr>
        <w:t>Use a more general term. For example:</w:t>
      </w:r>
      <w:r>
        <w:rPr>
          <w:lang w:val="en_US" w:bidi="en_US"/>
        </w:rPr>
        <w:t>grain</w:t>
      </w:r>
    </w:p>
    <w:p>
      <w:pPr>
        <w:pStyle w:val="ListBullet"/>
        <w:spacing w:line="240" w:lineRule="auto"/>
        <w:ind w:left="720"/>
      </w:pPr>
      <w:r>
        <w:rPr>
          <w:lang w:val="en_US" w:bidi="en_US"/>
        </w:rPr>
      </w:r>
      <w:r>
        <w:rPr>
          <w:lang w:val="en_US" w:bidi="en_US"/>
        </w:rPr>
        <w:t>Use a different type of grain that is grown in your area and is similar to wheat. For example:</w:t>
      </w:r>
      <w:r>
        <w:rPr>
          <w:lang w:val="en_US" w:bidi="en_US"/>
        </w:rPr>
        <w:t>barley/rice</w:t>
      </w:r>
    </w:p>
    <w:p>
      <w:pPr/>
      <w:r>
        <w:rPr>
          <w:lang w:val="en_US" w:bidi="en_US"/>
        </w:rPr>
      </w:r>
      <w:r>
        <w:rPr>
          <w:lang w:val="en_US" w:bidi="en_US"/>
        </w:rPr>
        <w:t>See the note and picture of wheat in 3:17b.</w:t>
      </w:r>
    </w:p>
    <w:p>
      <w:pPr>
        <w:pStyle w:val="Heading5"/>
      </w:pPr>
      <w:r>
        <w:rPr>
          <w:lang w:val="en_US" w:bidi="en_US"/>
        </w:rPr>
        <w:t>16:7d</w:t>
      </w:r>
    </w:p>
    <w:p>
      <w:pPr/>
      <w:r>
        <w:rPr>
          <w:lang w:val="en_US" w:bidi="en_US"/>
        </w:rPr>
      </w:r>
      <w:r>
        <w:rPr>
          <w:b/>
          <w:lang w:val="en_US" w:bidi="en_US"/>
        </w:rPr>
        <w:t>‘Take your bill</w:t>
      </w:r>
    </w:p>
    <w:p>
      <w:pPr>
        <w:pStyle w:val="ListBullet"/>
        <w:spacing w:line="240" w:lineRule="auto"/>
        <w:ind w:left="720"/>
      </w:pPr>
      <w:r>
        <w:rPr>
          <w:lang w:val="en_US" w:bidi="en_US"/>
        </w:rPr>
      </w:r>
      <w:r>
        <w:rPr>
          <w:lang w:val="en_US" w:bidi="en_US"/>
        </w:rPr>
        <w:t xml:space="preserve">Then </w:t>
      </w:r>
      <w:r>
        <w:rPr>
          <w:lang w:val="en_US" w:bidi="en_US"/>
        </w:rPr>
        <w:t>the manager/employee</w:t>
      </w:r>
      <w:r>
        <w:rPr>
          <w:lang w:val="en_US" w:bidi="en_US"/>
        </w:rPr>
        <w:t xml:space="preserve"> said to him, ‘Here is your</w:t>
      </w:r>
      <w:r>
        <w:rPr>
          <w:vertAlign w:val="superscript"/>
          <w:lang w:val="en_US" w:bidi="en_US"/>
        </w:rPr>
        <w:t>(sing)</w:t>
      </w:r>
      <w:r>
        <w:rPr>
          <w:lang w:val="en_US" w:bidi="en_US"/>
        </w:rPr>
        <w:t xml:space="preserve"> written/loan agreement/contract.</w:t>
      </w:r>
    </w:p>
    <w:p>
      <w:pPr>
        <w:pStyle w:val="Heading5"/>
      </w:pPr>
      <w:r>
        <w:rPr>
          <w:lang w:val="en_US" w:bidi="en_US"/>
        </w:rPr>
        <w:t>16:7e</w:t>
      </w:r>
    </w:p>
    <w:p>
      <w:pPr/>
      <w:r>
        <w:rPr>
          <w:lang w:val="en_US" w:bidi="en_US"/>
        </w:rPr>
      </w:r>
      <w:r>
        <w:rPr>
          <w:b/>
          <w:lang w:val="en_US" w:bidi="en_US"/>
        </w:rPr>
        <w:t>and write eighty,’ he told him.</w:t>
      </w:r>
    </w:p>
    <w:p>
      <w:pPr>
        <w:pStyle w:val="ListBullet"/>
        <w:spacing w:line="240" w:lineRule="auto"/>
        <w:ind w:left="720"/>
      </w:pPr>
      <w:r>
        <w:rPr>
          <w:lang w:val="en_US" w:bidi="en_US"/>
        </w:rPr>
      </w:r>
      <w:r>
        <w:rPr>
          <w:lang w:val="en_US" w:bidi="en_US"/>
        </w:rPr>
        <w:t xml:space="preserve">Write </w:t>
      </w:r>
      <w:r>
        <w:rPr>
          <w:lang w:val="en_US" w:bidi="en_US"/>
        </w:rPr>
        <w:t>that you</w:t>
      </w:r>
      <w:r>
        <w:rPr>
          <w:vertAlign w:val="superscript"/>
          <w:lang w:val="en_US" w:bidi="en_US"/>
        </w:rPr>
        <w:t>(sing)</w:t>
      </w:r>
      <w:r>
        <w:rPr>
          <w:lang w:val="en_US" w:bidi="en_US"/>
        </w:rPr>
        <w:t xml:space="preserve"> </w:t>
      </w:r>
      <w:r>
        <w:rPr>
          <w:lang w:val="en_US" w:bidi="en_US"/>
        </w:rPr>
        <w:t>owe him</w:t>
      </w:r>
      <w:r>
        <w:rPr>
          <w:lang w:val="en_US" w:bidi="en_US"/>
        </w:rPr>
        <w:t xml:space="preserve"> eight hundred </w:t>
      </w:r>
      <w:r>
        <w:rPr>
          <w:lang w:val="en_US" w:bidi="en_US"/>
        </w:rPr>
        <w:t>bushels of wheat</w:t>
      </w:r>
      <w:r>
        <w:rPr>
          <w:lang w:val="en_US" w:bidi="en_US"/>
        </w:rPr>
        <w:t>.’</w:t>
      </w:r>
    </w:p>
    <w:p>
      <w:pPr>
        <w:pStyle w:val="ListBullet"/>
        <w:spacing w:line="240" w:lineRule="auto"/>
        <w:ind w:left="720"/>
      </w:pPr>
      <w:r>
        <w:rPr>
          <w:lang w:val="en_US" w:bidi="en_US"/>
        </w:rPr>
      </w:r>
      <w:r>
        <w:rPr>
          <w:lang w:val="en_US" w:bidi="en_US"/>
        </w:rPr>
        <w:t xml:space="preserve">Replace what is written here with eighty </w:t>
      </w:r>
      <w:r>
        <w:rPr>
          <w:lang w:val="en_US" w:bidi="en_US"/>
        </w:rPr>
        <w:t>large sacks of grain</w:t>
      </w:r>
      <w:r>
        <w:rPr>
          <w:lang w:val="en_US" w:bidi="en_US"/>
        </w:rPr>
        <w:t xml:space="preserve">.’ </w:t>
      </w:r>
      <w:r>
        <w:rPr>
          <w:lang w:val="en_US" w:bidi="en_US"/>
        </w:rPr>
        <w:t>And the man did this.</w:t>
      </w:r>
    </w:p>
    <w:p>
      <w:pPr>
        <w:pStyle w:val="Heading5"/>
      </w:pPr>
      <w:r>
        <w:rPr>
          <w:lang w:val="en_US" w:bidi="en_US"/>
        </w:rPr>
        <w:t>16:7d–e</w:t>
      </w:r>
    </w:p>
    <w:p>
      <w:pPr/>
      <w:r>
        <w:rPr>
          <w:lang w:val="en_US" w:bidi="en_US"/>
        </w:rPr>
      </w:r>
      <w:r>
        <w:rPr>
          <w:b/>
          <w:lang w:val="en_US" w:bidi="en_US"/>
        </w:rPr>
        <w:t>Take your bill and write eighty:</w:t>
      </w:r>
      <w:r>
        <w:rPr>
          <w:lang w:val="en_US" w:bidi="en_US"/>
        </w:rPr>
        <w:t xml:space="preserve"> This command is similar to what the manager told the first man (see the notes on 16:6b and 16:6c). The second man had to pay only eighty measures of wheat instead of one hundred measures. Whatever amount you use in 16:7c should be reduced by one-fifth in 16:7e. In other words, 16:7e must be four-fifths (80%) of whatever measure you use in 16:7c.</w:t>
      </w:r>
    </w:p>
    <w:p>
      <w:pPr/>
      <w:r>
        <w:rPr>
          <w:lang w:val="en_US" w:bidi="en_US"/>
        </w:rPr>
      </w:r>
      <w:r>
        <w:rPr>
          <w:lang w:val="en_US" w:bidi="en_US"/>
        </w:rPr>
        <w:t>If it is necessary to understand the parable, you may need to put the following implied information in a footnote:</w:t>
      </w:r>
    </w:p>
    <w:p>
      <w:pPr/>
      <w:r>
        <w:rPr>
          <w:lang w:val="en_US" w:bidi="en_US"/>
        </w:rPr>
      </w:r>
      <w:r>
        <w:rPr>
          <w:lang w:val="en_US" w:bidi="en_US"/>
        </w:rPr>
        <w:t>The manager helped in a similar way each of the men who owed things to the rich man.</w:t>
      </w:r>
      <w:r>
        <w:rPr>
          <w:lang w:val="en_US" w:bidi="en_US"/>
        </w:rPr>
      </w:r>
      <w:r>
        <w:rPr>
          <w:lang w:val="en_US" w:bidi="en_US"/>
        </w:rPr>
      </w:r>
    </w:p>
    <w:p>
      <w:pPr/>
      <w:r>
        <w:rPr>
          <w:lang w:val="en_US" w:bidi="en_US"/>
        </w:rPr>
      </w:r>
    </w:p>
    <w:p>
      <w:pPr>
        <w:pStyle w:val="Heading2"/>
      </w:pPr>
      <w:r>
        <w:rPr>
          <w:lang w:val="en_US" w:bidi="en_US"/>
        </w:rPr>
        <w:t>Luke 16:8</w:t>
      </w:r>
      <w:r>
        <w:rPr>
          <w:lang w:val="en_US" w:bidi="en_US"/>
        </w:rPr>
      </w:r>
    </w:p>
    <w:p>
      <w:pPr>
        <w:pStyle w:val="Heading4"/>
      </w:pPr>
      <w:r>
        <w:rPr>
          <w:lang w:val="en_US" w:bidi="en_US"/>
        </w:rPr>
        <w:t>Section 16:1–13: Jesus told a parable about a dishonest manager who acted wisely</w:t>
      </w:r>
    </w:p>
    <w:p>
      <w:pPr/>
      <w:r>
        <w:rPr>
          <w:lang w:val="en_US" w:bidi="en_US"/>
        </w:rPr>
      </w:r>
      <w:r>
        <w:rPr>
          <w:lang w:val="en_US" w:bidi="en_US"/>
        </w:rP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pPr/>
      <w:r>
        <w:rPr>
          <w:lang w:val="en_US" w:bidi="en_US"/>
        </w:rPr>
      </w:r>
      <w:r>
        <w:rPr>
          <w:lang w:val="en_US" w:bidi="en_US"/>
        </w:rPr>
        <w:t>The main point of this parable is that the manager knew how to use money to make things better for his own future. In this way he was a good example for Jesus’ disciples. The parable does not mean that Jesus approved of the manager’s dishonesty.</w:t>
      </w:r>
    </w:p>
    <w:p>
      <w:pPr/>
      <w:r>
        <w:rPr>
          <w:lang w:val="en_US" w:bidi="en_US"/>
        </w:rPr>
      </w:r>
      <w:r>
        <w:rPr>
          <w:lang w:val="en_US" w:bidi="en_US"/>
        </w:rPr>
        <w:t>In 16:8c–16:9 Jesus commented on the parable and applied it to his disciples. In 16:10–13 he gave other teachings about the proper use of wealth.</w:t>
      </w:r>
    </w:p>
    <w:p>
      <w:pPr/>
      <w:r>
        <w:rPr>
          <w:lang w:val="en_US" w:bidi="en_US"/>
        </w:rPr>
      </w:r>
      <w:r>
        <w:rPr>
          <w:lang w:val="en_US" w:bidi="en_US"/>
        </w:rPr>
        <w:t>Other possible headings for this section are:</w:t>
      </w:r>
    </w:p>
    <w:p>
      <w:pPr/>
      <w:r>
        <w:rPr>
          <w:lang w:val="en_US" w:bidi="en_US"/>
        </w:rPr>
      </w:r>
      <w:r>
        <w:rPr>
          <w:lang w:val="en_US" w:bidi="en_US"/>
        </w:rPr>
        <w:t>The Parable of the Shrewd Manager (NIV)</w:t>
      </w:r>
    </w:p>
    <w:p>
      <w:pPr/>
      <w:r>
        <w:rPr>
          <w:lang w:val="en_US" w:bidi="en_US"/>
        </w:rPr>
      </w:r>
      <w:r>
        <w:rPr>
          <w:lang w:val="en_US" w:bidi="en_US"/>
        </w:rPr>
        <w:t>The dishonest man who was in charge of a rich man’s wealth</w:t>
      </w:r>
    </w:p>
    <w:p>
      <w:pPr>
        <w:pStyle w:val="Heading4"/>
      </w:pPr>
      <w:r>
        <w:rPr>
          <w:lang w:val="en_US" w:bidi="en_US"/>
        </w:rPr>
        <w:t>Paragraph 16:8</w:t>
      </w:r>
    </w:p>
    <w:p>
      <w:pPr/>
      <w:r>
        <w:rPr>
          <w:lang w:val="en_US" w:bidi="en_US"/>
        </w:rPr>
      </w:r>
      <w:r>
        <w:rPr>
          <w:lang w:val="en_US" w:bidi="en_US"/>
        </w:rPr>
        <w:t>Jesus concluded the parable in 16:8a–b. In 16:8c he gave an explanatory comment about the parable, and in 16:9 he applied the parable to his disciples. The BSB puts these two verses into one paragraph. In some languages it may be more natural to start a new paragraph in 16:9, as in the GNT and NJB. These Notes will treat 16:8 as one paragraph and 16:9 as a separate paragraph.</w:t>
      </w:r>
    </w:p>
    <w:p>
      <w:pPr>
        <w:pStyle w:val="Heading5"/>
      </w:pPr>
      <w:r>
        <w:rPr>
          <w:lang w:val="en_US" w:bidi="en_US"/>
        </w:rPr>
        <w:t>16:8a</w:t>
      </w:r>
    </w:p>
    <w:p>
      <w:pPr/>
      <w:r>
        <w:rPr>
          <w:lang w:val="en_US" w:bidi="en_US"/>
        </w:rPr>
      </w:r>
      <w:r>
        <w:rPr>
          <w:b/>
          <w:lang w:val="en_US" w:bidi="en_US"/>
        </w:rPr>
        <w:t>The master commended the dishonest manager</w:t>
      </w:r>
    </w:p>
    <w:p>
      <w:pPr>
        <w:pStyle w:val="ListBullet"/>
        <w:spacing w:line="240" w:lineRule="auto"/>
        <w:ind w:left="720"/>
      </w:pPr>
      <w:r>
        <w:rPr>
          <w:lang w:val="en_US" w:bidi="en_US"/>
        </w:rPr>
      </w:r>
      <w:r>
        <w:rPr>
          <w:lang w:val="en_US" w:bidi="en_US"/>
        </w:rPr>
        <w:t>¶ “</w:t>
      </w:r>
      <w:r>
        <w:rPr>
          <w:lang w:val="en_US" w:bidi="en_US"/>
        </w:rPr>
        <w:t>When</w:t>
      </w:r>
      <w:r>
        <w:rPr>
          <w:lang w:val="en_US" w:bidi="en_US"/>
        </w:rPr>
        <w:t xml:space="preserve"> his employer/boss </w:t>
      </w:r>
      <w:r>
        <w:rPr>
          <w:lang w:val="en_US" w:bidi="en_US"/>
        </w:rPr>
        <w:t>heard what</w:t>
      </w:r>
      <w:r>
        <w:rPr>
          <w:lang w:val="en_US" w:bidi="en_US"/>
        </w:rPr>
        <w:t xml:space="preserve"> his deceiving/dishonest manager </w:t>
      </w:r>
      <w:r>
        <w:rPr>
          <w:lang w:val="en_US" w:bidi="en_US"/>
        </w:rPr>
        <w:t>had done</w:t>
      </w:r>
      <w:r>
        <w:rPr>
          <w:lang w:val="en_US" w:bidi="en_US"/>
        </w:rPr>
        <w:t>, he praised him</w:t>
      </w:r>
    </w:p>
    <w:p>
      <w:pPr>
        <w:pStyle w:val="ListBullet"/>
        <w:spacing w:line="240" w:lineRule="auto"/>
        <w:ind w:left="720"/>
      </w:pPr>
      <w:r>
        <w:rPr>
          <w:lang w:val="en_US" w:bidi="en_US"/>
        </w:rPr>
      </w:r>
      <w:r>
        <w:rPr>
          <w:lang w:val="en_US" w:bidi="en_US"/>
        </w:rPr>
        <w:t xml:space="preserve">¶ “As a result, </w:t>
      </w:r>
      <w:r>
        <w:rPr>
          <w:lang w:val="en_US" w:bidi="en_US"/>
        </w:rPr>
        <w:t>even though</w:t>
      </w:r>
      <w:r>
        <w:rPr>
          <w:lang w:val="en_US" w:bidi="en_US"/>
        </w:rPr>
        <w:t xml:space="preserve"> his employee had been deceitful/untrustworthy, </w:t>
      </w:r>
      <w:r>
        <w:rPr>
          <w:lang w:val="en_US" w:bidi="en_US"/>
        </w:rPr>
        <w:t>his</w:t>
      </w:r>
      <w:r>
        <w:rPr>
          <w:lang w:val="en_US" w:bidi="en_US"/>
        </w:rPr>
        <w:t xml:space="preserve"> master/employer complimented him</w:t>
      </w:r>
    </w:p>
    <w:p>
      <w:pPr>
        <w:pStyle w:val="Heading5"/>
      </w:pPr>
      <w:r>
        <w:rPr>
          <w:lang w:val="en_US" w:bidi="en_US"/>
        </w:rPr>
        <w:t>16:8b</w:t>
      </w:r>
    </w:p>
    <w:p>
      <w:pPr/>
      <w:r>
        <w:rPr>
          <w:lang w:val="en_US" w:bidi="en_US"/>
        </w:rPr>
      </w:r>
      <w:r>
        <w:rPr>
          <w:b/>
          <w:lang w:val="en_US" w:bidi="en_US"/>
        </w:rPr>
        <w:t>because he had acted shrewdly.</w:t>
      </w:r>
    </w:p>
    <w:p>
      <w:pPr>
        <w:pStyle w:val="ListBullet"/>
        <w:spacing w:line="240" w:lineRule="auto"/>
        <w:ind w:left="720"/>
      </w:pPr>
      <w:r>
        <w:rPr>
          <w:lang w:val="en_US" w:bidi="en_US"/>
        </w:rPr>
      </w:r>
      <w:r>
        <w:rPr>
          <w:lang w:val="en_US" w:bidi="en_US"/>
        </w:rPr>
        <w:t xml:space="preserve">because he had been clever/smart </w:t>
      </w:r>
      <w:r>
        <w:rPr>
          <w:lang w:val="en_US" w:bidi="en_US"/>
        </w:rPr>
        <w:t>in providing for his own needs</w:t>
      </w:r>
      <w:r>
        <w:rPr>
          <w:lang w:val="en_US" w:bidi="en_US"/>
        </w:rPr>
        <w:t>.</w:t>
      </w:r>
    </w:p>
    <w:p>
      <w:pPr>
        <w:pStyle w:val="ListBullet"/>
        <w:spacing w:line="240" w:lineRule="auto"/>
        <w:ind w:left="720"/>
      </w:pPr>
      <w:r>
        <w:rPr>
          <w:lang w:val="en_US" w:bidi="en_US"/>
        </w:rPr>
      </w:r>
      <w:r>
        <w:rPr>
          <w:lang w:val="en_US" w:bidi="en_US"/>
        </w:rPr>
        <w:t xml:space="preserve">for his cleverness/foresight </w:t>
      </w:r>
      <w:r>
        <w:rPr>
          <w:lang w:val="en_US" w:bidi="en_US"/>
        </w:rPr>
        <w:t>to plan for his livelihood in the future</w:t>
      </w:r>
      <w:r>
        <w:rPr>
          <w:lang w:val="en_US" w:bidi="en_US"/>
        </w:rPr>
        <w:t>.</w:t>
      </w:r>
    </w:p>
    <w:p>
      <w:pPr>
        <w:pStyle w:val="Heading5"/>
      </w:pPr>
      <w:r>
        <w:rPr>
          <w:lang w:val="en_US" w:bidi="en_US"/>
        </w:rPr>
        <w:t>16:8a–b</w:t>
      </w:r>
    </w:p>
    <w:p>
      <w:pPr/>
      <w:r>
        <w:rPr>
          <w:lang w:val="en_US" w:bidi="en_US"/>
        </w:rPr>
      </w:r>
      <w:r>
        <w:rPr>
          <w:b/>
          <w:lang w:val="en_US" w:bidi="en_US"/>
        </w:rPr>
        <w:t>The master commended the dishonest manager because he had acted shrewdly:</w:t>
      </w:r>
      <w:r>
        <w:rPr>
          <w:lang w:val="en_US" w:bidi="en_US"/>
        </w:rPr>
        <w:t xml:space="preserve"> Somehow the rich man found out what the manager had done. In some languages it may be necessary to supply this information:</w:t>
      </w:r>
    </w:p>
    <w:p>
      <w:pPr/>
      <w:r>
        <w:rPr>
          <w:lang w:val="en_US" w:bidi="en_US"/>
        </w:rPr>
      </w:r>
      <w:r>
        <w:rPr>
          <w:lang w:val="en_US" w:bidi="en_US"/>
        </w:rPr>
        <w:t>When the master heard about this,</w:t>
      </w:r>
      <w:r>
        <w:rPr>
          <w:lang w:val="en_US" w:bidi="en_US"/>
        </w:rPr>
        <w:t xml:space="preserve"> he commended the dishonest manager for acting shrewdly.</w:t>
      </w:r>
    </w:p>
    <w:p>
      <w:pPr/>
      <w:r>
        <w:rPr>
          <w:lang w:val="en_US" w:bidi="en_US"/>
        </w:rPr>
      </w:r>
      <w:r>
        <w:rPr>
          <w:lang w:val="en_US" w:bidi="en_US"/>
        </w:rPr>
        <w:t>It is important to make clear in your translation that the rich man praised his manager because he had acted shrewdly (16:8b). He did not praise him because he was dishonest. For example:</w:t>
      </w:r>
    </w:p>
    <w:p>
      <w:pPr/>
      <w:r>
        <w:rPr>
          <w:lang w:val="en_US" w:bidi="en_US"/>
        </w:rPr>
      </w:r>
      <w:r>
        <w:rPr>
          <w:lang w:val="en_US" w:bidi="en_US"/>
        </w:rPr>
        <w:t>the master of this dishonest manager praised him for doing such a shrewd thing (GNT)</w:t>
      </w:r>
    </w:p>
    <w:p>
      <w:pPr/>
      <w:r>
        <w:rPr>
          <w:lang w:val="en_US" w:bidi="en_US"/>
        </w:rPr>
      </w:r>
      <w:r>
        <w:rPr>
          <w:lang w:val="en_US" w:bidi="en_US"/>
        </w:rPr>
        <w:t>even though the manager was dishonest, his employer complimented him because of his clever action</w:t>
      </w:r>
    </w:p>
    <w:p>
      <w:pPr/>
      <w:r>
        <w:rPr>
          <w:lang w:val="en_US" w:bidi="en_US"/>
        </w:rPr>
      </w:r>
      <w:r>
        <w:rPr>
          <w:b/>
          <w:lang w:val="en_US" w:bidi="en_US"/>
        </w:rPr>
        <w:t>The master:</w:t>
      </w:r>
      <w:r>
        <w:rPr>
          <w:lang w:val="en_US" w:bidi="en_US"/>
        </w:rPr>
        <w:t xml:space="preserve"> The Greek phrase that the BSB translates as </w:t>
      </w:r>
      <w:r>
        <w:rPr>
          <w:i/>
          <w:lang w:val="en_US" w:bidi="en_US"/>
        </w:rPr>
        <w:t>The master</w:t>
      </w:r>
      <w:r>
        <w:rPr>
          <w:lang w:val="en_US" w:bidi="en_US"/>
        </w:rPr>
        <w:t xml:space="preserve"> refers to the master or employer of the manager. In some languages it may be necessary to make this explicit:</w:t>
      </w:r>
    </w:p>
    <w:p>
      <w:pPr/>
      <w:r>
        <w:rPr>
          <w:lang w:val="en_US" w:bidi="en_US"/>
        </w:rPr>
      </w:r>
      <w:r>
        <w:rPr>
          <w:lang w:val="en_US" w:bidi="en_US"/>
        </w:rPr>
        <w:t>His</w:t>
      </w:r>
      <w:r>
        <w:rPr>
          <w:lang w:val="en_US" w:bidi="en_US"/>
        </w:rPr>
        <w:t xml:space="preserve"> employer/boss</w:t>
      </w:r>
    </w:p>
    <w:p>
      <w:pPr/>
      <w:r>
        <w:rPr>
          <w:lang w:val="en_US" w:bidi="en_US"/>
        </w:rPr>
      </w:r>
      <w:r>
        <w:rPr>
          <w:b/>
          <w:lang w:val="en_US" w:bidi="en_US"/>
        </w:rPr>
        <w:t>commended:</w:t>
      </w:r>
      <w:r>
        <w:rPr>
          <w:lang w:val="en_US" w:bidi="en_US"/>
        </w:rPr>
        <w:t xml:space="preserve"> The Greek word that the BSB translates as </w:t>
      </w:r>
      <w:r>
        <w:rPr>
          <w:i/>
          <w:lang w:val="en_US" w:bidi="en_US"/>
        </w:rPr>
        <w:t>commended</w:t>
      </w:r>
      <w:r>
        <w:rPr>
          <w:lang w:val="en_US" w:bidi="en_US"/>
        </w:rPr>
        <w:t xml:space="preserve"> means here to praise or compliment someone.</w:t>
      </w:r>
    </w:p>
    <w:p>
      <w:pPr/>
      <w:r>
        <w:rPr>
          <w:lang w:val="en_US" w:bidi="en_US"/>
        </w:rPr>
      </w:r>
      <w:r>
        <w:rPr>
          <w:b/>
          <w:lang w:val="en_US" w:bidi="en_US"/>
        </w:rPr>
        <w:t>dishonest:</w:t>
      </w:r>
      <w:r>
        <w:rPr>
          <w:lang w:val="en_US" w:bidi="en_US"/>
        </w:rPr>
        <w:t xml:space="preserve"> The Greek word that the BSB translates as </w:t>
      </w:r>
      <w:r>
        <w:rPr>
          <w:i/>
          <w:lang w:val="en_US" w:bidi="en_US"/>
        </w:rPr>
        <w:t>dishonest</w:t>
      </w:r>
      <w:r>
        <w:rPr>
          <w:lang w:val="en_US" w:bidi="en_US"/>
        </w:rPr>
        <w:t xml:space="preserve"> often refers to someone who is “unrighteous” or “wicked.” In this context it refers primarily to the manager’s earlier actions of cheating his master by wasting his master’s money and spending it on himself. But it may also include his final actions of having the debtors change the amounts of their debt. In languages that do not have a word such as </w:t>
      </w:r>
      <w:r>
        <w:rPr>
          <w:i/>
          <w:lang w:val="en_US" w:bidi="en_US"/>
        </w:rPr>
        <w:t>dishonest</w:t>
      </w:r>
      <w:r>
        <w:rPr>
          <w:lang w:val="en_US" w:bidi="en_US"/>
        </w:rPr>
        <w:t>, other ways to translate this word are:</w:t>
      </w:r>
    </w:p>
    <w:p>
      <w:pPr/>
      <w:r>
        <w:rPr>
          <w:lang w:val="en_US" w:bidi="en_US"/>
        </w:rPr>
      </w:r>
      <w:r>
        <w:rPr>
          <w:lang w:val="en_US" w:bidi="en_US"/>
        </w:rPr>
        <w:t>deceiving/deceitful</w:t>
      </w:r>
    </w:p>
    <w:p>
      <w:pPr/>
      <w:r>
        <w:rPr>
          <w:lang w:val="en_US" w:bidi="en_US"/>
        </w:rPr>
      </w:r>
      <w:r>
        <w:rPr>
          <w:lang w:val="en_US" w:bidi="en_US"/>
        </w:rPr>
        <w:t>not trustworthy</w:t>
      </w:r>
    </w:p>
    <w:p>
      <w:pPr/>
      <w:r>
        <w:rPr>
          <w:lang w:val="en_US" w:bidi="en_US"/>
        </w:rPr>
      </w:r>
      <w:r>
        <w:rPr>
          <w:b/>
          <w:lang w:val="en_US" w:bidi="en_US"/>
        </w:rPr>
        <w:t>because he had acted shrewdly:</w:t>
      </w:r>
      <w:r>
        <w:rPr>
          <w:lang w:val="en_US" w:bidi="en_US"/>
        </w:rPr>
        <w:t xml:space="preserve"> This clause explains why the rich man praised his manager. The rich man admired the cleverness and foresight with which the manager had acted in 16:5–7. Here is another way to translate this:</w:t>
      </w:r>
    </w:p>
    <w:p>
      <w:pPr/>
      <w:r>
        <w:rPr>
          <w:lang w:val="en_US" w:bidi="en_US"/>
        </w:rPr>
      </w:r>
      <w:r>
        <w:rPr>
          <w:lang w:val="en_US" w:bidi="en_US"/>
        </w:rPr>
        <w:t>for doing such a shrewd thing (GNT)</w:t>
      </w:r>
    </w:p>
    <w:p>
      <w:pPr>
        <w:pStyle w:val="Heading5"/>
      </w:pPr>
      <w:r>
        <w:rPr>
          <w:lang w:val="en_US" w:bidi="en_US"/>
        </w:rPr>
        <w:t>16:8c</w:t>
      </w:r>
    </w:p>
    <w:p>
      <w:pPr/>
      <w:r>
        <w:rPr>
          <w:lang w:val="en_US" w:bidi="en_US"/>
        </w:rPr>
      </w:r>
      <w:r>
        <w:rPr>
          <w:b/>
          <w:lang w:val="en_US" w:bidi="en_US"/>
        </w:rPr>
        <w:t>For the sons of this age are more shrewd in dealing with their own kind</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t>
      </w:r>
      <w:r>
        <w:rPr>
          <w:lang w:val="en_US" w:bidi="en_US"/>
        </w:rPr>
        <w:t>can understand this</w:t>
      </w:r>
      <w:r>
        <w:rPr>
          <w:lang w:val="en_US" w:bidi="en_US"/>
        </w:rPr>
        <w:t xml:space="preserve"> because the people of this world are wiser in relating to their companions</w:t>
      </w:r>
    </w:p>
    <w:p>
      <w:pPr>
        <w:pStyle w:val="ListBullet"/>
        <w:spacing w:line="240" w:lineRule="auto"/>
        <w:ind w:left="720"/>
      </w:pPr>
      <w:r>
        <w:rPr>
          <w:lang w:val="en_US" w:bidi="en_US"/>
        </w:rPr>
      </w:r>
      <w:r>
        <w:rPr>
          <w:lang w:val="en_US" w:bidi="en_US"/>
        </w:rPr>
        <w:t>This shows that</w:t>
      </w:r>
      <w:r>
        <w:rPr>
          <w:lang w:val="en_US" w:bidi="en_US"/>
        </w:rPr>
        <w:t xml:space="preserve"> people whose minds are worldly are more clever in their </w:t>
      </w:r>
      <w:r>
        <w:rPr>
          <w:lang w:val="en_US" w:bidi="en_US"/>
        </w:rPr>
        <w:t>business</w:t>
      </w:r>
      <w:r>
        <w:rPr>
          <w:lang w:val="en_US" w:bidi="en_US"/>
        </w:rPr>
        <w:t xml:space="preserve"> dealings with their fellowmen</w:t>
      </w:r>
    </w:p>
    <w:p>
      <w:pPr>
        <w:pStyle w:val="ListBullet"/>
        <w:spacing w:line="240" w:lineRule="auto"/>
        <w:ind w:left="720"/>
      </w:pPr>
      <w:r>
        <w:rPr>
          <w:lang w:val="en_US" w:bidi="en_US"/>
        </w:rPr>
      </w:r>
      <w:r>
        <w:rPr>
          <w:lang w:val="en_US" w:bidi="en_US"/>
        </w:rPr>
        <w:t>Yes, it is true that</w:t>
      </w:r>
      <w:r>
        <w:rPr>
          <w:lang w:val="en_US" w:bidi="en_US"/>
        </w:rPr>
        <w:t xml:space="preserve"> the people of this world </w:t>
      </w:r>
      <w:r>
        <w:rPr>
          <w:lang w:val="en_US" w:bidi="en_US"/>
        </w:rPr>
        <w:t>who do not follow God</w:t>
      </w:r>
      <w:r>
        <w:rPr>
          <w:lang w:val="en_US" w:bidi="en_US"/>
        </w:rPr>
        <w:t xml:space="preserve"> are </w:t>
      </w:r>
      <w:r>
        <w:rPr>
          <w:lang w:val="en_US" w:bidi="en_US"/>
        </w:rPr>
        <w:t>often</w:t>
      </w:r>
      <w:r>
        <w:rPr>
          <w:lang w:val="en_US" w:bidi="en_US"/>
        </w:rPr>
        <w:t xml:space="preserve"> skillful/wise in how they treat other people,</w:t>
      </w:r>
    </w:p>
    <w:p>
      <w:pPr>
        <w:pStyle w:val="Heading5"/>
      </w:pPr>
      <w:r>
        <w:rPr>
          <w:lang w:val="en_US" w:bidi="en_US"/>
        </w:rPr>
        <w:t>16:8d</w:t>
      </w:r>
    </w:p>
    <w:p>
      <w:pPr/>
      <w:r>
        <w:rPr>
          <w:lang w:val="en_US" w:bidi="en_US"/>
        </w:rPr>
      </w:r>
      <w:r>
        <w:rPr>
          <w:b/>
          <w:lang w:val="en_US" w:bidi="en_US"/>
        </w:rPr>
        <w:t>than are the sons of light.</w:t>
      </w:r>
    </w:p>
    <w:p>
      <w:pPr>
        <w:pStyle w:val="ListBullet"/>
        <w:spacing w:line="240" w:lineRule="auto"/>
        <w:ind w:left="720"/>
      </w:pPr>
      <w:r>
        <w:rPr>
          <w:lang w:val="en_US" w:bidi="en_US"/>
        </w:rPr>
      </w:r>
      <w:r>
        <w:rPr>
          <w:lang w:val="en_US" w:bidi="en_US"/>
        </w:rPr>
        <w:t>than the people who belong to the light. (GNT)</w:t>
      </w:r>
    </w:p>
    <w:p>
      <w:pPr>
        <w:pStyle w:val="ListBullet"/>
        <w:spacing w:line="240" w:lineRule="auto"/>
        <w:ind w:left="720"/>
      </w:pPr>
      <w:r>
        <w:rPr>
          <w:lang w:val="en_US" w:bidi="en_US"/>
        </w:rPr>
      </w:r>
      <w:r>
        <w:rPr>
          <w:lang w:val="en_US" w:bidi="en_US"/>
        </w:rPr>
        <w:t>than the people of the light.”</w:t>
      </w:r>
    </w:p>
    <w:p>
      <w:pPr>
        <w:pStyle w:val="ListBullet"/>
        <w:spacing w:line="240" w:lineRule="auto"/>
        <w:ind w:left="720"/>
      </w:pPr>
      <w:r>
        <w:rPr>
          <w:lang w:val="en_US" w:bidi="en_US"/>
        </w:rPr>
      </w:r>
      <w:r>
        <w:rPr>
          <w:lang w:val="en_US" w:bidi="en_US"/>
        </w:rPr>
        <w:t>but the people who follow God are not so skillful/wise.”</w:t>
      </w:r>
    </w:p>
    <w:p>
      <w:pPr>
        <w:pStyle w:val="Heading5"/>
      </w:pPr>
      <w:r>
        <w:rPr>
          <w:lang w:val="en_US" w:bidi="en_US"/>
        </w:rPr>
        <w:t>16:8c–d</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comment that Jesus made about the parable. This comment is part of the point that the parable illustrates. Be sure it is clear in your translation that Jesus was now commenting about the parable. He was no longer telling the parable. For example:</w:t>
      </w:r>
    </w:p>
    <w:p>
      <w:pPr/>
      <w:r>
        <w:rPr>
          <w:lang w:val="en_US" w:bidi="en_US"/>
        </w:rPr>
      </w:r>
      <w:r>
        <w:rPr>
          <w:lang w:val="en_US" w:bidi="en_US"/>
        </w:rPr>
        <w:t>This parable shows</w:t>
      </w:r>
      <w:r>
        <w:rPr>
          <w:lang w:val="en_US" w:bidi="en_US"/>
        </w:rPr>
        <w:t xml:space="preserve"> that</w:t>
      </w:r>
    </w:p>
    <w:p>
      <w:pPr/>
      <w:r>
        <w:rPr>
          <w:lang w:val="en_US" w:bidi="en_US"/>
        </w:rPr>
      </w:r>
      <w:r>
        <w:rPr>
          <w:lang w:val="en_US" w:bidi="en_US"/>
        </w:rPr>
        <w:t>This is understandable</w:t>
      </w:r>
      <w:r>
        <w:rPr>
          <w:lang w:val="en_US" w:bidi="en_US"/>
        </w:rPr>
        <w:t xml:space="preserve"> because</w:t>
      </w:r>
    </w:p>
    <w:p>
      <w:pPr/>
      <w:r>
        <w:rPr>
          <w:lang w:val="en_US" w:bidi="en_US"/>
        </w:rPr>
      </w:r>
      <w:r>
        <w:rPr>
          <w:b/>
          <w:lang w:val="en_US" w:bidi="en_US"/>
        </w:rPr>
        <w:t>the sons of this age are more shrewd in dealing with their own kind than are the sons of light:</w:t>
      </w:r>
      <w:r>
        <w:rPr>
          <w:lang w:val="en_US" w:bidi="en_US"/>
        </w:rPr>
        <w:t xml:space="preserve"> This is a comparison. Jesus was comparing one group of people to another group of people. (See the notes below for an explanation of what these groups are.) Like the dishonest manager, people in the first group are often very clever in how they treat other people. People in the second group are often not so clever. In some languages it may be necessary to translate this as two sentences:</w:t>
      </w:r>
    </w:p>
    <w:p>
      <w:pPr/>
      <w:r>
        <w:rPr>
          <w:lang w:val="en_US" w:bidi="en_US"/>
        </w:rPr>
      </w:r>
      <w:r>
        <w:rPr>
          <w:lang w:val="en_US" w:bidi="en_US"/>
        </w:rPr>
        <w:t>…the sons of this age are very clever/wise in dealing with their own kind. The sons of the light are not so clever!</w:t>
      </w:r>
    </w:p>
    <w:p>
      <w:pPr/>
      <w:r>
        <w:rPr>
          <w:lang w:val="en_US" w:bidi="en_US"/>
        </w:rPr>
      </w:r>
      <w:r>
        <w:rPr>
          <w:b/>
          <w:lang w:val="en_US" w:bidi="en_US"/>
        </w:rPr>
        <w:t>the sons of this age:</w:t>
      </w:r>
      <w:r>
        <w:rPr>
          <w:lang w:val="en_US" w:bidi="en_US"/>
        </w:rPr>
        <w:t xml:space="preserve"> The Greek phrase that the BSB translates literally as </w:t>
      </w:r>
      <w:r>
        <w:rPr>
          <w:i/>
          <w:lang w:val="en_US" w:bidi="en_US"/>
        </w:rPr>
        <w:t>the sons of this age</w:t>
      </w:r>
      <w:r>
        <w:rPr>
          <w:lang w:val="en_US" w:bidi="en_US"/>
        </w:rPr>
        <w:t xml:space="preserve"> is an idiom. It refers to people who value things that are important on earth (such as money and status) instead of valuing what is important in heaven. Other ways to translate this phrase are:</w:t>
      </w:r>
    </w:p>
    <w:p>
      <w:pPr/>
      <w:r>
        <w:rPr>
          <w:lang w:val="en_US" w:bidi="en_US"/>
        </w:rPr>
      </w:r>
      <w:r>
        <w:rPr>
          <w:lang w:val="en_US" w:bidi="en_US"/>
        </w:rPr>
        <w:t>worldly people (NCV)</w:t>
      </w:r>
    </w:p>
    <w:p>
      <w:pPr/>
      <w:r>
        <w:rPr>
          <w:lang w:val="en_US" w:bidi="en_US"/>
        </w:rPr>
      </w:r>
      <w:r>
        <w:rPr>
          <w:lang w:val="en_US" w:bidi="en_US"/>
        </w:rPr>
        <w:t>people who do not obey God</w:t>
      </w:r>
    </w:p>
    <w:p>
      <w:pPr/>
      <w:r>
        <w:rPr>
          <w:lang w:val="en_US" w:bidi="en_US"/>
        </w:rPr>
      </w:r>
      <w:r>
        <w:rPr>
          <w:lang w:val="en_US" w:bidi="en_US"/>
        </w:rPr>
        <w:t>people who have worldly lifestyles (TRT)</w:t>
      </w:r>
    </w:p>
    <w:p>
      <w:pPr/>
      <w:r>
        <w:rPr>
          <w:lang w:val="en_US" w:bidi="en_US"/>
        </w:rPr>
      </w:r>
      <w:r>
        <w:rPr>
          <w:b/>
          <w:lang w:val="en_US" w:bidi="en_US"/>
        </w:rPr>
        <w:t>more shrewd:</w:t>
      </w:r>
      <w:r>
        <w:rPr>
          <w:lang w:val="en_US" w:bidi="en_US"/>
        </w:rPr>
        <w:t xml:space="preserve"> The Greek word that the BSB translates as </w:t>
      </w:r>
      <w:r>
        <w:rPr>
          <w:i/>
          <w:lang w:val="en_US" w:bidi="en_US"/>
        </w:rPr>
        <w:t>more shrewd</w:t>
      </w:r>
      <w:r>
        <w:rPr>
          <w:lang w:val="en_US" w:bidi="en_US"/>
        </w:rPr>
        <w:t xml:space="preserve"> is a form of the same word that it translates as “shrewdly” in 16:8b.</w:t>
      </w:r>
    </w:p>
    <w:p>
      <w:pPr/>
      <w:r>
        <w:rPr>
          <w:lang w:val="en_US" w:bidi="en_US"/>
        </w:rPr>
      </w:r>
      <w:r>
        <w:rPr>
          <w:b/>
          <w:lang w:val="en_US" w:bidi="en_US"/>
        </w:rPr>
        <w:t>in dealing with:</w:t>
      </w:r>
      <w:r>
        <w:rPr>
          <w:lang w:val="en_US" w:bidi="en_US"/>
        </w:rPr>
        <w:t xml:space="preserve"> The Greek word that the BSB translates as </w:t>
      </w:r>
      <w:r>
        <w:rPr>
          <w:i/>
          <w:lang w:val="en_US" w:bidi="en_US"/>
        </w:rPr>
        <w:t>in dealing with</w:t>
      </w:r>
      <w:r>
        <w:rPr>
          <w:lang w:val="en_US" w:bidi="en_US"/>
        </w:rPr>
        <w:t xml:space="preserve"> is literally “in (regard to).” In this context, it implies “in interacting with” or “in handling business affairs with.”</w:t>
      </w:r>
    </w:p>
    <w:p>
      <w:pPr/>
      <w:r>
        <w:rPr>
          <w:lang w:val="en_US" w:bidi="en_US"/>
        </w:rPr>
      </w:r>
      <w:r>
        <w:rPr>
          <w:b/>
          <w:lang w:val="en_US" w:bidi="en_US"/>
        </w:rPr>
        <w:t>their own kind:</w:t>
      </w:r>
      <w:r>
        <w:rPr>
          <w:lang w:val="en_US" w:bidi="en_US"/>
        </w:rPr>
        <w:t xml:space="preserve"> The Greek phrase that the BSB translates as </w:t>
      </w:r>
      <w:r>
        <w:rPr>
          <w:i/>
          <w:lang w:val="en_US" w:bidi="en_US"/>
        </w:rPr>
        <w:t>their own kind</w:t>
      </w:r>
      <w:r>
        <w:rPr>
          <w:lang w:val="en_US" w:bidi="en_US"/>
        </w:rPr>
        <w:t xml:space="preserve"> is literally “their own generation.” The RSV and several other English versions translate it that way. There are at least three ways to interpret this phrase:</w:t>
      </w:r>
    </w:p>
    <w:p>
      <w:pPr>
        <w:pStyle w:val="ListNumber"/>
        <w:numPr>
          <w:ilvl w:val="0"/>
          <w:numId w:val="265"/>
        </w:numPr>
        <w:spacing w:line="240" w:lineRule="auto"/>
        <w:ind w:left="720"/>
      </w:pPr>
      <w:r>
        <w:rPr>
          <w:lang w:val="en_US" w:bidi="en_US"/>
        </w:rPr>
      </w:r>
      <w:r>
        <w:rPr>
          <w:lang w:val="en_US" w:bidi="en_US"/>
        </w:rPr>
        <w:t xml:space="preserve">It refers to </w:t>
      </w:r>
      <w:r>
        <w:rPr>
          <w:u w:val="single"/>
          <w:lang w:val="en_US" w:bidi="en_US"/>
        </w:rPr>
        <w:t>other people who were like them</w:t>
      </w:r>
      <w:r>
        <w:rPr>
          <w:lang w:val="en_US" w:bidi="en_US"/>
        </w:rPr>
        <w:t>. For example:</w:t>
      </w:r>
      <w:r>
        <w:rPr>
          <w:lang w:val="en_US" w:bidi="en_US"/>
        </w:rPr>
        <w:t>other</w:t>
      </w:r>
      <w:r>
        <w:rPr>
          <w:lang w:val="en_US" w:bidi="en_US"/>
        </w:rPr>
        <w:t xml:space="preserve"> people </w:t>
      </w:r>
      <w:r>
        <w:rPr>
          <w:lang w:val="en_US" w:bidi="en_US"/>
        </w:rPr>
        <w:t>who are worldly</w:t>
      </w:r>
      <w:r>
        <w:rPr>
          <w:lang w:val="en_US" w:bidi="en_US"/>
        </w:rPr>
        <w:t xml:space="preserve"> like themselves (TRT) </w:t>
      </w:r>
      <w:r>
        <w:rPr>
          <w:i/>
          <w:lang w:val="en_US" w:bidi="en_US"/>
        </w:rPr>
        <w:t>(BSB, NIV, REB, NJB, NCV)</w:t>
      </w:r>
    </w:p>
    <w:p>
      <w:pPr>
        <w:pStyle w:val="ListNumber"/>
        <w:spacing w:line="240" w:lineRule="auto"/>
        <w:ind w:left="720"/>
      </w:pPr>
      <w:r>
        <w:rPr>
          <w:lang w:val="en_US" w:bidi="en_US"/>
        </w:rPr>
      </w:r>
      <w:r>
        <w:rPr>
          <w:lang w:val="en_US" w:bidi="en_US"/>
        </w:rPr>
        <w:t xml:space="preserve">It refers to </w:t>
      </w:r>
      <w:r>
        <w:rPr>
          <w:u w:val="single"/>
          <w:lang w:val="en_US" w:bidi="en_US"/>
        </w:rPr>
        <w:t>other people who were living at the same time</w:t>
      </w:r>
      <w:r>
        <w:rPr>
          <w:lang w:val="en_US" w:bidi="en_US"/>
        </w:rPr>
        <w:t>. For example:</w:t>
      </w:r>
      <w:r>
        <w:rPr>
          <w:lang w:val="en_US" w:bidi="en_US"/>
        </w:rPr>
        <w:t xml:space="preserve">in dealing with their contemporaries (NET) </w:t>
      </w:r>
      <w:r>
        <w:rPr>
          <w:i/>
          <w:lang w:val="en_US" w:bidi="en_US"/>
        </w:rPr>
        <w:t>(NET, RSV, JBP)</w:t>
      </w:r>
    </w:p>
    <w:p>
      <w:pPr>
        <w:pStyle w:val="ListNumber"/>
        <w:spacing w:line="240" w:lineRule="auto"/>
        <w:ind w:left="720"/>
      </w:pPr>
      <w:r>
        <w:rPr>
          <w:lang w:val="en_US" w:bidi="en_US"/>
        </w:rPr>
      </w:r>
      <w:r>
        <w:rPr>
          <w:lang w:val="en_US" w:bidi="en_US"/>
        </w:rPr>
        <w:t xml:space="preserve">It refers to </w:t>
      </w:r>
      <w:r>
        <w:rPr>
          <w:u w:val="single"/>
          <w:lang w:val="en_US" w:bidi="en_US"/>
        </w:rPr>
        <w:t>money and business matters</w:t>
      </w:r>
      <w:r>
        <w:rPr>
          <w:lang w:val="en_US" w:bidi="en_US"/>
        </w:rPr>
        <w:t>. Other people are only implied. For example:</w:t>
      </w:r>
      <w:r>
        <w:rPr>
          <w:lang w:val="en_US" w:bidi="en_US"/>
        </w:rPr>
        <w:t xml:space="preserve">in handling their affairs (GNT) </w:t>
      </w:r>
      <w:r>
        <w:rPr>
          <w:i/>
          <w:lang w:val="en_US" w:bidi="en_US"/>
        </w:rPr>
        <w:t>(GNT, CEV, NLT)</w:t>
      </w:r>
    </w:p>
    <w:p>
      <w:pPr/>
      <w:r>
        <w:rPr>
          <w:lang w:val="en_US" w:bidi="en_US"/>
        </w:rPr>
      </w:r>
      <w:r>
        <w:rPr>
          <w:lang w:val="en_US" w:bidi="en_US"/>
        </w:rPr>
        <w:t>All three of these interpretations overlap. In the context, interpretation (3) could apply to either (1) and (2) or both. It is recommended that you use a general expression that refers to dealing with people. For example:</w:t>
      </w:r>
    </w:p>
    <w:p>
      <w:pPr/>
      <w:r>
        <w:rPr>
          <w:lang w:val="en_US" w:bidi="en_US"/>
        </w:rPr>
      </w:r>
      <w:r>
        <w:rPr>
          <w:lang w:val="en_US" w:bidi="en_US"/>
        </w:rPr>
        <w:t>when it comes to dealing with others (GW)</w:t>
      </w:r>
    </w:p>
    <w:p>
      <w:pPr/>
      <w:r>
        <w:rPr>
          <w:lang w:val="en_US" w:bidi="en_US"/>
        </w:rPr>
      </w:r>
      <w:r>
        <w:rPr>
          <w:b/>
          <w:lang w:val="en_US" w:bidi="en_US"/>
        </w:rPr>
        <w:t>the sons of light:</w:t>
      </w:r>
      <w:r>
        <w:rPr>
          <w:lang w:val="en_US" w:bidi="en_US"/>
        </w:rPr>
        <w:t xml:space="preserve"> The Greek idiom that the BSB translates literally as </w:t>
      </w:r>
      <w:r>
        <w:rPr>
          <w:i/>
          <w:lang w:val="en_US" w:bidi="en_US"/>
        </w:rPr>
        <w:t>the sons of light</w:t>
      </w:r>
      <w:r>
        <w:rPr>
          <w:lang w:val="en_US" w:bidi="en_US"/>
        </w:rPr>
        <w:t xml:space="preserve"> refers to:</w:t>
      </w:r>
    </w:p>
    <w:p>
      <w:pPr>
        <w:pStyle w:val="ListNumber"/>
        <w:numPr>
          <w:ilvl w:val="0"/>
          <w:numId w:val="266"/>
        </w:numPr>
        <w:spacing w:line="240" w:lineRule="auto"/>
        <w:ind w:left="720"/>
      </w:pPr>
      <w:r>
        <w:rPr>
          <w:lang w:val="en_US" w:bidi="en_US"/>
        </w:rPr>
      </w:r>
      <w:r>
        <w:rPr>
          <w:lang w:val="en_US" w:bidi="en_US"/>
        </w:rPr>
        <w:t>people who are associated with God, the source of light;</w:t>
      </w:r>
    </w:p>
    <w:p>
      <w:pPr>
        <w:pStyle w:val="ListNumber"/>
        <w:spacing w:line="240" w:lineRule="auto"/>
        <w:ind w:left="720"/>
      </w:pPr>
      <w:r>
        <w:rPr>
          <w:lang w:val="en_US" w:bidi="en_US"/>
        </w:rPr>
      </w:r>
      <w:r>
        <w:rPr>
          <w:lang w:val="en_US" w:bidi="en_US"/>
        </w:rPr>
        <w:t>people who have been spiritually enlightened by God’s truth.</w:t>
      </w:r>
    </w:p>
    <w:p>
      <w:pPr/>
      <w:r>
        <w:rPr>
          <w:lang w:val="en_US" w:bidi="en_US"/>
        </w:rPr>
      </w:r>
      <w:r>
        <w:rPr>
          <w:lang w:val="en_US" w:bidi="en_US"/>
        </w:rPr>
        <w:t>In some languages it may be possible to retain a reference to light. For example:</w:t>
      </w:r>
    </w:p>
    <w:p>
      <w:pPr/>
      <w:r>
        <w:rPr>
          <w:lang w:val="en_US" w:bidi="en_US"/>
        </w:rPr>
      </w:r>
      <w:r>
        <w:rPr>
          <w:lang w:val="en_US" w:bidi="en_US"/>
        </w:rPr>
        <w:t>the people who belong to the light (GNT)</w:t>
      </w:r>
    </w:p>
    <w:p>
      <w:pPr/>
      <w:r>
        <w:rPr>
          <w:lang w:val="en_US" w:bidi="en_US"/>
        </w:rPr>
      </w:r>
      <w:r>
        <w:rPr>
          <w:lang w:val="en_US" w:bidi="en_US"/>
        </w:rPr>
        <w:t>people whose minds God has illuminated</w:t>
      </w:r>
    </w:p>
    <w:p>
      <w:pPr/>
      <w:r>
        <w:rPr>
          <w:lang w:val="en_US" w:bidi="en_US"/>
        </w:rPr>
      </w:r>
      <w:r>
        <w:rPr>
          <w:lang w:val="en_US" w:bidi="en_US"/>
        </w:rPr>
        <w:t>In other languages it may be necessary to drop the figure of light. For example:</w:t>
      </w:r>
    </w:p>
    <w:p>
      <w:pPr/>
      <w:r>
        <w:rPr>
          <w:lang w:val="en_US" w:bidi="en_US"/>
        </w:rPr>
      </w:r>
      <w:r>
        <w:rPr>
          <w:lang w:val="en_US" w:bidi="en_US"/>
        </w:rPr>
        <w:t>people who are followers of God</w:t>
      </w:r>
    </w:p>
    <w:p>
      <w:pPr/>
      <w:r>
        <w:rPr>
          <w:lang w:val="en_US" w:bidi="en_US"/>
        </w:rPr>
      </w:r>
      <w:r>
        <w:rPr>
          <w:lang w:val="en_US" w:bidi="en_US"/>
        </w:rPr>
        <w:t>God’s people (TRT)</w:t>
      </w:r>
      <w:r>
        <w:rPr>
          <w:lang w:val="en_US" w:bidi="en_US"/>
        </w:rPr>
      </w:r>
      <w:r>
        <w:rPr>
          <w:lang w:val="en_US" w:bidi="en_US"/>
        </w:rPr>
      </w:r>
    </w:p>
    <w:p>
      <w:pPr/>
      <w:r>
        <w:rPr>
          <w:lang w:val="en_US" w:bidi="en_US"/>
        </w:rPr>
      </w:r>
    </w:p>
    <w:p>
      <w:pPr>
        <w:pStyle w:val="Heading2"/>
      </w:pPr>
      <w:r>
        <w:rPr>
          <w:lang w:val="en_US" w:bidi="en_US"/>
        </w:rPr>
        <w:t>Luke 16:9</w:t>
      </w:r>
      <w:r>
        <w:rPr>
          <w:lang w:val="en_US" w:bidi="en_US"/>
        </w:rPr>
      </w:r>
    </w:p>
    <w:p>
      <w:pPr>
        <w:pStyle w:val="Heading4"/>
      </w:pPr>
      <w:r>
        <w:rPr>
          <w:lang w:val="en_US" w:bidi="en_US"/>
        </w:rPr>
        <w:t>Section 16:1–13: Jesus told a parable about a dishonest manager who acted wisely</w:t>
      </w:r>
    </w:p>
    <w:p>
      <w:pPr/>
      <w:r>
        <w:rPr>
          <w:lang w:val="en_US" w:bidi="en_US"/>
        </w:rPr>
      </w:r>
      <w:r>
        <w:rPr>
          <w:lang w:val="en_US" w:bidi="en_US"/>
        </w:rP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pPr/>
      <w:r>
        <w:rPr>
          <w:lang w:val="en_US" w:bidi="en_US"/>
        </w:rPr>
      </w:r>
      <w:r>
        <w:rPr>
          <w:lang w:val="en_US" w:bidi="en_US"/>
        </w:rPr>
        <w:t>The main point of this parable is that the manager knew how to use money to make things better for his own future. In this way he was a good example for Jesus’ disciples. The parable does not mean that Jesus approved of the manager’s dishonesty.</w:t>
      </w:r>
    </w:p>
    <w:p>
      <w:pPr/>
      <w:r>
        <w:rPr>
          <w:lang w:val="en_US" w:bidi="en_US"/>
        </w:rPr>
      </w:r>
      <w:r>
        <w:rPr>
          <w:lang w:val="en_US" w:bidi="en_US"/>
        </w:rPr>
        <w:t>In 16:8c–16:9 Jesus commented on the parable and applied it to his disciples. In 16:10–13 he gave other teachings about the proper use of wealth.</w:t>
      </w:r>
    </w:p>
    <w:p>
      <w:pPr/>
      <w:r>
        <w:rPr>
          <w:lang w:val="en_US" w:bidi="en_US"/>
        </w:rPr>
      </w:r>
      <w:r>
        <w:rPr>
          <w:lang w:val="en_US" w:bidi="en_US"/>
        </w:rPr>
        <w:t>Other possible headings for this section are:</w:t>
      </w:r>
    </w:p>
    <w:p>
      <w:pPr/>
      <w:r>
        <w:rPr>
          <w:lang w:val="en_US" w:bidi="en_US"/>
        </w:rPr>
      </w:r>
      <w:r>
        <w:rPr>
          <w:lang w:val="en_US" w:bidi="en_US"/>
        </w:rPr>
        <w:t>The Parable of the Shrewd Manager (NIV)</w:t>
      </w:r>
    </w:p>
    <w:p>
      <w:pPr/>
      <w:r>
        <w:rPr>
          <w:lang w:val="en_US" w:bidi="en_US"/>
        </w:rPr>
      </w:r>
      <w:r>
        <w:rPr>
          <w:lang w:val="en_US" w:bidi="en_US"/>
        </w:rPr>
        <w:t>The dishonest man who was in charge of a rich man’s wealth</w:t>
      </w:r>
    </w:p>
    <w:p>
      <w:pPr>
        <w:pStyle w:val="Heading5"/>
      </w:pPr>
      <w:r>
        <w:rPr>
          <w:lang w:val="en_US" w:bidi="en_US"/>
        </w:rPr>
        <w:t>16:9a</w:t>
      </w:r>
    </w:p>
    <w:p>
      <w:pPr/>
      <w:r>
        <w:rPr>
          <w:lang w:val="en_US" w:bidi="en_US"/>
        </w:rPr>
      </w:r>
      <w:r>
        <w:rPr>
          <w:b/>
          <w:lang w:val="en_US" w:bidi="en_US"/>
        </w:rPr>
        <w:t>I tell you,</w:t>
      </w:r>
    </w:p>
    <w:p>
      <w:pPr>
        <w:pStyle w:val="ListBullet"/>
        <w:spacing w:line="240" w:lineRule="auto"/>
        <w:ind w:left="720"/>
      </w:pPr>
      <w:r>
        <w:rPr>
          <w:lang w:val="en_US" w:bidi="en_US"/>
        </w:rPr>
      </w:r>
      <w:r>
        <w:rPr>
          <w:lang w:val="en_US" w:bidi="en_US"/>
        </w:rPr>
        <w:t>¶ “Now I have some advice for you</w:t>
      </w:r>
      <w:r>
        <w:rPr>
          <w:vertAlign w:val="superscript"/>
          <w:lang w:val="en_US" w:bidi="en_US"/>
        </w:rPr>
        <w:t>(plur)</w:t>
      </w:r>
      <w:r>
        <w:rPr>
          <w:lang w:val="en_US" w:bidi="en_US"/>
        </w:rPr>
        <w:t xml:space="preserve"> </w:t>
      </w:r>
      <w:r>
        <w:rPr>
          <w:lang w:val="en_US" w:bidi="en_US"/>
        </w:rPr>
        <w:t>who are my disciples</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Jesus continued talking and he said,</w:t>
      </w:r>
      <w:r>
        <w:rPr>
          <w:lang w:val="en_US" w:bidi="en_US"/>
        </w:rPr>
        <w:t xml:space="preserve"> “Here is what I want you</w:t>
      </w:r>
      <w:r>
        <w:rPr>
          <w:vertAlign w:val="superscript"/>
          <w:lang w:val="en_US" w:bidi="en_US"/>
        </w:rPr>
        <w:t>(plur)</w:t>
      </w:r>
      <w:r>
        <w:rPr>
          <w:lang w:val="en_US" w:bidi="en_US"/>
        </w:rPr>
        <w:t xml:space="preserve"> to learn </w:t>
      </w:r>
      <w:r>
        <w:rPr>
          <w:lang w:val="en_US" w:bidi="en_US"/>
        </w:rPr>
        <w:t>from this story/parable</w:t>
      </w:r>
      <w:r>
        <w:rPr>
          <w:lang w:val="en_US" w:bidi="en_US"/>
        </w:rPr>
        <w:t>:</w:t>
      </w:r>
    </w:p>
    <w:p>
      <w:pPr/>
      <w:r>
        <w:rPr>
          <w:lang w:val="en_US" w:bidi="en_US"/>
        </w:rPr>
      </w:r>
      <w:r>
        <w:rPr>
          <w:lang w:val="en_US" w:bidi="en_US"/>
        </w:rPr>
        <w:t>In 16:8c–d, Jesus made a general comment on the parable in 16:1–8b. In this verse Jesus told his disciples how they should apply the preceding parable to their own lives. In some languages it may be helpful to indicate this shift of topic in some way. For example:</w:t>
      </w:r>
    </w:p>
    <w:p>
      <w:pPr/>
      <w:r>
        <w:rPr>
          <w:lang w:val="en_US" w:bidi="en_US"/>
        </w:rPr>
      </w:r>
      <w:r>
        <w:rPr>
          <w:lang w:val="en_US" w:bidi="en_US"/>
        </w:rPr>
        <w:t>And Jesus went on to say, “And so I tell you…” (GNT)</w:t>
      </w:r>
    </w:p>
    <w:p>
      <w:pPr/>
      <w:r>
        <w:rPr>
          <w:lang w:val="en_US" w:bidi="en_US"/>
        </w:rPr>
      </w:r>
      <w:r>
        <w:rPr>
          <w:lang w:val="en_US" w:bidi="en_US"/>
        </w:rPr>
        <w:t>My disciples, I tell you (CEV)</w:t>
      </w:r>
    </w:p>
    <w:p>
      <w:pPr/>
      <w:r>
        <w:rPr>
          <w:lang w:val="en_US" w:bidi="en_US"/>
        </w:rPr>
      </w:r>
      <w:r>
        <w:rPr>
          <w:lang w:val="en_US" w:bidi="en_US"/>
        </w:rPr>
        <w:t>Here’s the lesson: (NLT)</w:t>
      </w:r>
    </w:p>
    <w:p>
      <w:pPr/>
      <w:r>
        <w:rPr>
          <w:lang w:val="en_US" w:bidi="en_US"/>
        </w:rPr>
      </w:r>
      <w:r>
        <w:rPr>
          <w:b/>
          <w:lang w:val="en_US" w:bidi="en_US"/>
        </w:rPr>
        <w:t>I tell you:</w:t>
      </w:r>
      <w:r>
        <w:rPr>
          <w:lang w:val="en_US" w:bidi="en_US"/>
        </w:rPr>
        <w:t xml:space="preserve"> Jesus often used the words </w:t>
      </w:r>
      <w:r>
        <w:rPr>
          <w:i/>
          <w:lang w:val="en_US" w:bidi="en_US"/>
        </w:rPr>
        <w:t>I tell you</w:t>
      </w:r>
      <w:r>
        <w:rPr>
          <w:lang w:val="en_US" w:bidi="en_US"/>
        </w:rPr>
        <w:t xml:space="preserve"> to begin a statement that he wanted to emphasize. In this verse the Greek words occur in a different order than usual, literally, “I to-you I-say.” The pronouns </w:t>
      </w:r>
      <w:r>
        <w:rPr>
          <w:i/>
          <w:lang w:val="en_US" w:bidi="en_US"/>
        </w:rPr>
        <w:t>I</w:t>
      </w:r>
      <w:r>
        <w:rPr>
          <w:lang w:val="en_US" w:bidi="en_US"/>
        </w:rPr>
        <w:t xml:space="preserve"> and </w:t>
      </w:r>
      <w:r>
        <w:rPr>
          <w:i/>
          <w:lang w:val="en_US" w:bidi="en_US"/>
        </w:rPr>
        <w:t>you</w:t>
      </w:r>
      <w:r>
        <w:rPr>
          <w:lang w:val="en_US" w:bidi="en_US"/>
        </w:rPr>
        <w:t xml:space="preserve"> are in an emphatic position. This word order probably indicates a shift from a general statement about what the parable illustrated to the specific lesson that Jesus wanted his disciples to learn. The English versions do not indicate this difference in emphasis explicitly. One way to indicate it is to say:</w:t>
      </w:r>
    </w:p>
    <w:p>
      <w:pPr/>
      <w:r>
        <w:rPr>
          <w:lang w:val="en_US" w:bidi="en_US"/>
        </w:rPr>
      </w:r>
      <w:r>
        <w:rPr>
          <w:lang w:val="en_US" w:bidi="en_US"/>
        </w:rPr>
        <w:t>And now, here is the lesson that I want you, my disciples, to learn.</w:t>
      </w:r>
    </w:p>
    <w:p>
      <w:pPr>
        <w:pStyle w:val="Heading5"/>
      </w:pPr>
      <w:r>
        <w:rPr>
          <w:lang w:val="en_US" w:bidi="en_US"/>
        </w:rPr>
        <w:t>16:9b</w:t>
      </w:r>
    </w:p>
    <w:p>
      <w:pPr/>
      <w:r>
        <w:rPr>
          <w:lang w:val="en_US" w:bidi="en_US"/>
        </w:rPr>
      </w:r>
      <w:r>
        <w:rPr>
          <w:b/>
          <w:lang w:val="en_US" w:bidi="en_US"/>
        </w:rPr>
        <w:t>use worldly wealth to make friends for yourselves,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use </w:t>
      </w:r>
      <w:r>
        <w:rPr>
          <w:lang w:val="en_US" w:bidi="en_US"/>
        </w:rPr>
        <w:t>your</w:t>
      </w:r>
      <w:r>
        <w:rPr>
          <w:lang w:val="en_US" w:bidi="en_US"/>
        </w:rPr>
        <w:t xml:space="preserve"> money and possessions here on this </w:t>
      </w:r>
      <w:r>
        <w:rPr>
          <w:lang w:val="en_US" w:bidi="en_US"/>
        </w:rPr>
        <w:t>evil</w:t>
      </w:r>
      <w:r>
        <w:rPr>
          <w:lang w:val="en_US" w:bidi="en_US"/>
        </w:rPr>
        <w:t xml:space="preserve"> earth </w:t>
      </w:r>
      <w:r>
        <w:rPr>
          <w:lang w:val="en_US" w:bidi="en_US"/>
        </w:rPr>
        <w:t>as a means/way</w:t>
      </w:r>
      <w:r>
        <w:rPr>
          <w:lang w:val="en_US" w:bidi="en_US"/>
        </w:rPr>
        <w:t xml:space="preserve"> to make </w:t>
      </w:r>
      <w:r>
        <w:rPr>
          <w:lang w:val="en_US" w:bidi="en_US"/>
        </w:rPr>
        <w:t>poor people</w:t>
      </w:r>
      <w:r>
        <w:rPr>
          <w:lang w:val="en_US" w:bidi="en_US"/>
        </w:rPr>
        <w:t xml:space="preserve"> your friends,</w:t>
      </w:r>
    </w:p>
    <w:p>
      <w:pPr>
        <w:pStyle w:val="ListBullet"/>
        <w:spacing w:line="240" w:lineRule="auto"/>
        <w:ind w:left="720"/>
      </w:pPr>
      <w:r>
        <w:rPr>
          <w:lang w:val="en_US" w:bidi="en_US"/>
        </w:rPr>
      </w:r>
      <w:r>
        <w:rPr>
          <w:lang w:val="en_US" w:bidi="en_US"/>
        </w:rPr>
        <w:t>Many people use</w:t>
      </w:r>
      <w:r>
        <w:rPr>
          <w:lang w:val="en_US" w:bidi="en_US"/>
        </w:rPr>
        <w:t xml:space="preserve"> money in dishonest/evil ways. But I want you</w:t>
      </w:r>
      <w:r>
        <w:rPr>
          <w:vertAlign w:val="superscript"/>
          <w:lang w:val="en_US" w:bidi="en_US"/>
        </w:rPr>
        <w:t>(plur)</w:t>
      </w:r>
      <w:r>
        <w:rPr>
          <w:lang w:val="en_US" w:bidi="en_US"/>
        </w:rPr>
        <w:t xml:space="preserve"> to use it to </w:t>
      </w:r>
      <w:r>
        <w:rPr>
          <w:lang w:val="en_US" w:bidi="en_US"/>
        </w:rPr>
        <w:t>help needy people</w:t>
      </w:r>
      <w:r>
        <w:rPr>
          <w:lang w:val="en_US" w:bidi="en_US"/>
        </w:rPr>
        <w:t xml:space="preserve">. </w:t>
      </w:r>
      <w:r>
        <w:rPr>
          <w:lang w:val="en_US" w:bidi="en_US"/>
        </w:rPr>
        <w:t>In this way,</w:t>
      </w:r>
      <w:r>
        <w:rPr>
          <w:lang w:val="en_US" w:bidi="en_US"/>
        </w:rPr>
        <w:t xml:space="preserve"> they will become your friends.</w:t>
      </w:r>
    </w:p>
    <w:p>
      <w:pPr/>
      <w:r>
        <w:rPr>
          <w:lang w:val="en_US" w:bidi="en_US"/>
        </w:rPr>
      </w:r>
      <w:r>
        <w:rPr>
          <w:b/>
          <w:lang w:val="en_US" w:bidi="en_US"/>
        </w:rPr>
        <w:t>use worldly wealth to make friends for yourselves:</w:t>
      </w:r>
      <w:r>
        <w:rPr>
          <w:lang w:val="en_US" w:bidi="en_US"/>
        </w:rPr>
        <w:t xml:space="preserve"> Jesus was telling his disciples to use the money they had on earth to help other people who were in need. These people would then become their friends. In some languages it may be necessary to make some of this information explicit in order to avoid wrong meaning. For example:</w:t>
      </w:r>
    </w:p>
    <w:p>
      <w:pPr/>
      <w:r>
        <w:rPr>
          <w:lang w:val="en_US" w:bidi="en_US"/>
        </w:rPr>
      </w:r>
      <w:r>
        <w:rPr>
          <w:lang w:val="en_US" w:bidi="en_US"/>
        </w:rPr>
        <w:t xml:space="preserve">use your money in this world </w:t>
      </w:r>
      <w:r>
        <w:rPr>
          <w:lang w:val="en_US" w:bidi="en_US"/>
        </w:rPr>
        <w:t>to help poor people</w:t>
      </w:r>
      <w:r>
        <w:rPr>
          <w:lang w:val="en_US" w:bidi="en_US"/>
        </w:rPr>
        <w:t xml:space="preserve"> so that they will become your friends</w:t>
      </w:r>
    </w:p>
    <w:p>
      <w:pPr/>
      <w:r>
        <w:rPr>
          <w:lang w:val="en_US" w:bidi="en_US"/>
        </w:rPr>
      </w:r>
      <w:r>
        <w:rPr>
          <w:lang w:val="en_US" w:bidi="en_US"/>
        </w:rPr>
        <w:t>Be careful that your translation does not imply that the disciples should pay bribes or give gifts to important people in order to gain jobs or other benefits in return.</w:t>
      </w:r>
    </w:p>
    <w:p>
      <w:pPr/>
      <w:r>
        <w:rPr>
          <w:lang w:val="en_US" w:bidi="en_US"/>
        </w:rPr>
      </w:r>
      <w:r>
        <w:rPr>
          <w:b/>
          <w:lang w:val="en_US" w:bidi="en_US"/>
        </w:rPr>
        <w:t>worldly wealth:</w:t>
      </w:r>
      <w:r>
        <w:rPr>
          <w:lang w:val="en_US" w:bidi="en_US"/>
        </w:rPr>
        <w:t xml:space="preserve"> The Greek phrase that the BSB translates as </w:t>
      </w:r>
      <w:r>
        <w:rPr>
          <w:i/>
          <w:lang w:val="en_US" w:bidi="en_US"/>
        </w:rPr>
        <w:t>worldly wealth</w:t>
      </w:r>
      <w:r>
        <w:rPr>
          <w:lang w:val="en_US" w:bidi="en_US"/>
        </w:rPr>
        <w:t xml:space="preserve"> is literally “the mammon of unrighteousness,” or “unrighteous mammon.” The RSV and several other English versions translate it that way. Another way to translate this is:</w:t>
      </w:r>
    </w:p>
    <w:p>
      <w:pPr/>
      <w:r>
        <w:rPr>
          <w:lang w:val="en_US" w:bidi="en_US"/>
        </w:rPr>
      </w:r>
      <w:r>
        <w:rPr>
          <w:lang w:val="en_US" w:bidi="en_US"/>
        </w:rPr>
        <w:t>dishonest wealth (NRSV)</w:t>
      </w:r>
    </w:p>
    <w:p>
      <w:pPr/>
      <w:r>
        <w:rPr>
          <w:lang w:val="en_US" w:bidi="en_US"/>
        </w:rPr>
      </w:r>
      <w:r>
        <w:rPr>
          <w:lang w:val="en_US" w:bidi="en_US"/>
        </w:rPr>
        <w:t>The same Greek word was translated as “dishonest” in 16:8a–b. “Mammon” is an Aramaic term for wealth or possessions. Jesus may have referred to wealth as “unrighteous” for at least two reasons:</w:t>
      </w:r>
    </w:p>
    <w:p>
      <w:pPr>
        <w:pStyle w:val="ListNumber"/>
        <w:numPr>
          <w:ilvl w:val="0"/>
          <w:numId w:val="267"/>
        </w:numPr>
        <w:spacing w:line="240" w:lineRule="auto"/>
        <w:ind w:left="720"/>
      </w:pPr>
      <w:r>
        <w:rPr>
          <w:lang w:val="en_US" w:bidi="en_US"/>
        </w:rPr>
      </w:r>
      <w:r>
        <w:rPr>
          <w:lang w:val="en_US" w:bidi="en_US"/>
        </w:rPr>
        <w:t>People often gain and use wealth in a sinful or dishonest way. For example:</w:t>
      </w:r>
      <w:r>
        <w:rPr>
          <w:lang w:val="en_US" w:bidi="en_US"/>
        </w:rPr>
        <w:t>although wealth is often used in dishonest ways, you should use it to make friends for yourselves (GW)</w:t>
      </w:r>
      <w:r>
        <w:rPr>
          <w:lang w:val="en_US" w:bidi="en_US"/>
        </w:rPr>
        <w:t>make friends for yourselves by means of money, which many people use in evil ways (adapted from the TRT)</w:t>
      </w:r>
      <w:r>
        <w:rPr>
          <w:lang w:val="en_US" w:bidi="en_US"/>
        </w:rPr>
        <w:t>use ‘money’, tainted as it is, to make yourselves friends (JBP)</w:t>
      </w:r>
    </w:p>
    <w:p>
      <w:pPr>
        <w:pStyle w:val="ListNumber"/>
        <w:spacing w:line="240" w:lineRule="auto"/>
        <w:ind w:left="720"/>
      </w:pPr>
      <w:r>
        <w:rPr>
          <w:lang w:val="en_US" w:bidi="en_US"/>
        </w:rPr>
      </w:r>
      <w:r>
        <w:rPr>
          <w:lang w:val="en_US" w:bidi="en_US"/>
        </w:rPr>
        <w:t>Wealth is gained and used in a sinful world (in contrast to the type of riches that are stored in heaven). For example:</w:t>
      </w:r>
      <w:r>
        <w:rPr>
          <w:lang w:val="en_US" w:bidi="en_US"/>
        </w:rPr>
        <w:t>win friends for yourselves with the money that you have in this evil/sinful world (adapted from the TRT)</w:t>
      </w:r>
    </w:p>
    <w:p>
      <w:pPr/>
      <w:r>
        <w:rPr>
          <w:lang w:val="en_US" w:bidi="en_US"/>
        </w:rPr>
      </w:r>
      <w:r>
        <w:rPr>
          <w:lang w:val="en_US" w:bidi="en_US"/>
        </w:rPr>
        <w:t>You may translate this verse part using either of these options. Be careful not to imply in your translation that Jesus was talking about money that his disciples had gained dishonestly.</w:t>
      </w:r>
    </w:p>
    <w:p>
      <w:pPr/>
      <w:r>
        <w:rPr>
          <w:lang w:val="en_US" w:bidi="en_US"/>
        </w:rPr>
      </w:r>
      <w:r>
        <w:rPr>
          <w:lang w:val="en_US" w:bidi="en_US"/>
        </w:rPr>
        <w:t>In some languages, words such as “sinful” and “dishonest” are only used to describe a person’s character or deeds. They cannot describe things such as “money” or the “world.” If that is true in your language, you may need to leave this aspect of meaning implied. The BSB and many English versions have done this by translating this phrase as “worldly wealth/riches.” Another way to translate this idea is:</w:t>
      </w:r>
    </w:p>
    <w:p>
      <w:pPr/>
      <w:r>
        <w:rPr>
          <w:lang w:val="en_US" w:bidi="en_US"/>
        </w:rPr>
      </w:r>
      <w:r>
        <w:rPr>
          <w:lang w:val="en_US" w:bidi="en_US"/>
        </w:rPr>
        <w:t>your wealth here in this world</w:t>
      </w:r>
    </w:p>
    <w:p>
      <w:pPr>
        <w:pStyle w:val="Heading5"/>
      </w:pPr>
      <w:r>
        <w:rPr>
          <w:lang w:val="en_US" w:bidi="en_US"/>
        </w:rPr>
        <w:t>16:9c–d</w:t>
      </w:r>
    </w:p>
    <w:p>
      <w:pPr/>
      <w:r>
        <w:rPr>
          <w:lang w:val="en_US" w:bidi="en_US"/>
        </w:rPr>
      </w:r>
      <w:r>
        <w:rPr>
          <w:lang w:val="en_US" w:bidi="en_US"/>
        </w:rPr>
        <w:t>Jesus’ application of the parable in 16:9c–d is similar and parallel to 16:4b in the parable itself: Notice the similarities:</w:t>
      </w:r>
    </w:p>
    <w:p>
      <w:pPr/>
      <w:r>
        <w:rPr>
          <w:lang w:val="en_US" w:bidi="en_US"/>
        </w:rPr>
      </w:r>
      <w:r>
        <w:rPr>
          <w:lang w:val="en_US" w:bidi="en_US"/>
        </w:rPr>
        <w:t>(16:4b) so that after my removal from management, people will welcome me into their homes</w:t>
      </w:r>
    </w:p>
    <w:p>
      <w:pPr/>
      <w:r>
        <w:rPr>
          <w:lang w:val="en_US" w:bidi="en_US"/>
        </w:rPr>
      </w:r>
      <w:r>
        <w:rPr>
          <w:lang w:val="en_US" w:bidi="en_US"/>
        </w:rPr>
        <w:t>(16:9c–d) so that when it is gone, they will welcome you into eternal dwellings</w:t>
      </w:r>
    </w:p>
    <w:p>
      <w:pPr/>
      <w:r>
        <w:rPr>
          <w:lang w:val="en_US" w:bidi="en_US"/>
        </w:rPr>
      </w:r>
      <w:r>
        <w:rPr>
          <w:lang w:val="en_US" w:bidi="en_US"/>
        </w:rPr>
        <w:t>If possible, try to keep such similarities in your translation of these verses.</w:t>
      </w:r>
    </w:p>
    <w:p>
      <w:pPr>
        <w:pStyle w:val="Heading5"/>
      </w:pPr>
      <w:r>
        <w:rPr>
          <w:lang w:val="en_US" w:bidi="en_US"/>
        </w:rPr>
        <w:t>16:9c</w:t>
      </w:r>
    </w:p>
    <w:p>
      <w:pPr/>
      <w:r>
        <w:rPr>
          <w:lang w:val="en_US" w:bidi="en_US"/>
        </w:rPr>
      </w:r>
      <w:r>
        <w:rPr>
          <w:b/>
          <w:lang w:val="en_US" w:bidi="en_US"/>
        </w:rPr>
        <w:t>so that when it is gone,</w:t>
      </w:r>
    </w:p>
    <w:p>
      <w:pPr>
        <w:pStyle w:val="ListBullet"/>
        <w:spacing w:line="240" w:lineRule="auto"/>
        <w:ind w:left="720"/>
      </w:pPr>
      <w:r>
        <w:rPr>
          <w:lang w:val="en_US" w:bidi="en_US"/>
        </w:rPr>
      </w:r>
      <w:r>
        <w:rPr>
          <w:lang w:val="en_US" w:bidi="en_US"/>
        </w:rPr>
        <w:t xml:space="preserve">so that when </w:t>
      </w:r>
      <w:r>
        <w:rPr>
          <w:lang w:val="en_US" w:bidi="en_US"/>
        </w:rPr>
        <w:t>you</w:t>
      </w:r>
      <w:r>
        <w:rPr>
          <w:vertAlign w:val="superscript"/>
          <w:lang w:val="en_US" w:bidi="en_US"/>
        </w:rPr>
        <w:t>(plur)</w:t>
      </w:r>
      <w:r>
        <w:rPr>
          <w:lang w:val="en_US" w:bidi="en_US"/>
        </w:rPr>
        <w:t xml:space="preserve"> can no longer use </w:t>
      </w:r>
      <w:r>
        <w:rPr>
          <w:lang w:val="en_US" w:bidi="en_US"/>
        </w:rPr>
        <w:t>money</w:t>
      </w:r>
      <w:r>
        <w:rPr>
          <w:lang w:val="en_US" w:bidi="en_US"/>
        </w:rPr>
        <w:t>,</w:t>
      </w:r>
    </w:p>
    <w:p>
      <w:pPr>
        <w:pStyle w:val="ListBullet"/>
        <w:spacing w:line="240" w:lineRule="auto"/>
        <w:ind w:left="720"/>
      </w:pPr>
      <w:r>
        <w:rPr>
          <w:lang w:val="en_US" w:bidi="en_US"/>
        </w:rPr>
      </w:r>
      <w:r>
        <w:rPr>
          <w:lang w:val="en_US" w:bidi="en_US"/>
        </w:rPr>
        <w:t xml:space="preserve">Then, when </w:t>
      </w:r>
      <w:r>
        <w:rPr>
          <w:lang w:val="en_US" w:bidi="en_US"/>
        </w:rPr>
        <w:t>you</w:t>
      </w:r>
      <w:r>
        <w:rPr>
          <w:vertAlign w:val="superscript"/>
          <w:lang w:val="en_US" w:bidi="en_US"/>
        </w:rPr>
        <w:t>(plur)</w:t>
      </w:r>
      <w:r>
        <w:rPr>
          <w:lang w:val="en_US" w:bidi="en_US"/>
        </w:rPr>
        <w:t xml:space="preserve"> </w:t>
      </w:r>
      <w:r>
        <w:rPr>
          <w:lang w:val="en_US" w:bidi="en_US"/>
        </w:rPr>
        <w:t>die</w:t>
      </w:r>
      <w:r>
        <w:rPr>
          <w:lang w:val="en_US" w:bidi="en_US"/>
        </w:rPr>
        <w:t xml:space="preserve"> </w:t>
      </w:r>
      <w:r>
        <w:rPr>
          <w:lang w:val="en_US" w:bidi="en_US"/>
        </w:rPr>
        <w:t>and your wealth/money</w:t>
      </w:r>
      <w:r>
        <w:rPr>
          <w:lang w:val="en_US" w:bidi="en_US"/>
        </w:rPr>
        <w:t xml:space="preserve"> will become useless/worthless,</w:t>
      </w:r>
    </w:p>
    <w:p>
      <w:pPr/>
      <w:r>
        <w:rPr>
          <w:lang w:val="en_US" w:bidi="en_US"/>
        </w:rPr>
      </w:r>
      <w:r>
        <w:rPr>
          <w:b/>
          <w:lang w:val="en_US" w:bidi="en_US"/>
        </w:rPr>
        <w:t>so that:</w:t>
      </w:r>
      <w:r>
        <w:rPr>
          <w:lang w:val="en_US" w:bidi="en_US"/>
        </w:rPr>
        <w:t xml:space="preserve"> The phrase </w:t>
      </w:r>
      <w:r>
        <w:rPr>
          <w:i/>
          <w:lang w:val="en_US" w:bidi="en_US"/>
        </w:rPr>
        <w:t>so that</w:t>
      </w:r>
      <w:r>
        <w:rPr>
          <w:lang w:val="en_US" w:bidi="en_US"/>
        </w:rPr>
        <w:t xml:space="preserve"> introduces a purpose or intended result, namely, that “they will welcome you into eternal dwellings” (16:9d). In some languages it may be more natural to start a new sentence here. For example:</w:t>
      </w:r>
    </w:p>
    <w:p>
      <w:pPr/>
      <w:r>
        <w:rPr>
          <w:lang w:val="en_US" w:bidi="en_US"/>
        </w:rPr>
      </w:r>
      <w:r>
        <w:rPr>
          <w:lang w:val="en_US" w:bidi="en_US"/>
        </w:rPr>
        <w:t>Then when it is gone (CEV)</w:t>
      </w:r>
    </w:p>
    <w:p>
      <w:pPr/>
      <w:r>
        <w:rPr>
          <w:lang w:val="en_US" w:bidi="en_US"/>
        </w:rPr>
      </w:r>
      <w:r>
        <w:rPr>
          <w:b/>
          <w:lang w:val="en_US" w:bidi="en_US"/>
        </w:rPr>
        <w:t>when it is gone:</w:t>
      </w:r>
      <w:r>
        <w:rPr>
          <w:lang w:val="en_US" w:bidi="en_US"/>
        </w:rPr>
        <w:t xml:space="preserve"> The Greek clause that the BSB translates as </w:t>
      </w:r>
      <w:r>
        <w:rPr>
          <w:i/>
          <w:lang w:val="en_US" w:bidi="en_US"/>
        </w:rPr>
        <w:t>when it is gone</w:t>
      </w:r>
      <w:r>
        <w:rPr>
          <w:lang w:val="en_US" w:bidi="en_US"/>
        </w:rPr>
        <w:t xml:space="preserve"> literally means “when it fails.” The RSV and several other English versions translate it that way.</w:t>
      </w:r>
      <w:r>
        <w:rPr>
          <w:lang w:val="en_US" w:bidi="en_US"/>
        </w:rPr>
        <w:t>Some Greek manuscripts have “when you fail.” The Greek NT does not mention this reading, but the KJV follows it. This text has basically the same meaning as “when it fails,” because it refers to the time when you die and money is no longer of any use.</w:t>
      </w:r>
      <w:r>
        <w:rPr>
          <w:lang w:val="en_US" w:bidi="en_US"/>
        </w:rPr>
        <w:t xml:space="preserve"> This is referring to the time when money becomes useless, either at the end of the world or when a person dies. Be careful that it does not imply “when you have given away all your money.” Other ways to translate this clause are:</w:t>
      </w:r>
    </w:p>
    <w:p>
      <w:pPr/>
      <w:r>
        <w:rPr>
          <w:lang w:val="en_US" w:bidi="en_US"/>
        </w:rPr>
      </w:r>
      <w:r>
        <w:rPr>
          <w:lang w:val="en_US" w:bidi="en_US"/>
        </w:rPr>
        <w:t>when you die and you do not need your wealth any more</w:t>
      </w:r>
    </w:p>
    <w:p>
      <w:pPr/>
      <w:r>
        <w:rPr>
          <w:lang w:val="en_US" w:bidi="en_US"/>
        </w:rPr>
      </w:r>
      <w:r>
        <w:rPr>
          <w:lang w:val="en_US" w:bidi="en_US"/>
        </w:rPr>
        <w:t>when it comes to an end (JBP)</w:t>
      </w:r>
    </w:p>
    <w:p>
      <w:pPr/>
      <w:r>
        <w:rPr>
          <w:lang w:val="en_US" w:bidi="en_US"/>
        </w:rPr>
      </w:r>
      <w:r>
        <w:rPr>
          <w:lang w:val="en_US" w:bidi="en_US"/>
        </w:rPr>
        <w:t>when money no longer has usefulness/value</w:t>
      </w:r>
    </w:p>
    <w:p>
      <w:pPr>
        <w:pStyle w:val="Heading5"/>
      </w:pPr>
      <w:r>
        <w:rPr>
          <w:lang w:val="en_US" w:bidi="en_US"/>
        </w:rPr>
        <w:t>16:9d</w:t>
      </w:r>
    </w:p>
    <w:p>
      <w:pPr/>
      <w:r>
        <w:rPr>
          <w:lang w:val="en_US" w:bidi="en_US"/>
        </w:rPr>
      </w:r>
      <w:r>
        <w:rPr>
          <w:b/>
          <w:lang w:val="en_US" w:bidi="en_US"/>
        </w:rPr>
        <w:t>they will welcome you into eternal dwellings.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be welcomed/received into permanent/everlasting homes </w:t>
      </w:r>
      <w:r>
        <w:rPr>
          <w:lang w:val="en_US" w:bidi="en_US"/>
        </w:rPr>
        <w:t>in heaven</w:t>
      </w:r>
      <w:r>
        <w:rPr>
          <w:lang w:val="en_US" w:bidi="en_US"/>
        </w:rPr>
        <w:t>.</w:t>
      </w:r>
    </w:p>
    <w:p>
      <w:pPr>
        <w:pStyle w:val="ListBullet"/>
        <w:spacing w:line="240" w:lineRule="auto"/>
        <w:ind w:left="720"/>
      </w:pPr>
      <w:r>
        <w:rPr>
          <w:lang w:val="en_US" w:bidi="en_US"/>
        </w:rPr>
      </w:r>
      <w:r>
        <w:rPr>
          <w:lang w:val="en_US" w:bidi="en_US"/>
        </w:rPr>
        <w:t>they/someone will welcome/receive you</w:t>
      </w:r>
      <w:r>
        <w:rPr>
          <w:vertAlign w:val="superscript"/>
          <w:lang w:val="en_US" w:bidi="en_US"/>
        </w:rPr>
        <w:t>(plur)</w:t>
      </w:r>
      <w:r>
        <w:rPr>
          <w:lang w:val="en_US" w:bidi="en_US"/>
        </w:rPr>
        <w:t xml:space="preserve"> </w:t>
      </w:r>
      <w:r>
        <w:rPr>
          <w:lang w:val="en_US" w:bidi="en_US"/>
        </w:rPr>
        <w:t>in heaven</w:t>
      </w:r>
      <w:r>
        <w:rPr>
          <w:lang w:val="en_US" w:bidi="en_US"/>
        </w:rPr>
        <w:t xml:space="preserve"> where you will live/stay forever.</w:t>
      </w:r>
    </w:p>
    <w:p>
      <w:pPr/>
      <w:r>
        <w:rPr>
          <w:lang w:val="en_US" w:bidi="en_US"/>
        </w:rPr>
      </w:r>
      <w:r>
        <w:rPr>
          <w:b/>
          <w:lang w:val="en_US" w:bidi="en_US"/>
        </w:rPr>
        <w:t>they will welcome you:</w:t>
      </w:r>
      <w:r>
        <w:rPr>
          <w:lang w:val="en_US" w:bidi="en_US"/>
        </w:rPr>
        <w:t xml:space="preserve"> The Greek verb that the BSB translates literally as </w:t>
      </w:r>
      <w:r>
        <w:rPr>
          <w:i/>
          <w:lang w:val="en_US" w:bidi="en_US"/>
        </w:rPr>
        <w:t>they will welcome you</w:t>
      </w:r>
      <w:r>
        <w:rPr>
          <w:lang w:val="en_US" w:bidi="en_US"/>
        </w:rPr>
        <w:t xml:space="preserve"> uses the same verb that was used in 16:4b. There are at least two ways to interpret the word </w:t>
      </w:r>
      <w:r>
        <w:rPr>
          <w:i/>
          <w:lang w:val="en_US" w:bidi="en_US"/>
        </w:rPr>
        <w:t>they</w:t>
      </w:r>
      <w:r>
        <w:rPr>
          <w:lang w:val="en_US" w:bidi="en_US"/>
        </w:rPr>
        <w:t>:</w:t>
      </w:r>
    </w:p>
    <w:p>
      <w:pPr>
        <w:pStyle w:val="ListNumber"/>
        <w:numPr>
          <w:ilvl w:val="0"/>
          <w:numId w:val="268"/>
        </w:numPr>
        <w:spacing w:line="240" w:lineRule="auto"/>
        <w:ind w:left="720"/>
      </w:pPr>
      <w:r>
        <w:rPr>
          <w:lang w:val="en_US" w:bidi="en_US"/>
        </w:rPr>
      </w:r>
      <w:r>
        <w:rPr>
          <w:lang w:val="en_US" w:bidi="en_US"/>
        </w:rPr>
        <w:t xml:space="preserve">“They” refers to </w:t>
      </w:r>
      <w:r>
        <w:rPr>
          <w:u w:val="single"/>
          <w:lang w:val="en_US" w:bidi="en_US"/>
        </w:rPr>
        <w:t>the friends</w:t>
      </w:r>
      <w:r>
        <w:rPr>
          <w:lang w:val="en_US" w:bidi="en_US"/>
        </w:rPr>
        <w:t xml:space="preserve"> that the disciples will make (16:9b). For example:</w:t>
      </w:r>
      <w:r>
        <w:rPr>
          <w:lang w:val="en_US" w:bidi="en_US"/>
        </w:rPr>
        <w:t>According to the rules of pronoun reference in English, “they” would refer back to the last plural noun, which is “friends.” In some languages “they” is used as an indefinite plural. In that case, the reference would be ambiguous. It would also follow the recommendation in these Notes.</w:t>
      </w:r>
      <w:r>
        <w:rPr>
          <w:lang w:val="en_US" w:bidi="en_US"/>
        </w:rPr>
        <w:t>they will welcome you (NLT)</w:t>
      </w:r>
    </w:p>
    <w:p>
      <w:pPr>
        <w:pStyle w:val="ListNumber"/>
        <w:spacing w:line="240" w:lineRule="auto"/>
        <w:ind w:left="720"/>
      </w:pPr>
      <w:r>
        <w:rPr>
          <w:lang w:val="en_US" w:bidi="en_US"/>
        </w:rPr>
      </w:r>
      <w:r>
        <w:rPr>
          <w:lang w:val="en_US" w:bidi="en_US"/>
        </w:rPr>
        <w:t xml:space="preserve">“They” refers to </w:t>
      </w:r>
      <w:r>
        <w:rPr>
          <w:u w:val="single"/>
          <w:lang w:val="en_US" w:bidi="en_US"/>
        </w:rPr>
        <w:t>God</w:t>
      </w:r>
      <w:r>
        <w:rPr>
          <w:lang w:val="en_US" w:bidi="en_US"/>
        </w:rPr>
        <w:t>. It is a Jewish way to avoid using the name of God. For example:</w:t>
      </w:r>
      <w:r>
        <w:rPr>
          <w:lang w:val="en_US" w:bidi="en_US"/>
        </w:rPr>
        <w:t>God will welcome you (TRT)</w:t>
      </w:r>
    </w:p>
    <w:p>
      <w:pPr/>
      <w:r>
        <w:rPr>
          <w:lang w:val="en_US" w:bidi="en_US"/>
        </w:rPr>
      </w:r>
      <w:r>
        <w:rPr>
          <w:lang w:val="en_US" w:bidi="en_US"/>
        </w:rPr>
        <w:t>If possible, translate ambiguously so that either option can be understood. Other ways to do this are:</w:t>
      </w:r>
    </w:p>
    <w:p>
      <w:pPr>
        <w:pStyle w:val="ListBullet"/>
        <w:spacing w:line="240" w:lineRule="auto"/>
        <w:ind w:left="720"/>
      </w:pPr>
      <w:r>
        <w:rPr>
          <w:lang w:val="en_US" w:bidi="en_US"/>
        </w:rPr>
      </w:r>
      <w:r>
        <w:rPr>
          <w:lang w:val="en_US" w:bidi="en_US"/>
        </w:rPr>
        <w:t>Use a passive verb, as many English versions do. For example:</w:t>
      </w:r>
      <w:r>
        <w:rPr>
          <w:lang w:val="en_US" w:bidi="en_US"/>
        </w:rPr>
        <w:t>you will be welcomed (GNT, NIV)</w:t>
      </w:r>
    </w:p>
    <w:p>
      <w:pPr>
        <w:pStyle w:val="ListBullet"/>
        <w:spacing w:line="240" w:lineRule="auto"/>
        <w:ind w:left="720"/>
      </w:pPr>
      <w:r>
        <w:rPr>
          <w:lang w:val="en_US" w:bidi="en_US"/>
        </w:rPr>
      </w:r>
      <w:r>
        <w:rPr>
          <w:lang w:val="en_US" w:bidi="en_US"/>
        </w:rPr>
        <w:t>Use an active verb with an indefinite subject. For example:</w:t>
      </w:r>
      <w:r>
        <w:rPr>
          <w:lang w:val="en_US" w:bidi="en_US"/>
        </w:rPr>
        <w:t>there will be someone/those who will welcome you</w:t>
      </w:r>
    </w:p>
    <w:p>
      <w:pPr/>
      <w:r>
        <w:rPr>
          <w:lang w:val="en_US" w:bidi="en_US"/>
        </w:rPr>
      </w:r>
      <w:r>
        <w:rPr>
          <w:lang w:val="en_US" w:bidi="en_US"/>
        </w:rPr>
        <w:t xml:space="preserve">If you are not able to translate ambiguously, it is recommended that you follow interpretation (1), along with most scholars. This interpretation exactly fits the parallel in 16:4b. It is likely that </w:t>
      </w:r>
      <w:r>
        <w:rPr>
          <w:i/>
          <w:lang w:val="en_US" w:bidi="en_US"/>
        </w:rPr>
        <w:t>they</w:t>
      </w:r>
      <w:r>
        <w:rPr>
          <w:lang w:val="en_US" w:bidi="en_US"/>
        </w:rPr>
        <w:t xml:space="preserve"> refers back to “friends” in 16:9b.</w:t>
      </w:r>
    </w:p>
    <w:p>
      <w:pPr/>
      <w:r>
        <w:rPr>
          <w:lang w:val="en_US" w:bidi="en_US"/>
        </w:rPr>
      </w:r>
      <w:r>
        <w:rPr>
          <w:b/>
          <w:lang w:val="en_US" w:bidi="en_US"/>
        </w:rPr>
        <w:t>eternal dwellings:</w:t>
      </w:r>
      <w:r>
        <w:rPr>
          <w:lang w:val="en_US" w:bidi="en_US"/>
        </w:rPr>
        <w:t xml:space="preserve"> The Greek phrase that the BSB translates as </w:t>
      </w:r>
      <w:r>
        <w:rPr>
          <w:i/>
          <w:lang w:val="en_US" w:bidi="en_US"/>
        </w:rPr>
        <w:t>eternal dwellings</w:t>
      </w:r>
      <w:r>
        <w:rPr>
          <w:lang w:val="en_US" w:bidi="en_US"/>
        </w:rPr>
        <w:t xml:space="preserve"> is literally “eternal tents.” Although the word “tents” usually refers to temporary dwellings, the phrase “eternal tents” refers here to the permanent homes of God’s children in heaven. Other ways to translate this phrase are:</w:t>
      </w:r>
    </w:p>
    <w:p>
      <w:pPr/>
      <w:r>
        <w:rPr>
          <w:lang w:val="en_US" w:bidi="en_US"/>
        </w:rPr>
      </w:r>
      <w:r>
        <w:rPr>
          <w:lang w:val="en_US" w:bidi="en_US"/>
        </w:rPr>
        <w:t>those homes that continue forever (NCV)</w:t>
      </w:r>
    </w:p>
    <w:p>
      <w:pPr/>
      <w:r>
        <w:rPr>
          <w:lang w:val="en_US" w:bidi="en_US"/>
        </w:rPr>
      </w:r>
      <w:r>
        <w:rPr>
          <w:lang w:val="en_US" w:bidi="en_US"/>
        </w:rPr>
        <w:t>in heaven where you will live/stay forever</w:t>
      </w:r>
    </w:p>
    <w:p>
      <w:pPr>
        <w:pStyle w:val="Heading6"/>
      </w:pPr>
      <w:r>
        <w:rPr>
          <w:b/>
          <w:lang w:val="en_US" w:bidi="en_US"/>
        </w:rPr>
        <w:t>General Comment on 16:9b–d</w:t>
      </w:r>
    </w:p>
    <w:p>
      <w:pPr/>
      <w:r>
        <w:rPr>
          <w:lang w:val="en_US" w:bidi="en_US"/>
        </w:rPr>
      </w:r>
      <w:r>
        <w:rPr>
          <w:lang w:val="en_US" w:bidi="en_US"/>
        </w:rPr>
        <w:t>In some languages a literal translation may wrongly imply that, when someone’s money is gone, he dies. In order to avoid this wrong meaning, it may be possible to reorder these verse parts in the following way:</w:t>
      </w:r>
    </w:p>
    <w:p>
      <w:pPr/>
      <w:r>
        <w:rPr>
          <w:lang w:val="en_US" w:bidi="en_US"/>
        </w:rPr>
      </w:r>
      <w:r>
        <w:rPr>
          <w:vertAlign w:val="superscript"/>
          <w:lang w:val="en_US" w:bidi="en_US"/>
        </w:rPr>
        <w:t>9c</w:t>
      </w:r>
      <w:r>
        <w:rPr>
          <w:lang w:val="en_US" w:bidi="en_US"/>
        </w:rPr>
        <w:t xml:space="preserve">Your money will not be with you forever. </w:t>
      </w:r>
      <w:r>
        <w:rPr>
          <w:vertAlign w:val="superscript"/>
          <w:lang w:val="en_US" w:bidi="en_US"/>
        </w:rPr>
        <w:t>9b</w:t>
      </w:r>
      <w:r>
        <w:rPr>
          <w:lang w:val="en_US" w:bidi="en_US"/>
        </w:rPr>
        <w:t xml:space="preserve">Therefore, help people with what belongs to you here on this earth and make friends with it. </w:t>
      </w:r>
      <w:r>
        <w:rPr>
          <w:vertAlign w:val="superscript"/>
          <w:lang w:val="en_US" w:bidi="en_US"/>
        </w:rPr>
        <w:t>9d</w:t>
      </w:r>
      <w:r>
        <w:rPr>
          <w:lang w:val="en_US" w:bidi="en_US"/>
        </w:rPr>
        <w:t>So then when you arrive at the eternal place, there will be those who will welcome you.</w:t>
      </w:r>
      <w:r>
        <w:rPr>
          <w:lang w:val="en_US" w:bidi="en_US"/>
        </w:rPr>
      </w:r>
      <w:r>
        <w:rPr>
          <w:lang w:val="en_US" w:bidi="en_US"/>
        </w:rPr>
      </w:r>
    </w:p>
    <w:p>
      <w:pPr/>
      <w:r>
        <w:rPr>
          <w:lang w:val="en_US" w:bidi="en_US"/>
        </w:rPr>
      </w:r>
    </w:p>
    <w:p>
      <w:pPr>
        <w:pStyle w:val="Heading2"/>
      </w:pPr>
      <w:r>
        <w:rPr>
          <w:lang w:val="en_US" w:bidi="en_US"/>
        </w:rPr>
        <w:t>Luke 16:10</w:t>
      </w:r>
      <w:r>
        <w:rPr>
          <w:lang w:val="en_US" w:bidi="en_US"/>
        </w:rPr>
      </w:r>
    </w:p>
    <w:p>
      <w:pPr>
        <w:pStyle w:val="Heading4"/>
      </w:pPr>
      <w:r>
        <w:rPr>
          <w:lang w:val="en_US" w:bidi="en_US"/>
        </w:rPr>
        <w:t>Section 16:1–13: Jesus told a parable about a dishonest manager who acted wisely</w:t>
      </w:r>
    </w:p>
    <w:p>
      <w:pPr/>
      <w:r>
        <w:rPr>
          <w:lang w:val="en_US" w:bidi="en_US"/>
        </w:rPr>
      </w:r>
      <w:r>
        <w:rPr>
          <w:lang w:val="en_US" w:bidi="en_US"/>
        </w:rP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pPr/>
      <w:r>
        <w:rPr>
          <w:lang w:val="en_US" w:bidi="en_US"/>
        </w:rPr>
      </w:r>
      <w:r>
        <w:rPr>
          <w:lang w:val="en_US" w:bidi="en_US"/>
        </w:rPr>
        <w:t>The main point of this parable is that the manager knew how to use money to make things better for his own future. In this way he was a good example for Jesus’ disciples. The parable does not mean that Jesus approved of the manager’s dishonesty.</w:t>
      </w:r>
    </w:p>
    <w:p>
      <w:pPr/>
      <w:r>
        <w:rPr>
          <w:lang w:val="en_US" w:bidi="en_US"/>
        </w:rPr>
      </w:r>
      <w:r>
        <w:rPr>
          <w:lang w:val="en_US" w:bidi="en_US"/>
        </w:rPr>
        <w:t>In 16:8c–16:9 Jesus commented on the parable and applied it to his disciples. In 16:10–13 he gave other teachings about the proper use of wealth.</w:t>
      </w:r>
    </w:p>
    <w:p>
      <w:pPr/>
      <w:r>
        <w:rPr>
          <w:lang w:val="en_US" w:bidi="en_US"/>
        </w:rPr>
      </w:r>
      <w:r>
        <w:rPr>
          <w:lang w:val="en_US" w:bidi="en_US"/>
        </w:rPr>
        <w:t>Other possible headings for this section are:</w:t>
      </w:r>
    </w:p>
    <w:p>
      <w:pPr/>
      <w:r>
        <w:rPr>
          <w:lang w:val="en_US" w:bidi="en_US"/>
        </w:rPr>
      </w:r>
      <w:r>
        <w:rPr>
          <w:lang w:val="en_US" w:bidi="en_US"/>
        </w:rPr>
        <w:t>The Parable of the Shrewd Manager (NIV)</w:t>
      </w:r>
    </w:p>
    <w:p>
      <w:pPr/>
      <w:r>
        <w:rPr>
          <w:lang w:val="en_US" w:bidi="en_US"/>
        </w:rPr>
      </w:r>
      <w:r>
        <w:rPr>
          <w:lang w:val="en_US" w:bidi="en_US"/>
        </w:rPr>
        <w:t>The dishonest man who was in charge of a rich man’s wealth</w:t>
      </w:r>
    </w:p>
    <w:p>
      <w:pPr>
        <w:pStyle w:val="Heading5"/>
      </w:pPr>
      <w:r>
        <w:rPr>
          <w:lang w:val="en_US" w:bidi="en_US"/>
        </w:rPr>
        <w:t>16:10–11</w:t>
      </w:r>
    </w:p>
    <w:p>
      <w:pPr/>
      <w:r>
        <w:rPr>
          <w:lang w:val="en_US" w:bidi="en_US"/>
        </w:rPr>
      </w:r>
      <w:r>
        <w:rPr>
          <w:lang w:val="en_US" w:bidi="en_US"/>
        </w:rPr>
        <w:t>Verse 10 may have been a common saying that the people of Jesus’ time knew well. If people saw that a man was trustworthy in handling a small responsibility, then they would trust him to handle a large responsibility. Verse 11 is a specific example that is based on this general principle. If a person has not been trustworthy in handling a small responsibility such as earthly wealth, he will not be trustworthy in handling a large responsibility such as heavenly wealth.</w:t>
      </w:r>
    </w:p>
    <w:p>
      <w:pPr>
        <w:pStyle w:val="Heading5"/>
      </w:pPr>
      <w:r>
        <w:rPr>
          <w:lang w:val="en_US" w:bidi="en_US"/>
        </w:rPr>
        <w:t>16:10a</w:t>
      </w:r>
    </w:p>
    <w:p>
      <w:pPr/>
      <w:r>
        <w:rPr>
          <w:lang w:val="en_US" w:bidi="en_US"/>
        </w:rPr>
      </w:r>
      <w:r>
        <w:rPr>
          <w:b/>
          <w:lang w:val="en_US" w:bidi="en_US"/>
        </w:rPr>
        <w:t>Whoever is faithful with very little</w:t>
      </w:r>
    </w:p>
    <w:p>
      <w:pPr>
        <w:pStyle w:val="ListBullet"/>
        <w:spacing w:line="240" w:lineRule="auto"/>
        <w:ind w:left="720"/>
      </w:pPr>
      <w:r>
        <w:rPr>
          <w:lang w:val="en_US" w:bidi="en_US"/>
        </w:rPr>
      </w:r>
      <w:r>
        <w:rPr>
          <w:lang w:val="en_US" w:bidi="en_US"/>
        </w:rPr>
        <w:t xml:space="preserve">A person who is faithful/trustworthy in </w:t>
      </w:r>
      <w:r>
        <w:rPr>
          <w:lang w:val="en_US" w:bidi="en_US"/>
        </w:rPr>
        <w:t>doing/handling</w:t>
      </w:r>
      <w:r>
        <w:rPr>
          <w:lang w:val="en_US" w:bidi="en_US"/>
        </w:rPr>
        <w:t xml:space="preserve"> a very small/unimportant </w:t>
      </w:r>
      <w:r>
        <w:rPr>
          <w:lang w:val="en_US" w:bidi="en_US"/>
        </w:rPr>
        <w:t>matter/thing</w:t>
      </w:r>
    </w:p>
    <w:p>
      <w:pPr>
        <w:pStyle w:val="ListBullet"/>
        <w:spacing w:line="240" w:lineRule="auto"/>
        <w:ind w:left="720"/>
      </w:pPr>
      <w:r>
        <w:rPr>
          <w:lang w:val="en_US" w:bidi="en_US"/>
        </w:rPr>
      </w:r>
      <w:r>
        <w:rPr>
          <w:lang w:val="en_US" w:bidi="en_US"/>
        </w:rPr>
        <w:t xml:space="preserve">If a person can be depended on </w:t>
      </w:r>
      <w:r>
        <w:rPr>
          <w:lang w:val="en_US" w:bidi="en_US"/>
        </w:rPr>
        <w:t>to fulfill</w:t>
      </w:r>
      <w:r>
        <w:rPr>
          <w:lang w:val="en_US" w:bidi="en_US"/>
        </w:rPr>
        <w:t xml:space="preserve"> a minor/small </w:t>
      </w:r>
      <w:r>
        <w:rPr>
          <w:lang w:val="en_US" w:bidi="en_US"/>
        </w:rPr>
        <w:t>responsibility</w:t>
      </w:r>
      <w:r>
        <w:rPr>
          <w:lang w:val="en_US" w:bidi="en_US"/>
        </w:rPr>
        <w:t>,</w:t>
      </w:r>
    </w:p>
    <w:p>
      <w:pPr/>
      <w:r>
        <w:rPr>
          <w:lang w:val="en_US" w:bidi="en_US"/>
        </w:rPr>
      </w:r>
      <w:r>
        <w:rPr>
          <w:b/>
          <w:lang w:val="en_US" w:bidi="en_US"/>
        </w:rPr>
        <w:t>Whoever is faithful:</w:t>
      </w:r>
      <w:r>
        <w:rPr>
          <w:lang w:val="en_US" w:bidi="en_US"/>
        </w:rPr>
        <w:t xml:space="preserve"> The Greek expression that the BSB translates as </w:t>
      </w:r>
      <w:r>
        <w:rPr>
          <w:i/>
          <w:lang w:val="en_US" w:bidi="en_US"/>
        </w:rPr>
        <w:t>Whoever is faithful</w:t>
      </w:r>
      <w:r>
        <w:rPr>
          <w:lang w:val="en_US" w:bidi="en_US"/>
        </w:rPr>
        <w:t xml:space="preserve"> is literally “The one who is faithful.” It refers to any honest and responsible person, whom both God and people can trust. Some other ways to translate this phrase are:</w:t>
      </w:r>
    </w:p>
    <w:p>
      <w:pPr/>
      <w:r>
        <w:rPr>
          <w:lang w:val="en_US" w:bidi="en_US"/>
        </w:rPr>
      </w:r>
      <w:r>
        <w:rPr>
          <w:lang w:val="en_US" w:bidi="en_US"/>
        </w:rPr>
        <w:t>Whoever can be trusted (NIV)</w:t>
      </w:r>
    </w:p>
    <w:p>
      <w:pPr/>
      <w:r>
        <w:rPr>
          <w:lang w:val="en_US" w:bidi="en_US"/>
        </w:rPr>
      </w:r>
      <w:r>
        <w:rPr>
          <w:lang w:val="en_US" w:bidi="en_US"/>
        </w:rPr>
        <w:t>A person who can be relied on</w:t>
      </w:r>
    </w:p>
    <w:p>
      <w:pPr/>
      <w:r>
        <w:rPr>
          <w:lang w:val="en_US" w:bidi="en_US"/>
        </w:rPr>
      </w:r>
      <w:r>
        <w:rPr>
          <w:lang w:val="en_US" w:bidi="en_US"/>
        </w:rPr>
        <w:t>If you are trustworthy</w:t>
      </w:r>
    </w:p>
    <w:p>
      <w:pPr/>
      <w:r>
        <w:rPr>
          <w:lang w:val="en_US" w:bidi="en_US"/>
        </w:rPr>
      </w:r>
      <w:r>
        <w:rPr>
          <w:lang w:val="en_US" w:bidi="en_US"/>
        </w:rPr>
        <w:t>If it is necessary in your language to use an active verb with a subject, you may say:</w:t>
      </w:r>
    </w:p>
    <w:p>
      <w:pPr/>
      <w:r>
        <w:rPr>
          <w:lang w:val="en_US" w:bidi="en_US"/>
        </w:rPr>
      </w:r>
      <w:r>
        <w:rPr>
          <w:lang w:val="en_US" w:bidi="en_US"/>
        </w:rPr>
        <w:t xml:space="preserve">The person whom </w:t>
      </w:r>
      <w:r>
        <w:rPr>
          <w:lang w:val="en_US" w:bidi="en_US"/>
        </w:rPr>
        <w:t>people</w:t>
      </w:r>
      <w:r>
        <w:rPr>
          <w:lang w:val="en_US" w:bidi="en_US"/>
        </w:rPr>
        <w:t xml:space="preserve"> can trust</w:t>
      </w:r>
    </w:p>
    <w:p>
      <w:pPr/>
      <w:r>
        <w:rPr>
          <w:lang w:val="en_US" w:bidi="en_US"/>
        </w:rPr>
      </w:r>
      <w:r>
        <w:rPr>
          <w:lang w:val="en_US" w:bidi="en_US"/>
        </w:rPr>
        <w:t>See believe, Meaning 4, in the Glossary.</w:t>
      </w:r>
    </w:p>
    <w:p>
      <w:pPr/>
      <w:r>
        <w:rPr>
          <w:lang w:val="en_US" w:bidi="en_US"/>
        </w:rPr>
      </w:r>
      <w:r>
        <w:rPr>
          <w:b/>
          <w:lang w:val="en_US" w:bidi="en_US"/>
        </w:rPr>
        <w:t>with very little:</w:t>
      </w:r>
      <w:r>
        <w:rPr>
          <w:lang w:val="en_US" w:bidi="en_US"/>
        </w:rPr>
        <w:t xml:space="preserve"> The phrase </w:t>
      </w:r>
      <w:r>
        <w:rPr>
          <w:i/>
          <w:lang w:val="en_US" w:bidi="en_US"/>
        </w:rPr>
        <w:t>with very little</w:t>
      </w:r>
      <w:r>
        <w:rPr>
          <w:lang w:val="en_US" w:bidi="en_US"/>
        </w:rPr>
        <w:t xml:space="preserve"> refers here to managing a small matter or fulfilling a minor responsibility. The word </w:t>
      </w:r>
      <w:r>
        <w:rPr>
          <w:i/>
          <w:lang w:val="en_US" w:bidi="en_US"/>
        </w:rPr>
        <w:t>little</w:t>
      </w:r>
      <w:r>
        <w:rPr>
          <w:lang w:val="en_US" w:bidi="en_US"/>
        </w:rPr>
        <w:t xml:space="preserve"> may also refer here to few things or responsibilities. In some languages it may be necessary to supply some of this implied information. For example:</w:t>
      </w:r>
    </w:p>
    <w:p>
      <w:pPr/>
      <w:r>
        <w:rPr>
          <w:lang w:val="en_US" w:bidi="en_US"/>
        </w:rPr>
      </w:r>
      <w:r>
        <w:rPr>
          <w:lang w:val="en_US" w:bidi="en_US"/>
        </w:rPr>
        <w:t>to handle/manage</w:t>
      </w:r>
      <w:r>
        <w:rPr>
          <w:lang w:val="en_US" w:bidi="en_US"/>
        </w:rPr>
        <w:t xml:space="preserve"> something that is very small/unimportant</w:t>
      </w:r>
    </w:p>
    <w:p>
      <w:pPr/>
      <w:r>
        <w:rPr>
          <w:lang w:val="en_US" w:bidi="en_US"/>
        </w:rPr>
      </w:r>
      <w:r>
        <w:rPr>
          <w:lang w:val="en_US" w:bidi="en_US"/>
        </w:rPr>
        <w:t>in fulfilling a minor/small responsibility/task</w:t>
      </w:r>
    </w:p>
    <w:p>
      <w:pPr/>
      <w:r>
        <w:rPr>
          <w:lang w:val="en_US" w:bidi="en_US"/>
        </w:rPr>
      </w:r>
      <w:r>
        <w:rPr>
          <w:lang w:val="en_US" w:bidi="en_US"/>
        </w:rPr>
        <w:t>in taking care of a few things/matters</w:t>
      </w:r>
    </w:p>
    <w:p>
      <w:pPr>
        <w:pStyle w:val="Heading5"/>
      </w:pPr>
      <w:r>
        <w:rPr>
          <w:lang w:val="en_US" w:bidi="en_US"/>
        </w:rPr>
        <w:t>16:10b</w:t>
      </w:r>
    </w:p>
    <w:p>
      <w:pPr/>
      <w:r>
        <w:rPr>
          <w:lang w:val="en_US" w:bidi="en_US"/>
        </w:rPr>
      </w:r>
      <w:r>
        <w:rPr>
          <w:b/>
          <w:lang w:val="en_US" w:bidi="en_US"/>
        </w:rPr>
        <w:t>will also be faithful with much,</w:t>
      </w:r>
    </w:p>
    <w:p>
      <w:pPr>
        <w:pStyle w:val="ListBullet"/>
        <w:spacing w:line="240" w:lineRule="auto"/>
        <w:ind w:left="720"/>
      </w:pPr>
      <w:r>
        <w:rPr>
          <w:lang w:val="en_US" w:bidi="en_US"/>
        </w:rPr>
      </w:r>
      <w:r>
        <w:rPr>
          <w:lang w:val="en_US" w:bidi="en_US"/>
        </w:rPr>
        <w:t xml:space="preserve">will also be faithful/trustworthy in doing/handling a large/important </w:t>
      </w:r>
      <w:r>
        <w:rPr>
          <w:lang w:val="en_US" w:bidi="en_US"/>
        </w:rPr>
        <w:t>matter/thing</w:t>
      </w:r>
      <w:r>
        <w:rPr>
          <w:lang w:val="en_US" w:bidi="en_US"/>
        </w:rPr>
        <w:t>.</w:t>
      </w:r>
    </w:p>
    <w:p>
      <w:pPr>
        <w:pStyle w:val="ListBullet"/>
        <w:spacing w:line="240" w:lineRule="auto"/>
        <w:ind w:left="720"/>
      </w:pPr>
      <w:r>
        <w:rPr>
          <w:lang w:val="en_US" w:bidi="en_US"/>
        </w:rPr>
      </w:r>
      <w:r>
        <w:rPr>
          <w:lang w:val="en_US" w:bidi="en_US"/>
        </w:rPr>
        <w:t xml:space="preserve">he can also be depended on </w:t>
      </w:r>
      <w:r>
        <w:rPr>
          <w:lang w:val="en_US" w:bidi="en_US"/>
        </w:rPr>
        <w:t>to fulfill</w:t>
      </w:r>
      <w:r>
        <w:rPr>
          <w:lang w:val="en_US" w:bidi="en_US"/>
        </w:rPr>
        <w:t xml:space="preserve"> a major/large </w:t>
      </w:r>
      <w:r>
        <w:rPr>
          <w:lang w:val="en_US" w:bidi="en_US"/>
        </w:rPr>
        <w:t>responsibility</w:t>
      </w:r>
      <w:r>
        <w:rPr>
          <w:lang w:val="en_US" w:bidi="en_US"/>
        </w:rPr>
        <w:t>.</w:t>
      </w:r>
    </w:p>
    <w:p>
      <w:pPr/>
      <w:r>
        <w:rPr>
          <w:lang w:val="en_US" w:bidi="en_US"/>
        </w:rPr>
      </w:r>
      <w:r>
        <w:rPr>
          <w:b/>
          <w:lang w:val="en_US" w:bidi="en_US"/>
        </w:rPr>
        <w:t>will also be faithful with much:</w:t>
      </w:r>
      <w:r>
        <w:rPr>
          <w:lang w:val="en_US" w:bidi="en_US"/>
        </w:rPr>
        <w:t xml:space="preserve"> The phrase </w:t>
      </w:r>
      <w:r>
        <w:rPr>
          <w:i/>
          <w:lang w:val="en_US" w:bidi="en_US"/>
        </w:rPr>
        <w:t>will also be faithful with much</w:t>
      </w:r>
      <w:r>
        <w:rPr>
          <w:lang w:val="en_US" w:bidi="en_US"/>
        </w:rPr>
        <w:t xml:space="preserve"> refers here to managing an important matter or fulfilling a major responsibility. The word </w:t>
      </w:r>
      <w:r>
        <w:rPr>
          <w:i/>
          <w:lang w:val="en_US" w:bidi="en_US"/>
        </w:rPr>
        <w:t>much</w:t>
      </w:r>
      <w:r>
        <w:rPr>
          <w:lang w:val="en_US" w:bidi="en_US"/>
        </w:rPr>
        <w:t xml:space="preserve"> may also refer here to many matters/responsibilities. Your translation of this phrase should be parallel to your translation of 16:10a.</w:t>
      </w:r>
    </w:p>
    <w:p>
      <w:pPr>
        <w:pStyle w:val="Heading5"/>
      </w:pPr>
      <w:r>
        <w:rPr>
          <w:lang w:val="en_US" w:bidi="en_US"/>
        </w:rPr>
        <w:t>16:10c</w:t>
      </w:r>
    </w:p>
    <w:p>
      <w:pPr/>
      <w:r>
        <w:rPr>
          <w:lang w:val="en_US" w:bidi="en_US"/>
        </w:rPr>
      </w:r>
      <w:r>
        <w:rPr>
          <w:b/>
          <w:lang w:val="en_US" w:bidi="en_US"/>
        </w:rPr>
        <w:t>and whoever is dishonest with very little</w:t>
      </w:r>
    </w:p>
    <w:p>
      <w:pPr>
        <w:pStyle w:val="ListBullet"/>
        <w:spacing w:line="240" w:lineRule="auto"/>
        <w:ind w:left="720"/>
      </w:pPr>
      <w:r>
        <w:rPr>
          <w:lang w:val="en_US" w:bidi="en_US"/>
        </w:rPr>
      </w:r>
      <w:r>
        <w:rPr>
          <w:lang w:val="en_US" w:bidi="en_US"/>
        </w:rPr>
        <w:t xml:space="preserve">Similarly, a person who is not honest/trustworthy in </w:t>
      </w:r>
      <w:r>
        <w:rPr>
          <w:lang w:val="en_US" w:bidi="en_US"/>
        </w:rPr>
        <w:t>doing/handling</w:t>
      </w:r>
      <w:r>
        <w:rPr>
          <w:lang w:val="en_US" w:bidi="en_US"/>
        </w:rPr>
        <w:t xml:space="preserve"> a very small/unimportant </w:t>
      </w:r>
      <w:r>
        <w:rPr>
          <w:lang w:val="en_US" w:bidi="en_US"/>
        </w:rPr>
        <w:t>matter/thing</w:t>
      </w:r>
    </w:p>
    <w:p>
      <w:pPr>
        <w:pStyle w:val="ListBullet"/>
        <w:spacing w:line="240" w:lineRule="auto"/>
        <w:ind w:left="720"/>
      </w:pPr>
      <w:r>
        <w:rPr>
          <w:lang w:val="en_US" w:bidi="en_US"/>
        </w:rPr>
      </w:r>
      <w:r>
        <w:rPr>
          <w:lang w:val="en_US" w:bidi="en_US"/>
        </w:rPr>
        <w:t>But/And</w:t>
      </w:r>
      <w:r>
        <w:rPr>
          <w:lang w:val="en_US" w:bidi="en_US"/>
        </w:rPr>
        <w:t xml:space="preserve"> if a person </w:t>
      </w:r>
      <w:r>
        <w:rPr>
          <w:lang w:val="en_US" w:bidi="en_US"/>
        </w:rPr>
        <w:t>who is responsible</w:t>
      </w:r>
      <w:r>
        <w:rPr>
          <w:lang w:val="en_US" w:bidi="en_US"/>
        </w:rPr>
        <w:t xml:space="preserve"> for a few </w:t>
      </w:r>
      <w:r>
        <w:rPr>
          <w:lang w:val="en_US" w:bidi="en_US"/>
        </w:rPr>
        <w:t>things</w:t>
      </w:r>
      <w:r>
        <w:rPr>
          <w:lang w:val="en_US" w:bidi="en_US"/>
        </w:rPr>
        <w:t xml:space="preserve"> is not dependable,</w:t>
      </w:r>
    </w:p>
    <w:p>
      <w:pPr>
        <w:pStyle w:val="Heading5"/>
      </w:pPr>
      <w:r>
        <w:rPr>
          <w:lang w:val="en_US" w:bidi="en_US"/>
        </w:rPr>
        <w:t>16:10d</w:t>
      </w:r>
    </w:p>
    <w:p>
      <w:pPr/>
      <w:r>
        <w:rPr>
          <w:lang w:val="en_US" w:bidi="en_US"/>
        </w:rPr>
      </w:r>
      <w:r>
        <w:rPr>
          <w:b/>
          <w:lang w:val="en_US" w:bidi="en_US"/>
        </w:rPr>
        <w:t>will also be dishonest with much.</w:t>
      </w:r>
    </w:p>
    <w:p>
      <w:pPr>
        <w:pStyle w:val="ListBullet"/>
        <w:spacing w:line="240" w:lineRule="auto"/>
        <w:ind w:left="720"/>
      </w:pPr>
      <w:r>
        <w:rPr>
          <w:lang w:val="en_US" w:bidi="en_US"/>
        </w:rPr>
      </w:r>
      <w:r>
        <w:rPr>
          <w:lang w:val="en_US" w:bidi="en_US"/>
        </w:rPr>
        <w:t xml:space="preserve">will also not be honest/trustworthy in </w:t>
      </w:r>
      <w:r>
        <w:rPr>
          <w:lang w:val="en_US" w:bidi="en_US"/>
        </w:rPr>
        <w:t>doing/handling</w:t>
      </w:r>
      <w:r>
        <w:rPr>
          <w:lang w:val="en_US" w:bidi="en_US"/>
        </w:rPr>
        <w:t xml:space="preserve"> a large/important </w:t>
      </w:r>
      <w:r>
        <w:rPr>
          <w:lang w:val="en_US" w:bidi="en_US"/>
        </w:rPr>
        <w:t>matter/thing</w:t>
      </w:r>
      <w:r>
        <w:rPr>
          <w:lang w:val="en_US" w:bidi="en_US"/>
        </w:rPr>
        <w:t>.</w:t>
      </w:r>
    </w:p>
    <w:p>
      <w:pPr>
        <w:pStyle w:val="ListBullet"/>
        <w:spacing w:line="240" w:lineRule="auto"/>
        <w:ind w:left="720"/>
      </w:pPr>
      <w:r>
        <w:rPr>
          <w:lang w:val="en_US" w:bidi="en_US"/>
        </w:rPr>
      </w:r>
      <w:r>
        <w:rPr>
          <w:lang w:val="en_US" w:bidi="en_US"/>
        </w:rPr>
        <w:t xml:space="preserve">he will also not be dependable </w:t>
      </w:r>
      <w:r>
        <w:rPr>
          <w:lang w:val="en_US" w:bidi="en_US"/>
        </w:rPr>
        <w:t>if he is responsible</w:t>
      </w:r>
      <w:r>
        <w:rPr>
          <w:lang w:val="en_US" w:bidi="en_US"/>
        </w:rPr>
        <w:t xml:space="preserve"> for many </w:t>
      </w:r>
      <w:r>
        <w:rPr>
          <w:lang w:val="en_US" w:bidi="en_US"/>
        </w:rPr>
        <w:t>things</w:t>
      </w:r>
      <w:r>
        <w:rPr>
          <w:lang w:val="en_US" w:bidi="en_US"/>
        </w:rPr>
        <w:t>.</w:t>
      </w:r>
    </w:p>
    <w:p>
      <w:pPr>
        <w:pStyle w:val="Heading5"/>
      </w:pPr>
      <w:r>
        <w:rPr>
          <w:lang w:val="en_US" w:bidi="en_US"/>
        </w:rPr>
        <w:t>16:10c–d</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a truth that is parallel to 16:10a–b, but which also contrasts with it. The NLT uses the conjunction “But.” Use a natural way in your language to connect two ideas that are related in this way.</w:t>
      </w:r>
    </w:p>
    <w:p>
      <w:pPr/>
      <w:r>
        <w:rPr>
          <w:lang w:val="en_US" w:bidi="en_US"/>
        </w:rPr>
      </w:r>
      <w:r>
        <w:rPr>
          <w:b/>
          <w:lang w:val="en_US" w:bidi="en_US"/>
        </w:rPr>
        <w:t>whoever is dishonest with very little will also be dishonest with much:</w:t>
      </w:r>
      <w:r>
        <w:rPr>
          <w:lang w:val="en_US" w:bidi="en_US"/>
        </w:rPr>
        <w:t xml:space="preserve"> These verse parts are parallel to 16:10a–b. If a person is not faithful in managing a small or unimportant matter, he will not be faithful in managing a large or important matter.</w:t>
      </w:r>
    </w:p>
    <w:p>
      <w:pPr/>
      <w:r>
        <w:rPr>
          <w:lang w:val="en_US" w:bidi="en_US"/>
        </w:rPr>
      </w:r>
      <w:r>
        <w:rPr>
          <w:b/>
          <w:lang w:val="en_US" w:bidi="en_US"/>
        </w:rPr>
        <w:t>dishonest:</w:t>
      </w:r>
      <w:r>
        <w:rPr>
          <w:lang w:val="en_US" w:bidi="en_US"/>
        </w:rPr>
        <w:t xml:space="preserve"> The Greek word that the BSB translates here as </w:t>
      </w:r>
      <w:r>
        <w:rPr>
          <w:i/>
          <w:lang w:val="en_US" w:bidi="en_US"/>
        </w:rPr>
        <w:t>dishonest</w:t>
      </w:r>
      <w:r>
        <w:rPr>
          <w:lang w:val="en_US" w:bidi="en_US"/>
        </w:rPr>
        <w:t xml:space="preserve"> is the same word that was used in 16:8a–b. Here it refers to someone who is the opposite of faithful/trustworthy. Some other ways to translate this word here are:</w:t>
      </w:r>
    </w:p>
    <w:p>
      <w:pPr/>
      <w:r>
        <w:rPr>
          <w:lang w:val="en_US" w:bidi="en_US"/>
        </w:rPr>
      </w:r>
      <w:r>
        <w:rPr>
          <w:lang w:val="en_US" w:bidi="en_US"/>
        </w:rPr>
        <w:t>cannot be trusted</w:t>
      </w:r>
    </w:p>
    <w:p>
      <w:pPr/>
      <w:r>
        <w:rPr>
          <w:lang w:val="en_US" w:bidi="en_US"/>
        </w:rPr>
      </w:r>
      <w:r>
        <w:rPr>
          <w:lang w:val="en_US" w:bidi="en_US"/>
        </w:rPr>
        <w:t>is not faithful/trustworthy</w:t>
      </w:r>
    </w:p>
    <w:p>
      <w:pPr>
        <w:pStyle w:val="Heading6"/>
      </w:pPr>
      <w:r>
        <w:rPr>
          <w:b/>
          <w:lang w:val="en_US" w:bidi="en_US"/>
        </w:rPr>
        <w:t>General Comment on 16:10a–d</w:t>
      </w:r>
    </w:p>
    <w:p>
      <w:pPr/>
      <w:r>
        <w:rPr>
          <w:lang w:val="en_US" w:bidi="en_US"/>
        </w:rPr>
      </w:r>
      <w:r>
        <w:rPr>
          <w:lang w:val="en_US" w:bidi="en_US"/>
        </w:rPr>
        <w:t>In some languages it will be better style to translate 16:10c–d in a way that is directly parallel to 16:10a–b. In other languages it will be better to use some variation. For example, if you said “a very small matter” in 16:10a, you may say “a few things” in 16:10c.</w:t>
      </w:r>
      <w:r>
        <w:rPr>
          <w:lang w:val="en_US" w:bidi="en_US"/>
        </w:rPr>
      </w:r>
      <w:r>
        <w:rPr>
          <w:lang w:val="en_US" w:bidi="en_US"/>
        </w:rPr>
      </w:r>
    </w:p>
    <w:p>
      <w:pPr/>
      <w:r>
        <w:rPr>
          <w:lang w:val="en_US" w:bidi="en_US"/>
        </w:rPr>
      </w:r>
    </w:p>
    <w:p>
      <w:pPr>
        <w:pStyle w:val="Heading2"/>
      </w:pPr>
      <w:r>
        <w:rPr>
          <w:lang w:val="en_US" w:bidi="en_US"/>
        </w:rPr>
        <w:t>Luke 16:11</w:t>
      </w:r>
      <w:r>
        <w:rPr>
          <w:lang w:val="en_US" w:bidi="en_US"/>
        </w:rPr>
      </w:r>
    </w:p>
    <w:p>
      <w:pPr>
        <w:pStyle w:val="Heading4"/>
      </w:pPr>
      <w:r>
        <w:rPr>
          <w:lang w:val="en_US" w:bidi="en_US"/>
        </w:rPr>
        <w:t>Section 16:1–13: Jesus told a parable about a dishonest manager who acted wisely</w:t>
      </w:r>
    </w:p>
    <w:p>
      <w:pPr/>
      <w:r>
        <w:rPr>
          <w:lang w:val="en_US" w:bidi="en_US"/>
        </w:rPr>
      </w:r>
      <w:r>
        <w:rPr>
          <w:lang w:val="en_US" w:bidi="en_US"/>
        </w:rP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pPr/>
      <w:r>
        <w:rPr>
          <w:lang w:val="en_US" w:bidi="en_US"/>
        </w:rPr>
      </w:r>
      <w:r>
        <w:rPr>
          <w:lang w:val="en_US" w:bidi="en_US"/>
        </w:rPr>
        <w:t>The main point of this parable is that the manager knew how to use money to make things better for his own future. In this way he was a good example for Jesus’ disciples. The parable does not mean that Jesus approved of the manager’s dishonesty.</w:t>
      </w:r>
    </w:p>
    <w:p>
      <w:pPr/>
      <w:r>
        <w:rPr>
          <w:lang w:val="en_US" w:bidi="en_US"/>
        </w:rPr>
      </w:r>
      <w:r>
        <w:rPr>
          <w:lang w:val="en_US" w:bidi="en_US"/>
        </w:rPr>
        <w:t>In 16:8c–16:9 Jesus commented on the parable and applied it to his disciples. In 16:10–13 he gave other teachings about the proper use of wealth.</w:t>
      </w:r>
    </w:p>
    <w:p>
      <w:pPr/>
      <w:r>
        <w:rPr>
          <w:lang w:val="en_US" w:bidi="en_US"/>
        </w:rPr>
      </w:r>
      <w:r>
        <w:rPr>
          <w:lang w:val="en_US" w:bidi="en_US"/>
        </w:rPr>
        <w:t>Other possible headings for this section are:</w:t>
      </w:r>
    </w:p>
    <w:p>
      <w:pPr/>
      <w:r>
        <w:rPr>
          <w:lang w:val="en_US" w:bidi="en_US"/>
        </w:rPr>
      </w:r>
      <w:r>
        <w:rPr>
          <w:lang w:val="en_US" w:bidi="en_US"/>
        </w:rPr>
        <w:t>The Parable of the Shrewd Manager (NIV)</w:t>
      </w:r>
    </w:p>
    <w:p>
      <w:pPr/>
      <w:r>
        <w:rPr>
          <w:lang w:val="en_US" w:bidi="en_US"/>
        </w:rPr>
      </w:r>
      <w:r>
        <w:rPr>
          <w:lang w:val="en_US" w:bidi="en_US"/>
        </w:rPr>
        <w:t>The dishonest man who was in charge of a rich man’s wealth</w:t>
      </w:r>
    </w:p>
    <w:p>
      <w:pPr>
        <w:pStyle w:val="Heading5"/>
      </w:pPr>
      <w:r>
        <w:rPr>
          <w:lang w:val="en_US" w:bidi="en_US"/>
        </w:rPr>
        <w:t>16:11a</w:t>
      </w:r>
    </w:p>
    <w:p>
      <w:pPr/>
      <w:r>
        <w:rPr>
          <w:lang w:val="en_US" w:bidi="en_US"/>
        </w:rPr>
      </w:r>
      <w:r>
        <w:rPr>
          <w:b/>
          <w:lang w:val="en_US" w:bidi="en_US"/>
        </w:rPr>
        <w:t>So if you have not been faithful with worldly wealth,</w:t>
      </w:r>
    </w:p>
    <w:p>
      <w:pPr>
        <w:pStyle w:val="ListBullet"/>
        <w:spacing w:line="240" w:lineRule="auto"/>
        <w:ind w:left="720"/>
      </w:pPr>
      <w:r>
        <w:rPr>
          <w:lang w:val="en_US" w:bidi="en_US"/>
        </w:rPr>
      </w:r>
      <w:r>
        <w:rPr>
          <w:lang w:val="en_US" w:bidi="en_US"/>
        </w:rPr>
        <w:t>If, then, you</w:t>
      </w:r>
      <w:r>
        <w:rPr>
          <w:vertAlign w:val="superscript"/>
          <w:lang w:val="en_US" w:bidi="en_US"/>
        </w:rPr>
        <w:t>(plur)</w:t>
      </w:r>
      <w:r>
        <w:rPr>
          <w:lang w:val="en_US" w:bidi="en_US"/>
        </w:rPr>
        <w:t xml:space="preserve"> have not been faithful/dependable in handling money/wealth here on this </w:t>
      </w:r>
      <w:r>
        <w:rPr>
          <w:lang w:val="en_US" w:bidi="en_US"/>
        </w:rPr>
        <w:t>evil</w:t>
      </w:r>
      <w:r>
        <w:rPr>
          <w:lang w:val="en_US" w:bidi="en_US"/>
        </w:rPr>
        <w:t xml:space="preserve"> earth,</w:t>
      </w:r>
    </w:p>
    <w:p>
      <w:pPr>
        <w:pStyle w:val="ListBullet"/>
        <w:spacing w:line="240" w:lineRule="auto"/>
        <w:ind w:left="720"/>
      </w:pPr>
      <w:r>
        <w:rPr>
          <w:lang w:val="en_US" w:bidi="en_US"/>
        </w:rPr>
      </w:r>
      <w:r>
        <w:rPr>
          <w:lang w:val="en_US" w:bidi="en_US"/>
        </w:rPr>
        <w:t>So, if you</w:t>
      </w:r>
      <w:r>
        <w:rPr>
          <w:vertAlign w:val="superscript"/>
          <w:lang w:val="en_US" w:bidi="en_US"/>
        </w:rPr>
        <w:t>(plur)</w:t>
      </w:r>
      <w:r>
        <w:rPr>
          <w:lang w:val="en_US" w:bidi="en_US"/>
        </w:rPr>
        <w:t xml:space="preserve"> have not faithfully managed the money that belongs here in this world,</w:t>
      </w:r>
    </w:p>
    <w:p>
      <w:pPr>
        <w:pStyle w:val="Heading5"/>
      </w:pPr>
      <w:r>
        <w:rPr>
          <w:lang w:val="en_US" w:bidi="en_US"/>
        </w:rPr>
        <w:t>16:11b</w:t>
      </w:r>
    </w:p>
    <w:p>
      <w:pPr/>
      <w:r>
        <w:rPr>
          <w:lang w:val="en_US" w:bidi="en_US"/>
        </w:rPr>
      </w:r>
      <w:r>
        <w:rPr>
          <w:b/>
          <w:lang w:val="en_US" w:bidi="en_US"/>
        </w:rPr>
        <w:t>who will entrust you with true riches?</w:t>
      </w:r>
    </w:p>
    <w:p>
      <w:pPr>
        <w:pStyle w:val="ListBullet"/>
        <w:spacing w:line="240" w:lineRule="auto"/>
        <w:ind w:left="720"/>
      </w:pPr>
      <w:r>
        <w:rPr>
          <w:lang w:val="en_US" w:bidi="en_US"/>
        </w:rPr>
      </w:r>
      <w:r>
        <w:rPr>
          <w:lang w:val="en_US" w:bidi="en_US"/>
        </w:rPr>
        <w:t>who will trust you</w:t>
      </w:r>
      <w:r>
        <w:rPr>
          <w:vertAlign w:val="superscript"/>
          <w:lang w:val="en_US" w:bidi="en_US"/>
        </w:rPr>
        <w:t>(plur)</w:t>
      </w:r>
      <w:r>
        <w:rPr>
          <w:lang w:val="en_US" w:bidi="en_US"/>
        </w:rPr>
        <w:t xml:space="preserve"> </w:t>
      </w:r>
      <w:r>
        <w:rPr>
          <w:lang w:val="en_US" w:bidi="en_US"/>
        </w:rPr>
        <w:t>to take care of</w:t>
      </w:r>
      <w:r>
        <w:rPr>
          <w:lang w:val="en_US" w:bidi="en_US"/>
        </w:rPr>
        <w:t xml:space="preserve"> real/genuine riches?</w:t>
      </w:r>
    </w:p>
    <w:p>
      <w:pPr>
        <w:pStyle w:val="ListBullet"/>
        <w:spacing w:line="240" w:lineRule="auto"/>
        <w:ind w:left="720"/>
      </w:pPr>
      <w:r>
        <w:rPr>
          <w:lang w:val="en_US" w:bidi="en_US"/>
        </w:rPr>
      </w:r>
      <w:r>
        <w:rPr>
          <w:lang w:val="en_US" w:bidi="en_US"/>
        </w:rPr>
        <w:t>no one will trust you</w:t>
      </w:r>
      <w:r>
        <w:rPr>
          <w:vertAlign w:val="superscript"/>
          <w:lang w:val="en_US" w:bidi="en_US"/>
        </w:rPr>
        <w:t>(plur)</w:t>
      </w:r>
      <w:r>
        <w:rPr>
          <w:lang w:val="en_US" w:bidi="en_US"/>
        </w:rPr>
        <w:t xml:space="preserve"> </w:t>
      </w:r>
      <w:r>
        <w:rPr>
          <w:lang w:val="en_US" w:bidi="en_US"/>
        </w:rPr>
        <w:t>to manage</w:t>
      </w:r>
      <w:r>
        <w:rPr>
          <w:lang w:val="en_US" w:bidi="en_US"/>
        </w:rPr>
        <w:t xml:space="preserve"> what is truly valuable.</w:t>
      </w:r>
    </w:p>
    <w:p>
      <w:pPr>
        <w:pStyle w:val="ListBullet"/>
        <w:spacing w:line="240" w:lineRule="auto"/>
        <w:ind w:left="720"/>
      </w:pPr>
      <w:r>
        <w:rPr>
          <w:lang w:val="en_US" w:bidi="en_US"/>
        </w:rPr>
      </w:r>
      <w:r>
        <w:rPr>
          <w:lang w:val="en_US" w:bidi="en_US"/>
        </w:rPr>
        <w:t>God</w:t>
      </w:r>
      <w:r>
        <w:rPr>
          <w:lang w:val="en_US" w:bidi="en_US"/>
        </w:rPr>
        <w:t xml:space="preserve"> will certainly not allow you</w:t>
      </w:r>
      <w:r>
        <w:rPr>
          <w:vertAlign w:val="superscript"/>
          <w:lang w:val="en_US" w:bidi="en_US"/>
        </w:rPr>
        <w:t>(plur)</w:t>
      </w:r>
      <w:r>
        <w:rPr>
          <w:lang w:val="en_US" w:bidi="en_US"/>
        </w:rPr>
        <w:t xml:space="preserve"> to handle the true wealth </w:t>
      </w:r>
      <w:r>
        <w:rPr>
          <w:lang w:val="en_US" w:bidi="en_US"/>
        </w:rPr>
        <w:t>that he values</w:t>
      </w:r>
      <w:r>
        <w:rPr>
          <w:lang w:val="en_US" w:bidi="en_US"/>
        </w:rPr>
        <w:t>.</w:t>
      </w:r>
    </w:p>
    <w:p>
      <w:pPr>
        <w:pStyle w:val="Heading5"/>
      </w:pPr>
      <w:r>
        <w:rPr>
          <w:lang w:val="en_US" w:bidi="en_US"/>
        </w:rPr>
        <w:t>16:11a–b</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here introduces a conclusion that Jesus made from the saying in 16:10. Here he began to apply this common saying specifically to his disciples. Many English versions translate this conjunction as “then,” since it introduces an inference. Translate this in a natural way in your language.</w:t>
      </w:r>
    </w:p>
    <w:p>
      <w:pPr/>
      <w:r>
        <w:rPr>
          <w:lang w:val="en_US" w:bidi="en_US"/>
        </w:rPr>
      </w:r>
      <w:r>
        <w:rPr>
          <w:b/>
          <w:lang w:val="en_US" w:bidi="en_US"/>
        </w:rPr>
        <w:t>if you have not been faithful with worldly wealth, who will entrust you with true riches?:</w:t>
      </w:r>
      <w:r>
        <w:rPr>
          <w:lang w:val="en_US" w:bidi="en_US"/>
        </w:rPr>
        <w:t xml:space="preserve"> This is a rhetorical question. Jesus used this question to emphasize that no one will trust you with true riches </w:t>
      </w:r>
      <w:r>
        <w:rPr>
          <w:i/>
          <w:lang w:val="en_US" w:bidi="en_US"/>
        </w:rPr>
        <w:t>if you have not been faithful with worldly wealth</w:t>
      </w:r>
      <w:r>
        <w:rPr>
          <w:lang w:val="en_US" w:bidi="en_US"/>
        </w:rPr>
        <w:t>. The context implies that God is the one who will not trust you with true riches.</w:t>
      </w:r>
    </w:p>
    <w:p>
      <w:pPr/>
      <w:r>
        <w:rPr>
          <w:lang w:val="en_US" w:bidi="en_US"/>
        </w:rPr>
      </w:r>
      <w:r>
        <w:rPr>
          <w:lang w:val="en_US" w:bidi="en_US"/>
        </w:rPr>
        <w:t>Here are some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If, then, you have not been faithful in handling worldly wealth, how can you be trusted with true wealth? (GNT)</w:t>
      </w:r>
      <w:r>
        <w:rPr>
          <w:lang w:val="en_US" w:bidi="en_US"/>
        </w:rPr>
        <w:t>If you</w:t>
      </w:r>
      <w:r>
        <w:rPr>
          <w:vertAlign w:val="superscript"/>
          <w:lang w:val="en_US" w:bidi="en_US"/>
        </w:rPr>
        <w:t>(plur)</w:t>
      </w:r>
      <w:r>
        <w:rPr>
          <w:lang w:val="en_US" w:bidi="en_US"/>
        </w:rPr>
        <w:t xml:space="preserve"> have not faithfully managed money here in this world, why should </w:t>
      </w:r>
      <w:r>
        <w:rPr>
          <w:lang w:val="en_US" w:bidi="en_US"/>
        </w:rPr>
        <w:t>God</w:t>
      </w:r>
      <w:r>
        <w:rPr>
          <w:lang w:val="en_US" w:bidi="en_US"/>
        </w:rPr>
        <w:t xml:space="preserve"> entrust to you true </w:t>
      </w:r>
      <w:r>
        <w:rPr>
          <w:lang w:val="en_US" w:bidi="en_US"/>
        </w:rPr>
        <w:t>spiritual</w:t>
      </w:r>
      <w:r>
        <w:rPr>
          <w:lang w:val="en_US" w:bidi="en_US"/>
        </w:rPr>
        <w:t xml:space="preserve"> wealth?</w:t>
      </w:r>
    </w:p>
    <w:p>
      <w:pPr>
        <w:pStyle w:val="ListBullet"/>
        <w:spacing w:line="240" w:lineRule="auto"/>
        <w:ind w:left="720"/>
      </w:pPr>
      <w:r>
        <w:rPr>
          <w:lang w:val="en_US" w:bidi="en_US"/>
        </w:rPr>
      </w:r>
      <w:r>
        <w:rPr>
          <w:lang w:val="en_US" w:bidi="en_US"/>
        </w:rPr>
        <w:t>As an emphatic statement. For example:</w:t>
      </w:r>
      <w:r>
        <w:rPr>
          <w:lang w:val="en_US" w:bidi="en_US"/>
        </w:rPr>
        <w:t>If you</w:t>
      </w:r>
      <w:r>
        <w:rPr>
          <w:vertAlign w:val="superscript"/>
          <w:lang w:val="en_US" w:bidi="en_US"/>
        </w:rPr>
        <w:t>(plur)</w:t>
      </w:r>
      <w:r>
        <w:rPr>
          <w:lang w:val="en_US" w:bidi="en_US"/>
        </w:rPr>
        <w:t xml:space="preserve"> are not trustworthy in taking care of wealth here on earth, then certainly </w:t>
      </w:r>
      <w:r>
        <w:rPr>
          <w:lang w:val="en_US" w:bidi="en_US"/>
        </w:rPr>
        <w:t>God</w:t>
      </w:r>
      <w:r>
        <w:rPr>
          <w:lang w:val="en_US" w:bidi="en_US"/>
        </w:rPr>
        <w:t xml:space="preserve"> will not trust you with true riches.</w:t>
      </w:r>
    </w:p>
    <w:p>
      <w:pPr/>
      <w:r>
        <w:rPr>
          <w:lang w:val="en_US" w:bidi="en_US"/>
        </w:rPr>
      </w:r>
      <w:r>
        <w:rPr>
          <w:lang w:val="en_US" w:bidi="en_US"/>
        </w:rPr>
        <w:t>Translate this emphasis in a way that is natural in your language.</w:t>
      </w:r>
    </w:p>
    <w:p>
      <w:pPr/>
      <w:r>
        <w:rPr>
          <w:lang w:val="en_US" w:bidi="en_US"/>
        </w:rPr>
      </w:r>
      <w:r>
        <w:rPr>
          <w:b/>
          <w:lang w:val="en_US" w:bidi="en_US"/>
        </w:rPr>
        <w:t>you have not been faithful:</w:t>
      </w:r>
      <w:r>
        <w:rPr>
          <w:lang w:val="en_US" w:bidi="en_US"/>
        </w:rPr>
        <w:t xml:space="preserve"> The Greek word that the BSB translates as </w:t>
      </w:r>
      <w:r>
        <w:rPr>
          <w:i/>
          <w:lang w:val="en_US" w:bidi="en_US"/>
        </w:rPr>
        <w:t>faithful</w:t>
      </w:r>
      <w:r>
        <w:rPr>
          <w:lang w:val="en_US" w:bidi="en_US"/>
        </w:rPr>
        <w:t xml:space="preserve"> is the same word as in 16:10a–b. But in some languages it may be more natural to use a synonym rather than keep on repeating the same word.</w:t>
      </w:r>
    </w:p>
    <w:p>
      <w:pPr/>
      <w:r>
        <w:rPr>
          <w:lang w:val="en_US" w:bidi="en_US"/>
        </w:rPr>
      </w:r>
      <w:r>
        <w:rPr>
          <w:b/>
          <w:lang w:val="en_US" w:bidi="en_US"/>
        </w:rPr>
        <w:t>with:</w:t>
      </w:r>
      <w:r>
        <w:rPr>
          <w:lang w:val="en_US" w:bidi="en_US"/>
        </w:rPr>
        <w:t xml:space="preserve"> In place of the word </w:t>
      </w:r>
      <w:r>
        <w:rPr>
          <w:i/>
          <w:lang w:val="en_US" w:bidi="en_US"/>
        </w:rPr>
        <w:t>with</w:t>
      </w:r>
      <w:r>
        <w:rPr>
          <w:lang w:val="en_US" w:bidi="en_US"/>
        </w:rPr>
        <w:t>, some versions, such as the NIV, supply a phrase such as “in handling.” You may also supply similar words such as “managing” or “taking care of.” In some languages you may not need to supply such a word. For example:</w:t>
      </w:r>
    </w:p>
    <w:p>
      <w:pPr/>
      <w:r>
        <w:rPr>
          <w:lang w:val="en_US" w:bidi="en_US"/>
        </w:rPr>
      </w:r>
      <w:r>
        <w:rPr>
          <w:lang w:val="en_US" w:bidi="en_US"/>
        </w:rPr>
        <w:t>with the dishonest wealth (NRSV)</w:t>
      </w:r>
    </w:p>
    <w:p>
      <w:pPr/>
      <w:r>
        <w:rPr>
          <w:lang w:val="en_US" w:bidi="en_US"/>
        </w:rPr>
      </w:r>
      <w:r>
        <w:rPr>
          <w:lang w:val="en_US" w:bidi="en_US"/>
        </w:rPr>
        <w:t>with wealth that is often used dishonestly (GW)</w:t>
      </w:r>
    </w:p>
    <w:p>
      <w:pPr/>
      <w:r>
        <w:rPr>
          <w:lang w:val="en_US" w:bidi="en_US"/>
        </w:rPr>
      </w:r>
      <w:r>
        <w:rPr>
          <w:b/>
          <w:lang w:val="en_US" w:bidi="en_US"/>
        </w:rPr>
        <w:t>worldly wealth:</w:t>
      </w:r>
      <w:r>
        <w:rPr>
          <w:lang w:val="en_US" w:bidi="en_US"/>
        </w:rPr>
        <w:t xml:space="preserve"> As in 16:9b, this phrase is literally “unrighteous mammon.” You should translate it in the same way or a similar way as you did there.</w:t>
      </w:r>
    </w:p>
    <w:p>
      <w:pPr/>
      <w:r>
        <w:rPr>
          <w:lang w:val="en_US" w:bidi="en_US"/>
        </w:rPr>
      </w:r>
      <w:r>
        <w:rPr>
          <w:b/>
          <w:lang w:val="en_US" w:bidi="en_US"/>
        </w:rPr>
        <w:t>true riches:</w:t>
      </w:r>
      <w:r>
        <w:rPr>
          <w:lang w:val="en_US" w:bidi="en_US"/>
        </w:rPr>
        <w:t xml:space="preserve"> The Greek phrase that the BSB translates as </w:t>
      </w:r>
      <w:r>
        <w:rPr>
          <w:i/>
          <w:lang w:val="en_US" w:bidi="en_US"/>
        </w:rPr>
        <w:t>true riches</w:t>
      </w:r>
      <w:r>
        <w:rPr>
          <w:lang w:val="en_US" w:bidi="en_US"/>
        </w:rPr>
        <w:t xml:space="preserve"> is literally “the true, genuine </w:t>
      </w:r>
      <w:r>
        <w:rPr>
          <w:lang w:val="en_US" w:bidi="en_US"/>
        </w:rPr>
        <w:t>thing</w:t>
      </w:r>
      <w:r>
        <w:rPr>
          <w:lang w:val="en_US" w:bidi="en_US"/>
        </w:rPr>
        <w:t>.” It refers to all the things that God considers to have eternal value. Some ways to translate this phrase are:</w:t>
      </w:r>
    </w:p>
    <w:p>
      <w:pPr/>
      <w:r>
        <w:rPr>
          <w:lang w:val="en_US" w:bidi="en_US"/>
        </w:rPr>
      </w:r>
      <w:r>
        <w:rPr>
          <w:lang w:val="en_US" w:bidi="en_US"/>
        </w:rPr>
        <w:t>genuine wealth</w:t>
      </w:r>
    </w:p>
    <w:p>
      <w:pPr/>
      <w:r>
        <w:rPr>
          <w:lang w:val="en_US" w:bidi="en_US"/>
        </w:rPr>
      </w:r>
      <w:r>
        <w:rPr>
          <w:lang w:val="en_US" w:bidi="en_US"/>
        </w:rPr>
        <w:t>what God truly values</w:t>
      </w:r>
      <w:r>
        <w:rPr>
          <w:lang w:val="en_US" w:bidi="en_US"/>
        </w:rPr>
      </w:r>
      <w:r>
        <w:rPr>
          <w:lang w:val="en_US" w:bidi="en_US"/>
        </w:rPr>
      </w:r>
    </w:p>
    <w:p>
      <w:pPr/>
      <w:r>
        <w:rPr>
          <w:lang w:val="en_US" w:bidi="en_US"/>
        </w:rPr>
      </w:r>
    </w:p>
    <w:p>
      <w:pPr>
        <w:pStyle w:val="Heading2"/>
      </w:pPr>
      <w:r>
        <w:rPr>
          <w:lang w:val="en_US" w:bidi="en_US"/>
        </w:rPr>
        <w:t>Luke 16:12</w:t>
      </w:r>
      <w:r>
        <w:rPr>
          <w:lang w:val="en_US" w:bidi="en_US"/>
        </w:rPr>
      </w:r>
    </w:p>
    <w:p>
      <w:pPr>
        <w:pStyle w:val="Heading4"/>
      </w:pPr>
      <w:r>
        <w:rPr>
          <w:lang w:val="en_US" w:bidi="en_US"/>
        </w:rPr>
        <w:t>Section 16:1–13: Jesus told a parable about a dishonest manager who acted wisely</w:t>
      </w:r>
    </w:p>
    <w:p>
      <w:pPr/>
      <w:r>
        <w:rPr>
          <w:lang w:val="en_US" w:bidi="en_US"/>
        </w:rPr>
      </w:r>
      <w:r>
        <w:rPr>
          <w:lang w:val="en_US" w:bidi="en_US"/>
        </w:rP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pPr/>
      <w:r>
        <w:rPr>
          <w:lang w:val="en_US" w:bidi="en_US"/>
        </w:rPr>
      </w:r>
      <w:r>
        <w:rPr>
          <w:lang w:val="en_US" w:bidi="en_US"/>
        </w:rPr>
        <w:t>The main point of this parable is that the manager knew how to use money to make things better for his own future. In this way he was a good example for Jesus’ disciples. The parable does not mean that Jesus approved of the manager’s dishonesty.</w:t>
      </w:r>
    </w:p>
    <w:p>
      <w:pPr/>
      <w:r>
        <w:rPr>
          <w:lang w:val="en_US" w:bidi="en_US"/>
        </w:rPr>
      </w:r>
      <w:r>
        <w:rPr>
          <w:lang w:val="en_US" w:bidi="en_US"/>
        </w:rPr>
        <w:t>In 16:8c–16:9 Jesus commented on the parable and applied it to his disciples. In 16:10–13 he gave other teachings about the proper use of wealth.</w:t>
      </w:r>
    </w:p>
    <w:p>
      <w:pPr/>
      <w:r>
        <w:rPr>
          <w:lang w:val="en_US" w:bidi="en_US"/>
        </w:rPr>
      </w:r>
      <w:r>
        <w:rPr>
          <w:lang w:val="en_US" w:bidi="en_US"/>
        </w:rPr>
        <w:t>Other possible headings for this section are:</w:t>
      </w:r>
    </w:p>
    <w:p>
      <w:pPr/>
      <w:r>
        <w:rPr>
          <w:lang w:val="en_US" w:bidi="en_US"/>
        </w:rPr>
      </w:r>
      <w:r>
        <w:rPr>
          <w:lang w:val="en_US" w:bidi="en_US"/>
        </w:rPr>
        <w:t>The Parable of the Shrewd Manager (NIV)</w:t>
      </w:r>
    </w:p>
    <w:p>
      <w:pPr/>
      <w:r>
        <w:rPr>
          <w:lang w:val="en_US" w:bidi="en_US"/>
        </w:rPr>
      </w:r>
      <w:r>
        <w:rPr>
          <w:lang w:val="en_US" w:bidi="en_US"/>
        </w:rPr>
        <w:t>The dishonest man who was in charge of a rich man’s wealth</w:t>
      </w:r>
    </w:p>
    <w:p>
      <w:pPr>
        <w:pStyle w:val="Heading5"/>
      </w:pPr>
      <w:r>
        <w:rPr>
          <w:lang w:val="en_US" w:bidi="en_US"/>
        </w:rPr>
        <w:t>16:12a</w:t>
      </w:r>
    </w:p>
    <w:p>
      <w:pPr/>
      <w:r>
        <w:rPr>
          <w:lang w:val="en_US" w:bidi="en_US"/>
        </w:rPr>
      </w:r>
      <w:r>
        <w:rPr>
          <w:b/>
          <w:lang w:val="en_US" w:bidi="en_US"/>
        </w:rPr>
        <w:t>And if you have not been faithful with the belongings of another,</w:t>
      </w:r>
    </w:p>
    <w:p>
      <w:pPr>
        <w:pStyle w:val="ListBullet"/>
        <w:spacing w:line="240" w:lineRule="auto"/>
        <w:ind w:left="720"/>
      </w:pPr>
      <w:r>
        <w:rPr>
          <w:lang w:val="en_US" w:bidi="en_US"/>
        </w:rPr>
      </w:r>
      <w:r>
        <w:rPr>
          <w:lang w:val="en_US" w:bidi="en_US"/>
        </w:rPr>
        <w:t>And if you</w:t>
      </w:r>
      <w:r>
        <w:rPr>
          <w:vertAlign w:val="superscript"/>
          <w:lang w:val="en_US" w:bidi="en_US"/>
        </w:rPr>
        <w:t>(plur)</w:t>
      </w:r>
      <w:r>
        <w:rPr>
          <w:lang w:val="en_US" w:bidi="en_US"/>
        </w:rPr>
        <w:t xml:space="preserve"> have not been faithful </w:t>
      </w:r>
      <w:r>
        <w:rPr>
          <w:lang w:val="en_US" w:bidi="en_US"/>
        </w:rPr>
        <w:t>in managing</w:t>
      </w:r>
      <w:r>
        <w:rPr>
          <w:lang w:val="en_US" w:bidi="en_US"/>
        </w:rPr>
        <w:t xml:space="preserve"> someone else’s possessions/things,</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are not faithful </w:t>
      </w:r>
      <w:r>
        <w:rPr>
          <w:lang w:val="en_US" w:bidi="en_US"/>
        </w:rPr>
        <w:t>in managing</w:t>
      </w:r>
      <w:r>
        <w:rPr>
          <w:lang w:val="en_US" w:bidi="en_US"/>
        </w:rPr>
        <w:t xml:space="preserve"> what </w:t>
      </w:r>
      <w:r>
        <w:rPr>
          <w:lang w:val="en_US" w:bidi="en_US"/>
        </w:rPr>
        <w:t>God</w:t>
      </w:r>
      <w:r>
        <w:rPr>
          <w:lang w:val="en_US" w:bidi="en_US"/>
        </w:rPr>
        <w:t xml:space="preserve"> has entrusted to you</w:t>
      </w:r>
      <w:r>
        <w:rPr>
          <w:vertAlign w:val="superscript"/>
          <w:lang w:val="en_US" w:bidi="en_US"/>
        </w:rPr>
        <w:t>(plur)</w:t>
      </w:r>
      <w:r>
        <w:rPr>
          <w:lang w:val="en_US" w:bidi="en_US"/>
        </w:rPr>
        <w:t xml:space="preserve"> </w:t>
      </w:r>
      <w:r>
        <w:rPr>
          <w:lang w:val="en_US" w:bidi="en_US"/>
        </w:rPr>
        <w:t>on earth</w:t>
      </w:r>
      <w:r>
        <w:rPr>
          <w:lang w:val="en_US" w:bidi="en_US"/>
        </w:rPr>
        <w:t>,</w:t>
      </w:r>
    </w:p>
    <w:p>
      <w:pPr>
        <w:pStyle w:val="Heading5"/>
      </w:pPr>
      <w:r>
        <w:rPr>
          <w:lang w:val="en_US" w:bidi="en_US"/>
        </w:rPr>
        <w:t>16:12b</w:t>
      </w:r>
    </w:p>
    <w:p>
      <w:pPr/>
      <w:r>
        <w:rPr>
          <w:lang w:val="en_US" w:bidi="en_US"/>
        </w:rPr>
      </w:r>
      <w:r>
        <w:rPr>
          <w:b/>
          <w:lang w:val="en_US" w:bidi="en_US"/>
        </w:rPr>
        <w:t>who will give you belongings of your own?</w:t>
      </w:r>
    </w:p>
    <w:p>
      <w:pPr>
        <w:pStyle w:val="ListBullet"/>
        <w:spacing w:line="240" w:lineRule="auto"/>
        <w:ind w:left="720"/>
      </w:pPr>
      <w:r>
        <w:rPr>
          <w:lang w:val="en_US" w:bidi="en_US"/>
        </w:rPr>
      </w:r>
      <w:r>
        <w:rPr>
          <w:lang w:val="en_US" w:bidi="en_US"/>
        </w:rPr>
        <w:t>who will give you</w:t>
      </w:r>
      <w:r>
        <w:rPr>
          <w:vertAlign w:val="superscript"/>
          <w:lang w:val="en_US" w:bidi="en_US"/>
        </w:rPr>
        <w:t>(plur)</w:t>
      </w:r>
      <w:r>
        <w:rPr>
          <w:lang w:val="en_US" w:bidi="en_US"/>
        </w:rPr>
        <w:t xml:space="preserve"> your own possessions?</w:t>
      </w:r>
    </w:p>
    <w:p>
      <w:pPr>
        <w:pStyle w:val="ListBullet"/>
        <w:spacing w:line="240" w:lineRule="auto"/>
        <w:ind w:left="720"/>
      </w:pPr>
      <w:r>
        <w:rPr>
          <w:lang w:val="en_US" w:bidi="en_US"/>
        </w:rPr>
      </w:r>
      <w:r>
        <w:rPr>
          <w:lang w:val="en_US" w:bidi="en_US"/>
        </w:rPr>
        <w:t xml:space="preserve">certainly </w:t>
      </w:r>
      <w:r>
        <w:rPr>
          <w:lang w:val="en_US" w:bidi="en_US"/>
        </w:rPr>
        <w:t>he</w:t>
      </w:r>
      <w:r>
        <w:rPr>
          <w:lang w:val="en_US" w:bidi="en_US"/>
        </w:rPr>
        <w:t xml:space="preserve"> will not give you</w:t>
      </w:r>
      <w:r>
        <w:rPr>
          <w:vertAlign w:val="superscript"/>
          <w:lang w:val="en_US" w:bidi="en_US"/>
        </w:rPr>
        <w:t>(plur)</w:t>
      </w:r>
      <w:r>
        <w:rPr>
          <w:lang w:val="en_US" w:bidi="en_US"/>
        </w:rPr>
        <w:t xml:space="preserve"> anything of your own </w:t>
      </w:r>
      <w:r>
        <w:rPr>
          <w:lang w:val="en_US" w:bidi="en_US"/>
        </w:rPr>
        <w:t>in heaven</w:t>
      </w:r>
      <w:r>
        <w:rPr>
          <w:lang w:val="en_US" w:bidi="en_US"/>
        </w:rPr>
        <w:t>.</w:t>
      </w:r>
    </w:p>
    <w:p>
      <w:pPr>
        <w:pStyle w:val="Heading5"/>
      </w:pPr>
      <w:r>
        <w:rPr>
          <w:lang w:val="en_US" w:bidi="en_US"/>
        </w:rPr>
        <w:t>16:12a–b</w:t>
      </w:r>
    </w:p>
    <w:p>
      <w:pPr/>
      <w:r>
        <w:rPr>
          <w:lang w:val="en_US" w:bidi="en_US"/>
        </w:rPr>
      </w:r>
      <w:r>
        <w:rPr>
          <w:b/>
          <w:lang w:val="en_US" w:bidi="en_US"/>
        </w:rPr>
        <w:t>And:</w:t>
      </w:r>
      <w:r>
        <w:rPr>
          <w:lang w:val="en_US" w:bidi="en_US"/>
        </w:rPr>
        <w:t xml:space="preserve"> The Greek pronoun that the BSB translates as </w:t>
      </w:r>
      <w:r>
        <w:rPr>
          <w:i/>
          <w:lang w:val="en_US" w:bidi="en_US"/>
        </w:rPr>
        <w:t>And</w:t>
      </w:r>
      <w:r>
        <w:rPr>
          <w:lang w:val="en_US" w:bidi="en_US"/>
        </w:rPr>
        <w:t xml:space="preserve"> introduces a second application of the parable. It may be another way to express the same truth as in 16:10.</w:t>
      </w:r>
    </w:p>
    <w:p>
      <w:pPr/>
      <w:r>
        <w:rPr>
          <w:lang w:val="en_US" w:bidi="en_US"/>
        </w:rPr>
      </w:r>
      <w:r>
        <w:rPr>
          <w:b/>
          <w:lang w:val="en_US" w:bidi="en_US"/>
        </w:rPr>
        <w:t>if you have not been faithful with the belongings of another, who will give you belongings of your own?:</w:t>
      </w:r>
      <w:r>
        <w:rPr>
          <w:lang w:val="en_US" w:bidi="en_US"/>
        </w:rPr>
        <w:t xml:space="preserve"> This is a rhetorical question. Jesus used this question to emphasize a principle to his disciples. He taught them that no one will give them anything of their own to manage if they have not been trustworthy/faithful in managing things that belong to someone else. The context implies that God is the one who will not give them things of their own to manage.</w:t>
      </w:r>
    </w:p>
    <w:p>
      <w:pPr/>
      <w:r>
        <w:rPr>
          <w:lang w:val="en_US" w:bidi="en_US"/>
        </w:rPr>
      </w:r>
      <w:r>
        <w:rPr>
          <w:lang w:val="en_US" w:bidi="en_US"/>
        </w:rPr>
        <w:t>Other ways to express this emphasis are:</w:t>
      </w:r>
    </w:p>
    <w:p>
      <w:pPr>
        <w:pStyle w:val="ListBullet"/>
        <w:spacing w:line="240" w:lineRule="auto"/>
        <w:ind w:left="720"/>
      </w:pPr>
      <w:r>
        <w:rPr>
          <w:lang w:val="en_US" w:bidi="en_US"/>
        </w:rPr>
      </w:r>
      <w:r>
        <w:rPr>
          <w:lang w:val="en_US" w:bidi="en_US"/>
        </w:rPr>
        <w:t>As a rhetorical question. For example:</w:t>
      </w:r>
      <w:r>
        <w:rPr>
          <w:lang w:val="en_US" w:bidi="en_US"/>
        </w:rPr>
        <w:t>And if you have not been faithful with what belongs to another, who will give you what is your own? (NRSV)</w:t>
      </w:r>
      <w:r>
        <w:rPr>
          <w:lang w:val="en_US" w:bidi="en_US"/>
        </w:rPr>
        <w:t>If you</w:t>
      </w:r>
      <w:r>
        <w:rPr>
          <w:vertAlign w:val="superscript"/>
          <w:lang w:val="en_US" w:bidi="en_US"/>
        </w:rPr>
        <w:t>(plur)</w:t>
      </w:r>
      <w:r>
        <w:rPr>
          <w:lang w:val="en_US" w:bidi="en_US"/>
        </w:rPr>
        <w:t xml:space="preserve"> have not faithfully managed someone else’s possessions </w:t>
      </w:r>
      <w:r>
        <w:rPr>
          <w:lang w:val="en_US" w:bidi="en_US"/>
        </w:rPr>
        <w:t>here in this world</w:t>
      </w:r>
      <w:r>
        <w:rPr>
          <w:lang w:val="en_US" w:bidi="en_US"/>
        </w:rPr>
        <w:t xml:space="preserve">, why should </w:t>
      </w:r>
      <w:r>
        <w:rPr>
          <w:lang w:val="en_US" w:bidi="en_US"/>
        </w:rPr>
        <w:t>God</w:t>
      </w:r>
      <w:r>
        <w:rPr>
          <w:lang w:val="en_US" w:bidi="en_US"/>
        </w:rPr>
        <w:t xml:space="preserve"> entrust to you your own possessions </w:t>
      </w:r>
      <w:r>
        <w:rPr>
          <w:lang w:val="en_US" w:bidi="en_US"/>
        </w:rPr>
        <w:t>in the future world</w:t>
      </w:r>
      <w:r>
        <w:rPr>
          <w:lang w:val="en_US" w:bidi="en_US"/>
        </w:rPr>
        <w:t>?</w:t>
      </w:r>
    </w:p>
    <w:p>
      <w:pPr>
        <w:pStyle w:val="ListBullet"/>
        <w:spacing w:line="240" w:lineRule="auto"/>
        <w:ind w:left="720"/>
      </w:pPr>
      <w:r>
        <w:rPr>
          <w:lang w:val="en_US" w:bidi="en_US"/>
        </w:rPr>
      </w:r>
      <w:r>
        <w:rPr>
          <w:lang w:val="en_US" w:bidi="en_US"/>
        </w:rPr>
        <w:t>As an emphatic statement. For example:</w:t>
      </w:r>
      <w:r>
        <w:rPr>
          <w:lang w:val="en_US" w:bidi="en_US"/>
        </w:rPr>
        <w:t>If you</w:t>
      </w:r>
      <w:r>
        <w:rPr>
          <w:vertAlign w:val="superscript"/>
          <w:lang w:val="en_US" w:bidi="en_US"/>
        </w:rPr>
        <w:t>(plur)</w:t>
      </w:r>
      <w:r>
        <w:rPr>
          <w:lang w:val="en_US" w:bidi="en_US"/>
        </w:rPr>
        <w:t xml:space="preserve"> have not been trustworthy with what belongs to someone else, </w:t>
      </w:r>
      <w:r>
        <w:rPr>
          <w:lang w:val="en_US" w:bidi="en_US"/>
        </w:rPr>
        <w:t>God</w:t>
      </w:r>
      <w:r>
        <w:rPr>
          <w:lang w:val="en_US" w:bidi="en_US"/>
        </w:rPr>
        <w:t xml:space="preserve"> will certainly not give you what is your own.</w:t>
      </w:r>
    </w:p>
    <w:p>
      <w:pPr/>
      <w:r>
        <w:rPr>
          <w:lang w:val="en_US" w:bidi="en_US"/>
        </w:rPr>
      </w:r>
      <w:r>
        <w:rPr>
          <w:lang w:val="en_US" w:bidi="en_US"/>
        </w:rPr>
        <w:t>Translate this emphasis in a way that is natural in your language.</w:t>
      </w:r>
    </w:p>
    <w:p>
      <w:pPr/>
      <w:r>
        <w:rPr>
          <w:lang w:val="en_US" w:bidi="en_US"/>
        </w:rPr>
      </w:r>
      <w:r>
        <w:rPr>
          <w:b/>
          <w:lang w:val="en_US" w:bidi="en_US"/>
        </w:rPr>
        <w:t>belongings:</w:t>
      </w:r>
      <w:r>
        <w:rPr>
          <w:lang w:val="en_US" w:bidi="en_US"/>
        </w:rPr>
        <w:t xml:space="preserve"> The BSB has supplied the word </w:t>
      </w:r>
      <w:r>
        <w:rPr>
          <w:i/>
          <w:lang w:val="en_US" w:bidi="en_US"/>
        </w:rPr>
        <w:t>belongings</w:t>
      </w:r>
      <w:r>
        <w:rPr>
          <w:lang w:val="en_US" w:bidi="en_US"/>
        </w:rPr>
        <w:t xml:space="preserve"> in both verse parts. It refers to something that belongs to someone else. Other words that versions supply are:</w:t>
      </w:r>
    </w:p>
    <w:p>
      <w:pPr/>
      <w:r>
        <w:rPr>
          <w:lang w:val="en_US" w:bidi="en_US"/>
        </w:rPr>
      </w:r>
      <w:r>
        <w:rPr>
          <w:lang w:val="en_US" w:bidi="en_US"/>
        </w:rPr>
        <w:t>property (NIV)</w:t>
      </w:r>
    </w:p>
    <w:p>
      <w:pPr/>
      <w:r>
        <w:rPr>
          <w:lang w:val="en_US" w:bidi="en_US"/>
        </w:rPr>
      </w:r>
      <w:r>
        <w:rPr>
          <w:lang w:val="en_US" w:bidi="en_US"/>
        </w:rPr>
        <w:t>things (NCV)</w:t>
      </w:r>
    </w:p>
    <w:p>
      <w:pPr/>
      <w:r>
        <w:rPr>
          <w:lang w:val="en_US" w:bidi="en_US"/>
        </w:rPr>
      </w:r>
      <w:r>
        <w:rPr>
          <w:lang w:val="en_US" w:bidi="en_US"/>
        </w:rPr>
        <w:t>Some scholars have suggested that Jesus was referring to everything that God has entrusted to people in this world, including life itself. Since Jesus did not say exactly what he was thinking of, you should translate in a general way that will allow various possibilities.</w:t>
      </w:r>
      <w:r>
        <w:rPr>
          <w:lang w:val="en_US" w:bidi="en_US"/>
        </w:rPr>
      </w:r>
      <w:r>
        <w:rPr>
          <w:lang w:val="en_US" w:bidi="en_US"/>
        </w:rPr>
      </w:r>
    </w:p>
    <w:p>
      <w:pPr/>
      <w:r>
        <w:rPr>
          <w:lang w:val="en_US" w:bidi="en_US"/>
        </w:rPr>
      </w:r>
    </w:p>
    <w:p>
      <w:pPr>
        <w:pStyle w:val="Heading2"/>
      </w:pPr>
      <w:r>
        <w:rPr>
          <w:lang w:val="en_US" w:bidi="en_US"/>
        </w:rPr>
        <w:t>Luke 16:13</w:t>
      </w:r>
      <w:r>
        <w:rPr>
          <w:lang w:val="en_US" w:bidi="en_US"/>
        </w:rPr>
      </w:r>
    </w:p>
    <w:p>
      <w:pPr>
        <w:pStyle w:val="Heading4"/>
      </w:pPr>
      <w:r>
        <w:rPr>
          <w:lang w:val="en_US" w:bidi="en_US"/>
        </w:rPr>
        <w:t>Section 16:1–13: Jesus told a parable about a dishonest manager who acted wisely</w:t>
      </w:r>
    </w:p>
    <w:p>
      <w:pPr/>
      <w:r>
        <w:rPr>
          <w:lang w:val="en_US" w:bidi="en_US"/>
        </w:rPr>
      </w:r>
      <w:r>
        <w:rPr>
          <w:lang w:val="en_US" w:bidi="en_US"/>
        </w:rPr>
        <w:t>In the main part of this section, 16:1–8b, Jesus told a parable that appears only in Luke. In this parable a rich man had hired a man to manage his money and possessions for him. The manager was dishonest in his work, so the rich man said that he could not continue to be his manager. But before the manager left this work, he used his position and money to cause other people to like him. He did this so that they would help him when he no longer had an income.</w:t>
      </w:r>
    </w:p>
    <w:p>
      <w:pPr/>
      <w:r>
        <w:rPr>
          <w:lang w:val="en_US" w:bidi="en_US"/>
        </w:rPr>
      </w:r>
      <w:r>
        <w:rPr>
          <w:lang w:val="en_US" w:bidi="en_US"/>
        </w:rPr>
        <w:t>The main point of this parable is that the manager knew how to use money to make things better for his own future. In this way he was a good example for Jesus’ disciples. The parable does not mean that Jesus approved of the manager’s dishonesty.</w:t>
      </w:r>
    </w:p>
    <w:p>
      <w:pPr/>
      <w:r>
        <w:rPr>
          <w:lang w:val="en_US" w:bidi="en_US"/>
        </w:rPr>
      </w:r>
      <w:r>
        <w:rPr>
          <w:lang w:val="en_US" w:bidi="en_US"/>
        </w:rPr>
        <w:t>In 16:8c–16:9 Jesus commented on the parable and applied it to his disciples. In 16:10–13 he gave other teachings about the proper use of wealth.</w:t>
      </w:r>
    </w:p>
    <w:p>
      <w:pPr/>
      <w:r>
        <w:rPr>
          <w:lang w:val="en_US" w:bidi="en_US"/>
        </w:rPr>
      </w:r>
      <w:r>
        <w:rPr>
          <w:lang w:val="en_US" w:bidi="en_US"/>
        </w:rPr>
        <w:t>Other possible headings for this section are:</w:t>
      </w:r>
    </w:p>
    <w:p>
      <w:pPr/>
      <w:r>
        <w:rPr>
          <w:lang w:val="en_US" w:bidi="en_US"/>
        </w:rPr>
      </w:r>
      <w:r>
        <w:rPr>
          <w:lang w:val="en_US" w:bidi="en_US"/>
        </w:rPr>
        <w:t>The Parable of the Shrewd Manager (NIV)</w:t>
      </w:r>
    </w:p>
    <w:p>
      <w:pPr/>
      <w:r>
        <w:rPr>
          <w:lang w:val="en_US" w:bidi="en_US"/>
        </w:rPr>
      </w:r>
      <w:r>
        <w:rPr>
          <w:lang w:val="en_US" w:bidi="en_US"/>
        </w:rPr>
        <w:t>The dishonest man who was in charge of a rich man’s wealth</w:t>
      </w:r>
    </w:p>
    <w:p>
      <w:pPr>
        <w:pStyle w:val="Heading5"/>
      </w:pPr>
      <w:r>
        <w:rPr>
          <w:lang w:val="en_US" w:bidi="en_US"/>
        </w:rPr>
        <w:t>16:13</w:t>
      </w:r>
    </w:p>
    <w:p>
      <w:pPr/>
      <w:r>
        <w:rPr>
          <w:lang w:val="en_US" w:bidi="en_US"/>
        </w:rPr>
      </w:r>
      <w:r>
        <w:rPr>
          <w:lang w:val="en_US" w:bidi="en_US"/>
        </w:rPr>
        <w:t>This verse is almost exactly the same as Matthew 6:24. Jesus compared those who wanted to be his disciples to servants or slaves. He warned them that if they love money so that it controls what they do and say and think, then they do not truly love God. The opposite is also true: if they love God so that he controls them, then they do not also love money. They must choose between the two.</w:t>
      </w:r>
    </w:p>
    <w:p>
      <w:pPr>
        <w:pStyle w:val="Heading5"/>
      </w:pPr>
      <w:r>
        <w:rPr>
          <w:lang w:val="en_US" w:bidi="en_US"/>
        </w:rPr>
        <w:t>16:13a</w:t>
      </w:r>
    </w:p>
    <w:p>
      <w:pPr/>
      <w:r>
        <w:rPr>
          <w:lang w:val="en_US" w:bidi="en_US"/>
        </w:rPr>
      </w:r>
      <w:r>
        <w:rPr>
          <w:b/>
          <w:lang w:val="en_US" w:bidi="en_US"/>
        </w:rPr>
        <w:t>No servant can serve two masters.</w:t>
      </w:r>
    </w:p>
    <w:p>
      <w:pPr>
        <w:pStyle w:val="ListBullet"/>
        <w:spacing w:line="240" w:lineRule="auto"/>
        <w:ind w:left="720"/>
      </w:pPr>
      <w:r>
        <w:rPr>
          <w:lang w:val="en_US" w:bidi="en_US"/>
        </w:rPr>
      </w:r>
      <w:r>
        <w:rPr>
          <w:lang w:val="en_US" w:bidi="en_US"/>
        </w:rPr>
        <w:t xml:space="preserve">No one can </w:t>
      </w:r>
      <w:r>
        <w:rPr>
          <w:lang w:val="en_US" w:bidi="en_US"/>
        </w:rPr>
        <w:t>wholeheartedly/properly</w:t>
      </w:r>
      <w:r>
        <w:rPr>
          <w:lang w:val="en_US" w:bidi="en_US"/>
        </w:rPr>
        <w:t xml:space="preserve"> serve as a slave to two masters.</w:t>
      </w:r>
    </w:p>
    <w:p>
      <w:pPr>
        <w:pStyle w:val="ListBullet"/>
        <w:spacing w:line="240" w:lineRule="auto"/>
        <w:ind w:left="720"/>
      </w:pPr>
      <w:r>
        <w:rPr>
          <w:lang w:val="en_US" w:bidi="en_US"/>
        </w:rPr>
      </w:r>
      <w:r>
        <w:rPr>
          <w:lang w:val="en_US" w:bidi="en_US"/>
        </w:rPr>
        <w:t xml:space="preserve">It is not possible for a person to become the slave of two men </w:t>
      </w:r>
      <w:r>
        <w:rPr>
          <w:lang w:val="en_US" w:bidi="en_US"/>
        </w:rPr>
        <w:t>at the same time</w:t>
      </w:r>
      <w:r>
        <w:rPr>
          <w:lang w:val="en_US" w:bidi="en_US"/>
        </w:rPr>
        <w:t>.</w:t>
      </w:r>
    </w:p>
    <w:p>
      <w:pPr/>
      <w:r>
        <w:rPr>
          <w:lang w:val="en_US" w:bidi="en_US"/>
        </w:rPr>
      </w:r>
      <w:r>
        <w:rPr>
          <w:b/>
          <w:lang w:val="en_US" w:bidi="en_US"/>
        </w:rPr>
        <w:t>No servant can serve two masters:</w:t>
      </w:r>
      <w:r>
        <w:rPr>
          <w:lang w:val="en_US" w:bidi="en_US"/>
        </w:rPr>
        <w:t xml:space="preserve"> The phrase </w:t>
      </w:r>
      <w:r>
        <w:rPr>
          <w:i/>
          <w:lang w:val="en_US" w:bidi="en_US"/>
        </w:rPr>
        <w:t>No servant can serve two masters</w:t>
      </w:r>
      <w:r>
        <w:rPr>
          <w:lang w:val="en_US" w:bidi="en_US"/>
        </w:rPr>
        <w:t xml:space="preserve"> implies that no one can serve as a slave to two masters or owners at the same time with the same degree of loyalty.</w:t>
      </w:r>
      <w:r>
        <w:rPr>
          <w:lang w:val="en_US" w:bidi="en_US"/>
        </w:rPr>
        <w:t>According to Marshall (p. 624), it was certainly possible for a person in Jesus’ time to be a slave to more than one master. What this verse is talking about is the impossibility of serving more than one master simultaneously with complete and undivided loyalty.</w:t>
      </w:r>
      <w:r>
        <w:rPr>
          <w:lang w:val="en_US" w:bidi="en_US"/>
        </w:rPr>
        <w:t xml:space="preserve"> Consider whether it is necessary to make some of this information explicit in the text. For example:</w:t>
      </w:r>
    </w:p>
    <w:p>
      <w:pPr/>
      <w:r>
        <w:rPr>
          <w:lang w:val="en_US" w:bidi="en_US"/>
        </w:rPr>
      </w:r>
      <w:r>
        <w:rPr>
          <w:lang w:val="en_US" w:bidi="en_US"/>
        </w:rPr>
        <w:t xml:space="preserve">It is not possible for a slave </w:t>
      </w:r>
      <w:r>
        <w:rPr>
          <w:lang w:val="en_US" w:bidi="en_US"/>
        </w:rPr>
        <w:t>properly</w:t>
      </w:r>
      <w:r>
        <w:rPr>
          <w:lang w:val="en_US" w:bidi="en_US"/>
        </w:rPr>
        <w:t xml:space="preserve"> to serve two masters </w:t>
      </w:r>
      <w:r>
        <w:rPr>
          <w:lang w:val="en_US" w:bidi="en_US"/>
        </w:rPr>
        <w:t>at the same time</w:t>
      </w:r>
      <w:r>
        <w:rPr>
          <w:lang w:val="en_US" w:bidi="en_US"/>
        </w:rPr>
        <w:t>.</w:t>
      </w:r>
    </w:p>
    <w:p>
      <w:pPr/>
      <w:r>
        <w:rPr>
          <w:lang w:val="en_US" w:bidi="en_US"/>
        </w:rPr>
      </w:r>
      <w:r>
        <w:rPr>
          <w:lang w:val="en_US" w:bidi="en_US"/>
        </w:rPr>
        <w:t xml:space="preserve">In some languages it may be redundant to have words such as </w:t>
      </w:r>
      <w:r>
        <w:rPr>
          <w:i/>
          <w:lang w:val="en_US" w:bidi="en_US"/>
        </w:rPr>
        <w:t>servant</w:t>
      </w:r>
      <w:r>
        <w:rPr>
          <w:lang w:val="en_US" w:bidi="en_US"/>
        </w:rPr>
        <w:t xml:space="preserve">, </w:t>
      </w:r>
      <w:r>
        <w:rPr>
          <w:i/>
          <w:lang w:val="en_US" w:bidi="en_US"/>
        </w:rPr>
        <w:t>serve</w:t>
      </w:r>
      <w:r>
        <w:rPr>
          <w:lang w:val="en_US" w:bidi="en_US"/>
        </w:rPr>
        <w:t xml:space="preserve">, and </w:t>
      </w:r>
      <w:r>
        <w:rPr>
          <w:i/>
          <w:lang w:val="en_US" w:bidi="en_US"/>
        </w:rPr>
        <w:t>masters</w:t>
      </w:r>
      <w:r>
        <w:rPr>
          <w:lang w:val="en_US" w:bidi="en_US"/>
        </w:rPr>
        <w:t xml:space="preserve"> in the same sentence. If your language has a natural way to express this idea with less redundancy, you may use it here. For example:</w:t>
      </w:r>
    </w:p>
    <w:p>
      <w:pPr/>
      <w:r>
        <w:rPr>
          <w:lang w:val="en_US" w:bidi="en_US"/>
        </w:rPr>
      </w:r>
      <w:r>
        <w:rPr>
          <w:lang w:val="en_US" w:bidi="en_US"/>
        </w:rPr>
        <w:t>A slave cannot have two masters</w:t>
      </w:r>
    </w:p>
    <w:p>
      <w:pPr/>
      <w:r>
        <w:rPr>
          <w:lang w:val="en_US" w:bidi="en_US"/>
        </w:rPr>
      </w:r>
      <w:r>
        <w:rPr>
          <w:lang w:val="en_US" w:bidi="en_US"/>
        </w:rPr>
        <w:t>A person cannot make himself the slave of two men</w:t>
      </w:r>
    </w:p>
    <w:p>
      <w:pPr/>
      <w:r>
        <w:rPr>
          <w:lang w:val="en_US" w:bidi="en_US"/>
        </w:rPr>
      </w:r>
      <w:r>
        <w:rPr>
          <w:b/>
          <w:lang w:val="en_US" w:bidi="en_US"/>
        </w:rPr>
        <w:t>servant:</w:t>
      </w:r>
      <w:r>
        <w:rPr>
          <w:lang w:val="en_US" w:bidi="en_US"/>
        </w:rPr>
        <w:t xml:space="preserve"> The Greek word that the BSB translates as </w:t>
      </w:r>
      <w:r>
        <w:rPr>
          <w:i/>
          <w:lang w:val="en_US" w:bidi="en_US"/>
        </w:rPr>
        <w:t>servant</w:t>
      </w:r>
      <w:r>
        <w:rPr>
          <w:lang w:val="en_US" w:bidi="en_US"/>
        </w:rPr>
        <w:t xml:space="preserve"> refers here to a household or personal servant. In Jesus’ time these household servants were usually slaves rather than free, employed workers. The word </w:t>
      </w:r>
      <w:r>
        <w:rPr>
          <w:i/>
          <w:lang w:val="en_US" w:bidi="en_US"/>
        </w:rPr>
        <w:t>servant</w:t>
      </w:r>
      <w:r>
        <w:rPr>
          <w:lang w:val="en_US" w:bidi="en_US"/>
        </w:rPr>
        <w:t xml:space="preserve"> that is used in this verse is a different Greek word than the word translated as “servants” in 12:37a. It is also different from the words translated as “menservants” and “maidservants” in 12:45c. But in this context the meaning is almost the same.</w:t>
      </w:r>
      <w:r>
        <w:rPr>
          <w:lang w:val="en_US" w:bidi="en_US"/>
        </w:rPr>
        <w:t xml:space="preserve">The three words that the BSB translates as “servant” in Luke have slightly different ranges and nuances of meaning. The word </w:t>
      </w:r>
      <w:r>
        <w:rPr>
          <w:i/>
          <w:lang w:val="en_US" w:bidi="en_US"/>
        </w:rPr>
        <w:t>doulos</w:t>
      </w:r>
      <w:r>
        <w:rPr>
          <w:lang w:val="en_US" w:bidi="en_US"/>
        </w:rPr>
        <w:t xml:space="preserve"> used in 12:37a is the most general word for servant/slave and perhaps focuses on the idea of being owned by a master. The word </w:t>
      </w:r>
      <w:r>
        <w:rPr>
          <w:i/>
          <w:lang w:val="en_US" w:bidi="en_US"/>
        </w:rPr>
        <w:t>pais</w:t>
      </w:r>
      <w:r>
        <w:rPr>
          <w:lang w:val="en_US" w:bidi="en_US"/>
        </w:rPr>
        <w:t xml:space="preserve"> used in 12:45c refers more specifically to a household servant/slave. In some contexts it can refer to a child. The word </w:t>
      </w:r>
      <w:r>
        <w:rPr>
          <w:i/>
          <w:lang w:val="en_US" w:bidi="en_US"/>
        </w:rPr>
        <w:t>oiketēs</w:t>
      </w:r>
      <w:r>
        <w:rPr>
          <w:lang w:val="en_US" w:bidi="en_US"/>
        </w:rPr>
        <w:t xml:space="preserve"> here refers specifically to a household servant/slave (Louw &amp; Nida, p. 561; BDAG, p. 694).</w:t>
      </w:r>
    </w:p>
    <w:p>
      <w:pPr>
        <w:pStyle w:val="Heading5"/>
      </w:pPr>
      <w:r>
        <w:rPr>
          <w:lang w:val="en_US" w:bidi="en_US"/>
        </w:rPr>
        <w:t>16:13b–c</w:t>
      </w:r>
    </w:p>
    <w:p>
      <w:pPr/>
      <w:r>
        <w:rPr>
          <w:lang w:val="en_US" w:bidi="en_US"/>
        </w:rPr>
      </w:r>
      <w:r>
        <w:rPr>
          <w:b/>
          <w:lang w:val="en_US" w:bidi="en_US"/>
        </w:rPr>
        <w:t>Either…or:</w:t>
      </w:r>
      <w:r>
        <w:rPr>
          <w:lang w:val="en_US" w:bidi="en_US"/>
        </w:rPr>
        <w:t xml:space="preserve"> These two verse parts contain parallel ideas with similar meanings. The word </w:t>
      </w:r>
      <w:r>
        <w:rPr>
          <w:i/>
          <w:lang w:val="en_US" w:bidi="en_US"/>
        </w:rPr>
        <w:t>Either</w:t>
      </w:r>
      <w:r>
        <w:rPr>
          <w:lang w:val="en_US" w:bidi="en_US"/>
        </w:rPr>
        <w:t xml:space="preserve"> in 16:13b introduces the contrasting attitudes (“hate” and “love”) of a servant who was trying to serve two masters. The word </w:t>
      </w:r>
      <w:r>
        <w:rPr>
          <w:i/>
          <w:lang w:val="en_US" w:bidi="en_US"/>
        </w:rPr>
        <w:t>or</w:t>
      </w:r>
      <w:r>
        <w:rPr>
          <w:lang w:val="en_US" w:bidi="en_US"/>
        </w:rPr>
        <w:t xml:space="preserve"> in 16:13c introduces a parallel set of contrasting attitudes (“be devoted” and “despise”). These two pairs of attitudes are parallel ideas that function together to produce emphasis and poetic effect.</w:t>
      </w:r>
    </w:p>
    <w:p>
      <w:pPr/>
      <w:r>
        <w:rPr>
          <w:lang w:val="en_US" w:bidi="en_US"/>
        </w:rPr>
      </w:r>
      <w:r>
        <w:rPr>
          <w:lang w:val="en_US" w:bidi="en_US"/>
        </w:rPr>
        <w:t>If an “either…or” construction wrongly implies that a servant must choose either one set of attitudes or the other, you will need to translate these lines differently. Some other translation options are:</w:t>
      </w:r>
    </w:p>
    <w:p>
      <w:pPr>
        <w:pStyle w:val="ListBullet"/>
        <w:spacing w:line="240" w:lineRule="auto"/>
        <w:ind w:left="720"/>
      </w:pPr>
      <w:r>
        <w:rPr>
          <w:lang w:val="en_US" w:bidi="en_US"/>
        </w:rPr>
      </w:r>
      <w:r>
        <w:rPr>
          <w:lang w:val="en_US" w:bidi="en_US"/>
        </w:rPr>
        <w:t>Use a word like “also,” rather than “either/or.” For example:</w:t>
      </w:r>
      <w:r>
        <w:rPr>
          <w:lang w:val="en_US" w:bidi="en_US"/>
        </w:rPr>
        <w:t>He may hate one master and love the other. He may also be devoted to one master and despise the other.</w:t>
      </w:r>
    </w:p>
    <w:p>
      <w:pPr>
        <w:pStyle w:val="ListBullet"/>
        <w:spacing w:line="240" w:lineRule="auto"/>
        <w:ind w:left="720"/>
      </w:pPr>
      <w:r>
        <w:rPr>
          <w:lang w:val="en_US" w:bidi="en_US"/>
        </w:rPr>
      </w:r>
      <w:r>
        <w:rPr>
          <w:lang w:val="en_US" w:bidi="en_US"/>
        </w:rPr>
        <w:t>Put “hate” and “despise” in one statement, and “love” and “be devoted to” in the other statement. For example:</w:t>
      </w:r>
      <w:r>
        <w:rPr>
          <w:lang w:val="en_US" w:bidi="en_US"/>
        </w:rPr>
        <w:t>He will hate and despise one master, and he will love and be devoted to the other master.</w:t>
      </w:r>
    </w:p>
    <w:p>
      <w:pPr>
        <w:pStyle w:val="ListBullet"/>
        <w:spacing w:line="240" w:lineRule="auto"/>
        <w:ind w:left="720"/>
      </w:pPr>
      <w:r>
        <w:rPr>
          <w:lang w:val="en_US" w:bidi="en_US"/>
        </w:rPr>
      </w:r>
      <w:r>
        <w:rPr>
          <w:lang w:val="en_US" w:bidi="en_US"/>
        </w:rPr>
        <w:t>Use a comparison. For example:</w:t>
      </w:r>
      <w:r>
        <w:rPr>
          <w:lang w:val="en_US" w:bidi="en_US"/>
        </w:rPr>
        <w:t>He will be more loving and devoted to one master than to the other.</w:t>
      </w:r>
    </w:p>
    <w:p>
      <w:pPr/>
      <w:r>
        <w:rPr>
          <w:lang w:val="en_US" w:bidi="en_US"/>
        </w:rPr>
      </w:r>
      <w:r>
        <w:rPr>
          <w:lang w:val="en_US" w:bidi="en_US"/>
        </w:rPr>
        <w:t>See the note in 16:13b on “hate…love.”</w:t>
      </w:r>
    </w:p>
    <w:p>
      <w:pPr>
        <w:pStyle w:val="Heading5"/>
      </w:pPr>
      <w:r>
        <w:rPr>
          <w:lang w:val="en_US" w:bidi="en_US"/>
        </w:rPr>
        <w:t>16:13b</w:t>
      </w:r>
    </w:p>
    <w:p>
      <w:pPr/>
      <w:r>
        <w:rPr>
          <w:lang w:val="en_US" w:bidi="en_US"/>
        </w:rPr>
      </w:r>
      <w:r>
        <w:rPr>
          <w:b/>
          <w:lang w:val="en_US" w:bidi="en_US"/>
        </w:rPr>
        <w:t>Either he will hate the one and love the other,</w:t>
      </w:r>
    </w:p>
    <w:p>
      <w:pPr>
        <w:pStyle w:val="ListBullet"/>
        <w:spacing w:line="240" w:lineRule="auto"/>
        <w:ind w:left="720"/>
      </w:pPr>
      <w:r>
        <w:rPr>
          <w:lang w:val="en_US" w:bidi="en_US"/>
        </w:rPr>
      </w:r>
      <w:r>
        <w:rPr>
          <w:lang w:val="en_US" w:bidi="en_US"/>
        </w:rPr>
        <w:t>If he tries to do that,</w:t>
      </w:r>
      <w:r>
        <w:rPr>
          <w:lang w:val="en_US" w:bidi="en_US"/>
        </w:rPr>
        <w:t xml:space="preserve"> he will hate one </w:t>
      </w:r>
      <w:r>
        <w:rPr>
          <w:lang w:val="en_US" w:bidi="en_US"/>
        </w:rPr>
        <w:t>master</w:t>
      </w:r>
      <w:r>
        <w:rPr>
          <w:lang w:val="en_US" w:bidi="en_US"/>
        </w:rPr>
        <w:t xml:space="preserve"> and love the other </w:t>
      </w:r>
      <w:r>
        <w:rPr>
          <w:lang w:val="en_US" w:bidi="en_US"/>
        </w:rPr>
        <w:t>master</w:t>
      </w:r>
      <w:r>
        <w:rPr>
          <w:lang w:val="en_US" w:bidi="en_US"/>
        </w:rPr>
        <w:t>,</w:t>
      </w:r>
    </w:p>
    <w:p>
      <w:pPr>
        <w:pStyle w:val="ListBullet"/>
        <w:spacing w:line="240" w:lineRule="auto"/>
        <w:ind w:left="720"/>
      </w:pPr>
      <w:r>
        <w:rPr>
          <w:lang w:val="en_US" w:bidi="en_US"/>
        </w:rPr>
      </w:r>
      <w:r>
        <w:rPr>
          <w:lang w:val="en_US" w:bidi="en_US"/>
        </w:rPr>
        <w:t xml:space="preserve">For </w:t>
      </w:r>
      <w:r>
        <w:rPr>
          <w:lang w:val="en_US" w:bidi="en_US"/>
        </w:rPr>
        <w:t>if he did have two masters,</w:t>
      </w:r>
      <w:r>
        <w:rPr>
          <w:lang w:val="en_US" w:bidi="en_US"/>
        </w:rPr>
        <w:t xml:space="preserve"> he would love one </w:t>
      </w:r>
      <w:r>
        <w:rPr>
          <w:lang w:val="en_US" w:bidi="en_US"/>
        </w:rPr>
        <w:t>master</w:t>
      </w:r>
      <w:r>
        <w:rPr>
          <w:lang w:val="en_US" w:bidi="en_US"/>
        </w:rPr>
        <w:t xml:space="preserve"> more than the other.</w:t>
      </w:r>
    </w:p>
    <w:p>
      <w:pPr/>
      <w:r>
        <w:rPr>
          <w:lang w:val="en_US" w:bidi="en_US"/>
        </w:rPr>
      </w:r>
      <w:r>
        <w:rPr>
          <w:lang w:val="en_US" w:bidi="en_US"/>
        </w:rPr>
        <w:t>In Greek, this verse part begins with a conjunction that most English versions translate as “for.” This conjunction introduces the reason why a slave cannot serve two masters. The BSB makes this conjunction implicit. Use a natural way in your language to introduce a reason.</w:t>
      </w:r>
    </w:p>
    <w:p>
      <w:pPr/>
      <w:r>
        <w:rPr>
          <w:lang w:val="en_US" w:bidi="en_US"/>
        </w:rPr>
      </w:r>
      <w:r>
        <w:rPr>
          <w:b/>
          <w:lang w:val="en_US" w:bidi="en_US"/>
        </w:rPr>
        <w:t>he will hate the one and love the other:</w:t>
      </w:r>
      <w:r>
        <w:rPr>
          <w:lang w:val="en_US" w:bidi="en_US"/>
        </w:rPr>
        <w:t xml:space="preserve"> This clause implies a situation in which a slave tries to serve two masters at the same time. In some languages, this information may need to be made explicit. For example:</w:t>
      </w:r>
    </w:p>
    <w:p>
      <w:pPr/>
      <w:r>
        <w:rPr>
          <w:lang w:val="en_US" w:bidi="en_US"/>
        </w:rPr>
      </w:r>
      <w:r>
        <w:rPr>
          <w:lang w:val="en_US" w:bidi="en_US"/>
        </w:rPr>
        <w:t>if he tries to do that… (TRT)</w:t>
      </w:r>
    </w:p>
    <w:p>
      <w:pPr/>
      <w:r>
        <w:rPr>
          <w:lang w:val="en_US" w:bidi="en_US"/>
        </w:rPr>
      </w:r>
      <w:r>
        <w:rPr>
          <w:lang w:val="en_US" w:bidi="en_US"/>
        </w:rPr>
        <w:t>if he did have two masters… (TRT)</w:t>
      </w:r>
    </w:p>
    <w:p>
      <w:pPr/>
      <w:r>
        <w:rPr>
          <w:lang w:val="en_US" w:bidi="en_US"/>
        </w:rPr>
      </w:r>
      <w:r>
        <w:rPr>
          <w:b/>
          <w:lang w:val="en_US" w:bidi="en_US"/>
        </w:rPr>
        <w:t>hate…love:</w:t>
      </w:r>
      <w:r>
        <w:rPr>
          <w:lang w:val="en_US" w:bidi="en_US"/>
        </w:rPr>
        <w:t xml:space="preserve"> Jesus probably used these strong opposites here in a comparative sense. By comparison with a slave’s feeling of love for one master, his feeling for the second master would seem like hatred. One way to translate this as a comparative is:</w:t>
      </w:r>
    </w:p>
    <w:p>
      <w:pPr/>
      <w:r>
        <w:rPr>
          <w:lang w:val="en_US" w:bidi="en_US"/>
        </w:rPr>
      </w:r>
      <w:r>
        <w:rPr>
          <w:lang w:val="en_US" w:bidi="en_US"/>
        </w:rPr>
        <w:t>he will love one master more than the other</w:t>
      </w:r>
    </w:p>
    <w:p>
      <w:pPr/>
      <w:r>
        <w:rPr>
          <w:lang w:val="en_US" w:bidi="en_US"/>
        </w:rPr>
      </w:r>
      <w:r>
        <w:rPr>
          <w:lang w:val="en_US" w:bidi="en_US"/>
        </w:rPr>
        <w:t xml:space="preserve">Consider whether it will be more effective to use the absolute terms </w:t>
      </w:r>
      <w:r>
        <w:rPr>
          <w:i/>
          <w:lang w:val="en_US" w:bidi="en_US"/>
        </w:rPr>
        <w:t>hate</w:t>
      </w:r>
      <w:r>
        <w:rPr>
          <w:lang w:val="en_US" w:bidi="en_US"/>
        </w:rPr>
        <w:t xml:space="preserve"> and </w:t>
      </w:r>
      <w:r>
        <w:rPr>
          <w:i/>
          <w:lang w:val="en_US" w:bidi="en_US"/>
        </w:rPr>
        <w:t>love</w:t>
      </w:r>
      <w:r>
        <w:rPr>
          <w:lang w:val="en_US" w:bidi="en_US"/>
        </w:rPr>
        <w:t xml:space="preserve"> or a comparative statement.</w:t>
      </w:r>
    </w:p>
    <w:p>
      <w:pPr/>
      <w:r>
        <w:rPr>
          <w:lang w:val="en_US" w:bidi="en_US"/>
        </w:rPr>
      </w:r>
      <w:r>
        <w:rPr>
          <w:b/>
          <w:lang w:val="en_US" w:bidi="en_US"/>
        </w:rPr>
        <w:t>the one…the other:</w:t>
      </w:r>
      <w:r>
        <w:rPr>
          <w:lang w:val="en_US" w:bidi="en_US"/>
        </w:rPr>
        <w:t xml:space="preserve"> In this context, the phrases </w:t>
      </w:r>
      <w:r>
        <w:rPr>
          <w:i/>
          <w:lang w:val="en_US" w:bidi="en_US"/>
        </w:rPr>
        <w:t>the one</w:t>
      </w:r>
      <w:r>
        <w:rPr>
          <w:lang w:val="en_US" w:bidi="en_US"/>
        </w:rPr>
        <w:t xml:space="preserve"> and </w:t>
      </w:r>
      <w:r>
        <w:rPr>
          <w:i/>
          <w:lang w:val="en_US" w:bidi="en_US"/>
        </w:rPr>
        <w:t>the other</w:t>
      </w:r>
      <w:r>
        <w:rPr>
          <w:lang w:val="en_US" w:bidi="en_US"/>
        </w:rPr>
        <w:t xml:space="preserve"> refer to “one master” and “the other master.” The GW shows another way to refer to these two masters:</w:t>
      </w:r>
    </w:p>
    <w:p>
      <w:pPr/>
      <w:r>
        <w:rPr>
          <w:lang w:val="en_US" w:bidi="en_US"/>
        </w:rPr>
      </w:r>
      <w:r>
        <w:rPr>
          <w:lang w:val="en_US" w:bidi="en_US"/>
        </w:rPr>
        <w:t>the first master…the second (GW)</w:t>
      </w:r>
    </w:p>
    <w:p>
      <w:pPr>
        <w:pStyle w:val="Heading5"/>
      </w:pPr>
      <w:r>
        <w:rPr>
          <w:lang w:val="en_US" w:bidi="en_US"/>
        </w:rPr>
        <w:t>16:13c</w:t>
      </w:r>
    </w:p>
    <w:p>
      <w:pPr/>
      <w:r>
        <w:rPr>
          <w:lang w:val="en_US" w:bidi="en_US"/>
        </w:rPr>
      </w:r>
      <w:r>
        <w:rPr>
          <w:b/>
          <w:lang w:val="en_US" w:bidi="en_US"/>
        </w:rPr>
        <w:t>or he will be devoted to the one and despise the other.</w:t>
      </w:r>
    </w:p>
    <w:p>
      <w:pPr>
        <w:pStyle w:val="ListBullet"/>
        <w:spacing w:line="240" w:lineRule="auto"/>
        <w:ind w:left="720"/>
      </w:pPr>
      <w:r>
        <w:rPr>
          <w:lang w:val="en_US" w:bidi="en_US"/>
        </w:rPr>
      </w:r>
      <w:r>
        <w:rPr>
          <w:lang w:val="en_US" w:bidi="en_US"/>
        </w:rPr>
        <w:t>or he will be loyal to one master and scorn the other.</w:t>
      </w:r>
    </w:p>
    <w:p>
      <w:pPr>
        <w:pStyle w:val="ListBullet"/>
        <w:spacing w:line="240" w:lineRule="auto"/>
        <w:ind w:left="720"/>
      </w:pPr>
      <w:r>
        <w:rPr>
          <w:lang w:val="en_US" w:bidi="en_US"/>
        </w:rPr>
      </w:r>
      <w:r>
        <w:rPr>
          <w:lang w:val="en_US" w:bidi="en_US"/>
        </w:rPr>
        <w:t xml:space="preserve">He would also obey one </w:t>
      </w:r>
      <w:r>
        <w:rPr>
          <w:lang w:val="en_US" w:bidi="en_US"/>
        </w:rPr>
        <w:t>master</w:t>
      </w:r>
      <w:r>
        <w:rPr>
          <w:lang w:val="en_US" w:bidi="en_US"/>
        </w:rPr>
        <w:t xml:space="preserve"> more faithfully/wholeheartedly than the other.</w:t>
      </w:r>
    </w:p>
    <w:p>
      <w:pPr/>
      <w:r>
        <w:rPr>
          <w:lang w:val="en_US" w:bidi="en_US"/>
        </w:rPr>
      </w:r>
      <w:r>
        <w:rPr>
          <w:b/>
          <w:lang w:val="en_US" w:bidi="en_US"/>
        </w:rPr>
        <w:t>he will be devoted to the one and despise the other:</w:t>
      </w:r>
      <w:r>
        <w:rPr>
          <w:lang w:val="en_US" w:bidi="en_US"/>
        </w:rPr>
        <w:t xml:space="preserve"> This verse part is parallel to 16:13b. It expresses a similar idea using other words. The verbs </w:t>
      </w:r>
      <w:r>
        <w:rPr>
          <w:i/>
          <w:lang w:val="en_US" w:bidi="en_US"/>
        </w:rPr>
        <w:t>be devoted to</w:t>
      </w:r>
      <w:r>
        <w:rPr>
          <w:lang w:val="en_US" w:bidi="en_US"/>
        </w:rPr>
        <w:t xml:space="preserve"> and </w:t>
      </w:r>
      <w:r>
        <w:rPr>
          <w:i/>
          <w:lang w:val="en_US" w:bidi="en_US"/>
        </w:rPr>
        <w:t>despise</w:t>
      </w:r>
      <w:r>
        <w:rPr>
          <w:lang w:val="en_US" w:bidi="en_US"/>
        </w:rPr>
        <w:t xml:space="preserve"> express ideas that are similar to “love” and “hate” in 16:13b. However, here in 16:13c the ideas are reversed for poetic effect. If in your language it is not natural to reverse the order of the ideas in this way, you may keep the same order as in the previous verse part. For example:</w:t>
      </w:r>
    </w:p>
    <w:p>
      <w:pPr/>
      <w:r>
        <w:rPr>
          <w:lang w:val="en_US" w:bidi="en_US"/>
        </w:rPr>
      </w:r>
      <w:r>
        <w:rPr>
          <w:lang w:val="en_US" w:bidi="en_US"/>
        </w:rPr>
        <w:t>he will despise one and be devoted to the other</w:t>
      </w:r>
    </w:p>
    <w:p>
      <w:pPr/>
      <w:r>
        <w:rPr>
          <w:lang w:val="en_US" w:bidi="en_US"/>
        </w:rPr>
      </w:r>
      <w:r>
        <w:rPr>
          <w:lang w:val="en_US" w:bidi="en_US"/>
        </w:rPr>
        <w:t>If it is more natural to state a positive action or attitude before a negative one, you may reorder the 16:13b instead. For example:</w:t>
      </w:r>
    </w:p>
    <w:p>
      <w:pPr/>
      <w:r>
        <w:rPr>
          <w:lang w:val="en_US" w:bidi="en_US"/>
        </w:rPr>
      </w:r>
      <w:r>
        <w:rPr>
          <w:lang w:val="en_US" w:bidi="en_US"/>
        </w:rPr>
        <w:t>he will love the one and hate the other</w:t>
      </w:r>
    </w:p>
    <w:p>
      <w:pPr/>
      <w:r>
        <w:rPr>
          <w:lang w:val="en_US" w:bidi="en_US"/>
        </w:rPr>
      </w:r>
      <w:r>
        <w:rPr>
          <w:b/>
          <w:lang w:val="en_US" w:bidi="en_US"/>
        </w:rPr>
        <w:t>devoted to:</w:t>
      </w:r>
      <w:r>
        <w:rPr>
          <w:lang w:val="en_US" w:bidi="en_US"/>
        </w:rPr>
        <w:t xml:space="preserve"> The Greek verb that the BSB translates as </w:t>
      </w:r>
      <w:r>
        <w:rPr>
          <w:i/>
          <w:lang w:val="en_US" w:bidi="en_US"/>
        </w:rPr>
        <w:t>devoted to</w:t>
      </w:r>
      <w:r>
        <w:rPr>
          <w:lang w:val="en_US" w:bidi="en_US"/>
        </w:rPr>
        <w:t xml:space="preserve"> in this context means to be loyal to.</w:t>
      </w:r>
    </w:p>
    <w:p>
      <w:pPr/>
      <w:r>
        <w:rPr>
          <w:lang w:val="en_US" w:bidi="en_US"/>
        </w:rPr>
      </w:r>
      <w:r>
        <w:rPr>
          <w:b/>
          <w:lang w:val="en_US" w:bidi="en_US"/>
        </w:rPr>
        <w:t>despise:</w:t>
      </w:r>
      <w:r>
        <w:rPr>
          <w:lang w:val="en_US" w:bidi="en_US"/>
        </w:rPr>
        <w:t xml:space="preserve"> The Greek verb that the BSB translates as </w:t>
      </w:r>
      <w:r>
        <w:rPr>
          <w:i/>
          <w:lang w:val="en_US" w:bidi="en_US"/>
        </w:rPr>
        <w:t>despise</w:t>
      </w:r>
      <w:r>
        <w:rPr>
          <w:lang w:val="en_US" w:bidi="en_US"/>
        </w:rPr>
        <w:t xml:space="preserve"> means to look down on a person and treat him with scorn and contempt.</w:t>
      </w:r>
    </w:p>
    <w:p>
      <w:pPr>
        <w:pStyle w:val="Heading5"/>
      </w:pPr>
      <w:r>
        <w:rPr>
          <w:lang w:val="en_US" w:bidi="en_US"/>
        </w:rPr>
        <w:t>16:13d</w:t>
      </w:r>
    </w:p>
    <w:p>
      <w:pPr/>
      <w:r>
        <w:rPr>
          <w:lang w:val="en_US" w:bidi="en_US"/>
        </w:rPr>
      </w:r>
      <w:r>
        <w:rPr>
          <w:b/>
          <w:lang w:val="en_US" w:bidi="en_US"/>
        </w:rPr>
        <w:t>You cannot serve both God and money.”</w:t>
      </w:r>
    </w:p>
    <w:p>
      <w:pPr>
        <w:pStyle w:val="ListBullet"/>
        <w:spacing w:line="240" w:lineRule="auto"/>
        <w:ind w:left="720"/>
      </w:pPr>
      <w:r>
        <w:rPr>
          <w:lang w:val="en_US" w:bidi="en_US"/>
        </w:rPr>
      </w:r>
      <w:r>
        <w:rPr>
          <w:lang w:val="en_US" w:bidi="en_US"/>
        </w:rPr>
        <w:t>Therefore</w:t>
      </w:r>
      <w:r>
        <w:rPr>
          <w:lang w:val="en_US" w:bidi="en_US"/>
        </w:rPr>
        <w:t xml:space="preserve"> you</w:t>
      </w:r>
      <w:r>
        <w:rPr>
          <w:vertAlign w:val="superscript"/>
          <w:lang w:val="en_US" w:bidi="en_US"/>
        </w:rPr>
        <w:t>(plur)</w:t>
      </w:r>
      <w:r>
        <w:rPr>
          <w:lang w:val="en_US" w:bidi="en_US"/>
        </w:rPr>
        <w:t xml:space="preserve"> cannot </w:t>
      </w:r>
      <w:r>
        <w:rPr>
          <w:lang w:val="en_US" w:bidi="en_US"/>
        </w:rPr>
        <w:t>simultaneously</w:t>
      </w:r>
      <w:r>
        <w:rPr>
          <w:lang w:val="en_US" w:bidi="en_US"/>
        </w:rPr>
        <w:t xml:space="preserve"> serve/worship God and also serve/love money.”</w:t>
      </w:r>
    </w:p>
    <w:p>
      <w:pPr>
        <w:pStyle w:val="ListBullet"/>
        <w:spacing w:line="240" w:lineRule="auto"/>
        <w:ind w:left="720"/>
      </w:pPr>
      <w:r>
        <w:rPr>
          <w:lang w:val="en_US" w:bidi="en_US"/>
        </w:rPr>
      </w:r>
      <w:r>
        <w:rPr>
          <w:lang w:val="en_US" w:bidi="en_US"/>
        </w:rPr>
        <w:t>In the same way,</w:t>
      </w:r>
      <w:r>
        <w:rPr>
          <w:lang w:val="en_US" w:bidi="en_US"/>
        </w:rPr>
        <w:t xml:space="preserve"> you</w:t>
      </w:r>
      <w:r>
        <w:rPr>
          <w:vertAlign w:val="superscript"/>
          <w:lang w:val="en_US" w:bidi="en_US"/>
        </w:rPr>
        <w:t>(plur)</w:t>
      </w:r>
      <w:r>
        <w:rPr>
          <w:lang w:val="en_US" w:bidi="en_US"/>
        </w:rPr>
        <w:t xml:space="preserve"> can not </w:t>
      </w:r>
      <w:r>
        <w:rPr>
          <w:lang w:val="en_US" w:bidi="en_US"/>
        </w:rPr>
        <w:t>devote yourself to</w:t>
      </w:r>
      <w:r>
        <w:rPr>
          <w:lang w:val="en_US" w:bidi="en_US"/>
        </w:rPr>
        <w:t xml:space="preserve"> both serving God and </w:t>
      </w:r>
      <w:r>
        <w:rPr>
          <w:lang w:val="en_US" w:bidi="en_US"/>
        </w:rPr>
        <w:t>gaining</w:t>
      </w:r>
      <w:r>
        <w:rPr>
          <w:lang w:val="en_US" w:bidi="en_US"/>
        </w:rPr>
        <w:t xml:space="preserve"> money.”</w:t>
      </w:r>
    </w:p>
    <w:p>
      <w:pPr>
        <w:pStyle w:val="ListBullet"/>
        <w:spacing w:line="240" w:lineRule="auto"/>
        <w:ind w:left="720"/>
      </w:pPr>
      <w:r>
        <w:rPr>
          <w:lang w:val="en_US" w:bidi="en_US"/>
        </w:rPr>
      </w:r>
      <w:r>
        <w:rPr>
          <w:lang w:val="en_US" w:bidi="en_US"/>
        </w:rPr>
        <w:t>So also,</w:t>
      </w:r>
      <w:r>
        <w:rPr>
          <w:lang w:val="en_US" w:bidi="en_US"/>
        </w:rPr>
        <w:t xml:space="preserve"> it is not possible for God and riches to be your</w:t>
      </w:r>
      <w:r>
        <w:rPr>
          <w:vertAlign w:val="superscript"/>
          <w:lang w:val="en_US" w:bidi="en_US"/>
        </w:rPr>
        <w:t>(plur)</w:t>
      </w:r>
      <w:r>
        <w:rPr>
          <w:lang w:val="en_US" w:bidi="en_US"/>
        </w:rPr>
        <w:t xml:space="preserve"> master </w:t>
      </w:r>
      <w:r>
        <w:rPr>
          <w:lang w:val="en_US" w:bidi="en_US"/>
        </w:rPr>
        <w:t>at the same time</w:t>
      </w:r>
      <w:r>
        <w:rPr>
          <w:lang w:val="en_US" w:bidi="en_US"/>
        </w:rPr>
        <w:t>.”</w:t>
      </w:r>
    </w:p>
    <w:p>
      <w:pPr/>
      <w:r>
        <w:rPr>
          <w:lang w:val="en_US" w:bidi="en_US"/>
        </w:rPr>
      </w:r>
      <w:r>
        <w:rPr>
          <w:b/>
          <w:lang w:val="en_US" w:bidi="en_US"/>
        </w:rPr>
        <w:t>You cannot serve both God and money:</w:t>
      </w:r>
      <w:r>
        <w:rPr>
          <w:lang w:val="en_US" w:bidi="en_US"/>
        </w:rPr>
        <w:t xml:space="preserve"> This clause is a specific conclusion to the more general statements in 16:13a–c. The pronoun </w:t>
      </w:r>
      <w:r>
        <w:rPr>
          <w:i/>
          <w:lang w:val="en_US" w:bidi="en_US"/>
        </w:rPr>
        <w:t>You</w:t>
      </w:r>
      <w:r>
        <w:rPr>
          <w:lang w:val="en_US" w:bidi="en_US"/>
        </w:rPr>
        <w:t xml:space="preserve"> indicates that Jesus was applying this conclusion directly to the disciples. In some languages it may be necessary to introduce a conclusion like this with a specific word or phrase. For example:</w:t>
      </w:r>
    </w:p>
    <w:p>
      <w:pPr/>
      <w:r>
        <w:rPr>
          <w:lang w:val="en_US" w:bidi="en_US"/>
        </w:rPr>
      </w:r>
      <w:r>
        <w:rPr>
          <w:lang w:val="en_US" w:bidi="en_US"/>
        </w:rPr>
        <w:t>Therefore/So</w:t>
      </w:r>
      <w:r>
        <w:rPr>
          <w:lang w:val="en_US" w:bidi="en_US"/>
        </w:rPr>
        <w:t xml:space="preserve"> you cannot serve…</w:t>
      </w:r>
    </w:p>
    <w:p>
      <w:pPr/>
      <w:r>
        <w:rPr>
          <w:lang w:val="en_US" w:bidi="en_US"/>
        </w:rPr>
      </w:r>
      <w:r>
        <w:rPr>
          <w:lang w:val="en_US" w:bidi="en_US"/>
        </w:rPr>
        <w:t>In the same way,</w:t>
      </w:r>
      <w:r>
        <w:rPr>
          <w:lang w:val="en_US" w:bidi="en_US"/>
        </w:rPr>
        <w:t xml:space="preserve"> you cannot serve…</w:t>
      </w:r>
    </w:p>
    <w:p>
      <w:pPr/>
      <w:r>
        <w:rPr>
          <w:lang w:val="en_US" w:bidi="en_US"/>
        </w:rPr>
      </w:r>
      <w:r>
        <w:rPr>
          <w:lang w:val="en_US" w:bidi="en_US"/>
        </w:rPr>
        <w:t xml:space="preserve">A slave could not give his undivided loyalty to two masters at the same time. In the same way, it was impossible for the disciples to serve God and money at the same time. In some languages a person cannot </w:t>
      </w:r>
      <w:r>
        <w:rPr>
          <w:i/>
          <w:lang w:val="en_US" w:bidi="en_US"/>
        </w:rPr>
        <w:t>serve</w:t>
      </w:r>
      <w:r>
        <w:rPr>
          <w:lang w:val="en_US" w:bidi="en_US"/>
        </w:rPr>
        <w:t xml:space="preserve"> money, so it will be necessary to use different expressions for “serve God” and “serve money.” For example:</w:t>
      </w:r>
    </w:p>
    <w:p>
      <w:pPr/>
      <w:r>
        <w:rPr>
          <w:lang w:val="en_US" w:bidi="en_US"/>
        </w:rPr>
      </w:r>
      <w:r>
        <w:rPr>
          <w:lang w:val="en_US" w:bidi="en_US"/>
        </w:rPr>
        <w:t>You cannot be faithful to God and also do everything possible to become wealthy.</w:t>
      </w:r>
    </w:p>
    <w:p>
      <w:pPr/>
      <w:r>
        <w:rPr>
          <w:lang w:val="en_US" w:bidi="en_US"/>
        </w:rPr>
      </w:r>
      <w:r>
        <w:rPr>
          <w:lang w:val="en_US" w:bidi="en_US"/>
        </w:rPr>
        <w:t>If money is the most valuable thing to you, you cannot also work for God.</w:t>
      </w:r>
    </w:p>
    <w:p>
      <w:pPr/>
      <w:r>
        <w:rPr>
          <w:lang w:val="en_US" w:bidi="en_US"/>
        </w:rPr>
      </w:r>
      <w:r>
        <w:rPr>
          <w:lang w:val="en_US" w:bidi="en_US"/>
        </w:rPr>
        <w:t>It is not possible for you to truly serve God if gaining money/riches is important in your mind.</w:t>
      </w:r>
    </w:p>
    <w:p>
      <w:pPr/>
      <w:r>
        <w:rPr>
          <w:lang w:val="en_US" w:bidi="en_US"/>
        </w:rPr>
      </w:r>
      <w:r>
        <w:rPr>
          <w:b/>
          <w:lang w:val="en_US" w:bidi="en_US"/>
        </w:rPr>
        <w:t>money:</w:t>
      </w:r>
      <w:r>
        <w:rPr>
          <w:lang w:val="en_US" w:bidi="en_US"/>
        </w:rPr>
        <w:t xml:space="preserve"> The Greek word that the BSB translates as </w:t>
      </w:r>
      <w:r>
        <w:rPr>
          <w:i/>
          <w:lang w:val="en_US" w:bidi="en_US"/>
        </w:rPr>
        <w:t>money</w:t>
      </w:r>
      <w:r>
        <w:rPr>
          <w:lang w:val="en_US" w:bidi="en_US"/>
        </w:rPr>
        <w:t xml:space="preserve"> is literally “mammon.” The RSV and several other English versions translate it that way. See the note on “worldly wealth” in 16:9b.</w:t>
      </w:r>
      <w:r>
        <w:rPr>
          <w:lang w:val="en_US" w:bidi="en_US"/>
        </w:rPr>
      </w:r>
      <w:r>
        <w:rPr>
          <w:lang w:val="en_US" w:bidi="en_US"/>
        </w:rPr>
      </w:r>
    </w:p>
    <w:p>
      <w:pPr/>
      <w:r>
        <w:rPr>
          <w:lang w:val="en_US" w:bidi="en_US"/>
        </w:rPr>
      </w:r>
    </w:p>
    <w:p>
      <w:pPr>
        <w:pStyle w:val="Heading2"/>
      </w:pPr>
      <w:r>
        <w:rPr>
          <w:lang w:val="en_US" w:bidi="en_US"/>
        </w:rPr>
        <w:t>Luke 16:14</w:t>
      </w:r>
      <w:r>
        <w:rPr>
          <w:lang w:val="en_US" w:bidi="en_US"/>
        </w:rPr>
      </w:r>
    </w:p>
    <w:p>
      <w:pPr>
        <w:pStyle w:val="Heading4"/>
      </w:pPr>
      <w:r>
        <w:rPr>
          <w:lang w:val="en_US" w:bidi="en_US"/>
        </w:rPr>
        <w:t>Section 16:14–18: Jesus spoke to the Pharisees</w:t>
      </w:r>
    </w:p>
    <w:p>
      <w:pPr/>
      <w:r>
        <w:rPr>
          <w:lang w:val="en_US" w:bidi="en_US"/>
        </w:rPr>
      </w:r>
      <w:r>
        <w:rPr>
          <w:lang w:val="en_US" w:bidi="en_US"/>
        </w:rPr>
        <w:t>In this section Jesus talked to the Pharisees about several topics. He told them that God understood their hearts, that is, that he knew what they most deeply valued and desired. He also talked to them about the authority of God’s law.</w:t>
      </w:r>
    </w:p>
    <w:p>
      <w:pPr/>
      <w:r>
        <w:rPr>
          <w:lang w:val="en_US" w:bidi="en_US"/>
        </w:rPr>
      </w:r>
      <w:r>
        <w:rPr>
          <w:lang w:val="en_US" w:bidi="en_US"/>
        </w:rPr>
        <w:t>Another possible heading for this section is:</w:t>
      </w:r>
    </w:p>
    <w:p>
      <w:pPr/>
      <w:r>
        <w:rPr>
          <w:lang w:val="en_US" w:bidi="en_US"/>
        </w:rPr>
      </w:r>
      <w:r>
        <w:rPr>
          <w:lang w:val="en_US" w:bidi="en_US"/>
        </w:rPr>
        <w:t>Some other things that Jesus taught</w:t>
      </w:r>
    </w:p>
    <w:p>
      <w:pPr/>
      <w:r>
        <w:rPr>
          <w:lang w:val="en_US" w:bidi="en_US"/>
        </w:rPr>
      </w:r>
      <w:r>
        <w:rPr>
          <w:lang w:val="en_US" w:bidi="en_US"/>
        </w:rPr>
        <w:t>There are parallel passages for this section in Matthew 5:31–32 and Mark 10:11–12.</w:t>
      </w:r>
    </w:p>
    <w:p>
      <w:pPr>
        <w:pStyle w:val="Heading5"/>
      </w:pPr>
      <w:r>
        <w:rPr>
          <w:lang w:val="en_US" w:bidi="en_US"/>
        </w:rPr>
        <w:t>16:14</w:t>
      </w:r>
    </w:p>
    <w:p>
      <w:pPr/>
      <w:r>
        <w:rPr>
          <w:lang w:val="en_US" w:bidi="en_US"/>
        </w:rPr>
      </w:r>
      <w:r>
        <w:rPr>
          <w:b/>
          <w:lang w:val="en_US" w:bidi="en_US"/>
        </w:rPr>
        <w:t>The Pharisees, who were lovers of money, heard all of this and were scoffing at Jesus.</w:t>
      </w:r>
    </w:p>
    <w:p>
      <w:pPr>
        <w:pStyle w:val="ListBullet"/>
        <w:spacing w:line="240" w:lineRule="auto"/>
        <w:ind w:left="720"/>
      </w:pPr>
      <w:r>
        <w:rPr>
          <w:lang w:val="en_US" w:bidi="en_US"/>
        </w:rPr>
      </w:r>
      <w:r>
        <w:rPr>
          <w:lang w:val="en_US" w:bidi="en_US"/>
        </w:rPr>
        <w:t>¶ The Pharisees, who loved money, listened mockingly/disdainfully to these things that Jesus was saying.</w:t>
      </w:r>
    </w:p>
    <w:p>
      <w:pPr>
        <w:pStyle w:val="ListBullet"/>
        <w:spacing w:line="240" w:lineRule="auto"/>
        <w:ind w:left="720"/>
      </w:pPr>
      <w:r>
        <w:rPr>
          <w:lang w:val="en_US" w:bidi="en_US"/>
        </w:rPr>
      </w:r>
      <w:r>
        <w:rPr>
          <w:lang w:val="en_US" w:bidi="en_US"/>
        </w:rPr>
        <w:t xml:space="preserve">¶ The Pharisees who were there heard what Jesus was saying. They really liked/valued money, so they mocked/ridiculed him </w:t>
      </w:r>
      <w:r>
        <w:rPr>
          <w:lang w:val="en_US" w:bidi="en_US"/>
        </w:rPr>
        <w:t>as they were listening</w:t>
      </w:r>
      <w:r>
        <w:rPr>
          <w:lang w:val="en_US" w:bidi="en_US"/>
        </w:rPr>
        <w:t>.</w:t>
      </w:r>
    </w:p>
    <w:p>
      <w:pPr>
        <w:pStyle w:val="ListBullet"/>
        <w:spacing w:line="240" w:lineRule="auto"/>
        <w:ind w:left="720"/>
      </w:pPr>
      <w:r>
        <w:rPr>
          <w:lang w:val="en_US" w:bidi="en_US"/>
        </w:rPr>
      </w:r>
      <w:r>
        <w:rPr>
          <w:lang w:val="en_US" w:bidi="en_US"/>
        </w:rPr>
        <w:t>¶ When the Pharisees heard Jesus say these things, they made fun of him because they loved money.</w:t>
      </w:r>
    </w:p>
    <w:p>
      <w:pPr/>
      <w:r>
        <w:rPr>
          <w:lang w:val="en_US" w:bidi="en_US"/>
        </w:rPr>
      </w:r>
      <w:r>
        <w:rPr>
          <w:b/>
          <w:lang w:val="en_US" w:bidi="en_US"/>
        </w:rPr>
        <w:t>The Pharisees, who were lovers of money, heard all of this and were scoffing at Jesus:</w:t>
      </w:r>
      <w:r>
        <w:rPr>
          <w:lang w:val="en_US" w:bidi="en_US"/>
        </w:rPr>
        <w:t xml:space="preserve"> In the preceding verse Jesus said that it is impossible to serve both God and money. The Pharisees loved money, so they scoffed at Jesus as they listened to what he said. Other ways to express this are:</w:t>
      </w:r>
    </w:p>
    <w:p>
      <w:pPr/>
      <w:r>
        <w:rPr>
          <w:lang w:val="en_US" w:bidi="en_US"/>
        </w:rPr>
      </w:r>
      <w:r>
        <w:rPr>
          <w:lang w:val="en_US" w:bidi="en_US"/>
        </w:rPr>
        <w:t>The Pharisees heard what Jesus was saying. As they listened, they scoffed at him, because they loved money.</w:t>
      </w:r>
    </w:p>
    <w:p>
      <w:pPr/>
      <w:r>
        <w:rPr>
          <w:lang w:val="en_US" w:bidi="en_US"/>
        </w:rPr>
      </w:r>
      <w:r>
        <w:rPr>
          <w:lang w:val="en_US" w:bidi="en_US"/>
        </w:rPr>
        <w:t>The Pharisees were listening to all this. They loved money, so they were ridiculing Jesus.</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members of a Jewish religious group that emphasized obeying all of the Jewish religious laws very carefully. Here are some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according to the sounds of your language and indicate that it refers to a group of people. For example:</w:t>
      </w:r>
      <w:r>
        <w:rPr>
          <w:lang w:val="en_US" w:bidi="en_US"/>
        </w:rPr>
        <w:t>Farisi members</w:t>
      </w:r>
      <w:r>
        <w:rPr>
          <w:lang w:val="en_US" w:bidi="en_US"/>
        </w:rPr>
        <w:t>Parise adherents</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Farise religious sect/group</w:t>
      </w:r>
      <w:r>
        <w:rPr>
          <w:lang w:val="en_US" w:bidi="en_US"/>
        </w:rPr>
        <w:t>members of the religious group called the Farasi</w:t>
      </w:r>
    </w:p>
    <w:p>
      <w:pPr/>
      <w:r>
        <w:rPr>
          <w:lang w:val="en_US" w:bidi="en_US"/>
        </w:rPr>
      </w:r>
      <w:r>
        <w:rPr>
          <w:lang w:val="en_US" w:bidi="en_US"/>
        </w:rPr>
        <w:t>This word first occurs in Luke at 5:17b.</w:t>
      </w:r>
    </w:p>
    <w:p>
      <w:pPr/>
      <w:r>
        <w:rPr>
          <w:lang w:val="en_US" w:bidi="en_US"/>
        </w:rPr>
      </w:r>
      <w:r>
        <w:rPr>
          <w:b/>
          <w:lang w:val="en_US" w:bidi="en_US"/>
        </w:rPr>
        <w:t>who were lovers of money:</w:t>
      </w:r>
      <w:r>
        <w:rPr>
          <w:lang w:val="en_US" w:bidi="en_US"/>
        </w:rPr>
        <w:t xml:space="preserve"> The Greek word that the BSB translates literally as </w:t>
      </w:r>
      <w:r>
        <w:rPr>
          <w:i/>
          <w:lang w:val="en_US" w:bidi="en_US"/>
        </w:rPr>
        <w:t>lovers of money</w:t>
      </w:r>
      <w:r>
        <w:rPr>
          <w:lang w:val="en_US" w:bidi="en_US"/>
        </w:rPr>
        <w:t xml:space="preserve"> describes people who love to obtain money and to be wealthy. In some languages a word such as “love” may not fit with an object like </w:t>
      </w:r>
      <w:r>
        <w:rPr>
          <w:i/>
          <w:lang w:val="en_US" w:bidi="en_US"/>
        </w:rPr>
        <w:t>money</w:t>
      </w:r>
      <w:r>
        <w:rPr>
          <w:lang w:val="en_US" w:bidi="en_US"/>
        </w:rPr>
        <w:t>. Some other ways to translate this expression are:</w:t>
      </w:r>
    </w:p>
    <w:p>
      <w:pPr/>
      <w:r>
        <w:rPr>
          <w:lang w:val="en_US" w:bidi="en_US"/>
        </w:rPr>
      </w:r>
      <w:r>
        <w:rPr>
          <w:lang w:val="en_US" w:bidi="en_US"/>
        </w:rPr>
        <w:t>highly valued money/wealth</w:t>
      </w:r>
    </w:p>
    <w:p>
      <w:pPr/>
      <w:r>
        <w:rPr>
          <w:lang w:val="en_US" w:bidi="en_US"/>
        </w:rPr>
      </w:r>
      <w:r>
        <w:rPr>
          <w:lang w:val="en_US" w:bidi="en_US"/>
        </w:rPr>
        <w:t>were very fond of money</w:t>
      </w:r>
    </w:p>
    <w:p>
      <w:pPr/>
      <w:r>
        <w:rPr>
          <w:lang w:val="en_US" w:bidi="en_US"/>
        </w:rPr>
      </w:r>
      <w:r>
        <w:rPr>
          <w:lang w:val="en_US" w:bidi="en_US"/>
        </w:rPr>
        <w:t>were greedy for money</w:t>
      </w:r>
    </w:p>
    <w:p>
      <w:pPr/>
      <w:r>
        <w:rPr>
          <w:lang w:val="en_US" w:bidi="en_US"/>
        </w:rPr>
      </w:r>
      <w:r>
        <w:rPr>
          <w:b/>
          <w:lang w:val="en_US" w:bidi="en_US"/>
        </w:rPr>
        <w:t>heard all of this and were scoffing at Jesus:</w:t>
      </w:r>
      <w:r>
        <w:rPr>
          <w:lang w:val="en_US" w:bidi="en_US"/>
        </w:rPr>
        <w:t xml:space="preserve"> The form of the Greek verb that the BSB translates as </w:t>
      </w:r>
      <w:r>
        <w:rPr>
          <w:i/>
          <w:lang w:val="en_US" w:bidi="en_US"/>
        </w:rPr>
        <w:t>were scoffing</w:t>
      </w:r>
      <w:r>
        <w:rPr>
          <w:lang w:val="en_US" w:bidi="en_US"/>
        </w:rPr>
        <w:t xml:space="preserve"> indicates that the Pharisees were showing their ridicule for Jesus during the time that they were listening. The two examples given in the first note on this verse make this explicit. Another way to indicate this ongoing action is to say:</w:t>
      </w:r>
    </w:p>
    <w:p>
      <w:pPr/>
      <w:r>
        <w:rPr>
          <w:lang w:val="en_US" w:bidi="en_US"/>
        </w:rPr>
      </w:r>
      <w:r>
        <w:rPr>
          <w:lang w:val="en_US" w:bidi="en_US"/>
        </w:rPr>
        <w:t>listened mockingly</w:t>
      </w:r>
    </w:p>
    <w:p>
      <w:pPr/>
      <w:r>
        <w:rPr>
          <w:lang w:val="en_US" w:bidi="en_US"/>
        </w:rPr>
      </w:r>
      <w:r>
        <w:rPr>
          <w:b/>
          <w:lang w:val="en_US" w:bidi="en_US"/>
        </w:rPr>
        <w:t>all of this:</w:t>
      </w:r>
      <w:r>
        <w:rPr>
          <w:lang w:val="en_US" w:bidi="en_US"/>
        </w:rPr>
        <w:t xml:space="preserve"> The phrase </w:t>
      </w:r>
      <w:r>
        <w:rPr>
          <w:i/>
          <w:lang w:val="en_US" w:bidi="en_US"/>
        </w:rPr>
        <w:t>all of this</w:t>
      </w:r>
      <w:r>
        <w:rPr>
          <w:lang w:val="en_US" w:bidi="en_US"/>
        </w:rPr>
        <w:t xml:space="preserve"> refers to all the things Jesus had just been saying to his disciples about money in 16:1–13.</w:t>
      </w:r>
    </w:p>
    <w:p>
      <w:pPr/>
      <w:r>
        <w:rPr>
          <w:lang w:val="en_US" w:bidi="en_US"/>
        </w:rPr>
      </w:r>
      <w:r>
        <w:rPr>
          <w:b/>
          <w:lang w:val="en_US" w:bidi="en_US"/>
        </w:rPr>
        <w:t>were scoffing:</w:t>
      </w:r>
      <w:r>
        <w:rPr>
          <w:lang w:val="en_US" w:bidi="en_US"/>
        </w:rPr>
        <w:t xml:space="preserve"> The Greek verb that the BSB translates as </w:t>
      </w:r>
      <w:r>
        <w:rPr>
          <w:i/>
          <w:lang w:val="en_US" w:bidi="en_US"/>
        </w:rPr>
        <w:t>were scoffing</w:t>
      </w:r>
      <w:r>
        <w:rPr>
          <w:lang w:val="en_US" w:bidi="en_US"/>
        </w:rPr>
        <w:t xml:space="preserve"> refers here to showing scorn or disdain. The Pharisees may have ridiculed Jesus by making scornful remarks or gestures or simply by the expressions on their faces. Try to translate in a way that could indicate any of these kinds of mocking behavior. For example:</w:t>
      </w:r>
    </w:p>
    <w:p>
      <w:pPr/>
      <w:r>
        <w:rPr>
          <w:lang w:val="en_US" w:bidi="en_US"/>
        </w:rPr>
      </w:r>
      <w:r>
        <w:rPr>
          <w:lang w:val="en_US" w:bidi="en_US"/>
        </w:rPr>
        <w:t>made fun of Jesus (NCV)</w:t>
      </w:r>
      <w:r>
        <w:rPr>
          <w:lang w:val="en_US" w:bidi="en_US"/>
        </w:rPr>
      </w:r>
      <w:r>
        <w:rPr>
          <w:lang w:val="en_US" w:bidi="en_US"/>
        </w:rPr>
      </w:r>
    </w:p>
    <w:p>
      <w:pPr/>
      <w:r>
        <w:rPr>
          <w:lang w:val="en_US" w:bidi="en_US"/>
        </w:rPr>
      </w:r>
    </w:p>
    <w:p>
      <w:pPr>
        <w:pStyle w:val="Heading2"/>
      </w:pPr>
      <w:r>
        <w:rPr>
          <w:lang w:val="en_US" w:bidi="en_US"/>
        </w:rPr>
        <w:t>Luke 16:15</w:t>
      </w:r>
      <w:r>
        <w:rPr>
          <w:lang w:val="en_US" w:bidi="en_US"/>
        </w:rPr>
      </w:r>
    </w:p>
    <w:p>
      <w:pPr>
        <w:pStyle w:val="Heading4"/>
      </w:pPr>
      <w:r>
        <w:rPr>
          <w:lang w:val="en_US" w:bidi="en_US"/>
        </w:rPr>
        <w:t>Section 16:14–18: Jesus spoke to the Pharisees</w:t>
      </w:r>
    </w:p>
    <w:p>
      <w:pPr/>
      <w:r>
        <w:rPr>
          <w:lang w:val="en_US" w:bidi="en_US"/>
        </w:rPr>
      </w:r>
      <w:r>
        <w:rPr>
          <w:lang w:val="en_US" w:bidi="en_US"/>
        </w:rPr>
        <w:t>In this section Jesus talked to the Pharisees about several topics. He told them that God understood their hearts, that is, that he knew what they most deeply valued and desired. He also talked to them about the authority of God’s law.</w:t>
      </w:r>
    </w:p>
    <w:p>
      <w:pPr/>
      <w:r>
        <w:rPr>
          <w:lang w:val="en_US" w:bidi="en_US"/>
        </w:rPr>
      </w:r>
      <w:r>
        <w:rPr>
          <w:lang w:val="en_US" w:bidi="en_US"/>
        </w:rPr>
        <w:t>Another possible heading for this section is:</w:t>
      </w:r>
    </w:p>
    <w:p>
      <w:pPr/>
      <w:r>
        <w:rPr>
          <w:lang w:val="en_US" w:bidi="en_US"/>
        </w:rPr>
      </w:r>
      <w:r>
        <w:rPr>
          <w:lang w:val="en_US" w:bidi="en_US"/>
        </w:rPr>
        <w:t>Some other things that Jesus taught</w:t>
      </w:r>
    </w:p>
    <w:p>
      <w:pPr/>
      <w:r>
        <w:rPr>
          <w:lang w:val="en_US" w:bidi="en_US"/>
        </w:rPr>
      </w:r>
      <w:r>
        <w:rPr>
          <w:lang w:val="en_US" w:bidi="en_US"/>
        </w:rPr>
        <w:t>There are parallel passages for this section in Matthew 5:31–32 and Mark 10:11–12.</w:t>
      </w:r>
    </w:p>
    <w:p>
      <w:pPr>
        <w:pStyle w:val="Heading5"/>
      </w:pPr>
      <w:r>
        <w:rPr>
          <w:lang w:val="en_US" w:bidi="en_US"/>
        </w:rPr>
        <w:t>16:15a</w:t>
      </w:r>
    </w:p>
    <w:p>
      <w:pPr/>
      <w:r>
        <w:rPr>
          <w:lang w:val="en_US" w:bidi="en_US"/>
        </w:rPr>
      </w:r>
      <w:r>
        <w:rPr>
          <w:b/>
          <w:lang w:val="en_US" w:bidi="en_US"/>
        </w:rPr>
        <w:t>So He said to them, “You are the ones who justify yourselves before men,</w:t>
      </w:r>
    </w:p>
    <w:p>
      <w:pPr>
        <w:pStyle w:val="ListBullet"/>
        <w:spacing w:line="240" w:lineRule="auto"/>
        <w:ind w:left="720"/>
      </w:pPr>
      <w:r>
        <w:rPr>
          <w:lang w:val="en_US" w:bidi="en_US"/>
        </w:rPr>
      </w:r>
      <w:r>
        <w:rPr>
          <w:lang w:val="en_US" w:bidi="en_US"/>
        </w:rPr>
        <w:t>So/Then he said to them, “You</w:t>
      </w:r>
      <w:r>
        <w:rPr>
          <w:vertAlign w:val="superscript"/>
          <w:lang w:val="en_US" w:bidi="en_US"/>
        </w:rPr>
        <w:t>(plur)</w:t>
      </w:r>
      <w:r>
        <w:rPr>
          <w:lang w:val="en_US" w:bidi="en_US"/>
        </w:rPr>
        <w:t xml:space="preserve"> are the kind of people who </w:t>
      </w:r>
      <w:r>
        <w:rPr>
          <w:lang w:val="en_US" w:bidi="en_US"/>
        </w:rPr>
        <w:t>want to</w:t>
      </w:r>
      <w:r>
        <w:rPr>
          <w:lang w:val="en_US" w:bidi="en_US"/>
        </w:rPr>
        <w:t xml:space="preserve"> show other people that you are righteous.</w:t>
      </w:r>
    </w:p>
    <w:p>
      <w:pPr>
        <w:pStyle w:val="ListBullet"/>
        <w:spacing w:line="240" w:lineRule="auto"/>
        <w:ind w:left="720"/>
      </w:pPr>
      <w:r>
        <w:rPr>
          <w:lang w:val="en_US" w:bidi="en_US"/>
        </w:rPr>
      </w:r>
      <w:r>
        <w:rPr>
          <w:lang w:val="en_US" w:bidi="en_US"/>
        </w:rPr>
        <w:t>But Jesus said to them, “You</w:t>
      </w:r>
      <w:r>
        <w:rPr>
          <w:vertAlign w:val="superscript"/>
          <w:lang w:val="en_US" w:bidi="en_US"/>
        </w:rPr>
        <w:t>(plur)</w:t>
      </w:r>
      <w:r>
        <w:rPr>
          <w:lang w:val="en_US" w:bidi="en_US"/>
        </w:rPr>
        <w:t xml:space="preserve"> try to cause other people to think that you are righteous/godly men.</w:t>
      </w:r>
    </w:p>
    <w:p>
      <w:pPr/>
      <w:r>
        <w:rPr>
          <w:lang w:val="en_US" w:bidi="en_US"/>
        </w:rPr>
      </w:r>
      <w:r>
        <w:rPr>
          <w:b/>
          <w:lang w:val="en_US" w:bidi="en_US"/>
        </w:rPr>
        <w:t>So He said to them:</w:t>
      </w:r>
      <w:r>
        <w:rPr>
          <w:lang w:val="en_US" w:bidi="en_US"/>
        </w:rPr>
        <w:t xml:space="preserve"> In Greek this verse begins with a conjunction that the BSB translates as </w:t>
      </w:r>
      <w:r>
        <w:rPr>
          <w:i/>
          <w:lang w:val="en_US" w:bidi="en_US"/>
        </w:rPr>
        <w:t>So</w:t>
      </w:r>
      <w:r>
        <w:rPr>
          <w:lang w:val="en_US" w:bidi="en_US"/>
        </w:rPr>
        <w:t>. It introduces what Jesus said in response to the sneering of the Pharisees. His response contained an implied rebuke and an implied warning of judgment. The RSV translates this conjunction as “But,” the NLT as “Then,” and the NRSV, like the BSB, as “So.” The NIV makes the connection implicit. Introduce Jesus’ response in a way that is natural in your language.</w:t>
      </w:r>
    </w:p>
    <w:p>
      <w:pPr/>
      <w:r>
        <w:rPr>
          <w:lang w:val="en_US" w:bidi="en_US"/>
        </w:rPr>
      </w:r>
      <w:r>
        <w:rPr>
          <w:b/>
          <w:lang w:val="en_US" w:bidi="en_US"/>
        </w:rPr>
        <w:t>You are the ones who justify yourselves before men:</w:t>
      </w:r>
      <w:r>
        <w:rPr>
          <w:lang w:val="en_US" w:bidi="en_US"/>
        </w:rPr>
        <w:t xml:space="preserve"> The Greek phrase that the BSB translates as </w:t>
      </w:r>
      <w:r>
        <w:rPr>
          <w:i/>
          <w:lang w:val="en_US" w:bidi="en_US"/>
        </w:rPr>
        <w:t>justify yourselves before men</w:t>
      </w:r>
      <w:r>
        <w:rPr>
          <w:lang w:val="en_US" w:bidi="en_US"/>
        </w:rPr>
        <w:t xml:space="preserve"> means “make yourselves appear righteous to others” or “try to make other people think that you are righteous.” The Pharisees wanted other people to think that they were upright, godly men. Here are other possible ways to translate this clause:</w:t>
      </w:r>
    </w:p>
    <w:p>
      <w:pPr/>
      <w:r>
        <w:rPr>
          <w:lang w:val="en_US" w:bidi="en_US"/>
        </w:rPr>
      </w:r>
      <w:r>
        <w:rPr>
          <w:lang w:val="en_US" w:bidi="en_US"/>
        </w:rPr>
        <w:t>You are the people who impress others with your righteousness (REB)</w:t>
      </w:r>
    </w:p>
    <w:p>
      <w:pPr/>
      <w:r>
        <w:rPr>
          <w:lang w:val="en_US" w:bidi="en_US"/>
        </w:rPr>
      </w:r>
      <w:r>
        <w:rPr>
          <w:lang w:val="en_US" w:bidi="en_US"/>
        </w:rPr>
        <w:t>You make yourselves look good in front of people (NCV)</w:t>
      </w:r>
    </w:p>
    <w:p>
      <w:pPr/>
      <w:r>
        <w:rPr>
          <w:lang w:val="en_US" w:bidi="en_US"/>
        </w:rPr>
      </w:r>
      <w:r>
        <w:rPr>
          <w:b/>
          <w:lang w:val="en_US" w:bidi="en_US"/>
        </w:rPr>
        <w:t>before men:</w:t>
      </w:r>
      <w:r>
        <w:rPr>
          <w:lang w:val="en_US" w:bidi="en_US"/>
        </w:rPr>
        <w:t xml:space="preserve"> Other ways to translate the Greek phrase that the BSB translates as </w:t>
      </w:r>
      <w:r>
        <w:rPr>
          <w:i/>
          <w:lang w:val="en_US" w:bidi="en_US"/>
        </w:rPr>
        <w:t>before men</w:t>
      </w:r>
      <w:r>
        <w:rPr>
          <w:lang w:val="en_US" w:bidi="en_US"/>
        </w:rPr>
        <w:t xml:space="preserve"> are:</w:t>
      </w:r>
    </w:p>
    <w:p>
      <w:pPr/>
      <w:r>
        <w:rPr>
          <w:lang w:val="en_US" w:bidi="en_US"/>
        </w:rPr>
      </w:r>
      <w:r>
        <w:rPr>
          <w:lang w:val="en_US" w:bidi="en_US"/>
        </w:rPr>
        <w:t>in other people’s sight/presence</w:t>
      </w:r>
    </w:p>
    <w:p>
      <w:pPr/>
      <w:r>
        <w:rPr>
          <w:lang w:val="en_US" w:bidi="en_US"/>
        </w:rPr>
      </w:r>
      <w:r>
        <w:rPr>
          <w:lang w:val="en_US" w:bidi="en_US"/>
        </w:rPr>
        <w:t>in the opinion/viewpoint of other people</w:t>
      </w:r>
    </w:p>
    <w:p>
      <w:pPr/>
      <w:r>
        <w:rPr>
          <w:lang w:val="en_US" w:bidi="en_US"/>
        </w:rPr>
      </w:r>
      <w:r>
        <w:rPr>
          <w:lang w:val="en_US" w:bidi="en_US"/>
        </w:rPr>
        <w:t>This phrase contrasts strongly with “God” in 16:15b.</w:t>
      </w:r>
    </w:p>
    <w:p>
      <w:pPr>
        <w:pStyle w:val="Heading5"/>
      </w:pPr>
      <w:r>
        <w:rPr>
          <w:lang w:val="en_US" w:bidi="en_US"/>
        </w:rPr>
        <w:t>16:15b</w:t>
      </w:r>
    </w:p>
    <w:p>
      <w:pPr/>
      <w:r>
        <w:rPr>
          <w:lang w:val="en_US" w:bidi="en_US"/>
        </w:rPr>
      </w:r>
      <w:r>
        <w:rPr>
          <w:b/>
          <w:lang w:val="en_US" w:bidi="en_US"/>
        </w:rPr>
        <w:t>but God knows your hearts.</w:t>
      </w:r>
    </w:p>
    <w:p>
      <w:pPr>
        <w:pStyle w:val="ListBullet"/>
        <w:spacing w:line="240" w:lineRule="auto"/>
        <w:ind w:left="720"/>
      </w:pPr>
      <w:r>
        <w:rPr>
          <w:lang w:val="en_US" w:bidi="en_US"/>
        </w:rPr>
      </w:r>
      <w:r>
        <w:rPr>
          <w:lang w:val="en_US" w:bidi="en_US"/>
        </w:rPr>
        <w:t>But God knows that your</w:t>
      </w:r>
      <w:r>
        <w:rPr>
          <w:vertAlign w:val="superscript"/>
          <w:lang w:val="en_US" w:bidi="en_US"/>
        </w:rPr>
        <w:t>(plur)</w:t>
      </w:r>
      <w:r>
        <w:rPr>
          <w:lang w:val="en_US" w:bidi="en_US"/>
        </w:rPr>
        <w:t xml:space="preserve"> hearts </w:t>
      </w:r>
      <w:r>
        <w:rPr>
          <w:lang w:val="en_US" w:bidi="en_US"/>
        </w:rPr>
        <w:t>are evil</w:t>
      </w:r>
      <w:r>
        <w:rPr>
          <w:lang w:val="en_US" w:bidi="en_US"/>
        </w:rPr>
        <w:t>.</w:t>
      </w:r>
    </w:p>
    <w:p>
      <w:pPr>
        <w:pStyle w:val="ListBullet"/>
        <w:spacing w:line="240" w:lineRule="auto"/>
        <w:ind w:left="720"/>
      </w:pPr>
      <w:r>
        <w:rPr>
          <w:lang w:val="en_US" w:bidi="en_US"/>
        </w:rPr>
      </w:r>
      <w:r>
        <w:rPr>
          <w:lang w:val="en_US" w:bidi="en_US"/>
        </w:rPr>
        <w:t>But God knows what you</w:t>
      </w:r>
      <w:r>
        <w:rPr>
          <w:vertAlign w:val="superscript"/>
          <w:lang w:val="en_US" w:bidi="en_US"/>
        </w:rPr>
        <w:t>(plur)</w:t>
      </w:r>
      <w:r>
        <w:rPr>
          <w:lang w:val="en_US" w:bidi="en_US"/>
        </w:rPr>
        <w:t xml:space="preserve"> really love/value, </w:t>
      </w:r>
      <w:r>
        <w:rPr>
          <w:lang w:val="en_US" w:bidi="en_US"/>
        </w:rPr>
        <w:t>and he will judge/punish you</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contrast. The contrast is between what the Pharisees tried to make other people think about them and what God knew about them.</w:t>
      </w:r>
    </w:p>
    <w:p>
      <w:pPr/>
      <w:r>
        <w:rPr>
          <w:lang w:val="en_US" w:bidi="en_US"/>
        </w:rPr>
      </w:r>
      <w:r>
        <w:rPr>
          <w:b/>
          <w:lang w:val="en_US" w:bidi="en_US"/>
        </w:rPr>
        <w:t>God knows your hearts:</w:t>
      </w:r>
      <w:r>
        <w:rPr>
          <w:lang w:val="en_US" w:bidi="en_US"/>
        </w:rPr>
        <w:t xml:space="preserve"> The expression </w:t>
      </w:r>
      <w:r>
        <w:rPr>
          <w:i/>
          <w:lang w:val="en_US" w:bidi="en_US"/>
        </w:rPr>
        <w:t>God knows your hearts</w:t>
      </w:r>
      <w:r>
        <w:rPr>
          <w:lang w:val="en_US" w:bidi="en_US"/>
        </w:rPr>
        <w:t xml:space="preserve"> means “God knows what you are thinking and desiring.” God knew that their thoughts and motives were evil. He knew that they loved money rather than God. It may be necessary to make some of this explicit and say:</w:t>
      </w:r>
    </w:p>
    <w:p>
      <w:pPr/>
      <w:r>
        <w:rPr>
          <w:lang w:val="en_US" w:bidi="en_US"/>
        </w:rPr>
      </w:r>
      <w:r>
        <w:rPr>
          <w:lang w:val="en_US" w:bidi="en_US"/>
        </w:rPr>
        <w:t xml:space="preserve">God knows that your hearts/thoughts </w:t>
      </w:r>
      <w:r>
        <w:rPr>
          <w:lang w:val="en_US" w:bidi="en_US"/>
        </w:rPr>
        <w:t>are evil</w:t>
      </w:r>
    </w:p>
    <w:p>
      <w:pPr/>
      <w:r>
        <w:rPr>
          <w:lang w:val="en_US" w:bidi="en_US"/>
        </w:rPr>
      </w:r>
      <w:r>
        <w:rPr>
          <w:lang w:val="en_US" w:bidi="en_US"/>
        </w:rPr>
        <w:t>God knows what is really in your hearts (NCV)</w:t>
      </w:r>
    </w:p>
    <w:p>
      <w:pPr/>
      <w:r>
        <w:rPr>
          <w:lang w:val="en_US" w:bidi="en_US"/>
        </w:rPr>
      </w:r>
      <w:r>
        <w:rPr>
          <w:lang w:val="en_US" w:bidi="en_US"/>
        </w:rPr>
        <w:t>This clause also contains an implied warning that God will judge them. This implied information may need to be made explicit in order to make clear the connection between 16:15b and 16:15c. See the next note.</w:t>
      </w:r>
    </w:p>
    <w:p>
      <w:pPr>
        <w:pStyle w:val="Heading5"/>
      </w:pPr>
      <w:r>
        <w:rPr>
          <w:lang w:val="en_US" w:bidi="en_US"/>
        </w:rPr>
        <w:t>16:15c</w:t>
      </w:r>
    </w:p>
    <w:p>
      <w:pPr/>
      <w:r>
        <w:rPr>
          <w:lang w:val="en_US" w:bidi="en_US"/>
        </w:rPr>
      </w:r>
      <w:r>
        <w:rPr>
          <w:b/>
          <w:lang w:val="en_US" w:bidi="en_US"/>
        </w:rPr>
        <w:t>For what is prized among men is detestable before God.</w:t>
      </w:r>
    </w:p>
    <w:p>
      <w:pPr>
        <w:pStyle w:val="ListBullet"/>
        <w:spacing w:line="240" w:lineRule="auto"/>
        <w:ind w:left="720"/>
      </w:pPr>
      <w:r>
        <w:rPr>
          <w:lang w:val="en_US" w:bidi="en_US"/>
        </w:rPr>
      </w:r>
      <w:r>
        <w:rPr>
          <w:lang w:val="en_US" w:bidi="en_US"/>
        </w:rPr>
        <w:t>The things that people consider to be very important/valuable are disgusting/nauseating to God.</w:t>
      </w:r>
    </w:p>
    <w:p>
      <w:pPr>
        <w:pStyle w:val="ListBullet"/>
        <w:spacing w:line="240" w:lineRule="auto"/>
        <w:ind w:left="720"/>
      </w:pPr>
      <w:r>
        <w:rPr>
          <w:lang w:val="en_US" w:bidi="en_US"/>
        </w:rPr>
      </w:r>
      <w:r>
        <w:rPr>
          <w:lang w:val="en_US" w:bidi="en_US"/>
        </w:rPr>
        <w:t xml:space="preserve">For God hates the things that </w:t>
      </w:r>
      <w:r>
        <w:rPr>
          <w:lang w:val="en_US" w:bidi="en_US"/>
        </w:rPr>
        <w:t>most</w:t>
      </w:r>
      <w:r>
        <w:rPr>
          <w:lang w:val="en_US" w:bidi="en_US"/>
        </w:rPr>
        <w:t xml:space="preserve"> people greatly value/esteem.</w:t>
      </w:r>
    </w:p>
    <w:p>
      <w:pPr/>
      <w:r>
        <w:rPr>
          <w:lang w:val="en_US" w:bidi="en_US"/>
        </w:rPr>
      </w:r>
      <w:r>
        <w:rPr>
          <w:b/>
          <w:lang w:val="en_US" w:bidi="en_US"/>
        </w:rPr>
        <w:t>For:</w:t>
      </w:r>
      <w:r>
        <w:rPr>
          <w:lang w:val="en_US" w:bidi="en_US"/>
        </w:rPr>
        <w:t xml:space="preserve"> In the Greek text 16:15c is connected to 16:15b with a conjunction that the BSB (like the RSV and GNT) translates as </w:t>
      </w:r>
      <w:r>
        <w:rPr>
          <w:i/>
          <w:lang w:val="en_US" w:bidi="en_US"/>
        </w:rPr>
        <w:t>For</w:t>
      </w:r>
      <w:r>
        <w:rPr>
          <w:lang w:val="en_US" w:bidi="en_US"/>
        </w:rPr>
        <w:t>. This conjunction introduces a clause that may be an explanation for the implied information in 16:15b that God will punish the Pharisees.</w:t>
      </w:r>
      <w:r>
        <w:rPr>
          <w:lang w:val="en_US" w:bidi="en_US"/>
        </w:rPr>
        <w:t xml:space="preserve">Several scholars understand that implied information needs to be supplied before the conjunction </w:t>
      </w:r>
      <w:r>
        <w:rPr>
          <w:i/>
          <w:lang w:val="en_US" w:bidi="en_US"/>
        </w:rPr>
        <w:t>hoti</w:t>
      </w:r>
      <w:r>
        <w:rPr>
          <w:lang w:val="en_US" w:bidi="en_US"/>
        </w:rPr>
        <w:t xml:space="preserve"> in order for 16:15c to make sense as a reason. Marshall (p. 626) says that this whole verse is a warning of judgment. He, Godet (pp. 171–72), and Arndt (p. 360) all suggest God’s judgment or rejection as the implied information. This is followed by the TRT (p. 320).</w:t>
      </w:r>
      <w:r>
        <w:rPr>
          <w:lang w:val="en_US" w:bidi="en_US"/>
        </w:rPr>
        <w:t xml:space="preserve"> It does not introduce the reason why God knows their hearts. In some languages it may be better to omit this conjunction, as versions such as the NIV do. In other languages it may be better to supply the implied logic. For example:</w:t>
      </w:r>
    </w:p>
    <w:p>
      <w:pPr/>
      <w:r>
        <w:rPr>
          <w:lang w:val="en_US" w:bidi="en_US"/>
        </w:rPr>
      </w:r>
      <w:r>
        <w:rPr>
          <w:lang w:val="en_US" w:bidi="en_US"/>
        </w:rPr>
        <w:t xml:space="preserve">But God knows that your hearts are evil </w:t>
      </w:r>
      <w:r>
        <w:rPr>
          <w:lang w:val="en_US" w:bidi="en_US"/>
        </w:rPr>
        <w:t>and he will judge you</w:t>
      </w:r>
      <w:r>
        <w:rPr>
          <w:lang w:val="en_US" w:bidi="en_US"/>
        </w:rPr>
        <w:t xml:space="preserve">. </w:t>
      </w:r>
      <w:r>
        <w:rPr>
          <w:vertAlign w:val="superscript"/>
          <w:lang w:val="en_US" w:bidi="en_US"/>
        </w:rPr>
        <w:t>15c</w:t>
      </w:r>
      <w:r>
        <w:rPr>
          <w:lang w:val="en_US" w:bidi="en_US"/>
        </w:rPr>
        <w:t>For what is highly valued…</w:t>
      </w:r>
    </w:p>
    <w:p>
      <w:pPr/>
      <w:r>
        <w:rPr>
          <w:lang w:val="en_US" w:bidi="en_US"/>
        </w:rPr>
      </w:r>
      <w:r>
        <w:rPr>
          <w:b/>
          <w:lang w:val="en_US" w:bidi="en_US"/>
        </w:rPr>
        <w:t>what is prized among men is detestable before God:</w:t>
      </w:r>
      <w:r>
        <w:rPr>
          <w:lang w:val="en_US" w:bidi="en_US"/>
        </w:rPr>
        <w:t xml:space="preserve"> The clause </w:t>
      </w:r>
      <w:r>
        <w:rPr>
          <w:i/>
          <w:lang w:val="en_US" w:bidi="en_US"/>
        </w:rPr>
        <w:t>what is prized among men is detestable before God</w:t>
      </w:r>
      <w:r>
        <w:rPr>
          <w:lang w:val="en_US" w:bidi="en_US"/>
        </w:rPr>
        <w:t xml:space="preserve"> means “the things that people value the most are the things that God detests.” In some languages it may be more natural to change the order of the phrases. For example:</w:t>
      </w:r>
    </w:p>
    <w:p>
      <w:pPr/>
      <w:r>
        <w:rPr>
          <w:lang w:val="en_US" w:bidi="en_US"/>
        </w:rPr>
      </w:r>
      <w:r>
        <w:rPr>
          <w:lang w:val="en_US" w:bidi="en_US"/>
        </w:rPr>
        <w:t>God detests the things that people value the most</w:t>
      </w:r>
    </w:p>
    <w:p>
      <w:pPr/>
      <w:r>
        <w:rPr>
          <w:lang w:val="en_US" w:bidi="en_US"/>
        </w:rPr>
      </w:r>
      <w:r>
        <w:rPr>
          <w:lang w:val="en_US" w:bidi="en_US"/>
        </w:rPr>
        <w:t>Jesus meant this to be understood as a general principle: in general, people of this world value things that God hates. In some languages it may be necessary to make it clear that this is a general truth, not an absolute statement without exceptions. For example:</w:t>
      </w:r>
    </w:p>
    <w:p>
      <w:pPr/>
      <w:r>
        <w:rPr>
          <w:lang w:val="en_US" w:bidi="en_US"/>
        </w:rPr>
      </w:r>
      <w:r>
        <w:rPr>
          <w:lang w:val="en_US" w:bidi="en_US"/>
        </w:rPr>
        <w:t xml:space="preserve">The things that </w:t>
      </w:r>
      <w:r>
        <w:rPr>
          <w:u w:val="single"/>
          <w:lang w:val="en_US" w:bidi="en_US"/>
        </w:rPr>
        <w:t>most</w:t>
      </w:r>
      <w:r>
        <w:rPr>
          <w:lang w:val="en_US" w:bidi="en_US"/>
        </w:rPr>
        <w:t xml:space="preserve"> people think are important (CEV)</w:t>
      </w:r>
    </w:p>
    <w:p>
      <w:pPr/>
      <w:r>
        <w:rPr>
          <w:lang w:val="en_US" w:bidi="en_US"/>
        </w:rPr>
      </w:r>
      <w:r>
        <w:rPr>
          <w:b/>
          <w:lang w:val="en_US" w:bidi="en_US"/>
        </w:rPr>
        <w:t>what is prized among men:</w:t>
      </w:r>
      <w:r>
        <w:rPr>
          <w:lang w:val="en_US" w:bidi="en_US"/>
        </w:rPr>
        <w:t xml:space="preserve"> The expression </w:t>
      </w:r>
      <w:r>
        <w:rPr>
          <w:i/>
          <w:lang w:val="en_US" w:bidi="en_US"/>
        </w:rPr>
        <w:t>what is prized among men</w:t>
      </w:r>
      <w:r>
        <w:rPr>
          <w:lang w:val="en_US" w:bidi="en_US"/>
        </w:rPr>
        <w:t xml:space="preserve"> refers to “the things that people think are the most important/valuable.” Some other ways to translate this phrase are:</w:t>
      </w:r>
    </w:p>
    <w:p>
      <w:pPr/>
      <w:r>
        <w:rPr>
          <w:lang w:val="en_US" w:bidi="en_US"/>
        </w:rPr>
      </w:r>
      <w:r>
        <w:rPr>
          <w:lang w:val="en_US" w:bidi="en_US"/>
        </w:rPr>
        <w:t>the things that are considered of great value by people (GNT)</w:t>
      </w:r>
    </w:p>
    <w:p>
      <w:pPr/>
      <w:r>
        <w:rPr>
          <w:lang w:val="en_US" w:bidi="en_US"/>
        </w:rPr>
      </w:r>
      <w:r>
        <w:rPr>
          <w:lang w:val="en_US" w:bidi="en_US"/>
        </w:rPr>
        <w:t>What is important to people (NCV)</w:t>
      </w:r>
    </w:p>
    <w:p>
      <w:pPr/>
      <w:r>
        <w:rPr>
          <w:lang w:val="en_US" w:bidi="en_US"/>
        </w:rPr>
      </w:r>
      <w:r>
        <w:rPr>
          <w:b/>
          <w:lang w:val="en_US" w:bidi="en_US"/>
        </w:rPr>
        <w:t>detestable before God:</w:t>
      </w:r>
      <w:r>
        <w:rPr>
          <w:lang w:val="en_US" w:bidi="en_US"/>
        </w:rPr>
        <w:t xml:space="preserve"> The phrase </w:t>
      </w:r>
      <w:r>
        <w:rPr>
          <w:i/>
          <w:lang w:val="en_US" w:bidi="en_US"/>
        </w:rPr>
        <w:t>detestable before God</w:t>
      </w:r>
      <w:r>
        <w:rPr>
          <w:lang w:val="en_US" w:bidi="en_US"/>
        </w:rPr>
        <w:t xml:space="preserve"> is literally “an abomination before God.” It is a very strong expression. It means that God hates it. He considers it to be nauseating and disgusting. Other ways to translate this phrase are:</w:t>
      </w:r>
    </w:p>
    <w:p>
      <w:pPr/>
      <w:r>
        <w:rPr>
          <w:lang w:val="en_US" w:bidi="en_US"/>
        </w:rPr>
      </w:r>
      <w:r>
        <w:rPr>
          <w:lang w:val="en_US" w:bidi="en_US"/>
        </w:rPr>
        <w:t>hateful in God’s sight (NCV)</w:t>
      </w:r>
    </w:p>
    <w:p>
      <w:pPr/>
      <w:r>
        <w:rPr>
          <w:lang w:val="en_US" w:bidi="en_US"/>
        </w:rPr>
      </w:r>
      <w:r>
        <w:rPr>
          <w:lang w:val="en_US" w:bidi="en_US"/>
        </w:rPr>
        <w:t>disgusting to God (GW)</w:t>
      </w:r>
      <w:r>
        <w:rPr>
          <w:lang w:val="en_US" w:bidi="en_US"/>
        </w:rPr>
      </w:r>
      <w:r>
        <w:rPr>
          <w:lang w:val="en_US" w:bidi="en_US"/>
        </w:rPr>
      </w:r>
    </w:p>
    <w:p>
      <w:pPr/>
      <w:r>
        <w:rPr>
          <w:lang w:val="en_US" w:bidi="en_US"/>
        </w:rPr>
      </w:r>
    </w:p>
    <w:p>
      <w:pPr>
        <w:pStyle w:val="Heading2"/>
      </w:pPr>
      <w:r>
        <w:rPr>
          <w:lang w:val="en_US" w:bidi="en_US"/>
        </w:rPr>
        <w:t>Luke 16:16</w:t>
      </w:r>
      <w:r>
        <w:rPr>
          <w:lang w:val="en_US" w:bidi="en_US"/>
        </w:rPr>
      </w:r>
    </w:p>
    <w:p>
      <w:pPr>
        <w:pStyle w:val="Heading4"/>
      </w:pPr>
      <w:r>
        <w:rPr>
          <w:lang w:val="en_US" w:bidi="en_US"/>
        </w:rPr>
        <w:t>Section 16:14–18: Jesus spoke to the Pharisees</w:t>
      </w:r>
    </w:p>
    <w:p>
      <w:pPr/>
      <w:r>
        <w:rPr>
          <w:lang w:val="en_US" w:bidi="en_US"/>
        </w:rPr>
      </w:r>
      <w:r>
        <w:rPr>
          <w:lang w:val="en_US" w:bidi="en_US"/>
        </w:rPr>
        <w:t>In this section Jesus talked to the Pharisees about several topics. He told them that God understood their hearts, that is, that he knew what they most deeply valued and desired. He also talked to them about the authority of God’s law.</w:t>
      </w:r>
    </w:p>
    <w:p>
      <w:pPr/>
      <w:r>
        <w:rPr>
          <w:lang w:val="en_US" w:bidi="en_US"/>
        </w:rPr>
      </w:r>
      <w:r>
        <w:rPr>
          <w:lang w:val="en_US" w:bidi="en_US"/>
        </w:rPr>
        <w:t>Another possible heading for this section is:</w:t>
      </w:r>
    </w:p>
    <w:p>
      <w:pPr/>
      <w:r>
        <w:rPr>
          <w:lang w:val="en_US" w:bidi="en_US"/>
        </w:rPr>
      </w:r>
      <w:r>
        <w:rPr>
          <w:lang w:val="en_US" w:bidi="en_US"/>
        </w:rPr>
        <w:t>Some other things that Jesus taught</w:t>
      </w:r>
    </w:p>
    <w:p>
      <w:pPr/>
      <w:r>
        <w:rPr>
          <w:lang w:val="en_US" w:bidi="en_US"/>
        </w:rPr>
      </w:r>
      <w:r>
        <w:rPr>
          <w:lang w:val="en_US" w:bidi="en_US"/>
        </w:rPr>
        <w:t>There are parallel passages for this section in Matthew 5:31–32 and Mark 10:11–12.</w:t>
      </w:r>
    </w:p>
    <w:p>
      <w:pPr>
        <w:pStyle w:val="Heading5"/>
      </w:pPr>
      <w:r>
        <w:rPr>
          <w:lang w:val="en_US" w:bidi="en_US"/>
        </w:rPr>
        <w:t>16:16a</w:t>
      </w:r>
    </w:p>
    <w:p>
      <w:pPr/>
      <w:r>
        <w:rPr>
          <w:lang w:val="en_US" w:bidi="en_US"/>
        </w:rPr>
      </w:r>
      <w:r>
        <w:rPr>
          <w:b/>
          <w:lang w:val="en_US" w:bidi="en_US"/>
        </w:rPr>
        <w:t>The Law and the Prophets were proclaimed until John.</w:t>
      </w:r>
    </w:p>
    <w:p>
      <w:pPr>
        <w:pStyle w:val="ListBullet"/>
        <w:spacing w:line="240" w:lineRule="auto"/>
        <w:ind w:left="720"/>
      </w:pPr>
      <w:r>
        <w:rPr>
          <w:lang w:val="en_US" w:bidi="en_US"/>
        </w:rPr>
      </w:r>
      <w:r>
        <w:rPr>
          <w:lang w:val="en_US" w:bidi="en_US"/>
        </w:rPr>
        <w:t xml:space="preserve">¶ “The Law </w:t>
      </w:r>
      <w:r>
        <w:rPr>
          <w:lang w:val="en_US" w:bidi="en_US"/>
        </w:rPr>
        <w:t>of Moses</w:t>
      </w:r>
      <w:r>
        <w:rPr>
          <w:lang w:val="en_US" w:bidi="en_US"/>
        </w:rPr>
        <w:t xml:space="preserve"> and </w:t>
      </w:r>
      <w:r>
        <w:rPr>
          <w:lang w:val="en_US" w:bidi="en_US"/>
        </w:rPr>
        <w:t>the books that</w:t>
      </w:r>
      <w:r>
        <w:rPr>
          <w:lang w:val="en_US" w:bidi="en_US"/>
        </w:rPr>
        <w:t xml:space="preserve"> the prophets </w:t>
      </w:r>
      <w:r>
        <w:rPr>
          <w:lang w:val="en_US" w:bidi="en_US"/>
        </w:rPr>
        <w:t>wrote</w:t>
      </w:r>
      <w:r>
        <w:rPr>
          <w:lang w:val="en_US" w:bidi="en_US"/>
        </w:rPr>
        <w:t xml:space="preserve"> </w:t>
      </w:r>
      <w:r>
        <w:rPr>
          <w:lang w:val="en_US" w:bidi="en_US"/>
        </w:rPr>
        <w:t>were taught/followed</w:t>
      </w:r>
      <w:r>
        <w:rPr>
          <w:lang w:val="en_US" w:bidi="en_US"/>
        </w:rPr>
        <w:t xml:space="preserve"> until the time of John </w:t>
      </w:r>
      <w:r>
        <w:rPr>
          <w:lang w:val="en_US" w:bidi="en_US"/>
        </w:rPr>
        <w:t>the Baptizer</w:t>
      </w:r>
      <w:r>
        <w:rPr>
          <w:lang w:val="en_US" w:bidi="en_US"/>
        </w:rPr>
        <w:t>.</w:t>
      </w:r>
    </w:p>
    <w:p>
      <w:pPr>
        <w:pStyle w:val="ListBullet"/>
        <w:spacing w:line="240" w:lineRule="auto"/>
        <w:ind w:left="720"/>
      </w:pPr>
      <w:r>
        <w:rPr>
          <w:lang w:val="en_US" w:bidi="en_US"/>
        </w:rPr>
      </w:r>
      <w:r>
        <w:rPr>
          <w:lang w:val="en_US" w:bidi="en_US"/>
        </w:rPr>
        <w:t xml:space="preserve">¶ “The Law </w:t>
      </w:r>
      <w:r>
        <w:rPr>
          <w:lang w:val="en_US" w:bidi="en_US"/>
        </w:rPr>
        <w:t>of Moses</w:t>
      </w:r>
      <w:r>
        <w:rPr>
          <w:lang w:val="en_US" w:bidi="en_US"/>
        </w:rPr>
        <w:t xml:space="preserve"> and </w:t>
      </w:r>
      <w:r>
        <w:rPr>
          <w:lang w:val="en_US" w:bidi="en_US"/>
        </w:rPr>
        <w:t>the writings/books of</w:t>
      </w:r>
      <w:r>
        <w:rPr>
          <w:lang w:val="en_US" w:bidi="en_US"/>
        </w:rPr>
        <w:t xml:space="preserve"> the prophets </w:t>
      </w:r>
      <w:r>
        <w:rPr>
          <w:lang w:val="en_US" w:bidi="en_US"/>
        </w:rPr>
        <w:t>guided</w:t>
      </w:r>
      <w:r>
        <w:rPr>
          <w:lang w:val="en_US" w:bidi="en_US"/>
        </w:rPr>
        <w:t xml:space="preserve"> </w:t>
      </w:r>
      <w:r>
        <w:rPr>
          <w:lang w:val="en_US" w:bidi="en_US"/>
        </w:rPr>
        <w:t>people</w:t>
      </w:r>
      <w:r>
        <w:rPr>
          <w:lang w:val="en_US" w:bidi="en_US"/>
        </w:rPr>
        <w:t xml:space="preserve"> until the time of John </w:t>
      </w:r>
      <w:r>
        <w:rPr>
          <w:lang w:val="en_US" w:bidi="en_US"/>
        </w:rPr>
        <w:t>who baptized people</w:t>
      </w:r>
      <w:r>
        <w:rPr>
          <w:lang w:val="en_US" w:bidi="en_US"/>
        </w:rPr>
        <w:t>.</w:t>
      </w:r>
    </w:p>
    <w:p>
      <w:pPr>
        <w:pStyle w:val="ListBullet"/>
        <w:spacing w:line="240" w:lineRule="auto"/>
        <w:ind w:left="720"/>
      </w:pPr>
      <w:r>
        <w:rPr>
          <w:lang w:val="en_US" w:bidi="en_US"/>
        </w:rPr>
      </w:r>
      <w:r>
        <w:rPr>
          <w:lang w:val="en_US" w:bidi="en_US"/>
        </w:rPr>
        <w:t xml:space="preserve">¶ “Before the time when John </w:t>
      </w:r>
      <w:r>
        <w:rPr>
          <w:lang w:val="en_US" w:bidi="en_US"/>
        </w:rPr>
        <w:t>came</w:t>
      </w:r>
      <w:r>
        <w:rPr>
          <w:lang w:val="en_US" w:bidi="en_US"/>
        </w:rPr>
        <w:t xml:space="preserve">, </w:t>
      </w:r>
      <w:r>
        <w:rPr>
          <w:lang w:val="en_US" w:bidi="en_US"/>
        </w:rPr>
        <w:t>leaders of the Jews</w:t>
      </w:r>
      <w:r>
        <w:rPr>
          <w:lang w:val="en_US" w:bidi="en_US"/>
        </w:rPr>
        <w:t xml:space="preserve"> </w:t>
      </w:r>
      <w:r>
        <w:rPr>
          <w:lang w:val="en_US" w:bidi="en_US"/>
        </w:rPr>
        <w:t>taught people to obey</w:t>
      </w:r>
      <w:r>
        <w:rPr>
          <w:lang w:val="en_US" w:bidi="en_US"/>
        </w:rPr>
        <w:t xml:space="preserve"> the Law </w:t>
      </w:r>
      <w:r>
        <w:rPr>
          <w:lang w:val="en_US" w:bidi="en_US"/>
        </w:rPr>
        <w:t>of Moses</w:t>
      </w:r>
      <w:r>
        <w:rPr>
          <w:lang w:val="en_US" w:bidi="en_US"/>
        </w:rPr>
        <w:t xml:space="preserve"> and </w:t>
      </w:r>
      <w:r>
        <w:rPr>
          <w:lang w:val="en_US" w:bidi="en_US"/>
        </w:rPr>
        <w:t>the writings of</w:t>
      </w:r>
      <w:r>
        <w:rPr>
          <w:lang w:val="en_US" w:bidi="en_US"/>
        </w:rPr>
        <w:t xml:space="preserve"> the Prophets.</w:t>
      </w:r>
    </w:p>
    <w:p>
      <w:pPr/>
      <w:r>
        <w:rPr>
          <w:lang w:val="en_US" w:bidi="en_US"/>
        </w:rPr>
      </w:r>
      <w:r>
        <w:rPr>
          <w:b/>
          <w:lang w:val="en_US" w:bidi="en_US"/>
        </w:rPr>
        <w:t>The Law and the Prophets were proclaimed until John:</w:t>
      </w:r>
      <w:r>
        <w:rPr>
          <w:lang w:val="en_US" w:bidi="en_US"/>
        </w:rPr>
        <w:t xml:space="preserve"> The Greek expression that the BSB translates as </w:t>
      </w:r>
      <w:r>
        <w:rPr>
          <w:i/>
          <w:lang w:val="en_US" w:bidi="en_US"/>
        </w:rPr>
        <w:t>The Law and the Prophets were proclaimed until John</w:t>
      </w:r>
      <w:r>
        <w:rPr>
          <w:lang w:val="en_US" w:bidi="en_US"/>
        </w:rPr>
        <w:t xml:space="preserve"> is literally “The law and the prophets until John.” There is no verb in the Greek expression. Most English versions have supplied a verb to clarify the meaning.</w:t>
      </w:r>
      <w:r>
        <w:rPr>
          <w:lang w:val="en_US" w:bidi="en_US"/>
        </w:rPr>
        <w:t>The KJV, RSV, NJB, and REB supply only the verb “were/was.” This may wrongly imply that the Old Testament existed only until the time of John the Baptist.</w:t>
      </w:r>
      <w:r>
        <w:rPr>
          <w:lang w:val="en_US" w:bidi="en_US"/>
        </w:rPr>
        <w:t xml:space="preserve"> This Greek expression implies at least two ideas:</w:t>
      </w:r>
    </w:p>
    <w:p>
      <w:pPr>
        <w:pStyle w:val="ListNumber"/>
        <w:numPr>
          <w:ilvl w:val="0"/>
          <w:numId w:val="269"/>
        </w:numPr>
        <w:spacing w:line="240" w:lineRule="auto"/>
        <w:ind w:left="720"/>
      </w:pPr>
      <w:r>
        <w:rPr>
          <w:lang w:val="en_US" w:bidi="en_US"/>
        </w:rPr>
      </w:r>
      <w:r>
        <w:rPr>
          <w:lang w:val="en_US" w:bidi="en_US"/>
        </w:rPr>
        <w:t>It implies that the law and prophets “were in effect and had authority” until John came. For example:</w:t>
      </w:r>
      <w:r>
        <w:rPr>
          <w:lang w:val="en_US" w:bidi="en_US"/>
        </w:rPr>
        <w:t xml:space="preserve">The Law of Moses and the writings of the prophets were in effect up to the time of John the Baptist. (GNT) </w:t>
      </w:r>
      <w:r>
        <w:rPr>
          <w:i/>
          <w:lang w:val="en_US" w:bidi="en_US"/>
        </w:rPr>
        <w:t>(GNT, CEV, NLT, GNT, GW, NRSV, NET, JBP)</w:t>
      </w:r>
    </w:p>
    <w:p>
      <w:pPr>
        <w:pStyle w:val="ListNumber"/>
        <w:spacing w:line="240" w:lineRule="auto"/>
        <w:ind w:left="720"/>
      </w:pPr>
      <w:r>
        <w:rPr>
          <w:lang w:val="en_US" w:bidi="en_US"/>
        </w:rPr>
      </w:r>
      <w:r>
        <w:rPr>
          <w:lang w:val="en_US" w:bidi="en_US"/>
        </w:rPr>
        <w:t>It implies that the law and prophets “were preached/proclaimed” until John came. For example:</w:t>
      </w:r>
      <w:r>
        <w:rPr>
          <w:lang w:val="en_US" w:bidi="en_US"/>
        </w:rPr>
        <w:t xml:space="preserve">The law of Moses and the writings of the prophets were preached until John came. (NCV) </w:t>
      </w:r>
      <w:r>
        <w:rPr>
          <w:i/>
          <w:lang w:val="en_US" w:bidi="en_US"/>
        </w:rPr>
        <w:t>(BSB, NCV, NIV, NASB)</w:t>
      </w:r>
    </w:p>
    <w:p>
      <w:pPr/>
      <w:r>
        <w:rPr>
          <w:lang w:val="en_US" w:bidi="en_US"/>
        </w:rPr>
      </w:r>
      <w:r>
        <w:rPr>
          <w:lang w:val="en_US" w:bidi="en_US"/>
        </w:rPr>
        <w:t>You may express either of these ideas or a combination of the two. One way to express both ideas is:</w:t>
      </w:r>
    </w:p>
    <w:p>
      <w:pPr/>
      <w:r>
        <w:rPr>
          <w:lang w:val="en_US" w:bidi="en_US"/>
        </w:rPr>
      </w:r>
      <w:r>
        <w:rPr>
          <w:lang w:val="en_US" w:bidi="en_US"/>
        </w:rPr>
        <w:t>Before the time of John, the Jewish people were taught to follow the Law of Moses and the books that the prophets wrote.</w:t>
      </w:r>
    </w:p>
    <w:p>
      <w:pPr/>
      <w:r>
        <w:rPr>
          <w:lang w:val="en_US" w:bidi="en_US"/>
        </w:rPr>
      </w:r>
      <w:r>
        <w:rPr>
          <w:lang w:val="en_US" w:bidi="en_US"/>
        </w:rPr>
        <w:t>If you cannot use a passive verb such as “were taught/proclaimed,” you may use an active verb and supply a subject such as “the Jewish leaders.” For example:</w:t>
      </w:r>
    </w:p>
    <w:p>
      <w:pPr/>
      <w:r>
        <w:rPr>
          <w:lang w:val="en_US" w:bidi="en_US"/>
        </w:rPr>
      </w:r>
      <w:r>
        <w:rPr>
          <w:lang w:val="en_US" w:bidi="en_US"/>
        </w:rPr>
        <w:t>The leaders of the Jews taught people to obey the Law of Moses and the writings of the prophets.</w:t>
      </w:r>
    </w:p>
    <w:p>
      <w:pPr/>
      <w:r>
        <w:rPr>
          <w:lang w:val="en_US" w:bidi="en_US"/>
        </w:rPr>
      </w:r>
      <w:r>
        <w:rPr>
          <w:lang w:val="en_US" w:bidi="en_US"/>
        </w:rPr>
        <w:t xml:space="preserve">It may be natural in your language to place the time phrase </w:t>
      </w:r>
      <w:r>
        <w:rPr>
          <w:i/>
          <w:lang w:val="en_US" w:bidi="en_US"/>
        </w:rPr>
        <w:t>until John</w:t>
      </w:r>
      <w:r>
        <w:rPr>
          <w:lang w:val="en_US" w:bidi="en_US"/>
        </w:rPr>
        <w:t xml:space="preserve"> at the beginning of the sentence. For example:</w:t>
      </w:r>
    </w:p>
    <w:p>
      <w:pPr/>
      <w:r>
        <w:rPr>
          <w:lang w:val="en_US" w:bidi="en_US"/>
        </w:rPr>
      </w:r>
      <w:r>
        <w:rPr>
          <w:lang w:val="en_US" w:bidi="en_US"/>
        </w:rPr>
        <w:t>Until John the Baptist, the law of Moses and the messages of the prophets were your guides. (NLT)</w:t>
      </w:r>
    </w:p>
    <w:p>
      <w:pPr/>
      <w:r>
        <w:rPr>
          <w:lang w:val="en_US" w:bidi="en_US"/>
        </w:rPr>
      </w:r>
      <w:r>
        <w:rPr>
          <w:lang w:val="en_US" w:bidi="en_US"/>
        </w:rPr>
        <w:t xml:space="preserve">In some languages this order may result in a better contrast between </w:t>
      </w:r>
      <w:r>
        <w:rPr>
          <w:i/>
          <w:lang w:val="en_US" w:bidi="en_US"/>
        </w:rPr>
        <w:t>until John</w:t>
      </w:r>
      <w:r>
        <w:rPr>
          <w:lang w:val="en_US" w:bidi="en_US"/>
        </w:rPr>
        <w:t xml:space="preserve"> in 16:16a and “Since that time” in 16:16b. Consider what order would be more natural in your language.</w:t>
      </w:r>
    </w:p>
    <w:p>
      <w:pPr/>
      <w:r>
        <w:rPr>
          <w:lang w:val="en_US" w:bidi="en_US"/>
        </w:rPr>
      </w:r>
      <w:r>
        <w:rPr>
          <w:b/>
          <w:lang w:val="en_US" w:bidi="en_US"/>
        </w:rPr>
        <w:t>The Law and the Prophets:</w:t>
      </w:r>
      <w:r>
        <w:rPr>
          <w:lang w:val="en_US" w:bidi="en_US"/>
        </w:rPr>
        <w:t xml:space="preserve"> The phrase </w:t>
      </w:r>
      <w:r>
        <w:rPr>
          <w:i/>
          <w:lang w:val="en_US" w:bidi="en_US"/>
        </w:rPr>
        <w:t>The Law and the Prophets</w:t>
      </w:r>
      <w:r>
        <w:rPr>
          <w:lang w:val="en_US" w:bidi="en_US"/>
        </w:rPr>
        <w:t xml:space="preserve"> refers to two of the divisions of the Old Testament, the Law </w:t>
      </w:r>
      <w:r>
        <w:rPr>
          <w:lang w:val="en_US" w:bidi="en_US"/>
        </w:rPr>
        <w:t>of Moses</w:t>
      </w:r>
      <w:r>
        <w:rPr>
          <w:lang w:val="en_US" w:bidi="en_US"/>
        </w:rPr>
        <w:t xml:space="preserve"> and </w:t>
      </w:r>
      <w:r>
        <w:rPr>
          <w:lang w:val="en_US" w:bidi="en_US"/>
        </w:rPr>
        <w:t>the Writings/Books of</w:t>
      </w:r>
      <w:r>
        <w:rPr>
          <w:lang w:val="en_US" w:bidi="en_US"/>
        </w:rPr>
        <w:t xml:space="preserve"> the Prophets. In many languages it will be necessary to use more explicit phrases like this. See the preceding GNT example under (a) in 16:16a.</w:t>
      </w:r>
    </w:p>
    <w:p>
      <w:pPr/>
      <w:r>
        <w:rPr>
          <w:lang w:val="en_US" w:bidi="en_US"/>
        </w:rPr>
      </w:r>
      <w:r>
        <w:rPr>
          <w:lang w:val="en_US" w:bidi="en_US"/>
        </w:rPr>
        <w:t xml:space="preserve">The Jews sometimes used the expression </w:t>
      </w:r>
      <w:r>
        <w:rPr>
          <w:i/>
          <w:lang w:val="en_US" w:bidi="en_US"/>
        </w:rPr>
        <w:t>The Law and the Prophets</w:t>
      </w:r>
      <w:r>
        <w:rPr>
          <w:lang w:val="en_US" w:bidi="en_US"/>
        </w:rPr>
        <w:t xml:space="preserve"> to refer to the whole Old Testament, the Hebrew Scriptures. Jesus used it in that way here. Consider putting this information in a footnote. For example:</w:t>
      </w:r>
    </w:p>
    <w:p>
      <w:pPr/>
      <w:r>
        <w:rPr>
          <w:lang w:val="en_US" w:bidi="en_US"/>
        </w:rPr>
      </w:r>
      <w:r>
        <w:rPr>
          <w:lang w:val="en_US" w:bidi="en_US"/>
        </w:rPr>
        <w:t>The Jews often used the expression “the Law and the Prophets” to refer to the whole Old Testament. That is its meaning here.</w:t>
      </w:r>
    </w:p>
    <w:p>
      <w:pPr/>
      <w:r>
        <w:rPr>
          <w:lang w:val="en_US" w:bidi="en_US"/>
        </w:rPr>
      </w:r>
      <w:r>
        <w:rPr>
          <w:b/>
          <w:lang w:val="en_US" w:bidi="en_US"/>
        </w:rPr>
        <w:t>Prophets:</w:t>
      </w:r>
      <w:r>
        <w:rPr>
          <w:lang w:val="en_US" w:bidi="en_US"/>
        </w:rPr>
        <w:t xml:space="preserve"> In this context the word </w:t>
      </w:r>
      <w:r>
        <w:rPr>
          <w:i/>
          <w:lang w:val="en_US" w:bidi="en_US"/>
        </w:rPr>
        <w:t>Prophets</w:t>
      </w:r>
      <w:r>
        <w:rPr>
          <w:lang w:val="en_US" w:bidi="en_US"/>
        </w:rPr>
        <w:t xml:space="preserve"> refers to the writings of the prophets in the OT. These prophets were men and women who spoke on behalf of God. They told people what God revealed to them. Later these words were written and became part of the OT Scriptures.</w:t>
      </w:r>
    </w:p>
    <w:p>
      <w:pPr/>
      <w:r>
        <w:rPr>
          <w:lang w:val="en_US" w:bidi="en_US"/>
        </w:rPr>
      </w:r>
      <w:r>
        <w:rPr>
          <w:lang w:val="en_US" w:bidi="en_US"/>
        </w:rPr>
        <w:t xml:space="preserve">The word </w:t>
      </w:r>
      <w:r>
        <w:rPr>
          <w:i/>
          <w:lang w:val="en_US" w:bidi="en_US"/>
        </w:rPr>
        <w:t>Prophets</w:t>
      </w:r>
      <w:r>
        <w:rPr>
          <w:lang w:val="en_US" w:bidi="en_US"/>
        </w:rPr>
        <w:t xml:space="preserve"> also occurs at 13:28b. See also prophet in the Glossary.</w:t>
      </w:r>
    </w:p>
    <w:p>
      <w:pPr/>
      <w:r>
        <w:rPr>
          <w:lang w:val="en_US" w:bidi="en_US"/>
        </w:rPr>
      </w:r>
      <w:r>
        <w:rPr>
          <w:b/>
          <w:lang w:val="en_US" w:bidi="en_US"/>
        </w:rPr>
        <w:t>until John:</w:t>
      </w:r>
      <w:r>
        <w:rPr>
          <w:lang w:val="en_US" w:bidi="en_US"/>
        </w:rPr>
        <w:t xml:space="preserve"> The name </w:t>
      </w:r>
      <w:r>
        <w:rPr>
          <w:i/>
          <w:lang w:val="en_US" w:bidi="en_US"/>
        </w:rPr>
        <w:t>John</w:t>
      </w:r>
      <w:r>
        <w:rPr>
          <w:lang w:val="en_US" w:bidi="en_US"/>
        </w:rPr>
        <w:t xml:space="preserve"> refers to John the Baptist. He preached and baptized just before Jesus began to preach and baptize. See Luke 3:1–23. There are two ways to interpret the phrase </w:t>
      </w:r>
      <w:r>
        <w:rPr>
          <w:i/>
          <w:lang w:val="en_US" w:bidi="en_US"/>
        </w:rPr>
        <w:t>until John</w:t>
      </w:r>
      <w:r>
        <w:rPr>
          <w:lang w:val="en_US" w:bidi="en_US"/>
        </w:rPr>
        <w:t>:</w:t>
      </w:r>
    </w:p>
    <w:p>
      <w:pPr>
        <w:pStyle w:val="ListNumber"/>
        <w:numPr>
          <w:ilvl w:val="0"/>
          <w:numId w:val="270"/>
        </w:numPr>
        <w:spacing w:line="240" w:lineRule="auto"/>
        <w:ind w:left="720"/>
      </w:pPr>
      <w:r>
        <w:rPr>
          <w:lang w:val="en_US" w:bidi="en_US"/>
        </w:rPr>
      </w:r>
      <w:r>
        <w:rPr>
          <w:lang w:val="en_US" w:bidi="en_US"/>
        </w:rPr>
        <w:t>It means “up to but not including John.” Another way to translate this phrase is:</w:t>
      </w:r>
      <w:r>
        <w:rPr>
          <w:lang w:val="en_US" w:bidi="en_US"/>
        </w:rPr>
        <w:t>before the time of John the Baptizer</w:t>
      </w:r>
    </w:p>
    <w:p>
      <w:pPr>
        <w:pStyle w:val="ListNumber"/>
        <w:spacing w:line="240" w:lineRule="auto"/>
        <w:ind w:left="720"/>
      </w:pPr>
      <w:r>
        <w:rPr>
          <w:lang w:val="en_US" w:bidi="en_US"/>
        </w:rPr>
      </w:r>
      <w:r>
        <w:rPr>
          <w:lang w:val="en_US" w:bidi="en_US"/>
        </w:rPr>
        <w:t>It means “up to and including John.”</w:t>
      </w:r>
    </w:p>
    <w:p>
      <w:pPr/>
      <w:r>
        <w:rPr>
          <w:lang w:val="en_US" w:bidi="en_US"/>
        </w:rPr>
      </w:r>
      <w:r>
        <w:rPr>
          <w:lang w:val="en_US" w:bidi="en_US"/>
        </w:rPr>
        <w:t>English versions are ambiguous. If it is not possible to translate ambiguously, it is recommended that you follow interpretation (1), along with most scholars. John did not represent the Old Covenant. He preached the good news, as Jesus did at the beginning of his ministry (see 3:18).</w:t>
      </w:r>
    </w:p>
    <w:p>
      <w:pPr>
        <w:pStyle w:val="Heading5"/>
      </w:pPr>
      <w:r>
        <w:rPr>
          <w:lang w:val="en_US" w:bidi="en_US"/>
        </w:rPr>
        <w:t>16:16b</w:t>
      </w:r>
    </w:p>
    <w:p>
      <w:pPr/>
      <w:r>
        <w:rPr>
          <w:lang w:val="en_US" w:bidi="en_US"/>
        </w:rPr>
      </w:r>
      <w:r>
        <w:rPr>
          <w:b/>
          <w:lang w:val="en_US" w:bidi="en_US"/>
        </w:rPr>
        <w:t>Since that time, the gospel of the kingdom of God is being preached,</w:t>
      </w:r>
    </w:p>
    <w:p>
      <w:pPr>
        <w:pStyle w:val="ListBullet"/>
        <w:spacing w:line="240" w:lineRule="auto"/>
        <w:ind w:left="720"/>
      </w:pPr>
      <w:r>
        <w:rPr>
          <w:lang w:val="en_US" w:bidi="en_US"/>
        </w:rPr>
      </w:r>
      <w:r>
        <w:rPr>
          <w:lang w:val="en_US" w:bidi="en_US"/>
        </w:rPr>
        <w:t>Since the time of John, the good news about God’s kingdom has been preached/proclaimed,</w:t>
      </w:r>
    </w:p>
    <w:p>
      <w:pPr>
        <w:pStyle w:val="ListBullet"/>
        <w:spacing w:line="240" w:lineRule="auto"/>
        <w:ind w:left="720"/>
      </w:pPr>
      <w:r>
        <w:rPr>
          <w:lang w:val="en_US" w:bidi="en_US"/>
        </w:rPr>
      </w:r>
      <w:r>
        <w:rPr>
          <w:lang w:val="en_US" w:bidi="en_US"/>
        </w:rPr>
        <w:t xml:space="preserve">Starting from then, </w:t>
      </w:r>
      <w:r>
        <w:rPr>
          <w:lang w:val="en_US" w:bidi="en_US"/>
        </w:rPr>
        <w:t>I and my disciples</w:t>
      </w:r>
      <w:r>
        <w:rPr>
          <w:lang w:val="en_US" w:bidi="en_US"/>
        </w:rPr>
        <w:t xml:space="preserve"> have been preaching/teaching the good news about God’s reign/chieftaincy,</w:t>
      </w:r>
    </w:p>
    <w:p>
      <w:pPr/>
      <w:r>
        <w:rPr>
          <w:lang w:val="en_US" w:bidi="en_US"/>
        </w:rPr>
      </w:r>
      <w:r>
        <w:rPr>
          <w:b/>
          <w:lang w:val="en_US" w:bidi="en_US"/>
        </w:rPr>
        <w:t>Since that time:</w:t>
      </w:r>
      <w:r>
        <w:rPr>
          <w:lang w:val="en_US" w:bidi="en_US"/>
        </w:rPr>
        <w:t xml:space="preserve"> The phrase </w:t>
      </w:r>
      <w:r>
        <w:rPr>
          <w:i/>
          <w:lang w:val="en_US" w:bidi="en_US"/>
        </w:rPr>
        <w:t>Since that time</w:t>
      </w:r>
      <w:r>
        <w:rPr>
          <w:lang w:val="en_US" w:bidi="en_US"/>
        </w:rPr>
        <w:t xml:space="preserve"> probably refers to the general time of John the Baptist’s ministry and after.</w:t>
      </w:r>
    </w:p>
    <w:p>
      <w:pPr/>
      <w:r>
        <w:rPr>
          <w:lang w:val="en_US" w:bidi="en_US"/>
        </w:rPr>
      </w:r>
      <w:r>
        <w:rPr>
          <w:b/>
          <w:lang w:val="en_US" w:bidi="en_US"/>
        </w:rPr>
        <w:t>the gospel of the kingdom of God is being preached:</w:t>
      </w:r>
      <w:r>
        <w:rPr>
          <w:lang w:val="en_US" w:bidi="en_US"/>
        </w:rPr>
        <w:t xml:space="preserve"> In Greek, this clause consists of five words: a subject </w:t>
      </w:r>
      <w:r>
        <w:rPr>
          <w:i/>
          <w:lang w:val="en_US" w:bidi="en_US"/>
        </w:rPr>
        <w:t>the kingdom of God</w:t>
      </w:r>
      <w:r>
        <w:rPr>
          <w:lang w:val="en_US" w:bidi="en_US"/>
        </w:rPr>
        <w:t xml:space="preserve"> and a verb “good-news-is-being-preached.” The Notes will discuss the meaning of this clause in terms of normal English grammar and word order.</w:t>
      </w:r>
    </w:p>
    <w:p>
      <w:pPr/>
      <w:r>
        <w:rPr>
          <w:lang w:val="en_US" w:bidi="en_US"/>
        </w:rPr>
      </w:r>
      <w:r>
        <w:rPr>
          <w:lang w:val="en_US" w:bidi="en_US"/>
        </w:rPr>
        <w:t xml:space="preserve">The Greek verb that the BSB translates as </w:t>
      </w:r>
      <w:r>
        <w:rPr>
          <w:i/>
          <w:lang w:val="en_US" w:bidi="en_US"/>
        </w:rPr>
        <w:t>is being preached</w:t>
      </w:r>
      <w:r>
        <w:rPr>
          <w:lang w:val="en_US" w:bidi="en_US"/>
        </w:rPr>
        <w:t xml:space="preserve"> is a passive verb. If it is necessary to use an active verb in your language, here are some ways to translate it:</w:t>
      </w:r>
    </w:p>
    <w:p>
      <w:pPr>
        <w:pStyle w:val="ListBullet"/>
        <w:spacing w:line="240" w:lineRule="auto"/>
        <w:ind w:left="720"/>
      </w:pPr>
      <w:r>
        <w:rPr>
          <w:lang w:val="en_US" w:bidi="en_US"/>
        </w:rPr>
      </w:r>
      <w:r>
        <w:rPr>
          <w:lang w:val="en_US" w:bidi="en_US"/>
        </w:rPr>
        <w:t>Supply a general subject if possible. For example:</w:t>
      </w:r>
      <w:r>
        <w:rPr>
          <w:lang w:val="en_US" w:bidi="en_US"/>
        </w:rPr>
        <w:t>some/people are preaching the good news</w:t>
      </w:r>
    </w:p>
    <w:p>
      <w:pPr>
        <w:pStyle w:val="ListBullet"/>
        <w:spacing w:line="240" w:lineRule="auto"/>
        <w:ind w:left="720"/>
      </w:pPr>
      <w:r>
        <w:rPr>
          <w:lang w:val="en_US" w:bidi="en_US"/>
        </w:rPr>
      </w:r>
      <w:r>
        <w:rPr>
          <w:lang w:val="en_US" w:bidi="en_US"/>
        </w:rPr>
        <w:t>Supply a more specific subject like “I” or “we</w:t>
      </w:r>
      <w:r>
        <w:rPr>
          <w:vertAlign w:val="superscript"/>
          <w:lang w:val="en_US" w:bidi="en_US"/>
        </w:rPr>
        <w:t>(excl)</w:t>
      </w:r>
      <w:r>
        <w:rPr>
          <w:lang w:val="en_US" w:bidi="en_US"/>
        </w:rPr>
        <w:t>.” Such a subject implies that Jesus himself or he and others like his disciples were preaching the good news. For example:</w:t>
      </w:r>
      <w:r>
        <w:rPr>
          <w:lang w:val="en_US" w:bidi="en_US"/>
        </w:rPr>
        <w:t>I</w:t>
      </w:r>
      <w:r>
        <w:rPr>
          <w:lang w:val="en_US" w:bidi="en_US"/>
        </w:rPr>
        <w:t xml:space="preserve"> have been preaching the good news</w:t>
      </w:r>
      <w:r>
        <w:rPr>
          <w:lang w:val="en_US" w:bidi="en_US"/>
        </w:rPr>
        <w:t>we</w:t>
      </w:r>
      <w:r>
        <w:rPr>
          <w:vertAlign w:val="superscript"/>
          <w:lang w:val="en_US" w:bidi="en_US"/>
        </w:rPr>
        <w:t>(excl)</w:t>
      </w:r>
      <w:r>
        <w:rPr>
          <w:lang w:val="en_US" w:bidi="en_US"/>
        </w:rPr>
        <w:t xml:space="preserve"> have been proclaiming the good news</w:t>
      </w:r>
    </w:p>
    <w:p>
      <w:pPr/>
      <w:r>
        <w:rPr>
          <w:lang w:val="en_US" w:bidi="en_US"/>
        </w:rPr>
      </w:r>
      <w:r>
        <w:rPr>
          <w:lang w:val="en_US" w:bidi="en_US"/>
        </w:rPr>
        <w:t>See the notes on 4:43a and 8:1b, where almost identical expressions occur.</w:t>
      </w:r>
    </w:p>
    <w:p>
      <w:pPr/>
      <w:r>
        <w:rPr>
          <w:lang w:val="en_US" w:bidi="en_US"/>
        </w:rPr>
      </w:r>
      <w:r>
        <w:rPr>
          <w:b/>
          <w:lang w:val="en_US" w:bidi="en_US"/>
        </w:rPr>
        <w:t>the gospel…is being preached:</w:t>
      </w:r>
      <w:r>
        <w:rPr>
          <w:lang w:val="en_US" w:bidi="en_US"/>
        </w:rPr>
        <w:t xml:space="preserve"> The Greek verb that the BSB translates as </w:t>
      </w:r>
      <w:r>
        <w:rPr>
          <w:i/>
          <w:lang w:val="en_US" w:bidi="en_US"/>
        </w:rPr>
        <w:t>the gospel…is being preached</w:t>
      </w:r>
      <w:r>
        <w:rPr>
          <w:lang w:val="en_US" w:bidi="en_US"/>
        </w:rPr>
        <w:t xml:space="preserve"> means to publicly tell people good news. Some other ways to translate </w:t>
      </w:r>
      <w:r>
        <w:rPr>
          <w:i/>
          <w:lang w:val="en_US" w:bidi="en_US"/>
        </w:rPr>
        <w:t>the gospel…is being preached</w:t>
      </w:r>
      <w:r>
        <w:rPr>
          <w:lang w:val="en_US" w:bidi="en_US"/>
        </w:rPr>
        <w:t xml:space="preserve"> are:</w:t>
      </w:r>
    </w:p>
    <w:p>
      <w:pPr/>
      <w:r>
        <w:rPr>
          <w:lang w:val="en_US" w:bidi="en_US"/>
        </w:rPr>
      </w:r>
      <w:r>
        <w:rPr>
          <w:lang w:val="en_US" w:bidi="en_US"/>
        </w:rPr>
        <w:t>the good/sweet news…is being announced</w:t>
      </w:r>
    </w:p>
    <w:p>
      <w:pPr/>
      <w:r>
        <w:rPr>
          <w:lang w:val="en_US" w:bidi="en_US"/>
        </w:rPr>
      </w:r>
      <w:r>
        <w:rPr>
          <w:lang w:val="en_US" w:bidi="en_US"/>
        </w:rPr>
        <w:t>good news…is being preached</w:t>
      </w:r>
    </w:p>
    <w:p>
      <w:pPr/>
      <w:r>
        <w:rPr>
          <w:lang w:val="en_US" w:bidi="en_US"/>
        </w:rPr>
      </w:r>
      <w:r>
        <w:rPr>
          <w:lang w:val="en_US" w:bidi="en_US"/>
        </w:rPr>
        <w:t>the message/report…that causes joy is being told</w:t>
      </w:r>
    </w:p>
    <w:p>
      <w:pPr/>
      <w:r>
        <w:rPr>
          <w:lang w:val="en_US" w:bidi="en_US"/>
        </w:rPr>
      </w:r>
      <w:r>
        <w:rPr>
          <w:lang w:val="en_US" w:bidi="en_US"/>
        </w:rPr>
        <w:t>Be sure that the term you choose does not refer only to a news report or to a story that is not true.</w:t>
      </w:r>
    </w:p>
    <w:p>
      <w:pPr/>
      <w:r>
        <w:rPr>
          <w:lang w:val="en_US" w:bidi="en_US"/>
        </w:rPr>
      </w:r>
      <w:r>
        <w:rPr>
          <w:b/>
          <w:lang w:val="en_US" w:bidi="en_US"/>
        </w:rPr>
        <w:t>the gospel of the kingdom of God:</w:t>
      </w:r>
      <w:r>
        <w:rPr>
          <w:lang w:val="en_US" w:bidi="en_US"/>
        </w:rPr>
        <w:t xml:space="preserve"> The phrase </w:t>
      </w:r>
      <w:r>
        <w:rPr>
          <w:i/>
          <w:lang w:val="en_US" w:bidi="en_US"/>
        </w:rPr>
        <w:t>the gospel of the kingdom of God</w:t>
      </w:r>
      <w:r>
        <w:rPr>
          <w:lang w:val="en_US" w:bidi="en_US"/>
        </w:rPr>
        <w:t xml:space="preserve"> means “the good news about God’s kingdom/reign.” The phrase </w:t>
      </w:r>
      <w:r>
        <w:rPr>
          <w:i/>
          <w:lang w:val="en_US" w:bidi="en_US"/>
        </w:rPr>
        <w:t>the kingdom of God</w:t>
      </w:r>
      <w:r>
        <w:rPr>
          <w:lang w:val="en_US" w:bidi="en_US"/>
        </w:rPr>
        <w:t xml:space="preserve"> usually refers to God’s activity of ruling and caring for his people as their king. It does not refer to a literal land or country that he rules. Other ways to translate this whole phrase are:</w:t>
      </w:r>
    </w:p>
    <w:p>
      <w:pPr/>
      <w:r>
        <w:rPr>
          <w:lang w:val="en_US" w:bidi="en_US"/>
        </w:rPr>
      </w:r>
      <w:r>
        <w:rPr>
          <w:lang w:val="en_US" w:bidi="en_US"/>
        </w:rPr>
        <w:t>the good news concerning God’s reign/rule</w:t>
      </w:r>
    </w:p>
    <w:p>
      <w:pPr/>
      <w:r>
        <w:rPr>
          <w:lang w:val="en_US" w:bidi="en_US"/>
        </w:rPr>
      </w:r>
      <w:r>
        <w:rPr>
          <w:lang w:val="en_US" w:bidi="en_US"/>
        </w:rPr>
        <w:t>the sweet message about God’s chieftaincy</w:t>
      </w:r>
    </w:p>
    <w:p>
      <w:pPr/>
      <w:r>
        <w:rPr>
          <w:lang w:val="en_US" w:bidi="en_US"/>
        </w:rPr>
      </w:r>
      <w:r>
        <w:rPr>
          <w:lang w:val="en_US" w:bidi="en_US"/>
        </w:rPr>
        <w:t xml:space="preserve">In some languages it may be necessary to translate </w:t>
      </w:r>
      <w:r>
        <w:rPr>
          <w:i/>
          <w:lang w:val="en_US" w:bidi="en_US"/>
        </w:rPr>
        <w:t>kingdom</w:t>
      </w:r>
      <w:r>
        <w:rPr>
          <w:lang w:val="en_US" w:bidi="en_US"/>
        </w:rPr>
        <w:t xml:space="preserve"> with a verb and supply an object. If that is true in your language, some ways to translate it are:</w:t>
      </w:r>
    </w:p>
    <w:p>
      <w:pPr/>
      <w:r>
        <w:rPr>
          <w:lang w:val="en_US" w:bidi="en_US"/>
        </w:rPr>
      </w:r>
      <w:r>
        <w:rPr>
          <w:lang w:val="en_US" w:bidi="en_US"/>
        </w:rPr>
        <w:t xml:space="preserve">the good/sweet news about God ruling </w:t>
      </w:r>
      <w:r>
        <w:rPr>
          <w:lang w:val="en_US" w:bidi="en_US"/>
        </w:rPr>
        <w:t>his people</w:t>
      </w:r>
    </w:p>
    <w:p>
      <w:pPr/>
      <w:r>
        <w:rPr>
          <w:lang w:val="en_US" w:bidi="en_US"/>
        </w:rPr>
      </w:r>
      <w:r>
        <w:rPr>
          <w:lang w:val="en_US" w:bidi="en_US"/>
        </w:rPr>
        <w:t xml:space="preserve">the message/report that causes joy. This message is about God reigning </w:t>
      </w:r>
      <w:r>
        <w:rPr>
          <w:lang w:val="en_US" w:bidi="en_US"/>
        </w:rPr>
        <w:t>over his people</w:t>
      </w:r>
    </w:p>
    <w:p>
      <w:pPr>
        <w:pStyle w:val="Heading5"/>
      </w:pPr>
      <w:r>
        <w:rPr>
          <w:lang w:val="en_US" w:bidi="en_US"/>
        </w:rPr>
        <w:t>16:16c</w:t>
      </w:r>
    </w:p>
    <w:p>
      <w:pPr/>
      <w:r>
        <w:rPr>
          <w:lang w:val="en_US" w:bidi="en_US"/>
        </w:rPr>
      </w:r>
      <w:r>
        <w:rPr>
          <w:b/>
          <w:lang w:val="en_US" w:bidi="en_US"/>
        </w:rPr>
        <w:t>and everyone is forcing his way into it.</w:t>
      </w:r>
    </w:p>
    <w:p>
      <w:pPr>
        <w:pStyle w:val="ListBullet"/>
        <w:spacing w:line="240" w:lineRule="auto"/>
        <w:ind w:left="720"/>
      </w:pPr>
      <w:r>
        <w:rPr>
          <w:lang w:val="en_US" w:bidi="en_US"/>
        </w:rPr>
      </w:r>
      <w:r>
        <w:rPr>
          <w:lang w:val="en_US" w:bidi="en_US"/>
        </w:rPr>
        <w:t>and everyone is striving persistently to enter it.</w:t>
      </w:r>
    </w:p>
    <w:p>
      <w:pPr>
        <w:pStyle w:val="ListBullet"/>
        <w:spacing w:line="240" w:lineRule="auto"/>
        <w:ind w:left="720"/>
      </w:pPr>
      <w:r>
        <w:rPr>
          <w:lang w:val="en_US" w:bidi="en_US"/>
        </w:rPr>
      </w:r>
      <w:r>
        <w:rPr>
          <w:lang w:val="en_US" w:bidi="en_US"/>
        </w:rPr>
        <w:t>and many people are trying hard to become subjects in his kingdom.</w:t>
      </w:r>
    </w:p>
    <w:p>
      <w:pPr>
        <w:pStyle w:val="ListBullet"/>
        <w:spacing w:line="240" w:lineRule="auto"/>
        <w:ind w:left="720"/>
      </w:pPr>
      <w:r>
        <w:rPr>
          <w:lang w:val="en_US" w:bidi="en_US"/>
        </w:rPr>
      </w:r>
      <w:r>
        <w:rPr>
          <w:lang w:val="en_US" w:bidi="en_US"/>
        </w:rPr>
        <w:t>and crowds of people are doing everything possible to join those whom God rules.</w:t>
      </w:r>
    </w:p>
    <w:p>
      <w:pPr/>
      <w:r>
        <w:rPr>
          <w:lang w:val="en_US" w:bidi="en_US"/>
        </w:rPr>
      </w:r>
      <w:r>
        <w:rPr>
          <w:b/>
          <w:lang w:val="en_US" w:bidi="en_US"/>
        </w:rPr>
        <w:t>everyone is forcing his way into it:</w:t>
      </w:r>
      <w:r>
        <w:rPr>
          <w:lang w:val="en_US" w:bidi="en_US"/>
        </w:rPr>
        <w:t xml:space="preserve"> The clause </w:t>
      </w:r>
      <w:r>
        <w:rPr>
          <w:i/>
          <w:lang w:val="en_US" w:bidi="en_US"/>
        </w:rPr>
        <w:t>everyone is forcing his way into it</w:t>
      </w:r>
      <w:r>
        <w:rPr>
          <w:lang w:val="en_US" w:bidi="en_US"/>
        </w:rPr>
        <w:t xml:space="preserve"> probably refers to the many people who were accepting the good news. They desired very strongly to have God as their king. They were trying hard to enter God’s kingdom.</w:t>
      </w:r>
      <w:r>
        <w:rPr>
          <w:lang w:val="en_US" w:bidi="en_US"/>
        </w:rPr>
        <w:t>This is the interpretation that is followed by a strong majority of scholars. For a summary of other interpretations, see Blight, 2007b (p. 167). Some English versions are ambiguous, but except for the NET, which says “everyone is urged to enter it,” none of the versions used in these Notes unambiguously supports another view. So the other interpretations have not been discussed in the Notes.</w:t>
      </w:r>
      <w:r>
        <w:rPr>
          <w:lang w:val="en_US" w:bidi="en_US"/>
        </w:rPr>
        <w:t xml:space="preserve"> For example:</w:t>
      </w:r>
    </w:p>
    <w:p>
      <w:pPr/>
      <w:r>
        <w:rPr>
          <w:lang w:val="en_US" w:bidi="en_US"/>
        </w:rPr>
      </w:r>
      <w:r>
        <w:rPr>
          <w:lang w:val="en_US" w:bidi="en_US"/>
        </w:rPr>
        <w:t>everyone is trying hard to get in (CEV)</w:t>
      </w:r>
    </w:p>
    <w:p>
      <w:pPr/>
      <w:r>
        <w:rPr>
          <w:lang w:val="en_US" w:bidi="en_US"/>
        </w:rPr>
      </w:r>
      <w:r>
        <w:rPr>
          <w:b/>
          <w:lang w:val="en_US" w:bidi="en_US"/>
        </w:rPr>
        <w:t>everyone:</w:t>
      </w:r>
      <w:r>
        <w:rPr>
          <w:lang w:val="en_US" w:bidi="en_US"/>
        </w:rPr>
        <w:t xml:space="preserve"> The word </w:t>
      </w:r>
      <w:r>
        <w:rPr>
          <w:i/>
          <w:lang w:val="en_US" w:bidi="en_US"/>
        </w:rPr>
        <w:t>everyone</w:t>
      </w:r>
      <w:r>
        <w:rPr>
          <w:lang w:val="en_US" w:bidi="en_US"/>
        </w:rPr>
        <w:t xml:space="preserve"> in this context is a figure of speech (hyperbole). It is a deliberate exaggeration that refers to the many people who were trying to enter the kingdom of God. If hyperbole is not correctly understood in your language, you may translate the meaning directly. For example:</w:t>
      </w:r>
    </w:p>
    <w:p>
      <w:pPr/>
      <w:r>
        <w:rPr>
          <w:lang w:val="en_US" w:bidi="en_US"/>
        </w:rPr>
      </w:r>
      <w:r>
        <w:rPr>
          <w:lang w:val="en_US" w:bidi="en_US"/>
        </w:rPr>
        <w:t>eager multitudes (NLT96)</w:t>
      </w:r>
    </w:p>
    <w:p>
      <w:pPr/>
      <w:r>
        <w:rPr>
          <w:lang w:val="en_US" w:bidi="en_US"/>
        </w:rPr>
      </w:r>
      <w:r>
        <w:rPr>
          <w:lang w:val="en_US" w:bidi="en_US"/>
        </w:rPr>
        <w:t>many people</w:t>
      </w:r>
    </w:p>
    <w:p>
      <w:pPr/>
      <w:r>
        <w:rPr>
          <w:lang w:val="en_US" w:bidi="en_US"/>
        </w:rPr>
      </w:r>
      <w:r>
        <w:rPr>
          <w:b/>
          <w:lang w:val="en_US" w:bidi="en_US"/>
        </w:rPr>
        <w:t>into it:</w:t>
      </w:r>
      <w:r>
        <w:rPr>
          <w:lang w:val="en_US" w:bidi="en_US"/>
        </w:rPr>
        <w:t xml:space="preserve"> The pronoun </w:t>
      </w:r>
      <w:r>
        <w:rPr>
          <w:i/>
          <w:lang w:val="en_US" w:bidi="en_US"/>
        </w:rPr>
        <w:t>it</w:t>
      </w:r>
      <w:r>
        <w:rPr>
          <w:lang w:val="en_US" w:bidi="en_US"/>
        </w:rPr>
        <w:t xml:space="preserve"> refers here to the kingdom of God. English versions translate this phrase in a way that implies that the kingdom of God is a place that people can enter. Although the phrase “kingdom of God” does not usually refer to a place (see the note on 16:16b), it may have that sense here.</w:t>
      </w:r>
      <w:r>
        <w:rPr>
          <w:lang w:val="en_US" w:bidi="en_US"/>
        </w:rPr>
        <w:t xml:space="preserve">The locative sense is supported by the </w:t>
      </w:r>
      <w:r>
        <w:rPr>
          <w:i/>
          <w:lang w:val="en_US" w:bidi="en_US"/>
        </w:rPr>
        <w:t>Translator’s Handbook</w:t>
      </w:r>
      <w:r>
        <w:rPr>
          <w:lang w:val="en_US" w:bidi="en_US"/>
        </w:rPr>
        <w:t xml:space="preserve"> and is implied by all English versions. Other commentaries do not discuss this issue.</w:t>
      </w:r>
      <w:r>
        <w:rPr>
          <w:lang w:val="en_US" w:bidi="en_US"/>
        </w:rPr>
        <w:t xml:space="preserve"> You will need to translate this phrase in a way that fits your translation of “kingdom of God” in 16:16b. Some ways to do this are:</w:t>
      </w:r>
    </w:p>
    <w:p>
      <w:pPr/>
      <w:r>
        <w:rPr>
          <w:lang w:val="en_US" w:bidi="en_US"/>
        </w:rPr>
      </w:r>
      <w:r>
        <w:rPr>
          <w:lang w:val="en_US" w:bidi="en_US"/>
        </w:rPr>
        <w:t xml:space="preserve">enter </w:t>
      </w:r>
      <w:r>
        <w:rPr>
          <w:lang w:val="en_US" w:bidi="en_US"/>
        </w:rPr>
        <w:t>the place of</w:t>
      </w:r>
      <w:r>
        <w:rPr>
          <w:lang w:val="en_US" w:bidi="en_US"/>
        </w:rPr>
        <w:t xml:space="preserve"> his/God’s rule</w:t>
      </w:r>
    </w:p>
    <w:p>
      <w:pPr/>
      <w:r>
        <w:rPr>
          <w:lang w:val="en_US" w:bidi="en_US"/>
        </w:rPr>
      </w:r>
      <w:r>
        <w:rPr>
          <w:lang w:val="en_US" w:bidi="en_US"/>
        </w:rPr>
        <w:t>be subjects in his/God’s kingdom</w:t>
      </w:r>
    </w:p>
    <w:p>
      <w:pPr/>
      <w:r>
        <w:rPr>
          <w:lang w:val="en_US" w:bidi="en_US"/>
        </w:rPr>
      </w:r>
      <w:r>
        <w:rPr>
          <w:lang w:val="en_US" w:bidi="en_US"/>
        </w:rPr>
        <w:t>join those whom he/God rules</w:t>
      </w:r>
      <w:r>
        <w:rPr>
          <w:lang w:val="en_US" w:bidi="en_US"/>
        </w:rPr>
      </w:r>
      <w:r>
        <w:rPr>
          <w:lang w:val="en_US" w:bidi="en_US"/>
        </w:rPr>
      </w:r>
    </w:p>
    <w:p>
      <w:pPr/>
      <w:r>
        <w:rPr>
          <w:lang w:val="en_US" w:bidi="en_US"/>
        </w:rPr>
      </w:r>
    </w:p>
    <w:p>
      <w:pPr>
        <w:pStyle w:val="Heading2"/>
      </w:pPr>
      <w:r>
        <w:rPr>
          <w:lang w:val="en_US" w:bidi="en_US"/>
        </w:rPr>
        <w:t>Luke 16:17</w:t>
      </w:r>
      <w:r>
        <w:rPr>
          <w:lang w:val="en_US" w:bidi="en_US"/>
        </w:rPr>
      </w:r>
    </w:p>
    <w:p>
      <w:pPr>
        <w:pStyle w:val="Heading4"/>
      </w:pPr>
      <w:r>
        <w:rPr>
          <w:lang w:val="en_US" w:bidi="en_US"/>
        </w:rPr>
        <w:t>Section 16:14–18: Jesus spoke to the Pharisees</w:t>
      </w:r>
    </w:p>
    <w:p>
      <w:pPr/>
      <w:r>
        <w:rPr>
          <w:lang w:val="en_US" w:bidi="en_US"/>
        </w:rPr>
      </w:r>
      <w:r>
        <w:rPr>
          <w:lang w:val="en_US" w:bidi="en_US"/>
        </w:rPr>
        <w:t>In this section Jesus talked to the Pharisees about several topics. He told them that God understood their hearts, that is, that he knew what they most deeply valued and desired. He also talked to them about the authority of God’s law.</w:t>
      </w:r>
    </w:p>
    <w:p>
      <w:pPr/>
      <w:r>
        <w:rPr>
          <w:lang w:val="en_US" w:bidi="en_US"/>
        </w:rPr>
      </w:r>
      <w:r>
        <w:rPr>
          <w:lang w:val="en_US" w:bidi="en_US"/>
        </w:rPr>
        <w:t>Another possible heading for this section is:</w:t>
      </w:r>
    </w:p>
    <w:p>
      <w:pPr/>
      <w:r>
        <w:rPr>
          <w:lang w:val="en_US" w:bidi="en_US"/>
        </w:rPr>
      </w:r>
      <w:r>
        <w:rPr>
          <w:lang w:val="en_US" w:bidi="en_US"/>
        </w:rPr>
        <w:t>Some other things that Jesus taught</w:t>
      </w:r>
    </w:p>
    <w:p>
      <w:pPr/>
      <w:r>
        <w:rPr>
          <w:lang w:val="en_US" w:bidi="en_US"/>
        </w:rPr>
      </w:r>
      <w:r>
        <w:rPr>
          <w:lang w:val="en_US" w:bidi="en_US"/>
        </w:rPr>
        <w:t>There are parallel passages for this section in Matthew 5:31–32 and Mark 10:11–12.</w:t>
      </w:r>
    </w:p>
    <w:p>
      <w:pPr>
        <w:pStyle w:val="Heading5"/>
      </w:pPr>
      <w:r>
        <w:rPr>
          <w:lang w:val="en_US" w:bidi="en_US"/>
        </w:rPr>
        <w:t>16:17a–b</w:t>
      </w:r>
    </w:p>
    <w:p>
      <w:pPr/>
      <w:r>
        <w:rPr>
          <w:lang w:val="en_US" w:bidi="en_US"/>
        </w:rPr>
      </w:r>
      <w:r>
        <w:rPr>
          <w:b/>
          <w:lang w:val="en_US" w:bidi="en_US"/>
        </w:rPr>
        <w:t>But:</w:t>
      </w:r>
      <w:r>
        <w:rPr>
          <w:lang w:val="en_US" w:bidi="en_US"/>
        </w:rPr>
        <w:t xml:space="preserve"> In the Greek text this verse connects to the previous verse with a conjunction that introduces a contrast: The good news is now being preached, </w:t>
      </w:r>
      <w:r>
        <w:rPr>
          <w:u w:val="single"/>
          <w:lang w:val="en_US" w:bidi="en_US"/>
        </w:rPr>
        <w:t>but/nevertheless</w:t>
      </w:r>
      <w:r>
        <w:rPr>
          <w:lang w:val="en_US" w:bidi="en_US"/>
        </w:rPr>
        <w:t xml:space="preserve"> the Law and the Prophets remain valid. The BSB (like the RSV and GNT) translates this conjunction as </w:t>
      </w:r>
      <w:r>
        <w:rPr>
          <w:i/>
          <w:lang w:val="en_US" w:bidi="en_US"/>
        </w:rPr>
        <w:t>But</w:t>
      </w:r>
      <w:r>
        <w:rPr>
          <w:lang w:val="en_US" w:bidi="en_US"/>
        </w:rPr>
        <w:t>. Other versions, such as the CEV, GW, and NIV, do not translate this conjunction. You should indicate this contrast in a way that is natural in your language.</w:t>
      </w:r>
    </w:p>
    <w:p>
      <w:pPr/>
      <w:r>
        <w:rPr>
          <w:lang w:val="en_US" w:bidi="en_US"/>
        </w:rPr>
      </w:r>
      <w:r>
        <w:rPr>
          <w:b/>
          <w:lang w:val="en_US" w:bidi="en_US"/>
        </w:rPr>
        <w:t>it is easier for heaven and earth to pass away than for a single stroke of a pen to drop out of the Law:</w:t>
      </w:r>
      <w:r>
        <w:rPr>
          <w:lang w:val="en_US" w:bidi="en_US"/>
        </w:rPr>
        <w:t xml:space="preserve"> The phrase </w:t>
      </w:r>
      <w:r>
        <w:rPr>
          <w:i/>
          <w:lang w:val="en_US" w:bidi="en_US"/>
        </w:rPr>
        <w:t>heaven and earth</w:t>
      </w:r>
      <w:r>
        <w:rPr>
          <w:lang w:val="en_US" w:bidi="en_US"/>
        </w:rPr>
        <w:t xml:space="preserve"> refers to the universe as a whole. The universe was considered to be a symbol of permanence. So this comparison means that God’s word will not lose any of its authority. It is even more permanent than heaven and earth. In some languages it may be necessary to translate this comparison in other ways. For example:</w:t>
      </w:r>
    </w:p>
    <w:p>
      <w:pPr/>
      <w:r>
        <w:rPr>
          <w:lang w:val="en_US" w:bidi="en_US"/>
        </w:rPr>
      </w:r>
      <w:r>
        <w:rPr>
          <w:lang w:val="en_US" w:bidi="en_US"/>
        </w:rPr>
        <w:t>The sky and the earth will come to an end, but even the smallest letter in God’s Law will remain unchanged.</w:t>
      </w:r>
    </w:p>
    <w:p>
      <w:pPr/>
      <w:r>
        <w:rPr>
          <w:lang w:val="en_US" w:bidi="en_US"/>
        </w:rPr>
      </w:r>
      <w:r>
        <w:rPr>
          <w:lang w:val="en_US" w:bidi="en_US"/>
        </w:rPr>
        <w:t>It may be necessary to reorder the clauses of 16:17a–b. See the General Comment on 16:17a–b at the end of 16:17b for further suggestions.</w:t>
      </w:r>
    </w:p>
    <w:p>
      <w:pPr/>
      <w:r>
        <w:rPr>
          <w:lang w:val="en_US" w:bidi="en_US"/>
        </w:rPr>
      </w:r>
      <w:r>
        <w:rPr>
          <w:lang w:val="en_US" w:bidi="en_US"/>
        </w:rPr>
        <w:t xml:space="preserve">In translating this verse, </w:t>
      </w:r>
      <w:r>
        <w:rPr>
          <w:u w:val="single"/>
          <w:lang w:val="en_US" w:bidi="en_US"/>
        </w:rPr>
        <w:t>be careful not to imply</w:t>
      </w:r>
      <w:r>
        <w:rPr>
          <w:lang w:val="en_US" w:bidi="en_US"/>
        </w:rPr>
        <w:t xml:space="preserve"> that:</w:t>
      </w:r>
    </w:p>
    <w:p>
      <w:pPr>
        <w:pStyle w:val="ListNumber"/>
        <w:numPr>
          <w:ilvl w:val="0"/>
          <w:numId w:val="271"/>
        </w:numPr>
        <w:spacing w:line="240" w:lineRule="auto"/>
        <w:ind w:left="720"/>
      </w:pPr>
      <w:r>
        <w:rPr>
          <w:lang w:val="en_US" w:bidi="en_US"/>
        </w:rPr>
      </w:r>
      <w:r>
        <w:rPr>
          <w:lang w:val="en_US" w:bidi="en_US"/>
        </w:rPr>
        <w:t>it is easy for heaven and earth to disappear;</w:t>
      </w:r>
    </w:p>
    <w:p>
      <w:pPr>
        <w:pStyle w:val="ListNumber"/>
        <w:spacing w:line="240" w:lineRule="auto"/>
        <w:ind w:left="720"/>
      </w:pPr>
      <w:r>
        <w:rPr>
          <w:lang w:val="en_US" w:bidi="en_US"/>
        </w:rPr>
      </w:r>
      <w:r>
        <w:rPr>
          <w:lang w:val="en_US" w:bidi="en_US"/>
        </w:rPr>
        <w:t>heaven and earth will never disappear.</w:t>
      </w:r>
    </w:p>
    <w:p>
      <w:pPr/>
      <w:r>
        <w:rPr>
          <w:lang w:val="en_US" w:bidi="en_US"/>
        </w:rPr>
      </w:r>
      <w:r>
        <w:rPr>
          <w:lang w:val="en_US" w:bidi="en_US"/>
        </w:rPr>
        <w:t>Although many people thought that the universe would last almost forever, other verses teach that it will be destroyed in the future. See Matthew 5:18, Mark 13:31, 2 Peter 3:7, 3:10.</w:t>
      </w:r>
    </w:p>
    <w:p>
      <w:pPr>
        <w:pStyle w:val="Heading5"/>
      </w:pPr>
      <w:r>
        <w:rPr>
          <w:lang w:val="en_US" w:bidi="en_US"/>
        </w:rPr>
        <w:t>16:17a</w:t>
      </w:r>
    </w:p>
    <w:p>
      <w:pPr/>
      <w:r>
        <w:rPr>
          <w:lang w:val="en_US" w:bidi="en_US"/>
        </w:rPr>
      </w:r>
      <w:r>
        <w:rPr>
          <w:b/>
          <w:lang w:val="en_US" w:bidi="en_US"/>
        </w:rPr>
        <w:t>But it is easier for heaven and earth to pass away</w:t>
      </w:r>
    </w:p>
    <w:p>
      <w:pPr>
        <w:pStyle w:val="ListBullet"/>
        <w:spacing w:line="240" w:lineRule="auto"/>
        <w:ind w:left="720"/>
      </w:pPr>
      <w:r>
        <w:rPr>
          <w:lang w:val="en_US" w:bidi="en_US"/>
        </w:rPr>
      </w:r>
      <w:r>
        <w:rPr>
          <w:lang w:val="en_US" w:bidi="en_US"/>
        </w:rPr>
        <w:t xml:space="preserve">But it is easier for the earth and </w:t>
      </w:r>
      <w:r>
        <w:rPr>
          <w:lang w:val="en_US" w:bidi="en_US"/>
        </w:rPr>
        <w:t>everything in</w:t>
      </w:r>
      <w:r>
        <w:rPr>
          <w:lang w:val="en_US" w:bidi="en_US"/>
        </w:rPr>
        <w:t xml:space="preserve"> the sky to disappear</w:t>
      </w:r>
    </w:p>
    <w:p>
      <w:pPr>
        <w:pStyle w:val="ListBullet"/>
        <w:spacing w:line="240" w:lineRule="auto"/>
        <w:ind w:left="720"/>
      </w:pPr>
      <w:r>
        <w:rPr>
          <w:lang w:val="en_US" w:bidi="en_US"/>
        </w:rPr>
      </w:r>
      <w:r>
        <w:rPr>
          <w:lang w:val="en_US" w:bidi="en_US"/>
        </w:rPr>
        <w:t>The skies and the earth will come to an end,</w:t>
      </w:r>
    </w:p>
    <w:p>
      <w:pPr>
        <w:pStyle w:val="ListBullet"/>
        <w:spacing w:line="240" w:lineRule="auto"/>
        <w:ind w:left="720"/>
      </w:pPr>
      <w:r>
        <w:rPr>
          <w:lang w:val="en_US" w:bidi="en_US"/>
        </w:rPr>
      </w:r>
      <w:r>
        <w:rPr>
          <w:lang w:val="en_US" w:bidi="en_US"/>
        </w:rPr>
        <w:t xml:space="preserve">Nevertheless, </w:t>
      </w:r>
      <w:r>
        <w:rPr>
          <w:lang w:val="en_US" w:bidi="en_US"/>
        </w:rPr>
        <w:t>the authority of God’s words does not change. In fact,</w:t>
      </w:r>
      <w:r>
        <w:rPr>
          <w:lang w:val="en_US" w:bidi="en_US"/>
        </w:rPr>
        <w:t xml:space="preserve"> even though the heavens and the earth cease to exist,</w:t>
      </w:r>
    </w:p>
    <w:p>
      <w:pPr/>
      <w:r>
        <w:rPr>
          <w:lang w:val="en_US" w:bidi="en_US"/>
        </w:rPr>
      </w:r>
      <w:r>
        <w:rPr>
          <w:b/>
          <w:lang w:val="en_US" w:bidi="en_US"/>
        </w:rPr>
        <w:t>heaven and earth:</w:t>
      </w:r>
      <w:r>
        <w:rPr>
          <w:lang w:val="en_US" w:bidi="en_US"/>
        </w:rPr>
        <w:t xml:space="preserve"> In some languages it may be more natural to say “earth and heaven.” You may use whatever order is more natural in your language.</w:t>
      </w:r>
    </w:p>
    <w:p>
      <w:pPr/>
      <w:r>
        <w:rPr>
          <w:lang w:val="en_US" w:bidi="en_US"/>
        </w:rPr>
      </w:r>
      <w:r>
        <w:rPr>
          <w:b/>
          <w:lang w:val="en_US" w:bidi="en_US"/>
        </w:rPr>
        <w:t>heaven:</w:t>
      </w:r>
      <w:r>
        <w:rPr>
          <w:lang w:val="en_US" w:bidi="en_US"/>
        </w:rPr>
        <w:t xml:space="preserve"> The word </w:t>
      </w:r>
      <w:r>
        <w:rPr>
          <w:i/>
          <w:lang w:val="en_US" w:bidi="en_US"/>
        </w:rPr>
        <w:t>heaven</w:t>
      </w:r>
      <w:r>
        <w:rPr>
          <w:lang w:val="en_US" w:bidi="en_US"/>
        </w:rPr>
        <w:t xml:space="preserve"> in this context refers to the sky and the physical universe beyond the earth. It includes the sun, moon, and stars. See heaven, Meaning 1, in the Glossary.</w:t>
      </w:r>
    </w:p>
    <w:p>
      <w:pPr/>
      <w:r>
        <w:rPr>
          <w:lang w:val="en_US" w:bidi="en_US"/>
        </w:rPr>
      </w:r>
      <w:r>
        <w:rPr>
          <w:b/>
          <w:lang w:val="en_US" w:bidi="en_US"/>
        </w:rPr>
        <w:t>pass away:</w:t>
      </w:r>
      <w:r>
        <w:rPr>
          <w:lang w:val="en_US" w:bidi="en_US"/>
        </w:rPr>
        <w:t xml:space="preserve"> The Greek word that the BSB translates as </w:t>
      </w:r>
      <w:r>
        <w:rPr>
          <w:i/>
          <w:lang w:val="en_US" w:bidi="en_US"/>
        </w:rPr>
        <w:t>pass away</w:t>
      </w:r>
      <w:r>
        <w:rPr>
          <w:lang w:val="en_US" w:bidi="en_US"/>
        </w:rPr>
        <w:t xml:space="preserve"> means to end, to cease to exist.</w:t>
      </w:r>
    </w:p>
    <w:p>
      <w:pPr>
        <w:pStyle w:val="Heading5"/>
      </w:pPr>
      <w:r>
        <w:rPr>
          <w:lang w:val="en_US" w:bidi="en_US"/>
        </w:rPr>
        <w:t>16:17b</w:t>
      </w:r>
    </w:p>
    <w:p>
      <w:pPr/>
      <w:r>
        <w:rPr>
          <w:lang w:val="en_US" w:bidi="en_US"/>
        </w:rPr>
      </w:r>
      <w:r>
        <w:rPr>
          <w:b/>
          <w:lang w:val="en_US" w:bidi="en_US"/>
        </w:rPr>
        <w:t>than for a single stroke of a pen to drop out of the Law.</w:t>
      </w:r>
    </w:p>
    <w:p>
      <w:pPr>
        <w:pStyle w:val="ListBullet"/>
        <w:spacing w:line="240" w:lineRule="auto"/>
        <w:ind w:left="720"/>
      </w:pPr>
      <w:r>
        <w:rPr>
          <w:lang w:val="en_US" w:bidi="en_US"/>
        </w:rPr>
      </w:r>
      <w:r>
        <w:rPr>
          <w:lang w:val="en_US" w:bidi="en_US"/>
        </w:rPr>
        <w:t>than for one letter in the Law to disappear.</w:t>
      </w:r>
    </w:p>
    <w:p>
      <w:pPr>
        <w:pStyle w:val="ListBullet"/>
        <w:spacing w:line="240" w:lineRule="auto"/>
        <w:ind w:left="720"/>
      </w:pPr>
      <w:r>
        <w:rPr>
          <w:lang w:val="en_US" w:bidi="en_US"/>
        </w:rPr>
      </w:r>
      <w:r>
        <w:rPr>
          <w:lang w:val="en_US" w:bidi="en_US"/>
        </w:rPr>
        <w:t>but even the smallest letter/word in God’s Law will remain valid/unchanged.</w:t>
      </w:r>
    </w:p>
    <w:p>
      <w:pPr>
        <w:pStyle w:val="ListBullet"/>
        <w:spacing w:line="240" w:lineRule="auto"/>
        <w:ind w:left="720"/>
      </w:pPr>
      <w:r>
        <w:rPr>
          <w:lang w:val="en_US" w:bidi="en_US"/>
        </w:rPr>
      </w:r>
      <w:r>
        <w:rPr>
          <w:lang w:val="en_US" w:bidi="en_US"/>
        </w:rPr>
        <w:t>not a single letter/detail of God’s book will lose its strength.</w:t>
      </w:r>
    </w:p>
    <w:p>
      <w:pPr/>
      <w:r>
        <w:rPr>
          <w:lang w:val="en_US" w:bidi="en_US"/>
        </w:rPr>
      </w:r>
      <w:r>
        <w:rPr>
          <w:b/>
          <w:lang w:val="en_US" w:bidi="en_US"/>
        </w:rPr>
        <w:t>a single stroke of a pen:</w:t>
      </w:r>
      <w:r>
        <w:rPr>
          <w:lang w:val="en_US" w:bidi="en_US"/>
        </w:rPr>
        <w:t xml:space="preserve"> The Greek phrase that the BSB translates as </w:t>
      </w:r>
      <w:r>
        <w:rPr>
          <w:i/>
          <w:lang w:val="en_US" w:bidi="en_US"/>
        </w:rPr>
        <w:t>a single stroke of a pen</w:t>
      </w:r>
      <w:r>
        <w:rPr>
          <w:lang w:val="en_US" w:bidi="en_US"/>
        </w:rPr>
        <w:t xml:space="preserve"> is more literally “one projection/stroke.” It refers to the smallest part of a letter in the Hebrew alphabet. It would be like the cross on the “t” in English or one of the lines on the letter “m.” Some other ways to translate this phrase are:</w:t>
      </w:r>
    </w:p>
    <w:p>
      <w:pPr/>
      <w:r>
        <w:rPr>
          <w:lang w:val="en_US" w:bidi="en_US"/>
        </w:rPr>
      </w:r>
      <w:r>
        <w:rPr>
          <w:lang w:val="en_US" w:bidi="en_US"/>
        </w:rPr>
        <w:t>the smallest part of a letter (NCV)</w:t>
      </w:r>
    </w:p>
    <w:p>
      <w:pPr/>
      <w:r>
        <w:rPr>
          <w:lang w:val="en_US" w:bidi="en_US"/>
        </w:rPr>
      </w:r>
      <w:r>
        <w:rPr>
          <w:lang w:val="en_US" w:bidi="en_US"/>
        </w:rPr>
        <w:t>one letter (REB)</w:t>
      </w:r>
    </w:p>
    <w:p>
      <w:pPr/>
      <w:r>
        <w:rPr>
          <w:lang w:val="en_US" w:bidi="en_US"/>
        </w:rPr>
      </w:r>
      <w:r>
        <w:rPr>
          <w:lang w:val="en_US" w:bidi="en_US"/>
        </w:rPr>
        <w:t>the smallest detail (GNT)</w:t>
      </w:r>
    </w:p>
    <w:p>
      <w:pPr/>
      <w:r>
        <w:rPr>
          <w:lang w:val="en_US" w:bidi="en_US"/>
        </w:rPr>
      </w:r>
      <w:r>
        <w:rPr>
          <w:b/>
          <w:lang w:val="en_US" w:bidi="en_US"/>
        </w:rPr>
        <w:t>drop out:</w:t>
      </w:r>
      <w:r>
        <w:rPr>
          <w:lang w:val="en_US" w:bidi="en_US"/>
        </w:rPr>
        <w:t xml:space="preserve"> The Greek word that the BSB translates as </w:t>
      </w:r>
      <w:r>
        <w:rPr>
          <w:i/>
          <w:lang w:val="en_US" w:bidi="en_US"/>
        </w:rPr>
        <w:t>drop out</w:t>
      </w:r>
      <w:r>
        <w:rPr>
          <w:lang w:val="en_US" w:bidi="en_US"/>
        </w:rPr>
        <w:t xml:space="preserve"> is literally “fall.” In this context it has a figurative meaning. Some other ways to translate this are:</w:t>
      </w:r>
    </w:p>
    <w:p>
      <w:pPr/>
      <w:r>
        <w:rPr>
          <w:lang w:val="en_US" w:bidi="en_US"/>
        </w:rPr>
      </w:r>
      <w:r>
        <w:rPr>
          <w:lang w:val="en_US" w:bidi="en_US"/>
        </w:rPr>
        <w:t>become void (RSV)</w:t>
      </w:r>
    </w:p>
    <w:p>
      <w:pPr/>
      <w:r>
        <w:rPr>
          <w:lang w:val="en_US" w:bidi="en_US"/>
        </w:rPr>
      </w:r>
      <w:r>
        <w:rPr>
          <w:lang w:val="en_US" w:bidi="en_US"/>
        </w:rPr>
        <w:t>cease to be valid/authoritative</w:t>
      </w:r>
    </w:p>
    <w:p>
      <w:pPr/>
      <w:r>
        <w:rPr>
          <w:lang w:val="en_US" w:bidi="en_US"/>
        </w:rPr>
      </w:r>
      <w:r>
        <w:rPr>
          <w:lang w:val="en_US" w:bidi="en_US"/>
        </w:rPr>
        <w:t>lose its force (REB)</w:t>
      </w:r>
    </w:p>
    <w:p>
      <w:pPr/>
      <w:r>
        <w:rPr>
          <w:lang w:val="en_US" w:bidi="en_US"/>
        </w:rPr>
      </w:r>
      <w:r>
        <w:rPr>
          <w:lang w:val="en_US" w:bidi="en_US"/>
        </w:rPr>
        <w:t>to be changed (NCV)</w:t>
      </w:r>
    </w:p>
    <w:p>
      <w:pPr/>
      <w:r>
        <w:rPr>
          <w:lang w:val="en_US" w:bidi="en_US"/>
        </w:rPr>
      </w:r>
      <w:r>
        <w:rPr>
          <w:b/>
          <w:lang w:val="en_US" w:bidi="en_US"/>
        </w:rPr>
        <w:t>the Law:</w:t>
      </w:r>
      <w:r>
        <w:rPr>
          <w:lang w:val="en_US" w:bidi="en_US"/>
        </w:rPr>
        <w:t xml:space="preserve"> In 16:16a, Jesus used the term “the Law and the Prophets” to refer to the Old Testament as a whole. Here the word </w:t>
      </w:r>
      <w:r>
        <w:rPr>
          <w:i/>
          <w:lang w:val="en_US" w:bidi="en_US"/>
        </w:rPr>
        <w:t>Law</w:t>
      </w:r>
      <w:r>
        <w:rPr>
          <w:lang w:val="en_US" w:bidi="en_US"/>
        </w:rPr>
        <w:t xml:space="preserve"> alone is also used to refer to the whole Old Testament. In some languages a literal translation may imply that Jesus is excluding the writings of the prophets and the rest of the Old Testament. If that is true in your language, consider using a more general term, such as “God’s Book” or “the words of God.”</w:t>
      </w:r>
    </w:p>
    <w:p>
      <w:pPr>
        <w:pStyle w:val="Heading6"/>
      </w:pPr>
      <w:r>
        <w:rPr>
          <w:b/>
          <w:lang w:val="en_US" w:bidi="en_US"/>
        </w:rPr>
        <w:t>General Comment on 16:17a–b</w:t>
      </w:r>
    </w:p>
    <w:p>
      <w:pPr/>
      <w:r>
        <w:rPr>
          <w:lang w:val="en_US" w:bidi="en_US"/>
        </w:rPr>
      </w:r>
      <w:r>
        <w:rPr>
          <w:lang w:val="en_US" w:bidi="en_US"/>
        </w:rPr>
        <w:t>In some languages it may be necessary to reorder the clauses of 16:17a–b. For example:</w:t>
      </w:r>
    </w:p>
    <w:p>
      <w:pPr/>
      <w:r>
        <w:rPr>
          <w:lang w:val="en_US" w:bidi="en_US"/>
        </w:rPr>
      </w:r>
      <w:r>
        <w:rPr>
          <w:lang w:val="en_US" w:bidi="en_US"/>
        </w:rPr>
        <w:t>Even the smallest part of God’s Word is more permanent than the sky and the earth.</w:t>
      </w:r>
    </w:p>
    <w:p>
      <w:pPr/>
      <w:r>
        <w:rPr>
          <w:lang w:val="en_US" w:bidi="en_US"/>
        </w:rPr>
      </w:r>
      <w:r>
        <w:rPr>
          <w:lang w:val="en_US" w:bidi="en_US"/>
        </w:rPr>
        <w:t>Use a natural order in your language.</w:t>
      </w:r>
    </w:p>
    <w:p>
      <w:pPr/>
      <w:r>
        <w:rPr>
          <w:lang w:val="en_US" w:bidi="en_US"/>
        </w:rPr>
      </w:r>
      <w:r>
        <w:rPr>
          <w:lang w:val="en_US" w:bidi="en_US"/>
        </w:rPr>
        <w:t>In some languages it may be necessary to state the main point about the Law before giving the comparison about the heaven and earth. For example:</w:t>
      </w:r>
    </w:p>
    <w:p>
      <w:pPr/>
      <w:r>
        <w:rPr>
          <w:lang w:val="en_US" w:bidi="en_US"/>
        </w:rPr>
      </w:r>
      <w:r>
        <w:rPr>
          <w:lang w:val="en_US" w:bidi="en_US"/>
        </w:rPr>
        <w:t>But that doesn’t mean that the law has lost its force. It is easier for heaven and earth to disappear than for the smallest point of God’s law to be overturned. (NLT)</w:t>
      </w:r>
      <w:r>
        <w:rPr>
          <w:lang w:val="en_US" w:bidi="en_US"/>
        </w:rPr>
      </w:r>
      <w:r>
        <w:rPr>
          <w:lang w:val="en_US" w:bidi="en_US"/>
        </w:rPr>
      </w:r>
    </w:p>
    <w:p>
      <w:pPr/>
      <w:r>
        <w:rPr>
          <w:lang w:val="en_US" w:bidi="en_US"/>
        </w:rPr>
      </w:r>
    </w:p>
    <w:p>
      <w:pPr>
        <w:pStyle w:val="Heading2"/>
      </w:pPr>
      <w:r>
        <w:rPr>
          <w:lang w:val="en_US" w:bidi="en_US"/>
        </w:rPr>
        <w:t>Luke 16:18</w:t>
      </w:r>
      <w:r>
        <w:rPr>
          <w:lang w:val="en_US" w:bidi="en_US"/>
        </w:rPr>
      </w:r>
    </w:p>
    <w:p>
      <w:pPr>
        <w:pStyle w:val="Heading4"/>
      </w:pPr>
      <w:r>
        <w:rPr>
          <w:lang w:val="en_US" w:bidi="en_US"/>
        </w:rPr>
        <w:t>Section 16:14–18: Jesus spoke to the Pharisees</w:t>
      </w:r>
    </w:p>
    <w:p>
      <w:pPr/>
      <w:r>
        <w:rPr>
          <w:lang w:val="en_US" w:bidi="en_US"/>
        </w:rPr>
      </w:r>
      <w:r>
        <w:rPr>
          <w:lang w:val="en_US" w:bidi="en_US"/>
        </w:rPr>
        <w:t>In this section Jesus talked to the Pharisees about several topics. He told them that God understood their hearts, that is, that he knew what they most deeply valued and desired. He also talked to them about the authority of God’s law.</w:t>
      </w:r>
    </w:p>
    <w:p>
      <w:pPr/>
      <w:r>
        <w:rPr>
          <w:lang w:val="en_US" w:bidi="en_US"/>
        </w:rPr>
      </w:r>
      <w:r>
        <w:rPr>
          <w:lang w:val="en_US" w:bidi="en_US"/>
        </w:rPr>
        <w:t>Another possible heading for this section is:</w:t>
      </w:r>
    </w:p>
    <w:p>
      <w:pPr/>
      <w:r>
        <w:rPr>
          <w:lang w:val="en_US" w:bidi="en_US"/>
        </w:rPr>
      </w:r>
      <w:r>
        <w:rPr>
          <w:lang w:val="en_US" w:bidi="en_US"/>
        </w:rPr>
        <w:t>Some other things that Jesus taught</w:t>
      </w:r>
    </w:p>
    <w:p>
      <w:pPr/>
      <w:r>
        <w:rPr>
          <w:lang w:val="en_US" w:bidi="en_US"/>
        </w:rPr>
      </w:r>
      <w:r>
        <w:rPr>
          <w:lang w:val="en_US" w:bidi="en_US"/>
        </w:rPr>
        <w:t>There are parallel passages for this section in Matthew 5:31–32 and Mark 10:11–12.</w:t>
      </w:r>
    </w:p>
    <w:p>
      <w:pPr>
        <w:pStyle w:val="Heading5"/>
      </w:pPr>
      <w:r>
        <w:rPr>
          <w:lang w:val="en_US" w:bidi="en_US"/>
        </w:rPr>
        <w:t>16:18</w:t>
      </w:r>
    </w:p>
    <w:p>
      <w:pPr/>
      <w:r>
        <w:rPr>
          <w:lang w:val="en_US" w:bidi="en_US"/>
        </w:rPr>
      </w:r>
      <w:r>
        <w:rPr>
          <w:lang w:val="en_US" w:bidi="en_US"/>
        </w:rPr>
        <w:t>Here Jesus gave an example of how the Old Testament still had authority. Jesus’ statement in this verse was stricter than what the people understood the Law to teach. It revealed more about the way that God values marriage and hates divorce.</w:t>
      </w:r>
      <w:r>
        <w:rPr>
          <w:lang w:val="en_US" w:bidi="en_US"/>
        </w:rPr>
        <w:t>The following are some references to Old Testament statements or laws about marriage, adultery and divorce: Genesis 2:24, Exodus 20:14, Deuteronomy 5:18, 24:1–4, Malachi 2:14–16, Matthew 5:32, and Matthew 19:3–9.</w:t>
      </w:r>
    </w:p>
    <w:p>
      <w:pPr>
        <w:pStyle w:val="Heading5"/>
      </w:pPr>
      <w:r>
        <w:rPr>
          <w:lang w:val="en_US" w:bidi="en_US"/>
        </w:rPr>
        <w:t>16:18a</w:t>
      </w:r>
    </w:p>
    <w:p>
      <w:pPr/>
      <w:r>
        <w:rPr>
          <w:lang w:val="en_US" w:bidi="en_US"/>
        </w:rPr>
      </w:r>
      <w:r>
        <w:rPr>
          <w:b/>
          <w:lang w:val="en_US" w:bidi="en_US"/>
        </w:rPr>
        <w:t>Anyone who divorces his wife and marries another woman</w:t>
      </w:r>
    </w:p>
    <w:p>
      <w:pPr>
        <w:pStyle w:val="ListBullet"/>
        <w:spacing w:line="240" w:lineRule="auto"/>
        <w:ind w:left="720"/>
      </w:pPr>
      <w:r>
        <w:rPr>
          <w:lang w:val="en_US" w:bidi="en_US"/>
        </w:rPr>
      </w:r>
      <w:r>
        <w:rPr>
          <w:lang w:val="en_US" w:bidi="en_US"/>
        </w:rPr>
        <w:t>Any man who divorces his spouse/wife and marries another woman,</w:t>
      </w:r>
    </w:p>
    <w:p>
      <w:pPr>
        <w:pStyle w:val="ListBullet"/>
        <w:spacing w:line="240" w:lineRule="auto"/>
        <w:ind w:left="720"/>
      </w:pPr>
      <w:r>
        <w:rPr>
          <w:lang w:val="en_US" w:bidi="en_US"/>
        </w:rPr>
      </w:r>
      <w:r>
        <w:rPr>
          <w:lang w:val="en_US" w:bidi="en_US"/>
        </w:rPr>
        <w:t>For example,</w:t>
      </w:r>
      <w:r>
        <w:rPr>
          <w:lang w:val="en_US" w:bidi="en_US"/>
        </w:rPr>
        <w:t xml:space="preserve"> if someone divorces his wife and marries another woman,</w:t>
      </w:r>
    </w:p>
    <w:p>
      <w:pPr>
        <w:pStyle w:val="Heading5"/>
      </w:pPr>
      <w:r>
        <w:rPr>
          <w:lang w:val="en_US" w:bidi="en_US"/>
        </w:rPr>
        <w:t>16:18b</w:t>
      </w:r>
    </w:p>
    <w:p>
      <w:pPr/>
      <w:r>
        <w:rPr>
          <w:lang w:val="en_US" w:bidi="en_US"/>
        </w:rPr>
      </w:r>
      <w:r>
        <w:rPr>
          <w:b/>
          <w:lang w:val="en_US" w:bidi="en_US"/>
        </w:rPr>
        <w:t>commits adultery,</w:t>
      </w:r>
    </w:p>
    <w:p>
      <w:pPr>
        <w:pStyle w:val="ListBullet"/>
        <w:spacing w:line="240" w:lineRule="auto"/>
        <w:ind w:left="720"/>
      </w:pPr>
      <w:r>
        <w:rPr>
          <w:lang w:val="en_US" w:bidi="en_US"/>
        </w:rPr>
      </w:r>
      <w:r>
        <w:rPr>
          <w:lang w:val="en_US" w:bidi="en_US"/>
        </w:rPr>
        <w:t xml:space="preserve">he is committing </w:t>
      </w:r>
      <w:r>
        <w:rPr>
          <w:lang w:val="en_US" w:bidi="en_US"/>
        </w:rPr>
        <w:t>the sin of</w:t>
      </w:r>
      <w:r>
        <w:rPr>
          <w:lang w:val="en_US" w:bidi="en_US"/>
        </w:rPr>
        <w:t xml:space="preserve"> adultery.</w:t>
      </w:r>
    </w:p>
    <w:p>
      <w:pPr>
        <w:pStyle w:val="ListBullet"/>
        <w:spacing w:line="240" w:lineRule="auto"/>
        <w:ind w:left="720"/>
      </w:pPr>
      <w:r>
        <w:rPr>
          <w:lang w:val="en_US" w:bidi="en_US"/>
        </w:rPr>
      </w:r>
      <w:r>
        <w:rPr>
          <w:lang w:val="en_US" w:bidi="en_US"/>
        </w:rPr>
        <w:t>as far as God is concerned</w:t>
      </w:r>
      <w:r>
        <w:rPr>
          <w:lang w:val="en_US" w:bidi="en_US"/>
        </w:rPr>
        <w:t xml:space="preserve"> </w:t>
      </w:r>
      <w:r>
        <w:rPr>
          <w:lang w:val="en_US" w:bidi="en_US"/>
        </w:rPr>
        <w:t>it is the same as if</w:t>
      </w:r>
      <w:r>
        <w:rPr>
          <w:lang w:val="en_US" w:bidi="en_US"/>
        </w:rPr>
        <w:t xml:space="preserve"> he commits adultery.</w:t>
      </w:r>
    </w:p>
    <w:p>
      <w:pPr>
        <w:pStyle w:val="Heading5"/>
      </w:pPr>
      <w:r>
        <w:rPr>
          <w:lang w:val="en_US" w:bidi="en_US"/>
        </w:rPr>
        <w:t>16:18a–b</w:t>
      </w:r>
    </w:p>
    <w:p>
      <w:pPr/>
      <w:r>
        <w:rPr>
          <w:lang w:val="en_US" w:bidi="en_US"/>
        </w:rPr>
      </w:r>
      <w:r>
        <w:rPr>
          <w:b/>
          <w:lang w:val="en_US" w:bidi="en_US"/>
        </w:rPr>
        <w:t>Anyone who divorces his wife and marries another woman commits adultery:</w:t>
      </w:r>
      <w:r>
        <w:rPr>
          <w:lang w:val="en_US" w:bidi="en_US"/>
        </w:rPr>
        <w:t xml:space="preserve"> The Greek verb that the BSB translates as </w:t>
      </w:r>
      <w:r>
        <w:rPr>
          <w:i/>
          <w:lang w:val="en_US" w:bidi="en_US"/>
        </w:rPr>
        <w:t>commits adultery</w:t>
      </w:r>
      <w:r>
        <w:rPr>
          <w:lang w:val="en_US" w:bidi="en_US"/>
        </w:rPr>
        <w:t xml:space="preserve"> refers to a certain type of sexual sin. It refers to sexual relations between a man and a woman when at least one of them is married to another person.</w:t>
      </w:r>
    </w:p>
    <w:p>
      <w:pPr/>
      <w:r>
        <w:rPr>
          <w:lang w:val="en_US" w:bidi="en_US"/>
        </w:rPr>
      </w:r>
      <w:r>
        <w:rPr>
          <w:lang w:val="en_US" w:bidi="en_US"/>
        </w:rPr>
        <w:t xml:space="preserve">When a man divorces his wife, God still considers their marriage to be valid. So when the man marries another woman, he has been unfaithful to his first wife and sinned. God considers this sin to be </w:t>
      </w:r>
      <w:r>
        <w:rPr>
          <w:i/>
          <w:lang w:val="en_US" w:bidi="en_US"/>
        </w:rPr>
        <w:t>adultery</w:t>
      </w:r>
      <w:r>
        <w:rPr>
          <w:lang w:val="en_US" w:bidi="en_US"/>
        </w:rPr>
        <w:t>.</w:t>
      </w:r>
    </w:p>
    <w:p>
      <w:pPr/>
      <w:r>
        <w:rPr>
          <w:lang w:val="en_US" w:bidi="en_US"/>
        </w:rPr>
      </w:r>
      <w:r>
        <w:rPr>
          <w:lang w:val="en_US" w:bidi="en_US"/>
        </w:rPr>
        <w:t>In some languages it may be more natural to use an “if” clause to translate this verse part. For example:</w:t>
      </w:r>
    </w:p>
    <w:p>
      <w:pPr/>
      <w:r>
        <w:rPr>
          <w:lang w:val="en_US" w:bidi="en_US"/>
        </w:rPr>
      </w:r>
      <w:r>
        <w:rPr>
          <w:lang w:val="en_US" w:bidi="en_US"/>
        </w:rPr>
        <w:t>If anyone divorces his wife and then marries someone else, he is committing adultery.</w:t>
      </w:r>
    </w:p>
    <w:p>
      <w:pPr/>
      <w:r>
        <w:rPr>
          <w:lang w:val="en_US" w:bidi="en_US"/>
        </w:rPr>
      </w:r>
      <w:r>
        <w:rPr>
          <w:b/>
          <w:lang w:val="en_US" w:bidi="en_US"/>
        </w:rPr>
        <w:t>commits adultery:</w:t>
      </w:r>
      <w:r>
        <w:rPr>
          <w:lang w:val="en_US" w:bidi="en_US"/>
        </w:rPr>
        <w:t xml:space="preserve"> In some languages the phrase </w:t>
      </w:r>
      <w:r>
        <w:rPr>
          <w:i/>
          <w:lang w:val="en_US" w:bidi="en_US"/>
        </w:rPr>
        <w:t>commits adultery</w:t>
      </w:r>
      <w:r>
        <w:rPr>
          <w:lang w:val="en_US" w:bidi="en_US"/>
        </w:rPr>
        <w:t xml:space="preserve"> does not imply that the man is sinning or doing evil. If this is true in your language, you may need to make this explicit. For example:</w:t>
      </w:r>
    </w:p>
    <w:p>
      <w:pPr/>
      <w:r>
        <w:rPr>
          <w:lang w:val="en_US" w:bidi="en_US"/>
        </w:rPr>
      </w:r>
      <w:r>
        <w:rPr>
          <w:lang w:val="en_US" w:bidi="en_US"/>
        </w:rPr>
        <w:t xml:space="preserve">he is committing </w:t>
      </w:r>
      <w:r>
        <w:rPr>
          <w:lang w:val="en_US" w:bidi="en_US"/>
        </w:rPr>
        <w:t>the sin of</w:t>
      </w:r>
      <w:r>
        <w:rPr>
          <w:lang w:val="en_US" w:bidi="en_US"/>
        </w:rPr>
        <w:t xml:space="preserve"> adultery</w:t>
      </w:r>
    </w:p>
    <w:p>
      <w:pPr/>
      <w:r>
        <w:rPr>
          <w:lang w:val="en_US" w:bidi="en_US"/>
        </w:rPr>
      </w:r>
      <w:r>
        <w:rPr>
          <w:lang w:val="en_US" w:bidi="en_US"/>
        </w:rPr>
        <w:t>This verse is very similar to Mark 10:11.</w:t>
      </w:r>
    </w:p>
    <w:p>
      <w:pPr>
        <w:pStyle w:val="Heading5"/>
      </w:pPr>
      <w:r>
        <w:rPr>
          <w:lang w:val="en_US" w:bidi="en_US"/>
        </w:rPr>
        <w:t>16:18c</w:t>
      </w:r>
    </w:p>
    <w:p>
      <w:pPr/>
      <w:r>
        <w:rPr>
          <w:lang w:val="en_US" w:bidi="en_US"/>
        </w:rPr>
      </w:r>
      <w:r>
        <w:rPr>
          <w:b/>
          <w:lang w:val="en_US" w:bidi="en_US"/>
        </w:rPr>
        <w:t>and he who marries a divorced woman commits adultery.</w:t>
      </w:r>
    </w:p>
    <w:p>
      <w:pPr>
        <w:pStyle w:val="ListBullet"/>
        <w:spacing w:line="240" w:lineRule="auto"/>
        <w:ind w:left="720"/>
      </w:pPr>
      <w:r>
        <w:rPr>
          <w:lang w:val="en_US" w:bidi="en_US"/>
        </w:rPr>
      </w:r>
      <w:r>
        <w:rPr>
          <w:lang w:val="en_US" w:bidi="en_US"/>
        </w:rPr>
        <w:t xml:space="preserve">And anyone who marries a woman who has been divorced, he is </w:t>
      </w:r>
      <w:r>
        <w:rPr>
          <w:lang w:val="en_US" w:bidi="en_US"/>
        </w:rPr>
        <w:t>also</w:t>
      </w:r>
      <w:r>
        <w:rPr>
          <w:lang w:val="en_US" w:bidi="en_US"/>
        </w:rPr>
        <w:t xml:space="preserve"> committing adultery.”</w:t>
      </w:r>
    </w:p>
    <w:p>
      <w:pPr>
        <w:pStyle w:val="ListBullet"/>
        <w:spacing w:line="240" w:lineRule="auto"/>
        <w:ind w:left="720"/>
      </w:pPr>
      <w:r>
        <w:rPr>
          <w:lang w:val="en_US" w:bidi="en_US"/>
        </w:rPr>
      </w:r>
      <w:r>
        <w:rPr>
          <w:lang w:val="en_US" w:bidi="en_US"/>
        </w:rPr>
        <w:t xml:space="preserve">And if a man marries a woman whose husband divorced her, </w:t>
      </w:r>
      <w:r>
        <w:rPr>
          <w:lang w:val="en_US" w:bidi="en_US"/>
        </w:rPr>
        <w:t>it is the same as if</w:t>
      </w:r>
      <w:r>
        <w:rPr>
          <w:lang w:val="en_US" w:bidi="en_US"/>
        </w:rPr>
        <w:t xml:space="preserve"> he </w:t>
      </w:r>
      <w:r>
        <w:rPr>
          <w:lang w:val="en_US" w:bidi="en_US"/>
        </w:rPr>
        <w:t>also</w:t>
      </w:r>
      <w:r>
        <w:rPr>
          <w:lang w:val="en_US" w:bidi="en_US"/>
        </w:rPr>
        <w:t xml:space="preserve"> commits adultery.”</w:t>
      </w:r>
    </w:p>
    <w:p>
      <w:pPr/>
      <w:r>
        <w:rPr>
          <w:lang w:val="en_US" w:bidi="en_US"/>
        </w:rPr>
      </w:r>
      <w:r>
        <w:rPr>
          <w:b/>
          <w:lang w:val="en_US" w:bidi="en_US"/>
        </w:rPr>
        <w:t>and he who marries a divorced woman commits adultery:</w:t>
      </w:r>
      <w:r>
        <w:rPr>
          <w:lang w:val="en_US" w:bidi="en_US"/>
        </w:rPr>
        <w:t xml:space="preserve"> This statement is similar to the one in 16:18a–b. If a man marries for the first time, but he marries a woman whose husband has already divorced her, it is the same as if he commits adultery. In God’s eyes that woman is still married to her first husband.</w:t>
      </w:r>
    </w:p>
    <w:p>
      <w:pPr/>
      <w:r>
        <w:rPr>
          <w:lang w:val="en_US" w:bidi="en_US"/>
        </w:rPr>
      </w:r>
      <w:r>
        <w:rPr>
          <w:lang w:val="en_US" w:bidi="en_US"/>
        </w:rPr>
        <w:t>If you translated 16:18a–b with an “if” clause, you may want to do the same here:</w:t>
      </w:r>
    </w:p>
    <w:p>
      <w:pPr/>
      <w:r>
        <w:rPr>
          <w:lang w:val="en_US" w:bidi="en_US"/>
        </w:rPr>
      </w:r>
      <w:r>
        <w:rPr>
          <w:lang w:val="en_US" w:bidi="en_US"/>
        </w:rPr>
        <w:t xml:space="preserve">and if anyone marries a divorced woman, he is committing </w:t>
      </w:r>
      <w:r>
        <w:rPr>
          <w:lang w:val="en_US" w:bidi="en_US"/>
        </w:rPr>
        <w:t>the sin of</w:t>
      </w:r>
      <w:r>
        <w:rPr>
          <w:lang w:val="en_US" w:bidi="en_US"/>
        </w:rPr>
        <w:t xml:space="preserve"> adultery</w:t>
      </w:r>
    </w:p>
    <w:p>
      <w:pPr/>
      <w:r>
        <w:rPr>
          <w:lang w:val="en_US" w:bidi="en_US"/>
        </w:rPr>
      </w:r>
      <w:r>
        <w:rPr>
          <w:b/>
          <w:lang w:val="en_US" w:bidi="en_US"/>
        </w:rPr>
        <w:t>a divorced woman:</w:t>
      </w:r>
      <w:r>
        <w:rPr>
          <w:lang w:val="en_US" w:bidi="en_US"/>
        </w:rPr>
        <w:t xml:space="preserve"> The Greek phrase that the BSB translates as </w:t>
      </w:r>
      <w:r>
        <w:rPr>
          <w:i/>
          <w:lang w:val="en_US" w:bidi="en_US"/>
        </w:rPr>
        <w:t>a divorced woman</w:t>
      </w:r>
      <w:r>
        <w:rPr>
          <w:lang w:val="en_US" w:bidi="en_US"/>
        </w:rPr>
        <w:t xml:space="preserve"> refers to a married woman whose husband has divorced her. In Jesus’ time, a woman could not normally choose to divorce her husband. But if this is possible in your culture, you should translate using a phrase that refers both to a woman whose husband has divorced her and to a woman who has divorced her husband.</w:t>
      </w:r>
      <w:r>
        <w:rPr>
          <w:lang w:val="en_US" w:bidi="en_US"/>
        </w:rPr>
      </w:r>
      <w:r>
        <w:rPr>
          <w:lang w:val="en_US" w:bidi="en_US"/>
        </w:rPr>
      </w:r>
    </w:p>
    <w:p>
      <w:pPr/>
      <w:r>
        <w:rPr>
          <w:lang w:val="en_US" w:bidi="en_US"/>
        </w:rPr>
      </w:r>
    </w:p>
    <w:p>
      <w:pPr>
        <w:pStyle w:val="Heading2"/>
      </w:pPr>
      <w:r>
        <w:rPr>
          <w:lang w:val="en_US" w:bidi="en_US"/>
        </w:rPr>
        <w:t>Luke 16:19</w:t>
      </w:r>
      <w:r>
        <w:rPr>
          <w:lang w:val="en_US" w:bidi="en_US"/>
        </w:rPr>
      </w:r>
    </w:p>
    <w:p>
      <w:pPr>
        <w:pStyle w:val="Heading4"/>
      </w:pPr>
      <w:r>
        <w:rPr>
          <w:lang w:val="en_US" w:bidi="en_US"/>
        </w:rPr>
        <w:t>Section 16:19–31: Jesus told a parable about a rich man and a poor man</w:t>
      </w:r>
    </w:p>
    <w:p>
      <w:pPr/>
      <w:r>
        <w:rPr>
          <w:lang w:val="en_US" w:bidi="en_US"/>
        </w:rPr>
      </w:r>
      <w:r>
        <w:rPr>
          <w:lang w:val="en_US" w:bidi="en_US"/>
        </w:rP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pPr/>
      <w:r>
        <w:rPr>
          <w:lang w:val="en_US" w:bidi="en_US"/>
        </w:rPr>
      </w:r>
      <w:r>
        <w:rPr>
          <w:lang w:val="en_US" w:bidi="en_US"/>
        </w:rPr>
        <w:t>Another heading for this section is:</w:t>
      </w:r>
    </w:p>
    <w:p>
      <w:pPr/>
      <w:r>
        <w:rPr>
          <w:lang w:val="en_US" w:bidi="en_US"/>
        </w:rPr>
      </w:r>
      <w:r>
        <w:rPr>
          <w:lang w:val="en_US" w:bidi="en_US"/>
        </w:rPr>
        <w:t>The Rich Man and Lazarus (NCV)</w:t>
      </w:r>
    </w:p>
    <w:p>
      <w:pPr>
        <w:pStyle w:val="Heading4"/>
      </w:pPr>
      <w:r>
        <w:rPr>
          <w:lang w:val="en_US" w:bidi="en_US"/>
        </w:rPr>
        <w:t>Paragraph 16:19–21</w:t>
      </w:r>
    </w:p>
    <w:p>
      <w:pPr/>
      <w:r>
        <w:rPr>
          <w:lang w:val="en_US" w:bidi="en_US"/>
        </w:rPr>
      </w:r>
      <w:r>
        <w:rPr>
          <w:lang w:val="en_US" w:bidi="en_US"/>
        </w:rPr>
        <w:t>This paragraph describes the situation of a rich man and a poor man in their lives here on earth.</w:t>
      </w:r>
    </w:p>
    <w:p>
      <w:pPr>
        <w:pStyle w:val="Heading5"/>
      </w:pPr>
      <w:r>
        <w:rPr>
          <w:lang w:val="en_US" w:bidi="en_US"/>
        </w:rPr>
        <w:t>16:19a</w:t>
      </w:r>
    </w:p>
    <w:p>
      <w:pPr/>
      <w:r>
        <w:rPr>
          <w:lang w:val="en_US" w:bidi="en_US"/>
        </w:rPr>
      </w:r>
      <w:r>
        <w:rPr>
          <w:b/>
          <w:lang w:val="en_US" w:bidi="en_US"/>
        </w:rPr>
        <w:t>Now there was a rich man dressed in purple and fine linen,</w:t>
      </w:r>
    </w:p>
    <w:p>
      <w:pPr>
        <w:pStyle w:val="ListBullet"/>
        <w:spacing w:line="240" w:lineRule="auto"/>
        <w:ind w:left="720"/>
      </w:pPr>
      <w:r>
        <w:rPr>
          <w:lang w:val="en_US" w:bidi="en_US"/>
        </w:rPr>
      </w:r>
      <w:r>
        <w:rPr>
          <w:lang w:val="en_US" w:bidi="en_US"/>
        </w:rPr>
        <w:t xml:space="preserve">¶ </w:t>
      </w:r>
      <w:r>
        <w:rPr>
          <w:lang w:val="en_US" w:bidi="en_US"/>
        </w:rPr>
        <w:t>Jesus said,</w:t>
      </w:r>
      <w:r>
        <w:rPr>
          <w:lang w:val="en_US" w:bidi="en_US"/>
        </w:rPr>
        <w:t xml:space="preserve"> “A certain rich man </w:t>
      </w:r>
      <w:r>
        <w:rPr>
          <w:lang w:val="en_US" w:bidi="en_US"/>
        </w:rPr>
        <w:t>always</w:t>
      </w:r>
      <w:r>
        <w:rPr>
          <w:lang w:val="en_US" w:bidi="en_US"/>
        </w:rPr>
        <w:t xml:space="preserve"> wore </w:t>
      </w:r>
      <w:r>
        <w:rPr>
          <w:lang w:val="en_US" w:bidi="en_US"/>
        </w:rPr>
        <w:t>the best kind of clothes</w:t>
      </w:r>
      <w:r>
        <w:rPr>
          <w:lang w:val="en_US" w:bidi="en_US"/>
        </w:rPr>
        <w:t>, purple robes and tunics/underclothes made from linen cloth.</w:t>
      </w:r>
    </w:p>
    <w:p>
      <w:pPr>
        <w:pStyle w:val="ListBullet"/>
        <w:spacing w:line="240" w:lineRule="auto"/>
        <w:ind w:left="720"/>
      </w:pPr>
      <w:r>
        <w:rPr>
          <w:lang w:val="en_US" w:bidi="en_US"/>
        </w:rPr>
      </w:r>
      <w:r>
        <w:rPr>
          <w:lang w:val="en_US" w:bidi="en_US"/>
        </w:rPr>
        <w:t xml:space="preserve">¶ </w:t>
      </w:r>
      <w:r>
        <w:rPr>
          <w:lang w:val="en_US" w:bidi="en_US"/>
        </w:rPr>
        <w:t>Then Jesus told this story:</w:t>
      </w:r>
      <w:r>
        <w:rPr>
          <w:lang w:val="en_US" w:bidi="en_US"/>
        </w:rPr>
        <w:t xml:space="preserve"> “There once lived a rich man who dressed in expensive clothes</w:t>
      </w:r>
    </w:p>
    <w:p>
      <w:pPr/>
      <w:r>
        <w:rPr>
          <w:lang w:val="en_US" w:bidi="en_US"/>
        </w:rPr>
      </w:r>
      <w:r>
        <w:rPr>
          <w:lang w:val="en_US" w:bidi="en_US"/>
        </w:rPr>
        <w:t>This is the first verse in a new section, so you may want to make it explicit that Jesus was still speaking. If your section heading does not say that this section is a parable or story, you may also want to make this explicit. For example:</w:t>
      </w:r>
    </w:p>
    <w:p>
      <w:pPr/>
      <w:r>
        <w:rPr>
          <w:lang w:val="en_US" w:bidi="en_US"/>
        </w:rPr>
      </w:r>
      <w:r>
        <w:rPr>
          <w:lang w:val="en_US" w:bidi="en_US"/>
        </w:rPr>
        <w:t>Then Jesus told this story/parable</w:t>
      </w:r>
    </w:p>
    <w:p>
      <w:pPr/>
      <w:r>
        <w:rPr>
          <w:lang w:val="en_US" w:bidi="en_US"/>
        </w:rPr>
      </w:r>
      <w:r>
        <w:rPr>
          <w:b/>
          <w:lang w:val="en_US" w:bidi="en_US"/>
        </w:rPr>
        <w:t>Now:</w:t>
      </w:r>
      <w:r>
        <w:rPr>
          <w:lang w:val="en_US" w:bidi="en_US"/>
        </w:rPr>
        <w:t xml:space="preserve"> This verse begins with a Greek conjunction that the BSB (like the NASB) translates as </w:t>
      </w:r>
      <w:r>
        <w:rPr>
          <w:i/>
          <w:lang w:val="en_US" w:bidi="en_US"/>
        </w:rPr>
        <w:t>Now</w:t>
      </w:r>
      <w:r>
        <w:rPr>
          <w:lang w:val="en_US" w:bidi="en_US"/>
        </w:rPr>
        <w:t xml:space="preserve"> in order to show that it introduces background information. Most English versions do not translate this conjunction Introduce this background information in a natural way in your language.</w:t>
      </w:r>
    </w:p>
    <w:p>
      <w:pPr/>
      <w:r>
        <w:rPr>
          <w:lang w:val="en_US" w:bidi="en_US"/>
        </w:rPr>
      </w:r>
      <w:r>
        <w:rPr>
          <w:b/>
          <w:lang w:val="en_US" w:bidi="en_US"/>
        </w:rPr>
        <w:t>there was a rich man dressed in purple and fine linen:</w:t>
      </w:r>
      <w:r>
        <w:rPr>
          <w:lang w:val="en_US" w:bidi="en_US"/>
        </w:rPr>
        <w:t xml:space="preserve"> Jesus began his story by telling about a rich man who is one of the two main characters in the story. In your translation, make sure you introduce the main characters in a way that is natural in your language.</w:t>
      </w:r>
    </w:p>
    <w:p>
      <w:pPr/>
      <w:r>
        <w:rPr>
          <w:lang w:val="en_US" w:bidi="en_US"/>
        </w:rPr>
      </w:r>
      <w:r>
        <w:rPr>
          <w:b/>
          <w:lang w:val="en_US" w:bidi="en_US"/>
        </w:rPr>
        <w:t>dressed in purple and fine linen:</w:t>
      </w:r>
      <w:r>
        <w:rPr>
          <w:lang w:val="en_US" w:bidi="en_US"/>
        </w:rPr>
        <w:t xml:space="preserve"> The phrase </w:t>
      </w:r>
      <w:r>
        <w:rPr>
          <w:i/>
          <w:lang w:val="en_US" w:bidi="en_US"/>
        </w:rPr>
        <w:t>dressed in purple and fine linen</w:t>
      </w:r>
      <w:r>
        <w:rPr>
          <w:lang w:val="en_US" w:bidi="en_US"/>
        </w:rPr>
        <w:t xml:space="preserve"> indicates that the rich man always wore the finest, most expensive clothes. He wore a purple robe as an outer garment, and his inner garment was made of linen. Purple dye was expensive, so only kings and rich people could wear that color.</w:t>
      </w:r>
    </w:p>
    <w:p>
      <w:pPr/>
      <w:r>
        <w:rPr>
          <w:lang w:val="en_US" w:bidi="en_US"/>
        </w:rPr>
      </w:r>
      <w:r>
        <w:rPr>
          <w:lang w:val="en_US" w:bidi="en_US"/>
        </w:rPr>
        <w:t>If it is awkward to describe purple robes and linen undergarments in your language or if these details do not convey the right meaning, you may:</w:t>
      </w:r>
    </w:p>
    <w:p>
      <w:pPr>
        <w:pStyle w:val="ListBullet"/>
        <w:spacing w:line="240" w:lineRule="auto"/>
        <w:ind w:left="720"/>
      </w:pPr>
      <w:r>
        <w:rPr>
          <w:lang w:val="en_US" w:bidi="en_US"/>
        </w:rPr>
      </w:r>
      <w:r>
        <w:rPr>
          <w:lang w:val="en_US" w:bidi="en_US"/>
        </w:rPr>
        <w:t>Make explicit the significance of these clothes. For example:</w:t>
      </w:r>
      <w:r>
        <w:rPr>
          <w:lang w:val="en_US" w:bidi="en_US"/>
        </w:rPr>
        <w:t xml:space="preserve">always wore </w:t>
      </w:r>
      <w:r>
        <w:rPr>
          <w:u w:val="single"/>
          <w:lang w:val="en_US" w:bidi="en_US"/>
        </w:rPr>
        <w:t>expensive</w:t>
      </w:r>
      <w:r>
        <w:rPr>
          <w:lang w:val="en_US" w:bidi="en_US"/>
        </w:rPr>
        <w:t xml:space="preserve"> purple robes and the </w:t>
      </w:r>
      <w:r>
        <w:rPr>
          <w:u w:val="single"/>
          <w:lang w:val="en_US" w:bidi="en_US"/>
        </w:rPr>
        <w:t>finest quality</w:t>
      </w:r>
      <w:r>
        <w:rPr>
          <w:lang w:val="en_US" w:bidi="en_US"/>
        </w:rPr>
        <w:t xml:space="preserve"> linen underclothes</w:t>
      </w:r>
    </w:p>
    <w:p>
      <w:pPr>
        <w:pStyle w:val="ListBullet"/>
        <w:spacing w:line="240" w:lineRule="auto"/>
        <w:ind w:left="720"/>
      </w:pPr>
      <w:r>
        <w:rPr>
          <w:lang w:val="en_US" w:bidi="en_US"/>
        </w:rPr>
      </w:r>
      <w:r>
        <w:rPr>
          <w:lang w:val="en_US" w:bidi="en_US"/>
        </w:rPr>
        <w:t>Use a more general description. For example:</w:t>
      </w:r>
      <w:r>
        <w:rPr>
          <w:lang w:val="en_US" w:bidi="en_US"/>
        </w:rPr>
        <w:t>always dressed in the finest clothes (NCV)</w:t>
      </w:r>
      <w:r>
        <w:rPr>
          <w:lang w:val="en_US" w:bidi="en_US"/>
        </w:rPr>
        <w:t>wore expensive clothes (CEV)</w:t>
      </w:r>
    </w:p>
    <w:p>
      <w:pPr>
        <w:pStyle w:val="Heading5"/>
      </w:pPr>
      <w:r>
        <w:rPr>
          <w:lang w:val="en_US" w:bidi="en_US"/>
        </w:rPr>
        <w:t>16:19b</w:t>
      </w:r>
    </w:p>
    <w:p>
      <w:pPr/>
      <w:r>
        <w:rPr>
          <w:lang w:val="en_US" w:bidi="en_US"/>
        </w:rPr>
      </w:r>
      <w:r>
        <w:rPr>
          <w:b/>
          <w:lang w:val="en_US" w:bidi="en_US"/>
        </w:rPr>
        <w:t>who lived each day in joyous splendor.</w:t>
      </w:r>
    </w:p>
    <w:p>
      <w:pPr>
        <w:pStyle w:val="ListBullet"/>
        <w:spacing w:line="240" w:lineRule="auto"/>
        <w:ind w:left="720"/>
      </w:pPr>
      <w:r>
        <w:rPr>
          <w:lang w:val="en_US" w:bidi="en_US"/>
        </w:rPr>
      </w:r>
      <w:r>
        <w:rPr>
          <w:lang w:val="en_US" w:bidi="en_US"/>
        </w:rPr>
        <w:t>Every day he enjoyed eating the best food.</w:t>
      </w:r>
    </w:p>
    <w:p>
      <w:pPr>
        <w:pStyle w:val="ListBullet"/>
        <w:spacing w:line="240" w:lineRule="auto"/>
        <w:ind w:left="720"/>
      </w:pPr>
      <w:r>
        <w:rPr>
          <w:lang w:val="en_US" w:bidi="en_US"/>
        </w:rPr>
      </w:r>
      <w:r>
        <w:rPr>
          <w:lang w:val="en_US" w:bidi="en_US"/>
        </w:rPr>
        <w:t>and was always holding/hosting big parties/banquets.</w:t>
      </w:r>
    </w:p>
    <w:p>
      <w:pPr/>
      <w:r>
        <w:rPr>
          <w:lang w:val="en_US" w:bidi="en_US"/>
        </w:rPr>
      </w:r>
      <w:r>
        <w:rPr>
          <w:b/>
          <w:lang w:val="en_US" w:bidi="en_US"/>
        </w:rPr>
        <w:t>who lived each day in joyous splendor:</w:t>
      </w:r>
      <w:r>
        <w:rPr>
          <w:lang w:val="en_US" w:bidi="en_US"/>
        </w:rPr>
        <w:t xml:space="preserve"> The two Greek words that the BSB translates as </w:t>
      </w:r>
      <w:r>
        <w:rPr>
          <w:i/>
          <w:lang w:val="en_US" w:bidi="en_US"/>
        </w:rPr>
        <w:t>lived each day in joyous splendor</w:t>
      </w:r>
      <w:r>
        <w:rPr>
          <w:lang w:val="en_US" w:bidi="en_US"/>
        </w:rPr>
        <w:t xml:space="preserve"> are literally “being-merry/celebrating” and “sumptuously/lavishly.” In this context these words mean that the man was always enjoying himself by feasting on the finest foods. Some other ways to translate this phrase are:</w:t>
      </w:r>
    </w:p>
    <w:p>
      <w:pPr/>
      <w:r>
        <w:rPr>
          <w:lang w:val="en_US" w:bidi="en_US"/>
        </w:rPr>
      </w:r>
      <w:r>
        <w:rPr>
          <w:lang w:val="en_US" w:bidi="en_US"/>
        </w:rPr>
        <w:t>feasted sumptuously (NRSV)</w:t>
      </w:r>
    </w:p>
    <w:p>
      <w:pPr/>
      <w:r>
        <w:rPr>
          <w:lang w:val="en_US" w:bidi="en_US"/>
        </w:rPr>
      </w:r>
      <w:r>
        <w:rPr>
          <w:lang w:val="en_US" w:bidi="en_US"/>
        </w:rPr>
        <w:t>enjoyed eating the most delicious foods</w:t>
      </w:r>
    </w:p>
    <w:p>
      <w:pPr/>
      <w:r>
        <w:rPr>
          <w:lang w:val="en_US" w:bidi="en_US"/>
        </w:rPr>
      </w:r>
      <w:r>
        <w:rPr>
          <w:lang w:val="en_US" w:bidi="en_US"/>
        </w:rPr>
        <w:t>gave big feasts and made himself happy</w:t>
      </w:r>
      <w:r>
        <w:rPr>
          <w:lang w:val="en_US" w:bidi="en_US"/>
        </w:rPr>
      </w:r>
      <w:r>
        <w:rPr>
          <w:lang w:val="en_US" w:bidi="en_US"/>
        </w:rPr>
      </w:r>
    </w:p>
    <w:p>
      <w:pPr/>
      <w:r>
        <w:rPr>
          <w:lang w:val="en_US" w:bidi="en_US"/>
        </w:rPr>
      </w:r>
    </w:p>
    <w:p>
      <w:pPr>
        <w:pStyle w:val="Heading2"/>
      </w:pPr>
      <w:r>
        <w:rPr>
          <w:lang w:val="en_US" w:bidi="en_US"/>
        </w:rPr>
        <w:t>Luke 16:20</w:t>
      </w:r>
      <w:r>
        <w:rPr>
          <w:lang w:val="en_US" w:bidi="en_US"/>
        </w:rPr>
      </w:r>
    </w:p>
    <w:p>
      <w:pPr>
        <w:pStyle w:val="Heading4"/>
      </w:pPr>
      <w:r>
        <w:rPr>
          <w:lang w:val="en_US" w:bidi="en_US"/>
        </w:rPr>
        <w:t>Section 16:19–31: Jesus told a parable about a rich man and a poor man</w:t>
      </w:r>
    </w:p>
    <w:p>
      <w:pPr/>
      <w:r>
        <w:rPr>
          <w:lang w:val="en_US" w:bidi="en_US"/>
        </w:rPr>
      </w:r>
      <w:r>
        <w:rPr>
          <w:lang w:val="en_US" w:bidi="en_US"/>
        </w:rP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pPr/>
      <w:r>
        <w:rPr>
          <w:lang w:val="en_US" w:bidi="en_US"/>
        </w:rPr>
      </w:r>
      <w:r>
        <w:rPr>
          <w:lang w:val="en_US" w:bidi="en_US"/>
        </w:rPr>
        <w:t>Another heading for this section is:</w:t>
      </w:r>
    </w:p>
    <w:p>
      <w:pPr/>
      <w:r>
        <w:rPr>
          <w:lang w:val="en_US" w:bidi="en_US"/>
        </w:rPr>
      </w:r>
      <w:r>
        <w:rPr>
          <w:lang w:val="en_US" w:bidi="en_US"/>
        </w:rPr>
        <w:t>The Rich Man and Lazarus (NCV)</w:t>
      </w:r>
    </w:p>
    <w:p>
      <w:pPr>
        <w:pStyle w:val="Heading4"/>
      </w:pPr>
      <w:r>
        <w:rPr>
          <w:lang w:val="en_US" w:bidi="en_US"/>
        </w:rPr>
        <w:t>Paragraph 16:19–21</w:t>
      </w:r>
    </w:p>
    <w:p>
      <w:pPr/>
      <w:r>
        <w:rPr>
          <w:lang w:val="en_US" w:bidi="en_US"/>
        </w:rPr>
      </w:r>
      <w:r>
        <w:rPr>
          <w:lang w:val="en_US" w:bidi="en_US"/>
        </w:rPr>
        <w:t>This paragraph describes the situation of a rich man and a poor man in their lives here on earth.</w:t>
      </w:r>
    </w:p>
    <w:p>
      <w:pPr>
        <w:pStyle w:val="Heading5"/>
      </w:pPr>
      <w:r>
        <w:rPr>
          <w:lang w:val="en_US" w:bidi="en_US"/>
        </w:rPr>
        <w:t>16:20a</w:t>
      </w:r>
    </w:p>
    <w:p>
      <w:pPr/>
      <w:r>
        <w:rPr>
          <w:lang w:val="en_US" w:bidi="en_US"/>
        </w:rPr>
      </w:r>
      <w:r>
        <w:rPr>
          <w:b/>
          <w:lang w:val="en_US" w:bidi="en_US"/>
        </w:rPr>
        <w:t>And a beggar named Lazarus lay at his gate,</w:t>
      </w:r>
    </w:p>
    <w:p>
      <w:pPr>
        <w:pStyle w:val="ListBullet"/>
        <w:spacing w:line="240" w:lineRule="auto"/>
        <w:ind w:left="720"/>
      </w:pPr>
      <w:r>
        <w:rPr>
          <w:lang w:val="en_US" w:bidi="en_US"/>
        </w:rPr>
      </w:r>
      <w:r>
        <w:rPr>
          <w:lang w:val="en_US" w:bidi="en_US"/>
        </w:rPr>
        <w:t xml:space="preserve">A poor man named Lazarus had been placed/laid at the gate to the rich man’s </w:t>
      </w:r>
      <w:r>
        <w:rPr>
          <w:lang w:val="en_US" w:bidi="en_US"/>
        </w:rPr>
        <w:t>house/courtyard</w:t>
      </w:r>
      <w:r>
        <w:rPr>
          <w:lang w:val="en_US" w:bidi="en_US"/>
        </w:rPr>
        <w:t>.</w:t>
      </w:r>
    </w:p>
    <w:p>
      <w:pPr>
        <w:pStyle w:val="ListBullet"/>
        <w:spacing w:line="240" w:lineRule="auto"/>
        <w:ind w:left="720"/>
      </w:pPr>
      <w:r>
        <w:rPr>
          <w:lang w:val="en_US" w:bidi="en_US"/>
        </w:rPr>
      </w:r>
      <w:r>
        <w:rPr>
          <w:lang w:val="en_US" w:bidi="en_US"/>
        </w:rPr>
        <w:t xml:space="preserve">There was also a poor man whose name was Lazarus. </w:t>
      </w:r>
      <w:r>
        <w:rPr>
          <w:lang w:val="en_US" w:bidi="en_US"/>
        </w:rPr>
        <w:t>People</w:t>
      </w:r>
      <w:r>
        <w:rPr>
          <w:lang w:val="en_US" w:bidi="en_US"/>
        </w:rPr>
        <w:t xml:space="preserve"> </w:t>
      </w:r>
      <w:r>
        <w:rPr>
          <w:lang w:val="en_US" w:bidi="en_US"/>
        </w:rPr>
        <w:t>had brought him to</w:t>
      </w:r>
      <w:r>
        <w:rPr>
          <w:lang w:val="en_US" w:bidi="en_US"/>
        </w:rPr>
        <w:t xml:space="preserve"> the rich man’s gate and placed him there.</w:t>
      </w:r>
    </w:p>
    <w:p>
      <w:pPr/>
      <w:r>
        <w:rPr>
          <w:lang w:val="en_US" w:bidi="en_US"/>
        </w:rPr>
      </w:r>
      <w:r>
        <w:rPr>
          <w:b/>
          <w:lang w:val="en_US" w:bidi="en_US"/>
        </w:rPr>
        <w:t>And a beggar named Lazarus:</w:t>
      </w:r>
      <w:r>
        <w:rPr>
          <w:lang w:val="en_US" w:bidi="en_US"/>
        </w:rPr>
        <w:t xml:space="preserve"> The Greek word that the BSB translates as </w:t>
      </w:r>
      <w:r>
        <w:rPr>
          <w:i/>
          <w:lang w:val="en_US" w:bidi="en_US"/>
        </w:rPr>
        <w:t>beggar</w:t>
      </w:r>
      <w:r>
        <w:rPr>
          <w:lang w:val="en_US" w:bidi="en_US"/>
        </w:rPr>
        <w:t xml:space="preserve"> refers to a very poor person. It is not a specific word for a professional beggar. The BSB probably uses the word </w:t>
      </w:r>
      <w:r>
        <w:rPr>
          <w:i/>
          <w:lang w:val="en_US" w:bidi="en_US"/>
        </w:rPr>
        <w:t>beggar</w:t>
      </w:r>
      <w:r>
        <w:rPr>
          <w:lang w:val="en_US" w:bidi="en_US"/>
        </w:rPr>
        <w:t xml:space="preserve"> here because Lazarus was clearly placed at the rich man’s gate in the hopes that he would receive food or money. Most versions translate this word as:</w:t>
      </w:r>
    </w:p>
    <w:p>
      <w:pPr/>
      <w:r>
        <w:rPr>
          <w:lang w:val="en_US" w:bidi="en_US"/>
        </w:rPr>
      </w:r>
      <w:r>
        <w:rPr>
          <w:lang w:val="en_US" w:bidi="en_US"/>
        </w:rPr>
        <w:t>a poor man</w:t>
      </w:r>
    </w:p>
    <w:p>
      <w:pPr/>
      <w:r>
        <w:rPr>
          <w:lang w:val="en_US" w:bidi="en_US"/>
        </w:rPr>
      </w:r>
      <w:r>
        <w:rPr>
          <w:b/>
          <w:lang w:val="en_US" w:bidi="en_US"/>
        </w:rPr>
        <w:t>lay:</w:t>
      </w:r>
      <w:r>
        <w:rPr>
          <w:lang w:val="en_US" w:bidi="en_US"/>
        </w:rPr>
        <w:t xml:space="preserve"> The Greek verb that the BSB translates as </w:t>
      </w:r>
      <w:r>
        <w:rPr>
          <w:i/>
          <w:lang w:val="en_US" w:bidi="en_US"/>
        </w:rPr>
        <w:t>lay</w:t>
      </w:r>
      <w:r>
        <w:rPr>
          <w:lang w:val="en_US" w:bidi="en_US"/>
        </w:rPr>
        <w:t xml:space="preserve"> is passive and is literally “had been laid.” There are three ways to interpret this verb:</w:t>
      </w:r>
    </w:p>
    <w:p>
      <w:pPr>
        <w:pStyle w:val="ListNumber"/>
        <w:numPr>
          <w:ilvl w:val="0"/>
          <w:numId w:val="272"/>
        </w:numPr>
        <w:spacing w:line="240" w:lineRule="auto"/>
        <w:ind w:left="720"/>
      </w:pPr>
      <w:r>
        <w:rPr>
          <w:lang w:val="en_US" w:bidi="en_US"/>
        </w:rPr>
      </w:r>
      <w:r>
        <w:rPr>
          <w:lang w:val="en_US" w:bidi="en_US"/>
        </w:rPr>
        <w:t>It indicates that people had brought him there and left him. For example:</w:t>
      </w:r>
      <w:r>
        <w:rPr>
          <w:lang w:val="en_US" w:bidi="en_US"/>
        </w:rPr>
        <w:t xml:space="preserve">was laid (NASB) </w:t>
      </w:r>
      <w:r>
        <w:rPr>
          <w:i/>
          <w:lang w:val="en_US" w:bidi="en_US"/>
        </w:rPr>
        <w:t>(NIV, NASB, NCV CEV, KJV, ESV, JBP)</w:t>
      </w:r>
    </w:p>
    <w:p>
      <w:pPr>
        <w:pStyle w:val="ListNumber"/>
        <w:spacing w:line="240" w:lineRule="auto"/>
        <w:ind w:left="720"/>
      </w:pPr>
      <w:r>
        <w:rPr>
          <w:lang w:val="en_US" w:bidi="en_US"/>
        </w:rPr>
      </w:r>
      <w:r>
        <w:rPr>
          <w:lang w:val="en_US" w:bidi="en_US"/>
        </w:rPr>
        <w:t>It indicates only that he was lying there. For example:</w:t>
      </w:r>
      <w:r>
        <w:rPr>
          <w:lang w:val="en_US" w:bidi="en_US"/>
        </w:rPr>
        <w:t xml:space="preserve">lay (RSV) </w:t>
      </w:r>
      <w:r>
        <w:rPr>
          <w:i/>
          <w:lang w:val="en_US" w:bidi="en_US"/>
        </w:rPr>
        <w:t>(BSB, RSV, NLT, NET, REB)</w:t>
      </w:r>
    </w:p>
    <w:p>
      <w:pPr>
        <w:pStyle w:val="ListNumber"/>
        <w:spacing w:line="240" w:lineRule="auto"/>
        <w:ind w:left="720"/>
      </w:pPr>
      <w:r>
        <w:rPr>
          <w:lang w:val="en_US" w:bidi="en_US"/>
        </w:rPr>
      </w:r>
      <w:r>
        <w:rPr>
          <w:lang w:val="en_US" w:bidi="en_US"/>
        </w:rPr>
        <w:t>It indicates that people brought him there regularly. For example:</w:t>
      </w:r>
      <w:r>
        <w:rPr>
          <w:lang w:val="en_US" w:bidi="en_US"/>
        </w:rPr>
        <w:t xml:space="preserve">was regularly brought (GW) </w:t>
      </w:r>
      <w:r>
        <w:rPr>
          <w:i/>
          <w:lang w:val="en_US" w:bidi="en_US"/>
        </w:rPr>
        <w:t>(GW, GNT)</w:t>
      </w:r>
    </w:p>
    <w:p>
      <w:pPr/>
      <w:r>
        <w:rPr>
          <w:lang w:val="en_US" w:bidi="en_US"/>
        </w:rPr>
      </w:r>
      <w:r>
        <w:rPr>
          <w:lang w:val="en_US" w:bidi="en_US"/>
        </w:rPr>
        <w:t>It is recommended that you follow interpretation (1). The passive verb implies that he was too crippled or sick to get there himself. This helps to show the contrast between the rich man’s luxurious lifestyle and the poor man’s miserable condition.</w:t>
      </w:r>
    </w:p>
    <w:p>
      <w:pPr/>
      <w:r>
        <w:rPr>
          <w:lang w:val="en_US" w:bidi="en_US"/>
        </w:rPr>
      </w:r>
      <w:r>
        <w:rPr>
          <w:lang w:val="en_US" w:bidi="en_US"/>
        </w:rPr>
        <w:t>If it is necessary to use an active verb in your language, you should supply a general subject. For example:</w:t>
      </w:r>
    </w:p>
    <w:p>
      <w:pPr/>
      <w:r>
        <w:rPr>
          <w:lang w:val="en_US" w:bidi="en_US"/>
        </w:rPr>
      </w:r>
      <w:r>
        <w:rPr>
          <w:u w:val="single"/>
          <w:lang w:val="en_US" w:bidi="en_US"/>
        </w:rPr>
        <w:t>people</w:t>
      </w:r>
      <w:r>
        <w:rPr>
          <w:lang w:val="en_US" w:bidi="en_US"/>
        </w:rPr>
        <w:t xml:space="preserve"> had placed him at the gate of the rich man’s house</w:t>
      </w:r>
    </w:p>
    <w:p>
      <w:pPr/>
      <w:r>
        <w:rPr>
          <w:lang w:val="en_US" w:bidi="en_US"/>
        </w:rPr>
      </w:r>
      <w:r>
        <w:rPr>
          <w:b/>
          <w:lang w:val="en_US" w:bidi="en_US"/>
        </w:rPr>
        <w:t>at his gate:</w:t>
      </w:r>
      <w:r>
        <w:rPr>
          <w:lang w:val="en_US" w:bidi="en_US"/>
        </w:rPr>
        <w:t xml:space="preserve"> The phrase </w:t>
      </w:r>
      <w:r>
        <w:rPr>
          <w:i/>
          <w:lang w:val="en_US" w:bidi="en_US"/>
        </w:rPr>
        <w:t>his gate</w:t>
      </w:r>
      <w:r>
        <w:rPr>
          <w:lang w:val="en_US" w:bidi="en_US"/>
        </w:rPr>
        <w:t xml:space="preserve"> probably refers to the main gate that led into the courtyard of the rich man’s house. It does not refer to the door of the house itself.</w:t>
      </w:r>
    </w:p>
    <w:p>
      <w:pPr>
        <w:pStyle w:val="Heading5"/>
      </w:pPr>
      <w:r>
        <w:rPr>
          <w:lang w:val="en_US" w:bidi="en_US"/>
        </w:rPr>
        <w:t>16:20b</w:t>
      </w:r>
    </w:p>
    <w:p>
      <w:pPr/>
      <w:r>
        <w:rPr>
          <w:lang w:val="en_US" w:bidi="en_US"/>
        </w:rPr>
      </w:r>
      <w:r>
        <w:rPr>
          <w:b/>
          <w:lang w:val="en_US" w:bidi="en_US"/>
        </w:rPr>
        <w:t>covered with sores</w:t>
      </w:r>
    </w:p>
    <w:p>
      <w:pPr>
        <w:pStyle w:val="ListBullet"/>
        <w:spacing w:line="240" w:lineRule="auto"/>
        <w:ind w:left="720"/>
      </w:pPr>
      <w:r>
        <w:rPr>
          <w:lang w:val="en_US" w:bidi="en_US"/>
        </w:rPr>
      </w:r>
      <w:r>
        <w:rPr>
          <w:lang w:val="en_US" w:bidi="en_US"/>
        </w:rPr>
        <w:t>He had sores all over his body.</w:t>
      </w:r>
    </w:p>
    <w:p>
      <w:pPr>
        <w:pStyle w:val="ListBullet"/>
        <w:spacing w:line="240" w:lineRule="auto"/>
        <w:ind w:left="720"/>
      </w:pPr>
      <w:r>
        <w:rPr>
          <w:lang w:val="en_US" w:bidi="en_US"/>
        </w:rPr>
      </w:r>
      <w:r>
        <w:rPr>
          <w:lang w:val="en_US" w:bidi="en_US"/>
        </w:rPr>
        <w:t>Lazarus’ skin was full of sores.</w:t>
      </w:r>
    </w:p>
    <w:p>
      <w:pPr/>
      <w:r>
        <w:rPr>
          <w:lang w:val="en_US" w:bidi="en_US"/>
        </w:rPr>
      </w:r>
      <w:r>
        <w:rPr>
          <w:b/>
          <w:lang w:val="en_US" w:bidi="en_US"/>
        </w:rPr>
        <w:t>covered with sores:</w:t>
      </w:r>
      <w:r>
        <w:rPr>
          <w:lang w:val="en_US" w:bidi="en_US"/>
        </w:rPr>
        <w:t xml:space="preserve"> The Greek word that the BSB translates as </w:t>
      </w:r>
      <w:r>
        <w:rPr>
          <w:i/>
          <w:lang w:val="en_US" w:bidi="en_US"/>
        </w:rPr>
        <w:t>covered with sores</w:t>
      </w:r>
      <w:r>
        <w:rPr>
          <w:lang w:val="en_US" w:bidi="en_US"/>
        </w:rPr>
        <w:t xml:space="preserve"> means “with sores all over his body.” This man suffered from a bad skin disease. These sores may have been ulcers or boils. In some languages it may be more natural to translate this phrase with a separate sentence. For example:</w:t>
      </w:r>
    </w:p>
    <w:p>
      <w:pPr/>
      <w:r>
        <w:rPr>
          <w:lang w:val="en_US" w:bidi="en_US"/>
        </w:rPr>
      </w:r>
      <w:r>
        <w:rPr>
          <w:lang w:val="en_US" w:bidi="en_US"/>
        </w:rPr>
        <w:t>His body was full of sores.</w:t>
      </w:r>
    </w:p>
    <w:p>
      <w:pPr/>
      <w:r>
        <w:rPr>
          <w:lang w:val="en_US" w:bidi="en_US"/>
        </w:rPr>
      </w:r>
      <w:r>
        <w:rPr>
          <w:lang w:val="en_US" w:bidi="en_US"/>
        </w:rPr>
        <w:t>He had sores on his entire body.</w:t>
      </w:r>
    </w:p>
    <w:p>
      <w:pPr>
        <w:pStyle w:val="Heading6"/>
      </w:pPr>
      <w:r>
        <w:rPr>
          <w:b/>
          <w:lang w:val="en_US" w:bidi="en_US"/>
        </w:rPr>
        <w:t>General Comment on 16:20a–b</w:t>
      </w:r>
    </w:p>
    <w:p>
      <w:pPr/>
      <w:r>
        <w:rPr>
          <w:lang w:val="en_US" w:bidi="en_US"/>
        </w:rPr>
      </w:r>
      <w:r>
        <w:rPr>
          <w:lang w:val="en_US" w:bidi="en_US"/>
        </w:rPr>
        <w:t>Several English versions give the name of this poor man later in this verse. For example:</w:t>
      </w:r>
    </w:p>
    <w:p>
      <w:pPr/>
      <w:r>
        <w:rPr>
          <w:lang w:val="en_US" w:bidi="en_US"/>
        </w:rPr>
      </w:r>
      <w:r>
        <w:rPr>
          <w:lang w:val="en_US" w:bidi="en_US"/>
        </w:rPr>
        <w:t>At his gate was laid a beggar named Lazarus, covered with sores. (NIV)</w:t>
      </w:r>
    </w:p>
    <w:p>
      <w:pPr/>
      <w:r>
        <w:rPr>
          <w:lang w:val="en_US" w:bidi="en_US"/>
        </w:rPr>
      </w:r>
      <w:r>
        <w:rPr>
          <w:lang w:val="en_US" w:bidi="en_US"/>
        </w:rPr>
        <w:t>In some languages it may be more natural to tell the man’s name and describe his condition earlier in the verse. For example:</w:t>
      </w:r>
    </w:p>
    <w:p>
      <w:pPr/>
      <w:r>
        <w:rPr>
          <w:lang w:val="en_US" w:bidi="en_US"/>
        </w:rPr>
      </w:r>
      <w:r>
        <w:rPr>
          <w:vertAlign w:val="superscript"/>
          <w:lang w:val="en_US" w:bidi="en_US"/>
        </w:rPr>
        <w:t>20a</w:t>
      </w:r>
      <w:r>
        <w:rPr>
          <w:lang w:val="en_US" w:bidi="en_US"/>
        </w:rPr>
        <w:t xml:space="preserve">There was also a poor man whose name was Lazarus. </w:t>
      </w:r>
      <w:r>
        <w:rPr>
          <w:vertAlign w:val="superscript"/>
          <w:lang w:val="en_US" w:bidi="en_US"/>
        </w:rPr>
        <w:t>20b</w:t>
      </w:r>
      <w:r>
        <w:rPr>
          <w:lang w:val="en_US" w:bidi="en_US"/>
        </w:rPr>
        <w:t xml:space="preserve">He had sores all over his body. </w:t>
      </w:r>
      <w:r>
        <w:rPr>
          <w:vertAlign w:val="superscript"/>
          <w:lang w:val="en_US" w:bidi="en_US"/>
        </w:rPr>
        <w:t>20a</w:t>
      </w:r>
      <w:r>
        <w:rPr>
          <w:lang w:val="en_US" w:bidi="en_US"/>
        </w:rPr>
        <w:t>People had left him at the gate of the house of the rich man.</w:t>
      </w:r>
    </w:p>
    <w:p>
      <w:pPr/>
      <w:r>
        <w:rPr>
          <w:lang w:val="en_US" w:bidi="en_US"/>
        </w:rPr>
      </w:r>
      <w:r>
        <w:rPr>
          <w:lang w:val="en_US" w:bidi="en_US"/>
        </w:rPr>
        <w:t>Lazarus is the second main person in this story. Introduce him in a natural way in your language.</w:t>
      </w:r>
      <w:r>
        <w:rPr>
          <w:lang w:val="en_US" w:bidi="en_US"/>
        </w:rPr>
      </w:r>
      <w:r>
        <w:rPr>
          <w:lang w:val="en_US" w:bidi="en_US"/>
        </w:rPr>
      </w:r>
    </w:p>
    <w:p>
      <w:pPr/>
      <w:r>
        <w:rPr>
          <w:lang w:val="en_US" w:bidi="en_US"/>
        </w:rPr>
      </w:r>
    </w:p>
    <w:p>
      <w:pPr>
        <w:pStyle w:val="Heading2"/>
      </w:pPr>
      <w:r>
        <w:rPr>
          <w:lang w:val="en_US" w:bidi="en_US"/>
        </w:rPr>
        <w:t>Luke 16:21</w:t>
      </w:r>
      <w:r>
        <w:rPr>
          <w:lang w:val="en_US" w:bidi="en_US"/>
        </w:rPr>
      </w:r>
    </w:p>
    <w:p>
      <w:pPr>
        <w:pStyle w:val="Heading4"/>
      </w:pPr>
      <w:r>
        <w:rPr>
          <w:lang w:val="en_US" w:bidi="en_US"/>
        </w:rPr>
        <w:t>Section 16:19–31: Jesus told a parable about a rich man and a poor man</w:t>
      </w:r>
    </w:p>
    <w:p>
      <w:pPr/>
      <w:r>
        <w:rPr>
          <w:lang w:val="en_US" w:bidi="en_US"/>
        </w:rPr>
      </w:r>
      <w:r>
        <w:rPr>
          <w:lang w:val="en_US" w:bidi="en_US"/>
        </w:rP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pPr/>
      <w:r>
        <w:rPr>
          <w:lang w:val="en_US" w:bidi="en_US"/>
        </w:rPr>
      </w:r>
      <w:r>
        <w:rPr>
          <w:lang w:val="en_US" w:bidi="en_US"/>
        </w:rPr>
        <w:t>Another heading for this section is:</w:t>
      </w:r>
    </w:p>
    <w:p>
      <w:pPr/>
      <w:r>
        <w:rPr>
          <w:lang w:val="en_US" w:bidi="en_US"/>
        </w:rPr>
      </w:r>
      <w:r>
        <w:rPr>
          <w:lang w:val="en_US" w:bidi="en_US"/>
        </w:rPr>
        <w:t>The Rich Man and Lazarus (NCV)</w:t>
      </w:r>
    </w:p>
    <w:p>
      <w:pPr>
        <w:pStyle w:val="Heading4"/>
      </w:pPr>
      <w:r>
        <w:rPr>
          <w:lang w:val="en_US" w:bidi="en_US"/>
        </w:rPr>
        <w:t>Paragraph 16:19–21</w:t>
      </w:r>
    </w:p>
    <w:p>
      <w:pPr/>
      <w:r>
        <w:rPr>
          <w:lang w:val="en_US" w:bidi="en_US"/>
        </w:rPr>
      </w:r>
      <w:r>
        <w:rPr>
          <w:lang w:val="en_US" w:bidi="en_US"/>
        </w:rPr>
        <w:t>This paragraph describes the situation of a rich man and a poor man in their lives here on earth.</w:t>
      </w:r>
    </w:p>
    <w:p>
      <w:pPr>
        <w:pStyle w:val="Heading5"/>
      </w:pPr>
      <w:r>
        <w:rPr>
          <w:lang w:val="en_US" w:bidi="en_US"/>
        </w:rPr>
        <w:t>16:21a</w:t>
      </w:r>
    </w:p>
    <w:p>
      <w:pPr/>
      <w:r>
        <w:rPr>
          <w:lang w:val="en_US" w:bidi="en_US"/>
        </w:rPr>
      </w:r>
      <w:r>
        <w:rPr>
          <w:b/>
          <w:lang w:val="en_US" w:bidi="en_US"/>
        </w:rPr>
        <w:t>and longing to be fed with the crumbs that fell from the rich man’s table.</w:t>
      </w:r>
    </w:p>
    <w:p>
      <w:pPr>
        <w:pStyle w:val="ListBullet"/>
        <w:spacing w:line="240" w:lineRule="auto"/>
        <w:ind w:left="720"/>
      </w:pPr>
      <w:r>
        <w:rPr>
          <w:lang w:val="en_US" w:bidi="en_US"/>
        </w:rPr>
      </w:r>
      <w:r>
        <w:rPr>
          <w:lang w:val="en_US" w:bidi="en_US"/>
        </w:rPr>
        <w:t xml:space="preserve">He wanted very much to eat </w:t>
      </w:r>
      <w:r>
        <w:rPr>
          <w:lang w:val="en_US" w:bidi="en_US"/>
        </w:rPr>
        <w:t>some of the scraps/bits of food</w:t>
      </w:r>
      <w:r>
        <w:rPr>
          <w:lang w:val="en_US" w:bidi="en_US"/>
        </w:rPr>
        <w:t xml:space="preserve"> that fell to the floor when the rich man was eating.</w:t>
      </w:r>
    </w:p>
    <w:p>
      <w:pPr>
        <w:pStyle w:val="ListBullet"/>
        <w:spacing w:line="240" w:lineRule="auto"/>
        <w:ind w:left="720"/>
      </w:pPr>
      <w:r>
        <w:rPr>
          <w:lang w:val="en_US" w:bidi="en_US"/>
        </w:rPr>
      </w:r>
      <w:r>
        <w:rPr>
          <w:lang w:val="en_US" w:bidi="en_US"/>
        </w:rPr>
        <w:t xml:space="preserve">He wished that he could </w:t>
      </w:r>
      <w:r>
        <w:rPr>
          <w:lang w:val="en_US" w:bidi="en_US"/>
        </w:rPr>
        <w:t>be given some of the leftover</w:t>
      </w:r>
      <w:r>
        <w:rPr>
          <w:lang w:val="en_US" w:bidi="en_US"/>
        </w:rPr>
        <w:t xml:space="preserve"> food of the rich man to eat.</w:t>
      </w:r>
    </w:p>
    <w:p>
      <w:pPr/>
      <w:r>
        <w:rPr>
          <w:lang w:val="en_US" w:bidi="en_US"/>
        </w:rPr>
      </w:r>
      <w:r>
        <w:rPr>
          <w:b/>
          <w:lang w:val="en_US" w:bidi="en_US"/>
        </w:rPr>
        <w:t>longing to be fed with the crumbs that fell from the rich man’s table:</w:t>
      </w:r>
      <w:r>
        <w:rPr>
          <w:lang w:val="en_US" w:bidi="en_US"/>
        </w:rPr>
        <w:t xml:space="preserve"> The poor man very much wanted to eat some of the food scraps that were thrown away after the rich man ate. The text does not say whether he ever received any of these leftover scraps.</w:t>
      </w:r>
    </w:p>
    <w:p>
      <w:pPr/>
      <w:r>
        <w:rPr>
          <w:lang w:val="en_US" w:bidi="en_US"/>
        </w:rPr>
      </w:r>
      <w:r>
        <w:rPr>
          <w:b/>
          <w:lang w:val="en_US" w:bidi="en_US"/>
        </w:rPr>
        <w:t>the crumbs that fell from the rich man’s table:</w:t>
      </w:r>
      <w:r>
        <w:rPr>
          <w:lang w:val="en_US" w:bidi="en_US"/>
        </w:rPr>
        <w:t xml:space="preserve"> The Greek phrase that the BSB translates fairly literally as </w:t>
      </w:r>
      <w:r>
        <w:rPr>
          <w:i/>
          <w:lang w:val="en_US" w:bidi="en_US"/>
        </w:rPr>
        <w:t>the crumbs that fell from the rich man’s table</w:t>
      </w:r>
      <w:r>
        <w:rPr>
          <w:lang w:val="en_US" w:bidi="en_US"/>
        </w:rPr>
        <w:t xml:space="preserve"> probably refers to:</w:t>
      </w:r>
    </w:p>
    <w:p>
      <w:pPr>
        <w:pStyle w:val="ListNumber"/>
        <w:numPr>
          <w:ilvl w:val="0"/>
          <w:numId w:val="273"/>
        </w:numPr>
        <w:spacing w:line="240" w:lineRule="auto"/>
        <w:ind w:left="720"/>
      </w:pPr>
      <w:r>
        <w:rPr>
          <w:lang w:val="en_US" w:bidi="en_US"/>
        </w:rPr>
      </w:r>
      <w:r>
        <w:rPr>
          <w:lang w:val="en_US" w:bidi="en_US"/>
        </w:rPr>
        <w:t>the chunks of bread on which people wiped their hands—they then threw this bread under the table;</w:t>
      </w:r>
    </w:p>
    <w:p>
      <w:pPr>
        <w:pStyle w:val="ListNumber"/>
        <w:spacing w:line="240" w:lineRule="auto"/>
        <w:ind w:left="720"/>
      </w:pPr>
      <w:r>
        <w:rPr>
          <w:lang w:val="en_US" w:bidi="en_US"/>
        </w:rPr>
      </w:r>
      <w:r>
        <w:rPr>
          <w:lang w:val="en_US" w:bidi="en_US"/>
        </w:rPr>
        <w:t>the food that remained after the rich man and his guests had finished eating.</w:t>
      </w:r>
    </w:p>
    <w:p>
      <w:pPr/>
      <w:r>
        <w:rPr>
          <w:lang w:val="en_US" w:bidi="en_US"/>
        </w:rPr>
      </w:r>
      <w:r>
        <w:rPr>
          <w:lang w:val="en_US" w:bidi="en_US"/>
        </w:rPr>
        <w:t>Servants probably gathered both kinds of food scraps along with bits of food that had fallen to the floor and threw them away. In your translation you may use an expression that refers to any of these kinds of food scraps. For example:</w:t>
      </w:r>
    </w:p>
    <w:p>
      <w:pPr/>
      <w:r>
        <w:rPr>
          <w:lang w:val="en_US" w:bidi="en_US"/>
        </w:rPr>
      </w:r>
      <w:r>
        <w:rPr>
          <w:lang w:val="en_US" w:bidi="en_US"/>
        </w:rPr>
        <w:t>the small pieces of food that fell from the rich man’s table (NCV)</w:t>
      </w:r>
    </w:p>
    <w:p>
      <w:pPr/>
      <w:r>
        <w:rPr>
          <w:lang w:val="en_US" w:bidi="en_US"/>
        </w:rPr>
      </w:r>
      <w:r>
        <w:rPr>
          <w:lang w:val="en_US" w:bidi="en_US"/>
        </w:rPr>
        <w:t>scraps from the rich man’s table (NLT)</w:t>
      </w:r>
    </w:p>
    <w:p>
      <w:pPr/>
      <w:r>
        <w:rPr>
          <w:lang w:val="en_US" w:bidi="en_US"/>
        </w:rPr>
      </w:r>
      <w:r>
        <w:rPr>
          <w:lang w:val="en_US" w:bidi="en_US"/>
        </w:rPr>
        <w:t>food that they/servants threw away after the rich man finished eating</w:t>
      </w:r>
    </w:p>
    <w:p>
      <w:pPr/>
      <w:r>
        <w:rPr>
          <w:lang w:val="en_US" w:bidi="en_US"/>
        </w:rPr>
      </w:r>
      <w:r>
        <w:rPr>
          <w:lang w:val="en_US" w:bidi="en_US"/>
        </w:rPr>
        <w:t>Be careful not to imply that Lazarus was lying under or near the table ready to eat the bits of food that fell. He was outside by the gate that led into the property.</w:t>
      </w:r>
    </w:p>
    <w:p>
      <w:pPr>
        <w:pStyle w:val="Heading5"/>
      </w:pPr>
      <w:r>
        <w:rPr>
          <w:lang w:val="en_US" w:bidi="en_US"/>
        </w:rPr>
        <w:t>16:21b</w:t>
      </w:r>
    </w:p>
    <w:p>
      <w:pPr/>
      <w:r>
        <w:rPr>
          <w:lang w:val="en_US" w:bidi="en_US"/>
        </w:rPr>
      </w:r>
      <w:r>
        <w:rPr>
          <w:b/>
          <w:lang w:val="en_US" w:bidi="en_US"/>
        </w:rPr>
        <w:t>Even the dogs came and licked his sores.</w:t>
      </w:r>
    </w:p>
    <w:p>
      <w:pPr>
        <w:pStyle w:val="ListBullet"/>
        <w:spacing w:line="240" w:lineRule="auto"/>
        <w:ind w:left="720"/>
      </w:pPr>
      <w:r>
        <w:rPr>
          <w:lang w:val="en_US" w:bidi="en_US"/>
        </w:rPr>
      </w:r>
      <w:r>
        <w:rPr>
          <w:lang w:val="en_US" w:bidi="en_US"/>
        </w:rPr>
        <w:t xml:space="preserve">Moreover, there were dogs that came </w:t>
      </w:r>
      <w:r>
        <w:rPr>
          <w:lang w:val="en_US" w:bidi="en_US"/>
        </w:rPr>
        <w:t>there</w:t>
      </w:r>
      <w:r>
        <w:rPr>
          <w:lang w:val="en_US" w:bidi="en_US"/>
        </w:rPr>
        <w:t xml:space="preserve"> and licked his sores.</w:t>
      </w:r>
    </w:p>
    <w:p>
      <w:pPr>
        <w:pStyle w:val="ListBullet"/>
        <w:spacing w:line="240" w:lineRule="auto"/>
        <w:ind w:left="720"/>
      </w:pPr>
      <w:r>
        <w:rPr>
          <w:lang w:val="en_US" w:bidi="en_US"/>
        </w:rPr>
      </w:r>
      <w:r>
        <w:rPr>
          <w:lang w:val="en_US" w:bidi="en_US"/>
        </w:rPr>
        <w:t>To make things worse,</w:t>
      </w:r>
      <w:r>
        <w:rPr>
          <w:lang w:val="en_US" w:bidi="en_US"/>
        </w:rPr>
        <w:t xml:space="preserve"> the dogs that came licked his sores.</w:t>
      </w:r>
    </w:p>
    <w:p>
      <w:pPr/>
      <w:r>
        <w:rPr>
          <w:lang w:val="en_US" w:bidi="en_US"/>
        </w:rPr>
      </w:r>
      <w:r>
        <w:rPr>
          <w:b/>
          <w:lang w:val="en_US" w:bidi="en_US"/>
        </w:rPr>
        <w:t>Even the dogs came and licked his sores:</w:t>
      </w:r>
      <w:r>
        <w:rPr>
          <w:lang w:val="en_US" w:bidi="en_US"/>
        </w:rPr>
        <w:t xml:space="preserve"> The Greek phrase that the BSB translates as </w:t>
      </w:r>
      <w:r>
        <w:rPr>
          <w:i/>
          <w:lang w:val="en_US" w:bidi="en_US"/>
        </w:rPr>
        <w:t>Even</w:t>
      </w:r>
      <w:r>
        <w:rPr>
          <w:lang w:val="en_US" w:bidi="en_US"/>
        </w:rPr>
        <w:t xml:space="preserve"> in this context introduces another detail that describes the poor man’s miserable condition. He was not only hungry and covered with sores. He was also not able to drive away the dogs that came to lick the sores. Other ways to introduce this detail are:</w:t>
      </w:r>
    </w:p>
    <w:p>
      <w:pPr/>
      <w:r>
        <w:rPr>
          <w:lang w:val="en_US" w:bidi="en_US"/>
        </w:rPr>
      </w:r>
      <w:r>
        <w:rPr>
          <w:lang w:val="en_US" w:bidi="en_US"/>
        </w:rPr>
        <w:t>In addition, the dogs came… (NET)</w:t>
      </w:r>
    </w:p>
    <w:p>
      <w:pPr/>
      <w:r>
        <w:rPr>
          <w:lang w:val="en_US" w:bidi="en_US"/>
        </w:rPr>
      </w:r>
      <w:r>
        <w:rPr>
          <w:lang w:val="en_US" w:bidi="en_US"/>
        </w:rPr>
        <w:t>These were not his only difficulties, because even the dogs that came to where he was…</w:t>
      </w:r>
    </w:p>
    <w:p>
      <w:pPr/>
      <w:r>
        <w:rPr>
          <w:lang w:val="en_US" w:bidi="en_US"/>
        </w:rPr>
      </w:r>
      <w:r>
        <w:rPr>
          <w:b/>
          <w:lang w:val="en_US" w:bidi="en_US"/>
        </w:rPr>
        <w:t>the dogs:</w:t>
      </w:r>
      <w:r>
        <w:rPr>
          <w:lang w:val="en_US" w:bidi="en_US"/>
        </w:rPr>
        <w:t xml:space="preserve"> The phrase </w:t>
      </w:r>
      <w:r>
        <w:rPr>
          <w:i/>
          <w:lang w:val="en_US" w:bidi="en_US"/>
        </w:rPr>
        <w:t>the dogs</w:t>
      </w:r>
      <w:r>
        <w:rPr>
          <w:lang w:val="en_US" w:bidi="en_US"/>
        </w:rPr>
        <w:t xml:space="preserve"> refers to the wild street dogs that lived in ancient Palestine. They were not tame dogs, and people feared and disliked them.</w:t>
      </w:r>
      <w:r>
        <w:rPr>
          <w:lang w:val="en_US" w:bidi="en_US"/>
        </w:rPr>
      </w:r>
      <w:r>
        <w:rPr>
          <w:lang w:val="en_US" w:bidi="en_US"/>
        </w:rPr>
      </w:r>
    </w:p>
    <w:p>
      <w:pPr/>
      <w:r>
        <w:rPr>
          <w:lang w:val="en_US" w:bidi="en_US"/>
        </w:rPr>
      </w:r>
    </w:p>
    <w:p>
      <w:pPr>
        <w:pStyle w:val="Heading2"/>
      </w:pPr>
      <w:r>
        <w:rPr>
          <w:lang w:val="en_US" w:bidi="en_US"/>
        </w:rPr>
        <w:t>Luke 16:22</w:t>
      </w:r>
      <w:r>
        <w:rPr>
          <w:lang w:val="en_US" w:bidi="en_US"/>
        </w:rPr>
      </w:r>
    </w:p>
    <w:p>
      <w:pPr>
        <w:pStyle w:val="Heading4"/>
      </w:pPr>
      <w:r>
        <w:rPr>
          <w:lang w:val="en_US" w:bidi="en_US"/>
        </w:rPr>
        <w:t>Section 16:19–31: Jesus told a parable about a rich man and a poor man</w:t>
      </w:r>
    </w:p>
    <w:p>
      <w:pPr/>
      <w:r>
        <w:rPr>
          <w:lang w:val="en_US" w:bidi="en_US"/>
        </w:rPr>
      </w:r>
      <w:r>
        <w:rPr>
          <w:lang w:val="en_US" w:bidi="en_US"/>
        </w:rP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pPr/>
      <w:r>
        <w:rPr>
          <w:lang w:val="en_US" w:bidi="en_US"/>
        </w:rPr>
      </w:r>
      <w:r>
        <w:rPr>
          <w:lang w:val="en_US" w:bidi="en_US"/>
        </w:rPr>
        <w:t>Another heading for this section is:</w:t>
      </w:r>
    </w:p>
    <w:p>
      <w:pPr/>
      <w:r>
        <w:rPr>
          <w:lang w:val="en_US" w:bidi="en_US"/>
        </w:rPr>
      </w:r>
      <w:r>
        <w:rPr>
          <w:lang w:val="en_US" w:bidi="en_US"/>
        </w:rPr>
        <w:t>The Rich Man and Lazarus (NCV)</w:t>
      </w:r>
    </w:p>
    <w:p>
      <w:pPr>
        <w:pStyle w:val="Heading4"/>
      </w:pPr>
      <w:r>
        <w:rPr>
          <w:lang w:val="en_US" w:bidi="en_US"/>
        </w:rPr>
        <w:t>Paragraph 16:22–23</w:t>
      </w:r>
    </w:p>
    <w:p>
      <w:pPr/>
      <w:r>
        <w:rPr>
          <w:lang w:val="en_US" w:bidi="en_US"/>
        </w:rPr>
      </w:r>
      <w:r>
        <w:rPr>
          <w:lang w:val="en_US" w:bidi="en_US"/>
        </w:rPr>
        <w:t>In this paragraph, the setting of the parable changes. This paragraph describes the situation of the poor man and the rich man in the places where their spirits went after they died.</w:t>
      </w:r>
    </w:p>
    <w:p>
      <w:pPr>
        <w:pStyle w:val="Heading5"/>
      </w:pPr>
      <w:r>
        <w:rPr>
          <w:lang w:val="en_US" w:bidi="en_US"/>
        </w:rPr>
        <w:t>16:22a</w:t>
      </w:r>
    </w:p>
    <w:p>
      <w:pPr/>
      <w:r>
        <w:rPr>
          <w:lang w:val="en_US" w:bidi="en_US"/>
        </w:rPr>
      </w:r>
      <w:r>
        <w:rPr>
          <w:b/>
          <w:lang w:val="en_US" w:bidi="en_US"/>
        </w:rPr>
        <w:t>One day the beggar died</w:t>
      </w:r>
    </w:p>
    <w:p>
      <w:pPr>
        <w:pStyle w:val="ListBullet"/>
        <w:spacing w:line="240" w:lineRule="auto"/>
        <w:ind w:left="720"/>
      </w:pPr>
      <w:r>
        <w:rPr>
          <w:lang w:val="en_US" w:bidi="en_US"/>
        </w:rPr>
      </w:r>
      <w:r>
        <w:rPr>
          <w:lang w:val="en_US" w:bidi="en_US"/>
        </w:rPr>
        <w:t>¶ “Eventually the poor man died,</w:t>
      </w:r>
    </w:p>
    <w:p>
      <w:pPr>
        <w:pStyle w:val="ListBullet"/>
        <w:spacing w:line="240" w:lineRule="auto"/>
        <w:ind w:left="720"/>
      </w:pPr>
      <w:r>
        <w:rPr>
          <w:lang w:val="en_US" w:bidi="en_US"/>
        </w:rPr>
      </w:r>
      <w:r>
        <w:rPr>
          <w:lang w:val="en_US" w:bidi="en_US"/>
        </w:rPr>
        <w:t>¶ “One day the poor man died. When that happened,</w:t>
      </w:r>
    </w:p>
    <w:p>
      <w:pPr/>
      <w:r>
        <w:rPr>
          <w:lang w:val="en_US" w:bidi="en_US"/>
        </w:rPr>
      </w:r>
      <w:r>
        <w:rPr>
          <w:b/>
          <w:lang w:val="en_US" w:bidi="en_US"/>
        </w:rPr>
        <w:t>One day:</w:t>
      </w:r>
      <w:r>
        <w:rPr>
          <w:lang w:val="en_US" w:bidi="en_US"/>
        </w:rPr>
        <w:t xml:space="preserve"> The Greek phrase that the BSB translates as </w:t>
      </w:r>
      <w:r>
        <w:rPr>
          <w:i/>
          <w:lang w:val="en_US" w:bidi="en_US"/>
        </w:rPr>
        <w:t>One day</w:t>
      </w:r>
      <w:r>
        <w:rPr>
          <w:lang w:val="en_US" w:bidi="en_US"/>
        </w:rPr>
        <w:t xml:space="preserve"> is more literally “Now it happened that.” Some versions, such as the NASB and NJB, translate it that way. This phrase introduces an important event, the death of the poor man. This event is a turning point in the story. Many modern English versions do not translate this phrase explicitly. Some other ways to translate this phrase are:</w:t>
      </w:r>
    </w:p>
    <w:p>
      <w:pPr/>
      <w:r>
        <w:rPr>
          <w:lang w:val="en_US" w:bidi="en_US"/>
        </w:rPr>
      </w:r>
      <w:r>
        <w:rPr>
          <w:lang w:val="en_US" w:bidi="en_US"/>
        </w:rPr>
        <w:t>The time came when (NIV)</w:t>
      </w:r>
    </w:p>
    <w:p>
      <w:pPr/>
      <w:r>
        <w:rPr>
          <w:lang w:val="en_US" w:bidi="en_US"/>
        </w:rPr>
      </w:r>
      <w:r>
        <w:rPr>
          <w:lang w:val="en_US" w:bidi="en_US"/>
        </w:rPr>
        <w:t>Later (NCV)</w:t>
      </w:r>
    </w:p>
    <w:p>
      <w:pPr/>
      <w:r>
        <w:rPr>
          <w:lang w:val="en_US" w:bidi="en_US"/>
        </w:rPr>
      </w:r>
      <w:r>
        <w:rPr>
          <w:lang w:val="en_US" w:bidi="en_US"/>
        </w:rPr>
        <w:t>Finally (NLT)</w:t>
      </w:r>
    </w:p>
    <w:p>
      <w:pPr/>
      <w:r>
        <w:rPr>
          <w:lang w:val="en_US" w:bidi="en_US"/>
        </w:rPr>
      </w:r>
      <w:r>
        <w:rPr>
          <w:lang w:val="en_US" w:bidi="en_US"/>
        </w:rPr>
        <w:t>Use a natural way in your language to introduce this event.</w:t>
      </w:r>
    </w:p>
    <w:p>
      <w:pPr/>
      <w:r>
        <w:rPr>
          <w:lang w:val="en_US" w:bidi="en_US"/>
        </w:rPr>
      </w:r>
      <w:r>
        <w:rPr>
          <w:b/>
          <w:lang w:val="en_US" w:bidi="en_US"/>
        </w:rPr>
        <w:t>the beggar died:</w:t>
      </w:r>
      <w:r>
        <w:rPr>
          <w:lang w:val="en_US" w:bidi="en_US"/>
        </w:rPr>
        <w:t xml:space="preserve"> The word </w:t>
      </w:r>
      <w:r>
        <w:rPr>
          <w:i/>
          <w:lang w:val="en_US" w:bidi="en_US"/>
        </w:rPr>
        <w:t>beggar</w:t>
      </w:r>
      <w:r>
        <w:rPr>
          <w:lang w:val="en_US" w:bidi="en_US"/>
        </w:rPr>
        <w:t xml:space="preserve"> is the same word as in 16:20a and refers back to Lazarus.</w:t>
      </w:r>
    </w:p>
    <w:p>
      <w:pPr>
        <w:pStyle w:val="Heading5"/>
      </w:pPr>
      <w:r>
        <w:rPr>
          <w:lang w:val="en_US" w:bidi="en_US"/>
        </w:rPr>
        <w:t>16:22b</w:t>
      </w:r>
    </w:p>
    <w:p>
      <w:pPr/>
      <w:r>
        <w:rPr>
          <w:lang w:val="en_US" w:bidi="en_US"/>
        </w:rPr>
      </w:r>
      <w:r>
        <w:rPr>
          <w:b/>
          <w:lang w:val="en_US" w:bidi="en_US"/>
        </w:rPr>
        <w:t>and was carried by the angels to Abraham’s side.</w:t>
      </w:r>
    </w:p>
    <w:p>
      <w:pPr>
        <w:pStyle w:val="ListBullet"/>
        <w:spacing w:line="240" w:lineRule="auto"/>
        <w:ind w:left="720"/>
      </w:pPr>
      <w:r>
        <w:rPr>
          <w:lang w:val="en_US" w:bidi="en_US"/>
        </w:rPr>
      </w:r>
      <w:r>
        <w:rPr>
          <w:lang w:val="en_US" w:bidi="en_US"/>
        </w:rPr>
        <w:t>and the angels carried/took him to be with Abraham.</w:t>
      </w:r>
    </w:p>
    <w:p>
      <w:pPr>
        <w:pStyle w:val="ListBullet"/>
        <w:spacing w:line="240" w:lineRule="auto"/>
        <w:ind w:left="720"/>
      </w:pPr>
      <w:r>
        <w:rPr>
          <w:lang w:val="en_US" w:bidi="en_US"/>
        </w:rPr>
      </w:r>
      <w:r>
        <w:rPr>
          <w:lang w:val="en_US" w:bidi="en_US"/>
        </w:rPr>
        <w:t xml:space="preserve">the angels led/accompanied his spirit/soul to be near Abraham, </w:t>
      </w:r>
      <w:r>
        <w:rPr>
          <w:lang w:val="en_US" w:bidi="en_US"/>
        </w:rPr>
        <w:t>where he was happy and honored</w:t>
      </w:r>
      <w:r>
        <w:rPr>
          <w:lang w:val="en_US" w:bidi="en_US"/>
        </w:rPr>
        <w:t>.</w:t>
      </w:r>
    </w:p>
    <w:p>
      <w:pPr/>
      <w:r>
        <w:rPr>
          <w:lang w:val="en_US" w:bidi="en_US"/>
        </w:rPr>
      </w:r>
      <w:r>
        <w:rPr>
          <w:b/>
          <w:lang w:val="en_US" w:bidi="en_US"/>
        </w:rPr>
        <w:t>was carried by the angels to Abraham’s side:</w:t>
      </w:r>
      <w:r>
        <w:rPr>
          <w:lang w:val="en_US" w:bidi="en_US"/>
        </w:rPr>
        <w:t xml:space="preserve"> The clause </w:t>
      </w:r>
      <w:r>
        <w:rPr>
          <w:i/>
          <w:lang w:val="en_US" w:bidi="en_US"/>
        </w:rPr>
        <w:t>was carried by the angels to Abraham’s side</w:t>
      </w:r>
      <w:r>
        <w:rPr>
          <w:lang w:val="en_US" w:bidi="en_US"/>
        </w:rPr>
        <w:t xml:space="preserve"> means that some angels took or accompanied the poor man’s soul/spirit to be with Abraham. The verse does not say what happened to the poor man’s body.</w:t>
      </w:r>
    </w:p>
    <w:p>
      <w:pPr/>
      <w:r>
        <w:rPr>
          <w:lang w:val="en_US" w:bidi="en_US"/>
        </w:rPr>
      </w:r>
      <w:r>
        <w:rPr>
          <w:b/>
          <w:lang w:val="en_US" w:bidi="en_US"/>
        </w:rPr>
        <w:t>the angels:</w:t>
      </w:r>
      <w:r>
        <w:rPr>
          <w:lang w:val="en_US" w:bidi="en_US"/>
        </w:rPr>
        <w:t xml:space="preserve"> The phrase </w:t>
      </w:r>
      <w:r>
        <w:rPr>
          <w:i/>
          <w:lang w:val="en_US" w:bidi="en_US"/>
        </w:rPr>
        <w:t>the angels</w:t>
      </w:r>
      <w:r>
        <w:rPr>
          <w:lang w:val="en_US" w:bidi="en_US"/>
        </w:rPr>
        <w:t xml:space="preserve"> refers to some angels, not all the angels. Other ways to translate this phrase are:</w:t>
      </w:r>
    </w:p>
    <w:p>
      <w:pPr/>
      <w:r>
        <w:rPr>
          <w:lang w:val="en_US" w:bidi="en_US"/>
        </w:rPr>
      </w:r>
      <w:r>
        <w:rPr>
          <w:lang w:val="en_US" w:bidi="en_US"/>
        </w:rPr>
        <w:t>angels (CEV)</w:t>
      </w:r>
    </w:p>
    <w:p>
      <w:pPr/>
      <w:r>
        <w:rPr>
          <w:lang w:val="en_US" w:bidi="en_US"/>
        </w:rPr>
      </w:r>
      <w:r>
        <w:rPr>
          <w:lang w:val="en_US" w:bidi="en_US"/>
        </w:rPr>
        <w:t>there were angels</w:t>
      </w:r>
    </w:p>
    <w:p>
      <w:pPr/>
      <w:r>
        <w:rPr>
          <w:lang w:val="en_US" w:bidi="en_US"/>
        </w:rPr>
      </w:r>
      <w:r>
        <w:rPr>
          <w:lang w:val="en_US" w:bidi="en_US"/>
        </w:rPr>
        <w:t>some angels</w:t>
      </w:r>
    </w:p>
    <w:p>
      <w:pPr/>
      <w:r>
        <w:rPr>
          <w:lang w:val="en_US" w:bidi="en_US"/>
        </w:rPr>
      </w:r>
      <w:r>
        <w:rPr>
          <w:b/>
          <w:lang w:val="en_US" w:bidi="en_US"/>
        </w:rPr>
        <w:t>angels:</w:t>
      </w:r>
      <w:r>
        <w:rPr>
          <w:lang w:val="en_US" w:bidi="en_US"/>
        </w:rPr>
        <w:t xml:space="preserve"> The Greek word that the BSB translates as </w:t>
      </w:r>
      <w:r>
        <w:rPr>
          <w:i/>
          <w:lang w:val="en_US" w:bidi="en_US"/>
        </w:rPr>
        <w:t>angels</w:t>
      </w:r>
      <w:r>
        <w:rPr>
          <w:lang w:val="en_US" w:bidi="en_US"/>
        </w:rPr>
        <w:t xml:space="preserve"> means “messengers.” It refers here to spirit-beings who serve God. Some ways to translate this term are:</w:t>
      </w:r>
    </w:p>
    <w:p>
      <w:pPr>
        <w:pStyle w:val="ListBullet"/>
        <w:spacing w:line="240" w:lineRule="auto"/>
        <w:ind w:left="720"/>
      </w:pPr>
      <w:r>
        <w:rPr>
          <w:lang w:val="en_US" w:bidi="en_US"/>
        </w:rPr>
      </w:r>
      <w:r>
        <w:rPr>
          <w:lang w:val="en_US" w:bidi="en_US"/>
        </w:rPr>
        <w:t>Use a descriptive word or phrase. For example:</w:t>
      </w:r>
      <w:r>
        <w:rPr>
          <w:lang w:val="en_US" w:bidi="en_US"/>
        </w:rPr>
        <w:t xml:space="preserve">messengers </w:t>
      </w:r>
      <w:r>
        <w:rPr>
          <w:lang w:val="en_US" w:bidi="en_US"/>
        </w:rPr>
        <w:t>from God/heaven</w:t>
      </w:r>
      <w:r>
        <w:rPr>
          <w:lang w:val="en_US" w:bidi="en_US"/>
        </w:rPr>
        <w:t>good/holy</w:t>
      </w:r>
      <w:r>
        <w:rPr>
          <w:lang w:val="en_US" w:bidi="en_US"/>
        </w:rPr>
        <w:t xml:space="preserve"> spirit-beings</w:t>
      </w:r>
      <w:r>
        <w:rPr>
          <w:lang w:val="en_US" w:bidi="en_US"/>
        </w:rPr>
        <w:t>spirit-being servants of God</w:t>
      </w:r>
    </w:p>
    <w:p>
      <w:pPr>
        <w:pStyle w:val="ListBullet"/>
        <w:spacing w:line="240" w:lineRule="auto"/>
        <w:ind w:left="720"/>
      </w:pPr>
      <w:r>
        <w:rPr>
          <w:lang w:val="en_US" w:bidi="en_US"/>
        </w:rPr>
      </w:r>
      <w:r>
        <w:rPr>
          <w:lang w:val="en_US" w:bidi="en_US"/>
        </w:rPr>
        <w:t>Use a local term that fits the biblical meaning.</w:t>
      </w:r>
    </w:p>
    <w:p>
      <w:pPr>
        <w:pStyle w:val="ListBullet"/>
        <w:spacing w:line="240" w:lineRule="auto"/>
        <w:ind w:left="720"/>
      </w:pPr>
      <w:r>
        <w:rPr>
          <w:lang w:val="en_US" w:bidi="en_US"/>
        </w:rPr>
      </w:r>
      <w:r>
        <w:rPr>
          <w:lang w:val="en_US" w:bidi="en_US"/>
        </w:rPr>
        <w:t xml:space="preserve">In some areas the churches may use a borrowed term or a transliterated word for </w:t>
      </w:r>
      <w:r>
        <w:rPr>
          <w:i/>
          <w:lang w:val="en_US" w:bidi="en_US"/>
        </w:rPr>
        <w:t>angels</w:t>
      </w:r>
      <w:r>
        <w:rPr>
          <w:lang w:val="en_US" w:bidi="en_US"/>
        </w:rPr>
        <w:t>. If some people do not understand the right meaning from this word, you may need to indicate the meaning. For example:</w:t>
      </w:r>
      <w:r>
        <w:rPr>
          <w:u w:val="single"/>
          <w:lang w:val="en_US" w:bidi="en_US"/>
        </w:rPr>
        <w:t>angelos</w:t>
      </w:r>
      <w:r>
        <w:rPr>
          <w:lang w:val="en_US" w:bidi="en_US"/>
        </w:rPr>
        <w:t xml:space="preserve"> messengers </w:t>
      </w:r>
      <w:r>
        <w:rPr>
          <w:lang w:val="en_US" w:bidi="en_US"/>
        </w:rPr>
        <w:t>from God</w:t>
      </w:r>
      <w:r>
        <w:rPr>
          <w:lang w:val="en_US" w:bidi="en_US"/>
        </w:rPr>
        <w:t xml:space="preserve">sacred </w:t>
      </w:r>
      <w:r>
        <w:rPr>
          <w:u w:val="single"/>
          <w:lang w:val="en_US" w:bidi="en_US"/>
        </w:rPr>
        <w:t>angelos</w:t>
      </w:r>
      <w:r>
        <w:rPr>
          <w:lang w:val="en_US" w:bidi="en_US"/>
        </w:rPr>
        <w:t xml:space="preserve"> spirits</w:t>
      </w:r>
    </w:p>
    <w:p>
      <w:pPr/>
      <w:r>
        <w:rPr>
          <w:lang w:val="en_US" w:bidi="en_US"/>
        </w:rPr>
      </w:r>
      <w:r>
        <w:rPr>
          <w:lang w:val="en_US" w:bidi="en_US"/>
        </w:rPr>
        <w:t xml:space="preserve">Be sure that your term for </w:t>
      </w:r>
      <w:r>
        <w:rPr>
          <w:i/>
          <w:lang w:val="en_US" w:bidi="en_US"/>
        </w:rPr>
        <w:t>angels</w:t>
      </w:r>
      <w:r>
        <w:rPr>
          <w:lang w:val="en_US" w:bidi="en_US"/>
        </w:rPr>
        <w:t xml:space="preserve"> is different from your terms for “prophet” and “apostle.” See angel, Meaning 1, in the Glossary.</w:t>
      </w:r>
    </w:p>
    <w:p>
      <w:pPr/>
      <w:r>
        <w:rPr>
          <w:lang w:val="en_US" w:bidi="en_US"/>
        </w:rPr>
      </w:r>
      <w:r>
        <w:rPr>
          <w:b/>
          <w:lang w:val="en_US" w:bidi="en_US"/>
        </w:rPr>
        <w:t>was carried:</w:t>
      </w:r>
      <w:r>
        <w:rPr>
          <w:lang w:val="en_US" w:bidi="en_US"/>
        </w:rPr>
        <w:t xml:space="preserve"> The Greek verb that the BSB translates as </w:t>
      </w:r>
      <w:r>
        <w:rPr>
          <w:i/>
          <w:lang w:val="en_US" w:bidi="en_US"/>
        </w:rPr>
        <w:t>carried</w:t>
      </w:r>
      <w:r>
        <w:rPr>
          <w:lang w:val="en_US" w:bidi="en_US"/>
        </w:rPr>
        <w:t xml:space="preserve"> means to carry or take away from one place to another. The expression “the beggar…was carried” refers to the poor man’s inner being (his soul or spirit), not his body. In some languages, using a word such as </w:t>
      </w:r>
      <w:r>
        <w:rPr>
          <w:i/>
          <w:lang w:val="en_US" w:bidi="en_US"/>
        </w:rPr>
        <w:t>carried</w:t>
      </w:r>
      <w:r>
        <w:rPr>
          <w:lang w:val="en_US" w:bidi="en_US"/>
        </w:rPr>
        <w:t xml:space="preserve"> may wrongly imply that the angels carried the poor man’s body. Some other ways to translate the phrase </w:t>
      </w:r>
      <w:r>
        <w:rPr>
          <w:i/>
          <w:lang w:val="en_US" w:bidi="en_US"/>
        </w:rPr>
        <w:t>was carried</w:t>
      </w:r>
      <w:r>
        <w:rPr>
          <w:lang w:val="en_US" w:bidi="en_US"/>
        </w:rPr>
        <w:t xml:space="preserve"> are:</w:t>
      </w:r>
    </w:p>
    <w:p>
      <w:pPr/>
      <w:r>
        <w:rPr>
          <w:lang w:val="en_US" w:bidi="en_US"/>
        </w:rPr>
      </w:r>
      <w:r>
        <w:rPr>
          <w:lang w:val="en_US" w:bidi="en_US"/>
        </w:rPr>
        <w:t>took him (CEV)</w:t>
      </w:r>
    </w:p>
    <w:p>
      <w:pPr/>
      <w:r>
        <w:rPr>
          <w:lang w:val="en_US" w:bidi="en_US"/>
        </w:rPr>
      </w:r>
      <w:r>
        <w:rPr>
          <w:lang w:val="en_US" w:bidi="en_US"/>
        </w:rPr>
        <w:t>led/accompanied his soul/spirit</w:t>
      </w:r>
    </w:p>
    <w:p>
      <w:pPr/>
      <w:r>
        <w:rPr>
          <w:lang w:val="en_US" w:bidi="en_US"/>
        </w:rPr>
      </w:r>
      <w:r>
        <w:rPr>
          <w:b/>
          <w:lang w:val="en_US" w:bidi="en_US"/>
        </w:rPr>
        <w:t>to Abraham’s side:</w:t>
      </w:r>
      <w:r>
        <w:rPr>
          <w:lang w:val="en_US" w:bidi="en_US"/>
        </w:rPr>
        <w:t xml:space="preserve"> The Greek phrase that the BSB translates as </w:t>
      </w:r>
      <w:r>
        <w:rPr>
          <w:i/>
          <w:lang w:val="en_US" w:bidi="en_US"/>
        </w:rPr>
        <w:t>Abraham’s side</w:t>
      </w:r>
      <w:r>
        <w:rPr>
          <w:lang w:val="en_US" w:bidi="en_US"/>
        </w:rPr>
        <w:t xml:space="preserve"> is literally “Abraham’s bosom/chest.” This was a Jewish expression that figuratively referred to God’s people having close fellowship with their great ancestor, Abraham. For example:</w:t>
      </w:r>
    </w:p>
    <w:p>
      <w:pPr/>
      <w:r>
        <w:rPr>
          <w:lang w:val="en_US" w:bidi="en_US"/>
        </w:rPr>
      </w:r>
      <w:r>
        <w:rPr>
          <w:lang w:val="en_US" w:bidi="en_US"/>
        </w:rPr>
        <w:t>to be with Abraham (NRSV)</w:t>
      </w:r>
    </w:p>
    <w:p>
      <w:pPr/>
      <w:r>
        <w:rPr>
          <w:lang w:val="en_US" w:bidi="en_US"/>
        </w:rPr>
      </w:r>
      <w:r>
        <w:rPr>
          <w:lang w:val="en_US" w:bidi="en_US"/>
        </w:rPr>
        <w:t>to the place of honor next to Abraham (CEV)</w:t>
      </w:r>
    </w:p>
    <w:p>
      <w:pPr/>
      <w:r>
        <w:rPr>
          <w:lang w:val="en_US" w:bidi="en_US"/>
        </w:rPr>
      </w:r>
      <w:r>
        <w:rPr>
          <w:lang w:val="en_US" w:bidi="en_US"/>
        </w:rPr>
        <w:t>Many scholars think that this expression specifically implies a place of honor next to Abraham at the Messianic feast. (See 13:28–29, which mentions Abraham in connection with the feast in the kingdom of God.) For example:</w:t>
      </w:r>
    </w:p>
    <w:p>
      <w:pPr/>
      <w:r>
        <w:rPr>
          <w:lang w:val="en_US" w:bidi="en_US"/>
        </w:rPr>
      </w:r>
      <w:r>
        <w:rPr>
          <w:lang w:val="en_US" w:bidi="en_US"/>
        </w:rPr>
        <w:t>to sit beside Abraham at the feast in heaven (GNT)</w:t>
      </w:r>
    </w:p>
    <w:p>
      <w:pPr/>
      <w:r>
        <w:rPr>
          <w:lang w:val="en_US" w:bidi="en_US"/>
        </w:rPr>
      </w:r>
      <w:r>
        <w:rPr>
          <w:lang w:val="en_US" w:bidi="en_US"/>
        </w:rPr>
        <w:t>However, other scholars think that the expression “Abraham’s bosom” implies close fellowship with Abraham, but not necessarily a feast. The parable itself does not mention a feast. It is recommended that you avoid specifying a feast and its location “in heaven.” Scholars do not agree exactly where the spirits of righteous dead people were located, and the verse does not make this detail explicit.</w:t>
      </w:r>
      <w:r>
        <w:rPr>
          <w:lang w:val="en_US" w:bidi="en_US"/>
        </w:rPr>
        <w:t>See Bock, p. 1369; Kittel &amp; Friedrich, vol. 5, pp. 767–72; and Buswell, pp. 2:304–23 for a discussion of the words used in the NT to refer to the location of the souls of the dead, both righteous and unrighteous, before the time of the final judgment. Many scholars think that Lazarus was in Paradise (Luke 23:43) and that Paradise was a synonym for heaven. Others believe that Paradise was a name for a part of Hades that was reserved for the souls of righteous people.</w:t>
      </w:r>
    </w:p>
    <w:p>
      <w:pPr>
        <w:pStyle w:val="Heading5"/>
      </w:pPr>
      <w:r>
        <w:rPr>
          <w:lang w:val="en_US" w:bidi="en_US"/>
        </w:rPr>
        <w:t>16:22c</w:t>
      </w:r>
    </w:p>
    <w:p>
      <w:pPr/>
      <w:r>
        <w:rPr>
          <w:lang w:val="en_US" w:bidi="en_US"/>
        </w:rPr>
      </w:r>
      <w:r>
        <w:rPr>
          <w:b/>
          <w:lang w:val="en_US" w:bidi="en_US"/>
        </w:rPr>
        <w:t>And the rich man also died and was buried.</w:t>
      </w:r>
    </w:p>
    <w:p>
      <w:pPr>
        <w:pStyle w:val="ListBullet"/>
        <w:spacing w:line="240" w:lineRule="auto"/>
        <w:ind w:left="720"/>
      </w:pPr>
      <w:r>
        <w:rPr>
          <w:lang w:val="en_US" w:bidi="en_US"/>
        </w:rPr>
      </w:r>
      <w:r>
        <w:rPr>
          <w:lang w:val="en_US" w:bidi="en_US"/>
        </w:rPr>
        <w:t xml:space="preserve">The rich man also died, and </w:t>
      </w:r>
      <w:r>
        <w:rPr>
          <w:lang w:val="en_US" w:bidi="en_US"/>
        </w:rPr>
        <w:t>his body</w:t>
      </w:r>
      <w:r>
        <w:rPr>
          <w:lang w:val="en_US" w:bidi="en_US"/>
        </w:rPr>
        <w:t xml:space="preserve"> was buried.</w:t>
      </w:r>
    </w:p>
    <w:p>
      <w:pPr>
        <w:pStyle w:val="ListBullet"/>
        <w:spacing w:line="240" w:lineRule="auto"/>
        <w:ind w:left="720"/>
      </w:pPr>
      <w:r>
        <w:rPr>
          <w:lang w:val="en_US" w:bidi="en_US"/>
        </w:rPr>
      </w:r>
      <w:r>
        <w:rPr>
          <w:lang w:val="en_US" w:bidi="en_US"/>
        </w:rPr>
        <w:t xml:space="preserve">The rich man also died. </w:t>
      </w:r>
      <w:r>
        <w:rPr>
          <w:lang w:val="en_US" w:bidi="en_US"/>
        </w:rPr>
        <w:t>People</w:t>
      </w:r>
      <w:r>
        <w:rPr>
          <w:lang w:val="en_US" w:bidi="en_US"/>
        </w:rPr>
        <w:t xml:space="preserve"> buried him,</w:t>
      </w:r>
    </w:p>
    <w:p>
      <w:pPr/>
      <w:r>
        <w:rPr>
          <w:lang w:val="en_US" w:bidi="en_US"/>
        </w:rPr>
      </w:r>
      <w:r>
        <w:rPr>
          <w:b/>
          <w:lang w:val="en_US" w:bidi="en_US"/>
        </w:rPr>
        <w:t>And the rich man also died:</w:t>
      </w:r>
      <w:r>
        <w:rPr>
          <w:lang w:val="en_US" w:bidi="en_US"/>
        </w:rPr>
        <w:t xml:space="preserve"> Jesus did not say when the rich man died. This does not matter, but it was probably after Lazarus died.</w:t>
      </w:r>
    </w:p>
    <w:p>
      <w:pPr/>
      <w:r>
        <w:rPr>
          <w:lang w:val="en_US" w:bidi="en_US"/>
        </w:rPr>
      </w:r>
      <w:r>
        <w:rPr>
          <w:b/>
          <w:lang w:val="en_US" w:bidi="en_US"/>
        </w:rPr>
        <w:t>and was buried:</w:t>
      </w:r>
      <w:r>
        <w:rPr>
          <w:lang w:val="en_US" w:bidi="en_US"/>
        </w:rPr>
        <w:t xml:space="preserve"> The verb </w:t>
      </w:r>
      <w:r>
        <w:rPr>
          <w:i/>
          <w:lang w:val="en_US" w:bidi="en_US"/>
        </w:rPr>
        <w:t>was buried</w:t>
      </w:r>
      <w:r>
        <w:rPr>
          <w:lang w:val="en_US" w:bidi="en_US"/>
        </w:rPr>
        <w:t xml:space="preserve"> is a passive verb. If it is more natural to use an active verb in your language, you may supply “his family” or “people” as the subject. For example:</w:t>
      </w:r>
    </w:p>
    <w:p>
      <w:pPr/>
      <w:r>
        <w:rPr>
          <w:lang w:val="en_US" w:bidi="en_US"/>
        </w:rPr>
      </w:r>
      <w:r>
        <w:rPr>
          <w:lang w:val="en_US" w:bidi="en_US"/>
        </w:rPr>
        <w:t xml:space="preserve">and </w:t>
      </w:r>
      <w:r>
        <w:rPr>
          <w:lang w:val="en_US" w:bidi="en_US"/>
        </w:rPr>
        <w:t>his family</w:t>
      </w:r>
      <w:r>
        <w:rPr>
          <w:lang w:val="en_US" w:bidi="en_US"/>
        </w:rPr>
        <w:t xml:space="preserve"> buried him</w:t>
      </w:r>
    </w:p>
    <w:p>
      <w:pPr/>
      <w:r>
        <w:rPr>
          <w:lang w:val="en_US" w:bidi="en_US"/>
        </w:rPr>
      </w:r>
      <w:r>
        <w:rPr>
          <w:lang w:val="en_US" w:bidi="en_US"/>
        </w:rPr>
        <w:t>In some languages it may be more natural to speak of a person’s body being buried. For example:</w:t>
      </w:r>
    </w:p>
    <w:p>
      <w:pPr/>
      <w:r>
        <w:rPr>
          <w:lang w:val="en_US" w:bidi="en_US"/>
        </w:rPr>
      </w:r>
      <w:r>
        <w:rPr>
          <w:lang w:val="en_US" w:bidi="en_US"/>
        </w:rPr>
        <w:t>and his body/corpse was buried</w:t>
      </w:r>
      <w:r>
        <w:rPr>
          <w:lang w:val="en_US" w:bidi="en_US"/>
        </w:rPr>
      </w:r>
      <w:r>
        <w:rPr>
          <w:lang w:val="en_US" w:bidi="en_US"/>
        </w:rPr>
      </w:r>
    </w:p>
    <w:p>
      <w:pPr/>
      <w:r>
        <w:rPr>
          <w:lang w:val="en_US" w:bidi="en_US"/>
        </w:rPr>
      </w:r>
    </w:p>
    <w:p>
      <w:pPr>
        <w:pStyle w:val="Heading2"/>
      </w:pPr>
      <w:r>
        <w:rPr>
          <w:lang w:val="en_US" w:bidi="en_US"/>
        </w:rPr>
        <w:t>Luke 16:23</w:t>
      </w:r>
      <w:r>
        <w:rPr>
          <w:lang w:val="en_US" w:bidi="en_US"/>
        </w:rPr>
      </w:r>
    </w:p>
    <w:p>
      <w:pPr>
        <w:pStyle w:val="Heading4"/>
      </w:pPr>
      <w:r>
        <w:rPr>
          <w:lang w:val="en_US" w:bidi="en_US"/>
        </w:rPr>
        <w:t>Section 16:19–31: Jesus told a parable about a rich man and a poor man</w:t>
      </w:r>
    </w:p>
    <w:p>
      <w:pPr/>
      <w:r>
        <w:rPr>
          <w:lang w:val="en_US" w:bidi="en_US"/>
        </w:rPr>
      </w:r>
      <w:r>
        <w:rPr>
          <w:lang w:val="en_US" w:bidi="en_US"/>
        </w:rP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pPr/>
      <w:r>
        <w:rPr>
          <w:lang w:val="en_US" w:bidi="en_US"/>
        </w:rPr>
      </w:r>
      <w:r>
        <w:rPr>
          <w:lang w:val="en_US" w:bidi="en_US"/>
        </w:rPr>
        <w:t>Another heading for this section is:</w:t>
      </w:r>
    </w:p>
    <w:p>
      <w:pPr/>
      <w:r>
        <w:rPr>
          <w:lang w:val="en_US" w:bidi="en_US"/>
        </w:rPr>
      </w:r>
      <w:r>
        <w:rPr>
          <w:lang w:val="en_US" w:bidi="en_US"/>
        </w:rPr>
        <w:t>The Rich Man and Lazarus (NCV)</w:t>
      </w:r>
    </w:p>
    <w:p>
      <w:pPr>
        <w:pStyle w:val="Heading4"/>
      </w:pPr>
      <w:r>
        <w:rPr>
          <w:lang w:val="en_US" w:bidi="en_US"/>
        </w:rPr>
        <w:t>Paragraph 16:22–23</w:t>
      </w:r>
    </w:p>
    <w:p>
      <w:pPr/>
      <w:r>
        <w:rPr>
          <w:lang w:val="en_US" w:bidi="en_US"/>
        </w:rPr>
      </w:r>
      <w:r>
        <w:rPr>
          <w:lang w:val="en_US" w:bidi="en_US"/>
        </w:rPr>
        <w:t>In this paragraph, the setting of the parable changes. This paragraph describes the situation of the poor man and the rich man in the places where their spirits went after they died.</w:t>
      </w:r>
    </w:p>
    <w:p>
      <w:pPr>
        <w:pStyle w:val="Heading5"/>
      </w:pPr>
      <w:r>
        <w:rPr>
          <w:lang w:val="en_US" w:bidi="en_US"/>
        </w:rPr>
        <w:t>16:23a</w:t>
      </w:r>
    </w:p>
    <w:p>
      <w:pPr/>
      <w:r>
        <w:rPr>
          <w:lang w:val="en_US" w:bidi="en_US"/>
        </w:rPr>
      </w:r>
      <w:r>
        <w:rPr>
          <w:b/>
          <w:lang w:val="en_US" w:bidi="en_US"/>
        </w:rPr>
        <w:t>In Hades, where he was in torment,</w:t>
      </w:r>
    </w:p>
    <w:p>
      <w:pPr>
        <w:pStyle w:val="ListBullet"/>
        <w:spacing w:line="240" w:lineRule="auto"/>
        <w:ind w:left="720"/>
      </w:pPr>
      <w:r>
        <w:rPr>
          <w:lang w:val="en_US" w:bidi="en_US"/>
        </w:rPr>
      </w:r>
      <w:r>
        <w:rPr>
          <w:lang w:val="en_US" w:bidi="en_US"/>
        </w:rPr>
        <w:t xml:space="preserve">In Hades, </w:t>
      </w:r>
      <w:r>
        <w:rPr>
          <w:lang w:val="en_US" w:bidi="en_US"/>
        </w:rPr>
        <w:t>where the dead lived,</w:t>
      </w:r>
      <w:r>
        <w:rPr>
          <w:lang w:val="en_US" w:bidi="en_US"/>
        </w:rPr>
        <w:t xml:space="preserve"> he suffered greatly/terribly.</w:t>
      </w:r>
    </w:p>
    <w:p>
      <w:pPr>
        <w:pStyle w:val="ListBullet"/>
        <w:spacing w:line="240" w:lineRule="auto"/>
        <w:ind w:left="720"/>
      </w:pPr>
      <w:r>
        <w:rPr>
          <w:lang w:val="en_US" w:bidi="en_US"/>
        </w:rPr>
      </w:r>
      <w:r>
        <w:rPr>
          <w:lang w:val="en_US" w:bidi="en_US"/>
        </w:rPr>
        <w:t xml:space="preserve">and </w:t>
      </w:r>
      <w:r>
        <w:rPr>
          <w:lang w:val="en_US" w:bidi="en_US"/>
        </w:rPr>
        <w:t>his spirit</w:t>
      </w:r>
      <w:r>
        <w:rPr>
          <w:lang w:val="en_US" w:bidi="en_US"/>
        </w:rPr>
        <w:t xml:space="preserve"> </w:t>
      </w:r>
      <w:r>
        <w:rPr>
          <w:lang w:val="en_US" w:bidi="en_US"/>
        </w:rPr>
        <w:t>went to</w:t>
      </w:r>
      <w:r>
        <w:rPr>
          <w:lang w:val="en_US" w:bidi="en_US"/>
        </w:rPr>
        <w:t xml:space="preserve"> the place/world of the dead </w:t>
      </w:r>
      <w:r>
        <w:rPr>
          <w:lang w:val="en_US" w:bidi="en_US"/>
        </w:rPr>
        <w:t>people</w:t>
      </w:r>
      <w:r>
        <w:rPr>
          <w:lang w:val="en_US" w:bidi="en_US"/>
        </w:rPr>
        <w:t>. In that place his pain/suffering was severe.</w:t>
      </w:r>
    </w:p>
    <w:p>
      <w:pPr/>
      <w:r>
        <w:rPr>
          <w:lang w:val="en_US" w:bidi="en_US"/>
        </w:rPr>
      </w:r>
      <w:r>
        <w:rPr>
          <w:b/>
          <w:lang w:val="en_US" w:bidi="en_US"/>
        </w:rPr>
        <w:t>In Hades:</w:t>
      </w:r>
      <w:r>
        <w:rPr>
          <w:lang w:val="en_US" w:bidi="en_US"/>
        </w:rPr>
        <w:t xml:space="preserve"> There are two ways to interpret the Greek word </w:t>
      </w:r>
      <w:r>
        <w:rPr>
          <w:i/>
          <w:lang w:val="en_US" w:bidi="en_US"/>
        </w:rPr>
        <w:t>Hades</w:t>
      </w:r>
      <w:r>
        <w:rPr>
          <w:lang w:val="en_US" w:bidi="en_US"/>
        </w:rPr>
        <w:t xml:space="preserve">, which many English versions translate as “hell,” but which the BSB, like many other English versions, transliterates as </w:t>
      </w:r>
      <w:r>
        <w:rPr>
          <w:i/>
          <w:lang w:val="en_US" w:bidi="en_US"/>
        </w:rPr>
        <w:t>Hades</w:t>
      </w:r>
      <w:r>
        <w:rPr>
          <w:lang w:val="en_US" w:bidi="en_US"/>
        </w:rPr>
        <w:t>:</w:t>
      </w:r>
    </w:p>
    <w:p>
      <w:pPr>
        <w:pStyle w:val="ListNumber"/>
        <w:numPr>
          <w:ilvl w:val="0"/>
          <w:numId w:val="274"/>
        </w:numPr>
        <w:spacing w:line="240" w:lineRule="auto"/>
        <w:ind w:left="720"/>
      </w:pPr>
      <w:r>
        <w:rPr>
          <w:lang w:val="en_US" w:bidi="en_US"/>
        </w:rPr>
      </w:r>
      <w:r>
        <w:rPr>
          <w:lang w:val="en_US" w:bidi="en_US"/>
        </w:rPr>
        <w:t>It refers here to Hades, the place where the spirits of dead people stay until the final judgment. For example:</w:t>
      </w:r>
      <w:r>
        <w:rPr>
          <w:lang w:val="en_US" w:bidi="en_US"/>
        </w:rPr>
        <w:t xml:space="preserve">In Hades (REB) </w:t>
      </w:r>
      <w:r>
        <w:rPr>
          <w:i/>
          <w:lang w:val="en_US" w:bidi="en_US"/>
        </w:rPr>
        <w:t>(BSB, NIV11, RSV, REB, NJB, NASB, ESV, GNT, NLT, NCV, JBP)</w:t>
      </w:r>
    </w:p>
    <w:p>
      <w:pPr>
        <w:pStyle w:val="ListNumber"/>
        <w:spacing w:line="240" w:lineRule="auto"/>
        <w:ind w:left="720"/>
      </w:pPr>
      <w:r>
        <w:rPr>
          <w:lang w:val="en_US" w:bidi="en_US"/>
        </w:rPr>
      </w:r>
      <w:r>
        <w:rPr>
          <w:lang w:val="en_US" w:bidi="en_US"/>
        </w:rPr>
        <w:t>It refers here to hell, the final place of punishment for the wicked people. For example:</w:t>
      </w:r>
      <w:r>
        <w:rPr>
          <w:lang w:val="en_US" w:bidi="en_US"/>
        </w:rPr>
        <w:t xml:space="preserve">He went to hell (GW) </w:t>
      </w:r>
      <w:r>
        <w:rPr>
          <w:i/>
          <w:lang w:val="en_US" w:bidi="en_US"/>
        </w:rPr>
        <w:t>(NIV, GW, CEV, NET)</w:t>
      </w:r>
    </w:p>
    <w:p>
      <w:pPr/>
      <w:r>
        <w:rPr>
          <w:lang w:val="en_US" w:bidi="en_US"/>
        </w:rPr>
      </w:r>
      <w:r>
        <w:rPr>
          <w:lang w:val="en_US" w:bidi="en_US"/>
        </w:rPr>
        <w:t>It is recommended that you follow interpretation (1), along with most versions and commentaries. This interpretation is consistent with the way that the word Hades is most frequently used in the New Testament (see Revelation 20:13).</w:t>
      </w:r>
      <w:r>
        <w:rPr>
          <w:lang w:val="en_US" w:bidi="en_US"/>
        </w:rPr>
        <w:t xml:space="preserve">Hades is the Greek translation of the Hebrew word </w:t>
      </w:r>
      <w:r>
        <w:rPr>
          <w:i/>
          <w:lang w:val="en_US" w:bidi="en_US"/>
        </w:rPr>
        <w:t>sheol</w:t>
      </w:r>
      <w:r>
        <w:rPr>
          <w:lang w:val="en_US" w:bidi="en_US"/>
        </w:rPr>
        <w:t xml:space="preserve">, which refers to the world of the dead. The word “hell” comes from a different Greek word, </w:t>
      </w:r>
      <w:r>
        <w:rPr>
          <w:i/>
          <w:lang w:val="en_US" w:bidi="en_US"/>
        </w:rPr>
        <w:t>gehenna</w:t>
      </w:r>
      <w:r>
        <w:rPr>
          <w:lang w:val="en_US" w:bidi="en_US"/>
        </w:rPr>
        <w:t xml:space="preserve">. See the note on Luke 12:5b, where the BSB translates </w:t>
      </w:r>
      <w:r>
        <w:rPr>
          <w:i/>
          <w:lang w:val="en_US" w:bidi="en_US"/>
        </w:rPr>
        <w:t>gehenna</w:t>
      </w:r>
      <w:r>
        <w:rPr>
          <w:lang w:val="en_US" w:bidi="en_US"/>
        </w:rPr>
        <w:t xml:space="preserve"> as “hell.” In Luke 10:15, while the BSB says “Hades,” the NIV translates the Greek word </w:t>
      </w:r>
      <w:r>
        <w:rPr>
          <w:i/>
          <w:lang w:val="en_US" w:bidi="en_US"/>
        </w:rPr>
        <w:t>hades</w:t>
      </w:r>
      <w:r>
        <w:rPr>
          <w:lang w:val="en_US" w:bidi="en_US"/>
        </w:rPr>
        <w:t xml:space="preserve"> as “the depths.” In that verse, the expression may refer to either the intermediate place of the dead or to hell. The contrasting term “the skies” is different from “Abraham’s bosom,” and it also refers to the time of judgment, not the time immediately after death.</w:t>
      </w:r>
    </w:p>
    <w:p>
      <w:pPr/>
      <w:r>
        <w:rPr>
          <w:lang w:val="en_US" w:bidi="en_US"/>
        </w:rPr>
      </w:r>
      <w:r>
        <w:rPr>
          <w:lang w:val="en_US" w:bidi="en_US"/>
        </w:rPr>
        <w:t xml:space="preserve">It is implied that the rich man’s spirit </w:t>
      </w:r>
      <w:r>
        <w:rPr>
          <w:u w:val="single"/>
          <w:lang w:val="en_US" w:bidi="en_US"/>
        </w:rPr>
        <w:t>went</w:t>
      </w:r>
      <w:r>
        <w:rPr>
          <w:lang w:val="en_US" w:bidi="en_US"/>
        </w:rPr>
        <w:t xml:space="preserve"> to Hades after his body was buried. In some languages it may be more natural to make this event explicit. For example:</w:t>
      </w:r>
    </w:p>
    <w:p>
      <w:pPr/>
      <w:r>
        <w:rPr>
          <w:lang w:val="en_US" w:bidi="en_US"/>
        </w:rPr>
      </w:r>
      <w:r>
        <w:rPr>
          <w:lang w:val="en_US" w:bidi="en_US"/>
        </w:rPr>
        <w:t>and his soul went to the place of the dead (NLT)</w:t>
      </w:r>
    </w:p>
    <w:p>
      <w:pPr/>
      <w:r>
        <w:rPr>
          <w:lang w:val="en_US" w:bidi="en_US"/>
        </w:rPr>
      </w:r>
      <w:r>
        <w:rPr>
          <w:b/>
          <w:lang w:val="en_US" w:bidi="en_US"/>
        </w:rPr>
        <w:t>Hades:</w:t>
      </w:r>
      <w:r>
        <w:rPr>
          <w:lang w:val="en_US" w:bidi="en_US"/>
        </w:rPr>
        <w:t xml:space="preserve"> Some ways to translate </w:t>
      </w:r>
      <w:r>
        <w:rPr>
          <w:i/>
          <w:lang w:val="en_US" w:bidi="en_US"/>
        </w:rPr>
        <w:t>Hades</w:t>
      </w:r>
      <w:r>
        <w:rPr>
          <w:lang w:val="en_US" w:bidi="en_US"/>
        </w:rPr>
        <w:t xml:space="preserve"> are:</w:t>
      </w:r>
    </w:p>
    <w:p>
      <w:pPr>
        <w:pStyle w:val="ListBullet"/>
        <w:spacing w:line="240" w:lineRule="auto"/>
        <w:ind w:left="720"/>
      </w:pPr>
      <w:r>
        <w:rPr>
          <w:lang w:val="en_US" w:bidi="en_US"/>
        </w:rPr>
      </w:r>
      <w:r>
        <w:rPr>
          <w:lang w:val="en_US" w:bidi="en_US"/>
        </w:rPr>
        <w:t>Transliterate the word and add a descriptive phrase. For example:</w:t>
      </w:r>
      <w:r>
        <w:rPr>
          <w:lang w:val="en_US" w:bidi="en_US"/>
        </w:rPr>
        <w:t>Hades, the place/world of the dead</w:t>
      </w:r>
    </w:p>
    <w:p>
      <w:pPr>
        <w:pStyle w:val="ListBullet"/>
        <w:spacing w:line="240" w:lineRule="auto"/>
        <w:ind w:left="720"/>
      </w:pPr>
      <w:r>
        <w:rPr>
          <w:lang w:val="en_US" w:bidi="en_US"/>
        </w:rPr>
      </w:r>
      <w:r>
        <w:rPr>
          <w:lang w:val="en_US" w:bidi="en_US"/>
        </w:rPr>
        <w:t>Use a descriptive phrase. For example:</w:t>
      </w:r>
      <w:r>
        <w:rPr>
          <w:lang w:val="en_US" w:bidi="en_US"/>
        </w:rPr>
        <w:t>the place where the dead live</w:t>
      </w:r>
    </w:p>
    <w:p>
      <w:pPr>
        <w:pStyle w:val="ListBullet"/>
        <w:spacing w:line="240" w:lineRule="auto"/>
        <w:ind w:left="720"/>
      </w:pPr>
      <w:r>
        <w:rPr>
          <w:lang w:val="en_US" w:bidi="en_US"/>
        </w:rPr>
      </w:r>
      <w:r>
        <w:rPr>
          <w:lang w:val="en_US" w:bidi="en_US"/>
        </w:rPr>
        <w:t>Use a term in your language that refers to the place where the spirits of dead people go.</w:t>
      </w:r>
    </w:p>
    <w:p>
      <w:pPr/>
      <w:r>
        <w:rPr>
          <w:lang w:val="en_US" w:bidi="en_US"/>
        </w:rPr>
      </w:r>
      <w:r>
        <w:rPr>
          <w:lang w:val="en_US" w:bidi="en_US"/>
        </w:rPr>
        <w:t>See also “hell,” sense A, in KBT.</w:t>
      </w:r>
    </w:p>
    <w:p>
      <w:pPr/>
      <w:r>
        <w:rPr>
          <w:lang w:val="en_US" w:bidi="en_US"/>
        </w:rPr>
      </w:r>
      <w:r>
        <w:rPr>
          <w:b/>
          <w:lang w:val="en_US" w:bidi="en_US"/>
        </w:rPr>
        <w:t>where he was in torment:</w:t>
      </w:r>
      <w:r>
        <w:rPr>
          <w:lang w:val="en_US" w:bidi="en_US"/>
        </w:rPr>
        <w:t xml:space="preserve"> The clause </w:t>
      </w:r>
      <w:r>
        <w:rPr>
          <w:i/>
          <w:lang w:val="en_US" w:bidi="en_US"/>
        </w:rPr>
        <w:t>he was in torment</w:t>
      </w:r>
      <w:r>
        <w:rPr>
          <w:lang w:val="en_US" w:bidi="en_US"/>
        </w:rPr>
        <w:t xml:space="preserve"> means that the rich man was in much pain. He was suffering greatly because God was punishing him. Some other ways to translate this clause are:</w:t>
      </w:r>
    </w:p>
    <w:p>
      <w:pPr/>
      <w:r>
        <w:rPr>
          <w:lang w:val="en_US" w:bidi="en_US"/>
        </w:rPr>
      </w:r>
      <w:r>
        <w:rPr>
          <w:lang w:val="en_US" w:bidi="en_US"/>
        </w:rPr>
        <w:t>he was in much pain (NCV)</w:t>
      </w:r>
    </w:p>
    <w:p>
      <w:pPr/>
      <w:r>
        <w:rPr>
          <w:lang w:val="en_US" w:bidi="en_US"/>
        </w:rPr>
      </w:r>
      <w:r>
        <w:rPr>
          <w:lang w:val="en_US" w:bidi="en_US"/>
        </w:rPr>
        <w:t>he…was suffering terribly (CEV)</w:t>
      </w:r>
    </w:p>
    <w:p>
      <w:pPr>
        <w:pStyle w:val="Heading5"/>
      </w:pPr>
      <w:r>
        <w:rPr>
          <w:lang w:val="en_US" w:bidi="en_US"/>
        </w:rPr>
        <w:t>16:23b</w:t>
      </w:r>
    </w:p>
    <w:p>
      <w:pPr/>
      <w:r>
        <w:rPr>
          <w:lang w:val="en_US" w:bidi="en_US"/>
        </w:rPr>
      </w:r>
      <w:r>
        <w:rPr>
          <w:b/>
          <w:lang w:val="en_US" w:bidi="en_US"/>
        </w:rPr>
        <w:t>he looked up and saw Abraham from afar,</w:t>
      </w:r>
    </w:p>
    <w:p>
      <w:pPr>
        <w:pStyle w:val="ListBullet"/>
        <w:spacing w:line="240" w:lineRule="auto"/>
        <w:ind w:left="720"/>
      </w:pPr>
      <w:r>
        <w:rPr>
          <w:lang w:val="en_US" w:bidi="en_US"/>
        </w:rPr>
      </w:r>
      <w:r>
        <w:rPr>
          <w:lang w:val="en_US" w:bidi="en_US"/>
        </w:rPr>
        <w:t>When he looked up, he saw Abraham far away,</w:t>
      </w:r>
    </w:p>
    <w:p>
      <w:pPr>
        <w:pStyle w:val="ListBullet"/>
        <w:spacing w:line="240" w:lineRule="auto"/>
        <w:ind w:left="720"/>
      </w:pPr>
      <w:r>
        <w:rPr>
          <w:lang w:val="en_US" w:bidi="en_US"/>
        </w:rPr>
      </w:r>
      <w:r>
        <w:rPr>
          <w:lang w:val="en_US" w:bidi="en_US"/>
        </w:rPr>
        <w:t xml:space="preserve">Then he looked </w:t>
      </w:r>
      <w:r>
        <w:rPr>
          <w:lang w:val="en_US" w:bidi="en_US"/>
        </w:rPr>
        <w:t>ahead</w:t>
      </w:r>
      <w:r>
        <w:rPr>
          <w:lang w:val="en_US" w:bidi="en_US"/>
        </w:rPr>
        <w:t xml:space="preserve"> and saw Abraham in the distance.</w:t>
      </w:r>
    </w:p>
    <w:p>
      <w:pPr/>
      <w:r>
        <w:rPr>
          <w:lang w:val="en_US" w:bidi="en_US"/>
        </w:rPr>
      </w:r>
      <w:r>
        <w:rPr>
          <w:b/>
          <w:lang w:val="en_US" w:bidi="en_US"/>
        </w:rPr>
        <w:t>he looked up and saw Abraham from afar:</w:t>
      </w:r>
      <w:r>
        <w:rPr>
          <w:lang w:val="en_US" w:bidi="en_US"/>
        </w:rPr>
        <w:t xml:space="preserve"> The Greek expression that the BSB translates as </w:t>
      </w:r>
      <w:r>
        <w:rPr>
          <w:i/>
          <w:lang w:val="en_US" w:bidi="en_US"/>
        </w:rPr>
        <w:t>he looked up and saw</w:t>
      </w:r>
      <w:r>
        <w:rPr>
          <w:lang w:val="en_US" w:bidi="en_US"/>
        </w:rPr>
        <w:t xml:space="preserve"> is literally “he lifted up his eyes and saw.” The RSV and several other English versions translate it that way. This was a common expression that often meant simply “he looked.” The important point is not that he saw Abraham in a higher place, but that he saw Abraham from a distance. For example:</w:t>
      </w:r>
    </w:p>
    <w:p>
      <w:pPr/>
      <w:r>
        <w:rPr>
          <w:lang w:val="en_US" w:bidi="en_US"/>
        </w:rPr>
      </w:r>
      <w:r>
        <w:rPr>
          <w:lang w:val="en_US" w:bidi="en_US"/>
        </w:rPr>
        <w:t>he saw Abraham in the far distance (NLT)</w:t>
      </w:r>
    </w:p>
    <w:p>
      <w:pPr/>
      <w:r>
        <w:rPr>
          <w:lang w:val="en_US" w:bidi="en_US"/>
        </w:rPr>
      </w:r>
      <w:r>
        <w:rPr>
          <w:lang w:val="en_US" w:bidi="en_US"/>
        </w:rPr>
        <w:t xml:space="preserve">However, the Jews commonly thought of Paradise as being </w:t>
      </w:r>
      <w:r>
        <w:rPr>
          <w:i/>
          <w:lang w:val="en_US" w:bidi="en_US"/>
        </w:rPr>
        <w:t>up</w:t>
      </w:r>
      <w:r>
        <w:rPr>
          <w:lang w:val="en_US" w:bidi="en_US"/>
        </w:rPr>
        <w:t>, and the place where the wicked stayed in Hades as being “down.” So if it is natural to use a word that means “look up” in your language, you may do so. For example:</w:t>
      </w:r>
    </w:p>
    <w:p>
      <w:pPr/>
      <w:r>
        <w:rPr>
          <w:lang w:val="en_US" w:bidi="en_US"/>
        </w:rPr>
      </w:r>
      <w:r>
        <w:rPr>
          <w:lang w:val="en_US" w:bidi="en_US"/>
        </w:rPr>
        <w:t>As he looked up, in the distance he saw Abraham and Lazarus. (GW)</w:t>
      </w:r>
    </w:p>
    <w:p>
      <w:pPr>
        <w:pStyle w:val="Heading5"/>
      </w:pPr>
      <w:r>
        <w:rPr>
          <w:lang w:val="en_US" w:bidi="en_US"/>
        </w:rPr>
        <w:t>16:23c</w:t>
      </w:r>
    </w:p>
    <w:p>
      <w:pPr/>
      <w:r>
        <w:rPr>
          <w:lang w:val="en_US" w:bidi="en_US"/>
        </w:rPr>
      </w:r>
      <w:r>
        <w:rPr>
          <w:b/>
          <w:lang w:val="en_US" w:bidi="en_US"/>
        </w:rPr>
        <w:t>with Lazarus by his side.</w:t>
      </w:r>
    </w:p>
    <w:p>
      <w:pPr>
        <w:pStyle w:val="ListBullet"/>
        <w:spacing w:line="240" w:lineRule="auto"/>
        <w:ind w:left="720"/>
      </w:pPr>
      <w:r>
        <w:rPr>
          <w:lang w:val="en_US" w:bidi="en_US"/>
        </w:rPr>
      </w:r>
      <w:r>
        <w:rPr>
          <w:lang w:val="en_US" w:bidi="en_US"/>
        </w:rPr>
        <w:t>and Lazarus was close beside him.</w:t>
      </w:r>
    </w:p>
    <w:p>
      <w:pPr>
        <w:pStyle w:val="ListBullet"/>
        <w:spacing w:line="240" w:lineRule="auto"/>
        <w:ind w:left="720"/>
      </w:pPr>
      <w:r>
        <w:rPr>
          <w:lang w:val="en_US" w:bidi="en_US"/>
        </w:rPr>
      </w:r>
      <w:r>
        <w:rPr>
          <w:lang w:val="en_US" w:bidi="en_US"/>
        </w:rPr>
        <w:t>Lazarus was next to him.</w:t>
      </w:r>
    </w:p>
    <w:p>
      <w:pPr/>
      <w:r>
        <w:rPr>
          <w:lang w:val="en_US" w:bidi="en_US"/>
        </w:rPr>
      </w:r>
      <w:r>
        <w:rPr>
          <w:b/>
          <w:lang w:val="en_US" w:bidi="en_US"/>
        </w:rPr>
        <w:t>with Lazarus by his side:</w:t>
      </w:r>
      <w:r>
        <w:rPr>
          <w:lang w:val="en_US" w:bidi="en_US"/>
        </w:rPr>
        <w:t xml:space="preserve"> The Greek expression that the BSB translates as </w:t>
      </w:r>
      <w:r>
        <w:rPr>
          <w:i/>
          <w:lang w:val="en_US" w:bidi="en_US"/>
        </w:rPr>
        <w:t>with Lazarus by his side</w:t>
      </w:r>
      <w:r>
        <w:rPr>
          <w:lang w:val="en_US" w:bidi="en_US"/>
        </w:rPr>
        <w:t xml:space="preserve"> is literally “and Lazarus in his bosom.” Several English versions translate it this way. See the note on 16:22b. Here this expression means that Lazarus was next to Abraham.</w:t>
      </w:r>
      <w:r>
        <w:rPr>
          <w:lang w:val="en_US" w:bidi="en_US"/>
        </w:rPr>
      </w:r>
      <w:r>
        <w:rPr>
          <w:lang w:val="en_US" w:bidi="en_US"/>
        </w:rPr>
      </w:r>
    </w:p>
    <w:p>
      <w:pPr/>
      <w:r>
        <w:rPr>
          <w:lang w:val="en_US" w:bidi="en_US"/>
        </w:rPr>
      </w:r>
    </w:p>
    <w:p>
      <w:pPr>
        <w:pStyle w:val="Heading2"/>
      </w:pPr>
      <w:r>
        <w:rPr>
          <w:lang w:val="en_US" w:bidi="en_US"/>
        </w:rPr>
        <w:t>Luke 16:24</w:t>
      </w:r>
      <w:r>
        <w:rPr>
          <w:lang w:val="en_US" w:bidi="en_US"/>
        </w:rPr>
      </w:r>
    </w:p>
    <w:p>
      <w:pPr>
        <w:pStyle w:val="Heading4"/>
      </w:pPr>
      <w:r>
        <w:rPr>
          <w:lang w:val="en_US" w:bidi="en_US"/>
        </w:rPr>
        <w:t>Section 16:19–31: Jesus told a parable about a rich man and a poor man</w:t>
      </w:r>
    </w:p>
    <w:p>
      <w:pPr/>
      <w:r>
        <w:rPr>
          <w:lang w:val="en_US" w:bidi="en_US"/>
        </w:rPr>
      </w:r>
      <w:r>
        <w:rPr>
          <w:lang w:val="en_US" w:bidi="en_US"/>
        </w:rP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pPr/>
      <w:r>
        <w:rPr>
          <w:lang w:val="en_US" w:bidi="en_US"/>
        </w:rPr>
      </w:r>
      <w:r>
        <w:rPr>
          <w:lang w:val="en_US" w:bidi="en_US"/>
        </w:rPr>
        <w:t>Another heading for this section is:</w:t>
      </w:r>
    </w:p>
    <w:p>
      <w:pPr/>
      <w:r>
        <w:rPr>
          <w:lang w:val="en_US" w:bidi="en_US"/>
        </w:rPr>
      </w:r>
      <w:r>
        <w:rPr>
          <w:lang w:val="en_US" w:bidi="en_US"/>
        </w:rPr>
        <w:t>The Rich Man and Lazarus (NCV)</w:t>
      </w:r>
    </w:p>
    <w:p>
      <w:pPr>
        <w:pStyle w:val="Heading4"/>
      </w:pPr>
      <w:r>
        <w:rPr>
          <w:lang w:val="en_US" w:bidi="en_US"/>
        </w:rPr>
        <w:t>Paragraph 16:24–26</w:t>
      </w:r>
    </w:p>
    <w:p>
      <w:pPr/>
      <w:r>
        <w:rPr>
          <w:lang w:val="en_US" w:bidi="en_US"/>
        </w:rPr>
      </w:r>
      <w:r>
        <w:rPr>
          <w:lang w:val="en_US" w:bidi="en_US"/>
        </w:rPr>
        <w:t>In this paragraph, the rich man pleaded that Abraham would send Lazarus to relieve his suffering. Both Lazarus and the rich man are described as though they still had their bodies. Jesus used this figurative language to make it easier for his listeners to picture the situation.</w:t>
      </w:r>
    </w:p>
    <w:p>
      <w:pPr>
        <w:pStyle w:val="Heading5"/>
      </w:pPr>
      <w:r>
        <w:rPr>
          <w:lang w:val="en_US" w:bidi="en_US"/>
        </w:rPr>
        <w:t>16:24a</w:t>
      </w:r>
    </w:p>
    <w:p>
      <w:pPr/>
      <w:r>
        <w:rPr>
          <w:lang w:val="en_US" w:bidi="en_US"/>
        </w:rPr>
      </w:r>
      <w:r>
        <w:rPr>
          <w:b/>
          <w:lang w:val="en_US" w:bidi="en_US"/>
        </w:rPr>
        <w:t>So he cried out, ‘Father Abraham, have mercy on me</w:t>
      </w:r>
    </w:p>
    <w:p>
      <w:pPr>
        <w:pStyle w:val="ListBullet"/>
        <w:spacing w:line="240" w:lineRule="auto"/>
        <w:ind w:left="720"/>
      </w:pPr>
      <w:r>
        <w:rPr>
          <w:lang w:val="en_US" w:bidi="en_US"/>
        </w:rPr>
      </w:r>
      <w:r>
        <w:rPr>
          <w:lang w:val="en_US" w:bidi="en_US"/>
        </w:rPr>
        <w:t xml:space="preserve">¶ “He shouted to him, ‘Father/Honored Abraham, show me </w:t>
      </w:r>
      <w:r>
        <w:rPr>
          <w:lang w:val="en_US" w:bidi="en_US"/>
        </w:rPr>
        <w:t>some</w:t>
      </w:r>
      <w:r>
        <w:rPr>
          <w:lang w:val="en_US" w:bidi="en_US"/>
        </w:rPr>
        <w:t xml:space="preserve"> compassion/mercy.</w:t>
      </w:r>
    </w:p>
    <w:p>
      <w:pPr>
        <w:pStyle w:val="ListBullet"/>
        <w:spacing w:line="240" w:lineRule="auto"/>
        <w:ind w:left="720"/>
      </w:pPr>
      <w:r>
        <w:rPr>
          <w:lang w:val="en_US" w:bidi="en_US"/>
        </w:rPr>
      </w:r>
      <w:r>
        <w:rPr>
          <w:lang w:val="en_US" w:bidi="en_US"/>
        </w:rPr>
        <w:t xml:space="preserve">¶ “So </w:t>
      </w:r>
      <w:r>
        <w:rPr>
          <w:lang w:val="en_US" w:bidi="en_US"/>
        </w:rPr>
        <w:t>the rich man</w:t>
      </w:r>
      <w:r>
        <w:rPr>
          <w:lang w:val="en_US" w:bidi="en_US"/>
        </w:rPr>
        <w:t xml:space="preserve"> called </w:t>
      </w:r>
      <w:r>
        <w:rPr>
          <w:lang w:val="en_US" w:bidi="en_US"/>
        </w:rPr>
        <w:t>loudly</w:t>
      </w:r>
      <w:r>
        <w:rPr>
          <w:lang w:val="en_US" w:bidi="en_US"/>
        </w:rPr>
        <w:t xml:space="preserve"> to </w:t>
      </w:r>
      <w:r>
        <w:rPr>
          <w:lang w:val="en_US" w:bidi="en_US"/>
        </w:rPr>
        <w:t>Abraham</w:t>
      </w:r>
      <w:r>
        <w:rPr>
          <w:lang w:val="en_US" w:bidi="en_US"/>
        </w:rPr>
        <w:t xml:space="preserve"> and said, ‘Ancestor Abraham, </w:t>
      </w:r>
      <w:r>
        <w:rPr>
          <w:lang w:val="en_US" w:bidi="en_US"/>
        </w:rPr>
        <w:t>please</w:t>
      </w:r>
      <w:r>
        <w:rPr>
          <w:lang w:val="en_US" w:bidi="en_US"/>
        </w:rPr>
        <w:t xml:space="preserve"> be merciful to me.</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introduces the next thing that the rich man did after he saw Abraham and Lazarus in the distance. Some versions omit this conjunction. For example:</w:t>
      </w:r>
    </w:p>
    <w:p>
      <w:pPr/>
      <w:r>
        <w:rPr>
          <w:lang w:val="en_US" w:bidi="en_US"/>
        </w:rPr>
      </w:r>
      <w:r>
        <w:rPr>
          <w:lang w:val="en_US" w:bidi="en_US"/>
        </w:rPr>
        <w:t>He called out (NRSV)</w:t>
      </w:r>
    </w:p>
    <w:p>
      <w:pPr/>
      <w:r>
        <w:rPr>
          <w:lang w:val="en_US" w:bidi="en_US"/>
        </w:rPr>
      </w:r>
      <w:r>
        <w:rPr>
          <w:lang w:val="en_US" w:bidi="en_US"/>
        </w:rPr>
        <w:t>Use a natural way in your language to connect this verse to the preceding verse.</w:t>
      </w:r>
    </w:p>
    <w:p>
      <w:pPr/>
      <w:r>
        <w:rPr>
          <w:lang w:val="en_US" w:bidi="en_US"/>
        </w:rPr>
      </w:r>
      <w:r>
        <w:rPr>
          <w:b/>
          <w:lang w:val="en_US" w:bidi="en_US"/>
        </w:rPr>
        <w:t>he cried out:</w:t>
      </w:r>
      <w:r>
        <w:rPr>
          <w:lang w:val="en_US" w:bidi="en_US"/>
        </w:rPr>
        <w:t xml:space="preserve"> The Greek word that the BSB translates as </w:t>
      </w:r>
      <w:r>
        <w:rPr>
          <w:i/>
          <w:lang w:val="en_US" w:bidi="en_US"/>
        </w:rPr>
        <w:t>cried out</w:t>
      </w:r>
      <w:r>
        <w:rPr>
          <w:lang w:val="en_US" w:bidi="en_US"/>
        </w:rPr>
        <w:t xml:space="preserve"> indicates that the rich man spoke in a loud voice. Other ways to translate this word are:</w:t>
      </w:r>
    </w:p>
    <w:p>
      <w:pPr/>
      <w:r>
        <w:rPr>
          <w:lang w:val="en_US" w:bidi="en_US"/>
        </w:rPr>
      </w:r>
      <w:r>
        <w:rPr>
          <w:lang w:val="en_US" w:bidi="en_US"/>
        </w:rPr>
        <w:t>The rich man shouted (NLT)</w:t>
      </w:r>
    </w:p>
    <w:p>
      <w:pPr/>
      <w:r>
        <w:rPr>
          <w:lang w:val="en_US" w:bidi="en_US"/>
        </w:rPr>
      </w:r>
      <w:r>
        <w:rPr>
          <w:lang w:val="en_US" w:bidi="en_US"/>
        </w:rPr>
        <w:t>He yelled (GW)</w:t>
      </w:r>
    </w:p>
    <w:p>
      <w:pPr/>
      <w:r>
        <w:rPr>
          <w:lang w:val="en_US" w:bidi="en_US"/>
        </w:rPr>
      </w:r>
      <w:r>
        <w:rPr>
          <w:b/>
          <w:lang w:val="en_US" w:bidi="en_US"/>
        </w:rPr>
        <w:t>Father Abraham:</w:t>
      </w:r>
      <w:r>
        <w:rPr>
          <w:lang w:val="en_US" w:bidi="en_US"/>
        </w:rPr>
        <w:t xml:space="preserve"> The rich man was a Jew, and he was speaking to the ancestor of his people. Consider what title of respect a man in your culture would use to address an ancestor who is not directly a father or grandfather.</w:t>
      </w:r>
    </w:p>
    <w:p>
      <w:pPr/>
      <w:r>
        <w:rPr>
          <w:lang w:val="en_US" w:bidi="en_US"/>
        </w:rPr>
      </w:r>
      <w:r>
        <w:rPr>
          <w:b/>
          <w:lang w:val="en_US" w:bidi="en_US"/>
        </w:rPr>
        <w:t>have mercy on me:</w:t>
      </w:r>
      <w:r>
        <w:rPr>
          <w:lang w:val="en_US" w:bidi="en_US"/>
        </w:rPr>
        <w:t xml:space="preserve"> The phrase </w:t>
      </w:r>
      <w:r>
        <w:rPr>
          <w:i/>
          <w:lang w:val="en_US" w:bidi="en_US"/>
        </w:rPr>
        <w:t>have mercy on me</w:t>
      </w:r>
      <w:r>
        <w:rPr>
          <w:lang w:val="en_US" w:bidi="en_US"/>
        </w:rPr>
        <w:t xml:space="preserve"> means “be merciful to me.” The rich man was pleading with Abraham to show him mercy by doing something specific to help him. In some languages it may be necessary to indicate that this was a plea for help, not a command. For example:</w:t>
      </w:r>
    </w:p>
    <w:p>
      <w:pPr/>
      <w:r>
        <w:rPr>
          <w:lang w:val="en_US" w:bidi="en_US"/>
        </w:rPr>
      </w:r>
      <w:r>
        <w:rPr>
          <w:u w:val="single"/>
          <w:lang w:val="en_US" w:bidi="en_US"/>
        </w:rPr>
        <w:t>Please</w:t>
      </w:r>
      <w:r>
        <w:rPr>
          <w:lang w:val="en_US" w:bidi="en_US"/>
        </w:rPr>
        <w:t xml:space="preserve"> be merciful to me</w:t>
      </w:r>
    </w:p>
    <w:p>
      <w:pPr>
        <w:pStyle w:val="Heading5"/>
      </w:pPr>
      <w:r>
        <w:rPr>
          <w:lang w:val="en_US" w:bidi="en_US"/>
        </w:rPr>
        <w:t>16:24b</w:t>
      </w:r>
    </w:p>
    <w:p>
      <w:pPr/>
      <w:r>
        <w:rPr>
          <w:lang w:val="en_US" w:bidi="en_US"/>
        </w:rPr>
      </w:r>
      <w:r>
        <w:rPr>
          <w:b/>
          <w:lang w:val="en_US" w:bidi="en_US"/>
        </w:rPr>
        <w:t>and send Lazarus to dip the tip of his finger in water and cool my tongue.</w:t>
      </w:r>
    </w:p>
    <w:p>
      <w:pPr>
        <w:pStyle w:val="ListBullet"/>
        <w:spacing w:line="240" w:lineRule="auto"/>
        <w:ind w:left="720"/>
      </w:pPr>
      <w:r>
        <w:rPr>
          <w:lang w:val="en_US" w:bidi="en_US"/>
        </w:rPr>
      </w:r>
      <w:r>
        <w:rPr>
          <w:lang w:val="en_US" w:bidi="en_US"/>
        </w:rPr>
        <w:t xml:space="preserve">Tell Lazarus to </w:t>
      </w:r>
      <w:r>
        <w:rPr>
          <w:lang w:val="en_US" w:bidi="en_US"/>
        </w:rPr>
        <w:t>just</w:t>
      </w:r>
      <w:r>
        <w:rPr>
          <w:lang w:val="en_US" w:bidi="en_US"/>
        </w:rPr>
        <w:t xml:space="preserve"> dip the end of his finger in water and </w:t>
      </w:r>
      <w:r>
        <w:rPr>
          <w:lang w:val="en_US" w:bidi="en_US"/>
        </w:rPr>
        <w:t>come here and</w:t>
      </w:r>
      <w:r>
        <w:rPr>
          <w:lang w:val="en_US" w:bidi="en_US"/>
        </w:rPr>
        <w:t xml:space="preserve"> cool my tongue,</w:t>
      </w:r>
    </w:p>
    <w:p>
      <w:pPr>
        <w:pStyle w:val="ListBullet"/>
        <w:spacing w:line="240" w:lineRule="auto"/>
        <w:ind w:left="720"/>
      </w:pPr>
      <w:r>
        <w:rPr>
          <w:lang w:val="en_US" w:bidi="en_US"/>
        </w:rPr>
      </w:r>
      <w:r>
        <w:rPr>
          <w:lang w:val="en_US" w:bidi="en_US"/>
        </w:rPr>
        <w:t xml:space="preserve">Send Lazarus to wet his finger in water and </w:t>
      </w:r>
      <w:r>
        <w:rPr>
          <w:lang w:val="en_US" w:bidi="en_US"/>
        </w:rPr>
        <w:t>let some water drip on</w:t>
      </w:r>
      <w:r>
        <w:rPr>
          <w:lang w:val="en_US" w:bidi="en_US"/>
        </w:rPr>
        <w:t xml:space="preserve"> my tongue so that it cools off.</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the specific way in which the rich man wanted Abraham to show him mercy. It does not introduce a separate action. In some languages it may be more natural to omit this conjunction and start a new sentence. For example:</w:t>
      </w:r>
    </w:p>
    <w:p>
      <w:pPr/>
      <w:r>
        <w:rPr>
          <w:lang w:val="en_US" w:bidi="en_US"/>
        </w:rPr>
      </w:r>
      <w:r>
        <w:rPr>
          <w:lang w:val="en_US" w:bidi="en_US"/>
        </w:rPr>
        <w:t>Send Lazarus to dip his finger… (CEV)</w:t>
      </w:r>
    </w:p>
    <w:p>
      <w:pPr/>
      <w:r>
        <w:rPr>
          <w:lang w:val="en_US" w:bidi="en_US"/>
        </w:rPr>
      </w:r>
      <w:r>
        <w:rPr>
          <w:b/>
          <w:lang w:val="en_US" w:bidi="en_US"/>
        </w:rPr>
        <w:t>send Lazarus to dip the tip of his finger in water and cool my tongue:</w:t>
      </w:r>
      <w:r>
        <w:rPr>
          <w:lang w:val="en_US" w:bidi="en_US"/>
        </w:rPr>
        <w:t xml:space="preserve"> The rich man wanted Abraham to send Lazarus to him to cool his tongue with a little water. The rich man urgently longed for water, but he requested only a very small amount. He probably thought that Abraham might grant a small request such as that. The request implies that there was no water where the rich man was or that the rich man could not get to water.</w:t>
      </w:r>
    </w:p>
    <w:p>
      <w:pPr/>
      <w:r>
        <w:rPr>
          <w:lang w:val="en_US" w:bidi="en_US"/>
        </w:rPr>
      </w:r>
      <w:r>
        <w:rPr>
          <w:lang w:val="en_US" w:bidi="en_US"/>
        </w:rPr>
        <w:t>The verse does not specify exactly how Lazarus would cool the rich man’s tongue. He might touch his wet finger to the man’s tongue or let some drops of water fall from his finger onto the man’s tongue.</w:t>
      </w:r>
    </w:p>
    <w:p>
      <w:pPr/>
      <w:r>
        <w:rPr>
          <w:lang w:val="en_US" w:bidi="en_US"/>
        </w:rPr>
      </w:r>
      <w:r>
        <w:rPr>
          <w:lang w:val="en_US" w:bidi="en_US"/>
        </w:rPr>
        <w:t>In some languages it may be necessary to make some of this information explicit. For example:</w:t>
      </w:r>
    </w:p>
    <w:p>
      <w:pPr/>
      <w:r>
        <w:rPr>
          <w:lang w:val="en_US" w:bidi="en_US"/>
        </w:rPr>
      </w:r>
      <w:r>
        <w:rPr>
          <w:lang w:val="en_US" w:bidi="en_US"/>
        </w:rPr>
        <w:t xml:space="preserve">Tell Lazarus to </w:t>
      </w:r>
      <w:r>
        <w:rPr>
          <w:lang w:val="en_US" w:bidi="en_US"/>
        </w:rPr>
        <w:t>go</w:t>
      </w:r>
      <w:r>
        <w:rPr>
          <w:lang w:val="en_US" w:bidi="en_US"/>
        </w:rPr>
        <w:t xml:space="preserve"> dip the end of his finger in water and </w:t>
      </w:r>
      <w:r>
        <w:rPr>
          <w:lang w:val="en_US" w:bidi="en_US"/>
        </w:rPr>
        <w:t>come here to touch</w:t>
      </w:r>
      <w:r>
        <w:rPr>
          <w:lang w:val="en_US" w:bidi="en_US"/>
        </w:rPr>
        <w:t xml:space="preserve"> my tongue so that it cools off.</w:t>
      </w:r>
    </w:p>
    <w:p>
      <w:pPr/>
      <w:r>
        <w:rPr>
          <w:lang w:val="en_US" w:bidi="en_US"/>
        </w:rPr>
      </w:r>
      <w:r>
        <w:rPr>
          <w:lang w:val="en_US" w:bidi="en_US"/>
        </w:rPr>
        <w:t xml:space="preserve">Send Lazarus to dip the tip of his finger in water and </w:t>
      </w:r>
      <w:r>
        <w:rPr>
          <w:lang w:val="en_US" w:bidi="en_US"/>
        </w:rPr>
        <w:t>let the water drip onto</w:t>
      </w:r>
      <w:r>
        <w:rPr>
          <w:lang w:val="en_US" w:bidi="en_US"/>
        </w:rPr>
        <w:t xml:space="preserve"> my tongue so that it becomes cool.</w:t>
      </w:r>
    </w:p>
    <w:p>
      <w:pPr/>
      <w:r>
        <w:rPr>
          <w:lang w:val="en_US" w:bidi="en_US"/>
        </w:rPr>
      </w:r>
      <w:r>
        <w:rPr>
          <w:b/>
          <w:lang w:val="en_US" w:bidi="en_US"/>
        </w:rPr>
        <w:t>the tip of his finger:</w:t>
      </w:r>
      <w:r>
        <w:rPr>
          <w:lang w:val="en_US" w:bidi="en_US"/>
        </w:rPr>
        <w:t xml:space="preserve"> In some languages it may be more natural to translate the phrase </w:t>
      </w:r>
      <w:r>
        <w:rPr>
          <w:i/>
          <w:lang w:val="en_US" w:bidi="en_US"/>
        </w:rPr>
        <w:t>the tip of his finger</w:t>
      </w:r>
      <w:r>
        <w:rPr>
          <w:lang w:val="en_US" w:bidi="en_US"/>
        </w:rPr>
        <w:t xml:space="preserve"> in a more general way. For example:</w:t>
      </w:r>
    </w:p>
    <w:p>
      <w:pPr/>
      <w:r>
        <w:rPr>
          <w:lang w:val="en_US" w:bidi="en_US"/>
        </w:rPr>
      </w:r>
      <w:r>
        <w:rPr>
          <w:lang w:val="en_US" w:bidi="en_US"/>
        </w:rPr>
        <w:t>his finger (GNT)</w:t>
      </w:r>
    </w:p>
    <w:p>
      <w:pPr/>
      <w:r>
        <w:rPr>
          <w:lang w:val="en_US" w:bidi="en_US"/>
        </w:rPr>
      </w:r>
      <w:r>
        <w:rPr>
          <w:lang w:val="en_US" w:bidi="en_US"/>
        </w:rPr>
        <w:t>In other languages it may be necessary to specify a particular finger. For example:</w:t>
      </w:r>
    </w:p>
    <w:p>
      <w:pPr/>
      <w:r>
        <w:rPr>
          <w:lang w:val="en_US" w:bidi="en_US"/>
        </w:rPr>
      </w:r>
      <w:r>
        <w:rPr>
          <w:lang w:val="en_US" w:bidi="en_US"/>
        </w:rPr>
        <w:t>his forefinger</w:t>
      </w:r>
    </w:p>
    <w:p>
      <w:pPr/>
      <w:r>
        <w:rPr>
          <w:lang w:val="en_US" w:bidi="en_US"/>
        </w:rPr>
      </w:r>
      <w:r>
        <w:rPr>
          <w:lang w:val="en_US" w:bidi="en_US"/>
        </w:rPr>
        <w:t>Use a natural expression for this action in your language.</w:t>
      </w:r>
    </w:p>
    <w:p>
      <w:pPr>
        <w:pStyle w:val="Heading5"/>
      </w:pPr>
      <w:r>
        <w:rPr>
          <w:lang w:val="en_US" w:bidi="en_US"/>
        </w:rPr>
        <w:t>16:24c</w:t>
      </w:r>
    </w:p>
    <w:p>
      <w:pPr/>
      <w:r>
        <w:rPr>
          <w:lang w:val="en_US" w:bidi="en_US"/>
        </w:rPr>
      </w:r>
      <w:r>
        <w:rPr>
          <w:b/>
          <w:lang w:val="en_US" w:bidi="en_US"/>
        </w:rPr>
        <w:t>For I am in agony in this fire.’</w:t>
      </w:r>
    </w:p>
    <w:p>
      <w:pPr>
        <w:pStyle w:val="ListBullet"/>
        <w:spacing w:line="240" w:lineRule="auto"/>
        <w:ind w:left="720"/>
      </w:pPr>
      <w:r>
        <w:rPr>
          <w:lang w:val="en_US" w:bidi="en_US"/>
        </w:rPr>
      </w:r>
      <w:r>
        <w:rPr>
          <w:lang w:val="en_US" w:bidi="en_US"/>
        </w:rPr>
        <w:t>because I am suffering terribly in this fire.’</w:t>
      </w:r>
    </w:p>
    <w:p>
      <w:pPr>
        <w:pStyle w:val="ListBullet"/>
        <w:spacing w:line="240" w:lineRule="auto"/>
        <w:ind w:left="720"/>
      </w:pPr>
      <w:r>
        <w:rPr>
          <w:lang w:val="en_US" w:bidi="en_US"/>
        </w:rPr>
      </w:r>
      <w:r>
        <w:rPr>
          <w:lang w:val="en_US" w:bidi="en_US"/>
        </w:rPr>
        <w:t>because these flames are causing me severe/much pain.’</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why the rich man wanted Lazarus to wet his tongue with water.</w:t>
      </w:r>
    </w:p>
    <w:p>
      <w:pPr/>
      <w:r>
        <w:rPr>
          <w:lang w:val="en_US" w:bidi="en_US"/>
        </w:rPr>
      </w:r>
      <w:r>
        <w:rPr>
          <w:b/>
          <w:lang w:val="en_US" w:bidi="en_US"/>
        </w:rPr>
        <w:t>I am in agony:</w:t>
      </w:r>
      <w:r>
        <w:rPr>
          <w:lang w:val="en_US" w:bidi="en_US"/>
        </w:rPr>
        <w:t xml:space="preserve"> The Greek word that the BSB translates as </w:t>
      </w:r>
      <w:r>
        <w:rPr>
          <w:i/>
          <w:lang w:val="en_US" w:bidi="en_US"/>
        </w:rPr>
        <w:t>I am in agony</w:t>
      </w:r>
      <w:r>
        <w:rPr>
          <w:lang w:val="en_US" w:bidi="en_US"/>
        </w:rPr>
        <w:t xml:space="preserve"> refers to suffering both intense physical and mental pain. Other ways to translate this word are:</w:t>
      </w:r>
    </w:p>
    <w:p>
      <w:pPr/>
      <w:r>
        <w:rPr>
          <w:lang w:val="en_US" w:bidi="en_US"/>
        </w:rPr>
      </w:r>
      <w:r>
        <w:rPr>
          <w:lang w:val="en_US" w:bidi="en_US"/>
        </w:rPr>
        <w:t>I’m suffering terribly (CEV)</w:t>
      </w:r>
    </w:p>
    <w:p>
      <w:pPr/>
      <w:r>
        <w:rPr>
          <w:lang w:val="en_US" w:bidi="en_US"/>
        </w:rPr>
      </w:r>
      <w:r>
        <w:rPr>
          <w:lang w:val="en_US" w:bidi="en_US"/>
        </w:rPr>
        <w:t>I am in great pain (GNT)</w:t>
      </w:r>
    </w:p>
    <w:p>
      <w:pPr/>
      <w:r>
        <w:rPr>
          <w:lang w:val="en_US" w:bidi="en_US"/>
        </w:rPr>
      </w:r>
      <w:r>
        <w:rPr>
          <w:b/>
          <w:lang w:val="en_US" w:bidi="en_US"/>
        </w:rPr>
        <w:t>in this fire:</w:t>
      </w:r>
      <w:r>
        <w:rPr>
          <w:lang w:val="en_US" w:bidi="en_US"/>
        </w:rPr>
        <w:t xml:space="preserve"> The Greek word that the BSB translates as </w:t>
      </w:r>
      <w:r>
        <w:rPr>
          <w:i/>
          <w:lang w:val="en_US" w:bidi="en_US"/>
        </w:rPr>
        <w:t>fire</w:t>
      </w:r>
      <w:r>
        <w:rPr>
          <w:lang w:val="en_US" w:bidi="en_US"/>
        </w:rPr>
        <w:t xml:space="preserve"> literally means “flame.” Hell is pictured as a place where there is fire that causes pain to people.</w:t>
      </w:r>
      <w:r>
        <w:rPr>
          <w:lang w:val="en_US" w:bidi="en_US"/>
        </w:rPr>
      </w:r>
      <w:r>
        <w:rPr>
          <w:lang w:val="en_US" w:bidi="en_US"/>
        </w:rPr>
      </w:r>
    </w:p>
    <w:p>
      <w:pPr/>
      <w:r>
        <w:rPr>
          <w:lang w:val="en_US" w:bidi="en_US"/>
        </w:rPr>
      </w:r>
    </w:p>
    <w:p>
      <w:pPr>
        <w:pStyle w:val="Heading2"/>
      </w:pPr>
      <w:r>
        <w:rPr>
          <w:lang w:val="en_US" w:bidi="en_US"/>
        </w:rPr>
        <w:t>Luke 16:25</w:t>
      </w:r>
      <w:r>
        <w:rPr>
          <w:lang w:val="en_US" w:bidi="en_US"/>
        </w:rPr>
      </w:r>
    </w:p>
    <w:p>
      <w:pPr>
        <w:pStyle w:val="Heading4"/>
      </w:pPr>
      <w:r>
        <w:rPr>
          <w:lang w:val="en_US" w:bidi="en_US"/>
        </w:rPr>
        <w:t>Section 16:19–31: Jesus told a parable about a rich man and a poor man</w:t>
      </w:r>
    </w:p>
    <w:p>
      <w:pPr/>
      <w:r>
        <w:rPr>
          <w:lang w:val="en_US" w:bidi="en_US"/>
        </w:rPr>
      </w:r>
      <w:r>
        <w:rPr>
          <w:lang w:val="en_US" w:bidi="en_US"/>
        </w:rP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pPr/>
      <w:r>
        <w:rPr>
          <w:lang w:val="en_US" w:bidi="en_US"/>
        </w:rPr>
      </w:r>
      <w:r>
        <w:rPr>
          <w:lang w:val="en_US" w:bidi="en_US"/>
        </w:rPr>
        <w:t>Another heading for this section is:</w:t>
      </w:r>
    </w:p>
    <w:p>
      <w:pPr/>
      <w:r>
        <w:rPr>
          <w:lang w:val="en_US" w:bidi="en_US"/>
        </w:rPr>
      </w:r>
      <w:r>
        <w:rPr>
          <w:lang w:val="en_US" w:bidi="en_US"/>
        </w:rPr>
        <w:t>The Rich Man and Lazarus (NCV)</w:t>
      </w:r>
    </w:p>
    <w:p>
      <w:pPr>
        <w:pStyle w:val="Heading4"/>
      </w:pPr>
      <w:r>
        <w:rPr>
          <w:lang w:val="en_US" w:bidi="en_US"/>
        </w:rPr>
        <w:t>Paragraph 16:24–26</w:t>
      </w:r>
    </w:p>
    <w:p>
      <w:pPr/>
      <w:r>
        <w:rPr>
          <w:lang w:val="en_US" w:bidi="en_US"/>
        </w:rPr>
      </w:r>
      <w:r>
        <w:rPr>
          <w:lang w:val="en_US" w:bidi="en_US"/>
        </w:rPr>
        <w:t>In this paragraph, the rich man pleaded that Abraham would send Lazarus to relieve his suffering. Both Lazarus and the rich man are described as though they still had their bodies. Jesus used this figurative language to make it easier for his listeners to picture the situation.</w:t>
      </w:r>
    </w:p>
    <w:p>
      <w:pPr>
        <w:pStyle w:val="Heading5"/>
      </w:pPr>
      <w:r>
        <w:rPr>
          <w:lang w:val="en_US" w:bidi="en_US"/>
        </w:rPr>
        <w:t>16:25a</w:t>
      </w:r>
    </w:p>
    <w:p>
      <w:pPr/>
      <w:r>
        <w:rPr>
          <w:lang w:val="en_US" w:bidi="en_US"/>
        </w:rPr>
      </w:r>
      <w:r>
        <w:rPr>
          <w:b/>
          <w:lang w:val="en_US" w:bidi="en_US"/>
        </w:rPr>
        <w:t>But Abraham answered, ‘Child, remember</w:t>
      </w:r>
    </w:p>
    <w:p>
      <w:pPr>
        <w:pStyle w:val="ListBullet"/>
        <w:spacing w:line="240" w:lineRule="auto"/>
        <w:ind w:left="720"/>
      </w:pPr>
      <w:r>
        <w:rPr>
          <w:lang w:val="en_US" w:bidi="en_US"/>
        </w:rPr>
      </w:r>
      <w:r>
        <w:rPr>
          <w:lang w:val="en_US" w:bidi="en_US"/>
        </w:rPr>
        <w:t xml:space="preserve">But Abraham </w:t>
      </w:r>
      <w:r>
        <w:rPr>
          <w:lang w:val="en_US" w:bidi="en_US"/>
        </w:rPr>
        <w:t>answered him and</w:t>
      </w:r>
      <w:r>
        <w:rPr>
          <w:lang w:val="en_US" w:bidi="en_US"/>
        </w:rPr>
        <w:t xml:space="preserve"> said, ‘</w:t>
      </w:r>
      <w:r>
        <w:rPr>
          <w:lang w:val="en_US" w:bidi="en_US"/>
        </w:rPr>
        <w:t>My</w:t>
      </w:r>
      <w:r>
        <w:rPr>
          <w:lang w:val="en_US" w:bidi="en_US"/>
        </w:rPr>
        <w:t xml:space="preserve"> child, remember</w:t>
      </w:r>
    </w:p>
    <w:p>
      <w:pPr>
        <w:pStyle w:val="ListBullet"/>
        <w:spacing w:line="240" w:lineRule="auto"/>
        <w:ind w:left="720"/>
      </w:pPr>
      <w:r>
        <w:rPr>
          <w:lang w:val="en_US" w:bidi="en_US"/>
        </w:rPr>
      </w:r>
      <w:r>
        <w:rPr>
          <w:lang w:val="en_US" w:bidi="en_US"/>
        </w:rPr>
        <w:t xml:space="preserve">But Abraham said </w:t>
      </w:r>
      <w:r>
        <w:rPr>
          <w:lang w:val="en_US" w:bidi="en_US"/>
        </w:rPr>
        <w:t>to him</w:t>
      </w:r>
      <w:r>
        <w:rPr>
          <w:lang w:val="en_US" w:bidi="en_US"/>
        </w:rPr>
        <w:t>, ‘</w:t>
      </w:r>
      <w:r>
        <w:rPr>
          <w:lang w:val="en_US" w:bidi="en_US"/>
        </w:rPr>
        <w:t>My</w:t>
      </w:r>
      <w:r>
        <w:rPr>
          <w:lang w:val="en_US" w:bidi="en_US"/>
        </w:rPr>
        <w:t xml:space="preserve"> son/descendant, think about this: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Abraham’s polite refusal of the rich man’s request. Some versions do not translate this conjunction explicitly.</w:t>
      </w:r>
    </w:p>
    <w:p>
      <w:pPr/>
      <w:r>
        <w:rPr>
          <w:lang w:val="en_US" w:bidi="en_US"/>
        </w:rPr>
      </w:r>
      <w:r>
        <w:rPr>
          <w:b/>
          <w:lang w:val="en_US" w:bidi="en_US"/>
        </w:rPr>
        <w:t>Abraham answered:</w:t>
      </w:r>
      <w:r>
        <w:rPr>
          <w:lang w:val="en_US" w:bidi="en_US"/>
        </w:rPr>
        <w:t xml:space="preserve"> The verb that the BSB translates as </w:t>
      </w:r>
      <w:r>
        <w:rPr>
          <w:i/>
          <w:lang w:val="en_US" w:bidi="en_US"/>
        </w:rPr>
        <w:t>answered</w:t>
      </w:r>
      <w:r>
        <w:rPr>
          <w:lang w:val="en_US" w:bidi="en_US"/>
        </w:rPr>
        <w:t xml:space="preserve"> is literally “said.” The RSV and several other English versions translate it that way. Use a verb that is natural in your language for answering a request in this way.</w:t>
      </w:r>
    </w:p>
    <w:p>
      <w:pPr/>
      <w:r>
        <w:rPr>
          <w:lang w:val="en_US" w:bidi="en_US"/>
        </w:rPr>
      </w:r>
      <w:r>
        <w:rPr>
          <w:b/>
          <w:lang w:val="en_US" w:bidi="en_US"/>
        </w:rPr>
        <w:t>Child:</w:t>
      </w:r>
      <w:r>
        <w:rPr>
          <w:lang w:val="en_US" w:bidi="en_US"/>
        </w:rPr>
        <w:t xml:space="preserve"> In this context, the Greek word that the BSB translates literally as </w:t>
      </w:r>
      <w:r>
        <w:rPr>
          <w:i/>
          <w:lang w:val="en_US" w:bidi="en_US"/>
        </w:rPr>
        <w:t>Child</w:t>
      </w:r>
      <w:r>
        <w:rPr>
          <w:lang w:val="en_US" w:bidi="en_US"/>
        </w:rPr>
        <w:t xml:space="preserve"> means “descendant.” Use a term of address that an old man might use for an adult great-grandchild or great-great-grandchild.</w:t>
      </w:r>
    </w:p>
    <w:p>
      <w:pPr/>
      <w:r>
        <w:rPr>
          <w:lang w:val="en_US" w:bidi="en_US"/>
        </w:rPr>
      </w:r>
      <w:r>
        <w:rPr>
          <w:b/>
          <w:lang w:val="en_US" w:bidi="en_US"/>
        </w:rPr>
        <w:t>remember:</w:t>
      </w:r>
      <w:r>
        <w:rPr>
          <w:lang w:val="en_US" w:bidi="en_US"/>
        </w:rPr>
        <w:t xml:space="preserve"> In this context </w:t>
      </w:r>
      <w:r>
        <w:rPr>
          <w:i/>
          <w:lang w:val="en_US" w:bidi="en_US"/>
        </w:rPr>
        <w:t>remember</w:t>
      </w:r>
      <w:r>
        <w:rPr>
          <w:lang w:val="en_US" w:bidi="en_US"/>
        </w:rPr>
        <w:t xml:space="preserve"> means to think about or consider something that one already knows. In some languages it may be more natural to put a colon or period at the end of this statement and start a new clause in 16:25b. For example:</w:t>
      </w:r>
    </w:p>
    <w:p>
      <w:pPr/>
      <w:r>
        <w:rPr>
          <w:lang w:val="en_US" w:bidi="en_US"/>
        </w:rPr>
      </w:r>
      <w:r>
        <w:rPr>
          <w:lang w:val="en_US" w:bidi="en_US"/>
        </w:rPr>
        <w:t>remember this: in your lifetime…</w:t>
      </w:r>
    </w:p>
    <w:p>
      <w:pPr>
        <w:pStyle w:val="Heading5"/>
      </w:pPr>
      <w:r>
        <w:rPr>
          <w:lang w:val="en_US" w:bidi="en_US"/>
        </w:rPr>
        <w:t>16:25b</w:t>
      </w:r>
    </w:p>
    <w:p>
      <w:pPr/>
      <w:r>
        <w:rPr>
          <w:lang w:val="en_US" w:bidi="en_US"/>
        </w:rPr>
      </w:r>
      <w:r>
        <w:rPr>
          <w:b/>
          <w:lang w:val="en_US" w:bidi="en_US"/>
        </w:rPr>
        <w:t>that during your lifetime you received your good things,</w:t>
      </w:r>
    </w:p>
    <w:p>
      <w:pPr>
        <w:pStyle w:val="ListBullet"/>
        <w:spacing w:line="240" w:lineRule="auto"/>
        <w:ind w:left="720"/>
      </w:pPr>
      <w:r>
        <w:rPr>
          <w:lang w:val="en_US" w:bidi="en_US"/>
        </w:rPr>
      </w:r>
      <w:r>
        <w:rPr>
          <w:lang w:val="en_US" w:bidi="en_US"/>
        </w:rPr>
        <w:t>that while you</w:t>
      </w:r>
      <w:r>
        <w:rPr>
          <w:vertAlign w:val="superscript"/>
          <w:lang w:val="en_US" w:bidi="en_US"/>
        </w:rPr>
        <w:t>(sing)</w:t>
      </w:r>
      <w:r>
        <w:rPr>
          <w:lang w:val="en_US" w:bidi="en_US"/>
        </w:rPr>
        <w:t xml:space="preserve"> were alive, you received everything that you desired,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had all the good things you wanted in your life </w:t>
      </w:r>
      <w:r>
        <w:rPr>
          <w:lang w:val="en_US" w:bidi="en_US"/>
        </w:rPr>
        <w:t>on earth</w:t>
      </w:r>
      <w:r>
        <w:rPr>
          <w:lang w:val="en_US" w:bidi="en_US"/>
        </w:rPr>
        <w:t>,</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lived on the earth, you always enjoyed/experienced a good/easy life,</w:t>
      </w:r>
    </w:p>
    <w:p>
      <w:pPr/>
      <w:r>
        <w:rPr>
          <w:lang w:val="en_US" w:bidi="en_US"/>
        </w:rPr>
      </w:r>
      <w:r>
        <w:rPr>
          <w:b/>
          <w:lang w:val="en_US" w:bidi="en_US"/>
        </w:rPr>
        <w:t>during your lifetime:</w:t>
      </w:r>
      <w:r>
        <w:rPr>
          <w:lang w:val="en_US" w:bidi="en_US"/>
        </w:rPr>
        <w:t xml:space="preserve"> The Greek phrase that the BSB translates as </w:t>
      </w:r>
      <w:r>
        <w:rPr>
          <w:i/>
          <w:lang w:val="en_US" w:bidi="en_US"/>
        </w:rPr>
        <w:t>during your lifetime</w:t>
      </w:r>
      <w:r>
        <w:rPr>
          <w:lang w:val="en_US" w:bidi="en_US"/>
        </w:rPr>
        <w:t xml:space="preserve"> means “while you were alive.” In some languages it may be necessary to make explicit that this phrase refers to the rich man’s life on the earth before he died. For example:</w:t>
      </w:r>
    </w:p>
    <w:p>
      <w:pPr/>
      <w:r>
        <w:rPr>
          <w:lang w:val="en_US" w:bidi="en_US"/>
        </w:rPr>
      </w:r>
      <w:r>
        <w:rPr>
          <w:lang w:val="en_US" w:bidi="en_US"/>
        </w:rPr>
        <w:t xml:space="preserve">when you lived </w:t>
      </w:r>
      <w:r>
        <w:rPr>
          <w:lang w:val="en_US" w:bidi="en_US"/>
        </w:rPr>
        <w:t>on the earth</w:t>
      </w:r>
    </w:p>
    <w:p>
      <w:pPr/>
      <w:r>
        <w:rPr>
          <w:lang w:val="en_US" w:bidi="en_US"/>
        </w:rPr>
      </w:r>
      <w:r>
        <w:rPr>
          <w:b/>
          <w:lang w:val="en_US" w:bidi="en_US"/>
        </w:rPr>
        <w:t>you received your good things:</w:t>
      </w:r>
      <w:r>
        <w:rPr>
          <w:lang w:val="en_US" w:bidi="en_US"/>
        </w:rPr>
        <w:t xml:space="preserve"> In this context, the clause </w:t>
      </w:r>
      <w:r>
        <w:rPr>
          <w:i/>
          <w:lang w:val="en_US" w:bidi="en_US"/>
        </w:rPr>
        <w:t>you received your good things</w:t>
      </w:r>
      <w:r>
        <w:rPr>
          <w:lang w:val="en_US" w:bidi="en_US"/>
        </w:rPr>
        <w:t xml:space="preserve"> probably means “you received all the good things that you desired.” The rich man had lived a very comfortable life, with plenty to eat and fine clothes to wear. Some other ways to translate this clause are:</w:t>
      </w:r>
    </w:p>
    <w:p>
      <w:pPr/>
      <w:r>
        <w:rPr>
          <w:lang w:val="en_US" w:bidi="en_US"/>
        </w:rPr>
      </w:r>
      <w:r>
        <w:rPr>
          <w:lang w:val="en_US" w:bidi="en_US"/>
        </w:rPr>
        <w:t>you had everything you wanted (NLT)</w:t>
      </w:r>
    </w:p>
    <w:p>
      <w:pPr/>
      <w:r>
        <w:rPr>
          <w:lang w:val="en_US" w:bidi="en_US"/>
        </w:rPr>
      </w:r>
      <w:r>
        <w:rPr>
          <w:lang w:val="en_US" w:bidi="en_US"/>
        </w:rPr>
        <w:t>you had your fill of good things (NJB)</w:t>
      </w:r>
    </w:p>
    <w:p>
      <w:pPr>
        <w:pStyle w:val="Heading5"/>
      </w:pPr>
      <w:r>
        <w:rPr>
          <w:lang w:val="en_US" w:bidi="en_US"/>
        </w:rPr>
        <w:t>16:25c</w:t>
      </w:r>
    </w:p>
    <w:p>
      <w:pPr/>
      <w:r>
        <w:rPr>
          <w:lang w:val="en_US" w:bidi="en_US"/>
        </w:rPr>
      </w:r>
      <w:r>
        <w:rPr>
          <w:b/>
          <w:lang w:val="en_US" w:bidi="en_US"/>
        </w:rPr>
        <w:t>while Lazarus received bad things.</w:t>
      </w:r>
    </w:p>
    <w:p>
      <w:pPr>
        <w:pStyle w:val="ListBullet"/>
        <w:spacing w:line="240" w:lineRule="auto"/>
        <w:ind w:left="720"/>
      </w:pPr>
      <w:r>
        <w:rPr>
          <w:lang w:val="en_US" w:bidi="en_US"/>
        </w:rPr>
      </w:r>
      <w:r>
        <w:rPr>
          <w:lang w:val="en_US" w:bidi="en_US"/>
        </w:rPr>
        <w:t xml:space="preserve">and Lazarus experienced/had all kinds of bad things. </w:t>
      </w:r>
      <w:r>
        <w:rPr>
          <w:lang w:val="en_US" w:bidi="en_US"/>
        </w:rPr>
        <w:t>He suffered terribly.</w:t>
      </w:r>
    </w:p>
    <w:p>
      <w:pPr>
        <w:pStyle w:val="ListBullet"/>
        <w:spacing w:line="240" w:lineRule="auto"/>
        <w:ind w:left="720"/>
      </w:pPr>
      <w:r>
        <w:rPr>
          <w:lang w:val="en_US" w:bidi="en_US"/>
        </w:rPr>
      </w:r>
      <w:r>
        <w:rPr>
          <w:lang w:val="en_US" w:bidi="en_US"/>
        </w:rPr>
        <w:t>and/but as for Lazarus, he always suffered/experienced a hard life.</w:t>
      </w:r>
    </w:p>
    <w:p>
      <w:pPr/>
      <w:r>
        <w:rPr>
          <w:lang w:val="en_US" w:bidi="en_US"/>
        </w:rPr>
      </w:r>
      <w:r>
        <w:rPr>
          <w:b/>
          <w:lang w:val="en_US" w:bidi="en_US"/>
        </w:rPr>
        <w:t>while Lazarus:</w:t>
      </w:r>
      <w:r>
        <w:rPr>
          <w:lang w:val="en_US" w:bidi="en_US"/>
        </w:rPr>
        <w:t xml:space="preserve"> The Greek phrase that the BSB translates as </w:t>
      </w:r>
      <w:r>
        <w:rPr>
          <w:i/>
          <w:lang w:val="en_US" w:bidi="en_US"/>
        </w:rPr>
        <w:t>while Lazarus</w:t>
      </w:r>
      <w:r>
        <w:rPr>
          <w:lang w:val="en_US" w:bidi="en_US"/>
        </w:rPr>
        <w:t xml:space="preserve"> introduces a contrast with the rich man’s life. The life of Lazarus had been very different. The RSV and several other English versions introduce the contrast with “and Lazarus.” In some languages it may be natural to indicate this contrast more explicitly. For example:</w:t>
      </w:r>
    </w:p>
    <w:p>
      <w:pPr/>
      <w:r>
        <w:rPr>
          <w:lang w:val="en_US" w:bidi="en_US"/>
        </w:rPr>
      </w:r>
      <w:r>
        <w:rPr>
          <w:lang w:val="en_US" w:bidi="en_US"/>
        </w:rPr>
        <w:t>and/but as for Lazarus, he…</w:t>
      </w:r>
    </w:p>
    <w:p>
      <w:pPr/>
      <w:r>
        <w:rPr>
          <w:lang w:val="en_US" w:bidi="en_US"/>
        </w:rPr>
      </w:r>
      <w:r>
        <w:rPr>
          <w:b/>
          <w:lang w:val="en_US" w:bidi="en_US"/>
        </w:rPr>
        <w:t>received bad things:</w:t>
      </w:r>
      <w:r>
        <w:rPr>
          <w:lang w:val="en_US" w:bidi="en_US"/>
        </w:rPr>
        <w:t xml:space="preserve"> The Greek phrase that the BSB translates as </w:t>
      </w:r>
      <w:r>
        <w:rPr>
          <w:i/>
          <w:lang w:val="en_US" w:bidi="en_US"/>
        </w:rPr>
        <w:t>received bad things</w:t>
      </w:r>
      <w:r>
        <w:rPr>
          <w:lang w:val="en_US" w:bidi="en_US"/>
        </w:rPr>
        <w:t xml:space="preserve"> is literally “likewise bad things.” The BSB has supplied the verb </w:t>
      </w:r>
      <w:r>
        <w:rPr>
          <w:i/>
          <w:lang w:val="en_US" w:bidi="en_US"/>
        </w:rPr>
        <w:t>received</w:t>
      </w:r>
      <w:r>
        <w:rPr>
          <w:lang w:val="en_US" w:bidi="en_US"/>
        </w:rPr>
        <w:t xml:space="preserve"> from the preceding context. The whole clause means “As for Lazarus, he experienced all kinds of bad things in his lifetime.” He had a very hard life and suffered in many ways. Other ways to translate this clause are:</w:t>
      </w:r>
    </w:p>
    <w:p>
      <w:pPr/>
      <w:r>
        <w:rPr>
          <w:lang w:val="en_US" w:bidi="en_US"/>
        </w:rPr>
      </w:r>
      <w:r>
        <w:rPr>
          <w:lang w:val="en_US" w:bidi="en_US"/>
        </w:rPr>
        <w:t>Lazarus’ life was filled with misery (GW)</w:t>
      </w:r>
    </w:p>
    <w:p>
      <w:pPr/>
      <w:r>
        <w:rPr>
          <w:lang w:val="en_US" w:bidi="en_US"/>
        </w:rPr>
      </w:r>
      <w:r>
        <w:rPr>
          <w:lang w:val="en_US" w:bidi="en_US"/>
        </w:rPr>
        <w:t>bad things happened to Lazarus (NCV)</w:t>
      </w:r>
    </w:p>
    <w:p>
      <w:pPr>
        <w:pStyle w:val="Heading5"/>
      </w:pPr>
      <w:r>
        <w:rPr>
          <w:lang w:val="en_US" w:bidi="en_US"/>
        </w:rPr>
        <w:t>16:25d</w:t>
      </w:r>
    </w:p>
    <w:p>
      <w:pPr/>
      <w:r>
        <w:rPr>
          <w:lang w:val="en_US" w:bidi="en_US"/>
        </w:rPr>
      </w:r>
      <w:r>
        <w:rPr>
          <w:b/>
          <w:lang w:val="en_US" w:bidi="en_US"/>
        </w:rPr>
        <w:t>But now he is comforted here, while you are in agony.</w:t>
      </w:r>
    </w:p>
    <w:p>
      <w:pPr>
        <w:pStyle w:val="ListBullet"/>
        <w:spacing w:line="240" w:lineRule="auto"/>
        <w:ind w:left="720"/>
      </w:pPr>
      <w:r>
        <w:rPr>
          <w:lang w:val="en_US" w:bidi="en_US"/>
        </w:rPr>
      </w:r>
      <w:r>
        <w:rPr>
          <w:lang w:val="en_US" w:bidi="en_US"/>
        </w:rPr>
        <w:t xml:space="preserve">But now he is here </w:t>
      </w:r>
      <w:r>
        <w:rPr>
          <w:lang w:val="en_US" w:bidi="en_US"/>
        </w:rPr>
        <w:t>with me</w:t>
      </w:r>
      <w:r>
        <w:rPr>
          <w:lang w:val="en_US" w:bidi="en_US"/>
        </w:rPr>
        <w:t xml:space="preserve"> and is </w:t>
      </w:r>
      <w:r>
        <w:rPr>
          <w:lang w:val="en_US" w:bidi="en_US"/>
        </w:rPr>
        <w:t>happy and</w:t>
      </w:r>
      <w:r>
        <w:rPr>
          <w:lang w:val="en_US" w:bidi="en_US"/>
        </w:rPr>
        <w:t xml:space="preserve"> comfortable. And you</w:t>
      </w:r>
      <w:r>
        <w:rPr>
          <w:vertAlign w:val="superscript"/>
          <w:lang w:val="en_US" w:bidi="en_US"/>
        </w:rPr>
        <w:t>(sing)</w:t>
      </w:r>
      <w:r>
        <w:rPr>
          <w:lang w:val="en_US" w:bidi="en_US"/>
        </w:rPr>
        <w:t xml:space="preserve"> are experiencing much/severe pain.</w:t>
      </w:r>
    </w:p>
    <w:p>
      <w:pPr>
        <w:pStyle w:val="ListBullet"/>
        <w:spacing w:line="240" w:lineRule="auto"/>
        <w:ind w:left="720"/>
      </w:pPr>
      <w:r>
        <w:rPr>
          <w:lang w:val="en_US" w:bidi="en_US"/>
        </w:rPr>
      </w:r>
      <w:r>
        <w:rPr>
          <w:lang w:val="en_US" w:bidi="en_US"/>
        </w:rPr>
        <w:t xml:space="preserve">But now he is receiving comfort/encouragement here and/but </w:t>
      </w:r>
      <w:r>
        <w:rPr>
          <w:lang w:val="en_US" w:bidi="en_US"/>
        </w:rPr>
        <w:t>as for you there,</w:t>
      </w:r>
      <w:r>
        <w:rPr>
          <w:lang w:val="en_US" w:bidi="en_US"/>
        </w:rPr>
        <w:t xml:space="preserve"> you</w:t>
      </w:r>
      <w:r>
        <w:rPr>
          <w:vertAlign w:val="superscript"/>
          <w:lang w:val="en_US" w:bidi="en_US"/>
        </w:rPr>
        <w:t>(sing)</w:t>
      </w:r>
      <w:r>
        <w:rPr>
          <w:lang w:val="en_US" w:bidi="en_US"/>
        </w:rPr>
        <w:t xml:space="preserve"> are suffering terribly.</w:t>
      </w:r>
    </w:p>
    <w:p>
      <w:pPr/>
      <w:r>
        <w:rPr>
          <w:lang w:val="en_US" w:bidi="en_US"/>
        </w:rPr>
      </w:r>
      <w:r>
        <w:rPr>
          <w:b/>
          <w:lang w:val="en_US" w:bidi="en_US"/>
        </w:rPr>
        <w:t>But now he is comforted here, while you are in agony:</w:t>
      </w:r>
      <w:r>
        <w:rPr>
          <w:lang w:val="en_US" w:bidi="en_US"/>
        </w:rPr>
        <w:t xml:space="preserve"> This part of the verse expresses a complete contrast between the present situation of the two men and their situation before they died (16:25b–c).</w:t>
      </w:r>
    </w:p>
    <w:p>
      <w:pPr/>
      <w:r>
        <w:rPr>
          <w:lang w:val="en_US" w:bidi="en_US"/>
        </w:rPr>
      </w:r>
      <w:r>
        <w:rPr>
          <w:b/>
          <w:lang w:val="en_US" w:bidi="en_US"/>
        </w:rPr>
        <w:t>he is comforted:</w:t>
      </w:r>
      <w:r>
        <w:rPr>
          <w:lang w:val="en_US" w:bidi="en_US"/>
        </w:rPr>
        <w:t xml:space="preserve"> The Greek verb that the BSB translates as </w:t>
      </w:r>
      <w:r>
        <w:rPr>
          <w:i/>
          <w:lang w:val="en_US" w:bidi="en_US"/>
        </w:rPr>
        <w:t>he is comforted</w:t>
      </w:r>
      <w:r>
        <w:rPr>
          <w:lang w:val="en_US" w:bidi="en_US"/>
        </w:rPr>
        <w:t xml:space="preserve"> refers to the mental comfort and encouragement that Lazarus was receiving from being in his present enjoyable situation with Abraham. Some other ways to translate this clause are:</w:t>
      </w:r>
    </w:p>
    <w:p>
      <w:pPr/>
      <w:r>
        <w:rPr>
          <w:lang w:val="en_US" w:bidi="en_US"/>
        </w:rPr>
      </w:r>
      <w:r>
        <w:rPr>
          <w:lang w:val="en_US" w:bidi="en_US"/>
        </w:rPr>
        <w:t>he is happy (CEV)</w:t>
      </w:r>
    </w:p>
    <w:p>
      <w:pPr/>
      <w:r>
        <w:rPr>
          <w:lang w:val="en_US" w:bidi="en_US"/>
        </w:rPr>
      </w:r>
      <w:r>
        <w:rPr>
          <w:lang w:val="en_US" w:bidi="en_US"/>
        </w:rPr>
        <w:t>he is enjoying himself (GNT)</w:t>
      </w:r>
    </w:p>
    <w:p>
      <w:pPr/>
      <w:r>
        <w:rPr>
          <w:lang w:val="en_US" w:bidi="en_US"/>
        </w:rPr>
      </w:r>
      <w:r>
        <w:rPr>
          <w:lang w:val="en_US" w:bidi="en_US"/>
        </w:rPr>
        <w:t>he receives comfort/encouragement</w:t>
      </w:r>
    </w:p>
    <w:p>
      <w:pPr/>
      <w:r>
        <w:rPr>
          <w:lang w:val="en_US" w:bidi="en_US"/>
        </w:rPr>
      </w:r>
      <w:r>
        <w:rPr>
          <w:b/>
          <w:lang w:val="en_US" w:bidi="en_US"/>
        </w:rPr>
        <w:t>here:</w:t>
      </w:r>
      <w:r>
        <w:rPr>
          <w:lang w:val="en_US" w:bidi="en_US"/>
        </w:rPr>
        <w:t xml:space="preserve"> The word </w:t>
      </w:r>
      <w:r>
        <w:rPr>
          <w:i/>
          <w:lang w:val="en_US" w:bidi="en_US"/>
        </w:rPr>
        <w:t>here</w:t>
      </w:r>
      <w:r>
        <w:rPr>
          <w:lang w:val="en_US" w:bidi="en_US"/>
        </w:rPr>
        <w:t xml:space="preserve"> refers to the place where the poor man now was. Since Abraham is the one speaking, in some languages it may be possible to translate </w:t>
      </w:r>
      <w:r>
        <w:rPr>
          <w:i/>
          <w:lang w:val="en_US" w:bidi="en_US"/>
        </w:rPr>
        <w:t>here</w:t>
      </w:r>
      <w:r>
        <w:rPr>
          <w:lang w:val="en_US" w:bidi="en_US"/>
        </w:rPr>
        <w:t xml:space="preserve"> as “with me.”</w:t>
      </w:r>
    </w:p>
    <w:p>
      <w:pPr/>
      <w:r>
        <w:rPr>
          <w:lang w:val="en_US" w:bidi="en_US"/>
        </w:rPr>
      </w:r>
      <w:r>
        <w:rPr>
          <w:b/>
          <w:lang w:val="en_US" w:bidi="en_US"/>
        </w:rPr>
        <w:t>you are in agony:</w:t>
      </w:r>
      <w:r>
        <w:rPr>
          <w:lang w:val="en_US" w:bidi="en_US"/>
        </w:rPr>
        <w:t xml:space="preserve"> See the note on 16:24c. In some languages it may be natural to supply a word such as “there” to correspond with the contrasting word “here” in the preceding clause.</w:t>
      </w:r>
      <w:r>
        <w:rPr>
          <w:lang w:val="en_US" w:bidi="en_US"/>
        </w:rPr>
      </w:r>
      <w:r>
        <w:rPr>
          <w:lang w:val="en_US" w:bidi="en_US"/>
        </w:rPr>
      </w:r>
    </w:p>
    <w:p>
      <w:pPr/>
      <w:r>
        <w:rPr>
          <w:lang w:val="en_US" w:bidi="en_US"/>
        </w:rPr>
      </w:r>
    </w:p>
    <w:p>
      <w:pPr>
        <w:pStyle w:val="Heading2"/>
      </w:pPr>
      <w:r>
        <w:rPr>
          <w:lang w:val="en_US" w:bidi="en_US"/>
        </w:rPr>
        <w:t>Luke 16:26</w:t>
      </w:r>
      <w:r>
        <w:rPr>
          <w:lang w:val="en_US" w:bidi="en_US"/>
        </w:rPr>
      </w:r>
    </w:p>
    <w:p>
      <w:pPr>
        <w:pStyle w:val="Heading4"/>
      </w:pPr>
      <w:r>
        <w:rPr>
          <w:lang w:val="en_US" w:bidi="en_US"/>
        </w:rPr>
        <w:t>Section 16:19–31: Jesus told a parable about a rich man and a poor man</w:t>
      </w:r>
    </w:p>
    <w:p>
      <w:pPr/>
      <w:r>
        <w:rPr>
          <w:lang w:val="en_US" w:bidi="en_US"/>
        </w:rPr>
      </w:r>
      <w:r>
        <w:rPr>
          <w:lang w:val="en_US" w:bidi="en_US"/>
        </w:rP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pPr/>
      <w:r>
        <w:rPr>
          <w:lang w:val="en_US" w:bidi="en_US"/>
        </w:rPr>
      </w:r>
      <w:r>
        <w:rPr>
          <w:lang w:val="en_US" w:bidi="en_US"/>
        </w:rPr>
        <w:t>Another heading for this section is:</w:t>
      </w:r>
    </w:p>
    <w:p>
      <w:pPr/>
      <w:r>
        <w:rPr>
          <w:lang w:val="en_US" w:bidi="en_US"/>
        </w:rPr>
      </w:r>
      <w:r>
        <w:rPr>
          <w:lang w:val="en_US" w:bidi="en_US"/>
        </w:rPr>
        <w:t>The Rich Man and Lazarus (NCV)</w:t>
      </w:r>
    </w:p>
    <w:p>
      <w:pPr>
        <w:pStyle w:val="Heading4"/>
      </w:pPr>
      <w:r>
        <w:rPr>
          <w:lang w:val="en_US" w:bidi="en_US"/>
        </w:rPr>
        <w:t>Paragraph 16:24–26</w:t>
      </w:r>
    </w:p>
    <w:p>
      <w:pPr/>
      <w:r>
        <w:rPr>
          <w:lang w:val="en_US" w:bidi="en_US"/>
        </w:rPr>
      </w:r>
      <w:r>
        <w:rPr>
          <w:lang w:val="en_US" w:bidi="en_US"/>
        </w:rPr>
        <w:t>In this paragraph, the rich man pleaded that Abraham would send Lazarus to relieve his suffering. Both Lazarus and the rich man are described as though they still had their bodies. Jesus used this figurative language to make it easier for his listeners to picture the situation.</w:t>
      </w:r>
    </w:p>
    <w:p>
      <w:pPr>
        <w:pStyle w:val="Heading5"/>
      </w:pPr>
      <w:r>
        <w:rPr>
          <w:lang w:val="en_US" w:bidi="en_US"/>
        </w:rPr>
        <w:t>16:26a</w:t>
      </w:r>
    </w:p>
    <w:p>
      <w:pPr/>
      <w:r>
        <w:rPr>
          <w:lang w:val="en_US" w:bidi="en_US"/>
        </w:rPr>
      </w:r>
      <w:r>
        <w:rPr>
          <w:b/>
          <w:lang w:val="en_US" w:bidi="en_US"/>
        </w:rPr>
        <w:t>And besides all this, a great chasm has been fixed between us and you,</w:t>
      </w:r>
    </w:p>
    <w:p>
      <w:pPr>
        <w:pStyle w:val="ListBullet"/>
        <w:spacing w:line="240" w:lineRule="auto"/>
        <w:ind w:left="720"/>
      </w:pPr>
      <w:r>
        <w:rPr>
          <w:lang w:val="en_US" w:bidi="en_US"/>
        </w:rPr>
      </w:r>
      <w:r>
        <w:rPr>
          <w:lang w:val="en_US" w:bidi="en_US"/>
        </w:rPr>
        <w:t>And not only that, there is a deep ravine/ditch that will always separate us</w:t>
      </w:r>
      <w:r>
        <w:rPr>
          <w:vertAlign w:val="superscript"/>
          <w:lang w:val="en_US" w:bidi="en_US"/>
        </w:rPr>
        <w:t>(incl)</w:t>
      </w:r>
    </w:p>
    <w:p>
      <w:pPr>
        <w:pStyle w:val="ListBullet"/>
        <w:spacing w:line="240" w:lineRule="auto"/>
        <w:ind w:left="720"/>
      </w:pPr>
      <w:r>
        <w:rPr>
          <w:lang w:val="en_US" w:bidi="en_US"/>
        </w:rPr>
      </w:r>
      <w:r>
        <w:rPr>
          <w:lang w:val="en_US" w:bidi="en_US"/>
        </w:rPr>
        <w:t xml:space="preserve">In addition, </w:t>
      </w:r>
      <w:r>
        <w:rPr>
          <w:lang w:val="en_US" w:bidi="en_US"/>
        </w:rPr>
        <w:t>we</w:t>
      </w:r>
      <w:r>
        <w:rPr>
          <w:vertAlign w:val="superscript"/>
          <w:lang w:val="en_US" w:bidi="en_US"/>
        </w:rPr>
        <w:t>(excl)</w:t>
      </w:r>
      <w:r>
        <w:rPr>
          <w:lang w:val="en_US" w:bidi="en_US"/>
        </w:rPr>
        <w:t xml:space="preserve"> </w:t>
      </w:r>
      <w:r>
        <w:rPr>
          <w:lang w:val="en_US" w:bidi="en_US"/>
        </w:rPr>
        <w:t>are</w:t>
      </w:r>
      <w:r>
        <w:rPr>
          <w:lang w:val="en_US" w:bidi="en_US"/>
        </w:rPr>
        <w:t xml:space="preserve"> </w:t>
      </w:r>
      <w:r>
        <w:rPr>
          <w:lang w:val="en_US" w:bidi="en_US"/>
        </w:rPr>
        <w:t>permanently</w:t>
      </w:r>
      <w:r>
        <w:rPr>
          <w:lang w:val="en_US" w:bidi="en_US"/>
        </w:rPr>
        <w:t xml:space="preserve"> </w:t>
      </w:r>
      <w:r>
        <w:rPr>
          <w:lang w:val="en_US" w:bidi="en_US"/>
        </w:rPr>
        <w:t>separated from you</w:t>
      </w:r>
      <w:r>
        <w:rPr>
          <w:vertAlign w:val="superscript"/>
          <w:lang w:val="en_US" w:bidi="en_US"/>
        </w:rPr>
        <w:t>(sing)</w:t>
      </w:r>
      <w:r>
        <w:rPr>
          <w:lang w:val="en_US" w:bidi="en_US"/>
        </w:rPr>
        <w:t xml:space="preserve"> </w:t>
      </w:r>
      <w:r>
        <w:rPr>
          <w:lang w:val="en_US" w:bidi="en_US"/>
        </w:rPr>
        <w:t>by</w:t>
      </w:r>
      <w:r>
        <w:rPr>
          <w:lang w:val="en_US" w:bidi="en_US"/>
        </w:rPr>
        <w:t xml:space="preserve"> a huge pit that has been placed between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 xml:space="preserve">And there is another reason </w:t>
      </w:r>
      <w:r>
        <w:rPr>
          <w:lang w:val="en_US" w:bidi="en_US"/>
        </w:rPr>
        <w:t>why I cannot help you</w:t>
      </w:r>
      <w:r>
        <w:rPr>
          <w:lang w:val="en_US" w:bidi="en_US"/>
        </w:rPr>
        <w:t xml:space="preserve">. God has put a wide space/separation </w:t>
      </w:r>
      <w:r>
        <w:rPr>
          <w:lang w:val="en_US" w:bidi="en_US"/>
        </w:rPr>
        <w:t>permanently</w:t>
      </w:r>
      <w:r>
        <w:rPr>
          <w:lang w:val="en_US" w:bidi="en_US"/>
        </w:rPr>
        <w:t xml:space="preserve"> between us</w:t>
      </w:r>
      <w:r>
        <w:rPr>
          <w:vertAlign w:val="superscript"/>
          <w:lang w:val="en_US" w:bidi="en_US"/>
        </w:rPr>
        <w:t>(excl)</w:t>
      </w:r>
      <w:r>
        <w:rPr>
          <w:lang w:val="en_US" w:bidi="en_US"/>
        </w:rPr>
        <w:t xml:space="preserve"> and you</w:t>
      </w:r>
      <w:r>
        <w:rPr>
          <w:vertAlign w:val="superscript"/>
          <w:lang w:val="en_US" w:bidi="en_US"/>
        </w:rPr>
        <w:t>(sing)</w:t>
      </w:r>
      <w:r>
        <w:rPr>
          <w:lang w:val="en_US" w:bidi="en_US"/>
        </w:rPr>
        <w:t>.</w:t>
      </w:r>
    </w:p>
    <w:p>
      <w:pPr/>
      <w:r>
        <w:rPr>
          <w:lang w:val="en_US" w:bidi="en_US"/>
        </w:rPr>
      </w:r>
      <w:r>
        <w:rPr>
          <w:b/>
          <w:lang w:val="en_US" w:bidi="en_US"/>
        </w:rPr>
        <w:t>And besides all this:</w:t>
      </w:r>
      <w:r>
        <w:rPr>
          <w:lang w:val="en_US" w:bidi="en_US"/>
        </w:rPr>
        <w:t xml:space="preserve"> The phrase </w:t>
      </w:r>
      <w:r>
        <w:rPr>
          <w:i/>
          <w:lang w:val="en_US" w:bidi="en_US"/>
        </w:rPr>
        <w:t>And besides all this</w:t>
      </w:r>
      <w:r>
        <w:rPr>
          <w:lang w:val="en_US" w:bidi="en_US"/>
        </w:rPr>
        <w:t xml:space="preserve"> introduces a second reason why Abraham could not help the rich man. Some other ways to translate this phrase are:</w:t>
      </w:r>
    </w:p>
    <w:p>
      <w:pPr/>
      <w:r>
        <w:rPr>
          <w:lang w:val="en_US" w:bidi="en_US"/>
        </w:rPr>
      </w:r>
      <w:r>
        <w:rPr>
          <w:lang w:val="en_US" w:bidi="en_US"/>
        </w:rPr>
        <w:t>But that is not all (NJB)</w:t>
      </w:r>
    </w:p>
    <w:p>
      <w:pPr/>
      <w:r>
        <w:rPr>
          <w:lang w:val="en_US" w:bidi="en_US"/>
        </w:rPr>
      </w:r>
      <w:r>
        <w:rPr>
          <w:lang w:val="en_US" w:bidi="en_US"/>
        </w:rPr>
        <w:t>And here is another reason why I cannot grant your request.</w:t>
      </w:r>
    </w:p>
    <w:p>
      <w:pPr/>
      <w:r>
        <w:rPr>
          <w:lang w:val="en_US" w:bidi="en_US"/>
        </w:rPr>
      </w:r>
      <w:r>
        <w:rPr>
          <w:b/>
          <w:lang w:val="en_US" w:bidi="en_US"/>
        </w:rPr>
        <w:t>a great chasm has been fixed between us and you:</w:t>
      </w:r>
      <w:r>
        <w:rPr>
          <w:lang w:val="en_US" w:bidi="en_US"/>
        </w:rPr>
        <w:t xml:space="preserve"> This clause means that a great chasm had been established or put in place. The form of the verb indicates that this chasm permanently separated Abraham and Lazarus from the rich man. Some ways to translate this clause are:</w:t>
      </w:r>
    </w:p>
    <w:p>
      <w:pPr>
        <w:pStyle w:val="ListBullet"/>
        <w:spacing w:line="240" w:lineRule="auto"/>
        <w:ind w:left="720"/>
      </w:pPr>
      <w:r>
        <w:rPr>
          <w:lang w:val="en_US" w:bidi="en_US"/>
        </w:rPr>
      </w:r>
      <w:r>
        <w:rPr>
          <w:lang w:val="en_US" w:bidi="en_US"/>
        </w:rPr>
        <w:t>Use a passive verb. For example:</w:t>
      </w:r>
      <w:r>
        <w:rPr>
          <w:lang w:val="en_US" w:bidi="en_US"/>
        </w:rPr>
        <w:t>A deep ravine has been permanently placed/established between us</w:t>
      </w:r>
    </w:p>
    <w:p>
      <w:pPr>
        <w:pStyle w:val="ListBullet"/>
        <w:spacing w:line="240" w:lineRule="auto"/>
        <w:ind w:left="720"/>
      </w:pPr>
      <w:r>
        <w:rPr>
          <w:lang w:val="en_US" w:bidi="en_US"/>
        </w:rPr>
      </w:r>
      <w:r>
        <w:rPr>
          <w:lang w:val="en_US" w:bidi="en_US"/>
        </w:rPr>
        <w:t>Use an active verb. For example:</w:t>
      </w:r>
      <w:r>
        <w:rPr>
          <w:lang w:val="en_US" w:bidi="en_US"/>
        </w:rPr>
        <w:t>there is a great chasm separating us (NLT)</w:t>
      </w:r>
      <w:r>
        <w:rPr>
          <w:lang w:val="en_US" w:bidi="en_US"/>
        </w:rPr>
        <w:t>there is a deep ditch between us (CEV)</w:t>
      </w:r>
    </w:p>
    <w:p>
      <w:pPr>
        <w:pStyle w:val="ListBullet"/>
        <w:spacing w:line="240" w:lineRule="auto"/>
        <w:ind w:left="720"/>
      </w:pPr>
      <w:r>
        <w:rPr>
          <w:lang w:val="en_US" w:bidi="en_US"/>
        </w:rPr>
      </w:r>
      <w:r>
        <w:rPr>
          <w:lang w:val="en_US" w:bidi="en_US"/>
        </w:rPr>
        <w:t>Use an active verb and supply the implied subject “God.” For example:</w:t>
      </w:r>
      <w:r>
        <w:rPr>
          <w:lang w:val="en_US" w:bidi="en_US"/>
        </w:rPr>
        <w:t>God</w:t>
      </w:r>
      <w:r>
        <w:rPr>
          <w:lang w:val="en_US" w:bidi="en_US"/>
        </w:rPr>
        <w:t xml:space="preserve"> has caused to exist a wide space that always separates us</w:t>
      </w:r>
    </w:p>
    <w:p>
      <w:pPr/>
      <w:r>
        <w:rPr>
          <w:lang w:val="en_US" w:bidi="en_US"/>
        </w:rPr>
      </w:r>
      <w:r>
        <w:rPr>
          <w:b/>
          <w:lang w:val="en_US" w:bidi="en_US"/>
        </w:rPr>
        <w:t>great chasm:</w:t>
      </w:r>
      <w:r>
        <w:rPr>
          <w:lang w:val="en_US" w:bidi="en_US"/>
        </w:rPr>
        <w:t xml:space="preserve"> The Greek phrase that the BSB translates as </w:t>
      </w:r>
      <w:r>
        <w:rPr>
          <w:i/>
          <w:lang w:val="en_US" w:bidi="en_US"/>
        </w:rPr>
        <w:t>great chasm</w:t>
      </w:r>
      <w:r>
        <w:rPr>
          <w:lang w:val="en_US" w:bidi="en_US"/>
        </w:rPr>
        <w:t xml:space="preserve"> refers to a gorge or ravine, with steep sides that go far down. It is a space so wide and deep that no one can cross it.</w:t>
      </w:r>
    </w:p>
    <w:p>
      <w:pPr>
        <w:pStyle w:val="Heading5"/>
      </w:pPr>
      <w:r>
        <w:rPr>
          <w:lang w:val="en_US" w:bidi="en_US"/>
        </w:rPr>
        <w:t>16:26b</w:t>
      </w:r>
    </w:p>
    <w:p>
      <w:pPr/>
      <w:r>
        <w:rPr>
          <w:lang w:val="en_US" w:bidi="en_US"/>
        </w:rPr>
      </w:r>
      <w:r>
        <w:rPr>
          <w:b/>
          <w:lang w:val="en_US" w:bidi="en_US"/>
        </w:rPr>
        <w:t>so that even those who wish cannot cross from here to you,</w:t>
      </w:r>
    </w:p>
    <w:p>
      <w:pPr>
        <w:pStyle w:val="ListBullet"/>
        <w:spacing w:line="240" w:lineRule="auto"/>
        <w:ind w:left="720"/>
      </w:pPr>
      <w:r>
        <w:rPr>
          <w:lang w:val="en_US" w:bidi="en_US"/>
        </w:rPr>
      </w:r>
      <w:r>
        <w:rPr>
          <w:lang w:val="en_US" w:bidi="en_US"/>
        </w:rPr>
        <w:t>so that those who want to go/cross from here to there cannot go,</w:t>
      </w:r>
    </w:p>
    <w:p>
      <w:pPr>
        <w:pStyle w:val="ListBullet"/>
        <w:spacing w:line="240" w:lineRule="auto"/>
        <w:ind w:left="720"/>
      </w:pPr>
      <w:r>
        <w:rPr>
          <w:lang w:val="en_US" w:bidi="en_US"/>
        </w:rPr>
      </w:r>
      <w:r>
        <w:rPr>
          <w:lang w:val="en_US" w:bidi="en_US"/>
        </w:rPr>
        <w:t>This is</w:t>
      </w:r>
      <w:r>
        <w:rPr>
          <w:lang w:val="en_US" w:bidi="en_US"/>
        </w:rPr>
        <w:t xml:space="preserve"> to prevent anyone from leaving where we</w:t>
      </w:r>
      <w:r>
        <w:rPr>
          <w:vertAlign w:val="superscript"/>
          <w:lang w:val="en_US" w:bidi="en_US"/>
        </w:rPr>
        <w:t>(excl)</w:t>
      </w:r>
      <w:r>
        <w:rPr>
          <w:lang w:val="en_US" w:bidi="en_US"/>
        </w:rPr>
        <w:t xml:space="preserve"> are and going to where you</w:t>
      </w:r>
      <w:r>
        <w:rPr>
          <w:vertAlign w:val="superscript"/>
          <w:lang w:val="en_US" w:bidi="en_US"/>
        </w:rPr>
        <w:t>(sing)</w:t>
      </w:r>
      <w:r>
        <w:rPr>
          <w:lang w:val="en_US" w:bidi="en_US"/>
        </w:rPr>
        <w:t xml:space="preserve"> are.</w:t>
      </w:r>
    </w:p>
    <w:p>
      <w:pPr>
        <w:pStyle w:val="ListBullet"/>
        <w:spacing w:line="240" w:lineRule="auto"/>
        <w:ind w:left="720"/>
      </w:pPr>
      <w:r>
        <w:rPr>
          <w:lang w:val="en_US" w:bidi="en_US"/>
        </w:rPr>
      </w:r>
      <w:r>
        <w:rPr>
          <w:lang w:val="en_US" w:bidi="en_US"/>
        </w:rPr>
        <w:t>He did this</w:t>
      </w:r>
      <w:r>
        <w:rPr>
          <w:lang w:val="en_US" w:bidi="en_US"/>
        </w:rPr>
        <w:t xml:space="preserve"> in order that no one can leave here and go there</w:t>
      </w:r>
    </w:p>
    <w:p>
      <w:pPr/>
      <w:r>
        <w:rPr>
          <w:lang w:val="en_US" w:bidi="en_US"/>
        </w:rPr>
      </w:r>
      <w:r>
        <w:rPr>
          <w:b/>
          <w:lang w:val="en_US" w:bidi="en_US"/>
        </w:rPr>
        <w:t>so that:</w:t>
      </w:r>
      <w:r>
        <w:rPr>
          <w:lang w:val="en_US" w:bidi="en_US"/>
        </w:rPr>
        <w:t xml:space="preserve"> The Greek word that the BSB translates as </w:t>
      </w:r>
      <w:r>
        <w:rPr>
          <w:i/>
          <w:lang w:val="en_US" w:bidi="en_US"/>
        </w:rPr>
        <w:t>so that</w:t>
      </w:r>
      <w:r>
        <w:rPr>
          <w:lang w:val="en_US" w:bidi="en_US"/>
        </w:rPr>
        <w:t xml:space="preserve"> introduces God’s purpose in placing the chasm between one location and the other. However, in this context, it may also indicate an intended result.</w:t>
      </w:r>
    </w:p>
    <w:p>
      <w:pPr/>
      <w:r>
        <w:rPr>
          <w:lang w:val="en_US" w:bidi="en_US"/>
        </w:rPr>
      </w:r>
      <w:r>
        <w:rPr>
          <w:b/>
          <w:lang w:val="en_US" w:bidi="en_US"/>
        </w:rPr>
        <w:t>even those who wish cannot cross from here to you:</w:t>
      </w:r>
      <w:r>
        <w:rPr>
          <w:lang w:val="en_US" w:bidi="en_US"/>
        </w:rPr>
        <w:t xml:space="preserve"> This clause means that no one was able to cross that great space, even if he wanted to. Lazarus might have been willing to go quickly and help the rich man and then return. But God had made that impossible.</w:t>
      </w:r>
    </w:p>
    <w:p>
      <w:pPr>
        <w:pStyle w:val="Heading5"/>
      </w:pPr>
      <w:r>
        <w:rPr>
          <w:lang w:val="en_US" w:bidi="en_US"/>
        </w:rPr>
        <w:t>16:26c</w:t>
      </w:r>
    </w:p>
    <w:p>
      <w:pPr/>
      <w:r>
        <w:rPr>
          <w:lang w:val="en_US" w:bidi="en_US"/>
        </w:rPr>
      </w:r>
      <w:r>
        <w:rPr>
          <w:b/>
          <w:lang w:val="en_US" w:bidi="en_US"/>
        </w:rPr>
        <w:t>nor can anyone cross from there to us.’</w:t>
      </w:r>
    </w:p>
    <w:p>
      <w:pPr>
        <w:pStyle w:val="ListBullet"/>
        <w:spacing w:line="240" w:lineRule="auto"/>
        <w:ind w:left="720"/>
      </w:pPr>
      <w:r>
        <w:rPr>
          <w:lang w:val="en_US" w:bidi="en_US"/>
        </w:rPr>
      </w:r>
      <w:r>
        <w:rPr>
          <w:lang w:val="en_US" w:bidi="en_US"/>
        </w:rPr>
        <w:t>and also, so that no one is able to leave there and come here.’</w:t>
      </w:r>
    </w:p>
    <w:p>
      <w:pPr>
        <w:pStyle w:val="ListBullet"/>
        <w:spacing w:line="240" w:lineRule="auto"/>
        <w:ind w:left="720"/>
      </w:pPr>
      <w:r>
        <w:rPr>
          <w:lang w:val="en_US" w:bidi="en_US"/>
        </w:rPr>
      </w:r>
      <w:r>
        <w:rPr>
          <w:lang w:val="en_US" w:bidi="en_US"/>
        </w:rPr>
        <w:t>And it will also prevent anyone from leaving where you</w:t>
      </w:r>
      <w:r>
        <w:rPr>
          <w:vertAlign w:val="superscript"/>
          <w:lang w:val="en_US" w:bidi="en_US"/>
        </w:rPr>
        <w:t>(sing)</w:t>
      </w:r>
      <w:r>
        <w:rPr>
          <w:lang w:val="en_US" w:bidi="en_US"/>
        </w:rPr>
        <w:t xml:space="preserve"> are and crossing over to where we</w:t>
      </w:r>
      <w:r>
        <w:rPr>
          <w:vertAlign w:val="superscript"/>
          <w:lang w:val="en_US" w:bidi="en_US"/>
        </w:rPr>
        <w:t>(excl)</w:t>
      </w:r>
      <w:r>
        <w:rPr>
          <w:lang w:val="en_US" w:bidi="en_US"/>
        </w:rPr>
        <w:t xml:space="preserve"> are.’</w:t>
      </w:r>
    </w:p>
    <w:p>
      <w:pPr>
        <w:pStyle w:val="ListBullet"/>
        <w:spacing w:line="240" w:lineRule="auto"/>
        <w:ind w:left="720"/>
      </w:pPr>
      <w:r>
        <w:rPr>
          <w:lang w:val="en_US" w:bidi="en_US"/>
        </w:rPr>
      </w:r>
      <w:r>
        <w:rPr>
          <w:lang w:val="en_US" w:bidi="en_US"/>
        </w:rPr>
        <w:t>or leave there and come here.’</w:t>
      </w:r>
    </w:p>
    <w:p>
      <w:pPr/>
      <w:r>
        <w:rPr>
          <w:lang w:val="en_US" w:bidi="en_US"/>
        </w:rPr>
      </w:r>
      <w:r>
        <w:rPr>
          <w:b/>
          <w:lang w:val="en_US" w:bidi="en_US"/>
        </w:rPr>
        <w:t>nor can anyone cross from there to us:</w:t>
      </w:r>
      <w:r>
        <w:rPr>
          <w:lang w:val="en_US" w:bidi="en_US"/>
        </w:rPr>
        <w:t xml:space="preserve"> It was also not possible for anyone to leave the place where the rich man was in Hades and go to the place of happiness where Abraham and Lazarus were located.</w:t>
      </w:r>
      <w:r>
        <w:rPr>
          <w:lang w:val="en_US" w:bidi="en_US"/>
        </w:rPr>
      </w:r>
      <w:r>
        <w:rPr>
          <w:lang w:val="en_US" w:bidi="en_US"/>
        </w:rPr>
      </w:r>
    </w:p>
    <w:p>
      <w:pPr/>
      <w:r>
        <w:rPr>
          <w:lang w:val="en_US" w:bidi="en_US"/>
        </w:rPr>
      </w:r>
    </w:p>
    <w:p>
      <w:pPr>
        <w:pStyle w:val="Heading2"/>
      </w:pPr>
      <w:r>
        <w:rPr>
          <w:lang w:val="en_US" w:bidi="en_US"/>
        </w:rPr>
        <w:t>Luke 16:27</w:t>
      </w:r>
      <w:r>
        <w:rPr>
          <w:lang w:val="en_US" w:bidi="en_US"/>
        </w:rPr>
      </w:r>
    </w:p>
    <w:p>
      <w:pPr>
        <w:pStyle w:val="Heading4"/>
      </w:pPr>
      <w:r>
        <w:rPr>
          <w:lang w:val="en_US" w:bidi="en_US"/>
        </w:rPr>
        <w:t>Section 16:19–31: Jesus told a parable about a rich man and a poor man</w:t>
      </w:r>
    </w:p>
    <w:p>
      <w:pPr/>
      <w:r>
        <w:rPr>
          <w:lang w:val="en_US" w:bidi="en_US"/>
        </w:rPr>
      </w:r>
      <w:r>
        <w:rPr>
          <w:lang w:val="en_US" w:bidi="en_US"/>
        </w:rP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pPr/>
      <w:r>
        <w:rPr>
          <w:lang w:val="en_US" w:bidi="en_US"/>
        </w:rPr>
      </w:r>
      <w:r>
        <w:rPr>
          <w:lang w:val="en_US" w:bidi="en_US"/>
        </w:rPr>
        <w:t>Another heading for this section is:</w:t>
      </w:r>
    </w:p>
    <w:p>
      <w:pPr/>
      <w:r>
        <w:rPr>
          <w:lang w:val="en_US" w:bidi="en_US"/>
        </w:rPr>
      </w:r>
      <w:r>
        <w:rPr>
          <w:lang w:val="en_US" w:bidi="en_US"/>
        </w:rPr>
        <w:t>The Rich Man and Lazarus (NCV)</w:t>
      </w:r>
    </w:p>
    <w:p>
      <w:pPr>
        <w:pStyle w:val="Heading5"/>
      </w:pPr>
      <w:r>
        <w:rPr>
          <w:lang w:val="en_US" w:bidi="en_US"/>
        </w:rPr>
        <w:t>16:27a</w:t>
      </w:r>
    </w:p>
    <w:p>
      <w:pPr/>
      <w:r>
        <w:rPr>
          <w:lang w:val="en_US" w:bidi="en_US"/>
        </w:rPr>
      </w:r>
      <w:r>
        <w:rPr>
          <w:b/>
          <w:lang w:val="en_US" w:bidi="en_US"/>
        </w:rPr>
        <w:t>‘Then I beg you, father,’ he said,</w:t>
      </w:r>
    </w:p>
    <w:p>
      <w:pPr>
        <w:pStyle w:val="ListBullet"/>
        <w:spacing w:line="240" w:lineRule="auto"/>
        <w:ind w:left="720"/>
      </w:pPr>
      <w:r>
        <w:rPr>
          <w:lang w:val="en_US" w:bidi="en_US"/>
        </w:rPr>
      </w:r>
      <w:r>
        <w:rPr>
          <w:lang w:val="en_US" w:bidi="en_US"/>
        </w:rPr>
        <w:t xml:space="preserve">¶ “The rich man said/replied </w:t>
      </w:r>
      <w:r>
        <w:rPr>
          <w:lang w:val="en_US" w:bidi="en_US"/>
        </w:rPr>
        <w:t>to Abraham</w:t>
      </w:r>
      <w:r>
        <w:rPr>
          <w:lang w:val="en_US" w:bidi="en_US"/>
        </w:rPr>
        <w:t>, ‘Then I beg you</w:t>
      </w:r>
      <w:r>
        <w:rPr>
          <w:vertAlign w:val="superscript"/>
          <w:lang w:val="en_US" w:bidi="en_US"/>
        </w:rPr>
        <w:t>(sing)</w:t>
      </w:r>
      <w:r>
        <w:rPr>
          <w:lang w:val="en_US" w:bidi="en_US"/>
        </w:rPr>
        <w:t>, honorable father/ancestor,</w:t>
      </w:r>
    </w:p>
    <w:p>
      <w:pPr>
        <w:pStyle w:val="ListBullet"/>
        <w:spacing w:line="240" w:lineRule="auto"/>
        <w:ind w:left="720"/>
      </w:pPr>
      <w:r>
        <w:rPr>
          <w:lang w:val="en_US" w:bidi="en_US"/>
        </w:rPr>
      </w:r>
      <w:r>
        <w:rPr>
          <w:lang w:val="en_US" w:bidi="en_US"/>
        </w:rPr>
        <w:t>¶ “</w:t>
      </w:r>
      <w:r>
        <w:rPr>
          <w:lang w:val="en_US" w:bidi="en_US"/>
        </w:rPr>
        <w:t>Then</w:t>
      </w:r>
      <w:r>
        <w:rPr>
          <w:lang w:val="en_US" w:bidi="en_US"/>
        </w:rPr>
        <w:t xml:space="preserve"> the rich man answered, ‘Sir/Father </w:t>
      </w:r>
      <w:r>
        <w:rPr>
          <w:lang w:val="en_US" w:bidi="en_US"/>
        </w:rPr>
        <w:t>Abraham</w:t>
      </w:r>
      <w:r>
        <w:rPr>
          <w:lang w:val="en_US" w:bidi="en_US"/>
        </w:rPr>
        <w:t>, in that case,</w:t>
      </w:r>
    </w:p>
    <w:p>
      <w:pPr>
        <w:pStyle w:val="Heading5"/>
      </w:pPr>
      <w:r>
        <w:rPr>
          <w:lang w:val="en_US" w:bidi="en_US"/>
        </w:rPr>
        <w:t>16:27b</w:t>
      </w:r>
    </w:p>
    <w:p>
      <w:pPr/>
      <w:r>
        <w:rPr>
          <w:lang w:val="en_US" w:bidi="en_US"/>
        </w:rPr>
      </w:r>
      <w:r>
        <w:rPr>
          <w:b/>
          <w:lang w:val="en_US" w:bidi="en_US"/>
        </w:rPr>
        <w:t>‘send Lazarus to my father’s house,</w:t>
      </w:r>
    </w:p>
    <w:p>
      <w:pPr>
        <w:pStyle w:val="ListBullet"/>
        <w:spacing w:line="240" w:lineRule="auto"/>
        <w:ind w:left="720"/>
      </w:pPr>
      <w:r>
        <w:rPr>
          <w:lang w:val="en_US" w:bidi="en_US"/>
        </w:rPr>
      </w:r>
      <w:r>
        <w:rPr>
          <w:lang w:val="en_US" w:bidi="en_US"/>
        </w:rPr>
        <w:t xml:space="preserve">to send Lazarus to my father’s </w:t>
      </w:r>
      <w:r>
        <w:rPr>
          <w:lang w:val="en_US" w:bidi="en_US"/>
        </w:rPr>
        <w:t>home</w:t>
      </w:r>
      <w:r>
        <w:rPr>
          <w:lang w:val="en_US" w:bidi="en_US"/>
        </w:rPr>
        <w:t>,</w:t>
      </w:r>
    </w:p>
    <w:p>
      <w:pPr>
        <w:pStyle w:val="ListBullet"/>
        <w:spacing w:line="240" w:lineRule="auto"/>
        <w:ind w:left="720"/>
      </w:pPr>
      <w:r>
        <w:rPr>
          <w:lang w:val="en_US" w:bidi="en_US"/>
        </w:rPr>
      </w:r>
      <w:r>
        <w:rPr>
          <w:lang w:val="en_US" w:bidi="en_US"/>
        </w:rPr>
        <w:t xml:space="preserve">please send Lazarus to my former/family home </w:t>
      </w:r>
      <w:r>
        <w:rPr>
          <w:lang w:val="en_US" w:bidi="en_US"/>
        </w:rPr>
        <w:t>instead</w:t>
      </w:r>
      <w:r>
        <w:rPr>
          <w:lang w:val="en_US" w:bidi="en_US"/>
        </w:rPr>
        <w:t>.</w:t>
      </w:r>
    </w:p>
    <w:p>
      <w:pPr>
        <w:pStyle w:val="Heading5"/>
      </w:pPr>
      <w:r>
        <w:rPr>
          <w:lang w:val="en_US" w:bidi="en_US"/>
        </w:rPr>
        <w:t>16:27a–b</w:t>
      </w:r>
    </w:p>
    <w:p>
      <w:pPr/>
      <w:r>
        <w:rPr>
          <w:lang w:val="en_US" w:bidi="en_US"/>
        </w:rPr>
      </w:r>
      <w:r>
        <w:rPr>
          <w:b/>
          <w:lang w:val="en_US" w:bidi="en_US"/>
        </w:rPr>
        <w:t>‘Then I beg you, father,’ he said:</w:t>
      </w:r>
      <w:r>
        <w:rPr>
          <w:lang w:val="en_US" w:bidi="en_US"/>
        </w:rPr>
        <w:t xml:space="preserve"> In this context the clause </w:t>
      </w:r>
      <w:r>
        <w:rPr>
          <w:i/>
          <w:lang w:val="en_US" w:bidi="en_US"/>
        </w:rPr>
        <w:t>he said</w:t>
      </w:r>
      <w:r>
        <w:rPr>
          <w:lang w:val="en_US" w:bidi="en_US"/>
        </w:rPr>
        <w:t xml:space="preserve"> means that the rich man replied to Abraham. In some languages it may be natural to make the subject and object more explicit. For example:</w:t>
      </w:r>
    </w:p>
    <w:p>
      <w:pPr/>
      <w:r>
        <w:rPr>
          <w:lang w:val="en_US" w:bidi="en_US"/>
        </w:rPr>
      </w:r>
      <w:r>
        <w:rPr>
          <w:lang w:val="en_US" w:bidi="en_US"/>
        </w:rPr>
        <w:t xml:space="preserve">The rich man replied </w:t>
      </w:r>
      <w:r>
        <w:rPr>
          <w:lang w:val="en_US" w:bidi="en_US"/>
        </w:rPr>
        <w:t>to Abraham</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here introduces an alternative request. Since Abraham could not send Lazarus to him, the rich man asked him to send Lazarus somewhere else instead. Another way to translate this conjunction is:</w:t>
      </w:r>
    </w:p>
    <w:p>
      <w:pPr/>
      <w:r>
        <w:rPr>
          <w:lang w:val="en_US" w:bidi="en_US"/>
        </w:rPr>
      </w:r>
      <w:r>
        <w:rPr>
          <w:lang w:val="en_US" w:bidi="en_US"/>
        </w:rPr>
        <w:t>If that is true</w:t>
      </w:r>
    </w:p>
    <w:p>
      <w:pPr/>
      <w:r>
        <w:rPr>
          <w:lang w:val="en_US" w:bidi="en_US"/>
        </w:rPr>
      </w:r>
      <w:r>
        <w:rPr>
          <w:lang w:val="en_US" w:bidi="en_US"/>
        </w:rPr>
        <w:t>In that case</w:t>
      </w:r>
    </w:p>
    <w:p>
      <w:pPr/>
      <w:r>
        <w:rPr>
          <w:lang w:val="en_US" w:bidi="en_US"/>
        </w:rPr>
      </w:r>
      <w:r>
        <w:rPr>
          <w:b/>
          <w:lang w:val="en_US" w:bidi="en_US"/>
        </w:rPr>
        <w:t>I beg you:</w:t>
      </w:r>
      <w:r>
        <w:rPr>
          <w:lang w:val="en_US" w:bidi="en_US"/>
        </w:rPr>
        <w:t xml:space="preserve"> The Greek phrase that the BSB translates as </w:t>
      </w:r>
      <w:r>
        <w:rPr>
          <w:i/>
          <w:lang w:val="en_US" w:bidi="en_US"/>
        </w:rPr>
        <w:t>I beg you</w:t>
      </w:r>
      <w:r>
        <w:rPr>
          <w:lang w:val="en_US" w:bidi="en_US"/>
        </w:rPr>
        <w:t xml:space="preserve"> introduces a request. Other ways to translate this phrase are:</w:t>
      </w:r>
    </w:p>
    <w:p>
      <w:pPr/>
      <w:r>
        <w:rPr>
          <w:lang w:val="en_US" w:bidi="en_US"/>
        </w:rPr>
      </w:r>
      <w:r>
        <w:rPr>
          <w:lang w:val="en_US" w:bidi="en_US"/>
        </w:rPr>
        <w:t>I ask you (GW)</w:t>
      </w:r>
    </w:p>
    <w:p>
      <w:pPr/>
      <w:r>
        <w:rPr>
          <w:lang w:val="en_US" w:bidi="en_US"/>
        </w:rPr>
      </w:r>
      <w:r>
        <w:rPr>
          <w:lang w:val="en_US" w:bidi="en_US"/>
        </w:rPr>
        <w:t>please (NCV)</w:t>
      </w:r>
    </w:p>
    <w:p>
      <w:pPr/>
      <w:r>
        <w:rPr>
          <w:lang w:val="en_US" w:bidi="en_US"/>
        </w:rPr>
      </w:r>
      <w:r>
        <w:rPr>
          <w:b/>
          <w:lang w:val="en_US" w:bidi="en_US"/>
        </w:rPr>
        <w:t>he said:</w:t>
      </w:r>
      <w:r>
        <w:rPr>
          <w:lang w:val="en_US" w:bidi="en_US"/>
        </w:rPr>
        <w:t xml:space="preserve"> The BSB has placed the phrase </w:t>
      </w:r>
      <w:r>
        <w:rPr>
          <w:i/>
          <w:lang w:val="en_US" w:bidi="en_US"/>
        </w:rPr>
        <w:t>he said</w:t>
      </w:r>
      <w:r>
        <w:rPr>
          <w:lang w:val="en_US" w:bidi="en_US"/>
        </w:rPr>
        <w:t xml:space="preserve"> after the start of what the rich man said. In the Greek text, this phrase is at the beginning of the verse, before the quotation. Place it wherever it is natural in your language.</w:t>
      </w:r>
    </w:p>
    <w:p>
      <w:pPr/>
      <w:r>
        <w:rPr>
          <w:lang w:val="en_US" w:bidi="en_US"/>
        </w:rPr>
      </w:r>
      <w:r>
        <w:rPr>
          <w:b/>
          <w:lang w:val="en_US" w:bidi="en_US"/>
        </w:rPr>
        <w:t>father…send Lazarus to my father’s house:</w:t>
      </w:r>
      <w:r>
        <w:rPr>
          <w:lang w:val="en_US" w:bidi="en_US"/>
        </w:rPr>
        <w:t xml:space="preserve"> The first time the word </w:t>
      </w:r>
      <w:r>
        <w:rPr>
          <w:i/>
          <w:lang w:val="en_US" w:bidi="en_US"/>
        </w:rPr>
        <w:t>father</w:t>
      </w:r>
      <w:r>
        <w:rPr>
          <w:lang w:val="en_US" w:bidi="en_US"/>
        </w:rPr>
        <w:t xml:space="preserve"> occurs here, it refers to Abraham, but the second time, it refers to the rich man’s own father. In some languages this may be confusing. If this is so in your language, you can:</w:t>
      </w:r>
    </w:p>
    <w:p>
      <w:pPr>
        <w:pStyle w:val="ListBullet"/>
        <w:spacing w:line="240" w:lineRule="auto"/>
        <w:ind w:left="720"/>
      </w:pPr>
      <w:r>
        <w:rPr>
          <w:lang w:val="en_US" w:bidi="en_US"/>
        </w:rPr>
      </w:r>
      <w:r>
        <w:rPr>
          <w:lang w:val="en_US" w:bidi="en_US"/>
        </w:rPr>
        <w:t>Use a different term of respect for Abraham. For example:</w:t>
      </w:r>
      <w:r>
        <w:rPr>
          <w:lang w:val="en_US" w:bidi="en_US"/>
        </w:rPr>
        <w:t>honorable sir/ancestor</w:t>
      </w:r>
    </w:p>
    <w:p>
      <w:pPr>
        <w:pStyle w:val="ListBullet"/>
        <w:spacing w:line="240" w:lineRule="auto"/>
        <w:ind w:left="720"/>
      </w:pPr>
      <w:r>
        <w:rPr>
          <w:lang w:val="en_US" w:bidi="en_US"/>
        </w:rPr>
      </w:r>
      <w:r>
        <w:rPr>
          <w:lang w:val="en_US" w:bidi="en_US"/>
        </w:rPr>
        <w:t xml:space="preserve">Translate </w:t>
      </w:r>
      <w:r>
        <w:rPr>
          <w:i/>
          <w:lang w:val="en_US" w:bidi="en_US"/>
        </w:rPr>
        <w:t>my father’s house</w:t>
      </w:r>
      <w:r>
        <w:rPr>
          <w:lang w:val="en_US" w:bidi="en_US"/>
        </w:rPr>
        <w:t xml:space="preserve"> in another way that is natural in your language. For example:</w:t>
      </w:r>
      <w:r>
        <w:rPr>
          <w:lang w:val="en_US" w:bidi="en_US"/>
        </w:rPr>
        <w:t>my parents’ house</w:t>
      </w:r>
    </w:p>
    <w:p>
      <w:pPr/>
      <w:r>
        <w:rPr>
          <w:lang w:val="en_US" w:bidi="en_US"/>
        </w:rPr>
      </w:r>
      <w:r>
        <w:rPr>
          <w:b/>
          <w:lang w:val="en_US" w:bidi="en_US"/>
        </w:rPr>
        <w:t>my father’s house:</w:t>
      </w:r>
      <w:r>
        <w:rPr>
          <w:lang w:val="en_US" w:bidi="en_US"/>
        </w:rPr>
        <w:t xml:space="preserve"> The Greek phrase that the BSB translates as </w:t>
      </w:r>
      <w:r>
        <w:rPr>
          <w:i/>
          <w:lang w:val="en_US" w:bidi="en_US"/>
        </w:rPr>
        <w:t>my father’s house</w:t>
      </w:r>
      <w:r>
        <w:rPr>
          <w:lang w:val="en_US" w:bidi="en_US"/>
        </w:rPr>
        <w:t xml:space="preserve"> probably refers literally to the house that had been owned by the rich man’s father. It is possible that the father had died, since only the brothers are included in the warning in 16:28b. Probably the five brothers had not divided the property and they still lived together in that house.</w:t>
      </w:r>
    </w:p>
    <w:p>
      <w:pPr/>
      <w:r>
        <w:rPr>
          <w:lang w:val="en_US" w:bidi="en_US"/>
        </w:rPr>
      </w:r>
      <w:r>
        <w:rPr>
          <w:lang w:val="en_US" w:bidi="en_US"/>
        </w:rPr>
        <w:t xml:space="preserve">Sometimes the phrase </w:t>
      </w:r>
      <w:r>
        <w:rPr>
          <w:i/>
          <w:lang w:val="en_US" w:bidi="en_US"/>
        </w:rPr>
        <w:t>my father’s house</w:t>
      </w:r>
      <w:r>
        <w:rPr>
          <w:lang w:val="en_US" w:bidi="en_US"/>
        </w:rPr>
        <w:t xml:space="preserve"> was used to refer to the members of one’s family, even if they were not all still living in the same house. As the next verse part makes clear, the rich man was thinking of his brothers. If adult brothers do not live together in one home in your culture, you may wish to translate this as:</w:t>
      </w:r>
    </w:p>
    <w:p>
      <w:pPr/>
      <w:r>
        <w:rPr>
          <w:lang w:val="en_US" w:bidi="en_US"/>
        </w:rPr>
      </w:r>
      <w:r>
        <w:rPr>
          <w:lang w:val="en_US" w:bidi="en_US"/>
        </w:rPr>
        <w:t>my family</w:t>
      </w:r>
      <w:r>
        <w:rPr>
          <w:lang w:val="en_US" w:bidi="en_US"/>
        </w:rPr>
      </w:r>
      <w:r>
        <w:rPr>
          <w:lang w:val="en_US" w:bidi="en_US"/>
        </w:rPr>
      </w:r>
    </w:p>
    <w:p>
      <w:pPr/>
      <w:r>
        <w:rPr>
          <w:lang w:val="en_US" w:bidi="en_US"/>
        </w:rPr>
      </w:r>
    </w:p>
    <w:p>
      <w:pPr>
        <w:pStyle w:val="Heading2"/>
      </w:pPr>
      <w:r>
        <w:rPr>
          <w:lang w:val="en_US" w:bidi="en_US"/>
        </w:rPr>
        <w:t>Luke 16:28</w:t>
      </w:r>
      <w:r>
        <w:rPr>
          <w:lang w:val="en_US" w:bidi="en_US"/>
        </w:rPr>
      </w:r>
    </w:p>
    <w:p>
      <w:pPr>
        <w:pStyle w:val="Heading4"/>
      </w:pPr>
      <w:r>
        <w:rPr>
          <w:lang w:val="en_US" w:bidi="en_US"/>
        </w:rPr>
        <w:t>Section 16:19–31: Jesus told a parable about a rich man and a poor man</w:t>
      </w:r>
    </w:p>
    <w:p>
      <w:pPr/>
      <w:r>
        <w:rPr>
          <w:lang w:val="en_US" w:bidi="en_US"/>
        </w:rPr>
      </w:r>
      <w:r>
        <w:rPr>
          <w:lang w:val="en_US" w:bidi="en_US"/>
        </w:rP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pPr/>
      <w:r>
        <w:rPr>
          <w:lang w:val="en_US" w:bidi="en_US"/>
        </w:rPr>
      </w:r>
      <w:r>
        <w:rPr>
          <w:lang w:val="en_US" w:bidi="en_US"/>
        </w:rPr>
        <w:t>Another heading for this section is:</w:t>
      </w:r>
    </w:p>
    <w:p>
      <w:pPr/>
      <w:r>
        <w:rPr>
          <w:lang w:val="en_US" w:bidi="en_US"/>
        </w:rPr>
      </w:r>
      <w:r>
        <w:rPr>
          <w:lang w:val="en_US" w:bidi="en_US"/>
        </w:rPr>
        <w:t>The Rich Man and Lazarus (NCV)</w:t>
      </w:r>
    </w:p>
    <w:p>
      <w:pPr>
        <w:pStyle w:val="Heading5"/>
      </w:pPr>
      <w:r>
        <w:rPr>
          <w:lang w:val="en_US" w:bidi="en_US"/>
        </w:rPr>
        <w:t>16:28a</w:t>
      </w:r>
    </w:p>
    <w:p>
      <w:pPr/>
      <w:r>
        <w:rPr>
          <w:lang w:val="en_US" w:bidi="en_US"/>
        </w:rPr>
      </w:r>
      <w:r>
        <w:rPr>
          <w:b/>
          <w:lang w:val="en_US" w:bidi="en_US"/>
        </w:rPr>
        <w:t>for I have five brothers.</w:t>
      </w:r>
    </w:p>
    <w:p>
      <w:pPr>
        <w:pStyle w:val="ListBullet"/>
        <w:spacing w:line="240" w:lineRule="auto"/>
        <w:ind w:left="720"/>
      </w:pPr>
      <w:r>
        <w:rPr>
          <w:lang w:val="en_US" w:bidi="en_US"/>
        </w:rPr>
      </w:r>
      <w:r>
        <w:rPr>
          <w:lang w:val="en_US" w:bidi="en_US"/>
        </w:rPr>
        <w:t xml:space="preserve">for I have five brothers </w:t>
      </w:r>
      <w:r>
        <w:rPr>
          <w:lang w:val="en_US" w:bidi="en_US"/>
        </w:rPr>
        <w:t>who live there</w:t>
      </w:r>
      <w:r>
        <w:rPr>
          <w:lang w:val="en_US" w:bidi="en_US"/>
        </w:rPr>
        <w:t>.</w:t>
      </w:r>
    </w:p>
    <w:p>
      <w:pPr>
        <w:pStyle w:val="ListBullet"/>
        <w:spacing w:line="240" w:lineRule="auto"/>
        <w:ind w:left="720"/>
      </w:pPr>
      <w:r>
        <w:rPr>
          <w:lang w:val="en_US" w:bidi="en_US"/>
        </w:rPr>
      </w:r>
      <w:r>
        <w:rPr>
          <w:lang w:val="en_US" w:bidi="en_US"/>
        </w:rPr>
        <w:t>That is where</w:t>
      </w:r>
      <w:r>
        <w:rPr>
          <w:lang w:val="en_US" w:bidi="en_US"/>
        </w:rPr>
        <w:t xml:space="preserve"> my five </w:t>
      </w:r>
      <w:r>
        <w:rPr>
          <w:lang w:val="en_US" w:bidi="en_US"/>
        </w:rPr>
        <w:t>younger</w:t>
      </w:r>
      <w:r>
        <w:rPr>
          <w:lang w:val="en_US" w:bidi="en_US"/>
        </w:rPr>
        <w:t xml:space="preserve"> siblings </w:t>
      </w:r>
      <w:r>
        <w:rPr>
          <w:lang w:val="en_US" w:bidi="en_US"/>
        </w:rPr>
        <w:t>are living</w:t>
      </w:r>
      <w:r>
        <w:rPr>
          <w:lang w:val="en_US" w:bidi="en_US"/>
        </w:rPr>
        <w:t>.</w:t>
      </w:r>
    </w:p>
    <w:p>
      <w:pPr/>
      <w:r>
        <w:rPr>
          <w:lang w:val="en_US" w:bidi="en_US"/>
        </w:rPr>
      </w:r>
      <w:r>
        <w:rPr>
          <w:b/>
          <w:lang w:val="en_US" w:bidi="en_US"/>
        </w:rPr>
        <w:t>for I have five brothers:</w:t>
      </w:r>
      <w:r>
        <w:rPr>
          <w:lang w:val="en_US" w:bidi="en_US"/>
        </w:rPr>
        <w:t xml:space="preserve"> This phrase explains why the rich man wanted Abraham to send Lazarus to his father’s house. The rich man was concerned for his five brothers who were still living there. Some versions do not translate the word </w:t>
      </w:r>
      <w:r>
        <w:rPr>
          <w:i/>
          <w:lang w:val="en_US" w:bidi="en_US"/>
        </w:rPr>
        <w:t>for</w:t>
      </w:r>
      <w:r>
        <w:rPr>
          <w:lang w:val="en_US" w:bidi="en_US"/>
        </w:rPr>
        <w:t xml:space="preserve"> explicitly.</w:t>
      </w:r>
    </w:p>
    <w:p>
      <w:pPr/>
      <w:r>
        <w:rPr>
          <w:lang w:val="en_US" w:bidi="en_US"/>
        </w:rPr>
      </w:r>
      <w:r>
        <w:rPr>
          <w:b/>
          <w:lang w:val="en_US" w:bidi="en_US"/>
        </w:rPr>
        <w:t>brothers:</w:t>
      </w:r>
      <w:r>
        <w:rPr>
          <w:lang w:val="en_US" w:bidi="en_US"/>
        </w:rPr>
        <w:t xml:space="preserve"> The </w:t>
      </w:r>
      <w:r>
        <w:rPr>
          <w:i/>
          <w:lang w:val="en_US" w:bidi="en_US"/>
        </w:rPr>
        <w:t>brothers</w:t>
      </w:r>
      <w:r>
        <w:rPr>
          <w:lang w:val="en_US" w:bidi="en_US"/>
        </w:rPr>
        <w:t xml:space="preserve"> were all the sons of the same man, the rich man’s father. They may or may not have all been the sons of the rich man’s mother.</w:t>
      </w:r>
    </w:p>
    <w:p>
      <w:pPr/>
      <w:r>
        <w:rPr>
          <w:lang w:val="en_US" w:bidi="en_US"/>
        </w:rPr>
      </w:r>
      <w:r>
        <w:rPr>
          <w:lang w:val="en_US" w:bidi="en_US"/>
        </w:rPr>
        <w:t>If you need to make it explicit whether these brothers were younger or older than the rich man, you should say that they were younger.</w:t>
      </w:r>
    </w:p>
    <w:p>
      <w:pPr>
        <w:pStyle w:val="Heading5"/>
      </w:pPr>
      <w:r>
        <w:rPr>
          <w:lang w:val="en_US" w:bidi="en_US"/>
        </w:rPr>
        <w:t>16:28b</w:t>
      </w:r>
    </w:p>
    <w:p>
      <w:pPr/>
      <w:r>
        <w:rPr>
          <w:lang w:val="en_US" w:bidi="en_US"/>
        </w:rPr>
      </w:r>
      <w:r>
        <w:rPr>
          <w:b/>
          <w:lang w:val="en_US" w:bidi="en_US"/>
        </w:rPr>
        <w:t>Let him warn them,</w:t>
      </w:r>
    </w:p>
    <w:p>
      <w:pPr>
        <w:pStyle w:val="ListBullet"/>
        <w:spacing w:line="240" w:lineRule="auto"/>
        <w:ind w:left="720"/>
      </w:pPr>
      <w:r>
        <w:rPr>
          <w:lang w:val="en_US" w:bidi="en_US"/>
        </w:rPr>
      </w:r>
      <w:r>
        <w:rPr>
          <w:lang w:val="en_US" w:bidi="en_US"/>
        </w:rPr>
        <w:t xml:space="preserve">Tell him to warn them </w:t>
      </w:r>
      <w:r>
        <w:rPr>
          <w:lang w:val="en_US" w:bidi="en_US"/>
        </w:rPr>
        <w:t>to repent</w:t>
      </w:r>
    </w:p>
    <w:p>
      <w:pPr>
        <w:pStyle w:val="ListBullet"/>
        <w:spacing w:line="240" w:lineRule="auto"/>
        <w:ind w:left="720"/>
      </w:pPr>
      <w:r>
        <w:rPr>
          <w:lang w:val="en_US" w:bidi="en_US"/>
        </w:rPr>
      </w:r>
      <w:r>
        <w:rPr>
          <w:lang w:val="en_US" w:bidi="en_US"/>
        </w:rPr>
        <w:t xml:space="preserve">I want him to warn them </w:t>
      </w:r>
      <w:r>
        <w:rPr>
          <w:lang w:val="en_US" w:bidi="en_US"/>
        </w:rPr>
        <w:t>to change their ways</w:t>
      </w:r>
      <w:r>
        <w:rPr>
          <w:lang w:val="en_US" w:bidi="en_US"/>
        </w:rPr>
        <w:t>.</w:t>
      </w:r>
    </w:p>
    <w:p>
      <w:pPr/>
      <w:r>
        <w:rPr>
          <w:lang w:val="en_US" w:bidi="en_US"/>
        </w:rPr>
      </w:r>
      <w:r>
        <w:rPr>
          <w:lang w:val="en_US" w:bidi="en_US"/>
        </w:rPr>
        <w:t>This part of the verse gives the purpose for which Abraham was to send Lazarus to the rich man’s family. In Greek, it is introduced by a word meaning “so that.” For example:</w:t>
      </w:r>
    </w:p>
    <w:p>
      <w:pPr/>
      <w:r>
        <w:rPr>
          <w:lang w:val="en_US" w:bidi="en_US"/>
        </w:rPr>
      </w:r>
      <w:r>
        <w:rPr>
          <w:lang w:val="en_US" w:bidi="en_US"/>
        </w:rPr>
        <w:t>so that he may warn them (RSV)</w:t>
      </w:r>
    </w:p>
    <w:p>
      <w:pPr/>
      <w:r>
        <w:rPr>
          <w:lang w:val="en_US" w:bidi="en_US"/>
        </w:rPr>
      </w:r>
      <w:r>
        <w:rPr>
          <w:b/>
          <w:lang w:val="en_US" w:bidi="en_US"/>
        </w:rPr>
        <w:t>Let him warn them:</w:t>
      </w:r>
      <w:r>
        <w:rPr>
          <w:lang w:val="en_US" w:bidi="en_US"/>
        </w:rPr>
        <w:t xml:space="preserve"> In this context, the clause </w:t>
      </w:r>
      <w:r>
        <w:rPr>
          <w:i/>
          <w:lang w:val="en_US" w:bidi="en_US"/>
        </w:rPr>
        <w:t>Let him warn them</w:t>
      </w:r>
      <w:r>
        <w:rPr>
          <w:lang w:val="en_US" w:bidi="en_US"/>
        </w:rPr>
        <w:t xml:space="preserve"> means that Lazarus was to urge the brothers to change their way of life. He would warn them about how God would punish them if they did not change. He was to tell them to repent, as 16:30 makes explicit. In some languages it may be helpful to make this information explicit here. For example:</w:t>
      </w:r>
    </w:p>
    <w:p>
      <w:pPr/>
      <w:r>
        <w:rPr>
          <w:lang w:val="en_US" w:bidi="en_US"/>
        </w:rPr>
      </w:r>
      <w:r>
        <w:rPr>
          <w:lang w:val="en_US" w:bidi="en_US"/>
        </w:rPr>
        <w:t xml:space="preserve">Tell him to warn them </w:t>
      </w:r>
      <w:r>
        <w:rPr>
          <w:lang w:val="en_US" w:bidi="en_US"/>
        </w:rPr>
        <w:t>to repent</w:t>
      </w:r>
    </w:p>
    <w:p>
      <w:pPr>
        <w:pStyle w:val="Heading5"/>
      </w:pPr>
      <w:r>
        <w:rPr>
          <w:lang w:val="en_US" w:bidi="en_US"/>
        </w:rPr>
        <w:t>16:28c</w:t>
      </w:r>
    </w:p>
    <w:p>
      <w:pPr/>
      <w:r>
        <w:rPr>
          <w:lang w:val="en_US" w:bidi="en_US"/>
        </w:rPr>
      </w:r>
      <w:r>
        <w:rPr>
          <w:b/>
          <w:lang w:val="en_US" w:bidi="en_US"/>
        </w:rPr>
        <w:t>so that they will not also end up in this place of torment.’</w:t>
      </w:r>
    </w:p>
    <w:p>
      <w:pPr>
        <w:pStyle w:val="ListBullet"/>
        <w:spacing w:line="240" w:lineRule="auto"/>
        <w:ind w:left="720"/>
      </w:pPr>
      <w:r>
        <w:rPr>
          <w:lang w:val="en_US" w:bidi="en_US"/>
        </w:rPr>
      </w:r>
      <w:r>
        <w:rPr>
          <w:lang w:val="en_US" w:bidi="en_US"/>
        </w:rPr>
        <w:t>so that they, too, will not come to this place of severe pain/suffering.’</w:t>
      </w:r>
    </w:p>
    <w:p>
      <w:pPr>
        <w:pStyle w:val="ListBullet"/>
        <w:spacing w:line="240" w:lineRule="auto"/>
        <w:ind w:left="720"/>
      </w:pPr>
      <w:r>
        <w:rPr>
          <w:lang w:val="en_US" w:bidi="en_US"/>
        </w:rPr>
      </w:r>
      <w:r>
        <w:rPr>
          <w:lang w:val="en_US" w:bidi="en_US"/>
        </w:rPr>
        <w:t>If they do,</w:t>
      </w:r>
      <w:r>
        <w:rPr>
          <w:lang w:val="en_US" w:bidi="en_US"/>
        </w:rPr>
        <w:t xml:space="preserve"> they will not </w:t>
      </w:r>
      <w:r>
        <w:rPr>
          <w:lang w:val="en_US" w:bidi="en_US"/>
        </w:rPr>
        <w:t>have to</w:t>
      </w:r>
      <w:r>
        <w:rPr>
          <w:lang w:val="en_US" w:bidi="en_US"/>
        </w:rPr>
        <w:t xml:space="preserve"> come to this place where </w:t>
      </w:r>
      <w:r>
        <w:rPr>
          <w:lang w:val="en_US" w:bidi="en_US"/>
        </w:rPr>
        <w:t>I am</w:t>
      </w:r>
      <w:r>
        <w:rPr>
          <w:lang w:val="en_US" w:bidi="en_US"/>
        </w:rPr>
        <w:t xml:space="preserve"> suffering terribly.’</w:t>
      </w:r>
    </w:p>
    <w:p>
      <w:pPr/>
      <w:r>
        <w:rPr>
          <w:lang w:val="en_US" w:bidi="en_US"/>
        </w:rPr>
      </w:r>
      <w:r>
        <w:rPr>
          <w:b/>
          <w:lang w:val="en_US" w:bidi="en_US"/>
        </w:rPr>
        <w:t>so that they will not also end up in this place of torment:</w:t>
      </w:r>
      <w:r>
        <w:rPr>
          <w:lang w:val="en_US" w:bidi="en_US"/>
        </w:rPr>
        <w:t xml:space="preserve"> This clause expresses the purpose for which Lazarus was to warn the brothers of the rich man. The purpose of the warning was to prevent the brothers from coming to the place of torment (“so that…not”). Another way to express this purpose is:</w:t>
      </w:r>
    </w:p>
    <w:p>
      <w:pPr/>
      <w:r>
        <w:rPr>
          <w:lang w:val="en_US" w:bidi="en_US"/>
        </w:rPr>
      </w:r>
      <w:r>
        <w:rPr>
          <w:u w:val="single"/>
          <w:lang w:val="en_US" w:bidi="en_US"/>
        </w:rPr>
        <w:t>lest</w:t>
      </w:r>
      <w:r>
        <w:rPr>
          <w:lang w:val="en_US" w:bidi="en_US"/>
        </w:rPr>
        <w:t xml:space="preserve"> they also come… (RSV)</w:t>
      </w:r>
    </w:p>
    <w:p>
      <w:pPr/>
      <w:r>
        <w:rPr>
          <w:lang w:val="en_US" w:bidi="en_US"/>
        </w:rPr>
      </w:r>
      <w:r>
        <w:rPr>
          <w:lang w:val="en_US" w:bidi="en_US"/>
        </w:rPr>
        <w:t>Consider the most natural way in your language to express this purpose.</w:t>
      </w:r>
    </w:p>
    <w:p>
      <w:pPr/>
      <w:r>
        <w:rPr>
          <w:lang w:val="en_US" w:bidi="en_US"/>
        </w:rPr>
      </w:r>
      <w:r>
        <w:rPr>
          <w:b/>
          <w:lang w:val="en_US" w:bidi="en_US"/>
        </w:rPr>
        <w:t>this place of torment:</w:t>
      </w:r>
      <w:r>
        <w:rPr>
          <w:lang w:val="en_US" w:bidi="en_US"/>
        </w:rPr>
        <w:t xml:space="preserve"> The word for </w:t>
      </w:r>
      <w:r>
        <w:rPr>
          <w:i/>
          <w:lang w:val="en_US" w:bidi="en_US"/>
        </w:rPr>
        <w:t>torment</w:t>
      </w:r>
      <w:r>
        <w:rPr>
          <w:lang w:val="en_US" w:bidi="en_US"/>
        </w:rPr>
        <w:t xml:space="preserve"> also occurs in 16:23a. Other ways to translate the phrase </w:t>
      </w:r>
      <w:r>
        <w:rPr>
          <w:i/>
          <w:lang w:val="en_US" w:bidi="en_US"/>
        </w:rPr>
        <w:t>this place of torment</w:t>
      </w:r>
      <w:r>
        <w:rPr>
          <w:lang w:val="en_US" w:bidi="en_US"/>
        </w:rPr>
        <w:t xml:space="preserve"> are:</w:t>
      </w:r>
    </w:p>
    <w:p>
      <w:pPr/>
      <w:r>
        <w:rPr>
          <w:lang w:val="en_US" w:bidi="en_US"/>
        </w:rPr>
      </w:r>
      <w:r>
        <w:rPr>
          <w:lang w:val="en_US" w:bidi="en_US"/>
        </w:rPr>
        <w:t>this place of extreme suffering/pain</w:t>
      </w:r>
    </w:p>
    <w:p>
      <w:pPr/>
      <w:r>
        <w:rPr>
          <w:lang w:val="en_US" w:bidi="en_US"/>
        </w:rPr>
      </w:r>
      <w:r>
        <w:rPr>
          <w:lang w:val="en_US" w:bidi="en_US"/>
        </w:rPr>
        <w:t>this place where I am suffering terribly</w:t>
      </w:r>
      <w:r>
        <w:rPr>
          <w:lang w:val="en_US" w:bidi="en_US"/>
        </w:rPr>
      </w:r>
      <w:r>
        <w:rPr>
          <w:lang w:val="en_US" w:bidi="en_US"/>
        </w:rPr>
      </w:r>
    </w:p>
    <w:p>
      <w:pPr/>
      <w:r>
        <w:rPr>
          <w:lang w:val="en_US" w:bidi="en_US"/>
        </w:rPr>
      </w:r>
    </w:p>
    <w:p>
      <w:pPr>
        <w:pStyle w:val="Heading2"/>
      </w:pPr>
      <w:r>
        <w:rPr>
          <w:lang w:val="en_US" w:bidi="en_US"/>
        </w:rPr>
        <w:t>Luke 16:29</w:t>
      </w:r>
      <w:r>
        <w:rPr>
          <w:lang w:val="en_US" w:bidi="en_US"/>
        </w:rPr>
      </w:r>
    </w:p>
    <w:p>
      <w:pPr>
        <w:pStyle w:val="Heading4"/>
      </w:pPr>
      <w:r>
        <w:rPr>
          <w:lang w:val="en_US" w:bidi="en_US"/>
        </w:rPr>
        <w:t>Section 16:19–31: Jesus told a parable about a rich man and a poor man</w:t>
      </w:r>
    </w:p>
    <w:p>
      <w:pPr/>
      <w:r>
        <w:rPr>
          <w:lang w:val="en_US" w:bidi="en_US"/>
        </w:rPr>
      </w:r>
      <w:r>
        <w:rPr>
          <w:lang w:val="en_US" w:bidi="en_US"/>
        </w:rP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pPr/>
      <w:r>
        <w:rPr>
          <w:lang w:val="en_US" w:bidi="en_US"/>
        </w:rPr>
      </w:r>
      <w:r>
        <w:rPr>
          <w:lang w:val="en_US" w:bidi="en_US"/>
        </w:rPr>
        <w:t>Another heading for this section is:</w:t>
      </w:r>
    </w:p>
    <w:p>
      <w:pPr/>
      <w:r>
        <w:rPr>
          <w:lang w:val="en_US" w:bidi="en_US"/>
        </w:rPr>
      </w:r>
      <w:r>
        <w:rPr>
          <w:lang w:val="en_US" w:bidi="en_US"/>
        </w:rPr>
        <w:t>The Rich Man and Lazarus (NCV)</w:t>
      </w:r>
    </w:p>
    <w:p>
      <w:pPr>
        <w:pStyle w:val="Heading5"/>
      </w:pPr>
      <w:r>
        <w:rPr>
          <w:lang w:val="en_US" w:bidi="en_US"/>
        </w:rPr>
        <w:t>16:29a</w:t>
      </w:r>
    </w:p>
    <w:p>
      <w:pPr/>
      <w:r>
        <w:rPr>
          <w:lang w:val="en_US" w:bidi="en_US"/>
        </w:rPr>
      </w:r>
      <w:r>
        <w:rPr>
          <w:b/>
          <w:lang w:val="en_US" w:bidi="en_US"/>
        </w:rPr>
        <w:t>But Abraham replied, ‘They have Moses and the prophets;</w:t>
      </w:r>
    </w:p>
    <w:p>
      <w:pPr>
        <w:pStyle w:val="ListBullet"/>
        <w:spacing w:line="240" w:lineRule="auto"/>
        <w:ind w:left="720"/>
      </w:pPr>
      <w:r>
        <w:rPr>
          <w:lang w:val="en_US" w:bidi="en_US"/>
        </w:rPr>
      </w:r>
      <w:r>
        <w:rPr>
          <w:lang w:val="en_US" w:bidi="en_US"/>
        </w:rPr>
        <w:t xml:space="preserve">But Abraham said </w:t>
      </w:r>
      <w:r>
        <w:rPr>
          <w:lang w:val="en_US" w:bidi="en_US"/>
        </w:rPr>
        <w:t>to the rich man</w:t>
      </w:r>
      <w:r>
        <w:rPr>
          <w:lang w:val="en_US" w:bidi="en_US"/>
        </w:rPr>
        <w:t xml:space="preserve">, ‘They </w:t>
      </w:r>
      <w:r>
        <w:rPr>
          <w:lang w:val="en_US" w:bidi="en_US"/>
        </w:rPr>
        <w:t>already</w:t>
      </w:r>
      <w:r>
        <w:rPr>
          <w:lang w:val="en_US" w:bidi="en_US"/>
        </w:rPr>
        <w:t xml:space="preserve"> have </w:t>
      </w:r>
      <w:r>
        <w:rPr>
          <w:lang w:val="en_US" w:bidi="en_US"/>
        </w:rPr>
        <w:t>the writings of</w:t>
      </w:r>
      <w:r>
        <w:rPr>
          <w:lang w:val="en_US" w:bidi="en_US"/>
        </w:rPr>
        <w:t xml:space="preserve"> Moses and the prophets </w:t>
      </w:r>
      <w:r>
        <w:rPr>
          <w:lang w:val="en_US" w:bidi="en_US"/>
        </w:rPr>
        <w:t>to warn them</w:t>
      </w:r>
      <w:r>
        <w:rPr>
          <w:lang w:val="en_US" w:bidi="en_US"/>
        </w:rPr>
        <w:t>,</w:t>
      </w:r>
    </w:p>
    <w:p>
      <w:pPr>
        <w:pStyle w:val="ListBullet"/>
        <w:spacing w:line="240" w:lineRule="auto"/>
        <w:ind w:left="720"/>
      </w:pPr>
      <w:r>
        <w:rPr>
          <w:lang w:val="en_US" w:bidi="en_US"/>
        </w:rPr>
      </w:r>
      <w:r>
        <w:rPr>
          <w:lang w:val="en_US" w:bidi="en_US"/>
        </w:rPr>
        <w:t>But Abraham answered, ‘</w:t>
      </w:r>
      <w:r>
        <w:rPr>
          <w:lang w:val="en_US" w:bidi="en_US"/>
        </w:rPr>
        <w:t>Your</w:t>
      </w:r>
      <w:r>
        <w:rPr>
          <w:vertAlign w:val="superscript"/>
          <w:lang w:val="en_US" w:bidi="en_US"/>
        </w:rPr>
        <w:t>(sing)</w:t>
      </w:r>
      <w:r>
        <w:rPr>
          <w:lang w:val="en_US" w:bidi="en_US"/>
        </w:rPr>
        <w:t xml:space="preserve"> </w:t>
      </w:r>
      <w:r>
        <w:rPr>
          <w:lang w:val="en_US" w:bidi="en_US"/>
        </w:rPr>
        <w:t>siblings</w:t>
      </w:r>
      <w:r>
        <w:rPr>
          <w:lang w:val="en_US" w:bidi="en_US"/>
        </w:rPr>
        <w:t xml:space="preserve"> can read </w:t>
      </w:r>
      <w:r>
        <w:rPr>
          <w:lang w:val="en_US" w:bidi="en_US"/>
        </w:rPr>
        <w:t>what is written in</w:t>
      </w:r>
      <w:r>
        <w:rPr>
          <w:lang w:val="en_US" w:bidi="en_US"/>
        </w:rPr>
        <w:t xml:space="preserve"> </w:t>
      </w:r>
      <w:r>
        <w:rPr>
          <w:lang w:val="en_US" w:bidi="en_US"/>
        </w:rPr>
        <w:t>the Law of</w:t>
      </w:r>
      <w:r>
        <w:rPr>
          <w:lang w:val="en_US" w:bidi="en_US"/>
        </w:rPr>
        <w:t xml:space="preserve"> Moses and </w:t>
      </w:r>
      <w:r>
        <w:rPr>
          <w:lang w:val="en_US" w:bidi="en_US"/>
        </w:rPr>
        <w:t>the books of</w:t>
      </w:r>
      <w:r>
        <w:rPr>
          <w:lang w:val="en_US" w:bidi="en_US"/>
        </w:rPr>
        <w:t xml:space="preserve"> the prophets.</w:t>
      </w:r>
    </w:p>
    <w:p>
      <w:pPr/>
      <w:r>
        <w:rPr>
          <w:lang w:val="en_US" w:bidi="en_US"/>
        </w:rPr>
      </w:r>
      <w:r>
        <w:rPr>
          <w:b/>
          <w:lang w:val="en_US" w:bidi="en_US"/>
        </w:rPr>
        <w:t>But Abraham replied:</w:t>
      </w:r>
      <w:r>
        <w:rPr>
          <w:lang w:val="en_US" w:bidi="en_US"/>
        </w:rPr>
        <w:t xml:space="preserve"> In Greek this verse begins with a conjunction that the BSB translates as </w:t>
      </w:r>
      <w:r>
        <w:rPr>
          <w:i/>
          <w:lang w:val="en_US" w:bidi="en_US"/>
        </w:rPr>
        <w:t>But</w:t>
      </w:r>
      <w:r>
        <w:rPr>
          <w:lang w:val="en_US" w:bidi="en_US"/>
        </w:rPr>
        <w:t>. It introduces Abraham’s reply. This reply contrasted with what the rich man hoped that Abraham would say.</w:t>
      </w:r>
    </w:p>
    <w:p>
      <w:pPr/>
      <w:r>
        <w:rPr>
          <w:lang w:val="en_US" w:bidi="en_US"/>
        </w:rPr>
      </w:r>
      <w:r>
        <w:rPr>
          <w:b/>
          <w:lang w:val="en_US" w:bidi="en_US"/>
        </w:rPr>
        <w:t>They have Moses and the prophets:</w:t>
      </w:r>
      <w:r>
        <w:rPr>
          <w:lang w:val="en_US" w:bidi="en_US"/>
        </w:rPr>
        <w:t xml:space="preserve"> The clause </w:t>
      </w:r>
      <w:r>
        <w:rPr>
          <w:i/>
          <w:lang w:val="en_US" w:bidi="en_US"/>
        </w:rPr>
        <w:t>They have Moses and the prophets</w:t>
      </w:r>
      <w:r>
        <w:rPr>
          <w:lang w:val="en_US" w:bidi="en_US"/>
        </w:rPr>
        <w:t xml:space="preserve"> means that the writings of Moses and the Prophets were available for the brothers to read or listen to. Portions from the Hebrew Scriptures were read aloud every Sabbath day in the synagogue. Other ways to translate this are:</w:t>
      </w:r>
    </w:p>
    <w:p>
      <w:pPr/>
      <w:r>
        <w:rPr>
          <w:lang w:val="en_US" w:bidi="en_US"/>
        </w:rPr>
      </w:r>
      <w:r>
        <w:rPr>
          <w:lang w:val="en_US" w:bidi="en_US"/>
        </w:rPr>
        <w:t>They have the law of Moses and the writings of the prophets. (NCV)</w:t>
      </w:r>
    </w:p>
    <w:p>
      <w:pPr/>
      <w:r>
        <w:rPr>
          <w:lang w:val="en_US" w:bidi="en_US"/>
        </w:rPr>
      </w:r>
      <w:r>
        <w:rPr>
          <w:lang w:val="en_US" w:bidi="en_US"/>
        </w:rPr>
        <w:t>Your brothers can read what Moses and the prophets wrote. (CEV)</w:t>
      </w:r>
    </w:p>
    <w:p>
      <w:pPr/>
      <w:r>
        <w:rPr>
          <w:lang w:val="en_US" w:bidi="en_US"/>
        </w:rPr>
      </w:r>
      <w:r>
        <w:rPr>
          <w:lang w:val="en_US" w:bidi="en_US"/>
        </w:rPr>
        <w:t>It is implied that these writings would serve as a warning to the brothers. Here is a way to make this explicit:</w:t>
      </w:r>
    </w:p>
    <w:p>
      <w:pPr/>
      <w:r>
        <w:rPr>
          <w:lang w:val="en_US" w:bidi="en_US"/>
        </w:rPr>
      </w:r>
      <w:r>
        <w:rPr>
          <w:lang w:val="en_US" w:bidi="en_US"/>
        </w:rPr>
        <w:t xml:space="preserve">Your brothers have Moses and the prophets </w:t>
      </w:r>
      <w:r>
        <w:rPr>
          <w:u w:val="single"/>
          <w:lang w:val="en_US" w:bidi="en_US"/>
        </w:rPr>
        <w:t>to warn them</w:t>
      </w:r>
      <w:r>
        <w:rPr>
          <w:lang w:val="en_US" w:bidi="en_US"/>
        </w:rPr>
        <w:t>. (GNT)</w:t>
      </w:r>
    </w:p>
    <w:p>
      <w:pPr/>
      <w:r>
        <w:rPr>
          <w:lang w:val="en_US" w:bidi="en_US"/>
        </w:rPr>
      </w:r>
      <w:r>
        <w:rPr>
          <w:lang w:val="en_US" w:bidi="en_US"/>
        </w:rPr>
        <w:t>Consider whether you need to make this information explicit in your language.</w:t>
      </w:r>
    </w:p>
    <w:p>
      <w:pPr/>
      <w:r>
        <w:rPr>
          <w:lang w:val="en_US" w:bidi="en_US"/>
        </w:rPr>
      </w:r>
      <w:r>
        <w:rPr>
          <w:b/>
          <w:lang w:val="en_US" w:bidi="en_US"/>
        </w:rPr>
        <w:t>Moses and the prophets:</w:t>
      </w:r>
      <w:r>
        <w:rPr>
          <w:lang w:val="en_US" w:bidi="en_US"/>
        </w:rPr>
        <w:t xml:space="preserve"> The phrase </w:t>
      </w:r>
      <w:r>
        <w:rPr>
          <w:i/>
          <w:lang w:val="en_US" w:bidi="en_US"/>
        </w:rPr>
        <w:t>Moses and the prophets</w:t>
      </w:r>
      <w:r>
        <w:rPr>
          <w:lang w:val="en_US" w:bidi="en_US"/>
        </w:rPr>
        <w:t xml:space="preserve"> refers to the same thing as the phrase “the Law and the Prophets” in 16:16a.</w:t>
      </w:r>
    </w:p>
    <w:p>
      <w:pPr>
        <w:pStyle w:val="Heading5"/>
      </w:pPr>
      <w:r>
        <w:rPr>
          <w:lang w:val="en_US" w:bidi="en_US"/>
        </w:rPr>
        <w:t>16:29b</w:t>
      </w:r>
    </w:p>
    <w:p>
      <w:pPr/>
      <w:r>
        <w:rPr>
          <w:lang w:val="en_US" w:bidi="en_US"/>
        </w:rPr>
      </w:r>
      <w:r>
        <w:rPr>
          <w:b/>
          <w:lang w:val="en_US" w:bidi="en_US"/>
        </w:rPr>
        <w:t>let your brothers listen to them.’</w:t>
      </w:r>
    </w:p>
    <w:p>
      <w:pPr>
        <w:pStyle w:val="ListBullet"/>
        <w:spacing w:line="240" w:lineRule="auto"/>
        <w:ind w:left="720"/>
      </w:pPr>
      <w:r>
        <w:rPr>
          <w:lang w:val="en_US" w:bidi="en_US"/>
        </w:rPr>
      </w:r>
      <w:r>
        <w:rPr>
          <w:lang w:val="en_US" w:bidi="en_US"/>
        </w:rPr>
        <w:t>and your brothers should listen to what they say.’</w:t>
      </w:r>
    </w:p>
    <w:p>
      <w:pPr>
        <w:pStyle w:val="ListBullet"/>
        <w:spacing w:line="240" w:lineRule="auto"/>
        <w:ind w:left="720"/>
      </w:pPr>
      <w:r>
        <w:rPr>
          <w:lang w:val="en_US" w:bidi="en_US"/>
        </w:rPr>
      </w:r>
      <w:r>
        <w:rPr>
          <w:lang w:val="en_US" w:bidi="en_US"/>
        </w:rPr>
        <w:t>They should pay attention to what is written there.’</w:t>
      </w:r>
    </w:p>
    <w:p>
      <w:pPr/>
      <w:r>
        <w:rPr>
          <w:lang w:val="en_US" w:bidi="en_US"/>
        </w:rPr>
      </w:r>
      <w:r>
        <w:rPr>
          <w:b/>
          <w:lang w:val="en_US" w:bidi="en_US"/>
        </w:rPr>
        <w:t>let your brothers listen to them:</w:t>
      </w:r>
      <w:r>
        <w:rPr>
          <w:lang w:val="en_US" w:bidi="en_US"/>
        </w:rPr>
        <w:t xml:space="preserve"> The Greek word that the BSB translates as </w:t>
      </w:r>
      <w:r>
        <w:rPr>
          <w:i/>
          <w:lang w:val="en_US" w:bidi="en_US"/>
        </w:rPr>
        <w:t>listen</w:t>
      </w:r>
      <w:r>
        <w:rPr>
          <w:lang w:val="en_US" w:bidi="en_US"/>
        </w:rPr>
        <w:t xml:space="preserve"> here means “pay attention to.” Abraham was saying that the rich man’s brothers should read or listen to someone else reading the message of the Old Testament and then obey it. Other ways to translate this are:</w:t>
      </w:r>
    </w:p>
    <w:p>
      <w:pPr/>
      <w:r>
        <w:rPr>
          <w:lang w:val="en_US" w:bidi="en_US"/>
        </w:rPr>
      </w:r>
      <w:r>
        <w:rPr>
          <w:lang w:val="en_US" w:bidi="en_US"/>
        </w:rPr>
        <w:t>…let them learn from them. (NCV)</w:t>
      </w:r>
    </w:p>
    <w:p>
      <w:pPr/>
      <w:r>
        <w:rPr>
          <w:lang w:val="en_US" w:bidi="en_US"/>
        </w:rPr>
      </w:r>
      <w:r>
        <w:rPr>
          <w:lang w:val="en_US" w:bidi="en_US"/>
        </w:rPr>
        <w:t>They should pay attention to that. (CEV)</w:t>
      </w:r>
      <w:r>
        <w:rPr>
          <w:lang w:val="en_US" w:bidi="en_US"/>
        </w:rPr>
      </w:r>
      <w:r>
        <w:rPr>
          <w:lang w:val="en_US" w:bidi="en_US"/>
        </w:rPr>
      </w:r>
    </w:p>
    <w:p>
      <w:pPr/>
      <w:r>
        <w:rPr>
          <w:lang w:val="en_US" w:bidi="en_US"/>
        </w:rPr>
      </w:r>
    </w:p>
    <w:p>
      <w:pPr>
        <w:pStyle w:val="Heading2"/>
      </w:pPr>
      <w:r>
        <w:rPr>
          <w:lang w:val="en_US" w:bidi="en_US"/>
        </w:rPr>
        <w:t>Luke 16:30</w:t>
      </w:r>
      <w:r>
        <w:rPr>
          <w:lang w:val="en_US" w:bidi="en_US"/>
        </w:rPr>
      </w:r>
    </w:p>
    <w:p>
      <w:pPr>
        <w:pStyle w:val="Heading4"/>
      </w:pPr>
      <w:r>
        <w:rPr>
          <w:lang w:val="en_US" w:bidi="en_US"/>
        </w:rPr>
        <w:t>Section 16:19–31: Jesus told a parable about a rich man and a poor man</w:t>
      </w:r>
    </w:p>
    <w:p>
      <w:pPr/>
      <w:r>
        <w:rPr>
          <w:lang w:val="en_US" w:bidi="en_US"/>
        </w:rPr>
      </w:r>
      <w:r>
        <w:rPr>
          <w:lang w:val="en_US" w:bidi="en_US"/>
        </w:rP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pPr/>
      <w:r>
        <w:rPr>
          <w:lang w:val="en_US" w:bidi="en_US"/>
        </w:rPr>
      </w:r>
      <w:r>
        <w:rPr>
          <w:lang w:val="en_US" w:bidi="en_US"/>
        </w:rPr>
        <w:t>Another heading for this section is:</w:t>
      </w:r>
    </w:p>
    <w:p>
      <w:pPr/>
      <w:r>
        <w:rPr>
          <w:lang w:val="en_US" w:bidi="en_US"/>
        </w:rPr>
      </w:r>
      <w:r>
        <w:rPr>
          <w:lang w:val="en_US" w:bidi="en_US"/>
        </w:rPr>
        <w:t>The Rich Man and Lazarus (NCV)</w:t>
      </w:r>
    </w:p>
    <w:p>
      <w:pPr>
        <w:pStyle w:val="Heading5"/>
      </w:pPr>
      <w:r>
        <w:rPr>
          <w:lang w:val="en_US" w:bidi="en_US"/>
        </w:rPr>
        <w:t>16:30a</w:t>
      </w:r>
    </w:p>
    <w:p>
      <w:pPr/>
      <w:r>
        <w:rPr>
          <w:lang w:val="en_US" w:bidi="en_US"/>
        </w:rPr>
      </w:r>
      <w:r>
        <w:rPr>
          <w:b/>
          <w:lang w:val="en_US" w:bidi="en_US"/>
        </w:rPr>
        <w:t>‘No, father Abraham,’ he said,</w:t>
      </w:r>
    </w:p>
    <w:p>
      <w:pPr>
        <w:pStyle w:val="ListBullet"/>
        <w:spacing w:line="240" w:lineRule="auto"/>
        <w:ind w:left="720"/>
      </w:pPr>
      <w:r>
        <w:rPr>
          <w:lang w:val="en_US" w:bidi="en_US"/>
        </w:rPr>
      </w:r>
      <w:r>
        <w:rPr>
          <w:lang w:val="en_US" w:bidi="en_US"/>
        </w:rPr>
        <w:t xml:space="preserve">He said ‘No, father Abraham, </w:t>
      </w:r>
      <w:r>
        <w:rPr>
          <w:lang w:val="en_US" w:bidi="en_US"/>
        </w:rPr>
        <w:t>that is not enough</w:t>
      </w:r>
      <w:r>
        <w:rPr>
          <w:lang w:val="en_US" w:bidi="en_US"/>
        </w:rPr>
        <w:t>.</w:t>
      </w:r>
    </w:p>
    <w:p>
      <w:pPr>
        <w:pStyle w:val="ListBullet"/>
        <w:spacing w:line="240" w:lineRule="auto"/>
        <w:ind w:left="720"/>
      </w:pPr>
      <w:r>
        <w:rPr>
          <w:lang w:val="en_US" w:bidi="en_US"/>
        </w:rPr>
      </w:r>
      <w:r>
        <w:rPr>
          <w:lang w:val="en_US" w:bidi="en_US"/>
        </w:rPr>
        <w:t>But</w:t>
      </w:r>
      <w:r>
        <w:rPr>
          <w:lang w:val="en_US" w:bidi="en_US"/>
        </w:rPr>
        <w:t xml:space="preserve"> </w:t>
      </w:r>
      <w:r>
        <w:rPr>
          <w:lang w:val="en_US" w:bidi="en_US"/>
        </w:rPr>
        <w:t>the rich man</w:t>
      </w:r>
      <w:r>
        <w:rPr>
          <w:lang w:val="en_US" w:bidi="en_US"/>
        </w:rPr>
        <w:t xml:space="preserve"> replied, ‘No, </w:t>
      </w:r>
      <w:r>
        <w:rPr>
          <w:lang w:val="en_US" w:bidi="en_US"/>
        </w:rPr>
        <w:t>the Scriptures will not cause them to repent,</w:t>
      </w:r>
      <w:r>
        <w:rPr>
          <w:lang w:val="en_US" w:bidi="en_US"/>
        </w:rPr>
        <w:t xml:space="preserve"> ancestor Abraham.</w:t>
      </w:r>
    </w:p>
    <w:p>
      <w:pPr>
        <w:pStyle w:val="ListBullet"/>
        <w:spacing w:line="240" w:lineRule="auto"/>
        <w:ind w:left="720"/>
      </w:pPr>
      <w:r>
        <w:rPr>
          <w:lang w:val="en_US" w:bidi="en_US"/>
        </w:rPr>
      </w:r>
      <w:r>
        <w:rPr>
          <w:lang w:val="en_US" w:bidi="en_US"/>
        </w:rPr>
        <w:t>The rich man</w:t>
      </w:r>
      <w:r>
        <w:rPr>
          <w:lang w:val="en_US" w:bidi="en_US"/>
        </w:rPr>
        <w:t xml:space="preserve"> answered Abraham, ‘That will not work, honorable ancestor!</w:t>
      </w:r>
    </w:p>
    <w:p>
      <w:pPr/>
      <w:r>
        <w:rPr>
          <w:lang w:val="en_US" w:bidi="en_US"/>
        </w:rPr>
      </w:r>
      <w:r>
        <w:rPr>
          <w:b/>
          <w:lang w:val="en_US" w:bidi="en_US"/>
        </w:rPr>
        <w:t>No:</w:t>
      </w:r>
      <w:r>
        <w:rPr>
          <w:lang w:val="en_US" w:bidi="en_US"/>
        </w:rPr>
        <w:t xml:space="preserve"> The word </w:t>
      </w:r>
      <w:r>
        <w:rPr>
          <w:i/>
          <w:lang w:val="en_US" w:bidi="en_US"/>
        </w:rPr>
        <w:t>No</w:t>
      </w:r>
      <w:r>
        <w:rPr>
          <w:lang w:val="en_US" w:bidi="en_US"/>
        </w:rPr>
        <w:t xml:space="preserve"> in this context implies “No, that is not enough/sufficient.” The rich man believed that hearing or reading the words of Moses and the Prophets would not cause his brothers to repent. He thought that they needed something more. In some languages it may be helpful to make this information explicit, with or without the word </w:t>
      </w:r>
      <w:r>
        <w:rPr>
          <w:i/>
          <w:lang w:val="en_US" w:bidi="en_US"/>
        </w:rPr>
        <w:t>No</w:t>
      </w:r>
      <w:r>
        <w:rPr>
          <w:lang w:val="en_US" w:bidi="en_US"/>
        </w:rPr>
        <w:t>. For example:</w:t>
      </w:r>
    </w:p>
    <w:p>
      <w:pPr/>
      <w:r>
        <w:rPr>
          <w:lang w:val="en_US" w:bidi="en_US"/>
        </w:rPr>
      </w:r>
      <w:r>
        <w:rPr>
          <w:lang w:val="en_US" w:bidi="en_US"/>
        </w:rPr>
        <w:t>No, that’s not enough! (CEV)</w:t>
      </w:r>
    </w:p>
    <w:p>
      <w:pPr/>
      <w:r>
        <w:rPr>
          <w:lang w:val="en_US" w:bidi="en_US"/>
        </w:rPr>
      </w:r>
      <w:r>
        <w:rPr>
          <w:lang w:val="en_US" w:bidi="en_US"/>
        </w:rPr>
        <w:t>That is not enough (GNT)</w:t>
      </w:r>
    </w:p>
    <w:p>
      <w:pPr/>
      <w:r>
        <w:rPr>
          <w:lang w:val="en_US" w:bidi="en_US"/>
        </w:rPr>
      </w:r>
      <w:r>
        <w:rPr>
          <w:b/>
          <w:lang w:val="en_US" w:bidi="en_US"/>
        </w:rPr>
        <w:t>he said:</w:t>
      </w:r>
      <w:r>
        <w:rPr>
          <w:lang w:val="en_US" w:bidi="en_US"/>
        </w:rPr>
        <w:t xml:space="preserve"> The BSB has placed the phrase </w:t>
      </w:r>
      <w:r>
        <w:rPr>
          <w:i/>
          <w:lang w:val="en_US" w:bidi="en_US"/>
        </w:rPr>
        <w:t>he said</w:t>
      </w:r>
      <w:r>
        <w:rPr>
          <w:lang w:val="en_US" w:bidi="en_US"/>
        </w:rPr>
        <w:t xml:space="preserve"> in the middle of what the rich man was saying. Place it where it is most natural in your language.</w:t>
      </w:r>
    </w:p>
    <w:p>
      <w:pPr>
        <w:pStyle w:val="Heading5"/>
      </w:pPr>
      <w:r>
        <w:rPr>
          <w:lang w:val="en_US" w:bidi="en_US"/>
        </w:rPr>
        <w:t>16:30b</w:t>
      </w:r>
    </w:p>
    <w:p>
      <w:pPr/>
      <w:r>
        <w:rPr>
          <w:lang w:val="en_US" w:bidi="en_US"/>
        </w:rPr>
      </w:r>
      <w:r>
        <w:rPr>
          <w:b/>
          <w:lang w:val="en_US" w:bidi="en_US"/>
        </w:rPr>
        <w:t>‘but if someone is sent to them from the dead,</w:t>
      </w:r>
    </w:p>
    <w:p>
      <w:pPr>
        <w:pStyle w:val="ListBullet"/>
        <w:spacing w:line="240" w:lineRule="auto"/>
        <w:ind w:left="720"/>
      </w:pPr>
      <w:r>
        <w:rPr>
          <w:lang w:val="en_US" w:bidi="en_US"/>
        </w:rPr>
      </w:r>
      <w:r>
        <w:rPr>
          <w:lang w:val="en_US" w:bidi="en_US"/>
        </w:rPr>
        <w:t>But if someone who died goes to them,</w:t>
      </w:r>
    </w:p>
    <w:p>
      <w:pPr>
        <w:pStyle w:val="ListBullet"/>
        <w:spacing w:line="240" w:lineRule="auto"/>
        <w:ind w:left="720"/>
      </w:pPr>
      <w:r>
        <w:rPr>
          <w:lang w:val="en_US" w:bidi="en_US"/>
        </w:rPr>
      </w:r>
      <w:r>
        <w:rPr>
          <w:lang w:val="en_US" w:bidi="en_US"/>
        </w:rPr>
        <w:t xml:space="preserve">But if a messenger goes from the </w:t>
      </w:r>
      <w:r>
        <w:rPr>
          <w:lang w:val="en_US" w:bidi="en_US"/>
        </w:rPr>
        <w:t>place of</w:t>
      </w:r>
      <w:r>
        <w:rPr>
          <w:lang w:val="en_US" w:bidi="en_US"/>
        </w:rPr>
        <w:t xml:space="preserve"> the dead </w:t>
      </w:r>
      <w:r>
        <w:rPr>
          <w:lang w:val="en_US" w:bidi="en_US"/>
        </w:rPr>
        <w:t>and speaks</w:t>
      </w:r>
      <w:r>
        <w:rPr>
          <w:lang w:val="en_US" w:bidi="en_US"/>
        </w:rPr>
        <w:t xml:space="preserve"> to them,</w:t>
      </w:r>
    </w:p>
    <w:p>
      <w:pPr>
        <w:pStyle w:val="Heading5"/>
      </w:pPr>
      <w:r>
        <w:rPr>
          <w:lang w:val="en_US" w:bidi="en_US"/>
        </w:rPr>
        <w:t>16:30b–c</w:t>
      </w:r>
    </w:p>
    <w:p>
      <w:pPr/>
      <w:r>
        <w:rPr>
          <w:lang w:val="en_US" w:bidi="en_US"/>
        </w:rPr>
      </w:r>
      <w:r>
        <w:rPr>
          <w:b/>
          <w:lang w:val="en_US" w:bidi="en_US"/>
        </w:rPr>
        <w:t>but if someone is sent to them from the dead, they will repent:</w:t>
      </w:r>
      <w:r>
        <w:rPr>
          <w:lang w:val="en_US" w:bidi="en_US"/>
        </w:rPr>
        <w:t xml:space="preserve"> The rich man was thinking that if someone from the place of the dead visited his brothers, that would cause them to repent. Some other ways to translate this are:</w:t>
      </w:r>
    </w:p>
    <w:p>
      <w:pPr/>
      <w:r>
        <w:rPr>
          <w:lang w:val="en_US" w:bidi="en_US"/>
        </w:rPr>
      </w:r>
      <w:r>
        <w:rPr>
          <w:lang w:val="en_US" w:bidi="en_US"/>
        </w:rPr>
        <w:t>There must be a dead person who lives again to go talk to them, and only then will they repent from their sins!</w:t>
      </w:r>
      <w:r>
        <w:rPr>
          <w:lang w:val="en_US" w:bidi="en_US"/>
        </w:rPr>
        <w:t>Uma back translation on TW.</w:t>
      </w:r>
    </w:p>
    <w:p>
      <w:pPr/>
      <w:r>
        <w:rPr>
          <w:lang w:val="en_US" w:bidi="en_US"/>
        </w:rPr>
      </w:r>
      <w:r>
        <w:rPr>
          <w:lang w:val="en_US" w:bidi="en_US"/>
        </w:rPr>
        <w:t>If there were someone who went from the place of the dead to go to them, they would repent of their sins.</w:t>
      </w:r>
      <w:r>
        <w:rPr>
          <w:lang w:val="en_US" w:bidi="en_US"/>
        </w:rPr>
        <w:t>Kankanaey back translation on TW.</w:t>
      </w:r>
    </w:p>
    <w:p>
      <w:pPr/>
      <w:r>
        <w:rPr>
          <w:lang w:val="en_US" w:bidi="en_US"/>
        </w:rPr>
      </w:r>
      <w:r>
        <w:rPr>
          <w:b/>
          <w:lang w:val="en_US" w:bidi="en_US"/>
        </w:rPr>
        <w:t>someone is sent to them from the dead:</w:t>
      </w:r>
      <w:r>
        <w:rPr>
          <w:lang w:val="en_US" w:bidi="en_US"/>
        </w:rPr>
        <w:t xml:space="preserve"> It is possible that the phrase </w:t>
      </w:r>
      <w:r>
        <w:rPr>
          <w:i/>
          <w:lang w:val="en_US" w:bidi="en_US"/>
        </w:rPr>
        <w:t>someone is sent to them from the dead</w:t>
      </w:r>
      <w:r>
        <w:rPr>
          <w:lang w:val="en_US" w:bidi="en_US"/>
        </w:rPr>
        <w:t xml:space="preserve"> refers to someone who comes back to life. For example:</w:t>
      </w:r>
    </w:p>
    <w:p>
      <w:pPr/>
      <w:r>
        <w:rPr>
          <w:lang w:val="en_US" w:bidi="en_US"/>
        </w:rPr>
      </w:r>
      <w:r>
        <w:rPr>
          <w:lang w:val="en_US" w:bidi="en_US"/>
        </w:rPr>
        <w:t>if someone were to rise from death (GNT)</w:t>
      </w:r>
    </w:p>
    <w:p>
      <w:pPr/>
      <w:r>
        <w:rPr>
          <w:lang w:val="en_US" w:bidi="en_US"/>
        </w:rPr>
      </w:r>
      <w:r>
        <w:rPr>
          <w:lang w:val="en_US" w:bidi="en_US"/>
        </w:rPr>
        <w:t>Although the next verse clearly refers to someone rising from the dead, this phrase (16:30b) is more ambiguous. It could refer to a messenger from the dead or to a spirit who took the form of a person who had died. It could also refer to a dream about a dead person. If possible, you should translate in a general way that would allow for these different possibilities.</w:t>
      </w:r>
    </w:p>
    <w:p>
      <w:pPr/>
      <w:r>
        <w:rPr>
          <w:lang w:val="en_US" w:bidi="en_US"/>
        </w:rPr>
      </w:r>
      <w:r>
        <w:rPr>
          <w:b/>
          <w:lang w:val="en_US" w:bidi="en_US"/>
        </w:rPr>
        <w:t>is sent to them:</w:t>
      </w:r>
      <w:r>
        <w:rPr>
          <w:lang w:val="en_US" w:bidi="en_US"/>
        </w:rPr>
        <w:t xml:space="preserve"> It is implied but not stated explicitly that the visitor from the dead would go to speak to the brothers and warn them to repent. In some languages it will be necessary to make this explicit. For example:</w:t>
      </w:r>
    </w:p>
    <w:p>
      <w:pPr/>
      <w:r>
        <w:rPr>
          <w:lang w:val="en_US" w:bidi="en_US"/>
        </w:rPr>
      </w:r>
      <w:r>
        <w:rPr>
          <w:lang w:val="en_US" w:bidi="en_US"/>
        </w:rPr>
        <w:t xml:space="preserve">goes </w:t>
      </w:r>
      <w:r>
        <w:rPr>
          <w:lang w:val="en_US" w:bidi="en_US"/>
        </w:rPr>
        <w:t>and speaks</w:t>
      </w:r>
      <w:r>
        <w:rPr>
          <w:lang w:val="en_US" w:bidi="en_US"/>
        </w:rPr>
        <w:t xml:space="preserve"> to them</w:t>
      </w:r>
    </w:p>
    <w:p>
      <w:pPr/>
      <w:r>
        <w:rPr>
          <w:lang w:val="en_US" w:bidi="en_US"/>
        </w:rPr>
      </w:r>
      <w:r>
        <w:rPr>
          <w:lang w:val="en_US" w:bidi="en_US"/>
        </w:rPr>
        <w:t xml:space="preserve">The Greek phrase that the BSB translates as </w:t>
      </w:r>
      <w:r>
        <w:rPr>
          <w:i/>
          <w:lang w:val="en_US" w:bidi="en_US"/>
        </w:rPr>
        <w:t>is sent to them</w:t>
      </w:r>
      <w:r>
        <w:rPr>
          <w:lang w:val="en_US" w:bidi="en_US"/>
        </w:rPr>
        <w:t xml:space="preserve"> is literally “goes to them.” While the idea of sending is not explicit in the Greek text, it is present implicitly, since the rich man is requesting Abraham to send Lazarus (16:27). If you wish to express this idea in your translation, it may be natural to use an active form. For example:</w:t>
      </w:r>
    </w:p>
    <w:p>
      <w:pPr/>
      <w:r>
        <w:rPr>
          <w:lang w:val="en_US" w:bidi="en_US"/>
        </w:rPr>
      </w:r>
      <w:r>
        <w:rPr>
          <w:lang w:val="en_US" w:bidi="en_US"/>
        </w:rPr>
        <w:t>but if you send someone from the dead</w:t>
      </w:r>
    </w:p>
    <w:p>
      <w:pPr>
        <w:pStyle w:val="Heading5"/>
      </w:pPr>
      <w:r>
        <w:rPr>
          <w:lang w:val="en_US" w:bidi="en_US"/>
        </w:rPr>
        <w:t>16:30c</w:t>
      </w:r>
    </w:p>
    <w:p>
      <w:pPr/>
      <w:r>
        <w:rPr>
          <w:lang w:val="en_US" w:bidi="en_US"/>
        </w:rPr>
      </w:r>
      <w:r>
        <w:rPr>
          <w:b/>
          <w:lang w:val="en_US" w:bidi="en_US"/>
        </w:rPr>
        <w:t>they will repent.’</w:t>
      </w:r>
    </w:p>
    <w:p>
      <w:pPr>
        <w:pStyle w:val="ListBullet"/>
        <w:spacing w:line="240" w:lineRule="auto"/>
        <w:ind w:left="720"/>
      </w:pPr>
      <w:r>
        <w:rPr>
          <w:lang w:val="en_US" w:bidi="en_US"/>
        </w:rPr>
      </w:r>
      <w:r>
        <w:rPr>
          <w:lang w:val="en_US" w:bidi="en_US"/>
        </w:rPr>
        <w:t>then</w:t>
      </w:r>
      <w:r>
        <w:rPr>
          <w:lang w:val="en_US" w:bidi="en_US"/>
        </w:rPr>
        <w:t xml:space="preserve"> they will repent.’</w:t>
      </w:r>
    </w:p>
    <w:p>
      <w:pPr>
        <w:pStyle w:val="ListBullet"/>
        <w:spacing w:line="240" w:lineRule="auto"/>
        <w:ind w:left="720"/>
      </w:pPr>
      <w:r>
        <w:rPr>
          <w:lang w:val="en_US" w:bidi="en_US"/>
        </w:rPr>
      </w:r>
      <w:r>
        <w:rPr>
          <w:lang w:val="en_US" w:bidi="en_US"/>
        </w:rPr>
        <w:t>they will turn from their sins.’</w:t>
      </w:r>
    </w:p>
    <w:p>
      <w:pPr/>
      <w:r>
        <w:rPr>
          <w:lang w:val="en_US" w:bidi="en_US"/>
        </w:rPr>
      </w:r>
      <w:r>
        <w:rPr>
          <w:b/>
          <w:lang w:val="en_US" w:bidi="en_US"/>
        </w:rPr>
        <w:t>they will repent:</w:t>
      </w:r>
      <w:r>
        <w:rPr>
          <w:lang w:val="en_US" w:bidi="en_US"/>
        </w:rPr>
        <w:t xml:space="preserve"> The Greek word that the BSB translates as </w:t>
      </w:r>
      <w:r>
        <w:rPr>
          <w:i/>
          <w:lang w:val="en_US" w:bidi="en_US"/>
        </w:rPr>
        <w:t>repent</w:t>
      </w:r>
      <w:r>
        <w:rPr>
          <w:lang w:val="en_US" w:bidi="en_US"/>
        </w:rPr>
        <w:t xml:space="preserve"> means that a person will “change his mind, heart, or will.” In the Bible, it refers specifically to a person’s changing his mind and heart about sin and about God. When a person repents, he is sorry for his past sins. He decides to stop sinning and obey God.</w:t>
      </w:r>
    </w:p>
    <w:p>
      <w:pPr/>
      <w:r>
        <w:rPr>
          <w:lang w:val="en_US" w:bidi="en_US"/>
        </w:rPr>
      </w:r>
      <w:r>
        <w:rPr>
          <w:lang w:val="en_US" w:bidi="en_US"/>
        </w:rPr>
        <w:t xml:space="preserve">Some ways to translate </w:t>
      </w:r>
      <w:r>
        <w:rPr>
          <w:i/>
          <w:lang w:val="en_US" w:bidi="en_US"/>
        </w:rPr>
        <w:t>repent</w:t>
      </w:r>
      <w:r>
        <w:rPr>
          <w:lang w:val="en_US" w:bidi="en_US"/>
        </w:rPr>
        <w:t xml:space="preserve"> in this context are:</w:t>
      </w:r>
    </w:p>
    <w:p>
      <w:pPr/>
      <w:r>
        <w:rPr>
          <w:lang w:val="en_US" w:bidi="en_US"/>
        </w:rPr>
      </w:r>
      <w:r>
        <w:rPr>
          <w:lang w:val="en_US" w:bidi="en_US"/>
        </w:rPr>
        <w:t>they will change their thinking/mind/heart</w:t>
      </w:r>
    </w:p>
    <w:p>
      <w:pPr/>
      <w:r>
        <w:rPr>
          <w:lang w:val="en_US" w:bidi="en_US"/>
        </w:rPr>
      </w:r>
      <w:r>
        <w:rPr>
          <w:lang w:val="en_US" w:bidi="en_US"/>
        </w:rPr>
        <w:t>they will reject their sins</w:t>
      </w:r>
    </w:p>
    <w:p>
      <w:pPr/>
      <w:r>
        <w:rPr>
          <w:lang w:val="en_US" w:bidi="en_US"/>
        </w:rPr>
      </w:r>
      <w:r>
        <w:rPr>
          <w:lang w:val="en_US" w:bidi="en_US"/>
        </w:rPr>
        <w:t>they would turn from their sins (GNT)</w:t>
      </w:r>
    </w:p>
    <w:p>
      <w:pPr/>
      <w:r>
        <w:rPr>
          <w:lang w:val="en_US" w:bidi="en_US"/>
        </w:rPr>
      </w:r>
      <w:r>
        <w:rPr>
          <w:lang w:val="en_US" w:bidi="en_US"/>
        </w:rPr>
        <w:t>they will turn to God and change the way they think and act (GW)</w:t>
      </w:r>
    </w:p>
    <w:p>
      <w:pPr/>
      <w:r>
        <w:rPr>
          <w:lang w:val="en_US" w:bidi="en_US"/>
        </w:rPr>
      </w:r>
      <w:r>
        <w:rPr>
          <w:lang w:val="en_US" w:bidi="en_US"/>
        </w:rPr>
        <w:t>This word also occurs in 15:7b.</w:t>
      </w:r>
      <w:r>
        <w:rPr>
          <w:lang w:val="en_US" w:bidi="en_US"/>
        </w:rPr>
      </w:r>
      <w:r>
        <w:rPr>
          <w:lang w:val="en_US" w:bidi="en_US"/>
        </w:rPr>
      </w:r>
    </w:p>
    <w:p>
      <w:pPr/>
      <w:r>
        <w:rPr>
          <w:lang w:val="en_US" w:bidi="en_US"/>
        </w:rPr>
      </w:r>
    </w:p>
    <w:p>
      <w:pPr>
        <w:pStyle w:val="Heading2"/>
      </w:pPr>
      <w:r>
        <w:rPr>
          <w:lang w:val="en_US" w:bidi="en_US"/>
        </w:rPr>
        <w:t>Luke 16:31</w:t>
      </w:r>
      <w:r>
        <w:rPr>
          <w:lang w:val="en_US" w:bidi="en_US"/>
        </w:rPr>
      </w:r>
    </w:p>
    <w:p>
      <w:pPr>
        <w:pStyle w:val="Heading4"/>
      </w:pPr>
      <w:r>
        <w:rPr>
          <w:lang w:val="en_US" w:bidi="en_US"/>
        </w:rPr>
        <w:t>Section 16:19–31: Jesus told a parable about a rich man and a poor man</w:t>
      </w:r>
    </w:p>
    <w:p>
      <w:pPr/>
      <w:r>
        <w:rPr>
          <w:lang w:val="en_US" w:bidi="en_US"/>
        </w:rPr>
      </w:r>
      <w:r>
        <w:rPr>
          <w:lang w:val="en_US" w:bidi="en_US"/>
        </w:rPr>
        <w:t>In this section Jesus told a parable that contrasted the lives of a rich man and a poor man before and after they died. On this earth, the rich man had everything he wanted. The poor man lived in misery (16:19–21). After they died, their situations were the opposite. When the poor man died, angels took him to a wonderful place to be with Abraham. When the rich man died, he went to Hades where he suffered greatly (16:22–23). The rich man pleaded with Abraham for relief, but Abraham said that nothing could be done to change his situation (16:24–26). When the rich man asked Abraham to send Lazarus to warn his brothers, Abraham replied that they already had God’s word to warn them. If they did not pay attention to God’s word, they would also not pay attention if a dead person came back and warned them (16:27–31).</w:t>
      </w:r>
    </w:p>
    <w:p>
      <w:pPr/>
      <w:r>
        <w:rPr>
          <w:lang w:val="en_US" w:bidi="en_US"/>
        </w:rPr>
      </w:r>
      <w:r>
        <w:rPr>
          <w:lang w:val="en_US" w:bidi="en_US"/>
        </w:rPr>
        <w:t>Another heading for this section is:</w:t>
      </w:r>
    </w:p>
    <w:p>
      <w:pPr/>
      <w:r>
        <w:rPr>
          <w:lang w:val="en_US" w:bidi="en_US"/>
        </w:rPr>
      </w:r>
      <w:r>
        <w:rPr>
          <w:lang w:val="en_US" w:bidi="en_US"/>
        </w:rPr>
        <w:t>The Rich Man and Lazarus (NCV)</w:t>
      </w:r>
    </w:p>
    <w:p>
      <w:pPr>
        <w:pStyle w:val="Heading5"/>
      </w:pPr>
      <w:r>
        <w:rPr>
          <w:lang w:val="en_US" w:bidi="en_US"/>
        </w:rPr>
        <w:t>16:31a</w:t>
      </w:r>
    </w:p>
    <w:p>
      <w:pPr/>
      <w:r>
        <w:rPr>
          <w:lang w:val="en_US" w:bidi="en_US"/>
        </w:rPr>
      </w:r>
      <w:r>
        <w:rPr>
          <w:b/>
          <w:lang w:val="en_US" w:bidi="en_US"/>
        </w:rPr>
        <w:t>Then Abraham said to him, ‘If they do not listen to Moses and the prophets,</w:t>
      </w:r>
    </w:p>
    <w:p>
      <w:pPr>
        <w:pStyle w:val="ListBullet"/>
        <w:spacing w:line="240" w:lineRule="auto"/>
        <w:ind w:left="720"/>
      </w:pPr>
      <w:r>
        <w:rPr>
          <w:lang w:val="en_US" w:bidi="en_US"/>
        </w:rPr>
      </w:r>
      <w:r>
        <w:rPr>
          <w:lang w:val="en_US" w:bidi="en_US"/>
        </w:rPr>
        <w:t xml:space="preserve">But </w:t>
      </w:r>
      <w:r>
        <w:rPr>
          <w:lang w:val="en_US" w:bidi="en_US"/>
        </w:rPr>
        <w:t>Abraham</w:t>
      </w:r>
      <w:r>
        <w:rPr>
          <w:lang w:val="en_US" w:bidi="en_US"/>
        </w:rPr>
        <w:t xml:space="preserve"> said to him, ‘If they do not pay attention to the writings of Moses and the prophets,</w:t>
      </w:r>
    </w:p>
    <w:p>
      <w:pPr>
        <w:pStyle w:val="ListBullet"/>
        <w:spacing w:line="240" w:lineRule="auto"/>
        <w:ind w:left="720"/>
      </w:pPr>
      <w:r>
        <w:rPr>
          <w:lang w:val="en_US" w:bidi="en_US"/>
        </w:rPr>
      </w:r>
      <w:r>
        <w:rPr>
          <w:lang w:val="en_US" w:bidi="en_US"/>
        </w:rPr>
        <w:t xml:space="preserve">Then </w:t>
      </w:r>
      <w:r>
        <w:rPr>
          <w:lang w:val="en_US" w:bidi="en_US"/>
        </w:rPr>
        <w:t>Abraham</w:t>
      </w:r>
      <w:r>
        <w:rPr>
          <w:lang w:val="en_US" w:bidi="en_US"/>
        </w:rPr>
        <w:t xml:space="preserve"> said to him, ‘Since they do not believe what Moses and the prophets wrote,</w:t>
      </w:r>
    </w:p>
    <w:p>
      <w:pPr/>
      <w:r>
        <w:rPr>
          <w:lang w:val="en_US" w:bidi="en_US"/>
        </w:rPr>
      </w:r>
      <w:r>
        <w:rPr>
          <w:b/>
          <w:lang w:val="en_US" w:bidi="en_US"/>
        </w:rPr>
        <w:t>Then Abraham said to him:</w:t>
      </w:r>
      <w:r>
        <w:rPr>
          <w:lang w:val="en_US" w:bidi="en_US"/>
        </w:rPr>
        <w:t xml:space="preserve"> In Greek, this verse begins with a conjunction that the BSB translates as </w:t>
      </w:r>
      <w:r>
        <w:rPr>
          <w:i/>
          <w:lang w:val="en_US" w:bidi="en_US"/>
        </w:rPr>
        <w:t>Then</w:t>
      </w:r>
      <w:r>
        <w:rPr>
          <w:lang w:val="en_US" w:bidi="en_US"/>
        </w:rPr>
        <w:t xml:space="preserve"> in order to introduce what happened next. Several other versions (GNT, NASB, NCV, NLT) translate it as “But” in order to introduce a contrast between what the rich man asked and what Abraham replied. Several other versions (ESV, NET, NIV) do not translate this conjunction explicitly. This word introduces Abraham’s reply. This reply disagrees with what the rich man had just said. Indicate that in a natural way in your language.</w:t>
      </w:r>
    </w:p>
    <w:p>
      <w:pPr/>
      <w:r>
        <w:rPr>
          <w:lang w:val="en_US" w:bidi="en_US"/>
        </w:rPr>
      </w:r>
      <w:r>
        <w:rPr>
          <w:b/>
          <w:lang w:val="en_US" w:bidi="en_US"/>
        </w:rPr>
        <w:t>Abraham said:</w:t>
      </w:r>
      <w:r>
        <w:rPr>
          <w:lang w:val="en_US" w:bidi="en_US"/>
        </w:rPr>
        <w:t xml:space="preserve"> The Greek expression that the BSB translates as </w:t>
      </w:r>
      <w:r>
        <w:rPr>
          <w:i/>
          <w:lang w:val="en_US" w:bidi="en_US"/>
        </w:rPr>
        <w:t>Abraham said</w:t>
      </w:r>
      <w:r>
        <w:rPr>
          <w:lang w:val="en_US" w:bidi="en_US"/>
        </w:rPr>
        <w:t xml:space="preserve"> is literally “he said.” In some languages it may be necessary to make explicit who was speaking. For example:</w:t>
      </w:r>
    </w:p>
    <w:p>
      <w:pPr/>
      <w:r>
        <w:rPr>
          <w:lang w:val="en_US" w:bidi="en_US"/>
        </w:rPr>
      </w:r>
      <w:r>
        <w:rPr>
          <w:lang w:val="en_US" w:bidi="en_US"/>
        </w:rPr>
        <w:t>But Abraham said to him (NCV)</w:t>
      </w:r>
    </w:p>
    <w:p>
      <w:pPr/>
      <w:r>
        <w:rPr>
          <w:lang w:val="en_US" w:bidi="en_US"/>
        </w:rPr>
      </w:r>
      <w:r>
        <w:rPr>
          <w:b/>
          <w:lang w:val="en_US" w:bidi="en_US"/>
        </w:rPr>
        <w:t>If they do not listen to Moses and the prophets:</w:t>
      </w:r>
      <w:r>
        <w:rPr>
          <w:lang w:val="en_US" w:bidi="en_US"/>
        </w:rPr>
        <w:t xml:space="preserve"> The clause </w:t>
      </w:r>
      <w:r>
        <w:rPr>
          <w:i/>
          <w:lang w:val="en_US" w:bidi="en_US"/>
        </w:rPr>
        <w:t>If they do not listen to Moses and the prophets</w:t>
      </w:r>
      <w:r>
        <w:rPr>
          <w:lang w:val="en_US" w:bidi="en_US"/>
        </w:rPr>
        <w:t xml:space="preserve"> expresses a condition that Abraham and the rich man both knew to be true. The brothers were paying no attention to the warnings of Moses and the prophets. In some languages it may be necessary to make this clear. For example:</w:t>
      </w:r>
    </w:p>
    <w:p>
      <w:pPr/>
      <w:r>
        <w:rPr>
          <w:lang w:val="en_US" w:bidi="en_US"/>
        </w:rPr>
      </w:r>
      <w:r>
        <w:rPr>
          <w:lang w:val="en_US" w:bidi="en_US"/>
        </w:rPr>
        <w:t>Since they are not listening to Moses and the Prophets…</w:t>
      </w:r>
    </w:p>
    <w:p>
      <w:pPr>
        <w:pStyle w:val="Heading5"/>
      </w:pPr>
      <w:r>
        <w:rPr>
          <w:lang w:val="en_US" w:bidi="en_US"/>
        </w:rPr>
        <w:t>16:31b</w:t>
      </w:r>
    </w:p>
    <w:p>
      <w:pPr/>
      <w:r>
        <w:rPr>
          <w:lang w:val="en_US" w:bidi="en_US"/>
        </w:rPr>
      </w:r>
      <w:r>
        <w:rPr>
          <w:b/>
          <w:lang w:val="en_US" w:bidi="en_US"/>
        </w:rPr>
        <w:t>they will not be persuaded</w:t>
      </w:r>
    </w:p>
    <w:p>
      <w:pPr>
        <w:pStyle w:val="ListBullet"/>
        <w:spacing w:line="240" w:lineRule="auto"/>
        <w:ind w:left="720"/>
      </w:pPr>
      <w:r>
        <w:rPr>
          <w:lang w:val="en_US" w:bidi="en_US"/>
        </w:rPr>
      </w:r>
      <w:r>
        <w:rPr>
          <w:lang w:val="en_US" w:bidi="en_US"/>
        </w:rPr>
        <w:t xml:space="preserve">they will not be convinced/persuaded </w:t>
      </w:r>
      <w:r>
        <w:rPr>
          <w:lang w:val="en_US" w:bidi="en_US"/>
        </w:rPr>
        <w:t>to turn from their sins</w:t>
      </w:r>
    </w:p>
    <w:p>
      <w:pPr>
        <w:pStyle w:val="ListBullet"/>
        <w:spacing w:line="240" w:lineRule="auto"/>
        <w:ind w:left="720"/>
      </w:pPr>
      <w:r>
        <w:rPr>
          <w:lang w:val="en_US" w:bidi="en_US"/>
        </w:rPr>
      </w:r>
      <w:r>
        <w:rPr>
          <w:lang w:val="en_US" w:bidi="en_US"/>
        </w:rPr>
        <w:t xml:space="preserve">then they will not think/believe that </w:t>
      </w:r>
      <w:r>
        <w:rPr>
          <w:lang w:val="en_US" w:bidi="en_US"/>
        </w:rPr>
        <w:t>it is necessary for them to repent</w:t>
      </w:r>
    </w:p>
    <w:p>
      <w:pPr/>
      <w:r>
        <w:rPr>
          <w:lang w:val="en_US" w:bidi="en_US"/>
        </w:rPr>
      </w:r>
      <w:r>
        <w:rPr>
          <w:b/>
          <w:lang w:val="en_US" w:bidi="en_US"/>
        </w:rPr>
        <w:t>they will not be persuaded:</w:t>
      </w:r>
      <w:r>
        <w:rPr>
          <w:lang w:val="en_US" w:bidi="en_US"/>
        </w:rPr>
        <w:t xml:space="preserve"> The clause </w:t>
      </w:r>
      <w:r>
        <w:rPr>
          <w:i/>
          <w:lang w:val="en_US" w:bidi="en_US"/>
        </w:rPr>
        <w:t>they will not be persuaded</w:t>
      </w:r>
      <w:r>
        <w:rPr>
          <w:lang w:val="en_US" w:bidi="en_US"/>
        </w:rPr>
        <w:t xml:space="preserve"> is passive. It also contains implied information. The implied information is:</w:t>
      </w:r>
    </w:p>
    <w:p>
      <w:pPr/>
      <w:r>
        <w:rPr>
          <w:lang w:val="en_US" w:bidi="en_US"/>
        </w:rPr>
      </w:r>
      <w:r>
        <w:rPr>
          <w:lang w:val="en_US" w:bidi="en_US"/>
        </w:rPr>
        <w:t xml:space="preserve">they will not be convinced/persuaded </w:t>
      </w:r>
      <w:r>
        <w:rPr>
          <w:lang w:val="en_US" w:bidi="en_US"/>
        </w:rPr>
        <w:t>that they need to repent</w:t>
      </w:r>
    </w:p>
    <w:p>
      <w:pPr/>
      <w:r>
        <w:rPr>
          <w:lang w:val="en_US" w:bidi="en_US"/>
        </w:rPr>
      </w:r>
      <w:r>
        <w:rPr>
          <w:lang w:val="en_US" w:bidi="en_US"/>
        </w:rPr>
        <w:t>In some languages it may be more natural to use an active verb. For example:</w:t>
      </w:r>
    </w:p>
    <w:p>
      <w:pPr/>
      <w:r>
        <w:rPr>
          <w:lang w:val="en_US" w:bidi="en_US"/>
        </w:rPr>
      </w:r>
      <w:r>
        <w:rPr>
          <w:lang w:val="en_US" w:bidi="en_US"/>
        </w:rPr>
        <w:t xml:space="preserve">they will not believe/realize </w:t>
      </w:r>
      <w:r>
        <w:rPr>
          <w:lang w:val="en_US" w:bidi="en_US"/>
        </w:rPr>
        <w:t>that they must repent</w:t>
      </w:r>
    </w:p>
    <w:p>
      <w:pPr/>
      <w:r>
        <w:rPr>
          <w:lang w:val="en_US" w:bidi="en_US"/>
        </w:rPr>
      </w:r>
      <w:r>
        <w:rPr>
          <w:lang w:val="en_US" w:bidi="en_US"/>
        </w:rPr>
        <w:t>In some languages you may need to reorder the clauses in this verb and indicate who would not convince them. See the General Comment on 16:31b–c below for suggestions.</w:t>
      </w:r>
    </w:p>
    <w:p>
      <w:pPr>
        <w:pStyle w:val="Heading5"/>
      </w:pPr>
      <w:r>
        <w:rPr>
          <w:lang w:val="en_US" w:bidi="en_US"/>
        </w:rPr>
        <w:t>16:31c</w:t>
      </w:r>
    </w:p>
    <w:p>
      <w:pPr/>
      <w:r>
        <w:rPr>
          <w:lang w:val="en_US" w:bidi="en_US"/>
        </w:rPr>
      </w:r>
      <w:r>
        <w:rPr>
          <w:b/>
          <w:lang w:val="en_US" w:bidi="en_US"/>
        </w:rPr>
        <w:t>even if someone rises from the dead.’”</w:t>
      </w:r>
    </w:p>
    <w:p>
      <w:pPr>
        <w:pStyle w:val="ListBullet"/>
        <w:spacing w:line="240" w:lineRule="auto"/>
        <w:ind w:left="720"/>
      </w:pPr>
      <w:r>
        <w:rPr>
          <w:lang w:val="en_US" w:bidi="en_US"/>
        </w:rPr>
      </w:r>
      <w:r>
        <w:rPr>
          <w:lang w:val="en_US" w:bidi="en_US"/>
        </w:rPr>
        <w:t>even if someone who died lives again.’”</w:t>
      </w:r>
    </w:p>
    <w:p>
      <w:pPr>
        <w:pStyle w:val="ListBullet"/>
        <w:spacing w:line="240" w:lineRule="auto"/>
        <w:ind w:left="720"/>
      </w:pPr>
      <w:r>
        <w:rPr>
          <w:lang w:val="en_US" w:bidi="en_US"/>
        </w:rPr>
      </w:r>
      <w:r>
        <w:rPr>
          <w:lang w:val="en_US" w:bidi="en_US"/>
        </w:rPr>
        <w:t>even if a dead person becomes alive again.’”</w:t>
      </w:r>
    </w:p>
    <w:p>
      <w:pPr/>
      <w:r>
        <w:rPr>
          <w:lang w:val="en_US" w:bidi="en_US"/>
        </w:rPr>
      </w:r>
      <w:r>
        <w:rPr>
          <w:b/>
          <w:lang w:val="en_US" w:bidi="en_US"/>
        </w:rPr>
        <w:t>even if someone rises from the dead:</w:t>
      </w:r>
      <w:r>
        <w:rPr>
          <w:lang w:val="en_US" w:bidi="en_US"/>
        </w:rPr>
        <w:t xml:space="preserve"> The Greek phrase that the BSB translates as </w:t>
      </w:r>
      <w:r>
        <w:rPr>
          <w:i/>
          <w:lang w:val="en_US" w:bidi="en_US"/>
        </w:rPr>
        <w:t>even if</w:t>
      </w:r>
      <w:r>
        <w:rPr>
          <w:lang w:val="en_US" w:bidi="en_US"/>
        </w:rPr>
        <w:t xml:space="preserve"> introduces an event that would be even more amazing than a messenger from the dead visiting the brothers. Abraham was saying that even if a dead person came back to life again, the brothers would still not believe his message and repent.</w:t>
      </w:r>
    </w:p>
    <w:p>
      <w:pPr>
        <w:pStyle w:val="Heading6"/>
      </w:pPr>
      <w:r>
        <w:rPr>
          <w:b/>
          <w:lang w:val="en_US" w:bidi="en_US"/>
        </w:rPr>
        <w:t>General Comment on 16:31b–c</w:t>
      </w:r>
    </w:p>
    <w:p>
      <w:pPr/>
      <w:r>
        <w:rPr>
          <w:lang w:val="en_US" w:bidi="en_US"/>
        </w:rPr>
      </w:r>
      <w:r>
        <w:rPr>
          <w:lang w:val="en_US" w:bidi="en_US"/>
        </w:rPr>
        <w:t>In some languages it may be more natural to reorder the parts of 16:31b–c. For example:</w:t>
      </w:r>
    </w:p>
    <w:p>
      <w:pPr/>
      <w:r>
        <w:rPr>
          <w:lang w:val="en_US" w:bidi="en_US"/>
        </w:rPr>
      </w:r>
      <w:r>
        <w:rPr>
          <w:vertAlign w:val="superscript"/>
          <w:lang w:val="en_US" w:bidi="en_US"/>
        </w:rPr>
        <w:t>31c</w:t>
      </w:r>
      <w:r>
        <w:rPr>
          <w:lang w:val="en_US" w:bidi="en_US"/>
        </w:rPr>
        <w:t xml:space="preserve">even someone rising from the dead </w:t>
      </w:r>
      <w:r>
        <w:rPr>
          <w:vertAlign w:val="superscript"/>
          <w:lang w:val="en_US" w:bidi="en_US"/>
        </w:rPr>
        <w:t>31b</w:t>
      </w:r>
      <w:r>
        <w:rPr>
          <w:lang w:val="en_US" w:bidi="en_US"/>
        </w:rPr>
        <w:t xml:space="preserve">will not convince them </w:t>
      </w:r>
      <w:r>
        <w:rPr>
          <w:lang w:val="en_US" w:bidi="en_US"/>
        </w:rPr>
        <w:t>to repent</w:t>
      </w:r>
    </w:p>
    <w:p>
      <w:pPr/>
      <w:r>
        <w:rPr>
          <w:lang w:val="en_US" w:bidi="en_US"/>
        </w:rPr>
      </w:r>
      <w:r>
        <w:rPr>
          <w:vertAlign w:val="superscript"/>
          <w:lang w:val="en_US" w:bidi="en_US"/>
        </w:rPr>
        <w:t>31c</w:t>
      </w:r>
      <w:r>
        <w:rPr>
          <w:lang w:val="en_US" w:bidi="en_US"/>
        </w:rPr>
        <w:t xml:space="preserve">a person who dies and then lives again </w:t>
      </w:r>
      <w:r>
        <w:rPr>
          <w:vertAlign w:val="superscript"/>
          <w:lang w:val="en_US" w:bidi="en_US"/>
        </w:rPr>
        <w:t>31b</w:t>
      </w:r>
      <w:r>
        <w:rPr>
          <w:lang w:val="en_US" w:bidi="en_US"/>
        </w:rPr>
        <w:t>will not be enough to persuade them</w:t>
      </w:r>
      <w:r>
        <w:rPr>
          <w:lang w:val="en_US" w:bidi="en_US"/>
        </w:rPr>
      </w:r>
      <w:r>
        <w:rPr>
          <w:lang w:val="en_US" w:bidi="en_US"/>
        </w:rPr>
      </w:r>
    </w:p>
    <w:p>
      <w:pPr/>
      <w:r>
        <w:rPr>
          <w:lang w:val="en_US" w:bidi="en_US"/>
        </w:rPr>
      </w:r>
    </w:p>
    <w:p>
      <w:pPr>
        <w:pStyle w:val="Heading2"/>
      </w:pPr>
      <w:r>
        <w:rPr>
          <w:lang w:val="en_US" w:bidi="en_US"/>
        </w:rPr>
        <w:t>Luke 17:1</w:t>
      </w:r>
      <w:r>
        <w:rPr>
          <w:lang w:val="en_US" w:bidi="en_US"/>
        </w:rPr>
      </w:r>
    </w:p>
    <w:p>
      <w:pPr>
        <w:pStyle w:val="Heading4"/>
      </w:pPr>
      <w:r>
        <w:rPr>
          <w:lang w:val="en_US" w:bidi="en_US"/>
        </w:rPr>
        <w:t>Section 17:1–10: Jesus taught his disciples about sin, faith, and duty</w:t>
      </w:r>
    </w:p>
    <w:p>
      <w:pPr/>
      <w:r>
        <w:rPr>
          <w:lang w:val="en_US" w:bidi="en_US"/>
        </w:rPr>
      </w:r>
      <w:r>
        <w:rPr>
          <w:lang w:val="en_US" w:bidi="en_US"/>
        </w:rPr>
        <w:t>At the end of chapter 16, Jesus was speaking to the Pharisees. He concluded his parable about Lazarus and the rich man. Here in 17:1–10, he spoke to his disciples and taught them about several issues.</w:t>
      </w:r>
      <w:r>
        <w:rPr>
          <w:lang w:val="en_US" w:bidi="en_US"/>
        </w:rPr>
        <w:t>Scholars have different opinions about whether the teachings in this section are thematically related to Jesus’ teachings in chapter 16. Some scholars say that the teachings in the two chapters are not connected. Other scholars do see a broad connection. Green says, “Especially due to its location adjacent to prior accounts of Jesus’ interaction with Pharisees, this pericope recapitulates Jesus’ message to his followers: They are not to be like the Pharisees!” (p. 611). Liefeld says that “it is also possible to see a logical connection between the end of chapter 16 and the beginning of chapter 17, if we understand ‘the things that cause people to sin’ to be the sins of the Pharisees, such as those mentioned in 16:14.” Scholars also disagree about whether the paragraphs in this section are related to each other. About this, Liefeld says that “there is a common unifying theme of attitudes in the Christian community” (p. 994). Morris also mentions this possible connection: “The connecting link here may be the attitude of the religious leaders. They were in danger of using their wealth wrongly, and they were also in danger of leading their lesser brethren astray—temptations that would confront his disciples as well as people like the Pharisees” (p. 279). Nolland (p. 835) says, “Luke seems to have cobbled a unity together here of three separate blocks of tradition (verses 1–2, 3–4, 5–6). The catchword link “into/in the sea” from verse 2 to verse 6 helps to give a formal unity to the piece, and it is likely that he intends the blocks so juxtaposed, to mutually qualify the meaning of one another.” He also says, “As he opens this new section (17:1–19) Luke has brought together three blocks of tradition to form a unit about the adequacy, despite all human frailty, of even the most meager of kingdom faiths for the radical challenge of Jesus’ teaching” (p. 839).</w:t>
      </w:r>
    </w:p>
    <w:p>
      <w:pPr/>
      <w:r>
        <w:rPr>
          <w:lang w:val="en_US" w:bidi="en_US"/>
        </w:rPr>
      </w:r>
      <w:r>
        <w:rPr>
          <w:lang w:val="en_US" w:bidi="en_US"/>
        </w:rPr>
        <w:t>English versions divide these verses into sections in different ways. For example:</w:t>
      </w:r>
    </w:p>
    <w:p>
      <w:pPr>
        <w:pStyle w:val="ListNumber"/>
        <w:numPr>
          <w:ilvl w:val="0"/>
          <w:numId w:val="275"/>
        </w:numPr>
        <w:spacing w:line="240" w:lineRule="auto"/>
        <w:ind w:left="720"/>
      </w:pPr>
      <w:r>
        <w:rPr>
          <w:lang w:val="en_US" w:bidi="en_US"/>
        </w:rPr>
      </w:r>
      <w:r>
        <w:rPr>
          <w:lang w:val="en_US" w:bidi="en_US"/>
        </w:rPr>
        <w:t>Most versions put 17:1–10 together in one section and have one heading. (The Notes follow these versions.)</w:t>
      </w:r>
    </w:p>
    <w:p>
      <w:pPr>
        <w:pStyle w:val="ListNumber"/>
        <w:spacing w:line="240" w:lineRule="auto"/>
        <w:ind w:left="720"/>
      </w:pPr>
      <w:r>
        <w:rPr>
          <w:lang w:val="en_US" w:bidi="en_US"/>
        </w:rPr>
      </w:r>
      <w:r>
        <w:rPr>
          <w:lang w:val="en_US" w:bidi="en_US"/>
        </w:rPr>
        <w:t>Some versions divide 17:1–10 into three sections with a heading for each one. For example, the GNT has: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17:1–4</w:t>
            </w:r>
          </w:p>
        </w:tc>
        <w:tc>
          <w:tcPr>
            <w:tcW w:type="dxa" w:w="4680"/>
          </w:tcPr>
          <w:p>
            <w:pPr/>
            <w:r>
              <w:rPr>
                <w:lang w:val="en_US" w:bidi="en_US"/>
              </w:rPr>
            </w:r>
            <w:r>
              <w:rPr>
                <w:lang w:val="en_US" w:bidi="en_US"/>
              </w:rPr>
              <w:t>Sin</w:t>
            </w:r>
          </w:p>
        </w:tc>
      </w:tr>
      <w:tr>
        <w:tc>
          <w:tcPr>
            <w:tcW w:type="dxa" w:w="4680"/>
          </w:tcPr>
          <w:p>
            <w:pPr/>
            <w:r>
              <w:rPr>
                <w:lang w:val="en_US" w:bidi="en_US"/>
              </w:rPr>
            </w:r>
            <w:r>
              <w:rPr>
                <w:lang w:val="en_US" w:bidi="en_US"/>
              </w:rPr>
              <w:t>17:5–6</w:t>
            </w:r>
          </w:p>
        </w:tc>
        <w:tc>
          <w:tcPr>
            <w:tcW w:type="dxa" w:w="4680"/>
          </w:tcPr>
          <w:p>
            <w:pPr/>
            <w:r>
              <w:rPr>
                <w:lang w:val="en_US" w:bidi="en_US"/>
              </w:rPr>
            </w:r>
            <w:r>
              <w:rPr>
                <w:lang w:val="en_US" w:bidi="en_US"/>
              </w:rPr>
              <w:t>Faith</w:t>
            </w:r>
          </w:p>
        </w:tc>
      </w:tr>
      <w:tr>
        <w:tc>
          <w:tcPr>
            <w:tcW w:type="dxa" w:w="4680"/>
          </w:tcPr>
          <w:p>
            <w:pPr/>
            <w:r>
              <w:rPr>
                <w:lang w:val="en_US" w:bidi="en_US"/>
              </w:rPr>
            </w:r>
            <w:r>
              <w:rPr>
                <w:lang w:val="en_US" w:bidi="en_US"/>
              </w:rPr>
              <w:t>17:7–10</w:t>
            </w:r>
          </w:p>
        </w:tc>
        <w:tc>
          <w:tcPr>
            <w:tcW w:type="dxa" w:w="4680"/>
          </w:tcPr>
          <w:p>
            <w:pPr/>
            <w:r>
              <w:rPr>
                <w:lang w:val="en_US" w:bidi="en_US"/>
              </w:rPr>
            </w:r>
            <w:r>
              <w:rPr>
                <w:lang w:val="en_US" w:bidi="en_US"/>
              </w:rPr>
              <w:t>A servant’s duty</w:t>
            </w:r>
          </w:p>
        </w:tc>
      </w:tr>
    </w:tbl>
    <w:p>
      <w:pPr/>
      <w:r>
        <w:rPr>
          <w:lang w:val="en_US" w:bidi="en_US"/>
        </w:rPr>
      </w:r>
      <w:r>
        <w:rPr>
          <w:lang w:val="en_US" w:bidi="en_US"/>
        </w:rPr>
        <w:t>Some other possible headings for this section are:</w:t>
      </w:r>
    </w:p>
    <w:p>
      <w:pPr/>
      <w:r>
        <w:rPr>
          <w:lang w:val="en_US" w:bidi="en_US"/>
        </w:rPr>
      </w:r>
      <w:r>
        <w:rPr>
          <w:lang w:val="en_US" w:bidi="en_US"/>
        </w:rPr>
        <w:t>Jesus taught his disciples to not cause others to sin, to forgive others, and to serve him humbly</w:t>
      </w:r>
    </w:p>
    <w:p>
      <w:pPr/>
      <w:r>
        <w:rPr>
          <w:lang w:val="en_US" w:bidi="en_US"/>
        </w:rPr>
      </w:r>
      <w:r>
        <w:rPr>
          <w:lang w:val="en_US" w:bidi="en_US"/>
        </w:rPr>
        <w:t>Teachings about Forgiveness and Faith (NLT)</w:t>
      </w:r>
    </w:p>
    <w:p>
      <w:pPr/>
      <w:r>
        <w:rPr>
          <w:lang w:val="en_US" w:bidi="en_US"/>
        </w:rPr>
      </w:r>
      <w:r>
        <w:rPr>
          <w:lang w:val="en_US" w:bidi="en_US"/>
        </w:rPr>
        <w:t>Sin, Forgiveness, Faith, and Service (NET)</w:t>
      </w:r>
    </w:p>
    <w:p>
      <w:pPr/>
      <w:r>
        <w:rPr>
          <w:lang w:val="en_US" w:bidi="en_US"/>
        </w:rPr>
      </w:r>
      <w:r>
        <w:rPr>
          <w:lang w:val="en_US" w:bidi="en_US"/>
        </w:rPr>
        <w:t>There are parallel passages for this section in Matthew 18:6–7 and 18:15 and in Mark 9:42. However, Jesus may have spoken these passages in a different context from the one in this section.</w:t>
      </w:r>
    </w:p>
    <w:p>
      <w:pPr>
        <w:pStyle w:val="Heading5"/>
      </w:pPr>
      <w:r>
        <w:rPr>
          <w:lang w:val="en_US" w:bidi="en_US"/>
        </w:rPr>
        <w:t>17:1a</w:t>
      </w:r>
    </w:p>
    <w:p>
      <w:pPr/>
      <w:r>
        <w:rPr>
          <w:lang w:val="en_US" w:bidi="en_US"/>
        </w:rPr>
      </w:r>
      <w:r>
        <w:rPr>
          <w:b/>
          <w:lang w:val="en_US" w:bidi="en_US"/>
        </w:rPr>
        <w:t>Jesus said to His disciples, “It is inevitable that stumbling blocks will come,</w:t>
      </w:r>
    </w:p>
    <w:p>
      <w:pPr>
        <w:pStyle w:val="ListBullet"/>
        <w:spacing w:line="240" w:lineRule="auto"/>
        <w:ind w:left="720"/>
      </w:pPr>
      <w:r>
        <w:rPr>
          <w:lang w:val="en_US" w:bidi="en_US"/>
        </w:rPr>
      </w:r>
      <w:r>
        <w:rPr>
          <w:lang w:val="en_US" w:bidi="en_US"/>
        </w:rPr>
        <w:t>¶ Jesus told his disciples, “Temptations to sin are certain to come,</w:t>
      </w:r>
    </w:p>
    <w:p>
      <w:pPr>
        <w:pStyle w:val="ListBullet"/>
        <w:spacing w:line="240" w:lineRule="auto"/>
        <w:ind w:left="720"/>
      </w:pPr>
      <w:r>
        <w:rPr>
          <w:lang w:val="en_US" w:bidi="en_US"/>
        </w:rPr>
      </w:r>
      <w:r>
        <w:rPr>
          <w:lang w:val="en_US" w:bidi="en_US"/>
        </w:rPr>
        <w:t xml:space="preserve">¶ And Jesus said to his followers, “It is certain that </w:t>
      </w:r>
      <w:r>
        <w:rPr>
          <w:lang w:val="en_US" w:bidi="en_US"/>
        </w:rPr>
        <w:t>people</w:t>
      </w:r>
      <w:r>
        <w:rPr>
          <w:lang w:val="en_US" w:bidi="en_US"/>
        </w:rPr>
        <w:t xml:space="preserve"> will tempt/lure </w:t>
      </w:r>
      <w:r>
        <w:rPr>
          <w:lang w:val="en_US" w:bidi="en_US"/>
        </w:rPr>
        <w:t>other</w:t>
      </w:r>
      <w:r>
        <w:rPr>
          <w:lang w:val="en_US" w:bidi="en_US"/>
        </w:rPr>
        <w:t xml:space="preserve"> people </w:t>
      </w:r>
      <w:r>
        <w:rPr>
          <w:lang w:val="en_US" w:bidi="en_US"/>
        </w:rPr>
        <w:t>to disobey/deny</w:t>
      </w:r>
      <w:r>
        <w:rPr>
          <w:lang w:val="en_US" w:bidi="en_US"/>
        </w:rPr>
        <w:t xml:space="preserve"> </w:t>
      </w:r>
      <w:r>
        <w:rPr>
          <w:lang w:val="en_US" w:bidi="en_US"/>
        </w:rPr>
        <w:t>God</w:t>
      </w:r>
      <w:r>
        <w:rPr>
          <w:lang w:val="en_US" w:bidi="en_US"/>
        </w:rPr>
        <w:t>.</w:t>
      </w:r>
    </w:p>
    <w:p>
      <w:pPr>
        <w:pStyle w:val="ListBullet"/>
        <w:spacing w:line="240" w:lineRule="auto"/>
        <w:ind w:left="720"/>
      </w:pPr>
      <w:r>
        <w:rPr>
          <w:lang w:val="en_US" w:bidi="en_US"/>
        </w:rPr>
      </w:r>
      <w:r>
        <w:rPr>
          <w:lang w:val="en_US" w:bidi="en_US"/>
        </w:rPr>
        <w:t xml:space="preserve">¶ Jesus said to his disciples, “There will always be causes for people to reject </w:t>
      </w:r>
      <w:r>
        <w:rPr>
          <w:lang w:val="en_US" w:bidi="en_US"/>
        </w:rPr>
        <w:t>God’s way</w:t>
      </w:r>
      <w:r>
        <w:rPr>
          <w:lang w:val="en_US" w:bidi="en_US"/>
        </w:rPr>
        <w:t>.</w:t>
      </w:r>
    </w:p>
    <w:p>
      <w:pPr/>
      <w:r>
        <w:rPr>
          <w:lang w:val="en_US" w:bidi="en_US"/>
        </w:rPr>
      </w:r>
      <w:r>
        <w:rPr>
          <w:b/>
          <w:lang w:val="en_US" w:bidi="en_US"/>
        </w:rPr>
        <w:t>Jesus said to His disciples:</w:t>
      </w:r>
      <w:r>
        <w:rPr>
          <w:lang w:val="en_US" w:bidi="en_US"/>
        </w:rPr>
        <w:t xml:space="preserve"> There are different views about when Jesus said the things in this section to his disciples. He may have said them at a different time from the preceding section. It is good to connect this section to the preceding one in a way that will not imply a time connection. The BSB does this by not using a conjunction. The Greek text has a conjunction that versions suc as the RSV translate as “And.” Use a way that is natural in your language.</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special relationship with a teacher. The learners commit themselves to their teacher in order to learn from him and live according to his teaching and example. Disciples often lived with their teacher and followed him wherever he went.</w:t>
      </w:r>
    </w:p>
    <w:p>
      <w:pPr/>
      <w:r>
        <w:rPr>
          <w:lang w:val="en_US" w:bidi="en_US"/>
        </w:rPr>
      </w:r>
      <w:r>
        <w:rPr>
          <w:lang w:val="en_US" w:bidi="en_US"/>
        </w:rPr>
        <w:t>Some ways to translate this are:</w:t>
      </w:r>
    </w:p>
    <w:p>
      <w:pPr/>
      <w:r>
        <w:rPr>
          <w:lang w:val="en_US" w:bidi="en_US"/>
        </w:rPr>
      </w:r>
      <w:r>
        <w:rPr>
          <w:lang w:val="en_US" w:bidi="en_US"/>
        </w:rPr>
        <w:t>students/learners</w:t>
      </w:r>
    </w:p>
    <w:p>
      <w:pPr/>
      <w:r>
        <w:rPr>
          <w:lang w:val="en_US" w:bidi="en_US"/>
        </w:rPr>
      </w:r>
      <w:r>
        <w:rPr>
          <w:lang w:val="en_US" w:bidi="en_US"/>
        </w:rPr>
        <w:t>apprentices</w:t>
      </w:r>
    </w:p>
    <w:p>
      <w:pPr/>
      <w:r>
        <w:rPr>
          <w:lang w:val="en_US" w:bidi="en_US"/>
        </w:rPr>
      </w:r>
      <w:r>
        <w:rPr>
          <w:lang w:val="en_US" w:bidi="en_US"/>
        </w:rPr>
        <w:t>followers</w:t>
      </w:r>
    </w:p>
    <w:p>
      <w:pPr/>
      <w:r>
        <w:rPr>
          <w:lang w:val="en_US" w:bidi="en_US"/>
        </w:rPr>
      </w:r>
      <w:r>
        <w:rPr>
          <w:lang w:val="en_US" w:bidi="en_US"/>
        </w:rPr>
        <w:t>See how you translated this term at 5:30a. See disciple in the Glossary for more information.</w:t>
      </w:r>
    </w:p>
    <w:p>
      <w:pPr/>
      <w:r>
        <w:rPr>
          <w:lang w:val="en_US" w:bidi="en_US"/>
        </w:rPr>
      </w:r>
      <w:r>
        <w:rPr>
          <w:b/>
          <w:lang w:val="en_US" w:bidi="en_US"/>
        </w:rPr>
        <w:t>It is inevitable that stumbling blocks will come:</w:t>
      </w:r>
      <w:r>
        <w:rPr>
          <w:lang w:val="en_US" w:bidi="en_US"/>
        </w:rPr>
        <w:t xml:space="preserve"> The Greek clause that the BSB translates as </w:t>
      </w:r>
      <w:r>
        <w:rPr>
          <w:i/>
          <w:lang w:val="en_US" w:bidi="en_US"/>
        </w:rPr>
        <w:t>It is inevitable that stumbling blocks will come</w:t>
      </w:r>
      <w:r>
        <w:rPr>
          <w:lang w:val="en_US" w:bidi="en_US"/>
        </w:rPr>
        <w:t xml:space="preserve"> is literally a double negative, “It is impossible for traps not to come.” If you would not use a double negative like this in your language, some other ways to say this are:</w:t>
      </w:r>
    </w:p>
    <w:p>
      <w:pPr/>
      <w:r>
        <w:rPr>
          <w:lang w:val="en_US" w:bidi="en_US"/>
        </w:rPr>
      </w:r>
      <w:r>
        <w:rPr>
          <w:lang w:val="en_US" w:bidi="en_US"/>
        </w:rPr>
        <w:t>Snares will certainly come</w:t>
      </w:r>
    </w:p>
    <w:p>
      <w:pPr/>
      <w:r>
        <w:rPr>
          <w:lang w:val="en_US" w:bidi="en_US"/>
        </w:rPr>
      </w:r>
      <w:r>
        <w:rPr>
          <w:lang w:val="en_US" w:bidi="en_US"/>
        </w:rPr>
        <w:t>Causes for falling are sure to come (NJB)</w:t>
      </w:r>
    </w:p>
    <w:p>
      <w:pPr/>
      <w:r>
        <w:rPr>
          <w:lang w:val="en_US" w:bidi="en_US"/>
        </w:rPr>
      </w:r>
      <w:r>
        <w:rPr>
          <w:lang w:val="en_US" w:bidi="en_US"/>
        </w:rPr>
        <w:t>People</w:t>
      </w:r>
      <w:r>
        <w:rPr>
          <w:lang w:val="en_US" w:bidi="en_US"/>
        </w:rPr>
        <w:t xml:space="preserve"> will surely encounter/meet traps</w:t>
      </w:r>
    </w:p>
    <w:p>
      <w:pPr/>
      <w:r>
        <w:rPr>
          <w:lang w:val="en_US" w:bidi="en_US"/>
        </w:rPr>
      </w:r>
      <w:r>
        <w:rPr>
          <w:lang w:val="en_US" w:bidi="en_US"/>
        </w:rPr>
        <w:t>There will indeed be causes for falling</w:t>
      </w:r>
    </w:p>
    <w:p>
      <w:pPr/>
      <w:r>
        <w:rPr>
          <w:lang w:val="en_US" w:bidi="en_US"/>
        </w:rPr>
      </w:r>
      <w:r>
        <w:rPr>
          <w:b/>
          <w:lang w:val="en_US" w:bidi="en_US"/>
        </w:rPr>
        <w:t>stumbling blocks:</w:t>
      </w:r>
      <w:r>
        <w:rPr>
          <w:lang w:val="en_US" w:bidi="en_US"/>
        </w:rPr>
        <w:t xml:space="preserve"> The BSB expression </w:t>
      </w:r>
      <w:r>
        <w:rPr>
          <w:i/>
          <w:lang w:val="en_US" w:bidi="en_US"/>
        </w:rPr>
        <w:t>stumbling blocks</w:t>
      </w:r>
      <w:r>
        <w:rPr>
          <w:lang w:val="en_US" w:bidi="en_US"/>
        </w:rPr>
        <w:t xml:space="preserve"> is the translation of one Greek word. This word literally means “traps” or “snares.” Some scholars prefer the meaning “stumbling stone” because of how the word is translated in the Greek Old Testament.</w:t>
      </w:r>
      <w:r>
        <w:rPr>
          <w:lang w:val="en_US" w:bidi="en_US"/>
        </w:rPr>
        <w:t xml:space="preserve">Some scholars interpret this word </w:t>
      </w:r>
      <w:r>
        <w:rPr>
          <w:i/>
          <w:lang w:val="en_US" w:bidi="en_US"/>
        </w:rPr>
        <w:t>skandala</w:t>
      </w:r>
      <w:r>
        <w:rPr>
          <w:lang w:val="en_US" w:bidi="en_US"/>
        </w:rPr>
        <w:t xml:space="preserve"> to mean “stumbling block/stone” because of the way corresponding Hebrew words are translated in the LXX. However, there are also clear instances of </w:t>
      </w:r>
      <w:r>
        <w:rPr>
          <w:i/>
          <w:lang w:val="en_US" w:bidi="en_US"/>
        </w:rPr>
        <w:t>skandala</w:t>
      </w:r>
      <w:r>
        <w:rPr>
          <w:lang w:val="en_US" w:bidi="en_US"/>
        </w:rPr>
        <w:t xml:space="preserve"> being translated in the LXX with the sense of “trap.” See Stahlin, TDNT VII, p. 341.</w:t>
      </w:r>
    </w:p>
    <w:p>
      <w:pPr/>
      <w:r>
        <w:rPr>
          <w:lang w:val="en_US" w:bidi="en_US"/>
        </w:rPr>
      </w:r>
      <w:r>
        <w:rPr>
          <w:lang w:val="en_US" w:bidi="en_US"/>
        </w:rPr>
        <w:t>In the New Testament this word is often used as a figure of speech. In this context it refers to things that tempt people to sin, that is, to disobey, distrust, or deny God.</w:t>
      </w:r>
      <w:r>
        <w:rPr>
          <w:lang w:val="en_US" w:bidi="en_US"/>
        </w:rPr>
        <w:t xml:space="preserve">Scholars disagree about the nature and seriousness of the temptation that </w:t>
      </w:r>
      <w:r>
        <w:rPr>
          <w:i/>
          <w:lang w:val="en_US" w:bidi="en_US"/>
        </w:rPr>
        <w:t>skandala</w:t>
      </w:r>
      <w:r>
        <w:rPr>
          <w:lang w:val="en_US" w:bidi="en_US"/>
        </w:rPr>
        <w:t xml:space="preserve"> refers to here: 1. Some Bible scholars believe that it refers to causes of sin in general. For example, Nolland says, “We need not think that some extreme form of sin or apostasy is in view here. The present saying has the same radical quality as Matthew 5:29–30. In the Lukan sequence it is the radical nature of the teaching that calls forth the response of verse 5” (p. 837). Morris says, “All hindrances to the spiritual life are included, but temptations to sin are clearly the worst of these” (p. 279). Geldenhuys speaks of “the danger that their words, their attitude or neglect of duty may do spiritual harm to others” (p. 431) and of “the responsibility resting upon all to live in such a manner that they do not lead others into sin” (p. 432). 2. Some believe that it refers specifically to the sin of apostasy or to something as serious. Bock says, “Apostasy or something as serious is in view” (p. 1384). Ellis explains it as “anything that causes an alienation of one’s allegiance to Jesus” (p. 207). Lenski translates the Greek word </w:t>
      </w:r>
      <w:r>
        <w:rPr>
          <w:i/>
          <w:lang w:val="en_US" w:bidi="en_US"/>
        </w:rPr>
        <w:t>skandala</w:t>
      </w:r>
      <w:r>
        <w:rPr>
          <w:lang w:val="en_US" w:bidi="en_US"/>
        </w:rPr>
        <w:t xml:space="preserve"> here as “fatal traps” and explains, “The noun refers to a deathtrap which is baited so that, when the bait is touched, the stick holding the bait springs the trap…. One…is killed by a </w:t>
      </w:r>
      <w:r>
        <w:rPr>
          <w:i/>
          <w:lang w:val="en_US" w:bidi="en_US"/>
        </w:rPr>
        <w:t>skandalon</w:t>
      </w:r>
      <w:r>
        <w:rPr>
          <w:lang w:val="en_US" w:bidi="en_US"/>
        </w:rPr>
        <w:t>, here, of course, spiritually….”Translators should probably translate in a general way, not referring specifically to apostasy but using a term that implies the seriousness of the sin. Any sin is serious, and tempting a vulnerable person to sin merits terrible punishment.</w:t>
      </w:r>
    </w:p>
    <w:p>
      <w:pPr/>
      <w:r>
        <w:rPr>
          <w:lang w:val="en_US" w:bidi="en_US"/>
        </w:rPr>
      </w:r>
      <w:r>
        <w:rPr>
          <w:lang w:val="en_US" w:bidi="en_US"/>
        </w:rPr>
        <w:t xml:space="preserve">Some ways to translate </w:t>
      </w:r>
      <w:r>
        <w:rPr>
          <w:i/>
          <w:lang w:val="en_US" w:bidi="en_US"/>
        </w:rPr>
        <w:t>stumbling blocks</w:t>
      </w:r>
      <w:r>
        <w:rPr>
          <w:lang w:val="en_US" w:bidi="en_US"/>
        </w:rPr>
        <w:t xml:space="preserve"> are:</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 xml:space="preserve">things that cause people to disobey/offend </w:t>
      </w:r>
      <w:r>
        <w:rPr>
          <w:lang w:val="en_US" w:bidi="en_US"/>
        </w:rPr>
        <w:t>God</w:t>
      </w:r>
      <w:r>
        <w:rPr>
          <w:lang w:val="en_US" w:bidi="en_US"/>
        </w:rPr>
        <w:t>something that causes people to sin (CEV)</w:t>
      </w:r>
      <w:r>
        <w:rPr>
          <w:lang w:val="en_US" w:bidi="en_US"/>
        </w:rPr>
        <w:t xml:space="preserve">lure/tempt other people to reject </w:t>
      </w:r>
      <w:r>
        <w:rPr>
          <w:lang w:val="en_US" w:bidi="en_US"/>
        </w:rPr>
        <w:t>God’s way</w:t>
      </w:r>
    </w:p>
    <w:p>
      <w:pPr>
        <w:pStyle w:val="ListBullet"/>
        <w:spacing w:line="240" w:lineRule="auto"/>
        <w:ind w:left="720"/>
      </w:pPr>
      <w:r>
        <w:rPr>
          <w:lang w:val="en_US" w:bidi="en_US"/>
        </w:rPr>
      </w:r>
      <w:r>
        <w:rPr>
          <w:lang w:val="en_US" w:bidi="en_US"/>
        </w:rPr>
        <w:t>Use a figure of speech that expresses the same meaning in your language. For example:</w:t>
      </w:r>
      <w:r>
        <w:rPr>
          <w:lang w:val="en_US" w:bidi="en_US"/>
        </w:rPr>
        <w:t>snares</w:t>
      </w:r>
      <w:r>
        <w:rPr>
          <w:lang w:val="en_US" w:bidi="en_US"/>
        </w:rPr>
        <w:t>things that ruin people</w:t>
      </w:r>
      <w:r>
        <w:rPr>
          <w:lang w:val="en_US" w:bidi="en_US"/>
        </w:rPr>
        <w:t xml:space="preserve">things that spoil people’s faith </w:t>
      </w:r>
      <w:r>
        <w:rPr>
          <w:lang w:val="en_US" w:bidi="en_US"/>
        </w:rPr>
        <w:t>in God</w:t>
      </w:r>
    </w:p>
    <w:p>
      <w:pPr/>
      <w:r>
        <w:rPr>
          <w:lang w:val="en_US" w:bidi="en_US"/>
        </w:rPr>
      </w:r>
      <w:r>
        <w:rPr>
          <w:lang w:val="en_US" w:bidi="en_US"/>
        </w:rPr>
        <w:t>Notice that some of these examples refer explicitly to God. Sometimes a temptation is specifically related to losing faith in Jesus. However, if you must make explicit who is sinned against, it is better to refer more generally to God.</w:t>
      </w:r>
    </w:p>
    <w:p>
      <w:pPr>
        <w:pStyle w:val="Heading5"/>
      </w:pPr>
      <w:r>
        <w:rPr>
          <w:lang w:val="en_US" w:bidi="en_US"/>
        </w:rPr>
        <w:t>17:1b</w:t>
      </w:r>
    </w:p>
    <w:p>
      <w:pPr/>
      <w:r>
        <w:rPr>
          <w:lang w:val="en_US" w:bidi="en_US"/>
        </w:rPr>
      </w:r>
      <w:r>
        <w:rPr>
          <w:b/>
          <w:lang w:val="en_US" w:bidi="en_US"/>
        </w:rPr>
        <w:t>but woe to the one through whom they come!</w:t>
      </w:r>
    </w:p>
    <w:p>
      <w:pPr>
        <w:pStyle w:val="ListBullet"/>
        <w:spacing w:line="240" w:lineRule="auto"/>
        <w:ind w:left="720"/>
      </w:pPr>
      <w:r>
        <w:rPr>
          <w:lang w:val="en_US" w:bidi="en_US"/>
        </w:rPr>
      </w:r>
      <w:r>
        <w:rPr>
          <w:lang w:val="en_US" w:bidi="en_US"/>
        </w:rPr>
        <w:t xml:space="preserve">but how terrible it will be for a person who causes </w:t>
      </w:r>
      <w:r>
        <w:rPr>
          <w:lang w:val="en_US" w:bidi="en_US"/>
        </w:rPr>
        <w:t>someone</w:t>
      </w:r>
      <w:r>
        <w:rPr>
          <w:lang w:val="en_US" w:bidi="en_US"/>
        </w:rPr>
        <w:t xml:space="preserve"> to sin!</w:t>
      </w:r>
    </w:p>
    <w:p>
      <w:pPr>
        <w:pStyle w:val="ListBullet"/>
        <w:spacing w:line="240" w:lineRule="auto"/>
        <w:ind w:left="720"/>
      </w:pPr>
      <w:r>
        <w:rPr>
          <w:lang w:val="en_US" w:bidi="en_US"/>
        </w:rPr>
      </w:r>
      <w:r>
        <w:rPr>
          <w:lang w:val="en_US" w:bidi="en_US"/>
        </w:rPr>
        <w:t xml:space="preserve">But </w:t>
      </w:r>
      <w:r>
        <w:rPr>
          <w:lang w:val="en_US" w:bidi="en_US"/>
        </w:rPr>
        <w:t>God</w:t>
      </w:r>
      <w:r>
        <w:rPr>
          <w:lang w:val="en_US" w:bidi="en_US"/>
        </w:rPr>
        <w:t xml:space="preserve"> will punish people with a terrible </w:t>
      </w:r>
      <w:r>
        <w:rPr>
          <w:lang w:val="en_US" w:bidi="en_US"/>
        </w:rPr>
        <w:t>end/punishment</w:t>
      </w:r>
      <w:r>
        <w:rPr>
          <w:lang w:val="en_US" w:bidi="en_US"/>
        </w:rPr>
        <w:t xml:space="preserve"> if they tempt/lure </w:t>
      </w:r>
      <w:r>
        <w:rPr>
          <w:lang w:val="en_US" w:bidi="en_US"/>
        </w:rPr>
        <w:t>others</w:t>
      </w:r>
      <w:r>
        <w:rPr>
          <w:lang w:val="en_US" w:bidi="en_US"/>
        </w:rPr>
        <w:t xml:space="preserve"> </w:t>
      </w:r>
      <w:r>
        <w:rPr>
          <w:lang w:val="en_US" w:bidi="en_US"/>
        </w:rPr>
        <w:t>in that way</w:t>
      </w:r>
      <w:r>
        <w:rPr>
          <w:lang w:val="en_US" w:bidi="en_US"/>
        </w:rPr>
        <w:t>.</w:t>
      </w:r>
    </w:p>
    <w:p>
      <w:pPr>
        <w:pStyle w:val="ListBullet"/>
        <w:spacing w:line="240" w:lineRule="auto"/>
        <w:ind w:left="720"/>
      </w:pPr>
      <w:r>
        <w:rPr>
          <w:lang w:val="en_US" w:bidi="en_US"/>
        </w:rPr>
      </w:r>
      <w:r>
        <w:rPr>
          <w:lang w:val="en_US" w:bidi="en_US"/>
        </w:rPr>
        <w:t xml:space="preserve">But causing others to </w:t>
      </w:r>
      <w:r>
        <w:rPr>
          <w:lang w:val="en_US" w:bidi="en_US"/>
        </w:rPr>
        <w:t>reject</w:t>
      </w:r>
      <w:r>
        <w:rPr>
          <w:lang w:val="en_US" w:bidi="en_US"/>
        </w:rPr>
        <w:t xml:space="preserve"> </w:t>
      </w:r>
      <w:r>
        <w:rPr>
          <w:lang w:val="en_US" w:bidi="en_US"/>
        </w:rPr>
        <w:t>God’s way</w:t>
      </w:r>
      <w:r>
        <w:rPr>
          <w:lang w:val="en_US" w:bidi="en_US"/>
        </w:rPr>
        <w:t xml:space="preserve"> will result in a severe punishment.</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introduces a contrast. Temptations are sure to come (17:1a), but the person who causes temptations to come will still be punished severely (17:1b). Express the contrast in a natural way in your language.</w:t>
      </w:r>
    </w:p>
    <w:p>
      <w:pPr/>
      <w:r>
        <w:rPr>
          <w:lang w:val="en_US" w:bidi="en_US"/>
        </w:rPr>
      </w:r>
      <w:r>
        <w:rPr>
          <w:b/>
          <w:lang w:val="en_US" w:bidi="en_US"/>
        </w:rPr>
        <w:t>woe to the one through whom they come:</w:t>
      </w:r>
      <w:r>
        <w:rPr>
          <w:lang w:val="en_US" w:bidi="en_US"/>
        </w:rPr>
        <w:t xml:space="preserve"> The Greek phrase that the BSB translates as </w:t>
      </w:r>
      <w:r>
        <w:rPr>
          <w:i/>
          <w:lang w:val="en_US" w:bidi="en_US"/>
        </w:rPr>
        <w:t>woe to the one through whom they come</w:t>
      </w:r>
      <w:r>
        <w:rPr>
          <w:lang w:val="en_US" w:bidi="en_US"/>
        </w:rPr>
        <w:t xml:space="preserve"> means “woe to that person who causes the temptations to come” or “woe to the person who causes other people to sin.” For example:</w:t>
      </w:r>
    </w:p>
    <w:p>
      <w:pPr/>
      <w:r>
        <w:rPr>
          <w:lang w:val="en_US" w:bidi="en_US"/>
        </w:rPr>
      </w:r>
      <w:r>
        <w:rPr>
          <w:lang w:val="en_US" w:bidi="en_US"/>
        </w:rPr>
        <w:t>how terrible it will be for the person who does the tempting (NLT96)</w:t>
      </w:r>
    </w:p>
    <w:p>
      <w:pPr/>
      <w:r>
        <w:rPr>
          <w:lang w:val="en_US" w:bidi="en_US"/>
        </w:rPr>
      </w:r>
      <w:r>
        <w:rPr>
          <w:lang w:val="en_US" w:bidi="en_US"/>
        </w:rPr>
        <w:t>the person who tempts his companion so that he does sin is to be pitied, for God will really punish him</w:t>
      </w:r>
      <w:r>
        <w:rPr>
          <w:lang w:val="en_US" w:bidi="en_US"/>
        </w:rPr>
        <w:t>Yakan Back Translation, TW.</w:t>
      </w:r>
    </w:p>
    <w:p>
      <w:pPr/>
      <w:r>
        <w:rPr>
          <w:lang w:val="en_US" w:bidi="en_US"/>
        </w:rPr>
      </w:r>
      <w:r>
        <w:rPr>
          <w:lang w:val="en_US" w:bidi="en_US"/>
        </w:rPr>
        <w:t>In some languages there may be an idiom to express this. One example in English is:</w:t>
      </w:r>
    </w:p>
    <w:p>
      <w:pPr/>
      <w:r>
        <w:rPr>
          <w:lang w:val="en_US" w:bidi="en_US"/>
        </w:rPr>
      </w:r>
      <w:r>
        <w:rPr>
          <w:lang w:val="en_US" w:bidi="en_US"/>
        </w:rPr>
        <w:t>the person who leads someone astray will have a terrible punishment</w:t>
      </w:r>
    </w:p>
    <w:p>
      <w:pPr/>
      <w:r>
        <w:rPr>
          <w:lang w:val="en_US" w:bidi="en_US"/>
        </w:rPr>
      </w:r>
      <w:r>
        <w:rPr>
          <w:b/>
          <w:lang w:val="en_US" w:bidi="en_US"/>
        </w:rPr>
        <w:t>woe to the one:</w:t>
      </w:r>
      <w:r>
        <w:rPr>
          <w:lang w:val="en_US" w:bidi="en_US"/>
        </w:rPr>
        <w:t xml:space="preserve"> The Greek phrase that the BSB translates as </w:t>
      </w:r>
      <w:r>
        <w:rPr>
          <w:i/>
          <w:lang w:val="en_US" w:bidi="en_US"/>
        </w:rPr>
        <w:t>woe to the one</w:t>
      </w:r>
      <w:r>
        <w:rPr>
          <w:lang w:val="en_US" w:bidi="en_US"/>
        </w:rPr>
        <w:t xml:space="preserve"> means that something terrible will happen to the person. He or she will suffer greatly. In this context, it implies that God will punish the person severely. This same word occurs in 6:24a.</w:t>
      </w:r>
    </w:p>
    <w:p>
      <w:pPr/>
      <w:r>
        <w:rPr>
          <w:lang w:val="en_US" w:bidi="en_US"/>
        </w:rPr>
      </w:r>
      <w:r>
        <w:rPr>
          <w:lang w:val="en_US" w:bidi="en_US"/>
        </w:rPr>
        <w:t>Some other ways to translate this phrase are:</w:t>
      </w:r>
    </w:p>
    <w:p>
      <w:pPr/>
      <w:r>
        <w:rPr>
          <w:lang w:val="en_US" w:bidi="en_US"/>
        </w:rPr>
      </w:r>
      <w:r>
        <w:rPr>
          <w:lang w:val="en_US" w:bidi="en_US"/>
        </w:rPr>
        <w:t>how terrible for the one (GNT)</w:t>
      </w:r>
    </w:p>
    <w:p>
      <w:pPr/>
      <w:r>
        <w:rPr>
          <w:lang w:val="en_US" w:bidi="en_US"/>
        </w:rPr>
      </w:r>
      <w:r>
        <w:rPr>
          <w:lang w:val="en_US" w:bidi="en_US"/>
        </w:rPr>
        <w:t>how horrible it will be for the person (GW)</w:t>
      </w:r>
    </w:p>
    <w:p>
      <w:pPr/>
      <w:r>
        <w:rPr>
          <w:lang w:val="en_US" w:bidi="en_US"/>
        </w:rPr>
      </w:r>
      <w:r>
        <w:rPr>
          <w:lang w:val="en_US" w:bidi="en_US"/>
        </w:rPr>
        <w:t>God</w:t>
      </w:r>
      <w:r>
        <w:rPr>
          <w:lang w:val="en_US" w:bidi="en_US"/>
        </w:rPr>
        <w:t xml:space="preserve"> will severely punish that person</w:t>
      </w:r>
    </w:p>
    <w:p>
      <w:pPr/>
      <w:r>
        <w:rPr>
          <w:lang w:val="en_US" w:bidi="en_US"/>
        </w:rPr>
      </w:r>
      <w:r>
        <w:rPr>
          <w:lang w:val="en_US" w:bidi="en_US"/>
        </w:rPr>
        <w:t xml:space="preserve">The word </w:t>
      </w:r>
      <w:r>
        <w:rPr>
          <w:i/>
          <w:lang w:val="en_US" w:bidi="en_US"/>
        </w:rPr>
        <w:t>woe</w:t>
      </w:r>
      <w:r>
        <w:rPr>
          <w:lang w:val="en_US" w:bidi="en_US"/>
        </w:rPr>
        <w:t xml:space="preserve"> is not a curse. Jesus was not asking God to curse this person.</w:t>
      </w:r>
    </w:p>
    <w:p>
      <w:pPr/>
      <w:r>
        <w:rPr>
          <w:lang w:val="en_US" w:bidi="en_US"/>
        </w:rPr>
      </w:r>
      <w:r>
        <w:rPr>
          <w:b/>
          <w:lang w:val="en_US" w:bidi="en_US"/>
        </w:rPr>
        <w:t>the one:</w:t>
      </w:r>
      <w:r>
        <w:rPr>
          <w:lang w:val="en_US" w:bidi="en_US"/>
        </w:rPr>
        <w:t xml:space="preserve"> The phrase </w:t>
      </w:r>
      <w:r>
        <w:rPr>
          <w:i/>
          <w:lang w:val="en_US" w:bidi="en_US"/>
        </w:rPr>
        <w:t>the one</w:t>
      </w:r>
      <w:r>
        <w:rPr>
          <w:lang w:val="en_US" w:bidi="en_US"/>
        </w:rPr>
        <w:t xml:space="preserve"> refers here to any person or people who cause other people to sin. It is not referring to a particular person. Use a natural way to refer to any person or people who do this.</w:t>
      </w:r>
    </w:p>
    <w:p>
      <w:pPr/>
      <w:r>
        <w:rPr>
          <w:lang w:val="en_US" w:bidi="en_US"/>
        </w:rPr>
      </w:r>
      <w:r>
        <w:rPr>
          <w:b/>
          <w:lang w:val="en_US" w:bidi="en_US"/>
        </w:rPr>
        <w:t>they come:</w:t>
      </w:r>
      <w:r>
        <w:rPr>
          <w:lang w:val="en_US" w:bidi="en_US"/>
        </w:rPr>
        <w:t xml:space="preserve"> The word </w:t>
      </w:r>
      <w:r>
        <w:rPr>
          <w:i/>
          <w:lang w:val="en_US" w:bidi="en_US"/>
        </w:rPr>
        <w:t>they</w:t>
      </w:r>
      <w:r>
        <w:rPr>
          <w:lang w:val="en_US" w:bidi="en_US"/>
        </w:rPr>
        <w:t xml:space="preserve"> refers to the “stumbling blocks” in 17:1a.</w:t>
      </w:r>
      <w:r>
        <w:rPr>
          <w:lang w:val="en_US" w:bidi="en_US"/>
        </w:rPr>
      </w:r>
      <w:r>
        <w:rPr>
          <w:lang w:val="en_US" w:bidi="en_US"/>
        </w:rPr>
      </w:r>
    </w:p>
    <w:p>
      <w:pPr/>
      <w:r>
        <w:rPr>
          <w:lang w:val="en_US" w:bidi="en_US"/>
        </w:rPr>
      </w:r>
    </w:p>
    <w:p>
      <w:pPr>
        <w:pStyle w:val="Heading2"/>
      </w:pPr>
      <w:r>
        <w:rPr>
          <w:lang w:val="en_US" w:bidi="en_US"/>
        </w:rPr>
        <w:t>Luke 17:2</w:t>
      </w:r>
      <w:r>
        <w:rPr>
          <w:lang w:val="en_US" w:bidi="en_US"/>
        </w:rPr>
      </w:r>
    </w:p>
    <w:p>
      <w:pPr>
        <w:pStyle w:val="Heading4"/>
      </w:pPr>
      <w:r>
        <w:rPr>
          <w:lang w:val="en_US" w:bidi="en_US"/>
        </w:rPr>
        <w:t>Section 17:1–10: Jesus taught his disciples about sin, faith, and duty</w:t>
      </w:r>
    </w:p>
    <w:p>
      <w:pPr/>
      <w:r>
        <w:rPr>
          <w:lang w:val="en_US" w:bidi="en_US"/>
        </w:rPr>
      </w:r>
      <w:r>
        <w:rPr>
          <w:lang w:val="en_US" w:bidi="en_US"/>
        </w:rPr>
        <w:t>At the end of chapter 16, Jesus was speaking to the Pharisees. He concluded his parable about Lazarus and the rich man. Here in 17:1–10, he spoke to his disciples and taught them about several issues.</w:t>
      </w:r>
      <w:r>
        <w:rPr>
          <w:lang w:val="en_US" w:bidi="en_US"/>
        </w:rPr>
        <w:t>Scholars have different opinions about whether the teachings in this section are thematically related to Jesus’ teachings in chapter 16. Some scholars say that the teachings in the two chapters are not connected. Other scholars do see a broad connection. Green says, “Especially due to its location adjacent to prior accounts of Jesus’ interaction with Pharisees, this pericope recapitulates Jesus’ message to his followers: They are not to be like the Pharisees!” (p. 611). Liefeld says that “it is also possible to see a logical connection between the end of chapter 16 and the beginning of chapter 17, if we understand ‘the things that cause people to sin’ to be the sins of the Pharisees, such as those mentioned in 16:14.” Scholars also disagree about whether the paragraphs in this section are related to each other. About this, Liefeld says that “there is a common unifying theme of attitudes in the Christian community” (p. 994). Morris also mentions this possible connection: “The connecting link here may be the attitude of the religious leaders. They were in danger of using their wealth wrongly, and they were also in danger of leading their lesser brethren astray—temptations that would confront his disciples as well as people like the Pharisees” (p. 279). Nolland (p. 835) says, “Luke seems to have cobbled a unity together here of three separate blocks of tradition (verses 1–2, 3–4, 5–6). The catchword link “into/in the sea” from verse 2 to verse 6 helps to give a formal unity to the piece, and it is likely that he intends the blocks so juxtaposed, to mutually qualify the meaning of one another.” He also says, “As he opens this new section (17:1–19) Luke has brought together three blocks of tradition to form a unit about the adequacy, despite all human frailty, of even the most meager of kingdom faiths for the radical challenge of Jesus’ teaching” (p. 839).</w:t>
      </w:r>
    </w:p>
    <w:p>
      <w:pPr/>
      <w:r>
        <w:rPr>
          <w:lang w:val="en_US" w:bidi="en_US"/>
        </w:rPr>
      </w:r>
      <w:r>
        <w:rPr>
          <w:lang w:val="en_US" w:bidi="en_US"/>
        </w:rPr>
        <w:t>English versions divide these verses into sections in different ways. For example:</w:t>
      </w:r>
    </w:p>
    <w:p>
      <w:pPr>
        <w:pStyle w:val="ListNumber"/>
        <w:numPr>
          <w:ilvl w:val="0"/>
          <w:numId w:val="276"/>
        </w:numPr>
        <w:spacing w:line="240" w:lineRule="auto"/>
        <w:ind w:left="720"/>
      </w:pPr>
      <w:r>
        <w:rPr>
          <w:lang w:val="en_US" w:bidi="en_US"/>
        </w:rPr>
      </w:r>
      <w:r>
        <w:rPr>
          <w:lang w:val="en_US" w:bidi="en_US"/>
        </w:rPr>
        <w:t>Most versions put 17:1–10 together in one section and have one heading. (The Notes follow these versions.)</w:t>
      </w:r>
    </w:p>
    <w:p>
      <w:pPr>
        <w:pStyle w:val="ListNumber"/>
        <w:spacing w:line="240" w:lineRule="auto"/>
        <w:ind w:left="720"/>
      </w:pPr>
      <w:r>
        <w:rPr>
          <w:lang w:val="en_US" w:bidi="en_US"/>
        </w:rPr>
      </w:r>
      <w:r>
        <w:rPr>
          <w:lang w:val="en_US" w:bidi="en_US"/>
        </w:rPr>
        <w:t>Some versions divide 17:1–10 into three sections with a heading for each one. For example, the GNT has: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17:1–4</w:t>
            </w:r>
          </w:p>
        </w:tc>
        <w:tc>
          <w:tcPr>
            <w:tcW w:type="dxa" w:w="4680"/>
          </w:tcPr>
          <w:p>
            <w:pPr/>
            <w:r>
              <w:rPr>
                <w:lang w:val="en_US" w:bidi="en_US"/>
              </w:rPr>
            </w:r>
            <w:r>
              <w:rPr>
                <w:lang w:val="en_US" w:bidi="en_US"/>
              </w:rPr>
              <w:t>Sin</w:t>
            </w:r>
          </w:p>
        </w:tc>
      </w:tr>
      <w:tr>
        <w:tc>
          <w:tcPr>
            <w:tcW w:type="dxa" w:w="4680"/>
          </w:tcPr>
          <w:p>
            <w:pPr/>
            <w:r>
              <w:rPr>
                <w:lang w:val="en_US" w:bidi="en_US"/>
              </w:rPr>
            </w:r>
            <w:r>
              <w:rPr>
                <w:lang w:val="en_US" w:bidi="en_US"/>
              </w:rPr>
              <w:t>17:5–6</w:t>
            </w:r>
          </w:p>
        </w:tc>
        <w:tc>
          <w:tcPr>
            <w:tcW w:type="dxa" w:w="4680"/>
          </w:tcPr>
          <w:p>
            <w:pPr/>
            <w:r>
              <w:rPr>
                <w:lang w:val="en_US" w:bidi="en_US"/>
              </w:rPr>
            </w:r>
            <w:r>
              <w:rPr>
                <w:lang w:val="en_US" w:bidi="en_US"/>
              </w:rPr>
              <w:t>Faith</w:t>
            </w:r>
          </w:p>
        </w:tc>
      </w:tr>
      <w:tr>
        <w:tc>
          <w:tcPr>
            <w:tcW w:type="dxa" w:w="4680"/>
          </w:tcPr>
          <w:p>
            <w:pPr/>
            <w:r>
              <w:rPr>
                <w:lang w:val="en_US" w:bidi="en_US"/>
              </w:rPr>
            </w:r>
            <w:r>
              <w:rPr>
                <w:lang w:val="en_US" w:bidi="en_US"/>
              </w:rPr>
              <w:t>17:7–10</w:t>
            </w:r>
          </w:p>
        </w:tc>
        <w:tc>
          <w:tcPr>
            <w:tcW w:type="dxa" w:w="4680"/>
          </w:tcPr>
          <w:p>
            <w:pPr/>
            <w:r>
              <w:rPr>
                <w:lang w:val="en_US" w:bidi="en_US"/>
              </w:rPr>
            </w:r>
            <w:r>
              <w:rPr>
                <w:lang w:val="en_US" w:bidi="en_US"/>
              </w:rPr>
              <w:t>A servant’s duty</w:t>
            </w:r>
          </w:p>
        </w:tc>
      </w:tr>
    </w:tbl>
    <w:p>
      <w:pPr/>
      <w:r>
        <w:rPr>
          <w:lang w:val="en_US" w:bidi="en_US"/>
        </w:rPr>
      </w:r>
      <w:r>
        <w:rPr>
          <w:lang w:val="en_US" w:bidi="en_US"/>
        </w:rPr>
        <w:t>Some other possible headings for this section are:</w:t>
      </w:r>
    </w:p>
    <w:p>
      <w:pPr/>
      <w:r>
        <w:rPr>
          <w:lang w:val="en_US" w:bidi="en_US"/>
        </w:rPr>
      </w:r>
      <w:r>
        <w:rPr>
          <w:lang w:val="en_US" w:bidi="en_US"/>
        </w:rPr>
        <w:t>Jesus taught his disciples to not cause others to sin, to forgive others, and to serve him humbly</w:t>
      </w:r>
    </w:p>
    <w:p>
      <w:pPr/>
      <w:r>
        <w:rPr>
          <w:lang w:val="en_US" w:bidi="en_US"/>
        </w:rPr>
      </w:r>
      <w:r>
        <w:rPr>
          <w:lang w:val="en_US" w:bidi="en_US"/>
        </w:rPr>
        <w:t>Teachings about Forgiveness and Faith (NLT)</w:t>
      </w:r>
    </w:p>
    <w:p>
      <w:pPr/>
      <w:r>
        <w:rPr>
          <w:lang w:val="en_US" w:bidi="en_US"/>
        </w:rPr>
      </w:r>
      <w:r>
        <w:rPr>
          <w:lang w:val="en_US" w:bidi="en_US"/>
        </w:rPr>
        <w:t>Sin, Forgiveness, Faith, and Service (NET)</w:t>
      </w:r>
    </w:p>
    <w:p>
      <w:pPr/>
      <w:r>
        <w:rPr>
          <w:lang w:val="en_US" w:bidi="en_US"/>
        </w:rPr>
      </w:r>
      <w:r>
        <w:rPr>
          <w:lang w:val="en_US" w:bidi="en_US"/>
        </w:rPr>
        <w:t>There are parallel passages for this section in Matthew 18:6–7 and 18:15 and in Mark 9:42. However, Jesus may have spoken these passages in a different context from the one in this section.</w:t>
      </w:r>
    </w:p>
    <w:p>
      <w:pPr>
        <w:pStyle w:val="Heading5"/>
      </w:pPr>
      <w:r>
        <w:rPr>
          <w:lang w:val="en_US" w:bidi="en_US"/>
        </w:rPr>
        <w:t>17:2</w:t>
      </w:r>
    </w:p>
    <w:p>
      <w:pPr/>
      <w:r>
        <w:rPr>
          <w:lang w:val="en_US" w:bidi="en_US"/>
        </w:rPr>
      </w:r>
      <w:r>
        <w:rPr>
          <w:lang w:val="en_US" w:bidi="en_US"/>
        </w:rPr>
        <w:t>This verse emphasizes how terrible it is for someone to cause a little one to sin. Even an awful death like drowning is better than the punishment that such a person will receive.</w:t>
      </w:r>
    </w:p>
    <w:p>
      <w:pPr>
        <w:pStyle w:val="Heading5"/>
      </w:pPr>
      <w:r>
        <w:rPr>
          <w:lang w:val="en_US" w:bidi="en_US"/>
        </w:rPr>
        <w:t>17:2a</w:t>
      </w:r>
    </w:p>
    <w:p>
      <w:pPr/>
      <w:r>
        <w:rPr>
          <w:lang w:val="en_US" w:bidi="en_US"/>
        </w:rPr>
      </w:r>
      <w:r>
        <w:rPr>
          <w:b/>
          <w:lang w:val="en_US" w:bidi="en_US"/>
        </w:rPr>
        <w:t>It would be better for him</w:t>
      </w:r>
    </w:p>
    <w:p>
      <w:pPr>
        <w:pStyle w:val="ListBullet"/>
        <w:spacing w:line="240" w:lineRule="auto"/>
        <w:ind w:left="720"/>
      </w:pPr>
      <w:r>
        <w:rPr>
          <w:lang w:val="en_US" w:bidi="en_US"/>
        </w:rPr>
      </w:r>
      <w:r>
        <w:rPr>
          <w:lang w:val="en_US" w:bidi="en_US"/>
        </w:rPr>
        <w:t>It would be better for such a person</w:t>
      </w:r>
    </w:p>
    <w:p>
      <w:pPr>
        <w:pStyle w:val="ListBullet"/>
        <w:spacing w:line="240" w:lineRule="auto"/>
        <w:ind w:left="720"/>
      </w:pPr>
      <w:r>
        <w:rPr>
          <w:lang w:val="en_US" w:bidi="en_US"/>
        </w:rPr>
      </w:r>
      <w:r>
        <w:rPr>
          <w:lang w:val="en_US" w:bidi="en_US"/>
        </w:rPr>
        <w:t xml:space="preserve">People </w:t>
      </w:r>
      <w:r>
        <w:rPr>
          <w:lang w:val="en_US" w:bidi="en_US"/>
        </w:rPr>
        <w:t>who tempt others like that</w:t>
      </w:r>
      <w:r>
        <w:rPr>
          <w:lang w:val="en_US" w:bidi="en_US"/>
        </w:rPr>
        <w:t xml:space="preserve"> would be fortunate</w:t>
      </w:r>
    </w:p>
    <w:p>
      <w:pPr>
        <w:pStyle w:val="ListBullet"/>
        <w:spacing w:line="240" w:lineRule="auto"/>
        <w:ind w:left="720"/>
      </w:pPr>
      <w:r>
        <w:rPr>
          <w:lang w:val="en_US" w:bidi="en_US"/>
        </w:rPr>
      </w:r>
      <w:r>
        <w:rPr>
          <w:lang w:val="en_US" w:bidi="en_US"/>
        </w:rPr>
        <w:t>A person should prefer</w:t>
      </w:r>
    </w:p>
    <w:p>
      <w:pPr/>
      <w:r>
        <w:rPr>
          <w:lang w:val="en_US" w:bidi="en_US"/>
        </w:rPr>
      </w:r>
      <w:r>
        <w:rPr>
          <w:b/>
          <w:lang w:val="en_US" w:bidi="en_US"/>
        </w:rPr>
        <w:t>It would be better for him:</w:t>
      </w:r>
      <w:r>
        <w:rPr>
          <w:lang w:val="en_US" w:bidi="en_US"/>
        </w:rPr>
        <w:t xml:space="preserve"> The clause </w:t>
      </w:r>
      <w:r>
        <w:rPr>
          <w:i/>
          <w:lang w:val="en_US" w:bidi="en_US"/>
        </w:rPr>
        <w:t>It would be better</w:t>
      </w:r>
      <w:r>
        <w:rPr>
          <w:lang w:val="en_US" w:bidi="en_US"/>
        </w:rPr>
        <w:t xml:space="preserve"> introduces a comparison. The comparison is between two terrible punishments:</w:t>
      </w:r>
    </w:p>
    <w:p>
      <w:pPr>
        <w:pStyle w:val="ListNumber"/>
        <w:numPr>
          <w:ilvl w:val="0"/>
          <w:numId w:val="277"/>
        </w:numPr>
        <w:spacing w:line="240" w:lineRule="auto"/>
        <w:ind w:left="720"/>
      </w:pPr>
      <w:r>
        <w:rPr>
          <w:lang w:val="en_US" w:bidi="en_US"/>
        </w:rPr>
      </w:r>
      <w:r>
        <w:rPr>
          <w:lang w:val="en_US" w:bidi="en_US"/>
        </w:rPr>
        <w:t>drowning in the sea with a millstone tied around the neck (17:2b);</w:t>
      </w:r>
    </w:p>
    <w:p>
      <w:pPr>
        <w:pStyle w:val="ListNumber"/>
        <w:spacing w:line="240" w:lineRule="auto"/>
        <w:ind w:left="720"/>
      </w:pPr>
      <w:r>
        <w:rPr>
          <w:lang w:val="en_US" w:bidi="en_US"/>
        </w:rPr>
      </w:r>
      <w:r>
        <w:rPr>
          <w:lang w:val="en_US" w:bidi="en_US"/>
        </w:rPr>
        <w:t>the punishment for</w:t>
      </w:r>
      <w:r>
        <w:rPr>
          <w:lang w:val="en_US" w:bidi="en_US"/>
        </w:rPr>
        <w:t xml:space="preserve"> causing a little one to sin (17:1b).</w:t>
      </w:r>
    </w:p>
    <w:p>
      <w:pPr/>
      <w:r>
        <w:rPr>
          <w:lang w:val="en_US" w:bidi="en_US"/>
        </w:rPr>
      </w:r>
      <w:r>
        <w:rPr>
          <w:lang w:val="en_US" w:bidi="en_US"/>
        </w:rPr>
        <w:t>Jesus was saying that the punishment for causing a little one to sin is worse than drowning. A person should prefer to drown rather than to cause a little one to sin. Languages compare such situations in various ways. For example:</w:t>
      </w:r>
    </w:p>
    <w:p>
      <w:pPr/>
      <w:r>
        <w:rPr>
          <w:lang w:val="en_US" w:bidi="en_US"/>
        </w:rPr>
      </w:r>
      <w:r>
        <w:rPr>
          <w:vertAlign w:val="superscript"/>
          <w:lang w:val="en_US" w:bidi="en_US"/>
        </w:rPr>
        <w:t>2b</w:t>
      </w:r>
      <w:r>
        <w:rPr>
          <w:lang w:val="en_US" w:bidi="en_US"/>
        </w:rPr>
        <w:t xml:space="preserve">If people tied a big stone around the neck of a person who did that and threw him in the ocean </w:t>
      </w:r>
      <w:r>
        <w:rPr>
          <w:lang w:val="en_US" w:bidi="en_US"/>
        </w:rPr>
        <w:t>so that he drowned</w:t>
      </w:r>
      <w:r>
        <w:rPr>
          <w:lang w:val="en_US" w:bidi="en_US"/>
        </w:rPr>
        <w:t xml:space="preserve">, </w:t>
      </w:r>
      <w:r>
        <w:rPr>
          <w:vertAlign w:val="superscript"/>
          <w:lang w:val="en_US" w:bidi="en_US"/>
        </w:rPr>
        <w:t>2a</w:t>
      </w:r>
      <w:r>
        <w:rPr>
          <w:lang w:val="en_US" w:bidi="en_US"/>
        </w:rPr>
        <w:t xml:space="preserve">that would be a </w:t>
      </w:r>
      <w:r>
        <w:rPr>
          <w:u w:val="single"/>
          <w:lang w:val="en_US" w:bidi="en_US"/>
        </w:rPr>
        <w:t>little</w:t>
      </w:r>
      <w:r>
        <w:rPr>
          <w:lang w:val="en_US" w:bidi="en_US"/>
        </w:rPr>
        <w:t xml:space="preserve"> punishment. </w:t>
      </w:r>
      <w:r>
        <w:rPr>
          <w:vertAlign w:val="superscript"/>
          <w:lang w:val="en_US" w:bidi="en_US"/>
        </w:rPr>
        <w:t>2c</w:t>
      </w:r>
      <w:r>
        <w:rPr>
          <w:lang w:val="en_US" w:bidi="en_US"/>
        </w:rPr>
        <w:t xml:space="preserve">But if he causes one of these little ones to sin, </w:t>
      </w:r>
      <w:r>
        <w:rPr>
          <w:lang w:val="en_US" w:bidi="en_US"/>
        </w:rPr>
        <w:t>God</w:t>
      </w:r>
      <w:r>
        <w:rPr>
          <w:lang w:val="en_US" w:bidi="en_US"/>
        </w:rPr>
        <w:t xml:space="preserve"> will give him a </w:t>
      </w:r>
      <w:r>
        <w:rPr>
          <w:u w:val="single"/>
          <w:lang w:val="en_US" w:bidi="en_US"/>
        </w:rPr>
        <w:t>really big</w:t>
      </w:r>
      <w:r>
        <w:rPr>
          <w:lang w:val="en_US" w:bidi="en_US"/>
        </w:rPr>
        <w:t xml:space="preserve"> punishment.</w:t>
      </w:r>
    </w:p>
    <w:p>
      <w:pPr/>
      <w:r>
        <w:rPr>
          <w:lang w:val="en_US" w:bidi="en_US"/>
        </w:rPr>
      </w:r>
      <w:r>
        <w:rPr>
          <w:vertAlign w:val="superscript"/>
          <w:lang w:val="en_US" w:bidi="en_US"/>
        </w:rPr>
        <w:t>2c</w:t>
      </w:r>
      <w:r>
        <w:rPr>
          <w:lang w:val="en_US" w:bidi="en_US"/>
        </w:rPr>
        <w:t xml:space="preserve">The person who causes a little one to sin </w:t>
      </w:r>
      <w:r>
        <w:rPr>
          <w:lang w:val="en_US" w:bidi="en_US"/>
        </w:rPr>
        <w:t>will be punished</w:t>
      </w:r>
      <w:r>
        <w:rPr>
          <w:lang w:val="en_US" w:bidi="en_US"/>
        </w:rPr>
        <w:t xml:space="preserve"> </w:t>
      </w:r>
      <w:r>
        <w:rPr>
          <w:vertAlign w:val="superscript"/>
          <w:lang w:val="en_US" w:bidi="en_US"/>
        </w:rPr>
        <w:t>2a</w:t>
      </w:r>
      <w:r>
        <w:rPr>
          <w:lang w:val="en_US" w:bidi="en_US"/>
        </w:rPr>
        <w:t xml:space="preserve">in a way that will be </w:t>
      </w:r>
      <w:r>
        <w:rPr>
          <w:u w:val="single"/>
          <w:lang w:val="en_US" w:bidi="en_US"/>
        </w:rPr>
        <w:t>worse</w:t>
      </w:r>
      <w:r>
        <w:rPr>
          <w:lang w:val="en_US" w:bidi="en_US"/>
        </w:rPr>
        <w:t xml:space="preserve"> than </w:t>
      </w:r>
      <w:r>
        <w:rPr>
          <w:vertAlign w:val="superscript"/>
          <w:lang w:val="en_US" w:bidi="en_US"/>
        </w:rPr>
        <w:t>2b</w:t>
      </w:r>
      <w:r>
        <w:rPr>
          <w:lang w:val="en_US" w:bidi="en_US"/>
        </w:rPr>
        <w:t>if a millstone were tied around his neck and he were thrown into the sea.</w:t>
      </w:r>
    </w:p>
    <w:p>
      <w:pPr/>
      <w:r>
        <w:rPr>
          <w:lang w:val="en_US" w:bidi="en_US"/>
        </w:rPr>
      </w:r>
      <w:r>
        <w:rPr>
          <w:lang w:val="en_US" w:bidi="en_US"/>
        </w:rPr>
        <w:t>Use a natural way to express the comparison in your language.</w:t>
      </w:r>
    </w:p>
    <w:p>
      <w:pPr>
        <w:pStyle w:val="Heading5"/>
      </w:pPr>
      <w:r>
        <w:rPr>
          <w:lang w:val="en_US" w:bidi="en_US"/>
        </w:rPr>
        <w:t>17:2b</w:t>
      </w:r>
    </w:p>
    <w:p>
      <w:pPr/>
      <w:r>
        <w:rPr>
          <w:lang w:val="en_US" w:bidi="en_US"/>
        </w:rPr>
      </w:r>
      <w:r>
        <w:rPr>
          <w:b/>
          <w:lang w:val="en_US" w:bidi="en_US"/>
        </w:rPr>
        <w:t>to have a millstone hung around his neck and to be thrown into the sea</w:t>
      </w:r>
    </w:p>
    <w:p>
      <w:pPr>
        <w:pStyle w:val="ListBullet"/>
        <w:spacing w:line="240" w:lineRule="auto"/>
        <w:ind w:left="720"/>
      </w:pPr>
      <w:r>
        <w:rPr>
          <w:lang w:val="en_US" w:bidi="en_US"/>
        </w:rPr>
      </w:r>
      <w:r>
        <w:rPr>
          <w:lang w:val="en_US" w:bidi="en_US"/>
        </w:rPr>
        <w:t xml:space="preserve">if a millstone were tied around his neck and he were thrown into the sea. </w:t>
      </w:r>
      <w:r>
        <w:rPr>
          <w:lang w:val="en_US" w:bidi="en_US"/>
        </w:rPr>
        <w:t>That would be better</w:t>
      </w:r>
    </w:p>
    <w:p>
      <w:pPr>
        <w:pStyle w:val="ListBullet"/>
        <w:spacing w:line="240" w:lineRule="auto"/>
        <w:ind w:left="720"/>
      </w:pPr>
      <w:r>
        <w:rPr>
          <w:lang w:val="en_US" w:bidi="en_US"/>
        </w:rPr>
      </w:r>
      <w:r>
        <w:rPr>
          <w:lang w:val="en_US" w:bidi="en_US"/>
        </w:rPr>
        <w:t xml:space="preserve">if </w:t>
      </w:r>
      <w:r>
        <w:rPr>
          <w:lang w:val="en_US" w:bidi="en_US"/>
        </w:rPr>
        <w:t>someone/others</w:t>
      </w:r>
      <w:r>
        <w:rPr>
          <w:lang w:val="en_US" w:bidi="en_US"/>
        </w:rPr>
        <w:t xml:space="preserve"> tied a heavy stone to their necks and threw them into the lake. </w:t>
      </w:r>
      <w:r>
        <w:rPr>
          <w:lang w:val="en_US" w:bidi="en_US"/>
        </w:rPr>
        <w:t>That would be a little punishment,</w:t>
      </w:r>
    </w:p>
    <w:p>
      <w:pPr>
        <w:pStyle w:val="ListBullet"/>
        <w:spacing w:line="240" w:lineRule="auto"/>
        <w:ind w:left="720"/>
      </w:pPr>
      <w:r>
        <w:rPr>
          <w:lang w:val="en_US" w:bidi="en_US"/>
        </w:rPr>
      </w:r>
      <w:r>
        <w:rPr>
          <w:lang w:val="en_US" w:bidi="en_US"/>
        </w:rPr>
        <w:t xml:space="preserve">to </w:t>
      </w:r>
      <w:r>
        <w:rPr>
          <w:lang w:val="en_US" w:bidi="en_US"/>
        </w:rPr>
        <w:t>drown/die by</w:t>
      </w:r>
      <w:r>
        <w:rPr>
          <w:lang w:val="en_US" w:bidi="en_US"/>
        </w:rPr>
        <w:t xml:space="preserve"> being thrown into the sea with a heavy stone tied around his neck</w:t>
      </w:r>
    </w:p>
    <w:p>
      <w:pPr/>
      <w:r>
        <w:rPr>
          <w:lang w:val="en_US" w:bidi="en_US"/>
        </w:rPr>
      </w:r>
      <w:r>
        <w:rPr>
          <w:b/>
          <w:lang w:val="en_US" w:bidi="en_US"/>
        </w:rPr>
        <w:t>to have a millstone hung around his neck and to be thrown into the sea:</w:t>
      </w:r>
      <w:r>
        <w:rPr>
          <w:lang w:val="en_US" w:bidi="en_US"/>
        </w:rPr>
        <w:t xml:space="preserve"> This part of the verse describes how a person might be punished. People might tie a millstone around the person’s neck and then throw the person into the sea. Some English versions mention the sea first. For example:</w:t>
      </w:r>
    </w:p>
    <w:p>
      <w:pPr/>
      <w:r>
        <w:rPr>
          <w:lang w:val="en_US" w:bidi="en_US"/>
        </w:rPr>
      </w:r>
      <w:r>
        <w:rPr>
          <w:lang w:val="en_US" w:bidi="en_US"/>
        </w:rPr>
        <w:t>to be thrown into the sea with a millstone tied around his neck (NIV)</w:t>
      </w:r>
    </w:p>
    <w:p>
      <w:pPr/>
      <w:r>
        <w:rPr>
          <w:lang w:val="en_US" w:bidi="en_US"/>
        </w:rPr>
      </w:r>
      <w:r>
        <w:rPr>
          <w:lang w:val="en_US" w:bidi="en_US"/>
        </w:rPr>
        <w:t>But in some languages it may be more natural to mention these actions in the order they happen. For example:</w:t>
      </w:r>
    </w:p>
    <w:p>
      <w:pPr/>
      <w:r>
        <w:rPr>
          <w:lang w:val="en_US" w:bidi="en_US"/>
        </w:rPr>
      </w:r>
      <w:r>
        <w:rPr>
          <w:lang w:val="en_US" w:bidi="en_US"/>
        </w:rPr>
        <w:t>if a large millstone were tied around his neck and he were thrown into the sea (GNT)</w:t>
      </w:r>
    </w:p>
    <w:p>
      <w:pPr/>
      <w:r>
        <w:rPr>
          <w:lang w:val="en_US" w:bidi="en_US"/>
        </w:rPr>
      </w:r>
      <w:r>
        <w:rPr>
          <w:lang w:val="en_US" w:bidi="en_US"/>
        </w:rPr>
        <w:t>You should use a natural order in your language.</w:t>
      </w:r>
    </w:p>
    <w:p>
      <w:pPr/>
      <w:r>
        <w:rPr>
          <w:lang w:val="en_US" w:bidi="en_US"/>
        </w:rPr>
      </w:r>
      <w:r>
        <w:rPr>
          <w:b/>
          <w:lang w:val="en_US" w:bidi="en_US"/>
        </w:rPr>
        <w:t>millstone hung…thrown:</w:t>
      </w:r>
      <w:r>
        <w:rPr>
          <w:lang w:val="en_US" w:bidi="en_US"/>
        </w:rPr>
        <w:t xml:space="preserve"> The verbs </w:t>
      </w:r>
      <w:r>
        <w:rPr>
          <w:i/>
          <w:lang w:val="en_US" w:bidi="en_US"/>
        </w:rPr>
        <w:t>hung</w:t>
      </w:r>
      <w:r>
        <w:rPr>
          <w:lang w:val="en_US" w:bidi="en_US"/>
        </w:rPr>
        <w:t xml:space="preserve"> and </w:t>
      </w:r>
      <w:r>
        <w:rPr>
          <w:i/>
          <w:lang w:val="en_US" w:bidi="en_US"/>
        </w:rPr>
        <w:t>thrown</w:t>
      </w:r>
      <w:r>
        <w:rPr>
          <w:lang w:val="en_US" w:bidi="en_US"/>
        </w:rPr>
        <w:t xml:space="preserve"> are passive. In some languages it may be more natural to use active verbs and supply a general subject like “people” or “someone.” For example:</w:t>
      </w:r>
    </w:p>
    <w:p>
      <w:pPr/>
      <w:r>
        <w:rPr>
          <w:lang w:val="en_US" w:bidi="en_US"/>
        </w:rPr>
      </w:r>
      <w:r>
        <w:rPr>
          <w:lang w:val="en_US" w:bidi="en_US"/>
        </w:rPr>
        <w:t xml:space="preserve">if </w:t>
      </w:r>
      <w:r>
        <w:rPr>
          <w:lang w:val="en_US" w:bidi="en_US"/>
        </w:rPr>
        <w:t>people</w:t>
      </w:r>
      <w:r>
        <w:rPr>
          <w:lang w:val="en_US" w:bidi="en_US"/>
        </w:rPr>
        <w:t xml:space="preserve"> </w:t>
      </w:r>
      <w:r>
        <w:rPr>
          <w:u w:val="single"/>
          <w:lang w:val="en_US" w:bidi="en_US"/>
        </w:rPr>
        <w:t>tied</w:t>
      </w:r>
      <w:r>
        <w:rPr>
          <w:lang w:val="en_US" w:bidi="en_US"/>
        </w:rPr>
        <w:t xml:space="preserve"> a large stone around his neck and </w:t>
      </w:r>
      <w:r>
        <w:rPr>
          <w:u w:val="single"/>
          <w:lang w:val="en_US" w:bidi="en_US"/>
        </w:rPr>
        <w:t>threw</w:t>
      </w:r>
      <w:r>
        <w:rPr>
          <w:lang w:val="en_US" w:bidi="en_US"/>
        </w:rPr>
        <w:t xml:space="preserve"> him into the sea</w:t>
      </w:r>
    </w:p>
    <w:p>
      <w:pPr/>
      <w:r>
        <w:rPr>
          <w:lang w:val="en_US" w:bidi="en_US"/>
        </w:rPr>
      </w:r>
      <w:r>
        <w:rPr>
          <w:b/>
          <w:lang w:val="en_US" w:bidi="en_US"/>
        </w:rPr>
        <w:t>to be thrown into the sea:</w:t>
      </w:r>
      <w:r>
        <w:rPr>
          <w:lang w:val="en_US" w:bidi="en_US"/>
        </w:rPr>
        <w:t xml:space="preserve"> If someone is thrown into deep water with a millstone tied around his neck, he will sink and die by drowning. In some languages it may be necessary to make this implied information explicit. For example:</w:t>
      </w:r>
    </w:p>
    <w:p>
      <w:pPr/>
      <w:r>
        <w:rPr>
          <w:lang w:val="en_US" w:bidi="en_US"/>
        </w:rPr>
      </w:r>
      <w:r>
        <w:rPr>
          <w:lang w:val="en_US" w:bidi="en_US"/>
        </w:rPr>
        <w:t xml:space="preserve">thrown into the sea </w:t>
      </w:r>
      <w:r>
        <w:rPr>
          <w:lang w:val="en_US" w:bidi="en_US"/>
        </w:rPr>
        <w:t>to drown/die</w:t>
      </w:r>
    </w:p>
    <w:p>
      <w:pPr/>
      <w:r>
        <w:rPr>
          <w:lang w:val="en_US" w:bidi="en_US"/>
        </w:rPr>
      </w:r>
      <w:r>
        <w:rPr>
          <w:b/>
          <w:lang w:val="en_US" w:bidi="en_US"/>
        </w:rPr>
        <w:t>the sea:</w:t>
      </w:r>
      <w:r>
        <w:rPr>
          <w:lang w:val="en_US" w:bidi="en_US"/>
        </w:rPr>
        <w:t xml:space="preserve"> The Greek word that the BSB translates as </w:t>
      </w:r>
      <w:r>
        <w:rPr>
          <w:i/>
          <w:lang w:val="en_US" w:bidi="en_US"/>
        </w:rPr>
        <w:t>sea</w:t>
      </w:r>
      <w:r>
        <w:rPr>
          <w:lang w:val="en_US" w:bidi="en_US"/>
        </w:rPr>
        <w:t xml:space="preserve"> refers to a large, wide body of water. The water can be either salty or fresh. This word can also be used in contrast to land. The phrase </w:t>
      </w:r>
      <w:r>
        <w:rPr>
          <w:i/>
          <w:lang w:val="en_US" w:bidi="en_US"/>
        </w:rPr>
        <w:t>the sea</w:t>
      </w:r>
      <w:r>
        <w:rPr>
          <w:lang w:val="en_US" w:bidi="en_US"/>
        </w:rPr>
        <w:t xml:space="preserve"> does not refer here to any particular sea.</w:t>
      </w:r>
    </w:p>
    <w:p>
      <w:pPr/>
      <w:r>
        <w:rPr>
          <w:lang w:val="en_US" w:bidi="en_US"/>
        </w:rPr>
      </w:r>
      <w:r>
        <w:rPr>
          <w:lang w:val="en_US" w:bidi="en_US"/>
        </w:rPr>
        <w:t>In some areas people may not be familiar with large seas. If that is true in your language, you can translate it with a more familiar term. For example:</w:t>
      </w:r>
    </w:p>
    <w:p>
      <w:pPr/>
      <w:r>
        <w:rPr>
          <w:lang w:val="en_US" w:bidi="en_US"/>
        </w:rPr>
      </w:r>
      <w:r>
        <w:rPr>
          <w:lang w:val="en_US" w:bidi="en_US"/>
        </w:rPr>
        <w:t>into a lake/river</w:t>
      </w:r>
    </w:p>
    <w:p>
      <w:pPr/>
      <w:r>
        <w:rPr>
          <w:lang w:val="en_US" w:bidi="en_US"/>
        </w:rPr>
      </w:r>
      <w:r>
        <w:rPr>
          <w:b/>
          <w:lang w:val="en_US" w:bidi="en_US"/>
        </w:rPr>
        <w:t>a millstone:</w:t>
      </w:r>
      <w:r>
        <w:rPr>
          <w:lang w:val="en_US" w:bidi="en_US"/>
        </w:rPr>
        <w:t xml:space="preserve"> A millstone is a large, heavy stone. People used stones like this to grind grain to make flour.</w:t>
      </w:r>
    </w:p>
    <w:p>
      <w:pPr/>
      <w:r>
        <w:rPr>
          <w:lang w:val="en_US" w:bidi="en_US"/>
        </w:rPr>
      </w:r>
      <w:r>
        <w:rPr>
          <w:lang w:val="en_US" w:bidi="en_US"/>
        </w:rPr>
        <w:t>Sometimes a person rotated the stone. At other times an animal turned the stone.</w:t>
      </w:r>
      <w:r>
        <w:rPr>
          <w:lang w:val="en_US" w:bidi="en_US"/>
        </w:rPr>
        <w:t>For more information, see “Mill, Millstone” by C. G. Rasmussen in Volume 3, ISBE, pp. 355–56.</w:t>
      </w:r>
    </w:p>
    <w:p>
      <w:pPr/>
      <w:r>
        <w:rPr>
          <w:lang w:val="en_US" w:bidi="en_US"/>
        </w:rPr>
      </w:r>
      <w:r>
        <w:rPr>
          <w:lang w:val="en_US" w:bidi="en_US"/>
        </w:rPr>
        <w:t xml:space="preserve">Some other ways to translate the word </w:t>
      </w:r>
      <w:r>
        <w:rPr>
          <w:i/>
          <w:lang w:val="en_US" w:bidi="en_US"/>
        </w:rPr>
        <w:t>millstone</w:t>
      </w:r>
      <w:r>
        <w:rPr>
          <w:lang w:val="en_US" w:bidi="en_US"/>
        </w:rPr>
        <w:t xml:space="preserve"> are:</w:t>
      </w:r>
    </w:p>
    <w:p>
      <w:pPr/>
      <w:r>
        <w:rPr>
          <w:lang w:val="en_US" w:bidi="en_US"/>
        </w:rPr>
      </w:r>
      <w:r>
        <w:rPr>
          <w:lang w:val="en_US" w:bidi="en_US"/>
        </w:rPr>
        <w:t>large stone</w:t>
      </w:r>
    </w:p>
    <w:p>
      <w:pPr/>
      <w:r>
        <w:rPr>
          <w:lang w:val="en_US" w:bidi="en_US"/>
        </w:rPr>
      </w:r>
      <w:r>
        <w:rPr>
          <w:lang w:val="en_US" w:bidi="en_US"/>
        </w:rPr>
        <w:t>very heavy stone</w:t>
      </w:r>
    </w:p>
    <w:p>
      <w:pPr>
        <w:pStyle w:val="Heading5"/>
      </w:pPr>
      <w:r>
        <w:rPr>
          <w:lang w:val="en_US" w:bidi="en_US"/>
        </w:rPr>
        <w:t>17:2c</w:t>
      </w:r>
    </w:p>
    <w:p>
      <w:pPr/>
      <w:r>
        <w:rPr>
          <w:lang w:val="en_US" w:bidi="en_US"/>
        </w:rPr>
      </w:r>
      <w:r>
        <w:rPr>
          <w:b/>
          <w:lang w:val="en_US" w:bidi="en_US"/>
        </w:rPr>
        <w:t>than to cause one of these little ones to stumble.</w:t>
      </w:r>
    </w:p>
    <w:p>
      <w:pPr>
        <w:pStyle w:val="ListBullet"/>
        <w:spacing w:line="240" w:lineRule="auto"/>
        <w:ind w:left="720"/>
      </w:pPr>
      <w:r>
        <w:rPr>
          <w:lang w:val="en_US" w:bidi="en_US"/>
        </w:rPr>
      </w:r>
      <w:r>
        <w:rPr>
          <w:lang w:val="en_US" w:bidi="en_US"/>
        </w:rPr>
        <w:t>than if he caused one of these little ones to sin.</w:t>
      </w:r>
    </w:p>
    <w:p>
      <w:pPr>
        <w:pStyle w:val="ListBullet"/>
        <w:spacing w:line="240" w:lineRule="auto"/>
        <w:ind w:left="720"/>
      </w:pPr>
      <w:r>
        <w:rPr>
          <w:lang w:val="en_US" w:bidi="en_US"/>
        </w:rPr>
      </w:r>
      <w:r>
        <w:rPr>
          <w:lang w:val="en_US" w:bidi="en_US"/>
        </w:rPr>
        <w:t xml:space="preserve">but if they cause one of these childlike ones to disobey/deny </w:t>
      </w:r>
      <w:r>
        <w:rPr>
          <w:lang w:val="en_US" w:bidi="en_US"/>
        </w:rPr>
        <w:t>God</w:t>
      </w:r>
      <w:r>
        <w:rPr>
          <w:lang w:val="en_US" w:bidi="en_US"/>
        </w:rPr>
        <w:t>, they will receive a big punishment.</w:t>
      </w:r>
    </w:p>
    <w:p>
      <w:pPr>
        <w:pStyle w:val="ListBullet"/>
        <w:spacing w:line="240" w:lineRule="auto"/>
        <w:ind w:left="720"/>
      </w:pPr>
      <w:r>
        <w:rPr>
          <w:lang w:val="en_US" w:bidi="en_US"/>
        </w:rPr>
      </w:r>
      <w:r>
        <w:rPr>
          <w:lang w:val="en_US" w:bidi="en_US"/>
        </w:rPr>
        <w:t xml:space="preserve">rather than to cause an innocent/vulnerable person </w:t>
      </w:r>
      <w:r>
        <w:rPr>
          <w:lang w:val="en_US" w:bidi="en_US"/>
        </w:rPr>
        <w:t>like</w:t>
      </w:r>
      <w:r>
        <w:rPr>
          <w:lang w:val="en_US" w:bidi="en_US"/>
        </w:rPr>
        <w:t xml:space="preserve"> one of these to sin </w:t>
      </w:r>
      <w:r>
        <w:rPr>
          <w:lang w:val="en_US" w:bidi="en_US"/>
        </w:rPr>
        <w:t>in that way</w:t>
      </w:r>
      <w:r>
        <w:rPr>
          <w:lang w:val="en_US" w:bidi="en_US"/>
        </w:rPr>
        <w:t>.</w:t>
      </w:r>
    </w:p>
    <w:p>
      <w:pPr/>
      <w:r>
        <w:rPr>
          <w:lang w:val="en_US" w:bidi="en_US"/>
        </w:rPr>
      </w:r>
      <w:r>
        <w:rPr>
          <w:b/>
          <w:lang w:val="en_US" w:bidi="en_US"/>
        </w:rPr>
        <w:t>than to cause one of these little ones to stumble:</w:t>
      </w:r>
      <w:r>
        <w:rPr>
          <w:lang w:val="en_US" w:bidi="en_US"/>
        </w:rPr>
        <w:t xml:space="preserve"> This verse implies that God will severely punish a person who causes little ones to sin. The punishment will be far worse than if someone had killed him by drowning him. In some languages it may be necessary to make some of this information explicit. For example:</w:t>
      </w:r>
    </w:p>
    <w:p>
      <w:pPr/>
      <w:r>
        <w:rPr>
          <w:lang w:val="en_US" w:bidi="en_US"/>
        </w:rPr>
      </w:r>
      <w:r>
        <w:rPr>
          <w:lang w:val="en_US" w:bidi="en_US"/>
        </w:rPr>
        <w:t xml:space="preserve">than to endure the way that </w:t>
      </w:r>
      <w:r>
        <w:rPr>
          <w:lang w:val="en_US" w:bidi="en_US"/>
        </w:rPr>
        <w:t>God</w:t>
      </w:r>
      <w:r>
        <w:rPr>
          <w:lang w:val="en_US" w:bidi="en_US"/>
        </w:rPr>
        <w:t xml:space="preserve"> would punish him for causing one of these little ones to sin</w:t>
      </w:r>
    </w:p>
    <w:p>
      <w:pPr/>
      <w:r>
        <w:rPr>
          <w:lang w:val="en_US" w:bidi="en_US"/>
        </w:rPr>
      </w:r>
      <w:r>
        <w:rPr>
          <w:b/>
          <w:lang w:val="en_US" w:bidi="en_US"/>
        </w:rPr>
        <w:t>cause…to stumble:</w:t>
      </w:r>
      <w:r>
        <w:rPr>
          <w:lang w:val="en_US" w:bidi="en_US"/>
        </w:rPr>
        <w:t xml:space="preserve"> Translate </w:t>
      </w:r>
      <w:r>
        <w:rPr>
          <w:i/>
          <w:lang w:val="en_US" w:bidi="en_US"/>
        </w:rPr>
        <w:t>cause…to stumble</w:t>
      </w:r>
      <w:r>
        <w:rPr>
          <w:lang w:val="en_US" w:bidi="en_US"/>
        </w:rPr>
        <w:t xml:space="preserve"> in a similar way as you translated “stumbling blocks” in 17:1a.</w:t>
      </w:r>
    </w:p>
    <w:p>
      <w:pPr/>
      <w:r>
        <w:rPr>
          <w:lang w:val="en_US" w:bidi="en_US"/>
        </w:rPr>
      </w:r>
      <w:r>
        <w:rPr>
          <w:b/>
          <w:lang w:val="en_US" w:bidi="en_US"/>
        </w:rPr>
        <w:t>these little ones:</w:t>
      </w:r>
      <w:r>
        <w:rPr>
          <w:lang w:val="en_US" w:bidi="en_US"/>
        </w:rPr>
        <w:t xml:space="preserve"> The phrase </w:t>
      </w:r>
      <w:r>
        <w:rPr>
          <w:i/>
          <w:lang w:val="en_US" w:bidi="en_US"/>
        </w:rPr>
        <w:t>little ones</w:t>
      </w:r>
      <w:r>
        <w:rPr>
          <w:lang w:val="en_US" w:bidi="en_US"/>
        </w:rPr>
        <w:t xml:space="preserve"> often refers to children. In this context Jesus used the phrase figuratively to refer to people who are innocent or weak in some way. They need protection and help.</w:t>
      </w:r>
      <w:r>
        <w:rPr>
          <w:lang w:val="en_US" w:bidi="en_US"/>
        </w:rPr>
        <w:t>Scholars interpret the phrase “these little ones” in a number of ways. Some of the major views are: (1) It refers to people who believe in Jesus, both old and young. They are weak from the world’s viewpoint. (2) It refers to people whose faith is weak. They may have trusted in Jesus for only a short time, or they may still be deciding whether they should trust him. (3) It refers more generally to people who are weak or vulnerable in some way; for example, they may be poor or low in status. (4) It refers literally to children.</w:t>
      </w:r>
      <w:r>
        <w:rPr>
          <w:lang w:val="en_US" w:bidi="en_US"/>
        </w:rPr>
        <w:t xml:space="preserve"> The word </w:t>
      </w:r>
      <w:r>
        <w:rPr>
          <w:i/>
          <w:lang w:val="en_US" w:bidi="en_US"/>
        </w:rPr>
        <w:t>these</w:t>
      </w:r>
      <w:r>
        <w:rPr>
          <w:lang w:val="en_US" w:bidi="en_US"/>
        </w:rPr>
        <w:t xml:space="preserve"> refers to people who were listening to Jesus and probably to others like them. Some ways to translate this are:</w:t>
      </w:r>
    </w:p>
    <w:p>
      <w:pPr/>
      <w:r>
        <w:rPr>
          <w:lang w:val="en_US" w:bidi="en_US"/>
        </w:rPr>
      </w:r>
      <w:r>
        <w:rPr>
          <w:lang w:val="en_US" w:bidi="en_US"/>
        </w:rPr>
        <w:t>one of these childlike people</w:t>
      </w:r>
    </w:p>
    <w:p>
      <w:pPr/>
      <w:r>
        <w:rPr>
          <w:lang w:val="en_US" w:bidi="en_US"/>
        </w:rPr>
      </w:r>
      <w:r>
        <w:rPr>
          <w:lang w:val="en_US" w:bidi="en_US"/>
        </w:rPr>
        <w:t xml:space="preserve">an innocent/vulnerable person </w:t>
      </w:r>
      <w:r>
        <w:rPr>
          <w:lang w:val="en_US" w:bidi="en_US"/>
        </w:rPr>
        <w:t>like</w:t>
      </w:r>
      <w:r>
        <w:rPr>
          <w:lang w:val="en_US" w:bidi="en_US"/>
        </w:rPr>
        <w:t xml:space="preserve"> these</w:t>
      </w:r>
      <w:r>
        <w:rPr>
          <w:lang w:val="en_US" w:bidi="en_US"/>
        </w:rPr>
      </w:r>
      <w:r>
        <w:rPr>
          <w:lang w:val="en_US" w:bidi="en_US"/>
        </w:rPr>
      </w:r>
    </w:p>
    <w:p>
      <w:pPr/>
      <w:r>
        <w:rPr>
          <w:lang w:val="en_US" w:bidi="en_US"/>
        </w:rPr>
      </w:r>
    </w:p>
    <w:p>
      <w:pPr>
        <w:pStyle w:val="Heading2"/>
      </w:pPr>
      <w:r>
        <w:rPr>
          <w:lang w:val="en_US" w:bidi="en_US"/>
        </w:rPr>
        <w:t>Luke 17:3</w:t>
      </w:r>
      <w:r>
        <w:rPr>
          <w:lang w:val="en_US" w:bidi="en_US"/>
        </w:rPr>
      </w:r>
    </w:p>
    <w:p>
      <w:pPr>
        <w:pStyle w:val="Heading4"/>
      </w:pPr>
      <w:r>
        <w:rPr>
          <w:lang w:val="en_US" w:bidi="en_US"/>
        </w:rPr>
        <w:t>Section 17:1–10: Jesus taught his disciples about sin, faith, and duty</w:t>
      </w:r>
    </w:p>
    <w:p>
      <w:pPr/>
      <w:r>
        <w:rPr>
          <w:lang w:val="en_US" w:bidi="en_US"/>
        </w:rPr>
      </w:r>
      <w:r>
        <w:rPr>
          <w:lang w:val="en_US" w:bidi="en_US"/>
        </w:rPr>
        <w:t>At the end of chapter 16, Jesus was speaking to the Pharisees. He concluded his parable about Lazarus and the rich man. Here in 17:1–10, he spoke to his disciples and taught them about several issues.</w:t>
      </w:r>
      <w:r>
        <w:rPr>
          <w:lang w:val="en_US" w:bidi="en_US"/>
        </w:rPr>
        <w:t>Scholars have different opinions about whether the teachings in this section are thematically related to Jesus’ teachings in chapter 16. Some scholars say that the teachings in the two chapters are not connected. Other scholars do see a broad connection. Green says, “Especially due to its location adjacent to prior accounts of Jesus’ interaction with Pharisees, this pericope recapitulates Jesus’ message to his followers: They are not to be like the Pharisees!” (p. 611). Liefeld says that “it is also possible to see a logical connection between the end of chapter 16 and the beginning of chapter 17, if we understand ‘the things that cause people to sin’ to be the sins of the Pharisees, such as those mentioned in 16:14.” Scholars also disagree about whether the paragraphs in this section are related to each other. About this, Liefeld says that “there is a common unifying theme of attitudes in the Christian community” (p. 994). Morris also mentions this possible connection: “The connecting link here may be the attitude of the religious leaders. They were in danger of using their wealth wrongly, and they were also in danger of leading their lesser brethren astray—temptations that would confront his disciples as well as people like the Pharisees” (p. 279). Nolland (p. 835) says, “Luke seems to have cobbled a unity together here of three separate blocks of tradition (verses 1–2, 3–4, 5–6). The catchword link “into/in the sea” from verse 2 to verse 6 helps to give a formal unity to the piece, and it is likely that he intends the blocks so juxtaposed, to mutually qualify the meaning of one another.” He also says, “As he opens this new section (17:1–19) Luke has brought together three blocks of tradition to form a unit about the adequacy, despite all human frailty, of even the most meager of kingdom faiths for the radical challenge of Jesus’ teaching” (p. 839).</w:t>
      </w:r>
    </w:p>
    <w:p>
      <w:pPr/>
      <w:r>
        <w:rPr>
          <w:lang w:val="en_US" w:bidi="en_US"/>
        </w:rPr>
      </w:r>
      <w:r>
        <w:rPr>
          <w:lang w:val="en_US" w:bidi="en_US"/>
        </w:rPr>
        <w:t>English versions divide these verses into sections in different ways. For example:</w:t>
      </w:r>
    </w:p>
    <w:p>
      <w:pPr>
        <w:pStyle w:val="ListNumber"/>
        <w:numPr>
          <w:ilvl w:val="0"/>
          <w:numId w:val="278"/>
        </w:numPr>
        <w:spacing w:line="240" w:lineRule="auto"/>
        <w:ind w:left="720"/>
      </w:pPr>
      <w:r>
        <w:rPr>
          <w:lang w:val="en_US" w:bidi="en_US"/>
        </w:rPr>
      </w:r>
      <w:r>
        <w:rPr>
          <w:lang w:val="en_US" w:bidi="en_US"/>
        </w:rPr>
        <w:t>Most versions put 17:1–10 together in one section and have one heading. (The Notes follow these versions.)</w:t>
      </w:r>
    </w:p>
    <w:p>
      <w:pPr>
        <w:pStyle w:val="ListNumber"/>
        <w:spacing w:line="240" w:lineRule="auto"/>
        <w:ind w:left="720"/>
      </w:pPr>
      <w:r>
        <w:rPr>
          <w:lang w:val="en_US" w:bidi="en_US"/>
        </w:rPr>
      </w:r>
      <w:r>
        <w:rPr>
          <w:lang w:val="en_US" w:bidi="en_US"/>
        </w:rPr>
        <w:t>Some versions divide 17:1–10 into three sections with a heading for each one. For example, the GNT has: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17:1–4</w:t>
            </w:r>
          </w:p>
        </w:tc>
        <w:tc>
          <w:tcPr>
            <w:tcW w:type="dxa" w:w="4680"/>
          </w:tcPr>
          <w:p>
            <w:pPr/>
            <w:r>
              <w:rPr>
                <w:lang w:val="en_US" w:bidi="en_US"/>
              </w:rPr>
            </w:r>
            <w:r>
              <w:rPr>
                <w:lang w:val="en_US" w:bidi="en_US"/>
              </w:rPr>
              <w:t>Sin</w:t>
            </w:r>
          </w:p>
        </w:tc>
      </w:tr>
      <w:tr>
        <w:tc>
          <w:tcPr>
            <w:tcW w:type="dxa" w:w="4680"/>
          </w:tcPr>
          <w:p>
            <w:pPr/>
            <w:r>
              <w:rPr>
                <w:lang w:val="en_US" w:bidi="en_US"/>
              </w:rPr>
            </w:r>
            <w:r>
              <w:rPr>
                <w:lang w:val="en_US" w:bidi="en_US"/>
              </w:rPr>
              <w:t>17:5–6</w:t>
            </w:r>
          </w:p>
        </w:tc>
        <w:tc>
          <w:tcPr>
            <w:tcW w:type="dxa" w:w="4680"/>
          </w:tcPr>
          <w:p>
            <w:pPr/>
            <w:r>
              <w:rPr>
                <w:lang w:val="en_US" w:bidi="en_US"/>
              </w:rPr>
            </w:r>
            <w:r>
              <w:rPr>
                <w:lang w:val="en_US" w:bidi="en_US"/>
              </w:rPr>
              <w:t>Faith</w:t>
            </w:r>
          </w:p>
        </w:tc>
      </w:tr>
      <w:tr>
        <w:tc>
          <w:tcPr>
            <w:tcW w:type="dxa" w:w="4680"/>
          </w:tcPr>
          <w:p>
            <w:pPr/>
            <w:r>
              <w:rPr>
                <w:lang w:val="en_US" w:bidi="en_US"/>
              </w:rPr>
            </w:r>
            <w:r>
              <w:rPr>
                <w:lang w:val="en_US" w:bidi="en_US"/>
              </w:rPr>
              <w:t>17:7–10</w:t>
            </w:r>
          </w:p>
        </w:tc>
        <w:tc>
          <w:tcPr>
            <w:tcW w:type="dxa" w:w="4680"/>
          </w:tcPr>
          <w:p>
            <w:pPr/>
            <w:r>
              <w:rPr>
                <w:lang w:val="en_US" w:bidi="en_US"/>
              </w:rPr>
            </w:r>
            <w:r>
              <w:rPr>
                <w:lang w:val="en_US" w:bidi="en_US"/>
              </w:rPr>
              <w:t>A servant’s duty</w:t>
            </w:r>
          </w:p>
        </w:tc>
      </w:tr>
    </w:tbl>
    <w:p>
      <w:pPr/>
      <w:r>
        <w:rPr>
          <w:lang w:val="en_US" w:bidi="en_US"/>
        </w:rPr>
      </w:r>
      <w:r>
        <w:rPr>
          <w:lang w:val="en_US" w:bidi="en_US"/>
        </w:rPr>
        <w:t>Some other possible headings for this section are:</w:t>
      </w:r>
    </w:p>
    <w:p>
      <w:pPr/>
      <w:r>
        <w:rPr>
          <w:lang w:val="en_US" w:bidi="en_US"/>
        </w:rPr>
      </w:r>
      <w:r>
        <w:rPr>
          <w:lang w:val="en_US" w:bidi="en_US"/>
        </w:rPr>
        <w:t>Jesus taught his disciples to not cause others to sin, to forgive others, and to serve him humbly</w:t>
      </w:r>
    </w:p>
    <w:p>
      <w:pPr/>
      <w:r>
        <w:rPr>
          <w:lang w:val="en_US" w:bidi="en_US"/>
        </w:rPr>
      </w:r>
      <w:r>
        <w:rPr>
          <w:lang w:val="en_US" w:bidi="en_US"/>
        </w:rPr>
        <w:t>Teachings about Forgiveness and Faith (NLT)</w:t>
      </w:r>
    </w:p>
    <w:p>
      <w:pPr/>
      <w:r>
        <w:rPr>
          <w:lang w:val="en_US" w:bidi="en_US"/>
        </w:rPr>
      </w:r>
      <w:r>
        <w:rPr>
          <w:lang w:val="en_US" w:bidi="en_US"/>
        </w:rPr>
        <w:t>Sin, Forgiveness, Faith, and Service (NET)</w:t>
      </w:r>
    </w:p>
    <w:p>
      <w:pPr/>
      <w:r>
        <w:rPr>
          <w:lang w:val="en_US" w:bidi="en_US"/>
        </w:rPr>
      </w:r>
      <w:r>
        <w:rPr>
          <w:lang w:val="en_US" w:bidi="en_US"/>
        </w:rPr>
        <w:t>There are parallel passages for this section in Matthew 18:6–7 and 18:15 and in Mark 9:42. However, Jesus may have spoken these passages in a different context from the one in this section.</w:t>
      </w:r>
    </w:p>
    <w:p>
      <w:pPr>
        <w:pStyle w:val="Heading5"/>
      </w:pPr>
      <w:r>
        <w:rPr>
          <w:lang w:val="en_US" w:bidi="en_US"/>
        </w:rPr>
        <w:t>17:3a</w:t>
      </w:r>
    </w:p>
    <w:p>
      <w:pPr/>
      <w:r>
        <w:rPr>
          <w:lang w:val="en_US" w:bidi="en_US"/>
        </w:rPr>
      </w:r>
      <w:r>
        <w:rPr>
          <w:b/>
          <w:lang w:val="en_US" w:bidi="en_US"/>
        </w:rPr>
        <w:t>Watch yourselves.</w:t>
      </w:r>
    </w:p>
    <w:p>
      <w:pPr>
        <w:pStyle w:val="ListBullet"/>
        <w:spacing w:line="240" w:lineRule="auto"/>
        <w:ind w:left="720"/>
      </w:pPr>
      <w:r>
        <w:rPr>
          <w:lang w:val="en_US" w:bidi="en_US"/>
        </w:rPr>
      </w:r>
      <w:r>
        <w:rPr>
          <w:lang w:val="en_US" w:bidi="en_US"/>
        </w:rPr>
        <w:t>So watch what you do! (GNT)</w:t>
      </w:r>
    </w:p>
    <w:p>
      <w:pPr>
        <w:pStyle w:val="ListBullet"/>
        <w:spacing w:line="240" w:lineRule="auto"/>
        <w:ind w:left="720"/>
      </w:pPr>
      <w:r>
        <w:rPr>
          <w:lang w:val="en_US" w:bidi="en_US"/>
        </w:rPr>
      </w:r>
      <w:r>
        <w:rPr>
          <w:lang w:val="en_US" w:bidi="en_US"/>
        </w:rPr>
        <w:t>Be sure that you</w:t>
      </w:r>
      <w:r>
        <w:rPr>
          <w:vertAlign w:val="superscript"/>
          <w:lang w:val="en_US" w:bidi="en_US"/>
        </w:rPr>
        <w:t>(plur)</w:t>
      </w:r>
      <w:r>
        <w:rPr>
          <w:lang w:val="en_US" w:bidi="en_US"/>
        </w:rPr>
        <w:t xml:space="preserve"> </w:t>
      </w:r>
      <w:r>
        <w:rPr>
          <w:lang w:val="en_US" w:bidi="en_US"/>
        </w:rPr>
        <w:t>do not cause anyone</w:t>
      </w:r>
      <w:r>
        <w:rPr>
          <w:lang w:val="en_US" w:bidi="en_US"/>
        </w:rPr>
        <w:t xml:space="preserve"> </w:t>
      </w:r>
      <w:r>
        <w:rPr>
          <w:lang w:val="en_US" w:bidi="en_US"/>
        </w:rPr>
        <w:t>to disobey/deny</w:t>
      </w:r>
      <w:r>
        <w:rPr>
          <w:lang w:val="en_US" w:bidi="en_US"/>
        </w:rPr>
        <w:t xml:space="preserve"> </w:t>
      </w:r>
      <w:r>
        <w:rPr>
          <w:lang w:val="en_US" w:bidi="en_US"/>
        </w:rPr>
        <w:t>God</w:t>
      </w:r>
      <w:r>
        <w:rPr>
          <w:lang w:val="en_US" w:bidi="en_US"/>
        </w:rPr>
        <w:t>.</w:t>
      </w:r>
    </w:p>
    <w:p>
      <w:pPr>
        <w:pStyle w:val="ListBullet"/>
        <w:spacing w:line="240" w:lineRule="auto"/>
        <w:ind w:left="720"/>
      </w:pPr>
      <w:r>
        <w:rPr>
          <w:lang w:val="en_US" w:bidi="en_US"/>
        </w:rPr>
      </w:r>
      <w:r>
        <w:rPr>
          <w:lang w:val="en_US" w:bidi="en_US"/>
        </w:rPr>
        <w:t>Therefore be careful how you</w:t>
      </w:r>
      <w:r>
        <w:rPr>
          <w:vertAlign w:val="superscript"/>
          <w:lang w:val="en_US" w:bidi="en_US"/>
        </w:rPr>
        <w:t>(plur)</w:t>
      </w:r>
      <w:r>
        <w:rPr>
          <w:lang w:val="en_US" w:bidi="en_US"/>
        </w:rPr>
        <w:t xml:space="preserve"> </w:t>
      </w:r>
      <w:r>
        <w:rPr>
          <w:lang w:val="en_US" w:bidi="en_US"/>
        </w:rPr>
        <w:t>live/behave</w:t>
      </w:r>
      <w:r>
        <w:rPr>
          <w:lang w:val="en_US" w:bidi="en_US"/>
        </w:rPr>
        <w:t>.</w:t>
      </w:r>
    </w:p>
    <w:p>
      <w:pPr/>
      <w:r>
        <w:rPr>
          <w:lang w:val="en_US" w:bidi="en_US"/>
        </w:rPr>
      </w:r>
      <w:r>
        <w:rPr>
          <w:lang w:val="en_US" w:bidi="en_US"/>
        </w:rPr>
        <w:t>Versions such as the CEV, GNT, GW, NIV, and NLT supply the word “So” at the beginning of this verse. In Greek there is no conjunction. There are two ways to connect 17:3a to the context:</w:t>
      </w:r>
    </w:p>
    <w:p>
      <w:pPr>
        <w:pStyle w:val="ListNumber"/>
        <w:numPr>
          <w:ilvl w:val="0"/>
          <w:numId w:val="279"/>
        </w:numPr>
        <w:spacing w:line="240" w:lineRule="auto"/>
        <w:ind w:left="720"/>
      </w:pPr>
      <w:r>
        <w:rPr>
          <w:lang w:val="en_US" w:bidi="en_US"/>
        </w:rPr>
      </w:r>
      <w:r>
        <w:rPr>
          <w:lang w:val="en_US" w:bidi="en_US"/>
        </w:rPr>
        <w:t>It connects to 17:1–2. It implies that the disciples should be careful so that they do not cause one of these little ones to sin. Some English versions have a paragraph break between 17:3a and 17:3b to indicate this connection.</w:t>
      </w:r>
      <w:r>
        <w:rPr>
          <w:lang w:val="en_US" w:bidi="en_US"/>
        </w:rPr>
        <w:t>See the BSB, NIV, GNT, CEV, REB, GW, NCV, and NLT.</w:t>
      </w:r>
    </w:p>
    <w:p>
      <w:pPr>
        <w:pStyle w:val="ListNumber"/>
        <w:spacing w:line="240" w:lineRule="auto"/>
        <w:ind w:left="720"/>
      </w:pPr>
      <w:r>
        <w:rPr>
          <w:lang w:val="en_US" w:bidi="en_US"/>
        </w:rPr>
      </w:r>
      <w:r>
        <w:rPr>
          <w:lang w:val="en_US" w:bidi="en_US"/>
        </w:rPr>
        <w:t>It connects to 17:3b–4. It implies that the disciples should be careful how they live and how they treat people.</w:t>
      </w:r>
    </w:p>
    <w:p>
      <w:pPr/>
      <w:r>
        <w:rPr>
          <w:lang w:val="en_US" w:bidi="en_US"/>
        </w:rPr>
      </w:r>
      <w:r>
        <w:rPr>
          <w:lang w:val="en_US" w:bidi="en_US"/>
        </w:rPr>
        <w:t>Both connections are implied, but (a) is more prominent. If you need to make the connection more explicit, you can choose option (a). For example, as noted above, the NIV has “So” here to connect 17:3a to 17:1–2 as its conclusion. Connect 17:3a to the context in a natural way in your language.</w:t>
      </w:r>
    </w:p>
    <w:p>
      <w:pPr/>
      <w:r>
        <w:rPr>
          <w:lang w:val="en_US" w:bidi="en_US"/>
        </w:rPr>
      </w:r>
      <w:r>
        <w:rPr>
          <w:b/>
          <w:lang w:val="en_US" w:bidi="en_US"/>
        </w:rPr>
        <w:t>Watch yourselves:</w:t>
      </w:r>
      <w:r>
        <w:rPr>
          <w:lang w:val="en_US" w:bidi="en_US"/>
        </w:rPr>
        <w:t xml:space="preserve"> The expression </w:t>
      </w:r>
      <w:r>
        <w:rPr>
          <w:i/>
          <w:lang w:val="en_US" w:bidi="en_US"/>
        </w:rPr>
        <w:t>Watch yourselves</w:t>
      </w:r>
      <w:r>
        <w:rPr>
          <w:lang w:val="en_US" w:bidi="en_US"/>
        </w:rPr>
        <w:t xml:space="preserve"> is a warning. It means “be careful how you</w:t>
      </w:r>
      <w:r>
        <w:rPr>
          <w:vertAlign w:val="superscript"/>
          <w:lang w:val="en_US" w:bidi="en_US"/>
        </w:rPr>
        <w:t>(plur)</w:t>
      </w:r>
      <w:r>
        <w:rPr>
          <w:lang w:val="en_US" w:bidi="en_US"/>
        </w:rPr>
        <w:t xml:space="preserve"> behave/act.”</w:t>
      </w:r>
      <w:r>
        <w:rPr>
          <w:lang w:val="en_US" w:bidi="en_US"/>
        </w:rPr>
        <w:t>A minority view is that Jesus meant that his disciples should watch each other.</w:t>
      </w:r>
      <w:r>
        <w:rPr>
          <w:lang w:val="en_US" w:bidi="en_US"/>
        </w:rPr>
        <w:t xml:space="preserve"> Some other ways to translate this are:</w:t>
      </w:r>
    </w:p>
    <w:p>
      <w:pPr/>
      <w:r>
        <w:rPr>
          <w:lang w:val="en_US" w:bidi="en_US"/>
        </w:rPr>
      </w:r>
      <w:r>
        <w:rPr>
          <w:lang w:val="en_US" w:bidi="en_US"/>
        </w:rPr>
        <w:t>be careful what you do (CEV)</w:t>
      </w:r>
    </w:p>
    <w:p>
      <w:pPr/>
      <w:r>
        <w:rPr>
          <w:lang w:val="en_US" w:bidi="en_US"/>
        </w:rPr>
      </w:r>
      <w:r>
        <w:rPr>
          <w:lang w:val="en_US" w:bidi="en_US"/>
        </w:rPr>
        <w:t>be on your guard (REB)</w:t>
      </w:r>
    </w:p>
    <w:p>
      <w:pPr>
        <w:pStyle w:val="Heading4"/>
      </w:pPr>
      <w:r>
        <w:rPr>
          <w:lang w:val="en_US" w:bidi="en_US"/>
        </w:rPr>
        <w:t>Paragraph 17:3b–4</w:t>
      </w:r>
    </w:p>
    <w:p>
      <w:pPr/>
      <w:r>
        <w:rPr>
          <w:lang w:val="en_US" w:bidi="en_US"/>
        </w:rPr>
      </w:r>
      <w:r>
        <w:rPr>
          <w:lang w:val="en_US" w:bidi="en_US"/>
        </w:rPr>
        <w:t>In this paragraph, Jesus taught his followers that they must always forgive people who repent for sinning against them. This may be one way to avoid causing “one of these little ones” to sin (17:1–2).</w:t>
      </w:r>
    </w:p>
    <w:p>
      <w:pPr>
        <w:pStyle w:val="Heading5"/>
      </w:pPr>
      <w:r>
        <w:rPr>
          <w:lang w:val="en_US" w:bidi="en_US"/>
        </w:rPr>
        <w:t>17:3b</w:t>
      </w:r>
    </w:p>
    <w:p>
      <w:pPr/>
      <w:r>
        <w:rPr>
          <w:lang w:val="en_US" w:bidi="en_US"/>
        </w:rPr>
      </w:r>
      <w:r>
        <w:rPr>
          <w:b/>
          <w:lang w:val="en_US" w:bidi="en_US"/>
        </w:rPr>
        <w:t>If your brother sins, rebuke him;</w:t>
      </w:r>
    </w:p>
    <w:p>
      <w:pPr>
        <w:pStyle w:val="ListBullet"/>
        <w:spacing w:line="240" w:lineRule="auto"/>
        <w:ind w:left="720"/>
      </w:pPr>
      <w:r>
        <w:rPr>
          <w:lang w:val="en_US" w:bidi="en_US"/>
        </w:rPr>
      </w:r>
      <w:r>
        <w:rPr>
          <w:lang w:val="en_US" w:bidi="en_US"/>
        </w:rPr>
        <w:t>¶ “If your</w:t>
      </w:r>
      <w:r>
        <w:rPr>
          <w:vertAlign w:val="superscript"/>
          <w:lang w:val="en_US" w:bidi="en_US"/>
        </w:rPr>
        <w:t>(sing)</w:t>
      </w:r>
      <w:r>
        <w:rPr>
          <w:lang w:val="en_US" w:bidi="en_US"/>
        </w:rPr>
        <w:t xml:space="preserve"> fellow believer sins, correct him.</w:t>
      </w:r>
    </w:p>
    <w:p>
      <w:pPr>
        <w:pStyle w:val="ListBullet"/>
        <w:spacing w:line="240" w:lineRule="auto"/>
        <w:ind w:left="720"/>
      </w:pPr>
      <w:r>
        <w:rPr>
          <w:lang w:val="en_US" w:bidi="en_US"/>
        </w:rPr>
      </w:r>
      <w:r>
        <w:rPr>
          <w:lang w:val="en_US" w:bidi="en_US"/>
        </w:rPr>
        <w:t xml:space="preserve">¶ “If another person who believes </w:t>
      </w:r>
      <w:r>
        <w:rPr>
          <w:lang w:val="en_US" w:bidi="en_US"/>
        </w:rPr>
        <w:t>in me</w:t>
      </w:r>
      <w:r>
        <w:rPr>
          <w:lang w:val="en_US" w:bidi="en_US"/>
        </w:rPr>
        <w:t xml:space="preserve"> does wrong </w:t>
      </w:r>
      <w:r>
        <w:rPr>
          <w:lang w:val="en_US" w:bidi="en_US"/>
        </w:rPr>
        <w:t>to you</w:t>
      </w:r>
      <w:r>
        <w:rPr>
          <w:vertAlign w:val="superscript"/>
          <w:lang w:val="en_US" w:bidi="en_US"/>
        </w:rPr>
        <w:t>(sing)</w:t>
      </w:r>
      <w:r>
        <w:rPr>
          <w:lang w:val="en_US" w:bidi="en_US"/>
        </w:rPr>
        <w:t>, tell him that he has done wrong.</w:t>
      </w:r>
    </w:p>
    <w:p>
      <w:pPr>
        <w:pStyle w:val="ListBullet"/>
        <w:spacing w:line="240" w:lineRule="auto"/>
        <w:ind w:left="720"/>
      </w:pPr>
      <w:r>
        <w:rPr>
          <w:lang w:val="en_US" w:bidi="en_US"/>
        </w:rPr>
      </w:r>
      <w:r>
        <w:rPr>
          <w:lang w:val="en_US" w:bidi="en_US"/>
        </w:rPr>
        <w:t>¶ “Reprove/rebuke</w:t>
      </w:r>
      <w:r>
        <w:rPr>
          <w:vertAlign w:val="superscript"/>
          <w:lang w:val="en_US" w:bidi="en_US"/>
        </w:rPr>
        <w:t>(sing)</w:t>
      </w:r>
      <w:r>
        <w:rPr>
          <w:lang w:val="en_US" w:bidi="en_US"/>
        </w:rPr>
        <w:t xml:space="preserve"> your fellow believer when he has sinned </w:t>
      </w:r>
      <w:r>
        <w:rPr>
          <w:lang w:val="en_US" w:bidi="en_US"/>
        </w:rPr>
        <w:t>against you</w:t>
      </w:r>
      <w:r>
        <w:rPr>
          <w:lang w:val="en_US" w:bidi="en_US"/>
        </w:rPr>
        <w:t>,</w:t>
      </w:r>
    </w:p>
    <w:p>
      <w:pPr/>
      <w:r>
        <w:rPr>
          <w:lang w:val="en_US" w:bidi="en_US"/>
        </w:rPr>
      </w:r>
      <w:r>
        <w:rPr>
          <w:b/>
          <w:lang w:val="en_US" w:bidi="en_US"/>
        </w:rPr>
        <w:t>If your brother:</w:t>
      </w:r>
      <w:r>
        <w:rPr>
          <w:lang w:val="en_US" w:bidi="en_US"/>
        </w:rPr>
        <w:t xml:space="preserve"> The Greek phrase that the BSB translates as </w:t>
      </w:r>
      <w:r>
        <w:rPr>
          <w:i/>
          <w:lang w:val="en_US" w:bidi="en_US"/>
        </w:rPr>
        <w:t>your brother</w:t>
      </w:r>
      <w:r>
        <w:rPr>
          <w:lang w:val="en_US" w:bidi="en_US"/>
        </w:rPr>
        <w:t xml:space="preserve"> refers to any believer in Jesus, whether male or female.</w:t>
      </w:r>
    </w:p>
    <w:p>
      <w:pPr/>
      <w:r>
        <w:rPr>
          <w:lang w:val="en_US" w:bidi="en_US"/>
        </w:rPr>
      </w:r>
      <w:r>
        <w:rPr>
          <w:lang w:val="en_US" w:bidi="en_US"/>
        </w:rPr>
        <w:t xml:space="preserve">In some languages, the word </w:t>
      </w:r>
      <w:r>
        <w:rPr>
          <w:i/>
          <w:lang w:val="en_US" w:bidi="en_US"/>
        </w:rPr>
        <w:t>brother</w:t>
      </w:r>
      <w:r>
        <w:rPr>
          <w:lang w:val="en_US" w:bidi="en_US"/>
        </w:rPr>
        <w:t xml:space="preserve"> may cause readers to think that Jesus referred only to family members or to males. If that is true in your language, you may need to translate this word with a different term. For example:</w:t>
      </w:r>
    </w:p>
    <w:p>
      <w:pPr/>
      <w:r>
        <w:rPr>
          <w:lang w:val="en_US" w:bidi="en_US"/>
        </w:rPr>
      </w:r>
      <w:r>
        <w:rPr>
          <w:lang w:val="en_US" w:bidi="en_US"/>
        </w:rPr>
        <w:t>your fellow believer</w:t>
      </w:r>
    </w:p>
    <w:p>
      <w:pPr/>
      <w:r>
        <w:rPr>
          <w:lang w:val="en_US" w:bidi="en_US"/>
        </w:rPr>
      </w:r>
      <w:r>
        <w:rPr>
          <w:lang w:val="en_US" w:bidi="en_US"/>
        </w:rPr>
        <w:t xml:space="preserve">a person who believes </w:t>
      </w:r>
      <w:r>
        <w:rPr>
          <w:lang w:val="en_US" w:bidi="en_US"/>
        </w:rPr>
        <w:t>in me</w:t>
      </w:r>
    </w:p>
    <w:p>
      <w:pPr/>
      <w:r>
        <w:rPr>
          <w:lang w:val="en_US" w:bidi="en_US"/>
        </w:rPr>
      </w:r>
      <w:r>
        <w:rPr>
          <w:lang w:val="en_US" w:bidi="en_US"/>
        </w:rPr>
        <w:t>another believer (NLT)</w:t>
      </w:r>
    </w:p>
    <w:p>
      <w:pPr/>
      <w:r>
        <w:rPr>
          <w:lang w:val="en_US" w:bidi="en_US"/>
        </w:rPr>
      </w:r>
      <w:r>
        <w:rPr>
          <w:b/>
          <w:lang w:val="en_US" w:bidi="en_US"/>
        </w:rPr>
        <w:t>your:</w:t>
      </w:r>
      <w:r>
        <w:rPr>
          <w:lang w:val="en_US" w:bidi="en_US"/>
        </w:rPr>
        <w:t xml:space="preserve"> The pronoun </w:t>
      </w:r>
      <w:r>
        <w:rPr>
          <w:i/>
          <w:lang w:val="en_US" w:bidi="en_US"/>
        </w:rPr>
        <w:t>your</w:t>
      </w:r>
      <w:r>
        <w:rPr>
          <w:lang w:val="en_US" w:bidi="en_US"/>
        </w:rPr>
        <w:t xml:space="preserve"> is singular, but Jesus was speaking to all of his disciples. Jesus often used a singular form when he was speaking to a group. It indicates that he wanted each individual to listen carefully and obey him.</w:t>
      </w:r>
    </w:p>
    <w:p>
      <w:pPr/>
      <w:r>
        <w:rPr>
          <w:lang w:val="en_US" w:bidi="en_US"/>
        </w:rPr>
      </w:r>
      <w:r>
        <w:rPr>
          <w:lang w:val="en_US" w:bidi="en_US"/>
        </w:rPr>
        <w:t>In some languages it may be confusing to use a singular form here. Use whatever form is natural in your language for this situation.</w:t>
      </w:r>
    </w:p>
    <w:p>
      <w:pPr/>
      <w:r>
        <w:rPr>
          <w:lang w:val="en_US" w:bidi="en_US"/>
        </w:rPr>
      </w:r>
      <w:r>
        <w:rPr>
          <w:b/>
          <w:lang w:val="en_US" w:bidi="en_US"/>
        </w:rPr>
        <w:t>sins:</w:t>
      </w:r>
      <w:r>
        <w:rPr>
          <w:lang w:val="en_US" w:bidi="en_US"/>
        </w:rPr>
        <w:t xml:space="preserve"> The verb </w:t>
      </w:r>
      <w:r>
        <w:rPr>
          <w:i/>
          <w:lang w:val="en_US" w:bidi="en_US"/>
        </w:rPr>
        <w:t>sins</w:t>
      </w:r>
      <w:r>
        <w:rPr>
          <w:lang w:val="en_US" w:bidi="en_US"/>
        </w:rPr>
        <w:t xml:space="preserve"> refers here to sinning against another person, as in 17:4. It means to speak, act, or think toward the person in a way that God does not approve. Sinning against someone can also include neglecting to do what God wants concerning that person.</w:t>
      </w:r>
    </w:p>
    <w:p>
      <w:pPr/>
      <w:r>
        <w:rPr>
          <w:lang w:val="en_US" w:bidi="en_US"/>
        </w:rPr>
      </w:r>
      <w:r>
        <w:rPr>
          <w:lang w:val="en_US" w:bidi="en_US"/>
        </w:rPr>
        <w:t xml:space="preserve">Try to translate </w:t>
      </w:r>
      <w:r>
        <w:rPr>
          <w:i/>
          <w:lang w:val="en_US" w:bidi="en_US"/>
        </w:rPr>
        <w:t>sins</w:t>
      </w:r>
      <w:r>
        <w:rPr>
          <w:lang w:val="en_US" w:bidi="en_US"/>
        </w:rPr>
        <w:t xml:space="preserve"> with a general term that can include sinning against a person in any way. Here are some problems to avoid:</w:t>
      </w:r>
    </w:p>
    <w:p>
      <w:pPr>
        <w:pStyle w:val="ListNumber"/>
        <w:numPr>
          <w:ilvl w:val="0"/>
          <w:numId w:val="280"/>
        </w:numPr>
        <w:spacing w:line="240" w:lineRule="auto"/>
        <w:ind w:left="720"/>
      </w:pPr>
      <w:r>
        <w:rPr>
          <w:lang w:val="en_US" w:bidi="en_US"/>
        </w:rPr>
      </w:r>
      <w:r>
        <w:rPr>
          <w:lang w:val="en_US" w:bidi="en_US"/>
        </w:rPr>
        <w:t xml:space="preserve">The term should not imply that a person </w:t>
      </w:r>
      <w:r>
        <w:rPr>
          <w:i/>
          <w:lang w:val="en_US" w:bidi="en_US"/>
        </w:rPr>
        <w:t>sins</w:t>
      </w:r>
      <w:r>
        <w:rPr>
          <w:lang w:val="en_US" w:bidi="en_US"/>
        </w:rPr>
        <w:t xml:space="preserve"> only when he does serious crimes like murdering or stealing. He also sins when he gossips or treats someone unfairly.</w:t>
      </w:r>
    </w:p>
    <w:p>
      <w:pPr>
        <w:pStyle w:val="ListNumber"/>
        <w:spacing w:line="240" w:lineRule="auto"/>
        <w:ind w:left="720"/>
      </w:pPr>
      <w:r>
        <w:rPr>
          <w:lang w:val="en_US" w:bidi="en_US"/>
        </w:rPr>
      </w:r>
      <w:r>
        <w:rPr>
          <w:lang w:val="en_US" w:bidi="en_US"/>
        </w:rPr>
        <w:t>The term should not include accidents or mistakes that are not against God’s will.</w:t>
      </w:r>
    </w:p>
    <w:p>
      <w:pPr/>
      <w:r>
        <w:rPr>
          <w:lang w:val="en_US" w:bidi="en_US"/>
        </w:rPr>
      </w:r>
      <w:r>
        <w:rPr>
          <w:lang w:val="en_US" w:bidi="en_US"/>
        </w:rPr>
        <w:t>If possible, use the same term that you use for sinning against God.</w:t>
      </w:r>
    </w:p>
    <w:p>
      <w:pPr/>
      <w:r>
        <w:rPr>
          <w:lang w:val="en_US" w:bidi="en_US"/>
        </w:rPr>
      </w:r>
      <w:r>
        <w:rPr>
          <w:lang w:val="en_US" w:bidi="en_US"/>
        </w:rPr>
        <w:t xml:space="preserve">Some other ways to translate </w:t>
      </w:r>
      <w:r>
        <w:rPr>
          <w:i/>
          <w:lang w:val="en_US" w:bidi="en_US"/>
        </w:rPr>
        <w:t>sins</w:t>
      </w:r>
      <w:r>
        <w:rPr>
          <w:lang w:val="en_US" w:bidi="en_US"/>
        </w:rPr>
        <w:t xml:space="preserve"> in this context are:</w:t>
      </w:r>
    </w:p>
    <w:p>
      <w:pPr/>
      <w:r>
        <w:rPr>
          <w:lang w:val="en_US" w:bidi="en_US"/>
        </w:rPr>
      </w:r>
      <w:r>
        <w:rPr>
          <w:lang w:val="en_US" w:bidi="en_US"/>
        </w:rPr>
        <w:t>does wrong/bad to</w:t>
      </w:r>
    </w:p>
    <w:p>
      <w:pPr/>
      <w:r>
        <w:rPr>
          <w:lang w:val="en_US" w:bidi="en_US"/>
        </w:rPr>
      </w:r>
      <w:r>
        <w:rPr>
          <w:lang w:val="en_US" w:bidi="en_US"/>
        </w:rPr>
        <w:t>treats badly</w:t>
      </w:r>
    </w:p>
    <w:p>
      <w:pPr/>
      <w:r>
        <w:rPr>
          <w:lang w:val="en_US" w:bidi="en_US"/>
        </w:rPr>
      </w:r>
      <w:r>
        <w:rPr>
          <w:lang w:val="en_US" w:bidi="en_US"/>
        </w:rPr>
        <w:t>See also “sin,” sense B, in KBT.</w:t>
      </w:r>
    </w:p>
    <w:p>
      <w:pPr/>
      <w:r>
        <w:rPr>
          <w:lang w:val="en_US" w:bidi="en_US"/>
        </w:rPr>
      </w:r>
      <w:r>
        <w:rPr>
          <w:b/>
          <w:lang w:val="en_US" w:bidi="en_US"/>
        </w:rPr>
        <w:t>rebuke him:</w:t>
      </w:r>
      <w:r>
        <w:rPr>
          <w:lang w:val="en_US" w:bidi="en_US"/>
        </w:rPr>
        <w:t xml:space="preserve"> Here the word </w:t>
      </w:r>
      <w:r>
        <w:rPr>
          <w:i/>
          <w:lang w:val="en_US" w:bidi="en_US"/>
        </w:rPr>
        <w:t>rebuke</w:t>
      </w:r>
      <w:r>
        <w:rPr>
          <w:lang w:val="en_US" w:bidi="en_US"/>
        </w:rPr>
        <w:t xml:space="preserve"> means to tell someone that he has done wrong. In this context it probably refers to telling him the specific wrong that he has done against you. Some other ways to translate this are:</w:t>
      </w:r>
    </w:p>
    <w:p>
      <w:pPr/>
      <w:r>
        <w:rPr>
          <w:lang w:val="en_US" w:bidi="en_US"/>
        </w:rPr>
      </w:r>
      <w:r>
        <w:rPr>
          <w:lang w:val="en_US" w:bidi="en_US"/>
        </w:rPr>
        <w:t>correct him (GW)</w:t>
      </w:r>
    </w:p>
    <w:p>
      <w:pPr/>
      <w:r>
        <w:rPr>
          <w:lang w:val="en_US" w:bidi="en_US"/>
        </w:rPr>
      </w:r>
      <w:r>
        <w:rPr>
          <w:lang w:val="en_US" w:bidi="en_US"/>
        </w:rPr>
        <w:t>reprove him (REB)</w:t>
      </w:r>
    </w:p>
    <w:p>
      <w:pPr/>
      <w:r>
        <w:rPr>
          <w:lang w:val="en_US" w:bidi="en_US"/>
        </w:rPr>
      </w:r>
      <w:r>
        <w:rPr>
          <w:lang w:val="en_US" w:bidi="en_US"/>
        </w:rPr>
        <w:t>tell him that he has done wrong</w:t>
      </w:r>
    </w:p>
    <w:p>
      <w:pPr>
        <w:pStyle w:val="Heading5"/>
      </w:pPr>
      <w:r>
        <w:rPr>
          <w:lang w:val="en_US" w:bidi="en_US"/>
        </w:rPr>
        <w:t>17:3c</w:t>
      </w:r>
    </w:p>
    <w:p>
      <w:pPr/>
      <w:r>
        <w:rPr>
          <w:lang w:val="en_US" w:bidi="en_US"/>
        </w:rPr>
      </w:r>
      <w:r>
        <w:rPr>
          <w:b/>
          <w:lang w:val="en_US" w:bidi="en_US"/>
        </w:rPr>
        <w:t>and if he repents, forgive him.</w:t>
      </w:r>
    </w:p>
    <w:p>
      <w:pPr>
        <w:pStyle w:val="ListBullet"/>
        <w:spacing w:line="240" w:lineRule="auto"/>
        <w:ind w:left="720"/>
      </w:pPr>
      <w:r>
        <w:rPr>
          <w:lang w:val="en_US" w:bidi="en_US"/>
        </w:rPr>
      </w:r>
      <w:r>
        <w:rPr>
          <w:lang w:val="en_US" w:bidi="en_US"/>
        </w:rPr>
        <w:t xml:space="preserve">If he changes his thinking/heart </w:t>
      </w:r>
      <w:r>
        <w:rPr>
          <w:lang w:val="en_US" w:bidi="en_US"/>
        </w:rPr>
        <w:t>and is sorry</w:t>
      </w:r>
      <w:r>
        <w:rPr>
          <w:lang w:val="en_US" w:bidi="en_US"/>
        </w:rPr>
        <w:t>, forgive</w:t>
      </w:r>
      <w:r>
        <w:rPr>
          <w:vertAlign w:val="superscript"/>
          <w:lang w:val="en_US" w:bidi="en_US"/>
        </w:rPr>
        <w:t>(sing)</w:t>
      </w:r>
      <w:r>
        <w:rPr>
          <w:lang w:val="en_US" w:bidi="en_US"/>
        </w:rPr>
        <w:t xml:space="preserve"> him.</w:t>
      </w:r>
    </w:p>
    <w:p>
      <w:pPr>
        <w:pStyle w:val="ListBullet"/>
        <w:spacing w:line="240" w:lineRule="auto"/>
        <w:ind w:left="720"/>
      </w:pPr>
      <w:r>
        <w:rPr>
          <w:lang w:val="en_US" w:bidi="en_US"/>
        </w:rPr>
      </w:r>
      <w:r>
        <w:rPr>
          <w:lang w:val="en_US" w:bidi="en_US"/>
        </w:rPr>
        <w:t>If he regrets the wrong that he has done to you</w:t>
      </w:r>
      <w:r>
        <w:rPr>
          <w:vertAlign w:val="superscript"/>
          <w:lang w:val="en_US" w:bidi="en_US"/>
        </w:rPr>
        <w:t>(sing)</w:t>
      </w:r>
      <w:r>
        <w:rPr>
          <w:lang w:val="en_US" w:bidi="en_US"/>
        </w:rPr>
        <w:t>, pardon him.</w:t>
      </w:r>
    </w:p>
    <w:p>
      <w:pPr>
        <w:pStyle w:val="ListBullet"/>
        <w:spacing w:line="240" w:lineRule="auto"/>
        <w:ind w:left="720"/>
      </w:pPr>
      <w:r>
        <w:rPr>
          <w:lang w:val="en_US" w:bidi="en_US"/>
        </w:rPr>
      </w:r>
      <w:r>
        <w:rPr>
          <w:lang w:val="en_US" w:bidi="en_US"/>
        </w:rPr>
        <w:t>and pardon him when he tells you</w:t>
      </w:r>
      <w:r>
        <w:rPr>
          <w:vertAlign w:val="superscript"/>
          <w:lang w:val="en_US" w:bidi="en_US"/>
        </w:rPr>
        <w:t>(sing)</w:t>
      </w:r>
      <w:r>
        <w:rPr>
          <w:lang w:val="en_US" w:bidi="en_US"/>
        </w:rPr>
        <w:t xml:space="preserve"> that he is sorry </w:t>
      </w:r>
      <w:r>
        <w:rPr>
          <w:lang w:val="en_US" w:bidi="en_US"/>
        </w:rPr>
        <w:t>for what he has done</w:t>
      </w:r>
      <w:r>
        <w:rPr>
          <w:lang w:val="en_US" w:bidi="en_US"/>
        </w:rPr>
        <w:t xml:space="preserve"> </w:t>
      </w:r>
      <w:r>
        <w:rPr>
          <w:lang w:val="en_US" w:bidi="en_US"/>
        </w:rPr>
        <w:t>to you</w:t>
      </w:r>
      <w:r>
        <w:rPr>
          <w:vertAlign w:val="superscript"/>
          <w:lang w:val="en_US" w:bidi="en_US"/>
        </w:rPr>
        <w:t>(sing)</w:t>
      </w:r>
      <w:r>
        <w:rPr>
          <w:lang w:val="en_US" w:bidi="en_US"/>
        </w:rPr>
        <w:t>.</w:t>
      </w:r>
    </w:p>
    <w:p>
      <w:pPr/>
      <w:r>
        <w:rPr>
          <w:lang w:val="en_US" w:bidi="en_US"/>
        </w:rPr>
      </w:r>
      <w:r>
        <w:rPr>
          <w:b/>
          <w:lang w:val="en_US" w:bidi="en_US"/>
        </w:rPr>
        <w:t>if he repents:</w:t>
      </w:r>
      <w:r>
        <w:rPr>
          <w:lang w:val="en_US" w:bidi="en_US"/>
        </w:rPr>
        <w:t xml:space="preserve"> The Greek word that the BSB translates as </w:t>
      </w:r>
      <w:r>
        <w:rPr>
          <w:i/>
          <w:lang w:val="en_US" w:bidi="en_US"/>
        </w:rPr>
        <w:t>repents</w:t>
      </w:r>
      <w:r>
        <w:rPr>
          <w:lang w:val="en_US" w:bidi="en_US"/>
        </w:rPr>
        <w:t xml:space="preserve"> means for a person “to change his mind, heart, or will.” In the Bible, it refers specifically to a person’s changing his mind and heart about sin. When a person repents, he is sorry for his past sins. He decides to stop sinning.</w:t>
      </w:r>
    </w:p>
    <w:p>
      <w:pPr/>
      <w:r>
        <w:rPr>
          <w:lang w:val="en_US" w:bidi="en_US"/>
        </w:rPr>
      </w:r>
      <w:r>
        <w:rPr>
          <w:lang w:val="en_US" w:bidi="en_US"/>
        </w:rPr>
        <w:t xml:space="preserve">In this context of someone sinning against another person, the words </w:t>
      </w:r>
      <w:r>
        <w:rPr>
          <w:i/>
          <w:lang w:val="en_US" w:bidi="en_US"/>
        </w:rPr>
        <w:t>he repents</w:t>
      </w:r>
      <w:r>
        <w:rPr>
          <w:lang w:val="en_US" w:bidi="en_US"/>
        </w:rPr>
        <w:t xml:space="preserve"> indicate that he regrets the wrong that he did to that person. He changes his attitude and behavior. Some ways to translate “repent” in this context are:</w:t>
      </w:r>
    </w:p>
    <w:p>
      <w:pPr/>
      <w:r>
        <w:rPr>
          <w:lang w:val="en_US" w:bidi="en_US"/>
        </w:rPr>
      </w:r>
      <w:r>
        <w:rPr>
          <w:lang w:val="en_US" w:bidi="en_US"/>
        </w:rPr>
        <w:t>If he changes his thinking/mind/heart</w:t>
      </w:r>
    </w:p>
    <w:p>
      <w:pPr/>
      <w:r>
        <w:rPr>
          <w:lang w:val="en_US" w:bidi="en_US"/>
        </w:rPr>
      </w:r>
      <w:r>
        <w:rPr>
          <w:lang w:val="en_US" w:bidi="en_US"/>
        </w:rPr>
        <w:t>If he rejects his sin</w:t>
      </w:r>
    </w:p>
    <w:p>
      <w:pPr/>
      <w:r>
        <w:rPr>
          <w:lang w:val="en_US" w:bidi="en_US"/>
        </w:rPr>
      </w:r>
      <w:r>
        <w:rPr>
          <w:lang w:val="en_US" w:bidi="en_US"/>
        </w:rPr>
        <w:t>If he says that he will not do that sin again</w:t>
      </w:r>
    </w:p>
    <w:p>
      <w:pPr/>
      <w:r>
        <w:rPr>
          <w:lang w:val="en_US" w:bidi="en_US"/>
        </w:rPr>
      </w:r>
      <w:r>
        <w:rPr>
          <w:lang w:val="en_US" w:bidi="en_US"/>
        </w:rPr>
        <w:t>Some languages may have an idiom for this type of change. For example:</w:t>
      </w:r>
    </w:p>
    <w:p>
      <w:pPr/>
      <w:r>
        <w:rPr>
          <w:lang w:val="en_US" w:bidi="en_US"/>
        </w:rPr>
      </w:r>
      <w:r>
        <w:rPr>
          <w:lang w:val="en_US" w:bidi="en_US"/>
        </w:rPr>
        <w:t>If he turns from the sin</w:t>
      </w:r>
    </w:p>
    <w:p>
      <w:pPr/>
      <w:r>
        <w:rPr>
          <w:lang w:val="en_US" w:bidi="en_US"/>
        </w:rPr>
      </w:r>
      <w:r>
        <w:rPr>
          <w:b/>
          <w:lang w:val="en_US" w:bidi="en_US"/>
        </w:rPr>
        <w:t>forgive him:</w:t>
      </w:r>
      <w:r>
        <w:rPr>
          <w:lang w:val="en_US" w:bidi="en_US"/>
        </w:rPr>
        <w:t xml:space="preserve"> Here the Greek word that the BSB translates as </w:t>
      </w:r>
      <w:r>
        <w:rPr>
          <w:i/>
          <w:lang w:val="en_US" w:bidi="en_US"/>
        </w:rPr>
        <w:t>forgive</w:t>
      </w:r>
      <w:r>
        <w:rPr>
          <w:lang w:val="en_US" w:bidi="en_US"/>
        </w:rPr>
        <w:t xml:space="preserve"> means “pardon.” When someone pardons a person who has sinned against him, he decides not to punish the person or seek revenge against him. He also decides that he will not continue to be angry or resentful toward the person.</w:t>
      </w:r>
    </w:p>
    <w:p>
      <w:pPr/>
      <w:r>
        <w:rPr>
          <w:lang w:val="en_US" w:bidi="en_US"/>
        </w:rPr>
      </w:r>
      <w:r>
        <w:rPr>
          <w:lang w:val="en_US" w:bidi="en_US"/>
        </w:rPr>
        <w:t xml:space="preserve">Some possible ways to translate </w:t>
      </w:r>
      <w:r>
        <w:rPr>
          <w:i/>
          <w:lang w:val="en_US" w:bidi="en_US"/>
        </w:rPr>
        <w:t>forgive him</w:t>
      </w:r>
      <w:r>
        <w:rPr>
          <w:lang w:val="en_US" w:bidi="en_US"/>
        </w:rPr>
        <w:t xml:space="preserve"> are:</w:t>
      </w:r>
    </w:p>
    <w:p>
      <w:pPr/>
      <w:r>
        <w:rPr>
          <w:lang w:val="en_US" w:bidi="en_US"/>
        </w:rPr>
      </w:r>
      <w:r>
        <w:rPr>
          <w:lang w:val="en_US" w:bidi="en_US"/>
        </w:rPr>
        <w:t>pardon him/her</w:t>
      </w:r>
    </w:p>
    <w:p>
      <w:pPr/>
      <w:r>
        <w:rPr>
          <w:lang w:val="en_US" w:bidi="en_US"/>
        </w:rPr>
      </w:r>
      <w:r>
        <w:rPr>
          <w:lang w:val="en_US" w:bidi="en_US"/>
        </w:rPr>
        <w:t>release/free him from the sin/punishment</w:t>
      </w:r>
    </w:p>
    <w:p>
      <w:pPr/>
      <w:r>
        <w:rPr>
          <w:lang w:val="en_US" w:bidi="en_US"/>
        </w:rPr>
      </w:r>
      <w:r>
        <w:rPr>
          <w:lang w:val="en_US" w:bidi="en_US"/>
        </w:rPr>
        <w:t>forget his wrongdoing</w:t>
      </w:r>
      <w:r>
        <w:rPr>
          <w:lang w:val="en_US" w:bidi="en_US"/>
        </w:rPr>
      </w:r>
      <w:r>
        <w:rPr>
          <w:lang w:val="en_US" w:bidi="en_US"/>
        </w:rPr>
      </w:r>
    </w:p>
    <w:p>
      <w:pPr/>
      <w:r>
        <w:rPr>
          <w:lang w:val="en_US" w:bidi="en_US"/>
        </w:rPr>
      </w:r>
    </w:p>
    <w:p>
      <w:pPr>
        <w:pStyle w:val="Heading2"/>
      </w:pPr>
      <w:r>
        <w:rPr>
          <w:lang w:val="en_US" w:bidi="en_US"/>
        </w:rPr>
        <w:t>Luke 17:4</w:t>
      </w:r>
      <w:r>
        <w:rPr>
          <w:lang w:val="en_US" w:bidi="en_US"/>
        </w:rPr>
      </w:r>
    </w:p>
    <w:p>
      <w:pPr>
        <w:pStyle w:val="Heading4"/>
      </w:pPr>
      <w:r>
        <w:rPr>
          <w:lang w:val="en_US" w:bidi="en_US"/>
        </w:rPr>
        <w:t>Section 17:1–10: Jesus taught his disciples about sin, faith, and duty</w:t>
      </w:r>
    </w:p>
    <w:p>
      <w:pPr/>
      <w:r>
        <w:rPr>
          <w:lang w:val="en_US" w:bidi="en_US"/>
        </w:rPr>
      </w:r>
      <w:r>
        <w:rPr>
          <w:lang w:val="en_US" w:bidi="en_US"/>
        </w:rPr>
        <w:t>At the end of chapter 16, Jesus was speaking to the Pharisees. He concluded his parable about Lazarus and the rich man. Here in 17:1–10, he spoke to his disciples and taught them about several issues.</w:t>
      </w:r>
      <w:r>
        <w:rPr>
          <w:lang w:val="en_US" w:bidi="en_US"/>
        </w:rPr>
        <w:t>Scholars have different opinions about whether the teachings in this section are thematically related to Jesus’ teachings in chapter 16. Some scholars say that the teachings in the two chapters are not connected. Other scholars do see a broad connection. Green says, “Especially due to its location adjacent to prior accounts of Jesus’ interaction with Pharisees, this pericope recapitulates Jesus’ message to his followers: They are not to be like the Pharisees!” (p. 611). Liefeld says that “it is also possible to see a logical connection between the end of chapter 16 and the beginning of chapter 17, if we understand ‘the things that cause people to sin’ to be the sins of the Pharisees, such as those mentioned in 16:14.” Scholars also disagree about whether the paragraphs in this section are related to each other. About this, Liefeld says that “there is a common unifying theme of attitudes in the Christian community” (p. 994). Morris also mentions this possible connection: “The connecting link here may be the attitude of the religious leaders. They were in danger of using their wealth wrongly, and they were also in danger of leading their lesser brethren astray—temptations that would confront his disciples as well as people like the Pharisees” (p. 279). Nolland (p. 835) says, “Luke seems to have cobbled a unity together here of three separate blocks of tradition (verses 1–2, 3–4, 5–6). The catchword link “into/in the sea” from verse 2 to verse 6 helps to give a formal unity to the piece, and it is likely that he intends the blocks so juxtaposed, to mutually qualify the meaning of one another.” He also says, “As he opens this new section (17:1–19) Luke has brought together three blocks of tradition to form a unit about the adequacy, despite all human frailty, of even the most meager of kingdom faiths for the radical challenge of Jesus’ teaching” (p. 839).</w:t>
      </w:r>
    </w:p>
    <w:p>
      <w:pPr/>
      <w:r>
        <w:rPr>
          <w:lang w:val="en_US" w:bidi="en_US"/>
        </w:rPr>
      </w:r>
      <w:r>
        <w:rPr>
          <w:lang w:val="en_US" w:bidi="en_US"/>
        </w:rPr>
        <w:t>English versions divide these verses into sections in different ways. For example:</w:t>
      </w:r>
    </w:p>
    <w:p>
      <w:pPr>
        <w:pStyle w:val="ListNumber"/>
        <w:numPr>
          <w:ilvl w:val="0"/>
          <w:numId w:val="281"/>
        </w:numPr>
        <w:spacing w:line="240" w:lineRule="auto"/>
        <w:ind w:left="720"/>
      </w:pPr>
      <w:r>
        <w:rPr>
          <w:lang w:val="en_US" w:bidi="en_US"/>
        </w:rPr>
      </w:r>
      <w:r>
        <w:rPr>
          <w:lang w:val="en_US" w:bidi="en_US"/>
        </w:rPr>
        <w:t>Most versions put 17:1–10 together in one section and have one heading. (The Notes follow these versions.)</w:t>
      </w:r>
    </w:p>
    <w:p>
      <w:pPr>
        <w:pStyle w:val="ListNumber"/>
        <w:spacing w:line="240" w:lineRule="auto"/>
        <w:ind w:left="720"/>
      </w:pPr>
      <w:r>
        <w:rPr>
          <w:lang w:val="en_US" w:bidi="en_US"/>
        </w:rPr>
      </w:r>
      <w:r>
        <w:rPr>
          <w:lang w:val="en_US" w:bidi="en_US"/>
        </w:rPr>
        <w:t>Some versions divide 17:1–10 into three sections with a heading for each one. For example, the GNT has: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17:1–4</w:t>
            </w:r>
          </w:p>
        </w:tc>
        <w:tc>
          <w:tcPr>
            <w:tcW w:type="dxa" w:w="4680"/>
          </w:tcPr>
          <w:p>
            <w:pPr/>
            <w:r>
              <w:rPr>
                <w:lang w:val="en_US" w:bidi="en_US"/>
              </w:rPr>
            </w:r>
            <w:r>
              <w:rPr>
                <w:lang w:val="en_US" w:bidi="en_US"/>
              </w:rPr>
              <w:t>Sin</w:t>
            </w:r>
          </w:p>
        </w:tc>
      </w:tr>
      <w:tr>
        <w:tc>
          <w:tcPr>
            <w:tcW w:type="dxa" w:w="4680"/>
          </w:tcPr>
          <w:p>
            <w:pPr/>
            <w:r>
              <w:rPr>
                <w:lang w:val="en_US" w:bidi="en_US"/>
              </w:rPr>
            </w:r>
            <w:r>
              <w:rPr>
                <w:lang w:val="en_US" w:bidi="en_US"/>
              </w:rPr>
              <w:t>17:5–6</w:t>
            </w:r>
          </w:p>
        </w:tc>
        <w:tc>
          <w:tcPr>
            <w:tcW w:type="dxa" w:w="4680"/>
          </w:tcPr>
          <w:p>
            <w:pPr/>
            <w:r>
              <w:rPr>
                <w:lang w:val="en_US" w:bidi="en_US"/>
              </w:rPr>
            </w:r>
            <w:r>
              <w:rPr>
                <w:lang w:val="en_US" w:bidi="en_US"/>
              </w:rPr>
              <w:t>Faith</w:t>
            </w:r>
          </w:p>
        </w:tc>
      </w:tr>
      <w:tr>
        <w:tc>
          <w:tcPr>
            <w:tcW w:type="dxa" w:w="4680"/>
          </w:tcPr>
          <w:p>
            <w:pPr/>
            <w:r>
              <w:rPr>
                <w:lang w:val="en_US" w:bidi="en_US"/>
              </w:rPr>
            </w:r>
            <w:r>
              <w:rPr>
                <w:lang w:val="en_US" w:bidi="en_US"/>
              </w:rPr>
              <w:t>17:7–10</w:t>
            </w:r>
          </w:p>
        </w:tc>
        <w:tc>
          <w:tcPr>
            <w:tcW w:type="dxa" w:w="4680"/>
          </w:tcPr>
          <w:p>
            <w:pPr/>
            <w:r>
              <w:rPr>
                <w:lang w:val="en_US" w:bidi="en_US"/>
              </w:rPr>
            </w:r>
            <w:r>
              <w:rPr>
                <w:lang w:val="en_US" w:bidi="en_US"/>
              </w:rPr>
              <w:t>A servant’s duty</w:t>
            </w:r>
          </w:p>
        </w:tc>
      </w:tr>
    </w:tbl>
    <w:p>
      <w:pPr/>
      <w:r>
        <w:rPr>
          <w:lang w:val="en_US" w:bidi="en_US"/>
        </w:rPr>
      </w:r>
      <w:r>
        <w:rPr>
          <w:lang w:val="en_US" w:bidi="en_US"/>
        </w:rPr>
        <w:t>Some other possible headings for this section are:</w:t>
      </w:r>
    </w:p>
    <w:p>
      <w:pPr/>
      <w:r>
        <w:rPr>
          <w:lang w:val="en_US" w:bidi="en_US"/>
        </w:rPr>
      </w:r>
      <w:r>
        <w:rPr>
          <w:lang w:val="en_US" w:bidi="en_US"/>
        </w:rPr>
        <w:t>Jesus taught his disciples to not cause others to sin, to forgive others, and to serve him humbly</w:t>
      </w:r>
    </w:p>
    <w:p>
      <w:pPr/>
      <w:r>
        <w:rPr>
          <w:lang w:val="en_US" w:bidi="en_US"/>
        </w:rPr>
      </w:r>
      <w:r>
        <w:rPr>
          <w:lang w:val="en_US" w:bidi="en_US"/>
        </w:rPr>
        <w:t>Teachings about Forgiveness and Faith (NLT)</w:t>
      </w:r>
    </w:p>
    <w:p>
      <w:pPr/>
      <w:r>
        <w:rPr>
          <w:lang w:val="en_US" w:bidi="en_US"/>
        </w:rPr>
      </w:r>
      <w:r>
        <w:rPr>
          <w:lang w:val="en_US" w:bidi="en_US"/>
        </w:rPr>
        <w:t>Sin, Forgiveness, Faith, and Service (NET)</w:t>
      </w:r>
    </w:p>
    <w:p>
      <w:pPr/>
      <w:r>
        <w:rPr>
          <w:lang w:val="en_US" w:bidi="en_US"/>
        </w:rPr>
      </w:r>
      <w:r>
        <w:rPr>
          <w:lang w:val="en_US" w:bidi="en_US"/>
        </w:rPr>
        <w:t>There are parallel passages for this section in Matthew 18:6–7 and 18:15 and in Mark 9:42. However, Jesus may have spoken these passages in a different context from the one in this section.</w:t>
      </w:r>
    </w:p>
    <w:p>
      <w:pPr>
        <w:pStyle w:val="Heading4"/>
      </w:pPr>
      <w:r>
        <w:rPr>
          <w:lang w:val="en_US" w:bidi="en_US"/>
        </w:rPr>
        <w:t>Paragraph 17:3b–4</w:t>
      </w:r>
    </w:p>
    <w:p>
      <w:pPr/>
      <w:r>
        <w:rPr>
          <w:lang w:val="en_US" w:bidi="en_US"/>
        </w:rPr>
      </w:r>
      <w:r>
        <w:rPr>
          <w:lang w:val="en_US" w:bidi="en_US"/>
        </w:rPr>
        <w:t>In this paragraph, Jesus taught his followers that they must always forgive people who repent for sinning against them. This may be one way to avoid causing “one of these little ones” to sin (17:1–2).</w:t>
      </w:r>
    </w:p>
    <w:p>
      <w:pPr>
        <w:pStyle w:val="Heading5"/>
      </w:pPr>
      <w:r>
        <w:rPr>
          <w:lang w:val="en_US" w:bidi="en_US"/>
        </w:rPr>
        <w:t>17:4a</w:t>
      </w:r>
    </w:p>
    <w:p>
      <w:pPr/>
      <w:r>
        <w:rPr>
          <w:lang w:val="en_US" w:bidi="en_US"/>
        </w:rPr>
      </w:r>
      <w:r>
        <w:rPr>
          <w:b/>
          <w:lang w:val="en_US" w:bidi="en_US"/>
        </w:rPr>
        <w:t>Even if he sins against you seven times in a day,</w:t>
      </w:r>
    </w:p>
    <w:p>
      <w:pPr>
        <w:pStyle w:val="ListBullet"/>
        <w:spacing w:line="240" w:lineRule="auto"/>
        <w:ind w:left="720"/>
      </w:pPr>
      <w:r>
        <w:rPr>
          <w:lang w:val="en_US" w:bidi="en_US"/>
        </w:rPr>
      </w:r>
      <w:r>
        <w:rPr>
          <w:lang w:val="en_US" w:bidi="en_US"/>
        </w:rPr>
        <w:t>If he does wrong to you</w:t>
      </w:r>
      <w:r>
        <w:rPr>
          <w:vertAlign w:val="superscript"/>
          <w:lang w:val="en_US" w:bidi="en_US"/>
        </w:rPr>
        <w:t>(sing)</w:t>
      </w:r>
      <w:r>
        <w:rPr>
          <w:lang w:val="en_US" w:bidi="en_US"/>
        </w:rPr>
        <w:t xml:space="preserve"> seven times during one day,</w:t>
      </w:r>
    </w:p>
    <w:p>
      <w:pPr>
        <w:pStyle w:val="ListBullet"/>
        <w:spacing w:line="240" w:lineRule="auto"/>
        <w:ind w:left="720"/>
      </w:pPr>
      <w:r>
        <w:rPr>
          <w:lang w:val="en_US" w:bidi="en_US"/>
        </w:rPr>
      </w:r>
      <w:r>
        <w:rPr>
          <w:lang w:val="en_US" w:bidi="en_US"/>
        </w:rPr>
        <w:t>Even though he wrongs you</w:t>
      </w:r>
      <w:r>
        <w:rPr>
          <w:vertAlign w:val="superscript"/>
          <w:lang w:val="en_US" w:bidi="en_US"/>
        </w:rPr>
        <w:t>(sing)</w:t>
      </w:r>
      <w:r>
        <w:rPr>
          <w:lang w:val="en_US" w:bidi="en_US"/>
        </w:rPr>
        <w:t xml:space="preserve"> </w:t>
      </w:r>
      <w:r>
        <w:rPr>
          <w:lang w:val="en_US" w:bidi="en_US"/>
        </w:rPr>
        <w:t>as often as</w:t>
      </w:r>
      <w:r>
        <w:rPr>
          <w:lang w:val="en_US" w:bidi="en_US"/>
        </w:rPr>
        <w:t xml:space="preserve"> seven times in a </w:t>
      </w:r>
      <w:r>
        <w:rPr>
          <w:lang w:val="en_US" w:bidi="en_US"/>
        </w:rPr>
        <w:t>single</w:t>
      </w:r>
      <w:r>
        <w:rPr>
          <w:lang w:val="en_US" w:bidi="en_US"/>
        </w:rPr>
        <w:t xml:space="preserve"> day,</w:t>
      </w:r>
    </w:p>
    <w:p>
      <w:pPr>
        <w:pStyle w:val="ListBullet"/>
        <w:spacing w:line="240" w:lineRule="auto"/>
        <w:ind w:left="720"/>
      </w:pPr>
      <w:r>
        <w:rPr>
          <w:lang w:val="en_US" w:bidi="en_US"/>
        </w:rPr>
      </w:r>
      <w:r>
        <w:rPr>
          <w:lang w:val="en_US" w:bidi="en_US"/>
        </w:rPr>
        <w:t>Suppose he sins against you</w:t>
      </w:r>
      <w:r>
        <w:rPr>
          <w:vertAlign w:val="superscript"/>
          <w:lang w:val="en_US" w:bidi="en_US"/>
        </w:rPr>
        <w:t>(sing)</w:t>
      </w:r>
      <w:r>
        <w:rPr>
          <w:lang w:val="en_US" w:bidi="en_US"/>
        </w:rPr>
        <w:t xml:space="preserve"> many times in one day,</w:t>
      </w:r>
    </w:p>
    <w:p>
      <w:pPr/>
      <w:r>
        <w:rPr>
          <w:lang w:val="en_US" w:bidi="en_US"/>
        </w:rPr>
      </w:r>
      <w:r>
        <w:rPr>
          <w:b/>
          <w:lang w:val="en_US" w:bidi="en_US"/>
        </w:rPr>
        <w:t>Even if he sins against you seven times in a day:</w:t>
      </w:r>
      <w:r>
        <w:rPr>
          <w:lang w:val="en_US" w:bidi="en_US"/>
        </w:rPr>
        <w:t xml:space="preserve"> The phrase </w:t>
      </w:r>
      <w:r>
        <w:rPr>
          <w:i/>
          <w:lang w:val="en_US" w:bidi="en_US"/>
        </w:rPr>
        <w:t>Even if</w:t>
      </w:r>
      <w:r>
        <w:rPr>
          <w:lang w:val="en_US" w:bidi="en_US"/>
        </w:rPr>
        <w:t xml:space="preserve"> introduces a situation that might happen. It does not refer to a situation that has actually occurred. Some other ways to translate this are:</w:t>
      </w:r>
    </w:p>
    <w:p>
      <w:pPr/>
      <w:r>
        <w:rPr>
          <w:lang w:val="en_US" w:bidi="en_US"/>
        </w:rPr>
      </w:r>
      <w:r>
        <w:rPr>
          <w:lang w:val="en_US" w:bidi="en_US"/>
        </w:rPr>
        <w:t>Your brother might sin against you seven times in one day. If he does….</w:t>
      </w:r>
    </w:p>
    <w:p>
      <w:pPr/>
      <w:r>
        <w:rPr>
          <w:lang w:val="en_US" w:bidi="en_US"/>
        </w:rPr>
      </w:r>
      <w:r>
        <w:rPr>
          <w:lang w:val="en_US" w:bidi="en_US"/>
        </w:rPr>
        <w:t>Suppose that your friend sins against you seven times in one day</w:t>
      </w:r>
    </w:p>
    <w:p>
      <w:pPr/>
      <w:r>
        <w:rPr>
          <w:lang w:val="en_US" w:bidi="en_US"/>
        </w:rPr>
      </w:r>
      <w:r>
        <w:rPr>
          <w:b/>
          <w:lang w:val="en_US" w:bidi="en_US"/>
        </w:rPr>
        <w:t>sins against you seven times in a day:</w:t>
      </w:r>
      <w:r>
        <w:rPr>
          <w:lang w:val="en_US" w:bidi="en_US"/>
        </w:rPr>
        <w:t xml:space="preserve"> As in 17:3b, the word </w:t>
      </w:r>
      <w:r>
        <w:rPr>
          <w:i/>
          <w:lang w:val="en_US" w:bidi="en_US"/>
        </w:rPr>
        <w:t>sins</w:t>
      </w:r>
      <w:r>
        <w:rPr>
          <w:lang w:val="en_US" w:bidi="en_US"/>
        </w:rPr>
        <w:t xml:space="preserve"> refers here to something wrong or bad that one person does to another person. The phrase </w:t>
      </w:r>
      <w:r>
        <w:rPr>
          <w:i/>
          <w:lang w:val="en_US" w:bidi="en_US"/>
        </w:rPr>
        <w:t>sins against you seven times in a day</w:t>
      </w:r>
      <w:r>
        <w:rPr>
          <w:lang w:val="en_US" w:bidi="en_US"/>
        </w:rPr>
        <w:t xml:space="preserve"> does not necessarily refer to doing the same sin each time. It could refer to seven different sorts of sin.</w:t>
      </w:r>
    </w:p>
    <w:p>
      <w:pPr/>
      <w:r>
        <w:rPr>
          <w:lang w:val="en_US" w:bidi="en_US"/>
        </w:rPr>
      </w:r>
      <w:r>
        <w:rPr>
          <w:b/>
          <w:lang w:val="en_US" w:bidi="en_US"/>
        </w:rPr>
        <w:t>seven times:</w:t>
      </w:r>
      <w:r>
        <w:rPr>
          <w:lang w:val="en_US" w:bidi="en_US"/>
        </w:rPr>
        <w:t xml:space="preserve"> Jesus used the number </w:t>
      </w:r>
      <w:r>
        <w:rPr>
          <w:i/>
          <w:lang w:val="en_US" w:bidi="en_US"/>
        </w:rPr>
        <w:t>seven</w:t>
      </w:r>
      <w:r>
        <w:rPr>
          <w:lang w:val="en_US" w:bidi="en_US"/>
        </w:rPr>
        <w:t xml:space="preserve"> to emphasize that the person continued to sin against the same person a number of times. The number </w:t>
      </w:r>
      <w:r>
        <w:rPr>
          <w:i/>
          <w:lang w:val="en_US" w:bidi="en_US"/>
        </w:rPr>
        <w:t>seven</w:t>
      </w:r>
      <w:r>
        <w:rPr>
          <w:lang w:val="en_US" w:bidi="en_US"/>
        </w:rPr>
        <w:t xml:space="preserve"> does not imply that a disciple should not forgive his brother the eighth time he sinned. Jesus probably did not want his disciples to count each time the person sinned!</w:t>
      </w:r>
    </w:p>
    <w:p>
      <w:pPr/>
      <w:r>
        <w:rPr>
          <w:lang w:val="en_US" w:bidi="en_US"/>
        </w:rPr>
      </w:r>
      <w:r>
        <w:rPr>
          <w:lang w:val="en_US" w:bidi="en_US"/>
        </w:rPr>
        <w:t>If a literal translation may imply that wrong meaning, it may be helpful to use a more general expression. For example:</w:t>
      </w:r>
    </w:p>
    <w:p>
      <w:pPr/>
      <w:r>
        <w:rPr>
          <w:lang w:val="en_US" w:bidi="en_US"/>
        </w:rPr>
      </w:r>
      <w:r>
        <w:rPr>
          <w:lang w:val="en_US" w:bidi="en_US"/>
        </w:rPr>
        <w:t>even if he sins against you many times a day</w:t>
      </w:r>
    </w:p>
    <w:p>
      <w:pPr/>
      <w:r>
        <w:rPr>
          <w:lang w:val="en_US" w:bidi="en_US"/>
        </w:rPr>
      </w:r>
      <w:r>
        <w:rPr>
          <w:lang w:val="en_US" w:bidi="en_US"/>
        </w:rPr>
        <w:t>If you decide to translate literally, you may want to include a footnote in your translation to make the meaning clear. For example:</w:t>
      </w:r>
    </w:p>
    <w:p>
      <w:pPr/>
      <w:r>
        <w:rPr>
          <w:lang w:val="en_US" w:bidi="en_US"/>
        </w:rPr>
      </w:r>
      <w:r>
        <w:rPr>
          <w:lang w:val="en_US" w:bidi="en_US"/>
        </w:rPr>
        <w:t>Jesus’ point is that we should forgive others unconditionally as many times as they sin against us. Also see Matthew 18:21–35. (TRT)</w:t>
      </w:r>
    </w:p>
    <w:p>
      <w:pPr/>
      <w:r>
        <w:rPr>
          <w:lang w:val="en_US" w:bidi="en_US"/>
        </w:rPr>
      </w:r>
      <w:r>
        <w:rPr>
          <w:b/>
          <w:lang w:val="en_US" w:bidi="en_US"/>
        </w:rPr>
        <w:t>in a day:</w:t>
      </w:r>
      <w:r>
        <w:rPr>
          <w:lang w:val="en_US" w:bidi="en_US"/>
        </w:rPr>
        <w:t xml:space="preserve"> The phrase </w:t>
      </w:r>
      <w:r>
        <w:rPr>
          <w:i/>
          <w:lang w:val="en_US" w:bidi="en_US"/>
        </w:rPr>
        <w:t>in a day</w:t>
      </w:r>
      <w:r>
        <w:rPr>
          <w:lang w:val="en_US" w:bidi="en_US"/>
        </w:rPr>
        <w:t xml:space="preserve"> means “during one day” or “within a single day.” A </w:t>
      </w:r>
      <w:r>
        <w:rPr>
          <w:i/>
          <w:lang w:val="en_US" w:bidi="en_US"/>
        </w:rPr>
        <w:t>day</w:t>
      </w:r>
      <w:r>
        <w:rPr>
          <w:lang w:val="en_US" w:bidi="en_US"/>
        </w:rPr>
        <w:t xml:space="preserve"> here refers to one twenty-four hour period.</w:t>
      </w:r>
    </w:p>
    <w:p>
      <w:pPr>
        <w:pStyle w:val="Heading5"/>
      </w:pPr>
      <w:r>
        <w:rPr>
          <w:lang w:val="en_US" w:bidi="en_US"/>
        </w:rPr>
        <w:t>17:4b</w:t>
      </w:r>
    </w:p>
    <w:p>
      <w:pPr/>
      <w:r>
        <w:rPr>
          <w:lang w:val="en_US" w:bidi="en_US"/>
        </w:rPr>
      </w:r>
      <w:r>
        <w:rPr>
          <w:b/>
          <w:lang w:val="en_US" w:bidi="en_US"/>
        </w:rPr>
        <w:t>and seven times returns to say, ‘I repent,’</w:t>
      </w:r>
    </w:p>
    <w:p>
      <w:pPr>
        <w:pStyle w:val="ListBullet"/>
        <w:spacing w:line="240" w:lineRule="auto"/>
        <w:ind w:left="720"/>
      </w:pPr>
      <w:r>
        <w:rPr>
          <w:lang w:val="en_US" w:bidi="en_US"/>
        </w:rPr>
      </w:r>
      <w:r>
        <w:rPr>
          <w:lang w:val="en_US" w:bidi="en_US"/>
        </w:rPr>
        <w:t>and he returns to you</w:t>
      </w:r>
      <w:r>
        <w:rPr>
          <w:vertAlign w:val="superscript"/>
          <w:lang w:val="en_US" w:bidi="en_US"/>
        </w:rPr>
        <w:t>(sing)</w:t>
      </w:r>
      <w:r>
        <w:rPr>
          <w:lang w:val="en_US" w:bidi="en_US"/>
        </w:rPr>
        <w:t xml:space="preserve"> seven times and says, ‘I regret what I did,’</w:t>
      </w:r>
    </w:p>
    <w:p>
      <w:pPr>
        <w:pStyle w:val="ListBullet"/>
        <w:spacing w:line="240" w:lineRule="auto"/>
        <w:ind w:left="720"/>
      </w:pPr>
      <w:r>
        <w:rPr>
          <w:lang w:val="en_US" w:bidi="en_US"/>
        </w:rPr>
      </w:r>
      <w:r>
        <w:rPr>
          <w:lang w:val="en_US" w:bidi="en_US"/>
        </w:rPr>
        <w:t>if he comes back and says to you</w:t>
      </w:r>
      <w:r>
        <w:rPr>
          <w:vertAlign w:val="superscript"/>
          <w:lang w:val="en_US" w:bidi="en_US"/>
        </w:rPr>
        <w:t>(sing)</w:t>
      </w:r>
      <w:r>
        <w:rPr>
          <w:lang w:val="en_US" w:bidi="en_US"/>
        </w:rPr>
        <w:t xml:space="preserve"> seven times, ‘I am sorry,’</w:t>
      </w:r>
    </w:p>
    <w:p>
      <w:pPr>
        <w:pStyle w:val="ListBullet"/>
        <w:spacing w:line="240" w:lineRule="auto"/>
        <w:ind w:left="720"/>
      </w:pPr>
      <w:r>
        <w:rPr>
          <w:lang w:val="en_US" w:bidi="en_US"/>
        </w:rPr>
      </w:r>
      <w:r>
        <w:rPr>
          <w:lang w:val="en_US" w:bidi="en_US"/>
        </w:rPr>
        <w:t>then each time he returns and asks you</w:t>
      </w:r>
      <w:r>
        <w:rPr>
          <w:vertAlign w:val="superscript"/>
          <w:lang w:val="en_US" w:bidi="en_US"/>
        </w:rPr>
        <w:t>(sing)</w:t>
      </w:r>
      <w:r>
        <w:rPr>
          <w:lang w:val="en_US" w:bidi="en_US"/>
        </w:rPr>
        <w:t xml:space="preserve"> to forgive him.</w:t>
      </w:r>
    </w:p>
    <w:p>
      <w:pPr/>
      <w:r>
        <w:rPr>
          <w:lang w:val="en_US" w:bidi="en_US"/>
        </w:rPr>
      </w:r>
      <w:r>
        <w:rPr>
          <w:b/>
          <w:lang w:val="en_US" w:bidi="en_US"/>
        </w:rPr>
        <w:t>and seven times returns to say, ‘I repent’:</w:t>
      </w:r>
      <w:r>
        <w:rPr>
          <w:lang w:val="en_US" w:bidi="en_US"/>
        </w:rPr>
        <w:t xml:space="preserve"> In some languages it may not be natural to repeat the words </w:t>
      </w:r>
      <w:r>
        <w:rPr>
          <w:i/>
          <w:lang w:val="en_US" w:bidi="en_US"/>
        </w:rPr>
        <w:t>seven times</w:t>
      </w:r>
      <w:r>
        <w:rPr>
          <w:lang w:val="en_US" w:bidi="en_US"/>
        </w:rPr>
        <w:t>. It may be more natural to use a more general expression. For example:</w:t>
      </w:r>
    </w:p>
    <w:p>
      <w:pPr/>
      <w:r>
        <w:rPr>
          <w:lang w:val="en_US" w:bidi="en_US"/>
        </w:rPr>
      </w:r>
      <w:r>
        <w:rPr>
          <w:lang w:val="en_US" w:bidi="en_US"/>
        </w:rPr>
        <w:t>and each time he comes to you saying, “I repent…” (GNT)</w:t>
      </w:r>
    </w:p>
    <w:p>
      <w:pPr/>
      <w:r>
        <w:rPr>
          <w:lang w:val="en_US" w:bidi="en_US"/>
        </w:rPr>
      </w:r>
      <w:r>
        <w:rPr>
          <w:b/>
          <w:lang w:val="en_US" w:bidi="en_US"/>
        </w:rPr>
        <w:t>returns:</w:t>
      </w:r>
      <w:r>
        <w:rPr>
          <w:lang w:val="en_US" w:bidi="en_US"/>
        </w:rPr>
        <w:t xml:space="preserve"> The Greek verb that the BSB translates as </w:t>
      </w:r>
      <w:r>
        <w:rPr>
          <w:i/>
          <w:lang w:val="en_US" w:bidi="en_US"/>
        </w:rPr>
        <w:t>returns</w:t>
      </w:r>
      <w:r>
        <w:rPr>
          <w:lang w:val="en_US" w:bidi="en_US"/>
        </w:rPr>
        <w:t xml:space="preserve"> is literally “turns around” or “turns back.” The context implies that after some minutes or hours, the person who sinned regrets his sin. The Greek word may indicate that he turns again to the offended believer or it may imply that he goes somewhere and then returns. Some ways to translate this are:</w:t>
      </w:r>
    </w:p>
    <w:p>
      <w:pPr/>
      <w:r>
        <w:rPr>
          <w:lang w:val="en_US" w:bidi="en_US"/>
        </w:rPr>
      </w:r>
      <w:r>
        <w:rPr>
          <w:lang w:val="en_US" w:bidi="en_US"/>
        </w:rPr>
        <w:t>and…returns to you (NET)</w:t>
      </w:r>
    </w:p>
    <w:p>
      <w:pPr/>
      <w:r>
        <w:rPr>
          <w:lang w:val="en_US" w:bidi="en_US"/>
        </w:rPr>
      </w:r>
      <w:r>
        <w:rPr>
          <w:lang w:val="en_US" w:bidi="en_US"/>
        </w:rPr>
        <w:t>and comes back to you (GW)</w:t>
      </w:r>
    </w:p>
    <w:p>
      <w:pPr/>
      <w:r>
        <w:rPr>
          <w:lang w:val="en_US" w:bidi="en_US"/>
        </w:rPr>
      </w:r>
      <w:r>
        <w:rPr>
          <w:lang w:val="en_US" w:bidi="en_US"/>
        </w:rPr>
        <w:t>and turns to you (RSV)</w:t>
      </w:r>
    </w:p>
    <w:p>
      <w:pPr/>
      <w:r>
        <w:rPr>
          <w:lang w:val="en_US" w:bidi="en_US"/>
        </w:rPr>
      </w:r>
      <w:r>
        <w:rPr>
          <w:b/>
          <w:lang w:val="en_US" w:bidi="en_US"/>
        </w:rPr>
        <w:t>to say, ‘I repent’:</w:t>
      </w:r>
      <w:r>
        <w:rPr>
          <w:lang w:val="en_US" w:bidi="en_US"/>
        </w:rPr>
        <w:t xml:space="preserve"> The Greek word that the BSB translates as </w:t>
      </w:r>
      <w:r>
        <w:rPr>
          <w:i/>
          <w:lang w:val="en_US" w:bidi="en_US"/>
        </w:rPr>
        <w:t>I repent</w:t>
      </w:r>
      <w:r>
        <w:rPr>
          <w:lang w:val="en_US" w:bidi="en_US"/>
        </w:rPr>
        <w:t xml:space="preserve"> is the same Greek word as in 17:3c. Here Jesus used it to quote what a person might say to express his repentance to the person whom he offended.</w:t>
      </w:r>
    </w:p>
    <w:p>
      <w:pPr/>
      <w:r>
        <w:rPr>
          <w:lang w:val="en_US" w:bidi="en_US"/>
        </w:rPr>
      </w:r>
      <w:r>
        <w:rPr>
          <w:lang w:val="en_US" w:bidi="en_US"/>
        </w:rPr>
        <w:t>In many languages, there are certain specific things that a person says when he asks someone to forgive him. If that is true in your language, you may be able to use such an expression here. It is good to use an expression that implies actual repentance, not merely polite apology. For example:</w:t>
      </w:r>
    </w:p>
    <w:p>
      <w:pPr/>
      <w:r>
        <w:rPr>
          <w:lang w:val="en_US" w:bidi="en_US"/>
        </w:rPr>
      </w:r>
      <w:r>
        <w:rPr>
          <w:lang w:val="en_US" w:bidi="en_US"/>
        </w:rPr>
        <w:t>and says, “I was wrong. Please forgive me.”</w:t>
      </w:r>
    </w:p>
    <w:p>
      <w:pPr/>
      <w:r>
        <w:rPr>
          <w:lang w:val="en_US" w:bidi="en_US"/>
        </w:rPr>
      </w:r>
      <w:r>
        <w:rPr>
          <w:lang w:val="en_US" w:bidi="en_US"/>
        </w:rPr>
        <w:t>In some languages, it will be more natural to use indirect speech here. For example:</w:t>
      </w:r>
    </w:p>
    <w:p>
      <w:pPr/>
      <w:r>
        <w:rPr>
          <w:lang w:val="en_US" w:bidi="en_US"/>
        </w:rPr>
      </w:r>
      <w:r>
        <w:rPr>
          <w:lang w:val="en_US" w:bidi="en_US"/>
        </w:rPr>
        <w:t>and says that he is sorry (GW)</w:t>
      </w:r>
    </w:p>
    <w:p>
      <w:pPr/>
      <w:r>
        <w:rPr>
          <w:lang w:val="en_US" w:bidi="en_US"/>
        </w:rPr>
      </w:r>
      <w:r>
        <w:rPr>
          <w:lang w:val="en_US" w:bidi="en_US"/>
        </w:rPr>
        <w:t>and asks you to forgive him</w:t>
      </w:r>
    </w:p>
    <w:p>
      <w:pPr>
        <w:pStyle w:val="Heading5"/>
      </w:pPr>
      <w:r>
        <w:rPr>
          <w:lang w:val="en_US" w:bidi="en_US"/>
        </w:rPr>
        <w:t>17:4c</w:t>
      </w:r>
    </w:p>
    <w:p>
      <w:pPr/>
      <w:r>
        <w:rPr>
          <w:lang w:val="en_US" w:bidi="en_US"/>
        </w:rPr>
      </w:r>
      <w:r>
        <w:rPr>
          <w:b/>
          <w:lang w:val="en_US" w:bidi="en_US"/>
        </w:rPr>
        <w:t>you must forgive him.”</w:t>
      </w:r>
    </w:p>
    <w:p>
      <w:pPr>
        <w:pStyle w:val="ListBullet"/>
        <w:spacing w:line="240" w:lineRule="auto"/>
        <w:ind w:left="720"/>
      </w:pPr>
      <w:r>
        <w:rPr>
          <w:lang w:val="en_US" w:bidi="en_US"/>
        </w:rPr>
      </w:r>
      <w:r>
        <w:rPr>
          <w:lang w:val="en_US" w:bidi="en_US"/>
        </w:rPr>
        <w:t>forgive</w:t>
      </w:r>
      <w:r>
        <w:rPr>
          <w:vertAlign w:val="superscript"/>
          <w:lang w:val="en_US" w:bidi="en_US"/>
        </w:rPr>
        <w:t>(sing)</w:t>
      </w:r>
      <w:r>
        <w:rPr>
          <w:lang w:val="en_US" w:bidi="en_US"/>
        </w:rPr>
        <w:t xml:space="preserve"> him.”</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must pardon him </w:t>
      </w:r>
      <w:r>
        <w:rPr>
          <w:lang w:val="en_US" w:bidi="en_US"/>
        </w:rPr>
        <w:t>every/each time</w:t>
      </w:r>
      <w:r>
        <w:rPr>
          <w:lang w:val="en_US" w:bidi="en_US"/>
        </w:rPr>
        <w:t>.”</w:t>
      </w:r>
    </w:p>
    <w:p>
      <w:pPr>
        <w:pStyle w:val="ListBullet"/>
        <w:spacing w:line="240" w:lineRule="auto"/>
        <w:ind w:left="720"/>
      </w:pPr>
      <w:r>
        <w:rPr>
          <w:lang w:val="en_US" w:bidi="en_US"/>
        </w:rPr>
      </w:r>
      <w:r>
        <w:rPr>
          <w:lang w:val="en_US" w:bidi="en_US"/>
        </w:rPr>
        <w:t>Every time he does this,</w:t>
      </w:r>
      <w:r>
        <w:rPr>
          <w:lang w:val="en_US" w:bidi="en_US"/>
        </w:rPr>
        <w:t xml:space="preserve"> you</w:t>
      </w:r>
      <w:r>
        <w:rPr>
          <w:vertAlign w:val="superscript"/>
          <w:lang w:val="en_US" w:bidi="en_US"/>
        </w:rPr>
        <w:t>(sing)</w:t>
      </w:r>
      <w:r>
        <w:rPr>
          <w:lang w:val="en_US" w:bidi="en_US"/>
        </w:rPr>
        <w:t xml:space="preserve"> must forgive him.”</w:t>
      </w:r>
    </w:p>
    <w:p>
      <w:pPr/>
      <w:r>
        <w:rPr>
          <w:lang w:val="en_US" w:bidi="en_US"/>
        </w:rPr>
      </w:r>
      <w:r>
        <w:rPr>
          <w:b/>
          <w:lang w:val="en_US" w:bidi="en_US"/>
        </w:rPr>
        <w:t>you must forgive him:</w:t>
      </w:r>
      <w:r>
        <w:rPr>
          <w:lang w:val="en_US" w:bidi="en_US"/>
        </w:rPr>
        <w:t xml:space="preserve"> The phrase </w:t>
      </w:r>
      <w:r>
        <w:rPr>
          <w:i/>
          <w:lang w:val="en_US" w:bidi="en_US"/>
        </w:rPr>
        <w:t>you must forgive him</w:t>
      </w:r>
      <w:r>
        <w:rPr>
          <w:lang w:val="en_US" w:bidi="en_US"/>
        </w:rPr>
        <w:t xml:space="preserve"> is a command. Here is another way to translate this:</w:t>
      </w:r>
    </w:p>
    <w:p>
      <w:pPr/>
      <w:r>
        <w:rPr>
          <w:lang w:val="en_US" w:bidi="en_US"/>
        </w:rPr>
      </w:r>
      <w:r>
        <w:rPr>
          <w:lang w:val="en_US" w:bidi="en_US"/>
        </w:rPr>
        <w:t>forgive him (NCV)</w:t>
      </w:r>
    </w:p>
    <w:p>
      <w:pPr/>
      <w:r>
        <w:rPr>
          <w:lang w:val="en_US" w:bidi="en_US"/>
        </w:rPr>
      </w:r>
      <w:r>
        <w:rPr>
          <w:lang w:val="en_US" w:bidi="en_US"/>
        </w:rPr>
        <w:t xml:space="preserve">The word </w:t>
      </w:r>
      <w:r>
        <w:rPr>
          <w:i/>
          <w:lang w:val="en_US" w:bidi="en_US"/>
        </w:rPr>
        <w:t>forgive</w:t>
      </w:r>
      <w:r>
        <w:rPr>
          <w:lang w:val="en_US" w:bidi="en_US"/>
        </w:rPr>
        <w:t xml:space="preserve"> also occurs in 17:3c.</w:t>
      </w:r>
      <w:r>
        <w:rPr>
          <w:lang w:val="en_US" w:bidi="en_US"/>
        </w:rPr>
      </w:r>
      <w:r>
        <w:rPr>
          <w:lang w:val="en_US" w:bidi="en_US"/>
        </w:rPr>
      </w:r>
    </w:p>
    <w:p>
      <w:pPr/>
      <w:r>
        <w:rPr>
          <w:lang w:val="en_US" w:bidi="en_US"/>
        </w:rPr>
      </w:r>
    </w:p>
    <w:p>
      <w:pPr>
        <w:pStyle w:val="Heading2"/>
      </w:pPr>
      <w:r>
        <w:rPr>
          <w:lang w:val="en_US" w:bidi="en_US"/>
        </w:rPr>
        <w:t>Luke 17:5</w:t>
      </w:r>
      <w:r>
        <w:rPr>
          <w:lang w:val="en_US" w:bidi="en_US"/>
        </w:rPr>
      </w:r>
    </w:p>
    <w:p>
      <w:pPr>
        <w:pStyle w:val="Heading4"/>
      </w:pPr>
      <w:r>
        <w:rPr>
          <w:lang w:val="en_US" w:bidi="en_US"/>
        </w:rPr>
        <w:t>Section 17:1–10: Jesus taught his disciples about sin, faith, and duty</w:t>
      </w:r>
    </w:p>
    <w:p>
      <w:pPr/>
      <w:r>
        <w:rPr>
          <w:lang w:val="en_US" w:bidi="en_US"/>
        </w:rPr>
      </w:r>
      <w:r>
        <w:rPr>
          <w:lang w:val="en_US" w:bidi="en_US"/>
        </w:rPr>
        <w:t>At the end of chapter 16, Jesus was speaking to the Pharisees. He concluded his parable about Lazarus and the rich man. Here in 17:1–10, he spoke to his disciples and taught them about several issues.</w:t>
      </w:r>
      <w:r>
        <w:rPr>
          <w:lang w:val="en_US" w:bidi="en_US"/>
        </w:rPr>
        <w:t>Scholars have different opinions about whether the teachings in this section are thematically related to Jesus’ teachings in chapter 16. Some scholars say that the teachings in the two chapters are not connected. Other scholars do see a broad connection. Green says, “Especially due to its location adjacent to prior accounts of Jesus’ interaction with Pharisees, this pericope recapitulates Jesus’ message to his followers: They are not to be like the Pharisees!” (p. 611). Liefeld says that “it is also possible to see a logical connection between the end of chapter 16 and the beginning of chapter 17, if we understand ‘the things that cause people to sin’ to be the sins of the Pharisees, such as those mentioned in 16:14.” Scholars also disagree about whether the paragraphs in this section are related to each other. About this, Liefeld says that “there is a common unifying theme of attitudes in the Christian community” (p. 994). Morris also mentions this possible connection: “The connecting link here may be the attitude of the religious leaders. They were in danger of using their wealth wrongly, and they were also in danger of leading their lesser brethren astray—temptations that would confront his disciples as well as people like the Pharisees” (p. 279). Nolland (p. 835) says, “Luke seems to have cobbled a unity together here of three separate blocks of tradition (verses 1–2, 3–4, 5–6). The catchword link “into/in the sea” from verse 2 to verse 6 helps to give a formal unity to the piece, and it is likely that he intends the blocks so juxtaposed, to mutually qualify the meaning of one another.” He also says, “As he opens this new section (17:1–19) Luke has brought together three blocks of tradition to form a unit about the adequacy, despite all human frailty, of even the most meager of kingdom faiths for the radical challenge of Jesus’ teaching” (p. 839).</w:t>
      </w:r>
    </w:p>
    <w:p>
      <w:pPr/>
      <w:r>
        <w:rPr>
          <w:lang w:val="en_US" w:bidi="en_US"/>
        </w:rPr>
      </w:r>
      <w:r>
        <w:rPr>
          <w:lang w:val="en_US" w:bidi="en_US"/>
        </w:rPr>
        <w:t>English versions divide these verses into sections in different ways. For example:</w:t>
      </w:r>
    </w:p>
    <w:p>
      <w:pPr>
        <w:pStyle w:val="ListNumber"/>
        <w:numPr>
          <w:ilvl w:val="0"/>
          <w:numId w:val="282"/>
        </w:numPr>
        <w:spacing w:line="240" w:lineRule="auto"/>
        <w:ind w:left="720"/>
      </w:pPr>
      <w:r>
        <w:rPr>
          <w:lang w:val="en_US" w:bidi="en_US"/>
        </w:rPr>
      </w:r>
      <w:r>
        <w:rPr>
          <w:lang w:val="en_US" w:bidi="en_US"/>
        </w:rPr>
        <w:t>Most versions put 17:1–10 together in one section and have one heading. (The Notes follow these versions.)</w:t>
      </w:r>
    </w:p>
    <w:p>
      <w:pPr>
        <w:pStyle w:val="ListNumber"/>
        <w:spacing w:line="240" w:lineRule="auto"/>
        <w:ind w:left="720"/>
      </w:pPr>
      <w:r>
        <w:rPr>
          <w:lang w:val="en_US" w:bidi="en_US"/>
        </w:rPr>
      </w:r>
      <w:r>
        <w:rPr>
          <w:lang w:val="en_US" w:bidi="en_US"/>
        </w:rPr>
        <w:t>Some versions divide 17:1–10 into three sections with a heading for each one. For example, the GNT has: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17:1–4</w:t>
            </w:r>
          </w:p>
        </w:tc>
        <w:tc>
          <w:tcPr>
            <w:tcW w:type="dxa" w:w="4680"/>
          </w:tcPr>
          <w:p>
            <w:pPr/>
            <w:r>
              <w:rPr>
                <w:lang w:val="en_US" w:bidi="en_US"/>
              </w:rPr>
            </w:r>
            <w:r>
              <w:rPr>
                <w:lang w:val="en_US" w:bidi="en_US"/>
              </w:rPr>
              <w:t>Sin</w:t>
            </w:r>
          </w:p>
        </w:tc>
      </w:tr>
      <w:tr>
        <w:tc>
          <w:tcPr>
            <w:tcW w:type="dxa" w:w="4680"/>
          </w:tcPr>
          <w:p>
            <w:pPr/>
            <w:r>
              <w:rPr>
                <w:lang w:val="en_US" w:bidi="en_US"/>
              </w:rPr>
            </w:r>
            <w:r>
              <w:rPr>
                <w:lang w:val="en_US" w:bidi="en_US"/>
              </w:rPr>
              <w:t>17:5–6</w:t>
            </w:r>
          </w:p>
        </w:tc>
        <w:tc>
          <w:tcPr>
            <w:tcW w:type="dxa" w:w="4680"/>
          </w:tcPr>
          <w:p>
            <w:pPr/>
            <w:r>
              <w:rPr>
                <w:lang w:val="en_US" w:bidi="en_US"/>
              </w:rPr>
            </w:r>
            <w:r>
              <w:rPr>
                <w:lang w:val="en_US" w:bidi="en_US"/>
              </w:rPr>
              <w:t>Faith</w:t>
            </w:r>
          </w:p>
        </w:tc>
      </w:tr>
      <w:tr>
        <w:tc>
          <w:tcPr>
            <w:tcW w:type="dxa" w:w="4680"/>
          </w:tcPr>
          <w:p>
            <w:pPr/>
            <w:r>
              <w:rPr>
                <w:lang w:val="en_US" w:bidi="en_US"/>
              </w:rPr>
            </w:r>
            <w:r>
              <w:rPr>
                <w:lang w:val="en_US" w:bidi="en_US"/>
              </w:rPr>
              <w:t>17:7–10</w:t>
            </w:r>
          </w:p>
        </w:tc>
        <w:tc>
          <w:tcPr>
            <w:tcW w:type="dxa" w:w="4680"/>
          </w:tcPr>
          <w:p>
            <w:pPr/>
            <w:r>
              <w:rPr>
                <w:lang w:val="en_US" w:bidi="en_US"/>
              </w:rPr>
            </w:r>
            <w:r>
              <w:rPr>
                <w:lang w:val="en_US" w:bidi="en_US"/>
              </w:rPr>
              <w:t>A servant’s duty</w:t>
            </w:r>
          </w:p>
        </w:tc>
      </w:tr>
    </w:tbl>
    <w:p>
      <w:pPr/>
      <w:r>
        <w:rPr>
          <w:lang w:val="en_US" w:bidi="en_US"/>
        </w:rPr>
      </w:r>
      <w:r>
        <w:rPr>
          <w:lang w:val="en_US" w:bidi="en_US"/>
        </w:rPr>
        <w:t>Some other possible headings for this section are:</w:t>
      </w:r>
    </w:p>
    <w:p>
      <w:pPr/>
      <w:r>
        <w:rPr>
          <w:lang w:val="en_US" w:bidi="en_US"/>
        </w:rPr>
      </w:r>
      <w:r>
        <w:rPr>
          <w:lang w:val="en_US" w:bidi="en_US"/>
        </w:rPr>
        <w:t>Jesus taught his disciples to not cause others to sin, to forgive others, and to serve him humbly</w:t>
      </w:r>
    </w:p>
    <w:p>
      <w:pPr/>
      <w:r>
        <w:rPr>
          <w:lang w:val="en_US" w:bidi="en_US"/>
        </w:rPr>
      </w:r>
      <w:r>
        <w:rPr>
          <w:lang w:val="en_US" w:bidi="en_US"/>
        </w:rPr>
        <w:t>Teachings about Forgiveness and Faith (NLT)</w:t>
      </w:r>
    </w:p>
    <w:p>
      <w:pPr/>
      <w:r>
        <w:rPr>
          <w:lang w:val="en_US" w:bidi="en_US"/>
        </w:rPr>
      </w:r>
      <w:r>
        <w:rPr>
          <w:lang w:val="en_US" w:bidi="en_US"/>
        </w:rPr>
        <w:t>Sin, Forgiveness, Faith, and Service (NET)</w:t>
      </w:r>
    </w:p>
    <w:p>
      <w:pPr/>
      <w:r>
        <w:rPr>
          <w:lang w:val="en_US" w:bidi="en_US"/>
        </w:rPr>
      </w:r>
      <w:r>
        <w:rPr>
          <w:lang w:val="en_US" w:bidi="en_US"/>
        </w:rPr>
        <w:t>There are parallel passages for this section in Matthew 18:6–7 and 18:15 and in Mark 9:42. However, Jesus may have spoken these passages in a different context from the one in this section.</w:t>
      </w:r>
    </w:p>
    <w:p>
      <w:pPr>
        <w:pStyle w:val="Heading4"/>
      </w:pPr>
      <w:r>
        <w:rPr>
          <w:lang w:val="en_US" w:bidi="en_US"/>
        </w:rPr>
        <w:t>Paragraph 17:5–6</w:t>
      </w:r>
    </w:p>
    <w:p>
      <w:pPr/>
      <w:r>
        <w:rPr>
          <w:lang w:val="en_US" w:bidi="en_US"/>
        </w:rPr>
      </w:r>
      <w:r>
        <w:rPr>
          <w:lang w:val="en_US" w:bidi="en_US"/>
        </w:rPr>
        <w:t>In previous paragraphs Jesus was speaking to a large group of his disciples. In this paragraph, the twelve apostles asked Jesus to increase their faith.</w:t>
      </w:r>
      <w:r>
        <w:rPr>
          <w:lang w:val="en_US" w:bidi="en_US"/>
        </w:rPr>
        <w:t>Some scholars believe that this saying is connected to 17:1–4, being the response of the disciples to Jesus’ instruction about the severe punishment for causing a believer to sin and about the unlimited forgiveness that they must offer to believers who offend them. In light of these seemingly impossible standards, they felt the need for an increase in faith. For example, Morris (p. 280) says, “Apparently the apostles…think great faith is needed for forgiveness like that, so they say, ‘Increase our faith.’” Other scholars believe that this saying is unconnected to the preceding ones. Johnson (p. 259) says, “Its presence here may be due in part to the presence of the ‘sea’ in both this saying and that in verse 2.”</w:t>
      </w:r>
      <w:r>
        <w:rPr>
          <w:lang w:val="en_US" w:bidi="en_US"/>
        </w:rPr>
        <w:t xml:space="preserve"> Jesus’ response indicated that with only a little faith, they could do things that are impossible for human beings to do.</w:t>
      </w:r>
    </w:p>
    <w:p>
      <w:pPr>
        <w:pStyle w:val="Heading5"/>
      </w:pPr>
      <w:r>
        <w:rPr>
          <w:lang w:val="en_US" w:bidi="en_US"/>
        </w:rPr>
        <w:t>17:5</w:t>
      </w:r>
    </w:p>
    <w:p>
      <w:pPr/>
      <w:r>
        <w:rPr>
          <w:lang w:val="en_US" w:bidi="en_US"/>
        </w:rPr>
      </w:r>
      <w:r>
        <w:rPr>
          <w:b/>
          <w:lang w:val="en_US" w:bidi="en_US"/>
        </w:rPr>
        <w:t>The apostles said to the Lord, “Increase our faith!”</w:t>
      </w:r>
    </w:p>
    <w:p>
      <w:pPr>
        <w:pStyle w:val="ListBullet"/>
        <w:spacing w:line="240" w:lineRule="auto"/>
        <w:ind w:left="720"/>
      </w:pPr>
      <w:r>
        <w:rPr>
          <w:lang w:val="en_US" w:bidi="en_US"/>
        </w:rPr>
      </w:r>
      <w:r>
        <w:rPr>
          <w:lang w:val="en_US" w:bidi="en_US"/>
        </w:rPr>
        <w:t>¶ The apostles said to the Lord, “Give us</w:t>
      </w:r>
      <w:r>
        <w:rPr>
          <w:vertAlign w:val="superscript"/>
          <w:lang w:val="en_US" w:bidi="en_US"/>
        </w:rPr>
        <w:t>(excl)</w:t>
      </w:r>
      <w:r>
        <w:rPr>
          <w:lang w:val="en_US" w:bidi="en_US"/>
        </w:rPr>
        <w:t xml:space="preserve"> more faith.”</w:t>
      </w:r>
    </w:p>
    <w:p>
      <w:pPr>
        <w:pStyle w:val="ListBullet"/>
        <w:spacing w:line="240" w:lineRule="auto"/>
        <w:ind w:left="720"/>
      </w:pPr>
      <w:r>
        <w:rPr>
          <w:lang w:val="en_US" w:bidi="en_US"/>
        </w:rPr>
      </w:r>
      <w:r>
        <w:rPr>
          <w:lang w:val="en_US" w:bidi="en_US"/>
        </w:rPr>
        <w:t xml:space="preserve">¶ The apostles said to the Lord </w:t>
      </w:r>
      <w:r>
        <w:rPr>
          <w:lang w:val="en_US" w:bidi="en_US"/>
        </w:rPr>
        <w:t>Jesus</w:t>
      </w:r>
      <w:r>
        <w:rPr>
          <w:lang w:val="en_US" w:bidi="en_US"/>
        </w:rPr>
        <w:t xml:space="preserve">, “Please cause/help us to trust </w:t>
      </w:r>
      <w:r>
        <w:rPr>
          <w:lang w:val="en_US" w:bidi="en_US"/>
        </w:rPr>
        <w:t>God</w:t>
      </w:r>
      <w:r>
        <w:rPr>
          <w:lang w:val="en_US" w:bidi="en_US"/>
        </w:rPr>
        <w:t xml:space="preserve"> more </w:t>
      </w:r>
      <w:r>
        <w:rPr>
          <w:lang w:val="en_US" w:bidi="en_US"/>
        </w:rPr>
        <w:t>strongly/completely</w:t>
      </w:r>
      <w:r>
        <w:rPr>
          <w:lang w:val="en_US" w:bidi="en_US"/>
        </w:rPr>
        <w:t>.”</w:t>
      </w:r>
    </w:p>
    <w:p>
      <w:pPr/>
      <w:r>
        <w:rPr>
          <w:lang w:val="en_US" w:bidi="en_US"/>
        </w:rPr>
      </w:r>
      <w:r>
        <w:rPr>
          <w:b/>
          <w:lang w:val="en_US" w:bidi="en_US"/>
        </w:rPr>
        <w:t>The apostles:</w:t>
      </w:r>
      <w:r>
        <w:rPr>
          <w:lang w:val="en_US" w:bidi="en_US"/>
        </w:rPr>
        <w:t xml:space="preserve"> The word </w:t>
      </w:r>
      <w:r>
        <w:rPr>
          <w:i/>
          <w:lang w:val="en_US" w:bidi="en_US"/>
        </w:rPr>
        <w:t>apostles</w:t>
      </w:r>
      <w:r>
        <w:rPr>
          <w:lang w:val="en_US" w:bidi="en_US"/>
        </w:rPr>
        <w:t xml:space="preserve"> refers to twelve men among Jesus’ disciples. Jesus had chosen these men to be his special helpers.</w:t>
      </w:r>
    </w:p>
    <w:p>
      <w:pPr/>
      <w:r>
        <w:rPr>
          <w:lang w:val="en_US" w:bidi="en_US"/>
        </w:rPr>
      </w:r>
      <w:r>
        <w:rPr>
          <w:lang w:val="en_US" w:bidi="en_US"/>
        </w:rPr>
        <w:t xml:space="preserve">The Greek word that English versions translate as </w:t>
      </w:r>
      <w:r>
        <w:rPr>
          <w:i/>
          <w:lang w:val="en_US" w:bidi="en_US"/>
        </w:rPr>
        <w:t>apostles</w:t>
      </w:r>
      <w:r>
        <w:rPr>
          <w:lang w:val="en_US" w:bidi="en_US"/>
        </w:rPr>
        <w:t xml:space="preserve"> means “those who are sent.” It refers to people whom someone sends with authority to accomplish a mission or a particular task.</w:t>
      </w:r>
    </w:p>
    <w:p>
      <w:pPr/>
      <w:r>
        <w:rPr>
          <w:lang w:val="en_US" w:bidi="en_US"/>
        </w:rPr>
      </w:r>
      <w:r>
        <w:rPr>
          <w:lang w:val="en_US" w:bidi="en_US"/>
        </w:rPr>
        <w:t xml:space="preserve">Some ways to translate </w:t>
      </w:r>
      <w:r>
        <w:rPr>
          <w:i/>
          <w:lang w:val="en_US" w:bidi="en_US"/>
        </w:rPr>
        <w:t>apostles</w:t>
      </w:r>
      <w:r>
        <w:rPr>
          <w:lang w:val="en_US" w:bidi="en_US"/>
        </w:rPr>
        <w:t xml:space="preserve"> are:</w:t>
      </w:r>
    </w:p>
    <w:p>
      <w:pPr>
        <w:pStyle w:val="ListBullet"/>
        <w:spacing w:line="240" w:lineRule="auto"/>
        <w:ind w:left="720"/>
      </w:pPr>
      <w:r>
        <w:rPr>
          <w:lang w:val="en_US" w:bidi="en_US"/>
        </w:rPr>
      </w:r>
      <w:r>
        <w:rPr>
          <w:lang w:val="en_US" w:bidi="en_US"/>
        </w:rPr>
        <w:t xml:space="preserve">Translate the meaning of the Greek word </w:t>
      </w:r>
      <w:r>
        <w:rPr>
          <w:i/>
          <w:lang w:val="en_US" w:bidi="en_US"/>
        </w:rPr>
        <w:t>apostles</w:t>
      </w:r>
      <w:r>
        <w:rPr>
          <w:lang w:val="en_US" w:bidi="en_US"/>
        </w:rPr>
        <w:t>. For example:</w:t>
      </w:r>
      <w:r>
        <w:rPr>
          <w:lang w:val="en_US" w:bidi="en_US"/>
        </w:rPr>
        <w:t xml:space="preserve">people sent </w:t>
      </w:r>
      <w:r>
        <w:rPr>
          <w:lang w:val="en_US" w:bidi="en_US"/>
        </w:rPr>
        <w:t>to speak/act for him</w:t>
      </w:r>
      <w:r>
        <w:rPr>
          <w:lang w:val="en_US" w:bidi="en_US"/>
        </w:rPr>
        <w:t>special</w:t>
      </w:r>
      <w:r>
        <w:rPr>
          <w:lang w:val="en_US" w:bidi="en_US"/>
        </w:rPr>
        <w:t xml:space="preserve"> messengers</w:t>
      </w:r>
      <w:r>
        <w:rPr>
          <w:lang w:val="en_US" w:bidi="en_US"/>
        </w:rPr>
        <w:t>representatives</w:t>
      </w:r>
      <w:r>
        <w:rPr>
          <w:lang w:val="en_US" w:bidi="en_US"/>
        </w:rPr>
        <w:t>men with authority from Jesus</w:t>
      </w:r>
    </w:p>
    <w:p>
      <w:pPr>
        <w:pStyle w:val="ListBullet"/>
        <w:spacing w:line="240" w:lineRule="auto"/>
        <w:ind w:left="720"/>
      </w:pPr>
      <w:r>
        <w:rPr>
          <w:lang w:val="en_US" w:bidi="en_US"/>
        </w:rPr>
      </w:r>
      <w:r>
        <w:rPr>
          <w:lang w:val="en_US" w:bidi="en_US"/>
        </w:rPr>
        <w:t>Indicate the role or function of apostles. For example:</w:t>
      </w:r>
      <w:r>
        <w:rPr>
          <w:lang w:val="en_US" w:bidi="en_US"/>
        </w:rPr>
        <w:t xml:space="preserve">chief leaders </w:t>
      </w:r>
      <w:r>
        <w:rPr>
          <w:lang w:val="en_US" w:bidi="en_US"/>
        </w:rPr>
        <w:t>of Jesus’ work</w:t>
      </w:r>
      <w:r>
        <w:rPr>
          <w:lang w:val="en_US" w:bidi="en_US"/>
        </w:rPr>
        <w:t xml:space="preserve">people who were in charge </w:t>
      </w:r>
      <w:r>
        <w:rPr>
          <w:lang w:val="en_US" w:bidi="en_US"/>
        </w:rPr>
        <w:t>of Jesus’ work</w:t>
      </w:r>
    </w:p>
    <w:p>
      <w:pPr/>
      <w:r>
        <w:rPr>
          <w:lang w:val="en_US" w:bidi="en_US"/>
        </w:rPr>
      </w:r>
      <w:r>
        <w:rPr>
          <w:lang w:val="en_US" w:bidi="en_US"/>
        </w:rPr>
        <w:t>Be sure that your term for “apostle” is different from your terms for “prophet,” “angel,” and “disciple.” See angel in the Glossary for a chart that shows the differences in these terms.</w:t>
      </w:r>
    </w:p>
    <w:p>
      <w:pPr/>
      <w:r>
        <w:rPr>
          <w:lang w:val="en_US" w:bidi="en_US"/>
        </w:rPr>
      </w:r>
      <w:r>
        <w:rPr>
          <w:lang w:val="en_US" w:bidi="en_US"/>
        </w:rPr>
        <w:t>For more information see apostle in the Glossary and the note on 6:13b.</w:t>
      </w:r>
    </w:p>
    <w:p>
      <w:pPr/>
      <w:r>
        <w:rPr>
          <w:lang w:val="en_US" w:bidi="en_US"/>
        </w:rPr>
      </w:r>
      <w:r>
        <w:rPr>
          <w:b/>
          <w:lang w:val="en_US" w:bidi="en_US"/>
        </w:rPr>
        <w:t>the Lord:</w:t>
      </w:r>
      <w:r>
        <w:rPr>
          <w:lang w:val="en_US" w:bidi="en_US"/>
        </w:rPr>
        <w:t xml:space="preserve"> The Greek word that the BSB translates as </w:t>
      </w:r>
      <w:r>
        <w:rPr>
          <w:i/>
          <w:lang w:val="en_US" w:bidi="en_US"/>
        </w:rPr>
        <w:t>Lord</w:t>
      </w:r>
      <w:r>
        <w:rPr>
          <w:lang w:val="en_US" w:bidi="en_US"/>
        </w:rPr>
        <w:t xml:space="preserve"> means “master,” or “one who has authority over others.” People used this word as a polite title when they spoke to an elder or someone in authority. In this context </w:t>
      </w:r>
      <w:r>
        <w:rPr>
          <w:i/>
          <w:lang w:val="en_US" w:bidi="en_US"/>
        </w:rPr>
        <w:t>the Lord</w:t>
      </w:r>
      <w:r>
        <w:rPr>
          <w:lang w:val="en_US" w:bidi="en_US"/>
        </w:rPr>
        <w:t xml:space="preserve"> is a title for Jesus. Some other ways to translate this are:</w:t>
      </w:r>
    </w:p>
    <w:p>
      <w:pPr/>
      <w:r>
        <w:rPr>
          <w:lang w:val="en_US" w:bidi="en_US"/>
        </w:rPr>
      </w:r>
      <w:r>
        <w:rPr>
          <w:lang w:val="en_US" w:bidi="en_US"/>
        </w:rPr>
        <w:t>the Master</w:t>
      </w:r>
    </w:p>
    <w:p>
      <w:pPr/>
      <w:r>
        <w:rPr>
          <w:lang w:val="en_US" w:bidi="en_US"/>
        </w:rPr>
      </w:r>
      <w:r>
        <w:rPr>
          <w:lang w:val="en_US" w:bidi="en_US"/>
        </w:rPr>
        <w:t>the Chief</w:t>
      </w:r>
    </w:p>
    <w:p>
      <w:pPr/>
      <w:r>
        <w:rPr>
          <w:lang w:val="en_US" w:bidi="en_US"/>
        </w:rPr>
      </w:r>
      <w:r>
        <w:rPr>
          <w:lang w:val="en_US" w:bidi="en_US"/>
        </w:rPr>
        <w:t xml:space="preserve">In some languages, it may be necessary to make clear that the word </w:t>
      </w:r>
      <w:r>
        <w:rPr>
          <w:i/>
          <w:lang w:val="en_US" w:bidi="en_US"/>
        </w:rPr>
        <w:t>Lord</w:t>
      </w:r>
      <w:r>
        <w:rPr>
          <w:lang w:val="en_US" w:bidi="en_US"/>
        </w:rPr>
        <w:t xml:space="preserve"> here refers to Jesus. For example:</w:t>
      </w:r>
    </w:p>
    <w:p>
      <w:pPr/>
      <w:r>
        <w:rPr>
          <w:lang w:val="en_US" w:bidi="en_US"/>
        </w:rPr>
      </w:r>
      <w:r>
        <w:rPr>
          <w:lang w:val="en_US" w:bidi="en_US"/>
        </w:rPr>
        <w:t>the Lord Jesus</w:t>
      </w:r>
    </w:p>
    <w:p>
      <w:pPr/>
      <w:r>
        <w:rPr>
          <w:lang w:val="en_US" w:bidi="en_US"/>
        </w:rPr>
      </w:r>
      <w:r>
        <w:rPr>
          <w:lang w:val="en_US" w:bidi="en_US"/>
        </w:rPr>
        <w:t>Jesus, the Master</w:t>
      </w:r>
    </w:p>
    <w:p>
      <w:pPr/>
      <w:r>
        <w:rPr>
          <w:lang w:val="en_US" w:bidi="en_US"/>
        </w:rPr>
      </w:r>
      <w:r>
        <w:rPr>
          <w:lang w:val="en_US" w:bidi="en_US"/>
        </w:rPr>
        <w:t>In other languages it may be necessary to indicate whose Lord is referred to. If that is true in your language, it is probably good in this context to use an inclusive form like “our.” For example:</w:t>
      </w:r>
    </w:p>
    <w:p>
      <w:pPr/>
      <w:r>
        <w:rPr>
          <w:lang w:val="en_US" w:bidi="en_US"/>
        </w:rPr>
      </w:r>
      <w:r>
        <w:rPr>
          <w:lang w:val="en_US" w:bidi="en_US"/>
        </w:rPr>
        <w:t>our</w:t>
      </w:r>
      <w:r>
        <w:rPr>
          <w:vertAlign w:val="superscript"/>
          <w:lang w:val="en_US" w:bidi="en_US"/>
        </w:rPr>
        <w:t>(incl)</w:t>
      </w:r>
      <w:r>
        <w:rPr>
          <w:lang w:val="en_US" w:bidi="en_US"/>
        </w:rPr>
        <w:t xml:space="preserve"> Lord</w:t>
      </w:r>
    </w:p>
    <w:p>
      <w:pPr/>
      <w:r>
        <w:rPr>
          <w:lang w:val="en_US" w:bidi="en_US"/>
        </w:rPr>
      </w:r>
      <w:r>
        <w:rPr>
          <w:lang w:val="en_US" w:bidi="en_US"/>
        </w:rPr>
        <w:t>See Lord, Context 2, in the Glossary.</w:t>
      </w:r>
    </w:p>
    <w:p>
      <w:pPr/>
      <w:r>
        <w:rPr>
          <w:lang w:val="en_US" w:bidi="en_US"/>
        </w:rPr>
      </w:r>
      <w:r>
        <w:rPr>
          <w:b/>
          <w:lang w:val="en_US" w:bidi="en_US"/>
        </w:rPr>
        <w:t>Increase our faith:</w:t>
      </w:r>
      <w:r>
        <w:rPr>
          <w:lang w:val="en_US" w:bidi="en_US"/>
        </w:rPr>
        <w:t xml:space="preserve"> In this context, </w:t>
      </w:r>
      <w:r>
        <w:rPr>
          <w:i/>
          <w:lang w:val="en_US" w:bidi="en_US"/>
        </w:rPr>
        <w:t>faith</w:t>
      </w:r>
      <w:r>
        <w:rPr>
          <w:lang w:val="en_US" w:bidi="en_US"/>
        </w:rPr>
        <w:t xml:space="preserve"> refers to trusting God’s power, or having confidence that God can do anything. A person who has faith has confidence that God can and will act in response to his need. The clause </w:t>
      </w:r>
      <w:r>
        <w:rPr>
          <w:i/>
          <w:lang w:val="en_US" w:bidi="en_US"/>
        </w:rPr>
        <w:t>Increase our faith</w:t>
      </w:r>
      <w:r>
        <w:rPr>
          <w:lang w:val="en_US" w:bidi="en_US"/>
        </w:rPr>
        <w:t xml:space="preserve"> here is a request that Jesus would help his apostles to have more confidence in God.</w:t>
      </w:r>
    </w:p>
    <w:p>
      <w:pPr/>
      <w:r>
        <w:rPr>
          <w:lang w:val="en_US" w:bidi="en_US"/>
        </w:rPr>
      </w:r>
      <w:r>
        <w:rPr>
          <w:lang w:val="en_US" w:bidi="en_US"/>
        </w:rPr>
        <w:t xml:space="preserve">Some other ways to translate </w:t>
      </w:r>
      <w:r>
        <w:rPr>
          <w:i/>
          <w:lang w:val="en_US" w:bidi="en_US"/>
        </w:rPr>
        <w:t>Increase our faith</w:t>
      </w:r>
      <w:r>
        <w:rPr>
          <w:lang w:val="en_US" w:bidi="en_US"/>
        </w:rPr>
        <w:t xml:space="preserve"> are:</w:t>
      </w:r>
    </w:p>
    <w:p>
      <w:pPr/>
      <w:r>
        <w:rPr>
          <w:lang w:val="en_US" w:bidi="en_US"/>
        </w:rPr>
      </w:r>
      <w:r>
        <w:rPr>
          <w:lang w:val="en_US" w:bidi="en_US"/>
        </w:rPr>
        <w:t>Give us more faith. (GW)</w:t>
      </w:r>
    </w:p>
    <w:p>
      <w:pPr/>
      <w:r>
        <w:rPr>
          <w:lang w:val="en_US" w:bidi="en_US"/>
        </w:rPr>
      </w:r>
      <w:r>
        <w:rPr>
          <w:lang w:val="en_US" w:bidi="en_US"/>
        </w:rPr>
        <w:t>Make our faith greater. (GNT)</w:t>
      </w:r>
    </w:p>
    <w:p>
      <w:pPr/>
      <w:r>
        <w:rPr>
          <w:lang w:val="en_US" w:bidi="en_US"/>
        </w:rPr>
      </w:r>
      <w:r>
        <w:rPr>
          <w:lang w:val="en_US" w:bidi="en_US"/>
        </w:rPr>
        <w:t xml:space="preserve">Help us to believe/trust </w:t>
      </w:r>
      <w:r>
        <w:rPr>
          <w:lang w:val="en_US" w:bidi="en_US"/>
        </w:rPr>
        <w:t>in God</w:t>
      </w:r>
      <w:r>
        <w:rPr>
          <w:lang w:val="en_US" w:bidi="en_US"/>
        </w:rPr>
        <w:t xml:space="preserve"> more </w:t>
      </w:r>
      <w:r>
        <w:rPr>
          <w:lang w:val="en_US" w:bidi="en_US"/>
        </w:rPr>
        <w:t>strongly</w:t>
      </w:r>
      <w:r>
        <w:rPr>
          <w:lang w:val="en_US" w:bidi="en_US"/>
        </w:rPr>
        <w:t>.</w:t>
      </w:r>
    </w:p>
    <w:p>
      <w:pPr/>
      <w:r>
        <w:rPr>
          <w:lang w:val="en_US" w:bidi="en_US"/>
        </w:rPr>
      </w:r>
      <w:r>
        <w:rPr>
          <w:lang w:val="en_US" w:bidi="en_US"/>
        </w:rPr>
        <w:t>See believe, Meaning 2, in the Glossary.</w:t>
      </w:r>
      <w:r>
        <w:rPr>
          <w:lang w:val="en_US" w:bidi="en_US"/>
        </w:rPr>
      </w:r>
      <w:r>
        <w:rPr>
          <w:lang w:val="en_US" w:bidi="en_US"/>
        </w:rPr>
      </w:r>
    </w:p>
    <w:p>
      <w:pPr/>
      <w:r>
        <w:rPr>
          <w:lang w:val="en_US" w:bidi="en_US"/>
        </w:rPr>
      </w:r>
    </w:p>
    <w:p>
      <w:pPr>
        <w:pStyle w:val="Heading2"/>
      </w:pPr>
      <w:r>
        <w:rPr>
          <w:lang w:val="en_US" w:bidi="en_US"/>
        </w:rPr>
        <w:t>Luke 17:6</w:t>
      </w:r>
      <w:r>
        <w:rPr>
          <w:lang w:val="en_US" w:bidi="en_US"/>
        </w:rPr>
      </w:r>
    </w:p>
    <w:p>
      <w:pPr>
        <w:pStyle w:val="Heading4"/>
      </w:pPr>
      <w:r>
        <w:rPr>
          <w:lang w:val="en_US" w:bidi="en_US"/>
        </w:rPr>
        <w:t>Section 17:1–10: Jesus taught his disciples about sin, faith, and duty</w:t>
      </w:r>
    </w:p>
    <w:p>
      <w:pPr/>
      <w:r>
        <w:rPr>
          <w:lang w:val="en_US" w:bidi="en_US"/>
        </w:rPr>
      </w:r>
      <w:r>
        <w:rPr>
          <w:lang w:val="en_US" w:bidi="en_US"/>
        </w:rPr>
        <w:t>At the end of chapter 16, Jesus was speaking to the Pharisees. He concluded his parable about Lazarus and the rich man. Here in 17:1–10, he spoke to his disciples and taught them about several issues.</w:t>
      </w:r>
      <w:r>
        <w:rPr>
          <w:lang w:val="en_US" w:bidi="en_US"/>
        </w:rPr>
        <w:t>Scholars have different opinions about whether the teachings in this section are thematically related to Jesus’ teachings in chapter 16. Some scholars say that the teachings in the two chapters are not connected. Other scholars do see a broad connection. Green says, “Especially due to its location adjacent to prior accounts of Jesus’ interaction with Pharisees, this pericope recapitulates Jesus’ message to his followers: They are not to be like the Pharisees!” (p. 611). Liefeld says that “it is also possible to see a logical connection between the end of chapter 16 and the beginning of chapter 17, if we understand ‘the things that cause people to sin’ to be the sins of the Pharisees, such as those mentioned in 16:14.” Scholars also disagree about whether the paragraphs in this section are related to each other. About this, Liefeld says that “there is a common unifying theme of attitudes in the Christian community” (p. 994). Morris also mentions this possible connection: “The connecting link here may be the attitude of the religious leaders. They were in danger of using their wealth wrongly, and they were also in danger of leading their lesser brethren astray—temptations that would confront his disciples as well as people like the Pharisees” (p. 279). Nolland (p. 835) says, “Luke seems to have cobbled a unity together here of three separate blocks of tradition (verses 1–2, 3–4, 5–6). The catchword link “into/in the sea” from verse 2 to verse 6 helps to give a formal unity to the piece, and it is likely that he intends the blocks so juxtaposed, to mutually qualify the meaning of one another.” He also says, “As he opens this new section (17:1–19) Luke has brought together three blocks of tradition to form a unit about the adequacy, despite all human frailty, of even the most meager of kingdom faiths for the radical challenge of Jesus’ teaching” (p. 839).</w:t>
      </w:r>
    </w:p>
    <w:p>
      <w:pPr/>
      <w:r>
        <w:rPr>
          <w:lang w:val="en_US" w:bidi="en_US"/>
        </w:rPr>
      </w:r>
      <w:r>
        <w:rPr>
          <w:lang w:val="en_US" w:bidi="en_US"/>
        </w:rPr>
        <w:t>English versions divide these verses into sections in different ways. For example:</w:t>
      </w:r>
    </w:p>
    <w:p>
      <w:pPr>
        <w:pStyle w:val="ListNumber"/>
        <w:numPr>
          <w:ilvl w:val="0"/>
          <w:numId w:val="283"/>
        </w:numPr>
        <w:spacing w:line="240" w:lineRule="auto"/>
        <w:ind w:left="720"/>
      </w:pPr>
      <w:r>
        <w:rPr>
          <w:lang w:val="en_US" w:bidi="en_US"/>
        </w:rPr>
      </w:r>
      <w:r>
        <w:rPr>
          <w:lang w:val="en_US" w:bidi="en_US"/>
        </w:rPr>
        <w:t>Most versions put 17:1–10 together in one section and have one heading. (The Notes follow these versions.)</w:t>
      </w:r>
    </w:p>
    <w:p>
      <w:pPr>
        <w:pStyle w:val="ListNumber"/>
        <w:spacing w:line="240" w:lineRule="auto"/>
        <w:ind w:left="720"/>
      </w:pPr>
      <w:r>
        <w:rPr>
          <w:lang w:val="en_US" w:bidi="en_US"/>
        </w:rPr>
      </w:r>
      <w:r>
        <w:rPr>
          <w:lang w:val="en_US" w:bidi="en_US"/>
        </w:rPr>
        <w:t>Some versions divide 17:1–10 into three sections with a heading for each one. For example, the GNT has: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17:1–4</w:t>
            </w:r>
          </w:p>
        </w:tc>
        <w:tc>
          <w:tcPr>
            <w:tcW w:type="dxa" w:w="4680"/>
          </w:tcPr>
          <w:p>
            <w:pPr/>
            <w:r>
              <w:rPr>
                <w:lang w:val="en_US" w:bidi="en_US"/>
              </w:rPr>
            </w:r>
            <w:r>
              <w:rPr>
                <w:lang w:val="en_US" w:bidi="en_US"/>
              </w:rPr>
              <w:t>Sin</w:t>
            </w:r>
          </w:p>
        </w:tc>
      </w:tr>
      <w:tr>
        <w:tc>
          <w:tcPr>
            <w:tcW w:type="dxa" w:w="4680"/>
          </w:tcPr>
          <w:p>
            <w:pPr/>
            <w:r>
              <w:rPr>
                <w:lang w:val="en_US" w:bidi="en_US"/>
              </w:rPr>
            </w:r>
            <w:r>
              <w:rPr>
                <w:lang w:val="en_US" w:bidi="en_US"/>
              </w:rPr>
              <w:t>17:5–6</w:t>
            </w:r>
          </w:p>
        </w:tc>
        <w:tc>
          <w:tcPr>
            <w:tcW w:type="dxa" w:w="4680"/>
          </w:tcPr>
          <w:p>
            <w:pPr/>
            <w:r>
              <w:rPr>
                <w:lang w:val="en_US" w:bidi="en_US"/>
              </w:rPr>
            </w:r>
            <w:r>
              <w:rPr>
                <w:lang w:val="en_US" w:bidi="en_US"/>
              </w:rPr>
              <w:t>Faith</w:t>
            </w:r>
          </w:p>
        </w:tc>
      </w:tr>
      <w:tr>
        <w:tc>
          <w:tcPr>
            <w:tcW w:type="dxa" w:w="4680"/>
          </w:tcPr>
          <w:p>
            <w:pPr/>
            <w:r>
              <w:rPr>
                <w:lang w:val="en_US" w:bidi="en_US"/>
              </w:rPr>
            </w:r>
            <w:r>
              <w:rPr>
                <w:lang w:val="en_US" w:bidi="en_US"/>
              </w:rPr>
              <w:t>17:7–10</w:t>
            </w:r>
          </w:p>
        </w:tc>
        <w:tc>
          <w:tcPr>
            <w:tcW w:type="dxa" w:w="4680"/>
          </w:tcPr>
          <w:p>
            <w:pPr/>
            <w:r>
              <w:rPr>
                <w:lang w:val="en_US" w:bidi="en_US"/>
              </w:rPr>
            </w:r>
            <w:r>
              <w:rPr>
                <w:lang w:val="en_US" w:bidi="en_US"/>
              </w:rPr>
              <w:t>A servant’s duty</w:t>
            </w:r>
          </w:p>
        </w:tc>
      </w:tr>
    </w:tbl>
    <w:p>
      <w:pPr/>
      <w:r>
        <w:rPr>
          <w:lang w:val="en_US" w:bidi="en_US"/>
        </w:rPr>
      </w:r>
      <w:r>
        <w:rPr>
          <w:lang w:val="en_US" w:bidi="en_US"/>
        </w:rPr>
        <w:t>Some other possible headings for this section are:</w:t>
      </w:r>
    </w:p>
    <w:p>
      <w:pPr/>
      <w:r>
        <w:rPr>
          <w:lang w:val="en_US" w:bidi="en_US"/>
        </w:rPr>
      </w:r>
      <w:r>
        <w:rPr>
          <w:lang w:val="en_US" w:bidi="en_US"/>
        </w:rPr>
        <w:t>Jesus taught his disciples to not cause others to sin, to forgive others, and to serve him humbly</w:t>
      </w:r>
    </w:p>
    <w:p>
      <w:pPr/>
      <w:r>
        <w:rPr>
          <w:lang w:val="en_US" w:bidi="en_US"/>
        </w:rPr>
      </w:r>
      <w:r>
        <w:rPr>
          <w:lang w:val="en_US" w:bidi="en_US"/>
        </w:rPr>
        <w:t>Teachings about Forgiveness and Faith (NLT)</w:t>
      </w:r>
    </w:p>
    <w:p>
      <w:pPr/>
      <w:r>
        <w:rPr>
          <w:lang w:val="en_US" w:bidi="en_US"/>
        </w:rPr>
      </w:r>
      <w:r>
        <w:rPr>
          <w:lang w:val="en_US" w:bidi="en_US"/>
        </w:rPr>
        <w:t>Sin, Forgiveness, Faith, and Service (NET)</w:t>
      </w:r>
    </w:p>
    <w:p>
      <w:pPr/>
      <w:r>
        <w:rPr>
          <w:lang w:val="en_US" w:bidi="en_US"/>
        </w:rPr>
      </w:r>
      <w:r>
        <w:rPr>
          <w:lang w:val="en_US" w:bidi="en_US"/>
        </w:rPr>
        <w:t>There are parallel passages for this section in Matthew 18:6–7 and 18:15 and in Mark 9:42. However, Jesus may have spoken these passages in a different context from the one in this section.</w:t>
      </w:r>
    </w:p>
    <w:p>
      <w:pPr>
        <w:pStyle w:val="Heading4"/>
      </w:pPr>
      <w:r>
        <w:rPr>
          <w:lang w:val="en_US" w:bidi="en_US"/>
        </w:rPr>
        <w:t>Paragraph 17:5–6</w:t>
      </w:r>
    </w:p>
    <w:p>
      <w:pPr/>
      <w:r>
        <w:rPr>
          <w:lang w:val="en_US" w:bidi="en_US"/>
        </w:rPr>
      </w:r>
      <w:r>
        <w:rPr>
          <w:lang w:val="en_US" w:bidi="en_US"/>
        </w:rPr>
        <w:t>In previous paragraphs Jesus was speaking to a large group of his disciples. In this paragraph, the twelve apostles asked Jesus to increase their faith.</w:t>
      </w:r>
      <w:r>
        <w:rPr>
          <w:lang w:val="en_US" w:bidi="en_US"/>
        </w:rPr>
        <w:t>Some scholars believe that this saying is connected to 17:1–4, being the response of the disciples to Jesus’ instruction about the severe punishment for causing a believer to sin and about the unlimited forgiveness that they must offer to believers who offend them. In light of these seemingly impossible standards, they felt the need for an increase in faith. For example, Morris (p. 280) says, “Apparently the apostles…think great faith is needed for forgiveness like that, so they say, ‘Increase our faith.’” Other scholars believe that this saying is unconnected to the preceding ones. Johnson (p. 259) says, “Its presence here may be due in part to the presence of the ‘sea’ in both this saying and that in verse 2.”</w:t>
      </w:r>
      <w:r>
        <w:rPr>
          <w:lang w:val="en_US" w:bidi="en_US"/>
        </w:rPr>
        <w:t xml:space="preserve"> Jesus’ response indicated that with only a little faith, they could do things that are impossible for human beings to do.</w:t>
      </w:r>
    </w:p>
    <w:p>
      <w:pPr>
        <w:pStyle w:val="Heading5"/>
      </w:pPr>
      <w:r>
        <w:rPr>
          <w:lang w:val="en_US" w:bidi="en_US"/>
        </w:rPr>
        <w:t>17:6a–b</w:t>
      </w:r>
    </w:p>
    <w:p>
      <w:pPr/>
      <w:r>
        <w:rPr>
          <w:lang w:val="en_US" w:bidi="en_US"/>
        </w:rPr>
      </w:r>
      <w:r>
        <w:rPr>
          <w:b/>
          <w:lang w:val="en_US" w:bidi="en_US"/>
        </w:rPr>
        <w:t>And the Lord answered:</w:t>
      </w:r>
      <w:r>
        <w:rPr>
          <w:lang w:val="en_US" w:bidi="en_US"/>
        </w:rPr>
        <w:t xml:space="preserve"> The Greek clause that the BSB translates as </w:t>
      </w:r>
      <w:r>
        <w:rPr>
          <w:i/>
          <w:lang w:val="en_US" w:bidi="en_US"/>
        </w:rPr>
        <w:t>the Lord answered</w:t>
      </w:r>
      <w:r>
        <w:rPr>
          <w:lang w:val="en_US" w:bidi="en_US"/>
        </w:rPr>
        <w:t xml:space="preserve"> is literally “And the Lord said.” The phrase </w:t>
      </w:r>
      <w:r>
        <w:rPr>
          <w:i/>
          <w:lang w:val="en_US" w:bidi="en_US"/>
        </w:rPr>
        <w:t>the Lord</w:t>
      </w:r>
      <w:r>
        <w:rPr>
          <w:lang w:val="en_US" w:bidi="en_US"/>
        </w:rPr>
        <w:t xml:space="preserve"> also occurs in 17:5. In some languages, it may not be natural to repeat it here. You should refer to him here in a way that is natural in your language.</w:t>
      </w:r>
    </w:p>
    <w:p>
      <w:pPr/>
      <w:r>
        <w:rPr>
          <w:lang w:val="en_US" w:bidi="en_US"/>
        </w:rPr>
      </w:r>
      <w:r>
        <w:rPr>
          <w:b/>
          <w:lang w:val="en_US" w:bidi="en_US"/>
        </w:rPr>
        <w:t>If you have faith the size of a mustard seed, you can say…and it will obey you:</w:t>
      </w:r>
      <w:r>
        <w:rPr>
          <w:lang w:val="en_US" w:bidi="en_US"/>
        </w:rPr>
        <w:t xml:space="preserve"> Jesus responded to the apostles’ request for more faith by indicating that even very small faith is enough to do great things.</w:t>
      </w:r>
      <w:r>
        <w:rPr>
          <w:lang w:val="en_US" w:bidi="en_US"/>
        </w:rPr>
        <w:t>It is likely that Jesus’ purpose here was to emphasize the great things that the apostles could accomplish even with very little faith. His purpose was not to make a definite statement about whether or not they had as much faith as a grain of mustard seed. Jesus implied that it is not the size of the faith but whether people have any true faith. If they do, then they can use it to accomplish great things (Bock 1390–91). From other passages in Luke (e.g., 9:6), we know that the apostles had used their faith in Jesus to cast out demons and to heal people from their sicknesses, so it would not be true to say that they had no faith. Here Jesus gave an example that showed that they could use their faith to do other things that seemed impossible to them.</w:t>
      </w:r>
      <w:r>
        <w:rPr>
          <w:lang w:val="en_US" w:bidi="en_US"/>
        </w:rPr>
        <w:t xml:space="preserve"> In some languages it is difficult to express this with an “if” clause, as English and Greek do. Some other ways to translate this are:</w:t>
      </w:r>
    </w:p>
    <w:p>
      <w:pPr/>
      <w:r>
        <w:rPr>
          <w:lang w:val="en_US" w:bidi="en_US"/>
        </w:rPr>
      </w:r>
      <w:r>
        <w:rPr>
          <w:lang w:val="en_US" w:bidi="en_US"/>
        </w:rPr>
        <w:t>Even though your faith is as small as a mustard seed, you can say…and it will obey you.</w:t>
      </w:r>
    </w:p>
    <w:p>
      <w:pPr/>
      <w:r>
        <w:rPr>
          <w:lang w:val="en_US" w:bidi="en_US"/>
        </w:rPr>
      </w:r>
      <w:r>
        <w:rPr>
          <w:lang w:val="en_US" w:bidi="en_US"/>
        </w:rPr>
        <w:t>With very little faith that is like a tiny seed, you can command…and it will obey.</w:t>
      </w:r>
    </w:p>
    <w:p>
      <w:pPr/>
      <w:r>
        <w:rPr>
          <w:lang w:val="en_US" w:bidi="en_US"/>
        </w:rPr>
      </w:r>
      <w:r>
        <w:rPr>
          <w:b/>
          <w:lang w:val="en_US" w:bidi="en_US"/>
        </w:rPr>
        <w:t>you…you:</w:t>
      </w:r>
      <w:r>
        <w:rPr>
          <w:lang w:val="en_US" w:bidi="en_US"/>
        </w:rPr>
        <w:t xml:space="preserve"> The pronoun </w:t>
      </w:r>
      <w:r>
        <w:rPr>
          <w:i/>
          <w:lang w:val="en_US" w:bidi="en_US"/>
        </w:rPr>
        <w:t>you</w:t>
      </w:r>
      <w:r>
        <w:rPr>
          <w:lang w:val="en_US" w:bidi="en_US"/>
        </w:rPr>
        <w:t xml:space="preserve"> refers to the apostles.</w:t>
      </w:r>
    </w:p>
    <w:p>
      <w:pPr>
        <w:pStyle w:val="Heading5"/>
      </w:pPr>
      <w:r>
        <w:rPr>
          <w:lang w:val="en_US" w:bidi="en_US"/>
        </w:rPr>
        <w:t>17:6a</w:t>
      </w:r>
    </w:p>
    <w:p>
      <w:pPr/>
      <w:r>
        <w:rPr>
          <w:lang w:val="en_US" w:bidi="en_US"/>
        </w:rPr>
      </w:r>
      <w:r>
        <w:rPr>
          <w:b/>
          <w:lang w:val="en_US" w:bidi="en_US"/>
        </w:rPr>
        <w:t>And the Lord answered, “If you have faith the size of a mustard seed,</w:t>
      </w:r>
    </w:p>
    <w:p>
      <w:pPr>
        <w:pStyle w:val="ListBullet"/>
        <w:spacing w:line="240" w:lineRule="auto"/>
        <w:ind w:left="720"/>
      </w:pPr>
      <w:r>
        <w:rPr>
          <w:lang w:val="en_US" w:bidi="en_US"/>
        </w:rPr>
      </w:r>
      <w:r>
        <w:rPr>
          <w:lang w:val="en_US" w:bidi="en_US"/>
        </w:rPr>
        <w:t>The Lord said, “If you</w:t>
      </w:r>
      <w:r>
        <w:rPr>
          <w:vertAlign w:val="superscript"/>
          <w:lang w:val="en_US" w:bidi="en_US"/>
        </w:rPr>
        <w:t>(plur)</w:t>
      </w:r>
      <w:r>
        <w:rPr>
          <w:lang w:val="en_US" w:bidi="en_US"/>
        </w:rPr>
        <w:t xml:space="preserve"> have only a small </w:t>
      </w:r>
      <w:r>
        <w:rPr>
          <w:lang w:val="en_US" w:bidi="en_US"/>
        </w:rPr>
        <w:t>amount of</w:t>
      </w:r>
      <w:r>
        <w:rPr>
          <w:lang w:val="en_US" w:bidi="en_US"/>
        </w:rPr>
        <w:t xml:space="preserve"> faith, as small as a tiny/mustard seed,</w:t>
      </w:r>
    </w:p>
    <w:p>
      <w:pPr>
        <w:pStyle w:val="ListBullet"/>
        <w:spacing w:line="240" w:lineRule="auto"/>
        <w:ind w:left="720"/>
      </w:pPr>
      <w:r>
        <w:rPr>
          <w:lang w:val="en_US" w:bidi="en_US"/>
        </w:rPr>
      </w:r>
      <w:r>
        <w:rPr>
          <w:lang w:val="en_US" w:bidi="en_US"/>
        </w:rPr>
        <w:t>He replied, “If you</w:t>
      </w:r>
      <w:r>
        <w:rPr>
          <w:vertAlign w:val="superscript"/>
          <w:lang w:val="en_US" w:bidi="en_US"/>
        </w:rPr>
        <w:t>(plur)</w:t>
      </w:r>
      <w:r>
        <w:rPr>
          <w:lang w:val="en_US" w:bidi="en_US"/>
        </w:rPr>
        <w:t xml:space="preserve"> trusted </w:t>
      </w:r>
      <w:r>
        <w:rPr>
          <w:lang w:val="en_US" w:bidi="en_US"/>
        </w:rPr>
        <w:t>God</w:t>
      </w:r>
      <w:r>
        <w:rPr>
          <w:lang w:val="en_US" w:bidi="en_US"/>
        </w:rPr>
        <w:t xml:space="preserve"> just a little,</w:t>
      </w:r>
    </w:p>
    <w:p>
      <w:pPr/>
      <w:r>
        <w:rPr>
          <w:lang w:val="en_US" w:bidi="en_US"/>
        </w:rPr>
      </w:r>
      <w:r>
        <w:rPr>
          <w:b/>
          <w:lang w:val="en_US" w:bidi="en_US"/>
        </w:rPr>
        <w:t>If you have faith the size of a mustard seed:</w:t>
      </w:r>
      <w:r>
        <w:rPr>
          <w:lang w:val="en_US" w:bidi="en_US"/>
        </w:rPr>
        <w:t xml:space="preserve"> There are different opinions about what this clause implies about the apostles’ faith:</w:t>
      </w:r>
    </w:p>
    <w:p>
      <w:pPr>
        <w:pStyle w:val="ListNumber"/>
        <w:numPr>
          <w:ilvl w:val="0"/>
          <w:numId w:val="284"/>
        </w:numPr>
        <w:spacing w:line="240" w:lineRule="auto"/>
        <w:ind w:left="720"/>
      </w:pPr>
      <w:r>
        <w:rPr>
          <w:lang w:val="en_US" w:bidi="en_US"/>
        </w:rPr>
      </w:r>
      <w:r>
        <w:rPr>
          <w:lang w:val="en_US" w:bidi="en_US"/>
        </w:rPr>
        <w:t>It does not imply anything definite about the apostles’ faith. Jesus was making a general statement.</w:t>
      </w:r>
    </w:p>
    <w:p>
      <w:pPr>
        <w:pStyle w:val="ListNumber"/>
        <w:spacing w:line="240" w:lineRule="auto"/>
        <w:ind w:left="720"/>
      </w:pPr>
      <w:r>
        <w:rPr>
          <w:lang w:val="en_US" w:bidi="en_US"/>
        </w:rPr>
      </w:r>
      <w:r>
        <w:rPr>
          <w:lang w:val="en_US" w:bidi="en_US"/>
        </w:rPr>
        <w:t xml:space="preserve">It implies that the apostles </w:t>
      </w:r>
      <w:r>
        <w:rPr>
          <w:u w:val="single"/>
          <w:lang w:val="en_US" w:bidi="en_US"/>
        </w:rPr>
        <w:t>did not have faith</w:t>
      </w:r>
      <w:r>
        <w:rPr>
          <w:lang w:val="en_US" w:bidi="en_US"/>
        </w:rPr>
        <w:t xml:space="preserve"> as small as a mustard seed.</w:t>
      </w:r>
    </w:p>
    <w:p>
      <w:pPr>
        <w:pStyle w:val="ListNumber"/>
        <w:spacing w:line="240" w:lineRule="auto"/>
        <w:ind w:left="720"/>
      </w:pPr>
      <w:r>
        <w:rPr>
          <w:lang w:val="en_US" w:bidi="en_US"/>
        </w:rPr>
      </w:r>
      <w:r>
        <w:rPr>
          <w:lang w:val="en_US" w:bidi="en_US"/>
        </w:rPr>
        <w:t xml:space="preserve">It implies that the apostles </w:t>
      </w:r>
      <w:r>
        <w:rPr>
          <w:u w:val="single"/>
          <w:lang w:val="en_US" w:bidi="en_US"/>
        </w:rPr>
        <w:t>did already have faith</w:t>
      </w:r>
      <w:r>
        <w:rPr>
          <w:lang w:val="en_US" w:bidi="en_US"/>
        </w:rPr>
        <w:t xml:space="preserve"> as small as a mustard seed.</w:t>
      </w:r>
    </w:p>
    <w:p>
      <w:pPr/>
      <w:r>
        <w:rPr>
          <w:lang w:val="en_US" w:bidi="en_US"/>
        </w:rPr>
      </w:r>
      <w:r>
        <w:rPr>
          <w:lang w:val="en_US" w:bidi="en_US"/>
        </w:rPr>
        <w:t>Most English versions are ambiguous.</w:t>
      </w:r>
      <w:r>
        <w:rPr>
          <w:lang w:val="en_US" w:bidi="en_US"/>
        </w:rPr>
        <w:t>No English versions have been listed to support the different interpretations, because English scholars are not in complete agreement about the implications of the phrase “had faith” that is used by some English versions. A number of scholars indicate that the use of past tense in situations like this is not necessarily contrafactual. According to the Cambridge Grammar of the English Language, it “entertains the condition as being satisfied in a world which is potentially different from the actual world” (p. 748), and it “is important to emphasize…that a present or past time remote conditional does not entail that P is false” (p. 749; P is the “protasis”). The past tense indicates a somewhat more remote possibility than the present tense. Applying it to this situation, the Notes interpret versions with “had faith” to be admitting the possibility that the disciples did have that much faith. For this reason, no English versions can be unambiguously listed as support for Interpretation (1).</w:t>
      </w:r>
      <w:r>
        <w:rPr>
          <w:lang w:val="en_US" w:bidi="en_US"/>
        </w:rPr>
        <w:t xml:space="preserve"> It is recommended that you follow interpretation (1). Jesus used this clause to introduce the statement in 17:6b about the power of very small faith. You should translate this clause in a way that supports this main point.</w:t>
      </w:r>
      <w:r>
        <w:rPr>
          <w:lang w:val="en_US" w:bidi="en_US"/>
        </w:rPr>
        <w:t xml:space="preserve">Much has been written about what type of conditional construction this is and what it implies. In Greek, it is a mixed condition, which uses a present indicative verb in the conditional clause, but the main clause has </w:t>
      </w:r>
      <w:r>
        <w:rPr>
          <w:i/>
          <w:lang w:val="en_US" w:bidi="en_US"/>
        </w:rPr>
        <w:t>an</w:t>
      </w:r>
      <w:r>
        <w:rPr>
          <w:lang w:val="en_US" w:bidi="en_US"/>
        </w:rPr>
        <w:t xml:space="preserve"> and the imperfect. Many scholars support either interpretation (2) or interpretation (3). However, the mixed condition makes either interpretation uncertain and, semantically, the context favors interpretation (1). In the main clause Jesus focused on what the apostles could do with only a little faith, not on whether they already had that faith or did not yet have it.</w:t>
      </w:r>
      <w:r>
        <w:rPr>
          <w:lang w:val="en_US" w:bidi="en_US"/>
        </w:rPr>
        <w:t xml:space="preserve"> See the next note for translation examples.</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refers to the apostles.</w:t>
      </w:r>
    </w:p>
    <w:p>
      <w:pPr/>
      <w:r>
        <w:rPr>
          <w:lang w:val="en_US" w:bidi="en_US"/>
        </w:rPr>
      </w:r>
      <w:r>
        <w:rPr>
          <w:b/>
          <w:lang w:val="en_US" w:bidi="en_US"/>
        </w:rPr>
        <w:t>faith the size of a mustard seed:</w:t>
      </w:r>
      <w:r>
        <w:rPr>
          <w:lang w:val="en_US" w:bidi="en_US"/>
        </w:rPr>
        <w:t xml:space="preserve"> The Greek phrase that the BSB translates as </w:t>
      </w:r>
      <w:r>
        <w:rPr>
          <w:i/>
          <w:lang w:val="en_US" w:bidi="en_US"/>
        </w:rPr>
        <w:t>faith the size of a mustard seed</w:t>
      </w:r>
      <w:r>
        <w:rPr>
          <w:lang w:val="en_US" w:bidi="en_US"/>
        </w:rPr>
        <w:t xml:space="preserve"> is literally “faith as/like a mustard seed.” This is a metaphor. For the Jews, this seed symbolized something that was very small. Many English versions make explicit that Jesus was comparing the size of the faith to a tiny mustard seed. For example:</w:t>
      </w:r>
    </w:p>
    <w:p>
      <w:pPr/>
      <w:r>
        <w:rPr>
          <w:lang w:val="en_US" w:bidi="en_US"/>
        </w:rPr>
      </w:r>
      <w:r>
        <w:rPr>
          <w:lang w:val="en_US" w:bidi="en_US"/>
        </w:rPr>
        <w:t>faith even as small as a mustard seed (NLT)</w:t>
      </w:r>
    </w:p>
    <w:p>
      <w:pPr/>
      <w:r>
        <w:rPr>
          <w:lang w:val="en_US" w:bidi="en_US"/>
        </w:rPr>
      </w:r>
      <w:r>
        <w:rPr>
          <w:lang w:val="en_US" w:bidi="en_US"/>
        </w:rPr>
        <w:t>faith the size of a mustard seed (NET)</w:t>
      </w:r>
    </w:p>
    <w:p>
      <w:pPr/>
      <w:r>
        <w:rPr>
          <w:lang w:val="en_US" w:bidi="en_US"/>
        </w:rPr>
      </w:r>
      <w:r>
        <w:rPr>
          <w:lang w:val="en_US" w:bidi="en_US"/>
        </w:rPr>
        <w:t>faith no bigger than a tiny mustard seed (CEV)</w:t>
      </w:r>
    </w:p>
    <w:p>
      <w:pPr/>
      <w:r>
        <w:rPr>
          <w:lang w:val="en_US" w:bidi="en_US"/>
        </w:rPr>
      </w:r>
      <w:r>
        <w:rPr>
          <w:lang w:val="en_US" w:bidi="en_US"/>
        </w:rPr>
        <w:t xml:space="preserve">In some languages it may not be natural to talk about </w:t>
      </w:r>
      <w:r>
        <w:rPr>
          <w:i/>
          <w:lang w:val="en_US" w:bidi="en_US"/>
        </w:rPr>
        <w:t>faith</w:t>
      </w:r>
      <w:r>
        <w:rPr>
          <w:lang w:val="en_US" w:bidi="en_US"/>
        </w:rPr>
        <w:t xml:space="preserve"> being small. In languages that use a verb such as “believe” to translate </w:t>
      </w:r>
      <w:r>
        <w:rPr>
          <w:i/>
          <w:lang w:val="en_US" w:bidi="en_US"/>
        </w:rPr>
        <w:t>faith</w:t>
      </w:r>
      <w:r>
        <w:rPr>
          <w:lang w:val="en_US" w:bidi="en_US"/>
        </w:rPr>
        <w:t xml:space="preserve">, it may also not be natural to compare this verb to a </w:t>
      </w:r>
      <w:r>
        <w:rPr>
          <w:i/>
          <w:lang w:val="en_US" w:bidi="en_US"/>
        </w:rPr>
        <w:t>mustard seed</w:t>
      </w:r>
      <w:r>
        <w:rPr>
          <w:lang w:val="en_US" w:bidi="en_US"/>
        </w:rPr>
        <w:t>. Some other ways to translate this comparison are:</w:t>
      </w:r>
    </w:p>
    <w:p>
      <w:pPr>
        <w:pStyle w:val="ListBullet"/>
        <w:spacing w:line="240" w:lineRule="auto"/>
        <w:ind w:left="720"/>
      </w:pPr>
      <w:r>
        <w:rPr>
          <w:lang w:val="en_US" w:bidi="en_US"/>
        </w:rPr>
      </w:r>
      <w:r>
        <w:rPr>
          <w:lang w:val="en_US" w:bidi="en_US"/>
        </w:rPr>
        <w:t>Use natural words in your language to describe the way people believe. For example:</w:t>
      </w:r>
      <w:r>
        <w:rPr>
          <w:lang w:val="en_US" w:bidi="en_US"/>
        </w:rPr>
        <w:t>If your believing is as little as a tiny mustard seed</w:t>
      </w:r>
      <w:r>
        <w:rPr>
          <w:lang w:val="en_US" w:bidi="en_US"/>
        </w:rPr>
        <w:t xml:space="preserve">Even if the way you trust </w:t>
      </w:r>
      <w:r>
        <w:rPr>
          <w:lang w:val="en_US" w:bidi="en_US"/>
        </w:rPr>
        <w:t>God</w:t>
      </w:r>
      <w:r>
        <w:rPr>
          <w:lang w:val="en_US" w:bidi="en_US"/>
        </w:rPr>
        <w:t xml:space="preserve"> was weak like a mustard seed is small</w:t>
      </w:r>
    </w:p>
    <w:p>
      <w:pPr>
        <w:pStyle w:val="ListBullet"/>
        <w:spacing w:line="240" w:lineRule="auto"/>
        <w:ind w:left="720"/>
      </w:pPr>
      <w:r>
        <w:rPr>
          <w:lang w:val="en_US" w:bidi="en_US"/>
        </w:rPr>
      </w:r>
      <w:r>
        <w:rPr>
          <w:lang w:val="en_US" w:bidi="en_US"/>
        </w:rPr>
        <w:t>Translate only the meaning without the metaphor. For example:</w:t>
      </w:r>
      <w:r>
        <w:rPr>
          <w:lang w:val="en_US" w:bidi="en_US"/>
        </w:rPr>
        <w:t>If you believed a little bit, you could say to this mulberry tree</w:t>
      </w:r>
      <w:r>
        <w:rPr>
          <w:lang w:val="en_US" w:bidi="en_US"/>
        </w:rPr>
        <w:t>If you had even weak faith, you could say to this mulberry tree</w:t>
      </w:r>
    </w:p>
    <w:p>
      <w:pPr/>
      <w:r>
        <w:rPr>
          <w:lang w:val="en_US" w:bidi="en_US"/>
        </w:rPr>
      </w:r>
      <w:r>
        <w:rPr>
          <w:b/>
          <w:lang w:val="en_US" w:bidi="en_US"/>
        </w:rPr>
        <w:t>faith:</w:t>
      </w:r>
      <w:r>
        <w:rPr>
          <w:lang w:val="en_US" w:bidi="en_US"/>
        </w:rPr>
        <w:t xml:space="preserve"> The word </w:t>
      </w:r>
      <w:r>
        <w:rPr>
          <w:i/>
          <w:lang w:val="en_US" w:bidi="en_US"/>
        </w:rPr>
        <w:t>faith</w:t>
      </w:r>
      <w:r>
        <w:rPr>
          <w:lang w:val="en_US" w:bidi="en_US"/>
        </w:rPr>
        <w:t xml:space="preserve"> also occurs in 17:5. Translate it here in a similar way.</w:t>
      </w:r>
    </w:p>
    <w:p>
      <w:pPr/>
      <w:r>
        <w:rPr>
          <w:lang w:val="en_US" w:bidi="en_US"/>
        </w:rPr>
      </w:r>
      <w:r>
        <w:rPr>
          <w:b/>
          <w:lang w:val="en_US" w:bidi="en_US"/>
        </w:rPr>
        <w:t>a mustard seed:</w:t>
      </w:r>
      <w:r>
        <w:rPr>
          <w:lang w:val="en_US" w:bidi="en_US"/>
        </w:rPr>
        <w:t xml:space="preserve"> A </w:t>
      </w:r>
      <w:r>
        <w:rPr>
          <w:i/>
          <w:lang w:val="en_US" w:bidi="en_US"/>
        </w:rPr>
        <w:t>mustard seed</w:t>
      </w:r>
      <w:r>
        <w:rPr>
          <w:lang w:val="en_US" w:bidi="en_US"/>
        </w:rPr>
        <w:t xml:space="preserve"> is a very small seed that grows into a mustard plant. If mustard seeds and plants are not known in your area, some ways to translate this are:</w:t>
      </w:r>
    </w:p>
    <w:p>
      <w:pPr>
        <w:pStyle w:val="ListBullet"/>
        <w:spacing w:line="240" w:lineRule="auto"/>
        <w:ind w:left="720"/>
      </w:pPr>
      <w:r>
        <w:rPr>
          <w:lang w:val="en_US" w:bidi="en_US"/>
        </w:rPr>
      </w:r>
      <w:r>
        <w:rPr>
          <w:lang w:val="en_US" w:bidi="en_US"/>
        </w:rPr>
        <w:t>Use a loan word along with a general term if necessary. For example:</w:t>
      </w:r>
      <w:r>
        <w:rPr>
          <w:lang w:val="en_US" w:bidi="en_US"/>
        </w:rPr>
        <w:t xml:space="preserve">a seed of </w:t>
      </w:r>
      <w:r>
        <w:rPr>
          <w:lang w:val="en_US" w:bidi="en_US"/>
        </w:rPr>
        <w:t>the plant/tree called</w:t>
      </w:r>
      <w:r>
        <w:rPr>
          <w:lang w:val="en_US" w:bidi="en_US"/>
        </w:rPr>
        <w:t xml:space="preserve"> mustard</w:t>
      </w:r>
    </w:p>
    <w:p>
      <w:pPr>
        <w:pStyle w:val="ListBullet"/>
        <w:spacing w:line="240" w:lineRule="auto"/>
        <w:ind w:left="720"/>
      </w:pPr>
      <w:r>
        <w:rPr>
          <w:lang w:val="en_US" w:bidi="en_US"/>
        </w:rPr>
      </w:r>
      <w:r>
        <w:rPr>
          <w:lang w:val="en_US" w:bidi="en_US"/>
        </w:rPr>
        <w:t>Use a descriptive phrase. For example:</w:t>
      </w:r>
      <w:r>
        <w:rPr>
          <w:lang w:val="en_US" w:bidi="en_US"/>
        </w:rPr>
        <w:t xml:space="preserve">a </w:t>
      </w:r>
      <w:r>
        <w:rPr>
          <w:lang w:val="en_US" w:bidi="en_US"/>
        </w:rPr>
        <w:t>very</w:t>
      </w:r>
      <w:r>
        <w:rPr>
          <w:lang w:val="en_US" w:bidi="en_US"/>
        </w:rPr>
        <w:t xml:space="preserve"> tiny seed</w:t>
      </w:r>
    </w:p>
    <w:p>
      <w:pPr>
        <w:pStyle w:val="ListBullet"/>
        <w:spacing w:line="240" w:lineRule="auto"/>
        <w:ind w:left="720"/>
      </w:pPr>
      <w:r>
        <w:rPr>
          <w:lang w:val="en_US" w:bidi="en_US"/>
        </w:rPr>
      </w:r>
      <w:r>
        <w:rPr>
          <w:lang w:val="en_US" w:bidi="en_US"/>
        </w:rPr>
        <w:t xml:space="preserve">Transliterate the term </w:t>
      </w:r>
      <w:r>
        <w:rPr>
          <w:i/>
          <w:lang w:val="en_US" w:bidi="en_US"/>
        </w:rPr>
        <w:t>mustard</w:t>
      </w:r>
      <w:r>
        <w:rPr>
          <w:lang w:val="en_US" w:bidi="en_US"/>
        </w:rPr>
        <w:t xml:space="preserve"> and indicate that it is tiny/small. For example:</w:t>
      </w:r>
      <w:r>
        <w:rPr>
          <w:lang w:val="en_US" w:bidi="en_US"/>
        </w:rPr>
        <w:t>a tiny mastat seed</w:t>
      </w:r>
    </w:p>
    <w:p>
      <w:pPr>
        <w:pStyle w:val="ListBullet"/>
        <w:spacing w:line="240" w:lineRule="auto"/>
        <w:ind w:left="720"/>
      </w:pPr>
      <w:r>
        <w:rPr>
          <w:lang w:val="en_US" w:bidi="en_US"/>
        </w:rPr>
      </w:r>
      <w:r>
        <w:rPr>
          <w:lang w:val="en_US" w:bidi="en_US"/>
        </w:rPr>
        <w:t>Use the name of a local seed that is known to be very small. If you use this option, you may want to indicate the literal name in a footnote. For example, you could say in the footnote:</w:t>
      </w:r>
      <w:r>
        <w:rPr>
          <w:lang w:val="en_US" w:bidi="en_US"/>
        </w:rPr>
        <w:t>The Greek text is literally “a mustard seed.”</w:t>
      </w:r>
    </w:p>
    <w:p>
      <w:pPr>
        <w:pStyle w:val="Heading5"/>
      </w:pPr>
      <w:r>
        <w:rPr>
          <w:lang w:val="en_US" w:bidi="en_US"/>
        </w:rPr>
        <w:t>17:6b–d</w:t>
      </w:r>
    </w:p>
    <w:p>
      <w:pPr/>
      <w:r>
        <w:rPr>
          <w:lang w:val="en_US" w:bidi="en_US"/>
        </w:rPr>
      </w:r>
      <w:r>
        <w:rPr>
          <w:b/>
          <w:lang w:val="en_US" w:bidi="en_US"/>
        </w:rPr>
        <w:t>you can say to this mulberry tree, ‘Be uprooted…’:</w:t>
      </w:r>
      <w:r>
        <w:rPr>
          <w:lang w:val="en_US" w:bidi="en_US"/>
        </w:rPr>
        <w:t xml:space="preserve"> In 17:6b–d Jesus gave an example of something that is normally not possible for a person to do. A person cannot make a tree obey him. However, faith in God can make this possible.</w:t>
      </w:r>
    </w:p>
    <w:p>
      <w:pPr/>
      <w:r>
        <w:rPr>
          <w:lang w:val="en_US" w:bidi="en_US"/>
        </w:rPr>
      </w:r>
      <w:r>
        <w:rPr>
          <w:lang w:val="en_US" w:bidi="en_US"/>
        </w:rPr>
        <w:t>You can translate 17:6b–d as either direct or indirect speech:</w:t>
      </w:r>
    </w:p>
    <w:p>
      <w:pPr>
        <w:pStyle w:val="ListBullet"/>
        <w:spacing w:line="240" w:lineRule="auto"/>
        <w:ind w:left="720"/>
      </w:pPr>
      <w:r>
        <w:rPr>
          <w:lang w:val="en_US" w:bidi="en_US"/>
        </w:rPr>
      </w:r>
      <w:r>
        <w:rPr>
          <w:lang w:val="en_US" w:bidi="en_US"/>
        </w:rPr>
        <w:t>Translate it as direct speech. For example:</w:t>
      </w:r>
      <w:r>
        <w:rPr>
          <w:lang w:val="en_US" w:bidi="en_US"/>
        </w:rPr>
        <w:t>…you could give this order to the mulberry tree: “Pull</w:t>
      </w:r>
      <w:r>
        <w:rPr>
          <w:vertAlign w:val="superscript"/>
          <w:lang w:val="en_US" w:bidi="en_US"/>
        </w:rPr>
        <w:t>(sing)</w:t>
      </w:r>
      <w:r>
        <w:rPr>
          <w:lang w:val="en_US" w:bidi="en_US"/>
        </w:rPr>
        <w:t xml:space="preserve"> yourself up by the roots and plant yourself in the sea.” And the tree would obey you.</w:t>
      </w:r>
    </w:p>
    <w:p>
      <w:pPr>
        <w:pStyle w:val="ListBullet"/>
        <w:spacing w:line="240" w:lineRule="auto"/>
        <w:ind w:left="720"/>
      </w:pPr>
      <w:r>
        <w:rPr>
          <w:lang w:val="en_US" w:bidi="en_US"/>
        </w:rPr>
      </w:r>
      <w:r>
        <w:rPr>
          <w:lang w:val="en_US" w:bidi="en_US"/>
        </w:rPr>
        <w:t>Translate it as indirect speech. For example:</w:t>
      </w:r>
      <w:r>
        <w:rPr>
          <w:lang w:val="en_US" w:bidi="en_US"/>
        </w:rPr>
        <w:t>…you could tell this mulberry tree to pull itself up, roots and all, and to plant itself in the ocean. And it would! (CEV)</w:t>
      </w:r>
    </w:p>
    <w:p>
      <w:pPr/>
      <w:r>
        <w:rPr>
          <w:lang w:val="en_US" w:bidi="en_US"/>
        </w:rPr>
      </w:r>
      <w:r>
        <w:rPr>
          <w:lang w:val="en_US" w:bidi="en_US"/>
        </w:rPr>
        <w:t>Consider the most natural way to describe this action in your language. Other ways to do it in English are:</w:t>
      </w:r>
    </w:p>
    <w:p>
      <w:pPr/>
      <w:r>
        <w:rPr>
          <w:lang w:val="en_US" w:bidi="en_US"/>
        </w:rPr>
      </w:r>
      <w:r>
        <w:rPr>
          <w:lang w:val="en_US" w:bidi="en_US"/>
        </w:rPr>
        <w:t>…you could make this mulberry tree uproot itself and go and plant itself in the sea.</w:t>
      </w:r>
    </w:p>
    <w:p>
      <w:pPr/>
      <w:r>
        <w:rPr>
          <w:lang w:val="en_US" w:bidi="en_US"/>
        </w:rPr>
      </w:r>
      <w:r>
        <w:rPr>
          <w:lang w:val="en_US" w:bidi="en_US"/>
        </w:rPr>
        <w:t>At your command this mulberry tree would uproot itself and begin to grow in the sea.</w:t>
      </w:r>
    </w:p>
    <w:p>
      <w:pPr/>
      <w:r>
        <w:rPr>
          <w:lang w:val="en_US" w:bidi="en_US"/>
        </w:rPr>
      </w:r>
      <w:r>
        <w:rPr>
          <w:lang w:val="en_US" w:bidi="en_US"/>
        </w:rPr>
        <w:t>This mulberry tree would uproot itself and plant itself in the sea if you told it to.</w:t>
      </w:r>
    </w:p>
    <w:p>
      <w:pPr>
        <w:pStyle w:val="Heading5"/>
      </w:pPr>
      <w:r>
        <w:rPr>
          <w:lang w:val="en_US" w:bidi="en_US"/>
        </w:rPr>
        <w:t>17:6b</w:t>
      </w:r>
    </w:p>
    <w:p>
      <w:pPr/>
      <w:r>
        <w:rPr>
          <w:lang w:val="en_US" w:bidi="en_US"/>
        </w:rPr>
      </w:r>
      <w:r>
        <w:rPr>
          <w:b/>
          <w:lang w:val="en_US" w:bidi="en_US"/>
        </w:rPr>
        <w:t>you can say to this mulberry tree,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could say to this mulberry tree,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could tell this </w:t>
      </w:r>
      <w:r>
        <w:rPr>
          <w:lang w:val="en_US" w:bidi="en_US"/>
        </w:rPr>
        <w:t>large</w:t>
      </w:r>
      <w:r>
        <w:rPr>
          <w:lang w:val="en_US" w:bidi="en_US"/>
        </w:rPr>
        <w:t xml:space="preserve"> tree</w:t>
      </w:r>
    </w:p>
    <w:p>
      <w:pPr/>
      <w:r>
        <w:rPr>
          <w:lang w:val="en_US" w:bidi="en_US"/>
        </w:rPr>
      </w:r>
      <w:r>
        <w:rPr>
          <w:b/>
          <w:lang w:val="en_US" w:bidi="en_US"/>
        </w:rPr>
        <w:t>this mulberry tree:</w:t>
      </w:r>
      <w:r>
        <w:rPr>
          <w:lang w:val="en_US" w:bidi="en_US"/>
        </w:rPr>
        <w:t xml:space="preserve"> The phrase </w:t>
      </w:r>
      <w:r>
        <w:rPr>
          <w:i/>
          <w:lang w:val="en_US" w:bidi="en_US"/>
        </w:rPr>
        <w:t>this mulberry tree</w:t>
      </w:r>
      <w:r>
        <w:rPr>
          <w:lang w:val="en_US" w:bidi="en_US"/>
        </w:rPr>
        <w:t xml:space="preserve"> indicates that as Jesus was teaching, he referred to a specific tree nearby that his apostles could see.</w:t>
      </w:r>
      <w:r>
        <w:rPr>
          <w:lang w:val="en_US" w:bidi="en_US"/>
        </w:rPr>
        <w:t>There is a textual issue here. Some Greek manuscripts omit the word “this,” and the Greek NT brackets it in the text, indicating that the decision was difficult. However, all fourteen English versions on TW include it.</w:t>
      </w:r>
      <w:r>
        <w:rPr>
          <w:lang w:val="en_US" w:bidi="en_US"/>
        </w:rPr>
        <w:t xml:space="preserve"> It was a large tree with many roots. Many scholars think that this tree was the black mulberry tree,</w:t>
      </w:r>
      <w:r>
        <w:rPr>
          <w:lang w:val="en_US" w:bidi="en_US"/>
        </w:rPr>
        <w:t>See, for example, Roland K. Harrison, “Sycamine Tree,” in ISBE, Volume 4, p. 674.</w:t>
      </w:r>
      <w:r>
        <w:rPr>
          <w:lang w:val="en_US" w:bidi="en_US"/>
        </w:rPr>
        <w:t xml:space="preserve"> which grows 8–10 meters (25–30 feet) tall.</w:t>
      </w:r>
      <w:r>
        <w:rPr>
          <w:lang w:val="en_US" w:bidi="en_US"/>
        </w:rPr>
        <w:t xml:space="preserve">“Plants of the Bible,” in Nelson’s </w:t>
      </w:r>
      <w:r>
        <w:rPr>
          <w:i/>
          <w:lang w:val="en_US" w:bidi="en_US"/>
        </w:rPr>
        <w:t>New Illustrated Bible Dictionary</w:t>
      </w:r>
      <w:r>
        <w:rPr>
          <w:lang w:val="en_US" w:bidi="en_US"/>
        </w:rPr>
        <w:t>, ed. Ronald F. Youngblood, p. 1006.</w:t>
      </w:r>
      <w:r>
        <w:rPr>
          <w:lang w:val="en_US" w:bidi="en_US"/>
        </w:rPr>
        <w:t xml:space="preserve"> It produces small berries that can be eaten.</w:t>
      </w:r>
    </w:p>
    <w:p>
      <w:pPr/>
      <w:r>
        <w:rPr>
          <w:lang w:val="en_US" w:bidi="en_US"/>
        </w:rPr>
      </w:r>
      <w:r>
        <w:rPr>
          <w:lang w:val="en_US" w:bidi="en_US"/>
        </w:rPr>
        <w:t>In some languages there may be no term for this kind of tree. If that is true in your language, some ways to translate it are:</w:t>
      </w:r>
    </w:p>
    <w:p>
      <w:pPr>
        <w:pStyle w:val="ListBullet"/>
        <w:spacing w:line="240" w:lineRule="auto"/>
        <w:ind w:left="720"/>
      </w:pPr>
      <w:r>
        <w:rPr>
          <w:lang w:val="en_US" w:bidi="en_US"/>
        </w:rPr>
      </w:r>
      <w:r>
        <w:rPr>
          <w:lang w:val="en_US" w:bidi="en_US"/>
        </w:rPr>
        <w:t>Use a more general description. For example:</w:t>
      </w:r>
      <w:r>
        <w:rPr>
          <w:lang w:val="en_US" w:bidi="en_US"/>
        </w:rPr>
        <w:t xml:space="preserve">this </w:t>
      </w:r>
      <w:r>
        <w:rPr>
          <w:lang w:val="en_US" w:bidi="en_US"/>
        </w:rPr>
        <w:t>large</w:t>
      </w:r>
      <w:r>
        <w:rPr>
          <w:lang w:val="en_US" w:bidi="en_US"/>
        </w:rPr>
        <w:t xml:space="preserve"> tree</w:t>
      </w:r>
      <w:r>
        <w:rPr>
          <w:lang w:val="en_US" w:bidi="en_US"/>
        </w:rPr>
        <w:t>this big-rooted tree</w:t>
      </w:r>
    </w:p>
    <w:p>
      <w:pPr>
        <w:pStyle w:val="ListBullet"/>
        <w:spacing w:line="240" w:lineRule="auto"/>
        <w:ind w:left="720"/>
      </w:pPr>
      <w:r>
        <w:rPr>
          <w:lang w:val="en_US" w:bidi="en_US"/>
        </w:rPr>
      </w:r>
      <w:r>
        <w:rPr>
          <w:lang w:val="en_US" w:bidi="en_US"/>
        </w:rPr>
        <w:t xml:space="preserve">Transliterate the term </w:t>
      </w:r>
      <w:r>
        <w:rPr>
          <w:i/>
          <w:lang w:val="en_US" w:bidi="en_US"/>
        </w:rPr>
        <w:t>mulberry</w:t>
      </w:r>
      <w:r>
        <w:rPr>
          <w:lang w:val="en_US" w:bidi="en_US"/>
        </w:rPr>
        <w:t xml:space="preserve"> and indicate that it is large or has many roots. For example:</w:t>
      </w:r>
      <w:r>
        <w:rPr>
          <w:lang w:val="en_US" w:bidi="en_US"/>
        </w:rPr>
        <w:t xml:space="preserve">this mulberi tree </w:t>
      </w:r>
      <w:r>
        <w:rPr>
          <w:lang w:val="en_US" w:bidi="en_US"/>
        </w:rPr>
        <w:t>that has so many roots</w:t>
      </w:r>
    </w:p>
    <w:p>
      <w:pPr/>
      <w:r>
        <w:rPr>
          <w:lang w:val="en_US" w:bidi="en_US"/>
        </w:rPr>
      </w:r>
      <w:r>
        <w:rPr>
          <w:lang w:val="en_US" w:bidi="en_US"/>
        </w:rPr>
        <w:t>Since Jesus was referring to a specific tree that was growing near him, it is best not to substitute a different tree. Notice also that Jesus was not referring to a mustard tree here.</w:t>
      </w:r>
    </w:p>
    <w:p>
      <w:pPr>
        <w:pStyle w:val="Heading5"/>
      </w:pPr>
      <w:r>
        <w:rPr>
          <w:lang w:val="en_US" w:bidi="en_US"/>
        </w:rPr>
        <w:t>17:6c</w:t>
      </w:r>
    </w:p>
    <w:p>
      <w:pPr/>
      <w:r>
        <w:rPr>
          <w:lang w:val="en_US" w:bidi="en_US"/>
        </w:rPr>
      </w:r>
      <w:r>
        <w:rPr>
          <w:b/>
          <w:lang w:val="en_US" w:bidi="en_US"/>
        </w:rPr>
        <w:t>‘Be uprooted and planted in the sea,’</w:t>
      </w:r>
    </w:p>
    <w:p>
      <w:pPr>
        <w:pStyle w:val="ListBullet"/>
        <w:spacing w:line="240" w:lineRule="auto"/>
        <w:ind w:left="720"/>
      </w:pPr>
      <w:r>
        <w:rPr>
          <w:lang w:val="en_US" w:bidi="en_US"/>
        </w:rPr>
      </w:r>
      <w:r>
        <w:rPr>
          <w:lang w:val="en_US" w:bidi="en_US"/>
        </w:rPr>
        <w:t>‘Leave</w:t>
      </w:r>
      <w:r>
        <w:rPr>
          <w:vertAlign w:val="superscript"/>
          <w:lang w:val="en_US" w:bidi="en_US"/>
        </w:rPr>
        <w:t>(sing)</w:t>
      </w:r>
      <w:r>
        <w:rPr>
          <w:lang w:val="en_US" w:bidi="en_US"/>
        </w:rPr>
        <w:t xml:space="preserve"> this place and plant yourself in the sea,’</w:t>
      </w:r>
    </w:p>
    <w:p>
      <w:pPr>
        <w:pStyle w:val="ListBullet"/>
        <w:spacing w:line="240" w:lineRule="auto"/>
        <w:ind w:left="720"/>
      </w:pPr>
      <w:r>
        <w:rPr>
          <w:lang w:val="en_US" w:bidi="en_US"/>
        </w:rPr>
      </w:r>
      <w:r>
        <w:rPr>
          <w:lang w:val="en_US" w:bidi="en_US"/>
        </w:rPr>
        <w:t>‘Pull</w:t>
      </w:r>
      <w:r>
        <w:rPr>
          <w:vertAlign w:val="superscript"/>
          <w:lang w:val="en_US" w:bidi="en_US"/>
        </w:rPr>
        <w:t>(sing)</w:t>
      </w:r>
      <w:r>
        <w:rPr>
          <w:lang w:val="en_US" w:bidi="en_US"/>
        </w:rPr>
        <w:t xml:space="preserve"> yourself up from the ground here and go and plant yourself in the sea/lake,’</w:t>
      </w:r>
    </w:p>
    <w:p>
      <w:pPr>
        <w:pStyle w:val="ListBullet"/>
        <w:spacing w:line="240" w:lineRule="auto"/>
        <w:ind w:left="720"/>
      </w:pPr>
      <w:r>
        <w:rPr>
          <w:lang w:val="en_US" w:bidi="en_US"/>
        </w:rPr>
      </w:r>
      <w:r>
        <w:rPr>
          <w:lang w:val="en_US" w:bidi="en_US"/>
        </w:rPr>
        <w:t xml:space="preserve">to uproot/remove itself and </w:t>
      </w:r>
      <w:r>
        <w:rPr>
          <w:lang w:val="en_US" w:bidi="en_US"/>
        </w:rPr>
        <w:t>go</w:t>
      </w:r>
      <w:r>
        <w:rPr>
          <w:lang w:val="en_US" w:bidi="en_US"/>
        </w:rPr>
        <w:t xml:space="preserve"> plant itself in the sea,</w:t>
      </w:r>
    </w:p>
    <w:p>
      <w:pPr/>
      <w:r>
        <w:rPr>
          <w:lang w:val="en_US" w:bidi="en_US"/>
        </w:rPr>
      </w:r>
      <w:r>
        <w:rPr>
          <w:b/>
          <w:lang w:val="en_US" w:bidi="en_US"/>
        </w:rPr>
        <w:t>Be uprooted and planted:</w:t>
      </w:r>
      <w:r>
        <w:rPr>
          <w:lang w:val="en_US" w:bidi="en_US"/>
        </w:rPr>
        <w:t xml:space="preserve"> The verbs </w:t>
      </w:r>
      <w:r>
        <w:rPr>
          <w:i/>
          <w:lang w:val="en_US" w:bidi="en_US"/>
        </w:rPr>
        <w:t>Be uprooted</w:t>
      </w:r>
      <w:r>
        <w:rPr>
          <w:lang w:val="en_US" w:bidi="en_US"/>
        </w:rPr>
        <w:t xml:space="preserve"> and </w:t>
      </w:r>
      <w:r>
        <w:rPr>
          <w:i/>
          <w:lang w:val="en_US" w:bidi="en_US"/>
        </w:rPr>
        <w:t>planted</w:t>
      </w:r>
      <w:r>
        <w:rPr>
          <w:lang w:val="en_US" w:bidi="en_US"/>
        </w:rPr>
        <w:t xml:space="preserve"> are commands to the tree to do something to itself. In Greek the forms are passive, but the tree will do the action to itself. Describe this in a natural way in your language. Some other ways to translate it in English are:</w:t>
      </w:r>
    </w:p>
    <w:p>
      <w:pPr/>
      <w:r>
        <w:rPr>
          <w:lang w:val="en_US" w:bidi="en_US"/>
        </w:rPr>
      </w:r>
      <w:r>
        <w:rPr>
          <w:lang w:val="en_US" w:bidi="en_US"/>
        </w:rPr>
        <w:t>dig yourself up and plant yourself in the sea</w:t>
      </w:r>
    </w:p>
    <w:p>
      <w:pPr/>
      <w:r>
        <w:rPr>
          <w:lang w:val="en_US" w:bidi="en_US"/>
        </w:rPr>
      </w:r>
      <w:r>
        <w:rPr>
          <w:lang w:val="en_US" w:bidi="en_US"/>
        </w:rPr>
        <w:t xml:space="preserve">pull out your roots and </w:t>
      </w:r>
      <w:r>
        <w:rPr>
          <w:lang w:val="en_US" w:bidi="en_US"/>
        </w:rPr>
        <w:t>go</w:t>
      </w:r>
      <w:r>
        <w:rPr>
          <w:lang w:val="en_US" w:bidi="en_US"/>
        </w:rPr>
        <w:t xml:space="preserve"> be planted in the sea</w:t>
      </w:r>
    </w:p>
    <w:p>
      <w:pPr/>
      <w:r>
        <w:rPr>
          <w:lang w:val="en_US" w:bidi="en_US"/>
        </w:rPr>
      </w:r>
      <w:r>
        <w:rPr>
          <w:lang w:val="en_US" w:bidi="en_US"/>
        </w:rPr>
        <w:t>pull yourself out of the ground, and enter the sea and plant yourself</w:t>
      </w:r>
    </w:p>
    <w:p>
      <w:pPr>
        <w:pStyle w:val="Heading5"/>
      </w:pPr>
      <w:r>
        <w:rPr>
          <w:lang w:val="en_US" w:bidi="en_US"/>
        </w:rPr>
        <w:t>17:6d</w:t>
      </w:r>
    </w:p>
    <w:p>
      <w:pPr/>
      <w:r>
        <w:rPr>
          <w:lang w:val="en_US" w:bidi="en_US"/>
        </w:rPr>
      </w:r>
      <w:r>
        <w:rPr>
          <w:b/>
          <w:lang w:val="en_US" w:bidi="en_US"/>
        </w:rPr>
        <w:t>and it will obey you.</w:t>
      </w:r>
    </w:p>
    <w:p>
      <w:pPr>
        <w:pStyle w:val="ListBullet"/>
        <w:spacing w:line="240" w:lineRule="auto"/>
        <w:ind w:left="720"/>
      </w:pPr>
      <w:r>
        <w:rPr>
          <w:lang w:val="en_US" w:bidi="en_US"/>
        </w:rPr>
      </w:r>
      <w:r>
        <w:rPr>
          <w:lang w:val="en_US" w:bidi="en_US"/>
        </w:rPr>
        <w:t>and it would obey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and it would do what you</w:t>
      </w:r>
      <w:r>
        <w:rPr>
          <w:vertAlign w:val="superscript"/>
          <w:lang w:val="en_US" w:bidi="en_US"/>
        </w:rPr>
        <w:t>(plur)</w:t>
      </w:r>
      <w:r>
        <w:rPr>
          <w:lang w:val="en_US" w:bidi="en_US"/>
        </w:rPr>
        <w:t xml:space="preserve"> said.”</w:t>
      </w:r>
    </w:p>
    <w:p>
      <w:pPr/>
      <w:r>
        <w:rPr>
          <w:lang w:val="en_US" w:bidi="en_US"/>
        </w:rPr>
      </w:r>
      <w:r>
        <w:rPr>
          <w:b/>
          <w:lang w:val="en_US" w:bidi="en_US"/>
        </w:rPr>
        <w:t>obey you:</w:t>
      </w:r>
      <w:r>
        <w:rPr>
          <w:lang w:val="en_US" w:bidi="en_US"/>
        </w:rPr>
        <w:t xml:space="preserve"> The phrase </w:t>
      </w:r>
      <w:r>
        <w:rPr>
          <w:i/>
          <w:lang w:val="en_US" w:bidi="en_US"/>
        </w:rPr>
        <w:t>obey you</w:t>
      </w:r>
      <w:r>
        <w:rPr>
          <w:lang w:val="en_US" w:bidi="en_US"/>
        </w:rPr>
        <w:t xml:space="preserve"> means that the tree would do what you told it to do. If it is impossible in your language to describe a tree as doing something or obeying someone, you could say:</w:t>
      </w:r>
    </w:p>
    <w:p>
      <w:pPr/>
      <w:r>
        <w:rPr>
          <w:lang w:val="en_US" w:bidi="en_US"/>
        </w:rPr>
      </w:r>
      <w:r>
        <w:rPr>
          <w:lang w:val="en_US" w:bidi="en_US"/>
        </w:rPr>
        <w:t>and what you</w:t>
      </w:r>
      <w:r>
        <w:rPr>
          <w:vertAlign w:val="superscript"/>
          <w:lang w:val="en_US" w:bidi="en_US"/>
        </w:rPr>
        <w:t>(plur)</w:t>
      </w:r>
      <w:r>
        <w:rPr>
          <w:lang w:val="en_US" w:bidi="en_US"/>
        </w:rPr>
        <w:t xml:space="preserve"> say will happen</w:t>
      </w:r>
      <w:r>
        <w:rPr>
          <w:lang w:val="en_US" w:bidi="en_US"/>
        </w:rPr>
      </w:r>
      <w:r>
        <w:rPr>
          <w:lang w:val="en_US" w:bidi="en_US"/>
        </w:rPr>
      </w:r>
    </w:p>
    <w:p>
      <w:pPr/>
      <w:r>
        <w:rPr>
          <w:lang w:val="en_US" w:bidi="en_US"/>
        </w:rPr>
      </w:r>
    </w:p>
    <w:p>
      <w:pPr>
        <w:pStyle w:val="Heading2"/>
      </w:pPr>
      <w:r>
        <w:rPr>
          <w:lang w:val="en_US" w:bidi="en_US"/>
        </w:rPr>
        <w:t>Luke 17:7</w:t>
      </w:r>
      <w:r>
        <w:rPr>
          <w:lang w:val="en_US" w:bidi="en_US"/>
        </w:rPr>
      </w:r>
    </w:p>
    <w:p>
      <w:pPr>
        <w:pStyle w:val="Heading4"/>
      </w:pPr>
      <w:r>
        <w:rPr>
          <w:lang w:val="en_US" w:bidi="en_US"/>
        </w:rPr>
        <w:t>Section 17:1–10: Jesus taught his disciples about sin, faith, and duty</w:t>
      </w:r>
    </w:p>
    <w:p>
      <w:pPr/>
      <w:r>
        <w:rPr>
          <w:lang w:val="en_US" w:bidi="en_US"/>
        </w:rPr>
      </w:r>
      <w:r>
        <w:rPr>
          <w:lang w:val="en_US" w:bidi="en_US"/>
        </w:rPr>
        <w:t>At the end of chapter 16, Jesus was speaking to the Pharisees. He concluded his parable about Lazarus and the rich man. Here in 17:1–10, he spoke to his disciples and taught them about several issues.</w:t>
      </w:r>
      <w:r>
        <w:rPr>
          <w:lang w:val="en_US" w:bidi="en_US"/>
        </w:rPr>
        <w:t>Scholars have different opinions about whether the teachings in this section are thematically related to Jesus’ teachings in chapter 16. Some scholars say that the teachings in the two chapters are not connected. Other scholars do see a broad connection. Green says, “Especially due to its location adjacent to prior accounts of Jesus’ interaction with Pharisees, this pericope recapitulates Jesus’ message to his followers: They are not to be like the Pharisees!” (p. 611). Liefeld says that “it is also possible to see a logical connection between the end of chapter 16 and the beginning of chapter 17, if we understand ‘the things that cause people to sin’ to be the sins of the Pharisees, such as those mentioned in 16:14.” Scholars also disagree about whether the paragraphs in this section are related to each other. About this, Liefeld says that “there is a common unifying theme of attitudes in the Christian community” (p. 994). Morris also mentions this possible connection: “The connecting link here may be the attitude of the religious leaders. They were in danger of using their wealth wrongly, and they were also in danger of leading their lesser brethren astray—temptations that would confront his disciples as well as people like the Pharisees” (p. 279). Nolland (p. 835) says, “Luke seems to have cobbled a unity together here of three separate blocks of tradition (verses 1–2, 3–4, 5–6). The catchword link “into/in the sea” from verse 2 to verse 6 helps to give a formal unity to the piece, and it is likely that he intends the blocks so juxtaposed, to mutually qualify the meaning of one another.” He also says, “As he opens this new section (17:1–19) Luke has brought together three blocks of tradition to form a unit about the adequacy, despite all human frailty, of even the most meager of kingdom faiths for the radical challenge of Jesus’ teaching” (p. 839).</w:t>
      </w:r>
    </w:p>
    <w:p>
      <w:pPr/>
      <w:r>
        <w:rPr>
          <w:lang w:val="en_US" w:bidi="en_US"/>
        </w:rPr>
      </w:r>
      <w:r>
        <w:rPr>
          <w:lang w:val="en_US" w:bidi="en_US"/>
        </w:rPr>
        <w:t>English versions divide these verses into sections in different ways. For example:</w:t>
      </w:r>
    </w:p>
    <w:p>
      <w:pPr>
        <w:pStyle w:val="ListNumber"/>
        <w:numPr>
          <w:ilvl w:val="0"/>
          <w:numId w:val="285"/>
        </w:numPr>
        <w:spacing w:line="240" w:lineRule="auto"/>
        <w:ind w:left="720"/>
      </w:pPr>
      <w:r>
        <w:rPr>
          <w:lang w:val="en_US" w:bidi="en_US"/>
        </w:rPr>
      </w:r>
      <w:r>
        <w:rPr>
          <w:lang w:val="en_US" w:bidi="en_US"/>
        </w:rPr>
        <w:t>Most versions put 17:1–10 together in one section and have one heading. (The Notes follow these versions.)</w:t>
      </w:r>
    </w:p>
    <w:p>
      <w:pPr>
        <w:pStyle w:val="ListNumber"/>
        <w:spacing w:line="240" w:lineRule="auto"/>
        <w:ind w:left="720"/>
      </w:pPr>
      <w:r>
        <w:rPr>
          <w:lang w:val="en_US" w:bidi="en_US"/>
        </w:rPr>
      </w:r>
      <w:r>
        <w:rPr>
          <w:lang w:val="en_US" w:bidi="en_US"/>
        </w:rPr>
        <w:t>Some versions divide 17:1–10 into three sections with a heading for each one. For example, the GNT has: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17:1–4</w:t>
            </w:r>
          </w:p>
        </w:tc>
        <w:tc>
          <w:tcPr>
            <w:tcW w:type="dxa" w:w="4680"/>
          </w:tcPr>
          <w:p>
            <w:pPr/>
            <w:r>
              <w:rPr>
                <w:lang w:val="en_US" w:bidi="en_US"/>
              </w:rPr>
            </w:r>
            <w:r>
              <w:rPr>
                <w:lang w:val="en_US" w:bidi="en_US"/>
              </w:rPr>
              <w:t>Sin</w:t>
            </w:r>
          </w:p>
        </w:tc>
      </w:tr>
      <w:tr>
        <w:tc>
          <w:tcPr>
            <w:tcW w:type="dxa" w:w="4680"/>
          </w:tcPr>
          <w:p>
            <w:pPr/>
            <w:r>
              <w:rPr>
                <w:lang w:val="en_US" w:bidi="en_US"/>
              </w:rPr>
            </w:r>
            <w:r>
              <w:rPr>
                <w:lang w:val="en_US" w:bidi="en_US"/>
              </w:rPr>
              <w:t>17:5–6</w:t>
            </w:r>
          </w:p>
        </w:tc>
        <w:tc>
          <w:tcPr>
            <w:tcW w:type="dxa" w:w="4680"/>
          </w:tcPr>
          <w:p>
            <w:pPr/>
            <w:r>
              <w:rPr>
                <w:lang w:val="en_US" w:bidi="en_US"/>
              </w:rPr>
            </w:r>
            <w:r>
              <w:rPr>
                <w:lang w:val="en_US" w:bidi="en_US"/>
              </w:rPr>
              <w:t>Faith</w:t>
            </w:r>
          </w:p>
        </w:tc>
      </w:tr>
      <w:tr>
        <w:tc>
          <w:tcPr>
            <w:tcW w:type="dxa" w:w="4680"/>
          </w:tcPr>
          <w:p>
            <w:pPr/>
            <w:r>
              <w:rPr>
                <w:lang w:val="en_US" w:bidi="en_US"/>
              </w:rPr>
            </w:r>
            <w:r>
              <w:rPr>
                <w:lang w:val="en_US" w:bidi="en_US"/>
              </w:rPr>
              <w:t>17:7–10</w:t>
            </w:r>
          </w:p>
        </w:tc>
        <w:tc>
          <w:tcPr>
            <w:tcW w:type="dxa" w:w="4680"/>
          </w:tcPr>
          <w:p>
            <w:pPr/>
            <w:r>
              <w:rPr>
                <w:lang w:val="en_US" w:bidi="en_US"/>
              </w:rPr>
            </w:r>
            <w:r>
              <w:rPr>
                <w:lang w:val="en_US" w:bidi="en_US"/>
              </w:rPr>
              <w:t>A servant’s duty</w:t>
            </w:r>
          </w:p>
        </w:tc>
      </w:tr>
    </w:tbl>
    <w:p>
      <w:pPr/>
      <w:r>
        <w:rPr>
          <w:lang w:val="en_US" w:bidi="en_US"/>
        </w:rPr>
      </w:r>
      <w:r>
        <w:rPr>
          <w:lang w:val="en_US" w:bidi="en_US"/>
        </w:rPr>
        <w:t>Some other possible headings for this section are:</w:t>
      </w:r>
    </w:p>
    <w:p>
      <w:pPr/>
      <w:r>
        <w:rPr>
          <w:lang w:val="en_US" w:bidi="en_US"/>
        </w:rPr>
      </w:r>
      <w:r>
        <w:rPr>
          <w:lang w:val="en_US" w:bidi="en_US"/>
        </w:rPr>
        <w:t>Jesus taught his disciples to not cause others to sin, to forgive others, and to serve him humbly</w:t>
      </w:r>
    </w:p>
    <w:p>
      <w:pPr/>
      <w:r>
        <w:rPr>
          <w:lang w:val="en_US" w:bidi="en_US"/>
        </w:rPr>
      </w:r>
      <w:r>
        <w:rPr>
          <w:lang w:val="en_US" w:bidi="en_US"/>
        </w:rPr>
        <w:t>Teachings about Forgiveness and Faith (NLT)</w:t>
      </w:r>
    </w:p>
    <w:p>
      <w:pPr/>
      <w:r>
        <w:rPr>
          <w:lang w:val="en_US" w:bidi="en_US"/>
        </w:rPr>
      </w:r>
      <w:r>
        <w:rPr>
          <w:lang w:val="en_US" w:bidi="en_US"/>
        </w:rPr>
        <w:t>Sin, Forgiveness, Faith, and Service (NET)</w:t>
      </w:r>
    </w:p>
    <w:p>
      <w:pPr/>
      <w:r>
        <w:rPr>
          <w:lang w:val="en_US" w:bidi="en_US"/>
        </w:rPr>
      </w:r>
      <w:r>
        <w:rPr>
          <w:lang w:val="en_US" w:bidi="en_US"/>
        </w:rPr>
        <w:t>There are parallel passages for this section in Matthew 18:6–7 and 18:15 and in Mark 9:42. However, Jesus may have spoken these passages in a different context from the one in this section.</w:t>
      </w:r>
    </w:p>
    <w:p>
      <w:pPr>
        <w:pStyle w:val="Heading4"/>
      </w:pPr>
      <w:r>
        <w:rPr>
          <w:lang w:val="en_US" w:bidi="en_US"/>
        </w:rPr>
        <w:t>Paragraph 17:7–10</w:t>
      </w:r>
    </w:p>
    <w:p>
      <w:pPr/>
      <w:r>
        <w:rPr>
          <w:lang w:val="en_US" w:bidi="en_US"/>
        </w:rPr>
      </w:r>
      <w:r>
        <w:rPr>
          <w:lang w:val="en_US" w:bidi="en_US"/>
        </w:rPr>
        <w:t>In this paragraph, Jesus told a parable to illustrate the attitude that he wanted his disciples to have. Just as a slave must serve his master, a disciple must serve God, his master. That is his duty. He should obey God without thinking that God should reward him in any special way.</w:t>
      </w:r>
    </w:p>
    <w:p>
      <w:pPr>
        <w:pStyle w:val="Heading5"/>
      </w:pPr>
      <w:r>
        <w:rPr>
          <w:lang w:val="en_US" w:bidi="en_US"/>
        </w:rPr>
        <w:t>17:7</w:t>
      </w:r>
    </w:p>
    <w:p>
      <w:pPr/>
      <w:r>
        <w:rPr>
          <w:lang w:val="en_US" w:bidi="en_US"/>
        </w:rPr>
      </w:r>
      <w:r>
        <w:rPr>
          <w:lang w:val="en_US" w:bidi="en_US"/>
        </w:rPr>
        <w:t>In the Greek text, as in the BSB, 17:7 is one long, rhetorical question. It could be translated as a statement and a rhetorical question. For example:</w:t>
      </w:r>
    </w:p>
    <w:p>
      <w:pPr/>
      <w:r>
        <w:rPr>
          <w:lang w:val="en_US" w:bidi="en_US"/>
        </w:rPr>
      </w:r>
      <w:r>
        <w:rPr>
          <w:lang w:val="en_US" w:bidi="en_US"/>
        </w:rPr>
        <w:t>Suppose one of you has a servant plowing or looking after the sheep. Will he say to the servant when he comes in from the field, ‘Come along now and sit down to eat’? (NIV)</w:t>
      </w:r>
    </w:p>
    <w:p>
      <w:pPr/>
      <w:r>
        <w:rPr>
          <w:lang w:val="en_US" w:bidi="en_US"/>
        </w:rPr>
      </w:r>
      <w:r>
        <w:rPr>
          <w:lang w:val="en_US" w:bidi="en_US"/>
        </w:rPr>
        <w:t>In some languages, it may be helpful to use even shorter sentences. For example:</w:t>
      </w:r>
    </w:p>
    <w:p>
      <w:pPr/>
      <w:r>
        <w:rPr>
          <w:lang w:val="en_US" w:bidi="en_US"/>
        </w:rPr>
      </w:r>
      <w:r>
        <w:rPr>
          <w:vertAlign w:val="superscript"/>
          <w:lang w:val="en_US" w:bidi="en_US"/>
        </w:rPr>
        <w:t>7a</w:t>
      </w:r>
      <w:r>
        <w:rPr>
          <w:lang w:val="en_US" w:bidi="en_US"/>
        </w:rPr>
        <w:t xml:space="preserve">Suppose one of you had a servant. </w:t>
      </w:r>
      <w:r>
        <w:rPr>
          <w:lang w:val="en_US" w:bidi="en_US"/>
        </w:rPr>
        <w:t>All day</w:t>
      </w:r>
      <w:r>
        <w:rPr>
          <w:lang w:val="en_US" w:bidi="en_US"/>
        </w:rPr>
        <w:t xml:space="preserve"> this servant plows the soil or looks after the sheep. Then he comes back to the house. </w:t>
      </w:r>
      <w:r>
        <w:rPr>
          <w:vertAlign w:val="superscript"/>
          <w:lang w:val="en_US" w:bidi="en_US"/>
        </w:rPr>
        <w:t>7b</w:t>
      </w:r>
      <w:r>
        <w:rPr>
          <w:lang w:val="en_US" w:bidi="en_US"/>
        </w:rPr>
        <w:t xml:space="preserve">Will you say to him, </w:t>
      </w:r>
      <w:r>
        <w:rPr>
          <w:vertAlign w:val="superscript"/>
          <w:lang w:val="en_US" w:bidi="en_US"/>
        </w:rPr>
        <w:t>7c</w:t>
      </w:r>
      <w:r>
        <w:rPr>
          <w:lang w:val="en_US" w:bidi="en_US"/>
        </w:rPr>
        <w:t>“Now come and sit down to eat?”</w:t>
      </w:r>
    </w:p>
    <w:p>
      <w:pPr>
        <w:pStyle w:val="Heading5"/>
      </w:pPr>
      <w:r>
        <w:rPr>
          <w:lang w:val="en_US" w:bidi="en_US"/>
        </w:rPr>
        <w:t>17:7a</w:t>
      </w:r>
    </w:p>
    <w:p>
      <w:pPr/>
      <w:r>
        <w:rPr>
          <w:lang w:val="en_US" w:bidi="en_US"/>
        </w:rPr>
      </w:r>
      <w:r>
        <w:rPr>
          <w:b/>
          <w:lang w:val="en_US" w:bidi="en_US"/>
        </w:rPr>
        <w:t>Which of you whose servant comes in from plowing or shepherding in the field</w:t>
      </w:r>
    </w:p>
    <w:p>
      <w:pPr>
        <w:pStyle w:val="ListBullet"/>
        <w:spacing w:line="240" w:lineRule="auto"/>
        <w:ind w:left="720"/>
      </w:pPr>
      <w:r>
        <w:rPr>
          <w:lang w:val="en_US" w:bidi="en_US"/>
        </w:rPr>
      </w:r>
      <w:r>
        <w:rPr>
          <w:lang w:val="en_US" w:bidi="en_US"/>
        </w:rPr>
        <w:t>¶ “If one of you</w:t>
      </w:r>
      <w:r>
        <w:rPr>
          <w:vertAlign w:val="superscript"/>
          <w:lang w:val="en_US" w:bidi="en_US"/>
        </w:rPr>
        <w:t>(plur)</w:t>
      </w:r>
      <w:r>
        <w:rPr>
          <w:lang w:val="en_US" w:bidi="en_US"/>
        </w:rPr>
        <w:t xml:space="preserve"> had a servant who plowed </w:t>
      </w:r>
      <w:r>
        <w:rPr>
          <w:lang w:val="en_US" w:bidi="en_US"/>
        </w:rPr>
        <w:t>for you</w:t>
      </w:r>
      <w:r>
        <w:rPr>
          <w:lang w:val="en_US" w:bidi="en_US"/>
        </w:rPr>
        <w:t xml:space="preserve"> or watched </w:t>
      </w:r>
      <w:r>
        <w:rPr>
          <w:lang w:val="en_US" w:bidi="en_US"/>
        </w:rPr>
        <w:t>your</w:t>
      </w:r>
      <w:r>
        <w:rPr>
          <w:lang w:val="en_US" w:bidi="en_US"/>
        </w:rPr>
        <w:t xml:space="preserve"> sheep, when he came in from the field,</w:t>
      </w:r>
    </w:p>
    <w:p>
      <w:pPr>
        <w:pStyle w:val="ListBullet"/>
        <w:spacing w:line="240" w:lineRule="auto"/>
        <w:ind w:left="720"/>
      </w:pPr>
      <w:r>
        <w:rPr>
          <w:lang w:val="en_US" w:bidi="en_US"/>
        </w:rPr>
      </w:r>
      <w:r>
        <w:rPr>
          <w:lang w:val="en_US" w:bidi="en_US"/>
        </w:rPr>
        <w:t>¶ “</w:t>
      </w:r>
      <w:r>
        <w:rPr>
          <w:lang w:val="en_US" w:bidi="en_US"/>
        </w:rPr>
        <w:t>Think about</w:t>
      </w:r>
      <w:r>
        <w:rPr>
          <w:lang w:val="en_US" w:bidi="en_US"/>
        </w:rPr>
        <w:t xml:space="preserve"> what you</w:t>
      </w:r>
      <w:r>
        <w:rPr>
          <w:vertAlign w:val="superscript"/>
          <w:lang w:val="en_US" w:bidi="en_US"/>
        </w:rPr>
        <w:t>(plur)</w:t>
      </w:r>
      <w:r>
        <w:rPr>
          <w:lang w:val="en_US" w:bidi="en_US"/>
        </w:rPr>
        <w:t xml:space="preserve"> would do if you had a servant/slave to plow </w:t>
      </w:r>
      <w:r>
        <w:rPr>
          <w:lang w:val="en_US" w:bidi="en_US"/>
        </w:rPr>
        <w:t>a field</w:t>
      </w:r>
      <w:r>
        <w:rPr>
          <w:lang w:val="en_US" w:bidi="en_US"/>
        </w:rPr>
        <w:t xml:space="preserve"> or care for </w:t>
      </w:r>
      <w:r>
        <w:rPr>
          <w:lang w:val="en_US" w:bidi="en_US"/>
        </w:rPr>
        <w:t>your</w:t>
      </w:r>
      <w:r>
        <w:rPr>
          <w:lang w:val="en_US" w:bidi="en_US"/>
        </w:rPr>
        <w:t xml:space="preserve"> sheep. When that servant returned from </w:t>
      </w:r>
      <w:r>
        <w:rPr>
          <w:lang w:val="en_US" w:bidi="en_US"/>
        </w:rPr>
        <w:t>plowing or caring for the sheep</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“If/After a servant has been plowing </w:t>
      </w:r>
      <w:r>
        <w:rPr>
          <w:lang w:val="en_US" w:bidi="en_US"/>
        </w:rPr>
        <w:t>his master’s field</w:t>
      </w:r>
      <w:r>
        <w:rPr>
          <w:lang w:val="en_US" w:bidi="en_US"/>
        </w:rPr>
        <w:t xml:space="preserve"> or tending his sheep </w:t>
      </w:r>
      <w:r>
        <w:rPr>
          <w:lang w:val="en_US" w:bidi="en_US"/>
        </w:rPr>
        <w:t>all day</w:t>
      </w:r>
      <w:r>
        <w:rPr>
          <w:lang w:val="en_US" w:bidi="en_US"/>
        </w:rPr>
        <w:t xml:space="preserve">, and the servant returns </w:t>
      </w:r>
      <w:r>
        <w:rPr>
          <w:lang w:val="en_US" w:bidi="en_US"/>
        </w:rPr>
        <w:t>to the house</w:t>
      </w:r>
      <w:r>
        <w:rPr>
          <w:lang w:val="en_US" w:bidi="en_US"/>
        </w:rPr>
        <w:t xml:space="preserve"> in the evening,</w:t>
      </w:r>
    </w:p>
    <w:p>
      <w:pPr>
        <w:pStyle w:val="Heading5"/>
      </w:pPr>
      <w:r>
        <w:rPr>
          <w:lang w:val="en_US" w:bidi="en_US"/>
        </w:rPr>
        <w:t>17:7b</w:t>
      </w:r>
    </w:p>
    <w:p>
      <w:pPr/>
      <w:r>
        <w:rPr>
          <w:lang w:val="en_US" w:bidi="en_US"/>
        </w:rPr>
      </w:r>
      <w:r>
        <w:rPr>
          <w:b/>
          <w:lang w:val="en_US" w:bidi="en_US"/>
        </w:rPr>
        <w:t>will say to him,</w:t>
      </w:r>
    </w:p>
    <w:p>
      <w:pPr>
        <w:pStyle w:val="ListBullet"/>
        <w:spacing w:line="240" w:lineRule="auto"/>
        <w:ind w:left="720"/>
      </w:pPr>
      <w:r>
        <w:rPr>
          <w:lang w:val="en_US" w:bidi="en_US"/>
        </w:rPr>
      </w:r>
      <w:r>
        <w:rPr>
          <w:lang w:val="en_US" w:bidi="en_US"/>
        </w:rPr>
        <w:t>would you</w:t>
      </w:r>
      <w:r>
        <w:rPr>
          <w:vertAlign w:val="superscript"/>
          <w:lang w:val="en_US" w:bidi="en_US"/>
        </w:rPr>
        <w:t>(sing)</w:t>
      </w:r>
      <w:r>
        <w:rPr>
          <w:lang w:val="en_US" w:bidi="en_US"/>
        </w:rPr>
        <w:t xml:space="preserve"> say to him,</w:t>
      </w:r>
    </w:p>
    <w:p>
      <w:pPr>
        <w:pStyle w:val="ListBullet"/>
        <w:spacing w:line="240" w:lineRule="auto"/>
        <w:ind w:left="720"/>
      </w:pPr>
      <w:r>
        <w:rPr>
          <w:lang w:val="en_US" w:bidi="en_US"/>
        </w:rPr>
      </w:r>
      <w:r>
        <w:rPr>
          <w:lang w:val="en_US" w:bidi="en_US"/>
        </w:rPr>
        <w:t>would you</w:t>
      </w:r>
      <w:r>
        <w:rPr>
          <w:vertAlign w:val="superscript"/>
          <w:lang w:val="en_US" w:bidi="en_US"/>
        </w:rPr>
        <w:t>(plur)</w:t>
      </w:r>
      <w:r>
        <w:rPr>
          <w:lang w:val="en_US" w:bidi="en_US"/>
        </w:rPr>
        <w:t xml:space="preserve"> say to him,</w:t>
      </w:r>
    </w:p>
    <w:p>
      <w:pPr>
        <w:pStyle w:val="ListBullet"/>
        <w:spacing w:line="240" w:lineRule="auto"/>
        <w:ind w:left="720"/>
      </w:pPr>
      <w:r>
        <w:rPr>
          <w:lang w:val="en_US" w:bidi="en_US"/>
        </w:rPr>
      </w:r>
      <w:r>
        <w:rPr>
          <w:lang w:val="en_US" w:bidi="en_US"/>
        </w:rPr>
        <w:t>his master will never tell him</w:t>
      </w:r>
    </w:p>
    <w:p>
      <w:pPr>
        <w:pStyle w:val="Heading5"/>
      </w:pPr>
      <w:r>
        <w:rPr>
          <w:lang w:val="en_US" w:bidi="en_US"/>
        </w:rPr>
        <w:t>17:7a–b</w:t>
      </w:r>
    </w:p>
    <w:p>
      <w:pPr/>
      <w:r>
        <w:rPr>
          <w:lang w:val="en_US" w:bidi="en_US"/>
        </w:rPr>
      </w:r>
      <w:r>
        <w:rPr>
          <w:b/>
          <w:lang w:val="en_US" w:bidi="en_US"/>
        </w:rPr>
        <w:t>Which of you whose servant comes in from plowing or shepherding in the field will say to him…?:</w:t>
      </w:r>
      <w:r>
        <w:rPr>
          <w:lang w:val="en_US" w:bidi="en_US"/>
        </w:rPr>
        <w:t xml:space="preserve"> This is a rhetorical question. Jesus used this rhetorical question to emphasize that a master would </w:t>
      </w:r>
      <w:r>
        <w:rPr>
          <w:u w:val="single"/>
          <w:lang w:val="en_US" w:bidi="en_US"/>
        </w:rPr>
        <w:t>never</w:t>
      </w:r>
      <w:r>
        <w:rPr>
          <w:lang w:val="en_US" w:bidi="en_US"/>
        </w:rPr>
        <w:t xml:space="preserve"> say what follows in 17:7c. This question expects the answer, “No, no one would say that to a servant.”</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Suppose someone has a servant who is plowing fields or watching sheep. Does he tell his servant when he comes from the field…? (GW)</w:t>
      </w:r>
    </w:p>
    <w:p>
      <w:pPr>
        <w:pStyle w:val="ListBullet"/>
        <w:spacing w:line="240" w:lineRule="auto"/>
        <w:ind w:left="720"/>
      </w:pPr>
      <w:r>
        <w:rPr>
          <w:lang w:val="en_US" w:bidi="en_US"/>
        </w:rPr>
      </w:r>
      <w:r>
        <w:rPr>
          <w:lang w:val="en_US" w:bidi="en_US"/>
        </w:rPr>
        <w:t>As a statement. For example:</w:t>
      </w:r>
      <w:r>
        <w:rPr>
          <w:lang w:val="en_US" w:bidi="en_US"/>
        </w:rPr>
        <w:t>One would certainly not say to the servant when that servant comes in from plowing or shepherding in the field…</w:t>
      </w:r>
      <w:r>
        <w:rPr>
          <w:lang w:val="en_US" w:bidi="en_US"/>
        </w:rPr>
        <w:t>When the servant comes in from plowing or shepherding in the field, no master would ever say to him…</w:t>
      </w:r>
    </w:p>
    <w:p>
      <w:pPr/>
      <w:r>
        <w:rPr>
          <w:lang w:val="en_US" w:bidi="en_US"/>
        </w:rPr>
      </w:r>
      <w:r>
        <w:rPr>
          <w:lang w:val="en_US" w:bidi="en_US"/>
        </w:rPr>
        <w:t>Translate this emphasis in a way that is natural in your language.</w:t>
      </w:r>
    </w:p>
    <w:p>
      <w:pPr/>
      <w:r>
        <w:rPr>
          <w:lang w:val="en_US" w:bidi="en_US"/>
        </w:rPr>
      </w:r>
      <w:r>
        <w:rPr>
          <w:b/>
          <w:lang w:val="en_US" w:bidi="en_US"/>
        </w:rPr>
        <w:t>Which of you whose servant:</w:t>
      </w:r>
      <w:r>
        <w:rPr>
          <w:lang w:val="en_US" w:bidi="en_US"/>
        </w:rPr>
        <w:t xml:space="preserve"> In Greek this clause is literally “Who among you having a servant…?” For example:</w:t>
      </w:r>
    </w:p>
    <w:p>
      <w:pPr/>
      <w:r>
        <w:rPr>
          <w:lang w:val="en_US" w:bidi="en_US"/>
        </w:rPr>
      </w:r>
      <w:r>
        <w:rPr>
          <w:lang w:val="en_US" w:bidi="en_US"/>
        </w:rPr>
        <w:t>Will any one of you, who has a servant…? (RSV)</w:t>
      </w:r>
    </w:p>
    <w:p>
      <w:pPr/>
      <w:r>
        <w:rPr>
          <w:lang w:val="en_US" w:bidi="en_US"/>
        </w:rPr>
      </w:r>
      <w:r>
        <w:rPr>
          <w:lang w:val="en_US" w:bidi="en_US"/>
        </w:rPr>
        <w:t>Jesus used this clause to introduce his illustration. Versions such as the GW, GNT, NCV, and NIV use a clause with the word “Suppose” to introduce it. Some other ways to introduce the illustration in English are:</w:t>
      </w:r>
    </w:p>
    <w:p>
      <w:pPr/>
      <w:r>
        <w:rPr>
          <w:lang w:val="en_US" w:bidi="en_US"/>
        </w:rPr>
      </w:r>
      <w:r>
        <w:rPr>
          <w:lang w:val="en_US" w:bidi="en_US"/>
        </w:rPr>
        <w:t>If your servant (CEV)</w:t>
      </w:r>
    </w:p>
    <w:p>
      <w:pPr/>
      <w:r>
        <w:rPr>
          <w:lang w:val="en_US" w:bidi="en_US"/>
        </w:rPr>
      </w:r>
      <w:r>
        <w:rPr>
          <w:lang w:val="en_US" w:bidi="en_US"/>
        </w:rPr>
        <w:t>When a servant (NLT)</w:t>
      </w:r>
    </w:p>
    <w:p>
      <w:pPr/>
      <w:r>
        <w:rPr>
          <w:lang w:val="en_US" w:bidi="en_US"/>
        </w:rPr>
      </w:r>
      <w:r>
        <w:rPr>
          <w:lang w:val="en_US" w:bidi="en_US"/>
        </w:rPr>
        <w:t>Introduce this illustration in a way that is natural in your language.</w:t>
      </w:r>
    </w:p>
    <w:p>
      <w:pPr/>
      <w:r>
        <w:rPr>
          <w:lang w:val="en_US" w:bidi="en_US"/>
        </w:rPr>
      </w:r>
      <w:r>
        <w:rPr>
          <w:b/>
          <w:lang w:val="en_US" w:bidi="en_US"/>
        </w:rPr>
        <w:t>Which of you:</w:t>
      </w:r>
      <w:r>
        <w:rPr>
          <w:lang w:val="en_US" w:bidi="en_US"/>
        </w:rPr>
        <w:t xml:space="preserve"> The Greek phrase that the BSB translates as </w:t>
      </w:r>
      <w:r>
        <w:rPr>
          <w:i/>
          <w:lang w:val="en_US" w:bidi="en_US"/>
        </w:rPr>
        <w:t>Which of you</w:t>
      </w:r>
      <w:r>
        <w:rPr>
          <w:lang w:val="en_US" w:bidi="en_US"/>
        </w:rPr>
        <w:t xml:space="preserve"> refers to “any one of you apostles/disciples.” It is possible that Jesus was continuing his answer to his apostles’ request in 17:5. However, he was probably speaking to all his disciples, as in 17:1.</w:t>
      </w:r>
    </w:p>
    <w:p>
      <w:pPr/>
      <w:r>
        <w:rPr>
          <w:lang w:val="en_US" w:bidi="en_US"/>
        </w:rPr>
      </w:r>
      <w:r>
        <w:rPr>
          <w:lang w:val="en_US" w:bidi="en_US"/>
        </w:rPr>
        <w:t xml:space="preserve">Jesus was not implying anything about whether one of his disciples had a servant. In some languages it may be helpful to translate the phrase </w:t>
      </w:r>
      <w:r>
        <w:rPr>
          <w:i/>
          <w:lang w:val="en_US" w:bidi="en_US"/>
        </w:rPr>
        <w:t>Which of you</w:t>
      </w:r>
      <w:r>
        <w:rPr>
          <w:lang w:val="en_US" w:bidi="en_US"/>
        </w:rPr>
        <w:t xml:space="preserve"> in a more general way. For example:</w:t>
      </w:r>
    </w:p>
    <w:p>
      <w:pPr/>
      <w:r>
        <w:rPr>
          <w:lang w:val="en_US" w:bidi="en_US"/>
        </w:rPr>
      </w:r>
      <w:r>
        <w:rPr>
          <w:lang w:val="en_US" w:bidi="en_US"/>
        </w:rPr>
        <w:t xml:space="preserve">Suppose </w:t>
      </w:r>
      <w:r>
        <w:rPr>
          <w:u w:val="single"/>
          <w:lang w:val="en_US" w:bidi="en_US"/>
        </w:rPr>
        <w:t>someone</w:t>
      </w:r>
      <w:r>
        <w:rPr>
          <w:lang w:val="en_US" w:bidi="en_US"/>
        </w:rPr>
        <w:t xml:space="preserve"> has a servant (GW)</w:t>
      </w:r>
    </w:p>
    <w:p>
      <w:pPr/>
      <w:r>
        <w:rPr>
          <w:lang w:val="en_US" w:bidi="en_US"/>
        </w:rPr>
      </w:r>
      <w:r>
        <w:rPr>
          <w:b/>
          <w:lang w:val="en_US" w:bidi="en_US"/>
        </w:rPr>
        <w:t>servant:</w:t>
      </w:r>
      <w:r>
        <w:rPr>
          <w:lang w:val="en_US" w:bidi="en_US"/>
        </w:rPr>
        <w:t xml:space="preserve"> The Greek word that the BSB translates as </w:t>
      </w:r>
      <w:r>
        <w:rPr>
          <w:i/>
          <w:lang w:val="en_US" w:bidi="en_US"/>
        </w:rPr>
        <w:t>servant</w:t>
      </w:r>
      <w:r>
        <w:rPr>
          <w:lang w:val="en_US" w:bidi="en_US"/>
        </w:rPr>
        <w:t xml:space="preserve"> means “slave” (as in the NRSV). This word refers to someone who was owned by another person. He worked for his owner/master without receiving pay. He had no rights of his own (or very few rights). He could not choose to go and work for someone else.</w:t>
      </w:r>
    </w:p>
    <w:p>
      <w:pPr/>
      <w:r>
        <w:rPr>
          <w:lang w:val="en_US" w:bidi="en_US"/>
        </w:rPr>
      </w:r>
      <w:r>
        <w:rPr>
          <w:lang w:val="en_US" w:bidi="en_US"/>
        </w:rPr>
        <w:t>In some cultures, slaves may not be known. In other cultures, the word for slave may imply different customs than in biblical culture. If that is true in your language, some ways to translate this are:</w:t>
      </w:r>
    </w:p>
    <w:p>
      <w:pPr/>
      <w:r>
        <w:rPr>
          <w:lang w:val="en_US" w:bidi="en_US"/>
        </w:rPr>
      </w:r>
      <w:r>
        <w:rPr>
          <w:lang w:val="en_US" w:bidi="en_US"/>
        </w:rPr>
        <w:t>worker</w:t>
      </w:r>
    </w:p>
    <w:p>
      <w:pPr/>
      <w:r>
        <w:rPr>
          <w:lang w:val="en_US" w:bidi="en_US"/>
        </w:rPr>
      </w:r>
      <w:r>
        <w:rPr>
          <w:lang w:val="en_US" w:bidi="en_US"/>
        </w:rPr>
        <w:t>person who belonged to someone else</w:t>
      </w:r>
    </w:p>
    <w:p>
      <w:pPr/>
      <w:r>
        <w:rPr>
          <w:lang w:val="en_US" w:bidi="en_US"/>
        </w:rPr>
      </w:r>
      <w:r>
        <w:rPr>
          <w:lang w:val="en_US" w:bidi="en_US"/>
        </w:rPr>
        <w:t>owned person</w:t>
      </w:r>
    </w:p>
    <w:p>
      <w:pPr/>
      <w:r>
        <w:rPr>
          <w:lang w:val="en_US" w:bidi="en_US"/>
        </w:rPr>
      </w:r>
      <w:r>
        <w:rPr>
          <w:lang w:val="en_US" w:bidi="en_US"/>
        </w:rPr>
        <w:t>person who serves someone</w:t>
      </w:r>
    </w:p>
    <w:p>
      <w:pPr/>
      <w:r>
        <w:rPr>
          <w:lang w:val="en_US" w:bidi="en_US"/>
        </w:rPr>
      </w:r>
      <w:r>
        <w:rPr>
          <w:b/>
          <w:lang w:val="en_US" w:bidi="en_US"/>
        </w:rPr>
        <w:t>comes in from:</w:t>
      </w:r>
      <w:r>
        <w:rPr>
          <w:lang w:val="en_US" w:bidi="en_US"/>
        </w:rPr>
        <w:t xml:space="preserve"> The clause </w:t>
      </w:r>
      <w:r>
        <w:rPr>
          <w:i/>
          <w:lang w:val="en_US" w:bidi="en_US"/>
        </w:rPr>
        <w:t>comes in from</w:t>
      </w:r>
      <w:r>
        <w:rPr>
          <w:lang w:val="en_US" w:bidi="en_US"/>
        </w:rPr>
        <w:t xml:space="preserve"> indicates that after the servant worked in the field, he returned to the house at the end of the day. In some languages it may be helpful to make this explicit. For example:</w:t>
      </w:r>
    </w:p>
    <w:p>
      <w:pPr/>
      <w:r>
        <w:rPr>
          <w:lang w:val="en_US" w:bidi="en_US"/>
        </w:rPr>
      </w:r>
      <w:r>
        <w:rPr>
          <w:lang w:val="en_US" w:bidi="en_US"/>
        </w:rPr>
        <w:t xml:space="preserve">when he returns </w:t>
      </w:r>
      <w:r>
        <w:rPr>
          <w:lang w:val="en_US" w:bidi="en_US"/>
        </w:rPr>
        <w:t>after working in</w:t>
      </w:r>
      <w:r>
        <w:rPr>
          <w:lang w:val="en_US" w:bidi="en_US"/>
        </w:rPr>
        <w:t xml:space="preserve"> the fields </w:t>
      </w:r>
      <w:r>
        <w:rPr>
          <w:lang w:val="en_US" w:bidi="en_US"/>
        </w:rPr>
        <w:t>all day</w:t>
      </w:r>
    </w:p>
    <w:p>
      <w:pPr/>
      <w:r>
        <w:rPr>
          <w:lang w:val="en_US" w:bidi="en_US"/>
        </w:rPr>
      </w:r>
      <w:r>
        <w:rPr>
          <w:lang w:val="en_US" w:bidi="en_US"/>
        </w:rPr>
        <w:t>The pronoun “him” refers to the servant, not the master. In some languages it may be necessary to make this explicit:</w:t>
      </w:r>
    </w:p>
    <w:p>
      <w:pPr/>
      <w:r>
        <w:rPr>
          <w:lang w:val="en_US" w:bidi="en_US"/>
        </w:rPr>
      </w:r>
      <w:r>
        <w:rPr>
          <w:lang w:val="en_US" w:bidi="en_US"/>
        </w:rPr>
        <w:t>when his servant comes in from the field</w:t>
      </w:r>
    </w:p>
    <w:p>
      <w:pPr/>
      <w:r>
        <w:rPr>
          <w:lang w:val="en_US" w:bidi="en_US"/>
        </w:rPr>
      </w:r>
      <w:r>
        <w:rPr>
          <w:b/>
          <w:lang w:val="en_US" w:bidi="en_US"/>
        </w:rPr>
        <w:t>plowing:</w:t>
      </w:r>
      <w:r>
        <w:rPr>
          <w:lang w:val="en_US" w:bidi="en_US"/>
        </w:rPr>
        <w:t xml:space="preserve"> The word </w:t>
      </w:r>
      <w:r>
        <w:rPr>
          <w:i/>
          <w:lang w:val="en_US" w:bidi="en_US"/>
        </w:rPr>
        <w:t>plowing</w:t>
      </w:r>
      <w:r>
        <w:rPr>
          <w:lang w:val="en_US" w:bidi="en_US"/>
        </w:rPr>
        <w:t xml:space="preserve"> refers to using a tool called a plow to turn over the soil to prepare it for planting crops. A farmer often uses animals such as cows or oxen to pull the plow.</w:t>
      </w:r>
    </w:p>
    <w:p>
      <w:pPr/>
      <w:r>
        <w:rPr>
          <w:lang w:val="en_US" w:bidi="en_US"/>
        </w:rPr>
      </w:r>
      <w:r>
        <w:rPr>
          <w:lang w:val="en_US" w:bidi="en_US"/>
        </w:rPr>
        <w:t>In areas where people do not know about plowing, you may express this in a more general way. For example:</w:t>
      </w:r>
    </w:p>
    <w:p>
      <w:pPr/>
      <w:r>
        <w:rPr>
          <w:lang w:val="en_US" w:bidi="en_US"/>
        </w:rPr>
      </w:r>
      <w:r>
        <w:rPr>
          <w:lang w:val="en_US" w:bidi="en_US"/>
        </w:rPr>
        <w:t>working in the field</w:t>
      </w:r>
    </w:p>
    <w:p>
      <w:pPr/>
      <w:r>
        <w:rPr>
          <w:lang w:val="en_US" w:bidi="en_US"/>
        </w:rPr>
      </w:r>
      <w:r>
        <w:rPr>
          <w:lang w:val="en_US" w:bidi="en_US"/>
        </w:rPr>
        <w:t>cultivating</w:t>
      </w:r>
    </w:p>
    <w:p>
      <w:pPr/>
      <w:r>
        <w:rPr>
          <w:lang w:val="en_US" w:bidi="en_US"/>
        </w:rPr>
      </w:r>
      <w:r>
        <w:rPr>
          <w:lang w:val="en_US" w:bidi="en_US"/>
        </w:rPr>
        <w:t>preparing the field/soil for planting</w:t>
      </w:r>
    </w:p>
    <w:p>
      <w:pPr/>
      <w:r>
        <w:rPr>
          <w:lang w:val="en_US" w:bidi="en_US"/>
        </w:rPr>
      </w:r>
      <w:r>
        <w:rPr>
          <w:b/>
          <w:lang w:val="en_US" w:bidi="en_US"/>
        </w:rPr>
        <w:t>shepherding in the field:</w:t>
      </w:r>
      <w:r>
        <w:rPr>
          <w:lang w:val="en_US" w:bidi="en_US"/>
        </w:rPr>
        <w:t xml:space="preserve"> The Greek word that the BSB translates literally as </w:t>
      </w:r>
      <w:r>
        <w:rPr>
          <w:i/>
          <w:lang w:val="en_US" w:bidi="en_US"/>
        </w:rPr>
        <w:t>shepherding</w:t>
      </w:r>
      <w:r>
        <w:rPr>
          <w:lang w:val="en_US" w:bidi="en_US"/>
        </w:rPr>
        <w:t xml:space="preserve"> describes taking care of animals known as sheep. Some other ways to translate this word are:</w:t>
      </w:r>
    </w:p>
    <w:p>
      <w:pPr/>
      <w:r>
        <w:rPr>
          <w:lang w:val="en_US" w:bidi="en_US"/>
        </w:rPr>
      </w:r>
      <w:r>
        <w:rPr>
          <w:lang w:val="en_US" w:bidi="en_US"/>
        </w:rPr>
        <w:t>caring for the sheep (NCV)</w:t>
      </w:r>
    </w:p>
    <w:p>
      <w:pPr/>
      <w:r>
        <w:rPr>
          <w:lang w:val="en_US" w:bidi="en_US"/>
        </w:rPr>
      </w:r>
      <w:r>
        <w:rPr>
          <w:lang w:val="en_US" w:bidi="en_US"/>
        </w:rPr>
        <w:t>looking after the sheep (NIV)</w:t>
      </w:r>
    </w:p>
    <w:p>
      <w:pPr/>
      <w:r>
        <w:rPr>
          <w:lang w:val="en_US" w:bidi="en_US"/>
        </w:rPr>
      </w:r>
      <w:r>
        <w:rPr>
          <w:lang w:val="en_US" w:bidi="en_US"/>
        </w:rPr>
        <w:t>In some areas people do not keep sheep, so you may want to use a more general expression. For example:</w:t>
      </w:r>
    </w:p>
    <w:p>
      <w:pPr/>
      <w:r>
        <w:rPr>
          <w:lang w:val="en_US" w:bidi="en_US"/>
        </w:rPr>
      </w:r>
      <w:r>
        <w:rPr>
          <w:lang w:val="en_US" w:bidi="en_US"/>
        </w:rPr>
        <w:t>caring for the animals</w:t>
      </w:r>
    </w:p>
    <w:p>
      <w:pPr/>
      <w:r>
        <w:rPr>
          <w:lang w:val="en_US" w:bidi="en_US"/>
        </w:rPr>
      </w:r>
      <w:r>
        <w:rPr>
          <w:lang w:val="en_US" w:bidi="en_US"/>
        </w:rPr>
        <w:t>tending the animals</w:t>
      </w:r>
    </w:p>
    <w:p>
      <w:pPr/>
      <w:r>
        <w:rPr>
          <w:lang w:val="en_US" w:bidi="en_US"/>
        </w:rPr>
      </w:r>
      <w:r>
        <w:rPr>
          <w:lang w:val="en_US" w:bidi="en_US"/>
        </w:rPr>
        <w:t>Sheep are domestic animals that are raised for meat and for wool. In some languages there may not be a word for “sheep.” If that is true in your language, you may borrow the word for “sheep” and indicate its meaning with a general word such as “herd/flock” or “animals.” For example:</w:t>
      </w:r>
    </w:p>
    <w:p>
      <w:pPr/>
      <w:r>
        <w:rPr>
          <w:lang w:val="en_US" w:bidi="en_US"/>
        </w:rPr>
      </w:r>
      <w:r>
        <w:rPr>
          <w:lang w:val="en_US" w:bidi="en_US"/>
        </w:rPr>
        <w:t>animals called</w:t>
      </w:r>
      <w:r>
        <w:rPr>
          <w:lang w:val="en_US" w:bidi="en_US"/>
        </w:rPr>
        <w:t xml:space="preserve"> sheep</w:t>
      </w:r>
    </w:p>
    <w:p>
      <w:pPr/>
      <w:r>
        <w:rPr>
          <w:lang w:val="en_US" w:bidi="en_US"/>
        </w:rPr>
      </w:r>
      <w:r>
        <w:rPr>
          <w:lang w:val="en_US" w:bidi="en_US"/>
        </w:rPr>
        <w:t>herd/flock of</w:t>
      </w:r>
      <w:r>
        <w:rPr>
          <w:lang w:val="en_US" w:bidi="en_US"/>
        </w:rPr>
        <w:t xml:space="preserve"> sheep</w:t>
      </w:r>
    </w:p>
    <w:p>
      <w:pPr/>
      <w:r>
        <w:rPr>
          <w:lang w:val="en_US" w:bidi="en_US"/>
        </w:rPr>
      </w:r>
      <w:r>
        <w:rPr>
          <w:lang w:val="en_US" w:bidi="en_US"/>
        </w:rPr>
        <w:t>If people are not familiar with sheep in your area, it is suggested that you insert a picture in your translation.</w:t>
      </w:r>
    </w:p>
    <w:p>
      <w:pPr/>
      <w:r>
        <w:rPr>
          <w:lang w:val="en_US" w:bidi="en_US"/>
        </w:rPr>
      </w:r>
      <w:r>
        <w:rPr>
          <w:lang w:val="en_US" w:bidi="en_US"/>
        </w:rPr>
        <w:t>In some languages it may be necessary to make it explicit that the servant was taking care of the sheep that his master owned. For example:</w:t>
      </w:r>
    </w:p>
    <w:p>
      <w:pPr/>
      <w:r>
        <w:rPr>
          <w:lang w:val="en_US" w:bidi="en_US"/>
        </w:rPr>
      </w:r>
      <w:r>
        <w:rPr>
          <w:lang w:val="en_US" w:bidi="en_US"/>
        </w:rPr>
        <w:t>your</w:t>
      </w:r>
      <w:r>
        <w:rPr>
          <w:lang w:val="en_US" w:bidi="en_US"/>
        </w:rPr>
        <w:t xml:space="preserve"> </w:t>
      </w:r>
      <w:r>
        <w:rPr>
          <w:vertAlign w:val="superscript"/>
          <w:lang w:val="en_US" w:bidi="en_US"/>
        </w:rPr>
        <w:t>(sing)</w:t>
      </w:r>
      <w:r>
        <w:rPr>
          <w:lang w:val="en_US" w:bidi="en_US"/>
        </w:rPr>
        <w:t xml:space="preserve"> sheep/animals</w:t>
      </w:r>
    </w:p>
    <w:p>
      <w:pPr/>
      <w:r>
        <w:rPr>
          <w:lang w:val="en_US" w:bidi="en_US"/>
        </w:rPr>
      </w:r>
      <w:r>
        <w:rPr>
          <w:lang w:val="en_US" w:bidi="en_US"/>
        </w:rPr>
        <w:t xml:space="preserve">his/the </w:t>
      </w:r>
      <w:r>
        <w:rPr>
          <w:lang w:val="en_US" w:bidi="en_US"/>
        </w:rPr>
        <w:t>master’s</w:t>
      </w:r>
      <w:r>
        <w:rPr>
          <w:lang w:val="en_US" w:bidi="en_US"/>
        </w:rPr>
        <w:t xml:space="preserve"> sheep</w:t>
      </w:r>
    </w:p>
    <w:p>
      <w:pPr/>
      <w:r>
        <w:rPr>
          <w:lang w:val="en_US" w:bidi="en_US"/>
        </w:rPr>
      </w:r>
      <w:r>
        <w:rPr>
          <w:b/>
          <w:lang w:val="en_US" w:bidi="en_US"/>
        </w:rPr>
        <w:t>will say to him:</w:t>
      </w:r>
      <w:r>
        <w:rPr>
          <w:lang w:val="en_US" w:bidi="en_US"/>
        </w:rPr>
        <w:t xml:space="preserve"> Versions such as the NIV that divide this verse into a “suppose” statement and a rhetorical question use the pronoun “he” to refer to the master here. But since he was referred to as one “of you” in 17:7a, in some languages it may be more natural to continue to use the pronoun </w:t>
      </w:r>
      <w:r>
        <w:rPr>
          <w:i/>
          <w:lang w:val="en_US" w:bidi="en_US"/>
        </w:rPr>
        <w:t>you</w:t>
      </w:r>
      <w:r>
        <w:rPr>
          <w:lang w:val="en_US" w:bidi="en_US"/>
        </w:rPr>
        <w:t xml:space="preserve"> here. For example:</w:t>
      </w:r>
    </w:p>
    <w:p>
      <w:pPr/>
      <w:r>
        <w:rPr>
          <w:lang w:val="en_US" w:bidi="en_US"/>
        </w:rPr>
      </w:r>
      <w:r>
        <w:rPr>
          <w:lang w:val="en_US" w:bidi="en_US"/>
        </w:rPr>
        <w:t>Would you say to the servant</w:t>
      </w:r>
    </w:p>
    <w:p>
      <w:pPr/>
      <w:r>
        <w:rPr>
          <w:lang w:val="en_US" w:bidi="en_US"/>
        </w:rPr>
      </w:r>
      <w:r>
        <w:rPr>
          <w:lang w:val="en_US" w:bidi="en_US"/>
        </w:rPr>
        <w:t>In other languages, it may be best to use “someone” in 17:7a and “he” here.</w:t>
      </w:r>
    </w:p>
    <w:p>
      <w:pPr>
        <w:pStyle w:val="Heading5"/>
      </w:pPr>
      <w:r>
        <w:rPr>
          <w:lang w:val="en_US" w:bidi="en_US"/>
        </w:rPr>
        <w:t>17:7c</w:t>
      </w:r>
    </w:p>
    <w:p>
      <w:pPr/>
      <w:r>
        <w:rPr>
          <w:lang w:val="en_US" w:bidi="en_US"/>
        </w:rPr>
      </w:r>
      <w:r>
        <w:rPr>
          <w:b/>
          <w:lang w:val="en_US" w:bidi="en_US"/>
        </w:rPr>
        <w:t>‘Come at once and sit down to eat’?</w:t>
      </w:r>
    </w:p>
    <w:p>
      <w:pPr>
        <w:pStyle w:val="ListBullet"/>
        <w:spacing w:line="240" w:lineRule="auto"/>
        <w:ind w:left="720"/>
      </w:pPr>
      <w:r>
        <w:rPr>
          <w:lang w:val="en_US" w:bidi="en_US"/>
        </w:rPr>
      </w:r>
      <w:r>
        <w:rPr>
          <w:lang w:val="en_US" w:bidi="en_US"/>
        </w:rPr>
        <w:t>‘Come</w:t>
      </w:r>
      <w:r>
        <w:rPr>
          <w:vertAlign w:val="superscript"/>
          <w:lang w:val="en_US" w:bidi="en_US"/>
        </w:rPr>
        <w:t>(sing)</w:t>
      </w:r>
      <w:r>
        <w:rPr>
          <w:lang w:val="en_US" w:bidi="en_US"/>
        </w:rPr>
        <w:t xml:space="preserve"> quickly and sit down to eat’?</w:t>
      </w:r>
    </w:p>
    <w:p>
      <w:pPr>
        <w:pStyle w:val="ListBullet"/>
        <w:spacing w:line="240" w:lineRule="auto"/>
        <w:ind w:left="720"/>
      </w:pPr>
      <w:r>
        <w:rPr>
          <w:lang w:val="en_US" w:bidi="en_US"/>
        </w:rPr>
      </w:r>
      <w:r>
        <w:rPr>
          <w:lang w:val="en_US" w:bidi="en_US"/>
        </w:rPr>
        <w:t>‘Come</w:t>
      </w:r>
      <w:r>
        <w:rPr>
          <w:vertAlign w:val="superscript"/>
          <w:lang w:val="en_US" w:bidi="en_US"/>
        </w:rPr>
        <w:t>(sing)</w:t>
      </w:r>
      <w:r>
        <w:rPr>
          <w:lang w:val="en_US" w:bidi="en_US"/>
        </w:rPr>
        <w:t xml:space="preserve">, sit </w:t>
      </w:r>
      <w:r>
        <w:rPr>
          <w:lang w:val="en_US" w:bidi="en_US"/>
        </w:rPr>
        <w:t>here</w:t>
      </w:r>
      <w:r>
        <w:rPr>
          <w:lang w:val="en_US" w:bidi="en_US"/>
        </w:rPr>
        <w:t xml:space="preserve"> and eat’? </w:t>
      </w:r>
      <w:r>
        <w:rPr>
          <w:lang w:val="en_US" w:bidi="en_US"/>
        </w:rPr>
        <w:t>Of course not!</w:t>
      </w:r>
    </w:p>
    <w:p>
      <w:pPr>
        <w:pStyle w:val="ListBullet"/>
        <w:spacing w:line="240" w:lineRule="auto"/>
        <w:ind w:left="720"/>
      </w:pPr>
      <w:r>
        <w:rPr>
          <w:lang w:val="en_US" w:bidi="en_US"/>
        </w:rPr>
      </w:r>
      <w:r>
        <w:rPr>
          <w:lang w:val="en_US" w:bidi="en_US"/>
        </w:rPr>
        <w:t xml:space="preserve">to rest and eat </w:t>
      </w:r>
      <w:r>
        <w:rPr>
          <w:lang w:val="en_US" w:bidi="en_US"/>
        </w:rPr>
        <w:t>supper/dinner</w:t>
      </w:r>
      <w:r>
        <w:rPr>
          <w:lang w:val="en_US" w:bidi="en_US"/>
        </w:rPr>
        <w:t>.</w:t>
      </w:r>
    </w:p>
    <w:p>
      <w:pPr/>
      <w:r>
        <w:rPr>
          <w:lang w:val="en_US" w:bidi="en_US"/>
        </w:rPr>
      </w:r>
      <w:r>
        <w:rPr>
          <w:b/>
          <w:lang w:val="en_US" w:bidi="en_US"/>
        </w:rPr>
        <w:t>Come at once:</w:t>
      </w:r>
      <w:r>
        <w:rPr>
          <w:lang w:val="en_US" w:bidi="en_US"/>
        </w:rPr>
        <w:t xml:space="preserve"> The Greek words that the BSB translates as </w:t>
      </w:r>
      <w:r>
        <w:rPr>
          <w:i/>
          <w:lang w:val="en_US" w:bidi="en_US"/>
        </w:rPr>
        <w:t>Come at once</w:t>
      </w:r>
      <w:r>
        <w:rPr>
          <w:lang w:val="en_US" w:bidi="en_US"/>
        </w:rPr>
        <w:t xml:space="preserve"> are literally “immediately come.” For example:</w:t>
      </w:r>
    </w:p>
    <w:p>
      <w:pPr/>
      <w:r>
        <w:rPr>
          <w:lang w:val="en_US" w:bidi="en_US"/>
        </w:rPr>
      </w:r>
      <w:r>
        <w:rPr>
          <w:lang w:val="en_US" w:bidi="en_US"/>
        </w:rPr>
        <w:t>Come immediately (NASB)</w:t>
      </w:r>
    </w:p>
    <w:p>
      <w:pPr/>
      <w:r>
        <w:rPr>
          <w:lang w:val="en_US" w:bidi="en_US"/>
        </w:rPr>
      </w:r>
      <w:r>
        <w:rPr>
          <w:lang w:val="en_US" w:bidi="en_US"/>
        </w:rPr>
        <w:t>Come along now (NIV)</w:t>
      </w:r>
    </w:p>
    <w:p>
      <w:pPr/>
      <w:r>
        <w:rPr>
          <w:lang w:val="en_US" w:bidi="en_US"/>
        </w:rPr>
      </w:r>
      <w:r>
        <w:rPr>
          <w:b/>
          <w:lang w:val="en_US" w:bidi="en_US"/>
        </w:rPr>
        <w:t>and sit down to eat:</w:t>
      </w:r>
      <w:r>
        <w:rPr>
          <w:lang w:val="en_US" w:bidi="en_US"/>
        </w:rPr>
        <w:t xml:space="preserve"> The clause </w:t>
      </w:r>
      <w:r>
        <w:rPr>
          <w:i/>
          <w:lang w:val="en_US" w:bidi="en_US"/>
        </w:rPr>
        <w:t>sit down to eat</w:t>
      </w:r>
      <w:r>
        <w:rPr>
          <w:lang w:val="en_US" w:bidi="en_US"/>
        </w:rPr>
        <w:t xml:space="preserve"> is a polite invitation. This clause implies that a master was inviting his servant to eat a meal that someone had already cooked for him. Translate this invitation in a natural way in your language.</w:t>
      </w:r>
      <w:r>
        <w:rPr>
          <w:lang w:val="en_US" w:bidi="en_US"/>
        </w:rPr>
        <w:t>The Greek verb that the BSB translates as “sit down” is more literally “recline.” However, in this context English versions do not translate it literally, since the custom of reclining to eat is not known in most cultures, and in this context Jesus was telling a parable, not describing a historical event. Even in Jesus’ time, most people reclined only at formal meals. However, the ESV is an exception to this and does translate the verb here as “recline.” That verb may emphasize the point of the story that a master would never tell his slave to come in and relax to eat before he serves the meal to his master.</w:t>
      </w:r>
      <w:r>
        <w:rPr>
          <w:lang w:val="en_US" w:bidi="en_US"/>
        </w:rPr>
        <w:t xml:space="preserve"> Other ways to say it in English are:</w:t>
      </w:r>
    </w:p>
    <w:p>
      <w:pPr/>
      <w:r>
        <w:rPr>
          <w:lang w:val="en_US" w:bidi="en_US"/>
        </w:rPr>
      </w:r>
      <w:r>
        <w:rPr>
          <w:lang w:val="en_US" w:bidi="en_US"/>
        </w:rPr>
        <w:t>sit down for a meal (NET)</w:t>
      </w:r>
    </w:p>
    <w:p>
      <w:pPr/>
      <w:r>
        <w:rPr>
          <w:lang w:val="en_US" w:bidi="en_US"/>
        </w:rPr>
      </w:r>
      <w:r>
        <w:rPr>
          <w:lang w:val="en_US" w:bidi="en_US"/>
        </w:rPr>
        <w:t>rest/sit and eat</w:t>
      </w:r>
    </w:p>
    <w:p>
      <w:pPr/>
      <w:r>
        <w:rPr>
          <w:lang w:val="en_US" w:bidi="en_US"/>
        </w:rPr>
      </w:r>
      <w:r>
        <w:rPr>
          <w:lang w:val="en_US" w:bidi="en_US"/>
        </w:rPr>
        <w:t xml:space="preserve">and let me give you </w:t>
      </w:r>
      <w:r>
        <w:rPr>
          <w:lang w:val="en_US" w:bidi="en_US"/>
        </w:rPr>
        <w:t>some food</w:t>
      </w:r>
      <w:r>
        <w:rPr>
          <w:lang w:val="en_US" w:bidi="en_US"/>
        </w:rPr>
        <w:t xml:space="preserve"> to eat</w:t>
      </w:r>
    </w:p>
    <w:p>
      <w:pPr>
        <w:pStyle w:val="Heading6"/>
      </w:pPr>
      <w:r>
        <w:rPr>
          <w:b/>
          <w:lang w:val="en_US" w:bidi="en_US"/>
        </w:rPr>
        <w:t>General Comment on 17:7b–c</w:t>
      </w:r>
    </w:p>
    <w:p>
      <w:pPr/>
      <w:r>
        <w:rPr>
          <w:lang w:val="en_US" w:bidi="en_US"/>
        </w:rPr>
      </w:r>
      <w:r>
        <w:rPr>
          <w:lang w:val="en_US" w:bidi="en_US"/>
        </w:rPr>
        <w:t>If you translate 17:7b–c as a rhetorical question, you may need to supply an answer. For example:</w:t>
      </w:r>
    </w:p>
    <w:p>
      <w:pPr/>
      <w:r>
        <w:rPr>
          <w:lang w:val="en_US" w:bidi="en_US"/>
        </w:rPr>
      </w:r>
      <w:r>
        <w:rPr>
          <w:lang w:val="en_US" w:bidi="en_US"/>
        </w:rPr>
        <w:t>Of course not!</w:t>
      </w:r>
    </w:p>
    <w:p>
      <w:pPr/>
      <w:r>
        <w:rPr>
          <w:lang w:val="en_US" w:bidi="en_US"/>
        </w:rPr>
      </w:r>
      <w:r>
        <w:rPr>
          <w:lang w:val="en_US" w:bidi="en_US"/>
        </w:rPr>
        <w:t>No, you wouldn’t say that. (CEV)</w:t>
      </w:r>
    </w:p>
    <w:p>
      <w:pPr/>
      <w:r>
        <w:rPr>
          <w:lang w:val="en_US" w:bidi="en_US"/>
        </w:rPr>
      </w:r>
      <w:r>
        <w:rPr>
          <w:lang w:val="en_US" w:bidi="en_US"/>
        </w:rPr>
        <w:t>No. (GW)</w:t>
      </w:r>
    </w:p>
    <w:p>
      <w:pPr/>
      <w:r>
        <w:rPr>
          <w:lang w:val="en_US" w:bidi="en_US"/>
        </w:rPr>
      </w:r>
      <w:r>
        <w:rPr>
          <w:lang w:val="en_US" w:bidi="en_US"/>
        </w:rPr>
        <w:t>You can place such an answer either at the end of 17:7c (see 17:7c in the Display) or at the beginning of 17:8 (as in the CEV and GW).</w:t>
      </w:r>
      <w:r>
        <w:rPr>
          <w:lang w:val="en_US" w:bidi="en_US"/>
        </w:rPr>
      </w:r>
      <w:r>
        <w:rPr>
          <w:lang w:val="en_US" w:bidi="en_US"/>
        </w:rPr>
      </w:r>
    </w:p>
    <w:p>
      <w:pPr/>
      <w:r>
        <w:rPr>
          <w:lang w:val="en_US" w:bidi="en_US"/>
        </w:rPr>
      </w:r>
    </w:p>
    <w:p>
      <w:pPr>
        <w:pStyle w:val="Heading2"/>
      </w:pPr>
      <w:r>
        <w:rPr>
          <w:lang w:val="en_US" w:bidi="en_US"/>
        </w:rPr>
        <w:t>Luke 17:8</w:t>
      </w:r>
      <w:r>
        <w:rPr>
          <w:lang w:val="en_US" w:bidi="en_US"/>
        </w:rPr>
      </w:r>
    </w:p>
    <w:p>
      <w:pPr>
        <w:pStyle w:val="Heading4"/>
      </w:pPr>
      <w:r>
        <w:rPr>
          <w:lang w:val="en_US" w:bidi="en_US"/>
        </w:rPr>
        <w:t>Section 17:1–10: Jesus taught his disciples about sin, faith, and duty</w:t>
      </w:r>
    </w:p>
    <w:p>
      <w:pPr/>
      <w:r>
        <w:rPr>
          <w:lang w:val="en_US" w:bidi="en_US"/>
        </w:rPr>
      </w:r>
      <w:r>
        <w:rPr>
          <w:lang w:val="en_US" w:bidi="en_US"/>
        </w:rPr>
        <w:t>At the end of chapter 16, Jesus was speaking to the Pharisees. He concluded his parable about Lazarus and the rich man. Here in 17:1–10, he spoke to his disciples and taught them about several issues.</w:t>
      </w:r>
      <w:r>
        <w:rPr>
          <w:lang w:val="en_US" w:bidi="en_US"/>
        </w:rPr>
        <w:t>Scholars have different opinions about whether the teachings in this section are thematically related to Jesus’ teachings in chapter 16. Some scholars say that the teachings in the two chapters are not connected. Other scholars do see a broad connection. Green says, “Especially due to its location adjacent to prior accounts of Jesus’ interaction with Pharisees, this pericope recapitulates Jesus’ message to his followers: They are not to be like the Pharisees!” (p. 611). Liefeld says that “it is also possible to see a logical connection between the end of chapter 16 and the beginning of chapter 17, if we understand ‘the things that cause people to sin’ to be the sins of the Pharisees, such as those mentioned in 16:14.” Scholars also disagree about whether the paragraphs in this section are related to each other. About this, Liefeld says that “there is a common unifying theme of attitudes in the Christian community” (p. 994). Morris also mentions this possible connection: “The connecting link here may be the attitude of the religious leaders. They were in danger of using their wealth wrongly, and they were also in danger of leading their lesser brethren astray—temptations that would confront his disciples as well as people like the Pharisees” (p. 279). Nolland (p. 835) says, “Luke seems to have cobbled a unity together here of three separate blocks of tradition (verses 1–2, 3–4, 5–6). The catchword link “into/in the sea” from verse 2 to verse 6 helps to give a formal unity to the piece, and it is likely that he intends the blocks so juxtaposed, to mutually qualify the meaning of one another.” He also says, “As he opens this new section (17:1–19) Luke has brought together three blocks of tradition to form a unit about the adequacy, despite all human frailty, of even the most meager of kingdom faiths for the radical challenge of Jesus’ teaching” (p. 839).</w:t>
      </w:r>
    </w:p>
    <w:p>
      <w:pPr/>
      <w:r>
        <w:rPr>
          <w:lang w:val="en_US" w:bidi="en_US"/>
        </w:rPr>
      </w:r>
      <w:r>
        <w:rPr>
          <w:lang w:val="en_US" w:bidi="en_US"/>
        </w:rPr>
        <w:t>English versions divide these verses into sections in different ways. For example:</w:t>
      </w:r>
    </w:p>
    <w:p>
      <w:pPr>
        <w:pStyle w:val="ListNumber"/>
        <w:numPr>
          <w:ilvl w:val="0"/>
          <w:numId w:val="286"/>
        </w:numPr>
        <w:spacing w:line="240" w:lineRule="auto"/>
        <w:ind w:left="720"/>
      </w:pPr>
      <w:r>
        <w:rPr>
          <w:lang w:val="en_US" w:bidi="en_US"/>
        </w:rPr>
      </w:r>
      <w:r>
        <w:rPr>
          <w:lang w:val="en_US" w:bidi="en_US"/>
        </w:rPr>
        <w:t>Most versions put 17:1–10 together in one section and have one heading. (The Notes follow these versions.)</w:t>
      </w:r>
    </w:p>
    <w:p>
      <w:pPr>
        <w:pStyle w:val="ListNumber"/>
        <w:spacing w:line="240" w:lineRule="auto"/>
        <w:ind w:left="720"/>
      </w:pPr>
      <w:r>
        <w:rPr>
          <w:lang w:val="en_US" w:bidi="en_US"/>
        </w:rPr>
      </w:r>
      <w:r>
        <w:rPr>
          <w:lang w:val="en_US" w:bidi="en_US"/>
        </w:rPr>
        <w:t>Some versions divide 17:1–10 into three sections with a heading for each one. For example, the GNT has: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17:1–4</w:t>
            </w:r>
          </w:p>
        </w:tc>
        <w:tc>
          <w:tcPr>
            <w:tcW w:type="dxa" w:w="4680"/>
          </w:tcPr>
          <w:p>
            <w:pPr/>
            <w:r>
              <w:rPr>
                <w:lang w:val="en_US" w:bidi="en_US"/>
              </w:rPr>
            </w:r>
            <w:r>
              <w:rPr>
                <w:lang w:val="en_US" w:bidi="en_US"/>
              </w:rPr>
              <w:t>Sin</w:t>
            </w:r>
          </w:p>
        </w:tc>
      </w:tr>
      <w:tr>
        <w:tc>
          <w:tcPr>
            <w:tcW w:type="dxa" w:w="4680"/>
          </w:tcPr>
          <w:p>
            <w:pPr/>
            <w:r>
              <w:rPr>
                <w:lang w:val="en_US" w:bidi="en_US"/>
              </w:rPr>
            </w:r>
            <w:r>
              <w:rPr>
                <w:lang w:val="en_US" w:bidi="en_US"/>
              </w:rPr>
              <w:t>17:5–6</w:t>
            </w:r>
          </w:p>
        </w:tc>
        <w:tc>
          <w:tcPr>
            <w:tcW w:type="dxa" w:w="4680"/>
          </w:tcPr>
          <w:p>
            <w:pPr/>
            <w:r>
              <w:rPr>
                <w:lang w:val="en_US" w:bidi="en_US"/>
              </w:rPr>
            </w:r>
            <w:r>
              <w:rPr>
                <w:lang w:val="en_US" w:bidi="en_US"/>
              </w:rPr>
              <w:t>Faith</w:t>
            </w:r>
          </w:p>
        </w:tc>
      </w:tr>
      <w:tr>
        <w:tc>
          <w:tcPr>
            <w:tcW w:type="dxa" w:w="4680"/>
          </w:tcPr>
          <w:p>
            <w:pPr/>
            <w:r>
              <w:rPr>
                <w:lang w:val="en_US" w:bidi="en_US"/>
              </w:rPr>
            </w:r>
            <w:r>
              <w:rPr>
                <w:lang w:val="en_US" w:bidi="en_US"/>
              </w:rPr>
              <w:t>17:7–10</w:t>
            </w:r>
          </w:p>
        </w:tc>
        <w:tc>
          <w:tcPr>
            <w:tcW w:type="dxa" w:w="4680"/>
          </w:tcPr>
          <w:p>
            <w:pPr/>
            <w:r>
              <w:rPr>
                <w:lang w:val="en_US" w:bidi="en_US"/>
              </w:rPr>
            </w:r>
            <w:r>
              <w:rPr>
                <w:lang w:val="en_US" w:bidi="en_US"/>
              </w:rPr>
              <w:t>A servant’s duty</w:t>
            </w:r>
          </w:p>
        </w:tc>
      </w:tr>
    </w:tbl>
    <w:p>
      <w:pPr/>
      <w:r>
        <w:rPr>
          <w:lang w:val="en_US" w:bidi="en_US"/>
        </w:rPr>
      </w:r>
      <w:r>
        <w:rPr>
          <w:lang w:val="en_US" w:bidi="en_US"/>
        </w:rPr>
        <w:t>Some other possible headings for this section are:</w:t>
      </w:r>
    </w:p>
    <w:p>
      <w:pPr/>
      <w:r>
        <w:rPr>
          <w:lang w:val="en_US" w:bidi="en_US"/>
        </w:rPr>
      </w:r>
      <w:r>
        <w:rPr>
          <w:lang w:val="en_US" w:bidi="en_US"/>
        </w:rPr>
        <w:t>Jesus taught his disciples to not cause others to sin, to forgive others, and to serve him humbly</w:t>
      </w:r>
    </w:p>
    <w:p>
      <w:pPr/>
      <w:r>
        <w:rPr>
          <w:lang w:val="en_US" w:bidi="en_US"/>
        </w:rPr>
      </w:r>
      <w:r>
        <w:rPr>
          <w:lang w:val="en_US" w:bidi="en_US"/>
        </w:rPr>
        <w:t>Teachings about Forgiveness and Faith (NLT)</w:t>
      </w:r>
    </w:p>
    <w:p>
      <w:pPr/>
      <w:r>
        <w:rPr>
          <w:lang w:val="en_US" w:bidi="en_US"/>
        </w:rPr>
      </w:r>
      <w:r>
        <w:rPr>
          <w:lang w:val="en_US" w:bidi="en_US"/>
        </w:rPr>
        <w:t>Sin, Forgiveness, Faith, and Service (NET)</w:t>
      </w:r>
    </w:p>
    <w:p>
      <w:pPr/>
      <w:r>
        <w:rPr>
          <w:lang w:val="en_US" w:bidi="en_US"/>
        </w:rPr>
      </w:r>
      <w:r>
        <w:rPr>
          <w:lang w:val="en_US" w:bidi="en_US"/>
        </w:rPr>
        <w:t>There are parallel passages for this section in Matthew 18:6–7 and 18:15 and in Mark 9:42. However, Jesus may have spoken these passages in a different context from the one in this section.</w:t>
      </w:r>
    </w:p>
    <w:p>
      <w:pPr>
        <w:pStyle w:val="Heading4"/>
      </w:pPr>
      <w:r>
        <w:rPr>
          <w:lang w:val="en_US" w:bidi="en_US"/>
        </w:rPr>
        <w:t>Paragraph 17:7–10</w:t>
      </w:r>
    </w:p>
    <w:p>
      <w:pPr/>
      <w:r>
        <w:rPr>
          <w:lang w:val="en_US" w:bidi="en_US"/>
        </w:rPr>
      </w:r>
      <w:r>
        <w:rPr>
          <w:lang w:val="en_US" w:bidi="en_US"/>
        </w:rPr>
        <w:t>In this paragraph, Jesus told a parable to illustrate the attitude that he wanted his disciples to have. Just as a slave must serve his master, a disciple must serve God, his master. That is his duty. He should obey God without thinking that God should reward him in any special way.</w:t>
      </w:r>
    </w:p>
    <w:p>
      <w:pPr>
        <w:pStyle w:val="Heading5"/>
      </w:pPr>
      <w:r>
        <w:rPr>
          <w:lang w:val="en_US" w:bidi="en_US"/>
        </w:rPr>
        <w:t>17:8</w:t>
      </w:r>
    </w:p>
    <w:p>
      <w:pPr/>
      <w:r>
        <w:rPr>
          <w:lang w:val="en_US" w:bidi="en_US"/>
        </w:rPr>
      </w:r>
      <w:r>
        <w:rPr>
          <w:lang w:val="en_US" w:bidi="en_US"/>
        </w:rPr>
        <w:t>In Greek, as in the BSB, this verse is one long rhetorical question. As in 17:7, it may be more natural in some languages to translate the rhetorical question as a statement and use shorter sentences. For example:</w:t>
      </w:r>
    </w:p>
    <w:p>
      <w:pPr/>
      <w:r>
        <w:rPr>
          <w:lang w:val="en_US" w:bidi="en_US"/>
        </w:rPr>
      </w:r>
      <w:r>
        <w:rPr>
          <w:vertAlign w:val="superscript"/>
          <w:lang w:val="en_US" w:bidi="en_US"/>
        </w:rPr>
        <w:t>8a</w:t>
      </w:r>
      <w:r>
        <w:rPr>
          <w:lang w:val="en_US" w:bidi="en_US"/>
        </w:rPr>
        <w:t xml:space="preserve">Instead, you would say this: </w:t>
      </w:r>
      <w:r>
        <w:rPr>
          <w:vertAlign w:val="superscript"/>
          <w:lang w:val="en_US" w:bidi="en_US"/>
        </w:rPr>
        <w:t>8b</w:t>
      </w:r>
      <w:r>
        <w:rPr>
          <w:lang w:val="en_US" w:bidi="en_US"/>
        </w:rPr>
        <w:t xml:space="preserve">“Cook my supper! Then get ready and serve me my meal. </w:t>
      </w:r>
      <w:r>
        <w:rPr>
          <w:vertAlign w:val="superscript"/>
          <w:lang w:val="en_US" w:bidi="en_US"/>
        </w:rPr>
        <w:t>8c</w:t>
      </w:r>
      <w:r>
        <w:rPr>
          <w:lang w:val="en_US" w:bidi="en_US"/>
        </w:rPr>
        <w:t>After you have done that, you can have your own meal.”</w:t>
      </w:r>
    </w:p>
    <w:p>
      <w:pPr>
        <w:pStyle w:val="Heading5"/>
      </w:pPr>
      <w:r>
        <w:rPr>
          <w:lang w:val="en_US" w:bidi="en_US"/>
        </w:rPr>
        <w:t>17:8a</w:t>
      </w:r>
    </w:p>
    <w:p>
      <w:pPr/>
      <w:r>
        <w:rPr>
          <w:lang w:val="en_US" w:bidi="en_US"/>
        </w:rPr>
      </w:r>
      <w:r>
        <w:rPr>
          <w:b/>
          <w:lang w:val="en_US" w:bidi="en_US"/>
        </w:rPr>
        <w:t>Instead, won’t he tell him,</w:t>
      </w:r>
    </w:p>
    <w:p>
      <w:pPr>
        <w:pStyle w:val="ListBullet"/>
        <w:spacing w:line="240" w:lineRule="auto"/>
        <w:ind w:left="720"/>
      </w:pPr>
      <w:r>
        <w:rPr>
          <w:lang w:val="en_US" w:bidi="en_US"/>
        </w:rPr>
      </w:r>
      <w:r>
        <w:rPr>
          <w:lang w:val="en_US" w:bidi="en_US"/>
        </w:rPr>
        <w:t>But/So what would he say instead? He would say,</w:t>
      </w:r>
    </w:p>
    <w:p>
      <w:pPr>
        <w:pStyle w:val="ListBullet"/>
        <w:spacing w:line="240" w:lineRule="auto"/>
        <w:ind w:left="720"/>
      </w:pPr>
      <w:r>
        <w:rPr>
          <w:lang w:val="en_US" w:bidi="en_US"/>
        </w:rPr>
      </w:r>
      <w:r>
        <w:rPr>
          <w:lang w:val="en_US" w:bidi="en_US"/>
        </w:rPr>
        <w:t>Instead, this is what the master would say,</w:t>
      </w:r>
    </w:p>
    <w:p>
      <w:pPr/>
      <w:r>
        <w:rPr>
          <w:lang w:val="en_US" w:bidi="en_US"/>
        </w:rPr>
      </w:r>
      <w:r>
        <w:rPr>
          <w:b/>
          <w:lang w:val="en_US" w:bidi="en_US"/>
        </w:rPr>
        <w:t>Instead:</w:t>
      </w:r>
      <w:r>
        <w:rPr>
          <w:lang w:val="en_US" w:bidi="en_US"/>
        </w:rPr>
        <w:t xml:space="preserve"> In Greek this verse begins with a word that the BSB translates as </w:t>
      </w:r>
      <w:r>
        <w:rPr>
          <w:i/>
          <w:lang w:val="en_US" w:bidi="en_US"/>
        </w:rPr>
        <w:t>Instead</w:t>
      </w:r>
      <w:r>
        <w:rPr>
          <w:lang w:val="en_US" w:bidi="en_US"/>
        </w:rPr>
        <w:t>. It indicates a contrast between what the master would not say (17:7) and what he would say (17:8). Other ways to indicate this contrast are:</w:t>
      </w:r>
    </w:p>
    <w:p>
      <w:pPr/>
      <w:r>
        <w:rPr>
          <w:lang w:val="en_US" w:bidi="en_US"/>
        </w:rPr>
      </w:r>
      <w:r>
        <w:rPr>
          <w:lang w:val="en_US" w:bidi="en_US"/>
        </w:rPr>
        <w:t xml:space="preserve">Won’t he </w:t>
      </w:r>
      <w:r>
        <w:rPr>
          <w:u w:val="single"/>
          <w:lang w:val="en_US" w:bidi="en_US"/>
        </w:rPr>
        <w:t>rather</w:t>
      </w:r>
      <w:r>
        <w:rPr>
          <w:lang w:val="en_US" w:bidi="en_US"/>
        </w:rPr>
        <w:t xml:space="preserve"> say (NIV)</w:t>
      </w:r>
    </w:p>
    <w:p>
      <w:pPr/>
      <w:r>
        <w:rPr>
          <w:lang w:val="en_US" w:bidi="en_US"/>
        </w:rPr>
      </w:r>
      <w:r>
        <w:rPr>
          <w:u w:val="single"/>
          <w:lang w:val="en_US" w:bidi="en_US"/>
        </w:rPr>
        <w:t>But</w:t>
      </w:r>
      <w:r>
        <w:rPr>
          <w:lang w:val="en_US" w:bidi="en_US"/>
        </w:rPr>
        <w:t xml:space="preserve"> will he not say to him (NASB)</w:t>
      </w:r>
    </w:p>
    <w:p>
      <w:pPr/>
      <w:r>
        <w:rPr>
          <w:lang w:val="en_US" w:bidi="en_US"/>
        </w:rPr>
      </w:r>
      <w:r>
        <w:rPr>
          <w:b/>
          <w:lang w:val="en_US" w:bidi="en_US"/>
        </w:rPr>
        <w:t>won’t he tell him:</w:t>
      </w:r>
      <w:r>
        <w:rPr>
          <w:lang w:val="en_US" w:bidi="en_US"/>
        </w:rPr>
        <w:t xml:space="preserve"> The clause </w:t>
      </w:r>
      <w:r>
        <w:rPr>
          <w:i/>
          <w:lang w:val="en_US" w:bidi="en_US"/>
        </w:rPr>
        <w:t>won’t he tell him</w:t>
      </w:r>
      <w:r>
        <w:rPr>
          <w:lang w:val="en_US" w:bidi="en_US"/>
        </w:rPr>
        <w:t xml:space="preserve"> introduces a rhetorical question. Jesus used this rhetorical question to emphasize what a master </w:t>
      </w:r>
      <w:r>
        <w:rPr>
          <w:u w:val="single"/>
          <w:lang w:val="en_US" w:bidi="en_US"/>
        </w:rPr>
        <w:t>would</w:t>
      </w:r>
      <w:r>
        <w:rPr>
          <w:lang w:val="en_US" w:bidi="en_US"/>
        </w:rPr>
        <w:t xml:space="preserve"> say to his servant. This question expects the response, “Yes, that is what he would say.”</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Won’t the master instead say to him…? (NET)</w:t>
      </w:r>
      <w:r>
        <w:rPr>
          <w:lang w:val="en_US" w:bidi="en_US"/>
        </w:rPr>
        <w:t>But what would the master say?</w:t>
      </w:r>
    </w:p>
    <w:p>
      <w:pPr>
        <w:pStyle w:val="ListBullet"/>
        <w:spacing w:line="240" w:lineRule="auto"/>
        <w:ind w:left="720"/>
      </w:pPr>
      <w:r>
        <w:rPr>
          <w:lang w:val="en_US" w:bidi="en_US"/>
        </w:rPr>
      </w:r>
      <w:r>
        <w:rPr>
          <w:lang w:val="en_US" w:bidi="en_US"/>
        </w:rPr>
        <w:t>As a statement. For example:</w:t>
      </w:r>
      <w:r>
        <w:rPr>
          <w:lang w:val="en_US" w:bidi="en_US"/>
        </w:rPr>
        <w:t>Instead, he tells his servant (GW)</w:t>
      </w:r>
      <w:r>
        <w:rPr>
          <w:lang w:val="en_US" w:bidi="en_US"/>
        </w:rPr>
        <w:t>This is what he would say instead</w:t>
      </w:r>
    </w:p>
    <w:p>
      <w:pPr/>
      <w:r>
        <w:rPr>
          <w:lang w:val="en_US" w:bidi="en_US"/>
        </w:rPr>
      </w:r>
      <w:r>
        <w:rPr>
          <w:lang w:val="en_US" w:bidi="en_US"/>
        </w:rPr>
        <w:t>Translate this emphasis in a way that is natural in your language.</w:t>
      </w:r>
    </w:p>
    <w:p>
      <w:pPr>
        <w:pStyle w:val="Heading5"/>
      </w:pPr>
      <w:r>
        <w:rPr>
          <w:lang w:val="en_US" w:bidi="en_US"/>
        </w:rPr>
        <w:t>17:8b</w:t>
      </w:r>
    </w:p>
    <w:p>
      <w:pPr/>
      <w:r>
        <w:rPr>
          <w:lang w:val="en_US" w:bidi="en_US"/>
        </w:rPr>
      </w:r>
      <w:r>
        <w:rPr>
          <w:b/>
          <w:lang w:val="en_US" w:bidi="en_US"/>
        </w:rPr>
        <w:t>‘Prepare my meal and dress yourself to serve me while I eat and drink;</w:t>
      </w:r>
    </w:p>
    <w:p>
      <w:pPr>
        <w:pStyle w:val="ListBullet"/>
        <w:spacing w:line="240" w:lineRule="auto"/>
        <w:ind w:left="720"/>
      </w:pPr>
      <w:r>
        <w:rPr>
          <w:lang w:val="en_US" w:bidi="en_US"/>
        </w:rPr>
      </w:r>
      <w:r>
        <w:rPr>
          <w:lang w:val="en_US" w:bidi="en_US"/>
        </w:rPr>
        <w:t>‘Prepare</w:t>
      </w:r>
      <w:r>
        <w:rPr>
          <w:vertAlign w:val="superscript"/>
          <w:lang w:val="en_US" w:bidi="en_US"/>
        </w:rPr>
        <w:t>(sing)</w:t>
      </w:r>
      <w:r>
        <w:rPr>
          <w:lang w:val="en_US" w:bidi="en_US"/>
        </w:rPr>
        <w:t xml:space="preserve"> food for me, then dress properly and serve me while I eat and drink.</w:t>
      </w:r>
    </w:p>
    <w:p>
      <w:pPr>
        <w:pStyle w:val="ListBullet"/>
        <w:spacing w:line="240" w:lineRule="auto"/>
        <w:ind w:left="720"/>
      </w:pPr>
      <w:r>
        <w:rPr>
          <w:lang w:val="en_US" w:bidi="en_US"/>
        </w:rPr>
      </w:r>
      <w:r>
        <w:rPr>
          <w:lang w:val="en_US" w:bidi="en_US"/>
        </w:rPr>
        <w:t>‘Cook</w:t>
      </w:r>
      <w:r>
        <w:rPr>
          <w:vertAlign w:val="superscript"/>
          <w:lang w:val="en_US" w:bidi="en_US"/>
        </w:rPr>
        <w:t>(sing)</w:t>
      </w:r>
      <w:r>
        <w:rPr>
          <w:lang w:val="en_US" w:bidi="en_US"/>
        </w:rPr>
        <w:t xml:space="preserve"> my food, then dress for serving and bring me the meal. Attend/Serve me until </w:t>
      </w:r>
      <w:r>
        <w:rPr>
          <w:lang w:val="en_US" w:bidi="en_US"/>
        </w:rPr>
        <w:t>I finish</w:t>
      </w:r>
      <w:r>
        <w:rPr>
          <w:lang w:val="en_US" w:bidi="en_US"/>
        </w:rPr>
        <w:t xml:space="preserve"> eating.</w:t>
      </w:r>
    </w:p>
    <w:p>
      <w:pPr/>
      <w:r>
        <w:rPr>
          <w:lang w:val="en_US" w:bidi="en_US"/>
        </w:rPr>
      </w:r>
      <w:r>
        <w:rPr>
          <w:b/>
          <w:lang w:val="en_US" w:bidi="en_US"/>
        </w:rPr>
        <w:t>Prepare my meal:</w:t>
      </w:r>
      <w:r>
        <w:rPr>
          <w:lang w:val="en_US" w:bidi="en_US"/>
        </w:rPr>
        <w:t xml:space="preserve"> The clause </w:t>
      </w:r>
      <w:r>
        <w:rPr>
          <w:i/>
          <w:lang w:val="en_US" w:bidi="en_US"/>
        </w:rPr>
        <w:t>Prepare my meal</w:t>
      </w:r>
      <w:r>
        <w:rPr>
          <w:lang w:val="en_US" w:bidi="en_US"/>
        </w:rPr>
        <w:t xml:space="preserve"> is a command that a master would give to his servant. Some other ways to translate this are:</w:t>
      </w:r>
    </w:p>
    <w:p>
      <w:pPr/>
      <w:r>
        <w:rPr>
          <w:lang w:val="en_US" w:bidi="en_US"/>
        </w:rPr>
      </w:r>
      <w:r>
        <w:rPr>
          <w:lang w:val="en_US" w:bidi="en_US"/>
        </w:rPr>
        <w:t>Cook my food</w:t>
      </w:r>
    </w:p>
    <w:p>
      <w:pPr/>
      <w:r>
        <w:rPr>
          <w:lang w:val="en_US" w:bidi="en_US"/>
        </w:rPr>
      </w:r>
      <w:r>
        <w:rPr>
          <w:lang w:val="en_US" w:bidi="en_US"/>
        </w:rPr>
        <w:t>Prepare something for me to eat (NCV)</w:t>
      </w:r>
    </w:p>
    <w:p>
      <w:pPr/>
      <w:r>
        <w:rPr>
          <w:lang w:val="en_US" w:bidi="en_US"/>
        </w:rPr>
      </w:r>
      <w:r>
        <w:rPr>
          <w:lang w:val="en_US" w:bidi="en_US"/>
        </w:rPr>
        <w:t>Use a command form that a master would naturally use in your language to speak to his servant. It does not need to be as polite as the speech in 17:7c.</w:t>
      </w:r>
    </w:p>
    <w:p>
      <w:pPr/>
      <w:r>
        <w:rPr>
          <w:lang w:val="en_US" w:bidi="en_US"/>
        </w:rPr>
      </w:r>
      <w:r>
        <w:rPr>
          <w:b/>
          <w:lang w:val="en_US" w:bidi="en_US"/>
        </w:rPr>
        <w:t>meal:</w:t>
      </w:r>
      <w:r>
        <w:rPr>
          <w:lang w:val="en_US" w:bidi="en_US"/>
        </w:rPr>
        <w:t xml:space="preserve"> The Greek phrase that the BSB translates as </w:t>
      </w:r>
      <w:r>
        <w:rPr>
          <w:i/>
          <w:lang w:val="en_US" w:bidi="en_US"/>
        </w:rPr>
        <w:t>meal</w:t>
      </w:r>
      <w:r>
        <w:rPr>
          <w:lang w:val="en_US" w:bidi="en_US"/>
        </w:rPr>
        <w:t xml:space="preserve"> is literally “something for me to eat” (as in the NCV). In this verse, this phrase refers to the main meal of the day. People ate this meal in the late afternoon or early evening. Use a natural term for this meal in your language.</w:t>
      </w:r>
    </w:p>
    <w:p>
      <w:pPr/>
      <w:r>
        <w:rPr>
          <w:lang w:val="en_US" w:bidi="en_US"/>
        </w:rPr>
      </w:r>
      <w:r>
        <w:rPr>
          <w:b/>
          <w:lang w:val="en_US" w:bidi="en_US"/>
        </w:rPr>
        <w:t>and dress yourself to serve me:</w:t>
      </w:r>
      <w:r>
        <w:rPr>
          <w:lang w:val="en_US" w:bidi="en_US"/>
        </w:rPr>
        <w:t xml:space="preserve"> The Greek word that the BSB translates as </w:t>
      </w:r>
      <w:r>
        <w:rPr>
          <w:i/>
          <w:lang w:val="en_US" w:bidi="en_US"/>
        </w:rPr>
        <w:t>dress yourself to serve me</w:t>
      </w:r>
      <w:r>
        <w:rPr>
          <w:lang w:val="en_US" w:bidi="en_US"/>
        </w:rPr>
        <w:t xml:space="preserve"> means “clothe yourself properly.” For example:</w:t>
      </w:r>
    </w:p>
    <w:p>
      <w:pPr/>
      <w:r>
        <w:rPr>
          <w:lang w:val="en_US" w:bidi="en_US"/>
        </w:rPr>
      </w:r>
      <w:r>
        <w:rPr>
          <w:lang w:val="en_US" w:bidi="en_US"/>
        </w:rPr>
        <w:t>dress properly (ESV)</w:t>
      </w:r>
    </w:p>
    <w:p>
      <w:pPr/>
      <w:r>
        <w:rPr>
          <w:lang w:val="en_US" w:bidi="en_US"/>
        </w:rPr>
      </w:r>
      <w:r>
        <w:rPr>
          <w:lang w:val="en_US" w:bidi="en_US"/>
        </w:rPr>
        <w:t>The servant would probably need to remove the clothes that he had been wearing in the field. He might need to bathe. Then he would need to put on other clothes that were proper for serving food. In some cultures, there may be a specific outer garment appropriate for serving food. For example:</w:t>
      </w:r>
    </w:p>
    <w:p>
      <w:pPr/>
      <w:r>
        <w:rPr>
          <w:lang w:val="en_US" w:bidi="en_US"/>
        </w:rPr>
      </w:r>
      <w:r>
        <w:rPr>
          <w:lang w:val="en_US" w:bidi="en_US"/>
        </w:rPr>
        <w:t>then put on your apron (GNT)</w:t>
      </w:r>
    </w:p>
    <w:p>
      <w:pPr/>
      <w:r>
        <w:rPr>
          <w:lang w:val="en_US" w:bidi="en_US"/>
        </w:rPr>
      </w:r>
      <w:r>
        <w:rPr>
          <w:b/>
          <w:lang w:val="en_US" w:bidi="en_US"/>
        </w:rPr>
        <w:t>while I eat and drink:</w:t>
      </w:r>
      <w:r>
        <w:rPr>
          <w:lang w:val="en_US" w:bidi="en_US"/>
        </w:rPr>
        <w:t xml:space="preserve"> The Greek word that the BSB translates as </w:t>
      </w:r>
      <w:r>
        <w:rPr>
          <w:i/>
          <w:lang w:val="en_US" w:bidi="en_US"/>
        </w:rPr>
        <w:t>while I eat and drink</w:t>
      </w:r>
      <w:r>
        <w:rPr>
          <w:lang w:val="en_US" w:bidi="en_US"/>
        </w:rPr>
        <w:t xml:space="preserve"> means “serve me.” The master expected his servant to bring the food and drink and serve it to him. Then the servant would wait nearby while his master ate so that if his master asked for anything else, he could bring that also. Use a natural way in your language to describe this. Some ways to translate it in English are:</w:t>
      </w:r>
    </w:p>
    <w:p>
      <w:pPr/>
      <w:r>
        <w:rPr>
          <w:lang w:val="en_US" w:bidi="en_US"/>
        </w:rPr>
      </w:r>
      <w:r>
        <w:rPr>
          <w:lang w:val="en_US" w:bidi="en_US"/>
        </w:rPr>
        <w:t>serve me while I eat (NLT)</w:t>
      </w:r>
    </w:p>
    <w:p>
      <w:pPr/>
      <w:r>
        <w:rPr>
          <w:lang w:val="en_US" w:bidi="en_US"/>
        </w:rPr>
      </w:r>
      <w:r>
        <w:rPr>
          <w:lang w:val="en_US" w:bidi="en_US"/>
        </w:rPr>
        <w:t>bring the food and</w:t>
      </w:r>
      <w:r>
        <w:rPr>
          <w:lang w:val="en_US" w:bidi="en_US"/>
        </w:rPr>
        <w:t xml:space="preserve"> serve me until I finish eating and drinking</w:t>
      </w:r>
    </w:p>
    <w:p>
      <w:pPr/>
      <w:r>
        <w:rPr>
          <w:lang w:val="en_US" w:bidi="en_US"/>
        </w:rPr>
      </w:r>
      <w:r>
        <w:rPr>
          <w:b/>
          <w:lang w:val="en_US" w:bidi="en_US"/>
        </w:rPr>
        <w:t>eat and drink:</w:t>
      </w:r>
      <w:r>
        <w:rPr>
          <w:lang w:val="en_US" w:bidi="en_US"/>
        </w:rPr>
        <w:t xml:space="preserve"> The phrase </w:t>
      </w:r>
      <w:r>
        <w:rPr>
          <w:i/>
          <w:lang w:val="en_US" w:bidi="en_US"/>
        </w:rPr>
        <w:t>eat and drink</w:t>
      </w:r>
      <w:r>
        <w:rPr>
          <w:lang w:val="en_US" w:bidi="en_US"/>
        </w:rPr>
        <w:t xml:space="preserve"> was a common way in that culture to refer to having a meal. Use a natural way to refer to it in your language. Other ways to do this in English are:</w:t>
      </w:r>
    </w:p>
    <w:p>
      <w:pPr/>
      <w:r>
        <w:rPr>
          <w:lang w:val="en_US" w:bidi="en_US"/>
        </w:rPr>
      </w:r>
      <w:r>
        <w:rPr>
          <w:lang w:val="en_US" w:bidi="en_US"/>
        </w:rPr>
        <w:t>eat</w:t>
      </w:r>
    </w:p>
    <w:p>
      <w:pPr/>
      <w:r>
        <w:rPr>
          <w:lang w:val="en_US" w:bidi="en_US"/>
        </w:rPr>
      </w:r>
      <w:r>
        <w:rPr>
          <w:lang w:val="en_US" w:bidi="en_US"/>
        </w:rPr>
        <w:t>have/eat dinner</w:t>
      </w:r>
    </w:p>
    <w:p>
      <w:pPr/>
      <w:r>
        <w:rPr>
          <w:lang w:val="en_US" w:bidi="en_US"/>
        </w:rPr>
      </w:r>
      <w:r>
        <w:rPr>
          <w:lang w:val="en_US" w:bidi="en_US"/>
        </w:rPr>
        <w:t>have my meal (CEV)</w:t>
      </w:r>
    </w:p>
    <w:p>
      <w:pPr>
        <w:pStyle w:val="Heading5"/>
      </w:pPr>
      <w:r>
        <w:rPr>
          <w:lang w:val="en_US" w:bidi="en_US"/>
        </w:rPr>
        <w:t>17:8c</w:t>
      </w:r>
    </w:p>
    <w:p>
      <w:pPr/>
      <w:r>
        <w:rPr>
          <w:lang w:val="en_US" w:bidi="en_US"/>
        </w:rPr>
      </w:r>
      <w:r>
        <w:rPr>
          <w:b/>
          <w:lang w:val="en_US" w:bidi="en_US"/>
        </w:rPr>
        <w:t>and afterward you may eat and drink’?</w:t>
      </w:r>
    </w:p>
    <w:p>
      <w:pPr>
        <w:pStyle w:val="ListBullet"/>
        <w:spacing w:line="240" w:lineRule="auto"/>
        <w:ind w:left="720"/>
      </w:pPr>
      <w:r>
        <w:rPr>
          <w:lang w:val="en_US" w:bidi="en_US"/>
        </w:rPr>
      </w:r>
      <w:r>
        <w:rPr>
          <w:lang w:val="en_US" w:bidi="en_US"/>
        </w:rPr>
        <w:t xml:space="preserve">Then </w:t>
      </w:r>
      <w:r>
        <w:rPr>
          <w:lang w:val="en_US" w:bidi="en_US"/>
        </w:rPr>
        <w:t>when I finish,</w:t>
      </w:r>
      <w:r>
        <w:rPr>
          <w:lang w:val="en_US" w:bidi="en_US"/>
        </w:rPr>
        <w:t xml:space="preserve"> you</w:t>
      </w:r>
      <w:r>
        <w:rPr>
          <w:vertAlign w:val="superscript"/>
          <w:lang w:val="en_US" w:bidi="en_US"/>
        </w:rPr>
        <w:t>(sing)</w:t>
      </w:r>
      <w:r>
        <w:rPr>
          <w:lang w:val="en_US" w:bidi="en_US"/>
        </w:rPr>
        <w:t xml:space="preserve"> may eat and drink.’</w:t>
      </w:r>
    </w:p>
    <w:p>
      <w:pPr>
        <w:pStyle w:val="ListBullet"/>
        <w:spacing w:line="240" w:lineRule="auto"/>
        <w:ind w:left="720"/>
      </w:pPr>
      <w:r>
        <w:rPr>
          <w:lang w:val="en_US" w:bidi="en_US"/>
        </w:rPr>
      </w:r>
      <w:r>
        <w:rPr>
          <w:lang w:val="en_US" w:bidi="en_US"/>
        </w:rPr>
        <w:t xml:space="preserve">When I finish </w:t>
      </w:r>
      <w:r>
        <w:rPr>
          <w:lang w:val="en_US" w:bidi="en_US"/>
        </w:rPr>
        <w:t>my dinner</w:t>
      </w:r>
      <w:r>
        <w:rPr>
          <w:lang w:val="en_US" w:bidi="en_US"/>
        </w:rPr>
        <w:t>, then you</w:t>
      </w:r>
      <w:r>
        <w:rPr>
          <w:vertAlign w:val="superscript"/>
          <w:lang w:val="en_US" w:bidi="en_US"/>
        </w:rPr>
        <w:t>(sing)</w:t>
      </w:r>
      <w:r>
        <w:rPr>
          <w:lang w:val="en_US" w:bidi="en_US"/>
        </w:rPr>
        <w:t xml:space="preserve"> may eat </w:t>
      </w:r>
      <w:r>
        <w:rPr>
          <w:lang w:val="en_US" w:bidi="en_US"/>
        </w:rPr>
        <w:t>yours</w:t>
      </w:r>
      <w:r>
        <w:rPr>
          <w:lang w:val="en_US" w:bidi="en_US"/>
        </w:rPr>
        <w:t>.’</w:t>
      </w:r>
    </w:p>
    <w:p>
      <w:pPr/>
      <w:r>
        <w:rPr>
          <w:lang w:val="en_US" w:bidi="en_US"/>
        </w:rPr>
      </w:r>
      <w:r>
        <w:rPr>
          <w:b/>
          <w:lang w:val="en_US" w:bidi="en_US"/>
        </w:rPr>
        <w:t>and afterward:</w:t>
      </w:r>
      <w:r>
        <w:rPr>
          <w:lang w:val="en_US" w:bidi="en_US"/>
        </w:rPr>
        <w:t xml:space="preserve"> The Greek phrase that the BSB translates as </w:t>
      </w:r>
      <w:r>
        <w:rPr>
          <w:i/>
          <w:lang w:val="en_US" w:bidi="en_US"/>
        </w:rPr>
        <w:t>and afterward</w:t>
      </w:r>
      <w:r>
        <w:rPr>
          <w:lang w:val="en_US" w:bidi="en_US"/>
        </w:rPr>
        <w:t xml:space="preserve"> refers to after the master has finished eating. For example:</w:t>
      </w:r>
    </w:p>
    <w:p>
      <w:pPr/>
      <w:r>
        <w:rPr>
          <w:lang w:val="en_US" w:bidi="en_US"/>
        </w:rPr>
      </w:r>
      <w:r>
        <w:rPr>
          <w:lang w:val="en_US" w:bidi="en_US"/>
        </w:rPr>
        <w:t>when I’ve finished (JBP)</w:t>
      </w:r>
    </w:p>
    <w:p>
      <w:pPr/>
      <w:r>
        <w:rPr>
          <w:lang w:val="en_US" w:bidi="en_US"/>
        </w:rPr>
      </w:r>
      <w:r>
        <w:rPr>
          <w:lang w:val="en_US" w:bidi="en_US"/>
        </w:rPr>
        <w:t>After I finish eating and drinking (NCV)</w:t>
      </w:r>
    </w:p>
    <w:p>
      <w:pPr/>
      <w:r>
        <w:rPr>
          <w:lang w:val="en_US" w:bidi="en_US"/>
        </w:rPr>
      </w:r>
      <w:r>
        <w:rPr>
          <w:lang w:val="en_US" w:bidi="en_US"/>
        </w:rPr>
        <w:t>Use a natural expression in your language.</w:t>
      </w:r>
    </w:p>
    <w:p>
      <w:pPr/>
      <w:r>
        <w:rPr>
          <w:lang w:val="en_US" w:bidi="en_US"/>
        </w:rPr>
      </w:r>
      <w:r>
        <w:rPr>
          <w:b/>
          <w:lang w:val="en_US" w:bidi="en_US"/>
        </w:rPr>
        <w:t>you may eat and drink:</w:t>
      </w:r>
      <w:r>
        <w:rPr>
          <w:lang w:val="en_US" w:bidi="en_US"/>
        </w:rPr>
        <w:t xml:space="preserve"> As in 17:8b, you should use a natural expression in your language.</w:t>
      </w:r>
      <w:r>
        <w:rPr>
          <w:lang w:val="en_US" w:bidi="en_US"/>
        </w:rPr>
      </w:r>
      <w:r>
        <w:rPr>
          <w:lang w:val="en_US" w:bidi="en_US"/>
        </w:rPr>
      </w:r>
    </w:p>
    <w:p>
      <w:pPr/>
      <w:r>
        <w:rPr>
          <w:lang w:val="en_US" w:bidi="en_US"/>
        </w:rPr>
      </w:r>
    </w:p>
    <w:p>
      <w:pPr>
        <w:pStyle w:val="Heading2"/>
      </w:pPr>
      <w:r>
        <w:rPr>
          <w:lang w:val="en_US" w:bidi="en_US"/>
        </w:rPr>
        <w:t>Luke 17:9</w:t>
      </w:r>
      <w:r>
        <w:rPr>
          <w:lang w:val="en_US" w:bidi="en_US"/>
        </w:rPr>
      </w:r>
    </w:p>
    <w:p>
      <w:pPr>
        <w:pStyle w:val="Heading4"/>
      </w:pPr>
      <w:r>
        <w:rPr>
          <w:lang w:val="en_US" w:bidi="en_US"/>
        </w:rPr>
        <w:t>Section 17:1–10: Jesus taught his disciples about sin, faith, and duty</w:t>
      </w:r>
    </w:p>
    <w:p>
      <w:pPr/>
      <w:r>
        <w:rPr>
          <w:lang w:val="en_US" w:bidi="en_US"/>
        </w:rPr>
      </w:r>
      <w:r>
        <w:rPr>
          <w:lang w:val="en_US" w:bidi="en_US"/>
        </w:rPr>
        <w:t>At the end of chapter 16, Jesus was speaking to the Pharisees. He concluded his parable about Lazarus and the rich man. Here in 17:1–10, he spoke to his disciples and taught them about several issues.</w:t>
      </w:r>
      <w:r>
        <w:rPr>
          <w:lang w:val="en_US" w:bidi="en_US"/>
        </w:rPr>
        <w:t>Scholars have different opinions about whether the teachings in this section are thematically related to Jesus’ teachings in chapter 16. Some scholars say that the teachings in the two chapters are not connected. Other scholars do see a broad connection. Green says, “Especially due to its location adjacent to prior accounts of Jesus’ interaction with Pharisees, this pericope recapitulates Jesus’ message to his followers: They are not to be like the Pharisees!” (p. 611). Liefeld says that “it is also possible to see a logical connection between the end of chapter 16 and the beginning of chapter 17, if we understand ‘the things that cause people to sin’ to be the sins of the Pharisees, such as those mentioned in 16:14.” Scholars also disagree about whether the paragraphs in this section are related to each other. About this, Liefeld says that “there is a common unifying theme of attitudes in the Christian community” (p. 994). Morris also mentions this possible connection: “The connecting link here may be the attitude of the religious leaders. They were in danger of using their wealth wrongly, and they were also in danger of leading their lesser brethren astray—temptations that would confront his disciples as well as people like the Pharisees” (p. 279). Nolland (p. 835) says, “Luke seems to have cobbled a unity together here of three separate blocks of tradition (verses 1–2, 3–4, 5–6). The catchword link “into/in the sea” from verse 2 to verse 6 helps to give a formal unity to the piece, and it is likely that he intends the blocks so juxtaposed, to mutually qualify the meaning of one another.” He also says, “As he opens this new section (17:1–19) Luke has brought together three blocks of tradition to form a unit about the adequacy, despite all human frailty, of even the most meager of kingdom faiths for the radical challenge of Jesus’ teaching” (p. 839).</w:t>
      </w:r>
    </w:p>
    <w:p>
      <w:pPr/>
      <w:r>
        <w:rPr>
          <w:lang w:val="en_US" w:bidi="en_US"/>
        </w:rPr>
      </w:r>
      <w:r>
        <w:rPr>
          <w:lang w:val="en_US" w:bidi="en_US"/>
        </w:rPr>
        <w:t>English versions divide these verses into sections in different ways. For example:</w:t>
      </w:r>
    </w:p>
    <w:p>
      <w:pPr>
        <w:pStyle w:val="ListNumber"/>
        <w:numPr>
          <w:ilvl w:val="0"/>
          <w:numId w:val="287"/>
        </w:numPr>
        <w:spacing w:line="240" w:lineRule="auto"/>
        <w:ind w:left="720"/>
      </w:pPr>
      <w:r>
        <w:rPr>
          <w:lang w:val="en_US" w:bidi="en_US"/>
        </w:rPr>
      </w:r>
      <w:r>
        <w:rPr>
          <w:lang w:val="en_US" w:bidi="en_US"/>
        </w:rPr>
        <w:t>Most versions put 17:1–10 together in one section and have one heading. (The Notes follow these versions.)</w:t>
      </w:r>
    </w:p>
    <w:p>
      <w:pPr>
        <w:pStyle w:val="ListNumber"/>
        <w:spacing w:line="240" w:lineRule="auto"/>
        <w:ind w:left="720"/>
      </w:pPr>
      <w:r>
        <w:rPr>
          <w:lang w:val="en_US" w:bidi="en_US"/>
        </w:rPr>
      </w:r>
      <w:r>
        <w:rPr>
          <w:lang w:val="en_US" w:bidi="en_US"/>
        </w:rPr>
        <w:t>Some versions divide 17:1–10 into three sections with a heading for each one. For example, the GNT has: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17:1–4</w:t>
            </w:r>
          </w:p>
        </w:tc>
        <w:tc>
          <w:tcPr>
            <w:tcW w:type="dxa" w:w="4680"/>
          </w:tcPr>
          <w:p>
            <w:pPr/>
            <w:r>
              <w:rPr>
                <w:lang w:val="en_US" w:bidi="en_US"/>
              </w:rPr>
            </w:r>
            <w:r>
              <w:rPr>
                <w:lang w:val="en_US" w:bidi="en_US"/>
              </w:rPr>
              <w:t>Sin</w:t>
            </w:r>
          </w:p>
        </w:tc>
      </w:tr>
      <w:tr>
        <w:tc>
          <w:tcPr>
            <w:tcW w:type="dxa" w:w="4680"/>
          </w:tcPr>
          <w:p>
            <w:pPr/>
            <w:r>
              <w:rPr>
                <w:lang w:val="en_US" w:bidi="en_US"/>
              </w:rPr>
            </w:r>
            <w:r>
              <w:rPr>
                <w:lang w:val="en_US" w:bidi="en_US"/>
              </w:rPr>
              <w:t>17:5–6</w:t>
            </w:r>
          </w:p>
        </w:tc>
        <w:tc>
          <w:tcPr>
            <w:tcW w:type="dxa" w:w="4680"/>
          </w:tcPr>
          <w:p>
            <w:pPr/>
            <w:r>
              <w:rPr>
                <w:lang w:val="en_US" w:bidi="en_US"/>
              </w:rPr>
            </w:r>
            <w:r>
              <w:rPr>
                <w:lang w:val="en_US" w:bidi="en_US"/>
              </w:rPr>
              <w:t>Faith</w:t>
            </w:r>
          </w:p>
        </w:tc>
      </w:tr>
      <w:tr>
        <w:tc>
          <w:tcPr>
            <w:tcW w:type="dxa" w:w="4680"/>
          </w:tcPr>
          <w:p>
            <w:pPr/>
            <w:r>
              <w:rPr>
                <w:lang w:val="en_US" w:bidi="en_US"/>
              </w:rPr>
            </w:r>
            <w:r>
              <w:rPr>
                <w:lang w:val="en_US" w:bidi="en_US"/>
              </w:rPr>
              <w:t>17:7–10</w:t>
            </w:r>
          </w:p>
        </w:tc>
        <w:tc>
          <w:tcPr>
            <w:tcW w:type="dxa" w:w="4680"/>
          </w:tcPr>
          <w:p>
            <w:pPr/>
            <w:r>
              <w:rPr>
                <w:lang w:val="en_US" w:bidi="en_US"/>
              </w:rPr>
            </w:r>
            <w:r>
              <w:rPr>
                <w:lang w:val="en_US" w:bidi="en_US"/>
              </w:rPr>
              <w:t>A servant’s duty</w:t>
            </w:r>
          </w:p>
        </w:tc>
      </w:tr>
    </w:tbl>
    <w:p>
      <w:pPr/>
      <w:r>
        <w:rPr>
          <w:lang w:val="en_US" w:bidi="en_US"/>
        </w:rPr>
      </w:r>
      <w:r>
        <w:rPr>
          <w:lang w:val="en_US" w:bidi="en_US"/>
        </w:rPr>
        <w:t>Some other possible headings for this section are:</w:t>
      </w:r>
    </w:p>
    <w:p>
      <w:pPr/>
      <w:r>
        <w:rPr>
          <w:lang w:val="en_US" w:bidi="en_US"/>
        </w:rPr>
      </w:r>
      <w:r>
        <w:rPr>
          <w:lang w:val="en_US" w:bidi="en_US"/>
        </w:rPr>
        <w:t>Jesus taught his disciples to not cause others to sin, to forgive others, and to serve him humbly</w:t>
      </w:r>
    </w:p>
    <w:p>
      <w:pPr/>
      <w:r>
        <w:rPr>
          <w:lang w:val="en_US" w:bidi="en_US"/>
        </w:rPr>
      </w:r>
      <w:r>
        <w:rPr>
          <w:lang w:val="en_US" w:bidi="en_US"/>
        </w:rPr>
        <w:t>Teachings about Forgiveness and Faith (NLT)</w:t>
      </w:r>
    </w:p>
    <w:p>
      <w:pPr/>
      <w:r>
        <w:rPr>
          <w:lang w:val="en_US" w:bidi="en_US"/>
        </w:rPr>
      </w:r>
      <w:r>
        <w:rPr>
          <w:lang w:val="en_US" w:bidi="en_US"/>
        </w:rPr>
        <w:t>Sin, Forgiveness, Faith, and Service (NET)</w:t>
      </w:r>
    </w:p>
    <w:p>
      <w:pPr/>
      <w:r>
        <w:rPr>
          <w:lang w:val="en_US" w:bidi="en_US"/>
        </w:rPr>
      </w:r>
      <w:r>
        <w:rPr>
          <w:lang w:val="en_US" w:bidi="en_US"/>
        </w:rPr>
        <w:t>There are parallel passages for this section in Matthew 18:6–7 and 18:15 and in Mark 9:42. However, Jesus may have spoken these passages in a different context from the one in this section.</w:t>
      </w:r>
    </w:p>
    <w:p>
      <w:pPr>
        <w:pStyle w:val="Heading4"/>
      </w:pPr>
      <w:r>
        <w:rPr>
          <w:lang w:val="en_US" w:bidi="en_US"/>
        </w:rPr>
        <w:t>Paragraph 17:7–10</w:t>
      </w:r>
    </w:p>
    <w:p>
      <w:pPr/>
      <w:r>
        <w:rPr>
          <w:lang w:val="en_US" w:bidi="en_US"/>
        </w:rPr>
      </w:r>
      <w:r>
        <w:rPr>
          <w:lang w:val="en_US" w:bidi="en_US"/>
        </w:rPr>
        <w:t>In this paragraph, Jesus told a parable to illustrate the attitude that he wanted his disciples to have. Just as a slave must serve his master, a disciple must serve God, his master. That is his duty. He should obey God without thinking that God should reward him in any special way.</w:t>
      </w:r>
    </w:p>
    <w:p>
      <w:pPr>
        <w:pStyle w:val="Heading5"/>
      </w:pPr>
      <w:r>
        <w:rPr>
          <w:lang w:val="en_US" w:bidi="en_US"/>
        </w:rPr>
        <w:t>17:9</w:t>
      </w:r>
    </w:p>
    <w:p>
      <w:pPr/>
      <w:r>
        <w:rPr>
          <w:lang w:val="en_US" w:bidi="en_US"/>
        </w:rPr>
      </w:r>
      <w:r>
        <w:rPr>
          <w:b/>
          <w:lang w:val="en_US" w:bidi="en_US"/>
        </w:rPr>
        <w:t>Does he thank the servant because he did what he was told?</w:t>
      </w:r>
    </w:p>
    <w:p>
      <w:pPr>
        <w:pStyle w:val="ListBullet"/>
        <w:spacing w:line="240" w:lineRule="auto"/>
        <w:ind w:left="720"/>
      </w:pPr>
      <w:r>
        <w:rPr>
          <w:lang w:val="en_US" w:bidi="en_US"/>
        </w:rPr>
      </w:r>
      <w:r>
        <w:rPr>
          <w:lang w:val="en_US" w:bidi="en_US"/>
        </w:rPr>
        <w:t>And does the master thank the servant for doing what he was told to do? Of course not. (NLT)</w:t>
      </w:r>
    </w:p>
    <w:p>
      <w:pPr>
        <w:pStyle w:val="ListBullet"/>
        <w:spacing w:line="240" w:lineRule="auto"/>
        <w:ind w:left="720"/>
      </w:pPr>
      <w:r>
        <w:rPr>
          <w:lang w:val="en_US" w:bidi="en_US"/>
        </w:rPr>
      </w:r>
      <w:r>
        <w:rPr>
          <w:lang w:val="en_US" w:bidi="en_US"/>
        </w:rPr>
        <w:t xml:space="preserve">Does the master owe his servant a reward because the servant obeyed </w:t>
      </w:r>
      <w:r>
        <w:rPr>
          <w:lang w:val="en_US" w:bidi="en_US"/>
        </w:rPr>
        <w:t>him</w:t>
      </w:r>
      <w:r>
        <w:rPr>
          <w:lang w:val="en_US" w:bidi="en_US"/>
        </w:rPr>
        <w:t>?</w:t>
      </w:r>
    </w:p>
    <w:p>
      <w:pPr>
        <w:pStyle w:val="ListBullet"/>
        <w:spacing w:line="240" w:lineRule="auto"/>
        <w:ind w:left="720"/>
      </w:pPr>
      <w:r>
        <w:rPr>
          <w:lang w:val="en_US" w:bidi="en_US"/>
        </w:rPr>
      </w:r>
      <w:r>
        <w:rPr>
          <w:lang w:val="en_US" w:bidi="en_US"/>
        </w:rPr>
        <w:t>The servant does not get any special thanks for doing what his master commanded. (NCV)</w:t>
      </w:r>
    </w:p>
    <w:p>
      <w:pPr/>
      <w:r>
        <w:rPr>
          <w:lang w:val="en_US" w:bidi="en_US"/>
        </w:rPr>
      </w:r>
      <w:r>
        <w:rPr>
          <w:b/>
          <w:lang w:val="en_US" w:bidi="en_US"/>
        </w:rPr>
        <w:t>Does he thank the servant because he did what he was told?:</w:t>
      </w:r>
      <w:r>
        <w:rPr>
          <w:lang w:val="en_US" w:bidi="en_US"/>
        </w:rPr>
        <w:t xml:space="preserve"> This is a rhetorical question. Jesus used this rhetorical question to emphasize that the master would </w:t>
      </w:r>
      <w:r>
        <w:rPr>
          <w:u w:val="single"/>
          <w:lang w:val="en_US" w:bidi="en_US"/>
        </w:rPr>
        <w:t>not</w:t>
      </w:r>
      <w:r>
        <w:rPr>
          <w:lang w:val="en_US" w:bidi="en_US"/>
        </w:rPr>
        <w:t xml:space="preserve"> do this.</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Does he thank the servant because he did what was commanded? (ESV)</w:t>
      </w:r>
      <w:r>
        <w:rPr>
          <w:lang w:val="en_US" w:bidi="en_US"/>
        </w:rPr>
        <w:t>The servant does not deserve thanks for obeying orders, does he? (GNT)</w:t>
      </w:r>
    </w:p>
    <w:p>
      <w:pPr>
        <w:pStyle w:val="ListBullet"/>
        <w:spacing w:line="240" w:lineRule="auto"/>
        <w:ind w:left="720"/>
      </w:pPr>
      <w:r>
        <w:rPr>
          <w:lang w:val="en_US" w:bidi="en_US"/>
        </w:rPr>
      </w:r>
      <w:r>
        <w:rPr>
          <w:lang w:val="en_US" w:bidi="en_US"/>
        </w:rPr>
        <w:t>As a statement. For example:</w:t>
      </w:r>
      <w:r>
        <w:rPr>
          <w:lang w:val="en_US" w:bidi="en_US"/>
        </w:rPr>
        <w:t>The servant does not get any special thanks for doing what his master commanded. (NCV)</w:t>
      </w:r>
    </w:p>
    <w:p>
      <w:pPr/>
      <w:r>
        <w:rPr>
          <w:lang w:val="en_US" w:bidi="en_US"/>
        </w:rPr>
      </w:r>
      <w:r>
        <w:rPr>
          <w:lang w:val="en_US" w:bidi="en_US"/>
        </w:rPr>
        <w:t>In some languages it may be necessary to supply an answer to the question. For example:</w:t>
      </w:r>
    </w:p>
    <w:p>
      <w:pPr/>
      <w:r>
        <w:rPr>
          <w:lang w:val="en_US" w:bidi="en_US"/>
        </w:rPr>
      </w:r>
      <w:r>
        <w:rPr>
          <w:lang w:val="en_US" w:bidi="en_US"/>
        </w:rPr>
        <w:t>And does the master thank the servant for doing what he was told to do? Of course not. (NLT)</w:t>
      </w:r>
    </w:p>
    <w:p>
      <w:pPr/>
      <w:r>
        <w:rPr>
          <w:lang w:val="en_US" w:bidi="en_US"/>
        </w:rPr>
      </w:r>
      <w:r>
        <w:rPr>
          <w:lang w:val="en_US" w:bidi="en_US"/>
        </w:rPr>
        <w:t>Translate this emphasis in a way that is natural in your language.</w:t>
      </w:r>
    </w:p>
    <w:p>
      <w:pPr/>
      <w:r>
        <w:rPr>
          <w:lang w:val="en_US" w:bidi="en_US"/>
        </w:rPr>
      </w:r>
      <w:r>
        <w:rPr>
          <w:b/>
          <w:lang w:val="en_US" w:bidi="en_US"/>
        </w:rPr>
        <w:t>Does he thank the servant:</w:t>
      </w:r>
      <w:r>
        <w:rPr>
          <w:lang w:val="en_US" w:bidi="en_US"/>
        </w:rPr>
        <w:t xml:space="preserve"> The Greek phrase that the BSB translates as </w:t>
      </w:r>
      <w:r>
        <w:rPr>
          <w:i/>
          <w:lang w:val="en_US" w:bidi="en_US"/>
        </w:rPr>
        <w:t>Does he thank</w:t>
      </w:r>
      <w:r>
        <w:rPr>
          <w:lang w:val="en_US" w:bidi="en_US"/>
        </w:rPr>
        <w:t xml:space="preserve"> is more literally “does he have thanks.” In this context the word “thanks” refers to special thanks, praise, or reward. The question in this verse implies that the master is not obligated to give his slave a special reward, privileges, or thanks just for obeying orders.</w:t>
      </w:r>
      <w:r>
        <w:rPr>
          <w:lang w:val="en_US" w:bidi="en_US"/>
        </w:rPr>
        <w:t>Some commentators indicate that the word “thank” is used here in the special sense of “reward” or even “be put under obligation.” For example, Green (p. 614) says, “In this instance, the parable turns on the observation that a slave who is simply completing his work does not by doing so place his master under any obligation to reward him in some way…. Similarly, ‘worthless slaves’ (verse 10) refers to slaves to whom no favor is due (and not to uselessness).” Marshall (p. 647): “The point is then simply that slaves have to carry out their duties without expecting that they thereby place their masters under obligation.”</w:t>
      </w:r>
    </w:p>
    <w:p>
      <w:pPr/>
      <w:r>
        <w:rPr>
          <w:lang w:val="en_US" w:bidi="en_US"/>
        </w:rPr>
      </w:r>
      <w:r>
        <w:rPr>
          <w:lang w:val="en_US" w:bidi="en_US"/>
        </w:rPr>
        <w:t>Some other ways to translate this are:</w:t>
      </w:r>
    </w:p>
    <w:p>
      <w:pPr/>
      <w:r>
        <w:rPr>
          <w:lang w:val="en_US" w:bidi="en_US"/>
        </w:rPr>
      </w:r>
      <w:r>
        <w:rPr>
          <w:lang w:val="en_US" w:bidi="en_US"/>
        </w:rPr>
        <w:t>Would he thank/reward his servant</w:t>
      </w:r>
    </w:p>
    <w:p>
      <w:pPr/>
      <w:r>
        <w:rPr>
          <w:lang w:val="en_US" w:bidi="en_US"/>
        </w:rPr>
      </w:r>
      <w:r>
        <w:rPr>
          <w:lang w:val="en_US" w:bidi="en_US"/>
        </w:rPr>
        <w:t xml:space="preserve">Should he give </w:t>
      </w:r>
      <w:r>
        <w:rPr>
          <w:lang w:val="en_US" w:bidi="en_US"/>
        </w:rPr>
        <w:t>his servant</w:t>
      </w:r>
      <w:r>
        <w:rPr>
          <w:lang w:val="en_US" w:bidi="en_US"/>
        </w:rPr>
        <w:t xml:space="preserve"> special thanks/privileges</w:t>
      </w:r>
    </w:p>
    <w:p>
      <w:pPr/>
      <w:r>
        <w:rPr>
          <w:lang w:val="en_US" w:bidi="en_US"/>
        </w:rPr>
      </w:r>
      <w:r>
        <w:rPr>
          <w:b/>
          <w:lang w:val="en_US" w:bidi="en_US"/>
        </w:rPr>
        <w:t>because he did what he was told:</w:t>
      </w:r>
      <w:r>
        <w:rPr>
          <w:lang w:val="en_US" w:bidi="en_US"/>
        </w:rPr>
        <w:t xml:space="preserve"> The Greek clause that the BSB translates as </w:t>
      </w:r>
      <w:r>
        <w:rPr>
          <w:i/>
          <w:lang w:val="en_US" w:bidi="en_US"/>
        </w:rPr>
        <w:t>because he did what he was told</w:t>
      </w:r>
      <w:r>
        <w:rPr>
          <w:lang w:val="en_US" w:bidi="en_US"/>
        </w:rPr>
        <w:t xml:space="preserve"> is literally “because he did the things commanded.” This clause is passive. Some ways to translate it are:</w:t>
      </w:r>
    </w:p>
    <w:p>
      <w:pPr>
        <w:pStyle w:val="ListBullet"/>
        <w:spacing w:line="240" w:lineRule="auto"/>
        <w:ind w:left="720"/>
      </w:pPr>
      <w:r>
        <w:rPr>
          <w:lang w:val="en_US" w:bidi="en_US"/>
        </w:rPr>
      </w:r>
      <w:r>
        <w:rPr>
          <w:lang w:val="en_US" w:bidi="en_US"/>
        </w:rPr>
        <w:t>As a passive clause. For example:</w:t>
      </w:r>
      <w:r>
        <w:rPr>
          <w:lang w:val="en_US" w:bidi="en_US"/>
        </w:rPr>
        <w:t>because he did what was commanded (ESV)</w:t>
      </w:r>
    </w:p>
    <w:p>
      <w:pPr>
        <w:pStyle w:val="ListBullet"/>
        <w:spacing w:line="240" w:lineRule="auto"/>
        <w:ind w:left="720"/>
      </w:pPr>
      <w:r>
        <w:rPr>
          <w:lang w:val="en_US" w:bidi="en_US"/>
        </w:rPr>
      </w:r>
      <w:r>
        <w:rPr>
          <w:lang w:val="en_US" w:bidi="en_US"/>
        </w:rPr>
        <w:t>As an active clause. For example:</w:t>
      </w:r>
      <w:r>
        <w:rPr>
          <w:lang w:val="en_US" w:bidi="en_US"/>
        </w:rPr>
        <w:t>for doing what his master commanded (NCV)</w:t>
      </w:r>
      <w:r>
        <w:rPr>
          <w:lang w:val="en_US" w:bidi="en_US"/>
        </w:rPr>
      </w:r>
      <w:r>
        <w:rPr>
          <w:lang w:val="en_US" w:bidi="en_US"/>
        </w:rPr>
      </w:r>
    </w:p>
    <w:p>
      <w:pPr/>
      <w:r>
        <w:rPr>
          <w:lang w:val="en_US" w:bidi="en_US"/>
        </w:rPr>
      </w:r>
    </w:p>
    <w:p>
      <w:pPr>
        <w:pStyle w:val="Heading2"/>
      </w:pPr>
      <w:r>
        <w:rPr>
          <w:lang w:val="en_US" w:bidi="en_US"/>
        </w:rPr>
        <w:t>Luke 17:10</w:t>
      </w:r>
      <w:r>
        <w:rPr>
          <w:lang w:val="en_US" w:bidi="en_US"/>
        </w:rPr>
      </w:r>
    </w:p>
    <w:p>
      <w:pPr>
        <w:pStyle w:val="Heading4"/>
      </w:pPr>
      <w:r>
        <w:rPr>
          <w:lang w:val="en_US" w:bidi="en_US"/>
        </w:rPr>
        <w:t>Section 17:1–10: Jesus taught his disciples about sin, faith, and duty</w:t>
      </w:r>
    </w:p>
    <w:p>
      <w:pPr/>
      <w:r>
        <w:rPr>
          <w:lang w:val="en_US" w:bidi="en_US"/>
        </w:rPr>
      </w:r>
      <w:r>
        <w:rPr>
          <w:lang w:val="en_US" w:bidi="en_US"/>
        </w:rPr>
        <w:t>At the end of chapter 16, Jesus was speaking to the Pharisees. He concluded his parable about Lazarus and the rich man. Here in 17:1–10, he spoke to his disciples and taught them about several issues.</w:t>
      </w:r>
      <w:r>
        <w:rPr>
          <w:lang w:val="en_US" w:bidi="en_US"/>
        </w:rPr>
        <w:t>Scholars have different opinions about whether the teachings in this section are thematically related to Jesus’ teachings in chapter 16. Some scholars say that the teachings in the two chapters are not connected. Other scholars do see a broad connection. Green says, “Especially due to its location adjacent to prior accounts of Jesus’ interaction with Pharisees, this pericope recapitulates Jesus’ message to his followers: They are not to be like the Pharisees!” (p. 611). Liefeld says that “it is also possible to see a logical connection between the end of chapter 16 and the beginning of chapter 17, if we understand ‘the things that cause people to sin’ to be the sins of the Pharisees, such as those mentioned in 16:14.” Scholars also disagree about whether the paragraphs in this section are related to each other. About this, Liefeld says that “there is a common unifying theme of attitudes in the Christian community” (p. 994). Morris also mentions this possible connection: “The connecting link here may be the attitude of the religious leaders. They were in danger of using their wealth wrongly, and they were also in danger of leading their lesser brethren astray—temptations that would confront his disciples as well as people like the Pharisees” (p. 279). Nolland (p. 835) says, “Luke seems to have cobbled a unity together here of three separate blocks of tradition (verses 1–2, 3–4, 5–6). The catchword link “into/in the sea” from verse 2 to verse 6 helps to give a formal unity to the piece, and it is likely that he intends the blocks so juxtaposed, to mutually qualify the meaning of one another.” He also says, “As he opens this new section (17:1–19) Luke has brought together three blocks of tradition to form a unit about the adequacy, despite all human frailty, of even the most meager of kingdom faiths for the radical challenge of Jesus’ teaching” (p. 839).</w:t>
      </w:r>
    </w:p>
    <w:p>
      <w:pPr/>
      <w:r>
        <w:rPr>
          <w:lang w:val="en_US" w:bidi="en_US"/>
        </w:rPr>
      </w:r>
      <w:r>
        <w:rPr>
          <w:lang w:val="en_US" w:bidi="en_US"/>
        </w:rPr>
        <w:t>English versions divide these verses into sections in different ways. For example:</w:t>
      </w:r>
    </w:p>
    <w:p>
      <w:pPr>
        <w:pStyle w:val="ListNumber"/>
        <w:numPr>
          <w:ilvl w:val="0"/>
          <w:numId w:val="288"/>
        </w:numPr>
        <w:spacing w:line="240" w:lineRule="auto"/>
        <w:ind w:left="720"/>
      </w:pPr>
      <w:r>
        <w:rPr>
          <w:lang w:val="en_US" w:bidi="en_US"/>
        </w:rPr>
      </w:r>
      <w:r>
        <w:rPr>
          <w:lang w:val="en_US" w:bidi="en_US"/>
        </w:rPr>
        <w:t>Most versions put 17:1–10 together in one section and have one heading. (The Notes follow these versions.)</w:t>
      </w:r>
    </w:p>
    <w:p>
      <w:pPr>
        <w:pStyle w:val="ListNumber"/>
        <w:spacing w:line="240" w:lineRule="auto"/>
        <w:ind w:left="720"/>
      </w:pPr>
      <w:r>
        <w:rPr>
          <w:lang w:val="en_US" w:bidi="en_US"/>
        </w:rPr>
      </w:r>
      <w:r>
        <w:rPr>
          <w:lang w:val="en_US" w:bidi="en_US"/>
        </w:rPr>
        <w:t>Some versions divide 17:1–10 into three sections with a heading for each one. For example, the GNT has: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17:1–4</w:t>
            </w:r>
          </w:p>
        </w:tc>
        <w:tc>
          <w:tcPr>
            <w:tcW w:type="dxa" w:w="4680"/>
          </w:tcPr>
          <w:p>
            <w:pPr/>
            <w:r>
              <w:rPr>
                <w:lang w:val="en_US" w:bidi="en_US"/>
              </w:rPr>
            </w:r>
            <w:r>
              <w:rPr>
                <w:lang w:val="en_US" w:bidi="en_US"/>
              </w:rPr>
              <w:t>Sin</w:t>
            </w:r>
          </w:p>
        </w:tc>
      </w:tr>
      <w:tr>
        <w:tc>
          <w:tcPr>
            <w:tcW w:type="dxa" w:w="4680"/>
          </w:tcPr>
          <w:p>
            <w:pPr/>
            <w:r>
              <w:rPr>
                <w:lang w:val="en_US" w:bidi="en_US"/>
              </w:rPr>
            </w:r>
            <w:r>
              <w:rPr>
                <w:lang w:val="en_US" w:bidi="en_US"/>
              </w:rPr>
              <w:t>17:5–6</w:t>
            </w:r>
          </w:p>
        </w:tc>
        <w:tc>
          <w:tcPr>
            <w:tcW w:type="dxa" w:w="4680"/>
          </w:tcPr>
          <w:p>
            <w:pPr/>
            <w:r>
              <w:rPr>
                <w:lang w:val="en_US" w:bidi="en_US"/>
              </w:rPr>
            </w:r>
            <w:r>
              <w:rPr>
                <w:lang w:val="en_US" w:bidi="en_US"/>
              </w:rPr>
              <w:t>Faith</w:t>
            </w:r>
          </w:p>
        </w:tc>
      </w:tr>
      <w:tr>
        <w:tc>
          <w:tcPr>
            <w:tcW w:type="dxa" w:w="4680"/>
          </w:tcPr>
          <w:p>
            <w:pPr/>
            <w:r>
              <w:rPr>
                <w:lang w:val="en_US" w:bidi="en_US"/>
              </w:rPr>
            </w:r>
            <w:r>
              <w:rPr>
                <w:lang w:val="en_US" w:bidi="en_US"/>
              </w:rPr>
              <w:t>17:7–10</w:t>
            </w:r>
          </w:p>
        </w:tc>
        <w:tc>
          <w:tcPr>
            <w:tcW w:type="dxa" w:w="4680"/>
          </w:tcPr>
          <w:p>
            <w:pPr/>
            <w:r>
              <w:rPr>
                <w:lang w:val="en_US" w:bidi="en_US"/>
              </w:rPr>
            </w:r>
            <w:r>
              <w:rPr>
                <w:lang w:val="en_US" w:bidi="en_US"/>
              </w:rPr>
              <w:t>A servant’s duty</w:t>
            </w:r>
          </w:p>
        </w:tc>
      </w:tr>
    </w:tbl>
    <w:p>
      <w:pPr/>
      <w:r>
        <w:rPr>
          <w:lang w:val="en_US" w:bidi="en_US"/>
        </w:rPr>
      </w:r>
      <w:r>
        <w:rPr>
          <w:lang w:val="en_US" w:bidi="en_US"/>
        </w:rPr>
        <w:t>Some other possible headings for this section are:</w:t>
      </w:r>
    </w:p>
    <w:p>
      <w:pPr/>
      <w:r>
        <w:rPr>
          <w:lang w:val="en_US" w:bidi="en_US"/>
        </w:rPr>
      </w:r>
      <w:r>
        <w:rPr>
          <w:lang w:val="en_US" w:bidi="en_US"/>
        </w:rPr>
        <w:t>Jesus taught his disciples to not cause others to sin, to forgive others, and to serve him humbly</w:t>
      </w:r>
    </w:p>
    <w:p>
      <w:pPr/>
      <w:r>
        <w:rPr>
          <w:lang w:val="en_US" w:bidi="en_US"/>
        </w:rPr>
      </w:r>
      <w:r>
        <w:rPr>
          <w:lang w:val="en_US" w:bidi="en_US"/>
        </w:rPr>
        <w:t>Teachings about Forgiveness and Faith (NLT)</w:t>
      </w:r>
    </w:p>
    <w:p>
      <w:pPr/>
      <w:r>
        <w:rPr>
          <w:lang w:val="en_US" w:bidi="en_US"/>
        </w:rPr>
      </w:r>
      <w:r>
        <w:rPr>
          <w:lang w:val="en_US" w:bidi="en_US"/>
        </w:rPr>
        <w:t>Sin, Forgiveness, Faith, and Service (NET)</w:t>
      </w:r>
    </w:p>
    <w:p>
      <w:pPr/>
      <w:r>
        <w:rPr>
          <w:lang w:val="en_US" w:bidi="en_US"/>
        </w:rPr>
      </w:r>
      <w:r>
        <w:rPr>
          <w:lang w:val="en_US" w:bidi="en_US"/>
        </w:rPr>
        <w:t>There are parallel passages for this section in Matthew 18:6–7 and 18:15 and in Mark 9:42. However, Jesus may have spoken these passages in a different context from the one in this section.</w:t>
      </w:r>
    </w:p>
    <w:p>
      <w:pPr>
        <w:pStyle w:val="Heading4"/>
      </w:pPr>
      <w:r>
        <w:rPr>
          <w:lang w:val="en_US" w:bidi="en_US"/>
        </w:rPr>
        <w:t>Paragraph 17:7–10</w:t>
      </w:r>
    </w:p>
    <w:p>
      <w:pPr/>
      <w:r>
        <w:rPr>
          <w:lang w:val="en_US" w:bidi="en_US"/>
        </w:rPr>
      </w:r>
      <w:r>
        <w:rPr>
          <w:lang w:val="en_US" w:bidi="en_US"/>
        </w:rPr>
        <w:t>In this paragraph, Jesus told a parable to illustrate the attitude that he wanted his disciples to have. Just as a slave must serve his master, a disciple must serve God, his master. That is his duty. He should obey God without thinking that God should reward him in any special way.</w:t>
      </w:r>
    </w:p>
    <w:p>
      <w:pPr>
        <w:pStyle w:val="Heading5"/>
      </w:pPr>
      <w:r>
        <w:rPr>
          <w:lang w:val="en_US" w:bidi="en_US"/>
        </w:rPr>
        <w:t>17:10a</w:t>
      </w:r>
    </w:p>
    <w:p>
      <w:pPr/>
      <w:r>
        <w:rPr>
          <w:lang w:val="en_US" w:bidi="en_US"/>
        </w:rPr>
      </w:r>
      <w:r>
        <w:rPr>
          <w:b/>
          <w:lang w:val="en_US" w:bidi="en_US"/>
        </w:rPr>
        <w:t>So you also,</w:t>
      </w:r>
    </w:p>
    <w:p>
      <w:pPr>
        <w:pStyle w:val="ListBullet"/>
        <w:spacing w:line="240" w:lineRule="auto"/>
        <w:ind w:left="720"/>
      </w:pPr>
      <w:r>
        <w:rPr>
          <w:lang w:val="en_US" w:bidi="en_US"/>
        </w:rPr>
      </w:r>
      <w:r>
        <w:rPr>
          <w:lang w:val="en_US" w:bidi="en_US"/>
        </w:rPr>
        <w:t>So you</w:t>
      </w:r>
      <w:r>
        <w:rPr>
          <w:vertAlign w:val="superscript"/>
          <w:lang w:val="en_US" w:bidi="en_US"/>
        </w:rPr>
        <w:t>(plur)</w:t>
      </w:r>
      <w:r>
        <w:rPr>
          <w:lang w:val="en_US" w:bidi="en_US"/>
        </w:rPr>
        <w:t xml:space="preserve"> </w:t>
      </w:r>
      <w:r>
        <w:rPr>
          <w:lang w:val="en_US" w:bidi="en_US"/>
        </w:rPr>
        <w:t>disciples</w:t>
      </w:r>
      <w:r>
        <w:rPr>
          <w:lang w:val="en_US" w:bidi="en_US"/>
        </w:rPr>
        <w:t xml:space="preserve"> too,</w:t>
      </w:r>
    </w:p>
    <w:p>
      <w:pPr>
        <w:pStyle w:val="ListBullet"/>
        <w:spacing w:line="240" w:lineRule="auto"/>
        <w:ind w:left="720"/>
      </w:pPr>
      <w:r>
        <w:rPr>
          <w:lang w:val="en_US" w:bidi="en_US"/>
        </w:rPr>
      </w:r>
      <w:r>
        <w:rPr>
          <w:lang w:val="en_US" w:bidi="en_US"/>
        </w:rPr>
        <w:t>It is the same with you, (GNT)</w:t>
      </w:r>
    </w:p>
    <w:p>
      <w:pPr/>
      <w:r>
        <w:rPr>
          <w:lang w:val="en_US" w:bidi="en_US"/>
        </w:rPr>
      </w:r>
      <w:r>
        <w:rPr>
          <w:b/>
          <w:lang w:val="en_US" w:bidi="en_US"/>
        </w:rPr>
        <w:t>So you also:</w:t>
      </w:r>
      <w:r>
        <w:rPr>
          <w:lang w:val="en_US" w:bidi="en_US"/>
        </w:rPr>
        <w:t xml:space="preserve"> The clause </w:t>
      </w:r>
      <w:r>
        <w:rPr>
          <w:i/>
          <w:lang w:val="en_US" w:bidi="en_US"/>
        </w:rPr>
        <w:t>So you also</w:t>
      </w:r>
      <w:r>
        <w:rPr>
          <w:lang w:val="en_US" w:bidi="en_US"/>
        </w:rPr>
        <w:t xml:space="preserve"> indicates that Jesus was comparing the situation of his disciples to the situation of the servant. Some other ways to translate this are:</w:t>
      </w:r>
    </w:p>
    <w:p>
      <w:pPr/>
      <w:r>
        <w:rPr>
          <w:lang w:val="en_US" w:bidi="en_US"/>
        </w:rPr>
      </w:r>
      <w:r>
        <w:rPr>
          <w:lang w:val="en_US" w:bidi="en_US"/>
        </w:rPr>
        <w:t xml:space="preserve">So you </w:t>
      </w:r>
      <w:r>
        <w:rPr>
          <w:lang w:val="en_US" w:bidi="en_US"/>
        </w:rPr>
        <w:t>disciples, you</w:t>
      </w:r>
      <w:r>
        <w:rPr>
          <w:lang w:val="en_US" w:bidi="en_US"/>
        </w:rPr>
        <w:t xml:space="preserve"> too, </w:t>
      </w:r>
      <w:r>
        <w:rPr>
          <w:lang w:val="en_US" w:bidi="en_US"/>
        </w:rPr>
        <w:t>like that servant</w:t>
      </w:r>
    </w:p>
    <w:p>
      <w:pPr/>
      <w:r>
        <w:rPr>
          <w:lang w:val="en_US" w:bidi="en_US"/>
        </w:rPr>
      </w:r>
      <w:r>
        <w:rPr>
          <w:lang w:val="en_US" w:bidi="en_US"/>
        </w:rPr>
        <w:t>It is the same with you (GNT)</w:t>
      </w:r>
    </w:p>
    <w:p>
      <w:pPr>
        <w:pStyle w:val="Heading5"/>
      </w:pPr>
      <w:r>
        <w:rPr>
          <w:lang w:val="en_US" w:bidi="en_US"/>
        </w:rPr>
        <w:t>17:10b</w:t>
      </w:r>
    </w:p>
    <w:p>
      <w:pPr/>
      <w:r>
        <w:rPr>
          <w:lang w:val="en_US" w:bidi="en_US"/>
        </w:rPr>
      </w:r>
      <w:r>
        <w:rPr>
          <w:b/>
          <w:lang w:val="en_US" w:bidi="en_US"/>
        </w:rPr>
        <w:t>when you have done everything commanded of you,</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have done all that you were commanded,</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have </w:t>
      </w:r>
      <w:r>
        <w:rPr>
          <w:lang w:val="en_US" w:bidi="en_US"/>
        </w:rPr>
        <w:t>finished</w:t>
      </w:r>
      <w:r>
        <w:rPr>
          <w:lang w:val="en_US" w:bidi="en_US"/>
        </w:rPr>
        <w:t xml:space="preserve"> doing everything that </w:t>
      </w:r>
      <w:r>
        <w:rPr>
          <w:lang w:val="en_US" w:bidi="en_US"/>
        </w:rPr>
        <w:t>God</w:t>
      </w:r>
      <w:r>
        <w:rPr>
          <w:lang w:val="en_US" w:bidi="en_US"/>
        </w:rPr>
        <w:t xml:space="preserve"> </w:t>
      </w:r>
      <w:r>
        <w:rPr>
          <w:lang w:val="en_US" w:bidi="en_US"/>
        </w:rPr>
        <w:t>your master</w:t>
      </w:r>
      <w:r>
        <w:rPr>
          <w:lang w:val="en_US" w:bidi="en_US"/>
        </w:rPr>
        <w:t xml:space="preserve"> commanded you </w:t>
      </w:r>
      <w:r>
        <w:rPr>
          <w:lang w:val="en_US" w:bidi="en_US"/>
        </w:rPr>
        <w:t>to do</w:t>
      </w:r>
      <w:r>
        <w:rPr>
          <w:lang w:val="en_US" w:bidi="en_US"/>
        </w:rPr>
        <w:t>,</w:t>
      </w:r>
    </w:p>
    <w:p>
      <w:pPr/>
      <w:r>
        <w:rPr>
          <w:lang w:val="en_US" w:bidi="en_US"/>
        </w:rPr>
      </w:r>
      <w:r>
        <w:rPr>
          <w:b/>
          <w:lang w:val="en_US" w:bidi="en_US"/>
        </w:rPr>
        <w:t>when you have done everything commanded of you:</w:t>
      </w:r>
      <w:r>
        <w:rPr>
          <w:lang w:val="en_US" w:bidi="en_US"/>
        </w:rPr>
        <w:t xml:space="preserve"> The clause </w:t>
      </w:r>
      <w:r>
        <w:rPr>
          <w:i/>
          <w:lang w:val="en_US" w:bidi="en_US"/>
        </w:rPr>
        <w:t>everything commanded of you</w:t>
      </w:r>
      <w:r>
        <w:rPr>
          <w:lang w:val="en_US" w:bidi="en_US"/>
        </w:rPr>
        <w:t xml:space="preserve"> is literally “all the things commanded you.” It is a passive clause. It refers to all the orders that their master had given them. The master that is implied here is either God or Jesus. Most scholars seem to indicate that God is implied.</w:t>
      </w:r>
    </w:p>
    <w:p>
      <w:pPr/>
      <w:r>
        <w:rPr>
          <w:lang w:val="en_US" w:bidi="en_US"/>
        </w:rPr>
      </w:r>
      <w:r>
        <w:rPr>
          <w:lang w:val="en_US" w:bidi="en_US"/>
        </w:rPr>
        <w:t>In some languages it may be necessary to translate it as an active clause and supply a subject. If that is true in your language, some ways to do this are:</w:t>
      </w:r>
    </w:p>
    <w:p>
      <w:pPr>
        <w:pStyle w:val="ListBullet"/>
        <w:spacing w:line="240" w:lineRule="auto"/>
        <w:ind w:left="720"/>
      </w:pPr>
      <w:r>
        <w:rPr>
          <w:lang w:val="en_US" w:bidi="en_US"/>
        </w:rPr>
      </w:r>
      <w:r>
        <w:rPr>
          <w:lang w:val="en_US" w:bidi="en_US"/>
        </w:rPr>
        <w:t>Supply a general subject like “master.” For example:</w:t>
      </w:r>
      <w:r>
        <w:rPr>
          <w:lang w:val="en_US" w:bidi="en_US"/>
        </w:rPr>
        <w:t>when you</w:t>
      </w:r>
      <w:r>
        <w:rPr>
          <w:vertAlign w:val="superscript"/>
          <w:lang w:val="en_US" w:bidi="en_US"/>
        </w:rPr>
        <w:t>(plur)</w:t>
      </w:r>
      <w:r>
        <w:rPr>
          <w:lang w:val="en_US" w:bidi="en_US"/>
        </w:rPr>
        <w:t xml:space="preserve"> have done everything that </w:t>
      </w:r>
      <w:r>
        <w:rPr>
          <w:lang w:val="en_US" w:bidi="en_US"/>
        </w:rPr>
        <w:t>your master</w:t>
      </w:r>
      <w:r>
        <w:rPr>
          <w:lang w:val="en_US" w:bidi="en_US"/>
        </w:rPr>
        <w:t xml:space="preserve"> has told you to do</w:t>
      </w:r>
    </w:p>
    <w:p>
      <w:pPr>
        <w:pStyle w:val="ListBullet"/>
        <w:spacing w:line="240" w:lineRule="auto"/>
        <w:ind w:left="720"/>
      </w:pPr>
      <w:r>
        <w:rPr>
          <w:lang w:val="en_US" w:bidi="en_US"/>
        </w:rPr>
      </w:r>
      <w:r>
        <w:rPr>
          <w:lang w:val="en_US" w:bidi="en_US"/>
        </w:rPr>
        <w:t>Supply God or Jesus as the subject. For example:</w:t>
      </w:r>
      <w:r>
        <w:rPr>
          <w:lang w:val="en_US" w:bidi="en_US"/>
        </w:rPr>
        <w:t>when you</w:t>
      </w:r>
      <w:r>
        <w:rPr>
          <w:vertAlign w:val="superscript"/>
          <w:lang w:val="en_US" w:bidi="en_US"/>
        </w:rPr>
        <w:t>(plur)</w:t>
      </w:r>
      <w:r>
        <w:rPr>
          <w:lang w:val="en_US" w:bidi="en_US"/>
        </w:rPr>
        <w:t xml:space="preserve"> have done everything that </w:t>
      </w:r>
      <w:r>
        <w:rPr>
          <w:lang w:val="en_US" w:bidi="en_US"/>
        </w:rPr>
        <w:t>God</w:t>
      </w:r>
      <w:r>
        <w:rPr>
          <w:lang w:val="en_US" w:bidi="en_US"/>
        </w:rPr>
        <w:t xml:space="preserve"> has told you to do</w:t>
      </w:r>
      <w:r>
        <w:rPr>
          <w:lang w:val="en_US" w:bidi="en_US"/>
        </w:rPr>
        <w:t xml:space="preserve">after you have done all that </w:t>
      </w:r>
      <w:r>
        <w:rPr>
          <w:lang w:val="en_US" w:bidi="en_US"/>
        </w:rPr>
        <w:t>your master God</w:t>
      </w:r>
      <w:r>
        <w:rPr>
          <w:lang w:val="en_US" w:bidi="en_US"/>
        </w:rPr>
        <w:t xml:space="preserve"> has ordered you to do</w:t>
      </w:r>
      <w:r>
        <w:rPr>
          <w:lang w:val="en_US" w:bidi="en_US"/>
        </w:rPr>
        <w:t>when you obey me (NLT)</w:t>
      </w:r>
    </w:p>
    <w:p>
      <w:pPr>
        <w:pStyle w:val="Heading5"/>
      </w:pPr>
      <w:r>
        <w:rPr>
          <w:lang w:val="en_US" w:bidi="en_US"/>
        </w:rPr>
        <w:t>17:10c</w:t>
      </w:r>
    </w:p>
    <w:p>
      <w:pPr/>
      <w:r>
        <w:rPr>
          <w:lang w:val="en_US" w:bidi="en_US"/>
        </w:rPr>
      </w:r>
      <w:r>
        <w:rPr>
          <w:b/>
          <w:lang w:val="en_US" w:bidi="en_US"/>
        </w:rPr>
        <w:t>should say, ‘We are unworthy servants;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say, ‘We</w:t>
      </w:r>
      <w:r>
        <w:rPr>
          <w:vertAlign w:val="superscript"/>
          <w:lang w:val="en_US" w:bidi="en_US"/>
        </w:rPr>
        <w:t>(excl)</w:t>
      </w:r>
      <w:r>
        <w:rPr>
          <w:lang w:val="en_US" w:bidi="en_US"/>
        </w:rPr>
        <w:t xml:space="preserve"> are simple/ordinary servants.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think, ‘We</w:t>
      </w:r>
      <w:r>
        <w:rPr>
          <w:vertAlign w:val="superscript"/>
          <w:lang w:val="en_US" w:bidi="en_US"/>
        </w:rPr>
        <w:t>(excl)</w:t>
      </w:r>
      <w:r>
        <w:rPr>
          <w:lang w:val="en_US" w:bidi="en_US"/>
        </w:rPr>
        <w:t xml:space="preserve"> are </w:t>
      </w:r>
      <w:r>
        <w:rPr>
          <w:lang w:val="en_US" w:bidi="en_US"/>
        </w:rPr>
        <w:t>only</w:t>
      </w:r>
      <w:r>
        <w:rPr>
          <w:lang w:val="en_US" w:bidi="en_US"/>
        </w:rPr>
        <w:t xml:space="preserve"> servants and do not deserve </w:t>
      </w:r>
      <w:r>
        <w:rPr>
          <w:lang w:val="en_US" w:bidi="en_US"/>
        </w:rPr>
        <w:t>praise/thanks</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recognize/know that you are servants, so you do not deserve </w:t>
      </w:r>
      <w:r>
        <w:rPr>
          <w:lang w:val="en_US" w:bidi="en_US"/>
        </w:rPr>
        <w:t>any praise/reward</w:t>
      </w:r>
      <w:r>
        <w:rPr>
          <w:lang w:val="en_US" w:bidi="en_US"/>
        </w:rPr>
        <w:t>.</w:t>
      </w:r>
    </w:p>
    <w:p>
      <w:pPr/>
      <w:r>
        <w:rPr>
          <w:lang w:val="en_US" w:bidi="en_US"/>
        </w:rPr>
      </w:r>
      <w:r>
        <w:rPr>
          <w:b/>
          <w:lang w:val="en_US" w:bidi="en_US"/>
        </w:rPr>
        <w:t>should say, ‘We are unworthy servants:</w:t>
      </w:r>
      <w:r>
        <w:rPr>
          <w:lang w:val="en_US" w:bidi="en_US"/>
        </w:rPr>
        <w:t xml:space="preserve"> In this context, the Greek word that the BSB translates as </w:t>
      </w:r>
      <w:r>
        <w:rPr>
          <w:i/>
          <w:lang w:val="en_US" w:bidi="en_US"/>
        </w:rPr>
        <w:t>should say</w:t>
      </w:r>
      <w:r>
        <w:rPr>
          <w:lang w:val="en_US" w:bidi="en_US"/>
        </w:rPr>
        <w:t xml:space="preserve"> refers to what the disciples should </w:t>
      </w:r>
      <w:r>
        <w:rPr>
          <w:u w:val="single"/>
          <w:lang w:val="en_US" w:bidi="en_US"/>
        </w:rPr>
        <w:t>think</w:t>
      </w:r>
      <w:r>
        <w:rPr>
          <w:lang w:val="en_US" w:bidi="en_US"/>
        </w:rPr>
        <w:t>. It does not imply here that a disciple should say the following words aloud to someone else.</w:t>
      </w:r>
    </w:p>
    <w:p>
      <w:pPr/>
      <w:r>
        <w:rPr>
          <w:lang w:val="en_US" w:bidi="en_US"/>
        </w:rPr>
      </w:r>
      <w:r>
        <w:rPr>
          <w:lang w:val="en_US" w:bidi="en_US"/>
        </w:rPr>
        <w:t>Some ways to translate 17:10c are:</w:t>
      </w:r>
    </w:p>
    <w:p>
      <w:pPr>
        <w:pStyle w:val="ListBullet"/>
        <w:spacing w:line="240" w:lineRule="auto"/>
        <w:ind w:left="720"/>
      </w:pPr>
      <w:r>
        <w:rPr>
          <w:lang w:val="en_US" w:bidi="en_US"/>
        </w:rPr>
      </w:r>
      <w:r>
        <w:rPr>
          <w:lang w:val="en_US" w:bidi="en_US"/>
        </w:rPr>
        <w:t>As a thought expressed in the disciples’ own words. For example:</w:t>
      </w:r>
      <w:r>
        <w:rPr>
          <w:lang w:val="en_US" w:bidi="en_US"/>
        </w:rPr>
        <w:t>should say to yourselves, “We are unworthy servants…”</w:t>
      </w:r>
      <w:r>
        <w:rPr>
          <w:lang w:val="en_US" w:bidi="en_US"/>
        </w:rPr>
        <w:t xml:space="preserve">should think, “We are servants and do not deserve </w:t>
      </w:r>
      <w:r>
        <w:rPr>
          <w:lang w:val="en_US" w:bidi="en_US"/>
        </w:rPr>
        <w:t>any praise</w:t>
      </w:r>
      <w:r>
        <w:rPr>
          <w:lang w:val="en_US" w:bidi="en_US"/>
        </w:rPr>
        <w:t>…”</w:t>
      </w:r>
    </w:p>
    <w:p>
      <w:pPr>
        <w:pStyle w:val="ListBullet"/>
        <w:spacing w:line="240" w:lineRule="auto"/>
        <w:ind w:left="720"/>
      </w:pPr>
      <w:r>
        <w:rPr>
          <w:lang w:val="en_US" w:bidi="en_US"/>
        </w:rPr>
      </w:r>
      <w:r>
        <w:rPr>
          <w:lang w:val="en_US" w:bidi="en_US"/>
        </w:rPr>
        <w:t>As a thought expressed indirectly. For example:</w:t>
      </w:r>
      <w:r>
        <w:rPr>
          <w:lang w:val="en_US" w:bidi="en_US"/>
        </w:rPr>
        <w:t>should think/realize that you are unworthy servants</w:t>
      </w:r>
      <w:r>
        <w:rPr>
          <w:lang w:val="en_US" w:bidi="en_US"/>
        </w:rPr>
        <w:t xml:space="preserve">should have the attitude that you do not deserve </w:t>
      </w:r>
      <w:r>
        <w:rPr>
          <w:lang w:val="en_US" w:bidi="en_US"/>
        </w:rPr>
        <w:t>praise</w:t>
      </w:r>
      <w:r>
        <w:rPr>
          <w:lang w:val="en_US" w:bidi="en_US"/>
        </w:rPr>
        <w:t xml:space="preserve"> for serving your master</w:t>
      </w:r>
    </w:p>
    <w:p>
      <w:pPr/>
      <w:r>
        <w:rPr>
          <w:lang w:val="en_US" w:bidi="en_US"/>
        </w:rPr>
      </w:r>
      <w:r>
        <w:rPr>
          <w:b/>
          <w:lang w:val="en_US" w:bidi="en_US"/>
        </w:rPr>
        <w:t>We are unworthy servants:</w:t>
      </w:r>
      <w:r>
        <w:rPr>
          <w:lang w:val="en_US" w:bidi="en_US"/>
        </w:rPr>
        <w:t xml:space="preserve"> The Greek word that the BSB translates as </w:t>
      </w:r>
      <w:r>
        <w:rPr>
          <w:i/>
          <w:lang w:val="en_US" w:bidi="en_US"/>
        </w:rPr>
        <w:t>unworthy</w:t>
      </w:r>
      <w:r>
        <w:rPr>
          <w:lang w:val="en_US" w:bidi="en_US"/>
        </w:rPr>
        <w:t xml:space="preserve"> in this context means “not deserving thanks” or “not worthy of praise.” Some other ways to translate this are:</w:t>
      </w:r>
    </w:p>
    <w:p>
      <w:pPr/>
      <w:r>
        <w:rPr>
          <w:lang w:val="en_US" w:bidi="en_US"/>
        </w:rPr>
      </w:r>
      <w:r>
        <w:rPr>
          <w:lang w:val="en_US" w:bidi="en_US"/>
        </w:rPr>
        <w:t>We are not worthy of praise. (NLT96)</w:t>
      </w:r>
    </w:p>
    <w:p>
      <w:pPr/>
      <w:r>
        <w:rPr>
          <w:lang w:val="en_US" w:bidi="en_US"/>
        </w:rPr>
      </w:r>
      <w:r>
        <w:rPr>
          <w:lang w:val="en_US" w:bidi="en_US"/>
        </w:rPr>
        <w:t>We are ordinary servants (GNT)</w:t>
      </w:r>
    </w:p>
    <w:p>
      <w:pPr/>
      <w:r>
        <w:rPr>
          <w:lang w:val="en_US" w:bidi="en_US"/>
        </w:rPr>
      </w:r>
      <w:r>
        <w:rPr>
          <w:lang w:val="en_US" w:bidi="en_US"/>
        </w:rPr>
        <w:t>Jesus wanted his disciples to be humble and to recognize that God did not owe them anything.</w:t>
      </w:r>
    </w:p>
    <w:p>
      <w:pPr>
        <w:pStyle w:val="Heading5"/>
      </w:pPr>
      <w:r>
        <w:rPr>
          <w:lang w:val="en_US" w:bidi="en_US"/>
        </w:rPr>
        <w:t>17:10d</w:t>
      </w:r>
    </w:p>
    <w:p>
      <w:pPr/>
      <w:r>
        <w:rPr>
          <w:lang w:val="en_US" w:bidi="en_US"/>
        </w:rPr>
      </w:r>
      <w:r>
        <w:rPr>
          <w:b/>
          <w:lang w:val="en_US" w:bidi="en_US"/>
        </w:rPr>
        <w:t>we have only done our duty.’”</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only done what we were supposed to do.’”</w:t>
      </w:r>
    </w:p>
    <w:p>
      <w:pPr>
        <w:pStyle w:val="ListBullet"/>
        <w:spacing w:line="240" w:lineRule="auto"/>
        <w:ind w:left="720"/>
      </w:pPr>
      <w:r>
        <w:rPr>
          <w:lang w:val="en_US" w:bidi="en_US"/>
        </w:rPr>
      </w:r>
      <w:r>
        <w:rPr>
          <w:lang w:val="en_US" w:bidi="en_US"/>
        </w:rPr>
        <w:t>we have only done the work we should do.’” (NCV)</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did only what is right/normal for servants to do.”</w:t>
      </w:r>
    </w:p>
    <w:p>
      <w:pPr/>
      <w:r>
        <w:rPr>
          <w:lang w:val="en_US" w:bidi="en_US"/>
        </w:rPr>
      </w:r>
      <w:r>
        <w:rPr>
          <w:b/>
          <w:lang w:val="en_US" w:bidi="en_US"/>
        </w:rPr>
        <w:t>we have only done our duty:</w:t>
      </w:r>
      <w:r>
        <w:rPr>
          <w:lang w:val="en_US" w:bidi="en_US"/>
        </w:rPr>
        <w:t xml:space="preserve"> The Greek clause that the BSB translates as </w:t>
      </w:r>
      <w:r>
        <w:rPr>
          <w:i/>
          <w:lang w:val="en_US" w:bidi="en_US"/>
        </w:rPr>
        <w:t>we have only done our duty</w:t>
      </w:r>
      <w:r>
        <w:rPr>
          <w:lang w:val="en_US" w:bidi="en_US"/>
        </w:rPr>
        <w:t xml:space="preserve"> is literally “we have done what we were obligated to do.” Some other ways to translate this are:</w:t>
      </w:r>
    </w:p>
    <w:p>
      <w:pPr/>
      <w:r>
        <w:rPr>
          <w:lang w:val="en_US" w:bidi="en_US"/>
        </w:rPr>
      </w:r>
      <w:r>
        <w:rPr>
          <w:lang w:val="en_US" w:bidi="en_US"/>
        </w:rPr>
        <w:t>we have done what we were supposed to do</w:t>
      </w:r>
    </w:p>
    <w:p>
      <w:pPr/>
      <w:r>
        <w:rPr>
          <w:lang w:val="en_US" w:bidi="en_US"/>
        </w:rPr>
      </w:r>
      <w:r>
        <w:rPr>
          <w:lang w:val="en_US" w:bidi="en_US"/>
        </w:rPr>
        <w:t>we have merely done what we ought to have done</w:t>
      </w:r>
    </w:p>
    <w:p>
      <w:pPr/>
      <w:r>
        <w:rPr>
          <w:lang w:val="en_US" w:bidi="en_US"/>
        </w:rPr>
      </w:r>
      <w:r>
        <w:rPr>
          <w:lang w:val="en_US" w:bidi="en_US"/>
        </w:rPr>
        <w:t xml:space="preserve">we have simply done what </w:t>
      </w:r>
      <w:r>
        <w:rPr>
          <w:lang w:val="en_US" w:bidi="en_US"/>
        </w:rPr>
        <w:t>our master</w:t>
      </w:r>
      <w:r>
        <w:rPr>
          <w:lang w:val="en_US" w:bidi="en_US"/>
        </w:rPr>
        <w:t xml:space="preserve"> told us to do</w:t>
      </w:r>
    </w:p>
    <w:p>
      <w:pPr/>
      <w:r>
        <w:rPr>
          <w:lang w:val="en_US" w:bidi="en_US"/>
        </w:rPr>
      </w:r>
      <w:r>
        <w:rPr>
          <w:lang w:val="en_US" w:bidi="en_US"/>
        </w:rPr>
        <w:t>If you translated 17:10c as indirect speech, you can continue to use it here. For example:</w:t>
      </w:r>
    </w:p>
    <w:p>
      <w:pPr/>
      <w:r>
        <w:rPr>
          <w:lang w:val="en_US" w:bidi="en_US"/>
        </w:rPr>
      </w:r>
      <w:r>
        <w:rPr>
          <w:vertAlign w:val="superscript"/>
          <w:lang w:val="en_US" w:bidi="en_US"/>
        </w:rPr>
        <w:t>10c</w:t>
      </w:r>
      <w:r>
        <w:rPr>
          <w:lang w:val="en_US" w:bidi="en_US"/>
        </w:rPr>
        <w:t xml:space="preserve">…you should think/realize that you are ordinary servants. </w:t>
      </w:r>
      <w:r>
        <w:rPr>
          <w:vertAlign w:val="superscript"/>
          <w:lang w:val="en_US" w:bidi="en_US"/>
        </w:rPr>
        <w:t>10d</w:t>
      </w:r>
      <w:r>
        <w:rPr>
          <w:lang w:val="en_US" w:bidi="en_US"/>
        </w:rPr>
        <w:t>You have only done your duty.</w:t>
      </w:r>
      <w:r>
        <w:rPr>
          <w:lang w:val="en_US" w:bidi="en_US"/>
        </w:rPr>
      </w:r>
      <w:r>
        <w:rPr>
          <w:lang w:val="en_US" w:bidi="en_US"/>
        </w:rPr>
      </w:r>
    </w:p>
    <w:p>
      <w:pPr/>
      <w:r>
        <w:rPr>
          <w:lang w:val="en_US" w:bidi="en_US"/>
        </w:rPr>
      </w:r>
    </w:p>
    <w:p>
      <w:pPr>
        <w:pStyle w:val="Heading2"/>
      </w:pPr>
      <w:r>
        <w:rPr>
          <w:lang w:val="en_US" w:bidi="en_US"/>
        </w:rPr>
        <w:t>Luke 17:11</w:t>
      </w:r>
      <w:r>
        <w:rPr>
          <w:lang w:val="en_US" w:bidi="en_US"/>
        </w:rPr>
      </w:r>
    </w:p>
    <w:p>
      <w:pPr>
        <w:pStyle w:val="Heading4"/>
      </w:pPr>
      <w:r>
        <w:rPr>
          <w:lang w:val="en_US" w:bidi="en_US"/>
        </w:rPr>
        <w:t>Section 17:11–19: Jesus healed ten lepers</w:t>
      </w:r>
    </w:p>
    <w:p>
      <w:pPr/>
      <w:r>
        <w:rPr>
          <w:lang w:val="en_US" w:bidi="en_US"/>
        </w:rPr>
      </w:r>
      <w:r>
        <w:rPr>
          <w:lang w:val="en_US" w:bidi="en_US"/>
        </w:rPr>
        <w:t>In this section Jesus and his disciples were continuing to travel to Jerusalem. As they approached a village on the way, ten men with leprosy or another serious skin disease begged Jesus to help them. People with this disease were outcasts and were not allowed to live in a village with healthy people. They were also considered to be ritually unclean or impure. They were not allowed to worship God with healthy people.</w:t>
      </w:r>
    </w:p>
    <w:p>
      <w:pPr/>
      <w:r>
        <w:rPr>
          <w:lang w:val="en_US" w:bidi="en_US"/>
        </w:rPr>
      </w:r>
      <w:r>
        <w:rPr>
          <w:lang w:val="en_US" w:bidi="en_US"/>
        </w:rPr>
        <w:t>Jesus healed all ten men, and they became ritually pure. However, only one of them thanked Jesus for healing him. This man was a Samaritan, and Jews usually despised Samaritans. However, Jesus often showed that he did not despise them. In the parable that Jesus told in 10:25–37, he used a Samaritan as the example of a person who loved his neighbor.</w:t>
      </w:r>
    </w:p>
    <w:p>
      <w:pPr/>
      <w:r>
        <w:rPr>
          <w:lang w:val="en_US" w:bidi="en_US"/>
        </w:rPr>
      </w:r>
      <w:r>
        <w:rPr>
          <w:lang w:val="en_US" w:bidi="en_US"/>
        </w:rPr>
        <w:t>Notice the contrast in the way “thanks” is used here and in 17:10. In 17:10, Jesus implied that servants of God often feel that they deserve special thanks or reward for simply doing their duty. In this section, when Jesus did something that deserved much thanks and praise, only one of ten people thanked him.</w:t>
      </w:r>
    </w:p>
    <w:p>
      <w:pPr/>
      <w:r>
        <w:rPr>
          <w:lang w:val="en_US" w:bidi="en_US"/>
        </w:rPr>
      </w:r>
      <w:r>
        <w:rPr>
          <w:lang w:val="en_US" w:bidi="en_US"/>
        </w:rPr>
        <w:t>Some other ideas for this section heading are:</w:t>
      </w:r>
    </w:p>
    <w:p>
      <w:pPr/>
      <w:r>
        <w:rPr>
          <w:lang w:val="en_US" w:bidi="en_US"/>
        </w:rPr>
      </w:r>
      <w:r>
        <w:rPr>
          <w:lang w:val="en_US" w:bidi="en_US"/>
        </w:rPr>
        <w:t>Jesus heals ten lepers</w:t>
      </w:r>
    </w:p>
    <w:p>
      <w:pPr/>
      <w:r>
        <w:rPr>
          <w:lang w:val="en_US" w:bidi="en_US"/>
        </w:rPr>
      </w:r>
      <w:r>
        <w:rPr>
          <w:lang w:val="en_US" w:bidi="en_US"/>
        </w:rPr>
        <w:t>Jesus cleanses ten men</w:t>
      </w:r>
    </w:p>
    <w:p>
      <w:pPr/>
      <w:r>
        <w:rPr>
          <w:lang w:val="en_US" w:bidi="en_US"/>
        </w:rPr>
      </w:r>
      <w:r>
        <w:rPr>
          <w:lang w:val="en_US" w:bidi="en_US"/>
        </w:rPr>
        <w:t>The book of Luke is the only gospel that tells about this event.</w:t>
      </w:r>
    </w:p>
    <w:p>
      <w:pPr>
        <w:pStyle w:val="Heading5"/>
      </w:pPr>
      <w:r>
        <w:rPr>
          <w:lang w:val="en_US" w:bidi="en_US"/>
        </w:rPr>
        <w:t>17:11a</w:t>
      </w:r>
    </w:p>
    <w:p>
      <w:pPr/>
      <w:r>
        <w:rPr>
          <w:lang w:val="en_US" w:bidi="en_US"/>
        </w:rPr>
      </w:r>
      <w:r>
        <w:rPr>
          <w:b/>
          <w:lang w:val="en_US" w:bidi="en_US"/>
        </w:rPr>
        <w:t>While Jesus was on His way to Jerusalem,</w:t>
      </w:r>
    </w:p>
    <w:p>
      <w:pPr>
        <w:pStyle w:val="ListBullet"/>
        <w:spacing w:line="240" w:lineRule="auto"/>
        <w:ind w:left="720"/>
      </w:pPr>
      <w:r>
        <w:rPr>
          <w:lang w:val="en_US" w:bidi="en_US"/>
        </w:rPr>
      </w:r>
      <w:r>
        <w:rPr>
          <w:lang w:val="en_US" w:bidi="en_US"/>
        </w:rPr>
        <w:t>¶ As Jesus was traveling/going to Jerusalem,</w:t>
      </w:r>
    </w:p>
    <w:p>
      <w:pPr>
        <w:pStyle w:val="ListBullet"/>
        <w:spacing w:line="240" w:lineRule="auto"/>
        <w:ind w:left="720"/>
      </w:pPr>
      <w:r>
        <w:rPr>
          <w:lang w:val="en_US" w:bidi="en_US"/>
        </w:rPr>
      </w:r>
      <w:r>
        <w:rPr>
          <w:lang w:val="en_US" w:bidi="en_US"/>
        </w:rPr>
        <w:t xml:space="preserve">¶ </w:t>
      </w:r>
      <w:r>
        <w:rPr>
          <w:lang w:val="en_US" w:bidi="en_US"/>
        </w:rPr>
        <w:t>One day</w:t>
      </w:r>
      <w:r>
        <w:rPr>
          <w:lang w:val="en_US" w:bidi="en_US"/>
        </w:rPr>
        <w:t xml:space="preserve"> while he/Jesus </w:t>
      </w:r>
      <w:r>
        <w:rPr>
          <w:lang w:val="en_US" w:bidi="en_US"/>
        </w:rPr>
        <w:t>and his disciples</w:t>
      </w:r>
      <w:r>
        <w:rPr>
          <w:lang w:val="en_US" w:bidi="en_US"/>
        </w:rPr>
        <w:t xml:space="preserve"> continued their journey to </w:t>
      </w:r>
      <w:r>
        <w:rPr>
          <w:lang w:val="en_US" w:bidi="en_US"/>
        </w:rPr>
        <w:t>the city of</w:t>
      </w:r>
      <w:r>
        <w:rPr>
          <w:lang w:val="en_US" w:bidi="en_US"/>
        </w:rPr>
        <w:t xml:space="preserve"> Jerusalem,</w:t>
      </w:r>
    </w:p>
    <w:p>
      <w:pPr/>
      <w:r>
        <w:rPr>
          <w:lang w:val="en_US" w:bidi="en_US"/>
        </w:rPr>
      </w:r>
      <w:r>
        <w:rPr>
          <w:lang w:val="en_US" w:bidi="en_US"/>
        </w:rPr>
        <w:t>In Greek this part of the verse begins with a phrase that is literally “and it happened.” In this context, the phrase introduces a new event. In some languages no introductory word or phrase is needed. Another way to introduce the event in English is:</w:t>
      </w:r>
    </w:p>
    <w:p>
      <w:pPr/>
      <w:r>
        <w:rPr>
          <w:lang w:val="en_US" w:bidi="en_US"/>
        </w:rPr>
      </w:r>
      <w:r>
        <w:rPr>
          <w:lang w:val="en_US" w:bidi="en_US"/>
        </w:rPr>
        <w:t>One day/time</w:t>
      </w:r>
    </w:p>
    <w:p>
      <w:pPr/>
      <w:r>
        <w:rPr>
          <w:lang w:val="en_US" w:bidi="en_US"/>
        </w:rPr>
      </w:r>
      <w:r>
        <w:rPr>
          <w:b/>
          <w:lang w:val="en_US" w:bidi="en_US"/>
        </w:rPr>
        <w:t>While Jesus was on His way to Jerusalem:</w:t>
      </w:r>
      <w:r>
        <w:rPr>
          <w:lang w:val="en_US" w:bidi="en_US"/>
        </w:rPr>
        <w:t xml:space="preserve"> The Greek phrase that the BSB translates as </w:t>
      </w:r>
      <w:r>
        <w:rPr>
          <w:i/>
          <w:lang w:val="en_US" w:bidi="en_US"/>
        </w:rPr>
        <w:t>Jesus was on His way to Jerusalem</w:t>
      </w:r>
      <w:r>
        <w:rPr>
          <w:lang w:val="en_US" w:bidi="en_US"/>
        </w:rPr>
        <w:t xml:space="preserve"> is literally “while </w:t>
      </w:r>
      <w:r>
        <w:rPr>
          <w:lang w:val="en_US" w:bidi="en_US"/>
        </w:rPr>
        <w:t>he</w:t>
      </w:r>
      <w:r>
        <w:rPr>
          <w:lang w:val="en_US" w:bidi="en_US"/>
        </w:rPr>
        <w:t xml:space="preserve"> was going to Jerusalem.” It may be helpful to supply the name Jesus here for clarity, as the BSB does. Some other ways to translate this are:</w:t>
      </w:r>
    </w:p>
    <w:p>
      <w:pPr/>
      <w:r>
        <w:rPr>
          <w:lang w:val="en_US" w:bidi="en_US"/>
        </w:rPr>
      </w:r>
      <w:r>
        <w:rPr>
          <w:lang w:val="en_US" w:bidi="en_US"/>
        </w:rPr>
        <w:t>As Jesus continued on toward Jerusalem (NLT)</w:t>
      </w:r>
    </w:p>
    <w:p>
      <w:pPr/>
      <w:r>
        <w:rPr>
          <w:lang w:val="en_US" w:bidi="en_US"/>
        </w:rPr>
      </w:r>
      <w:r>
        <w:rPr>
          <w:lang w:val="en_US" w:bidi="en_US"/>
        </w:rPr>
        <w:t>as Jesus traveled/walked toward Jerusalem</w:t>
      </w:r>
    </w:p>
    <w:p>
      <w:pPr/>
      <w:r>
        <w:rPr>
          <w:lang w:val="en_US" w:bidi="en_US"/>
        </w:rPr>
      </w:r>
      <w:r>
        <w:rPr>
          <w:lang w:val="en_US" w:bidi="en_US"/>
        </w:rPr>
        <w:t>Jesus was still traveling with his disciples. In some languages it may be necessary to make this explicit. For example:</w:t>
      </w:r>
    </w:p>
    <w:p>
      <w:pPr/>
      <w:r>
        <w:rPr>
          <w:lang w:val="en_US" w:bidi="en_US"/>
        </w:rPr>
      </w:r>
      <w:r>
        <w:rPr>
          <w:lang w:val="en_US" w:bidi="en_US"/>
        </w:rPr>
        <w:t xml:space="preserve">As Jesus continued to travel </w:t>
      </w:r>
      <w:r>
        <w:rPr>
          <w:lang w:val="en_US" w:bidi="en_US"/>
        </w:rPr>
        <w:t>with his disciples</w:t>
      </w:r>
      <w:r>
        <w:rPr>
          <w:lang w:val="en_US" w:bidi="en_US"/>
        </w:rPr>
        <w:t xml:space="preserve"> toward Jerusalem, they…</w:t>
      </w:r>
    </w:p>
    <w:p>
      <w:pPr>
        <w:pStyle w:val="Heading5"/>
      </w:pPr>
      <w:r>
        <w:rPr>
          <w:lang w:val="en_US" w:bidi="en_US"/>
        </w:rPr>
        <w:t>17:11b</w:t>
      </w:r>
    </w:p>
    <w:p>
      <w:pPr/>
      <w:r>
        <w:rPr>
          <w:lang w:val="en_US" w:bidi="en_US"/>
        </w:rPr>
      </w:r>
      <w:r>
        <w:rPr>
          <w:b/>
          <w:lang w:val="en_US" w:bidi="en_US"/>
        </w:rPr>
        <w:t>He was passing between Samaria and Galilee.</w:t>
      </w:r>
    </w:p>
    <w:p>
      <w:pPr>
        <w:pStyle w:val="ListBullet"/>
        <w:spacing w:line="240" w:lineRule="auto"/>
        <w:ind w:left="720"/>
      </w:pPr>
      <w:r>
        <w:rPr>
          <w:lang w:val="en_US" w:bidi="en_US"/>
        </w:rPr>
      </w:r>
      <w:r>
        <w:rPr>
          <w:lang w:val="en_US" w:bidi="en_US"/>
        </w:rPr>
        <w:t>he went through land that was between Samaria and Galilee.</w:t>
      </w:r>
    </w:p>
    <w:p>
      <w:pPr>
        <w:pStyle w:val="ListBullet"/>
        <w:spacing w:line="240" w:lineRule="auto"/>
        <w:ind w:left="720"/>
      </w:pPr>
      <w:r>
        <w:rPr>
          <w:lang w:val="en_US" w:bidi="en_US"/>
        </w:rPr>
      </w:r>
      <w:r>
        <w:rPr>
          <w:lang w:val="en_US" w:bidi="en_US"/>
        </w:rPr>
        <w:t>they</w:t>
      </w:r>
      <w:r>
        <w:rPr>
          <w:lang w:val="en_US" w:bidi="en_US"/>
        </w:rPr>
        <w:t xml:space="preserve"> walked through the area between </w:t>
      </w:r>
      <w:r>
        <w:rPr>
          <w:lang w:val="en_US" w:bidi="en_US"/>
        </w:rPr>
        <w:t>the districts/provinces of</w:t>
      </w:r>
      <w:r>
        <w:rPr>
          <w:lang w:val="en_US" w:bidi="en_US"/>
        </w:rPr>
        <w:t xml:space="preserve"> Samaria and Galilee.</w:t>
      </w:r>
    </w:p>
    <w:p>
      <w:pPr/>
      <w:r>
        <w:rPr>
          <w:lang w:val="en_US" w:bidi="en_US"/>
        </w:rPr>
      </w:r>
      <w:r>
        <w:rPr>
          <w:b/>
          <w:lang w:val="en_US" w:bidi="en_US"/>
        </w:rPr>
        <w:t>He was passing between Samaria and Galilee:</w:t>
      </w:r>
      <w:r>
        <w:rPr>
          <w:lang w:val="en_US" w:bidi="en_US"/>
        </w:rPr>
        <w:t xml:space="preserve"> The Greek phrase that the BSB translates as </w:t>
      </w:r>
      <w:r>
        <w:rPr>
          <w:i/>
          <w:lang w:val="en_US" w:bidi="en_US"/>
        </w:rPr>
        <w:t>He was passing between Samaria and Galilee</w:t>
      </w:r>
      <w:r>
        <w:rPr>
          <w:lang w:val="en_US" w:bidi="en_US"/>
        </w:rPr>
        <w:t xml:space="preserve"> is literally “he was going through the middle of Samaria and Galilee.” This means that Jesus traveled in the general area where the land of Samaria met the land of Galilee.</w:t>
      </w:r>
    </w:p>
    <w:p>
      <w:pPr/>
      <w:r>
        <w:rPr>
          <w:lang w:val="en_US" w:bidi="en_US"/>
        </w:rPr>
      </w:r>
      <w:r>
        <w:rPr>
          <w:lang w:val="en_US" w:bidi="en_US"/>
        </w:rPr>
        <w:t>Some other ways to translate this phrase are:</w:t>
      </w:r>
    </w:p>
    <w:p>
      <w:pPr/>
      <w:r>
        <w:rPr>
          <w:lang w:val="en_US" w:bidi="en_US"/>
        </w:rPr>
      </w:r>
      <w:r>
        <w:rPr>
          <w:lang w:val="en_US" w:bidi="en_US"/>
        </w:rPr>
        <w:t>…he was going through the area between Samaria and Galilee. (NCV)</w:t>
      </w:r>
    </w:p>
    <w:p>
      <w:pPr/>
      <w:r>
        <w:rPr>
          <w:lang w:val="en_US" w:bidi="en_US"/>
        </w:rPr>
      </w:r>
      <w:r>
        <w:rPr>
          <w:lang w:val="en_US" w:bidi="en_US"/>
        </w:rPr>
        <w:t>Jesus was going through the region between Samaria and Galilee. (NRSV)</w:t>
      </w:r>
    </w:p>
    <w:p>
      <w:pPr/>
      <w:r>
        <w:rPr>
          <w:lang w:val="en_US" w:bidi="en_US"/>
        </w:rPr>
      </w:r>
      <w:r>
        <w:rPr>
          <w:b/>
          <w:lang w:val="en_US" w:bidi="en_US"/>
        </w:rPr>
        <w:t>Samaria and Galilee:</w:t>
      </w:r>
      <w:r>
        <w:rPr>
          <w:lang w:val="en_US" w:bidi="en_US"/>
        </w:rPr>
        <w:t xml:space="preserve"> </w:t>
      </w:r>
      <w:r>
        <w:rPr>
          <w:i/>
          <w:lang w:val="en_US" w:bidi="en_US"/>
        </w:rPr>
        <w:t>Samaria</w:t>
      </w:r>
      <w:r>
        <w:rPr>
          <w:lang w:val="en_US" w:bidi="en_US"/>
        </w:rPr>
        <w:t xml:space="preserve"> and </w:t>
      </w:r>
      <w:r>
        <w:rPr>
          <w:i/>
          <w:lang w:val="en_US" w:bidi="en_US"/>
        </w:rPr>
        <w:t>Galilee</w:t>
      </w:r>
      <w:r>
        <w:rPr>
          <w:lang w:val="en_US" w:bidi="en_US"/>
        </w:rPr>
        <w:t xml:space="preserve"> were districts in Israel. In some languages it may be helpful to make this information explicit. For example:</w:t>
      </w:r>
    </w:p>
    <w:p>
      <w:pPr/>
      <w:r>
        <w:rPr>
          <w:lang w:val="en_US" w:bidi="en_US"/>
        </w:rPr>
      </w:r>
      <w:r>
        <w:rPr>
          <w:lang w:val="en_US" w:bidi="en_US"/>
        </w:rPr>
        <w:t>the district of</w:t>
      </w:r>
      <w:r>
        <w:rPr>
          <w:lang w:val="en_US" w:bidi="en_US"/>
        </w:rPr>
        <w:t xml:space="preserve"> Samaria and </w:t>
      </w:r>
      <w:r>
        <w:rPr>
          <w:lang w:val="en_US" w:bidi="en_US"/>
        </w:rPr>
        <w:t>the district of</w:t>
      </w:r>
      <w:r>
        <w:rPr>
          <w:lang w:val="en_US" w:bidi="en_US"/>
        </w:rPr>
        <w:t xml:space="preserve"> Galilee</w:t>
      </w:r>
    </w:p>
    <w:p>
      <w:pPr>
        <w:pStyle w:val="Heading6"/>
      </w:pPr>
      <w:r>
        <w:rPr>
          <w:b/>
          <w:lang w:val="en_US" w:bidi="en_US"/>
        </w:rPr>
        <w:t>General Comment on 17:11a–b</w:t>
      </w:r>
    </w:p>
    <w:p>
      <w:pPr/>
      <w:r>
        <w:rPr>
          <w:lang w:val="en_US" w:bidi="en_US"/>
        </w:rPr>
      </w:r>
      <w:r>
        <w:rPr>
          <w:lang w:val="en_US" w:bidi="en_US"/>
        </w:rPr>
        <w:t>In some languages it may be more natural to change the order of 11a and 11b. For example:</w:t>
      </w:r>
    </w:p>
    <w:p>
      <w:pPr/>
      <w:r>
        <w:rPr>
          <w:lang w:val="en_US" w:bidi="en_US"/>
        </w:rPr>
      </w:r>
      <w:r>
        <w:rPr>
          <w:vertAlign w:val="superscript"/>
          <w:lang w:val="en_US" w:bidi="en_US"/>
        </w:rPr>
        <w:t>11b</w:t>
      </w:r>
      <w:r>
        <w:rPr>
          <w:lang w:val="en_US" w:bidi="en_US"/>
        </w:rPr>
        <w:t xml:space="preserve">Jesus traveled along the border between Samaria and Galilee </w:t>
      </w:r>
      <w:r>
        <w:rPr>
          <w:vertAlign w:val="superscript"/>
          <w:lang w:val="en_US" w:bidi="en_US"/>
        </w:rPr>
        <w:t>11a</w:t>
      </w:r>
      <w:r>
        <w:rPr>
          <w:lang w:val="en_US" w:bidi="en_US"/>
        </w:rPr>
        <w:t>on his way to Jerusalem. (GW)</w:t>
      </w:r>
    </w:p>
    <w:p>
      <w:pPr/>
      <w:r>
        <w:rPr>
          <w:lang w:val="en_US" w:bidi="en_US"/>
        </w:rPr>
      </w:r>
      <w:r>
        <w:rPr>
          <w:vertAlign w:val="superscript"/>
          <w:lang w:val="en_US" w:bidi="en_US"/>
        </w:rPr>
        <w:t>11b</w:t>
      </w:r>
      <w:r>
        <w:rPr>
          <w:lang w:val="en_US" w:bidi="en_US"/>
        </w:rPr>
        <w:t xml:space="preserve">One day Jesus </w:t>
      </w:r>
      <w:r>
        <w:rPr>
          <w:lang w:val="en_US" w:bidi="en_US"/>
        </w:rPr>
        <w:t>and his disciples</w:t>
      </w:r>
      <w:r>
        <w:rPr>
          <w:lang w:val="en_US" w:bidi="en_US"/>
        </w:rPr>
        <w:t xml:space="preserve"> were going between the regions of Samaria and Galilee </w:t>
      </w:r>
      <w:r>
        <w:rPr>
          <w:vertAlign w:val="superscript"/>
          <w:lang w:val="en_US" w:bidi="en_US"/>
        </w:rPr>
        <w:t>11a</w:t>
      </w:r>
      <w:r>
        <w:rPr>
          <w:lang w:val="en_US" w:bidi="en_US"/>
        </w:rPr>
        <w:t>on their way to Jerusalem.</w:t>
      </w:r>
      <w:r>
        <w:rPr>
          <w:lang w:val="en_US" w:bidi="en_US"/>
        </w:rPr>
      </w:r>
      <w:r>
        <w:rPr>
          <w:lang w:val="en_US" w:bidi="en_US"/>
        </w:rPr>
      </w:r>
    </w:p>
    <w:p>
      <w:pPr/>
      <w:r>
        <w:rPr>
          <w:lang w:val="en_US" w:bidi="en_US"/>
        </w:rPr>
      </w:r>
    </w:p>
    <w:p>
      <w:pPr>
        <w:pStyle w:val="Heading2"/>
      </w:pPr>
      <w:r>
        <w:rPr>
          <w:lang w:val="en_US" w:bidi="en_US"/>
        </w:rPr>
        <w:t>Luke 17:12</w:t>
      </w:r>
      <w:r>
        <w:rPr>
          <w:lang w:val="en_US" w:bidi="en_US"/>
        </w:rPr>
      </w:r>
    </w:p>
    <w:p>
      <w:pPr>
        <w:pStyle w:val="Heading4"/>
      </w:pPr>
      <w:r>
        <w:rPr>
          <w:lang w:val="en_US" w:bidi="en_US"/>
        </w:rPr>
        <w:t>Section 17:11–19: Jesus healed ten lepers</w:t>
      </w:r>
    </w:p>
    <w:p>
      <w:pPr/>
      <w:r>
        <w:rPr>
          <w:lang w:val="en_US" w:bidi="en_US"/>
        </w:rPr>
      </w:r>
      <w:r>
        <w:rPr>
          <w:lang w:val="en_US" w:bidi="en_US"/>
        </w:rPr>
        <w:t>In this section Jesus and his disciples were continuing to travel to Jerusalem. As they approached a village on the way, ten men with leprosy or another serious skin disease begged Jesus to help them. People with this disease were outcasts and were not allowed to live in a village with healthy people. They were also considered to be ritually unclean or impure. They were not allowed to worship God with healthy people.</w:t>
      </w:r>
    </w:p>
    <w:p>
      <w:pPr/>
      <w:r>
        <w:rPr>
          <w:lang w:val="en_US" w:bidi="en_US"/>
        </w:rPr>
      </w:r>
      <w:r>
        <w:rPr>
          <w:lang w:val="en_US" w:bidi="en_US"/>
        </w:rPr>
        <w:t>Jesus healed all ten men, and they became ritually pure. However, only one of them thanked Jesus for healing him. This man was a Samaritan, and Jews usually despised Samaritans. However, Jesus often showed that he did not despise them. In the parable that Jesus told in 10:25–37, he used a Samaritan as the example of a person who loved his neighbor.</w:t>
      </w:r>
    </w:p>
    <w:p>
      <w:pPr/>
      <w:r>
        <w:rPr>
          <w:lang w:val="en_US" w:bidi="en_US"/>
        </w:rPr>
      </w:r>
      <w:r>
        <w:rPr>
          <w:lang w:val="en_US" w:bidi="en_US"/>
        </w:rPr>
        <w:t>Notice the contrast in the way “thanks” is used here and in 17:10. In 17:10, Jesus implied that servants of God often feel that they deserve special thanks or reward for simply doing their duty. In this section, when Jesus did something that deserved much thanks and praise, only one of ten people thanked him.</w:t>
      </w:r>
    </w:p>
    <w:p>
      <w:pPr/>
      <w:r>
        <w:rPr>
          <w:lang w:val="en_US" w:bidi="en_US"/>
        </w:rPr>
      </w:r>
      <w:r>
        <w:rPr>
          <w:lang w:val="en_US" w:bidi="en_US"/>
        </w:rPr>
        <w:t>Some other ideas for this section heading are:</w:t>
      </w:r>
    </w:p>
    <w:p>
      <w:pPr/>
      <w:r>
        <w:rPr>
          <w:lang w:val="en_US" w:bidi="en_US"/>
        </w:rPr>
      </w:r>
      <w:r>
        <w:rPr>
          <w:lang w:val="en_US" w:bidi="en_US"/>
        </w:rPr>
        <w:t>Jesus heals ten lepers</w:t>
      </w:r>
    </w:p>
    <w:p>
      <w:pPr/>
      <w:r>
        <w:rPr>
          <w:lang w:val="en_US" w:bidi="en_US"/>
        </w:rPr>
      </w:r>
      <w:r>
        <w:rPr>
          <w:lang w:val="en_US" w:bidi="en_US"/>
        </w:rPr>
        <w:t>Jesus cleanses ten men</w:t>
      </w:r>
    </w:p>
    <w:p>
      <w:pPr/>
      <w:r>
        <w:rPr>
          <w:lang w:val="en_US" w:bidi="en_US"/>
        </w:rPr>
      </w:r>
      <w:r>
        <w:rPr>
          <w:lang w:val="en_US" w:bidi="en_US"/>
        </w:rPr>
        <w:t>The book of Luke is the only gospel that tells about this event.</w:t>
      </w:r>
    </w:p>
    <w:p>
      <w:pPr>
        <w:pStyle w:val="Heading5"/>
      </w:pPr>
      <w:r>
        <w:rPr>
          <w:lang w:val="en_US" w:bidi="en_US"/>
        </w:rPr>
        <w:t>17:12</w:t>
      </w:r>
    </w:p>
    <w:p>
      <w:pPr/>
      <w:r>
        <w:rPr>
          <w:lang w:val="en_US" w:bidi="en_US"/>
        </w:rPr>
      </w:r>
      <w:r>
        <w:rPr>
          <w:b/>
          <w:lang w:val="en_US" w:bidi="en_US"/>
        </w:rPr>
        <w:t>As He entered one of the villages, He was met by ten lepers. They stood at a distance:</w:t>
      </w:r>
      <w:r>
        <w:rPr>
          <w:lang w:val="en_US" w:bidi="en_US"/>
        </w:rPr>
        <w:t xml:space="preserve"> In this verse Jesus was approaching a village to enter it. The context implies that he had not yet entered the village, because ten lepers came toward him. Lepers were not allowed to enter villages where healthy people lived. They also were not allowed to come near healthy people.</w:t>
      </w:r>
    </w:p>
    <w:p>
      <w:pPr/>
      <w:r>
        <w:rPr>
          <w:lang w:val="en_US" w:bidi="en_US"/>
        </w:rPr>
      </w:r>
      <w:r>
        <w:rPr>
          <w:lang w:val="en_US" w:bidi="en_US"/>
        </w:rPr>
        <w:t>The lepers in this verse were probably living some distance from the village. They were not coming out of the village to meet Jesus.</w:t>
      </w:r>
      <w:r>
        <w:rPr>
          <w:lang w:val="en_US" w:bidi="en_US"/>
        </w:rPr>
        <w:t>A number of English versions have “As he entered a village,” which could imply that Jesus was actually in the village when the lepers met him. However, the Greek construction can be translated just as accurately with an expression that shows that Jesus was still in the process of entering the village. He was probably on the outskirts of the village where the lepers were allowed to approach. Marshall says, “The reference to the village entered by Jesus is vague….It also places the incident on the outskirts of habitation where a group of lepers might be found” (p. 650).</w:t>
      </w:r>
      <w:r>
        <w:rPr>
          <w:lang w:val="en_US" w:bidi="en_US"/>
        </w:rPr>
        <w:t xml:space="preserve"> In some languages a phrase like </w:t>
      </w:r>
      <w:r>
        <w:rPr>
          <w:i/>
          <w:lang w:val="en_US" w:bidi="en_US"/>
        </w:rPr>
        <w:t>He was met</w:t>
      </w:r>
      <w:r>
        <w:rPr>
          <w:lang w:val="en_US" w:bidi="en_US"/>
        </w:rPr>
        <w:t xml:space="preserve"> may not fit with the phrase </w:t>
      </w:r>
      <w:r>
        <w:rPr>
          <w:i/>
          <w:lang w:val="en_US" w:bidi="en_US"/>
        </w:rPr>
        <w:t>stood at a distance</w:t>
      </w:r>
      <w:r>
        <w:rPr>
          <w:lang w:val="en_US" w:bidi="en_US"/>
        </w:rPr>
        <w:t>. When you translate this verse, be sure that the phrases you use fit the situation and do not contradict each other. One way to do this in English is:</w:t>
      </w:r>
    </w:p>
    <w:p>
      <w:pPr/>
      <w:r>
        <w:rPr>
          <w:lang w:val="en_US" w:bidi="en_US"/>
        </w:rPr>
      </w:r>
      <w:r>
        <w:rPr>
          <w:lang w:val="en_US" w:bidi="en_US"/>
        </w:rPr>
        <w:t>As he approached a village, ten lepers came toward him and stood some distance from him.</w:t>
      </w:r>
    </w:p>
    <w:p>
      <w:pPr/>
      <w:r>
        <w:rPr>
          <w:lang w:val="en_US" w:bidi="en_US"/>
        </w:rPr>
      </w:r>
      <w:r>
        <w:rPr>
          <w:lang w:val="en_US" w:bidi="en_US"/>
        </w:rPr>
        <w:t>…as he was approaching a village, ten lepers met him. They kept their distance (JBP)</w:t>
      </w:r>
    </w:p>
    <w:p>
      <w:pPr>
        <w:pStyle w:val="Heading5"/>
      </w:pPr>
      <w:r>
        <w:rPr>
          <w:lang w:val="en_US" w:bidi="en_US"/>
        </w:rPr>
        <w:t>17:12a</w:t>
      </w:r>
    </w:p>
    <w:p>
      <w:pPr/>
      <w:r>
        <w:rPr>
          <w:lang w:val="en_US" w:bidi="en_US"/>
        </w:rPr>
      </w:r>
      <w:r>
        <w:rPr>
          <w:b/>
          <w:lang w:val="en_US" w:bidi="en_US"/>
        </w:rPr>
        <w:t>As He entered one of the villages,</w:t>
      </w:r>
    </w:p>
    <w:p>
      <w:pPr>
        <w:pStyle w:val="ListBullet"/>
        <w:spacing w:line="240" w:lineRule="auto"/>
        <w:ind w:left="720"/>
      </w:pPr>
      <w:r>
        <w:rPr>
          <w:lang w:val="en_US" w:bidi="en_US"/>
        </w:rPr>
      </w:r>
      <w:r>
        <w:rPr>
          <w:lang w:val="en_US" w:bidi="en_US"/>
        </w:rPr>
        <w:t>When he arrived at a certain village,</w:t>
      </w:r>
    </w:p>
    <w:p>
      <w:pPr>
        <w:pStyle w:val="ListBullet"/>
        <w:spacing w:line="240" w:lineRule="auto"/>
        <w:ind w:left="720"/>
      </w:pPr>
      <w:r>
        <w:rPr>
          <w:lang w:val="en_US" w:bidi="en_US"/>
        </w:rPr>
      </w:r>
      <w:r>
        <w:rPr>
          <w:lang w:val="en_US" w:bidi="en_US"/>
        </w:rPr>
        <w:t xml:space="preserve">As he was about to enter one of the villages </w:t>
      </w:r>
      <w:r>
        <w:rPr>
          <w:lang w:val="en_US" w:bidi="en_US"/>
        </w:rPr>
        <w:t>with his disciples</w:t>
      </w:r>
      <w:r>
        <w:rPr>
          <w:lang w:val="en_US" w:bidi="en_US"/>
        </w:rPr>
        <w:t>,</w:t>
      </w:r>
    </w:p>
    <w:p>
      <w:pPr/>
      <w:r>
        <w:rPr>
          <w:lang w:val="en_US" w:bidi="en_US"/>
        </w:rPr>
      </w:r>
      <w:r>
        <w:rPr>
          <w:b/>
          <w:lang w:val="en_US" w:bidi="en_US"/>
        </w:rPr>
        <w:t>As He entered one of the villages:</w:t>
      </w:r>
      <w:r>
        <w:rPr>
          <w:lang w:val="en_US" w:bidi="en_US"/>
        </w:rPr>
        <w:t xml:space="preserve"> Jesus was going toward a village to enter it. Here is another way to translate this:</w:t>
      </w:r>
    </w:p>
    <w:p>
      <w:pPr/>
      <w:r>
        <w:rPr>
          <w:lang w:val="en_US" w:bidi="en_US"/>
        </w:rPr>
      </w:r>
      <w:r>
        <w:rPr>
          <w:lang w:val="en_US" w:bidi="en_US"/>
        </w:rPr>
        <w:t>as he was approaching a village (JBP)</w:t>
      </w:r>
    </w:p>
    <w:p>
      <w:pPr/>
      <w:r>
        <w:rPr>
          <w:lang w:val="en_US" w:bidi="en_US"/>
        </w:rPr>
      </w:r>
      <w:r>
        <w:rPr>
          <w:b/>
          <w:lang w:val="en_US" w:bidi="en_US"/>
        </w:rPr>
        <w:t>He:</w:t>
      </w:r>
      <w:r>
        <w:rPr>
          <w:lang w:val="en_US" w:bidi="en_US"/>
        </w:rPr>
        <w:t xml:space="preserve"> The focus is on Jesus here, but the disciples were still following him. Consider how to imply that in your language while keeping the focus on Jesus.</w:t>
      </w:r>
    </w:p>
    <w:p>
      <w:pPr>
        <w:pStyle w:val="Heading5"/>
      </w:pPr>
      <w:r>
        <w:rPr>
          <w:lang w:val="en_US" w:bidi="en_US"/>
        </w:rPr>
        <w:t>17:12b</w:t>
      </w:r>
    </w:p>
    <w:p>
      <w:pPr/>
      <w:r>
        <w:rPr>
          <w:lang w:val="en_US" w:bidi="en_US"/>
        </w:rPr>
      </w:r>
      <w:r>
        <w:rPr>
          <w:b/>
          <w:lang w:val="en_US" w:bidi="en_US"/>
        </w:rPr>
        <w:t>He was met by ten lepers.</w:t>
      </w:r>
    </w:p>
    <w:p>
      <w:pPr>
        <w:pStyle w:val="ListBullet"/>
        <w:spacing w:line="240" w:lineRule="auto"/>
        <w:ind w:left="720"/>
      </w:pPr>
      <w:r>
        <w:rPr>
          <w:lang w:val="en_US" w:bidi="en_US"/>
        </w:rPr>
      </w:r>
      <w:r>
        <w:rPr>
          <w:lang w:val="en_US" w:bidi="en_US"/>
        </w:rPr>
        <w:t xml:space="preserve">ten men with leprosy </w:t>
      </w:r>
      <w:r>
        <w:rPr>
          <w:lang w:val="en_US" w:bidi="en_US"/>
        </w:rPr>
        <w:t>sickness</w:t>
      </w:r>
      <w:r>
        <w:rPr>
          <w:lang w:val="en_US" w:bidi="en_US"/>
        </w:rPr>
        <w:t xml:space="preserve"> came to meet him.</w:t>
      </w:r>
    </w:p>
    <w:p>
      <w:pPr>
        <w:pStyle w:val="ListBullet"/>
        <w:spacing w:line="240" w:lineRule="auto"/>
        <w:ind w:left="720"/>
      </w:pPr>
      <w:r>
        <w:rPr>
          <w:lang w:val="en_US" w:bidi="en_US"/>
        </w:rPr>
      </w:r>
      <w:r>
        <w:rPr>
          <w:lang w:val="en_US" w:bidi="en_US"/>
        </w:rPr>
        <w:t xml:space="preserve">ten men came toward him. They were sick with </w:t>
      </w:r>
      <w:r>
        <w:rPr>
          <w:lang w:val="en_US" w:bidi="en_US"/>
        </w:rPr>
        <w:t>a terrible skin disease called</w:t>
      </w:r>
      <w:r>
        <w:rPr>
          <w:lang w:val="en_US" w:bidi="en_US"/>
        </w:rPr>
        <w:t xml:space="preserve"> leprosy.</w:t>
      </w:r>
    </w:p>
    <w:p>
      <w:pPr/>
      <w:r>
        <w:rPr>
          <w:lang w:val="en_US" w:bidi="en_US"/>
        </w:rPr>
      </w:r>
      <w:r>
        <w:rPr>
          <w:b/>
          <w:lang w:val="en_US" w:bidi="en_US"/>
        </w:rPr>
        <w:t>lepers:</w:t>
      </w:r>
      <w:r>
        <w:rPr>
          <w:lang w:val="en_US" w:bidi="en_US"/>
        </w:rPr>
        <w:t xml:space="preserve"> The Greek word that the BSB translates as </w:t>
      </w:r>
      <w:r>
        <w:rPr>
          <w:i/>
          <w:lang w:val="en_US" w:bidi="en_US"/>
        </w:rPr>
        <w:t>lepers</w:t>
      </w:r>
      <w:r>
        <w:rPr>
          <w:lang w:val="en_US" w:bidi="en_US"/>
        </w:rPr>
        <w:t xml:space="preserve"> refers to people afflicted with several different skin diseases. Scholars disagree as to whether these diseases included modern-day leprosy (Hansen’s disease). They agree that in New Testament times the Greek word referred to dreaded skin diseases.</w:t>
      </w:r>
    </w:p>
    <w:p>
      <w:pPr/>
      <w:r>
        <w:rPr>
          <w:lang w:val="en_US" w:bidi="en_US"/>
        </w:rPr>
      </w:r>
      <w:r>
        <w:rPr>
          <w:lang w:val="en_US" w:bidi="en_US"/>
        </w:rPr>
        <w:t>People believed that these diseases were spread by contact with someone who had the disease. A person who had one of these diseases was also considered ritually unclean. Some ways to translate this word are:</w:t>
      </w:r>
    </w:p>
    <w:p>
      <w:pPr>
        <w:pStyle w:val="ListBullet"/>
        <w:spacing w:line="240" w:lineRule="auto"/>
        <w:ind w:left="720"/>
      </w:pPr>
      <w:r>
        <w:rPr>
          <w:lang w:val="en_US" w:bidi="en_US"/>
        </w:rPr>
      </w:r>
      <w:r>
        <w:rPr>
          <w:lang w:val="en_US" w:bidi="en_US"/>
        </w:rPr>
        <w:t>Use a general phrase that describes the nature or significance of the disease. For example:</w:t>
      </w:r>
      <w:r>
        <w:rPr>
          <w:lang w:val="en_US" w:bidi="en_US"/>
        </w:rPr>
        <w:t>a skin disease (GW)</w:t>
      </w:r>
      <w:r>
        <w:rPr>
          <w:lang w:val="en_US" w:bidi="en_US"/>
        </w:rPr>
        <w:t>a dreaded skin disease (GNT)</w:t>
      </w:r>
      <w:r>
        <w:rPr>
          <w:lang w:val="en_US" w:bidi="en_US"/>
        </w:rPr>
        <w:t>a contagious skin disease</w:t>
      </w:r>
    </w:p>
    <w:p>
      <w:pPr>
        <w:pStyle w:val="ListBullet"/>
        <w:spacing w:line="240" w:lineRule="auto"/>
        <w:ind w:left="720"/>
      </w:pPr>
      <w:r>
        <w:rPr>
          <w:lang w:val="en_US" w:bidi="en_US"/>
        </w:rPr>
      </w:r>
      <w:r>
        <w:rPr>
          <w:lang w:val="en_US" w:bidi="en_US"/>
        </w:rPr>
        <w:t>Use a term that refers specifically to leprosy. For example:</w:t>
      </w:r>
      <w:r>
        <w:rPr>
          <w:lang w:val="en_US" w:bidi="en_US"/>
        </w:rPr>
        <w:t>leprosy</w:t>
      </w:r>
      <w:r>
        <w:rPr>
          <w:lang w:val="en_US" w:bidi="en_US"/>
        </w:rPr>
        <w:t>something like leprosy</w:t>
      </w:r>
    </w:p>
    <w:p>
      <w:pPr/>
      <w:r>
        <w:rPr>
          <w:lang w:val="en_US" w:bidi="en_US"/>
        </w:rPr>
      </w:r>
      <w:r>
        <w:rPr>
          <w:lang w:val="en_US" w:bidi="en_US"/>
        </w:rPr>
        <w:t>A term that refers specifically to leprosy may be appropriate in areas where readers are already familiar with the term “leprosy.” If you decide to use a word meaning “leprosy,” it is recommended that you add a footnote to give more information. For example:</w:t>
      </w:r>
    </w:p>
    <w:p>
      <w:pPr/>
      <w:r>
        <w:rPr>
          <w:lang w:val="en_US" w:bidi="en_US"/>
        </w:rPr>
      </w:r>
      <w:r>
        <w:rPr>
          <w:lang w:val="en_US" w:bidi="en_US"/>
        </w:rPr>
        <w:t>The disease that is mentioned here refers to various contagious and dreaded skin diseases. A person who had one of these diseases was considered ritually unclean. According to the Jewish law, he was not allowed to associate with other people or to worship in the Temple.</w:t>
      </w:r>
    </w:p>
    <w:p>
      <w:pPr/>
      <w:r>
        <w:rPr>
          <w:lang w:val="en_US" w:bidi="en_US"/>
        </w:rPr>
      </w:r>
      <w:r>
        <w:rPr>
          <w:lang w:val="en_US" w:bidi="en_US"/>
        </w:rPr>
        <w:t>This word also occurred in 7:22.</w:t>
      </w:r>
    </w:p>
    <w:p>
      <w:pPr>
        <w:pStyle w:val="Heading5"/>
      </w:pPr>
      <w:r>
        <w:rPr>
          <w:lang w:val="en_US" w:bidi="en_US"/>
        </w:rPr>
        <w:t>17:12c</w:t>
      </w:r>
    </w:p>
    <w:p>
      <w:pPr/>
      <w:r>
        <w:rPr>
          <w:lang w:val="en_US" w:bidi="en_US"/>
        </w:rPr>
      </w:r>
      <w:r>
        <w:rPr>
          <w:b/>
          <w:lang w:val="en_US" w:bidi="en_US"/>
        </w:rPr>
        <w:t>They stood at a distance</w:t>
      </w:r>
    </w:p>
    <w:p>
      <w:pPr>
        <w:pStyle w:val="ListBullet"/>
        <w:spacing w:line="240" w:lineRule="auto"/>
        <w:ind w:left="720"/>
      </w:pPr>
      <w:r>
        <w:rPr>
          <w:lang w:val="en_US" w:bidi="en_US"/>
        </w:rPr>
      </w:r>
      <w:r>
        <w:rPr>
          <w:lang w:val="en_US" w:bidi="en_US"/>
        </w:rPr>
        <w:t xml:space="preserve">They stood some distance away </w:t>
      </w:r>
      <w:r>
        <w:rPr>
          <w:lang w:val="en_US" w:bidi="en_US"/>
        </w:rPr>
        <w:t>from Jesus</w:t>
      </w:r>
      <w:r>
        <w:rPr>
          <w:lang w:val="en_US" w:bidi="en_US"/>
        </w:rPr>
        <w:t>,</w:t>
      </w:r>
    </w:p>
    <w:p>
      <w:pPr>
        <w:pStyle w:val="ListBullet"/>
        <w:spacing w:line="240" w:lineRule="auto"/>
        <w:ind w:left="720"/>
      </w:pPr>
      <w:r>
        <w:rPr>
          <w:lang w:val="en_US" w:bidi="en_US"/>
        </w:rPr>
      </w:r>
      <w:r>
        <w:rPr>
          <w:lang w:val="en_US" w:bidi="en_US"/>
        </w:rPr>
        <w:t xml:space="preserve">They </w:t>
      </w:r>
      <w:r>
        <w:rPr>
          <w:lang w:val="en_US" w:bidi="en_US"/>
        </w:rPr>
        <w:t>did not come near Jesus, but</w:t>
      </w:r>
      <w:r>
        <w:rPr>
          <w:lang w:val="en_US" w:bidi="en_US"/>
        </w:rPr>
        <w:t xml:space="preserve"> stopped a short distance away.</w:t>
      </w:r>
    </w:p>
    <w:p>
      <w:pPr/>
      <w:r>
        <w:rPr>
          <w:lang w:val="en_US" w:bidi="en_US"/>
        </w:rPr>
      </w:r>
      <w:r>
        <w:rPr>
          <w:b/>
          <w:lang w:val="en_US" w:bidi="en_US"/>
        </w:rPr>
        <w:t>They stood at a distance:</w:t>
      </w:r>
      <w:r>
        <w:rPr>
          <w:lang w:val="en_US" w:bidi="en_US"/>
        </w:rPr>
        <w:t xml:space="preserve"> The phrase </w:t>
      </w:r>
      <w:r>
        <w:rPr>
          <w:i/>
          <w:lang w:val="en_US" w:bidi="en_US"/>
        </w:rPr>
        <w:t>stood at a distance</w:t>
      </w:r>
      <w:r>
        <w:rPr>
          <w:lang w:val="en_US" w:bidi="en_US"/>
        </w:rPr>
        <w:t xml:space="preserve"> indicates that they did not come near Jesus. Some other ways to translate this are:</w:t>
      </w:r>
    </w:p>
    <w:p>
      <w:pPr/>
      <w:r>
        <w:rPr>
          <w:lang w:val="en_US" w:bidi="en_US"/>
        </w:rPr>
      </w:r>
      <w:r>
        <w:rPr>
          <w:lang w:val="en_US" w:bidi="en_US"/>
        </w:rPr>
        <w:t>They did not come close to Jesus (NCV)</w:t>
      </w:r>
    </w:p>
    <w:p>
      <w:pPr/>
      <w:r>
        <w:rPr>
          <w:lang w:val="en_US" w:bidi="en_US"/>
        </w:rPr>
      </w:r>
      <w:r>
        <w:rPr>
          <w:lang w:val="en_US" w:bidi="en_US"/>
        </w:rPr>
        <w:t xml:space="preserve">They stood apart from </w:t>
      </w:r>
      <w:r>
        <w:rPr>
          <w:lang w:val="en_US" w:bidi="en_US"/>
        </w:rPr>
        <w:t>Jesus</w:t>
      </w:r>
    </w:p>
    <w:p>
      <w:pPr>
        <w:pStyle w:val="Heading6"/>
      </w:pPr>
      <w:r>
        <w:rPr>
          <w:b/>
          <w:lang w:val="en_US" w:bidi="en_US"/>
        </w:rPr>
        <w:t>General Comment on 17:12b–c</w:t>
      </w:r>
    </w:p>
    <w:p>
      <w:pPr/>
      <w:r>
        <w:rPr>
          <w:lang w:val="en_US" w:bidi="en_US"/>
        </w:rPr>
      </w:r>
      <w:r>
        <w:rPr>
          <w:lang w:val="en_US" w:bidi="en_US"/>
        </w:rPr>
        <w:t>In some languages it may be natural to combine the phrases “met him” and “they stood at a distance.” For example:</w:t>
      </w:r>
    </w:p>
    <w:p>
      <w:pPr/>
      <w:r>
        <w:rPr>
          <w:lang w:val="en_US" w:bidi="en_US"/>
        </w:rPr>
      </w:r>
      <w:r>
        <w:rPr>
          <w:lang w:val="en_US" w:bidi="en_US"/>
        </w:rPr>
        <w:t>ten lepers stood at a distance (NLT)</w:t>
      </w:r>
    </w:p>
    <w:p>
      <w:pPr/>
      <w:r>
        <w:rPr>
          <w:lang w:val="en_US" w:bidi="en_US"/>
        </w:rPr>
      </w:r>
      <w:r>
        <w:rPr>
          <w:lang w:val="en_US" w:bidi="en_US"/>
        </w:rPr>
        <w:t>ten lepers stopped a short distance away</w:t>
      </w:r>
      <w:r>
        <w:rPr>
          <w:lang w:val="en_US" w:bidi="en_US"/>
        </w:rPr>
      </w:r>
      <w:r>
        <w:rPr>
          <w:lang w:val="en_US" w:bidi="en_US"/>
        </w:rPr>
      </w:r>
    </w:p>
    <w:p>
      <w:pPr/>
      <w:r>
        <w:rPr>
          <w:lang w:val="en_US" w:bidi="en_US"/>
        </w:rPr>
      </w:r>
    </w:p>
    <w:p>
      <w:pPr>
        <w:pStyle w:val="Heading2"/>
      </w:pPr>
      <w:r>
        <w:rPr>
          <w:lang w:val="en_US" w:bidi="en_US"/>
        </w:rPr>
        <w:t>Luke 17:13</w:t>
      </w:r>
      <w:r>
        <w:rPr>
          <w:lang w:val="en_US" w:bidi="en_US"/>
        </w:rPr>
      </w:r>
    </w:p>
    <w:p>
      <w:pPr>
        <w:pStyle w:val="Heading4"/>
      </w:pPr>
      <w:r>
        <w:rPr>
          <w:lang w:val="en_US" w:bidi="en_US"/>
        </w:rPr>
        <w:t>Section 17:11–19: Jesus healed ten lepers</w:t>
      </w:r>
    </w:p>
    <w:p>
      <w:pPr/>
      <w:r>
        <w:rPr>
          <w:lang w:val="en_US" w:bidi="en_US"/>
        </w:rPr>
      </w:r>
      <w:r>
        <w:rPr>
          <w:lang w:val="en_US" w:bidi="en_US"/>
        </w:rPr>
        <w:t>In this section Jesus and his disciples were continuing to travel to Jerusalem. As they approached a village on the way, ten men with leprosy or another serious skin disease begged Jesus to help them. People with this disease were outcasts and were not allowed to live in a village with healthy people. They were also considered to be ritually unclean or impure. They were not allowed to worship God with healthy people.</w:t>
      </w:r>
    </w:p>
    <w:p>
      <w:pPr/>
      <w:r>
        <w:rPr>
          <w:lang w:val="en_US" w:bidi="en_US"/>
        </w:rPr>
      </w:r>
      <w:r>
        <w:rPr>
          <w:lang w:val="en_US" w:bidi="en_US"/>
        </w:rPr>
        <w:t>Jesus healed all ten men, and they became ritually pure. However, only one of them thanked Jesus for healing him. This man was a Samaritan, and Jews usually despised Samaritans. However, Jesus often showed that he did not despise them. In the parable that Jesus told in 10:25–37, he used a Samaritan as the example of a person who loved his neighbor.</w:t>
      </w:r>
    </w:p>
    <w:p>
      <w:pPr/>
      <w:r>
        <w:rPr>
          <w:lang w:val="en_US" w:bidi="en_US"/>
        </w:rPr>
      </w:r>
      <w:r>
        <w:rPr>
          <w:lang w:val="en_US" w:bidi="en_US"/>
        </w:rPr>
        <w:t>Notice the contrast in the way “thanks” is used here and in 17:10. In 17:10, Jesus implied that servants of God often feel that they deserve special thanks or reward for simply doing their duty. In this section, when Jesus did something that deserved much thanks and praise, only one of ten people thanked him.</w:t>
      </w:r>
    </w:p>
    <w:p>
      <w:pPr/>
      <w:r>
        <w:rPr>
          <w:lang w:val="en_US" w:bidi="en_US"/>
        </w:rPr>
      </w:r>
      <w:r>
        <w:rPr>
          <w:lang w:val="en_US" w:bidi="en_US"/>
        </w:rPr>
        <w:t>Some other ideas for this section heading are:</w:t>
      </w:r>
    </w:p>
    <w:p>
      <w:pPr/>
      <w:r>
        <w:rPr>
          <w:lang w:val="en_US" w:bidi="en_US"/>
        </w:rPr>
      </w:r>
      <w:r>
        <w:rPr>
          <w:lang w:val="en_US" w:bidi="en_US"/>
        </w:rPr>
        <w:t>Jesus heals ten lepers</w:t>
      </w:r>
    </w:p>
    <w:p>
      <w:pPr/>
      <w:r>
        <w:rPr>
          <w:lang w:val="en_US" w:bidi="en_US"/>
        </w:rPr>
      </w:r>
      <w:r>
        <w:rPr>
          <w:lang w:val="en_US" w:bidi="en_US"/>
        </w:rPr>
        <w:t>Jesus cleanses ten men</w:t>
      </w:r>
    </w:p>
    <w:p>
      <w:pPr/>
      <w:r>
        <w:rPr>
          <w:lang w:val="en_US" w:bidi="en_US"/>
        </w:rPr>
      </w:r>
      <w:r>
        <w:rPr>
          <w:lang w:val="en_US" w:bidi="en_US"/>
        </w:rPr>
        <w:t>The book of Luke is the only gospel that tells about this event.</w:t>
      </w:r>
    </w:p>
    <w:p>
      <w:pPr>
        <w:pStyle w:val="Heading5"/>
      </w:pPr>
      <w:r>
        <w:rPr>
          <w:lang w:val="en_US" w:bidi="en_US"/>
        </w:rPr>
        <w:t>17:13a</w:t>
      </w:r>
    </w:p>
    <w:p>
      <w:pPr/>
      <w:r>
        <w:rPr>
          <w:lang w:val="en_US" w:bidi="en_US"/>
        </w:rPr>
      </w:r>
      <w:r>
        <w:rPr>
          <w:b/>
          <w:lang w:val="en_US" w:bidi="en_US"/>
        </w:rPr>
        <w:t>and raised their voices, shouting,</w:t>
      </w:r>
    </w:p>
    <w:p>
      <w:pPr>
        <w:pStyle w:val="ListBullet"/>
        <w:spacing w:line="240" w:lineRule="auto"/>
        <w:ind w:left="720"/>
      </w:pPr>
      <w:r>
        <w:rPr>
          <w:lang w:val="en_US" w:bidi="en_US"/>
        </w:rPr>
      </w:r>
      <w:r>
        <w:rPr>
          <w:lang w:val="en_US" w:bidi="en_US"/>
        </w:rPr>
        <w:t>and shouted out to him,</w:t>
      </w:r>
    </w:p>
    <w:p>
      <w:pPr>
        <w:pStyle w:val="ListBullet"/>
        <w:spacing w:line="240" w:lineRule="auto"/>
        <w:ind w:left="720"/>
      </w:pPr>
      <w:r>
        <w:rPr>
          <w:lang w:val="en_US" w:bidi="en_US"/>
        </w:rPr>
      </w:r>
      <w:r>
        <w:rPr>
          <w:lang w:val="en_US" w:bidi="en_US"/>
        </w:rPr>
        <w:t>They called loudly to him,</w:t>
      </w:r>
    </w:p>
    <w:p>
      <w:pPr/>
      <w:r>
        <w:rPr>
          <w:lang w:val="en_US" w:bidi="en_US"/>
        </w:rPr>
      </w:r>
      <w:r>
        <w:rPr>
          <w:b/>
          <w:lang w:val="en_US" w:bidi="en_US"/>
        </w:rPr>
        <w:t>raised their voices, shouting:</w:t>
      </w:r>
      <w:r>
        <w:rPr>
          <w:lang w:val="en_US" w:bidi="en_US"/>
        </w:rPr>
        <w:t xml:space="preserve"> The Greek expression that the BSB translates as </w:t>
      </w:r>
      <w:r>
        <w:rPr>
          <w:i/>
          <w:lang w:val="en_US" w:bidi="en_US"/>
        </w:rPr>
        <w:t>raised their voices, shouting</w:t>
      </w:r>
      <w:r>
        <w:rPr>
          <w:lang w:val="en_US" w:bidi="en_US"/>
        </w:rPr>
        <w:t xml:space="preserve"> is literally “lifted voice saying.” This is an idiom. It indicates here that the lepers spoke loudly to Jesus. They shouted so that he could hear them, since they stood at a distance from him. In your translation, use an expression that refers to calling loudly to someone or shouting, but not in an impolite or angry way. For example:</w:t>
      </w:r>
    </w:p>
    <w:p>
      <w:pPr/>
      <w:r>
        <w:rPr>
          <w:lang w:val="en_US" w:bidi="en_US"/>
        </w:rPr>
      </w:r>
      <w:r>
        <w:rPr>
          <w:lang w:val="en_US" w:bidi="en_US"/>
        </w:rPr>
        <w:t>but called to him (NCV)</w:t>
      </w:r>
    </w:p>
    <w:p>
      <w:pPr/>
      <w:r>
        <w:rPr>
          <w:lang w:val="en_US" w:bidi="en_US"/>
        </w:rPr>
      </w:r>
      <w:r>
        <w:rPr>
          <w:lang w:val="en_US" w:bidi="en_US"/>
        </w:rPr>
        <w:t>called out, saying (NRSV)</w:t>
      </w:r>
    </w:p>
    <w:p>
      <w:pPr/>
      <w:r>
        <w:rPr>
          <w:lang w:val="en_US" w:bidi="en_US"/>
        </w:rPr>
      </w:r>
      <w:r>
        <w:rPr>
          <w:lang w:val="en_US" w:bidi="en_US"/>
        </w:rPr>
        <w:t>and shouted (GNT)</w:t>
      </w:r>
    </w:p>
    <w:p>
      <w:pPr>
        <w:pStyle w:val="Heading5"/>
      </w:pPr>
      <w:r>
        <w:rPr>
          <w:lang w:val="en_US" w:bidi="en_US"/>
        </w:rPr>
        <w:t>17:13b</w:t>
      </w:r>
    </w:p>
    <w:p>
      <w:pPr/>
      <w:r>
        <w:rPr>
          <w:lang w:val="en_US" w:bidi="en_US"/>
        </w:rPr>
      </w:r>
      <w:r>
        <w:rPr>
          <w:b/>
          <w:lang w:val="en_US" w:bidi="en_US"/>
        </w:rPr>
        <w:t>“Jesus, Master, have mercy on us!”</w:t>
      </w:r>
    </w:p>
    <w:p>
      <w:pPr>
        <w:pStyle w:val="ListBullet"/>
        <w:spacing w:line="240" w:lineRule="auto"/>
        <w:ind w:left="720"/>
      </w:pPr>
      <w:r>
        <w:rPr>
          <w:lang w:val="en_US" w:bidi="en_US"/>
        </w:rPr>
      </w:r>
      <w:r>
        <w:rPr>
          <w:lang w:val="en_US" w:bidi="en_US"/>
        </w:rPr>
        <w:t>“Jesus! Master! Pity</w:t>
      </w:r>
      <w:r>
        <w:rPr>
          <w:vertAlign w:val="superscript"/>
          <w:lang w:val="en_US" w:bidi="en_US"/>
        </w:rPr>
        <w:t>(sing)</w:t>
      </w:r>
      <w:r>
        <w:rPr>
          <w:lang w:val="en_US" w:bidi="en_US"/>
        </w:rPr>
        <w:t xml:space="preserve"> us </w:t>
      </w:r>
      <w:r>
        <w:rPr>
          <w:lang w:val="en_US" w:bidi="en_US"/>
        </w:rPr>
        <w:t>and heal us</w:t>
      </w:r>
      <w:r>
        <w:rPr>
          <w:lang w:val="en_US" w:bidi="en_US"/>
        </w:rPr>
        <w:t>!”</w:t>
      </w:r>
    </w:p>
    <w:p>
      <w:pPr>
        <w:pStyle w:val="ListBullet"/>
        <w:spacing w:line="240" w:lineRule="auto"/>
        <w:ind w:left="720"/>
      </w:pPr>
      <w:r>
        <w:rPr>
          <w:lang w:val="en_US" w:bidi="en_US"/>
        </w:rPr>
      </w:r>
      <w:r>
        <w:rPr>
          <w:lang w:val="en_US" w:bidi="en_US"/>
        </w:rPr>
        <w:t xml:space="preserve">“Jesus, </w:t>
      </w:r>
      <w:r>
        <w:rPr>
          <w:lang w:val="en_US" w:bidi="en_US"/>
        </w:rPr>
        <w:t>our</w:t>
      </w:r>
      <w:r>
        <w:rPr>
          <w:lang w:val="en_US" w:bidi="en_US"/>
        </w:rPr>
        <w:t xml:space="preserve"> Master, be</w:t>
      </w:r>
      <w:r>
        <w:rPr>
          <w:vertAlign w:val="superscript"/>
          <w:lang w:val="en_US" w:bidi="en_US"/>
        </w:rPr>
        <w:t>(sing)</w:t>
      </w:r>
      <w:r>
        <w:rPr>
          <w:lang w:val="en_US" w:bidi="en_US"/>
        </w:rPr>
        <w:t xml:space="preserve"> merciful to us.”</w:t>
      </w:r>
    </w:p>
    <w:p>
      <w:pPr/>
      <w:r>
        <w:rPr>
          <w:lang w:val="en_US" w:bidi="en_US"/>
        </w:rPr>
      </w:r>
      <w:r>
        <w:rPr>
          <w:b/>
          <w:lang w:val="en_US" w:bidi="en_US"/>
        </w:rPr>
        <w:t>Jesus, Master:</w:t>
      </w:r>
      <w:r>
        <w:rPr>
          <w:lang w:val="en_US" w:bidi="en_US"/>
        </w:rPr>
        <w:t xml:space="preserve"> The Greek word that the BSB translates as </w:t>
      </w:r>
      <w:r>
        <w:rPr>
          <w:i/>
          <w:lang w:val="en_US" w:bidi="en_US"/>
        </w:rPr>
        <w:t>Master</w:t>
      </w:r>
      <w:r>
        <w:rPr>
          <w:lang w:val="en_US" w:bidi="en_US"/>
        </w:rPr>
        <w:t xml:space="preserve"> is a word that shows respect. People used this word to address a person who had high position or status.</w:t>
      </w:r>
      <w:r>
        <w:rPr>
          <w:lang w:val="en_US" w:bidi="en_US"/>
        </w:rPr>
        <w:t xml:space="preserve">The Greek word here is </w:t>
      </w:r>
      <w:r>
        <w:rPr>
          <w:i/>
          <w:lang w:val="en_US" w:bidi="en_US"/>
        </w:rPr>
        <w:t>Ἐπιστάτα</w:t>
      </w:r>
      <w:r>
        <w:rPr>
          <w:lang w:val="en_US" w:bidi="en_US"/>
        </w:rPr>
        <w:t xml:space="preserve"> which is unique to Luke in the Gospels. Parallel passages in Matthew use </w:t>
      </w:r>
      <w:r>
        <w:rPr>
          <w:i/>
          <w:lang w:val="en_US" w:bidi="en_US"/>
        </w:rPr>
        <w:t>κύριε</w:t>
      </w:r>
      <w:r>
        <w:rPr>
          <w:lang w:val="en_US" w:bidi="en_US"/>
        </w:rPr>
        <w:t xml:space="preserve"> while parallels in Mark use either </w:t>
      </w:r>
      <w:r>
        <w:rPr>
          <w:i/>
          <w:lang w:val="en_US" w:bidi="en_US"/>
        </w:rPr>
        <w:t>διδασκαλε</w:t>
      </w:r>
      <w:r>
        <w:rPr>
          <w:lang w:val="en_US" w:bidi="en_US"/>
        </w:rPr>
        <w:t xml:space="preserve"> or </w:t>
      </w:r>
      <w:r>
        <w:rPr>
          <w:i/>
          <w:lang w:val="en_US" w:bidi="en_US"/>
        </w:rPr>
        <w:t>ραββι</w:t>
      </w:r>
      <w:r>
        <w:rPr>
          <w:lang w:val="en_US" w:bidi="en_US"/>
        </w:rPr>
        <w:t>.</w:t>
      </w:r>
      <w:r>
        <w:rPr>
          <w:lang w:val="en_US" w:bidi="en_US"/>
        </w:rPr>
        <w:t xml:space="preserve"> It showed that the lepers respected Jesus. The word </w:t>
      </w:r>
      <w:r>
        <w:rPr>
          <w:i/>
          <w:lang w:val="en_US" w:bidi="en_US"/>
        </w:rPr>
        <w:t>Master</w:t>
      </w:r>
      <w:r>
        <w:rPr>
          <w:lang w:val="en_US" w:bidi="en_US"/>
        </w:rPr>
        <w:t xml:space="preserve"> is similar in meaning to “Lord” in 17:5. However, when someone used the word “Lord,” he was showing greater respect.</w:t>
      </w:r>
    </w:p>
    <w:p>
      <w:pPr/>
      <w:r>
        <w:rPr>
          <w:lang w:val="en_US" w:bidi="en_US"/>
        </w:rPr>
      </w:r>
      <w:r>
        <w:rPr>
          <w:lang w:val="en_US" w:bidi="en_US"/>
        </w:rPr>
        <w:t>Use an appropriate term of address for the lepers to use toward a respected healer whom they were begging for help. For example:</w:t>
      </w:r>
    </w:p>
    <w:p>
      <w:pPr/>
      <w:r>
        <w:rPr>
          <w:lang w:val="en_US" w:bidi="en_US"/>
        </w:rPr>
      </w:r>
      <w:r>
        <w:rPr>
          <w:lang w:val="en_US" w:bidi="en_US"/>
        </w:rPr>
        <w:t>leader</w:t>
      </w:r>
    </w:p>
    <w:p>
      <w:pPr/>
      <w:r>
        <w:rPr>
          <w:lang w:val="en_US" w:bidi="en_US"/>
        </w:rPr>
      </w:r>
      <w:r>
        <w:rPr>
          <w:lang w:val="en_US" w:bidi="en_US"/>
        </w:rPr>
        <w:t>elder</w:t>
      </w:r>
    </w:p>
    <w:p>
      <w:pPr/>
      <w:r>
        <w:rPr>
          <w:lang w:val="en_US" w:bidi="en_US"/>
        </w:rPr>
      </w:r>
      <w:r>
        <w:rPr>
          <w:lang w:val="en_US" w:bidi="en_US"/>
        </w:rPr>
        <w:t>In some languages it may be more natural to change the order of Jesus’ name and title. For example:</w:t>
      </w:r>
    </w:p>
    <w:p>
      <w:pPr/>
      <w:r>
        <w:rPr>
          <w:lang w:val="en_US" w:bidi="en_US"/>
        </w:rPr>
      </w:r>
      <w:r>
        <w:rPr>
          <w:lang w:val="en_US" w:bidi="en_US"/>
        </w:rPr>
        <w:t>Master Jesus</w:t>
      </w:r>
    </w:p>
    <w:p>
      <w:pPr/>
      <w:r>
        <w:rPr>
          <w:lang w:val="en_US" w:bidi="en_US"/>
        </w:rPr>
      </w:r>
      <w:r>
        <w:rPr>
          <w:b/>
          <w:lang w:val="en_US" w:bidi="en_US"/>
        </w:rPr>
        <w:t>have mercy on us:</w:t>
      </w:r>
      <w:r>
        <w:rPr>
          <w:lang w:val="en_US" w:bidi="en_US"/>
        </w:rPr>
        <w:t xml:space="preserve"> The Greek verb that the BSB translates as </w:t>
      </w:r>
      <w:r>
        <w:rPr>
          <w:i/>
          <w:lang w:val="en_US" w:bidi="en_US"/>
        </w:rPr>
        <w:t>have mercy</w:t>
      </w:r>
      <w:r>
        <w:rPr>
          <w:lang w:val="en_US" w:bidi="en_US"/>
        </w:rPr>
        <w:t xml:space="preserve"> means “be merciful.” This verb also occurred in 16:24. The pronoun </w:t>
      </w:r>
      <w:r>
        <w:rPr>
          <w:i/>
          <w:lang w:val="en_US" w:bidi="en_US"/>
        </w:rPr>
        <w:t>us</w:t>
      </w:r>
      <w:r>
        <w:rPr>
          <w:lang w:val="en_US" w:bidi="en_US"/>
        </w:rPr>
        <w:t xml:space="preserve"> refers to the lepers. Their request implies that they wanted Jesus to heal them so they would no longer have leprosy. Here are some other ways to translate this:</w:t>
      </w:r>
    </w:p>
    <w:p>
      <w:pPr/>
      <w:r>
        <w:rPr>
          <w:lang w:val="en_US" w:bidi="en_US"/>
        </w:rPr>
      </w:r>
      <w:r>
        <w:rPr>
          <w:lang w:val="en_US" w:bidi="en_US"/>
        </w:rPr>
        <w:t>have pity on us (NIV)</w:t>
      </w:r>
    </w:p>
    <w:p>
      <w:pPr/>
      <w:r>
        <w:rPr>
          <w:lang w:val="en_US" w:bidi="en_US"/>
        </w:rPr>
      </w:r>
      <w:r>
        <w:rPr>
          <w:lang w:val="en_US" w:bidi="en_US"/>
        </w:rPr>
        <w:t>be</w:t>
      </w:r>
      <w:r>
        <w:rPr>
          <w:vertAlign w:val="superscript"/>
          <w:lang w:val="en_US" w:bidi="en_US"/>
        </w:rPr>
        <w:t>(sing)</w:t>
      </w:r>
      <w:r>
        <w:rPr>
          <w:lang w:val="en_US" w:bidi="en_US"/>
        </w:rPr>
        <w:t xml:space="preserve"> kind to us</w:t>
      </w:r>
      <w:r>
        <w:rPr>
          <w:vertAlign w:val="superscript"/>
          <w:lang w:val="en_US" w:bidi="en_US"/>
        </w:rPr>
        <w:t>(excl)</w:t>
      </w:r>
      <w:r>
        <w:rPr>
          <w:lang w:val="en_US" w:bidi="en_US"/>
        </w:rPr>
        <w:t xml:space="preserve"> </w:t>
      </w:r>
      <w:r>
        <w:rPr>
          <w:lang w:val="en_US" w:bidi="en_US"/>
        </w:rPr>
        <w:t>and heal/cleanse us</w:t>
      </w:r>
      <w:r>
        <w:rPr>
          <w:lang w:val="en_US" w:bidi="en_US"/>
        </w:rPr>
      </w:r>
      <w:r>
        <w:rPr>
          <w:lang w:val="en_US" w:bidi="en_US"/>
        </w:rPr>
      </w:r>
    </w:p>
    <w:p>
      <w:pPr/>
      <w:r>
        <w:rPr>
          <w:lang w:val="en_US" w:bidi="en_US"/>
        </w:rPr>
      </w:r>
    </w:p>
    <w:p>
      <w:pPr>
        <w:pStyle w:val="Heading2"/>
      </w:pPr>
      <w:r>
        <w:rPr>
          <w:lang w:val="en_US" w:bidi="en_US"/>
        </w:rPr>
        <w:t>Luke 17:14</w:t>
      </w:r>
      <w:r>
        <w:rPr>
          <w:lang w:val="en_US" w:bidi="en_US"/>
        </w:rPr>
      </w:r>
    </w:p>
    <w:p>
      <w:pPr>
        <w:pStyle w:val="Heading4"/>
      </w:pPr>
      <w:r>
        <w:rPr>
          <w:lang w:val="en_US" w:bidi="en_US"/>
        </w:rPr>
        <w:t>Section 17:11–19: Jesus healed ten lepers</w:t>
      </w:r>
    </w:p>
    <w:p>
      <w:pPr/>
      <w:r>
        <w:rPr>
          <w:lang w:val="en_US" w:bidi="en_US"/>
        </w:rPr>
      </w:r>
      <w:r>
        <w:rPr>
          <w:lang w:val="en_US" w:bidi="en_US"/>
        </w:rPr>
        <w:t>In this section Jesus and his disciples were continuing to travel to Jerusalem. As they approached a village on the way, ten men with leprosy or another serious skin disease begged Jesus to help them. People with this disease were outcasts and were not allowed to live in a village with healthy people. They were also considered to be ritually unclean or impure. They were not allowed to worship God with healthy people.</w:t>
      </w:r>
    </w:p>
    <w:p>
      <w:pPr/>
      <w:r>
        <w:rPr>
          <w:lang w:val="en_US" w:bidi="en_US"/>
        </w:rPr>
      </w:r>
      <w:r>
        <w:rPr>
          <w:lang w:val="en_US" w:bidi="en_US"/>
        </w:rPr>
        <w:t>Jesus healed all ten men, and they became ritually pure. However, only one of them thanked Jesus for healing him. This man was a Samaritan, and Jews usually despised Samaritans. However, Jesus often showed that he did not despise them. In the parable that Jesus told in 10:25–37, he used a Samaritan as the example of a person who loved his neighbor.</w:t>
      </w:r>
    </w:p>
    <w:p>
      <w:pPr/>
      <w:r>
        <w:rPr>
          <w:lang w:val="en_US" w:bidi="en_US"/>
        </w:rPr>
      </w:r>
      <w:r>
        <w:rPr>
          <w:lang w:val="en_US" w:bidi="en_US"/>
        </w:rPr>
        <w:t>Notice the contrast in the way “thanks” is used here and in 17:10. In 17:10, Jesus implied that servants of God often feel that they deserve special thanks or reward for simply doing their duty. In this section, when Jesus did something that deserved much thanks and praise, only one of ten people thanked him.</w:t>
      </w:r>
    </w:p>
    <w:p>
      <w:pPr/>
      <w:r>
        <w:rPr>
          <w:lang w:val="en_US" w:bidi="en_US"/>
        </w:rPr>
      </w:r>
      <w:r>
        <w:rPr>
          <w:lang w:val="en_US" w:bidi="en_US"/>
        </w:rPr>
        <w:t>Some other ideas for this section heading are:</w:t>
      </w:r>
    </w:p>
    <w:p>
      <w:pPr/>
      <w:r>
        <w:rPr>
          <w:lang w:val="en_US" w:bidi="en_US"/>
        </w:rPr>
      </w:r>
      <w:r>
        <w:rPr>
          <w:lang w:val="en_US" w:bidi="en_US"/>
        </w:rPr>
        <w:t>Jesus heals ten lepers</w:t>
      </w:r>
    </w:p>
    <w:p>
      <w:pPr/>
      <w:r>
        <w:rPr>
          <w:lang w:val="en_US" w:bidi="en_US"/>
        </w:rPr>
      </w:r>
      <w:r>
        <w:rPr>
          <w:lang w:val="en_US" w:bidi="en_US"/>
        </w:rPr>
        <w:t>Jesus cleanses ten men</w:t>
      </w:r>
    </w:p>
    <w:p>
      <w:pPr/>
      <w:r>
        <w:rPr>
          <w:lang w:val="en_US" w:bidi="en_US"/>
        </w:rPr>
      </w:r>
      <w:r>
        <w:rPr>
          <w:lang w:val="en_US" w:bidi="en_US"/>
        </w:rPr>
        <w:t>The book of Luke is the only gospel that tells about this event.</w:t>
      </w:r>
    </w:p>
    <w:p>
      <w:pPr>
        <w:pStyle w:val="Heading5"/>
      </w:pPr>
      <w:r>
        <w:rPr>
          <w:lang w:val="en_US" w:bidi="en_US"/>
        </w:rPr>
        <w:t>17:14a</w:t>
      </w:r>
    </w:p>
    <w:p>
      <w:pPr/>
      <w:r>
        <w:rPr>
          <w:lang w:val="en_US" w:bidi="en_US"/>
        </w:rPr>
      </w:r>
      <w:r>
        <w:rPr>
          <w:b/>
          <w:lang w:val="en_US" w:bidi="en_US"/>
        </w:rPr>
        <w:t>When Jesus saw them, He said,</w:t>
      </w:r>
    </w:p>
    <w:p>
      <w:pPr>
        <w:pStyle w:val="ListBullet"/>
        <w:spacing w:line="240" w:lineRule="auto"/>
        <w:ind w:left="720"/>
      </w:pPr>
      <w:r>
        <w:rPr>
          <w:lang w:val="en_US" w:bidi="en_US"/>
        </w:rPr>
      </w:r>
      <w:r>
        <w:rPr>
          <w:lang w:val="en_US" w:bidi="en_US"/>
        </w:rPr>
        <w:t xml:space="preserve">When </w:t>
      </w:r>
      <w:r>
        <w:rPr>
          <w:lang w:val="en_US" w:bidi="en_US"/>
        </w:rPr>
        <w:t>Jesus</w:t>
      </w:r>
      <w:r>
        <w:rPr>
          <w:lang w:val="en_US" w:bidi="en_US"/>
        </w:rPr>
        <w:t xml:space="preserve"> saw them, he said,</w:t>
      </w:r>
    </w:p>
    <w:p>
      <w:pPr>
        <w:pStyle w:val="ListBullet"/>
        <w:spacing w:line="240" w:lineRule="auto"/>
        <w:ind w:left="720"/>
      </w:pPr>
      <w:r>
        <w:rPr>
          <w:lang w:val="en_US" w:bidi="en_US"/>
        </w:rPr>
      </w:r>
      <w:r>
        <w:rPr>
          <w:lang w:val="en_US" w:bidi="en_US"/>
        </w:rPr>
        <w:t xml:space="preserve">And seeing </w:t>
      </w:r>
      <w:r>
        <w:rPr>
          <w:lang w:val="en_US" w:bidi="en_US"/>
        </w:rPr>
        <w:t>them</w:t>
      </w:r>
      <w:r>
        <w:rPr>
          <w:lang w:val="en_US" w:bidi="en_US"/>
        </w:rPr>
        <w:t>, he said,</w:t>
      </w:r>
    </w:p>
    <w:p>
      <w:pPr>
        <w:pStyle w:val="ListBullet"/>
        <w:spacing w:line="240" w:lineRule="auto"/>
        <w:ind w:left="720"/>
      </w:pPr>
      <w:r>
        <w:rPr>
          <w:lang w:val="en_US" w:bidi="en_US"/>
        </w:rPr>
      </w:r>
      <w:r>
        <w:rPr>
          <w:lang w:val="en_US" w:bidi="en_US"/>
        </w:rPr>
        <w:t>When Jesus saw them, he told them</w:t>
      </w:r>
    </w:p>
    <w:p>
      <w:pPr/>
      <w:r>
        <w:rPr>
          <w:lang w:val="en_US" w:bidi="en_US"/>
        </w:rPr>
      </w:r>
      <w:r>
        <w:rPr>
          <w:b/>
          <w:lang w:val="en_US" w:bidi="en_US"/>
        </w:rPr>
        <w:t>When Jesus saw them, He said:</w:t>
      </w:r>
      <w:r>
        <w:rPr>
          <w:lang w:val="en_US" w:bidi="en_US"/>
        </w:rPr>
        <w:t xml:space="preserve"> Jesus realized that the men were lepers when he saw the way they looked and acted. He did not need to ask what kind of help they needed. Another way to translate 17:14a is:</w:t>
      </w:r>
    </w:p>
    <w:p>
      <w:pPr/>
      <w:r>
        <w:rPr>
          <w:lang w:val="en_US" w:bidi="en_US"/>
        </w:rPr>
      </w:r>
      <w:r>
        <w:rPr>
          <w:lang w:val="en_US" w:bidi="en_US"/>
        </w:rPr>
        <w:t>Jesus saw them and said (GNT)</w:t>
      </w:r>
    </w:p>
    <w:p>
      <w:pPr>
        <w:pStyle w:val="Heading5"/>
      </w:pPr>
      <w:r>
        <w:rPr>
          <w:lang w:val="en_US" w:bidi="en_US"/>
        </w:rPr>
        <w:t>17:14b</w:t>
      </w:r>
    </w:p>
    <w:p>
      <w:pPr/>
      <w:r>
        <w:rPr>
          <w:lang w:val="en_US" w:bidi="en_US"/>
        </w:rPr>
      </w:r>
      <w:r>
        <w:rPr>
          <w:b/>
          <w:lang w:val="en_US" w:bidi="en_US"/>
        </w:rPr>
        <w:t>“Go, show yourselves to the priests.”</w:t>
      </w:r>
    </w:p>
    <w:p>
      <w:pPr>
        <w:pStyle w:val="ListBullet"/>
        <w:spacing w:line="240" w:lineRule="auto"/>
        <w:ind w:left="720"/>
      </w:pPr>
      <w:r>
        <w:rPr>
          <w:lang w:val="en_US" w:bidi="en_US"/>
        </w:rPr>
      </w:r>
      <w:r>
        <w:rPr>
          <w:lang w:val="en_US" w:bidi="en_US"/>
        </w:rPr>
        <w:t>“Go</w:t>
      </w:r>
      <w:r>
        <w:rPr>
          <w:vertAlign w:val="superscript"/>
          <w:lang w:val="en_US" w:bidi="en_US"/>
        </w:rPr>
        <w:t>(plur)</w:t>
      </w:r>
      <w:r>
        <w:rPr>
          <w:lang w:val="en_US" w:bidi="en_US"/>
        </w:rPr>
        <w:t xml:space="preserve"> and show your </w:t>
      </w:r>
      <w:r>
        <w:rPr>
          <w:lang w:val="en_US" w:bidi="en_US"/>
        </w:rPr>
        <w:t>skin</w:t>
      </w:r>
      <w:r>
        <w:rPr>
          <w:lang w:val="en_US" w:bidi="en_US"/>
        </w:rPr>
        <w:t xml:space="preserve"> to the priests.”</w:t>
      </w:r>
    </w:p>
    <w:p>
      <w:pPr>
        <w:pStyle w:val="ListBullet"/>
        <w:spacing w:line="240" w:lineRule="auto"/>
        <w:ind w:left="720"/>
      </w:pPr>
      <w:r>
        <w:rPr>
          <w:lang w:val="en_US" w:bidi="en_US"/>
        </w:rPr>
      </w:r>
      <w:r>
        <w:rPr>
          <w:lang w:val="en_US" w:bidi="en_US"/>
        </w:rPr>
        <w:t>“Go</w:t>
      </w:r>
      <w:r>
        <w:rPr>
          <w:vertAlign w:val="superscript"/>
          <w:lang w:val="en_US" w:bidi="en_US"/>
        </w:rPr>
        <w:t>(plur)</w:t>
      </w:r>
      <w:r>
        <w:rPr>
          <w:lang w:val="en_US" w:bidi="en_US"/>
        </w:rPr>
        <w:t xml:space="preserve"> to the priests so that they can examine you </w:t>
      </w:r>
      <w:r>
        <w:rPr>
          <w:lang w:val="en_US" w:bidi="en_US"/>
        </w:rPr>
        <w:t>to see if you are well</w:t>
      </w:r>
      <w:r>
        <w:rPr>
          <w:lang w:val="en_US" w:bidi="en_US"/>
        </w:rPr>
        <w:t>.”</w:t>
      </w:r>
    </w:p>
    <w:p>
      <w:pPr>
        <w:pStyle w:val="ListBullet"/>
        <w:spacing w:line="240" w:lineRule="auto"/>
        <w:ind w:left="720"/>
      </w:pPr>
      <w:r>
        <w:rPr>
          <w:lang w:val="en_US" w:bidi="en_US"/>
        </w:rPr>
      </w:r>
      <w:r>
        <w:rPr>
          <w:lang w:val="en_US" w:bidi="en_US"/>
        </w:rPr>
        <w:t>to go and let the priests examine them.</w:t>
      </w:r>
    </w:p>
    <w:p>
      <w:pPr/>
      <w:r>
        <w:rPr>
          <w:lang w:val="en_US" w:bidi="en_US"/>
        </w:rPr>
      </w:r>
      <w:r>
        <w:rPr>
          <w:b/>
          <w:lang w:val="en_US" w:bidi="en_US"/>
        </w:rPr>
        <w:t>Go, show yourselves to the priests:</w:t>
      </w:r>
      <w:r>
        <w:rPr>
          <w:lang w:val="en_US" w:bidi="en_US"/>
        </w:rPr>
        <w:t xml:space="preserve"> The commands </w:t>
      </w:r>
      <w:r>
        <w:rPr>
          <w:i/>
          <w:lang w:val="en_US" w:bidi="en_US"/>
        </w:rPr>
        <w:t>Go</w:t>
      </w:r>
      <w:r>
        <w:rPr>
          <w:lang w:val="en_US" w:bidi="en_US"/>
        </w:rPr>
        <w:t xml:space="preserve"> and </w:t>
      </w:r>
      <w:r>
        <w:rPr>
          <w:i/>
          <w:lang w:val="en_US" w:bidi="en_US"/>
        </w:rPr>
        <w:t>show</w:t>
      </w:r>
      <w:r>
        <w:rPr>
          <w:lang w:val="en_US" w:bidi="en_US"/>
        </w:rPr>
        <w:t xml:space="preserve"> contain implied information that Luke’s readers understood. The phrase </w:t>
      </w:r>
      <w:r>
        <w:rPr>
          <w:i/>
          <w:lang w:val="en_US" w:bidi="en_US"/>
        </w:rPr>
        <w:t>the priests</w:t>
      </w:r>
      <w:r>
        <w:rPr>
          <w:lang w:val="en_US" w:bidi="en_US"/>
        </w:rPr>
        <w:t xml:space="preserve"> referred to the priests who were on duty at the temple in Jerusalem at that time. The command </w:t>
      </w:r>
      <w:r>
        <w:rPr>
          <w:i/>
          <w:lang w:val="en_US" w:bidi="en_US"/>
        </w:rPr>
        <w:t>show</w:t>
      </w:r>
      <w:r>
        <w:rPr>
          <w:lang w:val="en_US" w:bidi="en_US"/>
        </w:rPr>
        <w:t xml:space="preserve"> implied that the men would go to Jerusalem and let the priests look at their skin to see if they were well.</w:t>
      </w:r>
    </w:p>
    <w:p>
      <w:pPr/>
      <w:r>
        <w:rPr>
          <w:lang w:val="en_US" w:bidi="en_US"/>
        </w:rPr>
      </w:r>
      <w:r>
        <w:rPr>
          <w:lang w:val="en_US" w:bidi="en_US"/>
        </w:rPr>
        <w:t>In some languages you may need to make some or all of the implied information explicit. For example:</w:t>
      </w:r>
    </w:p>
    <w:p>
      <w:pPr/>
      <w:r>
        <w:rPr>
          <w:lang w:val="en_US" w:bidi="en_US"/>
        </w:rPr>
      </w:r>
      <w:r>
        <w:rPr>
          <w:lang w:val="en_US" w:bidi="en_US"/>
        </w:rPr>
        <w:t xml:space="preserve">Go </w:t>
      </w:r>
      <w:r>
        <w:rPr>
          <w:lang w:val="en_US" w:bidi="en_US"/>
        </w:rPr>
        <w:t>to Jerusalem</w:t>
      </w:r>
      <w:r>
        <w:rPr>
          <w:lang w:val="en_US" w:bidi="en_US"/>
        </w:rPr>
        <w:t xml:space="preserve">, ask the priests </w:t>
      </w:r>
      <w:r>
        <w:rPr>
          <w:lang w:val="en_US" w:bidi="en_US"/>
        </w:rPr>
        <w:t>who are performing their duties in the temple</w:t>
      </w:r>
      <w:r>
        <w:rPr>
          <w:lang w:val="en_US" w:bidi="en_US"/>
        </w:rPr>
        <w:t xml:space="preserve"> to examine you </w:t>
      </w:r>
      <w:r>
        <w:rPr>
          <w:lang w:val="en_US" w:bidi="en_US"/>
        </w:rPr>
        <w:t>and see if you are well</w:t>
      </w:r>
    </w:p>
    <w:p>
      <w:pPr/>
      <w:r>
        <w:rPr>
          <w:lang w:val="en_US" w:bidi="en_US"/>
        </w:rPr>
      </w:r>
      <w:r>
        <w:rPr>
          <w:lang w:val="en_US" w:bidi="en_US"/>
        </w:rPr>
        <w:t>Jesus gave a similar command to the leper in 5:14.</w:t>
      </w:r>
    </w:p>
    <w:p>
      <w:pPr/>
      <w:r>
        <w:rPr>
          <w:lang w:val="en_US" w:bidi="en_US"/>
        </w:rPr>
      </w:r>
      <w:r>
        <w:rPr>
          <w:b/>
          <w:lang w:val="en_US" w:bidi="en_US"/>
        </w:rPr>
        <w:t>show yourselves to the priests:</w:t>
      </w:r>
      <w:r>
        <w:rPr>
          <w:lang w:val="en_US" w:bidi="en_US"/>
        </w:rPr>
        <w:t xml:space="preserve"> Only a priest could examine the men and confirm that they no longer had leprosy. If the priests saw that the men were well, they would declare the men to be ritually clean. This process is described in Leviticus 14:1–32. Some other ways to translate this are:</w:t>
      </w:r>
    </w:p>
    <w:p>
      <w:pPr/>
      <w:r>
        <w:rPr>
          <w:lang w:val="en_US" w:bidi="en_US"/>
        </w:rPr>
      </w:r>
      <w:r>
        <w:rPr>
          <w:lang w:val="en_US" w:bidi="en_US"/>
        </w:rPr>
        <w:t>Go and let the priests examine you (GNT)</w:t>
      </w:r>
    </w:p>
    <w:p>
      <w:pPr/>
      <w:r>
        <w:rPr>
          <w:lang w:val="en_US" w:bidi="en_US"/>
        </w:rPr>
      </w:r>
      <w:r>
        <w:rPr>
          <w:lang w:val="en_US" w:bidi="en_US"/>
        </w:rPr>
        <w:t>Go</w:t>
      </w:r>
      <w:r>
        <w:rPr>
          <w:vertAlign w:val="superscript"/>
          <w:lang w:val="en_US" w:bidi="en_US"/>
        </w:rPr>
        <w:t>(plur)</w:t>
      </w:r>
      <w:r>
        <w:rPr>
          <w:lang w:val="en_US" w:bidi="en_US"/>
        </w:rPr>
        <w:t xml:space="preserve"> to the priests so they can see/examine you</w:t>
      </w:r>
    </w:p>
    <w:p>
      <w:pPr/>
      <w:r>
        <w:rPr>
          <w:lang w:val="en_US" w:bidi="en_US"/>
        </w:rPr>
      </w:r>
      <w:r>
        <w:rPr>
          <w:lang w:val="en_US" w:bidi="en_US"/>
        </w:rPr>
        <w:t>Jesus</w:t>
      </w:r>
      <w:r>
        <w:rPr>
          <w:lang w:val="en_US" w:bidi="en_US"/>
        </w:rPr>
        <w:t xml:space="preserve"> told them to go show </w:t>
      </w:r>
      <w:r>
        <w:rPr>
          <w:lang w:val="en_US" w:bidi="en_US"/>
        </w:rPr>
        <w:t>their skin</w:t>
      </w:r>
      <w:r>
        <w:rPr>
          <w:lang w:val="en_US" w:bidi="en_US"/>
        </w:rPr>
        <w:t xml:space="preserve"> to the priests</w:t>
      </w:r>
    </w:p>
    <w:p>
      <w:pPr/>
      <w:r>
        <w:rPr>
          <w:lang w:val="en_US" w:bidi="en_US"/>
        </w:rPr>
      </w:r>
      <w:r>
        <w:rPr>
          <w:b/>
          <w:lang w:val="en_US" w:bidi="en_US"/>
        </w:rPr>
        <w:t>priests:</w:t>
      </w:r>
      <w:r>
        <w:rPr>
          <w:lang w:val="en_US" w:bidi="en_US"/>
        </w:rPr>
        <w:t xml:space="preserve"> Jewish </w:t>
      </w:r>
      <w:r>
        <w:rPr>
          <w:i/>
          <w:lang w:val="en_US" w:bidi="en_US"/>
        </w:rPr>
        <w:t>priests</w:t>
      </w:r>
      <w:r>
        <w:rPr>
          <w:lang w:val="en_US" w:bidi="en_US"/>
        </w:rPr>
        <w:t xml:space="preserve"> were men who offered sacrifices to God on behalf of the people. They also performed other rituals for the people.</w:t>
      </w:r>
    </w:p>
    <w:p>
      <w:pPr/>
      <w:r>
        <w:rPr>
          <w:lang w:val="en_US" w:bidi="en_US"/>
        </w:rPr>
      </w:r>
      <w:r>
        <w:rPr>
          <w:lang w:val="en_US" w:bidi="en_US"/>
        </w:rPr>
        <w:t xml:space="preserve">Some ways to translate </w:t>
      </w:r>
      <w:r>
        <w:rPr>
          <w:i/>
          <w:lang w:val="en_US" w:bidi="en_US"/>
        </w:rPr>
        <w:t>priests</w:t>
      </w:r>
      <w:r>
        <w:rPr>
          <w:lang w:val="en_US" w:bidi="en_US"/>
        </w:rPr>
        <w:t xml:space="preserve"> are:</w:t>
      </w:r>
    </w:p>
    <w:p>
      <w:pPr>
        <w:pStyle w:val="ListBullet"/>
        <w:spacing w:line="240" w:lineRule="auto"/>
        <w:ind w:left="720"/>
      </w:pPr>
      <w:r>
        <w:rPr>
          <w:lang w:val="en_US" w:bidi="en_US"/>
        </w:rPr>
      </w:r>
      <w:r>
        <w:rPr>
          <w:lang w:val="en_US" w:bidi="en_US"/>
        </w:rPr>
        <w:t>Use a descriptive term that focuses on the function of priests. For example:</w:t>
      </w:r>
      <w:r>
        <w:rPr>
          <w:lang w:val="en_US" w:bidi="en_US"/>
        </w:rPr>
        <w:t>sacrificers</w:t>
      </w:r>
      <w:r>
        <w:rPr>
          <w:lang w:val="en_US" w:bidi="en_US"/>
        </w:rPr>
        <w:t>men/people who offer sacrifices to God</w:t>
      </w:r>
      <w:r>
        <w:rPr>
          <w:lang w:val="en_US" w:bidi="en_US"/>
        </w:rPr>
        <w:t>men who represent people to God</w:t>
      </w:r>
    </w:p>
    <w:p>
      <w:pPr>
        <w:pStyle w:val="ListBullet"/>
        <w:spacing w:line="240" w:lineRule="auto"/>
        <w:ind w:left="720"/>
      </w:pPr>
      <w:r>
        <w:rPr>
          <w:lang w:val="en_US" w:bidi="en_US"/>
        </w:rPr>
      </w:r>
      <w:r>
        <w:rPr>
          <w:lang w:val="en_US" w:bidi="en_US"/>
        </w:rPr>
        <w:t>Use a local word for priests. This option may be acceptable if the duties of local priests are similar to those of Jewish priests. You may need to indicate that the word refers to Jewish priests. For example:</w:t>
      </w:r>
      <w:r>
        <w:rPr>
          <w:lang w:val="en_US" w:bidi="en_US"/>
        </w:rPr>
        <w:t>Jewish people’s priests/sacrificers</w:t>
      </w:r>
    </w:p>
    <w:p>
      <w:pPr/>
      <w:r>
        <w:rPr>
          <w:lang w:val="en_US" w:bidi="en_US"/>
        </w:rPr>
      </w:r>
      <w:r>
        <w:rPr>
          <w:lang w:val="en_US" w:bidi="en_US"/>
        </w:rPr>
        <w:t>If possible, you should choose a term that can be used in both Old Testament and New Testament contexts. Remember that in the book of Hebrews believers are called priests and Christ is called our high priest.</w:t>
      </w:r>
    </w:p>
    <w:p>
      <w:pPr/>
      <w:r>
        <w:rPr>
          <w:lang w:val="en_US" w:bidi="en_US"/>
        </w:rPr>
      </w:r>
      <w:r>
        <w:rPr>
          <w:lang w:val="en_US" w:bidi="en_US"/>
        </w:rPr>
        <w:t>See priest in the Glossary for more information.</w:t>
      </w:r>
    </w:p>
    <w:p>
      <w:pPr>
        <w:pStyle w:val="Heading5"/>
      </w:pPr>
      <w:r>
        <w:rPr>
          <w:lang w:val="en_US" w:bidi="en_US"/>
        </w:rPr>
        <w:t>17:14c</w:t>
      </w:r>
    </w:p>
    <w:p>
      <w:pPr/>
      <w:r>
        <w:rPr>
          <w:lang w:val="en_US" w:bidi="en_US"/>
        </w:rPr>
      </w:r>
      <w:r>
        <w:rPr>
          <w:b/>
          <w:lang w:val="en_US" w:bidi="en_US"/>
        </w:rPr>
        <w:t>And as they were on their way, they were cleansed.</w:t>
      </w:r>
    </w:p>
    <w:p>
      <w:pPr>
        <w:pStyle w:val="ListBullet"/>
        <w:spacing w:line="240" w:lineRule="auto"/>
        <w:ind w:left="720"/>
      </w:pPr>
      <w:r>
        <w:rPr>
          <w:lang w:val="en_US" w:bidi="en_US"/>
        </w:rPr>
      </w:r>
      <w:r>
        <w:rPr>
          <w:lang w:val="en_US" w:bidi="en_US"/>
        </w:rPr>
        <w:t>While they were going, they were healed/cleansed from their leprosy.</w:t>
      </w:r>
    </w:p>
    <w:p>
      <w:pPr>
        <w:pStyle w:val="ListBullet"/>
        <w:spacing w:line="240" w:lineRule="auto"/>
        <w:ind w:left="720"/>
      </w:pPr>
      <w:r>
        <w:rPr>
          <w:lang w:val="en_US" w:bidi="en_US"/>
        </w:rPr>
      </w:r>
      <w:r>
        <w:rPr>
          <w:lang w:val="en_US" w:bidi="en_US"/>
        </w:rPr>
        <w:t xml:space="preserve">And when/as they were on their way </w:t>
      </w:r>
      <w:r>
        <w:rPr>
          <w:lang w:val="en_US" w:bidi="en_US"/>
        </w:rPr>
        <w:t>to the priests</w:t>
      </w:r>
      <w:r>
        <w:rPr>
          <w:lang w:val="en_US" w:bidi="en_US"/>
        </w:rPr>
        <w:t xml:space="preserve">, </w:t>
      </w:r>
      <w:r>
        <w:rPr>
          <w:lang w:val="en_US" w:bidi="en_US"/>
        </w:rPr>
        <w:t>God/Jesus</w:t>
      </w:r>
      <w:r>
        <w:rPr>
          <w:lang w:val="en_US" w:bidi="en_US"/>
        </w:rPr>
        <w:t xml:space="preserve"> healed the lepers.</w:t>
      </w:r>
    </w:p>
    <w:p>
      <w:pPr/>
      <w:r>
        <w:rPr>
          <w:lang w:val="en_US" w:bidi="en_US"/>
        </w:rPr>
      </w:r>
      <w:r>
        <w:rPr>
          <w:b/>
          <w:lang w:val="en_US" w:bidi="en_US"/>
        </w:rPr>
        <w:t>And as they were on their way, they were cleansed:</w:t>
      </w:r>
      <w:r>
        <w:rPr>
          <w:lang w:val="en_US" w:bidi="en_US"/>
        </w:rPr>
        <w:t xml:space="preserve"> In Greek this part of the verse begins with a phrase that is literally “and it happened.” It introduces the situation in which the next event happened. The lepers had started to obey Jesus and begun to walk to the priests when they became well. Other ways to translate this are:</w:t>
      </w:r>
    </w:p>
    <w:p>
      <w:pPr/>
      <w:r>
        <w:rPr>
          <w:lang w:val="en_US" w:bidi="en_US"/>
        </w:rPr>
      </w:r>
      <w:r>
        <w:rPr>
          <w:lang w:val="en_US" w:bidi="en_US"/>
        </w:rPr>
        <w:t>and it happened that while they were going, they were healed</w:t>
      </w:r>
    </w:p>
    <w:p>
      <w:pPr/>
      <w:r>
        <w:rPr>
          <w:lang w:val="en_US" w:bidi="en_US"/>
        </w:rPr>
      </w:r>
      <w:r>
        <w:rPr>
          <w:lang w:val="en_US" w:bidi="en_US"/>
        </w:rPr>
        <w:t xml:space="preserve">then it came about that as they were on their way </w:t>
      </w:r>
      <w:r>
        <w:rPr>
          <w:lang w:val="en_US" w:bidi="en_US"/>
        </w:rPr>
        <w:t>to the priests</w:t>
      </w:r>
      <w:r>
        <w:rPr>
          <w:lang w:val="en_US" w:bidi="en_US"/>
        </w:rPr>
        <w:t>, they became well</w:t>
      </w:r>
    </w:p>
    <w:p>
      <w:pPr/>
      <w:r>
        <w:rPr>
          <w:lang w:val="en_US" w:bidi="en_US"/>
        </w:rPr>
      </w:r>
      <w:r>
        <w:rPr>
          <w:lang w:val="en_US" w:bidi="en_US"/>
        </w:rPr>
        <w:t>Most English versions, including the BSB, do not translate the phrase “and it happened.” Consider whether it is natural in your language to translate it here.</w:t>
      </w:r>
    </w:p>
    <w:p>
      <w:pPr/>
      <w:r>
        <w:rPr>
          <w:lang w:val="en_US" w:bidi="en_US"/>
        </w:rPr>
      </w:r>
      <w:r>
        <w:rPr>
          <w:b/>
          <w:lang w:val="en_US" w:bidi="en_US"/>
        </w:rPr>
        <w:t>they were cleansed:</w:t>
      </w:r>
      <w:r>
        <w:rPr>
          <w:lang w:val="en_US" w:bidi="en_US"/>
        </w:rPr>
        <w:t xml:space="preserve"> In this context the phrase </w:t>
      </w:r>
      <w:r>
        <w:rPr>
          <w:i/>
          <w:lang w:val="en_US" w:bidi="en_US"/>
        </w:rPr>
        <w:t>they were cleansed</w:t>
      </w:r>
      <w:r>
        <w:rPr>
          <w:lang w:val="en_US" w:bidi="en_US"/>
        </w:rPr>
        <w:t xml:space="preserve"> indicates that they were healed of their leprosy and so became ritually pure. It does not refer to being cleansed from physical dirt. In some languages it may be possible to translate both the idea of being healed and the idea of becoming ritually clean. For example:</w:t>
      </w:r>
    </w:p>
    <w:p>
      <w:pPr/>
      <w:r>
        <w:rPr>
          <w:lang w:val="en_US" w:bidi="en_US"/>
        </w:rPr>
      </w:r>
      <w:r>
        <w:rPr>
          <w:lang w:val="en_US" w:bidi="en_US"/>
        </w:rPr>
        <w:t xml:space="preserve">they were healed and </w:t>
      </w:r>
      <w:r>
        <w:rPr>
          <w:lang w:val="en_US" w:bidi="en_US"/>
        </w:rPr>
        <w:t>ritually</w:t>
      </w:r>
      <w:r>
        <w:rPr>
          <w:lang w:val="en_US" w:bidi="en_US"/>
        </w:rPr>
        <w:t xml:space="preserve"> cleansed</w:t>
      </w:r>
    </w:p>
    <w:p>
      <w:pPr/>
      <w:r>
        <w:rPr>
          <w:lang w:val="en_US" w:bidi="en_US"/>
        </w:rPr>
      </w:r>
      <w:r>
        <w:rPr>
          <w:lang w:val="en_US" w:bidi="en_US"/>
        </w:rPr>
        <w:t>they were cleansed of their leprosy (NLT)</w:t>
      </w:r>
    </w:p>
    <w:p>
      <w:pPr/>
      <w:r>
        <w:rPr>
          <w:lang w:val="en_US" w:bidi="en_US"/>
        </w:rPr>
      </w:r>
      <w:r>
        <w:rPr>
          <w:lang w:val="en_US" w:bidi="en_US"/>
        </w:rPr>
        <w:t>In other languages it may be more natural to translate only the idea of healing here. For example:</w:t>
      </w:r>
    </w:p>
    <w:p>
      <w:pPr/>
      <w:r>
        <w:rPr>
          <w:lang w:val="en_US" w:bidi="en_US"/>
        </w:rPr>
      </w:r>
      <w:r>
        <w:rPr>
          <w:lang w:val="en_US" w:bidi="en_US"/>
        </w:rPr>
        <w:t>they were healed (CEV)</w:t>
      </w:r>
    </w:p>
    <w:p>
      <w:pPr/>
      <w:r>
        <w:rPr>
          <w:lang w:val="en_US" w:bidi="en_US"/>
        </w:rPr>
      </w:r>
      <w:r>
        <w:rPr>
          <w:lang w:val="en_US" w:bidi="en_US"/>
        </w:rPr>
        <w:t>they became well</w:t>
      </w:r>
    </w:p>
    <w:p>
      <w:pPr/>
      <w:r>
        <w:rPr>
          <w:lang w:val="en_US" w:bidi="en_US"/>
        </w:rPr>
      </w:r>
      <w:r>
        <w:rPr>
          <w:lang w:val="en_US" w:bidi="en_US"/>
        </w:rPr>
        <w:t xml:space="preserve">The verb </w:t>
      </w:r>
      <w:r>
        <w:rPr>
          <w:i/>
          <w:lang w:val="en_US" w:bidi="en_US"/>
        </w:rPr>
        <w:t>were cleansed</w:t>
      </w:r>
      <w:r>
        <w:rPr>
          <w:lang w:val="en_US" w:bidi="en_US"/>
        </w:rPr>
        <w:t xml:space="preserve"> is passive. In some languages it may be more natural to translate the action without using a passive verb. For example:</w:t>
      </w:r>
    </w:p>
    <w:p>
      <w:pPr/>
      <w:r>
        <w:rPr>
          <w:lang w:val="en_US" w:bidi="en_US"/>
        </w:rPr>
      </w:r>
      <w:r>
        <w:rPr>
          <w:lang w:val="en_US" w:bidi="en_US"/>
        </w:rPr>
        <w:t>They became well/clean</w:t>
      </w:r>
    </w:p>
    <w:p>
      <w:pPr/>
      <w:r>
        <w:rPr>
          <w:lang w:val="en_US" w:bidi="en_US"/>
        </w:rPr>
      </w:r>
      <w:r>
        <w:rPr>
          <w:lang w:val="en_US" w:bidi="en_US"/>
        </w:rPr>
        <w:t>God/Jesus</w:t>
      </w:r>
      <w:r>
        <w:rPr>
          <w:lang w:val="en_US" w:bidi="en_US"/>
        </w:rPr>
        <w:t xml:space="preserve"> healed them from the leprosy</w:t>
      </w:r>
    </w:p>
    <w:p>
      <w:pPr/>
      <w:r>
        <w:rPr>
          <w:lang w:val="en_US" w:bidi="en_US"/>
        </w:rPr>
      </w:r>
      <w:r>
        <w:rPr>
          <w:lang w:val="en_US" w:bidi="en_US"/>
        </w:rPr>
        <w:t>Translate the action in a natural way in your language.</w:t>
      </w:r>
      <w:r>
        <w:rPr>
          <w:lang w:val="en_US" w:bidi="en_US"/>
        </w:rPr>
      </w:r>
      <w:r>
        <w:rPr>
          <w:lang w:val="en_US" w:bidi="en_US"/>
        </w:rPr>
      </w:r>
    </w:p>
    <w:p>
      <w:pPr/>
      <w:r>
        <w:rPr>
          <w:lang w:val="en_US" w:bidi="en_US"/>
        </w:rPr>
      </w:r>
    </w:p>
    <w:p>
      <w:pPr>
        <w:pStyle w:val="Heading2"/>
      </w:pPr>
      <w:r>
        <w:rPr>
          <w:lang w:val="en_US" w:bidi="en_US"/>
        </w:rPr>
        <w:t>Luke 17:15</w:t>
      </w:r>
      <w:r>
        <w:rPr>
          <w:lang w:val="en_US" w:bidi="en_US"/>
        </w:rPr>
      </w:r>
    </w:p>
    <w:p>
      <w:pPr>
        <w:pStyle w:val="Heading4"/>
      </w:pPr>
      <w:r>
        <w:rPr>
          <w:lang w:val="en_US" w:bidi="en_US"/>
        </w:rPr>
        <w:t>Section 17:11–19: Jesus healed ten lepers</w:t>
      </w:r>
    </w:p>
    <w:p>
      <w:pPr/>
      <w:r>
        <w:rPr>
          <w:lang w:val="en_US" w:bidi="en_US"/>
        </w:rPr>
      </w:r>
      <w:r>
        <w:rPr>
          <w:lang w:val="en_US" w:bidi="en_US"/>
        </w:rPr>
        <w:t>In this section Jesus and his disciples were continuing to travel to Jerusalem. As they approached a village on the way, ten men with leprosy or another serious skin disease begged Jesus to help them. People with this disease were outcasts and were not allowed to live in a village with healthy people. They were also considered to be ritually unclean or impure. They were not allowed to worship God with healthy people.</w:t>
      </w:r>
    </w:p>
    <w:p>
      <w:pPr/>
      <w:r>
        <w:rPr>
          <w:lang w:val="en_US" w:bidi="en_US"/>
        </w:rPr>
      </w:r>
      <w:r>
        <w:rPr>
          <w:lang w:val="en_US" w:bidi="en_US"/>
        </w:rPr>
        <w:t>Jesus healed all ten men, and they became ritually pure. However, only one of them thanked Jesus for healing him. This man was a Samaritan, and Jews usually despised Samaritans. However, Jesus often showed that he did not despise them. In the parable that Jesus told in 10:25–37, he used a Samaritan as the example of a person who loved his neighbor.</w:t>
      </w:r>
    </w:p>
    <w:p>
      <w:pPr/>
      <w:r>
        <w:rPr>
          <w:lang w:val="en_US" w:bidi="en_US"/>
        </w:rPr>
      </w:r>
      <w:r>
        <w:rPr>
          <w:lang w:val="en_US" w:bidi="en_US"/>
        </w:rPr>
        <w:t>Notice the contrast in the way “thanks” is used here and in 17:10. In 17:10, Jesus implied that servants of God often feel that they deserve special thanks or reward for simply doing their duty. In this section, when Jesus did something that deserved much thanks and praise, only one of ten people thanked him.</w:t>
      </w:r>
    </w:p>
    <w:p>
      <w:pPr/>
      <w:r>
        <w:rPr>
          <w:lang w:val="en_US" w:bidi="en_US"/>
        </w:rPr>
      </w:r>
      <w:r>
        <w:rPr>
          <w:lang w:val="en_US" w:bidi="en_US"/>
        </w:rPr>
        <w:t>Some other ideas for this section heading are:</w:t>
      </w:r>
    </w:p>
    <w:p>
      <w:pPr/>
      <w:r>
        <w:rPr>
          <w:lang w:val="en_US" w:bidi="en_US"/>
        </w:rPr>
      </w:r>
      <w:r>
        <w:rPr>
          <w:lang w:val="en_US" w:bidi="en_US"/>
        </w:rPr>
        <w:t>Jesus heals ten lepers</w:t>
      </w:r>
    </w:p>
    <w:p>
      <w:pPr/>
      <w:r>
        <w:rPr>
          <w:lang w:val="en_US" w:bidi="en_US"/>
        </w:rPr>
      </w:r>
      <w:r>
        <w:rPr>
          <w:lang w:val="en_US" w:bidi="en_US"/>
        </w:rPr>
        <w:t>Jesus cleanses ten men</w:t>
      </w:r>
    </w:p>
    <w:p>
      <w:pPr/>
      <w:r>
        <w:rPr>
          <w:lang w:val="en_US" w:bidi="en_US"/>
        </w:rPr>
      </w:r>
      <w:r>
        <w:rPr>
          <w:lang w:val="en_US" w:bidi="en_US"/>
        </w:rPr>
        <w:t>The book of Luke is the only gospel that tells about this event.</w:t>
      </w:r>
    </w:p>
    <w:p>
      <w:pPr>
        <w:pStyle w:val="Heading5"/>
      </w:pPr>
      <w:r>
        <w:rPr>
          <w:lang w:val="en_US" w:bidi="en_US"/>
        </w:rPr>
        <w:t>17:15a</w:t>
      </w:r>
    </w:p>
    <w:p>
      <w:pPr/>
      <w:r>
        <w:rPr>
          <w:lang w:val="en_US" w:bidi="en_US"/>
        </w:rPr>
      </w:r>
      <w:r>
        <w:rPr>
          <w:b/>
          <w:lang w:val="en_US" w:bidi="en_US"/>
        </w:rPr>
        <w:t>When one of them saw that he was healed, he came back,</w:t>
      </w:r>
    </w:p>
    <w:p>
      <w:pPr>
        <w:pStyle w:val="ListBullet"/>
        <w:spacing w:line="240" w:lineRule="auto"/>
        <w:ind w:left="720"/>
      </w:pPr>
      <w:r>
        <w:rPr>
          <w:lang w:val="en_US" w:bidi="en_US"/>
        </w:rPr>
      </w:r>
      <w:r>
        <w:rPr>
          <w:lang w:val="en_US" w:bidi="en_US"/>
        </w:rPr>
        <w:t xml:space="preserve">When one of them saw that he was well, he </w:t>
      </w:r>
      <w:r>
        <w:rPr>
          <w:lang w:val="en_US" w:bidi="en_US"/>
        </w:rPr>
        <w:t>turned around</w:t>
      </w:r>
      <w:r>
        <w:rPr>
          <w:lang w:val="en_US" w:bidi="en_US"/>
        </w:rPr>
        <w:t xml:space="preserve"> and came back </w:t>
      </w:r>
      <w:r>
        <w:rPr>
          <w:lang w:val="en_US" w:bidi="en_US"/>
        </w:rPr>
        <w:t>to Jesus</w:t>
      </w:r>
      <w:r>
        <w:rPr>
          <w:lang w:val="en_US" w:bidi="en_US"/>
        </w:rPr>
        <w:t>,</w:t>
      </w:r>
    </w:p>
    <w:p>
      <w:pPr>
        <w:pStyle w:val="ListBullet"/>
        <w:spacing w:line="240" w:lineRule="auto"/>
        <w:ind w:left="720"/>
      </w:pPr>
      <w:r>
        <w:rPr>
          <w:lang w:val="en_US" w:bidi="en_US"/>
        </w:rPr>
      </w:r>
      <w:r>
        <w:rPr>
          <w:lang w:val="en_US" w:bidi="en_US"/>
        </w:rPr>
        <w:t xml:space="preserve">Then one of them realized that </w:t>
      </w:r>
      <w:r>
        <w:rPr>
          <w:lang w:val="en_US" w:bidi="en_US"/>
        </w:rPr>
        <w:t>God/Jesus</w:t>
      </w:r>
      <w:r>
        <w:rPr>
          <w:lang w:val="en_US" w:bidi="en_US"/>
        </w:rPr>
        <w:t xml:space="preserve"> had healed his </w:t>
      </w:r>
      <w:r>
        <w:rPr>
          <w:lang w:val="en_US" w:bidi="en_US"/>
        </w:rPr>
        <w:t>skin</w:t>
      </w:r>
      <w:r>
        <w:rPr>
          <w:lang w:val="en_US" w:bidi="en_US"/>
        </w:rPr>
        <w:t>, so he returned to Jesus. As he went,</w:t>
      </w:r>
    </w:p>
    <w:p>
      <w:pPr/>
      <w:r>
        <w:rPr>
          <w:lang w:val="en_US" w:bidi="en_US"/>
        </w:rPr>
      </w:r>
      <w:r>
        <w:rPr>
          <w:b/>
          <w:lang w:val="en_US" w:bidi="en_US"/>
        </w:rPr>
        <w:t>When one of them saw that he was healed, he came back:</w:t>
      </w:r>
      <w:r>
        <w:rPr>
          <w:lang w:val="en_US" w:bidi="en_US"/>
        </w:rPr>
        <w:t xml:space="preserve"> What Jesus said in 17:17 indicates that all ten of the lepers realized that their leprosy was gone. However, only </w:t>
      </w:r>
      <w:r>
        <w:rPr>
          <w:i/>
          <w:lang w:val="en_US" w:bidi="en_US"/>
        </w:rPr>
        <w:t>one of them</w:t>
      </w:r>
      <w:r>
        <w:rPr>
          <w:lang w:val="en_US" w:bidi="en_US"/>
        </w:rPr>
        <w:t xml:space="preserve"> went back to Jesus.</w:t>
      </w:r>
    </w:p>
    <w:p>
      <w:pPr/>
      <w:r>
        <w:rPr>
          <w:lang w:val="en_US" w:bidi="en_US"/>
        </w:rPr>
      </w:r>
      <w:r>
        <w:rPr>
          <w:lang w:val="en_US" w:bidi="en_US"/>
        </w:rPr>
        <w:t>In some languages a literal translation may wrongly imply that only this one man saw that he was healed. It may imply that the other nine did not notice that they were healed. If that is true in your language, you may need to make the meaning more explicit. For example:</w:t>
      </w:r>
    </w:p>
    <w:p>
      <w:pPr/>
      <w:r>
        <w:rPr>
          <w:lang w:val="en_US" w:bidi="en_US"/>
        </w:rPr>
      </w:r>
      <w:r>
        <w:rPr>
          <w:lang w:val="en_US" w:bidi="en_US"/>
        </w:rPr>
        <w:t xml:space="preserve">After </w:t>
      </w:r>
      <w:r>
        <w:rPr>
          <w:lang w:val="en_US" w:bidi="en_US"/>
        </w:rPr>
        <w:t>the men</w:t>
      </w:r>
      <w:r>
        <w:rPr>
          <w:lang w:val="en_US" w:bidi="en_US"/>
        </w:rPr>
        <w:t xml:space="preserve"> saw that they had been healed, one of them came back…</w:t>
      </w:r>
    </w:p>
    <w:p>
      <w:pPr/>
      <w:r>
        <w:rPr>
          <w:lang w:val="en_US" w:bidi="en_US"/>
        </w:rPr>
      </w:r>
      <w:r>
        <w:rPr>
          <w:b/>
          <w:lang w:val="en_US" w:bidi="en_US"/>
        </w:rPr>
        <w:t>he was healed:</w:t>
      </w:r>
      <w:r>
        <w:rPr>
          <w:lang w:val="en_US" w:bidi="en_US"/>
        </w:rPr>
        <w:t xml:space="preserve"> The Greek verb that the BSB translates as </w:t>
      </w:r>
      <w:r>
        <w:rPr>
          <w:i/>
          <w:lang w:val="en_US" w:bidi="en_US"/>
        </w:rPr>
        <w:t>was healed</w:t>
      </w:r>
      <w:r>
        <w:rPr>
          <w:lang w:val="en_US" w:bidi="en_US"/>
        </w:rPr>
        <w:t xml:space="preserve"> refers specifically to being physically cured. It is a different word from the word that the BSB translated as “cleansed” in 17:14. He noticed that his skin disease was gone.</w:t>
      </w:r>
    </w:p>
    <w:p>
      <w:pPr/>
      <w:r>
        <w:rPr>
          <w:lang w:val="en_US" w:bidi="en_US"/>
        </w:rPr>
      </w:r>
      <w:r>
        <w:rPr>
          <w:lang w:val="en_US" w:bidi="en_US"/>
        </w:rPr>
        <w:t xml:space="preserve">The verb </w:t>
      </w:r>
      <w:r>
        <w:rPr>
          <w:i/>
          <w:lang w:val="en_US" w:bidi="en_US"/>
        </w:rPr>
        <w:t>was healed</w:t>
      </w:r>
      <w:r>
        <w:rPr>
          <w:lang w:val="en_US" w:bidi="en_US"/>
        </w:rPr>
        <w:t xml:space="preserve"> is passive. Some ways to translate it are:</w:t>
      </w:r>
    </w:p>
    <w:p>
      <w:pPr>
        <w:pStyle w:val="ListBullet"/>
        <w:spacing w:line="240" w:lineRule="auto"/>
        <w:ind w:left="720"/>
      </w:pPr>
      <w:r>
        <w:rPr>
          <w:lang w:val="en_US" w:bidi="en_US"/>
        </w:rPr>
      </w:r>
      <w:r>
        <w:rPr>
          <w:lang w:val="en_US" w:bidi="en_US"/>
        </w:rPr>
        <w:t>As a passive verb. For example:</w:t>
      </w:r>
      <w:r>
        <w:rPr>
          <w:lang w:val="en_US" w:bidi="en_US"/>
        </w:rPr>
        <w:t>he was cured</w:t>
      </w:r>
      <w:r>
        <w:rPr>
          <w:lang w:val="en_US" w:bidi="en_US"/>
        </w:rPr>
        <w:t>he had been healed</w:t>
      </w:r>
    </w:p>
    <w:p>
      <w:pPr>
        <w:pStyle w:val="ListBullet"/>
        <w:spacing w:line="240" w:lineRule="auto"/>
        <w:ind w:left="720"/>
      </w:pPr>
      <w:r>
        <w:rPr>
          <w:lang w:val="en_US" w:bidi="en_US"/>
        </w:rPr>
      </w:r>
      <w:r>
        <w:rPr>
          <w:lang w:val="en_US" w:bidi="en_US"/>
        </w:rPr>
        <w:t>Without passive verb. For example:</w:t>
      </w:r>
      <w:r>
        <w:rPr>
          <w:lang w:val="en_US" w:bidi="en_US"/>
        </w:rPr>
        <w:t>he was well</w:t>
      </w:r>
      <w:r>
        <w:rPr>
          <w:lang w:val="en_US" w:bidi="en_US"/>
        </w:rPr>
        <w:t>God/Jesus</w:t>
      </w:r>
      <w:r>
        <w:rPr>
          <w:lang w:val="en_US" w:bidi="en_US"/>
        </w:rPr>
        <w:t xml:space="preserve"> had healed him</w:t>
      </w:r>
    </w:p>
    <w:p>
      <w:pPr/>
      <w:r>
        <w:rPr>
          <w:lang w:val="en_US" w:bidi="en_US"/>
        </w:rPr>
      </w:r>
      <w:r>
        <w:rPr>
          <w:lang w:val="en_US" w:bidi="en_US"/>
        </w:rPr>
        <w:t>Translate the verb in a natural way in your language.</w:t>
      </w:r>
    </w:p>
    <w:p>
      <w:pPr>
        <w:pStyle w:val="Heading5"/>
      </w:pPr>
      <w:r>
        <w:rPr>
          <w:lang w:val="en_US" w:bidi="en_US"/>
        </w:rPr>
        <w:t>17:15b</w:t>
      </w:r>
    </w:p>
    <w:p>
      <w:pPr/>
      <w:r>
        <w:rPr>
          <w:lang w:val="en_US" w:bidi="en_US"/>
        </w:rPr>
      </w:r>
      <w:r>
        <w:rPr>
          <w:b/>
          <w:lang w:val="en_US" w:bidi="en_US"/>
        </w:rPr>
        <w:t>praising God in a loud voice.</w:t>
      </w:r>
    </w:p>
    <w:p>
      <w:pPr>
        <w:pStyle w:val="ListBullet"/>
        <w:spacing w:line="240" w:lineRule="auto"/>
        <w:ind w:left="720"/>
      </w:pPr>
      <w:r>
        <w:rPr>
          <w:lang w:val="en_US" w:bidi="en_US"/>
        </w:rPr>
      </w:r>
      <w:r>
        <w:rPr>
          <w:lang w:val="en_US" w:bidi="en_US"/>
        </w:rPr>
        <w:t>shouting praises to God.</w:t>
      </w:r>
    </w:p>
    <w:p>
      <w:pPr>
        <w:pStyle w:val="ListBullet"/>
        <w:spacing w:line="240" w:lineRule="auto"/>
        <w:ind w:left="720"/>
      </w:pPr>
      <w:r>
        <w:rPr>
          <w:lang w:val="en_US" w:bidi="en_US"/>
        </w:rPr>
      </w:r>
      <w:r>
        <w:rPr>
          <w:lang w:val="en_US" w:bidi="en_US"/>
        </w:rPr>
        <w:t>he was saying loudly, “Praise God! He is wonderful! He has healed me!”</w:t>
      </w:r>
    </w:p>
    <w:p>
      <w:pPr/>
      <w:r>
        <w:rPr>
          <w:lang w:val="en_US" w:bidi="en_US"/>
        </w:rPr>
      </w:r>
      <w:r>
        <w:rPr>
          <w:b/>
          <w:lang w:val="en_US" w:bidi="en_US"/>
        </w:rPr>
        <w:t>praising God in a loud voice:</w:t>
      </w:r>
      <w:r>
        <w:rPr>
          <w:lang w:val="en_US" w:bidi="en_US"/>
        </w:rPr>
        <w:t xml:space="preserve"> The Greek word that the BSB translates as </w:t>
      </w:r>
      <w:r>
        <w:rPr>
          <w:i/>
          <w:lang w:val="en_US" w:bidi="en_US"/>
        </w:rPr>
        <w:t>praising</w:t>
      </w:r>
      <w:r>
        <w:rPr>
          <w:lang w:val="en_US" w:bidi="en_US"/>
        </w:rPr>
        <w:t xml:space="preserve"> is literally “glorifying,” as in the NASB. In this context it means to praise God and thank him. It means to speak about how great God is and about the wonderful things he does. This man was shouting out his praise and thanks to God. Some other ways to translate this are:</w:t>
      </w:r>
    </w:p>
    <w:p>
      <w:pPr/>
      <w:r>
        <w:rPr>
          <w:lang w:val="en_US" w:bidi="en_US"/>
        </w:rPr>
      </w:r>
      <w:r>
        <w:rPr>
          <w:lang w:val="en_US" w:bidi="en_US"/>
        </w:rPr>
        <w:t>shouting, “Praise God!” (NLT)</w:t>
      </w:r>
    </w:p>
    <w:p>
      <w:pPr/>
      <w:r>
        <w:rPr>
          <w:lang w:val="en_US" w:bidi="en_US"/>
        </w:rPr>
      </w:r>
      <w:r>
        <w:rPr>
          <w:lang w:val="en_US" w:bidi="en_US"/>
        </w:rPr>
        <w:t>…shouting praises to God. (CEV)</w:t>
      </w:r>
    </w:p>
    <w:p>
      <w:pPr/>
      <w:r>
        <w:rPr>
          <w:lang w:val="en_US" w:bidi="en_US"/>
        </w:rPr>
      </w:r>
      <w:r>
        <w:rPr>
          <w:lang w:val="en_US" w:bidi="en_US"/>
        </w:rPr>
        <w:t>saying loudly, “God is great!”</w:t>
      </w:r>
      <w:r>
        <w:rPr>
          <w:lang w:val="en_US" w:bidi="en_US"/>
        </w:rPr>
      </w:r>
      <w:r>
        <w:rPr>
          <w:lang w:val="en_US" w:bidi="en_US"/>
        </w:rPr>
      </w:r>
    </w:p>
    <w:p>
      <w:pPr/>
      <w:r>
        <w:rPr>
          <w:lang w:val="en_US" w:bidi="en_US"/>
        </w:rPr>
      </w:r>
    </w:p>
    <w:p>
      <w:pPr>
        <w:pStyle w:val="Heading2"/>
      </w:pPr>
      <w:r>
        <w:rPr>
          <w:lang w:val="en_US" w:bidi="en_US"/>
        </w:rPr>
        <w:t>Luke 17:16</w:t>
      </w:r>
      <w:r>
        <w:rPr>
          <w:lang w:val="en_US" w:bidi="en_US"/>
        </w:rPr>
      </w:r>
    </w:p>
    <w:p>
      <w:pPr>
        <w:pStyle w:val="Heading4"/>
      </w:pPr>
      <w:r>
        <w:rPr>
          <w:lang w:val="en_US" w:bidi="en_US"/>
        </w:rPr>
        <w:t>Section 17:11–19: Jesus healed ten lepers</w:t>
      </w:r>
    </w:p>
    <w:p>
      <w:pPr/>
      <w:r>
        <w:rPr>
          <w:lang w:val="en_US" w:bidi="en_US"/>
        </w:rPr>
      </w:r>
      <w:r>
        <w:rPr>
          <w:lang w:val="en_US" w:bidi="en_US"/>
        </w:rPr>
        <w:t>In this section Jesus and his disciples were continuing to travel to Jerusalem. As they approached a village on the way, ten men with leprosy or another serious skin disease begged Jesus to help them. People with this disease were outcasts and were not allowed to live in a village with healthy people. They were also considered to be ritually unclean or impure. They were not allowed to worship God with healthy people.</w:t>
      </w:r>
    </w:p>
    <w:p>
      <w:pPr/>
      <w:r>
        <w:rPr>
          <w:lang w:val="en_US" w:bidi="en_US"/>
        </w:rPr>
      </w:r>
      <w:r>
        <w:rPr>
          <w:lang w:val="en_US" w:bidi="en_US"/>
        </w:rPr>
        <w:t>Jesus healed all ten men, and they became ritually pure. However, only one of them thanked Jesus for healing him. This man was a Samaritan, and Jews usually despised Samaritans. However, Jesus often showed that he did not despise them. In the parable that Jesus told in 10:25–37, he used a Samaritan as the example of a person who loved his neighbor.</w:t>
      </w:r>
    </w:p>
    <w:p>
      <w:pPr/>
      <w:r>
        <w:rPr>
          <w:lang w:val="en_US" w:bidi="en_US"/>
        </w:rPr>
      </w:r>
      <w:r>
        <w:rPr>
          <w:lang w:val="en_US" w:bidi="en_US"/>
        </w:rPr>
        <w:t>Notice the contrast in the way “thanks” is used here and in 17:10. In 17:10, Jesus implied that servants of God often feel that they deserve special thanks or reward for simply doing their duty. In this section, when Jesus did something that deserved much thanks and praise, only one of ten people thanked him.</w:t>
      </w:r>
    </w:p>
    <w:p>
      <w:pPr/>
      <w:r>
        <w:rPr>
          <w:lang w:val="en_US" w:bidi="en_US"/>
        </w:rPr>
      </w:r>
      <w:r>
        <w:rPr>
          <w:lang w:val="en_US" w:bidi="en_US"/>
        </w:rPr>
        <w:t>Some other ideas for this section heading are:</w:t>
      </w:r>
    </w:p>
    <w:p>
      <w:pPr/>
      <w:r>
        <w:rPr>
          <w:lang w:val="en_US" w:bidi="en_US"/>
        </w:rPr>
      </w:r>
      <w:r>
        <w:rPr>
          <w:lang w:val="en_US" w:bidi="en_US"/>
        </w:rPr>
        <w:t>Jesus heals ten lepers</w:t>
      </w:r>
    </w:p>
    <w:p>
      <w:pPr/>
      <w:r>
        <w:rPr>
          <w:lang w:val="en_US" w:bidi="en_US"/>
        </w:rPr>
      </w:r>
      <w:r>
        <w:rPr>
          <w:lang w:val="en_US" w:bidi="en_US"/>
        </w:rPr>
        <w:t>Jesus cleanses ten men</w:t>
      </w:r>
    </w:p>
    <w:p>
      <w:pPr/>
      <w:r>
        <w:rPr>
          <w:lang w:val="en_US" w:bidi="en_US"/>
        </w:rPr>
      </w:r>
      <w:r>
        <w:rPr>
          <w:lang w:val="en_US" w:bidi="en_US"/>
        </w:rPr>
        <w:t>The book of Luke is the only gospel that tells about this event.</w:t>
      </w:r>
    </w:p>
    <w:p>
      <w:pPr>
        <w:pStyle w:val="Heading5"/>
      </w:pPr>
      <w:r>
        <w:rPr>
          <w:lang w:val="en_US" w:bidi="en_US"/>
        </w:rPr>
        <w:t>17:16a</w:t>
      </w:r>
    </w:p>
    <w:p>
      <w:pPr/>
      <w:r>
        <w:rPr>
          <w:lang w:val="en_US" w:bidi="en_US"/>
        </w:rPr>
      </w:r>
      <w:r>
        <w:rPr>
          <w:b/>
          <w:lang w:val="en_US" w:bidi="en_US"/>
        </w:rPr>
        <w:t>He fell facedown at Jesus’ feet in thanksgiving to Him—</w:t>
      </w:r>
    </w:p>
    <w:p>
      <w:pPr>
        <w:pStyle w:val="ListBullet"/>
        <w:spacing w:line="240" w:lineRule="auto"/>
        <w:ind w:left="720"/>
      </w:pPr>
      <w:r>
        <w:rPr>
          <w:lang w:val="en_US" w:bidi="en_US"/>
        </w:rPr>
      </w:r>
      <w:r>
        <w:rPr>
          <w:lang w:val="en_US" w:bidi="en_US"/>
        </w:rPr>
        <w:t>Then he bowed down on the ground before Jesus, thanking him.</w:t>
      </w:r>
    </w:p>
    <w:p>
      <w:pPr>
        <w:pStyle w:val="ListBullet"/>
        <w:spacing w:line="240" w:lineRule="auto"/>
        <w:ind w:left="720"/>
      </w:pPr>
      <w:r>
        <w:rPr>
          <w:lang w:val="en_US" w:bidi="en_US"/>
        </w:rPr>
      </w:r>
      <w:r>
        <w:rPr>
          <w:lang w:val="en_US" w:bidi="en_US"/>
        </w:rPr>
        <w:t xml:space="preserve">He </w:t>
      </w:r>
      <w:r>
        <w:rPr>
          <w:lang w:val="en_US" w:bidi="en_US"/>
        </w:rPr>
        <w:t>came and</w:t>
      </w:r>
      <w:r>
        <w:rPr>
          <w:lang w:val="en_US" w:bidi="en_US"/>
        </w:rPr>
        <w:t xml:space="preserve"> knelt </w:t>
      </w:r>
      <w:r>
        <w:rPr>
          <w:lang w:val="en_US" w:bidi="en_US"/>
        </w:rPr>
        <w:t>humbly</w:t>
      </w:r>
      <w:r>
        <w:rPr>
          <w:lang w:val="en_US" w:bidi="en_US"/>
        </w:rPr>
        <w:t xml:space="preserve"> in front of Jesus. Then he thanked Jesus.</w:t>
      </w:r>
    </w:p>
    <w:p>
      <w:pPr>
        <w:pStyle w:val="ListBullet"/>
        <w:spacing w:line="240" w:lineRule="auto"/>
        <w:ind w:left="720"/>
      </w:pPr>
      <w:r>
        <w:rPr>
          <w:lang w:val="en_US" w:bidi="en_US"/>
        </w:rPr>
      </w:r>
      <w:r>
        <w:rPr>
          <w:lang w:val="en_US" w:bidi="en_US"/>
        </w:rPr>
        <w:t>He bowed face down on the ground at Jesus’ feet, saying, “Thank you! Thank you!”</w:t>
      </w:r>
    </w:p>
    <w:p>
      <w:pPr/>
      <w:r>
        <w:rPr>
          <w:lang w:val="en_US" w:bidi="en_US"/>
        </w:rPr>
      </w:r>
      <w:r>
        <w:rPr>
          <w:b/>
          <w:lang w:val="en_US" w:bidi="en_US"/>
        </w:rPr>
        <w:t>He fell facedown at Jesus’ feet:</w:t>
      </w:r>
      <w:r>
        <w:rPr>
          <w:lang w:val="en_US" w:bidi="en_US"/>
        </w:rPr>
        <w:t xml:space="preserve"> The Greek clause that the BSB translates as </w:t>
      </w:r>
      <w:r>
        <w:rPr>
          <w:i/>
          <w:lang w:val="en_US" w:bidi="en_US"/>
        </w:rPr>
        <w:t>He fell facedown at Jesus’ feet</w:t>
      </w:r>
      <w:r>
        <w:rPr>
          <w:lang w:val="en_US" w:bidi="en_US"/>
        </w:rPr>
        <w:t xml:space="preserve"> is literally, “he fell on his face at his feet.” This means that the man knelt and lowered his face to the ground to show great respect to Jesus. It does not imply that the man fell accidentally. Some ways to translate this are:</w:t>
      </w:r>
    </w:p>
    <w:p>
      <w:pPr/>
      <w:r>
        <w:rPr>
          <w:lang w:val="en_US" w:bidi="en_US"/>
        </w:rPr>
      </w:r>
      <w:r>
        <w:rPr>
          <w:lang w:val="en_US" w:bidi="en_US"/>
        </w:rPr>
        <w:t>he bowed down at Jesus’ feet (NCV)</w:t>
      </w:r>
    </w:p>
    <w:p>
      <w:pPr/>
      <w:r>
        <w:rPr>
          <w:lang w:val="en_US" w:bidi="en_US"/>
        </w:rPr>
      </w:r>
      <w:r>
        <w:rPr>
          <w:lang w:val="en_US" w:bidi="en_US"/>
        </w:rPr>
        <w:t>he prostrated himself at Jesus’ feet</w:t>
      </w:r>
    </w:p>
    <w:p>
      <w:pPr/>
      <w:r>
        <w:rPr>
          <w:lang w:val="en_US" w:bidi="en_US"/>
        </w:rPr>
      </w:r>
      <w:r>
        <w:rPr>
          <w:lang w:val="en_US" w:bidi="en_US"/>
        </w:rPr>
        <w:t>he knelt and bowed low before Jesus</w:t>
      </w:r>
    </w:p>
    <w:p>
      <w:pPr/>
      <w:r>
        <w:rPr>
          <w:lang w:val="en_US" w:bidi="en_US"/>
        </w:rPr>
      </w:r>
      <w:r>
        <w:rPr>
          <w:lang w:val="en_US" w:bidi="en_US"/>
        </w:rPr>
        <w:t>In some languages, it may be necessary to indicate explicitly that the action showed respect. For example:</w:t>
      </w:r>
    </w:p>
    <w:p>
      <w:pPr/>
      <w:r>
        <w:rPr>
          <w:lang w:val="en_US" w:bidi="en_US"/>
        </w:rPr>
      </w:r>
      <w:r>
        <w:rPr>
          <w:lang w:val="en_US" w:bidi="en_US"/>
        </w:rPr>
        <w:t xml:space="preserve">he knelt/bowed </w:t>
      </w:r>
      <w:r>
        <w:rPr>
          <w:lang w:val="en_US" w:bidi="en_US"/>
        </w:rPr>
        <w:t>respectfully</w:t>
      </w:r>
      <w:r>
        <w:rPr>
          <w:lang w:val="en_US" w:bidi="en_US"/>
        </w:rPr>
        <w:t xml:space="preserve"> in front of Jesus</w:t>
      </w:r>
    </w:p>
    <w:p>
      <w:pPr/>
      <w:r>
        <w:rPr>
          <w:lang w:val="en_US" w:bidi="en_US"/>
        </w:rPr>
      </w:r>
      <w:r>
        <w:rPr>
          <w:lang w:val="en_US" w:bidi="en_US"/>
        </w:rPr>
        <w:t>The same or similar expressions also occur at 5:8, 5:12, 8:28, and 8:41. Use a natural expression in your language. In some languages there may be an idiom to describe this action.</w:t>
      </w:r>
    </w:p>
    <w:p>
      <w:pPr/>
      <w:r>
        <w:rPr>
          <w:lang w:val="en_US" w:bidi="en_US"/>
        </w:rPr>
      </w:r>
      <w:r>
        <w:rPr>
          <w:b/>
          <w:lang w:val="en_US" w:bidi="en_US"/>
        </w:rPr>
        <w:t>in thanksgiving to Him:</w:t>
      </w:r>
      <w:r>
        <w:rPr>
          <w:lang w:val="en_US" w:bidi="en_US"/>
        </w:rPr>
        <w:t xml:space="preserve"> The phrase that the BSB translates as </w:t>
      </w:r>
      <w:r>
        <w:rPr>
          <w:i/>
          <w:lang w:val="en_US" w:bidi="en_US"/>
        </w:rPr>
        <w:t>in thanksgiving to Him</w:t>
      </w:r>
      <w:r>
        <w:rPr>
          <w:lang w:val="en_US" w:bidi="en_US"/>
        </w:rPr>
        <w:t xml:space="preserve"> is literally “thanking him.” The man was expressing his gratitude and appreciation to Jesus for healing him from his leprosy. In some languages it may be necessary to use direct speech here. For example:</w:t>
      </w:r>
    </w:p>
    <w:p>
      <w:pPr/>
      <w:r>
        <w:rPr>
          <w:lang w:val="en_US" w:bidi="en_US"/>
        </w:rPr>
      </w:r>
      <w:r>
        <w:rPr>
          <w:lang w:val="en_US" w:bidi="en_US"/>
        </w:rPr>
        <w:t>saying, “Thank you! Thank you!”</w:t>
      </w:r>
    </w:p>
    <w:p>
      <w:pPr>
        <w:pStyle w:val="Heading5"/>
      </w:pPr>
      <w:r>
        <w:rPr>
          <w:lang w:val="en_US" w:bidi="en_US"/>
        </w:rPr>
        <w:t>17:16b</w:t>
      </w:r>
    </w:p>
    <w:p>
      <w:pPr/>
      <w:r>
        <w:rPr>
          <w:lang w:val="en_US" w:bidi="en_US"/>
        </w:rPr>
      </w:r>
      <w:r>
        <w:rPr>
          <w:b/>
          <w:lang w:val="en_US" w:bidi="en_US"/>
        </w:rPr>
        <w:t>and he was a Samaritan.</w:t>
      </w:r>
    </w:p>
    <w:p>
      <w:pPr>
        <w:pStyle w:val="ListBullet"/>
        <w:spacing w:line="240" w:lineRule="auto"/>
        <w:ind w:left="720"/>
      </w:pPr>
      <w:r>
        <w:rPr>
          <w:lang w:val="en_US" w:bidi="en_US"/>
        </w:rPr>
      </w:r>
      <w:r>
        <w:rPr>
          <w:lang w:val="en_US" w:bidi="en_US"/>
        </w:rPr>
        <w:t>And this man was a citizen/person of Samaria.</w:t>
      </w:r>
    </w:p>
    <w:p>
      <w:pPr>
        <w:pStyle w:val="ListBullet"/>
        <w:spacing w:line="240" w:lineRule="auto"/>
        <w:ind w:left="720"/>
      </w:pPr>
      <w:r>
        <w:rPr>
          <w:lang w:val="en_US" w:bidi="en_US"/>
        </w:rPr>
      </w:r>
      <w:r>
        <w:rPr>
          <w:lang w:val="en_US" w:bidi="en_US"/>
        </w:rPr>
        <w:t xml:space="preserve">As for the man, he was a </w:t>
      </w:r>
      <w:r>
        <w:rPr>
          <w:lang w:val="en_US" w:bidi="en_US"/>
        </w:rPr>
        <w:t>despised</w:t>
      </w:r>
      <w:r>
        <w:rPr>
          <w:lang w:val="en_US" w:bidi="en_US"/>
        </w:rPr>
        <w:t xml:space="preserve"> </w:t>
      </w:r>
      <w:r>
        <w:rPr>
          <w:lang w:val="en_US" w:bidi="en_US"/>
        </w:rPr>
        <w:t>foreigner</w:t>
      </w:r>
      <w:r>
        <w:rPr>
          <w:lang w:val="en_US" w:bidi="en_US"/>
        </w:rPr>
        <w:t xml:space="preserve"> from </w:t>
      </w:r>
      <w:r>
        <w:rPr>
          <w:lang w:val="en_US" w:bidi="en_US"/>
        </w:rPr>
        <w:t>the district of</w:t>
      </w:r>
      <w:r>
        <w:rPr>
          <w:lang w:val="en_US" w:bidi="en_US"/>
        </w:rPr>
        <w:t xml:space="preserve"> Samaria.</w:t>
      </w:r>
    </w:p>
    <w:p>
      <w:pPr/>
      <w:r>
        <w:rPr>
          <w:lang w:val="en_US" w:bidi="en_US"/>
        </w:rPr>
      </w:r>
      <w:r>
        <w:rPr>
          <w:b/>
          <w:lang w:val="en_US" w:bidi="en_US"/>
        </w:rPr>
        <w:t>and he was a Samaritan:</w:t>
      </w:r>
      <w:r>
        <w:rPr>
          <w:lang w:val="en_US" w:bidi="en_US"/>
        </w:rPr>
        <w:t xml:space="preserve"> The Greek clause that the BSB translates as </w:t>
      </w:r>
      <w:r>
        <w:rPr>
          <w:i/>
          <w:lang w:val="en_US" w:bidi="en_US"/>
        </w:rPr>
        <w:t>and he was a Samaritan</w:t>
      </w:r>
      <w:r>
        <w:rPr>
          <w:lang w:val="en_US" w:bidi="en_US"/>
        </w:rPr>
        <w:t xml:space="preserve"> emphasizes that this fact was unusual and significant. The position of the word </w:t>
      </w:r>
      <w:r>
        <w:rPr>
          <w:i/>
          <w:lang w:val="en_US" w:bidi="en_US"/>
        </w:rPr>
        <w:t>he</w:t>
      </w:r>
      <w:r>
        <w:rPr>
          <w:lang w:val="en_US" w:bidi="en_US"/>
        </w:rPr>
        <w:t xml:space="preserve"> in Greek expresses a contrast between him and the other lepers. It implies that most (or maybe all) of the other lepers were Jews. Try to imply this in a natural way in your language. One way to do this in English is:</w:t>
      </w:r>
    </w:p>
    <w:p>
      <w:pPr/>
      <w:r>
        <w:rPr>
          <w:lang w:val="en_US" w:bidi="en_US"/>
        </w:rPr>
      </w:r>
      <w:r>
        <w:rPr>
          <w:lang w:val="en_US" w:bidi="en_US"/>
        </w:rPr>
        <w:t xml:space="preserve">And </w:t>
      </w:r>
      <w:r>
        <w:rPr>
          <w:lang w:val="en_US" w:bidi="en_US"/>
        </w:rPr>
        <w:t>as for this man,</w:t>
      </w:r>
      <w:r>
        <w:rPr>
          <w:lang w:val="en_US" w:bidi="en_US"/>
        </w:rPr>
        <w:t xml:space="preserve"> he was a Samaritan</w:t>
      </w:r>
    </w:p>
    <w:p>
      <w:pPr/>
      <w:r>
        <w:rPr>
          <w:lang w:val="en_US" w:bidi="en_US"/>
        </w:rPr>
      </w:r>
      <w:r>
        <w:rPr>
          <w:b/>
          <w:lang w:val="en_US" w:bidi="en_US"/>
        </w:rPr>
        <w:t>Samaritan:</w:t>
      </w:r>
      <w:r>
        <w:rPr>
          <w:lang w:val="en_US" w:bidi="en_US"/>
        </w:rPr>
        <w:t xml:space="preserve"> The word </w:t>
      </w:r>
      <w:r>
        <w:rPr>
          <w:i/>
          <w:lang w:val="en_US" w:bidi="en_US"/>
        </w:rPr>
        <w:t>Samaritan</w:t>
      </w:r>
      <w:r>
        <w:rPr>
          <w:lang w:val="en_US" w:bidi="en_US"/>
        </w:rPr>
        <w:t xml:space="preserve"> refers to a man from the district of Samaria. The Samaritans were the descendants of Jews who had married foreigners. They did not worship God in Jerusalem as the Jews did, and the Jews considered the Samaritans to be foreigners. Most Jews despised Samaritans.</w:t>
      </w:r>
    </w:p>
    <w:p>
      <w:pPr/>
      <w:r>
        <w:rPr>
          <w:lang w:val="en_US" w:bidi="en_US"/>
        </w:rPr>
      </w:r>
      <w:r>
        <w:rPr>
          <w:lang w:val="en_US" w:bidi="en_US"/>
        </w:rPr>
        <w:t>It may be helpful to include some of this implied information in the text or in a footnote. A suggested footnote is:</w:t>
      </w:r>
    </w:p>
    <w:p>
      <w:pPr/>
      <w:r>
        <w:rPr>
          <w:lang w:val="en_US" w:bidi="en_US"/>
        </w:rPr>
      </w:r>
      <w:r>
        <w:rPr>
          <w:lang w:val="en_US" w:bidi="en_US"/>
        </w:rPr>
        <w:t>The Samaritans were the descendants of Jews who had married foreigners. They did not worship God in Jerusalem as the Jews did. The Jews hated the Samaritans and did not believe that the Samaritans were God’s people.</w:t>
      </w:r>
    </w:p>
    <w:p>
      <w:pPr/>
      <w:r>
        <w:rPr>
          <w:lang w:val="en_US" w:bidi="en_US"/>
        </w:rPr>
      </w:r>
      <w:r>
        <w:rPr>
          <w:lang w:val="en_US" w:bidi="en_US"/>
        </w:rPr>
        <w:t xml:space="preserve">The word </w:t>
      </w:r>
      <w:r>
        <w:rPr>
          <w:i/>
          <w:lang w:val="en_US" w:bidi="en_US"/>
        </w:rPr>
        <w:t>Samaritan</w:t>
      </w:r>
      <w:r>
        <w:rPr>
          <w:lang w:val="en_US" w:bidi="en_US"/>
        </w:rPr>
        <w:t xml:space="preserve"> also occurred in 10:33.</w:t>
      </w:r>
      <w:r>
        <w:rPr>
          <w:lang w:val="en_US" w:bidi="en_US"/>
        </w:rPr>
      </w:r>
      <w:r>
        <w:rPr>
          <w:lang w:val="en_US" w:bidi="en_US"/>
        </w:rPr>
      </w:r>
    </w:p>
    <w:p>
      <w:pPr/>
      <w:r>
        <w:rPr>
          <w:lang w:val="en_US" w:bidi="en_US"/>
        </w:rPr>
      </w:r>
    </w:p>
    <w:p>
      <w:pPr>
        <w:pStyle w:val="Heading2"/>
      </w:pPr>
      <w:r>
        <w:rPr>
          <w:lang w:val="en_US" w:bidi="en_US"/>
        </w:rPr>
        <w:t>Luke 17:17</w:t>
      </w:r>
      <w:r>
        <w:rPr>
          <w:lang w:val="en_US" w:bidi="en_US"/>
        </w:rPr>
      </w:r>
    </w:p>
    <w:p>
      <w:pPr>
        <w:pStyle w:val="Heading4"/>
      </w:pPr>
      <w:r>
        <w:rPr>
          <w:lang w:val="en_US" w:bidi="en_US"/>
        </w:rPr>
        <w:t>Section 17:11–19: Jesus healed ten lepers</w:t>
      </w:r>
    </w:p>
    <w:p>
      <w:pPr/>
      <w:r>
        <w:rPr>
          <w:lang w:val="en_US" w:bidi="en_US"/>
        </w:rPr>
      </w:r>
      <w:r>
        <w:rPr>
          <w:lang w:val="en_US" w:bidi="en_US"/>
        </w:rPr>
        <w:t>In this section Jesus and his disciples were continuing to travel to Jerusalem. As they approached a village on the way, ten men with leprosy or another serious skin disease begged Jesus to help them. People with this disease were outcasts and were not allowed to live in a village with healthy people. They were also considered to be ritually unclean or impure. They were not allowed to worship God with healthy people.</w:t>
      </w:r>
    </w:p>
    <w:p>
      <w:pPr/>
      <w:r>
        <w:rPr>
          <w:lang w:val="en_US" w:bidi="en_US"/>
        </w:rPr>
      </w:r>
      <w:r>
        <w:rPr>
          <w:lang w:val="en_US" w:bidi="en_US"/>
        </w:rPr>
        <w:t>Jesus healed all ten men, and they became ritually pure. However, only one of them thanked Jesus for healing him. This man was a Samaritan, and Jews usually despised Samaritans. However, Jesus often showed that he did not despise them. In the parable that Jesus told in 10:25–37, he used a Samaritan as the example of a person who loved his neighbor.</w:t>
      </w:r>
    </w:p>
    <w:p>
      <w:pPr/>
      <w:r>
        <w:rPr>
          <w:lang w:val="en_US" w:bidi="en_US"/>
        </w:rPr>
      </w:r>
      <w:r>
        <w:rPr>
          <w:lang w:val="en_US" w:bidi="en_US"/>
        </w:rPr>
        <w:t>Notice the contrast in the way “thanks” is used here and in 17:10. In 17:10, Jesus implied that servants of God often feel that they deserve special thanks or reward for simply doing their duty. In this section, when Jesus did something that deserved much thanks and praise, only one of ten people thanked him.</w:t>
      </w:r>
    </w:p>
    <w:p>
      <w:pPr/>
      <w:r>
        <w:rPr>
          <w:lang w:val="en_US" w:bidi="en_US"/>
        </w:rPr>
      </w:r>
      <w:r>
        <w:rPr>
          <w:lang w:val="en_US" w:bidi="en_US"/>
        </w:rPr>
        <w:t>Some other ideas for this section heading are:</w:t>
      </w:r>
    </w:p>
    <w:p>
      <w:pPr/>
      <w:r>
        <w:rPr>
          <w:lang w:val="en_US" w:bidi="en_US"/>
        </w:rPr>
      </w:r>
      <w:r>
        <w:rPr>
          <w:lang w:val="en_US" w:bidi="en_US"/>
        </w:rPr>
        <w:t>Jesus heals ten lepers</w:t>
      </w:r>
    </w:p>
    <w:p>
      <w:pPr/>
      <w:r>
        <w:rPr>
          <w:lang w:val="en_US" w:bidi="en_US"/>
        </w:rPr>
      </w:r>
      <w:r>
        <w:rPr>
          <w:lang w:val="en_US" w:bidi="en_US"/>
        </w:rPr>
        <w:t>Jesus cleanses ten men</w:t>
      </w:r>
    </w:p>
    <w:p>
      <w:pPr/>
      <w:r>
        <w:rPr>
          <w:lang w:val="en_US" w:bidi="en_US"/>
        </w:rPr>
      </w:r>
      <w:r>
        <w:rPr>
          <w:lang w:val="en_US" w:bidi="en_US"/>
        </w:rPr>
        <w:t>The book of Luke is the only gospel that tells about this event.</w:t>
      </w:r>
    </w:p>
    <w:p>
      <w:pPr>
        <w:pStyle w:val="Heading5"/>
      </w:pPr>
      <w:r>
        <w:rPr>
          <w:lang w:val="en_US" w:bidi="en_US"/>
        </w:rPr>
        <w:t>17:17a</w:t>
      </w:r>
    </w:p>
    <w:p>
      <w:pPr/>
      <w:r>
        <w:rPr>
          <w:lang w:val="en_US" w:bidi="en_US"/>
        </w:rPr>
      </w:r>
      <w:r>
        <w:rPr>
          <w:b/>
          <w:lang w:val="en_US" w:bidi="en_US"/>
        </w:rPr>
        <w:t>“Were not all ten cleansed?” Jesus asked.</w:t>
      </w:r>
    </w:p>
    <w:p>
      <w:pPr>
        <w:pStyle w:val="ListBullet"/>
        <w:spacing w:line="240" w:lineRule="auto"/>
        <w:ind w:left="720"/>
      </w:pPr>
      <w:r>
        <w:rPr>
          <w:lang w:val="en_US" w:bidi="en_US"/>
        </w:rPr>
      </w:r>
      <w:r>
        <w:rPr>
          <w:lang w:val="en_US" w:bidi="en_US"/>
        </w:rPr>
        <w:t>Jesus asked, “All ten men were healed/cleansed, weren’t they?</w:t>
      </w:r>
    </w:p>
    <w:p>
      <w:pPr>
        <w:pStyle w:val="ListBullet"/>
        <w:spacing w:line="240" w:lineRule="auto"/>
        <w:ind w:left="720"/>
      </w:pPr>
      <w:r>
        <w:rPr>
          <w:lang w:val="en_US" w:bidi="en_US"/>
        </w:rPr>
      </w:r>
      <w:r>
        <w:rPr>
          <w:lang w:val="en_US" w:bidi="en_US"/>
        </w:rPr>
        <w:t xml:space="preserve">Jesus said </w:t>
      </w:r>
      <w:r>
        <w:rPr>
          <w:lang w:val="en_US" w:bidi="en_US"/>
        </w:rPr>
        <w:t>to those who were listening to him</w:t>
      </w:r>
      <w:r>
        <w:rPr>
          <w:lang w:val="en_US" w:bidi="en_US"/>
        </w:rPr>
        <w:t>, “</w:t>
      </w:r>
      <w:r>
        <w:rPr>
          <w:lang w:val="en_US" w:bidi="en_US"/>
        </w:rPr>
        <w:t>I</w:t>
      </w:r>
      <w:r>
        <w:rPr>
          <w:lang w:val="en_US" w:bidi="en_US"/>
        </w:rPr>
        <w:t xml:space="preserve"> healed all ten </w:t>
      </w:r>
      <w:r>
        <w:rPr>
          <w:lang w:val="en_US" w:bidi="en_US"/>
        </w:rPr>
        <w:t>of the lepers</w:t>
      </w:r>
      <w:r>
        <w:rPr>
          <w:lang w:val="en_US" w:bidi="en_US"/>
        </w:rPr>
        <w:t>.</w:t>
      </w:r>
    </w:p>
    <w:p>
      <w:pPr>
        <w:pStyle w:val="Heading5"/>
      </w:pPr>
      <w:r>
        <w:rPr>
          <w:lang w:val="en_US" w:bidi="en_US"/>
        </w:rPr>
        <w:t>17:17b</w:t>
      </w:r>
    </w:p>
    <w:p>
      <w:pPr/>
      <w:r>
        <w:rPr>
          <w:lang w:val="en_US" w:bidi="en_US"/>
        </w:rPr>
      </w:r>
      <w:r>
        <w:rPr>
          <w:b/>
          <w:lang w:val="en_US" w:bidi="en_US"/>
        </w:rPr>
        <w:t>“Where then are the other nine?</w:t>
      </w:r>
    </w:p>
    <w:p>
      <w:pPr>
        <w:pStyle w:val="ListBullet"/>
        <w:spacing w:line="240" w:lineRule="auto"/>
        <w:ind w:left="720"/>
      </w:pPr>
      <w:r>
        <w:rPr>
          <w:lang w:val="en_US" w:bidi="en_US"/>
        </w:rPr>
      </w:r>
      <w:r>
        <w:rPr>
          <w:lang w:val="en_US" w:bidi="en_US"/>
        </w:rPr>
        <w:t xml:space="preserve">Why are the other nine </w:t>
      </w:r>
      <w:r>
        <w:rPr>
          <w:lang w:val="en_US" w:bidi="en_US"/>
        </w:rPr>
        <w:t>men</w:t>
      </w:r>
      <w:r>
        <w:rPr>
          <w:lang w:val="en_US" w:bidi="en_US"/>
        </w:rPr>
        <w:t xml:space="preserve"> not here?</w:t>
      </w:r>
    </w:p>
    <w:p>
      <w:pPr>
        <w:pStyle w:val="ListBullet"/>
        <w:spacing w:line="240" w:lineRule="auto"/>
        <w:ind w:left="720"/>
      </w:pPr>
      <w:r>
        <w:rPr>
          <w:lang w:val="en_US" w:bidi="en_US"/>
        </w:rPr>
      </w:r>
      <w:r>
        <w:rPr>
          <w:lang w:val="en_US" w:bidi="en_US"/>
        </w:rPr>
        <w:t xml:space="preserve">The other nine should also have returned </w:t>
      </w:r>
      <w:r>
        <w:rPr>
          <w:lang w:val="en_US" w:bidi="en_US"/>
        </w:rPr>
        <w:t>to praise God</w:t>
      </w:r>
      <w:r>
        <w:rPr>
          <w:lang w:val="en_US" w:bidi="en_US"/>
        </w:rPr>
        <w:t>.</w:t>
      </w:r>
    </w:p>
    <w:p>
      <w:pPr>
        <w:pStyle w:val="Heading5"/>
      </w:pPr>
      <w:r>
        <w:rPr>
          <w:lang w:val="en_US" w:bidi="en_US"/>
        </w:rPr>
        <w:t>17:17a–b</w:t>
      </w:r>
    </w:p>
    <w:p>
      <w:pPr/>
      <w:r>
        <w:rPr>
          <w:lang w:val="en_US" w:bidi="en_US"/>
        </w:rPr>
      </w:r>
      <w:r>
        <w:rPr>
          <w:b/>
          <w:lang w:val="en_US" w:bidi="en_US"/>
        </w:rPr>
        <w:t>Were not all ten cleansed?…Where then are the other nine?:</w:t>
      </w:r>
      <w:r>
        <w:rPr>
          <w:lang w:val="en_US" w:bidi="en_US"/>
        </w:rPr>
        <w:t xml:space="preserve"> These two questions function together as rhetorical questions. Jesus used the questions to indicate that he had cleansed/healed all ten lepers, so all of them should have returned to thank him. The questions express surprise and disappointment. Jesus was disappointed that the other lepers did not return and thank him for healing them. Jesus was not asking whether they were all really healed.</w:t>
      </w:r>
    </w:p>
    <w:p>
      <w:pPr/>
      <w:r>
        <w:rPr>
          <w:lang w:val="en_US" w:bidi="en_US"/>
        </w:rPr>
      </w:r>
      <w:r>
        <w:rPr>
          <w:lang w:val="en_US" w:bidi="en_US"/>
        </w:rPr>
        <w:t>Some ways to translate these rhetorical questions are:</w:t>
      </w:r>
    </w:p>
    <w:p>
      <w:pPr>
        <w:pStyle w:val="ListBullet"/>
        <w:spacing w:line="240" w:lineRule="auto"/>
        <w:ind w:left="720"/>
      </w:pPr>
      <w:r>
        <w:rPr>
          <w:lang w:val="en_US" w:bidi="en_US"/>
        </w:rPr>
      </w:r>
      <w:r>
        <w:rPr>
          <w:lang w:val="en_US" w:bidi="en_US"/>
        </w:rPr>
        <w:t>As one or two rhetorical questions. For example:</w:t>
      </w:r>
      <w:r>
        <w:rPr>
          <w:lang w:val="en_US" w:bidi="en_US"/>
        </w:rPr>
        <w:t>Ten men were healed, weren’t they? Why haven’t the other nine returned also?</w:t>
      </w:r>
      <w:r>
        <w:rPr>
          <w:lang w:val="en_US" w:bidi="en_US"/>
        </w:rPr>
        <w:t xml:space="preserve">Where are the other nine men whom </w:t>
      </w:r>
      <w:r>
        <w:rPr>
          <w:lang w:val="en_US" w:bidi="en_US"/>
        </w:rPr>
        <w:t>I/God</w:t>
      </w:r>
      <w:r>
        <w:rPr>
          <w:lang w:val="en_US" w:bidi="en_US"/>
        </w:rPr>
        <w:t xml:space="preserve"> healed/cleansed?</w:t>
      </w:r>
    </w:p>
    <w:p>
      <w:pPr>
        <w:pStyle w:val="ListBullet"/>
        <w:spacing w:line="240" w:lineRule="auto"/>
        <w:ind w:left="720"/>
      </w:pPr>
      <w:r>
        <w:rPr>
          <w:lang w:val="en_US" w:bidi="en_US"/>
        </w:rPr>
      </w:r>
      <w:r>
        <w:rPr>
          <w:lang w:val="en_US" w:bidi="en_US"/>
        </w:rPr>
        <w:t>As one or two statements. For example:</w:t>
      </w:r>
      <w:r>
        <w:rPr>
          <w:lang w:val="en_US" w:bidi="en_US"/>
        </w:rPr>
        <w:t>All ten men/lepers were cleansed. All ten of them should be here!</w:t>
      </w:r>
      <w:r>
        <w:rPr>
          <w:lang w:val="en_US" w:bidi="en_US"/>
        </w:rPr>
        <w:t>Of all the ten men/lepers who became well, only one of them has returned.</w:t>
      </w:r>
    </w:p>
    <w:p>
      <w:pPr>
        <w:pStyle w:val="ListBullet"/>
        <w:spacing w:line="240" w:lineRule="auto"/>
        <w:ind w:left="720"/>
      </w:pPr>
      <w:r>
        <w:rPr>
          <w:lang w:val="en_US" w:bidi="en_US"/>
        </w:rPr>
      </w:r>
      <w:r>
        <w:rPr>
          <w:lang w:val="en_US" w:bidi="en_US"/>
        </w:rPr>
        <w:t>As a combination of statement and rhetorical question. For example:</w:t>
      </w:r>
      <w:r>
        <w:rPr>
          <w:lang w:val="en_US" w:bidi="en_US"/>
        </w:rPr>
        <w:t>Ten men were cleansed. As for the other nine, where are they?</w:t>
      </w:r>
      <w:r>
        <w:rPr>
          <w:lang w:val="en_US" w:bidi="en_US"/>
        </w:rPr>
        <w:t>There were ten who were healed; where are the other nine? (GNT)</w:t>
      </w:r>
      <w:r>
        <w:rPr>
          <w:lang w:val="en_US" w:bidi="en_US"/>
        </w:rPr>
        <w:t>Ten men became well. So why haven’t the other nine come also?</w:t>
      </w:r>
    </w:p>
    <w:p>
      <w:pPr/>
      <w:r>
        <w:rPr>
          <w:lang w:val="en_US" w:bidi="en_US"/>
        </w:rPr>
      </w:r>
      <w:r>
        <w:rPr>
          <w:lang w:val="en_US" w:bidi="en_US"/>
        </w:rPr>
        <w:t>Translate this surprise and disappointment in a way that is natural in your language.</w:t>
      </w:r>
    </w:p>
    <w:p>
      <w:pPr/>
      <w:r>
        <w:rPr>
          <w:lang w:val="en_US" w:bidi="en_US"/>
        </w:rPr>
      </w:r>
      <w:r>
        <w:rPr>
          <w:b/>
          <w:lang w:val="en_US" w:bidi="en_US"/>
        </w:rPr>
        <w:t>Were not all ten cleansed?:</w:t>
      </w:r>
      <w:r>
        <w:rPr>
          <w:lang w:val="en_US" w:bidi="en_US"/>
        </w:rPr>
        <w:t xml:space="preserve"> The Greek verb that the BSB translates as </w:t>
      </w:r>
      <w:r>
        <w:rPr>
          <w:i/>
          <w:lang w:val="en_US" w:bidi="en_US"/>
        </w:rPr>
        <w:t>cleansed</w:t>
      </w:r>
      <w:r>
        <w:rPr>
          <w:lang w:val="en_US" w:bidi="en_US"/>
        </w:rPr>
        <w:t xml:space="preserve"> was also used in 17:14. Here also it is a passive form. In some languages it may be more natural to translate it as active here and supply Jesus or God as the subject. For example:</w:t>
      </w:r>
    </w:p>
    <w:p>
      <w:pPr/>
      <w:r>
        <w:rPr>
          <w:lang w:val="en_US" w:bidi="en_US"/>
        </w:rPr>
      </w:r>
      <w:r>
        <w:rPr>
          <w:lang w:val="en_US" w:bidi="en_US"/>
        </w:rPr>
        <w:t>I/God</w:t>
      </w:r>
      <w:r>
        <w:rPr>
          <w:lang w:val="en_US" w:bidi="en_US"/>
        </w:rPr>
        <w:t xml:space="preserve"> healed ten men. Where are the other nine?</w:t>
      </w:r>
    </w:p>
    <w:p>
      <w:pPr/>
      <w:r>
        <w:rPr>
          <w:lang w:val="en_US" w:bidi="en_US"/>
        </w:rPr>
      </w:r>
      <w:r>
        <w:rPr>
          <w:lang w:val="en_US" w:bidi="en_US"/>
        </w:rPr>
        <w:t>See the note in 17:14c for more translation suggestions.</w:t>
      </w:r>
    </w:p>
    <w:p>
      <w:pPr/>
      <w:r>
        <w:rPr>
          <w:lang w:val="en_US" w:bidi="en_US"/>
        </w:rPr>
      </w:r>
      <w:r>
        <w:rPr>
          <w:b/>
          <w:lang w:val="en_US" w:bidi="en_US"/>
        </w:rPr>
        <w:t>Jesus asked:</w:t>
      </w:r>
      <w:r>
        <w:rPr>
          <w:lang w:val="en_US" w:bidi="en_US"/>
        </w:rPr>
        <w:t xml:space="preserve"> In 17:17–18 Jesus asked three rhetorical questions. The text does not indicate explicitly to whom Jesus was speaking. If it is more natural in your language to indicate this, you may refer in a general way to the people who were with him. For example:</w:t>
      </w:r>
    </w:p>
    <w:p>
      <w:pPr/>
      <w:r>
        <w:rPr>
          <w:lang w:val="en_US" w:bidi="en_US"/>
        </w:rPr>
      </w:r>
      <w:r>
        <w:rPr>
          <w:lang w:val="en_US" w:bidi="en_US"/>
        </w:rPr>
        <w:t xml:space="preserve">Jesus asked </w:t>
      </w:r>
      <w:r>
        <w:rPr>
          <w:lang w:val="en_US" w:bidi="en_US"/>
        </w:rPr>
        <w:t>the people who were with him</w:t>
      </w:r>
    </w:p>
    <w:p>
      <w:pPr/>
      <w:r>
        <w:rPr>
          <w:lang w:val="en_US" w:bidi="en_US"/>
        </w:rPr>
      </w:r>
      <w:r>
        <w:rPr>
          <w:lang w:val="en_US" w:bidi="en_US"/>
        </w:rPr>
        <w:t>If you translate the rhetorical questions as statements, use an appropriate verb of speech. For example:</w:t>
      </w:r>
    </w:p>
    <w:p>
      <w:pPr/>
      <w:r>
        <w:rPr>
          <w:lang w:val="en_US" w:bidi="en_US"/>
        </w:rPr>
      </w:r>
      <w:r>
        <w:rPr>
          <w:lang w:val="en_US" w:bidi="en_US"/>
        </w:rPr>
        <w:t xml:space="preserve">Jesus said </w:t>
      </w:r>
      <w:r>
        <w:rPr>
          <w:lang w:val="en_US" w:bidi="en_US"/>
        </w:rPr>
        <w:t>to the people who were listening to him</w:t>
      </w:r>
    </w:p>
    <w:p>
      <w:pPr/>
      <w:r>
        <w:rPr>
          <w:lang w:val="en_US" w:bidi="en_US"/>
        </w:rPr>
      </w:r>
      <w:r>
        <w:rPr>
          <w:lang w:val="en_US" w:bidi="en_US"/>
        </w:rPr>
        <w:t xml:space="preserve">The BSB has placed the phrase </w:t>
      </w:r>
      <w:r>
        <w:rPr>
          <w:i/>
          <w:lang w:val="en_US" w:bidi="en_US"/>
        </w:rPr>
        <w:t>Jesus asked</w:t>
      </w:r>
      <w:r>
        <w:rPr>
          <w:lang w:val="en_US" w:bidi="en_US"/>
        </w:rPr>
        <w:t xml:space="preserve"> between the two questions that Jesus asked. In the Greek text, this phrase comes before both questions. Place it wherever it is natural in your language.</w:t>
      </w:r>
      <w:r>
        <w:rPr>
          <w:lang w:val="en_US" w:bidi="en_US"/>
        </w:rPr>
      </w:r>
      <w:r>
        <w:rPr>
          <w:lang w:val="en_US" w:bidi="en_US"/>
        </w:rPr>
      </w:r>
    </w:p>
    <w:p>
      <w:pPr/>
      <w:r>
        <w:rPr>
          <w:lang w:val="en_US" w:bidi="en_US"/>
        </w:rPr>
      </w:r>
    </w:p>
    <w:p>
      <w:pPr>
        <w:pStyle w:val="Heading2"/>
      </w:pPr>
      <w:r>
        <w:rPr>
          <w:lang w:val="en_US" w:bidi="en_US"/>
        </w:rPr>
        <w:t>Luke 17:18</w:t>
      </w:r>
      <w:r>
        <w:rPr>
          <w:lang w:val="en_US" w:bidi="en_US"/>
        </w:rPr>
      </w:r>
    </w:p>
    <w:p>
      <w:pPr>
        <w:pStyle w:val="Heading4"/>
      </w:pPr>
      <w:r>
        <w:rPr>
          <w:lang w:val="en_US" w:bidi="en_US"/>
        </w:rPr>
        <w:t>Section 17:11–19: Jesus healed ten lepers</w:t>
      </w:r>
    </w:p>
    <w:p>
      <w:pPr/>
      <w:r>
        <w:rPr>
          <w:lang w:val="en_US" w:bidi="en_US"/>
        </w:rPr>
      </w:r>
      <w:r>
        <w:rPr>
          <w:lang w:val="en_US" w:bidi="en_US"/>
        </w:rPr>
        <w:t>In this section Jesus and his disciples were continuing to travel to Jerusalem. As they approached a village on the way, ten men with leprosy or another serious skin disease begged Jesus to help them. People with this disease were outcasts and were not allowed to live in a village with healthy people. They were also considered to be ritually unclean or impure. They were not allowed to worship God with healthy people.</w:t>
      </w:r>
    </w:p>
    <w:p>
      <w:pPr/>
      <w:r>
        <w:rPr>
          <w:lang w:val="en_US" w:bidi="en_US"/>
        </w:rPr>
      </w:r>
      <w:r>
        <w:rPr>
          <w:lang w:val="en_US" w:bidi="en_US"/>
        </w:rPr>
        <w:t>Jesus healed all ten men, and they became ritually pure. However, only one of them thanked Jesus for healing him. This man was a Samaritan, and Jews usually despised Samaritans. However, Jesus often showed that he did not despise them. In the parable that Jesus told in 10:25–37, he used a Samaritan as the example of a person who loved his neighbor.</w:t>
      </w:r>
    </w:p>
    <w:p>
      <w:pPr/>
      <w:r>
        <w:rPr>
          <w:lang w:val="en_US" w:bidi="en_US"/>
        </w:rPr>
      </w:r>
      <w:r>
        <w:rPr>
          <w:lang w:val="en_US" w:bidi="en_US"/>
        </w:rPr>
        <w:t>Notice the contrast in the way “thanks” is used here and in 17:10. In 17:10, Jesus implied that servants of God often feel that they deserve special thanks or reward for simply doing their duty. In this section, when Jesus did something that deserved much thanks and praise, only one of ten people thanked him.</w:t>
      </w:r>
    </w:p>
    <w:p>
      <w:pPr/>
      <w:r>
        <w:rPr>
          <w:lang w:val="en_US" w:bidi="en_US"/>
        </w:rPr>
      </w:r>
      <w:r>
        <w:rPr>
          <w:lang w:val="en_US" w:bidi="en_US"/>
        </w:rPr>
        <w:t>Some other ideas for this section heading are:</w:t>
      </w:r>
    </w:p>
    <w:p>
      <w:pPr/>
      <w:r>
        <w:rPr>
          <w:lang w:val="en_US" w:bidi="en_US"/>
        </w:rPr>
      </w:r>
      <w:r>
        <w:rPr>
          <w:lang w:val="en_US" w:bidi="en_US"/>
        </w:rPr>
        <w:t>Jesus heals ten lepers</w:t>
      </w:r>
    </w:p>
    <w:p>
      <w:pPr/>
      <w:r>
        <w:rPr>
          <w:lang w:val="en_US" w:bidi="en_US"/>
        </w:rPr>
      </w:r>
      <w:r>
        <w:rPr>
          <w:lang w:val="en_US" w:bidi="en_US"/>
        </w:rPr>
        <w:t>Jesus cleanses ten men</w:t>
      </w:r>
    </w:p>
    <w:p>
      <w:pPr/>
      <w:r>
        <w:rPr>
          <w:lang w:val="en_US" w:bidi="en_US"/>
        </w:rPr>
      </w:r>
      <w:r>
        <w:rPr>
          <w:lang w:val="en_US" w:bidi="en_US"/>
        </w:rPr>
        <w:t>The book of Luke is the only gospel that tells about this event.</w:t>
      </w:r>
    </w:p>
    <w:p>
      <w:pPr>
        <w:pStyle w:val="Heading5"/>
      </w:pPr>
      <w:r>
        <w:rPr>
          <w:lang w:val="en_US" w:bidi="en_US"/>
        </w:rPr>
        <w:t>17:18</w:t>
      </w:r>
    </w:p>
    <w:p>
      <w:pPr/>
      <w:r>
        <w:rPr>
          <w:lang w:val="en_US" w:bidi="en_US"/>
        </w:rPr>
      </w:r>
      <w:r>
        <w:rPr>
          <w:b/>
          <w:lang w:val="en_US" w:bidi="en_US"/>
        </w:rPr>
        <w:t>Was no one found except this foreigner to return and give glory to God?”</w:t>
      </w:r>
    </w:p>
    <w:p>
      <w:pPr>
        <w:pStyle w:val="ListBullet"/>
        <w:spacing w:line="240" w:lineRule="auto"/>
        <w:ind w:left="720"/>
      </w:pPr>
      <w:r>
        <w:rPr>
          <w:lang w:val="en_US" w:bidi="en_US"/>
        </w:rPr>
      </w:r>
      <w:r>
        <w:rPr>
          <w:lang w:val="en_US" w:bidi="en_US"/>
        </w:rPr>
        <w:t>Why is this foreigner the only one who came back to praise God?”</w:t>
      </w:r>
    </w:p>
    <w:p>
      <w:pPr>
        <w:pStyle w:val="ListBullet"/>
        <w:spacing w:line="240" w:lineRule="auto"/>
        <w:ind w:left="720"/>
      </w:pPr>
      <w:r>
        <w:rPr>
          <w:lang w:val="en_US" w:bidi="en_US"/>
        </w:rPr>
      </w:r>
      <w:r>
        <w:rPr>
          <w:lang w:val="en_US" w:bidi="en_US"/>
        </w:rPr>
        <w:t xml:space="preserve">But only one </w:t>
      </w:r>
      <w:r>
        <w:rPr>
          <w:lang w:val="en_US" w:bidi="en_US"/>
        </w:rPr>
        <w:t>of the ten</w:t>
      </w:r>
      <w:r>
        <w:rPr>
          <w:lang w:val="en_US" w:bidi="en_US"/>
        </w:rPr>
        <w:t xml:space="preserve"> returned </w:t>
      </w:r>
      <w:r>
        <w:rPr>
          <w:lang w:val="en_US" w:bidi="en_US"/>
        </w:rPr>
        <w:t>to me</w:t>
      </w:r>
      <w:r>
        <w:rPr>
          <w:lang w:val="en_US" w:bidi="en_US"/>
        </w:rPr>
        <w:t xml:space="preserve"> to thank God, and that man is not </w:t>
      </w:r>
      <w:r>
        <w:rPr>
          <w:lang w:val="en_US" w:bidi="en_US"/>
        </w:rPr>
        <w:t>even</w:t>
      </w:r>
      <w:r>
        <w:rPr>
          <w:lang w:val="en_US" w:bidi="en_US"/>
        </w:rPr>
        <w:t xml:space="preserve"> a Jew!”</w:t>
      </w:r>
    </w:p>
    <w:p>
      <w:pPr/>
      <w:r>
        <w:rPr>
          <w:lang w:val="en_US" w:bidi="en_US"/>
        </w:rPr>
      </w:r>
      <w:r>
        <w:rPr>
          <w:b/>
          <w:lang w:val="en_US" w:bidi="en_US"/>
        </w:rPr>
        <w:t>Was no one found except this foreigner to return and give glory to God?:</w:t>
      </w:r>
      <w:r>
        <w:rPr>
          <w:lang w:val="en_US" w:bidi="en_US"/>
        </w:rPr>
        <w:t xml:space="preserve"> This is another rhetorical question. Jesus asked this question to emphasize his surprise and disappointment that only the foreigner returned to praise God. The implied answer to the question is “no one except the Samaritan has returned to praise God.”</w:t>
      </w:r>
    </w:p>
    <w:p>
      <w:pPr/>
      <w:r>
        <w:rPr>
          <w:lang w:val="en_US" w:bidi="en_US"/>
        </w:rPr>
      </w:r>
      <w:r>
        <w:rPr>
          <w:lang w:val="en_US" w:bidi="en_US"/>
        </w:rPr>
        <w:t>Some ways to translate this rhetorical question are:</w:t>
      </w:r>
    </w:p>
    <w:p>
      <w:pPr>
        <w:pStyle w:val="ListBullet"/>
        <w:spacing w:line="240" w:lineRule="auto"/>
        <w:ind w:left="720"/>
      </w:pPr>
      <w:r>
        <w:rPr>
          <w:lang w:val="en_US" w:bidi="en_US"/>
        </w:rPr>
      </w:r>
      <w:r>
        <w:rPr>
          <w:lang w:val="en_US" w:bidi="en_US"/>
        </w:rPr>
        <w:t>As a rhetorical question. For example:</w:t>
      </w:r>
      <w:r>
        <w:rPr>
          <w:lang w:val="en_US" w:bidi="en_US"/>
        </w:rPr>
        <w:t>Is this Samaritan the only one who came back to thank God? (NCV)</w:t>
      </w:r>
      <w:r>
        <w:rPr>
          <w:lang w:val="en_US" w:bidi="en_US"/>
        </w:rPr>
        <w:t>Why is this foreigner the only one who came back to give thanks to God? (GNT)</w:t>
      </w:r>
    </w:p>
    <w:p>
      <w:pPr>
        <w:pStyle w:val="ListBullet"/>
        <w:spacing w:line="240" w:lineRule="auto"/>
        <w:ind w:left="720"/>
      </w:pPr>
      <w:r>
        <w:rPr>
          <w:lang w:val="en_US" w:bidi="en_US"/>
        </w:rPr>
      </w:r>
      <w:r>
        <w:rPr>
          <w:lang w:val="en_US" w:bidi="en_US"/>
        </w:rPr>
        <w:t>As a statement or statements. For example:</w:t>
      </w:r>
      <w:r>
        <w:rPr>
          <w:lang w:val="en_US" w:bidi="en_US"/>
        </w:rPr>
        <w:t>Only this foreigner came back to praise God. (GW)</w:t>
      </w:r>
      <w:r>
        <w:rPr>
          <w:lang w:val="en_US" w:bidi="en_US"/>
        </w:rPr>
        <w:t xml:space="preserve">But look! This foreigner was the only one </w:t>
      </w:r>
      <w:r>
        <w:rPr>
          <w:lang w:val="en_US" w:bidi="en_US"/>
        </w:rPr>
        <w:t>of the ten men</w:t>
      </w:r>
      <w:r>
        <w:rPr>
          <w:lang w:val="en_US" w:bidi="en_US"/>
        </w:rPr>
        <w:t xml:space="preserve"> to come back to praise God.</w:t>
      </w:r>
      <w:r>
        <w:rPr>
          <w:lang w:val="en_US" w:bidi="en_US"/>
        </w:rPr>
        <w:t xml:space="preserve">Just this foreigner came back to thank God. </w:t>
      </w:r>
      <w:r>
        <w:rPr>
          <w:lang w:val="en_US" w:bidi="en_US"/>
        </w:rPr>
        <w:t>I am amazed/disappointed</w:t>
      </w:r>
      <w:r>
        <w:rPr>
          <w:lang w:val="en_US" w:bidi="en_US"/>
        </w:rPr>
        <w:t xml:space="preserve"> to see that none of the other nine men came back.</w:t>
      </w:r>
    </w:p>
    <w:p>
      <w:pPr/>
      <w:r>
        <w:rPr>
          <w:lang w:val="en_US" w:bidi="en_US"/>
        </w:rPr>
      </w:r>
      <w:r>
        <w:rPr>
          <w:lang w:val="en_US" w:bidi="en_US"/>
        </w:rPr>
        <w:t>Translate this surprise and disappointment in a way that is natural in your language.</w:t>
      </w:r>
    </w:p>
    <w:p>
      <w:pPr/>
      <w:r>
        <w:rPr>
          <w:lang w:val="en_US" w:bidi="en_US"/>
        </w:rPr>
      </w:r>
      <w:r>
        <w:rPr>
          <w:b/>
          <w:lang w:val="en_US" w:bidi="en_US"/>
        </w:rPr>
        <w:t>found except this foreigner to return:</w:t>
      </w:r>
      <w:r>
        <w:rPr>
          <w:lang w:val="en_US" w:bidi="en_US"/>
        </w:rPr>
        <w:t xml:space="preserve"> The Greek verb that the BSB translates literally as </w:t>
      </w:r>
      <w:r>
        <w:rPr>
          <w:i/>
          <w:lang w:val="en_US" w:bidi="en_US"/>
        </w:rPr>
        <w:t>found</w:t>
      </w:r>
      <w:r>
        <w:rPr>
          <w:lang w:val="en_US" w:bidi="en_US"/>
        </w:rPr>
        <w:t xml:space="preserve"> is used in the sense “to appear, to be seen.” It does not imply that God (or someone) was literally searching for a person who would return and give thanks. The word </w:t>
      </w:r>
      <w:r>
        <w:rPr>
          <w:i/>
          <w:lang w:val="en_US" w:bidi="en_US"/>
        </w:rPr>
        <w:t>found</w:t>
      </w:r>
      <w:r>
        <w:rPr>
          <w:lang w:val="en_US" w:bidi="en_US"/>
        </w:rPr>
        <w:t xml:space="preserve"> emphasizes that no one had returned except the foreigner.</w:t>
      </w:r>
    </w:p>
    <w:p>
      <w:pPr/>
      <w:r>
        <w:rPr>
          <w:lang w:val="en_US" w:bidi="en_US"/>
        </w:rPr>
      </w:r>
      <w:r>
        <w:rPr>
          <w:lang w:val="en_US" w:bidi="en_US"/>
        </w:rPr>
        <w:t xml:space="preserve">In some languages it may not be natural to use a word that means </w:t>
      </w:r>
      <w:r>
        <w:rPr>
          <w:i/>
          <w:lang w:val="en_US" w:bidi="en_US"/>
        </w:rPr>
        <w:t>found</w:t>
      </w:r>
      <w:r>
        <w:rPr>
          <w:lang w:val="en_US" w:bidi="en_US"/>
        </w:rPr>
        <w:t>. It may even wrongly imply that someone was lost. If this is true in your language, you may need to translate the meaning without this word, as several English versions do. For example:</w:t>
      </w:r>
    </w:p>
    <w:p>
      <w:pPr/>
      <w:r>
        <w:rPr>
          <w:lang w:val="en_US" w:bidi="en_US"/>
        </w:rPr>
      </w:r>
      <w:r>
        <w:rPr>
          <w:lang w:val="en_US" w:bidi="en_US"/>
        </w:rPr>
        <w:t>Why was this foreigner the only one who came back to thank God? (CEV)</w:t>
      </w:r>
    </w:p>
    <w:p>
      <w:pPr/>
      <w:r>
        <w:rPr>
          <w:lang w:val="en_US" w:bidi="en_US"/>
        </w:rPr>
      </w:r>
      <w:r>
        <w:rPr>
          <w:b/>
          <w:lang w:val="en_US" w:bidi="en_US"/>
        </w:rPr>
        <w:t>to return and give glory to God:</w:t>
      </w:r>
      <w:r>
        <w:rPr>
          <w:lang w:val="en_US" w:bidi="en_US"/>
        </w:rPr>
        <w:t xml:space="preserve"> The Greek phrase that the BSB translates literally as </w:t>
      </w:r>
      <w:r>
        <w:rPr>
          <w:i/>
          <w:lang w:val="en_US" w:bidi="en_US"/>
        </w:rPr>
        <w:t>give glory</w:t>
      </w:r>
      <w:r>
        <w:rPr>
          <w:lang w:val="en_US" w:bidi="en_US"/>
        </w:rPr>
        <w:t xml:space="preserve"> refers here to thanking or praising God. Some other ways to translate </w:t>
      </w:r>
      <w:r>
        <w:rPr>
          <w:i/>
          <w:lang w:val="en_US" w:bidi="en_US"/>
        </w:rPr>
        <w:t>give glory to God</w:t>
      </w:r>
      <w:r>
        <w:rPr>
          <w:lang w:val="en_US" w:bidi="en_US"/>
        </w:rPr>
        <w:t xml:space="preserve"> are:</w:t>
      </w:r>
    </w:p>
    <w:p>
      <w:pPr/>
      <w:r>
        <w:rPr>
          <w:lang w:val="en_US" w:bidi="en_US"/>
        </w:rPr>
      </w:r>
      <w:r>
        <w:rPr>
          <w:lang w:val="en_US" w:bidi="en_US"/>
        </w:rPr>
        <w:t>praise/thank God</w:t>
      </w:r>
    </w:p>
    <w:p>
      <w:pPr/>
      <w:r>
        <w:rPr>
          <w:lang w:val="en_US" w:bidi="en_US"/>
        </w:rPr>
      </w:r>
      <w:r>
        <w:rPr>
          <w:lang w:val="en_US" w:bidi="en_US"/>
        </w:rPr>
        <w:t>say thank you to God</w:t>
      </w:r>
      <w:r>
        <w:rPr>
          <w:lang w:val="en_US" w:bidi="en_US"/>
        </w:rPr>
        <w:t>Uma back translation on TW.</w:t>
      </w:r>
    </w:p>
    <w:p>
      <w:pPr/>
      <w:r>
        <w:rPr>
          <w:lang w:val="en_US" w:bidi="en_US"/>
        </w:rPr>
      </w:r>
      <w:r>
        <w:rPr>
          <w:b/>
          <w:lang w:val="en_US" w:bidi="en_US"/>
        </w:rPr>
        <w:t>except this foreigner:</w:t>
      </w:r>
      <w:r>
        <w:rPr>
          <w:lang w:val="en_US" w:bidi="en_US"/>
        </w:rPr>
        <w:t xml:space="preserve"> In this context the word </w:t>
      </w:r>
      <w:r>
        <w:rPr>
          <w:i/>
          <w:lang w:val="en_US" w:bidi="en_US"/>
        </w:rPr>
        <w:t>foreigner</w:t>
      </w:r>
      <w:r>
        <w:rPr>
          <w:lang w:val="en_US" w:bidi="en_US"/>
        </w:rPr>
        <w:t xml:space="preserve"> refers to a person who is not a Jew. Jesus was surprised that none of the Jews whom he had healed came back to thank him. Only the Samaritan came back. Another way to translate this phrase is:</w:t>
      </w:r>
    </w:p>
    <w:p>
      <w:pPr/>
      <w:r>
        <w:rPr>
          <w:lang w:val="en_US" w:bidi="en_US"/>
        </w:rPr>
      </w:r>
      <w:r>
        <w:rPr>
          <w:lang w:val="en_US" w:bidi="en_US"/>
        </w:rPr>
        <w:t>except this one who is not a Jew</w:t>
      </w:r>
      <w:r>
        <w:rPr>
          <w:lang w:val="en_US" w:bidi="en_US"/>
        </w:rPr>
      </w:r>
      <w:r>
        <w:rPr>
          <w:lang w:val="en_US" w:bidi="en_US"/>
        </w:rPr>
      </w:r>
    </w:p>
    <w:p>
      <w:pPr/>
      <w:r>
        <w:rPr>
          <w:lang w:val="en_US" w:bidi="en_US"/>
        </w:rPr>
      </w:r>
    </w:p>
    <w:p>
      <w:pPr>
        <w:pStyle w:val="Heading2"/>
      </w:pPr>
      <w:r>
        <w:rPr>
          <w:lang w:val="en_US" w:bidi="en_US"/>
        </w:rPr>
        <w:t>Luke 17:19</w:t>
      </w:r>
      <w:r>
        <w:rPr>
          <w:lang w:val="en_US" w:bidi="en_US"/>
        </w:rPr>
      </w:r>
    </w:p>
    <w:p>
      <w:pPr>
        <w:pStyle w:val="Heading4"/>
      </w:pPr>
      <w:r>
        <w:rPr>
          <w:lang w:val="en_US" w:bidi="en_US"/>
        </w:rPr>
        <w:t>Section 17:11–19: Jesus healed ten lepers</w:t>
      </w:r>
    </w:p>
    <w:p>
      <w:pPr/>
      <w:r>
        <w:rPr>
          <w:lang w:val="en_US" w:bidi="en_US"/>
        </w:rPr>
      </w:r>
      <w:r>
        <w:rPr>
          <w:lang w:val="en_US" w:bidi="en_US"/>
        </w:rPr>
        <w:t>In this section Jesus and his disciples were continuing to travel to Jerusalem. As they approached a village on the way, ten men with leprosy or another serious skin disease begged Jesus to help them. People with this disease were outcasts and were not allowed to live in a village with healthy people. They were also considered to be ritually unclean or impure. They were not allowed to worship God with healthy people.</w:t>
      </w:r>
    </w:p>
    <w:p>
      <w:pPr/>
      <w:r>
        <w:rPr>
          <w:lang w:val="en_US" w:bidi="en_US"/>
        </w:rPr>
      </w:r>
      <w:r>
        <w:rPr>
          <w:lang w:val="en_US" w:bidi="en_US"/>
        </w:rPr>
        <w:t>Jesus healed all ten men, and they became ritually pure. However, only one of them thanked Jesus for healing him. This man was a Samaritan, and Jews usually despised Samaritans. However, Jesus often showed that he did not despise them. In the parable that Jesus told in 10:25–37, he used a Samaritan as the example of a person who loved his neighbor.</w:t>
      </w:r>
    </w:p>
    <w:p>
      <w:pPr/>
      <w:r>
        <w:rPr>
          <w:lang w:val="en_US" w:bidi="en_US"/>
        </w:rPr>
      </w:r>
      <w:r>
        <w:rPr>
          <w:lang w:val="en_US" w:bidi="en_US"/>
        </w:rPr>
        <w:t>Notice the contrast in the way “thanks” is used here and in 17:10. In 17:10, Jesus implied that servants of God often feel that they deserve special thanks or reward for simply doing their duty. In this section, when Jesus did something that deserved much thanks and praise, only one of ten people thanked him.</w:t>
      </w:r>
    </w:p>
    <w:p>
      <w:pPr/>
      <w:r>
        <w:rPr>
          <w:lang w:val="en_US" w:bidi="en_US"/>
        </w:rPr>
      </w:r>
      <w:r>
        <w:rPr>
          <w:lang w:val="en_US" w:bidi="en_US"/>
        </w:rPr>
        <w:t>Some other ideas for this section heading are:</w:t>
      </w:r>
    </w:p>
    <w:p>
      <w:pPr/>
      <w:r>
        <w:rPr>
          <w:lang w:val="en_US" w:bidi="en_US"/>
        </w:rPr>
      </w:r>
      <w:r>
        <w:rPr>
          <w:lang w:val="en_US" w:bidi="en_US"/>
        </w:rPr>
        <w:t>Jesus heals ten lepers</w:t>
      </w:r>
    </w:p>
    <w:p>
      <w:pPr/>
      <w:r>
        <w:rPr>
          <w:lang w:val="en_US" w:bidi="en_US"/>
        </w:rPr>
      </w:r>
      <w:r>
        <w:rPr>
          <w:lang w:val="en_US" w:bidi="en_US"/>
        </w:rPr>
        <w:t>Jesus cleanses ten men</w:t>
      </w:r>
    </w:p>
    <w:p>
      <w:pPr/>
      <w:r>
        <w:rPr>
          <w:lang w:val="en_US" w:bidi="en_US"/>
        </w:rPr>
      </w:r>
      <w:r>
        <w:rPr>
          <w:lang w:val="en_US" w:bidi="en_US"/>
        </w:rPr>
        <w:t>The book of Luke is the only gospel that tells about this event.</w:t>
      </w:r>
    </w:p>
    <w:p>
      <w:pPr>
        <w:pStyle w:val="Heading5"/>
      </w:pPr>
      <w:r>
        <w:rPr>
          <w:lang w:val="en_US" w:bidi="en_US"/>
        </w:rPr>
        <w:t>17:19a</w:t>
      </w:r>
    </w:p>
    <w:p>
      <w:pPr/>
      <w:r>
        <w:rPr>
          <w:lang w:val="en_US" w:bidi="en_US"/>
        </w:rPr>
      </w:r>
      <w:r>
        <w:rPr>
          <w:b/>
          <w:lang w:val="en_US" w:bidi="en_US"/>
        </w:rPr>
        <w:t>Then Jesus said to him, “Rise and go;</w:t>
      </w:r>
    </w:p>
    <w:p>
      <w:pPr>
        <w:pStyle w:val="ListBullet"/>
        <w:spacing w:line="240" w:lineRule="auto"/>
        <w:ind w:left="720"/>
      </w:pPr>
      <w:r>
        <w:rPr>
          <w:lang w:val="en_US" w:bidi="en_US"/>
        </w:rPr>
      </w:r>
      <w:r>
        <w:rPr>
          <w:lang w:val="en_US" w:bidi="en_US"/>
        </w:rPr>
        <w:t xml:space="preserve">Then he said to </w:t>
      </w:r>
      <w:r>
        <w:rPr>
          <w:lang w:val="en_US" w:bidi="en_US"/>
        </w:rPr>
        <w:t>the Samaritan</w:t>
      </w:r>
      <w:r>
        <w:rPr>
          <w:lang w:val="en_US" w:bidi="en_US"/>
        </w:rPr>
        <w:t>, “Stand</w:t>
      </w:r>
      <w:r>
        <w:rPr>
          <w:vertAlign w:val="superscript"/>
          <w:lang w:val="en_US" w:bidi="en_US"/>
        </w:rPr>
        <w:t>(sing)</w:t>
      </w:r>
      <w:r>
        <w:rPr>
          <w:lang w:val="en_US" w:bidi="en_US"/>
        </w:rPr>
        <w:t xml:space="preserve"> up and go on your way.</w:t>
      </w:r>
    </w:p>
    <w:p>
      <w:pPr>
        <w:pStyle w:val="ListBullet"/>
        <w:spacing w:line="240" w:lineRule="auto"/>
        <w:ind w:left="720"/>
      </w:pPr>
      <w:r>
        <w:rPr>
          <w:lang w:val="en_US" w:bidi="en_US"/>
        </w:rPr>
      </w:r>
      <w:r>
        <w:rPr>
          <w:lang w:val="en_US" w:bidi="en_US"/>
        </w:rPr>
        <w:t>Then Jesus said to the man, “You</w:t>
      </w:r>
      <w:r>
        <w:rPr>
          <w:vertAlign w:val="superscript"/>
          <w:lang w:val="en_US" w:bidi="en_US"/>
        </w:rPr>
        <w:t>(sing)</w:t>
      </w:r>
      <w:r>
        <w:rPr>
          <w:lang w:val="en_US" w:bidi="en_US"/>
        </w:rPr>
        <w:t xml:space="preserve"> </w:t>
      </w:r>
      <w:r>
        <w:rPr>
          <w:lang w:val="en_US" w:bidi="en_US"/>
        </w:rPr>
        <w:t>may</w:t>
      </w:r>
      <w:r>
        <w:rPr>
          <w:lang w:val="en_US" w:bidi="en_US"/>
        </w:rPr>
        <w:t xml:space="preserve"> rise and go now.</w:t>
      </w:r>
    </w:p>
    <w:p>
      <w:pPr/>
      <w:r>
        <w:rPr>
          <w:lang w:val="en_US" w:bidi="en_US"/>
        </w:rPr>
      </w:r>
      <w:r>
        <w:rPr>
          <w:b/>
          <w:lang w:val="en_US" w:bidi="en_US"/>
        </w:rPr>
        <w:t>Then Jesus said to him, “Rise and go:</w:t>
      </w:r>
      <w:r>
        <w:rPr>
          <w:lang w:val="en_US" w:bidi="en_US"/>
        </w:rPr>
        <w:t xml:space="preserve"> Jesus told the man to </w:t>
      </w:r>
      <w:r>
        <w:rPr>
          <w:i/>
          <w:lang w:val="en_US" w:bidi="en_US"/>
        </w:rPr>
        <w:t>Rise and go</w:t>
      </w:r>
      <w:r>
        <w:rPr>
          <w:lang w:val="en_US" w:bidi="en_US"/>
        </w:rPr>
        <w:t xml:space="preserve">. In this context the phrase </w:t>
      </w:r>
      <w:r>
        <w:rPr>
          <w:i/>
          <w:lang w:val="en_US" w:bidi="en_US"/>
        </w:rPr>
        <w:t>Rise and go</w:t>
      </w:r>
      <w:r>
        <w:rPr>
          <w:lang w:val="en_US" w:bidi="en_US"/>
        </w:rPr>
        <w:t xml:space="preserve"> means “stand up and go on your way.” It was a polite way for Jesus to give the man permission to leave. Here is another way to translate this:</w:t>
      </w:r>
    </w:p>
    <w:p>
      <w:pPr/>
      <w:r>
        <w:rPr>
          <w:lang w:val="en_US" w:bidi="en_US"/>
        </w:rPr>
      </w:r>
      <w:r>
        <w:rPr>
          <w:lang w:val="en_US" w:bidi="en_US"/>
        </w:rPr>
        <w:t>You may get up and go. (CEV)</w:t>
      </w:r>
    </w:p>
    <w:p>
      <w:pPr/>
      <w:r>
        <w:rPr>
          <w:lang w:val="en_US" w:bidi="en_US"/>
        </w:rPr>
      </w:r>
      <w:r>
        <w:rPr>
          <w:lang w:val="en_US" w:bidi="en_US"/>
        </w:rPr>
        <w:t>In some languages it may be more natural to leave the action of getting up implied. For example:</w:t>
      </w:r>
    </w:p>
    <w:p>
      <w:pPr/>
      <w:r>
        <w:rPr>
          <w:lang w:val="en_US" w:bidi="en_US"/>
        </w:rPr>
      </w:r>
      <w:r>
        <w:rPr>
          <w:lang w:val="en_US" w:bidi="en_US"/>
        </w:rPr>
        <w:t>You may go now.</w:t>
      </w:r>
    </w:p>
    <w:p>
      <w:pPr/>
      <w:r>
        <w:rPr>
          <w:lang w:val="en_US" w:bidi="en_US"/>
        </w:rPr>
      </w:r>
      <w:r>
        <w:rPr>
          <w:lang w:val="en_US" w:bidi="en_US"/>
        </w:rPr>
        <w:t>Use a natural expression in your language.</w:t>
      </w:r>
    </w:p>
    <w:p>
      <w:pPr>
        <w:pStyle w:val="Heading5"/>
      </w:pPr>
      <w:r>
        <w:rPr>
          <w:lang w:val="en_US" w:bidi="en_US"/>
        </w:rPr>
        <w:t>17:19b</w:t>
      </w:r>
    </w:p>
    <w:p>
      <w:pPr/>
      <w:r>
        <w:rPr>
          <w:lang w:val="en_US" w:bidi="en_US"/>
        </w:rPr>
      </w:r>
      <w:r>
        <w:rPr>
          <w:b/>
          <w:lang w:val="en_US" w:bidi="en_US"/>
        </w:rPr>
        <w:t>your faith has made you well!”</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belief/faith has delivered you.”</w:t>
      </w:r>
    </w:p>
    <w:p>
      <w:pPr>
        <w:pStyle w:val="ListBullet"/>
        <w:spacing w:line="240" w:lineRule="auto"/>
        <w:ind w:left="720"/>
      </w:pPr>
      <w:r>
        <w:rPr>
          <w:lang w:val="en_US" w:bidi="en_US"/>
        </w:rPr>
      </w:r>
      <w:r>
        <w:rPr>
          <w:lang w:val="en_US" w:bidi="en_US"/>
        </w:rPr>
        <w:t>God</w:t>
      </w:r>
      <w:r>
        <w:rPr>
          <w:lang w:val="en_US" w:bidi="en_US"/>
        </w:rPr>
        <w:t xml:space="preserve"> has healed you</w:t>
      </w:r>
      <w:r>
        <w:rPr>
          <w:vertAlign w:val="superscript"/>
          <w:lang w:val="en_US" w:bidi="en_US"/>
        </w:rPr>
        <w:t>(sing)</w:t>
      </w:r>
      <w:r>
        <w:rPr>
          <w:lang w:val="en_US" w:bidi="en_US"/>
        </w:rPr>
        <w:t xml:space="preserve"> because you believed </w:t>
      </w:r>
      <w:r>
        <w:rPr>
          <w:lang w:val="en_US" w:bidi="en_US"/>
        </w:rPr>
        <w:t>in me</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well because you trusted </w:t>
      </w:r>
      <w:r>
        <w:rPr>
          <w:lang w:val="en_US" w:bidi="en_US"/>
        </w:rPr>
        <w:t>God/me</w:t>
      </w:r>
      <w:r>
        <w:rPr>
          <w:lang w:val="en_US" w:bidi="en_US"/>
        </w:rPr>
        <w:t>.”</w:t>
      </w:r>
    </w:p>
    <w:p>
      <w:pPr/>
      <w:r>
        <w:rPr>
          <w:lang w:val="en_US" w:bidi="en_US"/>
        </w:rPr>
      </w:r>
      <w:r>
        <w:rPr>
          <w:b/>
          <w:lang w:val="en_US" w:bidi="en_US"/>
        </w:rPr>
        <w:t>your faith has made you well:</w:t>
      </w:r>
      <w:r>
        <w:rPr>
          <w:lang w:val="en_US" w:bidi="en_US"/>
        </w:rPr>
        <w:t xml:space="preserve"> The noun </w:t>
      </w:r>
      <w:r>
        <w:rPr>
          <w:i/>
          <w:lang w:val="en_US" w:bidi="en_US"/>
        </w:rPr>
        <w:t>faith</w:t>
      </w:r>
      <w:r>
        <w:rPr>
          <w:lang w:val="en_US" w:bidi="en_US"/>
        </w:rPr>
        <w:t xml:space="preserve"> refers here to the action of believing and trusting Jesus. The statement </w:t>
      </w:r>
      <w:r>
        <w:rPr>
          <w:i/>
          <w:lang w:val="en_US" w:bidi="en_US"/>
        </w:rPr>
        <w:t>your faith has made you well</w:t>
      </w:r>
      <w:r>
        <w:rPr>
          <w:lang w:val="en_US" w:bidi="en_US"/>
        </w:rPr>
        <w:t xml:space="preserve"> implies that the leper believed that Jesus would heal him. In some languages it may be more natural to translate </w:t>
      </w:r>
      <w:r>
        <w:rPr>
          <w:i/>
          <w:lang w:val="en_US" w:bidi="en_US"/>
        </w:rPr>
        <w:t>faith</w:t>
      </w:r>
      <w:r>
        <w:rPr>
          <w:lang w:val="en_US" w:bidi="en_US"/>
        </w:rPr>
        <w:t xml:space="preserve"> as a verb. If that is true in your language, you may also need to make explicit who or what was believed. Some ways to translate this are:</w:t>
      </w:r>
    </w:p>
    <w:p>
      <w:pPr/>
      <w:r>
        <w:rPr>
          <w:lang w:val="en_US" w:bidi="en_US"/>
        </w:rPr>
      </w:r>
      <w:r>
        <w:rPr>
          <w:lang w:val="en_US" w:bidi="en_US"/>
        </w:rPr>
        <w:t>You</w:t>
      </w:r>
      <w:r>
        <w:rPr>
          <w:vertAlign w:val="superscript"/>
          <w:lang w:val="en_US" w:bidi="en_US"/>
        </w:rPr>
        <w:t>(sing)</w:t>
      </w:r>
      <w:r>
        <w:rPr>
          <w:lang w:val="en_US" w:bidi="en_US"/>
        </w:rPr>
        <w:t xml:space="preserve"> trusted </w:t>
      </w:r>
      <w:r>
        <w:rPr>
          <w:lang w:val="en_US" w:bidi="en_US"/>
        </w:rPr>
        <w:t>in God/me</w:t>
      </w:r>
      <w:r>
        <w:rPr>
          <w:lang w:val="en_US" w:bidi="en_US"/>
        </w:rPr>
        <w:t xml:space="preserve"> and that has healed you.</w:t>
      </w:r>
    </w:p>
    <w:p>
      <w:pPr/>
      <w:r>
        <w:rPr>
          <w:lang w:val="en_US" w:bidi="en_US"/>
        </w:rPr>
      </w:r>
      <w:r>
        <w:rPr>
          <w:lang w:val="en_US" w:bidi="en_US"/>
        </w:rPr>
        <w:t xml:space="preserve">You are well because you believed </w:t>
      </w:r>
      <w:r>
        <w:rPr>
          <w:lang w:val="en_US" w:bidi="en_US"/>
        </w:rPr>
        <w:t>that God/I could/would heal you</w:t>
      </w:r>
      <w:r>
        <w:rPr>
          <w:lang w:val="en_US" w:bidi="en_US"/>
        </w:rPr>
        <w:t>.</w:t>
      </w:r>
    </w:p>
    <w:p>
      <w:pPr/>
      <w:r>
        <w:rPr>
          <w:lang w:val="en_US" w:bidi="en_US"/>
        </w:rPr>
      </w:r>
      <w:r>
        <w:rPr>
          <w:lang w:val="en_US" w:bidi="en_US"/>
        </w:rPr>
        <w:t xml:space="preserve">Because you trusted/believed </w:t>
      </w:r>
      <w:r>
        <w:rPr>
          <w:lang w:val="en_US" w:bidi="en_US"/>
        </w:rPr>
        <w:t>in me</w:t>
      </w:r>
      <w:r>
        <w:rPr>
          <w:lang w:val="en_US" w:bidi="en_US"/>
        </w:rPr>
        <w:t xml:space="preserve">, </w:t>
      </w:r>
      <w:r>
        <w:rPr>
          <w:lang w:val="en_US" w:bidi="en_US"/>
        </w:rPr>
        <w:t>God</w:t>
      </w:r>
      <w:r>
        <w:rPr>
          <w:lang w:val="en_US" w:bidi="en_US"/>
        </w:rPr>
        <w:t xml:space="preserve"> has cured you.</w:t>
      </w:r>
    </w:p>
    <w:p>
      <w:pPr/>
      <w:r>
        <w:rPr>
          <w:lang w:val="en_US" w:bidi="en_US"/>
        </w:rPr>
      </w:r>
      <w:r>
        <w:rPr>
          <w:lang w:val="en_US" w:bidi="en_US"/>
        </w:rPr>
        <w:t>See also the notes on 8:48a, where the same phrase occurs (there the BSB translates it as “your faith has healed you”). See believe, Meaning 2, in the Glossary.</w:t>
      </w:r>
    </w:p>
    <w:p>
      <w:pPr/>
      <w:r>
        <w:rPr>
          <w:lang w:val="en_US" w:bidi="en_US"/>
        </w:rPr>
      </w:r>
      <w:r>
        <w:rPr>
          <w:b/>
          <w:lang w:val="en_US" w:bidi="en_US"/>
        </w:rPr>
        <w:t>has made you well:</w:t>
      </w:r>
      <w:r>
        <w:rPr>
          <w:lang w:val="en_US" w:bidi="en_US"/>
        </w:rPr>
        <w:t xml:space="preserve"> The Greek phrase that the BSB translates as </w:t>
      </w:r>
      <w:r>
        <w:rPr>
          <w:i/>
          <w:lang w:val="en_US" w:bidi="en_US"/>
        </w:rPr>
        <w:t>has made you well</w:t>
      </w:r>
      <w:r>
        <w:rPr>
          <w:lang w:val="en_US" w:bidi="en_US"/>
        </w:rPr>
        <w:t xml:space="preserve"> is literally “has delivered/saved you.” Here it refers to delivering from sickness.</w:t>
      </w:r>
      <w:r>
        <w:rPr>
          <w:lang w:val="en_US" w:bidi="en_US"/>
        </w:rPr>
        <w:t>Scholars who follow this interpretation include Plummer, Lenski, Meyer, Hendriksen, Bratcher, and Reiling and Swellengrebel.</w:t>
      </w:r>
      <w:r>
        <w:rPr>
          <w:lang w:val="en_US" w:bidi="en_US"/>
        </w:rPr>
        <w:t xml:space="preserve"> It also implies here that he was reconciled with God and so was saved from sin and its punishment.</w:t>
      </w:r>
      <w:r>
        <w:rPr>
          <w:lang w:val="en_US" w:bidi="en_US"/>
        </w:rPr>
        <w:t>Scholars who follow this interpretation include Alford, Arndt, Bock, Godet, Gooding, Pate, Stein, Evans, Geldenhuys, Green, Marshall, and Nolland.</w:t>
      </w:r>
      <w:r>
        <w:rPr>
          <w:lang w:val="en_US" w:bidi="en_US"/>
        </w:rPr>
        <w:t xml:space="preserve"> The other nine lepers were healed of their sickness, but the leper who returned to Jesus received eternal salvation.</w:t>
      </w:r>
    </w:p>
    <w:p>
      <w:pPr/>
      <w:r>
        <w:rPr>
          <w:lang w:val="en_US" w:bidi="en_US"/>
        </w:rPr>
      </w:r>
      <w:r>
        <w:rPr>
          <w:lang w:val="en_US" w:bidi="en_US"/>
        </w:rPr>
        <w:t>If possible, it is good to translate in a general way so that both meanings may be implied. Some ways to translate it in English are:</w:t>
      </w:r>
    </w:p>
    <w:p>
      <w:pPr/>
      <w:r>
        <w:rPr>
          <w:lang w:val="en_US" w:bidi="en_US"/>
        </w:rPr>
      </w:r>
      <w:r>
        <w:rPr>
          <w:lang w:val="en_US" w:bidi="en_US"/>
        </w:rPr>
        <w:t>has delivered you</w:t>
      </w:r>
    </w:p>
    <w:p>
      <w:pPr/>
      <w:r>
        <w:rPr>
          <w:lang w:val="en_US" w:bidi="en_US"/>
        </w:rPr>
      </w:r>
      <w:r>
        <w:rPr>
          <w:lang w:val="en_US" w:bidi="en_US"/>
        </w:rPr>
        <w:t>has healed/cured you</w:t>
      </w:r>
    </w:p>
    <w:p>
      <w:pPr/>
      <w:r>
        <w:rPr>
          <w:lang w:val="en_US" w:bidi="en_US"/>
        </w:rPr>
      </w:r>
      <w:r>
        <w:rPr>
          <w:lang w:val="en_US" w:bidi="en_US"/>
        </w:rPr>
        <w:t>See save in the Glossary.</w:t>
      </w:r>
      <w:r>
        <w:rPr>
          <w:lang w:val="en_US" w:bidi="en_US"/>
        </w:rPr>
      </w:r>
      <w:r>
        <w:rPr>
          <w:lang w:val="en_US" w:bidi="en_US"/>
        </w:rPr>
      </w:r>
    </w:p>
    <w:p>
      <w:pPr/>
      <w:r>
        <w:rPr>
          <w:lang w:val="en_US" w:bidi="en_US"/>
        </w:rPr>
      </w:r>
    </w:p>
    <w:p>
      <w:pPr>
        <w:pStyle w:val="Heading2"/>
      </w:pPr>
      <w:r>
        <w:rPr>
          <w:lang w:val="en_US" w:bidi="en_US"/>
        </w:rPr>
        <w:t>Luke 17:20</w:t>
      </w:r>
      <w:r>
        <w:rPr>
          <w:lang w:val="en_US" w:bidi="en_US"/>
        </w:rPr>
      </w:r>
    </w:p>
    <w:p>
      <w:pPr>
        <w:pStyle w:val="Heading4"/>
      </w:pPr>
      <w:r>
        <w:rPr>
          <w:lang w:val="en_US" w:bidi="en_US"/>
        </w:rPr>
        <w:t>Section 17:20–37: Jesus taught about the time when the kingdom of God will come</w:t>
      </w:r>
    </w:p>
    <w:p>
      <w:pPr/>
      <w:r>
        <w:rPr>
          <w:lang w:val="en_US" w:bidi="en_US"/>
        </w:rPr>
      </w:r>
      <w:r>
        <w:rPr>
          <w:lang w:val="en_US" w:bidi="en_US"/>
        </w:rP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pPr/>
      <w:r>
        <w:rPr>
          <w:lang w:val="en_US" w:bidi="en_US"/>
        </w:rPr>
      </w:r>
      <w:r>
        <w:rPr>
          <w:lang w:val="en_US" w:bidi="en_US"/>
        </w:rPr>
        <w:t>Examples of headings for this section are:</w:t>
      </w:r>
    </w:p>
    <w:p>
      <w:pPr/>
      <w:r>
        <w:rPr>
          <w:lang w:val="en_US" w:bidi="en_US"/>
        </w:rPr>
      </w:r>
      <w:r>
        <w:rPr>
          <w:lang w:val="en_US" w:bidi="en_US"/>
        </w:rPr>
        <w:t>Jesus taught about when the Son of Man will come</w:t>
      </w:r>
    </w:p>
    <w:p>
      <w:pPr/>
      <w:r>
        <w:rPr>
          <w:lang w:val="en_US" w:bidi="en_US"/>
        </w:rPr>
      </w:r>
      <w:r>
        <w:rPr>
          <w:lang w:val="en_US" w:bidi="en_US"/>
        </w:rPr>
        <w:t>The coming of the Kingdom of God</w:t>
      </w:r>
    </w:p>
    <w:p>
      <w:pPr/>
      <w:r>
        <w:rPr>
          <w:lang w:val="en_US" w:bidi="en_US"/>
        </w:rPr>
      </w:r>
      <w:r>
        <w:rPr>
          <w:lang w:val="en_US" w:bidi="en_US"/>
        </w:rPr>
        <w:t>Parallel passages are in Matthew 24:17–18, 24:23–28, 24:37–41, and Mark 13:14–16, 13:19–23.</w:t>
      </w:r>
    </w:p>
    <w:p>
      <w:pPr>
        <w:pStyle w:val="Heading5"/>
      </w:pPr>
      <w:r>
        <w:rPr>
          <w:lang w:val="en_US" w:bidi="en_US"/>
        </w:rPr>
        <w:t>17:20a</w:t>
      </w:r>
    </w:p>
    <w:p>
      <w:pPr/>
      <w:r>
        <w:rPr>
          <w:lang w:val="en_US" w:bidi="en_US"/>
        </w:rPr>
      </w:r>
      <w:r>
        <w:rPr>
          <w:b/>
          <w:lang w:val="en_US" w:bidi="en_US"/>
        </w:rPr>
        <w:t>When asked by the Pharisees</w:t>
      </w:r>
    </w:p>
    <w:p>
      <w:pPr>
        <w:pStyle w:val="ListBullet"/>
        <w:spacing w:line="240" w:lineRule="auto"/>
        <w:ind w:left="720"/>
      </w:pPr>
      <w:r>
        <w:rPr>
          <w:lang w:val="en_US" w:bidi="en_US"/>
        </w:rPr>
      </w:r>
      <w:r>
        <w:rPr>
          <w:lang w:val="en_US" w:bidi="en_US"/>
        </w:rPr>
        <w:t>¶ One time the Pharisees asked Jesus</w:t>
      </w:r>
    </w:p>
    <w:p>
      <w:pPr>
        <w:pStyle w:val="ListBullet"/>
        <w:spacing w:line="240" w:lineRule="auto"/>
        <w:ind w:left="720"/>
      </w:pPr>
      <w:r>
        <w:rPr>
          <w:lang w:val="en_US" w:bidi="en_US"/>
        </w:rPr>
      </w:r>
      <w:r>
        <w:rPr>
          <w:lang w:val="en_US" w:bidi="en_US"/>
        </w:rPr>
        <w:t>¶ One day the Pharisees asked Jesus,</w:t>
      </w:r>
    </w:p>
    <w:p>
      <w:pPr>
        <w:pStyle w:val="ListBullet"/>
        <w:spacing w:line="240" w:lineRule="auto"/>
        <w:ind w:left="720"/>
      </w:pPr>
      <w:r>
        <w:rPr>
          <w:lang w:val="en_US" w:bidi="en_US"/>
        </w:rPr>
      </w:r>
      <w:r>
        <w:rPr>
          <w:lang w:val="en_US" w:bidi="en_US"/>
        </w:rPr>
        <w:t>¶ One day some Pharisees asked Jesus,</w:t>
      </w:r>
    </w:p>
    <w:p>
      <w:pPr>
        <w:pStyle w:val="Heading5"/>
      </w:pPr>
      <w:r>
        <w:rPr>
          <w:lang w:val="en_US" w:bidi="en_US"/>
        </w:rPr>
        <w:t>17:20b</w:t>
      </w:r>
    </w:p>
    <w:p>
      <w:pPr/>
      <w:r>
        <w:rPr>
          <w:lang w:val="en_US" w:bidi="en_US"/>
        </w:rPr>
      </w:r>
      <w:r>
        <w:rPr>
          <w:b/>
          <w:lang w:val="en_US" w:bidi="en_US"/>
        </w:rPr>
        <w:t>when the kingdom of God would come,</w:t>
      </w:r>
    </w:p>
    <w:p>
      <w:pPr>
        <w:pStyle w:val="ListBullet"/>
        <w:spacing w:line="240" w:lineRule="auto"/>
        <w:ind w:left="720"/>
      </w:pPr>
      <w:r>
        <w:rPr>
          <w:lang w:val="en_US" w:bidi="en_US"/>
        </w:rPr>
      </w:r>
      <w:r>
        <w:rPr>
          <w:lang w:val="en_US" w:bidi="en_US"/>
        </w:rPr>
        <w:t>when the kingdom of God would arrive/begin.</w:t>
      </w:r>
    </w:p>
    <w:p>
      <w:pPr>
        <w:pStyle w:val="ListBullet"/>
        <w:spacing w:line="240" w:lineRule="auto"/>
        <w:ind w:left="720"/>
      </w:pPr>
      <w:r>
        <w:rPr>
          <w:lang w:val="en_US" w:bidi="en_US"/>
        </w:rPr>
      </w:r>
      <w:r>
        <w:rPr>
          <w:lang w:val="en_US" w:bidi="en_US"/>
        </w:rPr>
        <w:t>“When will God establish his reign/kingdom?”</w:t>
      </w:r>
    </w:p>
    <w:p>
      <w:pPr>
        <w:pStyle w:val="ListBullet"/>
        <w:spacing w:line="240" w:lineRule="auto"/>
        <w:ind w:left="720"/>
      </w:pPr>
      <w:r>
        <w:rPr>
          <w:lang w:val="en_US" w:bidi="en_US"/>
        </w:rPr>
      </w:r>
      <w:r>
        <w:rPr>
          <w:lang w:val="en_US" w:bidi="en_US"/>
        </w:rPr>
        <w:t xml:space="preserve">“When will God begin to rule/reign over </w:t>
      </w:r>
      <w:r>
        <w:rPr>
          <w:lang w:val="en_US" w:bidi="en_US"/>
        </w:rPr>
        <w:t>people</w:t>
      </w:r>
      <w:r>
        <w:rPr>
          <w:lang w:val="en_US" w:bidi="en_US"/>
        </w:rPr>
        <w:t>?”</w:t>
      </w:r>
    </w:p>
    <w:p>
      <w:pPr>
        <w:pStyle w:val="Heading5"/>
      </w:pPr>
      <w:r>
        <w:rPr>
          <w:lang w:val="en_US" w:bidi="en_US"/>
        </w:rPr>
        <w:t>17:20a–b</w:t>
      </w:r>
    </w:p>
    <w:p>
      <w:pPr/>
      <w:r>
        <w:rPr>
          <w:lang w:val="en_US" w:bidi="en_US"/>
        </w:rPr>
      </w:r>
      <w:r>
        <w:rPr>
          <w:b/>
          <w:lang w:val="en_US" w:bidi="en_US"/>
        </w:rPr>
        <w:t>When asked by the Pharisees:</w:t>
      </w:r>
      <w:r>
        <w:rPr>
          <w:lang w:val="en_US" w:bidi="en_US"/>
        </w:rPr>
        <w:t xml:space="preserve"> In this section, Luke introduced a new topic. He told about things that Jesus said to people at a different time from the event in 17:11–19. In Greek Luke introduced this new topic with a common conjunction. In some languages it is natural to use a general time phrase such as </w:t>
      </w:r>
      <w:r>
        <w:rPr>
          <w:i/>
          <w:lang w:val="en_US" w:bidi="en_US"/>
        </w:rPr>
        <w:t>When</w:t>
      </w:r>
      <w:r>
        <w:rPr>
          <w:lang w:val="en_US" w:bidi="en_US"/>
        </w:rPr>
        <w:t xml:space="preserve"> in the BSB. Other ways to translate this are:</w:t>
      </w:r>
    </w:p>
    <w:p>
      <w:pPr/>
      <w:r>
        <w:rPr>
          <w:lang w:val="en_US" w:bidi="en_US"/>
        </w:rPr>
      </w:r>
      <w:r>
        <w:rPr>
          <w:u w:val="single"/>
          <w:lang w:val="en_US" w:bidi="en_US"/>
        </w:rPr>
        <w:t>One day</w:t>
      </w:r>
      <w:r>
        <w:rPr>
          <w:lang w:val="en_US" w:bidi="en_US"/>
        </w:rPr>
        <w:t xml:space="preserve"> the Pharisees asked Jesus (NLT)</w:t>
      </w:r>
    </w:p>
    <w:p>
      <w:pPr/>
      <w:r>
        <w:rPr>
          <w:lang w:val="en_US" w:bidi="en_US"/>
        </w:rPr>
      </w:r>
      <w:r>
        <w:rPr>
          <w:u w:val="single"/>
          <w:lang w:val="en_US" w:bidi="en_US"/>
        </w:rPr>
        <w:t>Later</w:t>
      </w:r>
      <w:r>
        <w:rPr>
          <w:lang w:val="en_US" w:bidi="en_US"/>
        </w:rPr>
        <w:t>, he was asked by the Pharisees (JBP)</w:t>
      </w:r>
    </w:p>
    <w:p>
      <w:pPr/>
      <w:r>
        <w:rPr>
          <w:lang w:val="en_US" w:bidi="en_US"/>
        </w:rPr>
      </w:r>
      <w:r>
        <w:rPr>
          <w:lang w:val="en_US" w:bidi="en_US"/>
        </w:rPr>
        <w:t>In some languages a conjunction or time phrase is not necessary. For example:</w:t>
      </w:r>
    </w:p>
    <w:p>
      <w:pPr/>
      <w:r>
        <w:rPr>
          <w:lang w:val="en_US" w:bidi="en_US"/>
        </w:rPr>
      </w:r>
      <w:r>
        <w:rPr>
          <w:lang w:val="en_US" w:bidi="en_US"/>
        </w:rPr>
        <w:t>Some Pharisees asked Jesus (GNT)</w:t>
      </w:r>
    </w:p>
    <w:p>
      <w:pPr/>
      <w:r>
        <w:rPr>
          <w:lang w:val="en_US" w:bidi="en_US"/>
        </w:rPr>
      </w:r>
      <w:r>
        <w:rPr>
          <w:lang w:val="en_US" w:bidi="en_US"/>
        </w:rPr>
        <w:t>Being asked by the Pharisees (RSV)</w:t>
      </w:r>
    </w:p>
    <w:p>
      <w:pPr/>
      <w:r>
        <w:rPr>
          <w:lang w:val="en_US" w:bidi="en_US"/>
        </w:rPr>
      </w:r>
      <w:r>
        <w:rPr>
          <w:lang w:val="en_US" w:bidi="en_US"/>
        </w:rPr>
        <w:t>Introduce this new topic in a way that is natural in your language.</w:t>
      </w:r>
    </w:p>
    <w:p>
      <w:pPr/>
      <w:r>
        <w:rPr>
          <w:lang w:val="en_US" w:bidi="en_US"/>
        </w:rPr>
      </w:r>
      <w:r>
        <w:rPr>
          <w:b/>
          <w:lang w:val="en_US" w:bidi="en_US"/>
        </w:rPr>
        <w:t>asked by the Pharisees:</w:t>
      </w:r>
      <w:r>
        <w:rPr>
          <w:lang w:val="en_US" w:bidi="en_US"/>
        </w:rPr>
        <w:t xml:space="preserve"> This is a passive clause. Here are some ways to translate this:</w:t>
      </w:r>
    </w:p>
    <w:p>
      <w:pPr>
        <w:pStyle w:val="ListBullet"/>
        <w:spacing w:line="240" w:lineRule="auto"/>
        <w:ind w:left="720"/>
      </w:pPr>
      <w:r>
        <w:rPr>
          <w:lang w:val="en_US" w:bidi="en_US"/>
        </w:rPr>
      </w:r>
      <w:r>
        <w:rPr>
          <w:lang w:val="en_US" w:bidi="en_US"/>
        </w:rPr>
        <w:t>Translate it as passive. For example:</w:t>
      </w:r>
      <w:r>
        <w:rPr>
          <w:lang w:val="en_US" w:bidi="en_US"/>
        </w:rPr>
        <w:t>having been asked by the Pharisees (NIV)</w:t>
      </w:r>
    </w:p>
    <w:p>
      <w:pPr>
        <w:pStyle w:val="ListBullet"/>
        <w:spacing w:line="240" w:lineRule="auto"/>
        <w:ind w:left="720"/>
      </w:pPr>
      <w:r>
        <w:rPr>
          <w:lang w:val="en_US" w:bidi="en_US"/>
        </w:rPr>
      </w:r>
      <w:r>
        <w:rPr>
          <w:lang w:val="en_US" w:bidi="en_US"/>
        </w:rPr>
        <w:t>Translate it as active. For example:</w:t>
      </w:r>
      <w:r>
        <w:rPr>
          <w:lang w:val="en_US" w:bidi="en_US"/>
        </w:rPr>
        <w:t>the Pharisees asked Jesus (NLT)</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a Jewish religious group or party. It was very important to them to obey all of the Jewish religious laws very carefully and in detail. Here are some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according to the sounds of your language and indicate that it refers to people. For example:</w:t>
      </w:r>
      <w:r>
        <w:rPr>
          <w:lang w:val="en_US" w:bidi="en_US"/>
        </w:rPr>
        <w:t>Farisi members/people</w:t>
      </w:r>
      <w:r>
        <w:rPr>
          <w:lang w:val="en_US" w:bidi="en_US"/>
        </w:rPr>
        <w:t>Parise adherents</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Farise religious sect/group</w:t>
      </w:r>
      <w:r>
        <w:rPr>
          <w:lang w:val="en_US" w:bidi="en_US"/>
        </w:rPr>
        <w:t>members/people of the religious group called the Farasi</w:t>
      </w:r>
    </w:p>
    <w:p>
      <w:pPr/>
      <w:r>
        <w:rPr>
          <w:lang w:val="en_US" w:bidi="en_US"/>
        </w:rPr>
      </w:r>
      <w:r>
        <w:rPr>
          <w:lang w:val="en_US" w:bidi="en_US"/>
        </w:rPr>
        <w:t>See also “Pharisee,” sense A, in KBT. You may also want to include an explanation of “Pharisee” in the glossary of your translation.</w:t>
      </w:r>
    </w:p>
    <w:p>
      <w:pPr/>
      <w:r>
        <w:rPr>
          <w:lang w:val="en_US" w:bidi="en_US"/>
        </w:rPr>
      </w:r>
      <w:r>
        <w:rPr>
          <w:b/>
          <w:lang w:val="en_US" w:bidi="en_US"/>
        </w:rPr>
        <w:t>asked by the Pharisees when the kingdom of God would come:</w:t>
      </w:r>
      <w:r>
        <w:rPr>
          <w:lang w:val="en_US" w:bidi="en_US"/>
        </w:rPr>
        <w:t xml:space="preserve"> Here the Pharisees were asking when God would establish his reign. They referred to the future time when God will rule over people as their king. They expected that he would send the Messiah to conquer their enemies and rule with God’s authority.</w:t>
      </w:r>
    </w:p>
    <w:p>
      <w:pPr/>
      <w:r>
        <w:rPr>
          <w:lang w:val="en_US" w:bidi="en_US"/>
        </w:rPr>
      </w:r>
      <w:r>
        <w:rPr>
          <w:lang w:val="en_US" w:bidi="en_US"/>
        </w:rPr>
        <w:t>This clause is similar to “Your kingdom come” in 11:2. Some ways to translate it are:</w:t>
      </w:r>
    </w:p>
    <w:p>
      <w:pPr/>
      <w:r>
        <w:rPr>
          <w:lang w:val="en_US" w:bidi="en_US"/>
        </w:rPr>
      </w:r>
      <w:r>
        <w:rPr>
          <w:lang w:val="en_US" w:bidi="en_US"/>
        </w:rPr>
        <w:t xml:space="preserve">the Pharisees asked </w:t>
      </w:r>
      <w:r>
        <w:rPr>
          <w:lang w:val="en_US" w:bidi="en_US"/>
        </w:rPr>
        <w:t>Jesus</w:t>
      </w:r>
      <w:r>
        <w:rPr>
          <w:lang w:val="en_US" w:bidi="en_US"/>
        </w:rPr>
        <w:t xml:space="preserve"> when God would establish his reign</w:t>
      </w:r>
    </w:p>
    <w:p>
      <w:pPr/>
      <w:r>
        <w:rPr>
          <w:lang w:val="en_US" w:bidi="en_US"/>
        </w:rPr>
      </w:r>
      <w:r>
        <w:rPr>
          <w:lang w:val="en_US" w:bidi="en_US"/>
        </w:rPr>
        <w:t xml:space="preserve">the Pharisees asked </w:t>
      </w:r>
      <w:r>
        <w:rPr>
          <w:lang w:val="en_US" w:bidi="en_US"/>
        </w:rPr>
        <w:t>Jesus</w:t>
      </w:r>
      <w:r>
        <w:rPr>
          <w:lang w:val="en_US" w:bidi="en_US"/>
        </w:rPr>
        <w:t xml:space="preserve"> when God would begin/come to reign </w:t>
      </w:r>
      <w:r>
        <w:rPr>
          <w:lang w:val="en_US" w:bidi="en_US"/>
        </w:rPr>
        <w:t>over all people</w:t>
      </w:r>
    </w:p>
    <w:p>
      <w:pPr/>
      <w:r>
        <w:rPr>
          <w:lang w:val="en_US" w:bidi="en_US"/>
        </w:rPr>
      </w:r>
      <w:r>
        <w:rPr>
          <w:lang w:val="en_US" w:bidi="en_US"/>
        </w:rPr>
        <w:t>In some languages it may be more natural to use direct speech here. For example:</w:t>
      </w:r>
    </w:p>
    <w:p>
      <w:pPr/>
      <w:r>
        <w:rPr>
          <w:lang w:val="en_US" w:bidi="en_US"/>
        </w:rPr>
      </w:r>
      <w:r>
        <w:rPr>
          <w:lang w:val="en_US" w:bidi="en_US"/>
        </w:rPr>
        <w:t>…the Pharisees asked Jesus, “When will the Kingdom of God come?” (NLT)</w:t>
      </w:r>
    </w:p>
    <w:p>
      <w:pPr/>
      <w:r>
        <w:rPr>
          <w:lang w:val="en_US" w:bidi="en_US"/>
        </w:rPr>
      </w:r>
      <w:r>
        <w:rPr>
          <w:lang w:val="en_US" w:bidi="en_US"/>
        </w:rPr>
        <w:t>For more information, see kingdom of God, Context 3 in the Glossary.</w:t>
      </w:r>
    </w:p>
    <w:p>
      <w:pPr/>
      <w:r>
        <w:rPr>
          <w:lang w:val="en_US" w:bidi="en_US"/>
        </w:rPr>
      </w:r>
      <w:r>
        <w:rPr>
          <w:b/>
          <w:lang w:val="en_US" w:bidi="en_US"/>
        </w:rPr>
        <w:t>the kingdom of God:</w:t>
      </w:r>
      <w:r>
        <w:rPr>
          <w:lang w:val="en_US" w:bidi="en_US"/>
        </w:rPr>
        <w:t xml:space="preserve"> In this context the phrase </w:t>
      </w:r>
      <w:r>
        <w:rPr>
          <w:i/>
          <w:lang w:val="en_US" w:bidi="en_US"/>
        </w:rPr>
        <w:t>kingdom of God</w:t>
      </w:r>
      <w:r>
        <w:rPr>
          <w:lang w:val="en_US" w:bidi="en_US"/>
        </w:rPr>
        <w:t xml:space="preserve"> refers to God’s activity of ruling and caring for his people as their king. It does not refer here to a land or country that he rules over.</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As a noun. For example:</w:t>
      </w:r>
      <w:r>
        <w:rPr>
          <w:lang w:val="en_US" w:bidi="en_US"/>
        </w:rPr>
        <w:t>God’s rule/reign</w:t>
      </w:r>
      <w:r>
        <w:rPr>
          <w:lang w:val="en_US" w:bidi="en_US"/>
        </w:rPr>
        <w:t>God’s kingship</w:t>
      </w:r>
      <w:r>
        <w:rPr>
          <w:lang w:val="en_US" w:bidi="en_US"/>
        </w:rPr>
        <w:t>God’s chieftaincy</w:t>
      </w:r>
      <w:r>
        <w:rPr>
          <w:lang w:val="en_US" w:bidi="en_US"/>
        </w:rPr>
        <w:t>God’s government</w:t>
      </w:r>
    </w:p>
    <w:p>
      <w:pPr>
        <w:pStyle w:val="ListBullet"/>
        <w:spacing w:line="240" w:lineRule="auto"/>
        <w:ind w:left="720"/>
      </w:pPr>
      <w:r>
        <w:rPr>
          <w:lang w:val="en_US" w:bidi="en_US"/>
        </w:rPr>
      </w:r>
      <w:r>
        <w:rPr>
          <w:lang w:val="en_US" w:bidi="en_US"/>
        </w:rPr>
        <w:t>As a verbal expression:</w:t>
      </w:r>
      <w:r>
        <w:rPr>
          <w:lang w:val="en_US" w:bidi="en_US"/>
        </w:rPr>
        <w:t>the time for God to rule his people</w:t>
      </w:r>
      <w:r>
        <w:rPr>
          <w:lang w:val="en_US" w:bidi="en_US"/>
        </w:rPr>
        <w:t>the time for God to care for his people as king</w:t>
      </w:r>
    </w:p>
    <w:p>
      <w:pPr>
        <w:pStyle w:val="Heading5"/>
      </w:pPr>
      <w:r>
        <w:rPr>
          <w:lang w:val="en_US" w:bidi="en_US"/>
        </w:rPr>
        <w:t>17:20c</w:t>
      </w:r>
    </w:p>
    <w:p>
      <w:pPr/>
      <w:r>
        <w:rPr>
          <w:lang w:val="en_US" w:bidi="en_US"/>
        </w:rPr>
      </w:r>
      <w:r>
        <w:rPr>
          <w:b/>
          <w:lang w:val="en_US" w:bidi="en_US"/>
        </w:rPr>
        <w:t>Jesus replied,</w:t>
      </w:r>
    </w:p>
    <w:p>
      <w:pPr>
        <w:pStyle w:val="ListBullet"/>
        <w:spacing w:line="240" w:lineRule="auto"/>
        <w:ind w:left="720"/>
      </w:pPr>
      <w:r>
        <w:rPr>
          <w:lang w:val="en_US" w:bidi="en_US"/>
        </w:rPr>
      </w:r>
      <w:r>
        <w:rPr>
          <w:lang w:val="en_US" w:bidi="en_US"/>
        </w:rPr>
        <w:t>Jesus answered,</w:t>
      </w:r>
    </w:p>
    <w:p>
      <w:pPr>
        <w:pStyle w:val="ListBullet"/>
        <w:spacing w:line="240" w:lineRule="auto"/>
        <w:ind w:left="720"/>
      </w:pPr>
      <w:r>
        <w:rPr>
          <w:lang w:val="en_US" w:bidi="en_US"/>
        </w:rPr>
      </w:r>
      <w:r>
        <w:rPr>
          <w:lang w:val="en_US" w:bidi="en_US"/>
        </w:rPr>
        <w:t>Jesus said to them,</w:t>
      </w:r>
    </w:p>
    <w:p>
      <w:pPr>
        <w:pStyle w:val="Heading5"/>
      </w:pPr>
      <w:r>
        <w:rPr>
          <w:lang w:val="en_US" w:bidi="en_US"/>
        </w:rPr>
        <w:t>17:20d</w:t>
      </w:r>
    </w:p>
    <w:p>
      <w:pPr/>
      <w:r>
        <w:rPr>
          <w:lang w:val="en_US" w:bidi="en_US"/>
        </w:rPr>
      </w:r>
      <w:r>
        <w:rPr>
          <w:b/>
          <w:lang w:val="en_US" w:bidi="en_US"/>
        </w:rPr>
        <w:t>“The kingdom of God will not come with observable signs.</w:t>
      </w:r>
    </w:p>
    <w:p>
      <w:pPr>
        <w:pStyle w:val="ListBullet"/>
        <w:spacing w:line="240" w:lineRule="auto"/>
        <w:ind w:left="720"/>
      </w:pPr>
      <w:r>
        <w:rPr>
          <w:lang w:val="en_US" w:bidi="en_US"/>
        </w:rPr>
      </w:r>
      <w:r>
        <w:rPr>
          <w:lang w:val="en_US" w:bidi="en_US"/>
        </w:rPr>
        <w:t>“The kingdom of God does not come in a way that you</w:t>
      </w:r>
      <w:r>
        <w:rPr>
          <w:vertAlign w:val="superscript"/>
          <w:lang w:val="en_US" w:bidi="en_US"/>
        </w:rPr>
        <w:t>(plur)</w:t>
      </w:r>
      <w:r>
        <w:rPr>
          <w:lang w:val="en_US" w:bidi="en_US"/>
        </w:rPr>
        <w:t xml:space="preserve"> </w:t>
      </w:r>
      <w:r>
        <w:rPr>
          <w:lang w:val="en_US" w:bidi="en_US"/>
        </w:rPr>
        <w:t>will recognize</w:t>
      </w:r>
      <w:r>
        <w:rPr>
          <w:lang w:val="en_US" w:bidi="en_US"/>
        </w:rPr>
        <w:t xml:space="preserve"> by watching for it.</w:t>
      </w:r>
    </w:p>
    <w:p>
      <w:pPr>
        <w:pStyle w:val="ListBullet"/>
        <w:spacing w:line="240" w:lineRule="auto"/>
        <w:ind w:left="720"/>
      </w:pPr>
      <w:r>
        <w:rPr>
          <w:lang w:val="en_US" w:bidi="en_US"/>
        </w:rPr>
      </w:r>
      <w:r>
        <w:rPr>
          <w:lang w:val="en_US" w:bidi="en_US"/>
        </w:rPr>
        <w:t>“God establishes his reign/rule in a way that you</w:t>
      </w:r>
      <w:r>
        <w:rPr>
          <w:vertAlign w:val="superscript"/>
          <w:lang w:val="en_US" w:bidi="en_US"/>
        </w:rPr>
        <w:t>(plur)</w:t>
      </w:r>
      <w:r>
        <w:rPr>
          <w:lang w:val="en_US" w:bidi="en_US"/>
        </w:rPr>
        <w:t xml:space="preserve"> cannot </w:t>
      </w:r>
      <w:r>
        <w:rPr>
          <w:lang w:val="en_US" w:bidi="en_US"/>
        </w:rPr>
        <w:t>perceive</w:t>
      </w:r>
      <w:r>
        <w:rPr>
          <w:lang w:val="en_US" w:bidi="en_US"/>
        </w:rPr>
        <w:t xml:space="preserve"> by what you see/observe.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cannot </w:t>
      </w:r>
      <w:r>
        <w:rPr>
          <w:lang w:val="en_US" w:bidi="en_US"/>
        </w:rPr>
        <w:t>know</w:t>
      </w:r>
      <w:r>
        <w:rPr>
          <w:lang w:val="en_US" w:bidi="en_US"/>
        </w:rPr>
        <w:t xml:space="preserve"> </w:t>
      </w:r>
      <w:r>
        <w:rPr>
          <w:lang w:val="en_US" w:bidi="en_US"/>
        </w:rPr>
        <w:t>the time when</w:t>
      </w:r>
      <w:r>
        <w:rPr>
          <w:lang w:val="en_US" w:bidi="en_US"/>
        </w:rPr>
        <w:t xml:space="preserve"> God begins to rule/reign over </w:t>
      </w:r>
      <w:r>
        <w:rPr>
          <w:lang w:val="en_US" w:bidi="en_US"/>
        </w:rPr>
        <w:t>people</w:t>
      </w:r>
      <w:r>
        <w:rPr>
          <w:lang w:val="en_US" w:bidi="en_US"/>
        </w:rPr>
        <w:t xml:space="preserve"> by watching carefully,</w:t>
      </w:r>
    </w:p>
    <w:p>
      <w:pPr>
        <w:pStyle w:val="Heading5"/>
      </w:pPr>
      <w:r>
        <w:rPr>
          <w:lang w:val="en_US" w:bidi="en_US"/>
        </w:rPr>
        <w:t>17:20c–d</w:t>
      </w:r>
    </w:p>
    <w:p>
      <w:pPr/>
      <w:r>
        <w:rPr>
          <w:lang w:val="en_US" w:bidi="en_US"/>
        </w:rPr>
      </w:r>
      <w:r>
        <w:rPr>
          <w:b/>
          <w:lang w:val="en_US" w:bidi="en_US"/>
        </w:rPr>
        <w:t>Jesus replied, “The kingdom of God will not come with observable signs…”:</w:t>
      </w:r>
      <w:r>
        <w:rPr>
          <w:lang w:val="en_US" w:bidi="en_US"/>
        </w:rPr>
        <w:t xml:space="preserve"> There are two ways to interpret the Greek clause that the BSB translates as </w:t>
      </w:r>
      <w:r>
        <w:rPr>
          <w:i/>
          <w:lang w:val="en_US" w:bidi="en_US"/>
        </w:rPr>
        <w:t>The kingdom of God will not come with observable signs</w:t>
      </w:r>
      <w:r>
        <w:rPr>
          <w:lang w:val="en_US" w:bidi="en_US"/>
        </w:rPr>
        <w:t>:</w:t>
      </w:r>
    </w:p>
    <w:p>
      <w:pPr>
        <w:pStyle w:val="ListNumber"/>
        <w:numPr>
          <w:ilvl w:val="0"/>
          <w:numId w:val="289"/>
        </w:numPr>
        <w:spacing w:line="240" w:lineRule="auto"/>
        <w:ind w:left="720"/>
      </w:pPr>
      <w:r>
        <w:rPr>
          <w:lang w:val="en_US" w:bidi="en_US"/>
        </w:rPr>
      </w:r>
      <w:r>
        <w:rPr>
          <w:lang w:val="en_US" w:bidi="en_US"/>
        </w:rPr>
        <w:t>It means that people will not be able to observe when God begins to rule people as their king. Here is another way to translate this:</w:t>
      </w:r>
      <w:r>
        <w:rPr>
          <w:lang w:val="en_US" w:bidi="en_US"/>
        </w:rPr>
        <w:t xml:space="preserve">People can’t observe the coming of the kingdom of God. (GW) </w:t>
      </w:r>
      <w:r>
        <w:rPr>
          <w:i/>
          <w:lang w:val="en_US" w:bidi="en_US"/>
        </w:rPr>
        <w:t>(NIV, GW, KJV, REB, CEV, NCV, GNT, NJB)</w:t>
      </w:r>
    </w:p>
    <w:p>
      <w:pPr>
        <w:pStyle w:val="ListNumber"/>
        <w:spacing w:line="240" w:lineRule="auto"/>
        <w:ind w:left="720"/>
      </w:pPr>
      <w:r>
        <w:rPr>
          <w:lang w:val="en_US" w:bidi="en_US"/>
        </w:rPr>
      </w:r>
      <w:r>
        <w:rPr>
          <w:lang w:val="en_US" w:bidi="en_US"/>
        </w:rPr>
        <w:t>It means that people will not see signs or miracles that will show them that God is beginning to rule people as their king. Here is another way to translate this:</w:t>
      </w:r>
      <w:r>
        <w:rPr>
          <w:lang w:val="en_US" w:bidi="en_US"/>
        </w:rPr>
        <w:t xml:space="preserve">The Kingdom of God can’t be detected by visible signs. (NLT) </w:t>
      </w:r>
      <w:r>
        <w:rPr>
          <w:i/>
          <w:lang w:val="en_US" w:bidi="en_US"/>
        </w:rPr>
        <w:t>(BSB, NASB, NET, NLT, ESV)</w:t>
      </w:r>
    </w:p>
    <w:p>
      <w:pPr/>
      <w:r>
        <w:rPr>
          <w:lang w:val="en_US" w:bidi="en_US"/>
        </w:rPr>
      </w:r>
      <w:r>
        <w:rPr>
          <w:lang w:val="en_US" w:bidi="en_US"/>
        </w:rPr>
        <w:t>It is recommended that you follow interpretation (1). The evidence is given in 17:21b: the kingdom of God was already present there (and the Pharisees had not detected it). Some ways to translate this interpretation are:</w:t>
      </w:r>
    </w:p>
    <w:p>
      <w:pPr/>
      <w:r>
        <w:rPr>
          <w:lang w:val="en_US" w:bidi="en_US"/>
        </w:rPr>
      </w:r>
      <w:r>
        <w:rPr>
          <w:lang w:val="en_US" w:bidi="en_US"/>
        </w:rPr>
        <w:t>God’s kingdom is coming, but not in a way that you will be able to see with your eyes. (NCV)</w:t>
      </w:r>
    </w:p>
    <w:p>
      <w:pPr/>
      <w:r>
        <w:rPr>
          <w:lang w:val="en_US" w:bidi="en_US"/>
        </w:rPr>
      </w:r>
      <w:r>
        <w:rPr>
          <w:lang w:val="en_US" w:bidi="en_US"/>
        </w:rPr>
        <w:t>You cannot tell by observation when the kingdom of God comes. (REB)</w:t>
      </w:r>
      <w:r>
        <w:rPr>
          <w:lang w:val="en_US" w:bidi="en_US"/>
        </w:rPr>
      </w:r>
      <w:r>
        <w:rPr>
          <w:lang w:val="en_US" w:bidi="en_US"/>
        </w:rPr>
      </w:r>
    </w:p>
    <w:p>
      <w:pPr/>
      <w:r>
        <w:rPr>
          <w:lang w:val="en_US" w:bidi="en_US"/>
        </w:rPr>
      </w:r>
    </w:p>
    <w:p>
      <w:pPr>
        <w:pStyle w:val="Heading2"/>
      </w:pPr>
      <w:r>
        <w:rPr>
          <w:lang w:val="en_US" w:bidi="en_US"/>
        </w:rPr>
        <w:t>Luke 17:21</w:t>
      </w:r>
      <w:r>
        <w:rPr>
          <w:lang w:val="en_US" w:bidi="en_US"/>
        </w:rPr>
      </w:r>
    </w:p>
    <w:p>
      <w:pPr>
        <w:pStyle w:val="Heading4"/>
      </w:pPr>
      <w:r>
        <w:rPr>
          <w:lang w:val="en_US" w:bidi="en_US"/>
        </w:rPr>
        <w:t>Section 17:20–37: Jesus taught about the time when the kingdom of God will come</w:t>
      </w:r>
    </w:p>
    <w:p>
      <w:pPr/>
      <w:r>
        <w:rPr>
          <w:lang w:val="en_US" w:bidi="en_US"/>
        </w:rPr>
      </w:r>
      <w:r>
        <w:rPr>
          <w:lang w:val="en_US" w:bidi="en_US"/>
        </w:rP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pPr/>
      <w:r>
        <w:rPr>
          <w:lang w:val="en_US" w:bidi="en_US"/>
        </w:rPr>
      </w:r>
      <w:r>
        <w:rPr>
          <w:lang w:val="en_US" w:bidi="en_US"/>
        </w:rPr>
        <w:t>Examples of headings for this section are:</w:t>
      </w:r>
    </w:p>
    <w:p>
      <w:pPr/>
      <w:r>
        <w:rPr>
          <w:lang w:val="en_US" w:bidi="en_US"/>
        </w:rPr>
      </w:r>
      <w:r>
        <w:rPr>
          <w:lang w:val="en_US" w:bidi="en_US"/>
        </w:rPr>
        <w:t>Jesus taught about when the Son of Man will come</w:t>
      </w:r>
    </w:p>
    <w:p>
      <w:pPr/>
      <w:r>
        <w:rPr>
          <w:lang w:val="en_US" w:bidi="en_US"/>
        </w:rPr>
      </w:r>
      <w:r>
        <w:rPr>
          <w:lang w:val="en_US" w:bidi="en_US"/>
        </w:rPr>
        <w:t>The coming of the Kingdom of God</w:t>
      </w:r>
    </w:p>
    <w:p>
      <w:pPr/>
      <w:r>
        <w:rPr>
          <w:lang w:val="en_US" w:bidi="en_US"/>
        </w:rPr>
      </w:r>
      <w:r>
        <w:rPr>
          <w:lang w:val="en_US" w:bidi="en_US"/>
        </w:rPr>
        <w:t>Parallel passages are in Matthew 24:17–18, 24:23–28, 24:37–41, and Mark 13:14–16, 13:19–23.</w:t>
      </w:r>
    </w:p>
    <w:p>
      <w:pPr>
        <w:pStyle w:val="Heading5"/>
      </w:pPr>
      <w:r>
        <w:rPr>
          <w:lang w:val="en_US" w:bidi="en_US"/>
        </w:rPr>
        <w:t>17:21a</w:t>
      </w:r>
    </w:p>
    <w:p>
      <w:pPr/>
      <w:r>
        <w:rPr>
          <w:lang w:val="en_US" w:bidi="en_US"/>
        </w:rPr>
      </w:r>
      <w:r>
        <w:rPr>
          <w:b/>
          <w:lang w:val="en_US" w:bidi="en_US"/>
        </w:rPr>
        <w:t>Nor will people say, ‘Look, here it is,’ or ‘There it is.’</w:t>
      </w:r>
    </w:p>
    <w:p>
      <w:pPr>
        <w:pStyle w:val="ListBullet"/>
        <w:spacing w:line="240" w:lineRule="auto"/>
        <w:ind w:left="720"/>
      </w:pPr>
      <w:r>
        <w:rPr>
          <w:lang w:val="en_US" w:bidi="en_US"/>
        </w:rPr>
      </w:r>
      <w:r>
        <w:rPr>
          <w:lang w:val="en_US" w:bidi="en_US"/>
        </w:rPr>
        <w:t>People will not say, ‘Look</w:t>
      </w:r>
      <w:r>
        <w:rPr>
          <w:vertAlign w:val="superscript"/>
          <w:lang w:val="en_US" w:bidi="en_US"/>
        </w:rPr>
        <w:t>(plur)</w:t>
      </w:r>
      <w:r>
        <w:rPr>
          <w:lang w:val="en_US" w:bidi="en_US"/>
        </w:rPr>
        <w:t>, it is here!’ or ‘</w:t>
      </w:r>
      <w:r>
        <w:rPr>
          <w:lang w:val="en_US" w:bidi="en_US"/>
        </w:rPr>
        <w:t>Look,</w:t>
      </w:r>
      <w:r>
        <w:rPr>
          <w:lang w:val="en_US" w:bidi="en_US"/>
        </w:rPr>
        <w:t xml:space="preserve"> it is there!’</w:t>
      </w:r>
    </w:p>
    <w:p>
      <w:pPr>
        <w:pStyle w:val="ListBullet"/>
        <w:spacing w:line="240" w:lineRule="auto"/>
        <w:ind w:left="720"/>
      </w:pPr>
      <w:r>
        <w:rPr>
          <w:lang w:val="en_US" w:bidi="en_US"/>
        </w:rPr>
      </w:r>
      <w:r>
        <w:rPr>
          <w:lang w:val="en_US" w:bidi="en_US"/>
        </w:rPr>
        <w:t xml:space="preserve">People will not </w:t>
      </w:r>
      <w:r>
        <w:rPr>
          <w:lang w:val="en_US" w:bidi="en_US"/>
        </w:rPr>
        <w:t>be able to</w:t>
      </w:r>
      <w:r>
        <w:rPr>
          <w:lang w:val="en_US" w:bidi="en_US"/>
        </w:rPr>
        <w:t xml:space="preserve"> say </w:t>
      </w:r>
      <w:r>
        <w:rPr>
          <w:lang w:val="en_US" w:bidi="en_US"/>
        </w:rPr>
        <w:t>truthfully</w:t>
      </w:r>
      <w:r>
        <w:rPr>
          <w:lang w:val="en_US" w:bidi="en_US"/>
        </w:rPr>
        <w:t>, ‘Look</w:t>
      </w:r>
      <w:r>
        <w:rPr>
          <w:vertAlign w:val="superscript"/>
          <w:lang w:val="en_US" w:bidi="en_US"/>
        </w:rPr>
        <w:t>(plur)</w:t>
      </w:r>
      <w:r>
        <w:rPr>
          <w:lang w:val="en_US" w:bidi="en_US"/>
        </w:rPr>
        <w:t xml:space="preserve">, it </w:t>
      </w:r>
      <w:r>
        <w:rPr>
          <w:lang w:val="en_US" w:bidi="en_US"/>
        </w:rPr>
        <w:t>is/began</w:t>
      </w:r>
      <w:r>
        <w:rPr>
          <w:lang w:val="en_US" w:bidi="en_US"/>
        </w:rPr>
        <w:t xml:space="preserve"> here,’ or ‘</w:t>
      </w:r>
      <w:r>
        <w:rPr>
          <w:lang w:val="en_US" w:bidi="en_US"/>
        </w:rPr>
        <w:t>It is/began</w:t>
      </w:r>
      <w:r>
        <w:rPr>
          <w:lang w:val="en_US" w:bidi="en_US"/>
        </w:rPr>
        <w:t xml:space="preserve"> over there,’</w:t>
      </w:r>
    </w:p>
    <w:p>
      <w:pPr>
        <w:pStyle w:val="ListBullet"/>
        <w:spacing w:line="240" w:lineRule="auto"/>
        <w:ind w:left="720"/>
      </w:pPr>
      <w:r>
        <w:rPr>
          <w:lang w:val="en_US" w:bidi="en_US"/>
        </w:rPr>
      </w:r>
      <w:r>
        <w:rPr>
          <w:lang w:val="en_US" w:bidi="en_US"/>
        </w:rPr>
        <w:t xml:space="preserve">and no one will be able to point to the place where </w:t>
      </w:r>
      <w:r>
        <w:rPr>
          <w:lang w:val="en_US" w:bidi="en_US"/>
        </w:rPr>
        <w:t>God begins to rule/reign</w:t>
      </w:r>
      <w:r>
        <w:rPr>
          <w:lang w:val="en_US" w:bidi="en_US"/>
        </w:rPr>
        <w:t>.</w:t>
      </w:r>
    </w:p>
    <w:p>
      <w:pPr/>
      <w:r>
        <w:rPr>
          <w:lang w:val="en_US" w:bidi="en_US"/>
        </w:rPr>
      </w:r>
      <w:r>
        <w:rPr>
          <w:b/>
          <w:lang w:val="en_US" w:bidi="en_US"/>
        </w:rPr>
        <w:t>Nor will people say:</w:t>
      </w:r>
      <w:r>
        <w:rPr>
          <w:lang w:val="en_US" w:bidi="en_US"/>
        </w:rPr>
        <w:t xml:space="preserve"> The phrase </w:t>
      </w:r>
      <w:r>
        <w:rPr>
          <w:i/>
          <w:lang w:val="en_US" w:bidi="en_US"/>
        </w:rPr>
        <w:t>Nor will people say</w:t>
      </w:r>
      <w:r>
        <w:rPr>
          <w:lang w:val="en_US" w:bidi="en_US"/>
        </w:rPr>
        <w:t xml:space="preserve"> is a negative statement that is connected to the negative statement in 17:20d. People will not observe the kingdom coming (17:20d), and they will also not speak of it being “here” or “there” (17:21a). Another way to translate the statement is:</w:t>
      </w:r>
    </w:p>
    <w:p>
      <w:pPr/>
      <w:r>
        <w:rPr>
          <w:lang w:val="en_US" w:bidi="en_US"/>
        </w:rPr>
      </w:r>
      <w:r>
        <w:rPr>
          <w:lang w:val="en_US" w:bidi="en_US"/>
        </w:rPr>
        <w:t>also, people will not say</w:t>
      </w:r>
    </w:p>
    <w:p>
      <w:pPr/>
      <w:r>
        <w:rPr>
          <w:lang w:val="en_US" w:bidi="en_US"/>
        </w:rPr>
      </w:r>
      <w:r>
        <w:rPr>
          <w:lang w:val="en_US" w:bidi="en_US"/>
        </w:rPr>
        <w:t>This statement does not literally indicate that no one will say the words in this verse. People may say those things, but they will not be able to say them truthfully. No one will know exactly where the kingdom of God will begin.</w:t>
      </w:r>
    </w:p>
    <w:p>
      <w:pPr/>
      <w:r>
        <w:rPr>
          <w:lang w:val="en_US" w:bidi="en_US"/>
        </w:rPr>
      </w:r>
      <w:r>
        <w:rPr>
          <w:b/>
          <w:lang w:val="en_US" w:bidi="en_US"/>
        </w:rPr>
        <w:t>‘Look, here it is,’ or ‘There it is.’:</w:t>
      </w:r>
      <w:r>
        <w:rPr>
          <w:lang w:val="en_US" w:bidi="en_US"/>
        </w:rPr>
        <w:t xml:space="preserve"> The quotation </w:t>
      </w:r>
      <w:r>
        <w:rPr>
          <w:i/>
          <w:lang w:val="en_US" w:bidi="en_US"/>
        </w:rPr>
        <w:t>‘Look, here it is,’ or ‘There it is’</w:t>
      </w:r>
      <w:r>
        <w:rPr>
          <w:lang w:val="en_US" w:bidi="en_US"/>
        </w:rPr>
        <w:t xml:space="preserve"> is more literally “‘Look, here’ or, ‘there.’” For example:</w:t>
      </w:r>
    </w:p>
    <w:p>
      <w:pPr/>
      <w:r>
        <w:rPr>
          <w:lang w:val="en_US" w:bidi="en_US"/>
        </w:rPr>
      </w:r>
      <w:r>
        <w:rPr>
          <w:lang w:val="en_US" w:bidi="en_US"/>
        </w:rPr>
        <w:t>‘Look, here it is!’ or, ‘There it is!’ (GNT)</w:t>
      </w:r>
    </w:p>
    <w:p>
      <w:pPr/>
      <w:r>
        <w:rPr>
          <w:lang w:val="en_US" w:bidi="en_US"/>
        </w:rPr>
      </w:r>
      <w:r>
        <w:rPr>
          <w:lang w:val="en_US" w:bidi="en_US"/>
        </w:rPr>
        <w:t xml:space="preserve">The Greek word that the BSB translates as </w:t>
      </w:r>
      <w:r>
        <w:rPr>
          <w:i/>
          <w:lang w:val="en_US" w:bidi="en_US"/>
        </w:rPr>
        <w:t>Look</w:t>
      </w:r>
      <w:r>
        <w:rPr>
          <w:lang w:val="en_US" w:bidi="en_US"/>
        </w:rPr>
        <w:t xml:space="preserve"> is the same word that is often translated as “behold.” It is something that people might say if they were pointing to the kingdom of God or to the place where it came or began.</w:t>
      </w:r>
    </w:p>
    <w:p>
      <w:pPr/>
      <w:r>
        <w:rPr>
          <w:lang w:val="en_US" w:bidi="en_US"/>
        </w:rPr>
      </w:r>
      <w:r>
        <w:rPr>
          <w:lang w:val="en_US" w:bidi="en_US"/>
        </w:rPr>
        <w:t xml:space="preserve">The BSB has supplied the word </w:t>
      </w:r>
      <w:r>
        <w:rPr>
          <w:i/>
          <w:lang w:val="en_US" w:bidi="en_US"/>
        </w:rPr>
        <w:t>it</w:t>
      </w:r>
      <w:r>
        <w:rPr>
          <w:lang w:val="en_US" w:bidi="en_US"/>
        </w:rPr>
        <w:t xml:space="preserve"> to refer back to the kingdom of God (17:20). People will not say that the kingdom of God had come </w:t>
      </w:r>
      <w:r>
        <w:rPr>
          <w:i/>
          <w:lang w:val="en_US" w:bidi="en_US"/>
        </w:rPr>
        <w:t>here</w:t>
      </w:r>
      <w:r>
        <w:rPr>
          <w:lang w:val="en_US" w:bidi="en_US"/>
        </w:rPr>
        <w:t xml:space="preserve"> or </w:t>
      </w:r>
      <w:r>
        <w:rPr>
          <w:i/>
          <w:lang w:val="en_US" w:bidi="en_US"/>
        </w:rPr>
        <w:t>There</w:t>
      </w:r>
      <w:r>
        <w:rPr>
          <w:lang w:val="en_US" w:bidi="en_US"/>
        </w:rPr>
        <w:t>. Use a natural way in your language to point out something that is outstanding and significant.</w:t>
      </w:r>
    </w:p>
    <w:p>
      <w:pPr/>
      <w:r>
        <w:rPr>
          <w:lang w:val="en_US" w:bidi="en_US"/>
        </w:rPr>
      </w:r>
      <w:r>
        <w:rPr>
          <w:lang w:val="en_US" w:bidi="en_US"/>
        </w:rPr>
        <w:t>In some languages it may be more natural to use indirect speech and mention the kingdom of God explicitly: For example:</w:t>
      </w:r>
    </w:p>
    <w:p>
      <w:pPr/>
      <w:r>
        <w:rPr>
          <w:lang w:val="en_US" w:bidi="en_US"/>
        </w:rPr>
      </w:r>
      <w:r>
        <w:rPr>
          <w:lang w:val="en_US" w:bidi="en_US"/>
        </w:rPr>
        <w:t>that the kingdom of God is here or it is there</w:t>
      </w:r>
    </w:p>
    <w:p>
      <w:pPr/>
      <w:r>
        <w:rPr>
          <w:lang w:val="en_US" w:bidi="en_US"/>
        </w:rPr>
      </w:r>
      <w:r>
        <w:rPr>
          <w:lang w:val="en_US" w:bidi="en_US"/>
        </w:rPr>
        <w:t>that God has begun his reign here, or there is the place where he has begun his reign</w:t>
      </w:r>
    </w:p>
    <w:p>
      <w:pPr/>
      <w:r>
        <w:rPr>
          <w:lang w:val="en_US" w:bidi="en_US"/>
        </w:rPr>
      </w:r>
      <w:r>
        <w:rPr>
          <w:lang w:val="en_US" w:bidi="en_US"/>
        </w:rPr>
        <w:t xml:space="preserve">In some languages it may be more natural to change the order of </w:t>
      </w:r>
      <w:r>
        <w:rPr>
          <w:i/>
          <w:lang w:val="en_US" w:bidi="en_US"/>
        </w:rPr>
        <w:t>here</w:t>
      </w:r>
      <w:r>
        <w:rPr>
          <w:lang w:val="en_US" w:bidi="en_US"/>
        </w:rPr>
        <w:t xml:space="preserve"> and </w:t>
      </w:r>
      <w:r>
        <w:rPr>
          <w:i/>
          <w:lang w:val="en_US" w:bidi="en_US"/>
        </w:rPr>
        <w:t>There</w:t>
      </w:r>
      <w:r>
        <w:rPr>
          <w:lang w:val="en_US" w:bidi="en_US"/>
        </w:rPr>
        <w:t>. For example:</w:t>
      </w:r>
    </w:p>
    <w:p>
      <w:pPr/>
      <w:r>
        <w:rPr>
          <w:lang w:val="en_US" w:bidi="en_US"/>
        </w:rPr>
      </w:r>
      <w:r>
        <w:rPr>
          <w:lang w:val="en_US" w:bidi="en_US"/>
        </w:rPr>
        <w:t>“Look, there it is!” or “Look, here it is!”</w:t>
      </w:r>
    </w:p>
    <w:p>
      <w:pPr/>
      <w:r>
        <w:rPr>
          <w:lang w:val="en_US" w:bidi="en_US"/>
        </w:rPr>
      </w:r>
      <w:r>
        <w:rPr>
          <w:lang w:val="en_US" w:bidi="en_US"/>
        </w:rPr>
        <w:t>You may use a natural order for these words in your language. A similar use of these words occurs in 17:23, where the order is “there” and “here.” Use a natural order in your language for both verses.</w:t>
      </w:r>
    </w:p>
    <w:p>
      <w:pPr>
        <w:pStyle w:val="Heading5"/>
      </w:pPr>
      <w:r>
        <w:rPr>
          <w:lang w:val="en_US" w:bidi="en_US"/>
        </w:rPr>
        <w:t>17:21b</w:t>
      </w:r>
    </w:p>
    <w:p>
      <w:pPr/>
      <w:r>
        <w:rPr>
          <w:lang w:val="en_US" w:bidi="en_US"/>
        </w:rPr>
      </w:r>
      <w:r>
        <w:rPr>
          <w:b/>
          <w:lang w:val="en_US" w:bidi="en_US"/>
        </w:rPr>
        <w:t>For you see, the kingdom of God is in your midst.”</w:t>
      </w:r>
    </w:p>
    <w:p>
      <w:pPr>
        <w:pStyle w:val="ListBullet"/>
        <w:spacing w:line="240" w:lineRule="auto"/>
        <w:ind w:left="720"/>
      </w:pPr>
      <w:r>
        <w:rPr>
          <w:lang w:val="en_US" w:bidi="en_US"/>
        </w:rPr>
      </w:r>
      <w:r>
        <w:rPr>
          <w:lang w:val="en_US" w:bidi="en_US"/>
        </w:rPr>
        <w:t xml:space="preserve">because look, the kingdom of God is </w:t>
      </w:r>
      <w:r>
        <w:rPr>
          <w:lang w:val="en_US" w:bidi="en_US"/>
        </w:rPr>
        <w:t>already</w:t>
      </w:r>
      <w:r>
        <w:rPr>
          <w:lang w:val="en_US" w:bidi="en_US"/>
        </w:rPr>
        <w:t xml:space="preserve"> here in your</w:t>
      </w:r>
      <w:r>
        <w:rPr>
          <w:vertAlign w:val="superscript"/>
          <w:lang w:val="en_US" w:bidi="en_US"/>
        </w:rPr>
        <w:t>(plur)</w:t>
      </w:r>
      <w:r>
        <w:rPr>
          <w:lang w:val="en_US" w:bidi="en_US"/>
        </w:rPr>
        <w:t xml:space="preserve"> presence.”</w:t>
      </w:r>
    </w:p>
    <w:p>
      <w:pPr>
        <w:pStyle w:val="ListBullet"/>
        <w:spacing w:line="240" w:lineRule="auto"/>
        <w:ind w:left="720"/>
      </w:pPr>
      <w:r>
        <w:rPr>
          <w:lang w:val="en_US" w:bidi="en_US"/>
        </w:rPr>
      </w:r>
      <w:r>
        <w:rPr>
          <w:lang w:val="en_US" w:bidi="en_US"/>
        </w:rPr>
        <w:t xml:space="preserve">because it is </w:t>
      </w:r>
      <w:r>
        <w:rPr>
          <w:lang w:val="en_US" w:bidi="en_US"/>
        </w:rPr>
        <w:t>already</w:t>
      </w:r>
      <w:r>
        <w:rPr>
          <w:lang w:val="en_US" w:bidi="en_US"/>
        </w:rPr>
        <w:t xml:space="preserve"> among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Listen </w:t>
      </w:r>
      <w:r>
        <w:rPr>
          <w:lang w:val="en_US" w:bidi="en_US"/>
        </w:rPr>
        <w:t>to this</w:t>
      </w:r>
      <w:r>
        <w:rPr>
          <w:lang w:val="en_US" w:bidi="en_US"/>
        </w:rPr>
        <w:t xml:space="preserve">! The reason is that God is </w:t>
      </w:r>
      <w:r>
        <w:rPr>
          <w:lang w:val="en_US" w:bidi="en_US"/>
        </w:rPr>
        <w:t>now</w:t>
      </w:r>
      <w:r>
        <w:rPr>
          <w:lang w:val="en_US" w:bidi="en_US"/>
        </w:rPr>
        <w:t xml:space="preserve"> ruling among you</w:t>
      </w:r>
      <w:r>
        <w:rPr>
          <w:vertAlign w:val="superscript"/>
          <w:lang w:val="en_US" w:bidi="en_US"/>
        </w:rPr>
        <w:t>(plur)</w:t>
      </w:r>
      <w:r>
        <w:rPr>
          <w:lang w:val="en_US" w:bidi="en_US"/>
        </w:rPr>
        <w:t>.”</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introduces the reason for what Jesus said in 17:20d–21a. People cannot observe the beginning of the kingdom or say “Here it is,” </w:t>
      </w:r>
      <w:r>
        <w:rPr>
          <w:i/>
          <w:lang w:val="en_US" w:bidi="en_US"/>
        </w:rPr>
        <w:t>For</w:t>
      </w:r>
      <w:r>
        <w:rPr>
          <w:lang w:val="en_US" w:bidi="en_US"/>
        </w:rPr>
        <w:t xml:space="preserve"> the kingdom of God is among them. Express this reason in a natural way in your language.</w:t>
      </w:r>
    </w:p>
    <w:p>
      <w:pPr/>
      <w:r>
        <w:rPr>
          <w:lang w:val="en_US" w:bidi="en_US"/>
        </w:rPr>
      </w:r>
      <w:r>
        <w:rPr>
          <w:lang w:val="en_US" w:bidi="en_US"/>
        </w:rPr>
        <w:t>In Greek this part of the verse begins with a word that many English versions translate as “behold.” The word “behold” calls attention to the following statement. It often indicates that the statement is surprising or unexpected. For example:</w:t>
      </w:r>
    </w:p>
    <w:p>
      <w:pPr/>
      <w:r>
        <w:rPr>
          <w:lang w:val="en_US" w:bidi="en_US"/>
        </w:rPr>
      </w:r>
      <w:r>
        <w:rPr>
          <w:lang w:val="en_US" w:bidi="en_US"/>
        </w:rPr>
        <w:t xml:space="preserve">for </w:t>
      </w:r>
      <w:r>
        <w:rPr>
          <w:u w:val="single"/>
          <w:lang w:val="en_US" w:bidi="en_US"/>
        </w:rPr>
        <w:t>behold</w:t>
      </w:r>
      <w:r>
        <w:rPr>
          <w:lang w:val="en_US" w:bidi="en_US"/>
        </w:rPr>
        <w:t>, the kingdom of God is in the midst of you (RSV)</w:t>
      </w:r>
    </w:p>
    <w:p>
      <w:pPr/>
      <w:r>
        <w:rPr>
          <w:lang w:val="en_US" w:bidi="en_US"/>
        </w:rPr>
      </w:r>
      <w:r>
        <w:rPr>
          <w:lang w:val="en_US" w:bidi="en_US"/>
        </w:rPr>
        <w:t>Consider whether you have a similar way in your language to call attention to this statement.</w:t>
      </w:r>
    </w:p>
    <w:p>
      <w:pPr/>
      <w:r>
        <w:rPr>
          <w:lang w:val="en_US" w:bidi="en_US"/>
        </w:rPr>
      </w:r>
      <w:r>
        <w:rPr>
          <w:b/>
          <w:lang w:val="en_US" w:bidi="en_US"/>
        </w:rPr>
        <w:t>the kingdom of God is in your midst:</w:t>
      </w:r>
      <w:r>
        <w:rPr>
          <w:lang w:val="en_US" w:bidi="en_US"/>
        </w:rPr>
        <w:t xml:space="preserve"> The pronoun </w:t>
      </w:r>
      <w:r>
        <w:rPr>
          <w:i/>
          <w:lang w:val="en_US" w:bidi="en_US"/>
        </w:rPr>
        <w:t>your</w:t>
      </w:r>
      <w:r>
        <w:rPr>
          <w:lang w:val="en_US" w:bidi="en_US"/>
        </w:rPr>
        <w:t xml:space="preserve"> is plural. Scholars have interpreted the Greek phrase that the BSB translates as </w:t>
      </w:r>
      <w:r>
        <w:rPr>
          <w:i/>
          <w:lang w:val="en_US" w:bidi="en_US"/>
        </w:rPr>
        <w:t>the kingdom of God is in your midst</w:t>
      </w:r>
      <w:r>
        <w:rPr>
          <w:lang w:val="en_US" w:bidi="en_US"/>
        </w:rPr>
        <w:t xml:space="preserve"> in two ways:</w:t>
      </w:r>
    </w:p>
    <w:p>
      <w:pPr>
        <w:pStyle w:val="ListNumber"/>
        <w:numPr>
          <w:ilvl w:val="0"/>
          <w:numId w:val="290"/>
        </w:numPr>
        <w:spacing w:line="240" w:lineRule="auto"/>
        <w:ind w:left="720"/>
      </w:pPr>
      <w:r>
        <w:rPr>
          <w:lang w:val="en_US" w:bidi="en_US"/>
        </w:rPr>
      </w:r>
      <w:r>
        <w:rPr>
          <w:lang w:val="en_US" w:bidi="en_US"/>
        </w:rPr>
        <w:t xml:space="preserve">It means that the kingdom of God is </w:t>
      </w:r>
      <w:r>
        <w:rPr>
          <w:u w:val="single"/>
          <w:lang w:val="en_US" w:bidi="en_US"/>
        </w:rPr>
        <w:t>among</w:t>
      </w:r>
      <w:r>
        <w:rPr>
          <w:lang w:val="en_US" w:bidi="en_US"/>
        </w:rPr>
        <w:t xml:space="preserve"> you. It refers to the fact that Jesus, the Messiah King, was with them. Here is another way to translate this:</w:t>
      </w:r>
      <w:r>
        <w:rPr>
          <w:lang w:val="en_US" w:bidi="en_US"/>
        </w:rPr>
        <w:t xml:space="preserve">the kingdom of God is among you (REB) </w:t>
      </w:r>
      <w:r>
        <w:rPr>
          <w:i/>
          <w:lang w:val="en_US" w:bidi="en_US"/>
        </w:rPr>
        <w:t>(BSB, NIV11, REB, RSV, NASB, NET, NLT, CEV)</w:t>
      </w:r>
    </w:p>
    <w:p>
      <w:pPr>
        <w:pStyle w:val="ListNumber"/>
        <w:spacing w:line="240" w:lineRule="auto"/>
        <w:ind w:left="720"/>
      </w:pPr>
      <w:r>
        <w:rPr>
          <w:lang w:val="en_US" w:bidi="en_US"/>
        </w:rPr>
      </w:r>
      <w:r>
        <w:rPr>
          <w:lang w:val="en_US" w:bidi="en_US"/>
        </w:rPr>
        <w:t xml:space="preserve">It means that the kingdom of God is </w:t>
      </w:r>
      <w:r>
        <w:rPr>
          <w:u w:val="single"/>
          <w:lang w:val="en_US" w:bidi="en_US"/>
        </w:rPr>
        <w:t>within</w:t>
      </w:r>
      <w:r>
        <w:rPr>
          <w:lang w:val="en_US" w:bidi="en_US"/>
        </w:rPr>
        <w:t xml:space="preserve"> you, that is, in your hearts and minds. Here is another way to translate this:</w:t>
      </w:r>
      <w:r>
        <w:rPr>
          <w:lang w:val="en_US" w:bidi="en_US"/>
        </w:rPr>
        <w:t xml:space="preserve">the Kingdom of God is within you (GNT) </w:t>
      </w:r>
      <w:r>
        <w:rPr>
          <w:i/>
          <w:lang w:val="en_US" w:bidi="en_US"/>
        </w:rPr>
        <w:t>(GNT, NIV, KJV, GW, NCV)</w:t>
      </w:r>
    </w:p>
    <w:p>
      <w:pPr/>
      <w:r>
        <w:rPr>
          <w:lang w:val="en_US" w:bidi="en_US"/>
        </w:rPr>
      </w:r>
      <w:r>
        <w:rPr>
          <w:lang w:val="en_US" w:bidi="en_US"/>
        </w:rPr>
        <w:t>It is recommended that you follow interpretation (1). This is the view of the majority of commentators.</w:t>
      </w:r>
      <w:r>
        <w:rPr>
          <w:lang w:val="en_US" w:bidi="en_US"/>
        </w:rPr>
        <w:t>See, for example, Marshall, Morris, Geldenhuys, Stein, Bock, Plummer, Alford, Leaney, Liefeld, Meyer, Reiling and Swellengrebel.</w:t>
      </w:r>
      <w:r>
        <w:rPr>
          <w:lang w:val="en_US" w:bidi="en_US"/>
        </w:rPr>
        <w:t xml:space="preserve"> God was already ruling and caring for his people through Jesus. He was already defeating Satan by curing sick people and forgiving sinful people. For more information, see kingdom of God, Context 3 in the Glossary.</w:t>
      </w:r>
      <w:r>
        <w:rPr>
          <w:lang w:val="en_US" w:bidi="en_US"/>
        </w:rPr>
      </w:r>
      <w:r>
        <w:rPr>
          <w:lang w:val="en_US" w:bidi="en_US"/>
        </w:rPr>
      </w:r>
    </w:p>
    <w:p>
      <w:pPr/>
      <w:r>
        <w:rPr>
          <w:lang w:val="en_US" w:bidi="en_US"/>
        </w:rPr>
      </w:r>
    </w:p>
    <w:p>
      <w:pPr>
        <w:pStyle w:val="Heading2"/>
      </w:pPr>
      <w:r>
        <w:rPr>
          <w:lang w:val="en_US" w:bidi="en_US"/>
        </w:rPr>
        <w:t>Luke 17:22</w:t>
      </w:r>
      <w:r>
        <w:rPr>
          <w:lang w:val="en_US" w:bidi="en_US"/>
        </w:rPr>
      </w:r>
    </w:p>
    <w:p>
      <w:pPr>
        <w:pStyle w:val="Heading4"/>
      </w:pPr>
      <w:r>
        <w:rPr>
          <w:lang w:val="en_US" w:bidi="en_US"/>
        </w:rPr>
        <w:t>Section 17:20–37: Jesus taught about the time when the kingdom of God will come</w:t>
      </w:r>
    </w:p>
    <w:p>
      <w:pPr/>
      <w:r>
        <w:rPr>
          <w:lang w:val="en_US" w:bidi="en_US"/>
        </w:rPr>
      </w:r>
      <w:r>
        <w:rPr>
          <w:lang w:val="en_US" w:bidi="en_US"/>
        </w:rP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pPr/>
      <w:r>
        <w:rPr>
          <w:lang w:val="en_US" w:bidi="en_US"/>
        </w:rPr>
      </w:r>
      <w:r>
        <w:rPr>
          <w:lang w:val="en_US" w:bidi="en_US"/>
        </w:rPr>
        <w:t>Examples of headings for this section are:</w:t>
      </w:r>
    </w:p>
    <w:p>
      <w:pPr/>
      <w:r>
        <w:rPr>
          <w:lang w:val="en_US" w:bidi="en_US"/>
        </w:rPr>
      </w:r>
      <w:r>
        <w:rPr>
          <w:lang w:val="en_US" w:bidi="en_US"/>
        </w:rPr>
        <w:t>Jesus taught about when the Son of Man will come</w:t>
      </w:r>
    </w:p>
    <w:p>
      <w:pPr/>
      <w:r>
        <w:rPr>
          <w:lang w:val="en_US" w:bidi="en_US"/>
        </w:rPr>
      </w:r>
      <w:r>
        <w:rPr>
          <w:lang w:val="en_US" w:bidi="en_US"/>
        </w:rPr>
        <w:t>The coming of the Kingdom of God</w:t>
      </w:r>
    </w:p>
    <w:p>
      <w:pPr/>
      <w:r>
        <w:rPr>
          <w:lang w:val="en_US" w:bidi="en_US"/>
        </w:rPr>
      </w:r>
      <w:r>
        <w:rPr>
          <w:lang w:val="en_US" w:bidi="en_US"/>
        </w:rPr>
        <w:t>Parallel passages are in Matthew 24:17–18, 24:23–28, 24:37–41, and Mark 13:14–16, 13:19–23.</w:t>
      </w:r>
    </w:p>
    <w:p>
      <w:pPr>
        <w:pStyle w:val="Heading5"/>
      </w:pPr>
      <w:r>
        <w:rPr>
          <w:lang w:val="en_US" w:bidi="en_US"/>
        </w:rPr>
        <w:t>17:22a</w:t>
      </w:r>
    </w:p>
    <w:p>
      <w:pPr/>
      <w:r>
        <w:rPr>
          <w:lang w:val="en_US" w:bidi="en_US"/>
        </w:rPr>
      </w:r>
      <w:r>
        <w:rPr>
          <w:b/>
          <w:lang w:val="en_US" w:bidi="en_US"/>
        </w:rPr>
        <w:t>Then He said to the disciples, “The time is coming</w:t>
      </w:r>
    </w:p>
    <w:p>
      <w:pPr>
        <w:pStyle w:val="ListBullet"/>
        <w:spacing w:line="240" w:lineRule="auto"/>
        <w:ind w:left="720"/>
      </w:pPr>
      <w:r>
        <w:rPr>
          <w:lang w:val="en_US" w:bidi="en_US"/>
        </w:rPr>
      </w:r>
      <w:r>
        <w:rPr>
          <w:lang w:val="en_US" w:bidi="en_US"/>
        </w:rPr>
        <w:t>¶ Then Jesus said to his disciples, “In the future</w:t>
      </w:r>
    </w:p>
    <w:p>
      <w:pPr>
        <w:pStyle w:val="ListBullet"/>
        <w:spacing w:line="240" w:lineRule="auto"/>
        <w:ind w:left="720"/>
      </w:pPr>
      <w:r>
        <w:rPr>
          <w:lang w:val="en_US" w:bidi="en_US"/>
        </w:rPr>
      </w:r>
      <w:r>
        <w:rPr>
          <w:lang w:val="en_US" w:bidi="en_US"/>
        </w:rPr>
        <w:t>¶ Jesus turned to his disciples and said, “Someday</w:t>
      </w:r>
    </w:p>
    <w:p>
      <w:pPr>
        <w:pStyle w:val="Heading5"/>
      </w:pPr>
      <w:r>
        <w:rPr>
          <w:lang w:val="en_US" w:bidi="en_US"/>
        </w:rPr>
        <w:t>17:22b</w:t>
      </w:r>
    </w:p>
    <w:p>
      <w:pPr/>
      <w:r>
        <w:rPr>
          <w:lang w:val="en_US" w:bidi="en_US"/>
        </w:rPr>
      </w:r>
      <w:r>
        <w:rPr>
          <w:b/>
          <w:lang w:val="en_US" w:bidi="en_US"/>
        </w:rPr>
        <w:t>when you will long to see one of the days of the Son of Man,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yearn to live in one of the days when the Son of Man </w:t>
      </w:r>
      <w:r>
        <w:rPr>
          <w:lang w:val="en_US" w:bidi="en_US"/>
        </w:rPr>
        <w:t>will be ruling</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greatly desire to experience the time when </w:t>
      </w:r>
      <w:r>
        <w:rPr>
          <w:lang w:val="en_US" w:bidi="en_US"/>
        </w:rPr>
        <w:t>I,</w:t>
      </w:r>
      <w:r>
        <w:rPr>
          <w:lang w:val="en_US" w:bidi="en_US"/>
        </w:rPr>
        <w:t xml:space="preserve"> the Son of Man, </w:t>
      </w:r>
      <w:r>
        <w:rPr>
          <w:lang w:val="en_US" w:bidi="en_US"/>
        </w:rPr>
        <w:t>have come</w:t>
      </w:r>
      <w:r>
        <w:rPr>
          <w:lang w:val="en_US" w:bidi="en_US"/>
        </w:rPr>
        <w:t xml:space="preserve"> </w:t>
      </w:r>
      <w:r>
        <w:rPr>
          <w:lang w:val="en_US" w:bidi="en_US"/>
        </w:rPr>
        <w:t>to rule</w:t>
      </w:r>
      <w:r>
        <w:rPr>
          <w:lang w:val="en_US" w:bidi="en_US"/>
        </w:rPr>
        <w:t>,</w:t>
      </w:r>
    </w:p>
    <w:p>
      <w:pPr>
        <w:pStyle w:val="Heading5"/>
      </w:pPr>
      <w:r>
        <w:rPr>
          <w:lang w:val="en_US" w:bidi="en_US"/>
        </w:rPr>
        <w:t>17:22a–b</w:t>
      </w:r>
    </w:p>
    <w:p>
      <w:pPr/>
      <w:r>
        <w:rPr>
          <w:lang w:val="en_US" w:bidi="en_US"/>
        </w:rPr>
      </w:r>
      <w:r>
        <w:rPr>
          <w:b/>
          <w:lang w:val="en_US" w:bidi="en_US"/>
        </w:rPr>
        <w:t>Then He said to the disciples:</w:t>
      </w:r>
      <w:r>
        <w:rPr>
          <w:lang w:val="en_US" w:bidi="en_US"/>
        </w:rPr>
        <w:t xml:space="preserve"> For help in translating </w:t>
      </w:r>
      <w:r>
        <w:rPr>
          <w:i/>
          <w:lang w:val="en_US" w:bidi="en_US"/>
        </w:rPr>
        <w:t>disciples</w:t>
      </w:r>
      <w:r>
        <w:rPr>
          <w:lang w:val="en_US" w:bidi="en_US"/>
        </w:rPr>
        <w:t>, see the note at 17:1a.</w:t>
      </w:r>
    </w:p>
    <w:p>
      <w:pPr/>
      <w:r>
        <w:rPr>
          <w:lang w:val="en_US" w:bidi="en_US"/>
        </w:rPr>
      </w:r>
      <w:r>
        <w:rPr>
          <w:b/>
          <w:lang w:val="en_US" w:bidi="en_US"/>
        </w:rPr>
        <w:t>The time is coming when you will long to see…the Son of Man:</w:t>
      </w:r>
      <w:r>
        <w:rPr>
          <w:lang w:val="en_US" w:bidi="en_US"/>
        </w:rPr>
        <w:t xml:space="preserve"> The Greek phrase that the BSB translates as </w:t>
      </w:r>
      <w:r>
        <w:rPr>
          <w:i/>
          <w:lang w:val="en_US" w:bidi="en_US"/>
        </w:rPr>
        <w:t>The time is coming when</w:t>
      </w:r>
      <w:r>
        <w:rPr>
          <w:lang w:val="en_US" w:bidi="en_US"/>
        </w:rPr>
        <w:t xml:space="preserve"> is literally “days will come when.” Jesus referred here to a future time when he would not be with his disciples. He implied that during this time they would experience sorrow and troubles. In those days of trouble, they would greatly desire to see him.</w:t>
      </w:r>
    </w:p>
    <w:p>
      <w:pPr/>
      <w:r>
        <w:rPr>
          <w:lang w:val="en_US" w:bidi="en_US"/>
        </w:rPr>
      </w:r>
      <w:r>
        <w:rPr>
          <w:lang w:val="en_US" w:bidi="en_US"/>
        </w:rPr>
        <w:t>Some other ways to translate this part of the verse are:</w:t>
      </w:r>
    </w:p>
    <w:p>
      <w:pPr/>
      <w:r>
        <w:rPr>
          <w:lang w:val="en_US" w:bidi="en_US"/>
        </w:rPr>
      </w:r>
      <w:r>
        <w:rPr>
          <w:lang w:val="en_US" w:bidi="en_US"/>
        </w:rPr>
        <w:t>In the future you will yearn to see…the Son of Man</w:t>
      </w:r>
    </w:p>
    <w:p>
      <w:pPr/>
      <w:r>
        <w:rPr>
          <w:lang w:val="en_US" w:bidi="en_US"/>
        </w:rPr>
      </w:r>
      <w:r>
        <w:rPr>
          <w:lang w:val="en_US" w:bidi="en_US"/>
        </w:rPr>
        <w:t xml:space="preserve">You will come to </w:t>
      </w:r>
      <w:r>
        <w:rPr>
          <w:lang w:val="en_US" w:bidi="en_US"/>
        </w:rPr>
        <w:t>some</w:t>
      </w:r>
      <w:r>
        <w:rPr>
          <w:lang w:val="en_US" w:bidi="en_US"/>
        </w:rPr>
        <w:t xml:space="preserve"> days when you will greatly desire to see…the Son of Man</w:t>
      </w:r>
    </w:p>
    <w:p>
      <w:pPr/>
      <w:r>
        <w:rPr>
          <w:lang w:val="en_US" w:bidi="en_US"/>
        </w:rPr>
      </w:r>
      <w:r>
        <w:rPr>
          <w:lang w:val="en_US" w:bidi="en_US"/>
        </w:rPr>
        <w:t>Someday you will long to see…the Son of Man</w:t>
      </w:r>
    </w:p>
    <w:p>
      <w:pPr/>
      <w:r>
        <w:rPr>
          <w:lang w:val="en_US" w:bidi="en_US"/>
        </w:rPr>
      </w:r>
      <w:r>
        <w:rPr>
          <w:lang w:val="en_US" w:bidi="en_US"/>
        </w:rPr>
        <w:t>There will be days when you will urgently want to see…the Son of Man</w:t>
      </w:r>
    </w:p>
    <w:p>
      <w:pPr/>
      <w:r>
        <w:rPr>
          <w:lang w:val="en_US" w:bidi="en_US"/>
        </w:rPr>
      </w:r>
      <w:r>
        <w:rPr>
          <w:lang w:val="en_US" w:bidi="en_US"/>
        </w:rPr>
        <w:t>Refer to this future time in a natural way in your language.</w:t>
      </w:r>
    </w:p>
    <w:p>
      <w:pPr/>
      <w:r>
        <w:rPr>
          <w:lang w:val="en_US" w:bidi="en_US"/>
        </w:rPr>
      </w:r>
      <w:r>
        <w:rPr>
          <w:b/>
          <w:lang w:val="en_US" w:bidi="en_US"/>
        </w:rPr>
        <w:t>see:</w:t>
      </w:r>
      <w:r>
        <w:rPr>
          <w:lang w:val="en_US" w:bidi="en_US"/>
        </w:rPr>
        <w:t xml:space="preserve"> The verb that the BSB translates literally as </w:t>
      </w:r>
      <w:r>
        <w:rPr>
          <w:i/>
          <w:lang w:val="en_US" w:bidi="en_US"/>
        </w:rPr>
        <w:t>see</w:t>
      </w:r>
      <w:r>
        <w:rPr>
          <w:lang w:val="en_US" w:bidi="en_US"/>
        </w:rPr>
        <w:t xml:space="preserve"> refers here to living during that time and experiencing one of the days. It does not refer literally to observing something.</w:t>
      </w:r>
    </w:p>
    <w:p>
      <w:pPr/>
      <w:r>
        <w:rPr>
          <w:lang w:val="en_US" w:bidi="en_US"/>
        </w:rPr>
      </w:r>
      <w:r>
        <w:rPr>
          <w:b/>
          <w:lang w:val="en_US" w:bidi="en_US"/>
        </w:rPr>
        <w:t>one of the days of the Son of Man:</w:t>
      </w:r>
      <w:r>
        <w:rPr>
          <w:lang w:val="en_US" w:bidi="en_US"/>
        </w:rPr>
        <w:t xml:space="preserve"> The phrase </w:t>
      </w:r>
      <w:r>
        <w:rPr>
          <w:i/>
          <w:lang w:val="en_US" w:bidi="en_US"/>
        </w:rPr>
        <w:t>the days of the Son of Man</w:t>
      </w:r>
      <w:r>
        <w:rPr>
          <w:lang w:val="en_US" w:bidi="en_US"/>
        </w:rPr>
        <w:t xml:space="preserve"> refers to the future joyful time when the Son of Man will rule as Messiah. The phrase </w:t>
      </w:r>
      <w:r>
        <w:rPr>
          <w:i/>
          <w:lang w:val="en_US" w:bidi="en_US"/>
        </w:rPr>
        <w:t>one of the days of the Son of Man</w:t>
      </w:r>
      <w:r>
        <w:rPr>
          <w:lang w:val="en_US" w:bidi="en_US"/>
        </w:rPr>
        <w:t xml:space="preserve"> refers to any of those days when the Son of Man will be ruling.</w:t>
      </w:r>
      <w:r>
        <w:rPr>
          <w:lang w:val="en_US" w:bidi="en_US"/>
        </w:rPr>
        <w:t>Some scholars believe that it refers to the first of the days, that is, the day when the Son of Man begins to rule. Of the fourteen English versions consulted, the NLT is the only one that follows this view, having “the day when the Son of Man returns.”</w:t>
      </w:r>
      <w:r>
        <w:rPr>
          <w:lang w:val="en_US" w:bidi="en_US"/>
        </w:rPr>
        <w:t xml:space="preserve"> The phrase </w:t>
      </w:r>
      <w:r>
        <w:rPr>
          <w:i/>
          <w:lang w:val="en_US" w:bidi="en_US"/>
        </w:rPr>
        <w:t>one of</w:t>
      </w:r>
      <w:r>
        <w:rPr>
          <w:lang w:val="en_US" w:bidi="en_US"/>
        </w:rPr>
        <w:t xml:space="preserve"> probably emphasizes the disciples’ desire to see the days of the Son of Man. Some ways to express this emphasis in English are:</w:t>
      </w:r>
    </w:p>
    <w:p>
      <w:pPr/>
      <w:r>
        <w:rPr>
          <w:lang w:val="en_US" w:bidi="en_US"/>
        </w:rPr>
      </w:r>
      <w:r>
        <w:rPr>
          <w:lang w:val="en_US" w:bidi="en_US"/>
        </w:rPr>
        <w:t>even one of the days of the Son of Man</w:t>
      </w:r>
    </w:p>
    <w:p>
      <w:pPr/>
      <w:r>
        <w:rPr>
          <w:lang w:val="en_US" w:bidi="en_US"/>
        </w:rPr>
      </w:r>
      <w:r>
        <w:rPr>
          <w:lang w:val="en_US" w:bidi="en_US"/>
        </w:rPr>
        <w:t xml:space="preserve">at least one day when the Son of Man </w:t>
      </w:r>
      <w:r>
        <w:rPr>
          <w:lang w:val="en_US" w:bidi="en_US"/>
        </w:rPr>
        <w:t>will be ruling</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literally “the Son of the human/person.” Jesus used this title to imply that:</w:t>
      </w:r>
    </w:p>
    <w:p>
      <w:pPr>
        <w:pStyle w:val="ListNumber"/>
        <w:numPr>
          <w:ilvl w:val="0"/>
          <w:numId w:val="291"/>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 Some expressions that translators have used are:</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In some cases, an unusual title may correctly suggest a deeper meaning. For example:</w:t>
      </w:r>
    </w:p>
    <w:p>
      <w:pPr/>
      <w:r>
        <w:rPr>
          <w:lang w:val="en_US" w:bidi="en_US"/>
        </w:rPr>
      </w:r>
      <w:r>
        <w:rPr>
          <w:lang w:val="en_US" w:bidi="en_US"/>
        </w:rPr>
        <w:t>the Child of a Person</w:t>
      </w:r>
    </w:p>
    <w:p>
      <w:pPr/>
      <w:r>
        <w:rPr>
          <w:lang w:val="en_US" w:bidi="en_US"/>
        </w:rPr>
      </w:r>
      <w:r>
        <w:rPr>
          <w:lang w:val="en_US" w:bidi="en_US"/>
        </w:rPr>
        <w:t>the One who was Born as a Human</w:t>
      </w:r>
    </w:p>
    <w:p>
      <w:pPr/>
      <w:r>
        <w:rPr>
          <w:lang w:val="en_US" w:bidi="en_US"/>
        </w:rPr>
      </w:r>
      <w:r>
        <w:rPr>
          <w:lang w:val="en_US" w:bidi="en_US"/>
        </w:rPr>
        <w:t>the peoples’ child/offspring</w:t>
      </w:r>
    </w:p>
    <w:p>
      <w:pPr/>
      <w:r>
        <w:rPr>
          <w:lang w:val="en_US" w:bidi="en_US"/>
        </w:rPr>
      </w:r>
      <w:r>
        <w:rPr>
          <w:lang w:val="en_US" w:bidi="en_US"/>
        </w:rPr>
        <w:t>Translators have also used expressions that are more literal. These more literal expressions may be appropriate where readers are familiar with a literal title in another version.</w:t>
      </w:r>
    </w:p>
    <w:p>
      <w:pPr/>
      <w:r>
        <w:rPr>
          <w:lang w:val="en_US" w:bidi="en_US"/>
        </w:rPr>
      </w:r>
      <w:r>
        <w:rPr>
          <w:lang w:val="en_US" w:bidi="en_US"/>
        </w:rPr>
        <w:t>In some languages it may be necessary to use a form such as “I” or “me” to indicate that Jesus was referring to himself. For example:</w:t>
      </w:r>
    </w:p>
    <w:p>
      <w:pPr/>
      <w:r>
        <w:rPr>
          <w:lang w:val="en_US" w:bidi="en_US"/>
        </w:rPr>
      </w:r>
      <w:r>
        <w:rPr>
          <w:u w:val="single"/>
          <w:lang w:val="en_US" w:bidi="en_US"/>
        </w:rPr>
        <w:t>me</w:t>
      </w:r>
      <w:r>
        <w:rPr>
          <w:lang w:val="en_US" w:bidi="en_US"/>
        </w:rPr>
        <w:t>, the Son of Man</w:t>
      </w:r>
    </w:p>
    <w:p>
      <w:pPr/>
      <w:r>
        <w:rPr>
          <w:lang w:val="en_US" w:bidi="en_US"/>
        </w:rPr>
      </w:r>
      <w:r>
        <w:rPr>
          <w:u w:val="single"/>
          <w:lang w:val="en_US" w:bidi="en_US"/>
        </w:rPr>
        <w:t>I</w:t>
      </w:r>
      <w:r>
        <w:rPr>
          <w:lang w:val="en_US" w:bidi="en_US"/>
        </w:rPr>
        <w:t xml:space="preserve"> who am the people’s child</w:t>
      </w:r>
    </w:p>
    <w:p>
      <w:pPr/>
      <w:r>
        <w:rPr>
          <w:lang w:val="en_US" w:bidi="en_US"/>
        </w:rPr>
      </w:r>
      <w:r>
        <w:rPr>
          <w:lang w:val="en_US" w:bidi="en_US"/>
        </w:rPr>
        <w:t>This term first occurs in Luke at 5:24a. See also “Son of Man” in KBT.</w:t>
      </w:r>
    </w:p>
    <w:p>
      <w:pPr>
        <w:pStyle w:val="Heading5"/>
      </w:pPr>
      <w:r>
        <w:rPr>
          <w:lang w:val="en_US" w:bidi="en_US"/>
        </w:rPr>
        <w:t>17:22c</w:t>
      </w:r>
    </w:p>
    <w:p>
      <w:pPr/>
      <w:r>
        <w:rPr>
          <w:lang w:val="en_US" w:bidi="en_US"/>
        </w:rPr>
      </w:r>
      <w:r>
        <w:rPr>
          <w:b/>
          <w:lang w:val="en_US" w:bidi="en_US"/>
        </w:rPr>
        <w:t>but you will not see it.</w:t>
      </w:r>
    </w:p>
    <w:p>
      <w:pPr>
        <w:pStyle w:val="ListBullet"/>
        <w:spacing w:line="240" w:lineRule="auto"/>
        <w:ind w:left="720"/>
      </w:pPr>
      <w:r>
        <w:rPr>
          <w:lang w:val="en_US" w:bidi="en_US"/>
        </w:rPr>
      </w:r>
      <w:r>
        <w:rPr>
          <w:lang w:val="en_US" w:bidi="en_US"/>
        </w:rPr>
        <w:t>but it will not be possible.</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will not see/experience </w:t>
      </w:r>
      <w:r>
        <w:rPr>
          <w:lang w:val="en_US" w:bidi="en_US"/>
        </w:rPr>
        <w:t>it</w:t>
      </w:r>
      <w:r>
        <w:rPr>
          <w:lang w:val="en_US" w:bidi="en_US"/>
        </w:rPr>
        <w:t xml:space="preserve"> </w:t>
      </w:r>
      <w:r>
        <w:rPr>
          <w:lang w:val="en_US" w:bidi="en_US"/>
        </w:rPr>
        <w:t>at that time</w:t>
      </w:r>
      <w:r>
        <w:rPr>
          <w:lang w:val="en_US" w:bidi="en_US"/>
        </w:rPr>
        <w:t>.</w:t>
      </w:r>
    </w:p>
    <w:p>
      <w:pPr/>
      <w:r>
        <w:rPr>
          <w:lang w:val="en_US" w:bidi="en_US"/>
        </w:rPr>
      </w:r>
      <w:r>
        <w:rPr>
          <w:b/>
          <w:lang w:val="en_US" w:bidi="en_US"/>
        </w:rPr>
        <w:t>but you will not see it:</w:t>
      </w:r>
      <w:r>
        <w:rPr>
          <w:lang w:val="en_US" w:bidi="en_US"/>
        </w:rPr>
        <w:t xml:space="preserve"> The BSB has supplied the word </w:t>
      </w:r>
      <w:r>
        <w:rPr>
          <w:i/>
          <w:lang w:val="en_US" w:bidi="en_US"/>
        </w:rPr>
        <w:t>it</w:t>
      </w:r>
      <w:r>
        <w:rPr>
          <w:lang w:val="en_US" w:bidi="en_US"/>
        </w:rPr>
        <w:t>, which is not in the Greek text. Jesus was saying that his disciples would not at that time see the Son of Man. What they longed for would not happen yet. They must endure many troubles without seeing Jesus in person, because it would not yet be time for him to return.</w:t>
      </w:r>
      <w:r>
        <w:rPr>
          <w:lang w:val="en_US" w:bidi="en_US"/>
        </w:rPr>
      </w:r>
      <w:r>
        <w:rPr>
          <w:lang w:val="en_US" w:bidi="en_US"/>
        </w:rPr>
      </w:r>
    </w:p>
    <w:p>
      <w:pPr/>
      <w:r>
        <w:rPr>
          <w:lang w:val="en_US" w:bidi="en_US"/>
        </w:rPr>
      </w:r>
    </w:p>
    <w:p>
      <w:pPr>
        <w:pStyle w:val="Heading2"/>
      </w:pPr>
      <w:r>
        <w:rPr>
          <w:lang w:val="en_US" w:bidi="en_US"/>
        </w:rPr>
        <w:t>Luke 17:23</w:t>
      </w:r>
      <w:r>
        <w:rPr>
          <w:lang w:val="en_US" w:bidi="en_US"/>
        </w:rPr>
      </w:r>
    </w:p>
    <w:p>
      <w:pPr>
        <w:pStyle w:val="Heading4"/>
      </w:pPr>
      <w:r>
        <w:rPr>
          <w:lang w:val="en_US" w:bidi="en_US"/>
        </w:rPr>
        <w:t>Section 17:20–37: Jesus taught about the time when the kingdom of God will come</w:t>
      </w:r>
    </w:p>
    <w:p>
      <w:pPr/>
      <w:r>
        <w:rPr>
          <w:lang w:val="en_US" w:bidi="en_US"/>
        </w:rPr>
      </w:r>
      <w:r>
        <w:rPr>
          <w:lang w:val="en_US" w:bidi="en_US"/>
        </w:rP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pPr/>
      <w:r>
        <w:rPr>
          <w:lang w:val="en_US" w:bidi="en_US"/>
        </w:rPr>
      </w:r>
      <w:r>
        <w:rPr>
          <w:lang w:val="en_US" w:bidi="en_US"/>
        </w:rPr>
        <w:t>Examples of headings for this section are:</w:t>
      </w:r>
    </w:p>
    <w:p>
      <w:pPr/>
      <w:r>
        <w:rPr>
          <w:lang w:val="en_US" w:bidi="en_US"/>
        </w:rPr>
      </w:r>
      <w:r>
        <w:rPr>
          <w:lang w:val="en_US" w:bidi="en_US"/>
        </w:rPr>
        <w:t>Jesus taught about when the Son of Man will come</w:t>
      </w:r>
    </w:p>
    <w:p>
      <w:pPr/>
      <w:r>
        <w:rPr>
          <w:lang w:val="en_US" w:bidi="en_US"/>
        </w:rPr>
      </w:r>
      <w:r>
        <w:rPr>
          <w:lang w:val="en_US" w:bidi="en_US"/>
        </w:rPr>
        <w:t>The coming of the Kingdom of God</w:t>
      </w:r>
    </w:p>
    <w:p>
      <w:pPr/>
      <w:r>
        <w:rPr>
          <w:lang w:val="en_US" w:bidi="en_US"/>
        </w:rPr>
      </w:r>
      <w:r>
        <w:rPr>
          <w:lang w:val="en_US" w:bidi="en_US"/>
        </w:rPr>
        <w:t>Parallel passages are in Matthew 24:17–18, 24:23–28, 24:37–41, and Mark 13:14–16, 13:19–23.</w:t>
      </w:r>
    </w:p>
    <w:p>
      <w:pPr>
        <w:pStyle w:val="Heading5"/>
      </w:pPr>
      <w:r>
        <w:rPr>
          <w:lang w:val="en_US" w:bidi="en_US"/>
        </w:rPr>
        <w:t>17:23a</w:t>
      </w:r>
    </w:p>
    <w:p>
      <w:pPr/>
      <w:r>
        <w:rPr>
          <w:lang w:val="en_US" w:bidi="en_US"/>
        </w:rPr>
      </w:r>
      <w:r>
        <w:rPr>
          <w:b/>
          <w:lang w:val="en_US" w:bidi="en_US"/>
        </w:rPr>
        <w:t>People will tell you, ‘Look, there He is!’ or ‘Look, here He is!’</w:t>
      </w:r>
    </w:p>
    <w:p>
      <w:pPr>
        <w:pStyle w:val="ListBullet"/>
        <w:spacing w:line="240" w:lineRule="auto"/>
        <w:ind w:left="720"/>
      </w:pPr>
      <w:r>
        <w:rPr>
          <w:lang w:val="en_US" w:bidi="en_US"/>
        </w:rPr>
      </w:r>
      <w:r>
        <w:rPr>
          <w:lang w:val="en_US" w:bidi="en_US"/>
        </w:rPr>
        <w:t>People will say to you</w:t>
      </w:r>
      <w:r>
        <w:rPr>
          <w:vertAlign w:val="superscript"/>
          <w:lang w:val="en_US" w:bidi="en_US"/>
        </w:rPr>
        <w:t>(plur)</w:t>
      </w:r>
      <w:r>
        <w:rPr>
          <w:lang w:val="en_US" w:bidi="en_US"/>
        </w:rPr>
        <w:t>, ‘The Son of Man is at a certain place!’ or ‘He is here!’</w:t>
      </w:r>
    </w:p>
    <w:p>
      <w:pPr>
        <w:pStyle w:val="ListBullet"/>
        <w:spacing w:line="240" w:lineRule="auto"/>
        <w:ind w:left="720"/>
      </w:pPr>
      <w:r>
        <w:rPr>
          <w:lang w:val="en_US" w:bidi="en_US"/>
        </w:rPr>
      </w:r>
      <w:r>
        <w:rPr>
          <w:lang w:val="en_US" w:bidi="en_US"/>
        </w:rPr>
        <w:t xml:space="preserve">People will say that </w:t>
      </w:r>
      <w:r>
        <w:rPr>
          <w:lang w:val="en_US" w:bidi="en_US"/>
        </w:rPr>
        <w:t>I</w:t>
      </w:r>
      <w:r>
        <w:rPr>
          <w:lang w:val="en_US" w:bidi="en_US"/>
        </w:rPr>
        <w:t xml:space="preserve"> am here </w:t>
      </w:r>
      <w:r>
        <w:rPr>
          <w:lang w:val="en_US" w:bidi="en_US"/>
        </w:rPr>
        <w:t>close by</w:t>
      </w:r>
      <w:r>
        <w:rPr>
          <w:lang w:val="en_US" w:bidi="en_US"/>
        </w:rPr>
        <w:t xml:space="preserve">, or that </w:t>
      </w:r>
      <w:r>
        <w:rPr>
          <w:lang w:val="en_US" w:bidi="en_US"/>
        </w:rPr>
        <w:t>I</w:t>
      </w:r>
      <w:r>
        <w:rPr>
          <w:lang w:val="en_US" w:bidi="en_US"/>
        </w:rPr>
        <w:t xml:space="preserve"> am there </w:t>
      </w:r>
      <w:r>
        <w:rPr>
          <w:lang w:val="en_US" w:bidi="en_US"/>
        </w:rPr>
        <w:t>at a distance</w:t>
      </w:r>
      <w:r>
        <w:rPr>
          <w:lang w:val="en_US" w:bidi="en_US"/>
        </w:rPr>
        <w:t>.</w:t>
      </w:r>
    </w:p>
    <w:p>
      <w:pPr/>
      <w:r>
        <w:rPr>
          <w:lang w:val="en_US" w:bidi="en_US"/>
        </w:rPr>
      </w:r>
      <w:r>
        <w:rPr>
          <w:lang w:val="en_US" w:bidi="en_US"/>
        </w:rPr>
        <w:t>This verse begins with a common conjunction that versions such as the RSV translate as “And.” Some other English versions have “Then,” and many do not have a conjunction. Begin the verse in a natural way in your language.</w:t>
      </w:r>
    </w:p>
    <w:p>
      <w:pPr/>
      <w:r>
        <w:rPr>
          <w:lang w:val="en_US" w:bidi="en_US"/>
        </w:rPr>
      </w:r>
      <w:r>
        <w:rPr>
          <w:b/>
          <w:lang w:val="en_US" w:bidi="en_US"/>
        </w:rPr>
        <w:t>People will tell you:</w:t>
      </w:r>
      <w:r>
        <w:rPr>
          <w:lang w:val="en_US" w:bidi="en_US"/>
        </w:rPr>
        <w:t xml:space="preserve"> The Greek phrase that the BSB translates as </w:t>
      </w:r>
      <w:r>
        <w:rPr>
          <w:i/>
          <w:lang w:val="en_US" w:bidi="en_US"/>
        </w:rPr>
        <w:t>People will tell you</w:t>
      </w:r>
      <w:r>
        <w:rPr>
          <w:lang w:val="en_US" w:bidi="en_US"/>
        </w:rPr>
        <w:t xml:space="preserve"> is literally “They-will-say to you.” “They” refers to people in general. For example:</w:t>
      </w:r>
    </w:p>
    <w:p>
      <w:pPr/>
      <w:r>
        <w:rPr>
          <w:lang w:val="en_US" w:bidi="en_US"/>
        </w:rPr>
      </w:r>
      <w:r>
        <w:rPr>
          <w:lang w:val="en_US" w:bidi="en_US"/>
        </w:rPr>
        <w:t>People will say to you (NCV)</w:t>
      </w:r>
    </w:p>
    <w:p>
      <w:pPr/>
      <w:r>
        <w:rPr>
          <w:lang w:val="en_US" w:bidi="en_US"/>
        </w:rPr>
      </w:r>
      <w:r>
        <w:rPr>
          <w:b/>
          <w:lang w:val="en_US" w:bidi="en_US"/>
        </w:rPr>
        <w:t>‘Look, there He is!’ or ‘Look, here He is!’:</w:t>
      </w:r>
      <w:r>
        <w:rPr>
          <w:lang w:val="en_US" w:bidi="en_US"/>
        </w:rPr>
        <w:t xml:space="preserve"> The Greek clause that the BSB translates as </w:t>
      </w:r>
      <w:r>
        <w:rPr>
          <w:i/>
          <w:lang w:val="en_US" w:bidi="en_US"/>
        </w:rPr>
        <w:t>‘Look, there He is!’ or ‘Look, here He is!’</w:t>
      </w:r>
      <w:r>
        <w:rPr>
          <w:lang w:val="en_US" w:bidi="en_US"/>
        </w:rPr>
        <w:t xml:space="preserve"> is literally “Look, there! (or) Look, here!” This clause is very similar to the clause “‘Look, here it is,’ or ‘There it is’” in 17:21a. Notice that 17:21a and 17:23a use different orders for “Here…” and “There…” You may use a natural order in your language for both verses.</w:t>
      </w:r>
    </w:p>
    <w:p>
      <w:pPr/>
      <w:r>
        <w:rPr>
          <w:lang w:val="en_US" w:bidi="en_US"/>
        </w:rPr>
      </w:r>
      <w:r>
        <w:rPr>
          <w:lang w:val="en_US" w:bidi="en_US"/>
        </w:rPr>
        <w:t xml:space="preserve">The BSB has supplied the pronoun </w:t>
      </w:r>
      <w:r>
        <w:rPr>
          <w:i/>
          <w:lang w:val="en_US" w:bidi="en_US"/>
        </w:rPr>
        <w:t>He</w:t>
      </w:r>
      <w:r>
        <w:rPr>
          <w:lang w:val="en_US" w:bidi="en_US"/>
        </w:rPr>
        <w:t xml:space="preserve"> to refer to the Son of Man (Jesus). People will say that the Son of Man is </w:t>
      </w:r>
      <w:r>
        <w:rPr>
          <w:i/>
          <w:lang w:val="en_US" w:bidi="en_US"/>
        </w:rPr>
        <w:t>there</w:t>
      </w:r>
      <w:r>
        <w:rPr>
          <w:lang w:val="en_US" w:bidi="en_US"/>
        </w:rPr>
        <w:t xml:space="preserve"> or </w:t>
      </w:r>
      <w:r>
        <w:rPr>
          <w:i/>
          <w:lang w:val="en_US" w:bidi="en_US"/>
        </w:rPr>
        <w:t>here</w:t>
      </w:r>
      <w:r>
        <w:rPr>
          <w:lang w:val="en_US" w:bidi="en_US"/>
        </w:rPr>
        <w:t>. Here are some ways you can translate this:</w:t>
      </w:r>
    </w:p>
    <w:p>
      <w:pPr>
        <w:pStyle w:val="ListBullet"/>
        <w:spacing w:line="240" w:lineRule="auto"/>
        <w:ind w:left="720"/>
      </w:pPr>
      <w:r>
        <w:rPr>
          <w:lang w:val="en_US" w:bidi="en_US"/>
        </w:rPr>
      </w:r>
      <w:r>
        <w:rPr>
          <w:lang w:val="en_US" w:bidi="en_US"/>
        </w:rPr>
        <w:t>Translate it as direct speech. For example:</w:t>
      </w:r>
      <w:r>
        <w:rPr>
          <w:lang w:val="en_US" w:bidi="en_US"/>
        </w:rPr>
        <w:t>People will tell you, “Look, there is the Son of Man” or “Here he is” (NLT)</w:t>
      </w:r>
    </w:p>
    <w:p>
      <w:pPr>
        <w:pStyle w:val="ListBullet"/>
        <w:spacing w:line="240" w:lineRule="auto"/>
        <w:ind w:left="720"/>
      </w:pPr>
      <w:r>
        <w:rPr>
          <w:lang w:val="en_US" w:bidi="en_US"/>
        </w:rPr>
      </w:r>
      <w:r>
        <w:rPr>
          <w:lang w:val="en_US" w:bidi="en_US"/>
        </w:rPr>
        <w:t>Translate it as indirect speech. For example:</w:t>
      </w:r>
      <w:r>
        <w:rPr>
          <w:lang w:val="en_US" w:bidi="en_US"/>
        </w:rPr>
        <w:t>People will say that I am over there, or that I am here.</w:t>
      </w:r>
    </w:p>
    <w:p>
      <w:pPr>
        <w:pStyle w:val="Heading5"/>
      </w:pPr>
      <w:r>
        <w:rPr>
          <w:lang w:val="en_US" w:bidi="en_US"/>
        </w:rPr>
        <w:t>17:23b</w:t>
      </w:r>
    </w:p>
    <w:p>
      <w:pPr/>
      <w:r>
        <w:rPr>
          <w:lang w:val="en_US" w:bidi="en_US"/>
        </w:rPr>
      </w:r>
      <w:r>
        <w:rPr>
          <w:b/>
          <w:lang w:val="en_US" w:bidi="en_US"/>
        </w:rPr>
        <w:t>Do not go out or chase after them.</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rush off after them </w:t>
      </w:r>
      <w:r>
        <w:rPr>
          <w:lang w:val="en_US" w:bidi="en_US"/>
        </w:rPr>
        <w:t>to look for me</w:t>
      </w:r>
      <w:r>
        <w:rPr>
          <w:lang w:val="en_US" w:bidi="en_US"/>
        </w:rPr>
        <w:t>.</w:t>
      </w:r>
    </w:p>
    <w:p>
      <w:pPr>
        <w:pStyle w:val="ListBullet"/>
        <w:spacing w:line="240" w:lineRule="auto"/>
        <w:ind w:left="720"/>
      </w:pPr>
      <w:r>
        <w:rPr>
          <w:lang w:val="en_US" w:bidi="en_US"/>
        </w:rPr>
      </w:r>
      <w:r>
        <w:rPr>
          <w:lang w:val="en_US" w:bidi="en_US"/>
        </w:rPr>
        <w:t>But</w:t>
      </w:r>
      <w:r>
        <w:rPr>
          <w:lang w:val="en_US" w:bidi="en_US"/>
        </w:rPr>
        <w:t xml:space="preserve"> do</w:t>
      </w:r>
      <w:r>
        <w:rPr>
          <w:vertAlign w:val="superscript"/>
          <w:lang w:val="en_US" w:bidi="en_US"/>
        </w:rPr>
        <w:t>(plur)</w:t>
      </w:r>
      <w:r>
        <w:rPr>
          <w:lang w:val="en_US" w:bidi="en_US"/>
        </w:rPr>
        <w:t xml:space="preserve"> not </w:t>
      </w:r>
      <w:r>
        <w:rPr>
          <w:lang w:val="en_US" w:bidi="en_US"/>
        </w:rPr>
        <w:t>believe them or</w:t>
      </w:r>
      <w:r>
        <w:rPr>
          <w:lang w:val="en_US" w:bidi="en_US"/>
        </w:rPr>
        <w:t xml:space="preserve"> follow them.</w:t>
      </w:r>
    </w:p>
    <w:p>
      <w:pPr/>
      <w:r>
        <w:rPr>
          <w:lang w:val="en_US" w:bidi="en_US"/>
        </w:rPr>
      </w:r>
      <w:r>
        <w:rPr>
          <w:b/>
          <w:lang w:val="en_US" w:bidi="en_US"/>
        </w:rPr>
        <w:t>Do not go out or chase after them:</w:t>
      </w:r>
      <w:r>
        <w:rPr>
          <w:lang w:val="en_US" w:bidi="en_US"/>
        </w:rPr>
        <w:t xml:space="preserve"> The Greek expression that the BSB translates as </w:t>
      </w:r>
      <w:r>
        <w:rPr>
          <w:i/>
          <w:lang w:val="en_US" w:bidi="en_US"/>
        </w:rPr>
        <w:t>Do not go out or chase after them</w:t>
      </w:r>
      <w:r>
        <w:rPr>
          <w:lang w:val="en_US" w:bidi="en_US"/>
        </w:rPr>
        <w:t xml:space="preserve"> is more literally “do not go, do not pursue.” For example:</w:t>
      </w:r>
    </w:p>
    <w:p>
      <w:pPr/>
      <w:r>
        <w:rPr>
          <w:lang w:val="en_US" w:bidi="en_US"/>
        </w:rPr>
      </w:r>
      <w:r>
        <w:rPr>
          <w:lang w:val="en_US" w:bidi="en_US"/>
        </w:rPr>
        <w:t>Do not go, do not follow them. (RSV)</w:t>
      </w:r>
    </w:p>
    <w:p>
      <w:pPr/>
      <w:r>
        <w:rPr>
          <w:lang w:val="en_US" w:bidi="en_US"/>
        </w:rPr>
      </w:r>
      <w:r>
        <w:rPr>
          <w:lang w:val="en_US" w:bidi="en_US"/>
        </w:rPr>
        <w:t>It indicates here that the disciples should not follow anyone who claims that the Son of Man has returned and claims to know where he is. Other ways to translate this are:</w:t>
      </w:r>
    </w:p>
    <w:p>
      <w:pPr/>
      <w:r>
        <w:rPr>
          <w:lang w:val="en_US" w:bidi="en_US"/>
        </w:rPr>
      </w:r>
      <w:r>
        <w:rPr>
          <w:lang w:val="en_US" w:bidi="en_US"/>
        </w:rPr>
        <w:t>…don’t go looking for him. (CEV)</w:t>
      </w:r>
    </w:p>
    <w:p>
      <w:pPr/>
      <w:r>
        <w:rPr>
          <w:lang w:val="en_US" w:bidi="en_US"/>
        </w:rPr>
      </w:r>
      <w:r>
        <w:rPr>
          <w:lang w:val="en_US" w:bidi="en_US"/>
        </w:rPr>
        <w:t>Stay where you are; don’t go away and search. (NCV)</w:t>
      </w:r>
      <w:r>
        <w:rPr>
          <w:lang w:val="en_US" w:bidi="en_US"/>
        </w:rPr>
      </w:r>
      <w:r>
        <w:rPr>
          <w:lang w:val="en_US" w:bidi="en_US"/>
        </w:rPr>
      </w:r>
    </w:p>
    <w:p>
      <w:pPr/>
      <w:r>
        <w:rPr>
          <w:lang w:val="en_US" w:bidi="en_US"/>
        </w:rPr>
      </w:r>
    </w:p>
    <w:p>
      <w:pPr>
        <w:pStyle w:val="Heading2"/>
      </w:pPr>
      <w:r>
        <w:rPr>
          <w:lang w:val="en_US" w:bidi="en_US"/>
        </w:rPr>
        <w:t>Luke 17:24</w:t>
      </w:r>
      <w:r>
        <w:rPr>
          <w:lang w:val="en_US" w:bidi="en_US"/>
        </w:rPr>
      </w:r>
    </w:p>
    <w:p>
      <w:pPr>
        <w:pStyle w:val="Heading4"/>
      </w:pPr>
      <w:r>
        <w:rPr>
          <w:lang w:val="en_US" w:bidi="en_US"/>
        </w:rPr>
        <w:t>Section 17:20–37: Jesus taught about the time when the kingdom of God will come</w:t>
      </w:r>
    </w:p>
    <w:p>
      <w:pPr/>
      <w:r>
        <w:rPr>
          <w:lang w:val="en_US" w:bidi="en_US"/>
        </w:rPr>
      </w:r>
      <w:r>
        <w:rPr>
          <w:lang w:val="en_US" w:bidi="en_US"/>
        </w:rP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pPr/>
      <w:r>
        <w:rPr>
          <w:lang w:val="en_US" w:bidi="en_US"/>
        </w:rPr>
      </w:r>
      <w:r>
        <w:rPr>
          <w:lang w:val="en_US" w:bidi="en_US"/>
        </w:rPr>
        <w:t>Examples of headings for this section are:</w:t>
      </w:r>
    </w:p>
    <w:p>
      <w:pPr/>
      <w:r>
        <w:rPr>
          <w:lang w:val="en_US" w:bidi="en_US"/>
        </w:rPr>
      </w:r>
      <w:r>
        <w:rPr>
          <w:lang w:val="en_US" w:bidi="en_US"/>
        </w:rPr>
        <w:t>Jesus taught about when the Son of Man will come</w:t>
      </w:r>
    </w:p>
    <w:p>
      <w:pPr/>
      <w:r>
        <w:rPr>
          <w:lang w:val="en_US" w:bidi="en_US"/>
        </w:rPr>
      </w:r>
      <w:r>
        <w:rPr>
          <w:lang w:val="en_US" w:bidi="en_US"/>
        </w:rPr>
        <w:t>The coming of the Kingdom of God</w:t>
      </w:r>
    </w:p>
    <w:p>
      <w:pPr/>
      <w:r>
        <w:rPr>
          <w:lang w:val="en_US" w:bidi="en_US"/>
        </w:rPr>
      </w:r>
      <w:r>
        <w:rPr>
          <w:lang w:val="en_US" w:bidi="en_US"/>
        </w:rPr>
        <w:t>Parallel passages are in Matthew 24:17–18, 24:23–28, 24:37–41, and Mark 13:14–16, 13:19–23.</w:t>
      </w:r>
    </w:p>
    <w:p>
      <w:pPr>
        <w:pStyle w:val="Heading5"/>
      </w:pPr>
      <w:r>
        <w:rPr>
          <w:lang w:val="en_US" w:bidi="en_US"/>
        </w:rPr>
        <w:t>17:24a</w:t>
      </w:r>
    </w:p>
    <w:p>
      <w:pPr/>
      <w:r>
        <w:rPr>
          <w:lang w:val="en_US" w:bidi="en_US"/>
        </w:rPr>
      </w:r>
      <w:r>
        <w:rPr>
          <w:b/>
          <w:lang w:val="en_US" w:bidi="en_US"/>
        </w:rPr>
        <w:t>For just as the lightning flashes and lights up the sky from one end to the other,</w:t>
      </w:r>
    </w:p>
    <w:p>
      <w:pPr>
        <w:pStyle w:val="ListBullet"/>
        <w:spacing w:line="240" w:lineRule="auto"/>
        <w:ind w:left="720"/>
      </w:pPr>
      <w:r>
        <w:rPr>
          <w:lang w:val="en_US" w:bidi="en_US"/>
        </w:rPr>
      </w:r>
      <w:r>
        <w:rPr>
          <w:lang w:val="en_US" w:bidi="en_US"/>
        </w:rPr>
        <w:t xml:space="preserve">For just as lightning that </w:t>
      </w:r>
      <w:r>
        <w:rPr>
          <w:lang w:val="en_US" w:bidi="en_US"/>
        </w:rPr>
        <w:t>comes and</w:t>
      </w:r>
      <w:r>
        <w:rPr>
          <w:lang w:val="en_US" w:bidi="en_US"/>
        </w:rPr>
        <w:t xml:space="preserve"> flashes from one part of the sky to the other part of the sky </w:t>
      </w:r>
      <w:r>
        <w:rPr>
          <w:lang w:val="en_US" w:bidi="en_US"/>
        </w:rPr>
        <w:t>is visible/obvious</w:t>
      </w:r>
      <w:r>
        <w:rPr>
          <w:lang w:val="en_US" w:bidi="en_US"/>
        </w:rPr>
        <w:t>,</w:t>
      </w:r>
    </w:p>
    <w:p>
      <w:pPr>
        <w:pStyle w:val="ListBullet"/>
        <w:spacing w:line="240" w:lineRule="auto"/>
        <w:ind w:left="720"/>
      </w:pPr>
      <w:r>
        <w:rPr>
          <w:lang w:val="en_US" w:bidi="en_US"/>
        </w:rPr>
      </w:r>
      <w:r>
        <w:rPr>
          <w:lang w:val="en_US" w:bidi="en_US"/>
        </w:rPr>
        <w:t>Lightning makes the entire/whole sky bright when it comes.</w:t>
      </w:r>
    </w:p>
    <w:p>
      <w:pPr/>
      <w:r>
        <w:rPr>
          <w:lang w:val="en_US" w:bidi="en_US"/>
        </w:rPr>
      </w:r>
      <w:r>
        <w:rPr>
          <w:lang w:val="en_US" w:bidi="en_US"/>
        </w:rPr>
        <w:t>The BSB follows the order of the Greek text here. The NIV arranges the information in this verse in a different order:</w:t>
      </w:r>
    </w:p>
    <w:p>
      <w:pPr/>
      <w:r>
        <w:rPr>
          <w:lang w:val="en_US" w:bidi="en_US"/>
        </w:rPr>
      </w:r>
      <w:r>
        <w:rPr>
          <w:vertAlign w:val="superscript"/>
          <w:lang w:val="en_US" w:bidi="en_US"/>
        </w:rPr>
        <w:t>24a</w:t>
      </w:r>
      <w:r>
        <w:rPr>
          <w:lang w:val="en_US" w:bidi="en_US"/>
        </w:rPr>
        <w:t xml:space="preserve">For the Son of Man in his day </w:t>
      </w:r>
      <w:r>
        <w:rPr>
          <w:vertAlign w:val="superscript"/>
          <w:lang w:val="en_US" w:bidi="en_US"/>
        </w:rPr>
        <w:t>24b</w:t>
      </w:r>
      <w:r>
        <w:rPr>
          <w:lang w:val="en_US" w:bidi="en_US"/>
        </w:rPr>
        <w:t>will be like the lightning, which flashes and lights up the sky from one end to the other. (NIV)</w:t>
      </w:r>
    </w:p>
    <w:p>
      <w:pPr/>
      <w:r>
        <w:rPr>
          <w:lang w:val="en_US" w:bidi="en_US"/>
        </w:rPr>
      </w:r>
      <w:r>
        <w:rPr>
          <w:lang w:val="en_US" w:bidi="en_US"/>
        </w:rPr>
        <w:t>Use a natural order in your language.</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introduces the explanation of what Jesus said in 17:23. Some English versions do not have a conjunction here, because the connection is implied.</w:t>
      </w:r>
    </w:p>
    <w:p>
      <w:pPr/>
      <w:r>
        <w:rPr>
          <w:lang w:val="en_US" w:bidi="en_US"/>
        </w:rPr>
      </w:r>
      <w:r>
        <w:rPr>
          <w:b/>
          <w:lang w:val="en_US" w:bidi="en_US"/>
        </w:rPr>
        <w:t>just as the lightning flashes and lights up the sky from one end to the other:</w:t>
      </w:r>
      <w:r>
        <w:rPr>
          <w:lang w:val="en_US" w:bidi="en_US"/>
        </w:rPr>
        <w:t xml:space="preserve"> The expression </w:t>
      </w:r>
      <w:r>
        <w:rPr>
          <w:i/>
          <w:lang w:val="en_US" w:bidi="en_US"/>
        </w:rPr>
        <w:t>from one end to the other</w:t>
      </w:r>
      <w:r>
        <w:rPr>
          <w:lang w:val="en_US" w:bidi="en_US"/>
        </w:rPr>
        <w:t xml:space="preserve"> is more literally “out of a (part) of the sky into (another part) of the sky.” Here is another way to translate this:</w:t>
      </w:r>
    </w:p>
    <w:p>
      <w:pPr/>
      <w:r>
        <w:rPr>
          <w:lang w:val="en_US" w:bidi="en_US"/>
        </w:rPr>
      </w:r>
      <w:r>
        <w:rPr>
          <w:lang w:val="en_US" w:bidi="en_US"/>
        </w:rPr>
        <w:t>flashes and lights up the sky from one side to the other (ESV)</w:t>
      </w:r>
    </w:p>
    <w:p>
      <w:pPr/>
      <w:r>
        <w:rPr>
          <w:lang w:val="en_US" w:bidi="en_US"/>
        </w:rPr>
      </w:r>
      <w:r>
        <w:rPr>
          <w:lang w:val="en_US" w:bidi="en_US"/>
        </w:rPr>
        <w:t>In this context the expression probably indicates that the lightning makes the whole sky bright when it flashes. This meaning fits the context, since Jesus indicated that his coming would be obvious to everyone. Some ways to translate this meaning are:</w:t>
      </w:r>
    </w:p>
    <w:p>
      <w:pPr/>
      <w:r>
        <w:rPr>
          <w:lang w:val="en_US" w:bidi="en_US"/>
        </w:rPr>
      </w:r>
      <w:r>
        <w:rPr>
          <w:lang w:val="en_US" w:bidi="en_US"/>
        </w:rPr>
        <w:t>suddenly lights up the entire sky</w:t>
      </w:r>
    </w:p>
    <w:p>
      <w:pPr/>
      <w:r>
        <w:rPr>
          <w:lang w:val="en_US" w:bidi="en_US"/>
        </w:rPr>
      </w:r>
      <w:r>
        <w:rPr>
          <w:lang w:val="en_US" w:bidi="en_US"/>
        </w:rPr>
        <w:t>shines/flashes in the whole sky</w:t>
      </w:r>
    </w:p>
    <w:p>
      <w:pPr/>
      <w:r>
        <w:rPr>
          <w:lang w:val="en_US" w:bidi="en_US"/>
        </w:rPr>
      </w:r>
      <w:r>
        <w:rPr>
          <w:b/>
          <w:lang w:val="en_US" w:bidi="en_US"/>
        </w:rPr>
        <w:t>so will be the Son of Man in His day:</w:t>
      </w:r>
      <w:r>
        <w:rPr>
          <w:lang w:val="en_US" w:bidi="en_US"/>
        </w:rPr>
        <w:t xml:space="preserve"> Here Jesus compared his coming to lightning. Just as everyone can see lightning, so everyone will be able to see the Son of Man when he comes. He will not be hidden in some place where people will have to search for him. It will be obvious to everyone that he has come.</w:t>
      </w:r>
    </w:p>
    <w:p>
      <w:pPr/>
      <w:r>
        <w:rPr>
          <w:lang w:val="en_US" w:bidi="en_US"/>
        </w:rPr>
      </w:r>
      <w:r>
        <w:rPr>
          <w:lang w:val="en_US" w:bidi="en_US"/>
        </w:rPr>
        <w:t>In some languages it may be necessary to make the meaning more explicit. For example:</w:t>
      </w:r>
    </w:p>
    <w:p>
      <w:pPr/>
      <w:r>
        <w:rPr>
          <w:lang w:val="en_US" w:bidi="en_US"/>
        </w:rPr>
      </w:r>
      <w:r>
        <w:rPr>
          <w:lang w:val="en_US" w:bidi="en_US"/>
        </w:rPr>
        <w:t xml:space="preserve">The return of the Son of Man will be </w:t>
      </w:r>
      <w:r>
        <w:rPr>
          <w:lang w:val="en_US" w:bidi="en_US"/>
        </w:rPr>
        <w:t>as clear/obvious</w:t>
      </w:r>
      <w:r>
        <w:rPr>
          <w:lang w:val="en_US" w:bidi="en_US"/>
        </w:rPr>
        <w:t xml:space="preserve"> as lightning</w:t>
      </w:r>
    </w:p>
    <w:p>
      <w:pPr/>
      <w:r>
        <w:rPr>
          <w:lang w:val="en_US" w:bidi="en_US"/>
        </w:rPr>
      </w:r>
      <w:r>
        <w:rPr>
          <w:lang w:val="en_US" w:bidi="en_US"/>
        </w:rPr>
        <w:t>Everyone will know</w:t>
      </w:r>
      <w:r>
        <w:rPr>
          <w:lang w:val="en_US" w:bidi="en_US"/>
        </w:rPr>
        <w:t xml:space="preserve"> when the Son of Man returns, for </w:t>
      </w:r>
      <w:r>
        <w:rPr>
          <w:lang w:val="en_US" w:bidi="en_US"/>
        </w:rPr>
        <w:t>they will see him,</w:t>
      </w:r>
      <w:r>
        <w:rPr>
          <w:lang w:val="en_US" w:bidi="en_US"/>
        </w:rPr>
        <w:t xml:space="preserve"> just as </w:t>
      </w:r>
      <w:r>
        <w:rPr>
          <w:lang w:val="en_US" w:bidi="en_US"/>
        </w:rPr>
        <w:t>people see</w:t>
      </w:r>
      <w:r>
        <w:rPr>
          <w:lang w:val="en_US" w:bidi="en_US"/>
        </w:rPr>
        <w:t xml:space="preserve"> lightning in the sky</w:t>
      </w:r>
    </w:p>
    <w:p>
      <w:pPr/>
      <w:r>
        <w:rPr>
          <w:lang w:val="en_US" w:bidi="en_US"/>
        </w:rPr>
      </w:r>
      <w:r>
        <w:rPr>
          <w:b/>
          <w:lang w:val="en_US" w:bidi="en_US"/>
        </w:rPr>
        <w:t>the Son of Man in His day:</w:t>
      </w:r>
      <w:r>
        <w:rPr>
          <w:lang w:val="en_US" w:bidi="en_US"/>
        </w:rPr>
        <w:t xml:space="preserve"> The phrase </w:t>
      </w:r>
      <w:r>
        <w:rPr>
          <w:i/>
          <w:lang w:val="en_US" w:bidi="en_US"/>
        </w:rPr>
        <w:t>the Son of Man in His day</w:t>
      </w:r>
      <w:r>
        <w:rPr>
          <w:lang w:val="en_US" w:bidi="en_US"/>
        </w:rPr>
        <w:t>There is a textual issue here: (1) Some manuscripts have the words “in his day” after ‘the Son of Man.” (BSB, NIV, GNT, CEV, GW, RSV, NASB, KJV, NET, NLT, NCV, REB, NJB, ESV, JBP) (2) Other manuscripts do not include the words “in his day.” These manuscripts include some very important ones, but no English version follows them. It is recommended that you also follow option (1). You may want to include the other option in a footnote. For example, the NIV has the following note: “Some manuscripts do not have ‘in his day.’”</w:t>
      </w:r>
      <w:r>
        <w:rPr>
          <w:lang w:val="en_US" w:bidi="en_US"/>
        </w:rPr>
        <w:t xml:space="preserve"> refers to the day or time when Jesus, the Son of Man, will return to earth. Another way to translate this is:</w:t>
      </w:r>
    </w:p>
    <w:p>
      <w:pPr/>
      <w:r>
        <w:rPr>
          <w:lang w:val="en_US" w:bidi="en_US"/>
        </w:rPr>
      </w:r>
      <w:r>
        <w:rPr>
          <w:lang w:val="en_US" w:bidi="en_US"/>
        </w:rPr>
        <w:t>when the Son of Man returns (NLT96)</w:t>
      </w:r>
    </w:p>
    <w:p>
      <w:pPr/>
      <w:r>
        <w:rPr>
          <w:lang w:val="en_US" w:bidi="en_US"/>
        </w:rPr>
      </w:r>
      <w:r>
        <w:rPr>
          <w:b/>
          <w:lang w:val="en_US" w:bidi="en_US"/>
        </w:rPr>
        <w:t>the Son of Man:</w:t>
      </w:r>
      <w:r>
        <w:rPr>
          <w:lang w:val="en_US" w:bidi="en_US"/>
        </w:rPr>
        <w:t xml:space="preserve"> The phrase </w:t>
      </w:r>
      <w:r>
        <w:rPr>
          <w:i/>
          <w:lang w:val="en_US" w:bidi="en_US"/>
        </w:rPr>
        <w:t>Son of Man</w:t>
      </w:r>
      <w:r>
        <w:rPr>
          <w:lang w:val="en_US" w:bidi="en_US"/>
        </w:rPr>
        <w:t xml:space="preserve"> is a term that Jesus often used to refer to himself. In some languages it may be necessary to indicate explicitly that Jesus was referring to himself here. For example:</w:t>
      </w:r>
    </w:p>
    <w:p>
      <w:pPr/>
      <w:r>
        <w:rPr>
          <w:lang w:val="en_US" w:bidi="en_US"/>
        </w:rPr>
      </w:r>
      <w:r>
        <w:rPr>
          <w:lang w:val="en_US" w:bidi="en_US"/>
        </w:rPr>
        <w:t>I,</w:t>
      </w:r>
      <w:r>
        <w:rPr>
          <w:lang w:val="en_US" w:bidi="en_US"/>
        </w:rPr>
        <w:t xml:space="preserve"> the Son of Man</w:t>
      </w:r>
    </w:p>
    <w:p>
      <w:pPr/>
      <w:r>
        <w:rPr>
          <w:lang w:val="en_US" w:bidi="en_US"/>
        </w:rPr>
      </w:r>
      <w:r>
        <w:rPr>
          <w:lang w:val="en_US" w:bidi="en_US"/>
        </w:rPr>
        <w:t>For more information, see the note on 17:22a–b.</w:t>
      </w:r>
    </w:p>
    <w:p>
      <w:pPr>
        <w:pStyle w:val="Heading5"/>
      </w:pPr>
      <w:r>
        <w:rPr>
          <w:lang w:val="en_US" w:bidi="en_US"/>
        </w:rPr>
        <w:t>17:24b</w:t>
      </w:r>
    </w:p>
    <w:p>
      <w:pPr/>
      <w:r>
        <w:rPr>
          <w:lang w:val="en_US" w:bidi="en_US"/>
        </w:rPr>
      </w:r>
      <w:r>
        <w:rPr>
          <w:b/>
          <w:lang w:val="en_US" w:bidi="en_US"/>
        </w:rPr>
        <w:t>so will be the Son of Man in His day.</w:t>
      </w:r>
    </w:p>
    <w:p>
      <w:pPr>
        <w:pStyle w:val="ListBullet"/>
        <w:spacing w:line="240" w:lineRule="auto"/>
        <w:ind w:left="720"/>
      </w:pPr>
      <w:r>
        <w:rPr>
          <w:lang w:val="en_US" w:bidi="en_US"/>
        </w:rPr>
      </w:r>
      <w:r>
        <w:rPr>
          <w:lang w:val="en_US" w:bidi="en_US"/>
        </w:rPr>
        <w:t xml:space="preserve">so the Son of Man </w:t>
      </w:r>
      <w:r>
        <w:rPr>
          <w:lang w:val="en_US" w:bidi="en_US"/>
        </w:rPr>
        <w:t>will come</w:t>
      </w:r>
      <w:r>
        <w:rPr>
          <w:lang w:val="en_US" w:bidi="en_US"/>
        </w:rPr>
        <w:t xml:space="preserve"> in a way just as </w:t>
      </w:r>
      <w:r>
        <w:rPr>
          <w:lang w:val="en_US" w:bidi="en_US"/>
        </w:rPr>
        <w:t>visible/obvious</w:t>
      </w:r>
      <w:r>
        <w:rPr>
          <w:lang w:val="en_US" w:bidi="en_US"/>
        </w:rPr>
        <w:t>.</w:t>
      </w:r>
    </w:p>
    <w:p>
      <w:pPr>
        <w:pStyle w:val="ListBullet"/>
        <w:spacing w:line="240" w:lineRule="auto"/>
        <w:ind w:left="720"/>
      </w:pPr>
      <w:r>
        <w:rPr>
          <w:lang w:val="en_US" w:bidi="en_US"/>
        </w:rPr>
      </w:r>
      <w:r>
        <w:rPr>
          <w:lang w:val="en_US" w:bidi="en_US"/>
        </w:rPr>
        <w:t xml:space="preserve">In the same way, when </w:t>
      </w:r>
      <w:r>
        <w:rPr>
          <w:lang w:val="en_US" w:bidi="en_US"/>
        </w:rPr>
        <w:t>I,</w:t>
      </w:r>
      <w:r>
        <w:rPr>
          <w:lang w:val="en_US" w:bidi="en_US"/>
        </w:rPr>
        <w:t xml:space="preserve"> the Son of Man, </w:t>
      </w:r>
      <w:r>
        <w:rPr>
          <w:lang w:val="en_US" w:bidi="en_US"/>
        </w:rPr>
        <w:t>come to rule</w:t>
      </w:r>
      <w:r>
        <w:rPr>
          <w:lang w:val="en_US" w:bidi="en_US"/>
        </w:rPr>
        <w:t xml:space="preserve">, </w:t>
      </w:r>
      <w:r>
        <w:rPr>
          <w:lang w:val="en_US" w:bidi="en_US"/>
        </w:rPr>
        <w:t>everyone will see me</w:t>
      </w:r>
      <w:r>
        <w:rPr>
          <w:lang w:val="en_US" w:bidi="en_US"/>
        </w:rPr>
        <w:t>.</w:t>
      </w:r>
      <w:r>
        <w:rPr>
          <w:lang w:val="en_US" w:bidi="en_US"/>
        </w:rPr>
      </w:r>
      <w:r>
        <w:rPr>
          <w:lang w:val="en_US" w:bidi="en_US"/>
        </w:rPr>
      </w:r>
    </w:p>
    <w:p>
      <w:pPr/>
      <w:r>
        <w:rPr>
          <w:lang w:val="en_US" w:bidi="en_US"/>
        </w:rPr>
      </w:r>
    </w:p>
    <w:p>
      <w:pPr>
        <w:pStyle w:val="Heading2"/>
      </w:pPr>
      <w:r>
        <w:rPr>
          <w:lang w:val="en_US" w:bidi="en_US"/>
        </w:rPr>
        <w:t>Luke 17:25</w:t>
      </w:r>
      <w:r>
        <w:rPr>
          <w:lang w:val="en_US" w:bidi="en_US"/>
        </w:rPr>
      </w:r>
    </w:p>
    <w:p>
      <w:pPr>
        <w:pStyle w:val="Heading4"/>
      </w:pPr>
      <w:r>
        <w:rPr>
          <w:lang w:val="en_US" w:bidi="en_US"/>
        </w:rPr>
        <w:t>Section 17:20–37: Jesus taught about the time when the kingdom of God will come</w:t>
      </w:r>
    </w:p>
    <w:p>
      <w:pPr/>
      <w:r>
        <w:rPr>
          <w:lang w:val="en_US" w:bidi="en_US"/>
        </w:rPr>
      </w:r>
      <w:r>
        <w:rPr>
          <w:lang w:val="en_US" w:bidi="en_US"/>
        </w:rP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pPr/>
      <w:r>
        <w:rPr>
          <w:lang w:val="en_US" w:bidi="en_US"/>
        </w:rPr>
      </w:r>
      <w:r>
        <w:rPr>
          <w:lang w:val="en_US" w:bidi="en_US"/>
        </w:rPr>
        <w:t>Examples of headings for this section are:</w:t>
      </w:r>
    </w:p>
    <w:p>
      <w:pPr/>
      <w:r>
        <w:rPr>
          <w:lang w:val="en_US" w:bidi="en_US"/>
        </w:rPr>
      </w:r>
      <w:r>
        <w:rPr>
          <w:lang w:val="en_US" w:bidi="en_US"/>
        </w:rPr>
        <w:t>Jesus taught about when the Son of Man will come</w:t>
      </w:r>
    </w:p>
    <w:p>
      <w:pPr/>
      <w:r>
        <w:rPr>
          <w:lang w:val="en_US" w:bidi="en_US"/>
        </w:rPr>
      </w:r>
      <w:r>
        <w:rPr>
          <w:lang w:val="en_US" w:bidi="en_US"/>
        </w:rPr>
        <w:t>The coming of the Kingdom of God</w:t>
      </w:r>
    </w:p>
    <w:p>
      <w:pPr/>
      <w:r>
        <w:rPr>
          <w:lang w:val="en_US" w:bidi="en_US"/>
        </w:rPr>
      </w:r>
      <w:r>
        <w:rPr>
          <w:lang w:val="en_US" w:bidi="en_US"/>
        </w:rPr>
        <w:t>Parallel passages are in Matthew 24:17–18, 24:23–28, 24:37–41, and Mark 13:14–16, 13:19–23.</w:t>
      </w:r>
    </w:p>
    <w:p>
      <w:pPr>
        <w:pStyle w:val="Heading5"/>
      </w:pPr>
      <w:r>
        <w:rPr>
          <w:lang w:val="en_US" w:bidi="en_US"/>
        </w:rPr>
        <w:t>17:25a</w:t>
      </w:r>
    </w:p>
    <w:p>
      <w:pPr/>
      <w:r>
        <w:rPr>
          <w:lang w:val="en_US" w:bidi="en_US"/>
        </w:rPr>
      </w:r>
      <w:r>
        <w:rPr>
          <w:b/>
          <w:lang w:val="en_US" w:bidi="en_US"/>
        </w:rPr>
        <w:t>But first He must suffer many things</w:t>
      </w:r>
    </w:p>
    <w:p>
      <w:pPr>
        <w:pStyle w:val="ListBullet"/>
        <w:spacing w:line="240" w:lineRule="auto"/>
        <w:ind w:left="720"/>
      </w:pPr>
      <w:r>
        <w:rPr>
          <w:lang w:val="en_US" w:bidi="en_US"/>
        </w:rPr>
      </w:r>
      <w:r>
        <w:rPr>
          <w:lang w:val="en_US" w:bidi="en_US"/>
        </w:rPr>
        <w:t xml:space="preserve">But before this, </w:t>
      </w:r>
      <w:r>
        <w:rPr>
          <w:lang w:val="en_US" w:bidi="en_US"/>
        </w:rPr>
        <w:t>the Son of Man</w:t>
      </w:r>
      <w:r>
        <w:rPr>
          <w:lang w:val="en_US" w:bidi="en_US"/>
        </w:rPr>
        <w:t xml:space="preserve"> must endure much/great suffering,</w:t>
      </w:r>
    </w:p>
    <w:p>
      <w:pPr>
        <w:pStyle w:val="ListBullet"/>
        <w:spacing w:line="240" w:lineRule="auto"/>
        <w:ind w:left="720"/>
      </w:pPr>
      <w:r>
        <w:rPr>
          <w:lang w:val="en_US" w:bidi="en_US"/>
        </w:rPr>
      </w:r>
      <w:r>
        <w:rPr>
          <w:lang w:val="en_US" w:bidi="en_US"/>
        </w:rPr>
        <w:t xml:space="preserve">But before that happens, it is necessary that </w:t>
      </w:r>
      <w:r>
        <w:rPr>
          <w:lang w:val="en_US" w:bidi="en_US"/>
        </w:rPr>
        <w:t>I</w:t>
      </w:r>
      <w:r>
        <w:rPr>
          <w:lang w:val="en_US" w:bidi="en_US"/>
        </w:rPr>
        <w:t xml:space="preserve"> suffer in many ways,</w:t>
      </w:r>
    </w:p>
    <w:p>
      <w:pPr/>
      <w:r>
        <w:rPr>
          <w:lang w:val="en_US" w:bidi="en_US"/>
        </w:rPr>
      </w:r>
      <w:r>
        <w:rPr>
          <w:b/>
          <w:lang w:val="en_US" w:bidi="en_US"/>
        </w:rPr>
        <w:t>But first He must suffer many things:</w:t>
      </w:r>
      <w:r>
        <w:rPr>
          <w:lang w:val="en_US" w:bidi="en_US"/>
        </w:rPr>
        <w:t xml:space="preserve"> The clause </w:t>
      </w:r>
      <w:r>
        <w:rPr>
          <w:i/>
          <w:lang w:val="en_US" w:bidi="en_US"/>
        </w:rPr>
        <w:t>But first He must suffer many things</w:t>
      </w:r>
      <w:r>
        <w:rPr>
          <w:lang w:val="en_US" w:bidi="en_US"/>
        </w:rPr>
        <w:t xml:space="preserve"> refers to the many things that Jesus would soon suffer when the people arrested him, tormented him, and crucified him. The clause indicates that it would be necessary for him to suffer all these things before he returns gloriously to earth. See how you translated “The Son of Man must suffer many things” in 9:22.</w:t>
      </w:r>
    </w:p>
    <w:p>
      <w:pPr/>
      <w:r>
        <w:rPr>
          <w:lang w:val="en_US" w:bidi="en_US"/>
        </w:rPr>
      </w:r>
      <w:r>
        <w:rPr>
          <w:b/>
          <w:lang w:val="en_US" w:bidi="en_US"/>
        </w:rPr>
        <w:t>He:</w:t>
      </w:r>
      <w:r>
        <w:rPr>
          <w:lang w:val="en_US" w:bidi="en_US"/>
        </w:rPr>
        <w:t xml:space="preserve"> Here Jesus continued to refer to himself as </w:t>
      </w:r>
      <w:r>
        <w:rPr>
          <w:i/>
          <w:lang w:val="en_US" w:bidi="en_US"/>
        </w:rPr>
        <w:t>He</w:t>
      </w:r>
      <w:r>
        <w:rPr>
          <w:lang w:val="en_US" w:bidi="en_US"/>
        </w:rPr>
        <w:t>. If you used a pronoun such as “I” in 17:24, you can continue to use it here.</w:t>
      </w:r>
    </w:p>
    <w:p>
      <w:pPr/>
      <w:r>
        <w:rPr>
          <w:lang w:val="en_US" w:bidi="en_US"/>
        </w:rPr>
      </w:r>
      <w:r>
        <w:rPr>
          <w:b/>
          <w:lang w:val="en_US" w:bidi="en_US"/>
        </w:rPr>
        <w:t>many things:</w:t>
      </w:r>
      <w:r>
        <w:rPr>
          <w:lang w:val="en_US" w:bidi="en_US"/>
        </w:rPr>
        <w:t xml:space="preserve"> In this context the Greek word that the BSB translates as </w:t>
      </w:r>
      <w:r>
        <w:rPr>
          <w:i/>
          <w:lang w:val="en_US" w:bidi="en_US"/>
        </w:rPr>
        <w:t>many things</w:t>
      </w:r>
      <w:r>
        <w:rPr>
          <w:lang w:val="en_US" w:bidi="en_US"/>
        </w:rPr>
        <w:t xml:space="preserve"> indicates that Jesus would have to suffer in various ways. It also implies that the suffering would be terrible and not just for a short time. Some other ways to translate this phrase are:</w:t>
      </w:r>
    </w:p>
    <w:p>
      <w:pPr/>
      <w:r>
        <w:rPr>
          <w:lang w:val="en_US" w:bidi="en_US"/>
        </w:rPr>
      </w:r>
      <w:r>
        <w:rPr>
          <w:lang w:val="en_US" w:bidi="en_US"/>
        </w:rPr>
        <w:t>suffer a lot (GW)</w:t>
      </w:r>
    </w:p>
    <w:p>
      <w:pPr/>
      <w:r>
        <w:rPr>
          <w:lang w:val="en_US" w:bidi="en_US"/>
        </w:rPr>
      </w:r>
      <w:r>
        <w:rPr>
          <w:lang w:val="en_US" w:bidi="en_US"/>
        </w:rPr>
        <w:t>undergo many sufferings</w:t>
      </w:r>
    </w:p>
    <w:p>
      <w:pPr/>
      <w:r>
        <w:rPr>
          <w:lang w:val="en_US" w:bidi="en_US"/>
        </w:rPr>
      </w:r>
      <w:r>
        <w:rPr>
          <w:lang w:val="en_US" w:bidi="en_US"/>
        </w:rPr>
        <w:t>suffer terribly (NLT)</w:t>
      </w:r>
    </w:p>
    <w:p>
      <w:pPr>
        <w:pStyle w:val="Heading5"/>
      </w:pPr>
      <w:r>
        <w:rPr>
          <w:lang w:val="en_US" w:bidi="en_US"/>
        </w:rPr>
        <w:t>17:25b</w:t>
      </w:r>
    </w:p>
    <w:p>
      <w:pPr/>
      <w:r>
        <w:rPr>
          <w:lang w:val="en_US" w:bidi="en_US"/>
        </w:rPr>
      </w:r>
      <w:r>
        <w:rPr>
          <w:b/>
          <w:lang w:val="en_US" w:bidi="en_US"/>
        </w:rPr>
        <w:t>and be rejected by this generation.</w:t>
      </w:r>
    </w:p>
    <w:p>
      <w:pPr>
        <w:pStyle w:val="ListBullet"/>
        <w:spacing w:line="240" w:lineRule="auto"/>
        <w:ind w:left="720"/>
      </w:pPr>
      <w:r>
        <w:rPr>
          <w:lang w:val="en_US" w:bidi="en_US"/>
        </w:rPr>
      </w:r>
      <w:r>
        <w:rPr>
          <w:lang w:val="en_US" w:bidi="en_US"/>
        </w:rPr>
        <w:t xml:space="preserve">and </w:t>
      </w:r>
      <w:r>
        <w:rPr>
          <w:lang w:val="en_US" w:bidi="en_US"/>
        </w:rPr>
        <w:t>the people of</w:t>
      </w:r>
      <w:r>
        <w:rPr>
          <w:lang w:val="en_US" w:bidi="en_US"/>
        </w:rPr>
        <w:t xml:space="preserve"> this generation will reject/repudiate him.</w:t>
      </w:r>
    </w:p>
    <w:p>
      <w:pPr>
        <w:pStyle w:val="ListBullet"/>
        <w:spacing w:line="240" w:lineRule="auto"/>
        <w:ind w:left="720"/>
      </w:pPr>
      <w:r>
        <w:rPr>
          <w:lang w:val="en_US" w:bidi="en_US"/>
        </w:rPr>
      </w:r>
      <w:r>
        <w:rPr>
          <w:lang w:val="en_US" w:bidi="en_US"/>
        </w:rPr>
        <w:t xml:space="preserve">and the people </w:t>
      </w:r>
      <w:r>
        <w:rPr>
          <w:lang w:val="en_US" w:bidi="en_US"/>
        </w:rPr>
        <w:t>living today</w:t>
      </w:r>
      <w:r>
        <w:rPr>
          <w:lang w:val="en_US" w:bidi="en_US"/>
        </w:rPr>
        <w:t xml:space="preserve"> will not accept </w:t>
      </w:r>
      <w:r>
        <w:rPr>
          <w:lang w:val="en_US" w:bidi="en_US"/>
        </w:rPr>
        <w:t>me</w:t>
      </w:r>
      <w:r>
        <w:rPr>
          <w:lang w:val="en_US" w:bidi="en_US"/>
        </w:rPr>
        <w:t xml:space="preserve"> </w:t>
      </w:r>
      <w:r>
        <w:rPr>
          <w:lang w:val="en_US" w:bidi="en_US"/>
        </w:rPr>
        <w:t>or my teaching</w:t>
      </w:r>
      <w:r>
        <w:rPr>
          <w:lang w:val="en_US" w:bidi="en_US"/>
        </w:rPr>
        <w:t>.</w:t>
      </w:r>
    </w:p>
    <w:p>
      <w:pPr/>
      <w:r>
        <w:rPr>
          <w:lang w:val="en_US" w:bidi="en_US"/>
        </w:rPr>
      </w:r>
      <w:r>
        <w:rPr>
          <w:b/>
          <w:lang w:val="en_US" w:bidi="en_US"/>
        </w:rPr>
        <w:t>and be rejected by this generation:</w:t>
      </w:r>
      <w:r>
        <w:rPr>
          <w:lang w:val="en_US" w:bidi="en_US"/>
        </w:rPr>
        <w:t xml:space="preserve"> This clause tells another thing that must happen before Jesus returns. The verb </w:t>
      </w:r>
      <w:r>
        <w:rPr>
          <w:i/>
          <w:lang w:val="en_US" w:bidi="en_US"/>
        </w:rPr>
        <w:t>be rejected</w:t>
      </w:r>
      <w:r>
        <w:rPr>
          <w:lang w:val="en_US" w:bidi="en_US"/>
        </w:rPr>
        <w:t xml:space="preserve"> is passive. Here are some ways to translate the clause.</w:t>
      </w:r>
    </w:p>
    <w:p>
      <w:pPr>
        <w:pStyle w:val="ListBullet"/>
        <w:spacing w:line="240" w:lineRule="auto"/>
        <w:ind w:left="720"/>
      </w:pPr>
      <w:r>
        <w:rPr>
          <w:lang w:val="en_US" w:bidi="en_US"/>
        </w:rPr>
      </w:r>
      <w:r>
        <w:rPr>
          <w:lang w:val="en_US" w:bidi="en_US"/>
        </w:rPr>
        <w:t>Translate it as a passive clause. For example:</w:t>
      </w:r>
      <w:r>
        <w:rPr>
          <w:lang w:val="en_US" w:bidi="en_US"/>
        </w:rPr>
        <w:t>and be rejected by the people of this time (NCV)</w:t>
      </w:r>
      <w:r>
        <w:rPr>
          <w:lang w:val="en_US" w:bidi="en_US"/>
        </w:rPr>
        <w:t>and be rejected by the people of today (CEV)</w:t>
      </w:r>
    </w:p>
    <w:p>
      <w:pPr>
        <w:pStyle w:val="ListBullet"/>
        <w:spacing w:line="240" w:lineRule="auto"/>
        <w:ind w:left="720"/>
      </w:pPr>
      <w:r>
        <w:rPr>
          <w:lang w:val="en_US" w:bidi="en_US"/>
        </w:rPr>
      </w:r>
      <w:r>
        <w:rPr>
          <w:lang w:val="en_US" w:bidi="en_US"/>
        </w:rPr>
        <w:t>Translate it as an active clause. For example:</w:t>
      </w:r>
      <w:r>
        <w:rPr>
          <w:lang w:val="en_US" w:bidi="en_US"/>
        </w:rPr>
        <w:t>and this generation will reject him/me</w:t>
      </w:r>
      <w:r>
        <w:rPr>
          <w:lang w:val="en_US" w:bidi="en_US"/>
        </w:rPr>
        <w:t xml:space="preserve">and the people </w:t>
      </w:r>
      <w:r>
        <w:rPr>
          <w:lang w:val="en_US" w:bidi="en_US"/>
        </w:rPr>
        <w:t>living now/today</w:t>
      </w:r>
      <w:r>
        <w:rPr>
          <w:lang w:val="en_US" w:bidi="en_US"/>
        </w:rPr>
        <w:t xml:space="preserve"> will not accept him/me</w:t>
      </w:r>
    </w:p>
    <w:p>
      <w:pPr/>
      <w:r>
        <w:rPr>
          <w:lang w:val="en_US" w:bidi="en_US"/>
        </w:rPr>
      </w:r>
      <w:r>
        <w:rPr>
          <w:b/>
          <w:lang w:val="en_US" w:bidi="en_US"/>
        </w:rPr>
        <w:t>be rejected:</w:t>
      </w:r>
      <w:r>
        <w:rPr>
          <w:lang w:val="en_US" w:bidi="en_US"/>
        </w:rPr>
        <w:t xml:space="preserve"> To </w:t>
      </w:r>
      <w:r>
        <w:rPr>
          <w:i/>
          <w:lang w:val="en_US" w:bidi="en_US"/>
        </w:rPr>
        <w:t>be rejected</w:t>
      </w:r>
      <w:r>
        <w:rPr>
          <w:lang w:val="en_US" w:bidi="en_US"/>
        </w:rPr>
        <w:t xml:space="preserve"> means to be “judged by someone to be unworthy or unfit and so, denied acceptance.” People would say that Jesus was not the Messiah, as he claimed to be. They would refuse him and decide that he must suffer and die. See how you translated this verb in 9:22.</w:t>
      </w:r>
    </w:p>
    <w:p>
      <w:pPr/>
      <w:r>
        <w:rPr>
          <w:lang w:val="en_US" w:bidi="en_US"/>
        </w:rPr>
      </w:r>
      <w:r>
        <w:rPr>
          <w:b/>
          <w:lang w:val="en_US" w:bidi="en_US"/>
        </w:rPr>
        <w:t>by this generation:</w:t>
      </w:r>
      <w:r>
        <w:rPr>
          <w:lang w:val="en_US" w:bidi="en_US"/>
        </w:rPr>
        <w:t xml:space="preserve"> The phrase </w:t>
      </w:r>
      <w:r>
        <w:rPr>
          <w:i/>
          <w:lang w:val="en_US" w:bidi="en_US"/>
        </w:rPr>
        <w:t>this generation</w:t>
      </w:r>
      <w:r>
        <w:rPr>
          <w:lang w:val="en_US" w:bidi="en_US"/>
        </w:rPr>
        <w:t xml:space="preserve"> refers to Jewish people who lived in the same period of time as Jesus. It does not refer to a specific age group. Jesus used the same phrase </w:t>
      </w:r>
      <w:r>
        <w:rPr>
          <w:i/>
          <w:lang w:val="en_US" w:bidi="en_US"/>
        </w:rPr>
        <w:t>this generation</w:t>
      </w:r>
      <w:r>
        <w:rPr>
          <w:lang w:val="en_US" w:bidi="en_US"/>
        </w:rPr>
        <w:t xml:space="preserve"> in 7:31, but the context is slightly different. See how you translated it there. You may need to adjust the phrase to fit this context.</w:t>
      </w:r>
      <w:r>
        <w:rPr>
          <w:lang w:val="en_US" w:bidi="en_US"/>
        </w:rPr>
      </w:r>
      <w:r>
        <w:rPr>
          <w:lang w:val="en_US" w:bidi="en_US"/>
        </w:rPr>
      </w:r>
    </w:p>
    <w:p>
      <w:pPr/>
      <w:r>
        <w:rPr>
          <w:lang w:val="en_US" w:bidi="en_US"/>
        </w:rPr>
      </w:r>
    </w:p>
    <w:p>
      <w:pPr>
        <w:pStyle w:val="Heading2"/>
      </w:pPr>
      <w:r>
        <w:rPr>
          <w:lang w:val="en_US" w:bidi="en_US"/>
        </w:rPr>
        <w:t>Luke 17:26</w:t>
      </w:r>
      <w:r>
        <w:rPr>
          <w:lang w:val="en_US" w:bidi="en_US"/>
        </w:rPr>
      </w:r>
    </w:p>
    <w:p>
      <w:pPr>
        <w:pStyle w:val="Heading4"/>
      </w:pPr>
      <w:r>
        <w:rPr>
          <w:lang w:val="en_US" w:bidi="en_US"/>
        </w:rPr>
        <w:t>Section 17:20–37: Jesus taught about the time when the kingdom of God will come</w:t>
      </w:r>
    </w:p>
    <w:p>
      <w:pPr/>
      <w:r>
        <w:rPr>
          <w:lang w:val="en_US" w:bidi="en_US"/>
        </w:rPr>
      </w:r>
      <w:r>
        <w:rPr>
          <w:lang w:val="en_US" w:bidi="en_US"/>
        </w:rP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pPr/>
      <w:r>
        <w:rPr>
          <w:lang w:val="en_US" w:bidi="en_US"/>
        </w:rPr>
      </w:r>
      <w:r>
        <w:rPr>
          <w:lang w:val="en_US" w:bidi="en_US"/>
        </w:rPr>
        <w:t>Examples of headings for this section are:</w:t>
      </w:r>
    </w:p>
    <w:p>
      <w:pPr/>
      <w:r>
        <w:rPr>
          <w:lang w:val="en_US" w:bidi="en_US"/>
        </w:rPr>
      </w:r>
      <w:r>
        <w:rPr>
          <w:lang w:val="en_US" w:bidi="en_US"/>
        </w:rPr>
        <w:t>Jesus taught about when the Son of Man will come</w:t>
      </w:r>
    </w:p>
    <w:p>
      <w:pPr/>
      <w:r>
        <w:rPr>
          <w:lang w:val="en_US" w:bidi="en_US"/>
        </w:rPr>
      </w:r>
      <w:r>
        <w:rPr>
          <w:lang w:val="en_US" w:bidi="en_US"/>
        </w:rPr>
        <w:t>The coming of the Kingdom of God</w:t>
      </w:r>
    </w:p>
    <w:p>
      <w:pPr/>
      <w:r>
        <w:rPr>
          <w:lang w:val="en_US" w:bidi="en_US"/>
        </w:rPr>
      </w:r>
      <w:r>
        <w:rPr>
          <w:lang w:val="en_US" w:bidi="en_US"/>
        </w:rPr>
        <w:t>Parallel passages are in Matthew 24:17–18, 24:23–28, 24:37–41, and Mark 13:14–16, 13:19–23.</w:t>
      </w:r>
    </w:p>
    <w:p>
      <w:pPr>
        <w:pStyle w:val="Heading4"/>
      </w:pPr>
      <w:r>
        <w:rPr>
          <w:lang w:val="en_US" w:bidi="en_US"/>
        </w:rPr>
        <w:t>Paragraph 17:26–27</w:t>
      </w:r>
    </w:p>
    <w:p>
      <w:pPr/>
      <w:r>
        <w:rPr>
          <w:lang w:val="en_US" w:bidi="en_US"/>
        </w:rPr>
      </w:r>
      <w:r>
        <w:rPr>
          <w:lang w:val="en_US" w:bidi="en_US"/>
        </w:rPr>
        <w:t>For background, see Genesis chapters 6 and 7. During the time of Noah before the flood, people were busy living their normal lives. They were not thinking about God. Then God punished them with a flood. Only Noah and his family were prepared and survived the flood. The time before the Messiah returns will be similar in that way to the time of Noah. Most people will not be thinking about God. They will not know that he is about to punish them. You may also want to refer to the parallel verses in Matthew 24:37–39.</w:t>
      </w:r>
    </w:p>
    <w:p>
      <w:pPr>
        <w:pStyle w:val="Heading5"/>
      </w:pPr>
      <w:r>
        <w:rPr>
          <w:lang w:val="en_US" w:bidi="en_US"/>
        </w:rPr>
        <w:t>17:26a</w:t>
      </w:r>
    </w:p>
    <w:p>
      <w:pPr/>
      <w:r>
        <w:rPr>
          <w:lang w:val="en_US" w:bidi="en_US"/>
        </w:rPr>
      </w:r>
      <w:r>
        <w:rPr>
          <w:b/>
          <w:lang w:val="en_US" w:bidi="en_US"/>
        </w:rPr>
        <w:t>Just as it was in the days of Noah,</w:t>
      </w:r>
    </w:p>
    <w:p>
      <w:pPr>
        <w:pStyle w:val="ListBullet"/>
        <w:spacing w:line="240" w:lineRule="auto"/>
        <w:ind w:left="720"/>
      </w:pPr>
      <w:r>
        <w:rPr>
          <w:lang w:val="en_US" w:bidi="en_US"/>
        </w:rPr>
      </w:r>
      <w:r>
        <w:rPr>
          <w:lang w:val="en_US" w:bidi="en_US"/>
        </w:rPr>
        <w:t xml:space="preserve">¶ “The situation in the time of Noah </w:t>
      </w:r>
      <w:r>
        <w:rPr>
          <w:lang w:val="en_US" w:bidi="en_US"/>
        </w:rPr>
        <w:t>long ago</w:t>
      </w:r>
    </w:p>
    <w:p>
      <w:pPr>
        <w:pStyle w:val="ListBullet"/>
        <w:spacing w:line="240" w:lineRule="auto"/>
        <w:ind w:left="720"/>
      </w:pPr>
      <w:r>
        <w:rPr>
          <w:lang w:val="en_US" w:bidi="en_US"/>
        </w:rPr>
      </w:r>
      <w:r>
        <w:rPr>
          <w:lang w:val="en_US" w:bidi="en_US"/>
        </w:rPr>
        <w:t>¶ “</w:t>
      </w:r>
      <w:r>
        <w:rPr>
          <w:lang w:val="en_US" w:bidi="en_US"/>
        </w:rPr>
        <w:t>Before the flood came</w:t>
      </w:r>
      <w:r>
        <w:rPr>
          <w:lang w:val="en_US" w:bidi="en_US"/>
        </w:rPr>
        <w:t xml:space="preserve"> </w:t>
      </w:r>
      <w:r>
        <w:rPr>
          <w:lang w:val="en_US" w:bidi="en_US"/>
        </w:rPr>
        <w:t>long ago</w:t>
      </w:r>
      <w:r>
        <w:rPr>
          <w:lang w:val="en_US" w:bidi="en_US"/>
        </w:rPr>
        <w:t xml:space="preserve"> when Noah was alive, </w:t>
      </w:r>
      <w:r>
        <w:rPr>
          <w:lang w:val="en_US" w:bidi="en_US"/>
        </w:rPr>
        <w:t>people behaved</w:t>
      </w:r>
    </w:p>
    <w:p>
      <w:pPr>
        <w:pStyle w:val="Heading5"/>
      </w:pPr>
      <w:r>
        <w:rPr>
          <w:lang w:val="en_US" w:bidi="en_US"/>
        </w:rPr>
        <w:t>17:26b</w:t>
      </w:r>
    </w:p>
    <w:p>
      <w:pPr/>
      <w:r>
        <w:rPr>
          <w:lang w:val="en_US" w:bidi="en_US"/>
        </w:rPr>
      </w:r>
      <w:r>
        <w:rPr>
          <w:b/>
          <w:lang w:val="en_US" w:bidi="en_US"/>
        </w:rPr>
        <w:t>so also will it be in the days of the Son of Man:</w:t>
      </w:r>
    </w:p>
    <w:p>
      <w:pPr>
        <w:pStyle w:val="ListBullet"/>
        <w:spacing w:line="240" w:lineRule="auto"/>
        <w:ind w:left="720"/>
      </w:pPr>
      <w:r>
        <w:rPr>
          <w:lang w:val="en_US" w:bidi="en_US"/>
        </w:rPr>
      </w:r>
      <w:r>
        <w:rPr>
          <w:lang w:val="en_US" w:bidi="en_US"/>
        </w:rPr>
        <w:t>is like the situation will be in the time of the Son of Man.</w:t>
      </w:r>
    </w:p>
    <w:p>
      <w:pPr>
        <w:pStyle w:val="ListBullet"/>
        <w:spacing w:line="240" w:lineRule="auto"/>
        <w:ind w:left="720"/>
      </w:pPr>
      <w:r>
        <w:rPr>
          <w:lang w:val="en_US" w:bidi="en_US"/>
        </w:rPr>
      </w:r>
      <w:r>
        <w:rPr>
          <w:lang w:val="en_US" w:bidi="en_US"/>
        </w:rPr>
        <w:t xml:space="preserve">in the same way that </w:t>
      </w:r>
      <w:r>
        <w:rPr>
          <w:lang w:val="en_US" w:bidi="en_US"/>
        </w:rPr>
        <w:t>people will behave</w:t>
      </w:r>
      <w:r>
        <w:rPr>
          <w:lang w:val="en_US" w:bidi="en_US"/>
        </w:rPr>
        <w:t xml:space="preserve"> just before </w:t>
      </w:r>
      <w:r>
        <w:rPr>
          <w:lang w:val="en_US" w:bidi="en_US"/>
        </w:rPr>
        <w:t>I,</w:t>
      </w:r>
      <w:r>
        <w:rPr>
          <w:lang w:val="en_US" w:bidi="en_US"/>
        </w:rPr>
        <w:t xml:space="preserve"> the Son of Man, return.</w:t>
      </w:r>
    </w:p>
    <w:p>
      <w:pPr>
        <w:pStyle w:val="Heading5"/>
      </w:pPr>
      <w:r>
        <w:rPr>
          <w:lang w:val="en_US" w:bidi="en_US"/>
        </w:rPr>
        <w:t>17:26a–b</w:t>
      </w:r>
    </w:p>
    <w:p>
      <w:pPr/>
      <w:r>
        <w:rPr>
          <w:lang w:val="en_US" w:bidi="en_US"/>
        </w:rPr>
      </w:r>
      <w:r>
        <w:rPr>
          <w:b/>
          <w:lang w:val="en_US" w:bidi="en_US"/>
        </w:rPr>
        <w:t>Just as it was in the days of Noah, so also will it be in the days of the Son of Man:</w:t>
      </w:r>
      <w:r>
        <w:rPr>
          <w:lang w:val="en_US" w:bidi="en_US"/>
        </w:rPr>
        <w:t xml:space="preserve"> This verse indicates that the time just before Jesus returns to earth in the future will be like the time of Noah. In the next verse Jesus explained in what way it will be like that time.</w:t>
      </w:r>
    </w:p>
    <w:p>
      <w:pPr/>
      <w:r>
        <w:rPr>
          <w:lang w:val="en_US" w:bidi="en_US"/>
        </w:rPr>
      </w:r>
      <w:r>
        <w:rPr>
          <w:lang w:val="en_US" w:bidi="en_US"/>
        </w:rPr>
        <w:t>See the General Comment on 17:26a–b below for a suggestion about changing the order of clauses in this verse.</w:t>
      </w:r>
    </w:p>
    <w:p>
      <w:pPr/>
      <w:r>
        <w:rPr>
          <w:lang w:val="en_US" w:bidi="en_US"/>
        </w:rPr>
      </w:r>
      <w:r>
        <w:rPr>
          <w:b/>
          <w:lang w:val="en_US" w:bidi="en_US"/>
        </w:rPr>
        <w:t>Just as it was…so also will it be:</w:t>
      </w:r>
      <w:r>
        <w:rPr>
          <w:lang w:val="en_US" w:bidi="en_US"/>
        </w:rPr>
        <w:t xml:space="preserve"> As the next verse makes clear, Jesus was comparing the way people behaved in the days of Noah and the way people will behave during the days of the Son of Man. In some languages it may be necessary to make the meaning more explicit. For example:</w:t>
      </w:r>
    </w:p>
    <w:p>
      <w:pPr/>
      <w:r>
        <w:rPr>
          <w:lang w:val="en_US" w:bidi="en_US"/>
        </w:rPr>
      </w:r>
      <w:r>
        <w:rPr>
          <w:lang w:val="en_US" w:bidi="en_US"/>
        </w:rPr>
        <w:t xml:space="preserve">Just as people were </w:t>
      </w:r>
      <w:r>
        <w:rPr>
          <w:lang w:val="en_US" w:bidi="en_US"/>
        </w:rPr>
        <w:t>acting/behaving</w:t>
      </w:r>
      <w:r>
        <w:rPr>
          <w:lang w:val="en_US" w:bidi="en_US"/>
        </w:rPr>
        <w:t xml:space="preserve">…so they will </w:t>
      </w:r>
      <w:r>
        <w:rPr>
          <w:lang w:val="en_US" w:bidi="en_US"/>
        </w:rPr>
        <w:t>act/behave</w:t>
      </w:r>
    </w:p>
    <w:p>
      <w:pPr/>
      <w:r>
        <w:rPr>
          <w:lang w:val="en_US" w:bidi="en_US"/>
        </w:rPr>
      </w:r>
      <w:r>
        <w:rPr>
          <w:b/>
          <w:lang w:val="en_US" w:bidi="en_US"/>
        </w:rPr>
        <w:t>the days of Noah:</w:t>
      </w:r>
      <w:r>
        <w:rPr>
          <w:lang w:val="en_US" w:bidi="en_US"/>
        </w:rPr>
        <w:t xml:space="preserve"> The phrase </w:t>
      </w:r>
      <w:r>
        <w:rPr>
          <w:i/>
          <w:lang w:val="en_US" w:bidi="en_US"/>
        </w:rPr>
        <w:t>the days of Noah</w:t>
      </w:r>
      <w:r>
        <w:rPr>
          <w:lang w:val="en_US" w:bidi="en_US"/>
        </w:rPr>
        <w:t xml:space="preserve"> refers to the time thousands of years ago when Noah lived. The context clarifies that it refers specifically to the time just before the flood occurred. You may need to refer to this time more specifically in your language. For example:</w:t>
      </w:r>
    </w:p>
    <w:p>
      <w:pPr/>
      <w:r>
        <w:rPr>
          <w:lang w:val="en_US" w:bidi="en_US"/>
        </w:rPr>
      </w:r>
      <w:r>
        <w:rPr>
          <w:lang w:val="en_US" w:bidi="en_US"/>
        </w:rPr>
        <w:t xml:space="preserve">in the time of Noah </w:t>
      </w:r>
      <w:r>
        <w:rPr>
          <w:lang w:val="en_US" w:bidi="en_US"/>
        </w:rPr>
        <w:t>long ago</w:t>
      </w:r>
      <w:r>
        <w:rPr>
          <w:lang w:val="en_US" w:bidi="en_US"/>
        </w:rPr>
        <w:t xml:space="preserve"> </w:t>
      </w:r>
      <w:r>
        <w:rPr>
          <w:lang w:val="en_US" w:bidi="en_US"/>
        </w:rPr>
        <w:t>before the flood had occurred</w:t>
      </w:r>
    </w:p>
    <w:p>
      <w:pPr/>
      <w:r>
        <w:rPr>
          <w:lang w:val="en_US" w:bidi="en_US"/>
        </w:rPr>
      </w:r>
      <w:r>
        <w:rPr>
          <w:b/>
          <w:lang w:val="en_US" w:bidi="en_US"/>
        </w:rPr>
        <w:t>the days of the Son of Man:</w:t>
      </w:r>
      <w:r>
        <w:rPr>
          <w:lang w:val="en_US" w:bidi="en_US"/>
        </w:rPr>
        <w:t xml:space="preserve"> The phrase </w:t>
      </w:r>
      <w:r>
        <w:rPr>
          <w:i/>
          <w:lang w:val="en_US" w:bidi="en_US"/>
        </w:rPr>
        <w:t>the days of the Son of Man</w:t>
      </w:r>
      <w:r>
        <w:rPr>
          <w:lang w:val="en_US" w:bidi="en_US"/>
        </w:rPr>
        <w:t xml:space="preserve"> refers to the time period just before the Son of Man returns. See the note at 17:22a–b for suggestions on how to translate the phrase </w:t>
      </w:r>
      <w:r>
        <w:rPr>
          <w:i/>
          <w:lang w:val="en_US" w:bidi="en_US"/>
        </w:rPr>
        <w:t>Son of Man</w:t>
      </w:r>
      <w:r>
        <w:rPr>
          <w:lang w:val="en_US" w:bidi="en_US"/>
        </w:rPr>
        <w:t>.</w:t>
      </w:r>
    </w:p>
    <w:p>
      <w:pPr>
        <w:pStyle w:val="Heading6"/>
      </w:pPr>
      <w:r>
        <w:rPr>
          <w:b/>
          <w:lang w:val="en_US" w:bidi="en_US"/>
        </w:rPr>
        <w:t>General Comment on 17:26a–b</w:t>
      </w:r>
    </w:p>
    <w:p>
      <w:pPr/>
      <w:r>
        <w:rPr>
          <w:lang w:val="en_US" w:bidi="en_US"/>
        </w:rPr>
      </w:r>
      <w:r>
        <w:rPr>
          <w:lang w:val="en_US" w:bidi="en_US"/>
        </w:rPr>
        <w:t>In some languages it may be more natural to change the order of clauses in this verse. For example:</w:t>
      </w:r>
    </w:p>
    <w:p>
      <w:pPr/>
      <w:r>
        <w:rPr>
          <w:lang w:val="en_US" w:bidi="en_US"/>
        </w:rPr>
      </w:r>
      <w:r>
        <w:rPr>
          <w:vertAlign w:val="superscript"/>
          <w:lang w:val="en_US" w:bidi="en_US"/>
        </w:rPr>
        <w:t>26b</w:t>
      </w:r>
      <w:r>
        <w:rPr>
          <w:lang w:val="en_US" w:bidi="en_US"/>
        </w:rPr>
        <w:t xml:space="preserve">When the Son of Man comes again, </w:t>
      </w:r>
      <w:r>
        <w:rPr>
          <w:vertAlign w:val="superscript"/>
          <w:lang w:val="en_US" w:bidi="en_US"/>
        </w:rPr>
        <w:t>26a</w:t>
      </w:r>
      <w:r>
        <w:rPr>
          <w:lang w:val="en_US" w:bidi="en_US"/>
        </w:rPr>
        <w:t>the situation will be like the time of Noah. (GW)</w:t>
      </w:r>
      <w:r>
        <w:rPr>
          <w:lang w:val="en_US" w:bidi="en_US"/>
        </w:rPr>
      </w:r>
      <w:r>
        <w:rPr>
          <w:lang w:val="en_US" w:bidi="en_US"/>
        </w:rPr>
      </w:r>
    </w:p>
    <w:p>
      <w:pPr/>
      <w:r>
        <w:rPr>
          <w:lang w:val="en_US" w:bidi="en_US"/>
        </w:rPr>
      </w:r>
    </w:p>
    <w:p>
      <w:pPr>
        <w:pStyle w:val="Heading2"/>
      </w:pPr>
      <w:r>
        <w:rPr>
          <w:lang w:val="en_US" w:bidi="en_US"/>
        </w:rPr>
        <w:t>Luke 17:27</w:t>
      </w:r>
      <w:r>
        <w:rPr>
          <w:lang w:val="en_US" w:bidi="en_US"/>
        </w:rPr>
      </w:r>
    </w:p>
    <w:p>
      <w:pPr>
        <w:pStyle w:val="Heading4"/>
      </w:pPr>
      <w:r>
        <w:rPr>
          <w:lang w:val="en_US" w:bidi="en_US"/>
        </w:rPr>
        <w:t>Section 17:20–37: Jesus taught about the time when the kingdom of God will come</w:t>
      </w:r>
    </w:p>
    <w:p>
      <w:pPr/>
      <w:r>
        <w:rPr>
          <w:lang w:val="en_US" w:bidi="en_US"/>
        </w:rPr>
      </w:r>
      <w:r>
        <w:rPr>
          <w:lang w:val="en_US" w:bidi="en_US"/>
        </w:rP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pPr/>
      <w:r>
        <w:rPr>
          <w:lang w:val="en_US" w:bidi="en_US"/>
        </w:rPr>
      </w:r>
      <w:r>
        <w:rPr>
          <w:lang w:val="en_US" w:bidi="en_US"/>
        </w:rPr>
        <w:t>Examples of headings for this section are:</w:t>
      </w:r>
    </w:p>
    <w:p>
      <w:pPr/>
      <w:r>
        <w:rPr>
          <w:lang w:val="en_US" w:bidi="en_US"/>
        </w:rPr>
      </w:r>
      <w:r>
        <w:rPr>
          <w:lang w:val="en_US" w:bidi="en_US"/>
        </w:rPr>
        <w:t>Jesus taught about when the Son of Man will come</w:t>
      </w:r>
    </w:p>
    <w:p>
      <w:pPr/>
      <w:r>
        <w:rPr>
          <w:lang w:val="en_US" w:bidi="en_US"/>
        </w:rPr>
      </w:r>
      <w:r>
        <w:rPr>
          <w:lang w:val="en_US" w:bidi="en_US"/>
        </w:rPr>
        <w:t>The coming of the Kingdom of God</w:t>
      </w:r>
    </w:p>
    <w:p>
      <w:pPr/>
      <w:r>
        <w:rPr>
          <w:lang w:val="en_US" w:bidi="en_US"/>
        </w:rPr>
      </w:r>
      <w:r>
        <w:rPr>
          <w:lang w:val="en_US" w:bidi="en_US"/>
        </w:rPr>
        <w:t>Parallel passages are in Matthew 24:17–18, 24:23–28, 24:37–41, and Mark 13:14–16, 13:19–23.</w:t>
      </w:r>
    </w:p>
    <w:p>
      <w:pPr>
        <w:pStyle w:val="Heading4"/>
      </w:pPr>
      <w:r>
        <w:rPr>
          <w:lang w:val="en_US" w:bidi="en_US"/>
        </w:rPr>
        <w:t>Paragraph 17:26–27</w:t>
      </w:r>
    </w:p>
    <w:p>
      <w:pPr/>
      <w:r>
        <w:rPr>
          <w:lang w:val="en_US" w:bidi="en_US"/>
        </w:rPr>
      </w:r>
      <w:r>
        <w:rPr>
          <w:lang w:val="en_US" w:bidi="en_US"/>
        </w:rPr>
        <w:t>For background, see Genesis chapters 6 and 7. During the time of Noah before the flood, people were busy living their normal lives. They were not thinking about God. Then God punished them with a flood. Only Noah and his family were prepared and survived the flood. The time before the Messiah returns will be similar in that way to the time of Noah. Most people will not be thinking about God. They will not know that he is about to punish them. You may also want to refer to the parallel verses in Matthew 24:37–39.</w:t>
      </w:r>
    </w:p>
    <w:p>
      <w:pPr>
        <w:pStyle w:val="Heading5"/>
      </w:pPr>
      <w:r>
        <w:rPr>
          <w:lang w:val="en_US" w:bidi="en_US"/>
        </w:rPr>
        <w:t>17:27a–b</w:t>
      </w:r>
    </w:p>
    <w:p>
      <w:pPr/>
      <w:r>
        <w:rPr>
          <w:lang w:val="en_US" w:bidi="en_US"/>
        </w:rPr>
      </w:r>
      <w:r>
        <w:rPr>
          <w:b/>
          <w:lang w:val="en_US" w:bidi="en_US"/>
        </w:rPr>
        <w:t>People were eating and drinking, marrying and being given in marriage:</w:t>
      </w:r>
      <w:r>
        <w:rPr>
          <w:lang w:val="en_US" w:bidi="en_US"/>
        </w:rPr>
        <w:t xml:space="preserve"> The verbs </w:t>
      </w:r>
      <w:r>
        <w:rPr>
          <w:i/>
          <w:lang w:val="en_US" w:bidi="en_US"/>
        </w:rPr>
        <w:t>eating</w:t>
      </w:r>
      <w:r>
        <w:rPr>
          <w:lang w:val="en_US" w:bidi="en_US"/>
        </w:rPr>
        <w:t xml:space="preserve">, </w:t>
      </w:r>
      <w:r>
        <w:rPr>
          <w:i/>
          <w:lang w:val="en_US" w:bidi="en_US"/>
        </w:rPr>
        <w:t>drinking</w:t>
      </w:r>
      <w:r>
        <w:rPr>
          <w:lang w:val="en_US" w:bidi="en_US"/>
        </w:rPr>
        <w:t xml:space="preserve">, </w:t>
      </w:r>
      <w:r>
        <w:rPr>
          <w:i/>
          <w:lang w:val="en_US" w:bidi="en_US"/>
        </w:rPr>
        <w:t>marrying</w:t>
      </w:r>
      <w:r>
        <w:rPr>
          <w:lang w:val="en_US" w:bidi="en_US"/>
        </w:rPr>
        <w:t xml:space="preserve">, and </w:t>
      </w:r>
      <w:r>
        <w:rPr>
          <w:i/>
          <w:lang w:val="en_US" w:bidi="en_US"/>
        </w:rPr>
        <w:t>being given in marriage</w:t>
      </w:r>
      <w:r>
        <w:rPr>
          <w:lang w:val="en_US" w:bidi="en_US"/>
        </w:rPr>
        <w:t xml:space="preserve"> refer to normal activities. People ate and drank every day, and it was common to have weddings. In some languages it may be necessary to indicate in some way that this is a list of normal activities. For example:</w:t>
      </w:r>
    </w:p>
    <w:p>
      <w:pPr/>
      <w:r>
        <w:rPr>
          <w:lang w:val="en_US" w:bidi="en_US"/>
        </w:rPr>
      </w:r>
      <w:r>
        <w:rPr>
          <w:lang w:val="en_US" w:bidi="en_US"/>
        </w:rPr>
        <w:t xml:space="preserve">People were </w:t>
      </w:r>
      <w:r>
        <w:rPr>
          <w:lang w:val="en_US" w:bidi="en_US"/>
        </w:rPr>
        <w:t>doing the same things they always did,</w:t>
      </w:r>
      <w:r>
        <w:rPr>
          <w:lang w:val="en_US" w:bidi="en_US"/>
        </w:rPr>
        <w:t xml:space="preserve"> eating, drinking, marrying…</w:t>
      </w:r>
    </w:p>
    <w:p>
      <w:pPr>
        <w:pStyle w:val="Heading5"/>
      </w:pPr>
      <w:r>
        <w:rPr>
          <w:lang w:val="en_US" w:bidi="en_US"/>
        </w:rPr>
        <w:t>17:27a</w:t>
      </w:r>
    </w:p>
    <w:p>
      <w:pPr/>
      <w:r>
        <w:rPr>
          <w:lang w:val="en_US" w:bidi="en_US"/>
        </w:rPr>
      </w:r>
      <w:r>
        <w:rPr>
          <w:b/>
          <w:lang w:val="en_US" w:bidi="en_US"/>
        </w:rPr>
        <w:t>People were eating and drinking,</w:t>
      </w:r>
    </w:p>
    <w:p>
      <w:pPr>
        <w:pStyle w:val="ListBullet"/>
        <w:spacing w:line="240" w:lineRule="auto"/>
        <w:ind w:left="720"/>
      </w:pPr>
      <w:r>
        <w:rPr>
          <w:lang w:val="en_US" w:bidi="en_US"/>
        </w:rPr>
      </w:r>
      <w:r>
        <w:rPr>
          <w:lang w:val="en_US" w:bidi="en_US"/>
        </w:rPr>
        <w:t>In that time long ago</w:t>
      </w:r>
      <w:r>
        <w:rPr>
          <w:lang w:val="en_US" w:bidi="en_US"/>
        </w:rPr>
        <w:t xml:space="preserve">, people were </w:t>
      </w:r>
      <w:r>
        <w:rPr>
          <w:lang w:val="en_US" w:bidi="en_US"/>
        </w:rPr>
        <w:t>busy</w:t>
      </w:r>
      <w:r>
        <w:rPr>
          <w:lang w:val="en_US" w:bidi="en_US"/>
        </w:rPr>
        <w:t xml:space="preserve"> eating and drinking,</w:t>
      </w:r>
    </w:p>
    <w:p>
      <w:pPr>
        <w:pStyle w:val="ListBullet"/>
        <w:spacing w:line="240" w:lineRule="auto"/>
        <w:ind w:left="720"/>
      </w:pPr>
      <w:r>
        <w:rPr>
          <w:lang w:val="en_US" w:bidi="en_US"/>
        </w:rPr>
      </w:r>
      <w:r>
        <w:rPr>
          <w:lang w:val="en_US" w:bidi="en_US"/>
        </w:rPr>
        <w:t xml:space="preserve">People </w:t>
      </w:r>
      <w:r>
        <w:rPr>
          <w:lang w:val="en_US" w:bidi="en_US"/>
        </w:rPr>
        <w:t>lived as usual</w:t>
      </w:r>
      <w:r>
        <w:rPr>
          <w:lang w:val="en_US" w:bidi="en_US"/>
        </w:rPr>
        <w:t>. They continued to eat their meals, and</w:t>
      </w:r>
    </w:p>
    <w:p>
      <w:pPr/>
      <w:r>
        <w:rPr>
          <w:lang w:val="en_US" w:bidi="en_US"/>
        </w:rPr>
      </w:r>
      <w:r>
        <w:rPr>
          <w:b/>
          <w:lang w:val="en_US" w:bidi="en_US"/>
        </w:rPr>
        <w:t>People were eating and drinking:</w:t>
      </w:r>
      <w:r>
        <w:rPr>
          <w:lang w:val="en_US" w:bidi="en_US"/>
        </w:rPr>
        <w:t xml:space="preserve"> The phrase that the BSB translates as </w:t>
      </w:r>
      <w:r>
        <w:rPr>
          <w:i/>
          <w:lang w:val="en_US" w:bidi="en_US"/>
        </w:rPr>
        <w:t>were eating and drinking</w:t>
      </w:r>
      <w:r>
        <w:rPr>
          <w:lang w:val="en_US" w:bidi="en_US"/>
        </w:rPr>
        <w:t xml:space="preserve"> refers to normal daily eating and drinking. It does not imply that the people were eating and drinking too much or becoming intoxicated. They were doing what they usually did.</w:t>
      </w:r>
    </w:p>
    <w:p>
      <w:pPr/>
      <w:r>
        <w:rPr>
          <w:lang w:val="en_US" w:bidi="en_US"/>
        </w:rPr>
      </w:r>
      <w:r>
        <w:rPr>
          <w:lang w:val="en_US" w:bidi="en_US"/>
        </w:rPr>
        <w:t>In some languages it may be natural to express these two actions with one word or phrase. For example:</w:t>
      </w:r>
    </w:p>
    <w:p>
      <w:pPr/>
      <w:r>
        <w:rPr>
          <w:lang w:val="en_US" w:bidi="en_US"/>
        </w:rPr>
      </w:r>
      <w:r>
        <w:rPr>
          <w:lang w:val="en_US" w:bidi="en_US"/>
        </w:rPr>
        <w:t>People were eating their dinners/meals</w:t>
      </w:r>
    </w:p>
    <w:p>
      <w:pPr/>
      <w:r>
        <w:rPr>
          <w:lang w:val="en_US" w:bidi="en_US"/>
        </w:rPr>
      </w:r>
      <w:r>
        <w:rPr>
          <w:b/>
          <w:lang w:val="en_US" w:bidi="en_US"/>
        </w:rPr>
        <w:t>People were:</w:t>
      </w:r>
      <w:r>
        <w:rPr>
          <w:lang w:val="en_US" w:bidi="en_US"/>
        </w:rPr>
        <w:t xml:space="preserve"> The Greek phrase that the BSB translates as </w:t>
      </w:r>
      <w:r>
        <w:rPr>
          <w:i/>
          <w:lang w:val="en_US" w:bidi="en_US"/>
        </w:rPr>
        <w:t>People were</w:t>
      </w:r>
      <w:r>
        <w:rPr>
          <w:lang w:val="en_US" w:bidi="en_US"/>
        </w:rPr>
        <w:t xml:space="preserve"> is more literally “they were.” It refers generally to the people who were alive in Noah’s time. Refer to the people in a natural way in your language.</w:t>
      </w:r>
    </w:p>
    <w:p>
      <w:pPr>
        <w:pStyle w:val="Heading5"/>
      </w:pPr>
      <w:r>
        <w:rPr>
          <w:lang w:val="en_US" w:bidi="en_US"/>
        </w:rPr>
        <w:t>17:27b</w:t>
      </w:r>
    </w:p>
    <w:p>
      <w:pPr/>
      <w:r>
        <w:rPr>
          <w:lang w:val="en_US" w:bidi="en_US"/>
        </w:rPr>
      </w:r>
      <w:r>
        <w:rPr>
          <w:b/>
          <w:lang w:val="en_US" w:bidi="en_US"/>
        </w:rPr>
        <w:t>marrying and being given in marriage,</w:t>
      </w:r>
    </w:p>
    <w:p>
      <w:pPr>
        <w:pStyle w:val="ListBullet"/>
        <w:spacing w:line="240" w:lineRule="auto"/>
        <w:ind w:left="720"/>
      </w:pPr>
      <w:r>
        <w:rPr>
          <w:lang w:val="en_US" w:bidi="en_US"/>
        </w:rPr>
      </w:r>
      <w:r>
        <w:rPr>
          <w:lang w:val="en_US" w:bidi="en_US"/>
        </w:rPr>
        <w:t>getting married and giving their daughters away in marriage</w:t>
      </w:r>
    </w:p>
    <w:p>
      <w:pPr>
        <w:pStyle w:val="ListBullet"/>
        <w:spacing w:line="240" w:lineRule="auto"/>
        <w:ind w:left="720"/>
      </w:pPr>
      <w:r>
        <w:rPr>
          <w:lang w:val="en_US" w:bidi="en_US"/>
        </w:rPr>
      </w:r>
      <w:r>
        <w:rPr>
          <w:lang w:val="en_US" w:bidi="en_US"/>
        </w:rPr>
        <w:t>men and women continued to marry each other.</w:t>
      </w:r>
    </w:p>
    <w:p>
      <w:pPr/>
      <w:r>
        <w:rPr>
          <w:lang w:val="en_US" w:bidi="en_US"/>
        </w:rPr>
      </w:r>
      <w:r>
        <w:rPr>
          <w:b/>
          <w:lang w:val="en_US" w:bidi="en_US"/>
        </w:rPr>
        <w:t>marrying and being given in marriage:</w:t>
      </w:r>
      <w:r>
        <w:rPr>
          <w:lang w:val="en_US" w:bidi="en_US"/>
        </w:rPr>
        <w:t xml:space="preserve"> The phrase </w:t>
      </w:r>
      <w:r>
        <w:rPr>
          <w:i/>
          <w:lang w:val="en_US" w:bidi="en_US"/>
        </w:rPr>
        <w:t>marrying and being given in marriage</w:t>
      </w:r>
      <w:r>
        <w:rPr>
          <w:lang w:val="en_US" w:bidi="en_US"/>
        </w:rPr>
        <w:t xml:space="preserve"> indicate that men and women were getting married. This statement has two parts:</w:t>
      </w:r>
    </w:p>
    <w:p>
      <w:pPr>
        <w:pStyle w:val="ListNumber"/>
        <w:numPr>
          <w:ilvl w:val="0"/>
          <w:numId w:val="292"/>
        </w:numPr>
        <w:spacing w:line="240" w:lineRule="auto"/>
        <w:ind w:left="720"/>
      </w:pPr>
      <w:r>
        <w:rPr>
          <w:lang w:val="en_US" w:bidi="en_US"/>
        </w:rPr>
      </w:r>
      <w:r>
        <w:rPr>
          <w:i/>
          <w:lang w:val="en_US" w:bidi="en_US"/>
        </w:rPr>
        <w:t>marrying</w:t>
      </w:r>
      <w:r>
        <w:rPr>
          <w:lang w:val="en_US" w:bidi="en_US"/>
        </w:rPr>
        <w:t>, which refers to men seeking wives and marrying them;</w:t>
      </w:r>
    </w:p>
    <w:p>
      <w:pPr>
        <w:pStyle w:val="ListNumber"/>
        <w:spacing w:line="240" w:lineRule="auto"/>
        <w:ind w:left="720"/>
      </w:pPr>
      <w:r>
        <w:rPr>
          <w:lang w:val="en_US" w:bidi="en_US"/>
        </w:rPr>
      </w:r>
      <w:r>
        <w:rPr>
          <w:i/>
          <w:lang w:val="en_US" w:bidi="en_US"/>
        </w:rPr>
        <w:t>being given in marriage</w:t>
      </w:r>
      <w:r>
        <w:rPr>
          <w:lang w:val="en_US" w:bidi="en_US"/>
        </w:rPr>
        <w:t>, which refers to women being given to men to marry.</w:t>
      </w:r>
    </w:p>
    <w:p>
      <w:pPr/>
      <w:r>
        <w:rPr>
          <w:lang w:val="en_US" w:bidi="en_US"/>
        </w:rPr>
      </w:r>
      <w:r>
        <w:rPr>
          <w:lang w:val="en_US" w:bidi="en_US"/>
        </w:rPr>
        <w:t>These two parts have almost the same meaning. In some languages it may be good to state the meaning only once. For example:</w:t>
      </w:r>
    </w:p>
    <w:p>
      <w:pPr/>
      <w:r>
        <w:rPr>
          <w:lang w:val="en_US" w:bidi="en_US"/>
        </w:rPr>
      </w:r>
      <w:r>
        <w:rPr>
          <w:lang w:val="en_US" w:bidi="en_US"/>
        </w:rPr>
        <w:t>men and women married (GNT)</w:t>
      </w:r>
    </w:p>
    <w:p>
      <w:pPr/>
      <w:r>
        <w:rPr>
          <w:lang w:val="en_US" w:bidi="en_US"/>
        </w:rPr>
      </w:r>
      <w:r>
        <w:rPr>
          <w:lang w:val="en_US" w:bidi="en_US"/>
        </w:rPr>
        <w:t>they were marrying (NET)</w:t>
      </w:r>
    </w:p>
    <w:p>
      <w:pPr/>
      <w:r>
        <w:rPr>
          <w:lang w:val="en_US" w:bidi="en_US"/>
        </w:rPr>
      </w:r>
      <w:r>
        <w:rPr>
          <w:lang w:val="en_US" w:bidi="en_US"/>
        </w:rPr>
        <w:t>getting married (CEV)</w:t>
      </w:r>
    </w:p>
    <w:p>
      <w:pPr/>
      <w:r>
        <w:rPr>
          <w:lang w:val="en_US" w:bidi="en_US"/>
        </w:rPr>
      </w:r>
      <w:r>
        <w:rPr>
          <w:b/>
          <w:lang w:val="en_US" w:bidi="en_US"/>
        </w:rPr>
        <w:t>being given in marriage:</w:t>
      </w:r>
      <w:r>
        <w:rPr>
          <w:lang w:val="en_US" w:bidi="en_US"/>
        </w:rPr>
        <w:t xml:space="preserve"> This phrase refers to a custom that was common in Jewish culture. A father arranged a marriage for his daughter. If a man had other female relatives who were dependent on him, he could also arrange marriages for them.</w:t>
      </w:r>
    </w:p>
    <w:p>
      <w:pPr/>
      <w:r>
        <w:rPr>
          <w:lang w:val="en_US" w:bidi="en_US"/>
        </w:rPr>
      </w:r>
      <w:r>
        <w:rPr>
          <w:lang w:val="en_US" w:bidi="en_US"/>
        </w:rPr>
        <w:t>In cultures where this custom is well known, there may be a special way to speak about it. Consider whether you can use this way in your translation.</w:t>
      </w:r>
    </w:p>
    <w:p>
      <w:pPr/>
      <w:r>
        <w:rPr>
          <w:lang w:val="en_US" w:bidi="en_US"/>
        </w:rPr>
      </w:r>
      <w:r>
        <w:rPr>
          <w:lang w:val="en_US" w:bidi="en_US"/>
        </w:rPr>
        <w:t xml:space="preserve">The phrase </w:t>
      </w:r>
      <w:r>
        <w:rPr>
          <w:i/>
          <w:lang w:val="en_US" w:bidi="en_US"/>
        </w:rPr>
        <w:t>being given in marriage</w:t>
      </w:r>
      <w:r>
        <w:rPr>
          <w:lang w:val="en_US" w:bidi="en_US"/>
        </w:rPr>
        <w:t xml:space="preserve"> is passive. In some languages it may be necessary to make it active. For example:</w:t>
      </w:r>
    </w:p>
    <w:p>
      <w:pPr/>
      <w:r>
        <w:rPr>
          <w:lang w:val="en_US" w:bidi="en_US"/>
        </w:rPr>
      </w:r>
      <w:r>
        <w:rPr>
          <w:lang w:val="en_US" w:bidi="en_US"/>
        </w:rPr>
        <w:t>fathers were giving their daughters in marriage</w:t>
      </w:r>
    </w:p>
    <w:p>
      <w:pPr>
        <w:pStyle w:val="Heading5"/>
      </w:pPr>
      <w:r>
        <w:rPr>
          <w:lang w:val="en_US" w:bidi="en_US"/>
        </w:rPr>
        <w:t>17:27c</w:t>
      </w:r>
    </w:p>
    <w:p>
      <w:pPr/>
      <w:r>
        <w:rPr>
          <w:lang w:val="en_US" w:bidi="en_US"/>
        </w:rPr>
      </w:r>
      <w:r>
        <w:rPr>
          <w:b/>
          <w:lang w:val="en_US" w:bidi="en_US"/>
        </w:rPr>
        <w:t>up to the day Noah entered the ark.</w:t>
      </w:r>
    </w:p>
    <w:p>
      <w:pPr>
        <w:pStyle w:val="ListBullet"/>
        <w:spacing w:line="240" w:lineRule="auto"/>
        <w:ind w:left="720"/>
      </w:pPr>
      <w:r>
        <w:rPr>
          <w:lang w:val="en_US" w:bidi="en_US"/>
        </w:rPr>
      </w:r>
      <w:r>
        <w:rPr>
          <w:lang w:val="en_US" w:bidi="en_US"/>
        </w:rPr>
        <w:t>until the day when Noah entered into his large boat.</w:t>
      </w:r>
    </w:p>
    <w:p>
      <w:pPr>
        <w:pStyle w:val="ListBullet"/>
        <w:spacing w:line="240" w:lineRule="auto"/>
        <w:ind w:left="720"/>
      </w:pPr>
      <w:r>
        <w:rPr>
          <w:lang w:val="en_US" w:bidi="en_US"/>
        </w:rPr>
      </w:r>
      <w:r>
        <w:rPr>
          <w:lang w:val="en_US" w:bidi="en_US"/>
        </w:rPr>
        <w:t>They continued living as usual</w:t>
      </w:r>
      <w:r>
        <w:rPr>
          <w:lang w:val="en_US" w:bidi="en_US"/>
        </w:rPr>
        <w:t xml:space="preserve"> right up to the day that Noah went inside the big boat </w:t>
      </w:r>
      <w:r>
        <w:rPr>
          <w:lang w:val="en_US" w:bidi="en_US"/>
        </w:rPr>
        <w:t>that he had built/made</w:t>
      </w:r>
      <w:r>
        <w:rPr>
          <w:lang w:val="en_US" w:bidi="en_US"/>
        </w:rPr>
        <w:t>.</w:t>
      </w:r>
    </w:p>
    <w:p>
      <w:pPr/>
      <w:r>
        <w:rPr>
          <w:lang w:val="en_US" w:bidi="en_US"/>
        </w:rPr>
      </w:r>
      <w:r>
        <w:rPr>
          <w:b/>
          <w:lang w:val="en_US" w:bidi="en_US"/>
        </w:rPr>
        <w:t>up to the day Noah entered the ark:</w:t>
      </w:r>
      <w:r>
        <w:rPr>
          <w:lang w:val="en_US" w:bidi="en_US"/>
        </w:rPr>
        <w:t xml:space="preserve"> The Greek word that the BSB translates literally as </w:t>
      </w:r>
      <w:r>
        <w:rPr>
          <w:i/>
          <w:lang w:val="en_US" w:bidi="en_US"/>
        </w:rPr>
        <w:t>the day</w:t>
      </w:r>
      <w:r>
        <w:rPr>
          <w:lang w:val="en_US" w:bidi="en_US"/>
        </w:rPr>
        <w:t xml:space="preserve"> here refers to the time that Noah (and his family) went into the ark. The context of the flood implies that the people stopped doing what they normally did because the rains came and prevented them. Other ways to translate this are:</w:t>
      </w:r>
    </w:p>
    <w:p>
      <w:pPr/>
      <w:r>
        <w:rPr>
          <w:lang w:val="en_US" w:bidi="en_US"/>
        </w:rPr>
      </w:r>
      <w:r>
        <w:rPr>
          <w:lang w:val="en_US" w:bidi="en_US"/>
        </w:rPr>
        <w:t>right up to the time Noah entered his boat (NLT)</w:t>
      </w:r>
    </w:p>
    <w:p>
      <w:pPr/>
      <w:r>
        <w:rPr>
          <w:lang w:val="en_US" w:bidi="en_US"/>
        </w:rPr>
      </w:r>
      <w:r>
        <w:rPr>
          <w:lang w:val="en_US" w:bidi="en_US"/>
        </w:rPr>
        <w:t>until Noah entered the ark</w:t>
      </w:r>
    </w:p>
    <w:p>
      <w:pPr/>
      <w:r>
        <w:rPr>
          <w:lang w:val="en_US" w:bidi="en_US"/>
        </w:rPr>
      </w:r>
      <w:r>
        <w:rPr>
          <w:b/>
          <w:lang w:val="en_US" w:bidi="en_US"/>
        </w:rPr>
        <w:t>the ark:</w:t>
      </w:r>
      <w:r>
        <w:rPr>
          <w:lang w:val="en_US" w:bidi="en_US"/>
        </w:rPr>
        <w:t xml:space="preserve"> The </w:t>
      </w:r>
      <w:r>
        <w:rPr>
          <w:i/>
          <w:lang w:val="en_US" w:bidi="en_US"/>
        </w:rPr>
        <w:t>ark</w:t>
      </w:r>
      <w:r>
        <w:rPr>
          <w:lang w:val="en_US" w:bidi="en_US"/>
        </w:rPr>
        <w:t xml:space="preserve"> was the large wooden boat that Noah built. It saved Noah and his family from the flood. Refer to your translation of Genesis 6:14.</w:t>
      </w:r>
    </w:p>
    <w:p>
      <w:pPr>
        <w:pStyle w:val="Heading5"/>
      </w:pPr>
      <w:r>
        <w:rPr>
          <w:lang w:val="en_US" w:bidi="en_US"/>
        </w:rPr>
        <w:t>17:27d</w:t>
      </w:r>
    </w:p>
    <w:p>
      <w:pPr/>
      <w:r>
        <w:rPr>
          <w:lang w:val="en_US" w:bidi="en_US"/>
        </w:rPr>
      </w:r>
      <w:r>
        <w:rPr>
          <w:b/>
          <w:lang w:val="en_US" w:bidi="en_US"/>
        </w:rPr>
        <w:t>Then the flood came and destroyed them all.</w:t>
      </w:r>
    </w:p>
    <w:p>
      <w:pPr>
        <w:pStyle w:val="ListBullet"/>
        <w:spacing w:line="240" w:lineRule="auto"/>
        <w:ind w:left="720"/>
      </w:pPr>
      <w:r>
        <w:rPr>
          <w:lang w:val="en_US" w:bidi="en_US"/>
        </w:rPr>
      </w:r>
      <w:r>
        <w:rPr>
          <w:lang w:val="en_US" w:bidi="en_US"/>
        </w:rPr>
        <w:t>Then rains flooded the earth and killed all the people.</w:t>
      </w:r>
    </w:p>
    <w:p>
      <w:pPr>
        <w:pStyle w:val="ListBullet"/>
        <w:spacing w:line="240" w:lineRule="auto"/>
        <w:ind w:left="720"/>
      </w:pPr>
      <w:r>
        <w:rPr>
          <w:lang w:val="en_US" w:bidi="en_US"/>
        </w:rPr>
      </w:r>
      <w:r>
        <w:rPr>
          <w:lang w:val="en_US" w:bidi="en_US"/>
        </w:rPr>
        <w:t xml:space="preserve">Then the very big rain came, and it drowned everyone </w:t>
      </w:r>
      <w:r>
        <w:rPr>
          <w:lang w:val="en_US" w:bidi="en_US"/>
        </w:rPr>
        <w:t>who was not in the boat</w:t>
      </w:r>
      <w:r>
        <w:rPr>
          <w:lang w:val="en_US" w:bidi="en_US"/>
        </w:rPr>
        <w:t>.</w:t>
      </w:r>
    </w:p>
    <w:p>
      <w:pPr>
        <w:pStyle w:val="ListBullet"/>
        <w:spacing w:line="240" w:lineRule="auto"/>
        <w:ind w:left="720"/>
      </w:pPr>
      <w:r>
        <w:rPr>
          <w:lang w:val="en_US" w:bidi="en_US"/>
        </w:rPr>
      </w:r>
      <w:r>
        <w:rPr>
          <w:lang w:val="en_US" w:bidi="en_US"/>
        </w:rPr>
        <w:t xml:space="preserve">Then it kept on raining until the water covered </w:t>
      </w:r>
      <w:r>
        <w:rPr>
          <w:lang w:val="en_US" w:bidi="en_US"/>
        </w:rPr>
        <w:t>all the ground</w:t>
      </w:r>
      <w:r>
        <w:rPr>
          <w:lang w:val="en_US" w:bidi="en_US"/>
        </w:rPr>
        <w:t xml:space="preserve">, and everyone </w:t>
      </w:r>
      <w:r>
        <w:rPr>
          <w:lang w:val="en_US" w:bidi="en_US"/>
        </w:rPr>
        <w:t>who was not in the boat</w:t>
      </w:r>
      <w:r>
        <w:rPr>
          <w:lang w:val="en_US" w:bidi="en_US"/>
        </w:rPr>
        <w:t xml:space="preserve"> died.</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introduces what happened after Noah entered the ark. Introduce this event in a natural way in your language.</w:t>
      </w:r>
    </w:p>
    <w:p>
      <w:pPr/>
      <w:r>
        <w:rPr>
          <w:lang w:val="en_US" w:bidi="en_US"/>
        </w:rPr>
      </w:r>
      <w:r>
        <w:rPr>
          <w:b/>
          <w:lang w:val="en_US" w:bidi="en_US"/>
        </w:rPr>
        <w:t>the flood came:</w:t>
      </w:r>
      <w:r>
        <w:rPr>
          <w:lang w:val="en_US" w:bidi="en_US"/>
        </w:rPr>
        <w:t xml:space="preserve"> The phrase </w:t>
      </w:r>
      <w:r>
        <w:rPr>
          <w:i/>
          <w:lang w:val="en_US" w:bidi="en_US"/>
        </w:rPr>
        <w:t>the flood</w:t>
      </w:r>
      <w:r>
        <w:rPr>
          <w:lang w:val="en_US" w:bidi="en_US"/>
        </w:rPr>
        <w:t xml:space="preserve"> refers to the flood that is described in Genesis 7. Heavy rain caused deep water to flow over the whole earth. Some languages do not have a single word for </w:t>
      </w:r>
      <w:r>
        <w:rPr>
          <w:i/>
          <w:lang w:val="en_US" w:bidi="en_US"/>
        </w:rPr>
        <w:t>flood</w:t>
      </w:r>
      <w:r>
        <w:rPr>
          <w:lang w:val="en_US" w:bidi="en_US"/>
        </w:rPr>
        <w:t>, and in other languages people do not say that a flood “comes.” Describe the flood in a natural way in your language. Some ways to do this are:</w:t>
      </w:r>
    </w:p>
    <w:p>
      <w:pPr/>
      <w:r>
        <w:rPr>
          <w:lang w:val="en_US" w:bidi="en_US"/>
        </w:rPr>
      </w:r>
      <w:r>
        <w:rPr>
          <w:lang w:val="en_US" w:bidi="en_US"/>
        </w:rPr>
        <w:t>waters flooded the earth</w:t>
      </w:r>
    </w:p>
    <w:p>
      <w:pPr/>
      <w:r>
        <w:rPr>
          <w:lang w:val="en_US" w:bidi="en_US"/>
        </w:rPr>
      </w:r>
      <w:r>
        <w:rPr>
          <w:lang w:val="en_US" w:bidi="en_US"/>
        </w:rPr>
        <w:t>big water happened everywhere</w:t>
      </w:r>
    </w:p>
    <w:p>
      <w:pPr/>
      <w:r>
        <w:rPr>
          <w:lang w:val="en_US" w:bidi="en_US"/>
        </w:rPr>
      </w:r>
      <w:r>
        <w:rPr>
          <w:lang w:val="en_US" w:bidi="en_US"/>
        </w:rPr>
        <w:t>rains came too much and covered everything</w:t>
      </w:r>
    </w:p>
    <w:p>
      <w:pPr/>
      <w:r>
        <w:rPr>
          <w:lang w:val="en_US" w:bidi="en_US"/>
        </w:rPr>
      </w:r>
      <w:r>
        <w:rPr>
          <w:lang w:val="en_US" w:bidi="en_US"/>
        </w:rPr>
        <w:t>it rained heavily and water surged over the whole earth/ground</w:t>
      </w:r>
    </w:p>
    <w:p>
      <w:pPr/>
      <w:r>
        <w:rPr>
          <w:lang w:val="en_US" w:bidi="en_US"/>
        </w:rPr>
      </w:r>
      <w:r>
        <w:rPr>
          <w:b/>
          <w:lang w:val="en_US" w:bidi="en_US"/>
        </w:rPr>
        <w:t>and destroyed them all:</w:t>
      </w:r>
      <w:r>
        <w:rPr>
          <w:lang w:val="en_US" w:bidi="en_US"/>
        </w:rPr>
        <w:t xml:space="preserve"> In this context the phrase </w:t>
      </w:r>
      <w:r>
        <w:rPr>
          <w:i/>
          <w:lang w:val="en_US" w:bidi="en_US"/>
        </w:rPr>
        <w:t>them all</w:t>
      </w:r>
      <w:r>
        <w:rPr>
          <w:lang w:val="en_US" w:bidi="en_US"/>
        </w:rPr>
        <w:t xml:space="preserve"> refers to all the people who were not in the ark. Noah and his family were safe in the ark.</w:t>
      </w:r>
    </w:p>
    <w:p>
      <w:pPr/>
      <w:r>
        <w:rPr>
          <w:lang w:val="en_US" w:bidi="en_US"/>
        </w:rPr>
      </w:r>
      <w:r>
        <w:rPr>
          <w:lang w:val="en_US" w:bidi="en_US"/>
        </w:rPr>
        <w:t xml:space="preserve">The word </w:t>
      </w:r>
      <w:r>
        <w:rPr>
          <w:i/>
          <w:lang w:val="en_US" w:bidi="en_US"/>
        </w:rPr>
        <w:t>destroyed</w:t>
      </w:r>
      <w:r>
        <w:rPr>
          <w:lang w:val="en_US" w:bidi="en_US"/>
        </w:rPr>
        <w:t xml:space="preserve"> is used both here and in 17:29. Here it indicates that the flood killed all the other people except the ones in the ark with Noah.</w:t>
      </w:r>
      <w:r>
        <w:rPr>
          <w:lang w:val="en_US" w:bidi="en_US"/>
        </w:rPr>
      </w:r>
      <w:r>
        <w:rPr>
          <w:lang w:val="en_US" w:bidi="en_US"/>
        </w:rPr>
      </w:r>
    </w:p>
    <w:p>
      <w:pPr/>
      <w:r>
        <w:rPr>
          <w:lang w:val="en_US" w:bidi="en_US"/>
        </w:rPr>
      </w:r>
    </w:p>
    <w:p>
      <w:pPr>
        <w:pStyle w:val="Heading2"/>
      </w:pPr>
      <w:r>
        <w:rPr>
          <w:lang w:val="en_US" w:bidi="en_US"/>
        </w:rPr>
        <w:t>Luke 17:28</w:t>
      </w:r>
      <w:r>
        <w:rPr>
          <w:lang w:val="en_US" w:bidi="en_US"/>
        </w:rPr>
      </w:r>
    </w:p>
    <w:p>
      <w:pPr>
        <w:pStyle w:val="Heading4"/>
      </w:pPr>
      <w:r>
        <w:rPr>
          <w:lang w:val="en_US" w:bidi="en_US"/>
        </w:rPr>
        <w:t>Section 17:20–37: Jesus taught about the time when the kingdom of God will come</w:t>
      </w:r>
    </w:p>
    <w:p>
      <w:pPr/>
      <w:r>
        <w:rPr>
          <w:lang w:val="en_US" w:bidi="en_US"/>
        </w:rPr>
      </w:r>
      <w:r>
        <w:rPr>
          <w:lang w:val="en_US" w:bidi="en_US"/>
        </w:rP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pPr/>
      <w:r>
        <w:rPr>
          <w:lang w:val="en_US" w:bidi="en_US"/>
        </w:rPr>
      </w:r>
      <w:r>
        <w:rPr>
          <w:lang w:val="en_US" w:bidi="en_US"/>
        </w:rPr>
        <w:t>Examples of headings for this section are:</w:t>
      </w:r>
    </w:p>
    <w:p>
      <w:pPr/>
      <w:r>
        <w:rPr>
          <w:lang w:val="en_US" w:bidi="en_US"/>
        </w:rPr>
      </w:r>
      <w:r>
        <w:rPr>
          <w:lang w:val="en_US" w:bidi="en_US"/>
        </w:rPr>
        <w:t>Jesus taught about when the Son of Man will come</w:t>
      </w:r>
    </w:p>
    <w:p>
      <w:pPr/>
      <w:r>
        <w:rPr>
          <w:lang w:val="en_US" w:bidi="en_US"/>
        </w:rPr>
      </w:r>
      <w:r>
        <w:rPr>
          <w:lang w:val="en_US" w:bidi="en_US"/>
        </w:rPr>
        <w:t>The coming of the Kingdom of God</w:t>
      </w:r>
    </w:p>
    <w:p>
      <w:pPr/>
      <w:r>
        <w:rPr>
          <w:lang w:val="en_US" w:bidi="en_US"/>
        </w:rPr>
      </w:r>
      <w:r>
        <w:rPr>
          <w:lang w:val="en_US" w:bidi="en_US"/>
        </w:rPr>
        <w:t>Parallel passages are in Matthew 24:17–18, 24:23–28, 24:37–41, and Mark 13:14–16, 13:19–23.</w:t>
      </w:r>
    </w:p>
    <w:p>
      <w:pPr>
        <w:pStyle w:val="Heading4"/>
      </w:pPr>
      <w:r>
        <w:rPr>
          <w:lang w:val="en_US" w:bidi="en_US"/>
        </w:rPr>
        <w:t>Paragraph 17:28–30</w:t>
      </w:r>
    </w:p>
    <w:p>
      <w:pPr/>
      <w:r>
        <w:rPr>
          <w:lang w:val="en_US" w:bidi="en_US"/>
        </w:rPr>
      </w:r>
      <w:r>
        <w:rPr>
          <w:lang w:val="en_US" w:bidi="en_US"/>
        </w:rPr>
        <w:t>For the background to this paragraph, see Genesis chapters 18 and 19. This paragraph is similar to 17:26–27.</w:t>
      </w:r>
    </w:p>
    <w:p>
      <w:pPr>
        <w:pStyle w:val="Heading5"/>
      </w:pPr>
      <w:r>
        <w:rPr>
          <w:lang w:val="en_US" w:bidi="en_US"/>
        </w:rPr>
        <w:t>17:28a</w:t>
      </w:r>
    </w:p>
    <w:p>
      <w:pPr/>
      <w:r>
        <w:rPr>
          <w:lang w:val="en_US" w:bidi="en_US"/>
        </w:rPr>
      </w:r>
      <w:r>
        <w:rPr>
          <w:b/>
          <w:lang w:val="en_US" w:bidi="en_US"/>
        </w:rPr>
        <w:t>It was the same in the days of Lot:</w:t>
      </w:r>
    </w:p>
    <w:p>
      <w:pPr>
        <w:pStyle w:val="ListBullet"/>
        <w:spacing w:line="240" w:lineRule="auto"/>
        <w:ind w:left="720"/>
      </w:pPr>
      <w:r>
        <w:rPr>
          <w:lang w:val="en_US" w:bidi="en_US"/>
        </w:rPr>
      </w:r>
      <w:r>
        <w:rPr>
          <w:lang w:val="en_US" w:bidi="en_US"/>
        </w:rPr>
        <w:t>¶ “</w:t>
      </w:r>
      <w:r>
        <w:rPr>
          <w:lang w:val="en_US" w:bidi="en_US"/>
        </w:rPr>
        <w:t>The time when I return</w:t>
      </w:r>
      <w:r>
        <w:rPr>
          <w:lang w:val="en_US" w:bidi="en_US"/>
        </w:rPr>
        <w:t xml:space="preserve"> will also be like the time of Lot.</w:t>
      </w:r>
    </w:p>
    <w:p>
      <w:pPr>
        <w:pStyle w:val="ListBullet"/>
        <w:spacing w:line="240" w:lineRule="auto"/>
        <w:ind w:left="720"/>
      </w:pPr>
      <w:r>
        <w:rPr>
          <w:lang w:val="en_US" w:bidi="en_US"/>
        </w:rPr>
      </w:r>
      <w:r>
        <w:rPr>
          <w:lang w:val="en_US" w:bidi="en_US"/>
        </w:rPr>
        <w:t>¶ “</w:t>
      </w:r>
      <w:r>
        <w:rPr>
          <w:lang w:val="en_US" w:bidi="en_US"/>
        </w:rPr>
        <w:t>Also</w:t>
      </w:r>
      <w:r>
        <w:rPr>
          <w:lang w:val="en_US" w:bidi="en_US"/>
        </w:rPr>
        <w:t xml:space="preserve"> in the time of Lot </w:t>
      </w:r>
      <w:r>
        <w:rPr>
          <w:lang w:val="en_US" w:bidi="en_US"/>
        </w:rPr>
        <w:t>long ago</w:t>
      </w:r>
      <w:r>
        <w:rPr>
          <w:lang w:val="en_US" w:bidi="en_US"/>
        </w:rPr>
        <w:t xml:space="preserve"> the situation was just </w:t>
      </w:r>
      <w:r>
        <w:rPr>
          <w:lang w:val="en_US" w:bidi="en_US"/>
        </w:rPr>
        <w:t>as it will be when I return</w:t>
      </w:r>
      <w:r>
        <w:rPr>
          <w:lang w:val="en_US" w:bidi="en_US"/>
        </w:rPr>
        <w:t>.</w:t>
      </w:r>
    </w:p>
    <w:p>
      <w:pPr>
        <w:pStyle w:val="ListBullet"/>
        <w:spacing w:line="240" w:lineRule="auto"/>
        <w:ind w:left="720"/>
      </w:pPr>
      <w:r>
        <w:rPr>
          <w:lang w:val="en_US" w:bidi="en_US"/>
        </w:rPr>
      </w:r>
      <w:r>
        <w:rPr>
          <w:lang w:val="en_US" w:bidi="en_US"/>
        </w:rPr>
        <w:t>¶ “</w:t>
      </w:r>
      <w:r>
        <w:rPr>
          <w:lang w:val="en_US" w:bidi="en_US"/>
        </w:rPr>
        <w:t>When I come to rule,</w:t>
      </w:r>
      <w:r>
        <w:rPr>
          <w:lang w:val="en_US" w:bidi="en_US"/>
        </w:rPr>
        <w:t xml:space="preserve"> </w:t>
      </w:r>
      <w:r>
        <w:rPr>
          <w:lang w:val="en_US" w:bidi="en_US"/>
        </w:rPr>
        <w:t>people will be just as unprepared</w:t>
      </w:r>
      <w:r>
        <w:rPr>
          <w:lang w:val="en_US" w:bidi="en_US"/>
        </w:rPr>
        <w:t xml:space="preserve"> as </w:t>
      </w:r>
      <w:r>
        <w:rPr>
          <w:lang w:val="en_US" w:bidi="en_US"/>
        </w:rPr>
        <w:t>they</w:t>
      </w:r>
      <w:r>
        <w:rPr>
          <w:lang w:val="en_US" w:bidi="en_US"/>
        </w:rPr>
        <w:t xml:space="preserve"> also </w:t>
      </w:r>
      <w:r>
        <w:rPr>
          <w:lang w:val="en_US" w:bidi="en_US"/>
        </w:rPr>
        <w:t>were</w:t>
      </w:r>
      <w:r>
        <w:rPr>
          <w:lang w:val="en_US" w:bidi="en_US"/>
        </w:rPr>
        <w:t xml:space="preserve"> in the time when Lot lived.</w:t>
      </w:r>
    </w:p>
    <w:p>
      <w:pPr/>
      <w:r>
        <w:rPr>
          <w:lang w:val="en_US" w:bidi="en_US"/>
        </w:rPr>
      </w:r>
      <w:r>
        <w:rPr>
          <w:b/>
          <w:lang w:val="en_US" w:bidi="en_US"/>
        </w:rPr>
        <w:t>It was the same in the days of Lot:</w:t>
      </w:r>
      <w:r>
        <w:rPr>
          <w:lang w:val="en_US" w:bidi="en_US"/>
        </w:rPr>
        <w:t xml:space="preserve"> Here Jesus introduced another illustration of how the situation will be when the Son of Man returns. Just as the people of Noah’s time were unprepared for the flood, the people of Lot’s time were unprepared for the disaster that killed them. In the same way, people will be unprepared when Jesus returns.</w:t>
      </w:r>
    </w:p>
    <w:p>
      <w:pPr/>
      <w:r>
        <w:rPr>
          <w:lang w:val="en_US" w:bidi="en_US"/>
        </w:rPr>
      </w:r>
      <w:r>
        <w:rPr>
          <w:lang w:val="en_US" w:bidi="en_US"/>
        </w:rPr>
        <w:t>Jesus compared the people living during the times of Noah and Lot to the people who will be living when the Messiah will return. In some languages it may be necessary to make this explicit:</w:t>
      </w:r>
    </w:p>
    <w:p>
      <w:pPr/>
      <w:r>
        <w:rPr>
          <w:lang w:val="en_US" w:bidi="en_US"/>
        </w:rPr>
      </w:r>
      <w:r>
        <w:rPr>
          <w:lang w:val="en_US" w:bidi="en_US"/>
        </w:rPr>
        <w:t>What people will be doing when I will return will be</w:t>
      </w:r>
      <w:r>
        <w:rPr>
          <w:lang w:val="en_US" w:bidi="en_US"/>
        </w:rPr>
        <w:t xml:space="preserve"> like what people were doing when Lot was alive.</w:t>
      </w:r>
    </w:p>
    <w:p>
      <w:pPr/>
      <w:r>
        <w:rPr>
          <w:lang w:val="en_US" w:bidi="en_US"/>
        </w:rPr>
      </w:r>
      <w:r>
        <w:rPr>
          <w:b/>
          <w:lang w:val="en_US" w:bidi="en_US"/>
        </w:rPr>
        <w:t>in the days of Lot:</w:t>
      </w:r>
      <w:r>
        <w:rPr>
          <w:lang w:val="en_US" w:bidi="en_US"/>
        </w:rPr>
        <w:t xml:space="preserve"> The phrase </w:t>
      </w:r>
      <w:r>
        <w:rPr>
          <w:i/>
          <w:lang w:val="en_US" w:bidi="en_US"/>
        </w:rPr>
        <w:t>in the days of Lot</w:t>
      </w:r>
      <w:r>
        <w:rPr>
          <w:lang w:val="en_US" w:bidi="en_US"/>
        </w:rPr>
        <w:t xml:space="preserve"> refers to the time thousands of years ago when Lot lived. Lot was a nephew of Abraham. You may need to make it clear that the time when Lot lived was a long time before Jesus said these words. For example:</w:t>
      </w:r>
    </w:p>
    <w:p>
      <w:pPr/>
      <w:r>
        <w:rPr>
          <w:lang w:val="en_US" w:bidi="en_US"/>
        </w:rPr>
      </w:r>
      <w:r>
        <w:rPr>
          <w:lang w:val="en_US" w:bidi="en_US"/>
        </w:rPr>
        <w:t xml:space="preserve">the time </w:t>
      </w:r>
      <w:r>
        <w:rPr>
          <w:lang w:val="en_US" w:bidi="en_US"/>
        </w:rPr>
        <w:t>long ago</w:t>
      </w:r>
      <w:r>
        <w:rPr>
          <w:lang w:val="en_US" w:bidi="en_US"/>
        </w:rPr>
        <w:t xml:space="preserve"> when Lot was alive</w:t>
      </w:r>
    </w:p>
    <w:p>
      <w:pPr>
        <w:pStyle w:val="Heading5"/>
      </w:pPr>
      <w:r>
        <w:rPr>
          <w:lang w:val="en_US" w:bidi="en_US"/>
        </w:rPr>
        <w:t>17:28b</w:t>
      </w:r>
    </w:p>
    <w:p>
      <w:pPr/>
      <w:r>
        <w:rPr>
          <w:lang w:val="en_US" w:bidi="en_US"/>
        </w:rPr>
      </w:r>
      <w:r>
        <w:rPr>
          <w:b/>
          <w:lang w:val="en_US" w:bidi="en_US"/>
        </w:rPr>
        <w:t>People were eating and drinking, buying and selling,</w:t>
      </w:r>
    </w:p>
    <w:p>
      <w:pPr>
        <w:pStyle w:val="ListBullet"/>
        <w:spacing w:line="240" w:lineRule="auto"/>
        <w:ind w:left="720"/>
      </w:pPr>
      <w:r>
        <w:rPr>
          <w:lang w:val="en_US" w:bidi="en_US"/>
        </w:rPr>
      </w:r>
      <w:r>
        <w:rPr>
          <w:lang w:val="en_US" w:bidi="en_US"/>
        </w:rPr>
        <w:t xml:space="preserve">People were </w:t>
      </w:r>
      <w:r>
        <w:rPr>
          <w:lang w:val="en_US" w:bidi="en_US"/>
        </w:rPr>
        <w:t>busy</w:t>
      </w:r>
      <w:r>
        <w:rPr>
          <w:lang w:val="en_US" w:bidi="en_US"/>
        </w:rPr>
        <w:t xml:space="preserve"> eating, drinking, buying </w:t>
      </w:r>
      <w:r>
        <w:rPr>
          <w:lang w:val="en_US" w:bidi="en_US"/>
        </w:rPr>
        <w:t>goods</w:t>
      </w:r>
      <w:r>
        <w:rPr>
          <w:lang w:val="en_US" w:bidi="en_US"/>
        </w:rPr>
        <w:t xml:space="preserve">, and selling </w:t>
      </w:r>
      <w:r>
        <w:rPr>
          <w:lang w:val="en_US" w:bidi="en_US"/>
        </w:rPr>
        <w:t>them</w:t>
      </w:r>
      <w:r>
        <w:rPr>
          <w:lang w:val="en_US" w:bidi="en_US"/>
        </w:rPr>
        <w:t>.</w:t>
      </w:r>
    </w:p>
    <w:p>
      <w:pPr>
        <w:pStyle w:val="ListBullet"/>
        <w:spacing w:line="240" w:lineRule="auto"/>
        <w:ind w:left="720"/>
      </w:pPr>
      <w:r>
        <w:rPr>
          <w:lang w:val="en_US" w:bidi="en_US"/>
        </w:rPr>
      </w:r>
      <w:r>
        <w:rPr>
          <w:lang w:val="en_US" w:bidi="en_US"/>
        </w:rPr>
        <w:t xml:space="preserve">Everybody </w:t>
      </w:r>
      <w:r>
        <w:rPr>
          <w:lang w:val="en_US" w:bidi="en_US"/>
        </w:rPr>
        <w:t>in the town of Sodom</w:t>
      </w:r>
      <w:r>
        <w:rPr>
          <w:lang w:val="en_US" w:bidi="en_US"/>
        </w:rPr>
        <w:t xml:space="preserve"> was </w:t>
      </w:r>
      <w:r>
        <w:rPr>
          <w:lang w:val="en_US" w:bidi="en_US"/>
        </w:rPr>
        <w:t>living as usual,</w:t>
      </w:r>
      <w:r>
        <w:rPr>
          <w:lang w:val="en_US" w:bidi="en_US"/>
        </w:rPr>
        <w:t xml:space="preserve"> having feasts and trading.</w:t>
      </w:r>
    </w:p>
    <w:p>
      <w:pPr>
        <w:pStyle w:val="Heading5"/>
      </w:pPr>
      <w:r>
        <w:rPr>
          <w:lang w:val="en_US" w:bidi="en_US"/>
        </w:rPr>
        <w:t>17:28c</w:t>
      </w:r>
    </w:p>
    <w:p>
      <w:pPr/>
      <w:r>
        <w:rPr>
          <w:lang w:val="en_US" w:bidi="en_US"/>
        </w:rPr>
      </w:r>
      <w:r>
        <w:rPr>
          <w:b/>
          <w:lang w:val="en_US" w:bidi="en_US"/>
        </w:rPr>
        <w:t>planting and building.</w:t>
      </w:r>
    </w:p>
    <w:p>
      <w:pPr>
        <w:pStyle w:val="ListBullet"/>
        <w:spacing w:line="240" w:lineRule="auto"/>
        <w:ind w:left="720"/>
      </w:pPr>
      <w:r>
        <w:rPr>
          <w:lang w:val="en_US" w:bidi="en_US"/>
        </w:rPr>
      </w:r>
      <w:r>
        <w:rPr>
          <w:lang w:val="en_US" w:bidi="en_US"/>
        </w:rPr>
        <w:t xml:space="preserve">They were planting </w:t>
      </w:r>
      <w:r>
        <w:rPr>
          <w:lang w:val="en_US" w:bidi="en_US"/>
        </w:rPr>
        <w:t>fields/gardens</w:t>
      </w:r>
      <w:r>
        <w:rPr>
          <w:lang w:val="en_US" w:bidi="en_US"/>
        </w:rPr>
        <w:t xml:space="preserve"> and building </w:t>
      </w:r>
      <w:r>
        <w:rPr>
          <w:lang w:val="en_US" w:bidi="en_US"/>
        </w:rPr>
        <w:t>houses</w:t>
      </w:r>
      <w:r>
        <w:rPr>
          <w:lang w:val="en_US" w:bidi="en_US"/>
        </w:rPr>
        <w:t>.</w:t>
      </w:r>
    </w:p>
    <w:p>
      <w:pPr>
        <w:pStyle w:val="ListBullet"/>
        <w:spacing w:line="240" w:lineRule="auto"/>
        <w:ind w:left="720"/>
      </w:pPr>
      <w:r>
        <w:rPr>
          <w:lang w:val="en_US" w:bidi="en_US"/>
        </w:rPr>
      </w:r>
      <w:r>
        <w:rPr>
          <w:lang w:val="en_US" w:bidi="en_US"/>
        </w:rPr>
        <w:t xml:space="preserve">They were farming and building </w:t>
      </w:r>
      <w:r>
        <w:rPr>
          <w:lang w:val="en_US" w:bidi="en_US"/>
        </w:rPr>
        <w:t>houses</w:t>
      </w:r>
      <w:r>
        <w:rPr>
          <w:lang w:val="en_US" w:bidi="en_US"/>
        </w:rPr>
        <w:t xml:space="preserve"> </w:t>
      </w:r>
      <w:r>
        <w:rPr>
          <w:lang w:val="en_US" w:bidi="en_US"/>
        </w:rPr>
        <w:t>as they usually did</w:t>
      </w:r>
      <w:r>
        <w:rPr>
          <w:lang w:val="en_US" w:bidi="en_US"/>
        </w:rPr>
        <w:t>.</w:t>
      </w:r>
    </w:p>
    <w:p>
      <w:pPr>
        <w:pStyle w:val="Heading5"/>
      </w:pPr>
      <w:r>
        <w:rPr>
          <w:lang w:val="en_US" w:bidi="en_US"/>
        </w:rPr>
        <w:t>17:28b–c</w:t>
      </w:r>
    </w:p>
    <w:p>
      <w:pPr/>
      <w:r>
        <w:rPr>
          <w:lang w:val="en_US" w:bidi="en_US"/>
        </w:rPr>
      </w:r>
      <w:r>
        <w:rPr>
          <w:lang w:val="en_US" w:bidi="en_US"/>
        </w:rPr>
        <w:t>This part of the verse shows that people continued to do the things that they usually did. In some languages it may be helpful to make this explicit. For example:</w:t>
      </w:r>
    </w:p>
    <w:p>
      <w:pPr/>
      <w:r>
        <w:rPr>
          <w:lang w:val="en_US" w:bidi="en_US"/>
        </w:rPr>
      </w:r>
      <w:r>
        <w:rPr>
          <w:lang w:val="en_US" w:bidi="en_US"/>
        </w:rPr>
        <w:t>People went about their daily business—eating and drinking, buying and selling, farming and building (NLT)</w:t>
      </w:r>
    </w:p>
    <w:p>
      <w:pPr/>
      <w:r>
        <w:rPr>
          <w:lang w:val="en_US" w:bidi="en_US"/>
        </w:rPr>
      </w:r>
      <w:r>
        <w:rPr>
          <w:b/>
          <w:lang w:val="en_US" w:bidi="en_US"/>
        </w:rPr>
        <w:t>People were eating and drinking:</w:t>
      </w:r>
      <w:r>
        <w:rPr>
          <w:lang w:val="en_US" w:bidi="en_US"/>
        </w:rPr>
        <w:t xml:space="preserve"> The Greek phrase that the BSB translates as </w:t>
      </w:r>
      <w:r>
        <w:rPr>
          <w:i/>
          <w:lang w:val="en_US" w:bidi="en_US"/>
        </w:rPr>
        <w:t>People were eating and drinking</w:t>
      </w:r>
      <w:r>
        <w:rPr>
          <w:lang w:val="en_US" w:bidi="en_US"/>
        </w:rPr>
        <w:t xml:space="preserve"> was also used in 17:27a. See the note on 17:27a. There it referred to people in Noah’s time. Here it refers to the people living in the same town as Lot. The name of this town (Sodom) is mentioned in 17:29.</w:t>
      </w:r>
    </w:p>
    <w:p>
      <w:pPr/>
      <w:r>
        <w:rPr>
          <w:lang w:val="en_US" w:bidi="en_US"/>
        </w:rPr>
      </w:r>
      <w:r>
        <w:rPr>
          <w:b/>
          <w:lang w:val="en_US" w:bidi="en_US"/>
        </w:rPr>
        <w:t>buying and selling, planting and building:</w:t>
      </w:r>
      <w:r>
        <w:rPr>
          <w:lang w:val="en_US" w:bidi="en_US"/>
        </w:rPr>
        <w:t xml:space="preserve"> These verbs are other examples of normal activities that people did in the town where Lot lived.</w:t>
      </w:r>
    </w:p>
    <w:p>
      <w:pPr/>
      <w:r>
        <w:rPr>
          <w:lang w:val="en_US" w:bidi="en_US"/>
        </w:rPr>
      </w:r>
      <w:r>
        <w:rPr>
          <w:b/>
          <w:lang w:val="en_US" w:bidi="en_US"/>
        </w:rPr>
        <w:t>buying and selling:</w:t>
      </w:r>
      <w:r>
        <w:rPr>
          <w:lang w:val="en_US" w:bidi="en_US"/>
        </w:rPr>
        <w:t xml:space="preserve"> The verbs </w:t>
      </w:r>
      <w:r>
        <w:rPr>
          <w:i/>
          <w:lang w:val="en_US" w:bidi="en_US"/>
        </w:rPr>
        <w:t>buying</w:t>
      </w:r>
      <w:r>
        <w:rPr>
          <w:lang w:val="en_US" w:bidi="en_US"/>
        </w:rPr>
        <w:t xml:space="preserve"> and </w:t>
      </w:r>
      <w:r>
        <w:rPr>
          <w:i/>
          <w:lang w:val="en_US" w:bidi="en_US"/>
        </w:rPr>
        <w:t>selling</w:t>
      </w:r>
      <w:r>
        <w:rPr>
          <w:lang w:val="en_US" w:bidi="en_US"/>
        </w:rPr>
        <w:t xml:space="preserve"> are general verbs that can refer to buying or selling anything. In some languages it may be natural to translate these two verbs with a more general expression that includes both buying and selling. For example:</w:t>
      </w:r>
    </w:p>
    <w:p>
      <w:pPr/>
      <w:r>
        <w:rPr>
          <w:lang w:val="en_US" w:bidi="en_US"/>
        </w:rPr>
      </w:r>
      <w:r>
        <w:rPr>
          <w:lang w:val="en_US" w:bidi="en_US"/>
        </w:rPr>
        <w:t xml:space="preserve">trading </w:t>
      </w:r>
      <w:r>
        <w:rPr>
          <w:lang w:val="en_US" w:bidi="en_US"/>
        </w:rPr>
        <w:t>with each other</w:t>
      </w:r>
    </w:p>
    <w:p>
      <w:pPr/>
      <w:r>
        <w:rPr>
          <w:lang w:val="en_US" w:bidi="en_US"/>
        </w:rPr>
      </w:r>
      <w:r>
        <w:rPr>
          <w:lang w:val="en_US" w:bidi="en_US"/>
        </w:rPr>
        <w:t>The point is that people were doing what they usually did to earn money in order to live.</w:t>
      </w:r>
    </w:p>
    <w:p>
      <w:pPr/>
      <w:r>
        <w:rPr>
          <w:lang w:val="en_US" w:bidi="en_US"/>
        </w:rPr>
      </w:r>
      <w:r>
        <w:rPr>
          <w:b/>
          <w:lang w:val="en_US" w:bidi="en_US"/>
        </w:rPr>
        <w:t>planting and building:</w:t>
      </w:r>
      <w:r>
        <w:rPr>
          <w:lang w:val="en_US" w:bidi="en_US"/>
        </w:rPr>
        <w:t xml:space="preserve"> In some languages it may be more natural to include the object of one or both of these verbs. For example:</w:t>
      </w:r>
    </w:p>
    <w:p>
      <w:pPr/>
      <w:r>
        <w:rPr>
          <w:lang w:val="en_US" w:bidi="en_US"/>
        </w:rPr>
      </w:r>
      <w:r>
        <w:rPr>
          <w:lang w:val="en_US" w:bidi="en_US"/>
        </w:rPr>
        <w:t xml:space="preserve">planting </w:t>
      </w:r>
      <w:r>
        <w:rPr>
          <w:lang w:val="en_US" w:bidi="en_US"/>
        </w:rPr>
        <w:t>seeds/gardens</w:t>
      </w:r>
      <w:r>
        <w:rPr>
          <w:lang w:val="en_US" w:bidi="en_US"/>
        </w:rPr>
        <w:t xml:space="preserve"> and building </w:t>
      </w:r>
      <w:r>
        <w:rPr>
          <w:lang w:val="en_US" w:bidi="en_US"/>
        </w:rPr>
        <w:t>houses</w:t>
      </w:r>
      <w:r>
        <w:rPr>
          <w:lang w:val="en_US" w:bidi="en_US"/>
        </w:rPr>
      </w:r>
      <w:r>
        <w:rPr>
          <w:lang w:val="en_US" w:bidi="en_US"/>
        </w:rPr>
      </w:r>
    </w:p>
    <w:p>
      <w:pPr/>
      <w:r>
        <w:rPr>
          <w:lang w:val="en_US" w:bidi="en_US"/>
        </w:rPr>
      </w:r>
    </w:p>
    <w:p>
      <w:pPr>
        <w:pStyle w:val="Heading2"/>
      </w:pPr>
      <w:r>
        <w:rPr>
          <w:lang w:val="en_US" w:bidi="en_US"/>
        </w:rPr>
        <w:t>Luke 17:29</w:t>
      </w:r>
      <w:r>
        <w:rPr>
          <w:lang w:val="en_US" w:bidi="en_US"/>
        </w:rPr>
      </w:r>
    </w:p>
    <w:p>
      <w:pPr>
        <w:pStyle w:val="Heading4"/>
      </w:pPr>
      <w:r>
        <w:rPr>
          <w:lang w:val="en_US" w:bidi="en_US"/>
        </w:rPr>
        <w:t>Section 17:20–37: Jesus taught about the time when the kingdom of God will come</w:t>
      </w:r>
    </w:p>
    <w:p>
      <w:pPr/>
      <w:r>
        <w:rPr>
          <w:lang w:val="en_US" w:bidi="en_US"/>
        </w:rPr>
      </w:r>
      <w:r>
        <w:rPr>
          <w:lang w:val="en_US" w:bidi="en_US"/>
        </w:rP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pPr/>
      <w:r>
        <w:rPr>
          <w:lang w:val="en_US" w:bidi="en_US"/>
        </w:rPr>
      </w:r>
      <w:r>
        <w:rPr>
          <w:lang w:val="en_US" w:bidi="en_US"/>
        </w:rPr>
        <w:t>Examples of headings for this section are:</w:t>
      </w:r>
    </w:p>
    <w:p>
      <w:pPr/>
      <w:r>
        <w:rPr>
          <w:lang w:val="en_US" w:bidi="en_US"/>
        </w:rPr>
      </w:r>
      <w:r>
        <w:rPr>
          <w:lang w:val="en_US" w:bidi="en_US"/>
        </w:rPr>
        <w:t>Jesus taught about when the Son of Man will come</w:t>
      </w:r>
    </w:p>
    <w:p>
      <w:pPr/>
      <w:r>
        <w:rPr>
          <w:lang w:val="en_US" w:bidi="en_US"/>
        </w:rPr>
      </w:r>
      <w:r>
        <w:rPr>
          <w:lang w:val="en_US" w:bidi="en_US"/>
        </w:rPr>
        <w:t>The coming of the Kingdom of God</w:t>
      </w:r>
    </w:p>
    <w:p>
      <w:pPr/>
      <w:r>
        <w:rPr>
          <w:lang w:val="en_US" w:bidi="en_US"/>
        </w:rPr>
      </w:r>
      <w:r>
        <w:rPr>
          <w:lang w:val="en_US" w:bidi="en_US"/>
        </w:rPr>
        <w:t>Parallel passages are in Matthew 24:17–18, 24:23–28, 24:37–41, and Mark 13:14–16, 13:19–23.</w:t>
      </w:r>
    </w:p>
    <w:p>
      <w:pPr>
        <w:pStyle w:val="Heading4"/>
      </w:pPr>
      <w:r>
        <w:rPr>
          <w:lang w:val="en_US" w:bidi="en_US"/>
        </w:rPr>
        <w:t>Paragraph 17:28–30</w:t>
      </w:r>
    </w:p>
    <w:p>
      <w:pPr/>
      <w:r>
        <w:rPr>
          <w:lang w:val="en_US" w:bidi="en_US"/>
        </w:rPr>
      </w:r>
      <w:r>
        <w:rPr>
          <w:lang w:val="en_US" w:bidi="en_US"/>
        </w:rPr>
        <w:t>For the background to this paragraph, see Genesis chapters 18 and 19. This paragraph is similar to 17:26–27.</w:t>
      </w:r>
    </w:p>
    <w:p>
      <w:pPr>
        <w:pStyle w:val="Heading5"/>
      </w:pPr>
      <w:r>
        <w:rPr>
          <w:lang w:val="en_US" w:bidi="en_US"/>
        </w:rPr>
        <w:t>17:29a</w:t>
      </w:r>
    </w:p>
    <w:p>
      <w:pPr/>
      <w:r>
        <w:rPr>
          <w:lang w:val="en_US" w:bidi="en_US"/>
        </w:rPr>
      </w:r>
      <w:r>
        <w:rPr>
          <w:b/>
          <w:lang w:val="en_US" w:bidi="en_US"/>
        </w:rPr>
        <w:t>But on the day Lot left Sodom,</w:t>
      </w:r>
    </w:p>
    <w:p>
      <w:pPr>
        <w:pStyle w:val="ListBullet"/>
        <w:spacing w:line="240" w:lineRule="auto"/>
        <w:ind w:left="720"/>
      </w:pPr>
      <w:r>
        <w:rPr>
          <w:lang w:val="en_US" w:bidi="en_US"/>
        </w:rPr>
      </w:r>
      <w:r>
        <w:rPr>
          <w:lang w:val="en_US" w:bidi="en_US"/>
        </w:rPr>
        <w:t>But on the day that Lot left Sodom,</w:t>
      </w:r>
    </w:p>
    <w:p>
      <w:pPr>
        <w:pStyle w:val="ListBullet"/>
        <w:spacing w:line="240" w:lineRule="auto"/>
        <w:ind w:left="720"/>
      </w:pPr>
      <w:r>
        <w:rPr>
          <w:lang w:val="en_US" w:bidi="en_US"/>
        </w:rPr>
      </w:r>
      <w:r>
        <w:rPr>
          <w:lang w:val="en_US" w:bidi="en_US"/>
        </w:rPr>
        <w:t xml:space="preserve">Then Lot left </w:t>
      </w:r>
      <w:r>
        <w:rPr>
          <w:lang w:val="en_US" w:bidi="en_US"/>
        </w:rPr>
        <w:t>the city called</w:t>
      </w:r>
      <w:r>
        <w:rPr>
          <w:lang w:val="en_US" w:bidi="en_US"/>
        </w:rPr>
        <w:t xml:space="preserve"> Sodom </w:t>
      </w:r>
      <w:r>
        <w:rPr>
          <w:lang w:val="en_US" w:bidi="en_US"/>
        </w:rPr>
        <w:t>where he had been living</w:t>
      </w:r>
      <w:r>
        <w:rPr>
          <w:lang w:val="en_US" w:bidi="en_US"/>
        </w:rPr>
        <w:t xml:space="preserve">, and on the </w:t>
      </w:r>
      <w:r>
        <w:rPr>
          <w:lang w:val="en_US" w:bidi="en_US"/>
        </w:rPr>
        <w:t>same</w:t>
      </w:r>
      <w:r>
        <w:rPr>
          <w:lang w:val="en_US" w:bidi="en_US"/>
        </w:rPr>
        <w:t xml:space="preserve"> day</w:t>
      </w:r>
    </w:p>
    <w:p>
      <w:pPr/>
      <w:r>
        <w:rPr>
          <w:lang w:val="en_US" w:bidi="en_US"/>
        </w:rPr>
      </w:r>
      <w:r>
        <w:rPr>
          <w:b/>
          <w:lang w:val="en_US" w:bidi="en_US"/>
        </w:rPr>
        <w:t>But on the day Lot left Sodom:</w:t>
      </w:r>
      <w:r>
        <w:rPr>
          <w:lang w:val="en_US" w:bidi="en_US"/>
        </w:rPr>
        <w:t xml:space="preserve"> This clause refers to the time when the destruction in 17:29b happened. God waited until Lot had left Sodom before he punished the other people in Sodom. This is similar to how he waited until Noah entered the ark before he punished the other people with a flood. Some English versions imply this by emphasizing the word </w:t>
      </w:r>
      <w:r>
        <w:rPr>
          <w:i/>
          <w:lang w:val="en_US" w:bidi="en_US"/>
        </w:rPr>
        <w:t>day</w:t>
      </w:r>
      <w:r>
        <w:rPr>
          <w:lang w:val="en_US" w:bidi="en_US"/>
        </w:rPr>
        <w:t>. For example:</w:t>
      </w:r>
    </w:p>
    <w:p>
      <w:pPr/>
      <w:r>
        <w:rPr>
          <w:lang w:val="en_US" w:bidi="en_US"/>
        </w:rPr>
      </w:r>
      <w:r>
        <w:rPr>
          <w:lang w:val="en_US" w:bidi="en_US"/>
        </w:rPr>
        <w:t>on the very day (CEV)</w:t>
      </w:r>
    </w:p>
    <w:p>
      <w:pPr/>
      <w:r>
        <w:rPr>
          <w:lang w:val="en_US" w:bidi="en_US"/>
        </w:rPr>
      </w:r>
      <w:r>
        <w:rPr>
          <w:lang w:val="en_US" w:bidi="en_US"/>
        </w:rPr>
        <w:t>Notice that 17:27c mentions the “day” that Noah entered the ark. Notice also that 17:31a has the word “day” to refer to the time when the Son of Man comes. Consider whether you can use the same word in your translation.</w:t>
      </w:r>
    </w:p>
    <w:p>
      <w:pPr/>
      <w:r>
        <w:rPr>
          <w:lang w:val="en_US" w:bidi="en_US"/>
        </w:rPr>
      </w:r>
      <w:r>
        <w:rPr>
          <w:b/>
          <w:lang w:val="en_US" w:bidi="en_US"/>
        </w:rPr>
        <w:t>Lot left Sodom:</w:t>
      </w:r>
      <w:r>
        <w:rPr>
          <w:lang w:val="en_US" w:bidi="en_US"/>
        </w:rPr>
        <w:t xml:space="preserve"> </w:t>
      </w:r>
      <w:r>
        <w:rPr>
          <w:i/>
          <w:lang w:val="en_US" w:bidi="en_US"/>
        </w:rPr>
        <w:t>Sodom</w:t>
      </w:r>
      <w:r>
        <w:rPr>
          <w:lang w:val="en_US" w:bidi="en_US"/>
        </w:rPr>
        <w:t xml:space="preserve"> was the name of the town where Lot and the other people who were mentioned in 17:28 lived. Jesus’ disciples knew the story about Lot, so he did not need to tell them the details. For some languages it may be necessary to make it explicit that </w:t>
      </w:r>
      <w:r>
        <w:rPr>
          <w:i/>
          <w:lang w:val="en_US" w:bidi="en_US"/>
        </w:rPr>
        <w:t>Sodom</w:t>
      </w:r>
      <w:r>
        <w:rPr>
          <w:lang w:val="en_US" w:bidi="en_US"/>
        </w:rPr>
        <w:t xml:space="preserve"> was the town where Lot and these people lived. For example:</w:t>
      </w:r>
    </w:p>
    <w:p>
      <w:pPr/>
      <w:r>
        <w:rPr>
          <w:lang w:val="en_US" w:bidi="en_US"/>
        </w:rPr>
      </w:r>
      <w:r>
        <w:rPr>
          <w:lang w:val="en_US" w:bidi="en_US"/>
        </w:rPr>
        <w:t xml:space="preserve">Lot left </w:t>
      </w:r>
      <w:r>
        <w:rPr>
          <w:lang w:val="en_US" w:bidi="en_US"/>
        </w:rPr>
        <w:t>his/their town of</w:t>
      </w:r>
      <w:r>
        <w:rPr>
          <w:lang w:val="en_US" w:bidi="en_US"/>
        </w:rPr>
        <w:t xml:space="preserve"> Sodom</w:t>
      </w:r>
    </w:p>
    <w:p>
      <w:pPr>
        <w:pStyle w:val="Heading5"/>
      </w:pPr>
      <w:r>
        <w:rPr>
          <w:lang w:val="en_US" w:bidi="en_US"/>
        </w:rPr>
        <w:t>17:29b</w:t>
      </w:r>
    </w:p>
    <w:p>
      <w:pPr/>
      <w:r>
        <w:rPr>
          <w:lang w:val="en_US" w:bidi="en_US"/>
        </w:rPr>
      </w:r>
      <w:r>
        <w:rPr>
          <w:b/>
          <w:lang w:val="en_US" w:bidi="en_US"/>
        </w:rPr>
        <w:t>fire and sulfur rained down from heaven and destroyed them all.</w:t>
      </w:r>
    </w:p>
    <w:p>
      <w:pPr>
        <w:pStyle w:val="ListBullet"/>
        <w:spacing w:line="240" w:lineRule="auto"/>
        <w:ind w:left="720"/>
      </w:pPr>
      <w:r>
        <w:rPr>
          <w:lang w:val="en_US" w:bidi="en_US"/>
        </w:rPr>
      </w:r>
      <w:r>
        <w:rPr>
          <w:lang w:val="en_US" w:bidi="en_US"/>
        </w:rPr>
        <w:t>fire and sulfur rained/poured out of the sky and killed all of them.</w:t>
      </w:r>
    </w:p>
    <w:p>
      <w:pPr>
        <w:pStyle w:val="ListBullet"/>
        <w:spacing w:line="240" w:lineRule="auto"/>
        <w:ind w:left="720"/>
      </w:pPr>
      <w:r>
        <w:rPr>
          <w:lang w:val="en_US" w:bidi="en_US"/>
        </w:rPr>
      </w:r>
      <w:r>
        <w:rPr>
          <w:lang w:val="en_US" w:bidi="en_US"/>
        </w:rPr>
        <w:t>God</w:t>
      </w:r>
      <w:r>
        <w:rPr>
          <w:lang w:val="en_US" w:bidi="en_US"/>
        </w:rPr>
        <w:t xml:space="preserve"> caused fire and sulfur to fall from the sky, and all the people </w:t>
      </w:r>
      <w:r>
        <w:rPr>
          <w:lang w:val="en_US" w:bidi="en_US"/>
        </w:rPr>
        <w:t>there</w:t>
      </w:r>
      <w:r>
        <w:rPr>
          <w:lang w:val="en_US" w:bidi="en_US"/>
        </w:rPr>
        <w:t xml:space="preserve"> died.</w:t>
      </w:r>
    </w:p>
    <w:p>
      <w:pPr/>
      <w:r>
        <w:rPr>
          <w:lang w:val="en_US" w:bidi="en_US"/>
        </w:rPr>
      </w:r>
      <w:r>
        <w:rPr>
          <w:b/>
          <w:lang w:val="en_US" w:bidi="en_US"/>
        </w:rPr>
        <w:t>fire and sulfur rained down from heaven:</w:t>
      </w:r>
      <w:r>
        <w:rPr>
          <w:lang w:val="en_US" w:bidi="en_US"/>
        </w:rPr>
        <w:t xml:space="preserve"> The Greek verb that the BSB translates as </w:t>
      </w:r>
      <w:r>
        <w:rPr>
          <w:i/>
          <w:lang w:val="en_US" w:bidi="en_US"/>
        </w:rPr>
        <w:t>rained down</w:t>
      </w:r>
      <w:r>
        <w:rPr>
          <w:lang w:val="en_US" w:bidi="en_US"/>
        </w:rPr>
        <w:t xml:space="preserve"> is the verb that describes normal rain. Here it is used as a figure of speech. It is an interesting way to describe how the fire and sulfur came from the sky. Some other ways to translate this figure of speech are:</w:t>
      </w:r>
    </w:p>
    <w:p>
      <w:pPr>
        <w:pStyle w:val="ListBullet"/>
        <w:spacing w:line="240" w:lineRule="auto"/>
        <w:ind w:left="720"/>
      </w:pPr>
      <w:r>
        <w:rPr>
          <w:lang w:val="en_US" w:bidi="en_US"/>
        </w:rPr>
      </w:r>
      <w:r>
        <w:rPr>
          <w:lang w:val="en_US" w:bidi="en_US"/>
        </w:rPr>
        <w:t>Use a simile. For example:</w:t>
      </w:r>
      <w:r>
        <w:rPr>
          <w:lang w:val="en_US" w:bidi="en_US"/>
        </w:rPr>
        <w:t>fire and sulfur fell like rain from heaven</w:t>
      </w:r>
      <w:r>
        <w:rPr>
          <w:lang w:val="en_US" w:bidi="en_US"/>
        </w:rPr>
        <w:t>the sky rained fire and sulfur</w:t>
      </w:r>
      <w:r>
        <w:rPr>
          <w:lang w:val="en_US" w:bidi="en_US"/>
        </w:rPr>
        <w:t>it rained fire and sulfur out of the sky</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fire and sulfur fell from heaven</w:t>
      </w:r>
      <w:r>
        <w:rPr>
          <w:lang w:val="en_US" w:bidi="en_US"/>
        </w:rPr>
        <w:t>fire and sulfur poured/dropped from the sky</w:t>
      </w:r>
    </w:p>
    <w:p>
      <w:pPr/>
      <w:r>
        <w:rPr>
          <w:lang w:val="en_US" w:bidi="en_US"/>
        </w:rPr>
      </w:r>
      <w:r>
        <w:rPr>
          <w:b/>
          <w:lang w:val="en_US" w:bidi="en_US"/>
        </w:rPr>
        <w:t>sulfur:</w:t>
      </w:r>
      <w:r>
        <w:rPr>
          <w:lang w:val="en_US" w:bidi="en_US"/>
        </w:rPr>
        <w:t xml:space="preserve"> The word </w:t>
      </w:r>
      <w:r>
        <w:rPr>
          <w:i/>
          <w:lang w:val="en_US" w:bidi="en_US"/>
        </w:rPr>
        <w:t>sulfur</w:t>
      </w:r>
      <w:r>
        <w:rPr>
          <w:lang w:val="en_US" w:bidi="en_US"/>
        </w:rPr>
        <w:t xml:space="preserve"> refers to a yellow mineral that burns easily and produces harmful fumes. Some English versions have the word “brimstone,” which came from an old word that meant “burning stone.”</w:t>
      </w:r>
      <w:r>
        <w:rPr>
          <w:lang w:val="en_US" w:bidi="en_US"/>
        </w:rPr>
        <w:t>It burns at about 2200 degrees Celsius (4000 degrees Fahrenheit), which is hot enough to burn up almost anything on earth. This burning sulfur could have been from a strong earthquake or volcano that God caused at that time. But whatever it was, God was the one who caused it.</w:t>
      </w:r>
      <w:r>
        <w:rPr>
          <w:lang w:val="en_US" w:bidi="en_US"/>
        </w:rPr>
        <w:t xml:space="preserve"> If people in your area do not know about sulfur, you can use a descriptive phrase. For example:</w:t>
      </w:r>
    </w:p>
    <w:p>
      <w:pPr/>
      <w:r>
        <w:rPr>
          <w:lang w:val="en_US" w:bidi="en_US"/>
        </w:rPr>
      </w:r>
      <w:r>
        <w:rPr>
          <w:lang w:val="en_US" w:bidi="en_US"/>
        </w:rPr>
        <w:t>flaming stones</w:t>
      </w:r>
    </w:p>
    <w:p>
      <w:pPr/>
      <w:r>
        <w:rPr>
          <w:lang w:val="en_US" w:bidi="en_US"/>
        </w:rPr>
      </w:r>
      <w:r>
        <w:rPr>
          <w:lang w:val="en_US" w:bidi="en_US"/>
        </w:rPr>
        <w:t>burning rocks</w:t>
      </w:r>
    </w:p>
    <w:p>
      <w:pPr/>
      <w:r>
        <w:rPr>
          <w:lang w:val="en_US" w:bidi="en_US"/>
        </w:rPr>
      </w:r>
      <w:r>
        <w:rPr>
          <w:b/>
          <w:lang w:val="en_US" w:bidi="en_US"/>
        </w:rPr>
        <w:t>from heaven:</w:t>
      </w:r>
      <w:r>
        <w:rPr>
          <w:lang w:val="en_US" w:bidi="en_US"/>
        </w:rPr>
        <w:t xml:space="preserve"> In this context the Greek word that the BSB translates as </w:t>
      </w:r>
      <w:r>
        <w:rPr>
          <w:i/>
          <w:lang w:val="en_US" w:bidi="en_US"/>
        </w:rPr>
        <w:t>heaven</w:t>
      </w:r>
      <w:r>
        <w:rPr>
          <w:lang w:val="en_US" w:bidi="en_US"/>
        </w:rPr>
        <w:t xml:space="preserve"> means “sky.” However, the context makes it clear that God caused the fire and burning stones to fall. Another way to translate this is:</w:t>
      </w:r>
    </w:p>
    <w:p>
      <w:pPr/>
      <w:r>
        <w:rPr>
          <w:lang w:val="en_US" w:bidi="en_US"/>
        </w:rPr>
      </w:r>
      <w:r>
        <w:rPr>
          <w:lang w:val="en_US" w:bidi="en_US"/>
        </w:rPr>
        <w:t>God caused</w:t>
      </w:r>
      <w:r>
        <w:rPr>
          <w:lang w:val="en_US" w:bidi="en_US"/>
        </w:rPr>
        <w:t xml:space="preserve"> fire and burning stones to rain/come down from the sky</w:t>
      </w:r>
    </w:p>
    <w:p>
      <w:pPr/>
      <w:r>
        <w:rPr>
          <w:lang w:val="en_US" w:bidi="en_US"/>
        </w:rPr>
      </w:r>
      <w:r>
        <w:rPr>
          <w:lang w:val="en_US" w:bidi="en_US"/>
        </w:rPr>
        <w:t>See heaven in the Glossary.</w:t>
      </w:r>
    </w:p>
    <w:p>
      <w:pPr/>
      <w:r>
        <w:rPr>
          <w:lang w:val="en_US" w:bidi="en_US"/>
        </w:rPr>
      </w:r>
      <w:r>
        <w:rPr>
          <w:b/>
          <w:lang w:val="en_US" w:bidi="en_US"/>
        </w:rPr>
        <w:t>and destroyed them all:</w:t>
      </w:r>
      <w:r>
        <w:rPr>
          <w:lang w:val="en_US" w:bidi="en_US"/>
        </w:rPr>
        <w:t xml:space="preserve"> The Greek word that the BSB translates as </w:t>
      </w:r>
      <w:r>
        <w:rPr>
          <w:i/>
          <w:lang w:val="en_US" w:bidi="en_US"/>
        </w:rPr>
        <w:t>them all</w:t>
      </w:r>
      <w:r>
        <w:rPr>
          <w:lang w:val="en_US" w:bidi="en_US"/>
        </w:rPr>
        <w:t xml:space="preserve"> means “all ones” or “all </w:t>
      </w:r>
      <w:r>
        <w:rPr>
          <w:lang w:val="en_US" w:bidi="en_US"/>
        </w:rPr>
        <w:t>people</w:t>
      </w:r>
      <w:r>
        <w:rPr>
          <w:lang w:val="en_US" w:bidi="en_US"/>
        </w:rPr>
        <w:t>.” The CEV has another possible translation:</w:t>
      </w:r>
    </w:p>
    <w:p>
      <w:pPr/>
      <w:r>
        <w:rPr>
          <w:lang w:val="en_US" w:bidi="en_US"/>
        </w:rPr>
      </w:r>
      <w:r>
        <w:rPr>
          <w:lang w:val="en_US" w:bidi="en_US"/>
        </w:rPr>
        <w:t>and killed everyone (CEV)</w:t>
      </w:r>
    </w:p>
    <w:p>
      <w:pPr/>
      <w:r>
        <w:rPr>
          <w:lang w:val="en_US" w:bidi="en_US"/>
        </w:rPr>
      </w:r>
      <w:r>
        <w:rPr>
          <w:lang w:val="en_US" w:bidi="en_US"/>
        </w:rPr>
        <w:t>However, this word refers to the people who remained behind in the town of Sodom. The fire and sulfur did not kill Lot. So you may need to translate this as:</w:t>
      </w:r>
    </w:p>
    <w:p>
      <w:pPr/>
      <w:r>
        <w:rPr>
          <w:lang w:val="en_US" w:bidi="en_US"/>
        </w:rPr>
      </w:r>
      <w:r>
        <w:rPr>
          <w:lang w:val="en_US" w:bidi="en_US"/>
        </w:rPr>
        <w:t xml:space="preserve">and destroyed/killed all </w:t>
      </w:r>
      <w:r>
        <w:rPr>
          <w:lang w:val="en_US" w:bidi="en_US"/>
        </w:rPr>
        <w:t>the others</w:t>
      </w:r>
      <w:r>
        <w:rPr>
          <w:lang w:val="en_US" w:bidi="en_US"/>
        </w:rPr>
      </w:r>
      <w:r>
        <w:rPr>
          <w:lang w:val="en_US" w:bidi="en_US"/>
        </w:rPr>
      </w:r>
    </w:p>
    <w:p>
      <w:pPr/>
      <w:r>
        <w:rPr>
          <w:lang w:val="en_US" w:bidi="en_US"/>
        </w:rPr>
      </w:r>
    </w:p>
    <w:p>
      <w:pPr>
        <w:pStyle w:val="Heading2"/>
      </w:pPr>
      <w:r>
        <w:rPr>
          <w:lang w:val="en_US" w:bidi="en_US"/>
        </w:rPr>
        <w:t>Luke 17:30</w:t>
      </w:r>
      <w:r>
        <w:rPr>
          <w:lang w:val="en_US" w:bidi="en_US"/>
        </w:rPr>
      </w:r>
    </w:p>
    <w:p>
      <w:pPr>
        <w:pStyle w:val="Heading4"/>
      </w:pPr>
      <w:r>
        <w:rPr>
          <w:lang w:val="en_US" w:bidi="en_US"/>
        </w:rPr>
        <w:t>Section 17:20–37: Jesus taught about the time when the kingdom of God will come</w:t>
      </w:r>
    </w:p>
    <w:p>
      <w:pPr/>
      <w:r>
        <w:rPr>
          <w:lang w:val="en_US" w:bidi="en_US"/>
        </w:rPr>
      </w:r>
      <w:r>
        <w:rPr>
          <w:lang w:val="en_US" w:bidi="en_US"/>
        </w:rP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pPr/>
      <w:r>
        <w:rPr>
          <w:lang w:val="en_US" w:bidi="en_US"/>
        </w:rPr>
      </w:r>
      <w:r>
        <w:rPr>
          <w:lang w:val="en_US" w:bidi="en_US"/>
        </w:rPr>
        <w:t>Examples of headings for this section are:</w:t>
      </w:r>
    </w:p>
    <w:p>
      <w:pPr/>
      <w:r>
        <w:rPr>
          <w:lang w:val="en_US" w:bidi="en_US"/>
        </w:rPr>
      </w:r>
      <w:r>
        <w:rPr>
          <w:lang w:val="en_US" w:bidi="en_US"/>
        </w:rPr>
        <w:t>Jesus taught about when the Son of Man will come</w:t>
      </w:r>
    </w:p>
    <w:p>
      <w:pPr/>
      <w:r>
        <w:rPr>
          <w:lang w:val="en_US" w:bidi="en_US"/>
        </w:rPr>
      </w:r>
      <w:r>
        <w:rPr>
          <w:lang w:val="en_US" w:bidi="en_US"/>
        </w:rPr>
        <w:t>The coming of the Kingdom of God</w:t>
      </w:r>
    </w:p>
    <w:p>
      <w:pPr/>
      <w:r>
        <w:rPr>
          <w:lang w:val="en_US" w:bidi="en_US"/>
        </w:rPr>
      </w:r>
      <w:r>
        <w:rPr>
          <w:lang w:val="en_US" w:bidi="en_US"/>
        </w:rPr>
        <w:t>Parallel passages are in Matthew 24:17–18, 24:23–28, 24:37–41, and Mark 13:14–16, 13:19–23.</w:t>
      </w:r>
    </w:p>
    <w:p>
      <w:pPr>
        <w:pStyle w:val="Heading4"/>
      </w:pPr>
      <w:r>
        <w:rPr>
          <w:lang w:val="en_US" w:bidi="en_US"/>
        </w:rPr>
        <w:t>Paragraph 17:28–30</w:t>
      </w:r>
    </w:p>
    <w:p>
      <w:pPr/>
      <w:r>
        <w:rPr>
          <w:lang w:val="en_US" w:bidi="en_US"/>
        </w:rPr>
      </w:r>
      <w:r>
        <w:rPr>
          <w:lang w:val="en_US" w:bidi="en_US"/>
        </w:rPr>
        <w:t>For the background to this paragraph, see Genesis chapters 18 and 19. This paragraph is similar to 17:26–27.</w:t>
      </w:r>
    </w:p>
    <w:p>
      <w:pPr>
        <w:pStyle w:val="Heading5"/>
      </w:pPr>
      <w:r>
        <w:rPr>
          <w:lang w:val="en_US" w:bidi="en_US"/>
        </w:rPr>
        <w:t>17:30</w:t>
      </w:r>
    </w:p>
    <w:p>
      <w:pPr/>
      <w:r>
        <w:rPr>
          <w:lang w:val="en_US" w:bidi="en_US"/>
        </w:rPr>
      </w:r>
      <w:r>
        <w:rPr>
          <w:b/>
          <w:lang w:val="en_US" w:bidi="en_US"/>
        </w:rPr>
        <w:t>It will be just like that on the day the Son of Man is revealed.</w:t>
      </w:r>
    </w:p>
    <w:p>
      <w:pPr>
        <w:pStyle w:val="ListBullet"/>
        <w:spacing w:line="240" w:lineRule="auto"/>
        <w:ind w:left="720"/>
      </w:pPr>
      <w:r>
        <w:rPr>
          <w:lang w:val="en_US" w:bidi="en_US"/>
        </w:rPr>
      </w:r>
      <w:r>
        <w:rPr>
          <w:lang w:val="en_US" w:bidi="en_US"/>
        </w:rPr>
        <w:t xml:space="preserve">It will be just as </w:t>
      </w:r>
      <w:r>
        <w:rPr>
          <w:lang w:val="en_US" w:bidi="en_US"/>
        </w:rPr>
        <w:t>sudden as</w:t>
      </w:r>
      <w:r>
        <w:rPr>
          <w:lang w:val="en_US" w:bidi="en_US"/>
        </w:rPr>
        <w:t xml:space="preserve"> that on the day that the Son of Man </w:t>
      </w:r>
      <w:r>
        <w:rPr>
          <w:lang w:val="en_US" w:bidi="en_US"/>
        </w:rPr>
        <w:t>returns and</w:t>
      </w:r>
      <w:r>
        <w:rPr>
          <w:lang w:val="en_US" w:bidi="en_US"/>
        </w:rPr>
        <w:t xml:space="preserve"> appears </w:t>
      </w:r>
      <w:r>
        <w:rPr>
          <w:lang w:val="en_US" w:bidi="en_US"/>
        </w:rPr>
        <w:t>in his glory</w:t>
      </w:r>
      <w:r>
        <w:rPr>
          <w:lang w:val="en_US" w:bidi="en_US"/>
        </w:rPr>
        <w:t>.</w:t>
      </w:r>
    </w:p>
    <w:p>
      <w:pPr>
        <w:pStyle w:val="ListBullet"/>
        <w:spacing w:line="240" w:lineRule="auto"/>
        <w:ind w:left="720"/>
      </w:pPr>
      <w:r>
        <w:rPr>
          <w:lang w:val="en_US" w:bidi="en_US"/>
        </w:rPr>
      </w:r>
      <w:r>
        <w:rPr>
          <w:lang w:val="en_US" w:bidi="en_US"/>
        </w:rPr>
        <w:t>People</w:t>
      </w:r>
      <w:r>
        <w:rPr>
          <w:lang w:val="en_US" w:bidi="en_US"/>
        </w:rPr>
        <w:t xml:space="preserve"> will be just as </w:t>
      </w:r>
      <w:r>
        <w:rPr>
          <w:lang w:val="en_US" w:bidi="en_US"/>
        </w:rPr>
        <w:t>surprised/unprepared</w:t>
      </w:r>
      <w:r>
        <w:rPr>
          <w:lang w:val="en_US" w:bidi="en_US"/>
        </w:rPr>
        <w:t xml:space="preserve"> at the time that </w:t>
      </w:r>
      <w:r>
        <w:rPr>
          <w:lang w:val="en_US" w:bidi="en_US"/>
        </w:rPr>
        <w:t>God causes</w:t>
      </w:r>
      <w:r>
        <w:rPr>
          <w:lang w:val="en_US" w:bidi="en_US"/>
        </w:rPr>
        <w:t xml:space="preserve"> </w:t>
      </w:r>
      <w:r>
        <w:rPr>
          <w:lang w:val="en_US" w:bidi="en_US"/>
        </w:rPr>
        <w:t>me,</w:t>
      </w:r>
      <w:r>
        <w:rPr>
          <w:lang w:val="en_US" w:bidi="en_US"/>
        </w:rPr>
        <w:t xml:space="preserve"> the Son of Man, to appear </w:t>
      </w:r>
      <w:r>
        <w:rPr>
          <w:lang w:val="en_US" w:bidi="en_US"/>
        </w:rPr>
        <w:t>in my glory</w:t>
      </w:r>
      <w:r>
        <w:rPr>
          <w:lang w:val="en_US" w:bidi="en_US"/>
        </w:rPr>
        <w:t>.</w:t>
      </w:r>
    </w:p>
    <w:p>
      <w:pPr/>
      <w:r>
        <w:rPr>
          <w:lang w:val="en_US" w:bidi="en_US"/>
        </w:rPr>
      </w:r>
      <w:r>
        <w:rPr>
          <w:b/>
          <w:lang w:val="en_US" w:bidi="en_US"/>
        </w:rPr>
        <w:t>It will be just like that:</w:t>
      </w:r>
      <w:r>
        <w:rPr>
          <w:lang w:val="en_US" w:bidi="en_US"/>
        </w:rPr>
        <w:t xml:space="preserve"> The Greek words that the BSB translates as </w:t>
      </w:r>
      <w:r>
        <w:rPr>
          <w:i/>
          <w:lang w:val="en_US" w:bidi="en_US"/>
        </w:rPr>
        <w:t>It will be just like that</w:t>
      </w:r>
      <w:r>
        <w:rPr>
          <w:lang w:val="en_US" w:bidi="en_US"/>
        </w:rPr>
        <w:t xml:space="preserve"> are literally “according to these things.” They refer back to the behaviors of people during the times of Noah and Lot (17:26–29). The illustrations imply that people will be living their normal lives. They will be totally unaware and unprepared for the Son of Man to come. In some languages it may be necessary to make some of this explicit:</w:t>
      </w:r>
    </w:p>
    <w:p>
      <w:pPr/>
      <w:r>
        <w:rPr>
          <w:lang w:val="en_US" w:bidi="en_US"/>
        </w:rPr>
      </w:r>
      <w:r>
        <w:rPr>
          <w:lang w:val="en_US" w:bidi="en_US"/>
        </w:rPr>
        <w:t xml:space="preserve">In the same way, </w:t>
      </w:r>
      <w:r>
        <w:rPr>
          <w:lang w:val="en_US" w:bidi="en_US"/>
        </w:rPr>
        <w:t>people will be living their normal lives</w:t>
      </w:r>
    </w:p>
    <w:p>
      <w:pPr/>
      <w:r>
        <w:rPr>
          <w:lang w:val="en_US" w:bidi="en_US"/>
        </w:rPr>
      </w:r>
      <w:r>
        <w:rPr>
          <w:lang w:val="en_US" w:bidi="en_US"/>
        </w:rPr>
        <w:t xml:space="preserve">In the same way, </w:t>
      </w:r>
      <w:r>
        <w:rPr>
          <w:lang w:val="en_US" w:bidi="en_US"/>
        </w:rPr>
        <w:t>people will be unprepared</w:t>
      </w:r>
    </w:p>
    <w:p>
      <w:pPr/>
      <w:r>
        <w:rPr>
          <w:lang w:val="en_US" w:bidi="en_US"/>
        </w:rPr>
      </w:r>
      <w:r>
        <w:rPr>
          <w:b/>
          <w:lang w:val="en_US" w:bidi="en_US"/>
        </w:rPr>
        <w:t>on the day the Son of Man is revealed:</w:t>
      </w:r>
      <w:r>
        <w:rPr>
          <w:lang w:val="en_US" w:bidi="en_US"/>
        </w:rPr>
        <w:t xml:space="preserve"> This phrase refers to the day or time when Jesus will return to earth and everyone will see him. The phrase is passive. Some ways to translate it are:</w:t>
      </w:r>
    </w:p>
    <w:p>
      <w:pPr>
        <w:pStyle w:val="ListBullet"/>
        <w:spacing w:line="240" w:lineRule="auto"/>
        <w:ind w:left="720"/>
      </w:pPr>
      <w:r>
        <w:rPr>
          <w:lang w:val="en_US" w:bidi="en_US"/>
        </w:rPr>
      </w:r>
      <w:r>
        <w:rPr>
          <w:lang w:val="en_US" w:bidi="en_US"/>
        </w:rPr>
        <w:t>As a passive phrase or clause. For example:</w:t>
      </w:r>
      <w:r>
        <w:rPr>
          <w:lang w:val="en_US" w:bidi="en_US"/>
        </w:rPr>
        <w:t>when the Son of Man is revealed (NLT)</w:t>
      </w:r>
    </w:p>
    <w:p>
      <w:pPr>
        <w:pStyle w:val="ListBullet"/>
        <w:spacing w:line="240" w:lineRule="auto"/>
        <w:ind w:left="720"/>
      </w:pPr>
      <w:r>
        <w:rPr>
          <w:lang w:val="en_US" w:bidi="en_US"/>
        </w:rPr>
      </w:r>
      <w:r>
        <w:rPr>
          <w:lang w:val="en_US" w:bidi="en_US"/>
        </w:rPr>
        <w:t>As an active phrase or clause. For example:</w:t>
      </w:r>
      <w:r>
        <w:rPr>
          <w:lang w:val="en_US" w:bidi="en_US"/>
        </w:rPr>
        <w:t xml:space="preserve">the day when </w:t>
      </w:r>
      <w:r>
        <w:rPr>
          <w:lang w:val="en_US" w:bidi="en_US"/>
        </w:rPr>
        <w:t>God</w:t>
      </w:r>
      <w:r>
        <w:rPr>
          <w:lang w:val="en_US" w:bidi="en_US"/>
        </w:rPr>
        <w:t xml:space="preserve"> reveals/shows the Son of Man </w:t>
      </w:r>
      <w:r>
        <w:rPr>
          <w:lang w:val="en_US" w:bidi="en_US"/>
        </w:rPr>
        <w:t>to people</w:t>
      </w:r>
    </w:p>
    <w:p>
      <w:pPr/>
      <w:r>
        <w:rPr>
          <w:lang w:val="en_US" w:bidi="en_US"/>
        </w:rPr>
      </w:r>
      <w:r>
        <w:rPr>
          <w:lang w:val="en_US" w:bidi="en_US"/>
        </w:rPr>
        <w:t xml:space="preserve">It is important to make clear that </w:t>
      </w:r>
      <w:r>
        <w:rPr>
          <w:i/>
          <w:lang w:val="en_US" w:bidi="en_US"/>
        </w:rPr>
        <w:t>the day</w:t>
      </w:r>
      <w:r>
        <w:rPr>
          <w:lang w:val="en_US" w:bidi="en_US"/>
        </w:rPr>
        <w:t xml:space="preserve"> refers to the Son of Man’s future coming. Some ways to make this clear are:</w:t>
      </w:r>
    </w:p>
    <w:p>
      <w:pPr/>
      <w:r>
        <w:rPr>
          <w:lang w:val="en_US" w:bidi="en_US"/>
        </w:rPr>
      </w:r>
      <w:r>
        <w:rPr>
          <w:lang w:val="en_US" w:bidi="en_US"/>
        </w:rPr>
        <w:t>when the Son of Man appears (CEV)</w:t>
      </w:r>
    </w:p>
    <w:p>
      <w:pPr/>
      <w:r>
        <w:rPr>
          <w:lang w:val="en_US" w:bidi="en_US"/>
        </w:rPr>
      </w:r>
      <w:r>
        <w:rPr>
          <w:lang w:val="en_US" w:bidi="en_US"/>
        </w:rPr>
        <w:t>when the Son of Man comes again (NCV)</w:t>
      </w:r>
    </w:p>
    <w:p>
      <w:pPr/>
      <w:r>
        <w:rPr>
          <w:lang w:val="en_US" w:bidi="en_US"/>
        </w:rPr>
      </w:r>
      <w:r>
        <w:rPr>
          <w:b/>
          <w:lang w:val="en_US" w:bidi="en_US"/>
        </w:rPr>
        <w:t>the Son of Man:</w:t>
      </w:r>
      <w:r>
        <w:rPr>
          <w:lang w:val="en_US" w:bidi="en_US"/>
        </w:rPr>
        <w:t xml:space="preserve"> For help in translating </w:t>
      </w:r>
      <w:r>
        <w:rPr>
          <w:i/>
          <w:lang w:val="en_US" w:bidi="en_US"/>
        </w:rPr>
        <w:t>the Son of Man</w:t>
      </w:r>
      <w:r>
        <w:rPr>
          <w:lang w:val="en_US" w:bidi="en_US"/>
        </w:rPr>
        <w:t>, see the note at 17:22a–b.</w:t>
      </w:r>
    </w:p>
    <w:p>
      <w:pPr/>
      <w:r>
        <w:rPr>
          <w:lang w:val="en_US" w:bidi="en_US"/>
        </w:rPr>
      </w:r>
      <w:r>
        <w:rPr>
          <w:b/>
          <w:lang w:val="en_US" w:bidi="en_US"/>
        </w:rPr>
        <w:t>is revealed:</w:t>
      </w:r>
      <w:r>
        <w:rPr>
          <w:lang w:val="en_US" w:bidi="en_US"/>
        </w:rPr>
        <w:t xml:space="preserve"> The Greek word that the BSB translates as </w:t>
      </w:r>
      <w:r>
        <w:rPr>
          <w:i/>
          <w:lang w:val="en_US" w:bidi="en_US"/>
        </w:rPr>
        <w:t>is revealed</w:t>
      </w:r>
      <w:r>
        <w:rPr>
          <w:lang w:val="en_US" w:bidi="en_US"/>
        </w:rPr>
        <w:t xml:space="preserve"> means “to reveal, to disclose, to make fully known.”</w:t>
      </w:r>
      <w:r>
        <w:rPr>
          <w:lang w:val="en_US" w:bidi="en_US"/>
        </w:rPr>
      </w:r>
      <w:r>
        <w:rPr>
          <w:lang w:val="en_US" w:bidi="en_US"/>
        </w:rPr>
      </w:r>
    </w:p>
    <w:p>
      <w:pPr/>
      <w:r>
        <w:rPr>
          <w:lang w:val="en_US" w:bidi="en_US"/>
        </w:rPr>
      </w:r>
    </w:p>
    <w:p>
      <w:pPr>
        <w:pStyle w:val="Heading2"/>
      </w:pPr>
      <w:r>
        <w:rPr>
          <w:lang w:val="en_US" w:bidi="en_US"/>
        </w:rPr>
        <w:t>Luke 17:31</w:t>
      </w:r>
      <w:r>
        <w:rPr>
          <w:lang w:val="en_US" w:bidi="en_US"/>
        </w:rPr>
      </w:r>
    </w:p>
    <w:p>
      <w:pPr>
        <w:pStyle w:val="Heading4"/>
      </w:pPr>
      <w:r>
        <w:rPr>
          <w:lang w:val="en_US" w:bidi="en_US"/>
        </w:rPr>
        <w:t>Section 17:20–37: Jesus taught about the time when the kingdom of God will come</w:t>
      </w:r>
    </w:p>
    <w:p>
      <w:pPr/>
      <w:r>
        <w:rPr>
          <w:lang w:val="en_US" w:bidi="en_US"/>
        </w:rPr>
      </w:r>
      <w:r>
        <w:rPr>
          <w:lang w:val="en_US" w:bidi="en_US"/>
        </w:rP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pPr/>
      <w:r>
        <w:rPr>
          <w:lang w:val="en_US" w:bidi="en_US"/>
        </w:rPr>
      </w:r>
      <w:r>
        <w:rPr>
          <w:lang w:val="en_US" w:bidi="en_US"/>
        </w:rPr>
        <w:t>Examples of headings for this section are:</w:t>
      </w:r>
    </w:p>
    <w:p>
      <w:pPr/>
      <w:r>
        <w:rPr>
          <w:lang w:val="en_US" w:bidi="en_US"/>
        </w:rPr>
      </w:r>
      <w:r>
        <w:rPr>
          <w:lang w:val="en_US" w:bidi="en_US"/>
        </w:rPr>
        <w:t>Jesus taught about when the Son of Man will come</w:t>
      </w:r>
    </w:p>
    <w:p>
      <w:pPr/>
      <w:r>
        <w:rPr>
          <w:lang w:val="en_US" w:bidi="en_US"/>
        </w:rPr>
      </w:r>
      <w:r>
        <w:rPr>
          <w:lang w:val="en_US" w:bidi="en_US"/>
        </w:rPr>
        <w:t>The coming of the Kingdom of God</w:t>
      </w:r>
    </w:p>
    <w:p>
      <w:pPr/>
      <w:r>
        <w:rPr>
          <w:lang w:val="en_US" w:bidi="en_US"/>
        </w:rPr>
      </w:r>
      <w:r>
        <w:rPr>
          <w:lang w:val="en_US" w:bidi="en_US"/>
        </w:rPr>
        <w:t>Parallel passages are in Matthew 24:17–18, 24:23–28, 24:37–41, and Mark 13:14–16, 13:19–23.</w:t>
      </w:r>
    </w:p>
    <w:p>
      <w:pPr>
        <w:pStyle w:val="Heading4"/>
      </w:pPr>
      <w:r>
        <w:rPr>
          <w:lang w:val="en_US" w:bidi="en_US"/>
        </w:rPr>
        <w:t>Paragraph 17:31–33</w:t>
      </w:r>
    </w:p>
    <w:p>
      <w:pPr/>
      <w:r>
        <w:rPr>
          <w:lang w:val="en_US" w:bidi="en_US"/>
        </w:rPr>
      </w:r>
      <w:r>
        <w:rPr>
          <w:lang w:val="en_US" w:bidi="en_US"/>
        </w:rPr>
        <w:t>In this paragraph Jesus told his disciples that they must not delay to take any of their possessions when he returns. There are two ways to interpret this instruction:</w:t>
      </w:r>
    </w:p>
    <w:p>
      <w:pPr>
        <w:pStyle w:val="ListNumber"/>
        <w:numPr>
          <w:ilvl w:val="0"/>
          <w:numId w:val="293"/>
        </w:numPr>
        <w:spacing w:line="240" w:lineRule="auto"/>
        <w:ind w:left="720"/>
      </w:pPr>
      <w:r>
        <w:rPr>
          <w:lang w:val="en_US" w:bidi="en_US"/>
        </w:rPr>
      </w:r>
      <w:r>
        <w:rPr>
          <w:lang w:val="en_US" w:bidi="en_US"/>
        </w:rPr>
        <w:t>Jesus was speaking in a figurative way. He warned that a person must not be concerned about possessions when he (Jesus) returns.</w:t>
      </w:r>
    </w:p>
    <w:p>
      <w:pPr>
        <w:pStyle w:val="ListNumber"/>
        <w:spacing w:line="240" w:lineRule="auto"/>
        <w:ind w:left="720"/>
      </w:pPr>
      <w:r>
        <w:rPr>
          <w:lang w:val="en_US" w:bidi="en_US"/>
        </w:rPr>
      </w:r>
      <w:r>
        <w:rPr>
          <w:lang w:val="en_US" w:bidi="en_US"/>
        </w:rPr>
        <w:t>Jesus was speaking literally. Jesus warned that they must not delay to take their possessions, but instead, they must flee from danger that is coming.</w:t>
      </w:r>
    </w:p>
    <w:p>
      <w:pPr/>
      <w:r>
        <w:rPr>
          <w:lang w:val="en_US" w:bidi="en_US"/>
        </w:rPr>
      </w:r>
      <w:r>
        <w:rPr>
          <w:lang w:val="en_US" w:bidi="en_US"/>
        </w:rPr>
        <w:t>English versions are ambiguous. It is recommended that you also translate in an ambiguous way so that either interpretation may be understood. If that is not possible, it is recommended that you follow interpretation (1).</w:t>
      </w:r>
      <w:r>
        <w:rPr>
          <w:lang w:val="en_US" w:bidi="en_US"/>
        </w:rPr>
        <w:t>Commentators who follow this interpretation include Arndt, Erdman, Geldenhuys, Godet, Plummer, Lenski, Liefeld, Green, Marshall, Hendriksen, Nolland, Tolbert, TH, and Morris.</w:t>
      </w:r>
      <w:r>
        <w:rPr>
          <w:lang w:val="en_US" w:bidi="en_US"/>
        </w:rPr>
        <w:t xml:space="preserve"> This context in Luke is different from the one in Mark, where Jesus’ disciples should flee from the destruction of Jerusalem. Here in Luke, Jesus is returning, and no one can run from him.</w:t>
      </w:r>
    </w:p>
    <w:p>
      <w:pPr>
        <w:pStyle w:val="Heading5"/>
      </w:pPr>
      <w:r>
        <w:rPr>
          <w:lang w:val="en_US" w:bidi="en_US"/>
        </w:rPr>
        <w:t>17:31a</w:t>
      </w:r>
    </w:p>
    <w:p>
      <w:pPr/>
      <w:r>
        <w:rPr>
          <w:lang w:val="en_US" w:bidi="en_US"/>
        </w:rPr>
      </w:r>
      <w:r>
        <w:rPr>
          <w:b/>
          <w:lang w:val="en_US" w:bidi="en_US"/>
        </w:rPr>
        <w:t>On that day, let no one on the housetop</w:t>
      </w:r>
    </w:p>
    <w:p>
      <w:pPr>
        <w:pStyle w:val="ListBullet"/>
        <w:spacing w:line="240" w:lineRule="auto"/>
        <w:ind w:left="720"/>
      </w:pPr>
      <w:r>
        <w:rPr>
          <w:lang w:val="en_US" w:bidi="en_US"/>
        </w:rPr>
      </w:r>
      <w:r>
        <w:rPr>
          <w:lang w:val="en_US" w:bidi="en_US"/>
        </w:rPr>
        <w:t>¶ “On that day, whoever is outside his house</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“On that </w:t>
      </w:r>
      <w:r>
        <w:rPr>
          <w:lang w:val="en_US" w:bidi="en_US"/>
        </w:rPr>
        <w:t>future</w:t>
      </w:r>
      <w:r>
        <w:rPr>
          <w:lang w:val="en_US" w:bidi="en_US"/>
        </w:rPr>
        <w:t xml:space="preserve"> day, if a person is </w:t>
      </w:r>
      <w:r>
        <w:rPr>
          <w:lang w:val="en_US" w:bidi="en_US"/>
        </w:rPr>
        <w:t>sitting</w:t>
      </w:r>
      <w:r>
        <w:rPr>
          <w:lang w:val="en_US" w:bidi="en_US"/>
        </w:rPr>
        <w:t xml:space="preserve"> on his roof</w:t>
      </w:r>
    </w:p>
    <w:p>
      <w:pPr>
        <w:pStyle w:val="Heading5"/>
      </w:pPr>
      <w:r>
        <w:rPr>
          <w:lang w:val="en_US" w:bidi="en_US"/>
        </w:rPr>
        <w:t>17:31b</w:t>
      </w:r>
    </w:p>
    <w:p>
      <w:pPr/>
      <w:r>
        <w:rPr>
          <w:lang w:val="en_US" w:bidi="en_US"/>
        </w:rPr>
      </w:r>
      <w:r>
        <w:rPr>
          <w:b/>
          <w:lang w:val="en_US" w:bidi="en_US"/>
        </w:rPr>
        <w:t>come down to retrieve his possessions.</w:t>
      </w:r>
    </w:p>
    <w:p>
      <w:pPr>
        <w:pStyle w:val="ListBullet"/>
        <w:spacing w:line="240" w:lineRule="auto"/>
        <w:ind w:left="720"/>
      </w:pPr>
      <w:r>
        <w:rPr>
          <w:lang w:val="en_US" w:bidi="en_US"/>
        </w:rPr>
      </w:r>
      <w:r>
        <w:rPr>
          <w:lang w:val="en_US" w:bidi="en_US"/>
        </w:rPr>
        <w:t xml:space="preserve">should not come </w:t>
      </w:r>
      <w:r>
        <w:rPr>
          <w:lang w:val="en_US" w:bidi="en_US"/>
        </w:rPr>
        <w:t>back</w:t>
      </w:r>
      <w:r>
        <w:rPr>
          <w:lang w:val="en_US" w:bidi="en_US"/>
        </w:rPr>
        <w:t xml:space="preserve"> inside to get </w:t>
      </w:r>
      <w:r>
        <w:rPr>
          <w:lang w:val="en_US" w:bidi="en_US"/>
        </w:rPr>
        <w:t>anything</w:t>
      </w:r>
      <w:r>
        <w:rPr>
          <w:lang w:val="en_US" w:bidi="en_US"/>
        </w:rPr>
        <w:t xml:space="preserve"> he owns.</w:t>
      </w:r>
    </w:p>
    <w:p>
      <w:pPr>
        <w:pStyle w:val="ListBullet"/>
        <w:spacing w:line="240" w:lineRule="auto"/>
        <w:ind w:left="720"/>
      </w:pPr>
      <w:r>
        <w:rPr>
          <w:lang w:val="en_US" w:bidi="en_US"/>
        </w:rPr>
      </w:r>
      <w:r>
        <w:rPr>
          <w:lang w:val="en_US" w:bidi="en_US"/>
        </w:rPr>
        <w:t>and the things that he owns are inside the house, he should not enter and get them.</w:t>
      </w:r>
    </w:p>
    <w:p>
      <w:pPr>
        <w:pStyle w:val="Heading5"/>
      </w:pPr>
      <w:r>
        <w:rPr>
          <w:lang w:val="en_US" w:bidi="en_US"/>
        </w:rPr>
        <w:t>17:31a–b</w:t>
      </w:r>
    </w:p>
    <w:p>
      <w:pPr/>
      <w:r>
        <w:rPr>
          <w:lang w:val="en_US" w:bidi="en_US"/>
        </w:rPr>
      </w:r>
      <w:r>
        <w:rPr>
          <w:b/>
          <w:lang w:val="en_US" w:bidi="en_US"/>
        </w:rPr>
        <w:t>On that day:</w:t>
      </w:r>
      <w:r>
        <w:rPr>
          <w:lang w:val="en_US" w:bidi="en_US"/>
        </w:rPr>
        <w:t xml:space="preserve"> The phrase </w:t>
      </w:r>
      <w:r>
        <w:rPr>
          <w:i/>
          <w:lang w:val="en_US" w:bidi="en_US"/>
        </w:rPr>
        <w:t>On that day</w:t>
      </w:r>
      <w:r>
        <w:rPr>
          <w:lang w:val="en_US" w:bidi="en_US"/>
        </w:rPr>
        <w:t xml:space="preserve"> refers to the day when God reveals the Son of Man, mentioned in the previous verse. Another way to translate it is:</w:t>
      </w:r>
    </w:p>
    <w:p>
      <w:pPr/>
      <w:r>
        <w:rPr>
          <w:lang w:val="en_US" w:bidi="en_US"/>
        </w:rPr>
      </w:r>
      <w:r>
        <w:rPr>
          <w:lang w:val="en_US" w:bidi="en_US"/>
        </w:rPr>
        <w:t>When that happens</w:t>
      </w:r>
    </w:p>
    <w:p>
      <w:pPr/>
      <w:r>
        <w:rPr>
          <w:lang w:val="en_US" w:bidi="en_US"/>
        </w:rPr>
      </w:r>
      <w:r>
        <w:rPr>
          <w:b/>
          <w:lang w:val="en_US" w:bidi="en_US"/>
        </w:rPr>
        <w:t>let no one on the housetop come down to retrieve his possessions:</w:t>
      </w:r>
      <w:r>
        <w:rPr>
          <w:lang w:val="en_US" w:bidi="en_US"/>
        </w:rPr>
        <w:t xml:space="preserve"> Here Jesus warned his disciples that no one who is on his roof should go back into his house to get any of his possessions. Someone who was on a roof would in fact have to </w:t>
      </w:r>
      <w:r>
        <w:rPr>
          <w:i/>
          <w:lang w:val="en_US" w:bidi="en_US"/>
        </w:rPr>
        <w:t>come down</w:t>
      </w:r>
      <w:r>
        <w:rPr>
          <w:lang w:val="en_US" w:bidi="en_US"/>
        </w:rPr>
        <w:t>, but he should not go back into his house to get anything.</w:t>
      </w:r>
      <w:r>
        <w:rPr>
          <w:lang w:val="en_US" w:bidi="en_US"/>
        </w:rPr>
        <w:t xml:space="preserve">Similar passages in Matthew 24:16 and in Mark 13:14 imply that the reason for not going back into their houses is that they should not waste time but should </w:t>
      </w:r>
      <w:r>
        <w:rPr>
          <w:u w:val="single"/>
          <w:lang w:val="en_US" w:bidi="en_US"/>
        </w:rPr>
        <w:t>flee</w:t>
      </w:r>
      <w:r>
        <w:rPr>
          <w:lang w:val="en_US" w:bidi="en_US"/>
        </w:rPr>
        <w:t xml:space="preserve"> to the mountains. Here in Luke, however, the emphasis is on being ready when the Son of Man is revealed. It will be too late to flee then. Hendriksen (p. 808) says that “any thought of fleeing is, of course, out of the question.” Lenski (p. 888) says, “In the present discourse the destruction of Jerusalem is not referred to; Luke 21:5–38 reports Matthew 24 and deals with Jerusalem….” Here in Luke 17:31–37, “Jesus speaks of the end of the world throughout and therefore says nothing of flight, for no flight will then save any man.” Many other commentators support this interpretation, including Arndt (p. 409), Erdman (p. 179), Geldenhys (p. 441), Liefeld in Gaebelein (p. 998), Marshall (p. 664), Morris (p. 286), Nolland (p. 861), Plummer (p. 409), TH (p. 591), and Tolbert (p. 139).</w:t>
      </w:r>
      <w:r>
        <w:rPr>
          <w:lang w:val="en_US" w:bidi="en_US"/>
        </w:rPr>
        <w:t xml:space="preserve"> Be sure to make this clear in your translation. For example:</w:t>
      </w:r>
    </w:p>
    <w:p>
      <w:pPr/>
      <w:r>
        <w:rPr>
          <w:lang w:val="en_US" w:bidi="en_US"/>
        </w:rPr>
      </w:r>
      <w:r>
        <w:rPr>
          <w:lang w:val="en_US" w:bidi="en_US"/>
        </w:rPr>
        <w:t>a person who is on the roof should not go down into his house to get any of his things from there</w:t>
      </w:r>
    </w:p>
    <w:p>
      <w:pPr/>
      <w:r>
        <w:rPr>
          <w:lang w:val="en_US" w:bidi="en_US"/>
        </w:rPr>
      </w:r>
      <w:r>
        <w:rPr>
          <w:b/>
          <w:lang w:val="en_US" w:bidi="en_US"/>
        </w:rPr>
        <w:t>on the housetop:</w:t>
      </w:r>
      <w:r>
        <w:rPr>
          <w:lang w:val="en_US" w:bidi="en_US"/>
        </w:rPr>
        <w:t xml:space="preserve"> The Jews built houses with flat roofs and stairs on the outside. They liked to sit and talk or rest on the roof, especially in the late afternoon when it was cool. These flat roofs were also mentioned in 5:19 and 12:3. Refer to your translation of those verses.</w:t>
      </w:r>
    </w:p>
    <w:p>
      <w:pPr/>
      <w:r>
        <w:rPr>
          <w:lang w:val="en_US" w:bidi="en_US"/>
        </w:rPr>
      </w:r>
      <w:r>
        <w:rPr>
          <w:b/>
          <w:lang w:val="en_US" w:bidi="en_US"/>
        </w:rPr>
        <w:t>to retrieve his possessions:</w:t>
      </w:r>
      <w:r>
        <w:rPr>
          <w:lang w:val="en_US" w:bidi="en_US"/>
        </w:rPr>
        <w:t xml:space="preserve"> The phrase </w:t>
      </w:r>
      <w:r>
        <w:rPr>
          <w:i/>
          <w:lang w:val="en_US" w:bidi="en_US"/>
        </w:rPr>
        <w:t>to retrieve his possessions</w:t>
      </w:r>
      <w:r>
        <w:rPr>
          <w:lang w:val="en_US" w:bidi="en_US"/>
        </w:rPr>
        <w:t xml:space="preserve"> is literally “and his possessions in the house.” It refers to someone whose belongings are not with him on the roof but are inside the house. The BSB translates this phrase in a way that describes why a person would “come down” from the roof and go inside the house. Another way to translate this is:</w:t>
      </w:r>
    </w:p>
    <w:p>
      <w:pPr/>
      <w:r>
        <w:rPr>
          <w:lang w:val="en_US" w:bidi="en_US"/>
        </w:rPr>
      </w:r>
      <w:r>
        <w:rPr>
          <w:lang w:val="en_US" w:bidi="en_US"/>
        </w:rPr>
        <w:t>go down into the house to pack (NLT)</w:t>
      </w:r>
    </w:p>
    <w:p>
      <w:pPr/>
      <w:r>
        <w:rPr>
          <w:lang w:val="en_US" w:bidi="en_US"/>
        </w:rPr>
      </w:r>
      <w:r>
        <w:rPr>
          <w:b/>
          <w:lang w:val="en_US" w:bidi="en_US"/>
        </w:rPr>
        <w:t>possessions:</w:t>
      </w:r>
      <w:r>
        <w:rPr>
          <w:lang w:val="en_US" w:bidi="en_US"/>
        </w:rPr>
        <w:t xml:space="preserve"> The word </w:t>
      </w:r>
      <w:r>
        <w:rPr>
          <w:i/>
          <w:lang w:val="en_US" w:bidi="en_US"/>
        </w:rPr>
        <w:t>possessions</w:t>
      </w:r>
      <w:r>
        <w:rPr>
          <w:lang w:val="en_US" w:bidi="en_US"/>
        </w:rPr>
        <w:t xml:space="preserve"> includes anything in the house, for example, household furnishings, clothing, food, and other possessions.</w:t>
      </w:r>
    </w:p>
    <w:p>
      <w:pPr>
        <w:pStyle w:val="Heading5"/>
      </w:pPr>
      <w:r>
        <w:rPr>
          <w:lang w:val="en_US" w:bidi="en_US"/>
        </w:rPr>
        <w:t>17:31c</w:t>
      </w:r>
    </w:p>
    <w:p>
      <w:pPr/>
      <w:r>
        <w:rPr>
          <w:lang w:val="en_US" w:bidi="en_US"/>
        </w:rPr>
      </w:r>
      <w:r>
        <w:rPr>
          <w:b/>
          <w:lang w:val="en_US" w:bidi="en_US"/>
        </w:rPr>
        <w:t>Likewise, let no one in the field return for anything he has left behind.</w:t>
      </w:r>
    </w:p>
    <w:p>
      <w:pPr>
        <w:pStyle w:val="ListBullet"/>
        <w:spacing w:line="240" w:lineRule="auto"/>
        <w:ind w:left="720"/>
      </w:pPr>
      <w:r>
        <w:rPr>
          <w:lang w:val="en_US" w:bidi="en_US"/>
        </w:rPr>
      </w:r>
      <w:r>
        <w:rPr>
          <w:lang w:val="en_US" w:bidi="en_US"/>
        </w:rPr>
        <w:t xml:space="preserve">In the same way, whoever is in his field should not return </w:t>
      </w:r>
      <w:r>
        <w:rPr>
          <w:lang w:val="en_US" w:bidi="en_US"/>
        </w:rPr>
        <w:t>home</w:t>
      </w:r>
      <w:r>
        <w:rPr>
          <w:lang w:val="en_US" w:bidi="en_US"/>
        </w:rPr>
        <w:t xml:space="preserve"> to </w:t>
      </w:r>
      <w:r>
        <w:rPr>
          <w:lang w:val="en_US" w:bidi="en_US"/>
        </w:rPr>
        <w:t>get</w:t>
      </w:r>
      <w:r>
        <w:rPr>
          <w:lang w:val="en_US" w:bidi="en_US"/>
        </w:rPr>
        <w:t xml:space="preserve"> anything.</w:t>
      </w:r>
    </w:p>
    <w:p>
      <w:pPr>
        <w:pStyle w:val="ListBullet"/>
        <w:spacing w:line="240" w:lineRule="auto"/>
        <w:ind w:left="720"/>
      </w:pPr>
      <w:r>
        <w:rPr>
          <w:lang w:val="en_US" w:bidi="en_US"/>
        </w:rPr>
      </w:r>
      <w:r>
        <w:rPr>
          <w:lang w:val="en_US" w:bidi="en_US"/>
        </w:rPr>
        <w:t xml:space="preserve">Also the person who is out in his field/farm </w:t>
      </w:r>
      <w:r>
        <w:rPr>
          <w:lang w:val="en_US" w:bidi="en_US"/>
        </w:rPr>
        <w:t>should not delay by</w:t>
      </w:r>
      <w:r>
        <w:rPr>
          <w:lang w:val="en_US" w:bidi="en_US"/>
        </w:rPr>
        <w:t xml:space="preserve"> going back </w:t>
      </w:r>
      <w:r>
        <w:rPr>
          <w:lang w:val="en_US" w:bidi="en_US"/>
        </w:rPr>
        <w:t>to his house</w:t>
      </w:r>
      <w:r>
        <w:rPr>
          <w:lang w:val="en_US" w:bidi="en_US"/>
        </w:rPr>
        <w:t xml:space="preserve"> to </w:t>
      </w:r>
      <w:r>
        <w:rPr>
          <w:lang w:val="en_US" w:bidi="en_US"/>
        </w:rPr>
        <w:t>get</w:t>
      </w:r>
      <w:r>
        <w:rPr>
          <w:lang w:val="en_US" w:bidi="en_US"/>
        </w:rPr>
        <w:t xml:space="preserve"> something </w:t>
      </w:r>
      <w:r>
        <w:rPr>
          <w:lang w:val="en_US" w:bidi="en_US"/>
        </w:rPr>
        <w:t>to take with him</w:t>
      </w:r>
      <w:r>
        <w:rPr>
          <w:lang w:val="en_US" w:bidi="en_US"/>
        </w:rPr>
        <w:t>.</w:t>
      </w:r>
    </w:p>
    <w:p>
      <w:pPr/>
      <w:r>
        <w:rPr>
          <w:lang w:val="en_US" w:bidi="en_US"/>
        </w:rPr>
      </w:r>
      <w:r>
        <w:rPr>
          <w:b/>
          <w:lang w:val="en_US" w:bidi="en_US"/>
        </w:rPr>
        <w:t>Likewise:</w:t>
      </w:r>
      <w:r>
        <w:rPr>
          <w:lang w:val="en_US" w:bidi="en_US"/>
        </w:rPr>
        <w:t xml:space="preserve"> The Greek word that the BSB translates as </w:t>
      </w:r>
      <w:r>
        <w:rPr>
          <w:i/>
          <w:lang w:val="en_US" w:bidi="en_US"/>
        </w:rPr>
        <w:t>Likewise</w:t>
      </w:r>
      <w:r>
        <w:rPr>
          <w:lang w:val="en_US" w:bidi="en_US"/>
        </w:rPr>
        <w:t xml:space="preserve"> means “in the same way.” The person on his roof should not get his things out of his house (17:31a–b). In the same way, the person in the field should not go back to get his things.</w:t>
      </w:r>
    </w:p>
    <w:p>
      <w:pPr/>
      <w:r>
        <w:rPr>
          <w:lang w:val="en_US" w:bidi="en_US"/>
        </w:rPr>
      </w:r>
      <w:r>
        <w:rPr>
          <w:b/>
          <w:lang w:val="en_US" w:bidi="en_US"/>
        </w:rPr>
        <w:t>let no one in the field return for anything he has left behind:</w:t>
      </w:r>
      <w:r>
        <w:rPr>
          <w:lang w:val="en_US" w:bidi="en_US"/>
        </w:rPr>
        <w:t xml:space="preserve"> This clause indicates that a person should not take the time to go back to his house. He should not delay at all. The BSB has supplied the words </w:t>
      </w:r>
      <w:r>
        <w:rPr>
          <w:i/>
          <w:lang w:val="en_US" w:bidi="en_US"/>
        </w:rPr>
        <w:t>for anything</w:t>
      </w:r>
      <w:r>
        <w:rPr>
          <w:lang w:val="en_US" w:bidi="en_US"/>
        </w:rPr>
        <w:t>, which are not in the Greek text. Other ways to translate the clause are:</w:t>
      </w:r>
    </w:p>
    <w:p>
      <w:pPr/>
      <w:r>
        <w:rPr>
          <w:lang w:val="en_US" w:bidi="en_US"/>
        </w:rPr>
      </w:r>
      <w:r>
        <w:rPr>
          <w:lang w:val="en_US" w:bidi="en_US"/>
        </w:rPr>
        <w:t>anyone who is out in the field must not go back to the house (GNT)</w:t>
      </w:r>
    </w:p>
    <w:p>
      <w:pPr/>
      <w:r>
        <w:rPr>
          <w:lang w:val="en_US" w:bidi="en_US"/>
        </w:rPr>
      </w:r>
      <w:r>
        <w:rPr>
          <w:lang w:val="en_US" w:bidi="en_US"/>
        </w:rPr>
        <w:t>A person who is in the field should not go back home. (NCV)</w:t>
      </w:r>
    </w:p>
    <w:p>
      <w:pPr/>
      <w:r>
        <w:rPr>
          <w:lang w:val="en_US" w:bidi="en_US"/>
        </w:rPr>
      </w:r>
      <w:r>
        <w:rPr>
          <w:b/>
          <w:lang w:val="en_US" w:bidi="en_US"/>
        </w:rPr>
        <w:t>no one in the field:</w:t>
      </w:r>
      <w:r>
        <w:rPr>
          <w:lang w:val="en_US" w:bidi="en_US"/>
        </w:rPr>
        <w:t xml:space="preserve"> The phrase </w:t>
      </w:r>
      <w:r>
        <w:rPr>
          <w:i/>
          <w:lang w:val="en_US" w:bidi="en_US"/>
        </w:rPr>
        <w:t>no one in the field</w:t>
      </w:r>
      <w:r>
        <w:rPr>
          <w:lang w:val="en_US" w:bidi="en_US"/>
        </w:rPr>
        <w:t xml:space="preserve"> refers to anyone working out in the fields or farms. These fields would be some distance from the cities or towns.</w:t>
      </w:r>
      <w:r>
        <w:rPr>
          <w:lang w:val="en_US" w:bidi="en_US"/>
        </w:rPr>
      </w:r>
      <w:r>
        <w:rPr>
          <w:lang w:val="en_US" w:bidi="en_US"/>
        </w:rPr>
      </w:r>
    </w:p>
    <w:p>
      <w:pPr/>
      <w:r>
        <w:rPr>
          <w:lang w:val="en_US" w:bidi="en_US"/>
        </w:rPr>
      </w:r>
    </w:p>
    <w:p>
      <w:pPr>
        <w:pStyle w:val="Heading2"/>
      </w:pPr>
      <w:r>
        <w:rPr>
          <w:lang w:val="en_US" w:bidi="en_US"/>
        </w:rPr>
        <w:t>Luke 17:32</w:t>
      </w:r>
      <w:r>
        <w:rPr>
          <w:lang w:val="en_US" w:bidi="en_US"/>
        </w:rPr>
      </w:r>
    </w:p>
    <w:p>
      <w:pPr>
        <w:pStyle w:val="Heading4"/>
      </w:pPr>
      <w:r>
        <w:rPr>
          <w:lang w:val="en_US" w:bidi="en_US"/>
        </w:rPr>
        <w:t>Section 17:20–37: Jesus taught about the time when the kingdom of God will come</w:t>
      </w:r>
    </w:p>
    <w:p>
      <w:pPr/>
      <w:r>
        <w:rPr>
          <w:lang w:val="en_US" w:bidi="en_US"/>
        </w:rPr>
      </w:r>
      <w:r>
        <w:rPr>
          <w:lang w:val="en_US" w:bidi="en_US"/>
        </w:rP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pPr/>
      <w:r>
        <w:rPr>
          <w:lang w:val="en_US" w:bidi="en_US"/>
        </w:rPr>
      </w:r>
      <w:r>
        <w:rPr>
          <w:lang w:val="en_US" w:bidi="en_US"/>
        </w:rPr>
        <w:t>Examples of headings for this section are:</w:t>
      </w:r>
    </w:p>
    <w:p>
      <w:pPr/>
      <w:r>
        <w:rPr>
          <w:lang w:val="en_US" w:bidi="en_US"/>
        </w:rPr>
      </w:r>
      <w:r>
        <w:rPr>
          <w:lang w:val="en_US" w:bidi="en_US"/>
        </w:rPr>
        <w:t>Jesus taught about when the Son of Man will come</w:t>
      </w:r>
    </w:p>
    <w:p>
      <w:pPr/>
      <w:r>
        <w:rPr>
          <w:lang w:val="en_US" w:bidi="en_US"/>
        </w:rPr>
      </w:r>
      <w:r>
        <w:rPr>
          <w:lang w:val="en_US" w:bidi="en_US"/>
        </w:rPr>
        <w:t>The coming of the Kingdom of God</w:t>
      </w:r>
    </w:p>
    <w:p>
      <w:pPr/>
      <w:r>
        <w:rPr>
          <w:lang w:val="en_US" w:bidi="en_US"/>
        </w:rPr>
      </w:r>
      <w:r>
        <w:rPr>
          <w:lang w:val="en_US" w:bidi="en_US"/>
        </w:rPr>
        <w:t>Parallel passages are in Matthew 24:17–18, 24:23–28, 24:37–41, and Mark 13:14–16, 13:19–23.</w:t>
      </w:r>
    </w:p>
    <w:p>
      <w:pPr>
        <w:pStyle w:val="Heading4"/>
      </w:pPr>
      <w:r>
        <w:rPr>
          <w:lang w:val="en_US" w:bidi="en_US"/>
        </w:rPr>
        <w:t>Paragraph 17:31–33</w:t>
      </w:r>
    </w:p>
    <w:p>
      <w:pPr/>
      <w:r>
        <w:rPr>
          <w:lang w:val="en_US" w:bidi="en_US"/>
        </w:rPr>
      </w:r>
      <w:r>
        <w:rPr>
          <w:lang w:val="en_US" w:bidi="en_US"/>
        </w:rPr>
        <w:t>In this paragraph Jesus told his disciples that they must not delay to take any of their possessions when he returns. There are two ways to interpret this instruction:</w:t>
      </w:r>
    </w:p>
    <w:p>
      <w:pPr>
        <w:pStyle w:val="ListNumber"/>
        <w:numPr>
          <w:ilvl w:val="0"/>
          <w:numId w:val="294"/>
        </w:numPr>
        <w:spacing w:line="240" w:lineRule="auto"/>
        <w:ind w:left="720"/>
      </w:pPr>
      <w:r>
        <w:rPr>
          <w:lang w:val="en_US" w:bidi="en_US"/>
        </w:rPr>
      </w:r>
      <w:r>
        <w:rPr>
          <w:lang w:val="en_US" w:bidi="en_US"/>
        </w:rPr>
        <w:t>Jesus was speaking in a figurative way. He warned that a person must not be concerned about possessions when he (Jesus) returns.</w:t>
      </w:r>
    </w:p>
    <w:p>
      <w:pPr>
        <w:pStyle w:val="ListNumber"/>
        <w:spacing w:line="240" w:lineRule="auto"/>
        <w:ind w:left="720"/>
      </w:pPr>
      <w:r>
        <w:rPr>
          <w:lang w:val="en_US" w:bidi="en_US"/>
        </w:rPr>
      </w:r>
      <w:r>
        <w:rPr>
          <w:lang w:val="en_US" w:bidi="en_US"/>
        </w:rPr>
        <w:t>Jesus was speaking literally. Jesus warned that they must not delay to take their possessions, but instead, they must flee from danger that is coming.</w:t>
      </w:r>
    </w:p>
    <w:p>
      <w:pPr/>
      <w:r>
        <w:rPr>
          <w:lang w:val="en_US" w:bidi="en_US"/>
        </w:rPr>
      </w:r>
      <w:r>
        <w:rPr>
          <w:lang w:val="en_US" w:bidi="en_US"/>
        </w:rPr>
        <w:t>English versions are ambiguous. It is recommended that you also translate in an ambiguous way so that either interpretation may be understood. If that is not possible, it is recommended that you follow interpretation (1).</w:t>
      </w:r>
      <w:r>
        <w:rPr>
          <w:lang w:val="en_US" w:bidi="en_US"/>
        </w:rPr>
        <w:t>Commentators who follow this interpretation include Arndt, Erdman, Geldenhuys, Godet, Plummer, Lenski, Liefeld, Green, Marshall, Hendriksen, Nolland, Tolbert, TH, and Morris.</w:t>
      </w:r>
      <w:r>
        <w:rPr>
          <w:lang w:val="en_US" w:bidi="en_US"/>
        </w:rPr>
        <w:t xml:space="preserve"> This context in Luke is different from the one in Mark, where Jesus’ disciples should flee from the destruction of Jerusalem. Here in Luke, Jesus is returning, and no one can run from him.</w:t>
      </w:r>
    </w:p>
    <w:p>
      <w:pPr>
        <w:pStyle w:val="Heading5"/>
      </w:pPr>
      <w:r>
        <w:rPr>
          <w:lang w:val="en_US" w:bidi="en_US"/>
        </w:rPr>
        <w:t>17:32</w:t>
      </w:r>
    </w:p>
    <w:p>
      <w:pPr/>
      <w:r>
        <w:rPr>
          <w:lang w:val="en_US" w:bidi="en_US"/>
        </w:rPr>
      </w:r>
      <w:r>
        <w:rPr>
          <w:b/>
          <w:lang w:val="en_US" w:bidi="en_US"/>
        </w:rPr>
        <w:t>Remember Lot’s wife!</w:t>
      </w:r>
    </w:p>
    <w:p>
      <w:pPr>
        <w:pStyle w:val="ListBullet"/>
        <w:spacing w:line="240" w:lineRule="auto"/>
        <w:ind w:left="720"/>
      </w:pPr>
      <w:r>
        <w:rPr>
          <w:lang w:val="en_US" w:bidi="en_US"/>
        </w:rPr>
      </w:r>
      <w:r>
        <w:rPr>
          <w:lang w:val="en_US" w:bidi="en_US"/>
        </w:rPr>
        <w:t xml:space="preserve">Remember </w:t>
      </w:r>
      <w:r>
        <w:rPr>
          <w:lang w:val="en_US" w:bidi="en_US"/>
        </w:rPr>
        <w:t>what happened to</w:t>
      </w:r>
      <w:r>
        <w:rPr>
          <w:lang w:val="en_US" w:bidi="en_US"/>
        </w:rPr>
        <w:t xml:space="preserve"> Lot’s wife!</w:t>
      </w:r>
    </w:p>
    <w:p>
      <w:pPr>
        <w:pStyle w:val="ListBullet"/>
        <w:spacing w:line="240" w:lineRule="auto"/>
        <w:ind w:left="720"/>
      </w:pPr>
      <w:r>
        <w:rPr>
          <w:lang w:val="en_US" w:bidi="en_US"/>
        </w:rPr>
      </w:r>
      <w:r>
        <w:rPr>
          <w:lang w:val="en_US" w:bidi="en_US"/>
        </w:rPr>
        <w:t xml:space="preserve">Remember </w:t>
      </w:r>
      <w:r>
        <w:rPr>
          <w:lang w:val="en_US" w:bidi="en_US"/>
        </w:rPr>
        <w:t>how</w:t>
      </w:r>
      <w:r>
        <w:rPr>
          <w:lang w:val="en_US" w:bidi="en_US"/>
        </w:rPr>
        <w:t xml:space="preserve"> Lot’s wife </w:t>
      </w:r>
      <w:r>
        <w:rPr>
          <w:lang w:val="en_US" w:bidi="en_US"/>
        </w:rPr>
        <w:t>died</w:t>
      </w:r>
      <w:r>
        <w:rPr>
          <w:lang w:val="en_US" w:bidi="en_US"/>
        </w:rPr>
        <w:t>!</w:t>
      </w:r>
    </w:p>
    <w:p>
      <w:pPr/>
      <w:r>
        <w:rPr>
          <w:lang w:val="en_US" w:bidi="en_US"/>
        </w:rPr>
      </w:r>
      <w:r>
        <w:rPr>
          <w:b/>
          <w:lang w:val="en_US" w:bidi="en_US"/>
        </w:rPr>
        <w:t>Remember Lot’s wife!:</w:t>
      </w:r>
      <w:r>
        <w:rPr>
          <w:lang w:val="en_US" w:bidi="en_US"/>
        </w:rPr>
        <w:t xml:space="preserve"> Jesus wanted his disciples to remember what happened to Lot’s wife as a warning that they should not delay. Lot’s wife looked back toward Sodom while she, Lot, and their daughters were escaping. When she looked back, she became a pillar of salt (Genesis 19:26). If your readers do not know what happened to Lot’s wife, it may be possible to imply that something bad happened to her by saying:</w:t>
      </w:r>
    </w:p>
    <w:p>
      <w:pPr/>
      <w:r>
        <w:rPr>
          <w:lang w:val="en_US" w:bidi="en_US"/>
        </w:rPr>
      </w:r>
      <w:r>
        <w:rPr>
          <w:lang w:val="en_US" w:bidi="en_US"/>
        </w:rPr>
        <w:t>Remember</w:t>
      </w:r>
      <w:r>
        <w:rPr>
          <w:vertAlign w:val="superscript"/>
          <w:lang w:val="en_US" w:bidi="en_US"/>
        </w:rPr>
        <w:t>(plur)</w:t>
      </w:r>
      <w:r>
        <w:rPr>
          <w:lang w:val="en_US" w:bidi="en_US"/>
        </w:rPr>
        <w:t xml:space="preserve"> </w:t>
      </w:r>
      <w:r>
        <w:rPr>
          <w:lang w:val="en_US" w:bidi="en_US"/>
        </w:rPr>
        <w:t>what happened to</w:t>
      </w:r>
      <w:r>
        <w:rPr>
          <w:lang w:val="en_US" w:bidi="en_US"/>
        </w:rPr>
        <w:t xml:space="preserve"> Lot’s wife!</w:t>
      </w:r>
    </w:p>
    <w:p>
      <w:pPr/>
      <w:r>
        <w:rPr>
          <w:lang w:val="en_US" w:bidi="en_US"/>
        </w:rPr>
      </w:r>
      <w:r>
        <w:rPr>
          <w:lang w:val="en_US" w:bidi="en_US"/>
        </w:rPr>
        <w:t xml:space="preserve">Remember </w:t>
      </w:r>
      <w:r>
        <w:rPr>
          <w:lang w:val="en_US" w:bidi="en_US"/>
        </w:rPr>
        <w:t>how/why</w:t>
      </w:r>
      <w:r>
        <w:rPr>
          <w:lang w:val="en_US" w:bidi="en_US"/>
        </w:rPr>
        <w:t xml:space="preserve"> Lot’s wife </w:t>
      </w:r>
      <w:r>
        <w:rPr>
          <w:lang w:val="en_US" w:bidi="en_US"/>
        </w:rPr>
        <w:t>died</w:t>
      </w:r>
      <w:r>
        <w:rPr>
          <w:lang w:val="en_US" w:bidi="en_US"/>
        </w:rPr>
        <w:t>!</w:t>
      </w:r>
    </w:p>
    <w:p>
      <w:pPr/>
      <w:r>
        <w:rPr>
          <w:lang w:val="en_US" w:bidi="en_US"/>
        </w:rPr>
      </w:r>
      <w:r>
        <w:rPr>
          <w:lang w:val="en_US" w:bidi="en_US"/>
        </w:rPr>
        <w:t>You may also want to include a footnote or cross-reference in your translation. For example:</w:t>
      </w:r>
    </w:p>
    <w:p>
      <w:pPr/>
      <w:r>
        <w:rPr>
          <w:lang w:val="en_US" w:bidi="en_US"/>
        </w:rPr>
      </w:r>
      <w:r>
        <w:rPr>
          <w:lang w:val="en_US" w:bidi="en_US"/>
        </w:rPr>
        <w:t>Jesus is warning His followers not to make the same mistake that Lot’s wife made. She disobeyed God’s command to not look back and turned into a pillar of salt (Genesis 19:26). We also need to obey Jesus’ commands without hesitation. See a related warning in Luke 9:62. (TRT)</w:t>
      </w:r>
    </w:p>
    <w:p>
      <w:pPr/>
      <w:r>
        <w:rPr>
          <w:lang w:val="en_US" w:bidi="en_US"/>
        </w:rPr>
      </w:r>
      <w:r>
        <w:rPr>
          <w:b/>
          <w:lang w:val="en_US" w:bidi="en_US"/>
        </w:rPr>
        <w:t>Remember:</w:t>
      </w:r>
      <w:r>
        <w:rPr>
          <w:lang w:val="en_US" w:bidi="en_US"/>
        </w:rPr>
        <w:t xml:space="preserve"> Here Jesus wanted his disciples to think about what happened to Lot’s wife and to be warned by it. In some languages a different verb may be more natural. For example:</w:t>
      </w:r>
    </w:p>
    <w:p>
      <w:pPr/>
      <w:r>
        <w:rPr>
          <w:lang w:val="en_US" w:bidi="en_US"/>
        </w:rPr>
      </w:r>
      <w:r>
        <w:rPr>
          <w:lang w:val="en_US" w:bidi="en_US"/>
        </w:rPr>
        <w:t>Think about</w:t>
      </w:r>
    </w:p>
    <w:p>
      <w:pPr/>
      <w:r>
        <w:rPr>
          <w:lang w:val="en_US" w:bidi="en_US"/>
        </w:rPr>
      </w:r>
      <w:r>
        <w:rPr>
          <w:lang w:val="en_US" w:bidi="en_US"/>
        </w:rPr>
        <w:t>Consider</w:t>
      </w:r>
    </w:p>
    <w:p>
      <w:pPr/>
      <w:r>
        <w:rPr>
          <w:lang w:val="en_US" w:bidi="en_US"/>
        </w:rPr>
      </w:r>
      <w:r>
        <w:rPr>
          <w:lang w:val="en_US" w:bidi="en_US"/>
        </w:rPr>
        <w:t>Learn from</w:t>
      </w:r>
      <w:r>
        <w:rPr>
          <w:lang w:val="en_US" w:bidi="en_US"/>
        </w:rPr>
      </w:r>
      <w:r>
        <w:rPr>
          <w:lang w:val="en_US" w:bidi="en_US"/>
        </w:rPr>
      </w:r>
    </w:p>
    <w:p>
      <w:pPr/>
      <w:r>
        <w:rPr>
          <w:lang w:val="en_US" w:bidi="en_US"/>
        </w:rPr>
      </w:r>
    </w:p>
    <w:p>
      <w:pPr>
        <w:pStyle w:val="Heading2"/>
      </w:pPr>
      <w:r>
        <w:rPr>
          <w:lang w:val="en_US" w:bidi="en_US"/>
        </w:rPr>
        <w:t>Luke 17:33</w:t>
      </w:r>
      <w:r>
        <w:rPr>
          <w:lang w:val="en_US" w:bidi="en_US"/>
        </w:rPr>
      </w:r>
    </w:p>
    <w:p>
      <w:pPr>
        <w:pStyle w:val="Heading4"/>
      </w:pPr>
      <w:r>
        <w:rPr>
          <w:lang w:val="en_US" w:bidi="en_US"/>
        </w:rPr>
        <w:t>Section 17:20–37: Jesus taught about the time when the kingdom of God will come</w:t>
      </w:r>
    </w:p>
    <w:p>
      <w:pPr/>
      <w:r>
        <w:rPr>
          <w:lang w:val="en_US" w:bidi="en_US"/>
        </w:rPr>
      </w:r>
      <w:r>
        <w:rPr>
          <w:lang w:val="en_US" w:bidi="en_US"/>
        </w:rP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pPr/>
      <w:r>
        <w:rPr>
          <w:lang w:val="en_US" w:bidi="en_US"/>
        </w:rPr>
      </w:r>
      <w:r>
        <w:rPr>
          <w:lang w:val="en_US" w:bidi="en_US"/>
        </w:rPr>
        <w:t>Examples of headings for this section are:</w:t>
      </w:r>
    </w:p>
    <w:p>
      <w:pPr/>
      <w:r>
        <w:rPr>
          <w:lang w:val="en_US" w:bidi="en_US"/>
        </w:rPr>
      </w:r>
      <w:r>
        <w:rPr>
          <w:lang w:val="en_US" w:bidi="en_US"/>
        </w:rPr>
        <w:t>Jesus taught about when the Son of Man will come</w:t>
      </w:r>
    </w:p>
    <w:p>
      <w:pPr/>
      <w:r>
        <w:rPr>
          <w:lang w:val="en_US" w:bidi="en_US"/>
        </w:rPr>
      </w:r>
      <w:r>
        <w:rPr>
          <w:lang w:val="en_US" w:bidi="en_US"/>
        </w:rPr>
        <w:t>The coming of the Kingdom of God</w:t>
      </w:r>
    </w:p>
    <w:p>
      <w:pPr/>
      <w:r>
        <w:rPr>
          <w:lang w:val="en_US" w:bidi="en_US"/>
        </w:rPr>
      </w:r>
      <w:r>
        <w:rPr>
          <w:lang w:val="en_US" w:bidi="en_US"/>
        </w:rPr>
        <w:t>Parallel passages are in Matthew 24:17–18, 24:23–28, 24:37–41, and Mark 13:14–16, 13:19–23.</w:t>
      </w:r>
    </w:p>
    <w:p>
      <w:pPr>
        <w:pStyle w:val="Heading4"/>
      </w:pPr>
      <w:r>
        <w:rPr>
          <w:lang w:val="en_US" w:bidi="en_US"/>
        </w:rPr>
        <w:t>Paragraph 17:31–33</w:t>
      </w:r>
    </w:p>
    <w:p>
      <w:pPr/>
      <w:r>
        <w:rPr>
          <w:lang w:val="en_US" w:bidi="en_US"/>
        </w:rPr>
      </w:r>
      <w:r>
        <w:rPr>
          <w:lang w:val="en_US" w:bidi="en_US"/>
        </w:rPr>
        <w:t>In this paragraph Jesus told his disciples that they must not delay to take any of their possessions when he returns. There are two ways to interpret this instruction:</w:t>
      </w:r>
    </w:p>
    <w:p>
      <w:pPr>
        <w:pStyle w:val="ListNumber"/>
        <w:numPr>
          <w:ilvl w:val="0"/>
          <w:numId w:val="295"/>
        </w:numPr>
        <w:spacing w:line="240" w:lineRule="auto"/>
        <w:ind w:left="720"/>
      </w:pPr>
      <w:r>
        <w:rPr>
          <w:lang w:val="en_US" w:bidi="en_US"/>
        </w:rPr>
      </w:r>
      <w:r>
        <w:rPr>
          <w:lang w:val="en_US" w:bidi="en_US"/>
        </w:rPr>
        <w:t>Jesus was speaking in a figurative way. He warned that a person must not be concerned about possessions when he (Jesus) returns.</w:t>
      </w:r>
    </w:p>
    <w:p>
      <w:pPr>
        <w:pStyle w:val="ListNumber"/>
        <w:spacing w:line="240" w:lineRule="auto"/>
        <w:ind w:left="720"/>
      </w:pPr>
      <w:r>
        <w:rPr>
          <w:lang w:val="en_US" w:bidi="en_US"/>
        </w:rPr>
      </w:r>
      <w:r>
        <w:rPr>
          <w:lang w:val="en_US" w:bidi="en_US"/>
        </w:rPr>
        <w:t>Jesus was speaking literally. Jesus warned that they must not delay to take their possessions, but instead, they must flee from danger that is coming.</w:t>
      </w:r>
    </w:p>
    <w:p>
      <w:pPr/>
      <w:r>
        <w:rPr>
          <w:lang w:val="en_US" w:bidi="en_US"/>
        </w:rPr>
      </w:r>
      <w:r>
        <w:rPr>
          <w:lang w:val="en_US" w:bidi="en_US"/>
        </w:rPr>
        <w:t>English versions are ambiguous. It is recommended that you also translate in an ambiguous way so that either interpretation may be understood. If that is not possible, it is recommended that you follow interpretation (1).</w:t>
      </w:r>
      <w:r>
        <w:rPr>
          <w:lang w:val="en_US" w:bidi="en_US"/>
        </w:rPr>
        <w:t>Commentators who follow this interpretation include Arndt, Erdman, Geldenhuys, Godet, Plummer, Lenski, Liefeld, Green, Marshall, Hendriksen, Nolland, Tolbert, TH, and Morris.</w:t>
      </w:r>
      <w:r>
        <w:rPr>
          <w:lang w:val="en_US" w:bidi="en_US"/>
        </w:rPr>
        <w:t xml:space="preserve"> This context in Luke is different from the one in Mark, where Jesus’ disciples should flee from the destruction of Jerusalem. Here in Luke, Jesus is returning, and no one can run from him.</w:t>
      </w:r>
    </w:p>
    <w:p>
      <w:pPr>
        <w:pStyle w:val="Heading5"/>
      </w:pPr>
      <w:r>
        <w:rPr>
          <w:lang w:val="en_US" w:bidi="en_US"/>
        </w:rPr>
        <w:t>17:33</w:t>
      </w:r>
    </w:p>
    <w:p>
      <w:pPr/>
      <w:r>
        <w:rPr>
          <w:lang w:val="en_US" w:bidi="en_US"/>
        </w:rPr>
      </w:r>
      <w:r>
        <w:rPr>
          <w:lang w:val="en_US" w:bidi="en_US"/>
        </w:rPr>
        <w:t>This verse is very similar to 9:24. See the notes there (9:24a and 9:24b). It is also similar to Mark 8:35. Jesus talked about two types of “life” in this verse: physical, earthly life without God and eternal life with God. It is important to understand this difference in order to understand the verse.</w:t>
      </w:r>
    </w:p>
    <w:p>
      <w:pPr/>
      <w:r>
        <w:rPr>
          <w:lang w:val="en_US" w:bidi="en_US"/>
        </w:rPr>
      </w:r>
      <w:r>
        <w:rPr>
          <w:lang w:val="en_US" w:bidi="en_US"/>
        </w:rPr>
        <w:t>Jesus was talking about two kinds of people:</w:t>
      </w:r>
    </w:p>
    <w:p>
      <w:pPr>
        <w:pStyle w:val="ListNumber"/>
        <w:numPr>
          <w:ilvl w:val="0"/>
          <w:numId w:val="296"/>
        </w:numPr>
        <w:spacing w:line="240" w:lineRule="auto"/>
        <w:ind w:left="720"/>
      </w:pPr>
      <w:r>
        <w:rPr>
          <w:lang w:val="en_US" w:bidi="en_US"/>
        </w:rPr>
      </w:r>
      <w:r>
        <w:rPr>
          <w:lang w:val="en_US" w:bidi="en_US"/>
        </w:rPr>
        <w:t>Some people continue to control what they do here on earth and do not submit to God. Those people will lose the opportunity to live eternally with him.</w:t>
      </w:r>
    </w:p>
    <w:p>
      <w:pPr>
        <w:pStyle w:val="ListNumber"/>
        <w:spacing w:line="240" w:lineRule="auto"/>
        <w:ind w:left="720"/>
      </w:pPr>
      <w:r>
        <w:rPr>
          <w:lang w:val="en_US" w:bidi="en_US"/>
        </w:rPr>
      </w:r>
      <w:r>
        <w:rPr>
          <w:lang w:val="en_US" w:bidi="en_US"/>
        </w:rPr>
        <w:t>Some people submit to God and follow his will here on earth. They will live eternally with God.</w:t>
      </w:r>
    </w:p>
    <w:p>
      <w:pPr>
        <w:pStyle w:val="Heading5"/>
      </w:pPr>
      <w:r>
        <w:rPr>
          <w:lang w:val="en_US" w:bidi="en_US"/>
        </w:rPr>
        <w:t>17:33a</w:t>
      </w:r>
    </w:p>
    <w:p>
      <w:pPr/>
      <w:r>
        <w:rPr>
          <w:lang w:val="en_US" w:bidi="en_US"/>
        </w:rPr>
      </w:r>
      <w:r>
        <w:rPr>
          <w:b/>
          <w:lang w:val="en_US" w:bidi="en_US"/>
        </w:rPr>
        <w:t>Whoever tries to save his life will lose it,</w:t>
      </w:r>
    </w:p>
    <w:p>
      <w:pPr>
        <w:pStyle w:val="ListBullet"/>
        <w:spacing w:line="240" w:lineRule="auto"/>
        <w:ind w:left="720"/>
      </w:pPr>
      <w:r>
        <w:rPr>
          <w:lang w:val="en_US" w:bidi="en_US"/>
        </w:rPr>
      </w:r>
      <w:r>
        <w:rPr>
          <w:lang w:val="en_US" w:bidi="en_US"/>
        </w:rPr>
        <w:t xml:space="preserve">The people who strive to preserve/protect their lives will never receive/gain </w:t>
      </w:r>
      <w:r>
        <w:rPr>
          <w:lang w:val="en_US" w:bidi="en_US"/>
        </w:rPr>
        <w:t>eternal</w:t>
      </w:r>
      <w:r>
        <w:rPr>
          <w:lang w:val="en_US" w:bidi="en_US"/>
        </w:rPr>
        <w:t xml:space="preserve"> life </w:t>
      </w:r>
      <w:r>
        <w:rPr>
          <w:lang w:val="en_US" w:bidi="en_US"/>
        </w:rPr>
        <w:t>with God</w:t>
      </w:r>
      <w:r>
        <w:rPr>
          <w:lang w:val="en_US" w:bidi="en_US"/>
        </w:rPr>
        <w:t>.</w:t>
      </w:r>
    </w:p>
    <w:p>
      <w:pPr>
        <w:pStyle w:val="ListBullet"/>
        <w:spacing w:line="240" w:lineRule="auto"/>
        <w:ind w:left="720"/>
      </w:pPr>
      <w:r>
        <w:rPr>
          <w:lang w:val="en_US" w:bidi="en_US"/>
        </w:rPr>
      </w:r>
      <w:r>
        <w:rPr>
          <w:lang w:val="en_US" w:bidi="en_US"/>
        </w:rPr>
        <w:t xml:space="preserve">If a person seeks to keep on living </w:t>
      </w:r>
      <w:r>
        <w:rPr>
          <w:lang w:val="en_US" w:bidi="en_US"/>
        </w:rPr>
        <w:t>and is not willing to die</w:t>
      </w:r>
      <w:r>
        <w:rPr>
          <w:lang w:val="en_US" w:bidi="en_US"/>
        </w:rPr>
        <w:t xml:space="preserve"> </w:t>
      </w:r>
      <w:r>
        <w:rPr>
          <w:lang w:val="en_US" w:bidi="en_US"/>
        </w:rPr>
        <w:t>for me</w:t>
      </w:r>
      <w:r>
        <w:rPr>
          <w:lang w:val="en_US" w:bidi="en_US"/>
        </w:rPr>
        <w:t xml:space="preserve">, that person forfeits life </w:t>
      </w:r>
      <w:r>
        <w:rPr>
          <w:lang w:val="en_US" w:bidi="en_US"/>
        </w:rPr>
        <w:t>with God</w:t>
      </w:r>
      <w:r>
        <w:rPr>
          <w:lang w:val="en_US" w:bidi="en_US"/>
        </w:rPr>
        <w:t>.</w:t>
      </w:r>
    </w:p>
    <w:p>
      <w:pPr/>
      <w:r>
        <w:rPr>
          <w:lang w:val="en_US" w:bidi="en_US"/>
        </w:rPr>
      </w:r>
      <w:r>
        <w:rPr>
          <w:b/>
          <w:lang w:val="en_US" w:bidi="en_US"/>
        </w:rPr>
        <w:t>Whoever tries to save his life:</w:t>
      </w:r>
      <w:r>
        <w:rPr>
          <w:lang w:val="en_US" w:bidi="en_US"/>
        </w:rPr>
        <w:t xml:space="preserve"> The clause </w:t>
      </w:r>
      <w:r>
        <w:rPr>
          <w:i/>
          <w:lang w:val="en_US" w:bidi="en_US"/>
        </w:rPr>
        <w:t>Whoever tries to save his life</w:t>
      </w:r>
      <w:r>
        <w:rPr>
          <w:lang w:val="en_US" w:bidi="en_US"/>
        </w:rPr>
        <w:t xml:space="preserve"> refers to any person who is determined to continue living. Such a person is not willing to suffer and die for Jesus. Instead, he wants to save or preserve his own way of life. Some ways to translate this clause are:</w:t>
      </w:r>
    </w:p>
    <w:p>
      <w:pPr/>
      <w:r>
        <w:rPr>
          <w:lang w:val="en_US" w:bidi="en_US"/>
        </w:rPr>
      </w:r>
      <w:r>
        <w:rPr>
          <w:lang w:val="en_US" w:bidi="en_US"/>
        </w:rPr>
        <w:t>whoever seeks to protect his own life</w:t>
      </w:r>
    </w:p>
    <w:p>
      <w:pPr/>
      <w:r>
        <w:rPr>
          <w:lang w:val="en_US" w:bidi="en_US"/>
        </w:rPr>
      </w:r>
      <w:r>
        <w:rPr>
          <w:lang w:val="en_US" w:bidi="en_US"/>
        </w:rPr>
        <w:t>If you cling to your life (NLT)</w:t>
      </w:r>
    </w:p>
    <w:p>
      <w:pPr/>
      <w:r>
        <w:rPr>
          <w:lang w:val="en_US" w:bidi="en_US"/>
        </w:rPr>
      </w:r>
      <w:r>
        <w:rPr>
          <w:lang w:val="en_US" w:bidi="en_US"/>
        </w:rPr>
        <w:t>a person who wants to guard his life on this earth</w:t>
      </w:r>
    </w:p>
    <w:p>
      <w:pPr/>
      <w:r>
        <w:rPr>
          <w:lang w:val="en_US" w:bidi="en_US"/>
        </w:rPr>
      </w:r>
      <w:r>
        <w:rPr>
          <w:lang w:val="en_US" w:bidi="en_US"/>
        </w:rPr>
        <w:t>People who try to save their lives (CEV)</w:t>
      </w:r>
    </w:p>
    <w:p>
      <w:pPr/>
      <w:r>
        <w:rPr>
          <w:lang w:val="en_US" w:bidi="en_US"/>
        </w:rPr>
      </w:r>
      <w:r>
        <w:rPr>
          <w:lang w:val="en_US" w:bidi="en_US"/>
        </w:rPr>
        <w:t>See save, Meaning 1, in the Glossary.</w:t>
      </w:r>
      <w:r>
        <w:rPr>
          <w:lang w:val="en_US" w:bidi="en_US"/>
        </w:rPr>
        <w:t>The Greek verb that the BSB translates as “save” occurs only here in the NT. It has virtually the same meaning in this context as the Greek verb that is often translated as “save.” (Some Greek manuscripts have the verb “save” here. Although the other text is preferred, translators may use whichever verb expresses the meaning most naturally here. See Metzger (p. 167) for more information.)</w:t>
      </w:r>
    </w:p>
    <w:p>
      <w:pPr/>
      <w:r>
        <w:rPr>
          <w:lang w:val="en_US" w:bidi="en_US"/>
        </w:rPr>
      </w:r>
      <w:r>
        <w:rPr>
          <w:lang w:val="en_US" w:bidi="en_US"/>
        </w:rPr>
        <w:t xml:space="preserve">In some languages it may be necessary to translate </w:t>
      </w:r>
      <w:r>
        <w:rPr>
          <w:i/>
          <w:lang w:val="en_US" w:bidi="en_US"/>
        </w:rPr>
        <w:t>life</w:t>
      </w:r>
      <w:r>
        <w:rPr>
          <w:lang w:val="en_US" w:bidi="en_US"/>
        </w:rPr>
        <w:t xml:space="preserve"> as a verb. For example:</w:t>
      </w:r>
    </w:p>
    <w:p>
      <w:pPr/>
      <w:r>
        <w:rPr>
          <w:lang w:val="en_US" w:bidi="en_US"/>
        </w:rPr>
      </w:r>
      <w:r>
        <w:rPr>
          <w:lang w:val="en_US" w:bidi="en_US"/>
        </w:rPr>
        <w:t>whoever tries/seeks to continue living</w:t>
      </w:r>
    </w:p>
    <w:p>
      <w:pPr/>
      <w:r>
        <w:rPr>
          <w:lang w:val="en_US" w:bidi="en_US"/>
        </w:rPr>
      </w:r>
      <w:r>
        <w:rPr>
          <w:b/>
          <w:lang w:val="en_US" w:bidi="en_US"/>
        </w:rPr>
        <w:t>will lose it:</w:t>
      </w:r>
      <w:r>
        <w:rPr>
          <w:lang w:val="en_US" w:bidi="en_US"/>
        </w:rPr>
        <w:t xml:space="preserve"> The phrase </w:t>
      </w:r>
      <w:r>
        <w:rPr>
          <w:i/>
          <w:lang w:val="en_US" w:bidi="en_US"/>
        </w:rPr>
        <w:t>will lose it</w:t>
      </w:r>
      <w:r>
        <w:rPr>
          <w:lang w:val="en_US" w:bidi="en_US"/>
        </w:rPr>
        <w:t xml:space="preserve"> refers to losing true life, which is life with God that lasts forever. A person who loses his life in this sense will fail to experience it either here on earth or in heaven after he dies. He will eventually lose his physical life because no one can live forever. He will also forfeit the opportunity to gain true life with God.</w:t>
      </w:r>
    </w:p>
    <w:p>
      <w:pPr/>
      <w:r>
        <w:rPr>
          <w:lang w:val="en_US" w:bidi="en_US"/>
        </w:rPr>
      </w:r>
      <w:r>
        <w:rPr>
          <w:lang w:val="en_US" w:bidi="en_US"/>
        </w:rPr>
        <w:t xml:space="preserve">In some languages, a literal translation of </w:t>
      </w:r>
      <w:r>
        <w:rPr>
          <w:i/>
          <w:lang w:val="en_US" w:bidi="en_US"/>
        </w:rPr>
        <w:t>lose</w:t>
      </w:r>
      <w:r>
        <w:rPr>
          <w:lang w:val="en_US" w:bidi="en_US"/>
        </w:rPr>
        <w:t xml:space="preserve"> may imply that a person misplaces something and is unable to find it. It may also imply that a person who already has eternal life will lose it. Be careful to avoid both these implications. Some ways to express the correct meaning are:</w:t>
      </w:r>
    </w:p>
    <w:p>
      <w:pPr/>
      <w:r>
        <w:rPr>
          <w:lang w:val="en_US" w:bidi="en_US"/>
        </w:rPr>
      </w:r>
      <w:r>
        <w:rPr>
          <w:lang w:val="en_US" w:bidi="en_US"/>
        </w:rPr>
        <w:t>will forfeit true life</w:t>
      </w:r>
    </w:p>
    <w:p>
      <w:pPr/>
      <w:r>
        <w:rPr>
          <w:lang w:val="en_US" w:bidi="en_US"/>
        </w:rPr>
      </w:r>
      <w:r>
        <w:rPr>
          <w:lang w:val="en_US" w:bidi="en_US"/>
        </w:rPr>
        <w:t>will lose the opportunity to gain eternal life</w:t>
      </w:r>
    </w:p>
    <w:p>
      <w:pPr/>
      <w:r>
        <w:rPr>
          <w:lang w:val="en_US" w:bidi="en_US"/>
        </w:rPr>
      </w:r>
      <w:r>
        <w:rPr>
          <w:lang w:val="en_US" w:bidi="en_US"/>
        </w:rPr>
        <w:t>will not gain life with God</w:t>
      </w:r>
    </w:p>
    <w:p>
      <w:pPr/>
      <w:r>
        <w:rPr>
          <w:lang w:val="en_US" w:bidi="en_US"/>
        </w:rPr>
      </w:r>
      <w:r>
        <w:rPr>
          <w:lang w:val="en_US" w:bidi="en_US"/>
        </w:rPr>
        <w:t>will not be able to live forever with God</w:t>
      </w:r>
    </w:p>
    <w:p>
      <w:pPr>
        <w:pStyle w:val="Heading5"/>
      </w:pPr>
      <w:r>
        <w:rPr>
          <w:lang w:val="en_US" w:bidi="en_US"/>
        </w:rPr>
        <w:t>17:33b</w:t>
      </w:r>
    </w:p>
    <w:p>
      <w:pPr/>
      <w:r>
        <w:rPr>
          <w:lang w:val="en_US" w:bidi="en_US"/>
        </w:rPr>
      </w:r>
      <w:r>
        <w:rPr>
          <w:b/>
          <w:lang w:val="en_US" w:bidi="en_US"/>
        </w:rPr>
        <w:t>but whoever loses his life will preserve it.</w:t>
      </w:r>
    </w:p>
    <w:p>
      <w:pPr>
        <w:pStyle w:val="ListBullet"/>
        <w:spacing w:line="240" w:lineRule="auto"/>
        <w:ind w:left="720"/>
      </w:pPr>
      <w:r>
        <w:rPr>
          <w:lang w:val="en_US" w:bidi="en_US"/>
        </w:rPr>
      </w:r>
      <w:r>
        <w:rPr>
          <w:lang w:val="en_US" w:bidi="en_US"/>
        </w:rPr>
        <w:t xml:space="preserve">But the people who surrender their lives will receive </w:t>
      </w:r>
      <w:r>
        <w:rPr>
          <w:lang w:val="en_US" w:bidi="en_US"/>
        </w:rPr>
        <w:t>eternal</w:t>
      </w:r>
      <w:r>
        <w:rPr>
          <w:lang w:val="en_US" w:bidi="en_US"/>
        </w:rPr>
        <w:t xml:space="preserve"> life </w:t>
      </w:r>
      <w:r>
        <w:rPr>
          <w:lang w:val="en_US" w:bidi="en_US"/>
        </w:rPr>
        <w:t>with God</w:t>
      </w:r>
      <w:r>
        <w:rPr>
          <w:lang w:val="en_US" w:bidi="en_US"/>
        </w:rPr>
        <w:t>.</w:t>
      </w:r>
    </w:p>
    <w:p>
      <w:pPr>
        <w:pStyle w:val="ListBullet"/>
        <w:spacing w:line="240" w:lineRule="auto"/>
        <w:ind w:left="720"/>
      </w:pPr>
      <w:r>
        <w:rPr>
          <w:lang w:val="en_US" w:bidi="en_US"/>
        </w:rPr>
      </w:r>
      <w:r>
        <w:rPr>
          <w:lang w:val="en_US" w:bidi="en_US"/>
        </w:rPr>
        <w:t xml:space="preserve">But if a person </w:t>
      </w:r>
      <w:r>
        <w:rPr>
          <w:lang w:val="en_US" w:bidi="en_US"/>
        </w:rPr>
        <w:t>is willing to</w:t>
      </w:r>
      <w:r>
        <w:rPr>
          <w:lang w:val="en_US" w:bidi="en_US"/>
        </w:rPr>
        <w:t xml:space="preserve"> die </w:t>
      </w:r>
      <w:r>
        <w:rPr>
          <w:lang w:val="en_US" w:bidi="en_US"/>
        </w:rPr>
        <w:t>for me</w:t>
      </w:r>
      <w:r>
        <w:rPr>
          <w:lang w:val="en_US" w:bidi="en_US"/>
        </w:rPr>
        <w:t xml:space="preserve">, that person will live </w:t>
      </w:r>
      <w:r>
        <w:rPr>
          <w:lang w:val="en_US" w:bidi="en_US"/>
        </w:rPr>
        <w:t>with God</w:t>
      </w:r>
      <w:r>
        <w:rPr>
          <w:lang w:val="en_US" w:bidi="en_US"/>
        </w:rPr>
        <w:t xml:space="preserve"> </w:t>
      </w:r>
      <w:r>
        <w:rPr>
          <w:lang w:val="en_US" w:bidi="en_US"/>
        </w:rPr>
        <w:t>forever</w:t>
      </w:r>
      <w:r>
        <w:rPr>
          <w:lang w:val="en_US" w:bidi="en_US"/>
        </w:rPr>
        <w:t>.</w:t>
      </w:r>
    </w:p>
    <w:p>
      <w:pPr/>
      <w:r>
        <w:rPr>
          <w:lang w:val="en_US" w:bidi="en_US"/>
        </w:rPr>
      </w:r>
      <w:r>
        <w:rPr>
          <w:b/>
          <w:lang w:val="en_US" w:bidi="en_US"/>
        </w:rPr>
        <w:t>but whoever loses his life will preserve it:</w:t>
      </w:r>
      <w:r>
        <w:rPr>
          <w:lang w:val="en_US" w:bidi="en_US"/>
        </w:rPr>
        <w:t xml:space="preserve"> This clause indicates that a person who willingly gives up his life on earth will gain eternal life with God in heaven. Other ways to translate this clause are:</w:t>
      </w:r>
    </w:p>
    <w:p>
      <w:pPr/>
      <w:r>
        <w:rPr>
          <w:lang w:val="en_US" w:bidi="en_US"/>
        </w:rPr>
      </w:r>
      <w:r>
        <w:rPr>
          <w:lang w:val="en_US" w:bidi="en_US"/>
        </w:rPr>
        <w:t>…those who lose their lives will save them. (GW)</w:t>
      </w:r>
    </w:p>
    <w:p>
      <w:pPr/>
      <w:r>
        <w:rPr>
          <w:lang w:val="en_US" w:bidi="en_US"/>
        </w:rPr>
      </w:r>
      <w:r>
        <w:rPr>
          <w:lang w:val="en_US" w:bidi="en_US"/>
        </w:rPr>
        <w:t>…and if you let your life go, you will save it. (NLT)</w:t>
      </w:r>
    </w:p>
    <w:p>
      <w:pPr/>
      <w:r>
        <w:rPr>
          <w:lang w:val="en_US" w:bidi="en_US"/>
        </w:rPr>
      </w:r>
      <w:r>
        <w:rPr>
          <w:lang w:val="en_US" w:bidi="en_US"/>
        </w:rPr>
        <w:t>And that person who does not set his heart on his life…he will be given life without end.</w:t>
      </w:r>
    </w:p>
    <w:p>
      <w:pPr/>
      <w:r>
        <w:rPr>
          <w:lang w:val="en_US" w:bidi="en_US"/>
        </w:rPr>
      </w:r>
      <w:r>
        <w:rPr>
          <w:lang w:val="en_US" w:bidi="en_US"/>
        </w:rPr>
        <w:t>The parallel passage in Mark 8:35 says “whoever loses his life for My sake and for the gospel.” The context here in Luke also implies that Jesus referred to his disciples who lose their lives for him. In some languages it may be necessary to make that explicit.</w:t>
      </w:r>
      <w:r>
        <w:rPr>
          <w:lang w:val="en_US" w:bidi="en_US"/>
        </w:rPr>
        <w:t>Several back translations on TW make this information explicit. For example: “But whoever lets-go of his desires because of his following of Me, even if it kills him, he is the one who will get eternal life” (Uma). “But whoever does not cherish/love his life because of me, even though he dies he has life forever” (Yakan). “And that person who does not set his heart on his life, because he wants to follow me, he will be given life without end” (Western Bukidnon Manobo). “But the one who dies because of his faith in me, he will have life that has no end” (Kankanaey).</w:t>
      </w:r>
      <w:r>
        <w:rPr>
          <w:lang w:val="en_US" w:bidi="en_US"/>
        </w:rPr>
        <w:t xml:space="preserve"> For example:</w:t>
      </w:r>
    </w:p>
    <w:p>
      <w:pPr/>
      <w:r>
        <w:rPr>
          <w:lang w:val="en_US" w:bidi="en_US"/>
        </w:rPr>
      </w:r>
      <w:r>
        <w:rPr>
          <w:lang w:val="en_US" w:bidi="en_US"/>
        </w:rPr>
        <w:t xml:space="preserve">who loses his life </w:t>
      </w:r>
      <w:r>
        <w:rPr>
          <w:lang w:val="en_US" w:bidi="en_US"/>
        </w:rPr>
        <w:t>for me</w:t>
      </w:r>
      <w:r>
        <w:rPr>
          <w:lang w:val="en_US" w:bidi="en_US"/>
        </w:rPr>
        <w:t xml:space="preserve"> will save it</w:t>
      </w:r>
    </w:p>
    <w:p>
      <w:pPr/>
      <w:r>
        <w:rPr>
          <w:lang w:val="en_US" w:bidi="en_US"/>
        </w:rPr>
      </w:r>
      <w:r>
        <w:rPr>
          <w:lang w:val="en_US" w:bidi="en_US"/>
        </w:rPr>
        <w:t xml:space="preserve">whoever is willing to die </w:t>
      </w:r>
      <w:r>
        <w:rPr>
          <w:lang w:val="en_US" w:bidi="en_US"/>
        </w:rPr>
        <w:t>for me</w:t>
      </w:r>
      <w:r>
        <w:rPr>
          <w:lang w:val="en_US" w:bidi="en_US"/>
        </w:rPr>
        <w:t xml:space="preserve"> will gain eternal life</w:t>
      </w:r>
    </w:p>
    <w:p>
      <w:pPr/>
      <w:r>
        <w:rPr>
          <w:lang w:val="en_US" w:bidi="en_US"/>
        </w:rPr>
      </w:r>
      <w:r>
        <w:rPr>
          <w:lang w:val="en_US" w:bidi="en_US"/>
        </w:rPr>
        <w:t xml:space="preserve">In some languages it may be necessary to translate </w:t>
      </w:r>
      <w:r>
        <w:rPr>
          <w:i/>
          <w:lang w:val="en_US" w:bidi="en_US"/>
        </w:rPr>
        <w:t>life</w:t>
      </w:r>
      <w:r>
        <w:rPr>
          <w:lang w:val="en_US" w:bidi="en_US"/>
        </w:rPr>
        <w:t xml:space="preserve"> as a verb. For example:</w:t>
      </w:r>
    </w:p>
    <w:p>
      <w:pPr/>
      <w:r>
        <w:rPr>
          <w:lang w:val="en_US" w:bidi="en_US"/>
        </w:rPr>
      </w:r>
      <w:r>
        <w:rPr>
          <w:lang w:val="en_US" w:bidi="en_US"/>
        </w:rPr>
        <w:t>whoever is willing to die will live forever</w:t>
      </w:r>
      <w:r>
        <w:rPr>
          <w:lang w:val="en_US" w:bidi="en_US"/>
        </w:rPr>
      </w:r>
      <w:r>
        <w:rPr>
          <w:lang w:val="en_US" w:bidi="en_US"/>
        </w:rPr>
      </w:r>
    </w:p>
    <w:p>
      <w:pPr/>
      <w:r>
        <w:rPr>
          <w:lang w:val="en_US" w:bidi="en_US"/>
        </w:rPr>
      </w:r>
    </w:p>
    <w:p>
      <w:pPr>
        <w:pStyle w:val="Heading2"/>
      </w:pPr>
      <w:r>
        <w:rPr>
          <w:lang w:val="en_US" w:bidi="en_US"/>
        </w:rPr>
        <w:t>Luke 17:34</w:t>
      </w:r>
      <w:r>
        <w:rPr>
          <w:lang w:val="en_US" w:bidi="en_US"/>
        </w:rPr>
      </w:r>
    </w:p>
    <w:p>
      <w:pPr>
        <w:pStyle w:val="Heading4"/>
      </w:pPr>
      <w:r>
        <w:rPr>
          <w:lang w:val="en_US" w:bidi="en_US"/>
        </w:rPr>
        <w:t>Section 17:20–37: Jesus taught about the time when the kingdom of God will come</w:t>
      </w:r>
    </w:p>
    <w:p>
      <w:pPr/>
      <w:r>
        <w:rPr>
          <w:lang w:val="en_US" w:bidi="en_US"/>
        </w:rPr>
      </w:r>
      <w:r>
        <w:rPr>
          <w:lang w:val="en_US" w:bidi="en_US"/>
        </w:rP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pPr/>
      <w:r>
        <w:rPr>
          <w:lang w:val="en_US" w:bidi="en_US"/>
        </w:rPr>
      </w:r>
      <w:r>
        <w:rPr>
          <w:lang w:val="en_US" w:bidi="en_US"/>
        </w:rPr>
        <w:t>Examples of headings for this section are:</w:t>
      </w:r>
    </w:p>
    <w:p>
      <w:pPr/>
      <w:r>
        <w:rPr>
          <w:lang w:val="en_US" w:bidi="en_US"/>
        </w:rPr>
      </w:r>
      <w:r>
        <w:rPr>
          <w:lang w:val="en_US" w:bidi="en_US"/>
        </w:rPr>
        <w:t>Jesus taught about when the Son of Man will come</w:t>
      </w:r>
    </w:p>
    <w:p>
      <w:pPr/>
      <w:r>
        <w:rPr>
          <w:lang w:val="en_US" w:bidi="en_US"/>
        </w:rPr>
      </w:r>
      <w:r>
        <w:rPr>
          <w:lang w:val="en_US" w:bidi="en_US"/>
        </w:rPr>
        <w:t>The coming of the Kingdom of God</w:t>
      </w:r>
    </w:p>
    <w:p>
      <w:pPr/>
      <w:r>
        <w:rPr>
          <w:lang w:val="en_US" w:bidi="en_US"/>
        </w:rPr>
      </w:r>
      <w:r>
        <w:rPr>
          <w:lang w:val="en_US" w:bidi="en_US"/>
        </w:rPr>
        <w:t>Parallel passages are in Matthew 24:17–18, 24:23–28, 24:37–41, and Mark 13:14–16, 13:19–23.</w:t>
      </w:r>
    </w:p>
    <w:p>
      <w:pPr>
        <w:pStyle w:val="Heading4"/>
      </w:pPr>
      <w:r>
        <w:rPr>
          <w:lang w:val="en_US" w:bidi="en_US"/>
        </w:rPr>
        <w:t>Paragraph 17:34–37</w:t>
      </w:r>
    </w:p>
    <w:p>
      <w:pPr/>
      <w:r>
        <w:rPr>
          <w:lang w:val="en_US" w:bidi="en_US"/>
        </w:rPr>
      </w:r>
      <w:r>
        <w:rPr>
          <w:lang w:val="en_US" w:bidi="en_US"/>
        </w:rPr>
        <w:t>For 17:34–35 see also Matthew 24:40–41. These verses indicate that some people who live and work close to one another will be separated at the time when Jesus returns.</w:t>
      </w:r>
    </w:p>
    <w:p>
      <w:pPr>
        <w:pStyle w:val="Heading5"/>
      </w:pPr>
      <w:r>
        <w:rPr>
          <w:lang w:val="en_US" w:bidi="en_US"/>
        </w:rPr>
        <w:t>17:34a</w:t>
      </w:r>
    </w:p>
    <w:p>
      <w:pPr/>
      <w:r>
        <w:rPr>
          <w:lang w:val="en_US" w:bidi="en_US"/>
        </w:rPr>
      </w:r>
      <w:r>
        <w:rPr>
          <w:b/>
          <w:lang w:val="en_US" w:bidi="en_US"/>
        </w:rPr>
        <w:t>I tell you, on that night two people will be in one bed:</w:t>
      </w:r>
    </w:p>
    <w:p>
      <w:pPr>
        <w:pStyle w:val="ListBullet"/>
        <w:spacing w:line="240" w:lineRule="auto"/>
        <w:ind w:left="720"/>
      </w:pPr>
      <w:r>
        <w:rPr>
          <w:lang w:val="en_US" w:bidi="en_US"/>
        </w:rPr>
      </w:r>
      <w:r>
        <w:rPr>
          <w:lang w:val="en_US" w:bidi="en_US"/>
        </w:rPr>
        <w:t>¶ “I tell you</w:t>
      </w:r>
      <w:r>
        <w:rPr>
          <w:vertAlign w:val="superscript"/>
          <w:lang w:val="en_US" w:bidi="en_US"/>
        </w:rPr>
        <w:t>(plur)</w:t>
      </w:r>
      <w:r>
        <w:rPr>
          <w:lang w:val="en_US" w:bidi="en_US"/>
        </w:rPr>
        <w:t xml:space="preserve"> that on the night </w:t>
      </w:r>
      <w:r>
        <w:rPr>
          <w:lang w:val="en_US" w:bidi="en_US"/>
        </w:rPr>
        <w:t>when I return</w:t>
      </w:r>
      <w:r>
        <w:rPr>
          <w:lang w:val="en_US" w:bidi="en_US"/>
        </w:rPr>
        <w:t>, two people may be asleep near each other.</w:t>
      </w:r>
    </w:p>
    <w:p>
      <w:pPr>
        <w:pStyle w:val="ListBullet"/>
        <w:spacing w:line="240" w:lineRule="auto"/>
        <w:ind w:left="720"/>
      </w:pPr>
      <w:r>
        <w:rPr>
          <w:lang w:val="en_US" w:bidi="en_US"/>
        </w:rPr>
      </w:r>
      <w:r>
        <w:rPr>
          <w:lang w:val="en_US" w:bidi="en_US"/>
        </w:rPr>
        <w:t>¶ “Listen</w:t>
      </w:r>
      <w:r>
        <w:rPr>
          <w:vertAlign w:val="superscript"/>
          <w:lang w:val="en_US" w:bidi="en_US"/>
        </w:rPr>
        <w:t>(plur)</w:t>
      </w:r>
      <w:r>
        <w:rPr>
          <w:lang w:val="en_US" w:bidi="en_US"/>
        </w:rPr>
        <w:t xml:space="preserve">! At the time of </w:t>
      </w:r>
      <w:r>
        <w:rPr>
          <w:lang w:val="en_US" w:bidi="en_US"/>
        </w:rPr>
        <w:t>my coming</w:t>
      </w:r>
      <w:r>
        <w:rPr>
          <w:lang w:val="en_US" w:bidi="en_US"/>
        </w:rPr>
        <w:t>, two people may be sleeping in one bed.</w:t>
      </w:r>
    </w:p>
    <w:p>
      <w:pPr/>
      <w:r>
        <w:rPr>
          <w:lang w:val="en_US" w:bidi="en_US"/>
        </w:rPr>
      </w:r>
      <w:r>
        <w:rPr>
          <w:b/>
          <w:lang w:val="en_US" w:bidi="en_US"/>
        </w:rPr>
        <w:t>I tell you:</w:t>
      </w:r>
      <w:r>
        <w:rPr>
          <w:lang w:val="en_US" w:bidi="en_US"/>
        </w:rPr>
        <w:t xml:space="preserve"> The pronoun </w:t>
      </w:r>
      <w:r>
        <w:rPr>
          <w:i/>
          <w:lang w:val="en_US" w:bidi="en_US"/>
        </w:rPr>
        <w:t>you</w:t>
      </w:r>
      <w:r>
        <w:rPr>
          <w:lang w:val="en_US" w:bidi="en_US"/>
        </w:rPr>
        <w:t xml:space="preserve"> is plural here. Jesus often used the words </w:t>
      </w:r>
      <w:r>
        <w:rPr>
          <w:i/>
          <w:lang w:val="en_US" w:bidi="en_US"/>
        </w:rPr>
        <w:t>I tell you</w:t>
      </w:r>
      <w:r>
        <w:rPr>
          <w:lang w:val="en_US" w:bidi="en_US"/>
        </w:rPr>
        <w:t xml:space="preserve"> to introduce a statement that he wanted to emphasize. It indicates that the statement was important and that people should listen carefully to it. Some other ways to show this emphasis are:</w:t>
      </w:r>
    </w:p>
    <w:p>
      <w:pPr/>
      <w:r>
        <w:rPr>
          <w:lang w:val="en_US" w:bidi="en_US"/>
        </w:rPr>
      </w:r>
      <w:r>
        <w:rPr>
          <w:lang w:val="en_US" w:bidi="en_US"/>
        </w:rPr>
        <w:t>let me tell you this</w:t>
      </w:r>
    </w:p>
    <w:p>
      <w:pPr/>
      <w:r>
        <w:rPr>
          <w:lang w:val="en_US" w:bidi="en_US"/>
        </w:rPr>
      </w:r>
      <w:r>
        <w:rPr>
          <w:lang w:val="en_US" w:bidi="en_US"/>
        </w:rPr>
        <w:t>listen carefully to this:</w:t>
      </w:r>
    </w:p>
    <w:p>
      <w:pPr/>
      <w:r>
        <w:rPr>
          <w:lang w:val="en_US" w:bidi="en_US"/>
        </w:rPr>
      </w:r>
      <w:r>
        <w:rPr>
          <w:lang w:val="en_US" w:bidi="en_US"/>
        </w:rPr>
        <w:t>I assure you</w:t>
      </w:r>
    </w:p>
    <w:p>
      <w:pPr/>
      <w:r>
        <w:rPr>
          <w:lang w:val="en_US" w:bidi="en_US"/>
        </w:rPr>
      </w:r>
      <w:r>
        <w:rPr>
          <w:lang w:val="en_US" w:bidi="en_US"/>
        </w:rPr>
        <w:t>If you have another way in your language to emphasize a statement or to alert people to listen with special attention, consider using it here.</w:t>
      </w:r>
    </w:p>
    <w:p>
      <w:pPr/>
      <w:r>
        <w:rPr>
          <w:lang w:val="en_US" w:bidi="en_US"/>
        </w:rPr>
      </w:r>
      <w:r>
        <w:rPr>
          <w:b/>
          <w:lang w:val="en_US" w:bidi="en_US"/>
        </w:rPr>
        <w:t>on that night:</w:t>
      </w:r>
      <w:r>
        <w:rPr>
          <w:lang w:val="en_US" w:bidi="en_US"/>
        </w:rPr>
        <w:t xml:space="preserve"> Here Jesus was referring back to what he said in 17:30 about the Son of Man being revealed (when he returns and everyone will see him). In some languages it may be better to use a different phrase to refer back to it. For example:</w:t>
      </w:r>
    </w:p>
    <w:p>
      <w:pPr/>
      <w:r>
        <w:rPr>
          <w:lang w:val="en_US" w:bidi="en_US"/>
        </w:rPr>
      </w:r>
      <w:r>
        <w:rPr>
          <w:lang w:val="en_US" w:bidi="en_US"/>
        </w:rPr>
        <w:t xml:space="preserve">At that time </w:t>
      </w:r>
      <w:r>
        <w:rPr>
          <w:lang w:val="en_US" w:bidi="en_US"/>
        </w:rPr>
        <w:t>when I return</w:t>
      </w:r>
    </w:p>
    <w:p>
      <w:pPr/>
      <w:r>
        <w:rPr>
          <w:lang w:val="en_US" w:bidi="en_US"/>
        </w:rPr>
      </w:r>
      <w:r>
        <w:rPr>
          <w:lang w:val="en_US" w:bidi="en_US"/>
        </w:rPr>
        <w:t xml:space="preserve">When </w:t>
      </w:r>
      <w:r>
        <w:rPr>
          <w:lang w:val="en_US" w:bidi="en_US"/>
        </w:rPr>
        <w:t>I, the Son of Man, return</w:t>
      </w:r>
    </w:p>
    <w:p>
      <w:pPr/>
      <w:r>
        <w:rPr>
          <w:lang w:val="en_US" w:bidi="en_US"/>
        </w:rPr>
      </w:r>
      <w:r>
        <w:rPr>
          <w:b/>
          <w:lang w:val="en_US" w:bidi="en_US"/>
        </w:rPr>
        <w:t>two people will be in one bed:</w:t>
      </w:r>
      <w:r>
        <w:rPr>
          <w:lang w:val="en_US" w:bidi="en_US"/>
        </w:rPr>
        <w:t xml:space="preserve"> The Greek text does not say whether these </w:t>
      </w:r>
      <w:r>
        <w:rPr>
          <w:i/>
          <w:lang w:val="en_US" w:bidi="en_US"/>
        </w:rPr>
        <w:t>two people</w:t>
      </w:r>
      <w:r>
        <w:rPr>
          <w:lang w:val="en_US" w:bidi="en_US"/>
        </w:rPr>
        <w:t xml:space="preserve"> are men or women, children or adults. A husband and wife, or two children, or any other two people might be in one bed. So use an expression for </w:t>
      </w:r>
      <w:r>
        <w:rPr>
          <w:i/>
          <w:lang w:val="en_US" w:bidi="en_US"/>
        </w:rPr>
        <w:t>be in one bed</w:t>
      </w:r>
      <w:r>
        <w:rPr>
          <w:lang w:val="en_US" w:bidi="en_US"/>
        </w:rPr>
        <w:t xml:space="preserve"> that does not have sexual connotations. For example:</w:t>
      </w:r>
    </w:p>
    <w:p>
      <w:pPr/>
      <w:r>
        <w:rPr>
          <w:lang w:val="en_US" w:bidi="en_US"/>
        </w:rPr>
      </w:r>
      <w:r>
        <w:rPr>
          <w:lang w:val="en_US" w:bidi="en_US"/>
        </w:rPr>
        <w:t xml:space="preserve">two </w:t>
      </w:r>
      <w:r>
        <w:rPr>
          <w:lang w:val="en_US" w:bidi="en_US"/>
        </w:rPr>
        <w:t>family members</w:t>
      </w:r>
      <w:r>
        <w:rPr>
          <w:lang w:val="en_US" w:bidi="en_US"/>
        </w:rPr>
        <w:t xml:space="preserve"> will be </w:t>
      </w:r>
      <w:r>
        <w:rPr>
          <w:lang w:val="en_US" w:bidi="en_US"/>
        </w:rPr>
        <w:t>sleeping</w:t>
      </w:r>
      <w:r>
        <w:rPr>
          <w:lang w:val="en_US" w:bidi="en_US"/>
        </w:rPr>
        <w:t xml:space="preserve"> in/on one bed</w:t>
      </w:r>
    </w:p>
    <w:p>
      <w:pPr/>
      <w:r>
        <w:rPr>
          <w:lang w:val="en_US" w:bidi="en_US"/>
        </w:rPr>
      </w:r>
      <w:r>
        <w:rPr>
          <w:lang w:val="en_US" w:bidi="en_US"/>
        </w:rPr>
        <w:t>Jesus was not referring to any specific two people. He was saying that similar separations will happen all over the world when he returns.</w:t>
      </w:r>
    </w:p>
    <w:p>
      <w:pPr>
        <w:pStyle w:val="Heading5"/>
      </w:pPr>
      <w:r>
        <w:rPr>
          <w:lang w:val="en_US" w:bidi="en_US"/>
        </w:rPr>
        <w:t>17:34b</w:t>
      </w:r>
    </w:p>
    <w:p>
      <w:pPr/>
      <w:r>
        <w:rPr>
          <w:lang w:val="en_US" w:bidi="en_US"/>
        </w:rPr>
      </w:r>
      <w:r>
        <w:rPr>
          <w:b/>
          <w:lang w:val="en_US" w:bidi="en_US"/>
        </w:rPr>
        <w:t>One will be taken and the other left.</w:t>
      </w:r>
    </w:p>
    <w:p>
      <w:pPr>
        <w:pStyle w:val="ListBullet"/>
        <w:spacing w:line="240" w:lineRule="auto"/>
        <w:ind w:left="720"/>
      </w:pPr>
      <w:r>
        <w:rPr>
          <w:lang w:val="en_US" w:bidi="en_US"/>
        </w:rPr>
      </w:r>
      <w:r>
        <w:rPr>
          <w:lang w:val="en_US" w:bidi="en_US"/>
        </w:rPr>
        <w:t>I</w:t>
      </w:r>
      <w:r>
        <w:rPr>
          <w:lang w:val="en_US" w:bidi="en_US"/>
        </w:rPr>
        <w:t xml:space="preserve"> will take one </w:t>
      </w:r>
      <w:r>
        <w:rPr>
          <w:lang w:val="en_US" w:bidi="en_US"/>
        </w:rPr>
        <w:t>but I</w:t>
      </w:r>
      <w:r>
        <w:rPr>
          <w:lang w:val="en_US" w:bidi="en_US"/>
        </w:rPr>
        <w:t xml:space="preserve"> will leave the other one.</w:t>
      </w:r>
    </w:p>
    <w:p>
      <w:pPr>
        <w:pStyle w:val="ListBullet"/>
        <w:spacing w:line="240" w:lineRule="auto"/>
        <w:ind w:left="720"/>
      </w:pPr>
      <w:r>
        <w:rPr>
          <w:lang w:val="en_US" w:bidi="en_US"/>
        </w:rPr>
      </w:r>
      <w:r>
        <w:rPr>
          <w:lang w:val="en_US" w:bidi="en_US"/>
        </w:rPr>
        <w:t>God</w:t>
      </w:r>
      <w:r>
        <w:rPr>
          <w:lang w:val="en_US" w:bidi="en_US"/>
        </w:rPr>
        <w:t xml:space="preserve"> will take one person and will leave the other </w:t>
      </w:r>
      <w:r>
        <w:rPr>
          <w:lang w:val="en_US" w:bidi="en_US"/>
        </w:rPr>
        <w:t>behind</w:t>
      </w:r>
      <w:r>
        <w:rPr>
          <w:lang w:val="en_US" w:bidi="en_US"/>
        </w:rPr>
        <w:t>.</w:t>
      </w:r>
    </w:p>
    <w:p>
      <w:pPr/>
      <w:r>
        <w:rPr>
          <w:lang w:val="en_US" w:bidi="en_US"/>
        </w:rPr>
      </w:r>
      <w:r>
        <w:rPr>
          <w:b/>
          <w:lang w:val="en_US" w:bidi="en_US"/>
        </w:rPr>
        <w:t>one will be taken and the other left:</w:t>
      </w:r>
      <w:r>
        <w:rPr>
          <w:lang w:val="en_US" w:bidi="en_US"/>
        </w:rPr>
        <w:t xml:space="preserve"> The verbs </w:t>
      </w:r>
      <w:r>
        <w:rPr>
          <w:i/>
          <w:lang w:val="en_US" w:bidi="en_US"/>
        </w:rPr>
        <w:t>will be taken</w:t>
      </w:r>
      <w:r>
        <w:rPr>
          <w:lang w:val="en_US" w:bidi="en_US"/>
        </w:rPr>
        <w:t xml:space="preserve"> and </w:t>
      </w:r>
      <w:r>
        <w:rPr>
          <w:i/>
          <w:lang w:val="en_US" w:bidi="en_US"/>
        </w:rPr>
        <w:t>left</w:t>
      </w:r>
      <w:r>
        <w:rPr>
          <w:lang w:val="en_US" w:bidi="en_US"/>
        </w:rPr>
        <w:t xml:space="preserve"> are passive. Here are some ways to translate these actions:</w:t>
      </w:r>
    </w:p>
    <w:p>
      <w:pPr>
        <w:pStyle w:val="ListBullet"/>
        <w:spacing w:line="240" w:lineRule="auto"/>
        <w:ind w:left="720"/>
      </w:pPr>
      <w:r>
        <w:rPr>
          <w:lang w:val="en_US" w:bidi="en_US"/>
        </w:rPr>
      </w:r>
      <w:r>
        <w:rPr>
          <w:lang w:val="en_US" w:bidi="en_US"/>
        </w:rPr>
        <w:t>Use passive verbs. For example:</w:t>
      </w:r>
      <w:r>
        <w:rPr>
          <w:lang w:val="en_US" w:bidi="en_US"/>
        </w:rPr>
        <w:t xml:space="preserve">one </w:t>
      </w:r>
      <w:r>
        <w:rPr>
          <w:lang w:val="en_US" w:bidi="en_US"/>
        </w:rPr>
        <w:t>person</w:t>
      </w:r>
      <w:r>
        <w:rPr>
          <w:lang w:val="en_US" w:bidi="en_US"/>
        </w:rPr>
        <w:t xml:space="preserve"> will be taken and the other </w:t>
      </w:r>
      <w:r>
        <w:rPr>
          <w:lang w:val="en_US" w:bidi="en_US"/>
        </w:rPr>
        <w:t>person</w:t>
      </w:r>
      <w:r>
        <w:rPr>
          <w:lang w:val="en_US" w:bidi="en_US"/>
        </w:rPr>
        <w:t xml:space="preserve"> will be left.</w:t>
      </w:r>
    </w:p>
    <w:p>
      <w:pPr>
        <w:pStyle w:val="ListBullet"/>
        <w:spacing w:line="240" w:lineRule="auto"/>
        <w:ind w:left="720"/>
      </w:pPr>
      <w:r>
        <w:rPr>
          <w:lang w:val="en_US" w:bidi="en_US"/>
        </w:rPr>
      </w:r>
      <w:r>
        <w:rPr>
          <w:lang w:val="en_US" w:bidi="en_US"/>
        </w:rPr>
        <w:t>Use active verbs and supply a subject. The subject may be either God or Jesus, since the clause refers to the time of Jesus’ coming. For example:</w:t>
      </w:r>
      <w:r>
        <w:rPr>
          <w:lang w:val="en_US" w:bidi="en_US"/>
        </w:rPr>
        <w:t>God</w:t>
      </w:r>
      <w:r>
        <w:rPr>
          <w:lang w:val="en_US" w:bidi="en_US"/>
        </w:rPr>
        <w:t xml:space="preserve"> will take one </w:t>
      </w:r>
      <w:r>
        <w:rPr>
          <w:lang w:val="en_US" w:bidi="en_US"/>
        </w:rPr>
        <w:t>of them</w:t>
      </w:r>
      <w:r>
        <w:rPr>
          <w:lang w:val="en_US" w:bidi="en_US"/>
        </w:rPr>
        <w:t xml:space="preserve"> and leave the other </w:t>
      </w:r>
      <w:r>
        <w:rPr>
          <w:lang w:val="en_US" w:bidi="en_US"/>
        </w:rPr>
        <w:t>one</w:t>
      </w:r>
      <w:r>
        <w:rPr>
          <w:lang w:val="en_US" w:bidi="en_US"/>
        </w:rPr>
        <w:t>.</w:t>
      </w:r>
      <w:r>
        <w:rPr>
          <w:lang w:val="en_US" w:bidi="en_US"/>
        </w:rPr>
        <w:t>I</w:t>
      </w:r>
      <w:r>
        <w:rPr>
          <w:lang w:val="en_US" w:bidi="en_US"/>
        </w:rPr>
        <w:t xml:space="preserve"> will take one person and leave the other person.</w:t>
      </w:r>
    </w:p>
    <w:p>
      <w:pPr/>
      <w:r>
        <w:rPr>
          <w:lang w:val="en_US" w:bidi="en_US"/>
        </w:rPr>
      </w:r>
      <w:r>
        <w:rPr>
          <w:lang w:val="en_US" w:bidi="en_US"/>
        </w:rPr>
        <w:t xml:space="preserve">There are two ways to interpret the words </w:t>
      </w:r>
      <w:r>
        <w:rPr>
          <w:i/>
          <w:lang w:val="en_US" w:bidi="en_US"/>
        </w:rPr>
        <w:t>One will be taken and the other left</w:t>
      </w:r>
      <w:r>
        <w:rPr>
          <w:lang w:val="en_US" w:bidi="en_US"/>
        </w:rPr>
        <w:t>:</w:t>
      </w:r>
    </w:p>
    <w:p>
      <w:pPr>
        <w:pStyle w:val="ListNumber"/>
        <w:numPr>
          <w:ilvl w:val="0"/>
          <w:numId w:val="297"/>
        </w:numPr>
        <w:spacing w:line="240" w:lineRule="auto"/>
        <w:ind w:left="720"/>
      </w:pPr>
      <w:r>
        <w:rPr>
          <w:lang w:val="en_US" w:bidi="en_US"/>
        </w:rPr>
      </w:r>
      <w:r>
        <w:rPr>
          <w:lang w:val="en_US" w:bidi="en_US"/>
        </w:rPr>
        <w:t xml:space="preserve">The people who are </w:t>
      </w:r>
      <w:r>
        <w:rPr>
          <w:i/>
          <w:lang w:val="en_US" w:bidi="en_US"/>
        </w:rPr>
        <w:t>taken</w:t>
      </w:r>
      <w:r>
        <w:rPr>
          <w:lang w:val="en_US" w:bidi="en_US"/>
        </w:rPr>
        <w:t xml:space="preserve"> will go to safety with Jesus. The people who are </w:t>
      </w:r>
      <w:r>
        <w:rPr>
          <w:i/>
          <w:lang w:val="en_US" w:bidi="en_US"/>
        </w:rPr>
        <w:t>left</w:t>
      </w:r>
      <w:r>
        <w:rPr>
          <w:lang w:val="en_US" w:bidi="en_US"/>
        </w:rPr>
        <w:t xml:space="preserve"> will be punished. For example:</w:t>
      </w:r>
      <w:r>
        <w:rPr>
          <w:lang w:val="en_US" w:bidi="en_US"/>
        </w:rPr>
        <w:t>one will be taken away; the other will be left behind (GNT)</w:t>
      </w:r>
    </w:p>
    <w:p>
      <w:pPr>
        <w:pStyle w:val="ListNumber"/>
        <w:spacing w:line="240" w:lineRule="auto"/>
        <w:ind w:left="720"/>
      </w:pPr>
      <w:r>
        <w:rPr>
          <w:lang w:val="en_US" w:bidi="en_US"/>
        </w:rPr>
      </w:r>
      <w:r>
        <w:rPr>
          <w:lang w:val="en_US" w:bidi="en_US"/>
        </w:rPr>
        <w:t xml:space="preserve">The people who are </w:t>
      </w:r>
      <w:r>
        <w:rPr>
          <w:i/>
          <w:lang w:val="en_US" w:bidi="en_US"/>
        </w:rPr>
        <w:t>taken</w:t>
      </w:r>
      <w:r>
        <w:rPr>
          <w:lang w:val="en_US" w:bidi="en_US"/>
        </w:rPr>
        <w:t xml:space="preserve"> will go away to be punished. The people who are </w:t>
      </w:r>
      <w:r>
        <w:rPr>
          <w:i/>
          <w:lang w:val="en_US" w:bidi="en_US"/>
        </w:rPr>
        <w:t>left</w:t>
      </w:r>
      <w:r>
        <w:rPr>
          <w:lang w:val="en_US" w:bidi="en_US"/>
        </w:rPr>
        <w:t xml:space="preserve"> will not endure that punishment. For example:</w:t>
      </w:r>
      <w:r>
        <w:rPr>
          <w:lang w:val="en_US" w:bidi="en_US"/>
        </w:rPr>
        <w:t>destruction will take one</w:t>
      </w:r>
    </w:p>
    <w:p>
      <w:pPr/>
      <w:r>
        <w:rPr>
          <w:lang w:val="en_US" w:bidi="en_US"/>
        </w:rPr>
      </w:r>
      <w:r>
        <w:rPr>
          <w:lang w:val="en_US" w:bidi="en_US"/>
        </w:rPr>
        <w:t>It is recommended that you attempt to leave this ambiguous, as most English versions do. The point is that the righteous and wicked will suddenly be separated.</w:t>
      </w:r>
    </w:p>
    <w:p>
      <w:pPr/>
      <w:r>
        <w:rPr>
          <w:lang w:val="en_US" w:bidi="en_US"/>
        </w:rPr>
      </w:r>
      <w:r>
        <w:rPr>
          <w:lang w:val="en_US" w:bidi="en_US"/>
        </w:rPr>
        <w:t>However, if you must decide between the interpretations, it is recommended that you follow interpretation (1). Most Bible scholars follow this interpretation.</w:t>
      </w:r>
      <w:r>
        <w:rPr>
          <w:lang w:val="en_US" w:bidi="en_US"/>
        </w:rPr>
        <w:t>These include Arndt, Bock, Godet, Plummer, Lenski, Pate, Stein, Geldenhuys, Marshall, Hendriksen, Morris, and Reiling and Swellengrebel.</w:t>
      </w:r>
      <w:r>
        <w:rPr>
          <w:lang w:val="en_US" w:bidi="en_US"/>
        </w:rPr>
        <w:t xml:space="preserve"> It fits the context of Noah and Lot, who were taken away to be safe while the other people were punished.</w:t>
      </w:r>
    </w:p>
    <w:p>
      <w:pPr/>
      <w:r>
        <w:rPr>
          <w:lang w:val="en_US" w:bidi="en_US"/>
        </w:rPr>
      </w:r>
      <w:r>
        <w:rPr>
          <w:b/>
          <w:lang w:val="en_US" w:bidi="en_US"/>
        </w:rPr>
        <w:t>taken and…left:</w:t>
      </w:r>
      <w:r>
        <w:rPr>
          <w:lang w:val="en_US" w:bidi="en_US"/>
        </w:rPr>
        <w:t xml:space="preserve"> Note that the words </w:t>
      </w:r>
      <w:r>
        <w:rPr>
          <w:i/>
          <w:lang w:val="en_US" w:bidi="en_US"/>
        </w:rPr>
        <w:t>taken</w:t>
      </w:r>
      <w:r>
        <w:rPr>
          <w:lang w:val="en_US" w:bidi="en_US"/>
        </w:rPr>
        <w:t xml:space="preserve"> and </w:t>
      </w:r>
      <w:r>
        <w:rPr>
          <w:i/>
          <w:lang w:val="en_US" w:bidi="en_US"/>
        </w:rPr>
        <w:t>left</w:t>
      </w:r>
      <w:r>
        <w:rPr>
          <w:lang w:val="en_US" w:bidi="en_US"/>
        </w:rPr>
        <w:t xml:space="preserve"> refer to two opposite actions. In some languages it may be natural to use a conjunction that implies contrast. For example:</w:t>
      </w:r>
    </w:p>
    <w:p>
      <w:pPr/>
      <w:r>
        <w:rPr>
          <w:lang w:val="en_US" w:bidi="en_US"/>
        </w:rPr>
      </w:r>
      <w:r>
        <w:rPr>
          <w:lang w:val="en_US" w:bidi="en_US"/>
        </w:rPr>
        <w:t xml:space="preserve">God will take one </w:t>
      </w:r>
      <w:r>
        <w:rPr>
          <w:u w:val="single"/>
          <w:lang w:val="en_US" w:bidi="en_US"/>
        </w:rPr>
        <w:t>but</w:t>
      </w:r>
      <w:r>
        <w:rPr>
          <w:lang w:val="en_US" w:bidi="en_US"/>
        </w:rPr>
        <w:t xml:space="preserve"> will leave the other.</w:t>
      </w:r>
      <w:r>
        <w:rPr>
          <w:lang w:val="en_US" w:bidi="en_US"/>
        </w:rPr>
      </w:r>
      <w:r>
        <w:rPr>
          <w:lang w:val="en_US" w:bidi="en_US"/>
        </w:rPr>
      </w:r>
    </w:p>
    <w:p>
      <w:pPr/>
      <w:r>
        <w:rPr>
          <w:lang w:val="en_US" w:bidi="en_US"/>
        </w:rPr>
      </w:r>
    </w:p>
    <w:p>
      <w:pPr>
        <w:pStyle w:val="Heading2"/>
      </w:pPr>
      <w:r>
        <w:rPr>
          <w:lang w:val="en_US" w:bidi="en_US"/>
        </w:rPr>
        <w:t>Luke 17:35</w:t>
      </w:r>
      <w:r>
        <w:rPr>
          <w:lang w:val="en_US" w:bidi="en_US"/>
        </w:rPr>
      </w:r>
    </w:p>
    <w:p>
      <w:pPr>
        <w:pStyle w:val="Heading4"/>
      </w:pPr>
      <w:r>
        <w:rPr>
          <w:lang w:val="en_US" w:bidi="en_US"/>
        </w:rPr>
        <w:t>Section 17:20–37: Jesus taught about the time when the kingdom of God will come</w:t>
      </w:r>
    </w:p>
    <w:p>
      <w:pPr/>
      <w:r>
        <w:rPr>
          <w:lang w:val="en_US" w:bidi="en_US"/>
        </w:rPr>
      </w:r>
      <w:r>
        <w:rPr>
          <w:lang w:val="en_US" w:bidi="en_US"/>
        </w:rP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pPr/>
      <w:r>
        <w:rPr>
          <w:lang w:val="en_US" w:bidi="en_US"/>
        </w:rPr>
      </w:r>
      <w:r>
        <w:rPr>
          <w:lang w:val="en_US" w:bidi="en_US"/>
        </w:rPr>
        <w:t>Examples of headings for this section are:</w:t>
      </w:r>
    </w:p>
    <w:p>
      <w:pPr/>
      <w:r>
        <w:rPr>
          <w:lang w:val="en_US" w:bidi="en_US"/>
        </w:rPr>
      </w:r>
      <w:r>
        <w:rPr>
          <w:lang w:val="en_US" w:bidi="en_US"/>
        </w:rPr>
        <w:t>Jesus taught about when the Son of Man will come</w:t>
      </w:r>
    </w:p>
    <w:p>
      <w:pPr/>
      <w:r>
        <w:rPr>
          <w:lang w:val="en_US" w:bidi="en_US"/>
        </w:rPr>
      </w:r>
      <w:r>
        <w:rPr>
          <w:lang w:val="en_US" w:bidi="en_US"/>
        </w:rPr>
        <w:t>The coming of the Kingdom of God</w:t>
      </w:r>
    </w:p>
    <w:p>
      <w:pPr/>
      <w:r>
        <w:rPr>
          <w:lang w:val="en_US" w:bidi="en_US"/>
        </w:rPr>
      </w:r>
      <w:r>
        <w:rPr>
          <w:lang w:val="en_US" w:bidi="en_US"/>
        </w:rPr>
        <w:t>Parallel passages are in Matthew 24:17–18, 24:23–28, 24:37–41, and Mark 13:14–16, 13:19–23.</w:t>
      </w:r>
    </w:p>
    <w:p>
      <w:pPr>
        <w:pStyle w:val="Heading4"/>
      </w:pPr>
      <w:r>
        <w:rPr>
          <w:lang w:val="en_US" w:bidi="en_US"/>
        </w:rPr>
        <w:t>Paragraph 17:34–37</w:t>
      </w:r>
    </w:p>
    <w:p>
      <w:pPr/>
      <w:r>
        <w:rPr>
          <w:lang w:val="en_US" w:bidi="en_US"/>
        </w:rPr>
      </w:r>
      <w:r>
        <w:rPr>
          <w:lang w:val="en_US" w:bidi="en_US"/>
        </w:rPr>
        <w:t>For 17:34–35 see also Matthew 24:40–41. These verses indicate that some people who live and work close to one another will be separated at the time when Jesus returns.</w:t>
      </w:r>
    </w:p>
    <w:p>
      <w:pPr>
        <w:pStyle w:val="Heading5"/>
      </w:pPr>
      <w:r>
        <w:rPr>
          <w:lang w:val="en_US" w:bidi="en_US"/>
        </w:rPr>
        <w:t>17:35a</w:t>
      </w:r>
    </w:p>
    <w:p>
      <w:pPr/>
      <w:r>
        <w:rPr>
          <w:lang w:val="en_US" w:bidi="en_US"/>
        </w:rPr>
      </w:r>
      <w:r>
        <w:rPr>
          <w:b/>
          <w:lang w:val="en_US" w:bidi="en_US"/>
        </w:rPr>
        <w:t>Two women will be grinding grain together:</w:t>
      </w:r>
    </w:p>
    <w:p>
      <w:pPr>
        <w:pStyle w:val="ListBullet"/>
        <w:spacing w:line="240" w:lineRule="auto"/>
        <w:ind w:left="720"/>
      </w:pPr>
      <w:r>
        <w:rPr>
          <w:lang w:val="en_US" w:bidi="en_US"/>
        </w:rPr>
      </w:r>
      <w:r>
        <w:rPr>
          <w:lang w:val="en_US" w:bidi="en_US"/>
        </w:rPr>
        <w:t>There will be two women grinding grain together.</w:t>
      </w:r>
    </w:p>
    <w:p>
      <w:pPr>
        <w:pStyle w:val="ListBullet"/>
        <w:spacing w:line="240" w:lineRule="auto"/>
        <w:ind w:left="720"/>
      </w:pPr>
      <w:r>
        <w:rPr>
          <w:lang w:val="en_US" w:bidi="en_US"/>
        </w:rPr>
      </w:r>
      <w:r>
        <w:rPr>
          <w:lang w:val="en_US" w:bidi="en_US"/>
        </w:rPr>
        <w:t>Two women may be preparing food together.</w:t>
      </w:r>
    </w:p>
    <w:p>
      <w:pPr/>
      <w:r>
        <w:rPr>
          <w:lang w:val="en_US" w:bidi="en_US"/>
        </w:rPr>
      </w:r>
      <w:r>
        <w:rPr>
          <w:b/>
          <w:lang w:val="en_US" w:bidi="en_US"/>
        </w:rPr>
        <w:t>Two women will be grinding grain together:</w:t>
      </w:r>
      <w:r>
        <w:rPr>
          <w:lang w:val="en_US" w:bidi="en_US"/>
        </w:rPr>
        <w:t xml:space="preserve"> This clause refers to </w:t>
      </w:r>
      <w:r>
        <w:rPr>
          <w:i/>
          <w:lang w:val="en_US" w:bidi="en_US"/>
        </w:rPr>
        <w:t>grinding grain</w:t>
      </w:r>
      <w:r>
        <w:rPr>
          <w:lang w:val="en_US" w:bidi="en_US"/>
        </w:rPr>
        <w:t xml:space="preserve"> to make flour. Women placed grain on one flat millstone and placed another flat millstone on top of the grain. They rotated the top stone on the lower stone. This crushed the grain into flour. This was a normal activity for women to do. See the note on “millstone” in 17:2b. Here is another way to translate this:</w:t>
      </w:r>
    </w:p>
    <w:p>
      <w:pPr/>
      <w:r>
        <w:rPr>
          <w:lang w:val="en_US" w:bidi="en_US"/>
        </w:rPr>
      </w:r>
      <w:r>
        <w:rPr>
          <w:lang w:val="en_US" w:bidi="en_US"/>
        </w:rPr>
        <w:t>There will be two women grinding grain together (NET)</w:t>
      </w:r>
    </w:p>
    <w:p>
      <w:pPr/>
      <w:r>
        <w:rPr>
          <w:lang w:val="en_US" w:bidi="en_US"/>
        </w:rPr>
      </w:r>
      <w:r>
        <w:rPr>
          <w:lang w:val="en_US" w:bidi="en_US"/>
        </w:rPr>
        <w:t>If people do not know about grinding grain in your area, you may want to use a more general phrase. For example:</w:t>
      </w:r>
    </w:p>
    <w:p>
      <w:pPr/>
      <w:r>
        <w:rPr>
          <w:lang w:val="en_US" w:bidi="en_US"/>
        </w:rPr>
      </w:r>
      <w:r>
        <w:rPr>
          <w:lang w:val="en_US" w:bidi="en_US"/>
        </w:rPr>
        <w:t>Two women will be preparing food together</w:t>
      </w:r>
    </w:p>
    <w:p>
      <w:pPr/>
      <w:r>
        <w:rPr>
          <w:lang w:val="en_US" w:bidi="en_US"/>
        </w:rPr>
      </w:r>
      <w:r>
        <w:rPr>
          <w:b/>
          <w:lang w:val="en_US" w:bidi="en_US"/>
        </w:rPr>
        <w:t>grain:</w:t>
      </w:r>
      <w:r>
        <w:rPr>
          <w:lang w:val="en_US" w:bidi="en_US"/>
        </w:rPr>
        <w:t xml:space="preserve"> The </w:t>
      </w:r>
      <w:r>
        <w:rPr>
          <w:i/>
          <w:lang w:val="en_US" w:bidi="en_US"/>
        </w:rPr>
        <w:t>grain</w:t>
      </w:r>
      <w:r>
        <w:rPr>
          <w:lang w:val="en_US" w:bidi="en_US"/>
        </w:rPr>
        <w:t xml:space="preserve"> was probably wheat, or perhaps barley.</w:t>
      </w:r>
    </w:p>
    <w:p>
      <w:pPr>
        <w:pStyle w:val="Heading5"/>
      </w:pPr>
      <w:r>
        <w:rPr>
          <w:lang w:val="en_US" w:bidi="en_US"/>
        </w:rPr>
        <w:t>17:35b</w:t>
      </w:r>
    </w:p>
    <w:p>
      <w:pPr/>
      <w:r>
        <w:rPr>
          <w:lang w:val="en_US" w:bidi="en_US"/>
        </w:rPr>
      </w:r>
      <w:r>
        <w:rPr>
          <w:b/>
          <w:lang w:val="en_US" w:bidi="en_US"/>
        </w:rPr>
        <w:t>One will be taken and the other left.”</w:t>
      </w:r>
    </w:p>
    <w:p>
      <w:pPr>
        <w:pStyle w:val="ListBullet"/>
        <w:spacing w:line="240" w:lineRule="auto"/>
        <w:ind w:left="720"/>
      </w:pPr>
      <w:r>
        <w:rPr>
          <w:lang w:val="en_US" w:bidi="en_US"/>
        </w:rPr>
      </w:r>
      <w:r>
        <w:rPr>
          <w:lang w:val="en_US" w:bidi="en_US"/>
        </w:rPr>
        <w:t>I</w:t>
      </w:r>
      <w:r>
        <w:rPr>
          <w:lang w:val="en_US" w:bidi="en_US"/>
        </w:rPr>
        <w:t xml:space="preserve"> will take one, </w:t>
      </w:r>
      <w:r>
        <w:rPr>
          <w:lang w:val="en_US" w:bidi="en_US"/>
        </w:rPr>
        <w:t>but I</w:t>
      </w:r>
      <w:r>
        <w:rPr>
          <w:lang w:val="en_US" w:bidi="en_US"/>
        </w:rPr>
        <w:t xml:space="preserve"> will leave the other one.</w:t>
      </w:r>
    </w:p>
    <w:p>
      <w:pPr>
        <w:pStyle w:val="ListBullet"/>
        <w:spacing w:line="240" w:lineRule="auto"/>
        <w:ind w:left="720"/>
      </w:pPr>
      <w:r>
        <w:rPr>
          <w:lang w:val="en_US" w:bidi="en_US"/>
        </w:rPr>
      </w:r>
      <w:r>
        <w:rPr>
          <w:lang w:val="en_US" w:bidi="en_US"/>
        </w:rPr>
        <w:t>God</w:t>
      </w:r>
      <w:r>
        <w:rPr>
          <w:lang w:val="en_US" w:bidi="en_US"/>
        </w:rPr>
        <w:t xml:space="preserve"> will take one and will leave the other </w:t>
      </w:r>
      <w:r>
        <w:rPr>
          <w:lang w:val="en_US" w:bidi="en_US"/>
        </w:rPr>
        <w:t>behind</w:t>
      </w:r>
      <w:r>
        <w:rPr>
          <w:lang w:val="en_US" w:bidi="en_US"/>
        </w:rPr>
        <w:t>.</w:t>
      </w:r>
    </w:p>
    <w:p>
      <w:pPr/>
      <w:r>
        <w:rPr>
          <w:lang w:val="en_US" w:bidi="en_US"/>
        </w:rPr>
      </w:r>
      <w:r>
        <w:rPr>
          <w:b/>
          <w:lang w:val="en_US" w:bidi="en_US"/>
        </w:rPr>
        <w:t>one will be taken and the other left:</w:t>
      </w:r>
      <w:r>
        <w:rPr>
          <w:lang w:val="en_US" w:bidi="en_US"/>
        </w:rPr>
        <w:t xml:space="preserve"> This clause is basically the same as 17:34b. The difference is that the people here are women instead of two married people (or men). Be sure to use the proper forms in your language for referring back to women.</w:t>
      </w:r>
      <w:r>
        <w:rPr>
          <w:lang w:val="en_US" w:bidi="en_US"/>
        </w:rPr>
      </w:r>
      <w:r>
        <w:rPr>
          <w:lang w:val="en_US" w:bidi="en_US"/>
        </w:rPr>
      </w:r>
    </w:p>
    <w:p>
      <w:pPr/>
      <w:r>
        <w:rPr>
          <w:lang w:val="en_US" w:bidi="en_US"/>
        </w:rPr>
      </w:r>
    </w:p>
    <w:p>
      <w:pPr>
        <w:pStyle w:val="Heading2"/>
      </w:pPr>
      <w:r>
        <w:rPr>
          <w:lang w:val="en_US" w:bidi="en_US"/>
        </w:rPr>
        <w:t>Luke 17:36</w:t>
      </w:r>
      <w:r>
        <w:rPr>
          <w:lang w:val="en_US" w:bidi="en_US"/>
        </w:rPr>
      </w:r>
    </w:p>
    <w:p>
      <w:pPr>
        <w:pStyle w:val="Heading4"/>
      </w:pPr>
      <w:r>
        <w:rPr>
          <w:lang w:val="en_US" w:bidi="en_US"/>
        </w:rPr>
        <w:t>Section 17:20–37: Jesus taught about the time when the kingdom of God will come</w:t>
      </w:r>
    </w:p>
    <w:p>
      <w:pPr/>
      <w:r>
        <w:rPr>
          <w:lang w:val="en_US" w:bidi="en_US"/>
        </w:rPr>
      </w:r>
      <w:r>
        <w:rPr>
          <w:lang w:val="en_US" w:bidi="en_US"/>
        </w:rP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pPr/>
      <w:r>
        <w:rPr>
          <w:lang w:val="en_US" w:bidi="en_US"/>
        </w:rPr>
      </w:r>
      <w:r>
        <w:rPr>
          <w:lang w:val="en_US" w:bidi="en_US"/>
        </w:rPr>
        <w:t>Examples of headings for this section are:</w:t>
      </w:r>
    </w:p>
    <w:p>
      <w:pPr/>
      <w:r>
        <w:rPr>
          <w:lang w:val="en_US" w:bidi="en_US"/>
        </w:rPr>
      </w:r>
      <w:r>
        <w:rPr>
          <w:lang w:val="en_US" w:bidi="en_US"/>
        </w:rPr>
        <w:t>Jesus taught about when the Son of Man will come</w:t>
      </w:r>
    </w:p>
    <w:p>
      <w:pPr/>
      <w:r>
        <w:rPr>
          <w:lang w:val="en_US" w:bidi="en_US"/>
        </w:rPr>
      </w:r>
      <w:r>
        <w:rPr>
          <w:lang w:val="en_US" w:bidi="en_US"/>
        </w:rPr>
        <w:t>The coming of the Kingdom of God</w:t>
      </w:r>
    </w:p>
    <w:p>
      <w:pPr/>
      <w:r>
        <w:rPr>
          <w:lang w:val="en_US" w:bidi="en_US"/>
        </w:rPr>
      </w:r>
      <w:r>
        <w:rPr>
          <w:lang w:val="en_US" w:bidi="en_US"/>
        </w:rPr>
        <w:t>Parallel passages are in Matthew 24:17–18, 24:23–28, 24:37–41, and Mark 13:14–16, 13:19–23.</w:t>
      </w:r>
    </w:p>
    <w:p>
      <w:pPr>
        <w:pStyle w:val="Heading4"/>
      </w:pPr>
      <w:r>
        <w:rPr>
          <w:lang w:val="en_US" w:bidi="en_US"/>
        </w:rPr>
        <w:t>Paragraph 17:34–37</w:t>
      </w:r>
    </w:p>
    <w:p>
      <w:pPr/>
      <w:r>
        <w:rPr>
          <w:lang w:val="en_US" w:bidi="en_US"/>
        </w:rPr>
      </w:r>
      <w:r>
        <w:rPr>
          <w:lang w:val="en_US" w:bidi="en_US"/>
        </w:rPr>
        <w:t>For 17:34–35 see also Matthew 24:40–41. These verses indicate that some people who live and work close to one another will be separated at the time when Jesus returns.</w:t>
      </w:r>
    </w:p>
    <w:p>
      <w:pPr>
        <w:pStyle w:val="Heading5"/>
      </w:pPr>
      <w:r>
        <w:rPr>
          <w:lang w:val="en_US" w:bidi="en_US"/>
        </w:rPr>
        <w:t>17:36</w:t>
      </w:r>
    </w:p>
    <w:p>
      <w:pPr/>
      <w:r>
        <w:rPr>
          <w:lang w:val="en_US" w:bidi="en_US"/>
        </w:rPr>
      </w:r>
      <w:r>
        <w:rPr>
          <w:lang w:val="en_US" w:bidi="en_US"/>
        </w:rPr>
        <w:t>There is a textual issue with this verse. Many Greek manuscripts do not have this verse,</w:t>
      </w:r>
      <w:r>
        <w:rPr>
          <w:lang w:val="en_US" w:bidi="en_US"/>
        </w:rPr>
        <w:t>The UBS Greek NT 4</w:t>
      </w:r>
      <w:r>
        <w:rPr>
          <w:vertAlign w:val="superscript"/>
          <w:lang w:val="en_US" w:bidi="en_US"/>
        </w:rPr>
        <w:t>th</w:t>
      </w:r>
      <w:r>
        <w:rPr>
          <w:lang w:val="en_US" w:bidi="en_US"/>
        </w:rPr>
        <w:t xml:space="preserve"> rev. ed. omits this verse with an A rating, indicating that this decision about the text is certain. (For information about this rating system, see, p. 3 of the introduction to the Greek NT.)</w:t>
      </w:r>
      <w:r>
        <w:rPr>
          <w:lang w:val="en_US" w:bidi="en_US"/>
        </w:rPr>
        <w:t xml:space="preserve"> and most English versions do not include it. It is good to include this verse only as a footnote. An example footnote is:</w:t>
      </w:r>
    </w:p>
    <w:p>
      <w:pPr/>
      <w:r>
        <w:rPr>
          <w:lang w:val="en_US" w:bidi="en_US"/>
        </w:rPr>
      </w:r>
      <w:r>
        <w:rPr>
          <w:lang w:val="en_US" w:bidi="en_US"/>
        </w:rPr>
        <w:t>Some Greek manuscripts include 17:36, which reads, “Two men will be working in the field; one will be taken and the other left.”</w:t>
      </w:r>
    </w:p>
    <w:p>
      <w:pPr/>
      <w:r>
        <w:rPr>
          <w:lang w:val="en_US" w:bidi="en_US"/>
        </w:rPr>
      </w:r>
      <w:r>
        <w:rPr>
          <w:lang w:val="en_US" w:bidi="en_US"/>
        </w:rPr>
        <w:t>If the major language version in your area includes this verse in the text, you may want to include it in brackets. The NASB does this. The Display has the text in 17:36a and 17:36b in double full square brackets. The parallel passage is Matthew 24:40. The words in the Display are from the BSB footnote.</w:t>
      </w:r>
    </w:p>
    <w:p>
      <w:pPr/>
      <w:r>
        <w:rPr>
          <w:lang w:val="en_US" w:bidi="en_US"/>
        </w:rPr>
      </w:r>
      <w:r>
        <w:rPr>
          <w:lang w:val="en_US" w:bidi="en_US"/>
        </w:rPr>
        <w:t>If you put this verse in a footnote, here are several ways to number the verses:</w:t>
      </w:r>
    </w:p>
    <w:p>
      <w:pPr>
        <w:pStyle w:val="ListBullet"/>
        <w:spacing w:line="240" w:lineRule="auto"/>
        <w:ind w:left="720"/>
      </w:pPr>
      <w:r>
        <w:rPr>
          <w:lang w:val="en_US" w:bidi="en_US"/>
        </w:rPr>
      </w:r>
      <w:r>
        <w:rPr>
          <w:lang w:val="en_US" w:bidi="en_US"/>
        </w:rPr>
        <w:t>Put the numbers 35 and 36 together at the beginning of 35. Put the footnote marker at the end of 35. For example:</w:t>
      </w:r>
      <w:r>
        <w:rPr>
          <w:vertAlign w:val="superscript"/>
          <w:lang w:val="en_US" w:bidi="en_US"/>
        </w:rPr>
        <w:t>35–36</w:t>
      </w:r>
      <w:r>
        <w:rPr>
          <w:lang w:val="en_US" w:bidi="en_US"/>
        </w:rPr>
        <w:t>Two women will be together grinding wheat, but only one will be taken. The other will be left. ‡ (CEV)</w:t>
      </w:r>
    </w:p>
    <w:p>
      <w:pPr>
        <w:pStyle w:val="ListBullet"/>
        <w:spacing w:line="240" w:lineRule="auto"/>
        <w:ind w:left="720"/>
      </w:pPr>
      <w:r>
        <w:rPr>
          <w:lang w:val="en_US" w:bidi="en_US"/>
        </w:rPr>
      </w:r>
      <w:r>
        <w:rPr>
          <w:lang w:val="en_US" w:bidi="en_US"/>
        </w:rPr>
        <w:t>Put in the number 36 after the last word of 17:35, and have the footnote marker after it. For example:</w:t>
      </w:r>
      <w:r>
        <w:rPr>
          <w:vertAlign w:val="superscript"/>
          <w:lang w:val="en_US" w:bidi="en_US"/>
        </w:rPr>
        <w:t>35</w:t>
      </w:r>
      <w:r>
        <w:rPr>
          <w:lang w:val="en_US" w:bidi="en_US"/>
        </w:rPr>
        <w:t xml:space="preserve">…one will be taken and the other will be left. </w:t>
      </w:r>
      <w:r>
        <w:rPr>
          <w:vertAlign w:val="superscript"/>
          <w:lang w:val="en_US" w:bidi="en_US"/>
        </w:rPr>
        <w:t>36</w:t>
      </w:r>
      <w:r>
        <w:rPr>
          <w:lang w:val="en_US" w:bidi="en_US"/>
        </w:rPr>
        <w:t xml:space="preserve">‡ </w:t>
      </w:r>
      <w:r>
        <w:rPr>
          <w:vertAlign w:val="superscript"/>
          <w:lang w:val="en_US" w:bidi="en_US"/>
        </w:rPr>
        <w:t>37</w:t>
      </w:r>
      <w:r>
        <w:rPr>
          <w:lang w:val="en_US" w:bidi="en_US"/>
        </w:rPr>
        <w:t>The followers asked… (NCV)</w:t>
      </w:r>
    </w:p>
    <w:p>
      <w:pPr>
        <w:pStyle w:val="ListBullet"/>
        <w:spacing w:line="240" w:lineRule="auto"/>
        <w:ind w:left="720"/>
      </w:pPr>
      <w:r>
        <w:rPr>
          <w:lang w:val="en_US" w:bidi="en_US"/>
        </w:rPr>
      </w:r>
      <w:r>
        <w:rPr>
          <w:lang w:val="en_US" w:bidi="en_US"/>
        </w:rPr>
        <w:t>Do not include the number 36. For example:</w:t>
      </w:r>
      <w:r>
        <w:rPr>
          <w:vertAlign w:val="superscript"/>
          <w:lang w:val="en_US" w:bidi="en_US"/>
        </w:rPr>
        <w:t>35</w:t>
      </w:r>
      <w:r>
        <w:rPr>
          <w:lang w:val="en_US" w:bidi="en_US"/>
        </w:rPr>
        <w:t xml:space="preserve">Two women will be grinding grain together. One will be taken, and the other one will be left. ‡ </w:t>
      </w:r>
      <w:r>
        <w:rPr>
          <w:vertAlign w:val="superscript"/>
          <w:lang w:val="en_US" w:bidi="en_US"/>
        </w:rPr>
        <w:t>37</w:t>
      </w:r>
      <w:r>
        <w:rPr>
          <w:lang w:val="en_US" w:bidi="en_US"/>
        </w:rPr>
        <w:t>They asked him… (GW)</w:t>
      </w:r>
    </w:p>
    <w:p>
      <w:pPr>
        <w:pStyle w:val="Heading5"/>
      </w:pPr>
      <w:r>
        <w:rPr>
          <w:lang w:val="en_US" w:bidi="en_US"/>
        </w:rPr>
        <w:t>17:36a</w:t>
      </w:r>
    </w:p>
    <w:p>
      <w:pPr/>
      <w:r>
        <w:rPr>
          <w:lang w:val="en_US" w:bidi="en_US"/>
        </w:rPr>
      </w:r>
      <w:r>
        <w:rPr>
          <w:b/>
          <w:lang w:val="en_US" w:bidi="en_US"/>
        </w:rPr>
        <w:t>Two men will be in the field.</w:t>
      </w:r>
    </w:p>
    <w:p>
      <w:pPr>
        <w:pStyle w:val="ListBullet"/>
        <w:spacing w:line="240" w:lineRule="auto"/>
        <w:ind w:left="720"/>
      </w:pPr>
      <w:r>
        <w:rPr>
          <w:lang w:val="en_US" w:bidi="en_US"/>
        </w:rPr>
      </w:r>
      <w:r>
        <w:rPr>
          <w:lang w:val="en_US" w:bidi="en_US"/>
        </w:rPr>
        <w:t>[[Two men will be in a field/garden.</w:t>
      </w:r>
    </w:p>
    <w:p>
      <w:pPr>
        <w:pStyle w:val="ListBullet"/>
        <w:spacing w:line="240" w:lineRule="auto"/>
        <w:ind w:left="720"/>
      </w:pPr>
      <w:r>
        <w:rPr>
          <w:lang w:val="en_US" w:bidi="en_US"/>
        </w:rPr>
      </w:r>
      <w:r>
        <w:rPr>
          <w:lang w:val="en_US" w:bidi="en_US"/>
        </w:rPr>
        <w:t>[[Two men may be farming together.</w:t>
      </w:r>
    </w:p>
    <w:p>
      <w:pPr/>
      <w:r>
        <w:rPr>
          <w:lang w:val="en_US" w:bidi="en_US"/>
        </w:rPr>
      </w:r>
      <w:r>
        <w:rPr>
          <w:b/>
          <w:lang w:val="en_US" w:bidi="en_US"/>
        </w:rPr>
        <w:t>Two men will be in the field:</w:t>
      </w:r>
      <w:r>
        <w:rPr>
          <w:lang w:val="en_US" w:bidi="en_US"/>
        </w:rPr>
        <w:t xml:space="preserve"> This clause implies that the men will be working together. In some languages it will be helpful to include this information. For example:</w:t>
      </w:r>
    </w:p>
    <w:p>
      <w:pPr/>
      <w:r>
        <w:rPr>
          <w:lang w:val="en_US" w:bidi="en_US"/>
        </w:rPr>
      </w:r>
      <w:r>
        <w:rPr>
          <w:lang w:val="en_US" w:bidi="en_US"/>
        </w:rPr>
        <w:t xml:space="preserve">Two men will be </w:t>
      </w:r>
      <w:r>
        <w:rPr>
          <w:lang w:val="en_US" w:bidi="en_US"/>
        </w:rPr>
        <w:t>working together</w:t>
      </w:r>
      <w:r>
        <w:rPr>
          <w:lang w:val="en_US" w:bidi="en_US"/>
        </w:rPr>
        <w:t xml:space="preserve"> in the field</w:t>
      </w:r>
    </w:p>
    <w:p>
      <w:pPr>
        <w:pStyle w:val="Heading5"/>
      </w:pPr>
      <w:r>
        <w:rPr>
          <w:lang w:val="en_US" w:bidi="en_US"/>
        </w:rPr>
        <w:t>17:36b</w:t>
      </w:r>
    </w:p>
    <w:p>
      <w:pPr/>
      <w:r>
        <w:rPr>
          <w:lang w:val="en_US" w:bidi="en_US"/>
        </w:rPr>
      </w:r>
      <w:r>
        <w:rPr>
          <w:b/>
          <w:lang w:val="en_US" w:bidi="en_US"/>
        </w:rPr>
        <w:t>One will be taken and the other left.]]</w:t>
      </w:r>
    </w:p>
    <w:p>
      <w:pPr>
        <w:pStyle w:val="ListBullet"/>
        <w:spacing w:line="240" w:lineRule="auto"/>
        <w:ind w:left="720"/>
      </w:pPr>
      <w:r>
        <w:rPr>
          <w:lang w:val="en_US" w:bidi="en_US"/>
        </w:rPr>
      </w:r>
      <w:r>
        <w:rPr>
          <w:lang w:val="en_US" w:bidi="en_US"/>
        </w:rPr>
        <w:t>I</w:t>
      </w:r>
      <w:r>
        <w:rPr>
          <w:lang w:val="en_US" w:bidi="en_US"/>
        </w:rPr>
        <w:t xml:space="preserve"> will take one, </w:t>
      </w:r>
      <w:r>
        <w:rPr>
          <w:lang w:val="en_US" w:bidi="en_US"/>
        </w:rPr>
        <w:t>but I</w:t>
      </w:r>
      <w:r>
        <w:rPr>
          <w:lang w:val="en_US" w:bidi="en_US"/>
        </w:rPr>
        <w:t xml:space="preserve"> will leave the other.”]]</w:t>
      </w:r>
    </w:p>
    <w:p>
      <w:pPr>
        <w:pStyle w:val="ListBullet"/>
        <w:spacing w:line="240" w:lineRule="auto"/>
        <w:ind w:left="720"/>
      </w:pPr>
      <w:r>
        <w:rPr>
          <w:lang w:val="en_US" w:bidi="en_US"/>
        </w:rPr>
      </w:r>
      <w:r>
        <w:rPr>
          <w:lang w:val="en_US" w:bidi="en_US"/>
        </w:rPr>
        <w:t>God</w:t>
      </w:r>
      <w:r>
        <w:rPr>
          <w:lang w:val="en_US" w:bidi="en_US"/>
        </w:rPr>
        <w:t xml:space="preserve"> will take one and will leave the other </w:t>
      </w:r>
      <w:r>
        <w:rPr>
          <w:lang w:val="en_US" w:bidi="en_US"/>
        </w:rPr>
        <w:t>behind</w:t>
      </w:r>
      <w:r>
        <w:rPr>
          <w:lang w:val="en_US" w:bidi="en_US"/>
        </w:rPr>
        <w:t>.”]]</w:t>
      </w:r>
    </w:p>
    <w:p>
      <w:pPr/>
      <w:r>
        <w:rPr>
          <w:lang w:val="en_US" w:bidi="en_US"/>
        </w:rPr>
      </w:r>
      <w:r>
        <w:rPr>
          <w:b/>
          <w:lang w:val="en_US" w:bidi="en_US"/>
        </w:rPr>
        <w:t>One will be taken and the other left:</w:t>
      </w:r>
      <w:r>
        <w:rPr>
          <w:lang w:val="en_US" w:bidi="en_US"/>
        </w:rPr>
        <w:t xml:space="preserve"> This part of the verse is the same as 17:35b.</w:t>
      </w:r>
      <w:r>
        <w:rPr>
          <w:lang w:val="en_US" w:bidi="en_US"/>
        </w:rPr>
      </w:r>
      <w:r>
        <w:rPr>
          <w:lang w:val="en_US" w:bidi="en_US"/>
        </w:rPr>
      </w:r>
    </w:p>
    <w:p>
      <w:pPr/>
      <w:r>
        <w:rPr>
          <w:lang w:val="en_US" w:bidi="en_US"/>
        </w:rPr>
      </w:r>
    </w:p>
    <w:p>
      <w:pPr>
        <w:pStyle w:val="Heading2"/>
      </w:pPr>
      <w:r>
        <w:rPr>
          <w:lang w:val="en_US" w:bidi="en_US"/>
        </w:rPr>
        <w:t>Luke 17:37</w:t>
      </w:r>
      <w:r>
        <w:rPr>
          <w:lang w:val="en_US" w:bidi="en_US"/>
        </w:rPr>
      </w:r>
    </w:p>
    <w:p>
      <w:pPr>
        <w:pStyle w:val="Heading4"/>
      </w:pPr>
      <w:r>
        <w:rPr>
          <w:lang w:val="en_US" w:bidi="en_US"/>
        </w:rPr>
        <w:t>Section 17:20–37: Jesus taught about the time when the kingdom of God will come</w:t>
      </w:r>
    </w:p>
    <w:p>
      <w:pPr/>
      <w:r>
        <w:rPr>
          <w:lang w:val="en_US" w:bidi="en_US"/>
        </w:rPr>
      </w:r>
      <w:r>
        <w:rPr>
          <w:lang w:val="en_US" w:bidi="en_US"/>
        </w:rPr>
        <w:t>The Greek text does not indicate when Jesus said the words in this section. Scholars believe that he said them during the same time period as the last section. During this time, Jesus was making his final journey to Jerusalem. The Pharisees asked him when the kingdom of God would come. Jesus answered by describing the way the Son of Man, the Messiah, will return to earth. He will return suddenly, and it will be obvious to everyone that he has returned. Jesus compared his return to how suddenly the flood came in the time of Noah and how suddenly Sodom and Gomorrah were destroyed in the time of Lot.</w:t>
      </w:r>
    </w:p>
    <w:p>
      <w:pPr/>
      <w:r>
        <w:rPr>
          <w:lang w:val="en_US" w:bidi="en_US"/>
        </w:rPr>
      </w:r>
      <w:r>
        <w:rPr>
          <w:lang w:val="en_US" w:bidi="en_US"/>
        </w:rPr>
        <w:t>Examples of headings for this section are:</w:t>
      </w:r>
    </w:p>
    <w:p>
      <w:pPr/>
      <w:r>
        <w:rPr>
          <w:lang w:val="en_US" w:bidi="en_US"/>
        </w:rPr>
      </w:r>
      <w:r>
        <w:rPr>
          <w:lang w:val="en_US" w:bidi="en_US"/>
        </w:rPr>
        <w:t>Jesus taught about when the Son of Man will come</w:t>
      </w:r>
    </w:p>
    <w:p>
      <w:pPr/>
      <w:r>
        <w:rPr>
          <w:lang w:val="en_US" w:bidi="en_US"/>
        </w:rPr>
      </w:r>
      <w:r>
        <w:rPr>
          <w:lang w:val="en_US" w:bidi="en_US"/>
        </w:rPr>
        <w:t>The coming of the Kingdom of God</w:t>
      </w:r>
    </w:p>
    <w:p>
      <w:pPr/>
      <w:r>
        <w:rPr>
          <w:lang w:val="en_US" w:bidi="en_US"/>
        </w:rPr>
      </w:r>
      <w:r>
        <w:rPr>
          <w:lang w:val="en_US" w:bidi="en_US"/>
        </w:rPr>
        <w:t>Parallel passages are in Matthew 24:17–18, 24:23–28, 24:37–41, and Mark 13:14–16, 13:19–23.</w:t>
      </w:r>
    </w:p>
    <w:p>
      <w:pPr>
        <w:pStyle w:val="Heading4"/>
      </w:pPr>
      <w:r>
        <w:rPr>
          <w:lang w:val="en_US" w:bidi="en_US"/>
        </w:rPr>
        <w:t>Paragraph 17:34–37</w:t>
      </w:r>
    </w:p>
    <w:p>
      <w:pPr/>
      <w:r>
        <w:rPr>
          <w:lang w:val="en_US" w:bidi="en_US"/>
        </w:rPr>
      </w:r>
      <w:r>
        <w:rPr>
          <w:lang w:val="en_US" w:bidi="en_US"/>
        </w:rPr>
        <w:t>For 17:34–35 see also Matthew 24:40–41. These verses indicate that some people who live and work close to one another will be separated at the time when Jesus returns.</w:t>
      </w:r>
    </w:p>
    <w:p>
      <w:pPr>
        <w:pStyle w:val="Heading5"/>
      </w:pPr>
      <w:r>
        <w:rPr>
          <w:lang w:val="en_US" w:bidi="en_US"/>
        </w:rPr>
        <w:t>17:37a–b</w:t>
      </w:r>
    </w:p>
    <w:p>
      <w:pPr/>
      <w:r>
        <w:rPr>
          <w:lang w:val="en_US" w:bidi="en_US"/>
        </w:rPr>
      </w:r>
      <w:r>
        <w:rPr>
          <w:b/>
          <w:lang w:val="en_US" w:bidi="en_US"/>
        </w:rPr>
        <w:t>“Where, Lord?” they asked. Jesus answered, “Wherever there is a carcass, there the vultures will gather.”:</w:t>
      </w:r>
      <w:r>
        <w:rPr>
          <w:lang w:val="en_US" w:bidi="en_US"/>
        </w:rPr>
        <w:t xml:space="preserve"> There are different ways to interpret the question and answer in this verse. Two of the most common interpretations are:</w:t>
      </w:r>
    </w:p>
    <w:p>
      <w:pPr>
        <w:pStyle w:val="ListNumber"/>
        <w:numPr>
          <w:ilvl w:val="0"/>
          <w:numId w:val="298"/>
        </w:numPr>
        <w:spacing w:line="240" w:lineRule="auto"/>
        <w:ind w:left="720"/>
      </w:pPr>
      <w:r>
        <w:rPr>
          <w:lang w:val="en_US" w:bidi="en_US"/>
        </w:rPr>
      </w:r>
      <w:r>
        <w:rPr>
          <w:lang w:val="en_US" w:bidi="en_US"/>
        </w:rPr>
        <w:t>The disciples were asking where the people in 17:34–35 would be left to be punished. Jesus’ answer implies that punishment will come wherever wicked people are, just as vultures come to a dead body.</w:t>
      </w:r>
    </w:p>
    <w:p>
      <w:pPr>
        <w:pStyle w:val="ListNumber"/>
        <w:spacing w:line="240" w:lineRule="auto"/>
        <w:ind w:left="720"/>
      </w:pPr>
      <w:r>
        <w:rPr>
          <w:lang w:val="en_US" w:bidi="en_US"/>
        </w:rPr>
      </w:r>
      <w:r>
        <w:rPr>
          <w:lang w:val="en_US" w:bidi="en_US"/>
        </w:rPr>
        <w:t>The disciples were asking where the Son of Man would return. Jesus’ answer implies that the place of his return would be obvious, just as vultures show the presence of a dead body.</w:t>
      </w:r>
      <w:r>
        <w:rPr>
          <w:lang w:val="en_US" w:bidi="en_US"/>
        </w:rPr>
        <w:t>The idea in this interpretation is similar to 17:24, where Jesus said that his coming would be as obvious as lightning.</w:t>
      </w:r>
    </w:p>
    <w:p>
      <w:pPr/>
      <w:r>
        <w:rPr>
          <w:lang w:val="en_US" w:bidi="en_US"/>
        </w:rPr>
      </w:r>
      <w:r>
        <w:rPr>
          <w:lang w:val="en_US" w:bidi="en_US"/>
        </w:rPr>
        <w:t>Most English versions translate the proverb without making the meaning explicit.</w:t>
      </w:r>
      <w:r>
        <w:rPr>
          <w:lang w:val="en_US" w:bidi="en_US"/>
        </w:rPr>
        <w:t>The NLT makes explicit another interpretation, saying, “Jesus replied, ‘Just as the gathering of vultures shows there is a carcass nearby, so these signs indicate that the end is near.’” However, in this context Jesus does not list various signs of his coming, as he does elsewhere. The emphasis of this passage is that his coming will be sudden. It will come at a time when most people are not expecting it.</w:t>
      </w:r>
      <w:r>
        <w:rPr>
          <w:lang w:val="en_US" w:bidi="en_US"/>
        </w:rPr>
        <w:t xml:space="preserve"> It is recommended that you also translate so that more than one interpretation can be understood. For example:</w:t>
      </w:r>
    </w:p>
    <w:p>
      <w:pPr/>
      <w:r>
        <w:rPr>
          <w:lang w:val="en_US" w:bidi="en_US"/>
        </w:rPr>
      </w:r>
      <w:r>
        <w:rPr>
          <w:lang w:val="en_US" w:bidi="en_US"/>
        </w:rPr>
        <w:t>The followers asked Jesus, “Where will this be, Lord?” Jesus answered, “Where there is a dead body, there the vultures will gather.” (NCV)</w:t>
      </w:r>
    </w:p>
    <w:p>
      <w:pPr/>
      <w:r>
        <w:rPr>
          <w:lang w:val="en_US" w:bidi="en_US"/>
        </w:rPr>
      </w:r>
      <w:r>
        <w:rPr>
          <w:lang w:val="en_US" w:bidi="en_US"/>
        </w:rPr>
        <w:t>Then Jesus’ disciples spoke up, “But where will this happen, Lord?” Jesus said, “Where there is a corpse, there will always be buzzards.” (CEV)</w:t>
      </w:r>
    </w:p>
    <w:p>
      <w:pPr/>
      <w:r>
        <w:rPr>
          <w:lang w:val="en_US" w:bidi="en_US"/>
        </w:rPr>
      </w:r>
      <w:r>
        <w:rPr>
          <w:lang w:val="en_US" w:bidi="en_US"/>
        </w:rPr>
        <w:t>In some languages this proverb may communicate a wrong meaning. If that is true in your language and you need to add implied information, it is recommended that you follow interpretation (1). The description of vultures coming to a dead body fits better with punishment of wicked people than as a description of Jesus returning.</w:t>
      </w:r>
      <w:r>
        <w:rPr>
          <w:lang w:val="en_US" w:bidi="en_US"/>
        </w:rPr>
        <w:t>Arndt, Bock, Fitzmyer, Geldenhuys, Morris, and Plummer follow this interpretation. Morris says, “Where the spiritually dead are found, there inevitably will…be judgment” (p. 287). Marshall, Nolland, Stein, and Green follow interpretation (2).</w:t>
      </w:r>
      <w:r>
        <w:rPr>
          <w:lang w:val="en_US" w:bidi="en_US"/>
        </w:rPr>
        <w:t xml:space="preserve"> However, both interpretations are true. Jesus will return in an obvious way, and the wicked will certainly be judged at that time.</w:t>
      </w:r>
    </w:p>
    <w:p>
      <w:pPr/>
      <w:r>
        <w:rPr>
          <w:lang w:val="en_US" w:bidi="en_US"/>
        </w:rPr>
      </w:r>
      <w:r>
        <w:rPr>
          <w:lang w:val="en_US" w:bidi="en_US"/>
        </w:rPr>
        <w:t>If you add implied information, you should give only enough information to avoid a wrong meaning. For example:</w:t>
      </w:r>
    </w:p>
    <w:p>
      <w:pPr/>
      <w:r>
        <w:rPr>
          <w:lang w:val="en_US" w:bidi="en_US"/>
        </w:rPr>
      </w:r>
      <w:r>
        <w:rPr>
          <w:lang w:val="en_US" w:bidi="en_US"/>
        </w:rPr>
        <w:t xml:space="preserve">They asked, “Lord, where will this happen?” Jesus answered them, “Just as vultures come to a dead body, </w:t>
      </w:r>
      <w:r>
        <w:rPr>
          <w:lang w:val="en_US" w:bidi="en_US"/>
        </w:rPr>
        <w:t>judgment will come to wicked people</w:t>
      </w:r>
      <w:r>
        <w:rPr>
          <w:lang w:val="en_US" w:bidi="en_US"/>
        </w:rPr>
        <w:t>.”</w:t>
      </w:r>
    </w:p>
    <w:p>
      <w:pPr>
        <w:pStyle w:val="Heading5"/>
      </w:pPr>
      <w:r>
        <w:rPr>
          <w:lang w:val="en_US" w:bidi="en_US"/>
        </w:rPr>
        <w:t>17:37a</w:t>
      </w:r>
    </w:p>
    <w:p>
      <w:pPr/>
      <w:r>
        <w:rPr>
          <w:lang w:val="en_US" w:bidi="en_US"/>
        </w:rPr>
      </w:r>
      <w:r>
        <w:rPr>
          <w:b/>
          <w:lang w:val="en_US" w:bidi="en_US"/>
        </w:rPr>
        <w:t>“Where, Lord?” they asked.</w:t>
      </w:r>
    </w:p>
    <w:p>
      <w:pPr>
        <w:pStyle w:val="ListBullet"/>
        <w:spacing w:line="240" w:lineRule="auto"/>
        <w:ind w:left="720"/>
      </w:pPr>
      <w:r>
        <w:rPr>
          <w:lang w:val="en_US" w:bidi="en_US"/>
        </w:rPr>
      </w:r>
      <w:r>
        <w:rPr>
          <w:lang w:val="en_US" w:bidi="en_US"/>
        </w:rPr>
        <w:t>They asked him, “Where, Lord?”</w:t>
      </w:r>
    </w:p>
    <w:p>
      <w:pPr>
        <w:pStyle w:val="ListBullet"/>
        <w:spacing w:line="240" w:lineRule="auto"/>
        <w:ind w:left="720"/>
      </w:pPr>
      <w:r>
        <w:rPr>
          <w:lang w:val="en_US" w:bidi="en_US"/>
        </w:rPr>
      </w:r>
      <w:r>
        <w:rPr>
          <w:lang w:val="en_US" w:bidi="en_US"/>
        </w:rPr>
        <w:t xml:space="preserve">They asked, “Where </w:t>
      </w:r>
      <w:r>
        <w:rPr>
          <w:lang w:val="en_US" w:bidi="en_US"/>
        </w:rPr>
        <w:t>will this happen</w:t>
      </w:r>
      <w:r>
        <w:rPr>
          <w:lang w:val="en_US" w:bidi="en_US"/>
        </w:rPr>
        <w:t>, Lord?”</w:t>
      </w:r>
    </w:p>
    <w:p>
      <w:pPr/>
      <w:r>
        <w:rPr>
          <w:lang w:val="en_US" w:bidi="en_US"/>
        </w:rPr>
      </w:r>
      <w:r>
        <w:rPr>
          <w:b/>
          <w:lang w:val="en_US" w:bidi="en_US"/>
        </w:rPr>
        <w:t>“Where, Lord?” they asked:</w:t>
      </w:r>
      <w:r>
        <w:rPr>
          <w:lang w:val="en_US" w:bidi="en_US"/>
        </w:rPr>
        <w:t xml:space="preserve"> The BSB has placed the phrase </w:t>
      </w:r>
      <w:r>
        <w:rPr>
          <w:i/>
          <w:lang w:val="en_US" w:bidi="en_US"/>
        </w:rPr>
        <w:t>they asked</w:t>
      </w:r>
      <w:r>
        <w:rPr>
          <w:lang w:val="en_US" w:bidi="en_US"/>
        </w:rPr>
        <w:t xml:space="preserve"> after the quotation. The Greek text places it before the quotation, and most English versions do as well. For example:</w:t>
      </w:r>
    </w:p>
    <w:p>
      <w:pPr/>
      <w:r>
        <w:rPr>
          <w:lang w:val="en_US" w:bidi="en_US"/>
        </w:rPr>
      </w:r>
      <w:r>
        <w:rPr>
          <w:lang w:val="en_US" w:bidi="en_US"/>
        </w:rPr>
        <w:t>And they said to him, “Where, Lord?” (RSV)</w:t>
      </w:r>
    </w:p>
    <w:p>
      <w:pPr/>
      <w:r>
        <w:rPr>
          <w:lang w:val="en_US" w:bidi="en_US"/>
        </w:rPr>
      </w:r>
      <w:r>
        <w:rPr>
          <w:lang w:val="en_US" w:bidi="en_US"/>
        </w:rPr>
        <w:t>Place it where it is natural in your language.</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was used in 17:5 to refer to Jesus. Here the apostles addressed him directly as Lord to show respect. See the note on 17:5. The first time Jesus was addressed as </w:t>
      </w:r>
      <w:r>
        <w:rPr>
          <w:i/>
          <w:lang w:val="en_US" w:bidi="en_US"/>
        </w:rPr>
        <w:t>Lord</w:t>
      </w:r>
      <w:r>
        <w:rPr>
          <w:lang w:val="en_US" w:bidi="en_US"/>
        </w:rPr>
        <w:t xml:space="preserve"> in Luke was in 5:8. See how you translated this term of address there.</w:t>
      </w:r>
    </w:p>
    <w:p>
      <w:pPr>
        <w:pStyle w:val="Heading5"/>
      </w:pPr>
      <w:r>
        <w:rPr>
          <w:lang w:val="en_US" w:bidi="en_US"/>
        </w:rPr>
        <w:t>17:37b</w:t>
      </w:r>
    </w:p>
    <w:p>
      <w:pPr/>
      <w:r>
        <w:rPr>
          <w:lang w:val="en_US" w:bidi="en_US"/>
        </w:rPr>
      </w:r>
      <w:r>
        <w:rPr>
          <w:b/>
          <w:lang w:val="en_US" w:bidi="en_US"/>
        </w:rPr>
        <w:t>Jesus answered, “Wherever there is a carcass, there the vultures will gather.”</w:t>
      </w:r>
    </w:p>
    <w:p>
      <w:pPr>
        <w:pStyle w:val="ListBullet"/>
        <w:spacing w:line="240" w:lineRule="auto"/>
        <w:ind w:left="720"/>
      </w:pPr>
      <w:r>
        <w:rPr>
          <w:lang w:val="en_US" w:bidi="en_US"/>
        </w:rPr>
      </w:r>
      <w:r>
        <w:rPr>
          <w:lang w:val="en_US" w:bidi="en_US"/>
        </w:rPr>
        <w:t>Jesus said to them, “Wherever there is a dead body, vultures will gather.”</w:t>
      </w:r>
    </w:p>
    <w:p>
      <w:pPr>
        <w:pStyle w:val="ListBullet"/>
        <w:spacing w:line="240" w:lineRule="auto"/>
        <w:ind w:left="720"/>
      </w:pPr>
      <w:r>
        <w:rPr>
          <w:lang w:val="en_US" w:bidi="en_US"/>
        </w:rPr>
      </w:r>
      <w:r>
        <w:rPr>
          <w:lang w:val="en_US" w:bidi="en_US"/>
        </w:rPr>
        <w:t xml:space="preserve">And Jesus answered them </w:t>
      </w:r>
      <w:r>
        <w:rPr>
          <w:lang w:val="en_US" w:bidi="en_US"/>
        </w:rPr>
        <w:t>with a proverb</w:t>
      </w:r>
      <w:r>
        <w:rPr>
          <w:lang w:val="en_US" w:bidi="en_US"/>
        </w:rPr>
        <w:t>. He said, “Birds that eat dead things always gather wherever there is a corpse/carcass.”</w:t>
      </w:r>
    </w:p>
    <w:p>
      <w:pPr/>
      <w:r>
        <w:rPr>
          <w:lang w:val="en_US" w:bidi="en_US"/>
        </w:rPr>
      </w:r>
      <w:r>
        <w:rPr>
          <w:b/>
          <w:lang w:val="en_US" w:bidi="en_US"/>
        </w:rPr>
        <w:t>carcass:</w:t>
      </w:r>
      <w:r>
        <w:rPr>
          <w:lang w:val="en_US" w:bidi="en_US"/>
        </w:rPr>
        <w:t xml:space="preserve"> The Greek word that the BSB translates as </w:t>
      </w:r>
      <w:r>
        <w:rPr>
          <w:i/>
          <w:lang w:val="en_US" w:bidi="en_US"/>
        </w:rPr>
        <w:t>carcass</w:t>
      </w:r>
      <w:r>
        <w:rPr>
          <w:lang w:val="en_US" w:bidi="en_US"/>
        </w:rPr>
        <w:t xml:space="preserve"> refers here to the corpse or carcass of a person or animal. For example:</w:t>
      </w:r>
    </w:p>
    <w:p>
      <w:pPr/>
      <w:r>
        <w:rPr>
          <w:lang w:val="en_US" w:bidi="en_US"/>
        </w:rPr>
      </w:r>
      <w:r>
        <w:rPr>
          <w:lang w:val="en_US" w:bidi="en_US"/>
        </w:rPr>
        <w:t>Where the carcass is, there will the vultures gather. (REB)</w:t>
      </w:r>
    </w:p>
    <w:p>
      <w:pPr/>
      <w:r>
        <w:rPr>
          <w:lang w:val="en_US" w:bidi="en_US"/>
        </w:rPr>
      </w:r>
      <w:r>
        <w:rPr>
          <w:lang w:val="en_US" w:bidi="en_US"/>
        </w:rPr>
        <w:t>Vultures will gather where there is something dead.</w:t>
      </w:r>
    </w:p>
    <w:p>
      <w:pPr/>
      <w:r>
        <w:rPr>
          <w:lang w:val="en_US" w:bidi="en_US"/>
        </w:rPr>
      </w:r>
      <w:r>
        <w:rPr>
          <w:b/>
          <w:lang w:val="en_US" w:bidi="en_US"/>
        </w:rPr>
        <w:t>vultures:</w:t>
      </w:r>
      <w:r>
        <w:rPr>
          <w:lang w:val="en_US" w:bidi="en_US"/>
        </w:rPr>
        <w:t xml:space="preserve"> The Greek word that the BSB translates as </w:t>
      </w:r>
      <w:r>
        <w:rPr>
          <w:i/>
          <w:lang w:val="en_US" w:bidi="en_US"/>
        </w:rPr>
        <w:t>vultures</w:t>
      </w:r>
      <w:r>
        <w:rPr>
          <w:lang w:val="en_US" w:bidi="en_US"/>
        </w:rPr>
        <w:t xml:space="preserve"> can refer to either vultures (sometimes called buzzards) or eagles. But </w:t>
      </w:r>
      <w:r>
        <w:rPr>
          <w:i/>
          <w:lang w:val="en_US" w:bidi="en_US"/>
        </w:rPr>
        <w:t>vultures</w:t>
      </w:r>
      <w:r>
        <w:rPr>
          <w:lang w:val="en_US" w:bidi="en_US"/>
        </w:rPr>
        <w:t xml:space="preserve"> fits this context better than ‘eagles.’ A vulture is a large bird that eats the bodies of animals that have died and are decaying. Vultures often fly in groups. In your translation, use the name of a bird that feeds on dead things.</w:t>
      </w:r>
    </w:p>
    <w:p>
      <w:pPr/>
      <w:r>
        <w:rPr>
          <w:lang w:val="en_US" w:bidi="en_US"/>
        </w:rPr>
      </w:r>
      <w:r>
        <w:rPr>
          <w:b/>
          <w:lang w:val="en_US" w:bidi="en_US"/>
        </w:rPr>
        <w:t>will gather:</w:t>
      </w:r>
      <w:r>
        <w:rPr>
          <w:lang w:val="en_US" w:bidi="en_US"/>
        </w:rPr>
        <w:t xml:space="preserve"> the Greek word that the BSB translates as </w:t>
      </w:r>
      <w:r>
        <w:rPr>
          <w:i/>
          <w:lang w:val="en_US" w:bidi="en_US"/>
        </w:rPr>
        <w:t>will gather</w:t>
      </w:r>
      <w:r>
        <w:rPr>
          <w:lang w:val="en_US" w:bidi="en_US"/>
        </w:rPr>
        <w:t xml:space="preserve"> refers to the vultures coming and gathering around the dead body on the ground. They will gather to eat the body.</w:t>
      </w:r>
      <w:r>
        <w:rPr>
          <w:lang w:val="en_US" w:bidi="en_US"/>
        </w:rPr>
      </w:r>
      <w:r>
        <w:rPr>
          <w:lang w:val="en_US" w:bidi="en_US"/>
        </w:rPr>
      </w:r>
    </w:p>
    <w:p>
      <w:pPr/>
      <w:r>
        <w:rPr>
          <w:lang w:val="en_US" w:bidi="en_US"/>
        </w:rPr>
      </w:r>
    </w:p>
    <w:p>
      <w:pPr>
        <w:pStyle w:val="Heading2"/>
      </w:pPr>
      <w:r>
        <w:rPr>
          <w:lang w:val="en_US" w:bidi="en_US"/>
        </w:rPr>
        <w:t>Luke 18:1</w:t>
      </w:r>
      <w:r>
        <w:rPr>
          <w:lang w:val="en_US" w:bidi="en_US"/>
        </w:rPr>
      </w:r>
    </w:p>
    <w:p>
      <w:pPr>
        <w:pStyle w:val="Heading4"/>
      </w:pPr>
      <w:r>
        <w:rPr>
          <w:lang w:val="en_US" w:bidi="en_US"/>
        </w:rPr>
        <w:t>Section 18:1–8: Jesus told a story to teach his disciples to pray persistently</w:t>
      </w:r>
    </w:p>
    <w:p>
      <w:pPr/>
      <w:r>
        <w:rPr>
          <w:lang w:val="en_US" w:bidi="en_US"/>
        </w:rPr>
      </w:r>
      <w:r>
        <w:rPr>
          <w:lang w:val="en_US" w:bidi="en_US"/>
        </w:rPr>
        <w:t>At the end of chapter 17, Jesus told his disciples about the coming of the Son of Man. In this section, he concluded this teaching by telling them a parable about praying persistently.</w:t>
      </w:r>
      <w:r>
        <w:rPr>
          <w:lang w:val="en_US" w:bidi="en_US"/>
        </w:rPr>
        <w:t>Bock (p. 1444) says: “The parable of the nagging widow and the consenting judge is linked to the previous eschatological discourse by the reference in Luke 18:8 to the Son of Man’s return. Its plea that believers ask God for justice looks back to the vindication of the saints described in 17:22–37.”</w:t>
      </w:r>
      <w:r>
        <w:rPr>
          <w:lang w:val="en_US" w:bidi="en_US"/>
        </w:rPr>
        <w:t xml:space="preserve"> He used the parable to teach them that they should continue to trust God and pray to him. They should not become discouraged when they suffer unjustly, because Jesus will return, and God will give them justice.</w:t>
      </w:r>
    </w:p>
    <w:p>
      <w:pPr/>
      <w:r>
        <w:rPr>
          <w:lang w:val="en_US" w:bidi="en_US"/>
        </w:rPr>
      </w:r>
      <w:r>
        <w:rPr>
          <w:lang w:val="en_US" w:bidi="en_US"/>
        </w:rPr>
        <w:t>Justice is an important theme in this parable. Phrases about justice occur four times. Each phrase uses a form of the same Greek word, so you will probably want to translate the phrases in a similar way:</w:t>
      </w:r>
    </w:p>
    <w:p>
      <w:pPr/>
      <w:r>
        <w:rPr>
          <w:lang w:val="en_US" w:bidi="en_US"/>
        </w:rPr>
      </w:r>
      <w:r>
        <w:rPr>
          <w:lang w:val="en_US" w:bidi="en_US"/>
        </w:rPr>
        <w:t>Grant me justice (18:3)</w:t>
      </w:r>
    </w:p>
    <w:p>
      <w:pPr/>
      <w:r>
        <w:rPr>
          <w:lang w:val="en_US" w:bidi="en_US"/>
        </w:rPr>
      </w:r>
      <w:r>
        <w:rPr>
          <w:lang w:val="en_US" w:bidi="en_US"/>
        </w:rPr>
        <w:t>see that she gets justice (18:5)</w:t>
      </w:r>
    </w:p>
    <w:p>
      <w:pPr/>
      <w:r>
        <w:rPr>
          <w:lang w:val="en_US" w:bidi="en_US"/>
        </w:rPr>
      </w:r>
      <w:r>
        <w:rPr>
          <w:lang w:val="en_US" w:bidi="en_US"/>
        </w:rPr>
        <w:t>will not God bring about justice (18:7)</w:t>
      </w:r>
    </w:p>
    <w:p>
      <w:pPr/>
      <w:r>
        <w:rPr>
          <w:lang w:val="en_US" w:bidi="en_US"/>
        </w:rPr>
      </w:r>
      <w:r>
        <w:rPr>
          <w:lang w:val="en_US" w:bidi="en_US"/>
        </w:rPr>
        <w:t>he will see that they get justice (18:8)</w:t>
      </w:r>
    </w:p>
    <w:p>
      <w:pPr/>
      <w:r>
        <w:rPr>
          <w:lang w:val="en_US" w:bidi="en_US"/>
        </w:rPr>
      </w:r>
      <w:r>
        <w:rPr>
          <w:lang w:val="en_US" w:bidi="en_US"/>
        </w:rPr>
        <w:t>It is good to translate this section before you decide on a heading for it. Some examples of headings for this section are:</w:t>
      </w:r>
    </w:p>
    <w:p>
      <w:pPr/>
      <w:r>
        <w:rPr>
          <w:lang w:val="en_US" w:bidi="en_US"/>
        </w:rPr>
      </w:r>
      <w:r>
        <w:rPr>
          <w:lang w:val="en_US" w:bidi="en_US"/>
        </w:rPr>
        <w:t>The Parable of the Persistent Widow (NIV)</w:t>
      </w:r>
    </w:p>
    <w:p>
      <w:pPr/>
      <w:r>
        <w:rPr>
          <w:lang w:val="en_US" w:bidi="en_US"/>
        </w:rPr>
      </w:r>
      <w:r>
        <w:rPr>
          <w:lang w:val="en_US" w:bidi="en_US"/>
        </w:rPr>
        <w:t>Jesus told a parable about a widow coming repeatedly to an unjust judge</w:t>
      </w:r>
    </w:p>
    <w:p>
      <w:pPr/>
      <w:r>
        <w:rPr>
          <w:lang w:val="en_US" w:bidi="en_US"/>
        </w:rPr>
      </w:r>
      <w:r>
        <w:rPr>
          <w:lang w:val="en_US" w:bidi="en_US"/>
        </w:rPr>
        <w:t>The parable of the unjust judge</w:t>
      </w:r>
    </w:p>
    <w:p>
      <w:pPr/>
      <w:r>
        <w:rPr>
          <w:lang w:val="en_US" w:bidi="en_US"/>
        </w:rPr>
      </w:r>
      <w:r>
        <w:rPr>
          <w:lang w:val="en_US" w:bidi="en_US"/>
        </w:rPr>
        <w:t>God Will Answer His People (NCV)</w:t>
      </w:r>
    </w:p>
    <w:p>
      <w:pPr/>
      <w:r>
        <w:rPr>
          <w:lang w:val="en_US" w:bidi="en_US"/>
        </w:rPr>
      </w:r>
      <w:r>
        <w:rPr>
          <w:lang w:val="en_US" w:bidi="en_US"/>
        </w:rPr>
        <w:t>Luke is the only gospel that has this story. It is similar in some ways to the parable in 11:5–10.</w:t>
      </w:r>
    </w:p>
    <w:p>
      <w:pPr>
        <w:pStyle w:val="Heading5"/>
      </w:pPr>
      <w:r>
        <w:rPr>
          <w:lang w:val="en_US" w:bidi="en_US"/>
        </w:rPr>
        <w:t>18:1</w:t>
      </w:r>
    </w:p>
    <w:p>
      <w:pPr/>
      <w:r>
        <w:rPr>
          <w:lang w:val="en_US" w:bidi="en_US"/>
        </w:rPr>
      </w:r>
      <w:r>
        <w:rPr>
          <w:lang w:val="en_US" w:bidi="en_US"/>
        </w:rPr>
        <w:t>This verse tells the purpose and meaning of the parable in 18:2–8. In some languages it may be natural to use two sentences to do this. For example:</w:t>
      </w:r>
    </w:p>
    <w:p>
      <w:pPr/>
      <w:r>
        <w:rPr>
          <w:lang w:val="en_US" w:bidi="en_US"/>
        </w:rPr>
      </w:r>
      <w:r>
        <w:rPr>
          <w:lang w:val="en_US" w:bidi="en_US"/>
        </w:rPr>
        <w:t>Then Jesus told his disciples a parable. He wanted to teach them that they must continue to pray and not become discouraged.</w:t>
      </w:r>
    </w:p>
    <w:p>
      <w:pPr/>
      <w:r>
        <w:rPr>
          <w:lang w:val="en_US" w:bidi="en_US"/>
        </w:rPr>
      </w:r>
      <w:r>
        <w:rPr>
          <w:lang w:val="en_US" w:bidi="en_US"/>
        </w:rPr>
        <w:t>See the General Comment on 18:1a–c for a suggestion about using direct speech in this verse.</w:t>
      </w:r>
    </w:p>
    <w:p>
      <w:pPr>
        <w:pStyle w:val="Heading5"/>
      </w:pPr>
      <w:r>
        <w:rPr>
          <w:lang w:val="en_US" w:bidi="en_US"/>
        </w:rPr>
        <w:t>18:1a</w:t>
      </w:r>
    </w:p>
    <w:p>
      <w:pPr/>
      <w:r>
        <w:rPr>
          <w:lang w:val="en_US" w:bidi="en_US"/>
        </w:rPr>
      </w:r>
      <w:r>
        <w:rPr>
          <w:b/>
          <w:lang w:val="en_US" w:bidi="en_US"/>
        </w:rPr>
        <w:t>Then Jesus told them</w:t>
      </w:r>
    </w:p>
    <w:p>
      <w:pPr>
        <w:pStyle w:val="ListBullet"/>
        <w:spacing w:line="240" w:lineRule="auto"/>
        <w:ind w:left="720"/>
      </w:pPr>
      <w:r>
        <w:rPr>
          <w:lang w:val="en_US" w:bidi="en_US"/>
        </w:rPr>
      </w:r>
      <w:r>
        <w:rPr>
          <w:lang w:val="en_US" w:bidi="en_US"/>
        </w:rPr>
        <w:t>¶ And he told them</w:t>
      </w:r>
    </w:p>
    <w:p>
      <w:pPr>
        <w:pStyle w:val="ListBullet"/>
        <w:spacing w:line="240" w:lineRule="auto"/>
        <w:ind w:left="720"/>
      </w:pPr>
      <w:r>
        <w:rPr>
          <w:lang w:val="en_US" w:bidi="en_US"/>
        </w:rPr>
      </w:r>
      <w:r>
        <w:rPr>
          <w:lang w:val="en_US" w:bidi="en_US"/>
        </w:rPr>
        <w:t>¶ Then Jesus used</w:t>
      </w:r>
    </w:p>
    <w:p>
      <w:pPr>
        <w:pStyle w:val="ListBullet"/>
        <w:spacing w:line="240" w:lineRule="auto"/>
        <w:ind w:left="720"/>
      </w:pPr>
      <w:r>
        <w:rPr>
          <w:lang w:val="en_US" w:bidi="en_US"/>
        </w:rPr>
      </w:r>
      <w:r>
        <w:rPr>
          <w:lang w:val="en_US" w:bidi="en_US"/>
        </w:rPr>
        <w:t>¶ Then Jesus told his disciples</w:t>
      </w:r>
    </w:p>
    <w:p>
      <w:pPr/>
      <w:r>
        <w:rPr>
          <w:lang w:val="en_US" w:bidi="en_US"/>
        </w:rPr>
      </w:r>
      <w:r>
        <w:rPr>
          <w:b/>
          <w:lang w:val="en_US" w:bidi="en_US"/>
        </w:rPr>
        <w:t>Then Jesus told them:</w:t>
      </w:r>
      <w:r>
        <w:rPr>
          <w:lang w:val="en_US" w:bidi="en_US"/>
        </w:rPr>
        <w:t xml:space="preserve"> The Greek phrase that the BSB translates as </w:t>
      </w:r>
      <w:r>
        <w:rPr>
          <w:i/>
          <w:lang w:val="en_US" w:bidi="en_US"/>
        </w:rPr>
        <w:t>Then Jesus told them</w:t>
      </w:r>
      <w:r>
        <w:rPr>
          <w:lang w:val="en_US" w:bidi="en_US"/>
        </w:rPr>
        <w:t xml:space="preserve"> is literally “And he told them.” The RSV and several other English versions translate it that way. Jesus continued to speak to the same people that he spoke to in the previous section. The BSB has supplied the word </w:t>
      </w:r>
      <w:r>
        <w:rPr>
          <w:i/>
          <w:lang w:val="en_US" w:bidi="en_US"/>
        </w:rPr>
        <w:t>Jesus</w:t>
      </w:r>
      <w:r>
        <w:rPr>
          <w:lang w:val="en_US" w:bidi="en_US"/>
        </w:rPr>
        <w:t xml:space="preserve"> to make the meaning clear at the beginning of this new section. Introduce the section in a natural way in your language.</w:t>
      </w:r>
    </w:p>
    <w:p>
      <w:pPr/>
      <w:r>
        <w:rPr>
          <w:lang w:val="en_US" w:bidi="en_US"/>
        </w:rPr>
      </w:r>
      <w:r>
        <w:rPr>
          <w:b/>
          <w:lang w:val="en_US" w:bidi="en_US"/>
        </w:rPr>
        <w:t>them:</w:t>
      </w:r>
      <w:r>
        <w:rPr>
          <w:lang w:val="en_US" w:bidi="en_US"/>
        </w:rPr>
        <w:t xml:space="preserve"> Versions such as the CEV, GW, GNT, NIV, and NLT say “his disciples” rather than </w:t>
      </w:r>
      <w:r>
        <w:rPr>
          <w:i/>
          <w:lang w:val="en_US" w:bidi="en_US"/>
        </w:rPr>
        <w:t>them</w:t>
      </w:r>
      <w:r>
        <w:rPr>
          <w:lang w:val="en_US" w:bidi="en_US"/>
        </w:rPr>
        <w:t>. If you decide to say “his disciples” in your translation, for help in translating that term, see the note at 17:1a.</w:t>
      </w:r>
    </w:p>
    <w:p>
      <w:pPr>
        <w:pStyle w:val="Heading5"/>
      </w:pPr>
      <w:r>
        <w:rPr>
          <w:lang w:val="en_US" w:bidi="en_US"/>
        </w:rPr>
        <w:t>18:1b</w:t>
      </w:r>
    </w:p>
    <w:p>
      <w:pPr/>
      <w:r>
        <w:rPr>
          <w:lang w:val="en_US" w:bidi="en_US"/>
        </w:rPr>
      </w:r>
      <w:r>
        <w:rPr>
          <w:b/>
          <w:lang w:val="en_US" w:bidi="en_US"/>
        </w:rPr>
        <w:t>a parable about their need to pray at all times</w:t>
      </w:r>
    </w:p>
    <w:p>
      <w:pPr>
        <w:pStyle w:val="ListBullet"/>
        <w:spacing w:line="240" w:lineRule="auto"/>
        <w:ind w:left="720"/>
      </w:pPr>
      <w:r>
        <w:rPr>
          <w:lang w:val="en_US" w:bidi="en_US"/>
        </w:rPr>
      </w:r>
      <w:r>
        <w:rPr>
          <w:lang w:val="en_US" w:bidi="en_US"/>
        </w:rPr>
        <w:t>a parable/illustration to teach that it is necessary to continue to pray</w:t>
      </w:r>
    </w:p>
    <w:p>
      <w:pPr>
        <w:pStyle w:val="ListBullet"/>
        <w:spacing w:line="240" w:lineRule="auto"/>
        <w:ind w:left="720"/>
      </w:pPr>
      <w:r>
        <w:rPr>
          <w:lang w:val="en_US" w:bidi="en_US"/>
        </w:rPr>
      </w:r>
      <w:r>
        <w:rPr>
          <w:lang w:val="en_US" w:bidi="en_US"/>
        </w:rPr>
        <w:t xml:space="preserve">a story to teach them that they must persist in their prayers </w:t>
      </w:r>
      <w:r>
        <w:rPr>
          <w:lang w:val="en_US" w:bidi="en_US"/>
        </w:rPr>
        <w:t>to God</w:t>
      </w:r>
      <w:r>
        <w:rPr>
          <w:lang w:val="en_US" w:bidi="en_US"/>
        </w:rPr>
        <w:t>.</w:t>
      </w:r>
    </w:p>
    <w:p>
      <w:pPr>
        <w:pStyle w:val="ListBullet"/>
        <w:spacing w:line="240" w:lineRule="auto"/>
        <w:ind w:left="720"/>
      </w:pPr>
      <w:r>
        <w:rPr>
          <w:lang w:val="en_US" w:bidi="en_US"/>
        </w:rPr>
      </w:r>
      <w:r>
        <w:rPr>
          <w:lang w:val="en_US" w:bidi="en_US"/>
        </w:rPr>
        <w:t xml:space="preserve">a story. It showed that they needed to ask/beg </w:t>
      </w:r>
      <w:r>
        <w:rPr>
          <w:lang w:val="en_US" w:bidi="en_US"/>
        </w:rPr>
        <w:t>God</w:t>
      </w:r>
      <w:r>
        <w:rPr>
          <w:lang w:val="en_US" w:bidi="en_US"/>
        </w:rPr>
        <w:t xml:space="preserve"> often </w:t>
      </w:r>
      <w:r>
        <w:rPr>
          <w:lang w:val="en_US" w:bidi="en_US"/>
        </w:rPr>
        <w:t>to help them</w:t>
      </w:r>
      <w:r>
        <w:rPr>
          <w:lang w:val="en_US" w:bidi="en_US"/>
        </w:rPr>
        <w:t>.</w:t>
      </w:r>
    </w:p>
    <w:p>
      <w:pPr>
        <w:pStyle w:val="Heading5"/>
      </w:pPr>
      <w:r>
        <w:rPr>
          <w:lang w:val="en_US" w:bidi="en_US"/>
        </w:rPr>
        <w:t>18:1c</w:t>
      </w:r>
    </w:p>
    <w:p>
      <w:pPr/>
      <w:r>
        <w:rPr>
          <w:lang w:val="en_US" w:bidi="en_US"/>
        </w:rPr>
      </w:r>
      <w:r>
        <w:rPr>
          <w:b/>
          <w:lang w:val="en_US" w:bidi="en_US"/>
        </w:rPr>
        <w:t>and not lose heart:</w:t>
      </w:r>
    </w:p>
    <w:p>
      <w:pPr>
        <w:pStyle w:val="ListBullet"/>
        <w:spacing w:line="240" w:lineRule="auto"/>
        <w:ind w:left="720"/>
      </w:pPr>
      <w:r>
        <w:rPr>
          <w:lang w:val="en_US" w:bidi="en_US"/>
        </w:rPr>
      </w:r>
      <w:r>
        <w:rPr>
          <w:lang w:val="en_US" w:bidi="en_US"/>
        </w:rPr>
        <w:t>and not stop.</w:t>
      </w:r>
    </w:p>
    <w:p>
      <w:pPr>
        <w:pStyle w:val="ListBullet"/>
        <w:spacing w:line="240" w:lineRule="auto"/>
        <w:ind w:left="720"/>
      </w:pPr>
      <w:r>
        <w:rPr>
          <w:lang w:val="en_US" w:bidi="en_US"/>
        </w:rPr>
      </w:r>
      <w:r>
        <w:rPr>
          <w:lang w:val="en_US" w:bidi="en_US"/>
        </w:rPr>
        <w:t xml:space="preserve">They must not become discouraged and quit </w:t>
      </w:r>
      <w:r>
        <w:rPr>
          <w:lang w:val="en_US" w:bidi="en_US"/>
        </w:rPr>
        <w:t>trusting/hoping that he will help them</w:t>
      </w:r>
      <w:r>
        <w:rPr>
          <w:lang w:val="en_US" w:bidi="en_US"/>
        </w:rPr>
        <w:t>.</w:t>
      </w:r>
    </w:p>
    <w:p>
      <w:pPr>
        <w:pStyle w:val="ListBullet"/>
        <w:spacing w:line="240" w:lineRule="auto"/>
        <w:ind w:left="720"/>
      </w:pPr>
      <w:r>
        <w:rPr>
          <w:lang w:val="en_US" w:bidi="en_US"/>
        </w:rPr>
      </w:r>
      <w:r>
        <w:rPr>
          <w:lang w:val="en_US" w:bidi="en_US"/>
        </w:rPr>
        <w:t xml:space="preserve">They should not get tired and stop </w:t>
      </w:r>
      <w:r>
        <w:rPr>
          <w:lang w:val="en_US" w:bidi="en_US"/>
        </w:rPr>
        <w:t>asking/begging</w:t>
      </w:r>
      <w:r>
        <w:rPr>
          <w:lang w:val="en_US" w:bidi="en_US"/>
        </w:rPr>
        <w:t xml:space="preserve"> </w:t>
      </w:r>
      <w:r>
        <w:rPr>
          <w:lang w:val="en_US" w:bidi="en_US"/>
        </w:rPr>
        <w:t>him</w:t>
      </w:r>
      <w:r>
        <w:rPr>
          <w:lang w:val="en_US" w:bidi="en_US"/>
        </w:rPr>
        <w:t>.</w:t>
      </w:r>
    </w:p>
    <w:p>
      <w:pPr>
        <w:pStyle w:val="Heading5"/>
      </w:pPr>
      <w:r>
        <w:rPr>
          <w:lang w:val="en_US" w:bidi="en_US"/>
        </w:rPr>
        <w:t>18:1b–c</w:t>
      </w:r>
    </w:p>
    <w:p>
      <w:pPr/>
      <w:r>
        <w:rPr>
          <w:lang w:val="en_US" w:bidi="en_US"/>
        </w:rPr>
      </w:r>
      <w:r>
        <w:rPr>
          <w:b/>
          <w:lang w:val="en_US" w:bidi="en_US"/>
        </w:rPr>
        <w:t>a parable about their need to:</w:t>
      </w:r>
      <w:r>
        <w:rPr>
          <w:lang w:val="en_US" w:bidi="en_US"/>
        </w:rPr>
        <w:t xml:space="preserve"> The Greek phrase that the BSB translates as </w:t>
      </w:r>
      <w:r>
        <w:rPr>
          <w:i/>
          <w:lang w:val="en_US" w:bidi="en_US"/>
        </w:rPr>
        <w:t>a parable about their need to</w:t>
      </w:r>
      <w:r>
        <w:rPr>
          <w:lang w:val="en_US" w:bidi="en_US"/>
        </w:rPr>
        <w:t xml:space="preserve"> is more literally “a parable that it is necessary to.” This phrase introduces the purpose and meaning of the parable. Other ways to introduce it are:</w:t>
      </w:r>
    </w:p>
    <w:p>
      <w:pPr/>
      <w:r>
        <w:rPr>
          <w:lang w:val="en_US" w:bidi="en_US"/>
        </w:rPr>
      </w:r>
      <w:r>
        <w:rPr>
          <w:lang w:val="en_US" w:bidi="en_US"/>
        </w:rPr>
        <w:t>a parable, teaching his disciples so that they would…</w:t>
      </w:r>
      <w:r>
        <w:rPr>
          <w:lang w:val="en_US" w:bidi="en_US"/>
        </w:rPr>
        <w:t>Uma Back Translation on TW.</w:t>
      </w:r>
    </w:p>
    <w:p>
      <w:pPr/>
      <w:r>
        <w:rPr>
          <w:lang w:val="en_US" w:bidi="en_US"/>
        </w:rPr>
      </w:r>
      <w:r>
        <w:rPr>
          <w:lang w:val="en_US" w:bidi="en_US"/>
        </w:rPr>
        <w:t>a story to tell them that it is necessary to…</w:t>
      </w:r>
    </w:p>
    <w:p>
      <w:pPr/>
      <w:r>
        <w:rPr>
          <w:lang w:val="en_US" w:bidi="en_US"/>
        </w:rPr>
      </w:r>
      <w:r>
        <w:rPr>
          <w:lang w:val="en_US" w:bidi="en_US"/>
        </w:rPr>
        <w:t>a story. Its meaning was that they must…</w:t>
      </w:r>
    </w:p>
    <w:p>
      <w:pPr/>
      <w:r>
        <w:rPr>
          <w:lang w:val="en_US" w:bidi="en_US"/>
        </w:rPr>
      </w:r>
      <w:r>
        <w:rPr>
          <w:lang w:val="en_US" w:bidi="en_US"/>
        </w:rPr>
        <w:t>used this story to teach his followers that they should… (NCV)</w:t>
      </w:r>
    </w:p>
    <w:p>
      <w:pPr/>
      <w:r>
        <w:rPr>
          <w:lang w:val="en_US" w:bidi="en_US"/>
        </w:rPr>
      </w:r>
      <w:r>
        <w:rPr>
          <w:b/>
          <w:lang w:val="en_US" w:bidi="en_US"/>
        </w:rPr>
        <w:t>parable:</w:t>
      </w:r>
      <w:r>
        <w:rPr>
          <w:lang w:val="en_US" w:bidi="en_US"/>
        </w:rPr>
        <w:t xml:space="preserve"> The Greek word that the BSB translates as </w:t>
      </w:r>
      <w:r>
        <w:rPr>
          <w:i/>
          <w:lang w:val="en_US" w:bidi="en_US"/>
        </w:rPr>
        <w:t>parable</w:t>
      </w:r>
      <w:r>
        <w:rPr>
          <w:lang w:val="en_US" w:bidi="en_US"/>
        </w:rPr>
        <w:t xml:space="preserve"> is literally “comparison.” A parable teaches a lesson or truth by showing how it is like something that people already know. Jesus used several types of parables including symbolic stories, metaphors, proverbs, illustrations, and wise sayings.</w:t>
      </w:r>
    </w:p>
    <w:p>
      <w:pPr/>
      <w:r>
        <w:rPr>
          <w:lang w:val="en_US" w:bidi="en_US"/>
        </w:rPr>
      </w:r>
      <w:r>
        <w:rPr>
          <w:lang w:val="en_US" w:bidi="en_US"/>
        </w:rPr>
        <w:t xml:space="preserve">Some ways to translate </w:t>
      </w:r>
      <w:r>
        <w:rPr>
          <w:i/>
          <w:lang w:val="en_US" w:bidi="en_US"/>
        </w:rPr>
        <w:t>parable</w:t>
      </w:r>
      <w:r>
        <w:rPr>
          <w:lang w:val="en_US" w:bidi="en_US"/>
        </w:rPr>
        <w:t xml:space="preserve"> are:</w:t>
      </w:r>
    </w:p>
    <w:p>
      <w:pPr>
        <w:pStyle w:val="ListBullet"/>
        <w:spacing w:line="240" w:lineRule="auto"/>
        <w:ind w:left="720"/>
      </w:pPr>
      <w:r>
        <w:rPr>
          <w:lang w:val="en_US" w:bidi="en_US"/>
        </w:rPr>
      </w:r>
      <w:r>
        <w:rPr>
          <w:lang w:val="en_US" w:bidi="en_US"/>
        </w:rPr>
        <w:t>Use a general term in your language that can be used to describe the different types of parables. Some English examples are:</w:t>
      </w:r>
      <w:r>
        <w:rPr>
          <w:lang w:val="en_US" w:bidi="en_US"/>
        </w:rPr>
        <w:t>illustration</w:t>
      </w:r>
      <w:r>
        <w:rPr>
          <w:lang w:val="en_US" w:bidi="en_US"/>
        </w:rPr>
        <w:t>metaphor</w:t>
      </w:r>
    </w:p>
    <w:p>
      <w:pPr>
        <w:pStyle w:val="ListBullet"/>
        <w:spacing w:line="240" w:lineRule="auto"/>
        <w:ind w:left="720"/>
      </w:pPr>
      <w:r>
        <w:rPr>
          <w:lang w:val="en_US" w:bidi="en_US"/>
        </w:rPr>
      </w:r>
      <w:r>
        <w:rPr>
          <w:lang w:val="en_US" w:bidi="en_US"/>
        </w:rPr>
        <w:t>Use a descriptive term. For example:</w:t>
      </w:r>
      <w:r>
        <w:rPr>
          <w:lang w:val="en_US" w:bidi="en_US"/>
        </w:rPr>
        <w:t>symbolic saying/word/story</w:t>
      </w:r>
      <w:r>
        <w:rPr>
          <w:lang w:val="en_US" w:bidi="en_US"/>
        </w:rPr>
        <w:t>comparison</w:t>
      </w:r>
    </w:p>
    <w:p>
      <w:pPr/>
      <w:r>
        <w:rPr>
          <w:lang w:val="en_US" w:bidi="en_US"/>
        </w:rPr>
      </w:r>
      <w:r>
        <w:rPr>
          <w:lang w:val="en_US" w:bidi="en_US"/>
        </w:rPr>
        <w:t>See also parable, Type 3, in the Glossary.</w:t>
      </w:r>
    </w:p>
    <w:p>
      <w:pPr/>
      <w:r>
        <w:rPr>
          <w:lang w:val="en_US" w:bidi="en_US"/>
        </w:rPr>
      </w:r>
      <w:r>
        <w:rPr>
          <w:b/>
          <w:lang w:val="en_US" w:bidi="en_US"/>
        </w:rPr>
        <w:t>to pray at all times and not lose heart:</w:t>
      </w:r>
      <w:r>
        <w:rPr>
          <w:lang w:val="en_US" w:bidi="en_US"/>
        </w:rPr>
        <w:t xml:space="preserve"> The clause </w:t>
      </w:r>
      <w:r>
        <w:rPr>
          <w:i/>
          <w:lang w:val="en_US" w:bidi="en_US"/>
        </w:rPr>
        <w:t>to pray at all times and not lose heart</w:t>
      </w:r>
      <w:r>
        <w:rPr>
          <w:lang w:val="en_US" w:bidi="en_US"/>
        </w:rPr>
        <w:t xml:space="preserve"> indicates that it is necessary for them to pray often. They must pray until they receive the help that they need from God. It implies that they should not become discouraged and then decide that they will not pray again about their need. Some ways to translate this clause are:</w:t>
      </w:r>
    </w:p>
    <w:p>
      <w:pPr/>
      <w:r>
        <w:rPr>
          <w:lang w:val="en_US" w:bidi="en_US"/>
        </w:rPr>
      </w:r>
      <w:r>
        <w:rPr>
          <w:lang w:val="en_US" w:bidi="en_US"/>
        </w:rPr>
        <w:t>it is necessary to pray persistently and not become discouraged</w:t>
      </w:r>
    </w:p>
    <w:p>
      <w:pPr/>
      <w:r>
        <w:rPr>
          <w:lang w:val="en_US" w:bidi="en_US"/>
        </w:rPr>
      </w:r>
      <w:r>
        <w:rPr>
          <w:lang w:val="en_US" w:bidi="en_US"/>
        </w:rPr>
        <w:t>they must continue to pray. They must not get tired and quit praying.</w:t>
      </w:r>
    </w:p>
    <w:p>
      <w:pPr/>
      <w:r>
        <w:rPr>
          <w:lang w:val="en_US" w:bidi="en_US"/>
        </w:rPr>
      </w:r>
      <w:r>
        <w:rPr>
          <w:lang w:val="en_US" w:bidi="en_US"/>
        </w:rPr>
        <w:t>they need to pray many times without despairing</w:t>
      </w:r>
    </w:p>
    <w:p>
      <w:pPr/>
      <w:r>
        <w:rPr>
          <w:lang w:val="en_US" w:bidi="en_US"/>
        </w:rPr>
      </w:r>
      <w:r>
        <w:rPr>
          <w:b/>
          <w:lang w:val="en_US" w:bidi="en_US"/>
        </w:rPr>
        <w:t>pray at all times:</w:t>
      </w:r>
      <w:r>
        <w:rPr>
          <w:lang w:val="en_US" w:bidi="en_US"/>
        </w:rPr>
        <w:t xml:space="preserve"> In this context the phrase </w:t>
      </w:r>
      <w:r>
        <w:rPr>
          <w:i/>
          <w:lang w:val="en_US" w:bidi="en_US"/>
        </w:rPr>
        <w:t>pray at all times</w:t>
      </w:r>
      <w:r>
        <w:rPr>
          <w:lang w:val="en_US" w:bidi="en_US"/>
        </w:rPr>
        <w:t xml:space="preserve"> indicates that Jesus’ disciples should pray often and persistently. It probably does not imply that they should literally be praying all the time. In the parable Jesus applied this instruction to making a specific request. They must persist in asking God to do what they need him to do. Some ways to translate this are:</w:t>
      </w:r>
    </w:p>
    <w:p>
      <w:pPr/>
      <w:r>
        <w:rPr>
          <w:lang w:val="en_US" w:bidi="en_US"/>
        </w:rPr>
      </w:r>
      <w:r>
        <w:rPr>
          <w:lang w:val="en_US" w:bidi="en_US"/>
        </w:rPr>
        <w:t>they should keep on praying (CEV)</w:t>
      </w:r>
    </w:p>
    <w:p>
      <w:pPr/>
      <w:r>
        <w:rPr>
          <w:lang w:val="en_US" w:bidi="en_US"/>
        </w:rPr>
      </w:r>
      <w:r>
        <w:rPr>
          <w:lang w:val="en_US" w:bidi="en_US"/>
        </w:rPr>
        <w:t>it is necessary to persist in praying</w:t>
      </w:r>
    </w:p>
    <w:p>
      <w:pPr/>
      <w:r>
        <w:rPr>
          <w:lang w:val="en_US" w:bidi="en_US"/>
        </w:rPr>
      </w:r>
      <w:r>
        <w:rPr>
          <w:b/>
          <w:lang w:val="en_US" w:bidi="en_US"/>
        </w:rPr>
        <w:t>pray:</w:t>
      </w:r>
      <w:r>
        <w:rPr>
          <w:lang w:val="en_US" w:bidi="en_US"/>
        </w:rPr>
        <w:t xml:space="preserve"> The Greek word that the BSB translates as </w:t>
      </w:r>
      <w:r>
        <w:rPr>
          <w:i/>
          <w:lang w:val="en_US" w:bidi="en_US"/>
        </w:rPr>
        <w:t>pray</w:t>
      </w:r>
      <w:r>
        <w:rPr>
          <w:lang w:val="en_US" w:bidi="en_US"/>
        </w:rPr>
        <w:t xml:space="preserve"> refers to speaking to God. It is a general word that includes different types of prayer, such as requests, thanks, and praise. If you need to use a more specific expression here, you should use one that refers to making requests.</w:t>
      </w:r>
    </w:p>
    <w:p>
      <w:pPr/>
      <w:r>
        <w:rPr>
          <w:lang w:val="en_US" w:bidi="en_US"/>
        </w:rPr>
      </w:r>
      <w:r>
        <w:rPr>
          <w:lang w:val="en_US" w:bidi="en_US"/>
        </w:rPr>
        <w:t>In some languages it may be necessary to indicate what is prayed for. If that is true in your language, you should use a general word that can apply to most requests. For example:</w:t>
      </w:r>
    </w:p>
    <w:p>
      <w:pPr/>
      <w:r>
        <w:rPr>
          <w:lang w:val="en_US" w:bidi="en_US"/>
        </w:rPr>
      </w:r>
      <w:r>
        <w:rPr>
          <w:lang w:val="en_US" w:bidi="en_US"/>
        </w:rPr>
        <w:t xml:space="preserve">ask/beg God </w:t>
      </w:r>
      <w:r>
        <w:rPr>
          <w:lang w:val="en_US" w:bidi="en_US"/>
        </w:rPr>
        <w:t>for help</w:t>
      </w:r>
    </w:p>
    <w:p>
      <w:pPr/>
      <w:r>
        <w:rPr>
          <w:lang w:val="en_US" w:bidi="en_US"/>
        </w:rPr>
      </w:r>
      <w:r>
        <w:rPr>
          <w:lang w:val="en_US" w:bidi="en_US"/>
        </w:rPr>
        <w:t>Avoid a term that may imply magical or meaningless words.</w:t>
      </w:r>
    </w:p>
    <w:p>
      <w:pPr/>
      <w:r>
        <w:rPr>
          <w:lang w:val="en_US" w:bidi="en_US"/>
        </w:rPr>
      </w:r>
      <w:r>
        <w:rPr>
          <w:b/>
          <w:lang w:val="en_US" w:bidi="en_US"/>
        </w:rPr>
        <w:t>not lose heart:</w:t>
      </w:r>
      <w:r>
        <w:rPr>
          <w:lang w:val="en_US" w:bidi="en_US"/>
        </w:rPr>
        <w:t xml:space="preserve"> The Greek phrase that the BSB translates as </w:t>
      </w:r>
      <w:r>
        <w:rPr>
          <w:i/>
          <w:lang w:val="en_US" w:bidi="en_US"/>
        </w:rPr>
        <w:t>not lose heart</w:t>
      </w:r>
      <w:r>
        <w:rPr>
          <w:lang w:val="en_US" w:bidi="en_US"/>
        </w:rPr>
        <w:t xml:space="preserve"> means “not become discouraged.”</w:t>
      </w:r>
      <w:r>
        <w:rPr>
          <w:lang w:val="en_US" w:bidi="en_US"/>
        </w:rPr>
        <w:t>In other contexts it is used in a more general way to mean “not act badly” (TDNT III, p. 486) or, as Green says, “to behave remissly.” He says, “‘Lose heart’ may be too passive a way to understand Jesus’ concern that his followers not begin to behave remissly….” (p. 638). This implies a neglect of prayer that comes out of discouragement, weariness, or wavering in their faith in God. Jesus warns against giving up their trust that God will grant their request.</w:t>
      </w:r>
      <w:r>
        <w:rPr>
          <w:lang w:val="en_US" w:bidi="en_US"/>
        </w:rPr>
        <w:t xml:space="preserve"> It implies here that they should not be discouraged when God does not quickly do what they ask him to do. They should not stop praying, and they should not stop believing that God will help them. Other ways to translate this are:</w:t>
      </w:r>
    </w:p>
    <w:p>
      <w:pPr/>
      <w:r>
        <w:rPr>
          <w:lang w:val="en_US" w:bidi="en_US"/>
        </w:rPr>
      </w:r>
      <w:r>
        <w:rPr>
          <w:lang w:val="en_US" w:bidi="en_US"/>
        </w:rPr>
        <w:t>never become discouraged (GNT)</w:t>
      </w:r>
    </w:p>
    <w:p>
      <w:pPr/>
      <w:r>
        <w:rPr>
          <w:lang w:val="en_US" w:bidi="en_US"/>
        </w:rPr>
      </w:r>
      <w:r>
        <w:rPr>
          <w:lang w:val="en_US" w:bidi="en_US"/>
        </w:rPr>
        <w:t>never lose hope (NCV)</w:t>
      </w:r>
    </w:p>
    <w:p>
      <w:pPr>
        <w:pStyle w:val="Heading6"/>
      </w:pPr>
      <w:r>
        <w:rPr>
          <w:b/>
          <w:lang w:val="en_US" w:bidi="en_US"/>
        </w:rPr>
        <w:t>General Comment on 18:1a–c</w:t>
      </w:r>
    </w:p>
    <w:p>
      <w:pPr/>
      <w:r>
        <w:rPr>
          <w:lang w:val="en_US" w:bidi="en_US"/>
        </w:rPr>
      </w:r>
      <w:r>
        <w:rPr>
          <w:lang w:val="en_US" w:bidi="en_US"/>
        </w:rPr>
        <w:t>In some languages it may be more natural to use direct speech to tell the purpose of the parable. For example:</w:t>
      </w:r>
    </w:p>
    <w:p>
      <w:pPr/>
      <w:r>
        <w:rPr>
          <w:lang w:val="en_US" w:bidi="en_US"/>
        </w:rPr>
      </w:r>
      <w:r>
        <w:rPr>
          <w:lang w:val="en_US" w:bidi="en_US"/>
        </w:rPr>
        <w:t>Then Jesus told them a story to teach them saying, “You must always continue to pray and not give up.”</w:t>
      </w:r>
    </w:p>
    <w:p>
      <w:pPr/>
      <w:r>
        <w:rPr>
          <w:lang w:val="en_US" w:bidi="en_US"/>
        </w:rPr>
      </w:r>
      <w:r>
        <w:rPr>
          <w:lang w:val="en_US" w:bidi="en_US"/>
        </w:rPr>
        <w:t>The words “not lose heart” may also be expressed as direct speech. For example:</w:t>
      </w:r>
    </w:p>
    <w:p>
      <w:pPr/>
      <w:r>
        <w:rPr>
          <w:lang w:val="en_US" w:bidi="en_US"/>
        </w:rPr>
      </w:r>
      <w:r>
        <w:rPr>
          <w:lang w:val="en_US" w:bidi="en_US"/>
        </w:rPr>
        <w:t>Then Jesus told them a parable. He said, “It is necessary to keep on praying. You should never say, ‘I am tired of praying. I will stop.’”</w:t>
      </w:r>
      <w:r>
        <w:rPr>
          <w:lang w:val="en_US" w:bidi="en_US"/>
        </w:rPr>
      </w:r>
      <w:r>
        <w:rPr>
          <w:lang w:val="en_US" w:bidi="en_US"/>
        </w:rPr>
      </w:r>
    </w:p>
    <w:p>
      <w:pPr/>
      <w:r>
        <w:rPr>
          <w:lang w:val="en_US" w:bidi="en_US"/>
        </w:rPr>
      </w:r>
    </w:p>
    <w:p>
      <w:pPr>
        <w:pStyle w:val="Heading2"/>
      </w:pPr>
      <w:r>
        <w:rPr>
          <w:lang w:val="en_US" w:bidi="en_US"/>
        </w:rPr>
        <w:t>Luke 18:2</w:t>
      </w:r>
      <w:r>
        <w:rPr>
          <w:lang w:val="en_US" w:bidi="en_US"/>
        </w:rPr>
      </w:r>
    </w:p>
    <w:p>
      <w:pPr>
        <w:pStyle w:val="Heading4"/>
      </w:pPr>
      <w:r>
        <w:rPr>
          <w:lang w:val="en_US" w:bidi="en_US"/>
        </w:rPr>
        <w:t>Section 18:1–8: Jesus told a story to teach his disciples to pray persistently</w:t>
      </w:r>
    </w:p>
    <w:p>
      <w:pPr/>
      <w:r>
        <w:rPr>
          <w:lang w:val="en_US" w:bidi="en_US"/>
        </w:rPr>
      </w:r>
      <w:r>
        <w:rPr>
          <w:lang w:val="en_US" w:bidi="en_US"/>
        </w:rPr>
        <w:t>At the end of chapter 17, Jesus told his disciples about the coming of the Son of Man. In this section, he concluded this teaching by telling them a parable about praying persistently.</w:t>
      </w:r>
      <w:r>
        <w:rPr>
          <w:lang w:val="en_US" w:bidi="en_US"/>
        </w:rPr>
        <w:t>Bock (p. 1444) says: “The parable of the nagging widow and the consenting judge is linked to the previous eschatological discourse by the reference in Luke 18:8 to the Son of Man’s return. Its plea that believers ask God for justice looks back to the vindication of the saints described in 17:22–37.”</w:t>
      </w:r>
      <w:r>
        <w:rPr>
          <w:lang w:val="en_US" w:bidi="en_US"/>
        </w:rPr>
        <w:t xml:space="preserve"> He used the parable to teach them that they should continue to trust God and pray to him. They should not become discouraged when they suffer unjustly, because Jesus will return, and God will give them justice.</w:t>
      </w:r>
    </w:p>
    <w:p>
      <w:pPr/>
      <w:r>
        <w:rPr>
          <w:lang w:val="en_US" w:bidi="en_US"/>
        </w:rPr>
      </w:r>
      <w:r>
        <w:rPr>
          <w:lang w:val="en_US" w:bidi="en_US"/>
        </w:rPr>
        <w:t>Justice is an important theme in this parable. Phrases about justice occur four times. Each phrase uses a form of the same Greek word, so you will probably want to translate the phrases in a similar way:</w:t>
      </w:r>
    </w:p>
    <w:p>
      <w:pPr/>
      <w:r>
        <w:rPr>
          <w:lang w:val="en_US" w:bidi="en_US"/>
        </w:rPr>
      </w:r>
      <w:r>
        <w:rPr>
          <w:lang w:val="en_US" w:bidi="en_US"/>
        </w:rPr>
        <w:t>Grant me justice (18:3)</w:t>
      </w:r>
    </w:p>
    <w:p>
      <w:pPr/>
      <w:r>
        <w:rPr>
          <w:lang w:val="en_US" w:bidi="en_US"/>
        </w:rPr>
      </w:r>
      <w:r>
        <w:rPr>
          <w:lang w:val="en_US" w:bidi="en_US"/>
        </w:rPr>
        <w:t>see that she gets justice (18:5)</w:t>
      </w:r>
    </w:p>
    <w:p>
      <w:pPr/>
      <w:r>
        <w:rPr>
          <w:lang w:val="en_US" w:bidi="en_US"/>
        </w:rPr>
      </w:r>
      <w:r>
        <w:rPr>
          <w:lang w:val="en_US" w:bidi="en_US"/>
        </w:rPr>
        <w:t>will not God bring about justice (18:7)</w:t>
      </w:r>
    </w:p>
    <w:p>
      <w:pPr/>
      <w:r>
        <w:rPr>
          <w:lang w:val="en_US" w:bidi="en_US"/>
        </w:rPr>
      </w:r>
      <w:r>
        <w:rPr>
          <w:lang w:val="en_US" w:bidi="en_US"/>
        </w:rPr>
        <w:t>he will see that they get justice (18:8)</w:t>
      </w:r>
    </w:p>
    <w:p>
      <w:pPr/>
      <w:r>
        <w:rPr>
          <w:lang w:val="en_US" w:bidi="en_US"/>
        </w:rPr>
      </w:r>
      <w:r>
        <w:rPr>
          <w:lang w:val="en_US" w:bidi="en_US"/>
        </w:rPr>
        <w:t>It is good to translate this section before you decide on a heading for it. Some examples of headings for this section are:</w:t>
      </w:r>
    </w:p>
    <w:p>
      <w:pPr/>
      <w:r>
        <w:rPr>
          <w:lang w:val="en_US" w:bidi="en_US"/>
        </w:rPr>
      </w:r>
      <w:r>
        <w:rPr>
          <w:lang w:val="en_US" w:bidi="en_US"/>
        </w:rPr>
        <w:t>The Parable of the Persistent Widow (NIV)</w:t>
      </w:r>
    </w:p>
    <w:p>
      <w:pPr/>
      <w:r>
        <w:rPr>
          <w:lang w:val="en_US" w:bidi="en_US"/>
        </w:rPr>
      </w:r>
      <w:r>
        <w:rPr>
          <w:lang w:val="en_US" w:bidi="en_US"/>
        </w:rPr>
        <w:t>Jesus told a parable about a widow coming repeatedly to an unjust judge</w:t>
      </w:r>
    </w:p>
    <w:p>
      <w:pPr/>
      <w:r>
        <w:rPr>
          <w:lang w:val="en_US" w:bidi="en_US"/>
        </w:rPr>
      </w:r>
      <w:r>
        <w:rPr>
          <w:lang w:val="en_US" w:bidi="en_US"/>
        </w:rPr>
        <w:t>The parable of the unjust judge</w:t>
      </w:r>
    </w:p>
    <w:p>
      <w:pPr/>
      <w:r>
        <w:rPr>
          <w:lang w:val="en_US" w:bidi="en_US"/>
        </w:rPr>
      </w:r>
      <w:r>
        <w:rPr>
          <w:lang w:val="en_US" w:bidi="en_US"/>
        </w:rPr>
        <w:t>God Will Answer His People (NCV)</w:t>
      </w:r>
    </w:p>
    <w:p>
      <w:pPr/>
      <w:r>
        <w:rPr>
          <w:lang w:val="en_US" w:bidi="en_US"/>
        </w:rPr>
      </w:r>
      <w:r>
        <w:rPr>
          <w:lang w:val="en_US" w:bidi="en_US"/>
        </w:rPr>
        <w:t>Luke is the only gospel that has this story. It is similar in some ways to the parable in 11:5–10.</w:t>
      </w:r>
    </w:p>
    <w:p>
      <w:pPr>
        <w:pStyle w:val="Heading5"/>
      </w:pPr>
      <w:r>
        <w:rPr>
          <w:lang w:val="en_US" w:bidi="en_US"/>
        </w:rPr>
        <w:t>18:2a</w:t>
      </w:r>
    </w:p>
    <w:p>
      <w:pPr/>
      <w:r>
        <w:rPr>
          <w:lang w:val="en_US" w:bidi="en_US"/>
        </w:rPr>
      </w:r>
      <w:r>
        <w:rPr>
          <w:b/>
          <w:lang w:val="en_US" w:bidi="en_US"/>
        </w:rPr>
        <w:t>“In a certain town there was a judge</w:t>
      </w:r>
    </w:p>
    <w:p>
      <w:pPr>
        <w:pStyle w:val="ListBullet"/>
        <w:spacing w:line="240" w:lineRule="auto"/>
        <w:ind w:left="720"/>
      </w:pPr>
      <w:r>
        <w:rPr>
          <w:lang w:val="en_US" w:bidi="en_US"/>
        </w:rPr>
      </w:r>
      <w:r>
        <w:rPr>
          <w:lang w:val="en_US" w:bidi="en_US"/>
        </w:rPr>
        <w:t xml:space="preserve">He said, “There was a judge </w:t>
      </w:r>
      <w:r>
        <w:rPr>
          <w:lang w:val="en_US" w:bidi="en_US"/>
        </w:rPr>
        <w:t>who lived</w:t>
      </w:r>
      <w:r>
        <w:rPr>
          <w:lang w:val="en_US" w:bidi="en_US"/>
        </w:rPr>
        <w:t xml:space="preserve"> in a certain town.</w:t>
      </w:r>
    </w:p>
    <w:p>
      <w:pPr>
        <w:pStyle w:val="ListBullet"/>
        <w:spacing w:line="240" w:lineRule="auto"/>
        <w:ind w:left="720"/>
      </w:pPr>
      <w:r>
        <w:rPr>
          <w:lang w:val="en_US" w:bidi="en_US"/>
        </w:rPr>
      </w:r>
      <w:r>
        <w:rPr>
          <w:lang w:val="en_US" w:bidi="en_US"/>
        </w:rPr>
        <w:t xml:space="preserve">He said, “In one town there </w:t>
      </w:r>
      <w:r>
        <w:rPr>
          <w:lang w:val="en_US" w:bidi="en_US"/>
        </w:rPr>
        <w:t>once</w:t>
      </w:r>
      <w:r>
        <w:rPr>
          <w:lang w:val="en_US" w:bidi="en_US"/>
        </w:rPr>
        <w:t xml:space="preserve"> lived a man/elder who settled disputes </w:t>
      </w:r>
      <w:r>
        <w:rPr>
          <w:lang w:val="en_US" w:bidi="en_US"/>
        </w:rPr>
        <w:t>for the people</w:t>
      </w:r>
      <w:r>
        <w:rPr>
          <w:lang w:val="en_US" w:bidi="en_US"/>
        </w:rPr>
        <w:t>.</w:t>
      </w:r>
    </w:p>
    <w:p>
      <w:pPr/>
      <w:r>
        <w:rPr>
          <w:lang w:val="en_US" w:bidi="en_US"/>
        </w:rPr>
      </w:r>
      <w:r>
        <w:rPr>
          <w:lang w:val="en_US" w:bidi="en_US"/>
        </w:rPr>
        <w:t>This verse begins with a Greek word that versions such as the NASB translate literally as “saying.” In this verse, Jesus began to tell the story that was introduced in 18:1. Introduce this in a natural way in your language. For example:</w:t>
      </w:r>
    </w:p>
    <w:p>
      <w:pPr/>
      <w:r>
        <w:rPr>
          <w:lang w:val="en_US" w:bidi="en_US"/>
        </w:rPr>
      </w:r>
      <w:r>
        <w:rPr>
          <w:lang w:val="en_US" w:bidi="en_US"/>
        </w:rPr>
        <w:t>He said: (NIV)</w:t>
      </w:r>
    </w:p>
    <w:p>
      <w:pPr/>
      <w:r>
        <w:rPr>
          <w:lang w:val="en_US" w:bidi="en_US"/>
        </w:rPr>
      </w:r>
      <w:r>
        <w:rPr>
          <w:b/>
          <w:lang w:val="en_US" w:bidi="en_US"/>
        </w:rPr>
        <w:t>In a certain town there was a judge:</w:t>
      </w:r>
      <w:r>
        <w:rPr>
          <w:lang w:val="en_US" w:bidi="en_US"/>
        </w:rPr>
        <w:t xml:space="preserve"> This clause introduces one of the two important people in the parable. Some other ways to introduce him are:</w:t>
      </w:r>
    </w:p>
    <w:p>
      <w:pPr/>
      <w:r>
        <w:rPr>
          <w:lang w:val="en_US" w:bidi="en_US"/>
        </w:rPr>
      </w:r>
      <w:r>
        <w:rPr>
          <w:lang w:val="en_US" w:bidi="en_US"/>
        </w:rPr>
        <w:t>There was a judge in a certain city (NLT)</w:t>
      </w:r>
    </w:p>
    <w:p>
      <w:pPr/>
      <w:r>
        <w:rPr>
          <w:lang w:val="en_US" w:bidi="en_US"/>
        </w:rPr>
      </w:r>
      <w:r>
        <w:rPr>
          <w:lang w:val="en_US" w:bidi="en_US"/>
        </w:rPr>
        <w:t>In a town there was once a judge (CEV)</w:t>
      </w:r>
    </w:p>
    <w:p>
      <w:pPr/>
      <w:r>
        <w:rPr>
          <w:lang w:val="en_US" w:bidi="en_US"/>
        </w:rPr>
      </w:r>
      <w:r>
        <w:rPr>
          <w:lang w:val="en_US" w:bidi="en_US"/>
        </w:rPr>
        <w:t>Introduce the judge in a way that is natural in your language for introducing an important person in a story.</w:t>
      </w:r>
    </w:p>
    <w:p>
      <w:pPr/>
      <w:r>
        <w:rPr>
          <w:lang w:val="en_US" w:bidi="en_US"/>
        </w:rPr>
      </w:r>
      <w:r>
        <w:rPr>
          <w:b/>
          <w:lang w:val="en_US" w:bidi="en_US"/>
        </w:rPr>
        <w:t>a certain town:</w:t>
      </w:r>
      <w:r>
        <w:rPr>
          <w:lang w:val="en_US" w:bidi="en_US"/>
        </w:rPr>
        <w:t xml:space="preserve"> The expression </w:t>
      </w:r>
      <w:r>
        <w:rPr>
          <w:i/>
          <w:lang w:val="en_US" w:bidi="en_US"/>
        </w:rPr>
        <w:t>a certain town</w:t>
      </w:r>
      <w:r>
        <w:rPr>
          <w:lang w:val="en_US" w:bidi="en_US"/>
        </w:rPr>
        <w:t xml:space="preserve"> is a general way to refer to a town without mentioning its name. In some languages it may be more natural not to mention the town until 18:3a. See the General Comment on 18:2a–3a at the end of 18:3a for an example.</w:t>
      </w:r>
    </w:p>
    <w:p>
      <w:pPr/>
      <w:r>
        <w:rPr>
          <w:lang w:val="en_US" w:bidi="en_US"/>
        </w:rPr>
      </w:r>
      <w:r>
        <w:rPr>
          <w:b/>
          <w:lang w:val="en_US" w:bidi="en_US"/>
        </w:rPr>
        <w:t>judge:</w:t>
      </w:r>
      <w:r>
        <w:rPr>
          <w:lang w:val="en_US" w:bidi="en_US"/>
        </w:rPr>
        <w:t xml:space="preserve"> The Greek word that the BSB translates as </w:t>
      </w:r>
      <w:r>
        <w:rPr>
          <w:i/>
          <w:lang w:val="en_US" w:bidi="en_US"/>
        </w:rPr>
        <w:t>judge</w:t>
      </w:r>
      <w:r>
        <w:rPr>
          <w:lang w:val="en_US" w:bidi="en_US"/>
        </w:rPr>
        <w:t xml:space="preserve"> also occurred in 12:14 and 12:58. See how you translated it there. A </w:t>
      </w:r>
      <w:r>
        <w:rPr>
          <w:i/>
          <w:lang w:val="en_US" w:bidi="en_US"/>
        </w:rPr>
        <w:t>judge</w:t>
      </w:r>
      <w:r>
        <w:rPr>
          <w:lang w:val="en_US" w:bidi="en_US"/>
        </w:rPr>
        <w:t xml:space="preserve"> is a person who listens to court cases and decides who is right and who is wrong. In this parable Jesus probably referred to a person who was appointed to settle disputes and other court cases for the people in his town.</w:t>
      </w:r>
    </w:p>
    <w:p>
      <w:pPr/>
      <w:r>
        <w:rPr>
          <w:lang w:val="en_US" w:bidi="en_US"/>
        </w:rPr>
      </w:r>
      <w:r>
        <w:rPr>
          <w:lang w:val="en_US" w:bidi="en_US"/>
        </w:rPr>
        <w:t xml:space="preserve">In some languages it is natural to translate </w:t>
      </w:r>
      <w:r>
        <w:rPr>
          <w:i/>
          <w:lang w:val="en_US" w:bidi="en_US"/>
        </w:rPr>
        <w:t>judge</w:t>
      </w:r>
      <w:r>
        <w:rPr>
          <w:lang w:val="en_US" w:bidi="en_US"/>
        </w:rPr>
        <w:t xml:space="preserve"> with a descriptive phrase. For example:</w:t>
      </w:r>
    </w:p>
    <w:p>
      <w:pPr/>
      <w:r>
        <w:rPr>
          <w:lang w:val="en_US" w:bidi="en_US"/>
        </w:rPr>
      </w:r>
      <w:r>
        <w:rPr>
          <w:lang w:val="en_US" w:bidi="en_US"/>
        </w:rPr>
        <w:t>man who settled disputes/cases</w:t>
      </w:r>
    </w:p>
    <w:p>
      <w:pPr/>
      <w:r>
        <w:rPr>
          <w:lang w:val="en_US" w:bidi="en_US"/>
        </w:rPr>
      </w:r>
      <w:r>
        <w:rPr>
          <w:lang w:val="en_US" w:bidi="en_US"/>
        </w:rPr>
        <w:t xml:space="preserve">elder who decided cases </w:t>
      </w:r>
      <w:r>
        <w:rPr>
          <w:lang w:val="en_US" w:bidi="en_US"/>
        </w:rPr>
        <w:t>for people</w:t>
      </w:r>
    </w:p>
    <w:p>
      <w:pPr>
        <w:pStyle w:val="Heading5"/>
      </w:pPr>
      <w:r>
        <w:rPr>
          <w:lang w:val="en_US" w:bidi="en_US"/>
        </w:rPr>
        <w:t>18:2b</w:t>
      </w:r>
    </w:p>
    <w:p>
      <w:pPr/>
      <w:r>
        <w:rPr>
          <w:lang w:val="en_US" w:bidi="en_US"/>
        </w:rPr>
      </w:r>
      <w:r>
        <w:rPr>
          <w:b/>
          <w:lang w:val="en_US" w:bidi="en_US"/>
        </w:rPr>
        <w:t>who neither feared God nor respected men.</w:t>
      </w:r>
    </w:p>
    <w:p>
      <w:pPr>
        <w:pStyle w:val="ListBullet"/>
        <w:spacing w:line="240" w:lineRule="auto"/>
        <w:ind w:left="720"/>
      </w:pPr>
      <w:r>
        <w:rPr>
          <w:lang w:val="en_US" w:bidi="en_US"/>
        </w:rPr>
      </w:r>
      <w:r>
        <w:rPr>
          <w:lang w:val="en_US" w:bidi="en_US"/>
        </w:rPr>
        <w:t>He did not respect/fear God, and he also did not respect people.</w:t>
      </w:r>
    </w:p>
    <w:p>
      <w:pPr>
        <w:pStyle w:val="ListBullet"/>
        <w:spacing w:line="240" w:lineRule="auto"/>
        <w:ind w:left="720"/>
      </w:pPr>
      <w:r>
        <w:rPr>
          <w:lang w:val="en_US" w:bidi="en_US"/>
        </w:rPr>
      </w:r>
      <w:r>
        <w:rPr>
          <w:lang w:val="en_US" w:bidi="en_US"/>
        </w:rPr>
        <w:t xml:space="preserve">This man/elder had no awe of God, and he did not honor/value </w:t>
      </w:r>
      <w:r>
        <w:rPr>
          <w:lang w:val="en_US" w:bidi="en_US"/>
        </w:rPr>
        <w:t>his fellow</w:t>
      </w:r>
      <w:r>
        <w:rPr>
          <w:lang w:val="en_US" w:bidi="en_US"/>
        </w:rPr>
        <w:t xml:space="preserve"> human beings.</w:t>
      </w:r>
    </w:p>
    <w:p>
      <w:pPr/>
      <w:r>
        <w:rPr>
          <w:lang w:val="en_US" w:bidi="en_US"/>
        </w:rPr>
      </w:r>
      <w:r>
        <w:rPr>
          <w:b/>
          <w:lang w:val="en_US" w:bidi="en_US"/>
        </w:rPr>
        <w:t>who neither feared God nor respected men:</w:t>
      </w:r>
      <w:r>
        <w:rPr>
          <w:lang w:val="en_US" w:bidi="en_US"/>
        </w:rPr>
        <w:t xml:space="preserve"> This negative statement describes two facts about the judge’s attitude: he did not fear God, and he did not care about people. Here is another way to translate this:</w:t>
      </w:r>
    </w:p>
    <w:p>
      <w:pPr/>
      <w:r>
        <w:rPr>
          <w:lang w:val="en_US" w:bidi="en_US"/>
        </w:rPr>
      </w:r>
      <w:r>
        <w:rPr>
          <w:lang w:val="en_US" w:bidi="en_US"/>
        </w:rPr>
        <w:t>who did not fear God and did not respect man (NASB)</w:t>
      </w:r>
    </w:p>
    <w:p>
      <w:pPr/>
      <w:r>
        <w:rPr>
          <w:lang w:val="en_US" w:bidi="en_US"/>
        </w:rPr>
      </w:r>
      <w:r>
        <w:rPr>
          <w:lang w:val="en_US" w:bidi="en_US"/>
        </w:rPr>
        <w:t>This statement does not imply that there were other judges there who did fear God. The story implies that this judge was the only judge in that town, since the widow came to him many times. Translate in a way that makes this clear in your language. Another way to translate it is:</w:t>
      </w:r>
    </w:p>
    <w:p>
      <w:pPr/>
      <w:r>
        <w:rPr>
          <w:lang w:val="en_US" w:bidi="en_US"/>
        </w:rPr>
      </w:r>
      <w:r>
        <w:rPr>
          <w:lang w:val="en_US" w:bidi="en_US"/>
        </w:rPr>
        <w:t>In one city there was a certain judge. He did not fear God or respect people.</w:t>
      </w:r>
    </w:p>
    <w:p>
      <w:pPr/>
      <w:r>
        <w:rPr>
          <w:lang w:val="en_US" w:bidi="en_US"/>
        </w:rPr>
      </w:r>
      <w:r>
        <w:rPr>
          <w:b/>
          <w:lang w:val="en_US" w:bidi="en_US"/>
        </w:rPr>
        <w:t>neither feared God:</w:t>
      </w:r>
      <w:r>
        <w:rPr>
          <w:lang w:val="en_US" w:bidi="en_US"/>
        </w:rPr>
        <w:t xml:space="preserve"> In this context the phrase </w:t>
      </w:r>
      <w:r>
        <w:rPr>
          <w:i/>
          <w:lang w:val="en_US" w:bidi="en_US"/>
        </w:rPr>
        <w:t>neither feared God</w:t>
      </w:r>
      <w:r>
        <w:rPr>
          <w:lang w:val="en_US" w:bidi="en_US"/>
        </w:rPr>
        <w:t xml:space="preserve"> indicates that the judge did not have reverence or respect for God. He did not fear that God would punish him for being unjust. When he decided what to do about the people’s court cases, he did not think about God. Other ways to translate this are:</w:t>
      </w:r>
    </w:p>
    <w:p>
      <w:pPr/>
      <w:r>
        <w:rPr>
          <w:lang w:val="en_US" w:bidi="en_US"/>
        </w:rPr>
      </w:r>
      <w:r>
        <w:rPr>
          <w:lang w:val="en_US" w:bidi="en_US"/>
        </w:rPr>
        <w:t>This judge did not respect God.</w:t>
      </w:r>
    </w:p>
    <w:p>
      <w:pPr/>
      <w:r>
        <w:rPr>
          <w:lang w:val="en_US" w:bidi="en_US"/>
        </w:rPr>
      </w:r>
      <w:r>
        <w:rPr>
          <w:lang w:val="en_US" w:bidi="en_US"/>
        </w:rPr>
        <w:t>did not submit to God</w:t>
      </w:r>
      <w:r>
        <w:rPr>
          <w:lang w:val="en_US" w:bidi="en_US"/>
        </w:rPr>
        <w:t>Uma Back Translation on TW.</w:t>
      </w:r>
    </w:p>
    <w:p>
      <w:pPr/>
      <w:r>
        <w:rPr>
          <w:lang w:val="en_US" w:bidi="en_US"/>
        </w:rPr>
      </w:r>
      <w:r>
        <w:rPr>
          <w:lang w:val="en_US" w:bidi="en_US"/>
        </w:rPr>
        <w:t>absolutely was not afraid of God</w:t>
      </w:r>
      <w:r>
        <w:rPr>
          <w:lang w:val="en_US" w:bidi="en_US"/>
        </w:rPr>
        <w:t>Kankanaey Back Translation on TW.</w:t>
      </w:r>
    </w:p>
    <w:p>
      <w:pPr/>
      <w:r>
        <w:rPr>
          <w:lang w:val="en_US" w:bidi="en_US"/>
        </w:rPr>
      </w:r>
      <w:r>
        <w:rPr>
          <w:lang w:val="en_US" w:bidi="en_US"/>
        </w:rPr>
        <w:t>was a godless man (NLT96)</w:t>
      </w:r>
    </w:p>
    <w:p>
      <w:pPr/>
      <w:r>
        <w:rPr>
          <w:lang w:val="en_US" w:bidi="en_US"/>
        </w:rPr>
      </w:r>
      <w:r>
        <w:rPr>
          <w:b/>
          <w:lang w:val="en_US" w:bidi="en_US"/>
        </w:rPr>
        <w:t>nor respected men:</w:t>
      </w:r>
      <w:r>
        <w:rPr>
          <w:lang w:val="en_US" w:bidi="en_US"/>
        </w:rPr>
        <w:t xml:space="preserve"> The Greek phrase that the BSB translates as </w:t>
      </w:r>
      <w:r>
        <w:rPr>
          <w:i/>
          <w:lang w:val="en_US" w:bidi="en_US"/>
        </w:rPr>
        <w:t>nor respected men</w:t>
      </w:r>
      <w:r>
        <w:rPr>
          <w:lang w:val="en_US" w:bidi="en_US"/>
        </w:rPr>
        <w:t xml:space="preserve"> means that the judge did not respect other people. He did not honor them, and he did not care about their opinions. In court, he did not care if people thought that he judged rightly or wrongly. The text implies that this lack of respect was evil. Other ways to translate it are:</w:t>
      </w:r>
    </w:p>
    <w:p>
      <w:pPr/>
      <w:r>
        <w:rPr>
          <w:lang w:val="en_US" w:bidi="en_US"/>
        </w:rPr>
      </w:r>
      <w:r>
        <w:rPr>
          <w:lang w:val="en_US" w:bidi="en_US"/>
        </w:rPr>
        <w:t>did not respect people</w:t>
      </w:r>
    </w:p>
    <w:p>
      <w:pPr/>
      <w:r>
        <w:rPr>
          <w:lang w:val="en_US" w:bidi="en_US"/>
        </w:rPr>
      </w:r>
      <w:r>
        <w:rPr>
          <w:lang w:val="en_US" w:bidi="en_US"/>
        </w:rPr>
        <w:t>did not treat his fellow men according to custom</w:t>
      </w:r>
      <w:r>
        <w:rPr>
          <w:lang w:val="en_US" w:bidi="en_US"/>
        </w:rPr>
        <w:t>Yakan Back Translation on TW.</w:t>
      </w:r>
    </w:p>
    <w:p>
      <w:pPr/>
      <w:r>
        <w:rPr>
          <w:lang w:val="en_US" w:bidi="en_US"/>
        </w:rPr>
      </w:r>
      <w:r>
        <w:rPr>
          <w:lang w:val="en_US" w:bidi="en_US"/>
        </w:rPr>
        <w:t>did not honor anyone</w:t>
      </w:r>
    </w:p>
    <w:p>
      <w:pPr/>
      <w:r>
        <w:rPr>
          <w:lang w:val="en_US" w:bidi="en_US"/>
        </w:rPr>
      </w:r>
      <w:r>
        <w:rPr>
          <w:lang w:val="en_US" w:bidi="en_US"/>
        </w:rPr>
        <w:t xml:space="preserve">The English phrase </w:t>
      </w:r>
      <w:r>
        <w:rPr>
          <w:i/>
          <w:lang w:val="en_US" w:bidi="en_US"/>
        </w:rPr>
        <w:t>nor respected men</w:t>
      </w:r>
      <w:r>
        <w:rPr>
          <w:lang w:val="en_US" w:bidi="en_US"/>
        </w:rPr>
        <w:t xml:space="preserve"> could mean that he was not concerned about their welfare. However, the focus of the Greek term is on lack of respect. It is parallel to the judge’s attitude toward God. He did not show respect to either God or people. Try to use a specific term in your language that will express this focus. In some languages there may be an idiom to express it. For example:</w:t>
      </w:r>
    </w:p>
    <w:p>
      <w:pPr/>
      <w:r>
        <w:rPr>
          <w:lang w:val="en_US" w:bidi="en_US"/>
        </w:rPr>
      </w:r>
      <w:r>
        <w:rPr>
          <w:lang w:val="en_US" w:bidi="en_US"/>
        </w:rPr>
        <w:t>looked-down-on his fellow humans</w:t>
      </w:r>
      <w:r>
        <w:rPr>
          <w:lang w:val="en_US" w:bidi="en_US"/>
        </w:rPr>
        <w:t>Kankanaey Back Translation on TW.</w:t>
      </w:r>
    </w:p>
    <w:p>
      <w:pPr/>
      <w:r>
        <w:rPr>
          <w:lang w:val="en_US" w:bidi="en_US"/>
        </w:rPr>
      </w:r>
      <w:r>
        <w:rPr>
          <w:b/>
          <w:lang w:val="en_US" w:bidi="en_US"/>
        </w:rPr>
        <w:t>men:</w:t>
      </w:r>
      <w:r>
        <w:rPr>
          <w:lang w:val="en_US" w:bidi="en_US"/>
        </w:rPr>
        <w:t xml:space="preserve"> The Greek word that the BSB translates as </w:t>
      </w:r>
      <w:r>
        <w:rPr>
          <w:i/>
          <w:lang w:val="en_US" w:bidi="en_US"/>
        </w:rPr>
        <w:t>men</w:t>
      </w:r>
      <w:r>
        <w:rPr>
          <w:lang w:val="en_US" w:bidi="en_US"/>
        </w:rPr>
        <w:t xml:space="preserve"> means “human being.” It refers to any person, not specifically to males. Other ways to translate it here are:</w:t>
      </w:r>
    </w:p>
    <w:p>
      <w:pPr/>
      <w:r>
        <w:rPr>
          <w:lang w:val="en_US" w:bidi="en_US"/>
        </w:rPr>
      </w:r>
      <w:r>
        <w:rPr>
          <w:lang w:val="en_US" w:bidi="en_US"/>
        </w:rPr>
        <w:t>anyone</w:t>
      </w:r>
    </w:p>
    <w:p>
      <w:pPr/>
      <w:r>
        <w:rPr>
          <w:lang w:val="en_US" w:bidi="en_US"/>
        </w:rPr>
      </w:r>
      <w:r>
        <w:rPr>
          <w:lang w:val="en_US" w:bidi="en_US"/>
        </w:rPr>
        <w:t>other people</w:t>
      </w:r>
      <w:r>
        <w:rPr>
          <w:lang w:val="en_US" w:bidi="en_US"/>
        </w:rPr>
      </w:r>
      <w:r>
        <w:rPr>
          <w:lang w:val="en_US" w:bidi="en_US"/>
        </w:rPr>
      </w:r>
    </w:p>
    <w:p>
      <w:pPr/>
      <w:r>
        <w:rPr>
          <w:lang w:val="en_US" w:bidi="en_US"/>
        </w:rPr>
      </w:r>
    </w:p>
    <w:p>
      <w:pPr>
        <w:pStyle w:val="Heading2"/>
      </w:pPr>
      <w:r>
        <w:rPr>
          <w:lang w:val="en_US" w:bidi="en_US"/>
        </w:rPr>
        <w:t>Luke 18:3</w:t>
      </w:r>
      <w:r>
        <w:rPr>
          <w:lang w:val="en_US" w:bidi="en_US"/>
        </w:rPr>
      </w:r>
    </w:p>
    <w:p>
      <w:pPr>
        <w:pStyle w:val="Heading4"/>
      </w:pPr>
      <w:r>
        <w:rPr>
          <w:lang w:val="en_US" w:bidi="en_US"/>
        </w:rPr>
        <w:t>Section 18:1–8: Jesus told a story to teach his disciples to pray persistently</w:t>
      </w:r>
    </w:p>
    <w:p>
      <w:pPr/>
      <w:r>
        <w:rPr>
          <w:lang w:val="en_US" w:bidi="en_US"/>
        </w:rPr>
      </w:r>
      <w:r>
        <w:rPr>
          <w:lang w:val="en_US" w:bidi="en_US"/>
        </w:rPr>
        <w:t>At the end of chapter 17, Jesus told his disciples about the coming of the Son of Man. In this section, he concluded this teaching by telling them a parable about praying persistently.</w:t>
      </w:r>
      <w:r>
        <w:rPr>
          <w:lang w:val="en_US" w:bidi="en_US"/>
        </w:rPr>
        <w:t>Bock (p. 1444) says: “The parable of the nagging widow and the consenting judge is linked to the previous eschatological discourse by the reference in Luke 18:8 to the Son of Man’s return. Its plea that believers ask God for justice looks back to the vindication of the saints described in 17:22–37.”</w:t>
      </w:r>
      <w:r>
        <w:rPr>
          <w:lang w:val="en_US" w:bidi="en_US"/>
        </w:rPr>
        <w:t xml:space="preserve"> He used the parable to teach them that they should continue to trust God and pray to him. They should not become discouraged when they suffer unjustly, because Jesus will return, and God will give them justice.</w:t>
      </w:r>
    </w:p>
    <w:p>
      <w:pPr/>
      <w:r>
        <w:rPr>
          <w:lang w:val="en_US" w:bidi="en_US"/>
        </w:rPr>
      </w:r>
      <w:r>
        <w:rPr>
          <w:lang w:val="en_US" w:bidi="en_US"/>
        </w:rPr>
        <w:t>Justice is an important theme in this parable. Phrases about justice occur four times. Each phrase uses a form of the same Greek word, so you will probably want to translate the phrases in a similar way:</w:t>
      </w:r>
    </w:p>
    <w:p>
      <w:pPr/>
      <w:r>
        <w:rPr>
          <w:lang w:val="en_US" w:bidi="en_US"/>
        </w:rPr>
      </w:r>
      <w:r>
        <w:rPr>
          <w:lang w:val="en_US" w:bidi="en_US"/>
        </w:rPr>
        <w:t>Grant me justice (18:3)</w:t>
      </w:r>
    </w:p>
    <w:p>
      <w:pPr/>
      <w:r>
        <w:rPr>
          <w:lang w:val="en_US" w:bidi="en_US"/>
        </w:rPr>
      </w:r>
      <w:r>
        <w:rPr>
          <w:lang w:val="en_US" w:bidi="en_US"/>
        </w:rPr>
        <w:t>see that she gets justice (18:5)</w:t>
      </w:r>
    </w:p>
    <w:p>
      <w:pPr/>
      <w:r>
        <w:rPr>
          <w:lang w:val="en_US" w:bidi="en_US"/>
        </w:rPr>
      </w:r>
      <w:r>
        <w:rPr>
          <w:lang w:val="en_US" w:bidi="en_US"/>
        </w:rPr>
        <w:t>will not God bring about justice (18:7)</w:t>
      </w:r>
    </w:p>
    <w:p>
      <w:pPr/>
      <w:r>
        <w:rPr>
          <w:lang w:val="en_US" w:bidi="en_US"/>
        </w:rPr>
      </w:r>
      <w:r>
        <w:rPr>
          <w:lang w:val="en_US" w:bidi="en_US"/>
        </w:rPr>
        <w:t>he will see that they get justice (18:8)</w:t>
      </w:r>
    </w:p>
    <w:p>
      <w:pPr/>
      <w:r>
        <w:rPr>
          <w:lang w:val="en_US" w:bidi="en_US"/>
        </w:rPr>
      </w:r>
      <w:r>
        <w:rPr>
          <w:lang w:val="en_US" w:bidi="en_US"/>
        </w:rPr>
        <w:t>It is good to translate this section before you decide on a heading for it. Some examples of headings for this section are:</w:t>
      </w:r>
    </w:p>
    <w:p>
      <w:pPr/>
      <w:r>
        <w:rPr>
          <w:lang w:val="en_US" w:bidi="en_US"/>
        </w:rPr>
      </w:r>
      <w:r>
        <w:rPr>
          <w:lang w:val="en_US" w:bidi="en_US"/>
        </w:rPr>
        <w:t>The Parable of the Persistent Widow (NIV)</w:t>
      </w:r>
    </w:p>
    <w:p>
      <w:pPr/>
      <w:r>
        <w:rPr>
          <w:lang w:val="en_US" w:bidi="en_US"/>
        </w:rPr>
      </w:r>
      <w:r>
        <w:rPr>
          <w:lang w:val="en_US" w:bidi="en_US"/>
        </w:rPr>
        <w:t>Jesus told a parable about a widow coming repeatedly to an unjust judge</w:t>
      </w:r>
    </w:p>
    <w:p>
      <w:pPr/>
      <w:r>
        <w:rPr>
          <w:lang w:val="en_US" w:bidi="en_US"/>
        </w:rPr>
      </w:r>
      <w:r>
        <w:rPr>
          <w:lang w:val="en_US" w:bidi="en_US"/>
        </w:rPr>
        <w:t>The parable of the unjust judge</w:t>
      </w:r>
    </w:p>
    <w:p>
      <w:pPr/>
      <w:r>
        <w:rPr>
          <w:lang w:val="en_US" w:bidi="en_US"/>
        </w:rPr>
      </w:r>
      <w:r>
        <w:rPr>
          <w:lang w:val="en_US" w:bidi="en_US"/>
        </w:rPr>
        <w:t>God Will Answer His People (NCV)</w:t>
      </w:r>
    </w:p>
    <w:p>
      <w:pPr/>
      <w:r>
        <w:rPr>
          <w:lang w:val="en_US" w:bidi="en_US"/>
        </w:rPr>
      </w:r>
      <w:r>
        <w:rPr>
          <w:lang w:val="en_US" w:bidi="en_US"/>
        </w:rPr>
        <w:t>Luke is the only gospel that has this story. It is similar in some ways to the parable in 11:5–10.</w:t>
      </w:r>
    </w:p>
    <w:p>
      <w:pPr>
        <w:pStyle w:val="Heading5"/>
      </w:pPr>
      <w:r>
        <w:rPr>
          <w:lang w:val="en_US" w:bidi="en_US"/>
        </w:rPr>
        <w:t>18:3a</w:t>
      </w:r>
    </w:p>
    <w:p>
      <w:pPr/>
      <w:r>
        <w:rPr>
          <w:lang w:val="en_US" w:bidi="en_US"/>
        </w:rPr>
      </w:r>
      <w:r>
        <w:rPr>
          <w:b/>
          <w:lang w:val="en_US" w:bidi="en_US"/>
        </w:rPr>
        <w:t>And there was a widow in that town</w:t>
      </w:r>
    </w:p>
    <w:p>
      <w:pPr>
        <w:pStyle w:val="ListBullet"/>
        <w:spacing w:line="240" w:lineRule="auto"/>
        <w:ind w:left="720"/>
      </w:pPr>
      <w:r>
        <w:rPr>
          <w:lang w:val="en_US" w:bidi="en_US"/>
        </w:rPr>
      </w:r>
      <w:r>
        <w:rPr>
          <w:lang w:val="en_US" w:bidi="en_US"/>
        </w:rPr>
        <w:t>A widow lived in the same town.</w:t>
      </w:r>
    </w:p>
    <w:p>
      <w:pPr>
        <w:pStyle w:val="ListBullet"/>
        <w:spacing w:line="240" w:lineRule="auto"/>
        <w:ind w:left="720"/>
      </w:pPr>
      <w:r>
        <w:rPr>
          <w:lang w:val="en_US" w:bidi="en_US"/>
        </w:rPr>
      </w:r>
      <w:r>
        <w:rPr>
          <w:lang w:val="en_US" w:bidi="en_US"/>
        </w:rPr>
        <w:t>A woman whose husband had died also lived in that town.</w:t>
      </w:r>
    </w:p>
    <w:p>
      <w:pPr/>
      <w:r>
        <w:rPr>
          <w:lang w:val="en_US" w:bidi="en_US"/>
        </w:rPr>
      </w:r>
      <w:r>
        <w:rPr>
          <w:b/>
          <w:lang w:val="en_US" w:bidi="en_US"/>
        </w:rPr>
        <w:t>And there was a widow in that town:</w:t>
      </w:r>
      <w:r>
        <w:rPr>
          <w:lang w:val="en_US" w:bidi="en_US"/>
        </w:rPr>
        <w:t xml:space="preserve"> The clause </w:t>
      </w:r>
      <w:r>
        <w:rPr>
          <w:i/>
          <w:lang w:val="en_US" w:bidi="en_US"/>
        </w:rPr>
        <w:t>And there was a widow in that town</w:t>
      </w:r>
      <w:r>
        <w:rPr>
          <w:lang w:val="en_US" w:bidi="en_US"/>
        </w:rPr>
        <w:t xml:space="preserve"> introduces the other main character in the story. Other ways to introduce her are:</w:t>
      </w:r>
    </w:p>
    <w:p>
      <w:pPr/>
      <w:r>
        <w:rPr>
          <w:lang w:val="en_US" w:bidi="en_US"/>
        </w:rPr>
      </w:r>
      <w:r>
        <w:rPr>
          <w:lang w:val="en_US" w:bidi="en_US"/>
        </w:rPr>
        <w:t>In that same town there was also a widow</w:t>
      </w:r>
    </w:p>
    <w:p>
      <w:pPr/>
      <w:r>
        <w:rPr>
          <w:lang w:val="en_US" w:bidi="en_US"/>
        </w:rPr>
      </w:r>
      <w:r>
        <w:rPr>
          <w:lang w:val="en_US" w:bidi="en_US"/>
        </w:rPr>
        <w:t>And a certain widow also lived in that town</w:t>
      </w:r>
    </w:p>
    <w:p>
      <w:pPr/>
      <w:r>
        <w:rPr>
          <w:lang w:val="en_US" w:bidi="en_US"/>
        </w:rPr>
      </w:r>
      <w:r>
        <w:rPr>
          <w:lang w:val="en_US" w:bidi="en_US"/>
        </w:rPr>
        <w:t>Introduce her in a natural way in your language.</w:t>
      </w:r>
    </w:p>
    <w:p>
      <w:pPr/>
      <w:r>
        <w:rPr>
          <w:lang w:val="en_US" w:bidi="en_US"/>
        </w:rPr>
      </w:r>
      <w:r>
        <w:rPr>
          <w:b/>
          <w:lang w:val="en_US" w:bidi="en_US"/>
        </w:rPr>
        <w:t>widow:</w:t>
      </w:r>
      <w:r>
        <w:rPr>
          <w:lang w:val="en_US" w:bidi="en_US"/>
        </w:rPr>
        <w:t xml:space="preserve"> A </w:t>
      </w:r>
      <w:r>
        <w:rPr>
          <w:i/>
          <w:lang w:val="en_US" w:bidi="en_US"/>
        </w:rPr>
        <w:t>widow</w:t>
      </w:r>
      <w:r>
        <w:rPr>
          <w:lang w:val="en_US" w:bidi="en_US"/>
        </w:rPr>
        <w:t xml:space="preserve"> is a woman whose husband has died. In that culture, when a woman’s husband died, she often had no one to provide for her financially. She also usually had no one to defend her or make sure that people treated her justly. Another way to translate </w:t>
      </w:r>
      <w:r>
        <w:rPr>
          <w:i/>
          <w:lang w:val="en_US" w:bidi="en_US"/>
        </w:rPr>
        <w:t>widow</w:t>
      </w:r>
      <w:r>
        <w:rPr>
          <w:lang w:val="en_US" w:bidi="en_US"/>
        </w:rPr>
        <w:t xml:space="preserve"> here is:</w:t>
      </w:r>
    </w:p>
    <w:p>
      <w:pPr/>
      <w:r>
        <w:rPr>
          <w:lang w:val="en_US" w:bidi="en_US"/>
        </w:rPr>
      </w:r>
      <w:r>
        <w:rPr>
          <w:lang w:val="en_US" w:bidi="en_US"/>
        </w:rPr>
        <w:t>a woman whose husband had died</w:t>
      </w:r>
    </w:p>
    <w:p>
      <w:pPr/>
      <w:r>
        <w:rPr>
          <w:lang w:val="en_US" w:bidi="en_US"/>
        </w:rPr>
      </w:r>
      <w:r>
        <w:rPr>
          <w:b/>
          <w:lang w:val="en_US" w:bidi="en_US"/>
        </w:rPr>
        <w:t>in that town:</w:t>
      </w:r>
      <w:r>
        <w:rPr>
          <w:lang w:val="en_US" w:bidi="en_US"/>
        </w:rPr>
        <w:t xml:space="preserve"> The phrase </w:t>
      </w:r>
      <w:r>
        <w:rPr>
          <w:i/>
          <w:lang w:val="en_US" w:bidi="en_US"/>
        </w:rPr>
        <w:t>in that town</w:t>
      </w:r>
      <w:r>
        <w:rPr>
          <w:lang w:val="en_US" w:bidi="en_US"/>
        </w:rPr>
        <w:t xml:space="preserve"> means “in the town where the judge lived.” In some languages it may be possible to translate this as:</w:t>
      </w:r>
    </w:p>
    <w:p>
      <w:pPr/>
      <w:r>
        <w:rPr>
          <w:lang w:val="en_US" w:bidi="en_US"/>
        </w:rPr>
      </w:r>
      <w:r>
        <w:rPr>
          <w:lang w:val="en_US" w:bidi="en_US"/>
        </w:rPr>
        <w:t xml:space="preserve">in the same town </w:t>
      </w:r>
      <w:r>
        <w:rPr>
          <w:lang w:val="en_US" w:bidi="en_US"/>
        </w:rPr>
        <w:t>as the judge</w:t>
      </w:r>
    </w:p>
    <w:p>
      <w:pPr>
        <w:pStyle w:val="Heading6"/>
      </w:pPr>
      <w:r>
        <w:rPr>
          <w:b/>
          <w:lang w:val="en_US" w:bidi="en_US"/>
        </w:rPr>
        <w:t>General Comment on 18:2a–3a</w:t>
      </w:r>
    </w:p>
    <w:p>
      <w:pPr/>
      <w:r>
        <w:rPr>
          <w:lang w:val="en_US" w:bidi="en_US"/>
        </w:rPr>
      </w:r>
      <w:r>
        <w:rPr>
          <w:lang w:val="en_US" w:bidi="en_US"/>
        </w:rPr>
        <w:t>In some languages it may be more natural to not mention the town where the judge lived until 18:3a. For example:</w:t>
      </w:r>
    </w:p>
    <w:p>
      <w:pPr/>
      <w:r>
        <w:rPr>
          <w:lang w:val="en_US" w:bidi="en_US"/>
        </w:rPr>
      </w:r>
      <w:r>
        <w:rPr>
          <w:vertAlign w:val="superscript"/>
          <w:lang w:val="en_US" w:bidi="en_US"/>
        </w:rPr>
        <w:t>2a</w:t>
      </w:r>
      <w:r>
        <w:rPr>
          <w:lang w:val="en_US" w:bidi="en_US"/>
        </w:rPr>
        <w:t xml:space="preserve">There once was a judge </w:t>
      </w:r>
      <w:r>
        <w:rPr>
          <w:vertAlign w:val="superscript"/>
          <w:lang w:val="en_US" w:bidi="en_US"/>
        </w:rPr>
        <w:t>2b</w:t>
      </w:r>
      <w:r>
        <w:rPr>
          <w:lang w:val="en_US" w:bidi="en_US"/>
        </w:rPr>
        <w:t xml:space="preserve">who neither feared God nor respected people. </w:t>
      </w:r>
      <w:r>
        <w:rPr>
          <w:vertAlign w:val="superscript"/>
          <w:lang w:val="en_US" w:bidi="en_US"/>
        </w:rPr>
        <w:t>3a</w:t>
      </w:r>
      <w:r>
        <w:rPr>
          <w:lang w:val="en_US" w:bidi="en_US"/>
        </w:rPr>
        <w:t>A widow lived in the same town as he did…</w:t>
      </w:r>
    </w:p>
    <w:p>
      <w:pPr>
        <w:pStyle w:val="Heading5"/>
      </w:pPr>
      <w:r>
        <w:rPr>
          <w:lang w:val="en_US" w:bidi="en_US"/>
        </w:rPr>
        <w:t>18:3b</w:t>
      </w:r>
    </w:p>
    <w:p>
      <w:pPr/>
      <w:r>
        <w:rPr>
          <w:lang w:val="en_US" w:bidi="en_US"/>
        </w:rPr>
      </w:r>
      <w:r>
        <w:rPr>
          <w:b/>
          <w:lang w:val="en_US" w:bidi="en_US"/>
        </w:rPr>
        <w:t>who kept appealing to him,</w:t>
      </w:r>
    </w:p>
    <w:p>
      <w:pPr>
        <w:pStyle w:val="ListBullet"/>
        <w:spacing w:line="240" w:lineRule="auto"/>
        <w:ind w:left="720"/>
      </w:pPr>
      <w:r>
        <w:rPr>
          <w:lang w:val="en_US" w:bidi="en_US"/>
        </w:rPr>
      </w:r>
      <w:r>
        <w:rPr>
          <w:lang w:val="en_US" w:bidi="en_US"/>
        </w:rPr>
        <w:t>She often went to the judge and said,</w:t>
      </w:r>
    </w:p>
    <w:p>
      <w:pPr>
        <w:pStyle w:val="ListBullet"/>
        <w:spacing w:line="240" w:lineRule="auto"/>
        <w:ind w:left="720"/>
      </w:pPr>
      <w:r>
        <w:rPr>
          <w:lang w:val="en_US" w:bidi="en_US"/>
        </w:rPr>
      </w:r>
      <w:r>
        <w:rPr>
          <w:lang w:val="en_US" w:bidi="en_US"/>
        </w:rPr>
        <w:t>She frequently came to the man/elder who settled disputes and begged him, saying,</w:t>
      </w:r>
    </w:p>
    <w:p>
      <w:pPr>
        <w:pStyle w:val="ListBullet"/>
        <w:spacing w:line="240" w:lineRule="auto"/>
        <w:ind w:left="720"/>
      </w:pPr>
      <w:r>
        <w:rPr>
          <w:lang w:val="en_US" w:bidi="en_US"/>
        </w:rPr>
      </w:r>
      <w:r>
        <w:rPr>
          <w:lang w:val="en_US" w:bidi="en_US"/>
        </w:rPr>
        <w:t>She had a legal problem/case with another person,</w:t>
      </w:r>
      <w:r>
        <w:rPr>
          <w:lang w:val="en_US" w:bidi="en_US"/>
        </w:rPr>
        <w:t xml:space="preserve"> and she came often to the judge to beg him</w:t>
      </w:r>
    </w:p>
    <w:p>
      <w:pPr>
        <w:pStyle w:val="Heading5"/>
      </w:pPr>
      <w:r>
        <w:rPr>
          <w:lang w:val="en_US" w:bidi="en_US"/>
        </w:rPr>
        <w:t>18:3c</w:t>
      </w:r>
    </w:p>
    <w:p>
      <w:pPr/>
      <w:r>
        <w:rPr>
          <w:lang w:val="en_US" w:bidi="en_US"/>
        </w:rPr>
      </w:r>
      <w:r>
        <w:rPr>
          <w:b/>
          <w:lang w:val="en_US" w:bidi="en_US"/>
        </w:rPr>
        <w:t>‘Give me justice against my adversary.’</w:t>
      </w:r>
    </w:p>
    <w:p>
      <w:pPr>
        <w:pStyle w:val="ListBullet"/>
        <w:spacing w:line="240" w:lineRule="auto"/>
        <w:ind w:left="720"/>
      </w:pPr>
      <w:r>
        <w:rPr>
          <w:lang w:val="en_US" w:bidi="en_US"/>
        </w:rPr>
      </w:r>
      <w:r>
        <w:rPr>
          <w:lang w:val="en_US" w:bidi="en_US"/>
        </w:rPr>
        <w:t>‘Make</w:t>
      </w:r>
      <w:r>
        <w:rPr>
          <w:vertAlign w:val="superscript"/>
          <w:lang w:val="en_US" w:bidi="en_US"/>
        </w:rPr>
        <w:t>(sing)</w:t>
      </w:r>
      <w:r>
        <w:rPr>
          <w:lang w:val="en_US" w:bidi="en_US"/>
        </w:rPr>
        <w:t xml:space="preserve"> a just </w:t>
      </w:r>
      <w:r>
        <w:rPr>
          <w:lang w:val="en_US" w:bidi="en_US"/>
        </w:rPr>
        <w:t>decision</w:t>
      </w:r>
      <w:r>
        <w:rPr>
          <w:lang w:val="en_US" w:bidi="en_US"/>
        </w:rPr>
        <w:t xml:space="preserve"> in the dispute between me and my opponent.’</w:t>
      </w:r>
    </w:p>
    <w:p>
      <w:pPr>
        <w:pStyle w:val="ListBullet"/>
        <w:spacing w:line="240" w:lineRule="auto"/>
        <w:ind w:left="720"/>
      </w:pPr>
      <w:r>
        <w:rPr>
          <w:lang w:val="en_US" w:bidi="en_US"/>
        </w:rPr>
      </w:r>
      <w:r>
        <w:rPr>
          <w:lang w:val="en_US" w:bidi="en_US"/>
        </w:rPr>
        <w:t>‘Please do</w:t>
      </w:r>
      <w:r>
        <w:rPr>
          <w:vertAlign w:val="superscript"/>
          <w:lang w:val="en_US" w:bidi="en_US"/>
        </w:rPr>
        <w:t>(sing)</w:t>
      </w:r>
      <w:r>
        <w:rPr>
          <w:lang w:val="en_US" w:bidi="en_US"/>
        </w:rPr>
        <w:t xml:space="preserve"> what is right for me, and make my enemy treat me fairly.’</w:t>
      </w:r>
    </w:p>
    <w:p>
      <w:pPr>
        <w:pStyle w:val="ListBullet"/>
        <w:spacing w:line="240" w:lineRule="auto"/>
        <w:ind w:left="720"/>
      </w:pPr>
      <w:r>
        <w:rPr>
          <w:lang w:val="en_US" w:bidi="en_US"/>
        </w:rPr>
      </w:r>
      <w:r>
        <w:rPr>
          <w:lang w:val="en_US" w:bidi="en_US"/>
        </w:rPr>
        <w:t>to help her get justice from the person who was trying to cheat/harm her.</w:t>
      </w:r>
    </w:p>
    <w:p>
      <w:pPr>
        <w:pStyle w:val="Heading5"/>
      </w:pPr>
      <w:r>
        <w:rPr>
          <w:lang w:val="en_US" w:bidi="en_US"/>
        </w:rPr>
        <w:t>18:3b–c</w:t>
      </w:r>
    </w:p>
    <w:p>
      <w:pPr/>
      <w:r>
        <w:rPr>
          <w:lang w:val="en_US" w:bidi="en_US"/>
        </w:rPr>
      </w:r>
      <w:r>
        <w:rPr>
          <w:b/>
          <w:lang w:val="en_US" w:bidi="en_US"/>
        </w:rPr>
        <w:t>who kept appealing to him:</w:t>
      </w:r>
      <w:r>
        <w:rPr>
          <w:lang w:val="en_US" w:bidi="en_US"/>
        </w:rPr>
        <w:t xml:space="preserve"> The phrase that the BSB translates as </w:t>
      </w:r>
      <w:r>
        <w:rPr>
          <w:i/>
          <w:lang w:val="en_US" w:bidi="en_US"/>
        </w:rPr>
        <w:t>who kept appealing to him</w:t>
      </w:r>
      <w:r>
        <w:rPr>
          <w:lang w:val="en_US" w:bidi="en_US"/>
        </w:rPr>
        <w:t xml:space="preserve"> is literally “and she was coming to him saying.” It implies that the widow came many times to present her request to the judge. There was probably a certain place where the judge heard such requests. In some languages there may be a special term to refer to bringing a formal request to a judge. Other ways to translate this are:</w:t>
      </w:r>
    </w:p>
    <w:p>
      <w:pPr/>
      <w:r>
        <w:rPr>
          <w:lang w:val="en_US" w:bidi="en_US"/>
        </w:rPr>
      </w:r>
      <w:r>
        <w:rPr>
          <w:lang w:val="en_US" w:bidi="en_US"/>
        </w:rPr>
        <w:t>She often came before him to present her request/petition</w:t>
      </w:r>
    </w:p>
    <w:p>
      <w:pPr/>
      <w:r>
        <w:rPr>
          <w:lang w:val="en_US" w:bidi="en_US"/>
        </w:rPr>
      </w:r>
      <w:r>
        <w:rPr>
          <w:lang w:val="en_US" w:bidi="en_US"/>
        </w:rPr>
        <w:t>She often came to him to plead with him</w:t>
      </w:r>
    </w:p>
    <w:p>
      <w:pPr/>
      <w:r>
        <w:rPr>
          <w:lang w:val="en_US" w:bidi="en_US"/>
        </w:rPr>
      </w:r>
      <w:r>
        <w:rPr>
          <w:lang w:val="en_US" w:bidi="en_US"/>
        </w:rPr>
        <w:t>A widow of that city came to him repeatedly, saying (NLT)</w:t>
      </w:r>
    </w:p>
    <w:p>
      <w:pPr/>
      <w:r>
        <w:rPr>
          <w:lang w:val="en_US" w:bidi="en_US"/>
        </w:rPr>
      </w:r>
      <w:r>
        <w:rPr>
          <w:b/>
          <w:lang w:val="en_US" w:bidi="en_US"/>
        </w:rPr>
        <w:t>appealing:</w:t>
      </w:r>
      <w:r>
        <w:rPr>
          <w:lang w:val="en_US" w:bidi="en_US"/>
        </w:rPr>
        <w:t xml:space="preserve"> The Greek uses the word “saying” to introduce what the widow said to the judge. Versions such as the GNT translates this word literally. Several versions join this word with the phrase “kept coming to him.” For example:</w:t>
      </w:r>
    </w:p>
    <w:p>
      <w:pPr/>
      <w:r>
        <w:rPr>
          <w:lang w:val="en_US" w:bidi="en_US"/>
        </w:rPr>
      </w:r>
      <w:r>
        <w:rPr>
          <w:lang w:val="en_US" w:bidi="en_US"/>
        </w:rPr>
        <w:t>a widow in that city who kept coming to him and saying (ESV)</w:t>
      </w:r>
    </w:p>
    <w:p>
      <w:pPr/>
      <w:r>
        <w:rPr>
          <w:lang w:val="en_US" w:bidi="en_US"/>
        </w:rPr>
      </w:r>
      <w:r>
        <w:rPr>
          <w:lang w:val="en_US" w:bidi="en_US"/>
        </w:rPr>
        <w:t>Here is another way to translate this:</w:t>
      </w:r>
    </w:p>
    <w:p>
      <w:pPr/>
      <w:r>
        <w:rPr>
          <w:lang w:val="en_US" w:bidi="en_US"/>
        </w:rPr>
      </w:r>
      <w:r>
        <w:rPr>
          <w:lang w:val="en_US" w:bidi="en_US"/>
        </w:rPr>
        <w:t>with the plea (NIV)</w:t>
      </w:r>
    </w:p>
    <w:p>
      <w:pPr/>
      <w:r>
        <w:rPr>
          <w:lang w:val="en_US" w:bidi="en_US"/>
        </w:rPr>
      </w:r>
      <w:r>
        <w:rPr>
          <w:lang w:val="en_US" w:bidi="en_US"/>
        </w:rPr>
        <w:t xml:space="preserve">The BSB combines the meaning of “coming” and “saying” into the term </w:t>
      </w:r>
      <w:r>
        <w:rPr>
          <w:i/>
          <w:lang w:val="en_US" w:bidi="en_US"/>
        </w:rPr>
        <w:t>appealing</w:t>
      </w:r>
      <w:r>
        <w:rPr>
          <w:lang w:val="en_US" w:bidi="en_US"/>
        </w:rPr>
        <w:t>.</w:t>
      </w:r>
    </w:p>
    <w:p>
      <w:pPr/>
      <w:r>
        <w:rPr>
          <w:lang w:val="en_US" w:bidi="en_US"/>
        </w:rPr>
      </w:r>
      <w:r>
        <w:rPr>
          <w:b/>
          <w:lang w:val="en_US" w:bidi="en_US"/>
        </w:rPr>
        <w:t>Give me justice against my adversary:</w:t>
      </w:r>
      <w:r>
        <w:rPr>
          <w:lang w:val="en_US" w:bidi="en_US"/>
        </w:rPr>
        <w:t xml:space="preserve"> This request indicates that the widow wanted the judge to make her enemy treat her fairly. It was common in that culture for people to cheat widows and take their money or property. Some other ways to translate the request are:</w:t>
      </w:r>
    </w:p>
    <w:p>
      <w:pPr/>
      <w:r>
        <w:rPr>
          <w:lang w:val="en_US" w:bidi="en_US"/>
        </w:rPr>
      </w:r>
      <w:r>
        <w:rPr>
          <w:lang w:val="en_US" w:bidi="en_US"/>
        </w:rPr>
        <w:t>Give me justice in this dispute with my enemy (NLT)</w:t>
      </w:r>
    </w:p>
    <w:p>
      <w:pPr/>
      <w:r>
        <w:rPr>
          <w:lang w:val="en_US" w:bidi="en_US"/>
        </w:rPr>
      </w:r>
      <w:r>
        <w:rPr>
          <w:lang w:val="en_US" w:bidi="en_US"/>
        </w:rPr>
        <w:t>Make my opponent do what is right toward me</w:t>
      </w:r>
    </w:p>
    <w:p>
      <w:pPr/>
      <w:r>
        <w:rPr>
          <w:lang w:val="en_US" w:bidi="en_US"/>
        </w:rPr>
      </w:r>
      <w:r>
        <w:rPr>
          <w:lang w:val="en_US" w:bidi="en_US"/>
        </w:rPr>
        <w:t>Please help me so that my enemy does not treat me unfairly/wrongly</w:t>
      </w:r>
    </w:p>
    <w:p>
      <w:pPr/>
      <w:r>
        <w:rPr>
          <w:lang w:val="en_US" w:bidi="en_US"/>
        </w:rPr>
      </w:r>
      <w:r>
        <w:rPr>
          <w:lang w:val="en_US" w:bidi="en_US"/>
        </w:rPr>
        <w:t>This widow probably spoke respectfully, in a way that was proper for a poor person to present a request to an important official. Introduce and translate her words in a way that is natural in your language for such a request. For example:</w:t>
      </w:r>
    </w:p>
    <w:p>
      <w:pPr/>
      <w:r>
        <w:rPr>
          <w:lang w:val="en_US" w:bidi="en_US"/>
        </w:rPr>
      </w:r>
      <w:r>
        <w:rPr>
          <w:lang w:val="en_US" w:bidi="en_US"/>
        </w:rPr>
        <w:t>begging him, “Please grant me justice…”</w:t>
      </w:r>
    </w:p>
    <w:p>
      <w:pPr/>
      <w:r>
        <w:rPr>
          <w:lang w:val="en_US" w:bidi="en_US"/>
        </w:rPr>
      </w:r>
      <w:r>
        <w:rPr>
          <w:lang w:val="en_US" w:bidi="en_US"/>
        </w:rPr>
        <w:t>saying, “</w:t>
      </w:r>
      <w:r>
        <w:rPr>
          <w:lang w:val="en_US" w:bidi="en_US"/>
        </w:rPr>
        <w:t>Honorable Judge,</w:t>
      </w:r>
      <w:r>
        <w:rPr>
          <w:lang w:val="en_US" w:bidi="en_US"/>
        </w:rPr>
        <w:t xml:space="preserve"> I beg you to grant me justice…”</w:t>
      </w:r>
    </w:p>
    <w:p>
      <w:pPr/>
      <w:r>
        <w:rPr>
          <w:lang w:val="en_US" w:bidi="en_US"/>
        </w:rPr>
      </w:r>
      <w:r>
        <w:rPr>
          <w:lang w:val="en_US" w:bidi="en_US"/>
        </w:rPr>
        <w:t>In some languages it may be necessary to introduce the adversary before presenting the request. For example:</w:t>
      </w:r>
    </w:p>
    <w:p>
      <w:pPr/>
      <w:r>
        <w:rPr>
          <w:lang w:val="en_US" w:bidi="en_US"/>
        </w:rPr>
      </w:r>
      <w:r>
        <w:rPr>
          <w:lang w:val="en_US" w:bidi="en_US"/>
        </w:rPr>
        <w:t>An enemy is treating me unfairly. Please help me.</w:t>
      </w:r>
    </w:p>
    <w:p>
      <w:pPr/>
      <w:r>
        <w:rPr>
          <w:lang w:val="en_US" w:bidi="en_US"/>
        </w:rPr>
      </w:r>
      <w:r>
        <w:rPr>
          <w:b/>
          <w:lang w:val="en_US" w:bidi="en_US"/>
        </w:rPr>
        <w:t>against my adversary:</w:t>
      </w:r>
      <w:r>
        <w:rPr>
          <w:lang w:val="en_US" w:bidi="en_US"/>
        </w:rPr>
        <w:t xml:space="preserve"> An </w:t>
      </w:r>
      <w:r>
        <w:rPr>
          <w:i/>
          <w:lang w:val="en_US" w:bidi="en_US"/>
        </w:rPr>
        <w:t>adversary</w:t>
      </w:r>
      <w:r>
        <w:rPr>
          <w:lang w:val="en_US" w:bidi="en_US"/>
        </w:rPr>
        <w:t xml:space="preserve"> is an enemy or opponent. In this context it refers to a specific enemy. That enemy was the person who was against her in the dispute that she wanted the judge to settle.</w:t>
      </w:r>
    </w:p>
    <w:p>
      <w:pPr>
        <w:pStyle w:val="Heading6"/>
      </w:pPr>
      <w:r>
        <w:rPr>
          <w:b/>
          <w:lang w:val="en_US" w:bidi="en_US"/>
        </w:rPr>
        <w:t>General Comment on 18:3a–c</w:t>
      </w:r>
    </w:p>
    <w:p>
      <w:pPr/>
      <w:r>
        <w:rPr>
          <w:lang w:val="en_US" w:bidi="en_US"/>
        </w:rPr>
      </w:r>
      <w:r>
        <w:rPr>
          <w:lang w:val="en_US" w:bidi="en_US"/>
        </w:rPr>
        <w:t>In this verse the widow’s request is a direct quote. In some languages it may be more natural to translate it as indirect speech:</w:t>
      </w:r>
    </w:p>
    <w:p>
      <w:pPr/>
      <w:r>
        <w:rPr>
          <w:lang w:val="en_US" w:bidi="en_US"/>
        </w:rPr>
      </w:r>
      <w:r>
        <w:rPr>
          <w:lang w:val="en_US" w:bidi="en_US"/>
        </w:rPr>
        <w:t>…and in the same city there was a widow who kept coming before him to demand justice against her opponent. (REB)</w:t>
      </w:r>
    </w:p>
    <w:p>
      <w:pPr/>
      <w:r>
        <w:rPr>
          <w:lang w:val="en_US" w:bidi="en_US"/>
        </w:rPr>
      </w:r>
      <w:r>
        <w:rPr>
          <w:lang w:val="en_US" w:bidi="en_US"/>
        </w:rPr>
        <w:t>A widow of that city came to him repeatedly, appealing for justice against someone who had harmed her. (NLT96)</w:t>
      </w:r>
      <w:r>
        <w:rPr>
          <w:lang w:val="en_US" w:bidi="en_US"/>
        </w:rPr>
      </w:r>
      <w:r>
        <w:rPr>
          <w:lang w:val="en_US" w:bidi="en_US"/>
        </w:rPr>
      </w:r>
    </w:p>
    <w:p>
      <w:pPr/>
      <w:r>
        <w:rPr>
          <w:lang w:val="en_US" w:bidi="en_US"/>
        </w:rPr>
      </w:r>
    </w:p>
    <w:p>
      <w:pPr>
        <w:pStyle w:val="Heading2"/>
      </w:pPr>
      <w:r>
        <w:rPr>
          <w:lang w:val="en_US" w:bidi="en_US"/>
        </w:rPr>
        <w:t>Luke 18:4</w:t>
      </w:r>
      <w:r>
        <w:rPr>
          <w:lang w:val="en_US" w:bidi="en_US"/>
        </w:rPr>
      </w:r>
    </w:p>
    <w:p>
      <w:pPr>
        <w:pStyle w:val="Heading4"/>
      </w:pPr>
      <w:r>
        <w:rPr>
          <w:lang w:val="en_US" w:bidi="en_US"/>
        </w:rPr>
        <w:t>Section 18:1–8: Jesus told a story to teach his disciples to pray persistently</w:t>
      </w:r>
    </w:p>
    <w:p>
      <w:pPr/>
      <w:r>
        <w:rPr>
          <w:lang w:val="en_US" w:bidi="en_US"/>
        </w:rPr>
      </w:r>
      <w:r>
        <w:rPr>
          <w:lang w:val="en_US" w:bidi="en_US"/>
        </w:rPr>
        <w:t>At the end of chapter 17, Jesus told his disciples about the coming of the Son of Man. In this section, he concluded this teaching by telling them a parable about praying persistently.</w:t>
      </w:r>
      <w:r>
        <w:rPr>
          <w:lang w:val="en_US" w:bidi="en_US"/>
        </w:rPr>
        <w:t>Bock (p. 1444) says: “The parable of the nagging widow and the consenting judge is linked to the previous eschatological discourse by the reference in Luke 18:8 to the Son of Man’s return. Its plea that believers ask God for justice looks back to the vindication of the saints described in 17:22–37.”</w:t>
      </w:r>
      <w:r>
        <w:rPr>
          <w:lang w:val="en_US" w:bidi="en_US"/>
        </w:rPr>
        <w:t xml:space="preserve"> He used the parable to teach them that they should continue to trust God and pray to him. They should not become discouraged when they suffer unjustly, because Jesus will return, and God will give them justice.</w:t>
      </w:r>
    </w:p>
    <w:p>
      <w:pPr/>
      <w:r>
        <w:rPr>
          <w:lang w:val="en_US" w:bidi="en_US"/>
        </w:rPr>
      </w:r>
      <w:r>
        <w:rPr>
          <w:lang w:val="en_US" w:bidi="en_US"/>
        </w:rPr>
        <w:t>Justice is an important theme in this parable. Phrases about justice occur four times. Each phrase uses a form of the same Greek word, so you will probably want to translate the phrases in a similar way:</w:t>
      </w:r>
    </w:p>
    <w:p>
      <w:pPr/>
      <w:r>
        <w:rPr>
          <w:lang w:val="en_US" w:bidi="en_US"/>
        </w:rPr>
      </w:r>
      <w:r>
        <w:rPr>
          <w:lang w:val="en_US" w:bidi="en_US"/>
        </w:rPr>
        <w:t>Grant me justice (18:3)</w:t>
      </w:r>
    </w:p>
    <w:p>
      <w:pPr/>
      <w:r>
        <w:rPr>
          <w:lang w:val="en_US" w:bidi="en_US"/>
        </w:rPr>
      </w:r>
      <w:r>
        <w:rPr>
          <w:lang w:val="en_US" w:bidi="en_US"/>
        </w:rPr>
        <w:t>see that she gets justice (18:5)</w:t>
      </w:r>
    </w:p>
    <w:p>
      <w:pPr/>
      <w:r>
        <w:rPr>
          <w:lang w:val="en_US" w:bidi="en_US"/>
        </w:rPr>
      </w:r>
      <w:r>
        <w:rPr>
          <w:lang w:val="en_US" w:bidi="en_US"/>
        </w:rPr>
        <w:t>will not God bring about justice (18:7)</w:t>
      </w:r>
    </w:p>
    <w:p>
      <w:pPr/>
      <w:r>
        <w:rPr>
          <w:lang w:val="en_US" w:bidi="en_US"/>
        </w:rPr>
      </w:r>
      <w:r>
        <w:rPr>
          <w:lang w:val="en_US" w:bidi="en_US"/>
        </w:rPr>
        <w:t>he will see that they get justice (18:8)</w:t>
      </w:r>
    </w:p>
    <w:p>
      <w:pPr/>
      <w:r>
        <w:rPr>
          <w:lang w:val="en_US" w:bidi="en_US"/>
        </w:rPr>
      </w:r>
      <w:r>
        <w:rPr>
          <w:lang w:val="en_US" w:bidi="en_US"/>
        </w:rPr>
        <w:t>It is good to translate this section before you decide on a heading for it. Some examples of headings for this section are:</w:t>
      </w:r>
    </w:p>
    <w:p>
      <w:pPr/>
      <w:r>
        <w:rPr>
          <w:lang w:val="en_US" w:bidi="en_US"/>
        </w:rPr>
      </w:r>
      <w:r>
        <w:rPr>
          <w:lang w:val="en_US" w:bidi="en_US"/>
        </w:rPr>
        <w:t>The Parable of the Persistent Widow (NIV)</w:t>
      </w:r>
    </w:p>
    <w:p>
      <w:pPr/>
      <w:r>
        <w:rPr>
          <w:lang w:val="en_US" w:bidi="en_US"/>
        </w:rPr>
      </w:r>
      <w:r>
        <w:rPr>
          <w:lang w:val="en_US" w:bidi="en_US"/>
        </w:rPr>
        <w:t>Jesus told a parable about a widow coming repeatedly to an unjust judge</w:t>
      </w:r>
    </w:p>
    <w:p>
      <w:pPr/>
      <w:r>
        <w:rPr>
          <w:lang w:val="en_US" w:bidi="en_US"/>
        </w:rPr>
      </w:r>
      <w:r>
        <w:rPr>
          <w:lang w:val="en_US" w:bidi="en_US"/>
        </w:rPr>
        <w:t>The parable of the unjust judge</w:t>
      </w:r>
    </w:p>
    <w:p>
      <w:pPr/>
      <w:r>
        <w:rPr>
          <w:lang w:val="en_US" w:bidi="en_US"/>
        </w:rPr>
      </w:r>
      <w:r>
        <w:rPr>
          <w:lang w:val="en_US" w:bidi="en_US"/>
        </w:rPr>
        <w:t>God Will Answer His People (NCV)</w:t>
      </w:r>
    </w:p>
    <w:p>
      <w:pPr/>
      <w:r>
        <w:rPr>
          <w:lang w:val="en_US" w:bidi="en_US"/>
        </w:rPr>
      </w:r>
      <w:r>
        <w:rPr>
          <w:lang w:val="en_US" w:bidi="en_US"/>
        </w:rPr>
        <w:t>Luke is the only gospel that has this story. It is similar in some ways to the parable in 11:5–10.</w:t>
      </w:r>
    </w:p>
    <w:p>
      <w:pPr>
        <w:pStyle w:val="Heading4"/>
      </w:pPr>
      <w:r>
        <w:rPr>
          <w:lang w:val="en_US" w:bidi="en_US"/>
        </w:rPr>
        <w:t>Paragraph 18:4–5</w:t>
      </w:r>
    </w:p>
    <w:p>
      <w:pPr/>
      <w:r>
        <w:rPr>
          <w:lang w:val="en_US" w:bidi="en_US"/>
        </w:rPr>
      </w:r>
      <w:r>
        <w:rPr>
          <w:lang w:val="en_US" w:bidi="en_US"/>
        </w:rPr>
        <w:t>This paragraph tells how the judge responded to the widow. Here is the order of events:</w:t>
      </w:r>
    </w:p>
    <w:p>
      <w:pPr/>
      <w:r>
        <w:rPr>
          <w:lang w:val="en_US" w:bidi="en_US"/>
        </w:rPr>
      </w:r>
      <w:r>
        <w:rPr>
          <w:vertAlign w:val="superscript"/>
          <w:lang w:val="en_US" w:bidi="en_US"/>
        </w:rPr>
        <w:t>4a</w:t>
      </w:r>
      <w:r>
        <w:rPr>
          <w:lang w:val="en_US" w:bidi="en_US"/>
        </w:rPr>
        <w:t>As the widow kept coming to the judge, the judge kept refusing to help her.</w:t>
      </w:r>
    </w:p>
    <w:p>
      <w:pPr/>
      <w:r>
        <w:rPr>
          <w:lang w:val="en_US" w:bidi="en_US"/>
        </w:rPr>
      </w:r>
      <w:r>
        <w:rPr>
          <w:vertAlign w:val="superscript"/>
          <w:lang w:val="en_US" w:bidi="en_US"/>
        </w:rPr>
        <w:t>4b</w:t>
      </w:r>
      <w:r>
        <w:rPr>
          <w:lang w:val="en_US" w:bidi="en_US"/>
        </w:rPr>
        <w:t>The judge thought,</w:t>
      </w:r>
    </w:p>
    <w:p>
      <w:pPr/>
      <w:r>
        <w:rPr>
          <w:lang w:val="en_US" w:bidi="en_US"/>
        </w:rPr>
      </w:r>
      <w:r>
        <w:rPr>
          <w:vertAlign w:val="superscript"/>
          <w:lang w:val="en_US" w:bidi="en_US"/>
        </w:rPr>
        <w:t>4c</w:t>
      </w:r>
      <w:r>
        <w:rPr>
          <w:lang w:val="en_US" w:bidi="en_US"/>
        </w:rPr>
        <w:t>“I do not fear God or respect other people,</w:t>
      </w:r>
    </w:p>
    <w:p>
      <w:pPr/>
      <w:r>
        <w:rPr>
          <w:lang w:val="en_US" w:bidi="en_US"/>
        </w:rPr>
      </w:r>
      <w:r>
        <w:rPr>
          <w:vertAlign w:val="superscript"/>
          <w:lang w:val="en_US" w:bidi="en_US"/>
        </w:rPr>
        <w:t>5a</w:t>
      </w:r>
      <w:r>
        <w:rPr>
          <w:lang w:val="en_US" w:bidi="en_US"/>
        </w:rPr>
        <w:t>but this widow is bothering me.</w:t>
      </w:r>
    </w:p>
    <w:p>
      <w:pPr/>
      <w:r>
        <w:rPr>
          <w:lang w:val="en_US" w:bidi="en_US"/>
        </w:rPr>
      </w:r>
      <w:r>
        <w:rPr>
          <w:vertAlign w:val="superscript"/>
          <w:lang w:val="en_US" w:bidi="en_US"/>
        </w:rPr>
        <w:t>5c</w:t>
      </w:r>
      <w:r>
        <w:rPr>
          <w:lang w:val="en_US" w:bidi="en_US"/>
        </w:rPr>
        <w:t>If I do not help her, she will continue to come with her requests until she wears me out.”</w:t>
      </w:r>
    </w:p>
    <w:p>
      <w:pPr/>
      <w:r>
        <w:rPr>
          <w:lang w:val="en_US" w:bidi="en_US"/>
        </w:rPr>
      </w:r>
      <w:r>
        <w:rPr>
          <w:vertAlign w:val="superscript"/>
          <w:lang w:val="en_US" w:bidi="en_US"/>
        </w:rPr>
        <w:t>5b</w:t>
      </w:r>
      <w:r>
        <w:rPr>
          <w:lang w:val="en_US" w:bidi="en_US"/>
        </w:rPr>
        <w:t>So the judge decided, “I will help her get justice.”</w:t>
      </w:r>
    </w:p>
    <w:p>
      <w:pPr/>
      <w:r>
        <w:rPr>
          <w:lang w:val="en_US" w:bidi="en_US"/>
        </w:rPr>
      </w:r>
      <w:r>
        <w:rPr>
          <w:lang w:val="en_US" w:bidi="en_US"/>
        </w:rPr>
        <w:t>Decide how to express the connections between these events in a clear and natural way in your language.</w:t>
      </w:r>
    </w:p>
    <w:p>
      <w:pPr>
        <w:pStyle w:val="Heading5"/>
      </w:pPr>
      <w:r>
        <w:rPr>
          <w:lang w:val="en_US" w:bidi="en_US"/>
        </w:rPr>
        <w:t>18:4a</w:t>
      </w:r>
    </w:p>
    <w:p>
      <w:pPr/>
      <w:r>
        <w:rPr>
          <w:lang w:val="en_US" w:bidi="en_US"/>
        </w:rPr>
      </w:r>
      <w:r>
        <w:rPr>
          <w:b/>
          <w:lang w:val="en_US" w:bidi="en_US"/>
        </w:rPr>
        <w:t>For a while he refused,</w:t>
      </w:r>
    </w:p>
    <w:p>
      <w:pPr>
        <w:pStyle w:val="ListBullet"/>
        <w:spacing w:line="240" w:lineRule="auto"/>
        <w:ind w:left="720"/>
      </w:pPr>
      <w:r>
        <w:rPr>
          <w:lang w:val="en_US" w:bidi="en_US"/>
        </w:rPr>
      </w:r>
      <w:r>
        <w:rPr>
          <w:lang w:val="en_US" w:bidi="en_US"/>
        </w:rPr>
        <w:t xml:space="preserve">¶ “For a long time </w:t>
      </w:r>
      <w:r>
        <w:rPr>
          <w:lang w:val="en_US" w:bidi="en_US"/>
        </w:rPr>
        <w:t>the judge</w:t>
      </w:r>
      <w:r>
        <w:rPr>
          <w:lang w:val="en_US" w:bidi="en_US"/>
        </w:rPr>
        <w:t xml:space="preserve"> was not willing to </w:t>
      </w:r>
      <w:r>
        <w:rPr>
          <w:lang w:val="en_US" w:bidi="en_US"/>
        </w:rPr>
        <w:t>help her</w:t>
      </w:r>
      <w:r>
        <w:rPr>
          <w:lang w:val="en_US" w:bidi="en_US"/>
        </w:rPr>
        <w:t>.</w:t>
      </w:r>
    </w:p>
    <w:p>
      <w:pPr>
        <w:pStyle w:val="ListBullet"/>
        <w:spacing w:line="240" w:lineRule="auto"/>
        <w:ind w:left="720"/>
      </w:pPr>
      <w:r>
        <w:rPr>
          <w:lang w:val="en_US" w:bidi="en_US"/>
        </w:rPr>
      </w:r>
      <w:r>
        <w:rPr>
          <w:lang w:val="en_US" w:bidi="en_US"/>
        </w:rPr>
        <w:t xml:space="preserve">¶ “Many times </w:t>
      </w:r>
      <w:r>
        <w:rPr>
          <w:lang w:val="en_US" w:bidi="en_US"/>
        </w:rPr>
        <w:t>the man/elder</w:t>
      </w:r>
      <w:r>
        <w:rPr>
          <w:lang w:val="en_US" w:bidi="en_US"/>
        </w:rPr>
        <w:t xml:space="preserve"> told her, ‘No, </w:t>
      </w:r>
      <w:r>
        <w:rPr>
          <w:lang w:val="en_US" w:bidi="en_US"/>
        </w:rPr>
        <w:t>I will not help you</w:t>
      </w:r>
      <w:r>
        <w:rPr>
          <w:vertAlign w:val="superscript"/>
          <w:lang w:val="en_US" w:bidi="en_US"/>
        </w:rPr>
        <w:t>(sing)</w:t>
      </w:r>
      <w:r>
        <w:rPr>
          <w:lang w:val="en_US" w:bidi="en_US"/>
        </w:rPr>
        <w:t xml:space="preserve">,’ </w:t>
      </w:r>
      <w:r>
        <w:rPr>
          <w:lang w:val="en_US" w:bidi="en_US"/>
        </w:rPr>
        <w:t>but she continued to come to him</w:t>
      </w:r>
      <w:r>
        <w:rPr>
          <w:lang w:val="en_US" w:bidi="en_US"/>
        </w:rPr>
        <w:t>.</w:t>
      </w:r>
    </w:p>
    <w:p>
      <w:pPr>
        <w:pStyle w:val="ListBullet"/>
        <w:spacing w:line="240" w:lineRule="auto"/>
        <w:ind w:left="720"/>
      </w:pPr>
      <w:r>
        <w:rPr>
          <w:lang w:val="en_US" w:bidi="en_US"/>
        </w:rPr>
      </w:r>
      <w:r>
        <w:rPr>
          <w:lang w:val="en_US" w:bidi="en_US"/>
        </w:rPr>
        <w:t xml:space="preserve">¶ “At first, the judge would not </w:t>
      </w:r>
      <w:r>
        <w:rPr>
          <w:lang w:val="en_US" w:bidi="en_US"/>
        </w:rPr>
        <w:t>do anything</w:t>
      </w:r>
      <w:r>
        <w:rPr>
          <w:lang w:val="en_US" w:bidi="en_US"/>
        </w:rPr>
        <w:t xml:space="preserve"> </w:t>
      </w:r>
      <w:r>
        <w:rPr>
          <w:lang w:val="en_US" w:bidi="en_US"/>
        </w:rPr>
        <w:t>for her</w:t>
      </w:r>
      <w:r>
        <w:rPr>
          <w:lang w:val="en_US" w:bidi="en_US"/>
        </w:rPr>
        <w:t>,</w:t>
      </w:r>
    </w:p>
    <w:p>
      <w:pPr/>
      <w:r>
        <w:rPr>
          <w:lang w:val="en_US" w:bidi="en_US"/>
        </w:rPr>
      </w:r>
      <w:r>
        <w:rPr>
          <w:b/>
          <w:lang w:val="en_US" w:bidi="en_US"/>
        </w:rPr>
        <w:t>For a while:</w:t>
      </w:r>
      <w:r>
        <w:rPr>
          <w:lang w:val="en_US" w:bidi="en_US"/>
        </w:rPr>
        <w:t xml:space="preserve"> The Greek phrase that the BSB translates as </w:t>
      </w:r>
      <w:r>
        <w:rPr>
          <w:i/>
          <w:lang w:val="en_US" w:bidi="en_US"/>
        </w:rPr>
        <w:t>For a while</w:t>
      </w:r>
      <w:r>
        <w:rPr>
          <w:lang w:val="en_US" w:bidi="en_US"/>
        </w:rPr>
        <w:t xml:space="preserve"> is literally “for a time.” The widow had come to the judge many times and on different days. You should use an expression that fits this context. For example:</w:t>
      </w:r>
    </w:p>
    <w:p>
      <w:pPr/>
      <w:r>
        <w:rPr>
          <w:lang w:val="en_US" w:bidi="en_US"/>
        </w:rPr>
      </w:r>
      <w:r>
        <w:rPr>
          <w:lang w:val="en_US" w:bidi="en_US"/>
        </w:rPr>
        <w:t>For some time (NIV)</w:t>
      </w:r>
    </w:p>
    <w:p>
      <w:pPr/>
      <w:r>
        <w:rPr>
          <w:lang w:val="en_US" w:bidi="en_US"/>
        </w:rPr>
      </w:r>
      <w:r>
        <w:rPr>
          <w:lang w:val="en_US" w:bidi="en_US"/>
        </w:rPr>
        <w:t>Many times</w:t>
      </w:r>
    </w:p>
    <w:p>
      <w:pPr/>
      <w:r>
        <w:rPr>
          <w:lang w:val="en_US" w:bidi="en_US"/>
        </w:rPr>
      </w:r>
      <w:r>
        <w:rPr>
          <w:lang w:val="en_US" w:bidi="en_US"/>
        </w:rPr>
        <w:t>In the beginning</w:t>
      </w:r>
      <w:r>
        <w:rPr>
          <w:lang w:val="en_US" w:bidi="en_US"/>
        </w:rPr>
        <w:t>Yakan back translation on TW.</w:t>
      </w:r>
    </w:p>
    <w:p>
      <w:pPr/>
      <w:r>
        <w:rPr>
          <w:lang w:val="en_US" w:bidi="en_US"/>
        </w:rPr>
      </w:r>
      <w:r>
        <w:rPr>
          <w:b/>
          <w:lang w:val="en_US" w:bidi="en_US"/>
        </w:rPr>
        <w:t>he refused:</w:t>
      </w:r>
      <w:r>
        <w:rPr>
          <w:lang w:val="en_US" w:bidi="en_US"/>
        </w:rPr>
        <w:t xml:space="preserve"> The Greek phrase that the BSB translates as </w:t>
      </w:r>
      <w:r>
        <w:rPr>
          <w:i/>
          <w:lang w:val="en_US" w:bidi="en_US"/>
        </w:rPr>
        <w:t>he refused</w:t>
      </w:r>
      <w:r>
        <w:rPr>
          <w:lang w:val="en_US" w:bidi="en_US"/>
        </w:rPr>
        <w:t xml:space="preserve"> is literally “he was not willing.” It implies here that he would not agree to help the widow by hearing her court case and judging in her favor. Some ways to translate this are:</w:t>
      </w:r>
    </w:p>
    <w:p>
      <w:pPr/>
      <w:r>
        <w:rPr>
          <w:lang w:val="en_US" w:bidi="en_US"/>
        </w:rPr>
      </w:r>
      <w:r>
        <w:rPr>
          <w:lang w:val="en_US" w:bidi="en_US"/>
        </w:rPr>
        <w:t>the judge refused to act (GNT)</w:t>
      </w:r>
    </w:p>
    <w:p>
      <w:pPr/>
      <w:r>
        <w:rPr>
          <w:lang w:val="en_US" w:bidi="en_US"/>
        </w:rPr>
      </w:r>
      <w:r>
        <w:rPr>
          <w:lang w:val="en_US" w:bidi="en_US"/>
        </w:rPr>
        <w:t>the judge refused to do anything (CEV)</w:t>
      </w:r>
    </w:p>
    <w:p>
      <w:pPr/>
      <w:r>
        <w:rPr>
          <w:lang w:val="en_US" w:bidi="en_US"/>
        </w:rPr>
      </w:r>
      <w:r>
        <w:rPr>
          <w:lang w:val="en_US" w:bidi="en_US"/>
        </w:rPr>
        <w:t xml:space="preserve">he would not </w:t>
      </w:r>
      <w:r>
        <w:rPr>
          <w:lang w:val="en_US" w:bidi="en_US"/>
        </w:rPr>
        <w:t>help her</w:t>
      </w:r>
    </w:p>
    <w:p>
      <w:pPr/>
      <w:r>
        <w:rPr>
          <w:lang w:val="en_US" w:bidi="en_US"/>
        </w:rPr>
      </w:r>
      <w:r>
        <w:rPr>
          <w:lang w:val="en_US" w:bidi="en_US"/>
        </w:rPr>
        <w:t>This could also be translated using direct speech. For example:</w:t>
      </w:r>
    </w:p>
    <w:p>
      <w:pPr/>
      <w:r>
        <w:rPr>
          <w:lang w:val="en_US" w:bidi="en_US"/>
        </w:rPr>
      </w:r>
      <w:r>
        <w:rPr>
          <w:lang w:val="en_US" w:bidi="en_US"/>
        </w:rPr>
        <w:t xml:space="preserve">he told her, “No, </w:t>
      </w:r>
      <w:r>
        <w:rPr>
          <w:lang w:val="en_US" w:bidi="en_US"/>
        </w:rPr>
        <w:t>I will not help you</w:t>
      </w:r>
      <w:r>
        <w:rPr>
          <w:lang w:val="en_US" w:bidi="en_US"/>
        </w:rPr>
        <w:t>”</w:t>
      </w:r>
    </w:p>
    <w:p>
      <w:pPr/>
      <w:r>
        <w:rPr>
          <w:lang w:val="en_US" w:bidi="en_US"/>
        </w:rPr>
      </w:r>
      <w:r>
        <w:rPr>
          <w:lang w:val="en_US" w:bidi="en_US"/>
        </w:rPr>
        <w:t>he said to her, “No,” and he did not help her</w:t>
      </w:r>
    </w:p>
    <w:p>
      <w:pPr>
        <w:pStyle w:val="Heading5"/>
      </w:pPr>
      <w:r>
        <w:rPr>
          <w:lang w:val="en_US" w:bidi="en_US"/>
        </w:rPr>
        <w:t>18:4b</w:t>
      </w:r>
    </w:p>
    <w:p>
      <w:pPr/>
      <w:r>
        <w:rPr>
          <w:lang w:val="en_US" w:bidi="en_US"/>
        </w:rPr>
      </w:r>
      <w:r>
        <w:rPr>
          <w:b/>
          <w:lang w:val="en_US" w:bidi="en_US"/>
        </w:rPr>
        <w:t>but later he said to himself,</w:t>
      </w:r>
    </w:p>
    <w:p>
      <w:pPr>
        <w:pStyle w:val="ListBullet"/>
        <w:spacing w:line="240" w:lineRule="auto"/>
        <w:ind w:left="720"/>
      </w:pPr>
      <w:r>
        <w:rPr>
          <w:lang w:val="en_US" w:bidi="en_US"/>
        </w:rPr>
      </w:r>
      <w:r>
        <w:rPr>
          <w:lang w:val="en_US" w:bidi="en_US"/>
        </w:rPr>
        <w:t>But eventually/then he thought,</w:t>
      </w:r>
    </w:p>
    <w:p>
      <w:pPr>
        <w:pStyle w:val="ListBullet"/>
        <w:spacing w:line="240" w:lineRule="auto"/>
        <w:ind w:left="720"/>
      </w:pPr>
      <w:r>
        <w:rPr>
          <w:lang w:val="en_US" w:bidi="en_US"/>
        </w:rPr>
      </w:r>
      <w:r>
        <w:rPr>
          <w:lang w:val="en_US" w:bidi="en_US"/>
        </w:rPr>
        <w:t>So after some time he said,</w:t>
      </w:r>
    </w:p>
    <w:p>
      <w:pPr>
        <w:pStyle w:val="ListBullet"/>
        <w:spacing w:line="240" w:lineRule="auto"/>
        <w:ind w:left="720"/>
      </w:pPr>
      <w:r>
        <w:rPr>
          <w:lang w:val="en_US" w:bidi="en_US"/>
        </w:rPr>
      </w:r>
      <w:r>
        <w:rPr>
          <w:lang w:val="en_US" w:bidi="en_US"/>
        </w:rPr>
        <w:t xml:space="preserve">but after </w:t>
      </w:r>
      <w:r>
        <w:rPr>
          <w:lang w:val="en_US" w:bidi="en_US"/>
        </w:rPr>
        <w:t>she came</w:t>
      </w:r>
      <w:r>
        <w:rPr>
          <w:lang w:val="en_US" w:bidi="en_US"/>
        </w:rPr>
        <w:t xml:space="preserve"> many times, he </w:t>
      </w:r>
      <w:r>
        <w:rPr>
          <w:lang w:val="en_US" w:bidi="en_US"/>
        </w:rPr>
        <w:t>decided to help her. He</w:t>
      </w:r>
      <w:r>
        <w:rPr>
          <w:lang w:val="en_US" w:bidi="en_US"/>
        </w:rPr>
        <w:t xml:space="preserve"> thought,</w:t>
      </w:r>
    </w:p>
    <w:p>
      <w:pPr/>
      <w:r>
        <w:rPr>
          <w:lang w:val="en_US" w:bidi="en_US"/>
        </w:rPr>
      </w:r>
      <w:r>
        <w:rPr>
          <w:b/>
          <w:lang w:val="en_US" w:bidi="en_US"/>
        </w:rPr>
        <w:t>but later:</w:t>
      </w:r>
      <w:r>
        <w:rPr>
          <w:lang w:val="en_US" w:bidi="en_US"/>
        </w:rPr>
        <w:t xml:space="preserve"> The Greek phrase that the BSB translates as </w:t>
      </w:r>
      <w:r>
        <w:rPr>
          <w:i/>
          <w:lang w:val="en_US" w:bidi="en_US"/>
        </w:rPr>
        <w:t>but later</w:t>
      </w:r>
      <w:r>
        <w:rPr>
          <w:lang w:val="en_US" w:bidi="en_US"/>
        </w:rPr>
        <w:t xml:space="preserve"> is literally “after these things.” It refers to a time after the widow had come repeatedly and pleaded with him. The phrase </w:t>
      </w:r>
      <w:r>
        <w:rPr>
          <w:i/>
          <w:lang w:val="en_US" w:bidi="en_US"/>
        </w:rPr>
        <w:t>but later</w:t>
      </w:r>
      <w:r>
        <w:rPr>
          <w:lang w:val="en_US" w:bidi="en_US"/>
        </w:rPr>
        <w:t xml:space="preserve"> introduces the climax of the story when the judge changes his decision. Introduce it in a natural way in your language.</w:t>
      </w:r>
    </w:p>
    <w:p>
      <w:pPr/>
      <w:r>
        <w:rPr>
          <w:lang w:val="en_US" w:bidi="en_US"/>
        </w:rPr>
      </w:r>
      <w:r>
        <w:rPr>
          <w:b/>
          <w:lang w:val="en_US" w:bidi="en_US"/>
        </w:rPr>
        <w:t>he said to himself:</w:t>
      </w:r>
      <w:r>
        <w:rPr>
          <w:lang w:val="en_US" w:bidi="en_US"/>
        </w:rPr>
        <w:t xml:space="preserve"> The Greek phrase that the BSB translates as </w:t>
      </w:r>
      <w:r>
        <w:rPr>
          <w:i/>
          <w:lang w:val="en_US" w:bidi="en_US"/>
        </w:rPr>
        <w:t>he said to himself</w:t>
      </w:r>
      <w:r>
        <w:rPr>
          <w:lang w:val="en_US" w:bidi="en_US"/>
        </w:rPr>
        <w:t xml:space="preserve"> refers to something that the judge thought. He probably did not say the words aloud. Other ways to translate this are:</w:t>
      </w:r>
    </w:p>
    <w:p>
      <w:pPr/>
      <w:r>
        <w:rPr>
          <w:lang w:val="en_US" w:bidi="en_US"/>
        </w:rPr>
      </w:r>
      <w:r>
        <w:rPr>
          <w:lang w:val="en_US" w:bidi="en_US"/>
        </w:rPr>
        <w:t>he thought (GW)</w:t>
      </w:r>
    </w:p>
    <w:p>
      <w:pPr/>
      <w:r>
        <w:rPr>
          <w:lang w:val="en_US" w:bidi="en_US"/>
        </w:rPr>
      </w:r>
      <w:r>
        <w:rPr>
          <w:lang w:val="en_US" w:bidi="en_US"/>
        </w:rPr>
        <w:t>he decided</w:t>
      </w:r>
    </w:p>
    <w:p>
      <w:pPr>
        <w:pStyle w:val="Heading5"/>
      </w:pPr>
      <w:r>
        <w:rPr>
          <w:lang w:val="en_US" w:bidi="en_US"/>
        </w:rPr>
        <w:t>18:4c</w:t>
      </w:r>
    </w:p>
    <w:p>
      <w:pPr/>
      <w:r>
        <w:rPr>
          <w:lang w:val="en_US" w:bidi="en_US"/>
        </w:rPr>
      </w:r>
      <w:r>
        <w:rPr>
          <w:b/>
          <w:lang w:val="en_US" w:bidi="en_US"/>
        </w:rPr>
        <w:t>‘Though I neither fear God nor respect men,</w:t>
      </w:r>
    </w:p>
    <w:p>
      <w:pPr>
        <w:pStyle w:val="ListBullet"/>
        <w:spacing w:line="240" w:lineRule="auto"/>
        <w:ind w:left="720"/>
      </w:pPr>
      <w:r>
        <w:rPr>
          <w:lang w:val="en_US" w:bidi="en_US"/>
        </w:rPr>
      </w:r>
      <w:r>
        <w:rPr>
          <w:lang w:val="en_US" w:bidi="en_US"/>
        </w:rPr>
        <w:t xml:space="preserve">‘Although I do not respect God and I do not care about </w:t>
      </w:r>
      <w:r>
        <w:rPr>
          <w:lang w:val="en_US" w:bidi="en_US"/>
        </w:rPr>
        <w:t>what</w:t>
      </w:r>
      <w:r>
        <w:rPr>
          <w:lang w:val="en_US" w:bidi="en_US"/>
        </w:rPr>
        <w:t xml:space="preserve"> people </w:t>
      </w:r>
      <w:r>
        <w:rPr>
          <w:lang w:val="en_US" w:bidi="en_US"/>
        </w:rPr>
        <w:t>think</w:t>
      </w:r>
      <w:r>
        <w:rPr>
          <w:lang w:val="en_US" w:bidi="en_US"/>
        </w:rPr>
        <w:t>,</w:t>
      </w:r>
    </w:p>
    <w:p>
      <w:pPr>
        <w:pStyle w:val="ListBullet"/>
        <w:spacing w:line="240" w:lineRule="auto"/>
        <w:ind w:left="720"/>
      </w:pPr>
      <w:r>
        <w:rPr>
          <w:lang w:val="en_US" w:bidi="en_US"/>
        </w:rPr>
      </w:r>
      <w:r>
        <w:rPr>
          <w:lang w:val="en_US" w:bidi="en_US"/>
        </w:rPr>
        <w:t xml:space="preserve">‘I </w:t>
      </w:r>
      <w:r>
        <w:rPr>
          <w:lang w:val="en_US" w:bidi="en_US"/>
        </w:rPr>
        <w:t>truly</w:t>
      </w:r>
      <w:r>
        <w:rPr>
          <w:lang w:val="en_US" w:bidi="en_US"/>
        </w:rPr>
        <w:t xml:space="preserve"> do not have any awe of God or regard for </w:t>
      </w:r>
      <w:r>
        <w:rPr>
          <w:lang w:val="en_US" w:bidi="en_US"/>
        </w:rPr>
        <w:t>other</w:t>
      </w:r>
      <w:r>
        <w:rPr>
          <w:lang w:val="en_US" w:bidi="en_US"/>
        </w:rPr>
        <w:t xml:space="preserve"> people.</w:t>
      </w:r>
    </w:p>
    <w:p>
      <w:pPr>
        <w:pStyle w:val="ListBullet"/>
        <w:spacing w:line="240" w:lineRule="auto"/>
        <w:ind w:left="720"/>
      </w:pPr>
      <w:r>
        <w:rPr>
          <w:lang w:val="en_US" w:bidi="en_US"/>
        </w:rPr>
      </w:r>
      <w:r>
        <w:rPr>
          <w:lang w:val="en_US" w:bidi="en_US"/>
        </w:rPr>
        <w:t>“It is true that I do not respect either God or human beings,</w:t>
      </w:r>
    </w:p>
    <w:p>
      <w:pPr/>
      <w:r>
        <w:rPr>
          <w:lang w:val="en_US" w:bidi="en_US"/>
        </w:rPr>
      </w:r>
      <w:r>
        <w:rPr>
          <w:b/>
          <w:lang w:val="en_US" w:bidi="en_US"/>
        </w:rPr>
        <w:t>Though I neither fear God nor respect men:</w:t>
      </w:r>
      <w:r>
        <w:rPr>
          <w:lang w:val="en_US" w:bidi="en_US"/>
        </w:rPr>
        <w:t xml:space="preserve"> This clause repeats the facts about the judge’s attitude that were given in 18:2b. You should translate in a similar way here.</w:t>
      </w:r>
    </w:p>
    <w:p>
      <w:pPr/>
      <w:r>
        <w:rPr>
          <w:lang w:val="en_US" w:bidi="en_US"/>
        </w:rPr>
      </w:r>
      <w:r>
        <w:rPr>
          <w:lang w:val="en_US" w:bidi="en_US"/>
        </w:rPr>
        <w:t>The judge did not respect God or other people. This attitude would normally cause him not to help the widow. However, his attitude contrasts with his decision in verse 5. He decided to help the widow anyway (18:5b) because she was bothering him (18:5a). Express this connection with 18:5 in a natural way in your language. Some other ways to translate this clause are:</w:t>
      </w:r>
    </w:p>
    <w:p>
      <w:pPr/>
      <w:r>
        <w:rPr>
          <w:lang w:val="en_US" w:bidi="en_US"/>
        </w:rPr>
      </w:r>
      <w:r>
        <w:rPr>
          <w:lang w:val="en_US" w:bidi="en_US"/>
        </w:rPr>
        <w:t>It is true that I don’t fear God or respect anyone, but</w:t>
      </w:r>
    </w:p>
    <w:p>
      <w:pPr/>
      <w:r>
        <w:rPr>
          <w:lang w:val="en_US" w:bidi="en_US"/>
        </w:rPr>
      </w:r>
      <w:r>
        <w:rPr>
          <w:lang w:val="en_US" w:bidi="en_US"/>
        </w:rPr>
        <w:t>Although I have no awe of God and no respect for people</w:t>
      </w:r>
    </w:p>
    <w:p>
      <w:pPr/>
      <w:r>
        <w:rPr>
          <w:lang w:val="en_US" w:bidi="en_US"/>
        </w:rPr>
      </w:r>
      <w:r>
        <w:rPr>
          <w:lang w:val="en_US" w:bidi="en_US"/>
        </w:rPr>
        <w:t>I admittedly am not afraid of God and I also look-down-on my fellow humans</w:t>
      </w:r>
      <w:r>
        <w:rPr>
          <w:lang w:val="en_US" w:bidi="en_US"/>
        </w:rPr>
        <w:t>Kankanaey Back Translation on TW.</w:t>
      </w:r>
      <w:r>
        <w:rPr>
          <w:lang w:val="en_US" w:bidi="en_US"/>
        </w:rPr>
      </w:r>
      <w:r>
        <w:rPr>
          <w:lang w:val="en_US" w:bidi="en_US"/>
        </w:rPr>
      </w:r>
    </w:p>
    <w:p>
      <w:pPr/>
      <w:r>
        <w:rPr>
          <w:lang w:val="en_US" w:bidi="en_US"/>
        </w:rPr>
      </w:r>
    </w:p>
    <w:p>
      <w:pPr>
        <w:pStyle w:val="Heading2"/>
      </w:pPr>
      <w:r>
        <w:rPr>
          <w:lang w:val="en_US" w:bidi="en_US"/>
        </w:rPr>
        <w:t>Luke 18:5</w:t>
      </w:r>
      <w:r>
        <w:rPr>
          <w:lang w:val="en_US" w:bidi="en_US"/>
        </w:rPr>
      </w:r>
    </w:p>
    <w:p>
      <w:pPr>
        <w:pStyle w:val="Heading4"/>
      </w:pPr>
      <w:r>
        <w:rPr>
          <w:lang w:val="en_US" w:bidi="en_US"/>
        </w:rPr>
        <w:t>Section 18:1–8: Jesus told a story to teach his disciples to pray persistently</w:t>
      </w:r>
    </w:p>
    <w:p>
      <w:pPr/>
      <w:r>
        <w:rPr>
          <w:lang w:val="en_US" w:bidi="en_US"/>
        </w:rPr>
      </w:r>
      <w:r>
        <w:rPr>
          <w:lang w:val="en_US" w:bidi="en_US"/>
        </w:rPr>
        <w:t>At the end of chapter 17, Jesus told his disciples about the coming of the Son of Man. In this section, he concluded this teaching by telling them a parable about praying persistently.</w:t>
      </w:r>
      <w:r>
        <w:rPr>
          <w:lang w:val="en_US" w:bidi="en_US"/>
        </w:rPr>
        <w:t>Bock (p. 1444) says: “The parable of the nagging widow and the consenting judge is linked to the previous eschatological discourse by the reference in Luke 18:8 to the Son of Man’s return. Its plea that believers ask God for justice looks back to the vindication of the saints described in 17:22–37.”</w:t>
      </w:r>
      <w:r>
        <w:rPr>
          <w:lang w:val="en_US" w:bidi="en_US"/>
        </w:rPr>
        <w:t xml:space="preserve"> He used the parable to teach them that they should continue to trust God and pray to him. They should not become discouraged when they suffer unjustly, because Jesus will return, and God will give them justice.</w:t>
      </w:r>
    </w:p>
    <w:p>
      <w:pPr/>
      <w:r>
        <w:rPr>
          <w:lang w:val="en_US" w:bidi="en_US"/>
        </w:rPr>
      </w:r>
      <w:r>
        <w:rPr>
          <w:lang w:val="en_US" w:bidi="en_US"/>
        </w:rPr>
        <w:t>Justice is an important theme in this parable. Phrases about justice occur four times. Each phrase uses a form of the same Greek word, so you will probably want to translate the phrases in a similar way:</w:t>
      </w:r>
    </w:p>
    <w:p>
      <w:pPr/>
      <w:r>
        <w:rPr>
          <w:lang w:val="en_US" w:bidi="en_US"/>
        </w:rPr>
      </w:r>
      <w:r>
        <w:rPr>
          <w:lang w:val="en_US" w:bidi="en_US"/>
        </w:rPr>
        <w:t>Grant me justice (18:3)</w:t>
      </w:r>
    </w:p>
    <w:p>
      <w:pPr/>
      <w:r>
        <w:rPr>
          <w:lang w:val="en_US" w:bidi="en_US"/>
        </w:rPr>
      </w:r>
      <w:r>
        <w:rPr>
          <w:lang w:val="en_US" w:bidi="en_US"/>
        </w:rPr>
        <w:t>see that she gets justice (18:5)</w:t>
      </w:r>
    </w:p>
    <w:p>
      <w:pPr/>
      <w:r>
        <w:rPr>
          <w:lang w:val="en_US" w:bidi="en_US"/>
        </w:rPr>
      </w:r>
      <w:r>
        <w:rPr>
          <w:lang w:val="en_US" w:bidi="en_US"/>
        </w:rPr>
        <w:t>will not God bring about justice (18:7)</w:t>
      </w:r>
    </w:p>
    <w:p>
      <w:pPr/>
      <w:r>
        <w:rPr>
          <w:lang w:val="en_US" w:bidi="en_US"/>
        </w:rPr>
      </w:r>
      <w:r>
        <w:rPr>
          <w:lang w:val="en_US" w:bidi="en_US"/>
        </w:rPr>
        <w:t>he will see that they get justice (18:8)</w:t>
      </w:r>
    </w:p>
    <w:p>
      <w:pPr/>
      <w:r>
        <w:rPr>
          <w:lang w:val="en_US" w:bidi="en_US"/>
        </w:rPr>
      </w:r>
      <w:r>
        <w:rPr>
          <w:lang w:val="en_US" w:bidi="en_US"/>
        </w:rPr>
        <w:t>It is good to translate this section before you decide on a heading for it. Some examples of headings for this section are:</w:t>
      </w:r>
    </w:p>
    <w:p>
      <w:pPr/>
      <w:r>
        <w:rPr>
          <w:lang w:val="en_US" w:bidi="en_US"/>
        </w:rPr>
      </w:r>
      <w:r>
        <w:rPr>
          <w:lang w:val="en_US" w:bidi="en_US"/>
        </w:rPr>
        <w:t>The Parable of the Persistent Widow (NIV)</w:t>
      </w:r>
    </w:p>
    <w:p>
      <w:pPr/>
      <w:r>
        <w:rPr>
          <w:lang w:val="en_US" w:bidi="en_US"/>
        </w:rPr>
      </w:r>
      <w:r>
        <w:rPr>
          <w:lang w:val="en_US" w:bidi="en_US"/>
        </w:rPr>
        <w:t>Jesus told a parable about a widow coming repeatedly to an unjust judge</w:t>
      </w:r>
    </w:p>
    <w:p>
      <w:pPr/>
      <w:r>
        <w:rPr>
          <w:lang w:val="en_US" w:bidi="en_US"/>
        </w:rPr>
      </w:r>
      <w:r>
        <w:rPr>
          <w:lang w:val="en_US" w:bidi="en_US"/>
        </w:rPr>
        <w:t>The parable of the unjust judge</w:t>
      </w:r>
    </w:p>
    <w:p>
      <w:pPr/>
      <w:r>
        <w:rPr>
          <w:lang w:val="en_US" w:bidi="en_US"/>
        </w:rPr>
      </w:r>
      <w:r>
        <w:rPr>
          <w:lang w:val="en_US" w:bidi="en_US"/>
        </w:rPr>
        <w:t>God Will Answer His People (NCV)</w:t>
      </w:r>
    </w:p>
    <w:p>
      <w:pPr/>
      <w:r>
        <w:rPr>
          <w:lang w:val="en_US" w:bidi="en_US"/>
        </w:rPr>
      </w:r>
      <w:r>
        <w:rPr>
          <w:lang w:val="en_US" w:bidi="en_US"/>
        </w:rPr>
        <w:t>Luke is the only gospel that has this story. It is similar in some ways to the parable in 11:5–10.</w:t>
      </w:r>
    </w:p>
    <w:p>
      <w:pPr>
        <w:pStyle w:val="Heading4"/>
      </w:pPr>
      <w:r>
        <w:rPr>
          <w:lang w:val="en_US" w:bidi="en_US"/>
        </w:rPr>
        <w:t>Paragraph 18:4–5</w:t>
      </w:r>
    </w:p>
    <w:p>
      <w:pPr/>
      <w:r>
        <w:rPr>
          <w:lang w:val="en_US" w:bidi="en_US"/>
        </w:rPr>
      </w:r>
      <w:r>
        <w:rPr>
          <w:lang w:val="en_US" w:bidi="en_US"/>
        </w:rPr>
        <w:t>This paragraph tells how the judge responded to the widow. Here is the order of events:</w:t>
      </w:r>
    </w:p>
    <w:p>
      <w:pPr/>
      <w:r>
        <w:rPr>
          <w:lang w:val="en_US" w:bidi="en_US"/>
        </w:rPr>
      </w:r>
      <w:r>
        <w:rPr>
          <w:vertAlign w:val="superscript"/>
          <w:lang w:val="en_US" w:bidi="en_US"/>
        </w:rPr>
        <w:t>4a</w:t>
      </w:r>
      <w:r>
        <w:rPr>
          <w:lang w:val="en_US" w:bidi="en_US"/>
        </w:rPr>
        <w:t>As the widow kept coming to the judge, the judge kept refusing to help her.</w:t>
      </w:r>
    </w:p>
    <w:p>
      <w:pPr/>
      <w:r>
        <w:rPr>
          <w:lang w:val="en_US" w:bidi="en_US"/>
        </w:rPr>
      </w:r>
      <w:r>
        <w:rPr>
          <w:vertAlign w:val="superscript"/>
          <w:lang w:val="en_US" w:bidi="en_US"/>
        </w:rPr>
        <w:t>4b</w:t>
      </w:r>
      <w:r>
        <w:rPr>
          <w:lang w:val="en_US" w:bidi="en_US"/>
        </w:rPr>
        <w:t>The judge thought,</w:t>
      </w:r>
    </w:p>
    <w:p>
      <w:pPr/>
      <w:r>
        <w:rPr>
          <w:lang w:val="en_US" w:bidi="en_US"/>
        </w:rPr>
      </w:r>
      <w:r>
        <w:rPr>
          <w:vertAlign w:val="superscript"/>
          <w:lang w:val="en_US" w:bidi="en_US"/>
        </w:rPr>
        <w:t>4c</w:t>
      </w:r>
      <w:r>
        <w:rPr>
          <w:lang w:val="en_US" w:bidi="en_US"/>
        </w:rPr>
        <w:t>“I do not fear God or respect other people,</w:t>
      </w:r>
    </w:p>
    <w:p>
      <w:pPr/>
      <w:r>
        <w:rPr>
          <w:lang w:val="en_US" w:bidi="en_US"/>
        </w:rPr>
      </w:r>
      <w:r>
        <w:rPr>
          <w:vertAlign w:val="superscript"/>
          <w:lang w:val="en_US" w:bidi="en_US"/>
        </w:rPr>
        <w:t>5a</w:t>
      </w:r>
      <w:r>
        <w:rPr>
          <w:lang w:val="en_US" w:bidi="en_US"/>
        </w:rPr>
        <w:t>but this widow is bothering me.</w:t>
      </w:r>
    </w:p>
    <w:p>
      <w:pPr/>
      <w:r>
        <w:rPr>
          <w:lang w:val="en_US" w:bidi="en_US"/>
        </w:rPr>
      </w:r>
      <w:r>
        <w:rPr>
          <w:vertAlign w:val="superscript"/>
          <w:lang w:val="en_US" w:bidi="en_US"/>
        </w:rPr>
        <w:t>5c</w:t>
      </w:r>
      <w:r>
        <w:rPr>
          <w:lang w:val="en_US" w:bidi="en_US"/>
        </w:rPr>
        <w:t>If I do not help her, she will continue to come with her requests until she wears me out.”</w:t>
      </w:r>
    </w:p>
    <w:p>
      <w:pPr/>
      <w:r>
        <w:rPr>
          <w:lang w:val="en_US" w:bidi="en_US"/>
        </w:rPr>
      </w:r>
      <w:r>
        <w:rPr>
          <w:vertAlign w:val="superscript"/>
          <w:lang w:val="en_US" w:bidi="en_US"/>
        </w:rPr>
        <w:t>5b</w:t>
      </w:r>
      <w:r>
        <w:rPr>
          <w:lang w:val="en_US" w:bidi="en_US"/>
        </w:rPr>
        <w:t>So the judge decided, “I will help her get justice.”</w:t>
      </w:r>
    </w:p>
    <w:p>
      <w:pPr/>
      <w:r>
        <w:rPr>
          <w:lang w:val="en_US" w:bidi="en_US"/>
        </w:rPr>
      </w:r>
      <w:r>
        <w:rPr>
          <w:lang w:val="en_US" w:bidi="en_US"/>
        </w:rPr>
        <w:t>Decide how to express the connections between these events in a clear and natural way in your language.</w:t>
      </w:r>
    </w:p>
    <w:p>
      <w:pPr>
        <w:pStyle w:val="Heading5"/>
      </w:pPr>
      <w:r>
        <w:rPr>
          <w:lang w:val="en_US" w:bidi="en_US"/>
        </w:rPr>
        <w:t>18:5a</w:t>
      </w:r>
    </w:p>
    <w:p>
      <w:pPr/>
      <w:r>
        <w:rPr>
          <w:lang w:val="en_US" w:bidi="en_US"/>
        </w:rPr>
      </w:r>
      <w:r>
        <w:rPr>
          <w:b/>
          <w:lang w:val="en_US" w:bidi="en_US"/>
        </w:rPr>
        <w:t>yet because this widow keeps pestering me,</w:t>
      </w:r>
    </w:p>
    <w:p>
      <w:pPr>
        <w:pStyle w:val="ListBullet"/>
        <w:spacing w:line="240" w:lineRule="auto"/>
        <w:ind w:left="720"/>
      </w:pPr>
      <w:r>
        <w:rPr>
          <w:lang w:val="en_US" w:bidi="en_US"/>
        </w:rPr>
      </w:r>
      <w:r>
        <w:rPr>
          <w:lang w:val="en_US" w:bidi="en_US"/>
        </w:rPr>
        <w:t>yet because this widow continues to annoy/pester me,</w:t>
      </w:r>
    </w:p>
    <w:p>
      <w:pPr>
        <w:pStyle w:val="ListBullet"/>
        <w:spacing w:line="240" w:lineRule="auto"/>
        <w:ind w:left="720"/>
      </w:pPr>
      <w:r>
        <w:rPr>
          <w:lang w:val="en_US" w:bidi="en_US"/>
        </w:rPr>
      </w:r>
      <w:r>
        <w:rPr>
          <w:lang w:val="en_US" w:bidi="en_US"/>
        </w:rPr>
        <w:t>However, this widow persists in troubling/disturbing me.</w:t>
      </w:r>
    </w:p>
    <w:p>
      <w:pPr>
        <w:pStyle w:val="ListBullet"/>
        <w:spacing w:line="240" w:lineRule="auto"/>
        <w:ind w:left="720"/>
      </w:pPr>
      <w:r>
        <w:rPr>
          <w:lang w:val="en_US" w:bidi="en_US"/>
        </w:rPr>
      </w:r>
      <w:r>
        <w:rPr>
          <w:lang w:val="en_US" w:bidi="en_US"/>
        </w:rPr>
        <w:t>but this widow is a nuisance to me,</w:t>
      </w:r>
    </w:p>
    <w:p>
      <w:pPr>
        <w:pStyle w:val="Heading5"/>
      </w:pPr>
      <w:r>
        <w:rPr>
          <w:lang w:val="en_US" w:bidi="en_US"/>
        </w:rPr>
        <w:t>18:5a–b</w:t>
      </w:r>
    </w:p>
    <w:p>
      <w:pPr/>
      <w:r>
        <w:rPr>
          <w:lang w:val="en_US" w:bidi="en_US"/>
        </w:rPr>
      </w:r>
      <w:r>
        <w:rPr>
          <w:b/>
          <w:lang w:val="en_US" w:bidi="en_US"/>
        </w:rPr>
        <w:t>yet because this widow keeps pestering me, I will give her justice:</w:t>
      </w:r>
      <w:r>
        <w:rPr>
          <w:lang w:val="en_US" w:bidi="en_US"/>
        </w:rPr>
        <w:t xml:space="preserve"> The Greek conjunction that the BSB translates as </w:t>
      </w:r>
      <w:r>
        <w:rPr>
          <w:i/>
          <w:lang w:val="en_US" w:bidi="en_US"/>
        </w:rPr>
        <w:t>yet</w:t>
      </w:r>
      <w:r>
        <w:rPr>
          <w:lang w:val="en_US" w:bidi="en_US"/>
        </w:rPr>
        <w:t xml:space="preserve"> introduces the clause </w:t>
      </w:r>
      <w:r>
        <w:rPr>
          <w:i/>
          <w:lang w:val="en_US" w:bidi="en_US"/>
        </w:rPr>
        <w:t>I will give her justice</w:t>
      </w:r>
      <w:r>
        <w:rPr>
          <w:lang w:val="en_US" w:bidi="en_US"/>
        </w:rPr>
        <w:t xml:space="preserve"> in 18:5b. This clause expresses the judge’s decision. It contrasts with his attitude in 18:4c: “I neither fear God nor respect men.” In spite of that attitude, the judge would see that the widow got justice. He would do that because the widow was </w:t>
      </w:r>
      <w:r>
        <w:rPr>
          <w:i/>
          <w:lang w:val="en_US" w:bidi="en_US"/>
        </w:rPr>
        <w:t>pestering</w:t>
      </w:r>
      <w:r>
        <w:rPr>
          <w:lang w:val="en_US" w:bidi="en_US"/>
        </w:rPr>
        <w:t xml:space="preserve"> him.</w:t>
      </w:r>
    </w:p>
    <w:p>
      <w:pPr/>
      <w:r>
        <w:rPr>
          <w:lang w:val="en_US" w:bidi="en_US"/>
        </w:rPr>
      </w:r>
      <w:r>
        <w:rPr>
          <w:lang w:val="en_US" w:bidi="en_US"/>
        </w:rPr>
        <w:t>In some languages it may be more natural to place the contrast in 18:5b before the reason clause in 18:5a. See the General Comment on 18:4c–5c at the end of 18:5c for an example.</w:t>
      </w:r>
    </w:p>
    <w:p>
      <w:pPr/>
      <w:r>
        <w:rPr>
          <w:lang w:val="en_US" w:bidi="en_US"/>
        </w:rPr>
      </w:r>
      <w:r>
        <w:rPr>
          <w:b/>
          <w:lang w:val="en_US" w:bidi="en_US"/>
        </w:rPr>
        <w:t>because this widow keeps pestering me:</w:t>
      </w:r>
      <w:r>
        <w:rPr>
          <w:lang w:val="en_US" w:bidi="en_US"/>
        </w:rPr>
        <w:t xml:space="preserve"> This clause gives the reason that the judge decided to help the widow. She was pestering him by coming so many times, so he decided to help her (18:5b). In some languages it may be helpful to make explicit in what way the widow was pestering the judge:</w:t>
      </w:r>
    </w:p>
    <w:p>
      <w:pPr/>
      <w:r>
        <w:rPr>
          <w:lang w:val="en_US" w:bidi="en_US"/>
        </w:rPr>
      </w:r>
      <w:r>
        <w:rPr>
          <w:lang w:val="en_US" w:bidi="en_US"/>
        </w:rPr>
        <w:t xml:space="preserve">because this widow keeps pestering me </w:t>
      </w:r>
      <w:r>
        <w:rPr>
          <w:lang w:val="en_US" w:bidi="en_US"/>
        </w:rPr>
        <w:t>with her frequent pleas</w:t>
      </w:r>
    </w:p>
    <w:p>
      <w:pPr/>
      <w:r>
        <w:rPr>
          <w:lang w:val="en_US" w:bidi="en_US"/>
        </w:rPr>
      </w:r>
      <w:r>
        <w:rPr>
          <w:lang w:val="en_US" w:bidi="en_US"/>
        </w:rPr>
        <w:t xml:space="preserve">this widow bothers me </w:t>
      </w:r>
      <w:r>
        <w:rPr>
          <w:lang w:val="en_US" w:bidi="en_US"/>
        </w:rPr>
        <w:t>by frequently asking me to help her</w:t>
      </w:r>
      <w:r>
        <w:rPr>
          <w:lang w:val="en_US" w:bidi="en_US"/>
        </w:rPr>
        <w:t>, so…</w:t>
      </w:r>
    </w:p>
    <w:p>
      <w:pPr/>
      <w:r>
        <w:rPr>
          <w:lang w:val="en_US" w:bidi="en_US"/>
        </w:rPr>
      </w:r>
      <w:r>
        <w:rPr>
          <w:b/>
          <w:lang w:val="en_US" w:bidi="en_US"/>
        </w:rPr>
        <w:t>keeps pestering me:</w:t>
      </w:r>
      <w:r>
        <w:rPr>
          <w:lang w:val="en_US" w:bidi="en_US"/>
        </w:rPr>
        <w:t xml:space="preserve"> The Greek phrase that the BSB translates as </w:t>
      </w:r>
      <w:r>
        <w:rPr>
          <w:i/>
          <w:lang w:val="en_US" w:bidi="en_US"/>
        </w:rPr>
        <w:t>keeps pestering me</w:t>
      </w:r>
      <w:r>
        <w:rPr>
          <w:lang w:val="en_US" w:bidi="en_US"/>
        </w:rPr>
        <w:t xml:space="preserve"> is more literally “causes me trouble/labor.” Some other ways to translate this are:</w:t>
      </w:r>
    </w:p>
    <w:p>
      <w:pPr/>
      <w:r>
        <w:rPr>
          <w:lang w:val="en_US" w:bidi="en_US"/>
        </w:rPr>
      </w:r>
      <w:r>
        <w:rPr>
          <w:lang w:val="en_US" w:bidi="en_US"/>
        </w:rPr>
        <w:t>disturbs me</w:t>
      </w:r>
    </w:p>
    <w:p>
      <w:pPr/>
      <w:r>
        <w:rPr>
          <w:lang w:val="en_US" w:bidi="en_US"/>
        </w:rPr>
      </w:r>
      <w:r>
        <w:rPr>
          <w:lang w:val="en_US" w:bidi="en_US"/>
        </w:rPr>
        <w:t>causes me a lot of trouble</w:t>
      </w:r>
    </w:p>
    <w:p>
      <w:pPr/>
      <w:r>
        <w:rPr>
          <w:lang w:val="en_US" w:bidi="en_US"/>
        </w:rPr>
      </w:r>
      <w:r>
        <w:rPr>
          <w:lang w:val="en_US" w:bidi="en_US"/>
        </w:rPr>
        <w:t>is a great nuisance/annoyance to me</w:t>
      </w:r>
    </w:p>
    <w:p>
      <w:pPr/>
      <w:r>
        <w:rPr>
          <w:lang w:val="en_US" w:bidi="en_US"/>
        </w:rPr>
      </w:r>
      <w:r>
        <w:rPr>
          <w:lang w:val="en_US" w:bidi="en_US"/>
        </w:rPr>
        <w:t>In some languages there may be an idiom to express this. For example:</w:t>
      </w:r>
    </w:p>
    <w:p>
      <w:pPr/>
      <w:r>
        <w:rPr>
          <w:lang w:val="en_US" w:bidi="en_US"/>
        </w:rPr>
      </w:r>
      <w:r>
        <w:rPr>
          <w:lang w:val="en_US" w:bidi="en_US"/>
        </w:rPr>
        <w:t>is driving me crazy (NLT)</w:t>
      </w:r>
    </w:p>
    <w:p>
      <w:pPr>
        <w:pStyle w:val="Heading5"/>
      </w:pPr>
      <w:r>
        <w:rPr>
          <w:lang w:val="en_US" w:bidi="en_US"/>
        </w:rPr>
        <w:t>18:5b</w:t>
      </w:r>
    </w:p>
    <w:p>
      <w:pPr/>
      <w:r>
        <w:rPr>
          <w:lang w:val="en_US" w:bidi="en_US"/>
        </w:rPr>
      </w:r>
      <w:r>
        <w:rPr>
          <w:b/>
          <w:lang w:val="en_US" w:bidi="en_US"/>
        </w:rPr>
        <w:t>I will give her justice.</w:t>
      </w:r>
    </w:p>
    <w:p>
      <w:pPr>
        <w:pStyle w:val="ListBullet"/>
        <w:spacing w:line="240" w:lineRule="auto"/>
        <w:ind w:left="720"/>
      </w:pPr>
      <w:r>
        <w:rPr>
          <w:lang w:val="en_US" w:bidi="en_US"/>
        </w:rPr>
      </w:r>
      <w:r>
        <w:rPr>
          <w:lang w:val="en_US" w:bidi="en_US"/>
        </w:rPr>
        <w:t xml:space="preserve">I will make a just </w:t>
      </w:r>
      <w:r>
        <w:rPr>
          <w:lang w:val="en_US" w:bidi="en_US"/>
        </w:rPr>
        <w:t>decision</w:t>
      </w:r>
      <w:r>
        <w:rPr>
          <w:lang w:val="en_US" w:bidi="en_US"/>
        </w:rPr>
        <w:t xml:space="preserve"> for her.</w:t>
      </w:r>
    </w:p>
    <w:p>
      <w:pPr>
        <w:pStyle w:val="ListBullet"/>
        <w:spacing w:line="240" w:lineRule="auto"/>
        <w:ind w:left="720"/>
      </w:pPr>
      <w:r>
        <w:rPr>
          <w:lang w:val="en_US" w:bidi="en_US"/>
        </w:rPr>
      </w:r>
      <w:r>
        <w:rPr>
          <w:lang w:val="en_US" w:bidi="en_US"/>
        </w:rPr>
        <w:t>I must do what is right for her</w:t>
      </w:r>
    </w:p>
    <w:p>
      <w:pPr>
        <w:pStyle w:val="ListBullet"/>
        <w:spacing w:line="240" w:lineRule="auto"/>
        <w:ind w:left="720"/>
      </w:pPr>
      <w:r>
        <w:rPr>
          <w:lang w:val="en_US" w:bidi="en_US"/>
        </w:rPr>
      </w:r>
      <w:r>
        <w:rPr>
          <w:lang w:val="en_US" w:bidi="en_US"/>
        </w:rPr>
        <w:t xml:space="preserve">so I will make </w:t>
      </w:r>
      <w:r>
        <w:rPr>
          <w:lang w:val="en_US" w:bidi="en_US"/>
        </w:rPr>
        <w:t>her enemy</w:t>
      </w:r>
      <w:r>
        <w:rPr>
          <w:lang w:val="en_US" w:bidi="en_US"/>
        </w:rPr>
        <w:t xml:space="preserve"> treat her fairly.</w:t>
      </w:r>
    </w:p>
    <w:p>
      <w:pPr/>
      <w:r>
        <w:rPr>
          <w:lang w:val="en_US" w:bidi="en_US"/>
        </w:rPr>
      </w:r>
      <w:r>
        <w:rPr>
          <w:b/>
          <w:lang w:val="en_US" w:bidi="en_US"/>
        </w:rPr>
        <w:t>I will give her justice:</w:t>
      </w:r>
      <w:r>
        <w:rPr>
          <w:lang w:val="en_US" w:bidi="en_US"/>
        </w:rPr>
        <w:t xml:space="preserve"> The Greek clause that the BSB translates as </w:t>
      </w:r>
      <w:r>
        <w:rPr>
          <w:i/>
          <w:lang w:val="en_US" w:bidi="en_US"/>
        </w:rPr>
        <w:t>I will give her justice</w:t>
      </w:r>
      <w:r>
        <w:rPr>
          <w:lang w:val="en_US" w:bidi="en_US"/>
        </w:rPr>
        <w:t xml:space="preserve"> is the result of 18:5a. This clause uses the same verb that was used in the widow’s request for justice in 18:3. Here in 18:5b the clause probably implies that the judge would make the widow’s enemy treat her fairly. However, the verb itself has a more general meaning. Some other ways to translate this are:</w:t>
      </w:r>
    </w:p>
    <w:p>
      <w:pPr/>
      <w:r>
        <w:rPr>
          <w:lang w:val="en_US" w:bidi="en_US"/>
        </w:rPr>
      </w:r>
      <w:r>
        <w:rPr>
          <w:lang w:val="en_US" w:bidi="en_US"/>
        </w:rPr>
        <w:t>I will see that she gets justice (NIV)</w:t>
      </w:r>
    </w:p>
    <w:p>
      <w:pPr/>
      <w:r>
        <w:rPr>
          <w:lang w:val="en_US" w:bidi="en_US"/>
        </w:rPr>
      </w:r>
      <w:r>
        <w:rPr>
          <w:lang w:val="en_US" w:bidi="en_US"/>
        </w:rPr>
        <w:t>I will do what is right/just for her</w:t>
      </w:r>
    </w:p>
    <w:p>
      <w:pPr/>
      <w:r>
        <w:rPr>
          <w:lang w:val="en_US" w:bidi="en_US"/>
        </w:rPr>
      </w:r>
      <w:r>
        <w:rPr>
          <w:lang w:val="en_US" w:bidi="en_US"/>
        </w:rPr>
        <w:t>In some languages there is an idiom to express this. For example:</w:t>
      </w:r>
    </w:p>
    <w:p>
      <w:pPr/>
      <w:r>
        <w:rPr>
          <w:lang w:val="en_US" w:bidi="en_US"/>
        </w:rPr>
      </w:r>
      <w:r>
        <w:rPr>
          <w:lang w:val="en_US" w:bidi="en_US"/>
        </w:rPr>
        <w:t>I will uphold her rights</w:t>
      </w:r>
    </w:p>
    <w:p>
      <w:pPr/>
      <w:r>
        <w:rPr>
          <w:lang w:val="en_US" w:bidi="en_US"/>
        </w:rPr>
      </w:r>
      <w:r>
        <w:rPr>
          <w:lang w:val="en_US" w:bidi="en_US"/>
        </w:rPr>
        <w:t>I will see that she gets her rights</w:t>
      </w:r>
    </w:p>
    <w:p>
      <w:pPr/>
      <w:r>
        <w:rPr>
          <w:lang w:val="en_US" w:bidi="en_US"/>
        </w:rPr>
      </w:r>
      <w:r>
        <w:rPr>
          <w:lang w:val="en_US" w:bidi="en_US"/>
        </w:rPr>
        <w:t>Translate in a way that will show similarity between what the judge will do and what God will do for his people in 18:7.</w:t>
      </w:r>
    </w:p>
    <w:p>
      <w:pPr>
        <w:pStyle w:val="Heading5"/>
      </w:pPr>
      <w:r>
        <w:rPr>
          <w:lang w:val="en_US" w:bidi="en_US"/>
        </w:rPr>
        <w:t>18:5c</w:t>
      </w:r>
    </w:p>
    <w:p>
      <w:pPr/>
      <w:r>
        <w:rPr>
          <w:lang w:val="en_US" w:bidi="en_US"/>
        </w:rPr>
      </w:r>
      <w:r>
        <w:rPr>
          <w:b/>
          <w:lang w:val="en_US" w:bidi="en_US"/>
        </w:rPr>
        <w:t>Then she will stop wearing me out with her perpetual requests.’”</w:t>
      </w:r>
    </w:p>
    <w:p>
      <w:pPr>
        <w:pStyle w:val="ListBullet"/>
        <w:spacing w:line="240" w:lineRule="auto"/>
        <w:ind w:left="720"/>
      </w:pPr>
      <w:r>
        <w:rPr>
          <w:lang w:val="en_US" w:bidi="en_US"/>
        </w:rPr>
      </w:r>
      <w:r>
        <w:rPr>
          <w:lang w:val="en_US" w:bidi="en_US"/>
        </w:rPr>
        <w:t xml:space="preserve">Otherwise, she will continue to come </w:t>
      </w:r>
      <w:r>
        <w:rPr>
          <w:lang w:val="en_US" w:bidi="en_US"/>
        </w:rPr>
        <w:t>to me</w:t>
      </w:r>
      <w:r>
        <w:rPr>
          <w:lang w:val="en_US" w:bidi="en_US"/>
        </w:rPr>
        <w:t xml:space="preserve"> until she exhausts me.’”</w:t>
      </w:r>
    </w:p>
    <w:p>
      <w:pPr>
        <w:pStyle w:val="ListBullet"/>
        <w:spacing w:line="240" w:lineRule="auto"/>
        <w:ind w:left="720"/>
      </w:pPr>
      <w:r>
        <w:rPr>
          <w:lang w:val="en_US" w:bidi="en_US"/>
        </w:rPr>
      </w:r>
      <w:r>
        <w:rPr>
          <w:lang w:val="en_US" w:bidi="en_US"/>
        </w:rPr>
        <w:t xml:space="preserve">so that she will stop annoying/pestering me by coming </w:t>
      </w:r>
      <w:r>
        <w:rPr>
          <w:lang w:val="en_US" w:bidi="en_US"/>
        </w:rPr>
        <w:t>to me so often</w:t>
      </w:r>
      <w:r>
        <w:rPr>
          <w:lang w:val="en_US" w:bidi="en_US"/>
        </w:rPr>
        <w:t>.’”</w:t>
      </w:r>
    </w:p>
    <w:p>
      <w:pPr>
        <w:pStyle w:val="ListBullet"/>
        <w:spacing w:line="240" w:lineRule="auto"/>
        <w:ind w:left="720"/>
      </w:pPr>
      <w:r>
        <w:rPr>
          <w:lang w:val="en_US" w:bidi="en_US"/>
        </w:rPr>
      </w:r>
      <w:r>
        <w:rPr>
          <w:lang w:val="en_US" w:bidi="en_US"/>
        </w:rPr>
        <w:t>Then she will not come to plead with me anymore, and I will have peace/relief.’”</w:t>
      </w:r>
    </w:p>
    <w:p>
      <w:pPr/>
      <w:r>
        <w:rPr>
          <w:lang w:val="en_US" w:bidi="en_US"/>
        </w:rPr>
      </w:r>
      <w:r>
        <w:rPr>
          <w:b/>
          <w:lang w:val="en_US" w:bidi="en_US"/>
        </w:rPr>
        <w:t>Then she will stop wearing me out with her perpetual requests:</w:t>
      </w:r>
      <w:r>
        <w:rPr>
          <w:lang w:val="en_US" w:bidi="en_US"/>
        </w:rPr>
        <w:t xml:space="preserve"> The phrase </w:t>
      </w:r>
      <w:r>
        <w:rPr>
          <w:i/>
          <w:lang w:val="en_US" w:bidi="en_US"/>
        </w:rPr>
        <w:t>she will stop wearing me out</w:t>
      </w:r>
      <w:r>
        <w:rPr>
          <w:lang w:val="en_US" w:bidi="en_US"/>
        </w:rPr>
        <w:t xml:space="preserve"> introduces the purpose that the judge had for helping the widow. He wanted to cause her to stop coming to him so that she would not eventually wear him out. Some other ways to translate this clause are:</w:t>
      </w:r>
    </w:p>
    <w:p>
      <w:pPr/>
      <w:r>
        <w:rPr>
          <w:lang w:val="en_US" w:bidi="en_US"/>
        </w:rPr>
      </w:r>
      <w:r>
        <w:rPr>
          <w:lang w:val="en_US" w:bidi="en_US"/>
        </w:rPr>
        <w:t>Otherwise, she will continue to bother me until I am worn out. (NCV)</w:t>
      </w:r>
    </w:p>
    <w:p>
      <w:pPr/>
      <w:r>
        <w:rPr>
          <w:lang w:val="en_US" w:bidi="en_US"/>
        </w:rPr>
      </w:r>
      <w:r>
        <w:rPr>
          <w:lang w:val="en_US" w:bidi="en_US"/>
        </w:rPr>
        <w:t xml:space="preserve">If I do not </w:t>
      </w:r>
      <w:r>
        <w:rPr>
          <w:lang w:val="en_US" w:bidi="en_US"/>
        </w:rPr>
        <w:t>give her justice</w:t>
      </w:r>
      <w:r>
        <w:rPr>
          <w:lang w:val="en_US" w:bidi="en_US"/>
        </w:rPr>
        <w:t>, she will keep coming until she wears me out.</w:t>
      </w:r>
    </w:p>
    <w:p>
      <w:pPr/>
      <w:r>
        <w:rPr>
          <w:lang w:val="en_US" w:bidi="en_US"/>
        </w:rPr>
      </w:r>
      <w:r>
        <w:rPr>
          <w:lang w:val="en_US" w:bidi="en_US"/>
        </w:rPr>
        <w:t>…so that she will not beat me down by her continual coming. (ESV)</w:t>
      </w:r>
    </w:p>
    <w:p>
      <w:pPr/>
      <w:r>
        <w:rPr>
          <w:lang w:val="en_US" w:bidi="en_US"/>
        </w:rPr>
      </w:r>
      <w:r>
        <w:rPr>
          <w:b/>
          <w:lang w:val="en_US" w:bidi="en_US"/>
        </w:rPr>
        <w:t>stop wearing me out with her perpetual requests:</w:t>
      </w:r>
      <w:r>
        <w:rPr>
          <w:lang w:val="en_US" w:bidi="en_US"/>
        </w:rPr>
        <w:t xml:space="preserve"> The phrase </w:t>
      </w:r>
      <w:r>
        <w:rPr>
          <w:i/>
          <w:lang w:val="en_US" w:bidi="en_US"/>
        </w:rPr>
        <w:t>with her perpetual requests</w:t>
      </w:r>
      <w:r>
        <w:rPr>
          <w:lang w:val="en_US" w:bidi="en_US"/>
        </w:rPr>
        <w:t xml:space="preserve"> expresses the way that the widow would eventually wear out the judge. She would keep coming to him with her requests. As a result, she would wear him out. See the examples in the preceding note.</w:t>
      </w:r>
    </w:p>
    <w:p>
      <w:pPr/>
      <w:r>
        <w:rPr>
          <w:lang w:val="en_US" w:bidi="en_US"/>
        </w:rPr>
      </w:r>
      <w:r>
        <w:rPr>
          <w:lang w:val="en_US" w:bidi="en_US"/>
        </w:rPr>
        <w:t>The Greek includes the phrase “in the end.” It refers here to the end or result of a long process. After the widow had come to the judge many times, the judge would be worn out. Some versions, such as the NET, translate this phrase literally. Another way to translate it is:</w:t>
      </w:r>
    </w:p>
    <w:p>
      <w:pPr/>
      <w:r>
        <w:rPr>
          <w:lang w:val="en_US" w:bidi="en_US"/>
        </w:rPr>
      </w:r>
      <w:r>
        <w:rPr>
          <w:lang w:val="en_US" w:bidi="en_US"/>
        </w:rPr>
        <w:t>eventually (NIV)</w:t>
      </w:r>
    </w:p>
    <w:p>
      <w:pPr/>
      <w:r>
        <w:rPr>
          <w:lang w:val="en_US" w:bidi="en_US"/>
        </w:rPr>
      </w:r>
      <w:r>
        <w:rPr>
          <w:lang w:val="en_US" w:bidi="en_US"/>
        </w:rPr>
        <w:t>The BSB and several other English versions do not translate this phrase. Decide whether you need to represent it explicitly for its meaning to be clear in your translation.</w:t>
      </w:r>
    </w:p>
    <w:p>
      <w:pPr/>
      <w:r>
        <w:rPr>
          <w:lang w:val="en_US" w:bidi="en_US"/>
        </w:rPr>
      </w:r>
      <w:r>
        <w:rPr>
          <w:b/>
          <w:lang w:val="en_US" w:bidi="en_US"/>
        </w:rPr>
        <w:t>wearing me out:</w:t>
      </w:r>
      <w:r>
        <w:rPr>
          <w:lang w:val="en_US" w:bidi="en_US"/>
        </w:rPr>
        <w:t xml:space="preserve"> The Greek verb that the BSB translates as </w:t>
      </w:r>
      <w:r>
        <w:rPr>
          <w:i/>
          <w:lang w:val="en_US" w:bidi="en_US"/>
        </w:rPr>
        <w:t>wearing…out</w:t>
      </w:r>
      <w:r>
        <w:rPr>
          <w:lang w:val="en_US" w:bidi="en_US"/>
        </w:rPr>
        <w:t xml:space="preserve"> occurs only here and in 1 Corinthians 9:27 in the New Testament. It has several possible meanings in this context:</w:t>
      </w:r>
      <w:r>
        <w:rPr>
          <w:lang w:val="en_US" w:bidi="en_US"/>
        </w:rPr>
        <w:t xml:space="preserve">In discussing the meaning of this word, BDAG, p. 1043, specifically mentions this text in 2 of the 3 senses. It says:“To blacken an eye…strike in the face….of a woman, who is driven to desperation and who the judge in the story thinks might in the end express herself physically…. ‘so that she might not finally come and blacken my eye’ Luke 18:5. Hyperbole is stock-in-trade of popular storytelling.”Of the other sense, it says, “To bring someone to submission by constant annoyance, wear down, figurative extension of 1…. In this interpretation </w:t>
      </w:r>
      <w:r>
        <w:rPr>
          <w:i/>
          <w:lang w:val="en_US" w:bidi="en_US"/>
        </w:rPr>
        <w:t>hupōpiazō</w:t>
      </w:r>
      <w:r>
        <w:rPr>
          <w:lang w:val="en_US" w:bidi="en_US"/>
        </w:rPr>
        <w:t xml:space="preserve"> in Luke 18:5 has its meaning determined by </w:t>
      </w:r>
      <w:r>
        <w:rPr>
          <w:i/>
          <w:lang w:val="en_US" w:bidi="en_US"/>
        </w:rPr>
        <w:t>eis telos</w:t>
      </w:r>
      <w:r>
        <w:rPr>
          <w:lang w:val="en_US" w:bidi="en_US"/>
        </w:rPr>
        <w:t xml:space="preserve">. But in such case the denouement lacks punch, for the judge has already been worn down and wants nothing added to the </w:t>
      </w:r>
      <w:r>
        <w:rPr>
          <w:i/>
          <w:lang w:val="en_US" w:bidi="en_US"/>
        </w:rPr>
        <w:t>kopos</w:t>
      </w:r>
      <w:r>
        <w:rPr>
          <w:lang w:val="en_US" w:bidi="en_US"/>
        </w:rPr>
        <w:t xml:space="preserve"> that he has already endured. A more appropriate rendering for a figurative sense would be </w:t>
      </w:r>
      <w:r>
        <w:rPr>
          <w:i/>
          <w:lang w:val="en_US" w:bidi="en_US"/>
        </w:rPr>
        <w:t>browbeat</w:t>
      </w:r>
      <w:r>
        <w:rPr>
          <w:lang w:val="en_US" w:bidi="en_US"/>
        </w:rPr>
        <w:t xml:space="preserve">; a figurative expression (common throughout Asia), blacken my face=slander, besmirch underlies </w:t>
      </w:r>
      <w:r>
        <w:rPr>
          <w:i/>
          <w:lang w:val="en_US" w:bidi="en_US"/>
        </w:rPr>
        <w:t>hupōpiazō</w:t>
      </w:r>
      <w:r>
        <w:rPr>
          <w:lang w:val="en_US" w:bidi="en_US"/>
        </w:rPr>
        <w:t xml:space="preserve"> here.”</w:t>
      </w:r>
    </w:p>
    <w:p>
      <w:pPr>
        <w:pStyle w:val="ListNumber"/>
        <w:numPr>
          <w:ilvl w:val="0"/>
          <w:numId w:val="299"/>
        </w:numPr>
        <w:spacing w:line="240" w:lineRule="auto"/>
        <w:ind w:left="720"/>
      </w:pPr>
      <w:r>
        <w:rPr>
          <w:lang w:val="en_US" w:bidi="en_US"/>
        </w:rPr>
      </w:r>
      <w:r>
        <w:rPr>
          <w:lang w:val="en_US" w:bidi="en_US"/>
        </w:rPr>
        <w:t>It refers figuratively to the result of bothering a person in order to cause him to do a particular action. For example:</w:t>
      </w:r>
      <w:r>
        <w:rPr>
          <w:lang w:val="en_US" w:bidi="en_US"/>
        </w:rPr>
        <w:t xml:space="preserve">until she wears me out (GW) </w:t>
      </w:r>
      <w:r>
        <w:rPr>
          <w:i/>
          <w:lang w:val="en_US" w:bidi="en_US"/>
        </w:rPr>
        <w:t>(BSB, NIV, GNT, RSV, CEV, REB, GW, NASB, NET, NLT, NCV, KJV, ESV)</w:t>
      </w:r>
    </w:p>
    <w:p>
      <w:pPr>
        <w:pStyle w:val="ListNumber"/>
        <w:spacing w:line="240" w:lineRule="auto"/>
        <w:ind w:left="720"/>
      </w:pPr>
      <w:r>
        <w:rPr>
          <w:lang w:val="en_US" w:bidi="en_US"/>
        </w:rPr>
      </w:r>
      <w:r>
        <w:rPr>
          <w:lang w:val="en_US" w:bidi="en_US"/>
        </w:rPr>
        <w:t>It refers literally to slapping a person’s face or hitting him under the eye, causing the skin to become black/dark.</w:t>
      </w:r>
      <w:r>
        <w:rPr>
          <w:lang w:val="en_US" w:bidi="en_US"/>
        </w:rPr>
        <w:t>The NASB note suggests that a more literal meaning for this Greek word would be “hit me under the eye.”</w:t>
      </w:r>
      <w:r>
        <w:rPr>
          <w:lang w:val="en_US" w:bidi="en_US"/>
        </w:rPr>
        <w:t xml:space="preserve"> Here is another way to translate this:</w:t>
      </w:r>
      <w:r>
        <w:rPr>
          <w:lang w:val="en_US" w:bidi="en_US"/>
        </w:rPr>
        <w:t xml:space="preserve">she will come and slap me in the face (NJB) </w:t>
      </w:r>
      <w:r>
        <w:rPr>
          <w:i/>
          <w:lang w:val="en_US" w:bidi="en_US"/>
        </w:rPr>
        <w:t>(NIV11, NJB)</w:t>
      </w:r>
    </w:p>
    <w:p>
      <w:pPr>
        <w:pStyle w:val="ListNumber"/>
        <w:spacing w:line="240" w:lineRule="auto"/>
        <w:ind w:left="720"/>
      </w:pPr>
      <w:r>
        <w:rPr>
          <w:lang w:val="en_US" w:bidi="en_US"/>
        </w:rPr>
      </w:r>
      <w:r>
        <w:rPr>
          <w:lang w:val="en_US" w:bidi="en_US"/>
        </w:rPr>
        <w:t>It refers figuratively to shaming a person.</w:t>
      </w:r>
      <w:r>
        <w:rPr>
          <w:lang w:val="en_US" w:bidi="en_US"/>
        </w:rPr>
        <w:t xml:space="preserve">Hultgren (p. 255) says, “The verb is accompanied by the adverbial modifier </w:t>
      </w:r>
      <w:r>
        <w:rPr>
          <w:i/>
          <w:lang w:val="en_US" w:bidi="en_US"/>
        </w:rPr>
        <w:t>eis telos</w:t>
      </w:r>
      <w:r>
        <w:rPr>
          <w:lang w:val="en_US" w:bidi="en_US"/>
        </w:rPr>
        <w:t xml:space="preserve">. This can mean ‘in the end, finally’….the verb could refer to some future action that the woman is capable of doing (rather than simply the conclusion of what she has been doing). She will give the judge a black eye; metaphorically, she will make him look bad in public. She will defame (so </w:t>
      </w:r>
      <w:r>
        <w:rPr>
          <w:i/>
          <w:lang w:val="en_US" w:bidi="en_US"/>
        </w:rPr>
        <w:t>hupōpiazō</w:t>
      </w:r>
      <w:r>
        <w:rPr>
          <w:lang w:val="en_US" w:bidi="en_US"/>
        </w:rPr>
        <w:t xml:space="preserve"> might be translated) him for not responding to her continual coming for vindication.” The Rheims of 1582 reads: “lest at last she come and defame me” (cited in Derrett, pp. 190–191).</w:t>
      </w:r>
      <w:r>
        <w:rPr>
          <w:lang w:val="en_US" w:bidi="en_US"/>
        </w:rPr>
        <w:t xml:space="preserve"> The widow would talk about the unfairness of the judge and cause other people to think that he was bad. For example:</w:t>
      </w:r>
      <w:r>
        <w:rPr>
          <w:lang w:val="en_US" w:bidi="en_US"/>
        </w:rPr>
        <w:t>She will defame/shame me.</w:t>
      </w:r>
    </w:p>
    <w:p>
      <w:pPr/>
      <w:r>
        <w:rPr>
          <w:lang w:val="en_US" w:bidi="en_US"/>
        </w:rPr>
      </w:r>
      <w:r>
        <w:rPr>
          <w:lang w:val="en_US" w:bidi="en_US"/>
        </w:rPr>
        <w:t>It is recommended that you follow interpretation (1), along with most English versions.</w:t>
      </w:r>
      <w:r>
        <w:rPr>
          <w:lang w:val="en_US" w:bidi="en_US"/>
        </w:rPr>
        <w:t>However, interpretation (3) is based on a figurative expression (“blacken my face”) that is common in the Middle East. It is also similar to the interpretation that the Notes preferred in Luke 11:8c.</w:t>
      </w:r>
    </w:p>
    <w:p>
      <w:pPr/>
      <w:r>
        <w:rPr>
          <w:lang w:val="en_US" w:bidi="en_US"/>
        </w:rPr>
      </w:r>
      <w:r>
        <w:rPr>
          <w:lang w:val="en_US" w:bidi="en_US"/>
        </w:rPr>
        <w:t xml:space="preserve">The phrase </w:t>
      </w:r>
      <w:r>
        <w:rPr>
          <w:i/>
          <w:lang w:val="en_US" w:bidi="en_US"/>
        </w:rPr>
        <w:t>wearing…out</w:t>
      </w:r>
      <w:r>
        <w:rPr>
          <w:lang w:val="en_US" w:bidi="en_US"/>
        </w:rPr>
        <w:t xml:space="preserve"> is an English idiom. It describes the feeling that a person has after someone has bothered him for a long time. He feels that he cannot endure that irritation any longer. In other languages there may also be an idiom to express this idea. For example:</w:t>
      </w:r>
    </w:p>
    <w:p>
      <w:pPr/>
      <w:r>
        <w:rPr>
          <w:lang w:val="en_US" w:bidi="en_US"/>
        </w:rPr>
      </w:r>
      <w:r>
        <w:rPr>
          <w:lang w:val="en_US" w:bidi="en_US"/>
        </w:rPr>
        <w:t>so that she will not beat me down by her continual coming (ESV)</w:t>
      </w:r>
    </w:p>
    <w:p>
      <w:pPr/>
      <w:r>
        <w:rPr>
          <w:lang w:val="en_US" w:bidi="en_US"/>
        </w:rPr>
      </w:r>
      <w:r>
        <w:rPr>
          <w:lang w:val="en_US" w:bidi="en_US"/>
        </w:rPr>
        <w:t>her continual visits will be the death of me (JBP)</w:t>
      </w:r>
    </w:p>
    <w:p>
      <w:pPr/>
      <w:r>
        <w:rPr>
          <w:lang w:val="en_US" w:bidi="en_US"/>
        </w:rPr>
      </w:r>
      <w:r>
        <w:rPr>
          <w:lang w:val="en_US" w:bidi="en_US"/>
        </w:rPr>
        <w:t>she will keep coming until I am too annoyed to endure it</w:t>
      </w:r>
    </w:p>
    <w:p>
      <w:pPr>
        <w:pStyle w:val="Heading6"/>
      </w:pPr>
      <w:r>
        <w:rPr>
          <w:b/>
          <w:lang w:val="en_US" w:bidi="en_US"/>
        </w:rPr>
        <w:t>General Comment on 18:4c–5c</w:t>
      </w:r>
    </w:p>
    <w:p>
      <w:pPr/>
      <w:r>
        <w:rPr>
          <w:lang w:val="en_US" w:bidi="en_US"/>
        </w:rPr>
      </w:r>
      <w:r>
        <w:rPr>
          <w:lang w:val="en_US" w:bidi="en_US"/>
        </w:rPr>
        <w:t>In some languages it may be more natural to reorder the clauses in these verses. For example:</w:t>
      </w:r>
    </w:p>
    <w:p>
      <w:pPr/>
      <w:r>
        <w:rPr>
          <w:lang w:val="en_US" w:bidi="en_US"/>
        </w:rPr>
      </w:r>
      <w:r>
        <w:rPr>
          <w:vertAlign w:val="superscript"/>
          <w:lang w:val="en_US" w:bidi="en_US"/>
        </w:rPr>
        <w:t>5a</w:t>
      </w:r>
      <w:r>
        <w:rPr>
          <w:lang w:val="en_US" w:bidi="en_US"/>
        </w:rPr>
        <w:t xml:space="preserve">This widow is bothering me. </w:t>
      </w:r>
      <w:r>
        <w:rPr>
          <w:vertAlign w:val="superscript"/>
          <w:lang w:val="en_US" w:bidi="en_US"/>
        </w:rPr>
        <w:t>5c</w:t>
      </w:r>
      <w:r>
        <w:rPr>
          <w:lang w:val="en_US" w:bidi="en_US"/>
        </w:rPr>
        <w:t xml:space="preserve">She will keep coming until she annoys me too much. </w:t>
      </w:r>
      <w:r>
        <w:rPr>
          <w:vertAlign w:val="superscript"/>
          <w:lang w:val="en_US" w:bidi="en_US"/>
        </w:rPr>
        <w:t>5b</w:t>
      </w:r>
      <w:r>
        <w:rPr>
          <w:lang w:val="en_US" w:bidi="en_US"/>
        </w:rPr>
        <w:t xml:space="preserve">So </w:t>
      </w:r>
      <w:r>
        <w:rPr>
          <w:vertAlign w:val="superscript"/>
          <w:lang w:val="en_US" w:bidi="en_US"/>
        </w:rPr>
        <w:t>4c</w:t>
      </w:r>
      <w:r>
        <w:rPr>
          <w:lang w:val="en_US" w:bidi="en_US"/>
        </w:rPr>
        <w:t xml:space="preserve">even though I do not respect either God or human beings, </w:t>
      </w:r>
      <w:r>
        <w:rPr>
          <w:vertAlign w:val="superscript"/>
          <w:lang w:val="en_US" w:bidi="en_US"/>
        </w:rPr>
        <w:t>5b</w:t>
      </w:r>
      <w:r>
        <w:rPr>
          <w:lang w:val="en_US" w:bidi="en_US"/>
        </w:rPr>
        <w:t>I will see that she gets justice.</w:t>
      </w:r>
    </w:p>
    <w:p>
      <w:pPr/>
      <w:r>
        <w:rPr>
          <w:lang w:val="en_US" w:bidi="en_US"/>
        </w:rPr>
      </w:r>
      <w:r>
        <w:rPr>
          <w:lang w:val="en_US" w:bidi="en_US"/>
        </w:rPr>
        <w:t>Notice that this order puts the judge’s decision at the end of the verse.</w:t>
      </w:r>
      <w:r>
        <w:rPr>
          <w:lang w:val="en_US" w:bidi="en_US"/>
        </w:rPr>
      </w:r>
      <w:r>
        <w:rPr>
          <w:lang w:val="en_US" w:bidi="en_US"/>
        </w:rPr>
      </w:r>
    </w:p>
    <w:p>
      <w:pPr/>
      <w:r>
        <w:rPr>
          <w:lang w:val="en_US" w:bidi="en_US"/>
        </w:rPr>
      </w:r>
    </w:p>
    <w:p>
      <w:pPr>
        <w:pStyle w:val="Heading2"/>
      </w:pPr>
      <w:r>
        <w:rPr>
          <w:lang w:val="en_US" w:bidi="en_US"/>
        </w:rPr>
        <w:t>Luke 18:6</w:t>
      </w:r>
      <w:r>
        <w:rPr>
          <w:lang w:val="en_US" w:bidi="en_US"/>
        </w:rPr>
      </w:r>
    </w:p>
    <w:p>
      <w:pPr>
        <w:pStyle w:val="Heading4"/>
      </w:pPr>
      <w:r>
        <w:rPr>
          <w:lang w:val="en_US" w:bidi="en_US"/>
        </w:rPr>
        <w:t>Section 18:1–8: Jesus told a story to teach his disciples to pray persistently</w:t>
      </w:r>
    </w:p>
    <w:p>
      <w:pPr/>
      <w:r>
        <w:rPr>
          <w:lang w:val="en_US" w:bidi="en_US"/>
        </w:rPr>
      </w:r>
      <w:r>
        <w:rPr>
          <w:lang w:val="en_US" w:bidi="en_US"/>
        </w:rPr>
        <w:t>At the end of chapter 17, Jesus told his disciples about the coming of the Son of Man. In this section, he concluded this teaching by telling them a parable about praying persistently.</w:t>
      </w:r>
      <w:r>
        <w:rPr>
          <w:lang w:val="en_US" w:bidi="en_US"/>
        </w:rPr>
        <w:t>Bock (p. 1444) says: “The parable of the nagging widow and the consenting judge is linked to the previous eschatological discourse by the reference in Luke 18:8 to the Son of Man’s return. Its plea that believers ask God for justice looks back to the vindication of the saints described in 17:22–37.”</w:t>
      </w:r>
      <w:r>
        <w:rPr>
          <w:lang w:val="en_US" w:bidi="en_US"/>
        </w:rPr>
        <w:t xml:space="preserve"> He used the parable to teach them that they should continue to trust God and pray to him. They should not become discouraged when they suffer unjustly, because Jesus will return, and God will give them justice.</w:t>
      </w:r>
    </w:p>
    <w:p>
      <w:pPr/>
      <w:r>
        <w:rPr>
          <w:lang w:val="en_US" w:bidi="en_US"/>
        </w:rPr>
      </w:r>
      <w:r>
        <w:rPr>
          <w:lang w:val="en_US" w:bidi="en_US"/>
        </w:rPr>
        <w:t>Justice is an important theme in this parable. Phrases about justice occur four times. Each phrase uses a form of the same Greek word, so you will probably want to translate the phrases in a similar way:</w:t>
      </w:r>
    </w:p>
    <w:p>
      <w:pPr/>
      <w:r>
        <w:rPr>
          <w:lang w:val="en_US" w:bidi="en_US"/>
        </w:rPr>
      </w:r>
      <w:r>
        <w:rPr>
          <w:lang w:val="en_US" w:bidi="en_US"/>
        </w:rPr>
        <w:t>Grant me justice (18:3)</w:t>
      </w:r>
    </w:p>
    <w:p>
      <w:pPr/>
      <w:r>
        <w:rPr>
          <w:lang w:val="en_US" w:bidi="en_US"/>
        </w:rPr>
      </w:r>
      <w:r>
        <w:rPr>
          <w:lang w:val="en_US" w:bidi="en_US"/>
        </w:rPr>
        <w:t>see that she gets justice (18:5)</w:t>
      </w:r>
    </w:p>
    <w:p>
      <w:pPr/>
      <w:r>
        <w:rPr>
          <w:lang w:val="en_US" w:bidi="en_US"/>
        </w:rPr>
      </w:r>
      <w:r>
        <w:rPr>
          <w:lang w:val="en_US" w:bidi="en_US"/>
        </w:rPr>
        <w:t>will not God bring about justice (18:7)</w:t>
      </w:r>
    </w:p>
    <w:p>
      <w:pPr/>
      <w:r>
        <w:rPr>
          <w:lang w:val="en_US" w:bidi="en_US"/>
        </w:rPr>
      </w:r>
      <w:r>
        <w:rPr>
          <w:lang w:val="en_US" w:bidi="en_US"/>
        </w:rPr>
        <w:t>he will see that they get justice (18:8)</w:t>
      </w:r>
    </w:p>
    <w:p>
      <w:pPr/>
      <w:r>
        <w:rPr>
          <w:lang w:val="en_US" w:bidi="en_US"/>
        </w:rPr>
      </w:r>
      <w:r>
        <w:rPr>
          <w:lang w:val="en_US" w:bidi="en_US"/>
        </w:rPr>
        <w:t>It is good to translate this section before you decide on a heading for it. Some examples of headings for this section are:</w:t>
      </w:r>
    </w:p>
    <w:p>
      <w:pPr/>
      <w:r>
        <w:rPr>
          <w:lang w:val="en_US" w:bidi="en_US"/>
        </w:rPr>
      </w:r>
      <w:r>
        <w:rPr>
          <w:lang w:val="en_US" w:bidi="en_US"/>
        </w:rPr>
        <w:t>The Parable of the Persistent Widow (NIV)</w:t>
      </w:r>
    </w:p>
    <w:p>
      <w:pPr/>
      <w:r>
        <w:rPr>
          <w:lang w:val="en_US" w:bidi="en_US"/>
        </w:rPr>
      </w:r>
      <w:r>
        <w:rPr>
          <w:lang w:val="en_US" w:bidi="en_US"/>
        </w:rPr>
        <w:t>Jesus told a parable about a widow coming repeatedly to an unjust judge</w:t>
      </w:r>
    </w:p>
    <w:p>
      <w:pPr/>
      <w:r>
        <w:rPr>
          <w:lang w:val="en_US" w:bidi="en_US"/>
        </w:rPr>
      </w:r>
      <w:r>
        <w:rPr>
          <w:lang w:val="en_US" w:bidi="en_US"/>
        </w:rPr>
        <w:t>The parable of the unjust judge</w:t>
      </w:r>
    </w:p>
    <w:p>
      <w:pPr/>
      <w:r>
        <w:rPr>
          <w:lang w:val="en_US" w:bidi="en_US"/>
        </w:rPr>
      </w:r>
      <w:r>
        <w:rPr>
          <w:lang w:val="en_US" w:bidi="en_US"/>
        </w:rPr>
        <w:t>God Will Answer His People (NCV)</w:t>
      </w:r>
    </w:p>
    <w:p>
      <w:pPr/>
      <w:r>
        <w:rPr>
          <w:lang w:val="en_US" w:bidi="en_US"/>
        </w:rPr>
      </w:r>
      <w:r>
        <w:rPr>
          <w:lang w:val="en_US" w:bidi="en_US"/>
        </w:rPr>
        <w:t>Luke is the only gospel that has this story. It is similar in some ways to the parable in 11:5–10.</w:t>
      </w:r>
    </w:p>
    <w:p>
      <w:pPr>
        <w:pStyle w:val="Heading4"/>
      </w:pPr>
      <w:r>
        <w:rPr>
          <w:lang w:val="en_US" w:bidi="en_US"/>
        </w:rPr>
        <w:t>Paragraph 18:6–8</w:t>
      </w:r>
    </w:p>
    <w:p>
      <w:pPr/>
      <w:r>
        <w:rPr>
          <w:lang w:val="en_US" w:bidi="en_US"/>
        </w:rPr>
      </w:r>
      <w:r>
        <w:rPr>
          <w:lang w:val="en_US" w:bidi="en_US"/>
        </w:rPr>
        <w:t>In this paragraph Jesus told his disciples what he wanted them to learn from the parable in 18:1–5. Jesus contrasted God and his people with the judge and the widow. God is not like the unfair judge. God loves to help his people. The judge helped the widow because she asked him many times. God will certainly be much more willing to help his people get justice when they continue to pray to him. He will quickly help them.</w:t>
      </w:r>
      <w:r>
        <w:rPr>
          <w:lang w:val="en_US" w:bidi="en_US"/>
        </w:rPr>
        <w:t>Keener (p. 238) says, “This parable is a standard Jewish ‘how much more’…argument: if an unjust judge who cared not for widows can dispense justice, how much more will the righteous judge of all the earth, who was known as the defender of widows and orphans?”</w:t>
      </w:r>
    </w:p>
    <w:p>
      <w:pPr>
        <w:pStyle w:val="Heading5"/>
      </w:pPr>
      <w:r>
        <w:rPr>
          <w:lang w:val="en_US" w:bidi="en_US"/>
        </w:rPr>
        <w:t>18:6a</w:t>
      </w:r>
    </w:p>
    <w:p>
      <w:pPr/>
      <w:r>
        <w:rPr>
          <w:lang w:val="en_US" w:bidi="en_US"/>
        </w:rPr>
      </w:r>
      <w:r>
        <w:rPr>
          <w:b/>
          <w:lang w:val="en_US" w:bidi="en_US"/>
        </w:rPr>
        <w:t>And the Lord said,</w:t>
      </w:r>
    </w:p>
    <w:p>
      <w:pPr>
        <w:pStyle w:val="ListBullet"/>
        <w:spacing w:line="240" w:lineRule="auto"/>
        <w:ind w:left="720"/>
      </w:pPr>
      <w:r>
        <w:rPr>
          <w:lang w:val="en_US" w:bidi="en_US"/>
        </w:rPr>
      </w:r>
      <w:r>
        <w:rPr>
          <w:lang w:val="en_US" w:bidi="en_US"/>
        </w:rPr>
        <w:t>¶ Then the Lord said,</w:t>
      </w:r>
    </w:p>
    <w:p>
      <w:pPr>
        <w:pStyle w:val="ListBullet"/>
        <w:spacing w:line="240" w:lineRule="auto"/>
        <w:ind w:left="720"/>
      </w:pPr>
      <w:r>
        <w:rPr>
          <w:lang w:val="en_US" w:bidi="en_US"/>
        </w:rPr>
      </w:r>
      <w:r>
        <w:rPr>
          <w:lang w:val="en_US" w:bidi="en_US"/>
        </w:rPr>
        <w:t xml:space="preserve">¶ And the Lord </w:t>
      </w:r>
      <w:r>
        <w:rPr>
          <w:lang w:val="en_US" w:bidi="en_US"/>
        </w:rPr>
        <w:t>Jesus</w:t>
      </w:r>
      <w:r>
        <w:rPr>
          <w:lang w:val="en_US" w:bidi="en_US"/>
        </w:rPr>
        <w:t xml:space="preserve"> </w:t>
      </w:r>
      <w:r>
        <w:rPr>
          <w:lang w:val="en_US" w:bidi="en_US"/>
        </w:rPr>
        <w:t>also</w:t>
      </w:r>
      <w:r>
        <w:rPr>
          <w:lang w:val="en_US" w:bidi="en_US"/>
        </w:rPr>
        <w:t xml:space="preserve"> said,</w:t>
      </w:r>
    </w:p>
    <w:p>
      <w:pPr>
        <w:pStyle w:val="ListBullet"/>
        <w:spacing w:line="240" w:lineRule="auto"/>
        <w:ind w:left="720"/>
      </w:pPr>
      <w:r>
        <w:rPr>
          <w:lang w:val="en_US" w:bidi="en_US"/>
        </w:rPr>
      </w:r>
      <w:r>
        <w:rPr>
          <w:lang w:val="en_US" w:bidi="en_US"/>
        </w:rPr>
        <w:t xml:space="preserve">¶ </w:t>
      </w:r>
      <w:r>
        <w:rPr>
          <w:lang w:val="en_US" w:bidi="en_US"/>
        </w:rPr>
        <w:t>Our</w:t>
      </w:r>
      <w:r>
        <w:rPr>
          <w:lang w:val="en_US" w:bidi="en_US"/>
        </w:rPr>
        <w:t xml:space="preserve"> Lord </w:t>
      </w:r>
      <w:r>
        <w:rPr>
          <w:lang w:val="en_US" w:bidi="en_US"/>
        </w:rPr>
        <w:t>Jesus</w:t>
      </w:r>
      <w:r>
        <w:rPr>
          <w:lang w:val="en_US" w:bidi="en_US"/>
        </w:rPr>
        <w:t xml:space="preserve"> continued,</w:t>
      </w:r>
    </w:p>
    <w:p>
      <w:pPr/>
      <w:r>
        <w:rPr>
          <w:lang w:val="en_US" w:bidi="en_US"/>
        </w:rPr>
      </w:r>
      <w:r>
        <w:rPr>
          <w:b/>
          <w:lang w:val="en_US" w:bidi="en_US"/>
        </w:rPr>
        <w:t>And the Lord said:</w:t>
      </w:r>
      <w:r>
        <w:rPr>
          <w:lang w:val="en_US" w:bidi="en_US"/>
        </w:rPr>
        <w:t xml:space="preserve"> The phrase </w:t>
      </w:r>
      <w:r>
        <w:rPr>
          <w:i/>
          <w:lang w:val="en_US" w:bidi="en_US"/>
        </w:rPr>
        <w:t>And the Lord said</w:t>
      </w:r>
      <w:r>
        <w:rPr>
          <w:lang w:val="en_US" w:bidi="en_US"/>
        </w:rPr>
        <w:t xml:space="preserve"> introduces what Jesus told his disciples about the meaning of the parable. It indicates that Jesus had finished quoting what the judge in the parable said to himself. Other ways to translate this phrase are:</w:t>
      </w:r>
    </w:p>
    <w:p>
      <w:pPr/>
      <w:r>
        <w:rPr>
          <w:lang w:val="en_US" w:bidi="en_US"/>
        </w:rPr>
      </w:r>
      <w:r>
        <w:rPr>
          <w:lang w:val="en_US" w:bidi="en_US"/>
        </w:rPr>
        <w:t>Then the Lord said (NLT)</w:t>
      </w:r>
    </w:p>
    <w:p>
      <w:pPr/>
      <w:r>
        <w:rPr>
          <w:lang w:val="en_US" w:bidi="en_US"/>
        </w:rPr>
      </w:r>
      <w:r>
        <w:rPr>
          <w:lang w:val="en_US" w:bidi="en_US"/>
        </w:rPr>
        <w:t>And the Lord continued (GNT)</w:t>
      </w:r>
    </w:p>
    <w:p>
      <w:pPr/>
      <w:r>
        <w:rPr>
          <w:lang w:val="en_US" w:bidi="en_US"/>
        </w:rPr>
      </w:r>
      <w:r>
        <w:rPr>
          <w:b/>
          <w:lang w:val="en_US" w:bidi="en_US"/>
        </w:rPr>
        <w:t>the Lord:</w:t>
      </w:r>
      <w:r>
        <w:rPr>
          <w:lang w:val="en_US" w:bidi="en_US"/>
        </w:rPr>
        <w:t xml:space="preserve"> The word </w:t>
      </w:r>
      <w:r>
        <w:rPr>
          <w:i/>
          <w:lang w:val="en_US" w:bidi="en_US"/>
        </w:rPr>
        <w:t>Lord</w:t>
      </w:r>
      <w:r>
        <w:rPr>
          <w:lang w:val="en_US" w:bidi="en_US"/>
        </w:rPr>
        <w:t xml:space="preserve"> here refers to Jesus. In some languages you may need to refer to him more explicitly here. For example:</w:t>
      </w:r>
    </w:p>
    <w:p>
      <w:pPr/>
      <w:r>
        <w:rPr>
          <w:lang w:val="en_US" w:bidi="en_US"/>
        </w:rPr>
      </w:r>
      <w:r>
        <w:rPr>
          <w:lang w:val="en_US" w:bidi="en_US"/>
        </w:rPr>
        <w:t>the Lord Jesus</w:t>
      </w:r>
    </w:p>
    <w:p>
      <w:pPr/>
      <w:r>
        <w:rPr>
          <w:lang w:val="en_US" w:bidi="en_US"/>
        </w:rPr>
      </w:r>
      <w:r>
        <w:rPr>
          <w:lang w:val="en_US" w:bidi="en_US"/>
        </w:rPr>
        <w:t>our Lord</w:t>
      </w:r>
    </w:p>
    <w:p>
      <w:pPr>
        <w:pStyle w:val="Heading5"/>
      </w:pPr>
      <w:r>
        <w:rPr>
          <w:lang w:val="en_US" w:bidi="en_US"/>
        </w:rPr>
        <w:t>18:6b</w:t>
      </w:r>
    </w:p>
    <w:p>
      <w:pPr/>
      <w:r>
        <w:rPr>
          <w:lang w:val="en_US" w:bidi="en_US"/>
        </w:rPr>
      </w:r>
      <w:r>
        <w:rPr>
          <w:b/>
          <w:lang w:val="en_US" w:bidi="en_US"/>
        </w:rPr>
        <w:t>“Listen to the words of the unjust judge.</w:t>
      </w:r>
    </w:p>
    <w:p>
      <w:pPr>
        <w:pStyle w:val="ListBullet"/>
        <w:spacing w:line="240" w:lineRule="auto"/>
        <w:ind w:left="720"/>
      </w:pPr>
      <w:r>
        <w:rPr>
          <w:lang w:val="en_US" w:bidi="en_US"/>
        </w:rPr>
      </w:r>
      <w:r>
        <w:rPr>
          <w:lang w:val="en_US" w:bidi="en_US"/>
        </w:rPr>
        <w:t>“Pay</w:t>
      </w:r>
      <w:r>
        <w:rPr>
          <w:vertAlign w:val="superscript"/>
          <w:lang w:val="en_US" w:bidi="en_US"/>
        </w:rPr>
        <w:t>(plur)</w:t>
      </w:r>
      <w:r>
        <w:rPr>
          <w:lang w:val="en_US" w:bidi="en_US"/>
        </w:rPr>
        <w:t xml:space="preserve"> attention to what the unrighteous judge said.</w:t>
      </w:r>
    </w:p>
    <w:p>
      <w:pPr>
        <w:pStyle w:val="ListBullet"/>
        <w:spacing w:line="240" w:lineRule="auto"/>
        <w:ind w:left="720"/>
      </w:pPr>
      <w:r>
        <w:rPr>
          <w:lang w:val="en_US" w:bidi="en_US"/>
        </w:rPr>
      </w:r>
      <w:r>
        <w:rPr>
          <w:lang w:val="en_US" w:bidi="en_US"/>
        </w:rPr>
        <w:t>“Learn</w:t>
      </w:r>
      <w:r>
        <w:rPr>
          <w:vertAlign w:val="superscript"/>
          <w:lang w:val="en_US" w:bidi="en_US"/>
        </w:rPr>
        <w:t>(plur)</w:t>
      </w:r>
      <w:r>
        <w:rPr>
          <w:lang w:val="en_US" w:bidi="en_US"/>
        </w:rPr>
        <w:t xml:space="preserve"> from what the evil elder/man decided </w:t>
      </w:r>
      <w:r>
        <w:rPr>
          <w:lang w:val="en_US" w:bidi="en_US"/>
        </w:rPr>
        <w:t>to do</w:t>
      </w:r>
      <w:r>
        <w:rPr>
          <w:lang w:val="en_US" w:bidi="en_US"/>
        </w:rPr>
        <w:t>.</w:t>
      </w:r>
    </w:p>
    <w:p>
      <w:pPr>
        <w:pStyle w:val="ListBullet"/>
        <w:spacing w:line="240" w:lineRule="auto"/>
        <w:ind w:left="720"/>
      </w:pPr>
      <w:r>
        <w:rPr>
          <w:lang w:val="en_US" w:bidi="en_US"/>
        </w:rPr>
      </w:r>
      <w:r>
        <w:rPr>
          <w:lang w:val="en_US" w:bidi="en_US"/>
        </w:rPr>
        <w:t>“Think</w:t>
      </w:r>
      <w:r>
        <w:rPr>
          <w:vertAlign w:val="superscript"/>
          <w:lang w:val="en_US" w:bidi="en_US"/>
        </w:rPr>
        <w:t>(plur)</w:t>
      </w:r>
      <w:r>
        <w:rPr>
          <w:lang w:val="en_US" w:bidi="en_US"/>
        </w:rPr>
        <w:t xml:space="preserve"> about this. The judge was </w:t>
      </w:r>
      <w:r>
        <w:rPr>
          <w:lang w:val="en_US" w:bidi="en_US"/>
        </w:rPr>
        <w:t>usually</w:t>
      </w:r>
      <w:r>
        <w:rPr>
          <w:lang w:val="en_US" w:bidi="en_US"/>
        </w:rPr>
        <w:t xml:space="preserve"> unfair/corrupt. </w:t>
      </w:r>
      <w:r>
        <w:rPr>
          <w:lang w:val="en_US" w:bidi="en_US"/>
        </w:rPr>
        <w:t>Yet</w:t>
      </w:r>
      <w:r>
        <w:rPr>
          <w:lang w:val="en_US" w:bidi="en_US"/>
        </w:rPr>
        <w:t xml:space="preserve"> he decided </w:t>
      </w:r>
      <w:r>
        <w:rPr>
          <w:lang w:val="en_US" w:bidi="en_US"/>
        </w:rPr>
        <w:t>to help the widow/woman</w:t>
      </w:r>
      <w:r>
        <w:rPr>
          <w:lang w:val="en_US" w:bidi="en_US"/>
        </w:rPr>
        <w:t>.</w:t>
      </w:r>
    </w:p>
    <w:p>
      <w:pPr/>
      <w:r>
        <w:rPr>
          <w:lang w:val="en_US" w:bidi="en_US"/>
        </w:rPr>
      </w:r>
      <w:r>
        <w:rPr>
          <w:b/>
          <w:lang w:val="en_US" w:bidi="en_US"/>
        </w:rPr>
        <w:t>Listen to the words of the unjust judge:</w:t>
      </w:r>
      <w:r>
        <w:rPr>
          <w:lang w:val="en_US" w:bidi="en_US"/>
        </w:rPr>
        <w:t xml:space="preserve"> The phrase </w:t>
      </w:r>
      <w:r>
        <w:rPr>
          <w:i/>
          <w:lang w:val="en_US" w:bidi="en_US"/>
        </w:rPr>
        <w:t>Listen to</w:t>
      </w:r>
      <w:r>
        <w:rPr>
          <w:lang w:val="en_US" w:bidi="en_US"/>
        </w:rPr>
        <w:t xml:space="preserve"> in this context means “think about.” Jesus wanted his disciples to learn something from how the judge responded to the widow’s constant requests. Some other ways to translate this clause are:</w:t>
      </w:r>
    </w:p>
    <w:p>
      <w:pPr/>
      <w:r>
        <w:rPr>
          <w:lang w:val="en_US" w:bidi="en_US"/>
        </w:rPr>
      </w:r>
      <w:r>
        <w:rPr>
          <w:lang w:val="en_US" w:bidi="en_US"/>
        </w:rPr>
        <w:t>Learn a lesson from this unjust judge. (NLT)</w:t>
      </w:r>
    </w:p>
    <w:p>
      <w:pPr/>
      <w:r>
        <w:rPr>
          <w:lang w:val="en_US" w:bidi="en_US"/>
        </w:rPr>
      </w:r>
      <w:r>
        <w:rPr>
          <w:lang w:val="en_US" w:bidi="en_US"/>
        </w:rPr>
        <w:t xml:space="preserve">This judge was </w:t>
      </w:r>
      <w:r>
        <w:rPr>
          <w:lang w:val="en_US" w:bidi="en_US"/>
        </w:rPr>
        <w:t>usually</w:t>
      </w:r>
      <w:r>
        <w:rPr>
          <w:lang w:val="en_US" w:bidi="en_US"/>
        </w:rPr>
        <w:t xml:space="preserve"> unjust, but pay attention to what he decided to do </w:t>
      </w:r>
      <w:r>
        <w:rPr>
          <w:lang w:val="en_US" w:bidi="en_US"/>
        </w:rPr>
        <w:t>for the widow</w:t>
      </w:r>
      <w:r>
        <w:rPr>
          <w:lang w:val="en_US" w:bidi="en_US"/>
        </w:rPr>
        <w:t>.</w:t>
      </w:r>
    </w:p>
    <w:p>
      <w:pPr/>
      <w:r>
        <w:rPr>
          <w:lang w:val="en_US" w:bidi="en_US"/>
        </w:rPr>
      </w:r>
      <w:r>
        <w:rPr>
          <w:lang w:val="en_US" w:bidi="en_US"/>
        </w:rPr>
        <w:t xml:space="preserve">Think about this. </w:t>
      </w:r>
      <w:r>
        <w:rPr>
          <w:lang w:val="en_US" w:bidi="en_US"/>
        </w:rPr>
        <w:t>Even</w:t>
      </w:r>
      <w:r>
        <w:rPr>
          <w:lang w:val="en_US" w:bidi="en_US"/>
        </w:rPr>
        <w:t xml:space="preserve"> the bad judge decided </w:t>
      </w:r>
      <w:r>
        <w:rPr>
          <w:lang w:val="en_US" w:bidi="en_US"/>
        </w:rPr>
        <w:t>to help the widow</w:t>
      </w:r>
      <w:r>
        <w:rPr>
          <w:lang w:val="en_US" w:bidi="en_US"/>
        </w:rPr>
        <w:t>….</w:t>
      </w:r>
    </w:p>
    <w:p>
      <w:pPr/>
      <w:r>
        <w:rPr>
          <w:lang w:val="en_US" w:bidi="en_US"/>
        </w:rPr>
      </w:r>
      <w:r>
        <w:rPr>
          <w:b/>
          <w:lang w:val="en_US" w:bidi="en_US"/>
        </w:rPr>
        <w:t>the words of the unjust judge:</w:t>
      </w:r>
      <w:r>
        <w:rPr>
          <w:lang w:val="en_US" w:bidi="en_US"/>
        </w:rPr>
        <w:t xml:space="preserve"> The phrase </w:t>
      </w:r>
      <w:r>
        <w:rPr>
          <w:i/>
          <w:lang w:val="en_US" w:bidi="en_US"/>
        </w:rPr>
        <w:t>the words of the unjust judge</w:t>
      </w:r>
      <w:r>
        <w:rPr>
          <w:lang w:val="en_US" w:bidi="en_US"/>
        </w:rPr>
        <w:t xml:space="preserve"> refers to what the judge said in 18:4c–5. He decided to help the widow get justice. This was a good decision, but usually he made unjust decisions. Some ways to make this clear are:</w:t>
      </w:r>
    </w:p>
    <w:p>
      <w:pPr/>
      <w:r>
        <w:rPr>
          <w:lang w:val="en_US" w:bidi="en_US"/>
        </w:rPr>
      </w:r>
      <w:r>
        <w:rPr>
          <w:lang w:val="en_US" w:bidi="en_US"/>
        </w:rPr>
        <w:t>what this judge, who was usually so unfair, decided</w:t>
      </w:r>
    </w:p>
    <w:p>
      <w:pPr/>
      <w:r>
        <w:rPr>
          <w:lang w:val="en_US" w:bidi="en_US"/>
        </w:rPr>
      </w:r>
      <w:r>
        <w:rPr>
          <w:lang w:val="en_US" w:bidi="en_US"/>
        </w:rPr>
        <w:t>this judge said this, though he was habitually unjust</w:t>
      </w:r>
    </w:p>
    <w:p>
      <w:pPr/>
      <w:r>
        <w:rPr>
          <w:lang w:val="en_US" w:bidi="en_US"/>
        </w:rPr>
      </w:r>
      <w:r>
        <w:rPr>
          <w:b/>
          <w:lang w:val="en_US" w:bidi="en_US"/>
        </w:rPr>
        <w:t>unjust judge:</w:t>
      </w:r>
      <w:r>
        <w:rPr>
          <w:lang w:val="en_US" w:bidi="en_US"/>
        </w:rPr>
        <w:t xml:space="preserve"> The word that the BSB translates as </w:t>
      </w:r>
      <w:r>
        <w:rPr>
          <w:i/>
          <w:lang w:val="en_US" w:bidi="en_US"/>
        </w:rPr>
        <w:t>unjust</w:t>
      </w:r>
      <w:r>
        <w:rPr>
          <w:lang w:val="en_US" w:bidi="en_US"/>
        </w:rPr>
        <w:t xml:space="preserve"> can also be translated as “unrighteous.” It refers to the character of this judge and to the way he usually acted. He usually did not judge fairly. When he settled disputes, he did not base his decisions on what was right. Other ways to say this are:</w:t>
      </w:r>
    </w:p>
    <w:p>
      <w:pPr/>
      <w:r>
        <w:rPr>
          <w:lang w:val="en_US" w:bidi="en_US"/>
        </w:rPr>
      </w:r>
      <w:r>
        <w:rPr>
          <w:lang w:val="en_US" w:bidi="en_US"/>
        </w:rPr>
        <w:t>the dishonest judge (GW)</w:t>
      </w:r>
    </w:p>
    <w:p>
      <w:pPr/>
      <w:r>
        <w:rPr>
          <w:lang w:val="en_US" w:bidi="en_US"/>
        </w:rPr>
      </w:r>
      <w:r>
        <w:rPr>
          <w:lang w:val="en_US" w:bidi="en_US"/>
        </w:rPr>
        <w:t>that corrupt judge (GNT)</w:t>
      </w:r>
    </w:p>
    <w:p>
      <w:pPr/>
      <w:r>
        <w:rPr>
          <w:lang w:val="en_US" w:bidi="en_US"/>
        </w:rPr>
      </w:r>
      <w:r>
        <w:rPr>
          <w:lang w:val="en_US" w:bidi="en_US"/>
        </w:rPr>
        <w:t>the unfair judge (NCV)</w:t>
      </w:r>
    </w:p>
    <w:p>
      <w:pPr/>
      <w:r>
        <w:rPr>
          <w:lang w:val="en_US" w:bidi="en_US"/>
        </w:rPr>
      </w:r>
      <w:r>
        <w:rPr>
          <w:lang w:val="en_US" w:bidi="en_US"/>
        </w:rPr>
        <w:t xml:space="preserve">this elder who was usually unfair in judging </w:t>
      </w:r>
      <w:r>
        <w:rPr>
          <w:lang w:val="en_US" w:bidi="en_US"/>
        </w:rPr>
        <w:t>cases</w:t>
      </w:r>
      <w:r>
        <w:rPr>
          <w:lang w:val="en_US" w:bidi="en_US"/>
        </w:rPr>
      </w:r>
      <w:r>
        <w:rPr>
          <w:lang w:val="en_US" w:bidi="en_US"/>
        </w:rPr>
      </w:r>
    </w:p>
    <w:p>
      <w:pPr/>
      <w:r>
        <w:rPr>
          <w:lang w:val="en_US" w:bidi="en_US"/>
        </w:rPr>
      </w:r>
    </w:p>
    <w:p>
      <w:pPr>
        <w:pStyle w:val="Heading2"/>
      </w:pPr>
      <w:r>
        <w:rPr>
          <w:lang w:val="en_US" w:bidi="en_US"/>
        </w:rPr>
        <w:t>Luke 18:7</w:t>
      </w:r>
      <w:r>
        <w:rPr>
          <w:lang w:val="en_US" w:bidi="en_US"/>
        </w:rPr>
      </w:r>
    </w:p>
    <w:p>
      <w:pPr>
        <w:pStyle w:val="Heading4"/>
      </w:pPr>
      <w:r>
        <w:rPr>
          <w:lang w:val="en_US" w:bidi="en_US"/>
        </w:rPr>
        <w:t>Section 18:1–8: Jesus told a story to teach his disciples to pray persistently</w:t>
      </w:r>
    </w:p>
    <w:p>
      <w:pPr/>
      <w:r>
        <w:rPr>
          <w:lang w:val="en_US" w:bidi="en_US"/>
        </w:rPr>
      </w:r>
      <w:r>
        <w:rPr>
          <w:lang w:val="en_US" w:bidi="en_US"/>
        </w:rPr>
        <w:t>At the end of chapter 17, Jesus told his disciples about the coming of the Son of Man. In this section, he concluded this teaching by telling them a parable about praying persistently.</w:t>
      </w:r>
      <w:r>
        <w:rPr>
          <w:lang w:val="en_US" w:bidi="en_US"/>
        </w:rPr>
        <w:t>Bock (p. 1444) says: “The parable of the nagging widow and the consenting judge is linked to the previous eschatological discourse by the reference in Luke 18:8 to the Son of Man’s return. Its plea that believers ask God for justice looks back to the vindication of the saints described in 17:22–37.”</w:t>
      </w:r>
      <w:r>
        <w:rPr>
          <w:lang w:val="en_US" w:bidi="en_US"/>
        </w:rPr>
        <w:t xml:space="preserve"> He used the parable to teach them that they should continue to trust God and pray to him. They should not become discouraged when they suffer unjustly, because Jesus will return, and God will give them justice.</w:t>
      </w:r>
    </w:p>
    <w:p>
      <w:pPr/>
      <w:r>
        <w:rPr>
          <w:lang w:val="en_US" w:bidi="en_US"/>
        </w:rPr>
      </w:r>
      <w:r>
        <w:rPr>
          <w:lang w:val="en_US" w:bidi="en_US"/>
        </w:rPr>
        <w:t>Justice is an important theme in this parable. Phrases about justice occur four times. Each phrase uses a form of the same Greek word, so you will probably want to translate the phrases in a similar way:</w:t>
      </w:r>
    </w:p>
    <w:p>
      <w:pPr/>
      <w:r>
        <w:rPr>
          <w:lang w:val="en_US" w:bidi="en_US"/>
        </w:rPr>
      </w:r>
      <w:r>
        <w:rPr>
          <w:lang w:val="en_US" w:bidi="en_US"/>
        </w:rPr>
        <w:t>Grant me justice (18:3)</w:t>
      </w:r>
    </w:p>
    <w:p>
      <w:pPr/>
      <w:r>
        <w:rPr>
          <w:lang w:val="en_US" w:bidi="en_US"/>
        </w:rPr>
      </w:r>
      <w:r>
        <w:rPr>
          <w:lang w:val="en_US" w:bidi="en_US"/>
        </w:rPr>
        <w:t>see that she gets justice (18:5)</w:t>
      </w:r>
    </w:p>
    <w:p>
      <w:pPr/>
      <w:r>
        <w:rPr>
          <w:lang w:val="en_US" w:bidi="en_US"/>
        </w:rPr>
      </w:r>
      <w:r>
        <w:rPr>
          <w:lang w:val="en_US" w:bidi="en_US"/>
        </w:rPr>
        <w:t>will not God bring about justice (18:7)</w:t>
      </w:r>
    </w:p>
    <w:p>
      <w:pPr/>
      <w:r>
        <w:rPr>
          <w:lang w:val="en_US" w:bidi="en_US"/>
        </w:rPr>
      </w:r>
      <w:r>
        <w:rPr>
          <w:lang w:val="en_US" w:bidi="en_US"/>
        </w:rPr>
        <w:t>he will see that they get justice (18:8)</w:t>
      </w:r>
    </w:p>
    <w:p>
      <w:pPr/>
      <w:r>
        <w:rPr>
          <w:lang w:val="en_US" w:bidi="en_US"/>
        </w:rPr>
      </w:r>
      <w:r>
        <w:rPr>
          <w:lang w:val="en_US" w:bidi="en_US"/>
        </w:rPr>
        <w:t>It is good to translate this section before you decide on a heading for it. Some examples of headings for this section are:</w:t>
      </w:r>
    </w:p>
    <w:p>
      <w:pPr/>
      <w:r>
        <w:rPr>
          <w:lang w:val="en_US" w:bidi="en_US"/>
        </w:rPr>
      </w:r>
      <w:r>
        <w:rPr>
          <w:lang w:val="en_US" w:bidi="en_US"/>
        </w:rPr>
        <w:t>The Parable of the Persistent Widow (NIV)</w:t>
      </w:r>
    </w:p>
    <w:p>
      <w:pPr/>
      <w:r>
        <w:rPr>
          <w:lang w:val="en_US" w:bidi="en_US"/>
        </w:rPr>
      </w:r>
      <w:r>
        <w:rPr>
          <w:lang w:val="en_US" w:bidi="en_US"/>
        </w:rPr>
        <w:t>Jesus told a parable about a widow coming repeatedly to an unjust judge</w:t>
      </w:r>
    </w:p>
    <w:p>
      <w:pPr/>
      <w:r>
        <w:rPr>
          <w:lang w:val="en_US" w:bidi="en_US"/>
        </w:rPr>
      </w:r>
      <w:r>
        <w:rPr>
          <w:lang w:val="en_US" w:bidi="en_US"/>
        </w:rPr>
        <w:t>The parable of the unjust judge</w:t>
      </w:r>
    </w:p>
    <w:p>
      <w:pPr/>
      <w:r>
        <w:rPr>
          <w:lang w:val="en_US" w:bidi="en_US"/>
        </w:rPr>
      </w:r>
      <w:r>
        <w:rPr>
          <w:lang w:val="en_US" w:bidi="en_US"/>
        </w:rPr>
        <w:t>God Will Answer His People (NCV)</w:t>
      </w:r>
    </w:p>
    <w:p>
      <w:pPr/>
      <w:r>
        <w:rPr>
          <w:lang w:val="en_US" w:bidi="en_US"/>
        </w:rPr>
      </w:r>
      <w:r>
        <w:rPr>
          <w:lang w:val="en_US" w:bidi="en_US"/>
        </w:rPr>
        <w:t>Luke is the only gospel that has this story. It is similar in some ways to the parable in 11:5–10.</w:t>
      </w:r>
    </w:p>
    <w:p>
      <w:pPr>
        <w:pStyle w:val="Heading4"/>
      </w:pPr>
      <w:r>
        <w:rPr>
          <w:lang w:val="en_US" w:bidi="en_US"/>
        </w:rPr>
        <w:t>Paragraph 18:6–8</w:t>
      </w:r>
    </w:p>
    <w:p>
      <w:pPr/>
      <w:r>
        <w:rPr>
          <w:lang w:val="en_US" w:bidi="en_US"/>
        </w:rPr>
      </w:r>
      <w:r>
        <w:rPr>
          <w:lang w:val="en_US" w:bidi="en_US"/>
        </w:rPr>
        <w:t>In this paragraph Jesus told his disciples what he wanted them to learn from the parable in 18:1–5. Jesus contrasted God and his people with the judge and the widow. God is not like the unfair judge. God loves to help his people. The judge helped the widow because she asked him many times. God will certainly be much more willing to help his people get justice when they continue to pray to him. He will quickly help them.</w:t>
      </w:r>
      <w:r>
        <w:rPr>
          <w:lang w:val="en_US" w:bidi="en_US"/>
        </w:rPr>
        <w:t>Keener (p. 238) says, “This parable is a standard Jewish ‘how much more’…argument: if an unjust judge who cared not for widows can dispense justice, how much more will the righteous judge of all the earth, who was known as the defender of widows and orphans?”</w:t>
      </w:r>
    </w:p>
    <w:p>
      <w:pPr>
        <w:pStyle w:val="Heading5"/>
      </w:pPr>
      <w:r>
        <w:rPr>
          <w:lang w:val="en_US" w:bidi="en_US"/>
        </w:rPr>
        <w:t>18:7a</w:t>
      </w:r>
    </w:p>
    <w:p>
      <w:pPr/>
      <w:r>
        <w:rPr>
          <w:lang w:val="en_US" w:bidi="en_US"/>
        </w:rPr>
      </w:r>
      <w:r>
        <w:rPr>
          <w:b/>
          <w:lang w:val="en_US" w:bidi="en_US"/>
        </w:rPr>
        <w:t>Will not God bring about justice for His elect</w:t>
      </w:r>
    </w:p>
    <w:p>
      <w:pPr>
        <w:pStyle w:val="ListBullet"/>
        <w:spacing w:line="240" w:lineRule="auto"/>
        <w:ind w:left="720"/>
      </w:pPr>
      <w:r>
        <w:rPr>
          <w:lang w:val="en_US" w:bidi="en_US"/>
        </w:rPr>
      </w:r>
      <w:r>
        <w:rPr>
          <w:lang w:val="en_US" w:bidi="en_US"/>
        </w:rPr>
        <w:t xml:space="preserve">Since </w:t>
      </w:r>
      <w:r>
        <w:rPr>
          <w:lang w:val="en_US" w:bidi="en_US"/>
        </w:rPr>
        <w:t>he said that</w:t>
      </w:r>
      <w:r>
        <w:rPr>
          <w:lang w:val="en_US" w:bidi="en_US"/>
        </w:rPr>
        <w:t>, do you</w:t>
      </w:r>
      <w:r>
        <w:rPr>
          <w:vertAlign w:val="superscript"/>
          <w:lang w:val="en_US" w:bidi="en_US"/>
        </w:rPr>
        <w:t>(plur)</w:t>
      </w:r>
      <w:r>
        <w:rPr>
          <w:lang w:val="en_US" w:bidi="en_US"/>
        </w:rPr>
        <w:t xml:space="preserve"> not think that God will do what is just for his chosen people,</w:t>
      </w:r>
    </w:p>
    <w:p>
      <w:pPr>
        <w:pStyle w:val="ListBullet"/>
        <w:spacing w:line="240" w:lineRule="auto"/>
        <w:ind w:left="720"/>
      </w:pPr>
      <w:r>
        <w:rPr>
          <w:lang w:val="en_US" w:bidi="en_US"/>
        </w:rPr>
      </w:r>
      <w:r>
        <w:rPr>
          <w:lang w:val="en_US" w:bidi="en_US"/>
        </w:rPr>
        <w:t>Even he did the right/fair thing for the widow, and</w:t>
      </w:r>
      <w:r>
        <w:rPr>
          <w:lang w:val="en_US" w:bidi="en_US"/>
        </w:rPr>
        <w:t xml:space="preserve"> God will certainly do the right/fair thing for his people. He has chosen them </w:t>
      </w:r>
      <w:r>
        <w:rPr>
          <w:lang w:val="en_US" w:bidi="en_US"/>
        </w:rPr>
        <w:t>to trust him</w:t>
      </w:r>
      <w:r>
        <w:rPr>
          <w:lang w:val="en_US" w:bidi="en_US"/>
        </w:rPr>
        <w:t>,</w:t>
      </w:r>
    </w:p>
    <w:p>
      <w:pPr>
        <w:pStyle w:val="ListBullet"/>
        <w:spacing w:line="240" w:lineRule="auto"/>
        <w:ind w:left="720"/>
      </w:pPr>
      <w:r>
        <w:rPr>
          <w:lang w:val="en_US" w:bidi="en_US"/>
        </w:rPr>
      </w:r>
      <w:r>
        <w:rPr>
          <w:lang w:val="en_US" w:bidi="en_US"/>
        </w:rPr>
        <w:t>And as for God, he will much more certainly help his own people receive justice</w:t>
      </w:r>
    </w:p>
    <w:p>
      <w:pPr/>
      <w:r>
        <w:rPr>
          <w:lang w:val="en_US" w:bidi="en_US"/>
        </w:rPr>
      </w:r>
      <w:r>
        <w:rPr>
          <w:b/>
          <w:lang w:val="en_US" w:bidi="en_US"/>
        </w:rPr>
        <w:t>Will not God bring about justice for His elect…?:</w:t>
      </w:r>
      <w:r>
        <w:rPr>
          <w:lang w:val="en_US" w:bidi="en_US"/>
        </w:rPr>
        <w:t xml:space="preserve"> This is a rhetorical question. Jesus used this rhetorical question to emphasize that God will certainly bring about justice for his people. The question expects the answer “Certainly he will.” Jesus answered this question himself in 18:8a.</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Won’t God give his chosen people justice…? (GW)</w:t>
      </w:r>
      <w:r>
        <w:rPr>
          <w:lang w:val="en_US" w:bidi="en_US"/>
        </w:rPr>
        <w:t>So don’t you think God will surely give justice to his chosen people…? (NLT)</w:t>
      </w:r>
    </w:p>
    <w:p>
      <w:pPr>
        <w:pStyle w:val="ListBullet"/>
        <w:spacing w:line="240" w:lineRule="auto"/>
        <w:ind w:left="720"/>
      </w:pPr>
      <w:r>
        <w:rPr>
          <w:lang w:val="en_US" w:bidi="en_US"/>
        </w:rPr>
      </w:r>
      <w:r>
        <w:rPr>
          <w:lang w:val="en_US" w:bidi="en_US"/>
        </w:rPr>
        <w:t>As a statement. For example:</w:t>
      </w:r>
      <w:r>
        <w:rPr>
          <w:lang w:val="en_US" w:bidi="en_US"/>
        </w:rPr>
        <w:t>God will always give what is right to his people… (NCV)</w:t>
      </w:r>
      <w:r>
        <w:rPr>
          <w:lang w:val="en_US" w:bidi="en_US"/>
        </w:rPr>
        <w:t>you can be sure that God will bring about justice for his people</w:t>
      </w:r>
    </w:p>
    <w:p>
      <w:pPr/>
      <w:r>
        <w:rPr>
          <w:lang w:val="en_US" w:bidi="en_US"/>
        </w:rPr>
      </w:r>
      <w:r>
        <w:rPr>
          <w:lang w:val="en_US" w:bidi="en_US"/>
        </w:rPr>
        <w:t>Translate this emphasis in a way that is natural in your language.</w:t>
      </w:r>
    </w:p>
    <w:p>
      <w:pPr/>
      <w:r>
        <w:rPr>
          <w:lang w:val="en_US" w:bidi="en_US"/>
        </w:rPr>
      </w:r>
      <w:r>
        <w:rPr>
          <w:b/>
          <w:lang w:val="en_US" w:bidi="en_US"/>
        </w:rPr>
        <w:t>Will not God bring about justice for His elect:</w:t>
      </w:r>
      <w:r>
        <w:rPr>
          <w:lang w:val="en_US" w:bidi="en_US"/>
        </w:rPr>
        <w:t xml:space="preserve"> In this context the phrase </w:t>
      </w:r>
      <w:r>
        <w:rPr>
          <w:i/>
          <w:lang w:val="en_US" w:bidi="en_US"/>
        </w:rPr>
        <w:t>Will not God bring about justice for His elect</w:t>
      </w:r>
      <w:r>
        <w:rPr>
          <w:lang w:val="en_US" w:bidi="en_US"/>
        </w:rPr>
        <w:t xml:space="preserve"> indicates that God will do what is just and right for his people. He will give them the help that they deserve. He will rescue them from people who have oppressed them, and he will punish the people who have treated them unjustly. He will cause his people to be treated fairly. Some ways to translate this are:</w:t>
      </w:r>
    </w:p>
    <w:p>
      <w:pPr/>
      <w:r>
        <w:rPr>
          <w:lang w:val="en_US" w:bidi="en_US"/>
        </w:rPr>
      </w:r>
      <w:r>
        <w:rPr>
          <w:lang w:val="en_US" w:bidi="en_US"/>
        </w:rPr>
        <w:t>God will certainly do what is right/just for his chosen people</w:t>
      </w:r>
    </w:p>
    <w:p>
      <w:pPr/>
      <w:r>
        <w:rPr>
          <w:lang w:val="en_US" w:bidi="en_US"/>
        </w:rPr>
      </w:r>
      <w:r>
        <w:rPr>
          <w:lang w:val="en_US" w:bidi="en_US"/>
        </w:rPr>
        <w:t>God will certainly cause his chosen people to obtain justice</w:t>
      </w:r>
    </w:p>
    <w:p>
      <w:pPr/>
      <w:r>
        <w:rPr>
          <w:lang w:val="en_US" w:bidi="en_US"/>
        </w:rPr>
      </w:r>
      <w:r>
        <w:rPr>
          <w:b/>
          <w:lang w:val="en_US" w:bidi="en_US"/>
        </w:rPr>
        <w:t>His elect:</w:t>
      </w:r>
      <w:r>
        <w:rPr>
          <w:lang w:val="en_US" w:bidi="en_US"/>
        </w:rPr>
        <w:t xml:space="preserve"> The Greek phrase that the BSB translates literally as </w:t>
      </w:r>
      <w:r>
        <w:rPr>
          <w:i/>
          <w:lang w:val="en_US" w:bidi="en_US"/>
        </w:rPr>
        <w:t>His elect</w:t>
      </w:r>
      <w:r>
        <w:rPr>
          <w:lang w:val="en_US" w:bidi="en_US"/>
        </w:rPr>
        <w:t xml:space="preserve"> refers to the people whom God has chosen to be his people. They are the ones who believe him and trust him. Some ways to translate this are:</w:t>
      </w:r>
    </w:p>
    <w:p>
      <w:pPr/>
      <w:r>
        <w:rPr>
          <w:lang w:val="en_US" w:bidi="en_US"/>
        </w:rPr>
      </w:r>
      <w:r>
        <w:rPr>
          <w:lang w:val="en_US" w:bidi="en_US"/>
        </w:rPr>
        <w:t xml:space="preserve">the people whom he chose </w:t>
      </w:r>
      <w:r>
        <w:rPr>
          <w:lang w:val="en_US" w:bidi="en_US"/>
        </w:rPr>
        <w:t>to be his</w:t>
      </w:r>
    </w:p>
    <w:p>
      <w:pPr/>
      <w:r>
        <w:rPr>
          <w:lang w:val="en_US" w:bidi="en_US"/>
        </w:rPr>
      </w:r>
      <w:r>
        <w:rPr>
          <w:lang w:val="en_US" w:bidi="en_US"/>
        </w:rPr>
        <w:t xml:space="preserve">his people…. He has selected them </w:t>
      </w:r>
      <w:r>
        <w:rPr>
          <w:lang w:val="en_US" w:bidi="en_US"/>
        </w:rPr>
        <w:t>to trust him</w:t>
      </w:r>
      <w:r>
        <w:rPr>
          <w:lang w:val="en_US" w:bidi="en_US"/>
        </w:rPr>
        <w:t>.</w:t>
      </w:r>
    </w:p>
    <w:p>
      <w:pPr/>
      <w:r>
        <w:rPr>
          <w:lang w:val="en_US" w:bidi="en_US"/>
        </w:rPr>
      </w:r>
      <w:r>
        <w:rPr>
          <w:lang w:val="en_US" w:bidi="en_US"/>
        </w:rPr>
        <w:t xml:space="preserve">The disciples were part of the group that Jesus referred to as </w:t>
      </w:r>
      <w:r>
        <w:rPr>
          <w:i/>
          <w:lang w:val="en_US" w:bidi="en_US"/>
        </w:rPr>
        <w:t>His elect</w:t>
      </w:r>
      <w:r>
        <w:rPr>
          <w:lang w:val="en_US" w:bidi="en_US"/>
        </w:rPr>
        <w:t>. In some languages it may be necessary to make this clear. For example:</w:t>
      </w:r>
    </w:p>
    <w:p>
      <w:pPr/>
      <w:r>
        <w:rPr>
          <w:lang w:val="en_US" w:bidi="en_US"/>
        </w:rPr>
      </w:r>
      <w:r>
        <w:rPr>
          <w:lang w:val="en_US" w:bidi="en_US"/>
        </w:rPr>
        <w:t>Will not God do the right thing for you</w:t>
      </w:r>
      <w:r>
        <w:rPr>
          <w:vertAlign w:val="superscript"/>
          <w:lang w:val="en_US" w:bidi="en_US"/>
        </w:rPr>
        <w:t>(plur)</w:t>
      </w:r>
      <w:r>
        <w:rPr>
          <w:lang w:val="en_US" w:bidi="en_US"/>
        </w:rPr>
        <w:t xml:space="preserve"> </w:t>
      </w:r>
      <w:r>
        <w:rPr>
          <w:lang w:val="en_US" w:bidi="en_US"/>
        </w:rPr>
        <w:t>and for all the others</w:t>
      </w:r>
      <w:r>
        <w:rPr>
          <w:lang w:val="en_US" w:bidi="en_US"/>
        </w:rPr>
        <w:t xml:space="preserve"> whom he has chosen…?</w:t>
      </w:r>
    </w:p>
    <w:p>
      <w:pPr>
        <w:pStyle w:val="Heading5"/>
      </w:pPr>
      <w:r>
        <w:rPr>
          <w:lang w:val="en_US" w:bidi="en_US"/>
        </w:rPr>
        <w:t>18:7b</w:t>
      </w:r>
    </w:p>
    <w:p>
      <w:pPr/>
      <w:r>
        <w:rPr>
          <w:lang w:val="en_US" w:bidi="en_US"/>
        </w:rPr>
      </w:r>
      <w:r>
        <w:rPr>
          <w:b/>
          <w:lang w:val="en_US" w:bidi="en_US"/>
        </w:rPr>
        <w:t>who cry out to Him day and night?</w:t>
      </w:r>
    </w:p>
    <w:p>
      <w:pPr>
        <w:pStyle w:val="ListBullet"/>
        <w:spacing w:line="240" w:lineRule="auto"/>
        <w:ind w:left="720"/>
      </w:pPr>
      <w:r>
        <w:rPr>
          <w:lang w:val="en_US" w:bidi="en_US"/>
        </w:rPr>
      </w:r>
      <w:r>
        <w:rPr>
          <w:lang w:val="en_US" w:bidi="en_US"/>
        </w:rPr>
        <w:t>as they call/cry earnestly to him night and day?</w:t>
      </w:r>
    </w:p>
    <w:p>
      <w:pPr>
        <w:pStyle w:val="ListBullet"/>
        <w:spacing w:line="240" w:lineRule="auto"/>
        <w:ind w:left="720"/>
      </w:pPr>
      <w:r>
        <w:rPr>
          <w:lang w:val="en_US" w:bidi="en_US"/>
        </w:rPr>
      </w:r>
      <w:r>
        <w:rPr>
          <w:lang w:val="en_US" w:bidi="en_US"/>
        </w:rPr>
        <w:t xml:space="preserve">and they constantly appeal to him </w:t>
      </w:r>
      <w:r>
        <w:rPr>
          <w:lang w:val="en_US" w:bidi="en_US"/>
        </w:rPr>
        <w:t>for help</w:t>
      </w:r>
      <w:r>
        <w:rPr>
          <w:lang w:val="en_US" w:bidi="en_US"/>
        </w:rPr>
        <w:t>.</w:t>
      </w:r>
    </w:p>
    <w:p>
      <w:pPr>
        <w:pStyle w:val="ListBullet"/>
        <w:spacing w:line="240" w:lineRule="auto"/>
        <w:ind w:left="720"/>
      </w:pPr>
      <w:r>
        <w:rPr>
          <w:lang w:val="en_US" w:bidi="en_US"/>
        </w:rPr>
      </w:r>
      <w:r>
        <w:rPr>
          <w:lang w:val="en_US" w:bidi="en_US"/>
        </w:rPr>
        <w:t xml:space="preserve">when they </w:t>
      </w:r>
      <w:r>
        <w:rPr>
          <w:lang w:val="en_US" w:bidi="en_US"/>
        </w:rPr>
        <w:t>come</w:t>
      </w:r>
      <w:r>
        <w:rPr>
          <w:lang w:val="en_US" w:bidi="en_US"/>
        </w:rPr>
        <w:t xml:space="preserve"> to him all the time with strong/fervent pleas.</w:t>
      </w:r>
    </w:p>
    <w:p>
      <w:pPr/>
      <w:r>
        <w:rPr>
          <w:lang w:val="en_US" w:bidi="en_US"/>
        </w:rPr>
      </w:r>
      <w:r>
        <w:rPr>
          <w:b/>
          <w:lang w:val="en_US" w:bidi="en_US"/>
        </w:rPr>
        <w:t>who cry out to Him day and night:</w:t>
      </w:r>
      <w:r>
        <w:rPr>
          <w:lang w:val="en_US" w:bidi="en_US"/>
        </w:rPr>
        <w:t xml:space="preserve"> The clause </w:t>
      </w:r>
      <w:r>
        <w:rPr>
          <w:i/>
          <w:lang w:val="en_US" w:bidi="en_US"/>
        </w:rPr>
        <w:t>who cry out to Him day and night</w:t>
      </w:r>
      <w:r>
        <w:rPr>
          <w:lang w:val="en_US" w:bidi="en_US"/>
        </w:rPr>
        <w:t xml:space="preserve"> indicates that God’s people are praying earnestly and persistently. They continually come to God with pleas for help and justice. In some languages it may be necessary to make explicit why they are crying out to God. For example:</w:t>
      </w:r>
    </w:p>
    <w:p>
      <w:pPr/>
      <w:r>
        <w:rPr>
          <w:lang w:val="en_US" w:bidi="en_US"/>
        </w:rPr>
      </w:r>
      <w:r>
        <w:rPr>
          <w:lang w:val="en_US" w:bidi="en_US"/>
        </w:rPr>
        <w:t xml:space="preserve">who continually pray/appeal to him </w:t>
      </w:r>
      <w:r>
        <w:rPr>
          <w:lang w:val="en_US" w:bidi="en_US"/>
        </w:rPr>
        <w:t>to help/them</w:t>
      </w:r>
    </w:p>
    <w:p>
      <w:pPr/>
      <w:r>
        <w:rPr>
          <w:lang w:val="en_US" w:bidi="en_US"/>
        </w:rPr>
      </w:r>
      <w:r>
        <w:rPr>
          <w:lang w:val="en_US" w:bidi="en_US"/>
        </w:rPr>
        <w:t>who keep crying out to him, “Please help</w:t>
      </w:r>
      <w:r>
        <w:rPr>
          <w:vertAlign w:val="superscript"/>
          <w:lang w:val="en_US" w:bidi="en_US"/>
        </w:rPr>
        <w:t>(sing)</w:t>
      </w:r>
      <w:r>
        <w:rPr>
          <w:lang w:val="en_US" w:bidi="en_US"/>
        </w:rPr>
        <w:t xml:space="preserve"> us!”</w:t>
      </w:r>
    </w:p>
    <w:p>
      <w:pPr/>
      <w:r>
        <w:rPr>
          <w:lang w:val="en_US" w:bidi="en_US"/>
        </w:rPr>
      </w:r>
      <w:r>
        <w:rPr>
          <w:lang w:val="en_US" w:bidi="en_US"/>
        </w:rPr>
        <w:t xml:space="preserve">The clause </w:t>
      </w:r>
      <w:r>
        <w:rPr>
          <w:i/>
          <w:lang w:val="en_US" w:bidi="en_US"/>
        </w:rPr>
        <w:t>who cry out to Him day and night</w:t>
      </w:r>
      <w:r>
        <w:rPr>
          <w:lang w:val="en_US" w:bidi="en_US"/>
        </w:rPr>
        <w:t xml:space="preserve"> focuses on the ones among God’s people who pray to him continually.</w:t>
      </w:r>
      <w:r>
        <w:rPr>
          <w:lang w:val="en_US" w:bidi="en_US"/>
        </w:rPr>
        <w:t xml:space="preserve">There are two ways to interpret the phrase “His elect, who cry out to Him day and night”: (1) It refers specifically to </w:t>
      </w:r>
      <w:r>
        <w:rPr>
          <w:u w:val="single"/>
          <w:lang w:val="en_US" w:bidi="en_US"/>
        </w:rPr>
        <w:t>the ones among</w:t>
      </w:r>
      <w:r>
        <w:rPr>
          <w:lang w:val="en_US" w:bidi="en_US"/>
        </w:rPr>
        <w:t xml:space="preserve"> God’s chosen people who cry to him day and night. For example, the GW says: “Won’t God give his chosen people justice when they cry out to him for help day and night?” (BSB, GNT, NRSV, CEV, NASB, NCV, NLT, NJB) (2) It refers to </w:t>
      </w:r>
      <w:r>
        <w:rPr>
          <w:u w:val="single"/>
          <w:lang w:val="en_US" w:bidi="en_US"/>
        </w:rPr>
        <w:t>all of</w:t>
      </w:r>
      <w:r>
        <w:rPr>
          <w:lang w:val="en_US" w:bidi="en_US"/>
        </w:rPr>
        <w:t xml:space="preserve"> God’s chosen people. The phrase </w:t>
      </w:r>
      <w:r>
        <w:rPr>
          <w:i/>
          <w:lang w:val="en_US" w:bidi="en_US"/>
        </w:rPr>
        <w:t>who cry out to Him day and night</w:t>
      </w:r>
      <w:r>
        <w:rPr>
          <w:lang w:val="en_US" w:bidi="en_US"/>
        </w:rPr>
        <w:t xml:space="preserve"> describe them. For example: “And will not God grant justice to his chosen ones? They cry to him day and night.” (NIV, RSV, KJV, REB, NET, ESV, JBP) It is recommended that you follow interpretation (1). It fits Jesus’ emphasis on the importance of persistent prayer.Many English versions indicate their choice between interpretations (1) and (2) only by whether they put a comma before the relative clause.</w:t>
      </w:r>
      <w:r>
        <w:rPr>
          <w:lang w:val="en_US" w:bidi="en_US"/>
        </w:rPr>
        <w:t xml:space="preserve"> God will certainly give them justice. Some other ways to translate this clause are:</w:t>
      </w:r>
    </w:p>
    <w:p>
      <w:pPr/>
      <w:r>
        <w:rPr>
          <w:lang w:val="en_US" w:bidi="en_US"/>
        </w:rPr>
      </w:r>
      <w:r>
        <w:rPr>
          <w:lang w:val="en_US" w:bidi="en_US"/>
        </w:rPr>
        <w:t>when they cry out to him for help day and night (GW)</w:t>
      </w:r>
    </w:p>
    <w:p>
      <w:pPr/>
      <w:r>
        <w:rPr>
          <w:lang w:val="en_US" w:bidi="en_US"/>
        </w:rPr>
      </w:r>
      <w:r>
        <w:rPr>
          <w:lang w:val="en_US" w:bidi="en_US"/>
        </w:rPr>
        <w:t>if they keep calling to him day and night (NJB)</w:t>
      </w:r>
    </w:p>
    <w:p>
      <w:pPr/>
      <w:r>
        <w:rPr>
          <w:lang w:val="en_US" w:bidi="en_US"/>
        </w:rPr>
      </w:r>
      <w:r>
        <w:rPr>
          <w:b/>
          <w:lang w:val="en_US" w:bidi="en_US"/>
        </w:rPr>
        <w:t>cry out:</w:t>
      </w:r>
      <w:r>
        <w:rPr>
          <w:lang w:val="en_US" w:bidi="en_US"/>
        </w:rPr>
        <w:t xml:space="preserve"> The Greek word that the BSB translates as </w:t>
      </w:r>
      <w:r>
        <w:rPr>
          <w:i/>
          <w:lang w:val="en_US" w:bidi="en_US"/>
        </w:rPr>
        <w:t>cry out</w:t>
      </w:r>
      <w:r>
        <w:rPr>
          <w:lang w:val="en_US" w:bidi="en_US"/>
        </w:rPr>
        <w:t xml:space="preserve"> refers here to loud pleading that is caused by distress or anguish.</w:t>
      </w:r>
      <w:r>
        <w:rPr>
          <w:lang w:val="en_US" w:bidi="en_US"/>
        </w:rPr>
        <w:t xml:space="preserve">See </w:t>
      </w:r>
      <w:r>
        <w:rPr>
          <w:i/>
          <w:lang w:val="en_US" w:bidi="en_US"/>
        </w:rPr>
        <w:t>boaō</w:t>
      </w:r>
      <w:r>
        <w:rPr>
          <w:lang w:val="en_US" w:bidi="en_US"/>
        </w:rPr>
        <w:t xml:space="preserve"> sense 1b in BDAG, p. 180.</w:t>
      </w:r>
      <w:r>
        <w:rPr>
          <w:lang w:val="en_US" w:bidi="en_US"/>
        </w:rPr>
        <w:t xml:space="preserve"> Here the word emphasizes that God’s people prayed fervently because of their great need. It does not imply that they were being disrespectful by speaking loudly. Use an appropriate word in your language to refer to earnestly asking God for help.</w:t>
      </w:r>
    </w:p>
    <w:p>
      <w:pPr/>
      <w:r>
        <w:rPr>
          <w:lang w:val="en_US" w:bidi="en_US"/>
        </w:rPr>
      </w:r>
      <w:r>
        <w:rPr>
          <w:lang w:val="en_US" w:bidi="en_US"/>
        </w:rPr>
        <w:t>The same Greek word also occurs in 9:38 in an appeal to Jesus.</w:t>
      </w:r>
      <w:r>
        <w:rPr>
          <w:lang w:val="en_US" w:bidi="en_US"/>
        </w:rPr>
        <w:t>This word also occurs in Acts 25:24, and a similar word is used in Matthew 27:46.</w:t>
      </w:r>
      <w:r>
        <w:rPr>
          <w:lang w:val="en_US" w:bidi="en_US"/>
        </w:rPr>
        <w:t xml:space="preserve"> See how you translated it there.</w:t>
      </w:r>
    </w:p>
    <w:p>
      <w:pPr/>
      <w:r>
        <w:rPr>
          <w:lang w:val="en_US" w:bidi="en_US"/>
        </w:rPr>
      </w:r>
      <w:r>
        <w:rPr>
          <w:b/>
          <w:lang w:val="en_US" w:bidi="en_US"/>
        </w:rPr>
        <w:t>day and night:</w:t>
      </w:r>
      <w:r>
        <w:rPr>
          <w:lang w:val="en_US" w:bidi="en_US"/>
        </w:rPr>
        <w:t xml:space="preserve"> The phrase that the BSB translates as </w:t>
      </w:r>
      <w:r>
        <w:rPr>
          <w:i/>
          <w:lang w:val="en_US" w:bidi="en_US"/>
        </w:rPr>
        <w:t>day and night</w:t>
      </w:r>
      <w:r>
        <w:rPr>
          <w:lang w:val="en_US" w:bidi="en_US"/>
        </w:rPr>
        <w:t xml:space="preserve"> indicates that God’s people continue to pray regularly for him to help them. They pray at all times of the day and night. The similar phrase “night and day” was used in 2:37 to describe the widow Anna, who fasted and prayed continually.</w:t>
      </w:r>
    </w:p>
    <w:p>
      <w:pPr/>
      <w:r>
        <w:rPr>
          <w:lang w:val="en_US" w:bidi="en_US"/>
        </w:rPr>
      </w:r>
      <w:r>
        <w:rPr>
          <w:lang w:val="en_US" w:bidi="en_US"/>
        </w:rPr>
        <w:t>Some other ways to translate this are:</w:t>
      </w:r>
    </w:p>
    <w:p>
      <w:pPr/>
      <w:r>
        <w:rPr>
          <w:lang w:val="en_US" w:bidi="en_US"/>
        </w:rPr>
      </w:r>
      <w:r>
        <w:rPr>
          <w:lang w:val="en_US" w:bidi="en_US"/>
        </w:rPr>
        <w:t>night and day</w:t>
      </w:r>
    </w:p>
    <w:p>
      <w:pPr/>
      <w:r>
        <w:rPr>
          <w:lang w:val="en_US" w:bidi="en_US"/>
        </w:rPr>
      </w:r>
      <w:r>
        <w:rPr>
          <w:lang w:val="en_US" w:bidi="en_US"/>
        </w:rPr>
        <w:t>continually</w:t>
      </w:r>
    </w:p>
    <w:p>
      <w:pPr>
        <w:pStyle w:val="Heading5"/>
      </w:pPr>
      <w:r>
        <w:rPr>
          <w:lang w:val="en_US" w:bidi="en_US"/>
        </w:rPr>
        <w:t>18:7c</w:t>
      </w:r>
    </w:p>
    <w:p>
      <w:pPr/>
      <w:r>
        <w:rPr>
          <w:lang w:val="en_US" w:bidi="en_US"/>
        </w:rPr>
      </w:r>
      <w:r>
        <w:rPr>
          <w:b/>
          <w:lang w:val="en_US" w:bidi="en_US"/>
        </w:rPr>
        <w:t>Will He continue to defer their help?</w:t>
      </w:r>
    </w:p>
    <w:p>
      <w:pPr>
        <w:pStyle w:val="ListBullet"/>
        <w:spacing w:line="240" w:lineRule="auto"/>
        <w:ind w:left="720"/>
      </w:pPr>
      <w:r>
        <w:rPr>
          <w:lang w:val="en_US" w:bidi="en_US"/>
        </w:rPr>
      </w:r>
      <w:r>
        <w:rPr>
          <w:lang w:val="en_US" w:bidi="en_US"/>
        </w:rPr>
        <w:t xml:space="preserve">Will he delay in helping them? </w:t>
      </w:r>
      <w:r>
        <w:rPr>
          <w:lang w:val="en_US" w:bidi="en_US"/>
        </w:rPr>
        <w:t>No, he certainly will not delay.</w:t>
      </w:r>
    </w:p>
    <w:p>
      <w:pPr>
        <w:pStyle w:val="ListBullet"/>
        <w:spacing w:line="240" w:lineRule="auto"/>
        <w:ind w:left="720"/>
      </w:pPr>
      <w:r>
        <w:rPr>
          <w:lang w:val="en_US" w:bidi="en_US"/>
        </w:rPr>
      </w:r>
      <w:r>
        <w:rPr>
          <w:lang w:val="en_US" w:bidi="en_US"/>
        </w:rPr>
        <w:t>He will not be slow to help them.</w:t>
      </w:r>
    </w:p>
    <w:p>
      <w:pPr/>
      <w:r>
        <w:rPr>
          <w:lang w:val="en_US" w:bidi="en_US"/>
        </w:rPr>
      </w:r>
      <w:r>
        <w:rPr>
          <w:b/>
          <w:lang w:val="en_US" w:bidi="en_US"/>
        </w:rPr>
        <w:t>Will He continue to defer their help?:</w:t>
      </w:r>
      <w:r>
        <w:rPr>
          <w:lang w:val="en_US" w:bidi="en_US"/>
        </w:rPr>
        <w:t xml:space="preserve"> This is a rhetorical question. Scholars interpret it in different ways.</w:t>
      </w:r>
      <w:r>
        <w:rPr>
          <w:lang w:val="en_US" w:bidi="en_US"/>
        </w:rPr>
        <w:t>Marshall (pp. 674–675) lists nine different ways to interpret it.</w:t>
      </w:r>
      <w:r>
        <w:rPr>
          <w:lang w:val="en_US" w:bidi="en_US"/>
        </w:rPr>
        <w:t xml:space="preserve"> Some of these interpretations are:</w:t>
      </w:r>
    </w:p>
    <w:p>
      <w:pPr>
        <w:pStyle w:val="ListNumber"/>
        <w:numPr>
          <w:ilvl w:val="0"/>
          <w:numId w:val="300"/>
        </w:numPr>
        <w:spacing w:line="240" w:lineRule="auto"/>
        <w:ind w:left="720"/>
      </w:pPr>
      <w:r>
        <w:rPr>
          <w:lang w:val="en_US" w:bidi="en_US"/>
        </w:rPr>
      </w:r>
      <w:r>
        <w:rPr>
          <w:lang w:val="en_US" w:bidi="en_US"/>
        </w:rPr>
        <w:t>It means “he will not delay to help them and give them justice.” For example:</w:t>
      </w:r>
      <w:r>
        <w:rPr>
          <w:lang w:val="en_US" w:bidi="en_US"/>
        </w:rPr>
        <w:t xml:space="preserve">Will he delay long in helping them? (NRSV) </w:t>
      </w:r>
      <w:r>
        <w:rPr>
          <w:i/>
          <w:lang w:val="en_US" w:bidi="en_US"/>
        </w:rPr>
        <w:t>(BSB, NIV, GNT, NRSV, RSV, NLT, GW, ESV, NASB, NCV, NET)</w:t>
      </w:r>
    </w:p>
    <w:p>
      <w:pPr>
        <w:pStyle w:val="ListNumber"/>
        <w:spacing w:line="240" w:lineRule="auto"/>
        <w:ind w:left="720"/>
      </w:pPr>
      <w:r>
        <w:rPr>
          <w:lang w:val="en_US" w:bidi="en_US"/>
        </w:rPr>
      </w:r>
      <w:r>
        <w:rPr>
          <w:lang w:val="en_US" w:bidi="en_US"/>
        </w:rPr>
        <w:t>It means “even though he delays in giving them justice.” For example:</w:t>
      </w:r>
      <w:r>
        <w:rPr>
          <w:lang w:val="en_US" w:bidi="en_US"/>
        </w:rPr>
        <w:t xml:space="preserve">even though he still delays to help them (NJB) </w:t>
      </w:r>
      <w:r>
        <w:rPr>
          <w:i/>
          <w:lang w:val="en_US" w:bidi="en_US"/>
        </w:rPr>
        <w:t>(NJB, KJV)</w:t>
      </w:r>
    </w:p>
    <w:p>
      <w:pPr>
        <w:pStyle w:val="ListNumber"/>
        <w:spacing w:line="240" w:lineRule="auto"/>
        <w:ind w:left="720"/>
      </w:pPr>
      <w:r>
        <w:rPr>
          <w:lang w:val="en_US" w:bidi="en_US"/>
        </w:rPr>
      </w:r>
      <w:r>
        <w:rPr>
          <w:lang w:val="en_US" w:bidi="en_US"/>
        </w:rPr>
        <w:t>It means “he is patient with them and concerned for them.” For example:</w:t>
      </w:r>
      <w:r>
        <w:rPr>
          <w:lang w:val="en_US" w:bidi="en_US"/>
        </w:rPr>
        <w:t>…to whom he listens patiently (REB)</w:t>
      </w:r>
      <w:r>
        <w:rPr>
          <w:lang w:val="en_US" w:bidi="en_US"/>
        </w:rPr>
        <w:t xml:space="preserve">Won’t he be concerned for them? (CEV) </w:t>
      </w:r>
      <w:r>
        <w:rPr>
          <w:i/>
          <w:lang w:val="en_US" w:bidi="en_US"/>
        </w:rPr>
        <w:t>(REB, CEV, JBP)</w:t>
      </w:r>
    </w:p>
    <w:p>
      <w:pPr/>
      <w:r>
        <w:rPr>
          <w:lang w:val="en_US" w:bidi="en_US"/>
        </w:rPr>
      </w:r>
      <w:r>
        <w:rPr>
          <w:lang w:val="en_US" w:bidi="en_US"/>
        </w:rPr>
        <w:t>It is recommended that you follow interpretation (1), along with most English versions.</w:t>
      </w:r>
    </w:p>
    <w:p>
      <w:pPr/>
      <w:r>
        <w:rPr>
          <w:lang w:val="en_US" w:bidi="en_US"/>
        </w:rPr>
      </w:r>
      <w:r>
        <w:rPr>
          <w:lang w:val="en_US" w:bidi="en_US"/>
        </w:rPr>
        <w:t xml:space="preserve">The rhetorical question emphasizes that God will certainly </w:t>
      </w:r>
      <w:r>
        <w:rPr>
          <w:u w:val="single"/>
          <w:lang w:val="en_US" w:bidi="en_US"/>
        </w:rPr>
        <w:t>not</w:t>
      </w:r>
      <w:r>
        <w:rPr>
          <w:lang w:val="en_US" w:bidi="en_US"/>
        </w:rPr>
        <w:t xml:space="preserve"> be slow to help them. He will be </w:t>
      </w:r>
      <w:r>
        <w:rPr>
          <w:u w:val="single"/>
          <w:lang w:val="en_US" w:bidi="en_US"/>
        </w:rPr>
        <w:t>quick</w:t>
      </w:r>
      <w:r>
        <w:rPr>
          <w:lang w:val="en_US" w:bidi="en_US"/>
        </w:rPr>
        <w:t xml:space="preserve"> to give them justice. Jesus answered this question himself in 18:8a. Some ways to translate this emphasis are:</w:t>
      </w:r>
    </w:p>
    <w:p>
      <w:pPr>
        <w:pStyle w:val="ListBullet"/>
        <w:spacing w:line="240" w:lineRule="auto"/>
        <w:ind w:left="720"/>
      </w:pPr>
      <w:r>
        <w:rPr>
          <w:lang w:val="en_US" w:bidi="en_US"/>
        </w:rPr>
      </w:r>
      <w:r>
        <w:rPr>
          <w:lang w:val="en_US" w:bidi="en_US"/>
        </w:rPr>
        <w:t>As a rhetorical question or a question and its answer. For example:</w:t>
      </w:r>
      <w:r>
        <w:rPr>
          <w:lang w:val="en_US" w:bidi="en_US"/>
        </w:rPr>
        <w:t>Will he be slow to help them? (GNT)</w:t>
      </w:r>
      <w:r>
        <w:rPr>
          <w:lang w:val="en_US" w:bidi="en_US"/>
        </w:rPr>
        <w:t xml:space="preserve">Will God delay in giving them justice? </w:t>
      </w:r>
      <w:r>
        <w:rPr>
          <w:lang w:val="en_US" w:bidi="en_US"/>
        </w:rPr>
        <w:t>No!</w:t>
      </w:r>
      <w:r>
        <w:rPr>
          <w:lang w:val="en_US" w:bidi="en_US"/>
        </w:rPr>
        <w:t xml:space="preserve">Will God promptly bring justice to his people? </w:t>
      </w:r>
      <w:r>
        <w:rPr>
          <w:lang w:val="en_US" w:bidi="en_US"/>
        </w:rPr>
        <w:t>Yes, he will.</w:t>
      </w:r>
    </w:p>
    <w:p>
      <w:pPr>
        <w:pStyle w:val="ListBullet"/>
        <w:spacing w:line="240" w:lineRule="auto"/>
        <w:ind w:left="720"/>
      </w:pPr>
      <w:r>
        <w:rPr>
          <w:lang w:val="en_US" w:bidi="en_US"/>
        </w:rPr>
      </w:r>
      <w:r>
        <w:rPr>
          <w:lang w:val="en_US" w:bidi="en_US"/>
        </w:rPr>
        <w:t>As a statement. For example:</w:t>
      </w:r>
      <w:r>
        <w:rPr>
          <w:lang w:val="en_US" w:bidi="en_US"/>
        </w:rPr>
        <w:t>God…will not be slow to answer them. (NCV)</w:t>
      </w:r>
      <w:r>
        <w:rPr>
          <w:lang w:val="en_US" w:bidi="en_US"/>
        </w:rPr>
        <w:t xml:space="preserve">You can be sure that he will not delay </w:t>
      </w:r>
      <w:r>
        <w:rPr>
          <w:lang w:val="en_US" w:bidi="en_US"/>
        </w:rPr>
        <w:t>in helping them</w:t>
      </w:r>
      <w:r>
        <w:rPr>
          <w:lang w:val="en_US" w:bidi="en_US"/>
        </w:rPr>
        <w:t>.</w:t>
      </w:r>
    </w:p>
    <w:p>
      <w:pPr/>
      <w:r>
        <w:rPr>
          <w:lang w:val="en_US" w:bidi="en_US"/>
        </w:rPr>
      </w:r>
      <w:r>
        <w:rPr>
          <w:lang w:val="en_US" w:bidi="en_US"/>
        </w:rPr>
        <w:t>Translate this emphasis in a way that is natural in your language.</w:t>
      </w:r>
    </w:p>
    <w:p>
      <w:pPr>
        <w:pStyle w:val="Heading6"/>
      </w:pPr>
      <w:r>
        <w:rPr>
          <w:b/>
          <w:lang w:val="en_US" w:bidi="en_US"/>
        </w:rPr>
        <w:t>General Comment on 18:7a–c</w:t>
      </w:r>
    </w:p>
    <w:p>
      <w:pPr/>
      <w:r>
        <w:rPr>
          <w:lang w:val="en_US" w:bidi="en_US"/>
        </w:rPr>
      </w:r>
      <w:r>
        <w:rPr>
          <w:lang w:val="en_US" w:bidi="en_US"/>
        </w:rPr>
        <w:t>Some languages may need to change the order of the clauses in this verse. For example:</w:t>
      </w:r>
    </w:p>
    <w:p>
      <w:pPr/>
      <w:r>
        <w:rPr>
          <w:lang w:val="en_US" w:bidi="en_US"/>
        </w:rPr>
      </w:r>
      <w:r>
        <w:rPr>
          <w:vertAlign w:val="superscript"/>
          <w:lang w:val="en_US" w:bidi="en_US"/>
        </w:rPr>
        <w:t>7a</w:t>
      </w:r>
      <w:r>
        <w:rPr>
          <w:lang w:val="en_US" w:bidi="en_US"/>
        </w:rPr>
        <w:t xml:space="preserve">When God’s chosen people </w:t>
      </w:r>
      <w:r>
        <w:rPr>
          <w:vertAlign w:val="superscript"/>
          <w:lang w:val="en_US" w:bidi="en_US"/>
        </w:rPr>
        <w:t>7b</w:t>
      </w:r>
      <w:r>
        <w:rPr>
          <w:lang w:val="en_US" w:bidi="en_US"/>
        </w:rPr>
        <w:t xml:space="preserve">say night and day, “Help us!” </w:t>
      </w:r>
      <w:r>
        <w:rPr>
          <w:vertAlign w:val="superscript"/>
          <w:lang w:val="en_US" w:bidi="en_US"/>
        </w:rPr>
        <w:t>7c</w:t>
      </w:r>
      <w:r>
        <w:rPr>
          <w:lang w:val="en_US" w:bidi="en_US"/>
        </w:rPr>
        <w:t>he will quickly help them.</w:t>
      </w:r>
      <w:r>
        <w:rPr>
          <w:lang w:val="en_US" w:bidi="en_US"/>
        </w:rPr>
      </w:r>
      <w:r>
        <w:rPr>
          <w:lang w:val="en_US" w:bidi="en_US"/>
        </w:rPr>
      </w:r>
    </w:p>
    <w:p>
      <w:pPr/>
      <w:r>
        <w:rPr>
          <w:lang w:val="en_US" w:bidi="en_US"/>
        </w:rPr>
      </w:r>
    </w:p>
    <w:p>
      <w:pPr>
        <w:pStyle w:val="Heading2"/>
      </w:pPr>
      <w:r>
        <w:rPr>
          <w:lang w:val="en_US" w:bidi="en_US"/>
        </w:rPr>
        <w:t>Luke 18:8</w:t>
      </w:r>
      <w:r>
        <w:rPr>
          <w:lang w:val="en_US" w:bidi="en_US"/>
        </w:rPr>
      </w:r>
    </w:p>
    <w:p>
      <w:pPr>
        <w:pStyle w:val="Heading4"/>
      </w:pPr>
      <w:r>
        <w:rPr>
          <w:lang w:val="en_US" w:bidi="en_US"/>
        </w:rPr>
        <w:t>Section 18:1–8: Jesus told a story to teach his disciples to pray persistently</w:t>
      </w:r>
    </w:p>
    <w:p>
      <w:pPr/>
      <w:r>
        <w:rPr>
          <w:lang w:val="en_US" w:bidi="en_US"/>
        </w:rPr>
      </w:r>
      <w:r>
        <w:rPr>
          <w:lang w:val="en_US" w:bidi="en_US"/>
        </w:rPr>
        <w:t>At the end of chapter 17, Jesus told his disciples about the coming of the Son of Man. In this section, he concluded this teaching by telling them a parable about praying persistently.</w:t>
      </w:r>
      <w:r>
        <w:rPr>
          <w:lang w:val="en_US" w:bidi="en_US"/>
        </w:rPr>
        <w:t>Bock (p. 1444) says: “The parable of the nagging widow and the consenting judge is linked to the previous eschatological discourse by the reference in Luke 18:8 to the Son of Man’s return. Its plea that believers ask God for justice looks back to the vindication of the saints described in 17:22–37.”</w:t>
      </w:r>
      <w:r>
        <w:rPr>
          <w:lang w:val="en_US" w:bidi="en_US"/>
        </w:rPr>
        <w:t xml:space="preserve"> He used the parable to teach them that they should continue to trust God and pray to him. They should not become discouraged when they suffer unjustly, because Jesus will return, and God will give them justice.</w:t>
      </w:r>
    </w:p>
    <w:p>
      <w:pPr/>
      <w:r>
        <w:rPr>
          <w:lang w:val="en_US" w:bidi="en_US"/>
        </w:rPr>
      </w:r>
      <w:r>
        <w:rPr>
          <w:lang w:val="en_US" w:bidi="en_US"/>
        </w:rPr>
        <w:t>Justice is an important theme in this parable. Phrases about justice occur four times. Each phrase uses a form of the same Greek word, so you will probably want to translate the phrases in a similar way:</w:t>
      </w:r>
    </w:p>
    <w:p>
      <w:pPr/>
      <w:r>
        <w:rPr>
          <w:lang w:val="en_US" w:bidi="en_US"/>
        </w:rPr>
      </w:r>
      <w:r>
        <w:rPr>
          <w:lang w:val="en_US" w:bidi="en_US"/>
        </w:rPr>
        <w:t>Grant me justice (18:3)</w:t>
      </w:r>
    </w:p>
    <w:p>
      <w:pPr/>
      <w:r>
        <w:rPr>
          <w:lang w:val="en_US" w:bidi="en_US"/>
        </w:rPr>
      </w:r>
      <w:r>
        <w:rPr>
          <w:lang w:val="en_US" w:bidi="en_US"/>
        </w:rPr>
        <w:t>see that she gets justice (18:5)</w:t>
      </w:r>
    </w:p>
    <w:p>
      <w:pPr/>
      <w:r>
        <w:rPr>
          <w:lang w:val="en_US" w:bidi="en_US"/>
        </w:rPr>
      </w:r>
      <w:r>
        <w:rPr>
          <w:lang w:val="en_US" w:bidi="en_US"/>
        </w:rPr>
        <w:t>will not God bring about justice (18:7)</w:t>
      </w:r>
    </w:p>
    <w:p>
      <w:pPr/>
      <w:r>
        <w:rPr>
          <w:lang w:val="en_US" w:bidi="en_US"/>
        </w:rPr>
      </w:r>
      <w:r>
        <w:rPr>
          <w:lang w:val="en_US" w:bidi="en_US"/>
        </w:rPr>
        <w:t>he will see that they get justice (18:8)</w:t>
      </w:r>
    </w:p>
    <w:p>
      <w:pPr/>
      <w:r>
        <w:rPr>
          <w:lang w:val="en_US" w:bidi="en_US"/>
        </w:rPr>
      </w:r>
      <w:r>
        <w:rPr>
          <w:lang w:val="en_US" w:bidi="en_US"/>
        </w:rPr>
        <w:t>It is good to translate this section before you decide on a heading for it. Some examples of headings for this section are:</w:t>
      </w:r>
    </w:p>
    <w:p>
      <w:pPr/>
      <w:r>
        <w:rPr>
          <w:lang w:val="en_US" w:bidi="en_US"/>
        </w:rPr>
      </w:r>
      <w:r>
        <w:rPr>
          <w:lang w:val="en_US" w:bidi="en_US"/>
        </w:rPr>
        <w:t>The Parable of the Persistent Widow (NIV)</w:t>
      </w:r>
    </w:p>
    <w:p>
      <w:pPr/>
      <w:r>
        <w:rPr>
          <w:lang w:val="en_US" w:bidi="en_US"/>
        </w:rPr>
      </w:r>
      <w:r>
        <w:rPr>
          <w:lang w:val="en_US" w:bidi="en_US"/>
        </w:rPr>
        <w:t>Jesus told a parable about a widow coming repeatedly to an unjust judge</w:t>
      </w:r>
    </w:p>
    <w:p>
      <w:pPr/>
      <w:r>
        <w:rPr>
          <w:lang w:val="en_US" w:bidi="en_US"/>
        </w:rPr>
      </w:r>
      <w:r>
        <w:rPr>
          <w:lang w:val="en_US" w:bidi="en_US"/>
        </w:rPr>
        <w:t>The parable of the unjust judge</w:t>
      </w:r>
    </w:p>
    <w:p>
      <w:pPr/>
      <w:r>
        <w:rPr>
          <w:lang w:val="en_US" w:bidi="en_US"/>
        </w:rPr>
      </w:r>
      <w:r>
        <w:rPr>
          <w:lang w:val="en_US" w:bidi="en_US"/>
        </w:rPr>
        <w:t>God Will Answer His People (NCV)</w:t>
      </w:r>
    </w:p>
    <w:p>
      <w:pPr/>
      <w:r>
        <w:rPr>
          <w:lang w:val="en_US" w:bidi="en_US"/>
        </w:rPr>
      </w:r>
      <w:r>
        <w:rPr>
          <w:lang w:val="en_US" w:bidi="en_US"/>
        </w:rPr>
        <w:t>Luke is the only gospel that has this story. It is similar in some ways to the parable in 11:5–10.</w:t>
      </w:r>
    </w:p>
    <w:p>
      <w:pPr>
        <w:pStyle w:val="Heading4"/>
      </w:pPr>
      <w:r>
        <w:rPr>
          <w:lang w:val="en_US" w:bidi="en_US"/>
        </w:rPr>
        <w:t>Paragraph 18:6–8</w:t>
      </w:r>
    </w:p>
    <w:p>
      <w:pPr/>
      <w:r>
        <w:rPr>
          <w:lang w:val="en_US" w:bidi="en_US"/>
        </w:rPr>
      </w:r>
      <w:r>
        <w:rPr>
          <w:lang w:val="en_US" w:bidi="en_US"/>
        </w:rPr>
        <w:t>In this paragraph Jesus told his disciples what he wanted them to learn from the parable in 18:1–5. Jesus contrasted God and his people with the judge and the widow. God is not like the unfair judge. God loves to help his people. The judge helped the widow because she asked him many times. God will certainly be much more willing to help his people get justice when they continue to pray to him. He will quickly help them.</w:t>
      </w:r>
      <w:r>
        <w:rPr>
          <w:lang w:val="en_US" w:bidi="en_US"/>
        </w:rPr>
        <w:t>Keener (p. 238) says, “This parable is a standard Jewish ‘how much more’…argument: if an unjust judge who cared not for widows can dispense justice, how much more will the righteous judge of all the earth, who was known as the defender of widows and orphans?”</w:t>
      </w:r>
    </w:p>
    <w:p>
      <w:pPr>
        <w:pStyle w:val="Heading5"/>
      </w:pPr>
      <w:r>
        <w:rPr>
          <w:lang w:val="en_US" w:bidi="en_US"/>
        </w:rPr>
        <w:t>18:8a</w:t>
      </w:r>
    </w:p>
    <w:p>
      <w:pPr/>
      <w:r>
        <w:rPr>
          <w:lang w:val="en_US" w:bidi="en_US"/>
        </w:rPr>
      </w:r>
      <w:r>
        <w:rPr>
          <w:b/>
          <w:lang w:val="en_US" w:bidi="en_US"/>
        </w:rPr>
        <w:t>I tell you, He will promptly carry out justice on their behalf.</w:t>
      </w:r>
    </w:p>
    <w:p>
      <w:pPr>
        <w:pStyle w:val="ListBullet"/>
        <w:spacing w:line="240" w:lineRule="auto"/>
        <w:ind w:left="720"/>
      </w:pPr>
      <w:r>
        <w:rPr>
          <w:lang w:val="en_US" w:bidi="en_US"/>
        </w:rPr>
      </w:r>
      <w:r>
        <w:rPr>
          <w:lang w:val="en_US" w:bidi="en_US"/>
        </w:rPr>
        <w:t>I tell you</w:t>
      </w:r>
      <w:r>
        <w:rPr>
          <w:vertAlign w:val="superscript"/>
          <w:lang w:val="en_US" w:bidi="en_US"/>
        </w:rPr>
        <w:t>(plur)</w:t>
      </w:r>
      <w:r>
        <w:rPr>
          <w:lang w:val="en_US" w:bidi="en_US"/>
        </w:rPr>
        <w:t xml:space="preserve"> this, God will quickly do what is just for them.</w:t>
      </w:r>
    </w:p>
    <w:p>
      <w:pPr>
        <w:pStyle w:val="ListBullet"/>
        <w:spacing w:line="240" w:lineRule="auto"/>
        <w:ind w:left="720"/>
      </w:pPr>
      <w:r>
        <w:rPr>
          <w:lang w:val="en_US" w:bidi="en_US"/>
        </w:rPr>
      </w:r>
      <w:r>
        <w:rPr>
          <w:lang w:val="en_US" w:bidi="en_US"/>
        </w:rPr>
        <w:t>He will certainly make sure that they receive what is fair/right.</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xml:space="preserve"> that God will be swift to give them justice.</w:t>
      </w:r>
    </w:p>
    <w:p>
      <w:pPr/>
      <w:r>
        <w:rPr>
          <w:lang w:val="en_US" w:bidi="en_US"/>
        </w:rPr>
      </w:r>
      <w:r>
        <w:rPr>
          <w:b/>
          <w:lang w:val="en_US" w:bidi="en_US"/>
        </w:rPr>
        <w:t>I tell you:</w:t>
      </w:r>
      <w:r>
        <w:rPr>
          <w:lang w:val="en_US" w:bidi="en_US"/>
        </w:rPr>
        <w:t xml:space="preserve"> Jesus often used the words </w:t>
      </w:r>
      <w:r>
        <w:rPr>
          <w:i/>
          <w:lang w:val="en_US" w:bidi="en_US"/>
        </w:rPr>
        <w:t>I tell you</w:t>
      </w:r>
      <w:r>
        <w:rPr>
          <w:lang w:val="en_US" w:bidi="en_US"/>
        </w:rPr>
        <w:t xml:space="preserve"> to begin a statement that he wanted to emphasize. It indicates that the statement was important and that people should listen carefully to it. Some other ways to show this emphasis are:</w:t>
      </w:r>
    </w:p>
    <w:p>
      <w:pPr>
        <w:pStyle w:val="ListBullet"/>
        <w:spacing w:line="240" w:lineRule="auto"/>
        <w:ind w:left="720"/>
      </w:pPr>
      <w:r>
        <w:rPr>
          <w:lang w:val="en_US" w:bidi="en_US"/>
        </w:rPr>
      </w:r>
      <w:r>
        <w:rPr>
          <w:lang w:val="en_US" w:bidi="en_US"/>
        </w:rPr>
        <w:t>Use a phrase before Jesus’ statement. For example:</w:t>
      </w:r>
      <w:r>
        <w:rPr>
          <w:lang w:val="en_US" w:bidi="en_US"/>
        </w:rPr>
        <w:t>Let me tell you this</w:t>
      </w:r>
      <w:r>
        <w:rPr>
          <w:lang w:val="en_US" w:bidi="en_US"/>
        </w:rPr>
        <w:t>I can guarantee that GW)</w:t>
      </w:r>
      <w:r>
        <w:rPr>
          <w:lang w:val="en_US" w:bidi="en_US"/>
        </w:rPr>
        <w:t>I assure you</w:t>
      </w:r>
    </w:p>
    <w:p>
      <w:pPr>
        <w:pStyle w:val="ListBullet"/>
        <w:spacing w:line="240" w:lineRule="auto"/>
        <w:ind w:left="720"/>
      </w:pPr>
      <w:r>
        <w:rPr>
          <w:lang w:val="en_US" w:bidi="en_US"/>
        </w:rPr>
      </w:r>
      <w:r>
        <w:rPr>
          <w:lang w:val="en_US" w:bidi="en_US"/>
        </w:rPr>
        <w:t>Use an emphatic word within Jesus’ statement. For example:</w:t>
      </w:r>
      <w:r>
        <w:rPr>
          <w:lang w:val="en_US" w:bidi="en_US"/>
        </w:rPr>
        <w:t xml:space="preserve">He will </w:t>
      </w:r>
      <w:r>
        <w:rPr>
          <w:u w:val="single"/>
          <w:lang w:val="en_US" w:bidi="en_US"/>
        </w:rPr>
        <w:t>certainly</w:t>
      </w:r>
      <w:r>
        <w:rPr>
          <w:lang w:val="en_US" w:bidi="en_US"/>
        </w:rPr>
        <w:t xml:space="preserve"> see that they get justice.</w:t>
      </w:r>
    </w:p>
    <w:p>
      <w:pPr/>
      <w:r>
        <w:rPr>
          <w:lang w:val="en_US" w:bidi="en_US"/>
        </w:rPr>
      </w:r>
      <w:r>
        <w:rPr>
          <w:lang w:val="en_US" w:bidi="en_US"/>
        </w:rPr>
        <w:t>If you have another way in your language to emphasize an important statement, consider using it here.</w:t>
      </w:r>
    </w:p>
    <w:p>
      <w:pPr/>
      <w:r>
        <w:rPr>
          <w:lang w:val="en_US" w:bidi="en_US"/>
        </w:rPr>
      </w:r>
      <w:r>
        <w:rPr>
          <w:b/>
          <w:lang w:val="en_US" w:bidi="en_US"/>
        </w:rPr>
        <w:t>He will promptly carry out justice on their behalf:</w:t>
      </w:r>
      <w:r>
        <w:rPr>
          <w:lang w:val="en_US" w:bidi="en_US"/>
        </w:rPr>
        <w:t xml:space="preserve"> The Greek expression that the BSB translates as </w:t>
      </w:r>
      <w:r>
        <w:rPr>
          <w:i/>
          <w:lang w:val="en_US" w:bidi="en_US"/>
        </w:rPr>
        <w:t>He will promptly carry out justice on their behalf</w:t>
      </w:r>
      <w:r>
        <w:rPr>
          <w:lang w:val="en_US" w:bidi="en_US"/>
        </w:rPr>
        <w:t xml:space="preserve"> means “God will quickly give/provide justice for his people.” The Greek expression </w:t>
      </w:r>
      <w:r>
        <w:rPr>
          <w:i/>
          <w:lang w:val="en_US" w:bidi="en_US"/>
        </w:rPr>
        <w:t>carry out justice</w:t>
      </w:r>
      <w:r>
        <w:rPr>
          <w:lang w:val="en_US" w:bidi="en_US"/>
        </w:rPr>
        <w:t xml:space="preserve"> is very similar to the expression “bring about justice” (literally, “do…justice”) in 18:7a. It is good to translate in a similar way here. For example:</w:t>
      </w:r>
    </w:p>
    <w:p>
      <w:pPr/>
      <w:r>
        <w:rPr>
          <w:lang w:val="en_US" w:bidi="en_US"/>
        </w:rPr>
      </w:r>
      <w:r>
        <w:rPr>
          <w:vertAlign w:val="superscript"/>
          <w:lang w:val="en_US" w:bidi="en_US"/>
        </w:rPr>
        <w:t>7b</w:t>
      </w:r>
      <w:r>
        <w:rPr>
          <w:lang w:val="en_US" w:bidi="en_US"/>
        </w:rPr>
        <w:t>give his chosen people justice…</w:t>
      </w:r>
      <w:r>
        <w:rPr>
          <w:vertAlign w:val="superscript"/>
          <w:lang w:val="en_US" w:bidi="en_US"/>
        </w:rPr>
        <w:t>8a</w:t>
      </w:r>
      <w:r>
        <w:rPr>
          <w:lang w:val="en_US" w:bidi="en_US"/>
        </w:rPr>
        <w:t>he will give them justice quickly (GW)</w:t>
      </w:r>
    </w:p>
    <w:p>
      <w:pPr/>
      <w:r>
        <w:rPr>
          <w:lang w:val="en_US" w:bidi="en_US"/>
        </w:rPr>
      </w:r>
      <w:r>
        <w:rPr>
          <w:vertAlign w:val="superscript"/>
          <w:lang w:val="en_US" w:bidi="en_US"/>
        </w:rPr>
        <w:t>7a</w:t>
      </w:r>
      <w:r>
        <w:rPr>
          <w:lang w:val="en_US" w:bidi="en_US"/>
        </w:rPr>
        <w:t>will…see justice done…</w:t>
      </w:r>
      <w:r>
        <w:rPr>
          <w:vertAlign w:val="superscript"/>
          <w:lang w:val="en_US" w:bidi="en_US"/>
        </w:rPr>
        <w:t>a</w:t>
      </w:r>
      <w:r>
        <w:rPr>
          <w:lang w:val="en_US" w:bidi="en_US"/>
        </w:rPr>
        <w:t>he will not delay in seeing justice done (JBP)</w:t>
      </w:r>
    </w:p>
    <w:p>
      <w:pPr/>
      <w:r>
        <w:rPr>
          <w:lang w:val="en_US" w:bidi="en_US"/>
        </w:rPr>
      </w:r>
      <w:r>
        <w:rPr>
          <w:lang w:val="en_US" w:bidi="en_US"/>
        </w:rPr>
        <w:t xml:space="preserve">In some languages it may be more natural to translate this without using a noun such as </w:t>
      </w:r>
      <w:r>
        <w:rPr>
          <w:i/>
          <w:lang w:val="en_US" w:bidi="en_US"/>
        </w:rPr>
        <w:t>justice</w:t>
      </w:r>
      <w:r>
        <w:rPr>
          <w:lang w:val="en_US" w:bidi="en_US"/>
        </w:rPr>
        <w:t>. For example:</w:t>
      </w:r>
    </w:p>
    <w:p>
      <w:pPr/>
      <w:r>
        <w:rPr>
          <w:lang w:val="en_US" w:bidi="en_US"/>
        </w:rPr>
      </w:r>
      <w:r>
        <w:rPr>
          <w:lang w:val="en_US" w:bidi="en_US"/>
        </w:rPr>
        <w:t>he will quickly do what is right for his people</w:t>
      </w:r>
    </w:p>
    <w:p>
      <w:pPr/>
      <w:r>
        <w:rPr>
          <w:lang w:val="en_US" w:bidi="en_US"/>
        </w:rPr>
      </w:r>
      <w:r>
        <w:rPr>
          <w:lang w:val="en_US" w:bidi="en_US"/>
        </w:rPr>
        <w:t>he will judge in their favor and do it quickly (GNT)</w:t>
      </w:r>
    </w:p>
    <w:p>
      <w:pPr/>
      <w:r>
        <w:rPr>
          <w:lang w:val="en_US" w:bidi="en_US"/>
        </w:rPr>
      </w:r>
      <w:r>
        <w:rPr>
          <w:b/>
          <w:lang w:val="en_US" w:bidi="en_US"/>
        </w:rPr>
        <w:t>promptly:</w:t>
      </w:r>
      <w:r>
        <w:rPr>
          <w:lang w:val="en_US" w:bidi="en_US"/>
        </w:rPr>
        <w:t xml:space="preserve"> The Greek phrase that the BSB translates as </w:t>
      </w:r>
      <w:r>
        <w:rPr>
          <w:i/>
          <w:lang w:val="en_US" w:bidi="en_US"/>
        </w:rPr>
        <w:t>promptly</w:t>
      </w:r>
      <w:r>
        <w:rPr>
          <w:lang w:val="en_US" w:bidi="en_US"/>
        </w:rPr>
        <w:t xml:space="preserve"> means “in/after a short period of time.”</w:t>
      </w:r>
      <w:r>
        <w:rPr>
          <w:lang w:val="en_US" w:bidi="en_US"/>
        </w:rPr>
        <w:t>Some scholars think that the phrase means “suddenly” here, indicating that when the right time comes, God will give his people justice suddenly. Of the fourteen English versions consulted, no version follows this interpretation.</w:t>
      </w:r>
      <w:r>
        <w:rPr>
          <w:lang w:val="en_US" w:bidi="en_US"/>
        </w:rPr>
        <w:t xml:space="preserve"> Some other ways to translate this are:</w:t>
      </w:r>
    </w:p>
    <w:p>
      <w:pPr/>
      <w:r>
        <w:rPr>
          <w:lang w:val="en_US" w:bidi="en_US"/>
        </w:rPr>
      </w:r>
      <w:r>
        <w:rPr>
          <w:lang w:val="en_US" w:bidi="en_US"/>
        </w:rPr>
        <w:t>speedily</w:t>
      </w:r>
    </w:p>
    <w:p>
      <w:pPr/>
      <w:r>
        <w:rPr>
          <w:lang w:val="en_US" w:bidi="en_US"/>
        </w:rPr>
      </w:r>
      <w:r>
        <w:rPr>
          <w:lang w:val="en_US" w:bidi="en_US"/>
        </w:rPr>
        <w:t>soon</w:t>
      </w:r>
    </w:p>
    <w:p>
      <w:pPr/>
      <w:r>
        <w:rPr>
          <w:lang w:val="en_US" w:bidi="en_US"/>
        </w:rPr>
      </w:r>
      <w:r>
        <w:rPr>
          <w:lang w:val="en_US" w:bidi="en_US"/>
        </w:rPr>
        <w:t>without delay</w:t>
      </w:r>
    </w:p>
    <w:p>
      <w:pPr>
        <w:pStyle w:val="Heading5"/>
      </w:pPr>
      <w:r>
        <w:rPr>
          <w:lang w:val="en_US" w:bidi="en_US"/>
        </w:rPr>
        <w:t>18:8b</w:t>
      </w:r>
    </w:p>
    <w:p>
      <w:pPr/>
      <w:r>
        <w:rPr>
          <w:lang w:val="en_US" w:bidi="en_US"/>
        </w:rPr>
      </w:r>
      <w:r>
        <w:rPr>
          <w:b/>
          <w:lang w:val="en_US" w:bidi="en_US"/>
        </w:rPr>
        <w:t>Nevertheless, when the Son of Man comes,</w:t>
      </w:r>
    </w:p>
    <w:p>
      <w:pPr>
        <w:pStyle w:val="ListBullet"/>
        <w:spacing w:line="240" w:lineRule="auto"/>
        <w:ind w:left="720"/>
      </w:pPr>
      <w:r>
        <w:rPr>
          <w:lang w:val="en_US" w:bidi="en_US"/>
        </w:rPr>
      </w:r>
      <w:r>
        <w:rPr>
          <w:lang w:val="en_US" w:bidi="en_US"/>
        </w:rPr>
        <w:t>But when the Son of Man returns</w:t>
      </w:r>
    </w:p>
    <w:p>
      <w:pPr>
        <w:pStyle w:val="ListBullet"/>
        <w:spacing w:line="240" w:lineRule="auto"/>
        <w:ind w:left="720"/>
      </w:pPr>
      <w:r>
        <w:rPr>
          <w:lang w:val="en_US" w:bidi="en_US"/>
        </w:rPr>
      </w:r>
      <w:r>
        <w:rPr>
          <w:lang w:val="en_US" w:bidi="en_US"/>
        </w:rPr>
        <w:t xml:space="preserve">But when </w:t>
      </w:r>
      <w:r>
        <w:rPr>
          <w:lang w:val="en_US" w:bidi="en_US"/>
        </w:rPr>
        <w:t>I,</w:t>
      </w:r>
      <w:r>
        <w:rPr>
          <w:lang w:val="en_US" w:bidi="en_US"/>
        </w:rPr>
        <w:t xml:space="preserve"> the Son of Man, come,</w:t>
      </w:r>
    </w:p>
    <w:p>
      <w:pPr>
        <w:pStyle w:val="ListBullet"/>
        <w:spacing w:line="240" w:lineRule="auto"/>
        <w:ind w:left="720"/>
      </w:pPr>
      <w:r>
        <w:rPr>
          <w:lang w:val="en_US" w:bidi="en_US"/>
        </w:rPr>
      </w:r>
      <w:r>
        <w:rPr>
          <w:lang w:val="en_US" w:bidi="en_US"/>
        </w:rPr>
        <w:t xml:space="preserve">Although </w:t>
      </w:r>
      <w:r>
        <w:rPr>
          <w:lang w:val="en_US" w:bidi="en_US"/>
        </w:rPr>
        <w:t>that is true</w:t>
      </w:r>
      <w:r>
        <w:rPr>
          <w:lang w:val="en_US" w:bidi="en_US"/>
        </w:rPr>
        <w:t>, when I, the Son of Man, come,</w:t>
      </w:r>
    </w:p>
    <w:p>
      <w:pPr/>
      <w:r>
        <w:rPr>
          <w:lang w:val="en_US" w:bidi="en_US"/>
        </w:rPr>
      </w:r>
      <w:r>
        <w:rPr>
          <w:b/>
          <w:lang w:val="en_US" w:bidi="en_US"/>
        </w:rPr>
        <w:t>Nevertheless:</w:t>
      </w:r>
      <w:r>
        <w:rPr>
          <w:lang w:val="en_US" w:bidi="en_US"/>
        </w:rPr>
        <w:t xml:space="preserve"> The Greek conjunction that the BSB translates as </w:t>
      </w:r>
      <w:r>
        <w:rPr>
          <w:i/>
          <w:lang w:val="en_US" w:bidi="en_US"/>
        </w:rPr>
        <w:t>Nevertheless</w:t>
      </w:r>
      <w:r>
        <w:rPr>
          <w:lang w:val="en_US" w:bidi="en_US"/>
        </w:rPr>
        <w:t xml:space="preserve"> introduces a strong contrast between 18:8a and 18:8c. Even though God will quickly give justice to his people (18:8a), some of his people may doubt that he will ever do it (18:8c). The clause in 18:8b is a time clause. Use a natural way in your language to connect 18:8a and 18:8b–c. Some other ways to translate the connection in English are:</w:t>
      </w:r>
    </w:p>
    <w:p>
      <w:pPr/>
      <w:r>
        <w:rPr>
          <w:lang w:val="en_US" w:bidi="en_US"/>
        </w:rPr>
      </w:r>
      <w:r>
        <w:rPr>
          <w:lang w:val="en_US" w:bidi="en_US"/>
        </w:rPr>
        <w:t>But will the Son of Man find faith on earth when he comes? (GNT)</w:t>
      </w:r>
    </w:p>
    <w:p>
      <w:pPr/>
      <w:r>
        <w:rPr>
          <w:lang w:val="en_US" w:bidi="en_US"/>
        </w:rPr>
      </w:r>
      <w:r>
        <w:rPr>
          <w:lang w:val="en_US" w:bidi="en_US"/>
        </w:rPr>
        <w:t>And yet, when the Son of Man comes, will he find faith on earth? (NRSV)</w:t>
      </w:r>
    </w:p>
    <w:p>
      <w:pPr/>
      <w:r>
        <w:rPr>
          <w:lang w:val="en_US" w:bidi="en_US"/>
        </w:rPr>
      </w:r>
      <w:r>
        <w:rPr>
          <w:lang w:val="en_US" w:bidi="en_US"/>
        </w:rPr>
        <w:t>In some languages it may be more natural to change the order of the clauses in this verse. See the General Comment on 18:8a–c at the end of 18:8c for a suggestion.</w:t>
      </w:r>
    </w:p>
    <w:p>
      <w:pPr/>
      <w:r>
        <w:rPr>
          <w:lang w:val="en_US" w:bidi="en_US"/>
        </w:rPr>
      </w:r>
      <w:r>
        <w:rPr>
          <w:b/>
          <w:lang w:val="en_US" w:bidi="en_US"/>
        </w:rPr>
        <w:t>when the Son of Man comes:</w:t>
      </w:r>
      <w:r>
        <w:rPr>
          <w:lang w:val="en_US" w:bidi="en_US"/>
        </w:rPr>
        <w:t xml:space="preserve"> The clause </w:t>
      </w:r>
      <w:r>
        <w:rPr>
          <w:i/>
          <w:lang w:val="en_US" w:bidi="en_US"/>
        </w:rPr>
        <w:t>when the Son of Man comes</w:t>
      </w:r>
      <w:r>
        <w:rPr>
          <w:lang w:val="en_US" w:bidi="en_US"/>
        </w:rPr>
        <w:t xml:space="preserve"> refers to the time in the future when Jesus will return to earth. Other ways to translate it are:</w:t>
      </w:r>
    </w:p>
    <w:p>
      <w:pPr/>
      <w:r>
        <w:rPr>
          <w:lang w:val="en_US" w:bidi="en_US"/>
        </w:rPr>
      </w:r>
      <w:r>
        <w:rPr>
          <w:lang w:val="en_US" w:bidi="en_US"/>
        </w:rPr>
        <w:t>When the Son of Man will return</w:t>
      </w:r>
    </w:p>
    <w:p>
      <w:pPr/>
      <w:r>
        <w:rPr>
          <w:lang w:val="en_US" w:bidi="en_US"/>
        </w:rPr>
      </w:r>
      <w:r>
        <w:rPr>
          <w:lang w:val="en_US" w:bidi="en_US"/>
        </w:rPr>
        <w:t xml:space="preserve">when the Son of Man comes back </w:t>
      </w:r>
      <w:r>
        <w:rPr>
          <w:lang w:val="en_US" w:bidi="en_US"/>
        </w:rPr>
        <w:t>to earth</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literally “the Son of the human/person.” Jesus used this title to imply that:</w:t>
      </w:r>
    </w:p>
    <w:p>
      <w:pPr>
        <w:pStyle w:val="ListNumber"/>
        <w:numPr>
          <w:ilvl w:val="0"/>
          <w:numId w:val="301"/>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 Some expressions that translators have used are:</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In some languages it may be necessary to use a form like “I” or “me” to indicate that Jesus was referring to himself. For example:</w:t>
      </w:r>
    </w:p>
    <w:p>
      <w:pPr/>
      <w:r>
        <w:rPr>
          <w:lang w:val="en_US" w:bidi="en_US"/>
        </w:rPr>
      </w:r>
      <w:r>
        <w:rPr>
          <w:u w:val="single"/>
          <w:lang w:val="en_US" w:bidi="en_US"/>
        </w:rPr>
        <w:t>me</w:t>
      </w:r>
      <w:r>
        <w:rPr>
          <w:lang w:val="en_US" w:bidi="en_US"/>
        </w:rPr>
        <w:t>, the Son of Man</w:t>
      </w:r>
    </w:p>
    <w:p>
      <w:pPr/>
      <w:r>
        <w:rPr>
          <w:lang w:val="en_US" w:bidi="en_US"/>
        </w:rPr>
      </w:r>
      <w:r>
        <w:rPr>
          <w:u w:val="single"/>
          <w:lang w:val="en_US" w:bidi="en_US"/>
        </w:rPr>
        <w:t>I</w:t>
      </w:r>
      <w:r>
        <w:rPr>
          <w:lang w:val="en_US" w:bidi="en_US"/>
        </w:rPr>
        <w:t xml:space="preserve"> who became man/human</w:t>
      </w:r>
    </w:p>
    <w:p>
      <w:pPr/>
      <w:r>
        <w:rPr>
          <w:lang w:val="en_US" w:bidi="en_US"/>
        </w:rPr>
      </w:r>
      <w:r>
        <w:rPr>
          <w:lang w:val="en_US" w:bidi="en_US"/>
        </w:rPr>
        <w:t>This term first occurs in Luke at 5:24a. See also “Son of Man” in KBT.</w:t>
      </w:r>
    </w:p>
    <w:p>
      <w:pPr>
        <w:pStyle w:val="Heading5"/>
      </w:pPr>
      <w:r>
        <w:rPr>
          <w:lang w:val="en_US" w:bidi="en_US"/>
        </w:rPr>
        <w:t>18:8c</w:t>
      </w:r>
    </w:p>
    <w:p>
      <w:pPr/>
      <w:r>
        <w:rPr>
          <w:lang w:val="en_US" w:bidi="en_US"/>
        </w:rPr>
      </w:r>
      <w:r>
        <w:rPr>
          <w:b/>
          <w:lang w:val="en_US" w:bidi="en_US"/>
        </w:rPr>
        <w:t>will He find faith on earth?”</w:t>
      </w:r>
    </w:p>
    <w:p>
      <w:pPr>
        <w:pStyle w:val="ListBullet"/>
        <w:spacing w:line="240" w:lineRule="auto"/>
        <w:ind w:left="720"/>
      </w:pPr>
      <w:r>
        <w:rPr>
          <w:lang w:val="en_US" w:bidi="en_US"/>
        </w:rPr>
      </w:r>
      <w:r>
        <w:rPr>
          <w:lang w:val="en_US" w:bidi="en_US"/>
        </w:rPr>
        <w:t xml:space="preserve">to earth, will he meet/see </w:t>
      </w:r>
      <w:r>
        <w:rPr>
          <w:lang w:val="en_US" w:bidi="en_US"/>
        </w:rPr>
        <w:t>people who have</w:t>
      </w:r>
      <w:r>
        <w:rPr>
          <w:lang w:val="en_US" w:bidi="en_US"/>
        </w:rPr>
        <w:t xml:space="preserve"> faith?”</w:t>
      </w:r>
    </w:p>
    <w:p>
      <w:pPr>
        <w:pStyle w:val="ListBullet"/>
        <w:spacing w:line="240" w:lineRule="auto"/>
        <w:ind w:left="720"/>
      </w:pPr>
      <w:r>
        <w:rPr>
          <w:lang w:val="en_US" w:bidi="en_US"/>
        </w:rPr>
      </w:r>
      <w:r>
        <w:rPr>
          <w:lang w:val="en_US" w:bidi="en_US"/>
        </w:rPr>
        <w:t xml:space="preserve">will </w:t>
      </w:r>
      <w:r>
        <w:rPr>
          <w:lang w:val="en_US" w:bidi="en_US"/>
        </w:rPr>
        <w:t>I</w:t>
      </w:r>
      <w:r>
        <w:rPr>
          <w:lang w:val="en_US" w:bidi="en_US"/>
        </w:rPr>
        <w:t xml:space="preserve"> discover/see that people on earth trust </w:t>
      </w:r>
      <w:r>
        <w:rPr>
          <w:lang w:val="en_US" w:bidi="en_US"/>
        </w:rPr>
        <w:t>me/God</w:t>
      </w:r>
      <w:r>
        <w:rPr>
          <w:lang w:val="en_US" w:bidi="en_US"/>
        </w:rPr>
        <w:t>?”</w:t>
      </w:r>
    </w:p>
    <w:p>
      <w:pPr>
        <w:pStyle w:val="ListBullet"/>
        <w:spacing w:line="240" w:lineRule="auto"/>
        <w:ind w:left="720"/>
      </w:pPr>
      <w:r>
        <w:rPr>
          <w:lang w:val="en_US" w:bidi="en_US"/>
        </w:rPr>
      </w:r>
      <w:r>
        <w:rPr>
          <w:lang w:val="en_US" w:bidi="en_US"/>
        </w:rPr>
        <w:t xml:space="preserve">will I find </w:t>
      </w:r>
      <w:r>
        <w:rPr>
          <w:lang w:val="en_US" w:bidi="en_US"/>
        </w:rPr>
        <w:t>any</w:t>
      </w:r>
      <w:r>
        <w:rPr>
          <w:lang w:val="en_US" w:bidi="en_US"/>
        </w:rPr>
        <w:t xml:space="preserve"> people in this world who believe </w:t>
      </w:r>
      <w:r>
        <w:rPr>
          <w:lang w:val="en_US" w:bidi="en_US"/>
        </w:rPr>
        <w:t>that</w:t>
      </w:r>
      <w:r>
        <w:rPr>
          <w:lang w:val="en_US" w:bidi="en_US"/>
        </w:rPr>
        <w:t>?”</w:t>
      </w:r>
    </w:p>
    <w:p>
      <w:pPr/>
      <w:r>
        <w:rPr>
          <w:lang w:val="en_US" w:bidi="en_US"/>
        </w:rPr>
      </w:r>
      <w:r>
        <w:rPr>
          <w:b/>
          <w:lang w:val="en_US" w:bidi="en_US"/>
        </w:rPr>
        <w:t>will He find faith on earth?:</w:t>
      </w:r>
      <w:r>
        <w:rPr>
          <w:lang w:val="en_US" w:bidi="en_US"/>
        </w:rPr>
        <w:t xml:space="preserve"> This is a rhetorical question. Jesus knew that his disciples did not know the answer to this question. The question implies that the Son of Man</w:t>
      </w:r>
      <w:r>
        <w:rPr>
          <w:lang w:val="en_US" w:bidi="en_US"/>
        </w:rPr>
        <w:t>In Greek the word for “faith” is preceded by “the” (“the faith”). Here “the faith” probably refers to the faith that is specifically mentioned in this context, that is, faith in God, in the Son of Man, or specifically that God will speedily give his chosen people justice. Most scholars do not interpret it to mean “Christian teaching” in this context, though that later became a common meaning of the phrase “the faith.”</w:t>
      </w:r>
      <w:r>
        <w:rPr>
          <w:lang w:val="en_US" w:bidi="en_US"/>
        </w:rPr>
        <w:t xml:space="preserve"> may not find faith on the earth when he returns. Jesus probably asked this question to motivate his disciples to be people with that faith.</w:t>
      </w:r>
    </w:p>
    <w:p>
      <w:pPr/>
      <w:r>
        <w:rPr>
          <w:lang w:val="en_US" w:bidi="en_US"/>
        </w:rPr>
      </w:r>
      <w:r>
        <w:rPr>
          <w:lang w:val="en_US" w:bidi="en_US"/>
        </w:rPr>
        <w:t>Some ways to translate this question are:</w:t>
      </w:r>
    </w:p>
    <w:p>
      <w:pPr>
        <w:pStyle w:val="ListBullet"/>
        <w:spacing w:line="240" w:lineRule="auto"/>
        <w:ind w:left="720"/>
      </w:pPr>
      <w:r>
        <w:rPr>
          <w:lang w:val="en_US" w:bidi="en_US"/>
        </w:rPr>
      </w:r>
      <w:r>
        <w:rPr>
          <w:lang w:val="en_US" w:bidi="en_US"/>
        </w:rPr>
        <w:t>As a rhetorical question. For example:</w:t>
      </w:r>
      <w:r>
        <w:rPr>
          <w:lang w:val="en_US" w:bidi="en_US"/>
        </w:rPr>
        <w:t>…will he find people on earth with faith?</w:t>
      </w:r>
      <w:r>
        <w:rPr>
          <w:lang w:val="en_US" w:bidi="en_US"/>
        </w:rPr>
        <w:t xml:space="preserve">…whom will he find on earth who trusts </w:t>
      </w:r>
      <w:r>
        <w:rPr>
          <w:lang w:val="en_US" w:bidi="en_US"/>
        </w:rPr>
        <w:t>him/God</w:t>
      </w:r>
      <w:r>
        <w:rPr>
          <w:lang w:val="en_US" w:bidi="en_US"/>
        </w:rPr>
        <w:t>?</w:t>
      </w:r>
    </w:p>
    <w:p>
      <w:pPr>
        <w:pStyle w:val="ListBullet"/>
        <w:spacing w:line="240" w:lineRule="auto"/>
        <w:ind w:left="720"/>
      </w:pPr>
      <w:r>
        <w:rPr>
          <w:lang w:val="en_US" w:bidi="en_US"/>
        </w:rPr>
      </w:r>
      <w:r>
        <w:rPr>
          <w:lang w:val="en_US" w:bidi="en_US"/>
        </w:rPr>
        <w:t>As a statement. For example:</w:t>
      </w:r>
      <w:r>
        <w:rPr>
          <w:lang w:val="en_US" w:bidi="en_US"/>
        </w:rPr>
        <w:t>He may not find people on earth with faith.</w:t>
      </w:r>
      <w:r>
        <w:rPr>
          <w:lang w:val="en_US" w:bidi="en_US"/>
        </w:rPr>
        <w:t>He may not find/see that there are people on earth who have faith.</w:t>
      </w:r>
    </w:p>
    <w:p>
      <w:pPr/>
      <w:r>
        <w:rPr>
          <w:lang w:val="en_US" w:bidi="en_US"/>
        </w:rPr>
      </w:r>
      <w:r>
        <w:rPr>
          <w:lang w:val="en_US" w:bidi="en_US"/>
        </w:rPr>
        <w:t>Translate this rhetorical question in a natural way in your language.</w:t>
      </w:r>
    </w:p>
    <w:p>
      <w:pPr/>
      <w:r>
        <w:rPr>
          <w:lang w:val="en_US" w:bidi="en_US"/>
        </w:rPr>
      </w:r>
      <w:r>
        <w:rPr>
          <w:b/>
          <w:lang w:val="en_US" w:bidi="en_US"/>
        </w:rPr>
        <w:t>will He find faith:</w:t>
      </w:r>
      <w:r>
        <w:rPr>
          <w:lang w:val="en_US" w:bidi="en_US"/>
        </w:rPr>
        <w:t xml:space="preserve"> In this context the question </w:t>
      </w:r>
      <w:r>
        <w:rPr>
          <w:i/>
          <w:lang w:val="en_US" w:bidi="en_US"/>
        </w:rPr>
        <w:t>will He find faith</w:t>
      </w:r>
      <w:r>
        <w:rPr>
          <w:lang w:val="en_US" w:bidi="en_US"/>
        </w:rPr>
        <w:t xml:space="preserve"> implies that people may not have faith at that time. It does not imply that the Son of Man will not be able to </w:t>
      </w:r>
      <w:r>
        <w:rPr>
          <w:u w:val="single"/>
          <w:lang w:val="en_US" w:bidi="en_US"/>
        </w:rPr>
        <w:t>find</w:t>
      </w:r>
      <w:r>
        <w:rPr>
          <w:lang w:val="en_US" w:bidi="en_US"/>
        </w:rPr>
        <w:t xml:space="preserve"> the people who have faith.</w:t>
      </w:r>
    </w:p>
    <w:p>
      <w:pPr/>
      <w:r>
        <w:rPr>
          <w:lang w:val="en_US" w:bidi="en_US"/>
        </w:rPr>
      </w:r>
      <w:r>
        <w:rPr>
          <w:lang w:val="en_US" w:bidi="en_US"/>
        </w:rPr>
        <w:t xml:space="preserve">This question probably also does not imply that there will be </w:t>
      </w:r>
      <w:r>
        <w:rPr>
          <w:u w:val="single"/>
          <w:lang w:val="en_US" w:bidi="en_US"/>
        </w:rPr>
        <w:t>no</w:t>
      </w:r>
      <w:r>
        <w:rPr>
          <w:lang w:val="en_US" w:bidi="en_US"/>
        </w:rPr>
        <w:t xml:space="preserve"> people who believe in Jesus. It may imply that there may not be many people who have confidence in him.</w:t>
      </w:r>
    </w:p>
    <w:p>
      <w:pPr/>
      <w:r>
        <w:rPr>
          <w:lang w:val="en_US" w:bidi="en_US"/>
        </w:rPr>
      </w:r>
      <w:r>
        <w:rPr>
          <w:lang w:val="en_US" w:bidi="en_US"/>
        </w:rPr>
        <w:t>Some other ways to translate this are:</w:t>
      </w:r>
    </w:p>
    <w:p>
      <w:pPr/>
      <w:r>
        <w:rPr>
          <w:lang w:val="en_US" w:bidi="en_US"/>
        </w:rPr>
      </w:r>
      <w:r>
        <w:rPr>
          <w:lang w:val="en_US" w:bidi="en_US"/>
        </w:rPr>
        <w:t>will he see that people have faith</w:t>
      </w:r>
    </w:p>
    <w:p>
      <w:pPr/>
      <w:r>
        <w:rPr>
          <w:lang w:val="en_US" w:bidi="en_US"/>
        </w:rPr>
      </w:r>
      <w:r>
        <w:rPr>
          <w:lang w:val="en_US" w:bidi="en_US"/>
        </w:rPr>
        <w:t xml:space="preserve">will he discover that people believe/trust </w:t>
      </w:r>
      <w:r>
        <w:rPr>
          <w:lang w:val="en_US" w:bidi="en_US"/>
        </w:rPr>
        <w:t>him/God</w:t>
      </w:r>
    </w:p>
    <w:p>
      <w:pPr/>
      <w:r>
        <w:rPr>
          <w:lang w:val="en_US" w:bidi="en_US"/>
        </w:rPr>
      </w:r>
      <w:r>
        <w:rPr>
          <w:lang w:val="en_US" w:bidi="en_US"/>
        </w:rPr>
        <w:t xml:space="preserve">will he find that no one trusts </w:t>
      </w:r>
      <w:r>
        <w:rPr>
          <w:lang w:val="en_US" w:bidi="en_US"/>
        </w:rPr>
        <w:t>God/him</w:t>
      </w:r>
    </w:p>
    <w:p>
      <w:pPr/>
      <w:r>
        <w:rPr>
          <w:lang w:val="en_US" w:bidi="en_US"/>
        </w:rPr>
      </w:r>
      <w:r>
        <w:rPr>
          <w:b/>
          <w:lang w:val="en_US" w:bidi="en_US"/>
        </w:rPr>
        <w:t>faith:</w:t>
      </w:r>
      <w:r>
        <w:rPr>
          <w:lang w:val="en_US" w:bidi="en_US"/>
        </w:rPr>
        <w:t xml:space="preserve"> In this context </w:t>
      </w:r>
      <w:r>
        <w:rPr>
          <w:i/>
          <w:lang w:val="en_US" w:bidi="en_US"/>
        </w:rPr>
        <w:t>faith</w:t>
      </w:r>
      <w:r>
        <w:rPr>
          <w:lang w:val="en_US" w:bidi="en_US"/>
        </w:rPr>
        <w:t xml:space="preserve"> refers to people </w:t>
      </w:r>
      <w:r>
        <w:rPr>
          <w:u w:val="single"/>
          <w:lang w:val="en_US" w:bidi="en_US"/>
        </w:rPr>
        <w:t>trusting</w:t>
      </w:r>
      <w:r>
        <w:rPr>
          <w:lang w:val="en_US" w:bidi="en_US"/>
        </w:rPr>
        <w:t xml:space="preserve"> God or Jesus, the Son of Man. It may refer specifically to people having confidence that when they pray, God will bring about justice for them, as Jesus said in 18:8a. If you translate </w:t>
      </w:r>
      <w:r>
        <w:rPr>
          <w:i/>
          <w:lang w:val="en_US" w:bidi="en_US"/>
        </w:rPr>
        <w:t>faith</w:t>
      </w:r>
      <w:r>
        <w:rPr>
          <w:lang w:val="en_US" w:bidi="en_US"/>
        </w:rPr>
        <w:t xml:space="preserve"> as a verb here, you may need to supply an object. For example:</w:t>
      </w:r>
    </w:p>
    <w:p>
      <w:pPr/>
      <w:r>
        <w:rPr>
          <w:lang w:val="en_US" w:bidi="en_US"/>
        </w:rPr>
      </w:r>
      <w:r>
        <w:rPr>
          <w:lang w:val="en_US" w:bidi="en_US"/>
        </w:rPr>
        <w:t xml:space="preserve">trust </w:t>
      </w:r>
      <w:r>
        <w:rPr>
          <w:lang w:val="en_US" w:bidi="en_US"/>
        </w:rPr>
        <w:t>him</w:t>
      </w:r>
    </w:p>
    <w:p>
      <w:pPr/>
      <w:r>
        <w:rPr>
          <w:lang w:val="en_US" w:bidi="en_US"/>
        </w:rPr>
      </w:r>
      <w:r>
        <w:rPr>
          <w:lang w:val="en_US" w:bidi="en_US"/>
        </w:rPr>
        <w:t xml:space="preserve">have confidence </w:t>
      </w:r>
      <w:r>
        <w:rPr>
          <w:lang w:val="en_US" w:bidi="en_US"/>
        </w:rPr>
        <w:t>in him/God</w:t>
      </w:r>
    </w:p>
    <w:p>
      <w:pPr/>
      <w:r>
        <w:rPr>
          <w:lang w:val="en_US" w:bidi="en_US"/>
        </w:rPr>
      </w:r>
      <w:r>
        <w:rPr>
          <w:lang w:val="en_US" w:bidi="en_US"/>
        </w:rPr>
        <w:t xml:space="preserve">believe/trust </w:t>
      </w:r>
      <w:r>
        <w:rPr>
          <w:lang w:val="en_US" w:bidi="en_US"/>
        </w:rPr>
        <w:t>that God will do this</w:t>
      </w:r>
    </w:p>
    <w:p>
      <w:pPr/>
      <w:r>
        <w:rPr>
          <w:lang w:val="en_US" w:bidi="en_US"/>
        </w:rPr>
      </w:r>
      <w:r>
        <w:rPr>
          <w:lang w:val="en_US" w:bidi="en_US"/>
        </w:rPr>
        <w:t>See believe, Meaning 2, in the Glossary.</w:t>
      </w:r>
    </w:p>
    <w:p>
      <w:pPr/>
      <w:r>
        <w:rPr>
          <w:lang w:val="en_US" w:bidi="en_US"/>
        </w:rPr>
      </w:r>
      <w:r>
        <w:rPr>
          <w:b/>
          <w:lang w:val="en_US" w:bidi="en_US"/>
        </w:rPr>
        <w:t>on earth:</w:t>
      </w:r>
      <w:r>
        <w:rPr>
          <w:lang w:val="en_US" w:bidi="en_US"/>
        </w:rPr>
        <w:t xml:space="preserve"> Here the phrase </w:t>
      </w:r>
      <w:r>
        <w:rPr>
          <w:i/>
          <w:lang w:val="en_US" w:bidi="en_US"/>
        </w:rPr>
        <w:t>on earth</w:t>
      </w:r>
      <w:r>
        <w:rPr>
          <w:lang w:val="en_US" w:bidi="en_US"/>
        </w:rPr>
        <w:t xml:space="preserve"> refers to the whole earth in contrast to heaven. It does not refer to any particular part of the earth.</w:t>
      </w:r>
    </w:p>
    <w:p>
      <w:pPr>
        <w:pStyle w:val="Heading6"/>
      </w:pPr>
      <w:r>
        <w:rPr>
          <w:b/>
          <w:lang w:val="en_US" w:bidi="en_US"/>
        </w:rPr>
        <w:t>General Comment on 18:8a–c</w:t>
      </w:r>
    </w:p>
    <w:p>
      <w:pPr/>
      <w:r>
        <w:rPr>
          <w:lang w:val="en_US" w:bidi="en_US"/>
        </w:rPr>
      </w:r>
      <w:r>
        <w:rPr>
          <w:lang w:val="en_US" w:bidi="en_US"/>
        </w:rPr>
        <w:t>In some languages it may be more natural to change the order of clauses in this verse. For example:</w:t>
      </w:r>
    </w:p>
    <w:p>
      <w:pPr/>
      <w:r>
        <w:rPr>
          <w:lang w:val="en_US" w:bidi="en_US"/>
        </w:rPr>
      </w:r>
      <w:r>
        <w:rPr>
          <w:vertAlign w:val="superscript"/>
          <w:lang w:val="en_US" w:bidi="en_US"/>
        </w:rPr>
        <w:t>8a</w:t>
      </w:r>
      <w:r>
        <w:rPr>
          <w:lang w:val="en_US" w:bidi="en_US"/>
        </w:rPr>
        <w:t xml:space="preserve">I tell you, he will see that they get justice, and quickly. </w:t>
      </w:r>
      <w:r>
        <w:rPr>
          <w:vertAlign w:val="superscript"/>
          <w:lang w:val="en_US" w:bidi="en_US"/>
        </w:rPr>
        <w:t>8c</w:t>
      </w:r>
      <w:r>
        <w:rPr>
          <w:lang w:val="en_US" w:bidi="en_US"/>
        </w:rPr>
        <w:t xml:space="preserve">However, will the Son of Man find faith on the earth </w:t>
      </w:r>
      <w:r>
        <w:rPr>
          <w:vertAlign w:val="superscript"/>
          <w:lang w:val="en_US" w:bidi="en_US"/>
        </w:rPr>
        <w:t>8b</w:t>
      </w:r>
      <w:r>
        <w:rPr>
          <w:lang w:val="en_US" w:bidi="en_US"/>
        </w:rPr>
        <w:t>when he returns?</w:t>
      </w:r>
      <w:r>
        <w:rPr>
          <w:lang w:val="en_US" w:bidi="en_US"/>
        </w:rPr>
      </w:r>
      <w:r>
        <w:rPr>
          <w:lang w:val="en_US" w:bidi="en_US"/>
        </w:rPr>
      </w:r>
    </w:p>
    <w:p>
      <w:pPr/>
      <w:r>
        <w:rPr>
          <w:lang w:val="en_US" w:bidi="en_US"/>
        </w:rPr>
      </w:r>
    </w:p>
    <w:p>
      <w:pPr>
        <w:pStyle w:val="Heading2"/>
      </w:pPr>
      <w:r>
        <w:rPr>
          <w:lang w:val="en_US" w:bidi="en_US"/>
        </w:rPr>
        <w:t>Luke 18:9</w:t>
      </w:r>
      <w:r>
        <w:rPr>
          <w:lang w:val="en_US" w:bidi="en_US"/>
        </w:rPr>
      </w:r>
    </w:p>
    <w:p>
      <w:pPr>
        <w:pStyle w:val="Heading4"/>
      </w:pPr>
      <w:r>
        <w:rPr>
          <w:lang w:val="en_US" w:bidi="en_US"/>
        </w:rPr>
        <w:t>Section 18:9–14: Jesus told a parable about praying in a humble way</w:t>
      </w:r>
    </w:p>
    <w:p>
      <w:pPr/>
      <w:r>
        <w:rPr>
          <w:lang w:val="en_US" w:bidi="en_US"/>
        </w:rPr>
      </w:r>
      <w:r>
        <w:rPr>
          <w:lang w:val="en_US" w:bidi="en_US"/>
        </w:rPr>
        <w:t>In this section Jesus told a parable about how to pray with an attitude that God will approve. Jesus told this parable especially for people who thought that they were already righteous and better than other people. The parable shows that God wants people to come before him humbly and ask for his forgiveness.</w:t>
      </w:r>
    </w:p>
    <w:p>
      <w:pPr/>
      <w:r>
        <w:rPr>
          <w:lang w:val="en_US" w:bidi="en_US"/>
        </w:rPr>
      </w:r>
      <w:r>
        <w:rPr>
          <w:lang w:val="en_US" w:bidi="en_US"/>
        </w:rPr>
        <w:t>Some examples of headings for this section are:</w:t>
      </w:r>
    </w:p>
    <w:p>
      <w:pPr/>
      <w:r>
        <w:rPr>
          <w:lang w:val="en_US" w:bidi="en_US"/>
        </w:rPr>
      </w:r>
      <w:r>
        <w:rPr>
          <w:lang w:val="en_US" w:bidi="en_US"/>
        </w:rPr>
        <w:t>The Parable of the Pharisee and the Tax Collector (GNT)</w:t>
      </w:r>
    </w:p>
    <w:p>
      <w:pPr/>
      <w:r>
        <w:rPr>
          <w:lang w:val="en_US" w:bidi="en_US"/>
        </w:rPr>
      </w:r>
      <w:r>
        <w:rPr>
          <w:lang w:val="en_US" w:bidi="en_US"/>
        </w:rPr>
        <w:t>Jesus told a story about two men who prayed</w:t>
      </w:r>
    </w:p>
    <w:p>
      <w:pPr/>
      <w:r>
        <w:rPr>
          <w:lang w:val="en_US" w:bidi="en_US"/>
        </w:rPr>
      </w:r>
      <w:r>
        <w:rPr>
          <w:lang w:val="en_US" w:bidi="en_US"/>
        </w:rPr>
        <w:t>This parable is only found in Luke.</w:t>
      </w:r>
    </w:p>
    <w:p>
      <w:pPr>
        <w:pStyle w:val="Heading5"/>
      </w:pPr>
      <w:r>
        <w:rPr>
          <w:lang w:val="en_US" w:bidi="en_US"/>
        </w:rPr>
        <w:t>18:9</w:t>
      </w:r>
    </w:p>
    <w:p>
      <w:pPr/>
      <w:r>
        <w:rPr>
          <w:lang w:val="en_US" w:bidi="en_US"/>
        </w:rPr>
      </w:r>
      <w:r>
        <w:rPr>
          <w:lang w:val="en_US" w:bidi="en_US"/>
        </w:rPr>
        <w:t>The BSB has arranged the phrases in this verse in a different order from the Greek text. Other versions follow the Greek order more closely. For example:</w:t>
      </w:r>
    </w:p>
    <w:p>
      <w:pPr/>
      <w:r>
        <w:rPr>
          <w:lang w:val="en_US" w:bidi="en_US"/>
        </w:rPr>
      </w:r>
      <w:r>
        <w:rPr>
          <w:vertAlign w:val="superscript"/>
          <w:lang w:val="en_US" w:bidi="en_US"/>
        </w:rPr>
        <w:t>9c</w:t>
      </w:r>
      <w:r>
        <w:rPr>
          <w:lang w:val="en_US" w:bidi="en_US"/>
        </w:rPr>
        <w:t xml:space="preserve">Jesus also told this parable </w:t>
      </w:r>
      <w:r>
        <w:rPr>
          <w:vertAlign w:val="superscript"/>
          <w:lang w:val="en_US" w:bidi="en_US"/>
        </w:rPr>
        <w:t>9a</w:t>
      </w:r>
      <w:r>
        <w:rPr>
          <w:lang w:val="en_US" w:bidi="en_US"/>
        </w:rPr>
        <w:t xml:space="preserve">to some who were confident that they were righteous </w:t>
      </w:r>
      <w:r>
        <w:rPr>
          <w:vertAlign w:val="superscript"/>
          <w:lang w:val="en_US" w:bidi="en_US"/>
        </w:rPr>
        <w:t>9b</w:t>
      </w:r>
      <w:r>
        <w:rPr>
          <w:lang w:val="en_US" w:bidi="en_US"/>
        </w:rPr>
        <w:t>and looked down on everyone else. (NET)</w:t>
      </w:r>
    </w:p>
    <w:p>
      <w:pPr/>
      <w:r>
        <w:rPr>
          <w:lang w:val="en_US" w:bidi="en_US"/>
        </w:rPr>
      </w:r>
      <w:r>
        <w:rPr>
          <w:lang w:val="en_US" w:bidi="en_US"/>
        </w:rPr>
        <w:t>Use a natural order in your language.</w:t>
      </w:r>
    </w:p>
    <w:p>
      <w:pPr>
        <w:pStyle w:val="Heading5"/>
      </w:pPr>
      <w:r>
        <w:rPr>
          <w:lang w:val="en_US" w:bidi="en_US"/>
        </w:rPr>
        <w:t>18:9a</w:t>
      </w:r>
    </w:p>
    <w:p>
      <w:pPr/>
      <w:r>
        <w:rPr>
          <w:lang w:val="en_US" w:bidi="en_US"/>
        </w:rPr>
      </w:r>
      <w:r>
        <w:rPr>
          <w:b/>
          <w:lang w:val="en_US" w:bidi="en_US"/>
        </w:rPr>
        <w:t>To some who trusted in their own righteousness</w:t>
      </w:r>
    </w:p>
    <w:p>
      <w:pPr>
        <w:pStyle w:val="ListBullet"/>
        <w:spacing w:line="240" w:lineRule="auto"/>
        <w:ind w:left="720"/>
      </w:pPr>
      <w:r>
        <w:rPr>
          <w:lang w:val="en_US" w:bidi="en_US"/>
        </w:rPr>
      </w:r>
      <w:r>
        <w:rPr>
          <w:lang w:val="en_US" w:bidi="en_US"/>
        </w:rPr>
        <w:t xml:space="preserve">¶ Some </w:t>
      </w:r>
      <w:r>
        <w:rPr>
          <w:lang w:val="en_US" w:bidi="en_US"/>
        </w:rPr>
        <w:t>people</w:t>
      </w:r>
      <w:r>
        <w:rPr>
          <w:lang w:val="en_US" w:bidi="en_US"/>
        </w:rPr>
        <w:t xml:space="preserve"> </w:t>
      </w:r>
      <w:r>
        <w:rPr>
          <w:lang w:val="en_US" w:bidi="en_US"/>
        </w:rPr>
        <w:t>listening to Jesus</w:t>
      </w:r>
      <w:r>
        <w:rPr>
          <w:lang w:val="en_US" w:bidi="en_US"/>
        </w:rPr>
        <w:t xml:space="preserve"> were sure that they were righteous,</w:t>
      </w:r>
    </w:p>
    <w:p>
      <w:pPr>
        <w:pStyle w:val="ListBullet"/>
        <w:spacing w:line="240" w:lineRule="auto"/>
        <w:ind w:left="720"/>
      </w:pPr>
      <w:r>
        <w:rPr>
          <w:lang w:val="en_US" w:bidi="en_US"/>
        </w:rPr>
      </w:r>
      <w:r>
        <w:rPr>
          <w:lang w:val="en_US" w:bidi="en_US"/>
        </w:rPr>
        <w:t xml:space="preserve">¶ </w:t>
      </w:r>
      <w:r>
        <w:rPr>
          <w:lang w:val="en_US" w:bidi="en_US"/>
        </w:rPr>
        <w:t>Jesus also spoke</w:t>
      </w:r>
      <w:r>
        <w:rPr>
          <w:lang w:val="en_US" w:bidi="en_US"/>
        </w:rPr>
        <w:t xml:space="preserve"> to some </w:t>
      </w:r>
      <w:r>
        <w:rPr>
          <w:lang w:val="en_US" w:bidi="en_US"/>
        </w:rPr>
        <w:t>people</w:t>
      </w:r>
      <w:r>
        <w:rPr>
          <w:lang w:val="en_US" w:bidi="en_US"/>
        </w:rPr>
        <w:t xml:space="preserve"> who had confidence/trust in themselves that </w:t>
      </w:r>
      <w:r>
        <w:rPr>
          <w:lang w:val="en_US" w:bidi="en_US"/>
        </w:rPr>
        <w:t>God</w:t>
      </w:r>
      <w:r>
        <w:rPr>
          <w:lang w:val="en_US" w:bidi="en_US"/>
        </w:rPr>
        <w:t xml:space="preserve"> approved of them.</w:t>
      </w:r>
    </w:p>
    <w:p>
      <w:pPr>
        <w:pStyle w:val="ListBullet"/>
        <w:spacing w:line="240" w:lineRule="auto"/>
        <w:ind w:left="720"/>
      </w:pPr>
      <w:r>
        <w:rPr>
          <w:lang w:val="en_US" w:bidi="en_US"/>
        </w:rPr>
      </w:r>
      <w:r>
        <w:rPr>
          <w:lang w:val="en_US" w:bidi="en_US"/>
        </w:rPr>
        <w:t>¶ Some people thought, “I am sure that I do what is right</w:t>
      </w:r>
    </w:p>
    <w:p>
      <w:pPr/>
      <w:r>
        <w:rPr>
          <w:lang w:val="en_US" w:bidi="en_US"/>
        </w:rPr>
      </w:r>
      <w:r>
        <w:rPr>
          <w:lang w:val="en_US" w:bidi="en_US"/>
        </w:rPr>
        <w:t>Scholars are not sure exactly when Jesus told the parable in this section. He probably told it within the same time period as the preceding one in 18:1–8, but maybe not immediately afterwards. Some ways to introduce the parable are:</w:t>
      </w:r>
      <w:r>
        <w:rPr>
          <w:lang w:val="en_US" w:bidi="en_US"/>
        </w:rPr>
        <w:t>In Greek this verse begins with two conjunctions that the NASB translates as “And…also.”</w:t>
      </w:r>
    </w:p>
    <w:p>
      <w:pPr/>
      <w:r>
        <w:rPr>
          <w:lang w:val="en_US" w:bidi="en_US"/>
        </w:rPr>
      </w:r>
      <w:r>
        <w:rPr>
          <w:lang w:val="en_US" w:bidi="en_US"/>
        </w:rPr>
        <w:t>Jesus also told another parable</w:t>
      </w:r>
    </w:p>
    <w:p>
      <w:pPr/>
      <w:r>
        <w:rPr>
          <w:lang w:val="en_US" w:bidi="en_US"/>
        </w:rPr>
      </w:r>
      <w:r>
        <w:rPr>
          <w:lang w:val="en_US" w:bidi="en_US"/>
        </w:rPr>
        <w:t>Here is another parable that he told (REB)</w:t>
      </w:r>
    </w:p>
    <w:p>
      <w:pPr/>
      <w:r>
        <w:rPr>
          <w:lang w:val="en_US" w:bidi="en_US"/>
        </w:rPr>
      </w:r>
      <w:r>
        <w:rPr>
          <w:lang w:val="en_US" w:bidi="en_US"/>
        </w:rPr>
        <w:t>Introduce the parable in a natural way in your language.</w:t>
      </w:r>
    </w:p>
    <w:p>
      <w:pPr/>
      <w:r>
        <w:rPr>
          <w:lang w:val="en_US" w:bidi="en_US"/>
        </w:rPr>
      </w:r>
      <w:r>
        <w:rPr>
          <w:b/>
          <w:lang w:val="en_US" w:bidi="en_US"/>
        </w:rPr>
        <w:t>To some who trusted in their own righteousness:</w:t>
      </w:r>
      <w:r>
        <w:rPr>
          <w:lang w:val="en_US" w:bidi="en_US"/>
        </w:rPr>
        <w:t xml:space="preserve"> The phrase that the BSB translates as </w:t>
      </w:r>
      <w:r>
        <w:rPr>
          <w:i/>
          <w:lang w:val="en_US" w:bidi="en_US"/>
        </w:rPr>
        <w:t>To some who trusted in their own righteousness</w:t>
      </w:r>
      <w:r>
        <w:rPr>
          <w:lang w:val="en_US" w:bidi="en_US"/>
        </w:rPr>
        <w:t xml:space="preserve"> refers to some of the people listening to Jesus. In some languages it may be more natural to introduce the people before saying what they thought. For example:</w:t>
      </w:r>
    </w:p>
    <w:p>
      <w:pPr/>
      <w:r>
        <w:rPr>
          <w:lang w:val="en_US" w:bidi="en_US"/>
        </w:rPr>
      </w:r>
      <w:r>
        <w:rPr>
          <w:lang w:val="en_US" w:bidi="en_US"/>
        </w:rPr>
        <w:t>Some people were in the crowd listening to Jesus. These people were sure that they were righteous.</w:t>
      </w:r>
    </w:p>
    <w:p>
      <w:pPr/>
      <w:r>
        <w:rPr>
          <w:lang w:val="en_US" w:bidi="en_US"/>
        </w:rPr>
      </w:r>
      <w:r>
        <w:rPr>
          <w:b/>
          <w:lang w:val="en_US" w:bidi="en_US"/>
        </w:rPr>
        <w:t>trusted in their own righteousness:</w:t>
      </w:r>
      <w:r>
        <w:rPr>
          <w:lang w:val="en_US" w:bidi="en_US"/>
        </w:rPr>
        <w:t xml:space="preserve"> The Greek word that the BSB translates as </w:t>
      </w:r>
      <w:r>
        <w:rPr>
          <w:i/>
          <w:lang w:val="en_US" w:bidi="en_US"/>
        </w:rPr>
        <w:t>righteousness</w:t>
      </w:r>
      <w:r>
        <w:rPr>
          <w:lang w:val="en_US" w:bidi="en_US"/>
        </w:rPr>
        <w:t xml:space="preserve"> refers to living according to God’s standards. Righteous people consistently do what is right. They also have right attitudes toward God and other people. The people in this context thought that they were righteous. Some ways to translate this phrase are:</w:t>
      </w:r>
    </w:p>
    <w:p>
      <w:pPr/>
      <w:r>
        <w:rPr>
          <w:lang w:val="en_US" w:bidi="en_US"/>
        </w:rPr>
      </w:r>
      <w:r>
        <w:rPr>
          <w:lang w:val="en_US" w:bidi="en_US"/>
        </w:rPr>
        <w:t>sure that they obeyed God’s law</w:t>
      </w:r>
    </w:p>
    <w:p>
      <w:pPr/>
      <w:r>
        <w:rPr>
          <w:lang w:val="en_US" w:bidi="en_US"/>
        </w:rPr>
      </w:r>
      <w:r>
        <w:rPr>
          <w:lang w:val="en_US" w:bidi="en_US"/>
        </w:rPr>
        <w:t>had great confidence that they lived in the way that is right</w:t>
      </w:r>
    </w:p>
    <w:p>
      <w:pPr/>
      <w:r>
        <w:rPr>
          <w:lang w:val="en_US" w:bidi="en_US"/>
        </w:rPr>
      </w:r>
      <w:r>
        <w:rPr>
          <w:lang w:val="en_US" w:bidi="en_US"/>
        </w:rPr>
        <w:t>were sure that God approved of them (GW)</w:t>
      </w:r>
    </w:p>
    <w:p>
      <w:pPr/>
      <w:r>
        <w:rPr>
          <w:lang w:val="en_US" w:bidi="en_US"/>
        </w:rPr>
      </w:r>
      <w:r>
        <w:rPr>
          <w:lang w:val="en_US" w:bidi="en_US"/>
        </w:rPr>
        <w:t>In some languages people use an idiom to express this meaning. For example:</w:t>
      </w:r>
    </w:p>
    <w:p>
      <w:pPr/>
      <w:r>
        <w:rPr>
          <w:lang w:val="en_US" w:bidi="en_US"/>
        </w:rPr>
      </w:r>
      <w:r>
        <w:rPr>
          <w:lang w:val="en_US" w:bidi="en_US"/>
        </w:rPr>
        <w:t>sure that they followed a straight path</w:t>
      </w:r>
    </w:p>
    <w:p>
      <w:pPr/>
      <w:r>
        <w:rPr>
          <w:lang w:val="en_US" w:bidi="en_US"/>
        </w:rPr>
      </w:r>
      <w:r>
        <w:rPr>
          <w:lang w:val="en_US" w:bidi="en_US"/>
        </w:rPr>
        <w:t>prided themselves on being upright (NJB)</w:t>
      </w:r>
    </w:p>
    <w:p>
      <w:pPr/>
      <w:r>
        <w:rPr>
          <w:lang w:val="en_US" w:bidi="en_US"/>
        </w:rPr>
      </w:r>
      <w:r>
        <w:rPr>
          <w:lang w:val="en_US" w:bidi="en_US"/>
        </w:rPr>
        <w:t>See the General Comment on 18:9a–b for a suggestion about using direct speech here.</w:t>
      </w:r>
    </w:p>
    <w:p>
      <w:pPr>
        <w:pStyle w:val="Heading5"/>
      </w:pPr>
      <w:r>
        <w:rPr>
          <w:lang w:val="en_US" w:bidi="en_US"/>
        </w:rPr>
        <w:t>18:9b</w:t>
      </w:r>
    </w:p>
    <w:p>
      <w:pPr/>
      <w:r>
        <w:rPr>
          <w:lang w:val="en_US" w:bidi="en_US"/>
        </w:rPr>
      </w:r>
      <w:r>
        <w:rPr>
          <w:b/>
          <w:lang w:val="en_US" w:bidi="en_US"/>
        </w:rPr>
        <w:t>and viewed others with contempt,</w:t>
      </w:r>
    </w:p>
    <w:p>
      <w:pPr>
        <w:pStyle w:val="ListBullet"/>
        <w:spacing w:line="240" w:lineRule="auto"/>
        <w:ind w:left="720"/>
      </w:pPr>
      <w:r>
        <w:rPr>
          <w:lang w:val="en_US" w:bidi="en_US"/>
        </w:rPr>
      </w:r>
      <w:r>
        <w:rPr>
          <w:lang w:val="en_US" w:bidi="en_US"/>
        </w:rPr>
        <w:t>and they despised/scorned everyone else.</w:t>
      </w:r>
    </w:p>
    <w:p>
      <w:pPr>
        <w:pStyle w:val="ListBullet"/>
        <w:spacing w:line="240" w:lineRule="auto"/>
        <w:ind w:left="720"/>
      </w:pPr>
      <w:r>
        <w:rPr>
          <w:lang w:val="en_US" w:bidi="en_US"/>
        </w:rPr>
      </w:r>
      <w:r>
        <w:rPr>
          <w:lang w:val="en_US" w:bidi="en_US"/>
        </w:rPr>
        <w:t>They thought that all the other people were wrong/sinful.</w:t>
      </w:r>
    </w:p>
    <w:p>
      <w:pPr>
        <w:pStyle w:val="ListBullet"/>
        <w:spacing w:line="240" w:lineRule="auto"/>
        <w:ind w:left="720"/>
      </w:pPr>
      <w:r>
        <w:rPr>
          <w:lang w:val="en_US" w:bidi="en_US"/>
        </w:rPr>
      </w:r>
      <w:r>
        <w:rPr>
          <w:lang w:val="en_US" w:bidi="en_US"/>
        </w:rPr>
        <w:t>much more than other people.”</w:t>
      </w:r>
    </w:p>
    <w:p>
      <w:pPr/>
      <w:r>
        <w:rPr>
          <w:lang w:val="en_US" w:bidi="en_US"/>
        </w:rPr>
      </w:r>
      <w:r>
        <w:rPr>
          <w:b/>
          <w:lang w:val="en_US" w:bidi="en_US"/>
        </w:rPr>
        <w:t>and viewed others with contempt:</w:t>
      </w:r>
      <w:r>
        <w:rPr>
          <w:lang w:val="en_US" w:bidi="en_US"/>
        </w:rPr>
        <w:t xml:space="preserve"> The Greek phrase that the BSB translates with the English idiom </w:t>
      </w:r>
      <w:r>
        <w:rPr>
          <w:i/>
          <w:lang w:val="en_US" w:bidi="en_US"/>
        </w:rPr>
        <w:t>viewed others with contempt</w:t>
      </w:r>
      <w:r>
        <w:rPr>
          <w:lang w:val="en_US" w:bidi="en_US"/>
        </w:rPr>
        <w:t xml:space="preserve"> means “despised others.” These proud people thought that they were more righteous than other people. They disapproved of other people, and they thought of them with contempt. Some other ways to translate this are:</w:t>
      </w:r>
    </w:p>
    <w:p>
      <w:pPr/>
      <w:r>
        <w:rPr>
          <w:lang w:val="en_US" w:bidi="en_US"/>
        </w:rPr>
      </w:r>
      <w:r>
        <w:rPr>
          <w:lang w:val="en_US" w:bidi="en_US"/>
        </w:rPr>
        <w:t>regarded others with contempt (NRSV)</w:t>
      </w:r>
    </w:p>
    <w:p>
      <w:pPr/>
      <w:r>
        <w:rPr>
          <w:lang w:val="en_US" w:bidi="en_US"/>
        </w:rPr>
      </w:r>
      <w:r>
        <w:rPr>
          <w:lang w:val="en_US" w:bidi="en_US"/>
        </w:rPr>
        <w:t>despised/scorned everyone else</w:t>
      </w:r>
    </w:p>
    <w:p>
      <w:pPr/>
      <w:r>
        <w:rPr>
          <w:lang w:val="en_US" w:bidi="en_US"/>
        </w:rPr>
      </w:r>
      <w:r>
        <w:rPr>
          <w:lang w:val="en_US" w:bidi="en_US"/>
        </w:rPr>
        <w:t>In some languages there is an idiom to express this. For example:</w:t>
      </w:r>
    </w:p>
    <w:p>
      <w:pPr/>
      <w:r>
        <w:rPr>
          <w:lang w:val="en_US" w:bidi="en_US"/>
        </w:rPr>
      </w:r>
      <w:r>
        <w:rPr>
          <w:lang w:val="en_US" w:bidi="en_US"/>
        </w:rPr>
        <w:t>looked down on everybody else (NIV)</w:t>
      </w:r>
    </w:p>
    <w:p>
      <w:pPr/>
      <w:r>
        <w:rPr>
          <w:lang w:val="en_US" w:bidi="en_US"/>
        </w:rPr>
      </w:r>
      <w:r>
        <w:rPr>
          <w:lang w:val="en_US" w:bidi="en_US"/>
        </w:rPr>
        <w:t>Another example in English is:</w:t>
      </w:r>
    </w:p>
    <w:p>
      <w:pPr/>
      <w:r>
        <w:rPr>
          <w:lang w:val="en_US" w:bidi="en_US"/>
        </w:rPr>
      </w:r>
      <w:r>
        <w:rPr>
          <w:lang w:val="en_US" w:bidi="en_US"/>
        </w:rPr>
        <w:t>had a low opinion of others</w:t>
      </w:r>
    </w:p>
    <w:p>
      <w:pPr>
        <w:pStyle w:val="Heading6"/>
      </w:pPr>
      <w:r>
        <w:rPr>
          <w:b/>
          <w:lang w:val="en_US" w:bidi="en_US"/>
        </w:rPr>
        <w:t>General Comment on 18:9a–b</w:t>
      </w:r>
    </w:p>
    <w:p>
      <w:pPr/>
      <w:r>
        <w:rPr>
          <w:lang w:val="en_US" w:bidi="en_US"/>
        </w:rPr>
      </w:r>
      <w:r>
        <w:rPr>
          <w:lang w:val="en_US" w:bidi="en_US"/>
        </w:rPr>
        <w:t>In some languages it may be more natural to translate this verse as more than one sentence. For example:</w:t>
      </w:r>
    </w:p>
    <w:p>
      <w:pPr/>
      <w:r>
        <w:rPr>
          <w:lang w:val="en_US" w:bidi="en_US"/>
        </w:rPr>
      </w:r>
      <w:r>
        <w:rPr>
          <w:lang w:val="en_US" w:bidi="en_US"/>
        </w:rPr>
        <w:t>There were some people who were confident of their own righteousness. They looked down on everybody else. To them…</w:t>
      </w:r>
    </w:p>
    <w:p>
      <w:pPr/>
      <w:r>
        <w:rPr>
          <w:lang w:val="en_US" w:bidi="en_US"/>
        </w:rPr>
      </w:r>
      <w:r>
        <w:rPr>
          <w:lang w:val="en_US" w:bidi="en_US"/>
        </w:rPr>
        <w:t>In some languages it may be more natural to use direct speech here. For example:</w:t>
      </w:r>
    </w:p>
    <w:p>
      <w:pPr/>
      <w:r>
        <w:rPr>
          <w:lang w:val="en_US" w:bidi="en_US"/>
        </w:rPr>
      </w:r>
      <w:r>
        <w:rPr>
          <w:lang w:val="en_US" w:bidi="en_US"/>
        </w:rPr>
        <w:t>Some people were thinking, “I know that I am righteous and much better than other people.”</w:t>
      </w:r>
    </w:p>
    <w:p>
      <w:pPr/>
      <w:r>
        <w:rPr>
          <w:lang w:val="en_US" w:bidi="en_US"/>
        </w:rPr>
      </w:r>
      <w:r>
        <w:rPr>
          <w:lang w:val="en_US" w:bidi="en_US"/>
        </w:rPr>
        <w:t>Use a natural way in your language to express the attitude of these people.</w:t>
      </w:r>
    </w:p>
    <w:p>
      <w:pPr>
        <w:pStyle w:val="Heading5"/>
      </w:pPr>
      <w:r>
        <w:rPr>
          <w:lang w:val="en_US" w:bidi="en_US"/>
        </w:rPr>
        <w:t>18:9c</w:t>
      </w:r>
    </w:p>
    <w:p>
      <w:pPr/>
      <w:r>
        <w:rPr>
          <w:lang w:val="en_US" w:bidi="en_US"/>
        </w:rPr>
      </w:r>
      <w:r>
        <w:rPr>
          <w:b/>
          <w:lang w:val="en_US" w:bidi="en_US"/>
        </w:rPr>
        <w:t>He also told this parable:</w:t>
      </w:r>
    </w:p>
    <w:p>
      <w:pPr>
        <w:pStyle w:val="ListBullet"/>
        <w:spacing w:line="240" w:lineRule="auto"/>
        <w:ind w:left="720"/>
      </w:pPr>
      <w:r>
        <w:rPr>
          <w:lang w:val="en_US" w:bidi="en_US"/>
        </w:rPr>
      </w:r>
      <w:r>
        <w:rPr>
          <w:lang w:val="en_US" w:bidi="en_US"/>
        </w:rPr>
        <w:t>So Jesus told them a parable:</w:t>
      </w:r>
    </w:p>
    <w:p>
      <w:pPr>
        <w:pStyle w:val="ListBullet"/>
        <w:spacing w:line="240" w:lineRule="auto"/>
        <w:ind w:left="720"/>
      </w:pPr>
      <w:r>
        <w:rPr>
          <w:lang w:val="en_US" w:bidi="en_US"/>
        </w:rPr>
      </w:r>
      <w:r>
        <w:rPr>
          <w:lang w:val="en_US" w:bidi="en_US"/>
        </w:rPr>
        <w:t xml:space="preserve">Jesus told them a story. </w:t>
      </w:r>
      <w:r>
        <w:rPr>
          <w:lang w:val="en_US" w:bidi="en_US"/>
        </w:rPr>
        <w:t>He said,</w:t>
      </w:r>
    </w:p>
    <w:p>
      <w:pPr>
        <w:pStyle w:val="ListBullet"/>
        <w:spacing w:line="240" w:lineRule="auto"/>
        <w:ind w:left="720"/>
      </w:pPr>
      <w:r>
        <w:rPr>
          <w:lang w:val="en_US" w:bidi="en_US"/>
        </w:rPr>
      </w:r>
      <w:r>
        <w:rPr>
          <w:lang w:val="en_US" w:bidi="en_US"/>
        </w:rPr>
        <w:t>Then Jesus gave them an illustration, saying,</w:t>
      </w:r>
    </w:p>
    <w:p>
      <w:pPr/>
      <w:r>
        <w:rPr>
          <w:lang w:val="en_US" w:bidi="en_US"/>
        </w:rPr>
      </w:r>
      <w:r>
        <w:rPr>
          <w:b/>
          <w:lang w:val="en_US" w:bidi="en_US"/>
        </w:rPr>
        <w:t>He also told this parable:</w:t>
      </w:r>
      <w:r>
        <w:rPr>
          <w:lang w:val="en_US" w:bidi="en_US"/>
        </w:rPr>
        <w:t xml:space="preserve"> The phrase </w:t>
      </w:r>
      <w:r>
        <w:rPr>
          <w:i/>
          <w:lang w:val="en_US" w:bidi="en_US"/>
        </w:rPr>
        <w:t>this parable</w:t>
      </w:r>
      <w:r>
        <w:rPr>
          <w:lang w:val="en_US" w:bidi="en_US"/>
        </w:rPr>
        <w:t xml:space="preserve"> refers to the parable that Jesus was about to tell in 18:10–14. In some languages you may need to include another verb of speech here. For example:</w:t>
      </w:r>
    </w:p>
    <w:p>
      <w:pPr/>
      <w:r>
        <w:rPr>
          <w:lang w:val="en_US" w:bidi="en_US"/>
        </w:rPr>
      </w:r>
      <w:r>
        <w:rPr>
          <w:lang w:val="en_US" w:bidi="en_US"/>
        </w:rPr>
        <w:t>Jesus told this parable. He said…</w:t>
      </w:r>
    </w:p>
    <w:p>
      <w:pPr/>
      <w:r>
        <w:rPr>
          <w:lang w:val="en_US" w:bidi="en_US"/>
        </w:rPr>
      </w:r>
      <w:r>
        <w:rPr>
          <w:b/>
          <w:lang w:val="en_US" w:bidi="en_US"/>
        </w:rPr>
        <w:t>parable:</w:t>
      </w:r>
      <w:r>
        <w:rPr>
          <w:lang w:val="en_US" w:bidi="en_US"/>
        </w:rPr>
        <w:t xml:space="preserve"> For help in translating the term </w:t>
      </w:r>
      <w:r>
        <w:rPr>
          <w:i/>
          <w:lang w:val="en_US" w:bidi="en_US"/>
        </w:rPr>
        <w:t>parable</w:t>
      </w:r>
      <w:r>
        <w:rPr>
          <w:lang w:val="en_US" w:bidi="en_US"/>
        </w:rPr>
        <w:t xml:space="preserve"> see the note at 18:1b–c.</w:t>
      </w:r>
      <w:r>
        <w:rPr>
          <w:lang w:val="en_US" w:bidi="en_US"/>
        </w:rPr>
      </w:r>
      <w:r>
        <w:rPr>
          <w:lang w:val="en_US" w:bidi="en_US"/>
        </w:rPr>
      </w:r>
    </w:p>
    <w:p>
      <w:pPr/>
      <w:r>
        <w:rPr>
          <w:lang w:val="en_US" w:bidi="en_US"/>
        </w:rPr>
      </w:r>
    </w:p>
    <w:p>
      <w:pPr>
        <w:pStyle w:val="Heading2"/>
      </w:pPr>
      <w:r>
        <w:rPr>
          <w:lang w:val="en_US" w:bidi="en_US"/>
        </w:rPr>
        <w:t>Luke 18:10</w:t>
      </w:r>
      <w:r>
        <w:rPr>
          <w:lang w:val="en_US" w:bidi="en_US"/>
        </w:rPr>
      </w:r>
    </w:p>
    <w:p>
      <w:pPr>
        <w:pStyle w:val="Heading4"/>
      </w:pPr>
      <w:r>
        <w:rPr>
          <w:lang w:val="en_US" w:bidi="en_US"/>
        </w:rPr>
        <w:t>Section 18:9–14: Jesus told a parable about praying in a humble way</w:t>
      </w:r>
    </w:p>
    <w:p>
      <w:pPr/>
      <w:r>
        <w:rPr>
          <w:lang w:val="en_US" w:bidi="en_US"/>
        </w:rPr>
      </w:r>
      <w:r>
        <w:rPr>
          <w:lang w:val="en_US" w:bidi="en_US"/>
        </w:rPr>
        <w:t>In this section Jesus told a parable about how to pray with an attitude that God will approve. Jesus told this parable especially for people who thought that they were already righteous and better than other people. The parable shows that God wants people to come before him humbly and ask for his forgiveness.</w:t>
      </w:r>
    </w:p>
    <w:p>
      <w:pPr/>
      <w:r>
        <w:rPr>
          <w:lang w:val="en_US" w:bidi="en_US"/>
        </w:rPr>
      </w:r>
      <w:r>
        <w:rPr>
          <w:lang w:val="en_US" w:bidi="en_US"/>
        </w:rPr>
        <w:t>Some examples of headings for this section are:</w:t>
      </w:r>
    </w:p>
    <w:p>
      <w:pPr/>
      <w:r>
        <w:rPr>
          <w:lang w:val="en_US" w:bidi="en_US"/>
        </w:rPr>
      </w:r>
      <w:r>
        <w:rPr>
          <w:lang w:val="en_US" w:bidi="en_US"/>
        </w:rPr>
        <w:t>The Parable of the Pharisee and the Tax Collector (GNT)</w:t>
      </w:r>
    </w:p>
    <w:p>
      <w:pPr/>
      <w:r>
        <w:rPr>
          <w:lang w:val="en_US" w:bidi="en_US"/>
        </w:rPr>
      </w:r>
      <w:r>
        <w:rPr>
          <w:lang w:val="en_US" w:bidi="en_US"/>
        </w:rPr>
        <w:t>Jesus told a story about two men who prayed</w:t>
      </w:r>
    </w:p>
    <w:p>
      <w:pPr/>
      <w:r>
        <w:rPr>
          <w:lang w:val="en_US" w:bidi="en_US"/>
        </w:rPr>
      </w:r>
      <w:r>
        <w:rPr>
          <w:lang w:val="en_US" w:bidi="en_US"/>
        </w:rPr>
        <w:t>This parable is only found in Luke.</w:t>
      </w:r>
    </w:p>
    <w:p>
      <w:pPr>
        <w:pStyle w:val="Heading5"/>
      </w:pPr>
      <w:r>
        <w:rPr>
          <w:lang w:val="en_US" w:bidi="en_US"/>
        </w:rPr>
        <w:t>18:10a</w:t>
      </w:r>
    </w:p>
    <w:p>
      <w:pPr/>
      <w:r>
        <w:rPr>
          <w:lang w:val="en_US" w:bidi="en_US"/>
        </w:rPr>
      </w:r>
      <w:r>
        <w:rPr>
          <w:b/>
          <w:lang w:val="en_US" w:bidi="en_US"/>
        </w:rPr>
        <w:t>“Two men went up to the temple to pray.</w:t>
      </w:r>
    </w:p>
    <w:p>
      <w:pPr>
        <w:pStyle w:val="ListBullet"/>
        <w:spacing w:line="240" w:lineRule="auto"/>
        <w:ind w:left="720"/>
      </w:pPr>
      <w:r>
        <w:rPr>
          <w:lang w:val="en_US" w:bidi="en_US"/>
        </w:rPr>
      </w:r>
      <w:r>
        <w:rPr>
          <w:lang w:val="en_US" w:bidi="en_US"/>
        </w:rPr>
        <w:t xml:space="preserve">“Two men went to the temple to pray </w:t>
      </w:r>
      <w:r>
        <w:rPr>
          <w:lang w:val="en_US" w:bidi="en_US"/>
        </w:rPr>
        <w:t>to God</w:t>
      </w:r>
      <w:r>
        <w:rPr>
          <w:lang w:val="en_US" w:bidi="en_US"/>
        </w:rPr>
        <w:t>.</w:t>
      </w:r>
    </w:p>
    <w:p>
      <w:pPr>
        <w:pStyle w:val="ListBullet"/>
        <w:spacing w:line="240" w:lineRule="auto"/>
        <w:ind w:left="720"/>
      </w:pPr>
      <w:r>
        <w:rPr>
          <w:lang w:val="en_US" w:bidi="en_US"/>
        </w:rPr>
      </w:r>
      <w:r>
        <w:rPr>
          <w:lang w:val="en_US" w:bidi="en_US"/>
        </w:rPr>
        <w:t xml:space="preserve">“Two people went to pray at </w:t>
      </w:r>
      <w:r>
        <w:rPr>
          <w:lang w:val="en_US" w:bidi="en_US"/>
        </w:rPr>
        <w:t>God’s</w:t>
      </w:r>
      <w:r>
        <w:rPr>
          <w:lang w:val="en_US" w:bidi="en_US"/>
        </w:rPr>
        <w:t xml:space="preserve"> temple.</w:t>
      </w:r>
    </w:p>
    <w:p>
      <w:pPr/>
      <w:r>
        <w:rPr>
          <w:lang w:val="en_US" w:bidi="en_US"/>
        </w:rPr>
      </w:r>
      <w:r>
        <w:rPr>
          <w:b/>
          <w:lang w:val="en_US" w:bidi="en_US"/>
        </w:rPr>
        <w:t>Two men:</w:t>
      </w:r>
      <w:r>
        <w:rPr>
          <w:lang w:val="en_US" w:bidi="en_US"/>
        </w:rPr>
        <w:t xml:space="preserve"> The Greek word that the BSB translates as </w:t>
      </w:r>
      <w:r>
        <w:rPr>
          <w:i/>
          <w:lang w:val="en_US" w:bidi="en_US"/>
        </w:rPr>
        <w:t>men</w:t>
      </w:r>
      <w:r>
        <w:rPr>
          <w:lang w:val="en_US" w:bidi="en_US"/>
        </w:rPr>
        <w:t xml:space="preserve"> is literally “people.” The context shows that they were men. In some languages it may be natural to use a more general term such as “people” here.</w:t>
      </w:r>
    </w:p>
    <w:p>
      <w:pPr/>
      <w:r>
        <w:rPr>
          <w:lang w:val="en_US" w:bidi="en_US"/>
        </w:rPr>
      </w:r>
      <w:r>
        <w:rPr>
          <w:b/>
          <w:lang w:val="en_US" w:bidi="en_US"/>
        </w:rPr>
        <w:t>went up to the temple:</w:t>
      </w:r>
      <w:r>
        <w:rPr>
          <w:lang w:val="en_US" w:bidi="en_US"/>
        </w:rPr>
        <w:t xml:space="preserve"> Jewish people spoke of going </w:t>
      </w:r>
      <w:r>
        <w:rPr>
          <w:i/>
          <w:lang w:val="en_US" w:bidi="en_US"/>
        </w:rPr>
        <w:t>up</w:t>
      </w:r>
      <w:r>
        <w:rPr>
          <w:lang w:val="en_US" w:bidi="en_US"/>
        </w:rPr>
        <w:t xml:space="preserve"> when they went to the temple because the temple was on a hill. It may be more natural in some languages to say:</w:t>
      </w:r>
    </w:p>
    <w:p>
      <w:pPr/>
      <w:r>
        <w:rPr>
          <w:lang w:val="en_US" w:bidi="en_US"/>
        </w:rPr>
      </w:r>
      <w:r>
        <w:rPr>
          <w:u w:val="single"/>
          <w:lang w:val="en_US" w:bidi="en_US"/>
        </w:rPr>
        <w:t>went</w:t>
      </w:r>
      <w:r>
        <w:rPr>
          <w:lang w:val="en_US" w:bidi="en_US"/>
        </w:rPr>
        <w:t xml:space="preserve"> to the Temple (NLT)</w:t>
      </w:r>
    </w:p>
    <w:p>
      <w:pPr/>
      <w:r>
        <w:rPr>
          <w:lang w:val="en_US" w:bidi="en_US"/>
        </w:rPr>
      </w:r>
      <w:r>
        <w:rPr>
          <w:b/>
          <w:lang w:val="en_US" w:bidi="en_US"/>
        </w:rPr>
        <w:t>temple:</w:t>
      </w:r>
      <w:r>
        <w:rPr>
          <w:lang w:val="en_US" w:bidi="en_US"/>
        </w:rPr>
        <w:t xml:space="preserve"> The Greek word that the BSB translates as </w:t>
      </w:r>
      <w:r>
        <w:rPr>
          <w:i/>
          <w:lang w:val="en_US" w:bidi="en_US"/>
        </w:rPr>
        <w:t>temple</w:t>
      </w:r>
      <w:r>
        <w:rPr>
          <w:lang w:val="en_US" w:bidi="en_US"/>
        </w:rPr>
        <w:t xml:space="preserve"> refers to the temple building and the walls and courtyards that surrounded it. The </w:t>
      </w:r>
      <w:r>
        <w:rPr>
          <w:i/>
          <w:lang w:val="en_US" w:bidi="en_US"/>
        </w:rPr>
        <w:t>temple</w:t>
      </w:r>
      <w:r>
        <w:rPr>
          <w:lang w:val="en_US" w:bidi="en_US"/>
        </w:rPr>
        <w:t xml:space="preserve"> was in Jerusalem and was the most important place where Jews worshiped God.</w:t>
      </w:r>
    </w:p>
    <w:p>
      <w:pPr/>
      <w:r>
        <w:rPr>
          <w:lang w:val="en_US" w:bidi="en_US"/>
        </w:rPr>
      </w:r>
      <w:r>
        <w:rPr>
          <w:lang w:val="en_US" w:bidi="en_US"/>
        </w:rPr>
        <w:t xml:space="preserve">Some ways to translate the word </w:t>
      </w:r>
      <w:r>
        <w:rPr>
          <w:i/>
          <w:lang w:val="en_US" w:bidi="en_US"/>
        </w:rPr>
        <w:t>temple</w:t>
      </w:r>
      <w:r>
        <w:rPr>
          <w:lang w:val="en_US" w:bidi="en_US"/>
        </w:rPr>
        <w:t xml:space="preserve"> are:</w:t>
      </w:r>
    </w:p>
    <w:p>
      <w:pPr>
        <w:pStyle w:val="ListBullet"/>
        <w:spacing w:line="240" w:lineRule="auto"/>
        <w:ind w:left="720"/>
      </w:pPr>
      <w:r>
        <w:rPr>
          <w:lang w:val="en_US" w:bidi="en_US"/>
        </w:rPr>
      </w:r>
      <w:r>
        <w:rPr>
          <w:lang w:val="en_US" w:bidi="en_US"/>
        </w:rPr>
        <w:t>Use a descriptive phrase. For example:</w:t>
      </w:r>
      <w:r>
        <w:rPr>
          <w:lang w:val="en_US" w:bidi="en_US"/>
        </w:rPr>
        <w:t>house/building of God</w:t>
      </w:r>
      <w:r>
        <w:rPr>
          <w:lang w:val="en_US" w:bidi="en_US"/>
        </w:rPr>
        <w:t>house/place of sacrifice</w:t>
      </w:r>
      <w:r>
        <w:rPr>
          <w:lang w:val="en_US" w:bidi="en_US"/>
        </w:rPr>
        <w:t>house/place of worship</w:t>
      </w:r>
      <w:r>
        <w:rPr>
          <w:lang w:val="en_US" w:bidi="en_US"/>
        </w:rPr>
        <w:t>holy/sacred house</w:t>
      </w:r>
    </w:p>
    <w:p>
      <w:pPr>
        <w:pStyle w:val="ListBullet"/>
        <w:spacing w:line="240" w:lineRule="auto"/>
        <w:ind w:left="720"/>
      </w:pPr>
      <w:r>
        <w:rPr>
          <w:lang w:val="en_US" w:bidi="en_US"/>
        </w:rPr>
      </w:r>
      <w:r>
        <w:rPr>
          <w:lang w:val="en_US" w:bidi="en_US"/>
        </w:rPr>
        <w:t xml:space="preserve">If your language has a word for </w:t>
      </w:r>
      <w:r>
        <w:rPr>
          <w:i/>
          <w:lang w:val="en_US" w:bidi="en_US"/>
        </w:rPr>
        <w:t>temple</w:t>
      </w:r>
      <w:r>
        <w:rPr>
          <w:lang w:val="en_US" w:bidi="en_US"/>
        </w:rPr>
        <w:t>, consider using it. But you may need to modify it by saying:</w:t>
      </w:r>
      <w:r>
        <w:rPr>
          <w:lang w:val="en_US" w:bidi="en_US"/>
        </w:rPr>
        <w:t xml:space="preserve">temple </w:t>
      </w:r>
      <w:r>
        <w:rPr>
          <w:u w:val="single"/>
          <w:lang w:val="en_US" w:bidi="en_US"/>
        </w:rPr>
        <w:t>of God</w:t>
      </w:r>
    </w:p>
    <w:p>
      <w:pPr/>
      <w:r>
        <w:rPr>
          <w:lang w:val="en_US" w:bidi="en_US"/>
        </w:rPr>
      </w:r>
      <w:r>
        <w:rPr>
          <w:lang w:val="en_US" w:bidi="en_US"/>
        </w:rPr>
        <w:t>Be sure to use a different term from the one you have chosen for “synagogue.” There was only one temple, but there were many synagogues throughout the land of Israel where the Jews met regularly for worship.</w:t>
      </w:r>
    </w:p>
    <w:p>
      <w:pPr/>
      <w:r>
        <w:rPr>
          <w:lang w:val="en_US" w:bidi="en_US"/>
        </w:rPr>
      </w:r>
      <w:r>
        <w:rPr>
          <w:lang w:val="en_US" w:bidi="en_US"/>
        </w:rPr>
        <w:t xml:space="preserve">See temple, Meaning 1, in the Glossary for more information about the </w:t>
      </w:r>
      <w:r>
        <w:rPr>
          <w:i/>
          <w:lang w:val="en_US" w:bidi="en_US"/>
        </w:rPr>
        <w:t>temple</w:t>
      </w:r>
      <w:r>
        <w:rPr>
          <w:lang w:val="en_US" w:bidi="en_US"/>
        </w:rPr>
        <w:t xml:space="preserve"> and how to translate it.</w:t>
      </w:r>
    </w:p>
    <w:p>
      <w:pPr/>
      <w:r>
        <w:rPr>
          <w:lang w:val="en_US" w:bidi="en_US"/>
        </w:rPr>
      </w:r>
      <w:r>
        <w:rPr>
          <w:lang w:val="en_US" w:bidi="en_US"/>
        </w:rPr>
        <w:t>In this context the men prayed in the courtyard around the temple, not inside the temple building. In some languages it may be helpful to specify this. For example:</w:t>
      </w:r>
    </w:p>
    <w:p>
      <w:pPr/>
      <w:r>
        <w:rPr>
          <w:lang w:val="en_US" w:bidi="en_US"/>
        </w:rPr>
      </w:r>
      <w:r>
        <w:rPr>
          <w:lang w:val="en_US" w:bidi="en_US"/>
        </w:rPr>
        <w:t>the temple courtyard</w:t>
      </w:r>
    </w:p>
    <w:p>
      <w:pPr/>
      <w:r>
        <w:rPr>
          <w:lang w:val="en_US" w:bidi="en_US"/>
        </w:rPr>
      </w:r>
      <w:r>
        <w:rPr>
          <w:b/>
          <w:lang w:val="en_US" w:bidi="en_US"/>
        </w:rPr>
        <w:t>to pray:</w:t>
      </w:r>
      <w:r>
        <w:rPr>
          <w:lang w:val="en_US" w:bidi="en_US"/>
        </w:rPr>
        <w:t xml:space="preserve"> The Greek word that the BSB translates as </w:t>
      </w:r>
      <w:r>
        <w:rPr>
          <w:i/>
          <w:lang w:val="en_US" w:bidi="en_US"/>
        </w:rPr>
        <w:t>pray</w:t>
      </w:r>
      <w:r>
        <w:rPr>
          <w:lang w:val="en_US" w:bidi="en_US"/>
        </w:rPr>
        <w:t xml:space="preserve"> was also used in 18:1. It is a general word that can refer to different kinds of prayer. In this context two men went to the temple to pray to God. One of the men thanked God that he was better than other people. He did not request anything from God. The other man asked God for mercy. Use a word for prayer that fits this context.</w:t>
      </w:r>
    </w:p>
    <w:p>
      <w:pPr/>
      <w:r>
        <w:rPr>
          <w:lang w:val="en_US" w:bidi="en_US"/>
        </w:rPr>
      </w:r>
      <w:r>
        <w:rPr>
          <w:lang w:val="en_US" w:bidi="en_US"/>
        </w:rPr>
        <w:t>In some languages you may need to say explicitly that they were going to pray to God. For example:</w:t>
      </w:r>
    </w:p>
    <w:p>
      <w:pPr/>
      <w:r>
        <w:rPr>
          <w:lang w:val="en_US" w:bidi="en_US"/>
        </w:rPr>
      </w:r>
      <w:r>
        <w:rPr>
          <w:lang w:val="en_US" w:bidi="en_US"/>
        </w:rPr>
        <w:t xml:space="preserve">to pray </w:t>
      </w:r>
      <w:r>
        <w:rPr>
          <w:lang w:val="en_US" w:bidi="en_US"/>
        </w:rPr>
        <w:t>to God</w:t>
      </w:r>
    </w:p>
    <w:p>
      <w:pPr>
        <w:pStyle w:val="Heading5"/>
      </w:pPr>
      <w:r>
        <w:rPr>
          <w:lang w:val="en_US" w:bidi="en_US"/>
        </w:rPr>
        <w:t>18:10b</w:t>
      </w:r>
    </w:p>
    <w:p>
      <w:pPr/>
      <w:r>
        <w:rPr>
          <w:lang w:val="en_US" w:bidi="en_US"/>
        </w:rPr>
      </w:r>
      <w:r>
        <w:rPr>
          <w:b/>
          <w:lang w:val="en_US" w:bidi="en_US"/>
        </w:rPr>
        <w:t>One was a Pharisee and the other a tax collector.</w:t>
      </w:r>
    </w:p>
    <w:p>
      <w:pPr>
        <w:pStyle w:val="ListBullet"/>
        <w:spacing w:line="240" w:lineRule="auto"/>
        <w:ind w:left="720"/>
      </w:pPr>
      <w:r>
        <w:rPr>
          <w:lang w:val="en_US" w:bidi="en_US"/>
        </w:rPr>
      </w:r>
      <w:r>
        <w:rPr>
          <w:lang w:val="en_US" w:bidi="en_US"/>
        </w:rPr>
        <w:t xml:space="preserve">One </w:t>
      </w:r>
      <w:r>
        <w:rPr>
          <w:lang w:val="en_US" w:bidi="en_US"/>
        </w:rPr>
        <w:t>of them was</w:t>
      </w:r>
      <w:r>
        <w:rPr>
          <w:lang w:val="en_US" w:bidi="en_US"/>
        </w:rPr>
        <w:t xml:space="preserve"> a Pharisee, and the other </w:t>
      </w:r>
      <w:r>
        <w:rPr>
          <w:lang w:val="en_US" w:bidi="en_US"/>
        </w:rPr>
        <w:t>one was</w:t>
      </w:r>
      <w:r>
        <w:rPr>
          <w:lang w:val="en_US" w:bidi="en_US"/>
        </w:rPr>
        <w:t xml:space="preserve"> a tax collector.</w:t>
      </w:r>
    </w:p>
    <w:p>
      <w:pPr>
        <w:pStyle w:val="ListBullet"/>
        <w:spacing w:line="240" w:lineRule="auto"/>
        <w:ind w:left="720"/>
      </w:pPr>
      <w:r>
        <w:rPr>
          <w:lang w:val="en_US" w:bidi="en_US"/>
        </w:rPr>
      </w:r>
      <w:r>
        <w:rPr>
          <w:lang w:val="en_US" w:bidi="en_US"/>
        </w:rPr>
        <w:t xml:space="preserve">One was </w:t>
      </w:r>
      <w:r>
        <w:rPr>
          <w:lang w:val="en_US" w:bidi="en_US"/>
        </w:rPr>
        <w:t>a member of</w:t>
      </w:r>
      <w:r>
        <w:rPr>
          <w:lang w:val="en_US" w:bidi="en_US"/>
        </w:rPr>
        <w:t xml:space="preserve"> the Pharisee </w:t>
      </w:r>
      <w:r>
        <w:rPr>
          <w:lang w:val="en_US" w:bidi="en_US"/>
        </w:rPr>
        <w:t>group</w:t>
      </w:r>
      <w:r>
        <w:rPr>
          <w:lang w:val="en_US" w:bidi="en_US"/>
        </w:rPr>
        <w:t xml:space="preserve">, and the other collected money </w:t>
      </w:r>
      <w:r>
        <w:rPr>
          <w:lang w:val="en_US" w:bidi="en_US"/>
        </w:rPr>
        <w:t>from people</w:t>
      </w:r>
      <w:r>
        <w:rPr>
          <w:lang w:val="en_US" w:bidi="en_US"/>
        </w:rPr>
        <w:t xml:space="preserve"> for the government.</w:t>
      </w:r>
    </w:p>
    <w:p>
      <w:pPr/>
      <w:r>
        <w:rPr>
          <w:lang w:val="en_US" w:bidi="en_US"/>
        </w:rPr>
      </w:r>
      <w:r>
        <w:rPr>
          <w:b/>
          <w:lang w:val="en_US" w:bidi="en_US"/>
        </w:rPr>
        <w:t>One was a Pharisee:</w:t>
      </w:r>
      <w:r>
        <w:rPr>
          <w:lang w:val="en_US" w:bidi="en_US"/>
        </w:rPr>
        <w:t xml:space="preserve"> The phrase that the BSB translates as </w:t>
      </w:r>
      <w:r>
        <w:rPr>
          <w:i/>
          <w:lang w:val="en_US" w:bidi="en_US"/>
        </w:rPr>
        <w:t>One was a Pharisee</w:t>
      </w:r>
      <w:r>
        <w:rPr>
          <w:lang w:val="en_US" w:bidi="en_US"/>
        </w:rPr>
        <w:t xml:space="preserve"> is literally “one a Pharisee.” This phrase indicates that one of the two men who went to the temple to pray was a Pharisee. In some languages it is necessary to supply a verb here, as the BSB does. Another way to translate this is:</w:t>
      </w:r>
    </w:p>
    <w:p>
      <w:pPr/>
      <w:r>
        <w:rPr>
          <w:lang w:val="en_US" w:bidi="en_US"/>
        </w:rPr>
      </w:r>
      <w:r>
        <w:rPr>
          <w:lang w:val="en_US" w:bidi="en_US"/>
        </w:rPr>
        <w:t>One of the men was a Pharisee</w:t>
      </w:r>
    </w:p>
    <w:p>
      <w:pPr/>
      <w:r>
        <w:rPr>
          <w:lang w:val="en_US" w:bidi="en_US"/>
        </w:rPr>
      </w:r>
      <w:r>
        <w:rPr>
          <w:b/>
          <w:lang w:val="en_US" w:bidi="en_US"/>
        </w:rPr>
        <w:t>Pharisee:</w:t>
      </w:r>
      <w:r>
        <w:rPr>
          <w:lang w:val="en_US" w:bidi="en_US"/>
        </w:rPr>
        <w:t xml:space="preserve"> The word </w:t>
      </w:r>
      <w:r>
        <w:rPr>
          <w:i/>
          <w:lang w:val="en_US" w:bidi="en_US"/>
        </w:rPr>
        <w:t>Pharisee</w:t>
      </w:r>
      <w:r>
        <w:rPr>
          <w:lang w:val="en_US" w:bidi="en_US"/>
        </w:rPr>
        <w:t xml:space="preserve"> refers to a member of a certain Jewish religious group or party. It was very important to the Pharisees to obey all of the Jewish religious laws very carefully and in detail. Here are some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Pharisee</w:t>
      </w:r>
      <w:r>
        <w:rPr>
          <w:lang w:val="en_US" w:bidi="en_US"/>
        </w:rPr>
        <w:t xml:space="preserve"> according to the sounds of your language and indicate that it refers to people. For example:</w:t>
      </w:r>
      <w:r>
        <w:rPr>
          <w:lang w:val="en_US" w:bidi="en_US"/>
        </w:rPr>
        <w:t>Farisi member</w:t>
      </w:r>
      <w:r>
        <w:rPr>
          <w:lang w:val="en_US" w:bidi="en_US"/>
        </w:rPr>
        <w:t>Parise adherent</w:t>
      </w:r>
      <w:r>
        <w:rPr>
          <w:lang w:val="en_US" w:bidi="en_US"/>
        </w:rPr>
        <w:t>member of the Farisi people/group</w:t>
      </w:r>
    </w:p>
    <w:p>
      <w:pPr>
        <w:pStyle w:val="ListBullet"/>
        <w:spacing w:line="240" w:lineRule="auto"/>
        <w:ind w:left="720"/>
      </w:pPr>
      <w:r>
        <w:rPr>
          <w:lang w:val="en_US" w:bidi="en_US"/>
        </w:rPr>
      </w:r>
      <w:r>
        <w:rPr>
          <w:lang w:val="en_US" w:bidi="en_US"/>
        </w:rPr>
        <w:t xml:space="preserve">Transliterate the word </w:t>
      </w:r>
      <w:r>
        <w:rPr>
          <w:i/>
          <w:lang w:val="en_US" w:bidi="en_US"/>
        </w:rPr>
        <w:t>Pharisee</w:t>
      </w:r>
      <w:r>
        <w:rPr>
          <w:lang w:val="en_US" w:bidi="en_US"/>
        </w:rPr>
        <w:t xml:space="preserve"> and indicate that it refers to a person who belonged to a group of people with certain beliefs. For example:</w:t>
      </w:r>
      <w:r>
        <w:rPr>
          <w:lang w:val="en_US" w:bidi="en_US"/>
        </w:rPr>
        <w:t>person who belonged to the Farise religious sect/group</w:t>
      </w:r>
      <w:r>
        <w:rPr>
          <w:lang w:val="en_US" w:bidi="en_US"/>
        </w:rPr>
        <w:t>member of the religious group called the Farasi</w:t>
      </w:r>
    </w:p>
    <w:p>
      <w:pPr/>
      <w:r>
        <w:rPr>
          <w:lang w:val="en_US" w:bidi="en_US"/>
        </w:rPr>
      </w:r>
      <w:r>
        <w:rPr>
          <w:lang w:val="en_US" w:bidi="en_US"/>
        </w:rPr>
        <w:t>This word occurred in the plural form in 17:20.</w:t>
      </w:r>
    </w:p>
    <w:p>
      <w:pPr/>
      <w:r>
        <w:rPr>
          <w:lang w:val="en_US" w:bidi="en_US"/>
        </w:rPr>
      </w:r>
      <w:r>
        <w:rPr>
          <w:b/>
          <w:lang w:val="en_US" w:bidi="en_US"/>
        </w:rPr>
        <w:t>and the other a tax collector:</w:t>
      </w:r>
      <w:r>
        <w:rPr>
          <w:lang w:val="en_US" w:bidi="en_US"/>
        </w:rPr>
        <w:t xml:space="preserve"> The term </w:t>
      </w:r>
      <w:r>
        <w:rPr>
          <w:i/>
          <w:lang w:val="en_US" w:bidi="en_US"/>
        </w:rPr>
        <w:t>and the other</w:t>
      </w:r>
      <w:r>
        <w:rPr>
          <w:lang w:val="en_US" w:bidi="en_US"/>
        </w:rPr>
        <w:t xml:space="preserve"> refers to the other person who went up to the temple to pray. This person was a tax collector.</w:t>
      </w:r>
    </w:p>
    <w:p>
      <w:pPr/>
      <w:r>
        <w:rPr>
          <w:lang w:val="en_US" w:bidi="en_US"/>
        </w:rPr>
      </w:r>
      <w:r>
        <w:rPr>
          <w:b/>
          <w:lang w:val="en_US" w:bidi="en_US"/>
        </w:rPr>
        <w:t>tax collector:</w:t>
      </w:r>
      <w:r>
        <w:rPr>
          <w:lang w:val="en_US" w:bidi="en_US"/>
        </w:rPr>
        <w:t xml:space="preserve"> In the New Testament, the term </w:t>
      </w:r>
      <w:r>
        <w:rPr>
          <w:i/>
          <w:lang w:val="en_US" w:bidi="en_US"/>
        </w:rPr>
        <w:t>tax collector</w:t>
      </w:r>
      <w:r>
        <w:rPr>
          <w:lang w:val="en_US" w:bidi="en_US"/>
        </w:rPr>
        <w:t xml:space="preserve"> refers to a Jewish person who received taxes from his own people to give to the government that ruled them. If you do not have a word in your language for </w:t>
      </w:r>
      <w:r>
        <w:rPr>
          <w:i/>
          <w:lang w:val="en_US" w:bidi="en_US"/>
        </w:rPr>
        <w:t>tax collector</w:t>
      </w:r>
      <w:r>
        <w:rPr>
          <w:lang w:val="en_US" w:bidi="en_US"/>
        </w:rPr>
        <w:t>, you may need to use a descriptive phrase. For example:</w:t>
      </w:r>
    </w:p>
    <w:p>
      <w:pPr/>
      <w:r>
        <w:rPr>
          <w:lang w:val="en_US" w:bidi="en_US"/>
        </w:rPr>
      </w:r>
      <w:r>
        <w:rPr>
          <w:lang w:val="en_US" w:bidi="en_US"/>
        </w:rPr>
        <w:t>person who collected taxes for the/another government</w:t>
      </w:r>
    </w:p>
    <w:p>
      <w:pPr/>
      <w:r>
        <w:rPr>
          <w:lang w:val="en_US" w:bidi="en_US"/>
        </w:rPr>
      </w:r>
      <w:r>
        <w:rPr>
          <w:lang w:val="en_US" w:bidi="en_US"/>
        </w:rPr>
        <w:t>person who gathered money from people to pay to a ruler/king</w:t>
      </w:r>
    </w:p>
    <w:p>
      <w:pPr/>
      <w:r>
        <w:rPr>
          <w:lang w:val="en_US" w:bidi="en_US"/>
        </w:rPr>
      </w:r>
      <w:r>
        <w:rPr>
          <w:lang w:val="en_US" w:bidi="en_US"/>
        </w:rPr>
        <w:t>You may want to include a footnote to explain the meaning of this word. You may also want to explain it in a glossary note. Here is an example of such a note:</w:t>
      </w:r>
    </w:p>
    <w:p>
      <w:pPr/>
      <w:r>
        <w:rPr>
          <w:lang w:val="en_US" w:bidi="en_US"/>
        </w:rPr>
      </w:r>
      <w:r>
        <w:rPr>
          <w:lang w:val="en_US" w:bidi="en_US"/>
        </w:rPr>
        <w:t>The Jewish people hated the tax collectors because they were Jewish people who worked for the foreign government that ruled them. These tax collectors often cheated their own people by overcharging them.</w:t>
      </w:r>
    </w:p>
    <w:p>
      <w:pPr/>
      <w:r>
        <w:rPr>
          <w:lang w:val="en_US" w:bidi="en_US"/>
        </w:rPr>
      </w:r>
      <w:r>
        <w:rPr>
          <w:lang w:val="en_US" w:bidi="en_US"/>
        </w:rPr>
        <w:t>This word also occurs in 5:27.</w:t>
      </w:r>
      <w:r>
        <w:rPr>
          <w:lang w:val="en_US" w:bidi="en_US"/>
        </w:rPr>
      </w:r>
      <w:r>
        <w:rPr>
          <w:lang w:val="en_US" w:bidi="en_US"/>
        </w:rPr>
      </w:r>
    </w:p>
    <w:p>
      <w:pPr/>
      <w:r>
        <w:rPr>
          <w:lang w:val="en_US" w:bidi="en_US"/>
        </w:rPr>
      </w:r>
    </w:p>
    <w:p>
      <w:pPr>
        <w:pStyle w:val="Heading2"/>
      </w:pPr>
      <w:r>
        <w:rPr>
          <w:lang w:val="en_US" w:bidi="en_US"/>
        </w:rPr>
        <w:t>Luke 18:11</w:t>
      </w:r>
      <w:r>
        <w:rPr>
          <w:lang w:val="en_US" w:bidi="en_US"/>
        </w:rPr>
      </w:r>
    </w:p>
    <w:p>
      <w:pPr>
        <w:pStyle w:val="Heading4"/>
      </w:pPr>
      <w:r>
        <w:rPr>
          <w:lang w:val="en_US" w:bidi="en_US"/>
        </w:rPr>
        <w:t>Section 18:9–14: Jesus told a parable about praying in a humble way</w:t>
      </w:r>
    </w:p>
    <w:p>
      <w:pPr/>
      <w:r>
        <w:rPr>
          <w:lang w:val="en_US" w:bidi="en_US"/>
        </w:rPr>
      </w:r>
      <w:r>
        <w:rPr>
          <w:lang w:val="en_US" w:bidi="en_US"/>
        </w:rPr>
        <w:t>In this section Jesus told a parable about how to pray with an attitude that God will approve. Jesus told this parable especially for people who thought that they were already righteous and better than other people. The parable shows that God wants people to come before him humbly and ask for his forgiveness.</w:t>
      </w:r>
    </w:p>
    <w:p>
      <w:pPr/>
      <w:r>
        <w:rPr>
          <w:lang w:val="en_US" w:bidi="en_US"/>
        </w:rPr>
      </w:r>
      <w:r>
        <w:rPr>
          <w:lang w:val="en_US" w:bidi="en_US"/>
        </w:rPr>
        <w:t>Some examples of headings for this section are:</w:t>
      </w:r>
    </w:p>
    <w:p>
      <w:pPr/>
      <w:r>
        <w:rPr>
          <w:lang w:val="en_US" w:bidi="en_US"/>
        </w:rPr>
      </w:r>
      <w:r>
        <w:rPr>
          <w:lang w:val="en_US" w:bidi="en_US"/>
        </w:rPr>
        <w:t>The Parable of the Pharisee and the Tax Collector (GNT)</w:t>
      </w:r>
    </w:p>
    <w:p>
      <w:pPr/>
      <w:r>
        <w:rPr>
          <w:lang w:val="en_US" w:bidi="en_US"/>
        </w:rPr>
      </w:r>
      <w:r>
        <w:rPr>
          <w:lang w:val="en_US" w:bidi="en_US"/>
        </w:rPr>
        <w:t>Jesus told a story about two men who prayed</w:t>
      </w:r>
    </w:p>
    <w:p>
      <w:pPr/>
      <w:r>
        <w:rPr>
          <w:lang w:val="en_US" w:bidi="en_US"/>
        </w:rPr>
      </w:r>
      <w:r>
        <w:rPr>
          <w:lang w:val="en_US" w:bidi="en_US"/>
        </w:rPr>
        <w:t>This parable is only found in Luke.</w:t>
      </w:r>
    </w:p>
    <w:p>
      <w:pPr>
        <w:pStyle w:val="Heading5"/>
      </w:pPr>
      <w:r>
        <w:rPr>
          <w:lang w:val="en_US" w:bidi="en_US"/>
        </w:rPr>
        <w:t>18:11a</w:t>
      </w:r>
    </w:p>
    <w:p>
      <w:pPr/>
      <w:r>
        <w:rPr>
          <w:lang w:val="en_US" w:bidi="en_US"/>
        </w:rPr>
      </w:r>
      <w:r>
        <w:rPr>
          <w:b/>
          <w:lang w:val="en_US" w:bidi="en_US"/>
        </w:rPr>
        <w:t>The Pharisee stood by himself and prayed,</w:t>
      </w:r>
    </w:p>
    <w:p>
      <w:pPr>
        <w:pStyle w:val="ListBullet"/>
        <w:spacing w:line="240" w:lineRule="auto"/>
        <w:ind w:left="720"/>
      </w:pPr>
      <w:r>
        <w:rPr>
          <w:lang w:val="en_US" w:bidi="en_US"/>
        </w:rPr>
      </w:r>
      <w:r>
        <w:rPr>
          <w:lang w:val="en_US" w:bidi="en_US"/>
        </w:rPr>
        <w:t>The Pharisee stood and began to pray about himself. He said:</w:t>
      </w:r>
    </w:p>
    <w:p>
      <w:pPr>
        <w:pStyle w:val="ListBullet"/>
        <w:spacing w:line="240" w:lineRule="auto"/>
        <w:ind w:left="720"/>
      </w:pPr>
      <w:r>
        <w:rPr>
          <w:lang w:val="en_US" w:bidi="en_US"/>
        </w:rPr>
      </w:r>
      <w:r>
        <w:rPr>
          <w:lang w:val="en_US" w:bidi="en_US"/>
        </w:rPr>
        <w:t xml:space="preserve">The Pharisee stood </w:t>
      </w:r>
      <w:r>
        <w:rPr>
          <w:lang w:val="en_US" w:bidi="en_US"/>
        </w:rPr>
        <w:t>proudly</w:t>
      </w:r>
      <w:r>
        <w:rPr>
          <w:lang w:val="en_US" w:bidi="en_US"/>
        </w:rPr>
        <w:t xml:space="preserve"> and talked </w:t>
      </w:r>
      <w:r>
        <w:rPr>
          <w:lang w:val="en_US" w:bidi="en_US"/>
        </w:rPr>
        <w:t>to God</w:t>
      </w:r>
      <w:r>
        <w:rPr>
          <w:lang w:val="en_US" w:bidi="en_US"/>
        </w:rPr>
        <w:t xml:space="preserve"> about himself, saying,</w:t>
      </w:r>
    </w:p>
    <w:p>
      <w:pPr/>
      <w:r>
        <w:rPr>
          <w:lang w:val="en_US" w:bidi="en_US"/>
        </w:rPr>
      </w:r>
      <w:r>
        <w:rPr>
          <w:b/>
          <w:lang w:val="en_US" w:bidi="en_US"/>
        </w:rPr>
        <w:t>The Pharisee stood by himself and prayed:</w:t>
      </w:r>
      <w:r>
        <w:rPr>
          <w:lang w:val="en_US" w:bidi="en_US"/>
        </w:rPr>
        <w:t xml:space="preserve"> There is a textual issue in this clause.</w:t>
      </w:r>
      <w:r>
        <w:rPr>
          <w:lang w:val="en_US" w:bidi="en_US"/>
        </w:rPr>
        <w:t>The main textual options seem to be: 1) “stood these things to himself praying.” This is the more difficult reading. The UBS Greek NT Editorial Committee recommends it but gives it a D rating, indicating great uncertainty. 2) “stood to himself these things praying.” This option has the most external evidence. 3) “stood according to himself these things praying.” The committee considers this to be a slight modification of the text in order to make interpreting (1) less difficult. 4) “stood to himself praying.” 5) “stood these things praying.” Options (4) and (5) amount to omitting the difficult sequences, and the committee did not regard them as original (Metzger, 1971, p. 168).</w:t>
      </w:r>
      <w:r>
        <w:rPr>
          <w:lang w:val="en_US" w:bidi="en_US"/>
        </w:rPr>
        <w:t xml:space="preserve"> that affects the way scholars interpret it.</w:t>
      </w:r>
      <w:r>
        <w:rPr>
          <w:lang w:val="en_US" w:bidi="en_US"/>
        </w:rPr>
        <w:t xml:space="preserve">Some of the interpretations are: (1) The Pharisee prayed </w:t>
      </w:r>
      <w:r>
        <w:rPr>
          <w:u w:val="single"/>
          <w:lang w:val="en_US" w:bidi="en_US"/>
        </w:rPr>
        <w:t>about</w:t>
      </w:r>
      <w:r>
        <w:rPr>
          <w:lang w:val="en_US" w:bidi="en_US"/>
        </w:rPr>
        <w:t xml:space="preserve"> himself. The NET has: “prayed about himself.” (NET, NIV). (2) The Pharisee prayed </w:t>
      </w:r>
      <w:r>
        <w:rPr>
          <w:u w:val="single"/>
          <w:lang w:val="en_US" w:bidi="en_US"/>
        </w:rPr>
        <w:t>to</w:t>
      </w:r>
      <w:r>
        <w:rPr>
          <w:lang w:val="en_US" w:bidi="en_US"/>
        </w:rPr>
        <w:t xml:space="preserve"> himself. He was pretending to pray to God, but he was really only talking to himself. The NJB has: “prayed this prayer to himself” (possibly KJV, RSV). (3) The Pharisee prayed </w:t>
      </w:r>
      <w:r>
        <w:rPr>
          <w:u w:val="single"/>
          <w:lang w:val="en_US" w:bidi="en_US"/>
        </w:rPr>
        <w:t>silently</w:t>
      </w:r>
      <w:r>
        <w:rPr>
          <w:lang w:val="en_US" w:bidi="en_US"/>
        </w:rPr>
        <w:t xml:space="preserve">. He did not speak loudly enough for others to hear him because of what he was saying as he prayed. This may be the meaning of the KJV and RSV “prayed thus with himself” in interpretation (2). (4) The Pharisee stood </w:t>
      </w:r>
      <w:r>
        <w:rPr>
          <w:u w:val="single"/>
          <w:lang w:val="en_US" w:bidi="en_US"/>
        </w:rPr>
        <w:t>by</w:t>
      </w:r>
      <w:r>
        <w:rPr>
          <w:lang w:val="en_US" w:bidi="en_US"/>
        </w:rPr>
        <w:t xml:space="preserve"> himself and prayed, standing away from others who were praying. This interpretation is based on a different order of the words in the Greek text. The GNT says: “stood apart by himself and prayed.” (BSB, GNT, NLT, CEV, NCV) (5) The words need not be translated explicitly. In Aramaic, the language Jesus was speaking, they simply emphasized the verb. The REB says: “The Pharisee stood up and prayed this prayer…” (REB, GW)</w:t>
      </w:r>
      <w:r>
        <w:rPr>
          <w:lang w:val="en_US" w:bidi="en_US"/>
        </w:rPr>
        <w:t xml:space="preserve"> The issue concerns the placement of the phrase </w:t>
      </w:r>
      <w:r>
        <w:rPr>
          <w:i/>
          <w:lang w:val="en_US" w:bidi="en_US"/>
        </w:rPr>
        <w:t>by himself</w:t>
      </w:r>
      <w:r>
        <w:rPr>
          <w:lang w:val="en_US" w:bidi="en_US"/>
        </w:rPr>
        <w:t>:</w:t>
      </w:r>
    </w:p>
    <w:p>
      <w:pPr>
        <w:pStyle w:val="ListNumber"/>
        <w:numPr>
          <w:ilvl w:val="0"/>
          <w:numId w:val="302"/>
        </w:numPr>
        <w:spacing w:line="240" w:lineRule="auto"/>
        <w:ind w:left="720"/>
      </w:pPr>
      <w:r>
        <w:rPr>
          <w:lang w:val="en_US" w:bidi="en_US"/>
        </w:rPr>
      </w:r>
      <w:r>
        <w:rPr>
          <w:lang w:val="en_US" w:bidi="en_US"/>
        </w:rPr>
        <w:t xml:space="preserve">Some Greek manuscripts indicate that the phrase goes with </w:t>
      </w:r>
      <w:r>
        <w:rPr>
          <w:i/>
          <w:lang w:val="en_US" w:bidi="en_US"/>
        </w:rPr>
        <w:t>prayed</w:t>
      </w:r>
      <w:r>
        <w:rPr>
          <w:lang w:val="en_US" w:bidi="en_US"/>
        </w:rPr>
        <w:t>. For example:</w:t>
      </w:r>
      <w:r>
        <w:rPr>
          <w:lang w:val="en_US" w:bidi="en_US"/>
        </w:rPr>
        <w:t xml:space="preserve">The Pharisee stood and began praying this </w:t>
      </w:r>
      <w:r>
        <w:rPr>
          <w:u w:val="single"/>
          <w:lang w:val="en_US" w:bidi="en_US"/>
        </w:rPr>
        <w:t>in regard to himself</w:t>
      </w:r>
      <w:r>
        <w:rPr>
          <w:lang w:val="en_US" w:bidi="en_US"/>
        </w:rPr>
        <w:t xml:space="preserve"> (NASB) </w:t>
      </w:r>
      <w:r>
        <w:rPr>
          <w:i/>
          <w:lang w:val="en_US" w:bidi="en_US"/>
        </w:rPr>
        <w:t>(NET, NIV, RSV, NJB, NASB, KJV, JBP)</w:t>
      </w:r>
    </w:p>
    <w:p>
      <w:pPr>
        <w:pStyle w:val="ListNumber"/>
        <w:spacing w:line="240" w:lineRule="auto"/>
        <w:ind w:left="720"/>
      </w:pPr>
      <w:r>
        <w:rPr>
          <w:lang w:val="en_US" w:bidi="en_US"/>
        </w:rPr>
      </w:r>
      <w:r>
        <w:rPr>
          <w:lang w:val="en_US" w:bidi="en_US"/>
        </w:rPr>
        <w:t xml:space="preserve">Other Greek manuscripts indicate that the phrase goes with </w:t>
      </w:r>
      <w:r>
        <w:rPr>
          <w:i/>
          <w:lang w:val="en_US" w:bidi="en_US"/>
        </w:rPr>
        <w:t>stood</w:t>
      </w:r>
      <w:r>
        <w:rPr>
          <w:lang w:val="en_US" w:bidi="en_US"/>
        </w:rPr>
        <w:t>. For example:</w:t>
      </w:r>
      <w:r>
        <w:rPr>
          <w:lang w:val="en_US" w:bidi="en_US"/>
        </w:rPr>
        <w:t xml:space="preserve">The Pharisee stood apart </w:t>
      </w:r>
      <w:r>
        <w:rPr>
          <w:u w:val="single"/>
          <w:lang w:val="en_US" w:bidi="en_US"/>
        </w:rPr>
        <w:t>by himself</w:t>
      </w:r>
      <w:r>
        <w:rPr>
          <w:lang w:val="en_US" w:bidi="en_US"/>
        </w:rPr>
        <w:t xml:space="preserve"> and prayed (GNT) </w:t>
      </w:r>
      <w:r>
        <w:rPr>
          <w:i/>
          <w:lang w:val="en_US" w:bidi="en_US"/>
        </w:rPr>
        <w:t>(BSB, NIV11, GNT, NRSV, CEV, NCV, NLT, ESV)</w:t>
      </w:r>
    </w:p>
    <w:p>
      <w:pPr>
        <w:pStyle w:val="ListNumber"/>
        <w:spacing w:line="240" w:lineRule="auto"/>
        <w:ind w:left="720"/>
      </w:pPr>
      <w:r>
        <w:rPr>
          <w:lang w:val="en_US" w:bidi="en_US"/>
        </w:rPr>
      </w:r>
      <w:r>
        <w:rPr>
          <w:lang w:val="en_US" w:bidi="en_US"/>
        </w:rPr>
        <w:t>Some Greek manuscripts do not translate the phrase. For example:</w:t>
      </w:r>
      <w:r>
        <w:rPr>
          <w:lang w:val="en_US" w:bidi="en_US"/>
        </w:rPr>
        <w:t xml:space="preserve">The Pharisee stood up and prayed (GW) </w:t>
      </w:r>
      <w:r>
        <w:rPr>
          <w:i/>
          <w:lang w:val="en_US" w:bidi="en_US"/>
        </w:rPr>
        <w:t>(GW, REB)</w:t>
      </w:r>
    </w:p>
    <w:p>
      <w:pPr/>
      <w:r>
        <w:rPr>
          <w:lang w:val="en_US" w:bidi="en_US"/>
        </w:rPr>
      </w:r>
      <w:r>
        <w:rPr>
          <w:lang w:val="en_US" w:bidi="en_US"/>
        </w:rPr>
        <w:t>It is recommended that you follow option (1). However, there is also good evidence for option (2). If the major language version in your area chooses it, you may also decide to follow it. You may want to mention the option you do not follow in a footnote. For example:</w:t>
      </w:r>
    </w:p>
    <w:p>
      <w:pPr/>
      <w:r>
        <w:rPr>
          <w:lang w:val="en_US" w:bidi="en_US"/>
        </w:rPr>
      </w:r>
      <w:r>
        <w:rPr>
          <w:lang w:val="en_US" w:bidi="en_US"/>
        </w:rPr>
        <w:t>Some manuscripts have “stood by himself and prayed these things.”</w:t>
      </w:r>
    </w:p>
    <w:p>
      <w:pPr/>
      <w:r>
        <w:rPr>
          <w:lang w:val="en_US" w:bidi="en_US"/>
        </w:rPr>
      </w:r>
      <w:r>
        <w:rPr>
          <w:b/>
          <w:lang w:val="en_US" w:bidi="en_US"/>
        </w:rPr>
        <w:t>stood by himself:</w:t>
      </w:r>
      <w:r>
        <w:rPr>
          <w:lang w:val="en_US" w:bidi="en_US"/>
        </w:rPr>
        <w:t xml:space="preserve"> The Greek phrase that the BSB translates as </w:t>
      </w:r>
      <w:r>
        <w:rPr>
          <w:i/>
          <w:lang w:val="en_US" w:bidi="en_US"/>
        </w:rPr>
        <w:t>stood by himself</w:t>
      </w:r>
      <w:r>
        <w:rPr>
          <w:lang w:val="en_US" w:bidi="en_US"/>
        </w:rPr>
        <w:t xml:space="preserve"> indicates that the Pharisee prayed in a standing position. This was a common way for Jewish men to pray in public places. It does not imply that the Pharisee had previously been sitting or lying down.</w:t>
      </w:r>
    </w:p>
    <w:p>
      <w:pPr/>
      <w:r>
        <w:rPr>
          <w:lang w:val="en_US" w:bidi="en_US"/>
        </w:rPr>
      </w:r>
      <w:r>
        <w:rPr>
          <w:b/>
          <w:lang w:val="en_US" w:bidi="en_US"/>
        </w:rPr>
        <w:t>prayed:</w:t>
      </w:r>
      <w:r>
        <w:rPr>
          <w:lang w:val="en_US" w:bidi="en_US"/>
        </w:rPr>
        <w:t xml:space="preserve"> The previous notes recommended that you translate the phrase that the BSB translates as “by himself” with the word </w:t>
      </w:r>
      <w:r>
        <w:rPr>
          <w:i/>
          <w:lang w:val="en_US" w:bidi="en_US"/>
        </w:rPr>
        <w:t>prayed</w:t>
      </w:r>
      <w:r>
        <w:rPr>
          <w:lang w:val="en_US" w:bidi="en_US"/>
        </w:rPr>
        <w:t>. There are different ways to interpret the preposition that the BSB translates as “by”:</w:t>
      </w:r>
      <w:r>
        <w:rPr>
          <w:lang w:val="en_US" w:bidi="en_US"/>
        </w:rPr>
        <w:t xml:space="preserve">These different interpretations stem partly from different meanings of the Greek preposition </w:t>
      </w:r>
      <w:r>
        <w:rPr>
          <w:i/>
          <w:lang w:val="en_US" w:bidi="en_US"/>
        </w:rPr>
        <w:t>pros</w:t>
      </w:r>
      <w:r>
        <w:rPr>
          <w:lang w:val="en_US" w:bidi="en_US"/>
        </w:rPr>
        <w:t xml:space="preserve"> that the BSB translates as “by” and partly from cultural and religious factors. The Notes group the interpretations on the basis of the meaning of the preposition, either (1) “about” or (2) “to.”</w:t>
      </w:r>
    </w:p>
    <w:p>
      <w:pPr>
        <w:pStyle w:val="ListNumber"/>
        <w:numPr>
          <w:ilvl w:val="0"/>
          <w:numId w:val="303"/>
        </w:numPr>
        <w:spacing w:line="240" w:lineRule="auto"/>
        <w:ind w:left="720"/>
      </w:pPr>
      <w:r>
        <w:rPr>
          <w:lang w:val="en_US" w:bidi="en_US"/>
        </w:rPr>
      </w:r>
      <w:r>
        <w:rPr>
          <w:lang w:val="en_US" w:bidi="en_US"/>
        </w:rPr>
        <w:t xml:space="preserve">It means that the Pharisee was talking to God </w:t>
      </w:r>
      <w:r>
        <w:rPr>
          <w:u w:val="single"/>
          <w:lang w:val="en_US" w:bidi="en_US"/>
        </w:rPr>
        <w:t>about himself</w:t>
      </w:r>
      <w:r>
        <w:rPr>
          <w:lang w:val="en_US" w:bidi="en_US"/>
        </w:rPr>
        <w:t>. For example:</w:t>
      </w:r>
      <w:r>
        <w:rPr>
          <w:lang w:val="en_US" w:bidi="en_US"/>
        </w:rPr>
        <w:t xml:space="preserve">prayed about himself (NIV) </w:t>
      </w:r>
      <w:r>
        <w:rPr>
          <w:i/>
          <w:lang w:val="en_US" w:bidi="en_US"/>
        </w:rPr>
        <w:t>(NIV, NET)</w:t>
      </w:r>
    </w:p>
    <w:p>
      <w:pPr>
        <w:pStyle w:val="ListNumber"/>
        <w:spacing w:line="240" w:lineRule="auto"/>
        <w:ind w:left="720"/>
      </w:pPr>
      <w:r>
        <w:rPr>
          <w:lang w:val="en_US" w:bidi="en_US"/>
        </w:rPr>
      </w:r>
      <w:r>
        <w:rPr>
          <w:lang w:val="en_US" w:bidi="en_US"/>
        </w:rPr>
        <w:t xml:space="preserve">It means that he was praying </w:t>
      </w:r>
      <w:r>
        <w:rPr>
          <w:u w:val="single"/>
          <w:lang w:val="en_US" w:bidi="en_US"/>
        </w:rPr>
        <w:t>to himself</w:t>
      </w:r>
      <w:r>
        <w:rPr>
          <w:lang w:val="en_US" w:bidi="en_US"/>
        </w:rPr>
        <w:t>. This may indicate that he was praying proudly, silently, or to himself rather than to God. For example:</w:t>
      </w:r>
      <w:r>
        <w:rPr>
          <w:lang w:val="en_US" w:bidi="en_US"/>
        </w:rPr>
        <w:t xml:space="preserve">prayed thus with himself (RSV) </w:t>
      </w:r>
      <w:r>
        <w:rPr>
          <w:i/>
          <w:lang w:val="en_US" w:bidi="en_US"/>
        </w:rPr>
        <w:t>(RSV, NASB, KJV, JBP, NJB)</w:t>
      </w:r>
    </w:p>
    <w:p>
      <w:pPr/>
      <w:r>
        <w:rPr>
          <w:lang w:val="en_US" w:bidi="en_US"/>
        </w:rPr>
      </w:r>
      <w:r>
        <w:rPr>
          <w:lang w:val="en_US" w:bidi="en_US"/>
        </w:rPr>
        <w:t>It is recommended that you follow interpretation (1). It has a clear meaning, and it has good support from scholars.</w:t>
      </w:r>
      <w:r>
        <w:rPr>
          <w:lang w:val="en_US" w:bidi="en_US"/>
        </w:rPr>
        <w:t>These scholars include Hultgren (p. 122), Liefeld (p. 1002), Nolland (p. 875), Lenski (p. 900), Stein (p. 449), and Fitzmyer (p. 1186).</w:t>
      </w:r>
    </w:p>
    <w:p>
      <w:pPr/>
      <w:r>
        <w:rPr>
          <w:lang w:val="en_US" w:bidi="en_US"/>
        </w:rPr>
      </w:r>
      <w:r>
        <w:rPr>
          <w:lang w:val="en_US" w:bidi="en_US"/>
        </w:rPr>
        <w:t>Interpretation (2) has several variations. English versions use expressions like “to” or “with” that are ambiguous here. Each variation has support from respected scholars. If the major language version in your area uses one of these variations, you may decide to follow it.</w:t>
      </w:r>
    </w:p>
    <w:p>
      <w:pPr>
        <w:pStyle w:val="Heading5"/>
      </w:pPr>
      <w:r>
        <w:rPr>
          <w:lang w:val="en_US" w:bidi="en_US"/>
        </w:rPr>
        <w:t>18:11b–d</w:t>
      </w:r>
    </w:p>
    <w:p>
      <w:pPr/>
      <w:r>
        <w:rPr>
          <w:lang w:val="en_US" w:bidi="en_US"/>
        </w:rPr>
      </w:r>
      <w:r>
        <w:rPr>
          <w:lang w:val="en_US" w:bidi="en_US"/>
        </w:rPr>
        <w:t>In 18:11b the Pharisee thanked God that he was not like other people. In 18:11c–d he gave specific examples of ways that he was not like them. In some languages it may be more natural to change the order of clauses and give specific examples before the general statement. For example:</w:t>
      </w:r>
    </w:p>
    <w:p>
      <w:pPr/>
      <w:r>
        <w:rPr>
          <w:lang w:val="en_US" w:bidi="en_US"/>
        </w:rPr>
      </w:r>
      <w:r>
        <w:rPr>
          <w:vertAlign w:val="superscript"/>
          <w:lang w:val="en_US" w:bidi="en_US"/>
        </w:rPr>
        <w:t>11b</w:t>
      </w:r>
      <w:r>
        <w:rPr>
          <w:lang w:val="en_US" w:bidi="en_US"/>
        </w:rPr>
        <w:t xml:space="preserve">I thank you, God, that I am not </w:t>
      </w:r>
      <w:r>
        <w:rPr>
          <w:vertAlign w:val="superscript"/>
          <w:lang w:val="en_US" w:bidi="en_US"/>
        </w:rPr>
        <w:t>11c</w:t>
      </w:r>
      <w:r>
        <w:rPr>
          <w:lang w:val="en_US" w:bidi="en_US"/>
        </w:rPr>
        <w:t xml:space="preserve">greedy, dishonest, or an adulterer, </w:t>
      </w:r>
      <w:r>
        <w:rPr>
          <w:vertAlign w:val="superscript"/>
          <w:lang w:val="en_US" w:bidi="en_US"/>
        </w:rPr>
        <w:t>11b</w:t>
      </w:r>
      <w:r>
        <w:rPr>
          <w:lang w:val="en_US" w:bidi="en_US"/>
        </w:rPr>
        <w:t xml:space="preserve">like everybody else. </w:t>
      </w:r>
      <w:r>
        <w:rPr>
          <w:vertAlign w:val="superscript"/>
          <w:lang w:val="en_US" w:bidi="en_US"/>
        </w:rPr>
        <w:t>11d</w:t>
      </w:r>
      <w:r>
        <w:rPr>
          <w:lang w:val="en_US" w:bidi="en_US"/>
        </w:rPr>
        <w:t>I thank you that I am not like that tax collector over there. (GNT)</w:t>
      </w:r>
    </w:p>
    <w:p>
      <w:pPr/>
      <w:r>
        <w:rPr>
          <w:lang w:val="en_US" w:bidi="en_US"/>
        </w:rPr>
      </w:r>
      <w:r>
        <w:rPr>
          <w:lang w:val="en_US" w:bidi="en_US"/>
        </w:rPr>
        <w:t>Use a natural order in your language.</w:t>
      </w:r>
    </w:p>
    <w:p>
      <w:pPr>
        <w:pStyle w:val="Heading5"/>
      </w:pPr>
      <w:r>
        <w:rPr>
          <w:lang w:val="en_US" w:bidi="en_US"/>
        </w:rPr>
        <w:t>18:11b</w:t>
      </w:r>
    </w:p>
    <w:p>
      <w:pPr/>
      <w:r>
        <w:rPr>
          <w:lang w:val="en_US" w:bidi="en_US"/>
        </w:rPr>
      </w:r>
      <w:r>
        <w:rPr>
          <w:b/>
          <w:lang w:val="en_US" w:bidi="en_US"/>
        </w:rPr>
        <w:t>‘God, I thank You that I am not like the other men—</w:t>
      </w:r>
    </w:p>
    <w:p>
      <w:pPr>
        <w:pStyle w:val="ListBullet"/>
        <w:spacing w:line="240" w:lineRule="auto"/>
        <w:ind w:left="720"/>
      </w:pPr>
      <w:r>
        <w:rPr>
          <w:lang w:val="en_US" w:bidi="en_US"/>
        </w:rPr>
      </w:r>
      <w:r>
        <w:rPr>
          <w:lang w:val="en_US" w:bidi="en_US"/>
        </w:rPr>
        <w:t>‘God, I thank you</w:t>
      </w:r>
      <w:r>
        <w:rPr>
          <w:vertAlign w:val="superscript"/>
          <w:lang w:val="en_US" w:bidi="en_US"/>
        </w:rPr>
        <w:t>(sing)</w:t>
      </w:r>
      <w:r>
        <w:rPr>
          <w:lang w:val="en_US" w:bidi="en_US"/>
        </w:rPr>
        <w:t xml:space="preserve"> that I am not </w:t>
      </w:r>
      <w:r>
        <w:rPr>
          <w:lang w:val="en_US" w:bidi="en_US"/>
        </w:rPr>
        <w:t>sinful</w:t>
      </w:r>
      <w:r>
        <w:rPr>
          <w:lang w:val="en_US" w:bidi="en_US"/>
        </w:rPr>
        <w:t xml:space="preserve"> like other people.</w:t>
      </w:r>
    </w:p>
    <w:p>
      <w:pPr>
        <w:pStyle w:val="ListBullet"/>
        <w:spacing w:line="240" w:lineRule="auto"/>
        <w:ind w:left="720"/>
      </w:pPr>
      <w:r>
        <w:rPr>
          <w:lang w:val="en_US" w:bidi="en_US"/>
        </w:rPr>
      </w:r>
      <w:r>
        <w:rPr>
          <w:lang w:val="en_US" w:bidi="en_US"/>
        </w:rPr>
        <w:t>‘</w:t>
      </w:r>
      <w:r>
        <w:rPr>
          <w:lang w:val="en_US" w:bidi="en_US"/>
        </w:rPr>
        <w:t>My</w:t>
      </w:r>
      <w:r>
        <w:rPr>
          <w:lang w:val="en_US" w:bidi="en_US"/>
        </w:rPr>
        <w:t xml:space="preserve"> God, I thank you</w:t>
      </w:r>
      <w:r>
        <w:rPr>
          <w:vertAlign w:val="superscript"/>
          <w:lang w:val="en_US" w:bidi="en_US"/>
        </w:rPr>
        <w:t>(sing)</w:t>
      </w:r>
      <w:r>
        <w:rPr>
          <w:lang w:val="en_US" w:bidi="en_US"/>
        </w:rPr>
        <w:t xml:space="preserve"> that I am </w:t>
      </w:r>
      <w:r>
        <w:rPr>
          <w:lang w:val="en_US" w:bidi="en_US"/>
        </w:rPr>
        <w:t>more righteous</w:t>
      </w:r>
      <w:r>
        <w:rPr>
          <w:lang w:val="en_US" w:bidi="en_US"/>
        </w:rPr>
        <w:t xml:space="preserve"> than other people are.</w:t>
      </w:r>
    </w:p>
    <w:p>
      <w:pPr/>
      <w:r>
        <w:rPr>
          <w:lang w:val="en_US" w:bidi="en_US"/>
        </w:rPr>
      </w:r>
      <w:r>
        <w:rPr>
          <w:b/>
          <w:lang w:val="en_US" w:bidi="en_US"/>
        </w:rPr>
        <w:t>God:</w:t>
      </w:r>
      <w:r>
        <w:rPr>
          <w:lang w:val="en_US" w:bidi="en_US"/>
        </w:rPr>
        <w:t xml:space="preserve"> The Pharisee was speaking to God. Use a natural way in your language to address God in prayer. For example:</w:t>
      </w:r>
    </w:p>
    <w:p>
      <w:pPr/>
      <w:r>
        <w:rPr>
          <w:lang w:val="en_US" w:bidi="en_US"/>
        </w:rPr>
      </w:r>
      <w:r>
        <w:rPr>
          <w:lang w:val="en_US" w:bidi="en_US"/>
        </w:rPr>
        <w:t>My</w:t>
      </w:r>
      <w:r>
        <w:rPr>
          <w:lang w:val="en_US" w:bidi="en_US"/>
        </w:rPr>
        <w:t xml:space="preserve"> God</w:t>
      </w:r>
    </w:p>
    <w:p>
      <w:pPr/>
      <w:r>
        <w:rPr>
          <w:lang w:val="en_US" w:bidi="en_US"/>
        </w:rPr>
      </w:r>
      <w:r>
        <w:rPr>
          <w:lang w:val="en_US" w:bidi="en_US"/>
        </w:rPr>
        <w:t>O God</w:t>
      </w:r>
    </w:p>
    <w:p>
      <w:pPr/>
      <w:r>
        <w:rPr>
          <w:lang w:val="en_US" w:bidi="en_US"/>
        </w:rPr>
      </w:r>
      <w:r>
        <w:rPr>
          <w:b/>
          <w:lang w:val="en_US" w:bidi="en_US"/>
        </w:rPr>
        <w:t>I thank You that I am not like the other men:</w:t>
      </w:r>
      <w:r>
        <w:rPr>
          <w:lang w:val="en_US" w:bidi="en_US"/>
        </w:rPr>
        <w:t xml:space="preserve"> Here the Pharisee told God what he was thankful for. Some other ways to say this are:</w:t>
      </w:r>
    </w:p>
    <w:p>
      <w:pPr/>
      <w:r>
        <w:rPr>
          <w:lang w:val="en_US" w:bidi="en_US"/>
        </w:rPr>
      </w:r>
      <w:r>
        <w:rPr>
          <w:lang w:val="en_US" w:bidi="en_US"/>
        </w:rPr>
        <w:t>I say thank you that I am not like other men</w:t>
      </w:r>
    </w:p>
    <w:p>
      <w:pPr/>
      <w:r>
        <w:rPr>
          <w:lang w:val="en_US" w:bidi="en_US"/>
        </w:rPr>
      </w:r>
      <w:r>
        <w:rPr>
          <w:lang w:val="en_US" w:bidi="en_US"/>
        </w:rPr>
        <w:t>I praise you that I am not like other men</w:t>
      </w:r>
    </w:p>
    <w:p>
      <w:pPr/>
      <w:r>
        <w:rPr>
          <w:lang w:val="en_US" w:bidi="en_US"/>
        </w:rPr>
      </w:r>
      <w:r>
        <w:rPr>
          <w:lang w:val="en_US" w:bidi="en_US"/>
        </w:rPr>
        <w:t>This clause introduces a list that gives examples of what other men did. Introduce the list in a natural way in your language. For example:</w:t>
      </w:r>
    </w:p>
    <w:p>
      <w:pPr/>
      <w:r>
        <w:rPr>
          <w:lang w:val="en_US" w:bidi="en_US"/>
        </w:rPr>
      </w:r>
      <w:r>
        <w:rPr>
          <w:lang w:val="en_US" w:bidi="en_US"/>
        </w:rPr>
        <w:t>I say thank you that I am not like other men. As for me, I am not….</w:t>
      </w:r>
    </w:p>
    <w:p>
      <w:pPr/>
      <w:r>
        <w:rPr>
          <w:lang w:val="en_US" w:bidi="en_US"/>
        </w:rPr>
      </w:r>
      <w:r>
        <w:rPr>
          <w:lang w:val="en_US" w:bidi="en_US"/>
        </w:rPr>
        <w:t>I thank you that I am not like other men. For I do not….</w:t>
      </w:r>
    </w:p>
    <w:p>
      <w:pPr/>
      <w:r>
        <w:rPr>
          <w:lang w:val="en_US" w:bidi="en_US"/>
        </w:rPr>
      </w:r>
      <w:r>
        <w:rPr>
          <w:b/>
          <w:lang w:val="en_US" w:bidi="en_US"/>
        </w:rPr>
        <w:t>I am not like the other men:</w:t>
      </w:r>
      <w:r>
        <w:rPr>
          <w:lang w:val="en_US" w:bidi="en_US"/>
        </w:rPr>
        <w:t xml:space="preserve"> The clause </w:t>
      </w:r>
      <w:r>
        <w:rPr>
          <w:i/>
          <w:lang w:val="en_US" w:bidi="en_US"/>
        </w:rPr>
        <w:t>I am not like the other men</w:t>
      </w:r>
      <w:r>
        <w:rPr>
          <w:lang w:val="en_US" w:bidi="en_US"/>
        </w:rPr>
        <w:t xml:space="preserve"> indicates that the Pharisee thought that he was not sinful like other men. He thought that he was more righteous than they were. In some languages it may be necessary to make this explicit. For example:</w:t>
      </w:r>
    </w:p>
    <w:p>
      <w:pPr/>
      <w:r>
        <w:rPr>
          <w:lang w:val="en_US" w:bidi="en_US"/>
        </w:rPr>
      </w:r>
      <w:r>
        <w:rPr>
          <w:lang w:val="en_US" w:bidi="en_US"/>
        </w:rPr>
        <w:t xml:space="preserve">I am not </w:t>
      </w:r>
      <w:r>
        <w:rPr>
          <w:lang w:val="en_US" w:bidi="en_US"/>
        </w:rPr>
        <w:t>evil/sinful</w:t>
      </w:r>
      <w:r>
        <w:rPr>
          <w:lang w:val="en_US" w:bidi="en_US"/>
        </w:rPr>
        <w:t xml:space="preserve"> like other men</w:t>
      </w:r>
    </w:p>
    <w:p>
      <w:pPr/>
      <w:r>
        <w:rPr>
          <w:lang w:val="en_US" w:bidi="en_US"/>
        </w:rPr>
      </w:r>
      <w:r>
        <w:rPr>
          <w:lang w:val="en_US" w:bidi="en_US"/>
        </w:rPr>
        <w:t xml:space="preserve">I </w:t>
      </w:r>
      <w:r>
        <w:rPr>
          <w:lang w:val="en_US" w:bidi="en_US"/>
        </w:rPr>
        <w:t>do</w:t>
      </w:r>
      <w:r>
        <w:rPr>
          <w:lang w:val="en_US" w:bidi="en_US"/>
        </w:rPr>
        <w:t xml:space="preserve"> not </w:t>
      </w:r>
      <w:r>
        <w:rPr>
          <w:lang w:val="en_US" w:bidi="en_US"/>
        </w:rPr>
        <w:t>sin</w:t>
      </w:r>
      <w:r>
        <w:rPr>
          <w:lang w:val="en_US" w:bidi="en_US"/>
        </w:rPr>
        <w:t xml:space="preserve"> like other men</w:t>
      </w:r>
    </w:p>
    <w:p>
      <w:pPr/>
      <w:r>
        <w:rPr>
          <w:lang w:val="en_US" w:bidi="en_US"/>
        </w:rPr>
      </w:r>
      <w:r>
        <w:rPr>
          <w:lang w:val="en_US" w:bidi="en_US"/>
        </w:rPr>
        <w:t xml:space="preserve">The phrase can also be translated without using a negative word like </w:t>
      </w:r>
      <w:r>
        <w:rPr>
          <w:i/>
          <w:lang w:val="en_US" w:bidi="en_US"/>
        </w:rPr>
        <w:t>not</w:t>
      </w:r>
      <w:r>
        <w:rPr>
          <w:lang w:val="en_US" w:bidi="en_US"/>
        </w:rPr>
        <w:t>. For example:</w:t>
      </w:r>
    </w:p>
    <w:p>
      <w:pPr/>
      <w:r>
        <w:rPr>
          <w:lang w:val="en_US" w:bidi="en_US"/>
        </w:rPr>
      </w:r>
      <w:r>
        <w:rPr>
          <w:lang w:val="en_US" w:bidi="en_US"/>
        </w:rPr>
        <w:t>I am different from other men</w:t>
      </w:r>
    </w:p>
    <w:p>
      <w:pPr/>
      <w:r>
        <w:rPr>
          <w:lang w:val="en_US" w:bidi="en_US"/>
        </w:rPr>
      </w:r>
      <w:r>
        <w:rPr>
          <w:lang w:val="en_US" w:bidi="en_US"/>
        </w:rPr>
        <w:t xml:space="preserve">I am more </w:t>
      </w:r>
      <w:r>
        <w:rPr>
          <w:lang w:val="en_US" w:bidi="en_US"/>
        </w:rPr>
        <w:t>righteous</w:t>
      </w:r>
      <w:r>
        <w:rPr>
          <w:lang w:val="en_US" w:bidi="en_US"/>
        </w:rPr>
        <w:t xml:space="preserve"> than other men</w:t>
      </w:r>
    </w:p>
    <w:p>
      <w:pPr/>
      <w:r>
        <w:rPr>
          <w:lang w:val="en_US" w:bidi="en_US"/>
        </w:rPr>
      </w:r>
      <w:r>
        <w:rPr>
          <w:b/>
          <w:lang w:val="en_US" w:bidi="en_US"/>
        </w:rPr>
        <w:t>the other men:</w:t>
      </w:r>
      <w:r>
        <w:rPr>
          <w:lang w:val="en_US" w:bidi="en_US"/>
        </w:rPr>
        <w:t xml:space="preserve"> The Greek phrase that the BSB translates as </w:t>
      </w:r>
      <w:r>
        <w:rPr>
          <w:i/>
          <w:lang w:val="en_US" w:bidi="en_US"/>
        </w:rPr>
        <w:t>the other men</w:t>
      </w:r>
      <w:r>
        <w:rPr>
          <w:lang w:val="en_US" w:bidi="en_US"/>
        </w:rPr>
        <w:t xml:space="preserve"> refers to other people in general. It includes women as well as men. For example:</w:t>
      </w:r>
    </w:p>
    <w:p>
      <w:pPr/>
      <w:r>
        <w:rPr>
          <w:lang w:val="en_US" w:bidi="en_US"/>
        </w:rPr>
      </w:r>
      <w:r>
        <w:rPr>
          <w:lang w:val="en_US" w:bidi="en_US"/>
        </w:rPr>
        <w:t>I am not like other people</w:t>
      </w:r>
    </w:p>
    <w:p>
      <w:pPr>
        <w:pStyle w:val="Heading5"/>
      </w:pPr>
      <w:r>
        <w:rPr>
          <w:lang w:val="en_US" w:bidi="en_US"/>
        </w:rPr>
        <w:t>18:11c</w:t>
      </w:r>
    </w:p>
    <w:p>
      <w:pPr/>
      <w:r>
        <w:rPr>
          <w:lang w:val="en_US" w:bidi="en_US"/>
        </w:rPr>
      </w:r>
      <w:r>
        <w:rPr>
          <w:b/>
          <w:lang w:val="en_US" w:bidi="en_US"/>
        </w:rPr>
        <w:t>swindlers, evildoers, adulterers—</w:t>
      </w:r>
    </w:p>
    <w:p>
      <w:pPr>
        <w:pStyle w:val="ListBullet"/>
        <w:spacing w:line="240" w:lineRule="auto"/>
        <w:ind w:left="720"/>
      </w:pPr>
      <w:r>
        <w:rPr>
          <w:lang w:val="en_US" w:bidi="en_US"/>
        </w:rPr>
      </w:r>
      <w:r>
        <w:rPr>
          <w:lang w:val="en_US" w:bidi="en_US"/>
        </w:rPr>
        <w:t>They rob/cheat people, act unjustly, and commit adultery.</w:t>
      </w:r>
    </w:p>
    <w:p>
      <w:pPr>
        <w:pStyle w:val="ListBullet"/>
        <w:spacing w:line="240" w:lineRule="auto"/>
        <w:ind w:left="720"/>
      </w:pPr>
      <w:r>
        <w:rPr>
          <w:lang w:val="en_US" w:bidi="en_US"/>
        </w:rPr>
      </w:r>
      <w:r>
        <w:rPr>
          <w:lang w:val="en_US" w:bidi="en_US"/>
        </w:rPr>
        <w:t>I am not</w:t>
      </w:r>
      <w:r>
        <w:rPr>
          <w:lang w:val="en_US" w:bidi="en_US"/>
        </w:rPr>
        <w:t xml:space="preserve"> greedy, </w:t>
      </w:r>
      <w:r>
        <w:rPr>
          <w:lang w:val="en_US" w:bidi="en_US"/>
        </w:rPr>
        <w:t>I am not</w:t>
      </w:r>
      <w:r>
        <w:rPr>
          <w:lang w:val="en_US" w:bidi="en_US"/>
        </w:rPr>
        <w:t xml:space="preserve"> dishonest, and </w:t>
      </w:r>
      <w:r>
        <w:rPr>
          <w:lang w:val="en_US" w:bidi="en_US"/>
        </w:rPr>
        <w:t>I have not</w:t>
      </w:r>
      <w:r>
        <w:rPr>
          <w:lang w:val="en_US" w:bidi="en_US"/>
        </w:rPr>
        <w:t xml:space="preserve"> committed adultery.</w:t>
      </w:r>
    </w:p>
    <w:p>
      <w:pPr>
        <w:pStyle w:val="ListBullet"/>
        <w:spacing w:line="240" w:lineRule="auto"/>
        <w:ind w:left="720"/>
      </w:pPr>
      <w:r>
        <w:rPr>
          <w:lang w:val="en_US" w:bidi="en_US"/>
        </w:rPr>
      </w:r>
      <w:r>
        <w:rPr>
          <w:lang w:val="en_US" w:bidi="en_US"/>
        </w:rPr>
        <w:t>They</w:t>
      </w:r>
      <w:r>
        <w:rPr>
          <w:lang w:val="en_US" w:bidi="en_US"/>
        </w:rPr>
        <w:t xml:space="preserve"> rob/cheat people, they have sex with people they are not married to, and they do </w:t>
      </w:r>
      <w:r>
        <w:rPr>
          <w:lang w:val="en_US" w:bidi="en_US"/>
        </w:rPr>
        <w:t>other</w:t>
      </w:r>
      <w:r>
        <w:rPr>
          <w:lang w:val="en_US" w:bidi="en_US"/>
        </w:rPr>
        <w:t xml:space="preserve"> evil/unjust things.</w:t>
      </w:r>
    </w:p>
    <w:p>
      <w:pPr/>
      <w:r>
        <w:rPr>
          <w:lang w:val="en_US" w:bidi="en_US"/>
        </w:rPr>
      </w:r>
      <w:r>
        <w:rPr>
          <w:b/>
          <w:lang w:val="en_US" w:bidi="en_US"/>
        </w:rPr>
        <w:t>swindlers, evildoers, adulterers:</w:t>
      </w:r>
      <w:r>
        <w:rPr>
          <w:lang w:val="en_US" w:bidi="en_US"/>
        </w:rPr>
        <w:t xml:space="preserve"> Here the Pharisee gave three examples of sins that he thought other people committed. The Pharisee implied that all people except him were evil in some way.</w:t>
      </w:r>
    </w:p>
    <w:p>
      <w:pPr/>
      <w:r>
        <w:rPr>
          <w:lang w:val="en_US" w:bidi="en_US"/>
        </w:rPr>
      </w:r>
      <w:r>
        <w:rPr>
          <w:lang w:val="en_US" w:bidi="en_US"/>
        </w:rPr>
        <w:t>In some languages it may be more natural to translate with verbs, adjectives, or short clauses. For example:</w:t>
      </w:r>
    </w:p>
    <w:p>
      <w:pPr/>
      <w:r>
        <w:rPr>
          <w:lang w:val="en_US" w:bidi="en_US"/>
        </w:rPr>
      </w:r>
      <w:r>
        <w:rPr>
          <w:lang w:val="en_US" w:bidi="en_US"/>
        </w:rPr>
        <w:t>…greedy, dishonest, adulterous… (REB)</w:t>
      </w:r>
    </w:p>
    <w:p>
      <w:pPr/>
      <w:r>
        <w:rPr>
          <w:lang w:val="en_US" w:bidi="en_US"/>
        </w:rPr>
      </w:r>
      <w:r>
        <w:rPr>
          <w:lang w:val="en_US" w:bidi="en_US"/>
        </w:rPr>
        <w:t>they rob people, they do evil, and they commit adultery</w:t>
      </w:r>
    </w:p>
    <w:p>
      <w:pPr/>
      <w:r>
        <w:rPr>
          <w:lang w:val="en_US" w:bidi="en_US"/>
        </w:rPr>
      </w:r>
      <w:r>
        <w:rPr>
          <w:lang w:val="en_US" w:bidi="en_US"/>
        </w:rPr>
        <w:t>It is also possible to use negative statements with the Pharisee as the subject. For example:</w:t>
      </w:r>
    </w:p>
    <w:p>
      <w:pPr/>
      <w:r>
        <w:rPr>
          <w:lang w:val="en_US" w:bidi="en_US"/>
        </w:rPr>
      </w:r>
      <w:r>
        <w:rPr>
          <w:lang w:val="en_US" w:bidi="en_US"/>
        </w:rPr>
        <w:t>I’m not a robber or a dishonest person. I haven’t committed adultery. (GW)</w:t>
      </w:r>
    </w:p>
    <w:p>
      <w:pPr/>
      <w:r>
        <w:rPr>
          <w:lang w:val="en_US" w:bidi="en_US"/>
        </w:rPr>
      </w:r>
      <w:r>
        <w:rPr>
          <w:lang w:val="en_US" w:bidi="en_US"/>
        </w:rPr>
        <w:t>I am not greedy, dishonest, and unfaithful in marriage (CEV)</w:t>
      </w:r>
    </w:p>
    <w:p>
      <w:pPr/>
      <w:r>
        <w:rPr>
          <w:lang w:val="en_US" w:bidi="en_US"/>
        </w:rPr>
      </w:r>
      <w:r>
        <w:rPr>
          <w:b/>
          <w:lang w:val="en_US" w:bidi="en_US"/>
        </w:rPr>
        <w:t>swindlers:</w:t>
      </w:r>
      <w:r>
        <w:rPr>
          <w:lang w:val="en_US" w:bidi="en_US"/>
        </w:rPr>
        <w:t xml:space="preserve"> The Greek word that the BSB translates as </w:t>
      </w:r>
      <w:r>
        <w:rPr>
          <w:i/>
          <w:lang w:val="en_US" w:bidi="en_US"/>
        </w:rPr>
        <w:t>swindlers</w:t>
      </w:r>
      <w:r>
        <w:rPr>
          <w:lang w:val="en_US" w:bidi="en_US"/>
        </w:rPr>
        <w:t xml:space="preserve"> refers to people who rob or cheat others. It often implies that they take things by force. The word can also refer to people who are greedy for money or possessions. Jesus used a different form of this word in 11:39 to describe Pharisees. There the BSB translates the word as “greed.” Some other ways to translate it are:</w:t>
      </w:r>
    </w:p>
    <w:p>
      <w:pPr/>
      <w:r>
        <w:rPr>
          <w:lang w:val="en_US" w:bidi="en_US"/>
        </w:rPr>
      </w:r>
      <w:r>
        <w:rPr>
          <w:lang w:val="en_US" w:bidi="en_US"/>
        </w:rPr>
        <w:t>robbers (NIV)</w:t>
      </w:r>
    </w:p>
    <w:p>
      <w:pPr/>
      <w:r>
        <w:rPr>
          <w:lang w:val="en_US" w:bidi="en_US"/>
        </w:rPr>
      </w:r>
      <w:r>
        <w:rPr>
          <w:lang w:val="en_US" w:bidi="en_US"/>
        </w:rPr>
        <w:t>They cheat people</w:t>
      </w:r>
    </w:p>
    <w:p>
      <w:pPr/>
      <w:r>
        <w:rPr>
          <w:lang w:val="en_US" w:bidi="en_US"/>
        </w:rPr>
      </w:r>
      <w:r>
        <w:rPr>
          <w:lang w:val="en_US" w:bidi="en_US"/>
        </w:rPr>
        <w:t>I am not greedy (GNT)</w:t>
      </w:r>
    </w:p>
    <w:p>
      <w:pPr/>
      <w:r>
        <w:rPr>
          <w:lang w:val="en_US" w:bidi="en_US"/>
        </w:rPr>
      </w:r>
      <w:r>
        <w:rPr>
          <w:b/>
          <w:lang w:val="en_US" w:bidi="en_US"/>
        </w:rPr>
        <w:t>evildoers:</w:t>
      </w:r>
      <w:r>
        <w:rPr>
          <w:lang w:val="en_US" w:bidi="en_US"/>
        </w:rPr>
        <w:t xml:space="preserve"> The Greek word that the BSB translates as </w:t>
      </w:r>
      <w:r>
        <w:rPr>
          <w:i/>
          <w:lang w:val="en_US" w:bidi="en_US"/>
        </w:rPr>
        <w:t>evildoers</w:t>
      </w:r>
      <w:r>
        <w:rPr>
          <w:lang w:val="en_US" w:bidi="en_US"/>
        </w:rPr>
        <w:t xml:space="preserve"> is literally “unjust/unrighteous.” It refers to people who do things that are not right. They act in an unjust way, and they are dishonest. They do not obey God’s law. Some ways to translate it are:</w:t>
      </w:r>
    </w:p>
    <w:p>
      <w:pPr/>
      <w:r>
        <w:rPr>
          <w:lang w:val="en_US" w:bidi="en_US"/>
        </w:rPr>
      </w:r>
      <w:r>
        <w:rPr>
          <w:lang w:val="en_US" w:bidi="en_US"/>
        </w:rPr>
        <w:t>dishonest (GNT)</w:t>
      </w:r>
    </w:p>
    <w:p>
      <w:pPr/>
      <w:r>
        <w:rPr>
          <w:lang w:val="en_US" w:bidi="en_US"/>
        </w:rPr>
      </w:r>
      <w:r>
        <w:rPr>
          <w:lang w:val="en_US" w:bidi="en_US"/>
        </w:rPr>
        <w:t>unjust (NASB)</w:t>
      </w:r>
    </w:p>
    <w:p>
      <w:pPr/>
      <w:r>
        <w:rPr>
          <w:lang w:val="en_US" w:bidi="en_US"/>
        </w:rPr>
      </w:r>
      <w:r>
        <w:rPr>
          <w:lang w:val="en_US" w:bidi="en_US"/>
        </w:rPr>
        <w:t>unrighteous people (NET)</w:t>
      </w:r>
    </w:p>
    <w:p>
      <w:pPr/>
      <w:r>
        <w:rPr>
          <w:lang w:val="en_US" w:bidi="en_US"/>
        </w:rPr>
      </w:r>
      <w:r>
        <w:rPr>
          <w:b/>
          <w:lang w:val="en_US" w:bidi="en_US"/>
        </w:rPr>
        <w:t>adulterers:</w:t>
      </w:r>
      <w:r>
        <w:rPr>
          <w:lang w:val="en_US" w:bidi="en_US"/>
        </w:rPr>
        <w:t xml:space="preserve"> The Greek word that the BSB translates as </w:t>
      </w:r>
      <w:r>
        <w:rPr>
          <w:i/>
          <w:lang w:val="en_US" w:bidi="en_US"/>
        </w:rPr>
        <w:t>adulterers</w:t>
      </w:r>
      <w:r>
        <w:rPr>
          <w:lang w:val="en_US" w:bidi="en_US"/>
        </w:rPr>
        <w:t xml:space="preserve"> refers to people who have sexual intercourse with someone they are not married to. Some adulterers are married people, and others are not married but they have sex with someone who is married to someone else. In some languages it may be more natural to translate this with a descriptive phrase or clause. For example:</w:t>
      </w:r>
    </w:p>
    <w:p>
      <w:pPr/>
      <w:r>
        <w:rPr>
          <w:lang w:val="en_US" w:bidi="en_US"/>
        </w:rPr>
      </w:r>
      <w:r>
        <w:rPr>
          <w:lang w:val="en_US" w:bidi="en_US"/>
        </w:rPr>
        <w:t>they have sex with people they are not married to</w:t>
      </w:r>
    </w:p>
    <w:p>
      <w:pPr/>
      <w:r>
        <w:rPr>
          <w:lang w:val="en_US" w:bidi="en_US"/>
        </w:rPr>
      </w:r>
      <w:r>
        <w:rPr>
          <w:lang w:val="en_US" w:bidi="en_US"/>
        </w:rPr>
        <w:t>I do not have sexual relations with anyone I have not married</w:t>
      </w:r>
    </w:p>
    <w:p>
      <w:pPr>
        <w:pStyle w:val="Heading5"/>
      </w:pPr>
      <w:r>
        <w:rPr>
          <w:lang w:val="en_US" w:bidi="en_US"/>
        </w:rPr>
        <w:t>18:11d</w:t>
      </w:r>
    </w:p>
    <w:p>
      <w:pPr/>
      <w:r>
        <w:rPr>
          <w:lang w:val="en_US" w:bidi="en_US"/>
        </w:rPr>
      </w:r>
      <w:r>
        <w:rPr>
          <w:b/>
          <w:lang w:val="en_US" w:bidi="en_US"/>
        </w:rPr>
        <w:t>or even like this tax collector.</w:t>
      </w:r>
    </w:p>
    <w:p>
      <w:pPr>
        <w:pStyle w:val="ListBullet"/>
        <w:spacing w:line="240" w:lineRule="auto"/>
        <w:ind w:left="720"/>
      </w:pPr>
      <w:r>
        <w:rPr>
          <w:lang w:val="en_US" w:bidi="en_US"/>
        </w:rPr>
      </w:r>
      <w:r>
        <w:rPr>
          <w:lang w:val="en_US" w:bidi="en_US"/>
        </w:rPr>
        <w:t>I am</w:t>
      </w:r>
      <w:r>
        <w:rPr>
          <w:lang w:val="en_US" w:bidi="en_US"/>
        </w:rPr>
        <w:t xml:space="preserve"> also </w:t>
      </w:r>
      <w:r>
        <w:rPr>
          <w:lang w:val="en_US" w:bidi="en_US"/>
        </w:rPr>
        <w:t>not</w:t>
      </w:r>
      <w:r>
        <w:rPr>
          <w:lang w:val="en_US" w:bidi="en_US"/>
        </w:rPr>
        <w:t xml:space="preserve"> like this tax collector.</w:t>
      </w:r>
    </w:p>
    <w:p>
      <w:pPr>
        <w:pStyle w:val="ListBullet"/>
        <w:spacing w:line="240" w:lineRule="auto"/>
        <w:ind w:left="720"/>
      </w:pPr>
      <w:r>
        <w:rPr>
          <w:lang w:val="en_US" w:bidi="en_US"/>
        </w:rPr>
      </w:r>
      <w:r>
        <w:rPr>
          <w:lang w:val="en_US" w:bidi="en_US"/>
        </w:rPr>
        <w:t>And I thank you</w:t>
      </w:r>
      <w:r>
        <w:rPr>
          <w:vertAlign w:val="superscript"/>
          <w:lang w:val="en_US" w:bidi="en_US"/>
        </w:rPr>
        <w:t>(sing)</w:t>
      </w:r>
      <w:r>
        <w:rPr>
          <w:lang w:val="en_US" w:bidi="en_US"/>
        </w:rPr>
        <w:t xml:space="preserve"> </w:t>
      </w:r>
      <w:r>
        <w:rPr>
          <w:lang w:val="en_US" w:bidi="en_US"/>
        </w:rPr>
        <w:t>that I am not</w:t>
      </w:r>
      <w:r>
        <w:rPr>
          <w:lang w:val="en_US" w:bidi="en_US"/>
        </w:rPr>
        <w:t xml:space="preserve"> </w:t>
      </w:r>
      <w:r>
        <w:rPr>
          <w:lang w:val="en_US" w:bidi="en_US"/>
        </w:rPr>
        <w:t>evil</w:t>
      </w:r>
      <w:r>
        <w:rPr>
          <w:lang w:val="en_US" w:bidi="en_US"/>
        </w:rPr>
        <w:t xml:space="preserve"> like that person/fellow who collects money for the government.</w:t>
      </w:r>
    </w:p>
    <w:p>
      <w:pPr/>
      <w:r>
        <w:rPr>
          <w:lang w:val="en_US" w:bidi="en_US"/>
        </w:rPr>
      </w:r>
      <w:r>
        <w:rPr>
          <w:b/>
          <w:lang w:val="en_US" w:bidi="en_US"/>
        </w:rPr>
        <w:t>or even like this tax collector:</w:t>
      </w:r>
      <w:r>
        <w:rPr>
          <w:lang w:val="en_US" w:bidi="en_US"/>
        </w:rPr>
        <w:t xml:space="preserve"> Here the Pharisee referred to the tax collector as a particular example of “other men” (18:11b) who were sinners. He probably did not imply that the tax collector was better or worse than the evildoers whom he mentioned in 18:11c. Some ways to translate this are:</w:t>
      </w:r>
    </w:p>
    <w:p>
      <w:pPr/>
      <w:r>
        <w:rPr>
          <w:lang w:val="en_US" w:bidi="en_US"/>
        </w:rPr>
      </w:r>
      <w:r>
        <w:rPr>
          <w:lang w:val="en_US" w:bidi="en_US"/>
        </w:rPr>
        <w:t>or, for that matter, like this tax-collector (REB)</w:t>
      </w:r>
    </w:p>
    <w:p>
      <w:pPr/>
      <w:r>
        <w:rPr>
          <w:lang w:val="en_US" w:bidi="en_US"/>
        </w:rPr>
      </w:r>
      <w:r>
        <w:rPr>
          <w:lang w:val="en_US" w:bidi="en_US"/>
        </w:rPr>
        <w:t>I’m certainly not like that tax collector! (NLT)</w:t>
      </w:r>
    </w:p>
    <w:p>
      <w:pPr/>
      <w:r>
        <w:rPr>
          <w:lang w:val="en_US" w:bidi="en_US"/>
        </w:rPr>
      </w:r>
      <w:r>
        <w:rPr>
          <w:lang w:val="en_US" w:bidi="en_US"/>
        </w:rPr>
        <w:t>I am also not like that tax collector.</w:t>
      </w:r>
      <w:r>
        <w:rPr>
          <w:lang w:val="en_US" w:bidi="en_US"/>
        </w:rPr>
      </w:r>
      <w:r>
        <w:rPr>
          <w:lang w:val="en_US" w:bidi="en_US"/>
        </w:rPr>
      </w:r>
    </w:p>
    <w:p>
      <w:pPr/>
      <w:r>
        <w:rPr>
          <w:lang w:val="en_US" w:bidi="en_US"/>
        </w:rPr>
      </w:r>
    </w:p>
    <w:p>
      <w:pPr>
        <w:pStyle w:val="Heading2"/>
      </w:pPr>
      <w:r>
        <w:rPr>
          <w:lang w:val="en_US" w:bidi="en_US"/>
        </w:rPr>
        <w:t>Luke 18:12</w:t>
      </w:r>
      <w:r>
        <w:rPr>
          <w:lang w:val="en_US" w:bidi="en_US"/>
        </w:rPr>
      </w:r>
    </w:p>
    <w:p>
      <w:pPr>
        <w:pStyle w:val="Heading4"/>
      </w:pPr>
      <w:r>
        <w:rPr>
          <w:lang w:val="en_US" w:bidi="en_US"/>
        </w:rPr>
        <w:t>Section 18:9–14: Jesus told a parable about praying in a humble way</w:t>
      </w:r>
    </w:p>
    <w:p>
      <w:pPr/>
      <w:r>
        <w:rPr>
          <w:lang w:val="en_US" w:bidi="en_US"/>
        </w:rPr>
      </w:r>
      <w:r>
        <w:rPr>
          <w:lang w:val="en_US" w:bidi="en_US"/>
        </w:rPr>
        <w:t>In this section Jesus told a parable about how to pray with an attitude that God will approve. Jesus told this parable especially for people who thought that they were already righteous and better than other people. The parable shows that God wants people to come before him humbly and ask for his forgiveness.</w:t>
      </w:r>
    </w:p>
    <w:p>
      <w:pPr/>
      <w:r>
        <w:rPr>
          <w:lang w:val="en_US" w:bidi="en_US"/>
        </w:rPr>
      </w:r>
      <w:r>
        <w:rPr>
          <w:lang w:val="en_US" w:bidi="en_US"/>
        </w:rPr>
        <w:t>Some examples of headings for this section are:</w:t>
      </w:r>
    </w:p>
    <w:p>
      <w:pPr/>
      <w:r>
        <w:rPr>
          <w:lang w:val="en_US" w:bidi="en_US"/>
        </w:rPr>
      </w:r>
      <w:r>
        <w:rPr>
          <w:lang w:val="en_US" w:bidi="en_US"/>
        </w:rPr>
        <w:t>The Parable of the Pharisee and the Tax Collector (GNT)</w:t>
      </w:r>
    </w:p>
    <w:p>
      <w:pPr/>
      <w:r>
        <w:rPr>
          <w:lang w:val="en_US" w:bidi="en_US"/>
        </w:rPr>
      </w:r>
      <w:r>
        <w:rPr>
          <w:lang w:val="en_US" w:bidi="en_US"/>
        </w:rPr>
        <w:t>Jesus told a story about two men who prayed</w:t>
      </w:r>
    </w:p>
    <w:p>
      <w:pPr/>
      <w:r>
        <w:rPr>
          <w:lang w:val="en_US" w:bidi="en_US"/>
        </w:rPr>
      </w:r>
      <w:r>
        <w:rPr>
          <w:lang w:val="en_US" w:bidi="en_US"/>
        </w:rPr>
        <w:t>This parable is only found in Luke.</w:t>
      </w:r>
    </w:p>
    <w:p>
      <w:pPr>
        <w:pStyle w:val="Heading5"/>
      </w:pPr>
      <w:r>
        <w:rPr>
          <w:lang w:val="en_US" w:bidi="en_US"/>
        </w:rPr>
        <w:t>18:12a</w:t>
      </w:r>
    </w:p>
    <w:p>
      <w:pPr/>
      <w:r>
        <w:rPr>
          <w:lang w:val="en_US" w:bidi="en_US"/>
        </w:rPr>
      </w:r>
      <w:r>
        <w:rPr>
          <w:b/>
          <w:lang w:val="en_US" w:bidi="en_US"/>
        </w:rPr>
        <w:t>I fast twice a week</w:t>
      </w:r>
    </w:p>
    <w:p>
      <w:pPr>
        <w:pStyle w:val="ListBullet"/>
        <w:spacing w:line="240" w:lineRule="auto"/>
        <w:ind w:left="720"/>
      </w:pPr>
      <w:r>
        <w:rPr>
          <w:lang w:val="en_US" w:bidi="en_US"/>
        </w:rPr>
      </w:r>
      <w:r>
        <w:rPr>
          <w:lang w:val="en_US" w:bidi="en_US"/>
        </w:rPr>
        <w:t xml:space="preserve">I </w:t>
      </w:r>
      <w:r>
        <w:rPr>
          <w:lang w:val="en_US" w:bidi="en_US"/>
        </w:rPr>
        <w:t>choose to</w:t>
      </w:r>
      <w:r>
        <w:rPr>
          <w:lang w:val="en_US" w:bidi="en_US"/>
        </w:rPr>
        <w:t xml:space="preserve"> fast two days out of every seven,</w:t>
      </w:r>
    </w:p>
    <w:p>
      <w:pPr>
        <w:pStyle w:val="ListBullet"/>
        <w:spacing w:line="240" w:lineRule="auto"/>
        <w:ind w:left="720"/>
      </w:pPr>
      <w:r>
        <w:rPr>
          <w:lang w:val="en_US" w:bidi="en_US"/>
        </w:rPr>
      </w:r>
      <w:r>
        <w:rPr>
          <w:lang w:val="en_US" w:bidi="en_US"/>
        </w:rPr>
        <w:t xml:space="preserve">I go without food two times a week </w:t>
      </w:r>
      <w:r>
        <w:rPr>
          <w:lang w:val="en_US" w:bidi="en_US"/>
        </w:rPr>
        <w:t>in order to worship you</w:t>
      </w:r>
      <w:r>
        <w:rPr>
          <w:vertAlign w:val="superscript"/>
          <w:lang w:val="en_US" w:bidi="en_US"/>
        </w:rPr>
        <w:t>(sing)</w:t>
      </w:r>
      <w:r>
        <w:rPr>
          <w:lang w:val="en_US" w:bidi="en_US"/>
        </w:rPr>
        <w:t>.</w:t>
      </w:r>
    </w:p>
    <w:p>
      <w:pPr/>
      <w:r>
        <w:rPr>
          <w:lang w:val="en_US" w:bidi="en_US"/>
        </w:rPr>
      </w:r>
      <w:r>
        <w:rPr>
          <w:lang w:val="en_US" w:bidi="en_US"/>
        </w:rPr>
        <w:t>In this verse the Pharisee continued to list things about his own character and actions for which he thanked God. Here he mentioned good things that he did. These things contrast with the sins that he did not do, which are mentioned in 18:11. In some languages it may be necessary to introduce this contrast in some way. For example:</w:t>
      </w:r>
    </w:p>
    <w:p>
      <w:pPr/>
      <w:r>
        <w:rPr>
          <w:lang w:val="en_US" w:bidi="en_US"/>
        </w:rPr>
      </w:r>
      <w:r>
        <w:rPr>
          <w:lang w:val="en_US" w:bidi="en_US"/>
        </w:rPr>
        <w:t>On the contrary</w:t>
      </w:r>
    </w:p>
    <w:p>
      <w:pPr/>
      <w:r>
        <w:rPr>
          <w:lang w:val="en_US" w:bidi="en_US"/>
        </w:rPr>
      </w:r>
      <w:r>
        <w:rPr>
          <w:lang w:val="en_US" w:bidi="en_US"/>
        </w:rPr>
        <w:t>Instead</w:t>
      </w:r>
    </w:p>
    <w:p>
      <w:pPr/>
      <w:r>
        <w:rPr>
          <w:lang w:val="en_US" w:bidi="en_US"/>
        </w:rPr>
      </w:r>
      <w:r>
        <w:rPr>
          <w:lang w:val="en_US" w:bidi="en_US"/>
        </w:rPr>
        <w:t>Jesus stopped quoting the Pharisee’s prayer at the end of this verse. See the General Comment on 18:12b for a translation suggestion.</w:t>
      </w:r>
    </w:p>
    <w:p>
      <w:pPr/>
      <w:r>
        <w:rPr>
          <w:lang w:val="en_US" w:bidi="en_US"/>
        </w:rPr>
      </w:r>
      <w:r>
        <w:rPr>
          <w:b/>
          <w:lang w:val="en_US" w:bidi="en_US"/>
        </w:rPr>
        <w:t>I fast twice a week:</w:t>
      </w:r>
      <w:r>
        <w:rPr>
          <w:lang w:val="en_US" w:bidi="en_US"/>
        </w:rPr>
        <w:t xml:space="preserve"> The Greek word that the BSB translates as </w:t>
      </w:r>
      <w:r>
        <w:rPr>
          <w:i/>
          <w:lang w:val="en_US" w:bidi="en_US"/>
        </w:rPr>
        <w:t>fast</w:t>
      </w:r>
      <w:r>
        <w:rPr>
          <w:lang w:val="en_US" w:bidi="en_US"/>
        </w:rPr>
        <w:t xml:space="preserve"> means “to choose not to eat or drink for a certain time.” The Pharisees fasted for religious reasons. The phrase </w:t>
      </w:r>
      <w:r>
        <w:rPr>
          <w:i/>
          <w:lang w:val="en_US" w:bidi="en_US"/>
        </w:rPr>
        <w:t>I fast twice a week</w:t>
      </w:r>
      <w:r>
        <w:rPr>
          <w:lang w:val="en_US" w:bidi="en_US"/>
        </w:rPr>
        <w:t xml:space="preserve"> indicates that on two days of the week, the Pharisee did not eat or drink anything. These “days” were two different periods of twenty-four hours, from one sunset to the next sunset.</w:t>
      </w:r>
      <w:r>
        <w:rPr>
          <w:lang w:val="en_US" w:bidi="en_US"/>
        </w:rPr>
        <w:t>Neusner and Green, Volume 1, p. 224.</w:t>
      </w:r>
    </w:p>
    <w:p>
      <w:pPr/>
      <w:r>
        <w:rPr>
          <w:lang w:val="en_US" w:bidi="en_US"/>
        </w:rPr>
      </w:r>
      <w:r>
        <w:rPr>
          <w:lang w:val="en_US" w:bidi="en_US"/>
        </w:rPr>
        <w:t xml:space="preserve">The Old Testament laws required a Jew to fast only one day in the year, on the Day of Atonement (Leviticus 16:29). The Pharisee implied that he fasted much more than the law required. Some ways to translate </w:t>
      </w:r>
      <w:r>
        <w:rPr>
          <w:i/>
          <w:lang w:val="en_US" w:bidi="en_US"/>
        </w:rPr>
        <w:t>I fast twice a week</w:t>
      </w:r>
      <w:r>
        <w:rPr>
          <w:lang w:val="en_US" w:bidi="en_US"/>
        </w:rPr>
        <w:t xml:space="preserve"> are:</w:t>
      </w:r>
    </w:p>
    <w:p>
      <w:pPr/>
      <w:r>
        <w:rPr>
          <w:lang w:val="en_US" w:bidi="en_US"/>
        </w:rPr>
      </w:r>
      <w:r>
        <w:rPr>
          <w:lang w:val="en_US" w:bidi="en_US"/>
        </w:rPr>
        <w:t>For two days each week I do not eat or drink</w:t>
      </w:r>
    </w:p>
    <w:p>
      <w:pPr/>
      <w:r>
        <w:rPr>
          <w:lang w:val="en_US" w:bidi="en_US"/>
        </w:rPr>
      </w:r>
      <w:r>
        <w:rPr>
          <w:lang w:val="en_US" w:bidi="en_US"/>
        </w:rPr>
        <w:t xml:space="preserve">I abstain from food for two days a week </w:t>
      </w:r>
      <w:r>
        <w:rPr>
          <w:lang w:val="en_US" w:bidi="en_US"/>
        </w:rPr>
        <w:t>to pray</w:t>
      </w:r>
    </w:p>
    <w:p>
      <w:pPr/>
      <w:r>
        <w:rPr>
          <w:lang w:val="en_US" w:bidi="en_US"/>
        </w:rPr>
      </w:r>
      <w:r>
        <w:rPr>
          <w:lang w:val="en_US" w:bidi="en_US"/>
        </w:rPr>
        <w:t xml:space="preserve">The word </w:t>
      </w:r>
      <w:r>
        <w:rPr>
          <w:i/>
          <w:lang w:val="en_US" w:bidi="en_US"/>
        </w:rPr>
        <w:t>fast</w:t>
      </w:r>
      <w:r>
        <w:rPr>
          <w:lang w:val="en_US" w:bidi="en_US"/>
        </w:rPr>
        <w:t xml:space="preserve"> also occurred in 5:33. See how you translated it there.</w:t>
      </w:r>
    </w:p>
    <w:p>
      <w:pPr>
        <w:pStyle w:val="Heading5"/>
      </w:pPr>
      <w:r>
        <w:rPr>
          <w:lang w:val="en_US" w:bidi="en_US"/>
        </w:rPr>
        <w:t>18:12b</w:t>
      </w:r>
    </w:p>
    <w:p>
      <w:pPr/>
      <w:r>
        <w:rPr>
          <w:lang w:val="en_US" w:bidi="en_US"/>
        </w:rPr>
      </w:r>
      <w:r>
        <w:rPr>
          <w:b/>
          <w:lang w:val="en_US" w:bidi="en_US"/>
        </w:rPr>
        <w:t>and pay tithes of all that I acquire.’</w:t>
      </w:r>
    </w:p>
    <w:p>
      <w:pPr>
        <w:pStyle w:val="ListBullet"/>
        <w:spacing w:line="240" w:lineRule="auto"/>
        <w:ind w:left="720"/>
      </w:pPr>
      <w:r>
        <w:rPr>
          <w:lang w:val="en_US" w:bidi="en_US"/>
        </w:rPr>
      </w:r>
      <w:r>
        <w:rPr>
          <w:lang w:val="en_US" w:bidi="en_US"/>
        </w:rPr>
        <w:t xml:space="preserve">and I give </w:t>
      </w:r>
      <w:r>
        <w:rPr>
          <w:lang w:val="en_US" w:bidi="en_US"/>
        </w:rPr>
        <w:t>to you</w:t>
      </w:r>
      <w:r>
        <w:rPr>
          <w:vertAlign w:val="superscript"/>
          <w:lang w:val="en_US" w:bidi="en_US"/>
        </w:rPr>
        <w:t>(sing)</w:t>
      </w:r>
      <w:r>
        <w:rPr>
          <w:lang w:val="en_US" w:bidi="en_US"/>
        </w:rPr>
        <w:t xml:space="preserve"> a tenth of everything I receive.’</w:t>
      </w:r>
    </w:p>
    <w:p>
      <w:pPr>
        <w:pStyle w:val="ListBullet"/>
        <w:spacing w:line="240" w:lineRule="auto"/>
        <w:ind w:left="720"/>
      </w:pPr>
      <w:r>
        <w:rPr>
          <w:lang w:val="en_US" w:bidi="en_US"/>
        </w:rPr>
      </w:r>
      <w:r>
        <w:rPr>
          <w:lang w:val="en_US" w:bidi="en_US"/>
        </w:rPr>
        <w:t>I also divide everything I get into ten parts and donate one of the parts to your</w:t>
      </w:r>
      <w:r>
        <w:rPr>
          <w:vertAlign w:val="superscript"/>
          <w:lang w:val="en_US" w:bidi="en_US"/>
        </w:rPr>
        <w:t>(sing)</w:t>
      </w:r>
      <w:r>
        <w:rPr>
          <w:lang w:val="en_US" w:bidi="en_US"/>
        </w:rPr>
        <w:t xml:space="preserve"> </w:t>
      </w:r>
      <w:r>
        <w:rPr>
          <w:lang w:val="en_US" w:bidi="en_US"/>
        </w:rPr>
        <w:t>work/service</w:t>
      </w:r>
      <w:r>
        <w:rPr>
          <w:lang w:val="en_US" w:bidi="en_US"/>
        </w:rPr>
        <w:t>.’</w:t>
      </w:r>
    </w:p>
    <w:p>
      <w:pPr/>
      <w:r>
        <w:rPr>
          <w:lang w:val="en_US" w:bidi="en_US"/>
        </w:rPr>
      </w:r>
      <w:r>
        <w:rPr>
          <w:b/>
          <w:lang w:val="en_US" w:bidi="en_US"/>
        </w:rPr>
        <w:t>and pay tithes of all that I acquire:</w:t>
      </w:r>
      <w:r>
        <w:rPr>
          <w:lang w:val="en_US" w:bidi="en_US"/>
        </w:rPr>
        <w:t xml:space="preserve"> The Greek verb that the BSB translates as </w:t>
      </w:r>
      <w:r>
        <w:rPr>
          <w:i/>
          <w:lang w:val="en_US" w:bidi="en_US"/>
        </w:rPr>
        <w:t>pay tithes of all that I acquire</w:t>
      </w:r>
      <w:r>
        <w:rPr>
          <w:lang w:val="en_US" w:bidi="en_US"/>
        </w:rPr>
        <w:t xml:space="preserve"> can also be translated as “give a tenth” (as in the NIV). The Old Testament laws required Jews to give to God a tenth of what they gained from their cultivated fields (Deuteronomy 14:22).</w:t>
      </w:r>
    </w:p>
    <w:p>
      <w:pPr/>
      <w:r>
        <w:rPr>
          <w:lang w:val="en_US" w:bidi="en_US"/>
        </w:rPr>
      </w:r>
      <w:r>
        <w:rPr>
          <w:lang w:val="en_US" w:bidi="en_US"/>
        </w:rPr>
        <w:t>As in 18:12a, the Pharisee implied that he did more than the law required him to do. He gave to God a tenth of everything he received. To give a tenth to God is to take one thing/part out of every ten things/parts and give it to God. Another way to translate this is:</w:t>
      </w:r>
    </w:p>
    <w:p>
      <w:pPr/>
      <w:r>
        <w:rPr>
          <w:lang w:val="en_US" w:bidi="en_US"/>
        </w:rPr>
      </w:r>
      <w:r>
        <w:rPr>
          <w:lang w:val="en_US" w:bidi="en_US"/>
        </w:rPr>
        <w:t>I divide all I receive into ten parts and give one part to you.</w:t>
      </w:r>
    </w:p>
    <w:p>
      <w:pPr/>
      <w:r>
        <w:rPr>
          <w:lang w:val="en_US" w:bidi="en_US"/>
        </w:rPr>
      </w:r>
      <w:r>
        <w:rPr>
          <w:lang w:val="en_US" w:bidi="en_US"/>
        </w:rPr>
        <w:t>This practice was also mentioned in 11:42. See how you translated it there.</w:t>
      </w:r>
    </w:p>
    <w:p>
      <w:pPr>
        <w:pStyle w:val="Heading6"/>
      </w:pPr>
      <w:r>
        <w:rPr>
          <w:b/>
          <w:lang w:val="en_US" w:bidi="en_US"/>
        </w:rPr>
        <w:t>General Comment on 18:12b</w:t>
      </w:r>
    </w:p>
    <w:p>
      <w:pPr/>
      <w:r>
        <w:rPr>
          <w:lang w:val="en_US" w:bidi="en_US"/>
        </w:rPr>
      </w:r>
      <w:r>
        <w:rPr>
          <w:lang w:val="en_US" w:bidi="en_US"/>
        </w:rPr>
        <w:t>At the end of this verse Jesus stopped quoting what the Pharisee said in his prayer. In some languages it may be necessary to indicate in some way that the prayer has ended. For example:</w:t>
      </w:r>
    </w:p>
    <w:p>
      <w:pPr/>
      <w:r>
        <w:rPr>
          <w:lang w:val="en_US" w:bidi="en_US"/>
        </w:rPr>
      </w:r>
      <w:r>
        <w:rPr>
          <w:lang w:val="en_US" w:bidi="en_US"/>
        </w:rPr>
        <w:t xml:space="preserve">“…and give a tenth of all I get.” </w:t>
      </w:r>
      <w:r>
        <w:rPr>
          <w:lang w:val="en_US" w:bidi="en_US"/>
        </w:rPr>
        <w:t>That is what the Pharisee prayed.</w:t>
      </w:r>
      <w:r>
        <w:rPr>
          <w:lang w:val="en_US" w:bidi="en_US"/>
        </w:rPr>
      </w:r>
      <w:r>
        <w:rPr>
          <w:lang w:val="en_US" w:bidi="en_US"/>
        </w:rPr>
      </w:r>
    </w:p>
    <w:p>
      <w:pPr/>
      <w:r>
        <w:rPr>
          <w:lang w:val="en_US" w:bidi="en_US"/>
        </w:rPr>
      </w:r>
    </w:p>
    <w:p>
      <w:pPr>
        <w:pStyle w:val="Heading2"/>
      </w:pPr>
      <w:r>
        <w:rPr>
          <w:lang w:val="en_US" w:bidi="en_US"/>
        </w:rPr>
        <w:t>Luke 18:13</w:t>
      </w:r>
      <w:r>
        <w:rPr>
          <w:lang w:val="en_US" w:bidi="en_US"/>
        </w:rPr>
      </w:r>
    </w:p>
    <w:p>
      <w:pPr>
        <w:pStyle w:val="Heading4"/>
      </w:pPr>
      <w:r>
        <w:rPr>
          <w:lang w:val="en_US" w:bidi="en_US"/>
        </w:rPr>
        <w:t>Section 18:9–14: Jesus told a parable about praying in a humble way</w:t>
      </w:r>
    </w:p>
    <w:p>
      <w:pPr/>
      <w:r>
        <w:rPr>
          <w:lang w:val="en_US" w:bidi="en_US"/>
        </w:rPr>
      </w:r>
      <w:r>
        <w:rPr>
          <w:lang w:val="en_US" w:bidi="en_US"/>
        </w:rPr>
        <w:t>In this section Jesus told a parable about how to pray with an attitude that God will approve. Jesus told this parable especially for people who thought that they were already righteous and better than other people. The parable shows that God wants people to come before him humbly and ask for his forgiveness.</w:t>
      </w:r>
    </w:p>
    <w:p>
      <w:pPr/>
      <w:r>
        <w:rPr>
          <w:lang w:val="en_US" w:bidi="en_US"/>
        </w:rPr>
      </w:r>
      <w:r>
        <w:rPr>
          <w:lang w:val="en_US" w:bidi="en_US"/>
        </w:rPr>
        <w:t>Some examples of headings for this section are:</w:t>
      </w:r>
    </w:p>
    <w:p>
      <w:pPr/>
      <w:r>
        <w:rPr>
          <w:lang w:val="en_US" w:bidi="en_US"/>
        </w:rPr>
      </w:r>
      <w:r>
        <w:rPr>
          <w:lang w:val="en_US" w:bidi="en_US"/>
        </w:rPr>
        <w:t>The Parable of the Pharisee and the Tax Collector (GNT)</w:t>
      </w:r>
    </w:p>
    <w:p>
      <w:pPr/>
      <w:r>
        <w:rPr>
          <w:lang w:val="en_US" w:bidi="en_US"/>
        </w:rPr>
      </w:r>
      <w:r>
        <w:rPr>
          <w:lang w:val="en_US" w:bidi="en_US"/>
        </w:rPr>
        <w:t>Jesus told a story about two men who prayed</w:t>
      </w:r>
    </w:p>
    <w:p>
      <w:pPr/>
      <w:r>
        <w:rPr>
          <w:lang w:val="en_US" w:bidi="en_US"/>
        </w:rPr>
      </w:r>
      <w:r>
        <w:rPr>
          <w:lang w:val="en_US" w:bidi="en_US"/>
        </w:rPr>
        <w:t>This parable is only found in Luke.</w:t>
      </w:r>
    </w:p>
    <w:p>
      <w:pPr>
        <w:pStyle w:val="Heading5"/>
      </w:pPr>
      <w:r>
        <w:rPr>
          <w:lang w:val="en_US" w:bidi="en_US"/>
        </w:rPr>
        <w:t>18:13a</w:t>
      </w:r>
    </w:p>
    <w:p>
      <w:pPr/>
      <w:r>
        <w:rPr>
          <w:lang w:val="en_US" w:bidi="en_US"/>
        </w:rPr>
      </w:r>
      <w:r>
        <w:rPr>
          <w:b/>
          <w:lang w:val="en_US" w:bidi="en_US"/>
        </w:rPr>
        <w:t>But the tax collector stood at a distance,</w:t>
      </w:r>
    </w:p>
    <w:p>
      <w:pPr>
        <w:pStyle w:val="ListBullet"/>
        <w:spacing w:line="240" w:lineRule="auto"/>
        <w:ind w:left="720"/>
      </w:pPr>
      <w:r>
        <w:rPr>
          <w:lang w:val="en_US" w:bidi="en_US"/>
        </w:rPr>
      </w:r>
      <w:r>
        <w:rPr>
          <w:lang w:val="en_US" w:bidi="en_US"/>
        </w:rPr>
        <w:t>But the tax collector stood some distance away.</w:t>
      </w:r>
    </w:p>
    <w:p>
      <w:pPr>
        <w:pStyle w:val="ListBullet"/>
        <w:spacing w:line="240" w:lineRule="auto"/>
        <w:ind w:left="720"/>
      </w:pPr>
      <w:r>
        <w:rPr>
          <w:lang w:val="en_US" w:bidi="en_US"/>
        </w:rPr>
      </w:r>
      <w:r>
        <w:rPr>
          <w:lang w:val="en_US" w:bidi="en_US"/>
        </w:rPr>
        <w:t>As the Pharisee was praying,</w:t>
      </w:r>
      <w:r>
        <w:rPr>
          <w:lang w:val="en_US" w:bidi="en_US"/>
        </w:rPr>
        <w:t xml:space="preserve"> the tax collector stood </w:t>
      </w:r>
      <w:r>
        <w:rPr>
          <w:lang w:val="en_US" w:bidi="en_US"/>
        </w:rPr>
        <w:t>humbly</w:t>
      </w:r>
      <w:r>
        <w:rPr>
          <w:lang w:val="en_US" w:bidi="en_US"/>
        </w:rPr>
        <w:t xml:space="preserve"> away </w:t>
      </w:r>
      <w:r>
        <w:rPr>
          <w:lang w:val="en_US" w:bidi="en_US"/>
        </w:rPr>
        <w:t>from the other worshipers there</w:t>
      </w:r>
      <w:r>
        <w:rPr>
          <w:lang w:val="en_US" w:bidi="en_US"/>
        </w:rPr>
        <w:t>.</w:t>
      </w:r>
    </w:p>
    <w:p>
      <w:pPr>
        <w:pStyle w:val="ListBullet"/>
        <w:spacing w:line="240" w:lineRule="auto"/>
        <w:ind w:left="720"/>
      </w:pPr>
      <w:r>
        <w:rPr>
          <w:lang w:val="en_US" w:bidi="en_US"/>
        </w:rPr>
      </w:r>
      <w:r>
        <w:rPr>
          <w:lang w:val="en_US" w:bidi="en_US"/>
        </w:rPr>
        <w:t>Meanwhile, the person who collected money stood at a distance</w:t>
      </w:r>
    </w:p>
    <w:p>
      <w:pPr/>
      <w:r>
        <w:rPr>
          <w:lang w:val="en_US" w:bidi="en_US"/>
        </w:rPr>
      </w:r>
      <w:r>
        <w:rPr>
          <w:b/>
          <w:lang w:val="en_US" w:bidi="en_US"/>
        </w:rPr>
        <w:t>But:</w:t>
      </w:r>
      <w:r>
        <w:rPr>
          <w:lang w:val="en_US" w:bidi="en_US"/>
        </w:rPr>
        <w:t xml:space="preserve"> The tax collector’s prayer in this verse contrasts with the Pharisee’s prayer in 18:11–12. The BSB has introduced this contrast with the conjunction </w:t>
      </w:r>
      <w:r>
        <w:rPr>
          <w:i/>
          <w:lang w:val="en_US" w:bidi="en_US"/>
        </w:rPr>
        <w:t>But</w:t>
      </w:r>
      <w:r>
        <w:rPr>
          <w:lang w:val="en_US" w:bidi="en_US"/>
        </w:rPr>
        <w:t>. Some English versions do not have a conjunction. Translate the contrast in a natural way in your language.</w:t>
      </w:r>
    </w:p>
    <w:p>
      <w:pPr/>
      <w:r>
        <w:rPr>
          <w:lang w:val="en_US" w:bidi="en_US"/>
        </w:rPr>
      </w:r>
      <w:r>
        <w:rPr>
          <w:b/>
          <w:lang w:val="en_US" w:bidi="en_US"/>
        </w:rPr>
        <w:t>the tax collector stood at a distance:</w:t>
      </w:r>
      <w:r>
        <w:rPr>
          <w:lang w:val="en_US" w:bidi="en_US"/>
        </w:rPr>
        <w:t xml:space="preserve"> The phrase </w:t>
      </w:r>
      <w:r>
        <w:rPr>
          <w:i/>
          <w:lang w:val="en_US" w:bidi="en_US"/>
        </w:rPr>
        <w:t>at a distance</w:t>
      </w:r>
      <w:r>
        <w:rPr>
          <w:lang w:val="en_US" w:bidi="en_US"/>
        </w:rPr>
        <w:t xml:space="preserve"> indicates that the tax collector stood away from the Pharisee and probably also from the other people who were praying.</w:t>
      </w:r>
      <w:r>
        <w:rPr>
          <w:lang w:val="en_US" w:bidi="en_US"/>
        </w:rPr>
        <w:t>It is also possible that the phrase refers to standing far from the most holy place of the temple. See Hultgren, pp. 123–24.</w:t>
      </w:r>
      <w:r>
        <w:rPr>
          <w:lang w:val="en_US" w:bidi="en_US"/>
        </w:rPr>
        <w:t xml:space="preserve"> The tax collector was probably in an outer court of the temple, but in a place where the Pharisee could still see him.</w:t>
      </w:r>
    </w:p>
    <w:p>
      <w:pPr/>
      <w:r>
        <w:rPr>
          <w:lang w:val="en_US" w:bidi="en_US"/>
        </w:rPr>
      </w:r>
      <w:r>
        <w:rPr>
          <w:lang w:val="en_US" w:bidi="en_US"/>
        </w:rPr>
        <w:t xml:space="preserve">In some languages it may be necessary to translate </w:t>
      </w:r>
      <w:r>
        <w:rPr>
          <w:i/>
          <w:lang w:val="en_US" w:bidi="en_US"/>
        </w:rPr>
        <w:t>at a distance</w:t>
      </w:r>
      <w:r>
        <w:rPr>
          <w:lang w:val="en_US" w:bidi="en_US"/>
        </w:rPr>
        <w:t xml:space="preserve"> more specifically. For example:</w:t>
      </w:r>
    </w:p>
    <w:p>
      <w:pPr/>
      <w:r>
        <w:rPr>
          <w:lang w:val="en_US" w:bidi="en_US"/>
        </w:rPr>
      </w:r>
      <w:r>
        <w:rPr>
          <w:lang w:val="en_US" w:bidi="en_US"/>
        </w:rPr>
        <w:t xml:space="preserve">at a distance </w:t>
      </w:r>
      <w:r>
        <w:rPr>
          <w:lang w:val="en_US" w:bidi="en_US"/>
        </w:rPr>
        <w:t>from other people</w:t>
      </w:r>
    </w:p>
    <w:p>
      <w:pPr/>
      <w:r>
        <w:rPr>
          <w:lang w:val="en_US" w:bidi="en_US"/>
        </w:rPr>
      </w:r>
      <w:r>
        <w:rPr>
          <w:lang w:val="en_US" w:bidi="en_US"/>
        </w:rPr>
        <w:t xml:space="preserve">far </w:t>
      </w:r>
      <w:r>
        <w:rPr>
          <w:lang w:val="en_US" w:bidi="en_US"/>
        </w:rPr>
        <w:t>from the Pharisee</w:t>
      </w:r>
    </w:p>
    <w:p>
      <w:pPr/>
      <w:r>
        <w:rPr>
          <w:lang w:val="en_US" w:bidi="en_US"/>
        </w:rPr>
      </w:r>
      <w:r>
        <w:rPr>
          <w:lang w:val="en_US" w:bidi="en_US"/>
        </w:rPr>
        <w:t>The tax collector was standing far from other people because he knew that he was a sinner. He felt unworthy to come nearer to them. In some languages it may be necessary to make this explicit. For example:</w:t>
      </w:r>
    </w:p>
    <w:p>
      <w:pPr/>
      <w:r>
        <w:rPr>
          <w:lang w:val="en_US" w:bidi="en_US"/>
        </w:rPr>
      </w:r>
      <w:r>
        <w:rPr>
          <w:lang w:val="en_US" w:bidi="en_US"/>
        </w:rPr>
        <w:t xml:space="preserve">The tax collector stood </w:t>
      </w:r>
      <w:r>
        <w:rPr>
          <w:lang w:val="en_US" w:bidi="en_US"/>
        </w:rPr>
        <w:t>humbly</w:t>
      </w:r>
      <w:r>
        <w:rPr>
          <w:lang w:val="en_US" w:bidi="en_US"/>
        </w:rPr>
        <w:t xml:space="preserve"> apart </w:t>
      </w:r>
      <w:r>
        <w:rPr>
          <w:lang w:val="en_US" w:bidi="en_US"/>
        </w:rPr>
        <w:t>from other people</w:t>
      </w:r>
    </w:p>
    <w:p>
      <w:pPr>
        <w:pStyle w:val="Heading5"/>
      </w:pPr>
      <w:r>
        <w:rPr>
          <w:lang w:val="en_US" w:bidi="en_US"/>
        </w:rPr>
        <w:t>18:13b</w:t>
      </w:r>
    </w:p>
    <w:p>
      <w:pPr/>
      <w:r>
        <w:rPr>
          <w:lang w:val="en_US" w:bidi="en_US"/>
        </w:rPr>
      </w:r>
      <w:r>
        <w:rPr>
          <w:b/>
          <w:lang w:val="en_US" w:bidi="en_US"/>
        </w:rPr>
        <w:t>unwilling even to lift up his eyes to heaven.</w:t>
      </w:r>
    </w:p>
    <w:p>
      <w:pPr>
        <w:pStyle w:val="ListBullet"/>
        <w:spacing w:line="240" w:lineRule="auto"/>
        <w:ind w:left="720"/>
      </w:pPr>
      <w:r>
        <w:rPr>
          <w:lang w:val="en_US" w:bidi="en_US"/>
        </w:rPr>
      </w:r>
      <w:r>
        <w:rPr>
          <w:lang w:val="en_US" w:bidi="en_US"/>
        </w:rPr>
        <w:t>He would not even raise his eyes/head toward heaven.</w:t>
      </w:r>
    </w:p>
    <w:p>
      <w:pPr>
        <w:pStyle w:val="ListBullet"/>
        <w:spacing w:line="240" w:lineRule="auto"/>
        <w:ind w:left="720"/>
      </w:pPr>
      <w:r>
        <w:rPr>
          <w:lang w:val="en_US" w:bidi="en_US"/>
        </w:rPr>
      </w:r>
      <w:r>
        <w:rPr>
          <w:lang w:val="en_US" w:bidi="en_US"/>
        </w:rPr>
        <w:t xml:space="preserve">He did not </w:t>
      </w:r>
      <w:r>
        <w:rPr>
          <w:lang w:val="en_US" w:bidi="en_US"/>
        </w:rPr>
        <w:t>feel worthy to</w:t>
      </w:r>
      <w:r>
        <w:rPr>
          <w:lang w:val="en_US" w:bidi="en_US"/>
        </w:rPr>
        <w:t xml:space="preserve"> look up toward </w:t>
      </w:r>
      <w:r>
        <w:rPr>
          <w:lang w:val="en_US" w:bidi="en_US"/>
        </w:rPr>
        <w:t>God in</w:t>
      </w:r>
      <w:r>
        <w:rPr>
          <w:lang w:val="en_US" w:bidi="en_US"/>
        </w:rPr>
        <w:t xml:space="preserve"> heaven,</w:t>
      </w:r>
    </w:p>
    <w:p>
      <w:pPr>
        <w:pStyle w:val="ListBullet"/>
        <w:spacing w:line="240" w:lineRule="auto"/>
        <w:ind w:left="720"/>
      </w:pPr>
      <w:r>
        <w:rPr>
          <w:lang w:val="en_US" w:bidi="en_US"/>
        </w:rPr>
      </w:r>
      <w:r>
        <w:rPr>
          <w:lang w:val="en_US" w:bidi="en_US"/>
        </w:rPr>
        <w:t>with his head bowed/down.</w:t>
      </w:r>
    </w:p>
    <w:p>
      <w:pPr/>
      <w:r>
        <w:rPr>
          <w:lang w:val="en_US" w:bidi="en_US"/>
        </w:rPr>
      </w:r>
      <w:r>
        <w:rPr>
          <w:b/>
          <w:lang w:val="en_US" w:bidi="en_US"/>
        </w:rPr>
        <w:t>unwilling even to lift up his eyes to heaven:</w:t>
      </w:r>
      <w:r>
        <w:rPr>
          <w:lang w:val="en_US" w:bidi="en_US"/>
        </w:rPr>
        <w:t xml:space="preserve"> The Greek phrase that the BSB translates literally as </w:t>
      </w:r>
      <w:r>
        <w:rPr>
          <w:i/>
          <w:lang w:val="en_US" w:bidi="en_US"/>
        </w:rPr>
        <w:t>unwilling even to lift up his eyes to heaven</w:t>
      </w:r>
      <w:r>
        <w:rPr>
          <w:lang w:val="en_US" w:bidi="en_US"/>
        </w:rPr>
        <w:t xml:space="preserve"> is a common expression that often simply means “looked” (as in 16:23). In this context, it refers to looking upward toward the sky. Jews often looked toward the sky when they prayed to God. In that context the sky was a symbol of God’s dwelling place.</w:t>
      </w:r>
    </w:p>
    <w:p>
      <w:pPr/>
      <w:r>
        <w:rPr>
          <w:lang w:val="en_US" w:bidi="en_US"/>
        </w:rPr>
      </w:r>
      <w:r>
        <w:rPr>
          <w:lang w:val="en_US" w:bidi="en_US"/>
        </w:rPr>
        <w:t>The tax collector did not want to look up, because he was ashamed. He knew that he had sinned against God and he did not feel worthy even to look up toward him.</w:t>
      </w:r>
      <w:r>
        <w:rPr>
          <w:lang w:val="en_US" w:bidi="en_US"/>
        </w:rPr>
        <w:t>The meaning of this action is stated explicitly in 1 Enoch 13:5: “For from thence forward they could not speak (with Him) nor lift up their eyes to heaven for shame of their sins for which they had been condemned.” (http:www.pseudepigrapha.com/pseudepigrapha/enoch.htm#CH13)</w:t>
      </w:r>
      <w:r>
        <w:rPr>
          <w:lang w:val="en_US" w:bidi="en_US"/>
        </w:rPr>
        <w:t xml:space="preserve"> Some other ways to translate this are:</w:t>
      </w:r>
    </w:p>
    <w:p>
      <w:pPr/>
      <w:r>
        <w:rPr>
          <w:lang w:val="en_US" w:bidi="en_US"/>
        </w:rPr>
      </w:r>
      <w:r>
        <w:rPr>
          <w:lang w:val="en_US" w:bidi="en_US"/>
        </w:rPr>
        <w:t>and would not even raise his face to heaven (GNT)</w:t>
      </w:r>
    </w:p>
    <w:p>
      <w:pPr/>
      <w:r>
        <w:rPr>
          <w:lang w:val="en_US" w:bidi="en_US"/>
        </w:rPr>
      </w:r>
      <w:r>
        <w:rPr>
          <w:lang w:val="en_US" w:bidi="en_US"/>
        </w:rPr>
        <w:t>and did not feel worthy to even look toward heaven</w:t>
      </w:r>
    </w:p>
    <w:p>
      <w:pPr/>
      <w:r>
        <w:rPr>
          <w:lang w:val="en_US" w:bidi="en_US"/>
        </w:rPr>
      </w:r>
      <w:r>
        <w:rPr>
          <w:lang w:val="en_US" w:bidi="en_US"/>
        </w:rPr>
        <w:t>he thought, “I am unworthy to look up to heaven/God.”</w:t>
      </w:r>
    </w:p>
    <w:p>
      <w:pPr/>
      <w:r>
        <w:rPr>
          <w:lang w:val="en_US" w:bidi="en_US"/>
        </w:rPr>
      </w:r>
      <w:r>
        <w:rPr>
          <w:lang w:val="en_US" w:bidi="en_US"/>
        </w:rPr>
        <w:t>In some languages it may be more natural to translate the meaning by saying that he looked down. For example:</w:t>
      </w:r>
    </w:p>
    <w:p>
      <w:pPr/>
      <w:r>
        <w:rPr>
          <w:lang w:val="en_US" w:bidi="en_US"/>
        </w:rPr>
      </w:r>
      <w:r>
        <w:rPr>
          <w:lang w:val="en_US" w:bidi="en_US"/>
        </w:rPr>
        <w:t>he kept his head down/bowed</w:t>
      </w:r>
    </w:p>
    <w:p>
      <w:pPr/>
      <w:r>
        <w:rPr>
          <w:lang w:val="en_US" w:bidi="en_US"/>
        </w:rPr>
      </w:r>
      <w:r>
        <w:rPr>
          <w:b/>
          <w:lang w:val="en_US" w:bidi="en_US"/>
        </w:rPr>
        <w:t>lift up his eyes to heaven:</w:t>
      </w:r>
      <w:r>
        <w:rPr>
          <w:lang w:val="en_US" w:bidi="en_US"/>
        </w:rPr>
        <w:t xml:space="preserve"> The Greek word that the BSB translates as </w:t>
      </w:r>
      <w:r>
        <w:rPr>
          <w:i/>
          <w:lang w:val="en_US" w:bidi="en_US"/>
        </w:rPr>
        <w:t>heaven</w:t>
      </w:r>
      <w:r>
        <w:rPr>
          <w:lang w:val="en_US" w:bidi="en_US"/>
        </w:rPr>
        <w:t xml:space="preserve"> here refers to the sky as a symbol of God’s dwelling place.</w:t>
      </w:r>
    </w:p>
    <w:p>
      <w:pPr/>
      <w:r>
        <w:rPr>
          <w:lang w:val="en_US" w:bidi="en_US"/>
        </w:rPr>
      </w:r>
      <w:r>
        <w:rPr>
          <w:lang w:val="en_US" w:bidi="en_US"/>
        </w:rPr>
        <w:t xml:space="preserve">Since the tax collector would not look upward, you could translate the word </w:t>
      </w:r>
      <w:r>
        <w:rPr>
          <w:i/>
          <w:lang w:val="en_US" w:bidi="en_US"/>
        </w:rPr>
        <w:t>heaven</w:t>
      </w:r>
      <w:r>
        <w:rPr>
          <w:lang w:val="en_US" w:bidi="en_US"/>
        </w:rPr>
        <w:t xml:space="preserve"> here with the usual word for sky. See heaven in the Glossary.</w:t>
      </w:r>
    </w:p>
    <w:p>
      <w:pPr>
        <w:pStyle w:val="Heading5"/>
      </w:pPr>
      <w:r>
        <w:rPr>
          <w:lang w:val="en_US" w:bidi="en_US"/>
        </w:rPr>
        <w:t>18:13c</w:t>
      </w:r>
    </w:p>
    <w:p>
      <w:pPr/>
      <w:r>
        <w:rPr>
          <w:lang w:val="en_US" w:bidi="en_US"/>
        </w:rPr>
      </w:r>
      <w:r>
        <w:rPr>
          <w:b/>
          <w:lang w:val="en_US" w:bidi="en_US"/>
        </w:rPr>
        <w:t>Instead, he beat his breast and said,</w:t>
      </w:r>
    </w:p>
    <w:p>
      <w:pPr>
        <w:pStyle w:val="ListBullet"/>
        <w:spacing w:line="240" w:lineRule="auto"/>
        <w:ind w:left="720"/>
      </w:pPr>
      <w:r>
        <w:rPr>
          <w:lang w:val="en_US" w:bidi="en_US"/>
        </w:rPr>
      </w:r>
      <w:r>
        <w:rPr>
          <w:lang w:val="en_US" w:bidi="en_US"/>
        </w:rPr>
        <w:t>Instead, he beat his chest, saying,</w:t>
      </w:r>
    </w:p>
    <w:p>
      <w:pPr>
        <w:pStyle w:val="ListBullet"/>
        <w:spacing w:line="240" w:lineRule="auto"/>
        <w:ind w:left="720"/>
      </w:pPr>
      <w:r>
        <w:rPr>
          <w:lang w:val="en_US" w:bidi="en_US"/>
        </w:rPr>
      </w:r>
      <w:r>
        <w:rPr>
          <w:lang w:val="en_US" w:bidi="en_US"/>
        </w:rPr>
        <w:t xml:space="preserve">but he kept hitting his chest, </w:t>
      </w:r>
      <w:r>
        <w:rPr>
          <w:lang w:val="en_US" w:bidi="en_US"/>
        </w:rPr>
        <w:t>being distressed because of his sins</w:t>
      </w:r>
      <w:r>
        <w:rPr>
          <w:lang w:val="en_US" w:bidi="en_US"/>
        </w:rPr>
        <w:t>. And he said,</w:t>
      </w:r>
    </w:p>
    <w:p>
      <w:pPr>
        <w:pStyle w:val="ListBullet"/>
        <w:spacing w:line="240" w:lineRule="auto"/>
        <w:ind w:left="720"/>
      </w:pPr>
      <w:r>
        <w:rPr>
          <w:lang w:val="en_US" w:bidi="en_US"/>
        </w:rPr>
      </w:r>
      <w:r>
        <w:rPr>
          <w:lang w:val="en_US" w:bidi="en_US"/>
        </w:rPr>
        <w:t xml:space="preserve">He pounded his chest </w:t>
      </w:r>
      <w:r>
        <w:rPr>
          <w:lang w:val="en_US" w:bidi="en_US"/>
        </w:rPr>
        <w:t>in grief</w:t>
      </w:r>
      <w:r>
        <w:rPr>
          <w:lang w:val="en_US" w:bidi="en_US"/>
        </w:rPr>
        <w:t xml:space="preserve"> and prayed,</w:t>
      </w:r>
    </w:p>
    <w:p>
      <w:pPr/>
      <w:r>
        <w:rPr>
          <w:lang w:val="en_US" w:bidi="en_US"/>
        </w:rPr>
      </w:r>
      <w:r>
        <w:rPr>
          <w:b/>
          <w:lang w:val="en_US" w:bidi="en_US"/>
        </w:rPr>
        <w:t>Instead:</w:t>
      </w:r>
      <w:r>
        <w:rPr>
          <w:lang w:val="en_US" w:bidi="en_US"/>
        </w:rPr>
        <w:t xml:space="preserve"> The word </w:t>
      </w:r>
      <w:r>
        <w:rPr>
          <w:i/>
          <w:lang w:val="en_US" w:bidi="en_US"/>
        </w:rPr>
        <w:t>Instead</w:t>
      </w:r>
      <w:r>
        <w:rPr>
          <w:lang w:val="en_US" w:bidi="en_US"/>
        </w:rPr>
        <w:t xml:space="preserve"> indicates a contrast with the action “lift up his eyes to heaven” in 18:13b. The tax collector did not have the confidence to look up to heaven. Instead, he showed his distress over his sin. The BSB, like the NLT and GW, introduces the contrast with </w:t>
      </w:r>
      <w:r>
        <w:rPr>
          <w:i/>
          <w:lang w:val="en_US" w:bidi="en_US"/>
        </w:rPr>
        <w:t>Instead</w:t>
      </w:r>
      <w:r>
        <w:rPr>
          <w:lang w:val="en_US" w:bidi="en_US"/>
        </w:rPr>
        <w:t>. The NIV and several other translations say “but.” In some languages no conjunction is needed.</w:t>
      </w:r>
    </w:p>
    <w:p>
      <w:pPr/>
      <w:r>
        <w:rPr>
          <w:lang w:val="en_US" w:bidi="en_US"/>
        </w:rPr>
      </w:r>
      <w:r>
        <w:rPr>
          <w:b/>
          <w:lang w:val="en_US" w:bidi="en_US"/>
        </w:rPr>
        <w:t>he beat his breast:</w:t>
      </w:r>
      <w:r>
        <w:rPr>
          <w:lang w:val="en_US" w:bidi="en_US"/>
        </w:rPr>
        <w:t xml:space="preserve"> In that culture people beat their chests with their fists either in anger or distress. Here the tax collector was greatly distressed because he had sinned. He felt sorry and ashamed. In some cultures, beating the chest does not have this meaning. If that is true in your culture, some other ways to translate it are:</w:t>
      </w:r>
    </w:p>
    <w:p>
      <w:pPr>
        <w:pStyle w:val="ListBullet"/>
        <w:spacing w:line="240" w:lineRule="auto"/>
        <w:ind w:left="720"/>
      </w:pPr>
      <w:r>
        <w:rPr>
          <w:lang w:val="en_US" w:bidi="en_US"/>
        </w:rPr>
      </w:r>
      <w:r>
        <w:rPr>
          <w:lang w:val="en_US" w:bidi="en_US"/>
        </w:rPr>
        <w:t>Translate the action and indicate the meaning. For example:</w:t>
      </w:r>
      <w:r>
        <w:rPr>
          <w:lang w:val="en_US" w:bidi="en_US"/>
        </w:rPr>
        <w:t>he felt so sorry that he hit his chest</w:t>
      </w:r>
      <w:r>
        <w:rPr>
          <w:lang w:val="en_US" w:bidi="en_US"/>
        </w:rPr>
        <w:t>he beat his chest in sorrow (NLT)</w:t>
      </w:r>
    </w:p>
    <w:p>
      <w:pPr>
        <w:pStyle w:val="ListBullet"/>
        <w:spacing w:line="240" w:lineRule="auto"/>
        <w:ind w:left="720"/>
      </w:pPr>
      <w:r>
        <w:rPr>
          <w:lang w:val="en_US" w:bidi="en_US"/>
        </w:rPr>
      </w:r>
      <w:r>
        <w:rPr>
          <w:lang w:val="en_US" w:bidi="en_US"/>
        </w:rPr>
        <w:t>Substitute an action that has the right meaning in your culture. For example:</w:t>
      </w:r>
      <w:r>
        <w:rPr>
          <w:lang w:val="en_US" w:bidi="en_US"/>
        </w:rPr>
        <w:t>he bowed his head</w:t>
      </w:r>
    </w:p>
    <w:p>
      <w:pPr>
        <w:pStyle w:val="ListBullet"/>
        <w:spacing w:line="240" w:lineRule="auto"/>
        <w:ind w:left="720"/>
      </w:pPr>
      <w:r>
        <w:rPr>
          <w:lang w:val="en_US" w:bidi="en_US"/>
        </w:rPr>
      </w:r>
      <w:r>
        <w:rPr>
          <w:lang w:val="en_US" w:bidi="en_US"/>
        </w:rPr>
        <w:t>Translate the meaning without the action. For example:</w:t>
      </w:r>
      <w:r>
        <w:rPr>
          <w:lang w:val="en_US" w:bidi="en_US"/>
        </w:rPr>
        <w:t>feeling very sorry/ashamed</w:t>
      </w:r>
      <w:r>
        <w:rPr>
          <w:lang w:val="en_US" w:bidi="en_US"/>
        </w:rPr>
        <w:t>he showed his sorrow</w:t>
      </w:r>
    </w:p>
    <w:p>
      <w:pPr/>
      <w:r>
        <w:rPr>
          <w:lang w:val="en_US" w:bidi="en_US"/>
        </w:rPr>
      </w:r>
      <w:r>
        <w:rPr>
          <w:lang w:val="en_US" w:bidi="en_US"/>
        </w:rPr>
        <w:t>Translate the meaning in a natural way in your language.</w:t>
      </w:r>
    </w:p>
    <w:p>
      <w:pPr/>
      <w:r>
        <w:rPr>
          <w:lang w:val="en_US" w:bidi="en_US"/>
        </w:rPr>
      </w:r>
      <w:r>
        <w:rPr>
          <w:b/>
          <w:lang w:val="en_US" w:bidi="en_US"/>
        </w:rPr>
        <w:t>and said:</w:t>
      </w:r>
      <w:r>
        <w:rPr>
          <w:lang w:val="en_US" w:bidi="en_US"/>
        </w:rPr>
        <w:t xml:space="preserve"> The Greek word that the BSB translates as </w:t>
      </w:r>
      <w:r>
        <w:rPr>
          <w:i/>
          <w:lang w:val="en_US" w:bidi="en_US"/>
        </w:rPr>
        <w:t>and said</w:t>
      </w:r>
      <w:r>
        <w:rPr>
          <w:lang w:val="en_US" w:bidi="en_US"/>
        </w:rPr>
        <w:t xml:space="preserve"> is literally “saying.” It indicates that the tax collector prayed the words in 18:13d as he beat his breast.</w:t>
      </w:r>
    </w:p>
    <w:p>
      <w:pPr/>
      <w:r>
        <w:rPr>
          <w:lang w:val="en_US" w:bidi="en_US"/>
        </w:rPr>
      </w:r>
      <w:r>
        <w:rPr>
          <w:lang w:val="en_US" w:bidi="en_US"/>
        </w:rPr>
        <w:t xml:space="preserve">In some languages it may be more natural to use a verb such as “prayed” rather than </w:t>
      </w:r>
      <w:r>
        <w:rPr>
          <w:i/>
          <w:lang w:val="en_US" w:bidi="en_US"/>
        </w:rPr>
        <w:t>said</w:t>
      </w:r>
      <w:r>
        <w:rPr>
          <w:lang w:val="en_US" w:bidi="en_US"/>
        </w:rPr>
        <w:t>. For example:</w:t>
      </w:r>
    </w:p>
    <w:p>
      <w:pPr/>
      <w:r>
        <w:rPr>
          <w:lang w:val="en_US" w:bidi="en_US"/>
        </w:rPr>
      </w:r>
      <w:r>
        <w:rPr>
          <w:lang w:val="en_US" w:bidi="en_US"/>
        </w:rPr>
        <w:t>and prayed (CEV)</w:t>
      </w:r>
    </w:p>
    <w:p>
      <w:pPr>
        <w:pStyle w:val="Heading5"/>
      </w:pPr>
      <w:r>
        <w:rPr>
          <w:lang w:val="en_US" w:bidi="en_US"/>
        </w:rPr>
        <w:t>18:13d</w:t>
      </w:r>
    </w:p>
    <w:p>
      <w:pPr/>
      <w:r>
        <w:rPr>
          <w:lang w:val="en_US" w:bidi="en_US"/>
        </w:rPr>
      </w:r>
      <w:r>
        <w:rPr>
          <w:b/>
          <w:lang w:val="en_US" w:bidi="en_US"/>
        </w:rPr>
        <w:t>‘God, have mercy on me, a sinner!’</w:t>
      </w:r>
    </w:p>
    <w:p>
      <w:pPr>
        <w:pStyle w:val="ListBullet"/>
        <w:spacing w:line="240" w:lineRule="auto"/>
        <w:ind w:left="720"/>
      </w:pPr>
      <w:r>
        <w:rPr>
          <w:lang w:val="en_US" w:bidi="en_US"/>
        </w:rPr>
      </w:r>
      <w:r>
        <w:rPr>
          <w:lang w:val="en_US" w:bidi="en_US"/>
        </w:rPr>
        <w:t xml:space="preserve">‘God, </w:t>
      </w:r>
      <w:r>
        <w:rPr>
          <w:lang w:val="en_US" w:bidi="en_US"/>
        </w:rPr>
        <w:t>please</w:t>
      </w:r>
      <w:r>
        <w:rPr>
          <w:lang w:val="en_US" w:bidi="en_US"/>
        </w:rPr>
        <w:t xml:space="preserve"> be</w:t>
      </w:r>
      <w:r>
        <w:rPr>
          <w:vertAlign w:val="superscript"/>
          <w:lang w:val="en_US" w:bidi="en_US"/>
        </w:rPr>
        <w:t>(sing)</w:t>
      </w:r>
      <w:r>
        <w:rPr>
          <w:lang w:val="en_US" w:bidi="en_US"/>
        </w:rPr>
        <w:t xml:space="preserve"> merciful to me. </w:t>
      </w:r>
      <w:r>
        <w:rPr>
          <w:lang w:val="en_US" w:bidi="en_US"/>
        </w:rPr>
        <w:t>I am</w:t>
      </w:r>
      <w:r>
        <w:rPr>
          <w:lang w:val="en_US" w:bidi="en_US"/>
        </w:rPr>
        <w:t xml:space="preserve"> a sinner.’</w:t>
      </w:r>
    </w:p>
    <w:p>
      <w:pPr>
        <w:pStyle w:val="ListBullet"/>
        <w:spacing w:line="240" w:lineRule="auto"/>
        <w:ind w:left="720"/>
      </w:pPr>
      <w:r>
        <w:rPr>
          <w:lang w:val="en_US" w:bidi="en_US"/>
        </w:rPr>
      </w:r>
      <w:r>
        <w:rPr>
          <w:lang w:val="en_US" w:bidi="en_US"/>
        </w:rPr>
        <w:t>‘</w:t>
      </w:r>
      <w:r>
        <w:rPr>
          <w:lang w:val="en_US" w:bidi="en_US"/>
        </w:rPr>
        <w:t>My</w:t>
      </w:r>
      <w:r>
        <w:rPr>
          <w:lang w:val="en_US" w:bidi="en_US"/>
        </w:rPr>
        <w:t xml:space="preserve"> God, I have sinned </w:t>
      </w:r>
      <w:r>
        <w:rPr>
          <w:lang w:val="en_US" w:bidi="en_US"/>
        </w:rPr>
        <w:t>against you</w:t>
      </w:r>
      <w:r>
        <w:rPr>
          <w:vertAlign w:val="superscript"/>
          <w:lang w:val="en_US" w:bidi="en_US"/>
        </w:rPr>
        <w:t>(sing)</w:t>
      </w:r>
      <w:r>
        <w:rPr>
          <w:lang w:val="en_US" w:bidi="en_US"/>
        </w:rPr>
        <w:t xml:space="preserve">. Show pity/compassion to me </w:t>
      </w:r>
      <w:r>
        <w:rPr>
          <w:lang w:val="en_US" w:bidi="en_US"/>
        </w:rPr>
        <w:t>and forgive me</w:t>
      </w:r>
      <w:r>
        <w:rPr>
          <w:lang w:val="en_US" w:bidi="en_US"/>
        </w:rPr>
        <w:t>.’</w:t>
      </w:r>
    </w:p>
    <w:p>
      <w:pPr/>
      <w:r>
        <w:rPr>
          <w:lang w:val="en_US" w:bidi="en_US"/>
        </w:rPr>
      </w:r>
      <w:r>
        <w:rPr>
          <w:b/>
          <w:lang w:val="en_US" w:bidi="en_US"/>
        </w:rPr>
        <w:t>God, have mercy on me, a sinner:</w:t>
      </w:r>
      <w:r>
        <w:rPr>
          <w:lang w:val="en_US" w:bidi="en_US"/>
        </w:rPr>
        <w:t xml:space="preserve"> In this prayer the tax collector confessed that he was a sinner. He begged God to pity him. The context implies that he was asking God to show compassion to him </w:t>
      </w:r>
      <w:r>
        <w:rPr>
          <w:u w:val="single"/>
          <w:lang w:val="en_US" w:bidi="en_US"/>
        </w:rPr>
        <w:t>by forgiving him</w:t>
      </w:r>
      <w:r>
        <w:rPr>
          <w:lang w:val="en_US" w:bidi="en_US"/>
        </w:rPr>
        <w:t>. In some languages it may be necessary to make this explicit. For example:</w:t>
      </w:r>
    </w:p>
    <w:p>
      <w:pPr/>
      <w:r>
        <w:rPr>
          <w:lang w:val="en_US" w:bidi="en_US"/>
        </w:rPr>
      </w:r>
      <w:r>
        <w:rPr>
          <w:lang w:val="en_US" w:bidi="en_US"/>
        </w:rPr>
        <w:t xml:space="preserve">God, I am a sinner. I beg you to be merciful </w:t>
      </w:r>
      <w:r>
        <w:rPr>
          <w:lang w:val="en_US" w:bidi="en_US"/>
        </w:rPr>
        <w:t>and forgive</w:t>
      </w:r>
      <w:r>
        <w:rPr>
          <w:lang w:val="en_US" w:bidi="en_US"/>
        </w:rPr>
        <w:t xml:space="preserve"> me.</w:t>
      </w:r>
    </w:p>
    <w:p>
      <w:pPr/>
      <w:r>
        <w:rPr>
          <w:lang w:val="en_US" w:bidi="en_US"/>
        </w:rPr>
      </w:r>
      <w:r>
        <w:rPr>
          <w:b/>
          <w:lang w:val="en_US" w:bidi="en_US"/>
        </w:rPr>
        <w:t>me, a sinner:</w:t>
      </w:r>
      <w:r>
        <w:rPr>
          <w:lang w:val="en_US" w:bidi="en_US"/>
        </w:rPr>
        <w:t xml:space="preserve"> A </w:t>
      </w:r>
      <w:r>
        <w:rPr>
          <w:i/>
          <w:lang w:val="en_US" w:bidi="en_US"/>
        </w:rPr>
        <w:t>sinner</w:t>
      </w:r>
      <w:r>
        <w:rPr>
          <w:lang w:val="en_US" w:bidi="en_US"/>
        </w:rPr>
        <w:t xml:space="preserve"> is someone who habitually offends God. The ways a person may offend God include doing and thinking things that God does not approve. A person may also offend God by his attitudes and by not doing what God wants him to do. Some ways to translate </w:t>
      </w:r>
      <w:r>
        <w:rPr>
          <w:i/>
          <w:lang w:val="en_US" w:bidi="en_US"/>
        </w:rPr>
        <w:t>sinner</w:t>
      </w:r>
      <w:r>
        <w:rPr>
          <w:lang w:val="en_US" w:bidi="en_US"/>
        </w:rPr>
        <w:t xml:space="preserve"> in this context are:</w:t>
      </w:r>
    </w:p>
    <w:p>
      <w:pPr/>
      <w:r>
        <w:rPr>
          <w:lang w:val="en_US" w:bidi="en_US"/>
        </w:rPr>
      </w:r>
      <w:r>
        <w:rPr>
          <w:lang w:val="en_US" w:bidi="en_US"/>
        </w:rPr>
        <w:t>I am</w:t>
      </w:r>
      <w:r>
        <w:rPr>
          <w:lang w:val="en_US" w:bidi="en_US"/>
        </w:rPr>
        <w:t xml:space="preserve"> a person who sins</w:t>
      </w:r>
    </w:p>
    <w:p>
      <w:pPr/>
      <w:r>
        <w:rPr>
          <w:lang w:val="en_US" w:bidi="en_US"/>
        </w:rPr>
      </w:r>
      <w:r>
        <w:rPr>
          <w:lang w:val="en_US" w:bidi="en_US"/>
        </w:rPr>
        <w:t>I am</w:t>
      </w:r>
      <w:r>
        <w:rPr>
          <w:lang w:val="en_US" w:bidi="en_US"/>
        </w:rPr>
        <w:t xml:space="preserve"> a person who does not obey you</w:t>
      </w:r>
    </w:p>
    <w:p>
      <w:pPr/>
      <w:r>
        <w:rPr>
          <w:lang w:val="en_US" w:bidi="en_US"/>
        </w:rPr>
      </w:r>
      <w:r>
        <w:rPr>
          <w:lang w:val="en_US" w:bidi="en_US"/>
        </w:rPr>
        <w:t>I am</w:t>
      </w:r>
      <w:r>
        <w:rPr>
          <w:lang w:val="en_US" w:bidi="en_US"/>
        </w:rPr>
        <w:t xml:space="preserve"> a wrongdoer</w:t>
      </w:r>
    </w:p>
    <w:p>
      <w:pPr>
        <w:pStyle w:val="Heading6"/>
      </w:pPr>
      <w:r>
        <w:rPr>
          <w:b/>
          <w:lang w:val="en_US" w:bidi="en_US"/>
        </w:rPr>
        <w:t>General Comment on 18:13d</w:t>
      </w:r>
    </w:p>
    <w:p>
      <w:pPr/>
      <w:r>
        <w:rPr>
          <w:lang w:val="en_US" w:bidi="en_US"/>
        </w:rPr>
      </w:r>
      <w:r>
        <w:rPr>
          <w:lang w:val="en_US" w:bidi="en_US"/>
        </w:rPr>
        <w:t>At the end of this verse, the tax collector ended his prayer. In some languages it may be natural to indicate this explicitly. For example:</w:t>
      </w:r>
    </w:p>
    <w:p>
      <w:pPr/>
      <w:r>
        <w:rPr>
          <w:lang w:val="en_US" w:bidi="en_US"/>
        </w:rPr>
      </w:r>
      <w:r>
        <w:rPr>
          <w:lang w:val="en_US" w:bidi="en_US"/>
        </w:rPr>
        <w:t xml:space="preserve">‘God, have mercy on me, a sinner.’ </w:t>
      </w:r>
      <w:r>
        <w:rPr>
          <w:lang w:val="en_US" w:bidi="en_US"/>
        </w:rPr>
        <w:t>That is what he prayed.</w:t>
      </w:r>
      <w:r>
        <w:rPr>
          <w:lang w:val="en_US" w:bidi="en_US"/>
        </w:rPr>
      </w:r>
      <w:r>
        <w:rPr>
          <w:lang w:val="en_US" w:bidi="en_US"/>
        </w:rPr>
      </w:r>
    </w:p>
    <w:p>
      <w:pPr/>
      <w:r>
        <w:rPr>
          <w:lang w:val="en_US" w:bidi="en_US"/>
        </w:rPr>
      </w:r>
    </w:p>
    <w:p>
      <w:pPr>
        <w:pStyle w:val="Heading2"/>
      </w:pPr>
      <w:r>
        <w:rPr>
          <w:lang w:val="en_US" w:bidi="en_US"/>
        </w:rPr>
        <w:t>Luke 18:14</w:t>
      </w:r>
      <w:r>
        <w:rPr>
          <w:lang w:val="en_US" w:bidi="en_US"/>
        </w:rPr>
      </w:r>
    </w:p>
    <w:p>
      <w:pPr>
        <w:pStyle w:val="Heading4"/>
      </w:pPr>
      <w:r>
        <w:rPr>
          <w:lang w:val="en_US" w:bidi="en_US"/>
        </w:rPr>
        <w:t>Section 18:9–14: Jesus told a parable about praying in a humble way</w:t>
      </w:r>
    </w:p>
    <w:p>
      <w:pPr/>
      <w:r>
        <w:rPr>
          <w:lang w:val="en_US" w:bidi="en_US"/>
        </w:rPr>
      </w:r>
      <w:r>
        <w:rPr>
          <w:lang w:val="en_US" w:bidi="en_US"/>
        </w:rPr>
        <w:t>In this section Jesus told a parable about how to pray with an attitude that God will approve. Jesus told this parable especially for people who thought that they were already righteous and better than other people. The parable shows that God wants people to come before him humbly and ask for his forgiveness.</w:t>
      </w:r>
    </w:p>
    <w:p>
      <w:pPr/>
      <w:r>
        <w:rPr>
          <w:lang w:val="en_US" w:bidi="en_US"/>
        </w:rPr>
      </w:r>
      <w:r>
        <w:rPr>
          <w:lang w:val="en_US" w:bidi="en_US"/>
        </w:rPr>
        <w:t>Some examples of headings for this section are:</w:t>
      </w:r>
    </w:p>
    <w:p>
      <w:pPr/>
      <w:r>
        <w:rPr>
          <w:lang w:val="en_US" w:bidi="en_US"/>
        </w:rPr>
      </w:r>
      <w:r>
        <w:rPr>
          <w:lang w:val="en_US" w:bidi="en_US"/>
        </w:rPr>
        <w:t>The Parable of the Pharisee and the Tax Collector (GNT)</w:t>
      </w:r>
    </w:p>
    <w:p>
      <w:pPr/>
      <w:r>
        <w:rPr>
          <w:lang w:val="en_US" w:bidi="en_US"/>
        </w:rPr>
      </w:r>
      <w:r>
        <w:rPr>
          <w:lang w:val="en_US" w:bidi="en_US"/>
        </w:rPr>
        <w:t>Jesus told a story about two men who prayed</w:t>
      </w:r>
    </w:p>
    <w:p>
      <w:pPr/>
      <w:r>
        <w:rPr>
          <w:lang w:val="en_US" w:bidi="en_US"/>
        </w:rPr>
      </w:r>
      <w:r>
        <w:rPr>
          <w:lang w:val="en_US" w:bidi="en_US"/>
        </w:rPr>
        <w:t>This parable is only found in Luke.</w:t>
      </w:r>
    </w:p>
    <w:p>
      <w:pPr>
        <w:pStyle w:val="Heading5"/>
      </w:pPr>
      <w:r>
        <w:rPr>
          <w:lang w:val="en_US" w:bidi="en_US"/>
        </w:rPr>
        <w:t>18:14a</w:t>
      </w:r>
    </w:p>
    <w:p>
      <w:pPr/>
      <w:r>
        <w:rPr>
          <w:lang w:val="en_US" w:bidi="en_US"/>
        </w:rPr>
      </w:r>
      <w:r>
        <w:rPr>
          <w:b/>
          <w:lang w:val="en_US" w:bidi="en_US"/>
        </w:rPr>
        <w:t>I tell you,</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xml:space="preserve"> that</w:t>
      </w:r>
    </w:p>
    <w:p>
      <w:pPr>
        <w:pStyle w:val="ListBullet"/>
        <w:spacing w:line="240" w:lineRule="auto"/>
        <w:ind w:left="720"/>
      </w:pPr>
      <w:r>
        <w:rPr>
          <w:lang w:val="en_US" w:bidi="en_US"/>
        </w:rPr>
      </w:r>
      <w:r>
        <w:rPr>
          <w:lang w:val="en_US" w:bidi="en_US"/>
        </w:rPr>
        <w:t>The two men finished praying and left.</w:t>
      </w:r>
      <w:r>
        <w:rPr>
          <w:lang w:val="en_US" w:bidi="en_US"/>
        </w:rPr>
        <w:t xml:space="preserve"> I tell you</w:t>
      </w:r>
      <w:r>
        <w:rPr>
          <w:vertAlign w:val="superscript"/>
          <w:lang w:val="en_US" w:bidi="en_US"/>
        </w:rPr>
        <w:t>(plur)</w:t>
      </w:r>
      <w:r>
        <w:rPr>
          <w:lang w:val="en_US" w:bidi="en_US"/>
        </w:rPr>
        <w:t>,</w:t>
      </w:r>
    </w:p>
    <w:p>
      <w:pPr/>
      <w:r>
        <w:rPr>
          <w:lang w:val="en_US" w:bidi="en_US"/>
        </w:rPr>
      </w:r>
      <w:r>
        <w:rPr>
          <w:lang w:val="en_US" w:bidi="en_US"/>
        </w:rPr>
        <w:t>In this verse Jesus concluded his parable and explained its meaning. In some languages it may be helpful to introduce this conclusion with a phrase or clause. For example:</w:t>
      </w:r>
    </w:p>
    <w:p>
      <w:pPr/>
      <w:r>
        <w:rPr>
          <w:lang w:val="en_US" w:bidi="en_US"/>
        </w:rPr>
      </w:r>
      <w:r>
        <w:rPr>
          <w:lang w:val="en_US" w:bidi="en_US"/>
        </w:rPr>
        <w:t>Then Jesus said</w:t>
      </w:r>
    </w:p>
    <w:p>
      <w:pPr/>
      <w:r>
        <w:rPr>
          <w:lang w:val="en_US" w:bidi="en_US"/>
        </w:rPr>
      </w:r>
      <w:r>
        <w:rPr>
          <w:lang w:val="en_US" w:bidi="en_US"/>
        </w:rPr>
        <w:t>Then Jesus concluded the parable/story, saying</w:t>
      </w:r>
    </w:p>
    <w:p>
      <w:pPr/>
      <w:r>
        <w:rPr>
          <w:lang w:val="en_US" w:bidi="en_US"/>
        </w:rPr>
      </w:r>
      <w:r>
        <w:rPr>
          <w:b/>
          <w:lang w:val="en_US" w:bidi="en_US"/>
        </w:rPr>
        <w:t>I tell you:</w:t>
      </w:r>
      <w:r>
        <w:rPr>
          <w:lang w:val="en_US" w:bidi="en_US"/>
        </w:rPr>
        <w:t xml:space="preserve"> Jesus often used the phrase </w:t>
      </w:r>
      <w:r>
        <w:rPr>
          <w:i/>
          <w:lang w:val="en_US" w:bidi="en_US"/>
        </w:rPr>
        <w:t>I tell you</w:t>
      </w:r>
      <w:r>
        <w:rPr>
          <w:lang w:val="en_US" w:bidi="en_US"/>
        </w:rPr>
        <w:t xml:space="preserve"> to begin a statement that he wanted to emphasize. It indicates that the statement was important and that people should listen carefully to it. Here it emphasizes the fact that the tax collector, rather than the Pharisee, was justified by God.</w:t>
      </w:r>
    </w:p>
    <w:p>
      <w:pPr/>
      <w:r>
        <w:rPr>
          <w:lang w:val="en_US" w:bidi="en_US"/>
        </w:rPr>
      </w:r>
      <w:r>
        <w:rPr>
          <w:lang w:val="en_US" w:bidi="en_US"/>
        </w:rPr>
        <w:t>Some other ways to show this emphasis are:</w:t>
      </w:r>
    </w:p>
    <w:p>
      <w:pPr>
        <w:pStyle w:val="ListBullet"/>
        <w:spacing w:line="240" w:lineRule="auto"/>
        <w:ind w:left="720"/>
      </w:pPr>
      <w:r>
        <w:rPr>
          <w:lang w:val="en_US" w:bidi="en_US"/>
        </w:rPr>
      </w:r>
      <w:r>
        <w:rPr>
          <w:lang w:val="en_US" w:bidi="en_US"/>
        </w:rPr>
        <w:t>Use a phrase before Jesus’ statement. For example:</w:t>
      </w:r>
      <w:r>
        <w:rPr>
          <w:lang w:val="en_US" w:bidi="en_US"/>
        </w:rPr>
        <w:t>Let me tell you this</w:t>
      </w:r>
      <w:r>
        <w:rPr>
          <w:lang w:val="en_US" w:bidi="en_US"/>
        </w:rPr>
        <w:t>Listen carefully</w:t>
      </w:r>
      <w:r>
        <w:rPr>
          <w:lang w:val="en_US" w:bidi="en_US"/>
        </w:rPr>
        <w:t>I assure you</w:t>
      </w:r>
    </w:p>
    <w:p>
      <w:pPr>
        <w:pStyle w:val="ListBullet"/>
        <w:spacing w:line="240" w:lineRule="auto"/>
        <w:ind w:left="720"/>
      </w:pPr>
      <w:r>
        <w:rPr>
          <w:lang w:val="en_US" w:bidi="en_US"/>
        </w:rPr>
      </w:r>
      <w:r>
        <w:rPr>
          <w:lang w:val="en_US" w:bidi="en_US"/>
        </w:rPr>
        <w:t>Use an emphatic word within Jesus’ statement. For example:</w:t>
      </w:r>
      <w:r>
        <w:rPr>
          <w:lang w:val="en_US" w:bidi="en_US"/>
        </w:rPr>
        <w:t xml:space="preserve">It was </w:t>
      </w:r>
      <w:r>
        <w:rPr>
          <w:u w:val="single"/>
          <w:lang w:val="en_US" w:bidi="en_US"/>
        </w:rPr>
        <w:t>certainly</w:t>
      </w:r>
      <w:r>
        <w:rPr>
          <w:lang w:val="en_US" w:bidi="en_US"/>
        </w:rPr>
        <w:t xml:space="preserve"> this man, rather than the other</w:t>
      </w:r>
    </w:p>
    <w:p>
      <w:pPr/>
      <w:r>
        <w:rPr>
          <w:lang w:val="en_US" w:bidi="en_US"/>
        </w:rPr>
      </w:r>
      <w:r>
        <w:rPr>
          <w:lang w:val="en_US" w:bidi="en_US"/>
        </w:rPr>
        <w:t>Be sure that you emphasize the correct part of the following statement. Jesus was emphasizing which man was justified. He was not emphasizing that the man went to his house. In some languages you may need to change the order of phrases in the statement to indicate this. For example:</w:t>
      </w:r>
    </w:p>
    <w:p>
      <w:pPr/>
      <w:r>
        <w:rPr>
          <w:lang w:val="en_US" w:bidi="en_US"/>
        </w:rPr>
      </w:r>
      <w:r>
        <w:rPr>
          <w:lang w:val="en_US" w:bidi="en_US"/>
        </w:rPr>
        <w:t>“I tell you,” said Jesus, “the tax collector, and not the Pharisee, was in the right with God when he went home.” (GNT)</w:t>
      </w:r>
    </w:p>
    <w:p>
      <w:pPr/>
      <w:r>
        <w:rPr>
          <w:lang w:val="en_US" w:bidi="en_US"/>
        </w:rPr>
      </w:r>
      <w:r>
        <w:rPr>
          <w:lang w:val="en_US" w:bidi="en_US"/>
        </w:rPr>
        <w:t>Use a natural way in your language to emphasize this fact.</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here. It refers to the people who were mentioned in 18:9.</w:t>
      </w:r>
    </w:p>
    <w:p>
      <w:pPr>
        <w:pStyle w:val="Heading5"/>
      </w:pPr>
      <w:r>
        <w:rPr>
          <w:lang w:val="en_US" w:bidi="en_US"/>
        </w:rPr>
        <w:t>18:14b</w:t>
      </w:r>
    </w:p>
    <w:p>
      <w:pPr/>
      <w:r>
        <w:rPr>
          <w:lang w:val="en_US" w:bidi="en_US"/>
        </w:rPr>
      </w:r>
      <w:r>
        <w:rPr>
          <w:b/>
          <w:lang w:val="en_US" w:bidi="en_US"/>
        </w:rPr>
        <w:t>this man, rather than the Pharisee, went home justified.</w:t>
      </w:r>
    </w:p>
    <w:p>
      <w:pPr>
        <w:pStyle w:val="ListBullet"/>
        <w:spacing w:line="240" w:lineRule="auto"/>
        <w:ind w:left="720"/>
      </w:pPr>
      <w:r>
        <w:rPr>
          <w:lang w:val="en_US" w:bidi="en_US"/>
        </w:rPr>
      </w:r>
      <w:r>
        <w:rPr>
          <w:lang w:val="en_US" w:bidi="en_US"/>
        </w:rPr>
        <w:t xml:space="preserve">this </w:t>
      </w:r>
      <w:r>
        <w:rPr>
          <w:lang w:val="en_US" w:bidi="en_US"/>
        </w:rPr>
        <w:t>tax collector</w:t>
      </w:r>
      <w:r>
        <w:rPr>
          <w:lang w:val="en_US" w:bidi="en_US"/>
        </w:rPr>
        <w:t xml:space="preserve"> was the one whom God considered righteous as he went home. It was not the </w:t>
      </w:r>
      <w:r>
        <w:rPr>
          <w:lang w:val="en_US" w:bidi="en_US"/>
        </w:rPr>
        <w:t>Pharisee</w:t>
      </w:r>
      <w:r>
        <w:rPr>
          <w:lang w:val="en_US" w:bidi="en_US"/>
        </w:rPr>
        <w:t>.</w:t>
      </w:r>
    </w:p>
    <w:p>
      <w:pPr>
        <w:pStyle w:val="ListBullet"/>
        <w:spacing w:line="240" w:lineRule="auto"/>
        <w:ind w:left="720"/>
      </w:pPr>
      <w:r>
        <w:rPr>
          <w:lang w:val="en_US" w:bidi="en_US"/>
        </w:rPr>
      </w:r>
      <w:r>
        <w:rPr>
          <w:lang w:val="en_US" w:bidi="en_US"/>
        </w:rPr>
        <w:t xml:space="preserve">as the two men went home, it was the </w:t>
      </w:r>
      <w:r>
        <w:rPr>
          <w:lang w:val="en_US" w:bidi="en_US"/>
        </w:rPr>
        <w:t>tax collector</w:t>
      </w:r>
      <w:r>
        <w:rPr>
          <w:lang w:val="en_US" w:bidi="en_US"/>
        </w:rPr>
        <w:t xml:space="preserve"> whom God </w:t>
      </w:r>
      <w:r>
        <w:rPr>
          <w:lang w:val="en_US" w:bidi="en_US"/>
        </w:rPr>
        <w:t>had forgiven and</w:t>
      </w:r>
      <w:r>
        <w:rPr>
          <w:lang w:val="en_US" w:bidi="en_US"/>
        </w:rPr>
        <w:t xml:space="preserve"> approved as righteous, rather than the </w:t>
      </w:r>
      <w:r>
        <w:rPr>
          <w:lang w:val="en_US" w:bidi="en_US"/>
        </w:rPr>
        <w:t>Pharisee</w:t>
      </w:r>
      <w:r>
        <w:rPr>
          <w:lang w:val="en_US" w:bidi="en_US"/>
        </w:rPr>
        <w:t>.</w:t>
      </w:r>
    </w:p>
    <w:p>
      <w:pPr/>
      <w:r>
        <w:rPr>
          <w:lang w:val="en_US" w:bidi="en_US"/>
        </w:rPr>
      </w:r>
      <w:r>
        <w:rPr>
          <w:b/>
          <w:lang w:val="en_US" w:bidi="en_US"/>
        </w:rPr>
        <w:t>this man, rather than the Pharisee, went home justified:</w:t>
      </w:r>
      <w:r>
        <w:rPr>
          <w:lang w:val="en_US" w:bidi="en_US"/>
        </w:rPr>
        <w:t xml:space="preserve"> Jesus concluded the parable by indicating which man was justified before God. This is a very important statement. It indicates that God justified the tax collector, but God did not justify the Pharisee. Some ways to translate this are:</w:t>
      </w:r>
    </w:p>
    <w:p>
      <w:pPr/>
      <w:r>
        <w:rPr>
          <w:lang w:val="en_US" w:bidi="en_US"/>
        </w:rPr>
      </w:r>
      <w:r>
        <w:rPr>
          <w:lang w:val="en_US" w:bidi="en_US"/>
        </w:rPr>
        <w:t>God accepted this tax collector as a righteous person, but he did not accept the Pharisee as righteous.</w:t>
      </w:r>
    </w:p>
    <w:p>
      <w:pPr/>
      <w:r>
        <w:rPr>
          <w:lang w:val="en_US" w:bidi="en_US"/>
        </w:rPr>
      </w:r>
      <w:r>
        <w:rPr>
          <w:lang w:val="en_US" w:bidi="en_US"/>
        </w:rPr>
        <w:t>…he was right with God, but the Pharisee was not. (NCV)</w:t>
      </w:r>
    </w:p>
    <w:p>
      <w:pPr/>
      <w:r>
        <w:rPr>
          <w:lang w:val="en_US" w:bidi="en_US"/>
        </w:rPr>
      </w:r>
      <w:r>
        <w:rPr>
          <w:lang w:val="en_US" w:bidi="en_US"/>
        </w:rPr>
        <w:t>…this tax collector went home with God’s approval, but the Pharisee didn’t. (GW)</w:t>
      </w:r>
    </w:p>
    <w:p>
      <w:pPr/>
      <w:r>
        <w:rPr>
          <w:lang w:val="en_US" w:bidi="en_US"/>
        </w:rPr>
      </w:r>
      <w:r>
        <w:rPr>
          <w:b/>
          <w:lang w:val="en_US" w:bidi="en_US"/>
        </w:rPr>
        <w:t>this man, rather than the Pharisee, went home:</w:t>
      </w:r>
      <w:r>
        <w:rPr>
          <w:lang w:val="en_US" w:bidi="en_US"/>
        </w:rPr>
        <w:t xml:space="preserve"> The phrase </w:t>
      </w:r>
      <w:r>
        <w:rPr>
          <w:i/>
          <w:lang w:val="en_US" w:bidi="en_US"/>
        </w:rPr>
        <w:t>this man</w:t>
      </w:r>
      <w:r>
        <w:rPr>
          <w:lang w:val="en_US" w:bidi="en_US"/>
        </w:rPr>
        <w:t xml:space="preserve"> refers to the tax collector. The parallel phrase is literally “the other,” and it refers to the Pharisee. The BSB translates it that way. Jesus implied that both of these men went home when they finished praying. Some ways to translate this are:</w:t>
      </w:r>
    </w:p>
    <w:p>
      <w:pPr/>
      <w:r>
        <w:rPr>
          <w:lang w:val="en_US" w:bidi="en_US"/>
        </w:rPr>
      </w:r>
      <w:r>
        <w:rPr>
          <w:lang w:val="en_US" w:bidi="en_US"/>
        </w:rPr>
        <w:t>When the men went home…</w:t>
      </w:r>
    </w:p>
    <w:p>
      <w:pPr/>
      <w:r>
        <w:rPr>
          <w:lang w:val="en_US" w:bidi="en_US"/>
        </w:rPr>
      </w:r>
      <w:r>
        <w:rPr>
          <w:lang w:val="en_US" w:bidi="en_US"/>
        </w:rPr>
        <w:t xml:space="preserve">They </w:t>
      </w:r>
      <w:r>
        <w:rPr>
          <w:lang w:val="en_US" w:bidi="en_US"/>
        </w:rPr>
        <w:t>finished praying</w:t>
      </w:r>
      <w:r>
        <w:rPr>
          <w:lang w:val="en_US" w:bidi="en_US"/>
        </w:rPr>
        <w:t xml:space="preserve"> and went to their houses.</w:t>
      </w:r>
    </w:p>
    <w:p>
      <w:pPr/>
      <w:r>
        <w:rPr>
          <w:lang w:val="en_US" w:bidi="en_US"/>
        </w:rPr>
      </w:r>
      <w:r>
        <w:rPr>
          <w:lang w:val="en_US" w:bidi="en_US"/>
        </w:rPr>
        <w:t>See the General Comment on 18:14a–b at the end of 18:14d for a suggestion about reordering.</w:t>
      </w:r>
    </w:p>
    <w:p>
      <w:pPr/>
      <w:r>
        <w:rPr>
          <w:lang w:val="en_US" w:bidi="en_US"/>
        </w:rPr>
      </w:r>
      <w:r>
        <w:rPr>
          <w:b/>
          <w:lang w:val="en_US" w:bidi="en_US"/>
        </w:rPr>
        <w:t>justified:</w:t>
      </w:r>
      <w:r>
        <w:rPr>
          <w:lang w:val="en_US" w:bidi="en_US"/>
        </w:rPr>
        <w:t xml:space="preserve"> The Greek phrase that the BSB translates as </w:t>
      </w:r>
      <w:r>
        <w:rPr>
          <w:i/>
          <w:lang w:val="en_US" w:bidi="en_US"/>
        </w:rPr>
        <w:t>justified</w:t>
      </w:r>
      <w:r>
        <w:rPr>
          <w:lang w:val="en_US" w:bidi="en_US"/>
        </w:rPr>
        <w:t xml:space="preserve"> indicates that God considered (him) righteous. After the tax collector confessed his sin to God, God forgave him and accepted him. The Pharisee did not confess his sin, so God did not consider him righteous. Some other ways to translate this are:</w:t>
      </w:r>
    </w:p>
    <w:p>
      <w:pPr/>
      <w:r>
        <w:rPr>
          <w:lang w:val="en_US" w:bidi="en_US"/>
        </w:rPr>
      </w:r>
      <w:r>
        <w:rPr>
          <w:lang w:val="en_US" w:bidi="en_US"/>
        </w:rPr>
        <w:t>God considered him to be righteous/upright</w:t>
      </w:r>
    </w:p>
    <w:p>
      <w:pPr/>
      <w:r>
        <w:rPr>
          <w:lang w:val="en_US" w:bidi="en_US"/>
        </w:rPr>
      </w:r>
      <w:r>
        <w:rPr>
          <w:lang w:val="en_US" w:bidi="en_US"/>
        </w:rPr>
        <w:t>declared right/just/pure by God</w:t>
      </w:r>
    </w:p>
    <w:p>
      <w:pPr/>
      <w:r>
        <w:rPr>
          <w:lang w:val="en_US" w:bidi="en_US"/>
        </w:rPr>
      </w:r>
      <w:r>
        <w:rPr>
          <w:lang w:val="en_US" w:bidi="en_US"/>
        </w:rPr>
        <w:t>with God’s approval (GW)</w:t>
      </w:r>
    </w:p>
    <w:p>
      <w:pPr/>
      <w:r>
        <w:rPr>
          <w:lang w:val="en_US" w:bidi="en_US"/>
        </w:rPr>
      </w:r>
      <w:r>
        <w:rPr>
          <w:lang w:val="en_US" w:bidi="en_US"/>
        </w:rPr>
        <w:t>acquitted of his sins (REB)</w:t>
      </w:r>
    </w:p>
    <w:p>
      <w:pPr/>
      <w:r>
        <w:rPr>
          <w:lang w:val="en_US" w:bidi="en_US"/>
        </w:rPr>
      </w:r>
      <w:r>
        <w:rPr>
          <w:lang w:val="en_US" w:bidi="en_US"/>
        </w:rPr>
        <w:t>In some languages there may be an idiom to express this. For example:</w:t>
      </w:r>
    </w:p>
    <w:p>
      <w:pPr/>
      <w:r>
        <w:rPr>
          <w:lang w:val="en_US" w:bidi="en_US"/>
        </w:rPr>
      </w:r>
      <w:r>
        <w:rPr>
          <w:lang w:val="en_US" w:bidi="en_US"/>
        </w:rPr>
        <w:t>considered straight</w:t>
      </w:r>
      <w:r>
        <w:rPr>
          <w:lang w:val="en_US" w:bidi="en_US"/>
        </w:rPr>
        <w:t>Yakan Back Translation on TW.</w:t>
      </w:r>
    </w:p>
    <w:p>
      <w:pPr/>
      <w:r>
        <w:rPr>
          <w:lang w:val="en_US" w:bidi="en_US"/>
        </w:rPr>
      </w:r>
      <w:r>
        <w:rPr>
          <w:lang w:val="en_US" w:bidi="en_US"/>
        </w:rPr>
        <w:t>See also “just,” sense B2, in KBT.</w:t>
      </w:r>
    </w:p>
    <w:p>
      <w:pPr>
        <w:pStyle w:val="Heading5"/>
      </w:pPr>
      <w:r>
        <w:rPr>
          <w:lang w:val="en_US" w:bidi="en_US"/>
        </w:rPr>
        <w:t>18:14c–d</w:t>
      </w:r>
    </w:p>
    <w:p>
      <w:pPr/>
      <w:r>
        <w:rPr>
          <w:lang w:val="en_US" w:bidi="en_US"/>
        </w:rPr>
      </w:r>
      <w:r>
        <w:rPr>
          <w:lang w:val="en_US" w:bidi="en_US"/>
        </w:rPr>
        <w:t>These verse parts are the same as 14:11a and 14:11b.</w:t>
      </w:r>
    </w:p>
    <w:p>
      <w:pPr>
        <w:pStyle w:val="Heading5"/>
      </w:pPr>
      <w:r>
        <w:rPr>
          <w:lang w:val="en_US" w:bidi="en_US"/>
        </w:rPr>
        <w:t>18:14c</w:t>
      </w:r>
    </w:p>
    <w:p>
      <w:pPr/>
      <w:r>
        <w:rPr>
          <w:lang w:val="en_US" w:bidi="en_US"/>
        </w:rPr>
      </w:r>
      <w:r>
        <w:rPr>
          <w:b/>
          <w:lang w:val="en_US" w:bidi="en_US"/>
        </w:rPr>
        <w:t>For everyone who exalts himself will be humbled,</w:t>
      </w:r>
    </w:p>
    <w:p>
      <w:pPr>
        <w:pStyle w:val="ListBullet"/>
        <w:spacing w:line="240" w:lineRule="auto"/>
        <w:ind w:left="720"/>
      </w:pPr>
      <w:r>
        <w:rPr>
          <w:lang w:val="en_US" w:bidi="en_US"/>
        </w:rPr>
      </w:r>
      <w:r>
        <w:rPr>
          <w:lang w:val="en_US" w:bidi="en_US"/>
        </w:rPr>
        <w:t xml:space="preserve">For </w:t>
      </w:r>
      <w:r>
        <w:rPr>
          <w:lang w:val="en_US" w:bidi="en_US"/>
        </w:rPr>
        <w:t>it is true that</w:t>
      </w:r>
      <w:r>
        <w:rPr>
          <w:lang w:val="en_US" w:bidi="en_US"/>
        </w:rPr>
        <w:t xml:space="preserve"> everyone who </w:t>
      </w:r>
      <w:r>
        <w:rPr>
          <w:lang w:val="en_US" w:bidi="en_US"/>
        </w:rPr>
        <w:t>tries to</w:t>
      </w:r>
      <w:r>
        <w:rPr>
          <w:lang w:val="en_US" w:bidi="en_US"/>
        </w:rPr>
        <w:t xml:space="preserve"> raise/honor himself will be made low/unimportant,</w:t>
      </w:r>
    </w:p>
    <w:p>
      <w:pPr>
        <w:pStyle w:val="ListBullet"/>
        <w:spacing w:line="240" w:lineRule="auto"/>
        <w:ind w:left="720"/>
      </w:pPr>
      <w:r>
        <w:rPr>
          <w:lang w:val="en_US" w:bidi="en_US"/>
        </w:rPr>
      </w:r>
      <w:r>
        <w:rPr>
          <w:lang w:val="en_US" w:bidi="en_US"/>
        </w:rPr>
        <w:t>I told you</w:t>
      </w:r>
      <w:r>
        <w:rPr>
          <w:vertAlign w:val="superscript"/>
          <w:lang w:val="en_US" w:bidi="en_US"/>
        </w:rPr>
        <w:t>(plur)</w:t>
      </w:r>
      <w:r>
        <w:rPr>
          <w:lang w:val="en_US" w:bidi="en_US"/>
        </w:rPr>
        <w:t xml:space="preserve"> </w:t>
      </w:r>
      <w:r>
        <w:rPr>
          <w:lang w:val="en_US" w:bidi="en_US"/>
        </w:rPr>
        <w:t>this parable/example to teach you</w:t>
      </w:r>
      <w:r>
        <w:rPr>
          <w:lang w:val="en_US" w:bidi="en_US"/>
        </w:rPr>
        <w:t xml:space="preserve"> that </w:t>
      </w:r>
      <w:r>
        <w:rPr>
          <w:lang w:val="en_US" w:bidi="en_US"/>
        </w:rPr>
        <w:t>God</w:t>
      </w:r>
      <w:r>
        <w:rPr>
          <w:lang w:val="en_US" w:bidi="en_US"/>
        </w:rPr>
        <w:t xml:space="preserve"> will put in an unimportant position every person who tries to make himself </w:t>
      </w:r>
      <w:r>
        <w:rPr>
          <w:lang w:val="en_US" w:bidi="en_US"/>
        </w:rPr>
        <w:t>seem</w:t>
      </w:r>
      <w:r>
        <w:rPr>
          <w:lang w:val="en_US" w:bidi="en_US"/>
        </w:rPr>
        <w:t xml:space="preserve"> important/high.</w:t>
      </w:r>
    </w:p>
    <w:p>
      <w:pPr>
        <w:pStyle w:val="ListBullet"/>
        <w:spacing w:line="240" w:lineRule="auto"/>
        <w:ind w:left="720"/>
      </w:pPr>
      <w:r>
        <w:rPr>
          <w:lang w:val="en_US" w:bidi="en_US"/>
        </w:rPr>
      </w:r>
      <w:r>
        <w:rPr>
          <w:lang w:val="en_US" w:bidi="en_US"/>
        </w:rPr>
        <w:t>This example illustrates that</w:t>
      </w:r>
      <w:r>
        <w:rPr>
          <w:lang w:val="en_US" w:bidi="en_US"/>
        </w:rPr>
        <w:t xml:space="preserve"> when a person raises/honors himself, he will be lowered/humbled,</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general principle that Jesus wanted people to understand from the preceding parable. In some languages it may be necessary to clarify this connection. For example:</w:t>
      </w:r>
    </w:p>
    <w:p>
      <w:pPr/>
      <w:r>
        <w:rPr>
          <w:lang w:val="en_US" w:bidi="en_US"/>
        </w:rPr>
      </w:r>
      <w:r>
        <w:rPr>
          <w:lang w:val="en_US" w:bidi="en_US"/>
        </w:rPr>
        <w:t>This parable illustrates</w:t>
      </w:r>
      <w:r>
        <w:rPr>
          <w:lang w:val="en_US" w:bidi="en_US"/>
        </w:rPr>
        <w:t xml:space="preserve"> that…</w:t>
      </w:r>
    </w:p>
    <w:p>
      <w:pPr/>
      <w:r>
        <w:rPr>
          <w:lang w:val="en_US" w:bidi="en_US"/>
        </w:rPr>
      </w:r>
      <w:r>
        <w:rPr>
          <w:lang w:val="en_US" w:bidi="en_US"/>
        </w:rPr>
        <w:t>I told this parable to teach you</w:t>
      </w:r>
      <w:r>
        <w:rPr>
          <w:lang w:val="en_US" w:bidi="en_US"/>
        </w:rPr>
        <w:t xml:space="preserve"> that…</w:t>
      </w:r>
    </w:p>
    <w:p>
      <w:pPr/>
      <w:r>
        <w:rPr>
          <w:lang w:val="en_US" w:bidi="en_US"/>
        </w:rPr>
      </w:r>
      <w:r>
        <w:rPr>
          <w:lang w:val="en_US" w:bidi="en_US"/>
        </w:rPr>
        <w:t>In other languages an explicit conjunction may not be necessary. For example:</w:t>
      </w:r>
    </w:p>
    <w:p>
      <w:pPr/>
      <w:r>
        <w:rPr>
          <w:lang w:val="en_US" w:bidi="en_US"/>
        </w:rPr>
      </w:r>
      <w:r>
        <w:rPr>
          <w:lang w:val="en_US" w:bidi="en_US"/>
        </w:rPr>
        <w:t>Everyone who honors himself (GW)</w:t>
      </w:r>
    </w:p>
    <w:p>
      <w:pPr/>
      <w:r>
        <w:rPr>
          <w:lang w:val="en_US" w:bidi="en_US"/>
        </w:rPr>
      </w:r>
      <w:r>
        <w:rPr>
          <w:b/>
          <w:lang w:val="en_US" w:bidi="en_US"/>
        </w:rPr>
        <w:t>everyone who exalts himself will be humbled:</w:t>
      </w:r>
      <w:r>
        <w:rPr>
          <w:lang w:val="en_US" w:bidi="en_US"/>
        </w:rPr>
        <w:t xml:space="preserve"> This clause indicates that anyone who honors himself will be shamed. The verb </w:t>
      </w:r>
      <w:r>
        <w:rPr>
          <w:i/>
          <w:lang w:val="en_US" w:bidi="en_US"/>
        </w:rPr>
        <w:t>will be humbled</w:t>
      </w:r>
      <w:r>
        <w:rPr>
          <w:lang w:val="en_US" w:bidi="en_US"/>
        </w:rPr>
        <w:t xml:space="preserve"> is passive. It does not specify who or what will cause a person who exalts himself to be humbled. Other ways to translate the clause are:</w:t>
      </w:r>
    </w:p>
    <w:p>
      <w:pPr>
        <w:pStyle w:val="ListBullet"/>
        <w:spacing w:line="240" w:lineRule="auto"/>
        <w:ind w:left="720"/>
      </w:pPr>
      <w:r>
        <w:rPr>
          <w:lang w:val="en_US" w:bidi="en_US"/>
        </w:rPr>
      </w:r>
      <w:r>
        <w:rPr>
          <w:lang w:val="en_US" w:bidi="en_US"/>
        </w:rPr>
        <w:t>Use a verb that does not need to specify who or what will humble a person who exalts himself. For example:</w:t>
      </w:r>
      <w:r>
        <w:rPr>
          <w:lang w:val="en_US" w:bidi="en_US"/>
        </w:rPr>
        <w:t xml:space="preserve">Everyone who honors himself </w:t>
      </w:r>
      <w:r>
        <w:rPr>
          <w:u w:val="single"/>
          <w:lang w:val="en_US" w:bidi="en_US"/>
        </w:rPr>
        <w:t>will receive</w:t>
      </w:r>
      <w:r>
        <w:rPr>
          <w:lang w:val="en_US" w:bidi="en_US"/>
        </w:rPr>
        <w:t xml:space="preserve"> shame</w:t>
      </w:r>
      <w:r>
        <w:rPr>
          <w:lang w:val="en_US" w:bidi="en_US"/>
        </w:rPr>
        <w:t xml:space="preserve">Seeking your own honor </w:t>
      </w:r>
      <w:r>
        <w:rPr>
          <w:u w:val="single"/>
          <w:lang w:val="en_US" w:bidi="en_US"/>
        </w:rPr>
        <w:t>results in</w:t>
      </w:r>
      <w:r>
        <w:rPr>
          <w:lang w:val="en_US" w:bidi="en_US"/>
        </w:rPr>
        <w:t xml:space="preserve"> shame/humiliation</w:t>
      </w:r>
    </w:p>
    <w:p>
      <w:pPr>
        <w:pStyle w:val="ListBullet"/>
        <w:spacing w:line="240" w:lineRule="auto"/>
        <w:ind w:left="720"/>
      </w:pPr>
      <w:r>
        <w:rPr>
          <w:lang w:val="en_US" w:bidi="en_US"/>
        </w:rPr>
      </w:r>
      <w:r>
        <w:rPr>
          <w:lang w:val="en_US" w:bidi="en_US"/>
        </w:rPr>
        <w:t>Use an active verb and supply God as the implied subject. For example:</w:t>
      </w:r>
      <w:r>
        <w:rPr>
          <w:lang w:val="en_US" w:bidi="en_US"/>
        </w:rPr>
        <w:t>God</w:t>
      </w:r>
      <w:r>
        <w:rPr>
          <w:lang w:val="en_US" w:bidi="en_US"/>
        </w:rPr>
        <w:t xml:space="preserve"> will humble everyone who exalts himself</w:t>
      </w:r>
    </w:p>
    <w:p>
      <w:pPr/>
      <w:r>
        <w:rPr>
          <w:lang w:val="en_US" w:bidi="en_US"/>
        </w:rPr>
      </w:r>
      <w:r>
        <w:rPr>
          <w:lang w:val="en_US" w:bidi="en_US"/>
        </w:rPr>
        <w:t>In some languages it may be more natural to reword this clause as an “if” clause followed by a conclusion. For example:</w:t>
      </w:r>
    </w:p>
    <w:p>
      <w:pPr/>
      <w:r>
        <w:rPr>
          <w:lang w:val="en_US" w:bidi="en_US"/>
        </w:rPr>
      </w:r>
      <w:r>
        <w:rPr>
          <w:lang w:val="en_US" w:bidi="en_US"/>
        </w:rPr>
        <w:t>If you put yourself above others, you will be put down. (CEV)</w:t>
      </w:r>
    </w:p>
    <w:p>
      <w:pPr/>
      <w:r>
        <w:rPr>
          <w:lang w:val="en_US" w:bidi="en_US"/>
        </w:rPr>
      </w:r>
      <w:r>
        <w:rPr>
          <w:b/>
          <w:lang w:val="en_US" w:bidi="en_US"/>
        </w:rPr>
        <w:t>exalts himself:</w:t>
      </w:r>
      <w:r>
        <w:rPr>
          <w:lang w:val="en_US" w:bidi="en_US"/>
        </w:rPr>
        <w:t xml:space="preserve"> The Greek phrase that the BSB translates as </w:t>
      </w:r>
      <w:r>
        <w:rPr>
          <w:i/>
          <w:lang w:val="en_US" w:bidi="en_US"/>
        </w:rPr>
        <w:t>exalts himself</w:t>
      </w:r>
      <w:r>
        <w:rPr>
          <w:lang w:val="en_US" w:bidi="en_US"/>
        </w:rPr>
        <w:t xml:space="preserve"> literally means “to raise or lift up oneself.” This is a figurative way to describe someone who tries to gain honor from other people. Some other ways to translate this are:</w:t>
      </w:r>
    </w:p>
    <w:p>
      <w:pPr/>
      <w:r>
        <w:rPr>
          <w:lang w:val="en_US" w:bidi="en_US"/>
        </w:rPr>
      </w:r>
      <w:r>
        <w:rPr>
          <w:lang w:val="en_US" w:bidi="en_US"/>
        </w:rPr>
        <w:t>make themselves great (GNT)</w:t>
      </w:r>
    </w:p>
    <w:p>
      <w:pPr/>
      <w:r>
        <w:rPr>
          <w:lang w:val="en_US" w:bidi="en_US"/>
        </w:rPr>
      </w:r>
      <w:r>
        <w:rPr>
          <w:lang w:val="en_US" w:bidi="en_US"/>
        </w:rPr>
        <w:t>tries to</w:t>
      </w:r>
      <w:r>
        <w:rPr>
          <w:lang w:val="en_US" w:bidi="en_US"/>
        </w:rPr>
        <w:t xml:space="preserve"> make himself look important</w:t>
      </w:r>
    </w:p>
    <w:p>
      <w:pPr>
        <w:pStyle w:val="Heading5"/>
      </w:pPr>
      <w:r>
        <w:rPr>
          <w:lang w:val="en_US" w:bidi="en_US"/>
        </w:rPr>
        <w:t>18:14d</w:t>
      </w:r>
    </w:p>
    <w:p>
      <w:pPr/>
      <w:r>
        <w:rPr>
          <w:lang w:val="en_US" w:bidi="en_US"/>
        </w:rPr>
      </w:r>
      <w:r>
        <w:rPr>
          <w:b/>
          <w:lang w:val="en_US" w:bidi="en_US"/>
        </w:rPr>
        <w:t>but the one who humbles himself will be exalted.”</w:t>
      </w:r>
    </w:p>
    <w:p>
      <w:pPr>
        <w:pStyle w:val="ListBullet"/>
        <w:spacing w:line="240" w:lineRule="auto"/>
        <w:ind w:left="720"/>
      </w:pPr>
      <w:r>
        <w:rPr>
          <w:lang w:val="en_US" w:bidi="en_US"/>
        </w:rPr>
      </w:r>
      <w:r>
        <w:rPr>
          <w:lang w:val="en_US" w:bidi="en_US"/>
        </w:rPr>
        <w:t>but/while the person who has a humble/lowly attitude will be raised/honored.”</w:t>
      </w:r>
    </w:p>
    <w:p>
      <w:pPr>
        <w:pStyle w:val="ListBullet"/>
        <w:spacing w:line="240" w:lineRule="auto"/>
        <w:ind w:left="720"/>
      </w:pPr>
      <w:r>
        <w:rPr>
          <w:lang w:val="en_US" w:bidi="en_US"/>
        </w:rPr>
      </w:r>
      <w:r>
        <w:rPr>
          <w:lang w:val="en_US" w:bidi="en_US"/>
        </w:rPr>
        <w:t xml:space="preserve">And </w:t>
      </w:r>
      <w:r>
        <w:rPr>
          <w:lang w:val="en_US" w:bidi="en_US"/>
        </w:rPr>
        <w:t>God</w:t>
      </w:r>
      <w:r>
        <w:rPr>
          <w:lang w:val="en_US" w:bidi="en_US"/>
        </w:rPr>
        <w:t xml:space="preserve"> will </w:t>
      </w:r>
      <w:r>
        <w:rPr>
          <w:lang w:val="en_US" w:bidi="en_US"/>
        </w:rPr>
        <w:t>also</w:t>
      </w:r>
      <w:r>
        <w:rPr>
          <w:lang w:val="en_US" w:bidi="en_US"/>
        </w:rPr>
        <w:t xml:space="preserve"> make important </w:t>
      </w:r>
      <w:r>
        <w:rPr>
          <w:lang w:val="en_US" w:bidi="en_US"/>
        </w:rPr>
        <w:t>every</w:t>
      </w:r>
      <w:r>
        <w:rPr>
          <w:lang w:val="en_US" w:bidi="en_US"/>
        </w:rPr>
        <w:t xml:space="preserve"> person who makes himself unimportant/humble/low.”</w:t>
      </w:r>
    </w:p>
    <w:p>
      <w:pPr>
        <w:pStyle w:val="ListBullet"/>
        <w:spacing w:line="240" w:lineRule="auto"/>
        <w:ind w:left="720"/>
      </w:pPr>
      <w:r>
        <w:rPr>
          <w:lang w:val="en_US" w:bidi="en_US"/>
        </w:rPr>
      </w:r>
      <w:r>
        <w:rPr>
          <w:lang w:val="en_US" w:bidi="en_US"/>
        </w:rPr>
        <w:t>but when a person lowers/humbles himself, he will be raised/honored.”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another principle that Jesus illustrated by the parable in 18:10–14. This principle corresponds to the principle in 18:14b. However, the results of a person humbling himself (18:14c) contrast with the results of exalting himself (18:14b). That is the reason why some English versions have </w:t>
      </w:r>
      <w:r>
        <w:rPr>
          <w:i/>
          <w:lang w:val="en_US" w:bidi="en_US"/>
        </w:rPr>
        <w:t>but</w:t>
      </w:r>
      <w:r>
        <w:rPr>
          <w:lang w:val="en_US" w:bidi="en_US"/>
        </w:rPr>
        <w:t xml:space="preserve"> here. For example:</w:t>
      </w:r>
    </w:p>
    <w:p>
      <w:pPr/>
      <w:r>
        <w:rPr>
          <w:lang w:val="en_US" w:bidi="en_US"/>
        </w:rPr>
      </w:r>
      <w:r>
        <w:rPr>
          <w:lang w:val="en_US" w:bidi="en_US"/>
        </w:rPr>
        <w:t>but the person who humbles himself will be honored (GW)</w:t>
      </w:r>
    </w:p>
    <w:p>
      <w:pPr/>
      <w:r>
        <w:rPr>
          <w:lang w:val="en_US" w:bidi="en_US"/>
        </w:rPr>
      </w:r>
      <w:r>
        <w:rPr>
          <w:lang w:val="en_US" w:bidi="en_US"/>
        </w:rPr>
        <w:t>Connect 18:14b and 18:14c in a natural way in your language.</w:t>
      </w:r>
    </w:p>
    <w:p>
      <w:pPr/>
      <w:r>
        <w:rPr>
          <w:lang w:val="en_US" w:bidi="en_US"/>
        </w:rPr>
      </w:r>
      <w:r>
        <w:rPr>
          <w:b/>
          <w:lang w:val="en_US" w:bidi="en_US"/>
        </w:rPr>
        <w:t>the one who humbles himself will be exalted:</w:t>
      </w:r>
      <w:r>
        <w:rPr>
          <w:lang w:val="en_US" w:bidi="en_US"/>
        </w:rPr>
        <w:t xml:space="preserve"> This clause indicates that if a person decides to be humble and willingly takes a place of low status, God will honor him. As in the previous clause, in some languages it will be necessary to make the implied subject “God” explicit. For example:</w:t>
      </w:r>
    </w:p>
    <w:p>
      <w:pPr/>
      <w:r>
        <w:rPr>
          <w:lang w:val="en_US" w:bidi="en_US"/>
        </w:rPr>
      </w:r>
      <w:r>
        <w:rPr>
          <w:lang w:val="en_US" w:bidi="en_US"/>
        </w:rPr>
        <w:t>God</w:t>
      </w:r>
      <w:r>
        <w:rPr>
          <w:lang w:val="en_US" w:bidi="en_US"/>
        </w:rPr>
        <w:t xml:space="preserve"> will honor the one who humbles himself.</w:t>
      </w:r>
    </w:p>
    <w:p>
      <w:pPr/>
      <w:r>
        <w:rPr>
          <w:lang w:val="en_US" w:bidi="en_US"/>
        </w:rPr>
      </w:r>
      <w:r>
        <w:rPr>
          <w:lang w:val="en_US" w:bidi="en_US"/>
        </w:rPr>
        <w:t>If you used an “if” clause in the previous part of the verse, you will probably need to do the same thing here. For example:</w:t>
      </w:r>
    </w:p>
    <w:p>
      <w:pPr/>
      <w:r>
        <w:rPr>
          <w:lang w:val="en_US" w:bidi="en_US"/>
        </w:rPr>
      </w:r>
      <w:r>
        <w:rPr>
          <w:lang w:val="en_US" w:bidi="en_US"/>
        </w:rPr>
        <w:t>But if you humble yourself, you will be honored. (CEV)</w:t>
      </w:r>
    </w:p>
    <w:p>
      <w:pPr/>
      <w:r>
        <w:rPr>
          <w:lang w:val="en_US" w:bidi="en_US"/>
        </w:rPr>
      </w:r>
      <w:r>
        <w:rPr>
          <w:lang w:val="en_US" w:bidi="en_US"/>
        </w:rPr>
        <w:t>In some languages it may be natural to use direct speech here. For example:</w:t>
      </w:r>
    </w:p>
    <w:p>
      <w:pPr/>
      <w:r>
        <w:rPr>
          <w:lang w:val="en_US" w:bidi="en_US"/>
        </w:rPr>
      </w:r>
      <w:r>
        <w:rPr>
          <w:lang w:val="en_US" w:bidi="en_US"/>
        </w:rPr>
        <w:t>God will say this about people who humble themselves: “They are great.”</w:t>
      </w:r>
    </w:p>
    <w:p>
      <w:pPr>
        <w:pStyle w:val="Heading6"/>
      </w:pPr>
      <w:r>
        <w:rPr>
          <w:b/>
          <w:lang w:val="en_US" w:bidi="en_US"/>
        </w:rPr>
        <w:t>General Comment on 18:14a–b</w:t>
      </w:r>
    </w:p>
    <w:p>
      <w:pPr/>
      <w:r>
        <w:rPr>
          <w:lang w:val="en_US" w:bidi="en_US"/>
        </w:rPr>
      </w:r>
      <w:r>
        <w:rPr>
          <w:lang w:val="en_US" w:bidi="en_US"/>
        </w:rPr>
        <w:t>In 18:14a–b the BSB has arranged the phrases in a different order from the Greek text. The Greek order is literally, “I say to you, this one went down, having been justified, to his house, rather than that one.” Another way to translate this, following this order, is:</w:t>
      </w:r>
    </w:p>
    <w:p>
      <w:pPr/>
      <w:r>
        <w:rPr>
          <w:lang w:val="en_US" w:bidi="en_US"/>
        </w:rPr>
      </w:r>
      <w:r>
        <w:rPr>
          <w:lang w:val="en_US" w:bidi="en_US"/>
        </w:rPr>
        <w:t>I tell you that this man went down to his home justified rather than the Pharisee. (NET)</w:t>
      </w:r>
    </w:p>
    <w:p>
      <w:pPr/>
      <w:r>
        <w:rPr>
          <w:lang w:val="en_US" w:bidi="en_US"/>
        </w:rPr>
      </w:r>
      <w:r>
        <w:rPr>
          <w:lang w:val="en_US" w:bidi="en_US"/>
        </w:rPr>
        <w:t>Use a natural order in your language.</w:t>
      </w:r>
      <w:r>
        <w:rPr>
          <w:lang w:val="en_US" w:bidi="en_US"/>
        </w:rPr>
      </w:r>
      <w:r>
        <w:rPr>
          <w:lang w:val="en_US" w:bidi="en_US"/>
        </w:rPr>
      </w:r>
    </w:p>
    <w:p>
      <w:pPr/>
      <w:r>
        <w:rPr>
          <w:lang w:val="en_US" w:bidi="en_US"/>
        </w:rPr>
      </w:r>
    </w:p>
    <w:p>
      <w:pPr>
        <w:pStyle w:val="Heading2"/>
      </w:pPr>
      <w:r>
        <w:rPr>
          <w:lang w:val="en_US" w:bidi="en_US"/>
        </w:rPr>
        <w:t>Luke 18:15</w:t>
      </w:r>
      <w:r>
        <w:rPr>
          <w:lang w:val="en_US" w:bidi="en_US"/>
        </w:rPr>
      </w:r>
    </w:p>
    <w:p>
      <w:pPr>
        <w:pStyle w:val="Heading4"/>
      </w:pPr>
      <w:r>
        <w:rPr>
          <w:lang w:val="en_US" w:bidi="en_US"/>
        </w:rPr>
        <w:t>Section 18:15–17: People should enter God’s kingdom humbly like children</w:t>
      </w:r>
    </w:p>
    <w:p>
      <w:pPr/>
      <w:r>
        <w:rPr>
          <w:lang w:val="en_US" w:bidi="en_US"/>
        </w:rPr>
      </w:r>
      <w:r>
        <w:rPr>
          <w:lang w:val="en_US" w:bidi="en_US"/>
        </w:rPr>
        <w:t>Jesus used the story of the tax collector in the previous section to teach that God accepts people who are humble. In this section he used young children to teach the same lesson. People brought their children so that Jesus could bless them. The disciples probably thought that Jesus was too busy as an important teacher to bless the children. So they tried to stop the people from bringing them, but Jesus allowed the children to come to him. He wanted to bless them. He said that the people whom God rules should be like children. The text does not say exactly how they should be like children. Some possibilities are that God’s people should have humble faith like children, they should depend on God, and they should humbly accept God’s authority to rule their lives.</w:t>
      </w:r>
    </w:p>
    <w:p>
      <w:pPr/>
      <w:r>
        <w:rPr>
          <w:lang w:val="en_US" w:bidi="en_US"/>
        </w:rPr>
      </w:r>
      <w:r>
        <w:rPr>
          <w:lang w:val="en_US" w:bidi="en_US"/>
        </w:rPr>
        <w:t>It is good to translate this section before you decide on a heading for it. Some examples of headings for this section are:</w:t>
      </w:r>
    </w:p>
    <w:p>
      <w:pPr/>
      <w:r>
        <w:rPr>
          <w:lang w:val="en_US" w:bidi="en_US"/>
        </w:rPr>
      </w:r>
      <w:r>
        <w:rPr>
          <w:lang w:val="en_US" w:bidi="en_US"/>
        </w:rPr>
        <w:t>Jesus Blesses Little Children (GNT)</w:t>
      </w:r>
    </w:p>
    <w:p>
      <w:pPr/>
      <w:r>
        <w:rPr>
          <w:lang w:val="en_US" w:bidi="en_US"/>
        </w:rPr>
      </w:r>
      <w:r>
        <w:rPr>
          <w:lang w:val="en_US" w:bidi="en_US"/>
        </w:rPr>
        <w:t>The kingdom is for people who are like children</w:t>
      </w:r>
    </w:p>
    <w:p>
      <w:pPr/>
      <w:r>
        <w:rPr>
          <w:lang w:val="en_US" w:bidi="en_US"/>
        </w:rPr>
      </w:r>
      <w:r>
        <w:rPr>
          <w:lang w:val="en_US" w:bidi="en_US"/>
        </w:rPr>
        <w:t>There are parallel passages for this section in Matthew 19:13–15 and Mark 10:13–16.</w:t>
      </w:r>
    </w:p>
    <w:p>
      <w:pPr>
        <w:pStyle w:val="Heading5"/>
      </w:pPr>
      <w:r>
        <w:rPr>
          <w:lang w:val="en_US" w:bidi="en_US"/>
        </w:rPr>
        <w:t>18:15a</w:t>
      </w:r>
    </w:p>
    <w:p>
      <w:pPr/>
      <w:r>
        <w:rPr>
          <w:lang w:val="en_US" w:bidi="en_US"/>
        </w:rPr>
      </w:r>
      <w:r>
        <w:rPr>
          <w:b/>
          <w:lang w:val="en_US" w:bidi="en_US"/>
        </w:rPr>
        <w:t>Now people were even bringing their babies to Jesus</w:t>
      </w:r>
    </w:p>
    <w:p>
      <w:pPr>
        <w:pStyle w:val="ListBullet"/>
        <w:spacing w:line="240" w:lineRule="auto"/>
        <w:ind w:left="720"/>
      </w:pPr>
      <w:r>
        <w:rPr>
          <w:lang w:val="en_US" w:bidi="en_US"/>
        </w:rPr>
      </w:r>
      <w:r>
        <w:rPr>
          <w:lang w:val="en_US" w:bidi="en_US"/>
        </w:rPr>
        <w:t>¶ People were also bringing their babies to Jesus</w:t>
      </w:r>
    </w:p>
    <w:p>
      <w:pPr>
        <w:pStyle w:val="ListBullet"/>
        <w:spacing w:line="240" w:lineRule="auto"/>
        <w:ind w:left="720"/>
      </w:pPr>
      <w:r>
        <w:rPr>
          <w:lang w:val="en_US" w:bidi="en_US"/>
        </w:rPr>
      </w:r>
      <w:r>
        <w:rPr>
          <w:lang w:val="en_US" w:bidi="en_US"/>
        </w:rPr>
        <w:t>¶ Some parents came to Jesus with their little/young children</w:t>
      </w:r>
    </w:p>
    <w:p>
      <w:pPr/>
      <w:r>
        <w:rPr>
          <w:lang w:val="en_US" w:bidi="en_US"/>
        </w:rPr>
      </w:r>
      <w:r>
        <w:rPr>
          <w:b/>
          <w:lang w:val="en_US" w:bidi="en_US"/>
        </w:rPr>
        <w:t>Now:</w:t>
      </w:r>
      <w:r>
        <w:rPr>
          <w:lang w:val="en_US" w:bidi="en_US"/>
        </w:rPr>
        <w:t xml:space="preserve"> The event in this section may not have happened during the same time period as the preceding section. Luke may have told about it here because it illustrated what Jesus taught in that section. Luke introduces this event with a Greek conjunction that the BSB translates as </w:t>
      </w:r>
      <w:r>
        <w:rPr>
          <w:i/>
          <w:lang w:val="en_US" w:bidi="en_US"/>
        </w:rPr>
        <w:t>Now</w:t>
      </w:r>
      <w:r>
        <w:rPr>
          <w:lang w:val="en_US" w:bidi="en_US"/>
        </w:rPr>
        <w:t xml:space="preserve"> to indicate that this verse part provides background information. In some languages it may be natural to begin this section with a general time phrase. For example:</w:t>
      </w:r>
    </w:p>
    <w:p>
      <w:pPr/>
      <w:r>
        <w:rPr>
          <w:lang w:val="en_US" w:bidi="en_US"/>
        </w:rPr>
      </w:r>
      <w:r>
        <w:rPr>
          <w:lang w:val="en_US" w:bidi="en_US"/>
        </w:rPr>
        <w:t>One day (NLT)</w:t>
      </w:r>
    </w:p>
    <w:p>
      <w:pPr/>
      <w:r>
        <w:rPr>
          <w:lang w:val="en_US" w:bidi="en_US"/>
        </w:rPr>
      </w:r>
      <w:r>
        <w:rPr>
          <w:b/>
          <w:lang w:val="en_US" w:bidi="en_US"/>
        </w:rPr>
        <w:t>people were even bringing:</w:t>
      </w:r>
      <w:r>
        <w:rPr>
          <w:lang w:val="en_US" w:bidi="en_US"/>
        </w:rPr>
        <w:t xml:space="preserve"> The Greek word that the BSB translates as </w:t>
      </w:r>
      <w:r>
        <w:rPr>
          <w:i/>
          <w:lang w:val="en_US" w:bidi="en_US"/>
        </w:rPr>
        <w:t>people were…bringing</w:t>
      </w:r>
      <w:r>
        <w:rPr>
          <w:lang w:val="en_US" w:bidi="en_US"/>
        </w:rPr>
        <w:t xml:space="preserve"> is more literally “they were bringing.” The RSV and several other English versions translate it that way. In some languages, it may be necessary to supply a general subject that includes both men and women. For example:</w:t>
      </w:r>
    </w:p>
    <w:p>
      <w:pPr/>
      <w:r>
        <w:rPr>
          <w:lang w:val="en_US" w:bidi="en_US"/>
        </w:rPr>
      </w:r>
      <w:r>
        <w:rPr>
          <w:lang w:val="en_US" w:bidi="en_US"/>
        </w:rPr>
        <w:t>some parents (NLT)</w:t>
      </w:r>
    </w:p>
    <w:p>
      <w:pPr/>
      <w:r>
        <w:rPr>
          <w:lang w:val="en_US" w:bidi="en_US"/>
        </w:rPr>
      </w:r>
      <w:r>
        <w:rPr>
          <w:lang w:val="en_US" w:bidi="en_US"/>
        </w:rPr>
        <w:t>Some people (GW)</w:t>
      </w:r>
    </w:p>
    <w:p>
      <w:pPr/>
      <w:r>
        <w:rPr>
          <w:lang w:val="en_US" w:bidi="en_US"/>
        </w:rPr>
      </w:r>
      <w:r>
        <w:rPr>
          <w:b/>
          <w:lang w:val="en_US" w:bidi="en_US"/>
        </w:rPr>
        <w:t>even…their babies to Jesus:</w:t>
      </w:r>
      <w:r>
        <w:rPr>
          <w:lang w:val="en_US" w:bidi="en_US"/>
        </w:rPr>
        <w:t xml:space="preserve"> The common Greek word that the BSB translates as </w:t>
      </w:r>
      <w:r>
        <w:rPr>
          <w:i/>
          <w:lang w:val="en_US" w:bidi="en_US"/>
        </w:rPr>
        <w:t>even</w:t>
      </w:r>
      <w:r>
        <w:rPr>
          <w:lang w:val="en_US" w:bidi="en_US"/>
        </w:rPr>
        <w:t xml:space="preserve"> here probably emphasizes </w:t>
      </w:r>
      <w:r>
        <w:rPr>
          <w:i/>
          <w:lang w:val="en_US" w:bidi="en_US"/>
        </w:rPr>
        <w:t>babies</w:t>
      </w:r>
      <w:r>
        <w:rPr>
          <w:lang w:val="en_US" w:bidi="en_US"/>
        </w:rPr>
        <w:t>.</w:t>
      </w:r>
      <w:r>
        <w:rPr>
          <w:lang w:val="en_US" w:bidi="en_US"/>
        </w:rPr>
        <w:t xml:space="preserve">This word is </w:t>
      </w:r>
      <w:r>
        <w:rPr>
          <w:i/>
          <w:lang w:val="en_US" w:bidi="en_US"/>
        </w:rPr>
        <w:t>kai</w:t>
      </w:r>
      <w:r>
        <w:rPr>
          <w:lang w:val="en_US" w:bidi="en_US"/>
        </w:rPr>
        <w:t xml:space="preserve">. Several versions translate it here as “even,” including the BSB, NJB, RSV, NASB, NET, and NCV. Other versions, including NIV, KJV, GNT, REB, CEV, and GW, do not translate with “even.” A number of commentators mention the emphatic nature of </w:t>
      </w:r>
      <w:r>
        <w:rPr>
          <w:i/>
          <w:lang w:val="en_US" w:bidi="en_US"/>
        </w:rPr>
        <w:t>kai</w:t>
      </w:r>
      <w:r>
        <w:rPr>
          <w:lang w:val="en_US" w:bidi="en_US"/>
        </w:rPr>
        <w:t xml:space="preserve"> here. For example, Johnson (p. 275) says, “Luke uses </w:t>
      </w:r>
      <w:r>
        <w:rPr>
          <w:i/>
          <w:lang w:val="en_US" w:bidi="en_US"/>
        </w:rPr>
        <w:t>brephe</w:t>
      </w:r>
      <w:r>
        <w:rPr>
          <w:lang w:val="en_US" w:bidi="en_US"/>
        </w:rPr>
        <w:t xml:space="preserve"> (‘infants’) and the </w:t>
      </w:r>
      <w:r>
        <w:rPr>
          <w:i/>
          <w:lang w:val="en_US" w:bidi="en_US"/>
        </w:rPr>
        <w:t>kai</w:t>
      </w:r>
      <w:r>
        <w:rPr>
          <w:lang w:val="en_US" w:bidi="en_US"/>
        </w:rPr>
        <w:t xml:space="preserve"> is emphatic (perhaps because of this word choice).” Nolland (p. 881) says, “Jesus welcomes infants and challenges all to receive the preaching of the kingdom of God in a childlike manner….Luke makes the Markan point yet more extreme…by adding </w:t>
      </w:r>
      <w:r>
        <w:rPr>
          <w:i/>
          <w:lang w:val="en_US" w:bidi="en_US"/>
        </w:rPr>
        <w:t>kai</w:t>
      </w:r>
      <w:r>
        <w:rPr>
          <w:lang w:val="en_US" w:bidi="en_US"/>
        </w:rPr>
        <w:t xml:space="preserve">, ‘even’.” Green says, “Luke’s phrase ‘even infants’ draws attention to the particular vulnerability of the smallest of children, perhaps accounting for the widespread practice of infanticide and child abandonment—and, thus, for the suitability of the infant as a particularly effective example of the lowliness accented in verses 9–14.” A few commentators, including Arndt (p. 381) and Reiling and Swellengrebel (pp. 602–603), mention that the </w:t>
      </w:r>
      <w:r>
        <w:rPr>
          <w:i/>
          <w:lang w:val="en_US" w:bidi="en_US"/>
        </w:rPr>
        <w:t>kai</w:t>
      </w:r>
      <w:r>
        <w:rPr>
          <w:lang w:val="en_US" w:bidi="en_US"/>
        </w:rPr>
        <w:t xml:space="preserve"> could imply “also, in addition to sick people.” This seems more unlikely, since sick people are not mentioned in the near context.</w:t>
      </w:r>
      <w:r>
        <w:rPr>
          <w:lang w:val="en_US" w:bidi="en_US"/>
        </w:rPr>
        <w:t xml:space="preserve"> The babies were another group of humble people like the tax collector in 18:9–14. Jesus welcomed even babies, who had no status in the society. Another way to translate this emphasis in English is:</w:t>
      </w:r>
    </w:p>
    <w:p>
      <w:pPr/>
      <w:r>
        <w:rPr>
          <w:lang w:val="en_US" w:bidi="en_US"/>
        </w:rPr>
      </w:r>
      <w:r>
        <w:rPr>
          <w:lang w:val="en_US" w:bidi="en_US"/>
        </w:rPr>
        <w:t xml:space="preserve">they were bringing </w:t>
      </w:r>
      <w:r>
        <w:rPr>
          <w:u w:val="single"/>
          <w:lang w:val="en_US" w:bidi="en_US"/>
        </w:rPr>
        <w:t>even</w:t>
      </w:r>
      <w:r>
        <w:rPr>
          <w:lang w:val="en_US" w:bidi="en_US"/>
        </w:rPr>
        <w:t xml:space="preserve"> infants to him (RSV)</w:t>
      </w:r>
    </w:p>
    <w:p>
      <w:pPr/>
      <w:r>
        <w:rPr>
          <w:lang w:val="en_US" w:bidi="en_US"/>
        </w:rPr>
      </w:r>
      <w:r>
        <w:rPr>
          <w:lang w:val="en_US" w:bidi="en_US"/>
        </w:rPr>
        <w:t>In some languages the emphasis may be difficult to translate or it may imply a wrong meaning. If that is true in your language, you may choose not to translate this word. For example:</w:t>
      </w:r>
    </w:p>
    <w:p>
      <w:pPr/>
      <w:r>
        <w:rPr>
          <w:lang w:val="en_US" w:bidi="en_US"/>
        </w:rPr>
      </w:r>
      <w:r>
        <w:rPr>
          <w:lang w:val="en_US" w:bidi="en_US"/>
        </w:rPr>
        <w:t>Some people brought their babies to Jesus (GNT)</w:t>
      </w:r>
    </w:p>
    <w:p>
      <w:pPr/>
      <w:r>
        <w:rPr>
          <w:lang w:val="en_US" w:bidi="en_US"/>
        </w:rPr>
      </w:r>
      <w:r>
        <w:rPr>
          <w:b/>
          <w:lang w:val="en_US" w:bidi="en_US"/>
        </w:rPr>
        <w:t>their babies:</w:t>
      </w:r>
      <w:r>
        <w:rPr>
          <w:lang w:val="en_US" w:bidi="en_US"/>
        </w:rPr>
        <w:t xml:space="preserve"> The Greek word that the BSB translates as </w:t>
      </w:r>
      <w:r>
        <w:rPr>
          <w:i/>
          <w:lang w:val="en_US" w:bidi="en_US"/>
        </w:rPr>
        <w:t>babies</w:t>
      </w:r>
      <w:r>
        <w:rPr>
          <w:lang w:val="en_US" w:bidi="en_US"/>
        </w:rPr>
        <w:t xml:space="preserve"> refers to infants or very young children. It was normally used of children who still needed their parents to carry them. However, it could include other young children as well.</w:t>
      </w:r>
    </w:p>
    <w:p>
      <w:pPr>
        <w:pStyle w:val="Heading5"/>
      </w:pPr>
      <w:r>
        <w:rPr>
          <w:lang w:val="en_US" w:bidi="en_US"/>
        </w:rPr>
        <w:t>18:15b</w:t>
      </w:r>
    </w:p>
    <w:p>
      <w:pPr/>
      <w:r>
        <w:rPr>
          <w:lang w:val="en_US" w:bidi="en_US"/>
        </w:rPr>
      </w:r>
      <w:r>
        <w:rPr>
          <w:b/>
          <w:lang w:val="en_US" w:bidi="en_US"/>
        </w:rPr>
        <w:t>for Him to place His hands on them.</w:t>
      </w:r>
    </w:p>
    <w:p>
      <w:pPr>
        <w:pStyle w:val="ListBullet"/>
        <w:spacing w:line="240" w:lineRule="auto"/>
        <w:ind w:left="720"/>
      </w:pPr>
      <w:r>
        <w:rPr>
          <w:lang w:val="en_US" w:bidi="en_US"/>
        </w:rPr>
      </w:r>
      <w:r>
        <w:rPr>
          <w:lang w:val="en_US" w:bidi="en_US"/>
        </w:rPr>
        <w:t xml:space="preserve">so that he would lay/place his hands on them </w:t>
      </w:r>
      <w:r>
        <w:rPr>
          <w:lang w:val="en_US" w:bidi="en_US"/>
        </w:rPr>
        <w:t>to bless them</w:t>
      </w:r>
      <w:r>
        <w:rPr>
          <w:lang w:val="en_US" w:bidi="en_US"/>
        </w:rPr>
        <w:t>.</w:t>
      </w:r>
    </w:p>
    <w:p>
      <w:pPr>
        <w:pStyle w:val="ListBullet"/>
        <w:spacing w:line="240" w:lineRule="auto"/>
        <w:ind w:left="720"/>
      </w:pPr>
      <w:r>
        <w:rPr>
          <w:lang w:val="en_US" w:bidi="en_US"/>
        </w:rPr>
      </w:r>
      <w:r>
        <w:rPr>
          <w:lang w:val="en_US" w:bidi="en_US"/>
        </w:rPr>
        <w:t xml:space="preserve">to ask/beg him to give them </w:t>
      </w:r>
      <w:r>
        <w:rPr>
          <w:lang w:val="en_US" w:bidi="en_US"/>
        </w:rPr>
        <w:t>his/God’s</w:t>
      </w:r>
      <w:r>
        <w:rPr>
          <w:lang w:val="en_US" w:bidi="en_US"/>
        </w:rPr>
        <w:t xml:space="preserve"> blessing.</w:t>
      </w:r>
    </w:p>
    <w:p>
      <w:pPr/>
      <w:r>
        <w:rPr>
          <w:lang w:val="en_US" w:bidi="en_US"/>
        </w:rPr>
      </w:r>
      <w:r>
        <w:rPr>
          <w:b/>
          <w:lang w:val="en_US" w:bidi="en_US"/>
        </w:rPr>
        <w:t>for Him to place His hands on them:</w:t>
      </w:r>
      <w:r>
        <w:rPr>
          <w:lang w:val="en_US" w:bidi="en_US"/>
        </w:rPr>
        <w:t xml:space="preserve"> The phrase </w:t>
      </w:r>
      <w:r>
        <w:rPr>
          <w:i/>
          <w:lang w:val="en_US" w:bidi="en_US"/>
        </w:rPr>
        <w:t>for Him to place His hands on them</w:t>
      </w:r>
      <w:r>
        <w:rPr>
          <w:lang w:val="en_US" w:bidi="en_US"/>
        </w:rPr>
        <w:t xml:space="preserve"> tells the purpose for the people bringing children to Jesus. Other ways to translate this purpose are:</w:t>
      </w:r>
    </w:p>
    <w:p>
      <w:pPr/>
      <w:r>
        <w:rPr>
          <w:lang w:val="en_US" w:bidi="en_US"/>
        </w:rPr>
      </w:r>
      <w:r>
        <w:rPr>
          <w:lang w:val="en_US" w:bidi="en_US"/>
        </w:rPr>
        <w:t>for him to touch (REB)</w:t>
      </w:r>
    </w:p>
    <w:p>
      <w:pPr/>
      <w:r>
        <w:rPr>
          <w:lang w:val="en_US" w:bidi="en_US"/>
        </w:rPr>
      </w:r>
      <w:r>
        <w:rPr>
          <w:lang w:val="en_US" w:bidi="en_US"/>
        </w:rPr>
        <w:t>so he could touch them (NCV)</w:t>
      </w:r>
    </w:p>
    <w:p>
      <w:pPr/>
      <w:r>
        <w:rPr>
          <w:lang w:val="en_US" w:bidi="en_US"/>
        </w:rPr>
      </w:r>
      <w:r>
        <w:rPr>
          <w:lang w:val="en_US" w:bidi="en_US"/>
        </w:rPr>
        <w:t xml:space="preserve">In this context </w:t>
      </w:r>
      <w:r>
        <w:rPr>
          <w:i/>
          <w:lang w:val="en_US" w:bidi="en_US"/>
        </w:rPr>
        <w:t>place…hands on</w:t>
      </w:r>
      <w:r>
        <w:rPr>
          <w:lang w:val="en_US" w:bidi="en_US"/>
        </w:rPr>
        <w:t xml:space="preserve"> is a symbolic action. It refers to giving a blessing. In Jewish culture, parents often brought a young child to a religious leader so that he could bless the child. When the leader gave the blessing, he would place his hands on the child’s head and pray for him.</w:t>
      </w:r>
      <w:r>
        <w:rPr>
          <w:lang w:val="en_US" w:bidi="en_US"/>
        </w:rPr>
        <w:t>Jewish leaders usually touched people on the head when they prayed that God would bless them.</w:t>
      </w:r>
    </w:p>
    <w:p>
      <w:pPr/>
      <w:r>
        <w:rPr>
          <w:lang w:val="en_US" w:bidi="en_US"/>
        </w:rPr>
      </w:r>
      <w:r>
        <w:rPr>
          <w:lang w:val="en_US" w:bidi="en_US"/>
        </w:rPr>
        <w:t xml:space="preserve">In some areas people may not understand the special meaning of the phrase </w:t>
      </w:r>
      <w:r>
        <w:rPr>
          <w:i/>
          <w:lang w:val="en_US" w:bidi="en_US"/>
        </w:rPr>
        <w:t>place His hands on</w:t>
      </w:r>
      <w:r>
        <w:rPr>
          <w:lang w:val="en_US" w:bidi="en_US"/>
        </w:rPr>
        <w:t xml:space="preserve"> in this context. If that is true in your area, some other ways to translate it are:</w:t>
      </w:r>
    </w:p>
    <w:p>
      <w:pPr>
        <w:pStyle w:val="ListBullet"/>
        <w:spacing w:line="240" w:lineRule="auto"/>
        <w:ind w:left="720"/>
      </w:pPr>
      <w:r>
        <w:rPr>
          <w:lang w:val="en_US" w:bidi="en_US"/>
        </w:rPr>
      </w:r>
      <w:r>
        <w:rPr>
          <w:lang w:val="en_US" w:bidi="en_US"/>
        </w:rPr>
        <w:t>Translate the action and make the meaning explicit. For example:</w:t>
      </w:r>
      <w:r>
        <w:rPr>
          <w:lang w:val="en_US" w:bidi="en_US"/>
        </w:rPr>
        <w:t xml:space="preserve">to touch them </w:t>
      </w:r>
      <w:r>
        <w:rPr>
          <w:lang w:val="en_US" w:bidi="en_US"/>
        </w:rPr>
        <w:t>and bless them</w:t>
      </w:r>
      <w:r>
        <w:rPr>
          <w:lang w:val="en_US" w:bidi="en_US"/>
        </w:rPr>
        <w:t xml:space="preserve">to put his hand on their </w:t>
      </w:r>
      <w:r>
        <w:rPr>
          <w:lang w:val="en_US" w:bidi="en_US"/>
        </w:rPr>
        <w:t>heads</w:t>
      </w:r>
      <w:r>
        <w:rPr>
          <w:lang w:val="en_US" w:bidi="en_US"/>
        </w:rPr>
        <w:t xml:space="preserve"> and ask God to be good/kind to them</w:t>
      </w:r>
    </w:p>
    <w:p>
      <w:pPr>
        <w:pStyle w:val="ListBullet"/>
        <w:spacing w:line="240" w:lineRule="auto"/>
        <w:ind w:left="720"/>
      </w:pPr>
      <w:r>
        <w:rPr>
          <w:lang w:val="en_US" w:bidi="en_US"/>
        </w:rPr>
      </w:r>
      <w:r>
        <w:rPr>
          <w:lang w:val="en_US" w:bidi="en_US"/>
        </w:rPr>
        <w:t>Translate only the meaning of the action. For example:</w:t>
      </w:r>
      <w:r>
        <w:rPr>
          <w:lang w:val="en_US" w:bidi="en_US"/>
        </w:rPr>
        <w:t>to bless them</w:t>
      </w:r>
      <w:r>
        <w:rPr>
          <w:lang w:val="en_US" w:bidi="en_US"/>
        </w:rPr>
        <w:t>to give them God’s/his blessing</w:t>
      </w:r>
      <w:r>
        <w:rPr>
          <w:lang w:val="en_US" w:bidi="en_US"/>
        </w:rPr>
        <w:t>to ask God to favor them</w:t>
      </w:r>
    </w:p>
    <w:p>
      <w:pPr/>
      <w:r>
        <w:rPr>
          <w:lang w:val="en_US" w:bidi="en_US"/>
        </w:rPr>
      </w:r>
      <w:r>
        <w:rPr>
          <w:lang w:val="en_US" w:bidi="en_US"/>
        </w:rPr>
        <w:t>For more information, see bless, Meaning 1, in the Glossary.</w:t>
      </w:r>
    </w:p>
    <w:p>
      <w:pPr>
        <w:pStyle w:val="Heading5"/>
      </w:pPr>
      <w:r>
        <w:rPr>
          <w:lang w:val="en_US" w:bidi="en_US"/>
        </w:rPr>
        <w:t>18:15c</w:t>
      </w:r>
    </w:p>
    <w:p>
      <w:pPr/>
      <w:r>
        <w:rPr>
          <w:lang w:val="en_US" w:bidi="en_US"/>
        </w:rPr>
      </w:r>
      <w:r>
        <w:rPr>
          <w:b/>
          <w:lang w:val="en_US" w:bidi="en_US"/>
        </w:rPr>
        <w:t>And when the disciples saw this,</w:t>
      </w:r>
    </w:p>
    <w:p>
      <w:pPr>
        <w:pStyle w:val="ListBullet"/>
        <w:spacing w:line="240" w:lineRule="auto"/>
        <w:ind w:left="720"/>
      </w:pPr>
      <w:r>
        <w:rPr>
          <w:lang w:val="en_US" w:bidi="en_US"/>
        </w:rPr>
      </w:r>
      <w:r>
        <w:rPr>
          <w:lang w:val="en_US" w:bidi="en_US"/>
        </w:rPr>
        <w:t xml:space="preserve">The disciples saw </w:t>
      </w:r>
      <w:r>
        <w:rPr>
          <w:lang w:val="en_US" w:bidi="en_US"/>
        </w:rPr>
        <w:t>what was happening</w:t>
      </w:r>
    </w:p>
    <w:p>
      <w:pPr>
        <w:pStyle w:val="ListBullet"/>
        <w:spacing w:line="240" w:lineRule="auto"/>
        <w:ind w:left="720"/>
      </w:pPr>
      <w:r>
        <w:rPr>
          <w:lang w:val="en_US" w:bidi="en_US"/>
        </w:rPr>
      </w:r>
      <w:r>
        <w:rPr>
          <w:lang w:val="en_US" w:bidi="en_US"/>
        </w:rPr>
        <w:t>When his followers saw this,</w:t>
      </w:r>
    </w:p>
    <w:p>
      <w:pPr/>
      <w:r>
        <w:rPr>
          <w:lang w:val="en_US" w:bidi="en_US"/>
        </w:rPr>
      </w:r>
      <w:r>
        <w:rPr>
          <w:b/>
          <w:lang w:val="en_US" w:bidi="en_US"/>
        </w:rPr>
        <w:t>And when the disciples saw this:</w:t>
      </w:r>
      <w:r>
        <w:rPr>
          <w:lang w:val="en_US" w:bidi="en_US"/>
        </w:rPr>
        <w:t xml:space="preserve"> The word </w:t>
      </w:r>
      <w:r>
        <w:rPr>
          <w:i/>
          <w:lang w:val="en_US" w:bidi="en_US"/>
        </w:rPr>
        <w:t>this</w:t>
      </w:r>
      <w:r>
        <w:rPr>
          <w:lang w:val="en_US" w:bidi="en_US"/>
        </w:rPr>
        <w:t xml:space="preserve"> refers to people bringing little children to Jesus. Other ways to translate the clause are:</w:t>
      </w:r>
    </w:p>
    <w:p>
      <w:pPr/>
      <w:r>
        <w:rPr>
          <w:lang w:val="en_US" w:bidi="en_US"/>
        </w:rPr>
      </w:r>
      <w:r>
        <w:rPr>
          <w:lang w:val="en_US" w:bidi="en_US"/>
        </w:rPr>
        <w:t>But when his disciples saw them doing this (CEV)</w:t>
      </w:r>
    </w:p>
    <w:p>
      <w:pPr/>
      <w:r>
        <w:rPr>
          <w:lang w:val="en_US" w:bidi="en_US"/>
        </w:rPr>
      </w:r>
      <w:r>
        <w:rPr>
          <w:lang w:val="en_US" w:bidi="en_US"/>
        </w:rPr>
        <w:t>when the disciples saw them (REB)</w:t>
      </w:r>
    </w:p>
    <w:p>
      <w:pPr>
        <w:pStyle w:val="Heading5"/>
      </w:pPr>
      <w:r>
        <w:rPr>
          <w:lang w:val="en_US" w:bidi="en_US"/>
        </w:rPr>
        <w:t>18:15d</w:t>
      </w:r>
    </w:p>
    <w:p>
      <w:pPr/>
      <w:r>
        <w:rPr>
          <w:lang w:val="en_US" w:bidi="en_US"/>
        </w:rPr>
      </w:r>
      <w:r>
        <w:rPr>
          <w:b/>
          <w:lang w:val="en_US" w:bidi="en_US"/>
        </w:rPr>
        <w:t>they rebuked those who brought them.</w:t>
      </w:r>
    </w:p>
    <w:p>
      <w:pPr>
        <w:pStyle w:val="ListBullet"/>
        <w:spacing w:line="240" w:lineRule="auto"/>
        <w:ind w:left="720"/>
      </w:pPr>
      <w:r>
        <w:rPr>
          <w:lang w:val="en_US" w:bidi="en_US"/>
        </w:rPr>
      </w:r>
      <w:r>
        <w:rPr>
          <w:lang w:val="en_US" w:bidi="en_US"/>
        </w:rPr>
        <w:t>and scolded the people.</w:t>
      </w:r>
    </w:p>
    <w:p>
      <w:pPr>
        <w:pStyle w:val="ListBullet"/>
        <w:spacing w:line="240" w:lineRule="auto"/>
        <w:ind w:left="720"/>
      </w:pPr>
      <w:r>
        <w:rPr>
          <w:lang w:val="en_US" w:bidi="en_US"/>
        </w:rPr>
      </w:r>
      <w:r>
        <w:rPr>
          <w:lang w:val="en_US" w:bidi="en_US"/>
        </w:rPr>
        <w:t xml:space="preserve">they told </w:t>
      </w:r>
      <w:r>
        <w:rPr>
          <w:lang w:val="en_US" w:bidi="en_US"/>
        </w:rPr>
        <w:t>the parents</w:t>
      </w:r>
      <w:r>
        <w:rPr>
          <w:lang w:val="en_US" w:bidi="en_US"/>
        </w:rPr>
        <w:t xml:space="preserve"> not to </w:t>
      </w:r>
      <w:r>
        <w:rPr>
          <w:lang w:val="en_US" w:bidi="en_US"/>
        </w:rPr>
        <w:t>bring their little/young children to Jesus</w:t>
      </w:r>
      <w:r>
        <w:rPr>
          <w:lang w:val="en_US" w:bidi="en_US"/>
        </w:rPr>
        <w:t>.</w:t>
      </w:r>
    </w:p>
    <w:p>
      <w:pPr>
        <w:pStyle w:val="ListBullet"/>
        <w:spacing w:line="240" w:lineRule="auto"/>
        <w:ind w:left="720"/>
      </w:pPr>
      <w:r>
        <w:rPr>
          <w:lang w:val="en_US" w:bidi="en_US"/>
        </w:rPr>
      </w:r>
      <w:r>
        <w:rPr>
          <w:lang w:val="en_US" w:bidi="en_US"/>
        </w:rPr>
        <w:t>they said to the parents, “</w:t>
      </w:r>
      <w:r>
        <w:rPr>
          <w:lang w:val="en_US" w:bidi="en_US"/>
        </w:rPr>
        <w:t>You</w:t>
      </w:r>
      <w:r>
        <w:rPr>
          <w:vertAlign w:val="superscript"/>
          <w:lang w:val="en_US" w:bidi="en_US"/>
        </w:rPr>
        <w:t>(plur)</w:t>
      </w:r>
      <w:r>
        <w:rPr>
          <w:lang w:val="en_US" w:bidi="en_US"/>
        </w:rPr>
        <w:t xml:space="preserve"> </w:t>
      </w:r>
      <w:r>
        <w:rPr>
          <w:lang w:val="en_US" w:bidi="en_US"/>
        </w:rPr>
        <w:t>should</w:t>
      </w:r>
      <w:r>
        <w:rPr>
          <w:lang w:val="en_US" w:bidi="en_US"/>
        </w:rPr>
        <w:t xml:space="preserve"> not </w:t>
      </w:r>
      <w:r>
        <w:rPr>
          <w:lang w:val="en_US" w:bidi="en_US"/>
        </w:rPr>
        <w:t>bring your children</w:t>
      </w:r>
      <w:r>
        <w:rPr>
          <w:lang w:val="en_US" w:bidi="en_US"/>
        </w:rPr>
        <w:t xml:space="preserve"> </w:t>
      </w:r>
      <w:r>
        <w:rPr>
          <w:lang w:val="en_US" w:bidi="en_US"/>
        </w:rPr>
        <w:t>to Jesus</w:t>
      </w:r>
      <w:r>
        <w:rPr>
          <w:lang w:val="en_US" w:bidi="en_US"/>
        </w:rPr>
        <w:t xml:space="preserve"> </w:t>
      </w:r>
      <w:r>
        <w:rPr>
          <w:lang w:val="en_US" w:bidi="en_US"/>
        </w:rPr>
        <w:t>like this</w:t>
      </w:r>
      <w:r>
        <w:rPr>
          <w:lang w:val="en_US" w:bidi="en_US"/>
        </w:rPr>
        <w:t>.”</w:t>
      </w:r>
    </w:p>
    <w:p>
      <w:pPr/>
      <w:r>
        <w:rPr>
          <w:lang w:val="en_US" w:bidi="en_US"/>
        </w:rPr>
      </w:r>
      <w:r>
        <w:rPr>
          <w:b/>
          <w:lang w:val="en_US" w:bidi="en_US"/>
        </w:rPr>
        <w:t>they rebuked those who brought them:</w:t>
      </w:r>
      <w:r>
        <w:rPr>
          <w:lang w:val="en_US" w:bidi="en_US"/>
        </w:rPr>
        <w:t xml:space="preserve"> The phrase </w:t>
      </w:r>
      <w:r>
        <w:rPr>
          <w:i/>
          <w:lang w:val="en_US" w:bidi="en_US"/>
        </w:rPr>
        <w:t>they rebuked those who brought them</w:t>
      </w:r>
      <w:r>
        <w:rPr>
          <w:lang w:val="en_US" w:bidi="en_US"/>
        </w:rPr>
        <w:t xml:space="preserve"> indicates that Jesus’ disciples spoke sternly to the parents. They told them that they should not bring their babies to Jesus. For example:</w:t>
      </w:r>
    </w:p>
    <w:p>
      <w:pPr/>
      <w:r>
        <w:rPr>
          <w:lang w:val="en_US" w:bidi="en_US"/>
        </w:rPr>
      </w:r>
      <w:r>
        <w:rPr>
          <w:lang w:val="en_US" w:bidi="en_US"/>
        </w:rPr>
        <w:t>they told them to stop (NCV)</w:t>
      </w:r>
    </w:p>
    <w:p>
      <w:pPr/>
      <w:r>
        <w:rPr>
          <w:lang w:val="en_US" w:bidi="en_US"/>
        </w:rPr>
      </w:r>
      <w:r>
        <w:rPr>
          <w:lang w:val="en_US" w:bidi="en_US"/>
        </w:rPr>
        <w:t>they told the people not to do that (GW)</w:t>
      </w:r>
    </w:p>
    <w:p>
      <w:pPr/>
      <w:r>
        <w:rPr>
          <w:lang w:val="en_US" w:bidi="en_US"/>
        </w:rPr>
      </w:r>
      <w:r>
        <w:rPr>
          <w:lang w:val="en_US" w:bidi="en_US"/>
        </w:rPr>
        <w:t>In some languages it may be more natural to use direct speech here. For example:</w:t>
      </w:r>
    </w:p>
    <w:p>
      <w:pPr/>
      <w:r>
        <w:rPr>
          <w:lang w:val="en_US" w:bidi="en_US"/>
        </w:rPr>
      </w:r>
      <w:r>
        <w:rPr>
          <w:lang w:val="en_US" w:bidi="en_US"/>
        </w:rPr>
        <w:t xml:space="preserve">…but the disciples said </w:t>
      </w:r>
      <w:r>
        <w:rPr>
          <w:lang w:val="en_US" w:bidi="en_US"/>
        </w:rPr>
        <w:t>to the parents</w:t>
      </w:r>
      <w:r>
        <w:rPr>
          <w:lang w:val="en_US" w:bidi="en_US"/>
        </w:rPr>
        <w:t xml:space="preserve">, “Do not </w:t>
      </w:r>
      <w:r>
        <w:rPr>
          <w:lang w:val="en_US" w:bidi="en_US"/>
        </w:rPr>
        <w:t>bring the children/babies to him</w:t>
      </w:r>
      <w:r>
        <w:rPr>
          <w:lang w:val="en_US" w:bidi="en_US"/>
        </w:rPr>
        <w:t>.”</w:t>
      </w:r>
      <w:r>
        <w:rPr>
          <w:lang w:val="en_US" w:bidi="en_US"/>
        </w:rPr>
      </w:r>
      <w:r>
        <w:rPr>
          <w:lang w:val="en_US" w:bidi="en_US"/>
        </w:rPr>
      </w:r>
    </w:p>
    <w:p>
      <w:pPr/>
      <w:r>
        <w:rPr>
          <w:lang w:val="en_US" w:bidi="en_US"/>
        </w:rPr>
      </w:r>
    </w:p>
    <w:p>
      <w:pPr>
        <w:pStyle w:val="Heading2"/>
      </w:pPr>
      <w:r>
        <w:rPr>
          <w:lang w:val="en_US" w:bidi="en_US"/>
        </w:rPr>
        <w:t>Luke 18:16</w:t>
      </w:r>
      <w:r>
        <w:rPr>
          <w:lang w:val="en_US" w:bidi="en_US"/>
        </w:rPr>
      </w:r>
    </w:p>
    <w:p>
      <w:pPr>
        <w:pStyle w:val="Heading4"/>
      </w:pPr>
      <w:r>
        <w:rPr>
          <w:lang w:val="en_US" w:bidi="en_US"/>
        </w:rPr>
        <w:t>Section 18:15–17: People should enter God’s kingdom humbly like children</w:t>
      </w:r>
    </w:p>
    <w:p>
      <w:pPr/>
      <w:r>
        <w:rPr>
          <w:lang w:val="en_US" w:bidi="en_US"/>
        </w:rPr>
      </w:r>
      <w:r>
        <w:rPr>
          <w:lang w:val="en_US" w:bidi="en_US"/>
        </w:rPr>
        <w:t>Jesus used the story of the tax collector in the previous section to teach that God accepts people who are humble. In this section he used young children to teach the same lesson. People brought their children so that Jesus could bless them. The disciples probably thought that Jesus was too busy as an important teacher to bless the children. So they tried to stop the people from bringing them, but Jesus allowed the children to come to him. He wanted to bless them. He said that the people whom God rules should be like children. The text does not say exactly how they should be like children. Some possibilities are that God’s people should have humble faith like children, they should depend on God, and they should humbly accept God’s authority to rule their lives.</w:t>
      </w:r>
    </w:p>
    <w:p>
      <w:pPr/>
      <w:r>
        <w:rPr>
          <w:lang w:val="en_US" w:bidi="en_US"/>
        </w:rPr>
      </w:r>
      <w:r>
        <w:rPr>
          <w:lang w:val="en_US" w:bidi="en_US"/>
        </w:rPr>
        <w:t>It is good to translate this section before you decide on a heading for it. Some examples of headings for this section are:</w:t>
      </w:r>
    </w:p>
    <w:p>
      <w:pPr/>
      <w:r>
        <w:rPr>
          <w:lang w:val="en_US" w:bidi="en_US"/>
        </w:rPr>
      </w:r>
      <w:r>
        <w:rPr>
          <w:lang w:val="en_US" w:bidi="en_US"/>
        </w:rPr>
        <w:t>Jesus Blesses Little Children (GNT)</w:t>
      </w:r>
    </w:p>
    <w:p>
      <w:pPr/>
      <w:r>
        <w:rPr>
          <w:lang w:val="en_US" w:bidi="en_US"/>
        </w:rPr>
      </w:r>
      <w:r>
        <w:rPr>
          <w:lang w:val="en_US" w:bidi="en_US"/>
        </w:rPr>
        <w:t>The kingdom is for people who are like children</w:t>
      </w:r>
    </w:p>
    <w:p>
      <w:pPr/>
      <w:r>
        <w:rPr>
          <w:lang w:val="en_US" w:bidi="en_US"/>
        </w:rPr>
      </w:r>
      <w:r>
        <w:rPr>
          <w:lang w:val="en_US" w:bidi="en_US"/>
        </w:rPr>
        <w:t>There are parallel passages for this section in Matthew 19:13–15 and Mark 10:13–16.</w:t>
      </w:r>
    </w:p>
    <w:p>
      <w:pPr>
        <w:pStyle w:val="Heading5"/>
      </w:pPr>
      <w:r>
        <w:rPr>
          <w:lang w:val="en_US" w:bidi="en_US"/>
        </w:rPr>
        <w:t>18:16a</w:t>
      </w:r>
    </w:p>
    <w:p>
      <w:pPr/>
      <w:r>
        <w:rPr>
          <w:lang w:val="en_US" w:bidi="en_US"/>
        </w:rPr>
      </w:r>
      <w:r>
        <w:rPr>
          <w:b/>
          <w:lang w:val="en_US" w:bidi="en_US"/>
        </w:rPr>
        <w:t>But Jesus called the children to Him</w:t>
      </w:r>
    </w:p>
    <w:p>
      <w:pPr>
        <w:pStyle w:val="ListBullet"/>
        <w:spacing w:line="240" w:lineRule="auto"/>
        <w:ind w:left="720"/>
      </w:pPr>
      <w:r>
        <w:rPr>
          <w:lang w:val="en_US" w:bidi="en_US"/>
        </w:rPr>
      </w:r>
      <w:r>
        <w:rPr>
          <w:lang w:val="en_US" w:bidi="en_US"/>
        </w:rPr>
        <w:t xml:space="preserve">But Jesus called the children </w:t>
      </w:r>
      <w:r>
        <w:rPr>
          <w:lang w:val="en_US" w:bidi="en_US"/>
        </w:rPr>
        <w:t>to come</w:t>
      </w:r>
      <w:r>
        <w:rPr>
          <w:lang w:val="en_US" w:bidi="en_US"/>
        </w:rPr>
        <w:t xml:space="preserve"> to him.</w:t>
      </w:r>
    </w:p>
    <w:p>
      <w:pPr>
        <w:pStyle w:val="ListBullet"/>
        <w:spacing w:line="240" w:lineRule="auto"/>
        <w:ind w:left="720"/>
      </w:pPr>
      <w:r>
        <w:rPr>
          <w:lang w:val="en_US" w:bidi="en_US"/>
        </w:rPr>
      </w:r>
      <w:r>
        <w:rPr>
          <w:lang w:val="en_US" w:bidi="en_US"/>
        </w:rPr>
        <w:t xml:space="preserve">However, Jesus told </w:t>
      </w:r>
      <w:r>
        <w:rPr>
          <w:lang w:val="en_US" w:bidi="en_US"/>
        </w:rPr>
        <w:t>them to bring their</w:t>
      </w:r>
      <w:r>
        <w:rPr>
          <w:lang w:val="en_US" w:bidi="en_US"/>
        </w:rPr>
        <w:t xml:space="preserve"> children to him,</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what Jesus did when the people brought the children to him. What Jesus did contrasted with what the disciples said to the people, so many English versions have “but” here. The NLT has “Then.” Connect this verse to 18:15 in a natural way in your language.</w:t>
      </w:r>
    </w:p>
    <w:p>
      <w:pPr/>
      <w:r>
        <w:rPr>
          <w:lang w:val="en_US" w:bidi="en_US"/>
        </w:rPr>
      </w:r>
      <w:r>
        <w:rPr>
          <w:b/>
          <w:lang w:val="en_US" w:bidi="en_US"/>
        </w:rPr>
        <w:t>Jesus called the children to Him:</w:t>
      </w:r>
      <w:r>
        <w:rPr>
          <w:lang w:val="en_US" w:bidi="en_US"/>
        </w:rPr>
        <w:t xml:space="preserve"> The Greek word that the BSB translates as </w:t>
      </w:r>
      <w:r>
        <w:rPr>
          <w:i/>
          <w:lang w:val="en_US" w:bidi="en_US"/>
        </w:rPr>
        <w:t>the children</w:t>
      </w:r>
      <w:r>
        <w:rPr>
          <w:lang w:val="en_US" w:bidi="en_US"/>
        </w:rPr>
        <w:t xml:space="preserve"> is a pronoun, “them.” It refers back to the “babies” in 18:15a.</w:t>
      </w:r>
      <w:r>
        <w:rPr>
          <w:lang w:val="en_US" w:bidi="en_US"/>
        </w:rPr>
        <w:t>The Greek pronoun is a neuter form that agrees with the word for “babies,” not the masculine noun “disciples.”</w:t>
      </w:r>
      <w:r>
        <w:rPr>
          <w:lang w:val="en_US" w:bidi="en_US"/>
        </w:rPr>
        <w:t xml:space="preserve"> Here is another way to translate this:</w:t>
      </w:r>
    </w:p>
    <w:p>
      <w:pPr/>
      <w:r>
        <w:rPr>
          <w:lang w:val="en_US" w:bidi="en_US"/>
        </w:rPr>
      </w:r>
      <w:r>
        <w:rPr>
          <w:lang w:val="en_US" w:bidi="en_US"/>
        </w:rPr>
        <w:t>Jesus called the infants to him (GW)</w:t>
      </w:r>
    </w:p>
    <w:p>
      <w:pPr/>
      <w:r>
        <w:rPr>
          <w:lang w:val="en_US" w:bidi="en_US"/>
        </w:rPr>
      </w:r>
      <w:r>
        <w:rPr>
          <w:lang w:val="en_US" w:bidi="en_US"/>
        </w:rPr>
        <w:t xml:space="preserve">However, 18:16c uses the more general word for “children.” Many English versions, such as the BSB, use the word </w:t>
      </w:r>
      <w:r>
        <w:rPr>
          <w:i/>
          <w:lang w:val="en_US" w:bidi="en_US"/>
        </w:rPr>
        <w:t>children</w:t>
      </w:r>
      <w:r>
        <w:rPr>
          <w:lang w:val="en_US" w:bidi="en_US"/>
        </w:rPr>
        <w:t xml:space="preserve"> here as well. Refer to them in a natural way in your language.</w:t>
      </w:r>
    </w:p>
    <w:p>
      <w:pPr/>
      <w:r>
        <w:rPr>
          <w:lang w:val="en_US" w:bidi="en_US"/>
        </w:rPr>
      </w:r>
      <w:r>
        <w:rPr>
          <w:lang w:val="en_US" w:bidi="en_US"/>
        </w:rPr>
        <w:t xml:space="preserve">Many of the children were too young to walk, so the phrase </w:t>
      </w:r>
      <w:r>
        <w:rPr>
          <w:i/>
          <w:lang w:val="en_US" w:bidi="en_US"/>
        </w:rPr>
        <w:t>called the children to Him</w:t>
      </w:r>
      <w:r>
        <w:rPr>
          <w:lang w:val="en_US" w:bidi="en_US"/>
        </w:rPr>
        <w:t xml:space="preserve"> implies that Jesus was inviting the parents to bring them. Here is another way to translate this:</w:t>
      </w:r>
    </w:p>
    <w:p>
      <w:pPr/>
      <w:r>
        <w:rPr>
          <w:lang w:val="en_US" w:bidi="en_US"/>
        </w:rPr>
      </w:r>
      <w:r>
        <w:rPr>
          <w:lang w:val="en_US" w:bidi="en_US"/>
        </w:rPr>
        <w:t>Jesus called for the children (NET)</w:t>
      </w:r>
    </w:p>
    <w:p>
      <w:pPr>
        <w:pStyle w:val="Heading5"/>
      </w:pPr>
      <w:r>
        <w:rPr>
          <w:lang w:val="en_US" w:bidi="en_US"/>
        </w:rPr>
        <w:t>18:16b</w:t>
      </w:r>
    </w:p>
    <w:p>
      <w:pPr/>
      <w:r>
        <w:rPr>
          <w:lang w:val="en_US" w:bidi="en_US"/>
        </w:rPr>
      </w:r>
      <w:r>
        <w:rPr>
          <w:b/>
          <w:lang w:val="en_US" w:bidi="en_US"/>
        </w:rPr>
        <w:t>and said,</w:t>
      </w:r>
    </w:p>
    <w:p>
      <w:pPr>
        <w:pStyle w:val="ListBullet"/>
        <w:spacing w:line="240" w:lineRule="auto"/>
        <w:ind w:left="720"/>
      </w:pPr>
      <w:r>
        <w:rPr>
          <w:lang w:val="en_US" w:bidi="en_US"/>
        </w:rPr>
      </w:r>
      <w:r>
        <w:rPr>
          <w:lang w:val="en_US" w:bidi="en_US"/>
        </w:rPr>
        <w:t xml:space="preserve">He said </w:t>
      </w:r>
      <w:r>
        <w:rPr>
          <w:lang w:val="en_US" w:bidi="en_US"/>
        </w:rPr>
        <w:t>to his disciples</w:t>
      </w:r>
      <w:r>
        <w:rPr>
          <w:lang w:val="en_US" w:bidi="en_US"/>
        </w:rPr>
        <w:t>,</w:t>
      </w:r>
    </w:p>
    <w:p>
      <w:pPr>
        <w:pStyle w:val="ListBullet"/>
        <w:spacing w:line="240" w:lineRule="auto"/>
        <w:ind w:left="720"/>
      </w:pPr>
      <w:r>
        <w:rPr>
          <w:lang w:val="en_US" w:bidi="en_US"/>
        </w:rPr>
      </w:r>
      <w:r>
        <w:rPr>
          <w:lang w:val="en_US" w:bidi="en_US"/>
        </w:rPr>
        <w:t xml:space="preserve">and he told/ordered </w:t>
      </w:r>
      <w:r>
        <w:rPr>
          <w:lang w:val="en_US" w:bidi="en_US"/>
        </w:rPr>
        <w:t>his disciples</w:t>
      </w:r>
      <w:r>
        <w:rPr>
          <w:lang w:val="en_US" w:bidi="en_US"/>
        </w:rPr>
        <w:t>,</w:t>
      </w:r>
    </w:p>
    <w:p>
      <w:pPr/>
      <w:r>
        <w:rPr>
          <w:lang w:val="en_US" w:bidi="en_US"/>
        </w:rPr>
      </w:r>
      <w:r>
        <w:rPr>
          <w:b/>
          <w:lang w:val="en_US" w:bidi="en_US"/>
        </w:rPr>
        <w:t>and said:</w:t>
      </w:r>
      <w:r>
        <w:rPr>
          <w:lang w:val="en_US" w:bidi="en_US"/>
        </w:rPr>
        <w:t xml:space="preserve"> The Greek word that the BSB translates as </w:t>
      </w:r>
      <w:r>
        <w:rPr>
          <w:i/>
          <w:lang w:val="en_US" w:bidi="en_US"/>
        </w:rPr>
        <w:t>and said</w:t>
      </w:r>
      <w:r>
        <w:rPr>
          <w:lang w:val="en_US" w:bidi="en_US"/>
        </w:rPr>
        <w:t xml:space="preserve"> is literally “saying.” It introduces what Jesus said to the disciples. In some languages it may be helpful to make this explicit. For example:</w:t>
      </w:r>
    </w:p>
    <w:p>
      <w:pPr/>
      <w:r>
        <w:rPr>
          <w:lang w:val="en_US" w:bidi="en_US"/>
        </w:rPr>
      </w:r>
      <w:r>
        <w:rPr>
          <w:lang w:val="en_US" w:bidi="en_US"/>
        </w:rPr>
        <w:t xml:space="preserve">and said </w:t>
      </w:r>
      <w:r>
        <w:rPr>
          <w:lang w:val="en_US" w:bidi="en_US"/>
        </w:rPr>
        <w:t>to the disciples</w:t>
      </w:r>
    </w:p>
    <w:p>
      <w:pPr>
        <w:pStyle w:val="Heading5"/>
      </w:pPr>
      <w:r>
        <w:rPr>
          <w:lang w:val="en_US" w:bidi="en_US"/>
        </w:rPr>
        <w:t>18:16c–d</w:t>
      </w:r>
    </w:p>
    <w:p>
      <w:pPr/>
      <w:r>
        <w:rPr>
          <w:lang w:val="en_US" w:bidi="en_US"/>
        </w:rPr>
      </w:r>
      <w:r>
        <w:rPr>
          <w:b/>
          <w:lang w:val="en_US" w:bidi="en_US"/>
        </w:rPr>
        <w:t>Let the little children come to Me, and do not hinder them:</w:t>
      </w:r>
      <w:r>
        <w:rPr>
          <w:lang w:val="en_US" w:bidi="en_US"/>
        </w:rPr>
        <w:t xml:space="preserve"> These clauses are two commands: </w:t>
      </w:r>
      <w:r>
        <w:rPr>
          <w:i/>
          <w:lang w:val="en_US" w:bidi="en_US"/>
        </w:rPr>
        <w:t>Let the little children come to Me</w:t>
      </w:r>
      <w:r>
        <w:rPr>
          <w:lang w:val="en_US" w:bidi="en_US"/>
        </w:rPr>
        <w:t xml:space="preserve"> and </w:t>
      </w:r>
      <w:r>
        <w:rPr>
          <w:i/>
          <w:lang w:val="en_US" w:bidi="en_US"/>
        </w:rPr>
        <w:t>do not hinder them</w:t>
      </w:r>
      <w:r>
        <w:rPr>
          <w:lang w:val="en_US" w:bidi="en_US"/>
        </w:rPr>
        <w:t>. These commands have similar meanings. Jesus repeated his meaning in two different ways to emphasize what he said.</w:t>
      </w:r>
    </w:p>
    <w:p>
      <w:pPr/>
      <w:r>
        <w:rPr>
          <w:lang w:val="en_US" w:bidi="en_US"/>
        </w:rPr>
      </w:r>
      <w:r>
        <w:rPr>
          <w:lang w:val="en_US" w:bidi="en_US"/>
        </w:rPr>
        <w:t>In some languages it may be more natural to give the negative command first. For example:</w:t>
      </w:r>
    </w:p>
    <w:p>
      <w:pPr/>
      <w:r>
        <w:rPr>
          <w:lang w:val="en_US" w:bidi="en_US"/>
        </w:rPr>
      </w:r>
      <w:r>
        <w:rPr>
          <w:lang w:val="en_US" w:bidi="en_US"/>
        </w:rPr>
        <w:t>Do not forbid the children to come to me. Allow them to come….</w:t>
      </w:r>
    </w:p>
    <w:p>
      <w:pPr/>
      <w:r>
        <w:rPr>
          <w:lang w:val="en_US" w:bidi="en_US"/>
        </w:rPr>
      </w:r>
      <w:r>
        <w:rPr>
          <w:lang w:val="en_US" w:bidi="en_US"/>
        </w:rPr>
        <w:t>In other languages it may be more natural to combine the two commands. For example:</w:t>
      </w:r>
    </w:p>
    <w:p>
      <w:pPr/>
      <w:r>
        <w:rPr>
          <w:lang w:val="en_US" w:bidi="en_US"/>
        </w:rPr>
      </w:r>
      <w:r>
        <w:rPr>
          <w:lang w:val="en_US" w:bidi="en_US"/>
        </w:rPr>
        <w:t>Don’t stop the children from coming to me! (GW)</w:t>
      </w:r>
    </w:p>
    <w:p>
      <w:pPr/>
      <w:r>
        <w:rPr>
          <w:lang w:val="en_US" w:bidi="en_US"/>
        </w:rPr>
      </w:r>
      <w:r>
        <w:rPr>
          <w:lang w:val="en_US" w:bidi="en_US"/>
        </w:rPr>
        <w:t>Translate these two commands in a natural way in your language.</w:t>
      </w:r>
    </w:p>
    <w:p>
      <w:pPr>
        <w:pStyle w:val="Heading5"/>
      </w:pPr>
      <w:r>
        <w:rPr>
          <w:lang w:val="en_US" w:bidi="en_US"/>
        </w:rPr>
        <w:t>18:16c</w:t>
      </w:r>
    </w:p>
    <w:p>
      <w:pPr/>
      <w:r>
        <w:rPr>
          <w:lang w:val="en_US" w:bidi="en_US"/>
        </w:rPr>
      </w:r>
      <w:r>
        <w:rPr>
          <w:b/>
          <w:lang w:val="en_US" w:bidi="en_US"/>
        </w:rPr>
        <w:t>“Let the little children come to Me,</w:t>
      </w:r>
    </w:p>
    <w:p>
      <w:pPr>
        <w:pStyle w:val="ListBullet"/>
        <w:spacing w:line="240" w:lineRule="auto"/>
        <w:ind w:left="720"/>
      </w:pPr>
      <w:r>
        <w:rPr>
          <w:lang w:val="en_US" w:bidi="en_US"/>
        </w:rPr>
      </w:r>
      <w:r>
        <w:rPr>
          <w:lang w:val="en_US" w:bidi="en_US"/>
        </w:rPr>
        <w:t>“Let</w:t>
      </w:r>
      <w:r>
        <w:rPr>
          <w:vertAlign w:val="superscript"/>
          <w:lang w:val="en_US" w:bidi="en_US"/>
        </w:rPr>
        <w:t>(plur)</w:t>
      </w:r>
      <w:r>
        <w:rPr>
          <w:lang w:val="en_US" w:bidi="en_US"/>
        </w:rPr>
        <w:t xml:space="preserve"> the children come to me</w:t>
      </w:r>
    </w:p>
    <w:p>
      <w:pPr>
        <w:pStyle w:val="ListBullet"/>
        <w:spacing w:line="240" w:lineRule="auto"/>
        <w:ind w:left="720"/>
      </w:pPr>
      <w:r>
        <w:rPr>
          <w:lang w:val="en_US" w:bidi="en_US"/>
        </w:rPr>
      </w:r>
      <w:r>
        <w:rPr>
          <w:lang w:val="en_US" w:bidi="en_US"/>
        </w:rPr>
        <w:t>“Permit</w:t>
      </w:r>
      <w:r>
        <w:rPr>
          <w:vertAlign w:val="superscript"/>
          <w:lang w:val="en_US" w:bidi="en_US"/>
        </w:rPr>
        <w:t>(plur)</w:t>
      </w:r>
      <w:r>
        <w:rPr>
          <w:lang w:val="en_US" w:bidi="en_US"/>
        </w:rPr>
        <w:t xml:space="preserve"> the children to come to me.</w:t>
      </w:r>
    </w:p>
    <w:p>
      <w:pPr/>
      <w:r>
        <w:rPr>
          <w:lang w:val="en_US" w:bidi="en_US"/>
        </w:rPr>
      </w:r>
      <w:r>
        <w:rPr>
          <w:b/>
          <w:lang w:val="en_US" w:bidi="en_US"/>
        </w:rPr>
        <w:t>Let the little children come to Me:</w:t>
      </w:r>
      <w:r>
        <w:rPr>
          <w:lang w:val="en_US" w:bidi="en_US"/>
        </w:rPr>
        <w:t xml:space="preserve"> The Greek verb that the BSB translates as </w:t>
      </w:r>
      <w:r>
        <w:rPr>
          <w:i/>
          <w:lang w:val="en_US" w:bidi="en_US"/>
        </w:rPr>
        <w:t>Let</w:t>
      </w:r>
      <w:r>
        <w:rPr>
          <w:lang w:val="en_US" w:bidi="en_US"/>
        </w:rPr>
        <w:t xml:space="preserve"> means “allow” or “permit.” Here is another way to translate this:</w:t>
      </w:r>
    </w:p>
    <w:p>
      <w:pPr/>
      <w:r>
        <w:rPr>
          <w:lang w:val="en_US" w:bidi="en_US"/>
        </w:rPr>
      </w:r>
      <w:r>
        <w:rPr>
          <w:lang w:val="en_US" w:bidi="en_US"/>
        </w:rPr>
        <w:t>Permit the children to come to Me (NASB)</w:t>
      </w:r>
    </w:p>
    <w:p>
      <w:pPr/>
      <w:r>
        <w:rPr>
          <w:lang w:val="en_US" w:bidi="en_US"/>
        </w:rPr>
      </w:r>
      <w:r>
        <w:rPr>
          <w:b/>
          <w:lang w:val="en_US" w:bidi="en_US"/>
        </w:rPr>
        <w:t>little children:</w:t>
      </w:r>
      <w:r>
        <w:rPr>
          <w:lang w:val="en_US" w:bidi="en_US"/>
        </w:rPr>
        <w:t xml:space="preserve"> The Greek word that the BSB translates as </w:t>
      </w:r>
      <w:r>
        <w:rPr>
          <w:i/>
          <w:lang w:val="en_US" w:bidi="en_US"/>
        </w:rPr>
        <w:t>little children</w:t>
      </w:r>
      <w:r>
        <w:rPr>
          <w:lang w:val="en_US" w:bidi="en_US"/>
        </w:rPr>
        <w:t xml:space="preserve"> is a general word for children of any age.</w:t>
      </w:r>
    </w:p>
    <w:p>
      <w:pPr>
        <w:pStyle w:val="Heading5"/>
      </w:pPr>
      <w:r>
        <w:rPr>
          <w:lang w:val="en_US" w:bidi="en_US"/>
        </w:rPr>
        <w:t>18:16d</w:t>
      </w:r>
    </w:p>
    <w:p>
      <w:pPr/>
      <w:r>
        <w:rPr>
          <w:lang w:val="en_US" w:bidi="en_US"/>
        </w:rPr>
      </w:r>
      <w:r>
        <w:rPr>
          <w:b/>
          <w:lang w:val="en_US" w:bidi="en_US"/>
        </w:rPr>
        <w:t>and do not hinder them!</w:t>
      </w:r>
    </w:p>
    <w:p>
      <w:pPr>
        <w:pStyle w:val="ListBullet"/>
        <w:spacing w:line="240" w:lineRule="auto"/>
        <w:ind w:left="720"/>
      </w:pPr>
      <w:r>
        <w:rPr>
          <w:lang w:val="en_US" w:bidi="en_US"/>
        </w:rPr>
      </w:r>
      <w:r>
        <w:rPr>
          <w:lang w:val="en_US" w:bidi="en_US"/>
        </w:rPr>
        <w:t>and do</w:t>
      </w:r>
      <w:r>
        <w:rPr>
          <w:vertAlign w:val="superscript"/>
          <w:lang w:val="en_US" w:bidi="en_US"/>
        </w:rPr>
        <w:t>(plur)</w:t>
      </w:r>
      <w:r>
        <w:rPr>
          <w:lang w:val="en_US" w:bidi="en_US"/>
        </w:rPr>
        <w:t xml:space="preserve"> not stop them.</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prevent them </w:t>
      </w:r>
      <w:r>
        <w:rPr>
          <w:lang w:val="en_US" w:bidi="en_US"/>
        </w:rPr>
        <w:t>from coming</w:t>
      </w:r>
      <w:r>
        <w:rPr>
          <w:lang w:val="en_US" w:bidi="en_US"/>
        </w:rPr>
        <w:t>.</w:t>
      </w:r>
    </w:p>
    <w:p>
      <w:pPr/>
      <w:r>
        <w:rPr>
          <w:lang w:val="en_US" w:bidi="en_US"/>
        </w:rPr>
      </w:r>
      <w:r>
        <w:rPr>
          <w:b/>
          <w:lang w:val="en_US" w:bidi="en_US"/>
        </w:rPr>
        <w:t>do not hinder them:</w:t>
      </w:r>
      <w:r>
        <w:rPr>
          <w:lang w:val="en_US" w:bidi="en_US"/>
        </w:rPr>
        <w:t xml:space="preserve"> The phrase </w:t>
      </w:r>
      <w:r>
        <w:rPr>
          <w:i/>
          <w:lang w:val="en_US" w:bidi="en_US"/>
        </w:rPr>
        <w:t>do not hinder them</w:t>
      </w:r>
      <w:r>
        <w:rPr>
          <w:lang w:val="en_US" w:bidi="en_US"/>
        </w:rPr>
        <w:t xml:space="preserve"> indicates that the disciples should not prevent the children from coming to Jesus. Other ways to translate this command are:</w:t>
      </w:r>
    </w:p>
    <w:p>
      <w:pPr/>
      <w:r>
        <w:rPr>
          <w:lang w:val="en_US" w:bidi="en_US"/>
        </w:rPr>
      </w:r>
      <w:r>
        <w:rPr>
          <w:lang w:val="en_US" w:bidi="en_US"/>
        </w:rPr>
        <w:t>do not stop them (GNT)</w:t>
      </w:r>
    </w:p>
    <w:p>
      <w:pPr/>
      <w:r>
        <w:rPr>
          <w:lang w:val="en_US" w:bidi="en_US"/>
        </w:rPr>
      </w:r>
      <w:r>
        <w:rPr>
          <w:lang w:val="en_US" w:bidi="en_US"/>
        </w:rPr>
        <w:t>do not forbid their coming to me</w:t>
      </w:r>
    </w:p>
    <w:p>
      <w:pPr>
        <w:pStyle w:val="Heading5"/>
      </w:pPr>
      <w:r>
        <w:rPr>
          <w:lang w:val="en_US" w:bidi="en_US"/>
        </w:rPr>
        <w:t>18:16e</w:t>
      </w:r>
    </w:p>
    <w:p>
      <w:pPr/>
      <w:r>
        <w:rPr>
          <w:lang w:val="en_US" w:bidi="en_US"/>
        </w:rPr>
      </w:r>
      <w:r>
        <w:rPr>
          <w:b/>
          <w:lang w:val="en_US" w:bidi="en_US"/>
        </w:rPr>
        <w:t>For the kingdom of God belongs to such as these.</w:t>
      </w:r>
    </w:p>
    <w:p>
      <w:pPr>
        <w:pStyle w:val="ListBullet"/>
        <w:spacing w:line="240" w:lineRule="auto"/>
        <w:ind w:left="720"/>
      </w:pPr>
      <w:r>
        <w:rPr>
          <w:lang w:val="en_US" w:bidi="en_US"/>
        </w:rPr>
      </w:r>
      <w:r>
        <w:rPr>
          <w:lang w:val="en_US" w:bidi="en_US"/>
        </w:rPr>
        <w:t>For the kingdom of God is for people like these children.</w:t>
      </w:r>
    </w:p>
    <w:p>
      <w:pPr>
        <w:pStyle w:val="ListBullet"/>
        <w:spacing w:line="240" w:lineRule="auto"/>
        <w:ind w:left="720"/>
      </w:pPr>
      <w:r>
        <w:rPr>
          <w:lang w:val="en_US" w:bidi="en_US"/>
        </w:rPr>
      </w:r>
      <w:r>
        <w:rPr>
          <w:lang w:val="en_US" w:bidi="en_US"/>
        </w:rPr>
        <w:t xml:space="preserve">For people who are </w:t>
      </w:r>
      <w:r>
        <w:rPr>
          <w:lang w:val="en_US" w:bidi="en_US"/>
        </w:rPr>
        <w:t>humble/trusting</w:t>
      </w:r>
      <w:r>
        <w:rPr>
          <w:lang w:val="en_US" w:bidi="en_US"/>
        </w:rPr>
        <w:t xml:space="preserve"> like these children will be the ones to share in </w:t>
      </w:r>
      <w:r>
        <w:rPr>
          <w:lang w:val="en_US" w:bidi="en_US"/>
        </w:rPr>
        <w:t>the blessings of</w:t>
      </w:r>
      <w:r>
        <w:rPr>
          <w:lang w:val="en_US" w:bidi="en_US"/>
        </w:rPr>
        <w:t xml:space="preserve"> God’s rule.</w:t>
      </w:r>
    </w:p>
    <w:p>
      <w:pPr>
        <w:pStyle w:val="ListBullet"/>
        <w:spacing w:line="240" w:lineRule="auto"/>
        <w:ind w:left="720"/>
      </w:pPr>
      <w:r>
        <w:rPr>
          <w:lang w:val="en_US" w:bidi="en_US"/>
        </w:rPr>
      </w:r>
      <w:r>
        <w:rPr>
          <w:lang w:val="en_US" w:bidi="en_US"/>
        </w:rPr>
        <w:t>For God reigns as king over people like these children.</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or explanation for Jesus’ commands to his disciples in 18:16c–d. Another way to translate this conjunction is:</w:t>
      </w:r>
    </w:p>
    <w:p>
      <w:pPr/>
      <w:r>
        <w:rPr>
          <w:lang w:val="en_US" w:bidi="en_US"/>
        </w:rPr>
      </w:r>
      <w:r>
        <w:rPr>
          <w:lang w:val="en_US" w:bidi="en_US"/>
        </w:rPr>
        <w:t>because (GNT)</w:t>
      </w:r>
    </w:p>
    <w:p>
      <w:pPr/>
      <w:r>
        <w:rPr>
          <w:lang w:val="en_US" w:bidi="en_US"/>
        </w:rPr>
      </w:r>
      <w:r>
        <w:rPr>
          <w:lang w:val="en_US" w:bidi="en_US"/>
        </w:rPr>
        <w:t>Express the reason or explanation in a natural way in your language. See the General Comment on 18:16c–e below for a suggestion about changing the order of clauses in this verse.</w:t>
      </w:r>
    </w:p>
    <w:p>
      <w:pPr/>
      <w:r>
        <w:rPr>
          <w:lang w:val="en_US" w:bidi="en_US"/>
        </w:rPr>
      </w:r>
      <w:r>
        <w:rPr>
          <w:b/>
          <w:lang w:val="en_US" w:bidi="en_US"/>
        </w:rPr>
        <w:t>the kingdom of God belongs to such as these:</w:t>
      </w:r>
      <w:r>
        <w:rPr>
          <w:lang w:val="en_US" w:bidi="en_US"/>
        </w:rPr>
        <w:t xml:space="preserve"> The Greek phrase that the BSB translates as </w:t>
      </w:r>
      <w:r>
        <w:rPr>
          <w:i/>
          <w:lang w:val="en_US" w:bidi="en_US"/>
        </w:rPr>
        <w:t>the kingdom of God belongs to such as these</w:t>
      </w:r>
      <w:r>
        <w:rPr>
          <w:lang w:val="en_US" w:bidi="en_US"/>
        </w:rPr>
        <w:t xml:space="preserve"> indicates that people who are like those children have the right/privilege to be included in the group of people whom God rules. It does not mean that such people own the kingdom of God.</w:t>
      </w:r>
    </w:p>
    <w:p>
      <w:pPr/>
      <w:r>
        <w:rPr>
          <w:lang w:val="en_US" w:bidi="en_US"/>
        </w:rPr>
      </w:r>
      <w:r>
        <w:rPr>
          <w:lang w:val="en_US" w:bidi="en_US"/>
        </w:rPr>
        <w:t>Some other ways to translate this are:</w:t>
      </w:r>
    </w:p>
    <w:p>
      <w:pPr/>
      <w:r>
        <w:rPr>
          <w:lang w:val="en_US" w:bidi="en_US"/>
        </w:rPr>
      </w:r>
      <w:r>
        <w:rPr>
          <w:lang w:val="en_US" w:bidi="en_US"/>
        </w:rPr>
        <w:t>the citizens of the kingdom of God are people like these children</w:t>
      </w:r>
    </w:p>
    <w:p>
      <w:pPr/>
      <w:r>
        <w:rPr>
          <w:lang w:val="en_US" w:bidi="en_US"/>
        </w:rPr>
      </w:r>
      <w:r>
        <w:rPr>
          <w:lang w:val="en_US" w:bidi="en_US"/>
        </w:rPr>
        <w:t>it is people like these children who live/belong in God’s chieftaincy</w:t>
      </w:r>
    </w:p>
    <w:p>
      <w:pPr/>
      <w:r>
        <w:rPr>
          <w:lang w:val="en_US" w:bidi="en_US"/>
        </w:rPr>
      </w:r>
      <w:r>
        <w:rPr>
          <w:lang w:val="en_US" w:bidi="en_US"/>
        </w:rPr>
        <w:t xml:space="preserve">the people whom God cares for as king are like these </w:t>
      </w:r>
      <w:r>
        <w:rPr>
          <w:lang w:val="en_US" w:bidi="en_US"/>
        </w:rPr>
        <w:t>little</w:t>
      </w:r>
      <w:r>
        <w:rPr>
          <w:lang w:val="en_US" w:bidi="en_US"/>
        </w:rPr>
        <w:t xml:space="preserve"> children</w:t>
      </w:r>
    </w:p>
    <w:p>
      <w:pPr/>
      <w:r>
        <w:rPr>
          <w:lang w:val="en_US" w:bidi="en_US"/>
        </w:rPr>
      </w:r>
      <w:r>
        <w:rPr>
          <w:b/>
          <w:lang w:val="en_US" w:bidi="en_US"/>
        </w:rPr>
        <w:t>the kingdom of God:</w:t>
      </w:r>
      <w:r>
        <w:rPr>
          <w:lang w:val="en_US" w:bidi="en_US"/>
        </w:rPr>
        <w:t xml:space="preserve"> The phrase </w:t>
      </w:r>
      <w:r>
        <w:rPr>
          <w:i/>
          <w:lang w:val="en_US" w:bidi="en_US"/>
        </w:rPr>
        <w:t>kingdom of God</w:t>
      </w:r>
      <w:r>
        <w:rPr>
          <w:lang w:val="en_US" w:bidi="en_US"/>
        </w:rP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 See kingdom of God, Context 2, in the Glossary.</w:t>
      </w:r>
    </w:p>
    <w:p>
      <w:pPr/>
      <w:r>
        <w:rPr>
          <w:lang w:val="en_US" w:bidi="en_US"/>
        </w:rPr>
      </w:r>
      <w:r>
        <w:rPr>
          <w:b/>
          <w:lang w:val="en_US" w:bidi="en_US"/>
        </w:rPr>
        <w:t>such as these:</w:t>
      </w:r>
      <w:r>
        <w:rPr>
          <w:lang w:val="en_US" w:bidi="en_US"/>
        </w:rPr>
        <w:t xml:space="preserve"> The phrase </w:t>
      </w:r>
      <w:r>
        <w:rPr>
          <w:i/>
          <w:lang w:val="en_US" w:bidi="en_US"/>
        </w:rPr>
        <w:t>such as these</w:t>
      </w:r>
      <w:r>
        <w:rPr>
          <w:lang w:val="en_US" w:bidi="en_US"/>
        </w:rPr>
        <w:t xml:space="preserve"> means “people like these children.” Here Jesus compared people who are included in his kingdom to children. He did not make explicit how they should be like children.</w:t>
      </w:r>
      <w:r>
        <w:rPr>
          <w:lang w:val="en_US" w:bidi="en_US"/>
        </w:rPr>
        <w:t>Stein lists several possible characteristics of children that Jesus may have been referring to as necessary for entering the kingdom of God: (1) the humility little children possess because they lack anything to boast of and can make no claim on God (cf. 18:9–14; Matthew 18:4); (2) a simple faith free from doubt (Luke 17:5–6); and (3) a lack of attachment to possessions (18:18–30).” Stein prefers the first view, saying, “In light of the preceding passage (18:9–14) and Matthew’s specific application of ‘childlikeness’ to humility (Matthew 18:4), the first suggestion seems best.” Fitzmyer (p. 1194) says, “Here the child’s qualities of openness, lowliness in society, minority, helplessness, without claim of achievement, and in need of constant maternal or paternal attention are what is being alluded to.” The necessity of depending humbly on God was also a theme of the parable in the preceding section. The tax collector had no righteousness of his own to depend on, and he humbly asked God for mercy. Like him, the children had no power or other qualifications of their own. They were totally dependent on others to take care of them. This willingness to depend totally on God is presented as an essential qualification for entering God’s kingdom.</w:t>
      </w:r>
      <w:r>
        <w:rPr>
          <w:lang w:val="en_US" w:bidi="en_US"/>
        </w:rPr>
        <w:t xml:space="preserve"> However, many scholars refer to the fact that children must humbly depend on other people to care for them. In a similar way, a person in God’s kingdom must humbly depend on God.</w:t>
      </w:r>
    </w:p>
    <w:p>
      <w:pPr/>
      <w:r>
        <w:rPr>
          <w:lang w:val="en_US" w:bidi="en_US"/>
        </w:rPr>
      </w:r>
      <w:r>
        <w:rPr>
          <w:lang w:val="en_US" w:bidi="en_US"/>
        </w:rPr>
        <w:t>In some languages it may be necessary to make some of this information explicit. For example:</w:t>
      </w:r>
    </w:p>
    <w:p>
      <w:pPr/>
      <w:r>
        <w:rPr>
          <w:lang w:val="en_US" w:bidi="en_US"/>
        </w:rPr>
      </w:r>
      <w:r>
        <w:rPr>
          <w:lang w:val="en_US" w:bidi="en_US"/>
        </w:rPr>
        <w:t xml:space="preserve">because the kingdom of God belongs to people </w:t>
      </w:r>
      <w:r>
        <w:rPr>
          <w:lang w:val="en_US" w:bidi="en_US"/>
        </w:rPr>
        <w:t>who depend on God</w:t>
      </w:r>
      <w:r>
        <w:rPr>
          <w:lang w:val="en_US" w:bidi="en_US"/>
        </w:rPr>
        <w:t xml:space="preserve"> like these children </w:t>
      </w:r>
      <w:r>
        <w:rPr>
          <w:lang w:val="en_US" w:bidi="en_US"/>
        </w:rPr>
        <w:t>depend on those who care for them</w:t>
      </w:r>
      <w:r>
        <w:rPr>
          <w:lang w:val="en_US" w:bidi="en_US"/>
        </w:rPr>
        <w:t>.</w:t>
      </w:r>
    </w:p>
    <w:p>
      <w:pPr/>
      <w:r>
        <w:rPr>
          <w:lang w:val="en_US" w:bidi="en_US"/>
        </w:rPr>
      </w:r>
      <w:r>
        <w:rPr>
          <w:lang w:val="en_US" w:bidi="en_US"/>
        </w:rPr>
        <w:t xml:space="preserve">for it is people who are </w:t>
      </w:r>
      <w:r>
        <w:rPr>
          <w:lang w:val="en_US" w:bidi="en_US"/>
        </w:rPr>
        <w:t>trusting/humble</w:t>
      </w:r>
      <w:r>
        <w:rPr>
          <w:lang w:val="en_US" w:bidi="en_US"/>
        </w:rPr>
        <w:t xml:space="preserve"> like these children who will live in the kingdom of God.</w:t>
      </w:r>
    </w:p>
    <w:p>
      <w:pPr/>
      <w:r>
        <w:rPr>
          <w:lang w:val="en_US" w:bidi="en_US"/>
        </w:rPr>
      </w:r>
      <w:r>
        <w:rPr>
          <w:lang w:val="en_US" w:bidi="en_US"/>
        </w:rPr>
        <w:t>See also Matthew 19:14 and Mark 10:14.</w:t>
      </w:r>
    </w:p>
    <w:p>
      <w:pPr>
        <w:pStyle w:val="Heading6"/>
      </w:pPr>
      <w:r>
        <w:rPr>
          <w:b/>
          <w:lang w:val="en_US" w:bidi="en_US"/>
        </w:rPr>
        <w:t>General Comment on 18:16c–e</w:t>
      </w:r>
    </w:p>
    <w:p>
      <w:pPr/>
      <w:r>
        <w:rPr>
          <w:lang w:val="en_US" w:bidi="en_US"/>
        </w:rPr>
      </w:r>
      <w:r>
        <w:rPr>
          <w:lang w:val="en_US" w:bidi="en_US"/>
        </w:rPr>
        <w:t>In 18:16e Jesus gave the reason or explanation for his commands in 18:16c–d. In some languages it may be more natural to put the reason/explanation before the commands. For example:</w:t>
      </w:r>
    </w:p>
    <w:p>
      <w:pPr/>
      <w:r>
        <w:rPr>
          <w:lang w:val="en_US" w:bidi="en_US"/>
        </w:rPr>
      </w:r>
      <w:r>
        <w:rPr>
          <w:vertAlign w:val="superscript"/>
          <w:lang w:val="en_US" w:bidi="en_US"/>
        </w:rPr>
        <w:t>16e</w:t>
      </w:r>
      <w:r>
        <w:rPr>
          <w:lang w:val="en_US" w:bidi="en_US"/>
        </w:rPr>
        <w:t xml:space="preserve">The kingdom of God belongs to children such as these. </w:t>
      </w:r>
      <w:r>
        <w:rPr>
          <w:vertAlign w:val="superscript"/>
          <w:lang w:val="en_US" w:bidi="en_US"/>
        </w:rPr>
        <w:t>16c</w:t>
      </w:r>
      <w:r>
        <w:rPr>
          <w:lang w:val="en_US" w:bidi="en_US"/>
        </w:rPr>
        <w:t xml:space="preserve">So let them come to me. </w:t>
      </w:r>
      <w:r>
        <w:rPr>
          <w:vertAlign w:val="superscript"/>
          <w:lang w:val="en_US" w:bidi="en_US"/>
        </w:rPr>
        <w:t>16d</w:t>
      </w:r>
      <w:r>
        <w:rPr>
          <w:lang w:val="en_US" w:bidi="en_US"/>
        </w:rPr>
        <w:t>Do not hinder them!</w:t>
      </w:r>
      <w:r>
        <w:rPr>
          <w:lang w:val="en_US" w:bidi="en_US"/>
        </w:rPr>
      </w:r>
      <w:r>
        <w:rPr>
          <w:lang w:val="en_US" w:bidi="en_US"/>
        </w:rPr>
      </w:r>
    </w:p>
    <w:p>
      <w:pPr/>
      <w:r>
        <w:rPr>
          <w:lang w:val="en_US" w:bidi="en_US"/>
        </w:rPr>
      </w:r>
    </w:p>
    <w:p>
      <w:pPr>
        <w:pStyle w:val="Heading2"/>
      </w:pPr>
      <w:r>
        <w:rPr>
          <w:lang w:val="en_US" w:bidi="en_US"/>
        </w:rPr>
        <w:t>Luke 18:17</w:t>
      </w:r>
      <w:r>
        <w:rPr>
          <w:lang w:val="en_US" w:bidi="en_US"/>
        </w:rPr>
      </w:r>
    </w:p>
    <w:p>
      <w:pPr>
        <w:pStyle w:val="Heading4"/>
      </w:pPr>
      <w:r>
        <w:rPr>
          <w:lang w:val="en_US" w:bidi="en_US"/>
        </w:rPr>
        <w:t>Section 18:15–17: People should enter God’s kingdom humbly like children</w:t>
      </w:r>
    </w:p>
    <w:p>
      <w:pPr/>
      <w:r>
        <w:rPr>
          <w:lang w:val="en_US" w:bidi="en_US"/>
        </w:rPr>
      </w:r>
      <w:r>
        <w:rPr>
          <w:lang w:val="en_US" w:bidi="en_US"/>
        </w:rPr>
        <w:t>Jesus used the story of the tax collector in the previous section to teach that God accepts people who are humble. In this section he used young children to teach the same lesson. People brought their children so that Jesus could bless them. The disciples probably thought that Jesus was too busy as an important teacher to bless the children. So they tried to stop the people from bringing them, but Jesus allowed the children to come to him. He wanted to bless them. He said that the people whom God rules should be like children. The text does not say exactly how they should be like children. Some possibilities are that God’s people should have humble faith like children, they should depend on God, and they should humbly accept God’s authority to rule their lives.</w:t>
      </w:r>
    </w:p>
    <w:p>
      <w:pPr/>
      <w:r>
        <w:rPr>
          <w:lang w:val="en_US" w:bidi="en_US"/>
        </w:rPr>
      </w:r>
      <w:r>
        <w:rPr>
          <w:lang w:val="en_US" w:bidi="en_US"/>
        </w:rPr>
        <w:t>It is good to translate this section before you decide on a heading for it. Some examples of headings for this section are:</w:t>
      </w:r>
    </w:p>
    <w:p>
      <w:pPr/>
      <w:r>
        <w:rPr>
          <w:lang w:val="en_US" w:bidi="en_US"/>
        </w:rPr>
      </w:r>
      <w:r>
        <w:rPr>
          <w:lang w:val="en_US" w:bidi="en_US"/>
        </w:rPr>
        <w:t>Jesus Blesses Little Children (GNT)</w:t>
      </w:r>
    </w:p>
    <w:p>
      <w:pPr/>
      <w:r>
        <w:rPr>
          <w:lang w:val="en_US" w:bidi="en_US"/>
        </w:rPr>
      </w:r>
      <w:r>
        <w:rPr>
          <w:lang w:val="en_US" w:bidi="en_US"/>
        </w:rPr>
        <w:t>The kingdom is for people who are like children</w:t>
      </w:r>
    </w:p>
    <w:p>
      <w:pPr/>
      <w:r>
        <w:rPr>
          <w:lang w:val="en_US" w:bidi="en_US"/>
        </w:rPr>
      </w:r>
      <w:r>
        <w:rPr>
          <w:lang w:val="en_US" w:bidi="en_US"/>
        </w:rPr>
        <w:t>There are parallel passages for this section in Matthew 19:13–15 and Mark 10:13–16.</w:t>
      </w:r>
    </w:p>
    <w:p>
      <w:pPr>
        <w:pStyle w:val="Heading5"/>
      </w:pPr>
      <w:r>
        <w:rPr>
          <w:lang w:val="en_US" w:bidi="en_US"/>
        </w:rPr>
        <w:t>18:17a</w:t>
      </w:r>
    </w:p>
    <w:p>
      <w:pPr/>
      <w:r>
        <w:rPr>
          <w:lang w:val="en_US" w:bidi="en_US"/>
        </w:rPr>
      </w:r>
      <w:r>
        <w:rPr>
          <w:b/>
          <w:lang w:val="en_US" w:bidi="en_US"/>
        </w:rPr>
        <w:t>Truly I tell you,</w:t>
      </w:r>
    </w:p>
    <w:p>
      <w:pPr>
        <w:pStyle w:val="ListBullet"/>
        <w:spacing w:line="240" w:lineRule="auto"/>
        <w:ind w:left="720"/>
      </w:pPr>
      <w:r>
        <w:rPr>
          <w:lang w:val="en_US" w:bidi="en_US"/>
        </w:rPr>
      </w:r>
      <w:r>
        <w:rPr>
          <w:lang w:val="en_US" w:bidi="en_US"/>
        </w:rPr>
        <w:t>Truly, I tell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xml:space="preserve"> that</w:t>
      </w:r>
    </w:p>
    <w:p>
      <w:pPr>
        <w:pStyle w:val="ListBullet"/>
        <w:spacing w:line="240" w:lineRule="auto"/>
        <w:ind w:left="720"/>
      </w:pPr>
      <w:r>
        <w:rPr>
          <w:lang w:val="en_US" w:bidi="en_US"/>
        </w:rPr>
      </w:r>
      <w:r>
        <w:rPr>
          <w:lang w:val="en_US" w:bidi="en_US"/>
        </w:rPr>
        <w:t>Listen</w:t>
      </w:r>
      <w:r>
        <w:rPr>
          <w:vertAlign w:val="superscript"/>
          <w:lang w:val="en_US" w:bidi="en_US"/>
        </w:rPr>
        <w:t>(plur)</w:t>
      </w:r>
      <w:r>
        <w:rPr>
          <w:lang w:val="en_US" w:bidi="en_US"/>
        </w:rPr>
        <w:t xml:space="preserve"> carefully, because this is important:</w:t>
      </w:r>
    </w:p>
    <w:p>
      <w:pPr/>
      <w:r>
        <w:rPr>
          <w:lang w:val="en_US" w:bidi="en_US"/>
        </w:rPr>
      </w:r>
      <w:r>
        <w:rPr>
          <w:b/>
          <w:lang w:val="en_US" w:bidi="en_US"/>
        </w:rPr>
        <w:t>Truly I tell you:</w:t>
      </w:r>
      <w:r>
        <w:rPr>
          <w:lang w:val="en_US" w:bidi="en_US"/>
        </w:rPr>
        <w:t xml:space="preserve"> The clause that the BSB translates as </w:t>
      </w:r>
      <w:r>
        <w:rPr>
          <w:i/>
          <w:lang w:val="en_US" w:bidi="en_US"/>
        </w:rPr>
        <w:t>Truly I tell you</w:t>
      </w:r>
      <w:r>
        <w:rPr>
          <w:lang w:val="en_US" w:bidi="en_US"/>
        </w:rPr>
        <w:t xml:space="preserve"> is literally “Amen I tell you.” Jesus often used this clause to introduce a statement that he wanted to emphasize.</w:t>
      </w:r>
      <w:r>
        <w:rPr>
          <w:lang w:val="en_US" w:bidi="en_US"/>
        </w:rPr>
        <w:t xml:space="preserve">This clause occurs six times in Luke. (In five of these passages, Jesus spoke to a group of people. Once he spoke to the thief on the cross.) Another phrase, which the NIV translates as “I tell you the truth,” uses the Greek word </w:t>
      </w:r>
      <w:r>
        <w:rPr>
          <w:i/>
          <w:lang w:val="en_US" w:bidi="en_US"/>
        </w:rPr>
        <w:t>alēthōs</w:t>
      </w:r>
      <w:r>
        <w:rPr>
          <w:lang w:val="en_US" w:bidi="en_US"/>
        </w:rPr>
        <w:t xml:space="preserve">, which means “truly,” instead of “Amen.” (This phrase occurs in 9:27, 12:44, and 21:3; the BSB says “truthfully” in the first passage and “truly” in the other two.) In Luke, Jesus used these similar phrases in the same way to introduce solemn declarations. Marshall (p. 683) says, “The story reaches its climax in an authoritative saying of Jesus with a solemn </w:t>
      </w:r>
      <w:r>
        <w:rPr>
          <w:i/>
          <w:lang w:val="en_US" w:bidi="en_US"/>
        </w:rPr>
        <w:t>amēn</w:t>
      </w:r>
      <w:r>
        <w:rPr>
          <w:lang w:val="en_US" w:bidi="en_US"/>
        </w:rPr>
        <w:t xml:space="preserve"> introduction.” In his note on 4:24 (p. 187), Marshall points out that other gospel writers use the </w:t>
      </w:r>
      <w:r>
        <w:rPr>
          <w:i/>
          <w:lang w:val="en_US" w:bidi="en_US"/>
        </w:rPr>
        <w:t>amēn</w:t>
      </w:r>
      <w:r>
        <w:rPr>
          <w:lang w:val="en_US" w:bidi="en_US"/>
        </w:rPr>
        <w:t xml:space="preserve"> introduction where Luke uses “truly.” This fact implies that these phrases are used with the same meaning. (Compare 9:27 with Mark 9:1; 12:44 with Matthew 24:47; and 21:3 with Mark 12:43.) This factor probably disproves the interesting suggestions in two </w:t>
      </w:r>
      <w:r>
        <w:rPr>
          <w:i/>
          <w:lang w:val="en_US" w:bidi="en_US"/>
        </w:rPr>
        <w:t>Jerusalem Perspective</w:t>
      </w:r>
      <w:r>
        <w:rPr>
          <w:lang w:val="en_US" w:bidi="en_US"/>
        </w:rPr>
        <w:t xml:space="preserve"> articles that the “Amen” in “Amen, I say to you” points back to what has been said previously. Magnuson (</w:t>
      </w:r>
      <w:r>
        <w:rPr>
          <w:i/>
          <w:lang w:val="en_US" w:bidi="en_US"/>
        </w:rPr>
        <w:t>Jerusalem Perspective</w:t>
      </w:r>
      <w:r>
        <w:rPr>
          <w:lang w:val="en_US" w:bidi="en_US"/>
        </w:rPr>
        <w:t xml:space="preserve"> 3, Dec. 1987) suggests that with the expression “Amen, I tell you,” Jesus used “amen” to affirm his previous statement and then said “I tell you” to emphasize a further statement about that. This view fits the context in 18:17, but is problematical in other contexts in Luke. For example, in 4:23 Jesus quoted the proverb that was in people’s minds, “Physician, heal yourself.” His next statement, beginning with “Amen, I tell you,” was a contradiction of the people’s expectation: “no prophet is accepted in his hometown.” Robert Lindsey (cited in the </w:t>
      </w:r>
      <w:r>
        <w:rPr>
          <w:i/>
          <w:lang w:val="en_US" w:bidi="en_US"/>
        </w:rPr>
        <w:t>Jerusalem Perspective</w:t>
      </w:r>
      <w:r>
        <w:rPr>
          <w:lang w:val="en_US" w:bidi="en_US"/>
        </w:rPr>
        <w:t xml:space="preserve"> 4, January 1988) suggests that the saying here is parallel to Jeremiah 28:6–7. According to Lindsey, Jeremiah said “Amen” to the false prophet’s favorable prophecy to express his wish that it might come true, but then Jeremiah contradicted what the prophet had said. Lindsey suggests that in Luke 4:24 Jesus said “Amen” to agree with his fellow citizens’ desire that he do miracles there, but he then emphatically denied that it would happen. This viewpoint would need more confirmation from other sources before a translator should follow it, since it is a minority view that no English version supports.The Notes takes the view that the whole phrase “Amen, I say to you” here refers to what Jesus was about to say. Doriani states, “When the prophets often said, ‘Thus says the Lord,’ Jesus often says, ‘Amen I say to you.…’ Jesus often uses the formula when he corrects errors or is engaged in disputes.” Doriani also indicates that Jesus used the phrase when he said things that he knew would startle his listeners. He did not offer any proof for these sayings other than his own authority. Doriani states that whenever Jesus uses the phrase “Amen, I say to you,” “he shows awareness of his authority, his deity.” (Daniel Doriani, “Amen,” </w:t>
      </w:r>
      <w:r>
        <w:rPr>
          <w:i/>
          <w:lang w:val="en_US" w:bidi="en_US"/>
        </w:rPr>
        <w:t>Baker’s Evangelical Dictionary of Biblical Theology</w:t>
      </w:r>
      <w:r>
        <w:rPr>
          <w:lang w:val="en_US" w:bidi="en_US"/>
        </w:rPr>
        <w:t>. Cited March 21, 2011. Online: http:www.biblestudytools.com/dictionaries/bakers-evangelical-dictionary/amen.html.)</w:t>
      </w:r>
      <w:r>
        <w:rPr>
          <w:lang w:val="en_US" w:bidi="en_US"/>
        </w:rPr>
        <w:t xml:space="preserve"> It indicates that the statement was important and people should listen carefully to it. It implies that the statement is totally reliable because it is based on Jesus’ own authority.</w:t>
      </w:r>
    </w:p>
    <w:p>
      <w:pPr/>
      <w:r>
        <w:rPr>
          <w:lang w:val="en_US" w:bidi="en_US"/>
        </w:rPr>
      </w:r>
      <w:r>
        <w:rPr>
          <w:lang w:val="en_US" w:bidi="en_US"/>
        </w:rPr>
        <w:t xml:space="preserve">In this context Jesus used the words </w:t>
      </w:r>
      <w:r>
        <w:rPr>
          <w:i/>
          <w:lang w:val="en_US" w:bidi="en_US"/>
        </w:rPr>
        <w:t>Truly I tell you</w:t>
      </w:r>
      <w:r>
        <w:rPr>
          <w:lang w:val="en_US" w:bidi="en_US"/>
        </w:rPr>
        <w:t xml:space="preserve"> to introduce the serious warning that whoever does not receive the kingdom of God like a child will never enter it. The pronoun </w:t>
      </w:r>
      <w:r>
        <w:rPr>
          <w:i/>
          <w:lang w:val="en_US" w:bidi="en_US"/>
        </w:rPr>
        <w:t>you</w:t>
      </w:r>
      <w:r>
        <w:rPr>
          <w:lang w:val="en_US" w:bidi="en_US"/>
        </w:rPr>
        <w:t xml:space="preserve"> is a plural pronoun.</w:t>
      </w:r>
    </w:p>
    <w:p>
      <w:pPr/>
      <w:r>
        <w:rPr>
          <w:lang w:val="en_US" w:bidi="en_US"/>
        </w:rPr>
      </w:r>
      <w:r>
        <w:rPr>
          <w:lang w:val="en_US" w:bidi="en_US"/>
        </w:rPr>
        <w:t xml:space="preserve">See how you translated </w:t>
      </w:r>
      <w:r>
        <w:rPr>
          <w:i/>
          <w:lang w:val="en_US" w:bidi="en_US"/>
        </w:rPr>
        <w:t>Truly I tell you</w:t>
      </w:r>
      <w:r>
        <w:rPr>
          <w:lang w:val="en_US" w:bidi="en_US"/>
        </w:rPr>
        <w:t xml:space="preserve"> in 4:24. In some languages you may need to translate it differently in different contexts. Do not translate in a way that implies that Jesus had not been telling the truth at other times.</w:t>
      </w:r>
    </w:p>
    <w:p>
      <w:pPr/>
      <w:r>
        <w:rPr>
          <w:lang w:val="en_US" w:bidi="en_US"/>
        </w:rPr>
      </w:r>
      <w:r>
        <w:rPr>
          <w:lang w:val="en_US" w:bidi="en_US"/>
        </w:rPr>
        <w:t>Here are some ways to translate the phrase in this context:</w:t>
      </w:r>
    </w:p>
    <w:p>
      <w:pPr/>
      <w:r>
        <w:rPr>
          <w:lang w:val="en_US" w:bidi="en_US"/>
        </w:rPr>
      </w:r>
      <w:r>
        <w:rPr>
          <w:lang w:val="en_US" w:bidi="en_US"/>
        </w:rPr>
        <w:t>I assure you that…</w:t>
      </w:r>
    </w:p>
    <w:p>
      <w:pPr/>
      <w:r>
        <w:rPr>
          <w:lang w:val="en_US" w:bidi="en_US"/>
        </w:rPr>
      </w:r>
      <w:r>
        <w:rPr>
          <w:lang w:val="en_US" w:bidi="en_US"/>
        </w:rPr>
        <w:t>Listen carefully, because this is important/true:</w:t>
      </w:r>
    </w:p>
    <w:p>
      <w:pPr/>
      <w:r>
        <w:rPr>
          <w:lang w:val="en_US" w:bidi="en_US"/>
        </w:rPr>
      </w:r>
      <w:r>
        <w:rPr>
          <w:lang w:val="en_US" w:bidi="en_US"/>
        </w:rPr>
        <w:t>If you have another way in your language to emphasize an important statement that is totally reliable, consider using it here.</w:t>
      </w:r>
    </w:p>
    <w:p>
      <w:pPr>
        <w:pStyle w:val="Heading5"/>
      </w:pPr>
      <w:r>
        <w:rPr>
          <w:lang w:val="en_US" w:bidi="en_US"/>
        </w:rPr>
        <w:t>18:17b</w:t>
      </w:r>
    </w:p>
    <w:p>
      <w:pPr/>
      <w:r>
        <w:rPr>
          <w:lang w:val="en_US" w:bidi="en_US"/>
        </w:rPr>
      </w:r>
      <w:r>
        <w:rPr>
          <w:b/>
          <w:lang w:val="en_US" w:bidi="en_US"/>
        </w:rPr>
        <w:t>anyone who does not receive the kingdom of God like a little child</w:t>
      </w:r>
    </w:p>
    <w:p>
      <w:pPr>
        <w:pStyle w:val="ListBullet"/>
        <w:spacing w:line="240" w:lineRule="auto"/>
        <w:ind w:left="720"/>
      </w:pPr>
      <w:r>
        <w:rPr>
          <w:lang w:val="en_US" w:bidi="en_US"/>
        </w:rPr>
      </w:r>
      <w:r>
        <w:rPr>
          <w:lang w:val="en_US" w:bidi="en_US"/>
        </w:rPr>
        <w:t>anyone who refuses to accept the kingdom of God as a child does</w:t>
      </w:r>
    </w:p>
    <w:p>
      <w:pPr>
        <w:pStyle w:val="ListBullet"/>
        <w:spacing w:line="240" w:lineRule="auto"/>
        <w:ind w:left="720"/>
      </w:pPr>
      <w:r>
        <w:rPr>
          <w:lang w:val="en_US" w:bidi="en_US"/>
        </w:rPr>
      </w:r>
      <w:r>
        <w:rPr>
          <w:lang w:val="en_US" w:bidi="en_US"/>
        </w:rPr>
        <w:t xml:space="preserve">if anyone will not </w:t>
      </w:r>
      <w:r>
        <w:rPr>
          <w:lang w:val="en_US" w:bidi="en_US"/>
        </w:rPr>
        <w:t>humbly/trustingly</w:t>
      </w:r>
      <w:r>
        <w:rPr>
          <w:lang w:val="en_US" w:bidi="en_US"/>
        </w:rPr>
        <w:t xml:space="preserve"> welcome God to rule over him like a child does,</w:t>
      </w:r>
    </w:p>
    <w:p>
      <w:pPr>
        <w:pStyle w:val="ListBullet"/>
        <w:spacing w:line="240" w:lineRule="auto"/>
        <w:ind w:left="720"/>
      </w:pPr>
      <w:r>
        <w:rPr>
          <w:lang w:val="en_US" w:bidi="en_US"/>
        </w:rPr>
      </w:r>
      <w:r>
        <w:rPr>
          <w:lang w:val="en_US" w:bidi="en_US"/>
        </w:rPr>
        <w:t>Unless a person receives God as his king like a child,</w:t>
      </w:r>
    </w:p>
    <w:p>
      <w:pPr>
        <w:pStyle w:val="Heading5"/>
      </w:pPr>
      <w:r>
        <w:rPr>
          <w:lang w:val="en_US" w:bidi="en_US"/>
        </w:rPr>
        <w:t>18:17c</w:t>
      </w:r>
    </w:p>
    <w:p>
      <w:pPr/>
      <w:r>
        <w:rPr>
          <w:lang w:val="en_US" w:bidi="en_US"/>
        </w:rPr>
      </w:r>
      <w:r>
        <w:rPr>
          <w:b/>
          <w:lang w:val="en_US" w:bidi="en_US"/>
        </w:rPr>
        <w:t>will never enter it.”</w:t>
      </w:r>
    </w:p>
    <w:p>
      <w:pPr>
        <w:pStyle w:val="ListBullet"/>
        <w:spacing w:line="240" w:lineRule="auto"/>
        <w:ind w:left="720"/>
      </w:pPr>
      <w:r>
        <w:rPr>
          <w:lang w:val="en_US" w:bidi="en_US"/>
        </w:rPr>
      </w:r>
      <w:r>
        <w:rPr>
          <w:lang w:val="en_US" w:bidi="en_US"/>
        </w:rPr>
        <w:t>will not belong to it.”</w:t>
      </w:r>
    </w:p>
    <w:p>
      <w:pPr>
        <w:pStyle w:val="ListBullet"/>
        <w:spacing w:line="240" w:lineRule="auto"/>
        <w:ind w:left="720"/>
      </w:pPr>
      <w:r>
        <w:rPr>
          <w:lang w:val="en_US" w:bidi="en_US"/>
        </w:rPr>
      </w:r>
      <w:r>
        <w:rPr>
          <w:lang w:val="en_US" w:bidi="en_US"/>
        </w:rPr>
        <w:t>he will never be included in God’s chieftaincy/reign.”</w:t>
      </w:r>
    </w:p>
    <w:p>
      <w:pPr>
        <w:pStyle w:val="ListBullet"/>
        <w:spacing w:line="240" w:lineRule="auto"/>
        <w:ind w:left="720"/>
      </w:pPr>
      <w:r>
        <w:rPr>
          <w:lang w:val="en_US" w:bidi="en_US"/>
        </w:rPr>
      </w:r>
      <w:r>
        <w:rPr>
          <w:lang w:val="en_US" w:bidi="en_US"/>
        </w:rPr>
        <w:t>he will not have God as his king at all.”</w:t>
      </w:r>
    </w:p>
    <w:p>
      <w:pPr>
        <w:pStyle w:val="Heading5"/>
      </w:pPr>
      <w:r>
        <w:rPr>
          <w:lang w:val="en_US" w:bidi="en_US"/>
        </w:rPr>
        <w:t>18:17b–c</w:t>
      </w:r>
    </w:p>
    <w:p>
      <w:pPr/>
      <w:r>
        <w:rPr>
          <w:lang w:val="en_US" w:bidi="en_US"/>
        </w:rPr>
      </w:r>
      <w:r>
        <w:rPr>
          <w:b/>
          <w:lang w:val="en_US" w:bidi="en_US"/>
        </w:rPr>
        <w:t>anyone who does not receive the kingdom of God like a little child will never enter it:</w:t>
      </w:r>
      <w:r>
        <w:rPr>
          <w:lang w:val="en_US" w:bidi="en_US"/>
        </w:rPr>
        <w:t xml:space="preserve"> The word </w:t>
      </w:r>
      <w:r>
        <w:rPr>
          <w:i/>
          <w:lang w:val="en_US" w:bidi="en_US"/>
        </w:rPr>
        <w:t>receive</w:t>
      </w:r>
      <w:r>
        <w:rPr>
          <w:lang w:val="en_US" w:bidi="en_US"/>
        </w:rPr>
        <w:t xml:space="preserve"> means “accept, welcome.” A person must be willing to accept and welcome God as the ruler in his life. He must be part of the group of people who accept God’s authority.</w:t>
      </w:r>
    </w:p>
    <w:p>
      <w:pPr/>
      <w:r>
        <w:rPr>
          <w:lang w:val="en_US" w:bidi="en_US"/>
        </w:rPr>
      </w:r>
      <w:r>
        <w:rPr>
          <w:lang w:val="en_US" w:bidi="en_US"/>
        </w:rPr>
        <w:t xml:space="preserve">The word </w:t>
      </w:r>
      <w:r>
        <w:rPr>
          <w:i/>
          <w:lang w:val="en_US" w:bidi="en_US"/>
        </w:rPr>
        <w:t>enter</w:t>
      </w:r>
      <w:r>
        <w:rPr>
          <w:lang w:val="en_US" w:bidi="en_US"/>
        </w:rPr>
        <w:t xml:space="preserve"> figuratively refers to becoming a person whom God rules and cares for as his king. If a person does not welcome God to rule over him, God will not allow that person to belong to His kingdom. This is an emphatic statement. Some other ways to translate it are:</w:t>
      </w:r>
    </w:p>
    <w:p>
      <w:pPr/>
      <w:r>
        <w:rPr>
          <w:lang w:val="en_US" w:bidi="en_US"/>
        </w:rPr>
      </w:r>
      <w:r>
        <w:rPr>
          <w:lang w:val="en_US" w:bidi="en_US"/>
        </w:rPr>
        <w:t>whoever does not accept God’s ruling over him the way a child accepts it, he absolutely will not be included in God’s kingdom</w:t>
      </w:r>
    </w:p>
    <w:p>
      <w:pPr/>
      <w:r>
        <w:rPr>
          <w:lang w:val="en_US" w:bidi="en_US"/>
        </w:rPr>
      </w:r>
      <w:r>
        <w:rPr>
          <w:lang w:val="en_US" w:bidi="en_US"/>
        </w:rPr>
        <w:t>people who will not depend on God like children will not become his people in his Kingdom</w:t>
      </w:r>
    </w:p>
    <w:p>
      <w:pPr/>
      <w:r>
        <w:rPr>
          <w:lang w:val="en_US" w:bidi="en_US"/>
        </w:rPr>
      </w:r>
      <w:r>
        <w:rPr>
          <w:lang w:val="en_US" w:bidi="en_US"/>
        </w:rPr>
        <w:t xml:space="preserve">The word </w:t>
      </w:r>
      <w:r>
        <w:rPr>
          <w:i/>
          <w:lang w:val="en_US" w:bidi="en_US"/>
        </w:rPr>
        <w:t>enter</w:t>
      </w:r>
      <w:r>
        <w:rPr>
          <w:lang w:val="en_US" w:bidi="en_US"/>
        </w:rPr>
        <w:t xml:space="preserve"> is used in a similar way in 18:24. See also kingdom of God, Context 1, in the Glossary.</w:t>
      </w:r>
    </w:p>
    <w:p>
      <w:pPr/>
      <w:r>
        <w:rPr>
          <w:lang w:val="en_US" w:bidi="en_US"/>
        </w:rPr>
      </w:r>
      <w:r>
        <w:rPr>
          <w:b/>
          <w:lang w:val="en_US" w:bidi="en_US"/>
        </w:rPr>
        <w:t>not…never:</w:t>
      </w:r>
      <w:r>
        <w:rPr>
          <w:lang w:val="en_US" w:bidi="en_US"/>
        </w:rPr>
        <w:t xml:space="preserve"> In some languages, two negatives such as this may be confusing. Here are some ways you might translate this phrase without using two negatives:</w:t>
      </w:r>
    </w:p>
    <w:p>
      <w:pPr/>
      <w:r>
        <w:rPr>
          <w:lang w:val="en_US" w:bidi="en_US"/>
        </w:rPr>
      </w:r>
      <w:r>
        <w:rPr>
          <w:lang w:val="en_US" w:bidi="en_US"/>
        </w:rPr>
        <w:t xml:space="preserve">God will accept into his kingdom </w:t>
      </w:r>
      <w:r>
        <w:rPr>
          <w:u w:val="single"/>
          <w:lang w:val="en_US" w:bidi="en_US"/>
        </w:rPr>
        <w:t>only</w:t>
      </w:r>
      <w:r>
        <w:rPr>
          <w:lang w:val="en_US" w:bidi="en_US"/>
        </w:rPr>
        <w:t xml:space="preserve"> those people who will accept his rule as if they were children</w:t>
      </w:r>
    </w:p>
    <w:p>
      <w:pPr/>
      <w:r>
        <w:rPr>
          <w:lang w:val="en_US" w:bidi="en_US"/>
        </w:rPr>
      </w:r>
      <w:r>
        <w:rPr>
          <w:lang w:val="en_US" w:bidi="en_US"/>
        </w:rPr>
        <w:t xml:space="preserve">no one will be included in the kingdom of God </w:t>
      </w:r>
      <w:r>
        <w:rPr>
          <w:u w:val="single"/>
          <w:lang w:val="en_US" w:bidi="en_US"/>
        </w:rPr>
        <w:t>unless</w:t>
      </w:r>
      <w:r>
        <w:rPr>
          <w:lang w:val="en_US" w:bidi="en_US"/>
        </w:rPr>
        <w:t xml:space="preserve"> he welcomes God’s rule </w:t>
      </w:r>
      <w:r>
        <w:rPr>
          <w:lang w:val="en_US" w:bidi="en_US"/>
        </w:rPr>
        <w:t>in his life</w:t>
      </w:r>
      <w:r>
        <w:rPr>
          <w:lang w:val="en_US" w:bidi="en_US"/>
        </w:rPr>
        <w:t xml:space="preserve"> as a child does</w:t>
      </w:r>
      <w:r>
        <w:rPr>
          <w:lang w:val="en_US" w:bidi="en_US"/>
        </w:rPr>
      </w:r>
      <w:r>
        <w:rPr>
          <w:lang w:val="en_US" w:bidi="en_US"/>
        </w:rPr>
      </w:r>
    </w:p>
    <w:p>
      <w:pPr/>
      <w:r>
        <w:rPr>
          <w:lang w:val="en_US" w:bidi="en_US"/>
        </w:rPr>
      </w:r>
    </w:p>
    <w:p>
      <w:pPr>
        <w:pStyle w:val="Heading2"/>
      </w:pPr>
      <w:r>
        <w:rPr>
          <w:lang w:val="en_US" w:bidi="en_US"/>
        </w:rPr>
        <w:t>Luke 18:18</w:t>
      </w:r>
      <w:r>
        <w:rPr>
          <w:lang w:val="en_US" w:bidi="en_US"/>
        </w:rPr>
      </w:r>
    </w:p>
    <w:p>
      <w:pPr>
        <w:pStyle w:val="Heading4"/>
      </w:pPr>
      <w:r>
        <w:rPr>
          <w:lang w:val="en_US" w:bidi="en_US"/>
        </w:rPr>
        <w:t>Section 18:18–30: It is hard for rich people to enter God’s kingdom</w:t>
      </w:r>
    </w:p>
    <w:p>
      <w:pPr/>
      <w:r>
        <w:rPr>
          <w:lang w:val="en_US" w:bidi="en_US"/>
        </w:rPr>
      </w:r>
      <w:r>
        <w:rPr>
          <w:lang w:val="en_US" w:bidi="en_US"/>
        </w:rP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pPr/>
      <w:r>
        <w:rPr>
          <w:lang w:val="en_US" w:bidi="en_US"/>
        </w:rPr>
      </w:r>
      <w:r>
        <w:rPr>
          <w:lang w:val="en_US" w:bidi="en_US"/>
        </w:rP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pPr/>
      <w:r>
        <w:rPr>
          <w:lang w:val="en_US" w:bidi="en_US"/>
        </w:rPr>
      </w:r>
      <w:r>
        <w:rPr>
          <w:lang w:val="en_US" w:bidi="en_US"/>
        </w:rPr>
        <w:t>At the end of the section Jesus promised that people who left their possessions and family behind to serve him would receive great rewards.</w:t>
      </w:r>
    </w:p>
    <w:p>
      <w:pPr/>
      <w:r>
        <w:rPr>
          <w:lang w:val="en_US" w:bidi="en_US"/>
        </w:rPr>
      </w:r>
      <w:r>
        <w:rPr>
          <w:lang w:val="en_US" w:bidi="en_US"/>
        </w:rPr>
        <w:t>Other examples of headings for this section are:</w:t>
      </w:r>
    </w:p>
    <w:p>
      <w:pPr/>
      <w:r>
        <w:rPr>
          <w:lang w:val="en_US" w:bidi="en_US"/>
        </w:rPr>
      </w:r>
      <w:r>
        <w:rPr>
          <w:lang w:val="en_US" w:bidi="en_US"/>
        </w:rPr>
        <w:t>Jesus taught that riches make it difficult to obtain eternal life</w:t>
      </w:r>
    </w:p>
    <w:p>
      <w:pPr/>
      <w:r>
        <w:rPr>
          <w:lang w:val="en_US" w:bidi="en_US"/>
        </w:rPr>
      </w:r>
      <w:r>
        <w:rPr>
          <w:lang w:val="en_US" w:bidi="en_US"/>
        </w:rPr>
        <w:t>A Rich Man’s Question (NCV)</w:t>
      </w:r>
    </w:p>
    <w:p>
      <w:pPr/>
      <w:r>
        <w:rPr>
          <w:lang w:val="en_US" w:bidi="en_US"/>
        </w:rPr>
      </w:r>
      <w:r>
        <w:rPr>
          <w:lang w:val="en_US" w:bidi="en_US"/>
        </w:rPr>
        <w:t>The rich young man (NJB)</w:t>
      </w:r>
    </w:p>
    <w:p>
      <w:pPr/>
      <w:r>
        <w:rPr>
          <w:lang w:val="en_US" w:bidi="en_US"/>
        </w:rPr>
      </w:r>
      <w:r>
        <w:rPr>
          <w:lang w:val="en_US" w:bidi="en_US"/>
        </w:rPr>
        <w:t>There are parallel passages for this section in Matthew 19:16–30 and Mark 10:17–31.</w:t>
      </w:r>
    </w:p>
    <w:p>
      <w:pPr>
        <w:pStyle w:val="Heading5"/>
      </w:pPr>
      <w:r>
        <w:rPr>
          <w:lang w:val="en_US" w:bidi="en_US"/>
        </w:rPr>
        <w:t>18:18a</w:t>
      </w:r>
    </w:p>
    <w:p>
      <w:pPr/>
      <w:r>
        <w:rPr>
          <w:lang w:val="en_US" w:bidi="en_US"/>
        </w:rPr>
      </w:r>
      <w:r>
        <w:rPr>
          <w:b/>
          <w:lang w:val="en_US" w:bidi="en_US"/>
        </w:rPr>
        <w:t>Then a certain ruler asked Him, “Good Teacher,</w:t>
      </w:r>
    </w:p>
    <w:p>
      <w:pPr>
        <w:pStyle w:val="ListBullet"/>
        <w:spacing w:line="240" w:lineRule="auto"/>
        <w:ind w:left="720"/>
      </w:pPr>
      <w:r>
        <w:rPr>
          <w:lang w:val="en_US" w:bidi="en_US"/>
        </w:rPr>
      </w:r>
      <w:r>
        <w:rPr>
          <w:lang w:val="en_US" w:bidi="en_US"/>
        </w:rPr>
        <w:t>¶ One of the leaders asked him, “Good/Righteous teacher,</w:t>
      </w:r>
    </w:p>
    <w:p>
      <w:pPr>
        <w:pStyle w:val="ListBullet"/>
        <w:spacing w:line="240" w:lineRule="auto"/>
        <w:ind w:left="720"/>
      </w:pPr>
      <w:r>
        <w:rPr>
          <w:lang w:val="en_US" w:bidi="en_US"/>
        </w:rPr>
      </w:r>
      <w:r>
        <w:rPr>
          <w:lang w:val="en_US" w:bidi="en_US"/>
        </w:rPr>
        <w:t xml:space="preserve">¶ After this, a </w:t>
      </w:r>
      <w:r>
        <w:rPr>
          <w:lang w:val="en_US" w:bidi="en_US"/>
        </w:rPr>
        <w:t>Jewish</w:t>
      </w:r>
      <w:r>
        <w:rPr>
          <w:lang w:val="en_US" w:bidi="en_US"/>
        </w:rPr>
        <w:t xml:space="preserve"> leader said to Jesus, “Teacher, you</w:t>
      </w:r>
      <w:r>
        <w:rPr>
          <w:vertAlign w:val="superscript"/>
          <w:lang w:val="en_US" w:bidi="en_US"/>
        </w:rPr>
        <w:t>(sing)</w:t>
      </w:r>
      <w:r>
        <w:rPr>
          <w:lang w:val="en_US" w:bidi="en_US"/>
        </w:rPr>
        <w:t xml:space="preserve"> are a good/upright </w:t>
      </w:r>
      <w:r>
        <w:rPr>
          <w:lang w:val="en_US" w:bidi="en_US"/>
        </w:rPr>
        <w:t>person</w:t>
      </w:r>
      <w:r>
        <w:rPr>
          <w:lang w:val="en_US" w:bidi="en_US"/>
        </w:rPr>
        <w:t>.</w:t>
      </w:r>
    </w:p>
    <w:p>
      <w:pPr/>
      <w:r>
        <w:rPr>
          <w:lang w:val="en_US" w:bidi="en_US"/>
        </w:rPr>
      </w:r>
      <w:r>
        <w:rPr>
          <w:b/>
          <w:lang w:val="en_US" w:bidi="en_US"/>
        </w:rPr>
        <w:t>Then:</w:t>
      </w:r>
      <w:r>
        <w:rPr>
          <w:lang w:val="en_US" w:bidi="en_US"/>
        </w:rPr>
        <w:t xml:space="preserve"> The events in this section happened sometime after the events in 18:15–17. The Greek text does not indicate how much time passed between these two events. In some languages, it is natural to introduce a section with a time word or phrase. If this is true in your language, use an expression here that is not too specific. For example, the BSB translates the Greek conjunction that begins this verse as </w:t>
      </w:r>
      <w:r>
        <w:rPr>
          <w:i/>
          <w:lang w:val="en_US" w:bidi="en_US"/>
        </w:rPr>
        <w:t>Then</w:t>
      </w:r>
      <w:r>
        <w:rPr>
          <w:lang w:val="en_US" w:bidi="en_US"/>
        </w:rPr>
        <w:t>. Another way to translate this is:</w:t>
      </w:r>
    </w:p>
    <w:p>
      <w:pPr/>
      <w:r>
        <w:rPr>
          <w:lang w:val="en_US" w:bidi="en_US"/>
        </w:rPr>
      </w:r>
      <w:r>
        <w:rPr>
          <w:lang w:val="en_US" w:bidi="en_US"/>
        </w:rPr>
        <w:t>After that</w:t>
      </w:r>
    </w:p>
    <w:p>
      <w:pPr/>
      <w:r>
        <w:rPr>
          <w:lang w:val="en_US" w:bidi="en_US"/>
        </w:rPr>
      </w:r>
      <w:r>
        <w:rPr>
          <w:lang w:val="en_US" w:bidi="en_US"/>
        </w:rPr>
        <w:t>In other languages, a time word or phrase is not necessary. Introduce this event in a natural way in your language.</w:t>
      </w:r>
    </w:p>
    <w:p>
      <w:pPr/>
      <w:r>
        <w:rPr>
          <w:lang w:val="en_US" w:bidi="en_US"/>
        </w:rPr>
      </w:r>
      <w:r>
        <w:rPr>
          <w:b/>
          <w:lang w:val="en_US" w:bidi="en_US"/>
        </w:rPr>
        <w:t>a certain ruler:</w:t>
      </w:r>
      <w:r>
        <w:rPr>
          <w:lang w:val="en_US" w:bidi="en_US"/>
        </w:rPr>
        <w:t xml:space="preserve"> The Greek word that the BSB translates as </w:t>
      </w:r>
      <w:r>
        <w:rPr>
          <w:i/>
          <w:lang w:val="en_US" w:bidi="en_US"/>
        </w:rPr>
        <w:t>ruler</w:t>
      </w:r>
      <w:r>
        <w:rPr>
          <w:lang w:val="en_US" w:bidi="en_US"/>
        </w:rPr>
        <w:t xml:space="preserve"> refers here to a Jewish leader. This leader may have been an official of a local synagogue. He was not one of the Roman political rulers. Other ways to translate the word are:</w:t>
      </w:r>
    </w:p>
    <w:p>
      <w:pPr/>
      <w:r>
        <w:rPr>
          <w:lang w:val="en_US" w:bidi="en_US"/>
        </w:rPr>
      </w:r>
      <w:r>
        <w:rPr>
          <w:lang w:val="en_US" w:bidi="en_US"/>
        </w:rPr>
        <w:t>An important man (CEV)</w:t>
      </w:r>
    </w:p>
    <w:p>
      <w:pPr/>
      <w:r>
        <w:rPr>
          <w:lang w:val="en_US" w:bidi="en_US"/>
        </w:rPr>
      </w:r>
      <w:r>
        <w:rPr>
          <w:lang w:val="en_US" w:bidi="en_US"/>
        </w:rPr>
        <w:t>A Jewish leader (GNT)</w:t>
      </w:r>
    </w:p>
    <w:p>
      <w:pPr/>
      <w:r>
        <w:rPr>
          <w:lang w:val="en_US" w:bidi="en_US"/>
        </w:rPr>
      </w:r>
      <w:r>
        <w:rPr>
          <w:lang w:val="en_US" w:bidi="en_US"/>
        </w:rPr>
        <w:t>In some languages there may be a special way to introduce this ruler at the beginning of this event. For example:</w:t>
      </w:r>
    </w:p>
    <w:p>
      <w:pPr/>
      <w:r>
        <w:rPr>
          <w:lang w:val="en_US" w:bidi="en_US"/>
        </w:rPr>
      </w:r>
      <w:r>
        <w:rPr>
          <w:lang w:val="en_US" w:bidi="en_US"/>
        </w:rPr>
        <w:t>There was a leader of the Jews who…</w:t>
      </w:r>
      <w:r>
        <w:rPr>
          <w:lang w:val="en_US" w:bidi="en_US"/>
        </w:rPr>
        <w:t>Kankanaey Back Translation on TW</w:t>
      </w:r>
    </w:p>
    <w:p>
      <w:pPr/>
      <w:r>
        <w:rPr>
          <w:lang w:val="en_US" w:bidi="en_US"/>
        </w:rPr>
      </w:r>
      <w:r>
        <w:rPr>
          <w:lang w:val="en_US" w:bidi="en_US"/>
        </w:rPr>
        <w:t>Introduce him in a natural way in your language.</w:t>
      </w:r>
    </w:p>
    <w:p>
      <w:pPr/>
      <w:r>
        <w:rPr>
          <w:lang w:val="en_US" w:bidi="en_US"/>
        </w:rPr>
      </w:r>
      <w:r>
        <w:rPr>
          <w:b/>
          <w:lang w:val="en_US" w:bidi="en_US"/>
        </w:rPr>
        <w:t>asked Him:</w:t>
      </w:r>
      <w:r>
        <w:rPr>
          <w:lang w:val="en_US" w:bidi="en_US"/>
        </w:rPr>
        <w:t xml:space="preserve"> The pronoun </w:t>
      </w:r>
      <w:r>
        <w:rPr>
          <w:i/>
          <w:lang w:val="en_US" w:bidi="en_US"/>
        </w:rPr>
        <w:t>Him</w:t>
      </w:r>
      <w:r>
        <w:rPr>
          <w:lang w:val="en_US" w:bidi="en_US"/>
        </w:rPr>
        <w:t xml:space="preserve"> refers to Jesus. In some languages it may be helpful to use his name here at the beginning of the section. For example:</w:t>
      </w:r>
    </w:p>
    <w:p>
      <w:pPr/>
      <w:r>
        <w:rPr>
          <w:lang w:val="en_US" w:bidi="en_US"/>
        </w:rPr>
      </w:r>
      <w:r>
        <w:rPr>
          <w:lang w:val="en_US" w:bidi="en_US"/>
        </w:rPr>
        <w:t>asked Jesus (GNT)</w:t>
      </w:r>
    </w:p>
    <w:p>
      <w:pPr/>
      <w:r>
        <w:rPr>
          <w:lang w:val="en_US" w:bidi="en_US"/>
        </w:rPr>
      </w:r>
      <w:r>
        <w:rPr>
          <w:b/>
          <w:lang w:val="en_US" w:bidi="en_US"/>
        </w:rPr>
        <w:t>Good Teacher:</w:t>
      </w:r>
      <w:r>
        <w:rPr>
          <w:lang w:val="en_US" w:bidi="en_US"/>
        </w:rPr>
        <w:t xml:space="preserve"> The ruler addressed Jesus as </w:t>
      </w:r>
      <w:r>
        <w:rPr>
          <w:i/>
          <w:lang w:val="en_US" w:bidi="en_US"/>
        </w:rPr>
        <w:t>Good Teacher</w:t>
      </w:r>
      <w:r>
        <w:rPr>
          <w:lang w:val="en_US" w:bidi="en_US"/>
        </w:rPr>
        <w:t xml:space="preserve"> to show respect for him. In this context the phrase </w:t>
      </w:r>
      <w:r>
        <w:rPr>
          <w:i/>
          <w:lang w:val="en_US" w:bidi="en_US"/>
        </w:rPr>
        <w:t>Good Teacher</w:t>
      </w:r>
      <w:r>
        <w:rPr>
          <w:lang w:val="en_US" w:bidi="en_US"/>
        </w:rPr>
        <w:t xml:space="preserve"> refers to a teacher who is morally good, upright, or holy. It does not refer to his ability to teach well.</w:t>
      </w:r>
    </w:p>
    <w:p>
      <w:pPr/>
      <w:r>
        <w:rPr>
          <w:lang w:val="en_US" w:bidi="en_US"/>
        </w:rPr>
      </w:r>
      <w:r>
        <w:rPr>
          <w:lang w:val="en_US" w:bidi="en_US"/>
        </w:rPr>
        <w:t>In some languages it may not be natural to use a description like “good” as part of a person’s title when you are speaking to that person. If that is true in your language, you may want to put the word “good” in a different phrase. For example:</w:t>
      </w:r>
    </w:p>
    <w:p>
      <w:pPr/>
      <w:r>
        <w:rPr>
          <w:lang w:val="en_US" w:bidi="en_US"/>
        </w:rPr>
      </w:r>
      <w:r>
        <w:rPr>
          <w:lang w:val="en_US" w:bidi="en_US"/>
        </w:rPr>
        <w:t>Teacher, you are a good person.</w:t>
      </w:r>
    </w:p>
    <w:p>
      <w:pPr/>
      <w:r>
        <w:rPr>
          <w:lang w:val="en_US" w:bidi="en_US"/>
        </w:rPr>
      </w:r>
      <w:r>
        <w:rPr>
          <w:b/>
          <w:lang w:val="en_US" w:bidi="en_US"/>
        </w:rPr>
        <w:t>Teacher:</w:t>
      </w:r>
      <w:r>
        <w:rPr>
          <w:lang w:val="en_US" w:bidi="en_US"/>
        </w:rPr>
        <w:t xml:space="preserve"> The word </w:t>
      </w:r>
      <w:r>
        <w:rPr>
          <w:i/>
          <w:lang w:val="en_US" w:bidi="en_US"/>
        </w:rPr>
        <w:t>Teacher</w:t>
      </w:r>
      <w:r>
        <w:rPr>
          <w:lang w:val="en_US" w:bidi="en_US"/>
        </w:rPr>
        <w:t xml:space="preserve"> was a polite title for a Jewish religious leader. It was a title of respect for a Jewish man who had authority to teach other people things about God and his commands. In some languages the appropriate way to address a religious teacher may be:</w:t>
      </w:r>
    </w:p>
    <w:p>
      <w:pPr/>
      <w:r>
        <w:rPr>
          <w:lang w:val="en_US" w:bidi="en_US"/>
        </w:rPr>
      </w:r>
      <w:r>
        <w:rPr>
          <w:lang w:val="en_US" w:bidi="en_US"/>
        </w:rPr>
        <w:t>Honored Teacher</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lang w:val="en_US" w:bidi="en_US"/>
        </w:rPr>
        <w:t>The term does not refer to a person who taught children in school.</w:t>
      </w:r>
    </w:p>
    <w:p>
      <w:pPr>
        <w:pStyle w:val="Heading5"/>
      </w:pPr>
      <w:r>
        <w:rPr>
          <w:lang w:val="en_US" w:bidi="en_US"/>
        </w:rPr>
        <w:t>18:18b</w:t>
      </w:r>
    </w:p>
    <w:p>
      <w:pPr/>
      <w:r>
        <w:rPr>
          <w:lang w:val="en_US" w:bidi="en_US"/>
        </w:rPr>
      </w:r>
      <w:r>
        <w:rPr>
          <w:b/>
          <w:lang w:val="en_US" w:bidi="en_US"/>
        </w:rPr>
        <w:t>what must I do to inherit eternal life?”</w:t>
      </w:r>
    </w:p>
    <w:p>
      <w:pPr>
        <w:pStyle w:val="ListBullet"/>
        <w:spacing w:line="240" w:lineRule="auto"/>
        <w:ind w:left="720"/>
      </w:pPr>
      <w:r>
        <w:rPr>
          <w:lang w:val="en_US" w:bidi="en_US"/>
        </w:rPr>
      </w:r>
      <w:r>
        <w:rPr>
          <w:lang w:val="en_US" w:bidi="en_US"/>
        </w:rPr>
        <w:t>what shall I do to receive eternal life?”</w:t>
      </w:r>
    </w:p>
    <w:p>
      <w:pPr>
        <w:pStyle w:val="ListBullet"/>
        <w:spacing w:line="240" w:lineRule="auto"/>
        <w:ind w:left="720"/>
      </w:pPr>
      <w:r>
        <w:rPr>
          <w:lang w:val="en_US" w:bidi="en_US"/>
        </w:rPr>
      </w:r>
      <w:r>
        <w:rPr>
          <w:lang w:val="en_US" w:bidi="en_US"/>
        </w:rPr>
        <w:t xml:space="preserve">By/through what </w:t>
      </w:r>
      <w:r>
        <w:rPr>
          <w:lang w:val="en_US" w:bidi="en_US"/>
        </w:rPr>
        <w:t>deed</w:t>
      </w:r>
      <w:r>
        <w:rPr>
          <w:lang w:val="en_US" w:bidi="en_US"/>
        </w:rPr>
        <w:t xml:space="preserve"> will I be able to live forever </w:t>
      </w:r>
      <w:r>
        <w:rPr>
          <w:lang w:val="en_US" w:bidi="en_US"/>
        </w:rPr>
        <w:t>with God</w:t>
      </w:r>
      <w:r>
        <w:rPr>
          <w:lang w:val="en_US" w:bidi="en_US"/>
        </w:rPr>
        <w:t>?”</w:t>
      </w:r>
    </w:p>
    <w:p>
      <w:pPr>
        <w:pStyle w:val="ListBullet"/>
        <w:spacing w:line="240" w:lineRule="auto"/>
        <w:ind w:left="720"/>
      </w:pPr>
      <w:r>
        <w:rPr>
          <w:lang w:val="en_US" w:bidi="en_US"/>
        </w:rPr>
      </w:r>
      <w:r>
        <w:rPr>
          <w:lang w:val="en_US" w:bidi="en_US"/>
        </w:rPr>
        <w:t xml:space="preserve">What </w:t>
      </w:r>
      <w:r>
        <w:rPr>
          <w:lang w:val="en_US" w:bidi="en_US"/>
        </w:rPr>
        <w:t>things/actions</w:t>
      </w:r>
      <w:r>
        <w:rPr>
          <w:lang w:val="en_US" w:bidi="en_US"/>
        </w:rPr>
        <w:t xml:space="preserve"> must I do so that </w:t>
      </w:r>
      <w:r>
        <w:rPr>
          <w:lang w:val="en_US" w:bidi="en_US"/>
        </w:rPr>
        <w:t>God</w:t>
      </w:r>
      <w:r>
        <w:rPr>
          <w:lang w:val="en_US" w:bidi="en_US"/>
        </w:rPr>
        <w:t xml:space="preserve"> will give me everlasting life?”</w:t>
      </w:r>
    </w:p>
    <w:p>
      <w:pPr/>
      <w:r>
        <w:rPr>
          <w:lang w:val="en_US" w:bidi="en_US"/>
        </w:rPr>
      </w:r>
      <w:r>
        <w:rPr>
          <w:b/>
          <w:lang w:val="en_US" w:bidi="en_US"/>
        </w:rPr>
        <w:t>what must I do to inherit eternal life?:</w:t>
      </w:r>
      <w:r>
        <w:rPr>
          <w:lang w:val="en_US" w:bidi="en_US"/>
        </w:rPr>
        <w:t xml:space="preserve"> Here the ruler was asking what religious duty or deed he should perform in order to receive eternal life. Some other ways to translate this are:</w:t>
      </w:r>
    </w:p>
    <w:p>
      <w:pPr/>
      <w:r>
        <w:rPr>
          <w:lang w:val="en_US" w:bidi="en_US"/>
        </w:rPr>
      </w:r>
      <w:r>
        <w:rPr>
          <w:lang w:val="en_US" w:bidi="en_US"/>
        </w:rPr>
        <w:t>…what must I do to have eternal life? (CEV)</w:t>
      </w:r>
    </w:p>
    <w:p>
      <w:pPr/>
      <w:r>
        <w:rPr>
          <w:lang w:val="en_US" w:bidi="en_US"/>
        </w:rPr>
      </w:r>
      <w:r>
        <w:rPr>
          <w:lang w:val="en_US" w:bidi="en_US"/>
        </w:rPr>
        <w:t xml:space="preserve">…what </w:t>
      </w:r>
      <w:r>
        <w:rPr>
          <w:lang w:val="en_US" w:bidi="en_US"/>
        </w:rPr>
        <w:t>deed</w:t>
      </w:r>
      <w:r>
        <w:rPr>
          <w:lang w:val="en_US" w:bidi="en_US"/>
        </w:rPr>
        <w:t xml:space="preserve"> should I do so that I may live eternally?</w:t>
      </w:r>
    </w:p>
    <w:p>
      <w:pPr/>
      <w:r>
        <w:rPr>
          <w:lang w:val="en_US" w:bidi="en_US"/>
        </w:rPr>
      </w:r>
      <w:r>
        <w:rPr>
          <w:b/>
          <w:lang w:val="en_US" w:bidi="en_US"/>
        </w:rPr>
        <w:t>to inherit:</w:t>
      </w:r>
      <w:r>
        <w:rPr>
          <w:lang w:val="en_US" w:bidi="en_US"/>
        </w:rPr>
        <w:t xml:space="preserve"> In this context, the word </w:t>
      </w:r>
      <w:r>
        <w:rPr>
          <w:i/>
          <w:lang w:val="en_US" w:bidi="en_US"/>
        </w:rPr>
        <w:t>inherit</w:t>
      </w:r>
      <w:r>
        <w:rPr>
          <w:lang w:val="en_US" w:bidi="en_US"/>
        </w:rPr>
        <w:t xml:space="preserve"> means “receive, obtain” in a general sense. It does not refer to receiving a person’s property after he dies. Another way to translate this is:</w:t>
      </w:r>
    </w:p>
    <w:p>
      <w:pPr/>
      <w:r>
        <w:rPr>
          <w:lang w:val="en_US" w:bidi="en_US"/>
        </w:rPr>
      </w:r>
      <w:r>
        <w:rPr>
          <w:lang w:val="en_US" w:bidi="en_US"/>
        </w:rPr>
        <w:t>so that I may receive</w:t>
      </w:r>
    </w:p>
    <w:p>
      <w:pPr/>
      <w:r>
        <w:rPr>
          <w:lang w:val="en_US" w:bidi="en_US"/>
        </w:rPr>
      </w:r>
      <w:r>
        <w:rPr>
          <w:lang w:val="en_US" w:bidi="en_US"/>
        </w:rPr>
        <w:t xml:space="preserve">The context implies that the ruler wanted to receive eternal life from </w:t>
      </w:r>
      <w:r>
        <w:rPr>
          <w:u w:val="single"/>
          <w:lang w:val="en_US" w:bidi="en_US"/>
        </w:rPr>
        <w:t>God</w:t>
      </w:r>
      <w:r>
        <w:rPr>
          <w:lang w:val="en_US" w:bidi="en_US"/>
        </w:rPr>
        <w:t>. In some languages, it may be necessary to say from whom the man expected to obtain eternal life. If that is true in your language, you may need to supply the information that it is God who gives that life. For example:</w:t>
      </w:r>
    </w:p>
    <w:p>
      <w:pPr/>
      <w:r>
        <w:rPr>
          <w:lang w:val="en_US" w:bidi="en_US"/>
        </w:rPr>
      </w:r>
      <w:r>
        <w:rPr>
          <w:lang w:val="en_US" w:bidi="en_US"/>
        </w:rPr>
        <w:t xml:space="preserve">so that </w:t>
      </w:r>
      <w:r>
        <w:rPr>
          <w:lang w:val="en_US" w:bidi="en_US"/>
        </w:rPr>
        <w:t>God</w:t>
      </w:r>
      <w:r>
        <w:rPr>
          <w:lang w:val="en_US" w:bidi="en_US"/>
        </w:rPr>
        <w:t xml:space="preserve"> will give me eternal life</w:t>
      </w:r>
    </w:p>
    <w:p>
      <w:pPr/>
      <w:r>
        <w:rPr>
          <w:lang w:val="en_US" w:bidi="en_US"/>
        </w:rPr>
      </w:r>
      <w:r>
        <w:rPr>
          <w:lang w:val="en_US" w:bidi="en_US"/>
        </w:rPr>
        <w:t>In 10:25, a law expert asked the same question.</w:t>
      </w:r>
    </w:p>
    <w:p>
      <w:pPr/>
      <w:r>
        <w:rPr>
          <w:lang w:val="en_US" w:bidi="en_US"/>
        </w:rPr>
      </w:r>
      <w:r>
        <w:rPr>
          <w:b/>
          <w:lang w:val="en_US" w:bidi="en_US"/>
        </w:rPr>
        <w:t>eternal life:</w:t>
      </w:r>
      <w:r>
        <w:rPr>
          <w:lang w:val="en_US" w:bidi="en_US"/>
        </w:rPr>
        <w:t xml:space="preserve"> The word </w:t>
      </w:r>
      <w:r>
        <w:rPr>
          <w:i/>
          <w:lang w:val="en_US" w:bidi="en_US"/>
        </w:rPr>
        <w:t>eternal</w:t>
      </w:r>
      <w:r>
        <w:rPr>
          <w:lang w:val="en_US" w:bidi="en_US"/>
        </w:rPr>
        <w:t xml:space="preserve"> refers to something that does not end. The phrase </w:t>
      </w:r>
      <w:r>
        <w:rPr>
          <w:i/>
          <w:lang w:val="en_US" w:bidi="en_US"/>
        </w:rPr>
        <w:t>eternal life</w:t>
      </w:r>
      <w:r>
        <w:rPr>
          <w:lang w:val="en_US" w:bidi="en_US"/>
        </w:rPr>
        <w:t xml:space="preserve"> refers to life in heaven with God. This life continues forever. Some ways to translate this are:</w:t>
      </w:r>
    </w:p>
    <w:p>
      <w:pPr/>
      <w:r>
        <w:rPr>
          <w:lang w:val="en_US" w:bidi="en_US"/>
        </w:rPr>
      </w:r>
      <w:r>
        <w:rPr>
          <w:lang w:val="en_US" w:bidi="en_US"/>
        </w:rPr>
        <w:t>unending life</w:t>
      </w:r>
    </w:p>
    <w:p>
      <w:pPr/>
      <w:r>
        <w:rPr>
          <w:lang w:val="en_US" w:bidi="en_US"/>
        </w:rPr>
      </w:r>
      <w:r>
        <w:rPr>
          <w:lang w:val="en_US" w:bidi="en_US"/>
        </w:rPr>
        <w:t>life that never ends</w:t>
      </w:r>
    </w:p>
    <w:p>
      <w:pPr/>
      <w:r>
        <w:rPr>
          <w:lang w:val="en_US" w:bidi="en_US"/>
        </w:rPr>
      </w:r>
      <w:r>
        <w:rPr>
          <w:lang w:val="en_US" w:bidi="en_US"/>
        </w:rPr>
        <w:t xml:space="preserve">In some languages, a literal translation of </w:t>
      </w:r>
      <w:r>
        <w:rPr>
          <w:i/>
          <w:lang w:val="en_US" w:bidi="en_US"/>
        </w:rPr>
        <w:t>eternal life</w:t>
      </w:r>
      <w:r>
        <w:rPr>
          <w:lang w:val="en_US" w:bidi="en_US"/>
        </w:rPr>
        <w:t xml:space="preserve"> would wrongly mean that the man hoped to live forever on earth without dying. If that is true in your language, it may be necessary to supply some implied information. For example:</w:t>
      </w:r>
    </w:p>
    <w:p>
      <w:pPr/>
      <w:r>
        <w:rPr>
          <w:lang w:val="en_US" w:bidi="en_US"/>
        </w:rPr>
      </w:r>
      <w:r>
        <w:rPr>
          <w:lang w:val="en_US" w:bidi="en_US"/>
        </w:rPr>
        <w:t xml:space="preserve">unending life </w:t>
      </w:r>
      <w:r>
        <w:rPr>
          <w:lang w:val="en_US" w:bidi="en_US"/>
        </w:rPr>
        <w:t>in heaven</w:t>
      </w:r>
    </w:p>
    <w:p>
      <w:pPr/>
      <w:r>
        <w:rPr>
          <w:lang w:val="en_US" w:bidi="en_US"/>
        </w:rPr>
      </w:r>
      <w:r>
        <w:rPr>
          <w:lang w:val="en_US" w:bidi="en_US"/>
        </w:rPr>
        <w:t xml:space="preserve">to live forever </w:t>
      </w:r>
      <w:r>
        <w:rPr>
          <w:lang w:val="en_US" w:bidi="en_US"/>
        </w:rPr>
        <w:t>with God</w:t>
      </w:r>
      <w:r>
        <w:rPr>
          <w:lang w:val="en_US" w:bidi="en_US"/>
        </w:rPr>
        <w:t xml:space="preserve"> </w:t>
      </w:r>
      <w:r>
        <w:rPr>
          <w:lang w:val="en_US" w:bidi="en_US"/>
        </w:rPr>
        <w:t>after I die</w:t>
      </w:r>
    </w:p>
    <w:p>
      <w:pPr/>
      <w:r>
        <w:rPr>
          <w:lang w:val="en_US" w:bidi="en_US"/>
        </w:rPr>
      </w:r>
      <w:r>
        <w:rPr>
          <w:lang w:val="en_US" w:bidi="en_US"/>
        </w:rPr>
        <w:t xml:space="preserve">In some languages, it may be best to translate </w:t>
      </w:r>
      <w:r>
        <w:rPr>
          <w:i/>
          <w:lang w:val="en_US" w:bidi="en_US"/>
        </w:rPr>
        <w:t>life</w:t>
      </w:r>
      <w:r>
        <w:rPr>
          <w:lang w:val="en_US" w:bidi="en_US"/>
        </w:rPr>
        <w:t xml:space="preserve"> as a verb. For example:</w:t>
      </w:r>
    </w:p>
    <w:p>
      <w:pPr/>
      <w:r>
        <w:rPr>
          <w:lang w:val="en_US" w:bidi="en_US"/>
        </w:rPr>
      </w:r>
      <w:r>
        <w:rPr>
          <w:lang w:val="en_US" w:bidi="en_US"/>
        </w:rPr>
        <w:t>to live eternally/forever</w:t>
      </w:r>
    </w:p>
    <w:p>
      <w:pPr/>
      <w:r>
        <w:rPr>
          <w:lang w:val="en_US" w:bidi="en_US"/>
        </w:rPr>
      </w:r>
      <w:r>
        <w:rPr>
          <w:lang w:val="en_US" w:bidi="en_US"/>
        </w:rPr>
        <w:t xml:space="preserve">so that </w:t>
      </w:r>
      <w:r>
        <w:rPr>
          <w:lang w:val="en_US" w:bidi="en_US"/>
        </w:rPr>
        <w:t>God will cause me</w:t>
      </w:r>
      <w:r>
        <w:rPr>
          <w:lang w:val="en_US" w:bidi="en_US"/>
        </w:rPr>
        <w:t xml:space="preserve"> to live forever </w:t>
      </w:r>
      <w:r>
        <w:rPr>
          <w:lang w:val="en_US" w:bidi="en_US"/>
        </w:rPr>
        <w:t>in heaven</w:t>
      </w:r>
      <w:r>
        <w:rPr>
          <w:lang w:val="en_US" w:bidi="en_US"/>
        </w:rPr>
      </w:r>
      <w:r>
        <w:rPr>
          <w:lang w:val="en_US" w:bidi="en_US"/>
        </w:rPr>
      </w:r>
    </w:p>
    <w:p>
      <w:pPr/>
      <w:r>
        <w:rPr>
          <w:lang w:val="en_US" w:bidi="en_US"/>
        </w:rPr>
      </w:r>
    </w:p>
    <w:p>
      <w:pPr>
        <w:pStyle w:val="Heading2"/>
      </w:pPr>
      <w:r>
        <w:rPr>
          <w:lang w:val="en_US" w:bidi="en_US"/>
        </w:rPr>
        <w:t>Luke 18:19</w:t>
      </w:r>
      <w:r>
        <w:rPr>
          <w:lang w:val="en_US" w:bidi="en_US"/>
        </w:rPr>
      </w:r>
    </w:p>
    <w:p>
      <w:pPr>
        <w:pStyle w:val="Heading4"/>
      </w:pPr>
      <w:r>
        <w:rPr>
          <w:lang w:val="en_US" w:bidi="en_US"/>
        </w:rPr>
        <w:t>Section 18:18–30: It is hard for rich people to enter God’s kingdom</w:t>
      </w:r>
    </w:p>
    <w:p>
      <w:pPr/>
      <w:r>
        <w:rPr>
          <w:lang w:val="en_US" w:bidi="en_US"/>
        </w:rPr>
      </w:r>
      <w:r>
        <w:rPr>
          <w:lang w:val="en_US" w:bidi="en_US"/>
        </w:rP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pPr/>
      <w:r>
        <w:rPr>
          <w:lang w:val="en_US" w:bidi="en_US"/>
        </w:rPr>
      </w:r>
      <w:r>
        <w:rPr>
          <w:lang w:val="en_US" w:bidi="en_US"/>
        </w:rP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pPr/>
      <w:r>
        <w:rPr>
          <w:lang w:val="en_US" w:bidi="en_US"/>
        </w:rPr>
      </w:r>
      <w:r>
        <w:rPr>
          <w:lang w:val="en_US" w:bidi="en_US"/>
        </w:rPr>
        <w:t>At the end of the section Jesus promised that people who left their possessions and family behind to serve him would receive great rewards.</w:t>
      </w:r>
    </w:p>
    <w:p>
      <w:pPr/>
      <w:r>
        <w:rPr>
          <w:lang w:val="en_US" w:bidi="en_US"/>
        </w:rPr>
      </w:r>
      <w:r>
        <w:rPr>
          <w:lang w:val="en_US" w:bidi="en_US"/>
        </w:rPr>
        <w:t>Other examples of headings for this section are:</w:t>
      </w:r>
    </w:p>
    <w:p>
      <w:pPr/>
      <w:r>
        <w:rPr>
          <w:lang w:val="en_US" w:bidi="en_US"/>
        </w:rPr>
      </w:r>
      <w:r>
        <w:rPr>
          <w:lang w:val="en_US" w:bidi="en_US"/>
        </w:rPr>
        <w:t>Jesus taught that riches make it difficult to obtain eternal life</w:t>
      </w:r>
    </w:p>
    <w:p>
      <w:pPr/>
      <w:r>
        <w:rPr>
          <w:lang w:val="en_US" w:bidi="en_US"/>
        </w:rPr>
      </w:r>
      <w:r>
        <w:rPr>
          <w:lang w:val="en_US" w:bidi="en_US"/>
        </w:rPr>
        <w:t>A Rich Man’s Question (NCV)</w:t>
      </w:r>
    </w:p>
    <w:p>
      <w:pPr/>
      <w:r>
        <w:rPr>
          <w:lang w:val="en_US" w:bidi="en_US"/>
        </w:rPr>
      </w:r>
      <w:r>
        <w:rPr>
          <w:lang w:val="en_US" w:bidi="en_US"/>
        </w:rPr>
        <w:t>The rich young man (NJB)</w:t>
      </w:r>
    </w:p>
    <w:p>
      <w:pPr/>
      <w:r>
        <w:rPr>
          <w:lang w:val="en_US" w:bidi="en_US"/>
        </w:rPr>
      </w:r>
      <w:r>
        <w:rPr>
          <w:lang w:val="en_US" w:bidi="en_US"/>
        </w:rPr>
        <w:t>There are parallel passages for this section in Matthew 19:16–30 and Mark 10:17–31.</w:t>
      </w:r>
    </w:p>
    <w:p>
      <w:pPr>
        <w:pStyle w:val="Heading5"/>
      </w:pPr>
      <w:r>
        <w:rPr>
          <w:lang w:val="en_US" w:bidi="en_US"/>
        </w:rPr>
        <w:t>18:19a</w:t>
      </w:r>
    </w:p>
    <w:p>
      <w:pPr/>
      <w:r>
        <w:rPr>
          <w:lang w:val="en_US" w:bidi="en_US"/>
        </w:rPr>
      </w:r>
      <w:r>
        <w:rPr>
          <w:b/>
          <w:lang w:val="en_US" w:bidi="en_US"/>
        </w:rPr>
        <w:t>“Why do you call Me good?” Jesus replied.</w:t>
      </w:r>
    </w:p>
    <w:p>
      <w:pPr>
        <w:pStyle w:val="ListBullet"/>
        <w:spacing w:line="240" w:lineRule="auto"/>
        <w:ind w:left="720"/>
      </w:pPr>
      <w:r>
        <w:rPr>
          <w:lang w:val="en_US" w:bidi="en_US"/>
        </w:rPr>
      </w:r>
      <w:r>
        <w:rPr>
          <w:lang w:val="en_US" w:bidi="en_US"/>
        </w:rPr>
        <w:t>Jesus said to him, “Why do you</w:t>
      </w:r>
      <w:r>
        <w:rPr>
          <w:vertAlign w:val="superscript"/>
          <w:lang w:val="en_US" w:bidi="en_US"/>
        </w:rPr>
        <w:t>(sing)</w:t>
      </w:r>
      <w:r>
        <w:rPr>
          <w:lang w:val="en_US" w:bidi="en_US"/>
        </w:rPr>
        <w:t xml:space="preserve"> refer to me as good?</w:t>
      </w:r>
    </w:p>
    <w:p>
      <w:pPr>
        <w:pStyle w:val="ListBullet"/>
        <w:spacing w:line="240" w:lineRule="auto"/>
        <w:ind w:left="720"/>
      </w:pPr>
      <w:r>
        <w:rPr>
          <w:lang w:val="en_US" w:bidi="en_US"/>
        </w:rPr>
      </w:r>
      <w:r>
        <w:rPr>
          <w:lang w:val="en_US" w:bidi="en_US"/>
        </w:rPr>
        <w:t>Jesus answered him, “What do you</w:t>
      </w:r>
      <w:r>
        <w:rPr>
          <w:vertAlign w:val="superscript"/>
          <w:lang w:val="en_US" w:bidi="en_US"/>
        </w:rPr>
        <w:t>(sing)</w:t>
      </w:r>
      <w:r>
        <w:rPr>
          <w:lang w:val="en_US" w:bidi="en_US"/>
        </w:rPr>
        <w:t xml:space="preserve"> imply/mean when you say that I am </w:t>
      </w:r>
      <w:r>
        <w:rPr>
          <w:lang w:val="en_US" w:bidi="en_US"/>
        </w:rPr>
        <w:t>a</w:t>
      </w:r>
      <w:r>
        <w:rPr>
          <w:lang w:val="en_US" w:bidi="en_US"/>
        </w:rPr>
        <w:t xml:space="preserve"> good/righteous </w:t>
      </w:r>
      <w:r>
        <w:rPr>
          <w:lang w:val="en_US" w:bidi="en_US"/>
        </w:rPr>
        <w:t>person</w:t>
      </w:r>
      <w:r>
        <w:rPr>
          <w:lang w:val="en_US" w:bidi="en_US"/>
        </w:rPr>
        <w:t>?</w:t>
      </w:r>
    </w:p>
    <w:p>
      <w:pPr>
        <w:pStyle w:val="ListBullet"/>
        <w:spacing w:line="240" w:lineRule="auto"/>
        <w:ind w:left="720"/>
      </w:pPr>
      <w:r>
        <w:rPr>
          <w:lang w:val="en_US" w:bidi="en_US"/>
        </w:rPr>
      </w:r>
      <w:r>
        <w:rPr>
          <w:lang w:val="en_US" w:bidi="en_US"/>
        </w:rPr>
        <w:t>Jesus replied, “Tell me what you</w:t>
      </w:r>
      <w:r>
        <w:rPr>
          <w:vertAlign w:val="superscript"/>
          <w:lang w:val="en_US" w:bidi="en_US"/>
        </w:rPr>
        <w:t>(sing)</w:t>
      </w:r>
      <w:r>
        <w:rPr>
          <w:lang w:val="en_US" w:bidi="en_US"/>
        </w:rPr>
        <w:t xml:space="preserve"> mean when you call me good.</w:t>
      </w:r>
    </w:p>
    <w:p>
      <w:pPr/>
      <w:r>
        <w:rPr>
          <w:lang w:val="en_US" w:bidi="en_US"/>
        </w:rPr>
      </w:r>
      <w:r>
        <w:rPr>
          <w:b/>
          <w:lang w:val="en_US" w:bidi="en_US"/>
        </w:rPr>
        <w:t>Why do you call Me good?:</w:t>
      </w:r>
      <w:r>
        <w:rPr>
          <w:lang w:val="en_US" w:bidi="en_US"/>
        </w:rPr>
        <w:t xml:space="preserve"> This is a rhetorical question. It probably indicates that Jesus wanted the man to think about what he meant when he said that Jesus was good. In 18:19b Jesus indicated that only God is good. He wanted the man to recognize that the goodness that he saw in Jesus was from God. Jesus was not implying that he is not good.</w:t>
      </w:r>
    </w:p>
    <w:p>
      <w:pPr/>
      <w:r>
        <w:rPr>
          <w:lang w:val="en_US" w:bidi="en_US"/>
        </w:rPr>
      </w:r>
      <w:r>
        <w:rPr>
          <w:lang w:val="en_US" w:bidi="en_US"/>
        </w:rPr>
        <w:t>Some ways to translate this mild rebuke are:</w:t>
      </w:r>
    </w:p>
    <w:p>
      <w:pPr>
        <w:pStyle w:val="ListBullet"/>
        <w:spacing w:line="240" w:lineRule="auto"/>
        <w:ind w:left="720"/>
      </w:pPr>
      <w:r>
        <w:rPr>
          <w:lang w:val="en_US" w:bidi="en_US"/>
        </w:rPr>
      </w:r>
      <w:r>
        <w:rPr>
          <w:lang w:val="en_US" w:bidi="en_US"/>
        </w:rPr>
        <w:t>As a rhetorical question. For example:</w:t>
      </w:r>
      <w:r>
        <w:rPr>
          <w:lang w:val="en_US" w:bidi="en_US"/>
        </w:rPr>
        <w:t>What do you mean when you say that I am good?</w:t>
      </w:r>
      <w:r>
        <w:rPr>
          <w:lang w:val="en_US" w:bidi="en_US"/>
        </w:rPr>
        <w:t>What is your reason for saying that I am good?</w:t>
      </w:r>
    </w:p>
    <w:p>
      <w:pPr>
        <w:pStyle w:val="ListBullet"/>
        <w:spacing w:line="240" w:lineRule="auto"/>
        <w:ind w:left="720"/>
      </w:pPr>
      <w:r>
        <w:rPr>
          <w:lang w:val="en_US" w:bidi="en_US"/>
        </w:rPr>
      </w:r>
      <w:r>
        <w:rPr>
          <w:lang w:val="en_US" w:bidi="en_US"/>
        </w:rPr>
        <w:t>As a statement. For example:</w:t>
      </w:r>
      <w:r>
        <w:rPr>
          <w:lang w:val="en_US" w:bidi="en_US"/>
        </w:rPr>
        <w:t>You should consider what you mean when you say that I am good.</w:t>
      </w:r>
    </w:p>
    <w:p>
      <w:pPr/>
      <w:r>
        <w:rPr>
          <w:lang w:val="en_US" w:bidi="en_US"/>
        </w:rPr>
      </w:r>
      <w:r>
        <w:rPr>
          <w:lang w:val="en_US" w:bidi="en_US"/>
        </w:rPr>
        <w:t>Translate this rhetorical question in a way that is natural in your language.</w:t>
      </w:r>
    </w:p>
    <w:p>
      <w:pPr/>
      <w:r>
        <w:rPr>
          <w:lang w:val="en_US" w:bidi="en_US"/>
        </w:rPr>
      </w:r>
      <w:r>
        <w:rPr>
          <w:b/>
          <w:lang w:val="en_US" w:bidi="en_US"/>
        </w:rPr>
        <w:t>Jesus replied:</w:t>
      </w:r>
      <w:r>
        <w:rPr>
          <w:lang w:val="en_US" w:bidi="en_US"/>
        </w:rPr>
        <w:t xml:space="preserve"> The Greek word that the BSB translates as </w:t>
      </w:r>
      <w:r>
        <w:rPr>
          <w:i/>
          <w:lang w:val="en_US" w:bidi="en_US"/>
        </w:rPr>
        <w:t>replied</w:t>
      </w:r>
      <w:r>
        <w:rPr>
          <w:lang w:val="en_US" w:bidi="en_US"/>
        </w:rPr>
        <w:t xml:space="preserve"> is literally “said.” The BSB has placed the phrase </w:t>
      </w:r>
      <w:r>
        <w:rPr>
          <w:i/>
          <w:lang w:val="en_US" w:bidi="en_US"/>
        </w:rPr>
        <w:t>Jesus replied</w:t>
      </w:r>
      <w:r>
        <w:rPr>
          <w:lang w:val="en_US" w:bidi="en_US"/>
        </w:rPr>
        <w:t xml:space="preserve"> in the middle of Jesus’ reply. In the Greek text it comes at the beginning of the verse. For example:</w:t>
      </w:r>
    </w:p>
    <w:p>
      <w:pPr/>
      <w:r>
        <w:rPr>
          <w:lang w:val="en_US" w:bidi="en_US"/>
        </w:rPr>
      </w:r>
      <w:r>
        <w:rPr>
          <w:lang w:val="en_US" w:bidi="en_US"/>
        </w:rPr>
        <w:t>And Jesus said to him, “Why do you call me good?…” (NASB)</w:t>
      </w:r>
    </w:p>
    <w:p>
      <w:pPr/>
      <w:r>
        <w:rPr>
          <w:lang w:val="en_US" w:bidi="en_US"/>
        </w:rPr>
      </w:r>
      <w:r>
        <w:rPr>
          <w:lang w:val="en_US" w:bidi="en_US"/>
        </w:rPr>
        <w:t>Place this phrase where it is natural in your language.</w:t>
      </w:r>
    </w:p>
    <w:p>
      <w:pPr>
        <w:pStyle w:val="Heading5"/>
      </w:pPr>
      <w:r>
        <w:rPr>
          <w:lang w:val="en_US" w:bidi="en_US"/>
        </w:rPr>
        <w:t>18:19b</w:t>
      </w:r>
    </w:p>
    <w:p>
      <w:pPr/>
      <w:r>
        <w:rPr>
          <w:lang w:val="en_US" w:bidi="en_US"/>
        </w:rPr>
      </w:r>
      <w:r>
        <w:rPr>
          <w:b/>
          <w:lang w:val="en_US" w:bidi="en_US"/>
        </w:rPr>
        <w:t>“No one is good except God alone.</w:t>
      </w:r>
    </w:p>
    <w:p>
      <w:pPr>
        <w:pStyle w:val="ListBullet"/>
        <w:spacing w:line="240" w:lineRule="auto"/>
        <w:ind w:left="720"/>
      </w:pPr>
      <w:r>
        <w:rPr>
          <w:lang w:val="en_US" w:bidi="en_US"/>
        </w:rPr>
      </w:r>
      <w:r>
        <w:rPr>
          <w:lang w:val="en_US" w:bidi="en_US"/>
        </w:rPr>
        <w:t>Absolutely</w:t>
      </w:r>
      <w:r>
        <w:rPr>
          <w:lang w:val="en_US" w:bidi="en_US"/>
        </w:rPr>
        <w:t xml:space="preserve"> no one is good but God.</w:t>
      </w:r>
    </w:p>
    <w:p>
      <w:pPr>
        <w:pStyle w:val="ListBullet"/>
        <w:spacing w:line="240" w:lineRule="auto"/>
        <w:ind w:left="720"/>
      </w:pPr>
      <w:r>
        <w:rPr>
          <w:lang w:val="en_US" w:bidi="en_US"/>
        </w:rPr>
      </w:r>
      <w:r>
        <w:rPr>
          <w:lang w:val="en_US" w:bidi="en_US"/>
        </w:rPr>
        <w:t xml:space="preserve">Only God is </w:t>
      </w:r>
      <w:r>
        <w:rPr>
          <w:lang w:val="en_US" w:bidi="en_US"/>
        </w:rPr>
        <w:t>truly</w:t>
      </w:r>
      <w:r>
        <w:rPr>
          <w:lang w:val="en_US" w:bidi="en_US"/>
        </w:rPr>
        <w:t xml:space="preserve"> good/righteous.</w:t>
      </w:r>
    </w:p>
    <w:p>
      <w:pPr/>
      <w:r>
        <w:rPr>
          <w:lang w:val="en_US" w:bidi="en_US"/>
        </w:rPr>
      </w:r>
      <w:r>
        <w:rPr>
          <w:b/>
          <w:lang w:val="en_US" w:bidi="en_US"/>
        </w:rPr>
        <w:t>No one is good except God alone:</w:t>
      </w:r>
      <w:r>
        <w:rPr>
          <w:lang w:val="en_US" w:bidi="en_US"/>
        </w:rPr>
        <w:t xml:space="preserve"> The Greek expression that the BSB translates as </w:t>
      </w:r>
      <w:r>
        <w:rPr>
          <w:i/>
          <w:lang w:val="en_US" w:bidi="en_US"/>
        </w:rPr>
        <w:t>No one is good except God alone</w:t>
      </w:r>
      <w:r>
        <w:rPr>
          <w:lang w:val="en_US" w:bidi="en_US"/>
        </w:rPr>
        <w:t xml:space="preserve"> means “God is the only one who is truly good.” Here Jesus was encouraging the rich man to think about what he meant when he called Jesus “good.” Some other ways to translate this are:</w:t>
      </w:r>
    </w:p>
    <w:p>
      <w:pPr/>
      <w:r>
        <w:rPr>
          <w:lang w:val="en_US" w:bidi="en_US"/>
        </w:rPr>
      </w:r>
      <w:r>
        <w:rPr>
          <w:lang w:val="en_US" w:bidi="en_US"/>
        </w:rPr>
        <w:t>Absolutely</w:t>
      </w:r>
      <w:r>
        <w:rPr>
          <w:lang w:val="en_US" w:bidi="en_US"/>
        </w:rPr>
        <w:t xml:space="preserve"> no one is good but God only.</w:t>
      </w:r>
    </w:p>
    <w:p>
      <w:pPr/>
      <w:r>
        <w:rPr>
          <w:lang w:val="en_US" w:bidi="en_US"/>
        </w:rPr>
      </w:r>
      <w:r>
        <w:rPr>
          <w:lang w:val="en_US" w:bidi="en_US"/>
        </w:rPr>
        <w:t>Only God is truly good. (NLT)</w:t>
      </w:r>
    </w:p>
    <w:p>
      <w:pPr>
        <w:pStyle w:val="Heading6"/>
      </w:pPr>
      <w:r>
        <w:rPr>
          <w:b/>
          <w:lang w:val="en_US" w:bidi="en_US"/>
        </w:rPr>
        <w:t>General Comment on 18:19a–b</w:t>
      </w:r>
    </w:p>
    <w:p>
      <w:pPr/>
      <w:r>
        <w:rPr>
          <w:lang w:val="en_US" w:bidi="en_US"/>
        </w:rPr>
      </w:r>
      <w:r>
        <w:rPr>
          <w:lang w:val="en_US" w:bidi="en_US"/>
        </w:rPr>
        <w:t>In some languages it may be more natural to reverse the order of clauses in this verse. For example:</w:t>
      </w:r>
    </w:p>
    <w:p>
      <w:pPr/>
      <w:r>
        <w:rPr>
          <w:lang w:val="en_US" w:bidi="en_US"/>
        </w:rPr>
      </w:r>
      <w:r>
        <w:rPr>
          <w:vertAlign w:val="superscript"/>
          <w:lang w:val="en_US" w:bidi="en_US"/>
        </w:rPr>
        <w:t>19a</w:t>
      </w:r>
      <w:r>
        <w:rPr>
          <w:lang w:val="en_US" w:bidi="en_US"/>
        </w:rPr>
        <w:t xml:space="preserve">Jesus replied, </w:t>
      </w:r>
      <w:r>
        <w:rPr>
          <w:vertAlign w:val="superscript"/>
          <w:lang w:val="en_US" w:bidi="en_US"/>
        </w:rPr>
        <w:t>19b</w:t>
      </w:r>
      <w:r>
        <w:rPr>
          <w:lang w:val="en_US" w:bidi="en_US"/>
        </w:rPr>
        <w:t xml:space="preserve">“No one is good—except God alone, </w:t>
      </w:r>
      <w:r>
        <w:rPr>
          <w:vertAlign w:val="superscript"/>
          <w:lang w:val="en_US" w:bidi="en_US"/>
        </w:rPr>
        <w:t>19a</w:t>
      </w:r>
      <w:r>
        <w:rPr>
          <w:lang w:val="en_US" w:bidi="en_US"/>
        </w:rPr>
        <w:t>so</w:t>
      </w:r>
      <w:r>
        <w:rPr>
          <w:lang w:val="en_US" w:bidi="en_US"/>
        </w:rPr>
        <w:t xml:space="preserve"> what do you mean when you call me good?”</w:t>
      </w:r>
      <w:r>
        <w:rPr>
          <w:lang w:val="en_US" w:bidi="en_US"/>
        </w:rPr>
      </w:r>
      <w:r>
        <w:rPr>
          <w:lang w:val="en_US" w:bidi="en_US"/>
        </w:rPr>
      </w:r>
    </w:p>
    <w:p>
      <w:pPr/>
      <w:r>
        <w:rPr>
          <w:lang w:val="en_US" w:bidi="en_US"/>
        </w:rPr>
      </w:r>
    </w:p>
    <w:p>
      <w:pPr>
        <w:pStyle w:val="Heading2"/>
      </w:pPr>
      <w:r>
        <w:rPr>
          <w:lang w:val="en_US" w:bidi="en_US"/>
        </w:rPr>
        <w:t>Luke 18:20</w:t>
      </w:r>
      <w:r>
        <w:rPr>
          <w:lang w:val="en_US" w:bidi="en_US"/>
        </w:rPr>
      </w:r>
    </w:p>
    <w:p>
      <w:pPr>
        <w:pStyle w:val="Heading4"/>
      </w:pPr>
      <w:r>
        <w:rPr>
          <w:lang w:val="en_US" w:bidi="en_US"/>
        </w:rPr>
        <w:t>Section 18:18–30: It is hard for rich people to enter God’s kingdom</w:t>
      </w:r>
    </w:p>
    <w:p>
      <w:pPr/>
      <w:r>
        <w:rPr>
          <w:lang w:val="en_US" w:bidi="en_US"/>
        </w:rPr>
      </w:r>
      <w:r>
        <w:rPr>
          <w:lang w:val="en_US" w:bidi="en_US"/>
        </w:rP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pPr/>
      <w:r>
        <w:rPr>
          <w:lang w:val="en_US" w:bidi="en_US"/>
        </w:rPr>
      </w:r>
      <w:r>
        <w:rPr>
          <w:lang w:val="en_US" w:bidi="en_US"/>
        </w:rP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pPr/>
      <w:r>
        <w:rPr>
          <w:lang w:val="en_US" w:bidi="en_US"/>
        </w:rPr>
      </w:r>
      <w:r>
        <w:rPr>
          <w:lang w:val="en_US" w:bidi="en_US"/>
        </w:rPr>
        <w:t>At the end of the section Jesus promised that people who left their possessions and family behind to serve him would receive great rewards.</w:t>
      </w:r>
    </w:p>
    <w:p>
      <w:pPr/>
      <w:r>
        <w:rPr>
          <w:lang w:val="en_US" w:bidi="en_US"/>
        </w:rPr>
      </w:r>
      <w:r>
        <w:rPr>
          <w:lang w:val="en_US" w:bidi="en_US"/>
        </w:rPr>
        <w:t>Other examples of headings for this section are:</w:t>
      </w:r>
    </w:p>
    <w:p>
      <w:pPr/>
      <w:r>
        <w:rPr>
          <w:lang w:val="en_US" w:bidi="en_US"/>
        </w:rPr>
      </w:r>
      <w:r>
        <w:rPr>
          <w:lang w:val="en_US" w:bidi="en_US"/>
        </w:rPr>
        <w:t>Jesus taught that riches make it difficult to obtain eternal life</w:t>
      </w:r>
    </w:p>
    <w:p>
      <w:pPr/>
      <w:r>
        <w:rPr>
          <w:lang w:val="en_US" w:bidi="en_US"/>
        </w:rPr>
      </w:r>
      <w:r>
        <w:rPr>
          <w:lang w:val="en_US" w:bidi="en_US"/>
        </w:rPr>
        <w:t>A Rich Man’s Question (NCV)</w:t>
      </w:r>
    </w:p>
    <w:p>
      <w:pPr/>
      <w:r>
        <w:rPr>
          <w:lang w:val="en_US" w:bidi="en_US"/>
        </w:rPr>
      </w:r>
      <w:r>
        <w:rPr>
          <w:lang w:val="en_US" w:bidi="en_US"/>
        </w:rPr>
        <w:t>The rich young man (NJB)</w:t>
      </w:r>
    </w:p>
    <w:p>
      <w:pPr/>
      <w:r>
        <w:rPr>
          <w:lang w:val="en_US" w:bidi="en_US"/>
        </w:rPr>
      </w:r>
      <w:r>
        <w:rPr>
          <w:lang w:val="en_US" w:bidi="en_US"/>
        </w:rPr>
        <w:t>There are parallel passages for this section in Matthew 19:16–30 and Mark 10:17–31.</w:t>
      </w:r>
    </w:p>
    <w:p>
      <w:pPr>
        <w:pStyle w:val="Heading5"/>
      </w:pPr>
      <w:r>
        <w:rPr>
          <w:lang w:val="en_US" w:bidi="en_US"/>
        </w:rPr>
        <w:t>18:20a</w:t>
      </w:r>
    </w:p>
    <w:p>
      <w:pPr/>
      <w:r>
        <w:rPr>
          <w:lang w:val="en_US" w:bidi="en_US"/>
        </w:rPr>
      </w:r>
      <w:r>
        <w:rPr>
          <w:b/>
          <w:lang w:val="en_US" w:bidi="en_US"/>
        </w:rPr>
        <w:t>You know the commandments: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know the commands/laws </w:t>
      </w:r>
      <w:r>
        <w:rPr>
          <w:lang w:val="en_US" w:bidi="en_US"/>
        </w:rPr>
        <w:t>of God</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know what God commanded </w:t>
      </w:r>
      <w:r>
        <w:rPr>
          <w:lang w:val="en_US" w:bidi="en_US"/>
        </w:rPr>
        <w:t>us</w:t>
      </w:r>
      <w:r>
        <w:rPr>
          <w:vertAlign w:val="superscript"/>
          <w:lang w:val="en_US" w:bidi="en_US"/>
        </w:rPr>
        <w:t>(incl)</w:t>
      </w:r>
      <w:r>
        <w:rPr>
          <w:lang w:val="en_US" w:bidi="en_US"/>
        </w:rPr>
        <w:t xml:space="preserve">. </w:t>
      </w:r>
      <w:r>
        <w:rPr>
          <w:lang w:val="en_US" w:bidi="en_US"/>
        </w:rPr>
        <w:t>He said</w:t>
      </w:r>
      <w:r>
        <w:rPr>
          <w:lang w:val="en_US" w:bidi="en_US"/>
        </w:rPr>
        <w:t>:</w:t>
      </w:r>
    </w:p>
    <w:p>
      <w:pPr/>
      <w:r>
        <w:rPr>
          <w:lang w:val="en_US" w:bidi="en_US"/>
        </w:rPr>
      </w:r>
      <w:r>
        <w:rPr>
          <w:b/>
          <w:lang w:val="en_US" w:bidi="en_US"/>
        </w:rPr>
        <w:t>You know the commandments:</w:t>
      </w:r>
      <w:r>
        <w:rPr>
          <w:lang w:val="en_US" w:bidi="en_US"/>
        </w:rPr>
        <w:t xml:space="preserve"> The phrase </w:t>
      </w:r>
      <w:r>
        <w:rPr>
          <w:i/>
          <w:lang w:val="en_US" w:bidi="en_US"/>
        </w:rPr>
        <w:t>the commandments</w:t>
      </w:r>
      <w:r>
        <w:rPr>
          <w:lang w:val="en_US" w:bidi="en_US"/>
        </w:rPr>
        <w:t xml:space="preserve"> here refers to the Ten Commandments (Exodus chapter 20) and more generally to the Law of Moses (the first five books of the Old Testament). Some other ways to translate this are:</w:t>
      </w:r>
    </w:p>
    <w:p>
      <w:pPr/>
      <w:r>
        <w:rPr>
          <w:lang w:val="en_US" w:bidi="en_US"/>
        </w:rPr>
      </w:r>
      <w:r>
        <w:rPr>
          <w:lang w:val="en_US" w:bidi="en_US"/>
        </w:rPr>
        <w:t>the commands/laws of God</w:t>
      </w:r>
    </w:p>
    <w:p>
      <w:pPr/>
      <w:r>
        <w:rPr>
          <w:lang w:val="en_US" w:bidi="en_US"/>
        </w:rPr>
      </w:r>
      <w:r>
        <w:rPr>
          <w:lang w:val="en_US" w:bidi="en_US"/>
        </w:rPr>
        <w:t>what God commanded</w:t>
      </w:r>
    </w:p>
    <w:p>
      <w:pPr/>
      <w:r>
        <w:rPr>
          <w:lang w:val="en_US" w:bidi="en_US"/>
        </w:rPr>
      </w:r>
      <w:r>
        <w:rPr>
          <w:lang w:val="en_US" w:bidi="en_US"/>
        </w:rPr>
        <w:t>Jesus mentioned five of these commandments explicitly in 18:20b–f.</w:t>
      </w:r>
    </w:p>
    <w:p>
      <w:pPr>
        <w:pStyle w:val="Heading5"/>
      </w:pPr>
      <w:r>
        <w:rPr>
          <w:lang w:val="en_US" w:bidi="en_US"/>
        </w:rPr>
        <w:t>18:20b–f</w:t>
      </w:r>
    </w:p>
    <w:p>
      <w:pPr/>
      <w:r>
        <w:rPr>
          <w:lang w:val="en_US" w:bidi="en_US"/>
        </w:rPr>
      </w:r>
      <w:r>
        <w:rPr>
          <w:lang w:val="en_US" w:bidi="en_US"/>
        </w:rPr>
        <w:t>In the Greek text the five commands in 18:20b–f use a singular form. They are addressed to every person individually. Consider if singular or plural verbs would be more natural in this context in your language.</w:t>
      </w:r>
    </w:p>
    <w:p>
      <w:pPr>
        <w:pStyle w:val="Heading5"/>
      </w:pPr>
      <w:r>
        <w:rPr>
          <w:lang w:val="en_US" w:bidi="en_US"/>
        </w:rPr>
        <w:t>18:20b</w:t>
      </w:r>
    </w:p>
    <w:p>
      <w:pPr/>
      <w:r>
        <w:rPr>
          <w:lang w:val="en_US" w:bidi="en_US"/>
        </w:rPr>
      </w:r>
      <w:r>
        <w:rPr>
          <w:b/>
          <w:lang w:val="en_US" w:bidi="en_US"/>
        </w:rPr>
        <w:t>‘Do not commit adultery,</w:t>
      </w:r>
    </w:p>
    <w:p>
      <w:pPr>
        <w:pStyle w:val="ListBullet"/>
        <w:spacing w:line="240" w:lineRule="auto"/>
        <w:ind w:left="720"/>
      </w:pPr>
      <w:r>
        <w:rPr>
          <w:lang w:val="en_US" w:bidi="en_US"/>
        </w:rPr>
      </w:r>
      <w:r>
        <w:rPr>
          <w:lang w:val="en_US" w:bidi="en_US"/>
        </w:rPr>
        <w:t>‘Do</w:t>
      </w:r>
      <w:r>
        <w:rPr>
          <w:vertAlign w:val="superscript"/>
          <w:lang w:val="en_US" w:bidi="en_US"/>
        </w:rPr>
        <w:t>(sing)</w:t>
      </w:r>
      <w:r>
        <w:rPr>
          <w:lang w:val="en_US" w:bidi="en_US"/>
        </w:rPr>
        <w:t xml:space="preserve"> not have sexual intercourse with someone to whom you are not married.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not have sexual relations that would defile </w:t>
      </w:r>
      <w:r>
        <w:rPr>
          <w:lang w:val="en_US" w:bidi="en_US"/>
        </w:rPr>
        <w:t>someone’s marriage or your own</w:t>
      </w:r>
      <w:r>
        <w:rPr>
          <w:lang w:val="en_US" w:bidi="en_US"/>
        </w:rPr>
        <w:t xml:space="preserve"> marriage.</w:t>
      </w:r>
    </w:p>
    <w:p>
      <w:pPr/>
      <w:r>
        <w:rPr>
          <w:lang w:val="en_US" w:bidi="en_US"/>
        </w:rPr>
      </w:r>
      <w:r>
        <w:rPr>
          <w:b/>
          <w:lang w:val="en_US" w:bidi="en_US"/>
        </w:rPr>
        <w:t>Do not commit adultery:</w:t>
      </w:r>
      <w:r>
        <w:rPr>
          <w:lang w:val="en_US" w:bidi="en_US"/>
        </w:rPr>
        <w:t xml:space="preserve"> The command </w:t>
      </w:r>
      <w:r>
        <w:rPr>
          <w:i/>
          <w:lang w:val="en_US" w:bidi="en_US"/>
        </w:rPr>
        <w:t>Do not commit adultery</w:t>
      </w:r>
      <w:r>
        <w:rPr>
          <w:lang w:val="en_US" w:bidi="en_US"/>
        </w:rPr>
        <w:t xml:space="preserve"> indicates that a married person must not have sexual relations with someone that he/she is not married to.</w:t>
      </w:r>
      <w:r>
        <w:rPr>
          <w:lang w:val="en_US" w:bidi="en_US"/>
        </w:rPr>
        <w:t>BDAG, p. 657, defines the noun form of the Greek word used here (</w:t>
      </w:r>
      <w:r>
        <w:rPr>
          <w:i/>
          <w:lang w:val="en_US" w:bidi="en_US"/>
        </w:rPr>
        <w:t>moixos</w:t>
      </w:r>
      <w:r>
        <w:rPr>
          <w:lang w:val="en_US" w:bidi="en_US"/>
        </w:rPr>
        <w:t>) as “one who is unfaithful to a spouse, adulterer.”</w:t>
      </w:r>
      <w:r>
        <w:rPr>
          <w:lang w:val="en_US" w:bidi="en_US"/>
        </w:rPr>
        <w:t xml:space="preserve"> It also indicates that an unmarried person must not have sexual relations with a person who is married. This command was given in Exodus 20:14 and Deuteronomy 5:18.</w:t>
      </w:r>
    </w:p>
    <w:p>
      <w:pPr>
        <w:pStyle w:val="Heading5"/>
      </w:pPr>
      <w:r>
        <w:rPr>
          <w:lang w:val="en_US" w:bidi="en_US"/>
        </w:rPr>
        <w:t>18:20c</w:t>
      </w:r>
    </w:p>
    <w:p>
      <w:pPr/>
      <w:r>
        <w:rPr>
          <w:lang w:val="en_US" w:bidi="en_US"/>
        </w:rPr>
      </w:r>
      <w:r>
        <w:rPr>
          <w:b/>
          <w:lang w:val="en_US" w:bidi="en_US"/>
        </w:rPr>
        <w:t>do not murder,</w:t>
      </w:r>
    </w:p>
    <w:p>
      <w:pPr>
        <w:pStyle w:val="ListBullet"/>
        <w:spacing w:line="240" w:lineRule="auto"/>
        <w:ind w:left="720"/>
      </w:pPr>
      <w:r>
        <w:rPr>
          <w:lang w:val="en_US" w:bidi="en_US"/>
        </w:rPr>
      </w:r>
      <w:r>
        <w:rPr>
          <w:lang w:val="en_US" w:bidi="en_US"/>
        </w:rPr>
        <w:t>Do</w:t>
      </w:r>
      <w:r>
        <w:rPr>
          <w:vertAlign w:val="superscript"/>
          <w:lang w:val="en_US" w:bidi="en_US"/>
        </w:rPr>
        <w:t>(sing)</w:t>
      </w:r>
      <w:r>
        <w:rPr>
          <w:lang w:val="en_US" w:bidi="en_US"/>
        </w:rPr>
        <w:t xml:space="preserve"> not murder anyone.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not kill </w:t>
      </w:r>
      <w:r>
        <w:rPr>
          <w:lang w:val="en_US" w:bidi="en_US"/>
        </w:rPr>
        <w:t>anyone</w:t>
      </w:r>
      <w:r>
        <w:rPr>
          <w:lang w:val="en_US" w:bidi="en_US"/>
        </w:rPr>
        <w:t xml:space="preserve"> </w:t>
      </w:r>
      <w:r>
        <w:rPr>
          <w:lang w:val="en_US" w:bidi="en_US"/>
        </w:rPr>
        <w:t>unlawfully</w:t>
      </w:r>
      <w:r>
        <w:rPr>
          <w:lang w:val="en_US" w:bidi="en_US"/>
        </w:rPr>
        <w:t>.</w:t>
      </w:r>
    </w:p>
    <w:p>
      <w:pPr/>
      <w:r>
        <w:rPr>
          <w:lang w:val="en_US" w:bidi="en_US"/>
        </w:rPr>
      </w:r>
      <w:r>
        <w:rPr>
          <w:b/>
          <w:lang w:val="en_US" w:bidi="en_US"/>
        </w:rPr>
        <w:t>do not murder:</w:t>
      </w:r>
      <w:r>
        <w:rPr>
          <w:lang w:val="en_US" w:bidi="en_US"/>
        </w:rPr>
        <w:t xml:space="preserve"> The Greek word that the BSB translates as </w:t>
      </w:r>
      <w:r>
        <w:rPr>
          <w:i/>
          <w:lang w:val="en_US" w:bidi="en_US"/>
        </w:rPr>
        <w:t>murder</w:t>
      </w:r>
      <w:r>
        <w:rPr>
          <w:lang w:val="en_US" w:bidi="en_US"/>
        </w:rPr>
        <w:t xml:space="preserve"> literally means “kill.” The RSV and several other English versions translate it that way. In this context it refers to the illegal or unlawful ending of a person’s life. Use the same word or phrase that you used in Exodus 20:13 and Deuteronomy 5:17.</w:t>
      </w:r>
    </w:p>
    <w:p>
      <w:pPr>
        <w:pStyle w:val="Heading5"/>
      </w:pPr>
      <w:r>
        <w:rPr>
          <w:lang w:val="en_US" w:bidi="en_US"/>
        </w:rPr>
        <w:t>18:20d</w:t>
      </w:r>
    </w:p>
    <w:p>
      <w:pPr/>
      <w:r>
        <w:rPr>
          <w:lang w:val="en_US" w:bidi="en_US"/>
        </w:rPr>
      </w:r>
      <w:r>
        <w:rPr>
          <w:b/>
          <w:lang w:val="en_US" w:bidi="en_US"/>
        </w:rPr>
        <w:t>do not steal,</w:t>
      </w:r>
    </w:p>
    <w:p>
      <w:pPr>
        <w:pStyle w:val="ListBullet"/>
        <w:spacing w:line="240" w:lineRule="auto"/>
        <w:ind w:left="720"/>
      </w:pPr>
      <w:r>
        <w:rPr>
          <w:lang w:val="en_US" w:bidi="en_US"/>
        </w:rPr>
      </w:r>
      <w:r>
        <w:rPr>
          <w:lang w:val="en_US" w:bidi="en_US"/>
        </w:rPr>
        <w:t>Do</w:t>
      </w:r>
      <w:r>
        <w:rPr>
          <w:vertAlign w:val="superscript"/>
          <w:lang w:val="en_US" w:bidi="en_US"/>
        </w:rPr>
        <w:t>(sing)</w:t>
      </w:r>
      <w:r>
        <w:rPr>
          <w:lang w:val="en_US" w:bidi="en_US"/>
        </w:rPr>
        <w:t xml:space="preserve"> not steal </w:t>
      </w:r>
      <w:r>
        <w:rPr>
          <w:lang w:val="en_US" w:bidi="en_US"/>
        </w:rPr>
        <w:t>anything</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not wrongfully take </w:t>
      </w:r>
      <w:r>
        <w:rPr>
          <w:lang w:val="en_US" w:bidi="en_US"/>
        </w:rPr>
        <w:t>what</w:t>
      </w:r>
      <w:r>
        <w:rPr>
          <w:lang w:val="en_US" w:bidi="en_US"/>
        </w:rPr>
        <w:t xml:space="preserve"> </w:t>
      </w:r>
      <w:r>
        <w:rPr>
          <w:lang w:val="en_US" w:bidi="en_US"/>
        </w:rPr>
        <w:t>does not belong</w:t>
      </w:r>
      <w:r>
        <w:rPr>
          <w:lang w:val="en_US" w:bidi="en_US"/>
        </w:rPr>
        <w:t xml:space="preserve"> </w:t>
      </w:r>
      <w:r>
        <w:rPr>
          <w:lang w:val="en_US" w:bidi="en_US"/>
        </w:rPr>
        <w:t>to you</w:t>
      </w:r>
      <w:r>
        <w:rPr>
          <w:lang w:val="en_US" w:bidi="en_US"/>
        </w:rPr>
        <w:t>.</w:t>
      </w:r>
    </w:p>
    <w:p>
      <w:pPr/>
      <w:r>
        <w:rPr>
          <w:lang w:val="en_US" w:bidi="en_US"/>
        </w:rPr>
      </w:r>
      <w:r>
        <w:rPr>
          <w:b/>
          <w:lang w:val="en_US" w:bidi="en_US"/>
        </w:rPr>
        <w:t>do not steal:</w:t>
      </w:r>
      <w:r>
        <w:rPr>
          <w:lang w:val="en_US" w:bidi="en_US"/>
        </w:rPr>
        <w:t xml:space="preserve"> The command that the BSB translates as </w:t>
      </w:r>
      <w:r>
        <w:rPr>
          <w:i/>
          <w:lang w:val="en_US" w:bidi="en_US"/>
        </w:rPr>
        <w:t>do not steal</w:t>
      </w:r>
      <w:r>
        <w:rPr>
          <w:lang w:val="en_US" w:bidi="en_US"/>
        </w:rPr>
        <w:t xml:space="preserve"> indicates that a person should not wrongfully take something that does not belong to him. Cultures may have different rules or customs about stealing. The biblical command forbids a person to take something that he has no right to take.</w:t>
      </w:r>
    </w:p>
    <w:p>
      <w:pPr>
        <w:pStyle w:val="Heading5"/>
      </w:pPr>
      <w:r>
        <w:rPr>
          <w:lang w:val="en_US" w:bidi="en_US"/>
        </w:rPr>
        <w:t>18:20e</w:t>
      </w:r>
    </w:p>
    <w:p>
      <w:pPr/>
      <w:r>
        <w:rPr>
          <w:lang w:val="en_US" w:bidi="en_US"/>
        </w:rPr>
      </w:r>
      <w:r>
        <w:rPr>
          <w:b/>
          <w:lang w:val="en_US" w:bidi="en_US"/>
        </w:rPr>
        <w:t>do not bear false witness,</w:t>
      </w:r>
    </w:p>
    <w:p>
      <w:pPr>
        <w:pStyle w:val="ListBullet"/>
        <w:spacing w:line="240" w:lineRule="auto"/>
        <w:ind w:left="720"/>
      </w:pPr>
      <w:r>
        <w:rPr>
          <w:lang w:val="en_US" w:bidi="en_US"/>
        </w:rPr>
      </w:r>
      <w:r>
        <w:rPr>
          <w:lang w:val="en_US" w:bidi="en_US"/>
        </w:rPr>
        <w:t>Do</w:t>
      </w:r>
      <w:r>
        <w:rPr>
          <w:vertAlign w:val="superscript"/>
          <w:lang w:val="en_US" w:bidi="en_US"/>
        </w:rPr>
        <w:t>(sing)</w:t>
      </w:r>
      <w:r>
        <w:rPr>
          <w:lang w:val="en_US" w:bidi="en_US"/>
        </w:rPr>
        <w:t xml:space="preserve"> not lie in a legal case.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not testify falsely.</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tell lies about other people.</w:t>
      </w:r>
    </w:p>
    <w:p>
      <w:pPr/>
      <w:r>
        <w:rPr>
          <w:lang w:val="en_US" w:bidi="en_US"/>
        </w:rPr>
      </w:r>
      <w:r>
        <w:rPr>
          <w:b/>
          <w:lang w:val="en_US" w:bidi="en_US"/>
        </w:rPr>
        <w:t>do not bear false witness:</w:t>
      </w:r>
      <w:r>
        <w:rPr>
          <w:lang w:val="en_US" w:bidi="en_US"/>
        </w:rPr>
        <w:t xml:space="preserve"> The command that the BSB translates as </w:t>
      </w:r>
      <w:r>
        <w:rPr>
          <w:i/>
          <w:lang w:val="en_US" w:bidi="en_US"/>
        </w:rPr>
        <w:t>do not bear false witness</w:t>
      </w:r>
      <w:r>
        <w:rPr>
          <w:lang w:val="en_US" w:bidi="en_US"/>
        </w:rPr>
        <w:t xml:space="preserve"> means “do not lie in a legal trial or court case.” This command forbids anyone to tell a lie in order to help a guilty person avoid punishment or in order to cause an innocent person to receive punishment. The expression can also refer to telling lies in any situation. Some other ways to translate the command are:</w:t>
      </w:r>
    </w:p>
    <w:p>
      <w:pPr/>
      <w:r>
        <w:rPr>
          <w:lang w:val="en_US" w:bidi="en_US"/>
        </w:rPr>
      </w:r>
      <w:r>
        <w:rPr>
          <w:lang w:val="en_US" w:bidi="en_US"/>
        </w:rPr>
        <w:t>You must not testify falsely. (NLT)</w:t>
      </w:r>
    </w:p>
    <w:p>
      <w:pPr/>
      <w:r>
        <w:rPr>
          <w:lang w:val="en_US" w:bidi="en_US"/>
        </w:rPr>
      </w:r>
      <w:r>
        <w:rPr>
          <w:lang w:val="en_US" w:bidi="en_US"/>
        </w:rPr>
        <w:t>Do not tell lies about others. (CEV)</w:t>
      </w:r>
    </w:p>
    <w:p>
      <w:pPr>
        <w:pStyle w:val="Heading5"/>
      </w:pPr>
      <w:r>
        <w:rPr>
          <w:lang w:val="en_US" w:bidi="en_US"/>
        </w:rPr>
        <w:t>18:20f</w:t>
      </w:r>
    </w:p>
    <w:p>
      <w:pPr/>
      <w:r>
        <w:rPr>
          <w:lang w:val="en_US" w:bidi="en_US"/>
        </w:rPr>
      </w:r>
      <w:r>
        <w:rPr>
          <w:b/>
          <w:lang w:val="en_US" w:bidi="en_US"/>
        </w:rPr>
        <w:t>honor your father and mother.’”</w:t>
      </w:r>
    </w:p>
    <w:p>
      <w:pPr>
        <w:pStyle w:val="ListBullet"/>
        <w:spacing w:line="240" w:lineRule="auto"/>
        <w:ind w:left="720"/>
      </w:pPr>
      <w:r>
        <w:rPr>
          <w:lang w:val="en_US" w:bidi="en_US"/>
        </w:rPr>
      </w:r>
      <w:r>
        <w:rPr>
          <w:lang w:val="en_US" w:bidi="en_US"/>
        </w:rPr>
        <w:t>Respect</w:t>
      </w:r>
      <w:r>
        <w:rPr>
          <w:vertAlign w:val="superscript"/>
          <w:lang w:val="en_US" w:bidi="en_US"/>
        </w:rPr>
        <w:t>(sing)</w:t>
      </w:r>
      <w:r>
        <w:rPr>
          <w:lang w:val="en_US" w:bidi="en_US"/>
        </w:rPr>
        <w:t xml:space="preserve"> your father and your mother.’”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honor/respect your father and mother.’”</w:t>
      </w:r>
    </w:p>
    <w:p>
      <w:pPr>
        <w:pStyle w:val="ListBullet"/>
        <w:spacing w:line="240" w:lineRule="auto"/>
        <w:ind w:left="720"/>
      </w:pPr>
      <w:r>
        <w:rPr>
          <w:lang w:val="en_US" w:bidi="en_US"/>
        </w:rPr>
      </w:r>
      <w:r>
        <w:rPr>
          <w:lang w:val="en_US" w:bidi="en_US"/>
        </w:rPr>
        <w:t>Give</w:t>
      </w:r>
      <w:r>
        <w:rPr>
          <w:vertAlign w:val="superscript"/>
          <w:lang w:val="en_US" w:bidi="en_US"/>
        </w:rPr>
        <w:t>(plur)</w:t>
      </w:r>
      <w:r>
        <w:rPr>
          <w:lang w:val="en_US" w:bidi="en_US"/>
        </w:rPr>
        <w:t xml:space="preserve"> honor/respect to your father and mother.’”</w:t>
      </w:r>
    </w:p>
    <w:p>
      <w:pPr/>
      <w:r>
        <w:rPr>
          <w:lang w:val="en_US" w:bidi="en_US"/>
        </w:rPr>
      </w:r>
      <w:r>
        <w:rPr>
          <w:b/>
          <w:lang w:val="en_US" w:bidi="en_US"/>
        </w:rPr>
        <w:t>honor your father and mother:</w:t>
      </w:r>
      <w:r>
        <w:rPr>
          <w:lang w:val="en_US" w:bidi="en_US"/>
        </w:rPr>
        <w:t xml:space="preserve"> The command the BSB translates as </w:t>
      </w:r>
      <w:r>
        <w:rPr>
          <w:i/>
          <w:lang w:val="en_US" w:bidi="en_US"/>
        </w:rPr>
        <w:t>honor your father and mother</w:t>
      </w:r>
      <w:r>
        <w:rPr>
          <w:lang w:val="en_US" w:bidi="en_US"/>
        </w:rPr>
        <w:t xml:space="preserve"> means “respect your father and mother.” This command includes both attitudes and actions. A person must have a respectful attitude toward his father and mother. He must also honor them by listening to them and helping them. Here is another way to translate this:</w:t>
      </w:r>
    </w:p>
    <w:p>
      <w:pPr/>
      <w:r>
        <w:rPr>
          <w:lang w:val="en_US" w:bidi="en_US"/>
        </w:rPr>
      </w:r>
      <w:r>
        <w:rPr>
          <w:lang w:val="en_US" w:bidi="en_US"/>
        </w:rPr>
        <w:t>respect your father and your mother (GNT)</w:t>
      </w:r>
      <w:r>
        <w:rPr>
          <w:lang w:val="en_US" w:bidi="en_US"/>
        </w:rPr>
      </w:r>
      <w:r>
        <w:rPr>
          <w:lang w:val="en_US" w:bidi="en_US"/>
        </w:rPr>
      </w:r>
    </w:p>
    <w:p>
      <w:pPr/>
      <w:r>
        <w:rPr>
          <w:lang w:val="en_US" w:bidi="en_US"/>
        </w:rPr>
      </w:r>
    </w:p>
    <w:p>
      <w:pPr>
        <w:pStyle w:val="Heading2"/>
      </w:pPr>
      <w:r>
        <w:rPr>
          <w:lang w:val="en_US" w:bidi="en_US"/>
        </w:rPr>
        <w:t>Luke 18:21</w:t>
      </w:r>
      <w:r>
        <w:rPr>
          <w:lang w:val="en_US" w:bidi="en_US"/>
        </w:rPr>
      </w:r>
    </w:p>
    <w:p>
      <w:pPr>
        <w:pStyle w:val="Heading4"/>
      </w:pPr>
      <w:r>
        <w:rPr>
          <w:lang w:val="en_US" w:bidi="en_US"/>
        </w:rPr>
        <w:t>Section 18:18–30: It is hard for rich people to enter God’s kingdom</w:t>
      </w:r>
    </w:p>
    <w:p>
      <w:pPr/>
      <w:r>
        <w:rPr>
          <w:lang w:val="en_US" w:bidi="en_US"/>
        </w:rPr>
      </w:r>
      <w:r>
        <w:rPr>
          <w:lang w:val="en_US" w:bidi="en_US"/>
        </w:rP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pPr/>
      <w:r>
        <w:rPr>
          <w:lang w:val="en_US" w:bidi="en_US"/>
        </w:rPr>
      </w:r>
      <w:r>
        <w:rPr>
          <w:lang w:val="en_US" w:bidi="en_US"/>
        </w:rP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pPr/>
      <w:r>
        <w:rPr>
          <w:lang w:val="en_US" w:bidi="en_US"/>
        </w:rPr>
      </w:r>
      <w:r>
        <w:rPr>
          <w:lang w:val="en_US" w:bidi="en_US"/>
        </w:rPr>
        <w:t>At the end of the section Jesus promised that people who left their possessions and family behind to serve him would receive great rewards.</w:t>
      </w:r>
    </w:p>
    <w:p>
      <w:pPr/>
      <w:r>
        <w:rPr>
          <w:lang w:val="en_US" w:bidi="en_US"/>
        </w:rPr>
      </w:r>
      <w:r>
        <w:rPr>
          <w:lang w:val="en_US" w:bidi="en_US"/>
        </w:rPr>
        <w:t>Other examples of headings for this section are:</w:t>
      </w:r>
    </w:p>
    <w:p>
      <w:pPr/>
      <w:r>
        <w:rPr>
          <w:lang w:val="en_US" w:bidi="en_US"/>
        </w:rPr>
      </w:r>
      <w:r>
        <w:rPr>
          <w:lang w:val="en_US" w:bidi="en_US"/>
        </w:rPr>
        <w:t>Jesus taught that riches make it difficult to obtain eternal life</w:t>
      </w:r>
    </w:p>
    <w:p>
      <w:pPr/>
      <w:r>
        <w:rPr>
          <w:lang w:val="en_US" w:bidi="en_US"/>
        </w:rPr>
      </w:r>
      <w:r>
        <w:rPr>
          <w:lang w:val="en_US" w:bidi="en_US"/>
        </w:rPr>
        <w:t>A Rich Man’s Question (NCV)</w:t>
      </w:r>
    </w:p>
    <w:p>
      <w:pPr/>
      <w:r>
        <w:rPr>
          <w:lang w:val="en_US" w:bidi="en_US"/>
        </w:rPr>
      </w:r>
      <w:r>
        <w:rPr>
          <w:lang w:val="en_US" w:bidi="en_US"/>
        </w:rPr>
        <w:t>The rich young man (NJB)</w:t>
      </w:r>
    </w:p>
    <w:p>
      <w:pPr/>
      <w:r>
        <w:rPr>
          <w:lang w:val="en_US" w:bidi="en_US"/>
        </w:rPr>
      </w:r>
      <w:r>
        <w:rPr>
          <w:lang w:val="en_US" w:bidi="en_US"/>
        </w:rPr>
        <w:t>There are parallel passages for this section in Matthew 19:16–30 and Mark 10:17–31.</w:t>
      </w:r>
    </w:p>
    <w:p>
      <w:pPr>
        <w:pStyle w:val="Heading5"/>
      </w:pPr>
      <w:r>
        <w:rPr>
          <w:lang w:val="en_US" w:bidi="en_US"/>
        </w:rPr>
        <w:t>18:21</w:t>
      </w:r>
    </w:p>
    <w:p>
      <w:pPr/>
      <w:r>
        <w:rPr>
          <w:lang w:val="en_US" w:bidi="en_US"/>
        </w:rPr>
      </w:r>
      <w:r>
        <w:rPr>
          <w:b/>
          <w:lang w:val="en_US" w:bidi="en_US"/>
        </w:rPr>
        <w:t>“All these I have kept from my youth,” he said.</w:t>
      </w:r>
    </w:p>
    <w:p>
      <w:pPr>
        <w:pStyle w:val="ListBullet"/>
        <w:spacing w:line="240" w:lineRule="auto"/>
        <w:ind w:left="720"/>
      </w:pPr>
      <w:r>
        <w:rPr>
          <w:lang w:val="en_US" w:bidi="en_US"/>
        </w:rPr>
      </w:r>
      <w:r>
        <w:rPr>
          <w:lang w:val="en_US" w:bidi="en_US"/>
        </w:rPr>
        <w:t xml:space="preserve">He replied, “From the time I was a child I have obeyed all these </w:t>
      </w:r>
      <w:r>
        <w:rPr>
          <w:lang w:val="en_US" w:bidi="en_US"/>
        </w:rPr>
        <w:t>commands</w:t>
      </w:r>
      <w:r>
        <w:rPr>
          <w:lang w:val="en_US" w:bidi="en_US"/>
        </w:rPr>
        <w:t>.”</w:t>
      </w:r>
    </w:p>
    <w:p>
      <w:pPr>
        <w:pStyle w:val="ListBullet"/>
        <w:spacing w:line="240" w:lineRule="auto"/>
        <w:ind w:left="720"/>
      </w:pPr>
      <w:r>
        <w:rPr>
          <w:lang w:val="en_US" w:bidi="en_US"/>
        </w:rPr>
      </w:r>
      <w:r>
        <w:rPr>
          <w:lang w:val="en_US" w:bidi="en_US"/>
        </w:rPr>
        <w:t xml:space="preserve">The leader said </w:t>
      </w:r>
      <w:r>
        <w:rPr>
          <w:lang w:val="en_US" w:bidi="en_US"/>
        </w:rPr>
        <w:t>to Jesus</w:t>
      </w:r>
      <w:r>
        <w:rPr>
          <w:lang w:val="en_US" w:bidi="en_US"/>
        </w:rPr>
        <w:t xml:space="preserve">, “I have obeyed all these </w:t>
      </w:r>
      <w:r>
        <w:rPr>
          <w:lang w:val="en_US" w:bidi="en_US"/>
        </w:rPr>
        <w:t>commandments</w:t>
      </w:r>
      <w:r>
        <w:rPr>
          <w:lang w:val="en_US" w:bidi="en_US"/>
        </w:rPr>
        <w:t xml:space="preserve"> since I was young.”</w:t>
      </w:r>
    </w:p>
    <w:p>
      <w:pPr/>
      <w:r>
        <w:rPr>
          <w:lang w:val="en_US" w:bidi="en_US"/>
        </w:rPr>
      </w:r>
      <w:r>
        <w:rPr>
          <w:b/>
          <w:lang w:val="en_US" w:bidi="en_US"/>
        </w:rPr>
        <w:t>All these I have kept from my youth:</w:t>
      </w:r>
      <w:r>
        <w:rPr>
          <w:lang w:val="en_US" w:bidi="en_US"/>
        </w:rPr>
        <w:t xml:space="preserve"> In this statement the rich man claimed that he had obeyed all these commands from the time he was young. The text does not indicate whether or not his statement is true.</w:t>
      </w:r>
    </w:p>
    <w:p>
      <w:pPr/>
      <w:r>
        <w:rPr>
          <w:lang w:val="en_US" w:bidi="en_US"/>
        </w:rPr>
      </w:r>
      <w:r>
        <w:rPr>
          <w:lang w:val="en_US" w:bidi="en_US"/>
        </w:rPr>
        <w:t xml:space="preserve">In some languages it may be more natural to put the time phrase </w:t>
      </w:r>
      <w:r>
        <w:rPr>
          <w:i/>
          <w:lang w:val="en_US" w:bidi="en_US"/>
        </w:rPr>
        <w:t>from my youth</w:t>
      </w:r>
      <w:r>
        <w:rPr>
          <w:lang w:val="en_US" w:bidi="en_US"/>
        </w:rPr>
        <w:t xml:space="preserve"> before the rest of the verse. For example:</w:t>
      </w:r>
    </w:p>
    <w:p>
      <w:pPr/>
      <w:r>
        <w:rPr>
          <w:lang w:val="en_US" w:bidi="en_US"/>
        </w:rPr>
      </w:r>
      <w:r>
        <w:rPr>
          <w:lang w:val="en_US" w:bidi="en_US"/>
        </w:rPr>
        <w:t xml:space="preserve">From my youth </w:t>
      </w:r>
      <w:r>
        <w:rPr>
          <w:lang w:val="en_US" w:bidi="en_US"/>
        </w:rPr>
        <w:t>up until now</w:t>
      </w:r>
      <w:r>
        <w:rPr>
          <w:lang w:val="en_US" w:bidi="en_US"/>
        </w:rPr>
        <w:t xml:space="preserve"> I have obeyed/done all these </w:t>
      </w:r>
      <w:r>
        <w:rPr>
          <w:lang w:val="en_US" w:bidi="en_US"/>
        </w:rPr>
        <w:t>commandments</w:t>
      </w:r>
      <w:r>
        <w:rPr>
          <w:lang w:val="en_US" w:bidi="en_US"/>
        </w:rPr>
        <w:t>.</w:t>
      </w:r>
    </w:p>
    <w:p>
      <w:pPr/>
      <w:r>
        <w:rPr>
          <w:lang w:val="en_US" w:bidi="en_US"/>
        </w:rPr>
      </w:r>
      <w:r>
        <w:rPr>
          <w:lang w:val="en_US" w:bidi="en_US"/>
        </w:rPr>
        <w:t>In some languages it may also be more natural to translate the meaning in a negative way. For example:</w:t>
      </w:r>
    </w:p>
    <w:p>
      <w:pPr/>
      <w:r>
        <w:rPr>
          <w:lang w:val="en_US" w:bidi="en_US"/>
        </w:rPr>
      </w:r>
      <w:r>
        <w:rPr>
          <w:lang w:val="en_US" w:bidi="en_US"/>
        </w:rPr>
        <w:t xml:space="preserve">Beginning from the time I was a small child, I have </w:t>
      </w:r>
      <w:r>
        <w:rPr>
          <w:u w:val="single"/>
          <w:lang w:val="en_US" w:bidi="en_US"/>
        </w:rPr>
        <w:t>not disobeyed</w:t>
      </w:r>
      <w:r>
        <w:rPr>
          <w:lang w:val="en_US" w:bidi="en_US"/>
        </w:rPr>
        <w:t xml:space="preserve"> any of these commands.</w:t>
      </w:r>
    </w:p>
    <w:p>
      <w:pPr/>
      <w:r>
        <w:rPr>
          <w:lang w:val="en_US" w:bidi="en_US"/>
        </w:rPr>
      </w:r>
      <w:r>
        <w:rPr>
          <w:b/>
          <w:lang w:val="en_US" w:bidi="en_US"/>
        </w:rPr>
        <w:t>All these:</w:t>
      </w:r>
      <w:r>
        <w:rPr>
          <w:lang w:val="en_US" w:bidi="en_US"/>
        </w:rPr>
        <w:t xml:space="preserve"> The phrase </w:t>
      </w:r>
      <w:r>
        <w:rPr>
          <w:i/>
          <w:lang w:val="en_US" w:bidi="en_US"/>
        </w:rPr>
        <w:t>All these</w:t>
      </w:r>
      <w:r>
        <w:rPr>
          <w:lang w:val="en_US" w:bidi="en_US"/>
        </w:rPr>
        <w:t xml:space="preserve"> refers to all the commands that Jesus mentioned in 18:20b–f. It may be natural to make this explicit. For example:</w:t>
      </w:r>
    </w:p>
    <w:p>
      <w:pPr/>
      <w:r>
        <w:rPr>
          <w:lang w:val="en_US" w:bidi="en_US"/>
        </w:rPr>
      </w:r>
      <w:r>
        <w:rPr>
          <w:lang w:val="en_US" w:bidi="en_US"/>
        </w:rPr>
        <w:t>all these commands (NCV)</w:t>
      </w:r>
    </w:p>
    <w:p>
      <w:pPr/>
      <w:r>
        <w:rPr>
          <w:lang w:val="en_US" w:bidi="en_US"/>
        </w:rPr>
      </w:r>
      <w:r>
        <w:rPr>
          <w:lang w:val="en_US" w:bidi="en_US"/>
        </w:rPr>
        <w:t xml:space="preserve">all of these </w:t>
      </w:r>
      <w:r>
        <w:rPr>
          <w:lang w:val="en_US" w:bidi="en_US"/>
        </w:rPr>
        <w:t>laws</w:t>
      </w:r>
    </w:p>
    <w:p>
      <w:pPr/>
      <w:r>
        <w:rPr>
          <w:lang w:val="en_US" w:bidi="en_US"/>
        </w:rPr>
      </w:r>
      <w:r>
        <w:rPr>
          <w:b/>
          <w:lang w:val="en_US" w:bidi="en_US"/>
        </w:rPr>
        <w:t>I have kept:</w:t>
      </w:r>
      <w:r>
        <w:rPr>
          <w:lang w:val="en_US" w:bidi="en_US"/>
        </w:rPr>
        <w:t xml:space="preserve"> In this context, the phrase </w:t>
      </w:r>
      <w:r>
        <w:rPr>
          <w:i/>
          <w:lang w:val="en_US" w:bidi="en_US"/>
        </w:rPr>
        <w:t>have kept</w:t>
      </w:r>
      <w:r>
        <w:rPr>
          <w:lang w:val="en_US" w:bidi="en_US"/>
        </w:rPr>
        <w:t xml:space="preserve"> means “obeyed.” For example:</w:t>
      </w:r>
    </w:p>
    <w:p>
      <w:pPr/>
      <w:r>
        <w:rPr>
          <w:lang w:val="en_US" w:bidi="en_US"/>
        </w:rPr>
      </w:r>
      <w:r>
        <w:rPr>
          <w:lang w:val="en_US" w:bidi="en_US"/>
        </w:rPr>
        <w:t>I have obeyed (GNT)</w:t>
      </w:r>
    </w:p>
    <w:p>
      <w:pPr/>
      <w:r>
        <w:rPr>
          <w:lang w:val="en_US" w:bidi="en_US"/>
        </w:rPr>
      </w:r>
      <w:r>
        <w:rPr>
          <w:b/>
          <w:lang w:val="en_US" w:bidi="en_US"/>
        </w:rPr>
        <w:t>from my youth:</w:t>
      </w:r>
      <w:r>
        <w:rPr>
          <w:lang w:val="en_US" w:bidi="en_US"/>
        </w:rPr>
        <w:t xml:space="preserve"> The Greek expression that the BSB translates as </w:t>
      </w:r>
      <w:r>
        <w:rPr>
          <w:i/>
          <w:lang w:val="en_US" w:bidi="en_US"/>
        </w:rPr>
        <w:t>from my youth</w:t>
      </w:r>
      <w:r>
        <w:rPr>
          <w:lang w:val="en_US" w:bidi="en_US"/>
        </w:rPr>
        <w:t xml:space="preserve"> is literally “from youth.” The young man indicated that he had begun to obey the commands when he was a boy</w:t>
      </w:r>
      <w:r>
        <w:rPr>
          <w:lang w:val="en_US" w:bidi="en_US"/>
        </w:rPr>
        <w:t>Several scholars think this probably refers to the time when Jewish youths were considered to be legally mature (at about twelve years old). For example, Fitzmyer (p. 1200) says: “…since the time he reached religious and legal maturity and was obliged to fulfill all the commandments of the Mosaic Law.”</w:t>
      </w:r>
      <w:r>
        <w:rPr>
          <w:lang w:val="en_US" w:bidi="en_US"/>
        </w:rPr>
        <w:t xml:space="preserve"> and still continued to obey them. Here is another way to translate this:</w:t>
      </w:r>
    </w:p>
    <w:p>
      <w:pPr/>
      <w:r>
        <w:rPr>
          <w:lang w:val="en_US" w:bidi="en_US"/>
        </w:rPr>
      </w:r>
      <w:r>
        <w:rPr>
          <w:lang w:val="en_US" w:bidi="en_US"/>
        </w:rPr>
        <w:t>Ever since I was young (GNT)</w:t>
      </w:r>
    </w:p>
    <w:p>
      <w:pPr/>
      <w:r>
        <w:rPr>
          <w:lang w:val="en_US" w:bidi="en_US"/>
        </w:rPr>
      </w:r>
      <w:r>
        <w:rPr>
          <w:b/>
          <w:lang w:val="en_US" w:bidi="en_US"/>
        </w:rPr>
        <w:t>he said:</w:t>
      </w:r>
      <w:r>
        <w:rPr>
          <w:lang w:val="en_US" w:bidi="en_US"/>
        </w:rPr>
        <w:t xml:space="preserve"> The BSB places the phrase </w:t>
      </w:r>
      <w:r>
        <w:rPr>
          <w:i/>
          <w:lang w:val="en_US" w:bidi="en_US"/>
        </w:rPr>
        <w:t>he said</w:t>
      </w:r>
      <w:r>
        <w:rPr>
          <w:lang w:val="en_US" w:bidi="en_US"/>
        </w:rPr>
        <w:t xml:space="preserve"> at the end of the quote in this verse. However, in the Greek text it comes at the beginning of the verse, and several English versions have also placed it there. For example:</w:t>
      </w:r>
    </w:p>
    <w:p>
      <w:pPr/>
      <w:r>
        <w:rPr>
          <w:lang w:val="en_US" w:bidi="en_US"/>
        </w:rPr>
      </w:r>
      <w:r>
        <w:rPr>
          <w:lang w:val="en_US" w:bidi="en_US"/>
        </w:rPr>
        <w:t>And he said, “All these I have kept from my youth.” (ESV)</w:t>
      </w:r>
    </w:p>
    <w:p>
      <w:pPr/>
      <w:r>
        <w:rPr>
          <w:lang w:val="en_US" w:bidi="en_US"/>
        </w:rPr>
      </w:r>
      <w:r>
        <w:rPr>
          <w:lang w:val="en_US" w:bidi="en_US"/>
        </w:rPr>
        <w:t>Place the phrase where it is natural in your language.</w:t>
      </w:r>
      <w:r>
        <w:rPr>
          <w:lang w:val="en_US" w:bidi="en_US"/>
        </w:rPr>
      </w:r>
      <w:r>
        <w:rPr>
          <w:lang w:val="en_US" w:bidi="en_US"/>
        </w:rPr>
      </w:r>
    </w:p>
    <w:p>
      <w:pPr/>
      <w:r>
        <w:rPr>
          <w:lang w:val="en_US" w:bidi="en_US"/>
        </w:rPr>
      </w:r>
    </w:p>
    <w:p>
      <w:pPr>
        <w:pStyle w:val="Heading2"/>
      </w:pPr>
      <w:r>
        <w:rPr>
          <w:lang w:val="en_US" w:bidi="en_US"/>
        </w:rPr>
        <w:t>Luke 18:22</w:t>
      </w:r>
      <w:r>
        <w:rPr>
          <w:lang w:val="en_US" w:bidi="en_US"/>
        </w:rPr>
      </w:r>
    </w:p>
    <w:p>
      <w:pPr>
        <w:pStyle w:val="Heading4"/>
      </w:pPr>
      <w:r>
        <w:rPr>
          <w:lang w:val="en_US" w:bidi="en_US"/>
        </w:rPr>
        <w:t>Section 18:18–30: It is hard for rich people to enter God’s kingdom</w:t>
      </w:r>
    </w:p>
    <w:p>
      <w:pPr/>
      <w:r>
        <w:rPr>
          <w:lang w:val="en_US" w:bidi="en_US"/>
        </w:rPr>
      </w:r>
      <w:r>
        <w:rPr>
          <w:lang w:val="en_US" w:bidi="en_US"/>
        </w:rP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pPr/>
      <w:r>
        <w:rPr>
          <w:lang w:val="en_US" w:bidi="en_US"/>
        </w:rPr>
      </w:r>
      <w:r>
        <w:rPr>
          <w:lang w:val="en_US" w:bidi="en_US"/>
        </w:rP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pPr/>
      <w:r>
        <w:rPr>
          <w:lang w:val="en_US" w:bidi="en_US"/>
        </w:rPr>
      </w:r>
      <w:r>
        <w:rPr>
          <w:lang w:val="en_US" w:bidi="en_US"/>
        </w:rPr>
        <w:t>At the end of the section Jesus promised that people who left their possessions and family behind to serve him would receive great rewards.</w:t>
      </w:r>
    </w:p>
    <w:p>
      <w:pPr/>
      <w:r>
        <w:rPr>
          <w:lang w:val="en_US" w:bidi="en_US"/>
        </w:rPr>
      </w:r>
      <w:r>
        <w:rPr>
          <w:lang w:val="en_US" w:bidi="en_US"/>
        </w:rPr>
        <w:t>Other examples of headings for this section are:</w:t>
      </w:r>
    </w:p>
    <w:p>
      <w:pPr/>
      <w:r>
        <w:rPr>
          <w:lang w:val="en_US" w:bidi="en_US"/>
        </w:rPr>
      </w:r>
      <w:r>
        <w:rPr>
          <w:lang w:val="en_US" w:bidi="en_US"/>
        </w:rPr>
        <w:t>Jesus taught that riches make it difficult to obtain eternal life</w:t>
      </w:r>
    </w:p>
    <w:p>
      <w:pPr/>
      <w:r>
        <w:rPr>
          <w:lang w:val="en_US" w:bidi="en_US"/>
        </w:rPr>
      </w:r>
      <w:r>
        <w:rPr>
          <w:lang w:val="en_US" w:bidi="en_US"/>
        </w:rPr>
        <w:t>A Rich Man’s Question (NCV)</w:t>
      </w:r>
    </w:p>
    <w:p>
      <w:pPr/>
      <w:r>
        <w:rPr>
          <w:lang w:val="en_US" w:bidi="en_US"/>
        </w:rPr>
      </w:r>
      <w:r>
        <w:rPr>
          <w:lang w:val="en_US" w:bidi="en_US"/>
        </w:rPr>
        <w:t>The rich young man (NJB)</w:t>
      </w:r>
    </w:p>
    <w:p>
      <w:pPr/>
      <w:r>
        <w:rPr>
          <w:lang w:val="en_US" w:bidi="en_US"/>
        </w:rPr>
      </w:r>
      <w:r>
        <w:rPr>
          <w:lang w:val="en_US" w:bidi="en_US"/>
        </w:rPr>
        <w:t>There are parallel passages for this section in Matthew 19:16–30 and Mark 10:17–31.</w:t>
      </w:r>
    </w:p>
    <w:p>
      <w:pPr>
        <w:pStyle w:val="Heading5"/>
      </w:pPr>
      <w:r>
        <w:rPr>
          <w:lang w:val="en_US" w:bidi="en_US"/>
        </w:rPr>
        <w:t>18:22a</w:t>
      </w:r>
    </w:p>
    <w:p>
      <w:pPr/>
      <w:r>
        <w:rPr>
          <w:lang w:val="en_US" w:bidi="en_US"/>
        </w:rPr>
      </w:r>
      <w:r>
        <w:rPr>
          <w:b/>
          <w:lang w:val="en_US" w:bidi="en_US"/>
        </w:rPr>
        <w:t>On hearing this, Jesus told him,</w:t>
      </w:r>
    </w:p>
    <w:p>
      <w:pPr>
        <w:pStyle w:val="ListBullet"/>
        <w:spacing w:line="240" w:lineRule="auto"/>
        <w:ind w:left="720"/>
      </w:pPr>
      <w:r>
        <w:rPr>
          <w:lang w:val="en_US" w:bidi="en_US"/>
        </w:rPr>
      </w:r>
      <w:r>
        <w:rPr>
          <w:lang w:val="en_US" w:bidi="en_US"/>
        </w:rPr>
        <w:t>When Jesus heard what the leader said, he told him,</w:t>
      </w:r>
    </w:p>
    <w:p>
      <w:pPr>
        <w:pStyle w:val="ListBullet"/>
        <w:spacing w:line="240" w:lineRule="auto"/>
        <w:ind w:left="720"/>
      </w:pPr>
      <w:r>
        <w:rPr>
          <w:lang w:val="en_US" w:bidi="en_US"/>
        </w:rPr>
      </w:r>
      <w:r>
        <w:rPr>
          <w:lang w:val="en_US" w:bidi="en_US"/>
        </w:rPr>
        <w:t>Jesus responded to this by saying,</w:t>
      </w:r>
    </w:p>
    <w:p>
      <w:pPr>
        <w:pStyle w:val="ListBullet"/>
        <w:spacing w:line="240" w:lineRule="auto"/>
        <w:ind w:left="720"/>
      </w:pPr>
      <w:r>
        <w:rPr>
          <w:lang w:val="en_US" w:bidi="en_US"/>
        </w:rPr>
      </w:r>
      <w:r>
        <w:rPr>
          <w:lang w:val="en_US" w:bidi="en_US"/>
        </w:rPr>
        <w:t>When he said that, Jesus told him,</w:t>
      </w:r>
    </w:p>
    <w:p>
      <w:pPr/>
      <w:r>
        <w:rPr>
          <w:lang w:val="en_US" w:bidi="en_US"/>
        </w:rPr>
      </w:r>
      <w:r>
        <w:rPr>
          <w:b/>
          <w:lang w:val="en_US" w:bidi="en_US"/>
        </w:rPr>
        <w:t>On hearing this, Jesus told him:</w:t>
      </w:r>
      <w:r>
        <w:rPr>
          <w:lang w:val="en_US" w:bidi="en_US"/>
        </w:rPr>
        <w:t xml:space="preserve"> The Greek clause that the BSB translates as </w:t>
      </w:r>
      <w:r>
        <w:rPr>
          <w:i/>
          <w:lang w:val="en_US" w:bidi="en_US"/>
        </w:rPr>
        <w:t>On hearing this, Jesus told him</w:t>
      </w:r>
      <w:r>
        <w:rPr>
          <w:lang w:val="en_US" w:bidi="en_US"/>
        </w:rPr>
        <w:t xml:space="preserve"> is literally “Having-heard, Jesus said to him.” In Greek the verb “Having-heard” connects what the leader said with what Jesus was about to say to him.</w:t>
      </w:r>
      <w:r>
        <w:rPr>
          <w:lang w:val="en_US" w:bidi="en_US"/>
        </w:rPr>
        <w:t>This verb is used in the same way in 7:9 before Jesus praised a centurion’s faith and in 8:50 before he told Jairus to have faith. See also the usage in 14:15 before a man said, “Blessed is everyone who will eat at the feast in the kingdom of God.”</w:t>
      </w:r>
    </w:p>
    <w:p>
      <w:pPr/>
      <w:r>
        <w:rPr>
          <w:lang w:val="en_US" w:bidi="en_US"/>
        </w:rPr>
      </w:r>
      <w:r>
        <w:rPr>
          <w:lang w:val="en_US" w:bidi="en_US"/>
        </w:rPr>
        <w:t>In some languages it may not be natural to say here that Jesus heard the ruler’s words, because this fact is obvious from the context. If that is true in your language, you may want to connect these statements in a different way. For example:</w:t>
      </w:r>
    </w:p>
    <w:p>
      <w:pPr/>
      <w:r>
        <w:rPr>
          <w:lang w:val="en_US" w:bidi="en_US"/>
        </w:rPr>
      </w:r>
      <w:r>
        <w:rPr>
          <w:lang w:val="en_US" w:bidi="en_US"/>
        </w:rPr>
        <w:t>In reply Jesus said</w:t>
      </w:r>
    </w:p>
    <w:p>
      <w:pPr/>
      <w:r>
        <w:rPr>
          <w:lang w:val="en_US" w:bidi="en_US"/>
        </w:rPr>
      </w:r>
      <w:r>
        <w:rPr>
          <w:lang w:val="en_US" w:bidi="en_US"/>
        </w:rPr>
        <w:t>Then Jesus replied</w:t>
      </w:r>
    </w:p>
    <w:p>
      <w:pPr>
        <w:pStyle w:val="Heading5"/>
      </w:pPr>
      <w:r>
        <w:rPr>
          <w:lang w:val="en_US" w:bidi="en_US"/>
        </w:rPr>
        <w:t>18:22b</w:t>
      </w:r>
    </w:p>
    <w:p>
      <w:pPr/>
      <w:r>
        <w:rPr>
          <w:lang w:val="en_US" w:bidi="en_US"/>
        </w:rPr>
      </w:r>
      <w:r>
        <w:rPr>
          <w:b/>
          <w:lang w:val="en_US" w:bidi="en_US"/>
        </w:rPr>
        <w:t>“You still lack one thing:</w:t>
      </w:r>
    </w:p>
    <w:p>
      <w:pPr>
        <w:pStyle w:val="ListBullet"/>
        <w:spacing w:line="240" w:lineRule="auto"/>
        <w:ind w:left="720"/>
      </w:pPr>
      <w:r>
        <w:rPr>
          <w:lang w:val="en_US" w:bidi="en_US"/>
        </w:rPr>
      </w:r>
      <w:r>
        <w:rPr>
          <w:lang w:val="en_US" w:bidi="en_US"/>
        </w:rPr>
        <w:t>“One thing/deed is still lacking 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“There is still something that you</w:t>
      </w:r>
      <w:r>
        <w:rPr>
          <w:vertAlign w:val="superscript"/>
          <w:lang w:val="en_US" w:bidi="en_US"/>
        </w:rPr>
        <w:t>(sing)</w:t>
      </w:r>
      <w:r>
        <w:rPr>
          <w:lang w:val="en_US" w:bidi="en_US"/>
        </w:rPr>
        <w:t xml:space="preserve"> need to do.</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must do one more thing/action.</w:t>
      </w:r>
    </w:p>
    <w:p>
      <w:pPr/>
      <w:r>
        <w:rPr>
          <w:lang w:val="en_US" w:bidi="en_US"/>
        </w:rPr>
      </w:r>
      <w:r>
        <w:rPr>
          <w:b/>
          <w:lang w:val="en_US" w:bidi="en_US"/>
        </w:rPr>
        <w:t>You still lack one thing:</w:t>
      </w:r>
      <w:r>
        <w:rPr>
          <w:lang w:val="en_US" w:bidi="en_US"/>
        </w:rPr>
        <w:t xml:space="preserve"> This clause is literally, “Still/yet one (thing) to you is lacking.” It answers the question that the ruler asked Jesus in 18:18b about what he must do to receive eternal life. Here Jesus was saying, “There is one more deed/thing that you need to do </w:t>
      </w:r>
      <w:r>
        <w:rPr>
          <w:lang w:val="en_US" w:bidi="en_US"/>
        </w:rPr>
        <w:t>in order to live forever with God</w:t>
      </w:r>
      <w:r>
        <w:rPr>
          <w:lang w:val="en_US" w:bidi="en_US"/>
        </w:rPr>
        <w:t>.” Here is another way to translate this:</w:t>
      </w:r>
    </w:p>
    <w:p>
      <w:pPr/>
      <w:r>
        <w:rPr>
          <w:lang w:val="en_US" w:bidi="en_US"/>
        </w:rPr>
      </w:r>
      <w:r>
        <w:rPr>
          <w:lang w:val="en_US" w:bidi="en_US"/>
        </w:rPr>
        <w:t>There is still one more thing you need to do. (GNT)</w:t>
      </w:r>
    </w:p>
    <w:p>
      <w:pPr/>
      <w:r>
        <w:rPr>
          <w:lang w:val="en_US" w:bidi="en_US"/>
        </w:rPr>
      </w:r>
      <w:r>
        <w:rPr>
          <w:lang w:val="en_US" w:bidi="en_US"/>
        </w:rPr>
        <w:t>This one thing is explained in Jesus’ next statement in 18:22c–d.</w:t>
      </w:r>
    </w:p>
    <w:p>
      <w:pPr>
        <w:pStyle w:val="Heading5"/>
      </w:pPr>
      <w:r>
        <w:rPr>
          <w:lang w:val="en_US" w:bidi="en_US"/>
        </w:rPr>
        <w:t>18:22c</w:t>
      </w:r>
    </w:p>
    <w:p>
      <w:pPr/>
      <w:r>
        <w:rPr>
          <w:lang w:val="en_US" w:bidi="en_US"/>
        </w:rPr>
      </w:r>
      <w:r>
        <w:rPr>
          <w:b/>
          <w:lang w:val="en_US" w:bidi="en_US"/>
        </w:rPr>
        <w:t>Sell everything you own and give to the poor,</w:t>
      </w:r>
    </w:p>
    <w:p>
      <w:pPr>
        <w:pStyle w:val="ListBullet"/>
        <w:spacing w:line="240" w:lineRule="auto"/>
        <w:ind w:left="720"/>
      </w:pPr>
      <w:r>
        <w:rPr>
          <w:lang w:val="en_US" w:bidi="en_US"/>
        </w:rPr>
      </w:r>
      <w:r>
        <w:rPr>
          <w:lang w:val="en_US" w:bidi="en_US"/>
        </w:rPr>
        <w:t>Sell everything you</w:t>
      </w:r>
      <w:r>
        <w:rPr>
          <w:vertAlign w:val="superscript"/>
          <w:lang w:val="en_US" w:bidi="en_US"/>
        </w:rPr>
        <w:t>(sing)</w:t>
      </w:r>
      <w:r>
        <w:rPr>
          <w:lang w:val="en_US" w:bidi="en_US"/>
        </w:rPr>
        <w:t xml:space="preserve"> own and give </w:t>
      </w:r>
      <w:r>
        <w:rPr>
          <w:lang w:val="en_US" w:bidi="en_US"/>
        </w:rPr>
        <w:t>the money</w:t>
      </w:r>
      <w:r>
        <w:rPr>
          <w:lang w:val="en_US" w:bidi="en_US"/>
        </w:rPr>
        <w:t xml:space="preserve"> to poor people.</w:t>
      </w:r>
    </w:p>
    <w:p>
      <w:pPr>
        <w:pStyle w:val="ListBullet"/>
        <w:spacing w:line="240" w:lineRule="auto"/>
        <w:ind w:left="720"/>
      </w:pPr>
      <w:r>
        <w:rPr>
          <w:lang w:val="en_US" w:bidi="en_US"/>
        </w:rPr>
      </w:r>
      <w:r>
        <w:rPr>
          <w:lang w:val="en_US" w:bidi="en_US"/>
        </w:rPr>
        <w:t>Sell all your</w:t>
      </w:r>
      <w:r>
        <w:rPr>
          <w:vertAlign w:val="superscript"/>
          <w:lang w:val="en_US" w:bidi="en_US"/>
        </w:rPr>
        <w:t>(sing)</w:t>
      </w:r>
      <w:r>
        <w:rPr>
          <w:lang w:val="en_US" w:bidi="en_US"/>
        </w:rPr>
        <w:t xml:space="preserve"> possessions and donate </w:t>
      </w:r>
      <w:r>
        <w:rPr>
          <w:lang w:val="en_US" w:bidi="en_US"/>
        </w:rPr>
        <w:t>the money that you get/gain</w:t>
      </w:r>
      <w:r>
        <w:rPr>
          <w:lang w:val="en_US" w:bidi="en_US"/>
        </w:rPr>
        <w:t xml:space="preserve"> to the poor,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must sell everything that you have, then </w:t>
      </w:r>
      <w:r>
        <w:rPr>
          <w:lang w:val="en_US" w:bidi="en_US"/>
        </w:rPr>
        <w:t>take</w:t>
      </w:r>
      <w:r>
        <w:rPr>
          <w:lang w:val="en_US" w:bidi="en_US"/>
        </w:rPr>
        <w:t xml:space="preserve"> </w:t>
      </w:r>
      <w:r>
        <w:rPr>
          <w:lang w:val="en_US" w:bidi="en_US"/>
        </w:rPr>
        <w:t>all</w:t>
      </w:r>
      <w:r>
        <w:rPr>
          <w:lang w:val="en_US" w:bidi="en_US"/>
        </w:rPr>
        <w:t xml:space="preserve"> </w:t>
      </w:r>
      <w:r>
        <w:rPr>
          <w:lang w:val="en_US" w:bidi="en_US"/>
        </w:rPr>
        <w:t>the money that people pay you</w:t>
      </w:r>
      <w:r>
        <w:rPr>
          <w:lang w:val="en_US" w:bidi="en_US"/>
        </w:rPr>
        <w:t>, and give it to poor people.</w:t>
      </w:r>
    </w:p>
    <w:p>
      <w:pPr/>
      <w:r>
        <w:rPr>
          <w:lang w:val="en_US" w:bidi="en_US"/>
        </w:rPr>
      </w:r>
      <w:r>
        <w:rPr>
          <w:b/>
          <w:lang w:val="en_US" w:bidi="en_US"/>
        </w:rPr>
        <w:t>Sell everything you own and give to the poor:</w:t>
      </w:r>
      <w:r>
        <w:rPr>
          <w:lang w:val="en_US" w:bidi="en_US"/>
        </w:rPr>
        <w:t xml:space="preserve"> These words imply that the man should sell everything that he owned. Then he should take the money that he received from selling his possessions and give that money to poor people. In some languages it may be necessary to make that explicit. For example:</w:t>
      </w:r>
    </w:p>
    <w:p>
      <w:pPr/>
      <w:r>
        <w:rPr>
          <w:lang w:val="en_US" w:bidi="en_US"/>
        </w:rPr>
      </w:r>
      <w:r>
        <w:rPr>
          <w:lang w:val="en_US" w:bidi="en_US"/>
        </w:rPr>
        <w:t xml:space="preserve">sell everything you own and give </w:t>
      </w:r>
      <w:r>
        <w:rPr>
          <w:lang w:val="en_US" w:bidi="en_US"/>
        </w:rPr>
        <w:t>the money/proceeds</w:t>
      </w:r>
      <w:r>
        <w:rPr>
          <w:lang w:val="en_US" w:bidi="en_US"/>
        </w:rPr>
        <w:t xml:space="preserve"> to poor people</w:t>
      </w:r>
    </w:p>
    <w:p>
      <w:pPr>
        <w:pStyle w:val="Heading5"/>
      </w:pPr>
      <w:r>
        <w:rPr>
          <w:lang w:val="en_US" w:bidi="en_US"/>
        </w:rPr>
        <w:t>18:22d</w:t>
      </w:r>
    </w:p>
    <w:p>
      <w:pPr/>
      <w:r>
        <w:rPr>
          <w:lang w:val="en_US" w:bidi="en_US"/>
        </w:rPr>
      </w:r>
      <w:r>
        <w:rPr>
          <w:b/>
          <w:lang w:val="en_US" w:bidi="en_US"/>
        </w:rPr>
        <w:t>and you will have treasure in heaven.</w:t>
      </w:r>
    </w:p>
    <w:p>
      <w:pPr>
        <w:pStyle w:val="ListBullet"/>
        <w:spacing w:line="240" w:lineRule="auto"/>
        <w:ind w:left="720"/>
      </w:pPr>
      <w:r>
        <w:rPr>
          <w:lang w:val="en_US" w:bidi="en_US"/>
        </w:rPr>
      </w:r>
      <w:r>
        <w:rPr>
          <w:lang w:val="en_US" w:bidi="en_US"/>
        </w:rPr>
        <w:t>Then you</w:t>
      </w:r>
      <w:r>
        <w:rPr>
          <w:vertAlign w:val="superscript"/>
          <w:lang w:val="en_US" w:bidi="en_US"/>
        </w:rPr>
        <w:t>(sing)</w:t>
      </w:r>
      <w:r>
        <w:rPr>
          <w:lang w:val="en_US" w:bidi="en_US"/>
        </w:rPr>
        <w:t xml:space="preserve"> will gain wealth/reward in heaven.</w:t>
      </w:r>
    </w:p>
    <w:p>
      <w:pPr>
        <w:pStyle w:val="ListBullet"/>
        <w:spacing w:line="240" w:lineRule="auto"/>
        <w:ind w:left="720"/>
      </w:pPr>
      <w:r>
        <w:rPr>
          <w:lang w:val="en_US" w:bidi="en_US"/>
        </w:rPr>
      </w:r>
      <w:r>
        <w:rPr>
          <w:lang w:val="en_US" w:bidi="en_US"/>
        </w:rPr>
        <w:t xml:space="preserve">and </w:t>
      </w:r>
      <w:r>
        <w:rPr>
          <w:lang w:val="en_US" w:bidi="en_US"/>
        </w:rPr>
        <w:t>God</w:t>
      </w:r>
      <w:r>
        <w:rPr>
          <w:lang w:val="en_US" w:bidi="en_US"/>
        </w:rPr>
        <w:t xml:space="preserve"> will reward you</w:t>
      </w:r>
      <w:r>
        <w:rPr>
          <w:vertAlign w:val="superscript"/>
          <w:lang w:val="en_US" w:bidi="en_US"/>
        </w:rPr>
        <w:t>(sing)</w:t>
      </w:r>
      <w:r>
        <w:rPr>
          <w:lang w:val="en_US" w:bidi="en_US"/>
        </w:rPr>
        <w:t xml:space="preserve"> in heaven.</w:t>
      </w:r>
    </w:p>
    <w:p>
      <w:pPr>
        <w:pStyle w:val="ListBullet"/>
        <w:spacing w:line="240" w:lineRule="auto"/>
        <w:ind w:left="720"/>
      </w:pPr>
      <w:r>
        <w:rPr>
          <w:lang w:val="en_US" w:bidi="en_US"/>
        </w:rPr>
      </w:r>
      <w:r>
        <w:rPr>
          <w:lang w:val="en_US" w:bidi="en_US"/>
        </w:rPr>
        <w:t>As a result,</w:t>
      </w:r>
      <w:r>
        <w:rPr>
          <w:lang w:val="en_US" w:bidi="en_US"/>
        </w:rPr>
        <w:t xml:space="preserve"> </w:t>
      </w:r>
      <w:r>
        <w:rPr>
          <w:lang w:val="en_US" w:bidi="en_US"/>
        </w:rPr>
        <w:t>when you</w:t>
      </w:r>
      <w:r>
        <w:rPr>
          <w:vertAlign w:val="superscript"/>
          <w:lang w:val="en_US" w:bidi="en_US"/>
        </w:rPr>
        <w:t>(sing)</w:t>
      </w:r>
      <w:r>
        <w:rPr>
          <w:lang w:val="en_US" w:bidi="en_US"/>
        </w:rPr>
        <w:t xml:space="preserve"> </w:t>
      </w:r>
      <w:r>
        <w:rPr>
          <w:lang w:val="en_US" w:bidi="en_US"/>
        </w:rPr>
        <w:t>die and go to be</w:t>
      </w:r>
      <w:r>
        <w:rPr>
          <w:lang w:val="en_US" w:bidi="en_US"/>
        </w:rPr>
        <w:t xml:space="preserve"> with God, you will receive </w:t>
      </w:r>
      <w:r>
        <w:rPr>
          <w:lang w:val="en_US" w:bidi="en_US"/>
        </w:rPr>
        <w:t>true/spiritual</w:t>
      </w:r>
      <w:r>
        <w:rPr>
          <w:lang w:val="en_US" w:bidi="en_US"/>
        </w:rPr>
        <w:t xml:space="preserve"> riches.</w:t>
      </w:r>
    </w:p>
    <w:p>
      <w:pPr/>
      <w:r>
        <w:rPr>
          <w:lang w:val="en_US" w:bidi="en_US"/>
        </w:rPr>
      </w:r>
      <w:r>
        <w:rPr>
          <w:b/>
          <w:lang w:val="en_US" w:bidi="en_US"/>
        </w:rPr>
        <w:t>and you will have:</w:t>
      </w:r>
      <w:r>
        <w:rPr>
          <w:lang w:val="en_US" w:bidi="en_US"/>
        </w:rPr>
        <w:t xml:space="preserve"> The clause in 18:22d is the result of 18:22c. If the man did as Jesus told him in 18:22c, he would have treasure in heaven. Some other ways to translate this connection are:</w:t>
      </w:r>
    </w:p>
    <w:p>
      <w:pPr/>
      <w:r>
        <w:rPr>
          <w:lang w:val="en_US" w:bidi="en_US"/>
        </w:rPr>
      </w:r>
      <w:r>
        <w:rPr>
          <w:lang w:val="en_US" w:bidi="en_US"/>
        </w:rPr>
        <w:t>Then you will have…</w:t>
      </w:r>
    </w:p>
    <w:p>
      <w:pPr/>
      <w:r>
        <w:rPr>
          <w:lang w:val="en_US" w:bidi="en_US"/>
        </w:rPr>
      </w:r>
      <w:r>
        <w:rPr>
          <w:lang w:val="en_US" w:bidi="en_US"/>
        </w:rPr>
        <w:t>If you do</w:t>
      </w:r>
      <w:r>
        <w:rPr>
          <w:lang w:val="en_US" w:bidi="en_US"/>
        </w:rPr>
        <w:t xml:space="preserve"> that, you will have…</w:t>
      </w:r>
    </w:p>
    <w:p>
      <w:pPr/>
      <w:r>
        <w:rPr>
          <w:lang w:val="en_US" w:bidi="en_US"/>
        </w:rPr>
      </w:r>
      <w:r>
        <w:rPr>
          <w:lang w:val="en_US" w:bidi="en_US"/>
        </w:rPr>
        <w:t>As a result, you will have…</w:t>
      </w:r>
    </w:p>
    <w:p>
      <w:pPr/>
      <w:r>
        <w:rPr>
          <w:lang w:val="en_US" w:bidi="en_US"/>
        </w:rPr>
      </w:r>
      <w:r>
        <w:rPr>
          <w:b/>
          <w:lang w:val="en_US" w:bidi="en_US"/>
        </w:rPr>
        <w:t>you will have treasure in heaven:</w:t>
      </w:r>
      <w:r>
        <w:rPr>
          <w:lang w:val="en_US" w:bidi="en_US"/>
        </w:rPr>
        <w:t xml:space="preserve"> The clause </w:t>
      </w:r>
      <w:r>
        <w:rPr>
          <w:i/>
          <w:lang w:val="en_US" w:bidi="en_US"/>
        </w:rPr>
        <w:t>you will have treasure in heaven</w:t>
      </w:r>
      <w:r>
        <w:rPr>
          <w:lang w:val="en_US" w:bidi="en_US"/>
        </w:rPr>
        <w:t xml:space="preserve"> implies that God would reward the ruler for giving his earthly wealth to poor people. That reward would be a treasure in heaven.</w:t>
      </w:r>
    </w:p>
    <w:p>
      <w:pPr/>
      <w:r>
        <w:rPr>
          <w:lang w:val="en_US" w:bidi="en_US"/>
        </w:rPr>
      </w:r>
      <w:r>
        <w:rPr>
          <w:lang w:val="en_US" w:bidi="en_US"/>
        </w:rPr>
        <w:t>Your translation should not imply that God would simply take the same money that was given to poor people and put it in heaven. One way to avoid that wrong meaning is to indicate that the treasure in heaven is a reward. For example:</w:t>
      </w:r>
    </w:p>
    <w:p>
      <w:pPr/>
      <w:r>
        <w:rPr>
          <w:lang w:val="en_US" w:bidi="en_US"/>
        </w:rPr>
      </w:r>
      <w:r>
        <w:rPr>
          <w:lang w:val="en_US" w:bidi="en_US"/>
        </w:rPr>
        <w:t>As a result, God will reward</w:t>
      </w:r>
      <w:r>
        <w:rPr>
          <w:lang w:val="en_US" w:bidi="en_US"/>
        </w:rPr>
        <w:t xml:space="preserve"> you with treasure in heaven.</w:t>
      </w:r>
    </w:p>
    <w:p>
      <w:pPr/>
      <w:r>
        <w:rPr>
          <w:lang w:val="en_US" w:bidi="en_US"/>
        </w:rPr>
      </w:r>
      <w:r>
        <w:rPr>
          <w:b/>
          <w:lang w:val="en_US" w:bidi="en_US"/>
        </w:rPr>
        <w:t>treasure in heaven:</w:t>
      </w:r>
      <w:r>
        <w:rPr>
          <w:lang w:val="en_US" w:bidi="en_US"/>
        </w:rPr>
        <w:t xml:space="preserve"> The Greek word that the BSB translates as </w:t>
      </w:r>
      <w:r>
        <w:rPr>
          <w:i/>
          <w:lang w:val="en_US" w:bidi="en_US"/>
        </w:rPr>
        <w:t>treasure</w:t>
      </w:r>
      <w:r>
        <w:rPr>
          <w:lang w:val="en_US" w:bidi="en_US"/>
        </w:rPr>
        <w:t xml:space="preserve"> refers to something that has great value. This word is often used to refer to wealth or riches. Jesus did not say what the </w:t>
      </w:r>
      <w:r>
        <w:rPr>
          <w:i/>
          <w:lang w:val="en_US" w:bidi="en_US"/>
        </w:rPr>
        <w:t>treasure in heaven</w:t>
      </w:r>
      <w:r>
        <w:rPr>
          <w:lang w:val="en_US" w:bidi="en_US"/>
        </w:rPr>
        <w:t xml:space="preserve"> would be. This phrase implies blessings that are greater than literal money.</w:t>
      </w:r>
    </w:p>
    <w:p>
      <w:pPr/>
      <w:r>
        <w:rPr>
          <w:lang w:val="en_US" w:bidi="en_US"/>
        </w:rPr>
      </w:r>
      <w:r>
        <w:rPr>
          <w:lang w:val="en_US" w:bidi="en_US"/>
        </w:rPr>
        <w:t xml:space="preserve">The phrase </w:t>
      </w:r>
      <w:r>
        <w:rPr>
          <w:i/>
          <w:lang w:val="en_US" w:bidi="en_US"/>
        </w:rPr>
        <w:t>treasure in heaven</w:t>
      </w:r>
      <w:r>
        <w:rPr>
          <w:lang w:val="en_US" w:bidi="en_US"/>
        </w:rPr>
        <w:t xml:space="preserve"> also occurred in 12:33.</w:t>
      </w:r>
    </w:p>
    <w:p>
      <w:pPr/>
      <w:r>
        <w:rPr>
          <w:lang w:val="en_US" w:bidi="en_US"/>
        </w:rPr>
      </w:r>
      <w:r>
        <w:rPr>
          <w:b/>
          <w:lang w:val="en_US" w:bidi="en_US"/>
        </w:rPr>
        <w:t>heaven:</w:t>
      </w:r>
      <w:r>
        <w:rPr>
          <w:lang w:val="en_US" w:bidi="en_US"/>
        </w:rPr>
        <w:t xml:space="preserve"> Here the word </w:t>
      </w:r>
      <w:r>
        <w:rPr>
          <w:i/>
          <w:lang w:val="en_US" w:bidi="en_US"/>
        </w:rPr>
        <w:t>heaven</w:t>
      </w:r>
      <w:r>
        <w:rPr>
          <w:lang w:val="en_US" w:bidi="en_US"/>
        </w:rPr>
        <w:t xml:space="preserve"> refers to the place where God lives. It is also the place where believers will live with God after they die. See heaven, Meaning 2, in the Glossary.</w:t>
      </w:r>
    </w:p>
    <w:p>
      <w:pPr>
        <w:pStyle w:val="Heading5"/>
      </w:pPr>
      <w:r>
        <w:rPr>
          <w:lang w:val="en_US" w:bidi="en_US"/>
        </w:rPr>
        <w:t>18:22e</w:t>
      </w:r>
    </w:p>
    <w:p>
      <w:pPr/>
      <w:r>
        <w:rPr>
          <w:lang w:val="en_US" w:bidi="en_US"/>
        </w:rPr>
      </w:r>
      <w:r>
        <w:rPr>
          <w:b/>
          <w:lang w:val="en_US" w:bidi="en_US"/>
        </w:rPr>
        <w:t>Then come, follow Me.”</w:t>
      </w:r>
    </w:p>
    <w:p>
      <w:pPr>
        <w:pStyle w:val="ListBullet"/>
        <w:spacing w:line="240" w:lineRule="auto"/>
        <w:ind w:left="720"/>
      </w:pPr>
      <w:r>
        <w:rPr>
          <w:lang w:val="en_US" w:bidi="en_US"/>
        </w:rPr>
      </w:r>
      <w:r>
        <w:rPr>
          <w:lang w:val="en_US" w:bidi="en_US"/>
        </w:rPr>
        <w:t>After that, come</w:t>
      </w:r>
      <w:r>
        <w:rPr>
          <w:vertAlign w:val="superscript"/>
          <w:lang w:val="en_US" w:bidi="en_US"/>
        </w:rPr>
        <w:t>(sing)</w:t>
      </w:r>
      <w:r>
        <w:rPr>
          <w:lang w:val="en_US" w:bidi="en_US"/>
        </w:rPr>
        <w:t xml:space="preserve"> and follow me.”</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w:t>
      </w:r>
      <w:r>
        <w:rPr>
          <w:lang w:val="en_US" w:bidi="en_US"/>
        </w:rPr>
        <w:t>have done this,</w:t>
      </w:r>
      <w:r>
        <w:rPr>
          <w:lang w:val="en_US" w:bidi="en_US"/>
        </w:rPr>
        <w:t xml:space="preserve"> return </w:t>
      </w:r>
      <w:r>
        <w:rPr>
          <w:lang w:val="en_US" w:bidi="en_US"/>
        </w:rPr>
        <w:t>to me</w:t>
      </w:r>
      <w:r>
        <w:rPr>
          <w:lang w:val="en_US" w:bidi="en_US"/>
        </w:rPr>
        <w:t xml:space="preserve"> and be my disciple.”</w:t>
      </w:r>
    </w:p>
    <w:p>
      <w:pPr/>
      <w:r>
        <w:rPr>
          <w:lang w:val="en_US" w:bidi="en_US"/>
        </w:rPr>
      </w:r>
      <w:r>
        <w:rPr>
          <w:b/>
          <w:lang w:val="en_US" w:bidi="en_US"/>
        </w:rPr>
        <w:t>Then come, follow Me:</w:t>
      </w:r>
      <w:r>
        <w:rPr>
          <w:lang w:val="en_US" w:bidi="en_US"/>
        </w:rPr>
        <w:t xml:space="preserve"> The commands </w:t>
      </w:r>
      <w:r>
        <w:rPr>
          <w:i/>
          <w:lang w:val="en_US" w:bidi="en_US"/>
        </w:rPr>
        <w:t>Then come, follow Me</w:t>
      </w:r>
      <w:r>
        <w:rPr>
          <w:lang w:val="en_US" w:bidi="en_US"/>
        </w:rPr>
        <w:t xml:space="preserve"> indicate that after the ruler had given away his possessions, he should return to Jesus and become his disciple. Another way to translate this is:</w:t>
      </w:r>
    </w:p>
    <w:p>
      <w:pPr/>
      <w:r>
        <w:rPr>
          <w:lang w:val="en_US" w:bidi="en_US"/>
        </w:rPr>
      </w:r>
      <w:r>
        <w:rPr>
          <w:lang w:val="en_US" w:bidi="en_US"/>
        </w:rPr>
        <w:t>Then return to me, and be/become my disciple.</w:t>
      </w:r>
    </w:p>
    <w:p>
      <w:pPr/>
      <w:r>
        <w:rPr>
          <w:lang w:val="en_US" w:bidi="en_US"/>
        </w:rPr>
      </w:r>
      <w:r>
        <w:rPr>
          <w:lang w:val="en_US" w:bidi="en_US"/>
        </w:rPr>
        <w:t xml:space="preserve">The word </w:t>
      </w:r>
      <w:r>
        <w:rPr>
          <w:i/>
          <w:lang w:val="en_US" w:bidi="en_US"/>
        </w:rPr>
        <w:t>follow</w:t>
      </w:r>
      <w:r>
        <w:rPr>
          <w:lang w:val="en_US" w:bidi="en_US"/>
        </w:rPr>
        <w:t xml:space="preserve"> also occurred in 5:27.</w:t>
      </w:r>
      <w:r>
        <w:rPr>
          <w:lang w:val="en_US" w:bidi="en_US"/>
        </w:rPr>
      </w:r>
      <w:r>
        <w:rPr>
          <w:lang w:val="en_US" w:bidi="en_US"/>
        </w:rPr>
      </w:r>
    </w:p>
    <w:p>
      <w:pPr/>
      <w:r>
        <w:rPr>
          <w:lang w:val="en_US" w:bidi="en_US"/>
        </w:rPr>
      </w:r>
    </w:p>
    <w:p>
      <w:pPr>
        <w:pStyle w:val="Heading2"/>
      </w:pPr>
      <w:r>
        <w:rPr>
          <w:lang w:val="en_US" w:bidi="en_US"/>
        </w:rPr>
        <w:t>Luke 18:23</w:t>
      </w:r>
      <w:r>
        <w:rPr>
          <w:lang w:val="en_US" w:bidi="en_US"/>
        </w:rPr>
      </w:r>
    </w:p>
    <w:p>
      <w:pPr>
        <w:pStyle w:val="Heading4"/>
      </w:pPr>
      <w:r>
        <w:rPr>
          <w:lang w:val="en_US" w:bidi="en_US"/>
        </w:rPr>
        <w:t>Section 18:18–30: It is hard for rich people to enter God’s kingdom</w:t>
      </w:r>
    </w:p>
    <w:p>
      <w:pPr/>
      <w:r>
        <w:rPr>
          <w:lang w:val="en_US" w:bidi="en_US"/>
        </w:rPr>
      </w:r>
      <w:r>
        <w:rPr>
          <w:lang w:val="en_US" w:bidi="en_US"/>
        </w:rP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pPr/>
      <w:r>
        <w:rPr>
          <w:lang w:val="en_US" w:bidi="en_US"/>
        </w:rPr>
      </w:r>
      <w:r>
        <w:rPr>
          <w:lang w:val="en_US" w:bidi="en_US"/>
        </w:rP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pPr/>
      <w:r>
        <w:rPr>
          <w:lang w:val="en_US" w:bidi="en_US"/>
        </w:rPr>
      </w:r>
      <w:r>
        <w:rPr>
          <w:lang w:val="en_US" w:bidi="en_US"/>
        </w:rPr>
        <w:t>At the end of the section Jesus promised that people who left their possessions and family behind to serve him would receive great rewards.</w:t>
      </w:r>
    </w:p>
    <w:p>
      <w:pPr/>
      <w:r>
        <w:rPr>
          <w:lang w:val="en_US" w:bidi="en_US"/>
        </w:rPr>
      </w:r>
      <w:r>
        <w:rPr>
          <w:lang w:val="en_US" w:bidi="en_US"/>
        </w:rPr>
        <w:t>Other examples of headings for this section are:</w:t>
      </w:r>
    </w:p>
    <w:p>
      <w:pPr/>
      <w:r>
        <w:rPr>
          <w:lang w:val="en_US" w:bidi="en_US"/>
        </w:rPr>
      </w:r>
      <w:r>
        <w:rPr>
          <w:lang w:val="en_US" w:bidi="en_US"/>
        </w:rPr>
        <w:t>Jesus taught that riches make it difficult to obtain eternal life</w:t>
      </w:r>
    </w:p>
    <w:p>
      <w:pPr/>
      <w:r>
        <w:rPr>
          <w:lang w:val="en_US" w:bidi="en_US"/>
        </w:rPr>
      </w:r>
      <w:r>
        <w:rPr>
          <w:lang w:val="en_US" w:bidi="en_US"/>
        </w:rPr>
        <w:t>A Rich Man’s Question (NCV)</w:t>
      </w:r>
    </w:p>
    <w:p>
      <w:pPr/>
      <w:r>
        <w:rPr>
          <w:lang w:val="en_US" w:bidi="en_US"/>
        </w:rPr>
      </w:r>
      <w:r>
        <w:rPr>
          <w:lang w:val="en_US" w:bidi="en_US"/>
        </w:rPr>
        <w:t>The rich young man (NJB)</w:t>
      </w:r>
    </w:p>
    <w:p>
      <w:pPr/>
      <w:r>
        <w:rPr>
          <w:lang w:val="en_US" w:bidi="en_US"/>
        </w:rPr>
      </w:r>
      <w:r>
        <w:rPr>
          <w:lang w:val="en_US" w:bidi="en_US"/>
        </w:rPr>
        <w:t>There are parallel passages for this section in Matthew 19:16–30 and Mark 10:17–31.</w:t>
      </w:r>
    </w:p>
    <w:p>
      <w:pPr>
        <w:pStyle w:val="Heading5"/>
      </w:pPr>
      <w:r>
        <w:rPr>
          <w:lang w:val="en_US" w:bidi="en_US"/>
        </w:rPr>
        <w:t>18:23a</w:t>
      </w:r>
    </w:p>
    <w:p>
      <w:pPr/>
      <w:r>
        <w:rPr>
          <w:lang w:val="en_US" w:bidi="en_US"/>
        </w:rPr>
      </w:r>
      <w:r>
        <w:rPr>
          <w:b/>
          <w:lang w:val="en_US" w:bidi="en_US"/>
        </w:rPr>
        <w:t>But when the ruler heard this, he became very sad,</w:t>
      </w:r>
    </w:p>
    <w:p>
      <w:pPr>
        <w:pStyle w:val="ListBullet"/>
        <w:spacing w:line="240" w:lineRule="auto"/>
        <w:ind w:left="720"/>
      </w:pPr>
      <w:r>
        <w:rPr>
          <w:lang w:val="en_US" w:bidi="en_US"/>
        </w:rPr>
      </w:r>
      <w:r>
        <w:rPr>
          <w:lang w:val="en_US" w:bidi="en_US"/>
        </w:rPr>
        <w:t>¶ When the leader heard that, he was very sad/disappointed,</w:t>
      </w:r>
    </w:p>
    <w:p>
      <w:pPr>
        <w:pStyle w:val="ListBullet"/>
        <w:spacing w:line="240" w:lineRule="auto"/>
        <w:ind w:left="720"/>
      </w:pPr>
      <w:r>
        <w:rPr>
          <w:lang w:val="en_US" w:bidi="en_US"/>
        </w:rPr>
      </w:r>
      <w:r>
        <w:rPr>
          <w:lang w:val="en_US" w:bidi="en_US"/>
        </w:rPr>
        <w:t>¶ The leader became dejected/unhappy because of what Jesus said,</w:t>
      </w:r>
    </w:p>
    <w:p>
      <w:pPr>
        <w:pStyle w:val="ListBullet"/>
        <w:spacing w:line="240" w:lineRule="auto"/>
        <w:ind w:left="720"/>
      </w:pPr>
      <w:r>
        <w:rPr>
          <w:lang w:val="en_US" w:bidi="en_US"/>
        </w:rPr>
      </w:r>
      <w:r>
        <w:rPr>
          <w:lang w:val="en_US" w:bidi="en_US"/>
        </w:rPr>
        <w:t>¶ Jesus’ words saddened/disappointed the man,</w:t>
      </w:r>
    </w:p>
    <w:p>
      <w:pPr/>
      <w:r>
        <w:rPr>
          <w:lang w:val="en_US" w:bidi="en_US"/>
        </w:rPr>
      </w:r>
      <w:r>
        <w:rPr>
          <w:b/>
          <w:lang w:val="en_US" w:bidi="en_US"/>
        </w:rPr>
        <w:t>But when the ruler heard this, he became very sad:</w:t>
      </w:r>
      <w:r>
        <w:rPr>
          <w:lang w:val="en_US" w:bidi="en_US"/>
        </w:rPr>
        <w:t xml:space="preserve"> The Greek phrase that the BSB translates as </w:t>
      </w:r>
      <w:r>
        <w:rPr>
          <w:i/>
          <w:lang w:val="en_US" w:bidi="en_US"/>
        </w:rPr>
        <w:t>when the ruler heard this</w:t>
      </w:r>
      <w:r>
        <w:rPr>
          <w:lang w:val="en_US" w:bidi="en_US"/>
        </w:rPr>
        <w:t xml:space="preserve"> is literally “having-heard these things.” As in 18:22a, in some languages it may not be natural to say </w:t>
      </w:r>
      <w:r>
        <w:rPr>
          <w:i/>
          <w:lang w:val="en_US" w:bidi="en_US"/>
        </w:rPr>
        <w:t>the ruler heard</w:t>
      </w:r>
      <w:r>
        <w:rPr>
          <w:lang w:val="en_US" w:bidi="en_US"/>
        </w:rPr>
        <w:t xml:space="preserve"> here because it is already obvious from the context. If that is true in your language, you may leave it implied. You may also choose not to translate the Greek conjunction that the BSB translates as </w:t>
      </w:r>
      <w:r>
        <w:rPr>
          <w:i/>
          <w:lang w:val="en_US" w:bidi="en_US"/>
        </w:rPr>
        <w:t>But</w:t>
      </w:r>
      <w:r>
        <w:rPr>
          <w:lang w:val="en_US" w:bidi="en_US"/>
        </w:rPr>
        <w:t>. For example:</w:t>
      </w:r>
    </w:p>
    <w:p>
      <w:pPr/>
      <w:r>
        <w:rPr>
          <w:lang w:val="en_US" w:bidi="en_US"/>
        </w:rPr>
      </w:r>
      <w:r>
        <w:rPr>
          <w:lang w:val="en_US" w:bidi="en_US"/>
        </w:rPr>
        <w:t>These words caused him to feel very sad</w:t>
      </w:r>
    </w:p>
    <w:p>
      <w:pPr/>
      <w:r>
        <w:rPr>
          <w:lang w:val="en_US" w:bidi="en_US"/>
        </w:rPr>
      </w:r>
      <w:r>
        <w:rPr>
          <w:lang w:val="en_US" w:bidi="en_US"/>
        </w:rPr>
        <w:t>Jesus’ response/answer made him very sad</w:t>
      </w:r>
    </w:p>
    <w:p>
      <w:pPr/>
      <w:r>
        <w:rPr>
          <w:lang w:val="en_US" w:bidi="en_US"/>
        </w:rPr>
      </w:r>
      <w:r>
        <w:rPr>
          <w:lang w:val="en_US" w:bidi="en_US"/>
        </w:rPr>
        <w:t>When/After Jesus said that, he was very sad</w:t>
      </w:r>
    </w:p>
    <w:p>
      <w:pPr/>
      <w:r>
        <w:rPr>
          <w:lang w:val="en_US" w:bidi="en_US"/>
        </w:rPr>
      </w:r>
      <w:r>
        <w:rPr>
          <w:b/>
          <w:lang w:val="en_US" w:bidi="en_US"/>
        </w:rPr>
        <w:t>he became very sad:</w:t>
      </w:r>
      <w:r>
        <w:rPr>
          <w:lang w:val="en_US" w:bidi="en_US"/>
        </w:rPr>
        <w:t xml:space="preserve"> The words </w:t>
      </w:r>
      <w:r>
        <w:rPr>
          <w:i/>
          <w:lang w:val="en_US" w:bidi="en_US"/>
        </w:rPr>
        <w:t>very sad</w:t>
      </w:r>
      <w:r>
        <w:rPr>
          <w:lang w:val="en_US" w:bidi="en_US"/>
        </w:rPr>
        <w:t xml:space="preserve"> here indicate that he was distressed and grieved. The man was sad because he did not want to give away what he owned. He thought that it was too hard to do what Jesus had said.</w:t>
      </w:r>
    </w:p>
    <w:p>
      <w:pPr/>
      <w:r>
        <w:rPr>
          <w:lang w:val="en_US" w:bidi="en_US"/>
        </w:rPr>
      </w:r>
      <w:r>
        <w:rPr>
          <w:lang w:val="en_US" w:bidi="en_US"/>
        </w:rPr>
        <w:t>In some languages there may be an idiom to express this. For example:</w:t>
      </w:r>
    </w:p>
    <w:p>
      <w:pPr/>
      <w:r>
        <w:rPr>
          <w:lang w:val="en_US" w:bidi="en_US"/>
        </w:rPr>
      </w:r>
      <w:r>
        <w:rPr>
          <w:lang w:val="en_US" w:bidi="en_US"/>
        </w:rPr>
        <w:t>his heart sank (REB)</w:t>
      </w:r>
    </w:p>
    <w:p>
      <w:pPr>
        <w:pStyle w:val="Heading5"/>
      </w:pPr>
      <w:r>
        <w:rPr>
          <w:lang w:val="en_US" w:bidi="en_US"/>
        </w:rPr>
        <w:t>18:23b</w:t>
      </w:r>
    </w:p>
    <w:p>
      <w:pPr/>
      <w:r>
        <w:rPr>
          <w:lang w:val="en_US" w:bidi="en_US"/>
        </w:rPr>
      </w:r>
      <w:r>
        <w:rPr>
          <w:b/>
          <w:lang w:val="en_US" w:bidi="en_US"/>
        </w:rPr>
        <w:t>because he was extremely wealthy.</w:t>
      </w:r>
    </w:p>
    <w:p>
      <w:pPr>
        <w:pStyle w:val="ListBullet"/>
        <w:spacing w:line="240" w:lineRule="auto"/>
        <w:ind w:left="720"/>
      </w:pPr>
      <w:r>
        <w:rPr>
          <w:lang w:val="en_US" w:bidi="en_US"/>
        </w:rPr>
      </w:r>
      <w:r>
        <w:rPr>
          <w:lang w:val="en_US" w:bidi="en_US"/>
        </w:rPr>
        <w:t>because he was an extremely wealthy man.</w:t>
      </w:r>
    </w:p>
    <w:p>
      <w:pPr>
        <w:pStyle w:val="ListBullet"/>
        <w:spacing w:line="240" w:lineRule="auto"/>
        <w:ind w:left="720"/>
      </w:pPr>
      <w:r>
        <w:rPr>
          <w:lang w:val="en_US" w:bidi="en_US"/>
        </w:rPr>
      </w:r>
      <w:r>
        <w:rPr>
          <w:lang w:val="en_US" w:bidi="en_US"/>
        </w:rPr>
        <w:t xml:space="preserve">for the leader was very rich </w:t>
      </w:r>
      <w:r>
        <w:rPr>
          <w:lang w:val="en_US" w:bidi="en_US"/>
        </w:rPr>
        <w:t>and did not want to give away what he had</w:t>
      </w:r>
      <w:r>
        <w:rPr>
          <w:lang w:val="en_US" w:bidi="en_US"/>
        </w:rPr>
        <w:t>.</w:t>
      </w:r>
    </w:p>
    <w:p>
      <w:pPr>
        <w:pStyle w:val="ListBullet"/>
        <w:spacing w:line="240" w:lineRule="auto"/>
        <w:ind w:left="720"/>
      </w:pPr>
      <w:r>
        <w:rPr>
          <w:lang w:val="en_US" w:bidi="en_US"/>
        </w:rPr>
      </w:r>
      <w:r>
        <w:rPr>
          <w:lang w:val="en_US" w:bidi="en_US"/>
        </w:rPr>
        <w:t xml:space="preserve">because </w:t>
      </w:r>
      <w:r>
        <w:rPr>
          <w:lang w:val="en_US" w:bidi="en_US"/>
        </w:rPr>
        <w:t>he did not want to sell</w:t>
      </w:r>
      <w:r>
        <w:rPr>
          <w:lang w:val="en_US" w:bidi="en_US"/>
        </w:rPr>
        <w:t xml:space="preserve"> his many possessions.</w:t>
      </w:r>
    </w:p>
    <w:p>
      <w:pPr/>
      <w:r>
        <w:rPr>
          <w:lang w:val="en_US" w:bidi="en_US"/>
        </w:rPr>
      </w:r>
      <w:r>
        <w:rPr>
          <w:b/>
          <w:lang w:val="en_US" w:bidi="en_US"/>
        </w:rPr>
        <w:t>because he was extremely wealthy:</w:t>
      </w:r>
      <w:r>
        <w:rPr>
          <w:lang w:val="en_US" w:bidi="en_US"/>
        </w:rPr>
        <w:t xml:space="preserve"> The conjunction </w:t>
      </w:r>
      <w:r>
        <w:rPr>
          <w:i/>
          <w:lang w:val="en_US" w:bidi="en_US"/>
        </w:rPr>
        <w:t>because</w:t>
      </w:r>
      <w:r>
        <w:rPr>
          <w:lang w:val="en_US" w:bidi="en_US"/>
        </w:rPr>
        <w:t xml:space="preserve"> introduces the reason why the ruler felt sad. However, there is some implied information here. The man did not want to sell all that he had because he loved his possessions. In some languages it may be necessary to make this explicit. For example:</w:t>
      </w:r>
    </w:p>
    <w:p>
      <w:pPr/>
      <w:r>
        <w:rPr>
          <w:lang w:val="en_US" w:bidi="en_US"/>
        </w:rPr>
      </w:r>
      <w:r>
        <w:rPr>
          <w:lang w:val="en_US" w:bidi="en_US"/>
        </w:rPr>
        <w:t xml:space="preserve">because </w:t>
      </w:r>
      <w:r>
        <w:rPr>
          <w:lang w:val="en_US" w:bidi="en_US"/>
        </w:rPr>
        <w:t>he did not want to give away</w:t>
      </w:r>
      <w:r>
        <w:rPr>
          <w:lang w:val="en_US" w:bidi="en_US"/>
        </w:rPr>
        <w:t xml:space="preserve"> his great wealth</w:t>
      </w:r>
    </w:p>
    <w:p>
      <w:pPr/>
      <w:r>
        <w:rPr>
          <w:lang w:val="en_US" w:bidi="en_US"/>
        </w:rPr>
      </w:r>
      <w:r>
        <w:rPr>
          <w:lang w:val="en_US" w:bidi="en_US"/>
        </w:rPr>
        <w:t xml:space="preserve">because </w:t>
      </w:r>
      <w:r>
        <w:rPr>
          <w:lang w:val="en_US" w:bidi="en_US"/>
        </w:rPr>
        <w:t>it was hard for him to think of selling</w:t>
      </w:r>
      <w:r>
        <w:rPr>
          <w:lang w:val="en_US" w:bidi="en_US"/>
        </w:rPr>
        <w:t xml:space="preserve"> his many valuable possessions</w:t>
      </w:r>
    </w:p>
    <w:p>
      <w:pPr/>
      <w:r>
        <w:rPr>
          <w:lang w:val="en_US" w:bidi="en_US"/>
        </w:rPr>
      </w:r>
      <w:r>
        <w:rPr>
          <w:b/>
          <w:lang w:val="en_US" w:bidi="en_US"/>
        </w:rPr>
        <w:t>he was extremely wealthy:</w:t>
      </w:r>
      <w:r>
        <w:rPr>
          <w:lang w:val="en_US" w:bidi="en_US"/>
        </w:rPr>
        <w:t xml:space="preserve"> The Greek phrase that the BSB translates as </w:t>
      </w:r>
      <w:r>
        <w:rPr>
          <w:i/>
          <w:lang w:val="en_US" w:bidi="en_US"/>
        </w:rPr>
        <w:t>he was extremely wealthy</w:t>
      </w:r>
      <w:r>
        <w:rPr>
          <w:lang w:val="en_US" w:bidi="en_US"/>
        </w:rPr>
        <w:t xml:space="preserve"> indicates that he owned many valuable things. These may have included houses, land, and animals as well as other possessions. Other ways to translate this are:</w:t>
      </w:r>
    </w:p>
    <w:p>
      <w:pPr/>
      <w:r>
        <w:rPr>
          <w:lang w:val="en_US" w:bidi="en_US"/>
        </w:rPr>
      </w:r>
      <w:r>
        <w:rPr>
          <w:lang w:val="en_US" w:bidi="en_US"/>
        </w:rPr>
        <w:t>he was very rich (GW)</w:t>
      </w:r>
    </w:p>
    <w:p>
      <w:pPr/>
      <w:r>
        <w:rPr>
          <w:lang w:val="en_US" w:bidi="en_US"/>
        </w:rPr>
      </w:r>
      <w:r>
        <w:rPr>
          <w:lang w:val="en_US" w:bidi="en_US"/>
        </w:rPr>
        <w:t>he had many possessions</w:t>
      </w:r>
      <w:r>
        <w:rPr>
          <w:lang w:val="en_US" w:bidi="en_US"/>
        </w:rPr>
      </w:r>
      <w:r>
        <w:rPr>
          <w:lang w:val="en_US" w:bidi="en_US"/>
        </w:rPr>
      </w:r>
    </w:p>
    <w:p>
      <w:pPr/>
      <w:r>
        <w:rPr>
          <w:lang w:val="en_US" w:bidi="en_US"/>
        </w:rPr>
      </w:r>
    </w:p>
    <w:p>
      <w:pPr>
        <w:pStyle w:val="Heading2"/>
      </w:pPr>
      <w:r>
        <w:rPr>
          <w:lang w:val="en_US" w:bidi="en_US"/>
        </w:rPr>
        <w:t>Luke 18:24</w:t>
      </w:r>
      <w:r>
        <w:rPr>
          <w:lang w:val="en_US" w:bidi="en_US"/>
        </w:rPr>
      </w:r>
    </w:p>
    <w:p>
      <w:pPr>
        <w:pStyle w:val="Heading4"/>
      </w:pPr>
      <w:r>
        <w:rPr>
          <w:lang w:val="en_US" w:bidi="en_US"/>
        </w:rPr>
        <w:t>Section 18:18–30: It is hard for rich people to enter God’s kingdom</w:t>
      </w:r>
    </w:p>
    <w:p>
      <w:pPr/>
      <w:r>
        <w:rPr>
          <w:lang w:val="en_US" w:bidi="en_US"/>
        </w:rPr>
      </w:r>
      <w:r>
        <w:rPr>
          <w:lang w:val="en_US" w:bidi="en_US"/>
        </w:rP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pPr/>
      <w:r>
        <w:rPr>
          <w:lang w:val="en_US" w:bidi="en_US"/>
        </w:rPr>
      </w:r>
      <w:r>
        <w:rPr>
          <w:lang w:val="en_US" w:bidi="en_US"/>
        </w:rP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pPr/>
      <w:r>
        <w:rPr>
          <w:lang w:val="en_US" w:bidi="en_US"/>
        </w:rPr>
      </w:r>
      <w:r>
        <w:rPr>
          <w:lang w:val="en_US" w:bidi="en_US"/>
        </w:rPr>
        <w:t>At the end of the section Jesus promised that people who left their possessions and family behind to serve him would receive great rewards.</w:t>
      </w:r>
    </w:p>
    <w:p>
      <w:pPr/>
      <w:r>
        <w:rPr>
          <w:lang w:val="en_US" w:bidi="en_US"/>
        </w:rPr>
      </w:r>
      <w:r>
        <w:rPr>
          <w:lang w:val="en_US" w:bidi="en_US"/>
        </w:rPr>
        <w:t>Other examples of headings for this section are:</w:t>
      </w:r>
    </w:p>
    <w:p>
      <w:pPr/>
      <w:r>
        <w:rPr>
          <w:lang w:val="en_US" w:bidi="en_US"/>
        </w:rPr>
      </w:r>
      <w:r>
        <w:rPr>
          <w:lang w:val="en_US" w:bidi="en_US"/>
        </w:rPr>
        <w:t>Jesus taught that riches make it difficult to obtain eternal life</w:t>
      </w:r>
    </w:p>
    <w:p>
      <w:pPr/>
      <w:r>
        <w:rPr>
          <w:lang w:val="en_US" w:bidi="en_US"/>
        </w:rPr>
      </w:r>
      <w:r>
        <w:rPr>
          <w:lang w:val="en_US" w:bidi="en_US"/>
        </w:rPr>
        <w:t>A Rich Man’s Question (NCV)</w:t>
      </w:r>
    </w:p>
    <w:p>
      <w:pPr/>
      <w:r>
        <w:rPr>
          <w:lang w:val="en_US" w:bidi="en_US"/>
        </w:rPr>
      </w:r>
      <w:r>
        <w:rPr>
          <w:lang w:val="en_US" w:bidi="en_US"/>
        </w:rPr>
        <w:t>The rich young man (NJB)</w:t>
      </w:r>
    </w:p>
    <w:p>
      <w:pPr/>
      <w:r>
        <w:rPr>
          <w:lang w:val="en_US" w:bidi="en_US"/>
        </w:rPr>
      </w:r>
      <w:r>
        <w:rPr>
          <w:lang w:val="en_US" w:bidi="en_US"/>
        </w:rPr>
        <w:t>There are parallel passages for this section in Matthew 19:16–30 and Mark 10:17–31.</w:t>
      </w:r>
    </w:p>
    <w:p>
      <w:pPr>
        <w:pStyle w:val="Heading5"/>
      </w:pPr>
      <w:r>
        <w:rPr>
          <w:lang w:val="en_US" w:bidi="en_US"/>
        </w:rPr>
        <w:t>18:24a</w:t>
      </w:r>
    </w:p>
    <w:p>
      <w:pPr/>
      <w:r>
        <w:rPr>
          <w:lang w:val="en_US" w:bidi="en_US"/>
        </w:rPr>
      </w:r>
      <w:r>
        <w:rPr>
          <w:b/>
          <w:lang w:val="en_US" w:bidi="en_US"/>
        </w:rPr>
        <w:t>Seeing the man’s sadness, Jesus said,</w:t>
      </w:r>
    </w:p>
    <w:p>
      <w:pPr>
        <w:pStyle w:val="ListBullet"/>
        <w:spacing w:line="240" w:lineRule="auto"/>
        <w:ind w:left="720"/>
      </w:pPr>
      <w:r>
        <w:rPr>
          <w:lang w:val="en_US" w:bidi="en_US"/>
        </w:rPr>
      </w:r>
      <w:r>
        <w:rPr>
          <w:lang w:val="en_US" w:bidi="en_US"/>
        </w:rPr>
        <w:t>Jesus saw that the leader was sad/disappointed, and he said,</w:t>
      </w:r>
    </w:p>
    <w:p>
      <w:pPr>
        <w:pStyle w:val="ListBullet"/>
        <w:spacing w:line="240" w:lineRule="auto"/>
        <w:ind w:left="720"/>
      </w:pPr>
      <w:r>
        <w:rPr>
          <w:lang w:val="en_US" w:bidi="en_US"/>
        </w:rPr>
      </w:r>
      <w:r>
        <w:rPr>
          <w:lang w:val="en_US" w:bidi="en_US"/>
        </w:rPr>
        <w:t xml:space="preserve">Jesus looked at him and knew/realized that he was dejected/unhappy. Then Jesus said </w:t>
      </w:r>
      <w:r>
        <w:rPr>
          <w:lang w:val="en_US" w:bidi="en_US"/>
        </w:rPr>
        <w:t>to the people there</w:t>
      </w:r>
      <w:r>
        <w:rPr>
          <w:lang w:val="en_US" w:bidi="en_US"/>
        </w:rPr>
        <w:t>,</w:t>
      </w:r>
    </w:p>
    <w:p>
      <w:pPr>
        <w:pStyle w:val="ListBullet"/>
        <w:spacing w:line="240" w:lineRule="auto"/>
        <w:ind w:left="720"/>
      </w:pPr>
      <w:r>
        <w:rPr>
          <w:lang w:val="en_US" w:bidi="en_US"/>
        </w:rPr>
      </w:r>
      <w:r>
        <w:rPr>
          <w:lang w:val="en_US" w:bidi="en_US"/>
        </w:rPr>
        <w:t xml:space="preserve">When Jesus saw/perceived this, he said </w:t>
      </w:r>
      <w:r>
        <w:rPr>
          <w:lang w:val="en_US" w:bidi="en_US"/>
        </w:rPr>
        <w:t>to the people around him</w:t>
      </w:r>
      <w:r>
        <w:rPr>
          <w:lang w:val="en_US" w:bidi="en_US"/>
        </w:rPr>
        <w:t>,</w:t>
      </w:r>
    </w:p>
    <w:p>
      <w:pPr/>
      <w:r>
        <w:rPr>
          <w:lang w:val="en_US" w:bidi="en_US"/>
        </w:rPr>
      </w:r>
      <w:r>
        <w:rPr>
          <w:b/>
          <w:lang w:val="en_US" w:bidi="en_US"/>
        </w:rPr>
        <w:t>Seeing the man’s sadness, Jesus said:</w:t>
      </w:r>
      <w:r>
        <w:rPr>
          <w:lang w:val="en_US" w:bidi="en_US"/>
        </w:rPr>
        <w:t xml:space="preserve"> There is a textual issue in this verse:</w:t>
      </w:r>
    </w:p>
    <w:p>
      <w:pPr>
        <w:pStyle w:val="ListNumber"/>
        <w:numPr>
          <w:ilvl w:val="0"/>
          <w:numId w:val="304"/>
        </w:numPr>
        <w:spacing w:line="240" w:lineRule="auto"/>
        <w:ind w:left="720"/>
      </w:pPr>
      <w:r>
        <w:rPr>
          <w:lang w:val="en_US" w:bidi="en_US"/>
        </w:rPr>
      </w:r>
      <w:r>
        <w:rPr>
          <w:lang w:val="en_US" w:bidi="en_US"/>
        </w:rPr>
        <w:t>Some Greek manuscripts have the phrase “becoming sad.” For example:</w:t>
      </w:r>
      <w:r>
        <w:rPr>
          <w:lang w:val="en_US" w:bidi="en_US"/>
        </w:rPr>
        <w:t xml:space="preserve">Jesus saw that he was sad and said (GNT) </w:t>
      </w:r>
      <w:r>
        <w:rPr>
          <w:i/>
          <w:lang w:val="en_US" w:bidi="en_US"/>
        </w:rPr>
        <w:t>(BSB, GNT, ESV, KJV, CEV, JBP, NET, NLT, REB)</w:t>
      </w:r>
      <w:r>
        <w:rPr>
          <w:i/>
          <w:lang w:val="en_US" w:bidi="en_US"/>
        </w:rPr>
        <w:t>For those who accept this text, there is an interpretation issue: Either the man was sad or Jesus was sad. It is recommended that translators follow the interpretation that the man became sad. This is supported by many scholars and by the parallel passages in Matthew 19:22 and Mark 10:22.</w:t>
      </w:r>
    </w:p>
    <w:p>
      <w:pPr>
        <w:pStyle w:val="ListNumber"/>
        <w:spacing w:line="240" w:lineRule="auto"/>
        <w:ind w:left="720"/>
      </w:pPr>
      <w:r>
        <w:rPr>
          <w:lang w:val="en_US" w:bidi="en_US"/>
        </w:rPr>
      </w:r>
      <w:r>
        <w:rPr>
          <w:lang w:val="en_US" w:bidi="en_US"/>
        </w:rPr>
        <w:t>Some Greek manuscripts do not have this phrase. For example:</w:t>
      </w:r>
      <w:r>
        <w:rPr>
          <w:lang w:val="en_US" w:bidi="en_US"/>
        </w:rPr>
        <w:t xml:space="preserve">Jesus looking at him said (RSV) </w:t>
      </w:r>
      <w:r>
        <w:rPr>
          <w:i/>
          <w:lang w:val="en_US" w:bidi="en_US"/>
        </w:rPr>
        <w:t>(RSV, NIV, NJB, NASB, NCV, NLT96, GW)</w:t>
      </w:r>
    </w:p>
    <w:p>
      <w:pPr/>
      <w:r>
        <w:rPr>
          <w:lang w:val="en_US" w:bidi="en_US"/>
        </w:rPr>
      </w:r>
      <w:r>
        <w:rPr>
          <w:lang w:val="en_US" w:bidi="en_US"/>
        </w:rPr>
        <w:t>It is recommended you follow option (1) because more Greek manuscripts include these words.</w:t>
      </w:r>
      <w:r>
        <w:rPr>
          <w:lang w:val="en_US" w:bidi="en_US"/>
        </w:rPr>
        <w:t>The NET, NLT, and REB do not repeat the phrase but refer to it by using a pronoun like “it” or “this.” For example, the NET says, “When Jesus noticed this.” Since these versions express or at least imply the same meaning, the Notes have included them as support for interpretation (1).</w:t>
      </w:r>
      <w:r>
        <w:rPr>
          <w:lang w:val="en_US" w:bidi="en_US"/>
        </w:rPr>
        <w:t xml:space="preserve"> However, if the major language version in your area follows the other option, you may want to follow it. Whichever option you follow, you may want to mention the other option in a footnote.</w:t>
      </w:r>
    </w:p>
    <w:p>
      <w:pPr/>
      <w:r>
        <w:rPr>
          <w:lang w:val="en_US" w:bidi="en_US"/>
        </w:rPr>
      </w:r>
      <w:r>
        <w:rPr>
          <w:b/>
          <w:lang w:val="en_US" w:bidi="en_US"/>
        </w:rPr>
        <w:t>Jesus said:</w:t>
      </w:r>
      <w:r>
        <w:rPr>
          <w:lang w:val="en_US" w:bidi="en_US"/>
        </w:rPr>
        <w:t xml:space="preserve"> The text does not specify to whom Jesus spoke. It is clear from the context that his disciples were there, and probably others were also listening. In some languages it may be necessary to indicate to whom Jesus was speaking. For example:</w:t>
      </w:r>
    </w:p>
    <w:p>
      <w:pPr/>
      <w:r>
        <w:rPr>
          <w:lang w:val="en_US" w:bidi="en_US"/>
        </w:rPr>
      </w:r>
      <w:r>
        <w:rPr>
          <w:lang w:val="en_US" w:bidi="en_US"/>
        </w:rPr>
        <w:t>said to those around him</w:t>
      </w:r>
    </w:p>
    <w:p>
      <w:pPr/>
      <w:r>
        <w:rPr>
          <w:lang w:val="en_US" w:bidi="en_US"/>
        </w:rPr>
      </w:r>
      <w:r>
        <w:rPr>
          <w:lang w:val="en_US" w:bidi="en_US"/>
        </w:rPr>
        <w:t>said to the people who were there</w:t>
      </w:r>
    </w:p>
    <w:p>
      <w:pPr/>
      <w:r>
        <w:rPr>
          <w:lang w:val="en_US" w:bidi="en_US"/>
        </w:rPr>
      </w:r>
      <w:r>
        <w:rPr>
          <w:lang w:val="en_US" w:bidi="en_US"/>
        </w:rPr>
        <w:t>said to his disciples</w:t>
      </w:r>
    </w:p>
    <w:p>
      <w:pPr>
        <w:pStyle w:val="Heading5"/>
      </w:pPr>
      <w:r>
        <w:rPr>
          <w:lang w:val="en_US" w:bidi="en_US"/>
        </w:rPr>
        <w:t>18:24b</w:t>
      </w:r>
    </w:p>
    <w:p>
      <w:pPr/>
      <w:r>
        <w:rPr>
          <w:lang w:val="en_US" w:bidi="en_US"/>
        </w:rPr>
      </w:r>
      <w:r>
        <w:rPr>
          <w:b/>
          <w:lang w:val="en_US" w:bidi="en_US"/>
        </w:rPr>
        <w:t>“How hard it is for the rich to enter the kingdom of God!</w:t>
      </w:r>
    </w:p>
    <w:p>
      <w:pPr>
        <w:pStyle w:val="ListBullet"/>
        <w:spacing w:line="240" w:lineRule="auto"/>
        <w:ind w:left="720"/>
      </w:pPr>
      <w:r>
        <w:rPr>
          <w:lang w:val="en_US" w:bidi="en_US"/>
        </w:rPr>
      </w:r>
      <w:r>
        <w:rPr>
          <w:lang w:val="en_US" w:bidi="en_US"/>
        </w:rPr>
        <w:t>“Oh the struggle it is for rich people to enter God’s kingdom!</w:t>
      </w:r>
    </w:p>
    <w:p>
      <w:pPr>
        <w:pStyle w:val="ListBullet"/>
        <w:spacing w:line="240" w:lineRule="auto"/>
        <w:ind w:left="720"/>
      </w:pPr>
      <w:r>
        <w:rPr>
          <w:lang w:val="en_US" w:bidi="en_US"/>
        </w:rPr>
      </w:r>
      <w:r>
        <w:rPr>
          <w:lang w:val="en_US" w:bidi="en_US"/>
        </w:rPr>
        <w:t>“It is terribly difficult for wealthy people to become citizens in God’s rule/reign.</w:t>
      </w:r>
    </w:p>
    <w:p>
      <w:pPr>
        <w:pStyle w:val="ListBullet"/>
        <w:spacing w:line="240" w:lineRule="auto"/>
        <w:ind w:left="720"/>
      </w:pPr>
      <w:r>
        <w:rPr>
          <w:lang w:val="en_US" w:bidi="en_US"/>
        </w:rPr>
      </w:r>
      <w:r>
        <w:rPr>
          <w:lang w:val="en_US" w:bidi="en_US"/>
        </w:rPr>
        <w:t>“People who own many things have great trouble/obstacles in becoming people whom God rules.</w:t>
      </w:r>
    </w:p>
    <w:p>
      <w:pPr/>
      <w:r>
        <w:rPr>
          <w:lang w:val="en_US" w:bidi="en_US"/>
        </w:rPr>
      </w:r>
      <w:r>
        <w:rPr>
          <w:b/>
          <w:lang w:val="en_US" w:bidi="en_US"/>
        </w:rPr>
        <w:t>How hard it is for the rich to enter the kingdom of God!:</w:t>
      </w:r>
      <w:r>
        <w:rPr>
          <w:lang w:val="en_US" w:bidi="en_US"/>
        </w:rPr>
        <w:t xml:space="preserve"> This is an exclamation. It means, “It is very difficult for rich people to enter the kingdom of God.”</w:t>
      </w:r>
    </w:p>
    <w:p>
      <w:pPr/>
      <w:r>
        <w:rPr>
          <w:lang w:val="en_US" w:bidi="en_US"/>
        </w:rPr>
      </w:r>
      <w:r>
        <w:rPr>
          <w:lang w:val="en_US" w:bidi="en_US"/>
        </w:rPr>
        <w:t xml:space="preserve">The phrase </w:t>
      </w:r>
      <w:r>
        <w:rPr>
          <w:i/>
          <w:lang w:val="en_US" w:bidi="en_US"/>
        </w:rPr>
        <w:t>to enter the kingdom of God</w:t>
      </w:r>
      <w:r>
        <w:rPr>
          <w:lang w:val="en_US" w:bidi="en_US"/>
        </w:rPr>
        <w:t xml:space="preserve"> refers to becoming one of the people whom God rules and cares for as his king. A person enters the kingdom of God by submitting to God as his king. Jesus implied that it is very hard for a rich person to submit to God in that way.</w:t>
      </w:r>
    </w:p>
    <w:p>
      <w:pPr/>
      <w:r>
        <w:rPr>
          <w:lang w:val="en_US" w:bidi="en_US"/>
        </w:rPr>
      </w:r>
      <w:r>
        <w:rPr>
          <w:lang w:val="en_US" w:bidi="en_US"/>
        </w:rPr>
        <w:t>Some other ways to translate this are:</w:t>
      </w:r>
    </w:p>
    <w:p>
      <w:pPr/>
      <w:r>
        <w:rPr>
          <w:lang w:val="en_US" w:bidi="en_US"/>
        </w:rPr>
      </w:r>
      <w:r>
        <w:rPr>
          <w:lang w:val="en_US" w:bidi="en_US"/>
        </w:rPr>
        <w:t>Wealthy people will hardly be able to become citizens in God’s reign/chieftaincy.</w:t>
      </w:r>
    </w:p>
    <w:p>
      <w:pPr/>
      <w:r>
        <w:rPr>
          <w:lang w:val="en_US" w:bidi="en_US"/>
        </w:rPr>
      </w:r>
      <w:r>
        <w:rPr>
          <w:lang w:val="en_US" w:bidi="en_US"/>
        </w:rPr>
        <w:t>Rich people have great difficulty in submitting to God as their king.</w:t>
      </w:r>
    </w:p>
    <w:p>
      <w:pPr/>
      <w:r>
        <w:rPr>
          <w:lang w:val="en_US" w:bidi="en_US"/>
        </w:rPr>
      </w:r>
      <w:r>
        <w:rPr>
          <w:lang w:val="en_US" w:bidi="en_US"/>
        </w:rPr>
        <w:t>It is very difficult for people who own many things to join those whom God rules.</w:t>
      </w:r>
    </w:p>
    <w:p>
      <w:pPr/>
      <w:r>
        <w:rPr>
          <w:lang w:val="en_US" w:bidi="en_US"/>
        </w:rPr>
      </w:r>
      <w:r>
        <w:rPr>
          <w:lang w:val="en_US" w:bidi="en_US"/>
        </w:rPr>
        <w:t xml:space="preserve">The word </w:t>
      </w:r>
      <w:r>
        <w:rPr>
          <w:i/>
          <w:lang w:val="en_US" w:bidi="en_US"/>
        </w:rPr>
        <w:t>enter</w:t>
      </w:r>
      <w:r>
        <w:rPr>
          <w:lang w:val="en_US" w:bidi="en_US"/>
        </w:rPr>
        <w:t xml:space="preserve"> and the phrase </w:t>
      </w:r>
      <w:r>
        <w:rPr>
          <w:i/>
          <w:lang w:val="en_US" w:bidi="en_US"/>
        </w:rPr>
        <w:t>kingdom of God</w:t>
      </w:r>
      <w:r>
        <w:rPr>
          <w:lang w:val="en_US" w:bidi="en_US"/>
        </w:rPr>
        <w:t xml:space="preserve"> also occur in 18:17. The contexts are similar but different, and the Notes have given different examples here. See the note on 18:17b–c. Consider how to translate the meaning of 18:17 and 18:24 in a similar way that fits both contexts. For more information, see kingdom of God, Context 1, in the Glossary.</w:t>
      </w:r>
    </w:p>
    <w:p>
      <w:pPr/>
      <w:r>
        <w:rPr>
          <w:lang w:val="en_US" w:bidi="en_US"/>
        </w:rPr>
      </w:r>
      <w:r>
        <w:rPr>
          <w:b/>
          <w:lang w:val="en_US" w:bidi="en_US"/>
        </w:rPr>
        <w:t>kingdom of God:</w:t>
      </w:r>
      <w:r>
        <w:rPr>
          <w:lang w:val="en_US" w:bidi="en_US"/>
        </w:rPr>
        <w:t xml:space="preserve"> The phrase </w:t>
      </w:r>
      <w:r>
        <w:rPr>
          <w:i/>
          <w:lang w:val="en_US" w:bidi="en_US"/>
        </w:rPr>
        <w:t>kingdom of God</w:t>
      </w:r>
      <w:r>
        <w:rPr>
          <w:lang w:val="en_US" w:bidi="en_US"/>
        </w:rP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As a noun. For example:</w:t>
      </w:r>
      <w:r>
        <w:rPr>
          <w:lang w:val="en_US" w:bidi="en_US"/>
        </w:rPr>
        <w:t>God’s rule/reign</w:t>
      </w:r>
      <w:r>
        <w:rPr>
          <w:lang w:val="en_US" w:bidi="en_US"/>
        </w:rPr>
        <w:t>God’s kingship</w:t>
      </w:r>
      <w:r>
        <w:rPr>
          <w:lang w:val="en_US" w:bidi="en_US"/>
        </w:rPr>
        <w:t>God’s chieftaincy</w:t>
      </w:r>
      <w:r>
        <w:rPr>
          <w:lang w:val="en_US" w:bidi="en_US"/>
        </w:rPr>
        <w:t>God’s government</w:t>
      </w:r>
    </w:p>
    <w:p>
      <w:pPr>
        <w:pStyle w:val="ListBullet"/>
        <w:spacing w:line="240" w:lineRule="auto"/>
        <w:ind w:left="720"/>
      </w:pPr>
      <w:r>
        <w:rPr>
          <w:lang w:val="en_US" w:bidi="en_US"/>
        </w:rPr>
      </w:r>
      <w:r>
        <w:rPr>
          <w:lang w:val="en_US" w:bidi="en_US"/>
        </w:rPr>
        <w:t>As a verbal expression:</w:t>
      </w:r>
      <w:r>
        <w:rPr>
          <w:lang w:val="en_US" w:bidi="en_US"/>
        </w:rPr>
        <w:t>God rules his people</w:t>
      </w:r>
      <w:r>
        <w:rPr>
          <w:lang w:val="en_US" w:bidi="en_US"/>
        </w:rPr>
        <w:t>God reigns over his people</w:t>
      </w:r>
    </w:p>
    <w:p>
      <w:pPr/>
      <w:r>
        <w:rPr>
          <w:lang w:val="en_US" w:bidi="en_US"/>
        </w:rPr>
      </w:r>
      <w:r>
        <w:rPr>
          <w:lang w:val="en_US" w:bidi="en_US"/>
        </w:rPr>
        <w:t>See also kingdom of God in the Glossary.</w:t>
      </w:r>
      <w:r>
        <w:rPr>
          <w:lang w:val="en_US" w:bidi="en_US"/>
        </w:rPr>
      </w:r>
      <w:r>
        <w:rPr>
          <w:lang w:val="en_US" w:bidi="en_US"/>
        </w:rPr>
      </w:r>
    </w:p>
    <w:p>
      <w:pPr/>
      <w:r>
        <w:rPr>
          <w:lang w:val="en_US" w:bidi="en_US"/>
        </w:rPr>
      </w:r>
    </w:p>
    <w:p>
      <w:pPr>
        <w:pStyle w:val="Heading2"/>
      </w:pPr>
      <w:r>
        <w:rPr>
          <w:lang w:val="en_US" w:bidi="en_US"/>
        </w:rPr>
        <w:t>Luke 18:25</w:t>
      </w:r>
      <w:r>
        <w:rPr>
          <w:lang w:val="en_US" w:bidi="en_US"/>
        </w:rPr>
      </w:r>
    </w:p>
    <w:p>
      <w:pPr>
        <w:pStyle w:val="Heading4"/>
      </w:pPr>
      <w:r>
        <w:rPr>
          <w:lang w:val="en_US" w:bidi="en_US"/>
        </w:rPr>
        <w:t>Section 18:18–30: It is hard for rich people to enter God’s kingdom</w:t>
      </w:r>
    </w:p>
    <w:p>
      <w:pPr/>
      <w:r>
        <w:rPr>
          <w:lang w:val="en_US" w:bidi="en_US"/>
        </w:rPr>
      </w:r>
      <w:r>
        <w:rPr>
          <w:lang w:val="en_US" w:bidi="en_US"/>
        </w:rP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pPr/>
      <w:r>
        <w:rPr>
          <w:lang w:val="en_US" w:bidi="en_US"/>
        </w:rPr>
      </w:r>
      <w:r>
        <w:rPr>
          <w:lang w:val="en_US" w:bidi="en_US"/>
        </w:rP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pPr/>
      <w:r>
        <w:rPr>
          <w:lang w:val="en_US" w:bidi="en_US"/>
        </w:rPr>
      </w:r>
      <w:r>
        <w:rPr>
          <w:lang w:val="en_US" w:bidi="en_US"/>
        </w:rPr>
        <w:t>At the end of the section Jesus promised that people who left their possessions and family behind to serve him would receive great rewards.</w:t>
      </w:r>
    </w:p>
    <w:p>
      <w:pPr/>
      <w:r>
        <w:rPr>
          <w:lang w:val="en_US" w:bidi="en_US"/>
        </w:rPr>
      </w:r>
      <w:r>
        <w:rPr>
          <w:lang w:val="en_US" w:bidi="en_US"/>
        </w:rPr>
        <w:t>Other examples of headings for this section are:</w:t>
      </w:r>
    </w:p>
    <w:p>
      <w:pPr/>
      <w:r>
        <w:rPr>
          <w:lang w:val="en_US" w:bidi="en_US"/>
        </w:rPr>
      </w:r>
      <w:r>
        <w:rPr>
          <w:lang w:val="en_US" w:bidi="en_US"/>
        </w:rPr>
        <w:t>Jesus taught that riches make it difficult to obtain eternal life</w:t>
      </w:r>
    </w:p>
    <w:p>
      <w:pPr/>
      <w:r>
        <w:rPr>
          <w:lang w:val="en_US" w:bidi="en_US"/>
        </w:rPr>
      </w:r>
      <w:r>
        <w:rPr>
          <w:lang w:val="en_US" w:bidi="en_US"/>
        </w:rPr>
        <w:t>A Rich Man’s Question (NCV)</w:t>
      </w:r>
    </w:p>
    <w:p>
      <w:pPr/>
      <w:r>
        <w:rPr>
          <w:lang w:val="en_US" w:bidi="en_US"/>
        </w:rPr>
      </w:r>
      <w:r>
        <w:rPr>
          <w:lang w:val="en_US" w:bidi="en_US"/>
        </w:rPr>
        <w:t>The rich young man (NJB)</w:t>
      </w:r>
    </w:p>
    <w:p>
      <w:pPr/>
      <w:r>
        <w:rPr>
          <w:lang w:val="en_US" w:bidi="en_US"/>
        </w:rPr>
      </w:r>
      <w:r>
        <w:rPr>
          <w:lang w:val="en_US" w:bidi="en_US"/>
        </w:rPr>
        <w:t>There are parallel passages for this section in Matthew 19:16–30 and Mark 10:17–31.</w:t>
      </w:r>
    </w:p>
    <w:p>
      <w:pPr>
        <w:pStyle w:val="Heading5"/>
      </w:pPr>
      <w:r>
        <w:rPr>
          <w:lang w:val="en_US" w:bidi="en_US"/>
        </w:rPr>
        <w:t>18:25a</w:t>
      </w:r>
    </w:p>
    <w:p>
      <w:pPr/>
      <w:r>
        <w:rPr>
          <w:lang w:val="en_US" w:bidi="en_US"/>
        </w:rPr>
      </w:r>
      <w:r>
        <w:rPr>
          <w:b/>
          <w:lang w:val="en_US" w:bidi="en_US"/>
        </w:rPr>
        <w:t>Indeed, it is easier for a camel to pass through the eye of a needle</w:t>
      </w:r>
    </w:p>
    <w:p>
      <w:pPr>
        <w:pStyle w:val="ListBullet"/>
        <w:spacing w:line="240" w:lineRule="auto"/>
        <w:ind w:left="720"/>
      </w:pPr>
      <w:r>
        <w:rPr>
          <w:lang w:val="en_US" w:bidi="en_US"/>
        </w:rPr>
      </w:r>
      <w:r>
        <w:rPr>
          <w:lang w:val="en_US" w:bidi="en_US"/>
        </w:rPr>
        <w:t xml:space="preserve">In fact, a camel will go through the hole in a </w:t>
      </w:r>
      <w:r>
        <w:rPr>
          <w:lang w:val="en_US" w:bidi="en_US"/>
        </w:rPr>
        <w:t>sewing</w:t>
      </w:r>
      <w:r>
        <w:rPr>
          <w:lang w:val="en_US" w:bidi="en_US"/>
        </w:rPr>
        <w:t xml:space="preserve"> needle</w:t>
      </w:r>
    </w:p>
    <w:p>
      <w:pPr>
        <w:pStyle w:val="ListBullet"/>
        <w:spacing w:line="240" w:lineRule="auto"/>
        <w:ind w:left="720"/>
      </w:pPr>
      <w:r>
        <w:rPr>
          <w:lang w:val="en_US" w:bidi="en_US"/>
        </w:rPr>
      </w:r>
      <w:r>
        <w:rPr>
          <w:lang w:val="en_US" w:bidi="en_US"/>
        </w:rPr>
        <w:t>It is not as hard for the largest of beasts to walk through a tiny hole</w:t>
      </w:r>
    </w:p>
    <w:p>
      <w:pPr>
        <w:pStyle w:val="ListBullet"/>
        <w:spacing w:line="240" w:lineRule="auto"/>
        <w:ind w:left="720"/>
      </w:pPr>
      <w:r>
        <w:rPr>
          <w:lang w:val="en_US" w:bidi="en_US"/>
        </w:rPr>
      </w:r>
      <w:r>
        <w:rPr>
          <w:lang w:val="en_US" w:bidi="en_US"/>
        </w:rPr>
        <w:t>If a camel could pass through the tiny hole in a needle,</w:t>
      </w:r>
    </w:p>
    <w:p>
      <w:pPr>
        <w:pStyle w:val="Heading5"/>
      </w:pPr>
      <w:r>
        <w:rPr>
          <w:lang w:val="en_US" w:bidi="en_US"/>
        </w:rPr>
        <w:t>18:25b</w:t>
      </w:r>
    </w:p>
    <w:p>
      <w:pPr/>
      <w:r>
        <w:rPr>
          <w:lang w:val="en_US" w:bidi="en_US"/>
        </w:rPr>
      </w:r>
      <w:r>
        <w:rPr>
          <w:b/>
          <w:lang w:val="en_US" w:bidi="en_US"/>
        </w:rPr>
        <w:t>than for a rich man to enter the kingdom of God.”</w:t>
      </w:r>
    </w:p>
    <w:p>
      <w:pPr>
        <w:pStyle w:val="ListBullet"/>
        <w:spacing w:line="240" w:lineRule="auto"/>
        <w:ind w:left="720"/>
      </w:pPr>
      <w:r>
        <w:rPr>
          <w:lang w:val="en_US" w:bidi="en_US"/>
        </w:rPr>
      </w:r>
      <w:r>
        <w:rPr>
          <w:lang w:val="en_US" w:bidi="en_US"/>
        </w:rPr>
        <w:t>more easily than a rich person will enter God’s kingdom!”</w:t>
      </w:r>
    </w:p>
    <w:p>
      <w:pPr>
        <w:pStyle w:val="ListBullet"/>
        <w:spacing w:line="240" w:lineRule="auto"/>
        <w:ind w:left="720"/>
      </w:pPr>
      <w:r>
        <w:rPr>
          <w:lang w:val="en_US" w:bidi="en_US"/>
        </w:rPr>
      </w:r>
      <w:r>
        <w:rPr>
          <w:lang w:val="en_US" w:bidi="en_US"/>
        </w:rPr>
        <w:t>as it is for a person who owns many things to become a citizen in God’s chieftaincy/reign.”</w:t>
      </w:r>
    </w:p>
    <w:p>
      <w:pPr>
        <w:pStyle w:val="ListBullet"/>
        <w:spacing w:line="240" w:lineRule="auto"/>
        <w:ind w:left="720"/>
      </w:pPr>
      <w:r>
        <w:rPr>
          <w:lang w:val="en_US" w:bidi="en_US"/>
        </w:rPr>
      </w:r>
      <w:r>
        <w:rPr>
          <w:lang w:val="en_US" w:bidi="en_US"/>
        </w:rPr>
        <w:t>that would be easy compared to a wealthy person becoming a person whom God rules.”</w:t>
      </w:r>
    </w:p>
    <w:p>
      <w:pPr>
        <w:pStyle w:val="Heading5"/>
      </w:pPr>
      <w:r>
        <w:rPr>
          <w:lang w:val="en_US" w:bidi="en_US"/>
        </w:rPr>
        <w:t>18:25a–b</w:t>
      </w:r>
    </w:p>
    <w:p>
      <w:pPr/>
      <w:r>
        <w:rPr>
          <w:lang w:val="en_US" w:bidi="en_US"/>
        </w:rPr>
      </w:r>
      <w:r>
        <w:rPr>
          <w:b/>
          <w:lang w:val="en_US" w:bidi="en_US"/>
        </w:rPr>
        <w:t>Indeed:</w:t>
      </w:r>
      <w:r>
        <w:rPr>
          <w:lang w:val="en_US" w:bidi="en_US"/>
        </w:rPr>
        <w:t xml:space="preserve"> The Greek conjunction that the BSB translates as </w:t>
      </w:r>
      <w:r>
        <w:rPr>
          <w:i/>
          <w:lang w:val="en_US" w:bidi="en_US"/>
        </w:rPr>
        <w:t>Indeed</w:t>
      </w:r>
      <w:r>
        <w:rPr>
          <w:lang w:val="en_US" w:bidi="en_US"/>
        </w:rPr>
        <w:t xml:space="preserve"> is often translated as “For.” The RSV and several other English versions translate it that way. It often introduces a reason or explanation for something. Here it introduces a statement that emphasizes what Jesus said in 18:24b. Some English versions do not translate this conjunction. You may do what is natural in your language for this context.</w:t>
      </w:r>
    </w:p>
    <w:p>
      <w:pPr/>
      <w:r>
        <w:rPr>
          <w:lang w:val="en_US" w:bidi="en_US"/>
        </w:rPr>
      </w:r>
      <w:r>
        <w:rPr>
          <w:b/>
          <w:lang w:val="en_US" w:bidi="en_US"/>
        </w:rPr>
        <w:t>it is easier for a camel to pass through the eye of a needle than for a rich man to enter the kingdom of God:</w:t>
      </w:r>
      <w:r>
        <w:rPr>
          <w:lang w:val="en_US" w:bidi="en_US"/>
        </w:rPr>
        <w:t xml:space="preserve"> This is a comparison. It emphasizes what Jesus said in 18:24b. Jesus compared a difficult action (a rich man entering the kingdom of God) to an impossible action (a camel going through the eye of a needle). This comparison implies that it is also impossible for a rich man to enter the kingdom of God.</w:t>
      </w:r>
    </w:p>
    <w:p>
      <w:pPr/>
      <w:r>
        <w:rPr>
          <w:lang w:val="en_US" w:bidi="en_US"/>
        </w:rPr>
      </w:r>
      <w:r>
        <w:rPr>
          <w:lang w:val="en_US" w:bidi="en_US"/>
        </w:rPr>
        <w:t>Some other ways to translate this comparison are:</w:t>
      </w:r>
    </w:p>
    <w:p>
      <w:pPr/>
      <w:r>
        <w:rPr>
          <w:lang w:val="en_US" w:bidi="en_US"/>
        </w:rPr>
      </w:r>
      <w:r>
        <w:rPr>
          <w:lang w:val="en_US" w:bidi="en_US"/>
        </w:rPr>
        <w:t>It is difficult for a camel to go through the eye of a needle. But it is extremely difficult for a rich man to go into the kingdom of God.</w:t>
      </w:r>
    </w:p>
    <w:p>
      <w:pPr/>
      <w:r>
        <w:rPr>
          <w:lang w:val="en_US" w:bidi="en_US"/>
        </w:rPr>
      </w:r>
      <w:r>
        <w:rPr>
          <w:lang w:val="en_US" w:bidi="en_US"/>
        </w:rPr>
        <w:t>It is difficult for a camel to go through the eye of a needle. It is even more difficult for a rich man to enter the kingdom of God.</w:t>
      </w:r>
    </w:p>
    <w:p>
      <w:pPr/>
      <w:r>
        <w:rPr>
          <w:lang w:val="en_US" w:bidi="en_US"/>
        </w:rPr>
      </w:r>
      <w:r>
        <w:rPr>
          <w:lang w:val="en_US" w:bidi="en_US"/>
        </w:rPr>
        <w:t>It is harder for a rich man to go into God’s kingdom than for a camel to go through the eye of a needle.</w:t>
      </w:r>
    </w:p>
    <w:p>
      <w:pPr/>
      <w:r>
        <w:rPr>
          <w:lang w:val="en_US" w:bidi="en_US"/>
        </w:rPr>
      </w:r>
      <w:r>
        <w:rPr>
          <w:b/>
          <w:lang w:val="en_US" w:bidi="en_US"/>
        </w:rPr>
        <w:t>a camel:</w:t>
      </w:r>
      <w:r>
        <w:rPr>
          <w:lang w:val="en_US" w:bidi="en_US"/>
        </w:rPr>
        <w:t xml:space="preserve"> The </w:t>
      </w:r>
      <w:r>
        <w:rPr>
          <w:i/>
          <w:lang w:val="en_US" w:bidi="en_US"/>
        </w:rPr>
        <w:t>camel</w:t>
      </w:r>
      <w:r>
        <w:rPr>
          <w:lang w:val="en_US" w:bidi="en_US"/>
        </w:rPr>
        <w:t xml:space="preserve"> was the largest animal that Jewish people owned and cared for. It is a four-legged animal that weighs about six hundred kilograms (1300 pounds). It is two meters (6.5 feet) tall at the shoulder. It carries people and cargo.</w:t>
      </w:r>
    </w:p>
    <w:p>
      <w:pPr/>
      <w:r>
        <w:rPr>
          <w:lang w:val="en_US" w:bidi="en_US"/>
        </w:rPr>
      </w:r>
      <w:r>
        <w:rPr>
          <w:lang w:val="en_US" w:bidi="en_US"/>
        </w:rPr>
        <w:t>If camels are not known in your area, here are some ways to translate it:</w:t>
      </w:r>
    </w:p>
    <w:p>
      <w:pPr>
        <w:pStyle w:val="ListBullet"/>
        <w:spacing w:line="240" w:lineRule="auto"/>
        <w:ind w:left="720"/>
      </w:pPr>
      <w:r>
        <w:rPr>
          <w:lang w:val="en_US" w:bidi="en_US"/>
        </w:rPr>
      </w:r>
      <w:r>
        <w:rPr>
          <w:lang w:val="en_US" w:bidi="en_US"/>
        </w:rPr>
        <w:t xml:space="preserve">Write the word </w:t>
      </w:r>
      <w:r>
        <w:rPr>
          <w:i/>
          <w:lang w:val="en_US" w:bidi="en_US"/>
        </w:rPr>
        <w:t>camel</w:t>
      </w:r>
      <w:r>
        <w:rPr>
          <w:lang w:val="en_US" w:bidi="en_US"/>
        </w:rPr>
        <w:t xml:space="preserve"> according to the sounds of your language and add a descriptive phrase. For example:</w:t>
      </w:r>
      <w:r>
        <w:rPr>
          <w:lang w:val="en_US" w:bidi="en_US"/>
        </w:rPr>
        <w:t>a large animal called</w:t>
      </w:r>
      <w:r>
        <w:rPr>
          <w:lang w:val="en_US" w:bidi="en_US"/>
        </w:rPr>
        <w:t xml:space="preserve"> a camel</w:t>
      </w:r>
    </w:p>
    <w:p>
      <w:pPr>
        <w:pStyle w:val="ListBullet"/>
        <w:spacing w:line="240" w:lineRule="auto"/>
        <w:ind w:left="720"/>
      </w:pPr>
      <w:r>
        <w:rPr>
          <w:lang w:val="en_US" w:bidi="en_US"/>
        </w:rPr>
      </w:r>
      <w:r>
        <w:rPr>
          <w:lang w:val="en_US" w:bidi="en_US"/>
        </w:rPr>
        <w:t xml:space="preserve">Borrow the word that means </w:t>
      </w:r>
      <w:r>
        <w:rPr>
          <w:i/>
          <w:lang w:val="en_US" w:bidi="en_US"/>
        </w:rPr>
        <w:t>camel</w:t>
      </w:r>
      <w:r>
        <w:rPr>
          <w:lang w:val="en_US" w:bidi="en_US"/>
        </w:rPr>
        <w:t xml:space="preserve"> from another language. If this word is not well known, you may want to add a descriptive phrase.</w:t>
      </w:r>
    </w:p>
    <w:p>
      <w:pPr>
        <w:pStyle w:val="ListBullet"/>
        <w:spacing w:line="240" w:lineRule="auto"/>
        <w:ind w:left="720"/>
      </w:pPr>
      <w:r>
        <w:rPr>
          <w:lang w:val="en_US" w:bidi="en_US"/>
        </w:rPr>
      </w:r>
      <w:r>
        <w:rPr>
          <w:lang w:val="en_US" w:bidi="en_US"/>
        </w:rPr>
        <w:t xml:space="preserve">Use only a descriptive phrase instead of the word </w:t>
      </w:r>
      <w:r>
        <w:rPr>
          <w:i/>
          <w:lang w:val="en_US" w:bidi="en_US"/>
        </w:rPr>
        <w:t>camel</w:t>
      </w:r>
      <w:r>
        <w:rPr>
          <w:lang w:val="en_US" w:bidi="en_US"/>
        </w:rPr>
        <w:t>. For example:</w:t>
      </w:r>
      <w:r>
        <w:rPr>
          <w:lang w:val="en_US" w:bidi="en_US"/>
        </w:rPr>
        <w:t xml:space="preserve">a </w:t>
      </w:r>
      <w:r>
        <w:rPr>
          <w:lang w:val="en_US" w:bidi="en_US"/>
        </w:rPr>
        <w:t>very large</w:t>
      </w:r>
      <w:r>
        <w:rPr>
          <w:lang w:val="en_US" w:bidi="en_US"/>
        </w:rPr>
        <w:t xml:space="preserve"> animal</w:t>
      </w:r>
    </w:p>
    <w:p>
      <w:pPr/>
      <w:r>
        <w:rPr>
          <w:lang w:val="en_US" w:bidi="en_US"/>
        </w:rPr>
      </w:r>
      <w:r>
        <w:rPr>
          <w:lang w:val="en_US" w:bidi="en_US"/>
        </w:rPr>
        <w:t>You may want to have a picture of a camel in your translation. You may also want to include a footnote to give more information. For example:</w:t>
      </w:r>
    </w:p>
    <w:p>
      <w:pPr/>
      <w:r>
        <w:rPr>
          <w:lang w:val="en_US" w:bidi="en_US"/>
        </w:rPr>
      </w:r>
      <w:r>
        <w:rPr>
          <w:lang w:val="en_US" w:bidi="en_US"/>
        </w:rPr>
        <w:t>Literally “a camel.” A camel is a large four-legged animal that weighs about six hundred kilograms and is about two meters tall at the shoulder. It was one of the largest animals in Israel.</w:t>
      </w:r>
    </w:p>
    <w:p>
      <w:pPr/>
      <w:r>
        <w:rPr>
          <w:lang w:val="en_US" w:bidi="en_US"/>
        </w:rPr>
      </w:r>
      <w:r>
        <w:rPr>
          <w:b/>
          <w:lang w:val="en_US" w:bidi="en_US"/>
        </w:rPr>
        <w:t>the eye of a needle:</w:t>
      </w:r>
      <w:r>
        <w:rPr>
          <w:lang w:val="en_US" w:bidi="en_US"/>
        </w:rPr>
        <w:t xml:space="preserve"> The phrase </w:t>
      </w:r>
      <w:r>
        <w:rPr>
          <w:i/>
          <w:lang w:val="en_US" w:bidi="en_US"/>
        </w:rPr>
        <w:t>the eye of a needle</w:t>
      </w:r>
      <w:r>
        <w:rPr>
          <w:lang w:val="en_US" w:bidi="en_US"/>
        </w:rPr>
        <w:t xml:space="preserve"> refers to the small hole in a sewing needle. The thread passes through this hole. Jesus used this phrase as an example of a very small hole. Use an expression for this that is natural in your language. For example:</w:t>
      </w:r>
    </w:p>
    <w:p>
      <w:pPr/>
      <w:r>
        <w:rPr>
          <w:lang w:val="en_US" w:bidi="en_US"/>
        </w:rPr>
      </w:r>
      <w:r>
        <w:rPr>
          <w:lang w:val="en_US" w:bidi="en_US"/>
        </w:rPr>
        <w:t>the hole of a needle</w:t>
      </w:r>
    </w:p>
    <w:p>
      <w:pPr/>
      <w:r>
        <w:rPr>
          <w:lang w:val="en_US" w:bidi="en_US"/>
        </w:rPr>
      </w:r>
      <w:r>
        <w:rPr>
          <w:lang w:val="en_US" w:bidi="en_US"/>
        </w:rPr>
        <w:t xml:space="preserve">a </w:t>
      </w:r>
      <w:r>
        <w:rPr>
          <w:lang w:val="en_US" w:bidi="en_US"/>
        </w:rPr>
        <w:t>sewing</w:t>
      </w:r>
      <w:r>
        <w:rPr>
          <w:lang w:val="en_US" w:bidi="en_US"/>
        </w:rPr>
        <w:t xml:space="preserve"> needle hole</w:t>
      </w:r>
    </w:p>
    <w:p>
      <w:pPr/>
      <w:r>
        <w:rPr>
          <w:lang w:val="en_US" w:bidi="en_US"/>
        </w:rPr>
      </w:r>
      <w:r>
        <w:rPr>
          <w:lang w:val="en_US" w:bidi="en_US"/>
        </w:rPr>
        <w:t xml:space="preserve">the path/road </w:t>
      </w:r>
      <w:r>
        <w:rPr>
          <w:lang w:val="en_US" w:bidi="en_US"/>
        </w:rPr>
        <w:t>in</w:t>
      </w:r>
      <w:r>
        <w:rPr>
          <w:lang w:val="en_US" w:bidi="en_US"/>
        </w:rPr>
        <w:t xml:space="preserve"> a needle</w:t>
      </w:r>
    </w:p>
    <w:p>
      <w:pPr/>
      <w:r>
        <w:rPr>
          <w:lang w:val="en_US" w:bidi="en_US"/>
        </w:rPr>
      </w:r>
      <w:r>
        <w:rPr>
          <w:b/>
          <w:lang w:val="en_US" w:bidi="en_US"/>
        </w:rPr>
        <w:t>for a rich man:</w:t>
      </w:r>
      <w:r>
        <w:rPr>
          <w:lang w:val="en_US" w:bidi="en_US"/>
        </w:rPr>
        <w:t xml:space="preserve"> Notice that here Jesus used the singular phrase </w:t>
      </w:r>
      <w:r>
        <w:rPr>
          <w:i/>
          <w:lang w:val="en_US" w:bidi="en_US"/>
        </w:rPr>
        <w:t>a rich man</w:t>
      </w:r>
      <w:r>
        <w:rPr>
          <w:lang w:val="en_US" w:bidi="en_US"/>
        </w:rPr>
        <w:t xml:space="preserve"> instead of the plural form “the rich” in 18:24b. This phrase refers to any rich person, whether male or female. It is helpful to make this clear. For example:</w:t>
      </w:r>
    </w:p>
    <w:p>
      <w:pPr/>
      <w:r>
        <w:rPr>
          <w:lang w:val="en_US" w:bidi="en_US"/>
        </w:rPr>
      </w:r>
      <w:r>
        <w:rPr>
          <w:lang w:val="en_US" w:bidi="en_US"/>
        </w:rPr>
        <w:t>for a rich person (GW)</w:t>
      </w:r>
    </w:p>
    <w:p>
      <w:pPr>
        <w:pStyle w:val="Heading6"/>
      </w:pPr>
      <w:r>
        <w:rPr>
          <w:b/>
          <w:lang w:val="en_US" w:bidi="en_US"/>
        </w:rPr>
        <w:t>General Comment on 18:24–25</w:t>
      </w:r>
    </w:p>
    <w:p>
      <w:pPr/>
      <w:r>
        <w:rPr>
          <w:lang w:val="en_US" w:bidi="en_US"/>
        </w:rPr>
      </w:r>
      <w:r>
        <w:rPr>
          <w:lang w:val="en_US" w:bidi="en_US"/>
        </w:rPr>
        <w:t>In some languages it may be natural to combine these two verses. For example:</w:t>
      </w:r>
    </w:p>
    <w:p>
      <w:pPr/>
      <w:r>
        <w:rPr>
          <w:lang w:val="en_US" w:bidi="en_US"/>
        </w:rPr>
      </w:r>
      <w:r>
        <w:rPr>
          <w:vertAlign w:val="superscript"/>
          <w:lang w:val="en_US" w:bidi="en_US"/>
        </w:rPr>
        <w:t>24–25</w:t>
      </w:r>
      <w:r>
        <w:rPr>
          <w:lang w:val="en_US" w:bidi="en_US"/>
        </w:rPr>
        <w:t xml:space="preserve">It is very hard for a rich person to enter God’s kingdom. If a camel could walk through the hole in a </w:t>
      </w:r>
      <w:r>
        <w:rPr>
          <w:lang w:val="en_US" w:bidi="en_US"/>
        </w:rPr>
        <w:t>sewing</w:t>
      </w:r>
      <w:r>
        <w:rPr>
          <w:lang w:val="en_US" w:bidi="en_US"/>
        </w:rPr>
        <w:t xml:space="preserve"> needle, then it might be possible for a rich person to enter the kingdom of God.</w:t>
      </w:r>
      <w:r>
        <w:rPr>
          <w:lang w:val="en_US" w:bidi="en_US"/>
        </w:rPr>
      </w:r>
      <w:r>
        <w:rPr>
          <w:lang w:val="en_US" w:bidi="en_US"/>
        </w:rPr>
      </w:r>
    </w:p>
    <w:p>
      <w:pPr/>
      <w:r>
        <w:rPr>
          <w:lang w:val="en_US" w:bidi="en_US"/>
        </w:rPr>
      </w:r>
    </w:p>
    <w:p>
      <w:pPr>
        <w:pStyle w:val="Heading2"/>
      </w:pPr>
      <w:r>
        <w:rPr>
          <w:lang w:val="en_US" w:bidi="en_US"/>
        </w:rPr>
        <w:t>Luke 18:26</w:t>
      </w:r>
      <w:r>
        <w:rPr>
          <w:lang w:val="en_US" w:bidi="en_US"/>
        </w:rPr>
      </w:r>
    </w:p>
    <w:p>
      <w:pPr>
        <w:pStyle w:val="Heading4"/>
      </w:pPr>
      <w:r>
        <w:rPr>
          <w:lang w:val="en_US" w:bidi="en_US"/>
        </w:rPr>
        <w:t>Section 18:18–30: It is hard for rich people to enter God’s kingdom</w:t>
      </w:r>
    </w:p>
    <w:p>
      <w:pPr/>
      <w:r>
        <w:rPr>
          <w:lang w:val="en_US" w:bidi="en_US"/>
        </w:rPr>
      </w:r>
      <w:r>
        <w:rPr>
          <w:lang w:val="en_US" w:bidi="en_US"/>
        </w:rP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pPr/>
      <w:r>
        <w:rPr>
          <w:lang w:val="en_US" w:bidi="en_US"/>
        </w:rPr>
      </w:r>
      <w:r>
        <w:rPr>
          <w:lang w:val="en_US" w:bidi="en_US"/>
        </w:rP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pPr/>
      <w:r>
        <w:rPr>
          <w:lang w:val="en_US" w:bidi="en_US"/>
        </w:rPr>
      </w:r>
      <w:r>
        <w:rPr>
          <w:lang w:val="en_US" w:bidi="en_US"/>
        </w:rPr>
        <w:t>At the end of the section Jesus promised that people who left their possessions and family behind to serve him would receive great rewards.</w:t>
      </w:r>
    </w:p>
    <w:p>
      <w:pPr/>
      <w:r>
        <w:rPr>
          <w:lang w:val="en_US" w:bidi="en_US"/>
        </w:rPr>
      </w:r>
      <w:r>
        <w:rPr>
          <w:lang w:val="en_US" w:bidi="en_US"/>
        </w:rPr>
        <w:t>Other examples of headings for this section are:</w:t>
      </w:r>
    </w:p>
    <w:p>
      <w:pPr/>
      <w:r>
        <w:rPr>
          <w:lang w:val="en_US" w:bidi="en_US"/>
        </w:rPr>
      </w:r>
      <w:r>
        <w:rPr>
          <w:lang w:val="en_US" w:bidi="en_US"/>
        </w:rPr>
        <w:t>Jesus taught that riches make it difficult to obtain eternal life</w:t>
      </w:r>
    </w:p>
    <w:p>
      <w:pPr/>
      <w:r>
        <w:rPr>
          <w:lang w:val="en_US" w:bidi="en_US"/>
        </w:rPr>
      </w:r>
      <w:r>
        <w:rPr>
          <w:lang w:val="en_US" w:bidi="en_US"/>
        </w:rPr>
        <w:t>A Rich Man’s Question (NCV)</w:t>
      </w:r>
    </w:p>
    <w:p>
      <w:pPr/>
      <w:r>
        <w:rPr>
          <w:lang w:val="en_US" w:bidi="en_US"/>
        </w:rPr>
      </w:r>
      <w:r>
        <w:rPr>
          <w:lang w:val="en_US" w:bidi="en_US"/>
        </w:rPr>
        <w:t>The rich young man (NJB)</w:t>
      </w:r>
    </w:p>
    <w:p>
      <w:pPr/>
      <w:r>
        <w:rPr>
          <w:lang w:val="en_US" w:bidi="en_US"/>
        </w:rPr>
      </w:r>
      <w:r>
        <w:rPr>
          <w:lang w:val="en_US" w:bidi="en_US"/>
        </w:rPr>
        <w:t>There are parallel passages for this section in Matthew 19:16–30 and Mark 10:17–31.</w:t>
      </w:r>
    </w:p>
    <w:p>
      <w:pPr>
        <w:pStyle w:val="Heading5"/>
      </w:pPr>
      <w:r>
        <w:rPr>
          <w:lang w:val="en_US" w:bidi="en_US"/>
        </w:rPr>
        <w:t>18:26a</w:t>
      </w:r>
    </w:p>
    <w:p>
      <w:pPr/>
      <w:r>
        <w:rPr>
          <w:lang w:val="en_US" w:bidi="en_US"/>
        </w:rPr>
      </w:r>
      <w:r>
        <w:rPr>
          <w:b/>
          <w:lang w:val="en_US" w:bidi="en_US"/>
        </w:rPr>
        <w:t>Those who heard this asked,</w:t>
      </w:r>
    </w:p>
    <w:p>
      <w:pPr>
        <w:pStyle w:val="ListBullet"/>
        <w:spacing w:line="240" w:lineRule="auto"/>
        <w:ind w:left="720"/>
      </w:pPr>
      <w:r>
        <w:rPr>
          <w:lang w:val="en_US" w:bidi="en_US"/>
        </w:rPr>
      </w:r>
      <w:r>
        <w:rPr>
          <w:lang w:val="en_US" w:bidi="en_US"/>
        </w:rPr>
        <w:t>¶ The people who heard this asked,</w:t>
      </w:r>
    </w:p>
    <w:p>
      <w:pPr>
        <w:pStyle w:val="ListBullet"/>
        <w:spacing w:line="240" w:lineRule="auto"/>
        <w:ind w:left="720"/>
      </w:pPr>
      <w:r>
        <w:rPr>
          <w:lang w:val="en_US" w:bidi="en_US"/>
        </w:rPr>
      </w:r>
      <w:r>
        <w:rPr>
          <w:lang w:val="en_US" w:bidi="en_US"/>
        </w:rPr>
        <w:t xml:space="preserve">¶ When people heard Jesus say that, they </w:t>
      </w:r>
      <w:r>
        <w:rPr>
          <w:lang w:val="en_US" w:bidi="en_US"/>
        </w:rPr>
        <w:t>were amazed</w:t>
      </w:r>
      <w:r>
        <w:rPr>
          <w:lang w:val="en_US" w:bidi="en_US"/>
        </w:rPr>
        <w:t>. And they said,</w:t>
      </w:r>
    </w:p>
    <w:p>
      <w:pPr>
        <w:pStyle w:val="ListBullet"/>
        <w:spacing w:line="240" w:lineRule="auto"/>
        <w:ind w:left="720"/>
      </w:pPr>
      <w:r>
        <w:rPr>
          <w:lang w:val="en_US" w:bidi="en_US"/>
        </w:rPr>
      </w:r>
      <w:r>
        <w:rPr>
          <w:lang w:val="en_US" w:bidi="en_US"/>
        </w:rPr>
        <w:t xml:space="preserve">¶ Then the people listening asked </w:t>
      </w:r>
      <w:r>
        <w:rPr>
          <w:lang w:val="en_US" w:bidi="en_US"/>
        </w:rPr>
        <w:t>each other</w:t>
      </w:r>
      <w:r>
        <w:rPr>
          <w:lang w:val="en_US" w:bidi="en_US"/>
        </w:rPr>
        <w:t>,</w:t>
      </w:r>
    </w:p>
    <w:p>
      <w:pPr/>
      <w:r>
        <w:rPr>
          <w:lang w:val="en_US" w:bidi="en_US"/>
        </w:rPr>
      </w:r>
      <w:r>
        <w:rPr>
          <w:b/>
          <w:lang w:val="en_US" w:bidi="en_US"/>
        </w:rPr>
        <w:t>Those who heard this:</w:t>
      </w:r>
      <w:r>
        <w:rPr>
          <w:lang w:val="en_US" w:bidi="en_US"/>
        </w:rPr>
        <w:t xml:space="preserve"> The phrase </w:t>
      </w:r>
      <w:r>
        <w:rPr>
          <w:i/>
          <w:lang w:val="en_US" w:bidi="en_US"/>
        </w:rPr>
        <w:t>Those who heard this</w:t>
      </w:r>
      <w:r>
        <w:rPr>
          <w:lang w:val="en_US" w:bidi="en_US"/>
        </w:rPr>
        <w:t xml:space="preserve"> refers to the people who were listening to Jesus.</w:t>
      </w:r>
    </w:p>
    <w:p>
      <w:pPr/>
      <w:r>
        <w:rPr>
          <w:lang w:val="en_US" w:bidi="en_US"/>
        </w:rPr>
      </w:r>
      <w:r>
        <w:rPr>
          <w:b/>
          <w:lang w:val="en_US" w:bidi="en_US"/>
        </w:rPr>
        <w:t>asked:</w:t>
      </w:r>
      <w:r>
        <w:rPr>
          <w:lang w:val="en_US" w:bidi="en_US"/>
        </w:rPr>
        <w:t xml:space="preserve"> The Greek verb that the BSB translates as </w:t>
      </w:r>
      <w:r>
        <w:rPr>
          <w:i/>
          <w:lang w:val="en_US" w:bidi="en_US"/>
        </w:rPr>
        <w:t>asked</w:t>
      </w:r>
      <w:r>
        <w:rPr>
          <w:lang w:val="en_US" w:bidi="en_US"/>
        </w:rPr>
        <w:t xml:space="preserve"> is literally “said.” It introduces a rhetorical question. If you translate it as a statement, it may be more natural to use a verb like “said.”</w:t>
      </w:r>
    </w:p>
    <w:p>
      <w:pPr/>
      <w:r>
        <w:rPr>
          <w:lang w:val="en_US" w:bidi="en_US"/>
        </w:rPr>
      </w:r>
      <w:r>
        <w:rPr>
          <w:lang w:val="en_US" w:bidi="en_US"/>
        </w:rPr>
        <w:t>The text does not specify to whom the people were speaking. They may have been speaking directly to Jesus or more generally to anyone who was listening.</w:t>
      </w:r>
      <w:r>
        <w:rPr>
          <w:lang w:val="en_US" w:bidi="en_US"/>
        </w:rPr>
        <w:t>In the parallel passage in Mark 10:26, there is a textual issue. The Notes recommended the text that indicates that the people asked each other.</w:t>
      </w:r>
      <w:r>
        <w:rPr>
          <w:lang w:val="en_US" w:bidi="en_US"/>
        </w:rPr>
        <w:t xml:space="preserve"> If you must say whom the people were asking, you may want to supply a general phrase. For example:</w:t>
      </w:r>
    </w:p>
    <w:p>
      <w:pPr/>
      <w:r>
        <w:rPr>
          <w:lang w:val="en_US" w:bidi="en_US"/>
        </w:rPr>
      </w:r>
      <w:r>
        <w:rPr>
          <w:lang w:val="en_US" w:bidi="en_US"/>
        </w:rPr>
        <w:t xml:space="preserve">The people who heard this asked </w:t>
      </w:r>
      <w:r>
        <w:rPr>
          <w:lang w:val="en_US" w:bidi="en_US"/>
        </w:rPr>
        <w:t>each other</w:t>
      </w:r>
    </w:p>
    <w:p>
      <w:pPr>
        <w:pStyle w:val="Heading5"/>
      </w:pPr>
      <w:r>
        <w:rPr>
          <w:lang w:val="en_US" w:bidi="en_US"/>
        </w:rPr>
        <w:t>18:26b</w:t>
      </w:r>
    </w:p>
    <w:p>
      <w:pPr/>
      <w:r>
        <w:rPr>
          <w:lang w:val="en_US" w:bidi="en_US"/>
        </w:rPr>
      </w:r>
      <w:r>
        <w:rPr>
          <w:b/>
          <w:lang w:val="en_US" w:bidi="en_US"/>
        </w:rPr>
        <w:t>“Who then can be saved?”</w:t>
      </w:r>
    </w:p>
    <w:p>
      <w:pPr>
        <w:pStyle w:val="ListBullet"/>
        <w:spacing w:line="240" w:lineRule="auto"/>
        <w:ind w:left="720"/>
      </w:pPr>
      <w:r>
        <w:rPr>
          <w:lang w:val="en_US" w:bidi="en_US"/>
        </w:rPr>
      </w:r>
      <w:r>
        <w:rPr>
          <w:lang w:val="en_US" w:bidi="en_US"/>
        </w:rPr>
        <w:t xml:space="preserve">“If </w:t>
      </w:r>
      <w:r>
        <w:rPr>
          <w:lang w:val="en_US" w:bidi="en_US"/>
        </w:rPr>
        <w:t>that is true</w:t>
      </w:r>
      <w:r>
        <w:rPr>
          <w:lang w:val="en_US" w:bidi="en_US"/>
        </w:rPr>
        <w:t>, who can be saved?”</w:t>
      </w:r>
    </w:p>
    <w:p>
      <w:pPr>
        <w:pStyle w:val="ListBullet"/>
        <w:spacing w:line="240" w:lineRule="auto"/>
        <w:ind w:left="720"/>
      </w:pPr>
      <w:r>
        <w:rPr>
          <w:lang w:val="en_US" w:bidi="en_US"/>
        </w:rPr>
      </w:r>
      <w:r>
        <w:rPr>
          <w:lang w:val="en_US" w:bidi="en_US"/>
        </w:rPr>
        <w:t xml:space="preserve">“If </w:t>
      </w:r>
      <w:r>
        <w:rPr>
          <w:lang w:val="en_US" w:bidi="en_US"/>
        </w:rPr>
        <w:t>rich people</w:t>
      </w:r>
      <w:r>
        <w:rPr>
          <w:lang w:val="en_US" w:bidi="en_US"/>
        </w:rPr>
        <w:t xml:space="preserve"> </w:t>
      </w:r>
      <w:r>
        <w:rPr>
          <w:lang w:val="en_US" w:bidi="en_US"/>
        </w:rPr>
        <w:t>cannot be saved</w:t>
      </w:r>
      <w:r>
        <w:rPr>
          <w:lang w:val="en_US" w:bidi="en_US"/>
        </w:rPr>
        <w:t xml:space="preserve">, </w:t>
      </w:r>
      <w:r>
        <w:rPr>
          <w:lang w:val="en_US" w:bidi="en_US"/>
        </w:rPr>
        <w:t>maybe</w:t>
      </w:r>
      <w:r>
        <w:rPr>
          <w:lang w:val="en_US" w:bidi="en_US"/>
        </w:rPr>
        <w:t xml:space="preserve"> </w:t>
      </w:r>
      <w:r>
        <w:rPr>
          <w:lang w:val="en_US" w:bidi="en_US"/>
        </w:rPr>
        <w:t>God</w:t>
      </w:r>
      <w:r>
        <w:rPr>
          <w:lang w:val="en_US" w:bidi="en_US"/>
        </w:rPr>
        <w:t xml:space="preserve"> will not save anyone!”</w:t>
      </w:r>
    </w:p>
    <w:p>
      <w:pPr>
        <w:pStyle w:val="ListBullet"/>
        <w:spacing w:line="240" w:lineRule="auto"/>
        <w:ind w:left="720"/>
      </w:pPr>
      <w:r>
        <w:rPr>
          <w:lang w:val="en_US" w:bidi="en_US"/>
        </w:rPr>
      </w:r>
      <w:r>
        <w:rPr>
          <w:lang w:val="en_US" w:bidi="en_US"/>
        </w:rPr>
        <w:t xml:space="preserve">“But if </w:t>
      </w:r>
      <w:r>
        <w:rPr>
          <w:lang w:val="en_US" w:bidi="en_US"/>
        </w:rPr>
        <w:t>God</w:t>
      </w:r>
      <w:r>
        <w:rPr>
          <w:lang w:val="en_US" w:bidi="en_US"/>
        </w:rPr>
        <w:t xml:space="preserve"> </w:t>
      </w:r>
      <w:r>
        <w:rPr>
          <w:lang w:val="en_US" w:bidi="en_US"/>
        </w:rPr>
        <w:t>will not</w:t>
      </w:r>
      <w:r>
        <w:rPr>
          <w:lang w:val="en_US" w:bidi="en_US"/>
        </w:rPr>
        <w:t xml:space="preserve"> save </w:t>
      </w:r>
      <w:r>
        <w:rPr>
          <w:lang w:val="en_US" w:bidi="en_US"/>
        </w:rPr>
        <w:t>rich people</w:t>
      </w:r>
      <w:r>
        <w:rPr>
          <w:lang w:val="en_US" w:bidi="en_US"/>
        </w:rPr>
        <w:t xml:space="preserve"> </w:t>
      </w:r>
      <w:r>
        <w:rPr>
          <w:lang w:val="en_US" w:bidi="en_US"/>
        </w:rPr>
        <w:t>from their sins</w:t>
      </w:r>
      <w:r>
        <w:rPr>
          <w:lang w:val="en_US" w:bidi="en_US"/>
        </w:rPr>
        <w:t xml:space="preserve"> </w:t>
      </w:r>
      <w:r>
        <w:rPr>
          <w:lang w:val="en_US" w:bidi="en_US"/>
        </w:rPr>
        <w:t>so they can enter his kingdom</w:t>
      </w:r>
      <w:r>
        <w:rPr>
          <w:lang w:val="en_US" w:bidi="en_US"/>
        </w:rPr>
        <w:t xml:space="preserve">, whom will </w:t>
      </w:r>
      <w:r>
        <w:rPr>
          <w:lang w:val="en_US" w:bidi="en_US"/>
        </w:rPr>
        <w:t>he</w:t>
      </w:r>
      <w:r>
        <w:rPr>
          <w:lang w:val="en_US" w:bidi="en_US"/>
        </w:rPr>
        <w:t xml:space="preserve"> save?”</w:t>
      </w:r>
    </w:p>
    <w:p>
      <w:pPr/>
      <w:r>
        <w:rPr>
          <w:lang w:val="en_US" w:bidi="en_US"/>
        </w:rPr>
      </w:r>
      <w:r>
        <w:rPr>
          <w:b/>
          <w:lang w:val="en_US" w:bidi="en_US"/>
        </w:rPr>
        <w:t>Who then can be saved?:</w:t>
      </w:r>
      <w:r>
        <w:rPr>
          <w:lang w:val="en_US" w:bidi="en_US"/>
        </w:rPr>
        <w:t xml:space="preserve"> This is probably a rhetorical question. It is an emphatic way to say, “If that is true, no one can be saved!” It expresses the people’s surprise at what Jesus said in 18:25.</w:t>
      </w:r>
      <w:r>
        <w:rPr>
          <w:lang w:val="en_US" w:bidi="en_US"/>
        </w:rPr>
        <w:t>Jews thought that a person became rich because God blessed him for being righteous. They thought that poor people were probably not righteous. So when the people who were listening to Jesus heard him say that it was impossible for a rich person to enter God’s kingdom, they assumed that poor people could not hope for God to save them either.</w:t>
      </w:r>
    </w:p>
    <w:p>
      <w:pPr/>
      <w:r>
        <w:rPr>
          <w:lang w:val="en_US" w:bidi="en_US"/>
        </w:rPr>
      </w:r>
      <w:r>
        <w:rPr>
          <w:lang w:val="en_US" w:bidi="en_US"/>
        </w:rPr>
        <w:t>Some ways to translate this to express emphasis and surprise are:</w:t>
      </w:r>
    </w:p>
    <w:p>
      <w:pPr>
        <w:pStyle w:val="ListBullet"/>
        <w:spacing w:line="240" w:lineRule="auto"/>
        <w:ind w:left="720"/>
      </w:pPr>
      <w:r>
        <w:rPr>
          <w:lang w:val="en_US" w:bidi="en_US"/>
        </w:rPr>
      </w:r>
      <w:r>
        <w:rPr>
          <w:lang w:val="en_US" w:bidi="en_US"/>
        </w:rPr>
        <w:t>As a rhetorical question. For example:</w:t>
      </w:r>
      <w:r>
        <w:rPr>
          <w:lang w:val="en_US" w:bidi="en_US"/>
        </w:rPr>
        <w:t>How can anyone ever be saved? (CEV)</w:t>
      </w:r>
      <w:r>
        <w:rPr>
          <w:lang w:val="en_US" w:bidi="en_US"/>
        </w:rPr>
        <w:t xml:space="preserve">Then can anyone be saved? </w:t>
      </w:r>
      <w:r>
        <w:rPr>
          <w:lang w:val="en_US" w:bidi="en_US"/>
        </w:rPr>
        <w:t>It is impossible!</w:t>
      </w:r>
    </w:p>
    <w:p>
      <w:pPr>
        <w:pStyle w:val="ListBullet"/>
        <w:spacing w:line="240" w:lineRule="auto"/>
        <w:ind w:left="720"/>
      </w:pPr>
      <w:r>
        <w:rPr>
          <w:lang w:val="en_US" w:bidi="en_US"/>
        </w:rPr>
      </w:r>
      <w:r>
        <w:rPr>
          <w:lang w:val="en_US" w:bidi="en_US"/>
        </w:rPr>
        <w:t>As a statement. For example:</w:t>
      </w:r>
      <w:r>
        <w:rPr>
          <w:lang w:val="en_US" w:bidi="en_US"/>
        </w:rPr>
        <w:t xml:space="preserve">Then </w:t>
      </w:r>
      <w:r>
        <w:rPr>
          <w:lang w:val="en_US" w:bidi="en_US"/>
        </w:rPr>
        <w:t>we do not know</w:t>
      </w:r>
      <w:r>
        <w:rPr>
          <w:lang w:val="en_US" w:bidi="en_US"/>
        </w:rPr>
        <w:t xml:space="preserve"> how anyone can possibly be saved!</w:t>
      </w:r>
      <w:r>
        <w:rPr>
          <w:lang w:val="en_US" w:bidi="en_US"/>
        </w:rPr>
        <w:t>If that is true,</w:t>
      </w:r>
      <w:r>
        <w:rPr>
          <w:lang w:val="en_US" w:bidi="en_US"/>
        </w:rPr>
        <w:t xml:space="preserve"> then God will not save anyone.</w:t>
      </w:r>
    </w:p>
    <w:p>
      <w:pPr/>
      <w:r>
        <w:rPr>
          <w:lang w:val="en_US" w:bidi="en_US"/>
        </w:rPr>
      </w:r>
      <w:r>
        <w:rPr>
          <w:lang w:val="en_US" w:bidi="en_US"/>
        </w:rPr>
        <w:t>Translate this emphasis and surprise in a way that is natural in your language.</w:t>
      </w:r>
    </w:p>
    <w:p>
      <w:pPr/>
      <w:r>
        <w:rPr>
          <w:lang w:val="en_US" w:bidi="en_US"/>
        </w:rPr>
      </w:r>
      <w:r>
        <w:rPr>
          <w:b/>
          <w:lang w:val="en_US" w:bidi="en_US"/>
        </w:rPr>
        <w:t>then:</w:t>
      </w:r>
      <w:r>
        <w:rPr>
          <w:lang w:val="en_US" w:bidi="en_US"/>
        </w:rPr>
        <w:t xml:space="preserve"> In this context the conjunction that the BSB translates as </w:t>
      </w:r>
      <w:r>
        <w:rPr>
          <w:i/>
          <w:lang w:val="en_US" w:bidi="en_US"/>
        </w:rPr>
        <w:t>then</w:t>
      </w:r>
      <w:r>
        <w:rPr>
          <w:lang w:val="en_US" w:bidi="en_US"/>
        </w:rPr>
        <w:t xml:space="preserve"> could also be translated as “in that case” or “if that is so/true.”</w:t>
      </w:r>
    </w:p>
    <w:p>
      <w:pPr/>
      <w:r>
        <w:rPr>
          <w:lang w:val="en_US" w:bidi="en_US"/>
        </w:rPr>
      </w:r>
      <w:r>
        <w:rPr>
          <w:b/>
          <w:lang w:val="en_US" w:bidi="en_US"/>
        </w:rPr>
        <w:t>be saved:</w:t>
      </w:r>
      <w:r>
        <w:rPr>
          <w:lang w:val="en_US" w:bidi="en_US"/>
        </w:rPr>
        <w:t xml:space="preserve"> The Greek verb that the BSB translates as </w:t>
      </w:r>
      <w:r>
        <w:rPr>
          <w:i/>
          <w:lang w:val="en_US" w:bidi="en_US"/>
        </w:rPr>
        <w:t>be saved</w:t>
      </w:r>
      <w:r>
        <w:rPr>
          <w:lang w:val="en_US" w:bidi="en_US"/>
        </w:rPr>
        <w:t xml:space="preserve"> means “to be rescued or preserved from harm.” In this context it refers to God allowing someone to enter his kingdom (18:25) and to receive eternal life.</w:t>
      </w:r>
    </w:p>
    <w:p>
      <w:pPr/>
      <w:r>
        <w:rPr>
          <w:lang w:val="en_US" w:bidi="en_US"/>
        </w:rPr>
      </w:r>
      <w:r>
        <w:rPr>
          <w:lang w:val="en_US" w:bidi="en_US"/>
        </w:rPr>
        <w:t>In some languages, it may be necessary to make explicit what the person was saved from. For example:</w:t>
      </w:r>
    </w:p>
    <w:p>
      <w:pPr/>
      <w:r>
        <w:rPr>
          <w:lang w:val="en_US" w:bidi="en_US"/>
        </w:rPr>
      </w:r>
      <w:r>
        <w:rPr>
          <w:lang w:val="en_US" w:bidi="en_US"/>
        </w:rPr>
        <w:t xml:space="preserve">saved </w:t>
      </w:r>
      <w:r>
        <w:rPr>
          <w:lang w:val="en_US" w:bidi="en_US"/>
        </w:rPr>
        <w:t>from his sins that would prevent him from entering God’s kingdom</w:t>
      </w:r>
    </w:p>
    <w:p>
      <w:pPr/>
      <w:r>
        <w:rPr>
          <w:lang w:val="en_US" w:bidi="en_US"/>
        </w:rPr>
      </w:r>
      <w:r>
        <w:rPr>
          <w:lang w:val="en_US" w:bidi="en_US"/>
        </w:rPr>
        <w:t xml:space="preserve">rescued </w:t>
      </w:r>
      <w:r>
        <w:rPr>
          <w:lang w:val="en_US" w:bidi="en_US"/>
        </w:rPr>
        <w:t>from God’s judgment/punishment</w:t>
      </w:r>
      <w:r>
        <w:rPr>
          <w:lang w:val="en_US" w:bidi="en_US"/>
        </w:rPr>
        <w:t xml:space="preserve"> </w:t>
      </w:r>
      <w:r>
        <w:rPr>
          <w:lang w:val="en_US" w:bidi="en_US"/>
        </w:rPr>
        <w:t>and allowed to enter God’s kingdom</w:t>
      </w:r>
    </w:p>
    <w:p>
      <w:pPr/>
      <w:r>
        <w:rPr>
          <w:lang w:val="en_US" w:bidi="en_US"/>
        </w:rPr>
      </w:r>
      <w:r>
        <w:rPr>
          <w:lang w:val="en_US" w:bidi="en_US"/>
        </w:rPr>
        <w:t xml:space="preserve">The verb </w:t>
      </w:r>
      <w:r>
        <w:rPr>
          <w:i/>
          <w:lang w:val="en_US" w:bidi="en_US"/>
        </w:rPr>
        <w:t>be saved</w:t>
      </w:r>
      <w:r>
        <w:rPr>
          <w:lang w:val="en_US" w:bidi="en_US"/>
        </w:rPr>
        <w:t xml:space="preserve"> is a passive verb. In some languages it is more natural to use an active verb and supply a subject. The implied subject is God. For example:</w:t>
      </w:r>
    </w:p>
    <w:p>
      <w:pPr/>
      <w:r>
        <w:rPr>
          <w:lang w:val="en_US" w:bidi="en_US"/>
        </w:rPr>
      </w:r>
      <w:r>
        <w:rPr>
          <w:lang w:val="en_US" w:bidi="en_US"/>
        </w:rPr>
        <w:t xml:space="preserve">Whom then will </w:t>
      </w:r>
      <w:r>
        <w:rPr>
          <w:lang w:val="en_US" w:bidi="en_US"/>
        </w:rPr>
        <w:t>God</w:t>
      </w:r>
      <w:r>
        <w:rPr>
          <w:lang w:val="en_US" w:bidi="en_US"/>
        </w:rPr>
        <w:t xml:space="preserve"> save?</w:t>
      </w:r>
    </w:p>
    <w:p>
      <w:pPr/>
      <w:r>
        <w:rPr>
          <w:lang w:val="en_US" w:bidi="en_US"/>
        </w:rPr>
      </w:r>
      <w:r>
        <w:rPr>
          <w:lang w:val="en_US" w:bidi="en_US"/>
        </w:rPr>
        <w:t>See save, Meaning 2, in the Glossary.</w:t>
      </w:r>
      <w:r>
        <w:rPr>
          <w:lang w:val="en_US" w:bidi="en_US"/>
        </w:rPr>
      </w:r>
      <w:r>
        <w:rPr>
          <w:lang w:val="en_US" w:bidi="en_US"/>
        </w:rPr>
      </w:r>
    </w:p>
    <w:p>
      <w:pPr/>
      <w:r>
        <w:rPr>
          <w:lang w:val="en_US" w:bidi="en_US"/>
        </w:rPr>
      </w:r>
    </w:p>
    <w:p>
      <w:pPr>
        <w:pStyle w:val="Heading2"/>
      </w:pPr>
      <w:r>
        <w:rPr>
          <w:lang w:val="en_US" w:bidi="en_US"/>
        </w:rPr>
        <w:t>Luke 18:27</w:t>
      </w:r>
      <w:r>
        <w:rPr>
          <w:lang w:val="en_US" w:bidi="en_US"/>
        </w:rPr>
      </w:r>
    </w:p>
    <w:p>
      <w:pPr>
        <w:pStyle w:val="Heading4"/>
      </w:pPr>
      <w:r>
        <w:rPr>
          <w:lang w:val="en_US" w:bidi="en_US"/>
        </w:rPr>
        <w:t>Section 18:18–30: It is hard for rich people to enter God’s kingdom</w:t>
      </w:r>
    </w:p>
    <w:p>
      <w:pPr/>
      <w:r>
        <w:rPr>
          <w:lang w:val="en_US" w:bidi="en_US"/>
        </w:rPr>
      </w:r>
      <w:r>
        <w:rPr>
          <w:lang w:val="en_US" w:bidi="en_US"/>
        </w:rP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pPr/>
      <w:r>
        <w:rPr>
          <w:lang w:val="en_US" w:bidi="en_US"/>
        </w:rPr>
      </w:r>
      <w:r>
        <w:rPr>
          <w:lang w:val="en_US" w:bidi="en_US"/>
        </w:rP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pPr/>
      <w:r>
        <w:rPr>
          <w:lang w:val="en_US" w:bidi="en_US"/>
        </w:rPr>
      </w:r>
      <w:r>
        <w:rPr>
          <w:lang w:val="en_US" w:bidi="en_US"/>
        </w:rPr>
        <w:t>At the end of the section Jesus promised that people who left their possessions and family behind to serve him would receive great rewards.</w:t>
      </w:r>
    </w:p>
    <w:p>
      <w:pPr/>
      <w:r>
        <w:rPr>
          <w:lang w:val="en_US" w:bidi="en_US"/>
        </w:rPr>
      </w:r>
      <w:r>
        <w:rPr>
          <w:lang w:val="en_US" w:bidi="en_US"/>
        </w:rPr>
        <w:t>Other examples of headings for this section are:</w:t>
      </w:r>
    </w:p>
    <w:p>
      <w:pPr/>
      <w:r>
        <w:rPr>
          <w:lang w:val="en_US" w:bidi="en_US"/>
        </w:rPr>
      </w:r>
      <w:r>
        <w:rPr>
          <w:lang w:val="en_US" w:bidi="en_US"/>
        </w:rPr>
        <w:t>Jesus taught that riches make it difficult to obtain eternal life</w:t>
      </w:r>
    </w:p>
    <w:p>
      <w:pPr/>
      <w:r>
        <w:rPr>
          <w:lang w:val="en_US" w:bidi="en_US"/>
        </w:rPr>
      </w:r>
      <w:r>
        <w:rPr>
          <w:lang w:val="en_US" w:bidi="en_US"/>
        </w:rPr>
        <w:t>A Rich Man’s Question (NCV)</w:t>
      </w:r>
    </w:p>
    <w:p>
      <w:pPr/>
      <w:r>
        <w:rPr>
          <w:lang w:val="en_US" w:bidi="en_US"/>
        </w:rPr>
      </w:r>
      <w:r>
        <w:rPr>
          <w:lang w:val="en_US" w:bidi="en_US"/>
        </w:rPr>
        <w:t>The rich young man (NJB)</w:t>
      </w:r>
    </w:p>
    <w:p>
      <w:pPr/>
      <w:r>
        <w:rPr>
          <w:lang w:val="en_US" w:bidi="en_US"/>
        </w:rPr>
      </w:r>
      <w:r>
        <w:rPr>
          <w:lang w:val="en_US" w:bidi="en_US"/>
        </w:rPr>
        <w:t>There are parallel passages for this section in Matthew 19:16–30 and Mark 10:17–31.</w:t>
      </w:r>
    </w:p>
    <w:p>
      <w:pPr>
        <w:pStyle w:val="Heading5"/>
      </w:pPr>
      <w:r>
        <w:rPr>
          <w:lang w:val="en_US" w:bidi="en_US"/>
        </w:rPr>
        <w:t>18:27</w:t>
      </w:r>
    </w:p>
    <w:p>
      <w:pPr/>
      <w:r>
        <w:rPr>
          <w:lang w:val="en_US" w:bidi="en_US"/>
        </w:rPr>
      </w:r>
      <w:r>
        <w:rPr>
          <w:b/>
          <w:lang w:val="en_US" w:bidi="en_US"/>
        </w:rPr>
        <w:t>But Jesus said, “What is impossible with man is possible with God.”</w:t>
      </w:r>
    </w:p>
    <w:p>
      <w:pPr>
        <w:pStyle w:val="ListBullet"/>
        <w:spacing w:line="240" w:lineRule="auto"/>
        <w:ind w:left="720"/>
      </w:pPr>
      <w:r>
        <w:rPr>
          <w:lang w:val="en_US" w:bidi="en_US"/>
        </w:rPr>
      </w:r>
      <w:r>
        <w:rPr>
          <w:lang w:val="en_US" w:bidi="en_US"/>
        </w:rPr>
        <w:t>Jesus said to them, “God can do things that are impossible for people to do.”</w:t>
      </w:r>
    </w:p>
    <w:p>
      <w:pPr>
        <w:pStyle w:val="ListBullet"/>
        <w:spacing w:line="240" w:lineRule="auto"/>
        <w:ind w:left="720"/>
      </w:pPr>
      <w:r>
        <w:rPr>
          <w:lang w:val="en_US" w:bidi="en_US"/>
        </w:rPr>
      </w:r>
      <w:r>
        <w:rPr>
          <w:lang w:val="en_US" w:bidi="en_US"/>
        </w:rPr>
        <w:t>Jesus answered, “Things that are impossible for people to do are possible for God.”</w:t>
      </w:r>
    </w:p>
    <w:p>
      <w:pPr>
        <w:pStyle w:val="ListBullet"/>
        <w:spacing w:line="240" w:lineRule="auto"/>
        <w:ind w:left="720"/>
      </w:pPr>
      <w:r>
        <w:rPr>
          <w:lang w:val="en_US" w:bidi="en_US"/>
        </w:rPr>
      </w:r>
      <w:r>
        <w:rPr>
          <w:lang w:val="en_US" w:bidi="en_US"/>
        </w:rPr>
        <w:t>And/But</w:t>
      </w:r>
      <w:r>
        <w:rPr>
          <w:lang w:val="en_US" w:bidi="en_US"/>
        </w:rPr>
        <w:t xml:space="preserve"> Jesus said to them, “It is true that people cannot </w:t>
      </w:r>
      <w:r>
        <w:rPr>
          <w:lang w:val="en_US" w:bidi="en_US"/>
        </w:rPr>
        <w:t>save themselves</w:t>
      </w:r>
      <w:r>
        <w:rPr>
          <w:lang w:val="en_US" w:bidi="en_US"/>
        </w:rPr>
        <w:t xml:space="preserve">, but God can </w:t>
      </w:r>
      <w:r>
        <w:rPr>
          <w:lang w:val="en_US" w:bidi="en_US"/>
        </w:rPr>
        <w:t>save them</w:t>
      </w:r>
      <w:r>
        <w:rPr>
          <w:lang w:val="en_US" w:bidi="en_US"/>
        </w:rPr>
        <w:t>.”</w:t>
      </w:r>
    </w:p>
    <w:p>
      <w:pPr/>
      <w:r>
        <w:rPr>
          <w:lang w:val="en_US" w:bidi="en_US"/>
        </w:rPr>
      </w:r>
      <w:r>
        <w:rPr>
          <w:b/>
          <w:lang w:val="en_US" w:bidi="en_US"/>
        </w:rPr>
        <w:t>But Jesus said, “What is impossible with man is possible with God”:</w:t>
      </w:r>
      <w:r>
        <w:rPr>
          <w:lang w:val="en_US" w:bidi="en_US"/>
        </w:rPr>
        <w:t xml:space="preserve"> The clause </w:t>
      </w:r>
      <w:r>
        <w:rPr>
          <w:i/>
          <w:lang w:val="en_US" w:bidi="en_US"/>
        </w:rPr>
        <w:t>What is impossible with man is possible with God</w:t>
      </w:r>
      <w:r>
        <w:rPr>
          <w:lang w:val="en_US" w:bidi="en_US"/>
        </w:rPr>
        <w:t xml:space="preserve"> indicates that God can do what people cannot do. In this context, Jesus was saying that it is impossible for anyone to save himself, but it is possible for God to save him. Some ways to translate this are:</w:t>
      </w:r>
    </w:p>
    <w:p>
      <w:pPr/>
      <w:r>
        <w:rPr>
          <w:lang w:val="en_US" w:bidi="en_US"/>
        </w:rPr>
      </w:r>
      <w:r>
        <w:rPr>
          <w:lang w:val="en_US" w:bidi="en_US"/>
        </w:rPr>
        <w:t>God can do things that are not possible for people to do. (NCV)</w:t>
      </w:r>
    </w:p>
    <w:p>
      <w:pPr/>
      <w:r>
        <w:rPr>
          <w:lang w:val="en_US" w:bidi="en_US"/>
        </w:rPr>
      </w:r>
      <w:r>
        <w:rPr>
          <w:lang w:val="en_US" w:bidi="en_US"/>
        </w:rPr>
        <w:t>There are some things that people cannot do, but God can do anything. (CEV)</w:t>
      </w:r>
    </w:p>
    <w:p>
      <w:pPr/>
      <w:r>
        <w:rPr>
          <w:lang w:val="en_US" w:bidi="en_US"/>
        </w:rPr>
      </w:r>
      <w:r>
        <w:rPr>
          <w:lang w:val="en_US" w:bidi="en_US"/>
        </w:rPr>
        <w:t xml:space="preserve">People cannot do anything </w:t>
      </w:r>
      <w:r>
        <w:rPr>
          <w:lang w:val="en_US" w:bidi="en_US"/>
        </w:rPr>
        <w:t>to cause God to save them</w:t>
      </w:r>
      <w:r>
        <w:rPr>
          <w:lang w:val="en_US" w:bidi="en_US"/>
        </w:rPr>
        <w:t xml:space="preserve">. But God himself can </w:t>
      </w:r>
      <w:r>
        <w:rPr>
          <w:lang w:val="en_US" w:bidi="en_US"/>
        </w:rPr>
        <w:t>save them</w:t>
      </w:r>
      <w:r>
        <w:rPr>
          <w:lang w:val="en_US" w:bidi="en_US"/>
        </w:rPr>
        <w:t>.</w:t>
      </w:r>
      <w:r>
        <w:rPr>
          <w:lang w:val="en_US" w:bidi="en_US"/>
        </w:rPr>
      </w:r>
      <w:r>
        <w:rPr>
          <w:lang w:val="en_US" w:bidi="en_US"/>
        </w:rPr>
      </w:r>
    </w:p>
    <w:p>
      <w:pPr/>
      <w:r>
        <w:rPr>
          <w:lang w:val="en_US" w:bidi="en_US"/>
        </w:rPr>
      </w:r>
    </w:p>
    <w:p>
      <w:pPr>
        <w:pStyle w:val="Heading2"/>
      </w:pPr>
      <w:r>
        <w:rPr>
          <w:lang w:val="en_US" w:bidi="en_US"/>
        </w:rPr>
        <w:t>Luke 18:28</w:t>
      </w:r>
      <w:r>
        <w:rPr>
          <w:lang w:val="en_US" w:bidi="en_US"/>
        </w:rPr>
      </w:r>
    </w:p>
    <w:p>
      <w:pPr>
        <w:pStyle w:val="Heading4"/>
      </w:pPr>
      <w:r>
        <w:rPr>
          <w:lang w:val="en_US" w:bidi="en_US"/>
        </w:rPr>
        <w:t>Section 18:18–30: It is hard for rich people to enter God’s kingdom</w:t>
      </w:r>
    </w:p>
    <w:p>
      <w:pPr/>
      <w:r>
        <w:rPr>
          <w:lang w:val="en_US" w:bidi="en_US"/>
        </w:rPr>
      </w:r>
      <w:r>
        <w:rPr>
          <w:lang w:val="en_US" w:bidi="en_US"/>
        </w:rP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pPr/>
      <w:r>
        <w:rPr>
          <w:lang w:val="en_US" w:bidi="en_US"/>
        </w:rPr>
      </w:r>
      <w:r>
        <w:rPr>
          <w:lang w:val="en_US" w:bidi="en_US"/>
        </w:rP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pPr/>
      <w:r>
        <w:rPr>
          <w:lang w:val="en_US" w:bidi="en_US"/>
        </w:rPr>
      </w:r>
      <w:r>
        <w:rPr>
          <w:lang w:val="en_US" w:bidi="en_US"/>
        </w:rPr>
        <w:t>At the end of the section Jesus promised that people who left their possessions and family behind to serve him would receive great rewards.</w:t>
      </w:r>
    </w:p>
    <w:p>
      <w:pPr/>
      <w:r>
        <w:rPr>
          <w:lang w:val="en_US" w:bidi="en_US"/>
        </w:rPr>
      </w:r>
      <w:r>
        <w:rPr>
          <w:lang w:val="en_US" w:bidi="en_US"/>
        </w:rPr>
        <w:t>Other examples of headings for this section are:</w:t>
      </w:r>
    </w:p>
    <w:p>
      <w:pPr/>
      <w:r>
        <w:rPr>
          <w:lang w:val="en_US" w:bidi="en_US"/>
        </w:rPr>
      </w:r>
      <w:r>
        <w:rPr>
          <w:lang w:val="en_US" w:bidi="en_US"/>
        </w:rPr>
        <w:t>Jesus taught that riches make it difficult to obtain eternal life</w:t>
      </w:r>
    </w:p>
    <w:p>
      <w:pPr/>
      <w:r>
        <w:rPr>
          <w:lang w:val="en_US" w:bidi="en_US"/>
        </w:rPr>
      </w:r>
      <w:r>
        <w:rPr>
          <w:lang w:val="en_US" w:bidi="en_US"/>
        </w:rPr>
        <w:t>A Rich Man’s Question (NCV)</w:t>
      </w:r>
    </w:p>
    <w:p>
      <w:pPr/>
      <w:r>
        <w:rPr>
          <w:lang w:val="en_US" w:bidi="en_US"/>
        </w:rPr>
      </w:r>
      <w:r>
        <w:rPr>
          <w:lang w:val="en_US" w:bidi="en_US"/>
        </w:rPr>
        <w:t>The rich young man (NJB)</w:t>
      </w:r>
    </w:p>
    <w:p>
      <w:pPr/>
      <w:r>
        <w:rPr>
          <w:lang w:val="en_US" w:bidi="en_US"/>
        </w:rPr>
      </w:r>
      <w:r>
        <w:rPr>
          <w:lang w:val="en_US" w:bidi="en_US"/>
        </w:rPr>
        <w:t>There are parallel passages for this section in Matthew 19:16–30 and Mark 10:17–31.</w:t>
      </w:r>
    </w:p>
    <w:p>
      <w:pPr>
        <w:pStyle w:val="Heading5"/>
      </w:pPr>
      <w:r>
        <w:rPr>
          <w:lang w:val="en_US" w:bidi="en_US"/>
        </w:rPr>
        <w:t>18:28a</w:t>
      </w:r>
    </w:p>
    <w:p>
      <w:pPr/>
      <w:r>
        <w:rPr>
          <w:lang w:val="en_US" w:bidi="en_US"/>
        </w:rPr>
      </w:r>
      <w:r>
        <w:rPr>
          <w:b/>
          <w:lang w:val="en_US" w:bidi="en_US"/>
        </w:rPr>
        <w:t>“Look,” said Peter, “we have left all we had</w:t>
      </w:r>
    </w:p>
    <w:p>
      <w:pPr>
        <w:pStyle w:val="ListBullet"/>
        <w:spacing w:line="240" w:lineRule="auto"/>
        <w:ind w:left="720"/>
      </w:pPr>
      <w:r>
        <w:rPr>
          <w:lang w:val="en_US" w:bidi="en_US"/>
        </w:rPr>
      </w:r>
      <w:r>
        <w:rPr>
          <w:lang w:val="en_US" w:bidi="en_US"/>
        </w:rPr>
        <w:t>Peter said to Jesus, “See/look, we</w:t>
      </w:r>
      <w:r>
        <w:rPr>
          <w:vertAlign w:val="superscript"/>
          <w:lang w:val="en_US" w:bidi="en_US"/>
        </w:rPr>
        <w:t>(excl)</w:t>
      </w:r>
      <w:r>
        <w:rPr>
          <w:lang w:val="en_US" w:bidi="en_US"/>
        </w:rPr>
        <w:t xml:space="preserve"> have left everything that belonged to us</w:t>
      </w:r>
      <w:r>
        <w:rPr>
          <w:vertAlign w:val="superscript"/>
          <w:lang w:val="en_US" w:bidi="en_US"/>
        </w:rPr>
        <w:t>(excl)</w:t>
      </w:r>
    </w:p>
    <w:p>
      <w:pPr>
        <w:pStyle w:val="ListBullet"/>
        <w:spacing w:line="240" w:lineRule="auto"/>
        <w:ind w:left="720"/>
      </w:pPr>
      <w:r>
        <w:rPr>
          <w:lang w:val="en_US" w:bidi="en_US"/>
        </w:rPr>
      </w:r>
      <w:r>
        <w:rPr>
          <w:lang w:val="en_US" w:bidi="en_US"/>
        </w:rPr>
        <w:t>Peter said to Jesus, “</w:t>
      </w:r>
      <w:r>
        <w:rPr>
          <w:lang w:val="en_US" w:bidi="en_US"/>
        </w:rPr>
        <w:t>Lord,</w:t>
      </w:r>
      <w:r>
        <w:rPr>
          <w:lang w:val="en_US" w:bidi="en_US"/>
        </w:rPr>
        <w:t xml:space="preserve"> notice/remember that we</w:t>
      </w:r>
      <w:r>
        <w:rPr>
          <w:vertAlign w:val="superscript"/>
          <w:lang w:val="en_US" w:bidi="en_US"/>
        </w:rPr>
        <w:t>(excl)</w:t>
      </w:r>
      <w:r>
        <w:rPr>
          <w:lang w:val="en_US" w:bidi="en_US"/>
        </w:rPr>
        <w:t xml:space="preserve"> </w:t>
      </w:r>
      <w:r>
        <w:rPr>
          <w:lang w:val="en_US" w:bidi="en_US"/>
        </w:rPr>
        <w:t>followers</w:t>
      </w:r>
      <w:r>
        <w:rPr>
          <w:lang w:val="en_US" w:bidi="en_US"/>
        </w:rPr>
        <w:t xml:space="preserve"> have abandoned everything of ours</w:t>
      </w:r>
    </w:p>
    <w:p>
      <w:pPr/>
      <w:r>
        <w:rPr>
          <w:lang w:val="en_US" w:bidi="en_US"/>
        </w:rPr>
      </w:r>
      <w:r>
        <w:rPr>
          <w:b/>
          <w:lang w:val="en_US" w:bidi="en_US"/>
        </w:rPr>
        <w:t>Look…we have left:</w:t>
      </w:r>
      <w:r>
        <w:rPr>
          <w:lang w:val="en_US" w:bidi="en_US"/>
        </w:rPr>
        <w:t xml:space="preserve"> In Greek Peter began his reply to Jesus with a word that draws attention to what he was about to say. Sometimes it is translated in English as </w:t>
      </w:r>
      <w:r>
        <w:rPr>
          <w:i/>
          <w:lang w:val="en_US" w:bidi="en_US"/>
        </w:rPr>
        <w:t>Look</w:t>
      </w:r>
      <w:r>
        <w:rPr>
          <w:lang w:val="en_US" w:bidi="en_US"/>
        </w:rPr>
        <w:t>, as in the BSB, or “Listen.” Some versions, such as the NIV, have not translated this Greek word here. Other English versions translate it in several ways in this context. For example:</w:t>
      </w:r>
    </w:p>
    <w:p>
      <w:pPr/>
      <w:r>
        <w:rPr>
          <w:lang w:val="en_US" w:bidi="en_US"/>
        </w:rPr>
      </w:r>
      <w:r>
        <w:rPr>
          <w:lang w:val="en_US" w:bidi="en_US"/>
        </w:rPr>
        <w:t>Look! We have left… (GNT)</w:t>
      </w:r>
    </w:p>
    <w:p>
      <w:pPr/>
      <w:r>
        <w:rPr>
          <w:lang w:val="en_US" w:bidi="en_US"/>
        </w:rPr>
      </w:r>
      <w:r>
        <w:rPr>
          <w:lang w:val="en_US" w:bidi="en_US"/>
        </w:rPr>
        <w:t>Remember, we left… (CEV)</w:t>
      </w:r>
    </w:p>
    <w:p>
      <w:pPr/>
      <w:r>
        <w:rPr>
          <w:lang w:val="en_US" w:bidi="en_US"/>
        </w:rPr>
      </w:r>
      <w:r>
        <w:rPr>
          <w:lang w:val="en_US" w:bidi="en_US"/>
        </w:rPr>
        <w:t>What about us? We left… (REB)</w:t>
      </w:r>
    </w:p>
    <w:p>
      <w:pPr/>
      <w:r>
        <w:rPr>
          <w:lang w:val="en_US" w:bidi="en_US"/>
        </w:rPr>
      </w:r>
      <w:r>
        <w:rPr>
          <w:lang w:val="en_US" w:bidi="en_US"/>
        </w:rPr>
        <w:t>Use a natural way in your language to indicate that Peter wanted Jesus to pay special attention to what he was about to say.</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refers to the disciples. It does not include Jesus.</w:t>
      </w:r>
    </w:p>
    <w:p>
      <w:pPr/>
      <w:r>
        <w:rPr>
          <w:lang w:val="en_US" w:bidi="en_US"/>
        </w:rPr>
      </w:r>
      <w:r>
        <w:rPr>
          <w:lang w:val="en_US" w:bidi="en_US"/>
        </w:rPr>
        <w:t>In this context the pronoun is emphatic. It implies a contrast with the rich man or with rich people in general. (See 18:24.) In contrast to the rich leader who would not give up his possessions, the disciples had left everything to follow Jesus. In some languages it may be necessary to make this contrast explicit. For example:</w:t>
      </w:r>
    </w:p>
    <w:p>
      <w:pPr/>
      <w:r>
        <w:rPr>
          <w:lang w:val="en_US" w:bidi="en_US"/>
        </w:rPr>
      </w:r>
      <w:r>
        <w:rPr>
          <w:lang w:val="en_US" w:bidi="en_US"/>
        </w:rPr>
        <w:t>Unlike the rich leader/people</w:t>
      </w:r>
      <w:r>
        <w:rPr>
          <w:lang w:val="en_US" w:bidi="en_US"/>
        </w:rPr>
        <w:t>Similarly, the TRT.</w:t>
      </w:r>
    </w:p>
    <w:p>
      <w:pPr/>
      <w:r>
        <w:rPr>
          <w:lang w:val="en_US" w:bidi="en_US"/>
        </w:rPr>
      </w:r>
      <w:r>
        <w:rPr>
          <w:lang w:val="en_US" w:bidi="en_US"/>
        </w:rPr>
        <w:t>Indicate this contrast in a natural way in your language.</w:t>
      </w:r>
    </w:p>
    <w:p>
      <w:pPr/>
      <w:r>
        <w:rPr>
          <w:lang w:val="en_US" w:bidi="en_US"/>
        </w:rPr>
      </w:r>
      <w:r>
        <w:rPr>
          <w:b/>
          <w:lang w:val="en_US" w:bidi="en_US"/>
        </w:rPr>
        <w:t>have left all we had:</w:t>
      </w:r>
      <w:r>
        <w:rPr>
          <w:lang w:val="en_US" w:bidi="en_US"/>
        </w:rPr>
        <w:t xml:space="preserve"> The Greek verb that the BSB translates as </w:t>
      </w:r>
      <w:r>
        <w:rPr>
          <w:i/>
          <w:lang w:val="en_US" w:bidi="en_US"/>
        </w:rPr>
        <w:t>have left</w:t>
      </w:r>
      <w:r>
        <w:rPr>
          <w:lang w:val="en_US" w:bidi="en_US"/>
        </w:rPr>
        <w:t xml:space="preserve"> means “left behind” or “abandoned.” This verb implies here that the disciples thought that following Jesus was more important than keeping their possessions. Whether they gave away their possessions or just left them with relatives is not known.</w:t>
      </w:r>
    </w:p>
    <w:p>
      <w:pPr/>
      <w:r>
        <w:rPr>
          <w:lang w:val="en_US" w:bidi="en_US"/>
        </w:rPr>
      </w:r>
      <w:r>
        <w:rPr>
          <w:lang w:val="en_US" w:bidi="en_US"/>
        </w:rPr>
        <w:t>Some other ways to translate this are:</w:t>
      </w:r>
    </w:p>
    <w:p>
      <w:pPr/>
      <w:r>
        <w:rPr>
          <w:lang w:val="en_US" w:bidi="en_US"/>
        </w:rPr>
      </w:r>
      <w:r>
        <w:rPr>
          <w:lang w:val="en_US" w:bidi="en_US"/>
        </w:rPr>
        <w:t>abandoned everything that we had</w:t>
      </w:r>
    </w:p>
    <w:p>
      <w:pPr/>
      <w:r>
        <w:rPr>
          <w:lang w:val="en_US" w:bidi="en_US"/>
        </w:rPr>
      </w:r>
      <w:r>
        <w:rPr>
          <w:lang w:val="en_US" w:bidi="en_US"/>
        </w:rPr>
        <w:t>put aside all that we owned</w:t>
      </w:r>
    </w:p>
    <w:p>
      <w:pPr/>
      <w:r>
        <w:rPr>
          <w:lang w:val="en_US" w:bidi="en_US"/>
        </w:rPr>
      </w:r>
      <w:r>
        <w:rPr>
          <w:b/>
          <w:lang w:val="en_US" w:bidi="en_US"/>
        </w:rPr>
        <w:t>all we had:</w:t>
      </w:r>
      <w:r>
        <w:rPr>
          <w:lang w:val="en_US" w:bidi="en_US"/>
        </w:rPr>
        <w:t xml:space="preserve"> The Greek phrase that the BSB translates as </w:t>
      </w:r>
      <w:r>
        <w:rPr>
          <w:i/>
          <w:lang w:val="en_US" w:bidi="en_US"/>
        </w:rPr>
        <w:t>all we had</w:t>
      </w:r>
      <w:r>
        <w:rPr>
          <w:lang w:val="en_US" w:bidi="en_US"/>
        </w:rPr>
        <w:t xml:space="preserve"> is literally “our own things.” There are two ways to interpret it in this context:</w:t>
      </w:r>
    </w:p>
    <w:p>
      <w:pPr>
        <w:pStyle w:val="ListNumber"/>
        <w:numPr>
          <w:ilvl w:val="0"/>
          <w:numId w:val="305"/>
        </w:numPr>
        <w:spacing w:line="240" w:lineRule="auto"/>
        <w:ind w:left="720"/>
      </w:pPr>
      <w:r>
        <w:rPr>
          <w:lang w:val="en_US" w:bidi="en_US"/>
        </w:rPr>
      </w:r>
      <w:r>
        <w:rPr>
          <w:lang w:val="en_US" w:bidi="en_US"/>
        </w:rPr>
        <w:t>It refers in general to property and possessions, including homes and families. For example:</w:t>
      </w:r>
      <w:r>
        <w:rPr>
          <w:lang w:val="en_US" w:bidi="en_US"/>
        </w:rPr>
        <w:t xml:space="preserve">we have left everything we own (NET) </w:t>
      </w:r>
      <w:r>
        <w:rPr>
          <w:i/>
          <w:lang w:val="en_US" w:bidi="en_US"/>
        </w:rPr>
        <w:t>(BSB, NET, NIV, KJV, CEV, NCV, GW, REB, NJB)</w:t>
      </w:r>
    </w:p>
    <w:p>
      <w:pPr>
        <w:pStyle w:val="ListNumber"/>
        <w:spacing w:line="240" w:lineRule="auto"/>
        <w:ind w:left="720"/>
      </w:pPr>
      <w:r>
        <w:rPr>
          <w:lang w:val="en_US" w:bidi="en_US"/>
        </w:rPr>
      </w:r>
      <w:r>
        <w:rPr>
          <w:lang w:val="en_US" w:bidi="en_US"/>
        </w:rPr>
        <w:t>It refers specifically to homes. For example:</w:t>
      </w:r>
      <w:r>
        <w:rPr>
          <w:lang w:val="en_US" w:bidi="en_US"/>
        </w:rPr>
        <w:t xml:space="preserve">We have left our homes (GNT) </w:t>
      </w:r>
      <w:r>
        <w:rPr>
          <w:i/>
          <w:lang w:val="en_US" w:bidi="en_US"/>
        </w:rPr>
        <w:t>(GNT, NASB, NLT, RSV)</w:t>
      </w:r>
    </w:p>
    <w:p>
      <w:pPr/>
      <w:r>
        <w:rPr>
          <w:lang w:val="en_US" w:bidi="en_US"/>
        </w:rPr>
      </w:r>
      <w:r>
        <w:rPr>
          <w:lang w:val="en_US" w:bidi="en_US"/>
        </w:rPr>
        <w:t xml:space="preserve">It is recommended that you follow interpretation (1). Peter was saying that he and the other disciples of Jesus had left everything so that they could be his disciples. The phrase </w:t>
      </w:r>
      <w:r>
        <w:rPr>
          <w:i/>
          <w:lang w:val="en_US" w:bidi="en_US"/>
        </w:rPr>
        <w:t>all we had</w:t>
      </w:r>
      <w:r>
        <w:rPr>
          <w:lang w:val="en_US" w:bidi="en_US"/>
        </w:rPr>
        <w:t xml:space="preserve"> probably includes the things that Jesus mentioned in 18:29.</w:t>
      </w:r>
    </w:p>
    <w:p>
      <w:pPr>
        <w:pStyle w:val="Heading5"/>
      </w:pPr>
      <w:r>
        <w:rPr>
          <w:lang w:val="en_US" w:bidi="en_US"/>
        </w:rPr>
        <w:t>18:28b</w:t>
      </w:r>
    </w:p>
    <w:p>
      <w:pPr/>
      <w:r>
        <w:rPr>
          <w:lang w:val="en_US" w:bidi="en_US"/>
        </w:rPr>
      </w:r>
      <w:r>
        <w:rPr>
          <w:b/>
          <w:lang w:val="en_US" w:bidi="en_US"/>
        </w:rPr>
        <w:t>to follow You.”</w:t>
      </w:r>
    </w:p>
    <w:p>
      <w:pPr>
        <w:pStyle w:val="ListBullet"/>
        <w:spacing w:line="240" w:lineRule="auto"/>
        <w:ind w:left="720"/>
      </w:pPr>
      <w:r>
        <w:rPr>
          <w:lang w:val="en_US" w:bidi="en_US"/>
        </w:rPr>
      </w:r>
      <w:r>
        <w:rPr>
          <w:lang w:val="en_US" w:bidi="en_US"/>
        </w:rPr>
        <w:t>and followed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to be your</w:t>
      </w:r>
      <w:r>
        <w:rPr>
          <w:vertAlign w:val="superscript"/>
          <w:lang w:val="en_US" w:bidi="en_US"/>
        </w:rPr>
        <w:t>(sing)</w:t>
      </w:r>
      <w:r>
        <w:rPr>
          <w:lang w:val="en_US" w:bidi="en_US"/>
        </w:rPr>
        <w:t xml:space="preserve"> disciples.”</w:t>
      </w:r>
    </w:p>
    <w:p>
      <w:pPr>
        <w:pStyle w:val="ListBullet"/>
        <w:spacing w:line="240" w:lineRule="auto"/>
        <w:ind w:left="720"/>
      </w:pPr>
      <w:r>
        <w:rPr>
          <w:lang w:val="en_US" w:bidi="en_US"/>
        </w:rPr>
      </w:r>
      <w:r>
        <w:rPr>
          <w:lang w:val="en_US" w:bidi="en_US"/>
        </w:rPr>
        <w:t>so that we</w:t>
      </w:r>
      <w:r>
        <w:rPr>
          <w:vertAlign w:val="superscript"/>
          <w:lang w:val="en_US" w:bidi="en_US"/>
        </w:rPr>
        <w:t>(excl)</w:t>
      </w:r>
      <w:r>
        <w:rPr>
          <w:lang w:val="en_US" w:bidi="en_US"/>
        </w:rPr>
        <w:t xml:space="preserve"> could follow you</w:t>
      </w:r>
      <w:r>
        <w:rPr>
          <w:vertAlign w:val="superscript"/>
          <w:lang w:val="en_US" w:bidi="en_US"/>
        </w:rPr>
        <w:t>(sing)</w:t>
      </w:r>
      <w:r>
        <w:rPr>
          <w:lang w:val="en_US" w:bidi="en_US"/>
        </w:rPr>
        <w:t xml:space="preserve"> </w:t>
      </w:r>
      <w:r>
        <w:rPr>
          <w:lang w:val="en_US" w:bidi="en_US"/>
        </w:rPr>
        <w:t>as your disciples</w:t>
      </w:r>
      <w:r>
        <w:rPr>
          <w:lang w:val="en_US" w:bidi="en_US"/>
        </w:rPr>
        <w:t>.”</w:t>
      </w:r>
    </w:p>
    <w:p>
      <w:pPr/>
      <w:r>
        <w:rPr>
          <w:lang w:val="en_US" w:bidi="en_US"/>
        </w:rPr>
      </w:r>
      <w:r>
        <w:rPr>
          <w:b/>
          <w:lang w:val="en_US" w:bidi="en_US"/>
        </w:rPr>
        <w:t>to follow You:</w:t>
      </w:r>
      <w:r>
        <w:rPr>
          <w:lang w:val="en_US" w:bidi="en_US"/>
        </w:rPr>
        <w:t xml:space="preserve"> The Greek phrase that the BSB translates as </w:t>
      </w:r>
      <w:r>
        <w:rPr>
          <w:i/>
          <w:lang w:val="en_US" w:bidi="en_US"/>
        </w:rPr>
        <w:t>to follow You</w:t>
      </w:r>
      <w:r>
        <w:rPr>
          <w:lang w:val="en_US" w:bidi="en_US"/>
        </w:rPr>
        <w:t xml:space="preserve"> is literally “and we</w:t>
      </w:r>
      <w:r>
        <w:rPr>
          <w:vertAlign w:val="superscript"/>
          <w:lang w:val="en_US" w:bidi="en_US"/>
        </w:rPr>
        <w:t>(excl)</w:t>
      </w:r>
      <w:r>
        <w:rPr>
          <w:lang w:val="en_US" w:bidi="en_US"/>
        </w:rPr>
        <w:t xml:space="preserve"> followed you.” It expresses the purpose that the disciples had for leaving everything. They left everything to become his disciples. Express this purpose in a natural way in your language.</w:t>
      </w:r>
    </w:p>
    <w:p>
      <w:pPr/>
      <w:r>
        <w:rPr>
          <w:lang w:val="en_US" w:bidi="en_US"/>
        </w:rPr>
      </w:r>
      <w:r>
        <w:rPr>
          <w:lang w:val="en_US" w:bidi="en_US"/>
        </w:rPr>
        <w:t>The disciples followed Jesus in both a literal and figurative way. They literally followed him wherever he went, and they also “followed him” by learning from him as his disciples. In some languages it may be necessary to indicate the figurative meaning along with the literal meaning. For example:</w:t>
      </w:r>
    </w:p>
    <w:p>
      <w:pPr/>
      <w:r>
        <w:rPr>
          <w:lang w:val="en_US" w:bidi="en_US"/>
        </w:rPr>
      </w:r>
      <w:r>
        <w:rPr>
          <w:lang w:val="en_US" w:bidi="en_US"/>
        </w:rPr>
        <w:t xml:space="preserve">in order to follow you </w:t>
      </w:r>
      <w:r>
        <w:rPr>
          <w:lang w:val="en_US" w:bidi="en_US"/>
        </w:rPr>
        <w:t>as your disciples</w:t>
      </w:r>
    </w:p>
    <w:p>
      <w:pPr/>
      <w:r>
        <w:rPr>
          <w:lang w:val="en_US" w:bidi="en_US"/>
        </w:rPr>
      </w:r>
      <w:r>
        <w:rPr>
          <w:lang w:val="en_US" w:bidi="en_US"/>
        </w:rPr>
        <w:t xml:space="preserve">to follow you </w:t>
      </w:r>
      <w:r>
        <w:rPr>
          <w:lang w:val="en_US" w:bidi="en_US"/>
        </w:rPr>
        <w:t>and learn from you</w:t>
      </w:r>
      <w:r>
        <w:rPr>
          <w:lang w:val="en_US" w:bidi="en_US"/>
        </w:rPr>
      </w:r>
      <w:r>
        <w:rPr>
          <w:lang w:val="en_US" w:bidi="en_US"/>
        </w:rPr>
      </w:r>
    </w:p>
    <w:p>
      <w:pPr/>
      <w:r>
        <w:rPr>
          <w:lang w:val="en_US" w:bidi="en_US"/>
        </w:rPr>
      </w:r>
    </w:p>
    <w:p>
      <w:pPr>
        <w:pStyle w:val="Heading2"/>
      </w:pPr>
      <w:r>
        <w:rPr>
          <w:lang w:val="en_US" w:bidi="en_US"/>
        </w:rPr>
        <w:t>Luke 18:29</w:t>
      </w:r>
      <w:r>
        <w:rPr>
          <w:lang w:val="en_US" w:bidi="en_US"/>
        </w:rPr>
      </w:r>
    </w:p>
    <w:p>
      <w:pPr>
        <w:pStyle w:val="Heading4"/>
      </w:pPr>
      <w:r>
        <w:rPr>
          <w:lang w:val="en_US" w:bidi="en_US"/>
        </w:rPr>
        <w:t>Section 18:18–30: It is hard for rich people to enter God’s kingdom</w:t>
      </w:r>
    </w:p>
    <w:p>
      <w:pPr/>
      <w:r>
        <w:rPr>
          <w:lang w:val="en_US" w:bidi="en_US"/>
        </w:rPr>
      </w:r>
      <w:r>
        <w:rPr>
          <w:lang w:val="en_US" w:bidi="en_US"/>
        </w:rP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pPr/>
      <w:r>
        <w:rPr>
          <w:lang w:val="en_US" w:bidi="en_US"/>
        </w:rPr>
      </w:r>
      <w:r>
        <w:rPr>
          <w:lang w:val="en_US" w:bidi="en_US"/>
        </w:rP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pPr/>
      <w:r>
        <w:rPr>
          <w:lang w:val="en_US" w:bidi="en_US"/>
        </w:rPr>
      </w:r>
      <w:r>
        <w:rPr>
          <w:lang w:val="en_US" w:bidi="en_US"/>
        </w:rPr>
        <w:t>At the end of the section Jesus promised that people who left their possessions and family behind to serve him would receive great rewards.</w:t>
      </w:r>
    </w:p>
    <w:p>
      <w:pPr/>
      <w:r>
        <w:rPr>
          <w:lang w:val="en_US" w:bidi="en_US"/>
        </w:rPr>
      </w:r>
      <w:r>
        <w:rPr>
          <w:lang w:val="en_US" w:bidi="en_US"/>
        </w:rPr>
        <w:t>Other examples of headings for this section are:</w:t>
      </w:r>
    </w:p>
    <w:p>
      <w:pPr/>
      <w:r>
        <w:rPr>
          <w:lang w:val="en_US" w:bidi="en_US"/>
        </w:rPr>
      </w:r>
      <w:r>
        <w:rPr>
          <w:lang w:val="en_US" w:bidi="en_US"/>
        </w:rPr>
        <w:t>Jesus taught that riches make it difficult to obtain eternal life</w:t>
      </w:r>
    </w:p>
    <w:p>
      <w:pPr/>
      <w:r>
        <w:rPr>
          <w:lang w:val="en_US" w:bidi="en_US"/>
        </w:rPr>
      </w:r>
      <w:r>
        <w:rPr>
          <w:lang w:val="en_US" w:bidi="en_US"/>
        </w:rPr>
        <w:t>A Rich Man’s Question (NCV)</w:t>
      </w:r>
    </w:p>
    <w:p>
      <w:pPr/>
      <w:r>
        <w:rPr>
          <w:lang w:val="en_US" w:bidi="en_US"/>
        </w:rPr>
      </w:r>
      <w:r>
        <w:rPr>
          <w:lang w:val="en_US" w:bidi="en_US"/>
        </w:rPr>
        <w:t>The rich young man (NJB)</w:t>
      </w:r>
    </w:p>
    <w:p>
      <w:pPr/>
      <w:r>
        <w:rPr>
          <w:lang w:val="en_US" w:bidi="en_US"/>
        </w:rPr>
      </w:r>
      <w:r>
        <w:rPr>
          <w:lang w:val="en_US" w:bidi="en_US"/>
        </w:rPr>
        <w:t>There are parallel passages for this section in Matthew 19:16–30 and Mark 10:17–31.</w:t>
      </w:r>
    </w:p>
    <w:p>
      <w:pPr>
        <w:pStyle w:val="Heading5"/>
      </w:pPr>
      <w:r>
        <w:rPr>
          <w:lang w:val="en_US" w:bidi="en_US"/>
        </w:rPr>
        <w:t>18:29a</w:t>
      </w:r>
    </w:p>
    <w:p>
      <w:pPr/>
      <w:r>
        <w:rPr>
          <w:lang w:val="en_US" w:bidi="en_US"/>
        </w:rPr>
      </w:r>
      <w:r>
        <w:rPr>
          <w:b/>
          <w:lang w:val="en_US" w:bidi="en_US"/>
        </w:rPr>
        <w:t>“Truly I tell you,” Jesus replied,</w:t>
      </w:r>
    </w:p>
    <w:p>
      <w:pPr>
        <w:pStyle w:val="ListBullet"/>
        <w:spacing w:line="240" w:lineRule="auto"/>
        <w:ind w:left="720"/>
      </w:pPr>
      <w:r>
        <w:rPr>
          <w:lang w:val="en_US" w:bidi="en_US"/>
        </w:rPr>
      </w:r>
      <w:r>
        <w:rPr>
          <w:lang w:val="en_US" w:bidi="en_US"/>
        </w:rPr>
        <w:t>Jesus said to the disciples, “I assure you</w:t>
      </w:r>
      <w:r>
        <w:rPr>
          <w:vertAlign w:val="superscript"/>
          <w:lang w:val="en_US" w:bidi="en_US"/>
        </w:rPr>
        <w:t>(plur)</w:t>
      </w:r>
      <w:r>
        <w:rPr>
          <w:lang w:val="en_US" w:bidi="en_US"/>
        </w:rPr>
        <w:t xml:space="preserve"> that</w:t>
      </w:r>
    </w:p>
    <w:p>
      <w:pPr>
        <w:pStyle w:val="ListBullet"/>
        <w:spacing w:line="240" w:lineRule="auto"/>
        <w:ind w:left="720"/>
      </w:pPr>
      <w:r>
        <w:rPr>
          <w:lang w:val="en_US" w:bidi="en_US"/>
        </w:rPr>
      </w:r>
      <w:r>
        <w:rPr>
          <w:lang w:val="en_US" w:bidi="en_US"/>
        </w:rPr>
        <w:t>He/Jesus told them, “Listen carefully to what I am about to tell you</w:t>
      </w:r>
      <w:r>
        <w:rPr>
          <w:vertAlign w:val="superscript"/>
          <w:lang w:val="en_US" w:bidi="en_US"/>
        </w:rPr>
        <w:t>(plur)</w:t>
      </w:r>
      <w:r>
        <w:rPr>
          <w:lang w:val="en_US" w:bidi="en_US"/>
        </w:rPr>
        <w:t>.</w:t>
      </w:r>
    </w:p>
    <w:p>
      <w:pPr/>
      <w:r>
        <w:rPr>
          <w:lang w:val="en_US" w:bidi="en_US"/>
        </w:rPr>
      </w:r>
      <w:r>
        <w:rPr>
          <w:b/>
          <w:lang w:val="en_US" w:bidi="en_US"/>
        </w:rPr>
        <w:t>Truly I tell you:</w:t>
      </w:r>
      <w:r>
        <w:rPr>
          <w:lang w:val="en_US" w:bidi="en_US"/>
        </w:rPr>
        <w:t xml:space="preserve"> Jesus also used this phrase at 18:17. Here the phrase emphasizes what Jesus was about to say to the disciples in 18:29b–30b. Other ways to translate it are:</w:t>
      </w:r>
    </w:p>
    <w:p>
      <w:pPr/>
      <w:r>
        <w:rPr>
          <w:lang w:val="en_US" w:bidi="en_US"/>
        </w:rPr>
      </w:r>
      <w:r>
        <w:rPr>
          <w:lang w:val="en_US" w:bidi="en_US"/>
        </w:rPr>
        <w:t>I assure you that… (GNT)</w:t>
      </w:r>
    </w:p>
    <w:p>
      <w:pPr/>
      <w:r>
        <w:rPr>
          <w:lang w:val="en_US" w:bidi="en_US"/>
        </w:rPr>
      </w:r>
      <w:r>
        <w:rPr>
          <w:lang w:val="en_US" w:bidi="en_US"/>
        </w:rPr>
        <w:t>I can promise you that…</w:t>
      </w:r>
    </w:p>
    <w:p>
      <w:pPr/>
      <w:r>
        <w:rPr>
          <w:lang w:val="en_US" w:bidi="en_US"/>
        </w:rPr>
      </w:r>
      <w:r>
        <w:rPr>
          <w:lang w:val="en_US" w:bidi="en_US"/>
        </w:rPr>
        <w:t>I can guarantee this truth: (GW)</w:t>
      </w:r>
    </w:p>
    <w:p>
      <w:pPr/>
      <w:r>
        <w:rPr>
          <w:lang w:val="en_US" w:bidi="en_US"/>
        </w:rPr>
      </w:r>
      <w:r>
        <w:rPr>
          <w:lang w:val="en_US" w:bidi="en_US"/>
        </w:rPr>
        <w:t>For more suggestions, see the notes on 18:17a.</w:t>
      </w:r>
    </w:p>
    <w:p>
      <w:pPr/>
      <w:r>
        <w:rPr>
          <w:lang w:val="en_US" w:bidi="en_US"/>
        </w:rPr>
      </w:r>
      <w:r>
        <w:rPr>
          <w:b/>
          <w:lang w:val="en_US" w:bidi="en_US"/>
        </w:rPr>
        <w:t>Jesus replied:</w:t>
      </w:r>
      <w:r>
        <w:rPr>
          <w:lang w:val="en_US" w:bidi="en_US"/>
        </w:rPr>
        <w:t xml:space="preserve"> In the Greek text, this clause occurs before the words “Truly I tell you.” Place it where it is most natural in your language.</w:t>
      </w:r>
    </w:p>
    <w:p>
      <w:pPr>
        <w:pStyle w:val="Heading5"/>
      </w:pPr>
      <w:r>
        <w:rPr>
          <w:lang w:val="en_US" w:bidi="en_US"/>
        </w:rPr>
        <w:t>18:29b–30a</w:t>
      </w:r>
    </w:p>
    <w:p>
      <w:pPr/>
      <w:r>
        <w:rPr>
          <w:lang w:val="en_US" w:bidi="en_US"/>
        </w:rPr>
      </w:r>
      <w:r>
        <w:rPr>
          <w:b/>
          <w:lang w:val="en_US" w:bidi="en_US"/>
        </w:rPr>
        <w:t>no one who has left…will fail to receive:</w:t>
      </w:r>
      <w:r>
        <w:rPr>
          <w:lang w:val="en_US" w:bidi="en_US"/>
        </w:rPr>
        <w:t xml:space="preserve"> The phrase </w:t>
      </w:r>
      <w:r>
        <w:rPr>
          <w:i/>
          <w:lang w:val="en_US" w:bidi="en_US"/>
        </w:rPr>
        <w:t>no one who has left…will fail to receive</w:t>
      </w:r>
      <w:r>
        <w:rPr>
          <w:lang w:val="en_US" w:bidi="en_US"/>
        </w:rPr>
        <w:t xml:space="preserve"> is an emphatic way to say “anyone who has left…will certainly receive.” For example:</w:t>
      </w:r>
    </w:p>
    <w:p>
      <w:pPr/>
      <w:r>
        <w:rPr>
          <w:lang w:val="en_US" w:bidi="en_US"/>
        </w:rPr>
      </w:r>
      <w:r>
        <w:rPr>
          <w:u w:val="single"/>
          <w:lang w:val="en_US" w:bidi="en_US"/>
        </w:rPr>
        <w:t>Anyone who gave up</w:t>
      </w:r>
      <w:r>
        <w:rPr>
          <w:lang w:val="en_US" w:bidi="en_US"/>
        </w:rPr>
        <w:t xml:space="preserve"> his home, wife, brothers, parents, or children…</w:t>
      </w:r>
      <w:r>
        <w:rPr>
          <w:u w:val="single"/>
          <w:lang w:val="en_US" w:bidi="en_US"/>
        </w:rPr>
        <w:t>will certainly receive</w:t>
      </w:r>
      <w:r>
        <w:rPr>
          <w:lang w:val="en_US" w:bidi="en_US"/>
        </w:rPr>
        <w:t xml:space="preserve"> many times as much in this life… (GW)</w:t>
      </w:r>
    </w:p>
    <w:p>
      <w:pPr>
        <w:pStyle w:val="Heading5"/>
      </w:pPr>
      <w:r>
        <w:rPr>
          <w:lang w:val="en_US" w:bidi="en_US"/>
        </w:rPr>
        <w:t>18:29b</w:t>
      </w:r>
    </w:p>
    <w:p>
      <w:pPr/>
      <w:r>
        <w:rPr>
          <w:lang w:val="en_US" w:bidi="en_US"/>
        </w:rPr>
      </w:r>
      <w:r>
        <w:rPr>
          <w:b/>
          <w:lang w:val="en_US" w:bidi="en_US"/>
        </w:rPr>
        <w:t>“no one who has left home or wife or brothers or parents or children</w:t>
      </w:r>
    </w:p>
    <w:p>
      <w:pPr>
        <w:pStyle w:val="ListBullet"/>
        <w:spacing w:line="240" w:lineRule="auto"/>
        <w:ind w:left="720"/>
      </w:pPr>
      <w:r>
        <w:rPr>
          <w:lang w:val="en_US" w:bidi="en_US"/>
        </w:rPr>
      </w:r>
      <w:r>
        <w:rPr>
          <w:lang w:val="en_US" w:bidi="en_US"/>
        </w:rPr>
        <w:t>anyone/everyone who leaves his home or wife or brothers or parents or children</w:t>
      </w:r>
    </w:p>
    <w:p>
      <w:pPr>
        <w:pStyle w:val="ListBullet"/>
        <w:spacing w:line="240" w:lineRule="auto"/>
        <w:ind w:left="720"/>
      </w:pPr>
      <w:r>
        <w:rPr>
          <w:lang w:val="en_US" w:bidi="en_US"/>
        </w:rPr>
      </w:r>
      <w:r>
        <w:rPr>
          <w:lang w:val="en_US" w:bidi="en_US"/>
        </w:rPr>
        <w:t>When/If you</w:t>
      </w:r>
      <w:r>
        <w:rPr>
          <w:vertAlign w:val="superscript"/>
          <w:lang w:val="en_US" w:bidi="en_US"/>
        </w:rPr>
        <w:t>(plur)</w:t>
      </w:r>
      <w:r>
        <w:rPr>
          <w:lang w:val="en_US" w:bidi="en_US"/>
        </w:rPr>
        <w:t xml:space="preserve"> leave </w:t>
      </w:r>
      <w:r>
        <w:rPr>
          <w:lang w:val="en_US" w:bidi="en_US"/>
        </w:rPr>
        <w:t>your</w:t>
      </w:r>
      <w:r>
        <w:rPr>
          <w:lang w:val="en_US" w:bidi="en_US"/>
        </w:rPr>
        <w:t xml:space="preserve"> home, </w:t>
      </w:r>
      <w:r>
        <w:rPr>
          <w:lang w:val="en_US" w:bidi="en_US"/>
        </w:rPr>
        <w:t>your</w:t>
      </w:r>
      <w:r>
        <w:rPr>
          <w:lang w:val="en_US" w:bidi="en_US"/>
        </w:rPr>
        <w:t xml:space="preserve"> wife, </w:t>
      </w:r>
      <w:r>
        <w:rPr>
          <w:lang w:val="en_US" w:bidi="en_US"/>
        </w:rPr>
        <w:t>your</w:t>
      </w:r>
      <w:r>
        <w:rPr>
          <w:lang w:val="en_US" w:bidi="en_US"/>
        </w:rPr>
        <w:t xml:space="preserve"> brothers, </w:t>
      </w:r>
      <w:r>
        <w:rPr>
          <w:lang w:val="en_US" w:bidi="en_US"/>
        </w:rPr>
        <w:t>your</w:t>
      </w:r>
      <w:r>
        <w:rPr>
          <w:lang w:val="en_US" w:bidi="en_US"/>
        </w:rPr>
        <w:t xml:space="preserve"> parents, or </w:t>
      </w:r>
      <w:r>
        <w:rPr>
          <w:lang w:val="en_US" w:bidi="en_US"/>
        </w:rPr>
        <w:t>your</w:t>
      </w:r>
      <w:r>
        <w:rPr>
          <w:lang w:val="en_US" w:bidi="en_US"/>
        </w:rPr>
        <w:t xml:space="preserve"> children</w:t>
      </w:r>
    </w:p>
    <w:p>
      <w:pPr>
        <w:pStyle w:val="Heading5"/>
      </w:pPr>
      <w:r>
        <w:rPr>
          <w:lang w:val="en_US" w:bidi="en_US"/>
        </w:rPr>
        <w:t>18:29c</w:t>
      </w:r>
    </w:p>
    <w:p>
      <w:pPr/>
      <w:r>
        <w:rPr>
          <w:lang w:val="en_US" w:bidi="en_US"/>
        </w:rPr>
      </w:r>
      <w:r>
        <w:rPr>
          <w:b/>
          <w:lang w:val="en_US" w:bidi="en_US"/>
        </w:rPr>
        <w:t>for the sake of the kingdom of God</w:t>
      </w:r>
    </w:p>
    <w:p>
      <w:pPr>
        <w:pStyle w:val="ListBullet"/>
        <w:spacing w:line="240" w:lineRule="auto"/>
        <w:ind w:left="720"/>
      </w:pPr>
      <w:r>
        <w:rPr>
          <w:lang w:val="en_US" w:bidi="en_US"/>
        </w:rPr>
      </w:r>
      <w:r>
        <w:rPr>
          <w:lang w:val="en_US" w:bidi="en_US"/>
        </w:rPr>
        <w:t xml:space="preserve">to serve God </w:t>
      </w:r>
      <w:r>
        <w:rPr>
          <w:lang w:val="en_US" w:bidi="en_US"/>
        </w:rPr>
        <w:t>in</w:t>
      </w:r>
      <w:r>
        <w:rPr>
          <w:lang w:val="en_US" w:bidi="en_US"/>
        </w:rPr>
        <w:t xml:space="preserve"> his kingdom</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w:t>
      </w:r>
      <w:r>
        <w:rPr>
          <w:lang w:val="en_US" w:bidi="en_US"/>
        </w:rPr>
        <w:t>can submit to</w:t>
      </w:r>
      <w:r>
        <w:rPr>
          <w:lang w:val="en_US" w:bidi="en_US"/>
        </w:rPr>
        <w:t xml:space="preserve"> God as your king,</w:t>
      </w:r>
    </w:p>
    <w:p>
      <w:pPr>
        <w:pStyle w:val="Heading5"/>
      </w:pPr>
      <w:r>
        <w:rPr>
          <w:lang w:val="en_US" w:bidi="en_US"/>
        </w:rPr>
        <w:t>18:29b–c</w:t>
      </w:r>
    </w:p>
    <w:p>
      <w:pPr/>
      <w:r>
        <w:rPr>
          <w:lang w:val="en_US" w:bidi="en_US"/>
        </w:rPr>
      </w:r>
      <w:r>
        <w:rPr>
          <w:b/>
          <w:lang w:val="en_US" w:bidi="en_US"/>
        </w:rPr>
        <w:t>has left home or wife or brothers or parents or children for the sake of the kingdom of God:</w:t>
      </w:r>
      <w:r>
        <w:rPr>
          <w:lang w:val="en_US" w:bidi="en_US"/>
        </w:rPr>
        <w:t xml:space="preserve"> Here Jesus implied that sometimes his disciples must leave their homes and families in order to serve God and his kingdom. In this context, leaving family members probably implies being away from them for a long time. Jesus’ disciples did this when they left their families to travel with Jesus. Sometimes people may also have to leave their family members in order to become people in God’s kingdom. This is especially true when family members oppose Jesus.</w:t>
      </w:r>
    </w:p>
    <w:p>
      <w:pPr/>
      <w:r>
        <w:rPr>
          <w:lang w:val="en_US" w:bidi="en_US"/>
        </w:rPr>
      </w:r>
      <w:r>
        <w:rPr>
          <w:lang w:val="en_US" w:bidi="en_US"/>
        </w:rPr>
        <w:t>Some other ways to translate this are:</w:t>
      </w:r>
    </w:p>
    <w:p>
      <w:pPr/>
      <w:r>
        <w:rPr>
          <w:lang w:val="en_US" w:bidi="en_US"/>
        </w:rPr>
      </w:r>
      <w:r>
        <w:rPr>
          <w:lang w:val="en_US" w:bidi="en_US"/>
        </w:rPr>
        <w:t>has left behind their homes or wives or brothers or parents or children in order to serve God as his king</w:t>
      </w:r>
    </w:p>
    <w:p>
      <w:pPr/>
      <w:r>
        <w:rPr>
          <w:lang w:val="en_US" w:bidi="en_US"/>
        </w:rPr>
      </w:r>
      <w:r>
        <w:rPr>
          <w:lang w:val="en_US" w:bidi="en_US"/>
        </w:rPr>
        <w:t>has given up his home, wife, brothers, parents, or children to submit to God as his king</w:t>
      </w:r>
    </w:p>
    <w:p>
      <w:pPr/>
      <w:r>
        <w:rPr>
          <w:lang w:val="en_US" w:bidi="en_US"/>
        </w:rPr>
      </w:r>
      <w:r>
        <w:rPr>
          <w:b/>
          <w:lang w:val="en_US" w:bidi="en_US"/>
        </w:rPr>
        <w:t>home:</w:t>
      </w:r>
      <w:r>
        <w:rPr>
          <w:lang w:val="en_US" w:bidi="en_US"/>
        </w:rPr>
        <w:t xml:space="preserve"> The Greek word that the BSB translates as </w:t>
      </w:r>
      <w:r>
        <w:rPr>
          <w:i/>
          <w:lang w:val="en_US" w:bidi="en_US"/>
        </w:rPr>
        <w:t>home</w:t>
      </w:r>
      <w:r>
        <w:rPr>
          <w:lang w:val="en_US" w:bidi="en_US"/>
        </w:rPr>
        <w:t xml:space="preserve"> can refer to any house. It can also refer to the family members who live in a person’s house.</w:t>
      </w:r>
    </w:p>
    <w:p>
      <w:pPr/>
      <w:r>
        <w:rPr>
          <w:lang w:val="en_US" w:bidi="en_US"/>
        </w:rPr>
      </w:r>
      <w:r>
        <w:rPr>
          <w:b/>
          <w:lang w:val="en_US" w:bidi="en_US"/>
        </w:rPr>
        <w:t>brothers or parents or children:</w:t>
      </w:r>
      <w:r>
        <w:rPr>
          <w:lang w:val="en_US" w:bidi="en_US"/>
        </w:rPr>
        <w:t xml:space="preserve"> The word </w:t>
      </w:r>
      <w:r>
        <w:rPr>
          <w:i/>
          <w:lang w:val="en_US" w:bidi="en_US"/>
        </w:rPr>
        <w:t>brothers</w:t>
      </w:r>
      <w:r>
        <w:rPr>
          <w:lang w:val="en_US" w:bidi="en_US"/>
        </w:rPr>
        <w:t xml:space="preserve"> includes all siblings, older and younger, male and female. The word </w:t>
      </w:r>
      <w:r>
        <w:rPr>
          <w:i/>
          <w:lang w:val="en_US" w:bidi="en_US"/>
        </w:rPr>
        <w:t>parents</w:t>
      </w:r>
      <w:r>
        <w:rPr>
          <w:lang w:val="en_US" w:bidi="en_US"/>
        </w:rPr>
        <w:t xml:space="preserve"> refers to both mother and father. The word </w:t>
      </w:r>
      <w:r>
        <w:rPr>
          <w:i/>
          <w:lang w:val="en_US" w:bidi="en_US"/>
        </w:rPr>
        <w:t>children</w:t>
      </w:r>
      <w:r>
        <w:rPr>
          <w:lang w:val="en_US" w:bidi="en_US"/>
        </w:rPr>
        <w:t xml:space="preserve"> refers to a person’s sons and daughters. Use appropriate kinship terms in your language.</w:t>
      </w:r>
      <w:r>
        <w:rPr>
          <w:lang w:val="en_US" w:bidi="en_US"/>
        </w:rPr>
      </w:r>
      <w:r>
        <w:rPr>
          <w:lang w:val="en_US" w:bidi="en_US"/>
        </w:rPr>
      </w:r>
    </w:p>
    <w:p>
      <w:pPr/>
      <w:r>
        <w:rPr>
          <w:lang w:val="en_US" w:bidi="en_US"/>
        </w:rPr>
      </w:r>
    </w:p>
    <w:p>
      <w:pPr>
        <w:pStyle w:val="Heading2"/>
      </w:pPr>
      <w:r>
        <w:rPr>
          <w:lang w:val="en_US" w:bidi="en_US"/>
        </w:rPr>
        <w:t>Luke 18:30</w:t>
      </w:r>
      <w:r>
        <w:rPr>
          <w:lang w:val="en_US" w:bidi="en_US"/>
        </w:rPr>
      </w:r>
    </w:p>
    <w:p>
      <w:pPr>
        <w:pStyle w:val="Heading4"/>
      </w:pPr>
      <w:r>
        <w:rPr>
          <w:lang w:val="en_US" w:bidi="en_US"/>
        </w:rPr>
        <w:t>Section 18:18–30: It is hard for rich people to enter God’s kingdom</w:t>
      </w:r>
    </w:p>
    <w:p>
      <w:pPr/>
      <w:r>
        <w:rPr>
          <w:lang w:val="en_US" w:bidi="en_US"/>
        </w:rPr>
      </w:r>
      <w:r>
        <w:rPr>
          <w:lang w:val="en_US" w:bidi="en_US"/>
        </w:rPr>
        <w:t>The theme of this section is similar in some ways to the theme of the preceding section. In both sections Jesus talked about entering the kingdom of God. This section also contrasts with the preceding one. In that section the children represent humble people who easily depend on God and welcome his rule/reign. The ruler in this section represents people who are rich and powerful. It is very difficult for such people to welcome God’s reign and submit to it.</w:t>
      </w:r>
    </w:p>
    <w:p>
      <w:pPr/>
      <w:r>
        <w:rPr>
          <w:lang w:val="en_US" w:bidi="en_US"/>
        </w:rPr>
      </w:r>
      <w:r>
        <w:rPr>
          <w:lang w:val="en_US" w:bidi="en_US"/>
        </w:rPr>
        <w:t>The ruler asked Jesus how he could obtain eternal life. Jesus told him to obey God’s commands. Among the Jews, this was a well-known answer to the question of how to obtain eternal life. The ruler said that he had obeyed God’s commands since he was a child. Then Jesus told him to sell what he had, give the money to the poor, and become his disciple. But the ruler valued his riches too much to do that. Then Jesus said that it is very hard for rich people to enter God’s kingdom.</w:t>
      </w:r>
    </w:p>
    <w:p>
      <w:pPr/>
      <w:r>
        <w:rPr>
          <w:lang w:val="en_US" w:bidi="en_US"/>
        </w:rPr>
      </w:r>
      <w:r>
        <w:rPr>
          <w:lang w:val="en_US" w:bidi="en_US"/>
        </w:rPr>
        <w:t>At the end of the section Jesus promised that people who left their possessions and family behind to serve him would receive great rewards.</w:t>
      </w:r>
    </w:p>
    <w:p>
      <w:pPr/>
      <w:r>
        <w:rPr>
          <w:lang w:val="en_US" w:bidi="en_US"/>
        </w:rPr>
      </w:r>
      <w:r>
        <w:rPr>
          <w:lang w:val="en_US" w:bidi="en_US"/>
        </w:rPr>
        <w:t>Other examples of headings for this section are:</w:t>
      </w:r>
    </w:p>
    <w:p>
      <w:pPr/>
      <w:r>
        <w:rPr>
          <w:lang w:val="en_US" w:bidi="en_US"/>
        </w:rPr>
      </w:r>
      <w:r>
        <w:rPr>
          <w:lang w:val="en_US" w:bidi="en_US"/>
        </w:rPr>
        <w:t>Jesus taught that riches make it difficult to obtain eternal life</w:t>
      </w:r>
    </w:p>
    <w:p>
      <w:pPr/>
      <w:r>
        <w:rPr>
          <w:lang w:val="en_US" w:bidi="en_US"/>
        </w:rPr>
      </w:r>
      <w:r>
        <w:rPr>
          <w:lang w:val="en_US" w:bidi="en_US"/>
        </w:rPr>
        <w:t>A Rich Man’s Question (NCV)</w:t>
      </w:r>
    </w:p>
    <w:p>
      <w:pPr/>
      <w:r>
        <w:rPr>
          <w:lang w:val="en_US" w:bidi="en_US"/>
        </w:rPr>
      </w:r>
      <w:r>
        <w:rPr>
          <w:lang w:val="en_US" w:bidi="en_US"/>
        </w:rPr>
        <w:t>The rich young man (NJB)</w:t>
      </w:r>
    </w:p>
    <w:p>
      <w:pPr/>
      <w:r>
        <w:rPr>
          <w:lang w:val="en_US" w:bidi="en_US"/>
        </w:rPr>
      </w:r>
      <w:r>
        <w:rPr>
          <w:lang w:val="en_US" w:bidi="en_US"/>
        </w:rPr>
        <w:t>There are parallel passages for this section in Matthew 19:16–30 and Mark 10:17–31.</w:t>
      </w:r>
    </w:p>
    <w:p>
      <w:pPr>
        <w:pStyle w:val="Heading5"/>
      </w:pPr>
      <w:r>
        <w:rPr>
          <w:lang w:val="en_US" w:bidi="en_US"/>
        </w:rPr>
        <w:t>18:30a</w:t>
      </w:r>
    </w:p>
    <w:p>
      <w:pPr/>
      <w:r>
        <w:rPr>
          <w:lang w:val="en_US" w:bidi="en_US"/>
        </w:rPr>
      </w:r>
      <w:r>
        <w:rPr>
          <w:b/>
          <w:lang w:val="en_US" w:bidi="en_US"/>
        </w:rPr>
        <w:t>will fail to receive many times more in this age—</w:t>
      </w:r>
    </w:p>
    <w:p>
      <w:pPr>
        <w:pStyle w:val="ListBullet"/>
        <w:spacing w:line="240" w:lineRule="auto"/>
        <w:ind w:left="720"/>
      </w:pPr>
      <w:r>
        <w:rPr>
          <w:lang w:val="en_US" w:bidi="en_US"/>
        </w:rPr>
      </w:r>
      <w:r>
        <w:rPr>
          <w:lang w:val="en_US" w:bidi="en_US"/>
        </w:rPr>
        <w:t xml:space="preserve">will receive all these things many times over in this </w:t>
      </w:r>
      <w:r>
        <w:rPr>
          <w:lang w:val="en_US" w:bidi="en_US"/>
        </w:rPr>
        <w:t>earthly</w:t>
      </w:r>
      <w:r>
        <w:rPr>
          <w:lang w:val="en_US" w:bidi="en_US"/>
        </w:rPr>
        <w:t xml:space="preserve"> life.</w:t>
      </w:r>
    </w:p>
    <w:p>
      <w:pPr>
        <w:pStyle w:val="ListBullet"/>
        <w:spacing w:line="240" w:lineRule="auto"/>
        <w:ind w:left="720"/>
      </w:pPr>
      <w:r>
        <w:rPr>
          <w:lang w:val="en_US" w:bidi="en_US"/>
        </w:rPr>
      </w:r>
      <w:r>
        <w:rPr>
          <w:lang w:val="en_US" w:bidi="en_US"/>
        </w:rPr>
        <w:t>God</w:t>
      </w:r>
      <w:r>
        <w:rPr>
          <w:lang w:val="en_US" w:bidi="en_US"/>
        </w:rPr>
        <w:t xml:space="preserve"> will certainly give you</w:t>
      </w:r>
      <w:r>
        <w:rPr>
          <w:vertAlign w:val="superscript"/>
          <w:lang w:val="en_US" w:bidi="en_US"/>
        </w:rPr>
        <w:t>(plur)</w:t>
      </w:r>
      <w:r>
        <w:rPr>
          <w:lang w:val="en_US" w:bidi="en_US"/>
        </w:rPr>
        <w:t xml:space="preserve"> much more than this </w:t>
      </w:r>
      <w:r>
        <w:rPr>
          <w:lang w:val="en_US" w:bidi="en_US"/>
        </w:rPr>
        <w:t>even</w:t>
      </w:r>
      <w:r>
        <w:rPr>
          <w:lang w:val="en_US" w:bidi="en_US"/>
        </w:rPr>
        <w:t xml:space="preserve"> here on earth.</w:t>
      </w:r>
    </w:p>
    <w:p>
      <w:pPr/>
      <w:r>
        <w:rPr>
          <w:lang w:val="en_US" w:bidi="en_US"/>
        </w:rPr>
      </w:r>
      <w:r>
        <w:rPr>
          <w:b/>
          <w:lang w:val="en_US" w:bidi="en_US"/>
        </w:rPr>
        <w:t>will fail to receive:</w:t>
      </w:r>
      <w:r>
        <w:rPr>
          <w:lang w:val="en_US" w:bidi="en_US"/>
        </w:rPr>
        <w:t xml:space="preserve"> See the note on 18:29b–30a for translation suggestions.</w:t>
      </w:r>
    </w:p>
    <w:p>
      <w:pPr/>
      <w:r>
        <w:rPr>
          <w:lang w:val="en_US" w:bidi="en_US"/>
        </w:rPr>
      </w:r>
      <w:r>
        <w:rPr>
          <w:b/>
          <w:lang w:val="en_US" w:bidi="en_US"/>
        </w:rPr>
        <w:t>many times more:</w:t>
      </w:r>
      <w:r>
        <w:rPr>
          <w:lang w:val="en_US" w:bidi="en_US"/>
        </w:rPr>
        <w:t xml:space="preserve"> The phrase </w:t>
      </w:r>
      <w:r>
        <w:rPr>
          <w:i/>
          <w:lang w:val="en_US" w:bidi="en_US"/>
        </w:rPr>
        <w:t>many times more</w:t>
      </w:r>
      <w:r>
        <w:rPr>
          <w:lang w:val="en_US" w:bidi="en_US"/>
        </w:rPr>
        <w:t xml:space="preserve"> implies a comparison. Jesus compared the reward the disciples will receive to what they left behind. The phrase indicates that what they will receive was far more valuable and greater than what they gave up to follow him. In some languages it may be necessary to make the comparison more explicit. For example:</w:t>
      </w:r>
    </w:p>
    <w:p>
      <w:pPr/>
      <w:r>
        <w:rPr>
          <w:lang w:val="en_US" w:bidi="en_US"/>
        </w:rPr>
      </w:r>
      <w:r>
        <w:rPr>
          <w:lang w:val="en_US" w:bidi="en_US"/>
        </w:rPr>
        <w:t xml:space="preserve">many times as much </w:t>
      </w:r>
      <w:r>
        <w:rPr>
          <w:lang w:val="en_US" w:bidi="en_US"/>
        </w:rPr>
        <w:t>as he left</w:t>
      </w:r>
    </w:p>
    <w:p>
      <w:pPr/>
      <w:r>
        <w:rPr>
          <w:lang w:val="en_US" w:bidi="en_US"/>
        </w:rPr>
      </w:r>
      <w:r>
        <w:rPr>
          <w:lang w:val="en_US" w:bidi="en_US"/>
        </w:rPr>
        <w:t xml:space="preserve">very much more </w:t>
      </w:r>
      <w:r>
        <w:rPr>
          <w:lang w:val="en_US" w:bidi="en_US"/>
        </w:rPr>
        <w:t>than he gave up</w:t>
      </w:r>
    </w:p>
    <w:p>
      <w:pPr/>
      <w:r>
        <w:rPr>
          <w:lang w:val="en_US" w:bidi="en_US"/>
        </w:rPr>
      </w:r>
      <w:r>
        <w:rPr>
          <w:b/>
          <w:lang w:val="en_US" w:bidi="en_US"/>
        </w:rPr>
        <w:t>in this age:</w:t>
      </w:r>
      <w:r>
        <w:rPr>
          <w:lang w:val="en_US" w:bidi="en_US"/>
        </w:rPr>
        <w:t xml:space="preserve"> The phrase </w:t>
      </w:r>
      <w:r>
        <w:rPr>
          <w:i/>
          <w:lang w:val="en_US" w:bidi="en_US"/>
        </w:rPr>
        <w:t>in this age</w:t>
      </w:r>
      <w:r>
        <w:rPr>
          <w:lang w:val="en_US" w:bidi="en_US"/>
        </w:rPr>
        <w:t xml:space="preserve"> is literally “in this time.” It refers to the present time while people are living on earth. Other ways to say it are:</w:t>
      </w:r>
    </w:p>
    <w:p>
      <w:pPr/>
      <w:r>
        <w:rPr>
          <w:lang w:val="en_US" w:bidi="en_US"/>
        </w:rPr>
      </w:r>
      <w:r>
        <w:rPr>
          <w:lang w:val="en_US" w:bidi="en_US"/>
        </w:rPr>
        <w:t>in this life (NCV)</w:t>
      </w:r>
    </w:p>
    <w:p>
      <w:pPr/>
      <w:r>
        <w:rPr>
          <w:lang w:val="en_US" w:bidi="en_US"/>
        </w:rPr>
      </w:r>
      <w:r>
        <w:rPr>
          <w:lang w:val="en_US" w:bidi="en_US"/>
        </w:rPr>
        <w:t>in this present life (JBP)</w:t>
      </w:r>
    </w:p>
    <w:p>
      <w:pPr>
        <w:pStyle w:val="Heading5"/>
      </w:pPr>
      <w:r>
        <w:rPr>
          <w:lang w:val="en_US" w:bidi="en_US"/>
        </w:rPr>
        <w:t>18:30b</w:t>
      </w:r>
    </w:p>
    <w:p>
      <w:pPr/>
      <w:r>
        <w:rPr>
          <w:lang w:val="en_US" w:bidi="en_US"/>
        </w:rPr>
      </w:r>
      <w:r>
        <w:rPr>
          <w:b/>
          <w:lang w:val="en_US" w:bidi="en_US"/>
        </w:rPr>
        <w:t>and in the age to come, eternal life.”</w:t>
      </w:r>
    </w:p>
    <w:p>
      <w:pPr>
        <w:pStyle w:val="ListBullet"/>
        <w:spacing w:line="240" w:lineRule="auto"/>
        <w:ind w:left="720"/>
      </w:pPr>
      <w:r>
        <w:rPr>
          <w:lang w:val="en_US" w:bidi="en_US"/>
        </w:rPr>
      </w:r>
      <w:r>
        <w:rPr>
          <w:lang w:val="en_US" w:bidi="en_US"/>
        </w:rPr>
        <w:t>And in heaven he will receive eternal life as well.”</w:t>
      </w:r>
    </w:p>
    <w:p>
      <w:pPr>
        <w:pStyle w:val="ListBullet"/>
        <w:spacing w:line="240" w:lineRule="auto"/>
        <w:ind w:left="720"/>
      </w:pPr>
      <w:r>
        <w:rPr>
          <w:lang w:val="en_US" w:bidi="en_US"/>
        </w:rPr>
      </w:r>
      <w:r>
        <w:rPr>
          <w:lang w:val="en_US" w:bidi="en_US"/>
        </w:rPr>
        <w:t>And after you</w:t>
      </w:r>
      <w:r>
        <w:rPr>
          <w:vertAlign w:val="superscript"/>
          <w:lang w:val="en_US" w:bidi="en_US"/>
        </w:rPr>
        <w:t>(plur)</w:t>
      </w:r>
      <w:r>
        <w:rPr>
          <w:lang w:val="en_US" w:bidi="en_US"/>
        </w:rPr>
        <w:t xml:space="preserve"> </w:t>
      </w:r>
      <w:r>
        <w:rPr>
          <w:lang w:val="en_US" w:bidi="en_US"/>
        </w:rPr>
        <w:t>die and</w:t>
      </w:r>
      <w:r>
        <w:rPr>
          <w:lang w:val="en_US" w:bidi="en_US"/>
        </w:rPr>
        <w:t xml:space="preserve"> enter the next world, you will live forever </w:t>
      </w:r>
      <w:r>
        <w:rPr>
          <w:lang w:val="en_US" w:bidi="en_US"/>
        </w:rPr>
        <w:t>with God</w:t>
      </w:r>
      <w:r>
        <w:rPr>
          <w:lang w:val="en_US" w:bidi="en_US"/>
        </w:rPr>
        <w:t>.”</w:t>
      </w:r>
    </w:p>
    <w:p>
      <w:pPr/>
      <w:r>
        <w:rPr>
          <w:lang w:val="en_US" w:bidi="en_US"/>
        </w:rPr>
      </w:r>
      <w:r>
        <w:rPr>
          <w:b/>
          <w:lang w:val="en_US" w:bidi="en_US"/>
        </w:rPr>
        <w:t>and in the age to come, eternal life:</w:t>
      </w:r>
      <w:r>
        <w:rPr>
          <w:lang w:val="en_US" w:bidi="en_US"/>
        </w:rPr>
        <w:t xml:space="preserve"> The phrase </w:t>
      </w:r>
      <w:r>
        <w:rPr>
          <w:i/>
          <w:lang w:val="en_US" w:bidi="en_US"/>
        </w:rPr>
        <w:t>in the age to come</w:t>
      </w:r>
      <w:r>
        <w:rPr>
          <w:lang w:val="en_US" w:bidi="en_US"/>
        </w:rPr>
        <w:t xml:space="preserve"> refers to the time after a person has finished living on earth. The phrase </w:t>
      </w:r>
      <w:r>
        <w:rPr>
          <w:i/>
          <w:lang w:val="en_US" w:bidi="en_US"/>
        </w:rPr>
        <w:t>eternal life</w:t>
      </w:r>
      <w:r>
        <w:rPr>
          <w:lang w:val="en_US" w:bidi="en_US"/>
        </w:rPr>
        <w:t xml:space="preserve"> was also used in 18:18, where the ruler asked Jesus what he should do to receive it. Here Jesus assured the disciples that people who left what they had for the sake of God’s kingdom will receive eternal life. After they die, they will live forever with God.</w:t>
      </w:r>
    </w:p>
    <w:p>
      <w:pPr/>
      <w:r>
        <w:rPr>
          <w:lang w:val="en_US" w:bidi="en_US"/>
        </w:rPr>
      </w:r>
      <w:r>
        <w:rPr>
          <w:lang w:val="en_US" w:bidi="en_US"/>
        </w:rPr>
        <w:t>This is the final clause of a long sentence. In some languages it may be best to repeat the subject and verb of the clause. For example:</w:t>
      </w:r>
    </w:p>
    <w:p>
      <w:pPr/>
      <w:r>
        <w:rPr>
          <w:lang w:val="en_US" w:bidi="en_US"/>
        </w:rPr>
      </w:r>
      <w:r>
        <w:rPr>
          <w:lang w:val="en_US" w:bidi="en_US"/>
        </w:rPr>
        <w:t>And in the future world they will have eternal life. (CEV)</w:t>
      </w:r>
    </w:p>
    <w:p>
      <w:pPr/>
      <w:r>
        <w:rPr>
          <w:lang w:val="en_US" w:bidi="en_US"/>
        </w:rPr>
      </w:r>
      <w:r>
        <w:rPr>
          <w:lang w:val="en_US" w:bidi="en_US"/>
        </w:rPr>
        <w:t>And in the age that is coming, they will have life forever. (NCV)</w:t>
      </w:r>
    </w:p>
    <w:p>
      <w:pPr/>
      <w:r>
        <w:rPr>
          <w:lang w:val="en_US" w:bidi="en_US"/>
        </w:rPr>
      </w:r>
      <w:r>
        <w:rPr>
          <w:lang w:val="en_US" w:bidi="en_US"/>
        </w:rPr>
        <w:t>They will also live forever with God after they die.</w:t>
      </w:r>
    </w:p>
    <w:p>
      <w:pPr>
        <w:pStyle w:val="Heading6"/>
      </w:pPr>
      <w:r>
        <w:rPr>
          <w:b/>
          <w:lang w:val="en_US" w:bidi="en_US"/>
        </w:rPr>
        <w:t>General Comments on 18:29–30</w:t>
      </w:r>
    </w:p>
    <w:p>
      <w:pPr/>
      <w:r>
        <w:rPr>
          <w:lang w:val="en_US" w:bidi="en_US"/>
        </w:rPr>
      </w:r>
      <w:r>
        <w:rPr>
          <w:lang w:val="en_US" w:bidi="en_US"/>
        </w:rPr>
        <w:t>In these verses Jesus spoke about the people who left home and family for him. He used third person forms: “he, she, the one(s), anyone/everyone.” Peter and the other disciples were some of the people whom Jesus was talking about. So in some languages it may be more natural to use “you</w:t>
      </w:r>
      <w:r>
        <w:rPr>
          <w:vertAlign w:val="superscript"/>
          <w:lang w:val="en_US" w:bidi="en_US"/>
        </w:rPr>
        <w:t>(plur)</w:t>
      </w:r>
      <w:r>
        <w:rPr>
          <w:lang w:val="en_US" w:bidi="en_US"/>
        </w:rPr>
        <w:t>” in these verses. For example:</w:t>
      </w:r>
    </w:p>
    <w:p>
      <w:pPr/>
      <w:r>
        <w:rPr>
          <w:lang w:val="en_US" w:bidi="en_US"/>
        </w:rPr>
      </w:r>
      <w:r>
        <w:rPr>
          <w:lang w:val="en_US" w:bidi="en_US"/>
        </w:rPr>
        <w:t>Jesus said to the disciples, “I tell you</w:t>
      </w:r>
      <w:r>
        <w:rPr>
          <w:vertAlign w:val="superscript"/>
          <w:lang w:val="en_US" w:bidi="en_US"/>
        </w:rPr>
        <w:t>(plur)</w:t>
      </w:r>
      <w:r>
        <w:rPr>
          <w:lang w:val="en_US" w:bidi="en_US"/>
        </w:rPr>
        <w:t xml:space="preserve"> the truth, none of you</w:t>
      </w:r>
      <w:r>
        <w:rPr>
          <w:vertAlign w:val="superscript"/>
          <w:lang w:val="en_US" w:bidi="en_US"/>
        </w:rPr>
        <w:t>(plur)</w:t>
      </w:r>
      <w:r>
        <w:rPr>
          <w:lang w:val="en_US" w:bidi="en_US"/>
        </w:rPr>
        <w:t xml:space="preserve"> who have left home, wives, brothers, parents, or children for the sake of the kingdom of God will fail to receive many times as much in this age, and in the age to come you</w:t>
      </w:r>
      <w:r>
        <w:rPr>
          <w:vertAlign w:val="superscript"/>
          <w:lang w:val="en_US" w:bidi="en_US"/>
        </w:rPr>
        <w:t>(plur)</w:t>
      </w:r>
      <w:r>
        <w:rPr>
          <w:lang w:val="en_US" w:bidi="en_US"/>
        </w:rPr>
        <w:t xml:space="preserve"> will receive eternal life.”</w:t>
      </w:r>
    </w:p>
    <w:p>
      <w:pPr/>
      <w:r>
        <w:rPr>
          <w:lang w:val="en_US" w:bidi="en_US"/>
        </w:rPr>
      </w:r>
      <w:r>
        <w:rPr>
          <w:lang w:val="en_US" w:bidi="en_US"/>
        </w:rPr>
        <w:t>In some languages it may be more natural to use more than one sentence. For example:</w:t>
      </w:r>
    </w:p>
    <w:p>
      <w:pPr/>
      <w:r>
        <w:rPr>
          <w:lang w:val="en_US" w:bidi="en_US"/>
        </w:rPr>
      </w:r>
      <w:r>
        <w:rPr>
          <w:lang w:val="en_US" w:bidi="en_US"/>
        </w:rPr>
        <w:t>Jesus said to the disciples, “I tell you</w:t>
      </w:r>
      <w:r>
        <w:rPr>
          <w:vertAlign w:val="superscript"/>
          <w:lang w:val="en_US" w:bidi="en_US"/>
        </w:rPr>
        <w:t>(plur)</w:t>
      </w:r>
      <w:r>
        <w:rPr>
          <w:lang w:val="en_US" w:bidi="en_US"/>
        </w:rPr>
        <w:t xml:space="preserve"> the truth, some of you</w:t>
      </w:r>
      <w:r>
        <w:rPr>
          <w:vertAlign w:val="superscript"/>
          <w:lang w:val="en_US" w:bidi="en_US"/>
        </w:rPr>
        <w:t>(plur)</w:t>
      </w:r>
      <w:r>
        <w:rPr>
          <w:lang w:val="en_US" w:bidi="en_US"/>
        </w:rPr>
        <w:t xml:space="preserve"> have left your homes. Some have left wives, brothers, parents, or children. Anyone who has done this for the sake of the kingdom of God will certainly receive many times as much in this age. Then in the age to come you</w:t>
      </w:r>
      <w:r>
        <w:rPr>
          <w:vertAlign w:val="superscript"/>
          <w:lang w:val="en_US" w:bidi="en_US"/>
        </w:rPr>
        <w:t>(plur)</w:t>
      </w:r>
      <w:r>
        <w:rPr>
          <w:lang w:val="en_US" w:bidi="en_US"/>
        </w:rPr>
        <w:t xml:space="preserve"> will receive eternal life.”</w:t>
      </w:r>
      <w:r>
        <w:rPr>
          <w:lang w:val="en_US" w:bidi="en_US"/>
        </w:rPr>
      </w:r>
      <w:r>
        <w:rPr>
          <w:lang w:val="en_US" w:bidi="en_US"/>
        </w:rPr>
      </w:r>
    </w:p>
    <w:p>
      <w:pPr/>
      <w:r>
        <w:rPr>
          <w:lang w:val="en_US" w:bidi="en_US"/>
        </w:rPr>
      </w:r>
    </w:p>
    <w:p>
      <w:pPr>
        <w:pStyle w:val="Heading2"/>
      </w:pPr>
      <w:r>
        <w:rPr>
          <w:lang w:val="en_US" w:bidi="en_US"/>
        </w:rPr>
        <w:t>Luke 18:31</w:t>
      </w:r>
      <w:r>
        <w:rPr>
          <w:lang w:val="en_US" w:bidi="en_US"/>
        </w:rPr>
      </w:r>
    </w:p>
    <w:p>
      <w:pPr>
        <w:pStyle w:val="Heading4"/>
      </w:pPr>
      <w:r>
        <w:rPr>
          <w:lang w:val="en_US" w:bidi="en_US"/>
        </w:rPr>
        <w:t>Section 18:31–34: Jesus again predicted his death</w:t>
      </w:r>
    </w:p>
    <w:p>
      <w:pPr/>
      <w:r>
        <w:rPr>
          <w:lang w:val="en_US" w:bidi="en_US"/>
        </w:rPr>
      </w:r>
      <w:r>
        <w:rPr>
          <w:lang w:val="en_US" w:bidi="en_US"/>
        </w:rPr>
        <w:t>Jesus had told his disciples in 9:22 and 9:44 that people would kill him and that he would rise from the dead after three days. In this section Jesus again told the disciples that these things would happen to him. This time he gave more details about how these events would happen.</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Again Predicts His Death (NIV)</w:t>
      </w:r>
    </w:p>
    <w:p>
      <w:pPr/>
      <w:r>
        <w:rPr>
          <w:lang w:val="en_US" w:bidi="en_US"/>
        </w:rPr>
      </w:r>
      <w:r>
        <w:rPr>
          <w:lang w:val="en_US" w:bidi="en_US"/>
        </w:rPr>
        <w:t>Jesus continues his journey toward suffering and death in Jerusalem</w:t>
      </w:r>
    </w:p>
    <w:p>
      <w:pPr/>
      <w:r>
        <w:rPr>
          <w:lang w:val="en_US" w:bidi="en_US"/>
        </w:rPr>
      </w:r>
      <w:r>
        <w:rPr>
          <w:lang w:val="en_US" w:bidi="en_US"/>
        </w:rPr>
        <w:t>Refer to your section title for Section 9:43b–45. If you used a phrase that means “the second time” there, you should use a phrase that means “the third time” here. For example:</w:t>
      </w:r>
    </w:p>
    <w:p>
      <w:pPr/>
      <w:r>
        <w:rPr>
          <w:lang w:val="en_US" w:bidi="en_US"/>
        </w:rPr>
      </w:r>
      <w:r>
        <w:rPr>
          <w:lang w:val="en_US" w:bidi="en_US"/>
        </w:rPr>
        <w:t>For the Third Time Jesus Foretells That He Will Die and Come Back to Life (GW)</w:t>
      </w:r>
    </w:p>
    <w:p>
      <w:pPr/>
      <w:r>
        <w:rPr>
          <w:lang w:val="en_US" w:bidi="en_US"/>
        </w:rPr>
      </w:r>
      <w:r>
        <w:rPr>
          <w:lang w:val="en_US" w:bidi="en_US"/>
        </w:rPr>
        <w:t>There are parallel passages for this section in Matthew 20:17–19 and Mark 10:32–34.</w:t>
      </w:r>
    </w:p>
    <w:p>
      <w:pPr>
        <w:pStyle w:val="Heading5"/>
      </w:pPr>
      <w:r>
        <w:rPr>
          <w:lang w:val="en_US" w:bidi="en_US"/>
        </w:rPr>
        <w:t>18:31a</w:t>
      </w:r>
    </w:p>
    <w:p>
      <w:pPr/>
      <w:r>
        <w:rPr>
          <w:lang w:val="en_US" w:bidi="en_US"/>
        </w:rPr>
      </w:r>
      <w:r>
        <w:rPr>
          <w:b/>
          <w:lang w:val="en_US" w:bidi="en_US"/>
        </w:rPr>
        <w:t>Then Jesus took the Twelve aside and said to them,</w:t>
      </w:r>
    </w:p>
    <w:p>
      <w:pPr>
        <w:pStyle w:val="ListBullet"/>
        <w:spacing w:line="240" w:lineRule="auto"/>
        <w:ind w:left="720"/>
      </w:pPr>
      <w:r>
        <w:rPr>
          <w:lang w:val="en_US" w:bidi="en_US"/>
        </w:rPr>
      </w:r>
      <w:r>
        <w:rPr>
          <w:lang w:val="en_US" w:bidi="en_US"/>
        </w:rPr>
        <w:t xml:space="preserve">¶ Jesus called his twelve </w:t>
      </w:r>
      <w:r>
        <w:rPr>
          <w:lang w:val="en_US" w:bidi="en_US"/>
        </w:rPr>
        <w:t>disciples</w:t>
      </w:r>
      <w:r>
        <w:rPr>
          <w:lang w:val="en_US" w:bidi="en_US"/>
        </w:rPr>
        <w:t xml:space="preserve"> aside and said to them,</w:t>
      </w:r>
    </w:p>
    <w:p>
      <w:pPr>
        <w:pStyle w:val="ListBullet"/>
        <w:spacing w:line="240" w:lineRule="auto"/>
        <w:ind w:left="720"/>
      </w:pPr>
      <w:r>
        <w:rPr>
          <w:lang w:val="en_US" w:bidi="en_US"/>
        </w:rPr>
      </w:r>
      <w:r>
        <w:rPr>
          <w:lang w:val="en_US" w:bidi="en_US"/>
        </w:rPr>
        <w:t xml:space="preserve">¶ Sometime after this, Jesus told his twelve </w:t>
      </w:r>
      <w:r>
        <w:rPr>
          <w:lang w:val="en_US" w:bidi="en_US"/>
        </w:rPr>
        <w:t>disciples/apostles</w:t>
      </w:r>
      <w:r>
        <w:rPr>
          <w:lang w:val="en_US" w:bidi="en_US"/>
        </w:rPr>
        <w:t xml:space="preserve"> to come away </w:t>
      </w:r>
      <w:r>
        <w:rPr>
          <w:lang w:val="en_US" w:bidi="en_US"/>
        </w:rPr>
        <w:t>from the crowd</w:t>
      </w:r>
      <w:r>
        <w:rPr>
          <w:lang w:val="en_US" w:bidi="en_US"/>
        </w:rPr>
        <w:t xml:space="preserve"> </w:t>
      </w:r>
      <w:r>
        <w:rPr>
          <w:lang w:val="en_US" w:bidi="en_US"/>
        </w:rPr>
        <w:t>so he could talk to them privately</w:t>
      </w:r>
      <w:r>
        <w:rPr>
          <w:lang w:val="en_US" w:bidi="en_US"/>
        </w:rPr>
        <w:t>. He said to them,</w:t>
      </w:r>
    </w:p>
    <w:p>
      <w:pPr/>
      <w:r>
        <w:rPr>
          <w:lang w:val="en_US" w:bidi="en_US"/>
        </w:rPr>
      </w:r>
      <w:r>
        <w:rPr>
          <w:b/>
          <w:lang w:val="en_US" w:bidi="en_US"/>
        </w:rPr>
        <w:t>Then:</w:t>
      </w:r>
      <w:r>
        <w:rPr>
          <w:lang w:val="en_US" w:bidi="en_US"/>
        </w:rPr>
        <w:t xml:space="preserve"> Jesus said the words in this section sometime as he and his disciples were traveling to Jerusalem. Scholars are not sure if he said them immediately after the events of the last section or at a later time. In some languages it may be natural to begin the section with a time word or phrase that is not too specific. The BSB does this by translating the Greek conjunction that begins this verse as </w:t>
      </w:r>
      <w:r>
        <w:rPr>
          <w:i/>
          <w:lang w:val="en_US" w:bidi="en_US"/>
        </w:rPr>
        <w:t>Then</w:t>
      </w:r>
      <w:r>
        <w:rPr>
          <w:lang w:val="en_US" w:bidi="en_US"/>
        </w:rPr>
        <w:t>. Other ways to introduce this section are:</w:t>
      </w:r>
    </w:p>
    <w:p>
      <w:pPr/>
      <w:r>
        <w:rPr>
          <w:lang w:val="en_US" w:bidi="en_US"/>
        </w:rPr>
      </w:r>
      <w:r>
        <w:rPr>
          <w:lang w:val="en_US" w:bidi="en_US"/>
        </w:rPr>
        <w:t>As Jesus and his disciples were traveling to Jerusalem</w:t>
      </w:r>
    </w:p>
    <w:p>
      <w:pPr/>
      <w:r>
        <w:rPr>
          <w:lang w:val="en_US" w:bidi="en_US"/>
        </w:rPr>
      </w:r>
      <w:r>
        <w:rPr>
          <w:lang w:val="en_US" w:bidi="en_US"/>
        </w:rPr>
        <w:t>After this</w:t>
      </w:r>
    </w:p>
    <w:p>
      <w:pPr/>
      <w:r>
        <w:rPr>
          <w:lang w:val="en_US" w:bidi="en_US"/>
        </w:rPr>
      </w:r>
      <w:r>
        <w:rPr>
          <w:b/>
          <w:lang w:val="en_US" w:bidi="en_US"/>
        </w:rPr>
        <w:t>Jesus took the Twelve aside and said to them:</w:t>
      </w:r>
      <w:r>
        <w:rPr>
          <w:lang w:val="en_US" w:bidi="en_US"/>
        </w:rPr>
        <w:t xml:space="preserve"> The phrase </w:t>
      </w:r>
      <w:r>
        <w:rPr>
          <w:i/>
          <w:lang w:val="en_US" w:bidi="en_US"/>
        </w:rPr>
        <w:t>took…aside</w:t>
      </w:r>
      <w:r>
        <w:rPr>
          <w:lang w:val="en_US" w:bidi="en_US"/>
        </w:rPr>
        <w:t xml:space="preserve"> indicates that Jesus led the twelve disciples away from the crowd that was following them. He wanted to speak with his disciples privately.</w:t>
      </w:r>
    </w:p>
    <w:p>
      <w:pPr/>
      <w:r>
        <w:rPr>
          <w:lang w:val="en_US" w:bidi="en_US"/>
        </w:rPr>
      </w:r>
      <w:r>
        <w:rPr>
          <w:lang w:val="en_US" w:bidi="en_US"/>
        </w:rPr>
        <w:t>In some languages it may be natural to express this action with a direct or an indirect quote. For example:</w:t>
      </w:r>
    </w:p>
    <w:p>
      <w:pPr/>
      <w:r>
        <w:rPr>
          <w:lang w:val="en_US" w:bidi="en_US"/>
        </w:rPr>
      </w:r>
      <w:r>
        <w:rPr>
          <w:lang w:val="en_US" w:bidi="en_US"/>
        </w:rPr>
        <w:t xml:space="preserve">Jesus said to the twelve </w:t>
      </w:r>
      <w:r>
        <w:rPr>
          <w:lang w:val="en_US" w:bidi="en_US"/>
        </w:rPr>
        <w:t>disciples</w:t>
      </w:r>
      <w:r>
        <w:rPr>
          <w:lang w:val="en_US" w:bidi="en_US"/>
        </w:rPr>
        <w:t xml:space="preserve">, “Let’s go over there so I can tell you something.” </w:t>
      </w:r>
      <w:r>
        <w:rPr>
          <w:lang w:val="en_US" w:bidi="en_US"/>
        </w:rPr>
        <w:t>When they had moved/gone away from the crowd,</w:t>
      </w:r>
      <w:r>
        <w:rPr>
          <w:lang w:val="en_US" w:bidi="en_US"/>
        </w:rPr>
        <w:t xml:space="preserve"> he told them….</w:t>
      </w:r>
    </w:p>
    <w:p>
      <w:pPr/>
      <w:r>
        <w:rPr>
          <w:lang w:val="en_US" w:bidi="en_US"/>
        </w:rPr>
      </w:r>
      <w:r>
        <w:rPr>
          <w:lang w:val="en_US" w:bidi="en_US"/>
        </w:rPr>
        <w:t xml:space="preserve">Jesus told the twelve </w:t>
      </w:r>
      <w:r>
        <w:rPr>
          <w:lang w:val="en_US" w:bidi="en_US"/>
        </w:rPr>
        <w:t>disciples</w:t>
      </w:r>
      <w:r>
        <w:rPr>
          <w:lang w:val="en_US" w:bidi="en_US"/>
        </w:rPr>
        <w:t xml:space="preserve"> to come with him so he could be alone with them.</w:t>
      </w:r>
    </w:p>
    <w:p>
      <w:pPr/>
      <w:r>
        <w:rPr>
          <w:lang w:val="en_US" w:bidi="en_US"/>
        </w:rPr>
      </w:r>
      <w:r>
        <w:rPr>
          <w:b/>
          <w:lang w:val="en_US" w:bidi="en_US"/>
        </w:rPr>
        <w:t>the Twelve:</w:t>
      </w:r>
      <w:r>
        <w:rPr>
          <w:lang w:val="en_US" w:bidi="en_US"/>
        </w:rPr>
        <w:t xml:space="preserve"> The phrase </w:t>
      </w:r>
      <w:r>
        <w:rPr>
          <w:i/>
          <w:lang w:val="en_US" w:bidi="en_US"/>
        </w:rPr>
        <w:t>the Twelve</w:t>
      </w:r>
      <w:r>
        <w:rPr>
          <w:lang w:val="en_US" w:bidi="en_US"/>
        </w:rPr>
        <w:t xml:space="preserve"> refers to the twelve disciples/apostles whom Jesus had selected as his special helpers.</w:t>
      </w:r>
    </w:p>
    <w:p>
      <w:pPr>
        <w:pStyle w:val="Heading5"/>
      </w:pPr>
      <w:r>
        <w:rPr>
          <w:lang w:val="en_US" w:bidi="en_US"/>
        </w:rPr>
        <w:t>18:31b</w:t>
      </w:r>
    </w:p>
    <w:p>
      <w:pPr/>
      <w:r>
        <w:rPr>
          <w:lang w:val="en_US" w:bidi="en_US"/>
        </w:rPr>
      </w:r>
      <w:r>
        <w:rPr>
          <w:b/>
          <w:lang w:val="en_US" w:bidi="en_US"/>
        </w:rPr>
        <w:t>“Look, we are going up to Jerusalem,</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are on the way up to Jerusalem.</w:t>
      </w:r>
    </w:p>
    <w:p>
      <w:pPr>
        <w:pStyle w:val="ListBullet"/>
        <w:spacing w:line="240" w:lineRule="auto"/>
        <w:ind w:left="720"/>
      </w:pPr>
      <w:r>
        <w:rPr>
          <w:lang w:val="en_US" w:bidi="en_US"/>
        </w:rPr>
      </w:r>
      <w:r>
        <w:rPr>
          <w:lang w:val="en_US" w:bidi="en_US"/>
        </w:rPr>
        <w:t>“Listen carefully. We</w:t>
      </w:r>
      <w:r>
        <w:rPr>
          <w:vertAlign w:val="superscript"/>
          <w:lang w:val="en_US" w:bidi="en_US"/>
        </w:rPr>
        <w:t>(incl)</w:t>
      </w:r>
      <w:r>
        <w:rPr>
          <w:lang w:val="en_US" w:bidi="en_US"/>
        </w:rPr>
        <w:t xml:space="preserve"> will soon arrive in </w:t>
      </w:r>
      <w:r>
        <w:rPr>
          <w:lang w:val="en_US" w:bidi="en_US"/>
        </w:rPr>
        <w:t>the city of</w:t>
      </w:r>
      <w:r>
        <w:rPr>
          <w:lang w:val="en_US" w:bidi="en_US"/>
        </w:rPr>
        <w:t xml:space="preserve"> Jerusalem.</w:t>
      </w:r>
    </w:p>
    <w:p>
      <w:pPr/>
      <w:r>
        <w:rPr>
          <w:lang w:val="en_US" w:bidi="en_US"/>
        </w:rPr>
      </w:r>
      <w:r>
        <w:rPr>
          <w:b/>
          <w:lang w:val="en_US" w:bidi="en_US"/>
        </w:rPr>
        <w:t>Look:</w:t>
      </w:r>
      <w:r>
        <w:rPr>
          <w:lang w:val="en_US" w:bidi="en_US"/>
        </w:rPr>
        <w:t xml:space="preserve"> In Greek the clause in 18:31b begins with a word that draws attention to what Jesus was about to say. The BSB translates this word as </w:t>
      </w:r>
      <w:r>
        <w:rPr>
          <w:i/>
          <w:lang w:val="en_US" w:bidi="en_US"/>
        </w:rPr>
        <w:t>Look</w:t>
      </w:r>
      <w:r>
        <w:rPr>
          <w:lang w:val="en_US" w:bidi="en_US"/>
        </w:rPr>
        <w:t>. Sometimes it is translated in English as “Behold” (RSV) or “Listen” (GNT). Here is another way to translate this:</w:t>
      </w:r>
    </w:p>
    <w:p>
      <w:pPr/>
      <w:r>
        <w:rPr>
          <w:lang w:val="en_US" w:bidi="en_US"/>
        </w:rPr>
      </w:r>
      <w:r>
        <w:rPr>
          <w:lang w:val="en_US" w:bidi="en_US"/>
        </w:rPr>
        <w:t xml:space="preserve">We are </w:t>
      </w:r>
      <w:r>
        <w:rPr>
          <w:u w:val="single"/>
          <w:lang w:val="en_US" w:bidi="en_US"/>
        </w:rPr>
        <w:t>now</w:t>
      </w:r>
      <w:r>
        <w:rPr>
          <w:lang w:val="en_US" w:bidi="en_US"/>
        </w:rPr>
        <w:t>… (REB)</w:t>
      </w:r>
    </w:p>
    <w:p>
      <w:pPr/>
      <w:r>
        <w:rPr>
          <w:lang w:val="en_US" w:bidi="en_US"/>
        </w:rPr>
      </w:r>
      <w:r>
        <w:rPr>
          <w:lang w:val="en_US" w:bidi="en_US"/>
        </w:rPr>
        <w:t>Use a natural way in your language to indicate that Jesus wanted the disciples to pay special attention to what he was about to say.</w:t>
      </w:r>
    </w:p>
    <w:p>
      <w:pPr/>
      <w:r>
        <w:rPr>
          <w:lang w:val="en_US" w:bidi="en_US"/>
        </w:rPr>
      </w:r>
      <w:r>
        <w:rPr>
          <w:b/>
          <w:lang w:val="en_US" w:bidi="en_US"/>
        </w:rPr>
        <w:t>we are going up to Jerusalem:</w:t>
      </w:r>
      <w:r>
        <w:rPr>
          <w:lang w:val="en_US" w:bidi="en_US"/>
        </w:rPr>
        <w:t xml:space="preserve"> The clause </w:t>
      </w:r>
      <w:r>
        <w:rPr>
          <w:i/>
          <w:lang w:val="en_US" w:bidi="en_US"/>
        </w:rPr>
        <w:t>we are going up to Jerusalem</w:t>
      </w:r>
      <w:r>
        <w:rPr>
          <w:lang w:val="en_US" w:bidi="en_US"/>
        </w:rPr>
        <w:t xml:space="preserve"> indicates that Jesus and his disciples were on their way to Jerusalem. They had already started on their journey, and Jerusalem was their destination.</w:t>
      </w:r>
    </w:p>
    <w:p>
      <w:pPr/>
      <w:r>
        <w:rPr>
          <w:lang w:val="en_US" w:bidi="en_US"/>
        </w:rPr>
      </w:r>
      <w:r>
        <w:rPr>
          <w:lang w:val="en_US" w:bidi="en_US"/>
        </w:rPr>
        <w:t xml:space="preserve">Jerusalem is higher in elevation than the surrounding land, so people often spoke of </w:t>
      </w:r>
      <w:r>
        <w:rPr>
          <w:i/>
          <w:lang w:val="en_US" w:bidi="en_US"/>
        </w:rPr>
        <w:t>going up</w:t>
      </w:r>
      <w:r>
        <w:rPr>
          <w:lang w:val="en_US" w:bidi="en_US"/>
        </w:rPr>
        <w:t xml:space="preserve"> to Jerusalem.</w:t>
      </w:r>
      <w:r>
        <w:rPr>
          <w:lang w:val="en_US" w:bidi="en_US"/>
        </w:rPr>
        <w:t xml:space="preserve">When Jesus said this to the disciples, they were probably near the city of Jericho, which is close to the Dead Sea. Jericho is 215 meters (700 feet) below sea level, so they were literally </w:t>
      </w:r>
      <w:r>
        <w:rPr>
          <w:i/>
          <w:lang w:val="en_US" w:bidi="en_US"/>
        </w:rPr>
        <w:t>going up</w:t>
      </w:r>
      <w:r>
        <w:rPr>
          <w:lang w:val="en_US" w:bidi="en_US"/>
        </w:rPr>
        <w:t xml:space="preserve"> to Jerusalem. Jerusalem is 790 meters (2593 feet) above sea level, one of the higher locations in Israel.</w:t>
      </w:r>
      <w:r>
        <w:rPr>
          <w:lang w:val="en_US" w:bidi="en_US"/>
        </w:rPr>
        <w:t xml:space="preserve"> If that is not natural in your language, you may translate in a more general way. For example:</w:t>
      </w:r>
    </w:p>
    <w:p>
      <w:pPr/>
      <w:r>
        <w:rPr>
          <w:lang w:val="en_US" w:bidi="en_US"/>
        </w:rPr>
      </w:r>
      <w:r>
        <w:rPr>
          <w:lang w:val="en_US" w:bidi="en_US"/>
        </w:rPr>
        <w:t>We are going/traveling to Jerusalem</w:t>
      </w:r>
    </w:p>
    <w:p>
      <w:pPr/>
      <w:r>
        <w:rPr>
          <w:lang w:val="en_US" w:bidi="en_US"/>
        </w:rPr>
      </w:r>
      <w:r>
        <w:rPr>
          <w:lang w:val="en_US" w:bidi="en_US"/>
        </w:rPr>
        <w:t>We are on our way to Jerusalem</w:t>
      </w:r>
    </w:p>
    <w:p>
      <w:pPr>
        <w:pStyle w:val="Heading5"/>
      </w:pPr>
      <w:r>
        <w:rPr>
          <w:lang w:val="en_US" w:bidi="en_US"/>
        </w:rPr>
        <w:t>18:31c</w:t>
      </w:r>
    </w:p>
    <w:p>
      <w:pPr/>
      <w:r>
        <w:rPr>
          <w:lang w:val="en_US" w:bidi="en_US"/>
        </w:rPr>
      </w:r>
      <w:r>
        <w:rPr>
          <w:b/>
          <w:lang w:val="en_US" w:bidi="en_US"/>
        </w:rPr>
        <w:t>and everything the prophets have written about the Son of Man</w:t>
      </w:r>
    </w:p>
    <w:p>
      <w:pPr>
        <w:pStyle w:val="ListBullet"/>
        <w:spacing w:line="240" w:lineRule="auto"/>
        <w:ind w:left="720"/>
      </w:pPr>
      <w:r>
        <w:rPr>
          <w:lang w:val="en_US" w:bidi="en_US"/>
        </w:rPr>
      </w:r>
      <w:r>
        <w:rPr>
          <w:lang w:val="en_US" w:bidi="en_US"/>
        </w:rPr>
        <w:t>There,</w:t>
      </w:r>
      <w:r>
        <w:rPr>
          <w:lang w:val="en_US" w:bidi="en_US"/>
        </w:rPr>
        <w:t xml:space="preserve"> everything that the prophets wrote about the Son of Man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know that</w:t>
      </w:r>
      <w:r>
        <w:rPr>
          <w:lang w:val="en_US" w:bidi="en_US"/>
        </w:rPr>
        <w:t xml:space="preserve"> </w:t>
      </w:r>
      <w:r>
        <w:rPr>
          <w:lang w:val="en_US" w:bidi="en_US"/>
        </w:rPr>
        <w:t>long ago</w:t>
      </w:r>
      <w:r>
        <w:rPr>
          <w:lang w:val="en_US" w:bidi="en_US"/>
        </w:rPr>
        <w:t xml:space="preserve"> the prophets wrote about what would happen to </w:t>
      </w:r>
      <w:r>
        <w:rPr>
          <w:lang w:val="en_US" w:bidi="en_US"/>
        </w:rPr>
        <w:t>me</w:t>
      </w:r>
      <w:r>
        <w:rPr>
          <w:lang w:val="en_US" w:bidi="en_US"/>
        </w:rPr>
        <w:t xml:space="preserve"> the Son of Man. </w:t>
      </w:r>
      <w:r>
        <w:rPr>
          <w:lang w:val="en_US" w:bidi="en_US"/>
        </w:rPr>
        <w:t>After we</w:t>
      </w:r>
      <w:r>
        <w:rPr>
          <w:vertAlign w:val="superscript"/>
          <w:lang w:val="en_US" w:bidi="en_US"/>
        </w:rPr>
        <w:t>(incl)</w:t>
      </w:r>
      <w:r>
        <w:rPr>
          <w:lang w:val="en_US" w:bidi="en_US"/>
        </w:rPr>
        <w:t xml:space="preserve"> </w:t>
      </w:r>
      <w:r>
        <w:rPr>
          <w:lang w:val="en_US" w:bidi="en_US"/>
        </w:rPr>
        <w:t>arrive in the city,</w:t>
      </w:r>
    </w:p>
    <w:p>
      <w:pPr/>
      <w:r>
        <w:rPr>
          <w:lang w:val="en_US" w:bidi="en_US"/>
        </w:rPr>
      </w:r>
      <w:r>
        <w:rPr>
          <w:b/>
          <w:lang w:val="en_US" w:bidi="en_US"/>
        </w:rPr>
        <w:t>everything the prophets have written:</w:t>
      </w:r>
      <w:r>
        <w:rPr>
          <w:lang w:val="en_US" w:bidi="en_US"/>
        </w:rPr>
        <w:t xml:space="preserve"> The phrase that the BSB translates as </w:t>
      </w:r>
      <w:r>
        <w:rPr>
          <w:i/>
          <w:lang w:val="en_US" w:bidi="en_US"/>
        </w:rPr>
        <w:t>everything the prophets have written</w:t>
      </w:r>
      <w:r>
        <w:rPr>
          <w:lang w:val="en_US" w:bidi="en_US"/>
        </w:rPr>
        <w:t xml:space="preserve"> is passive, literally “everything written by the prophets.” In some languages it may be more natural to use an active verb. For example:</w:t>
      </w:r>
    </w:p>
    <w:p>
      <w:pPr/>
      <w:r>
        <w:rPr>
          <w:lang w:val="en_US" w:bidi="en_US"/>
        </w:rPr>
      </w:r>
      <w:r>
        <w:rPr>
          <w:lang w:val="en_US" w:bidi="en_US"/>
        </w:rPr>
        <w:t>Everything that the prophets wrote (CEV)</w:t>
      </w:r>
    </w:p>
    <w:p>
      <w:pPr/>
      <w:r>
        <w:rPr>
          <w:lang w:val="en_US" w:bidi="en_US"/>
        </w:rPr>
      </w:r>
      <w:r>
        <w:rPr>
          <w:lang w:val="en_US" w:bidi="en_US"/>
        </w:rPr>
        <w:t>This phrase refers to the writings of the prophets in the OT Scriptures. These writings are mentioned several times in Luke, including in 16:16.</w:t>
      </w:r>
    </w:p>
    <w:p>
      <w:pPr/>
      <w:r>
        <w:rPr>
          <w:lang w:val="en_US" w:bidi="en_US"/>
        </w:rPr>
      </w:r>
      <w:r>
        <w:rPr>
          <w:lang w:val="en_US" w:bidi="en_US"/>
        </w:rPr>
        <w:t>The prophets whom Jesus referred to here lived and wrote their messages hundreds of years before he was born. In some languages it may be helpful to make this explicit. For example:</w:t>
      </w:r>
    </w:p>
    <w:p>
      <w:pPr/>
      <w:r>
        <w:rPr>
          <w:lang w:val="en_US" w:bidi="en_US"/>
        </w:rPr>
      </w:r>
      <w:r>
        <w:rPr>
          <w:lang w:val="en_US" w:bidi="en_US"/>
        </w:rPr>
        <w:t xml:space="preserve">Everything that the prophets wrote </w:t>
      </w:r>
      <w:r>
        <w:rPr>
          <w:lang w:val="en_US" w:bidi="en_US"/>
        </w:rPr>
        <w:t>long ago</w:t>
      </w:r>
    </w:p>
    <w:p>
      <w:pPr/>
      <w:r>
        <w:rPr>
          <w:lang w:val="en_US" w:bidi="en_US"/>
        </w:rPr>
      </w:r>
      <w:r>
        <w:rPr>
          <w:b/>
          <w:lang w:val="en_US" w:bidi="en_US"/>
        </w:rPr>
        <w:t>the prophets:</w:t>
      </w:r>
      <w:r>
        <w:rPr>
          <w:lang w:val="en_US" w:bidi="en_US"/>
        </w:rPr>
        <w:t xml:space="preserve"> The </w:t>
      </w:r>
      <w:r>
        <w:rPr>
          <w:i/>
          <w:lang w:val="en_US" w:bidi="en_US"/>
        </w:rPr>
        <w:t>prophets</w:t>
      </w:r>
      <w:r>
        <w:rPr>
          <w:lang w:val="en_US" w:bidi="en_US"/>
        </w:rPr>
        <w:t xml:space="preserve"> were men and women who spoke on behalf of God. They told people what God revealed to them. Here Jesus referred to the prophets whose words were later written and included in the OT Scriptures. See prophet in the Glossary.</w:t>
      </w:r>
    </w:p>
    <w:p>
      <w:pPr/>
      <w:r>
        <w:rPr>
          <w:lang w:val="en_US" w:bidi="en_US"/>
        </w:rPr>
      </w:r>
      <w:r>
        <w:rPr>
          <w:b/>
          <w:lang w:val="en_US" w:bidi="en_US"/>
        </w:rPr>
        <w:t>about the Son of Man:</w:t>
      </w:r>
      <w:r>
        <w:rPr>
          <w:lang w:val="en_US" w:bidi="en_US"/>
        </w:rPr>
        <w:t xml:space="preserve"> The messages that the prophets wrote about the Son of Man described what he would do and what people would do to him.</w:t>
      </w:r>
    </w:p>
    <w:p>
      <w:pPr/>
      <w:r>
        <w:rPr>
          <w:lang w:val="en_US" w:bidi="en_US"/>
        </w:rPr>
      </w:r>
      <w:r>
        <w:rPr>
          <w:lang w:val="en_US" w:bidi="en_US"/>
        </w:rPr>
        <w:t xml:space="preserve">The Greek phrase that the BSB translates as </w:t>
      </w:r>
      <w:r>
        <w:rPr>
          <w:i/>
          <w:lang w:val="en_US" w:bidi="en_US"/>
        </w:rPr>
        <w:t>the Son of Man</w:t>
      </w:r>
      <w:r>
        <w:rPr>
          <w:lang w:val="en_US" w:bidi="en_US"/>
        </w:rPr>
        <w:t xml:space="preserve"> is literally “the Son of the human/person.” Jesus used this title to imply that:</w:t>
      </w:r>
    </w:p>
    <w:p>
      <w:pPr>
        <w:pStyle w:val="ListNumber"/>
        <w:numPr>
          <w:ilvl w:val="0"/>
          <w:numId w:val="306"/>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 Some expressions that translators have used are:</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In some languages it may be necessary to use a form like “I” or “me” to indicate that Jesus was referring to himself. For example:</w:t>
      </w:r>
    </w:p>
    <w:p>
      <w:pPr/>
      <w:r>
        <w:rPr>
          <w:lang w:val="en_US" w:bidi="en_US"/>
        </w:rPr>
      </w:r>
      <w:r>
        <w:rPr>
          <w:u w:val="single"/>
          <w:lang w:val="en_US" w:bidi="en_US"/>
        </w:rPr>
        <w:t>me</w:t>
      </w:r>
      <w:r>
        <w:rPr>
          <w:lang w:val="en_US" w:bidi="en_US"/>
        </w:rPr>
        <w:t>, the Son of Man</w:t>
      </w:r>
    </w:p>
    <w:p>
      <w:pPr/>
      <w:r>
        <w:rPr>
          <w:lang w:val="en_US" w:bidi="en_US"/>
        </w:rPr>
      </w:r>
      <w:r>
        <w:rPr>
          <w:u w:val="single"/>
          <w:lang w:val="en_US" w:bidi="en_US"/>
        </w:rPr>
        <w:t>I</w:t>
      </w:r>
      <w:r>
        <w:rPr>
          <w:lang w:val="en_US" w:bidi="en_US"/>
        </w:rPr>
        <w:t xml:space="preserve"> who became man/human</w:t>
      </w:r>
    </w:p>
    <w:p>
      <w:pPr/>
      <w:r>
        <w:rPr>
          <w:lang w:val="en_US" w:bidi="en_US"/>
        </w:rPr>
      </w:r>
      <w:r>
        <w:rPr>
          <w:lang w:val="en_US" w:bidi="en_US"/>
        </w:rPr>
        <w:t>This term first occurs in Luke at 5:24a. See also “Son of Man” in KBT.</w:t>
      </w:r>
    </w:p>
    <w:p>
      <w:pPr>
        <w:pStyle w:val="Heading5"/>
      </w:pPr>
      <w:r>
        <w:rPr>
          <w:lang w:val="en_US" w:bidi="en_US"/>
        </w:rPr>
        <w:t>18:31d</w:t>
      </w:r>
    </w:p>
    <w:p>
      <w:pPr/>
      <w:r>
        <w:rPr>
          <w:lang w:val="en_US" w:bidi="en_US"/>
        </w:rPr>
      </w:r>
      <w:r>
        <w:rPr>
          <w:b/>
          <w:lang w:val="en_US" w:bidi="en_US"/>
        </w:rPr>
        <w:t>will be fulfilled.</w:t>
      </w:r>
    </w:p>
    <w:p>
      <w:pPr>
        <w:pStyle w:val="ListBullet"/>
        <w:spacing w:line="240" w:lineRule="auto"/>
        <w:ind w:left="720"/>
      </w:pPr>
      <w:r>
        <w:rPr>
          <w:lang w:val="en_US" w:bidi="en_US"/>
        </w:rPr>
      </w:r>
      <w:r>
        <w:rPr>
          <w:lang w:val="en_US" w:bidi="en_US"/>
        </w:rPr>
        <w:t>will be accomplished/fulfilled.</w:t>
      </w:r>
    </w:p>
    <w:p>
      <w:pPr>
        <w:pStyle w:val="ListBullet"/>
        <w:spacing w:line="240" w:lineRule="auto"/>
        <w:ind w:left="720"/>
      </w:pPr>
      <w:r>
        <w:rPr>
          <w:lang w:val="en_US" w:bidi="en_US"/>
        </w:rPr>
      </w:r>
      <w:r>
        <w:rPr>
          <w:lang w:val="en_US" w:bidi="en_US"/>
        </w:rPr>
        <w:t xml:space="preserve">all that they wrote will happen </w:t>
      </w:r>
      <w:r>
        <w:rPr>
          <w:lang w:val="en_US" w:bidi="en_US"/>
        </w:rPr>
        <w:t>just as they wrote/predicted</w:t>
      </w:r>
      <w:r>
        <w:rPr>
          <w:lang w:val="en_US" w:bidi="en_US"/>
        </w:rPr>
        <w:t>.</w:t>
      </w:r>
    </w:p>
    <w:p>
      <w:pPr/>
      <w:r>
        <w:rPr>
          <w:lang w:val="en_US" w:bidi="en_US"/>
        </w:rPr>
      </w:r>
      <w:r>
        <w:rPr>
          <w:b/>
          <w:lang w:val="en_US" w:bidi="en_US"/>
        </w:rPr>
        <w:t>will be fulfilled:</w:t>
      </w:r>
      <w:r>
        <w:rPr>
          <w:lang w:val="en_US" w:bidi="en_US"/>
        </w:rPr>
        <w:t xml:space="preserve"> The verb </w:t>
      </w:r>
      <w:r>
        <w:rPr>
          <w:i/>
          <w:lang w:val="en_US" w:bidi="en_US"/>
        </w:rPr>
        <w:t>will be fulfilled</w:t>
      </w:r>
      <w:r>
        <w:rPr>
          <w:lang w:val="en_US" w:bidi="en_US"/>
        </w:rPr>
        <w:t xml:space="preserve"> means “will be accomplished or completed.” In this context it refers to events that will happen just as the prophets predicted. The prophets wrote that certain things would happen to the Son of Man. In this verse Jesus was saying that those things would happen to him, just as the prophets wrote. The things would happen after he and his disciples arrived in Jerusalem. Some ways to translate this are:</w:t>
      </w:r>
    </w:p>
    <w:p>
      <w:pPr/>
      <w:r>
        <w:rPr>
          <w:lang w:val="en_US" w:bidi="en_US"/>
        </w:rPr>
      </w:r>
      <w:r>
        <w:rPr>
          <w:lang w:val="en_US" w:bidi="en_US"/>
        </w:rPr>
        <w:t>Everything that the prophets wrote about the Son of Man will happen there. (CEV)</w:t>
      </w:r>
    </w:p>
    <w:p>
      <w:pPr/>
      <w:r>
        <w:rPr>
          <w:lang w:val="en_US" w:bidi="en_US"/>
        </w:rPr>
      </w:r>
      <w:r>
        <w:rPr>
          <w:lang w:val="en_US" w:bidi="en_US"/>
        </w:rPr>
        <w:t>…everything that is written about the Son of Man by the prophets will be accomplished. (NRSV)</w:t>
      </w:r>
    </w:p>
    <w:p>
      <w:pPr/>
      <w:r>
        <w:rPr>
          <w:lang w:val="en_US" w:bidi="en_US"/>
        </w:rPr>
      </w:r>
      <w:r>
        <w:rPr>
          <w:lang w:val="en_US" w:bidi="en_US"/>
        </w:rPr>
        <w:t>Everything that the prophets wrote about the Son of Man will occur just as they wrote/predicted.</w:t>
      </w:r>
      <w:r>
        <w:rPr>
          <w:lang w:val="en_US" w:bidi="en_US"/>
        </w:rPr>
      </w:r>
      <w:r>
        <w:rPr>
          <w:lang w:val="en_US" w:bidi="en_US"/>
        </w:rPr>
      </w:r>
    </w:p>
    <w:p>
      <w:pPr/>
      <w:r>
        <w:rPr>
          <w:lang w:val="en_US" w:bidi="en_US"/>
        </w:rPr>
      </w:r>
    </w:p>
    <w:p>
      <w:pPr>
        <w:pStyle w:val="Heading2"/>
      </w:pPr>
      <w:r>
        <w:rPr>
          <w:lang w:val="en_US" w:bidi="en_US"/>
        </w:rPr>
        <w:t>Luke 18:32</w:t>
      </w:r>
      <w:r>
        <w:rPr>
          <w:lang w:val="en_US" w:bidi="en_US"/>
        </w:rPr>
      </w:r>
    </w:p>
    <w:p>
      <w:pPr>
        <w:pStyle w:val="Heading4"/>
      </w:pPr>
      <w:r>
        <w:rPr>
          <w:lang w:val="en_US" w:bidi="en_US"/>
        </w:rPr>
        <w:t>Section 18:31–34: Jesus again predicted his death</w:t>
      </w:r>
    </w:p>
    <w:p>
      <w:pPr/>
      <w:r>
        <w:rPr>
          <w:lang w:val="en_US" w:bidi="en_US"/>
        </w:rPr>
      </w:r>
      <w:r>
        <w:rPr>
          <w:lang w:val="en_US" w:bidi="en_US"/>
        </w:rPr>
        <w:t>Jesus had told his disciples in 9:22 and 9:44 that people would kill him and that he would rise from the dead after three days. In this section Jesus again told the disciples that these things would happen to him. This time he gave more details about how these events would happen.</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Again Predicts His Death (NIV)</w:t>
      </w:r>
    </w:p>
    <w:p>
      <w:pPr/>
      <w:r>
        <w:rPr>
          <w:lang w:val="en_US" w:bidi="en_US"/>
        </w:rPr>
      </w:r>
      <w:r>
        <w:rPr>
          <w:lang w:val="en_US" w:bidi="en_US"/>
        </w:rPr>
        <w:t>Jesus continues his journey toward suffering and death in Jerusalem</w:t>
      </w:r>
    </w:p>
    <w:p>
      <w:pPr/>
      <w:r>
        <w:rPr>
          <w:lang w:val="en_US" w:bidi="en_US"/>
        </w:rPr>
      </w:r>
      <w:r>
        <w:rPr>
          <w:lang w:val="en_US" w:bidi="en_US"/>
        </w:rPr>
        <w:t>Refer to your section title for Section 9:43b–45. If you used a phrase that means “the second time” there, you should use a phrase that means “the third time” here. For example:</w:t>
      </w:r>
    </w:p>
    <w:p>
      <w:pPr/>
      <w:r>
        <w:rPr>
          <w:lang w:val="en_US" w:bidi="en_US"/>
        </w:rPr>
      </w:r>
      <w:r>
        <w:rPr>
          <w:lang w:val="en_US" w:bidi="en_US"/>
        </w:rPr>
        <w:t>For the Third Time Jesus Foretells That He Will Die and Come Back to Life (GW)</w:t>
      </w:r>
    </w:p>
    <w:p>
      <w:pPr/>
      <w:r>
        <w:rPr>
          <w:lang w:val="en_US" w:bidi="en_US"/>
        </w:rPr>
      </w:r>
      <w:r>
        <w:rPr>
          <w:lang w:val="en_US" w:bidi="en_US"/>
        </w:rPr>
        <w:t>There are parallel passages for this section in Matthew 20:17–19 and Mark 10:32–34.</w:t>
      </w:r>
    </w:p>
    <w:p>
      <w:pPr>
        <w:pStyle w:val="Heading5"/>
      </w:pPr>
      <w:r>
        <w:rPr>
          <w:lang w:val="en_US" w:bidi="en_US"/>
        </w:rPr>
        <w:t>18:32a</w:t>
      </w:r>
    </w:p>
    <w:p>
      <w:pPr/>
      <w:r>
        <w:rPr>
          <w:lang w:val="en_US" w:bidi="en_US"/>
        </w:rPr>
      </w:r>
      <w:r>
        <w:rPr>
          <w:b/>
          <w:lang w:val="en_US" w:bidi="en_US"/>
        </w:rPr>
        <w:t>He will be delivered over to the Gentiles</w:t>
      </w:r>
    </w:p>
    <w:p>
      <w:pPr>
        <w:pStyle w:val="ListBullet"/>
        <w:spacing w:line="240" w:lineRule="auto"/>
        <w:ind w:left="720"/>
      </w:pPr>
      <w:r>
        <w:rPr>
          <w:lang w:val="en_US" w:bidi="en_US"/>
        </w:rPr>
      </w:r>
      <w:r>
        <w:rPr>
          <w:lang w:val="en_US" w:bidi="en_US"/>
        </w:rPr>
        <w:t xml:space="preserve">People will take him to the Gentile </w:t>
      </w:r>
      <w:r>
        <w:rPr>
          <w:lang w:val="en_US" w:bidi="en_US"/>
        </w:rPr>
        <w:t>rulers</w:t>
      </w:r>
      <w:r>
        <w:rPr>
          <w:lang w:val="en_US" w:bidi="en_US"/>
        </w:rPr>
        <w:t>.</w:t>
      </w:r>
    </w:p>
    <w:p>
      <w:pPr>
        <w:pStyle w:val="ListBullet"/>
        <w:spacing w:line="240" w:lineRule="auto"/>
        <w:ind w:left="720"/>
      </w:pPr>
      <w:r>
        <w:rPr>
          <w:lang w:val="en_US" w:bidi="en_US"/>
        </w:rPr>
      </w:r>
      <w:r>
        <w:rPr>
          <w:lang w:val="en_US" w:bidi="en_US"/>
        </w:rPr>
        <w:t>Some people in Jerusalem</w:t>
      </w:r>
      <w:r>
        <w:rPr>
          <w:lang w:val="en_US" w:bidi="en_US"/>
        </w:rPr>
        <w:t xml:space="preserve"> will </w:t>
      </w:r>
      <w:r>
        <w:rPr>
          <w:lang w:val="en_US" w:bidi="en_US"/>
        </w:rPr>
        <w:t>arrest me and</w:t>
      </w:r>
      <w:r>
        <w:rPr>
          <w:lang w:val="en_US" w:bidi="en_US"/>
        </w:rPr>
        <w:t xml:space="preserve"> put me in the power of other people who are not Jews.</w:t>
      </w:r>
    </w:p>
    <w:p>
      <w:pPr/>
      <w:r>
        <w:rPr>
          <w:lang w:val="en_US" w:bidi="en_US"/>
        </w:rPr>
      </w:r>
      <w:r>
        <w:rPr>
          <w:b/>
          <w:lang w:val="en_US" w:bidi="en_US"/>
        </w:rPr>
        <w:t>He will be delivered over to the Gentiles:</w:t>
      </w:r>
      <w:r>
        <w:rPr>
          <w:lang w:val="en_US" w:bidi="en_US"/>
        </w:rPr>
        <w:t xml:space="preserve"> The Greek expression that the BSB translates as </w:t>
      </w:r>
      <w:r>
        <w:rPr>
          <w:i/>
          <w:lang w:val="en_US" w:bidi="en_US"/>
        </w:rPr>
        <w:t>He will be delivered over to the Gentiles</w:t>
      </w:r>
      <w:r>
        <w:rPr>
          <w:lang w:val="en_US" w:bidi="en_US"/>
        </w:rPr>
        <w:t xml:space="preserve"> is a passive clause. Some ways to translate it are:</w:t>
      </w:r>
    </w:p>
    <w:p>
      <w:pPr>
        <w:pStyle w:val="ListBullet"/>
        <w:spacing w:line="240" w:lineRule="auto"/>
        <w:ind w:left="720"/>
      </w:pPr>
      <w:r>
        <w:rPr>
          <w:lang w:val="en_US" w:bidi="en_US"/>
        </w:rPr>
      </w:r>
      <w:r>
        <w:rPr>
          <w:lang w:val="en_US" w:bidi="en_US"/>
        </w:rPr>
        <w:t>As a passive clause. For example:</w:t>
      </w:r>
      <w:r>
        <w:rPr>
          <w:lang w:val="en_US" w:bidi="en_US"/>
        </w:rPr>
        <w:t>He will be handed over to foreigners. (GW)</w:t>
      </w:r>
    </w:p>
    <w:p>
      <w:pPr>
        <w:pStyle w:val="ListBullet"/>
        <w:spacing w:line="240" w:lineRule="auto"/>
        <w:ind w:left="720"/>
      </w:pPr>
      <w:r>
        <w:rPr>
          <w:lang w:val="en_US" w:bidi="en_US"/>
        </w:rPr>
      </w:r>
      <w:r>
        <w:rPr>
          <w:lang w:val="en_US" w:bidi="en_US"/>
        </w:rPr>
        <w:t>As an active clause. For example:</w:t>
      </w:r>
      <w:r>
        <w:rPr>
          <w:lang w:val="en_US" w:bidi="en_US"/>
        </w:rPr>
        <w:t>people/they</w:t>
      </w:r>
      <w:r>
        <w:rPr>
          <w:lang w:val="en_US" w:bidi="en_US"/>
        </w:rPr>
        <w:t xml:space="preserve"> will put the Son of Man into the power of the Gentiles</w:t>
      </w:r>
    </w:p>
    <w:p>
      <w:pPr/>
      <w:r>
        <w:rPr>
          <w:lang w:val="en_US" w:bidi="en_US"/>
        </w:rPr>
      </w:r>
      <w:r>
        <w:rPr>
          <w:lang w:val="en_US" w:bidi="en_US"/>
        </w:rPr>
        <w:t>The text does not say explicitly who would hand Jesus over to the Gentiles. The context implies that it would be some of the Jews in Jerusalem. However, it is best to use a general term like “they” or “people.”</w:t>
      </w:r>
    </w:p>
    <w:p>
      <w:pPr/>
      <w:r>
        <w:rPr>
          <w:lang w:val="en_US" w:bidi="en_US"/>
        </w:rPr>
      </w:r>
      <w:r>
        <w:rPr>
          <w:b/>
          <w:lang w:val="en_US" w:bidi="en_US"/>
        </w:rPr>
        <w:t>delivered over:</w:t>
      </w:r>
      <w:r>
        <w:rPr>
          <w:lang w:val="en_US" w:bidi="en_US"/>
        </w:rPr>
        <w:t xml:space="preserve"> The Greek verb that the BSB translates as </w:t>
      </w:r>
      <w:r>
        <w:rPr>
          <w:i/>
          <w:lang w:val="en_US" w:bidi="en_US"/>
        </w:rPr>
        <w:t>delivered over</w:t>
      </w:r>
      <w:r>
        <w:rPr>
          <w:lang w:val="en_US" w:bidi="en_US"/>
        </w:rPr>
        <w:t xml:space="preserve"> means to deliver/give someone to his enemies so that the enemies gain power over him. Then the enemies can do whatever they want to him. It is the same word that is sometimes translated as “betray,” as in 22:4.</w:t>
      </w:r>
    </w:p>
    <w:p>
      <w:pPr/>
      <w:r>
        <w:rPr>
          <w:lang w:val="en_US" w:bidi="en_US"/>
        </w:rPr>
      </w:r>
      <w:r>
        <w:rPr>
          <w:lang w:val="en_US" w:bidi="en_US"/>
        </w:rPr>
        <w:t xml:space="preserve">Many English versions use a figurative expression like </w:t>
      </w:r>
      <w:r>
        <w:rPr>
          <w:i/>
          <w:lang w:val="en_US" w:bidi="en_US"/>
        </w:rPr>
        <w:t>delivered over</w:t>
      </w:r>
      <w:r>
        <w:rPr>
          <w:lang w:val="en_US" w:bidi="en_US"/>
        </w:rPr>
        <w:t xml:space="preserve"> or “turned over” here. Describe this action in a natural way in your language. Be careful not to use a term that implies that the people would use spiritual means such as magic to put Jesus into the power of his enemies. Also, do not use an expression that would imply that Jesus was guilty.</w:t>
      </w:r>
    </w:p>
    <w:p>
      <w:pPr/>
      <w:r>
        <w:rPr>
          <w:lang w:val="en_US" w:bidi="en_US"/>
        </w:rPr>
      </w:r>
      <w:r>
        <w:rPr>
          <w:b/>
          <w:lang w:val="en_US" w:bidi="en_US"/>
        </w:rPr>
        <w:t>the Gentiles:</w:t>
      </w:r>
      <w:r>
        <w:rPr>
          <w:lang w:val="en_US" w:bidi="en_US"/>
        </w:rPr>
        <w:t xml:space="preserve"> The word </w:t>
      </w:r>
      <w:r>
        <w:rPr>
          <w:i/>
          <w:lang w:val="en_US" w:bidi="en_US"/>
        </w:rPr>
        <w:t>Gentiles</w:t>
      </w:r>
      <w:r>
        <w:rPr>
          <w:lang w:val="en_US" w:bidi="en_US"/>
        </w:rPr>
        <w:t xml:space="preserve"> refers to people who are not Jewish. In this context it refers to the Romans who were ruling Israel at this time. Here is another way to translate this:</w:t>
      </w:r>
    </w:p>
    <w:p>
      <w:pPr/>
      <w:r>
        <w:rPr>
          <w:lang w:val="en_US" w:bidi="en_US"/>
        </w:rPr>
      </w:r>
      <w:r>
        <w:rPr>
          <w:lang w:val="en_US" w:bidi="en_US"/>
        </w:rPr>
        <w:t>He will be handed over to the Romans (NLT)</w:t>
      </w:r>
    </w:p>
    <w:p>
      <w:pPr>
        <w:pStyle w:val="Heading5"/>
      </w:pPr>
      <w:r>
        <w:rPr>
          <w:lang w:val="en_US" w:bidi="en_US"/>
        </w:rPr>
        <w:t>18:32b</w:t>
      </w:r>
    </w:p>
    <w:p>
      <w:pPr/>
      <w:r>
        <w:rPr>
          <w:lang w:val="en_US" w:bidi="en_US"/>
        </w:rPr>
      </w:r>
      <w:r>
        <w:rPr>
          <w:b/>
          <w:lang w:val="en_US" w:bidi="en_US"/>
        </w:rPr>
        <w:t>and will be mocked and insulted and spit upon.</w:t>
      </w:r>
    </w:p>
    <w:p>
      <w:pPr>
        <w:pStyle w:val="ListBullet"/>
        <w:spacing w:line="240" w:lineRule="auto"/>
        <w:ind w:left="720"/>
      </w:pPr>
      <w:r>
        <w:rPr>
          <w:lang w:val="en_US" w:bidi="en_US"/>
        </w:rPr>
      </w:r>
      <w:r>
        <w:rPr>
          <w:lang w:val="en_US" w:bidi="en_US"/>
        </w:rPr>
        <w:t>These Gentiles will mock/ridicule him, mistreat him and spit on him.</w:t>
      </w:r>
    </w:p>
    <w:p>
      <w:pPr>
        <w:pStyle w:val="ListBullet"/>
        <w:spacing w:line="240" w:lineRule="auto"/>
        <w:ind w:left="720"/>
      </w:pPr>
      <w:r>
        <w:rPr>
          <w:lang w:val="en_US" w:bidi="en_US"/>
        </w:rPr>
      </w:r>
      <w:r>
        <w:rPr>
          <w:lang w:val="en_US" w:bidi="en_US"/>
        </w:rPr>
        <w:t xml:space="preserve">These people will scoff/laugh at me, insult me, and spit on me </w:t>
      </w:r>
      <w:r>
        <w:rPr>
          <w:lang w:val="en_US" w:bidi="en_US"/>
        </w:rPr>
        <w:t>to shame me</w:t>
      </w:r>
      <w:r>
        <w:rPr>
          <w:lang w:val="en_US" w:bidi="en_US"/>
        </w:rPr>
        <w:t>.</w:t>
      </w:r>
    </w:p>
    <w:p>
      <w:pPr/>
      <w:r>
        <w:rPr>
          <w:lang w:val="en_US" w:bidi="en_US"/>
        </w:rPr>
      </w:r>
      <w:r>
        <w:rPr>
          <w:b/>
          <w:lang w:val="en_US" w:bidi="en_US"/>
        </w:rPr>
        <w:t>and will be mocked and insulted and spit upon:</w:t>
      </w:r>
      <w:r>
        <w:rPr>
          <w:lang w:val="en_US" w:bidi="en_US"/>
        </w:rPr>
        <w:t xml:space="preserve"> The phrase </w:t>
      </w:r>
      <w:r>
        <w:rPr>
          <w:i/>
          <w:lang w:val="en_US" w:bidi="en_US"/>
        </w:rPr>
        <w:t>and will be mocked and insulted and spit upon</w:t>
      </w:r>
      <w:r>
        <w:rPr>
          <w:lang w:val="en_US" w:bidi="en_US"/>
        </w:rPr>
        <w:t xml:space="preserve"> describes what the Gentiles (Romans) would do to Jesus. It does not mean that the people who would deliver Jesus over to them would do these things.</w:t>
      </w:r>
    </w:p>
    <w:p>
      <w:pPr/>
      <w:r>
        <w:rPr>
          <w:lang w:val="en_US" w:bidi="en_US"/>
        </w:rPr>
      </w:r>
      <w:r>
        <w:rPr>
          <w:b/>
          <w:lang w:val="en_US" w:bidi="en_US"/>
        </w:rPr>
        <w:t>will be mocked:</w:t>
      </w:r>
      <w:r>
        <w:rPr>
          <w:lang w:val="en_US" w:bidi="en_US"/>
        </w:rPr>
        <w:t xml:space="preserve"> The Greek word that the BSB translates as </w:t>
      </w:r>
      <w:r>
        <w:rPr>
          <w:i/>
          <w:lang w:val="en_US" w:bidi="en_US"/>
        </w:rPr>
        <w:t>mocked</w:t>
      </w:r>
      <w:r>
        <w:rPr>
          <w:lang w:val="en_US" w:bidi="en_US"/>
        </w:rPr>
        <w:t xml:space="preserve"> means “ridiculed.” People may ridicule someone by imitating him in a distorted way. They try to humiliate or shame him so that other people will not respect him. This is what the Roman soldiers would do to Jesus in 23:35–43.</w:t>
      </w:r>
    </w:p>
    <w:p>
      <w:pPr/>
      <w:r>
        <w:rPr>
          <w:lang w:val="en_US" w:bidi="en_US"/>
        </w:rPr>
      </w:r>
      <w:r>
        <w:rPr>
          <w:b/>
          <w:lang w:val="en_US" w:bidi="en_US"/>
        </w:rPr>
        <w:t>insulted:</w:t>
      </w:r>
      <w:r>
        <w:rPr>
          <w:lang w:val="en_US" w:bidi="en_US"/>
        </w:rPr>
        <w:t xml:space="preserve"> The word </w:t>
      </w:r>
      <w:r>
        <w:rPr>
          <w:i/>
          <w:lang w:val="en_US" w:bidi="en_US"/>
        </w:rPr>
        <w:t>insulted</w:t>
      </w:r>
      <w:r>
        <w:rPr>
          <w:lang w:val="en_US" w:bidi="en_US"/>
        </w:rPr>
        <w:t xml:space="preserve"> refers to saying or doing things to shame another person. Jesus would be </w:t>
      </w:r>
      <w:r>
        <w:rPr>
          <w:i/>
          <w:lang w:val="en_US" w:bidi="en_US"/>
        </w:rPr>
        <w:t>insulted</w:t>
      </w:r>
      <w:r>
        <w:rPr>
          <w:lang w:val="en_US" w:bidi="en_US"/>
        </w:rPr>
        <w:t xml:space="preserve"> by people who would mistreat him and speak to him with contempt. Some other ways to translate this are:</w:t>
      </w:r>
    </w:p>
    <w:p>
      <w:pPr/>
      <w:r>
        <w:rPr>
          <w:lang w:val="en_US" w:bidi="en_US"/>
        </w:rPr>
      </w:r>
      <w:r>
        <w:rPr>
          <w:lang w:val="en_US" w:bidi="en_US"/>
        </w:rPr>
        <w:t>mistreat him (CEV)</w:t>
      </w:r>
    </w:p>
    <w:p>
      <w:pPr/>
      <w:r>
        <w:rPr>
          <w:lang w:val="en_US" w:bidi="en_US"/>
        </w:rPr>
      </w:r>
      <w:r>
        <w:rPr>
          <w:lang w:val="en_US" w:bidi="en_US"/>
        </w:rPr>
        <w:t>will be…shamefully treated (RSV)</w:t>
      </w:r>
    </w:p>
    <w:p>
      <w:pPr/>
      <w:r>
        <w:rPr>
          <w:lang w:val="en_US" w:bidi="en_US"/>
        </w:rPr>
      </w:r>
      <w:r>
        <w:rPr>
          <w:lang w:val="en_US" w:bidi="en_US"/>
        </w:rPr>
        <w:t>will be…insulted (NRSV)</w:t>
      </w:r>
    </w:p>
    <w:p>
      <w:pPr/>
      <w:r>
        <w:rPr>
          <w:lang w:val="en_US" w:bidi="en_US"/>
        </w:rPr>
      </w:r>
      <w:r>
        <w:rPr>
          <w:b/>
          <w:lang w:val="en_US" w:bidi="en_US"/>
        </w:rPr>
        <w:t>and spit upon:</w:t>
      </w:r>
      <w:r>
        <w:rPr>
          <w:lang w:val="en_US" w:bidi="en_US"/>
        </w:rPr>
        <w:t xml:space="preserve"> In Jewish culture, spitting on a person, especially in the face, was one of the worst ways to insult him. People spit on a person to shame him and imply that he was completely worthless. If spitting on someone does not mean this in your culture, you may need to make this explicit. For example:</w:t>
      </w:r>
    </w:p>
    <w:p>
      <w:pPr/>
      <w:r>
        <w:rPr>
          <w:lang w:val="en_US" w:bidi="en_US"/>
        </w:rPr>
      </w:r>
      <w:r>
        <w:rPr>
          <w:lang w:val="en_US" w:bidi="en_US"/>
        </w:rPr>
        <w:t xml:space="preserve">spit on him </w:t>
      </w:r>
      <w:r>
        <w:rPr>
          <w:lang w:val="en_US" w:bidi="en_US"/>
        </w:rPr>
        <w:t>to shame him</w:t>
      </w:r>
    </w:p>
    <w:p>
      <w:pPr>
        <w:pStyle w:val="Heading6"/>
      </w:pPr>
      <w:r>
        <w:rPr>
          <w:b/>
          <w:lang w:val="en_US" w:bidi="en_US"/>
        </w:rPr>
        <w:t>General Comment on 18:32a–b</w:t>
      </w:r>
    </w:p>
    <w:p>
      <w:pPr/>
      <w:r>
        <w:rPr>
          <w:lang w:val="en_US" w:bidi="en_US"/>
        </w:rPr>
      </w:r>
      <w:r>
        <w:rPr>
          <w:lang w:val="en_US" w:bidi="en_US"/>
        </w:rPr>
        <w:t>In Greek the verbs in this section are all passive. If it is natural in your language, you could also use active verbs. For example:</w:t>
      </w:r>
    </w:p>
    <w:p>
      <w:pPr/>
      <w:r>
        <w:rPr>
          <w:lang w:val="en_US" w:bidi="en_US"/>
        </w:rPr>
      </w:r>
      <w:r>
        <w:rPr>
          <w:lang w:val="en_US" w:bidi="en_US"/>
        </w:rPr>
        <w:t>He will be delivered over to the Gentiles. They will mock him, insult him and spit on him (NIV)</w:t>
      </w:r>
    </w:p>
    <w:p>
      <w:pPr/>
      <w:r>
        <w:rPr>
          <w:lang w:val="en_US" w:bidi="en_US"/>
        </w:rPr>
      </w:r>
      <w:r>
        <w:rPr>
          <w:lang w:val="en_US" w:bidi="en_US"/>
        </w:rPr>
        <w:t>Remember that in 18:32a–b Luke referred to two groups of people:</w:t>
      </w:r>
    </w:p>
    <w:p>
      <w:pPr>
        <w:pStyle w:val="ListNumber"/>
        <w:numPr>
          <w:ilvl w:val="0"/>
          <w:numId w:val="307"/>
        </w:numPr>
        <w:spacing w:line="240" w:lineRule="auto"/>
        <w:ind w:left="720"/>
      </w:pPr>
      <w:r>
        <w:rPr>
          <w:lang w:val="en_US" w:bidi="en_US"/>
        </w:rPr>
      </w:r>
      <w:r>
        <w:rPr>
          <w:lang w:val="en_US" w:bidi="en_US"/>
        </w:rPr>
        <w:t>“They” or “people” handed Jesus over to the Gentiles.</w:t>
      </w:r>
    </w:p>
    <w:p>
      <w:pPr>
        <w:pStyle w:val="ListNumber"/>
        <w:spacing w:line="240" w:lineRule="auto"/>
        <w:ind w:left="720"/>
      </w:pPr>
      <w:r>
        <w:rPr>
          <w:lang w:val="en_US" w:bidi="en_US"/>
        </w:rPr>
      </w:r>
      <w:r>
        <w:rPr>
          <w:lang w:val="en_US" w:bidi="en_US"/>
        </w:rPr>
        <w:t>Then the Gentiles (Romans) mocked, insulted, and spit on him.</w:t>
      </w:r>
      <w:r>
        <w:rPr>
          <w:lang w:val="en_US" w:bidi="en_US"/>
        </w:rPr>
      </w:r>
      <w:r>
        <w:rPr>
          <w:lang w:val="en_US" w:bidi="en_US"/>
        </w:rPr>
      </w:r>
    </w:p>
    <w:p>
      <w:pPr/>
      <w:r>
        <w:rPr>
          <w:lang w:val="en_US" w:bidi="en_US"/>
        </w:rPr>
      </w:r>
    </w:p>
    <w:p>
      <w:pPr>
        <w:pStyle w:val="Heading2"/>
      </w:pPr>
      <w:r>
        <w:rPr>
          <w:lang w:val="en_US" w:bidi="en_US"/>
        </w:rPr>
        <w:t>Luke 18:33</w:t>
      </w:r>
      <w:r>
        <w:rPr>
          <w:lang w:val="en_US" w:bidi="en_US"/>
        </w:rPr>
      </w:r>
    </w:p>
    <w:p>
      <w:pPr>
        <w:pStyle w:val="Heading4"/>
      </w:pPr>
      <w:r>
        <w:rPr>
          <w:lang w:val="en_US" w:bidi="en_US"/>
        </w:rPr>
        <w:t>Section 18:31–34: Jesus again predicted his death</w:t>
      </w:r>
    </w:p>
    <w:p>
      <w:pPr/>
      <w:r>
        <w:rPr>
          <w:lang w:val="en_US" w:bidi="en_US"/>
        </w:rPr>
      </w:r>
      <w:r>
        <w:rPr>
          <w:lang w:val="en_US" w:bidi="en_US"/>
        </w:rPr>
        <w:t>Jesus had told his disciples in 9:22 and 9:44 that people would kill him and that he would rise from the dead after three days. In this section Jesus again told the disciples that these things would happen to him. This time he gave more details about how these events would happen.</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Again Predicts His Death (NIV)</w:t>
      </w:r>
    </w:p>
    <w:p>
      <w:pPr/>
      <w:r>
        <w:rPr>
          <w:lang w:val="en_US" w:bidi="en_US"/>
        </w:rPr>
      </w:r>
      <w:r>
        <w:rPr>
          <w:lang w:val="en_US" w:bidi="en_US"/>
        </w:rPr>
        <w:t>Jesus continues his journey toward suffering and death in Jerusalem</w:t>
      </w:r>
    </w:p>
    <w:p>
      <w:pPr/>
      <w:r>
        <w:rPr>
          <w:lang w:val="en_US" w:bidi="en_US"/>
        </w:rPr>
      </w:r>
      <w:r>
        <w:rPr>
          <w:lang w:val="en_US" w:bidi="en_US"/>
        </w:rPr>
        <w:t>Refer to your section title for Section 9:43b–45. If you used a phrase that means “the second time” there, you should use a phrase that means “the third time” here. For example:</w:t>
      </w:r>
    </w:p>
    <w:p>
      <w:pPr/>
      <w:r>
        <w:rPr>
          <w:lang w:val="en_US" w:bidi="en_US"/>
        </w:rPr>
      </w:r>
      <w:r>
        <w:rPr>
          <w:lang w:val="en_US" w:bidi="en_US"/>
        </w:rPr>
        <w:t>For the Third Time Jesus Foretells That He Will Die and Come Back to Life (GW)</w:t>
      </w:r>
    </w:p>
    <w:p>
      <w:pPr/>
      <w:r>
        <w:rPr>
          <w:lang w:val="en_US" w:bidi="en_US"/>
        </w:rPr>
      </w:r>
      <w:r>
        <w:rPr>
          <w:lang w:val="en_US" w:bidi="en_US"/>
        </w:rPr>
        <w:t>There are parallel passages for this section in Matthew 20:17–19 and Mark 10:32–34.</w:t>
      </w:r>
    </w:p>
    <w:p>
      <w:pPr>
        <w:pStyle w:val="Heading5"/>
      </w:pPr>
      <w:r>
        <w:rPr>
          <w:lang w:val="en_US" w:bidi="en_US"/>
        </w:rPr>
        <w:t>18:33a</w:t>
      </w:r>
    </w:p>
    <w:p>
      <w:pPr/>
      <w:r>
        <w:rPr>
          <w:lang w:val="en_US" w:bidi="en_US"/>
        </w:rPr>
      </w:r>
      <w:r>
        <w:rPr>
          <w:b/>
          <w:lang w:val="en_US" w:bidi="en_US"/>
        </w:rPr>
        <w:t>They will flog Him and kill Him,</w:t>
      </w:r>
    </w:p>
    <w:p>
      <w:pPr>
        <w:pStyle w:val="ListBullet"/>
        <w:spacing w:line="240" w:lineRule="auto"/>
        <w:ind w:left="720"/>
      </w:pPr>
      <w:r>
        <w:rPr>
          <w:lang w:val="en_US" w:bidi="en_US"/>
        </w:rPr>
      </w:r>
      <w:r>
        <w:rPr>
          <w:lang w:val="en_US" w:bidi="en_US"/>
        </w:rPr>
        <w:t>And after they scourge/whip him, they will kill him.</w:t>
      </w:r>
    </w:p>
    <w:p>
      <w:pPr>
        <w:pStyle w:val="ListBullet"/>
        <w:spacing w:line="240" w:lineRule="auto"/>
        <w:ind w:left="720"/>
      </w:pPr>
      <w:r>
        <w:rPr>
          <w:lang w:val="en_US" w:bidi="en_US"/>
        </w:rPr>
      </w:r>
      <w:r>
        <w:rPr>
          <w:lang w:val="en_US" w:bidi="en_US"/>
        </w:rPr>
        <w:t>They will beat me with a whip, and then they will kill me.</w:t>
      </w:r>
    </w:p>
    <w:p>
      <w:pPr/>
      <w:r>
        <w:rPr>
          <w:lang w:val="en_US" w:bidi="en_US"/>
        </w:rPr>
      </w:r>
      <w:r>
        <w:rPr>
          <w:b/>
          <w:lang w:val="en_US" w:bidi="en_US"/>
        </w:rPr>
        <w:t>They will flog Him and kill Him:</w:t>
      </w:r>
      <w:r>
        <w:rPr>
          <w:lang w:val="en_US" w:bidi="en_US"/>
        </w:rPr>
        <w:t xml:space="preserve"> The Greek phrase that the BSB translates as </w:t>
      </w:r>
      <w:r>
        <w:rPr>
          <w:i/>
          <w:lang w:val="en_US" w:bidi="en_US"/>
        </w:rPr>
        <w:t>flog Him and kill Him</w:t>
      </w:r>
      <w:r>
        <w:rPr>
          <w:lang w:val="en_US" w:bidi="en_US"/>
        </w:rPr>
        <w:t xml:space="preserve"> is more literally “and having flogged/whipped him, they will kill him.” The verb </w:t>
      </w:r>
      <w:r>
        <w:rPr>
          <w:i/>
          <w:lang w:val="en_US" w:bidi="en_US"/>
        </w:rPr>
        <w:t>kill</w:t>
      </w:r>
      <w:r>
        <w:rPr>
          <w:lang w:val="en_US" w:bidi="en_US"/>
        </w:rPr>
        <w:t xml:space="preserve"> is active. It is emphasized by being the only independent active verb in the series of verbs in 18:32b–33a. Another way to translate 18:33a is:</w:t>
      </w:r>
    </w:p>
    <w:p>
      <w:pPr/>
      <w:r>
        <w:rPr>
          <w:lang w:val="en_US" w:bidi="en_US"/>
        </w:rPr>
      </w:r>
      <w:r>
        <w:rPr>
          <w:lang w:val="en_US" w:bidi="en_US"/>
        </w:rPr>
        <w:t>and after flogging him, they will kill him</w:t>
      </w:r>
    </w:p>
    <w:p>
      <w:pPr/>
      <w:r>
        <w:rPr>
          <w:lang w:val="en_US" w:bidi="en_US"/>
        </w:rPr>
      </w:r>
      <w:r>
        <w:rPr>
          <w:lang w:val="en_US" w:bidi="en_US"/>
        </w:rPr>
        <w:t>Translate the series of actions in a natural way in your language.</w:t>
      </w:r>
    </w:p>
    <w:p>
      <w:pPr/>
      <w:r>
        <w:rPr>
          <w:lang w:val="en_US" w:bidi="en_US"/>
        </w:rPr>
      </w:r>
      <w:r>
        <w:rPr>
          <w:b/>
          <w:lang w:val="en_US" w:bidi="en_US"/>
        </w:rPr>
        <w:t>flog:</w:t>
      </w:r>
      <w:r>
        <w:rPr>
          <w:lang w:val="en_US" w:bidi="en_US"/>
        </w:rPr>
        <w:t xml:space="preserve"> The word </w:t>
      </w:r>
      <w:r>
        <w:rPr>
          <w:i/>
          <w:lang w:val="en_US" w:bidi="en_US"/>
        </w:rPr>
        <w:t>flog</w:t>
      </w:r>
      <w:r>
        <w:rPr>
          <w:lang w:val="en_US" w:bidi="en_US"/>
        </w:rPr>
        <w:t xml:space="preserve"> means to beat with a whip. The Romans used the kind of whip that had leather thongs and a wooden handle. They tied sharp pieces of lead into the leather thongs. When they beat a man with this whip, it could badly cut up his back with just a few strokes. This word also occurs in Mark 10:34. A different Greek word is used in Mark 15:15 to refer to this same action.</w:t>
      </w:r>
    </w:p>
    <w:p>
      <w:pPr>
        <w:pStyle w:val="Heading5"/>
      </w:pPr>
      <w:r>
        <w:rPr>
          <w:lang w:val="en_US" w:bidi="en_US"/>
        </w:rPr>
        <w:t>18:33b</w:t>
      </w:r>
    </w:p>
    <w:p>
      <w:pPr/>
      <w:r>
        <w:rPr>
          <w:lang w:val="en_US" w:bidi="en_US"/>
        </w:rPr>
      </w:r>
      <w:r>
        <w:rPr>
          <w:b/>
          <w:lang w:val="en_US" w:bidi="en_US"/>
        </w:rPr>
        <w:t>and on the third day He will rise again.”</w:t>
      </w:r>
    </w:p>
    <w:p>
      <w:pPr>
        <w:pStyle w:val="ListBullet"/>
        <w:spacing w:line="240" w:lineRule="auto"/>
        <w:ind w:left="720"/>
      </w:pPr>
      <w:r>
        <w:rPr>
          <w:lang w:val="en_US" w:bidi="en_US"/>
        </w:rPr>
      </w:r>
      <w:r>
        <w:rPr>
          <w:lang w:val="en_US" w:bidi="en_US"/>
        </w:rPr>
        <w:t>Then on the third day, he will return to life.”</w:t>
      </w:r>
    </w:p>
    <w:p>
      <w:pPr>
        <w:pStyle w:val="ListBullet"/>
        <w:spacing w:line="240" w:lineRule="auto"/>
        <w:ind w:left="720"/>
      </w:pPr>
      <w:r>
        <w:rPr>
          <w:lang w:val="en_US" w:bidi="en_US"/>
        </w:rPr>
      </w:r>
      <w:r>
        <w:rPr>
          <w:lang w:val="en_US" w:bidi="en_US"/>
        </w:rPr>
        <w:t>But</w:t>
      </w:r>
      <w:r>
        <w:rPr>
          <w:lang w:val="en_US" w:bidi="en_US"/>
        </w:rPr>
        <w:t xml:space="preserve"> on the third day </w:t>
      </w:r>
      <w:r>
        <w:rPr>
          <w:lang w:val="en_US" w:bidi="en_US"/>
        </w:rPr>
        <w:t>after I die,</w:t>
      </w:r>
      <w:r>
        <w:rPr>
          <w:lang w:val="en_US" w:bidi="en_US"/>
        </w:rPr>
        <w:t xml:space="preserve"> I will live again.”</w:t>
      </w:r>
    </w:p>
    <w:p>
      <w:pPr/>
      <w:r>
        <w:rPr>
          <w:lang w:val="en_US" w:bidi="en_US"/>
        </w:rPr>
      </w:r>
      <w:r>
        <w:rPr>
          <w:b/>
          <w:lang w:val="en_US" w:bidi="en_US"/>
        </w:rPr>
        <w:t>and…He will rise again:</w:t>
      </w:r>
      <w:r>
        <w:rPr>
          <w:lang w:val="en_US" w:bidi="en_US"/>
        </w:rPr>
        <w:t xml:space="preserve"> The action in this verse part is the climax of the series of actions in 18:32b–33a: Jesus </w:t>
      </w:r>
      <w:r>
        <w:rPr>
          <w:i/>
          <w:lang w:val="en_US" w:bidi="en_US"/>
        </w:rPr>
        <w:t>will rise again</w:t>
      </w:r>
      <w:r>
        <w:rPr>
          <w:lang w:val="en_US" w:bidi="en_US"/>
        </w:rPr>
        <w:t xml:space="preserve">. This action contrasts with being mistreated in the previous verse parts. In Greek this verse part begins with the common conjunction that is often translated as </w:t>
      </w:r>
      <w:r>
        <w:rPr>
          <w:i/>
          <w:lang w:val="en_US" w:bidi="en_US"/>
        </w:rPr>
        <w:t>and</w:t>
      </w:r>
      <w:r>
        <w:rPr>
          <w:lang w:val="en_US" w:bidi="en_US"/>
        </w:rPr>
        <w:t>, as in the BSB. In some languages it may be natural to use a conjunction such as “yet” or “but” that introduces contrast. It may also be natural not to use a conjunction here, as in versions such as the NIV.</w:t>
      </w:r>
    </w:p>
    <w:p>
      <w:pPr/>
      <w:r>
        <w:rPr>
          <w:lang w:val="en_US" w:bidi="en_US"/>
        </w:rPr>
      </w:r>
      <w:r>
        <w:rPr>
          <w:b/>
          <w:lang w:val="en_US" w:bidi="en_US"/>
        </w:rPr>
        <w:t>on the third day:</w:t>
      </w:r>
      <w:r>
        <w:rPr>
          <w:lang w:val="en_US" w:bidi="en_US"/>
        </w:rPr>
        <w:t xml:space="preserve"> When the Jews counted time, they counted a part of a day as a whole day. Jesus’ followers would bury him on the first day. He would be in the grave during all of the second day, and he would live again on the third day.</w:t>
      </w:r>
    </w:p>
    <w:p>
      <w:pPr/>
      <w:r>
        <w:rPr>
          <w:lang w:val="en_US" w:bidi="en_US"/>
        </w:rPr>
      </w:r>
      <w:r>
        <w:rPr>
          <w:b/>
          <w:lang w:val="en_US" w:bidi="en_US"/>
        </w:rPr>
        <w:t>He will rise again:</w:t>
      </w:r>
      <w:r>
        <w:rPr>
          <w:lang w:val="en_US" w:bidi="en_US"/>
        </w:rPr>
        <w:t xml:space="preserve"> The phrase </w:t>
      </w:r>
      <w:r>
        <w:rPr>
          <w:i/>
          <w:lang w:val="en_US" w:bidi="en_US"/>
        </w:rPr>
        <w:t>He will rise again</w:t>
      </w:r>
      <w:r>
        <w:rPr>
          <w:lang w:val="en_US" w:bidi="en_US"/>
        </w:rPr>
        <w:t xml:space="preserve"> means “He will live again” or “He will come back to life.”</w:t>
      </w:r>
      <w:r>
        <w:rPr>
          <w:lang w:val="en_US" w:bidi="en_US"/>
        </w:rPr>
        <w:t>a future middle indicative form</w:t>
      </w:r>
      <w:r>
        <w:rPr>
          <w:lang w:val="en_US" w:bidi="en_US"/>
        </w:rPr>
        <w:t xml:space="preserve"> Here Jesus continued to refer to himself as the Son of Man. In some languages it may be necessary to use a pronoun such as “I”:</w:t>
      </w:r>
    </w:p>
    <w:p>
      <w:pPr/>
      <w:r>
        <w:rPr>
          <w:lang w:val="en_US" w:bidi="en_US"/>
        </w:rPr>
      </w:r>
      <w:r>
        <w:rPr>
          <w:lang w:val="en_US" w:bidi="en_US"/>
        </w:rPr>
        <w:t>I will live again</w:t>
      </w:r>
      <w:r>
        <w:rPr>
          <w:lang w:val="en_US" w:bidi="en_US"/>
        </w:rPr>
      </w:r>
      <w:r>
        <w:rPr>
          <w:lang w:val="en_US" w:bidi="en_US"/>
        </w:rPr>
      </w:r>
    </w:p>
    <w:p>
      <w:pPr/>
      <w:r>
        <w:rPr>
          <w:lang w:val="en_US" w:bidi="en_US"/>
        </w:rPr>
      </w:r>
    </w:p>
    <w:p>
      <w:pPr>
        <w:pStyle w:val="Heading2"/>
      </w:pPr>
      <w:r>
        <w:rPr>
          <w:lang w:val="en_US" w:bidi="en_US"/>
        </w:rPr>
        <w:t>Luke 18:34</w:t>
      </w:r>
      <w:r>
        <w:rPr>
          <w:lang w:val="en_US" w:bidi="en_US"/>
        </w:rPr>
      </w:r>
    </w:p>
    <w:p>
      <w:pPr>
        <w:pStyle w:val="Heading4"/>
      </w:pPr>
      <w:r>
        <w:rPr>
          <w:lang w:val="en_US" w:bidi="en_US"/>
        </w:rPr>
        <w:t>Section 18:31–34: Jesus again predicted his death</w:t>
      </w:r>
    </w:p>
    <w:p>
      <w:pPr/>
      <w:r>
        <w:rPr>
          <w:lang w:val="en_US" w:bidi="en_US"/>
        </w:rPr>
      </w:r>
      <w:r>
        <w:rPr>
          <w:lang w:val="en_US" w:bidi="en_US"/>
        </w:rPr>
        <w:t>Jesus had told his disciples in 9:22 and 9:44 that people would kill him and that he would rise from the dead after three days. In this section Jesus again told the disciples that these things would happen to him. This time he gave more details about how these events would happen.</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Again Predicts His Death (NIV)</w:t>
      </w:r>
    </w:p>
    <w:p>
      <w:pPr/>
      <w:r>
        <w:rPr>
          <w:lang w:val="en_US" w:bidi="en_US"/>
        </w:rPr>
      </w:r>
      <w:r>
        <w:rPr>
          <w:lang w:val="en_US" w:bidi="en_US"/>
        </w:rPr>
        <w:t>Jesus continues his journey toward suffering and death in Jerusalem</w:t>
      </w:r>
    </w:p>
    <w:p>
      <w:pPr/>
      <w:r>
        <w:rPr>
          <w:lang w:val="en_US" w:bidi="en_US"/>
        </w:rPr>
      </w:r>
      <w:r>
        <w:rPr>
          <w:lang w:val="en_US" w:bidi="en_US"/>
        </w:rPr>
        <w:t>Refer to your section title for Section 9:43b–45. If you used a phrase that means “the second time” there, you should use a phrase that means “the third time” here. For example:</w:t>
      </w:r>
    </w:p>
    <w:p>
      <w:pPr/>
      <w:r>
        <w:rPr>
          <w:lang w:val="en_US" w:bidi="en_US"/>
        </w:rPr>
      </w:r>
      <w:r>
        <w:rPr>
          <w:lang w:val="en_US" w:bidi="en_US"/>
        </w:rPr>
        <w:t>For the Third Time Jesus Foretells That He Will Die and Come Back to Life (GW)</w:t>
      </w:r>
    </w:p>
    <w:p>
      <w:pPr/>
      <w:r>
        <w:rPr>
          <w:lang w:val="en_US" w:bidi="en_US"/>
        </w:rPr>
      </w:r>
      <w:r>
        <w:rPr>
          <w:lang w:val="en_US" w:bidi="en_US"/>
        </w:rPr>
        <w:t>There are parallel passages for this section in Matthew 20:17–19 and Mark 10:32–34.</w:t>
      </w:r>
    </w:p>
    <w:p>
      <w:pPr>
        <w:pStyle w:val="Heading5"/>
      </w:pPr>
      <w:r>
        <w:rPr>
          <w:lang w:val="en_US" w:bidi="en_US"/>
        </w:rPr>
        <w:t>18:34</w:t>
      </w:r>
    </w:p>
    <w:p>
      <w:pPr/>
      <w:r>
        <w:rPr>
          <w:lang w:val="en_US" w:bidi="en_US"/>
        </w:rPr>
      </w:r>
      <w:r>
        <w:rPr>
          <w:lang w:val="en_US" w:bidi="en_US"/>
        </w:rPr>
        <w:t>This verse has three statements with very similar meanings. The statements indicate that the disciples did not understand the meaning of what Jesus had just said. They did not know what he meant when he referred to his suffering and death in 18:32–33. They did not seem to expect that Jesus would physically suffer and die. They may have thought that he was speaking in a figurative way about his death.</w:t>
      </w:r>
    </w:p>
    <w:p>
      <w:pPr/>
      <w:r>
        <w:rPr>
          <w:lang w:val="en_US" w:bidi="en_US"/>
        </w:rPr>
      </w:r>
      <w:r>
        <w:rPr>
          <w:lang w:val="en_US" w:bidi="en_US"/>
        </w:rPr>
        <w:t>See the General Comment on 18:34a–c at the end of 18:34c for suggestions about combining some of the clauses. There is also an example of using idioms to express the fact that the disciples did not understand.</w:t>
      </w:r>
    </w:p>
    <w:p>
      <w:pPr>
        <w:pStyle w:val="Heading5"/>
      </w:pPr>
      <w:r>
        <w:rPr>
          <w:lang w:val="en_US" w:bidi="en_US"/>
        </w:rPr>
        <w:t>18:34a</w:t>
      </w:r>
    </w:p>
    <w:p>
      <w:pPr/>
      <w:r>
        <w:rPr>
          <w:lang w:val="en_US" w:bidi="en_US"/>
        </w:rPr>
      </w:r>
      <w:r>
        <w:rPr>
          <w:b/>
          <w:lang w:val="en_US" w:bidi="en_US"/>
        </w:rPr>
        <w:t>But the disciples did not understand any of these things.</w:t>
      </w:r>
    </w:p>
    <w:p>
      <w:pPr>
        <w:pStyle w:val="ListBullet"/>
        <w:spacing w:line="240" w:lineRule="auto"/>
        <w:ind w:left="720"/>
      </w:pPr>
      <w:r>
        <w:rPr>
          <w:lang w:val="en_US" w:bidi="en_US"/>
        </w:rPr>
      </w:r>
      <w:r>
        <w:rPr>
          <w:lang w:val="en_US" w:bidi="en_US"/>
        </w:rPr>
        <w:t>The apostles did not understand what Jesus was talking about. (CEV)</w:t>
      </w:r>
    </w:p>
    <w:p>
      <w:pPr>
        <w:pStyle w:val="ListBullet"/>
        <w:spacing w:line="240" w:lineRule="auto"/>
        <w:ind w:left="720"/>
      </w:pPr>
      <w:r>
        <w:rPr>
          <w:lang w:val="en_US" w:bidi="en_US"/>
        </w:rPr>
      </w:r>
      <w:r>
        <w:rPr>
          <w:lang w:val="en_US" w:bidi="en_US"/>
        </w:rPr>
        <w:t>When Jesus said this,</w:t>
      </w:r>
      <w:r>
        <w:rPr>
          <w:lang w:val="en_US" w:bidi="en_US"/>
        </w:rPr>
        <w:t xml:space="preserve"> his disciples could not comprehend any of it.</w:t>
      </w:r>
    </w:p>
    <w:p>
      <w:pPr/>
      <w:r>
        <w:rPr>
          <w:lang w:val="en_US" w:bidi="en_US"/>
        </w:rPr>
      </w:r>
      <w:r>
        <w:rPr>
          <w:b/>
          <w:lang w:val="en_US" w:bidi="en_US"/>
        </w:rPr>
        <w:t>But:</w:t>
      </w:r>
      <w:r>
        <w:rPr>
          <w:lang w:val="en_US" w:bidi="en_US"/>
        </w:rPr>
        <w:t xml:space="preserve"> This verse begins with a Greek conjunction that is often translated as “and.” Some English versions, such as the KJV, translate it that way. The BSB and many other versions translate it as </w:t>
      </w:r>
      <w:r>
        <w:rPr>
          <w:i/>
          <w:lang w:val="en_US" w:bidi="en_US"/>
        </w:rPr>
        <w:t>But</w:t>
      </w:r>
      <w:r>
        <w:rPr>
          <w:lang w:val="en_US" w:bidi="en_US"/>
        </w:rPr>
        <w:t xml:space="preserve"> in order to show that it introduces a contrast. Other versions, such as the NIV and CEV, do not translate this conjunction. Connect this verse to 18:32–33 in a natural way in your language.</w:t>
      </w:r>
    </w:p>
    <w:p>
      <w:pPr/>
      <w:r>
        <w:rPr>
          <w:lang w:val="en_US" w:bidi="en_US"/>
        </w:rPr>
      </w:r>
      <w:r>
        <w:rPr>
          <w:b/>
          <w:lang w:val="en_US" w:bidi="en_US"/>
        </w:rPr>
        <w:t>the disciples did not understand any of these things:</w:t>
      </w:r>
      <w:r>
        <w:rPr>
          <w:lang w:val="en_US" w:bidi="en_US"/>
        </w:rPr>
        <w:t xml:space="preserve"> The Greek phrase that the BSB translates literally as </w:t>
      </w:r>
      <w:r>
        <w:rPr>
          <w:i/>
          <w:lang w:val="en_US" w:bidi="en_US"/>
        </w:rPr>
        <w:t>any of these things</w:t>
      </w:r>
      <w:r>
        <w:rPr>
          <w:lang w:val="en_US" w:bidi="en_US"/>
        </w:rPr>
        <w:t xml:space="preserve"> refers to what Jesus had just said in 18:32–33. Some other ways to translate </w:t>
      </w:r>
      <w:r>
        <w:rPr>
          <w:i/>
          <w:lang w:val="en_US" w:bidi="en_US"/>
        </w:rPr>
        <w:t>the disciples did not understand any of these things</w:t>
      </w:r>
      <w:r>
        <w:rPr>
          <w:lang w:val="en_US" w:bidi="en_US"/>
        </w:rPr>
        <w:t xml:space="preserve"> are:</w:t>
      </w:r>
    </w:p>
    <w:p>
      <w:pPr/>
      <w:r>
        <w:rPr>
          <w:lang w:val="en_US" w:bidi="en_US"/>
        </w:rPr>
      </w:r>
      <w:r>
        <w:rPr>
          <w:lang w:val="en_US" w:bidi="en_US"/>
        </w:rPr>
        <w:t>The apostles did not understand this… (NCV)</w:t>
      </w:r>
    </w:p>
    <w:p>
      <w:pPr/>
      <w:r>
        <w:rPr>
          <w:lang w:val="en_US" w:bidi="en_US"/>
        </w:rPr>
      </w:r>
      <w:r>
        <w:rPr>
          <w:lang w:val="en_US" w:bidi="en_US"/>
        </w:rPr>
        <w:t>The apostles did not understand what Jesus was talking about. (CEV)</w:t>
      </w:r>
    </w:p>
    <w:p>
      <w:pPr/>
      <w:r>
        <w:rPr>
          <w:lang w:val="en_US" w:bidi="en_US"/>
        </w:rPr>
      </w:r>
      <w:r>
        <w:rPr>
          <w:b/>
          <w:lang w:val="en_US" w:bidi="en_US"/>
        </w:rPr>
        <w:t>the disciples:</w:t>
      </w:r>
      <w:r>
        <w:rPr>
          <w:lang w:val="en_US" w:bidi="en_US"/>
        </w:rPr>
        <w:t xml:space="preserve"> The Greek word that the BSB translates as </w:t>
      </w:r>
      <w:r>
        <w:rPr>
          <w:i/>
          <w:lang w:val="en_US" w:bidi="en_US"/>
        </w:rPr>
        <w:t>the disciples</w:t>
      </w:r>
      <w:r>
        <w:rPr>
          <w:lang w:val="en_US" w:bidi="en_US"/>
        </w:rPr>
        <w:t xml:space="preserve"> is literally “they.” Refer to them here in a natural way.</w:t>
      </w:r>
    </w:p>
    <w:p>
      <w:pPr>
        <w:pStyle w:val="Heading5"/>
      </w:pPr>
      <w:r>
        <w:rPr>
          <w:lang w:val="en_US" w:bidi="en_US"/>
        </w:rPr>
        <w:t>18:34b</w:t>
      </w:r>
    </w:p>
    <w:p>
      <w:pPr/>
      <w:r>
        <w:rPr>
          <w:lang w:val="en_US" w:bidi="en_US"/>
        </w:rPr>
      </w:r>
      <w:r>
        <w:rPr>
          <w:b/>
          <w:lang w:val="en_US" w:bidi="en_US"/>
        </w:rPr>
        <w:t>The meaning was hidden from them,</w:t>
      </w:r>
    </w:p>
    <w:p>
      <w:pPr>
        <w:pStyle w:val="ListBullet"/>
        <w:spacing w:line="240" w:lineRule="auto"/>
        <w:ind w:left="720"/>
      </w:pPr>
      <w:r>
        <w:rPr>
          <w:lang w:val="en_US" w:bidi="en_US"/>
        </w:rPr>
      </w:r>
      <w:r>
        <w:rPr>
          <w:lang w:val="en_US" w:bidi="en_US"/>
        </w:rPr>
        <w:t>The meaning of what he said was hidden/concealed from them.</w:t>
      </w:r>
    </w:p>
    <w:p>
      <w:pPr>
        <w:pStyle w:val="ListBullet"/>
        <w:spacing w:line="240" w:lineRule="auto"/>
        <w:ind w:left="720"/>
      </w:pPr>
      <w:r>
        <w:rPr>
          <w:lang w:val="en_US" w:bidi="en_US"/>
        </w:rPr>
      </w:r>
      <w:r>
        <w:rPr>
          <w:lang w:val="en_US" w:bidi="en_US"/>
        </w:rPr>
        <w:t>It was a mystery/riddle to them.</w:t>
      </w:r>
    </w:p>
    <w:p>
      <w:pPr>
        <w:pStyle w:val="ListBullet"/>
        <w:spacing w:line="240" w:lineRule="auto"/>
        <w:ind w:left="720"/>
      </w:pPr>
      <w:r>
        <w:rPr>
          <w:lang w:val="en_US" w:bidi="en_US"/>
        </w:rPr>
      </w:r>
      <w:r>
        <w:rPr>
          <w:lang w:val="en_US" w:bidi="en_US"/>
        </w:rPr>
        <w:t>It did not mean anything to them,</w:t>
      </w:r>
    </w:p>
    <w:p>
      <w:pPr/>
      <w:r>
        <w:rPr>
          <w:lang w:val="en_US" w:bidi="en_US"/>
        </w:rPr>
      </w:r>
      <w:r>
        <w:rPr>
          <w:b/>
          <w:lang w:val="en_US" w:bidi="en_US"/>
        </w:rPr>
        <w:t>The meaning was hidden from them:</w:t>
      </w:r>
      <w:r>
        <w:rPr>
          <w:lang w:val="en_US" w:bidi="en_US"/>
        </w:rPr>
        <w:t xml:space="preserve"> The verb </w:t>
      </w:r>
      <w:r>
        <w:rPr>
          <w:i/>
          <w:lang w:val="en_US" w:bidi="en_US"/>
        </w:rPr>
        <w:t>was hidden</w:t>
      </w:r>
      <w:r>
        <w:rPr>
          <w:lang w:val="en_US" w:bidi="en_US"/>
        </w:rPr>
        <w:t xml:space="preserve"> is passive. In this statement it probably indicates that the meaning was very difficult for the disciples to understand. They understood the words, but they did not know what Jesus meant by them. For example:</w:t>
      </w:r>
    </w:p>
    <w:p>
      <w:pPr/>
      <w:r>
        <w:rPr>
          <w:lang w:val="en_US" w:bidi="en_US"/>
        </w:rPr>
      </w:r>
      <w:r>
        <w:rPr>
          <w:lang w:val="en_US" w:bidi="en_US"/>
        </w:rPr>
        <w:t>What he said was quite obscure to them. (NJB)</w:t>
      </w:r>
    </w:p>
    <w:p>
      <w:pPr/>
      <w:r>
        <w:rPr>
          <w:lang w:val="en_US" w:bidi="en_US"/>
        </w:rPr>
      </w:r>
      <w:r>
        <w:rPr>
          <w:lang w:val="en_US" w:bidi="en_US"/>
        </w:rPr>
        <w:t>What he said was a mystery to them (GW)</w:t>
      </w:r>
    </w:p>
    <w:p>
      <w:pPr/>
      <w:r>
        <w:rPr>
          <w:lang w:val="en_US" w:bidi="en_US"/>
        </w:rPr>
      </w:r>
      <w:r>
        <w:rPr>
          <w:lang w:val="en_US" w:bidi="en_US"/>
        </w:rPr>
        <w:t>Some scholars suggest that the passive verb may imply that God hid the meaning from them. However, it is likely that their own expectations made it difficult for them to understand what Jesus said. No English version supplies God as the one who hid the meaning from them.</w:t>
      </w:r>
    </w:p>
    <w:p>
      <w:pPr/>
      <w:r>
        <w:rPr>
          <w:lang w:val="en_US" w:bidi="en_US"/>
        </w:rPr>
      </w:r>
      <w:r>
        <w:rPr>
          <w:b/>
          <w:lang w:val="en_US" w:bidi="en_US"/>
        </w:rPr>
        <w:t>The meaning:</w:t>
      </w:r>
      <w:r>
        <w:rPr>
          <w:lang w:val="en_US" w:bidi="en_US"/>
        </w:rPr>
        <w:t xml:space="preserve"> The Greek phrase that the BSB translates as </w:t>
      </w:r>
      <w:r>
        <w:rPr>
          <w:i/>
          <w:lang w:val="en_US" w:bidi="en_US"/>
        </w:rPr>
        <w:t>The meaning</w:t>
      </w:r>
      <w:r>
        <w:rPr>
          <w:lang w:val="en_US" w:bidi="en_US"/>
        </w:rPr>
        <w:t xml:space="preserve"> is literally “this saying.” The RSV and several other English versions translate it that way. It refers to the meaning or significance of what Jesus had been saying. Other ways to translate it are:</w:t>
      </w:r>
    </w:p>
    <w:p>
      <w:pPr/>
      <w:r>
        <w:rPr>
          <w:lang w:val="en_US" w:bidi="en_US"/>
        </w:rPr>
      </w:r>
      <w:r>
        <w:rPr>
          <w:lang w:val="en_US" w:bidi="en_US"/>
        </w:rPr>
        <w:t>the meaning of the words (GNT)</w:t>
      </w:r>
    </w:p>
    <w:p>
      <w:pPr/>
      <w:r>
        <w:rPr>
          <w:lang w:val="en_US" w:bidi="en_US"/>
        </w:rPr>
      </w:r>
      <w:r>
        <w:rPr>
          <w:lang w:val="en_US" w:bidi="en_US"/>
        </w:rPr>
        <w:t>the significance of what he said</w:t>
      </w:r>
    </w:p>
    <w:p>
      <w:pPr>
        <w:pStyle w:val="Heading5"/>
      </w:pPr>
      <w:r>
        <w:rPr>
          <w:lang w:val="en_US" w:bidi="en_US"/>
        </w:rPr>
        <w:t>18:34c</w:t>
      </w:r>
    </w:p>
    <w:p>
      <w:pPr/>
      <w:r>
        <w:rPr>
          <w:lang w:val="en_US" w:bidi="en_US"/>
        </w:rPr>
      </w:r>
      <w:r>
        <w:rPr>
          <w:b/>
          <w:lang w:val="en_US" w:bidi="en_US"/>
        </w:rPr>
        <w:t>and they did not comprehend what He was saying.</w:t>
      </w:r>
    </w:p>
    <w:p>
      <w:pPr>
        <w:pStyle w:val="ListBullet"/>
        <w:spacing w:line="240" w:lineRule="auto"/>
        <w:ind w:left="720"/>
      </w:pPr>
      <w:r>
        <w:rPr>
          <w:lang w:val="en_US" w:bidi="en_US"/>
        </w:rPr>
      </w:r>
      <w:r>
        <w:rPr>
          <w:lang w:val="en_US" w:bidi="en_US"/>
        </w:rPr>
        <w:t xml:space="preserve">They did/could not comprehend what he was </w:t>
      </w:r>
      <w:r>
        <w:rPr>
          <w:lang w:val="en_US" w:bidi="en_US"/>
        </w:rPr>
        <w:t>really</w:t>
      </w:r>
      <w:r>
        <w:rPr>
          <w:lang w:val="en_US" w:bidi="en_US"/>
        </w:rPr>
        <w:t xml:space="preserve"> saying.</w:t>
      </w:r>
    </w:p>
    <w:p>
      <w:pPr>
        <w:pStyle w:val="ListBullet"/>
        <w:spacing w:line="240" w:lineRule="auto"/>
        <w:ind w:left="720"/>
      </w:pPr>
      <w:r>
        <w:rPr>
          <w:lang w:val="en_US" w:bidi="en_US"/>
        </w:rPr>
      </w:r>
      <w:r>
        <w:rPr>
          <w:lang w:val="en_US" w:bidi="en_US"/>
        </w:rPr>
        <w:t>and they did not know what he/</w:t>
      </w:r>
      <w:r>
        <w:rPr>
          <w:lang w:val="en_US" w:bidi="en_US"/>
        </w:rPr>
        <w:t>Jesus</w:t>
      </w:r>
      <w:r>
        <w:rPr>
          <w:lang w:val="en_US" w:bidi="en_US"/>
        </w:rPr>
        <w:t xml:space="preserve"> was talking about.</w:t>
      </w:r>
    </w:p>
    <w:p>
      <w:pPr/>
      <w:r>
        <w:rPr>
          <w:lang w:val="en_US" w:bidi="en_US"/>
        </w:rPr>
      </w:r>
      <w:r>
        <w:rPr>
          <w:b/>
          <w:lang w:val="en_US" w:bidi="en_US"/>
        </w:rPr>
        <w:t>they did not comprehend what He was saying:</w:t>
      </w:r>
      <w:r>
        <w:rPr>
          <w:lang w:val="en_US" w:bidi="en_US"/>
        </w:rPr>
        <w:t xml:space="preserve"> The Greek expression that the BSB translates as </w:t>
      </w:r>
      <w:r>
        <w:rPr>
          <w:i/>
          <w:lang w:val="en_US" w:bidi="en_US"/>
        </w:rPr>
        <w:t>they did not comprehend what He was saying</w:t>
      </w:r>
      <w:r>
        <w:rPr>
          <w:lang w:val="en_US" w:bidi="en_US"/>
        </w:rPr>
        <w:t xml:space="preserve"> is literally “they did not understand what was said.” Some ways to translate this are:</w:t>
      </w:r>
    </w:p>
    <w:p>
      <w:pPr/>
      <w:r>
        <w:rPr>
          <w:lang w:val="en_US" w:bidi="en_US"/>
        </w:rPr>
      </w:r>
      <w:r>
        <w:rPr>
          <w:lang w:val="en_US" w:bidi="en_US"/>
        </w:rPr>
        <w:t>and they did not grasp what was said (RSV)</w:t>
      </w:r>
    </w:p>
    <w:p>
      <w:pPr/>
      <w:r>
        <w:rPr>
          <w:lang w:val="en_US" w:bidi="en_US"/>
        </w:rPr>
      </w:r>
      <w:r>
        <w:rPr>
          <w:lang w:val="en_US" w:bidi="en_US"/>
        </w:rPr>
        <w:t>and they did not know what Jesus was talking about (GNT)</w:t>
      </w:r>
    </w:p>
    <w:p>
      <w:pPr/>
      <w:r>
        <w:rPr>
          <w:lang w:val="en_US" w:bidi="en_US"/>
        </w:rPr>
      </w:r>
      <w:r>
        <w:rPr>
          <w:lang w:val="en_US" w:bidi="en_US"/>
        </w:rPr>
        <w:t>and they had no idea of what he meant (JBP)</w:t>
      </w:r>
    </w:p>
    <w:p>
      <w:pPr>
        <w:pStyle w:val="Heading6"/>
      </w:pPr>
      <w:r>
        <w:rPr>
          <w:b/>
          <w:lang w:val="en_US" w:bidi="en_US"/>
        </w:rPr>
        <w:t>General Comment on 18:34a–c</w:t>
      </w:r>
    </w:p>
    <w:p>
      <w:pPr/>
      <w:r>
        <w:rPr>
          <w:lang w:val="en_US" w:bidi="en_US"/>
        </w:rPr>
      </w:r>
      <w:r>
        <w:rPr>
          <w:lang w:val="en_US" w:bidi="en_US"/>
        </w:rPr>
        <w:t>In some languages it may be more natural to have less repetition in this verse and emphasize the meaning in a different way. For example:</w:t>
      </w:r>
    </w:p>
    <w:p>
      <w:pPr/>
      <w:r>
        <w:rPr>
          <w:lang w:val="en_US" w:bidi="en_US"/>
        </w:rPr>
      </w:r>
      <w:r>
        <w:rPr>
          <w:lang w:val="en_US" w:bidi="en_US"/>
        </w:rPr>
        <w:t>The disciples had no idea what Jesus meant. It was a complete mystery to them.</w:t>
      </w:r>
    </w:p>
    <w:p>
      <w:pPr/>
      <w:r>
        <w:rPr>
          <w:lang w:val="en_US" w:bidi="en_US"/>
        </w:rPr>
      </w:r>
      <w:r>
        <w:rPr>
          <w:lang w:val="en_US" w:bidi="en_US"/>
        </w:rPr>
        <w:t>In many languages there are idioms to indicate that the disciples did not understand. For example:</w:t>
      </w:r>
    </w:p>
    <w:p>
      <w:pPr/>
      <w:r>
        <w:rPr>
          <w:lang w:val="en_US" w:bidi="en_US"/>
        </w:rPr>
      </w:r>
      <w:r>
        <w:rPr>
          <w:lang w:val="en_US" w:bidi="en_US"/>
        </w:rPr>
        <w:t xml:space="preserve">The disciples did not </w:t>
      </w:r>
      <w:r>
        <w:rPr>
          <w:u w:val="single"/>
          <w:lang w:val="en_US" w:bidi="en_US"/>
        </w:rPr>
        <w:t>get</w:t>
      </w:r>
      <w:r>
        <w:rPr>
          <w:lang w:val="en_US" w:bidi="en_US"/>
        </w:rPr>
        <w:t xml:space="preserve"> any of this. They were totally mystified, and they could not </w:t>
      </w:r>
      <w:r>
        <w:rPr>
          <w:u w:val="single"/>
          <w:lang w:val="en_US" w:bidi="en_US"/>
        </w:rPr>
        <w:t>fathom/grasp</w:t>
      </w:r>
      <w:r>
        <w:rPr>
          <w:lang w:val="en_US" w:bidi="en_US"/>
        </w:rPr>
        <w:t xml:space="preserve"> what he really meant.</w:t>
      </w:r>
      <w:r>
        <w:rPr>
          <w:lang w:val="en_US" w:bidi="en_US"/>
        </w:rPr>
      </w:r>
      <w:r>
        <w:rPr>
          <w:lang w:val="en_US" w:bidi="en_US"/>
        </w:rPr>
      </w:r>
    </w:p>
    <w:p>
      <w:pPr/>
      <w:r>
        <w:rPr>
          <w:lang w:val="en_US" w:bidi="en_US"/>
        </w:rPr>
      </w:r>
    </w:p>
    <w:p>
      <w:pPr>
        <w:pStyle w:val="Heading2"/>
      </w:pPr>
      <w:r>
        <w:rPr>
          <w:lang w:val="en_US" w:bidi="en_US"/>
        </w:rPr>
        <w:t>Luke 18:35</w:t>
      </w:r>
      <w:r>
        <w:rPr>
          <w:lang w:val="en_US" w:bidi="en_US"/>
        </w:rPr>
      </w:r>
    </w:p>
    <w:p>
      <w:pPr>
        <w:pStyle w:val="Heading4"/>
      </w:pPr>
      <w:r>
        <w:rPr>
          <w:lang w:val="en_US" w:bidi="en_US"/>
        </w:rPr>
        <w:t>Section 18:35–43: Jesus healed a blind beggar</w:t>
      </w:r>
    </w:p>
    <w:p>
      <w:pPr/>
      <w:r>
        <w:rPr>
          <w:lang w:val="en_US" w:bidi="en_US"/>
        </w:rPr>
      </w:r>
      <w:r>
        <w:rPr>
          <w:lang w:val="en_US" w:bidi="en_US"/>
        </w:rPr>
        <w:t>As Jesus and his disciples continued their journey to Jerusalem, they came to Jericho. A blind man was sitting by the roadside begging. He asked Jesus to make him able to see again. Luke does not mention the beggar’s name, but Mark mentions that his name was Bartimaeus. Jesus healed him and told him that the reason he could now see was because he believed in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Heals a Blind Man (NCV)</w:t>
      </w:r>
    </w:p>
    <w:p>
      <w:pPr/>
      <w:r>
        <w:rPr>
          <w:lang w:val="en_US" w:bidi="en_US"/>
        </w:rPr>
      </w:r>
      <w:r>
        <w:rPr>
          <w:lang w:val="en_US" w:bidi="en_US"/>
        </w:rPr>
        <w:t>Jesus gives sight to a blind man</w:t>
      </w:r>
    </w:p>
    <w:p>
      <w:pPr/>
      <w:r>
        <w:rPr>
          <w:lang w:val="en_US" w:bidi="en_US"/>
        </w:rPr>
      </w:r>
      <w:r>
        <w:rPr>
          <w:lang w:val="en_US" w:bidi="en_US"/>
        </w:rPr>
        <w:t>There are parallel passages for this section in Matthew 9:27–31, 20:29–34 and Mark 10:46–52.</w:t>
      </w:r>
    </w:p>
    <w:p>
      <w:pPr>
        <w:pStyle w:val="Heading5"/>
      </w:pPr>
      <w:r>
        <w:rPr>
          <w:lang w:val="en_US" w:bidi="en_US"/>
        </w:rPr>
        <w:t>18:35a</w:t>
      </w:r>
    </w:p>
    <w:p>
      <w:pPr/>
      <w:r>
        <w:rPr>
          <w:lang w:val="en_US" w:bidi="en_US"/>
        </w:rPr>
      </w:r>
      <w:r>
        <w:rPr>
          <w:b/>
          <w:lang w:val="en_US" w:bidi="en_US"/>
        </w:rPr>
        <w:t>As Jesus drew near to Jericho,</w:t>
      </w:r>
    </w:p>
    <w:p>
      <w:pPr>
        <w:pStyle w:val="ListBullet"/>
        <w:spacing w:line="240" w:lineRule="auto"/>
        <w:ind w:left="720"/>
      </w:pPr>
      <w:r>
        <w:rPr>
          <w:lang w:val="en_US" w:bidi="en_US"/>
        </w:rPr>
      </w:r>
      <w:r>
        <w:rPr>
          <w:lang w:val="en_US" w:bidi="en_US"/>
        </w:rPr>
        <w:t>¶ Sometime after this, as Jesus was approaching Jericho,</w:t>
      </w:r>
    </w:p>
    <w:p>
      <w:pPr>
        <w:pStyle w:val="ListBullet"/>
        <w:spacing w:line="240" w:lineRule="auto"/>
        <w:ind w:left="720"/>
      </w:pPr>
      <w:r>
        <w:rPr>
          <w:lang w:val="en_US" w:bidi="en_US"/>
        </w:rPr>
      </w:r>
      <w:r>
        <w:rPr>
          <w:lang w:val="en_US" w:bidi="en_US"/>
        </w:rPr>
        <w:t xml:space="preserve">¶ </w:t>
      </w:r>
      <w:r>
        <w:rPr>
          <w:lang w:val="en_US" w:bidi="en_US"/>
        </w:rPr>
        <w:t>On the way to Jerusalem,</w:t>
      </w:r>
      <w:r>
        <w:rPr>
          <w:lang w:val="en_US" w:bidi="en_US"/>
        </w:rPr>
        <w:t xml:space="preserve"> Jesus </w:t>
      </w:r>
      <w:r>
        <w:rPr>
          <w:lang w:val="en_US" w:bidi="en_US"/>
        </w:rPr>
        <w:t>and those with him</w:t>
      </w:r>
      <w:r>
        <w:rPr>
          <w:lang w:val="en_US" w:bidi="en_US"/>
        </w:rPr>
        <w:t xml:space="preserve"> came near </w:t>
      </w:r>
      <w:r>
        <w:rPr>
          <w:lang w:val="en_US" w:bidi="en_US"/>
        </w:rPr>
        <w:t>the city of</w:t>
      </w:r>
      <w:r>
        <w:rPr>
          <w:lang w:val="en_US" w:bidi="en_US"/>
        </w:rPr>
        <w:t xml:space="preserve"> Jericho.</w:t>
      </w:r>
    </w:p>
    <w:p>
      <w:pPr/>
      <w:r>
        <w:rPr>
          <w:lang w:val="en_US" w:bidi="en_US"/>
        </w:rPr>
      </w:r>
      <w:r>
        <w:rPr>
          <w:b/>
          <w:lang w:val="en_US" w:bidi="en_US"/>
        </w:rPr>
        <w:t>As Jesus drew near to Jericho:</w:t>
      </w:r>
      <w:r>
        <w:rPr>
          <w:lang w:val="en_US" w:bidi="en_US"/>
        </w:rPr>
        <w:t xml:space="preserve"> This verse begins with a Greek word that means “it came about.” It introduces this new event. Here is another way to translate this:</w:t>
      </w:r>
    </w:p>
    <w:p>
      <w:pPr/>
      <w:r>
        <w:rPr>
          <w:lang w:val="en_US" w:bidi="en_US"/>
        </w:rPr>
      </w:r>
      <w:r>
        <w:rPr>
          <w:u w:val="single"/>
          <w:lang w:val="en_US" w:bidi="en_US"/>
        </w:rPr>
        <w:t>Now it happened that</w:t>
      </w:r>
      <w:r>
        <w:rPr>
          <w:lang w:val="en_US" w:bidi="en_US"/>
        </w:rPr>
        <w:t xml:space="preserve"> as he drew near to Jericho (NJB)</w:t>
      </w:r>
    </w:p>
    <w:p>
      <w:pPr/>
      <w:r>
        <w:rPr>
          <w:lang w:val="en_US" w:bidi="en_US"/>
        </w:rPr>
      </w:r>
      <w:r>
        <w:rPr>
          <w:lang w:val="en_US" w:bidi="en_US"/>
        </w:rPr>
        <w:t>The BSB and many other English versions do not translate this word. The word may indicate that the events in this section did not happen immediately after those of the preceding section. Introduce the section in a natural way in your language.</w:t>
      </w:r>
    </w:p>
    <w:p>
      <w:pPr/>
      <w:r>
        <w:rPr>
          <w:lang w:val="en_US" w:bidi="en_US"/>
        </w:rPr>
      </w:r>
      <w:r>
        <w:rPr>
          <w:lang w:val="en_US" w:bidi="en_US"/>
        </w:rPr>
        <w:t>The context shows that Jesus was not traveling alone. His disciples were with him, and other people were also traveling with them. In some languages it may be necessary to make this explicit. For example:</w:t>
      </w:r>
    </w:p>
    <w:p>
      <w:pPr/>
      <w:r>
        <w:rPr>
          <w:lang w:val="en_US" w:bidi="en_US"/>
        </w:rPr>
      </w:r>
      <w:r>
        <w:rPr>
          <w:lang w:val="en_US" w:bidi="en_US"/>
        </w:rPr>
        <w:t xml:space="preserve">Jesus </w:t>
      </w:r>
      <w:r>
        <w:rPr>
          <w:lang w:val="en_US" w:bidi="en_US"/>
        </w:rPr>
        <w:t>and those who were with him</w:t>
      </w:r>
      <w:r>
        <w:rPr>
          <w:lang w:val="en_US" w:bidi="en_US"/>
        </w:rPr>
        <w:t xml:space="preserve"> were coming near Jericho</w:t>
      </w:r>
    </w:p>
    <w:p>
      <w:pPr/>
      <w:r>
        <w:rPr>
          <w:lang w:val="en_US" w:bidi="en_US"/>
        </w:rPr>
      </w:r>
      <w:r>
        <w:rPr>
          <w:b/>
          <w:lang w:val="en_US" w:bidi="en_US"/>
        </w:rPr>
        <w:t>Jericho:</w:t>
      </w:r>
      <w:r>
        <w:rPr>
          <w:lang w:val="en_US" w:bidi="en_US"/>
        </w:rPr>
        <w:t xml:space="preserve"> </w:t>
      </w:r>
      <w:r>
        <w:rPr>
          <w:i/>
          <w:lang w:val="en_US" w:bidi="en_US"/>
        </w:rPr>
        <w:t>Jericho</w:t>
      </w:r>
      <w:r>
        <w:rPr>
          <w:lang w:val="en_US" w:bidi="en_US"/>
        </w:rPr>
        <w:t xml:space="preserve"> was a city that was between Jerusalem and the Jordan River. It was located about twenty four kilometers (12.5 miles) northeast of Jerusalem. It was mentioned in 10:30. Herod the Great had built several huge public buildings there before Jesus was born. Here is another way to translate this:</w:t>
      </w:r>
    </w:p>
    <w:p>
      <w:pPr/>
      <w:r>
        <w:rPr>
          <w:lang w:val="en_US" w:bidi="en_US"/>
        </w:rPr>
      </w:r>
      <w:r>
        <w:rPr>
          <w:lang w:val="en_US" w:bidi="en_US"/>
        </w:rPr>
        <w:t>the city of Jericho (NCV)</w:t>
      </w:r>
    </w:p>
    <w:p>
      <w:pPr>
        <w:pStyle w:val="Heading5"/>
      </w:pPr>
      <w:r>
        <w:rPr>
          <w:lang w:val="en_US" w:bidi="en_US"/>
        </w:rPr>
        <w:t>18:35b</w:t>
      </w:r>
    </w:p>
    <w:p>
      <w:pPr/>
      <w:r>
        <w:rPr>
          <w:lang w:val="en_US" w:bidi="en_US"/>
        </w:rPr>
      </w:r>
      <w:r>
        <w:rPr>
          <w:b/>
          <w:lang w:val="en_US" w:bidi="en_US"/>
        </w:rPr>
        <w:t>a blind man was sitting beside the road, begging.</w:t>
      </w:r>
    </w:p>
    <w:p>
      <w:pPr>
        <w:pStyle w:val="ListBullet"/>
        <w:spacing w:line="240" w:lineRule="auto"/>
        <w:ind w:left="720"/>
      </w:pPr>
      <w:r>
        <w:rPr>
          <w:lang w:val="en_US" w:bidi="en_US"/>
        </w:rPr>
      </w:r>
      <w:r>
        <w:rPr>
          <w:lang w:val="en_US" w:bidi="en_US"/>
        </w:rPr>
        <w:t xml:space="preserve">a blind man was sitting near the road, begging </w:t>
      </w:r>
      <w:r>
        <w:rPr>
          <w:lang w:val="en_US" w:bidi="en_US"/>
        </w:rPr>
        <w:t>people</w:t>
      </w:r>
      <w:r>
        <w:rPr>
          <w:lang w:val="en_US" w:bidi="en_US"/>
        </w:rPr>
        <w:t xml:space="preserve"> </w:t>
      </w:r>
      <w:r>
        <w:rPr>
          <w:lang w:val="en_US" w:bidi="en_US"/>
        </w:rPr>
        <w:t>for money/food</w:t>
      </w:r>
      <w:r>
        <w:rPr>
          <w:lang w:val="en_US" w:bidi="en_US"/>
        </w:rPr>
        <w:t>.</w:t>
      </w:r>
    </w:p>
    <w:p>
      <w:pPr>
        <w:pStyle w:val="ListBullet"/>
        <w:spacing w:line="240" w:lineRule="auto"/>
        <w:ind w:left="720"/>
      </w:pPr>
      <w:r>
        <w:rPr>
          <w:lang w:val="en_US" w:bidi="en_US"/>
        </w:rPr>
      </w:r>
      <w:r>
        <w:rPr>
          <w:lang w:val="en_US" w:bidi="en_US"/>
        </w:rPr>
        <w:t xml:space="preserve">Beside the road/path, there was a man. He was blind, so he was asking people </w:t>
      </w:r>
      <w:r>
        <w:rPr>
          <w:lang w:val="en_US" w:bidi="en_US"/>
        </w:rPr>
        <w:t>to help him by</w:t>
      </w:r>
      <w:r>
        <w:rPr>
          <w:lang w:val="en_US" w:bidi="en_US"/>
        </w:rPr>
        <w:t xml:space="preserve"> giving him money/food.</w:t>
      </w:r>
    </w:p>
    <w:p>
      <w:pPr/>
      <w:r>
        <w:rPr>
          <w:lang w:val="en_US" w:bidi="en_US"/>
        </w:rPr>
      </w:r>
      <w:r>
        <w:rPr>
          <w:b/>
          <w:lang w:val="en_US" w:bidi="en_US"/>
        </w:rPr>
        <w:t>a blind man was sitting beside the road, begging:</w:t>
      </w:r>
      <w:r>
        <w:rPr>
          <w:lang w:val="en_US" w:bidi="en_US"/>
        </w:rPr>
        <w:t xml:space="preserve"> In this verse the blind man was sitting by the road because many people traveled on this road on their way to Jerusalem. It was a good place to beg people for help. Here is another way to translate this:</w:t>
      </w:r>
    </w:p>
    <w:p>
      <w:pPr/>
      <w:r>
        <w:rPr>
          <w:lang w:val="en_US" w:bidi="en_US"/>
        </w:rPr>
      </w:r>
      <w:r>
        <w:rPr>
          <w:lang w:val="en_US" w:bidi="en_US"/>
        </w:rPr>
        <w:t>a blind man sat begging beside the road (CEV)</w:t>
      </w:r>
    </w:p>
    <w:p>
      <w:pPr/>
      <w:r>
        <w:rPr>
          <w:lang w:val="en_US" w:bidi="en_US"/>
        </w:rPr>
      </w:r>
      <w:r>
        <w:rPr>
          <w:b/>
          <w:lang w:val="en_US" w:bidi="en_US"/>
        </w:rPr>
        <w:t>begging:</w:t>
      </w:r>
      <w:r>
        <w:rPr>
          <w:lang w:val="en_US" w:bidi="en_US"/>
        </w:rPr>
        <w:t xml:space="preserve"> The word </w:t>
      </w:r>
      <w:r>
        <w:rPr>
          <w:i/>
          <w:lang w:val="en_US" w:bidi="en_US"/>
        </w:rPr>
        <w:t>begging</w:t>
      </w:r>
      <w:r>
        <w:rPr>
          <w:lang w:val="en_US" w:bidi="en_US"/>
        </w:rPr>
        <w:t xml:space="preserve"> indicates here that the blind man was humbly requesting something. In New Testament times, blind people sometimes had to ask people for food or money in order to stay alive. In some languages it is necessary to indicate what he was requesting and from whom he was requesting it. For example:</w:t>
      </w:r>
    </w:p>
    <w:p>
      <w:pPr/>
      <w:r>
        <w:rPr>
          <w:lang w:val="en_US" w:bidi="en_US"/>
        </w:rPr>
      </w:r>
      <w:r>
        <w:rPr>
          <w:lang w:val="en_US" w:bidi="en_US"/>
        </w:rPr>
        <w:t xml:space="preserve">The blind man was begging </w:t>
      </w:r>
      <w:r>
        <w:rPr>
          <w:lang w:val="en_US" w:bidi="en_US"/>
        </w:rPr>
        <w:t>the people who passed by on the road</w:t>
      </w:r>
      <w:r>
        <w:rPr>
          <w:lang w:val="en_US" w:bidi="en_US"/>
        </w:rPr>
        <w:t xml:space="preserve"> </w:t>
      </w:r>
      <w:r>
        <w:rPr>
          <w:lang w:val="en_US" w:bidi="en_US"/>
        </w:rPr>
        <w:t>to give him money/something</w:t>
      </w:r>
      <w:r>
        <w:rPr>
          <w:lang w:val="en_US" w:bidi="en_US"/>
        </w:rPr>
        <w:t>.</w:t>
      </w:r>
      <w:r>
        <w:rPr>
          <w:lang w:val="en_US" w:bidi="en_US"/>
        </w:rPr>
      </w:r>
      <w:r>
        <w:rPr>
          <w:lang w:val="en_US" w:bidi="en_US"/>
        </w:rPr>
      </w:r>
    </w:p>
    <w:p>
      <w:pPr/>
      <w:r>
        <w:rPr>
          <w:lang w:val="en_US" w:bidi="en_US"/>
        </w:rPr>
      </w:r>
    </w:p>
    <w:p>
      <w:pPr>
        <w:pStyle w:val="Heading2"/>
      </w:pPr>
      <w:r>
        <w:rPr>
          <w:lang w:val="en_US" w:bidi="en_US"/>
        </w:rPr>
        <w:t>Luke 18:36</w:t>
      </w:r>
      <w:r>
        <w:rPr>
          <w:lang w:val="en_US" w:bidi="en_US"/>
        </w:rPr>
      </w:r>
    </w:p>
    <w:p>
      <w:pPr>
        <w:pStyle w:val="Heading4"/>
      </w:pPr>
      <w:r>
        <w:rPr>
          <w:lang w:val="en_US" w:bidi="en_US"/>
        </w:rPr>
        <w:t>Section 18:35–43: Jesus healed a blind beggar</w:t>
      </w:r>
    </w:p>
    <w:p>
      <w:pPr/>
      <w:r>
        <w:rPr>
          <w:lang w:val="en_US" w:bidi="en_US"/>
        </w:rPr>
      </w:r>
      <w:r>
        <w:rPr>
          <w:lang w:val="en_US" w:bidi="en_US"/>
        </w:rPr>
        <w:t>As Jesus and his disciples continued their journey to Jerusalem, they came to Jericho. A blind man was sitting by the roadside begging. He asked Jesus to make him able to see again. Luke does not mention the beggar’s name, but Mark mentions that his name was Bartimaeus. Jesus healed him and told him that the reason he could now see was because he believed in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Heals a Blind Man (NCV)</w:t>
      </w:r>
    </w:p>
    <w:p>
      <w:pPr/>
      <w:r>
        <w:rPr>
          <w:lang w:val="en_US" w:bidi="en_US"/>
        </w:rPr>
      </w:r>
      <w:r>
        <w:rPr>
          <w:lang w:val="en_US" w:bidi="en_US"/>
        </w:rPr>
        <w:t>Jesus gives sight to a blind man</w:t>
      </w:r>
    </w:p>
    <w:p>
      <w:pPr/>
      <w:r>
        <w:rPr>
          <w:lang w:val="en_US" w:bidi="en_US"/>
        </w:rPr>
      </w:r>
      <w:r>
        <w:rPr>
          <w:lang w:val="en_US" w:bidi="en_US"/>
        </w:rPr>
        <w:t>There are parallel passages for this section in Matthew 9:27–31, 20:29–34 and Mark 10:46–52.</w:t>
      </w:r>
    </w:p>
    <w:p>
      <w:pPr>
        <w:pStyle w:val="Heading5"/>
      </w:pPr>
      <w:r>
        <w:rPr>
          <w:lang w:val="en_US" w:bidi="en_US"/>
        </w:rPr>
        <w:t>18:36a</w:t>
      </w:r>
    </w:p>
    <w:p>
      <w:pPr/>
      <w:r>
        <w:rPr>
          <w:lang w:val="en_US" w:bidi="en_US"/>
        </w:rPr>
      </w:r>
      <w:r>
        <w:rPr>
          <w:b/>
          <w:lang w:val="en_US" w:bidi="en_US"/>
        </w:rPr>
        <w:t>When he heard the crowd going by,</w:t>
      </w:r>
    </w:p>
    <w:p>
      <w:pPr>
        <w:pStyle w:val="ListBullet"/>
        <w:spacing w:line="240" w:lineRule="auto"/>
        <w:ind w:left="720"/>
      </w:pPr>
      <w:r>
        <w:rPr>
          <w:lang w:val="en_US" w:bidi="en_US"/>
        </w:rPr>
      </w:r>
      <w:r>
        <w:rPr>
          <w:lang w:val="en_US" w:bidi="en_US"/>
        </w:rPr>
        <w:t>And when he heard many people walking by,</w:t>
      </w:r>
    </w:p>
    <w:p>
      <w:pPr>
        <w:pStyle w:val="ListBullet"/>
        <w:spacing w:line="240" w:lineRule="auto"/>
        <w:ind w:left="720"/>
      </w:pPr>
      <w:r>
        <w:rPr>
          <w:lang w:val="en_US" w:bidi="en_US"/>
        </w:rPr>
      </w:r>
      <w:r>
        <w:rPr>
          <w:lang w:val="en_US" w:bidi="en_US"/>
        </w:rPr>
        <w:t xml:space="preserve">When the blind man heard </w:t>
      </w:r>
      <w:r>
        <w:rPr>
          <w:lang w:val="en_US" w:bidi="en_US"/>
        </w:rPr>
        <w:t>the noise of</w:t>
      </w:r>
      <w:r>
        <w:rPr>
          <w:lang w:val="en_US" w:bidi="en_US"/>
        </w:rPr>
        <w:t xml:space="preserve"> all the people going/passing by </w:t>
      </w:r>
      <w:r>
        <w:rPr>
          <w:lang w:val="en_US" w:bidi="en_US"/>
        </w:rPr>
        <w:t>him</w:t>
      </w:r>
      <w:r>
        <w:rPr>
          <w:lang w:val="en_US" w:bidi="en_US"/>
        </w:rPr>
        <w:t>,</w:t>
      </w:r>
    </w:p>
    <w:p>
      <w:pPr/>
      <w:r>
        <w:rPr>
          <w:lang w:val="en_US" w:bidi="en_US"/>
        </w:rPr>
      </w:r>
      <w:r>
        <w:rPr>
          <w:b/>
          <w:lang w:val="en_US" w:bidi="en_US"/>
        </w:rPr>
        <w:t>When he heard the crowd going by:</w:t>
      </w:r>
      <w:r>
        <w:rPr>
          <w:lang w:val="en_US" w:bidi="en_US"/>
        </w:rPr>
        <w:t xml:space="preserve"> The blind man could hear people in the crowd talking and the sound of their footsteps. Another way to translate this is:</w:t>
      </w:r>
    </w:p>
    <w:p>
      <w:pPr/>
      <w:r>
        <w:rPr>
          <w:lang w:val="en_US" w:bidi="en_US"/>
        </w:rPr>
      </w:r>
      <w:r>
        <w:rPr>
          <w:lang w:val="en_US" w:bidi="en_US"/>
        </w:rPr>
        <w:t xml:space="preserve">When the blind person heard </w:t>
      </w:r>
      <w:r>
        <w:rPr>
          <w:lang w:val="en_US" w:bidi="en_US"/>
        </w:rPr>
        <w:t>the noise of</w:t>
      </w:r>
      <w:r>
        <w:rPr>
          <w:lang w:val="en_US" w:bidi="en_US"/>
        </w:rPr>
        <w:t xml:space="preserve"> the many people who were passing</w:t>
      </w:r>
    </w:p>
    <w:p>
      <w:pPr>
        <w:pStyle w:val="Heading5"/>
      </w:pPr>
      <w:r>
        <w:rPr>
          <w:lang w:val="en_US" w:bidi="en_US"/>
        </w:rPr>
        <w:t>18:36b</w:t>
      </w:r>
    </w:p>
    <w:p>
      <w:pPr/>
      <w:r>
        <w:rPr>
          <w:lang w:val="en_US" w:bidi="en_US"/>
        </w:rPr>
      </w:r>
      <w:r>
        <w:rPr>
          <w:b/>
          <w:lang w:val="en_US" w:bidi="en_US"/>
        </w:rPr>
        <w:t>he asked what was happening.</w:t>
      </w:r>
    </w:p>
    <w:p>
      <w:pPr>
        <w:pStyle w:val="ListBullet"/>
        <w:spacing w:line="240" w:lineRule="auto"/>
        <w:ind w:left="720"/>
      </w:pPr>
      <w:r>
        <w:rPr>
          <w:lang w:val="en_US" w:bidi="en_US"/>
        </w:rPr>
      </w:r>
      <w:r>
        <w:rPr>
          <w:lang w:val="en_US" w:bidi="en_US"/>
        </w:rPr>
        <w:t xml:space="preserve">he asked </w:t>
      </w:r>
      <w:r>
        <w:rPr>
          <w:lang w:val="en_US" w:bidi="en_US"/>
        </w:rPr>
        <w:t>them</w:t>
      </w:r>
      <w:r>
        <w:rPr>
          <w:lang w:val="en_US" w:bidi="en_US"/>
        </w:rPr>
        <w:t xml:space="preserve"> what the </w:t>
      </w:r>
      <w:r>
        <w:rPr>
          <w:lang w:val="en_US" w:bidi="en_US"/>
        </w:rPr>
        <w:t>noise/occasion</w:t>
      </w:r>
      <w:r>
        <w:rPr>
          <w:lang w:val="en_US" w:bidi="en_US"/>
        </w:rPr>
        <w:t xml:space="preserve"> was.</w:t>
      </w:r>
    </w:p>
    <w:p>
      <w:pPr>
        <w:pStyle w:val="ListBullet"/>
        <w:spacing w:line="240" w:lineRule="auto"/>
        <w:ind w:left="720"/>
      </w:pPr>
      <w:r>
        <w:rPr>
          <w:lang w:val="en_US" w:bidi="en_US"/>
        </w:rPr>
      </w:r>
      <w:r>
        <w:rPr>
          <w:lang w:val="en_US" w:bidi="en_US"/>
        </w:rPr>
        <w:t xml:space="preserve">he asked </w:t>
      </w:r>
      <w:r>
        <w:rPr>
          <w:lang w:val="en_US" w:bidi="en_US"/>
        </w:rPr>
        <w:t>them/people</w:t>
      </w:r>
      <w:r>
        <w:rPr>
          <w:lang w:val="en_US" w:bidi="en_US"/>
        </w:rPr>
        <w:t>, “What is happening?”</w:t>
      </w:r>
    </w:p>
    <w:p>
      <w:pPr/>
      <w:r>
        <w:rPr>
          <w:lang w:val="en_US" w:bidi="en_US"/>
        </w:rPr>
      </w:r>
      <w:r>
        <w:rPr>
          <w:b/>
          <w:lang w:val="en_US" w:bidi="en_US"/>
        </w:rPr>
        <w:t>he asked what was happening:</w:t>
      </w:r>
      <w:r>
        <w:rPr>
          <w:lang w:val="en_US" w:bidi="en_US"/>
        </w:rPr>
        <w:t xml:space="preserve"> The blind man wanted to know what had caused so many people to be passing by. Another way to translate this is:</w:t>
      </w:r>
    </w:p>
    <w:p>
      <w:pPr/>
      <w:r>
        <w:rPr>
          <w:lang w:val="en_US" w:bidi="en_US"/>
        </w:rPr>
      </w:r>
      <w:r>
        <w:rPr>
          <w:lang w:val="en_US" w:bidi="en_US"/>
        </w:rPr>
        <w:t xml:space="preserve">the blind man asked </w:t>
      </w:r>
      <w:r>
        <w:rPr>
          <w:lang w:val="en_US" w:bidi="en_US"/>
        </w:rPr>
        <w:t>the crowd</w:t>
      </w:r>
      <w:r>
        <w:rPr>
          <w:lang w:val="en_US" w:bidi="en_US"/>
        </w:rPr>
        <w:t xml:space="preserve"> what this </w:t>
      </w:r>
      <w:r>
        <w:rPr>
          <w:lang w:val="en_US" w:bidi="en_US"/>
        </w:rPr>
        <w:t>noise/occasion</w:t>
      </w:r>
      <w:r>
        <w:rPr>
          <w:lang w:val="en_US" w:bidi="en_US"/>
        </w:rPr>
        <w:t xml:space="preserve"> was</w:t>
      </w:r>
    </w:p>
    <w:p>
      <w:pPr/>
      <w:r>
        <w:rPr>
          <w:lang w:val="en_US" w:bidi="en_US"/>
        </w:rPr>
      </w:r>
      <w:r>
        <w:rPr>
          <w:lang w:val="en_US" w:bidi="en_US"/>
        </w:rPr>
        <w:t>In some languages it may be more natural to translate this clause as direct speech. For example:</w:t>
      </w:r>
    </w:p>
    <w:p>
      <w:pPr/>
      <w:r>
        <w:rPr>
          <w:lang w:val="en_US" w:bidi="en_US"/>
        </w:rPr>
      </w:r>
      <w:r>
        <w:rPr>
          <w:lang w:val="en_US" w:bidi="en_US"/>
        </w:rPr>
        <w:t xml:space="preserve">“What is happening?” he asked </w:t>
      </w:r>
      <w:r>
        <w:rPr>
          <w:lang w:val="en_US" w:bidi="en_US"/>
        </w:rPr>
        <w:t>people in the crowd</w:t>
      </w:r>
      <w:r>
        <w:rPr>
          <w:lang w:val="en_US" w:bidi="en_US"/>
        </w:rPr>
        <w:t>.</w:t>
      </w:r>
    </w:p>
    <w:p>
      <w:pPr/>
      <w:r>
        <w:rPr>
          <w:lang w:val="en_US" w:bidi="en_US"/>
        </w:rPr>
      </w:r>
      <w:r>
        <w:rPr>
          <w:lang w:val="en_US" w:bidi="en_US"/>
        </w:rPr>
        <w:t>This story contains both direct and indirect speech. See the General Comment on 18:36–43 at the end of 18:43c for more information.</w:t>
      </w:r>
      <w:r>
        <w:rPr>
          <w:lang w:val="en_US" w:bidi="en_US"/>
        </w:rPr>
      </w:r>
      <w:r>
        <w:rPr>
          <w:lang w:val="en_US" w:bidi="en_US"/>
        </w:rPr>
      </w:r>
    </w:p>
    <w:p>
      <w:pPr/>
      <w:r>
        <w:rPr>
          <w:lang w:val="en_US" w:bidi="en_US"/>
        </w:rPr>
      </w:r>
    </w:p>
    <w:p>
      <w:pPr>
        <w:pStyle w:val="Heading2"/>
      </w:pPr>
      <w:r>
        <w:rPr>
          <w:lang w:val="en_US" w:bidi="en_US"/>
        </w:rPr>
        <w:t>Luke 18:37</w:t>
      </w:r>
      <w:r>
        <w:rPr>
          <w:lang w:val="en_US" w:bidi="en_US"/>
        </w:rPr>
      </w:r>
    </w:p>
    <w:p>
      <w:pPr>
        <w:pStyle w:val="Heading4"/>
      </w:pPr>
      <w:r>
        <w:rPr>
          <w:lang w:val="en_US" w:bidi="en_US"/>
        </w:rPr>
        <w:t>Section 18:35–43: Jesus healed a blind beggar</w:t>
      </w:r>
    </w:p>
    <w:p>
      <w:pPr/>
      <w:r>
        <w:rPr>
          <w:lang w:val="en_US" w:bidi="en_US"/>
        </w:rPr>
      </w:r>
      <w:r>
        <w:rPr>
          <w:lang w:val="en_US" w:bidi="en_US"/>
        </w:rPr>
        <w:t>As Jesus and his disciples continued their journey to Jerusalem, they came to Jericho. A blind man was sitting by the roadside begging. He asked Jesus to make him able to see again. Luke does not mention the beggar’s name, but Mark mentions that his name was Bartimaeus. Jesus healed him and told him that the reason he could now see was because he believed in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Heals a Blind Man (NCV)</w:t>
      </w:r>
    </w:p>
    <w:p>
      <w:pPr/>
      <w:r>
        <w:rPr>
          <w:lang w:val="en_US" w:bidi="en_US"/>
        </w:rPr>
      </w:r>
      <w:r>
        <w:rPr>
          <w:lang w:val="en_US" w:bidi="en_US"/>
        </w:rPr>
        <w:t>Jesus gives sight to a blind man</w:t>
      </w:r>
    </w:p>
    <w:p>
      <w:pPr/>
      <w:r>
        <w:rPr>
          <w:lang w:val="en_US" w:bidi="en_US"/>
        </w:rPr>
      </w:r>
      <w:r>
        <w:rPr>
          <w:lang w:val="en_US" w:bidi="en_US"/>
        </w:rPr>
        <w:t>There are parallel passages for this section in Matthew 9:27–31, 20:29–34 and Mark 10:46–52.</w:t>
      </w:r>
    </w:p>
    <w:p>
      <w:pPr>
        <w:pStyle w:val="Heading5"/>
      </w:pPr>
      <w:r>
        <w:rPr>
          <w:lang w:val="en_US" w:bidi="en_US"/>
        </w:rPr>
        <w:t>18:37</w:t>
      </w:r>
    </w:p>
    <w:p>
      <w:pPr/>
      <w:r>
        <w:rPr>
          <w:lang w:val="en_US" w:bidi="en_US"/>
        </w:rPr>
      </w:r>
      <w:r>
        <w:rPr>
          <w:b/>
          <w:lang w:val="en_US" w:bidi="en_US"/>
        </w:rPr>
        <w:t>“Jesus of Nazareth is passing by,” they told him.</w:t>
      </w:r>
    </w:p>
    <w:p>
      <w:pPr>
        <w:pStyle w:val="ListBullet"/>
        <w:spacing w:line="240" w:lineRule="auto"/>
        <w:ind w:left="720"/>
      </w:pPr>
      <w:r>
        <w:rPr>
          <w:lang w:val="en_US" w:bidi="en_US"/>
        </w:rPr>
      </w:r>
      <w:r>
        <w:rPr>
          <w:lang w:val="en_US" w:bidi="en_US"/>
        </w:rPr>
        <w:t>Some of the people answered him, “Jesus of Nazareth is walking/passing by.”</w:t>
      </w:r>
    </w:p>
    <w:p>
      <w:pPr>
        <w:pStyle w:val="ListBullet"/>
        <w:spacing w:line="240" w:lineRule="auto"/>
        <w:ind w:left="720"/>
      </w:pPr>
      <w:r>
        <w:rPr>
          <w:lang w:val="en_US" w:bidi="en_US"/>
        </w:rPr>
      </w:r>
      <w:r>
        <w:rPr>
          <w:lang w:val="en_US" w:bidi="en_US"/>
        </w:rPr>
        <w:t xml:space="preserve">They told him that Jesus from </w:t>
      </w:r>
      <w:r>
        <w:rPr>
          <w:lang w:val="en_US" w:bidi="en_US"/>
        </w:rPr>
        <w:t>the town of</w:t>
      </w:r>
      <w:r>
        <w:rPr>
          <w:lang w:val="en_US" w:bidi="en_US"/>
        </w:rPr>
        <w:t xml:space="preserve"> Nazareth was coming.</w:t>
      </w:r>
    </w:p>
    <w:p>
      <w:pPr/>
      <w:r>
        <w:rPr>
          <w:lang w:val="en_US" w:bidi="en_US"/>
        </w:rPr>
      </w:r>
      <w:r>
        <w:rPr>
          <w:b/>
          <w:lang w:val="en_US" w:bidi="en_US"/>
        </w:rPr>
        <w:t>“Jesus of Nazareth is passing by,” they told him:</w:t>
      </w:r>
      <w:r>
        <w:rPr>
          <w:lang w:val="en_US" w:bidi="en_US"/>
        </w:rPr>
        <w:t xml:space="preserve"> Some people in the crowd answered the blind man’s question. Their answer gave the reason why all the people were passing. It implies that the people were following Jesus of Nazareth. The answer also implies that the blind man knew that Jesus was a well-known teacher and that crowds often followed him. Verses 38 and 39 show that the blind man did know about him.</w:t>
      </w:r>
    </w:p>
    <w:p>
      <w:pPr/>
      <w:r>
        <w:rPr>
          <w:lang w:val="en_US" w:bidi="en_US"/>
        </w:rPr>
      </w:r>
      <w:r>
        <w:rPr>
          <w:lang w:val="en_US" w:bidi="en_US"/>
        </w:rPr>
        <w:t>This direct quote can also be expressed as indirect speech. For example:</w:t>
      </w:r>
    </w:p>
    <w:p>
      <w:pPr/>
      <w:r>
        <w:rPr>
          <w:lang w:val="en_US" w:bidi="en_US"/>
        </w:rPr>
      </w:r>
      <w:r>
        <w:rPr>
          <w:lang w:val="en_US" w:bidi="en_US"/>
        </w:rPr>
        <w:t>they told him that Jesus of Nazareth was going/walking by</w:t>
      </w:r>
    </w:p>
    <w:p>
      <w:pPr/>
      <w:r>
        <w:rPr>
          <w:lang w:val="en_US" w:bidi="en_US"/>
        </w:rPr>
      </w:r>
      <w:r>
        <w:rPr>
          <w:b/>
          <w:lang w:val="en_US" w:bidi="en_US"/>
        </w:rPr>
        <w:t>Jesus of Nazareth:</w:t>
      </w:r>
      <w:r>
        <w:rPr>
          <w:lang w:val="en_US" w:bidi="en_US"/>
        </w:rPr>
        <w:t xml:space="preserve"> The phrase </w:t>
      </w:r>
      <w:r>
        <w:rPr>
          <w:i/>
          <w:lang w:val="en_US" w:bidi="en_US"/>
        </w:rPr>
        <w:t>Jesus of Nazareth</w:t>
      </w:r>
      <w:r>
        <w:rPr>
          <w:lang w:val="en_US" w:bidi="en_US"/>
        </w:rPr>
        <w:t xml:space="preserve"> means “</w:t>
      </w:r>
      <w:r>
        <w:rPr>
          <w:lang w:val="en_US" w:bidi="en_US"/>
        </w:rPr>
        <w:t>the man named</w:t>
      </w:r>
      <w:r>
        <w:rPr>
          <w:lang w:val="en_US" w:bidi="en_US"/>
        </w:rPr>
        <w:t xml:space="preserve"> Jesus </w:t>
      </w:r>
      <w:r>
        <w:rPr>
          <w:lang w:val="en_US" w:bidi="en_US"/>
        </w:rPr>
        <w:t>from the town</w:t>
      </w:r>
      <w:r>
        <w:rPr>
          <w:lang w:val="en_US" w:bidi="en_US"/>
        </w:rPr>
        <w:t xml:space="preserve"> of Nazareth.”</w:t>
      </w:r>
    </w:p>
    <w:p>
      <w:pPr/>
      <w:r>
        <w:rPr>
          <w:lang w:val="en_US" w:bidi="en_US"/>
        </w:rPr>
      </w:r>
      <w:r>
        <w:rPr>
          <w:b/>
          <w:lang w:val="en_US" w:bidi="en_US"/>
        </w:rPr>
        <w:t>passing by:</w:t>
      </w:r>
      <w:r>
        <w:rPr>
          <w:lang w:val="en_US" w:bidi="en_US"/>
        </w:rPr>
        <w:t xml:space="preserve"> The people in the crowd told the beggar that Jesus was “walking by” or “going by” where he was sitting.</w:t>
      </w:r>
    </w:p>
    <w:p>
      <w:pPr/>
      <w:r>
        <w:rPr>
          <w:lang w:val="en_US" w:bidi="en_US"/>
        </w:rPr>
      </w:r>
      <w:r>
        <w:rPr>
          <w:b/>
          <w:lang w:val="en_US" w:bidi="en_US"/>
        </w:rPr>
        <w:t>they told him:</w:t>
      </w:r>
      <w:r>
        <w:rPr>
          <w:lang w:val="en_US" w:bidi="en_US"/>
        </w:rPr>
        <w:t xml:space="preserve"> The BSB has placed the phrase </w:t>
      </w:r>
      <w:r>
        <w:rPr>
          <w:i/>
          <w:lang w:val="en_US" w:bidi="en_US"/>
        </w:rPr>
        <w:t>they told him</w:t>
      </w:r>
      <w:r>
        <w:rPr>
          <w:lang w:val="en_US" w:bidi="en_US"/>
        </w:rPr>
        <w:t xml:space="preserve"> after what the people said. In the Greek text, this phrase comes before what they said. Place it wherever it is natural in your language.</w:t>
      </w:r>
      <w:r>
        <w:rPr>
          <w:lang w:val="en_US" w:bidi="en_US"/>
        </w:rPr>
      </w:r>
      <w:r>
        <w:rPr>
          <w:lang w:val="en_US" w:bidi="en_US"/>
        </w:rPr>
      </w:r>
    </w:p>
    <w:p>
      <w:pPr/>
      <w:r>
        <w:rPr>
          <w:lang w:val="en_US" w:bidi="en_US"/>
        </w:rPr>
      </w:r>
    </w:p>
    <w:p>
      <w:pPr>
        <w:pStyle w:val="Heading2"/>
      </w:pPr>
      <w:r>
        <w:rPr>
          <w:lang w:val="en_US" w:bidi="en_US"/>
        </w:rPr>
        <w:t>Luke 18:38</w:t>
      </w:r>
      <w:r>
        <w:rPr>
          <w:lang w:val="en_US" w:bidi="en_US"/>
        </w:rPr>
      </w:r>
    </w:p>
    <w:p>
      <w:pPr>
        <w:pStyle w:val="Heading4"/>
      </w:pPr>
      <w:r>
        <w:rPr>
          <w:lang w:val="en_US" w:bidi="en_US"/>
        </w:rPr>
        <w:t>Section 18:35–43: Jesus healed a blind beggar</w:t>
      </w:r>
    </w:p>
    <w:p>
      <w:pPr/>
      <w:r>
        <w:rPr>
          <w:lang w:val="en_US" w:bidi="en_US"/>
        </w:rPr>
      </w:r>
      <w:r>
        <w:rPr>
          <w:lang w:val="en_US" w:bidi="en_US"/>
        </w:rPr>
        <w:t>As Jesus and his disciples continued their journey to Jerusalem, they came to Jericho. A blind man was sitting by the roadside begging. He asked Jesus to make him able to see again. Luke does not mention the beggar’s name, but Mark mentions that his name was Bartimaeus. Jesus healed him and told him that the reason he could now see was because he believed in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Heals a Blind Man (NCV)</w:t>
      </w:r>
    </w:p>
    <w:p>
      <w:pPr/>
      <w:r>
        <w:rPr>
          <w:lang w:val="en_US" w:bidi="en_US"/>
        </w:rPr>
      </w:r>
      <w:r>
        <w:rPr>
          <w:lang w:val="en_US" w:bidi="en_US"/>
        </w:rPr>
        <w:t>Jesus gives sight to a blind man</w:t>
      </w:r>
    </w:p>
    <w:p>
      <w:pPr/>
      <w:r>
        <w:rPr>
          <w:lang w:val="en_US" w:bidi="en_US"/>
        </w:rPr>
      </w:r>
      <w:r>
        <w:rPr>
          <w:lang w:val="en_US" w:bidi="en_US"/>
        </w:rPr>
        <w:t>There are parallel passages for this section in Matthew 9:27–31, 20:29–34 and Mark 10:46–52.</w:t>
      </w:r>
    </w:p>
    <w:p>
      <w:pPr>
        <w:pStyle w:val="Heading5"/>
      </w:pPr>
      <w:r>
        <w:rPr>
          <w:lang w:val="en_US" w:bidi="en_US"/>
        </w:rPr>
        <w:t>18:38</w:t>
      </w:r>
    </w:p>
    <w:p>
      <w:pPr/>
      <w:r>
        <w:rPr>
          <w:lang w:val="en_US" w:bidi="en_US"/>
        </w:rPr>
      </w:r>
      <w:r>
        <w:rPr>
          <w:b/>
          <w:lang w:val="en_US" w:bidi="en_US"/>
        </w:rPr>
        <w:t>So he called out, “Jesus, Son of David, have mercy on me!”</w:t>
      </w:r>
    </w:p>
    <w:p>
      <w:pPr>
        <w:pStyle w:val="ListBullet"/>
        <w:spacing w:line="240" w:lineRule="auto"/>
        <w:ind w:left="720"/>
      </w:pPr>
      <w:r>
        <w:rPr>
          <w:lang w:val="en_US" w:bidi="en_US"/>
        </w:rPr>
      </w:r>
      <w:r>
        <w:rPr>
          <w:lang w:val="en_US" w:bidi="en_US"/>
        </w:rPr>
        <w:t>So</w:t>
      </w:r>
      <w:r>
        <w:rPr>
          <w:lang w:val="en_US" w:bidi="en_US"/>
        </w:rPr>
        <w:t xml:space="preserve"> he shouted, “Jesus, descendant of </w:t>
      </w:r>
      <w:r>
        <w:rPr>
          <w:lang w:val="en_US" w:bidi="en_US"/>
        </w:rPr>
        <w:t>King</w:t>
      </w:r>
      <w:r>
        <w:rPr>
          <w:lang w:val="en_US" w:bidi="en_US"/>
        </w:rPr>
        <w:t xml:space="preserve"> David, be</w:t>
      </w:r>
      <w:r>
        <w:rPr>
          <w:vertAlign w:val="superscript"/>
          <w:lang w:val="en_US" w:bidi="en_US"/>
        </w:rPr>
        <w:t>(sing)</w:t>
      </w:r>
      <w:r>
        <w:rPr>
          <w:lang w:val="en_US" w:bidi="en_US"/>
        </w:rPr>
        <w:t xml:space="preserve"> merciful to me!”</w:t>
      </w:r>
    </w:p>
    <w:p>
      <w:pPr>
        <w:pStyle w:val="ListBullet"/>
        <w:spacing w:line="240" w:lineRule="auto"/>
        <w:ind w:left="720"/>
      </w:pPr>
      <w:r>
        <w:rPr>
          <w:lang w:val="en_US" w:bidi="en_US"/>
        </w:rPr>
      </w:r>
      <w:r>
        <w:rPr>
          <w:lang w:val="en_US" w:bidi="en_US"/>
        </w:rPr>
        <w:t xml:space="preserve">Then he called loudly to him, and said, “Jesus, </w:t>
      </w:r>
      <w:r>
        <w:rPr>
          <w:lang w:val="en_US" w:bidi="en_US"/>
        </w:rPr>
        <w:t>I know that you</w:t>
      </w:r>
      <w:r>
        <w:rPr>
          <w:vertAlign w:val="superscript"/>
          <w:lang w:val="en_US" w:bidi="en_US"/>
        </w:rPr>
        <w:t>(sing)</w:t>
      </w:r>
      <w:r>
        <w:rPr>
          <w:lang w:val="en_US" w:bidi="en_US"/>
        </w:rPr>
        <w:t xml:space="preserve"> </w:t>
      </w:r>
      <w:r>
        <w:rPr>
          <w:lang w:val="en_US" w:bidi="en_US"/>
        </w:rPr>
        <w:t>are</w:t>
      </w:r>
      <w:r>
        <w:rPr>
          <w:lang w:val="en_US" w:bidi="en_US"/>
        </w:rPr>
        <w:t xml:space="preserve"> </w:t>
      </w:r>
      <w:r>
        <w:rPr>
          <w:lang w:val="en_US" w:bidi="en_US"/>
        </w:rPr>
        <w:t>the</w:t>
      </w:r>
      <w:r>
        <w:rPr>
          <w:lang w:val="en_US" w:bidi="en_US"/>
        </w:rPr>
        <w:t xml:space="preserve"> descendant of King David! </w:t>
      </w:r>
      <w:r>
        <w:rPr>
          <w:lang w:val="en_US" w:bidi="en_US"/>
        </w:rPr>
        <w:t>Please</w:t>
      </w:r>
      <w:r>
        <w:rPr>
          <w:lang w:val="en_US" w:bidi="en_US"/>
        </w:rPr>
        <w:t xml:space="preserve"> pity me </w:t>
      </w:r>
      <w:r>
        <w:rPr>
          <w:lang w:val="en_US" w:bidi="en_US"/>
        </w:rPr>
        <w:t>and help me</w:t>
      </w:r>
      <w:r>
        <w:rPr>
          <w:lang w:val="en_US" w:bidi="en_US"/>
        </w:rPr>
        <w:t>!”</w:t>
      </w:r>
    </w:p>
    <w:p>
      <w:pPr/>
      <w:r>
        <w:rPr>
          <w:lang w:val="en_US" w:bidi="en_US"/>
        </w:rPr>
      </w:r>
      <w:r>
        <w:rPr>
          <w:b/>
          <w:lang w:val="en_US" w:bidi="en_US"/>
        </w:rPr>
        <w:t>So:</w:t>
      </w:r>
      <w:r>
        <w:rPr>
          <w:lang w:val="en_US" w:bidi="en_US"/>
        </w:rPr>
        <w:t xml:space="preserve"> This verse begins with a Greek conjunction that is often translated as “and.” Some English versions, such as the ESV, translate it that way. The BSB and some other versions (NET, NLT) translate it as </w:t>
      </w:r>
      <w:r>
        <w:rPr>
          <w:i/>
          <w:lang w:val="en_US" w:bidi="en_US"/>
        </w:rPr>
        <w:t>So</w:t>
      </w:r>
      <w:r>
        <w:rPr>
          <w:lang w:val="en_US" w:bidi="en_US"/>
        </w:rPr>
        <w:t xml:space="preserve"> in order to show that it introduces what the blind man did in response to what the people told him. Other versions, such as the NIV and GNT, do not translate this conjunction. Connect 18:38 to 18:37 in a way that is natural in your language.</w:t>
      </w:r>
    </w:p>
    <w:p>
      <w:pPr/>
      <w:r>
        <w:rPr>
          <w:lang w:val="en_US" w:bidi="en_US"/>
        </w:rPr>
      </w:r>
      <w:r>
        <w:rPr>
          <w:b/>
          <w:lang w:val="en_US" w:bidi="en_US"/>
        </w:rPr>
        <w:t>he called out:</w:t>
      </w:r>
      <w:r>
        <w:rPr>
          <w:lang w:val="en_US" w:bidi="en_US"/>
        </w:rPr>
        <w:t xml:space="preserve"> The Greek word that the BSB translates as </w:t>
      </w:r>
      <w:r>
        <w:rPr>
          <w:i/>
          <w:lang w:val="en_US" w:bidi="en_US"/>
        </w:rPr>
        <w:t>called out</w:t>
      </w:r>
      <w:r>
        <w:rPr>
          <w:lang w:val="en_US" w:bidi="en_US"/>
        </w:rPr>
        <w:t xml:space="preserve"> means “to shout.” The context implies that he shouted like this so that Jesus would hear him. He was not shouting in an angry or impolite way.</w:t>
      </w:r>
    </w:p>
    <w:p>
      <w:pPr/>
      <w:r>
        <w:rPr>
          <w:lang w:val="en_US" w:bidi="en_US"/>
        </w:rPr>
      </w:r>
      <w:r>
        <w:rPr>
          <w:b/>
          <w:lang w:val="en_US" w:bidi="en_US"/>
        </w:rPr>
        <w:t>Jesus, Son of David:</w:t>
      </w:r>
      <w:r>
        <w:rPr>
          <w:lang w:val="en_US" w:bidi="en_US"/>
        </w:rPr>
        <w:t xml:space="preserve"> The blind man used two terms of address for Jesus. He called him by his name, and he also addressed him as </w:t>
      </w:r>
      <w:r>
        <w:rPr>
          <w:i/>
          <w:lang w:val="en_US" w:bidi="en_US"/>
        </w:rPr>
        <w:t>Son of David</w:t>
      </w:r>
      <w:r>
        <w:rPr>
          <w:lang w:val="en_US" w:bidi="en_US"/>
        </w:rPr>
        <w:t xml:space="preserve">. In some languages it may be more natural to make the phrase </w:t>
      </w:r>
      <w:r>
        <w:rPr>
          <w:i/>
          <w:lang w:val="en_US" w:bidi="en_US"/>
        </w:rPr>
        <w:t>Son of David</w:t>
      </w:r>
      <w:r>
        <w:rPr>
          <w:lang w:val="en_US" w:bidi="en_US"/>
        </w:rPr>
        <w:t xml:space="preserve"> a separate statement. For example:</w:t>
      </w:r>
    </w:p>
    <w:p>
      <w:pPr/>
      <w:r>
        <w:rPr>
          <w:lang w:val="en_US" w:bidi="en_US"/>
        </w:rPr>
      </w:r>
      <w:r>
        <w:rPr>
          <w:lang w:val="en_US" w:bidi="en_US"/>
        </w:rPr>
        <w:t>I know that you are</w:t>
      </w:r>
      <w:r>
        <w:rPr>
          <w:lang w:val="en_US" w:bidi="en_US"/>
        </w:rPr>
        <w:t xml:space="preserve"> </w:t>
      </w:r>
      <w:r>
        <w:rPr>
          <w:lang w:val="en_US" w:bidi="en_US"/>
        </w:rPr>
        <w:t>the</w:t>
      </w:r>
      <w:r>
        <w:rPr>
          <w:lang w:val="en_US" w:bidi="en_US"/>
        </w:rPr>
        <w:t xml:space="preserve"> Son of David.</w:t>
      </w:r>
    </w:p>
    <w:p>
      <w:pPr/>
      <w:r>
        <w:rPr>
          <w:lang w:val="en_US" w:bidi="en_US"/>
        </w:rPr>
      </w:r>
      <w:r>
        <w:rPr>
          <w:lang w:val="en_US" w:bidi="en_US"/>
        </w:rPr>
        <w:t>The Notes have included the article “the” because the blind man referred to a particular descendant of David. In many languages an article is not necessary.</w:t>
      </w:r>
    </w:p>
    <w:p>
      <w:pPr/>
      <w:r>
        <w:rPr>
          <w:lang w:val="en_US" w:bidi="en_US"/>
        </w:rPr>
      </w:r>
      <w:r>
        <w:rPr>
          <w:b/>
          <w:lang w:val="en_US" w:bidi="en_US"/>
        </w:rPr>
        <w:t>Son of David:</w:t>
      </w:r>
      <w:r>
        <w:rPr>
          <w:lang w:val="en_US" w:bidi="en_US"/>
        </w:rPr>
        <w:t xml:space="preserve"> The phrase </w:t>
      </w:r>
      <w:r>
        <w:rPr>
          <w:i/>
          <w:lang w:val="en_US" w:bidi="en_US"/>
        </w:rPr>
        <w:t>Son of David</w:t>
      </w:r>
      <w:r>
        <w:rPr>
          <w:lang w:val="en_US" w:bidi="en_US"/>
        </w:rPr>
        <w:t xml:space="preserve"> refers to a descendant of King David. The Jewish people used this phrase as a title for the Messiah. It does not refer to one of David’s own children. Jesus was born hundreds of years after King David died. David was a famous ancestor from the past.</w:t>
      </w:r>
    </w:p>
    <w:p>
      <w:pPr/>
      <w:r>
        <w:rPr>
          <w:lang w:val="en_US" w:bidi="en_US"/>
        </w:rPr>
      </w:r>
      <w:r>
        <w:rPr>
          <w:lang w:val="en_US" w:bidi="en_US"/>
        </w:rPr>
        <w:t>In your translation try to avoid the impression that David was the birth father of Jesus. Some languages have a special term to refer to ancestors from the distant past. Refer to David in an appropriate way in your language. One way to translate the title is:</w:t>
      </w:r>
    </w:p>
    <w:p>
      <w:pPr/>
      <w:r>
        <w:rPr>
          <w:lang w:val="en_US" w:bidi="en_US"/>
        </w:rPr>
      </w:r>
      <w:r>
        <w:rPr>
          <w:lang w:val="en_US" w:bidi="en_US"/>
        </w:rPr>
        <w:t>Descendant of King David</w:t>
      </w:r>
    </w:p>
    <w:p>
      <w:pPr/>
      <w:r>
        <w:rPr>
          <w:lang w:val="en_US" w:bidi="en_US"/>
        </w:rPr>
      </w:r>
      <w:r>
        <w:rPr>
          <w:lang w:val="en_US" w:bidi="en_US"/>
        </w:rPr>
        <w:t>It may be helpful to add a footnote in your translation to give the information in the first paragraph of this note.</w:t>
      </w:r>
    </w:p>
    <w:p>
      <w:pPr/>
      <w:r>
        <w:rPr>
          <w:lang w:val="en_US" w:bidi="en_US"/>
        </w:rPr>
      </w:r>
      <w:r>
        <w:rPr>
          <w:b/>
          <w:lang w:val="en_US" w:bidi="en_US"/>
        </w:rPr>
        <w:t>have mercy on me:</w:t>
      </w:r>
      <w:r>
        <w:rPr>
          <w:lang w:val="en_US" w:bidi="en_US"/>
        </w:rPr>
        <w:t xml:space="preserve"> The request </w:t>
      </w:r>
      <w:r>
        <w:rPr>
          <w:i/>
          <w:lang w:val="en_US" w:bidi="en_US"/>
        </w:rPr>
        <w:t>have mercy on me</w:t>
      </w:r>
      <w:r>
        <w:rPr>
          <w:lang w:val="en_US" w:bidi="en_US"/>
        </w:rPr>
        <w:t xml:space="preserve"> indicates that the blind man was asking Jesus to pity him and help him. He wanted Jesus to show kindness and compassion to him. He specifically wanted Jesus to heal him, but he made that request later (18:41b). Other ways to say this are:</w:t>
      </w:r>
    </w:p>
    <w:p>
      <w:pPr/>
      <w:r>
        <w:rPr>
          <w:lang w:val="en_US" w:bidi="en_US"/>
        </w:rPr>
      </w:r>
      <w:r>
        <w:rPr>
          <w:lang w:val="en_US" w:bidi="en_US"/>
        </w:rPr>
        <w:t>Be merciful to me!</w:t>
      </w:r>
    </w:p>
    <w:p>
      <w:pPr/>
      <w:r>
        <w:rPr>
          <w:lang w:val="en_US" w:bidi="en_US"/>
        </w:rPr>
      </w:r>
      <w:r>
        <w:rPr>
          <w:lang w:val="en_US" w:bidi="en_US"/>
        </w:rPr>
        <w:t>Show compassion to me!</w:t>
      </w:r>
    </w:p>
    <w:p>
      <w:pPr/>
      <w:r>
        <w:rPr>
          <w:lang w:val="en_US" w:bidi="en_US"/>
        </w:rPr>
      </w:r>
      <w:r>
        <w:rPr>
          <w:lang w:val="en_US" w:bidi="en_US"/>
        </w:rPr>
        <w:t>Pity me!</w:t>
      </w:r>
      <w:r>
        <w:rPr>
          <w:lang w:val="en_US" w:bidi="en_US"/>
        </w:rPr>
      </w:r>
      <w:r>
        <w:rPr>
          <w:lang w:val="en_US" w:bidi="en_US"/>
        </w:rPr>
      </w:r>
    </w:p>
    <w:p>
      <w:pPr/>
      <w:r>
        <w:rPr>
          <w:lang w:val="en_US" w:bidi="en_US"/>
        </w:rPr>
      </w:r>
    </w:p>
    <w:p>
      <w:pPr>
        <w:pStyle w:val="Heading2"/>
      </w:pPr>
      <w:r>
        <w:rPr>
          <w:lang w:val="en_US" w:bidi="en_US"/>
        </w:rPr>
        <w:t>Luke 18:39</w:t>
      </w:r>
      <w:r>
        <w:rPr>
          <w:lang w:val="en_US" w:bidi="en_US"/>
        </w:rPr>
      </w:r>
    </w:p>
    <w:p>
      <w:pPr>
        <w:pStyle w:val="Heading4"/>
      </w:pPr>
      <w:r>
        <w:rPr>
          <w:lang w:val="en_US" w:bidi="en_US"/>
        </w:rPr>
        <w:t>Section 18:35–43: Jesus healed a blind beggar</w:t>
      </w:r>
    </w:p>
    <w:p>
      <w:pPr/>
      <w:r>
        <w:rPr>
          <w:lang w:val="en_US" w:bidi="en_US"/>
        </w:rPr>
      </w:r>
      <w:r>
        <w:rPr>
          <w:lang w:val="en_US" w:bidi="en_US"/>
        </w:rPr>
        <w:t>As Jesus and his disciples continued their journey to Jerusalem, they came to Jericho. A blind man was sitting by the roadside begging. He asked Jesus to make him able to see again. Luke does not mention the beggar’s name, but Mark mentions that his name was Bartimaeus. Jesus healed him and told him that the reason he could now see was because he believed in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Heals a Blind Man (NCV)</w:t>
      </w:r>
    </w:p>
    <w:p>
      <w:pPr/>
      <w:r>
        <w:rPr>
          <w:lang w:val="en_US" w:bidi="en_US"/>
        </w:rPr>
      </w:r>
      <w:r>
        <w:rPr>
          <w:lang w:val="en_US" w:bidi="en_US"/>
        </w:rPr>
        <w:t>Jesus gives sight to a blind man</w:t>
      </w:r>
    </w:p>
    <w:p>
      <w:pPr/>
      <w:r>
        <w:rPr>
          <w:lang w:val="en_US" w:bidi="en_US"/>
        </w:rPr>
      </w:r>
      <w:r>
        <w:rPr>
          <w:lang w:val="en_US" w:bidi="en_US"/>
        </w:rPr>
        <w:t>There are parallel passages for this section in Matthew 9:27–31, 20:29–34 and Mark 10:46–52.</w:t>
      </w:r>
    </w:p>
    <w:p>
      <w:pPr>
        <w:pStyle w:val="Heading5"/>
      </w:pPr>
      <w:r>
        <w:rPr>
          <w:lang w:val="en_US" w:bidi="en_US"/>
        </w:rPr>
        <w:t>18:39a</w:t>
      </w:r>
    </w:p>
    <w:p>
      <w:pPr/>
      <w:r>
        <w:rPr>
          <w:lang w:val="en_US" w:bidi="en_US"/>
        </w:rPr>
      </w:r>
      <w:r>
        <w:rPr>
          <w:b/>
          <w:lang w:val="en_US" w:bidi="en_US"/>
        </w:rPr>
        <w:t>Those who led the way admonished him to be silent,</w:t>
      </w:r>
    </w:p>
    <w:p>
      <w:pPr>
        <w:pStyle w:val="ListBullet"/>
        <w:spacing w:line="240" w:lineRule="auto"/>
        <w:ind w:left="720"/>
      </w:pPr>
      <w:r>
        <w:rPr>
          <w:lang w:val="en_US" w:bidi="en_US"/>
        </w:rPr>
      </w:r>
      <w:r>
        <w:rPr>
          <w:lang w:val="en_US" w:bidi="en_US"/>
        </w:rPr>
        <w:t xml:space="preserve">Those who were walking ahead </w:t>
      </w:r>
      <w:r>
        <w:rPr>
          <w:lang w:val="en_US" w:bidi="en_US"/>
        </w:rPr>
        <w:t>of Jesus</w:t>
      </w:r>
      <w:r>
        <w:rPr>
          <w:lang w:val="en_US" w:bidi="en_US"/>
        </w:rPr>
        <w:t xml:space="preserve"> ordered </w:t>
      </w:r>
      <w:r>
        <w:rPr>
          <w:lang w:val="en_US" w:bidi="en_US"/>
        </w:rPr>
        <w:t>the blind man</w:t>
      </w:r>
      <w:r>
        <w:rPr>
          <w:lang w:val="en_US" w:bidi="en_US"/>
        </w:rPr>
        <w:t xml:space="preserve"> to stop shouting.</w:t>
      </w:r>
    </w:p>
    <w:p>
      <w:pPr>
        <w:pStyle w:val="ListBullet"/>
        <w:spacing w:line="240" w:lineRule="auto"/>
        <w:ind w:left="720"/>
      </w:pPr>
      <w:r>
        <w:rPr>
          <w:lang w:val="en_US" w:bidi="en_US"/>
        </w:rPr>
      </w:r>
      <w:r>
        <w:rPr>
          <w:lang w:val="en_US" w:bidi="en_US"/>
        </w:rPr>
        <w:t>The people at the front/head of the crowd spoke harshly to him. “Be</w:t>
      </w:r>
      <w:r>
        <w:rPr>
          <w:vertAlign w:val="superscript"/>
          <w:lang w:val="en_US" w:bidi="en_US"/>
        </w:rPr>
        <w:t>(sing)</w:t>
      </w:r>
      <w:r>
        <w:rPr>
          <w:lang w:val="en_US" w:bidi="en_US"/>
        </w:rPr>
        <w:t xml:space="preserve"> quiet!” they said.</w:t>
      </w:r>
    </w:p>
    <w:p>
      <w:pPr/>
      <w:r>
        <w:rPr>
          <w:lang w:val="en_US" w:bidi="en_US"/>
        </w:rPr>
      </w:r>
      <w:r>
        <w:rPr>
          <w:b/>
          <w:lang w:val="en_US" w:bidi="en_US"/>
        </w:rPr>
        <w:t>Those who led the way:</w:t>
      </w:r>
      <w:r>
        <w:rPr>
          <w:lang w:val="en_US" w:bidi="en_US"/>
        </w:rPr>
        <w:t xml:space="preserve"> The phrase </w:t>
      </w:r>
      <w:r>
        <w:rPr>
          <w:i/>
          <w:lang w:val="en_US" w:bidi="en_US"/>
        </w:rPr>
        <w:t>Those who led the way</w:t>
      </w:r>
      <w:r>
        <w:rPr>
          <w:lang w:val="en_US" w:bidi="en_US"/>
        </w:rPr>
        <w:t xml:space="preserve"> refers to the people at the front of the crowd that was traveling with Jesus to Jerusalem.</w:t>
      </w:r>
    </w:p>
    <w:p>
      <w:pPr/>
      <w:r>
        <w:rPr>
          <w:lang w:val="en_US" w:bidi="en_US"/>
        </w:rPr>
      </w:r>
      <w:r>
        <w:rPr>
          <w:b/>
          <w:lang w:val="en_US" w:bidi="en_US"/>
        </w:rPr>
        <w:t>admonished him to be silent:</w:t>
      </w:r>
      <w:r>
        <w:rPr>
          <w:lang w:val="en_US" w:bidi="en_US"/>
        </w:rPr>
        <w:t xml:space="preserve"> This phrase indicates that the people scolded the blind man by telling him to stop calling out for help. In some languages it may be natural to use direct speech here. For example:</w:t>
      </w:r>
    </w:p>
    <w:p>
      <w:pPr/>
      <w:r>
        <w:rPr>
          <w:lang w:val="en_US" w:bidi="en_US"/>
        </w:rPr>
      </w:r>
      <w:r>
        <w:rPr>
          <w:lang w:val="en_US" w:bidi="en_US"/>
        </w:rPr>
        <w:t>they</w:t>
      </w:r>
      <w:r>
        <w:rPr>
          <w:lang w:val="en_US" w:bidi="en_US"/>
        </w:rPr>
        <w:t xml:space="preserve"> told him, “Stop shouting, be quiet!”</w:t>
      </w:r>
    </w:p>
    <w:p>
      <w:pPr>
        <w:pStyle w:val="Heading5"/>
      </w:pPr>
      <w:r>
        <w:rPr>
          <w:lang w:val="en_US" w:bidi="en_US"/>
        </w:rPr>
        <w:t>18:39b</w:t>
      </w:r>
    </w:p>
    <w:p>
      <w:pPr/>
      <w:r>
        <w:rPr>
          <w:lang w:val="en_US" w:bidi="en_US"/>
        </w:rPr>
      </w:r>
      <w:r>
        <w:rPr>
          <w:b/>
          <w:lang w:val="en_US" w:bidi="en_US"/>
        </w:rPr>
        <w:t>but he cried out all the louder,</w:t>
      </w:r>
    </w:p>
    <w:p>
      <w:pPr>
        <w:pStyle w:val="ListBullet"/>
        <w:spacing w:line="240" w:lineRule="auto"/>
        <w:ind w:left="720"/>
      </w:pPr>
      <w:r>
        <w:rPr>
          <w:lang w:val="en_US" w:bidi="en_US"/>
        </w:rPr>
      </w:r>
      <w:r>
        <w:rPr>
          <w:lang w:val="en_US" w:bidi="en_US"/>
        </w:rPr>
        <w:t xml:space="preserve">But he shouted even louder </w:t>
      </w:r>
      <w:r>
        <w:rPr>
          <w:lang w:val="en_US" w:bidi="en_US"/>
        </w:rPr>
        <w:t>to Jesus</w:t>
      </w:r>
      <w:r>
        <w:rPr>
          <w:lang w:val="en_US" w:bidi="en_US"/>
        </w:rPr>
        <w:t>,</w:t>
      </w:r>
    </w:p>
    <w:p>
      <w:pPr>
        <w:pStyle w:val="ListBullet"/>
        <w:spacing w:line="240" w:lineRule="auto"/>
        <w:ind w:left="720"/>
      </w:pPr>
      <w:r>
        <w:rPr>
          <w:lang w:val="en_US" w:bidi="en_US"/>
        </w:rPr>
      </w:r>
      <w:r>
        <w:rPr>
          <w:lang w:val="en_US" w:bidi="en_US"/>
        </w:rPr>
        <w:t xml:space="preserve">But the blind man began to call </w:t>
      </w:r>
      <w:r>
        <w:rPr>
          <w:lang w:val="en_US" w:bidi="en_US"/>
        </w:rPr>
        <w:t>to Jesus</w:t>
      </w:r>
      <w:r>
        <w:rPr>
          <w:lang w:val="en_US" w:bidi="en_US"/>
        </w:rPr>
        <w:t xml:space="preserve"> even more loudly than before, saying,</w:t>
      </w:r>
    </w:p>
    <w:p>
      <w:pPr/>
      <w:r>
        <w:rPr>
          <w:lang w:val="en_US" w:bidi="en_US"/>
        </w:rPr>
      </w:r>
      <w:r>
        <w:rPr>
          <w:b/>
          <w:lang w:val="en_US" w:bidi="en_US"/>
        </w:rPr>
        <w:t>but he cried out all the louder:</w:t>
      </w:r>
      <w:r>
        <w:rPr>
          <w:lang w:val="en_US" w:bidi="en_US"/>
        </w:rPr>
        <w:t xml:space="preserve"> The phrase </w:t>
      </w:r>
      <w:r>
        <w:rPr>
          <w:i/>
          <w:lang w:val="en_US" w:bidi="en_US"/>
        </w:rPr>
        <w:t>cried out all the louder</w:t>
      </w:r>
      <w:r>
        <w:rPr>
          <w:lang w:val="en_US" w:bidi="en_US"/>
        </w:rPr>
        <w:t xml:space="preserve"> indicates that the blind man shouted even louder. For example:</w:t>
      </w:r>
    </w:p>
    <w:p>
      <w:pPr/>
      <w:r>
        <w:rPr>
          <w:lang w:val="en_US" w:bidi="en_US"/>
        </w:rPr>
      </w:r>
      <w:r>
        <w:rPr>
          <w:lang w:val="en_US" w:bidi="en_US"/>
        </w:rPr>
        <w:t>But he shouted even louder (GW)</w:t>
      </w:r>
    </w:p>
    <w:p>
      <w:pPr>
        <w:pStyle w:val="Heading5"/>
      </w:pPr>
      <w:r>
        <w:rPr>
          <w:lang w:val="en_US" w:bidi="en_US"/>
        </w:rPr>
        <w:t>18:39c</w:t>
      </w:r>
    </w:p>
    <w:p>
      <w:pPr/>
      <w:r>
        <w:rPr>
          <w:lang w:val="en_US" w:bidi="en_US"/>
        </w:rPr>
      </w:r>
      <w:r>
        <w:rPr>
          <w:b/>
          <w:lang w:val="en_US" w:bidi="en_US"/>
        </w:rPr>
        <w:t>“Son of David, have mercy on me!”</w:t>
      </w:r>
    </w:p>
    <w:p>
      <w:pPr>
        <w:pStyle w:val="ListBullet"/>
        <w:spacing w:line="240" w:lineRule="auto"/>
        <w:ind w:left="720"/>
      </w:pPr>
      <w:r>
        <w:rPr>
          <w:lang w:val="en_US" w:bidi="en_US"/>
        </w:rPr>
      </w:r>
      <w:r>
        <w:rPr>
          <w:lang w:val="en_US" w:bidi="en_US"/>
        </w:rPr>
        <w:t xml:space="preserve">“Descendant of </w:t>
      </w:r>
      <w:r>
        <w:rPr>
          <w:lang w:val="en_US" w:bidi="en_US"/>
        </w:rPr>
        <w:t>King</w:t>
      </w:r>
      <w:r>
        <w:rPr>
          <w:lang w:val="en_US" w:bidi="en_US"/>
        </w:rPr>
        <w:t xml:space="preserve"> David, be</w:t>
      </w:r>
      <w:r>
        <w:rPr>
          <w:vertAlign w:val="superscript"/>
          <w:lang w:val="en_US" w:bidi="en_US"/>
        </w:rPr>
        <w:t>(sing)</w:t>
      </w:r>
      <w:r>
        <w:rPr>
          <w:lang w:val="en_US" w:bidi="en_US"/>
        </w:rPr>
        <w:t xml:space="preserve"> merciful to me!”</w:t>
      </w:r>
    </w:p>
    <w:p>
      <w:pPr>
        <w:pStyle w:val="ListBullet"/>
        <w:spacing w:line="240" w:lineRule="auto"/>
        <w:ind w:left="720"/>
      </w:pPr>
      <w:r>
        <w:rPr>
          <w:lang w:val="en_US" w:bidi="en_US"/>
        </w:rPr>
      </w:r>
      <w:r>
        <w:rPr>
          <w:lang w:val="en_US" w:bidi="en_US"/>
        </w:rPr>
        <w:t>“</w:t>
      </w:r>
      <w:r>
        <w:rPr>
          <w:lang w:val="en_US" w:bidi="en_US"/>
        </w:rPr>
        <w:t>I know that you</w:t>
      </w:r>
      <w:r>
        <w:rPr>
          <w:vertAlign w:val="superscript"/>
          <w:lang w:val="en_US" w:bidi="en_US"/>
        </w:rPr>
        <w:t>(sing)</w:t>
      </w:r>
      <w:r>
        <w:rPr>
          <w:lang w:val="en_US" w:bidi="en_US"/>
        </w:rPr>
        <w:t xml:space="preserve"> </w:t>
      </w:r>
      <w:r>
        <w:rPr>
          <w:lang w:val="en_US" w:bidi="en_US"/>
        </w:rPr>
        <w:t>are</w:t>
      </w:r>
      <w:r>
        <w:rPr>
          <w:lang w:val="en_US" w:bidi="en_US"/>
        </w:rPr>
        <w:t xml:space="preserve"> </w:t>
      </w:r>
      <w:r>
        <w:rPr>
          <w:lang w:val="en_US" w:bidi="en_US"/>
        </w:rPr>
        <w:t>the</w:t>
      </w:r>
      <w:r>
        <w:rPr>
          <w:lang w:val="en_US" w:bidi="en_US"/>
        </w:rPr>
        <w:t xml:space="preserve"> descendant of King David! </w:t>
      </w:r>
      <w:r>
        <w:rPr>
          <w:lang w:val="en_US" w:bidi="en_US"/>
        </w:rPr>
        <w:t>Please</w:t>
      </w:r>
      <w:r>
        <w:rPr>
          <w:lang w:val="en_US" w:bidi="en_US"/>
        </w:rPr>
        <w:t xml:space="preserve"> pity me </w:t>
      </w:r>
      <w:r>
        <w:rPr>
          <w:lang w:val="en_US" w:bidi="en_US"/>
        </w:rPr>
        <w:t>and help me</w:t>
      </w:r>
      <w:r>
        <w:rPr>
          <w:lang w:val="en_US" w:bidi="en_US"/>
        </w:rPr>
        <w:t>!”</w:t>
      </w:r>
    </w:p>
    <w:p>
      <w:pPr/>
      <w:r>
        <w:rPr>
          <w:lang w:val="en_US" w:bidi="en_US"/>
        </w:rPr>
      </w:r>
      <w:r>
        <w:rPr>
          <w:b/>
          <w:lang w:val="en_US" w:bidi="en_US"/>
        </w:rPr>
        <w:t>Son of David, have mercy on me!:</w:t>
      </w:r>
      <w:r>
        <w:rPr>
          <w:lang w:val="en_US" w:bidi="en_US"/>
        </w:rPr>
        <w:t xml:space="preserve"> Here the blind man repeated the same call for help as in 18:38.</w:t>
      </w:r>
      <w:r>
        <w:rPr>
          <w:lang w:val="en_US" w:bidi="en_US"/>
        </w:rPr>
      </w:r>
      <w:r>
        <w:rPr>
          <w:lang w:val="en_US" w:bidi="en_US"/>
        </w:rPr>
      </w:r>
    </w:p>
    <w:p>
      <w:pPr/>
      <w:r>
        <w:rPr>
          <w:lang w:val="en_US" w:bidi="en_US"/>
        </w:rPr>
      </w:r>
    </w:p>
    <w:p>
      <w:pPr>
        <w:pStyle w:val="Heading2"/>
      </w:pPr>
      <w:r>
        <w:rPr>
          <w:lang w:val="en_US" w:bidi="en_US"/>
        </w:rPr>
        <w:t>Luke 18:40</w:t>
      </w:r>
      <w:r>
        <w:rPr>
          <w:lang w:val="en_US" w:bidi="en_US"/>
        </w:rPr>
      </w:r>
    </w:p>
    <w:p>
      <w:pPr>
        <w:pStyle w:val="Heading4"/>
      </w:pPr>
      <w:r>
        <w:rPr>
          <w:lang w:val="en_US" w:bidi="en_US"/>
        </w:rPr>
        <w:t>Section 18:35–43: Jesus healed a blind beggar</w:t>
      </w:r>
    </w:p>
    <w:p>
      <w:pPr/>
      <w:r>
        <w:rPr>
          <w:lang w:val="en_US" w:bidi="en_US"/>
        </w:rPr>
      </w:r>
      <w:r>
        <w:rPr>
          <w:lang w:val="en_US" w:bidi="en_US"/>
        </w:rPr>
        <w:t>As Jesus and his disciples continued their journey to Jerusalem, they came to Jericho. A blind man was sitting by the roadside begging. He asked Jesus to make him able to see again. Luke does not mention the beggar’s name, but Mark mentions that his name was Bartimaeus. Jesus healed him and told him that the reason he could now see was because he believed in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Heals a Blind Man (NCV)</w:t>
      </w:r>
    </w:p>
    <w:p>
      <w:pPr/>
      <w:r>
        <w:rPr>
          <w:lang w:val="en_US" w:bidi="en_US"/>
        </w:rPr>
      </w:r>
      <w:r>
        <w:rPr>
          <w:lang w:val="en_US" w:bidi="en_US"/>
        </w:rPr>
        <w:t>Jesus gives sight to a blind man</w:t>
      </w:r>
    </w:p>
    <w:p>
      <w:pPr/>
      <w:r>
        <w:rPr>
          <w:lang w:val="en_US" w:bidi="en_US"/>
        </w:rPr>
      </w:r>
      <w:r>
        <w:rPr>
          <w:lang w:val="en_US" w:bidi="en_US"/>
        </w:rPr>
        <w:t>There are parallel passages for this section in Matthew 9:27–31, 20:29–34 and Mark 10:46–52.</w:t>
      </w:r>
    </w:p>
    <w:p>
      <w:pPr>
        <w:pStyle w:val="Heading5"/>
      </w:pPr>
      <w:r>
        <w:rPr>
          <w:lang w:val="en_US" w:bidi="en_US"/>
        </w:rPr>
        <w:t>18:40a</w:t>
      </w:r>
    </w:p>
    <w:p>
      <w:pPr/>
      <w:r>
        <w:rPr>
          <w:lang w:val="en_US" w:bidi="en_US"/>
        </w:rPr>
      </w:r>
      <w:r>
        <w:rPr>
          <w:b/>
          <w:lang w:val="en_US" w:bidi="en_US"/>
        </w:rPr>
        <w:t>Jesus stopped and directed that the man be brought to Him.</w:t>
      </w:r>
    </w:p>
    <w:p>
      <w:pPr>
        <w:pStyle w:val="ListBullet"/>
        <w:spacing w:line="240" w:lineRule="auto"/>
        <w:ind w:left="720"/>
      </w:pPr>
      <w:r>
        <w:rPr>
          <w:lang w:val="en_US" w:bidi="en_US"/>
        </w:rPr>
      </w:r>
      <w:r>
        <w:rPr>
          <w:lang w:val="en_US" w:bidi="en_US"/>
        </w:rPr>
        <w:t xml:space="preserve">¶ Jesus stopped and told </w:t>
      </w:r>
      <w:r>
        <w:rPr>
          <w:lang w:val="en_US" w:bidi="en_US"/>
        </w:rPr>
        <w:t>people</w:t>
      </w:r>
      <w:r>
        <w:rPr>
          <w:lang w:val="en_US" w:bidi="en_US"/>
        </w:rPr>
        <w:t xml:space="preserve"> to bring the </w:t>
      </w:r>
      <w:r>
        <w:rPr>
          <w:lang w:val="en_US" w:bidi="en_US"/>
        </w:rPr>
        <w:t>blind</w:t>
      </w:r>
      <w:r>
        <w:rPr>
          <w:lang w:val="en_US" w:bidi="en_US"/>
        </w:rPr>
        <w:t xml:space="preserve"> man to him.</w:t>
      </w:r>
    </w:p>
    <w:p>
      <w:pPr>
        <w:pStyle w:val="ListBullet"/>
        <w:spacing w:line="240" w:lineRule="auto"/>
        <w:ind w:left="720"/>
      </w:pPr>
      <w:r>
        <w:rPr>
          <w:lang w:val="en_US" w:bidi="en_US"/>
        </w:rPr>
      </w:r>
      <w:r>
        <w:rPr>
          <w:lang w:val="en_US" w:bidi="en_US"/>
        </w:rPr>
        <w:t>¶ Jesus stood still and said, “Lead/Bring</w:t>
      </w:r>
      <w:r>
        <w:rPr>
          <w:vertAlign w:val="superscript"/>
          <w:lang w:val="en_US" w:bidi="en_US"/>
        </w:rPr>
        <w:t>(sing)</w:t>
      </w:r>
      <w:r>
        <w:rPr>
          <w:lang w:val="en_US" w:bidi="en_US"/>
        </w:rPr>
        <w:t xml:space="preserve"> the man to me.”</w:t>
      </w:r>
    </w:p>
    <w:p>
      <w:pPr/>
      <w:r>
        <w:rPr>
          <w:lang w:val="en_US" w:bidi="en_US"/>
        </w:rPr>
      </w:r>
      <w:r>
        <w:rPr>
          <w:b/>
          <w:lang w:val="en_US" w:bidi="en_US"/>
        </w:rPr>
        <w:t>Jesus stopped:</w:t>
      </w:r>
      <w:r>
        <w:rPr>
          <w:lang w:val="en_US" w:bidi="en_US"/>
        </w:rPr>
        <w:t xml:space="preserve"> The phrase </w:t>
      </w:r>
      <w:r>
        <w:rPr>
          <w:i/>
          <w:lang w:val="en_US" w:bidi="en_US"/>
        </w:rPr>
        <w:t>Jesus stopped</w:t>
      </w:r>
      <w:r>
        <w:rPr>
          <w:lang w:val="en_US" w:bidi="en_US"/>
        </w:rPr>
        <w:t xml:space="preserve"> indicates that Jesus stopped walking and stood still. The text implies that Jesus stopped because he heard the blind man shouting. In some languages it may be necessary to make that explicit. For example:</w:t>
      </w:r>
    </w:p>
    <w:p>
      <w:pPr/>
      <w:r>
        <w:rPr>
          <w:lang w:val="en_US" w:bidi="en_US"/>
        </w:rPr>
      </w:r>
      <w:r>
        <w:rPr>
          <w:lang w:val="en_US" w:bidi="en_US"/>
        </w:rPr>
        <w:t>When</w:t>
      </w:r>
      <w:r>
        <w:rPr>
          <w:lang w:val="en_US" w:bidi="en_US"/>
        </w:rPr>
        <w:t xml:space="preserve"> Jesus </w:t>
      </w:r>
      <w:r>
        <w:rPr>
          <w:lang w:val="en_US" w:bidi="en_US"/>
        </w:rPr>
        <w:t>heard him, he</w:t>
      </w:r>
      <w:r>
        <w:rPr>
          <w:lang w:val="en_US" w:bidi="en_US"/>
        </w:rPr>
        <w:t xml:space="preserve"> stopped</w:t>
      </w:r>
    </w:p>
    <w:p>
      <w:pPr/>
      <w:r>
        <w:rPr>
          <w:lang w:val="en_US" w:bidi="en_US"/>
        </w:rPr>
      </w:r>
      <w:r>
        <w:rPr>
          <w:b/>
          <w:lang w:val="en_US" w:bidi="en_US"/>
        </w:rPr>
        <w:t>and directed that the man be brought to Him:</w:t>
      </w:r>
      <w:r>
        <w:rPr>
          <w:lang w:val="en_US" w:bidi="en_US"/>
        </w:rPr>
        <w:t xml:space="preserve"> The verb </w:t>
      </w:r>
      <w:r>
        <w:rPr>
          <w:i/>
          <w:lang w:val="en_US" w:bidi="en_US"/>
        </w:rPr>
        <w:t>be brought</w:t>
      </w:r>
      <w:r>
        <w:rPr>
          <w:lang w:val="en_US" w:bidi="en_US"/>
        </w:rPr>
        <w:t xml:space="preserve"> is passive. In some languages it is more natural to translate it as active. The text does not say whom Jesus expected to bring the man to him. If you must supply this information, you may use a general expression like “someone,” “them,” or “one of them.” For example:</w:t>
      </w:r>
    </w:p>
    <w:p>
      <w:pPr/>
      <w:r>
        <w:rPr>
          <w:lang w:val="en_US" w:bidi="en_US"/>
        </w:rPr>
      </w:r>
      <w:r>
        <w:rPr>
          <w:lang w:val="en_US" w:bidi="en_US"/>
        </w:rPr>
        <w:t xml:space="preserve">Jesus…ordered </w:t>
      </w:r>
      <w:r>
        <w:rPr>
          <w:lang w:val="en_US" w:bidi="en_US"/>
        </w:rPr>
        <w:t>someone</w:t>
      </w:r>
      <w:r>
        <w:rPr>
          <w:lang w:val="en_US" w:bidi="en_US"/>
        </w:rPr>
        <w:t xml:space="preserve"> to bring the man to him.</w:t>
      </w:r>
    </w:p>
    <w:p>
      <w:pPr/>
      <w:r>
        <w:rPr>
          <w:lang w:val="en_US" w:bidi="en_US"/>
        </w:rPr>
      </w:r>
      <w:r>
        <w:rPr>
          <w:lang w:val="en_US" w:bidi="en_US"/>
        </w:rPr>
        <w:t xml:space="preserve">Jesus told </w:t>
      </w:r>
      <w:r>
        <w:rPr>
          <w:lang w:val="en_US" w:bidi="en_US"/>
        </w:rPr>
        <w:t>them</w:t>
      </w:r>
      <w:r>
        <w:rPr>
          <w:lang w:val="en_US" w:bidi="en_US"/>
        </w:rPr>
        <w:t xml:space="preserve"> to bring/lead the man to him.</w:t>
      </w:r>
    </w:p>
    <w:p>
      <w:pPr/>
      <w:r>
        <w:rPr>
          <w:lang w:val="en_US" w:bidi="en_US"/>
        </w:rPr>
      </w:r>
      <w:r>
        <w:rPr>
          <w:lang w:val="en_US" w:bidi="en_US"/>
        </w:rPr>
        <w:t>It may be more natural in some languages to translate this part of the verse as a direct quotation. For example:</w:t>
      </w:r>
    </w:p>
    <w:p>
      <w:pPr/>
      <w:r>
        <w:rPr>
          <w:lang w:val="en_US" w:bidi="en_US"/>
        </w:rPr>
      </w:r>
      <w:r>
        <w:rPr>
          <w:lang w:val="en_US" w:bidi="en_US"/>
        </w:rPr>
        <w:t>Jesus said, “Bring</w:t>
      </w:r>
      <w:r>
        <w:rPr>
          <w:vertAlign w:val="superscript"/>
          <w:lang w:val="en_US" w:bidi="en_US"/>
        </w:rPr>
        <w:t>(plur)</w:t>
      </w:r>
      <w:r>
        <w:rPr>
          <w:lang w:val="en_US" w:bidi="en_US"/>
        </w:rPr>
        <w:t xml:space="preserve"> the man to me.”</w:t>
      </w:r>
    </w:p>
    <w:p>
      <w:pPr/>
      <w:r>
        <w:rPr>
          <w:lang w:val="en_US" w:bidi="en_US"/>
        </w:rPr>
      </w:r>
      <w:r>
        <w:rPr>
          <w:lang w:val="en_US" w:bidi="en_US"/>
        </w:rPr>
        <w:t>Because the man was blind, he needed someone to lead him to Jesus. Refer to this in a natural way in your language. For example:</w:t>
      </w:r>
    </w:p>
    <w:p>
      <w:pPr/>
      <w:r>
        <w:rPr>
          <w:lang w:val="en_US" w:bidi="en_US"/>
        </w:rPr>
      </w:r>
      <w:r>
        <w:rPr>
          <w:lang w:val="en_US" w:bidi="en_US"/>
        </w:rPr>
        <w:t>Jesus ordered the man to be led to him</w:t>
      </w:r>
    </w:p>
    <w:p>
      <w:pPr/>
      <w:r>
        <w:rPr>
          <w:lang w:val="en_US" w:bidi="en_US"/>
        </w:rPr>
      </w:r>
      <w:r>
        <w:rPr>
          <w:lang w:val="en_US" w:bidi="en_US"/>
        </w:rPr>
        <w:t xml:space="preserve">Jesus ordered </w:t>
      </w:r>
      <w:r>
        <w:rPr>
          <w:lang w:val="en_US" w:bidi="en_US"/>
        </w:rPr>
        <w:t>someone</w:t>
      </w:r>
      <w:r>
        <w:rPr>
          <w:lang w:val="en_US" w:bidi="en_US"/>
        </w:rPr>
        <w:t xml:space="preserve"> to lead/help the blind man to come to him</w:t>
      </w:r>
    </w:p>
    <w:p>
      <w:pPr>
        <w:pStyle w:val="Heading5"/>
      </w:pPr>
      <w:r>
        <w:rPr>
          <w:lang w:val="en_US" w:bidi="en_US"/>
        </w:rPr>
        <w:t>18:40b–41a</w:t>
      </w:r>
    </w:p>
    <w:p>
      <w:pPr/>
      <w:r>
        <w:rPr>
          <w:lang w:val="en_US" w:bidi="en_US"/>
        </w:rPr>
      </w:r>
      <w:r>
        <w:rPr>
          <w:b/>
          <w:lang w:val="en_US" w:bidi="en_US"/>
        </w:rPr>
        <w:t>When he had been brought near:</w:t>
      </w:r>
      <w:r>
        <w:rPr>
          <w:lang w:val="en_US" w:bidi="en_US"/>
        </w:rPr>
        <w:t xml:space="preserve"> The phrase that the BSB translates as </w:t>
      </w:r>
      <w:r>
        <w:rPr>
          <w:i/>
          <w:lang w:val="en_US" w:bidi="en_US"/>
        </w:rPr>
        <w:t>When he had been brought near</w:t>
      </w:r>
      <w:r>
        <w:rPr>
          <w:lang w:val="en_US" w:bidi="en_US"/>
        </w:rPr>
        <w:t xml:space="preserve"> is literally “when he came near.” It indicates that the blind man came or went close to Jesus. The context implies that people led the blind man to Jesus, as Jesus told them to in 18:40a. Another way to translate this is:</w:t>
      </w:r>
    </w:p>
    <w:p>
      <w:pPr/>
      <w:r>
        <w:rPr>
          <w:lang w:val="en_US" w:bidi="en_US"/>
        </w:rPr>
      </w:r>
      <w:r>
        <w:rPr>
          <w:lang w:val="en_US" w:bidi="en_US"/>
        </w:rPr>
        <w:t xml:space="preserve">When </w:t>
      </w:r>
      <w:r>
        <w:rPr>
          <w:lang w:val="en_US" w:bidi="en_US"/>
        </w:rPr>
        <w:t>someone/they</w:t>
      </w:r>
      <w:r>
        <w:rPr>
          <w:lang w:val="en_US" w:bidi="en_US"/>
        </w:rPr>
        <w:t xml:space="preserve"> brought him to Jesus</w:t>
      </w:r>
    </w:p>
    <w:p>
      <w:pPr/>
      <w:r>
        <w:rPr>
          <w:lang w:val="en_US" w:bidi="en_US"/>
        </w:rPr>
      </w:r>
      <w:r>
        <w:rPr>
          <w:b/>
          <w:lang w:val="en_US" w:bidi="en_US"/>
        </w:rPr>
        <w:t>Jesus asked him, “What do you want Me to do for you?”:</w:t>
      </w:r>
      <w:r>
        <w:rPr>
          <w:lang w:val="en_US" w:bidi="en_US"/>
        </w:rPr>
        <w:t xml:space="preserve"> The blind man had already asked Jesus to have mercy on him in 18:38. Now Jesus asked the man what kind of mercy or help he wanted.</w:t>
      </w:r>
    </w:p>
    <w:p>
      <w:pPr/>
      <w:r>
        <w:rPr>
          <w:lang w:val="en_US" w:bidi="en_US"/>
        </w:rPr>
      </w:r>
      <w:r>
        <w:rPr>
          <w:lang w:val="en_US" w:bidi="en_US"/>
        </w:rPr>
        <w:t>In some languages it may be more natural to translate the question as indirect speech. For example:</w:t>
      </w:r>
    </w:p>
    <w:p>
      <w:pPr/>
      <w:r>
        <w:rPr>
          <w:lang w:val="en_US" w:bidi="en_US"/>
        </w:rPr>
      </w:r>
      <w:r>
        <w:rPr>
          <w:lang w:val="en_US" w:bidi="en_US"/>
        </w:rPr>
        <w:t>Jesus asked him what help he wanted.</w:t>
      </w:r>
    </w:p>
    <w:p>
      <w:pPr>
        <w:pStyle w:val="Heading5"/>
      </w:pPr>
      <w:r>
        <w:rPr>
          <w:lang w:val="en_US" w:bidi="en_US"/>
        </w:rPr>
        <w:t>18:40b</w:t>
      </w:r>
    </w:p>
    <w:p>
      <w:pPr/>
      <w:r>
        <w:rPr>
          <w:lang w:val="en_US" w:bidi="en_US"/>
        </w:rPr>
      </w:r>
      <w:r>
        <w:rPr>
          <w:b/>
          <w:lang w:val="en_US" w:bidi="en_US"/>
        </w:rPr>
        <w:t>When he had been brought near, Jesus asked him,</w:t>
      </w:r>
    </w:p>
    <w:p>
      <w:pPr>
        <w:pStyle w:val="ListBullet"/>
        <w:spacing w:line="240" w:lineRule="auto"/>
        <w:ind w:left="720"/>
      </w:pPr>
      <w:r>
        <w:rPr>
          <w:lang w:val="en_US" w:bidi="en_US"/>
        </w:rPr>
      </w:r>
      <w:r>
        <w:rPr>
          <w:lang w:val="en_US" w:bidi="en_US"/>
        </w:rPr>
        <w:t>When he got close to Jesus, Jesus asked him,</w:t>
      </w:r>
    </w:p>
    <w:p>
      <w:pPr>
        <w:pStyle w:val="ListBullet"/>
        <w:spacing w:line="240" w:lineRule="auto"/>
        <w:ind w:left="720"/>
      </w:pPr>
      <w:r>
        <w:rPr>
          <w:lang w:val="en_US" w:bidi="en_US"/>
        </w:rPr>
      </w:r>
      <w:r>
        <w:rPr>
          <w:lang w:val="en_US" w:bidi="en_US"/>
        </w:rPr>
        <w:t xml:space="preserve">When they had led </w:t>
      </w:r>
      <w:r>
        <w:rPr>
          <w:lang w:val="en_US" w:bidi="en_US"/>
        </w:rPr>
        <w:t>the blind man</w:t>
      </w:r>
      <w:r>
        <w:rPr>
          <w:lang w:val="en_US" w:bidi="en_US"/>
        </w:rPr>
        <w:t xml:space="preserve"> </w:t>
      </w:r>
      <w:r>
        <w:rPr>
          <w:lang w:val="en_US" w:bidi="en_US"/>
        </w:rPr>
        <w:t>to Jesus</w:t>
      </w:r>
      <w:r>
        <w:rPr>
          <w:lang w:val="en_US" w:bidi="en_US"/>
        </w:rPr>
        <w:t>, Jesus asked him,</w:t>
      </w:r>
      <w:r>
        <w:rPr>
          <w:lang w:val="en_US" w:bidi="en_US"/>
        </w:rPr>
      </w:r>
      <w:r>
        <w:rPr>
          <w:lang w:val="en_US" w:bidi="en_US"/>
        </w:rPr>
      </w:r>
    </w:p>
    <w:p>
      <w:pPr/>
      <w:r>
        <w:rPr>
          <w:lang w:val="en_US" w:bidi="en_US"/>
        </w:rPr>
      </w:r>
    </w:p>
    <w:p>
      <w:pPr>
        <w:pStyle w:val="Heading2"/>
      </w:pPr>
      <w:r>
        <w:rPr>
          <w:lang w:val="en_US" w:bidi="en_US"/>
        </w:rPr>
        <w:t>Luke 18:41</w:t>
      </w:r>
      <w:r>
        <w:rPr>
          <w:lang w:val="en_US" w:bidi="en_US"/>
        </w:rPr>
      </w:r>
    </w:p>
    <w:p>
      <w:pPr>
        <w:pStyle w:val="Heading4"/>
      </w:pPr>
      <w:r>
        <w:rPr>
          <w:lang w:val="en_US" w:bidi="en_US"/>
        </w:rPr>
        <w:t>Section 18:35–43: Jesus healed a blind beggar</w:t>
      </w:r>
    </w:p>
    <w:p>
      <w:pPr/>
      <w:r>
        <w:rPr>
          <w:lang w:val="en_US" w:bidi="en_US"/>
        </w:rPr>
      </w:r>
      <w:r>
        <w:rPr>
          <w:lang w:val="en_US" w:bidi="en_US"/>
        </w:rPr>
        <w:t>As Jesus and his disciples continued their journey to Jerusalem, they came to Jericho. A blind man was sitting by the roadside begging. He asked Jesus to make him able to see again. Luke does not mention the beggar’s name, but Mark mentions that his name was Bartimaeus. Jesus healed him and told him that the reason he could now see was because he believed in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Heals a Blind Man (NCV)</w:t>
      </w:r>
    </w:p>
    <w:p>
      <w:pPr/>
      <w:r>
        <w:rPr>
          <w:lang w:val="en_US" w:bidi="en_US"/>
        </w:rPr>
      </w:r>
      <w:r>
        <w:rPr>
          <w:lang w:val="en_US" w:bidi="en_US"/>
        </w:rPr>
        <w:t>Jesus gives sight to a blind man</w:t>
      </w:r>
    </w:p>
    <w:p>
      <w:pPr/>
      <w:r>
        <w:rPr>
          <w:lang w:val="en_US" w:bidi="en_US"/>
        </w:rPr>
      </w:r>
      <w:r>
        <w:rPr>
          <w:lang w:val="en_US" w:bidi="en_US"/>
        </w:rPr>
        <w:t>There are parallel passages for this section in Matthew 9:27–31, 20:29–34 and Mark 10:46–52.</w:t>
      </w:r>
    </w:p>
    <w:p>
      <w:pPr>
        <w:pStyle w:val="Heading5"/>
      </w:pPr>
      <w:r>
        <w:rPr>
          <w:lang w:val="en_US" w:bidi="en_US"/>
        </w:rPr>
        <w:t>18:41a</w:t>
      </w:r>
    </w:p>
    <w:p>
      <w:pPr/>
      <w:r>
        <w:rPr>
          <w:lang w:val="en_US" w:bidi="en_US"/>
        </w:rPr>
      </w:r>
      <w:r>
        <w:rPr>
          <w:b/>
          <w:lang w:val="en_US" w:bidi="en_US"/>
        </w:rPr>
        <w:t>“What do you want Me to do for you?”</w:t>
      </w:r>
    </w:p>
    <w:p>
      <w:pPr>
        <w:pStyle w:val="ListBullet"/>
        <w:spacing w:line="240" w:lineRule="auto"/>
        <w:ind w:left="720"/>
      </w:pPr>
      <w:r>
        <w:rPr>
          <w:lang w:val="en_US" w:bidi="en_US"/>
        </w:rPr>
      </w:r>
      <w:r>
        <w:rPr>
          <w:lang w:val="en_US" w:bidi="en_US"/>
        </w:rPr>
        <w:t>“What do you</w:t>
      </w:r>
      <w:r>
        <w:rPr>
          <w:vertAlign w:val="superscript"/>
          <w:lang w:val="en_US" w:bidi="en_US"/>
        </w:rPr>
        <w:t>(sing)</w:t>
      </w:r>
      <w:r>
        <w:rPr>
          <w:lang w:val="en_US" w:bidi="en_US"/>
        </w:rPr>
        <w:t xml:space="preserve"> want me to do for you?”</w:t>
      </w:r>
    </w:p>
    <w:p>
      <w:pPr>
        <w:pStyle w:val="ListBullet"/>
        <w:spacing w:line="240" w:lineRule="auto"/>
        <w:ind w:left="720"/>
      </w:pPr>
      <w:r>
        <w:rPr>
          <w:lang w:val="en_US" w:bidi="en_US"/>
        </w:rPr>
      </w:r>
      <w:r>
        <w:rPr>
          <w:lang w:val="en_US" w:bidi="en_US"/>
        </w:rPr>
        <w:t>“How do you</w:t>
      </w:r>
      <w:r>
        <w:rPr>
          <w:vertAlign w:val="superscript"/>
          <w:lang w:val="en_US" w:bidi="en_US"/>
        </w:rPr>
        <w:t>(sing)</w:t>
      </w:r>
      <w:r>
        <w:rPr>
          <w:lang w:val="en_US" w:bidi="en_US"/>
        </w:rPr>
        <w:t xml:space="preserve"> want me to help you?”</w:t>
      </w:r>
    </w:p>
    <w:p>
      <w:pPr>
        <w:pStyle w:val="Heading5"/>
      </w:pPr>
      <w:r>
        <w:rPr>
          <w:lang w:val="en_US" w:bidi="en_US"/>
        </w:rPr>
        <w:t>18:41b</w:t>
      </w:r>
    </w:p>
    <w:p>
      <w:pPr/>
      <w:r>
        <w:rPr>
          <w:lang w:val="en_US" w:bidi="en_US"/>
        </w:rPr>
      </w:r>
      <w:r>
        <w:rPr>
          <w:b/>
          <w:lang w:val="en_US" w:bidi="en_US"/>
        </w:rPr>
        <w:t>“Lord,” he said, “let me see again.”</w:t>
      </w:r>
    </w:p>
    <w:p>
      <w:pPr>
        <w:pStyle w:val="ListBullet"/>
        <w:spacing w:line="240" w:lineRule="auto"/>
        <w:ind w:left="720"/>
      </w:pPr>
      <w:r>
        <w:rPr>
          <w:lang w:val="en_US" w:bidi="en_US"/>
        </w:rPr>
      </w:r>
      <w:r>
        <w:rPr>
          <w:lang w:val="en_US" w:bidi="en_US"/>
        </w:rPr>
        <w:t xml:space="preserve">And the man answered, “Lord, I want to </w:t>
      </w:r>
      <w:r>
        <w:rPr>
          <w:lang w:val="en_US" w:bidi="en_US"/>
        </w:rPr>
        <w:t>be able</w:t>
      </w:r>
      <w:r>
        <w:rPr>
          <w:lang w:val="en_US" w:bidi="en_US"/>
        </w:rPr>
        <w:t xml:space="preserve"> to see.”</w:t>
      </w:r>
    </w:p>
    <w:p>
      <w:pPr>
        <w:pStyle w:val="ListBullet"/>
        <w:spacing w:line="240" w:lineRule="auto"/>
        <w:ind w:left="720"/>
      </w:pPr>
      <w:r>
        <w:rPr>
          <w:lang w:val="en_US" w:bidi="en_US"/>
        </w:rPr>
      </w:r>
      <w:r>
        <w:rPr>
          <w:lang w:val="en_US" w:bidi="en_US"/>
        </w:rPr>
        <w:t xml:space="preserve">And the blind man said to Jesus, “Lord, I want </w:t>
      </w:r>
      <w:r>
        <w:rPr>
          <w:lang w:val="en_US" w:bidi="en_US"/>
        </w:rPr>
        <w:t>you</w:t>
      </w:r>
      <w:r>
        <w:rPr>
          <w:vertAlign w:val="superscript"/>
          <w:lang w:val="en_US" w:bidi="en_US"/>
        </w:rPr>
        <w:t>(sing)</w:t>
      </w:r>
      <w:r>
        <w:rPr>
          <w:lang w:val="en_US" w:bidi="en_US"/>
        </w:rPr>
        <w:t xml:space="preserve"> </w:t>
      </w:r>
      <w:r>
        <w:rPr>
          <w:lang w:val="en_US" w:bidi="en_US"/>
        </w:rPr>
        <w:t>to heal me so</w:t>
      </w:r>
      <w:r>
        <w:rPr>
          <w:lang w:val="en_US" w:bidi="en_US"/>
        </w:rPr>
        <w:t xml:space="preserve"> I can see again.”</w:t>
      </w:r>
    </w:p>
    <w:p>
      <w:pPr/>
      <w:r>
        <w:rPr>
          <w:lang w:val="en_US" w:bidi="en_US"/>
        </w:rPr>
      </w:r>
      <w:r>
        <w:rPr>
          <w:b/>
          <w:lang w:val="en_US" w:bidi="en_US"/>
        </w:rPr>
        <w:t>“Lord,” he said, “let me see again”:</w:t>
      </w:r>
      <w:r>
        <w:rPr>
          <w:lang w:val="en_US" w:bidi="en_US"/>
        </w:rPr>
        <w:t xml:space="preserve"> Here the blind man was making a polite request to Jesus. He was asking Jesus to heal his eyes so that he could see. Express this request in a polite way in your language. For example:</w:t>
      </w:r>
    </w:p>
    <w:p>
      <w:pPr/>
      <w:r>
        <w:rPr>
          <w:lang w:val="en_US" w:bidi="en_US"/>
        </w:rPr>
      </w:r>
      <w:r>
        <w:rPr>
          <w:lang w:val="en_US" w:bidi="en_US"/>
        </w:rPr>
        <w:t xml:space="preserve">Lord </w:t>
      </w:r>
      <w:r>
        <w:rPr>
          <w:lang w:val="en_US" w:bidi="en_US"/>
        </w:rPr>
        <w:t>please</w:t>
      </w:r>
      <w:r>
        <w:rPr>
          <w:lang w:val="en_US" w:bidi="en_US"/>
        </w:rPr>
        <w:t xml:space="preserve"> </w:t>
      </w:r>
      <w:r>
        <w:rPr>
          <w:lang w:val="en_US" w:bidi="en_US"/>
        </w:rPr>
        <w:t>heal my eyes</w:t>
      </w:r>
      <w:r>
        <w:rPr>
          <w:lang w:val="en_US" w:bidi="en_US"/>
        </w:rPr>
        <w:t xml:space="preserve"> so I can see.</w:t>
      </w:r>
    </w:p>
    <w:p>
      <w:pPr/>
      <w:r>
        <w:rPr>
          <w:lang w:val="en_US" w:bidi="en_US"/>
        </w:rPr>
      </w:r>
      <w:r>
        <w:rPr>
          <w:lang w:val="en_US" w:bidi="en_US"/>
        </w:rPr>
        <w:t>Lord, I would like to see again.</w:t>
      </w:r>
    </w:p>
    <w:p>
      <w:pPr/>
      <w:r>
        <w:rPr>
          <w:lang w:val="en_US" w:bidi="en_US"/>
        </w:rPr>
      </w:r>
      <w:r>
        <w:rPr>
          <w:b/>
          <w:lang w:val="en_US" w:bidi="en_US"/>
        </w:rPr>
        <w:t>Lord:</w:t>
      </w:r>
      <w:r>
        <w:rPr>
          <w:lang w:val="en_US" w:bidi="en_US"/>
        </w:rPr>
        <w:t xml:space="preserve"> See Lord, Context 3, in the Glossary.</w:t>
      </w:r>
    </w:p>
    <w:p>
      <w:pPr/>
      <w:r>
        <w:rPr>
          <w:lang w:val="en_US" w:bidi="en_US"/>
        </w:rPr>
      </w:r>
      <w:r>
        <w:rPr>
          <w:b/>
          <w:lang w:val="en_US" w:bidi="en_US"/>
        </w:rPr>
        <w:t>he said:</w:t>
      </w:r>
      <w:r>
        <w:rPr>
          <w:lang w:val="en_US" w:bidi="en_US"/>
        </w:rPr>
        <w:t xml:space="preserve"> In the Greek text, the phrase that the BSB translates as </w:t>
      </w:r>
      <w:r>
        <w:rPr>
          <w:i/>
          <w:lang w:val="en_US" w:bidi="en_US"/>
        </w:rPr>
        <w:t>he said</w:t>
      </w:r>
      <w:r>
        <w:rPr>
          <w:lang w:val="en_US" w:bidi="en_US"/>
        </w:rPr>
        <w:t xml:space="preserve"> introduces the blind man’s response to Jesus. The BSB has placed it after his response. Place the phrase where it is natural in your language.</w:t>
      </w:r>
    </w:p>
    <w:p>
      <w:pPr/>
      <w:r>
        <w:rPr>
          <w:lang w:val="en_US" w:bidi="en_US"/>
        </w:rPr>
      </w:r>
      <w:r>
        <w:rPr>
          <w:b/>
          <w:lang w:val="en_US" w:bidi="en_US"/>
        </w:rPr>
        <w:t>see again:</w:t>
      </w:r>
      <w:r>
        <w:rPr>
          <w:lang w:val="en_US" w:bidi="en_US"/>
        </w:rPr>
        <w:t xml:space="preserve"> The Greek verb that the BSB translates as </w:t>
      </w:r>
      <w:r>
        <w:rPr>
          <w:i/>
          <w:lang w:val="en_US" w:bidi="en_US"/>
        </w:rPr>
        <w:t>see again</w:t>
      </w:r>
      <w:r>
        <w:rPr>
          <w:lang w:val="en_US" w:bidi="en_US"/>
        </w:rPr>
        <w:t xml:space="preserve"> refers here to being able to see again after being blind.</w:t>
      </w:r>
      <w:r>
        <w:rPr>
          <w:lang w:val="en_US" w:bidi="en_US"/>
        </w:rPr>
        <w:t xml:space="preserve">Some scholars suggest that the Greek word </w:t>
      </w:r>
      <w:r>
        <w:rPr>
          <w:i/>
          <w:lang w:val="en_US" w:bidi="en_US"/>
        </w:rPr>
        <w:t>anablepō</w:t>
      </w:r>
      <w:r>
        <w:rPr>
          <w:lang w:val="en_US" w:bidi="en_US"/>
        </w:rPr>
        <w:t xml:space="preserve"> may refer here to being able to see for the first time. Although that is a possibility, there is strong support for the meaning “see again.” The following English versions make this explicit: BSB, NRSV, GNT, NJB, GW, REB, NET, NASB, ESV, and JBP. BDAG (p. 59) lists the word as having the sense “regain…sight,” both here and in the parallel passage in Mark 10:51 (Bible Works). Louw and Nida mention that although the word can refer to becoming able to see again or for the first time, it is “better to assume that it is a matter of regaining sight unless the context specifies ‘being blind from birth’ or ‘always blind.’ ” (TW). Arndt (p. 387) and Plummer (p. 431) indicate that with the prefix </w:t>
      </w:r>
      <w:r>
        <w:rPr>
          <w:i/>
          <w:lang w:val="en_US" w:bidi="en_US"/>
        </w:rPr>
        <w:t>ana-</w:t>
      </w:r>
      <w:r>
        <w:rPr>
          <w:lang w:val="en_US" w:bidi="en_US"/>
        </w:rPr>
        <w:t xml:space="preserve"> the verb means either to look up or to see again (in this context, “to see again”). Hendriksen, Fitzmyer, Arndt, Nolland, Plummer, and Reiling and Swellengrebel are among the other scholars who follow this view.</w:t>
      </w:r>
      <w:r>
        <w:rPr>
          <w:lang w:val="en_US" w:bidi="en_US"/>
        </w:rPr>
        <w:t xml:space="preserve"> One way to translate this is:</w:t>
      </w:r>
    </w:p>
    <w:p>
      <w:pPr/>
      <w:r>
        <w:rPr>
          <w:lang w:val="en_US" w:bidi="en_US"/>
        </w:rPr>
      </w:r>
      <w:r>
        <w:rPr>
          <w:i/>
          <w:lang w:val="en_US" w:bidi="en_US"/>
        </w:rPr>
        <w:t>please restore my sight</w:t>
      </w:r>
    </w:p>
    <w:p>
      <w:pPr/>
      <w:r>
        <w:rPr>
          <w:lang w:val="en_US" w:bidi="en_US"/>
        </w:rPr>
      </w:r>
      <w:r>
        <w:rPr>
          <w:lang w:val="en_US" w:bidi="en_US"/>
        </w:rPr>
        <w:t>There are two ways to translate the verb here:</w:t>
      </w:r>
    </w:p>
    <w:p>
      <w:pPr>
        <w:pStyle w:val="ListBullet"/>
        <w:spacing w:line="240" w:lineRule="auto"/>
        <w:ind w:left="720"/>
      </w:pPr>
      <w:r>
        <w:rPr>
          <w:lang w:val="en_US" w:bidi="en_US"/>
        </w:rPr>
      </w:r>
      <w:r>
        <w:rPr>
          <w:lang w:val="en_US" w:bidi="en_US"/>
        </w:rPr>
        <w:t>Use a specific term that means “see again.” For example:</w:t>
      </w:r>
      <w:r>
        <w:rPr>
          <w:lang w:val="en_US" w:bidi="en_US"/>
        </w:rPr>
        <w:t>to regain my sight (NASB)</w:t>
      </w:r>
      <w:r>
        <w:rPr>
          <w:lang w:val="en_US" w:bidi="en_US"/>
        </w:rPr>
        <w:t>to see again (GW)</w:t>
      </w:r>
    </w:p>
    <w:p>
      <w:pPr>
        <w:pStyle w:val="ListBullet"/>
        <w:spacing w:line="240" w:lineRule="auto"/>
        <w:ind w:left="720"/>
      </w:pPr>
      <w:r>
        <w:rPr>
          <w:lang w:val="en_US" w:bidi="en_US"/>
        </w:rPr>
      </w:r>
      <w:r>
        <w:rPr>
          <w:lang w:val="en_US" w:bidi="en_US"/>
        </w:rPr>
        <w:t>Use a more general expression that means “see.” For example:</w:t>
      </w:r>
      <w:r>
        <w:rPr>
          <w:lang w:val="en_US" w:bidi="en_US"/>
        </w:rPr>
        <w:t>to see (NIV)</w:t>
      </w:r>
      <w:r>
        <w:rPr>
          <w:lang w:val="en_US" w:bidi="en_US"/>
        </w:rPr>
        <w:t>to be able to see</w:t>
      </w:r>
    </w:p>
    <w:p>
      <w:pPr/>
      <w:r>
        <w:rPr>
          <w:lang w:val="en_US" w:bidi="en_US"/>
        </w:rPr>
      </w:r>
      <w:r>
        <w:rPr>
          <w:lang w:val="en_US" w:bidi="en_US"/>
        </w:rPr>
        <w:t>Translate the verb in a natural way for this context.</w:t>
      </w:r>
      <w:r>
        <w:rPr>
          <w:lang w:val="en_US" w:bidi="en_US"/>
        </w:rPr>
      </w:r>
      <w:r>
        <w:rPr>
          <w:lang w:val="en_US" w:bidi="en_US"/>
        </w:rPr>
      </w:r>
    </w:p>
    <w:p>
      <w:pPr/>
      <w:r>
        <w:rPr>
          <w:lang w:val="en_US" w:bidi="en_US"/>
        </w:rPr>
      </w:r>
    </w:p>
    <w:p>
      <w:pPr>
        <w:pStyle w:val="Heading2"/>
      </w:pPr>
      <w:r>
        <w:rPr>
          <w:lang w:val="en_US" w:bidi="en_US"/>
        </w:rPr>
        <w:t>Luke 18:42</w:t>
      </w:r>
      <w:r>
        <w:rPr>
          <w:lang w:val="en_US" w:bidi="en_US"/>
        </w:rPr>
      </w:r>
    </w:p>
    <w:p>
      <w:pPr>
        <w:pStyle w:val="Heading4"/>
      </w:pPr>
      <w:r>
        <w:rPr>
          <w:lang w:val="en_US" w:bidi="en_US"/>
        </w:rPr>
        <w:t>Section 18:35–43: Jesus healed a blind beggar</w:t>
      </w:r>
    </w:p>
    <w:p>
      <w:pPr/>
      <w:r>
        <w:rPr>
          <w:lang w:val="en_US" w:bidi="en_US"/>
        </w:rPr>
      </w:r>
      <w:r>
        <w:rPr>
          <w:lang w:val="en_US" w:bidi="en_US"/>
        </w:rPr>
        <w:t>As Jesus and his disciples continued their journey to Jerusalem, they came to Jericho. A blind man was sitting by the roadside begging. He asked Jesus to make him able to see again. Luke does not mention the beggar’s name, but Mark mentions that his name was Bartimaeus. Jesus healed him and told him that the reason he could now see was because he believed in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Heals a Blind Man (NCV)</w:t>
      </w:r>
    </w:p>
    <w:p>
      <w:pPr/>
      <w:r>
        <w:rPr>
          <w:lang w:val="en_US" w:bidi="en_US"/>
        </w:rPr>
      </w:r>
      <w:r>
        <w:rPr>
          <w:lang w:val="en_US" w:bidi="en_US"/>
        </w:rPr>
        <w:t>Jesus gives sight to a blind man</w:t>
      </w:r>
    </w:p>
    <w:p>
      <w:pPr/>
      <w:r>
        <w:rPr>
          <w:lang w:val="en_US" w:bidi="en_US"/>
        </w:rPr>
      </w:r>
      <w:r>
        <w:rPr>
          <w:lang w:val="en_US" w:bidi="en_US"/>
        </w:rPr>
        <w:t>There are parallel passages for this section in Matthew 9:27–31, 20:29–34 and Mark 10:46–52.</w:t>
      </w:r>
    </w:p>
    <w:p>
      <w:pPr>
        <w:pStyle w:val="Heading5"/>
      </w:pPr>
      <w:r>
        <w:rPr>
          <w:lang w:val="en_US" w:bidi="en_US"/>
        </w:rPr>
        <w:t>18:42a</w:t>
      </w:r>
    </w:p>
    <w:p>
      <w:pPr/>
      <w:r>
        <w:rPr>
          <w:lang w:val="en_US" w:bidi="en_US"/>
        </w:rPr>
      </w:r>
      <w:r>
        <w:rPr>
          <w:b/>
          <w:lang w:val="en_US" w:bidi="en_US"/>
        </w:rPr>
        <w:t>“Receive your sight!” Jesus replied.</w:t>
      </w:r>
    </w:p>
    <w:p>
      <w:pPr>
        <w:pStyle w:val="ListBullet"/>
        <w:spacing w:line="240" w:lineRule="auto"/>
        <w:ind w:left="720"/>
      </w:pPr>
      <w:r>
        <w:rPr>
          <w:lang w:val="en_US" w:bidi="en_US"/>
        </w:rPr>
      </w:r>
      <w:r>
        <w:rPr>
          <w:lang w:val="en_US" w:bidi="en_US"/>
        </w:rPr>
        <w:t>Jesus said to him, “Then see</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So Jesus said to him, “</w:t>
      </w:r>
      <w:r>
        <w:rPr>
          <w:lang w:val="en_US" w:bidi="en_US"/>
        </w:rPr>
        <w:t>I grant your</w:t>
      </w:r>
      <w:r>
        <w:rPr>
          <w:vertAlign w:val="superscript"/>
          <w:lang w:val="en_US" w:bidi="en_US"/>
        </w:rPr>
        <w:t>(sing)</w:t>
      </w:r>
      <w:r>
        <w:rPr>
          <w:lang w:val="en_US" w:bidi="en_US"/>
        </w:rPr>
        <w:t xml:space="preserve"> </w:t>
      </w:r>
      <w:r>
        <w:rPr>
          <w:lang w:val="en_US" w:bidi="en_US"/>
        </w:rPr>
        <w:t>request.</w:t>
      </w:r>
      <w:r>
        <w:rPr>
          <w:lang w:val="en_US" w:bidi="en_US"/>
        </w:rPr>
        <w:t xml:space="preserve"> You</w:t>
      </w:r>
      <w:r>
        <w:rPr>
          <w:vertAlign w:val="superscript"/>
          <w:lang w:val="en_US" w:bidi="en_US"/>
        </w:rPr>
        <w:t>(sing)</w:t>
      </w:r>
      <w:r>
        <w:rPr>
          <w:lang w:val="en_US" w:bidi="en_US"/>
        </w:rPr>
        <w:t xml:space="preserve"> can see </w:t>
      </w:r>
      <w:r>
        <w:rPr>
          <w:lang w:val="en_US" w:bidi="en_US"/>
        </w:rPr>
        <w:t>again</w:t>
      </w:r>
      <w:r>
        <w:rPr>
          <w:lang w:val="en_US" w:bidi="en_US"/>
        </w:rPr>
        <w:t>!</w:t>
      </w:r>
    </w:p>
    <w:p>
      <w:pPr/>
      <w:r>
        <w:rPr>
          <w:lang w:val="en_US" w:bidi="en_US"/>
        </w:rPr>
      </w:r>
      <w:r>
        <w:rPr>
          <w:b/>
          <w:lang w:val="en_US" w:bidi="en_US"/>
        </w:rPr>
        <w:t>“Receive your sight!” Jesus replied:</w:t>
      </w:r>
      <w:r>
        <w:rPr>
          <w:lang w:val="en_US" w:bidi="en_US"/>
        </w:rPr>
        <w:t xml:space="preserve"> The Greek word for </w:t>
      </w:r>
      <w:r>
        <w:rPr>
          <w:i/>
          <w:lang w:val="en_US" w:bidi="en_US"/>
        </w:rPr>
        <w:t>Receive your sight</w:t>
      </w:r>
      <w:r>
        <w:rPr>
          <w:lang w:val="en_US" w:bidi="en_US"/>
        </w:rPr>
        <w:t xml:space="preserve"> is another form of the word that the blind man used when he said “let me </w:t>
      </w:r>
      <w:r>
        <w:rPr>
          <w:u w:val="single"/>
          <w:lang w:val="en_US" w:bidi="en_US"/>
        </w:rPr>
        <w:t>see again</w:t>
      </w:r>
      <w:r>
        <w:rPr>
          <w:lang w:val="en_US" w:bidi="en_US"/>
        </w:rPr>
        <w:t>” in 18:41b. Some ways to translate it are:</w:t>
      </w:r>
    </w:p>
    <w:p>
      <w:pPr/>
      <w:r>
        <w:rPr>
          <w:lang w:val="en_US" w:bidi="en_US"/>
        </w:rPr>
      </w:r>
      <w:r>
        <w:rPr>
          <w:lang w:val="en_US" w:bidi="en_US"/>
        </w:rPr>
        <w:t>See!</w:t>
      </w:r>
    </w:p>
    <w:p>
      <w:pPr/>
      <w:r>
        <w:rPr>
          <w:lang w:val="en_US" w:bidi="en_US"/>
        </w:rPr>
      </w:r>
      <w:r>
        <w:rPr>
          <w:lang w:val="en_US" w:bidi="en_US"/>
        </w:rPr>
        <w:t>Receive your sight!</w:t>
      </w:r>
    </w:p>
    <w:p>
      <w:pPr/>
      <w:r>
        <w:rPr>
          <w:lang w:val="en_US" w:bidi="en_US"/>
        </w:rPr>
      </w:r>
      <w:r>
        <w:rPr>
          <w:lang w:val="en_US" w:bidi="en_US"/>
        </w:rPr>
        <w:t>I heal you so that</w:t>
      </w:r>
      <w:r>
        <w:rPr>
          <w:lang w:val="en_US" w:bidi="en_US"/>
        </w:rPr>
        <w:t xml:space="preserve"> you see again.</w:t>
      </w:r>
    </w:p>
    <w:p>
      <w:pPr>
        <w:pStyle w:val="Heading5"/>
      </w:pPr>
      <w:r>
        <w:rPr>
          <w:lang w:val="en_US" w:bidi="en_US"/>
        </w:rPr>
        <w:t>18:42b</w:t>
      </w:r>
    </w:p>
    <w:p>
      <w:pPr/>
      <w:r>
        <w:rPr>
          <w:lang w:val="en_US" w:bidi="en_US"/>
        </w:rPr>
      </w:r>
      <w:r>
        <w:rPr>
          <w:b/>
          <w:lang w:val="en_US" w:bidi="en_US"/>
        </w:rPr>
        <w:t>“Your faith has healed you.”</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well now because you trusted </w:t>
      </w:r>
      <w:r>
        <w:rPr>
          <w:lang w:val="en_US" w:bidi="en_US"/>
        </w:rPr>
        <w:t>me</w:t>
      </w:r>
      <w:r>
        <w:rPr>
          <w:lang w:val="en_US" w:bidi="en_US"/>
        </w:rPr>
        <w:t>.”</w:t>
      </w:r>
    </w:p>
    <w:p>
      <w:pPr>
        <w:pStyle w:val="ListBullet"/>
        <w:spacing w:line="240" w:lineRule="auto"/>
        <w:ind w:left="720"/>
      </w:pPr>
      <w:r>
        <w:rPr>
          <w:lang w:val="en_US" w:bidi="en_US"/>
        </w:rPr>
      </w:r>
      <w:r>
        <w:rPr>
          <w:lang w:val="en_US" w:bidi="en_US"/>
        </w:rPr>
        <w:t>I</w:t>
      </w:r>
      <w:r>
        <w:rPr>
          <w:lang w:val="en_US" w:bidi="en_US"/>
        </w:rPr>
        <w:t xml:space="preserve"> healed you</w:t>
      </w:r>
      <w:r>
        <w:rPr>
          <w:vertAlign w:val="superscript"/>
          <w:lang w:val="en_US" w:bidi="en_US"/>
        </w:rPr>
        <w:t>(sing)</w:t>
      </w:r>
      <w:r>
        <w:rPr>
          <w:lang w:val="en_US" w:bidi="en_US"/>
        </w:rPr>
        <w:t xml:space="preserve"> because you believed that </w:t>
      </w:r>
      <w:r>
        <w:rPr>
          <w:lang w:val="en_US" w:bidi="en_US"/>
        </w:rPr>
        <w:t>I would</w:t>
      </w:r>
      <w:r>
        <w:rPr>
          <w:lang w:val="en_US" w:bidi="en_US"/>
        </w:rPr>
        <w:t>.”</w:t>
      </w:r>
    </w:p>
    <w:p>
      <w:pPr/>
      <w:r>
        <w:rPr>
          <w:lang w:val="en_US" w:bidi="en_US"/>
        </w:rPr>
      </w:r>
      <w:r>
        <w:rPr>
          <w:b/>
          <w:lang w:val="en_US" w:bidi="en_US"/>
        </w:rPr>
        <w:t>Your faith has healed you:</w:t>
      </w:r>
      <w:r>
        <w:rPr>
          <w:lang w:val="en_US" w:bidi="en_US"/>
        </w:rPr>
        <w:t xml:space="preserve"> This clause indicates that Jesus healed the man from blindness because of his faith. The noun </w:t>
      </w:r>
      <w:r>
        <w:rPr>
          <w:i/>
          <w:lang w:val="en_US" w:bidi="en_US"/>
        </w:rPr>
        <w:t>faith</w:t>
      </w:r>
      <w:r>
        <w:rPr>
          <w:lang w:val="en_US" w:bidi="en_US"/>
        </w:rPr>
        <w:t xml:space="preserve"> refers here to the action of believing and trusting Jesus. </w:t>
      </w:r>
      <w:r>
        <w:rPr>
          <w:i/>
          <w:lang w:val="en_US" w:bidi="en_US"/>
        </w:rPr>
        <w:t>Your faith has healed you</w:t>
      </w:r>
      <w:r>
        <w:rPr>
          <w:lang w:val="en_US" w:bidi="en_US"/>
        </w:rPr>
        <w:t xml:space="preserve"> implies that the blind man believed that Jesus would heal him.</w:t>
      </w:r>
    </w:p>
    <w:p>
      <w:pPr/>
      <w:r>
        <w:rPr>
          <w:lang w:val="en_US" w:bidi="en_US"/>
        </w:rPr>
      </w:r>
      <w:r>
        <w:rPr>
          <w:lang w:val="en_US" w:bidi="en_US"/>
        </w:rPr>
        <w:t xml:space="preserve">In some languages it may be more natural to translate </w:t>
      </w:r>
      <w:r>
        <w:rPr>
          <w:i/>
          <w:lang w:val="en_US" w:bidi="en_US"/>
        </w:rPr>
        <w:t>faith</w:t>
      </w:r>
      <w:r>
        <w:rPr>
          <w:lang w:val="en_US" w:bidi="en_US"/>
        </w:rPr>
        <w:t xml:space="preserve"> as a verb. If that is true in your language, you may also need to make explicit who or what was believed. Some ways to translate this are:</w:t>
      </w:r>
    </w:p>
    <w:p>
      <w:pPr/>
      <w:r>
        <w:rPr>
          <w:lang w:val="en_US" w:bidi="en_US"/>
        </w:rPr>
      </w:r>
      <w:r>
        <w:rPr>
          <w:lang w:val="en_US" w:bidi="en_US"/>
        </w:rPr>
        <w:t xml:space="preserve">You trusted </w:t>
      </w:r>
      <w:r>
        <w:rPr>
          <w:lang w:val="en_US" w:bidi="en_US"/>
        </w:rPr>
        <w:t>in me</w:t>
      </w:r>
      <w:r>
        <w:rPr>
          <w:lang w:val="en_US" w:bidi="en_US"/>
        </w:rPr>
        <w:t xml:space="preserve"> and that is why you can now see.</w:t>
      </w:r>
    </w:p>
    <w:p>
      <w:pPr/>
      <w:r>
        <w:rPr>
          <w:lang w:val="en_US" w:bidi="en_US"/>
        </w:rPr>
      </w:r>
      <w:r>
        <w:rPr>
          <w:lang w:val="en_US" w:bidi="en_US"/>
        </w:rPr>
        <w:t xml:space="preserve">Receive your sight because you believed </w:t>
      </w:r>
      <w:r>
        <w:rPr>
          <w:lang w:val="en_US" w:bidi="en_US"/>
        </w:rPr>
        <w:t>that I could heal you</w:t>
      </w:r>
      <w:r>
        <w:rPr>
          <w:lang w:val="en_US" w:bidi="en_US"/>
        </w:rPr>
        <w:t>.</w:t>
      </w:r>
    </w:p>
    <w:p>
      <w:pPr/>
      <w:r>
        <w:rPr>
          <w:lang w:val="en_US" w:bidi="en_US"/>
        </w:rPr>
      </w:r>
      <w:r>
        <w:rPr>
          <w:lang w:val="en_US" w:bidi="en_US"/>
        </w:rPr>
        <w:t>See also 8:48a and 17:19b, where the same Greek phrase occurs. See believe, Meaning 2, in the Glossary.</w:t>
      </w:r>
      <w:r>
        <w:rPr>
          <w:lang w:val="en_US" w:bidi="en_US"/>
        </w:rPr>
      </w:r>
      <w:r>
        <w:rPr>
          <w:lang w:val="en_US" w:bidi="en_US"/>
        </w:rPr>
      </w:r>
    </w:p>
    <w:p>
      <w:pPr/>
      <w:r>
        <w:rPr>
          <w:lang w:val="en_US" w:bidi="en_US"/>
        </w:rPr>
      </w:r>
    </w:p>
    <w:p>
      <w:pPr>
        <w:pStyle w:val="Heading2"/>
      </w:pPr>
      <w:r>
        <w:rPr>
          <w:lang w:val="en_US" w:bidi="en_US"/>
        </w:rPr>
        <w:t>Luke 18:43</w:t>
      </w:r>
      <w:r>
        <w:rPr>
          <w:lang w:val="en_US" w:bidi="en_US"/>
        </w:rPr>
      </w:r>
    </w:p>
    <w:p>
      <w:pPr>
        <w:pStyle w:val="Heading4"/>
      </w:pPr>
      <w:r>
        <w:rPr>
          <w:lang w:val="en_US" w:bidi="en_US"/>
        </w:rPr>
        <w:t>Section 18:35–43: Jesus healed a blind beggar</w:t>
      </w:r>
    </w:p>
    <w:p>
      <w:pPr/>
      <w:r>
        <w:rPr>
          <w:lang w:val="en_US" w:bidi="en_US"/>
        </w:rPr>
      </w:r>
      <w:r>
        <w:rPr>
          <w:lang w:val="en_US" w:bidi="en_US"/>
        </w:rPr>
        <w:t>As Jesus and his disciples continued their journey to Jerusalem, they came to Jericho. A blind man was sitting by the roadside begging. He asked Jesus to make him able to see again. Luke does not mention the beggar’s name, but Mark mentions that his name was Bartimaeus. Jesus healed him and told him that the reason he could now see was because he believed in Jesus.</w:t>
      </w:r>
    </w:p>
    <w:p>
      <w:pPr/>
      <w:r>
        <w:rPr>
          <w:lang w:val="en_US" w:bidi="en_US"/>
        </w:rPr>
      </w:r>
      <w:r>
        <w:rPr>
          <w:lang w:val="en_US" w:bidi="en_US"/>
        </w:rPr>
        <w:t>It is good to translate this section before you decide on a heading for it. Some other possible headings for this section are:</w:t>
      </w:r>
    </w:p>
    <w:p>
      <w:pPr/>
      <w:r>
        <w:rPr>
          <w:lang w:val="en_US" w:bidi="en_US"/>
        </w:rPr>
      </w:r>
      <w:r>
        <w:rPr>
          <w:lang w:val="en_US" w:bidi="en_US"/>
        </w:rPr>
        <w:t>Jesus Heals a Blind Man (NCV)</w:t>
      </w:r>
    </w:p>
    <w:p>
      <w:pPr/>
      <w:r>
        <w:rPr>
          <w:lang w:val="en_US" w:bidi="en_US"/>
        </w:rPr>
      </w:r>
      <w:r>
        <w:rPr>
          <w:lang w:val="en_US" w:bidi="en_US"/>
        </w:rPr>
        <w:t>Jesus gives sight to a blind man</w:t>
      </w:r>
    </w:p>
    <w:p>
      <w:pPr/>
      <w:r>
        <w:rPr>
          <w:lang w:val="en_US" w:bidi="en_US"/>
        </w:rPr>
      </w:r>
      <w:r>
        <w:rPr>
          <w:lang w:val="en_US" w:bidi="en_US"/>
        </w:rPr>
        <w:t>There are parallel passages for this section in Matthew 9:27–31, 20:29–34 and Mark 10:46–52.</w:t>
      </w:r>
    </w:p>
    <w:p>
      <w:pPr>
        <w:pStyle w:val="Heading5"/>
      </w:pPr>
      <w:r>
        <w:rPr>
          <w:lang w:val="en_US" w:bidi="en_US"/>
        </w:rPr>
        <w:t>18:43a</w:t>
      </w:r>
    </w:p>
    <w:p>
      <w:pPr/>
      <w:r>
        <w:rPr>
          <w:lang w:val="en_US" w:bidi="en_US"/>
        </w:rPr>
      </w:r>
      <w:r>
        <w:rPr>
          <w:b/>
          <w:lang w:val="en_US" w:bidi="en_US"/>
        </w:rPr>
        <w:t>Immediately he received his sight</w:t>
      </w:r>
    </w:p>
    <w:p>
      <w:pPr>
        <w:pStyle w:val="ListBullet"/>
        <w:spacing w:line="240" w:lineRule="auto"/>
        <w:ind w:left="720"/>
      </w:pPr>
      <w:r>
        <w:rPr>
          <w:lang w:val="en_US" w:bidi="en_US"/>
        </w:rPr>
      </w:r>
      <w:r>
        <w:rPr>
          <w:lang w:val="en_US" w:bidi="en_US"/>
        </w:rPr>
        <w:t>And instantly the blind man was able to see!</w:t>
      </w:r>
    </w:p>
    <w:p>
      <w:pPr>
        <w:pStyle w:val="ListBullet"/>
        <w:spacing w:line="240" w:lineRule="auto"/>
        <w:ind w:left="720"/>
      </w:pPr>
      <w:r>
        <w:rPr>
          <w:lang w:val="en_US" w:bidi="en_US"/>
        </w:rPr>
      </w:r>
      <w:r>
        <w:rPr>
          <w:lang w:val="en_US" w:bidi="en_US"/>
        </w:rPr>
        <w:t xml:space="preserve">As soon as </w:t>
      </w:r>
      <w:r>
        <w:rPr>
          <w:lang w:val="en_US" w:bidi="en_US"/>
        </w:rPr>
        <w:t>Jesus said that</w:t>
      </w:r>
      <w:r>
        <w:rPr>
          <w:lang w:val="en_US" w:bidi="en_US"/>
        </w:rPr>
        <w:t>, the blind man could see!</w:t>
      </w:r>
    </w:p>
    <w:p>
      <w:pPr/>
      <w:r>
        <w:rPr>
          <w:lang w:val="en_US" w:bidi="en_US"/>
        </w:rPr>
      </w:r>
      <w:r>
        <w:rPr>
          <w:b/>
          <w:lang w:val="en_US" w:bidi="en_US"/>
        </w:rPr>
        <w:t>Immediately he received his sight:</w:t>
      </w:r>
      <w:r>
        <w:rPr>
          <w:lang w:val="en_US" w:bidi="en_US"/>
        </w:rPr>
        <w:t xml:space="preserve"> The word </w:t>
      </w:r>
      <w:r>
        <w:rPr>
          <w:i/>
          <w:lang w:val="en_US" w:bidi="en_US"/>
        </w:rPr>
        <w:t>Immediately</w:t>
      </w:r>
      <w:r>
        <w:rPr>
          <w:lang w:val="en_US" w:bidi="en_US"/>
        </w:rPr>
        <w:t xml:space="preserve"> can also be translated as “at once,” “instantly,” or “right away.” The Greek word that is translated by the phrase </w:t>
      </w:r>
      <w:r>
        <w:rPr>
          <w:i/>
          <w:lang w:val="en_US" w:bidi="en_US"/>
        </w:rPr>
        <w:t>he received his sight</w:t>
      </w:r>
      <w:r>
        <w:rPr>
          <w:lang w:val="en_US" w:bidi="en_US"/>
        </w:rPr>
        <w:t xml:space="preserve"> is another form of the word that the blind man used when he said “let me </w:t>
      </w:r>
      <w:r>
        <w:rPr>
          <w:u w:val="single"/>
          <w:lang w:val="en_US" w:bidi="en_US"/>
        </w:rPr>
        <w:t>see again</w:t>
      </w:r>
      <w:r>
        <w:rPr>
          <w:lang w:val="en_US" w:bidi="en_US"/>
        </w:rPr>
        <w:t>” in 18:41b. Here it means “the blind man saw.” He was blind but then he could see. Other ways to translate this clause are:</w:t>
      </w:r>
    </w:p>
    <w:p>
      <w:pPr/>
      <w:r>
        <w:rPr>
          <w:lang w:val="en_US" w:bidi="en_US"/>
        </w:rPr>
      </w:r>
      <w:r>
        <w:rPr>
          <w:lang w:val="en_US" w:bidi="en_US"/>
        </w:rPr>
        <w:t>At once the man was able to see (NCV)</w:t>
      </w:r>
    </w:p>
    <w:p>
      <w:pPr/>
      <w:r>
        <w:rPr>
          <w:lang w:val="en_US" w:bidi="en_US"/>
        </w:rPr>
      </w:r>
      <w:r>
        <w:rPr>
          <w:lang w:val="en_US" w:bidi="en_US"/>
        </w:rPr>
        <w:t>And immediately he regained his sight (NET)</w:t>
      </w:r>
    </w:p>
    <w:p>
      <w:pPr>
        <w:pStyle w:val="Heading5"/>
      </w:pPr>
      <w:r>
        <w:rPr>
          <w:lang w:val="en_US" w:bidi="en_US"/>
        </w:rPr>
        <w:t>18:43b</w:t>
      </w:r>
    </w:p>
    <w:p>
      <w:pPr/>
      <w:r>
        <w:rPr>
          <w:lang w:val="en_US" w:bidi="en_US"/>
        </w:rPr>
      </w:r>
      <w:r>
        <w:rPr>
          <w:b/>
          <w:lang w:val="en_US" w:bidi="en_US"/>
        </w:rPr>
        <w:t>and followed Jesus, glorifying God.</w:t>
      </w:r>
    </w:p>
    <w:p>
      <w:pPr>
        <w:pStyle w:val="ListBullet"/>
        <w:spacing w:line="240" w:lineRule="auto"/>
        <w:ind w:left="720"/>
      </w:pPr>
      <w:r>
        <w:rPr>
          <w:lang w:val="en_US" w:bidi="en_US"/>
        </w:rPr>
      </w:r>
      <w:r>
        <w:rPr>
          <w:lang w:val="en_US" w:bidi="en_US"/>
        </w:rPr>
        <w:t>He followed Jesus, and as he followed him, he praised God.</w:t>
      </w:r>
    </w:p>
    <w:p>
      <w:pPr>
        <w:pStyle w:val="ListBullet"/>
        <w:spacing w:line="240" w:lineRule="auto"/>
        <w:ind w:left="720"/>
      </w:pPr>
      <w:r>
        <w:rPr>
          <w:lang w:val="en_US" w:bidi="en_US"/>
        </w:rPr>
      </w:r>
      <w:r>
        <w:rPr>
          <w:lang w:val="en_US" w:bidi="en_US"/>
        </w:rPr>
        <w:t xml:space="preserve">He followed Jesus, saying, “God is great. </w:t>
      </w:r>
      <w:r>
        <w:rPr>
          <w:lang w:val="en_US" w:bidi="en_US"/>
        </w:rPr>
        <w:t>He has made me able to see again</w:t>
      </w:r>
      <w:r>
        <w:rPr>
          <w:lang w:val="en_US" w:bidi="en_US"/>
        </w:rPr>
        <w:t>!”</w:t>
      </w:r>
    </w:p>
    <w:p>
      <w:pPr/>
      <w:r>
        <w:rPr>
          <w:lang w:val="en_US" w:bidi="en_US"/>
        </w:rPr>
      </w:r>
      <w:r>
        <w:rPr>
          <w:b/>
          <w:lang w:val="en_US" w:bidi="en_US"/>
        </w:rPr>
        <w:t>and followed Jesus:</w:t>
      </w:r>
      <w:r>
        <w:rPr>
          <w:lang w:val="en_US" w:bidi="en_US"/>
        </w:rPr>
        <w:t xml:space="preserve"> The blind man began to walk along the road to Jerusalem with Jesus and the rest of the crowd. The verb </w:t>
      </w:r>
      <w:r>
        <w:rPr>
          <w:i/>
          <w:lang w:val="en_US" w:bidi="en_US"/>
        </w:rPr>
        <w:t>followed</w:t>
      </w:r>
      <w:r>
        <w:rPr>
          <w:lang w:val="en_US" w:bidi="en_US"/>
        </w:rPr>
        <w:t xml:space="preserve"> probably also implies that he became one of Jesus’ disciples.</w:t>
      </w:r>
    </w:p>
    <w:p>
      <w:pPr/>
      <w:r>
        <w:rPr>
          <w:lang w:val="en_US" w:bidi="en_US"/>
        </w:rPr>
      </w:r>
      <w:r>
        <w:rPr>
          <w:b/>
          <w:lang w:val="en_US" w:bidi="en_US"/>
        </w:rPr>
        <w:t>glorifying God:</w:t>
      </w:r>
      <w:r>
        <w:rPr>
          <w:lang w:val="en_US" w:bidi="en_US"/>
        </w:rPr>
        <w:t xml:space="preserve"> In some languages it may be natural to translate this as direct speech. For example:</w:t>
      </w:r>
    </w:p>
    <w:p>
      <w:pPr/>
      <w:r>
        <w:rPr>
          <w:lang w:val="en_US" w:bidi="en_US"/>
        </w:rPr>
      </w:r>
      <w:r>
        <w:rPr>
          <w:lang w:val="en_US" w:bidi="en_US"/>
        </w:rPr>
        <w:t>shouting, “Glory be to God!”</w:t>
      </w:r>
    </w:p>
    <w:p>
      <w:pPr/>
      <w:r>
        <w:rPr>
          <w:lang w:val="en_US" w:bidi="en_US"/>
        </w:rPr>
      </w:r>
      <w:r>
        <w:rPr>
          <w:lang w:val="en_US" w:bidi="en_US"/>
        </w:rPr>
        <w:t>he was</w:t>
      </w:r>
      <w:r>
        <w:rPr>
          <w:lang w:val="en_US" w:bidi="en_US"/>
        </w:rPr>
        <w:t xml:space="preserve"> exclaiming, “God is great/good!”</w:t>
      </w:r>
    </w:p>
    <w:p>
      <w:pPr>
        <w:pStyle w:val="Heading5"/>
      </w:pPr>
      <w:r>
        <w:rPr>
          <w:lang w:val="en_US" w:bidi="en_US"/>
        </w:rPr>
        <w:t>18:43c</w:t>
      </w:r>
    </w:p>
    <w:p>
      <w:pPr/>
      <w:r>
        <w:rPr>
          <w:lang w:val="en_US" w:bidi="en_US"/>
        </w:rPr>
      </w:r>
      <w:r>
        <w:rPr>
          <w:b/>
          <w:lang w:val="en_US" w:bidi="en_US"/>
        </w:rPr>
        <w:t>And all the people who saw this gave praise to God.</w:t>
      </w:r>
    </w:p>
    <w:p>
      <w:pPr>
        <w:pStyle w:val="ListBullet"/>
        <w:spacing w:line="240" w:lineRule="auto"/>
        <w:ind w:left="720"/>
      </w:pPr>
      <w:r>
        <w:rPr>
          <w:lang w:val="en_US" w:bidi="en_US"/>
        </w:rPr>
      </w:r>
      <w:r>
        <w:rPr>
          <w:lang w:val="en_US" w:bidi="en_US"/>
        </w:rPr>
        <w:t>When all the people saw what had happened, they also praised God.</w:t>
      </w:r>
    </w:p>
    <w:p>
      <w:pPr>
        <w:pStyle w:val="ListBullet"/>
        <w:spacing w:line="240" w:lineRule="auto"/>
        <w:ind w:left="720"/>
      </w:pPr>
      <w:r>
        <w:rPr>
          <w:lang w:val="en_US" w:bidi="en_US"/>
        </w:rPr>
      </w:r>
      <w:r>
        <w:rPr>
          <w:lang w:val="en_US" w:bidi="en_US"/>
        </w:rPr>
        <w:t xml:space="preserve">And when all the </w:t>
      </w:r>
      <w:r>
        <w:rPr>
          <w:lang w:val="en_US" w:bidi="en_US"/>
        </w:rPr>
        <w:t>other</w:t>
      </w:r>
      <w:r>
        <w:rPr>
          <w:lang w:val="en_US" w:bidi="en_US"/>
        </w:rPr>
        <w:t xml:space="preserve"> people </w:t>
      </w:r>
      <w:r>
        <w:rPr>
          <w:lang w:val="en_US" w:bidi="en_US"/>
        </w:rPr>
        <w:t>realized</w:t>
      </w:r>
      <w:r>
        <w:rPr>
          <w:lang w:val="en_US" w:bidi="en_US"/>
        </w:rPr>
        <w:t xml:space="preserve"> that the blind beggar could see again, they said, “God has done great things!”</w:t>
      </w:r>
    </w:p>
    <w:p>
      <w:pPr/>
      <w:r>
        <w:rPr>
          <w:lang w:val="en_US" w:bidi="en_US"/>
        </w:rPr>
      </w:r>
      <w:r>
        <w:rPr>
          <w:b/>
          <w:lang w:val="en_US" w:bidi="en_US"/>
        </w:rPr>
        <w:t>all the people:</w:t>
      </w:r>
      <w:r>
        <w:rPr>
          <w:lang w:val="en_US" w:bidi="en_US"/>
        </w:rPr>
        <w:t xml:space="preserve"> The phrase </w:t>
      </w:r>
      <w:r>
        <w:rPr>
          <w:i/>
          <w:lang w:val="en_US" w:bidi="en_US"/>
        </w:rPr>
        <w:t>all the people</w:t>
      </w:r>
      <w:r>
        <w:rPr>
          <w:lang w:val="en_US" w:bidi="en_US"/>
        </w:rPr>
        <w:t xml:space="preserve"> refers to the others who were in the crowd and saw what had happened. They realized that Jesus had healed the blind man and that now he was able to see. Luke is using the word </w:t>
      </w:r>
      <w:r>
        <w:rPr>
          <w:i/>
          <w:lang w:val="en_US" w:bidi="en_US"/>
        </w:rPr>
        <w:t>all</w:t>
      </w:r>
      <w:r>
        <w:rPr>
          <w:lang w:val="en_US" w:bidi="en_US"/>
        </w:rPr>
        <w:t xml:space="preserve"> for emphasis. This word does not refer literally to everyone in the crowd. Another way to translate this is:</w:t>
      </w:r>
    </w:p>
    <w:p>
      <w:pPr/>
      <w:r>
        <w:rPr>
          <w:lang w:val="en_US" w:bidi="en_US"/>
        </w:rPr>
      </w:r>
      <w:r>
        <w:rPr>
          <w:lang w:val="en_US" w:bidi="en_US"/>
        </w:rPr>
        <w:t>Many people saw what had happened. They also praised God. (EASY)</w:t>
      </w:r>
    </w:p>
    <w:p>
      <w:pPr/>
      <w:r>
        <w:rPr>
          <w:lang w:val="en_US" w:bidi="en_US"/>
        </w:rPr>
      </w:r>
      <w:r>
        <w:rPr>
          <w:b/>
          <w:lang w:val="en_US" w:bidi="en_US"/>
        </w:rPr>
        <w:t>gave praise to God:</w:t>
      </w:r>
      <w:r>
        <w:rPr>
          <w:lang w:val="en_US" w:bidi="en_US"/>
        </w:rPr>
        <w:t xml:space="preserve"> In some languages it may be natural to translate this as direct speech. For example:</w:t>
      </w:r>
    </w:p>
    <w:p>
      <w:pPr/>
      <w:r>
        <w:rPr>
          <w:lang w:val="en_US" w:bidi="en_US"/>
        </w:rPr>
      </w:r>
      <w:r>
        <w:rPr>
          <w:lang w:val="en_US" w:bidi="en_US"/>
        </w:rPr>
        <w:t>they also shouted, “Praise God!”</w:t>
      </w:r>
    </w:p>
    <w:p>
      <w:pPr/>
      <w:r>
        <w:rPr>
          <w:lang w:val="en_US" w:bidi="en_US"/>
        </w:rPr>
      </w:r>
      <w:r>
        <w:rPr>
          <w:lang w:val="en_US" w:bidi="en_US"/>
        </w:rPr>
        <w:t>they also said, “God is great!”</w:t>
      </w:r>
    </w:p>
    <w:p>
      <w:pPr>
        <w:pStyle w:val="Heading6"/>
      </w:pPr>
      <w:r>
        <w:rPr>
          <w:b/>
          <w:lang w:val="en_US" w:bidi="en_US"/>
        </w:rPr>
        <w:t>General Comment on 18:36–43</w:t>
      </w:r>
    </w:p>
    <w:p>
      <w:pPr/>
      <w:r>
        <w:rPr>
          <w:lang w:val="en_US" w:bidi="en_US"/>
        </w:rPr>
      </w:r>
      <w:r>
        <w:rPr>
          <w:lang w:val="en_US" w:bidi="en_US"/>
        </w:rPr>
        <w:t>These verses relate conversations between the blind man and the crowd, Jesus and the crowd, and Jesus and the blind man. The conversations contain a mixture of direct and indirect speech. Consider if it is natural in your language to mix direct and indirect speech in this way. If it is not natural, you may wish to use direct speech for everything that is said. An example of direct speech is given for each verse part in the Display, beginning at 18:36a.</w:t>
      </w:r>
      <w:r>
        <w:rPr>
          <w:lang w:val="en_US" w:bidi="en_US"/>
        </w:rPr>
      </w:r>
      <w:r>
        <w:rPr>
          <w:lang w:val="en_US" w:bidi="en_US"/>
        </w:rPr>
      </w:r>
    </w:p>
    <w:p>
      <w:pPr/>
      <w:r>
        <w:rPr>
          <w:lang w:val="en_US" w:bidi="en_US"/>
        </w:rPr>
      </w:r>
    </w:p>
    <w:p>
      <w:pPr>
        <w:pStyle w:val="Heading2"/>
      </w:pPr>
      <w:r>
        <w:rPr>
          <w:lang w:val="en_US" w:bidi="en_US"/>
        </w:rPr>
        <w:t>Luke 19:1</w:t>
      </w:r>
      <w:r>
        <w:rPr>
          <w:lang w:val="en_US" w:bidi="en_US"/>
        </w:rPr>
      </w:r>
    </w:p>
    <w:p>
      <w:pPr>
        <w:pStyle w:val="Heading4"/>
      </w:pPr>
      <w:r>
        <w:rPr>
          <w:lang w:val="en_US" w:bidi="en_US"/>
        </w:rPr>
        <w:t>Section 19:1–10: Zacchaeus the tax collector began to follow Jesus</w:t>
      </w:r>
    </w:p>
    <w:p>
      <w:pPr/>
      <w:r>
        <w:rPr>
          <w:lang w:val="en_US" w:bidi="en_US"/>
        </w:rPr>
      </w:r>
      <w:r>
        <w:rPr>
          <w:lang w:val="en_US" w:bidi="en_US"/>
        </w:rPr>
        <w:t>In the preceding section Jesus was approaching Jericho. In this section he entered Jericho and met a tax collector named Zacchaeus.</w:t>
      </w:r>
    </w:p>
    <w:p>
      <w:pPr/>
      <w:r>
        <w:rPr>
          <w:lang w:val="en_US" w:bidi="en_US"/>
        </w:rPr>
      </w:r>
      <w:r>
        <w:rPr>
          <w:lang w:val="en_US" w:bidi="en_US"/>
        </w:rPr>
        <w:t>The Jews thought that the tax collectors were more sinful than other people. Most tax collectors cheated their own Jewish people by charging them more money than they actually owed. The tax collectors also worked with government officials who were not Jews, so the Jews assumed that tax collectors were often ritually unclean. While they were ritually unclean, they were not able to enter the temple or synagogue to worship God publicly. If another Jew entered a tax collector’s house or ate with him while he was unclean, that Jew also would become unclean.</w:t>
      </w:r>
    </w:p>
    <w:p>
      <w:pPr/>
      <w:r>
        <w:rPr>
          <w:lang w:val="en_US" w:bidi="en_US"/>
        </w:rPr>
      </w:r>
      <w:r>
        <w:rPr>
          <w:lang w:val="en_US" w:bidi="en_US"/>
        </w:rPr>
        <w:t>The city of Jericho, where Zacchaeus worked, was a busy trading center. People were required to pay taxes on things that they sold. A chief tax collector like Zacchaeus could easily become rich through collecting taxes there.</w:t>
      </w:r>
      <w:r>
        <w:rPr>
          <w:lang w:val="en_US" w:bidi="en_US"/>
        </w:rPr>
        <w:t>Keener (p. 240) says: “Being a border city, Jericho had a customs station. Because it was also one of the wealthiest cities of Palestine, in the most fertile part of Judea and boasting a Herodian palace, other tax income would also be extensive. The ‘chief’ tax gatherer would be the one who contracted for sales and customs taxes and hired collectors under him. Given this role, Zacchaeus could have become rich without cheating; but it seems that he had cheated anyway (19:8).” However, it was often difficult for people to pay these taxes, and high taxes caused many of them to remain poor. That may have been a reason why Zacchaeus promised Jesus that he would give half of his possessions to poor people (19:8).</w:t>
      </w:r>
    </w:p>
    <w:p>
      <w:pPr/>
      <w:r>
        <w:rPr>
          <w:lang w:val="en_US" w:bidi="en_US"/>
        </w:rPr>
      </w:r>
      <w:r>
        <w:rPr>
          <w:lang w:val="en_US" w:bidi="en_US"/>
        </w:rPr>
        <w:t>You may want to include footnotes in your translation to help readers understand this background information. Suggested footnotes are given at 19:2b, Paragraph 19:5–7, and 19:7b.</w:t>
      </w:r>
    </w:p>
    <w:p>
      <w:pPr/>
      <w:r>
        <w:rPr>
          <w:lang w:val="en_US" w:bidi="en_US"/>
        </w:rPr>
      </w:r>
      <w:r>
        <w:rPr>
          <w:lang w:val="en_US" w:bidi="en_US"/>
        </w:rPr>
        <w:t>Jesus was a Jew, but he went to Zacchaeus’ house and ate a meal with him. During that time, Zacchaeus repented of his sins and received salvation.</w:t>
      </w:r>
    </w:p>
    <w:p>
      <w:pPr/>
      <w:r>
        <w:rPr>
          <w:lang w:val="en_US" w:bidi="en_US"/>
        </w:rPr>
      </w:r>
      <w:r>
        <w:rPr>
          <w:lang w:val="en_US" w:bidi="en_US"/>
        </w:rPr>
        <w:t>Other examples of headings for this section are:</w:t>
      </w:r>
    </w:p>
    <w:p>
      <w:pPr/>
      <w:r>
        <w:rPr>
          <w:lang w:val="en_US" w:bidi="en_US"/>
        </w:rPr>
      </w:r>
      <w:r>
        <w:rPr>
          <w:lang w:val="en_US" w:bidi="en_US"/>
        </w:rPr>
        <w:t>Jesus and Zacchaeus (GNT)</w:t>
      </w:r>
    </w:p>
    <w:p>
      <w:pPr/>
      <w:r>
        <w:rPr>
          <w:lang w:val="en_US" w:bidi="en_US"/>
        </w:rPr>
      </w:r>
      <w:r>
        <w:rPr>
          <w:lang w:val="en_US" w:bidi="en_US"/>
        </w:rPr>
        <w:t>Jesus went to Zacchaeus’ house</w:t>
      </w:r>
    </w:p>
    <w:p>
      <w:pPr/>
      <w:r>
        <w:rPr>
          <w:lang w:val="en_US" w:bidi="en_US"/>
        </w:rPr>
      </w:r>
      <w:r>
        <w:rPr>
          <w:lang w:val="en_US" w:bidi="en_US"/>
        </w:rPr>
        <w:t>Jesus ate with Zacchaeus the tax collector</w:t>
      </w:r>
    </w:p>
    <w:p>
      <w:pPr/>
      <w:r>
        <w:rPr>
          <w:lang w:val="en_US" w:bidi="en_US"/>
        </w:rPr>
      </w:r>
      <w:r>
        <w:rPr>
          <w:lang w:val="en_US" w:bidi="en_US"/>
        </w:rPr>
        <w:t>Only the Gospel of Luke tells about this event. The other gospels do not mention it.</w:t>
      </w:r>
    </w:p>
    <w:p>
      <w:pPr>
        <w:pStyle w:val="Heading5"/>
      </w:pPr>
      <w:r>
        <w:rPr>
          <w:lang w:val="en_US" w:bidi="en_US"/>
        </w:rPr>
        <w:t>19:1</w:t>
      </w:r>
    </w:p>
    <w:p>
      <w:pPr/>
      <w:r>
        <w:rPr>
          <w:lang w:val="en_US" w:bidi="en_US"/>
        </w:rPr>
      </w:r>
      <w:r>
        <w:rPr>
          <w:b/>
          <w:lang w:val="en_US" w:bidi="en_US"/>
        </w:rPr>
        <w:t>Then Jesus entered Jericho and was passing through.</w:t>
      </w:r>
    </w:p>
    <w:p>
      <w:pPr>
        <w:pStyle w:val="ListBullet"/>
        <w:spacing w:line="240" w:lineRule="auto"/>
        <w:ind w:left="720"/>
      </w:pPr>
      <w:r>
        <w:rPr>
          <w:lang w:val="en_US" w:bidi="en_US"/>
        </w:rPr>
      </w:r>
      <w:r>
        <w:rPr>
          <w:lang w:val="en_US" w:bidi="en_US"/>
        </w:rPr>
        <w:t xml:space="preserve">¶ Jesus went into Jericho and continued on his way through </w:t>
      </w:r>
      <w:r>
        <w:rPr>
          <w:lang w:val="en_US" w:bidi="en_US"/>
        </w:rPr>
        <w:t>the city</w:t>
      </w:r>
      <w:r>
        <w:rPr>
          <w:lang w:val="en_US" w:bidi="en_US"/>
        </w:rPr>
        <w:t>.</w:t>
      </w:r>
    </w:p>
    <w:p>
      <w:pPr>
        <w:pStyle w:val="ListBullet"/>
        <w:spacing w:line="240" w:lineRule="auto"/>
        <w:ind w:left="720"/>
      </w:pPr>
      <w:r>
        <w:rPr>
          <w:lang w:val="en_US" w:bidi="en_US"/>
        </w:rPr>
      </w:r>
      <w:r>
        <w:rPr>
          <w:lang w:val="en_US" w:bidi="en_US"/>
        </w:rPr>
        <w:t xml:space="preserve">¶ Then Jesus arrived in </w:t>
      </w:r>
      <w:r>
        <w:rPr>
          <w:lang w:val="en_US" w:bidi="en_US"/>
        </w:rPr>
        <w:t>the city of</w:t>
      </w:r>
      <w:r>
        <w:rPr>
          <w:lang w:val="en_US" w:bidi="en_US"/>
        </w:rPr>
        <w:t xml:space="preserve"> Jericho and began to walk through it.</w:t>
      </w:r>
    </w:p>
    <w:p>
      <w:pPr/>
      <w:r>
        <w:rPr>
          <w:lang w:val="en_US" w:bidi="en_US"/>
        </w:rPr>
      </w:r>
      <w:r>
        <w:rPr>
          <w:b/>
          <w:lang w:val="en_US" w:bidi="en_US"/>
        </w:rPr>
        <w:t>Then:</w:t>
      </w:r>
      <w:r>
        <w:rPr>
          <w:lang w:val="en_US" w:bidi="en_US"/>
        </w:rPr>
        <w:t xml:space="preserve"> This verse begins a new section. The events in this section probably happened soon after the events in the preceding section. In some languages it may be helpful to introduce this story with a time word or phrase. The BSB does that by translating the Greek conjunction at the start of the verse as </w:t>
      </w:r>
      <w:r>
        <w:rPr>
          <w:i/>
          <w:lang w:val="en_US" w:bidi="en_US"/>
        </w:rPr>
        <w:t>Then</w:t>
      </w:r>
      <w:r>
        <w:rPr>
          <w:lang w:val="en_US" w:bidi="en_US"/>
        </w:rPr>
        <w:t>. Some other ways to do this in English are:</w:t>
      </w:r>
    </w:p>
    <w:p>
      <w:pPr/>
      <w:r>
        <w:rPr>
          <w:lang w:val="en_US" w:bidi="en_US"/>
        </w:rPr>
      </w:r>
      <w:r>
        <w:rPr>
          <w:lang w:val="en_US" w:bidi="en_US"/>
        </w:rPr>
        <w:t>Soon after that</w:t>
      </w:r>
    </w:p>
    <w:p>
      <w:pPr/>
      <w:r>
        <w:rPr>
          <w:lang w:val="en_US" w:bidi="en_US"/>
        </w:rPr>
      </w:r>
      <w:r>
        <w:rPr>
          <w:lang w:val="en_US" w:bidi="en_US"/>
        </w:rPr>
        <w:t>After that</w:t>
      </w:r>
    </w:p>
    <w:p>
      <w:pPr/>
      <w:r>
        <w:rPr>
          <w:lang w:val="en_US" w:bidi="en_US"/>
        </w:rPr>
      </w:r>
      <w:r>
        <w:rPr>
          <w:b/>
          <w:lang w:val="en_US" w:bidi="en_US"/>
        </w:rPr>
        <w:t>Jesus entered Jericho and was passing through:</w:t>
      </w:r>
      <w:r>
        <w:rPr>
          <w:lang w:val="en_US" w:bidi="en_US"/>
        </w:rPr>
        <w:t xml:space="preserve"> Jesus went through Jericho on his way to Jerusalem. The Greek verb that the BSB translates as </w:t>
      </w:r>
      <w:r>
        <w:rPr>
          <w:i/>
          <w:lang w:val="en_US" w:bidi="en_US"/>
        </w:rPr>
        <w:t>was passing through</w:t>
      </w:r>
      <w:r>
        <w:rPr>
          <w:lang w:val="en_US" w:bidi="en_US"/>
        </w:rPr>
        <w:t xml:space="preserve"> indicates that Jesus had begun to walk through Jericho but he had not left the city yet. Here are some other ways to translate </w:t>
      </w:r>
      <w:r>
        <w:rPr>
          <w:i/>
          <w:lang w:val="en_US" w:bidi="en_US"/>
        </w:rPr>
        <w:t>was passing through</w:t>
      </w:r>
      <w:r>
        <w:rPr>
          <w:lang w:val="en_US" w:bidi="en_US"/>
        </w:rPr>
        <w:t xml:space="preserve"> in this context:</w:t>
      </w:r>
    </w:p>
    <w:p>
      <w:pPr/>
      <w:r>
        <w:rPr>
          <w:lang w:val="en_US" w:bidi="en_US"/>
        </w:rPr>
      </w:r>
      <w:r>
        <w:rPr>
          <w:lang w:val="en_US" w:bidi="en_US"/>
        </w:rPr>
        <w:t>Jesus was going through Jericho… (CEV)</w:t>
      </w:r>
    </w:p>
    <w:p>
      <w:pPr/>
      <w:r>
        <w:rPr>
          <w:lang w:val="en_US" w:bidi="en_US"/>
        </w:rPr>
      </w:r>
      <w:r>
        <w:rPr>
          <w:lang w:val="en_US" w:bidi="en_US"/>
        </w:rPr>
        <w:t>Entering Jericho he made his way through the city. (REB)</w:t>
      </w:r>
    </w:p>
    <w:p>
      <w:pPr/>
      <w:r>
        <w:rPr>
          <w:lang w:val="en_US" w:bidi="en_US"/>
        </w:rPr>
      </w:r>
      <w:r>
        <w:rPr>
          <w:lang w:val="en_US" w:bidi="en_US"/>
        </w:rPr>
        <w:t>Jesus went into Jericho and had not walked out yet.</w:t>
      </w:r>
    </w:p>
    <w:p>
      <w:pPr/>
      <w:r>
        <w:rPr>
          <w:lang w:val="en_US" w:bidi="en_US"/>
        </w:rPr>
      </w:r>
      <w:r>
        <w:rPr>
          <w:b/>
          <w:lang w:val="en_US" w:bidi="en_US"/>
        </w:rPr>
        <w:t>Jesus:</w:t>
      </w:r>
      <w:r>
        <w:rPr>
          <w:lang w:val="en_US" w:bidi="en_US"/>
        </w:rPr>
        <w:t xml:space="preserve"> Since this is a new section, the BSB uses Jesus’ name to refer to him. The name also distinguishes Jesus from the blind man, who was the subject in 18:43. The Greek text has “he.” The RSV and several other English versions use this pronoun rather than the name “Jesus.” Refer to Jesus here in a natural way in your language.</w:t>
      </w:r>
    </w:p>
    <w:p>
      <w:pPr/>
      <w:r>
        <w:rPr>
          <w:lang w:val="en_US" w:bidi="en_US"/>
        </w:rPr>
      </w:r>
      <w:r>
        <w:rPr>
          <w:lang w:val="en_US" w:bidi="en_US"/>
        </w:rPr>
        <w:t>Jesus was still traveling with his disciples and a crowd of people. In some languages it may be necessary to include that information here. For example:</w:t>
      </w:r>
    </w:p>
    <w:p>
      <w:pPr/>
      <w:r>
        <w:rPr>
          <w:lang w:val="en_US" w:bidi="en_US"/>
        </w:rPr>
      </w:r>
      <w:r>
        <w:rPr>
          <w:lang w:val="en_US" w:bidi="en_US"/>
        </w:rPr>
        <w:t>And Jesus and company arrived</w:t>
      </w:r>
      <w:r>
        <w:rPr>
          <w:lang w:val="en_US" w:bidi="en_US"/>
        </w:rPr>
        <w:t>Western Bukidnon Manobo back translation on TW.</w:t>
      </w:r>
    </w:p>
    <w:p>
      <w:pPr/>
      <w:r>
        <w:rPr>
          <w:lang w:val="en_US" w:bidi="en_US"/>
        </w:rPr>
      </w:r>
      <w:r>
        <w:rPr>
          <w:lang w:val="en_US" w:bidi="en_US"/>
        </w:rPr>
        <w:t xml:space="preserve">Jesus </w:t>
      </w:r>
      <w:r>
        <w:rPr>
          <w:lang w:val="en_US" w:bidi="en_US"/>
        </w:rPr>
        <w:t>and his disciples/followers</w:t>
      </w:r>
    </w:p>
    <w:p>
      <w:pPr/>
      <w:r>
        <w:rPr>
          <w:lang w:val="en_US" w:bidi="en_US"/>
        </w:rPr>
      </w:r>
      <w:r>
        <w:rPr>
          <w:b/>
          <w:lang w:val="en_US" w:bidi="en_US"/>
        </w:rPr>
        <w:t>Jericho:</w:t>
      </w:r>
      <w:r>
        <w:rPr>
          <w:lang w:val="en_US" w:bidi="en_US"/>
        </w:rPr>
        <w:t xml:space="preserve"> </w:t>
      </w:r>
      <w:r>
        <w:rPr>
          <w:i/>
          <w:lang w:val="en_US" w:bidi="en_US"/>
        </w:rPr>
        <w:t>Jericho</w:t>
      </w:r>
      <w:r>
        <w:rPr>
          <w:lang w:val="en_US" w:bidi="en_US"/>
        </w:rPr>
        <w:t xml:space="preserve"> was the name of a city that was northeast of Jerusalem. For more information, see the note in 18:35a.</w:t>
      </w:r>
      <w:r>
        <w:rPr>
          <w:lang w:val="en_US" w:bidi="en_US"/>
        </w:rPr>
      </w:r>
      <w:r>
        <w:rPr>
          <w:lang w:val="en_US" w:bidi="en_US"/>
        </w:rPr>
      </w:r>
    </w:p>
    <w:p>
      <w:pPr/>
      <w:r>
        <w:rPr>
          <w:lang w:val="en_US" w:bidi="en_US"/>
        </w:rPr>
      </w:r>
    </w:p>
    <w:p>
      <w:pPr>
        <w:pStyle w:val="Heading2"/>
      </w:pPr>
      <w:r>
        <w:rPr>
          <w:lang w:val="en_US" w:bidi="en_US"/>
        </w:rPr>
        <w:t>Luke 19:2</w:t>
      </w:r>
      <w:r>
        <w:rPr>
          <w:lang w:val="en_US" w:bidi="en_US"/>
        </w:rPr>
      </w:r>
    </w:p>
    <w:p>
      <w:pPr>
        <w:pStyle w:val="Heading4"/>
      </w:pPr>
      <w:r>
        <w:rPr>
          <w:lang w:val="en_US" w:bidi="en_US"/>
        </w:rPr>
        <w:t>Section 19:1–10: Zacchaeus the tax collector began to follow Jesus</w:t>
      </w:r>
    </w:p>
    <w:p>
      <w:pPr/>
      <w:r>
        <w:rPr>
          <w:lang w:val="en_US" w:bidi="en_US"/>
        </w:rPr>
      </w:r>
      <w:r>
        <w:rPr>
          <w:lang w:val="en_US" w:bidi="en_US"/>
        </w:rPr>
        <w:t>In the preceding section Jesus was approaching Jericho. In this section he entered Jericho and met a tax collector named Zacchaeus.</w:t>
      </w:r>
    </w:p>
    <w:p>
      <w:pPr/>
      <w:r>
        <w:rPr>
          <w:lang w:val="en_US" w:bidi="en_US"/>
        </w:rPr>
      </w:r>
      <w:r>
        <w:rPr>
          <w:lang w:val="en_US" w:bidi="en_US"/>
        </w:rPr>
        <w:t>The Jews thought that the tax collectors were more sinful than other people. Most tax collectors cheated their own Jewish people by charging them more money than they actually owed. The tax collectors also worked with government officials who were not Jews, so the Jews assumed that tax collectors were often ritually unclean. While they were ritually unclean, they were not able to enter the temple or synagogue to worship God publicly. If another Jew entered a tax collector’s house or ate with him while he was unclean, that Jew also would become unclean.</w:t>
      </w:r>
    </w:p>
    <w:p>
      <w:pPr/>
      <w:r>
        <w:rPr>
          <w:lang w:val="en_US" w:bidi="en_US"/>
        </w:rPr>
      </w:r>
      <w:r>
        <w:rPr>
          <w:lang w:val="en_US" w:bidi="en_US"/>
        </w:rPr>
        <w:t>The city of Jericho, where Zacchaeus worked, was a busy trading center. People were required to pay taxes on things that they sold. A chief tax collector like Zacchaeus could easily become rich through collecting taxes there.</w:t>
      </w:r>
      <w:r>
        <w:rPr>
          <w:lang w:val="en_US" w:bidi="en_US"/>
        </w:rPr>
        <w:t>Keener (p. 240) says: “Being a border city, Jericho had a customs station. Because it was also one of the wealthiest cities of Palestine, in the most fertile part of Judea and boasting a Herodian palace, other tax income would also be extensive. The ‘chief’ tax gatherer would be the one who contracted for sales and customs taxes and hired collectors under him. Given this role, Zacchaeus could have become rich without cheating; but it seems that he had cheated anyway (19:8).” However, it was often difficult for people to pay these taxes, and high taxes caused many of them to remain poor. That may have been a reason why Zacchaeus promised Jesus that he would give half of his possessions to poor people (19:8).</w:t>
      </w:r>
    </w:p>
    <w:p>
      <w:pPr/>
      <w:r>
        <w:rPr>
          <w:lang w:val="en_US" w:bidi="en_US"/>
        </w:rPr>
      </w:r>
      <w:r>
        <w:rPr>
          <w:lang w:val="en_US" w:bidi="en_US"/>
        </w:rPr>
        <w:t>You may want to include footnotes in your translation to help readers understand this background information. Suggested footnotes are given at 19:2b, Paragraph 19:5–7, and 19:7b.</w:t>
      </w:r>
    </w:p>
    <w:p>
      <w:pPr/>
      <w:r>
        <w:rPr>
          <w:lang w:val="en_US" w:bidi="en_US"/>
        </w:rPr>
      </w:r>
      <w:r>
        <w:rPr>
          <w:lang w:val="en_US" w:bidi="en_US"/>
        </w:rPr>
        <w:t>Jesus was a Jew, but he went to Zacchaeus’ house and ate a meal with him. During that time, Zacchaeus repented of his sins and received salvation.</w:t>
      </w:r>
    </w:p>
    <w:p>
      <w:pPr/>
      <w:r>
        <w:rPr>
          <w:lang w:val="en_US" w:bidi="en_US"/>
        </w:rPr>
      </w:r>
      <w:r>
        <w:rPr>
          <w:lang w:val="en_US" w:bidi="en_US"/>
        </w:rPr>
        <w:t>Other examples of headings for this section are:</w:t>
      </w:r>
    </w:p>
    <w:p>
      <w:pPr/>
      <w:r>
        <w:rPr>
          <w:lang w:val="en_US" w:bidi="en_US"/>
        </w:rPr>
      </w:r>
      <w:r>
        <w:rPr>
          <w:lang w:val="en_US" w:bidi="en_US"/>
        </w:rPr>
        <w:t>Jesus and Zacchaeus (GNT)</w:t>
      </w:r>
    </w:p>
    <w:p>
      <w:pPr/>
      <w:r>
        <w:rPr>
          <w:lang w:val="en_US" w:bidi="en_US"/>
        </w:rPr>
      </w:r>
      <w:r>
        <w:rPr>
          <w:lang w:val="en_US" w:bidi="en_US"/>
        </w:rPr>
        <w:t>Jesus went to Zacchaeus’ house</w:t>
      </w:r>
    </w:p>
    <w:p>
      <w:pPr/>
      <w:r>
        <w:rPr>
          <w:lang w:val="en_US" w:bidi="en_US"/>
        </w:rPr>
      </w:r>
      <w:r>
        <w:rPr>
          <w:lang w:val="en_US" w:bidi="en_US"/>
        </w:rPr>
        <w:t>Jesus ate with Zacchaeus the tax collector</w:t>
      </w:r>
    </w:p>
    <w:p>
      <w:pPr/>
      <w:r>
        <w:rPr>
          <w:lang w:val="en_US" w:bidi="en_US"/>
        </w:rPr>
      </w:r>
      <w:r>
        <w:rPr>
          <w:lang w:val="en_US" w:bidi="en_US"/>
        </w:rPr>
        <w:t>Only the Gospel of Luke tells about this event. The other gospels do not mention it.</w:t>
      </w:r>
    </w:p>
    <w:p>
      <w:pPr>
        <w:pStyle w:val="Heading5"/>
      </w:pPr>
      <w:r>
        <w:rPr>
          <w:lang w:val="en_US" w:bidi="en_US"/>
        </w:rPr>
        <w:t>19:2a</w:t>
      </w:r>
    </w:p>
    <w:p>
      <w:pPr/>
      <w:r>
        <w:rPr>
          <w:lang w:val="en_US" w:bidi="en_US"/>
        </w:rPr>
      </w:r>
      <w:r>
        <w:rPr>
          <w:b/>
          <w:lang w:val="en_US" w:bidi="en_US"/>
        </w:rPr>
        <w:t>And there was a man named Zacchaeus,</w:t>
      </w:r>
    </w:p>
    <w:p>
      <w:pPr>
        <w:pStyle w:val="ListBullet"/>
        <w:spacing w:line="240" w:lineRule="auto"/>
        <w:ind w:left="720"/>
      </w:pPr>
      <w:r>
        <w:rPr>
          <w:lang w:val="en_US" w:bidi="en_US"/>
        </w:rPr>
      </w:r>
      <w:r>
        <w:rPr>
          <w:lang w:val="en_US" w:bidi="en_US"/>
        </w:rPr>
        <w:t>A man named Zacchaeus was/lived there.</w:t>
      </w:r>
    </w:p>
    <w:p>
      <w:pPr>
        <w:pStyle w:val="ListBullet"/>
        <w:spacing w:line="240" w:lineRule="auto"/>
        <w:ind w:left="720"/>
      </w:pPr>
      <w:r>
        <w:rPr>
          <w:lang w:val="en_US" w:bidi="en_US"/>
        </w:rPr>
      </w:r>
      <w:r>
        <w:rPr>
          <w:lang w:val="en_US" w:bidi="en_US"/>
        </w:rPr>
        <w:t xml:space="preserve">There was a man called Zacchaeus living in that </w:t>
      </w:r>
      <w:r>
        <w:rPr>
          <w:lang w:val="en_US" w:bidi="en_US"/>
        </w:rPr>
        <w:t>city</w:t>
      </w:r>
      <w:r>
        <w:rPr>
          <w:lang w:val="en_US" w:bidi="en_US"/>
        </w:rPr>
        <w:t>.</w:t>
      </w:r>
    </w:p>
    <w:p>
      <w:pPr/>
      <w:r>
        <w:rPr>
          <w:lang w:val="en_US" w:bidi="en_US"/>
        </w:rPr>
      </w:r>
      <w:r>
        <w:rPr>
          <w:b/>
          <w:lang w:val="en_US" w:bidi="en_US"/>
        </w:rPr>
        <w:t>And there was a man named Zacchaeus:</w:t>
      </w:r>
      <w:r>
        <w:rPr>
          <w:lang w:val="en_US" w:bidi="en_US"/>
        </w:rPr>
        <w:t xml:space="preserve"> This clause introduces a man named Zacchaeus, who is an important person in this section. In Greek the clause begins with a phrase that is sometimes translated as “And look!” or “And listen!” Use an expression that is natural in your language to introduce a new character and give his name. Some other ways to do this in English are:</w:t>
      </w:r>
    </w:p>
    <w:p>
      <w:pPr/>
      <w:r>
        <w:rPr>
          <w:lang w:val="en_US" w:bidi="en_US"/>
        </w:rPr>
      </w:r>
      <w:r>
        <w:rPr>
          <w:lang w:val="en_US" w:bidi="en_US"/>
        </w:rPr>
        <w:t>A man was there by the name of Zacchaeus… (NIV)</w:t>
      </w:r>
    </w:p>
    <w:p>
      <w:pPr/>
      <w:r>
        <w:rPr>
          <w:lang w:val="en_US" w:bidi="en_US"/>
        </w:rPr>
      </w:r>
      <w:r>
        <w:rPr>
          <w:lang w:val="en_US" w:bidi="en_US"/>
        </w:rPr>
        <w:t>A man named Zacchaeus lived there.</w:t>
      </w:r>
    </w:p>
    <w:p>
      <w:pPr>
        <w:pStyle w:val="Heading5"/>
      </w:pPr>
      <w:r>
        <w:rPr>
          <w:lang w:val="en_US" w:bidi="en_US"/>
        </w:rPr>
        <w:t>19:2b</w:t>
      </w:r>
    </w:p>
    <w:p>
      <w:pPr/>
      <w:r>
        <w:rPr>
          <w:lang w:val="en_US" w:bidi="en_US"/>
        </w:rPr>
      </w:r>
      <w:r>
        <w:rPr>
          <w:b/>
          <w:lang w:val="en_US" w:bidi="en_US"/>
        </w:rPr>
        <w:t>a chief tax collector, who was very wealthy.</w:t>
      </w:r>
    </w:p>
    <w:p>
      <w:pPr>
        <w:pStyle w:val="ListBullet"/>
        <w:spacing w:line="240" w:lineRule="auto"/>
        <w:ind w:left="720"/>
      </w:pPr>
      <w:r>
        <w:rPr>
          <w:lang w:val="en_US" w:bidi="en_US"/>
        </w:rPr>
      </w:r>
      <w:r>
        <w:rPr>
          <w:lang w:val="en_US" w:bidi="en_US"/>
        </w:rPr>
        <w:t xml:space="preserve">He was a leader of the tax collectors </w:t>
      </w:r>
      <w:r>
        <w:rPr>
          <w:lang w:val="en_US" w:bidi="en_US"/>
        </w:rPr>
        <w:t>at Jericho</w:t>
      </w:r>
      <w:r>
        <w:rPr>
          <w:lang w:val="en_US" w:bidi="en_US"/>
        </w:rPr>
        <w:t>, and he was rich.</w:t>
      </w:r>
    </w:p>
    <w:p>
      <w:pPr>
        <w:pStyle w:val="ListBullet"/>
        <w:spacing w:line="240" w:lineRule="auto"/>
        <w:ind w:left="720"/>
      </w:pPr>
      <w:r>
        <w:rPr>
          <w:lang w:val="en_US" w:bidi="en_US"/>
        </w:rPr>
      </w:r>
      <w:r>
        <w:rPr>
          <w:lang w:val="en_US" w:bidi="en_US"/>
        </w:rPr>
        <w:t xml:space="preserve">He was one of the leading/head men who collected money </w:t>
      </w:r>
      <w:r>
        <w:rPr>
          <w:lang w:val="en_US" w:bidi="en_US"/>
        </w:rPr>
        <w:t>from the people</w:t>
      </w:r>
      <w:r>
        <w:rPr>
          <w:lang w:val="en_US" w:bidi="en_US"/>
        </w:rPr>
        <w:t xml:space="preserve"> for the government, and he was a rich man.</w:t>
      </w:r>
    </w:p>
    <w:p>
      <w:pPr/>
      <w:r>
        <w:rPr>
          <w:lang w:val="en_US" w:bidi="en_US"/>
        </w:rPr>
      </w:r>
      <w:r>
        <w:rPr>
          <w:b/>
          <w:lang w:val="en_US" w:bidi="en_US"/>
        </w:rPr>
        <w:t>a chief tax collector:</w:t>
      </w:r>
      <w:r>
        <w:rPr>
          <w:lang w:val="en_US" w:bidi="en_US"/>
        </w:rPr>
        <w:t xml:space="preserve"> Zacchaeus was called a </w:t>
      </w:r>
      <w:r>
        <w:rPr>
          <w:u w:val="single"/>
          <w:lang w:val="en_US" w:bidi="en_US"/>
        </w:rPr>
        <w:t>chief</w:t>
      </w:r>
      <w:r>
        <w:rPr>
          <w:lang w:val="en_US" w:bidi="en_US"/>
        </w:rPr>
        <w:t xml:space="preserve"> tax collector. This implies that he had other tax collectors working under him. Other ways to translate </w:t>
      </w:r>
      <w:r>
        <w:rPr>
          <w:u w:val="single"/>
          <w:lang w:val="en_US" w:bidi="en_US"/>
        </w:rPr>
        <w:t>chief</w:t>
      </w:r>
      <w:r>
        <w:rPr>
          <w:lang w:val="en_US" w:bidi="en_US"/>
        </w:rPr>
        <w:t xml:space="preserve"> tax collector are:</w:t>
      </w:r>
    </w:p>
    <w:p>
      <w:pPr/>
      <w:r>
        <w:rPr>
          <w:lang w:val="en_US" w:bidi="en_US"/>
        </w:rPr>
      </w:r>
      <w:r>
        <w:rPr>
          <w:lang w:val="en_US" w:bidi="en_US"/>
        </w:rPr>
        <w:t>a principal tax collector</w:t>
      </w:r>
    </w:p>
    <w:p>
      <w:pPr/>
      <w:r>
        <w:rPr>
          <w:lang w:val="en_US" w:bidi="en_US"/>
        </w:rPr>
      </w:r>
      <w:r>
        <w:rPr>
          <w:lang w:val="en_US" w:bidi="en_US"/>
        </w:rPr>
        <w:t>a leader/head of the tax collectors</w:t>
      </w:r>
    </w:p>
    <w:p>
      <w:pPr/>
      <w:r>
        <w:rPr>
          <w:lang w:val="en_US" w:bidi="en_US"/>
        </w:rPr>
      </w:r>
      <w:r>
        <w:rPr>
          <w:b/>
          <w:lang w:val="en_US" w:bidi="en_US"/>
        </w:rPr>
        <w:t>tax collector:</w:t>
      </w:r>
      <w:r>
        <w:rPr>
          <w:lang w:val="en_US" w:bidi="en_US"/>
        </w:rPr>
        <w:t xml:space="preserve"> The term </w:t>
      </w:r>
      <w:r>
        <w:rPr>
          <w:i/>
          <w:lang w:val="en_US" w:bidi="en_US"/>
        </w:rPr>
        <w:t>tax collector</w:t>
      </w:r>
      <w:r>
        <w:rPr>
          <w:lang w:val="en_US" w:bidi="en_US"/>
        </w:rPr>
        <w:t xml:space="preserve"> refers here to men who collected tax money from people for a government. Zacchaeus was a Jewish man, but he collected taxes for the Roman government that often oppressed the people. Most Jewish people hated tax collectors like Zacchaeus because:</w:t>
      </w:r>
    </w:p>
    <w:p>
      <w:pPr>
        <w:pStyle w:val="ListNumber"/>
        <w:numPr>
          <w:ilvl w:val="0"/>
          <w:numId w:val="308"/>
        </w:numPr>
        <w:spacing w:line="240" w:lineRule="auto"/>
        <w:ind w:left="720"/>
      </w:pPr>
      <w:r>
        <w:rPr>
          <w:lang w:val="en_US" w:bidi="en_US"/>
        </w:rPr>
      </w:r>
      <w:r>
        <w:rPr>
          <w:lang w:val="en_US" w:bidi="en_US"/>
        </w:rPr>
        <w:t>They collected taxes for the Roman government that oppressed the people.</w:t>
      </w:r>
      <w:r>
        <w:rPr>
          <w:lang w:val="en_US" w:bidi="en_US"/>
        </w:rPr>
        <w:t xml:space="preserve">The tax situation in Palestine at that time was complex. Different parts of Palestine were under different governments. Judea was a Roman province, and the taxes that Zacchaeus collected were paid to the Romans. Green (p. 179) says that “by the time of Jesus…two forms of taxes were collected by two different enterprises. Direct taxes (the land tax and head tax) were collected by Jewish councils. Collection of indirect taxes (tolls, customs, duties) was handled by private entrepreneurs who bid for this task. It is with those hired to collect these tolls and customs that we are concerned here. The highest bidder won the contract to collect tolls, advanced to the state the amount bid, then set up a machinery for recouping his investment and subsequent costs, and making a profit. In spite of senatorial and imperial concern to minimize abuse, the points at which the value of goods was assessed and the percentage of tariff to be collected was determined remained open to fraudulent behavior.” For more information, see Otto Michel, </w:t>
      </w:r>
      <w:r>
        <w:rPr>
          <w:i/>
          <w:lang w:val="en_US" w:bidi="en_US"/>
        </w:rPr>
        <w:t>telōnēs</w:t>
      </w:r>
      <w:r>
        <w:rPr>
          <w:lang w:val="en_US" w:bidi="en_US"/>
        </w:rPr>
        <w:t>, Kittel VIII, especially, pp. 93–105.</w:t>
      </w:r>
    </w:p>
    <w:p>
      <w:pPr>
        <w:pStyle w:val="ListNumber"/>
        <w:spacing w:line="240" w:lineRule="auto"/>
        <w:ind w:left="720"/>
      </w:pPr>
      <w:r>
        <w:rPr>
          <w:lang w:val="en_US" w:bidi="en_US"/>
        </w:rPr>
      </w:r>
      <w:r>
        <w:rPr>
          <w:lang w:val="en_US" w:bidi="en_US"/>
        </w:rPr>
        <w:t>They often collected more money than the government required. They kept the extra money for themselves.</w:t>
      </w:r>
    </w:p>
    <w:p>
      <w:pPr/>
      <w:r>
        <w:rPr>
          <w:lang w:val="en_US" w:bidi="en_US"/>
        </w:rPr>
      </w:r>
      <w:r>
        <w:rPr>
          <w:lang w:val="en_US" w:bidi="en_US"/>
        </w:rPr>
        <w:t>If you do not have a word in your language for “tax collectors,” you may use a phrase to describe them. For example:</w:t>
      </w:r>
    </w:p>
    <w:p>
      <w:pPr/>
      <w:r>
        <w:rPr>
          <w:lang w:val="en_US" w:bidi="en_US"/>
        </w:rPr>
      </w:r>
      <w:r>
        <w:rPr>
          <w:lang w:val="en_US" w:bidi="en_US"/>
        </w:rPr>
        <w:t>men who collected tax money for the government</w:t>
      </w:r>
    </w:p>
    <w:p>
      <w:pPr/>
      <w:r>
        <w:rPr>
          <w:lang w:val="en_US" w:bidi="en_US"/>
        </w:rPr>
      </w:r>
      <w:r>
        <w:rPr>
          <w:lang w:val="en_US" w:bidi="en_US"/>
        </w:rPr>
        <w:t>If you use footnotes in your translation to explain background information, you may want to include one about tax collectors. For example:</w:t>
      </w:r>
    </w:p>
    <w:p>
      <w:pPr/>
      <w:r>
        <w:rPr>
          <w:lang w:val="en_US" w:bidi="en_US"/>
        </w:rPr>
      </w:r>
      <w:r>
        <w:rPr>
          <w:lang w:val="en_US" w:bidi="en_US"/>
        </w:rPr>
        <w:t>The Jewish people hated tax collectors because they worked for a foreign government that oppressed them. The tax collectors often cheated the people by charging them too much.</w:t>
      </w:r>
    </w:p>
    <w:p>
      <w:pPr/>
      <w:r>
        <w:rPr>
          <w:lang w:val="en_US" w:bidi="en_US"/>
        </w:rPr>
      </w:r>
      <w:r>
        <w:rPr>
          <w:lang w:val="en_US" w:bidi="en_US"/>
        </w:rPr>
        <w:t>Tax collectors are also mentioned at 3:12, 5:27–30, 7:29, 7:34, 15:1 and 18:10–14.</w:t>
      </w:r>
    </w:p>
    <w:p>
      <w:pPr/>
      <w:r>
        <w:rPr>
          <w:lang w:val="en_US" w:bidi="en_US"/>
        </w:rPr>
      </w:r>
      <w:r>
        <w:rPr>
          <w:b/>
          <w:lang w:val="en_US" w:bidi="en_US"/>
        </w:rPr>
        <w:t>who was very wealthy:</w:t>
      </w:r>
      <w:r>
        <w:rPr>
          <w:lang w:val="en_US" w:bidi="en_US"/>
        </w:rPr>
        <w:t xml:space="preserve"> Zacchaeus was a rich man. He had probably become rich by collecting taxes from people. The word </w:t>
      </w:r>
      <w:r>
        <w:rPr>
          <w:i/>
          <w:lang w:val="en_US" w:bidi="en_US"/>
        </w:rPr>
        <w:t>wealthy</w:t>
      </w:r>
      <w:r>
        <w:rPr>
          <w:lang w:val="en_US" w:bidi="en_US"/>
        </w:rPr>
        <w:t xml:space="preserve"> can also be put earlier in this verse. See the General Comment for an example.</w:t>
      </w:r>
    </w:p>
    <w:p>
      <w:pPr>
        <w:pStyle w:val="Heading6"/>
      </w:pPr>
      <w:r>
        <w:rPr>
          <w:b/>
          <w:lang w:val="en_US" w:bidi="en_US"/>
        </w:rPr>
        <w:t>General Comment on 19:2a–b</w:t>
      </w:r>
    </w:p>
    <w:p>
      <w:pPr/>
      <w:r>
        <w:rPr>
          <w:lang w:val="en_US" w:bidi="en_US"/>
        </w:rPr>
      </w:r>
      <w:r>
        <w:rPr>
          <w:lang w:val="en_US" w:bidi="en_US"/>
        </w:rPr>
        <w:t>In some languages it may be more natural to change the order of some of the information in this verse. For example:</w:t>
      </w:r>
    </w:p>
    <w:p>
      <w:pPr/>
      <w:r>
        <w:rPr>
          <w:lang w:val="en_US" w:bidi="en_US"/>
        </w:rPr>
      </w:r>
      <w:r>
        <w:rPr>
          <w:vertAlign w:val="superscript"/>
          <w:lang w:val="en_US" w:bidi="en_US"/>
        </w:rPr>
        <w:t>2b</w:t>
      </w:r>
      <w:r>
        <w:rPr>
          <w:lang w:val="en_US" w:bidi="en_US"/>
        </w:rPr>
        <w:t xml:space="preserve">A wealthy man </w:t>
      </w:r>
      <w:r>
        <w:rPr>
          <w:vertAlign w:val="superscript"/>
          <w:lang w:val="en_US" w:bidi="en_US"/>
        </w:rPr>
        <w:t>2a</w:t>
      </w:r>
      <w:r>
        <w:rPr>
          <w:lang w:val="en_US" w:bidi="en_US"/>
        </w:rPr>
        <w:t xml:space="preserve">named Zacchaeus lived there. </w:t>
      </w:r>
      <w:r>
        <w:rPr>
          <w:vertAlign w:val="superscript"/>
          <w:lang w:val="en_US" w:bidi="en_US"/>
        </w:rPr>
        <w:t>2b</w:t>
      </w:r>
      <w:r>
        <w:rPr>
          <w:lang w:val="en_US" w:bidi="en_US"/>
        </w:rPr>
        <w:t>He was a leader of the people who collected taxes in the city.</w:t>
      </w:r>
      <w:r>
        <w:rPr>
          <w:lang w:val="en_US" w:bidi="en_US"/>
        </w:rPr>
      </w:r>
      <w:r>
        <w:rPr>
          <w:lang w:val="en_US" w:bidi="en_US"/>
        </w:rPr>
      </w:r>
    </w:p>
    <w:p>
      <w:pPr/>
      <w:r>
        <w:rPr>
          <w:lang w:val="en_US" w:bidi="en_US"/>
        </w:rPr>
      </w:r>
    </w:p>
    <w:p>
      <w:pPr>
        <w:pStyle w:val="Heading2"/>
      </w:pPr>
      <w:r>
        <w:rPr>
          <w:lang w:val="en_US" w:bidi="en_US"/>
        </w:rPr>
        <w:t>Luke 19:3</w:t>
      </w:r>
      <w:r>
        <w:rPr>
          <w:lang w:val="en_US" w:bidi="en_US"/>
        </w:rPr>
      </w:r>
    </w:p>
    <w:p>
      <w:pPr>
        <w:pStyle w:val="Heading4"/>
      </w:pPr>
      <w:r>
        <w:rPr>
          <w:lang w:val="en_US" w:bidi="en_US"/>
        </w:rPr>
        <w:t>Section 19:1–10: Zacchaeus the tax collector began to follow Jesus</w:t>
      </w:r>
    </w:p>
    <w:p>
      <w:pPr/>
      <w:r>
        <w:rPr>
          <w:lang w:val="en_US" w:bidi="en_US"/>
        </w:rPr>
      </w:r>
      <w:r>
        <w:rPr>
          <w:lang w:val="en_US" w:bidi="en_US"/>
        </w:rPr>
        <w:t>In the preceding section Jesus was approaching Jericho. In this section he entered Jericho and met a tax collector named Zacchaeus.</w:t>
      </w:r>
    </w:p>
    <w:p>
      <w:pPr/>
      <w:r>
        <w:rPr>
          <w:lang w:val="en_US" w:bidi="en_US"/>
        </w:rPr>
      </w:r>
      <w:r>
        <w:rPr>
          <w:lang w:val="en_US" w:bidi="en_US"/>
        </w:rPr>
        <w:t>The Jews thought that the tax collectors were more sinful than other people. Most tax collectors cheated their own Jewish people by charging them more money than they actually owed. The tax collectors also worked with government officials who were not Jews, so the Jews assumed that tax collectors were often ritually unclean. While they were ritually unclean, they were not able to enter the temple or synagogue to worship God publicly. If another Jew entered a tax collector’s house or ate with him while he was unclean, that Jew also would become unclean.</w:t>
      </w:r>
    </w:p>
    <w:p>
      <w:pPr/>
      <w:r>
        <w:rPr>
          <w:lang w:val="en_US" w:bidi="en_US"/>
        </w:rPr>
      </w:r>
      <w:r>
        <w:rPr>
          <w:lang w:val="en_US" w:bidi="en_US"/>
        </w:rPr>
        <w:t>The city of Jericho, where Zacchaeus worked, was a busy trading center. People were required to pay taxes on things that they sold. A chief tax collector like Zacchaeus could easily become rich through collecting taxes there.</w:t>
      </w:r>
      <w:r>
        <w:rPr>
          <w:lang w:val="en_US" w:bidi="en_US"/>
        </w:rPr>
        <w:t>Keener (p. 240) says: “Being a border city, Jericho had a customs station. Because it was also one of the wealthiest cities of Palestine, in the most fertile part of Judea and boasting a Herodian palace, other tax income would also be extensive. The ‘chief’ tax gatherer would be the one who contracted for sales and customs taxes and hired collectors under him. Given this role, Zacchaeus could have become rich without cheating; but it seems that he had cheated anyway (19:8).” However, it was often difficult for people to pay these taxes, and high taxes caused many of them to remain poor. That may have been a reason why Zacchaeus promised Jesus that he would give half of his possessions to poor people (19:8).</w:t>
      </w:r>
    </w:p>
    <w:p>
      <w:pPr/>
      <w:r>
        <w:rPr>
          <w:lang w:val="en_US" w:bidi="en_US"/>
        </w:rPr>
      </w:r>
      <w:r>
        <w:rPr>
          <w:lang w:val="en_US" w:bidi="en_US"/>
        </w:rPr>
        <w:t>You may want to include footnotes in your translation to help readers understand this background information. Suggested footnotes are given at 19:2b, Paragraph 19:5–7, and 19:7b.</w:t>
      </w:r>
    </w:p>
    <w:p>
      <w:pPr/>
      <w:r>
        <w:rPr>
          <w:lang w:val="en_US" w:bidi="en_US"/>
        </w:rPr>
      </w:r>
      <w:r>
        <w:rPr>
          <w:lang w:val="en_US" w:bidi="en_US"/>
        </w:rPr>
        <w:t>Jesus was a Jew, but he went to Zacchaeus’ house and ate a meal with him. During that time, Zacchaeus repented of his sins and received salvation.</w:t>
      </w:r>
    </w:p>
    <w:p>
      <w:pPr/>
      <w:r>
        <w:rPr>
          <w:lang w:val="en_US" w:bidi="en_US"/>
        </w:rPr>
      </w:r>
      <w:r>
        <w:rPr>
          <w:lang w:val="en_US" w:bidi="en_US"/>
        </w:rPr>
        <w:t>Other examples of headings for this section are:</w:t>
      </w:r>
    </w:p>
    <w:p>
      <w:pPr/>
      <w:r>
        <w:rPr>
          <w:lang w:val="en_US" w:bidi="en_US"/>
        </w:rPr>
      </w:r>
      <w:r>
        <w:rPr>
          <w:lang w:val="en_US" w:bidi="en_US"/>
        </w:rPr>
        <w:t>Jesus and Zacchaeus (GNT)</w:t>
      </w:r>
    </w:p>
    <w:p>
      <w:pPr/>
      <w:r>
        <w:rPr>
          <w:lang w:val="en_US" w:bidi="en_US"/>
        </w:rPr>
      </w:r>
      <w:r>
        <w:rPr>
          <w:lang w:val="en_US" w:bidi="en_US"/>
        </w:rPr>
        <w:t>Jesus went to Zacchaeus’ house</w:t>
      </w:r>
    </w:p>
    <w:p>
      <w:pPr/>
      <w:r>
        <w:rPr>
          <w:lang w:val="en_US" w:bidi="en_US"/>
        </w:rPr>
      </w:r>
      <w:r>
        <w:rPr>
          <w:lang w:val="en_US" w:bidi="en_US"/>
        </w:rPr>
        <w:t>Jesus ate with Zacchaeus the tax collector</w:t>
      </w:r>
    </w:p>
    <w:p>
      <w:pPr/>
      <w:r>
        <w:rPr>
          <w:lang w:val="en_US" w:bidi="en_US"/>
        </w:rPr>
      </w:r>
      <w:r>
        <w:rPr>
          <w:lang w:val="en_US" w:bidi="en_US"/>
        </w:rPr>
        <w:t>Only the Gospel of Luke tells about this event. The other gospels do not mention it.</w:t>
      </w:r>
    </w:p>
    <w:p>
      <w:pPr>
        <w:pStyle w:val="Heading5"/>
      </w:pPr>
      <w:r>
        <w:rPr>
          <w:lang w:val="en_US" w:bidi="en_US"/>
        </w:rPr>
        <w:t>19:3a</w:t>
      </w:r>
    </w:p>
    <w:p>
      <w:pPr/>
      <w:r>
        <w:rPr>
          <w:lang w:val="en_US" w:bidi="en_US"/>
        </w:rPr>
      </w:r>
      <w:r>
        <w:rPr>
          <w:b/>
          <w:lang w:val="en_US" w:bidi="en_US"/>
        </w:rPr>
        <w:t>He was trying to see who Jesus was,</w:t>
      </w:r>
    </w:p>
    <w:p>
      <w:pPr>
        <w:pStyle w:val="ListBullet"/>
        <w:spacing w:line="240" w:lineRule="auto"/>
        <w:ind w:left="720"/>
      </w:pPr>
      <w:r>
        <w:rPr>
          <w:lang w:val="en_US" w:bidi="en_US"/>
        </w:rPr>
      </w:r>
      <w:r>
        <w:rPr>
          <w:lang w:val="en_US" w:bidi="en_US"/>
        </w:rPr>
        <w:t>He wanted to see what Jesus was like,</w:t>
      </w:r>
    </w:p>
    <w:p>
      <w:pPr>
        <w:pStyle w:val="ListBullet"/>
        <w:spacing w:line="240" w:lineRule="auto"/>
        <w:ind w:left="720"/>
      </w:pPr>
      <w:r>
        <w:rPr>
          <w:lang w:val="en_US" w:bidi="en_US"/>
        </w:rPr>
      </w:r>
      <w:r>
        <w:rPr>
          <w:lang w:val="en_US" w:bidi="en_US"/>
        </w:rPr>
        <w:t>Zacchaeus wanted to see Jesus.</w:t>
      </w:r>
    </w:p>
    <w:p>
      <w:pPr/>
      <w:r>
        <w:rPr>
          <w:lang w:val="en_US" w:bidi="en_US"/>
        </w:rPr>
      </w:r>
      <w:r>
        <w:rPr>
          <w:b/>
          <w:lang w:val="en_US" w:bidi="en_US"/>
        </w:rPr>
        <w:t>He was trying to see who Jesus was:</w:t>
      </w:r>
      <w:r>
        <w:rPr>
          <w:lang w:val="en_US" w:bidi="en_US"/>
        </w:rPr>
        <w:t xml:space="preserve"> The BSB follows the literal Greek closely here. The statement probably indicates that Zacchaeus had heard about Jesus and so </w:t>
      </w:r>
      <w:r>
        <w:rPr>
          <w:i/>
          <w:lang w:val="en_US" w:bidi="en_US"/>
        </w:rPr>
        <w:t>was trying</w:t>
      </w:r>
      <w:r>
        <w:rPr>
          <w:lang w:val="en_US" w:bidi="en_US"/>
        </w:rPr>
        <w:t xml:space="preserve"> to see him. He wanted to know what Jesus was like. Other ways to say this are:</w:t>
      </w:r>
    </w:p>
    <w:p>
      <w:pPr/>
      <w:r>
        <w:rPr>
          <w:lang w:val="en_US" w:bidi="en_US"/>
        </w:rPr>
      </w:r>
      <w:r>
        <w:rPr>
          <w:lang w:val="en_US" w:bidi="en_US"/>
        </w:rPr>
        <w:t>He was eager to see what Jesus looked like (REB)</w:t>
      </w:r>
    </w:p>
    <w:p>
      <w:pPr/>
      <w:r>
        <w:rPr>
          <w:lang w:val="en_US" w:bidi="en_US"/>
        </w:rPr>
      </w:r>
      <w:r>
        <w:rPr>
          <w:lang w:val="en_US" w:bidi="en_US"/>
        </w:rPr>
        <w:t>Zacchaeus wanted to see what he was like (CEV)</w:t>
      </w:r>
    </w:p>
    <w:p>
      <w:pPr>
        <w:pStyle w:val="Heading5"/>
      </w:pPr>
      <w:r>
        <w:rPr>
          <w:lang w:val="en_US" w:bidi="en_US"/>
        </w:rPr>
        <w:t>19:3b–c</w:t>
      </w:r>
    </w:p>
    <w:p>
      <w:pPr/>
      <w:r>
        <w:rPr>
          <w:lang w:val="en_US" w:bidi="en_US"/>
        </w:rPr>
      </w:r>
      <w:r>
        <w:rPr>
          <w:lang w:val="en_US" w:bidi="en_US"/>
        </w:rPr>
        <w:t>The BSB follows the Greek order here. Other versions use a different order from the Greek text for the phrases in this verse. For example:</w:t>
      </w:r>
    </w:p>
    <w:p>
      <w:pPr/>
      <w:r>
        <w:rPr>
          <w:lang w:val="en_US" w:bidi="en_US"/>
        </w:rPr>
      </w:r>
      <w:r>
        <w:rPr>
          <w:lang w:val="en_US" w:bidi="en_US"/>
        </w:rPr>
        <w:t>because he was short he could not see over the crowd (NIV11)</w:t>
      </w:r>
    </w:p>
    <w:p>
      <w:pPr/>
      <w:r>
        <w:rPr>
          <w:lang w:val="en_US" w:bidi="en_US"/>
        </w:rPr>
      </w:r>
      <w:r>
        <w:rPr>
          <w:lang w:val="en_US" w:bidi="en_US"/>
        </w:rPr>
        <w:t>but could not, on account of the crowd, because he was small in stature (RSV)</w:t>
      </w:r>
    </w:p>
    <w:p>
      <w:pPr/>
      <w:r>
        <w:rPr>
          <w:lang w:val="en_US" w:bidi="en_US"/>
        </w:rPr>
      </w:r>
      <w:r>
        <w:rPr>
          <w:lang w:val="en_US" w:bidi="en_US"/>
        </w:rPr>
        <w:t>The text gives two reasons why Zacchaeus could not see Jesus:</w:t>
      </w:r>
    </w:p>
    <w:p>
      <w:pPr>
        <w:pStyle w:val="ListNumber"/>
        <w:numPr>
          <w:ilvl w:val="0"/>
          <w:numId w:val="309"/>
        </w:numPr>
        <w:spacing w:line="240" w:lineRule="auto"/>
        <w:ind w:left="720"/>
      </w:pPr>
      <w:r>
        <w:rPr>
          <w:lang w:val="en_US" w:bidi="en_US"/>
        </w:rPr>
      </w:r>
      <w:r>
        <w:rPr>
          <w:lang w:val="en_US" w:bidi="en_US"/>
        </w:rPr>
        <w:t>there was a crowd around Jesus;</w:t>
      </w:r>
    </w:p>
    <w:p>
      <w:pPr>
        <w:pStyle w:val="ListNumber"/>
        <w:spacing w:line="240" w:lineRule="auto"/>
        <w:ind w:left="720"/>
      </w:pPr>
      <w:r>
        <w:rPr>
          <w:lang w:val="en_US" w:bidi="en_US"/>
        </w:rPr>
      </w:r>
      <w:r>
        <w:rPr>
          <w:lang w:val="en_US" w:bidi="en_US"/>
        </w:rPr>
        <w:t>Zacchaeus was too short to see over the people.</w:t>
      </w:r>
    </w:p>
    <w:p>
      <w:pPr/>
      <w:r>
        <w:rPr>
          <w:lang w:val="en_US" w:bidi="en_US"/>
        </w:rPr>
      </w:r>
      <w:r>
        <w:rPr>
          <w:lang w:val="en_US" w:bidi="en_US"/>
        </w:rPr>
        <w:t>In some languages it is more natural to combine these two reasons. For example:</w:t>
      </w:r>
    </w:p>
    <w:p>
      <w:pPr/>
      <w:r>
        <w:rPr>
          <w:lang w:val="en_US" w:bidi="en_US"/>
        </w:rPr>
      </w:r>
      <w:r>
        <w:rPr>
          <w:lang w:val="en_US" w:bidi="en_US"/>
        </w:rPr>
        <w:t>because he was too short to see above the crowd (NCV)</w:t>
      </w:r>
    </w:p>
    <w:p>
      <w:pPr/>
      <w:r>
        <w:rPr>
          <w:lang w:val="en_US" w:bidi="en_US"/>
        </w:rPr>
      </w:r>
      <w:r>
        <w:rPr>
          <w:lang w:val="en_US" w:bidi="en_US"/>
        </w:rPr>
        <w:t>See the General Comment on 19:3a–c below for suggestions about reordering.</w:t>
      </w:r>
    </w:p>
    <w:p>
      <w:pPr>
        <w:pStyle w:val="Heading5"/>
      </w:pPr>
      <w:r>
        <w:rPr>
          <w:lang w:val="en_US" w:bidi="en_US"/>
        </w:rPr>
        <w:t>19:3b</w:t>
      </w:r>
    </w:p>
    <w:p>
      <w:pPr/>
      <w:r>
        <w:rPr>
          <w:lang w:val="en_US" w:bidi="en_US"/>
        </w:rPr>
      </w:r>
      <w:r>
        <w:rPr>
          <w:b/>
          <w:lang w:val="en_US" w:bidi="en_US"/>
        </w:rPr>
        <w:t>but could not see over the crowd</w:t>
      </w:r>
    </w:p>
    <w:p>
      <w:pPr>
        <w:pStyle w:val="ListBullet"/>
        <w:spacing w:line="240" w:lineRule="auto"/>
        <w:ind w:left="720"/>
      </w:pPr>
      <w:r>
        <w:rPr>
          <w:lang w:val="en_US" w:bidi="en_US"/>
        </w:rPr>
      </w:r>
      <w:r>
        <w:rPr>
          <w:lang w:val="en_US" w:bidi="en_US"/>
        </w:rPr>
        <w:t xml:space="preserve">but he was not able to </w:t>
      </w:r>
      <w:r>
        <w:rPr>
          <w:lang w:val="en_US" w:bidi="en_US"/>
        </w:rPr>
        <w:t>see him</w:t>
      </w:r>
      <w:r>
        <w:rPr>
          <w:lang w:val="en_US" w:bidi="en_US"/>
        </w:rPr>
        <w:t xml:space="preserve">, because many people </w:t>
      </w:r>
      <w:r>
        <w:rPr>
          <w:lang w:val="en_US" w:bidi="en_US"/>
        </w:rPr>
        <w:t>were with/around Jesus</w:t>
      </w:r>
      <w:r>
        <w:rPr>
          <w:lang w:val="en_US" w:bidi="en_US"/>
        </w:rPr>
        <w:t>,</w:t>
      </w:r>
    </w:p>
    <w:p>
      <w:pPr>
        <w:pStyle w:val="ListBullet"/>
        <w:spacing w:line="240" w:lineRule="auto"/>
        <w:ind w:left="720"/>
      </w:pPr>
      <w:r>
        <w:rPr>
          <w:lang w:val="en_US" w:bidi="en_US"/>
        </w:rPr>
      </w:r>
      <w:r>
        <w:rPr>
          <w:lang w:val="en_US" w:bidi="en_US"/>
        </w:rPr>
        <w:t xml:space="preserve">But he could not </w:t>
      </w:r>
      <w:r>
        <w:rPr>
          <w:lang w:val="en_US" w:bidi="en_US"/>
        </w:rPr>
        <w:t>see him</w:t>
      </w:r>
      <w:r>
        <w:rPr>
          <w:lang w:val="en_US" w:bidi="en_US"/>
        </w:rPr>
        <w:t xml:space="preserve"> </w:t>
      </w:r>
      <w:r>
        <w:rPr>
          <w:lang w:val="en_US" w:bidi="en_US"/>
        </w:rPr>
        <w:t>over the heads</w:t>
      </w:r>
      <w:r>
        <w:rPr>
          <w:lang w:val="en_US" w:bidi="en_US"/>
        </w:rPr>
        <w:t xml:space="preserve"> of the crowd </w:t>
      </w:r>
      <w:r>
        <w:rPr>
          <w:lang w:val="en_US" w:bidi="en_US"/>
        </w:rPr>
        <w:t>that was around him</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The contrast is between Zacchaeus wanting to see Jesus (19:3a) but not being able to see him (19:3c). Translate this contrast in a way that is natural in your language.</w:t>
      </w:r>
    </w:p>
    <w:p>
      <w:pPr/>
      <w:r>
        <w:rPr>
          <w:lang w:val="en_US" w:bidi="en_US"/>
        </w:rPr>
      </w:r>
      <w:r>
        <w:rPr>
          <w:b/>
          <w:lang w:val="en_US" w:bidi="en_US"/>
        </w:rPr>
        <w:t>could not see over the crowd:</w:t>
      </w:r>
      <w:r>
        <w:rPr>
          <w:lang w:val="en_US" w:bidi="en_US"/>
        </w:rPr>
        <w:t xml:space="preserve"> This clause indicates that Zacchaeus could not see Jesus because many people were standing around Jesus. Zacchaeus was too short to see over them all. Some ways to say this are:</w:t>
      </w:r>
    </w:p>
    <w:p>
      <w:pPr/>
      <w:r>
        <w:rPr>
          <w:lang w:val="en_US" w:bidi="en_US"/>
        </w:rPr>
      </w:r>
      <w:r>
        <w:rPr>
          <w:lang w:val="en_US" w:bidi="en_US"/>
        </w:rPr>
        <w:t xml:space="preserve">he was unable to see Jesus because there were many people </w:t>
      </w:r>
      <w:r>
        <w:rPr>
          <w:lang w:val="en_US" w:bidi="en_US"/>
        </w:rPr>
        <w:t>surrounding Jesus</w:t>
      </w:r>
    </w:p>
    <w:p>
      <w:pPr/>
      <w:r>
        <w:rPr>
          <w:lang w:val="en_US" w:bidi="en_US"/>
        </w:rPr>
      </w:r>
      <w:r>
        <w:rPr>
          <w:lang w:val="en_US" w:bidi="en_US"/>
        </w:rPr>
        <w:t>he could not, because of the crowd (NIV)</w:t>
      </w:r>
    </w:p>
    <w:p>
      <w:pPr>
        <w:pStyle w:val="Heading5"/>
      </w:pPr>
      <w:r>
        <w:rPr>
          <w:lang w:val="en_US" w:bidi="en_US"/>
        </w:rPr>
        <w:t>19:3c</w:t>
      </w:r>
    </w:p>
    <w:p>
      <w:pPr/>
      <w:r>
        <w:rPr>
          <w:lang w:val="en_US" w:bidi="en_US"/>
        </w:rPr>
      </w:r>
      <w:r>
        <w:rPr>
          <w:b/>
          <w:lang w:val="en_US" w:bidi="en_US"/>
        </w:rPr>
        <w:t>because he was small in stature.</w:t>
      </w:r>
    </w:p>
    <w:p>
      <w:pPr>
        <w:pStyle w:val="ListBullet"/>
        <w:spacing w:line="240" w:lineRule="auto"/>
        <w:ind w:left="720"/>
      </w:pPr>
      <w:r>
        <w:rPr>
          <w:lang w:val="en_US" w:bidi="en_US"/>
        </w:rPr>
      </w:r>
      <w:r>
        <w:rPr>
          <w:lang w:val="en_US" w:bidi="en_US"/>
        </w:rPr>
        <w:t>and Zacchaeus was a short man.</w:t>
      </w:r>
    </w:p>
    <w:p>
      <w:pPr>
        <w:pStyle w:val="ListBullet"/>
        <w:spacing w:line="240" w:lineRule="auto"/>
        <w:ind w:left="720"/>
      </w:pPr>
      <w:r>
        <w:rPr>
          <w:lang w:val="en_US" w:bidi="en_US"/>
        </w:rPr>
      </w:r>
      <w:r>
        <w:rPr>
          <w:lang w:val="en_US" w:bidi="en_US"/>
        </w:rPr>
        <w:t>because he was not tall enough.</w:t>
      </w:r>
    </w:p>
    <w:p>
      <w:pPr>
        <w:pStyle w:val="ListBullet"/>
        <w:spacing w:line="240" w:lineRule="auto"/>
        <w:ind w:left="720"/>
      </w:pPr>
      <w:r>
        <w:rPr>
          <w:lang w:val="en_US" w:bidi="en_US"/>
        </w:rPr>
      </w:r>
      <w:r>
        <w:rPr>
          <w:lang w:val="en_US" w:bidi="en_US"/>
        </w:rPr>
        <w:t>because he was too short.</w:t>
      </w:r>
    </w:p>
    <w:p>
      <w:pPr/>
      <w:r>
        <w:rPr>
          <w:lang w:val="en_US" w:bidi="en_US"/>
        </w:rPr>
      </w:r>
      <w:r>
        <w:rPr>
          <w:b/>
          <w:lang w:val="en_US" w:bidi="en_US"/>
        </w:rPr>
        <w:t>because he was small in stature:</w:t>
      </w:r>
      <w:r>
        <w:rPr>
          <w:lang w:val="en_US" w:bidi="en_US"/>
        </w:rPr>
        <w:t xml:space="preserve"> The phrase </w:t>
      </w:r>
      <w:r>
        <w:rPr>
          <w:i/>
          <w:lang w:val="en_US" w:bidi="en_US"/>
        </w:rPr>
        <w:t>because he was small in stature</w:t>
      </w:r>
      <w:r>
        <w:rPr>
          <w:lang w:val="en_US" w:bidi="en_US"/>
        </w:rPr>
        <w:t xml:space="preserve"> describes Zacchaeus’ height. He was not as tall as most people. Be sure not to imply that this clause describes Jesus. Other ways to translate this are:</w:t>
      </w:r>
    </w:p>
    <w:p>
      <w:pPr/>
      <w:r>
        <w:rPr>
          <w:lang w:val="en_US" w:bidi="en_US"/>
        </w:rPr>
      </w:r>
      <w:r>
        <w:rPr>
          <w:lang w:val="en_US" w:bidi="en_US"/>
        </w:rPr>
        <w:t>Zacchaeus was a small man (GW)</w:t>
      </w:r>
    </w:p>
    <w:p>
      <w:pPr/>
      <w:r>
        <w:rPr>
          <w:lang w:val="en_US" w:bidi="en_US"/>
        </w:rPr>
      </w:r>
      <w:r>
        <w:rPr>
          <w:lang w:val="en_US" w:bidi="en_US"/>
        </w:rPr>
        <w:t>he was a little man (GNT)</w:t>
      </w:r>
    </w:p>
    <w:p>
      <w:pPr/>
      <w:r>
        <w:rPr>
          <w:lang w:val="en_US" w:bidi="en_US"/>
        </w:rPr>
      </w:r>
      <w:r>
        <w:rPr>
          <w:lang w:val="en_US" w:bidi="en_US"/>
        </w:rPr>
        <w:t>he was not a tall man</w:t>
      </w:r>
    </w:p>
    <w:p>
      <w:pPr>
        <w:pStyle w:val="Heading6"/>
      </w:pPr>
      <w:r>
        <w:rPr>
          <w:b/>
          <w:lang w:val="en_US" w:bidi="en_US"/>
        </w:rPr>
        <w:t>General Comment on 19:3a–c</w:t>
      </w:r>
    </w:p>
    <w:p>
      <w:pPr/>
      <w:r>
        <w:rPr>
          <w:lang w:val="en_US" w:bidi="en_US"/>
        </w:rPr>
      </w:r>
      <w:r>
        <w:rPr>
          <w:lang w:val="en_US" w:bidi="en_US"/>
        </w:rPr>
        <w:t>It may be more natural in some languages to reorder the parts of 19:3. For example:</w:t>
      </w:r>
    </w:p>
    <w:p>
      <w:pPr/>
      <w:r>
        <w:rPr>
          <w:lang w:val="en_US" w:bidi="en_US"/>
        </w:rPr>
      </w:r>
      <w:r>
        <w:rPr>
          <w:vertAlign w:val="superscript"/>
          <w:lang w:val="en_US" w:bidi="en_US"/>
        </w:rPr>
        <w:t>3a</w:t>
      </w:r>
      <w:r>
        <w:rPr>
          <w:lang w:val="en_US" w:bidi="en_US"/>
        </w:rPr>
        <w:t xml:space="preserve">He wanted to see who Jesus was </w:t>
      </w:r>
      <w:r>
        <w:rPr>
          <w:vertAlign w:val="superscript"/>
          <w:lang w:val="en_US" w:bidi="en_US"/>
        </w:rPr>
        <w:t>3b</w:t>
      </w:r>
      <w:r>
        <w:rPr>
          <w:lang w:val="en_US" w:bidi="en_US"/>
        </w:rPr>
        <w:t xml:space="preserve">but he could not </w:t>
      </w:r>
      <w:r>
        <w:rPr>
          <w:vertAlign w:val="superscript"/>
          <w:lang w:val="en_US" w:bidi="en_US"/>
        </w:rPr>
        <w:t>3c</w:t>
      </w:r>
      <w:r>
        <w:rPr>
          <w:lang w:val="en_US" w:bidi="en_US"/>
        </w:rPr>
        <w:t xml:space="preserve">because he was a short man </w:t>
      </w:r>
      <w:r>
        <w:rPr>
          <w:vertAlign w:val="superscript"/>
          <w:lang w:val="en_US" w:bidi="en_US"/>
        </w:rPr>
        <w:t>3b</w:t>
      </w:r>
      <w:r>
        <w:rPr>
          <w:lang w:val="en_US" w:bidi="en_US"/>
        </w:rPr>
        <w:t xml:space="preserve">and because there was a crowd </w:t>
      </w:r>
      <w:r>
        <w:rPr>
          <w:lang w:val="en_US" w:bidi="en_US"/>
        </w:rPr>
        <w:t>around Jesus</w:t>
      </w:r>
      <w:r>
        <w:rPr>
          <w:lang w:val="en_US" w:bidi="en_US"/>
        </w:rPr>
        <w:t>.</w:t>
      </w:r>
    </w:p>
    <w:p>
      <w:pPr/>
      <w:r>
        <w:rPr>
          <w:lang w:val="en_US" w:bidi="en_US"/>
        </w:rPr>
      </w:r>
      <w:r>
        <w:rPr>
          <w:vertAlign w:val="superscript"/>
          <w:lang w:val="en_US" w:bidi="en_US"/>
        </w:rPr>
        <w:t>3a</w:t>
      </w:r>
      <w:r>
        <w:rPr>
          <w:lang w:val="en_US" w:bidi="en_US"/>
        </w:rPr>
        <w:t xml:space="preserve">He wanted to see who Jesus was, </w:t>
      </w:r>
      <w:r>
        <w:rPr>
          <w:vertAlign w:val="superscript"/>
          <w:lang w:val="en_US" w:bidi="en_US"/>
        </w:rPr>
        <w:t>3b</w:t>
      </w:r>
      <w:r>
        <w:rPr>
          <w:lang w:val="en_US" w:bidi="en_US"/>
        </w:rPr>
        <w:t xml:space="preserve">but a crowd was around Jesus. </w:t>
      </w:r>
      <w:r>
        <w:rPr>
          <w:vertAlign w:val="superscript"/>
          <w:lang w:val="en_US" w:bidi="en_US"/>
        </w:rPr>
        <w:t>3c</w:t>
      </w:r>
      <w:r>
        <w:rPr>
          <w:lang w:val="en_US" w:bidi="en_US"/>
        </w:rPr>
        <w:t xml:space="preserve">Zacchaeus was a short man, </w:t>
      </w:r>
      <w:r>
        <w:rPr>
          <w:vertAlign w:val="superscript"/>
          <w:lang w:val="en_US" w:bidi="en_US"/>
        </w:rPr>
        <w:t>3b</w:t>
      </w:r>
      <w:r>
        <w:rPr>
          <w:lang w:val="en_US" w:bidi="en_US"/>
        </w:rPr>
        <w:t>so he was not able to see Jesus above the crowd.</w:t>
      </w:r>
      <w:r>
        <w:rPr>
          <w:lang w:val="en_US" w:bidi="en_US"/>
        </w:rPr>
      </w:r>
      <w:r>
        <w:rPr>
          <w:lang w:val="en_US" w:bidi="en_US"/>
        </w:rPr>
      </w:r>
    </w:p>
    <w:p>
      <w:pPr/>
      <w:r>
        <w:rPr>
          <w:lang w:val="en_US" w:bidi="en_US"/>
        </w:rPr>
      </w:r>
    </w:p>
    <w:p>
      <w:pPr>
        <w:pStyle w:val="Heading2"/>
      </w:pPr>
      <w:r>
        <w:rPr>
          <w:lang w:val="en_US" w:bidi="en_US"/>
        </w:rPr>
        <w:t>Luke 19:4</w:t>
      </w:r>
      <w:r>
        <w:rPr>
          <w:lang w:val="en_US" w:bidi="en_US"/>
        </w:rPr>
      </w:r>
    </w:p>
    <w:p>
      <w:pPr>
        <w:pStyle w:val="Heading4"/>
      </w:pPr>
      <w:r>
        <w:rPr>
          <w:lang w:val="en_US" w:bidi="en_US"/>
        </w:rPr>
        <w:t>Section 19:1–10: Zacchaeus the tax collector began to follow Jesus</w:t>
      </w:r>
    </w:p>
    <w:p>
      <w:pPr/>
      <w:r>
        <w:rPr>
          <w:lang w:val="en_US" w:bidi="en_US"/>
        </w:rPr>
      </w:r>
      <w:r>
        <w:rPr>
          <w:lang w:val="en_US" w:bidi="en_US"/>
        </w:rPr>
        <w:t>In the preceding section Jesus was approaching Jericho. In this section he entered Jericho and met a tax collector named Zacchaeus.</w:t>
      </w:r>
    </w:p>
    <w:p>
      <w:pPr/>
      <w:r>
        <w:rPr>
          <w:lang w:val="en_US" w:bidi="en_US"/>
        </w:rPr>
      </w:r>
      <w:r>
        <w:rPr>
          <w:lang w:val="en_US" w:bidi="en_US"/>
        </w:rPr>
        <w:t>The Jews thought that the tax collectors were more sinful than other people. Most tax collectors cheated their own Jewish people by charging them more money than they actually owed. The tax collectors also worked with government officials who were not Jews, so the Jews assumed that tax collectors were often ritually unclean. While they were ritually unclean, they were not able to enter the temple or synagogue to worship God publicly. If another Jew entered a tax collector’s house or ate with him while he was unclean, that Jew also would become unclean.</w:t>
      </w:r>
    </w:p>
    <w:p>
      <w:pPr/>
      <w:r>
        <w:rPr>
          <w:lang w:val="en_US" w:bidi="en_US"/>
        </w:rPr>
      </w:r>
      <w:r>
        <w:rPr>
          <w:lang w:val="en_US" w:bidi="en_US"/>
        </w:rPr>
        <w:t>The city of Jericho, where Zacchaeus worked, was a busy trading center. People were required to pay taxes on things that they sold. A chief tax collector like Zacchaeus could easily become rich through collecting taxes there.</w:t>
      </w:r>
      <w:r>
        <w:rPr>
          <w:lang w:val="en_US" w:bidi="en_US"/>
        </w:rPr>
        <w:t>Keener (p. 240) says: “Being a border city, Jericho had a customs station. Because it was also one of the wealthiest cities of Palestine, in the most fertile part of Judea and boasting a Herodian palace, other tax income would also be extensive. The ‘chief’ tax gatherer would be the one who contracted for sales and customs taxes and hired collectors under him. Given this role, Zacchaeus could have become rich without cheating; but it seems that he had cheated anyway (19:8).” However, it was often difficult for people to pay these taxes, and high taxes caused many of them to remain poor. That may have been a reason why Zacchaeus promised Jesus that he would give half of his possessions to poor people (19:8).</w:t>
      </w:r>
    </w:p>
    <w:p>
      <w:pPr/>
      <w:r>
        <w:rPr>
          <w:lang w:val="en_US" w:bidi="en_US"/>
        </w:rPr>
      </w:r>
      <w:r>
        <w:rPr>
          <w:lang w:val="en_US" w:bidi="en_US"/>
        </w:rPr>
        <w:t>You may want to include footnotes in your translation to help readers understand this background information. Suggested footnotes are given at 19:2b, Paragraph 19:5–7, and 19:7b.</w:t>
      </w:r>
    </w:p>
    <w:p>
      <w:pPr/>
      <w:r>
        <w:rPr>
          <w:lang w:val="en_US" w:bidi="en_US"/>
        </w:rPr>
      </w:r>
      <w:r>
        <w:rPr>
          <w:lang w:val="en_US" w:bidi="en_US"/>
        </w:rPr>
        <w:t>Jesus was a Jew, but he went to Zacchaeus’ house and ate a meal with him. During that time, Zacchaeus repented of his sins and received salvation.</w:t>
      </w:r>
    </w:p>
    <w:p>
      <w:pPr/>
      <w:r>
        <w:rPr>
          <w:lang w:val="en_US" w:bidi="en_US"/>
        </w:rPr>
      </w:r>
      <w:r>
        <w:rPr>
          <w:lang w:val="en_US" w:bidi="en_US"/>
        </w:rPr>
        <w:t>Other examples of headings for this section are:</w:t>
      </w:r>
    </w:p>
    <w:p>
      <w:pPr/>
      <w:r>
        <w:rPr>
          <w:lang w:val="en_US" w:bidi="en_US"/>
        </w:rPr>
      </w:r>
      <w:r>
        <w:rPr>
          <w:lang w:val="en_US" w:bidi="en_US"/>
        </w:rPr>
        <w:t>Jesus and Zacchaeus (GNT)</w:t>
      </w:r>
    </w:p>
    <w:p>
      <w:pPr/>
      <w:r>
        <w:rPr>
          <w:lang w:val="en_US" w:bidi="en_US"/>
        </w:rPr>
      </w:r>
      <w:r>
        <w:rPr>
          <w:lang w:val="en_US" w:bidi="en_US"/>
        </w:rPr>
        <w:t>Jesus went to Zacchaeus’ house</w:t>
      </w:r>
    </w:p>
    <w:p>
      <w:pPr/>
      <w:r>
        <w:rPr>
          <w:lang w:val="en_US" w:bidi="en_US"/>
        </w:rPr>
      </w:r>
      <w:r>
        <w:rPr>
          <w:lang w:val="en_US" w:bidi="en_US"/>
        </w:rPr>
        <w:t>Jesus ate with Zacchaeus the tax collector</w:t>
      </w:r>
    </w:p>
    <w:p>
      <w:pPr/>
      <w:r>
        <w:rPr>
          <w:lang w:val="en_US" w:bidi="en_US"/>
        </w:rPr>
      </w:r>
      <w:r>
        <w:rPr>
          <w:lang w:val="en_US" w:bidi="en_US"/>
        </w:rPr>
        <w:t>Only the Gospel of Luke tells about this event. The other gospels do not mention it.</w:t>
      </w:r>
    </w:p>
    <w:p>
      <w:pPr>
        <w:pStyle w:val="Heading5"/>
      </w:pPr>
      <w:r>
        <w:rPr>
          <w:lang w:val="en_US" w:bidi="en_US"/>
        </w:rPr>
        <w:t>19:4a</w:t>
      </w:r>
    </w:p>
    <w:p>
      <w:pPr/>
      <w:r>
        <w:rPr>
          <w:lang w:val="en_US" w:bidi="en_US"/>
        </w:rPr>
      </w:r>
      <w:r>
        <w:rPr>
          <w:b/>
          <w:lang w:val="en_US" w:bidi="en_US"/>
        </w:rPr>
        <w:t>So he ran on ahead</w:t>
      </w:r>
    </w:p>
    <w:p>
      <w:pPr>
        <w:pStyle w:val="ListBullet"/>
        <w:spacing w:line="240" w:lineRule="auto"/>
        <w:ind w:left="720"/>
      </w:pPr>
      <w:r>
        <w:rPr>
          <w:lang w:val="en_US" w:bidi="en_US"/>
        </w:rPr>
      </w:r>
      <w:r>
        <w:rPr>
          <w:lang w:val="en_US" w:bidi="en_US"/>
        </w:rPr>
        <w:t xml:space="preserve">So he ran ahead </w:t>
      </w:r>
      <w:r>
        <w:rPr>
          <w:lang w:val="en_US" w:bidi="en_US"/>
        </w:rPr>
        <w:t>of the people</w:t>
      </w:r>
    </w:p>
    <w:p>
      <w:pPr>
        <w:pStyle w:val="ListBullet"/>
        <w:spacing w:line="240" w:lineRule="auto"/>
        <w:ind w:left="720"/>
      </w:pPr>
      <w:r>
        <w:rPr>
          <w:lang w:val="en_US" w:bidi="en_US"/>
        </w:rPr>
      </w:r>
      <w:r>
        <w:rPr>
          <w:lang w:val="en_US" w:bidi="en_US"/>
        </w:rPr>
        <w:t xml:space="preserve">So Zacchaeus ran farther </w:t>
      </w:r>
      <w:r>
        <w:rPr>
          <w:lang w:val="en_US" w:bidi="en_US"/>
        </w:rPr>
        <w:t>on the way</w:t>
      </w:r>
    </w:p>
    <w:p>
      <w:pPr/>
      <w:r>
        <w:rPr>
          <w:lang w:val="en_US" w:bidi="en_US"/>
        </w:rPr>
      </w:r>
      <w:r>
        <w:rPr>
          <w:b/>
          <w:lang w:val="en_US" w:bidi="en_US"/>
        </w:rPr>
        <w:t>So:</w:t>
      </w:r>
      <w:r>
        <w:rPr>
          <w:lang w:val="en_US" w:bidi="en_US"/>
        </w:rPr>
        <w:t xml:space="preserve"> The conjunction </w:t>
      </w:r>
      <w:r>
        <w:rPr>
          <w:i/>
          <w:lang w:val="en_US" w:bidi="en_US"/>
        </w:rPr>
        <w:t>So</w:t>
      </w:r>
      <w:r>
        <w:rPr>
          <w:lang w:val="en_US" w:bidi="en_US"/>
        </w:rPr>
        <w:t xml:space="preserve"> introduces what Zacchaeus did as a result of not being able to see over the crowd. Connect 19:3 and 19:4 in a natural way in your language.</w:t>
      </w:r>
    </w:p>
    <w:p>
      <w:pPr/>
      <w:r>
        <w:rPr>
          <w:lang w:val="en_US" w:bidi="en_US"/>
        </w:rPr>
      </w:r>
      <w:r>
        <w:rPr>
          <w:b/>
          <w:lang w:val="en_US" w:bidi="en_US"/>
        </w:rPr>
        <w:t>he ran on ahead:</w:t>
      </w:r>
      <w:r>
        <w:rPr>
          <w:lang w:val="en_US" w:bidi="en_US"/>
        </w:rPr>
        <w:t xml:space="preserve"> The phrase </w:t>
      </w:r>
      <w:r>
        <w:rPr>
          <w:i/>
          <w:lang w:val="en_US" w:bidi="en_US"/>
        </w:rPr>
        <w:t>he ran on ahead</w:t>
      </w:r>
      <w:r>
        <w:rPr>
          <w:lang w:val="en_US" w:bidi="en_US"/>
        </w:rPr>
        <w:t xml:space="preserve"> indicates that Zacchaeus ran ahead of the crowd. He wanted to get to a place by the road before Jesus and the crowd arrived there. Here is another way to translate this:</w:t>
      </w:r>
    </w:p>
    <w:p>
      <w:pPr/>
      <w:r>
        <w:rPr>
          <w:lang w:val="en_US" w:bidi="en_US"/>
        </w:rPr>
      </w:r>
      <w:r>
        <w:rPr>
          <w:lang w:val="en_US" w:bidi="en_US"/>
        </w:rPr>
        <w:t>So he ran ahead of the crowd (GNT)</w:t>
      </w:r>
    </w:p>
    <w:p>
      <w:pPr>
        <w:pStyle w:val="Heading5"/>
      </w:pPr>
      <w:r>
        <w:rPr>
          <w:lang w:val="en_US" w:bidi="en_US"/>
        </w:rPr>
        <w:t>19:4b</w:t>
      </w:r>
    </w:p>
    <w:p>
      <w:pPr/>
      <w:r>
        <w:rPr>
          <w:lang w:val="en_US" w:bidi="en_US"/>
        </w:rPr>
      </w:r>
      <w:r>
        <w:rPr>
          <w:b/>
          <w:lang w:val="en_US" w:bidi="en_US"/>
        </w:rPr>
        <w:t>and climbed a sycamore tree to see Him,</w:t>
      </w:r>
    </w:p>
    <w:p>
      <w:pPr>
        <w:pStyle w:val="ListBullet"/>
        <w:spacing w:line="240" w:lineRule="auto"/>
        <w:ind w:left="720"/>
      </w:pPr>
      <w:r>
        <w:rPr>
          <w:lang w:val="en_US" w:bidi="en_US"/>
        </w:rPr>
      </w:r>
      <w:r>
        <w:rPr>
          <w:lang w:val="en_US" w:bidi="en_US"/>
        </w:rPr>
        <w:t xml:space="preserve">and climbed a </w:t>
      </w:r>
      <w:r>
        <w:rPr>
          <w:lang w:val="en_US" w:bidi="en_US"/>
        </w:rPr>
        <w:t>type of</w:t>
      </w:r>
      <w:r>
        <w:rPr>
          <w:lang w:val="en_US" w:bidi="en_US"/>
        </w:rPr>
        <w:t xml:space="preserve"> large fig tree so that he could see him,</w:t>
      </w:r>
    </w:p>
    <w:p>
      <w:pPr>
        <w:pStyle w:val="ListBullet"/>
        <w:spacing w:line="240" w:lineRule="auto"/>
        <w:ind w:left="720"/>
      </w:pPr>
      <w:r>
        <w:rPr>
          <w:lang w:val="en_US" w:bidi="en_US"/>
        </w:rPr>
      </w:r>
      <w:r>
        <w:rPr>
          <w:lang w:val="en_US" w:bidi="en_US"/>
        </w:rPr>
        <w:t>and climbed into a large tree so he would be able to see Jesus.</w:t>
      </w:r>
    </w:p>
    <w:p>
      <w:pPr/>
      <w:r>
        <w:rPr>
          <w:lang w:val="en_US" w:bidi="en_US"/>
        </w:rPr>
      </w:r>
      <w:r>
        <w:rPr>
          <w:b/>
          <w:lang w:val="en_US" w:bidi="en_US"/>
        </w:rPr>
        <w:t>and climbed a sycamore tree:</w:t>
      </w:r>
      <w:r>
        <w:rPr>
          <w:lang w:val="en_US" w:bidi="en_US"/>
        </w:rPr>
        <w:t xml:space="preserve"> The term </w:t>
      </w:r>
      <w:r>
        <w:rPr>
          <w:i/>
          <w:lang w:val="en_US" w:bidi="en_US"/>
        </w:rPr>
        <w:t>sycamore tree</w:t>
      </w:r>
      <w:r>
        <w:rPr>
          <w:lang w:val="en_US" w:bidi="en_US"/>
        </w:rPr>
        <w:t xml:space="preserve"> refers to a type of tree that grows to be large and is often easy to climb. It is related to the fig tree, and more distantly to the mulberry tree. For that reason, some English versions (NIV, NLT) call it a </w:t>
      </w:r>
      <w:r>
        <w:rPr>
          <w:i/>
          <w:lang w:val="en_US" w:bidi="en_US"/>
        </w:rPr>
        <w:t>sycamore</w:t>
      </w:r>
      <w:r>
        <w:rPr>
          <w:lang w:val="en_US" w:bidi="en_US"/>
        </w:rPr>
        <w:t xml:space="preserve"> tree; the GW describes it simply as a “fig tree.” The fruit of this tree is similar to small figs and the leaves are similar to those of a mulberry tree. It is sometimes called a fig-mulberry tree.</w:t>
      </w:r>
      <w:r>
        <w:rPr>
          <w:lang w:val="en_US" w:bidi="en_US"/>
        </w:rPr>
        <w:t>This tree is native to central Africa, the Arabian Peninsula, Egypt, and Israel.</w:t>
      </w:r>
      <w:r>
        <w:rPr>
          <w:lang w:val="en_US" w:bidi="en_US"/>
        </w:rPr>
        <w:t xml:space="preserve"> It is not the tree that is called a sycamore in Europe or North America.</w:t>
      </w:r>
    </w:p>
    <w:p>
      <w:pPr/>
      <w:r>
        <w:rPr>
          <w:lang w:val="en_US" w:bidi="en_US"/>
        </w:rPr>
      </w:r>
      <w:r>
        <w:rPr>
          <w:lang w:val="en_US" w:bidi="en_US"/>
        </w:rPr>
        <w:t>If this tree does not grow in your language area, here are some ways to translate it:</w:t>
      </w:r>
    </w:p>
    <w:p>
      <w:pPr>
        <w:pStyle w:val="ListBullet"/>
        <w:spacing w:line="240" w:lineRule="auto"/>
        <w:ind w:left="720"/>
      </w:pPr>
      <w:r>
        <w:rPr>
          <w:lang w:val="en_US" w:bidi="en_US"/>
        </w:rPr>
      </w:r>
      <w:r>
        <w:rPr>
          <w:lang w:val="en_US" w:bidi="en_US"/>
        </w:rPr>
        <w:t>Compare it to fig trees or mulberry trees in your area. For example:</w:t>
      </w:r>
      <w:r>
        <w:rPr>
          <w:lang w:val="en_US" w:bidi="en_US"/>
        </w:rPr>
        <w:t>a kind of fig tree</w:t>
      </w:r>
      <w:r>
        <w:rPr>
          <w:lang w:val="en_US" w:bidi="en_US"/>
        </w:rPr>
        <w:t>a tree like a fig/mulberry tree</w:t>
      </w:r>
    </w:p>
    <w:p>
      <w:pPr>
        <w:pStyle w:val="ListBullet"/>
        <w:spacing w:line="240" w:lineRule="auto"/>
        <w:ind w:left="720"/>
      </w:pPr>
      <w:r>
        <w:rPr>
          <w:lang w:val="en_US" w:bidi="en_US"/>
        </w:rPr>
      </w:r>
      <w:r>
        <w:rPr>
          <w:lang w:val="en_US" w:bidi="en_US"/>
        </w:rPr>
        <w:t>Use a general term that fits the context. For example:</w:t>
      </w:r>
      <w:r>
        <w:rPr>
          <w:lang w:val="en_US" w:bidi="en_US"/>
        </w:rPr>
        <w:t>a large tree</w:t>
      </w:r>
      <w:r>
        <w:rPr>
          <w:lang w:val="en_US" w:bidi="en_US"/>
        </w:rPr>
        <w:t xml:space="preserve">a large tree </w:t>
      </w:r>
      <w:r>
        <w:rPr>
          <w:lang w:val="en_US" w:bidi="en_US"/>
        </w:rPr>
        <w:t>that was easy to climb</w:t>
      </w:r>
    </w:p>
    <w:p>
      <w:pPr>
        <w:pStyle w:val="ListBullet"/>
        <w:spacing w:line="240" w:lineRule="auto"/>
        <w:ind w:left="720"/>
      </w:pPr>
      <w:r>
        <w:rPr>
          <w:lang w:val="en_US" w:bidi="en_US"/>
        </w:rPr>
      </w:r>
      <w:r>
        <w:rPr>
          <w:lang w:val="en_US" w:bidi="en_US"/>
        </w:rPr>
        <w:t>Transliterate “fig” tree according to the sounds of your language and use the general term for “tree.” For example:</w:t>
      </w:r>
      <w:r>
        <w:rPr>
          <w:lang w:val="en_US" w:bidi="en_US"/>
        </w:rPr>
        <w:t>fik tree</w:t>
      </w:r>
      <w:r>
        <w:rPr>
          <w:lang w:val="en_US" w:bidi="en_US"/>
        </w:rPr>
        <w:t>pik tree</w:t>
      </w:r>
    </w:p>
    <w:p>
      <w:pPr>
        <w:pStyle w:val="ListBullet"/>
        <w:spacing w:line="240" w:lineRule="auto"/>
        <w:ind w:left="720"/>
      </w:pPr>
      <w:r>
        <w:rPr>
          <w:lang w:val="en_US" w:bidi="en_US"/>
        </w:rPr>
      </w:r>
      <w:r>
        <w:rPr>
          <w:lang w:val="en_US" w:bidi="en_US"/>
        </w:rPr>
        <w:t>Use a loan word from another language, if people in your area are familiar with the term.</w:t>
      </w:r>
    </w:p>
    <w:p>
      <w:pPr/>
      <w:r>
        <w:rPr>
          <w:lang w:val="en_US" w:bidi="en_US"/>
        </w:rPr>
      </w:r>
      <w:r>
        <w:rPr>
          <w:b/>
          <w:lang w:val="en_US" w:bidi="en_US"/>
        </w:rPr>
        <w:t>to see Him:</w:t>
      </w:r>
      <w:r>
        <w:rPr>
          <w:lang w:val="en_US" w:bidi="en_US"/>
        </w:rPr>
        <w:t xml:space="preserve"> The Greek phrase that the BSB translates as </w:t>
      </w:r>
      <w:r>
        <w:rPr>
          <w:i/>
          <w:lang w:val="en_US" w:bidi="en_US"/>
        </w:rPr>
        <w:t>to see Him</w:t>
      </w:r>
      <w:r>
        <w:rPr>
          <w:lang w:val="en_US" w:bidi="en_US"/>
        </w:rPr>
        <w:t xml:space="preserve"> expresses Zacchaeus’ purpose in climbing into the tree. He wanted to see Jesus when Jesus would walk by underneath the branches. Other ways to translate this are:</w:t>
      </w:r>
    </w:p>
    <w:p>
      <w:pPr/>
      <w:r>
        <w:rPr>
          <w:lang w:val="en_US" w:bidi="en_US"/>
        </w:rPr>
      </w:r>
      <w:r>
        <w:rPr>
          <w:lang w:val="en_US" w:bidi="en_US"/>
        </w:rPr>
        <w:t>to see Jesus (GNT)</w:t>
      </w:r>
    </w:p>
    <w:p>
      <w:pPr/>
      <w:r>
        <w:rPr>
          <w:lang w:val="en_US" w:bidi="en_US"/>
        </w:rPr>
      </w:r>
      <w:r>
        <w:rPr>
          <w:lang w:val="en_US" w:bidi="en_US"/>
        </w:rPr>
        <w:t>so he could see him (NCV)</w:t>
      </w:r>
    </w:p>
    <w:p>
      <w:pPr/>
      <w:r>
        <w:rPr>
          <w:lang w:val="en_US" w:bidi="en_US"/>
        </w:rPr>
      </w:r>
      <w:r>
        <w:rPr>
          <w:lang w:val="en_US" w:bidi="en_US"/>
        </w:rPr>
        <w:t>in order to see him (REB)</w:t>
      </w:r>
    </w:p>
    <w:p>
      <w:pPr>
        <w:pStyle w:val="Heading5"/>
      </w:pPr>
      <w:r>
        <w:rPr>
          <w:lang w:val="en_US" w:bidi="en_US"/>
        </w:rPr>
        <w:t>19:4c</w:t>
      </w:r>
    </w:p>
    <w:p>
      <w:pPr/>
      <w:r>
        <w:rPr>
          <w:lang w:val="en_US" w:bidi="en_US"/>
        </w:rPr>
      </w:r>
      <w:r>
        <w:rPr>
          <w:b/>
          <w:lang w:val="en_US" w:bidi="en_US"/>
        </w:rPr>
        <w:t>since Jesus was about to pass that way.</w:t>
      </w:r>
    </w:p>
    <w:p>
      <w:pPr>
        <w:pStyle w:val="ListBullet"/>
        <w:spacing w:line="240" w:lineRule="auto"/>
        <w:ind w:left="720"/>
      </w:pPr>
      <w:r>
        <w:rPr>
          <w:lang w:val="en_US" w:bidi="en_US"/>
        </w:rPr>
      </w:r>
      <w:r>
        <w:rPr>
          <w:lang w:val="en_US" w:bidi="en_US"/>
        </w:rPr>
        <w:t xml:space="preserve">because </w:t>
      </w:r>
      <w:r>
        <w:rPr>
          <w:lang w:val="en_US" w:bidi="en_US"/>
        </w:rPr>
        <w:t>he knew that</w:t>
      </w:r>
      <w:r>
        <w:rPr>
          <w:lang w:val="en_US" w:bidi="en_US"/>
        </w:rPr>
        <w:t xml:space="preserve"> he/Jesus was going/passing that way.</w:t>
      </w:r>
    </w:p>
    <w:p>
      <w:pPr>
        <w:pStyle w:val="ListBullet"/>
        <w:spacing w:line="240" w:lineRule="auto"/>
        <w:ind w:left="720"/>
      </w:pPr>
      <w:r>
        <w:rPr>
          <w:lang w:val="en_US" w:bidi="en_US"/>
        </w:rPr>
      </w:r>
      <w:r>
        <w:rPr>
          <w:lang w:val="en_US" w:bidi="en_US"/>
        </w:rPr>
        <w:t>The tree was beside the road</w:t>
      </w:r>
      <w:r>
        <w:rPr>
          <w:lang w:val="en_US" w:bidi="en_US"/>
        </w:rPr>
        <w:t xml:space="preserve"> that Jesus was traveling on.</w:t>
      </w:r>
    </w:p>
    <w:p>
      <w:pPr/>
      <w:r>
        <w:rPr>
          <w:lang w:val="en_US" w:bidi="en_US"/>
        </w:rPr>
      </w:r>
      <w:r>
        <w:rPr>
          <w:b/>
          <w:lang w:val="en_US" w:bidi="en_US"/>
        </w:rPr>
        <w:t>since Jesus was about to pass that way:</w:t>
      </w:r>
      <w:r>
        <w:rPr>
          <w:lang w:val="en_US" w:bidi="en_US"/>
        </w:rPr>
        <w:t xml:space="preserve"> This clause tells why Zacchaeus ran ahead on that particular road and climbed that particular fig tree. He knew that Jesus was going to walk in that direction. Other ways to say this are:</w:t>
      </w:r>
    </w:p>
    <w:p>
      <w:pPr/>
      <w:r>
        <w:rPr>
          <w:lang w:val="en_US" w:bidi="en_US"/>
        </w:rPr>
      </w:r>
      <w:r>
        <w:rPr>
          <w:lang w:val="en_US" w:bidi="en_US"/>
        </w:rPr>
        <w:t>Jesus was coming that way</w:t>
      </w:r>
    </w:p>
    <w:p>
      <w:pPr/>
      <w:r>
        <w:rPr>
          <w:lang w:val="en_US" w:bidi="en_US"/>
        </w:rPr>
      </w:r>
      <w:r>
        <w:rPr>
          <w:lang w:val="en_US" w:bidi="en_US"/>
        </w:rPr>
        <w:t>for he was to pass that way (REB)</w:t>
      </w:r>
    </w:p>
    <w:p>
      <w:pPr>
        <w:pStyle w:val="Heading6"/>
      </w:pPr>
      <w:r>
        <w:rPr>
          <w:b/>
          <w:lang w:val="en_US" w:bidi="en_US"/>
        </w:rPr>
        <w:t>General Comment on 19:4a–c</w:t>
      </w:r>
    </w:p>
    <w:p>
      <w:pPr/>
      <w:r>
        <w:rPr>
          <w:lang w:val="en_US" w:bidi="en_US"/>
        </w:rPr>
      </w:r>
      <w:r>
        <w:rPr>
          <w:lang w:val="en_US" w:bidi="en_US"/>
        </w:rPr>
        <w:t>The information in 19:4c is already implied in 19:4a. So in some languages it may be helpful to reorder this verse and translate 19:4c as part of 19:4a. For example:</w:t>
      </w:r>
    </w:p>
    <w:p>
      <w:pPr/>
      <w:r>
        <w:rPr>
          <w:lang w:val="en_US" w:bidi="en_US"/>
        </w:rPr>
      </w:r>
      <w:r>
        <w:rPr>
          <w:vertAlign w:val="superscript"/>
          <w:lang w:val="en_US" w:bidi="en_US"/>
        </w:rPr>
        <w:t>4a</w:t>
      </w:r>
      <w:r>
        <w:rPr>
          <w:lang w:val="en_US" w:bidi="en_US"/>
        </w:rPr>
        <w:t xml:space="preserve">Zacchaeus ran ahead down </w:t>
      </w:r>
      <w:r>
        <w:rPr>
          <w:vertAlign w:val="superscript"/>
          <w:lang w:val="en_US" w:bidi="en_US"/>
        </w:rPr>
        <w:t>4c</w:t>
      </w:r>
      <w:r>
        <w:rPr>
          <w:lang w:val="en_US" w:bidi="en_US"/>
        </w:rPr>
        <w:t xml:space="preserve">the road that Jesus was traveling. </w:t>
      </w:r>
      <w:r>
        <w:rPr>
          <w:vertAlign w:val="superscript"/>
          <w:lang w:val="en_US" w:bidi="en_US"/>
        </w:rPr>
        <w:t>4b</w:t>
      </w:r>
      <w:r>
        <w:rPr>
          <w:lang w:val="en_US" w:bidi="en_US"/>
        </w:rPr>
        <w:t xml:space="preserve">He climbed up into a sycamore-fig tree so that he would be able to see him </w:t>
      </w:r>
      <w:r>
        <w:rPr>
          <w:lang w:val="en_US" w:bidi="en_US"/>
        </w:rPr>
        <w:t>when he passed by</w:t>
      </w:r>
      <w:r>
        <w:rPr>
          <w:lang w:val="en_US" w:bidi="en_US"/>
        </w:rPr>
        <w:t>.</w:t>
      </w:r>
      <w:r>
        <w:rPr>
          <w:lang w:val="en_US" w:bidi="en_US"/>
        </w:rPr>
      </w:r>
      <w:r>
        <w:rPr>
          <w:lang w:val="en_US" w:bidi="en_US"/>
        </w:rPr>
      </w:r>
    </w:p>
    <w:p>
      <w:pPr/>
      <w:r>
        <w:rPr>
          <w:lang w:val="en_US" w:bidi="en_US"/>
        </w:rPr>
      </w:r>
    </w:p>
    <w:p>
      <w:pPr>
        <w:pStyle w:val="Heading2"/>
      </w:pPr>
      <w:r>
        <w:rPr>
          <w:lang w:val="en_US" w:bidi="en_US"/>
        </w:rPr>
        <w:t>Luke 19:5</w:t>
      </w:r>
      <w:r>
        <w:rPr>
          <w:lang w:val="en_US" w:bidi="en_US"/>
        </w:rPr>
      </w:r>
    </w:p>
    <w:p>
      <w:pPr>
        <w:pStyle w:val="Heading4"/>
      </w:pPr>
      <w:r>
        <w:rPr>
          <w:lang w:val="en_US" w:bidi="en_US"/>
        </w:rPr>
        <w:t>Section 19:1–10: Zacchaeus the tax collector began to follow Jesus</w:t>
      </w:r>
    </w:p>
    <w:p>
      <w:pPr/>
      <w:r>
        <w:rPr>
          <w:lang w:val="en_US" w:bidi="en_US"/>
        </w:rPr>
      </w:r>
      <w:r>
        <w:rPr>
          <w:lang w:val="en_US" w:bidi="en_US"/>
        </w:rPr>
        <w:t>In the preceding section Jesus was approaching Jericho. In this section he entered Jericho and met a tax collector named Zacchaeus.</w:t>
      </w:r>
    </w:p>
    <w:p>
      <w:pPr/>
      <w:r>
        <w:rPr>
          <w:lang w:val="en_US" w:bidi="en_US"/>
        </w:rPr>
      </w:r>
      <w:r>
        <w:rPr>
          <w:lang w:val="en_US" w:bidi="en_US"/>
        </w:rPr>
        <w:t>The Jews thought that the tax collectors were more sinful than other people. Most tax collectors cheated their own Jewish people by charging them more money than they actually owed. The tax collectors also worked with government officials who were not Jews, so the Jews assumed that tax collectors were often ritually unclean. While they were ritually unclean, they were not able to enter the temple or synagogue to worship God publicly. If another Jew entered a tax collector’s house or ate with him while he was unclean, that Jew also would become unclean.</w:t>
      </w:r>
    </w:p>
    <w:p>
      <w:pPr/>
      <w:r>
        <w:rPr>
          <w:lang w:val="en_US" w:bidi="en_US"/>
        </w:rPr>
      </w:r>
      <w:r>
        <w:rPr>
          <w:lang w:val="en_US" w:bidi="en_US"/>
        </w:rPr>
        <w:t>The city of Jericho, where Zacchaeus worked, was a busy trading center. People were required to pay taxes on things that they sold. A chief tax collector like Zacchaeus could easily become rich through collecting taxes there.</w:t>
      </w:r>
      <w:r>
        <w:rPr>
          <w:lang w:val="en_US" w:bidi="en_US"/>
        </w:rPr>
        <w:t>Keener (p. 240) says: “Being a border city, Jericho had a customs station. Because it was also one of the wealthiest cities of Palestine, in the most fertile part of Judea and boasting a Herodian palace, other tax income would also be extensive. The ‘chief’ tax gatherer would be the one who contracted for sales and customs taxes and hired collectors under him. Given this role, Zacchaeus could have become rich without cheating; but it seems that he had cheated anyway (19:8).” However, it was often difficult for people to pay these taxes, and high taxes caused many of them to remain poor. That may have been a reason why Zacchaeus promised Jesus that he would give half of his possessions to poor people (19:8).</w:t>
      </w:r>
    </w:p>
    <w:p>
      <w:pPr/>
      <w:r>
        <w:rPr>
          <w:lang w:val="en_US" w:bidi="en_US"/>
        </w:rPr>
      </w:r>
      <w:r>
        <w:rPr>
          <w:lang w:val="en_US" w:bidi="en_US"/>
        </w:rPr>
        <w:t>You may want to include footnotes in your translation to help readers understand this background information. Suggested footnotes are given at 19:2b, Paragraph 19:5–7, and 19:7b.</w:t>
      </w:r>
    </w:p>
    <w:p>
      <w:pPr/>
      <w:r>
        <w:rPr>
          <w:lang w:val="en_US" w:bidi="en_US"/>
        </w:rPr>
      </w:r>
      <w:r>
        <w:rPr>
          <w:lang w:val="en_US" w:bidi="en_US"/>
        </w:rPr>
        <w:t>Jesus was a Jew, but he went to Zacchaeus’ house and ate a meal with him. During that time, Zacchaeus repented of his sins and received salvation.</w:t>
      </w:r>
    </w:p>
    <w:p>
      <w:pPr/>
      <w:r>
        <w:rPr>
          <w:lang w:val="en_US" w:bidi="en_US"/>
        </w:rPr>
      </w:r>
      <w:r>
        <w:rPr>
          <w:lang w:val="en_US" w:bidi="en_US"/>
        </w:rPr>
        <w:t>Other examples of headings for this section are:</w:t>
      </w:r>
    </w:p>
    <w:p>
      <w:pPr/>
      <w:r>
        <w:rPr>
          <w:lang w:val="en_US" w:bidi="en_US"/>
        </w:rPr>
      </w:r>
      <w:r>
        <w:rPr>
          <w:lang w:val="en_US" w:bidi="en_US"/>
        </w:rPr>
        <w:t>Jesus and Zacchaeus (GNT)</w:t>
      </w:r>
    </w:p>
    <w:p>
      <w:pPr/>
      <w:r>
        <w:rPr>
          <w:lang w:val="en_US" w:bidi="en_US"/>
        </w:rPr>
      </w:r>
      <w:r>
        <w:rPr>
          <w:lang w:val="en_US" w:bidi="en_US"/>
        </w:rPr>
        <w:t>Jesus went to Zacchaeus’ house</w:t>
      </w:r>
    </w:p>
    <w:p>
      <w:pPr/>
      <w:r>
        <w:rPr>
          <w:lang w:val="en_US" w:bidi="en_US"/>
        </w:rPr>
      </w:r>
      <w:r>
        <w:rPr>
          <w:lang w:val="en_US" w:bidi="en_US"/>
        </w:rPr>
        <w:t>Jesus ate with Zacchaeus the tax collector</w:t>
      </w:r>
    </w:p>
    <w:p>
      <w:pPr/>
      <w:r>
        <w:rPr>
          <w:lang w:val="en_US" w:bidi="en_US"/>
        </w:rPr>
      </w:r>
      <w:r>
        <w:rPr>
          <w:lang w:val="en_US" w:bidi="en_US"/>
        </w:rPr>
        <w:t>Only the Gospel of Luke tells about this event. The other gospels do not mention it.</w:t>
      </w:r>
    </w:p>
    <w:p>
      <w:pPr>
        <w:pStyle w:val="Heading4"/>
      </w:pPr>
      <w:r>
        <w:rPr>
          <w:lang w:val="en_US" w:bidi="en_US"/>
        </w:rPr>
        <w:t>Paragraph 19:5–7</w:t>
      </w:r>
    </w:p>
    <w:p>
      <w:pPr/>
      <w:r>
        <w:rPr>
          <w:lang w:val="en_US" w:bidi="en_US"/>
        </w:rPr>
      </w:r>
      <w:r>
        <w:rPr>
          <w:lang w:val="en_US" w:bidi="en_US"/>
        </w:rPr>
        <w:t>In Jewish culture, a person usually would not eat or stay in someone’s house if that person did not invite him. But Jesus invited himself to be the guest of Zacchaeus. Jesus showed that he was willing to enter the house of a tax collector even if it meant that he would be considered ritually unclean.</w:t>
      </w:r>
    </w:p>
    <w:p>
      <w:pPr/>
      <w:r>
        <w:rPr>
          <w:lang w:val="en_US" w:bidi="en_US"/>
        </w:rPr>
      </w:r>
      <w:r>
        <w:rPr>
          <w:lang w:val="en_US" w:bidi="en_US"/>
        </w:rPr>
        <w:t>If you are using footnotes to give background information, you might want to use one here. For example:</w:t>
      </w:r>
    </w:p>
    <w:p>
      <w:pPr/>
      <w:r>
        <w:rPr>
          <w:lang w:val="en_US" w:bidi="en_US"/>
        </w:rPr>
      </w:r>
      <w:r>
        <w:rPr>
          <w:lang w:val="en_US" w:bidi="en_US"/>
        </w:rPr>
        <w:t>In Jewish culture it was not customary for a person to invite himself to eat at another person’s house. Jesus did that to help Zacchaeus. Zacchaeus knew that most religious leaders would not enter a tax collector’s house, so Zacchaeus might not feel that he should invite Jesus.</w:t>
      </w:r>
    </w:p>
    <w:p>
      <w:pPr/>
      <w:r>
        <w:rPr>
          <w:lang w:val="en_US" w:bidi="en_US"/>
        </w:rPr>
      </w:r>
      <w:r>
        <w:rPr>
          <w:lang w:val="en_US" w:bidi="en_US"/>
        </w:rPr>
        <w:t>For more background information about tax collectors, see the introduction to Section 19:1–10.</w:t>
      </w:r>
    </w:p>
    <w:p>
      <w:pPr>
        <w:pStyle w:val="Heading5"/>
      </w:pPr>
      <w:r>
        <w:rPr>
          <w:lang w:val="en_US" w:bidi="en_US"/>
        </w:rPr>
        <w:t>19:5a</w:t>
      </w:r>
    </w:p>
    <w:p>
      <w:pPr/>
      <w:r>
        <w:rPr>
          <w:lang w:val="en_US" w:bidi="en_US"/>
        </w:rPr>
      </w:r>
      <w:r>
        <w:rPr>
          <w:b/>
          <w:lang w:val="en_US" w:bidi="en_US"/>
        </w:rPr>
        <w:t>When Jesus came to that place,</w:t>
      </w:r>
    </w:p>
    <w:p>
      <w:pPr>
        <w:pStyle w:val="ListBullet"/>
        <w:spacing w:line="240" w:lineRule="auto"/>
        <w:ind w:left="720"/>
      </w:pPr>
      <w:r>
        <w:rPr>
          <w:lang w:val="en_US" w:bidi="en_US"/>
        </w:rPr>
      </w:r>
      <w:r>
        <w:rPr>
          <w:lang w:val="en_US" w:bidi="en_US"/>
        </w:rPr>
        <w:t>¶ When Jesus arrived at the place/tree,</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came to the tree,</w:t>
      </w:r>
    </w:p>
    <w:p>
      <w:pPr/>
      <w:r>
        <w:rPr>
          <w:lang w:val="en_US" w:bidi="en_US"/>
        </w:rPr>
      </w:r>
      <w:r>
        <w:rPr>
          <w:b/>
          <w:lang w:val="en_US" w:bidi="en_US"/>
        </w:rPr>
        <w:t>When Jesus came to that place:</w:t>
      </w:r>
      <w:r>
        <w:rPr>
          <w:lang w:val="en_US" w:bidi="en_US"/>
        </w:rPr>
        <w:t xml:space="preserve"> The Greek word that the BSB translates as </w:t>
      </w:r>
      <w:r>
        <w:rPr>
          <w:i/>
          <w:lang w:val="en_US" w:bidi="en_US"/>
        </w:rPr>
        <w:t>that place</w:t>
      </w:r>
      <w:r>
        <w:rPr>
          <w:lang w:val="en_US" w:bidi="en_US"/>
        </w:rPr>
        <w:t xml:space="preserve"> refers to the location of the tree into which Zacchaeus had climbed. As he was walking along, Jesus stopped near that tree. In some languages it may be natural to refer to the tree specifically. For example:</w:t>
      </w:r>
    </w:p>
    <w:p>
      <w:pPr/>
      <w:r>
        <w:rPr>
          <w:lang w:val="en_US" w:bidi="en_US"/>
        </w:rPr>
      </w:r>
      <w:r>
        <w:rPr>
          <w:lang w:val="en_US" w:bidi="en_US"/>
        </w:rPr>
        <w:t>When Jesus came to the tree (GW)</w:t>
      </w:r>
    </w:p>
    <w:p>
      <w:pPr/>
      <w:r>
        <w:rPr>
          <w:lang w:val="en_US" w:bidi="en_US"/>
        </w:rPr>
      </w:r>
      <w:r>
        <w:rPr>
          <w:lang w:val="en_US" w:bidi="en_US"/>
        </w:rPr>
        <w:t>In other languages it may not be necessary to refer specifically to the place. For example:</w:t>
      </w:r>
    </w:p>
    <w:p>
      <w:pPr/>
      <w:r>
        <w:rPr>
          <w:lang w:val="en_US" w:bidi="en_US"/>
        </w:rPr>
      </w:r>
      <w:r>
        <w:rPr>
          <w:lang w:val="en_US" w:bidi="en_US"/>
        </w:rPr>
        <w:t>When Jesus came by (NLT)</w:t>
      </w:r>
    </w:p>
    <w:p>
      <w:pPr>
        <w:pStyle w:val="Heading5"/>
      </w:pPr>
      <w:r>
        <w:rPr>
          <w:lang w:val="en_US" w:bidi="en_US"/>
        </w:rPr>
        <w:t>19:5b</w:t>
      </w:r>
    </w:p>
    <w:p>
      <w:pPr/>
      <w:r>
        <w:rPr>
          <w:lang w:val="en_US" w:bidi="en_US"/>
        </w:rPr>
      </w:r>
      <w:r>
        <w:rPr>
          <w:b/>
          <w:lang w:val="en_US" w:bidi="en_US"/>
        </w:rPr>
        <w:t>He looked up and said,</w:t>
      </w:r>
    </w:p>
    <w:p>
      <w:pPr>
        <w:pStyle w:val="ListBullet"/>
        <w:spacing w:line="240" w:lineRule="auto"/>
        <w:ind w:left="720"/>
      </w:pPr>
      <w:r>
        <w:rPr>
          <w:lang w:val="en_US" w:bidi="en_US"/>
        </w:rPr>
      </w:r>
      <w:r>
        <w:rPr>
          <w:lang w:val="en_US" w:bidi="en_US"/>
        </w:rPr>
        <w:t xml:space="preserve">he looked up </w:t>
      </w:r>
      <w:r>
        <w:rPr>
          <w:lang w:val="en_US" w:bidi="en_US"/>
        </w:rPr>
        <w:t>at Zacchaeus</w:t>
      </w:r>
      <w:r>
        <w:rPr>
          <w:lang w:val="en_US" w:bidi="en_US"/>
        </w:rPr>
        <w:t xml:space="preserve"> and said to him,</w:t>
      </w:r>
    </w:p>
    <w:p>
      <w:pPr>
        <w:pStyle w:val="ListBullet"/>
        <w:spacing w:line="240" w:lineRule="auto"/>
        <w:ind w:left="720"/>
      </w:pPr>
      <w:r>
        <w:rPr>
          <w:lang w:val="en_US" w:bidi="en_US"/>
        </w:rPr>
      </w:r>
      <w:r>
        <w:rPr>
          <w:lang w:val="en_US" w:bidi="en_US"/>
        </w:rPr>
        <w:t xml:space="preserve">and he looked up </w:t>
      </w:r>
      <w:r>
        <w:rPr>
          <w:lang w:val="en_US" w:bidi="en_US"/>
        </w:rPr>
        <w:t>and saw Zacchaeus</w:t>
      </w:r>
      <w:r>
        <w:rPr>
          <w:lang w:val="en_US" w:bidi="en_US"/>
        </w:rPr>
        <w:t>. Jesus said to him,</w:t>
      </w:r>
    </w:p>
    <w:p>
      <w:pPr/>
      <w:r>
        <w:rPr>
          <w:lang w:val="en_US" w:bidi="en_US"/>
        </w:rPr>
      </w:r>
      <w:r>
        <w:rPr>
          <w:b/>
          <w:lang w:val="en_US" w:bidi="en_US"/>
        </w:rPr>
        <w:t>He looked up and said:</w:t>
      </w:r>
      <w:r>
        <w:rPr>
          <w:lang w:val="en_US" w:bidi="en_US"/>
        </w:rPr>
        <w:t xml:space="preserve"> Here the phrase </w:t>
      </w:r>
      <w:r>
        <w:rPr>
          <w:i/>
          <w:lang w:val="en_US" w:bidi="en_US"/>
        </w:rPr>
        <w:t>He looked up</w:t>
      </w:r>
      <w:r>
        <w:rPr>
          <w:lang w:val="en_US" w:bidi="en_US"/>
        </w:rPr>
        <w:t xml:space="preserve"> indicates that Jesus looked up into the tree at Zacchaeus. Then Jesus spoke to him. Some other ways to translate this part of the verse are:</w:t>
      </w:r>
    </w:p>
    <w:p>
      <w:pPr/>
      <w:r>
        <w:rPr>
          <w:lang w:val="en_US" w:bidi="en_US"/>
        </w:rPr>
      </w:r>
      <w:r>
        <w:rPr>
          <w:lang w:val="en_US" w:bidi="en_US"/>
        </w:rPr>
        <w:t>he looked up at Zacchaeus and called him by name (NLT)</w:t>
      </w:r>
    </w:p>
    <w:p>
      <w:pPr/>
      <w:r>
        <w:rPr>
          <w:lang w:val="en_US" w:bidi="en_US"/>
        </w:rPr>
      </w:r>
      <w:r>
        <w:rPr>
          <w:lang w:val="en_US" w:bidi="en_US"/>
        </w:rPr>
        <w:t xml:space="preserve">he/Jesus looked up </w:t>
      </w:r>
      <w:r>
        <w:rPr>
          <w:lang w:val="en_US" w:bidi="en_US"/>
        </w:rPr>
        <w:t>and saw him/Zacchaeus</w:t>
      </w:r>
      <w:r>
        <w:rPr>
          <w:lang w:val="en_US" w:bidi="en_US"/>
        </w:rPr>
        <w:t>. Then Jesus said</w:t>
      </w:r>
    </w:p>
    <w:p>
      <w:pPr>
        <w:pStyle w:val="Heading5"/>
      </w:pPr>
      <w:r>
        <w:rPr>
          <w:lang w:val="en_US" w:bidi="en_US"/>
        </w:rPr>
        <w:t>19:5c</w:t>
      </w:r>
    </w:p>
    <w:p>
      <w:pPr/>
      <w:r>
        <w:rPr>
          <w:lang w:val="en_US" w:bidi="en_US"/>
        </w:rPr>
      </w:r>
      <w:r>
        <w:rPr>
          <w:b/>
          <w:lang w:val="en_US" w:bidi="en_US"/>
        </w:rPr>
        <w:t>“Zacchaeus, hurry down,</w:t>
      </w:r>
    </w:p>
    <w:p>
      <w:pPr>
        <w:pStyle w:val="ListBullet"/>
        <w:spacing w:line="240" w:lineRule="auto"/>
        <w:ind w:left="720"/>
      </w:pPr>
      <w:r>
        <w:rPr>
          <w:lang w:val="en_US" w:bidi="en_US"/>
        </w:rPr>
      </w:r>
      <w:r>
        <w:rPr>
          <w:lang w:val="en_US" w:bidi="en_US"/>
        </w:rPr>
        <w:t>“Come</w:t>
      </w:r>
      <w:r>
        <w:rPr>
          <w:vertAlign w:val="superscript"/>
          <w:lang w:val="en_US" w:bidi="en_US"/>
        </w:rPr>
        <w:t>(sing)</w:t>
      </w:r>
      <w:r>
        <w:rPr>
          <w:lang w:val="en_US" w:bidi="en_US"/>
        </w:rPr>
        <w:t xml:space="preserve"> down right now, Zacchaeus.</w:t>
      </w:r>
    </w:p>
    <w:p>
      <w:pPr>
        <w:pStyle w:val="ListBullet"/>
        <w:spacing w:line="240" w:lineRule="auto"/>
        <w:ind w:left="720"/>
      </w:pPr>
      <w:r>
        <w:rPr>
          <w:lang w:val="en_US" w:bidi="en_US"/>
        </w:rPr>
      </w:r>
      <w:r>
        <w:rPr>
          <w:lang w:val="en_US" w:bidi="en_US"/>
        </w:rPr>
        <w:t>“Zacchaeus, quickly come/climb</w:t>
      </w:r>
      <w:r>
        <w:rPr>
          <w:vertAlign w:val="superscript"/>
          <w:lang w:val="en_US" w:bidi="en_US"/>
        </w:rPr>
        <w:t>(sing)</w:t>
      </w:r>
      <w:r>
        <w:rPr>
          <w:lang w:val="en_US" w:bidi="en_US"/>
        </w:rPr>
        <w:t xml:space="preserve"> down </w:t>
      </w:r>
      <w:r>
        <w:rPr>
          <w:lang w:val="en_US" w:bidi="en_US"/>
        </w:rPr>
        <w:t>from the tree</w:t>
      </w:r>
      <w:r>
        <w:rPr>
          <w:lang w:val="en_US" w:bidi="en_US"/>
        </w:rPr>
        <w:t>,</w:t>
      </w:r>
    </w:p>
    <w:p>
      <w:pPr/>
      <w:r>
        <w:rPr>
          <w:lang w:val="en_US" w:bidi="en_US"/>
        </w:rPr>
      </w:r>
      <w:r>
        <w:rPr>
          <w:b/>
          <w:lang w:val="en_US" w:bidi="en_US"/>
        </w:rPr>
        <w:t>Zacchaeus:</w:t>
      </w:r>
      <w:r>
        <w:rPr>
          <w:lang w:val="en_US" w:bidi="en_US"/>
        </w:rPr>
        <w:t xml:space="preserve"> Jesus called Zacchaeus by name and showed him that he knew about him. Jesus was speaking in a friendly way. He was not angry at Zacchaeus for climbing the tree.</w:t>
      </w:r>
    </w:p>
    <w:p>
      <w:pPr/>
      <w:r>
        <w:rPr>
          <w:lang w:val="en_US" w:bidi="en_US"/>
        </w:rPr>
      </w:r>
      <w:r>
        <w:rPr>
          <w:lang w:val="en_US" w:bidi="en_US"/>
        </w:rPr>
        <w:t>In some languages people do not call other adults by their names. If that is true in your language, you may want to use a term of respect with his name. For example:</w:t>
      </w:r>
    </w:p>
    <w:p>
      <w:pPr/>
      <w:r>
        <w:rPr>
          <w:lang w:val="en_US" w:bidi="en_US"/>
        </w:rPr>
      </w:r>
      <w:r>
        <w:rPr>
          <w:lang w:val="en_US" w:bidi="en_US"/>
        </w:rPr>
        <w:t>Elder/Brother Zacchaeus</w:t>
      </w:r>
    </w:p>
    <w:p>
      <w:pPr/>
      <w:r>
        <w:rPr>
          <w:lang w:val="en_US" w:bidi="en_US"/>
        </w:rPr>
      </w:r>
      <w:r>
        <w:rPr>
          <w:lang w:val="en_US" w:bidi="en_US"/>
        </w:rPr>
        <w:t>In such languages it may also be helpful to include a footnote. For example:</w:t>
      </w:r>
    </w:p>
    <w:p>
      <w:pPr/>
      <w:r>
        <w:rPr>
          <w:lang w:val="en_US" w:bidi="en_US"/>
        </w:rPr>
      </w:r>
      <w:r>
        <w:rPr>
          <w:lang w:val="en_US" w:bidi="en_US"/>
        </w:rPr>
        <w:t>In that culture it was the custom to call people by their names to show friendliness.</w:t>
      </w:r>
    </w:p>
    <w:p>
      <w:pPr/>
      <w:r>
        <w:rPr>
          <w:lang w:val="en_US" w:bidi="en_US"/>
        </w:rPr>
      </w:r>
      <w:r>
        <w:rPr>
          <w:b/>
          <w:lang w:val="en_US" w:bidi="en_US"/>
        </w:rPr>
        <w:t>hurry down:</w:t>
      </w:r>
      <w:r>
        <w:rPr>
          <w:lang w:val="en_US" w:bidi="en_US"/>
        </w:rPr>
        <w:t xml:space="preserve"> The Greek command that the BSB translates as </w:t>
      </w:r>
      <w:r>
        <w:rPr>
          <w:i/>
          <w:lang w:val="en_US" w:bidi="en_US"/>
        </w:rPr>
        <w:t>hurry down</w:t>
      </w:r>
      <w:r>
        <w:rPr>
          <w:lang w:val="en_US" w:bidi="en_US"/>
        </w:rPr>
        <w:t xml:space="preserve"> is more literally, “hurrying, come down.” Some other ways to translate it are:</w:t>
      </w:r>
    </w:p>
    <w:p>
      <w:pPr/>
      <w:r>
        <w:rPr>
          <w:lang w:val="en_US" w:bidi="en_US"/>
        </w:rPr>
      </w:r>
      <w:r>
        <w:rPr>
          <w:lang w:val="en_US" w:bidi="en_US"/>
        </w:rPr>
        <w:t>come down immediately (NIV)</w:t>
      </w:r>
    </w:p>
    <w:p>
      <w:pPr/>
      <w:r>
        <w:rPr>
          <w:lang w:val="en_US" w:bidi="en_US"/>
        </w:rPr>
      </w:r>
      <w:r>
        <w:rPr>
          <w:lang w:val="en_US" w:bidi="en_US"/>
        </w:rPr>
        <w:t>Quick, come down! (NLT)</w:t>
      </w:r>
    </w:p>
    <w:p>
      <w:pPr>
        <w:pStyle w:val="Heading5"/>
      </w:pPr>
      <w:r>
        <w:rPr>
          <w:lang w:val="en_US" w:bidi="en_US"/>
        </w:rPr>
        <w:t>19:5d</w:t>
      </w:r>
    </w:p>
    <w:p>
      <w:pPr/>
      <w:r>
        <w:rPr>
          <w:lang w:val="en_US" w:bidi="en_US"/>
        </w:rPr>
      </w:r>
      <w:r>
        <w:rPr>
          <w:b/>
          <w:lang w:val="en_US" w:bidi="en_US"/>
        </w:rPr>
        <w:t>for I must stay at your house today.”</w:t>
      </w:r>
    </w:p>
    <w:p>
      <w:pPr>
        <w:pStyle w:val="ListBullet"/>
        <w:spacing w:line="240" w:lineRule="auto"/>
        <w:ind w:left="720"/>
      </w:pPr>
      <w:r>
        <w:rPr>
          <w:lang w:val="en_US" w:bidi="en_US"/>
        </w:rPr>
      </w:r>
      <w:r>
        <w:rPr>
          <w:lang w:val="en_US" w:bidi="en_US"/>
        </w:rPr>
        <w:t>Today I must stay/lodge at your</w:t>
      </w:r>
      <w:r>
        <w:rPr>
          <w:vertAlign w:val="superscript"/>
          <w:lang w:val="en_US" w:bidi="en_US"/>
        </w:rPr>
        <w:t>(sing)</w:t>
      </w:r>
      <w:r>
        <w:rPr>
          <w:lang w:val="en_US" w:bidi="en_US"/>
        </w:rPr>
        <w:t xml:space="preserve"> house.”</w:t>
      </w:r>
    </w:p>
    <w:p>
      <w:pPr>
        <w:pStyle w:val="ListBullet"/>
        <w:spacing w:line="240" w:lineRule="auto"/>
        <w:ind w:left="720"/>
      </w:pPr>
      <w:r>
        <w:rPr>
          <w:lang w:val="en_US" w:bidi="en_US"/>
        </w:rPr>
      </w:r>
      <w:r>
        <w:rPr>
          <w:lang w:val="en_US" w:bidi="en_US"/>
        </w:rPr>
        <w:t>because I have to be your</w:t>
      </w:r>
      <w:r>
        <w:rPr>
          <w:vertAlign w:val="superscript"/>
          <w:lang w:val="en_US" w:bidi="en_US"/>
        </w:rPr>
        <w:t>(sing)</w:t>
      </w:r>
      <w:r>
        <w:rPr>
          <w:lang w:val="en_US" w:bidi="en_US"/>
        </w:rPr>
        <w:t xml:space="preserve"> guest today</w:t>
      </w:r>
      <w:r>
        <w:rPr>
          <w:lang w:val="en_US" w:bidi="en_US"/>
        </w:rPr>
        <w:t>/tonight</w:t>
      </w:r>
      <w:r>
        <w:rPr>
          <w:lang w:val="en_US" w:bidi="en_US"/>
        </w:rPr>
        <w:t>.”</w:t>
      </w:r>
    </w:p>
    <w:p>
      <w:pPr/>
      <w:r>
        <w:rPr>
          <w:lang w:val="en_US" w:bidi="en_US"/>
        </w:rPr>
      </w:r>
      <w:r>
        <w:rPr>
          <w:b/>
          <w:lang w:val="en_US" w:bidi="en_US"/>
        </w:rPr>
        <w:t>for:</w:t>
      </w:r>
      <w:r>
        <w:rPr>
          <w:lang w:val="en_US" w:bidi="en_US"/>
        </w:rPr>
        <w:t xml:space="preserve"> In the Greek text, 19:5d begins with a conjunction that the BSB translates as </w:t>
      </w:r>
      <w:r>
        <w:rPr>
          <w:i/>
          <w:lang w:val="en_US" w:bidi="en_US"/>
        </w:rPr>
        <w:t>for</w:t>
      </w:r>
      <w:r>
        <w:rPr>
          <w:lang w:val="en_US" w:bidi="en_US"/>
        </w:rPr>
        <w:t>. It introduces the reason or explanation for 19:5c. Some English versions have “because” here. Jesus called Zacchaeus to come down out of the tree because he intended to stay at his house that night. Connect 19:5c and 19:5d in a way that is natural in your language.</w:t>
      </w:r>
    </w:p>
    <w:p>
      <w:pPr/>
      <w:r>
        <w:rPr>
          <w:lang w:val="en_US" w:bidi="en_US"/>
        </w:rPr>
      </w:r>
      <w:r>
        <w:rPr>
          <w:b/>
          <w:lang w:val="en_US" w:bidi="en_US"/>
        </w:rPr>
        <w:t>I must stay at your house today:</w:t>
      </w:r>
      <w:r>
        <w:rPr>
          <w:lang w:val="en_US" w:bidi="en_US"/>
        </w:rPr>
        <w:t xml:space="preserve"> The Greek clause that the BSB translates as </w:t>
      </w:r>
      <w:r>
        <w:rPr>
          <w:i/>
          <w:lang w:val="en_US" w:bidi="en_US"/>
        </w:rPr>
        <w:t>I must stay at your house today</w:t>
      </w:r>
      <w:r>
        <w:rPr>
          <w:lang w:val="en_US" w:bidi="en_US"/>
        </w:rPr>
        <w:t xml:space="preserve"> is more literally “today it is necessary that I stay at your house.” This clause implies that it was necessary because it was God’s will. God had decided that Jesus must do that.</w:t>
      </w:r>
      <w:r>
        <w:rPr>
          <w:lang w:val="en_US" w:bidi="en_US"/>
        </w:rPr>
        <w:t>2:49; 4:43; 13:16; et al.</w:t>
      </w:r>
    </w:p>
    <w:p>
      <w:pPr/>
      <w:r>
        <w:rPr>
          <w:lang w:val="en_US" w:bidi="en_US"/>
        </w:rPr>
      </w:r>
      <w:r>
        <w:rPr>
          <w:lang w:val="en_US" w:bidi="en_US"/>
        </w:rPr>
        <w:t>Some other ways to translate the clause are:</w:t>
      </w:r>
    </w:p>
    <w:p>
      <w:pPr/>
      <w:r>
        <w:rPr>
          <w:lang w:val="en_US" w:bidi="en_US"/>
        </w:rPr>
      </w:r>
      <w:r>
        <w:rPr>
          <w:lang w:val="en_US" w:bidi="en_US"/>
        </w:rPr>
        <w:t>It is necessary for me to stay at your house today</w:t>
      </w:r>
    </w:p>
    <w:p>
      <w:pPr/>
      <w:r>
        <w:rPr>
          <w:lang w:val="en_US" w:bidi="en_US"/>
        </w:rPr>
      </w:r>
      <w:r>
        <w:rPr>
          <w:lang w:val="en_US" w:bidi="en_US"/>
        </w:rPr>
        <w:t>I am to stay at your house today (NJB)</w:t>
      </w:r>
    </w:p>
    <w:p>
      <w:pPr/>
      <w:r>
        <w:rPr>
          <w:lang w:val="en_US" w:bidi="en_US"/>
        </w:rPr>
      </w:r>
      <w:r>
        <w:rPr>
          <w:lang w:val="en_US" w:bidi="en_US"/>
        </w:rPr>
        <w:t xml:space="preserve">It is </w:t>
      </w:r>
      <w:r>
        <w:rPr>
          <w:lang w:val="en_US" w:bidi="en_US"/>
        </w:rPr>
        <w:t>God’s will</w:t>
      </w:r>
      <w:r>
        <w:rPr>
          <w:lang w:val="en_US" w:bidi="en_US"/>
        </w:rPr>
        <w:t xml:space="preserve"> that I stay at your house today</w:t>
      </w:r>
    </w:p>
    <w:p>
      <w:pPr/>
      <w:r>
        <w:rPr>
          <w:lang w:val="en_US" w:bidi="en_US"/>
        </w:rPr>
      </w:r>
      <w:r>
        <w:rPr>
          <w:lang w:val="en_US" w:bidi="en_US"/>
        </w:rPr>
        <w:t xml:space="preserve">In the Greek text this clause begins with the word </w:t>
      </w:r>
      <w:r>
        <w:rPr>
          <w:i/>
          <w:lang w:val="en_US" w:bidi="en_US"/>
        </w:rPr>
        <w:t>today</w:t>
      </w:r>
      <w:r>
        <w:rPr>
          <w:lang w:val="en_US" w:bidi="en_US"/>
        </w:rPr>
        <w:t>. For example:</w:t>
      </w:r>
    </w:p>
    <w:p>
      <w:pPr/>
      <w:r>
        <w:rPr>
          <w:lang w:val="en_US" w:bidi="en_US"/>
        </w:rPr>
      </w:r>
      <w:r>
        <w:rPr>
          <w:lang w:val="en_US" w:bidi="en_US"/>
        </w:rPr>
        <w:t>today I must stay at your house (NASB)</w:t>
      </w:r>
    </w:p>
    <w:p>
      <w:pPr/>
      <w:r>
        <w:rPr>
          <w:lang w:val="en_US" w:bidi="en_US"/>
        </w:rPr>
      </w:r>
      <w:r>
        <w:rPr>
          <w:lang w:val="en_US" w:bidi="en_US"/>
        </w:rPr>
        <w:t>In this section it probably implies a connection with what Jesus said in 19:9a: “Today salvation has come to this house.”</w:t>
      </w:r>
      <w:r>
        <w:rPr>
          <w:lang w:val="en_US" w:bidi="en_US"/>
        </w:rPr>
        <w:t xml:space="preserve">Luke often used the word “today” in statements that have theological significance, for example: 2:11 “Today…a Savior has been born to you,” 4:21 “Today this Scripture is fulfilled in your hearing,” and 23:43 “today you will be with Me in Paradise.” This is similar to Paul’s statement “now is the day of salvation” (2 Corinthians 6:2—though </w:t>
      </w:r>
      <w:r>
        <w:rPr>
          <w:i/>
          <w:lang w:val="en_US" w:bidi="en_US"/>
        </w:rPr>
        <w:t>σήμερον</w:t>
      </w:r>
      <w:r>
        <w:rPr>
          <w:lang w:val="en_US" w:bidi="en_US"/>
        </w:rPr>
        <w:t xml:space="preserve"> is not used there) and the writer of Hebrews’ use of the word in Hebrews 3:7–15 and 4:6–11.</w:t>
      </w:r>
    </w:p>
    <w:p>
      <w:pPr/>
      <w:r>
        <w:rPr>
          <w:lang w:val="en_US" w:bidi="en_US"/>
        </w:rPr>
      </w:r>
      <w:r>
        <w:rPr>
          <w:b/>
          <w:lang w:val="en_US" w:bidi="en_US"/>
        </w:rPr>
        <w:t>stay at your house today:</w:t>
      </w:r>
      <w:r>
        <w:rPr>
          <w:lang w:val="en_US" w:bidi="en_US"/>
        </w:rPr>
        <w:t xml:space="preserve"> The Greek phrase that the BSB translates as </w:t>
      </w:r>
      <w:r>
        <w:rPr>
          <w:i/>
          <w:lang w:val="en_US" w:bidi="en_US"/>
        </w:rPr>
        <w:t>stay at your house today</w:t>
      </w:r>
      <w:r>
        <w:rPr>
          <w:lang w:val="en_US" w:bidi="en_US"/>
        </w:rPr>
        <w:t xml:space="preserve"> implies that Jesus would remain at Zacchaeus’ house for the rest of the day. It probably implies that he would also spend the night there.</w:t>
      </w:r>
      <w:r>
        <w:rPr>
          <w:lang w:val="en_US" w:bidi="en_US"/>
        </w:rPr>
        <w:t>Marshall (p. 697) says of the Greek word used here: “</w:t>
      </w:r>
      <w:r>
        <w:rPr>
          <w:i/>
          <w:lang w:val="en_US" w:bidi="en_US"/>
        </w:rPr>
        <w:t>ménō</w:t>
      </w:r>
      <w:r>
        <w:rPr>
          <w:lang w:val="en_US" w:bidi="en_US"/>
        </w:rPr>
        <w:t xml:space="preserve"> is the usual word for staying at a person’s house (John. 1:38f.), equivalent here to </w:t>
      </w:r>
      <w:r>
        <w:rPr>
          <w:i/>
          <w:lang w:val="en_US" w:bidi="en_US"/>
        </w:rPr>
        <w:t>katalúō</w:t>
      </w:r>
      <w:r>
        <w:rPr>
          <w:lang w:val="en_US" w:bidi="en_US"/>
        </w:rPr>
        <w:t>, ‘to stay a night’ (19:7).”</w:t>
      </w:r>
      <w:r>
        <w:rPr>
          <w:lang w:val="en_US" w:bidi="en_US"/>
        </w:rPr>
        <w:t xml:space="preserve"> Use an appropriate expression in your language. Here is another way to translate this:</w:t>
      </w:r>
    </w:p>
    <w:p>
      <w:pPr/>
      <w:r>
        <w:rPr>
          <w:lang w:val="en_US" w:bidi="en_US"/>
        </w:rPr>
      </w:r>
      <w:r>
        <w:rPr>
          <w:lang w:val="en_US" w:bidi="en_US"/>
        </w:rPr>
        <w:t>be a guest in your home today (NLT)</w:t>
      </w:r>
    </w:p>
    <w:p>
      <w:pPr>
        <w:pStyle w:val="Heading6"/>
      </w:pPr>
      <w:r>
        <w:rPr>
          <w:b/>
          <w:lang w:val="en_US" w:bidi="en_US"/>
        </w:rPr>
        <w:t>General Comment on 19:5c–d</w:t>
      </w:r>
    </w:p>
    <w:p>
      <w:pPr/>
      <w:r>
        <w:rPr>
          <w:lang w:val="en_US" w:bidi="en_US"/>
        </w:rPr>
      </w:r>
      <w:r>
        <w:rPr>
          <w:lang w:val="en_US" w:bidi="en_US"/>
        </w:rPr>
        <w:t>In some languages it may be more natural to change the order of the clauses in this verse. For example:</w:t>
      </w:r>
    </w:p>
    <w:p>
      <w:pPr/>
      <w:r>
        <w:rPr>
          <w:lang w:val="en_US" w:bidi="en_US"/>
        </w:rPr>
      </w:r>
      <w:r>
        <w:rPr>
          <w:vertAlign w:val="superscript"/>
          <w:lang w:val="en_US" w:bidi="en_US"/>
        </w:rPr>
        <w:t>5c</w:t>
      </w:r>
      <w:r>
        <w:rPr>
          <w:lang w:val="en_US" w:bidi="en_US"/>
        </w:rPr>
        <w:t xml:space="preserve">Zacchaeus, </w:t>
      </w:r>
      <w:r>
        <w:rPr>
          <w:vertAlign w:val="superscript"/>
          <w:lang w:val="en_US" w:bidi="en_US"/>
        </w:rPr>
        <w:t>5d</w:t>
      </w:r>
      <w:r>
        <w:rPr>
          <w:lang w:val="en_US" w:bidi="en_US"/>
        </w:rPr>
        <w:t xml:space="preserve">today I must stay at your house, </w:t>
      </w:r>
      <w:r>
        <w:rPr>
          <w:vertAlign w:val="superscript"/>
          <w:lang w:val="en_US" w:bidi="en_US"/>
        </w:rPr>
        <w:t>5c</w:t>
      </w:r>
      <w:r>
        <w:rPr>
          <w:lang w:val="en_US" w:bidi="en_US"/>
        </w:rPr>
        <w:t>so hurry down.</w:t>
      </w:r>
      <w:r>
        <w:rPr>
          <w:lang w:val="en_US" w:bidi="en_US"/>
        </w:rPr>
      </w:r>
      <w:r>
        <w:rPr>
          <w:lang w:val="en_US" w:bidi="en_US"/>
        </w:rPr>
      </w:r>
    </w:p>
    <w:p>
      <w:pPr/>
      <w:r>
        <w:rPr>
          <w:lang w:val="en_US" w:bidi="en_US"/>
        </w:rPr>
      </w:r>
    </w:p>
    <w:p>
      <w:pPr>
        <w:pStyle w:val="Heading2"/>
      </w:pPr>
      <w:r>
        <w:rPr>
          <w:lang w:val="en_US" w:bidi="en_US"/>
        </w:rPr>
        <w:t>Luke 19:6</w:t>
      </w:r>
      <w:r>
        <w:rPr>
          <w:lang w:val="en_US" w:bidi="en_US"/>
        </w:rPr>
      </w:r>
    </w:p>
    <w:p>
      <w:pPr>
        <w:pStyle w:val="Heading4"/>
      </w:pPr>
      <w:r>
        <w:rPr>
          <w:lang w:val="en_US" w:bidi="en_US"/>
        </w:rPr>
        <w:t>Section 19:1–10: Zacchaeus the tax collector began to follow Jesus</w:t>
      </w:r>
    </w:p>
    <w:p>
      <w:pPr/>
      <w:r>
        <w:rPr>
          <w:lang w:val="en_US" w:bidi="en_US"/>
        </w:rPr>
      </w:r>
      <w:r>
        <w:rPr>
          <w:lang w:val="en_US" w:bidi="en_US"/>
        </w:rPr>
        <w:t>In the preceding section Jesus was approaching Jericho. In this section he entered Jericho and met a tax collector named Zacchaeus.</w:t>
      </w:r>
    </w:p>
    <w:p>
      <w:pPr/>
      <w:r>
        <w:rPr>
          <w:lang w:val="en_US" w:bidi="en_US"/>
        </w:rPr>
      </w:r>
      <w:r>
        <w:rPr>
          <w:lang w:val="en_US" w:bidi="en_US"/>
        </w:rPr>
        <w:t>The Jews thought that the tax collectors were more sinful than other people. Most tax collectors cheated their own Jewish people by charging them more money than they actually owed. The tax collectors also worked with government officials who were not Jews, so the Jews assumed that tax collectors were often ritually unclean. While they were ritually unclean, they were not able to enter the temple or synagogue to worship God publicly. If another Jew entered a tax collector’s house or ate with him while he was unclean, that Jew also would become unclean.</w:t>
      </w:r>
    </w:p>
    <w:p>
      <w:pPr/>
      <w:r>
        <w:rPr>
          <w:lang w:val="en_US" w:bidi="en_US"/>
        </w:rPr>
      </w:r>
      <w:r>
        <w:rPr>
          <w:lang w:val="en_US" w:bidi="en_US"/>
        </w:rPr>
        <w:t>The city of Jericho, where Zacchaeus worked, was a busy trading center. People were required to pay taxes on things that they sold. A chief tax collector like Zacchaeus could easily become rich through collecting taxes there.</w:t>
      </w:r>
      <w:r>
        <w:rPr>
          <w:lang w:val="en_US" w:bidi="en_US"/>
        </w:rPr>
        <w:t>Keener (p. 240) says: “Being a border city, Jericho had a customs station. Because it was also one of the wealthiest cities of Palestine, in the most fertile part of Judea and boasting a Herodian palace, other tax income would also be extensive. The ‘chief’ tax gatherer would be the one who contracted for sales and customs taxes and hired collectors under him. Given this role, Zacchaeus could have become rich without cheating; but it seems that he had cheated anyway (19:8).” However, it was often difficult for people to pay these taxes, and high taxes caused many of them to remain poor. That may have been a reason why Zacchaeus promised Jesus that he would give half of his possessions to poor people (19:8).</w:t>
      </w:r>
    </w:p>
    <w:p>
      <w:pPr/>
      <w:r>
        <w:rPr>
          <w:lang w:val="en_US" w:bidi="en_US"/>
        </w:rPr>
      </w:r>
      <w:r>
        <w:rPr>
          <w:lang w:val="en_US" w:bidi="en_US"/>
        </w:rPr>
        <w:t>You may want to include footnotes in your translation to help readers understand this background information. Suggested footnotes are given at 19:2b, Paragraph 19:5–7, and 19:7b.</w:t>
      </w:r>
    </w:p>
    <w:p>
      <w:pPr/>
      <w:r>
        <w:rPr>
          <w:lang w:val="en_US" w:bidi="en_US"/>
        </w:rPr>
      </w:r>
      <w:r>
        <w:rPr>
          <w:lang w:val="en_US" w:bidi="en_US"/>
        </w:rPr>
        <w:t>Jesus was a Jew, but he went to Zacchaeus’ house and ate a meal with him. During that time, Zacchaeus repented of his sins and received salvation.</w:t>
      </w:r>
    </w:p>
    <w:p>
      <w:pPr/>
      <w:r>
        <w:rPr>
          <w:lang w:val="en_US" w:bidi="en_US"/>
        </w:rPr>
      </w:r>
      <w:r>
        <w:rPr>
          <w:lang w:val="en_US" w:bidi="en_US"/>
        </w:rPr>
        <w:t>Other examples of headings for this section are:</w:t>
      </w:r>
    </w:p>
    <w:p>
      <w:pPr/>
      <w:r>
        <w:rPr>
          <w:lang w:val="en_US" w:bidi="en_US"/>
        </w:rPr>
      </w:r>
      <w:r>
        <w:rPr>
          <w:lang w:val="en_US" w:bidi="en_US"/>
        </w:rPr>
        <w:t>Jesus and Zacchaeus (GNT)</w:t>
      </w:r>
    </w:p>
    <w:p>
      <w:pPr/>
      <w:r>
        <w:rPr>
          <w:lang w:val="en_US" w:bidi="en_US"/>
        </w:rPr>
      </w:r>
      <w:r>
        <w:rPr>
          <w:lang w:val="en_US" w:bidi="en_US"/>
        </w:rPr>
        <w:t>Jesus went to Zacchaeus’ house</w:t>
      </w:r>
    </w:p>
    <w:p>
      <w:pPr/>
      <w:r>
        <w:rPr>
          <w:lang w:val="en_US" w:bidi="en_US"/>
        </w:rPr>
      </w:r>
      <w:r>
        <w:rPr>
          <w:lang w:val="en_US" w:bidi="en_US"/>
        </w:rPr>
        <w:t>Jesus ate with Zacchaeus the tax collector</w:t>
      </w:r>
    </w:p>
    <w:p>
      <w:pPr/>
      <w:r>
        <w:rPr>
          <w:lang w:val="en_US" w:bidi="en_US"/>
        </w:rPr>
      </w:r>
      <w:r>
        <w:rPr>
          <w:lang w:val="en_US" w:bidi="en_US"/>
        </w:rPr>
        <w:t>Only the Gospel of Luke tells about this event. The other gospels do not mention it.</w:t>
      </w:r>
    </w:p>
    <w:p>
      <w:pPr>
        <w:pStyle w:val="Heading4"/>
      </w:pPr>
      <w:r>
        <w:rPr>
          <w:lang w:val="en_US" w:bidi="en_US"/>
        </w:rPr>
        <w:t>Paragraph 19:5–7</w:t>
      </w:r>
    </w:p>
    <w:p>
      <w:pPr/>
      <w:r>
        <w:rPr>
          <w:lang w:val="en_US" w:bidi="en_US"/>
        </w:rPr>
      </w:r>
      <w:r>
        <w:rPr>
          <w:lang w:val="en_US" w:bidi="en_US"/>
        </w:rPr>
        <w:t>In Jewish culture, a person usually would not eat or stay in someone’s house if that person did not invite him. But Jesus invited himself to be the guest of Zacchaeus. Jesus showed that he was willing to enter the house of a tax collector even if it meant that he would be considered ritually unclean.</w:t>
      </w:r>
    </w:p>
    <w:p>
      <w:pPr/>
      <w:r>
        <w:rPr>
          <w:lang w:val="en_US" w:bidi="en_US"/>
        </w:rPr>
      </w:r>
      <w:r>
        <w:rPr>
          <w:lang w:val="en_US" w:bidi="en_US"/>
        </w:rPr>
        <w:t>If you are using footnotes to give background information, you might want to use one here. For example:</w:t>
      </w:r>
    </w:p>
    <w:p>
      <w:pPr/>
      <w:r>
        <w:rPr>
          <w:lang w:val="en_US" w:bidi="en_US"/>
        </w:rPr>
      </w:r>
      <w:r>
        <w:rPr>
          <w:lang w:val="en_US" w:bidi="en_US"/>
        </w:rPr>
        <w:t>In Jewish culture it was not customary for a person to invite himself to eat at another person’s house. Jesus did that to help Zacchaeus. Zacchaeus knew that most religious leaders would not enter a tax collector’s house, so Zacchaeus might not feel that he should invite Jesus.</w:t>
      </w:r>
    </w:p>
    <w:p>
      <w:pPr/>
      <w:r>
        <w:rPr>
          <w:lang w:val="en_US" w:bidi="en_US"/>
        </w:rPr>
      </w:r>
      <w:r>
        <w:rPr>
          <w:lang w:val="en_US" w:bidi="en_US"/>
        </w:rPr>
        <w:t>For more background information about tax collectors, see the introduction to Section 19:1–10.</w:t>
      </w:r>
    </w:p>
    <w:p>
      <w:pPr>
        <w:pStyle w:val="Heading5"/>
      </w:pPr>
      <w:r>
        <w:rPr>
          <w:lang w:val="en_US" w:bidi="en_US"/>
        </w:rPr>
        <w:t>19:6</w:t>
      </w:r>
    </w:p>
    <w:p>
      <w:pPr/>
      <w:r>
        <w:rPr>
          <w:lang w:val="en_US" w:bidi="en_US"/>
        </w:rPr>
      </w:r>
      <w:r>
        <w:rPr>
          <w:b/>
          <w:lang w:val="en_US" w:bidi="en_US"/>
        </w:rPr>
        <w:t>So Zacchaeus hurried down and welcomed Him joyfully.</w:t>
      </w:r>
    </w:p>
    <w:p>
      <w:pPr>
        <w:pStyle w:val="ListBullet"/>
        <w:spacing w:line="240" w:lineRule="auto"/>
        <w:ind w:left="720"/>
      </w:pPr>
      <w:r>
        <w:rPr>
          <w:lang w:val="en_US" w:bidi="en_US"/>
        </w:rPr>
      </w:r>
      <w:r>
        <w:rPr>
          <w:lang w:val="en_US" w:bidi="en_US"/>
        </w:rPr>
        <w:t>So he/Zacchaeus climbed down right away, and he gladly invited Jesus to his home.</w:t>
      </w:r>
    </w:p>
    <w:p>
      <w:pPr>
        <w:pStyle w:val="ListBullet"/>
        <w:spacing w:line="240" w:lineRule="auto"/>
        <w:ind w:left="720"/>
      </w:pPr>
      <w:r>
        <w:rPr>
          <w:lang w:val="en_US" w:bidi="en_US"/>
        </w:rPr>
      </w:r>
      <w:r>
        <w:rPr>
          <w:lang w:val="en_US" w:bidi="en_US"/>
        </w:rPr>
        <w:t xml:space="preserve">Zacchaeus immediately came down </w:t>
      </w:r>
      <w:r>
        <w:rPr>
          <w:lang w:val="en_US" w:bidi="en_US"/>
        </w:rPr>
        <w:t>from the tree</w:t>
      </w:r>
      <w:r>
        <w:rPr>
          <w:lang w:val="en_US" w:bidi="en_US"/>
        </w:rPr>
        <w:t xml:space="preserve"> and happily welcomed Jesus </w:t>
      </w:r>
      <w:r>
        <w:rPr>
          <w:lang w:val="en_US" w:bidi="en_US"/>
        </w:rPr>
        <w:t>to come</w:t>
      </w:r>
      <w:r>
        <w:rPr>
          <w:lang w:val="en_US" w:bidi="en_US"/>
        </w:rPr>
        <w:t xml:space="preserve"> </w:t>
      </w:r>
      <w:r>
        <w:rPr>
          <w:lang w:val="en_US" w:bidi="en_US"/>
        </w:rPr>
        <w:t>to his home</w:t>
      </w:r>
      <w:r>
        <w:rPr>
          <w:lang w:val="en_US" w:bidi="en_US"/>
        </w:rPr>
        <w:t>.</w:t>
      </w:r>
    </w:p>
    <w:p>
      <w:pPr/>
      <w:r>
        <w:rPr>
          <w:lang w:val="en_US" w:bidi="en_US"/>
        </w:rPr>
      </w:r>
      <w:r>
        <w:rPr>
          <w:b/>
          <w:lang w:val="en_US" w:bidi="en_US"/>
        </w:rPr>
        <w:t>So Zacchaeus hurried down and welcomed Him joyfully:</w:t>
      </w:r>
      <w:r>
        <w:rPr>
          <w:lang w:val="en_US" w:bidi="en_US"/>
        </w:rPr>
        <w:t xml:space="preserve"> This clause tells the result of what Jesus said in 19:5: Zacchaeus came down immediately and welcomed Jesus to come to his home. Zacchaeus and Jesus probably went to Zacchaeus’ home together. Some other ways to translate this are:</w:t>
      </w:r>
    </w:p>
    <w:p>
      <w:pPr/>
      <w:r>
        <w:rPr>
          <w:lang w:val="en_US" w:bidi="en_US"/>
        </w:rPr>
      </w:r>
      <w:r>
        <w:rPr>
          <w:lang w:val="en_US" w:bidi="en_US"/>
        </w:rPr>
        <w:t>Zacchaeus came down and was glad to welcome Jesus into his home. (GW)</w:t>
      </w:r>
    </w:p>
    <w:p>
      <w:pPr/>
      <w:r>
        <w:rPr>
          <w:lang w:val="en_US" w:bidi="en_US"/>
        </w:rPr>
      </w:r>
      <w:r>
        <w:rPr>
          <w:lang w:val="en_US" w:bidi="en_US"/>
        </w:rPr>
        <w:t>Zacchaeus quickly climbed down and took Jesus to his house in great excitement and joy. (NLT)</w:t>
      </w:r>
    </w:p>
    <w:p>
      <w:pPr/>
      <w:r>
        <w:rPr>
          <w:lang w:val="en_US" w:bidi="en_US"/>
        </w:rPr>
      </w:r>
      <w:r>
        <w:rPr>
          <w:b/>
          <w:lang w:val="en_US" w:bidi="en_US"/>
        </w:rPr>
        <w:t>welcomed Him joyfully:</w:t>
      </w:r>
      <w:r>
        <w:rPr>
          <w:lang w:val="en_US" w:bidi="en_US"/>
        </w:rPr>
        <w:t xml:space="preserve"> The Greek phrase that the BSB translates as </w:t>
      </w:r>
      <w:r>
        <w:rPr>
          <w:i/>
          <w:lang w:val="en_US" w:bidi="en_US"/>
        </w:rPr>
        <w:t>welcomed Him joyfully</w:t>
      </w:r>
      <w:r>
        <w:rPr>
          <w:lang w:val="en_US" w:bidi="en_US"/>
        </w:rPr>
        <w:t xml:space="preserve"> indicates that Zacchaeus received Jesus into his home with joy. Here is another way to translate this:</w:t>
      </w:r>
    </w:p>
    <w:p>
      <w:pPr/>
      <w:r>
        <w:rPr>
          <w:lang w:val="en_US" w:bidi="en_US"/>
        </w:rPr>
      </w:r>
      <w:r>
        <w:rPr>
          <w:lang w:val="en_US" w:bidi="en_US"/>
        </w:rPr>
        <w:t>received him joyfully (RSV)</w:t>
      </w:r>
      <w:r>
        <w:rPr>
          <w:lang w:val="en_US" w:bidi="en_US"/>
        </w:rPr>
      </w:r>
      <w:r>
        <w:rPr>
          <w:lang w:val="en_US" w:bidi="en_US"/>
        </w:rPr>
      </w:r>
    </w:p>
    <w:p>
      <w:pPr/>
      <w:r>
        <w:rPr>
          <w:lang w:val="en_US" w:bidi="en_US"/>
        </w:rPr>
      </w:r>
    </w:p>
    <w:p>
      <w:pPr>
        <w:pStyle w:val="Heading2"/>
      </w:pPr>
      <w:r>
        <w:rPr>
          <w:lang w:val="en_US" w:bidi="en_US"/>
        </w:rPr>
        <w:t>Luke 19:7</w:t>
      </w:r>
      <w:r>
        <w:rPr>
          <w:lang w:val="en_US" w:bidi="en_US"/>
        </w:rPr>
      </w:r>
    </w:p>
    <w:p>
      <w:pPr>
        <w:pStyle w:val="Heading4"/>
      </w:pPr>
      <w:r>
        <w:rPr>
          <w:lang w:val="en_US" w:bidi="en_US"/>
        </w:rPr>
        <w:t>Section 19:1–10: Zacchaeus the tax collector began to follow Jesus</w:t>
      </w:r>
    </w:p>
    <w:p>
      <w:pPr/>
      <w:r>
        <w:rPr>
          <w:lang w:val="en_US" w:bidi="en_US"/>
        </w:rPr>
      </w:r>
      <w:r>
        <w:rPr>
          <w:lang w:val="en_US" w:bidi="en_US"/>
        </w:rPr>
        <w:t>In the preceding section Jesus was approaching Jericho. In this section he entered Jericho and met a tax collector named Zacchaeus.</w:t>
      </w:r>
    </w:p>
    <w:p>
      <w:pPr/>
      <w:r>
        <w:rPr>
          <w:lang w:val="en_US" w:bidi="en_US"/>
        </w:rPr>
      </w:r>
      <w:r>
        <w:rPr>
          <w:lang w:val="en_US" w:bidi="en_US"/>
        </w:rPr>
        <w:t>The Jews thought that the tax collectors were more sinful than other people. Most tax collectors cheated their own Jewish people by charging them more money than they actually owed. The tax collectors also worked with government officials who were not Jews, so the Jews assumed that tax collectors were often ritually unclean. While they were ritually unclean, they were not able to enter the temple or synagogue to worship God publicly. If another Jew entered a tax collector’s house or ate with him while he was unclean, that Jew also would become unclean.</w:t>
      </w:r>
    </w:p>
    <w:p>
      <w:pPr/>
      <w:r>
        <w:rPr>
          <w:lang w:val="en_US" w:bidi="en_US"/>
        </w:rPr>
      </w:r>
      <w:r>
        <w:rPr>
          <w:lang w:val="en_US" w:bidi="en_US"/>
        </w:rPr>
        <w:t>The city of Jericho, where Zacchaeus worked, was a busy trading center. People were required to pay taxes on things that they sold. A chief tax collector like Zacchaeus could easily become rich through collecting taxes there.</w:t>
      </w:r>
      <w:r>
        <w:rPr>
          <w:lang w:val="en_US" w:bidi="en_US"/>
        </w:rPr>
        <w:t>Keener (p. 240) says: “Being a border city, Jericho had a customs station. Because it was also one of the wealthiest cities of Palestine, in the most fertile part of Judea and boasting a Herodian palace, other tax income would also be extensive. The ‘chief’ tax gatherer would be the one who contracted for sales and customs taxes and hired collectors under him. Given this role, Zacchaeus could have become rich without cheating; but it seems that he had cheated anyway (19:8).” However, it was often difficult for people to pay these taxes, and high taxes caused many of them to remain poor. That may have been a reason why Zacchaeus promised Jesus that he would give half of his possessions to poor people (19:8).</w:t>
      </w:r>
    </w:p>
    <w:p>
      <w:pPr/>
      <w:r>
        <w:rPr>
          <w:lang w:val="en_US" w:bidi="en_US"/>
        </w:rPr>
      </w:r>
      <w:r>
        <w:rPr>
          <w:lang w:val="en_US" w:bidi="en_US"/>
        </w:rPr>
        <w:t>You may want to include footnotes in your translation to help readers understand this background information. Suggested footnotes are given at 19:2b, Paragraph 19:5–7, and 19:7b.</w:t>
      </w:r>
    </w:p>
    <w:p>
      <w:pPr/>
      <w:r>
        <w:rPr>
          <w:lang w:val="en_US" w:bidi="en_US"/>
        </w:rPr>
      </w:r>
      <w:r>
        <w:rPr>
          <w:lang w:val="en_US" w:bidi="en_US"/>
        </w:rPr>
        <w:t>Jesus was a Jew, but he went to Zacchaeus’ house and ate a meal with him. During that time, Zacchaeus repented of his sins and received salvation.</w:t>
      </w:r>
    </w:p>
    <w:p>
      <w:pPr/>
      <w:r>
        <w:rPr>
          <w:lang w:val="en_US" w:bidi="en_US"/>
        </w:rPr>
      </w:r>
      <w:r>
        <w:rPr>
          <w:lang w:val="en_US" w:bidi="en_US"/>
        </w:rPr>
        <w:t>Other examples of headings for this section are:</w:t>
      </w:r>
    </w:p>
    <w:p>
      <w:pPr/>
      <w:r>
        <w:rPr>
          <w:lang w:val="en_US" w:bidi="en_US"/>
        </w:rPr>
      </w:r>
      <w:r>
        <w:rPr>
          <w:lang w:val="en_US" w:bidi="en_US"/>
        </w:rPr>
        <w:t>Jesus and Zacchaeus (GNT)</w:t>
      </w:r>
    </w:p>
    <w:p>
      <w:pPr/>
      <w:r>
        <w:rPr>
          <w:lang w:val="en_US" w:bidi="en_US"/>
        </w:rPr>
      </w:r>
      <w:r>
        <w:rPr>
          <w:lang w:val="en_US" w:bidi="en_US"/>
        </w:rPr>
        <w:t>Jesus went to Zacchaeus’ house</w:t>
      </w:r>
    </w:p>
    <w:p>
      <w:pPr/>
      <w:r>
        <w:rPr>
          <w:lang w:val="en_US" w:bidi="en_US"/>
        </w:rPr>
      </w:r>
      <w:r>
        <w:rPr>
          <w:lang w:val="en_US" w:bidi="en_US"/>
        </w:rPr>
        <w:t>Jesus ate with Zacchaeus the tax collector</w:t>
      </w:r>
    </w:p>
    <w:p>
      <w:pPr/>
      <w:r>
        <w:rPr>
          <w:lang w:val="en_US" w:bidi="en_US"/>
        </w:rPr>
      </w:r>
      <w:r>
        <w:rPr>
          <w:lang w:val="en_US" w:bidi="en_US"/>
        </w:rPr>
        <w:t>Only the Gospel of Luke tells about this event. The other gospels do not mention it.</w:t>
      </w:r>
    </w:p>
    <w:p>
      <w:pPr>
        <w:pStyle w:val="Heading4"/>
      </w:pPr>
      <w:r>
        <w:rPr>
          <w:lang w:val="en_US" w:bidi="en_US"/>
        </w:rPr>
        <w:t>Paragraph 19:5–7</w:t>
      </w:r>
    </w:p>
    <w:p>
      <w:pPr/>
      <w:r>
        <w:rPr>
          <w:lang w:val="en_US" w:bidi="en_US"/>
        </w:rPr>
      </w:r>
      <w:r>
        <w:rPr>
          <w:lang w:val="en_US" w:bidi="en_US"/>
        </w:rPr>
        <w:t>In Jewish culture, a person usually would not eat or stay in someone’s house if that person did not invite him. But Jesus invited himself to be the guest of Zacchaeus. Jesus showed that he was willing to enter the house of a tax collector even if it meant that he would be considered ritually unclean.</w:t>
      </w:r>
    </w:p>
    <w:p>
      <w:pPr/>
      <w:r>
        <w:rPr>
          <w:lang w:val="en_US" w:bidi="en_US"/>
        </w:rPr>
      </w:r>
      <w:r>
        <w:rPr>
          <w:lang w:val="en_US" w:bidi="en_US"/>
        </w:rPr>
        <w:t>If you are using footnotes to give background information, you might want to use one here. For example:</w:t>
      </w:r>
    </w:p>
    <w:p>
      <w:pPr/>
      <w:r>
        <w:rPr>
          <w:lang w:val="en_US" w:bidi="en_US"/>
        </w:rPr>
      </w:r>
      <w:r>
        <w:rPr>
          <w:lang w:val="en_US" w:bidi="en_US"/>
        </w:rPr>
        <w:t>In Jewish culture it was not customary for a person to invite himself to eat at another person’s house. Jesus did that to help Zacchaeus. Zacchaeus knew that most religious leaders would not enter a tax collector’s house, so Zacchaeus might not feel that he should invite Jesus.</w:t>
      </w:r>
    </w:p>
    <w:p>
      <w:pPr/>
      <w:r>
        <w:rPr>
          <w:lang w:val="en_US" w:bidi="en_US"/>
        </w:rPr>
      </w:r>
      <w:r>
        <w:rPr>
          <w:lang w:val="en_US" w:bidi="en_US"/>
        </w:rPr>
        <w:t>For more background information about tax collectors, see the introduction to Section 19:1–10.</w:t>
      </w:r>
    </w:p>
    <w:p>
      <w:pPr>
        <w:pStyle w:val="Heading5"/>
      </w:pPr>
      <w:r>
        <w:rPr>
          <w:lang w:val="en_US" w:bidi="en_US"/>
        </w:rPr>
        <w:t>19:7a–b</w:t>
      </w:r>
    </w:p>
    <w:p>
      <w:pPr/>
      <w:r>
        <w:rPr>
          <w:lang w:val="en_US" w:bidi="en_US"/>
        </w:rPr>
      </w:r>
      <w:r>
        <w:rPr>
          <w:b/>
          <w:lang w:val="en_US" w:bidi="en_US"/>
        </w:rPr>
        <w:t>And all who saw this began to grumble, saying, “He has gone to be the guest of a sinful man!”:</w:t>
      </w:r>
      <w:r>
        <w:rPr>
          <w:lang w:val="en_US" w:bidi="en_US"/>
        </w:rPr>
        <w:t xml:space="preserve"> The phrase </w:t>
      </w:r>
      <w:r>
        <w:rPr>
          <w:i/>
          <w:lang w:val="en_US" w:bidi="en_US"/>
        </w:rPr>
        <w:t>began to grumble, saying</w:t>
      </w:r>
      <w:r>
        <w:rPr>
          <w:lang w:val="en_US" w:bidi="en_US"/>
        </w:rPr>
        <w:t xml:space="preserve"> is literally “were complaining, saying.” It introduces an example of what the people said. Some other ways to translate it in English are:</w:t>
      </w:r>
    </w:p>
    <w:p>
      <w:pPr/>
      <w:r>
        <w:rPr>
          <w:lang w:val="en_US" w:bidi="en_US"/>
        </w:rPr>
      </w:r>
      <w:r>
        <w:rPr>
          <w:lang w:val="en_US" w:bidi="en_US"/>
        </w:rPr>
        <w:t>But the people who saw this complained about it. They said, “He has gone to stay with a sinner.”</w:t>
      </w:r>
    </w:p>
    <w:p>
      <w:pPr/>
      <w:r>
        <w:rPr>
          <w:lang w:val="en_US" w:bidi="en_US"/>
        </w:rPr>
      </w:r>
      <w:r>
        <w:rPr>
          <w:lang w:val="en_US" w:bidi="en_US"/>
        </w:rPr>
        <w:t>Everyone who saw this started grumbling, “This man Zacchaeus is a sinner! And Jesus is going home to eat with him.” (CEV)</w:t>
      </w:r>
    </w:p>
    <w:p>
      <w:pPr/>
      <w:r>
        <w:rPr>
          <w:lang w:val="en_US" w:bidi="en_US"/>
        </w:rPr>
      </w:r>
      <w:r>
        <w:rPr>
          <w:lang w:val="en_US" w:bidi="en_US"/>
        </w:rPr>
        <w:t>Notice that the CEV has changed the order of the information in the quote. Use a natural order in your language.</w:t>
      </w:r>
    </w:p>
    <w:p>
      <w:pPr/>
      <w:r>
        <w:rPr>
          <w:lang w:val="en_US" w:bidi="en_US"/>
        </w:rPr>
      </w:r>
      <w:r>
        <w:rPr>
          <w:lang w:val="en_US" w:bidi="en_US"/>
        </w:rPr>
        <w:t>In some languages it may be more natural to use an indirect quote here. For example:</w:t>
      </w:r>
    </w:p>
    <w:p>
      <w:pPr/>
      <w:r>
        <w:rPr>
          <w:lang w:val="en_US" w:bidi="en_US"/>
        </w:rPr>
      </w:r>
      <w:r>
        <w:rPr>
          <w:lang w:val="en_US" w:bidi="en_US"/>
        </w:rPr>
        <w:t>They all began to mutter that it was not right for him to go and stay with a sinner.</w:t>
      </w:r>
    </w:p>
    <w:p>
      <w:pPr/>
      <w:r>
        <w:rPr>
          <w:lang w:val="en_US" w:bidi="en_US"/>
        </w:rPr>
      </w:r>
      <w:r>
        <w:rPr>
          <w:lang w:val="en_US" w:bidi="en_US"/>
        </w:rPr>
        <w:t>The people did not like it. They said that Zacchaeus was a sinner and that Jesus should not visit in his home.</w:t>
      </w:r>
    </w:p>
    <w:p>
      <w:pPr>
        <w:pStyle w:val="Heading5"/>
      </w:pPr>
      <w:r>
        <w:rPr>
          <w:lang w:val="en_US" w:bidi="en_US"/>
        </w:rPr>
        <w:t>19:7a</w:t>
      </w:r>
    </w:p>
    <w:p>
      <w:pPr/>
      <w:r>
        <w:rPr>
          <w:lang w:val="en_US" w:bidi="en_US"/>
        </w:rPr>
      </w:r>
      <w:r>
        <w:rPr>
          <w:b/>
          <w:lang w:val="en_US" w:bidi="en_US"/>
        </w:rPr>
        <w:t>And all who saw this began to grumble, saying,</w:t>
      </w:r>
    </w:p>
    <w:p>
      <w:pPr>
        <w:pStyle w:val="ListBullet"/>
        <w:spacing w:line="240" w:lineRule="auto"/>
        <w:ind w:left="720"/>
      </w:pPr>
      <w:r>
        <w:rPr>
          <w:lang w:val="en_US" w:bidi="en_US"/>
        </w:rPr>
      </w:r>
      <w:r>
        <w:rPr>
          <w:lang w:val="en_US" w:bidi="en_US"/>
        </w:rPr>
        <w:t>The crowd saw what happened and began to grumble about it.</w:t>
      </w:r>
    </w:p>
    <w:p>
      <w:pPr>
        <w:pStyle w:val="ListBullet"/>
        <w:spacing w:line="240" w:lineRule="auto"/>
        <w:ind w:left="720"/>
      </w:pPr>
      <w:r>
        <w:rPr>
          <w:lang w:val="en_US" w:bidi="en_US"/>
        </w:rPr>
      </w:r>
      <w:r>
        <w:rPr>
          <w:lang w:val="en_US" w:bidi="en_US"/>
        </w:rPr>
        <w:t xml:space="preserve">Seeing this, everyone there started to criticize </w:t>
      </w:r>
      <w:r>
        <w:rPr>
          <w:lang w:val="en_US" w:bidi="en_US"/>
        </w:rPr>
        <w:t>Jesus</w:t>
      </w:r>
      <w:r>
        <w:rPr>
          <w:lang w:val="en_US" w:bidi="en_US"/>
        </w:rPr>
        <w:t>.</w:t>
      </w:r>
    </w:p>
    <w:p>
      <w:pPr>
        <w:pStyle w:val="ListBullet"/>
        <w:spacing w:line="240" w:lineRule="auto"/>
        <w:ind w:left="720"/>
      </w:pPr>
      <w:r>
        <w:rPr>
          <w:lang w:val="en_US" w:bidi="en_US"/>
        </w:rPr>
      </w:r>
      <w:r>
        <w:rPr>
          <w:lang w:val="en_US" w:bidi="en_US"/>
        </w:rPr>
        <w:t xml:space="preserve">When the people </w:t>
      </w:r>
      <w:r>
        <w:rPr>
          <w:lang w:val="en_US" w:bidi="en_US"/>
        </w:rPr>
        <w:t>who were there</w:t>
      </w:r>
      <w:r>
        <w:rPr>
          <w:lang w:val="en_US" w:bidi="en_US"/>
        </w:rPr>
        <w:t xml:space="preserve"> saw </w:t>
      </w:r>
      <w:r>
        <w:rPr>
          <w:lang w:val="en_US" w:bidi="en_US"/>
        </w:rPr>
        <w:t>and heard</w:t>
      </w:r>
      <w:r>
        <w:rPr>
          <w:lang w:val="en_US" w:bidi="en_US"/>
        </w:rPr>
        <w:t xml:space="preserve"> this, they all complained </w:t>
      </w:r>
      <w:r>
        <w:rPr>
          <w:lang w:val="en_US" w:bidi="en_US"/>
        </w:rPr>
        <w:t>against Jesus</w:t>
      </w:r>
      <w:r>
        <w:rPr>
          <w:lang w:val="en_US" w:bidi="en_US"/>
        </w:rPr>
        <w:t>,</w:t>
      </w:r>
    </w:p>
    <w:p>
      <w:pPr/>
      <w:r>
        <w:rPr>
          <w:lang w:val="en_US" w:bidi="en_US"/>
        </w:rPr>
      </w:r>
      <w:r>
        <w:rPr>
          <w:b/>
          <w:lang w:val="en_US" w:bidi="en_US"/>
        </w:rPr>
        <w:t>And all who saw this began to grumble:</w:t>
      </w:r>
      <w:r>
        <w:rPr>
          <w:lang w:val="en_US" w:bidi="en_US"/>
        </w:rPr>
        <w:t xml:space="preserve"> The word </w:t>
      </w:r>
      <w:r>
        <w:rPr>
          <w:i/>
          <w:lang w:val="en_US" w:bidi="en_US"/>
        </w:rPr>
        <w:t>this</w:t>
      </w:r>
      <w:r>
        <w:rPr>
          <w:lang w:val="en_US" w:bidi="en_US"/>
        </w:rPr>
        <w:t xml:space="preserve"> is not in the Greek text. The BSB has supplied it to make the clause natural in English. In some languages you may need to make the clause more explicit. For example:</w:t>
      </w:r>
    </w:p>
    <w:p>
      <w:pPr/>
      <w:r>
        <w:rPr>
          <w:lang w:val="en_US" w:bidi="en_US"/>
        </w:rPr>
      </w:r>
      <w:r>
        <w:rPr>
          <w:lang w:val="en_US" w:bidi="en_US"/>
        </w:rPr>
        <w:t>When the people saw that Jesus had gone to Zacchaeus’ house with him…</w:t>
      </w:r>
    </w:p>
    <w:p>
      <w:pPr/>
      <w:r>
        <w:rPr>
          <w:lang w:val="en_US" w:bidi="en_US"/>
        </w:rPr>
      </w:r>
      <w:r>
        <w:rPr>
          <w:lang w:val="en_US" w:bidi="en_US"/>
        </w:rPr>
        <w:t xml:space="preserve">In some languages this information may already be implied, and you may not need to translate the phrase </w:t>
      </w:r>
      <w:r>
        <w:rPr>
          <w:i/>
          <w:lang w:val="en_US" w:bidi="en_US"/>
        </w:rPr>
        <w:t>saw this</w:t>
      </w:r>
      <w:r>
        <w:rPr>
          <w:lang w:val="en_US" w:bidi="en_US"/>
        </w:rPr>
        <w:t>. For example:</w:t>
      </w:r>
    </w:p>
    <w:p>
      <w:pPr/>
      <w:r>
        <w:rPr>
          <w:lang w:val="en_US" w:bidi="en_US"/>
        </w:rPr>
      </w:r>
      <w:r>
        <w:rPr>
          <w:lang w:val="en_US" w:bidi="en_US"/>
        </w:rPr>
        <w:t>But the people were displeased. (NLT)</w:t>
      </w:r>
    </w:p>
    <w:p>
      <w:pPr/>
      <w:r>
        <w:rPr>
          <w:lang w:val="en_US" w:bidi="en_US"/>
        </w:rPr>
      </w:r>
      <w:r>
        <w:rPr>
          <w:b/>
          <w:lang w:val="en_US" w:bidi="en_US"/>
        </w:rPr>
        <w:t>all who saw this:</w:t>
      </w:r>
      <w:r>
        <w:rPr>
          <w:lang w:val="en_US" w:bidi="en_US"/>
        </w:rPr>
        <w:t xml:space="preserve"> The Greek word that the BSB translates literally as </w:t>
      </w:r>
      <w:r>
        <w:rPr>
          <w:i/>
          <w:lang w:val="en_US" w:bidi="en_US"/>
        </w:rPr>
        <w:t>all</w:t>
      </w:r>
      <w:r>
        <w:rPr>
          <w:lang w:val="en_US" w:bidi="en_US"/>
        </w:rPr>
        <w:t xml:space="preserve"> refers to the crowd that was following Jesus. They were there watching. Refer to them in a clear way in your language. Some ways to refer to them in English are:</w:t>
      </w:r>
    </w:p>
    <w:p>
      <w:pPr/>
      <w:r>
        <w:rPr>
          <w:lang w:val="en_US" w:bidi="en_US"/>
        </w:rPr>
      </w:r>
      <w:r>
        <w:rPr>
          <w:lang w:val="en_US" w:bidi="en_US"/>
        </w:rPr>
        <w:t>All the people who were there</w:t>
      </w:r>
    </w:p>
    <w:p>
      <w:pPr/>
      <w:r>
        <w:rPr>
          <w:lang w:val="en_US" w:bidi="en_US"/>
        </w:rPr>
      </w:r>
      <w:r>
        <w:rPr>
          <w:lang w:val="en_US" w:bidi="en_US"/>
        </w:rPr>
        <w:t>The whole crowd that was following Jesus</w:t>
      </w:r>
    </w:p>
    <w:p>
      <w:pPr/>
      <w:r>
        <w:rPr>
          <w:lang w:val="en_US" w:bidi="en_US"/>
        </w:rPr>
      </w:r>
      <w:r>
        <w:rPr>
          <w:b/>
          <w:lang w:val="en_US" w:bidi="en_US"/>
        </w:rPr>
        <w:t>began to grumble:</w:t>
      </w:r>
      <w:r>
        <w:rPr>
          <w:lang w:val="en_US" w:bidi="en_US"/>
        </w:rPr>
        <w:t xml:space="preserve"> The Greek phrase that the BSB translates as </w:t>
      </w:r>
      <w:r>
        <w:rPr>
          <w:i/>
          <w:lang w:val="en_US" w:bidi="en_US"/>
        </w:rPr>
        <w:t>began to grumble</w:t>
      </w:r>
      <w:r>
        <w:rPr>
          <w:lang w:val="en_US" w:bidi="en_US"/>
        </w:rPr>
        <w:t xml:space="preserve"> indicates here that the people complained about what Jesus did. They criticized Jesus because they did not think that he should go to stay with a sinner such as Zacchaeus. Some other ways to translate </w:t>
      </w:r>
      <w:r>
        <w:rPr>
          <w:i/>
          <w:lang w:val="en_US" w:bidi="en_US"/>
        </w:rPr>
        <w:t>began to grumble</w:t>
      </w:r>
      <w:r>
        <w:rPr>
          <w:lang w:val="en_US" w:bidi="en_US"/>
        </w:rPr>
        <w:t xml:space="preserve"> are:</w:t>
      </w:r>
    </w:p>
    <w:p>
      <w:pPr/>
      <w:r>
        <w:rPr>
          <w:lang w:val="en_US" w:bidi="en_US"/>
        </w:rPr>
      </w:r>
      <w:r>
        <w:rPr>
          <w:lang w:val="en_US" w:bidi="en_US"/>
        </w:rPr>
        <w:t>said that Jesus should not do that</w:t>
      </w:r>
    </w:p>
    <w:p>
      <w:pPr/>
      <w:r>
        <w:rPr>
          <w:lang w:val="en_US" w:bidi="en_US"/>
        </w:rPr>
      </w:r>
      <w:r>
        <w:rPr>
          <w:lang w:val="en_US" w:bidi="en_US"/>
        </w:rPr>
        <w:t>criticized Jesus</w:t>
      </w:r>
    </w:p>
    <w:p>
      <w:pPr/>
      <w:r>
        <w:rPr>
          <w:lang w:val="en_US" w:bidi="en_US"/>
        </w:rPr>
      </w:r>
      <w:r>
        <w:rPr>
          <w:lang w:val="en_US" w:bidi="en_US"/>
        </w:rPr>
        <w:t>The form of the Greek verb can be translated as an action that is beginning, as in the BSB. The same form of the word was used in 15:2 in a similar context. See how you translated it there.</w:t>
      </w:r>
    </w:p>
    <w:p>
      <w:pPr>
        <w:pStyle w:val="Heading5"/>
      </w:pPr>
      <w:r>
        <w:rPr>
          <w:lang w:val="en_US" w:bidi="en_US"/>
        </w:rPr>
        <w:t>19:7b</w:t>
      </w:r>
    </w:p>
    <w:p>
      <w:pPr/>
      <w:r>
        <w:rPr>
          <w:lang w:val="en_US" w:bidi="en_US"/>
        </w:rPr>
      </w:r>
      <w:r>
        <w:rPr>
          <w:b/>
          <w:lang w:val="en_US" w:bidi="en_US"/>
        </w:rPr>
        <w:t>“He has gone to be the guest of a sinful man!”</w:t>
      </w:r>
    </w:p>
    <w:p>
      <w:pPr>
        <w:pStyle w:val="ListBullet"/>
        <w:spacing w:line="240" w:lineRule="auto"/>
        <w:ind w:left="720"/>
      </w:pPr>
      <w:r>
        <w:rPr>
          <w:lang w:val="en_US" w:bidi="en_US"/>
        </w:rPr>
      </w:r>
      <w:r>
        <w:rPr>
          <w:lang w:val="en_US" w:bidi="en_US"/>
        </w:rPr>
        <w:t>They said,</w:t>
      </w:r>
      <w:r>
        <w:rPr>
          <w:lang w:val="en_US" w:bidi="en_US"/>
        </w:rPr>
        <w:t xml:space="preserve"> “Jesus has gone to stay in the house of a sinful/evil man.”</w:t>
      </w:r>
    </w:p>
    <w:p>
      <w:pPr>
        <w:pStyle w:val="ListBullet"/>
        <w:spacing w:line="240" w:lineRule="auto"/>
        <w:ind w:left="720"/>
      </w:pPr>
      <w:r>
        <w:rPr>
          <w:lang w:val="en_US" w:bidi="en_US"/>
        </w:rPr>
      </w:r>
      <w:r>
        <w:rPr>
          <w:lang w:val="en_US" w:bidi="en_US"/>
        </w:rPr>
        <w:t>saying that he had gone to visit someone who did not keep God’s law.</w:t>
      </w:r>
    </w:p>
    <w:p>
      <w:pPr/>
      <w:r>
        <w:rPr>
          <w:lang w:val="en_US" w:bidi="en_US"/>
        </w:rPr>
      </w:r>
      <w:r>
        <w:rPr>
          <w:b/>
          <w:lang w:val="en_US" w:bidi="en_US"/>
        </w:rPr>
        <w:t>He has gone to be the guest of a sinful man!:</w:t>
      </w:r>
      <w:r>
        <w:rPr>
          <w:lang w:val="en_US" w:bidi="en_US"/>
        </w:rPr>
        <w:t xml:space="preserve"> The Greek phrase that the BSB translates as </w:t>
      </w:r>
      <w:r>
        <w:rPr>
          <w:i/>
          <w:lang w:val="en_US" w:bidi="en_US"/>
        </w:rPr>
        <w:t>has gone to be the guest</w:t>
      </w:r>
      <w:r>
        <w:rPr>
          <w:lang w:val="en_US" w:bidi="en_US"/>
        </w:rPr>
        <w:t xml:space="preserve"> means “has entered to rest/lodge.” The word for “to rest/lodge” is different from the one that was translated as “stay” in 19:5. However, both words have the same meaning in this context. Jesus went to Zacchaeus’ house and probably spent the night there. Some other ways to translate this are:</w:t>
      </w:r>
    </w:p>
    <w:p>
      <w:pPr/>
      <w:r>
        <w:rPr>
          <w:lang w:val="en_US" w:bidi="en_US"/>
        </w:rPr>
      </w:r>
      <w:r>
        <w:rPr>
          <w:lang w:val="en_US" w:bidi="en_US"/>
        </w:rPr>
        <w:t>Jesus is staying with a sinner! (NCV)</w:t>
      </w:r>
    </w:p>
    <w:p>
      <w:pPr/>
      <w:r>
        <w:rPr>
          <w:lang w:val="en_US" w:bidi="en_US"/>
        </w:rPr>
      </w:r>
      <w:r>
        <w:rPr>
          <w:lang w:val="en_US" w:bidi="en_US"/>
        </w:rPr>
        <w:t>He has gone in to be the guest of a man who is a sinner. (ESV)</w:t>
      </w:r>
    </w:p>
    <w:p>
      <w:pPr/>
      <w:r>
        <w:rPr>
          <w:lang w:val="en_US" w:bidi="en_US"/>
        </w:rPr>
      </w:r>
      <w:r>
        <w:rPr>
          <w:lang w:val="en_US" w:bidi="en_US"/>
        </w:rPr>
        <w:t>He has gone to stay at a sinner’s house (NJB)</w:t>
      </w:r>
    </w:p>
    <w:p>
      <w:pPr/>
      <w:r>
        <w:rPr>
          <w:lang w:val="en_US" w:bidi="en_US"/>
        </w:rPr>
      </w:r>
      <w:r>
        <w:rPr>
          <w:b/>
          <w:lang w:val="en_US" w:bidi="en_US"/>
        </w:rPr>
        <w:t>a sinful man!:</w:t>
      </w:r>
      <w:r>
        <w:rPr>
          <w:lang w:val="en_US" w:bidi="en_US"/>
        </w:rPr>
        <w:t xml:space="preserve"> The Greek word that the BSB translates as </w:t>
      </w:r>
      <w:r>
        <w:rPr>
          <w:i/>
          <w:lang w:val="en_US" w:bidi="en_US"/>
        </w:rPr>
        <w:t>a sinful man</w:t>
      </w:r>
      <w:r>
        <w:rPr>
          <w:lang w:val="en_US" w:bidi="en_US"/>
        </w:rPr>
        <w:t xml:space="preserve"> here refers to a person who habitually disobeys God. See how you translated the verb “sin” in 17:3–4. Some ways to translate </w:t>
      </w:r>
      <w:r>
        <w:rPr>
          <w:i/>
          <w:lang w:val="en_US" w:bidi="en_US"/>
        </w:rPr>
        <w:t>sinful man</w:t>
      </w:r>
      <w:r>
        <w:rPr>
          <w:lang w:val="en_US" w:bidi="en_US"/>
        </w:rPr>
        <w:t xml:space="preserve"> here are:</w:t>
      </w:r>
    </w:p>
    <w:p>
      <w:pPr/>
      <w:r>
        <w:rPr>
          <w:lang w:val="en_US" w:bidi="en_US"/>
        </w:rPr>
      </w:r>
      <w:r>
        <w:rPr>
          <w:lang w:val="en_US" w:bidi="en_US"/>
        </w:rPr>
        <w:t xml:space="preserve">person who </w:t>
      </w:r>
      <w:r>
        <w:rPr>
          <w:lang w:val="en_US" w:bidi="en_US"/>
        </w:rPr>
        <w:t>habitually</w:t>
      </w:r>
      <w:r>
        <w:rPr>
          <w:lang w:val="en_US" w:bidi="en_US"/>
        </w:rPr>
        <w:t xml:space="preserve"> sins</w:t>
      </w:r>
    </w:p>
    <w:p>
      <w:pPr/>
      <w:r>
        <w:rPr>
          <w:lang w:val="en_US" w:bidi="en_US"/>
        </w:rPr>
      </w:r>
      <w:r>
        <w:rPr>
          <w:lang w:val="en_US" w:bidi="en_US"/>
        </w:rPr>
        <w:t>person who does not obey God</w:t>
      </w:r>
    </w:p>
    <w:p>
      <w:pPr/>
      <w:r>
        <w:rPr>
          <w:lang w:val="en_US" w:bidi="en_US"/>
        </w:rPr>
      </w:r>
      <w:r>
        <w:rPr>
          <w:lang w:val="en_US" w:bidi="en_US"/>
        </w:rPr>
        <w:t>wrongdoer</w:t>
      </w:r>
      <w:r>
        <w:rPr>
          <w:lang w:val="en_US" w:bidi="en_US"/>
        </w:rPr>
      </w:r>
      <w:r>
        <w:rPr>
          <w:lang w:val="en_US" w:bidi="en_US"/>
        </w:rPr>
      </w:r>
    </w:p>
    <w:p>
      <w:pPr/>
      <w:r>
        <w:rPr>
          <w:lang w:val="en_US" w:bidi="en_US"/>
        </w:rPr>
      </w:r>
    </w:p>
    <w:p>
      <w:pPr>
        <w:pStyle w:val="Heading2"/>
      </w:pPr>
      <w:r>
        <w:rPr>
          <w:lang w:val="en_US" w:bidi="en_US"/>
        </w:rPr>
        <w:t>Luke 19:8</w:t>
      </w:r>
      <w:r>
        <w:rPr>
          <w:lang w:val="en_US" w:bidi="en_US"/>
        </w:rPr>
      </w:r>
    </w:p>
    <w:p>
      <w:pPr>
        <w:pStyle w:val="Heading4"/>
      </w:pPr>
      <w:r>
        <w:rPr>
          <w:lang w:val="en_US" w:bidi="en_US"/>
        </w:rPr>
        <w:t>Section 19:1–10: Zacchaeus the tax collector began to follow Jesus</w:t>
      </w:r>
    </w:p>
    <w:p>
      <w:pPr/>
      <w:r>
        <w:rPr>
          <w:lang w:val="en_US" w:bidi="en_US"/>
        </w:rPr>
      </w:r>
      <w:r>
        <w:rPr>
          <w:lang w:val="en_US" w:bidi="en_US"/>
        </w:rPr>
        <w:t>In the preceding section Jesus was approaching Jericho. In this section he entered Jericho and met a tax collector named Zacchaeus.</w:t>
      </w:r>
    </w:p>
    <w:p>
      <w:pPr/>
      <w:r>
        <w:rPr>
          <w:lang w:val="en_US" w:bidi="en_US"/>
        </w:rPr>
      </w:r>
      <w:r>
        <w:rPr>
          <w:lang w:val="en_US" w:bidi="en_US"/>
        </w:rPr>
        <w:t>The Jews thought that the tax collectors were more sinful than other people. Most tax collectors cheated their own Jewish people by charging them more money than they actually owed. The tax collectors also worked with government officials who were not Jews, so the Jews assumed that tax collectors were often ritually unclean. While they were ritually unclean, they were not able to enter the temple or synagogue to worship God publicly. If another Jew entered a tax collector’s house or ate with him while he was unclean, that Jew also would become unclean.</w:t>
      </w:r>
    </w:p>
    <w:p>
      <w:pPr/>
      <w:r>
        <w:rPr>
          <w:lang w:val="en_US" w:bidi="en_US"/>
        </w:rPr>
      </w:r>
      <w:r>
        <w:rPr>
          <w:lang w:val="en_US" w:bidi="en_US"/>
        </w:rPr>
        <w:t>The city of Jericho, where Zacchaeus worked, was a busy trading center. People were required to pay taxes on things that they sold. A chief tax collector like Zacchaeus could easily become rich through collecting taxes there.</w:t>
      </w:r>
      <w:r>
        <w:rPr>
          <w:lang w:val="en_US" w:bidi="en_US"/>
        </w:rPr>
        <w:t>Keener (p. 240) says: “Being a border city, Jericho had a customs station. Because it was also one of the wealthiest cities of Palestine, in the most fertile part of Judea and boasting a Herodian palace, other tax income would also be extensive. The ‘chief’ tax gatherer would be the one who contracted for sales and customs taxes and hired collectors under him. Given this role, Zacchaeus could have become rich without cheating; but it seems that he had cheated anyway (19:8).” However, it was often difficult for people to pay these taxes, and high taxes caused many of them to remain poor. That may have been a reason why Zacchaeus promised Jesus that he would give half of his possessions to poor people (19:8).</w:t>
      </w:r>
    </w:p>
    <w:p>
      <w:pPr/>
      <w:r>
        <w:rPr>
          <w:lang w:val="en_US" w:bidi="en_US"/>
        </w:rPr>
      </w:r>
      <w:r>
        <w:rPr>
          <w:lang w:val="en_US" w:bidi="en_US"/>
        </w:rPr>
        <w:t>You may want to include footnotes in your translation to help readers understand this background information. Suggested footnotes are given at 19:2b, Paragraph 19:5–7, and 19:7b.</w:t>
      </w:r>
    </w:p>
    <w:p>
      <w:pPr/>
      <w:r>
        <w:rPr>
          <w:lang w:val="en_US" w:bidi="en_US"/>
        </w:rPr>
      </w:r>
      <w:r>
        <w:rPr>
          <w:lang w:val="en_US" w:bidi="en_US"/>
        </w:rPr>
        <w:t>Jesus was a Jew, but he went to Zacchaeus’ house and ate a meal with him. During that time, Zacchaeus repented of his sins and received salvation.</w:t>
      </w:r>
    </w:p>
    <w:p>
      <w:pPr/>
      <w:r>
        <w:rPr>
          <w:lang w:val="en_US" w:bidi="en_US"/>
        </w:rPr>
      </w:r>
      <w:r>
        <w:rPr>
          <w:lang w:val="en_US" w:bidi="en_US"/>
        </w:rPr>
        <w:t>Other examples of headings for this section are:</w:t>
      </w:r>
    </w:p>
    <w:p>
      <w:pPr/>
      <w:r>
        <w:rPr>
          <w:lang w:val="en_US" w:bidi="en_US"/>
        </w:rPr>
      </w:r>
      <w:r>
        <w:rPr>
          <w:lang w:val="en_US" w:bidi="en_US"/>
        </w:rPr>
        <w:t>Jesus and Zacchaeus (GNT)</w:t>
      </w:r>
    </w:p>
    <w:p>
      <w:pPr/>
      <w:r>
        <w:rPr>
          <w:lang w:val="en_US" w:bidi="en_US"/>
        </w:rPr>
      </w:r>
      <w:r>
        <w:rPr>
          <w:lang w:val="en_US" w:bidi="en_US"/>
        </w:rPr>
        <w:t>Jesus went to Zacchaeus’ house</w:t>
      </w:r>
    </w:p>
    <w:p>
      <w:pPr/>
      <w:r>
        <w:rPr>
          <w:lang w:val="en_US" w:bidi="en_US"/>
        </w:rPr>
      </w:r>
      <w:r>
        <w:rPr>
          <w:lang w:val="en_US" w:bidi="en_US"/>
        </w:rPr>
        <w:t>Jesus ate with Zacchaeus the tax collector</w:t>
      </w:r>
    </w:p>
    <w:p>
      <w:pPr/>
      <w:r>
        <w:rPr>
          <w:lang w:val="en_US" w:bidi="en_US"/>
        </w:rPr>
      </w:r>
      <w:r>
        <w:rPr>
          <w:lang w:val="en_US" w:bidi="en_US"/>
        </w:rPr>
        <w:t>Only the Gospel of Luke tells about this event. The other gospels do not mention it.</w:t>
      </w:r>
    </w:p>
    <w:p>
      <w:pPr>
        <w:pStyle w:val="Heading5"/>
      </w:pPr>
      <w:r>
        <w:rPr>
          <w:lang w:val="en_US" w:bidi="en_US"/>
        </w:rPr>
        <w:t>19:8a</w:t>
      </w:r>
    </w:p>
    <w:p>
      <w:pPr/>
      <w:r>
        <w:rPr>
          <w:lang w:val="en_US" w:bidi="en_US"/>
        </w:rPr>
      </w:r>
      <w:r>
        <w:rPr>
          <w:b/>
          <w:lang w:val="en_US" w:bidi="en_US"/>
        </w:rPr>
        <w:t>But Zacchaeus stood up and said to the Lord,</w:t>
      </w:r>
    </w:p>
    <w:p>
      <w:pPr>
        <w:pStyle w:val="ListBullet"/>
        <w:spacing w:line="240" w:lineRule="auto"/>
        <w:ind w:left="720"/>
      </w:pPr>
      <w:r>
        <w:rPr>
          <w:lang w:val="en_US" w:bidi="en_US"/>
        </w:rPr>
      </w:r>
      <w:r>
        <w:rPr>
          <w:lang w:val="en_US" w:bidi="en_US"/>
        </w:rPr>
        <w:t xml:space="preserve">¶ But </w:t>
      </w:r>
      <w:r>
        <w:rPr>
          <w:lang w:val="en_US" w:bidi="en_US"/>
        </w:rPr>
        <w:t>some time later,</w:t>
      </w:r>
      <w:r>
        <w:rPr>
          <w:lang w:val="en_US" w:bidi="en_US"/>
        </w:rPr>
        <w:t xml:space="preserve"> Zacchaeus stood and said to the Lord,</w:t>
      </w:r>
    </w:p>
    <w:p>
      <w:pPr>
        <w:pStyle w:val="ListBullet"/>
        <w:spacing w:line="240" w:lineRule="auto"/>
        <w:ind w:left="720"/>
      </w:pPr>
      <w:r>
        <w:rPr>
          <w:lang w:val="en_US" w:bidi="en_US"/>
        </w:rPr>
      </w:r>
      <w:r>
        <w:rPr>
          <w:lang w:val="en_US" w:bidi="en_US"/>
        </w:rPr>
        <w:t xml:space="preserve">¶ But </w:t>
      </w:r>
      <w:r>
        <w:rPr>
          <w:lang w:val="en_US" w:bidi="en_US"/>
        </w:rPr>
        <w:t>after that</w:t>
      </w:r>
      <w:r>
        <w:rPr>
          <w:lang w:val="en_US" w:bidi="en_US"/>
        </w:rPr>
        <w:t xml:space="preserve"> Zacchaeus got up and told the Lord </w:t>
      </w:r>
      <w:r>
        <w:rPr>
          <w:lang w:val="en_US" w:bidi="en_US"/>
        </w:rPr>
        <w:t>Jesus</w:t>
      </w:r>
      <w:r>
        <w:rPr>
          <w:lang w:val="en_US" w:bidi="en_US"/>
        </w:rPr>
        <w:t>,</w:t>
      </w:r>
    </w:p>
    <w:p>
      <w:pPr/>
      <w:r>
        <w:rPr>
          <w:lang w:val="en_US" w:bidi="en_US"/>
        </w:rPr>
      </w:r>
      <w:r>
        <w:rPr>
          <w:lang w:val="en_US" w:bidi="en_US"/>
        </w:rPr>
        <w:t>Bible scholars have different views about exactly when and where the events of this paragraph happened.</w:t>
      </w:r>
      <w:r>
        <w:rPr>
          <w:lang w:val="en_US" w:bidi="en_US"/>
        </w:rPr>
        <w:t>See Bock’s commentary (p. 1519) for a list of proposed suggestions about the setting for these verses.</w:t>
      </w:r>
      <w:r>
        <w:rPr>
          <w:lang w:val="en_US" w:bidi="en_US"/>
        </w:rPr>
        <w:t xml:space="preserve"> But some time passed before Zacchaeus spoke the words in 19:8. Zacchaeus and Jesus may have been in his house with other guests or outside the house where the whole crowd could hear what they said. In some languages it may be necessary or helpful to indicate that some time had passed. For example:</w:t>
      </w:r>
    </w:p>
    <w:p>
      <w:pPr/>
      <w:r>
        <w:rPr>
          <w:lang w:val="en_US" w:bidi="en_US"/>
        </w:rPr>
      </w:r>
      <w:r>
        <w:rPr>
          <w:lang w:val="en_US" w:bidi="en_US"/>
        </w:rPr>
        <w:t>A little later</w:t>
      </w:r>
    </w:p>
    <w:p>
      <w:pPr/>
      <w:r>
        <w:rPr>
          <w:lang w:val="en_US" w:bidi="en_US"/>
        </w:rPr>
      </w:r>
      <w:r>
        <w:rPr>
          <w:lang w:val="en_US" w:bidi="en_US"/>
        </w:rPr>
        <w:t>Later that day (CEV)</w:t>
      </w:r>
    </w:p>
    <w:p>
      <w:pPr/>
      <w:r>
        <w:rPr>
          <w:lang w:val="en_US" w:bidi="en_US"/>
        </w:rPr>
      </w:r>
      <w:r>
        <w:rPr>
          <w:b/>
          <w:lang w:val="en_US" w:bidi="en_US"/>
        </w:rPr>
        <w:t>But:</w:t>
      </w:r>
      <w:r>
        <w:rPr>
          <w:lang w:val="en_US" w:bidi="en_US"/>
        </w:rPr>
        <w:t xml:space="preserve"> What Zacchaeus said in this verse contrasts with what the crowd said about him in 19:7 (that he was a sinful man). So some English versions begin this verse with </w:t>
      </w:r>
      <w:r>
        <w:rPr>
          <w:i/>
          <w:lang w:val="en_US" w:bidi="en_US"/>
        </w:rPr>
        <w:t>But</w:t>
      </w:r>
      <w:r>
        <w:rPr>
          <w:lang w:val="en_US" w:bidi="en_US"/>
        </w:rPr>
        <w:t>. Other versions have “and” or do not have a conjunction. Begin the verse in a way that natural in your language.</w:t>
      </w:r>
    </w:p>
    <w:p>
      <w:pPr/>
      <w:r>
        <w:rPr>
          <w:lang w:val="en_US" w:bidi="en_US"/>
        </w:rPr>
      </w:r>
      <w:r>
        <w:rPr>
          <w:b/>
          <w:lang w:val="en_US" w:bidi="en_US"/>
        </w:rPr>
        <w:t>Zacchaeus stood up:</w:t>
      </w:r>
      <w:r>
        <w:rPr>
          <w:lang w:val="en_US" w:bidi="en_US"/>
        </w:rPr>
        <w:t xml:space="preserve"> The Greek word that the BSB translates as </w:t>
      </w:r>
      <w:r>
        <w:rPr>
          <w:i/>
          <w:lang w:val="en_US" w:bidi="en_US"/>
        </w:rPr>
        <w:t>stood up</w:t>
      </w:r>
      <w:r>
        <w:rPr>
          <w:lang w:val="en_US" w:bidi="en_US"/>
        </w:rPr>
        <w:t xml:space="preserve"> is literally “stood” or “standing.” There are two ways to interpret it in this context:</w:t>
      </w:r>
    </w:p>
    <w:p>
      <w:pPr>
        <w:pStyle w:val="ListNumber"/>
        <w:numPr>
          <w:ilvl w:val="0"/>
          <w:numId w:val="310"/>
        </w:numPr>
        <w:spacing w:line="240" w:lineRule="auto"/>
        <w:ind w:left="720"/>
      </w:pPr>
      <w:r>
        <w:rPr>
          <w:lang w:val="en_US" w:bidi="en_US"/>
        </w:rPr>
      </w:r>
      <w:r>
        <w:rPr>
          <w:lang w:val="en_US" w:bidi="en_US"/>
        </w:rPr>
        <w:t>It indicates that Zacchaeus stood up from a sitting position. For example:</w:t>
      </w:r>
      <w:r>
        <w:rPr>
          <w:lang w:val="en_US" w:bidi="en_US"/>
        </w:rPr>
        <w:t xml:space="preserve">Zacchaeus stood up (CEV) </w:t>
      </w:r>
      <w:r>
        <w:rPr>
          <w:i/>
          <w:lang w:val="en_US" w:bidi="en_US"/>
        </w:rPr>
        <w:t>(BSB, NIV, GNT, RSV, ESV, GW, CEV, NCV, KJV)</w:t>
      </w:r>
    </w:p>
    <w:p>
      <w:pPr>
        <w:pStyle w:val="ListNumber"/>
        <w:spacing w:line="240" w:lineRule="auto"/>
        <w:ind w:left="720"/>
      </w:pPr>
      <w:r>
        <w:rPr>
          <w:lang w:val="en_US" w:bidi="en_US"/>
        </w:rPr>
      </w:r>
      <w:r>
        <w:rPr>
          <w:lang w:val="en_US" w:bidi="en_US"/>
        </w:rPr>
        <w:t>It indicates that Zacchaeus stopped or kept standing where he was. For example:</w:t>
      </w:r>
      <w:r>
        <w:rPr>
          <w:lang w:val="en_US" w:bidi="en_US"/>
        </w:rPr>
        <w:t xml:space="preserve">Zacchaeus stood there (NRSV) </w:t>
      </w:r>
      <w:r>
        <w:rPr>
          <w:i/>
          <w:lang w:val="en_US" w:bidi="en_US"/>
        </w:rPr>
        <w:t>(NRSV, NJB, NASB, NET, REB, JBP, NLT)</w:t>
      </w:r>
    </w:p>
    <w:p>
      <w:pPr/>
      <w:r>
        <w:rPr>
          <w:lang w:val="en_US" w:bidi="en_US"/>
        </w:rPr>
      </w:r>
      <w:r>
        <w:rPr>
          <w:lang w:val="en_US" w:bidi="en_US"/>
        </w:rPr>
        <w:t>It is recommended that you follow interpretation (1). Zacchaeus was about to make an important statement. It was proper for him to stand so that everyone there could see him and listen to what he said.</w:t>
      </w:r>
    </w:p>
    <w:p>
      <w:pPr/>
      <w:r>
        <w:rPr>
          <w:lang w:val="en_US" w:bidi="en_US"/>
        </w:rPr>
      </w:r>
      <w:r>
        <w:rPr>
          <w:b/>
          <w:lang w:val="en_US" w:bidi="en_US"/>
        </w:rPr>
        <w:t>and said to the Lord:</w:t>
      </w:r>
      <w:r>
        <w:rPr>
          <w:lang w:val="en_US" w:bidi="en_US"/>
        </w:rPr>
        <w:t xml:space="preserve"> The Greek word that the BSB translates as </w:t>
      </w:r>
      <w:r>
        <w:rPr>
          <w:i/>
          <w:lang w:val="en_US" w:bidi="en_US"/>
        </w:rPr>
        <w:t>Lord</w:t>
      </w:r>
      <w:r>
        <w:rPr>
          <w:lang w:val="en_US" w:bidi="en_US"/>
        </w:rPr>
        <w:t xml:space="preserve"> means “master.” It is also a word that the Jews used to address God. Luke often used the title </w:t>
      </w:r>
      <w:r>
        <w:rPr>
          <w:i/>
          <w:lang w:val="en_US" w:bidi="en_US"/>
        </w:rPr>
        <w:t>Lord</w:t>
      </w:r>
      <w:r>
        <w:rPr>
          <w:lang w:val="en_US" w:bidi="en_US"/>
        </w:rPr>
        <w:t xml:space="preserve"> to refer to Jesus. In some languages it may be necessary to make explicit that the title refers to Jesus here. For example:</w:t>
      </w:r>
    </w:p>
    <w:p>
      <w:pPr/>
      <w:r>
        <w:rPr>
          <w:lang w:val="en_US" w:bidi="en_US"/>
        </w:rPr>
      </w:r>
      <w:r>
        <w:rPr>
          <w:lang w:val="en_US" w:bidi="en_US"/>
        </w:rPr>
        <w:t xml:space="preserve">and said to the/our Lord </w:t>
      </w:r>
      <w:r>
        <w:rPr>
          <w:lang w:val="en_US" w:bidi="en_US"/>
        </w:rPr>
        <w:t>Jesus</w:t>
      </w:r>
    </w:p>
    <w:p>
      <w:pPr/>
      <w:r>
        <w:rPr>
          <w:lang w:val="en_US" w:bidi="en_US"/>
        </w:rPr>
      </w:r>
      <w:r>
        <w:rPr>
          <w:lang w:val="en_US" w:bidi="en_US"/>
        </w:rPr>
        <w:t>See Lord, Context 3, in the Glossary.</w:t>
      </w:r>
    </w:p>
    <w:p>
      <w:pPr>
        <w:pStyle w:val="Heading5"/>
      </w:pPr>
      <w:r>
        <w:rPr>
          <w:lang w:val="en_US" w:bidi="en_US"/>
        </w:rPr>
        <w:t>19:8b</w:t>
      </w:r>
    </w:p>
    <w:p>
      <w:pPr/>
      <w:r>
        <w:rPr>
          <w:lang w:val="en_US" w:bidi="en_US"/>
        </w:rPr>
      </w:r>
      <w:r>
        <w:rPr>
          <w:b/>
          <w:lang w:val="en_US" w:bidi="en_US"/>
        </w:rPr>
        <w:t>“Look, Lord, half of my possessions I give to the poor,</w:t>
      </w:r>
    </w:p>
    <w:p>
      <w:pPr>
        <w:pStyle w:val="ListBullet"/>
        <w:spacing w:line="240" w:lineRule="auto"/>
        <w:ind w:left="720"/>
      </w:pPr>
      <w:r>
        <w:rPr>
          <w:lang w:val="en_US" w:bidi="en_US"/>
        </w:rPr>
      </w:r>
      <w:r>
        <w:rPr>
          <w:lang w:val="en_US" w:bidi="en_US"/>
        </w:rPr>
        <w:t>“</w:t>
      </w:r>
      <w:r>
        <w:rPr>
          <w:lang w:val="en_US" w:bidi="en_US"/>
        </w:rPr>
        <w:t>Please</w:t>
      </w:r>
      <w:r>
        <w:rPr>
          <w:lang w:val="en_US" w:bidi="en_US"/>
        </w:rPr>
        <w:t xml:space="preserve"> listen to this, Lord. </w:t>
      </w:r>
      <w:r>
        <w:rPr>
          <w:lang w:val="en_US" w:bidi="en_US"/>
        </w:rPr>
        <w:t>I promise to</w:t>
      </w:r>
      <w:r>
        <w:rPr>
          <w:lang w:val="en_US" w:bidi="en_US"/>
        </w:rPr>
        <w:t xml:space="preserve"> give half of what I own to poor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“Master, </w:t>
      </w:r>
      <w:r>
        <w:rPr>
          <w:lang w:val="en_US" w:bidi="en_US"/>
        </w:rPr>
        <w:t>I declare that</w:t>
      </w:r>
      <w:r>
        <w:rPr>
          <w:lang w:val="en_US" w:bidi="en_US"/>
        </w:rPr>
        <w:t xml:space="preserve"> I will take all that I own and divide it into two equal parts. Then I will give one part to poor </w:t>
      </w:r>
      <w:r>
        <w:rPr>
          <w:lang w:val="en_US" w:bidi="en_US"/>
        </w:rPr>
        <w:t>people</w:t>
      </w:r>
      <w:r>
        <w:rPr>
          <w:lang w:val="en_US" w:bidi="en_US"/>
        </w:rPr>
        <w:t>.</w:t>
      </w:r>
    </w:p>
    <w:p>
      <w:pPr/>
      <w:r>
        <w:rPr>
          <w:lang w:val="en_US" w:bidi="en_US"/>
        </w:rPr>
      </w:r>
      <w:r>
        <w:rPr>
          <w:b/>
          <w:lang w:val="en_US" w:bidi="en_US"/>
        </w:rPr>
        <w:t>Look:</w:t>
      </w:r>
      <w:r>
        <w:rPr>
          <w:lang w:val="en_US" w:bidi="en_US"/>
        </w:rPr>
        <w:t xml:space="preserve"> The Greek word that the BSB translates as </w:t>
      </w:r>
      <w:r>
        <w:rPr>
          <w:i/>
          <w:lang w:val="en_US" w:bidi="en_US"/>
        </w:rPr>
        <w:t>Look</w:t>
      </w:r>
      <w:r>
        <w:rPr>
          <w:lang w:val="en_US" w:bidi="en_US"/>
        </w:rPr>
        <w:t xml:space="preserve"> introduces a statement that Zacchaeus wanted Jesus to pay special attention to. In this context the word </w:t>
      </w:r>
      <w:r>
        <w:rPr>
          <w:i/>
          <w:lang w:val="en_US" w:bidi="en_US"/>
        </w:rPr>
        <w:t>Look</w:t>
      </w:r>
      <w:r>
        <w:rPr>
          <w:lang w:val="en_US" w:bidi="en_US"/>
        </w:rPr>
        <w:t xml:space="preserve"> implies that the statement will be important. It may also imply that the statement will be surprising. Some ways to translate the word in English are:</w:t>
      </w:r>
    </w:p>
    <w:p>
      <w:pPr/>
      <w:r>
        <w:rPr>
          <w:lang w:val="en_US" w:bidi="en_US"/>
        </w:rPr>
      </w:r>
      <w:r>
        <w:rPr>
          <w:lang w:val="en_US" w:bidi="en_US"/>
        </w:rPr>
        <w:t>Behold (RSV)</w:t>
      </w:r>
    </w:p>
    <w:p>
      <w:pPr/>
      <w:r>
        <w:rPr>
          <w:lang w:val="en_US" w:bidi="en_US"/>
        </w:rPr>
      </w:r>
      <w:r>
        <w:rPr>
          <w:lang w:val="en_US" w:bidi="en_US"/>
        </w:rPr>
        <w:t>Listen (GNT)</w:t>
      </w:r>
    </w:p>
    <w:p>
      <w:pPr/>
      <w:r>
        <w:rPr>
          <w:lang w:val="en_US" w:bidi="en_US"/>
        </w:rPr>
      </w:r>
      <w:r>
        <w:rPr>
          <w:lang w:val="en_US" w:bidi="en_US"/>
        </w:rPr>
        <w:t>See</w:t>
      </w:r>
    </w:p>
    <w:p>
      <w:pPr/>
      <w:r>
        <w:rPr>
          <w:lang w:val="en_US" w:bidi="en_US"/>
        </w:rPr>
      </w:r>
      <w:r>
        <w:rPr>
          <w:lang w:val="en_US" w:bidi="en_US"/>
        </w:rPr>
        <w:t>If you have a word or phrase in your language that draws special attention to a statement, you may be able to use it here.</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is often used as a polite way to address a master or respected religious leader.</w:t>
      </w:r>
      <w:r>
        <w:rPr>
          <w:lang w:val="en_US" w:bidi="en_US"/>
        </w:rPr>
        <w:t xml:space="preserve">In Luke, Jesus’ disciples and others with faith generally addressed Jesus using this term while those who opposed him (like the Pharisees) usually used the term </w:t>
      </w:r>
      <w:r>
        <w:rPr>
          <w:i/>
          <w:lang w:val="en_US" w:bidi="en_US"/>
        </w:rPr>
        <w:t>didaskale</w:t>
      </w:r>
      <w:r>
        <w:rPr>
          <w:lang w:val="en_US" w:bidi="en_US"/>
        </w:rPr>
        <w:t>.</w:t>
      </w:r>
      <w:r>
        <w:rPr>
          <w:lang w:val="en_US" w:bidi="en_US"/>
        </w:rPr>
        <w:t xml:space="preserve"> Here Zacchaeus used it to address Jesus.</w:t>
      </w:r>
    </w:p>
    <w:p>
      <w:pPr/>
      <w:r>
        <w:rPr>
          <w:lang w:val="en_US" w:bidi="en_US"/>
        </w:rPr>
      </w:r>
      <w:r>
        <w:rPr>
          <w:lang w:val="en_US" w:bidi="en_US"/>
        </w:rPr>
        <w:t xml:space="preserve">The word </w:t>
      </w:r>
      <w:r>
        <w:rPr>
          <w:i/>
          <w:lang w:val="en_US" w:bidi="en_US"/>
        </w:rPr>
        <w:t>Lord</w:t>
      </w:r>
      <w:r>
        <w:rPr>
          <w:lang w:val="en_US" w:bidi="en_US"/>
        </w:rPr>
        <w:t xml:space="preserve"> occurs twice in this verse. Both Luke and Zacchaeus recognized Jesus as representing God. It should be clear in your translation that Zacchaeus was being very respectful in the way he spoke to Jesus.</w:t>
      </w:r>
    </w:p>
    <w:p>
      <w:pPr/>
      <w:r>
        <w:rPr>
          <w:lang w:val="en_US" w:bidi="en_US"/>
        </w:rPr>
      </w:r>
      <w:r>
        <w:rPr>
          <w:lang w:val="en_US" w:bidi="en_US"/>
        </w:rPr>
        <w:t>See Lord, Context 3, in the Glossary for more information and for translation suggestions.</w:t>
      </w:r>
    </w:p>
    <w:p>
      <w:pPr/>
      <w:r>
        <w:rPr>
          <w:lang w:val="en_US" w:bidi="en_US"/>
        </w:rPr>
      </w:r>
      <w:r>
        <w:rPr>
          <w:b/>
          <w:lang w:val="en_US" w:bidi="en_US"/>
        </w:rPr>
        <w:t>half of my possessions I give to the poor:</w:t>
      </w:r>
      <w:r>
        <w:rPr>
          <w:lang w:val="en_US" w:bidi="en_US"/>
        </w:rPr>
        <w:t xml:space="preserve"> In this clause Zacchaeus was promising to give half of his goods to poor people in the future. He was not literally giving those things to them while he was speaking. The present form of </w:t>
      </w:r>
      <w:r>
        <w:rPr>
          <w:i/>
          <w:lang w:val="en_US" w:bidi="en_US"/>
        </w:rPr>
        <w:t>give</w:t>
      </w:r>
      <w:r>
        <w:rPr>
          <w:lang w:val="en_US" w:bidi="en_US"/>
        </w:rPr>
        <w:t xml:space="preserve"> indicates that Zacchaeus would certainly keep his promise.</w:t>
      </w:r>
    </w:p>
    <w:p>
      <w:pPr/>
      <w:r>
        <w:rPr>
          <w:lang w:val="en_US" w:bidi="en_US"/>
        </w:rPr>
      </w:r>
      <w:r>
        <w:rPr>
          <w:lang w:val="en_US" w:bidi="en_US"/>
        </w:rPr>
        <w:t>Use a natural way in your language to make a promise like this. Some other ways to translate it in English are:</w:t>
      </w:r>
    </w:p>
    <w:p>
      <w:pPr/>
      <w:r>
        <w:rPr>
          <w:lang w:val="en_US" w:bidi="en_US"/>
        </w:rPr>
      </w:r>
      <w:r>
        <w:rPr>
          <w:lang w:val="en_US" w:bidi="en_US"/>
        </w:rPr>
        <w:t>I will give half my wealth to the poor (NLT)</w:t>
      </w:r>
    </w:p>
    <w:p>
      <w:pPr/>
      <w:r>
        <w:rPr>
          <w:lang w:val="en_US" w:bidi="en_US"/>
        </w:rPr>
      </w:r>
      <w:r>
        <w:rPr>
          <w:lang w:val="en_US" w:bidi="en_US"/>
        </w:rPr>
        <w:t>I am going to give half my property to the poor (NJB)</w:t>
      </w:r>
    </w:p>
    <w:p>
      <w:pPr/>
      <w:r>
        <w:rPr>
          <w:lang w:val="en_US" w:bidi="en_US"/>
        </w:rPr>
      </w:r>
      <w:r>
        <w:rPr>
          <w:lang w:val="en_US" w:bidi="en_US"/>
        </w:rPr>
        <w:t>half of my possessions I will give to the poor (NASB)</w:t>
      </w:r>
    </w:p>
    <w:p>
      <w:pPr/>
      <w:r>
        <w:rPr>
          <w:lang w:val="en_US" w:bidi="en_US"/>
        </w:rPr>
      </w:r>
      <w:r>
        <w:rPr>
          <w:lang w:val="en_US" w:bidi="en_US"/>
        </w:rPr>
        <w:t>Notice that the NLT and NJB have used a different order of phrases than the BSB has. Use a natural order in your language to emphasize this promise.</w:t>
      </w:r>
    </w:p>
    <w:p>
      <w:pPr/>
      <w:r>
        <w:rPr>
          <w:lang w:val="en_US" w:bidi="en_US"/>
        </w:rPr>
      </w:r>
      <w:r>
        <w:rPr>
          <w:b/>
          <w:lang w:val="en_US" w:bidi="en_US"/>
        </w:rPr>
        <w:t>half of my possessions:</w:t>
      </w:r>
      <w:r>
        <w:rPr>
          <w:lang w:val="en_US" w:bidi="en_US"/>
        </w:rPr>
        <w:t xml:space="preserve"> The Greek word that the BSB translates as </w:t>
      </w:r>
      <w:r>
        <w:rPr>
          <w:i/>
          <w:lang w:val="en_US" w:bidi="en_US"/>
        </w:rPr>
        <w:t>possessions</w:t>
      </w:r>
      <w:r>
        <w:rPr>
          <w:lang w:val="en_US" w:bidi="en_US"/>
        </w:rPr>
        <w:t xml:space="preserve"> refers to what Zacchaeus owned. It can also be translated “belongings” or “property.”</w:t>
      </w:r>
    </w:p>
    <w:p>
      <w:pPr/>
      <w:r>
        <w:rPr>
          <w:lang w:val="en_US" w:bidi="en_US"/>
        </w:rPr>
      </w:r>
      <w:r>
        <w:rPr>
          <w:lang w:val="en_US" w:bidi="en_US"/>
        </w:rPr>
        <w:t xml:space="preserve">In some languages it may be difficult to translate a word like </w:t>
      </w:r>
      <w:r>
        <w:rPr>
          <w:i/>
          <w:lang w:val="en_US" w:bidi="en_US"/>
        </w:rPr>
        <w:t>half</w:t>
      </w:r>
      <w:r>
        <w:rPr>
          <w:lang w:val="en_US" w:bidi="en_US"/>
        </w:rPr>
        <w:t>. It may be more helpful to translate the idea in a different way. For example:</w:t>
      </w:r>
    </w:p>
    <w:p>
      <w:pPr/>
      <w:r>
        <w:rPr>
          <w:lang w:val="en_US" w:bidi="en_US"/>
        </w:rPr>
      </w:r>
      <w:r>
        <w:rPr>
          <w:lang w:val="en_US" w:bidi="en_US"/>
        </w:rPr>
        <w:t>I will divide what I own into two equal groups/parts and give one group/part to poor people</w:t>
      </w:r>
    </w:p>
    <w:p>
      <w:pPr/>
      <w:r>
        <w:rPr>
          <w:lang w:val="en_US" w:bidi="en_US"/>
        </w:rPr>
      </w:r>
      <w:r>
        <w:rPr>
          <w:b/>
          <w:lang w:val="en_US" w:bidi="en_US"/>
        </w:rPr>
        <w:t>the poor:</w:t>
      </w:r>
      <w:r>
        <w:rPr>
          <w:lang w:val="en_US" w:bidi="en_US"/>
        </w:rPr>
        <w:t xml:space="preserve"> See how you translated this phrase in 18:22.</w:t>
      </w:r>
    </w:p>
    <w:p>
      <w:pPr>
        <w:pStyle w:val="Heading5"/>
      </w:pPr>
      <w:r>
        <w:rPr>
          <w:lang w:val="en_US" w:bidi="en_US"/>
        </w:rPr>
        <w:t>19:8c</w:t>
      </w:r>
    </w:p>
    <w:p>
      <w:pPr/>
      <w:r>
        <w:rPr>
          <w:lang w:val="en_US" w:bidi="en_US"/>
        </w:rPr>
      </w:r>
      <w:r>
        <w:rPr>
          <w:b/>
          <w:lang w:val="en_US" w:bidi="en_US"/>
        </w:rPr>
        <w:t>and if I have cheated anyone,</w:t>
      </w:r>
    </w:p>
    <w:p>
      <w:pPr>
        <w:pStyle w:val="ListBullet"/>
        <w:spacing w:line="240" w:lineRule="auto"/>
        <w:ind w:left="720"/>
      </w:pPr>
      <w:r>
        <w:rPr>
          <w:lang w:val="en_US" w:bidi="en_US"/>
        </w:rPr>
      </w:r>
      <w:r>
        <w:rPr>
          <w:lang w:val="en_US" w:bidi="en_US"/>
        </w:rPr>
        <w:t>If I have cheated anyone,</w:t>
      </w:r>
    </w:p>
    <w:p>
      <w:pPr>
        <w:pStyle w:val="ListBullet"/>
        <w:spacing w:line="240" w:lineRule="auto"/>
        <w:ind w:left="720"/>
      </w:pPr>
      <w:r>
        <w:rPr>
          <w:lang w:val="en_US" w:bidi="en_US"/>
        </w:rPr>
      </w:r>
      <w:r>
        <w:rPr>
          <w:lang w:val="en_US" w:bidi="en_US"/>
        </w:rPr>
        <w:t xml:space="preserve">And as for those whom I have cheated/deceived by taking too much </w:t>
      </w:r>
      <w:r>
        <w:rPr>
          <w:lang w:val="en_US" w:bidi="en_US"/>
        </w:rPr>
        <w:t>payment</w:t>
      </w:r>
      <w:r>
        <w:rPr>
          <w:lang w:val="en_US" w:bidi="en_US"/>
        </w:rPr>
        <w:t xml:space="preserve"> from them,</w:t>
      </w:r>
    </w:p>
    <w:p>
      <w:pPr>
        <w:pStyle w:val="Heading5"/>
      </w:pPr>
      <w:r>
        <w:rPr>
          <w:lang w:val="en_US" w:bidi="en_US"/>
        </w:rPr>
        <w:t>19:8d</w:t>
      </w:r>
    </w:p>
    <w:p>
      <w:pPr/>
      <w:r>
        <w:rPr>
          <w:lang w:val="en_US" w:bidi="en_US"/>
        </w:rPr>
      </w:r>
      <w:r>
        <w:rPr>
          <w:b/>
          <w:lang w:val="en_US" w:bidi="en_US"/>
        </w:rPr>
        <w:t>I will repay it fourfold.”</w:t>
      </w:r>
    </w:p>
    <w:p>
      <w:pPr>
        <w:pStyle w:val="ListBullet"/>
        <w:spacing w:line="240" w:lineRule="auto"/>
        <w:ind w:left="720"/>
      </w:pPr>
      <w:r>
        <w:rPr>
          <w:lang w:val="en_US" w:bidi="en_US"/>
        </w:rPr>
      </w:r>
      <w:r>
        <w:rPr>
          <w:lang w:val="en_US" w:bidi="en_US"/>
        </w:rPr>
        <w:t>I will pay that person four times as much as I took.”</w:t>
      </w:r>
    </w:p>
    <w:p>
      <w:pPr>
        <w:pStyle w:val="ListBullet"/>
        <w:spacing w:line="240" w:lineRule="auto"/>
        <w:ind w:left="720"/>
      </w:pPr>
      <w:r>
        <w:rPr>
          <w:lang w:val="en_US" w:bidi="en_US"/>
        </w:rPr>
      </w:r>
      <w:r>
        <w:rPr>
          <w:lang w:val="en_US" w:bidi="en_US"/>
        </w:rPr>
        <w:t>I will give them much more than I took from them.”</w:t>
      </w:r>
    </w:p>
    <w:p>
      <w:pPr>
        <w:pStyle w:val="Heading5"/>
      </w:pPr>
      <w:r>
        <w:rPr>
          <w:lang w:val="en_US" w:bidi="en_US"/>
        </w:rPr>
        <w:t>19:8c–d</w:t>
      </w:r>
    </w:p>
    <w:p>
      <w:pPr/>
      <w:r>
        <w:rPr>
          <w:lang w:val="en_US" w:bidi="en_US"/>
        </w:rPr>
      </w:r>
      <w:r>
        <w:rPr>
          <w:b/>
          <w:lang w:val="en_US" w:bidi="en_US"/>
        </w:rPr>
        <w:t>and if I have cheated anyone, I will repay it fourfold:</w:t>
      </w:r>
      <w:r>
        <w:rPr>
          <w:lang w:val="en_US" w:bidi="en_US"/>
        </w:rPr>
        <w:t xml:space="preserve"> In this statement Zacchaeus announced what he would do for anyone whom he had cheated. He was probably admitting that he had cheated people when he collected their taxes.</w:t>
      </w:r>
      <w:r>
        <w:rPr>
          <w:lang w:val="en_US" w:bidi="en_US"/>
        </w:rPr>
        <w:t>That Zacchaeus was admitting his guilt by this statement has strong commentary support—mostly based on the first-class conditional form used (</w:t>
      </w:r>
      <w:r>
        <w:rPr>
          <w:i/>
          <w:lang w:val="en_US" w:bidi="en_US"/>
        </w:rPr>
        <w:t>ει</w:t>
      </w:r>
      <w:r>
        <w:rPr>
          <w:lang w:val="en_US" w:bidi="en_US"/>
        </w:rPr>
        <w:t xml:space="preserve"> + indicative). It is true that a strong case can be made for this when one brings together what we know about tax collectors, the crowd’s attitude toward Zacchaeus, and the first-class conditional. However, the first-class conditional form alone is not a sufficient basis for this conclusion. In his discussion of the first-class conditional, Daniel Wallace (</w:t>
      </w:r>
      <w:r>
        <w:rPr>
          <w:i/>
          <w:lang w:val="en_US" w:bidi="en_US"/>
        </w:rPr>
        <w:t>Greek Grammar Beyond the Basics</w:t>
      </w:r>
      <w:r>
        <w:rPr>
          <w:lang w:val="en_US" w:bidi="en_US"/>
        </w:rPr>
        <w:t>, pp. 690–94) points out that this condition indicates that an author is temporarily assuming the truth of a statement for the sake of argument. It does not necessarily indicate that he himself believed the statement to be true. Zacchaeus might have implied only that if he remembered or discovered that he had cheated someone, he would pay them back four times as much.</w:t>
      </w:r>
    </w:p>
    <w:p>
      <w:pPr/>
      <w:r>
        <w:rPr>
          <w:lang w:val="en_US" w:bidi="en_US"/>
        </w:rPr>
      </w:r>
      <w:r>
        <w:rPr>
          <w:lang w:val="en_US" w:bidi="en_US"/>
        </w:rPr>
        <w:t xml:space="preserve">In many languages it may be helpful to use a more definite statement than the </w:t>
      </w:r>
      <w:r>
        <w:rPr>
          <w:i/>
          <w:lang w:val="en_US" w:bidi="en_US"/>
        </w:rPr>
        <w:t>if</w:t>
      </w:r>
      <w:r>
        <w:rPr>
          <w:lang w:val="en_US" w:bidi="en_US"/>
        </w:rPr>
        <w:t xml:space="preserve"> clause expresses in English. For example:</w:t>
      </w:r>
    </w:p>
    <w:p>
      <w:pPr/>
      <w:r>
        <w:rPr>
          <w:lang w:val="en_US" w:bidi="en_US"/>
        </w:rPr>
      </w:r>
      <w:r>
        <w:rPr>
          <w:lang w:val="en_US" w:bidi="en_US"/>
        </w:rPr>
        <w:t>I’ll pay four times as much as I owe to those I have cheated in any way. (GW)</w:t>
      </w:r>
    </w:p>
    <w:p>
      <w:pPr/>
      <w:r>
        <w:rPr>
          <w:lang w:val="en_US" w:bidi="en_US"/>
        </w:rPr>
      </w:r>
      <w:r>
        <w:rPr>
          <w:lang w:val="en_US" w:bidi="en_US"/>
        </w:rPr>
        <w:t>And I will now pay back four times as much to everyone I have ever cheated. (CEV)</w:t>
      </w:r>
    </w:p>
    <w:p>
      <w:pPr/>
      <w:r>
        <w:rPr>
          <w:lang w:val="en_US" w:bidi="en_US"/>
        </w:rPr>
      </w:r>
      <w:r>
        <w:rPr>
          <w:lang w:val="en_US" w:bidi="en_US"/>
        </w:rPr>
        <w:t>Notice that both of these examples change the order of the clauses in the statement. Use a natural order in your language.</w:t>
      </w:r>
    </w:p>
    <w:p>
      <w:pPr/>
      <w:r>
        <w:rPr>
          <w:lang w:val="en_US" w:bidi="en_US"/>
        </w:rPr>
      </w:r>
      <w:r>
        <w:rPr>
          <w:b/>
          <w:lang w:val="en_US" w:bidi="en_US"/>
        </w:rPr>
        <w:t>cheated anyone:</w:t>
      </w:r>
      <w:r>
        <w:rPr>
          <w:lang w:val="en_US" w:bidi="en_US"/>
        </w:rPr>
        <w:t xml:space="preserve"> The Greek word that the BSB translates as </w:t>
      </w:r>
      <w:r>
        <w:rPr>
          <w:i/>
          <w:lang w:val="en_US" w:bidi="en_US"/>
        </w:rPr>
        <w:t>cheated</w:t>
      </w:r>
      <w:r>
        <w:rPr>
          <w:lang w:val="en_US" w:bidi="en_US"/>
        </w:rPr>
        <w:t xml:space="preserve"> refers here to taking money from people by making false charges. In his work as a tax collector Zacchaeus could say that people must pay more money than they really owed. Other ways to translate this are:</w:t>
      </w:r>
    </w:p>
    <w:p>
      <w:pPr/>
      <w:r>
        <w:rPr>
          <w:lang w:val="en_US" w:bidi="en_US"/>
        </w:rPr>
      </w:r>
      <w:r>
        <w:rPr>
          <w:lang w:val="en_US" w:bidi="en_US"/>
        </w:rPr>
        <w:t>defrauded anyone (REB)</w:t>
      </w:r>
    </w:p>
    <w:p>
      <w:pPr/>
      <w:r>
        <w:rPr>
          <w:lang w:val="en_US" w:bidi="en_US"/>
        </w:rPr>
      </w:r>
      <w:r>
        <w:rPr>
          <w:lang w:val="en_US" w:bidi="en_US"/>
        </w:rPr>
        <w:t>dishonestly taken too much money/payment from someone</w:t>
      </w:r>
    </w:p>
    <w:p>
      <w:pPr/>
      <w:r>
        <w:rPr>
          <w:lang w:val="en_US" w:bidi="en_US"/>
        </w:rPr>
      </w:r>
      <w:r>
        <w:rPr>
          <w:b/>
          <w:lang w:val="en_US" w:bidi="en_US"/>
        </w:rPr>
        <w:t>repay it fourfold:</w:t>
      </w:r>
      <w:r>
        <w:rPr>
          <w:lang w:val="en_US" w:bidi="en_US"/>
        </w:rPr>
        <w:t xml:space="preserve"> The Greek word that the BSB translates as </w:t>
      </w:r>
      <w:r>
        <w:rPr>
          <w:i/>
          <w:lang w:val="en_US" w:bidi="en_US"/>
        </w:rPr>
        <w:t>repay</w:t>
      </w:r>
      <w:r>
        <w:rPr>
          <w:lang w:val="en_US" w:bidi="en_US"/>
        </w:rPr>
        <w:t xml:space="preserve"> means “to give” or “to pay.” Here Zacchaeus promised to give four times what he had gained. For example, if he had cheated a person and gained one hundred silver coins, he promised to give him four hundred silver coins. Here is another way to translate this:</w:t>
      </w:r>
    </w:p>
    <w:p>
      <w:pPr/>
      <w:r>
        <w:rPr>
          <w:lang w:val="en_US" w:bidi="en_US"/>
        </w:rPr>
      </w:r>
      <w:r>
        <w:rPr>
          <w:lang w:val="en_US" w:bidi="en_US"/>
        </w:rPr>
        <w:t>I will give them back four times as much! (NLT)</w:t>
      </w:r>
    </w:p>
    <w:p>
      <w:pPr/>
      <w:r>
        <w:rPr>
          <w:lang w:val="en_US" w:bidi="en_US"/>
        </w:rPr>
      </w:r>
      <w:r>
        <w:rPr>
          <w:lang w:val="en_US" w:bidi="en_US"/>
        </w:rPr>
        <w:t>When Zacchaeus did this, he was obeying the Old Testament Law. If you are using footnotes to give your readers background information, you may want to include one here. For example:</w:t>
      </w:r>
    </w:p>
    <w:p>
      <w:pPr/>
      <w:r>
        <w:rPr>
          <w:lang w:val="en_US" w:bidi="en_US"/>
        </w:rPr>
      </w:r>
      <w:r>
        <w:rPr>
          <w:lang w:val="en_US" w:bidi="en_US"/>
        </w:rPr>
        <w:t>Old Testament law required that when someone had gained money or goods by trickery or stealing, he must pay back more than the amount that was taken. See Exodus 22:1–9 for a list of cases and how much to pay back. Zacchaeus promised to pay back the maximum amount.</w:t>
      </w:r>
      <w:r>
        <w:rPr>
          <w:lang w:val="en_US" w:bidi="en_US"/>
        </w:rPr>
      </w:r>
      <w:r>
        <w:rPr>
          <w:lang w:val="en_US" w:bidi="en_US"/>
        </w:rPr>
      </w:r>
    </w:p>
    <w:p>
      <w:pPr/>
      <w:r>
        <w:rPr>
          <w:lang w:val="en_US" w:bidi="en_US"/>
        </w:rPr>
      </w:r>
    </w:p>
    <w:p>
      <w:pPr>
        <w:pStyle w:val="Heading2"/>
      </w:pPr>
      <w:r>
        <w:rPr>
          <w:lang w:val="en_US" w:bidi="en_US"/>
        </w:rPr>
        <w:t>Luke 19:9</w:t>
      </w:r>
      <w:r>
        <w:rPr>
          <w:lang w:val="en_US" w:bidi="en_US"/>
        </w:rPr>
      </w:r>
    </w:p>
    <w:p>
      <w:pPr>
        <w:pStyle w:val="Heading4"/>
      </w:pPr>
      <w:r>
        <w:rPr>
          <w:lang w:val="en_US" w:bidi="en_US"/>
        </w:rPr>
        <w:t>Section 19:1–10: Zacchaeus the tax collector began to follow Jesus</w:t>
      </w:r>
    </w:p>
    <w:p>
      <w:pPr/>
      <w:r>
        <w:rPr>
          <w:lang w:val="en_US" w:bidi="en_US"/>
        </w:rPr>
      </w:r>
      <w:r>
        <w:rPr>
          <w:lang w:val="en_US" w:bidi="en_US"/>
        </w:rPr>
        <w:t>In the preceding section Jesus was approaching Jericho. In this section he entered Jericho and met a tax collector named Zacchaeus.</w:t>
      </w:r>
    </w:p>
    <w:p>
      <w:pPr/>
      <w:r>
        <w:rPr>
          <w:lang w:val="en_US" w:bidi="en_US"/>
        </w:rPr>
      </w:r>
      <w:r>
        <w:rPr>
          <w:lang w:val="en_US" w:bidi="en_US"/>
        </w:rPr>
        <w:t>The Jews thought that the tax collectors were more sinful than other people. Most tax collectors cheated their own Jewish people by charging them more money than they actually owed. The tax collectors also worked with government officials who were not Jews, so the Jews assumed that tax collectors were often ritually unclean. While they were ritually unclean, they were not able to enter the temple or synagogue to worship God publicly. If another Jew entered a tax collector’s house or ate with him while he was unclean, that Jew also would become unclean.</w:t>
      </w:r>
    </w:p>
    <w:p>
      <w:pPr/>
      <w:r>
        <w:rPr>
          <w:lang w:val="en_US" w:bidi="en_US"/>
        </w:rPr>
      </w:r>
      <w:r>
        <w:rPr>
          <w:lang w:val="en_US" w:bidi="en_US"/>
        </w:rPr>
        <w:t>The city of Jericho, where Zacchaeus worked, was a busy trading center. People were required to pay taxes on things that they sold. A chief tax collector like Zacchaeus could easily become rich through collecting taxes there.</w:t>
      </w:r>
      <w:r>
        <w:rPr>
          <w:lang w:val="en_US" w:bidi="en_US"/>
        </w:rPr>
        <w:t>Keener (p. 240) says: “Being a border city, Jericho had a customs station. Because it was also one of the wealthiest cities of Palestine, in the most fertile part of Judea and boasting a Herodian palace, other tax income would also be extensive. The ‘chief’ tax gatherer would be the one who contracted for sales and customs taxes and hired collectors under him. Given this role, Zacchaeus could have become rich without cheating; but it seems that he had cheated anyway (19:8).” However, it was often difficult for people to pay these taxes, and high taxes caused many of them to remain poor. That may have been a reason why Zacchaeus promised Jesus that he would give half of his possessions to poor people (19:8).</w:t>
      </w:r>
    </w:p>
    <w:p>
      <w:pPr/>
      <w:r>
        <w:rPr>
          <w:lang w:val="en_US" w:bidi="en_US"/>
        </w:rPr>
      </w:r>
      <w:r>
        <w:rPr>
          <w:lang w:val="en_US" w:bidi="en_US"/>
        </w:rPr>
        <w:t>You may want to include footnotes in your translation to help readers understand this background information. Suggested footnotes are given at 19:2b, Paragraph 19:5–7, and 19:7b.</w:t>
      </w:r>
    </w:p>
    <w:p>
      <w:pPr/>
      <w:r>
        <w:rPr>
          <w:lang w:val="en_US" w:bidi="en_US"/>
        </w:rPr>
      </w:r>
      <w:r>
        <w:rPr>
          <w:lang w:val="en_US" w:bidi="en_US"/>
        </w:rPr>
        <w:t>Jesus was a Jew, but he went to Zacchaeus’ house and ate a meal with him. During that time, Zacchaeus repented of his sins and received salvation.</w:t>
      </w:r>
    </w:p>
    <w:p>
      <w:pPr/>
      <w:r>
        <w:rPr>
          <w:lang w:val="en_US" w:bidi="en_US"/>
        </w:rPr>
      </w:r>
      <w:r>
        <w:rPr>
          <w:lang w:val="en_US" w:bidi="en_US"/>
        </w:rPr>
        <w:t>Other examples of headings for this section are:</w:t>
      </w:r>
    </w:p>
    <w:p>
      <w:pPr/>
      <w:r>
        <w:rPr>
          <w:lang w:val="en_US" w:bidi="en_US"/>
        </w:rPr>
      </w:r>
      <w:r>
        <w:rPr>
          <w:lang w:val="en_US" w:bidi="en_US"/>
        </w:rPr>
        <w:t>Jesus and Zacchaeus (GNT)</w:t>
      </w:r>
    </w:p>
    <w:p>
      <w:pPr/>
      <w:r>
        <w:rPr>
          <w:lang w:val="en_US" w:bidi="en_US"/>
        </w:rPr>
      </w:r>
      <w:r>
        <w:rPr>
          <w:lang w:val="en_US" w:bidi="en_US"/>
        </w:rPr>
        <w:t>Jesus went to Zacchaeus’ house</w:t>
      </w:r>
    </w:p>
    <w:p>
      <w:pPr/>
      <w:r>
        <w:rPr>
          <w:lang w:val="en_US" w:bidi="en_US"/>
        </w:rPr>
      </w:r>
      <w:r>
        <w:rPr>
          <w:lang w:val="en_US" w:bidi="en_US"/>
        </w:rPr>
        <w:t>Jesus ate with Zacchaeus the tax collector</w:t>
      </w:r>
    </w:p>
    <w:p>
      <w:pPr/>
      <w:r>
        <w:rPr>
          <w:lang w:val="en_US" w:bidi="en_US"/>
        </w:rPr>
      </w:r>
      <w:r>
        <w:rPr>
          <w:lang w:val="en_US" w:bidi="en_US"/>
        </w:rPr>
        <w:t>Only the Gospel of Luke tells about this event. The other gospels do not mention it.</w:t>
      </w:r>
    </w:p>
    <w:p>
      <w:pPr>
        <w:pStyle w:val="Heading5"/>
      </w:pPr>
      <w:r>
        <w:rPr>
          <w:lang w:val="en_US" w:bidi="en_US"/>
        </w:rPr>
        <w:t>19:9a</w:t>
      </w:r>
    </w:p>
    <w:p>
      <w:pPr/>
      <w:r>
        <w:rPr>
          <w:lang w:val="en_US" w:bidi="en_US"/>
        </w:rPr>
      </w:r>
      <w:r>
        <w:rPr>
          <w:b/>
          <w:lang w:val="en_US" w:bidi="en_US"/>
        </w:rPr>
        <w:t>Jesus said to him, “Today salvation has come to this house,</w:t>
      </w:r>
    </w:p>
    <w:p>
      <w:pPr>
        <w:pStyle w:val="ListBullet"/>
        <w:spacing w:line="240" w:lineRule="auto"/>
        <w:ind w:left="720"/>
      </w:pPr>
      <w:r>
        <w:rPr>
          <w:lang w:val="en_US" w:bidi="en_US"/>
        </w:rPr>
      </w:r>
      <w:r>
        <w:rPr>
          <w:lang w:val="en_US" w:bidi="en_US"/>
        </w:rPr>
        <w:t>Jesus said to him, “Today this household has received salvation/deliverance,</w:t>
      </w:r>
    </w:p>
    <w:p>
      <w:pPr>
        <w:pStyle w:val="ListBullet"/>
        <w:spacing w:line="240" w:lineRule="auto"/>
        <w:ind w:left="720"/>
      </w:pPr>
      <w:r>
        <w:rPr>
          <w:lang w:val="en_US" w:bidi="en_US"/>
        </w:rPr>
      </w:r>
      <w:r>
        <w:rPr>
          <w:lang w:val="en_US" w:bidi="en_US"/>
        </w:rPr>
        <w:t xml:space="preserve">Jesus answered him, “This very day </w:t>
      </w:r>
      <w:r>
        <w:rPr>
          <w:lang w:val="en_US" w:bidi="en_US"/>
        </w:rPr>
        <w:t>God</w:t>
      </w:r>
      <w:r>
        <w:rPr>
          <w:lang w:val="en_US" w:bidi="en_US"/>
        </w:rPr>
        <w:t xml:space="preserve"> has saved/rescued </w:t>
      </w:r>
      <w:r>
        <w:rPr>
          <w:lang w:val="en_US" w:bidi="en_US"/>
        </w:rPr>
        <w:t>you</w:t>
      </w:r>
      <w:r>
        <w:rPr>
          <w:vertAlign w:val="superscript"/>
          <w:lang w:val="en_US" w:bidi="en_US"/>
        </w:rPr>
        <w:t>(sing)</w:t>
      </w:r>
      <w:r>
        <w:rPr>
          <w:lang w:val="en_US" w:bidi="en_US"/>
        </w:rPr>
        <w:t xml:space="preserve"> </w:t>
      </w:r>
      <w:r>
        <w:rPr>
          <w:lang w:val="en_US" w:bidi="en_US"/>
        </w:rPr>
        <w:t>and</w:t>
      </w:r>
      <w:r>
        <w:rPr>
          <w:lang w:val="en_US" w:bidi="en_US"/>
        </w:rPr>
        <w:t xml:space="preserve"> your household </w:t>
      </w:r>
      <w:r>
        <w:rPr>
          <w:lang w:val="en_US" w:bidi="en_US"/>
        </w:rPr>
        <w:t>from being judged/condemned</w:t>
      </w:r>
      <w:r>
        <w:rPr>
          <w:lang w:val="en_US" w:bidi="en_US"/>
        </w:rPr>
        <w:t xml:space="preserve"> </w:t>
      </w:r>
      <w:r>
        <w:rPr>
          <w:lang w:val="en_US" w:bidi="en_US"/>
        </w:rPr>
        <w:t>by God</w:t>
      </w:r>
      <w:r>
        <w:rPr>
          <w:lang w:val="en_US" w:bidi="en_US"/>
        </w:rPr>
        <w:t>,</w:t>
      </w:r>
    </w:p>
    <w:p>
      <w:pPr/>
      <w:r>
        <w:rPr>
          <w:lang w:val="en_US" w:bidi="en_US"/>
        </w:rPr>
      </w:r>
      <w:r>
        <w:rPr>
          <w:b/>
          <w:lang w:val="en_US" w:bidi="en_US"/>
        </w:rPr>
        <w:t>Jesus said to him:</w:t>
      </w:r>
      <w:r>
        <w:rPr>
          <w:lang w:val="en_US" w:bidi="en_US"/>
        </w:rPr>
        <w:t xml:space="preserve"> The Greek word that the BSB translates as </w:t>
      </w:r>
      <w:r>
        <w:rPr>
          <w:i/>
          <w:lang w:val="en_US" w:bidi="en_US"/>
        </w:rPr>
        <w:t>to</w:t>
      </w:r>
      <w:r>
        <w:rPr>
          <w:lang w:val="en_US" w:bidi="en_US"/>
        </w:rPr>
        <w:t xml:space="preserve"> seems to indicate that Jesus spoke </w:t>
      </w:r>
      <w:r>
        <w:rPr>
          <w:u w:val="single"/>
          <w:lang w:val="en_US" w:bidi="en_US"/>
        </w:rPr>
        <w:t>to</w:t>
      </w:r>
      <w:r>
        <w:rPr>
          <w:lang w:val="en_US" w:bidi="en_US"/>
        </w:rPr>
        <w:t xml:space="preserve"> Zacchaeus. However, it could also indicate that Jesus spoke </w:t>
      </w:r>
      <w:r>
        <w:rPr>
          <w:u w:val="single"/>
          <w:lang w:val="en_US" w:bidi="en_US"/>
        </w:rPr>
        <w:t>about</w:t>
      </w:r>
      <w:r>
        <w:rPr>
          <w:lang w:val="en_US" w:bidi="en_US"/>
        </w:rPr>
        <w:t xml:space="preserve"> him.</w:t>
      </w:r>
      <w:r>
        <w:rPr>
          <w:lang w:val="en_US" w:bidi="en_US"/>
        </w:rPr>
        <w:t>It is possible that Jesus was speaking to Zacchaeus, but it was a statement that he wanted all the people to hear and think about. Another possibility is that Jesus’ first words addressed Zacchaeus (“Today salvation has come to this house,”) and then, he addressed all those present with the words that followed (“because this man too is a son of Abraham.”)</w:t>
      </w:r>
      <w:r>
        <w:rPr>
          <w:lang w:val="en_US" w:bidi="en_US"/>
        </w:rPr>
        <w:t xml:space="preserve"> The context implies that both Zacchaeus and the crowd were listening to what Jesus said in this verse. There are several ways to translate the verse:</w:t>
      </w:r>
    </w:p>
    <w:p>
      <w:pPr>
        <w:pStyle w:val="ListBullet"/>
        <w:spacing w:line="240" w:lineRule="auto"/>
        <w:ind w:left="720"/>
      </w:pPr>
      <w:r>
        <w:rPr>
          <w:lang w:val="en_US" w:bidi="en_US"/>
        </w:rPr>
      </w:r>
      <w:r>
        <w:rPr>
          <w:lang w:val="en_US" w:bidi="en_US"/>
        </w:rPr>
        <w:t xml:space="preserve">Introduce 19:9 in a way that does not indicate whether Jesus was speaking </w:t>
      </w:r>
      <w:r>
        <w:rPr>
          <w:i/>
          <w:lang w:val="en_US" w:bidi="en_US"/>
        </w:rPr>
        <w:t>to</w:t>
      </w:r>
      <w:r>
        <w:rPr>
          <w:lang w:val="en_US" w:bidi="en_US"/>
        </w:rPr>
        <w:t xml:space="preserve"> or “about” Zacchaeus. For example:</w:t>
      </w:r>
      <w:r>
        <w:rPr>
          <w:lang w:val="en_US" w:bidi="en_US"/>
        </w:rPr>
        <w:t xml:space="preserve">Jesus </w:t>
      </w:r>
      <w:r>
        <w:rPr>
          <w:u w:val="single"/>
          <w:lang w:val="en_US" w:bidi="en_US"/>
        </w:rPr>
        <w:t>responded</w:t>
      </w:r>
      <w:r>
        <w:rPr>
          <w:lang w:val="en_US" w:bidi="en_US"/>
        </w:rPr>
        <w:t>, “Salvation has come to this home today, for this man has shown himself to be a true son of Abraham.” (NLT)</w:t>
      </w:r>
    </w:p>
    <w:p>
      <w:pPr>
        <w:pStyle w:val="ListBullet"/>
        <w:spacing w:line="240" w:lineRule="auto"/>
        <w:ind w:left="720"/>
      </w:pPr>
      <w:r>
        <w:rPr>
          <w:lang w:val="en_US" w:bidi="en_US"/>
        </w:rPr>
      </w:r>
      <w:r>
        <w:rPr>
          <w:lang w:val="en_US" w:bidi="en_US"/>
        </w:rPr>
        <w:t>Introduce 19:9a and 19:9b separately. For example:</w:t>
      </w:r>
      <w:r>
        <w:rPr>
          <w:vertAlign w:val="superscript"/>
          <w:lang w:val="en_US" w:bidi="en_US"/>
        </w:rPr>
        <w:t>9a</w:t>
      </w:r>
      <w:r>
        <w:rPr>
          <w:lang w:val="en_US" w:bidi="en_US"/>
        </w:rPr>
        <w:t xml:space="preserve">Jesus said to him, “Today salvation has come to this house.” </w:t>
      </w:r>
      <w:r>
        <w:rPr>
          <w:vertAlign w:val="superscript"/>
          <w:lang w:val="en_US" w:bidi="en_US"/>
        </w:rPr>
        <w:t>9b</w:t>
      </w:r>
      <w:r>
        <w:rPr>
          <w:lang w:val="en_US" w:bidi="en_US"/>
        </w:rPr>
        <w:t>Then he said, “For this man also is a son of Abraham.”</w:t>
      </w:r>
    </w:p>
    <w:p>
      <w:pPr>
        <w:pStyle w:val="ListBullet"/>
        <w:spacing w:line="240" w:lineRule="auto"/>
        <w:ind w:left="720"/>
      </w:pPr>
      <w:r>
        <w:rPr>
          <w:lang w:val="en_US" w:bidi="en_US"/>
        </w:rPr>
      </w:r>
      <w:r>
        <w:rPr>
          <w:lang w:val="en_US" w:bidi="en_US"/>
        </w:rPr>
        <w:t>Use “you” or “your” in both 19:9a–b. For example:</w:t>
      </w:r>
      <w:r>
        <w:rPr>
          <w:lang w:val="en_US" w:bidi="en_US"/>
        </w:rPr>
        <w:t>You and your family have been saved today. You’ve shown that you, too, are one of Abraham’s descendants. (GW)</w:t>
      </w:r>
    </w:p>
    <w:p>
      <w:pPr/>
      <w:r>
        <w:rPr>
          <w:lang w:val="en_US" w:bidi="en_US"/>
        </w:rPr>
      </w:r>
      <w:r>
        <w:rPr>
          <w:lang w:val="en_US" w:bidi="en_US"/>
        </w:rPr>
        <w:t>Remember that in some languages using “you” or “your” in both 19:9a and 19:9b may not communicate that Jesus was speaking to the crowd, as well as to Zacchaeus. Jesus wanted the crowd to pay attention to what he said about Zacchaeus. This is clear from Luke 19:11. It is good to imply that in your translation.</w:t>
      </w:r>
    </w:p>
    <w:p>
      <w:pPr/>
      <w:r>
        <w:rPr>
          <w:lang w:val="en_US" w:bidi="en_US"/>
        </w:rPr>
      </w:r>
      <w:r>
        <w:rPr>
          <w:b/>
          <w:lang w:val="en_US" w:bidi="en_US"/>
        </w:rPr>
        <w:t>Today salvation has come to this house:</w:t>
      </w:r>
      <w:r>
        <w:rPr>
          <w:lang w:val="en_US" w:bidi="en_US"/>
        </w:rPr>
        <w:t xml:space="preserve"> There are different ways to interpret the meaning of the statement </w:t>
      </w:r>
      <w:r>
        <w:rPr>
          <w:i/>
          <w:lang w:val="en_US" w:bidi="en_US"/>
        </w:rPr>
        <w:t>salvation has come to this house</w:t>
      </w:r>
      <w:r>
        <w:rPr>
          <w:lang w:val="en_US" w:bidi="en_US"/>
        </w:rPr>
        <w:t>. It probably indicates that the other members of Zacchaeus’ family also received God’s salvation that day.</w:t>
      </w:r>
      <w:r>
        <w:rPr>
          <w:lang w:val="en_US" w:bidi="en_US"/>
        </w:rPr>
        <w:t>Some other views are: (a) the possibility of salvation now existed for the whole household, whether or not they had already received it, and (b) salvation had come to the household because it had come to Zacchaeus, the head of the household. It is interesting to contrast Jesus’ words with the thinking of the Jews. They would think that Zacchaeus’ whole household was ritually defiled by association with him. Jesus in turn makes the pronouncement that salvation has come to the whole household.</w:t>
      </w:r>
    </w:p>
    <w:p>
      <w:pPr/>
      <w:r>
        <w:rPr>
          <w:lang w:val="en_US" w:bidi="en_US"/>
        </w:rPr>
      </w:r>
      <w:r>
        <w:rPr>
          <w:lang w:val="en_US" w:bidi="en_US"/>
        </w:rPr>
        <w:t>In some languages it may not be natural to speak of salvation “coming” to a household. Some other ways to translate it in this context are:</w:t>
      </w:r>
    </w:p>
    <w:p>
      <w:pPr>
        <w:pStyle w:val="ListBullet"/>
        <w:spacing w:line="240" w:lineRule="auto"/>
        <w:ind w:left="720"/>
      </w:pPr>
      <w:r>
        <w:rPr>
          <w:lang w:val="en_US" w:bidi="en_US"/>
        </w:rPr>
      </w:r>
      <w:r>
        <w:rPr>
          <w:lang w:val="en_US" w:bidi="en_US"/>
        </w:rPr>
        <w:t>Use a different verb:</w:t>
      </w:r>
      <w:r>
        <w:rPr>
          <w:lang w:val="en_US" w:bidi="en_US"/>
        </w:rPr>
        <w:t>Today this household receives God’s salvation</w:t>
      </w:r>
    </w:p>
    <w:p>
      <w:pPr>
        <w:pStyle w:val="ListBullet"/>
        <w:spacing w:line="240" w:lineRule="auto"/>
        <w:ind w:left="720"/>
      </w:pPr>
      <w:r>
        <w:rPr>
          <w:lang w:val="en_US" w:bidi="en_US"/>
        </w:rPr>
      </w:r>
      <w:r>
        <w:rPr>
          <w:lang w:val="en_US" w:bidi="en_US"/>
        </w:rPr>
        <w:t xml:space="preserve">Translate </w:t>
      </w:r>
      <w:r>
        <w:rPr>
          <w:i/>
          <w:lang w:val="en_US" w:bidi="en_US"/>
        </w:rPr>
        <w:t>salvation</w:t>
      </w:r>
      <w:r>
        <w:rPr>
          <w:lang w:val="en_US" w:bidi="en_US"/>
        </w:rPr>
        <w:t xml:space="preserve"> with a passive verb:</w:t>
      </w:r>
      <w:r>
        <w:rPr>
          <w:lang w:val="en_US" w:bidi="en_US"/>
        </w:rPr>
        <w:t xml:space="preserve">Today this household </w:t>
      </w:r>
      <w:r>
        <w:rPr>
          <w:u w:val="single"/>
          <w:lang w:val="en_US" w:bidi="en_US"/>
        </w:rPr>
        <w:t>has been saved</w:t>
      </w:r>
      <w:r>
        <w:rPr>
          <w:lang w:val="en_US" w:bidi="en_US"/>
        </w:rPr>
        <w:t>.</w:t>
      </w:r>
    </w:p>
    <w:p>
      <w:pPr>
        <w:pStyle w:val="ListBullet"/>
        <w:spacing w:line="240" w:lineRule="auto"/>
        <w:ind w:left="720"/>
      </w:pPr>
      <w:r>
        <w:rPr>
          <w:lang w:val="en_US" w:bidi="en_US"/>
        </w:rPr>
      </w:r>
      <w:r>
        <w:rPr>
          <w:lang w:val="en_US" w:bidi="en_US"/>
        </w:rPr>
        <w:t xml:space="preserve">Translate </w:t>
      </w:r>
      <w:r>
        <w:rPr>
          <w:i/>
          <w:lang w:val="en_US" w:bidi="en_US"/>
        </w:rPr>
        <w:t>salvation</w:t>
      </w:r>
      <w:r>
        <w:rPr>
          <w:lang w:val="en_US" w:bidi="en_US"/>
        </w:rPr>
        <w:t xml:space="preserve"> with an active verb or verbal noun and supply “God” as the subject:</w:t>
      </w:r>
      <w:r>
        <w:rPr>
          <w:lang w:val="en_US" w:bidi="en_US"/>
        </w:rPr>
        <w:t xml:space="preserve">Today </w:t>
      </w:r>
      <w:r>
        <w:rPr>
          <w:u w:val="single"/>
          <w:lang w:val="en_US" w:bidi="en_US"/>
        </w:rPr>
        <w:t>God saves</w:t>
      </w:r>
      <w:r>
        <w:rPr>
          <w:lang w:val="en_US" w:bidi="en_US"/>
        </w:rPr>
        <w:t xml:space="preserve"> the people who live in this house.</w:t>
      </w:r>
      <w:r>
        <w:rPr>
          <w:lang w:val="en_US" w:bidi="en_US"/>
        </w:rPr>
        <w:t xml:space="preserve">Really right-now, the </w:t>
      </w:r>
      <w:r>
        <w:rPr>
          <w:u w:val="single"/>
          <w:lang w:val="en_US" w:bidi="en_US"/>
        </w:rPr>
        <w:t>saving by God</w:t>
      </w:r>
      <w:r>
        <w:rPr>
          <w:lang w:val="en_US" w:bidi="en_US"/>
        </w:rPr>
        <w:t xml:space="preserve"> has come here to this household.</w:t>
      </w:r>
      <w:r>
        <w:rPr>
          <w:lang w:val="en_US" w:bidi="en_US"/>
        </w:rPr>
        <w:t>From Tagbanwa, a language of the Philippines, in back translation.</w:t>
      </w:r>
    </w:p>
    <w:p>
      <w:pPr/>
      <w:r>
        <w:rPr>
          <w:lang w:val="en_US" w:bidi="en_US"/>
        </w:rPr>
      </w:r>
      <w:r>
        <w:rPr>
          <w:lang w:val="en_US" w:bidi="en_US"/>
        </w:rPr>
        <w:t>Translate this statement in a natural way in your language.</w:t>
      </w:r>
    </w:p>
    <w:p>
      <w:pPr/>
      <w:r>
        <w:rPr>
          <w:lang w:val="en_US" w:bidi="en_US"/>
        </w:rPr>
      </w:r>
      <w:r>
        <w:rPr>
          <w:b/>
          <w:lang w:val="en_US" w:bidi="en_US"/>
        </w:rPr>
        <w:t>Today:</w:t>
      </w:r>
      <w:r>
        <w:rPr>
          <w:lang w:val="en_US" w:bidi="en_US"/>
        </w:rPr>
        <w:t xml:space="preserve"> The word </w:t>
      </w:r>
      <w:r>
        <w:rPr>
          <w:i/>
          <w:lang w:val="en_US" w:bidi="en_US"/>
        </w:rPr>
        <w:t>Today</w:t>
      </w:r>
      <w:r>
        <w:rPr>
          <w:lang w:val="en_US" w:bidi="en_US"/>
        </w:rPr>
        <w:t xml:space="preserve"> is emphasized here. It may imply a contrast with the past days of Zacchaeus’ life. Other ways to emphasize it in English are:</w:t>
      </w:r>
    </w:p>
    <w:p>
      <w:pPr/>
      <w:r>
        <w:rPr>
          <w:lang w:val="en_US" w:bidi="en_US"/>
        </w:rPr>
      </w:r>
      <w:r>
        <w:rPr>
          <w:lang w:val="en_US" w:bidi="en_US"/>
        </w:rPr>
        <w:t>As for today</w:t>
      </w:r>
    </w:p>
    <w:p>
      <w:pPr/>
      <w:r>
        <w:rPr>
          <w:lang w:val="en_US" w:bidi="en_US"/>
        </w:rPr>
      </w:r>
      <w:r>
        <w:rPr>
          <w:lang w:val="en_US" w:bidi="en_US"/>
        </w:rPr>
        <w:t>On this very day</w:t>
      </w:r>
    </w:p>
    <w:p>
      <w:pPr/>
      <w:r>
        <w:rPr>
          <w:lang w:val="en_US" w:bidi="en_US"/>
        </w:rPr>
      </w:r>
      <w:r>
        <w:rPr>
          <w:b/>
          <w:lang w:val="en_US" w:bidi="en_US"/>
        </w:rPr>
        <w:t>salvation:</w:t>
      </w:r>
      <w:r>
        <w:rPr>
          <w:lang w:val="en_US" w:bidi="en_US"/>
        </w:rPr>
        <w:t xml:space="preserve"> The Greek word that the BSB translates as </w:t>
      </w:r>
      <w:r>
        <w:rPr>
          <w:i/>
          <w:lang w:val="en_US" w:bidi="en_US"/>
        </w:rPr>
        <w:t>salvation</w:t>
      </w:r>
      <w:r>
        <w:rPr>
          <w:lang w:val="en_US" w:bidi="en_US"/>
        </w:rPr>
        <w:t xml:space="preserve"> refers to being rescued from evil or danger. In this context it refers to being rescued from sin and from being judged and condemned because of sins. It also implies being reconciled with God and his people. Some other ways to translate it in this context are:</w:t>
      </w:r>
    </w:p>
    <w:p>
      <w:pPr/>
      <w:r>
        <w:rPr>
          <w:lang w:val="en_US" w:bidi="en_US"/>
        </w:rPr>
      </w:r>
      <w:r>
        <w:rPr>
          <w:lang w:val="en_US" w:bidi="en_US"/>
        </w:rPr>
        <w:t>deliverance</w:t>
      </w:r>
    </w:p>
    <w:p>
      <w:pPr/>
      <w:r>
        <w:rPr>
          <w:lang w:val="en_US" w:bidi="en_US"/>
        </w:rPr>
      </w:r>
      <w:r>
        <w:rPr>
          <w:lang w:val="en_US" w:bidi="en_US"/>
        </w:rPr>
        <w:t>God</w:t>
      </w:r>
      <w:r>
        <w:rPr>
          <w:lang w:val="en_US" w:bidi="en_US"/>
        </w:rPr>
        <w:t xml:space="preserve"> has rescued this household </w:t>
      </w:r>
      <w:r>
        <w:rPr>
          <w:lang w:val="en_US" w:bidi="en_US"/>
        </w:rPr>
        <w:t>from evil/punishment</w:t>
      </w:r>
    </w:p>
    <w:p>
      <w:pPr/>
      <w:r>
        <w:rPr>
          <w:lang w:val="en_US" w:bidi="en_US"/>
        </w:rPr>
      </w:r>
      <w:r>
        <w:rPr>
          <w:lang w:val="en_US" w:bidi="en_US"/>
        </w:rPr>
        <w:t xml:space="preserve">have been freed </w:t>
      </w:r>
      <w:r>
        <w:rPr>
          <w:lang w:val="en_US" w:bidi="en_US"/>
        </w:rPr>
        <w:t>from sin/judgment</w:t>
      </w:r>
      <w:r>
        <w:rPr>
          <w:lang w:val="en_US" w:bidi="en_US"/>
        </w:rPr>
        <w:t xml:space="preserve"> </w:t>
      </w:r>
      <w:r>
        <w:rPr>
          <w:lang w:val="en_US" w:bidi="en_US"/>
        </w:rPr>
        <w:t>and reconciled</w:t>
      </w:r>
      <w:r>
        <w:rPr>
          <w:lang w:val="en_US" w:bidi="en_US"/>
        </w:rPr>
        <w:t xml:space="preserve"> </w:t>
      </w:r>
      <w:r>
        <w:rPr>
          <w:lang w:val="en_US" w:bidi="en_US"/>
        </w:rPr>
        <w:t>with God</w:t>
      </w:r>
    </w:p>
    <w:p>
      <w:pPr/>
      <w:r>
        <w:rPr>
          <w:lang w:val="en_US" w:bidi="en_US"/>
        </w:rPr>
      </w:r>
      <w:r>
        <w:rPr>
          <w:lang w:val="en_US" w:bidi="en_US"/>
        </w:rPr>
        <w:t>See save in the Glossary.</w:t>
      </w:r>
    </w:p>
    <w:p>
      <w:pPr/>
      <w:r>
        <w:rPr>
          <w:lang w:val="en_US" w:bidi="en_US"/>
        </w:rPr>
      </w:r>
      <w:r>
        <w:rPr>
          <w:b/>
          <w:lang w:val="en_US" w:bidi="en_US"/>
        </w:rPr>
        <w:t>this house:</w:t>
      </w:r>
      <w:r>
        <w:rPr>
          <w:lang w:val="en_US" w:bidi="en_US"/>
        </w:rPr>
        <w:t xml:space="preserve"> In this context the phrase </w:t>
      </w:r>
      <w:r>
        <w:rPr>
          <w:i/>
          <w:lang w:val="en_US" w:bidi="en_US"/>
        </w:rPr>
        <w:t>this house</w:t>
      </w:r>
      <w:r>
        <w:rPr>
          <w:lang w:val="en_US" w:bidi="en_US"/>
        </w:rPr>
        <w:t xml:space="preserve"> refers to Zacchaeus’ household. It includes the people who lived in Zacchaeus’ house, both family members and servants. Some other ways to translate this are:</w:t>
      </w:r>
    </w:p>
    <w:p>
      <w:pPr/>
      <w:r>
        <w:rPr>
          <w:lang w:val="en_US" w:bidi="en_US"/>
        </w:rPr>
      </w:r>
      <w:r>
        <w:rPr>
          <w:lang w:val="en_US" w:bidi="en_US"/>
        </w:rPr>
        <w:t>this household</w:t>
      </w:r>
    </w:p>
    <w:p>
      <w:pPr/>
      <w:r>
        <w:rPr>
          <w:lang w:val="en_US" w:bidi="en_US"/>
        </w:rPr>
      </w:r>
      <w:r>
        <w:rPr>
          <w:lang w:val="en_US" w:bidi="en_US"/>
        </w:rPr>
        <w:t>the people of this house</w:t>
      </w:r>
    </w:p>
    <w:p>
      <w:pPr/>
      <w:r>
        <w:rPr>
          <w:lang w:val="en_US" w:bidi="en_US"/>
        </w:rPr>
      </w:r>
      <w:r>
        <w:rPr>
          <w:lang w:val="en_US" w:bidi="en_US"/>
        </w:rPr>
        <w:t>the people living in your house</w:t>
      </w:r>
    </w:p>
    <w:p>
      <w:pPr/>
      <w:r>
        <w:rPr>
          <w:lang w:val="en_US" w:bidi="en_US"/>
        </w:rPr>
      </w:r>
      <w:r>
        <w:rPr>
          <w:lang w:val="en_US" w:bidi="en_US"/>
        </w:rPr>
        <w:t xml:space="preserve">Zacchaeus himself was included in the phrase </w:t>
      </w:r>
      <w:r>
        <w:rPr>
          <w:i/>
          <w:lang w:val="en_US" w:bidi="en_US"/>
        </w:rPr>
        <w:t>this house</w:t>
      </w:r>
      <w:r>
        <w:rPr>
          <w:lang w:val="en_US" w:bidi="en_US"/>
        </w:rPr>
        <w:t>. In some languages it may be necessary to make that explicit. For example:</w:t>
      </w:r>
    </w:p>
    <w:p>
      <w:pPr/>
      <w:r>
        <w:rPr>
          <w:lang w:val="en_US" w:bidi="en_US"/>
        </w:rPr>
      </w:r>
      <w:r>
        <w:rPr>
          <w:lang w:val="en_US" w:bidi="en_US"/>
        </w:rPr>
        <w:t xml:space="preserve">to </w:t>
      </w:r>
      <w:r>
        <w:rPr>
          <w:lang w:val="en_US" w:bidi="en_US"/>
        </w:rPr>
        <w:t>you, Zacchaeus</w:t>
      </w:r>
      <w:r>
        <w:rPr>
          <w:lang w:val="en_US" w:bidi="en_US"/>
        </w:rPr>
        <w:t xml:space="preserve"> and to your household</w:t>
      </w:r>
    </w:p>
    <w:p>
      <w:pPr>
        <w:pStyle w:val="Heading5"/>
      </w:pPr>
      <w:r>
        <w:rPr>
          <w:lang w:val="en_US" w:bidi="en_US"/>
        </w:rPr>
        <w:t>19:9b</w:t>
      </w:r>
    </w:p>
    <w:p>
      <w:pPr/>
      <w:r>
        <w:rPr>
          <w:lang w:val="en_US" w:bidi="en_US"/>
        </w:rPr>
      </w:r>
      <w:r>
        <w:rPr>
          <w:b/>
          <w:lang w:val="en_US" w:bidi="en_US"/>
        </w:rPr>
        <w:t>because this man too is a son of Abraham.</w:t>
      </w:r>
    </w:p>
    <w:p>
      <w:pPr>
        <w:pStyle w:val="ListBullet"/>
        <w:spacing w:line="240" w:lineRule="auto"/>
        <w:ind w:left="720"/>
      </w:pPr>
      <w:r>
        <w:rPr>
          <w:lang w:val="en_US" w:bidi="en_US"/>
        </w:rPr>
      </w:r>
      <w:r>
        <w:rPr>
          <w:lang w:val="en_US" w:bidi="en_US"/>
        </w:rPr>
        <w:t xml:space="preserve">because this man, </w:t>
      </w:r>
      <w:r>
        <w:rPr>
          <w:lang w:val="en_US" w:bidi="en_US"/>
        </w:rPr>
        <w:t>Zacchaeus</w:t>
      </w:r>
      <w:r>
        <w:rPr>
          <w:lang w:val="en_US" w:bidi="en_US"/>
        </w:rPr>
        <w:t>, is also one of the sons of Abraham.</w:t>
      </w:r>
    </w:p>
    <w:p>
      <w:pPr>
        <w:pStyle w:val="ListBullet"/>
        <w:spacing w:line="240" w:lineRule="auto"/>
        <w:ind w:left="720"/>
      </w:pPr>
      <w:r>
        <w:rPr>
          <w:lang w:val="en_US" w:bidi="en_US"/>
        </w:rPr>
      </w:r>
      <w:r>
        <w:rPr>
          <w:lang w:val="en_US" w:bidi="en_US"/>
        </w:rPr>
        <w:t>because you</w:t>
      </w:r>
      <w:r>
        <w:rPr>
          <w:vertAlign w:val="superscript"/>
          <w:lang w:val="en_US" w:bidi="en_US"/>
        </w:rPr>
        <w:t>(sing)</w:t>
      </w:r>
      <w:r>
        <w:rPr>
          <w:lang w:val="en_US" w:bidi="en_US"/>
        </w:rPr>
        <w:t xml:space="preserve"> are a descendant of Abraham </w:t>
      </w:r>
      <w:r>
        <w:rPr>
          <w:lang w:val="en_US" w:bidi="en_US"/>
        </w:rPr>
        <w:t>just as other Jews are</w:t>
      </w:r>
      <w:r>
        <w:rPr>
          <w:lang w:val="en_US" w:bidi="en_US"/>
        </w:rPr>
        <w:t xml:space="preserve">.” </w:t>
      </w:r>
      <w:r>
        <w:rPr>
          <w:lang w:val="en_US" w:bidi="en_US"/>
        </w:rPr>
        <w:t>Then Jesus said,</w:t>
      </w:r>
    </w:p>
    <w:p>
      <w:pPr/>
      <w:r>
        <w:rPr>
          <w:lang w:val="en_US" w:bidi="en_US"/>
        </w:rPr>
      </w:r>
      <w:r>
        <w:rPr>
          <w:b/>
          <w:lang w:val="en_US" w:bidi="en_US"/>
        </w:rPr>
        <w:t>because this man too is a son of Abraham:</w:t>
      </w:r>
      <w:r>
        <w:rPr>
          <w:lang w:val="en_US" w:bidi="en_US"/>
        </w:rPr>
        <w:t xml:space="preserve"> The Greek word that the BSB translates as </w:t>
      </w:r>
      <w:r>
        <w:rPr>
          <w:i/>
          <w:lang w:val="en_US" w:bidi="en_US"/>
        </w:rPr>
        <w:t>because</w:t>
      </w:r>
      <w:r>
        <w:rPr>
          <w:lang w:val="en_US" w:bidi="en_US"/>
        </w:rPr>
        <w:t xml:space="preserve"> here is rare in the New Testament. It occurs only six times, all in the books of Luke and Acts. It usually introduces the basis for a statement.</w:t>
      </w:r>
    </w:p>
    <w:p>
      <w:pPr/>
      <w:r>
        <w:rPr>
          <w:lang w:val="en_US" w:bidi="en_US"/>
        </w:rPr>
      </w:r>
      <w:r>
        <w:rPr>
          <w:lang w:val="en_US" w:bidi="en_US"/>
        </w:rPr>
        <w:t xml:space="preserve">The exact connection between 19:9a and 19:9b is not obvious. But Abraham was famous for believing God. In 19:8, Zacchaeus showed that he also believed the Lord, as Abraham did. </w:t>
      </w:r>
      <w:r>
        <w:rPr>
          <w:u w:val="single"/>
          <w:lang w:val="en_US" w:bidi="en_US"/>
        </w:rPr>
        <w:t>Because of that</w:t>
      </w:r>
      <w:r>
        <w:rPr>
          <w:lang w:val="en_US" w:bidi="en_US"/>
        </w:rPr>
        <w:t>, he received salvation. He did not receive it only because he was a Jew by birth.</w:t>
      </w:r>
    </w:p>
    <w:p>
      <w:pPr/>
      <w:r>
        <w:rPr>
          <w:lang w:val="en_US" w:bidi="en_US"/>
        </w:rPr>
      </w:r>
      <w:r>
        <w:rPr>
          <w:lang w:val="en_US" w:bidi="en_US"/>
        </w:rPr>
        <w:t>Here are some other ways to translate this connection in English:</w:t>
      </w:r>
    </w:p>
    <w:p>
      <w:pPr/>
      <w:r>
        <w:rPr>
          <w:lang w:val="en_US" w:bidi="en_US"/>
        </w:rPr>
      </w:r>
      <w:r>
        <w:rPr>
          <w:lang w:val="en_US" w:bidi="en_US"/>
        </w:rPr>
        <w:t>for (GNT)</w:t>
      </w:r>
    </w:p>
    <w:p>
      <w:pPr/>
      <w:r>
        <w:rPr>
          <w:lang w:val="en_US" w:bidi="en_US"/>
        </w:rPr>
      </w:r>
      <w:r>
        <w:rPr>
          <w:lang w:val="en_US" w:bidi="en_US"/>
        </w:rPr>
        <w:t>since (RSV)</w:t>
      </w:r>
    </w:p>
    <w:p>
      <w:pPr/>
      <w:r>
        <w:rPr>
          <w:lang w:val="en_US" w:bidi="en_US"/>
        </w:rPr>
      </w:r>
      <w:r>
        <w:rPr>
          <w:lang w:val="en_US" w:bidi="en_US"/>
        </w:rPr>
        <w:t>He has shown that</w:t>
      </w:r>
    </w:p>
    <w:p>
      <w:pPr/>
      <w:r>
        <w:rPr>
          <w:lang w:val="en_US" w:bidi="en_US"/>
        </w:rPr>
      </w:r>
      <w:r>
        <w:rPr>
          <w:lang w:val="en_US" w:bidi="en_US"/>
        </w:rPr>
        <w:t>Translate the connection in a natural way in your language.</w:t>
      </w:r>
    </w:p>
    <w:p>
      <w:pPr/>
      <w:r>
        <w:rPr>
          <w:lang w:val="en_US" w:bidi="en_US"/>
        </w:rPr>
      </w:r>
      <w:r>
        <w:rPr>
          <w:b/>
          <w:lang w:val="en_US" w:bidi="en_US"/>
        </w:rPr>
        <w:t>this man too is a son of Abraham:</w:t>
      </w:r>
      <w:r>
        <w:rPr>
          <w:lang w:val="en_US" w:bidi="en_US"/>
        </w:rPr>
        <w:t xml:space="preserve"> Abraham was the ancestor of all the Jewish people. God made a covenant with him and his descendants. Abraham was famous for trusting and obeying God. When Jesus said that Zacchaeus was a son of Abraham, he implied that Zacchaeus also shared in God’s covenant with the other Jews who trusted God.</w:t>
      </w:r>
    </w:p>
    <w:p>
      <w:pPr/>
      <w:r>
        <w:rPr>
          <w:lang w:val="en_US" w:bidi="en_US"/>
        </w:rPr>
      </w:r>
      <w:r>
        <w:rPr>
          <w:lang w:val="en_US" w:bidi="en_US"/>
        </w:rPr>
        <w:t xml:space="preserve">In some languages a literal translation may imply the wrong meaning that Zacchaeus was saved because he was </w:t>
      </w:r>
      <w:r>
        <w:rPr>
          <w:u w:val="single"/>
          <w:lang w:val="en_US" w:bidi="en_US"/>
        </w:rPr>
        <w:t>physically</w:t>
      </w:r>
      <w:r>
        <w:rPr>
          <w:lang w:val="en_US" w:bidi="en_US"/>
        </w:rPr>
        <w:t xml:space="preserve"> a descendant of Abraham. If that is true in your language, it may be necessary to include some implied information. For example:</w:t>
      </w:r>
    </w:p>
    <w:p>
      <w:pPr/>
      <w:r>
        <w:rPr>
          <w:lang w:val="en_US" w:bidi="en_US"/>
        </w:rPr>
      </w:r>
      <w:r>
        <w:rPr>
          <w:lang w:val="en_US" w:bidi="en_US"/>
        </w:rPr>
        <w:t xml:space="preserve">he also is a </w:t>
      </w:r>
      <w:r>
        <w:rPr>
          <w:lang w:val="en_US" w:bidi="en_US"/>
        </w:rPr>
        <w:t>true</w:t>
      </w:r>
      <w:r>
        <w:rPr>
          <w:lang w:val="en_US" w:bidi="en_US"/>
        </w:rPr>
        <w:t xml:space="preserve"> descendant of Abraham.</w:t>
      </w:r>
    </w:p>
    <w:p>
      <w:pPr/>
      <w:r>
        <w:rPr>
          <w:lang w:val="en_US" w:bidi="en_US"/>
        </w:rPr>
      </w:r>
      <w:r>
        <w:rPr>
          <w:lang w:val="en_US" w:bidi="en_US"/>
        </w:rPr>
        <w:t>It may also be helpful to add a footnote here in your translation. For example:</w:t>
      </w:r>
    </w:p>
    <w:p>
      <w:pPr/>
      <w:r>
        <w:rPr>
          <w:lang w:val="en_US" w:bidi="en_US"/>
        </w:rPr>
      </w:r>
      <w:r>
        <w:rPr>
          <w:lang w:val="en_US" w:bidi="en_US"/>
        </w:rPr>
        <w:t>Zacchaeus was saved because he trusted in God, as his ancestor Abraham did. He was not saved only because he was Abraham’s physical descendant.</w:t>
      </w:r>
    </w:p>
    <w:p>
      <w:pPr/>
      <w:r>
        <w:rPr>
          <w:lang w:val="en_US" w:bidi="en_US"/>
        </w:rPr>
      </w:r>
      <w:r>
        <w:rPr>
          <w:lang w:val="en_US" w:bidi="en_US"/>
        </w:rPr>
        <w:t xml:space="preserve">Remember that Jesus was speaking </w:t>
      </w:r>
      <w:r>
        <w:rPr>
          <w:u w:val="single"/>
          <w:lang w:val="en_US" w:bidi="en_US"/>
        </w:rPr>
        <w:t>to</w:t>
      </w:r>
      <w:r>
        <w:rPr>
          <w:lang w:val="en_US" w:bidi="en_US"/>
        </w:rPr>
        <w:t xml:space="preserve"> Zacchaeus, as well as </w:t>
      </w:r>
      <w:r>
        <w:rPr>
          <w:u w:val="single"/>
          <w:lang w:val="en_US" w:bidi="en_US"/>
        </w:rPr>
        <w:t>about</w:t>
      </w:r>
      <w:r>
        <w:rPr>
          <w:lang w:val="en_US" w:bidi="en_US"/>
        </w:rPr>
        <w:t xml:space="preserve"> him. In some languages it is more natural to use “you” here. For example:</w:t>
      </w:r>
    </w:p>
    <w:p>
      <w:pPr/>
      <w:r>
        <w:rPr>
          <w:lang w:val="en_US" w:bidi="en_US"/>
        </w:rPr>
      </w:r>
      <w:r>
        <w:rPr>
          <w:lang w:val="en_US" w:bidi="en_US"/>
        </w:rPr>
        <w:t>you also trust in God as your ancestor Abraham did (TRT)</w:t>
      </w:r>
    </w:p>
    <w:p>
      <w:pPr/>
      <w:r>
        <w:rPr>
          <w:lang w:val="en_US" w:bidi="en_US"/>
        </w:rPr>
      </w:r>
      <w:r>
        <w:rPr>
          <w:lang w:val="en_US" w:bidi="en_US"/>
        </w:rPr>
        <w:t>you today have done like your ancestor Abraham, because you believed in God</w:t>
      </w:r>
      <w:r>
        <w:rPr>
          <w:lang w:val="en_US" w:bidi="en_US"/>
        </w:rPr>
        <w:t>Western Bukidnon Manobo back translation on TW.</w:t>
      </w:r>
    </w:p>
    <w:p>
      <w:pPr/>
      <w:r>
        <w:rPr>
          <w:lang w:val="en_US" w:bidi="en_US"/>
        </w:rPr>
      </w:r>
      <w:r>
        <w:rPr>
          <w:lang w:val="en_US" w:bidi="en_US"/>
        </w:rPr>
        <w:t>For more information, see the note on “Jesus said to him” at 19:9a.</w:t>
      </w:r>
    </w:p>
    <w:p>
      <w:pPr/>
      <w:r>
        <w:rPr>
          <w:lang w:val="en_US" w:bidi="en_US"/>
        </w:rPr>
      </w:r>
      <w:r>
        <w:rPr>
          <w:b/>
          <w:lang w:val="en_US" w:bidi="en_US"/>
        </w:rPr>
        <w:t>a son of Abraham:</w:t>
      </w:r>
      <w:r>
        <w:rPr>
          <w:lang w:val="en_US" w:bidi="en_US"/>
        </w:rPr>
        <w:t xml:space="preserve"> Here the phrase </w:t>
      </w:r>
      <w:r>
        <w:rPr>
          <w:i/>
          <w:lang w:val="en_US" w:bidi="en_US"/>
        </w:rPr>
        <w:t>son of Abraham</w:t>
      </w:r>
      <w:r>
        <w:rPr>
          <w:lang w:val="en_US" w:bidi="en_US"/>
        </w:rPr>
        <w:t xml:space="preserve"> means “descendant of Abraham.” Abraham lived hundreds of years before Zacchaeus was born. Abraham was his ancestor. Some other ways to translate this phrase are:</w:t>
      </w:r>
    </w:p>
    <w:p>
      <w:pPr/>
      <w:r>
        <w:rPr>
          <w:lang w:val="en_US" w:bidi="en_US"/>
        </w:rPr>
      </w:r>
      <w:r>
        <w:rPr>
          <w:lang w:val="en_US" w:bidi="en_US"/>
        </w:rPr>
        <w:t>this man, also, is a descendant of Abraham (GNT)</w:t>
      </w:r>
    </w:p>
    <w:p>
      <w:pPr/>
      <w:r>
        <w:rPr>
          <w:lang w:val="en_US" w:bidi="en_US"/>
        </w:rPr>
      </w:r>
      <w:r>
        <w:rPr>
          <w:lang w:val="en_US" w:bidi="en_US"/>
        </w:rPr>
        <w:t>this man also belongs to the family of Abraham (NCV)</w:t>
      </w:r>
      <w:r>
        <w:rPr>
          <w:lang w:val="en_US" w:bidi="en_US"/>
        </w:rPr>
      </w:r>
      <w:r>
        <w:rPr>
          <w:lang w:val="en_US" w:bidi="en_US"/>
        </w:rPr>
      </w:r>
    </w:p>
    <w:p>
      <w:pPr/>
      <w:r>
        <w:rPr>
          <w:lang w:val="en_US" w:bidi="en_US"/>
        </w:rPr>
      </w:r>
    </w:p>
    <w:p>
      <w:pPr>
        <w:pStyle w:val="Heading2"/>
      </w:pPr>
      <w:r>
        <w:rPr>
          <w:lang w:val="en_US" w:bidi="en_US"/>
        </w:rPr>
        <w:t>Luke 19:10</w:t>
      </w:r>
      <w:r>
        <w:rPr>
          <w:lang w:val="en_US" w:bidi="en_US"/>
        </w:rPr>
      </w:r>
    </w:p>
    <w:p>
      <w:pPr>
        <w:pStyle w:val="Heading4"/>
      </w:pPr>
      <w:r>
        <w:rPr>
          <w:lang w:val="en_US" w:bidi="en_US"/>
        </w:rPr>
        <w:t>Section 19:1–10: Zacchaeus the tax collector began to follow Jesus</w:t>
      </w:r>
    </w:p>
    <w:p>
      <w:pPr/>
      <w:r>
        <w:rPr>
          <w:lang w:val="en_US" w:bidi="en_US"/>
        </w:rPr>
      </w:r>
      <w:r>
        <w:rPr>
          <w:lang w:val="en_US" w:bidi="en_US"/>
        </w:rPr>
        <w:t>In the preceding section Jesus was approaching Jericho. In this section he entered Jericho and met a tax collector named Zacchaeus.</w:t>
      </w:r>
    </w:p>
    <w:p>
      <w:pPr/>
      <w:r>
        <w:rPr>
          <w:lang w:val="en_US" w:bidi="en_US"/>
        </w:rPr>
      </w:r>
      <w:r>
        <w:rPr>
          <w:lang w:val="en_US" w:bidi="en_US"/>
        </w:rPr>
        <w:t>The Jews thought that the tax collectors were more sinful than other people. Most tax collectors cheated their own Jewish people by charging them more money than they actually owed. The tax collectors also worked with government officials who were not Jews, so the Jews assumed that tax collectors were often ritually unclean. While they were ritually unclean, they were not able to enter the temple or synagogue to worship God publicly. If another Jew entered a tax collector’s house or ate with him while he was unclean, that Jew also would become unclean.</w:t>
      </w:r>
    </w:p>
    <w:p>
      <w:pPr/>
      <w:r>
        <w:rPr>
          <w:lang w:val="en_US" w:bidi="en_US"/>
        </w:rPr>
      </w:r>
      <w:r>
        <w:rPr>
          <w:lang w:val="en_US" w:bidi="en_US"/>
        </w:rPr>
        <w:t>The city of Jericho, where Zacchaeus worked, was a busy trading center. People were required to pay taxes on things that they sold. A chief tax collector like Zacchaeus could easily become rich through collecting taxes there.</w:t>
      </w:r>
      <w:r>
        <w:rPr>
          <w:lang w:val="en_US" w:bidi="en_US"/>
        </w:rPr>
        <w:t>Keener (p. 240) says: “Being a border city, Jericho had a customs station. Because it was also one of the wealthiest cities of Palestine, in the most fertile part of Judea and boasting a Herodian palace, other tax income would also be extensive. The ‘chief’ tax gatherer would be the one who contracted for sales and customs taxes and hired collectors under him. Given this role, Zacchaeus could have become rich without cheating; but it seems that he had cheated anyway (19:8).” However, it was often difficult for people to pay these taxes, and high taxes caused many of them to remain poor. That may have been a reason why Zacchaeus promised Jesus that he would give half of his possessions to poor people (19:8).</w:t>
      </w:r>
    </w:p>
    <w:p>
      <w:pPr/>
      <w:r>
        <w:rPr>
          <w:lang w:val="en_US" w:bidi="en_US"/>
        </w:rPr>
      </w:r>
      <w:r>
        <w:rPr>
          <w:lang w:val="en_US" w:bidi="en_US"/>
        </w:rPr>
        <w:t>You may want to include footnotes in your translation to help readers understand this background information. Suggested footnotes are given at 19:2b, Paragraph 19:5–7, and 19:7b.</w:t>
      </w:r>
    </w:p>
    <w:p>
      <w:pPr/>
      <w:r>
        <w:rPr>
          <w:lang w:val="en_US" w:bidi="en_US"/>
        </w:rPr>
      </w:r>
      <w:r>
        <w:rPr>
          <w:lang w:val="en_US" w:bidi="en_US"/>
        </w:rPr>
        <w:t>Jesus was a Jew, but he went to Zacchaeus’ house and ate a meal with him. During that time, Zacchaeus repented of his sins and received salvation.</w:t>
      </w:r>
    </w:p>
    <w:p>
      <w:pPr/>
      <w:r>
        <w:rPr>
          <w:lang w:val="en_US" w:bidi="en_US"/>
        </w:rPr>
      </w:r>
      <w:r>
        <w:rPr>
          <w:lang w:val="en_US" w:bidi="en_US"/>
        </w:rPr>
        <w:t>Other examples of headings for this section are:</w:t>
      </w:r>
    </w:p>
    <w:p>
      <w:pPr/>
      <w:r>
        <w:rPr>
          <w:lang w:val="en_US" w:bidi="en_US"/>
        </w:rPr>
      </w:r>
      <w:r>
        <w:rPr>
          <w:lang w:val="en_US" w:bidi="en_US"/>
        </w:rPr>
        <w:t>Jesus and Zacchaeus (GNT)</w:t>
      </w:r>
    </w:p>
    <w:p>
      <w:pPr/>
      <w:r>
        <w:rPr>
          <w:lang w:val="en_US" w:bidi="en_US"/>
        </w:rPr>
      </w:r>
      <w:r>
        <w:rPr>
          <w:lang w:val="en_US" w:bidi="en_US"/>
        </w:rPr>
        <w:t>Jesus went to Zacchaeus’ house</w:t>
      </w:r>
    </w:p>
    <w:p>
      <w:pPr/>
      <w:r>
        <w:rPr>
          <w:lang w:val="en_US" w:bidi="en_US"/>
        </w:rPr>
      </w:r>
      <w:r>
        <w:rPr>
          <w:lang w:val="en_US" w:bidi="en_US"/>
        </w:rPr>
        <w:t>Jesus ate with Zacchaeus the tax collector</w:t>
      </w:r>
    </w:p>
    <w:p>
      <w:pPr/>
      <w:r>
        <w:rPr>
          <w:lang w:val="en_US" w:bidi="en_US"/>
        </w:rPr>
      </w:r>
      <w:r>
        <w:rPr>
          <w:lang w:val="en_US" w:bidi="en_US"/>
        </w:rPr>
        <w:t>Only the Gospel of Luke tells about this event. The other gospels do not mention it.</w:t>
      </w:r>
    </w:p>
    <w:p>
      <w:pPr>
        <w:pStyle w:val="Heading5"/>
      </w:pPr>
      <w:r>
        <w:rPr>
          <w:lang w:val="en_US" w:bidi="en_US"/>
        </w:rPr>
        <w:t>19:10a</w:t>
      </w:r>
    </w:p>
    <w:p>
      <w:pPr/>
      <w:r>
        <w:rPr>
          <w:lang w:val="en_US" w:bidi="en_US"/>
        </w:rPr>
      </w:r>
      <w:r>
        <w:rPr>
          <w:b/>
          <w:lang w:val="en_US" w:bidi="en_US"/>
        </w:rPr>
        <w:t>For the Son of Man came</w:t>
      </w:r>
    </w:p>
    <w:p>
      <w:pPr>
        <w:pStyle w:val="ListBullet"/>
        <w:spacing w:line="240" w:lineRule="auto"/>
        <w:ind w:left="720"/>
      </w:pPr>
      <w:r>
        <w:rPr>
          <w:lang w:val="en_US" w:bidi="en_US"/>
        </w:rPr>
      </w:r>
      <w:r>
        <w:rPr>
          <w:lang w:val="en_US" w:bidi="en_US"/>
        </w:rPr>
        <w:t xml:space="preserve">For the Son of Man, has come </w:t>
      </w:r>
      <w:r>
        <w:rPr>
          <w:lang w:val="en_US" w:bidi="en_US"/>
        </w:rPr>
        <w:t>to earth</w:t>
      </w:r>
    </w:p>
    <w:p>
      <w:pPr>
        <w:pStyle w:val="ListBullet"/>
        <w:spacing w:line="240" w:lineRule="auto"/>
        <w:ind w:left="720"/>
      </w:pPr>
      <w:r>
        <w:rPr>
          <w:lang w:val="en_US" w:bidi="en_US"/>
        </w:rPr>
      </w:r>
      <w:r>
        <w:rPr>
          <w:lang w:val="en_US" w:bidi="en_US"/>
        </w:rPr>
        <w:t xml:space="preserve">“For </w:t>
      </w:r>
      <w:r>
        <w:rPr>
          <w:lang w:val="en_US" w:bidi="en_US"/>
        </w:rPr>
        <w:t>I,</w:t>
      </w:r>
      <w:r>
        <w:rPr>
          <w:lang w:val="en_US" w:bidi="en_US"/>
        </w:rPr>
        <w:t xml:space="preserve"> the Son of Man, came </w:t>
      </w:r>
      <w:r>
        <w:rPr>
          <w:lang w:val="en_US" w:bidi="en_US"/>
        </w:rPr>
        <w:t>from heaven/God</w:t>
      </w:r>
    </w:p>
    <w:p>
      <w:pPr>
        <w:pStyle w:val="ListBullet"/>
        <w:spacing w:line="240" w:lineRule="auto"/>
        <w:ind w:left="720"/>
      </w:pPr>
      <w:r>
        <w:rPr>
          <w:lang w:val="en_US" w:bidi="en_US"/>
        </w:rPr>
      </w:r>
      <w:r>
        <w:rPr>
          <w:lang w:val="en_US" w:bidi="en_US"/>
        </w:rPr>
        <w:t>“For I the Son of Man, was sent</w:t>
      </w:r>
    </w:p>
    <w:p>
      <w:pPr/>
      <w:r>
        <w:rPr>
          <w:lang w:val="en_US" w:bidi="en_US"/>
        </w:rPr>
      </w:r>
      <w:r>
        <w:rPr>
          <w:b/>
          <w:lang w:val="en_US" w:bidi="en_US"/>
        </w:rPr>
        <w:t>For:</w:t>
      </w:r>
      <w:r>
        <w:rPr>
          <w:lang w:val="en_US" w:bidi="en_US"/>
        </w:rPr>
        <w:t xml:space="preserve"> In this verse Jesus gave the conclusion that he wanted people to learn from the events in 19:1–10. The Greek conjunction that the BSB translates as </w:t>
      </w:r>
      <w:r>
        <w:rPr>
          <w:i/>
          <w:lang w:val="en_US" w:bidi="en_US"/>
        </w:rPr>
        <w:t>For</w:t>
      </w:r>
      <w:r>
        <w:rPr>
          <w:lang w:val="en_US" w:bidi="en_US"/>
        </w:rPr>
        <w:t xml:space="preserve"> introduces this conclusion. Translate the conclusion in a natural way in your language. In some languages a conjunction may not be needed. For example:</w:t>
      </w:r>
    </w:p>
    <w:p>
      <w:pPr/>
      <w:r>
        <w:rPr>
          <w:lang w:val="en_US" w:bidi="en_US"/>
        </w:rPr>
      </w:r>
      <w:r>
        <w:rPr>
          <w:lang w:val="en_US" w:bidi="en_US"/>
        </w:rPr>
        <w:t>Indeed, the Son of Man has come to seek and to save people who are lost. (GW)</w:t>
      </w:r>
    </w:p>
    <w:p>
      <w:pPr/>
      <w:r>
        <w:rPr>
          <w:lang w:val="en_US" w:bidi="en_US"/>
        </w:rPr>
      </w:r>
      <w:r>
        <w:rPr>
          <w:lang w:val="en_US" w:bidi="en_US"/>
        </w:rPr>
        <w:t>The Son of Man came to seek and to save the lost. (GNT)</w:t>
      </w:r>
    </w:p>
    <w:p>
      <w:pPr/>
      <w:r>
        <w:rPr>
          <w:lang w:val="en_US" w:bidi="en_US"/>
        </w:rPr>
      </w:r>
      <w:r>
        <w:rPr>
          <w:lang w:val="en_US" w:bidi="en_US"/>
        </w:rPr>
        <w:t>This statement is similar to the theme of the parables in chapter 15, especially the parables of the lost sheep and of the son who came back to his father (15:24). You may be able to use some similar words and phrases in this verse.</w:t>
      </w:r>
    </w:p>
    <w:p>
      <w:pPr/>
      <w:r>
        <w:rPr>
          <w:lang w:val="en_US" w:bidi="en_US"/>
        </w:rPr>
      </w:r>
      <w:r>
        <w:rPr>
          <w:b/>
          <w:lang w:val="en_US" w:bidi="en_US"/>
        </w:rPr>
        <w:t>the Son of Man came:</w:t>
      </w:r>
      <w:r>
        <w:rPr>
          <w:lang w:val="en_US" w:bidi="en_US"/>
        </w:rPr>
        <w:t xml:space="preserve"> The phrase </w:t>
      </w:r>
      <w:r>
        <w:rPr>
          <w:i/>
          <w:lang w:val="en_US" w:bidi="en_US"/>
        </w:rPr>
        <w:t>the Son of Man came</w:t>
      </w:r>
      <w:r>
        <w:rPr>
          <w:lang w:val="en_US" w:bidi="en_US"/>
        </w:rPr>
        <w:t xml:space="preserve"> introduces a general statement about the purpose of Jesus’ ministry. He came to save people who were lost. Jesus referred here to his coming from God to earth. He did not refer specifically to his purpose for coming to Zacchaeus’ house. Other ways to translate this are:</w:t>
      </w:r>
    </w:p>
    <w:p>
      <w:pPr/>
      <w:r>
        <w:rPr>
          <w:lang w:val="en_US" w:bidi="en_US"/>
        </w:rPr>
      </w:r>
      <w:r>
        <w:rPr>
          <w:lang w:val="en_US" w:bidi="en_US"/>
        </w:rPr>
        <w:t>The work/ministry of the Son of Man is…</w:t>
      </w:r>
    </w:p>
    <w:p>
      <w:pPr/>
      <w:r>
        <w:rPr>
          <w:lang w:val="en_US" w:bidi="en_US"/>
        </w:rPr>
      </w:r>
      <w:r>
        <w:rPr>
          <w:lang w:val="en_US" w:bidi="en_US"/>
        </w:rPr>
        <w:t>The Son of Man came here to the earth</w:t>
      </w:r>
      <w:r>
        <w:rPr>
          <w:lang w:val="en_US" w:bidi="en_US"/>
        </w:rPr>
        <w:t>Western Bukidnon Manobo back translation on TW.</w:t>
      </w:r>
    </w:p>
    <w:p>
      <w:pPr/>
      <w:r>
        <w:rPr>
          <w:lang w:val="en_US" w:bidi="en_US"/>
        </w:rPr>
      </w:r>
      <w:r>
        <w:rPr>
          <w:lang w:val="en_US" w:bidi="en_US"/>
        </w:rPr>
        <w:t xml:space="preserve">The Son of Man came </w:t>
      </w:r>
      <w:r>
        <w:rPr>
          <w:lang w:val="en_US" w:bidi="en_US"/>
        </w:rPr>
        <w:t>from God</w:t>
      </w:r>
      <w:r>
        <w:rPr>
          <w:lang w:val="en_US" w:bidi="en_US"/>
        </w:rPr>
        <w:t xml:space="preserve"> </w:t>
      </w:r>
      <w:r>
        <w:rPr>
          <w:lang w:val="en_US" w:bidi="en_US"/>
        </w:rPr>
        <w:t>to the world</w:t>
      </w:r>
    </w:p>
    <w:p>
      <w:pPr/>
      <w:r>
        <w:rPr>
          <w:lang w:val="en_US" w:bidi="en_US"/>
        </w:rPr>
      </w:r>
      <w:r>
        <w:rPr>
          <w:lang w:val="en_US" w:bidi="en_US"/>
        </w:rPr>
        <w:t>See how you translated the similar statement in 5:32.</w:t>
      </w:r>
      <w:r>
        <w:rPr>
          <w:lang w:val="en_US" w:bidi="en_US"/>
        </w:rPr>
        <w:t>The figurative expression “to seek and to save the lost” is similar to verses in Ezekiel 34, where, as Nolland (p. 906) says, “God himself and David gather the scattered sheep of Israel.”</w:t>
      </w:r>
    </w:p>
    <w:p>
      <w:pPr/>
      <w:r>
        <w:rPr>
          <w:lang w:val="en_US" w:bidi="en_US"/>
        </w:rPr>
      </w:r>
      <w:r>
        <w:rPr>
          <w:b/>
          <w:lang w:val="en_US" w:bidi="en_US"/>
        </w:rPr>
        <w:t>the Son of Man:</w:t>
      </w:r>
      <w:r>
        <w:rPr>
          <w:lang w:val="en_US" w:bidi="en_US"/>
        </w:rPr>
        <w:t xml:space="preserve"> Here Jesus used the phrase </w:t>
      </w:r>
      <w:r>
        <w:rPr>
          <w:i/>
          <w:lang w:val="en_US" w:bidi="en_US"/>
        </w:rPr>
        <w:t>the Son of Man</w:t>
      </w:r>
      <w:r>
        <w:rPr>
          <w:lang w:val="en_US" w:bidi="en_US"/>
        </w:rPr>
        <w:t xml:space="preserve"> to refer to himself. In some languages it may be necessary to make that clear by using a form like “I” or “me.” For example:</w:t>
      </w:r>
    </w:p>
    <w:p>
      <w:pPr/>
      <w:r>
        <w:rPr>
          <w:lang w:val="en_US" w:bidi="en_US"/>
        </w:rPr>
      </w:r>
      <w:r>
        <w:rPr>
          <w:u w:val="single"/>
          <w:lang w:val="en_US" w:bidi="en_US"/>
        </w:rPr>
        <w:t>I</w:t>
      </w:r>
      <w:r>
        <w:rPr>
          <w:lang w:val="en_US" w:bidi="en_US"/>
        </w:rPr>
        <w:t>, the Son of Man</w:t>
      </w:r>
    </w:p>
    <w:p>
      <w:pPr/>
      <w:r>
        <w:rPr>
          <w:lang w:val="en_US" w:bidi="en_US"/>
        </w:rPr>
      </w:r>
      <w:r>
        <w:rPr>
          <w:lang w:val="en_US" w:bidi="en_US"/>
        </w:rPr>
        <w:t xml:space="preserve">The term </w:t>
      </w:r>
      <w:r>
        <w:rPr>
          <w:i/>
          <w:lang w:val="en_US" w:bidi="en_US"/>
        </w:rPr>
        <w:t>Son of Man</w:t>
      </w:r>
      <w:r>
        <w:rPr>
          <w:lang w:val="en_US" w:bidi="en_US"/>
        </w:rPr>
        <w:t xml:space="preserve"> first occurs in Luke at 5:24a. See the note in 17:22a–b for more information and translation suggestions. See also “Son of Man” in KBT.</w:t>
      </w:r>
    </w:p>
    <w:p>
      <w:pPr>
        <w:pStyle w:val="Heading5"/>
      </w:pPr>
      <w:r>
        <w:rPr>
          <w:lang w:val="en_US" w:bidi="en_US"/>
        </w:rPr>
        <w:t>19:10b</w:t>
      </w:r>
    </w:p>
    <w:p>
      <w:pPr/>
      <w:r>
        <w:rPr>
          <w:lang w:val="en_US" w:bidi="en_US"/>
        </w:rPr>
      </w:r>
      <w:r>
        <w:rPr>
          <w:b/>
          <w:lang w:val="en_US" w:bidi="en_US"/>
        </w:rPr>
        <w:t>to seek and to save the lost.”</w:t>
      </w:r>
    </w:p>
    <w:p>
      <w:pPr>
        <w:pStyle w:val="ListBullet"/>
        <w:spacing w:line="240" w:lineRule="auto"/>
        <w:ind w:left="720"/>
      </w:pPr>
      <w:r>
        <w:rPr>
          <w:lang w:val="en_US" w:bidi="en_US"/>
        </w:rPr>
      </w:r>
      <w:r>
        <w:rPr>
          <w:lang w:val="en_US" w:bidi="en_US"/>
        </w:rPr>
        <w:t>to look for those who are lost and to save/rescue them.”</w:t>
      </w:r>
    </w:p>
    <w:p>
      <w:pPr>
        <w:pStyle w:val="ListBullet"/>
        <w:spacing w:line="240" w:lineRule="auto"/>
        <w:ind w:left="720"/>
      </w:pPr>
      <w:r>
        <w:rPr>
          <w:lang w:val="en_US" w:bidi="en_US"/>
        </w:rPr>
      </w:r>
      <w:r>
        <w:rPr>
          <w:lang w:val="en_US" w:bidi="en_US"/>
        </w:rPr>
        <w:t xml:space="preserve">to search for and rescue </w:t>
      </w:r>
      <w:r>
        <w:rPr>
          <w:lang w:val="en_US" w:bidi="en_US"/>
        </w:rPr>
        <w:t>people</w:t>
      </w:r>
      <w:r>
        <w:rPr>
          <w:lang w:val="en_US" w:bidi="en_US"/>
        </w:rPr>
        <w:t xml:space="preserve"> </w:t>
      </w:r>
      <w:r>
        <w:rPr>
          <w:lang w:val="en_US" w:bidi="en_US"/>
        </w:rPr>
        <w:t>like Zacchaeus</w:t>
      </w:r>
      <w:r>
        <w:rPr>
          <w:lang w:val="en_US" w:bidi="en_US"/>
        </w:rPr>
        <w:t xml:space="preserve">, who </w:t>
      </w:r>
      <w:r>
        <w:rPr>
          <w:lang w:val="en_US" w:bidi="en_US"/>
        </w:rPr>
        <w:t>have</w:t>
      </w:r>
      <w:r>
        <w:rPr>
          <w:lang w:val="en_US" w:bidi="en_US"/>
        </w:rPr>
        <w:t xml:space="preserve"> lost </w:t>
      </w:r>
      <w:r>
        <w:rPr>
          <w:lang w:val="en_US" w:bidi="en_US"/>
        </w:rPr>
        <w:t>the way</w:t>
      </w:r>
      <w:r>
        <w:rPr>
          <w:lang w:val="en_US" w:bidi="en_US"/>
        </w:rPr>
        <w:t xml:space="preserve"> </w:t>
      </w:r>
      <w:r>
        <w:rPr>
          <w:lang w:val="en_US" w:bidi="en_US"/>
        </w:rPr>
        <w:t>to God</w:t>
      </w:r>
      <w:r>
        <w:rPr>
          <w:lang w:val="en_US" w:bidi="en_US"/>
        </w:rPr>
        <w:t>.”</w:t>
      </w:r>
    </w:p>
    <w:p>
      <w:pPr>
        <w:pStyle w:val="ListBullet"/>
        <w:spacing w:line="240" w:lineRule="auto"/>
        <w:ind w:left="720"/>
      </w:pPr>
      <w:r>
        <w:rPr>
          <w:lang w:val="en_US" w:bidi="en_US"/>
        </w:rPr>
      </w:r>
      <w:r>
        <w:rPr>
          <w:lang w:val="en_US" w:bidi="en_US"/>
        </w:rPr>
        <w:t xml:space="preserve">to seek </w:t>
      </w:r>
      <w:r>
        <w:rPr>
          <w:lang w:val="en_US" w:bidi="en_US"/>
        </w:rPr>
        <w:t>such people</w:t>
      </w:r>
      <w:r>
        <w:rPr>
          <w:lang w:val="en_US" w:bidi="en_US"/>
        </w:rPr>
        <w:t xml:space="preserve"> and help them reconcile </w:t>
      </w:r>
      <w:r>
        <w:rPr>
          <w:lang w:val="en_US" w:bidi="en_US"/>
        </w:rPr>
        <w:t>with God</w:t>
      </w:r>
      <w:r>
        <w:rPr>
          <w:lang w:val="en_US" w:bidi="en_US"/>
        </w:rPr>
        <w:t xml:space="preserve">. </w:t>
      </w:r>
      <w:r>
        <w:rPr>
          <w:lang w:val="en_US" w:bidi="en_US"/>
        </w:rPr>
        <w:t>Otherwise</w:t>
      </w:r>
      <w:r>
        <w:rPr>
          <w:lang w:val="en_US" w:bidi="en_US"/>
        </w:rPr>
        <w:t xml:space="preserve"> they are </w:t>
      </w:r>
      <w:r>
        <w:rPr>
          <w:lang w:val="en_US" w:bidi="en_US"/>
        </w:rPr>
        <w:t>like</w:t>
      </w:r>
      <w:r>
        <w:rPr>
          <w:lang w:val="en_US" w:bidi="en_US"/>
        </w:rPr>
        <w:t xml:space="preserve"> people who do not know which way to go.”</w:t>
      </w:r>
    </w:p>
    <w:p>
      <w:pPr/>
      <w:r>
        <w:rPr>
          <w:lang w:val="en_US" w:bidi="en_US"/>
        </w:rPr>
      </w:r>
      <w:r>
        <w:rPr>
          <w:b/>
          <w:lang w:val="en_US" w:bidi="en_US"/>
        </w:rPr>
        <w:t>to seek and to save the lost:</w:t>
      </w:r>
      <w:r>
        <w:rPr>
          <w:lang w:val="en_US" w:bidi="en_US"/>
        </w:rPr>
        <w:t xml:space="preserve"> In this context the phrase </w:t>
      </w:r>
      <w:r>
        <w:rPr>
          <w:i/>
          <w:lang w:val="en_US" w:bidi="en_US"/>
        </w:rPr>
        <w:t>to seek and to save the lost</w:t>
      </w:r>
      <w:r>
        <w:rPr>
          <w:lang w:val="en_US" w:bidi="en_US"/>
        </w:rPr>
        <w:t xml:space="preserve"> has a figurative meaning. It indicates that Jesus was seeking to help people who were lost in a spiritual way so that he could rescue them.</w:t>
      </w:r>
      <w:r>
        <w:rPr>
          <w:lang w:val="en_US" w:bidi="en_US"/>
        </w:rPr>
        <w:t>See also these OT passages that talk about Israel as God’s “lost sheep”: Ezekiel 34:1–16; Jeremiah 50:6; Psalm 119:176.</w:t>
      </w:r>
      <w:r>
        <w:rPr>
          <w:lang w:val="en_US" w:bidi="en_US"/>
        </w:rPr>
        <w:t xml:space="preserve"> Here is another way to translate this:</w:t>
      </w:r>
    </w:p>
    <w:p>
      <w:pPr/>
      <w:r>
        <w:rPr>
          <w:lang w:val="en_US" w:bidi="en_US"/>
        </w:rPr>
      </w:r>
      <w:r>
        <w:rPr>
          <w:lang w:val="en_US" w:bidi="en_US"/>
        </w:rPr>
        <w:t>to find lost people and save them (NCV)</w:t>
      </w:r>
    </w:p>
    <w:p>
      <w:pPr/>
      <w:r>
        <w:rPr>
          <w:lang w:val="en_US" w:bidi="en_US"/>
        </w:rPr>
      </w:r>
      <w:r>
        <w:rPr>
          <w:lang w:val="en_US" w:bidi="en_US"/>
        </w:rPr>
        <w:t>In this context the phrase refers especially to Zacchaeus, who was one of the lost people whom Jesus came to seek and save. If this is not clear to your readers, you may need to make it explicit. For example:</w:t>
      </w:r>
    </w:p>
    <w:p>
      <w:pPr/>
      <w:r>
        <w:rPr>
          <w:lang w:val="en_US" w:bidi="en_US"/>
        </w:rPr>
      </w:r>
      <w:r>
        <w:rPr>
          <w:lang w:val="en_US" w:bidi="en_US"/>
        </w:rPr>
        <w:t xml:space="preserve">to look for people who are lost </w:t>
      </w:r>
      <w:r>
        <w:rPr>
          <w:lang w:val="en_US" w:bidi="en_US"/>
        </w:rPr>
        <w:t>as Zacchaeus was</w:t>
      </w:r>
    </w:p>
    <w:p>
      <w:pPr/>
      <w:r>
        <w:rPr>
          <w:lang w:val="en_US" w:bidi="en_US"/>
        </w:rPr>
      </w:r>
      <w:r>
        <w:rPr>
          <w:lang w:val="en_US" w:bidi="en_US"/>
        </w:rPr>
        <w:t xml:space="preserve">See the note on </w:t>
      </w:r>
      <w:r>
        <w:rPr>
          <w:i/>
          <w:lang w:val="en_US" w:bidi="en_US"/>
        </w:rPr>
        <w:t>the lost</w:t>
      </w:r>
      <w:r>
        <w:rPr>
          <w:lang w:val="en_US" w:bidi="en_US"/>
        </w:rPr>
        <w:t xml:space="preserve"> below for more translation suggestions.</w:t>
      </w:r>
    </w:p>
    <w:p>
      <w:pPr/>
      <w:r>
        <w:rPr>
          <w:lang w:val="en_US" w:bidi="en_US"/>
        </w:rPr>
      </w:r>
      <w:r>
        <w:rPr>
          <w:b/>
          <w:lang w:val="en_US" w:bidi="en_US"/>
        </w:rPr>
        <w:t>save:</w:t>
      </w:r>
      <w:r>
        <w:rPr>
          <w:lang w:val="en_US" w:bidi="en_US"/>
        </w:rPr>
        <w:t xml:space="preserve"> In this context the word </w:t>
      </w:r>
      <w:r>
        <w:rPr>
          <w:i/>
          <w:lang w:val="en_US" w:bidi="en_US"/>
        </w:rPr>
        <w:t>save</w:t>
      </w:r>
      <w:r>
        <w:rPr>
          <w:lang w:val="en_US" w:bidi="en_US"/>
        </w:rPr>
        <w:t xml:space="preserve"> refers to rescuing people from sin and eternal punishment so that they are reconciled to God. See the note on “salvation” at 19:9a and see save, Meaning 2, in the Glossary. Some ways to translate </w:t>
      </w:r>
      <w:r>
        <w:rPr>
          <w:i/>
          <w:lang w:val="en_US" w:bidi="en_US"/>
        </w:rPr>
        <w:t>save</w:t>
      </w:r>
      <w:r>
        <w:rPr>
          <w:lang w:val="en_US" w:bidi="en_US"/>
        </w:rPr>
        <w:t xml:space="preserve"> in this context are:</w:t>
      </w:r>
    </w:p>
    <w:p>
      <w:pPr/>
      <w:r>
        <w:rPr>
          <w:lang w:val="en_US" w:bidi="en_US"/>
        </w:rPr>
      </w:r>
      <w:r>
        <w:rPr>
          <w:lang w:val="en_US" w:bidi="en_US"/>
        </w:rPr>
        <w:t>rescue</w:t>
      </w:r>
    </w:p>
    <w:p>
      <w:pPr/>
      <w:r>
        <w:rPr>
          <w:lang w:val="en_US" w:bidi="en_US"/>
        </w:rPr>
      </w:r>
      <w:r>
        <w:rPr>
          <w:lang w:val="en_US" w:bidi="en_US"/>
        </w:rPr>
        <w:t>deliver</w:t>
      </w:r>
    </w:p>
    <w:p>
      <w:pPr/>
      <w:r>
        <w:rPr>
          <w:lang w:val="en_US" w:bidi="en_US"/>
        </w:rPr>
      </w:r>
      <w:r>
        <w:rPr>
          <w:lang w:val="en_US" w:bidi="en_US"/>
        </w:rPr>
        <w:t>In some languages it may be necessary to say what a person is saved from or for. For example:</w:t>
      </w:r>
    </w:p>
    <w:p>
      <w:pPr/>
      <w:r>
        <w:rPr>
          <w:lang w:val="en_US" w:bidi="en_US"/>
        </w:rPr>
      </w:r>
      <w:r>
        <w:rPr>
          <w:lang w:val="en_US" w:bidi="en_US"/>
        </w:rPr>
        <w:t xml:space="preserve">rescue </w:t>
      </w:r>
      <w:r>
        <w:rPr>
          <w:lang w:val="en_US" w:bidi="en_US"/>
        </w:rPr>
        <w:t>from sin</w:t>
      </w:r>
    </w:p>
    <w:p>
      <w:pPr/>
      <w:r>
        <w:rPr>
          <w:lang w:val="en_US" w:bidi="en_US"/>
        </w:rPr>
      </w:r>
      <w:r>
        <w:rPr>
          <w:lang w:val="en_US" w:bidi="en_US"/>
        </w:rPr>
        <w:t xml:space="preserve">help </w:t>
      </w:r>
      <w:r>
        <w:rPr>
          <w:lang w:val="en_US" w:bidi="en_US"/>
        </w:rPr>
        <w:t>so they can have life with God</w:t>
      </w:r>
    </w:p>
    <w:p>
      <w:pPr/>
      <w:r>
        <w:rPr>
          <w:lang w:val="en_US" w:bidi="en_US"/>
        </w:rPr>
      </w:r>
      <w:r>
        <w:rPr>
          <w:b/>
          <w:lang w:val="en_US" w:bidi="en_US"/>
        </w:rPr>
        <w:t>the lost:</w:t>
      </w:r>
      <w:r>
        <w:rPr>
          <w:lang w:val="en_US" w:bidi="en_US"/>
        </w:rPr>
        <w:t xml:space="preserve"> The Greek phrase that the BSB translates as </w:t>
      </w:r>
      <w:r>
        <w:rPr>
          <w:i/>
          <w:lang w:val="en_US" w:bidi="en_US"/>
        </w:rPr>
        <w:t>the lost</w:t>
      </w:r>
      <w:r>
        <w:rPr>
          <w:lang w:val="en_US" w:bidi="en_US"/>
        </w:rPr>
        <w:t xml:space="preserve"> is used in a figurative way here, similarly to the way it was used in 15:24b. It refers to people who have sinned against God and are not able to reconcile with him unless they receive help.</w:t>
      </w:r>
    </w:p>
    <w:p>
      <w:pPr/>
      <w:r>
        <w:rPr>
          <w:lang w:val="en_US" w:bidi="en_US"/>
        </w:rPr>
      </w:r>
      <w:r>
        <w:rPr>
          <w:lang w:val="en_US" w:bidi="en_US"/>
        </w:rPr>
        <w:t>In some languages a literal translation may not communicate the right meaning. If that is true in your language, some other ways to translate this are:</w:t>
      </w:r>
    </w:p>
    <w:p>
      <w:pPr>
        <w:pStyle w:val="ListBullet"/>
        <w:spacing w:line="240" w:lineRule="auto"/>
        <w:ind w:left="720"/>
      </w:pPr>
      <w:r>
        <w:rPr>
          <w:lang w:val="en_US" w:bidi="en_US"/>
        </w:rPr>
      </w:r>
      <w:r>
        <w:rPr>
          <w:lang w:val="en_US" w:bidi="en_US"/>
        </w:rPr>
        <w:t xml:space="preserve">Use a simile to indicate that the word </w:t>
      </w:r>
      <w:r>
        <w:rPr>
          <w:i/>
          <w:lang w:val="en_US" w:bidi="en_US"/>
        </w:rPr>
        <w:t>lost</w:t>
      </w:r>
      <w:r>
        <w:rPr>
          <w:lang w:val="en_US" w:bidi="en_US"/>
        </w:rPr>
        <w:t xml:space="preserve"> is used in a figurative way. For example:</w:t>
      </w:r>
      <w:r>
        <w:rPr>
          <w:lang w:val="en_US" w:bidi="en_US"/>
        </w:rPr>
        <w:t xml:space="preserve">people who </w:t>
      </w:r>
      <w:r>
        <w:rPr>
          <w:lang w:val="en_US" w:bidi="en_US"/>
        </w:rPr>
        <w:t>live/act as if they</w:t>
      </w:r>
      <w:r>
        <w:rPr>
          <w:lang w:val="en_US" w:bidi="en_US"/>
        </w:rPr>
        <w:t xml:space="preserve"> are lost</w:t>
      </w:r>
    </w:p>
    <w:p>
      <w:pPr>
        <w:pStyle w:val="ListBullet"/>
        <w:spacing w:line="240" w:lineRule="auto"/>
        <w:ind w:left="720"/>
      </w:pPr>
      <w:r>
        <w:rPr>
          <w:lang w:val="en_US" w:bidi="en_US"/>
        </w:rPr>
      </w:r>
      <w:r>
        <w:rPr>
          <w:lang w:val="en_US" w:bidi="en_US"/>
        </w:rPr>
        <w:t>Use a simile and make the meaning explicit. For example:</w:t>
      </w:r>
      <w:r>
        <w:rPr>
          <w:lang w:val="en_US" w:bidi="en_US"/>
        </w:rPr>
        <w:t xml:space="preserve">those who are </w:t>
      </w:r>
      <w:r>
        <w:rPr>
          <w:lang w:val="en_US" w:bidi="en_US"/>
        </w:rPr>
        <w:t>like</w:t>
      </w:r>
      <w:r>
        <w:rPr>
          <w:lang w:val="en_US" w:bidi="en_US"/>
        </w:rPr>
        <w:t xml:space="preserve"> </w:t>
      </w:r>
      <w:r>
        <w:rPr>
          <w:lang w:val="en_US" w:bidi="en_US"/>
        </w:rPr>
        <w:t>people</w:t>
      </w:r>
      <w:r>
        <w:rPr>
          <w:lang w:val="en_US" w:bidi="en_US"/>
        </w:rPr>
        <w:t xml:space="preserve"> who are lost because they do not know the way to God</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 xml:space="preserve">people who need help </w:t>
      </w:r>
      <w:r>
        <w:rPr>
          <w:lang w:val="en_US" w:bidi="en_US"/>
        </w:rPr>
        <w:t>to reconcile with God</w:t>
      </w:r>
    </w:p>
    <w:p>
      <w:pPr/>
      <w:r>
        <w:rPr>
          <w:lang w:val="en_US" w:bidi="en_US"/>
        </w:rPr>
      </w:r>
      <w:r>
        <w:rPr>
          <w:lang w:val="en_US" w:bidi="en_US"/>
        </w:rPr>
        <w:t>In some languages there are similar figures of speech that could be used here. For example:</w:t>
      </w:r>
    </w:p>
    <w:p>
      <w:pPr/>
      <w:r>
        <w:rPr>
          <w:lang w:val="en_US" w:bidi="en_US"/>
        </w:rPr>
      </w:r>
      <w:r>
        <w:rPr>
          <w:lang w:val="en_US" w:bidi="en_US"/>
        </w:rPr>
        <w:t>people who are far from God</w:t>
      </w:r>
      <w:r>
        <w:rPr>
          <w:lang w:val="en_US" w:bidi="en_US"/>
        </w:rPr>
        <w:t>Yakan and Uma back translations on TW.</w:t>
      </w:r>
    </w:p>
    <w:p>
      <w:pPr/>
      <w:r>
        <w:rPr>
          <w:lang w:val="en_US" w:bidi="en_US"/>
        </w:rPr>
      </w:r>
      <w:r>
        <w:rPr>
          <w:lang w:val="en_US" w:bidi="en_US"/>
        </w:rPr>
        <w:t>those who have strayed away from the true path</w:t>
      </w:r>
      <w:r>
        <w:rPr>
          <w:lang w:val="en_US" w:bidi="en_US"/>
        </w:rPr>
        <w:t>Western Bukidnon Manobo back translation on TW.</w:t>
      </w:r>
      <w:r>
        <w:rPr>
          <w:lang w:val="en_US" w:bidi="en_US"/>
        </w:rPr>
      </w:r>
      <w:r>
        <w:rPr>
          <w:lang w:val="en_US" w:bidi="en_US"/>
        </w:rPr>
      </w:r>
    </w:p>
    <w:p>
      <w:pPr/>
      <w:r>
        <w:rPr>
          <w:lang w:val="en_US" w:bidi="en_US"/>
        </w:rPr>
      </w:r>
    </w:p>
    <w:p>
      <w:pPr>
        <w:pStyle w:val="Heading2"/>
      </w:pPr>
      <w:r>
        <w:rPr>
          <w:lang w:val="en_US" w:bidi="en_US"/>
        </w:rPr>
        <w:t>Luke 19:11</w:t>
      </w:r>
      <w:r>
        <w:rPr>
          <w:lang w:val="en_US" w:bidi="en_US"/>
        </w:rPr>
      </w:r>
    </w:p>
    <w:p>
      <w:pPr>
        <w:pStyle w:val="Heading4"/>
      </w:pPr>
      <w:r>
        <w:rPr>
          <w:lang w:val="en_US" w:bidi="en_US"/>
        </w:rPr>
        <w:t>Section 19:11–27: Jesus told a parable about a king and his ten servants</w:t>
      </w:r>
    </w:p>
    <w:p>
      <w:pPr/>
      <w:r>
        <w:rPr>
          <w:lang w:val="en_US" w:bidi="en_US"/>
        </w:rPr>
      </w:r>
      <w:r>
        <w:rPr>
          <w:lang w:val="en_US" w:bidi="en_US"/>
        </w:rPr>
        <w:t>Many of Jesus’ followers expected that when they arrived in Jerusalem, Jesus would establish the kingdom of God and begin to reign as king. He told the parable in this section to help them understand that events would happen differently than they expected.</w:t>
      </w:r>
    </w:p>
    <w:p>
      <w:pPr/>
      <w:r>
        <w:rPr>
          <w:lang w:val="en_US" w:bidi="en_US"/>
        </w:rPr>
      </w:r>
      <w:r>
        <w:rPr>
          <w:lang w:val="en_US" w:bidi="en_US"/>
        </w:rPr>
        <w:t>There are two main ideas that Jesus taught through this parable:</w:t>
      </w:r>
    </w:p>
    <w:p>
      <w:pPr>
        <w:pStyle w:val="ListNumber"/>
        <w:numPr>
          <w:ilvl w:val="0"/>
          <w:numId w:val="311"/>
        </w:numPr>
        <w:spacing w:line="240" w:lineRule="auto"/>
        <w:ind w:left="720"/>
      </w:pPr>
      <w:r>
        <w:rPr>
          <w:lang w:val="en_US" w:bidi="en_US"/>
        </w:rPr>
      </w:r>
      <w:r>
        <w:rPr>
          <w:lang w:val="en_US" w:bidi="en_US"/>
        </w:rP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Pr>
          <w:lang w:val="en_US" w:bidi="en_US"/>
        </w:rPr>
      </w:r>
      <w:r>
        <w:rPr>
          <w:lang w:val="en_US" w:bidi="en_US"/>
        </w:rPr>
        <w:t>While Jesus is gone, his disciples must serve him faithfully and use whatever he has given them to glorify him.</w:t>
      </w:r>
    </w:p>
    <w:p>
      <w:pPr/>
      <w:r>
        <w:rPr>
          <w:lang w:val="en_US" w:bidi="en_US"/>
        </w:rPr>
      </w:r>
      <w:r>
        <w:rPr>
          <w:lang w:val="en_US" w:bidi="en_US"/>
        </w:rPr>
        <w:t>Other examples of headings for this section are:</w:t>
      </w:r>
    </w:p>
    <w:p>
      <w:pPr/>
      <w:r>
        <w:rPr>
          <w:lang w:val="en_US" w:bidi="en_US"/>
        </w:rPr>
      </w:r>
      <w:r>
        <w:rPr>
          <w:lang w:val="en_US" w:bidi="en_US"/>
        </w:rPr>
        <w:t>The Parable of the Gold Coins (GNT)</w:t>
      </w:r>
    </w:p>
    <w:p>
      <w:pPr/>
      <w:r>
        <w:rPr>
          <w:lang w:val="en_US" w:bidi="en_US"/>
        </w:rPr>
      </w:r>
      <w:r>
        <w:rPr>
          <w:lang w:val="en_US" w:bidi="en_US"/>
        </w:rPr>
        <w:t>Jesus told a parable about ten servants</w:t>
      </w:r>
    </w:p>
    <w:p>
      <w:pPr/>
      <w:r>
        <w:rPr>
          <w:lang w:val="en_US" w:bidi="en_US"/>
        </w:rPr>
      </w:r>
      <w:r>
        <w:rPr>
          <w:lang w:val="en_US" w:bidi="en_US"/>
        </w:rPr>
        <w:t>A parallel passage to this section is found in Matthew 25:14–30.</w:t>
      </w:r>
    </w:p>
    <w:p>
      <w:pPr>
        <w:pStyle w:val="Heading5"/>
      </w:pPr>
      <w:r>
        <w:rPr>
          <w:lang w:val="en_US" w:bidi="en_US"/>
        </w:rPr>
        <w:t>19:11a–e</w:t>
      </w:r>
    </w:p>
    <w:p>
      <w:pPr/>
      <w:r>
        <w:rPr>
          <w:lang w:val="en_US" w:bidi="en_US"/>
        </w:rPr>
      </w:r>
      <w:r>
        <w:rPr>
          <w:lang w:val="en_US" w:bidi="en_US"/>
        </w:rPr>
        <w:t>The final part of the verse (19:11c–e) tells the reason for the first part of the verse (19:11a–b). In some languages it may be more natural to change the order of 19:11a–b and 19:11c–e so that the reason begins the verse. See the General Comment on 19:11a–e at the end of 19:11d–e for examples.</w:t>
      </w:r>
    </w:p>
    <w:p>
      <w:pPr>
        <w:pStyle w:val="Heading5"/>
      </w:pPr>
      <w:r>
        <w:rPr>
          <w:lang w:val="en_US" w:bidi="en_US"/>
        </w:rPr>
        <w:t>19:11a</w:t>
      </w:r>
    </w:p>
    <w:p>
      <w:pPr/>
      <w:r>
        <w:rPr>
          <w:lang w:val="en_US" w:bidi="en_US"/>
        </w:rPr>
      </w:r>
      <w:r>
        <w:rPr>
          <w:b/>
          <w:lang w:val="en_US" w:bidi="en_US"/>
        </w:rPr>
        <w:t>While the people were listening to this,</w:t>
      </w:r>
    </w:p>
    <w:p>
      <w:pPr>
        <w:pStyle w:val="ListBullet"/>
        <w:spacing w:line="240" w:lineRule="auto"/>
        <w:ind w:left="720"/>
      </w:pPr>
      <w:r>
        <w:rPr>
          <w:lang w:val="en_US" w:bidi="en_US"/>
        </w:rPr>
      </w:r>
      <w:r>
        <w:rPr>
          <w:lang w:val="en_US" w:bidi="en_US"/>
        </w:rPr>
        <w:t xml:space="preserve">¶ While the people were listening to what </w:t>
      </w:r>
      <w:r>
        <w:rPr>
          <w:lang w:val="en_US" w:bidi="en_US"/>
        </w:rPr>
        <w:t>Jesus said</w:t>
      </w:r>
      <w:r>
        <w:rPr>
          <w:lang w:val="en_US" w:bidi="en_US"/>
        </w:rPr>
        <w:t>,</w:t>
      </w:r>
    </w:p>
    <w:p>
      <w:pPr>
        <w:pStyle w:val="ListBullet"/>
        <w:spacing w:line="240" w:lineRule="auto"/>
        <w:ind w:left="720"/>
      </w:pPr>
      <w:r>
        <w:rPr>
          <w:lang w:val="en_US" w:bidi="en_US"/>
        </w:rPr>
      </w:r>
      <w:r>
        <w:rPr>
          <w:lang w:val="en_US" w:bidi="en_US"/>
        </w:rPr>
        <w:t xml:space="preserve">¶ While the people </w:t>
      </w:r>
      <w:r>
        <w:rPr>
          <w:lang w:val="en_US" w:bidi="en_US"/>
        </w:rPr>
        <w:t>who were with Jesus</w:t>
      </w:r>
      <w:r>
        <w:rPr>
          <w:lang w:val="en_US" w:bidi="en_US"/>
        </w:rPr>
        <w:t xml:space="preserve"> were listening to him say this,</w:t>
      </w:r>
    </w:p>
    <w:p>
      <w:pPr/>
      <w:r>
        <w:rPr>
          <w:lang w:val="en_US" w:bidi="en_US"/>
        </w:rPr>
      </w:r>
      <w:r>
        <w:rPr>
          <w:b/>
          <w:lang w:val="en_US" w:bidi="en_US"/>
        </w:rPr>
        <w:t>While the people were listening to this:</w:t>
      </w:r>
      <w:r>
        <w:rPr>
          <w:lang w:val="en_US" w:bidi="en_US"/>
        </w:rPr>
        <w:t xml:space="preserve"> This clause introduces a new section. In the previous section Jesus was speaking to the people about Zacchaeus. In this section Jesus may have continued to speak to them at Zacchaeus’ house or he may have already resumed his walk toward Jerusalem. Another way to translate this is:</w:t>
      </w:r>
    </w:p>
    <w:p>
      <w:pPr/>
      <w:r>
        <w:rPr>
          <w:lang w:val="en_US" w:bidi="en_US"/>
        </w:rPr>
      </w:r>
      <w:r>
        <w:rPr>
          <w:lang w:val="en_US" w:bidi="en_US"/>
        </w:rPr>
        <w:t xml:space="preserve">While they were listening to what </w:t>
      </w:r>
      <w:r>
        <w:rPr>
          <w:lang w:val="en_US" w:bidi="en_US"/>
        </w:rPr>
        <w:t>Jesus said</w:t>
      </w:r>
    </w:p>
    <w:p>
      <w:pPr/>
      <w:r>
        <w:rPr>
          <w:lang w:val="en_US" w:bidi="en_US"/>
        </w:rPr>
      </w:r>
      <w:r>
        <w:rPr>
          <w:lang w:val="en_US" w:bidi="en_US"/>
        </w:rPr>
        <w:t>Introduce the section in a natural way in your language.</w:t>
      </w:r>
    </w:p>
    <w:p>
      <w:pPr/>
      <w:r>
        <w:rPr>
          <w:lang w:val="en_US" w:bidi="en_US"/>
        </w:rPr>
      </w:r>
      <w:r>
        <w:rPr>
          <w:b/>
          <w:lang w:val="en_US" w:bidi="en_US"/>
        </w:rPr>
        <w:t>the people:</w:t>
      </w:r>
      <w:r>
        <w:rPr>
          <w:lang w:val="en_US" w:bidi="en_US"/>
        </w:rPr>
        <w:t xml:space="preserve"> The pronoun </w:t>
      </w:r>
      <w:r>
        <w:rPr>
          <w:i/>
          <w:lang w:val="en_US" w:bidi="en_US"/>
        </w:rPr>
        <w:t>the people</w:t>
      </w:r>
      <w:r>
        <w:rPr>
          <w:lang w:val="en_US" w:bidi="en_US"/>
        </w:rPr>
        <w:t xml:space="preserve"> refers in a general way to the people who were with Jesus at the time. They were the people to whom Jesus spoke in 19:9–10. Some other ways to refer to them here are:</w:t>
      </w:r>
    </w:p>
    <w:p>
      <w:pPr/>
      <w:r>
        <w:rPr>
          <w:lang w:val="en_US" w:bidi="en_US"/>
        </w:rPr>
      </w:r>
      <w:r>
        <w:rPr>
          <w:lang w:val="en_US" w:bidi="en_US"/>
        </w:rPr>
        <w:t>they (NIV)</w:t>
      </w:r>
    </w:p>
    <w:p>
      <w:pPr/>
      <w:r>
        <w:rPr>
          <w:lang w:val="en_US" w:bidi="en_US"/>
        </w:rPr>
      </w:r>
      <w:r>
        <w:rPr>
          <w:lang w:val="en_US" w:bidi="en_US"/>
        </w:rPr>
        <w:t>the crowd (JBP)</w:t>
      </w:r>
    </w:p>
    <w:p>
      <w:pPr/>
      <w:r>
        <w:rPr>
          <w:lang w:val="en_US" w:bidi="en_US"/>
        </w:rPr>
      </w:r>
      <w:r>
        <w:rPr>
          <w:b/>
          <w:lang w:val="en_US" w:bidi="en_US"/>
        </w:rPr>
        <w:t>this:</w:t>
      </w:r>
      <w:r>
        <w:rPr>
          <w:lang w:val="en_US" w:bidi="en_US"/>
        </w:rPr>
        <w:t xml:space="preserve"> The Greek word that the BSB translates as </w:t>
      </w:r>
      <w:r>
        <w:rPr>
          <w:i/>
          <w:lang w:val="en_US" w:bidi="en_US"/>
        </w:rPr>
        <w:t>this</w:t>
      </w:r>
      <w:r>
        <w:rPr>
          <w:lang w:val="en_US" w:bidi="en_US"/>
        </w:rPr>
        <w:t xml:space="preserve"> probably refers to what Jesus was saying to the people in 19:9–10.</w:t>
      </w:r>
      <w:r>
        <w:rPr>
          <w:lang w:val="en_US" w:bidi="en_US"/>
        </w:rPr>
        <w:t>The TH (p. 619) says that “</w:t>
      </w:r>
      <w:r>
        <w:rPr>
          <w:i/>
          <w:lang w:val="en_US" w:bidi="en_US"/>
        </w:rPr>
        <w:t>tauta</w:t>
      </w:r>
      <w:r>
        <w:rPr>
          <w:lang w:val="en_US" w:bidi="en_US"/>
        </w:rPr>
        <w:t xml:space="preserve"> is best understood as referring to Jesus' words in verse 9f.” See also Plummer (p. 438), Green (p. 677), and Stein (p. 472). A few English versions translate </w:t>
      </w:r>
      <w:r>
        <w:rPr>
          <w:i/>
          <w:lang w:val="en_US" w:bidi="en_US"/>
        </w:rPr>
        <w:t>tauta</w:t>
      </w:r>
      <w:r>
        <w:rPr>
          <w:lang w:val="en_US" w:bidi="en_US"/>
        </w:rPr>
        <w:t xml:space="preserve"> (BSB “this”) in a more general way. For example, the NLT has “everything Jesus said” and the GW has “While Jesus had the people’s attention.” Such a translation may be especially needed if a translator decides to reorder the clauses in this verse.</w:t>
      </w:r>
    </w:p>
    <w:p>
      <w:pPr>
        <w:pStyle w:val="Heading5"/>
      </w:pPr>
      <w:r>
        <w:rPr>
          <w:lang w:val="en_US" w:bidi="en_US"/>
        </w:rPr>
        <w:t>19:11b</w:t>
      </w:r>
    </w:p>
    <w:p>
      <w:pPr/>
      <w:r>
        <w:rPr>
          <w:lang w:val="en_US" w:bidi="en_US"/>
        </w:rPr>
      </w:r>
      <w:r>
        <w:rPr>
          <w:b/>
          <w:lang w:val="en_US" w:bidi="en_US"/>
        </w:rPr>
        <w:t>Jesus proceeded to tell them a parable,</w:t>
      </w:r>
    </w:p>
    <w:p>
      <w:pPr>
        <w:pStyle w:val="ListBullet"/>
        <w:spacing w:line="240" w:lineRule="auto"/>
        <w:ind w:left="720"/>
      </w:pPr>
      <w:r>
        <w:rPr>
          <w:lang w:val="en_US" w:bidi="en_US"/>
        </w:rPr>
      </w:r>
      <w:r>
        <w:rPr>
          <w:lang w:val="en_US" w:bidi="en_US"/>
        </w:rPr>
        <w:t>he proceeded to tell them a parable,</w:t>
      </w:r>
    </w:p>
    <w:p>
      <w:pPr>
        <w:pStyle w:val="ListBullet"/>
        <w:spacing w:line="240" w:lineRule="auto"/>
        <w:ind w:left="720"/>
      </w:pPr>
      <w:r>
        <w:rPr>
          <w:lang w:val="en_US" w:bidi="en_US"/>
        </w:rPr>
      </w:r>
      <w:r>
        <w:rPr>
          <w:lang w:val="en_US" w:bidi="en_US"/>
        </w:rPr>
        <w:t xml:space="preserve">he continued </w:t>
      </w:r>
      <w:r>
        <w:rPr>
          <w:lang w:val="en_US" w:bidi="en_US"/>
        </w:rPr>
        <w:t>to teach them</w:t>
      </w:r>
      <w:r>
        <w:rPr>
          <w:lang w:val="en_US" w:bidi="en_US"/>
        </w:rPr>
        <w:t xml:space="preserve"> by telling a story.</w:t>
      </w:r>
    </w:p>
    <w:p>
      <w:pPr/>
      <w:r>
        <w:rPr>
          <w:lang w:val="en_US" w:bidi="en_US"/>
        </w:rPr>
      </w:r>
      <w:r>
        <w:rPr>
          <w:b/>
          <w:lang w:val="en_US" w:bidi="en_US"/>
        </w:rPr>
        <w:t>Jesus proceeded to tell them a parable:</w:t>
      </w:r>
      <w:r>
        <w:rPr>
          <w:lang w:val="en_US" w:bidi="en_US"/>
        </w:rPr>
        <w:t xml:space="preserve"> This clause indicates that Jesus continued to teach the people by telling them a parable. It does not imply that he had already told them one parable and then told them another one. Other ways to translate the clause are:</w:t>
      </w:r>
    </w:p>
    <w:p>
      <w:pPr/>
      <w:r>
        <w:rPr>
          <w:lang w:val="en_US" w:bidi="en_US"/>
        </w:rPr>
      </w:r>
      <w:r>
        <w:rPr>
          <w:lang w:val="en_US" w:bidi="en_US"/>
        </w:rPr>
        <w:t>he went on to tell them a parable (NIV)</w:t>
      </w:r>
    </w:p>
    <w:p>
      <w:pPr/>
      <w:r>
        <w:rPr>
          <w:lang w:val="en_US" w:bidi="en_US"/>
        </w:rPr>
      </w:r>
      <w:r>
        <w:rPr>
          <w:lang w:val="en_US" w:bidi="en_US"/>
        </w:rPr>
        <w:t>Jesus continued and told them a parable (GNT)</w:t>
      </w:r>
    </w:p>
    <w:p>
      <w:pPr/>
      <w:r>
        <w:rPr>
          <w:lang w:val="en_US" w:bidi="en_US"/>
        </w:rPr>
      </w:r>
      <w:r>
        <w:rPr>
          <w:lang w:val="en_US" w:bidi="en_US"/>
        </w:rPr>
        <w:t>The context already implies that Jesus was continuing to speak. So in some languages it may not be necessary to state this explicitly. For example:</w:t>
      </w:r>
    </w:p>
    <w:p>
      <w:pPr/>
      <w:r>
        <w:rPr>
          <w:lang w:val="en_US" w:bidi="en_US"/>
        </w:rPr>
      </w:r>
      <w:r>
        <w:rPr>
          <w:lang w:val="en_US" w:bidi="en_US"/>
        </w:rPr>
        <w:t>and Jesus told them this story (CEV)</w:t>
      </w:r>
    </w:p>
    <w:p>
      <w:pPr/>
      <w:r>
        <w:rPr>
          <w:lang w:val="en_US" w:bidi="en_US"/>
        </w:rPr>
      </w:r>
      <w:r>
        <w:rPr>
          <w:lang w:val="en_US" w:bidi="en_US"/>
        </w:rPr>
        <w:t>he used this illustration (GW)</w:t>
      </w:r>
    </w:p>
    <w:p>
      <w:pPr/>
      <w:r>
        <w:rPr>
          <w:lang w:val="en_US" w:bidi="en_US"/>
        </w:rPr>
      </w:r>
      <w:r>
        <w:rPr>
          <w:b/>
          <w:lang w:val="en_US" w:bidi="en_US"/>
        </w:rPr>
        <w:t>a parable:</w:t>
      </w:r>
      <w:r>
        <w:rPr>
          <w:lang w:val="en_US" w:bidi="en_US"/>
        </w:rPr>
        <w:t xml:space="preserve"> The Greek word that the BSB translates as </w:t>
      </w:r>
      <w:r>
        <w:rPr>
          <w:i/>
          <w:lang w:val="en_US" w:bidi="en_US"/>
        </w:rPr>
        <w:t>parable</w:t>
      </w:r>
      <w:r>
        <w:rPr>
          <w:lang w:val="en_US" w:bidi="en_US"/>
        </w:rPr>
        <w:t xml:space="preserve"> is literally “comparison.” A parable teaches a lesson or truth by showing how it is like something that people already know. Use a natural way in your language to refer to this type of story. See also the note on </w:t>
      </w:r>
      <w:r>
        <w:rPr>
          <w:i/>
          <w:lang w:val="en_US" w:bidi="en_US"/>
        </w:rPr>
        <w:t>parable</w:t>
      </w:r>
      <w:r>
        <w:rPr>
          <w:lang w:val="en_US" w:bidi="en_US"/>
        </w:rPr>
        <w:t xml:space="preserve"> at 18:1b and the Glossary entry for parable, Type 3.</w:t>
      </w:r>
    </w:p>
    <w:p>
      <w:pPr>
        <w:pStyle w:val="Heading5"/>
      </w:pPr>
      <w:r>
        <w:rPr>
          <w:lang w:val="en_US" w:bidi="en_US"/>
        </w:rPr>
        <w:t>19:11c–e</w:t>
      </w:r>
    </w:p>
    <w:p>
      <w:pPr/>
      <w:r>
        <w:rPr>
          <w:lang w:val="en_US" w:bidi="en_US"/>
        </w:rPr>
      </w:r>
      <w:r>
        <w:rPr>
          <w:b/>
          <w:lang w:val="en_US" w:bidi="en_US"/>
        </w:rPr>
        <w:t>because…and:</w:t>
      </w:r>
      <w:r>
        <w:rPr>
          <w:lang w:val="en_US" w:bidi="en_US"/>
        </w:rPr>
        <w:t xml:space="preserve"> The clause in 19:11c is the reason for 19:11d–e. The people thought that the kingdom of God would appear immediately (19:11d–e) because Jesus was near Jerusalem (19:11c). The clauses in 19:11c–e also explain why Jesus told the parable that begins in 19:12a. Other ways to translate 19:11c–e are:</w:t>
      </w:r>
    </w:p>
    <w:p>
      <w:pPr/>
      <w:r>
        <w:rPr>
          <w:lang w:val="en_US" w:bidi="en_US"/>
        </w:rPr>
      </w:r>
      <w:r>
        <w:rPr>
          <w:lang w:val="en_US" w:bidi="en_US"/>
        </w:rPr>
        <w:t>Jesus was near Jerusalem, and/so the people thought that the kingdom of God was going to appear at once.</w:t>
      </w:r>
    </w:p>
    <w:p>
      <w:pPr/>
      <w:r>
        <w:rPr>
          <w:lang w:val="en_US" w:bidi="en_US"/>
        </w:rPr>
      </w:r>
      <w:r>
        <w:rPr>
          <w:lang w:val="en_US" w:bidi="en_US"/>
        </w:rPr>
        <w:t>Since Jesus was now close to Jerusalem, the people thought that the kingdom of God would soon appear.</w:t>
      </w:r>
    </w:p>
    <w:p>
      <w:pPr/>
      <w:r>
        <w:rPr>
          <w:lang w:val="en_US" w:bidi="en_US"/>
        </w:rPr>
      </w:r>
      <w:r>
        <w:rPr>
          <w:lang w:val="en_US" w:bidi="en_US"/>
        </w:rPr>
        <w:t>In some languages it may be more natural to change the order of 19:11c and 11d. For example:</w:t>
      </w:r>
    </w:p>
    <w:p>
      <w:pPr/>
      <w:r>
        <w:rPr>
          <w:lang w:val="en_US" w:bidi="en_US"/>
        </w:rPr>
      </w:r>
      <w:r>
        <w:rPr>
          <w:vertAlign w:val="superscript"/>
          <w:lang w:val="en_US" w:bidi="en_US"/>
        </w:rPr>
        <w:t>11d</w:t>
      </w:r>
      <w:r>
        <w:rPr>
          <w:lang w:val="en_US" w:bidi="en_US"/>
        </w:rPr>
        <w:t xml:space="preserve">The people thought </w:t>
      </w:r>
      <w:r>
        <w:rPr>
          <w:vertAlign w:val="superscript"/>
          <w:lang w:val="en_US" w:bidi="en_US"/>
        </w:rPr>
        <w:t>11e</w:t>
      </w:r>
      <w:r>
        <w:rPr>
          <w:lang w:val="en_US" w:bidi="en_US"/>
        </w:rPr>
        <w:t xml:space="preserve">that the kingdom of God was going to appear at once </w:t>
      </w:r>
      <w:r>
        <w:rPr>
          <w:vertAlign w:val="superscript"/>
          <w:lang w:val="en_US" w:bidi="en_US"/>
        </w:rPr>
        <w:t>11c</w:t>
      </w:r>
      <w:r>
        <w:rPr>
          <w:lang w:val="en_US" w:bidi="en_US"/>
        </w:rPr>
        <w:t>because Jesus was near Jerusalem.</w:t>
      </w:r>
    </w:p>
    <w:p>
      <w:pPr/>
      <w:r>
        <w:rPr>
          <w:lang w:val="en_US" w:bidi="en_US"/>
        </w:rPr>
      </w:r>
      <w:r>
        <w:rPr>
          <w:lang w:val="en_US" w:bidi="en_US"/>
        </w:rPr>
        <w:t>There is implied information in this statement. The people believed that when Jesus arrived in Jerusalem, he would establish God’s kingdom and reign there. Jerusalem was the city where the Jewish kings reigned in the past. In some languages it may be necessary to make some of this information explicit. For example:</w:t>
      </w:r>
    </w:p>
    <w:p>
      <w:pPr/>
      <w:r>
        <w:rPr>
          <w:lang w:val="en_US" w:bidi="en_US"/>
        </w:rPr>
      </w:r>
      <w:r>
        <w:rPr>
          <w:lang w:val="en_US" w:bidi="en_US"/>
        </w:rPr>
        <w:t xml:space="preserve">Jesus was near </w:t>
      </w:r>
      <w:r>
        <w:rPr>
          <w:lang w:val="en_US" w:bidi="en_US"/>
        </w:rPr>
        <w:t>the royal city of</w:t>
      </w:r>
      <w:r>
        <w:rPr>
          <w:lang w:val="en_US" w:bidi="en_US"/>
        </w:rPr>
        <w:t xml:space="preserve"> Jerusalem, so the people thought that </w:t>
      </w:r>
      <w:r>
        <w:rPr>
          <w:lang w:val="en_US" w:bidi="en_US"/>
        </w:rPr>
        <w:t>when he arrived there</w:t>
      </w:r>
      <w:r>
        <w:rPr>
          <w:lang w:val="en_US" w:bidi="en_US"/>
        </w:rPr>
        <w:t xml:space="preserve">, </w:t>
      </w:r>
      <w:r>
        <w:rPr>
          <w:lang w:val="en_US" w:bidi="en_US"/>
        </w:rPr>
        <w:t>he would</w:t>
      </w:r>
      <w:r>
        <w:rPr>
          <w:lang w:val="en_US" w:bidi="en_US"/>
        </w:rPr>
        <w:t xml:space="preserve"> immediately establish God’s kingdom.</w:t>
      </w:r>
    </w:p>
    <w:p>
      <w:pPr>
        <w:pStyle w:val="Heading5"/>
      </w:pPr>
      <w:r>
        <w:rPr>
          <w:lang w:val="en_US" w:bidi="en_US"/>
        </w:rPr>
        <w:t>19:11c</w:t>
      </w:r>
    </w:p>
    <w:p>
      <w:pPr/>
      <w:r>
        <w:rPr>
          <w:lang w:val="en_US" w:bidi="en_US"/>
        </w:rPr>
      </w:r>
      <w:r>
        <w:rPr>
          <w:b/>
          <w:lang w:val="en_US" w:bidi="en_US"/>
        </w:rPr>
        <w:t>because He was near Jerusalem</w:t>
      </w:r>
    </w:p>
    <w:p>
      <w:pPr>
        <w:pStyle w:val="ListBullet"/>
        <w:spacing w:line="240" w:lineRule="auto"/>
        <w:ind w:left="720"/>
      </w:pPr>
      <w:r>
        <w:rPr>
          <w:lang w:val="en_US" w:bidi="en_US"/>
        </w:rPr>
      </w:r>
      <w:r>
        <w:rPr>
          <w:lang w:val="en_US" w:bidi="en_US"/>
        </w:rPr>
        <w:t>because he was close to Jerusalem,</w:t>
      </w:r>
    </w:p>
    <w:p>
      <w:pPr>
        <w:pStyle w:val="ListBullet"/>
        <w:spacing w:line="240" w:lineRule="auto"/>
        <w:ind w:left="720"/>
      </w:pPr>
      <w:r>
        <w:rPr>
          <w:lang w:val="en_US" w:bidi="en_US"/>
        </w:rPr>
      </w:r>
      <w:r>
        <w:rPr>
          <w:lang w:val="en_US" w:bidi="en_US"/>
        </w:rPr>
        <w:t>He told this story</w:t>
      </w:r>
      <w:r>
        <w:rPr>
          <w:lang w:val="en_US" w:bidi="en_US"/>
        </w:rPr>
        <w:t xml:space="preserve"> because they were near </w:t>
      </w:r>
      <w:r>
        <w:rPr>
          <w:lang w:val="en_US" w:bidi="en_US"/>
        </w:rPr>
        <w:t>the royal</w:t>
      </w:r>
      <w:r>
        <w:rPr>
          <w:lang w:val="en_US" w:bidi="en_US"/>
        </w:rPr>
        <w:t xml:space="preserve"> </w:t>
      </w:r>
      <w:r>
        <w:rPr>
          <w:lang w:val="en_US" w:bidi="en_US"/>
        </w:rPr>
        <w:t>city of</w:t>
      </w:r>
      <w:r>
        <w:rPr>
          <w:lang w:val="en_US" w:bidi="en_US"/>
        </w:rPr>
        <w:t xml:space="preserve"> Jerusalem,</w:t>
      </w:r>
    </w:p>
    <w:p>
      <w:pPr/>
      <w:r>
        <w:rPr>
          <w:lang w:val="en_US" w:bidi="en_US"/>
        </w:rPr>
      </w:r>
      <w:r>
        <w:rPr>
          <w:b/>
          <w:lang w:val="en_US" w:bidi="en_US"/>
        </w:rPr>
        <w:t>He was near Jerusalem:</w:t>
      </w:r>
      <w:r>
        <w:rPr>
          <w:lang w:val="en_US" w:bidi="en_US"/>
        </w:rPr>
        <w:t xml:space="preserve"> The word </w:t>
      </w:r>
      <w:r>
        <w:rPr>
          <w:i/>
          <w:lang w:val="en_US" w:bidi="en_US"/>
        </w:rPr>
        <w:t>He</w:t>
      </w:r>
      <w:r>
        <w:rPr>
          <w:lang w:val="en_US" w:bidi="en_US"/>
        </w:rPr>
        <w:t xml:space="preserve"> refers to Jesus. Jesus was still traveling with his disciples and other people who had come with him to Jericho. In some languages it may be necessary to indicate that the whole group was near Jerusalem. For example:</w:t>
      </w:r>
    </w:p>
    <w:p>
      <w:pPr/>
      <w:r>
        <w:rPr>
          <w:lang w:val="en_US" w:bidi="en_US"/>
        </w:rPr>
      </w:r>
      <w:r>
        <w:rPr>
          <w:lang w:val="en_US" w:bidi="en_US"/>
        </w:rPr>
        <w:t xml:space="preserve">Jesus </w:t>
      </w:r>
      <w:r>
        <w:rPr>
          <w:lang w:val="en_US" w:bidi="en_US"/>
        </w:rPr>
        <w:t>and his followers</w:t>
      </w:r>
      <w:r>
        <w:rPr>
          <w:lang w:val="en_US" w:bidi="en_US"/>
        </w:rPr>
        <w:t xml:space="preserve"> were near Jerusalem</w:t>
      </w:r>
    </w:p>
    <w:p>
      <w:pPr/>
      <w:r>
        <w:rPr>
          <w:lang w:val="en_US" w:bidi="en_US"/>
        </w:rPr>
      </w:r>
      <w:r>
        <w:rPr>
          <w:lang w:val="en_US" w:bidi="en_US"/>
        </w:rPr>
        <w:t>they were near Jerusalem</w:t>
      </w:r>
    </w:p>
    <w:p>
      <w:pPr>
        <w:pStyle w:val="Heading5"/>
      </w:pPr>
      <w:r>
        <w:rPr>
          <w:lang w:val="en_US" w:bidi="en_US"/>
        </w:rPr>
        <w:t>19:11d</w:t>
      </w:r>
    </w:p>
    <w:p>
      <w:pPr/>
      <w:r>
        <w:rPr>
          <w:lang w:val="en_US" w:bidi="en_US"/>
        </w:rPr>
      </w:r>
      <w:r>
        <w:rPr>
          <w:b/>
          <w:lang w:val="en_US" w:bidi="en_US"/>
        </w:rPr>
        <w:t>and they thought</w:t>
      </w:r>
    </w:p>
    <w:p>
      <w:pPr>
        <w:pStyle w:val="ListBullet"/>
        <w:spacing w:line="240" w:lineRule="auto"/>
        <w:ind w:left="720"/>
      </w:pPr>
      <w:r>
        <w:rPr>
          <w:lang w:val="en_US" w:bidi="en_US"/>
        </w:rPr>
      </w:r>
      <w:r>
        <w:rPr>
          <w:lang w:val="en_US" w:bidi="en_US"/>
        </w:rPr>
        <w:t>and the people thought</w:t>
      </w:r>
    </w:p>
    <w:p>
      <w:pPr>
        <w:pStyle w:val="ListBullet"/>
        <w:spacing w:line="240" w:lineRule="auto"/>
        <w:ind w:left="720"/>
      </w:pPr>
      <w:r>
        <w:rPr>
          <w:lang w:val="en_US" w:bidi="en_US"/>
        </w:rPr>
      </w:r>
      <w:r>
        <w:rPr>
          <w:lang w:val="en_US" w:bidi="en_US"/>
        </w:rPr>
        <w:t xml:space="preserve">and the people had the </w:t>
      </w:r>
      <w:r>
        <w:rPr>
          <w:lang w:val="en_US" w:bidi="en_US"/>
        </w:rPr>
        <w:t>false</w:t>
      </w:r>
      <w:r>
        <w:rPr>
          <w:lang w:val="en_US" w:bidi="en_US"/>
        </w:rPr>
        <w:t xml:space="preserve"> belief/idea</w:t>
      </w:r>
    </w:p>
    <w:p>
      <w:pPr>
        <w:pStyle w:val="ListBullet"/>
        <w:spacing w:line="240" w:lineRule="auto"/>
        <w:ind w:left="720"/>
      </w:pPr>
      <w:r>
        <w:rPr>
          <w:lang w:val="en_US" w:bidi="en_US"/>
        </w:rPr>
      </w:r>
      <w:r>
        <w:rPr>
          <w:lang w:val="en_US" w:bidi="en_US"/>
        </w:rPr>
        <w:t xml:space="preserve">so the people </w:t>
      </w:r>
      <w:r>
        <w:rPr>
          <w:lang w:val="en_US" w:bidi="en_US"/>
        </w:rPr>
        <w:t>wrongly</w:t>
      </w:r>
      <w:r>
        <w:rPr>
          <w:lang w:val="en_US" w:bidi="en_US"/>
        </w:rPr>
        <w:t xml:space="preserve"> thought</w:t>
      </w:r>
    </w:p>
    <w:p>
      <w:pPr>
        <w:pStyle w:val="Heading5"/>
      </w:pPr>
      <w:r>
        <w:rPr>
          <w:lang w:val="en_US" w:bidi="en_US"/>
        </w:rPr>
        <w:t>19:11e</w:t>
      </w:r>
    </w:p>
    <w:p>
      <w:pPr/>
      <w:r>
        <w:rPr>
          <w:lang w:val="en_US" w:bidi="en_US"/>
        </w:rPr>
      </w:r>
      <w:r>
        <w:rPr>
          <w:b/>
          <w:lang w:val="en_US" w:bidi="en_US"/>
        </w:rPr>
        <w:t>the kingdom of God would appear imminently.</w:t>
      </w:r>
    </w:p>
    <w:p>
      <w:pPr>
        <w:pStyle w:val="ListBullet"/>
        <w:spacing w:line="240" w:lineRule="auto"/>
        <w:ind w:left="720"/>
      </w:pPr>
      <w:r>
        <w:rPr>
          <w:lang w:val="en_US" w:bidi="en_US"/>
        </w:rPr>
      </w:r>
      <w:r>
        <w:rPr>
          <w:lang w:val="en_US" w:bidi="en_US"/>
        </w:rPr>
        <w:t>that God’s kingdom/rule was about to be revealed/established.</w:t>
      </w:r>
    </w:p>
    <w:p>
      <w:pPr>
        <w:pStyle w:val="ListBullet"/>
        <w:spacing w:line="240" w:lineRule="auto"/>
        <w:ind w:left="720"/>
      </w:pPr>
      <w:r>
        <w:rPr>
          <w:lang w:val="en_US" w:bidi="en_US"/>
        </w:rPr>
      </w:r>
      <w:r>
        <w:rPr>
          <w:lang w:val="en_US" w:bidi="en_US"/>
        </w:rPr>
        <w:t xml:space="preserve">that God would immediately begin reigning </w:t>
      </w:r>
      <w:r>
        <w:rPr>
          <w:lang w:val="en_US" w:bidi="en_US"/>
        </w:rPr>
        <w:t>when Jesus arrived in the city</w:t>
      </w:r>
      <w:r>
        <w:rPr>
          <w:lang w:val="en_US" w:bidi="en_US"/>
        </w:rPr>
        <w:t>.</w:t>
      </w:r>
    </w:p>
    <w:p>
      <w:pPr>
        <w:pStyle w:val="ListBullet"/>
        <w:spacing w:line="240" w:lineRule="auto"/>
        <w:ind w:left="720"/>
      </w:pPr>
      <w:r>
        <w:rPr>
          <w:lang w:val="en_US" w:bidi="en_US"/>
        </w:rPr>
      </w:r>
      <w:r>
        <w:rPr>
          <w:lang w:val="en_US" w:bidi="en_US"/>
        </w:rPr>
        <w:t xml:space="preserve">that </w:t>
      </w:r>
      <w:r>
        <w:rPr>
          <w:lang w:val="en_US" w:bidi="en_US"/>
        </w:rPr>
        <w:t>Jesus would</w:t>
      </w:r>
      <w:r>
        <w:rPr>
          <w:lang w:val="en_US" w:bidi="en_US"/>
        </w:rPr>
        <w:t xml:space="preserve"> immediately </w:t>
      </w:r>
      <w:r>
        <w:rPr>
          <w:lang w:val="en_US" w:bidi="en_US"/>
        </w:rPr>
        <w:t>establish</w:t>
      </w:r>
      <w:r>
        <w:rPr>
          <w:lang w:val="en_US" w:bidi="en_US"/>
        </w:rPr>
        <w:t xml:space="preserve"> God’s rule/kingship </w:t>
      </w:r>
      <w:r>
        <w:rPr>
          <w:lang w:val="en_US" w:bidi="en_US"/>
        </w:rPr>
        <w:t>on earth</w:t>
      </w:r>
      <w:r>
        <w:rPr>
          <w:lang w:val="en_US" w:bidi="en_US"/>
        </w:rPr>
        <w:t>.</w:t>
      </w:r>
    </w:p>
    <w:p>
      <w:pPr>
        <w:pStyle w:val="Heading5"/>
      </w:pPr>
      <w:r>
        <w:rPr>
          <w:lang w:val="en_US" w:bidi="en_US"/>
        </w:rPr>
        <w:t>19:11d–e</w:t>
      </w:r>
    </w:p>
    <w:p>
      <w:pPr/>
      <w:r>
        <w:rPr>
          <w:lang w:val="en_US" w:bidi="en_US"/>
        </w:rPr>
      </w:r>
      <w:r>
        <w:rPr>
          <w:b/>
          <w:lang w:val="en_US" w:bidi="en_US"/>
        </w:rPr>
        <w:t>and they thought the kingdom of God would appear imminently:</w:t>
      </w:r>
      <w:r>
        <w:rPr>
          <w:lang w:val="en_US" w:bidi="en_US"/>
        </w:rPr>
        <w:t xml:space="preserve"> In this context what the people thought was wrong. Jesus told the parable to correct them. Be sure to make this clear in your language. Some ways to make this clear in English are:</w:t>
      </w:r>
    </w:p>
    <w:p>
      <w:pPr/>
      <w:r>
        <w:rPr>
          <w:lang w:val="en_US" w:bidi="en_US"/>
        </w:rPr>
      </w:r>
      <w:r>
        <w:rPr>
          <w:lang w:val="en_US" w:bidi="en_US"/>
        </w:rPr>
        <w:t xml:space="preserve">and the people were </w:t>
      </w:r>
      <w:r>
        <w:rPr>
          <w:lang w:val="en_US" w:bidi="en_US"/>
        </w:rPr>
        <w:t>wrongly</w:t>
      </w:r>
      <w:r>
        <w:rPr>
          <w:lang w:val="en_US" w:bidi="en_US"/>
        </w:rPr>
        <w:t xml:space="preserve"> thinking that the kingdom of God was going to appear immediately</w:t>
      </w:r>
    </w:p>
    <w:p>
      <w:pPr/>
      <w:r>
        <w:rPr>
          <w:lang w:val="en_US" w:bidi="en_US"/>
        </w:rPr>
      </w:r>
      <w:r>
        <w:rPr>
          <w:lang w:val="en_US" w:bidi="en_US"/>
        </w:rPr>
        <w:t>he told a story to correct the impression that the Kingdom of God would begin right away (NLT96)</w:t>
      </w:r>
    </w:p>
    <w:p>
      <w:pPr/>
      <w:r>
        <w:rPr>
          <w:lang w:val="en_US" w:bidi="en_US"/>
        </w:rPr>
      </w:r>
      <w:r>
        <w:rPr>
          <w:b/>
          <w:lang w:val="en_US" w:bidi="en_US"/>
        </w:rPr>
        <w:t>the kingdom of God would appear:</w:t>
      </w:r>
      <w:r>
        <w:rPr>
          <w:lang w:val="en_US" w:bidi="en_US"/>
        </w:rPr>
        <w:t xml:space="preserve"> The Greek verb that the BSB translates as </w:t>
      </w:r>
      <w:r>
        <w:rPr>
          <w:i/>
          <w:lang w:val="en_US" w:bidi="en_US"/>
        </w:rPr>
        <w:t>would appear</w:t>
      </w:r>
      <w:r>
        <w:rPr>
          <w:lang w:val="en_US" w:bidi="en_US"/>
        </w:rPr>
        <w:t xml:space="preserve"> is more literally “(was) to be displayed/manifested.” This verb is passive. It indicates that God’s kingdom would be revealed. It would be obvious that God was reigning over people.</w:t>
      </w:r>
      <w:r>
        <w:rPr>
          <w:lang w:val="en_US" w:bidi="en_US"/>
        </w:rPr>
        <w:t>The Jewish people believed that God already ruled everything, but his reign was not yet obvious on earth.</w:t>
      </w:r>
      <w:r>
        <w:rPr>
          <w:lang w:val="en_US" w:bidi="en_US"/>
        </w:rPr>
        <w:t xml:space="preserve"> The Jews expected God’s Messiah to establish the kingdom. The people who followed Jesus believed that he was the Messiah and that he would soon establish God’s kingdom.</w:t>
      </w:r>
    </w:p>
    <w:p>
      <w:pPr/>
      <w:r>
        <w:rPr>
          <w:lang w:val="en_US" w:bidi="en_US"/>
        </w:rPr>
      </w:r>
      <w:r>
        <w:rPr>
          <w:lang w:val="en_US" w:bidi="en_US"/>
        </w:rPr>
        <w:t>In some languages it may not be natural to speak of a kingdom appearing or becoming obvious. Some other ways to translate it are:</w:t>
      </w:r>
    </w:p>
    <w:p>
      <w:pPr/>
      <w:r>
        <w:rPr>
          <w:lang w:val="en_US" w:bidi="en_US"/>
        </w:rPr>
      </w:r>
      <w:r>
        <w:rPr>
          <w:lang w:val="en_US" w:bidi="en_US"/>
        </w:rPr>
        <w:t>people would</w:t>
      </w:r>
      <w:r>
        <w:rPr>
          <w:lang w:val="en_US" w:bidi="en_US"/>
        </w:rPr>
        <w:t xml:space="preserve"> now see God ruling as king </w:t>
      </w:r>
      <w:r>
        <w:rPr>
          <w:lang w:val="en_US" w:bidi="en_US"/>
        </w:rPr>
        <w:t>in the world</w:t>
      </w:r>
    </w:p>
    <w:p>
      <w:pPr/>
      <w:r>
        <w:rPr>
          <w:lang w:val="en_US" w:bidi="en_US"/>
        </w:rPr>
      </w:r>
      <w:r>
        <w:rPr>
          <w:lang w:val="en_US" w:bidi="en_US"/>
        </w:rPr>
        <w:t xml:space="preserve">God would now begin his reign </w:t>
      </w:r>
      <w:r>
        <w:rPr>
          <w:lang w:val="en_US" w:bidi="en_US"/>
        </w:rPr>
        <w:t>on earth</w:t>
      </w:r>
    </w:p>
    <w:p>
      <w:pPr/>
      <w:r>
        <w:rPr>
          <w:lang w:val="en_US" w:bidi="en_US"/>
        </w:rPr>
      </w:r>
      <w:r>
        <w:rPr>
          <w:b/>
          <w:lang w:val="en_US" w:bidi="en_US"/>
        </w:rPr>
        <w:t>kingdom of God:</w:t>
      </w:r>
      <w:r>
        <w:rPr>
          <w:lang w:val="en_US" w:bidi="en_US"/>
        </w:rPr>
        <w:t xml:space="preserve"> This phrase first occurs in Luke in 4:43. Also, see kingdom of God, Context 3 in the Glossary for more information.</w:t>
      </w:r>
    </w:p>
    <w:p>
      <w:pPr/>
      <w:r>
        <w:rPr>
          <w:lang w:val="en_US" w:bidi="en_US"/>
        </w:rPr>
      </w:r>
      <w:r>
        <w:rPr>
          <w:b/>
          <w:lang w:val="en_US" w:bidi="en_US"/>
        </w:rPr>
        <w:t>imminently:</w:t>
      </w:r>
      <w:r>
        <w:rPr>
          <w:lang w:val="en_US" w:bidi="en_US"/>
        </w:rPr>
        <w:t xml:space="preserve"> The Greek word that the BSB translates as </w:t>
      </w:r>
      <w:r>
        <w:rPr>
          <w:i/>
          <w:lang w:val="en_US" w:bidi="en_US"/>
        </w:rPr>
        <w:t>imminently</w:t>
      </w:r>
      <w:r>
        <w:rPr>
          <w:lang w:val="en_US" w:bidi="en_US"/>
        </w:rPr>
        <w:t xml:space="preserve"> means “immediately.” The people wrongly thought that the kingdom of God would appear immediately when Jesus arrived in Jerusalem. Some other ways </w:t>
      </w:r>
      <w:r>
        <w:rPr>
          <w:i/>
          <w:lang w:val="en_US" w:bidi="en_US"/>
        </w:rPr>
        <w:t>imminently</w:t>
      </w:r>
      <w:r>
        <w:rPr>
          <w:lang w:val="en_US" w:bidi="en_US"/>
        </w:rPr>
        <w:t xml:space="preserve"> can be translated are:</w:t>
      </w:r>
    </w:p>
    <w:p>
      <w:pPr/>
      <w:r>
        <w:rPr>
          <w:lang w:val="en_US" w:bidi="en_US"/>
        </w:rPr>
      </w:r>
      <w:r>
        <w:rPr>
          <w:lang w:val="en_US" w:bidi="en_US"/>
        </w:rPr>
        <w:t>at once (NIV)</w:t>
      </w:r>
    </w:p>
    <w:p>
      <w:pPr/>
      <w:r>
        <w:rPr>
          <w:lang w:val="en_US" w:bidi="en_US"/>
        </w:rPr>
      </w:r>
      <w:r>
        <w:rPr>
          <w:lang w:val="en_US" w:bidi="en_US"/>
        </w:rPr>
        <w:t>right away (NLT)</w:t>
      </w:r>
    </w:p>
    <w:p>
      <w:pPr>
        <w:pStyle w:val="Heading6"/>
      </w:pPr>
      <w:r>
        <w:rPr>
          <w:b/>
          <w:lang w:val="en_US" w:bidi="en_US"/>
        </w:rPr>
        <w:t>General Comment on 19:11a–e</w:t>
      </w:r>
    </w:p>
    <w:p>
      <w:pPr/>
      <w:r>
        <w:rPr>
          <w:lang w:val="en_US" w:bidi="en_US"/>
        </w:rPr>
      </w:r>
      <w:r>
        <w:rPr>
          <w:lang w:val="en_US" w:bidi="en_US"/>
        </w:rPr>
        <w:t>In some languages, it will be more natural to give the reason that Jesus spoke this parable first. If that is true in your language, you may want to change the order of the parts of 19:11. For example:</w:t>
      </w:r>
    </w:p>
    <w:p>
      <w:pPr/>
      <w:r>
        <w:rPr>
          <w:lang w:val="en_US" w:bidi="en_US"/>
        </w:rPr>
      </w:r>
      <w:r>
        <w:rPr>
          <w:vertAlign w:val="superscript"/>
          <w:lang w:val="en_US" w:bidi="en_US"/>
        </w:rPr>
        <w:t>11c</w:t>
      </w:r>
      <w:r>
        <w:rPr>
          <w:lang w:val="en_US" w:bidi="en_US"/>
        </w:rPr>
        <w:t xml:space="preserve">Jesus was getting closer to Jerusalem, </w:t>
      </w:r>
      <w:r>
        <w:rPr>
          <w:vertAlign w:val="superscript"/>
          <w:lang w:val="en_US" w:bidi="en_US"/>
        </w:rPr>
        <w:t>11d</w:t>
      </w:r>
      <w:r>
        <w:rPr>
          <w:lang w:val="en_US" w:bidi="en_US"/>
        </w:rPr>
        <w:t xml:space="preserve">and the people thought </w:t>
      </w:r>
      <w:r>
        <w:rPr>
          <w:vertAlign w:val="superscript"/>
          <w:lang w:val="en_US" w:bidi="en_US"/>
        </w:rPr>
        <w:t>11e</w:t>
      </w:r>
      <w:r>
        <w:rPr>
          <w:lang w:val="en_US" w:bidi="en_US"/>
        </w:rPr>
        <w:t xml:space="preserve">that the kingdom of God would appear suddenly </w:t>
      </w:r>
      <w:r>
        <w:rPr>
          <w:lang w:val="en_US" w:bidi="en_US"/>
        </w:rPr>
        <w:t>when he arrived</w:t>
      </w:r>
      <w:r>
        <w:rPr>
          <w:lang w:val="en_US" w:bidi="en_US"/>
        </w:rPr>
        <w:t xml:space="preserve">. </w:t>
      </w:r>
      <w:r>
        <w:rPr>
          <w:lang w:val="en_US" w:bidi="en_US"/>
        </w:rPr>
        <w:t>So</w:t>
      </w:r>
      <w:r>
        <w:rPr>
          <w:lang w:val="en_US" w:bidi="en_US"/>
        </w:rPr>
        <w:t xml:space="preserve"> </w:t>
      </w:r>
      <w:r>
        <w:rPr>
          <w:vertAlign w:val="superscript"/>
          <w:lang w:val="en_US" w:bidi="en_US"/>
        </w:rPr>
        <w:t>11a</w:t>
      </w:r>
      <w:r>
        <w:rPr>
          <w:lang w:val="en_US" w:bidi="en_US"/>
        </w:rPr>
        <w:t xml:space="preserve">while the people were listening to his teaching, </w:t>
      </w:r>
      <w:r>
        <w:rPr>
          <w:vertAlign w:val="superscript"/>
          <w:lang w:val="en_US" w:bidi="en_US"/>
        </w:rPr>
        <w:t>11b</w:t>
      </w:r>
      <w:r>
        <w:rPr>
          <w:lang w:val="en_US" w:bidi="en_US"/>
        </w:rPr>
        <w:t>he told this parable:</w:t>
      </w:r>
      <w:r>
        <w:rPr>
          <w:lang w:val="en_US" w:bidi="en_US"/>
        </w:rPr>
      </w:r>
      <w:r>
        <w:rPr>
          <w:lang w:val="en_US" w:bidi="en_US"/>
        </w:rPr>
      </w:r>
    </w:p>
    <w:p>
      <w:pPr/>
      <w:r>
        <w:rPr>
          <w:lang w:val="en_US" w:bidi="en_US"/>
        </w:rPr>
      </w:r>
    </w:p>
    <w:p>
      <w:pPr>
        <w:pStyle w:val="Heading2"/>
      </w:pPr>
      <w:r>
        <w:rPr>
          <w:lang w:val="en_US" w:bidi="en_US"/>
        </w:rPr>
        <w:t>Luke 19:12</w:t>
      </w:r>
      <w:r>
        <w:rPr>
          <w:lang w:val="en_US" w:bidi="en_US"/>
        </w:rPr>
      </w:r>
    </w:p>
    <w:p>
      <w:pPr>
        <w:pStyle w:val="Heading4"/>
      </w:pPr>
      <w:r>
        <w:rPr>
          <w:lang w:val="en_US" w:bidi="en_US"/>
        </w:rPr>
        <w:t>Section 19:11–27: Jesus told a parable about a king and his ten servants</w:t>
      </w:r>
    </w:p>
    <w:p>
      <w:pPr/>
      <w:r>
        <w:rPr>
          <w:lang w:val="en_US" w:bidi="en_US"/>
        </w:rPr>
      </w:r>
      <w:r>
        <w:rPr>
          <w:lang w:val="en_US" w:bidi="en_US"/>
        </w:rPr>
        <w:t>Many of Jesus’ followers expected that when they arrived in Jerusalem, Jesus would establish the kingdom of God and begin to reign as king. He told the parable in this section to help them understand that events would happen differently than they expected.</w:t>
      </w:r>
    </w:p>
    <w:p>
      <w:pPr/>
      <w:r>
        <w:rPr>
          <w:lang w:val="en_US" w:bidi="en_US"/>
        </w:rPr>
      </w:r>
      <w:r>
        <w:rPr>
          <w:lang w:val="en_US" w:bidi="en_US"/>
        </w:rPr>
        <w:t>There are two main ideas that Jesus taught through this parable:</w:t>
      </w:r>
    </w:p>
    <w:p>
      <w:pPr>
        <w:pStyle w:val="ListNumber"/>
        <w:numPr>
          <w:ilvl w:val="0"/>
          <w:numId w:val="312"/>
        </w:numPr>
        <w:spacing w:line="240" w:lineRule="auto"/>
        <w:ind w:left="720"/>
      </w:pPr>
      <w:r>
        <w:rPr>
          <w:lang w:val="en_US" w:bidi="en_US"/>
        </w:rPr>
      </w:r>
      <w:r>
        <w:rPr>
          <w:lang w:val="en_US" w:bidi="en_US"/>
        </w:rP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Pr>
          <w:lang w:val="en_US" w:bidi="en_US"/>
        </w:rPr>
      </w:r>
      <w:r>
        <w:rPr>
          <w:lang w:val="en_US" w:bidi="en_US"/>
        </w:rPr>
        <w:t>While Jesus is gone, his disciples must serve him faithfully and use whatever he has given them to glorify him.</w:t>
      </w:r>
    </w:p>
    <w:p>
      <w:pPr/>
      <w:r>
        <w:rPr>
          <w:lang w:val="en_US" w:bidi="en_US"/>
        </w:rPr>
      </w:r>
      <w:r>
        <w:rPr>
          <w:lang w:val="en_US" w:bidi="en_US"/>
        </w:rPr>
        <w:t>Other examples of headings for this section are:</w:t>
      </w:r>
    </w:p>
    <w:p>
      <w:pPr/>
      <w:r>
        <w:rPr>
          <w:lang w:val="en_US" w:bidi="en_US"/>
        </w:rPr>
      </w:r>
      <w:r>
        <w:rPr>
          <w:lang w:val="en_US" w:bidi="en_US"/>
        </w:rPr>
        <w:t>The Parable of the Gold Coins (GNT)</w:t>
      </w:r>
    </w:p>
    <w:p>
      <w:pPr/>
      <w:r>
        <w:rPr>
          <w:lang w:val="en_US" w:bidi="en_US"/>
        </w:rPr>
      </w:r>
      <w:r>
        <w:rPr>
          <w:lang w:val="en_US" w:bidi="en_US"/>
        </w:rPr>
        <w:t>Jesus told a parable about ten servants</w:t>
      </w:r>
    </w:p>
    <w:p>
      <w:pPr/>
      <w:r>
        <w:rPr>
          <w:lang w:val="en_US" w:bidi="en_US"/>
        </w:rPr>
      </w:r>
      <w:r>
        <w:rPr>
          <w:lang w:val="en_US" w:bidi="en_US"/>
        </w:rPr>
        <w:t>A parallel passage to this section is found in Matthew 25:14–30.</w:t>
      </w:r>
    </w:p>
    <w:p>
      <w:pPr>
        <w:pStyle w:val="Heading5"/>
      </w:pPr>
      <w:r>
        <w:rPr>
          <w:lang w:val="en_US" w:bidi="en_US"/>
        </w:rPr>
        <w:t>19:12a</w:t>
      </w:r>
    </w:p>
    <w:p>
      <w:pPr/>
      <w:r>
        <w:rPr>
          <w:lang w:val="en_US" w:bidi="en_US"/>
        </w:rPr>
      </w:r>
      <w:r>
        <w:rPr>
          <w:b/>
          <w:lang w:val="en_US" w:bidi="en_US"/>
        </w:rPr>
        <w:t>So He said, “A man of noble birth</w:t>
      </w:r>
    </w:p>
    <w:p>
      <w:pPr>
        <w:pStyle w:val="ListBullet"/>
        <w:spacing w:line="240" w:lineRule="auto"/>
        <w:ind w:left="720"/>
      </w:pPr>
      <w:r>
        <w:rPr>
          <w:lang w:val="en_US" w:bidi="en_US"/>
        </w:rPr>
      </w:r>
      <w:r>
        <w:rPr>
          <w:lang w:val="en_US" w:bidi="en_US"/>
        </w:rPr>
        <w:t>He said, “A man from an important/ruling family</w:t>
      </w:r>
    </w:p>
    <w:p>
      <w:pPr>
        <w:pStyle w:val="ListBullet"/>
        <w:spacing w:line="240" w:lineRule="auto"/>
        <w:ind w:left="720"/>
      </w:pPr>
      <w:r>
        <w:rPr>
          <w:lang w:val="en_US" w:bidi="en_US"/>
        </w:rPr>
      </w:r>
      <w:r>
        <w:rPr>
          <w:lang w:val="en_US" w:bidi="en_US"/>
        </w:rPr>
        <w:t>This is the parable that</w:t>
      </w:r>
      <w:r>
        <w:rPr>
          <w:lang w:val="en_US" w:bidi="en_US"/>
        </w:rPr>
        <w:t xml:space="preserve"> Jesus told: “A certain man of the nobility/aristocracy</w:t>
      </w:r>
    </w:p>
    <w:p>
      <w:pPr/>
      <w:r>
        <w:rPr>
          <w:lang w:val="en_US" w:bidi="en_US"/>
        </w:rPr>
      </w:r>
      <w:r>
        <w:rPr>
          <w:b/>
          <w:lang w:val="en_US" w:bidi="en_US"/>
        </w:rPr>
        <w:t>So He said:</w:t>
      </w:r>
      <w:r>
        <w:rPr>
          <w:lang w:val="en_US" w:bidi="en_US"/>
        </w:rPr>
        <w:t xml:space="preserve"> In Greek the phrase </w:t>
      </w:r>
      <w:r>
        <w:rPr>
          <w:i/>
          <w:lang w:val="en_US" w:bidi="en_US"/>
        </w:rPr>
        <w:t>He said</w:t>
      </w:r>
      <w:r>
        <w:rPr>
          <w:lang w:val="en_US" w:bidi="en_US"/>
        </w:rPr>
        <w:t xml:space="preserve"> is followed by a conjunction that is often translated as “therefore” and that the BSB translates as </w:t>
      </w:r>
      <w:r>
        <w:rPr>
          <w:i/>
          <w:lang w:val="en_US" w:bidi="en_US"/>
        </w:rPr>
        <w:t>So</w:t>
      </w:r>
      <w:r>
        <w:rPr>
          <w:lang w:val="en_US" w:bidi="en_US"/>
        </w:rPr>
        <w:t>. It implies that Jesus knew what the people were thinking, so (as a result) he told them the parable in this section. Here is another way to translate this:</w:t>
      </w:r>
    </w:p>
    <w:p>
      <w:pPr/>
      <w:r>
        <w:rPr>
          <w:lang w:val="en_US" w:bidi="en_US"/>
        </w:rPr>
      </w:r>
      <w:r>
        <w:rPr>
          <w:lang w:val="en_US" w:bidi="en_US"/>
        </w:rPr>
        <w:t>He said therefore (ESV)</w:t>
      </w:r>
    </w:p>
    <w:p>
      <w:pPr/>
      <w:r>
        <w:rPr>
          <w:lang w:val="en_US" w:bidi="en_US"/>
        </w:rPr>
      </w:r>
      <w:r>
        <w:rPr>
          <w:lang w:val="en_US" w:bidi="en_US"/>
        </w:rPr>
        <w:t>Some English versions do not translate this conjunction. Use a natural way in your language to make the connection clear.</w:t>
      </w:r>
    </w:p>
    <w:p>
      <w:pPr/>
      <w:r>
        <w:rPr>
          <w:lang w:val="en_US" w:bidi="en_US"/>
        </w:rPr>
      </w:r>
      <w:r>
        <w:rPr>
          <w:b/>
          <w:lang w:val="en_US" w:bidi="en_US"/>
        </w:rPr>
        <w:t>A man of noble birth:</w:t>
      </w:r>
      <w:r>
        <w:rPr>
          <w:lang w:val="en_US" w:bidi="en_US"/>
        </w:rPr>
        <w:t xml:space="preserve"> The Greek phrase that the BSB translates as </w:t>
      </w:r>
      <w:r>
        <w:rPr>
          <w:i/>
          <w:lang w:val="en_US" w:bidi="en_US"/>
        </w:rPr>
        <w:t>A man of noble birth</w:t>
      </w:r>
      <w:r>
        <w:rPr>
          <w:lang w:val="en_US" w:bidi="en_US"/>
        </w:rPr>
        <w:t xml:space="preserve"> refers to a man who was born into an important family. He had high social status. In this context the man was going to become king, so some English versions have translated the word as “prince” (CEV, GW). Some other ways to translate it are:</w:t>
      </w:r>
    </w:p>
    <w:p>
      <w:pPr/>
      <w:r>
        <w:rPr>
          <w:lang w:val="en_US" w:bidi="en_US"/>
        </w:rPr>
      </w:r>
      <w:r>
        <w:rPr>
          <w:lang w:val="en_US" w:bidi="en_US"/>
        </w:rPr>
        <w:t>A very important man (NCV)</w:t>
      </w:r>
    </w:p>
    <w:p>
      <w:pPr/>
      <w:r>
        <w:rPr>
          <w:lang w:val="en_US" w:bidi="en_US"/>
        </w:rPr>
      </w:r>
      <w:r>
        <w:rPr>
          <w:lang w:val="en_US" w:bidi="en_US"/>
        </w:rPr>
        <w:t>A man of high rank/status</w:t>
      </w:r>
    </w:p>
    <w:p>
      <w:pPr/>
      <w:r>
        <w:rPr>
          <w:lang w:val="en_US" w:bidi="en_US"/>
        </w:rPr>
      </w:r>
      <w:r>
        <w:rPr>
          <w:lang w:val="en_US" w:bidi="en_US"/>
        </w:rPr>
        <w:t>A man from an important/ruling family</w:t>
      </w:r>
    </w:p>
    <w:p>
      <w:pPr>
        <w:pStyle w:val="Heading5"/>
      </w:pPr>
      <w:r>
        <w:rPr>
          <w:lang w:val="en_US" w:bidi="en_US"/>
        </w:rPr>
        <w:t>19:12b</w:t>
      </w:r>
    </w:p>
    <w:p>
      <w:pPr/>
      <w:r>
        <w:rPr>
          <w:lang w:val="en_US" w:bidi="en_US"/>
        </w:rPr>
      </w:r>
      <w:r>
        <w:rPr>
          <w:b/>
          <w:lang w:val="en_US" w:bidi="en_US"/>
        </w:rPr>
        <w:t>went to a distant country</w:t>
      </w:r>
    </w:p>
    <w:p>
      <w:pPr>
        <w:pStyle w:val="ListBullet"/>
        <w:spacing w:line="240" w:lineRule="auto"/>
        <w:ind w:left="720"/>
      </w:pPr>
      <w:r>
        <w:rPr>
          <w:lang w:val="en_US" w:bidi="en_US"/>
        </w:rPr>
      </w:r>
      <w:r>
        <w:rPr>
          <w:lang w:val="en_US" w:bidi="en_US"/>
        </w:rPr>
        <w:t>prepared to</w:t>
      </w:r>
      <w:r>
        <w:rPr>
          <w:lang w:val="en_US" w:bidi="en_US"/>
        </w:rPr>
        <w:t xml:space="preserve"> go to another country far away.</w:t>
      </w:r>
    </w:p>
    <w:p>
      <w:pPr>
        <w:pStyle w:val="ListBullet"/>
        <w:spacing w:line="240" w:lineRule="auto"/>
        <w:ind w:left="720"/>
      </w:pPr>
      <w:r>
        <w:rPr>
          <w:lang w:val="en_US" w:bidi="en_US"/>
        </w:rPr>
      </w:r>
      <w:r>
        <w:rPr>
          <w:lang w:val="en_US" w:bidi="en_US"/>
        </w:rPr>
        <w:t>planned to</w:t>
      </w:r>
      <w:r>
        <w:rPr>
          <w:lang w:val="en_US" w:bidi="en_US"/>
        </w:rPr>
        <w:t xml:space="preserve"> travel to a far country</w:t>
      </w:r>
    </w:p>
    <w:p>
      <w:pPr/>
      <w:r>
        <w:rPr>
          <w:lang w:val="en_US" w:bidi="en_US"/>
        </w:rPr>
      </w:r>
      <w:r>
        <w:rPr>
          <w:b/>
          <w:lang w:val="en_US" w:bidi="en_US"/>
        </w:rPr>
        <w:t>went to a distant country:</w:t>
      </w:r>
      <w:r>
        <w:rPr>
          <w:lang w:val="en_US" w:bidi="en_US"/>
        </w:rPr>
        <w:t xml:space="preserve"> In this context the word </w:t>
      </w:r>
      <w:r>
        <w:rPr>
          <w:i/>
          <w:lang w:val="en_US" w:bidi="en_US"/>
        </w:rPr>
        <w:t>went</w:t>
      </w:r>
      <w:r>
        <w:rPr>
          <w:lang w:val="en_US" w:bidi="en_US"/>
        </w:rPr>
        <w:t xml:space="preserve"> indicates that he prepared to go. The nobleman needed to travel to another country. However, in 19:13 he was still in his own country. He was giving his servants instructions about what to do after he left.</w:t>
      </w:r>
    </w:p>
    <w:p>
      <w:pPr/>
      <w:r>
        <w:rPr>
          <w:lang w:val="en_US" w:bidi="en_US"/>
        </w:rPr>
      </w:r>
      <w:r>
        <w:rPr>
          <w:lang w:val="en_US" w:bidi="en_US"/>
        </w:rPr>
        <w:t>In some languages it may be more natural to change the order of information in these verses. See the General Comment on 19:12–13 at the end of 19:13d for suggestions.</w:t>
      </w:r>
    </w:p>
    <w:p>
      <w:pPr/>
      <w:r>
        <w:rPr>
          <w:lang w:val="en_US" w:bidi="en_US"/>
        </w:rPr>
      </w:r>
      <w:r>
        <w:rPr>
          <w:b/>
          <w:lang w:val="en_US" w:bidi="en_US"/>
        </w:rPr>
        <w:t>a distant country:</w:t>
      </w:r>
      <w:r>
        <w:rPr>
          <w:lang w:val="en_US" w:bidi="en_US"/>
        </w:rPr>
        <w:t xml:space="preserve"> The Greek word that the BSB translates as </w:t>
      </w:r>
      <w:r>
        <w:rPr>
          <w:i/>
          <w:lang w:val="en_US" w:bidi="en_US"/>
        </w:rPr>
        <w:t>distant</w:t>
      </w:r>
      <w:r>
        <w:rPr>
          <w:lang w:val="en_US" w:bidi="en_US"/>
        </w:rPr>
        <w:t xml:space="preserve"> indicates that this </w:t>
      </w:r>
      <w:r>
        <w:rPr>
          <w:i/>
          <w:lang w:val="en_US" w:bidi="en_US"/>
        </w:rPr>
        <w:t>country</w:t>
      </w:r>
      <w:r>
        <w:rPr>
          <w:lang w:val="en_US" w:bidi="en_US"/>
        </w:rPr>
        <w:t xml:space="preserve"> was “far away.” This country was so far away from the nobleman’s homeland that people knew it would be a long time before he would return home.</w:t>
      </w:r>
    </w:p>
    <w:p>
      <w:pPr>
        <w:pStyle w:val="Heading5"/>
      </w:pPr>
      <w:r>
        <w:rPr>
          <w:lang w:val="en_US" w:bidi="en_US"/>
        </w:rPr>
        <w:t>19:12c</w:t>
      </w:r>
    </w:p>
    <w:p>
      <w:pPr/>
      <w:r>
        <w:rPr>
          <w:lang w:val="en_US" w:bidi="en_US"/>
        </w:rPr>
      </w:r>
      <w:r>
        <w:rPr>
          <w:b/>
          <w:lang w:val="en_US" w:bidi="en_US"/>
        </w:rPr>
        <w:t>to lay claim to his kingship</w:t>
      </w:r>
    </w:p>
    <w:p>
      <w:pPr>
        <w:pStyle w:val="ListBullet"/>
        <w:spacing w:line="240" w:lineRule="auto"/>
        <w:ind w:left="720"/>
      </w:pPr>
      <w:r>
        <w:rPr>
          <w:lang w:val="en_US" w:bidi="en_US"/>
        </w:rPr>
      </w:r>
      <w:r>
        <w:rPr>
          <w:lang w:val="en_US" w:bidi="en_US"/>
        </w:rPr>
        <w:t xml:space="preserve">He was going there to receive the right to rule </w:t>
      </w:r>
      <w:r>
        <w:rPr>
          <w:lang w:val="en_US" w:bidi="en_US"/>
        </w:rPr>
        <w:t>his country</w:t>
      </w:r>
      <w:r>
        <w:rPr>
          <w:lang w:val="en_US" w:bidi="en_US"/>
        </w:rPr>
        <w:t xml:space="preserve"> as king.</w:t>
      </w:r>
    </w:p>
    <w:p>
      <w:pPr>
        <w:pStyle w:val="ListBullet"/>
        <w:spacing w:line="240" w:lineRule="auto"/>
        <w:ind w:left="720"/>
      </w:pPr>
      <w:r>
        <w:rPr>
          <w:lang w:val="en_US" w:bidi="en_US"/>
        </w:rPr>
      </w:r>
      <w:r>
        <w:rPr>
          <w:lang w:val="en_US" w:bidi="en_US"/>
        </w:rPr>
        <w:t xml:space="preserve">so that </w:t>
      </w:r>
      <w:r>
        <w:rPr>
          <w:lang w:val="en_US" w:bidi="en_US"/>
        </w:rPr>
        <w:t>the emperor</w:t>
      </w:r>
      <w:r>
        <w:rPr>
          <w:lang w:val="en_US" w:bidi="en_US"/>
        </w:rPr>
        <w:t xml:space="preserve"> could appoint/crown him to be a king.</w:t>
      </w:r>
    </w:p>
    <w:p>
      <w:pPr/>
      <w:r>
        <w:rPr>
          <w:lang w:val="en_US" w:bidi="en_US"/>
        </w:rPr>
      </w:r>
      <w:r>
        <w:rPr>
          <w:b/>
          <w:lang w:val="en_US" w:bidi="en_US"/>
        </w:rPr>
        <w:t>to lay claim to his kingship:</w:t>
      </w:r>
      <w:r>
        <w:rPr>
          <w:lang w:val="en_US" w:bidi="en_US"/>
        </w:rPr>
        <w:t xml:space="preserve"> The Greek phrase that the BSB translates as </w:t>
      </w:r>
      <w:r>
        <w:rPr>
          <w:i/>
          <w:lang w:val="en_US" w:bidi="en_US"/>
        </w:rPr>
        <w:t>to lay claim to his kingship</w:t>
      </w:r>
      <w:r>
        <w:rPr>
          <w:lang w:val="en_US" w:bidi="en_US"/>
        </w:rPr>
        <w:t xml:space="preserve"> is more literally “to receive a kingdom.” The RSV and several other English versions translate it that way. The context shows that he wanted to be appointed as king of his own country.</w:t>
      </w:r>
      <w:r>
        <w:rPr>
          <w:lang w:val="en_US" w:bidi="en_US"/>
        </w:rPr>
        <w:t>This action was similar to what happened in the Roman Empire at that time. Kings ruled under the authority of the Roman emperor, who could appoint the kings of the various countries. In the parable the ruler represents God.</w:t>
      </w:r>
      <w:r>
        <w:rPr>
          <w:lang w:val="en_US" w:bidi="en_US"/>
        </w:rPr>
        <w:t xml:space="preserve"> He was not going to begin ruling a kingdom far away from his home. Some ways to make this clear are:</w:t>
      </w:r>
    </w:p>
    <w:p>
      <w:pPr/>
      <w:r>
        <w:rPr>
          <w:lang w:val="en_US" w:bidi="en_US"/>
        </w:rPr>
      </w:r>
      <w:r>
        <w:rPr>
          <w:lang w:val="en_US" w:bidi="en_US"/>
        </w:rPr>
        <w:t xml:space="preserve">A man of noble birth went to a distant country to receive authority to become king </w:t>
      </w:r>
      <w:r>
        <w:rPr>
          <w:lang w:val="en_US" w:bidi="en_US"/>
        </w:rPr>
        <w:t>of his own country</w:t>
      </w:r>
    </w:p>
    <w:p>
      <w:pPr/>
      <w:r>
        <w:rPr>
          <w:lang w:val="en_US" w:bidi="en_US"/>
        </w:rPr>
      </w:r>
      <w:r>
        <w:rPr>
          <w:lang w:val="en_US" w:bidi="en_US"/>
        </w:rPr>
        <w:t>A man of noble birth intended to go to a distant country to be given authority to rule his own people as their king.</w:t>
      </w:r>
    </w:p>
    <w:p>
      <w:pPr/>
      <w:r>
        <w:rPr>
          <w:lang w:val="en_US" w:bidi="en_US"/>
        </w:rPr>
      </w:r>
      <w:r>
        <w:rPr>
          <w:lang w:val="en_US" w:bidi="en_US"/>
        </w:rPr>
        <w:t>The text does not make explicit who would give the nobleman authority to be king. However, the context implies that there was an emperor, a great king, who had many other kings under his authority. In some languages it is necessary to make this explicit. For example:</w:t>
      </w:r>
    </w:p>
    <w:p>
      <w:pPr/>
      <w:r>
        <w:rPr>
          <w:lang w:val="en_US" w:bidi="en_US"/>
        </w:rPr>
      </w:r>
      <w:r>
        <w:rPr>
          <w:lang w:val="en_US" w:bidi="en_US"/>
        </w:rPr>
        <w:t xml:space="preserve">to receive authority </w:t>
      </w:r>
      <w:r>
        <w:rPr>
          <w:lang w:val="en_US" w:bidi="en_US"/>
        </w:rPr>
        <w:t>from the high king/chief</w:t>
      </w:r>
      <w:r>
        <w:rPr>
          <w:lang w:val="en_US" w:bidi="en_US"/>
        </w:rPr>
        <w:t xml:space="preserve"> to be king/chief </w:t>
      </w:r>
      <w:r>
        <w:rPr>
          <w:lang w:val="en_US" w:bidi="en_US"/>
        </w:rPr>
        <w:t>of his own country</w:t>
      </w:r>
    </w:p>
    <w:p>
      <w:pPr>
        <w:pStyle w:val="Heading5"/>
      </w:pPr>
      <w:r>
        <w:rPr>
          <w:lang w:val="en_US" w:bidi="en_US"/>
        </w:rPr>
        <w:t>19:12d</w:t>
      </w:r>
    </w:p>
    <w:p>
      <w:pPr/>
      <w:r>
        <w:rPr>
          <w:lang w:val="en_US" w:bidi="en_US"/>
        </w:rPr>
      </w:r>
      <w:r>
        <w:rPr>
          <w:b/>
          <w:lang w:val="en_US" w:bidi="en_US"/>
        </w:rPr>
        <w:t>and then return.</w:t>
      </w:r>
    </w:p>
    <w:p>
      <w:pPr>
        <w:pStyle w:val="ListBullet"/>
        <w:spacing w:line="240" w:lineRule="auto"/>
        <w:ind w:left="720"/>
      </w:pPr>
      <w:r>
        <w:rPr>
          <w:lang w:val="en_US" w:bidi="en_US"/>
        </w:rPr>
      </w:r>
      <w:r>
        <w:rPr>
          <w:lang w:val="en_US" w:bidi="en_US"/>
        </w:rPr>
        <w:t xml:space="preserve">Then he would return </w:t>
      </w:r>
      <w:r>
        <w:rPr>
          <w:lang w:val="en_US" w:bidi="en_US"/>
        </w:rPr>
        <w:t>home</w:t>
      </w:r>
      <w:r>
        <w:rPr>
          <w:lang w:val="en_US" w:bidi="en_US"/>
        </w:rPr>
        <w:t>.</w:t>
      </w:r>
    </w:p>
    <w:p>
      <w:pPr>
        <w:pStyle w:val="ListBullet"/>
        <w:spacing w:line="240" w:lineRule="auto"/>
        <w:ind w:left="720"/>
      </w:pPr>
      <w:r>
        <w:rPr>
          <w:lang w:val="en_US" w:bidi="en_US"/>
        </w:rPr>
      </w:r>
      <w:r>
        <w:rPr>
          <w:lang w:val="en_US" w:bidi="en_US"/>
        </w:rPr>
        <w:t xml:space="preserve">Then he planned to return </w:t>
      </w:r>
      <w:r>
        <w:rPr>
          <w:lang w:val="en_US" w:bidi="en_US"/>
        </w:rPr>
        <w:t>and rule his own land</w:t>
      </w:r>
      <w:r>
        <w:rPr>
          <w:lang w:val="en_US" w:bidi="en_US"/>
        </w:rPr>
        <w:t>.</w:t>
      </w:r>
    </w:p>
    <w:p>
      <w:pPr/>
      <w:r>
        <w:rPr>
          <w:lang w:val="en_US" w:bidi="en_US"/>
        </w:rPr>
      </w:r>
      <w:r>
        <w:rPr>
          <w:b/>
          <w:lang w:val="en_US" w:bidi="en_US"/>
        </w:rPr>
        <w:t>and then return:</w:t>
      </w:r>
      <w:r>
        <w:rPr>
          <w:lang w:val="en_US" w:bidi="en_US"/>
        </w:rPr>
        <w:t xml:space="preserve"> The words </w:t>
      </w:r>
      <w:r>
        <w:rPr>
          <w:i/>
          <w:lang w:val="en_US" w:bidi="en_US"/>
        </w:rPr>
        <w:t>and then</w:t>
      </w:r>
      <w:r>
        <w:rPr>
          <w:lang w:val="en_US" w:bidi="en_US"/>
        </w:rPr>
        <w:t xml:space="preserve"> refer to the time after the nobleman had received authority. Then he would return to rule his own country. In some languages it may be helpful to make this more explicit. For example:</w:t>
      </w:r>
    </w:p>
    <w:p>
      <w:pPr/>
      <w:r>
        <w:rPr>
          <w:lang w:val="en_US" w:bidi="en_US"/>
        </w:rPr>
      </w:r>
      <w:r>
        <w:rPr>
          <w:lang w:val="en_US" w:bidi="en_US"/>
        </w:rPr>
        <w:t xml:space="preserve">After </w:t>
      </w:r>
      <w:r>
        <w:rPr>
          <w:lang w:val="en_US" w:bidi="en_US"/>
        </w:rPr>
        <w:t>he received the authority</w:t>
      </w:r>
      <w:r>
        <w:rPr>
          <w:lang w:val="en_US" w:bidi="en_US"/>
        </w:rPr>
        <w:t>, he would return.</w:t>
      </w:r>
    </w:p>
    <w:p>
      <w:pPr/>
      <w:r>
        <w:rPr>
          <w:lang w:val="en_US" w:bidi="en_US"/>
        </w:rPr>
      </w:r>
      <w:r>
        <w:rPr>
          <w:lang w:val="en_US" w:bidi="en_US"/>
        </w:rPr>
        <w:t xml:space="preserve">When </w:t>
      </w:r>
      <w:r>
        <w:rPr>
          <w:lang w:val="en_US" w:bidi="en_US"/>
        </w:rPr>
        <w:t>he was appointed</w:t>
      </w:r>
      <w:r>
        <w:rPr>
          <w:lang w:val="en_US" w:bidi="en_US"/>
        </w:rPr>
        <w:t xml:space="preserve">, he would return </w:t>
      </w:r>
      <w:r>
        <w:rPr>
          <w:lang w:val="en_US" w:bidi="en_US"/>
        </w:rPr>
        <w:t>home</w:t>
      </w:r>
      <w:r>
        <w:rPr>
          <w:lang w:val="en_US" w:bidi="en_US"/>
        </w:rPr>
        <w:t xml:space="preserve"> </w:t>
      </w:r>
      <w:r>
        <w:rPr>
          <w:lang w:val="en_US" w:bidi="en_US"/>
        </w:rPr>
        <w:t>to rule</w:t>
      </w:r>
      <w:r>
        <w:rPr>
          <w:lang w:val="en_US" w:bidi="en_US"/>
        </w:rPr>
        <w:t>.</w:t>
      </w:r>
      <w:r>
        <w:rPr>
          <w:lang w:val="en_US" w:bidi="en_US"/>
        </w:rPr>
      </w:r>
      <w:r>
        <w:rPr>
          <w:lang w:val="en_US" w:bidi="en_US"/>
        </w:rPr>
      </w:r>
    </w:p>
    <w:p>
      <w:pPr/>
      <w:r>
        <w:rPr>
          <w:lang w:val="en_US" w:bidi="en_US"/>
        </w:rPr>
      </w:r>
    </w:p>
    <w:p>
      <w:pPr>
        <w:pStyle w:val="Heading2"/>
      </w:pPr>
      <w:r>
        <w:rPr>
          <w:lang w:val="en_US" w:bidi="en_US"/>
        </w:rPr>
        <w:t>Luke 19:13</w:t>
      </w:r>
      <w:r>
        <w:rPr>
          <w:lang w:val="en_US" w:bidi="en_US"/>
        </w:rPr>
      </w:r>
    </w:p>
    <w:p>
      <w:pPr>
        <w:pStyle w:val="Heading4"/>
      </w:pPr>
      <w:r>
        <w:rPr>
          <w:lang w:val="en_US" w:bidi="en_US"/>
        </w:rPr>
        <w:t>Section 19:11–27: Jesus told a parable about a king and his ten servants</w:t>
      </w:r>
    </w:p>
    <w:p>
      <w:pPr/>
      <w:r>
        <w:rPr>
          <w:lang w:val="en_US" w:bidi="en_US"/>
        </w:rPr>
      </w:r>
      <w:r>
        <w:rPr>
          <w:lang w:val="en_US" w:bidi="en_US"/>
        </w:rPr>
        <w:t>Many of Jesus’ followers expected that when they arrived in Jerusalem, Jesus would establish the kingdom of God and begin to reign as king. He told the parable in this section to help them understand that events would happen differently than they expected.</w:t>
      </w:r>
    </w:p>
    <w:p>
      <w:pPr/>
      <w:r>
        <w:rPr>
          <w:lang w:val="en_US" w:bidi="en_US"/>
        </w:rPr>
      </w:r>
      <w:r>
        <w:rPr>
          <w:lang w:val="en_US" w:bidi="en_US"/>
        </w:rPr>
        <w:t>There are two main ideas that Jesus taught through this parable:</w:t>
      </w:r>
    </w:p>
    <w:p>
      <w:pPr>
        <w:pStyle w:val="ListNumber"/>
        <w:numPr>
          <w:ilvl w:val="0"/>
          <w:numId w:val="313"/>
        </w:numPr>
        <w:spacing w:line="240" w:lineRule="auto"/>
        <w:ind w:left="720"/>
      </w:pPr>
      <w:r>
        <w:rPr>
          <w:lang w:val="en_US" w:bidi="en_US"/>
        </w:rPr>
      </w:r>
      <w:r>
        <w:rPr>
          <w:lang w:val="en_US" w:bidi="en_US"/>
        </w:rP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Pr>
          <w:lang w:val="en_US" w:bidi="en_US"/>
        </w:rPr>
      </w:r>
      <w:r>
        <w:rPr>
          <w:lang w:val="en_US" w:bidi="en_US"/>
        </w:rPr>
        <w:t>While Jesus is gone, his disciples must serve him faithfully and use whatever he has given them to glorify him.</w:t>
      </w:r>
    </w:p>
    <w:p>
      <w:pPr/>
      <w:r>
        <w:rPr>
          <w:lang w:val="en_US" w:bidi="en_US"/>
        </w:rPr>
      </w:r>
      <w:r>
        <w:rPr>
          <w:lang w:val="en_US" w:bidi="en_US"/>
        </w:rPr>
        <w:t>Other examples of headings for this section are:</w:t>
      </w:r>
    </w:p>
    <w:p>
      <w:pPr/>
      <w:r>
        <w:rPr>
          <w:lang w:val="en_US" w:bidi="en_US"/>
        </w:rPr>
      </w:r>
      <w:r>
        <w:rPr>
          <w:lang w:val="en_US" w:bidi="en_US"/>
        </w:rPr>
        <w:t>The Parable of the Gold Coins (GNT)</w:t>
      </w:r>
    </w:p>
    <w:p>
      <w:pPr/>
      <w:r>
        <w:rPr>
          <w:lang w:val="en_US" w:bidi="en_US"/>
        </w:rPr>
      </w:r>
      <w:r>
        <w:rPr>
          <w:lang w:val="en_US" w:bidi="en_US"/>
        </w:rPr>
        <w:t>Jesus told a parable about ten servants</w:t>
      </w:r>
    </w:p>
    <w:p>
      <w:pPr/>
      <w:r>
        <w:rPr>
          <w:lang w:val="en_US" w:bidi="en_US"/>
        </w:rPr>
      </w:r>
      <w:r>
        <w:rPr>
          <w:lang w:val="en_US" w:bidi="en_US"/>
        </w:rPr>
        <w:t>A parallel passage to this section is found in Matthew 25:14–30.</w:t>
      </w:r>
    </w:p>
    <w:p>
      <w:pPr>
        <w:pStyle w:val="Heading5"/>
      </w:pPr>
      <w:r>
        <w:rPr>
          <w:lang w:val="en_US" w:bidi="en_US"/>
        </w:rPr>
        <w:t>19:13a</w:t>
      </w:r>
    </w:p>
    <w:p>
      <w:pPr/>
      <w:r>
        <w:rPr>
          <w:lang w:val="en_US" w:bidi="en_US"/>
        </w:rPr>
      </w:r>
      <w:r>
        <w:rPr>
          <w:b/>
          <w:lang w:val="en_US" w:bidi="en_US"/>
        </w:rPr>
        <w:t>Beforehand, he called ten of his servants</w:t>
      </w:r>
    </w:p>
    <w:p>
      <w:pPr>
        <w:pStyle w:val="ListBullet"/>
        <w:spacing w:line="240" w:lineRule="auto"/>
        <w:ind w:left="720"/>
      </w:pPr>
      <w:r>
        <w:rPr>
          <w:lang w:val="en_US" w:bidi="en_US"/>
        </w:rPr>
      </w:r>
      <w:r>
        <w:rPr>
          <w:lang w:val="en_US" w:bidi="en_US"/>
        </w:rPr>
        <w:t>So he called for ten of his servants,</w:t>
      </w:r>
    </w:p>
    <w:p>
      <w:pPr>
        <w:pStyle w:val="ListBullet"/>
        <w:spacing w:line="240" w:lineRule="auto"/>
        <w:ind w:left="720"/>
      </w:pPr>
      <w:r>
        <w:rPr>
          <w:lang w:val="en_US" w:bidi="en_US"/>
        </w:rPr>
      </w:r>
      <w:r>
        <w:rPr>
          <w:lang w:val="en_US" w:bidi="en_US"/>
        </w:rPr>
        <w:t>Before he left,</w:t>
      </w:r>
      <w:r>
        <w:rPr>
          <w:lang w:val="en_US" w:bidi="en_US"/>
        </w:rPr>
        <w:t xml:space="preserve"> he ordered ten of his servants to come to him.</w:t>
      </w:r>
    </w:p>
    <w:p>
      <w:pPr/>
      <w:r>
        <w:rPr>
          <w:lang w:val="en_US" w:bidi="en_US"/>
        </w:rPr>
      </w:r>
      <w:r>
        <w:rPr>
          <w:b/>
          <w:lang w:val="en_US" w:bidi="en_US"/>
        </w:rPr>
        <w:t>Beforehand:</w:t>
      </w:r>
      <w:r>
        <w:rPr>
          <w:lang w:val="en_US" w:bidi="en_US"/>
        </w:rPr>
        <w:t xml:space="preserve"> This verse tells what the nobleman did to prepare for his trip. It begins with a conjunction that the BSB translates as </w:t>
      </w:r>
      <w:r>
        <w:rPr>
          <w:i/>
          <w:lang w:val="en_US" w:bidi="en_US"/>
        </w:rPr>
        <w:t>Beforehand</w:t>
      </w:r>
      <w:r>
        <w:rPr>
          <w:lang w:val="en_US" w:bidi="en_US"/>
        </w:rPr>
        <w:t>. Some other versions say similarly:</w:t>
      </w:r>
    </w:p>
    <w:p>
      <w:pPr/>
      <w:r>
        <w:rPr>
          <w:lang w:val="en_US" w:bidi="en_US"/>
        </w:rPr>
      </w:r>
      <w:r>
        <w:rPr>
          <w:lang w:val="en_US" w:bidi="en_US"/>
        </w:rPr>
        <w:t>Before he left (GNT)</w:t>
      </w:r>
    </w:p>
    <w:p>
      <w:pPr/>
      <w:r>
        <w:rPr>
          <w:lang w:val="en_US" w:bidi="en_US"/>
        </w:rPr>
      </w:r>
      <w:r>
        <w:rPr>
          <w:lang w:val="en_US" w:bidi="en_US"/>
        </w:rPr>
        <w:t>But before leaving (CEV)</w:t>
      </w:r>
    </w:p>
    <w:p>
      <w:pPr/>
      <w:r>
        <w:rPr>
          <w:lang w:val="en_US" w:bidi="en_US"/>
        </w:rPr>
      </w:r>
      <w:r>
        <w:rPr>
          <w:lang w:val="en_US" w:bidi="en_US"/>
        </w:rPr>
        <w:t>In some languages it may be more natural to introduce the verse in a different way. The NIV translates the conjunction as “So” to indicate that the nobleman did the things in this verse in preparation for his trip. Some English versions do not use an introductory word or phrase here. Do what is natural in your language for this context.</w:t>
      </w:r>
    </w:p>
    <w:p>
      <w:pPr/>
      <w:r>
        <w:rPr>
          <w:lang w:val="en_US" w:bidi="en_US"/>
        </w:rPr>
      </w:r>
      <w:r>
        <w:rPr>
          <w:b/>
          <w:lang w:val="en_US" w:bidi="en_US"/>
        </w:rPr>
        <w:t>he called:</w:t>
      </w:r>
      <w:r>
        <w:rPr>
          <w:lang w:val="en_US" w:bidi="en_US"/>
        </w:rPr>
        <w:t xml:space="preserve"> The phrase </w:t>
      </w:r>
      <w:r>
        <w:rPr>
          <w:i/>
          <w:lang w:val="en_US" w:bidi="en_US"/>
        </w:rPr>
        <w:t>he called</w:t>
      </w:r>
      <w:r>
        <w:rPr>
          <w:lang w:val="en_US" w:bidi="en_US"/>
        </w:rPr>
        <w:t xml:space="preserve"> indicates that the nobleman summoned the servants to come to him. He may have sent another servant to call them.</w:t>
      </w:r>
    </w:p>
    <w:p>
      <w:pPr/>
      <w:r>
        <w:rPr>
          <w:lang w:val="en_US" w:bidi="en_US"/>
        </w:rPr>
      </w:r>
      <w:r>
        <w:rPr>
          <w:b/>
          <w:lang w:val="en_US" w:bidi="en_US"/>
        </w:rPr>
        <w:t>ten of his servants:</w:t>
      </w:r>
      <w:r>
        <w:rPr>
          <w:lang w:val="en_US" w:bidi="en_US"/>
        </w:rPr>
        <w:t xml:space="preserve"> The phrase </w:t>
      </w:r>
      <w:r>
        <w:rPr>
          <w:i/>
          <w:lang w:val="en_US" w:bidi="en_US"/>
        </w:rPr>
        <w:t>ten of his servants</w:t>
      </w:r>
      <w:r>
        <w:rPr>
          <w:lang w:val="en_US" w:bidi="en_US"/>
        </w:rPr>
        <w:t xml:space="preserve"> implies that the nobleman had more than ten servants. The ten servants mentioned were probably leaders among the other servants. They probably understood business matters and how to manage money.</w:t>
      </w:r>
    </w:p>
    <w:p>
      <w:pPr/>
      <w:r>
        <w:rPr>
          <w:lang w:val="en_US" w:bidi="en_US"/>
        </w:rPr>
      </w:r>
      <w:r>
        <w:rPr>
          <w:b/>
          <w:lang w:val="en_US" w:bidi="en_US"/>
        </w:rPr>
        <w:t>servants:</w:t>
      </w:r>
      <w:r>
        <w:rPr>
          <w:lang w:val="en_US" w:bidi="en_US"/>
        </w:rPr>
        <w:t xml:space="preserve"> The Greek word that the BSB translates as </w:t>
      </w:r>
      <w:r>
        <w:rPr>
          <w:i/>
          <w:lang w:val="en_US" w:bidi="en_US"/>
        </w:rPr>
        <w:t>servants</w:t>
      </w:r>
      <w:r>
        <w:rPr>
          <w:lang w:val="en_US" w:bidi="en_US"/>
        </w:rPr>
        <w:t xml:space="preserve"> is literally “slaves.” It refers to men who served and obeyed a master without pay. This word also occurred in 15:22.</w:t>
      </w:r>
    </w:p>
    <w:p>
      <w:pPr>
        <w:pStyle w:val="Heading5"/>
      </w:pPr>
      <w:r>
        <w:rPr>
          <w:lang w:val="en_US" w:bidi="en_US"/>
        </w:rPr>
        <w:t>19:13b</w:t>
      </w:r>
    </w:p>
    <w:p>
      <w:pPr/>
      <w:r>
        <w:rPr>
          <w:lang w:val="en_US" w:bidi="en_US"/>
        </w:rPr>
      </w:r>
      <w:r>
        <w:rPr>
          <w:b/>
          <w:lang w:val="en_US" w:bidi="en_US"/>
        </w:rPr>
        <w:t>and gave them ten minas.</w:t>
      </w:r>
    </w:p>
    <w:p>
      <w:pPr>
        <w:pStyle w:val="ListBullet"/>
        <w:spacing w:line="240" w:lineRule="auto"/>
        <w:ind w:left="720"/>
      </w:pPr>
      <w:r>
        <w:rPr>
          <w:lang w:val="en_US" w:bidi="en_US"/>
        </w:rPr>
      </w:r>
      <w:r>
        <w:rPr>
          <w:lang w:val="en_US" w:bidi="en_US"/>
        </w:rPr>
        <w:t xml:space="preserve">and he entrusted one valuable coin to </w:t>
      </w:r>
      <w:r>
        <w:rPr>
          <w:lang w:val="en_US" w:bidi="en_US"/>
        </w:rPr>
        <w:t>each of</w:t>
      </w:r>
      <w:r>
        <w:rPr>
          <w:lang w:val="en_US" w:bidi="en_US"/>
        </w:rPr>
        <w:t xml:space="preserve"> them.</w:t>
      </w:r>
    </w:p>
    <w:p>
      <w:pPr>
        <w:pStyle w:val="ListBullet"/>
        <w:spacing w:line="240" w:lineRule="auto"/>
        <w:ind w:left="720"/>
      </w:pPr>
      <w:r>
        <w:rPr>
          <w:lang w:val="en_US" w:bidi="en_US"/>
        </w:rPr>
      </w:r>
      <w:r>
        <w:rPr>
          <w:lang w:val="en_US" w:bidi="en_US"/>
        </w:rPr>
        <w:t>When they came,</w:t>
      </w:r>
      <w:r>
        <w:rPr>
          <w:lang w:val="en_US" w:bidi="en_US"/>
        </w:rPr>
        <w:t xml:space="preserve"> he gave/handed </w:t>
      </w:r>
      <w:r>
        <w:rPr>
          <w:lang w:val="en_US" w:bidi="en_US"/>
        </w:rPr>
        <w:t>each of</w:t>
      </w:r>
      <w:r>
        <w:rPr>
          <w:lang w:val="en_US" w:bidi="en_US"/>
        </w:rPr>
        <w:t xml:space="preserve"> them money. </w:t>
      </w:r>
      <w:r>
        <w:rPr>
          <w:lang w:val="en_US" w:bidi="en_US"/>
        </w:rPr>
        <w:t>This money was as much as a worker would be paid for working one hundred days.</w:t>
      </w:r>
    </w:p>
    <w:p>
      <w:pPr/>
      <w:r>
        <w:rPr>
          <w:lang w:val="en_US" w:bidi="en_US"/>
        </w:rPr>
      </w:r>
      <w:r>
        <w:rPr>
          <w:b/>
          <w:lang w:val="en_US" w:bidi="en_US"/>
        </w:rPr>
        <w:t>and gave them ten minas:</w:t>
      </w:r>
      <w:r>
        <w:rPr>
          <w:lang w:val="en_US" w:bidi="en_US"/>
        </w:rPr>
        <w:t xml:space="preserve"> In this parable, the phrase </w:t>
      </w:r>
      <w:r>
        <w:rPr>
          <w:i/>
          <w:lang w:val="en_US" w:bidi="en_US"/>
        </w:rPr>
        <w:t>and gave them ten minas</w:t>
      </w:r>
      <w:r>
        <w:rPr>
          <w:lang w:val="en_US" w:bidi="en_US"/>
        </w:rPr>
        <w:t xml:space="preserve"> indicates that the nobleman gave </w:t>
      </w:r>
      <w:r>
        <w:rPr>
          <w:i/>
          <w:lang w:val="en_US" w:bidi="en_US"/>
        </w:rPr>
        <w:t>minas</w:t>
      </w:r>
      <w:r>
        <w:rPr>
          <w:lang w:val="en_US" w:bidi="en_US"/>
        </w:rPr>
        <w:t xml:space="preserve"> (money) to the servants to manage. The nobleman wanted the ten servants to use the money to make more money for him. The money did not to belong to the servants. It still belonged to the nobleman. One way to translate this is:</w:t>
      </w:r>
    </w:p>
    <w:p>
      <w:pPr/>
      <w:r>
        <w:rPr>
          <w:lang w:val="en_US" w:bidi="en_US"/>
        </w:rPr>
      </w:r>
      <w:r>
        <w:rPr>
          <w:lang w:val="en_US" w:bidi="en_US"/>
        </w:rPr>
        <w:t>entrusted them with ten minas to manage</w:t>
      </w:r>
    </w:p>
    <w:p>
      <w:pPr/>
      <w:r>
        <w:rPr>
          <w:lang w:val="en_US" w:bidi="en_US"/>
        </w:rPr>
      </w:r>
      <w:r>
        <w:rPr>
          <w:lang w:val="en_US" w:bidi="en_US"/>
        </w:rPr>
        <w:t>In some languages there may be an idiom to describe this. For example:</w:t>
      </w:r>
    </w:p>
    <w:p>
      <w:pPr/>
      <w:r>
        <w:rPr>
          <w:lang w:val="en_US" w:bidi="en_US"/>
        </w:rPr>
      </w:r>
      <w:r>
        <w:rPr>
          <w:lang w:val="en_US" w:bidi="en_US"/>
        </w:rPr>
        <w:t>put ten minas into their hands/care</w:t>
      </w:r>
    </w:p>
    <w:p>
      <w:pPr/>
      <w:r>
        <w:rPr>
          <w:lang w:val="en_US" w:bidi="en_US"/>
        </w:rPr>
      </w:r>
      <w:r>
        <w:rPr>
          <w:lang w:val="en_US" w:bidi="en_US"/>
        </w:rPr>
        <w:t>The nobleman gave the servants ten minas in all. Later verses imply that he gave each servant one mina. In some languages it may be helpful to indicate what each servant received. For example:</w:t>
      </w:r>
    </w:p>
    <w:p>
      <w:pPr/>
      <w:r>
        <w:rPr>
          <w:lang w:val="en_US" w:bidi="en_US"/>
        </w:rPr>
      </w:r>
      <w:r>
        <w:rPr>
          <w:lang w:val="en_US" w:bidi="en_US"/>
        </w:rPr>
        <w:t>and gave a coin to each servant (NCV)</w:t>
      </w:r>
    </w:p>
    <w:p>
      <w:pPr/>
      <w:r>
        <w:rPr>
          <w:lang w:val="en_US" w:bidi="en_US"/>
        </w:rPr>
      </w:r>
      <w:r>
        <w:rPr>
          <w:b/>
          <w:lang w:val="en_US" w:bidi="en_US"/>
        </w:rPr>
        <w:t>ten minas:</w:t>
      </w:r>
      <w:r>
        <w:rPr>
          <w:lang w:val="en_US" w:bidi="en_US"/>
        </w:rPr>
        <w:t xml:space="preserve"> The term </w:t>
      </w:r>
      <w:r>
        <w:rPr>
          <w:i/>
          <w:lang w:val="en_US" w:bidi="en_US"/>
        </w:rPr>
        <w:t>minas</w:t>
      </w:r>
      <w:r>
        <w:rPr>
          <w:lang w:val="en_US" w:bidi="en_US"/>
        </w:rPr>
        <w:t xml:space="preserve"> describes a type of Greek coin.</w:t>
      </w:r>
      <w:r>
        <w:rPr>
          <w:lang w:val="en_US" w:bidi="en_US"/>
        </w:rPr>
        <w:t xml:space="preserve">In the NT the words “mina” and </w:t>
      </w:r>
      <w:r>
        <w:rPr>
          <w:i/>
          <w:lang w:val="en_US" w:bidi="en_US"/>
        </w:rPr>
        <w:t>minas</w:t>
      </w:r>
      <w:r>
        <w:rPr>
          <w:lang w:val="en_US" w:bidi="en_US"/>
        </w:rPr>
        <w:t xml:space="preserve"> appear only in this parable.</w:t>
      </w:r>
      <w:r>
        <w:rPr>
          <w:lang w:val="en_US" w:bidi="en_US"/>
        </w:rPr>
        <w:t xml:space="preserve"> It was worth about as much as a worker was paid for working one hundred days. So </w:t>
      </w:r>
      <w:r>
        <w:rPr>
          <w:i/>
          <w:lang w:val="en_US" w:bidi="en_US"/>
        </w:rPr>
        <w:t>ten minas</w:t>
      </w:r>
      <w:r>
        <w:rPr>
          <w:lang w:val="en_US" w:bidi="en_US"/>
        </w:rPr>
        <w:t xml:space="preserve"> equaled what a worker was paid for working about three years.</w:t>
      </w:r>
    </w:p>
    <w:p>
      <w:pPr/>
      <w:r>
        <w:rPr>
          <w:lang w:val="en_US" w:bidi="en_US"/>
        </w:rPr>
      </w:r>
      <w:r>
        <w:rPr>
          <w:lang w:val="en_US" w:bidi="en_US"/>
        </w:rPr>
        <w:t>The exact value of the money is not important, but a “mina” was valuable. It was enough money for the servants to invest or trade to make more money. The GNT indicates this by describing the coin as made of gold.</w:t>
      </w:r>
    </w:p>
    <w:p>
      <w:pPr/>
      <w:r>
        <w:rPr>
          <w:lang w:val="en_US" w:bidi="en_US"/>
        </w:rPr>
      </w:r>
      <w:r>
        <w:rPr>
          <w:lang w:val="en_US" w:bidi="en_US"/>
        </w:rPr>
        <w:t xml:space="preserve">When you translate, you can either mention the total amount of </w:t>
      </w:r>
      <w:r>
        <w:rPr>
          <w:i/>
          <w:lang w:val="en_US" w:bidi="en_US"/>
        </w:rPr>
        <w:t>ten minas</w:t>
      </w:r>
      <w:r>
        <w:rPr>
          <w:lang w:val="en_US" w:bidi="en_US"/>
        </w:rPr>
        <w:t xml:space="preserve"> or the amount that each servant received (one mina). Some ways to translate the amount are:</w:t>
      </w:r>
    </w:p>
    <w:p>
      <w:pPr>
        <w:pStyle w:val="ListBullet"/>
        <w:spacing w:line="240" w:lineRule="auto"/>
        <w:ind w:left="720"/>
      </w:pPr>
      <w:r>
        <w:rPr>
          <w:lang w:val="en_US" w:bidi="en_US"/>
        </w:rPr>
      </w:r>
      <w:r>
        <w:rPr>
          <w:lang w:val="en_US" w:bidi="en_US"/>
        </w:rPr>
        <w:t>Use a general expression:</w:t>
      </w:r>
      <w:r>
        <w:rPr>
          <w:lang w:val="en_US" w:bidi="en_US"/>
        </w:rPr>
        <w:t>He gave them a large sum of money</w:t>
      </w:r>
      <w:r>
        <w:rPr>
          <w:lang w:val="en_US" w:bidi="en_US"/>
        </w:rPr>
        <w:t>He gave each of them a valuable coin</w:t>
      </w:r>
      <w:r>
        <w:rPr>
          <w:lang w:val="en_US" w:bidi="en_US"/>
        </w:rPr>
        <w:t>He gave each servant the money that a person would be paid for one hundred days of work</w:t>
      </w:r>
    </w:p>
    <w:p>
      <w:pPr>
        <w:pStyle w:val="ListBullet"/>
        <w:spacing w:line="240" w:lineRule="auto"/>
        <w:ind w:left="720"/>
      </w:pPr>
      <w:r>
        <w:rPr>
          <w:lang w:val="en_US" w:bidi="en_US"/>
        </w:rPr>
      </w:r>
      <w:r>
        <w:rPr>
          <w:lang w:val="en_US" w:bidi="en_US"/>
        </w:rPr>
        <w:t>Use a unit of money from your culture. But because the value of units of money changes over time, such a translation may imply a wrong meaning in the future.</w:t>
      </w:r>
    </w:p>
    <w:p>
      <w:pPr>
        <w:pStyle w:val="ListBullet"/>
        <w:spacing w:line="240" w:lineRule="auto"/>
        <w:ind w:left="720"/>
      </w:pPr>
      <w:r>
        <w:rPr>
          <w:lang w:val="en_US" w:bidi="en_US"/>
        </w:rPr>
      </w:r>
      <w:r>
        <w:rPr>
          <w:lang w:val="en_US" w:bidi="en_US"/>
        </w:rPr>
        <w:t xml:space="preserve">Transliterate the word “mina” or </w:t>
      </w:r>
      <w:r>
        <w:rPr>
          <w:i/>
          <w:lang w:val="en_US" w:bidi="en_US"/>
        </w:rPr>
        <w:t>minas</w:t>
      </w:r>
      <w:r>
        <w:rPr>
          <w:lang w:val="en_US" w:bidi="en_US"/>
        </w:rPr>
        <w:t xml:space="preserve"> and indicate that a “mina” is a coin. For example:</w:t>
      </w:r>
      <w:r>
        <w:rPr>
          <w:lang w:val="en_US" w:bidi="en_US"/>
        </w:rPr>
        <w:t xml:space="preserve">He gave each servant a </w:t>
      </w:r>
      <w:r>
        <w:rPr>
          <w:u w:val="single"/>
          <w:lang w:val="en_US" w:bidi="en_US"/>
        </w:rPr>
        <w:t>mina</w:t>
      </w:r>
      <w:r>
        <w:rPr>
          <w:lang w:val="en_US" w:bidi="en_US"/>
        </w:rPr>
        <w:t xml:space="preserve"> coin</w:t>
      </w:r>
    </w:p>
    <w:p>
      <w:pPr/>
      <w:r>
        <w:rPr>
          <w:lang w:val="en_US" w:bidi="en_US"/>
        </w:rPr>
      </w:r>
      <w:r>
        <w:rPr>
          <w:lang w:val="en_US" w:bidi="en_US"/>
        </w:rPr>
        <w:t>You may want to include a footnote in your translation to give more information. For example:</w:t>
      </w:r>
    </w:p>
    <w:p>
      <w:pPr/>
      <w:r>
        <w:rPr>
          <w:lang w:val="en_US" w:bidi="en_US"/>
        </w:rPr>
      </w:r>
      <w:r>
        <w:rPr>
          <w:lang w:val="en_US" w:bidi="en_US"/>
        </w:rPr>
        <w:t xml:space="preserve">A </w:t>
      </w:r>
      <w:r>
        <w:rPr>
          <w:u w:val="single"/>
          <w:lang w:val="en_US" w:bidi="en_US"/>
        </w:rPr>
        <w:t>mina</w:t>
      </w:r>
      <w:r>
        <w:rPr>
          <w:lang w:val="en_US" w:bidi="en_US"/>
        </w:rPr>
        <w:t xml:space="preserve"> was an amount of money that was worth the wages that a person was paid for working one hundred days. A person would have to work about three years to be paid ten minas.</w:t>
      </w:r>
    </w:p>
    <w:p>
      <w:pPr>
        <w:pStyle w:val="Heading5"/>
      </w:pPr>
      <w:r>
        <w:rPr>
          <w:lang w:val="en_US" w:bidi="en_US"/>
        </w:rPr>
        <w:t>19:13c</w:t>
      </w:r>
    </w:p>
    <w:p>
      <w:pPr/>
      <w:r>
        <w:rPr>
          <w:lang w:val="en_US" w:bidi="en_US"/>
        </w:rPr>
      </w:r>
      <w:r>
        <w:rPr>
          <w:b/>
          <w:lang w:val="en_US" w:bidi="en_US"/>
        </w:rPr>
        <w:t>‘Conduct business with this</w:t>
      </w:r>
    </w:p>
    <w:p>
      <w:pPr>
        <w:pStyle w:val="ListBullet"/>
        <w:spacing w:line="240" w:lineRule="auto"/>
        <w:ind w:left="720"/>
      </w:pPr>
      <w:r>
        <w:rPr>
          <w:lang w:val="en_US" w:bidi="en_US"/>
        </w:rPr>
      </w:r>
      <w:r>
        <w:rPr>
          <w:lang w:val="en_US" w:bidi="en_US"/>
        </w:rPr>
        <w:t>He told them, ‘Invest</w:t>
      </w:r>
      <w:r>
        <w:rPr>
          <w:vertAlign w:val="superscript"/>
          <w:lang w:val="en_US" w:bidi="en_US"/>
        </w:rPr>
        <w:t>(plur)</w:t>
      </w:r>
      <w:r>
        <w:rPr>
          <w:lang w:val="en_US" w:bidi="en_US"/>
        </w:rPr>
        <w:t xml:space="preserve"> this money </w:t>
      </w:r>
      <w:r>
        <w:rPr>
          <w:lang w:val="en_US" w:bidi="en_US"/>
        </w:rPr>
        <w:t>in some</w:t>
      </w:r>
      <w:r>
        <w:rPr>
          <w:lang w:val="en_US" w:bidi="en_US"/>
        </w:rPr>
        <w:t xml:space="preserve"> trade/business </w:t>
      </w:r>
      <w:r>
        <w:rPr>
          <w:lang w:val="en_US" w:bidi="en_US"/>
        </w:rPr>
        <w:t>for me</w:t>
      </w:r>
    </w:p>
    <w:p>
      <w:pPr>
        <w:pStyle w:val="ListBullet"/>
        <w:spacing w:line="240" w:lineRule="auto"/>
        <w:ind w:left="720"/>
      </w:pPr>
      <w:r>
        <w:rPr>
          <w:lang w:val="en_US" w:bidi="en_US"/>
        </w:rPr>
      </w:r>
      <w:r>
        <w:rPr>
          <w:lang w:val="en_US" w:bidi="en_US"/>
        </w:rPr>
        <w:t>He said, ‘Use</w:t>
      </w:r>
      <w:r>
        <w:rPr>
          <w:vertAlign w:val="superscript"/>
          <w:lang w:val="en_US" w:bidi="en_US"/>
        </w:rPr>
        <w:t>(plur)</w:t>
      </w:r>
      <w:r>
        <w:rPr>
          <w:lang w:val="en_US" w:bidi="en_US"/>
        </w:rPr>
        <w:t xml:space="preserve"> this money </w:t>
      </w:r>
      <w:r>
        <w:rPr>
          <w:lang w:val="en_US" w:bidi="en_US"/>
        </w:rPr>
        <w:t>to make/earn more money for me</w:t>
      </w:r>
    </w:p>
    <w:p>
      <w:pPr/>
      <w:r>
        <w:rPr>
          <w:lang w:val="en_US" w:bidi="en_US"/>
        </w:rPr>
      </w:r>
      <w:r>
        <w:rPr>
          <w:b/>
          <w:lang w:val="en_US" w:bidi="en_US"/>
        </w:rPr>
        <w:t>Conduct business with this:</w:t>
      </w:r>
      <w:r>
        <w:rPr>
          <w:lang w:val="en_US" w:bidi="en_US"/>
        </w:rPr>
        <w:t xml:space="preserve"> The Greek word that the BSB translates as </w:t>
      </w:r>
      <w:r>
        <w:rPr>
          <w:i/>
          <w:lang w:val="en_US" w:bidi="en_US"/>
        </w:rPr>
        <w:t>Conduct business with this</w:t>
      </w:r>
      <w:r>
        <w:rPr>
          <w:lang w:val="en_US" w:bidi="en_US"/>
        </w:rPr>
        <w:t xml:space="preserve"> refers here to doing business/trade. The nobleman told his servants to use or invest his money in ways that would earn more money for him. He allowed each of them to decide how to do that. Some ways to translate this are:</w:t>
      </w:r>
    </w:p>
    <w:p>
      <w:pPr/>
      <w:r>
        <w:rPr>
          <w:lang w:val="en_US" w:bidi="en_US"/>
        </w:rPr>
      </w:r>
      <w:r>
        <w:rPr>
          <w:lang w:val="en_US" w:bidi="en_US"/>
        </w:rPr>
        <w:t>Put this money to work (NIV)</w:t>
      </w:r>
    </w:p>
    <w:p>
      <w:pPr/>
      <w:r>
        <w:rPr>
          <w:lang w:val="en_US" w:bidi="en_US"/>
        </w:rPr>
      </w:r>
      <w:r>
        <w:rPr>
          <w:lang w:val="en_US" w:bidi="en_US"/>
        </w:rPr>
        <w:t>Use this to earn more money (CEV)</w:t>
      </w:r>
    </w:p>
    <w:p>
      <w:pPr/>
      <w:r>
        <w:rPr>
          <w:lang w:val="en_US" w:bidi="en_US"/>
        </w:rPr>
      </w:r>
      <w:r>
        <w:rPr>
          <w:lang w:val="en_US" w:bidi="en_US"/>
        </w:rPr>
        <w:t>Invest this for me (NLT)</w:t>
      </w:r>
    </w:p>
    <w:p>
      <w:pPr/>
      <w:r>
        <w:rPr>
          <w:lang w:val="en_US" w:bidi="en_US"/>
        </w:rPr>
      </w:r>
      <w:r>
        <w:rPr>
          <w:b/>
          <w:lang w:val="en_US" w:bidi="en_US"/>
        </w:rPr>
        <w:t>he said:</w:t>
      </w:r>
      <w:r>
        <w:rPr>
          <w:lang w:val="en_US" w:bidi="en_US"/>
        </w:rPr>
        <w:t xml:space="preserve"> The BSB has put the phrase </w:t>
      </w:r>
      <w:r>
        <w:rPr>
          <w:i/>
          <w:lang w:val="en_US" w:bidi="en_US"/>
        </w:rPr>
        <w:t>he said</w:t>
      </w:r>
      <w:r>
        <w:rPr>
          <w:lang w:val="en_US" w:bidi="en_US"/>
        </w:rPr>
        <w:t xml:space="preserve"> at the end of the quotation. In Greek, it comes before the quotation. Place it where it is natural in your language.</w:t>
      </w:r>
    </w:p>
    <w:p>
      <w:pPr>
        <w:pStyle w:val="Heading5"/>
      </w:pPr>
      <w:r>
        <w:rPr>
          <w:lang w:val="en_US" w:bidi="en_US"/>
        </w:rPr>
        <w:t>19:13d</w:t>
      </w:r>
    </w:p>
    <w:p>
      <w:pPr/>
      <w:r>
        <w:rPr>
          <w:lang w:val="en_US" w:bidi="en_US"/>
        </w:rPr>
      </w:r>
      <w:r>
        <w:rPr>
          <w:b/>
          <w:lang w:val="en_US" w:bidi="en_US"/>
        </w:rPr>
        <w:t>until I return,’ he said.</w:t>
      </w:r>
    </w:p>
    <w:p>
      <w:pPr>
        <w:pStyle w:val="ListBullet"/>
        <w:spacing w:line="240" w:lineRule="auto"/>
        <w:ind w:left="720"/>
      </w:pPr>
      <w:r>
        <w:rPr>
          <w:lang w:val="en_US" w:bidi="en_US"/>
        </w:rPr>
      </w:r>
      <w:r>
        <w:rPr>
          <w:lang w:val="en_US" w:bidi="en_US"/>
        </w:rPr>
        <w:t>during the time I am away.’</w:t>
      </w:r>
    </w:p>
    <w:p>
      <w:pPr>
        <w:pStyle w:val="ListBullet"/>
        <w:spacing w:line="240" w:lineRule="auto"/>
        <w:ind w:left="720"/>
      </w:pPr>
      <w:r>
        <w:rPr>
          <w:lang w:val="en_US" w:bidi="en_US"/>
        </w:rPr>
      </w:r>
      <w:r>
        <w:rPr>
          <w:lang w:val="en_US" w:bidi="en_US"/>
        </w:rPr>
        <w:t xml:space="preserve">until I get back home.’ </w:t>
      </w:r>
      <w:r>
        <w:rPr>
          <w:lang w:val="en_US" w:bidi="en_US"/>
        </w:rPr>
        <w:t>Then he started on his trip.</w:t>
      </w:r>
    </w:p>
    <w:p>
      <w:pPr/>
      <w:r>
        <w:rPr>
          <w:lang w:val="en_US" w:bidi="en_US"/>
        </w:rPr>
      </w:r>
      <w:r>
        <w:rPr>
          <w:b/>
          <w:lang w:val="en_US" w:bidi="en_US"/>
        </w:rPr>
        <w:t>until I return:</w:t>
      </w:r>
      <w:r>
        <w:rPr>
          <w:lang w:val="en_US" w:bidi="en_US"/>
        </w:rPr>
        <w:t xml:space="preserve"> The Greek phrase that the BSB translates as </w:t>
      </w:r>
      <w:r>
        <w:rPr>
          <w:i/>
          <w:lang w:val="en_US" w:bidi="en_US"/>
        </w:rPr>
        <w:t>until I return</w:t>
      </w:r>
      <w:r>
        <w:rPr>
          <w:lang w:val="en_US" w:bidi="en_US"/>
        </w:rPr>
        <w:t xml:space="preserve"> implies that when the nobleman returned, the servants would stop using his money. They would give him the money itself and the profit that they had made with his money.</w:t>
      </w:r>
    </w:p>
    <w:p>
      <w:pPr/>
      <w:r>
        <w:rPr>
          <w:lang w:val="en_US" w:bidi="en_US"/>
        </w:rPr>
      </w:r>
      <w:r>
        <w:rPr>
          <w:lang w:val="en_US" w:bidi="en_US"/>
        </w:rPr>
        <w:t>After the nobleman said that to his servants, he left. In some languages it may be necessary to make that explicit. For example:</w:t>
      </w:r>
    </w:p>
    <w:p>
      <w:pPr/>
      <w:r>
        <w:rPr>
          <w:lang w:val="en_US" w:bidi="en_US"/>
        </w:rPr>
      </w:r>
      <w:r>
        <w:rPr>
          <w:lang w:val="en_US" w:bidi="en_US"/>
        </w:rPr>
        <w:t xml:space="preserve">He told them to invest the money for him while he was away. </w:t>
      </w:r>
      <w:r>
        <w:rPr>
          <w:lang w:val="en_US" w:bidi="en_US"/>
        </w:rPr>
        <w:t>Then he left.</w:t>
      </w:r>
    </w:p>
    <w:p>
      <w:pPr>
        <w:pStyle w:val="Heading6"/>
      </w:pPr>
      <w:r>
        <w:rPr>
          <w:b/>
          <w:lang w:val="en_US" w:bidi="en_US"/>
        </w:rPr>
        <w:t>General Comment on 19:12–13</w:t>
      </w:r>
    </w:p>
    <w:p>
      <w:pPr/>
      <w:r>
        <w:rPr>
          <w:lang w:val="en_US" w:bidi="en_US"/>
        </w:rPr>
      </w:r>
      <w:r>
        <w:rPr>
          <w:lang w:val="en_US" w:bidi="en_US"/>
        </w:rPr>
        <w:t>The events of 19:12 happened after the events of 19:13. In some languages it may be necessary to combine these verses and change the order of the clauses to make this clear. For example:</w:t>
      </w:r>
    </w:p>
    <w:p>
      <w:pPr/>
      <w:r>
        <w:rPr>
          <w:lang w:val="en_US" w:bidi="en_US"/>
        </w:rPr>
      </w:r>
      <w:r>
        <w:rPr>
          <w:vertAlign w:val="superscript"/>
          <w:lang w:val="en_US" w:bidi="en_US"/>
        </w:rPr>
        <w:t>12–13</w:t>
      </w:r>
      <w:r>
        <w:rPr>
          <w:lang w:val="en_US" w:bidi="en_US"/>
        </w:rPr>
        <w:t>He/Jesus said: “A man of noble birth called ten of his servants and gave them ten minas. He said, ‘</w:t>
      </w:r>
      <w:r>
        <w:rPr>
          <w:lang w:val="en_US" w:bidi="en_US"/>
        </w:rPr>
        <w:t>I am going on a long trip.</w:t>
      </w:r>
      <w:r>
        <w:rPr>
          <w:lang w:val="en_US" w:bidi="en_US"/>
        </w:rPr>
        <w:t xml:space="preserve"> Put this money to work until I come back.’ </w:t>
      </w:r>
      <w:r>
        <w:rPr>
          <w:lang w:val="en_US" w:bidi="en_US"/>
        </w:rPr>
        <w:t>Then</w:t>
      </w:r>
      <w:r>
        <w:rPr>
          <w:lang w:val="en_US" w:bidi="en_US"/>
        </w:rPr>
        <w:t xml:space="preserve"> he went to a distant country to have himself appointed king and, after that, to return.”</w:t>
      </w:r>
      <w:r>
        <w:rPr>
          <w:lang w:val="en_US" w:bidi="en_US"/>
        </w:rPr>
      </w:r>
      <w:r>
        <w:rPr>
          <w:lang w:val="en_US" w:bidi="en_US"/>
        </w:rPr>
      </w:r>
    </w:p>
    <w:p>
      <w:pPr/>
      <w:r>
        <w:rPr>
          <w:lang w:val="en_US" w:bidi="en_US"/>
        </w:rPr>
      </w:r>
    </w:p>
    <w:p>
      <w:pPr>
        <w:pStyle w:val="Heading2"/>
      </w:pPr>
      <w:r>
        <w:rPr>
          <w:lang w:val="en_US" w:bidi="en_US"/>
        </w:rPr>
        <w:t>Luke 19:14</w:t>
      </w:r>
      <w:r>
        <w:rPr>
          <w:lang w:val="en_US" w:bidi="en_US"/>
        </w:rPr>
      </w:r>
    </w:p>
    <w:p>
      <w:pPr>
        <w:pStyle w:val="Heading4"/>
      </w:pPr>
      <w:r>
        <w:rPr>
          <w:lang w:val="en_US" w:bidi="en_US"/>
        </w:rPr>
        <w:t>Section 19:11–27: Jesus told a parable about a king and his ten servants</w:t>
      </w:r>
    </w:p>
    <w:p>
      <w:pPr/>
      <w:r>
        <w:rPr>
          <w:lang w:val="en_US" w:bidi="en_US"/>
        </w:rPr>
      </w:r>
      <w:r>
        <w:rPr>
          <w:lang w:val="en_US" w:bidi="en_US"/>
        </w:rPr>
        <w:t>Many of Jesus’ followers expected that when they arrived in Jerusalem, Jesus would establish the kingdom of God and begin to reign as king. He told the parable in this section to help them understand that events would happen differently than they expected.</w:t>
      </w:r>
    </w:p>
    <w:p>
      <w:pPr/>
      <w:r>
        <w:rPr>
          <w:lang w:val="en_US" w:bidi="en_US"/>
        </w:rPr>
      </w:r>
      <w:r>
        <w:rPr>
          <w:lang w:val="en_US" w:bidi="en_US"/>
        </w:rPr>
        <w:t>There are two main ideas that Jesus taught through this parable:</w:t>
      </w:r>
    </w:p>
    <w:p>
      <w:pPr>
        <w:pStyle w:val="ListNumber"/>
        <w:numPr>
          <w:ilvl w:val="0"/>
          <w:numId w:val="314"/>
        </w:numPr>
        <w:spacing w:line="240" w:lineRule="auto"/>
        <w:ind w:left="720"/>
      </w:pPr>
      <w:r>
        <w:rPr>
          <w:lang w:val="en_US" w:bidi="en_US"/>
        </w:rPr>
      </w:r>
      <w:r>
        <w:rPr>
          <w:lang w:val="en_US" w:bidi="en_US"/>
        </w:rP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Pr>
          <w:lang w:val="en_US" w:bidi="en_US"/>
        </w:rPr>
      </w:r>
      <w:r>
        <w:rPr>
          <w:lang w:val="en_US" w:bidi="en_US"/>
        </w:rPr>
        <w:t>While Jesus is gone, his disciples must serve him faithfully and use whatever he has given them to glorify him.</w:t>
      </w:r>
    </w:p>
    <w:p>
      <w:pPr/>
      <w:r>
        <w:rPr>
          <w:lang w:val="en_US" w:bidi="en_US"/>
        </w:rPr>
      </w:r>
      <w:r>
        <w:rPr>
          <w:lang w:val="en_US" w:bidi="en_US"/>
        </w:rPr>
        <w:t>Other examples of headings for this section are:</w:t>
      </w:r>
    </w:p>
    <w:p>
      <w:pPr/>
      <w:r>
        <w:rPr>
          <w:lang w:val="en_US" w:bidi="en_US"/>
        </w:rPr>
      </w:r>
      <w:r>
        <w:rPr>
          <w:lang w:val="en_US" w:bidi="en_US"/>
        </w:rPr>
        <w:t>The Parable of the Gold Coins (GNT)</w:t>
      </w:r>
    </w:p>
    <w:p>
      <w:pPr/>
      <w:r>
        <w:rPr>
          <w:lang w:val="en_US" w:bidi="en_US"/>
        </w:rPr>
      </w:r>
      <w:r>
        <w:rPr>
          <w:lang w:val="en_US" w:bidi="en_US"/>
        </w:rPr>
        <w:t>Jesus told a parable about ten servants</w:t>
      </w:r>
    </w:p>
    <w:p>
      <w:pPr/>
      <w:r>
        <w:rPr>
          <w:lang w:val="en_US" w:bidi="en_US"/>
        </w:rPr>
      </w:r>
      <w:r>
        <w:rPr>
          <w:lang w:val="en_US" w:bidi="en_US"/>
        </w:rPr>
        <w:t>A parallel passage to this section is found in Matthew 25:14–30.</w:t>
      </w:r>
    </w:p>
    <w:p>
      <w:pPr>
        <w:pStyle w:val="Heading5"/>
      </w:pPr>
      <w:r>
        <w:rPr>
          <w:lang w:val="en_US" w:bidi="en_US"/>
        </w:rPr>
        <w:t>19:14a</w:t>
      </w:r>
    </w:p>
    <w:p>
      <w:pPr/>
      <w:r>
        <w:rPr>
          <w:lang w:val="en_US" w:bidi="en_US"/>
        </w:rPr>
      </w:r>
      <w:r>
        <w:rPr>
          <w:b/>
          <w:lang w:val="en_US" w:bidi="en_US"/>
        </w:rPr>
        <w:t>But his subjects hated him</w:t>
      </w:r>
    </w:p>
    <w:p>
      <w:pPr>
        <w:pStyle w:val="ListBullet"/>
        <w:spacing w:line="240" w:lineRule="auto"/>
        <w:ind w:left="720"/>
      </w:pPr>
      <w:r>
        <w:rPr>
          <w:lang w:val="en_US" w:bidi="en_US"/>
        </w:rPr>
      </w:r>
      <w:r>
        <w:rPr>
          <w:lang w:val="en_US" w:bidi="en_US"/>
        </w:rPr>
        <w:t>The fellow-citizens of this nobleman hated him.</w:t>
      </w:r>
    </w:p>
    <w:p>
      <w:pPr>
        <w:pStyle w:val="ListBullet"/>
        <w:spacing w:line="240" w:lineRule="auto"/>
        <w:ind w:left="720"/>
      </w:pPr>
      <w:r>
        <w:rPr>
          <w:lang w:val="en_US" w:bidi="en_US"/>
        </w:rPr>
      </w:r>
      <w:r>
        <w:rPr>
          <w:lang w:val="en_US" w:bidi="en_US"/>
        </w:rPr>
        <w:t>As for the people of his country, they opposed/rejected him,</w:t>
      </w:r>
    </w:p>
    <w:p>
      <w:pPr/>
      <w:r>
        <w:rPr>
          <w:lang w:val="en_US" w:bidi="en_US"/>
        </w:rPr>
      </w:r>
      <w:r>
        <w:rPr>
          <w:b/>
          <w:lang w:val="en_US" w:bidi="en_US"/>
        </w:rPr>
        <w:t>But:</w:t>
      </w:r>
      <w:r>
        <w:rPr>
          <w:lang w:val="en_US" w:bidi="en_US"/>
        </w:rPr>
        <w:t xml:space="preserve"> In Greek this verse begins with a common conjunction that is often used to introduce a new event. The BSB translated it as “Beforehand” in 19:13. Here the BSB probably translates it as </w:t>
      </w:r>
      <w:r>
        <w:rPr>
          <w:i/>
          <w:lang w:val="en_US" w:bidi="en_US"/>
        </w:rPr>
        <w:t>But</w:t>
      </w:r>
      <w:r>
        <w:rPr>
          <w:lang w:val="en_US" w:bidi="en_US"/>
        </w:rPr>
        <w:t xml:space="preserve"> because in this context it introduces a fact that is unexpected.</w:t>
      </w:r>
    </w:p>
    <w:p>
      <w:pPr/>
      <w:r>
        <w:rPr>
          <w:lang w:val="en_US" w:bidi="en_US"/>
        </w:rPr>
      </w:r>
      <w:r>
        <w:rPr>
          <w:lang w:val="en_US" w:bidi="en_US"/>
        </w:rPr>
        <w:t xml:space="preserve">In some languages a conjunction such as </w:t>
      </w:r>
      <w:r>
        <w:rPr>
          <w:i/>
          <w:lang w:val="en_US" w:bidi="en_US"/>
        </w:rPr>
        <w:t>But</w:t>
      </w:r>
      <w:r>
        <w:rPr>
          <w:lang w:val="en_US" w:bidi="en_US"/>
        </w:rPr>
        <w:t xml:space="preserve"> may imply a wrong contrast here. Introduce the event in a natural way in your language. A conjunction may not be necessary. For example:</w:t>
      </w:r>
    </w:p>
    <w:p>
      <w:pPr/>
      <w:r>
        <w:rPr>
          <w:lang w:val="en_US" w:bidi="en_US"/>
        </w:rPr>
      </w:r>
      <w:r>
        <w:rPr>
          <w:lang w:val="en_US" w:bidi="en_US"/>
        </w:rPr>
        <w:t>The citizens of his own country hated him. (GW)</w:t>
      </w:r>
    </w:p>
    <w:p>
      <w:pPr/>
      <w:r>
        <w:rPr>
          <w:lang w:val="en_US" w:bidi="en_US"/>
        </w:rPr>
      </w:r>
      <w:r>
        <w:rPr>
          <w:b/>
          <w:lang w:val="en_US" w:bidi="en_US"/>
        </w:rPr>
        <w:t>his subjects:</w:t>
      </w:r>
      <w:r>
        <w:rPr>
          <w:lang w:val="en_US" w:bidi="en_US"/>
        </w:rPr>
        <w:t xml:space="preserve"> The Greek phrase that the BSB translates as </w:t>
      </w:r>
      <w:r>
        <w:rPr>
          <w:i/>
          <w:lang w:val="en_US" w:bidi="en_US"/>
        </w:rPr>
        <w:t>his subjects</w:t>
      </w:r>
      <w:r>
        <w:rPr>
          <w:lang w:val="en_US" w:bidi="en_US"/>
        </w:rPr>
        <w:t xml:space="preserve"> is more literally “his citizens.” It refers here to the people in his own country. The nobleman was not yet ruling over them, but he was seeking to be their king. Refer to them in an appropriate way in your language. Some ways to translate this phrase are:</w:t>
      </w:r>
    </w:p>
    <w:p>
      <w:pPr/>
      <w:r>
        <w:rPr>
          <w:lang w:val="en_US" w:bidi="en_US"/>
        </w:rPr>
      </w:r>
      <w:r>
        <w:rPr>
          <w:lang w:val="en_US" w:bidi="en_US"/>
        </w:rPr>
        <w:t>His fellow-citizens (REB)</w:t>
      </w:r>
    </w:p>
    <w:p>
      <w:pPr/>
      <w:r>
        <w:rPr>
          <w:lang w:val="en_US" w:bidi="en_US"/>
        </w:rPr>
      </w:r>
      <w:r>
        <w:rPr>
          <w:lang w:val="en_US" w:bidi="en_US"/>
        </w:rPr>
        <w:t>his own people (GNT)</w:t>
      </w:r>
    </w:p>
    <w:p>
      <w:pPr/>
      <w:r>
        <w:rPr>
          <w:lang w:val="en_US" w:bidi="en_US"/>
        </w:rPr>
      </w:r>
      <w:r>
        <w:rPr>
          <w:lang w:val="en_US" w:bidi="en_US"/>
        </w:rPr>
        <w:t>the people of his country (CEV)</w:t>
      </w:r>
    </w:p>
    <w:p>
      <w:pPr/>
      <w:r>
        <w:rPr>
          <w:lang w:val="en_US" w:bidi="en_US"/>
        </w:rPr>
      </w:r>
      <w:r>
        <w:rPr>
          <w:b/>
          <w:lang w:val="en_US" w:bidi="en_US"/>
        </w:rPr>
        <w:t>hated him:</w:t>
      </w:r>
      <w:r>
        <w:rPr>
          <w:lang w:val="en_US" w:bidi="en_US"/>
        </w:rPr>
        <w:t xml:space="preserve"> Here the word </w:t>
      </w:r>
      <w:r>
        <w:rPr>
          <w:i/>
          <w:lang w:val="en_US" w:bidi="en_US"/>
        </w:rPr>
        <w:t>hated</w:t>
      </w:r>
      <w:r>
        <w:rPr>
          <w:lang w:val="en_US" w:bidi="en_US"/>
        </w:rPr>
        <w:t xml:space="preserve"> probably refers to rejecting the nobleman as king. The citizens did not want the nobleman to rule them, so they opposed him. In this context the word </w:t>
      </w:r>
      <w:r>
        <w:rPr>
          <w:i/>
          <w:lang w:val="en_US" w:bidi="en_US"/>
        </w:rPr>
        <w:t>hated</w:t>
      </w:r>
      <w:r>
        <w:rPr>
          <w:lang w:val="en_US" w:bidi="en_US"/>
        </w:rPr>
        <w:t xml:space="preserve"> probably does not refer mainly to personal feelings of dislike. Other ways to translate it are:</w:t>
      </w:r>
    </w:p>
    <w:p>
      <w:pPr/>
      <w:r>
        <w:rPr>
          <w:lang w:val="en_US" w:bidi="en_US"/>
        </w:rPr>
      </w:r>
      <w:r>
        <w:rPr>
          <w:lang w:val="en_US" w:bidi="en_US"/>
        </w:rPr>
        <w:t>rejected him</w:t>
      </w:r>
    </w:p>
    <w:p>
      <w:pPr/>
      <w:r>
        <w:rPr>
          <w:lang w:val="en_US" w:bidi="en_US"/>
        </w:rPr>
      </w:r>
      <w:r>
        <w:rPr>
          <w:lang w:val="en_US" w:bidi="en_US"/>
        </w:rPr>
        <w:t>opposed him</w:t>
      </w:r>
    </w:p>
    <w:p>
      <w:pPr>
        <w:pStyle w:val="Heading5"/>
      </w:pPr>
      <w:r>
        <w:rPr>
          <w:lang w:val="en_US" w:bidi="en_US"/>
        </w:rPr>
        <w:t>19:14b</w:t>
      </w:r>
    </w:p>
    <w:p>
      <w:pPr/>
      <w:r>
        <w:rPr>
          <w:lang w:val="en_US" w:bidi="en_US"/>
        </w:rPr>
      </w:r>
      <w:r>
        <w:rPr>
          <w:b/>
          <w:lang w:val="en_US" w:bidi="en_US"/>
        </w:rPr>
        <w:t>and sent a delegation after him</w:t>
      </w:r>
    </w:p>
    <w:p>
      <w:pPr>
        <w:pStyle w:val="ListBullet"/>
        <w:spacing w:line="240" w:lineRule="auto"/>
        <w:ind w:left="720"/>
      </w:pPr>
      <w:r>
        <w:rPr>
          <w:lang w:val="en_US" w:bidi="en_US"/>
        </w:rPr>
      </w:r>
      <w:r>
        <w:rPr>
          <w:lang w:val="en_US" w:bidi="en_US"/>
        </w:rPr>
        <w:t xml:space="preserve">After he left, they sent some messengers </w:t>
      </w:r>
      <w:r>
        <w:rPr>
          <w:lang w:val="en_US" w:bidi="en_US"/>
        </w:rPr>
        <w:t>to the emperor</w:t>
      </w:r>
    </w:p>
    <w:p>
      <w:pPr>
        <w:pStyle w:val="ListBullet"/>
        <w:spacing w:line="240" w:lineRule="auto"/>
        <w:ind w:left="720"/>
      </w:pPr>
      <w:r>
        <w:rPr>
          <w:lang w:val="en_US" w:bidi="en_US"/>
        </w:rPr>
      </w:r>
      <w:r>
        <w:rPr>
          <w:lang w:val="en_US" w:bidi="en_US"/>
        </w:rPr>
        <w:t xml:space="preserve">so they sent some men to the far country to speak on their behalf </w:t>
      </w:r>
      <w:r>
        <w:rPr>
          <w:lang w:val="en_US" w:bidi="en_US"/>
        </w:rPr>
        <w:t>to the emperor</w:t>
      </w:r>
    </w:p>
    <w:p>
      <w:pPr/>
      <w:r>
        <w:rPr>
          <w:lang w:val="en_US" w:bidi="en_US"/>
        </w:rPr>
      </w:r>
      <w:r>
        <w:rPr>
          <w:b/>
          <w:lang w:val="en_US" w:bidi="en_US"/>
        </w:rPr>
        <w:t>and sent a delegation after him:</w:t>
      </w:r>
      <w:r>
        <w:rPr>
          <w:lang w:val="en_US" w:bidi="en_US"/>
        </w:rPr>
        <w:t xml:space="preserve"> The phrase </w:t>
      </w:r>
      <w:r>
        <w:rPr>
          <w:i/>
          <w:lang w:val="en_US" w:bidi="en_US"/>
        </w:rPr>
        <w:t>and sent a delegation after him</w:t>
      </w:r>
      <w:r>
        <w:rPr>
          <w:lang w:val="en_US" w:bidi="en_US"/>
        </w:rPr>
        <w:t xml:space="preserve"> indicates here that after the nobleman had left, the nobleman’s countrymen told a group of people to also go to the emperor to give him a message. The content of the message is in 19:14c. Some other ways to say this are:</w:t>
      </w:r>
    </w:p>
    <w:p>
      <w:pPr/>
      <w:r>
        <w:rPr>
          <w:lang w:val="en_US" w:bidi="en_US"/>
        </w:rPr>
      </w:r>
      <w:r>
        <w:rPr>
          <w:lang w:val="en_US" w:bidi="en_US"/>
        </w:rPr>
        <w:t>and sent a group to follow him (NCV)</w:t>
      </w:r>
    </w:p>
    <w:p>
      <w:pPr/>
      <w:r>
        <w:rPr>
          <w:lang w:val="en_US" w:bidi="en_US"/>
        </w:rPr>
      </w:r>
      <w:r>
        <w:rPr>
          <w:lang w:val="en_US" w:bidi="en_US"/>
        </w:rPr>
        <w:t>They told messengers to also go to that same distant country</w:t>
      </w:r>
    </w:p>
    <w:p>
      <w:pPr/>
      <w:r>
        <w:rPr>
          <w:lang w:val="en_US" w:bidi="en_US"/>
        </w:rPr>
      </w:r>
      <w:r>
        <w:rPr>
          <w:b/>
          <w:lang w:val="en_US" w:bidi="en_US"/>
        </w:rPr>
        <w:t>delegation:</w:t>
      </w:r>
      <w:r>
        <w:rPr>
          <w:lang w:val="en_US" w:bidi="en_US"/>
        </w:rPr>
        <w:t xml:space="preserve"> The Greek word that the BSB translates as </w:t>
      </w:r>
      <w:r>
        <w:rPr>
          <w:i/>
          <w:lang w:val="en_US" w:bidi="en_US"/>
        </w:rPr>
        <w:t>delegation</w:t>
      </w:r>
      <w:r>
        <w:rPr>
          <w:lang w:val="en_US" w:bidi="en_US"/>
        </w:rPr>
        <w:t xml:space="preserve"> refers to a group of people who have been given an official message to deliver on behalf of others. Some other ways to translate this are:</w:t>
      </w:r>
    </w:p>
    <w:p>
      <w:pPr/>
      <w:r>
        <w:rPr>
          <w:lang w:val="en_US" w:bidi="en_US"/>
        </w:rPr>
      </w:r>
      <w:r>
        <w:rPr>
          <w:lang w:val="en_US" w:bidi="en_US"/>
        </w:rPr>
        <w:t>messengers (CEV)</w:t>
      </w:r>
    </w:p>
    <w:p>
      <w:pPr/>
      <w:r>
        <w:rPr>
          <w:lang w:val="en_US" w:bidi="en_US"/>
        </w:rPr>
      </w:r>
      <w:r>
        <w:rPr>
          <w:lang w:val="en_US" w:bidi="en_US"/>
        </w:rPr>
        <w:t>representatives (GW)</w:t>
      </w:r>
    </w:p>
    <w:p>
      <w:pPr/>
      <w:r>
        <w:rPr>
          <w:lang w:val="en_US" w:bidi="en_US"/>
        </w:rPr>
      </w:r>
      <w:r>
        <w:rPr>
          <w:lang w:val="en_US" w:bidi="en_US"/>
        </w:rPr>
        <w:t xml:space="preserve">people to give </w:t>
      </w:r>
      <w:r>
        <w:rPr>
          <w:lang w:val="en_US" w:bidi="en_US"/>
        </w:rPr>
        <w:t>the emperor</w:t>
      </w:r>
      <w:r>
        <w:rPr>
          <w:lang w:val="en_US" w:bidi="en_US"/>
        </w:rPr>
        <w:t xml:space="preserve"> a message from them</w:t>
      </w:r>
    </w:p>
    <w:p>
      <w:pPr>
        <w:pStyle w:val="Heading5"/>
      </w:pPr>
      <w:r>
        <w:rPr>
          <w:lang w:val="en_US" w:bidi="en_US"/>
        </w:rPr>
        <w:t>19:14c</w:t>
      </w:r>
    </w:p>
    <w:p>
      <w:pPr/>
      <w:r>
        <w:rPr>
          <w:lang w:val="en_US" w:bidi="en_US"/>
        </w:rPr>
      </w:r>
      <w:r>
        <w:rPr>
          <w:b/>
          <w:lang w:val="en_US" w:bidi="en_US"/>
        </w:rPr>
        <w:t>to say, ‘We do not want this man to rule over us.’</w:t>
      </w:r>
    </w:p>
    <w:p>
      <w:pPr>
        <w:pStyle w:val="ListBullet"/>
        <w:spacing w:line="240" w:lineRule="auto"/>
        <w:ind w:left="720"/>
      </w:pPr>
      <w:r>
        <w:rPr>
          <w:lang w:val="en_US" w:bidi="en_US"/>
        </w:rPr>
      </w:r>
      <w:r>
        <w:rPr>
          <w:lang w:val="en_US" w:bidi="en_US"/>
        </w:rPr>
        <w:t>to give him this message: ‘We</w:t>
      </w:r>
      <w:r>
        <w:rPr>
          <w:vertAlign w:val="superscript"/>
          <w:lang w:val="en_US" w:bidi="en_US"/>
        </w:rPr>
        <w:t>(excl)</w:t>
      </w:r>
      <w:r>
        <w:rPr>
          <w:lang w:val="en_US" w:bidi="en_US"/>
        </w:rPr>
        <w:t xml:space="preserve"> do not want this man to rule over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 xml:space="preserve">and tell </w:t>
      </w:r>
      <w:r>
        <w:rPr>
          <w:lang w:val="en_US" w:bidi="en_US"/>
        </w:rPr>
        <w:t>the emperor</w:t>
      </w:r>
      <w:r>
        <w:rPr>
          <w:lang w:val="en_US" w:bidi="en_US"/>
        </w:rPr>
        <w:t xml:space="preserve"> that they did not want him to be their king.</w:t>
      </w:r>
    </w:p>
    <w:p>
      <w:pPr/>
      <w:r>
        <w:rPr>
          <w:lang w:val="en_US" w:bidi="en_US"/>
        </w:rPr>
      </w:r>
      <w:r>
        <w:rPr>
          <w:b/>
          <w:lang w:val="en_US" w:bidi="en_US"/>
        </w:rPr>
        <w:t>to say, ‘We do not want this man to rule over us’:</w:t>
      </w:r>
      <w:r>
        <w:rPr>
          <w:lang w:val="en_US" w:bidi="en_US"/>
        </w:rPr>
        <w:t xml:space="preserve"> The Greek word that the BSB translates as </w:t>
      </w:r>
      <w:r>
        <w:rPr>
          <w:i/>
          <w:lang w:val="en_US" w:bidi="en_US"/>
        </w:rPr>
        <w:t>to say</w:t>
      </w:r>
      <w:r>
        <w:rPr>
          <w:lang w:val="en_US" w:bidi="en_US"/>
        </w:rPr>
        <w:t xml:space="preserve"> is literally “saying.” It introduces the message that the citizens wanted to give to the emperor. Here is another way to translate this:</w:t>
      </w:r>
    </w:p>
    <w:p>
      <w:pPr/>
      <w:r>
        <w:rPr>
          <w:lang w:val="en_US" w:bidi="en_US"/>
        </w:rPr>
      </w:r>
      <w:r>
        <w:rPr>
          <w:lang w:val="en_US" w:bidi="en_US"/>
        </w:rPr>
        <w:t>…saying, ‘We do not want this man to reign over us.’ (RSV)</w:t>
      </w:r>
    </w:p>
    <w:p>
      <w:pPr/>
      <w:r>
        <w:rPr>
          <w:lang w:val="en_US" w:bidi="en_US"/>
        </w:rPr>
      </w:r>
      <w:r>
        <w:rPr>
          <w:lang w:val="en_US" w:bidi="en_US"/>
        </w:rPr>
        <w:t>This message functions as a request. The citizens were indirectly asking the emperor to not appoint the nobleman as their king. The emperor had great authority and status. In many languages it may be necessary to use very polite language to introduce the request and to express it. For example:</w:t>
      </w:r>
    </w:p>
    <w:p>
      <w:pPr/>
      <w:r>
        <w:rPr>
          <w:lang w:val="en_US" w:bidi="en_US"/>
        </w:rPr>
      </w:r>
      <w:r>
        <w:rPr>
          <w:lang w:val="en_US" w:bidi="en_US"/>
        </w:rPr>
        <w:t>…to beg him saying, “</w:t>
      </w:r>
      <w:r>
        <w:rPr>
          <w:lang w:val="en_US" w:bidi="en_US"/>
        </w:rPr>
        <w:t>Great Emperor</w:t>
      </w:r>
      <w:r>
        <w:rPr>
          <w:lang w:val="en_US" w:bidi="en_US"/>
        </w:rPr>
        <w:t xml:space="preserve">, </w:t>
      </w:r>
      <w:r>
        <w:rPr>
          <w:lang w:val="en_US" w:bidi="en_US"/>
        </w:rPr>
        <w:t>please consider</w:t>
      </w:r>
      <w:r>
        <w:rPr>
          <w:lang w:val="en_US" w:bidi="en_US"/>
        </w:rPr>
        <w:t xml:space="preserve"> our request that this man not be made our king/chief.”</w:t>
      </w:r>
    </w:p>
    <w:p>
      <w:pPr/>
      <w:r>
        <w:rPr>
          <w:lang w:val="en_US" w:bidi="en_US"/>
        </w:rPr>
      </w:r>
      <w:r>
        <w:rPr>
          <w:lang w:val="en_US" w:bidi="en_US"/>
        </w:rPr>
        <w:t>This example is a direct quote of what the citizens wanted to say. In some languages it may be more natural to use indirect speech. For example:</w:t>
      </w:r>
    </w:p>
    <w:p>
      <w:pPr/>
      <w:r>
        <w:rPr>
          <w:lang w:val="en_US" w:bidi="en_US"/>
        </w:rPr>
      </w:r>
      <w:r>
        <w:rPr>
          <w:lang w:val="en_US" w:bidi="en_US"/>
        </w:rPr>
        <w:t>…to say that they did not want that man to be their king.</w:t>
      </w:r>
    </w:p>
    <w:p>
      <w:pPr/>
      <w:r>
        <w:rPr>
          <w:lang w:val="en_US" w:bidi="en_US"/>
        </w:rPr>
      </w:r>
      <w:r>
        <w:rPr>
          <w:lang w:val="en_US" w:bidi="en_US"/>
        </w:rPr>
        <w:t xml:space="preserve">…to beg </w:t>
      </w:r>
      <w:r>
        <w:rPr>
          <w:lang w:val="en_US" w:bidi="en_US"/>
        </w:rPr>
        <w:t>the emperor</w:t>
      </w:r>
      <w:r>
        <w:rPr>
          <w:lang w:val="en_US" w:bidi="en_US"/>
        </w:rPr>
        <w:t xml:space="preserve"> not to appoint that nobleman to rule them.</w:t>
      </w:r>
    </w:p>
    <w:p>
      <w:pPr/>
      <w:r>
        <w:rPr>
          <w:lang w:val="en_US" w:bidi="en_US"/>
        </w:rPr>
      </w:r>
      <w:r>
        <w:rPr>
          <w:b/>
          <w:lang w:val="en_US" w:bidi="en_US"/>
        </w:rPr>
        <w:t>We:</w:t>
      </w:r>
      <w:r>
        <w:rPr>
          <w:lang w:val="en_US" w:bidi="en_US"/>
        </w:rPr>
        <w:t xml:space="preserve"> The word </w:t>
      </w:r>
      <w:r>
        <w:rPr>
          <w:i/>
          <w:lang w:val="en_US" w:bidi="en_US"/>
        </w:rPr>
        <w:t>We</w:t>
      </w:r>
      <w:r>
        <w:rPr>
          <w:lang w:val="en_US" w:bidi="en_US"/>
        </w:rPr>
        <w:t xml:space="preserve"> refers to the messengers and their fellow citizens. This group did not include the nobleman.</w:t>
      </w:r>
    </w:p>
    <w:p>
      <w:pPr/>
      <w:r>
        <w:rPr>
          <w:lang w:val="en_US" w:bidi="en_US"/>
        </w:rPr>
      </w:r>
      <w:r>
        <w:rPr>
          <w:b/>
          <w:lang w:val="en_US" w:bidi="en_US"/>
        </w:rPr>
        <w:t>this man:</w:t>
      </w:r>
      <w:r>
        <w:rPr>
          <w:lang w:val="en_US" w:bidi="en_US"/>
        </w:rPr>
        <w:t xml:space="preserve"> The Greek word that the BSB translates as </w:t>
      </w:r>
      <w:r>
        <w:rPr>
          <w:i/>
          <w:lang w:val="en_US" w:bidi="en_US"/>
        </w:rPr>
        <w:t>this man</w:t>
      </w:r>
      <w:r>
        <w:rPr>
          <w:lang w:val="en_US" w:bidi="en_US"/>
        </w:rPr>
        <w:t xml:space="preserve"> is literally “this-one.” It is probably a disrespectful way to refer to him. Consider whether you have a slightly disrespectful term that would be appropriate in this context.</w:t>
      </w:r>
    </w:p>
    <w:p>
      <w:pPr/>
      <w:r>
        <w:rPr>
          <w:lang w:val="en_US" w:bidi="en_US"/>
        </w:rPr>
      </w:r>
      <w:r>
        <w:rPr>
          <w:b/>
          <w:lang w:val="en_US" w:bidi="en_US"/>
        </w:rPr>
        <w:t>to rule over us:</w:t>
      </w:r>
      <w:r>
        <w:rPr>
          <w:lang w:val="en_US" w:bidi="en_US"/>
        </w:rPr>
        <w:t xml:space="preserve"> The Greek phrase that the BSB translates as </w:t>
      </w:r>
      <w:r>
        <w:rPr>
          <w:i/>
          <w:lang w:val="en_US" w:bidi="en_US"/>
        </w:rPr>
        <w:t>to rule over us</w:t>
      </w:r>
      <w:r>
        <w:rPr>
          <w:lang w:val="en_US" w:bidi="en_US"/>
        </w:rPr>
        <w:t xml:space="preserve"> is literally “to-reign-as-king over us.” Another way to translate it is:</w:t>
      </w:r>
    </w:p>
    <w:p>
      <w:pPr/>
      <w:r>
        <w:rPr>
          <w:lang w:val="en_US" w:bidi="en_US"/>
        </w:rPr>
      </w:r>
      <w:r>
        <w:rPr>
          <w:lang w:val="en_US" w:bidi="en_US"/>
        </w:rPr>
        <w:t>to be our king (NIV)</w:t>
      </w:r>
    </w:p>
    <w:p>
      <w:pPr/>
      <w:r>
        <w:rPr>
          <w:lang w:val="en_US" w:bidi="en_US"/>
        </w:rPr>
      </w:r>
      <w:r>
        <w:rPr>
          <w:lang w:val="en_US" w:bidi="en_US"/>
        </w:rPr>
        <w:t>Translate this in a natural way in your language.</w:t>
      </w:r>
      <w:r>
        <w:rPr>
          <w:lang w:val="en_US" w:bidi="en_US"/>
        </w:rPr>
      </w:r>
      <w:r>
        <w:rPr>
          <w:lang w:val="en_US" w:bidi="en_US"/>
        </w:rPr>
      </w:r>
    </w:p>
    <w:p>
      <w:pPr/>
      <w:r>
        <w:rPr>
          <w:lang w:val="en_US" w:bidi="en_US"/>
        </w:rPr>
      </w:r>
    </w:p>
    <w:p>
      <w:pPr>
        <w:pStyle w:val="Heading2"/>
      </w:pPr>
      <w:r>
        <w:rPr>
          <w:lang w:val="en_US" w:bidi="en_US"/>
        </w:rPr>
        <w:t>Luke 19:15</w:t>
      </w:r>
      <w:r>
        <w:rPr>
          <w:lang w:val="en_US" w:bidi="en_US"/>
        </w:rPr>
      </w:r>
    </w:p>
    <w:p>
      <w:pPr>
        <w:pStyle w:val="Heading4"/>
      </w:pPr>
      <w:r>
        <w:rPr>
          <w:lang w:val="en_US" w:bidi="en_US"/>
        </w:rPr>
        <w:t>Section 19:11–27: Jesus told a parable about a king and his ten servants</w:t>
      </w:r>
    </w:p>
    <w:p>
      <w:pPr/>
      <w:r>
        <w:rPr>
          <w:lang w:val="en_US" w:bidi="en_US"/>
        </w:rPr>
      </w:r>
      <w:r>
        <w:rPr>
          <w:lang w:val="en_US" w:bidi="en_US"/>
        </w:rPr>
        <w:t>Many of Jesus’ followers expected that when they arrived in Jerusalem, Jesus would establish the kingdom of God and begin to reign as king. He told the parable in this section to help them understand that events would happen differently than they expected.</w:t>
      </w:r>
    </w:p>
    <w:p>
      <w:pPr/>
      <w:r>
        <w:rPr>
          <w:lang w:val="en_US" w:bidi="en_US"/>
        </w:rPr>
      </w:r>
      <w:r>
        <w:rPr>
          <w:lang w:val="en_US" w:bidi="en_US"/>
        </w:rPr>
        <w:t>There are two main ideas that Jesus taught through this parable:</w:t>
      </w:r>
    </w:p>
    <w:p>
      <w:pPr>
        <w:pStyle w:val="ListNumber"/>
        <w:numPr>
          <w:ilvl w:val="0"/>
          <w:numId w:val="315"/>
        </w:numPr>
        <w:spacing w:line="240" w:lineRule="auto"/>
        <w:ind w:left="720"/>
      </w:pPr>
      <w:r>
        <w:rPr>
          <w:lang w:val="en_US" w:bidi="en_US"/>
        </w:rPr>
      </w:r>
      <w:r>
        <w:rPr>
          <w:lang w:val="en_US" w:bidi="en_US"/>
        </w:rP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Pr>
          <w:lang w:val="en_US" w:bidi="en_US"/>
        </w:rPr>
      </w:r>
      <w:r>
        <w:rPr>
          <w:lang w:val="en_US" w:bidi="en_US"/>
        </w:rPr>
        <w:t>While Jesus is gone, his disciples must serve him faithfully and use whatever he has given them to glorify him.</w:t>
      </w:r>
    </w:p>
    <w:p>
      <w:pPr/>
      <w:r>
        <w:rPr>
          <w:lang w:val="en_US" w:bidi="en_US"/>
        </w:rPr>
      </w:r>
      <w:r>
        <w:rPr>
          <w:lang w:val="en_US" w:bidi="en_US"/>
        </w:rPr>
        <w:t>Other examples of headings for this section are:</w:t>
      </w:r>
    </w:p>
    <w:p>
      <w:pPr/>
      <w:r>
        <w:rPr>
          <w:lang w:val="en_US" w:bidi="en_US"/>
        </w:rPr>
      </w:r>
      <w:r>
        <w:rPr>
          <w:lang w:val="en_US" w:bidi="en_US"/>
        </w:rPr>
        <w:t>The Parable of the Gold Coins (GNT)</w:t>
      </w:r>
    </w:p>
    <w:p>
      <w:pPr/>
      <w:r>
        <w:rPr>
          <w:lang w:val="en_US" w:bidi="en_US"/>
        </w:rPr>
      </w:r>
      <w:r>
        <w:rPr>
          <w:lang w:val="en_US" w:bidi="en_US"/>
        </w:rPr>
        <w:t>Jesus told a parable about ten servants</w:t>
      </w:r>
    </w:p>
    <w:p>
      <w:pPr/>
      <w:r>
        <w:rPr>
          <w:lang w:val="en_US" w:bidi="en_US"/>
        </w:rPr>
      </w:r>
      <w:r>
        <w:rPr>
          <w:lang w:val="en_US" w:bidi="en_US"/>
        </w:rPr>
        <w:t>A parallel passage to this section is found in Matthew 25:14–30.</w:t>
      </w:r>
    </w:p>
    <w:p>
      <w:pPr>
        <w:pStyle w:val="Heading5"/>
      </w:pPr>
      <w:r>
        <w:rPr>
          <w:lang w:val="en_US" w:bidi="en_US"/>
        </w:rPr>
        <w:t>19:15</w:t>
      </w:r>
    </w:p>
    <w:p>
      <w:pPr/>
      <w:r>
        <w:rPr>
          <w:lang w:val="en_US" w:bidi="en_US"/>
        </w:rPr>
      </w:r>
      <w:r>
        <w:rPr>
          <w:lang w:val="en_US" w:bidi="en_US"/>
        </w:rPr>
        <w:t>In the Greek text this verse is one long sentence. It mentions several events that happened after the event in 19:14:</w:t>
      </w:r>
    </w:p>
    <w:p>
      <w:pPr/>
      <w:r>
        <w:rPr>
          <w:lang w:val="en_US" w:bidi="en_US"/>
        </w:rPr>
      </w:r>
      <w:r>
        <w:rPr>
          <w:lang w:val="en_US" w:bidi="en_US"/>
        </w:rPr>
        <w:t>The nobleman was appointed king.</w:t>
      </w:r>
    </w:p>
    <w:p>
      <w:pPr/>
      <w:r>
        <w:rPr>
          <w:lang w:val="en_US" w:bidi="en_US"/>
        </w:rPr>
      </w:r>
      <w:r>
        <w:rPr>
          <w:lang w:val="en_US" w:bidi="en_US"/>
        </w:rPr>
        <w:t>He returned home.</w:t>
      </w:r>
    </w:p>
    <w:p>
      <w:pPr/>
      <w:r>
        <w:rPr>
          <w:lang w:val="en_US" w:bidi="en_US"/>
        </w:rPr>
      </w:r>
      <w:r>
        <w:rPr>
          <w:lang w:val="en_US" w:bidi="en_US"/>
        </w:rPr>
        <w:t>He called his servants.</w:t>
      </w:r>
    </w:p>
    <w:p>
      <w:pPr/>
      <w:r>
        <w:rPr>
          <w:lang w:val="en_US" w:bidi="en_US"/>
        </w:rPr>
      </w:r>
      <w:r>
        <w:rPr>
          <w:lang w:val="en_US" w:bidi="en_US"/>
        </w:rPr>
        <w:t>He asked them what profit they had made with the money he gave them.</w:t>
      </w:r>
    </w:p>
    <w:p>
      <w:pPr/>
      <w:r>
        <w:rPr>
          <w:lang w:val="en_US" w:bidi="en_US"/>
        </w:rPr>
      </w:r>
      <w:r>
        <w:rPr>
          <w:lang w:val="en_US" w:bidi="en_US"/>
        </w:rPr>
        <w:t>In many languages, it will be helpful to use shorter clauses or sentences. See the examples in the following notes.</w:t>
      </w:r>
    </w:p>
    <w:p>
      <w:pPr>
        <w:pStyle w:val="Heading5"/>
      </w:pPr>
      <w:r>
        <w:rPr>
          <w:lang w:val="en_US" w:bidi="en_US"/>
        </w:rPr>
        <w:t>19:15a</w:t>
      </w:r>
    </w:p>
    <w:p>
      <w:pPr/>
      <w:r>
        <w:rPr>
          <w:lang w:val="en_US" w:bidi="en_US"/>
        </w:rPr>
      </w:r>
      <w:r>
        <w:rPr>
          <w:b/>
          <w:lang w:val="en_US" w:bidi="en_US"/>
        </w:rPr>
        <w:t>When he returned from procuring his kingship,</w:t>
      </w:r>
    </w:p>
    <w:p>
      <w:pPr>
        <w:pStyle w:val="ListBullet"/>
        <w:spacing w:line="240" w:lineRule="auto"/>
        <w:ind w:left="720"/>
      </w:pPr>
      <w:r>
        <w:rPr>
          <w:lang w:val="en_US" w:bidi="en_US"/>
        </w:rPr>
      </w:r>
      <w:r>
        <w:rPr>
          <w:lang w:val="en_US" w:bidi="en_US"/>
        </w:rPr>
        <w:t xml:space="preserve">¶ “After </w:t>
      </w:r>
      <w:r>
        <w:rPr>
          <w:lang w:val="en_US" w:bidi="en_US"/>
        </w:rPr>
        <w:t>the emperor</w:t>
      </w:r>
      <w:r>
        <w:rPr>
          <w:lang w:val="en_US" w:bidi="en_US"/>
        </w:rPr>
        <w:t xml:space="preserve"> appointed him to be king, he returned home.</w:t>
      </w:r>
    </w:p>
    <w:p>
      <w:pPr>
        <w:pStyle w:val="ListBullet"/>
        <w:spacing w:line="240" w:lineRule="auto"/>
        <w:ind w:left="720"/>
      </w:pPr>
      <w:r>
        <w:rPr>
          <w:lang w:val="en_US" w:bidi="en_US"/>
        </w:rPr>
      </w:r>
      <w:r>
        <w:rPr>
          <w:lang w:val="en_US" w:bidi="en_US"/>
        </w:rPr>
        <w:t>¶ “As it happened, the nobleman did receive the right to be the king. When he returned to his country as king,</w:t>
      </w:r>
    </w:p>
    <w:p>
      <w:pPr/>
      <w:r>
        <w:rPr>
          <w:lang w:val="en_US" w:bidi="en_US"/>
        </w:rPr>
      </w:r>
      <w:r>
        <w:rPr>
          <w:b/>
          <w:lang w:val="en_US" w:bidi="en_US"/>
        </w:rPr>
        <w:t>When he returned from procuring his kingship:</w:t>
      </w:r>
      <w:r>
        <w:rPr>
          <w:lang w:val="en_US" w:bidi="en_US"/>
        </w:rPr>
        <w:t xml:space="preserve"> This statement tells two events. In Greek the events are in the opposite order, literally: “And it happened upon his return, having received the kingdom….” The BSB follows this order. Some versions relate the events in the order in which they happened. For example:</w:t>
      </w:r>
    </w:p>
    <w:p>
      <w:pPr/>
      <w:r>
        <w:rPr>
          <w:lang w:val="en_US" w:bidi="en_US"/>
        </w:rPr>
      </w:r>
      <w:r>
        <w:rPr>
          <w:lang w:val="en_US" w:bidi="en_US"/>
        </w:rPr>
        <w:t>He was made king, however, and returned home (NIV)</w:t>
      </w:r>
    </w:p>
    <w:p>
      <w:pPr/>
      <w:r>
        <w:rPr>
          <w:lang w:val="en_US" w:bidi="en_US"/>
        </w:rPr>
      </w:r>
      <w:r>
        <w:rPr>
          <w:lang w:val="en_US" w:bidi="en_US"/>
        </w:rPr>
        <w:t>Use a natural order in your language. Some versions translate this part of the verse as an introductory clause. For example:</w:t>
      </w:r>
    </w:p>
    <w:p>
      <w:pPr/>
      <w:r>
        <w:rPr>
          <w:lang w:val="en_US" w:bidi="en_US"/>
        </w:rPr>
      </w:r>
      <w:r>
        <w:rPr>
          <w:lang w:val="en_US" w:bidi="en_US"/>
        </w:rPr>
        <w:t>When he returned, having received royal power (NRSV)</w:t>
      </w:r>
    </w:p>
    <w:p>
      <w:pPr/>
      <w:r>
        <w:rPr>
          <w:lang w:val="en_US" w:bidi="en_US"/>
        </w:rPr>
      </w:r>
      <w:r>
        <w:rPr>
          <w:b/>
          <w:lang w:val="en_US" w:bidi="en_US"/>
        </w:rPr>
        <w:t>from procuring his kingship:</w:t>
      </w:r>
      <w:r>
        <w:rPr>
          <w:lang w:val="en_US" w:bidi="en_US"/>
        </w:rPr>
        <w:t xml:space="preserve"> The Greek clause that the BSB translates as </w:t>
      </w:r>
      <w:r>
        <w:rPr>
          <w:i/>
          <w:lang w:val="en_US" w:bidi="en_US"/>
        </w:rPr>
        <w:t>from procuring his kingship</w:t>
      </w:r>
      <w:r>
        <w:rPr>
          <w:lang w:val="en_US" w:bidi="en_US"/>
        </w:rPr>
        <w:t xml:space="preserve"> indicates that the emperor appointed him to be king of his country. The phrase </w:t>
      </w:r>
      <w:r>
        <w:rPr>
          <w:i/>
          <w:lang w:val="en_US" w:bidi="en_US"/>
        </w:rPr>
        <w:t>procuring his kingship</w:t>
      </w:r>
      <w:r>
        <w:rPr>
          <w:lang w:val="en_US" w:bidi="en_US"/>
        </w:rPr>
        <w:t xml:space="preserve"> is similar to the phrase “lay claim to his kingship” in 19:12c. You may be able to use a similar phrase here.</w:t>
      </w:r>
    </w:p>
    <w:p>
      <w:pPr>
        <w:pStyle w:val="Heading5"/>
      </w:pPr>
      <w:r>
        <w:rPr>
          <w:lang w:val="en_US" w:bidi="en_US"/>
        </w:rPr>
        <w:t>19:15b</w:t>
      </w:r>
    </w:p>
    <w:p>
      <w:pPr/>
      <w:r>
        <w:rPr>
          <w:lang w:val="en_US" w:bidi="en_US"/>
        </w:rPr>
      </w:r>
      <w:r>
        <w:rPr>
          <w:b/>
          <w:lang w:val="en_US" w:bidi="en_US"/>
        </w:rPr>
        <w:t>he summoned the servants to whom he had given the money,</w:t>
      </w:r>
    </w:p>
    <w:p>
      <w:pPr>
        <w:pStyle w:val="ListBullet"/>
        <w:spacing w:line="240" w:lineRule="auto"/>
        <w:ind w:left="720"/>
      </w:pPr>
      <w:r>
        <w:rPr>
          <w:lang w:val="en_US" w:bidi="en_US"/>
        </w:rPr>
      </w:r>
      <w:r>
        <w:rPr>
          <w:lang w:val="en_US" w:bidi="en_US"/>
        </w:rPr>
        <w:t xml:space="preserve">Then he told/called the </w:t>
      </w:r>
      <w:r>
        <w:rPr>
          <w:lang w:val="en_US" w:bidi="en_US"/>
        </w:rPr>
        <w:t>ten</w:t>
      </w:r>
      <w:r>
        <w:rPr>
          <w:lang w:val="en_US" w:bidi="en_US"/>
        </w:rPr>
        <w:t xml:space="preserve"> servants who he entrusted with money to come to him</w:t>
      </w:r>
    </w:p>
    <w:p>
      <w:pPr>
        <w:pStyle w:val="ListBullet"/>
        <w:spacing w:line="240" w:lineRule="auto"/>
        <w:ind w:left="720"/>
      </w:pPr>
      <w:r>
        <w:rPr>
          <w:lang w:val="en_US" w:bidi="en_US"/>
        </w:rPr>
      </w:r>
      <w:r>
        <w:rPr>
          <w:lang w:val="en_US" w:bidi="en_US"/>
        </w:rPr>
        <w:t>he summoned the servants who had been managing/investing his money.</w:t>
      </w:r>
    </w:p>
    <w:p>
      <w:pPr>
        <w:pStyle w:val="ListBullet"/>
        <w:spacing w:line="240" w:lineRule="auto"/>
        <w:ind w:left="720"/>
      </w:pPr>
      <w:r>
        <w:rPr>
          <w:lang w:val="en_US" w:bidi="en_US"/>
        </w:rPr>
      </w:r>
      <w:r>
        <w:rPr>
          <w:lang w:val="en_US" w:bidi="en_US"/>
        </w:rPr>
        <w:t xml:space="preserve">he ordered </w:t>
      </w:r>
      <w:r>
        <w:rPr>
          <w:lang w:val="en_US" w:bidi="en_US"/>
        </w:rPr>
        <w:t>a servant</w:t>
      </w:r>
      <w:r>
        <w:rPr>
          <w:lang w:val="en_US" w:bidi="en_US"/>
        </w:rPr>
        <w:t xml:space="preserve"> to tell the servants who had received money to come to him.</w:t>
      </w:r>
    </w:p>
    <w:p>
      <w:pPr/>
      <w:r>
        <w:rPr>
          <w:lang w:val="en_US" w:bidi="en_US"/>
        </w:rPr>
      </w:r>
      <w:r>
        <w:rPr>
          <w:lang w:val="en_US" w:bidi="en_US"/>
        </w:rPr>
        <w:t>Versions such as the NIV and GW add the conjunction “then" to introduce the next event. However, there is no conjunction in the Greek text after the introductory clause in 19:15a. Other ways to connect the events in 19:15a and 19:15b are:</w:t>
      </w:r>
    </w:p>
    <w:p>
      <w:pPr/>
      <w:r>
        <w:rPr>
          <w:lang w:val="en_US" w:bidi="en_US"/>
        </w:rPr>
      </w:r>
      <w:r>
        <w:rPr>
          <w:lang w:val="en_US" w:bidi="en_US"/>
        </w:rPr>
        <w:t xml:space="preserve">After the prince had been made king, he returned </w:t>
      </w:r>
      <w:r>
        <w:rPr>
          <w:u w:val="single"/>
          <w:lang w:val="en_US" w:bidi="en_US"/>
        </w:rPr>
        <w:t>and</w:t>
      </w:r>
      <w:r>
        <w:rPr>
          <w:lang w:val="en_US" w:bidi="en_US"/>
        </w:rPr>
        <w:t xml:space="preserve"> called in his servants. (CEV)</w:t>
      </w:r>
    </w:p>
    <w:p>
      <w:pPr/>
      <w:r>
        <w:rPr>
          <w:lang w:val="en_US" w:bidi="en_US"/>
        </w:rPr>
      </w:r>
      <w:r>
        <w:rPr>
          <w:lang w:val="en_US" w:bidi="en_US"/>
        </w:rPr>
        <w:t xml:space="preserve">But the man became king. </w:t>
      </w:r>
      <w:r>
        <w:rPr>
          <w:u w:val="single"/>
          <w:lang w:val="en_US" w:bidi="en_US"/>
        </w:rPr>
        <w:t>When</w:t>
      </w:r>
      <w:r>
        <w:rPr>
          <w:lang w:val="en_US" w:bidi="en_US"/>
        </w:rPr>
        <w:t xml:space="preserve"> he returned home, he said, ‘Call those servants….’ (NCV)</w:t>
      </w:r>
    </w:p>
    <w:p>
      <w:pPr/>
      <w:r>
        <w:rPr>
          <w:lang w:val="en_US" w:bidi="en_US"/>
        </w:rPr>
      </w:r>
      <w:r>
        <w:rPr>
          <w:b/>
          <w:lang w:val="en_US" w:bidi="en_US"/>
        </w:rPr>
        <w:t>he summoned the servants:</w:t>
      </w:r>
      <w:r>
        <w:rPr>
          <w:lang w:val="en_US" w:bidi="en_US"/>
        </w:rPr>
        <w:t xml:space="preserve"> The clause </w:t>
      </w:r>
      <w:r>
        <w:rPr>
          <w:i/>
          <w:lang w:val="en_US" w:bidi="en_US"/>
        </w:rPr>
        <w:t>he summoned the servants</w:t>
      </w:r>
      <w:r>
        <w:rPr>
          <w:lang w:val="en_US" w:bidi="en_US"/>
        </w:rPr>
        <w:t xml:space="preserve"> indicates that the nobleman called for the servants to come to him. He may have spoken to them directly or he may have told another servant to summon them. Some other ways to translate the phrase are:</w:t>
      </w:r>
    </w:p>
    <w:p>
      <w:pPr/>
      <w:r>
        <w:rPr>
          <w:lang w:val="en_US" w:bidi="en_US"/>
        </w:rPr>
      </w:r>
      <w:r>
        <w:rPr>
          <w:lang w:val="en_US" w:bidi="en_US"/>
        </w:rPr>
        <w:t>he ordered that these slaves…be called to him (NASB)</w:t>
      </w:r>
    </w:p>
    <w:p>
      <w:pPr/>
      <w:r>
        <w:rPr>
          <w:lang w:val="en_US" w:bidi="en_US"/>
        </w:rPr>
      </w:r>
      <w:r>
        <w:rPr>
          <w:lang w:val="en_US" w:bidi="en_US"/>
        </w:rPr>
        <w:t>he sent for the servants (NIV)</w:t>
      </w:r>
    </w:p>
    <w:p>
      <w:pPr/>
      <w:r>
        <w:rPr>
          <w:lang w:val="en_US" w:bidi="en_US"/>
        </w:rPr>
      </w:r>
      <w:r>
        <w:rPr>
          <w:lang w:val="en_US" w:bidi="en_US"/>
        </w:rPr>
        <w:t xml:space="preserve">he told </w:t>
      </w:r>
      <w:r>
        <w:rPr>
          <w:lang w:val="en_US" w:bidi="en_US"/>
        </w:rPr>
        <w:t>someone</w:t>
      </w:r>
      <w:r>
        <w:rPr>
          <w:lang w:val="en_US" w:bidi="en_US"/>
        </w:rPr>
        <w:t xml:space="preserve"> to call the servants</w:t>
      </w:r>
    </w:p>
    <w:p>
      <w:pPr/>
      <w:r>
        <w:rPr>
          <w:lang w:val="en_US" w:bidi="en_US"/>
        </w:rPr>
      </w:r>
      <w:r>
        <w:rPr>
          <w:lang w:val="en_US" w:bidi="en_US"/>
        </w:rPr>
        <w:t>he told the servants…, “Come, see me!”</w:t>
      </w:r>
    </w:p>
    <w:p>
      <w:pPr/>
      <w:r>
        <w:rPr>
          <w:lang w:val="en_US" w:bidi="en_US"/>
        </w:rPr>
      </w:r>
      <w:r>
        <w:rPr>
          <w:b/>
          <w:lang w:val="en_US" w:bidi="en_US"/>
        </w:rPr>
        <w:t>the servants to whom he had given the money:</w:t>
      </w:r>
      <w:r>
        <w:rPr>
          <w:lang w:val="en_US" w:bidi="en_US"/>
        </w:rPr>
        <w:t xml:space="preserve"> The phrase </w:t>
      </w:r>
      <w:r>
        <w:rPr>
          <w:i/>
          <w:lang w:val="en_US" w:bidi="en_US"/>
        </w:rPr>
        <w:t>to whom he had given the money</w:t>
      </w:r>
      <w:r>
        <w:rPr>
          <w:lang w:val="en_US" w:bidi="en_US"/>
        </w:rPr>
        <w:t xml:space="preserve"> identifies which servants the king called. It refers back to the action in 19:13b. There the nobleman gave each of these servants some money to manage for him while he was away. He did not give it to them to own.</w:t>
      </w:r>
    </w:p>
    <w:p>
      <w:pPr/>
      <w:r>
        <w:rPr>
          <w:lang w:val="en_US" w:bidi="en_US"/>
        </w:rPr>
      </w:r>
      <w:r>
        <w:rPr>
          <w:lang w:val="en_US" w:bidi="en_US"/>
        </w:rPr>
        <w:t>Refer back to these servants in a natural way in your language. In some languages it may be more natural not to repeat the identifying phrase. For example:</w:t>
      </w:r>
    </w:p>
    <w:p>
      <w:pPr/>
      <w:r>
        <w:rPr>
          <w:lang w:val="en_US" w:bidi="en_US"/>
        </w:rPr>
      </w:r>
      <w:r>
        <w:rPr>
          <w:lang w:val="en_US" w:bidi="en_US"/>
        </w:rPr>
        <w:t>his servants (GNT, CEV)</w:t>
      </w:r>
    </w:p>
    <w:p>
      <w:pPr/>
      <w:r>
        <w:rPr>
          <w:lang w:val="en_US" w:bidi="en_US"/>
        </w:rPr>
      </w:r>
      <w:r>
        <w:rPr>
          <w:b/>
          <w:lang w:val="en_US" w:bidi="en_US"/>
        </w:rPr>
        <w:t>the money:</w:t>
      </w:r>
      <w:r>
        <w:rPr>
          <w:lang w:val="en_US" w:bidi="en_US"/>
        </w:rPr>
        <w:t xml:space="preserve"> The Greek phrase that the BSB translates as </w:t>
      </w:r>
      <w:r>
        <w:rPr>
          <w:i/>
          <w:lang w:val="en_US" w:bidi="en_US"/>
        </w:rPr>
        <w:t>the money</w:t>
      </w:r>
      <w:r>
        <w:rPr>
          <w:lang w:val="en_US" w:bidi="en_US"/>
        </w:rPr>
        <w:t xml:space="preserve"> is literally “the silver.” It refers back to the minas in 19:13b. See how you translated the phrase there and refer back to this money in a natural way in your language.</w:t>
      </w:r>
    </w:p>
    <w:p>
      <w:pPr>
        <w:pStyle w:val="Heading5"/>
      </w:pPr>
      <w:r>
        <w:rPr>
          <w:lang w:val="en_US" w:bidi="en_US"/>
        </w:rPr>
        <w:t>19:15c</w:t>
      </w:r>
    </w:p>
    <w:p>
      <w:pPr/>
      <w:r>
        <w:rPr>
          <w:lang w:val="en_US" w:bidi="en_US"/>
        </w:rPr>
      </w:r>
      <w:r>
        <w:rPr>
          <w:b/>
          <w:lang w:val="en_US" w:bidi="en_US"/>
        </w:rPr>
        <w:t>to find out what each one had earned.</w:t>
      </w:r>
    </w:p>
    <w:p>
      <w:pPr>
        <w:pStyle w:val="ListBullet"/>
        <w:spacing w:line="240" w:lineRule="auto"/>
        <w:ind w:left="720"/>
      </w:pPr>
      <w:r>
        <w:rPr>
          <w:lang w:val="en_US" w:bidi="en_US"/>
        </w:rPr>
      </w:r>
      <w:r>
        <w:rPr>
          <w:lang w:val="en_US" w:bidi="en_US"/>
        </w:rPr>
        <w:t>so that he could hear a report of their profits.</w:t>
      </w:r>
    </w:p>
    <w:p>
      <w:pPr>
        <w:pStyle w:val="ListBullet"/>
        <w:spacing w:line="240" w:lineRule="auto"/>
        <w:ind w:left="720"/>
      </w:pPr>
      <w:r>
        <w:rPr>
          <w:lang w:val="en_US" w:bidi="en_US"/>
        </w:rPr>
      </w:r>
      <w:r>
        <w:rPr>
          <w:lang w:val="en_US" w:bidi="en_US"/>
        </w:rPr>
        <w:t xml:space="preserve">He wanted to know how much </w:t>
      </w:r>
      <w:r>
        <w:rPr>
          <w:lang w:val="en_US" w:bidi="en_US"/>
        </w:rPr>
        <w:t>more money</w:t>
      </w:r>
      <w:r>
        <w:rPr>
          <w:lang w:val="en_US" w:bidi="en_US"/>
        </w:rPr>
        <w:t xml:space="preserve"> they had earned with it.</w:t>
      </w:r>
    </w:p>
    <w:p>
      <w:pPr>
        <w:pStyle w:val="ListBullet"/>
        <w:spacing w:line="240" w:lineRule="auto"/>
        <w:ind w:left="720"/>
      </w:pPr>
      <w:r>
        <w:rPr>
          <w:lang w:val="en_US" w:bidi="en_US"/>
        </w:rPr>
      </w:r>
      <w:r>
        <w:rPr>
          <w:lang w:val="en_US" w:bidi="en_US"/>
        </w:rPr>
        <w:t xml:space="preserve">He did this in order to know how much </w:t>
      </w:r>
      <w:r>
        <w:rPr>
          <w:lang w:val="en_US" w:bidi="en_US"/>
        </w:rPr>
        <w:t>more money</w:t>
      </w:r>
      <w:r>
        <w:rPr>
          <w:lang w:val="en_US" w:bidi="en_US"/>
        </w:rPr>
        <w:t xml:space="preserve"> they had gained through their business/trading.</w:t>
      </w:r>
    </w:p>
    <w:p>
      <w:pPr/>
      <w:r>
        <w:rPr>
          <w:lang w:val="en_US" w:bidi="en_US"/>
        </w:rPr>
      </w:r>
      <w:r>
        <w:rPr>
          <w:b/>
          <w:lang w:val="en_US" w:bidi="en_US"/>
        </w:rPr>
        <w:t>to find out what each one had earned:</w:t>
      </w:r>
      <w:r>
        <w:rPr>
          <w:lang w:val="en_US" w:bidi="en_US"/>
        </w:rPr>
        <w:t xml:space="preserve"> This phrase tells the purpose for which the king called his servants. He called them to hear what profit they had gained from doing business with his money. Some ways to translate the purpose are:</w:t>
      </w:r>
    </w:p>
    <w:p>
      <w:pPr/>
      <w:r>
        <w:rPr>
          <w:lang w:val="en_US" w:bidi="en_US"/>
        </w:rPr>
      </w:r>
      <w:r>
        <w:rPr>
          <w:lang w:val="en_US" w:bidi="en_US"/>
        </w:rPr>
        <w:t>He wanted to know how much they had earned by trading. (NET)</w:t>
      </w:r>
    </w:p>
    <w:p>
      <w:pPr/>
      <w:r>
        <w:rPr>
          <w:lang w:val="en_US" w:bidi="en_US"/>
        </w:rPr>
      </w:r>
      <w:r>
        <w:rPr>
          <w:lang w:val="en_US" w:bidi="en_US"/>
        </w:rPr>
        <w:t>…so I can know how much they earned with it. (NCV)</w:t>
      </w:r>
    </w:p>
    <w:p>
      <w:pPr/>
      <w:r>
        <w:rPr>
          <w:lang w:val="en_US" w:bidi="en_US"/>
        </w:rPr>
      </w:r>
      <w:r>
        <w:rPr>
          <w:lang w:val="en_US" w:bidi="en_US"/>
        </w:rPr>
        <w:t>He wanted to find out what their profits were. (NLT)</w:t>
      </w:r>
    </w:p>
    <w:p>
      <w:pPr/>
      <w:r>
        <w:rPr>
          <w:lang w:val="en_US" w:bidi="en_US"/>
        </w:rPr>
      </w:r>
      <w:r>
        <w:rPr>
          <w:b/>
          <w:lang w:val="en_US" w:bidi="en_US"/>
        </w:rPr>
        <w:t>what each one had earned:</w:t>
      </w:r>
      <w:r>
        <w:rPr>
          <w:lang w:val="en_US" w:bidi="en_US"/>
        </w:rPr>
        <w:t xml:space="preserve"> The Greek phrase that the BSB translates as </w:t>
      </w:r>
      <w:r>
        <w:rPr>
          <w:i/>
          <w:lang w:val="en_US" w:bidi="en_US"/>
        </w:rPr>
        <w:t>what each one had earned</w:t>
      </w:r>
      <w:r>
        <w:rPr>
          <w:lang w:val="en_US" w:bidi="en_US"/>
        </w:rPr>
        <w:t xml:space="preserve"> refers to additional money that the servants may have earned from trading with their master’s money.</w:t>
      </w:r>
    </w:p>
    <w:p>
      <w:pPr>
        <w:pStyle w:val="Heading6"/>
      </w:pPr>
      <w:r>
        <w:rPr>
          <w:b/>
          <w:lang w:val="en_US" w:bidi="en_US"/>
        </w:rPr>
        <w:t>General Comment on 19:15b–c</w:t>
      </w:r>
    </w:p>
    <w:p>
      <w:pPr/>
      <w:r>
        <w:rPr>
          <w:lang w:val="en_US" w:bidi="en_US"/>
        </w:rPr>
      </w:r>
      <w:r>
        <w:rPr>
          <w:lang w:val="en_US" w:bidi="en_US"/>
        </w:rPr>
        <w:t>In some languages it may be more natural to change the order of 19:15b and 19:15c. For example:</w:t>
      </w:r>
    </w:p>
    <w:p>
      <w:pPr/>
      <w:r>
        <w:rPr>
          <w:lang w:val="en_US" w:bidi="en_US"/>
        </w:rPr>
      </w:r>
      <w:r>
        <w:rPr>
          <w:vertAlign w:val="superscript"/>
          <w:lang w:val="en_US" w:bidi="en_US"/>
        </w:rPr>
        <w:t>15c</w:t>
      </w:r>
      <w:r>
        <w:rPr>
          <w:lang w:val="en_US" w:bidi="en_US"/>
        </w:rPr>
        <w:t xml:space="preserve">Intending to find out how much money they had made, </w:t>
      </w:r>
      <w:r>
        <w:rPr>
          <w:vertAlign w:val="superscript"/>
          <w:lang w:val="en_US" w:bidi="en_US"/>
        </w:rPr>
        <w:t>15b</w:t>
      </w:r>
      <w:r>
        <w:rPr>
          <w:lang w:val="en_US" w:bidi="en_US"/>
        </w:rPr>
        <w:t>he summoned the servants to whom he had given the money.</w:t>
      </w:r>
    </w:p>
    <w:p>
      <w:pPr/>
      <w:r>
        <w:rPr>
          <w:lang w:val="en_US" w:bidi="en_US"/>
        </w:rPr>
      </w:r>
      <w:r>
        <w:rPr>
          <w:lang w:val="en_US" w:bidi="en_US"/>
        </w:rPr>
        <w:t>In some languages it may be more natural to use direct speech here. For example:</w:t>
      </w:r>
    </w:p>
    <w:p>
      <w:pPr/>
      <w:r>
        <w:rPr>
          <w:lang w:val="en_US" w:bidi="en_US"/>
        </w:rPr>
      </w:r>
      <w:r>
        <w:rPr>
          <w:lang w:val="en_US" w:bidi="en_US"/>
        </w:rPr>
        <w:t>Then he said, ‘Call those servants to whom I gave money. I want to know how much each one has made by investing.’ (GW)</w:t>
      </w:r>
    </w:p>
    <w:p>
      <w:pPr/>
      <w:r>
        <w:rPr>
          <w:lang w:val="en_US" w:bidi="en_US"/>
        </w:rPr>
      </w:r>
      <w:r>
        <w:rPr>
          <w:lang w:val="en_US" w:bidi="en_US"/>
        </w:rPr>
        <w:t>He thought, “I want to know how much money the servants have made,” so he called them.</w:t>
      </w:r>
    </w:p>
    <w:p>
      <w:pPr/>
      <w:r>
        <w:rPr>
          <w:lang w:val="en_US" w:bidi="en_US"/>
        </w:rPr>
      </w:r>
      <w:r>
        <w:rPr>
          <w:lang w:val="en_US" w:bidi="en_US"/>
        </w:rPr>
        <w:t xml:space="preserve">He called for the servants and he asked them, “What </w:t>
      </w:r>
      <w:r>
        <w:rPr>
          <w:lang w:val="en_US" w:bidi="en_US"/>
        </w:rPr>
        <w:t>money</w:t>
      </w:r>
      <w:r>
        <w:rPr>
          <w:lang w:val="en_US" w:bidi="en_US"/>
        </w:rPr>
        <w:t xml:space="preserve"> have you gained with the money I gave you?”</w:t>
      </w:r>
    </w:p>
    <w:p>
      <w:pPr/>
      <w:r>
        <w:rPr>
          <w:lang w:val="en_US" w:bidi="en_US"/>
        </w:rPr>
      </w:r>
      <w:r>
        <w:rPr>
          <w:lang w:val="en_US" w:bidi="en_US"/>
        </w:rPr>
        <w:t>In some languages it may be natural to have direct speech within direct speech. For example:</w:t>
      </w:r>
    </w:p>
    <w:p>
      <w:pPr/>
      <w:r>
        <w:rPr>
          <w:lang w:val="en_US" w:bidi="en_US"/>
        </w:rPr>
      </w:r>
      <w:r>
        <w:rPr>
          <w:lang w:val="en_US" w:bidi="en_US"/>
        </w:rPr>
        <w:t>Then he said, “Call those servants to whom I gave money and tell them, ‘Come and report to the master what you have earned from the money he entrusted to you.’”</w:t>
      </w:r>
      <w:r>
        <w:rPr>
          <w:lang w:val="en_US" w:bidi="en_US"/>
        </w:rPr>
      </w:r>
      <w:r>
        <w:rPr>
          <w:lang w:val="en_US" w:bidi="en_US"/>
        </w:rPr>
      </w:r>
    </w:p>
    <w:p>
      <w:pPr/>
      <w:r>
        <w:rPr>
          <w:lang w:val="en_US" w:bidi="en_US"/>
        </w:rPr>
      </w:r>
    </w:p>
    <w:p>
      <w:pPr>
        <w:pStyle w:val="Heading2"/>
      </w:pPr>
      <w:r>
        <w:rPr>
          <w:lang w:val="en_US" w:bidi="en_US"/>
        </w:rPr>
        <w:t>Luke 19:16</w:t>
      </w:r>
      <w:r>
        <w:rPr>
          <w:lang w:val="en_US" w:bidi="en_US"/>
        </w:rPr>
      </w:r>
    </w:p>
    <w:p>
      <w:pPr>
        <w:pStyle w:val="Heading4"/>
      </w:pPr>
      <w:r>
        <w:rPr>
          <w:lang w:val="en_US" w:bidi="en_US"/>
        </w:rPr>
        <w:t>Section 19:11–27: Jesus told a parable about a king and his ten servants</w:t>
      </w:r>
    </w:p>
    <w:p>
      <w:pPr/>
      <w:r>
        <w:rPr>
          <w:lang w:val="en_US" w:bidi="en_US"/>
        </w:rPr>
      </w:r>
      <w:r>
        <w:rPr>
          <w:lang w:val="en_US" w:bidi="en_US"/>
        </w:rPr>
        <w:t>Many of Jesus’ followers expected that when they arrived in Jerusalem, Jesus would establish the kingdom of God and begin to reign as king. He told the parable in this section to help them understand that events would happen differently than they expected.</w:t>
      </w:r>
    </w:p>
    <w:p>
      <w:pPr/>
      <w:r>
        <w:rPr>
          <w:lang w:val="en_US" w:bidi="en_US"/>
        </w:rPr>
      </w:r>
      <w:r>
        <w:rPr>
          <w:lang w:val="en_US" w:bidi="en_US"/>
        </w:rPr>
        <w:t>There are two main ideas that Jesus taught through this parable:</w:t>
      </w:r>
    </w:p>
    <w:p>
      <w:pPr>
        <w:pStyle w:val="ListNumber"/>
        <w:numPr>
          <w:ilvl w:val="0"/>
          <w:numId w:val="316"/>
        </w:numPr>
        <w:spacing w:line="240" w:lineRule="auto"/>
        <w:ind w:left="720"/>
      </w:pPr>
      <w:r>
        <w:rPr>
          <w:lang w:val="en_US" w:bidi="en_US"/>
        </w:rPr>
      </w:r>
      <w:r>
        <w:rPr>
          <w:lang w:val="en_US" w:bidi="en_US"/>
        </w:rP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Pr>
          <w:lang w:val="en_US" w:bidi="en_US"/>
        </w:rPr>
      </w:r>
      <w:r>
        <w:rPr>
          <w:lang w:val="en_US" w:bidi="en_US"/>
        </w:rPr>
        <w:t>While Jesus is gone, his disciples must serve him faithfully and use whatever he has given them to glorify him.</w:t>
      </w:r>
    </w:p>
    <w:p>
      <w:pPr/>
      <w:r>
        <w:rPr>
          <w:lang w:val="en_US" w:bidi="en_US"/>
        </w:rPr>
      </w:r>
      <w:r>
        <w:rPr>
          <w:lang w:val="en_US" w:bidi="en_US"/>
        </w:rPr>
        <w:t>Other examples of headings for this section are:</w:t>
      </w:r>
    </w:p>
    <w:p>
      <w:pPr/>
      <w:r>
        <w:rPr>
          <w:lang w:val="en_US" w:bidi="en_US"/>
        </w:rPr>
      </w:r>
      <w:r>
        <w:rPr>
          <w:lang w:val="en_US" w:bidi="en_US"/>
        </w:rPr>
        <w:t>The Parable of the Gold Coins (GNT)</w:t>
      </w:r>
    </w:p>
    <w:p>
      <w:pPr/>
      <w:r>
        <w:rPr>
          <w:lang w:val="en_US" w:bidi="en_US"/>
        </w:rPr>
      </w:r>
      <w:r>
        <w:rPr>
          <w:lang w:val="en_US" w:bidi="en_US"/>
        </w:rPr>
        <w:t>Jesus told a parable about ten servants</w:t>
      </w:r>
    </w:p>
    <w:p>
      <w:pPr/>
      <w:r>
        <w:rPr>
          <w:lang w:val="en_US" w:bidi="en_US"/>
        </w:rPr>
      </w:r>
      <w:r>
        <w:rPr>
          <w:lang w:val="en_US" w:bidi="en_US"/>
        </w:rPr>
        <w:t>A parallel passage to this section is found in Matthew 25:14–30.</w:t>
      </w:r>
    </w:p>
    <w:p>
      <w:pPr>
        <w:pStyle w:val="Heading5"/>
      </w:pPr>
      <w:r>
        <w:rPr>
          <w:lang w:val="en_US" w:bidi="en_US"/>
        </w:rPr>
        <w:t>19:16a</w:t>
      </w:r>
    </w:p>
    <w:p>
      <w:pPr/>
      <w:r>
        <w:rPr>
          <w:lang w:val="en_US" w:bidi="en_US"/>
        </w:rPr>
      </w:r>
      <w:r>
        <w:rPr>
          <w:b/>
          <w:lang w:val="en_US" w:bidi="en_US"/>
        </w:rPr>
        <w:t>The first servant came forward and said,</w:t>
      </w:r>
    </w:p>
    <w:p>
      <w:pPr>
        <w:pStyle w:val="ListBullet"/>
        <w:spacing w:line="240" w:lineRule="auto"/>
        <w:ind w:left="720"/>
      </w:pPr>
      <w:r>
        <w:rPr>
          <w:lang w:val="en_US" w:bidi="en_US"/>
        </w:rPr>
      </w:r>
      <w:r>
        <w:rPr>
          <w:lang w:val="en_US" w:bidi="en_US"/>
        </w:rPr>
        <w:t xml:space="preserve">The first </w:t>
      </w:r>
      <w:r>
        <w:rPr>
          <w:lang w:val="en_US" w:bidi="en_US"/>
        </w:rPr>
        <w:t>servant</w:t>
      </w:r>
      <w:r>
        <w:rPr>
          <w:lang w:val="en_US" w:bidi="en_US"/>
        </w:rPr>
        <w:t xml:space="preserve"> came and said </w:t>
      </w:r>
      <w:r>
        <w:rPr>
          <w:lang w:val="en_US" w:bidi="en_US"/>
        </w:rPr>
        <w:t>to him</w:t>
      </w:r>
      <w:r>
        <w:rPr>
          <w:lang w:val="en_US" w:bidi="en_US"/>
        </w:rPr>
        <w:t>,</w:t>
      </w:r>
    </w:p>
    <w:p>
      <w:pPr>
        <w:pStyle w:val="ListBullet"/>
        <w:spacing w:line="240" w:lineRule="auto"/>
        <w:ind w:left="720"/>
      </w:pPr>
      <w:r>
        <w:rPr>
          <w:lang w:val="en_US" w:bidi="en_US"/>
        </w:rPr>
      </w:r>
      <w:r>
        <w:rPr>
          <w:lang w:val="en_US" w:bidi="en_US"/>
        </w:rPr>
        <w:t xml:space="preserve">One </w:t>
      </w:r>
      <w:r>
        <w:rPr>
          <w:lang w:val="en_US" w:bidi="en_US"/>
        </w:rPr>
        <w:t>of the servants</w:t>
      </w:r>
      <w:r>
        <w:rPr>
          <w:lang w:val="en_US" w:bidi="en_US"/>
        </w:rPr>
        <w:t xml:space="preserve"> stepped forward and said,</w:t>
      </w:r>
    </w:p>
    <w:p>
      <w:pPr>
        <w:pStyle w:val="ListBullet"/>
        <w:spacing w:line="240" w:lineRule="auto"/>
        <w:ind w:left="720"/>
      </w:pPr>
      <w:r>
        <w:rPr>
          <w:lang w:val="en_US" w:bidi="en_US"/>
        </w:rPr>
      </w:r>
      <w:r>
        <w:rPr>
          <w:lang w:val="en_US" w:bidi="en_US"/>
        </w:rPr>
        <w:t xml:space="preserve">The first </w:t>
      </w:r>
      <w:r>
        <w:rPr>
          <w:lang w:val="en_US" w:bidi="en_US"/>
        </w:rPr>
        <w:t>servant</w:t>
      </w:r>
      <w:r>
        <w:rPr>
          <w:lang w:val="en_US" w:bidi="en_US"/>
        </w:rPr>
        <w:t xml:space="preserve"> said </w:t>
      </w:r>
      <w:r>
        <w:rPr>
          <w:lang w:val="en_US" w:bidi="en_US"/>
        </w:rPr>
        <w:t>to the king/chief</w:t>
      </w:r>
      <w:r>
        <w:rPr>
          <w:lang w:val="en_US" w:bidi="en_US"/>
        </w:rPr>
        <w:t>,</w:t>
      </w:r>
    </w:p>
    <w:p>
      <w:pPr/>
      <w:r>
        <w:rPr>
          <w:lang w:val="en_US" w:bidi="en_US"/>
        </w:rPr>
      </w:r>
      <w:r>
        <w:rPr>
          <w:b/>
          <w:lang w:val="en_US" w:bidi="en_US"/>
        </w:rPr>
        <w:t>The first servant:</w:t>
      </w:r>
      <w:r>
        <w:rPr>
          <w:lang w:val="en_US" w:bidi="en_US"/>
        </w:rPr>
        <w:t xml:space="preserve"> The Greek term that the BSB translates as </w:t>
      </w:r>
      <w:r>
        <w:rPr>
          <w:i/>
          <w:lang w:val="en_US" w:bidi="en_US"/>
        </w:rPr>
        <w:t>The first servant</w:t>
      </w:r>
      <w:r>
        <w:rPr>
          <w:lang w:val="en_US" w:bidi="en_US"/>
        </w:rPr>
        <w:t xml:space="preserve"> refers to the first servant to speak. It does not imply that he was the servant whom the master had hired first.</w:t>
      </w:r>
    </w:p>
    <w:p>
      <w:pPr/>
      <w:r>
        <w:rPr>
          <w:lang w:val="en_US" w:bidi="en_US"/>
        </w:rPr>
      </w:r>
      <w:r>
        <w:rPr>
          <w:b/>
          <w:lang w:val="en_US" w:bidi="en_US"/>
        </w:rPr>
        <w:t>came forward and said:</w:t>
      </w:r>
      <w:r>
        <w:rPr>
          <w:lang w:val="en_US" w:bidi="en_US"/>
        </w:rPr>
        <w:t xml:space="preserve"> The verb that the BSB translates as </w:t>
      </w:r>
      <w:r>
        <w:rPr>
          <w:i/>
          <w:lang w:val="en_US" w:bidi="en_US"/>
        </w:rPr>
        <w:t>came forward</w:t>
      </w:r>
      <w:r>
        <w:rPr>
          <w:lang w:val="en_US" w:bidi="en_US"/>
        </w:rPr>
        <w:t xml:space="preserve"> is literally “came.” It probably refers here to coming nearer to the king to speak to him. Another way to translate this is:</w:t>
      </w:r>
    </w:p>
    <w:p>
      <w:pPr/>
      <w:r>
        <w:rPr>
          <w:lang w:val="en_US" w:bidi="en_US"/>
        </w:rPr>
      </w:r>
      <w:r>
        <w:rPr>
          <w:lang w:val="en_US" w:bidi="en_US"/>
        </w:rPr>
        <w:t>came and said (NIV)</w:t>
      </w:r>
    </w:p>
    <w:p>
      <w:pPr/>
      <w:r>
        <w:rPr>
          <w:lang w:val="en_US" w:bidi="en_US"/>
        </w:rPr>
      </w:r>
      <w:r>
        <w:rPr>
          <w:lang w:val="en_US" w:bidi="en_US"/>
        </w:rPr>
        <w:t>In some languages there may be a special way to describe coming to a king or chief. For example:</w:t>
      </w:r>
    </w:p>
    <w:p>
      <w:pPr/>
      <w:r>
        <w:rPr>
          <w:lang w:val="en_US" w:bidi="en_US"/>
        </w:rPr>
      </w:r>
      <w:r>
        <w:rPr>
          <w:lang w:val="en_US" w:bidi="en_US"/>
        </w:rPr>
        <w:t>came before him and said (NET)</w:t>
      </w:r>
    </w:p>
    <w:p>
      <w:pPr/>
      <w:r>
        <w:rPr>
          <w:lang w:val="en_US" w:bidi="en_US"/>
        </w:rPr>
      </w:r>
      <w:r>
        <w:rPr>
          <w:lang w:val="en_US" w:bidi="en_US"/>
        </w:rPr>
        <w:t>presented himself and said</w:t>
      </w:r>
      <w:r>
        <w:rPr>
          <w:lang w:val="en_US" w:bidi="en_US"/>
        </w:rPr>
        <w:t xml:space="preserve">Based on </w:t>
      </w:r>
      <w:r>
        <w:rPr>
          <w:i/>
          <w:lang w:val="en_US" w:bidi="en_US"/>
        </w:rPr>
        <w:t>La Bible en français courant</w:t>
      </w:r>
      <w:r>
        <w:rPr>
          <w:lang w:val="en_US" w:bidi="en_US"/>
        </w:rPr>
        <w:t>.</w:t>
      </w:r>
    </w:p>
    <w:p>
      <w:pPr>
        <w:pStyle w:val="Heading5"/>
      </w:pPr>
      <w:r>
        <w:rPr>
          <w:lang w:val="en_US" w:bidi="en_US"/>
        </w:rPr>
        <w:t>19:16b</w:t>
      </w:r>
    </w:p>
    <w:p>
      <w:pPr/>
      <w:r>
        <w:rPr>
          <w:lang w:val="en_US" w:bidi="en_US"/>
        </w:rPr>
      </w:r>
      <w:r>
        <w:rPr>
          <w:b/>
          <w:lang w:val="en_US" w:bidi="en_US"/>
        </w:rPr>
        <w:t>‘Master, your mina has produced ten more minas.’</w:t>
      </w:r>
    </w:p>
    <w:p>
      <w:pPr>
        <w:pStyle w:val="ListBullet"/>
        <w:spacing w:line="240" w:lineRule="auto"/>
        <w:ind w:left="720"/>
      </w:pPr>
      <w:r>
        <w:rPr>
          <w:lang w:val="en_US" w:bidi="en_US"/>
        </w:rPr>
      </w:r>
      <w:r>
        <w:rPr>
          <w:lang w:val="en_US" w:bidi="en_US"/>
        </w:rPr>
        <w:t>‘Lord/King, the coin that you</w:t>
      </w:r>
      <w:r>
        <w:rPr>
          <w:vertAlign w:val="superscript"/>
          <w:lang w:val="en_US" w:bidi="en_US"/>
        </w:rPr>
        <w:t>(sing)</w:t>
      </w:r>
      <w:r>
        <w:rPr>
          <w:lang w:val="en_US" w:bidi="en_US"/>
        </w:rPr>
        <w:t xml:space="preserve"> </w:t>
      </w:r>
      <w:r>
        <w:rPr>
          <w:lang w:val="en_US" w:bidi="en_US"/>
        </w:rPr>
        <w:t>gave me</w:t>
      </w:r>
      <w:r>
        <w:rPr>
          <w:lang w:val="en_US" w:bidi="en_US"/>
        </w:rPr>
        <w:t xml:space="preserve"> has gained/made ten </w:t>
      </w:r>
      <w:r>
        <w:rPr>
          <w:lang w:val="en_US" w:bidi="en_US"/>
        </w:rPr>
        <w:t>coins</w:t>
      </w:r>
      <w:r>
        <w:rPr>
          <w:lang w:val="en_US" w:bidi="en_US"/>
        </w:rPr>
        <w:t xml:space="preserve"> more.’</w:t>
      </w:r>
    </w:p>
    <w:p>
      <w:pPr>
        <w:pStyle w:val="ListBullet"/>
        <w:spacing w:line="240" w:lineRule="auto"/>
        <w:ind w:left="720"/>
      </w:pPr>
      <w:r>
        <w:rPr>
          <w:lang w:val="en_US" w:bidi="en_US"/>
        </w:rPr>
      </w:r>
      <w:r>
        <w:rPr>
          <w:lang w:val="en_US" w:bidi="en_US"/>
        </w:rPr>
        <w:t xml:space="preserve">‘Master, </w:t>
      </w:r>
      <w:r>
        <w:rPr>
          <w:lang w:val="en_US" w:bidi="en_US"/>
        </w:rPr>
        <w:t>I have used</w:t>
      </w:r>
      <w:r>
        <w:rPr>
          <w:lang w:val="en_US" w:bidi="en_US"/>
        </w:rPr>
        <w:t xml:space="preserve"> your</w:t>
      </w:r>
      <w:r>
        <w:rPr>
          <w:vertAlign w:val="superscript"/>
          <w:lang w:val="en_US" w:bidi="en_US"/>
        </w:rPr>
        <w:t>(sing)</w:t>
      </w:r>
      <w:r>
        <w:rPr>
          <w:lang w:val="en_US" w:bidi="en_US"/>
        </w:rPr>
        <w:t xml:space="preserve"> money to earn ten times as much.’</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coin has now become ten coins.’</w:t>
      </w:r>
    </w:p>
    <w:p>
      <w:pPr/>
      <w:r>
        <w:rPr>
          <w:lang w:val="en_US" w:bidi="en_US"/>
        </w:rPr>
      </w:r>
      <w:r>
        <w:rPr>
          <w:b/>
          <w:lang w:val="en_US" w:bidi="en_US"/>
        </w:rPr>
        <w:t>Master:</w:t>
      </w:r>
      <w:r>
        <w:rPr>
          <w:lang w:val="en_US" w:bidi="en_US"/>
        </w:rPr>
        <w:t xml:space="preserve"> The Greek word that the BSB translates as </w:t>
      </w:r>
      <w:r>
        <w:rPr>
          <w:i/>
          <w:lang w:val="en_US" w:bidi="en_US"/>
        </w:rPr>
        <w:t>Master</w:t>
      </w:r>
      <w:r>
        <w:rPr>
          <w:lang w:val="en_US" w:bidi="en_US"/>
        </w:rPr>
        <w:t xml:space="preserve"> here is the same word that is often translated as “Lord” or “Master.” In this context the servant used it to address his master, who was now the king. You should use a term that would be appropriate for a king’s servant to use to address him. For example:</w:t>
      </w:r>
    </w:p>
    <w:p>
      <w:pPr/>
      <w:r>
        <w:rPr>
          <w:lang w:val="en_US" w:bidi="en_US"/>
        </w:rPr>
      </w:r>
      <w:r>
        <w:rPr>
          <w:lang w:val="en_US" w:bidi="en_US"/>
        </w:rPr>
        <w:t>Lord (ESV)</w:t>
      </w:r>
    </w:p>
    <w:p>
      <w:pPr/>
      <w:r>
        <w:rPr>
          <w:lang w:val="en_US" w:bidi="en_US"/>
        </w:rPr>
      </w:r>
      <w:r>
        <w:rPr>
          <w:lang w:val="en_US" w:bidi="en_US"/>
        </w:rPr>
        <w:t>Master (NLT)</w:t>
      </w:r>
    </w:p>
    <w:p>
      <w:pPr/>
      <w:r>
        <w:rPr>
          <w:lang w:val="en_US" w:bidi="en_US"/>
        </w:rPr>
      </w:r>
      <w:r>
        <w:rPr>
          <w:lang w:val="en_US" w:bidi="en_US"/>
        </w:rPr>
        <w:t>Sir King</w:t>
      </w:r>
      <w:r>
        <w:rPr>
          <w:lang w:val="en_US" w:bidi="en_US"/>
        </w:rPr>
        <w:t>Kankanaey back translation on TW.</w:t>
      </w:r>
    </w:p>
    <w:p>
      <w:pPr/>
      <w:r>
        <w:rPr>
          <w:lang w:val="en_US" w:bidi="en_US"/>
        </w:rPr>
      </w:r>
      <w:r>
        <w:rPr>
          <w:lang w:val="en_US" w:bidi="en_US"/>
        </w:rPr>
        <w:t>In some languages it may not be natural to use a form of direct address for the king. If that is true in your language, you may refer to the king in the phrase that introduces the quote. For example:</w:t>
      </w:r>
    </w:p>
    <w:p>
      <w:pPr/>
      <w:r>
        <w:rPr>
          <w:lang w:val="en_US" w:bidi="en_US"/>
        </w:rPr>
      </w:r>
      <w:r>
        <w:rPr>
          <w:lang w:val="en_US" w:bidi="en_US"/>
        </w:rPr>
        <w:t xml:space="preserve">said to </w:t>
      </w:r>
      <w:r>
        <w:rPr>
          <w:u w:val="single"/>
          <w:lang w:val="en_US" w:bidi="en_US"/>
        </w:rPr>
        <w:t>the king</w:t>
      </w:r>
      <w:r>
        <w:rPr>
          <w:lang w:val="en_US" w:bidi="en_US"/>
        </w:rPr>
        <w:t>, “Your mina…”</w:t>
      </w:r>
    </w:p>
    <w:p>
      <w:pPr/>
      <w:r>
        <w:rPr>
          <w:lang w:val="en_US" w:bidi="en_US"/>
        </w:rPr>
      </w:r>
      <w:r>
        <w:rPr>
          <w:b/>
          <w:lang w:val="en_US" w:bidi="en_US"/>
        </w:rPr>
        <w:t>your mina has produced ten more minas:</w:t>
      </w:r>
      <w:r>
        <w:rPr>
          <w:lang w:val="en_US" w:bidi="en_US"/>
        </w:rPr>
        <w:t xml:space="preserve"> The phrase </w:t>
      </w:r>
      <w:r>
        <w:rPr>
          <w:i/>
          <w:lang w:val="en_US" w:bidi="en_US"/>
        </w:rPr>
        <w:t>your mina</w:t>
      </w:r>
      <w:r>
        <w:rPr>
          <w:lang w:val="en_US" w:bidi="en_US"/>
        </w:rPr>
        <w:t xml:space="preserve"> refers to the money that the master had entrusted to this servant. The clause indicates that the servant had used the money to gain ten times as much money. Some other ways to translate this are:</w:t>
      </w:r>
    </w:p>
    <w:p>
      <w:pPr/>
      <w:r>
        <w:rPr>
          <w:lang w:val="en_US" w:bidi="en_US"/>
        </w:rPr>
      </w:r>
      <w:r>
        <w:rPr>
          <w:lang w:val="en_US" w:bidi="en_US"/>
        </w:rPr>
        <w:t>the money that you entrusted to me has increased ten times</w:t>
      </w:r>
    </w:p>
    <w:p>
      <w:pPr/>
      <w:r>
        <w:rPr>
          <w:lang w:val="en_US" w:bidi="en_US"/>
        </w:rPr>
      </w:r>
      <w:r>
        <w:rPr>
          <w:lang w:val="en_US" w:bidi="en_US"/>
        </w:rPr>
        <w:t>your one coin has gained/become ten coins</w:t>
      </w:r>
    </w:p>
    <w:p>
      <w:pPr/>
      <w:r>
        <w:rPr>
          <w:lang w:val="en_US" w:bidi="en_US"/>
        </w:rPr>
      </w:r>
      <w:r>
        <w:rPr>
          <w:lang w:val="en_US" w:bidi="en_US"/>
        </w:rPr>
        <w:t>In some languages it may not be possible to speak of the money itself as earning more money. It may be necessary to make it clear that the servant had earned the money. For example:</w:t>
      </w:r>
    </w:p>
    <w:p>
      <w:pPr/>
      <w:r>
        <w:rPr>
          <w:lang w:val="en_US" w:bidi="en_US"/>
        </w:rPr>
      </w:r>
      <w:r>
        <w:rPr>
          <w:lang w:val="en_US" w:bidi="en_US"/>
        </w:rPr>
        <w:t xml:space="preserve">Your one mina has made it possible </w:t>
      </w:r>
      <w:r>
        <w:rPr>
          <w:lang w:val="en_US" w:bidi="en_US"/>
        </w:rPr>
        <w:t>for me</w:t>
      </w:r>
      <w:r>
        <w:rPr>
          <w:lang w:val="en_US" w:bidi="en_US"/>
        </w:rPr>
        <w:t xml:space="preserve"> to make ten more minas</w:t>
      </w:r>
    </w:p>
    <w:p>
      <w:pPr/>
      <w:r>
        <w:rPr>
          <w:lang w:val="en_US" w:bidi="en_US"/>
        </w:rPr>
      </w:r>
      <w:r>
        <w:rPr>
          <w:lang w:val="en_US" w:bidi="en_US"/>
        </w:rPr>
        <w:t>I earned ten coins with the one you gave me (NCV)</w:t>
      </w:r>
    </w:p>
    <w:p>
      <w:pPr/>
      <w:r>
        <w:rPr>
          <w:lang w:val="en_US" w:bidi="en_US"/>
        </w:rPr>
      </w:r>
      <w:r>
        <w:rPr>
          <w:lang w:val="en_US" w:bidi="en_US"/>
        </w:rPr>
        <w:t>In other languages there may be an idiom to express this. For example:</w:t>
      </w:r>
    </w:p>
    <w:p>
      <w:pPr/>
      <w:r>
        <w:rPr>
          <w:lang w:val="en_US" w:bidi="en_US"/>
        </w:rPr>
      </w:r>
      <w:r>
        <w:rPr>
          <w:lang w:val="en_US" w:bidi="en_US"/>
        </w:rPr>
        <w:t>the one gold coin that you gave me, it has ten children</w:t>
      </w:r>
      <w:r>
        <w:rPr>
          <w:lang w:val="en_US" w:bidi="en_US"/>
        </w:rPr>
        <w:t>Uma back translation on TW.</w:t>
      </w:r>
      <w:r>
        <w:rPr>
          <w:lang w:val="en_US" w:bidi="en_US"/>
        </w:rPr>
      </w:r>
      <w:r>
        <w:rPr>
          <w:lang w:val="en_US" w:bidi="en_US"/>
        </w:rPr>
      </w:r>
    </w:p>
    <w:p>
      <w:pPr/>
      <w:r>
        <w:rPr>
          <w:lang w:val="en_US" w:bidi="en_US"/>
        </w:rPr>
      </w:r>
    </w:p>
    <w:p>
      <w:pPr>
        <w:pStyle w:val="Heading2"/>
      </w:pPr>
      <w:r>
        <w:rPr>
          <w:lang w:val="en_US" w:bidi="en_US"/>
        </w:rPr>
        <w:t>Luke 19:17</w:t>
      </w:r>
      <w:r>
        <w:rPr>
          <w:lang w:val="en_US" w:bidi="en_US"/>
        </w:rPr>
      </w:r>
    </w:p>
    <w:p>
      <w:pPr>
        <w:pStyle w:val="Heading4"/>
      </w:pPr>
      <w:r>
        <w:rPr>
          <w:lang w:val="en_US" w:bidi="en_US"/>
        </w:rPr>
        <w:t>Section 19:11–27: Jesus told a parable about a king and his ten servants</w:t>
      </w:r>
    </w:p>
    <w:p>
      <w:pPr/>
      <w:r>
        <w:rPr>
          <w:lang w:val="en_US" w:bidi="en_US"/>
        </w:rPr>
      </w:r>
      <w:r>
        <w:rPr>
          <w:lang w:val="en_US" w:bidi="en_US"/>
        </w:rPr>
        <w:t>Many of Jesus’ followers expected that when they arrived in Jerusalem, Jesus would establish the kingdom of God and begin to reign as king. He told the parable in this section to help them understand that events would happen differently than they expected.</w:t>
      </w:r>
    </w:p>
    <w:p>
      <w:pPr/>
      <w:r>
        <w:rPr>
          <w:lang w:val="en_US" w:bidi="en_US"/>
        </w:rPr>
      </w:r>
      <w:r>
        <w:rPr>
          <w:lang w:val="en_US" w:bidi="en_US"/>
        </w:rPr>
        <w:t>There are two main ideas that Jesus taught through this parable:</w:t>
      </w:r>
    </w:p>
    <w:p>
      <w:pPr>
        <w:pStyle w:val="ListNumber"/>
        <w:numPr>
          <w:ilvl w:val="0"/>
          <w:numId w:val="317"/>
        </w:numPr>
        <w:spacing w:line="240" w:lineRule="auto"/>
        <w:ind w:left="720"/>
      </w:pPr>
      <w:r>
        <w:rPr>
          <w:lang w:val="en_US" w:bidi="en_US"/>
        </w:rPr>
      </w:r>
      <w:r>
        <w:rPr>
          <w:lang w:val="en_US" w:bidi="en_US"/>
        </w:rP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Pr>
          <w:lang w:val="en_US" w:bidi="en_US"/>
        </w:rPr>
      </w:r>
      <w:r>
        <w:rPr>
          <w:lang w:val="en_US" w:bidi="en_US"/>
        </w:rPr>
        <w:t>While Jesus is gone, his disciples must serve him faithfully and use whatever he has given them to glorify him.</w:t>
      </w:r>
    </w:p>
    <w:p>
      <w:pPr/>
      <w:r>
        <w:rPr>
          <w:lang w:val="en_US" w:bidi="en_US"/>
        </w:rPr>
      </w:r>
      <w:r>
        <w:rPr>
          <w:lang w:val="en_US" w:bidi="en_US"/>
        </w:rPr>
        <w:t>Other examples of headings for this section are:</w:t>
      </w:r>
    </w:p>
    <w:p>
      <w:pPr/>
      <w:r>
        <w:rPr>
          <w:lang w:val="en_US" w:bidi="en_US"/>
        </w:rPr>
      </w:r>
      <w:r>
        <w:rPr>
          <w:lang w:val="en_US" w:bidi="en_US"/>
        </w:rPr>
        <w:t>The Parable of the Gold Coins (GNT)</w:t>
      </w:r>
    </w:p>
    <w:p>
      <w:pPr/>
      <w:r>
        <w:rPr>
          <w:lang w:val="en_US" w:bidi="en_US"/>
        </w:rPr>
      </w:r>
      <w:r>
        <w:rPr>
          <w:lang w:val="en_US" w:bidi="en_US"/>
        </w:rPr>
        <w:t>Jesus told a parable about ten servants</w:t>
      </w:r>
    </w:p>
    <w:p>
      <w:pPr/>
      <w:r>
        <w:rPr>
          <w:lang w:val="en_US" w:bidi="en_US"/>
        </w:rPr>
      </w:r>
      <w:r>
        <w:rPr>
          <w:lang w:val="en_US" w:bidi="en_US"/>
        </w:rPr>
        <w:t>A parallel passage to this section is found in Matthew 25:14–30.</w:t>
      </w:r>
    </w:p>
    <w:p>
      <w:pPr>
        <w:pStyle w:val="Heading5"/>
      </w:pPr>
      <w:r>
        <w:rPr>
          <w:lang w:val="en_US" w:bidi="en_US"/>
        </w:rPr>
        <w:t>19:17a</w:t>
      </w:r>
    </w:p>
    <w:p>
      <w:pPr/>
      <w:r>
        <w:rPr>
          <w:lang w:val="en_US" w:bidi="en_US"/>
        </w:rPr>
      </w:r>
      <w:r>
        <w:rPr>
          <w:b/>
          <w:lang w:val="en_US" w:bidi="en_US"/>
        </w:rPr>
        <w:t>His master replied, ‘Well done, good servant!</w:t>
      </w:r>
    </w:p>
    <w:p>
      <w:pPr>
        <w:pStyle w:val="ListBullet"/>
        <w:spacing w:line="240" w:lineRule="auto"/>
        <w:ind w:left="720"/>
      </w:pPr>
      <w:r>
        <w:rPr>
          <w:lang w:val="en_US" w:bidi="en_US"/>
        </w:rPr>
      </w:r>
      <w:r>
        <w:rPr>
          <w:lang w:val="en_US" w:bidi="en_US"/>
        </w:rPr>
        <w:t xml:space="preserve">The king said to him, ‘That is excellent/wonderful! </w:t>
      </w:r>
      <w:r>
        <w:rPr>
          <w:lang w:val="en_US" w:bidi="en_US"/>
        </w:rPr>
        <w:t>You</w:t>
      </w:r>
      <w:r>
        <w:rPr>
          <w:vertAlign w:val="superscript"/>
          <w:lang w:val="en_US" w:bidi="en_US"/>
        </w:rPr>
        <w:t>(sing)</w:t>
      </w:r>
      <w:r>
        <w:rPr>
          <w:lang w:val="en_US" w:bidi="en_US"/>
        </w:rPr>
        <w:t xml:space="preserve"> </w:t>
      </w:r>
      <w:r>
        <w:rPr>
          <w:lang w:val="en_US" w:bidi="en_US"/>
        </w:rPr>
        <w:t>are a very</w:t>
      </w:r>
      <w:r>
        <w:rPr>
          <w:lang w:val="en_US" w:bidi="en_US"/>
        </w:rPr>
        <w:t xml:space="preserve"> good servant.</w:t>
      </w:r>
    </w:p>
    <w:p>
      <w:pPr>
        <w:pStyle w:val="ListBullet"/>
        <w:spacing w:line="240" w:lineRule="auto"/>
        <w:ind w:left="720"/>
      </w:pPr>
      <w:r>
        <w:rPr>
          <w:lang w:val="en_US" w:bidi="en_US"/>
        </w:rPr>
      </w:r>
      <w:r>
        <w:rPr>
          <w:lang w:val="en_US" w:bidi="en_US"/>
        </w:rPr>
        <w:t>Then the master praised his servant saying, ‘You</w:t>
      </w:r>
      <w:r>
        <w:rPr>
          <w:vertAlign w:val="superscript"/>
          <w:lang w:val="en_US" w:bidi="en_US"/>
        </w:rPr>
        <w:t>(sing)</w:t>
      </w:r>
      <w:r>
        <w:rPr>
          <w:lang w:val="en_US" w:bidi="en_US"/>
        </w:rPr>
        <w:t xml:space="preserve"> have done great/outstanding work.</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have done well,’ the king/chief said.</w:t>
      </w:r>
    </w:p>
    <w:p>
      <w:pPr/>
      <w:r>
        <w:rPr>
          <w:lang w:val="en_US" w:bidi="en_US"/>
        </w:rPr>
      </w:r>
      <w:r>
        <w:rPr>
          <w:b/>
          <w:lang w:val="en_US" w:bidi="en_US"/>
        </w:rPr>
        <w:t>His master replied:</w:t>
      </w:r>
      <w:r>
        <w:rPr>
          <w:lang w:val="en_US" w:bidi="en_US"/>
        </w:rPr>
        <w:t xml:space="preserve"> The Greek phrase that the BSB translates as </w:t>
      </w:r>
      <w:r>
        <w:rPr>
          <w:i/>
          <w:lang w:val="en_US" w:bidi="en_US"/>
        </w:rPr>
        <w:t>His master replied</w:t>
      </w:r>
      <w:r>
        <w:rPr>
          <w:lang w:val="en_US" w:bidi="en_US"/>
        </w:rPr>
        <w:t xml:space="preserve"> is literally “and he said to him.” In the Greek text it occurs before the reply, and that is where the BSB has placed it. Other versions, such as the NIV, place it after the reply. Place this phrase where it is natural in your language and refer to the king in a natural way. Here is another way to translate this:</w:t>
      </w:r>
    </w:p>
    <w:p>
      <w:pPr/>
      <w:r>
        <w:rPr>
          <w:lang w:val="en_US" w:bidi="en_US"/>
        </w:rPr>
      </w:r>
      <w:r>
        <w:rPr>
          <w:lang w:val="en_US" w:bidi="en_US"/>
        </w:rPr>
        <w:t>The king said to him (GW)</w:t>
      </w:r>
    </w:p>
    <w:p>
      <w:pPr/>
      <w:r>
        <w:rPr>
          <w:lang w:val="en_US" w:bidi="en_US"/>
        </w:rPr>
      </w:r>
      <w:r>
        <w:rPr>
          <w:b/>
          <w:lang w:val="en_US" w:bidi="en_US"/>
        </w:rPr>
        <w:t>Well done, good servant:</w:t>
      </w:r>
      <w:r>
        <w:rPr>
          <w:lang w:val="en_US" w:bidi="en_US"/>
        </w:rPr>
        <w:t xml:space="preserve"> There is no verb in what the king said to his servant here. In some languages it may be more natural to use a complete sentence. For example:</w:t>
      </w:r>
    </w:p>
    <w:p>
      <w:pPr/>
      <w:r>
        <w:rPr>
          <w:lang w:val="en_US" w:bidi="en_US"/>
        </w:rPr>
      </w:r>
      <w:r>
        <w:rPr>
          <w:lang w:val="en_US" w:bidi="en_US"/>
        </w:rPr>
        <w:t>You have done well, my good servant.</w:t>
      </w:r>
    </w:p>
    <w:p>
      <w:pPr/>
      <w:r>
        <w:rPr>
          <w:lang w:val="en_US" w:bidi="en_US"/>
        </w:rPr>
      </w:r>
      <w:r>
        <w:rPr>
          <w:lang w:val="en_US" w:bidi="en_US"/>
        </w:rPr>
        <w:t>In some languages it may be more natural to begin with the direct address. For example:</w:t>
      </w:r>
    </w:p>
    <w:p>
      <w:pPr/>
      <w:r>
        <w:rPr>
          <w:lang w:val="en_US" w:bidi="en_US"/>
        </w:rPr>
      </w:r>
      <w:r>
        <w:rPr>
          <w:lang w:val="en_US" w:bidi="en_US"/>
        </w:rPr>
        <w:t>My good servant, you have done well.</w:t>
      </w:r>
    </w:p>
    <w:p>
      <w:pPr/>
      <w:r>
        <w:rPr>
          <w:lang w:val="en_US" w:bidi="en_US"/>
        </w:rPr>
      </w:r>
      <w:r>
        <w:rPr>
          <w:b/>
          <w:lang w:val="en_US" w:bidi="en_US"/>
        </w:rPr>
        <w:t>Well done:</w:t>
      </w:r>
      <w:r>
        <w:rPr>
          <w:lang w:val="en_US" w:bidi="en_US"/>
        </w:rPr>
        <w:t xml:space="preserve"> The Greek word that the BSB translates as </w:t>
      </w:r>
      <w:r>
        <w:rPr>
          <w:i/>
          <w:lang w:val="en_US" w:bidi="en_US"/>
        </w:rPr>
        <w:t>Well done</w:t>
      </w:r>
      <w:r>
        <w:rPr>
          <w:lang w:val="en_US" w:bidi="en_US"/>
        </w:rPr>
        <w:t xml:space="preserve"> is an exclamation that expresses praise. Translate this exclamation in a way that is natural for a king or master to praise his servant in your language. For example:</w:t>
      </w:r>
    </w:p>
    <w:p>
      <w:pPr/>
      <w:r>
        <w:rPr>
          <w:lang w:val="en_US" w:bidi="en_US"/>
        </w:rPr>
      </w:r>
      <w:r>
        <w:rPr>
          <w:lang w:val="en_US" w:bidi="en_US"/>
        </w:rPr>
        <w:t>Excellent! (NCV)</w:t>
      </w:r>
    </w:p>
    <w:p>
      <w:pPr/>
      <w:r>
        <w:rPr>
          <w:lang w:val="en_US" w:bidi="en_US"/>
        </w:rPr>
      </w:r>
      <w:r>
        <w:rPr>
          <w:lang w:val="en_US" w:bidi="en_US"/>
        </w:rPr>
        <w:t>Good job! (GW)</w:t>
      </w:r>
    </w:p>
    <w:p>
      <w:pPr/>
      <w:r>
        <w:rPr>
          <w:lang w:val="en_US" w:bidi="en_US"/>
        </w:rPr>
      </w:r>
      <w:r>
        <w:rPr>
          <w:lang w:val="en_US" w:bidi="en_US"/>
        </w:rPr>
        <w:t>Splendid… (JBP)</w:t>
      </w:r>
    </w:p>
    <w:p>
      <w:pPr/>
      <w:r>
        <w:rPr>
          <w:lang w:val="en_US" w:bidi="en_US"/>
        </w:rPr>
      </w:r>
      <w:r>
        <w:rPr>
          <w:b/>
          <w:lang w:val="en_US" w:bidi="en_US"/>
        </w:rPr>
        <w:t>good servant:</w:t>
      </w:r>
      <w:r>
        <w:rPr>
          <w:lang w:val="en_US" w:bidi="en_US"/>
        </w:rPr>
        <w:t xml:space="preserve"> In some languages it may be natural to add “my” to the Greek phrase that the BSB translates literally as </w:t>
      </w:r>
      <w:r>
        <w:rPr>
          <w:i/>
          <w:lang w:val="en_US" w:bidi="en_US"/>
        </w:rPr>
        <w:t>good servant</w:t>
      </w:r>
      <w:r>
        <w:rPr>
          <w:lang w:val="en_US" w:bidi="en_US"/>
        </w:rPr>
        <w:t>. The idea of “my” is implied.</w:t>
      </w:r>
    </w:p>
    <w:p>
      <w:pPr/>
      <w:r>
        <w:rPr>
          <w:lang w:val="en_US" w:bidi="en_US"/>
        </w:rPr>
      </w:r>
      <w:r>
        <w:rPr>
          <w:lang w:val="en_US" w:bidi="en_US"/>
        </w:rPr>
        <w:t xml:space="preserve">In some languages, it may be more natural to express </w:t>
      </w:r>
      <w:r>
        <w:rPr>
          <w:i/>
          <w:lang w:val="en_US" w:bidi="en_US"/>
        </w:rPr>
        <w:t>good servant</w:t>
      </w:r>
      <w:r>
        <w:rPr>
          <w:lang w:val="en_US" w:bidi="en_US"/>
        </w:rPr>
        <w:t xml:space="preserve"> as a sentence rather than with direct address. For example:</w:t>
      </w:r>
    </w:p>
    <w:p>
      <w:pPr/>
      <w:r>
        <w:rPr>
          <w:lang w:val="en_US" w:bidi="en_US"/>
        </w:rPr>
      </w:r>
      <w:r>
        <w:rPr>
          <w:lang w:val="en_US" w:bidi="en_US"/>
        </w:rPr>
        <w:t>You are a good servant. (NCV)</w:t>
      </w:r>
    </w:p>
    <w:p>
      <w:pPr>
        <w:pStyle w:val="Heading5"/>
      </w:pPr>
      <w:r>
        <w:rPr>
          <w:lang w:val="en_US" w:bidi="en_US"/>
        </w:rPr>
        <w:t>19:17b</w:t>
      </w:r>
    </w:p>
    <w:p>
      <w:pPr/>
      <w:r>
        <w:rPr>
          <w:lang w:val="en_US" w:bidi="en_US"/>
        </w:rPr>
      </w:r>
      <w:r>
        <w:rPr>
          <w:b/>
          <w:lang w:val="en_US" w:bidi="en_US"/>
        </w:rPr>
        <w:t>Because you have been faithful in a very small matter,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have been faithful in </w:t>
      </w:r>
      <w:r>
        <w:rPr>
          <w:lang w:val="en_US" w:bidi="en_US"/>
        </w:rPr>
        <w:t>doing</w:t>
      </w:r>
      <w:r>
        <w:rPr>
          <w:lang w:val="en_US" w:bidi="en_US"/>
        </w:rPr>
        <w:t xml:space="preserve"> a small thing/work </w:t>
      </w:r>
      <w:r>
        <w:rPr>
          <w:lang w:val="en_US" w:bidi="en_US"/>
        </w:rPr>
        <w:t>for me</w:t>
      </w:r>
      <w:r>
        <w:rPr>
          <w:lang w:val="en_US" w:bidi="en_US"/>
        </w:rPr>
        <w:t>,</w:t>
      </w:r>
    </w:p>
    <w:p>
      <w:pPr>
        <w:pStyle w:val="ListBullet"/>
        <w:spacing w:line="240" w:lineRule="auto"/>
        <w:ind w:left="720"/>
      </w:pPr>
      <w:r>
        <w:rPr>
          <w:lang w:val="en_US" w:bidi="en_US"/>
        </w:rPr>
      </w:r>
      <w:r>
        <w:rPr>
          <w:lang w:val="en_US" w:bidi="en_US"/>
        </w:rPr>
        <w:t>Since you</w:t>
      </w:r>
      <w:r>
        <w:rPr>
          <w:vertAlign w:val="superscript"/>
          <w:lang w:val="en_US" w:bidi="en_US"/>
        </w:rPr>
        <w:t>(sing)</w:t>
      </w:r>
      <w:r>
        <w:rPr>
          <w:lang w:val="en_US" w:bidi="en_US"/>
        </w:rPr>
        <w:t xml:space="preserve"> did well when I trusted you with little </w:t>
      </w:r>
      <w:r>
        <w:rPr>
          <w:lang w:val="en_US" w:bidi="en_US"/>
        </w:rPr>
        <w:t>responsibility</w:t>
      </w:r>
      <w:r>
        <w:rPr>
          <w:lang w:val="en_US" w:bidi="en_US"/>
        </w:rPr>
        <w:t>,</w:t>
      </w:r>
    </w:p>
    <w:p>
      <w:pPr>
        <w:pStyle w:val="ListBullet"/>
        <w:spacing w:line="240" w:lineRule="auto"/>
        <w:ind w:left="720"/>
      </w:pPr>
      <w:r>
        <w:rPr>
          <w:lang w:val="en_US" w:bidi="en_US"/>
        </w:rPr>
      </w:r>
      <w:r>
        <w:rPr>
          <w:lang w:val="en_US" w:bidi="en_US"/>
        </w:rPr>
        <w:t>“Because you</w:t>
      </w:r>
      <w:r>
        <w:rPr>
          <w:vertAlign w:val="superscript"/>
          <w:lang w:val="en_US" w:bidi="en_US"/>
        </w:rPr>
        <w:t>(sing)</w:t>
      </w:r>
      <w:r>
        <w:rPr>
          <w:lang w:val="en_US" w:bidi="en_US"/>
        </w:rPr>
        <w:t xml:space="preserve"> were dependable with this small matter,</w:t>
      </w:r>
    </w:p>
    <w:p>
      <w:pPr>
        <w:pStyle w:val="Heading5"/>
      </w:pPr>
      <w:r>
        <w:rPr>
          <w:lang w:val="en_US" w:bidi="en_US"/>
        </w:rPr>
        <w:t>19:17b–c</w:t>
      </w:r>
    </w:p>
    <w:p>
      <w:pPr/>
      <w:r>
        <w:rPr>
          <w:lang w:val="en_US" w:bidi="en_US"/>
        </w:rPr>
      </w:r>
      <w:r>
        <w:rPr>
          <w:b/>
          <w:lang w:val="en_US" w:bidi="en_US"/>
        </w:rPr>
        <w:t>Because you have been faithful in a very small matter, you shall have authority over ten cities:</w:t>
      </w:r>
      <w:r>
        <w:rPr>
          <w:lang w:val="en_US" w:bidi="en_US"/>
        </w:rPr>
        <w:t xml:space="preserve"> The king gave his servant to </w:t>
      </w:r>
      <w:r>
        <w:rPr>
          <w:i/>
          <w:lang w:val="en_US" w:bidi="en_US"/>
        </w:rPr>
        <w:t>authority over ten cities</w:t>
      </w:r>
      <w:r>
        <w:rPr>
          <w:lang w:val="en_US" w:bidi="en_US"/>
        </w:rPr>
        <w:t xml:space="preserve"> as a reward for being trustworthy. In some languages it may be necessary to make explicit that the king was rewarding him. For example:</w:t>
      </w:r>
    </w:p>
    <w:p>
      <w:pPr/>
      <w:r>
        <w:rPr>
          <w:lang w:val="en_US" w:bidi="en_US"/>
        </w:rPr>
      </w:r>
      <w:r>
        <w:rPr>
          <w:lang w:val="en_US" w:bidi="en_US"/>
        </w:rPr>
        <w:t xml:space="preserve">You have been faithful with the little I entrusted to you, so you will be governor of ten cities </w:t>
      </w:r>
      <w:r>
        <w:rPr>
          <w:u w:val="single"/>
          <w:lang w:val="en_US" w:bidi="en_US"/>
        </w:rPr>
        <w:t>as your reward</w:t>
      </w:r>
      <w:r>
        <w:rPr>
          <w:lang w:val="en_US" w:bidi="en_US"/>
        </w:rPr>
        <w:t>. (NLT)</w:t>
      </w:r>
    </w:p>
    <w:p>
      <w:pPr/>
      <w:r>
        <w:rPr>
          <w:lang w:val="en_US" w:bidi="en_US"/>
        </w:rPr>
      </w:r>
      <w:r>
        <w:rPr>
          <w:lang w:val="en_US" w:bidi="en_US"/>
        </w:rPr>
        <w:t xml:space="preserve">Because you have been trustworthy with a very small matter, </w:t>
      </w:r>
      <w:r>
        <w:rPr>
          <w:lang w:val="en_US" w:bidi="en_US"/>
        </w:rPr>
        <w:t>I will reward you by</w:t>
      </w:r>
      <w:r>
        <w:rPr>
          <w:lang w:val="en_US" w:bidi="en_US"/>
        </w:rPr>
        <w:t xml:space="preserve"> letting you rule over ten cities.</w:t>
      </w:r>
    </w:p>
    <w:p>
      <w:pPr/>
      <w:r>
        <w:rPr>
          <w:lang w:val="en_US" w:bidi="en_US"/>
        </w:rPr>
      </w:r>
      <w:r>
        <w:rPr>
          <w:lang w:val="en_US" w:bidi="en_US"/>
        </w:rPr>
        <w:t xml:space="preserve">In your translation, make sure that there is a contrast between the </w:t>
      </w:r>
      <w:r>
        <w:rPr>
          <w:i/>
          <w:lang w:val="en_US" w:bidi="en_US"/>
        </w:rPr>
        <w:t>very small matter</w:t>
      </w:r>
      <w:r>
        <w:rPr>
          <w:lang w:val="en_US" w:bidi="en_US"/>
        </w:rPr>
        <w:t xml:space="preserve"> in 19:17b and the </w:t>
      </w:r>
      <w:r>
        <w:rPr>
          <w:i/>
          <w:lang w:val="en_US" w:bidi="en_US"/>
        </w:rPr>
        <w:t>ten cities</w:t>
      </w:r>
      <w:r>
        <w:rPr>
          <w:lang w:val="en_US" w:bidi="en_US"/>
        </w:rPr>
        <w:t xml:space="preserve"> in 19:17c. It was a small thing to take care of one mina/coin, but it was a very important thing to take care of ten cities. Here is another way to translate this:</w:t>
      </w:r>
    </w:p>
    <w:p>
      <w:pPr/>
      <w:r>
        <w:rPr>
          <w:lang w:val="en_US" w:bidi="en_US"/>
        </w:rPr>
      </w:r>
      <w:r>
        <w:rPr>
          <w:lang w:val="en_US" w:bidi="en_US"/>
        </w:rPr>
        <w:t>Since I can trust you with small things, I will let you rule over ten of my cities. (NCV)</w:t>
      </w:r>
    </w:p>
    <w:p>
      <w:pPr/>
      <w:r>
        <w:rPr>
          <w:lang w:val="en_US" w:bidi="en_US"/>
        </w:rPr>
      </w:r>
      <w:r>
        <w:rPr>
          <w:lang w:val="en_US" w:bidi="en_US"/>
        </w:rPr>
        <w:t>See the General Comment on 19:17b–c below for an example of changing the order of the clauses.</w:t>
      </w:r>
    </w:p>
    <w:p>
      <w:pPr/>
      <w:r>
        <w:rPr>
          <w:lang w:val="en_US" w:bidi="en_US"/>
        </w:rPr>
      </w:r>
      <w:r>
        <w:rPr>
          <w:b/>
          <w:lang w:val="en_US" w:bidi="en_US"/>
        </w:rPr>
        <w:t>faithful:</w:t>
      </w:r>
      <w:r>
        <w:rPr>
          <w:lang w:val="en_US" w:bidi="en_US"/>
        </w:rPr>
        <w:t xml:space="preserve"> The Greek word that the BSB translates as </w:t>
      </w:r>
      <w:r>
        <w:rPr>
          <w:i/>
          <w:lang w:val="en_US" w:bidi="en_US"/>
        </w:rPr>
        <w:t>faithful</w:t>
      </w:r>
      <w:r>
        <w:rPr>
          <w:lang w:val="en_US" w:bidi="en_US"/>
        </w:rPr>
        <w:t xml:space="preserve"> means “trustworthy, dependable.” The king trusted his servant to manage his money well, and the servant worked hard to do that. The servant showed that he could be trusted. For more information, see believe, Meaning 4, in the Glossary.</w:t>
      </w:r>
    </w:p>
    <w:p>
      <w:pPr/>
      <w:r>
        <w:rPr>
          <w:lang w:val="en_US" w:bidi="en_US"/>
        </w:rPr>
      </w:r>
      <w:r>
        <w:rPr>
          <w:b/>
          <w:lang w:val="en_US" w:bidi="en_US"/>
        </w:rPr>
        <w:t>a very small matter:</w:t>
      </w:r>
      <w:r>
        <w:rPr>
          <w:lang w:val="en_US" w:bidi="en_US"/>
        </w:rPr>
        <w:t xml:space="preserve"> The Greek word that the BSB translates as </w:t>
      </w:r>
      <w:r>
        <w:rPr>
          <w:i/>
          <w:lang w:val="en_US" w:bidi="en_US"/>
        </w:rPr>
        <w:t>a very small matter</w:t>
      </w:r>
      <w:r>
        <w:rPr>
          <w:lang w:val="en_US" w:bidi="en_US"/>
        </w:rPr>
        <w:t xml:space="preserve"> refers to the task of trading with the one coin that the master gave him. Other ways to translate this are:</w:t>
      </w:r>
    </w:p>
    <w:p>
      <w:pPr/>
      <w:r>
        <w:rPr>
          <w:lang w:val="en_US" w:bidi="en_US"/>
        </w:rPr>
      </w:r>
      <w:r>
        <w:rPr>
          <w:lang w:val="en_US" w:bidi="en_US"/>
        </w:rPr>
        <w:t>a little money (GW)</w:t>
      </w:r>
    </w:p>
    <w:p>
      <w:pPr/>
      <w:r>
        <w:rPr>
          <w:lang w:val="en_US" w:bidi="en_US"/>
        </w:rPr>
      </w:r>
      <w:r>
        <w:rPr>
          <w:lang w:val="en_US" w:bidi="en_US"/>
        </w:rPr>
        <w:t>the little I entrusted to you (NLT)</w:t>
      </w:r>
    </w:p>
    <w:p>
      <w:pPr/>
      <w:r>
        <w:rPr>
          <w:lang w:val="en_US" w:bidi="en_US"/>
        </w:rPr>
      </w:r>
      <w:r>
        <w:rPr>
          <w:lang w:val="en_US" w:bidi="en_US"/>
        </w:rPr>
        <w:t>The phrase “faithful in a very small matter” uses the same words as the phrase in 16:10 that the BSB translated as “faithful with very little.”</w:t>
      </w:r>
    </w:p>
    <w:p>
      <w:pPr>
        <w:pStyle w:val="Heading5"/>
      </w:pPr>
      <w:r>
        <w:rPr>
          <w:lang w:val="en_US" w:bidi="en_US"/>
        </w:rPr>
        <w:t>19:17c</w:t>
      </w:r>
    </w:p>
    <w:p>
      <w:pPr/>
      <w:r>
        <w:rPr>
          <w:lang w:val="en_US" w:bidi="en_US"/>
        </w:rPr>
      </w:r>
      <w:r>
        <w:rPr>
          <w:b/>
          <w:lang w:val="en_US" w:bidi="en_US"/>
        </w:rPr>
        <w:t>you shall have authority over ten cities.’</w:t>
      </w:r>
    </w:p>
    <w:p>
      <w:pPr>
        <w:pStyle w:val="ListBullet"/>
        <w:spacing w:line="240" w:lineRule="auto"/>
        <w:ind w:left="720"/>
      </w:pPr>
      <w:r>
        <w:rPr>
          <w:lang w:val="en_US" w:bidi="en_US"/>
        </w:rPr>
      </w:r>
      <w:r>
        <w:rPr>
          <w:lang w:val="en_US" w:bidi="en_US"/>
        </w:rPr>
        <w:t xml:space="preserve">so </w:t>
      </w:r>
      <w:r>
        <w:rPr>
          <w:lang w:val="en_US" w:bidi="en_US"/>
        </w:rPr>
        <w:t>I give</w:t>
      </w:r>
      <w:r>
        <w:rPr>
          <w:lang w:val="en_US" w:bidi="en_US"/>
        </w:rPr>
        <w:t xml:space="preserve"> you</w:t>
      </w:r>
      <w:r>
        <w:rPr>
          <w:vertAlign w:val="superscript"/>
          <w:lang w:val="en_US" w:bidi="en_US"/>
        </w:rPr>
        <w:t>(sing)</w:t>
      </w:r>
      <w:r>
        <w:rPr>
          <w:lang w:val="en_US" w:bidi="en_US"/>
        </w:rPr>
        <w:t xml:space="preserve"> authority to rule ten </w:t>
      </w:r>
      <w:r>
        <w:rPr>
          <w:lang w:val="en_US" w:bidi="en_US"/>
        </w:rPr>
        <w:t>of my</w:t>
      </w:r>
      <w:r>
        <w:rPr>
          <w:lang w:val="en_US" w:bidi="en_US"/>
        </w:rPr>
        <w:t xml:space="preserve"> cities.’</w:t>
      </w:r>
    </w:p>
    <w:p>
      <w:pPr>
        <w:pStyle w:val="ListBullet"/>
        <w:spacing w:line="240" w:lineRule="auto"/>
        <w:ind w:left="720"/>
      </w:pPr>
      <w:r>
        <w:rPr>
          <w:lang w:val="en_US" w:bidi="en_US"/>
        </w:rPr>
      </w:r>
      <w:r>
        <w:rPr>
          <w:lang w:val="en_US" w:bidi="en_US"/>
        </w:rPr>
        <w:t>I will now trust you</w:t>
      </w:r>
      <w:r>
        <w:rPr>
          <w:vertAlign w:val="superscript"/>
          <w:lang w:val="en_US" w:bidi="en_US"/>
        </w:rPr>
        <w:t>(sing)</w:t>
      </w:r>
      <w:r>
        <w:rPr>
          <w:lang w:val="en_US" w:bidi="en_US"/>
        </w:rPr>
        <w:t xml:space="preserve"> </w:t>
      </w:r>
      <w:r>
        <w:rPr>
          <w:lang w:val="en_US" w:bidi="en_US"/>
        </w:rPr>
        <w:t>to</w:t>
      </w:r>
      <w:r>
        <w:rPr>
          <w:lang w:val="en_US" w:bidi="en_US"/>
        </w:rPr>
        <w:t xml:space="preserve"> rule ten </w:t>
      </w:r>
      <w:r>
        <w:rPr>
          <w:lang w:val="en_US" w:bidi="en_US"/>
        </w:rPr>
        <w:t>of my</w:t>
      </w:r>
      <w:r>
        <w:rPr>
          <w:lang w:val="en_US" w:bidi="en_US"/>
        </w:rPr>
        <w:t xml:space="preserve"> cities.’</w:t>
      </w:r>
    </w:p>
    <w:p>
      <w:pPr>
        <w:pStyle w:val="ListBullet"/>
        <w:spacing w:line="240" w:lineRule="auto"/>
        <w:ind w:left="720"/>
      </w:pPr>
      <w:r>
        <w:rPr>
          <w:lang w:val="en_US" w:bidi="en_US"/>
        </w:rPr>
      </w:r>
      <w:r>
        <w:rPr>
          <w:lang w:val="en_US" w:bidi="en_US"/>
        </w:rPr>
        <w:t>I reward you</w:t>
      </w:r>
      <w:r>
        <w:rPr>
          <w:vertAlign w:val="superscript"/>
          <w:lang w:val="en_US" w:bidi="en_US"/>
        </w:rPr>
        <w:t>(sing)</w:t>
      </w:r>
      <w:r>
        <w:rPr>
          <w:lang w:val="en_US" w:bidi="en_US"/>
        </w:rPr>
        <w:t xml:space="preserve"> </w:t>
      </w:r>
      <w:r>
        <w:rPr>
          <w:lang w:val="en_US" w:bidi="en_US"/>
        </w:rPr>
        <w:t>by</w:t>
      </w:r>
      <w:r>
        <w:rPr>
          <w:lang w:val="en_US" w:bidi="en_US"/>
        </w:rPr>
        <w:t xml:space="preserve"> appointing you to be chief over </w:t>
      </w:r>
      <w:r>
        <w:rPr>
          <w:lang w:val="en_US" w:bidi="en_US"/>
        </w:rPr>
        <w:t>the people in</w:t>
      </w:r>
      <w:r>
        <w:rPr>
          <w:lang w:val="en_US" w:bidi="en_US"/>
        </w:rPr>
        <w:t xml:space="preserve"> ten towns.’</w:t>
      </w:r>
    </w:p>
    <w:p>
      <w:pPr/>
      <w:r>
        <w:rPr>
          <w:lang w:val="en_US" w:bidi="en_US"/>
        </w:rPr>
      </w:r>
      <w:r>
        <w:rPr>
          <w:b/>
          <w:lang w:val="en_US" w:bidi="en_US"/>
        </w:rPr>
        <w:t>you shall have authority over ten cities:</w:t>
      </w:r>
      <w:r>
        <w:rPr>
          <w:lang w:val="en_US" w:bidi="en_US"/>
        </w:rPr>
        <w:t xml:space="preserve"> The clause </w:t>
      </w:r>
      <w:r>
        <w:rPr>
          <w:i/>
          <w:lang w:val="en_US" w:bidi="en_US"/>
        </w:rPr>
        <w:t>you shall have authority over ten cities</w:t>
      </w:r>
      <w:r>
        <w:rPr>
          <w:lang w:val="en_US" w:bidi="en_US"/>
        </w:rPr>
        <w:t xml:space="preserve"> indicates that the king was giving his servant responsibility to govern the people in ten cities. In Greek this clause is literally a command. Here is another way to translate this:</w:t>
      </w:r>
    </w:p>
    <w:p>
      <w:pPr/>
      <w:r>
        <w:rPr>
          <w:lang w:val="en_US" w:bidi="en_US"/>
        </w:rPr>
      </w:r>
      <w:r>
        <w:rPr>
          <w:lang w:val="en_US" w:bidi="en_US"/>
        </w:rPr>
        <w:t>take charge of ten cities (NIV)</w:t>
      </w:r>
    </w:p>
    <w:p>
      <w:pPr/>
      <w:r>
        <w:rPr>
          <w:lang w:val="en_US" w:bidi="en_US"/>
        </w:rPr>
      </w:r>
      <w:r>
        <w:rPr>
          <w:lang w:val="en_US" w:bidi="en_US"/>
        </w:rPr>
        <w:t>In some languages it may be more natural to use a statement. For example:</w:t>
      </w:r>
    </w:p>
    <w:p>
      <w:pPr/>
      <w:r>
        <w:rPr>
          <w:lang w:val="en_US" w:bidi="en_US"/>
        </w:rPr>
      </w:r>
      <w:r>
        <w:rPr>
          <w:lang w:val="en_US" w:bidi="en_US"/>
        </w:rPr>
        <w:t>I will put you in charge of ten cities. (GNT)</w:t>
      </w:r>
    </w:p>
    <w:p>
      <w:pPr/>
      <w:r>
        <w:rPr>
          <w:lang w:val="en_US" w:bidi="en_US"/>
        </w:rPr>
      </w:r>
      <w:r>
        <w:rPr>
          <w:lang w:val="en_US" w:bidi="en_US"/>
        </w:rPr>
        <w:t>I am making you the ruler/governor over ten cities.</w:t>
      </w:r>
    </w:p>
    <w:p>
      <w:pPr>
        <w:pStyle w:val="Heading6"/>
      </w:pPr>
      <w:r>
        <w:rPr>
          <w:b/>
          <w:lang w:val="en_US" w:bidi="en_US"/>
        </w:rPr>
        <w:t>General Comment on 19:17b–c</w:t>
      </w:r>
    </w:p>
    <w:p>
      <w:pPr/>
      <w:r>
        <w:rPr>
          <w:lang w:val="en_US" w:bidi="en_US"/>
        </w:rPr>
      </w:r>
      <w:r>
        <w:rPr>
          <w:lang w:val="en_US" w:bidi="en_US"/>
        </w:rPr>
        <w:t>Here 19:17b is the reason for 19:17c. In some languages it may be more natural to change the order of these clauses. For example:</w:t>
      </w:r>
    </w:p>
    <w:p>
      <w:pPr/>
      <w:r>
        <w:rPr>
          <w:lang w:val="en_US" w:bidi="en_US"/>
        </w:rPr>
      </w:r>
      <w:r>
        <w:rPr>
          <w:vertAlign w:val="superscript"/>
          <w:lang w:val="en_US" w:bidi="en_US"/>
        </w:rPr>
        <w:t>17c</w:t>
      </w:r>
      <w:r>
        <w:rPr>
          <w:lang w:val="en_US" w:bidi="en_US"/>
        </w:rPr>
        <w:t xml:space="preserve">I will give you control over ten cities, </w:t>
      </w:r>
      <w:r>
        <w:rPr>
          <w:vertAlign w:val="superscript"/>
          <w:lang w:val="en_US" w:bidi="en_US"/>
        </w:rPr>
        <w:t>17b</w:t>
      </w:r>
      <w:r>
        <w:rPr>
          <w:lang w:val="en_US" w:bidi="en_US"/>
        </w:rPr>
        <w:t xml:space="preserve">because you have been so faithful with the small responsibility </w:t>
      </w:r>
      <w:r>
        <w:rPr>
          <w:lang w:val="en_US" w:bidi="en_US"/>
        </w:rPr>
        <w:t>I gave you</w:t>
      </w:r>
      <w:r>
        <w:rPr>
          <w:lang w:val="en_US" w:bidi="en_US"/>
        </w:rPr>
        <w:t>.</w:t>
      </w:r>
      <w:r>
        <w:rPr>
          <w:lang w:val="en_US" w:bidi="en_US"/>
        </w:rPr>
      </w:r>
      <w:r>
        <w:rPr>
          <w:lang w:val="en_US" w:bidi="en_US"/>
        </w:rPr>
      </w:r>
    </w:p>
    <w:p>
      <w:pPr/>
      <w:r>
        <w:rPr>
          <w:lang w:val="en_US" w:bidi="en_US"/>
        </w:rPr>
      </w:r>
    </w:p>
    <w:p>
      <w:pPr>
        <w:pStyle w:val="Heading2"/>
      </w:pPr>
      <w:r>
        <w:rPr>
          <w:lang w:val="en_US" w:bidi="en_US"/>
        </w:rPr>
        <w:t>Luke 19:18</w:t>
      </w:r>
      <w:r>
        <w:rPr>
          <w:lang w:val="en_US" w:bidi="en_US"/>
        </w:rPr>
      </w:r>
    </w:p>
    <w:p>
      <w:pPr>
        <w:pStyle w:val="Heading4"/>
      </w:pPr>
      <w:r>
        <w:rPr>
          <w:lang w:val="en_US" w:bidi="en_US"/>
        </w:rPr>
        <w:t>Section 19:11–27: Jesus told a parable about a king and his ten servants</w:t>
      </w:r>
    </w:p>
    <w:p>
      <w:pPr/>
      <w:r>
        <w:rPr>
          <w:lang w:val="en_US" w:bidi="en_US"/>
        </w:rPr>
      </w:r>
      <w:r>
        <w:rPr>
          <w:lang w:val="en_US" w:bidi="en_US"/>
        </w:rPr>
        <w:t>Many of Jesus’ followers expected that when they arrived in Jerusalem, Jesus would establish the kingdom of God and begin to reign as king. He told the parable in this section to help them understand that events would happen differently than they expected.</w:t>
      </w:r>
    </w:p>
    <w:p>
      <w:pPr/>
      <w:r>
        <w:rPr>
          <w:lang w:val="en_US" w:bidi="en_US"/>
        </w:rPr>
      </w:r>
      <w:r>
        <w:rPr>
          <w:lang w:val="en_US" w:bidi="en_US"/>
        </w:rPr>
        <w:t>There are two main ideas that Jesus taught through this parable:</w:t>
      </w:r>
    </w:p>
    <w:p>
      <w:pPr>
        <w:pStyle w:val="ListNumber"/>
        <w:numPr>
          <w:ilvl w:val="0"/>
          <w:numId w:val="318"/>
        </w:numPr>
        <w:spacing w:line="240" w:lineRule="auto"/>
        <w:ind w:left="720"/>
      </w:pPr>
      <w:r>
        <w:rPr>
          <w:lang w:val="en_US" w:bidi="en_US"/>
        </w:rPr>
      </w:r>
      <w:r>
        <w:rPr>
          <w:lang w:val="en_US" w:bidi="en_US"/>
        </w:rP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Pr>
          <w:lang w:val="en_US" w:bidi="en_US"/>
        </w:rPr>
      </w:r>
      <w:r>
        <w:rPr>
          <w:lang w:val="en_US" w:bidi="en_US"/>
        </w:rPr>
        <w:t>While Jesus is gone, his disciples must serve him faithfully and use whatever he has given them to glorify him.</w:t>
      </w:r>
    </w:p>
    <w:p>
      <w:pPr/>
      <w:r>
        <w:rPr>
          <w:lang w:val="en_US" w:bidi="en_US"/>
        </w:rPr>
      </w:r>
      <w:r>
        <w:rPr>
          <w:lang w:val="en_US" w:bidi="en_US"/>
        </w:rPr>
        <w:t>Other examples of headings for this section are:</w:t>
      </w:r>
    </w:p>
    <w:p>
      <w:pPr/>
      <w:r>
        <w:rPr>
          <w:lang w:val="en_US" w:bidi="en_US"/>
        </w:rPr>
      </w:r>
      <w:r>
        <w:rPr>
          <w:lang w:val="en_US" w:bidi="en_US"/>
        </w:rPr>
        <w:t>The Parable of the Gold Coins (GNT)</w:t>
      </w:r>
    </w:p>
    <w:p>
      <w:pPr/>
      <w:r>
        <w:rPr>
          <w:lang w:val="en_US" w:bidi="en_US"/>
        </w:rPr>
      </w:r>
      <w:r>
        <w:rPr>
          <w:lang w:val="en_US" w:bidi="en_US"/>
        </w:rPr>
        <w:t>Jesus told a parable about ten servants</w:t>
      </w:r>
    </w:p>
    <w:p>
      <w:pPr/>
      <w:r>
        <w:rPr>
          <w:lang w:val="en_US" w:bidi="en_US"/>
        </w:rPr>
      </w:r>
      <w:r>
        <w:rPr>
          <w:lang w:val="en_US" w:bidi="en_US"/>
        </w:rPr>
        <w:t>A parallel passage to this section is found in Matthew 25:14–30.</w:t>
      </w:r>
    </w:p>
    <w:p>
      <w:pPr>
        <w:pStyle w:val="Heading5"/>
      </w:pPr>
      <w:r>
        <w:rPr>
          <w:lang w:val="en_US" w:bidi="en_US"/>
        </w:rPr>
        <w:t>19:18–19</w:t>
      </w:r>
    </w:p>
    <w:p>
      <w:pPr/>
      <w:r>
        <w:rPr>
          <w:lang w:val="en_US" w:bidi="en_US"/>
        </w:rPr>
      </w:r>
      <w:r>
        <w:rPr>
          <w:lang w:val="en_US" w:bidi="en_US"/>
        </w:rPr>
        <w:t>These two verses are similar to 19:16–17. In some languages it may be natural to translate these verses as a separate paragraph, as in the NCV.</w:t>
      </w:r>
    </w:p>
    <w:p>
      <w:pPr>
        <w:pStyle w:val="Heading5"/>
      </w:pPr>
      <w:r>
        <w:rPr>
          <w:lang w:val="en_US" w:bidi="en_US"/>
        </w:rPr>
        <w:t>19:18a</w:t>
      </w:r>
    </w:p>
    <w:p>
      <w:pPr/>
      <w:r>
        <w:rPr>
          <w:lang w:val="en_US" w:bidi="en_US"/>
        </w:rPr>
      </w:r>
      <w:r>
        <w:rPr>
          <w:b/>
          <w:lang w:val="en_US" w:bidi="en_US"/>
        </w:rPr>
        <w:t>The second servant came and said,</w:t>
      </w:r>
    </w:p>
    <w:p>
      <w:pPr>
        <w:pStyle w:val="ListBullet"/>
        <w:spacing w:line="240" w:lineRule="auto"/>
        <w:ind w:left="720"/>
      </w:pPr>
      <w:r>
        <w:rPr>
          <w:lang w:val="en_US" w:bidi="en_US"/>
        </w:rPr>
      </w:r>
      <w:r>
        <w:rPr>
          <w:lang w:val="en_US" w:bidi="en_US"/>
        </w:rPr>
        <w:t xml:space="preserve">Then the second </w:t>
      </w:r>
      <w:r>
        <w:rPr>
          <w:lang w:val="en_US" w:bidi="en_US"/>
        </w:rPr>
        <w:t>servant</w:t>
      </w:r>
      <w:r>
        <w:rPr>
          <w:lang w:val="en_US" w:bidi="en_US"/>
        </w:rPr>
        <w:t xml:space="preserve"> came and said,</w:t>
      </w:r>
    </w:p>
    <w:p>
      <w:pPr>
        <w:pStyle w:val="ListBullet"/>
        <w:spacing w:line="240" w:lineRule="auto"/>
        <w:ind w:left="720"/>
      </w:pPr>
      <w:r>
        <w:rPr>
          <w:lang w:val="en_US" w:bidi="en_US"/>
        </w:rPr>
      </w:r>
      <w:r>
        <w:rPr>
          <w:lang w:val="en_US" w:bidi="en_US"/>
        </w:rPr>
        <w:t xml:space="preserve">Then another of the </w:t>
      </w:r>
      <w:r>
        <w:rPr>
          <w:lang w:val="en_US" w:bidi="en_US"/>
        </w:rPr>
        <w:t>ten</w:t>
      </w:r>
      <w:r>
        <w:rPr>
          <w:lang w:val="en_US" w:bidi="en_US"/>
        </w:rPr>
        <w:t xml:space="preserve"> servants stepped forward </w:t>
      </w:r>
      <w:r>
        <w:rPr>
          <w:lang w:val="en_US" w:bidi="en_US"/>
        </w:rPr>
        <w:t>to report</w:t>
      </w:r>
      <w:r>
        <w:rPr>
          <w:lang w:val="en_US" w:bidi="en_US"/>
        </w:rPr>
        <w:t xml:space="preserve"> and said </w:t>
      </w:r>
      <w:r>
        <w:rPr>
          <w:lang w:val="en_US" w:bidi="en_US"/>
        </w:rPr>
        <w:t>to the king/chief</w:t>
      </w:r>
      <w:r>
        <w:rPr>
          <w:lang w:val="en_US" w:bidi="en_US"/>
        </w:rPr>
        <w:t>,</w:t>
      </w:r>
    </w:p>
    <w:p>
      <w:pPr/>
      <w:r>
        <w:rPr>
          <w:lang w:val="en_US" w:bidi="en_US"/>
        </w:rPr>
      </w:r>
      <w:r>
        <w:rPr>
          <w:b/>
          <w:lang w:val="en_US" w:bidi="en_US"/>
        </w:rPr>
        <w:t>The second servant came and said:</w:t>
      </w:r>
      <w:r>
        <w:rPr>
          <w:lang w:val="en_US" w:bidi="en_US"/>
        </w:rPr>
        <w:t xml:space="preserve"> The Greek phrase that the BSB translates as </w:t>
      </w:r>
      <w:r>
        <w:rPr>
          <w:i/>
          <w:lang w:val="en_US" w:bidi="en_US"/>
        </w:rPr>
        <w:t>The second servant</w:t>
      </w:r>
      <w:r>
        <w:rPr>
          <w:lang w:val="en_US" w:bidi="en_US"/>
        </w:rPr>
        <w:t xml:space="preserve"> is literally “the second.” It refers to the next of the ten servants who came and spoke to his master the king. You can translate this part of the verse in a similar way as you translated 19:16a.</w:t>
      </w:r>
    </w:p>
    <w:p>
      <w:pPr>
        <w:pStyle w:val="Heading5"/>
      </w:pPr>
      <w:r>
        <w:rPr>
          <w:lang w:val="en_US" w:bidi="en_US"/>
        </w:rPr>
        <w:t>19:18b</w:t>
      </w:r>
    </w:p>
    <w:p>
      <w:pPr/>
      <w:r>
        <w:rPr>
          <w:lang w:val="en_US" w:bidi="en_US"/>
        </w:rPr>
      </w:r>
      <w:r>
        <w:rPr>
          <w:b/>
          <w:lang w:val="en_US" w:bidi="en_US"/>
        </w:rPr>
        <w:t>‘Master, your mina has made five minas.’</w:t>
      </w:r>
    </w:p>
    <w:p>
      <w:pPr>
        <w:pStyle w:val="ListBullet"/>
        <w:spacing w:line="240" w:lineRule="auto"/>
        <w:ind w:left="720"/>
      </w:pPr>
      <w:r>
        <w:rPr>
          <w:lang w:val="en_US" w:bidi="en_US"/>
        </w:rPr>
      </w:r>
      <w:r>
        <w:rPr>
          <w:lang w:val="en_US" w:bidi="en_US"/>
        </w:rPr>
        <w:t>‘Lord/King, the coin you</w:t>
      </w:r>
      <w:r>
        <w:rPr>
          <w:vertAlign w:val="superscript"/>
          <w:lang w:val="en_US" w:bidi="en_US"/>
        </w:rPr>
        <w:t>(sing)</w:t>
      </w:r>
      <w:r>
        <w:rPr>
          <w:lang w:val="en_US" w:bidi="en_US"/>
        </w:rPr>
        <w:t xml:space="preserve"> </w:t>
      </w:r>
      <w:r>
        <w:rPr>
          <w:lang w:val="en_US" w:bidi="en_US"/>
        </w:rPr>
        <w:t>gave me</w:t>
      </w:r>
      <w:r>
        <w:rPr>
          <w:lang w:val="en_US" w:bidi="en_US"/>
        </w:rPr>
        <w:t xml:space="preserve"> has gained/made five </w:t>
      </w:r>
      <w:r>
        <w:rPr>
          <w:lang w:val="en_US" w:bidi="en_US"/>
        </w:rPr>
        <w:t>coins</w:t>
      </w:r>
      <w:r>
        <w:rPr>
          <w:lang w:val="en_US" w:bidi="en_US"/>
        </w:rPr>
        <w:t xml:space="preserve"> more.’</w:t>
      </w:r>
    </w:p>
    <w:p>
      <w:pPr>
        <w:pStyle w:val="ListBullet"/>
        <w:spacing w:line="240" w:lineRule="auto"/>
        <w:ind w:left="720"/>
      </w:pPr>
      <w:r>
        <w:rPr>
          <w:lang w:val="en_US" w:bidi="en_US"/>
        </w:rPr>
      </w:r>
      <w:r>
        <w:rPr>
          <w:lang w:val="en_US" w:bidi="en_US"/>
        </w:rPr>
        <w:t xml:space="preserve">‘Master, </w:t>
      </w:r>
      <w:r>
        <w:rPr>
          <w:lang w:val="en_US" w:bidi="en_US"/>
        </w:rPr>
        <w:t>I have used</w:t>
      </w:r>
      <w:r>
        <w:rPr>
          <w:lang w:val="en_US" w:bidi="en_US"/>
        </w:rPr>
        <w:t xml:space="preserve"> your</w:t>
      </w:r>
      <w:r>
        <w:rPr>
          <w:vertAlign w:val="superscript"/>
          <w:lang w:val="en_US" w:bidi="en_US"/>
        </w:rPr>
        <w:t>(sing)</w:t>
      </w:r>
      <w:r>
        <w:rPr>
          <w:lang w:val="en_US" w:bidi="en_US"/>
        </w:rPr>
        <w:t xml:space="preserve"> money to earn five times as much.’</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coin has now become five coins.’</w:t>
      </w:r>
    </w:p>
    <w:p>
      <w:pPr/>
      <w:r>
        <w:rPr>
          <w:lang w:val="en_US" w:bidi="en_US"/>
        </w:rPr>
      </w:r>
      <w:r>
        <w:rPr>
          <w:b/>
          <w:lang w:val="en_US" w:bidi="en_US"/>
        </w:rPr>
        <w:t>Master:</w:t>
      </w:r>
      <w:r>
        <w:rPr>
          <w:lang w:val="en_US" w:bidi="en_US"/>
        </w:rPr>
        <w:t xml:space="preserve"> The Greek word that the BSB translates as </w:t>
      </w:r>
      <w:r>
        <w:rPr>
          <w:i/>
          <w:lang w:val="en_US" w:bidi="en_US"/>
        </w:rPr>
        <w:t>Master</w:t>
      </w:r>
      <w:r>
        <w:rPr>
          <w:lang w:val="en_US" w:bidi="en_US"/>
        </w:rPr>
        <w:t xml:space="preserve"> also occurred in 19:16b. See the note there for translation suggestions.</w:t>
      </w:r>
    </w:p>
    <w:p>
      <w:pPr/>
      <w:r>
        <w:rPr>
          <w:lang w:val="en_US" w:bidi="en_US"/>
        </w:rPr>
      </w:r>
      <w:r>
        <w:rPr>
          <w:b/>
          <w:lang w:val="en_US" w:bidi="en_US"/>
        </w:rPr>
        <w:t>your mina has made five minas:</w:t>
      </w:r>
      <w:r>
        <w:rPr>
          <w:lang w:val="en_US" w:bidi="en_US"/>
        </w:rPr>
        <w:t xml:space="preserve"> The meaning of this clause is the same as 19:16b, except that the amount is different. The second servant had used his master’s money to earn five times as much. See the notes at 19:16b for translation suggestions.</w:t>
      </w:r>
    </w:p>
    <w:p>
      <w:pPr>
        <w:pStyle w:val="Heading6"/>
      </w:pPr>
      <w:r>
        <w:rPr>
          <w:b/>
          <w:lang w:val="en_US" w:bidi="en_US"/>
        </w:rPr>
        <w:t>General Comment on 19:18a–b</w:t>
      </w:r>
    </w:p>
    <w:p>
      <w:pPr/>
      <w:r>
        <w:rPr>
          <w:lang w:val="en_US" w:bidi="en_US"/>
        </w:rPr>
      </w:r>
      <w:r>
        <w:rPr>
          <w:lang w:val="en_US" w:bidi="en_US"/>
        </w:rPr>
        <w:t>In some languages it may be more natural to use indirect speech for this verse. For example:</w:t>
      </w:r>
    </w:p>
    <w:p>
      <w:pPr/>
      <w:r>
        <w:rPr>
          <w:lang w:val="en_US" w:bidi="en_US"/>
        </w:rPr>
      </w:r>
      <w:r>
        <w:rPr>
          <w:lang w:val="en_US" w:bidi="en_US"/>
        </w:rPr>
        <w:t>The next servant also reported a good gain—five times the original amount. (NLT96)</w:t>
      </w:r>
      <w:r>
        <w:rPr>
          <w:lang w:val="en_US" w:bidi="en_US"/>
        </w:rPr>
      </w:r>
      <w:r>
        <w:rPr>
          <w:lang w:val="en_US" w:bidi="en_US"/>
        </w:rPr>
      </w:r>
    </w:p>
    <w:p>
      <w:pPr/>
      <w:r>
        <w:rPr>
          <w:lang w:val="en_US" w:bidi="en_US"/>
        </w:rPr>
      </w:r>
    </w:p>
    <w:p>
      <w:pPr>
        <w:pStyle w:val="Heading2"/>
      </w:pPr>
      <w:r>
        <w:rPr>
          <w:lang w:val="en_US" w:bidi="en_US"/>
        </w:rPr>
        <w:t>Luke 19:19</w:t>
      </w:r>
      <w:r>
        <w:rPr>
          <w:lang w:val="en_US" w:bidi="en_US"/>
        </w:rPr>
      </w:r>
    </w:p>
    <w:p>
      <w:pPr>
        <w:pStyle w:val="Heading4"/>
      </w:pPr>
      <w:r>
        <w:rPr>
          <w:lang w:val="en_US" w:bidi="en_US"/>
        </w:rPr>
        <w:t>Section 19:11–27: Jesus told a parable about a king and his ten servants</w:t>
      </w:r>
    </w:p>
    <w:p>
      <w:pPr/>
      <w:r>
        <w:rPr>
          <w:lang w:val="en_US" w:bidi="en_US"/>
        </w:rPr>
      </w:r>
      <w:r>
        <w:rPr>
          <w:lang w:val="en_US" w:bidi="en_US"/>
        </w:rPr>
        <w:t>Many of Jesus’ followers expected that when they arrived in Jerusalem, Jesus would establish the kingdom of God and begin to reign as king. He told the parable in this section to help them understand that events would happen differently than they expected.</w:t>
      </w:r>
    </w:p>
    <w:p>
      <w:pPr/>
      <w:r>
        <w:rPr>
          <w:lang w:val="en_US" w:bidi="en_US"/>
        </w:rPr>
      </w:r>
      <w:r>
        <w:rPr>
          <w:lang w:val="en_US" w:bidi="en_US"/>
        </w:rPr>
        <w:t>There are two main ideas that Jesus taught through this parable:</w:t>
      </w:r>
    </w:p>
    <w:p>
      <w:pPr>
        <w:pStyle w:val="ListNumber"/>
        <w:numPr>
          <w:ilvl w:val="0"/>
          <w:numId w:val="319"/>
        </w:numPr>
        <w:spacing w:line="240" w:lineRule="auto"/>
        <w:ind w:left="720"/>
      </w:pPr>
      <w:r>
        <w:rPr>
          <w:lang w:val="en_US" w:bidi="en_US"/>
        </w:rPr>
      </w:r>
      <w:r>
        <w:rPr>
          <w:lang w:val="en_US" w:bidi="en_US"/>
        </w:rP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Pr>
          <w:lang w:val="en_US" w:bidi="en_US"/>
        </w:rPr>
      </w:r>
      <w:r>
        <w:rPr>
          <w:lang w:val="en_US" w:bidi="en_US"/>
        </w:rPr>
        <w:t>While Jesus is gone, his disciples must serve him faithfully and use whatever he has given them to glorify him.</w:t>
      </w:r>
    </w:p>
    <w:p>
      <w:pPr/>
      <w:r>
        <w:rPr>
          <w:lang w:val="en_US" w:bidi="en_US"/>
        </w:rPr>
      </w:r>
      <w:r>
        <w:rPr>
          <w:lang w:val="en_US" w:bidi="en_US"/>
        </w:rPr>
        <w:t>Other examples of headings for this section are:</w:t>
      </w:r>
    </w:p>
    <w:p>
      <w:pPr/>
      <w:r>
        <w:rPr>
          <w:lang w:val="en_US" w:bidi="en_US"/>
        </w:rPr>
      </w:r>
      <w:r>
        <w:rPr>
          <w:lang w:val="en_US" w:bidi="en_US"/>
        </w:rPr>
        <w:t>The Parable of the Gold Coins (GNT)</w:t>
      </w:r>
    </w:p>
    <w:p>
      <w:pPr/>
      <w:r>
        <w:rPr>
          <w:lang w:val="en_US" w:bidi="en_US"/>
        </w:rPr>
      </w:r>
      <w:r>
        <w:rPr>
          <w:lang w:val="en_US" w:bidi="en_US"/>
        </w:rPr>
        <w:t>Jesus told a parable about ten servants</w:t>
      </w:r>
    </w:p>
    <w:p>
      <w:pPr/>
      <w:r>
        <w:rPr>
          <w:lang w:val="en_US" w:bidi="en_US"/>
        </w:rPr>
      </w:r>
      <w:r>
        <w:rPr>
          <w:lang w:val="en_US" w:bidi="en_US"/>
        </w:rPr>
        <w:t>A parallel passage to this section is found in Matthew 25:14–30.</w:t>
      </w:r>
    </w:p>
    <w:p>
      <w:pPr>
        <w:pStyle w:val="Heading5"/>
      </w:pPr>
      <w:r>
        <w:rPr>
          <w:lang w:val="en_US" w:bidi="en_US"/>
        </w:rPr>
        <w:t>19:19</w:t>
      </w:r>
    </w:p>
    <w:p>
      <w:pPr/>
      <w:r>
        <w:rPr>
          <w:lang w:val="en_US" w:bidi="en_US"/>
        </w:rPr>
      </w:r>
      <w:r>
        <w:rPr>
          <w:b/>
          <w:lang w:val="en_US" w:bidi="en_US"/>
        </w:rPr>
        <w:t>And to this one he said, ‘You shall have authority over five cities.’</w:t>
      </w:r>
    </w:p>
    <w:p>
      <w:pPr>
        <w:pStyle w:val="ListBullet"/>
        <w:spacing w:line="240" w:lineRule="auto"/>
        <w:ind w:left="720"/>
      </w:pPr>
      <w:r>
        <w:rPr>
          <w:lang w:val="en_US" w:bidi="en_US"/>
        </w:rPr>
      </w:r>
      <w:r>
        <w:rPr>
          <w:lang w:val="en_US" w:bidi="en_US"/>
        </w:rPr>
        <w:t>The king replied, ‘You</w:t>
      </w:r>
      <w:r>
        <w:rPr>
          <w:vertAlign w:val="superscript"/>
          <w:lang w:val="en_US" w:bidi="en_US"/>
        </w:rPr>
        <w:t>(sing)</w:t>
      </w:r>
      <w:r>
        <w:rPr>
          <w:lang w:val="en_US" w:bidi="en_US"/>
        </w:rPr>
        <w:t xml:space="preserve"> will rule five </w:t>
      </w:r>
      <w:r>
        <w:rPr>
          <w:lang w:val="en_US" w:bidi="en_US"/>
        </w:rPr>
        <w:t>of my</w:t>
      </w:r>
      <w:r>
        <w:rPr>
          <w:lang w:val="en_US" w:bidi="en_US"/>
        </w:rPr>
        <w:t xml:space="preserve"> cities.’</w:t>
      </w:r>
    </w:p>
    <w:p>
      <w:pPr>
        <w:pStyle w:val="ListBullet"/>
        <w:spacing w:line="240" w:lineRule="auto"/>
        <w:ind w:left="720"/>
      </w:pPr>
      <w:r>
        <w:rPr>
          <w:lang w:val="en_US" w:bidi="en_US"/>
        </w:rPr>
      </w:r>
      <w:r>
        <w:rPr>
          <w:lang w:val="en_US" w:bidi="en_US"/>
        </w:rPr>
        <w:t>The king/chief said, ‘</w:t>
      </w:r>
      <w:r>
        <w:rPr>
          <w:lang w:val="en_US" w:bidi="en_US"/>
        </w:rPr>
        <w:t>Your</w:t>
      </w:r>
      <w:r>
        <w:rPr>
          <w:vertAlign w:val="superscript"/>
          <w:lang w:val="en_US" w:bidi="en_US"/>
        </w:rPr>
        <w:t>(sing)</w:t>
      </w:r>
      <w:r>
        <w:rPr>
          <w:lang w:val="en_US" w:bidi="en_US"/>
        </w:rPr>
        <w:t xml:space="preserve"> </w:t>
      </w:r>
      <w:r>
        <w:rPr>
          <w:lang w:val="en_US" w:bidi="en_US"/>
        </w:rPr>
        <w:t>reward</w:t>
      </w:r>
      <w:r>
        <w:rPr>
          <w:lang w:val="en_US" w:bidi="en_US"/>
        </w:rPr>
        <w:t xml:space="preserve"> is to rule/govern five </w:t>
      </w:r>
      <w:r>
        <w:rPr>
          <w:lang w:val="en_US" w:bidi="en_US"/>
        </w:rPr>
        <w:t>of my</w:t>
      </w:r>
      <w:r>
        <w:rPr>
          <w:lang w:val="en_US" w:bidi="en_US"/>
        </w:rPr>
        <w:t xml:space="preserve"> towns.’</w:t>
      </w:r>
    </w:p>
    <w:p>
      <w:pPr>
        <w:pStyle w:val="ListBullet"/>
        <w:spacing w:line="240" w:lineRule="auto"/>
        <w:ind w:left="720"/>
      </w:pPr>
      <w:r>
        <w:rPr>
          <w:lang w:val="en_US" w:bidi="en_US"/>
        </w:rPr>
      </w:r>
      <w:r>
        <w:rPr>
          <w:lang w:val="en_US" w:bidi="en_US"/>
        </w:rPr>
        <w:t xml:space="preserve">His master </w:t>
      </w:r>
      <w:r>
        <w:rPr>
          <w:lang w:val="en_US" w:bidi="en_US"/>
        </w:rPr>
        <w:t>praised him too and</w:t>
      </w:r>
      <w:r>
        <w:rPr>
          <w:lang w:val="en_US" w:bidi="en_US"/>
        </w:rPr>
        <w:t xml:space="preserve"> said to him, ‘</w:t>
      </w:r>
      <w:r>
        <w:rPr>
          <w:lang w:val="en_US" w:bidi="en_US"/>
        </w:rPr>
        <w:t>I reward you</w:t>
      </w:r>
      <w:r>
        <w:rPr>
          <w:vertAlign w:val="superscript"/>
          <w:lang w:val="en_US" w:bidi="en_US"/>
        </w:rPr>
        <w:t>(sing)</w:t>
      </w:r>
      <w:r>
        <w:rPr>
          <w:lang w:val="en_US" w:bidi="en_US"/>
        </w:rPr>
        <w:t xml:space="preserve"> </w:t>
      </w:r>
      <w:r>
        <w:rPr>
          <w:lang w:val="en_US" w:bidi="en_US"/>
        </w:rPr>
        <w:t>by</w:t>
      </w:r>
      <w:r>
        <w:rPr>
          <w:lang w:val="en_US" w:bidi="en_US"/>
        </w:rPr>
        <w:t xml:space="preserve"> appointing you as chief over </w:t>
      </w:r>
      <w:r>
        <w:rPr>
          <w:lang w:val="en_US" w:bidi="en_US"/>
        </w:rPr>
        <w:t>the people in</w:t>
      </w:r>
      <w:r>
        <w:rPr>
          <w:lang w:val="en_US" w:bidi="en_US"/>
        </w:rPr>
        <w:t xml:space="preserve"> five cities.’</w:t>
      </w:r>
    </w:p>
    <w:p>
      <w:pPr/>
      <w:r>
        <w:rPr>
          <w:lang w:val="en_US" w:bidi="en_US"/>
        </w:rPr>
      </w:r>
      <w:r>
        <w:rPr>
          <w:b/>
          <w:lang w:val="en_US" w:bidi="en_US"/>
        </w:rPr>
        <w:t>And to this one he said, ‘You shall have authority over five cities’:</w:t>
      </w:r>
      <w:r>
        <w:rPr>
          <w:lang w:val="en_US" w:bidi="en_US"/>
        </w:rPr>
        <w:t xml:space="preserve"> The statement that the BSB translates as </w:t>
      </w:r>
      <w:r>
        <w:rPr>
          <w:i/>
          <w:lang w:val="en_US" w:bidi="en_US"/>
        </w:rPr>
        <w:t>And to this one he said, ‘You shall have authority over five cities’</w:t>
      </w:r>
      <w:r>
        <w:rPr>
          <w:lang w:val="en_US" w:bidi="en_US"/>
        </w:rPr>
        <w:t xml:space="preserve"> is literally “And he said also to this one, ‘And you, be over five cities.” This statement implies that the master spoke similarly to the second servant as he spoke to the first servant. It implies that the master approved of him also and rewarded him. Some ways to make this clear are:</w:t>
      </w:r>
    </w:p>
    <w:p>
      <w:pPr/>
      <w:r>
        <w:rPr>
          <w:lang w:val="en_US" w:bidi="en_US"/>
        </w:rPr>
      </w:r>
      <w:r>
        <w:rPr>
          <w:lang w:val="en_US" w:bidi="en_US"/>
        </w:rPr>
        <w:t xml:space="preserve">And he </w:t>
      </w:r>
      <w:r>
        <w:rPr>
          <w:lang w:val="en_US" w:bidi="en_US"/>
        </w:rPr>
        <w:t>rewarded</w:t>
      </w:r>
      <w:r>
        <w:rPr>
          <w:lang w:val="en_US" w:bidi="en_US"/>
        </w:rPr>
        <w:t xml:space="preserve"> him also, saying, “As for you, you will rule over five cities.”</w:t>
      </w:r>
    </w:p>
    <w:p>
      <w:pPr/>
      <w:r>
        <w:rPr>
          <w:lang w:val="en_US" w:bidi="en_US"/>
        </w:rPr>
      </w:r>
      <w:r>
        <w:rPr>
          <w:lang w:val="en_US" w:bidi="en_US"/>
        </w:rPr>
        <w:t>“Well done!” the king said. “You will be governor over five cities.” (NLT)</w:t>
      </w:r>
    </w:p>
    <w:p>
      <w:pPr/>
      <w:r>
        <w:rPr>
          <w:lang w:val="en_US" w:bidi="en_US"/>
        </w:rPr>
      </w:r>
      <w:r>
        <w:rPr>
          <w:lang w:val="en_US" w:bidi="en_US"/>
        </w:rPr>
        <w:t>In some languages it may be more natural to translate the meaning without a direct quote. For example:</w:t>
      </w:r>
    </w:p>
    <w:p>
      <w:pPr/>
      <w:r>
        <w:rPr>
          <w:lang w:val="en_US" w:bidi="en_US"/>
        </w:rPr>
      </w:r>
      <w:r>
        <w:rPr>
          <w:lang w:val="en_US" w:bidi="en_US"/>
        </w:rPr>
        <w:t>His master rewarded him by</w:t>
      </w:r>
      <w:r>
        <w:rPr>
          <w:lang w:val="en_US" w:bidi="en_US"/>
        </w:rPr>
        <w:t xml:space="preserve"> making him the ruler over five cities.</w:t>
      </w:r>
    </w:p>
    <w:p>
      <w:pPr/>
      <w:r>
        <w:rPr>
          <w:lang w:val="en_US" w:bidi="en_US"/>
        </w:rPr>
      </w:r>
      <w:r>
        <w:rPr>
          <w:lang w:val="en_US" w:bidi="en_US"/>
        </w:rPr>
        <w:t>Refer back to the notes on 19:17 for more translation suggestions.</w:t>
      </w:r>
      <w:r>
        <w:rPr>
          <w:lang w:val="en_US" w:bidi="en_US"/>
        </w:rPr>
      </w:r>
      <w:r>
        <w:rPr>
          <w:lang w:val="en_US" w:bidi="en_US"/>
        </w:rPr>
      </w:r>
    </w:p>
    <w:p>
      <w:pPr/>
      <w:r>
        <w:rPr>
          <w:lang w:val="en_US" w:bidi="en_US"/>
        </w:rPr>
      </w:r>
    </w:p>
    <w:p>
      <w:pPr>
        <w:pStyle w:val="Heading2"/>
      </w:pPr>
      <w:r>
        <w:rPr>
          <w:lang w:val="en_US" w:bidi="en_US"/>
        </w:rPr>
        <w:t>Luke 19:20</w:t>
      </w:r>
      <w:r>
        <w:rPr>
          <w:lang w:val="en_US" w:bidi="en_US"/>
        </w:rPr>
      </w:r>
    </w:p>
    <w:p>
      <w:pPr>
        <w:pStyle w:val="Heading4"/>
      </w:pPr>
      <w:r>
        <w:rPr>
          <w:lang w:val="en_US" w:bidi="en_US"/>
        </w:rPr>
        <w:t>Section 19:11–27: Jesus told a parable about a king and his ten servants</w:t>
      </w:r>
    </w:p>
    <w:p>
      <w:pPr/>
      <w:r>
        <w:rPr>
          <w:lang w:val="en_US" w:bidi="en_US"/>
        </w:rPr>
      </w:r>
      <w:r>
        <w:rPr>
          <w:lang w:val="en_US" w:bidi="en_US"/>
        </w:rPr>
        <w:t>Many of Jesus’ followers expected that when they arrived in Jerusalem, Jesus would establish the kingdom of God and begin to reign as king. He told the parable in this section to help them understand that events would happen differently than they expected.</w:t>
      </w:r>
    </w:p>
    <w:p>
      <w:pPr/>
      <w:r>
        <w:rPr>
          <w:lang w:val="en_US" w:bidi="en_US"/>
        </w:rPr>
      </w:r>
      <w:r>
        <w:rPr>
          <w:lang w:val="en_US" w:bidi="en_US"/>
        </w:rPr>
        <w:t>There are two main ideas that Jesus taught through this parable:</w:t>
      </w:r>
    </w:p>
    <w:p>
      <w:pPr>
        <w:pStyle w:val="ListNumber"/>
        <w:numPr>
          <w:ilvl w:val="0"/>
          <w:numId w:val="320"/>
        </w:numPr>
        <w:spacing w:line="240" w:lineRule="auto"/>
        <w:ind w:left="720"/>
      </w:pPr>
      <w:r>
        <w:rPr>
          <w:lang w:val="en_US" w:bidi="en_US"/>
        </w:rPr>
      </w:r>
      <w:r>
        <w:rPr>
          <w:lang w:val="en_US" w:bidi="en_US"/>
        </w:rP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Pr>
          <w:lang w:val="en_US" w:bidi="en_US"/>
        </w:rPr>
      </w:r>
      <w:r>
        <w:rPr>
          <w:lang w:val="en_US" w:bidi="en_US"/>
        </w:rPr>
        <w:t>While Jesus is gone, his disciples must serve him faithfully and use whatever he has given them to glorify him.</w:t>
      </w:r>
    </w:p>
    <w:p>
      <w:pPr/>
      <w:r>
        <w:rPr>
          <w:lang w:val="en_US" w:bidi="en_US"/>
        </w:rPr>
      </w:r>
      <w:r>
        <w:rPr>
          <w:lang w:val="en_US" w:bidi="en_US"/>
        </w:rPr>
        <w:t>Other examples of headings for this section are:</w:t>
      </w:r>
    </w:p>
    <w:p>
      <w:pPr/>
      <w:r>
        <w:rPr>
          <w:lang w:val="en_US" w:bidi="en_US"/>
        </w:rPr>
      </w:r>
      <w:r>
        <w:rPr>
          <w:lang w:val="en_US" w:bidi="en_US"/>
        </w:rPr>
        <w:t>The Parable of the Gold Coins (GNT)</w:t>
      </w:r>
    </w:p>
    <w:p>
      <w:pPr/>
      <w:r>
        <w:rPr>
          <w:lang w:val="en_US" w:bidi="en_US"/>
        </w:rPr>
      </w:r>
      <w:r>
        <w:rPr>
          <w:lang w:val="en_US" w:bidi="en_US"/>
        </w:rPr>
        <w:t>Jesus told a parable about ten servants</w:t>
      </w:r>
    </w:p>
    <w:p>
      <w:pPr/>
      <w:r>
        <w:rPr>
          <w:lang w:val="en_US" w:bidi="en_US"/>
        </w:rPr>
      </w:r>
      <w:r>
        <w:rPr>
          <w:lang w:val="en_US" w:bidi="en_US"/>
        </w:rPr>
        <w:t>A parallel passage to this section is found in Matthew 25:14–30.</w:t>
      </w:r>
    </w:p>
    <w:p>
      <w:pPr>
        <w:pStyle w:val="Heading5"/>
      </w:pPr>
      <w:r>
        <w:rPr>
          <w:lang w:val="en_US" w:bidi="en_US"/>
        </w:rPr>
        <w:t>19:20a</w:t>
      </w:r>
    </w:p>
    <w:p>
      <w:pPr/>
      <w:r>
        <w:rPr>
          <w:lang w:val="en_US" w:bidi="en_US"/>
        </w:rPr>
      </w:r>
      <w:r>
        <w:rPr>
          <w:b/>
          <w:lang w:val="en_US" w:bidi="en_US"/>
        </w:rPr>
        <w:t>Then another servant came and said,</w:t>
      </w:r>
    </w:p>
    <w:p>
      <w:pPr>
        <w:pStyle w:val="ListBullet"/>
        <w:spacing w:line="240" w:lineRule="auto"/>
        <w:ind w:left="720"/>
      </w:pPr>
      <w:r>
        <w:rPr>
          <w:lang w:val="en_US" w:bidi="en_US"/>
        </w:rPr>
      </w:r>
      <w:r>
        <w:rPr>
          <w:lang w:val="en_US" w:bidi="en_US"/>
        </w:rPr>
        <w:t xml:space="preserve">¶ “Then another servant came </w:t>
      </w:r>
      <w:r>
        <w:rPr>
          <w:lang w:val="en_US" w:bidi="en_US"/>
        </w:rPr>
        <w:t>forward</w:t>
      </w:r>
      <w:r>
        <w:rPr>
          <w:lang w:val="en_US" w:bidi="en_US"/>
        </w:rPr>
        <w:t xml:space="preserve"> and said,</w:t>
      </w:r>
    </w:p>
    <w:p>
      <w:pPr>
        <w:pStyle w:val="ListBullet"/>
        <w:spacing w:line="240" w:lineRule="auto"/>
        <w:ind w:left="720"/>
      </w:pPr>
      <w:r>
        <w:rPr>
          <w:lang w:val="en_US" w:bidi="en_US"/>
        </w:rPr>
      </w:r>
      <w:r>
        <w:rPr>
          <w:lang w:val="en_US" w:bidi="en_US"/>
        </w:rPr>
        <w:t xml:space="preserve">¶ “After that, the last/final servant came and said </w:t>
      </w:r>
      <w:r>
        <w:rPr>
          <w:lang w:val="en_US" w:bidi="en_US"/>
        </w:rPr>
        <w:t>to his master</w:t>
      </w:r>
      <w:r>
        <w:rPr>
          <w:lang w:val="en_US" w:bidi="en_US"/>
        </w:rPr>
        <w:t>,</w:t>
      </w:r>
    </w:p>
    <w:p>
      <w:pPr/>
      <w:r>
        <w:rPr>
          <w:lang w:val="en_US" w:bidi="en_US"/>
        </w:rPr>
      </w:r>
      <w:r>
        <w:rPr>
          <w:b/>
          <w:lang w:val="en_US" w:bidi="en_US"/>
        </w:rPr>
        <w:t>Then another servant came and said:</w:t>
      </w:r>
      <w:r>
        <w:rPr>
          <w:lang w:val="en_US" w:bidi="en_US"/>
        </w:rPr>
        <w:t xml:space="preserve"> This </w:t>
      </w:r>
      <w:r>
        <w:rPr>
          <w:i/>
          <w:lang w:val="en_US" w:bidi="en_US"/>
        </w:rPr>
        <w:t>servant</w:t>
      </w:r>
      <w:r>
        <w:rPr>
          <w:lang w:val="en_US" w:bidi="en_US"/>
        </w:rPr>
        <w:t xml:space="preserve"> was another one of the ten servants who received money from the master. The other seven servants are not mentioned. Some ways to introduce this servant</w:t>
      </w:r>
      <w:r>
        <w:rPr>
          <w:lang w:val="en_US" w:bidi="en_US"/>
        </w:rPr>
        <w:t>The Greek phrase that the BSB translates as “another servant” is literally “the other.” Some manuscripts have “another,” as in a number of English versions, including NET, NCV, NASB, RSV, CEV, and ESV. Some scholars believe that the Greek word indicates that this servant was a different type of servant from the other two. (See Plummer, p. 441, and Ellis, p. 224.) The NET also has a note about this.</w:t>
      </w:r>
      <w:r>
        <w:rPr>
          <w:lang w:val="en_US" w:bidi="en_US"/>
        </w:rPr>
        <w:t xml:space="preserve"> are:</w:t>
      </w:r>
    </w:p>
    <w:p>
      <w:pPr/>
      <w:r>
        <w:rPr>
          <w:lang w:val="en_US" w:bidi="en_US"/>
        </w:rPr>
      </w:r>
      <w:r>
        <w:rPr>
          <w:lang w:val="en_US" w:bidi="en_US"/>
        </w:rPr>
        <w:t>The third came and said (REB)</w:t>
      </w:r>
    </w:p>
    <w:p>
      <w:pPr/>
      <w:r>
        <w:rPr>
          <w:lang w:val="en_US" w:bidi="en_US"/>
        </w:rPr>
      </w:r>
      <w:r>
        <w:rPr>
          <w:lang w:val="en_US" w:bidi="en_US"/>
        </w:rPr>
        <w:t>Then another came, saying (RSV)</w:t>
      </w:r>
    </w:p>
    <w:p>
      <w:pPr/>
      <w:r>
        <w:rPr>
          <w:lang w:val="en_US" w:bidi="en_US"/>
        </w:rPr>
      </w:r>
      <w:r>
        <w:rPr>
          <w:lang w:val="en_US" w:bidi="en_US"/>
        </w:rPr>
        <w:t>When the last came, he said (JBP)</w:t>
      </w:r>
    </w:p>
    <w:p>
      <w:pPr>
        <w:pStyle w:val="Heading5"/>
      </w:pPr>
      <w:r>
        <w:rPr>
          <w:lang w:val="en_US" w:bidi="en_US"/>
        </w:rPr>
        <w:t>19:20b</w:t>
      </w:r>
    </w:p>
    <w:p>
      <w:pPr/>
      <w:r>
        <w:rPr>
          <w:lang w:val="en_US" w:bidi="en_US"/>
        </w:rPr>
      </w:r>
      <w:r>
        <w:rPr>
          <w:b/>
          <w:lang w:val="en_US" w:bidi="en_US"/>
        </w:rPr>
        <w:t>‘Master, here is your mina,</w:t>
      </w:r>
    </w:p>
    <w:p>
      <w:pPr>
        <w:pStyle w:val="ListBullet"/>
        <w:spacing w:line="240" w:lineRule="auto"/>
        <w:ind w:left="720"/>
      </w:pPr>
      <w:r>
        <w:rPr>
          <w:lang w:val="en_US" w:bidi="en_US"/>
        </w:rPr>
      </w:r>
      <w:r>
        <w:rPr>
          <w:lang w:val="en_US" w:bidi="en_US"/>
        </w:rPr>
        <w:t>‘Lord/King, your</w:t>
      </w:r>
      <w:r>
        <w:rPr>
          <w:vertAlign w:val="superscript"/>
          <w:lang w:val="en_US" w:bidi="en_US"/>
        </w:rPr>
        <w:t>(sing)</w:t>
      </w:r>
      <w:r>
        <w:rPr>
          <w:lang w:val="en_US" w:bidi="en_US"/>
        </w:rPr>
        <w:t xml:space="preserve"> coin is here.</w:t>
      </w:r>
    </w:p>
    <w:p>
      <w:pPr>
        <w:pStyle w:val="ListBullet"/>
        <w:spacing w:line="240" w:lineRule="auto"/>
        <w:ind w:left="720"/>
      </w:pPr>
      <w:r>
        <w:rPr>
          <w:lang w:val="en_US" w:bidi="en_US"/>
        </w:rPr>
      </w:r>
      <w:r>
        <w:rPr>
          <w:lang w:val="en_US" w:bidi="en_US"/>
        </w:rPr>
        <w:t>‘Master, here is the money that you</w:t>
      </w:r>
      <w:r>
        <w:rPr>
          <w:vertAlign w:val="superscript"/>
          <w:lang w:val="en_US" w:bidi="en_US"/>
        </w:rPr>
        <w:t>(sing)</w:t>
      </w:r>
      <w:r>
        <w:rPr>
          <w:lang w:val="en_US" w:bidi="en_US"/>
        </w:rPr>
        <w:t xml:space="preserve"> gave me.</w:t>
      </w:r>
    </w:p>
    <w:p>
      <w:pPr/>
      <w:r>
        <w:rPr>
          <w:lang w:val="en_US" w:bidi="en_US"/>
        </w:rPr>
      </w:r>
      <w:r>
        <w:rPr>
          <w:b/>
          <w:lang w:val="en_US" w:bidi="en_US"/>
        </w:rPr>
        <w:t>Master:</w:t>
      </w:r>
      <w:r>
        <w:rPr>
          <w:lang w:val="en_US" w:bidi="en_US"/>
        </w:rPr>
        <w:t xml:space="preserve"> The word </w:t>
      </w:r>
      <w:r>
        <w:rPr>
          <w:i/>
          <w:lang w:val="en_US" w:bidi="en_US"/>
        </w:rPr>
        <w:t>Master</w:t>
      </w:r>
      <w:r>
        <w:rPr>
          <w:lang w:val="en_US" w:bidi="en_US"/>
        </w:rPr>
        <w:t xml:space="preserve"> was also used in 19:16 and 19:18. See the note at 19:16b for translation suggestions.</w:t>
      </w:r>
    </w:p>
    <w:p>
      <w:pPr/>
      <w:r>
        <w:rPr>
          <w:lang w:val="en_US" w:bidi="en_US"/>
        </w:rPr>
      </w:r>
      <w:r>
        <w:rPr>
          <w:b/>
          <w:lang w:val="en_US" w:bidi="en_US"/>
        </w:rPr>
        <w:t>here is your mina:</w:t>
      </w:r>
      <w:r>
        <w:rPr>
          <w:lang w:val="en_US" w:bidi="en_US"/>
        </w:rPr>
        <w:t xml:space="preserve"> This servant took the same money that his master had given him and gave it back to his master. He did not use it to gain more money.</w:t>
      </w:r>
    </w:p>
    <w:p>
      <w:pPr/>
      <w:r>
        <w:rPr>
          <w:lang w:val="en_US" w:bidi="en_US"/>
        </w:rPr>
      </w:r>
      <w:r>
        <w:rPr>
          <w:lang w:val="en_US" w:bidi="en_US"/>
        </w:rPr>
        <w:t>The actions of this servant contrast with the first two servants who reported to the king. In some languages it may be natural to indicate this contrast explicitly here. For example:</w:t>
      </w:r>
    </w:p>
    <w:p>
      <w:pPr/>
      <w:r>
        <w:rPr>
          <w:lang w:val="en_US" w:bidi="en_US"/>
        </w:rPr>
      </w:r>
      <w:r>
        <w:rPr>
          <w:lang w:val="en_US" w:bidi="en_US"/>
        </w:rPr>
        <w:t>But the third servant brought back only the original amount of money and said, ‘Master…’ (NLT)</w:t>
      </w:r>
    </w:p>
    <w:p>
      <w:pPr/>
      <w:r>
        <w:rPr>
          <w:lang w:val="en_US" w:bidi="en_US"/>
        </w:rPr>
      </w:r>
      <w:r>
        <w:rPr>
          <w:lang w:val="en_US" w:bidi="en_US"/>
        </w:rPr>
        <w:t xml:space="preserve">Notice that the NLT uses indirect speech here to translate the clause </w:t>
      </w:r>
      <w:r>
        <w:rPr>
          <w:i/>
          <w:lang w:val="en_US" w:bidi="en_US"/>
        </w:rPr>
        <w:t>here is your mina</w:t>
      </w:r>
      <w:r>
        <w:rPr>
          <w:lang w:val="en_US" w:bidi="en_US"/>
        </w:rPr>
        <w:t>. Use direct and indirect speech in this story in a way that is natural in your language.</w:t>
      </w:r>
    </w:p>
    <w:p>
      <w:pPr>
        <w:pStyle w:val="Heading5"/>
      </w:pPr>
      <w:r>
        <w:rPr>
          <w:lang w:val="en_US" w:bidi="en_US"/>
        </w:rPr>
        <w:t>19:20c</w:t>
      </w:r>
    </w:p>
    <w:p>
      <w:pPr/>
      <w:r>
        <w:rPr>
          <w:lang w:val="en_US" w:bidi="en_US"/>
        </w:rPr>
      </w:r>
      <w:r>
        <w:rPr>
          <w:b/>
          <w:lang w:val="en_US" w:bidi="en_US"/>
        </w:rPr>
        <w:t>which I have laid away in a piece of cloth.</w:t>
      </w:r>
    </w:p>
    <w:p>
      <w:pPr>
        <w:pStyle w:val="ListBullet"/>
        <w:spacing w:line="240" w:lineRule="auto"/>
        <w:ind w:left="720"/>
      </w:pPr>
      <w:r>
        <w:rPr>
          <w:lang w:val="en_US" w:bidi="en_US"/>
        </w:rPr>
      </w:r>
      <w:r>
        <w:rPr>
          <w:lang w:val="en_US" w:bidi="en_US"/>
        </w:rPr>
        <w:t xml:space="preserve">I have kept it hidden </w:t>
      </w:r>
      <w:r>
        <w:rPr>
          <w:lang w:val="en_US" w:bidi="en_US"/>
        </w:rPr>
        <w:t>safely</w:t>
      </w:r>
      <w:r>
        <w:rPr>
          <w:lang w:val="en_US" w:bidi="en_US"/>
        </w:rPr>
        <w:t xml:space="preserve"> in a </w:t>
      </w:r>
      <w:r>
        <w:rPr>
          <w:lang w:val="en_US" w:bidi="en_US"/>
        </w:rPr>
        <w:t>face</w:t>
      </w:r>
      <w:r>
        <w:rPr>
          <w:lang w:val="en_US" w:bidi="en_US"/>
        </w:rPr>
        <w:t xml:space="preserve"> cloth.</w:t>
      </w:r>
    </w:p>
    <w:p>
      <w:pPr>
        <w:pStyle w:val="ListBullet"/>
        <w:spacing w:line="240" w:lineRule="auto"/>
        <w:ind w:left="720"/>
      </w:pPr>
      <w:r>
        <w:rPr>
          <w:lang w:val="en_US" w:bidi="en_US"/>
        </w:rPr>
      </w:r>
      <w:r>
        <w:rPr>
          <w:lang w:val="en_US" w:bidi="en_US"/>
        </w:rPr>
        <w:t xml:space="preserve">I wrapped it in a handkerchief and put it away </w:t>
      </w:r>
      <w:r>
        <w:rPr>
          <w:lang w:val="en_US" w:bidi="en_US"/>
        </w:rPr>
        <w:t>to keep it safe</w:t>
      </w:r>
      <w:r>
        <w:rPr>
          <w:lang w:val="en_US" w:bidi="en_US"/>
        </w:rPr>
        <w:t>.</w:t>
      </w:r>
    </w:p>
    <w:p>
      <w:pPr/>
      <w:r>
        <w:rPr>
          <w:lang w:val="en_US" w:bidi="en_US"/>
        </w:rPr>
      </w:r>
      <w:r>
        <w:rPr>
          <w:b/>
          <w:lang w:val="en_US" w:bidi="en_US"/>
        </w:rPr>
        <w:t>which I have laid away in a piece of cloth:</w:t>
      </w:r>
      <w:r>
        <w:rPr>
          <w:lang w:val="en_US" w:bidi="en_US"/>
        </w:rPr>
        <w:t xml:space="preserve"> The Greek word that the BSB translates as </w:t>
      </w:r>
      <w:r>
        <w:rPr>
          <w:i/>
          <w:lang w:val="en_US" w:bidi="en_US"/>
        </w:rPr>
        <w:t>laid away</w:t>
      </w:r>
      <w:r>
        <w:rPr>
          <w:lang w:val="en_US" w:bidi="en_US"/>
        </w:rPr>
        <w:t xml:space="preserve"> refers to putting something away to store it or keep it safe. This servant had not invested the money as the master had told him to do. He had only wrapped it in cloth and put it somewhere. This was not even a good way to keep it safe as the servant implied. Some other ways to translate this action are:</w:t>
      </w:r>
    </w:p>
    <w:p>
      <w:pPr/>
      <w:r>
        <w:rPr>
          <w:lang w:val="en_US" w:bidi="en_US"/>
        </w:rPr>
      </w:r>
      <w:r>
        <w:rPr>
          <w:lang w:val="en_US" w:bidi="en_US"/>
        </w:rPr>
        <w:t>I kept it hidden in a handkerchief (GNT)</w:t>
      </w:r>
    </w:p>
    <w:p>
      <w:pPr/>
      <w:r>
        <w:rPr>
          <w:lang w:val="en_US" w:bidi="en_US"/>
        </w:rPr>
      </w:r>
      <w:r>
        <w:rPr>
          <w:lang w:val="en_US" w:bidi="en_US"/>
        </w:rPr>
        <w:t>I kept it wrapped up in a handkerchief (REB)</w:t>
      </w:r>
    </w:p>
    <w:p>
      <w:pPr/>
      <w:r>
        <w:rPr>
          <w:lang w:val="en_US" w:bidi="en_US"/>
        </w:rPr>
      </w:r>
      <w:r>
        <w:rPr>
          <w:lang w:val="en_US" w:bidi="en_US"/>
        </w:rPr>
        <w:t>I’ve kept it in a cloth for safekeeping (GW)</w:t>
      </w:r>
    </w:p>
    <w:p>
      <w:pPr/>
      <w:r>
        <w:rPr>
          <w:lang w:val="en_US" w:bidi="en_US"/>
        </w:rPr>
      </w:r>
      <w:r>
        <w:rPr>
          <w:b/>
          <w:lang w:val="en_US" w:bidi="en_US"/>
        </w:rPr>
        <w:t>a piece of cloth:</w:t>
      </w:r>
      <w:r>
        <w:rPr>
          <w:lang w:val="en_US" w:bidi="en_US"/>
        </w:rPr>
        <w:t xml:space="preserve"> The Greek word that the BSB translates as </w:t>
      </w:r>
      <w:r>
        <w:rPr>
          <w:i/>
          <w:lang w:val="en_US" w:bidi="en_US"/>
        </w:rPr>
        <w:t>a piece of cloth</w:t>
      </w:r>
      <w:r>
        <w:rPr>
          <w:lang w:val="en_US" w:bidi="en_US"/>
        </w:rPr>
        <w:t xml:space="preserve"> refers to a face cloth or a neck cloth. People used it to protect themselves from the sun and to wipe the sweat off their faces.</w:t>
      </w:r>
    </w:p>
    <w:p>
      <w:pPr/>
      <w:r>
        <w:rPr>
          <w:lang w:val="en_US" w:bidi="en_US"/>
        </w:rPr>
      </w:r>
      <w:r>
        <w:rPr>
          <w:lang w:val="en_US" w:bidi="en_US"/>
        </w:rPr>
        <w:t>In some languages there is a specific word for such an item, like the English word “handkerchief.” In other languages, it is better to use a general expression, as in the BSB.</w:t>
      </w:r>
      <w:r>
        <w:rPr>
          <w:lang w:val="en_US" w:bidi="en_US"/>
        </w:rPr>
      </w:r>
      <w:r>
        <w:rPr>
          <w:lang w:val="en_US" w:bidi="en_US"/>
        </w:rPr>
      </w:r>
    </w:p>
    <w:p>
      <w:pPr/>
      <w:r>
        <w:rPr>
          <w:lang w:val="en_US" w:bidi="en_US"/>
        </w:rPr>
      </w:r>
    </w:p>
    <w:p>
      <w:pPr>
        <w:pStyle w:val="Heading2"/>
      </w:pPr>
      <w:r>
        <w:rPr>
          <w:lang w:val="en_US" w:bidi="en_US"/>
        </w:rPr>
        <w:t>Luke 19:21</w:t>
      </w:r>
      <w:r>
        <w:rPr>
          <w:lang w:val="en_US" w:bidi="en_US"/>
        </w:rPr>
      </w:r>
    </w:p>
    <w:p>
      <w:pPr>
        <w:pStyle w:val="Heading4"/>
      </w:pPr>
      <w:r>
        <w:rPr>
          <w:lang w:val="en_US" w:bidi="en_US"/>
        </w:rPr>
        <w:t>Section 19:11–27: Jesus told a parable about a king and his ten servants</w:t>
      </w:r>
    </w:p>
    <w:p>
      <w:pPr/>
      <w:r>
        <w:rPr>
          <w:lang w:val="en_US" w:bidi="en_US"/>
        </w:rPr>
      </w:r>
      <w:r>
        <w:rPr>
          <w:lang w:val="en_US" w:bidi="en_US"/>
        </w:rPr>
        <w:t>Many of Jesus’ followers expected that when they arrived in Jerusalem, Jesus would establish the kingdom of God and begin to reign as king. He told the parable in this section to help them understand that events would happen differently than they expected.</w:t>
      </w:r>
    </w:p>
    <w:p>
      <w:pPr/>
      <w:r>
        <w:rPr>
          <w:lang w:val="en_US" w:bidi="en_US"/>
        </w:rPr>
      </w:r>
      <w:r>
        <w:rPr>
          <w:lang w:val="en_US" w:bidi="en_US"/>
        </w:rPr>
        <w:t>There are two main ideas that Jesus taught through this parable:</w:t>
      </w:r>
    </w:p>
    <w:p>
      <w:pPr>
        <w:pStyle w:val="ListNumber"/>
        <w:numPr>
          <w:ilvl w:val="0"/>
          <w:numId w:val="321"/>
        </w:numPr>
        <w:spacing w:line="240" w:lineRule="auto"/>
        <w:ind w:left="720"/>
      </w:pPr>
      <w:r>
        <w:rPr>
          <w:lang w:val="en_US" w:bidi="en_US"/>
        </w:rPr>
      </w:r>
      <w:r>
        <w:rPr>
          <w:lang w:val="en_US" w:bidi="en_US"/>
        </w:rP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Pr>
          <w:lang w:val="en_US" w:bidi="en_US"/>
        </w:rPr>
      </w:r>
      <w:r>
        <w:rPr>
          <w:lang w:val="en_US" w:bidi="en_US"/>
        </w:rPr>
        <w:t>While Jesus is gone, his disciples must serve him faithfully and use whatever he has given them to glorify him.</w:t>
      </w:r>
    </w:p>
    <w:p>
      <w:pPr/>
      <w:r>
        <w:rPr>
          <w:lang w:val="en_US" w:bidi="en_US"/>
        </w:rPr>
      </w:r>
      <w:r>
        <w:rPr>
          <w:lang w:val="en_US" w:bidi="en_US"/>
        </w:rPr>
        <w:t>Other examples of headings for this section are:</w:t>
      </w:r>
    </w:p>
    <w:p>
      <w:pPr/>
      <w:r>
        <w:rPr>
          <w:lang w:val="en_US" w:bidi="en_US"/>
        </w:rPr>
      </w:r>
      <w:r>
        <w:rPr>
          <w:lang w:val="en_US" w:bidi="en_US"/>
        </w:rPr>
        <w:t>The Parable of the Gold Coins (GNT)</w:t>
      </w:r>
    </w:p>
    <w:p>
      <w:pPr/>
      <w:r>
        <w:rPr>
          <w:lang w:val="en_US" w:bidi="en_US"/>
        </w:rPr>
      </w:r>
      <w:r>
        <w:rPr>
          <w:lang w:val="en_US" w:bidi="en_US"/>
        </w:rPr>
        <w:t>Jesus told a parable about ten servants</w:t>
      </w:r>
    </w:p>
    <w:p>
      <w:pPr/>
      <w:r>
        <w:rPr>
          <w:lang w:val="en_US" w:bidi="en_US"/>
        </w:rPr>
      </w:r>
      <w:r>
        <w:rPr>
          <w:lang w:val="en_US" w:bidi="en_US"/>
        </w:rPr>
        <w:t>A parallel passage to this section is found in Matthew 25:14–30.</w:t>
      </w:r>
    </w:p>
    <w:p>
      <w:pPr>
        <w:pStyle w:val="Heading5"/>
      </w:pPr>
      <w:r>
        <w:rPr>
          <w:lang w:val="en_US" w:bidi="en_US"/>
        </w:rPr>
        <w:t>19:21a</w:t>
      </w:r>
    </w:p>
    <w:p>
      <w:pPr/>
      <w:r>
        <w:rPr>
          <w:lang w:val="en_US" w:bidi="en_US"/>
        </w:rPr>
      </w:r>
      <w:r>
        <w:rPr>
          <w:b/>
          <w:lang w:val="en_US" w:bidi="en_US"/>
        </w:rPr>
        <w:t>For I was afraid of you, because you are a harsh man.</w:t>
      </w:r>
    </w:p>
    <w:p>
      <w:pPr>
        <w:pStyle w:val="ListBullet"/>
        <w:spacing w:line="240" w:lineRule="auto"/>
        <w:ind w:left="720"/>
      </w:pPr>
      <w:r>
        <w:rPr>
          <w:lang w:val="en_US" w:bidi="en_US"/>
        </w:rPr>
      </w:r>
      <w:r>
        <w:rPr>
          <w:lang w:val="en_US" w:bidi="en_US"/>
        </w:rPr>
        <w:t>I feared you</w:t>
      </w:r>
      <w:r>
        <w:rPr>
          <w:vertAlign w:val="superscript"/>
          <w:lang w:val="en_US" w:bidi="en_US"/>
        </w:rPr>
        <w:t>(sing)</w:t>
      </w:r>
      <w:r>
        <w:rPr>
          <w:lang w:val="en_US" w:bidi="en_US"/>
        </w:rPr>
        <w:t xml:space="preserve"> because you are a strict/severe man.</w:t>
      </w:r>
    </w:p>
    <w:p>
      <w:pPr>
        <w:pStyle w:val="ListBullet"/>
        <w:spacing w:line="240" w:lineRule="auto"/>
        <w:ind w:left="720"/>
      </w:pPr>
      <w:r>
        <w:rPr>
          <w:lang w:val="en_US" w:bidi="en_US"/>
        </w:rPr>
      </w:r>
      <w:r>
        <w:rPr>
          <w:lang w:val="en_US" w:bidi="en_US"/>
        </w:rPr>
        <w:t>I did this</w:t>
      </w:r>
      <w:r>
        <w:rPr>
          <w:lang w:val="en_US" w:bidi="en_US"/>
        </w:rPr>
        <w:t xml:space="preserve"> because you</w:t>
      </w:r>
      <w:r>
        <w:rPr>
          <w:vertAlign w:val="superscript"/>
          <w:lang w:val="en_US" w:bidi="en_US"/>
        </w:rPr>
        <w:t>(sing)</w:t>
      </w:r>
      <w:r>
        <w:rPr>
          <w:lang w:val="en_US" w:bidi="en_US"/>
        </w:rPr>
        <w:t xml:space="preserve"> are such an exacting/difficult master that I was fearful/worried.</w:t>
      </w:r>
    </w:p>
    <w:p>
      <w:pPr/>
      <w:r>
        <w:rPr>
          <w:lang w:val="en_US" w:bidi="en_US"/>
        </w:rPr>
      </w:r>
      <w:r>
        <w:rPr>
          <w:b/>
          <w:lang w:val="en_US" w:bidi="en_US"/>
        </w:rPr>
        <w:t>For:</w:t>
      </w:r>
      <w:r>
        <w:rPr>
          <w:lang w:val="en_US" w:bidi="en_US"/>
        </w:rPr>
        <w:t xml:space="preserve"> In this verse the servant explained the reason why he did not invest the money. He said that he hid it because he was afraid of his master. In Greek this reason is introduced with a conjunction that the BSB translates as </w:t>
      </w:r>
      <w:r>
        <w:rPr>
          <w:i/>
          <w:lang w:val="en_US" w:bidi="en_US"/>
        </w:rPr>
        <w:t>For</w:t>
      </w:r>
      <w:r>
        <w:rPr>
          <w:lang w:val="en_US" w:bidi="en_US"/>
        </w:rPr>
        <w:t>. Other versions, such as the NIV, CEV, GW, and NLT, do not translate this conjunction. Express the reason in a natural way in your language. Another way to do this in English is:</w:t>
      </w:r>
    </w:p>
    <w:p>
      <w:pPr/>
      <w:r>
        <w:rPr>
          <w:lang w:val="en_US" w:bidi="en_US"/>
        </w:rPr>
      </w:r>
      <w:r>
        <w:rPr>
          <w:u w:val="single"/>
          <w:lang w:val="en_US" w:bidi="en_US"/>
        </w:rPr>
        <w:t>I did this because</w:t>
      </w:r>
      <w:r>
        <w:rPr>
          <w:lang w:val="en_US" w:bidi="en_US"/>
        </w:rPr>
        <w:t xml:space="preserve"> I was afraid of you</w:t>
      </w:r>
    </w:p>
    <w:p>
      <w:pPr/>
      <w:r>
        <w:rPr>
          <w:lang w:val="en_US" w:bidi="en_US"/>
        </w:rPr>
      </w:r>
      <w:r>
        <w:rPr>
          <w:b/>
          <w:lang w:val="en_US" w:bidi="en_US"/>
        </w:rPr>
        <w:t>I was afraid of you, because you are a harsh man:</w:t>
      </w:r>
      <w:r>
        <w:rPr>
          <w:lang w:val="en_US" w:bidi="en_US"/>
        </w:rPr>
        <w:t xml:space="preserve"> Here the servant told his reason for fearing his master. He thought that his master was a harsh man. In some languages it may be more natural to change the order of the clauses in 19:21a. For example:</w:t>
      </w:r>
    </w:p>
    <w:p>
      <w:pPr/>
      <w:r>
        <w:rPr>
          <w:lang w:val="en_US" w:bidi="en_US"/>
        </w:rPr>
      </w:r>
      <w:r>
        <w:rPr>
          <w:lang w:val="en_US" w:bidi="en_US"/>
        </w:rPr>
        <w:t>You are a hard man, and I was afraid of you. (CEV)</w:t>
      </w:r>
    </w:p>
    <w:p>
      <w:pPr/>
      <w:r>
        <w:rPr>
          <w:lang w:val="en_US" w:bidi="en_US"/>
        </w:rPr>
      </w:r>
      <w:r>
        <w:rPr>
          <w:lang w:val="en_US" w:bidi="en_US"/>
        </w:rPr>
        <w:t>You are very severe, so I feared you.</w:t>
      </w:r>
    </w:p>
    <w:p>
      <w:pPr/>
      <w:r>
        <w:rPr>
          <w:lang w:val="en_US" w:bidi="en_US"/>
        </w:rPr>
      </w:r>
      <w:r>
        <w:rPr>
          <w:b/>
          <w:lang w:val="en_US" w:bidi="en_US"/>
        </w:rPr>
        <w:t>I was afraid of you:</w:t>
      </w:r>
      <w:r>
        <w:rPr>
          <w:lang w:val="en_US" w:bidi="en_US"/>
        </w:rPr>
        <w:t xml:space="preserve"> Here this clause implies that the servant was afraid that his master would be angry or punish him if he lost the coin. In some languages it may be necessary to make that explicit. For example:</w:t>
      </w:r>
    </w:p>
    <w:p>
      <w:pPr/>
      <w:r>
        <w:rPr>
          <w:lang w:val="en_US" w:bidi="en_US"/>
        </w:rPr>
      </w:r>
      <w:r>
        <w:rPr>
          <w:lang w:val="en_US" w:bidi="en_US"/>
        </w:rPr>
        <w:t xml:space="preserve">I was afraid that you would be angry with me </w:t>
      </w:r>
      <w:r>
        <w:rPr>
          <w:lang w:val="en_US" w:bidi="en_US"/>
        </w:rPr>
        <w:t>if I lost it</w:t>
      </w:r>
      <w:r>
        <w:rPr>
          <w:lang w:val="en_US" w:bidi="en_US"/>
        </w:rPr>
        <w:t xml:space="preserve"> (TRT)</w:t>
      </w:r>
    </w:p>
    <w:p>
      <w:pPr/>
      <w:r>
        <w:rPr>
          <w:lang w:val="en_US" w:bidi="en_US"/>
        </w:rPr>
      </w:r>
      <w:r>
        <w:rPr>
          <w:b/>
          <w:lang w:val="en_US" w:bidi="en_US"/>
        </w:rPr>
        <w:t>you are a harsh man:</w:t>
      </w:r>
      <w:r>
        <w:rPr>
          <w:lang w:val="en_US" w:bidi="en_US"/>
        </w:rPr>
        <w:t xml:space="preserve"> The Greek word that the BSB translates as </w:t>
      </w:r>
      <w:r>
        <w:rPr>
          <w:i/>
          <w:lang w:val="en_US" w:bidi="en_US"/>
        </w:rPr>
        <w:t>harsh</w:t>
      </w:r>
      <w:r>
        <w:rPr>
          <w:lang w:val="en_US" w:bidi="en_US"/>
        </w:rPr>
        <w:t xml:space="preserve"> means “severe” or “strict.” Here it implies that the master demanded that his servants work hard and do the work exactly as he wanted them to. It may also imply that the master would punish them severely if they did not do the work properly. The servant thought that his master was a difficult man to serve. Here is another way to translate this:</w:t>
      </w:r>
    </w:p>
    <w:p>
      <w:pPr/>
      <w:r>
        <w:rPr>
          <w:lang w:val="en_US" w:bidi="en_US"/>
        </w:rPr>
      </w:r>
      <w:r>
        <w:rPr>
          <w:lang w:val="en_US" w:bidi="en_US"/>
        </w:rPr>
        <w:t>you are a severe man (RSV)</w:t>
      </w:r>
    </w:p>
    <w:p>
      <w:pPr/>
      <w:r>
        <w:rPr>
          <w:lang w:val="en_US" w:bidi="en_US"/>
        </w:rPr>
      </w:r>
      <w:r>
        <w:rPr>
          <w:lang w:val="en_US" w:bidi="en_US"/>
        </w:rPr>
        <w:t>In some languages there is an idiom to describe this sort of person.</w:t>
      </w:r>
    </w:p>
    <w:p>
      <w:pPr>
        <w:pStyle w:val="Heading5"/>
      </w:pPr>
      <w:r>
        <w:rPr>
          <w:lang w:val="en_US" w:bidi="en_US"/>
        </w:rPr>
        <w:t>19:21b</w:t>
      </w:r>
    </w:p>
    <w:p>
      <w:pPr/>
      <w:r>
        <w:rPr>
          <w:lang w:val="en_US" w:bidi="en_US"/>
        </w:rPr>
      </w:r>
      <w:r>
        <w:rPr>
          <w:b/>
          <w:lang w:val="en_US" w:bidi="en_US"/>
        </w:rPr>
        <w:t>You withdraw what you did not deposit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gain </w:t>
      </w:r>
      <w:r>
        <w:rPr>
          <w:lang w:val="en_US" w:bidi="en_US"/>
        </w:rPr>
        <w:t>from</w:t>
      </w:r>
      <w:r>
        <w:rPr>
          <w:lang w:val="en_US" w:bidi="en_US"/>
        </w:rPr>
        <w:t xml:space="preserve"> what you did not supply/deposit,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take/get </w:t>
      </w:r>
      <w:r>
        <w:rPr>
          <w:lang w:val="en_US" w:bidi="en_US"/>
        </w:rPr>
        <w:t>profit</w:t>
      </w:r>
      <w:r>
        <w:rPr>
          <w:lang w:val="en_US" w:bidi="en_US"/>
        </w:rPr>
        <w:t xml:space="preserve"> </w:t>
      </w:r>
      <w:r>
        <w:rPr>
          <w:lang w:val="en_US" w:bidi="en_US"/>
        </w:rPr>
        <w:t>from</w:t>
      </w:r>
      <w:r>
        <w:rPr>
          <w:lang w:val="en_US" w:bidi="en_US"/>
        </w:rPr>
        <w:t xml:space="preserve"> what you do not contribute.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expect to</w:t>
      </w:r>
      <w:r>
        <w:rPr>
          <w:lang w:val="en_US" w:bidi="en_US"/>
        </w:rPr>
        <w:t xml:space="preserve"> acquire/obtain </w:t>
      </w:r>
      <w:r>
        <w:rPr>
          <w:lang w:val="en_US" w:bidi="en_US"/>
        </w:rPr>
        <w:t>things</w:t>
      </w:r>
      <w:r>
        <w:rPr>
          <w:lang w:val="en_US" w:bidi="en_US"/>
        </w:rPr>
        <w:t xml:space="preserve"> that you did not work for,</w:t>
      </w:r>
    </w:p>
    <w:p>
      <w:pPr>
        <w:pStyle w:val="Heading5"/>
      </w:pPr>
      <w:r>
        <w:rPr>
          <w:lang w:val="en_US" w:bidi="en_US"/>
        </w:rPr>
        <w:t>19:21c</w:t>
      </w:r>
    </w:p>
    <w:p>
      <w:pPr/>
      <w:r>
        <w:rPr>
          <w:lang w:val="en_US" w:bidi="en_US"/>
        </w:rPr>
      </w:r>
      <w:r>
        <w:rPr>
          <w:b/>
          <w:lang w:val="en_US" w:bidi="en_US"/>
        </w:rPr>
        <w:t>and reap what you did not sow.’</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harvest </w:t>
      </w:r>
      <w:r>
        <w:rPr>
          <w:lang w:val="en_US" w:bidi="en_US"/>
        </w:rPr>
        <w:t>grain</w:t>
      </w:r>
      <w:r>
        <w:rPr>
          <w:lang w:val="en_US" w:bidi="en_US"/>
        </w:rPr>
        <w:t xml:space="preserve"> that you did not plant.’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are like a man who</w:t>
      </w:r>
      <w:r>
        <w:rPr>
          <w:lang w:val="en_US" w:bidi="en_US"/>
        </w:rPr>
        <w:t xml:space="preserve"> gets the harvest of </w:t>
      </w:r>
      <w:r>
        <w:rPr>
          <w:lang w:val="en_US" w:bidi="en_US"/>
        </w:rPr>
        <w:t>crops</w:t>
      </w:r>
      <w:r>
        <w:rPr>
          <w:lang w:val="en_US" w:bidi="en_US"/>
        </w:rPr>
        <w:t xml:space="preserve"> that he did not plant!’</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w:t>
      </w:r>
      <w:r>
        <w:rPr>
          <w:lang w:val="en_US" w:bidi="en_US"/>
        </w:rPr>
        <w:t>want to</w:t>
      </w:r>
      <w:r>
        <w:rPr>
          <w:lang w:val="en_US" w:bidi="en_US"/>
        </w:rPr>
        <w:t xml:space="preserve"> profit/benefit from the work that other people do.’</w:t>
      </w:r>
    </w:p>
    <w:p>
      <w:pPr>
        <w:pStyle w:val="Heading5"/>
      </w:pPr>
      <w:r>
        <w:rPr>
          <w:lang w:val="en_US" w:bidi="en_US"/>
        </w:rPr>
        <w:t>19:21b–c</w:t>
      </w:r>
    </w:p>
    <w:p>
      <w:pPr/>
      <w:r>
        <w:rPr>
          <w:lang w:val="en_US" w:bidi="en_US"/>
        </w:rPr>
      </w:r>
      <w:r>
        <w:rPr>
          <w:lang w:val="en_US" w:bidi="en_US"/>
        </w:rPr>
        <w:t>The two statements in 19:21b and 19:21c explain what the servant meant by saying that his master was a “hard man.” The statements are figurative and were used as proverbs.</w:t>
      </w:r>
    </w:p>
    <w:p>
      <w:pPr/>
      <w:r>
        <w:rPr>
          <w:lang w:val="en_US" w:bidi="en_US"/>
        </w:rPr>
      </w:r>
      <w:r>
        <w:rPr>
          <w:lang w:val="en_US" w:bidi="en_US"/>
        </w:rPr>
        <w:t>The two statements have the same basic meaning. They refer to a person who takes profit that he does not deserve. He gets this profit from work that other people did. The servant implied that his master was greedy and unjust.</w:t>
      </w:r>
    </w:p>
    <w:p>
      <w:pPr/>
      <w:r>
        <w:rPr>
          <w:lang w:val="en_US" w:bidi="en_US"/>
        </w:rPr>
      </w:r>
      <w:r>
        <w:rPr>
          <w:b/>
          <w:lang w:val="en_US" w:bidi="en_US"/>
        </w:rPr>
        <w:t>You withdraw what you did not deposit:</w:t>
      </w:r>
      <w:r>
        <w:rPr>
          <w:lang w:val="en_US" w:bidi="en_US"/>
        </w:rPr>
        <w:t xml:space="preserve"> The Greek proverb that the BSB translates as </w:t>
      </w:r>
      <w:r>
        <w:rPr>
          <w:i/>
          <w:lang w:val="en_US" w:bidi="en_US"/>
        </w:rPr>
        <w:t>You withdraw what you did not deposit</w:t>
      </w:r>
      <w:r>
        <w:rPr>
          <w:lang w:val="en_US" w:bidi="en_US"/>
        </w:rPr>
        <w:t xml:space="preserve"> describes someone who wants to gain or take more than he deserves.</w:t>
      </w:r>
      <w:r>
        <w:rPr>
          <w:lang w:val="en_US" w:bidi="en_US"/>
        </w:rPr>
        <w:t>Marshall (p. 707) says that “the metaphor is drawn from banking, and is used here to describe a person who seeks a disproportionately high return from his investments.” A note in the NET says, “The Greek verb… (</w:t>
      </w:r>
      <w:r>
        <w:rPr>
          <w:i/>
          <w:lang w:val="en_US" w:bidi="en_US"/>
        </w:rPr>
        <w:t>tithēmi</w:t>
      </w:r>
      <w:r>
        <w:rPr>
          <w:lang w:val="en_US" w:bidi="en_US"/>
        </w:rPr>
        <w:t>) can be used of depositing money with a banker to earn interest (Louw and Nida 57:217). In effect the slave charges that the master takes what he has not earned.”</w:t>
      </w:r>
      <w:r>
        <w:rPr>
          <w:lang w:val="en_US" w:bidi="en_US"/>
        </w:rPr>
        <w:t xml:space="preserve"> It often refers specifically to financial profit. If a literal translation is not clear in your language, you may translate the meaning more explicitly. For example:</w:t>
      </w:r>
    </w:p>
    <w:p>
      <w:pPr/>
      <w:r>
        <w:rPr>
          <w:lang w:val="en_US" w:bidi="en_US"/>
        </w:rPr>
      </w:r>
      <w:r>
        <w:rPr>
          <w:lang w:val="en_US" w:bidi="en_US"/>
        </w:rPr>
        <w:t>You take out what you did not put in (NIV)</w:t>
      </w:r>
    </w:p>
    <w:p>
      <w:pPr/>
      <w:r>
        <w:rPr>
          <w:lang w:val="en_US" w:bidi="en_US"/>
        </w:rPr>
      </w:r>
      <w:r>
        <w:rPr>
          <w:lang w:val="en_US" w:bidi="en_US"/>
        </w:rPr>
        <w:t>You even take money that you didn’t earn (NCV)</w:t>
      </w:r>
    </w:p>
    <w:p>
      <w:pPr/>
      <w:r>
        <w:rPr>
          <w:lang w:val="en_US" w:bidi="en_US"/>
        </w:rPr>
      </w:r>
      <w:r>
        <w:rPr>
          <w:lang w:val="en_US" w:bidi="en_US"/>
        </w:rPr>
        <w:t>If you have a proverb in your language that has the same meaning, you may be able to use it here.</w:t>
      </w:r>
    </w:p>
    <w:p>
      <w:pPr/>
      <w:r>
        <w:rPr>
          <w:lang w:val="en_US" w:bidi="en_US"/>
        </w:rPr>
      </w:r>
      <w:r>
        <w:rPr>
          <w:b/>
          <w:lang w:val="en_US" w:bidi="en_US"/>
        </w:rPr>
        <w:t>and reap what you did not sow:</w:t>
      </w:r>
      <w:r>
        <w:rPr>
          <w:lang w:val="en_US" w:bidi="en_US"/>
        </w:rPr>
        <w:t xml:space="preserve"> This statement literally means “you harvest the crops that other people planted.” It refers to someone receiving the benefits from the hard work that other people have done.</w:t>
      </w:r>
    </w:p>
    <w:p>
      <w:pPr/>
      <w:r>
        <w:rPr>
          <w:lang w:val="en_US" w:bidi="en_US"/>
        </w:rPr>
      </w:r>
      <w:r>
        <w:rPr>
          <w:lang w:val="en_US" w:bidi="en_US"/>
        </w:rPr>
        <w:t>In some languages it may be necessary to refer to a specific type of crop. Some ways to do that are:</w:t>
      </w:r>
    </w:p>
    <w:p>
      <w:pPr>
        <w:pStyle w:val="ListBullet"/>
        <w:spacing w:line="240" w:lineRule="auto"/>
        <w:ind w:left="720"/>
      </w:pPr>
      <w:r>
        <w:rPr>
          <w:lang w:val="en_US" w:bidi="en_US"/>
        </w:rPr>
      </w:r>
      <w:r>
        <w:rPr>
          <w:lang w:val="en_US" w:bidi="en_US"/>
        </w:rPr>
        <w:t>Supply a general word such as “grain.”</w:t>
      </w:r>
    </w:p>
    <w:p>
      <w:pPr>
        <w:pStyle w:val="ListBullet"/>
        <w:spacing w:line="240" w:lineRule="auto"/>
        <w:ind w:left="720"/>
      </w:pPr>
      <w:r>
        <w:rPr>
          <w:lang w:val="en_US" w:bidi="en_US"/>
        </w:rPr>
      </w:r>
      <w:r>
        <w:rPr>
          <w:lang w:val="en_US" w:bidi="en_US"/>
        </w:rPr>
        <w:t>Supply a specific grain if you do not have a suitable general word. It is good to use a grain grown in Israel, such as wheat or barley, if possible. If these are not known in your area, substitute a local crop.</w:t>
      </w:r>
    </w:p>
    <w:p>
      <w:pPr/>
      <w:r>
        <w:rPr>
          <w:lang w:val="en_US" w:bidi="en_US"/>
        </w:rPr>
      </w:r>
      <w:r>
        <w:rPr>
          <w:lang w:val="en_US" w:bidi="en_US"/>
        </w:rPr>
        <w:t>If the meaning of the proverb would not be understood in your language, you may need to supply the meaning:</w:t>
      </w:r>
    </w:p>
    <w:p>
      <w:pPr/>
      <w:r>
        <w:rPr>
          <w:lang w:val="en_US" w:bidi="en_US"/>
        </w:rPr>
      </w:r>
      <w:r>
        <w:rPr>
          <w:lang w:val="en_US" w:bidi="en_US"/>
        </w:rPr>
        <w:t>You profit from the work done by someone else,</w:t>
      </w:r>
      <w:r>
        <w:rPr>
          <w:lang w:val="en_US" w:bidi="en_US"/>
        </w:rPr>
        <w:t xml:space="preserve"> like someone who harvests grain that he did not plant.</w:t>
      </w:r>
    </w:p>
    <w:p>
      <w:pPr>
        <w:pStyle w:val="Heading6"/>
      </w:pPr>
      <w:r>
        <w:rPr>
          <w:b/>
          <w:lang w:val="en_US" w:bidi="en_US"/>
        </w:rPr>
        <w:t>General Comment on 19:20–21</w:t>
      </w:r>
    </w:p>
    <w:p>
      <w:pPr/>
      <w:r>
        <w:rPr>
          <w:lang w:val="en_US" w:bidi="en_US"/>
        </w:rPr>
      </w:r>
      <w:r>
        <w:rPr>
          <w:lang w:val="en_US" w:bidi="en_US"/>
        </w:rPr>
        <w:t>In some languages it may be helpful to put the reason for the slave’s actions in 19:21 before his conclusion in 19:20. For example:</w:t>
      </w:r>
    </w:p>
    <w:p>
      <w:pPr/>
      <w:r>
        <w:rPr>
          <w:lang w:val="en_US" w:bidi="en_US"/>
        </w:rPr>
      </w:r>
      <w:r>
        <w:rPr>
          <w:vertAlign w:val="superscript"/>
          <w:lang w:val="en_US" w:bidi="en_US"/>
        </w:rPr>
        <w:t>21</w:t>
      </w:r>
      <w:r>
        <w:rPr>
          <w:lang w:val="en_US" w:bidi="en_US"/>
        </w:rPr>
        <w:t xml:space="preserve">Another servant came and said, “Sir, you are a hard man. What you did not put in, you go and take out, and what you did not plant you go and reap. </w:t>
      </w:r>
      <w:r>
        <w:rPr>
          <w:vertAlign w:val="superscript"/>
          <w:lang w:val="en_US" w:bidi="en_US"/>
        </w:rPr>
        <w:t>20</w:t>
      </w:r>
      <w:r>
        <w:rPr>
          <w:lang w:val="en_US" w:bidi="en_US"/>
        </w:rPr>
        <w:t>Because that is how you behave/are, I was afraid of you. So, I wrapped up the money you gave me in a piece of cloth and put it away. Here it is.”</w:t>
      </w:r>
    </w:p>
    <w:p>
      <w:pPr/>
      <w:r>
        <w:rPr>
          <w:lang w:val="en_US" w:bidi="en_US"/>
        </w:rPr>
      </w:r>
      <w:r>
        <w:rPr>
          <w:lang w:val="en_US" w:bidi="en_US"/>
        </w:rPr>
        <w:t>If you decide to change the order of the verses in this way, you may combine the verse numbers. For example:</w:t>
      </w:r>
    </w:p>
    <w:p>
      <w:pPr/>
      <w:r>
        <w:rPr>
          <w:lang w:val="en_US" w:bidi="en_US"/>
        </w:rPr>
      </w:r>
      <w:r>
        <w:rPr>
          <w:vertAlign w:val="superscript"/>
          <w:lang w:val="en_US" w:bidi="en_US"/>
        </w:rPr>
        <w:t>20–21</w:t>
      </w:r>
      <w:r>
        <w:rPr>
          <w:lang w:val="en_US" w:bidi="en_US"/>
        </w:rPr>
        <w:t>Another…</w:t>
      </w:r>
      <w:r>
        <w:rPr>
          <w:lang w:val="en_US" w:bidi="en_US"/>
        </w:rPr>
      </w:r>
      <w:r>
        <w:rPr>
          <w:lang w:val="en_US" w:bidi="en_US"/>
        </w:rPr>
      </w:r>
    </w:p>
    <w:p>
      <w:pPr/>
      <w:r>
        <w:rPr>
          <w:lang w:val="en_US" w:bidi="en_US"/>
        </w:rPr>
      </w:r>
    </w:p>
    <w:p>
      <w:pPr>
        <w:pStyle w:val="Heading2"/>
      </w:pPr>
      <w:r>
        <w:rPr>
          <w:lang w:val="en_US" w:bidi="en_US"/>
        </w:rPr>
        <w:t>Luke 19:22</w:t>
      </w:r>
      <w:r>
        <w:rPr>
          <w:lang w:val="en_US" w:bidi="en_US"/>
        </w:rPr>
      </w:r>
    </w:p>
    <w:p>
      <w:pPr>
        <w:pStyle w:val="Heading4"/>
      </w:pPr>
      <w:r>
        <w:rPr>
          <w:lang w:val="en_US" w:bidi="en_US"/>
        </w:rPr>
        <w:t>Section 19:11–27: Jesus told a parable about a king and his ten servants</w:t>
      </w:r>
    </w:p>
    <w:p>
      <w:pPr/>
      <w:r>
        <w:rPr>
          <w:lang w:val="en_US" w:bidi="en_US"/>
        </w:rPr>
      </w:r>
      <w:r>
        <w:rPr>
          <w:lang w:val="en_US" w:bidi="en_US"/>
        </w:rPr>
        <w:t>Many of Jesus’ followers expected that when they arrived in Jerusalem, Jesus would establish the kingdom of God and begin to reign as king. He told the parable in this section to help them understand that events would happen differently than they expected.</w:t>
      </w:r>
    </w:p>
    <w:p>
      <w:pPr/>
      <w:r>
        <w:rPr>
          <w:lang w:val="en_US" w:bidi="en_US"/>
        </w:rPr>
      </w:r>
      <w:r>
        <w:rPr>
          <w:lang w:val="en_US" w:bidi="en_US"/>
        </w:rPr>
        <w:t>There are two main ideas that Jesus taught through this parable:</w:t>
      </w:r>
    </w:p>
    <w:p>
      <w:pPr>
        <w:pStyle w:val="ListNumber"/>
        <w:numPr>
          <w:ilvl w:val="0"/>
          <w:numId w:val="322"/>
        </w:numPr>
        <w:spacing w:line="240" w:lineRule="auto"/>
        <w:ind w:left="720"/>
      </w:pPr>
      <w:r>
        <w:rPr>
          <w:lang w:val="en_US" w:bidi="en_US"/>
        </w:rPr>
      </w:r>
      <w:r>
        <w:rPr>
          <w:lang w:val="en_US" w:bidi="en_US"/>
        </w:rP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Pr>
          <w:lang w:val="en_US" w:bidi="en_US"/>
        </w:rPr>
      </w:r>
      <w:r>
        <w:rPr>
          <w:lang w:val="en_US" w:bidi="en_US"/>
        </w:rPr>
        <w:t>While Jesus is gone, his disciples must serve him faithfully and use whatever he has given them to glorify him.</w:t>
      </w:r>
    </w:p>
    <w:p>
      <w:pPr/>
      <w:r>
        <w:rPr>
          <w:lang w:val="en_US" w:bidi="en_US"/>
        </w:rPr>
      </w:r>
      <w:r>
        <w:rPr>
          <w:lang w:val="en_US" w:bidi="en_US"/>
        </w:rPr>
        <w:t>Other examples of headings for this section are:</w:t>
      </w:r>
    </w:p>
    <w:p>
      <w:pPr/>
      <w:r>
        <w:rPr>
          <w:lang w:val="en_US" w:bidi="en_US"/>
        </w:rPr>
      </w:r>
      <w:r>
        <w:rPr>
          <w:lang w:val="en_US" w:bidi="en_US"/>
        </w:rPr>
        <w:t>The Parable of the Gold Coins (GNT)</w:t>
      </w:r>
    </w:p>
    <w:p>
      <w:pPr/>
      <w:r>
        <w:rPr>
          <w:lang w:val="en_US" w:bidi="en_US"/>
        </w:rPr>
      </w:r>
      <w:r>
        <w:rPr>
          <w:lang w:val="en_US" w:bidi="en_US"/>
        </w:rPr>
        <w:t>Jesus told a parable about ten servants</w:t>
      </w:r>
    </w:p>
    <w:p>
      <w:pPr/>
      <w:r>
        <w:rPr>
          <w:lang w:val="en_US" w:bidi="en_US"/>
        </w:rPr>
      </w:r>
      <w:r>
        <w:rPr>
          <w:lang w:val="en_US" w:bidi="en_US"/>
        </w:rPr>
        <w:t>A parallel passage to this section is found in Matthew 25:14–30.</w:t>
      </w:r>
    </w:p>
    <w:p>
      <w:pPr>
        <w:pStyle w:val="Heading5"/>
      </w:pPr>
      <w:r>
        <w:rPr>
          <w:lang w:val="en_US" w:bidi="en_US"/>
        </w:rPr>
        <w:t>19:22a</w:t>
      </w:r>
    </w:p>
    <w:p>
      <w:pPr/>
      <w:r>
        <w:rPr>
          <w:lang w:val="en_US" w:bidi="en_US"/>
        </w:rPr>
      </w:r>
      <w:r>
        <w:rPr>
          <w:b/>
          <w:lang w:val="en_US" w:bidi="en_US"/>
        </w:rPr>
        <w:t>His master replied,</w:t>
      </w:r>
    </w:p>
    <w:p>
      <w:pPr>
        <w:pStyle w:val="ListBullet"/>
        <w:spacing w:line="240" w:lineRule="auto"/>
        <w:ind w:left="720"/>
      </w:pPr>
      <w:r>
        <w:rPr>
          <w:lang w:val="en_US" w:bidi="en_US"/>
        </w:rPr>
      </w:r>
      <w:r>
        <w:rPr>
          <w:lang w:val="en_US" w:bidi="en_US"/>
        </w:rPr>
        <w:t>Then his king/lord said to him,</w:t>
      </w:r>
    </w:p>
    <w:p>
      <w:pPr>
        <w:pStyle w:val="ListBullet"/>
        <w:spacing w:line="240" w:lineRule="auto"/>
        <w:ind w:left="720"/>
      </w:pPr>
      <w:r>
        <w:rPr>
          <w:lang w:val="en_US" w:bidi="en_US"/>
        </w:rPr>
      </w:r>
      <w:r>
        <w:rPr>
          <w:lang w:val="en_US" w:bidi="en_US"/>
        </w:rPr>
        <w:t>The master/chief answered,</w:t>
      </w:r>
    </w:p>
    <w:p>
      <w:pPr/>
      <w:r>
        <w:rPr>
          <w:lang w:val="en_US" w:bidi="en_US"/>
        </w:rPr>
      </w:r>
      <w:r>
        <w:rPr>
          <w:b/>
          <w:lang w:val="en_US" w:bidi="en_US"/>
        </w:rPr>
        <w:t>His master replied:</w:t>
      </w:r>
      <w:r>
        <w:rPr>
          <w:lang w:val="en_US" w:bidi="en_US"/>
        </w:rPr>
        <w:t xml:space="preserve"> The Greek phrase that the BSB translates as </w:t>
      </w:r>
      <w:r>
        <w:rPr>
          <w:i/>
          <w:lang w:val="en_US" w:bidi="en_US"/>
        </w:rPr>
        <w:t>His master replied</w:t>
      </w:r>
      <w:r>
        <w:rPr>
          <w:lang w:val="en_US" w:bidi="en_US"/>
        </w:rPr>
        <w:t xml:space="preserve"> is literally “He said to him.” It is often helpful to indicate who the new speaker is, as the BSB does. Many English versions refer to him as “the king.” Refer back to him in a natural way in your language.</w:t>
      </w:r>
    </w:p>
    <w:p>
      <w:pPr>
        <w:pStyle w:val="Heading5"/>
      </w:pPr>
      <w:r>
        <w:rPr>
          <w:lang w:val="en_US" w:bidi="en_US"/>
        </w:rPr>
        <w:t>19:22b</w:t>
      </w:r>
    </w:p>
    <w:p>
      <w:pPr/>
      <w:r>
        <w:rPr>
          <w:lang w:val="en_US" w:bidi="en_US"/>
        </w:rPr>
      </w:r>
      <w:r>
        <w:rPr>
          <w:b/>
          <w:lang w:val="en_US" w:bidi="en_US"/>
        </w:rPr>
        <w:t>‘You wicked servant,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bad/disobedient servant.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an evil servant.</w:t>
      </w:r>
    </w:p>
    <w:p>
      <w:pPr/>
      <w:r>
        <w:rPr>
          <w:lang w:val="en_US" w:bidi="en_US"/>
        </w:rPr>
      </w:r>
      <w:r>
        <w:rPr>
          <w:b/>
          <w:lang w:val="en_US" w:bidi="en_US"/>
        </w:rPr>
        <w:t>You wicked servant:</w:t>
      </w:r>
      <w:r>
        <w:rPr>
          <w:lang w:val="en_US" w:bidi="en_US"/>
        </w:rPr>
        <w:t xml:space="preserve"> Here the master addressed his servant directly. The Greek word that the BSB translates as </w:t>
      </w:r>
      <w:r>
        <w:rPr>
          <w:i/>
          <w:lang w:val="en_US" w:bidi="en_US"/>
        </w:rPr>
        <w:t>wicked</w:t>
      </w:r>
      <w:r>
        <w:rPr>
          <w:lang w:val="en_US" w:bidi="en_US"/>
        </w:rPr>
        <w:t xml:space="preserve"> refers to the fact that the servant had bad or evil motives and did wrong. He did not do what his master wanted. Some other ways to translate this meaning are:</w:t>
      </w:r>
    </w:p>
    <w:p>
      <w:pPr/>
      <w:r>
        <w:rPr>
          <w:lang w:val="en_US" w:bidi="en_US"/>
        </w:rPr>
      </w:r>
      <w:r>
        <w:rPr>
          <w:lang w:val="en_US" w:bidi="en_US"/>
        </w:rPr>
        <w:t>You bad/evil servant!</w:t>
      </w:r>
    </w:p>
    <w:p>
      <w:pPr/>
      <w:r>
        <w:rPr>
          <w:lang w:val="en_US" w:bidi="en_US"/>
        </w:rPr>
      </w:r>
      <w:r>
        <w:rPr>
          <w:lang w:val="en_US" w:bidi="en_US"/>
        </w:rPr>
        <w:t>You worthless servant! (CEV)</w:t>
      </w:r>
    </w:p>
    <w:p>
      <w:pPr/>
      <w:r>
        <w:rPr>
          <w:lang w:val="en_US" w:bidi="en_US"/>
        </w:rPr>
      </w:r>
      <w:r>
        <w:rPr>
          <w:lang w:val="en_US" w:bidi="en_US"/>
        </w:rPr>
        <w:t xml:space="preserve">In some languages, it is more natural to translate </w:t>
      </w:r>
      <w:r>
        <w:rPr>
          <w:i/>
          <w:lang w:val="en_US" w:bidi="en_US"/>
        </w:rPr>
        <w:t>You wicked servant</w:t>
      </w:r>
      <w:r>
        <w:rPr>
          <w:lang w:val="en_US" w:bidi="en_US"/>
        </w:rPr>
        <w:t xml:space="preserve"> as a sentence rather than by a form of direct address. For example:</w:t>
      </w:r>
    </w:p>
    <w:p>
      <w:pPr/>
      <w:r>
        <w:rPr>
          <w:lang w:val="en_US" w:bidi="en_US"/>
        </w:rPr>
      </w:r>
      <w:r>
        <w:rPr>
          <w:lang w:val="en_US" w:bidi="en_US"/>
        </w:rPr>
        <w:t>You are a wicked/bad servant.</w:t>
      </w:r>
    </w:p>
    <w:p>
      <w:pPr>
        <w:pStyle w:val="Heading5"/>
      </w:pPr>
      <w:r>
        <w:rPr>
          <w:lang w:val="en_US" w:bidi="en_US"/>
        </w:rPr>
        <w:t>19:22c</w:t>
      </w:r>
    </w:p>
    <w:p>
      <w:pPr/>
      <w:r>
        <w:rPr>
          <w:lang w:val="en_US" w:bidi="en_US"/>
        </w:rPr>
      </w:r>
      <w:r>
        <w:rPr>
          <w:b/>
          <w:lang w:val="en_US" w:bidi="en_US"/>
        </w:rPr>
        <w:t>I will judge you by your own words.</w:t>
      </w:r>
    </w:p>
    <w:p>
      <w:pPr>
        <w:pStyle w:val="ListBullet"/>
        <w:spacing w:line="240" w:lineRule="auto"/>
        <w:ind w:left="720"/>
      </w:pPr>
      <w:r>
        <w:rPr>
          <w:lang w:val="en_US" w:bidi="en_US"/>
        </w:rPr>
      </w:r>
      <w:r>
        <w:rPr>
          <w:lang w:val="en_US" w:bidi="en_US"/>
        </w:rPr>
        <w:t>‘I will take what comes from your</w:t>
      </w:r>
      <w:r>
        <w:rPr>
          <w:vertAlign w:val="superscript"/>
          <w:lang w:val="en_US" w:bidi="en_US"/>
        </w:rPr>
        <w:t>(sing)</w:t>
      </w:r>
      <w:r>
        <w:rPr>
          <w:lang w:val="en_US" w:bidi="en_US"/>
        </w:rPr>
        <w:t xml:space="preserve"> own mouth to judge/condemn you.</w:t>
      </w:r>
    </w:p>
    <w:p>
      <w:pPr>
        <w:pStyle w:val="ListBullet"/>
        <w:spacing w:line="240" w:lineRule="auto"/>
        <w:ind w:left="720"/>
      </w:pPr>
      <w:r>
        <w:rPr>
          <w:lang w:val="en_US" w:bidi="en_US"/>
        </w:rPr>
      </w:r>
      <w:r>
        <w:rPr>
          <w:lang w:val="en_US" w:bidi="en_US"/>
        </w:rPr>
        <w:t>‘I will use the very words that you</w:t>
      </w:r>
      <w:r>
        <w:rPr>
          <w:vertAlign w:val="superscript"/>
          <w:lang w:val="en_US" w:bidi="en_US"/>
        </w:rPr>
        <w:t>(sing)</w:t>
      </w:r>
      <w:r>
        <w:rPr>
          <w:lang w:val="en_US" w:bidi="en_US"/>
        </w:rPr>
        <w:t xml:space="preserve"> have spoken to show/prove that you are guilty.</w:t>
      </w:r>
    </w:p>
    <w:p>
      <w:pPr/>
      <w:r>
        <w:rPr>
          <w:lang w:val="en_US" w:bidi="en_US"/>
        </w:rPr>
      </w:r>
      <w:r>
        <w:rPr>
          <w:b/>
          <w:lang w:val="en_US" w:bidi="en_US"/>
        </w:rPr>
        <w:t>I will judge you by your own words:</w:t>
      </w:r>
      <w:r>
        <w:rPr>
          <w:lang w:val="en_US" w:bidi="en_US"/>
        </w:rPr>
        <w:t xml:space="preserve"> This clause indicates that the master would use the servant’s own words to decide whether he deserved to be punished or rewarded. In this context the master decided that the servant did wrong and deserved to be punished. The very words that the servant said showed that he was wrong and that his master should punish him. Some other ways to translate this clause are:</w:t>
      </w:r>
    </w:p>
    <w:p>
      <w:pPr/>
      <w:r>
        <w:rPr>
          <w:lang w:val="en_US" w:bidi="en_US"/>
        </w:rPr>
      </w:r>
      <w:r>
        <w:rPr>
          <w:lang w:val="en_US" w:bidi="en_US"/>
        </w:rPr>
        <w:t>I will use your own words to condemn you! (GNT)</w:t>
      </w:r>
    </w:p>
    <w:p>
      <w:pPr/>
      <w:r>
        <w:rPr>
          <w:lang w:val="en_US" w:bidi="en_US"/>
        </w:rPr>
      </w:r>
      <w:r>
        <w:rPr>
          <w:lang w:val="en_US" w:bidi="en_US"/>
        </w:rPr>
        <w:t>I’ll judge you by what you’ve said…. (GW)</w:t>
      </w:r>
    </w:p>
    <w:p>
      <w:pPr/>
      <w:r>
        <w:rPr>
          <w:lang w:val="en_US" w:bidi="en_US"/>
        </w:rPr>
      </w:r>
      <w:r>
        <w:rPr>
          <w:lang w:val="en_US" w:bidi="en_US"/>
        </w:rPr>
        <w:t>Your own words condemn you. (NLT)</w:t>
      </w:r>
    </w:p>
    <w:p>
      <w:pPr/>
      <w:r>
        <w:rPr>
          <w:lang w:val="en_US" w:bidi="en_US"/>
        </w:rPr>
      </w:r>
      <w:r>
        <w:rPr>
          <w:lang w:val="en_US" w:bidi="en_US"/>
        </w:rPr>
        <w:t>What you have just said shows/proves that you have done wrong.</w:t>
      </w:r>
    </w:p>
    <w:p>
      <w:pPr/>
      <w:r>
        <w:rPr>
          <w:lang w:val="en_US" w:bidi="en_US"/>
        </w:rPr>
      </w:r>
      <w:r>
        <w:rPr>
          <w:b/>
          <w:lang w:val="en_US" w:bidi="en_US"/>
        </w:rPr>
        <w:t>judge:</w:t>
      </w:r>
      <w:r>
        <w:rPr>
          <w:lang w:val="en_US" w:bidi="en_US"/>
        </w:rPr>
        <w:t xml:space="preserve"> The Greek verb that the BSB translates as </w:t>
      </w:r>
      <w:r>
        <w:rPr>
          <w:i/>
          <w:lang w:val="en_US" w:bidi="en_US"/>
        </w:rPr>
        <w:t>judge</w:t>
      </w:r>
      <w:r>
        <w:rPr>
          <w:lang w:val="en_US" w:bidi="en_US"/>
        </w:rPr>
        <w:t xml:space="preserve"> is used in several ways in the New Testament. It can refer to making a decision about whether someone has done right or wrong. It also can refer specifically to deciding that a person has done wrong and must be punished. In this context the servant had done wrong. Some English versions translate with </w:t>
      </w:r>
      <w:r>
        <w:rPr>
          <w:i/>
          <w:lang w:val="en_US" w:bidi="en_US"/>
        </w:rPr>
        <w:t>judge</w:t>
      </w:r>
      <w:r>
        <w:rPr>
          <w:lang w:val="en_US" w:bidi="en_US"/>
        </w:rPr>
        <w:t>, and others have “condemn.” Either translation is acceptable here, and you may decide how to express the meaning in the clearest way in your language.</w:t>
      </w:r>
    </w:p>
    <w:p>
      <w:pPr/>
      <w:r>
        <w:rPr>
          <w:lang w:val="en_US" w:bidi="en_US"/>
        </w:rPr>
      </w:r>
      <w:r>
        <w:rPr>
          <w:b/>
          <w:lang w:val="en_US" w:bidi="en_US"/>
        </w:rPr>
        <w:t>by your own words:</w:t>
      </w:r>
      <w:r>
        <w:rPr>
          <w:lang w:val="en_US" w:bidi="en_US"/>
        </w:rPr>
        <w:t xml:space="preserve"> The Greek phrase that the BSB translates as </w:t>
      </w:r>
      <w:r>
        <w:rPr>
          <w:i/>
          <w:lang w:val="en_US" w:bidi="en_US"/>
        </w:rPr>
        <w:t>by your own words</w:t>
      </w:r>
      <w:r>
        <w:rPr>
          <w:lang w:val="en_US" w:bidi="en_US"/>
        </w:rPr>
        <w:t xml:space="preserve"> is literally “out of your own mouth.” The RSV and several other English versions translate it that way. This phrase tells the basis on which the master would decide whether the servant had done right or wrong. The master would judge the servant on the basis of what the servant had just said. Other ways to translate the phrase are:</w:t>
      </w:r>
    </w:p>
    <w:p>
      <w:pPr/>
      <w:r>
        <w:rPr>
          <w:lang w:val="en_US" w:bidi="en_US"/>
        </w:rPr>
      </w:r>
      <w:r>
        <w:rPr>
          <w:lang w:val="en_US" w:bidi="en_US"/>
        </w:rPr>
        <w:t>by what you have just said (CEV)</w:t>
      </w:r>
    </w:p>
    <w:p>
      <w:pPr/>
      <w:r>
        <w:rPr>
          <w:lang w:val="en_US" w:bidi="en_US"/>
        </w:rPr>
      </w:r>
      <w:r>
        <w:rPr>
          <w:lang w:val="en_US" w:bidi="en_US"/>
        </w:rPr>
        <w:t>from the words that came</w:t>
      </w:r>
      <w:r>
        <w:rPr>
          <w:lang w:val="en_US" w:bidi="en_US"/>
        </w:rPr>
        <w:t xml:space="preserve"> out of your mouth</w:t>
      </w:r>
    </w:p>
    <w:p>
      <w:pPr/>
      <w:r>
        <w:rPr>
          <w:lang w:val="en_US" w:bidi="en_US"/>
        </w:rPr>
      </w:r>
      <w:r>
        <w:rPr>
          <w:lang w:val="en_US" w:bidi="en_US"/>
        </w:rPr>
        <w:t>Your own words show me that…</w:t>
      </w:r>
    </w:p>
    <w:p>
      <w:pPr/>
      <w:r>
        <w:rPr>
          <w:lang w:val="en_US" w:bidi="en_US"/>
        </w:rPr>
      </w:r>
      <w:r>
        <w:rPr>
          <w:b/>
          <w:lang w:val="en_US" w:bidi="en_US"/>
        </w:rPr>
        <w:t>your own words:</w:t>
      </w:r>
      <w:r>
        <w:rPr>
          <w:lang w:val="en_US" w:bidi="en_US"/>
        </w:rPr>
        <w:t xml:space="preserve"> The phrase </w:t>
      </w:r>
      <w:r>
        <w:rPr>
          <w:i/>
          <w:lang w:val="en_US" w:bidi="en_US"/>
        </w:rPr>
        <w:t>your own words</w:t>
      </w:r>
      <w:r>
        <w:rPr>
          <w:lang w:val="en_US" w:bidi="en_US"/>
        </w:rPr>
        <w:t xml:space="preserve"> refers specifically to what the servant said in 19:21. It does not refer to all the words that the servant had spoken in his lifetime. The master repeated the servant’s words in 19:22d–f.</w:t>
      </w:r>
    </w:p>
    <w:p>
      <w:pPr>
        <w:pStyle w:val="Heading6"/>
      </w:pPr>
      <w:r>
        <w:rPr>
          <w:b/>
          <w:lang w:val="en_US" w:bidi="en_US"/>
        </w:rPr>
        <w:t>General Comment on 19:22a–c</w:t>
      </w:r>
    </w:p>
    <w:p>
      <w:pPr/>
      <w:r>
        <w:rPr>
          <w:lang w:val="en_US" w:bidi="en_US"/>
        </w:rPr>
      </w:r>
      <w:r>
        <w:rPr>
          <w:lang w:val="en_US" w:bidi="en_US"/>
        </w:rPr>
        <w:t>In Greek, the direct address comes at the end of this quotation. Some versions follow the Greek order. For example:</w:t>
      </w:r>
    </w:p>
    <w:p>
      <w:pPr/>
      <w:r>
        <w:rPr>
          <w:lang w:val="en_US" w:bidi="en_US"/>
        </w:rPr>
      </w:r>
      <w:r>
        <w:rPr>
          <w:lang w:val="en_US" w:bidi="en_US"/>
        </w:rPr>
        <w:t>I will judge you by your own words, you wicked servant! (NIV)</w:t>
      </w:r>
    </w:p>
    <w:p>
      <w:pPr/>
      <w:r>
        <w:rPr>
          <w:lang w:val="en_US" w:bidi="en_US"/>
        </w:rPr>
      </w:r>
      <w:r>
        <w:rPr>
          <w:lang w:val="en_US" w:bidi="en_US"/>
        </w:rPr>
        <w:t>However, in some languages, a direct address usually comes at the beginning of a quotation. If that is true in your language, you may need to change the order of the clauses in 19:22a–c, as the BSB does. Some other examples are:</w:t>
      </w:r>
    </w:p>
    <w:p>
      <w:pPr/>
      <w:r>
        <w:rPr>
          <w:lang w:val="en_US" w:bidi="en_US"/>
        </w:rPr>
      </w:r>
      <w:r>
        <w:rPr>
          <w:vertAlign w:val="superscript"/>
          <w:lang w:val="en_US" w:bidi="en_US"/>
        </w:rPr>
        <w:t>22a</w:t>
      </w:r>
      <w:r>
        <w:rPr>
          <w:lang w:val="en_US" w:bidi="en_US"/>
        </w:rPr>
        <w:t xml:space="preserve">He said to him, </w:t>
      </w:r>
      <w:r>
        <w:rPr>
          <w:vertAlign w:val="superscript"/>
          <w:lang w:val="en_US" w:bidi="en_US"/>
        </w:rPr>
        <w:t>22b</w:t>
      </w:r>
      <w:r>
        <w:rPr>
          <w:lang w:val="en_US" w:bidi="en_US"/>
        </w:rPr>
        <w:t xml:space="preserve">“You bad servant! </w:t>
      </w:r>
      <w:r>
        <w:rPr>
          <w:vertAlign w:val="superscript"/>
          <w:lang w:val="en_US" w:bidi="en_US"/>
        </w:rPr>
        <w:t>22c</w:t>
      </w:r>
      <w:r>
        <w:rPr>
          <w:lang w:val="en_US" w:bidi="en_US"/>
        </w:rPr>
        <w:t>I will use your own words to condemn you!” (GNT)</w:t>
      </w:r>
    </w:p>
    <w:p>
      <w:pPr/>
      <w:r>
        <w:rPr>
          <w:lang w:val="en_US" w:bidi="en_US"/>
        </w:rPr>
      </w:r>
      <w:r>
        <w:rPr>
          <w:vertAlign w:val="superscript"/>
          <w:lang w:val="en_US" w:bidi="en_US"/>
        </w:rPr>
        <w:t>22b</w:t>
      </w:r>
      <w:r>
        <w:rPr>
          <w:lang w:val="en_US" w:bidi="en_US"/>
        </w:rPr>
        <w:t xml:space="preserve">“You worthless servant!” </w:t>
      </w:r>
      <w:r>
        <w:rPr>
          <w:vertAlign w:val="superscript"/>
          <w:lang w:val="en_US" w:bidi="en_US"/>
        </w:rPr>
        <w:t>22a</w:t>
      </w:r>
      <w:r>
        <w:rPr>
          <w:lang w:val="en_US" w:bidi="en_US"/>
        </w:rPr>
        <w:t xml:space="preserve">the king told him. </w:t>
      </w:r>
      <w:r>
        <w:rPr>
          <w:vertAlign w:val="superscript"/>
          <w:lang w:val="en_US" w:bidi="en_US"/>
        </w:rPr>
        <w:t>22c</w:t>
      </w:r>
      <w:r>
        <w:rPr>
          <w:lang w:val="en_US" w:bidi="en_US"/>
        </w:rPr>
        <w:t>“You have condemned yourself by what you have just said….” (CEV)</w:t>
      </w:r>
    </w:p>
    <w:p>
      <w:pPr>
        <w:pStyle w:val="Heading5"/>
      </w:pPr>
      <w:r>
        <w:rPr>
          <w:lang w:val="en_US" w:bidi="en_US"/>
        </w:rPr>
        <w:t>19:22d</w:t>
      </w:r>
    </w:p>
    <w:p>
      <w:pPr/>
      <w:r>
        <w:rPr>
          <w:lang w:val="en_US" w:bidi="en_US"/>
        </w:rPr>
      </w:r>
      <w:r>
        <w:rPr>
          <w:b/>
          <w:lang w:val="en_US" w:bidi="en_US"/>
        </w:rPr>
        <w:t>So you knew that I am a harsh man,</w:t>
      </w:r>
    </w:p>
    <w:p>
      <w:pPr>
        <w:pStyle w:val="ListBullet"/>
        <w:spacing w:line="240" w:lineRule="auto"/>
        <w:ind w:left="720"/>
      </w:pPr>
      <w:r>
        <w:rPr>
          <w:lang w:val="en_US" w:bidi="en_US"/>
        </w:rPr>
      </w:r>
      <w:r>
        <w:rPr>
          <w:lang w:val="en_US" w:bidi="en_US"/>
        </w:rPr>
        <w:t>So did you</w:t>
      </w:r>
      <w:r>
        <w:rPr>
          <w:vertAlign w:val="superscript"/>
          <w:lang w:val="en_US" w:bidi="en_US"/>
        </w:rPr>
        <w:t>(sing)</w:t>
      </w:r>
      <w:r>
        <w:rPr>
          <w:lang w:val="en_US" w:bidi="en_US"/>
        </w:rPr>
        <w:t xml:space="preserve"> really believe that I am a strict/severe man,</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say that</w:t>
      </w:r>
      <w:r>
        <w:rPr>
          <w:lang w:val="en_US" w:bidi="en_US"/>
        </w:rPr>
        <w:t xml:space="preserve"> you knew that I am an exacting master.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claim to</w:t>
      </w:r>
      <w:r>
        <w:rPr>
          <w:lang w:val="en_US" w:bidi="en_US"/>
        </w:rPr>
        <w:t xml:space="preserve"> believe that I am very demanding.</w:t>
      </w:r>
    </w:p>
    <w:p>
      <w:pPr>
        <w:pStyle w:val="Heading5"/>
      </w:pPr>
      <w:r>
        <w:rPr>
          <w:lang w:val="en_US" w:bidi="en_US"/>
        </w:rPr>
        <w:t>19:22e</w:t>
      </w:r>
    </w:p>
    <w:p>
      <w:pPr/>
      <w:r>
        <w:rPr>
          <w:lang w:val="en_US" w:bidi="en_US"/>
        </w:rPr>
      </w:r>
      <w:r>
        <w:rPr>
          <w:b/>
          <w:lang w:val="en_US" w:bidi="en_US"/>
        </w:rPr>
        <w:t>withdrawing what I did not deposit</w:t>
      </w:r>
    </w:p>
    <w:p>
      <w:pPr>
        <w:pStyle w:val="ListBullet"/>
        <w:spacing w:line="240" w:lineRule="auto"/>
        <w:ind w:left="720"/>
      </w:pPr>
      <w:r>
        <w:rPr>
          <w:lang w:val="en_US" w:bidi="en_US"/>
        </w:rPr>
      </w:r>
      <w:r>
        <w:rPr>
          <w:lang w:val="en_US" w:bidi="en_US"/>
        </w:rPr>
        <w:t xml:space="preserve">and that I gain </w:t>
      </w:r>
      <w:r>
        <w:rPr>
          <w:lang w:val="en_US" w:bidi="en_US"/>
        </w:rPr>
        <w:t>from</w:t>
      </w:r>
      <w:r>
        <w:rPr>
          <w:lang w:val="en_US" w:bidi="en_US"/>
        </w:rPr>
        <w:t xml:space="preserve"> what I did not supply/deposit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knew</w:t>
      </w:r>
      <w:r>
        <w:rPr>
          <w:lang w:val="en_US" w:bidi="en_US"/>
        </w:rPr>
        <w:t xml:space="preserve"> that I take/get </w:t>
      </w:r>
      <w:r>
        <w:rPr>
          <w:lang w:val="en_US" w:bidi="en_US"/>
        </w:rPr>
        <w:t>profit</w:t>
      </w:r>
      <w:r>
        <w:rPr>
          <w:lang w:val="en_US" w:bidi="en_US"/>
        </w:rPr>
        <w:t xml:space="preserve"> </w:t>
      </w:r>
      <w:r>
        <w:rPr>
          <w:lang w:val="en_US" w:bidi="en_US"/>
        </w:rPr>
        <w:t>from</w:t>
      </w:r>
      <w:r>
        <w:rPr>
          <w:lang w:val="en_US" w:bidi="en_US"/>
        </w:rPr>
        <w:t xml:space="preserve"> what I do not contribute,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believe</w:t>
      </w:r>
      <w:r>
        <w:rPr>
          <w:lang w:val="en_US" w:bidi="en_US"/>
        </w:rPr>
        <w:t xml:space="preserve"> that I take what does not belong to me</w:t>
      </w:r>
    </w:p>
    <w:p>
      <w:pPr>
        <w:pStyle w:val="Heading5"/>
      </w:pPr>
      <w:r>
        <w:rPr>
          <w:lang w:val="en_US" w:bidi="en_US"/>
        </w:rPr>
        <w:t>19:22f</w:t>
      </w:r>
    </w:p>
    <w:p>
      <w:pPr/>
      <w:r>
        <w:rPr>
          <w:lang w:val="en_US" w:bidi="en_US"/>
        </w:rPr>
      </w:r>
      <w:r>
        <w:rPr>
          <w:b/>
          <w:lang w:val="en_US" w:bidi="en_US"/>
        </w:rPr>
        <w:t>and reaping what I did not sow?</w:t>
      </w:r>
    </w:p>
    <w:p>
      <w:pPr>
        <w:pStyle w:val="ListBullet"/>
        <w:spacing w:line="240" w:lineRule="auto"/>
        <w:ind w:left="720"/>
      </w:pPr>
      <w:r>
        <w:rPr>
          <w:lang w:val="en_US" w:bidi="en_US"/>
        </w:rPr>
      </w:r>
      <w:r>
        <w:rPr>
          <w:lang w:val="en_US" w:bidi="en_US"/>
        </w:rPr>
        <w:t xml:space="preserve">and harvest </w:t>
      </w:r>
      <w:r>
        <w:rPr>
          <w:lang w:val="en_US" w:bidi="en_US"/>
        </w:rPr>
        <w:t>grain</w:t>
      </w:r>
      <w:r>
        <w:rPr>
          <w:lang w:val="en_US" w:bidi="en_US"/>
        </w:rPr>
        <w:t xml:space="preserve"> that I did not plant?</w:t>
      </w:r>
    </w:p>
    <w:p>
      <w:pPr>
        <w:pStyle w:val="ListBullet"/>
        <w:spacing w:line="240" w:lineRule="auto"/>
        <w:ind w:left="720"/>
      </w:pPr>
      <w:r>
        <w:rPr>
          <w:lang w:val="en_US" w:bidi="en_US"/>
        </w:rPr>
      </w:r>
      <w:r>
        <w:rPr>
          <w:lang w:val="en_US" w:bidi="en_US"/>
        </w:rPr>
        <w:t xml:space="preserve">and </w:t>
      </w:r>
      <w:r>
        <w:rPr>
          <w:lang w:val="en_US" w:bidi="en_US"/>
        </w:rPr>
        <w:t>you</w:t>
      </w:r>
      <w:r>
        <w:rPr>
          <w:vertAlign w:val="superscript"/>
          <w:lang w:val="en_US" w:bidi="en_US"/>
        </w:rPr>
        <w:t>(sing)</w:t>
      </w:r>
      <w:r>
        <w:rPr>
          <w:lang w:val="en_US" w:bidi="en_US"/>
        </w:rPr>
        <w:t xml:space="preserve"> </w:t>
      </w:r>
      <w:r>
        <w:rPr>
          <w:lang w:val="en_US" w:bidi="en_US"/>
        </w:rPr>
        <w:t>say that I am</w:t>
      </w:r>
      <w:r>
        <w:rPr>
          <w:lang w:val="en_US" w:bidi="en_US"/>
        </w:rPr>
        <w:t xml:space="preserve"> </w:t>
      </w:r>
      <w:r>
        <w:rPr>
          <w:lang w:val="en_US" w:bidi="en_US"/>
        </w:rPr>
        <w:t>like a man who</w:t>
      </w:r>
      <w:r>
        <w:rPr>
          <w:lang w:val="en_US" w:bidi="en_US"/>
        </w:rPr>
        <w:t xml:space="preserve"> gets the harvest of </w:t>
      </w:r>
      <w:r>
        <w:rPr>
          <w:lang w:val="en_US" w:bidi="en_US"/>
        </w:rPr>
        <w:t>crops</w:t>
      </w:r>
      <w:r>
        <w:rPr>
          <w:lang w:val="en_US" w:bidi="en_US"/>
        </w:rPr>
        <w:t xml:space="preserve"> that he did not plant.</w:t>
      </w:r>
    </w:p>
    <w:p>
      <w:pPr>
        <w:pStyle w:val="ListBullet"/>
        <w:spacing w:line="240" w:lineRule="auto"/>
        <w:ind w:left="720"/>
      </w:pPr>
      <w:r>
        <w:rPr>
          <w:lang w:val="en_US" w:bidi="en_US"/>
        </w:rPr>
      </w:r>
      <w:r>
        <w:rPr>
          <w:lang w:val="en_US" w:bidi="en_US"/>
        </w:rPr>
        <w:t>and profit from the hard work that other people do.</w:t>
      </w:r>
    </w:p>
    <w:p>
      <w:pPr>
        <w:pStyle w:val="Heading5"/>
      </w:pPr>
      <w:r>
        <w:rPr>
          <w:lang w:val="en_US" w:bidi="en_US"/>
        </w:rPr>
        <w:t>19:22d–f</w:t>
      </w:r>
    </w:p>
    <w:p>
      <w:pPr/>
      <w:r>
        <w:rPr>
          <w:lang w:val="en_US" w:bidi="en_US"/>
        </w:rPr>
      </w:r>
      <w:r>
        <w:rPr>
          <w:lang w:val="en_US" w:bidi="en_US"/>
        </w:rPr>
        <w:t>The rhetorical question in 19:22d–f has several clauses. The NLT combines it with 19:23a, which makes the question even longer. In some languages it may be more natural to translate some of the clauses as separate sentences. See the General Comment on 19:22d–f for an example.</w:t>
      </w:r>
    </w:p>
    <w:p>
      <w:pPr/>
      <w:r>
        <w:rPr>
          <w:lang w:val="en_US" w:bidi="en_US"/>
        </w:rPr>
      </w:r>
      <w:r>
        <w:rPr>
          <w:b/>
          <w:lang w:val="en_US" w:bidi="en_US"/>
        </w:rPr>
        <w:t>So you knew that I am a harsh man, withdrawing what I did not deposit and reaping what I did not sow?:</w:t>
      </w:r>
      <w:r>
        <w:rPr>
          <w:lang w:val="en_US" w:bidi="en_US"/>
        </w:rPr>
        <w:t xml:space="preserve"> This is a rhetorical question. The king repeated the words that his servant said in 19:21 in order to emphasize them. They were the basis that he used to judge his servant. If the servant really believed his own words, then he did not act rightly or sensibly.</w:t>
      </w:r>
    </w:p>
    <w:p>
      <w:pPr/>
      <w:r>
        <w:rPr>
          <w:lang w:val="en_US" w:bidi="en_US"/>
        </w:rPr>
      </w:r>
      <w:r>
        <w:rPr>
          <w:lang w:val="en_US" w:bidi="en_US"/>
        </w:rPr>
        <w:t>The rhetorical question does not imply that the king agreed with what the servant said about him. It implies that if the servant really believed that the king was strict and demanding, he should have been especially careful to obey his commands.</w:t>
      </w:r>
    </w:p>
    <w:p>
      <w:pPr/>
      <w:r>
        <w:rPr>
          <w:lang w:val="en_US" w:bidi="en_US"/>
        </w:rPr>
      </w:r>
      <w:r>
        <w:rPr>
          <w:lang w:val="en_US" w:bidi="en_US"/>
        </w:rPr>
        <w:t>Some ways to translate this rhetorical question are:</w:t>
      </w:r>
    </w:p>
    <w:p>
      <w:pPr>
        <w:pStyle w:val="ListBullet"/>
        <w:spacing w:line="240" w:lineRule="auto"/>
        <w:ind w:left="720"/>
      </w:pPr>
      <w:r>
        <w:rPr>
          <w:lang w:val="en_US" w:bidi="en_US"/>
        </w:rPr>
      </w:r>
      <w:r>
        <w:rPr>
          <w:lang w:val="en_US" w:bidi="en_US"/>
        </w:rPr>
        <w:t>As a rhetorical question. For example:</w:t>
      </w:r>
      <w:r>
        <w:rPr>
          <w:lang w:val="en_US" w:bidi="en_US"/>
        </w:rPr>
        <w:t xml:space="preserve">Did you </w:t>
      </w:r>
      <w:r>
        <w:rPr>
          <w:lang w:val="en_US" w:bidi="en_US"/>
        </w:rPr>
        <w:t>really</w:t>
      </w:r>
      <w:r>
        <w:rPr>
          <w:lang w:val="en_US" w:bidi="en_US"/>
        </w:rPr>
        <w:t xml:space="preserve"> believe that I was a hard man, taking out what I did not put in and harvesting crops I did not plant?</w:t>
      </w:r>
    </w:p>
    <w:p>
      <w:pPr>
        <w:pStyle w:val="ListBullet"/>
        <w:spacing w:line="240" w:lineRule="auto"/>
        <w:ind w:left="720"/>
      </w:pPr>
      <w:r>
        <w:rPr>
          <w:lang w:val="en_US" w:bidi="en_US"/>
        </w:rPr>
      </w:r>
      <w:r>
        <w:rPr>
          <w:lang w:val="en_US" w:bidi="en_US"/>
        </w:rPr>
        <w:t>As a statement. For example:</w:t>
      </w:r>
      <w:r>
        <w:rPr>
          <w:u w:val="single"/>
          <w:lang w:val="en_US" w:bidi="en_US"/>
        </w:rPr>
        <w:t>You say that</w:t>
      </w:r>
      <w:r>
        <w:rPr>
          <w:lang w:val="en_US" w:bidi="en_US"/>
        </w:rPr>
        <w:t xml:space="preserve"> you believe that I am a hard man, taking out what I did not put in and gathering crops that I not plant.</w:t>
      </w:r>
    </w:p>
    <w:p>
      <w:pPr>
        <w:pStyle w:val="ListBullet"/>
        <w:spacing w:line="240" w:lineRule="auto"/>
        <w:ind w:left="720"/>
      </w:pPr>
      <w:r>
        <w:rPr>
          <w:lang w:val="en_US" w:bidi="en_US"/>
        </w:rPr>
      </w:r>
      <w:r>
        <w:rPr>
          <w:lang w:val="en_US" w:bidi="en_US"/>
        </w:rPr>
        <w:t>As a request to consider a certain statement. (The request implies that the logical results of this statement will then be evaluated.) For example:</w:t>
      </w:r>
      <w:r>
        <w:rPr>
          <w:lang w:val="en_US" w:bidi="en_US"/>
        </w:rPr>
        <w:t>Suppose you really believe that I am a hard man. Let’s suppose you think that I take what is not mine and harvest crops I did not plant.</w:t>
      </w:r>
    </w:p>
    <w:p>
      <w:pPr>
        <w:pStyle w:val="ListBullet"/>
        <w:spacing w:line="240" w:lineRule="auto"/>
        <w:ind w:left="720"/>
      </w:pPr>
      <w:r>
        <w:rPr>
          <w:lang w:val="en_US" w:bidi="en_US"/>
        </w:rPr>
      </w:r>
      <w:r>
        <w:rPr>
          <w:lang w:val="en_US" w:bidi="en_US"/>
        </w:rPr>
        <w:t>As an introductory clause for 19:23a. For example:</w:t>
      </w:r>
      <w:r>
        <w:rPr>
          <w:lang w:val="en_US" w:bidi="en_US"/>
        </w:rPr>
        <w:t>If you really knew/believed that I am a hard man, taking what I did not put/place and gathering crops that I did not plant…</w:t>
      </w:r>
    </w:p>
    <w:p>
      <w:pPr/>
      <w:r>
        <w:rPr>
          <w:lang w:val="en_US" w:bidi="en_US"/>
        </w:rPr>
      </w:r>
      <w:r>
        <w:rPr>
          <w:lang w:val="en_US" w:bidi="en_US"/>
        </w:rPr>
        <w:t>Translate this basis for judgment in a natural way in your language.</w:t>
      </w:r>
    </w:p>
    <w:p>
      <w:pPr>
        <w:pStyle w:val="Heading6"/>
      </w:pPr>
      <w:r>
        <w:rPr>
          <w:b/>
          <w:lang w:val="en_US" w:bidi="en_US"/>
        </w:rPr>
        <w:t>General Comment on 19:22d–f</w:t>
      </w:r>
    </w:p>
    <w:p>
      <w:pPr/>
      <w:r>
        <w:rPr>
          <w:lang w:val="en_US" w:bidi="en_US"/>
        </w:rPr>
      </w:r>
      <w:r>
        <w:rPr>
          <w:lang w:val="en_US" w:bidi="en_US"/>
        </w:rPr>
        <w:t>The rhetorical question in 19:22d–f has several clauses. In some languages it may be more natural to translate these as separate questions, statements, or requests. For example:</w:t>
      </w:r>
    </w:p>
    <w:p>
      <w:pPr/>
      <w:r>
        <w:rPr>
          <w:lang w:val="en_US" w:bidi="en_US"/>
        </w:rPr>
      </w:r>
      <w:r>
        <w:rPr>
          <w:lang w:val="en_US" w:bidi="en_US"/>
        </w:rPr>
        <w:t>Did you really know that I am a severe man? Did you believe that I gain from what I did not deposit? Did you really think that I harvest what I did not plant?</w:t>
      </w:r>
    </w:p>
    <w:p>
      <w:pPr/>
      <w:r>
        <w:rPr>
          <w:lang w:val="en_US" w:bidi="en_US"/>
        </w:rPr>
      </w:r>
      <w:r>
        <w:rPr>
          <w:lang w:val="en_US" w:bidi="en_US"/>
        </w:rPr>
        <w:t>Let’s suppose that you really believe I am a demanding person. You think that I take up what I did not lay down and reap what I did not plant.</w:t>
      </w:r>
      <w:r>
        <w:rPr>
          <w:lang w:val="en_US" w:bidi="en_US"/>
        </w:rPr>
      </w:r>
      <w:r>
        <w:rPr>
          <w:lang w:val="en_US" w:bidi="en_US"/>
        </w:rPr>
      </w:r>
    </w:p>
    <w:p>
      <w:pPr/>
      <w:r>
        <w:rPr>
          <w:lang w:val="en_US" w:bidi="en_US"/>
        </w:rPr>
      </w:r>
    </w:p>
    <w:p>
      <w:pPr>
        <w:pStyle w:val="Heading2"/>
      </w:pPr>
      <w:r>
        <w:rPr>
          <w:lang w:val="en_US" w:bidi="en_US"/>
        </w:rPr>
        <w:t>Luke 19:23</w:t>
      </w:r>
      <w:r>
        <w:rPr>
          <w:lang w:val="en_US" w:bidi="en_US"/>
        </w:rPr>
      </w:r>
    </w:p>
    <w:p>
      <w:pPr>
        <w:pStyle w:val="Heading4"/>
      </w:pPr>
      <w:r>
        <w:rPr>
          <w:lang w:val="en_US" w:bidi="en_US"/>
        </w:rPr>
        <w:t>Section 19:11–27: Jesus told a parable about a king and his ten servants</w:t>
      </w:r>
    </w:p>
    <w:p>
      <w:pPr/>
      <w:r>
        <w:rPr>
          <w:lang w:val="en_US" w:bidi="en_US"/>
        </w:rPr>
      </w:r>
      <w:r>
        <w:rPr>
          <w:lang w:val="en_US" w:bidi="en_US"/>
        </w:rPr>
        <w:t>Many of Jesus’ followers expected that when they arrived in Jerusalem, Jesus would establish the kingdom of God and begin to reign as king. He told the parable in this section to help them understand that events would happen differently than they expected.</w:t>
      </w:r>
    </w:p>
    <w:p>
      <w:pPr/>
      <w:r>
        <w:rPr>
          <w:lang w:val="en_US" w:bidi="en_US"/>
        </w:rPr>
      </w:r>
      <w:r>
        <w:rPr>
          <w:lang w:val="en_US" w:bidi="en_US"/>
        </w:rPr>
        <w:t>There are two main ideas that Jesus taught through this parable:</w:t>
      </w:r>
    </w:p>
    <w:p>
      <w:pPr>
        <w:pStyle w:val="ListNumber"/>
        <w:numPr>
          <w:ilvl w:val="0"/>
          <w:numId w:val="323"/>
        </w:numPr>
        <w:spacing w:line="240" w:lineRule="auto"/>
        <w:ind w:left="720"/>
      </w:pPr>
      <w:r>
        <w:rPr>
          <w:lang w:val="en_US" w:bidi="en_US"/>
        </w:rPr>
      </w:r>
      <w:r>
        <w:rPr>
          <w:lang w:val="en_US" w:bidi="en_US"/>
        </w:rP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Pr>
          <w:lang w:val="en_US" w:bidi="en_US"/>
        </w:rPr>
      </w:r>
      <w:r>
        <w:rPr>
          <w:lang w:val="en_US" w:bidi="en_US"/>
        </w:rPr>
        <w:t>While Jesus is gone, his disciples must serve him faithfully and use whatever he has given them to glorify him.</w:t>
      </w:r>
    </w:p>
    <w:p>
      <w:pPr/>
      <w:r>
        <w:rPr>
          <w:lang w:val="en_US" w:bidi="en_US"/>
        </w:rPr>
      </w:r>
      <w:r>
        <w:rPr>
          <w:lang w:val="en_US" w:bidi="en_US"/>
        </w:rPr>
        <w:t>Other examples of headings for this section are:</w:t>
      </w:r>
    </w:p>
    <w:p>
      <w:pPr/>
      <w:r>
        <w:rPr>
          <w:lang w:val="en_US" w:bidi="en_US"/>
        </w:rPr>
      </w:r>
      <w:r>
        <w:rPr>
          <w:lang w:val="en_US" w:bidi="en_US"/>
        </w:rPr>
        <w:t>The Parable of the Gold Coins (GNT)</w:t>
      </w:r>
    </w:p>
    <w:p>
      <w:pPr/>
      <w:r>
        <w:rPr>
          <w:lang w:val="en_US" w:bidi="en_US"/>
        </w:rPr>
      </w:r>
      <w:r>
        <w:rPr>
          <w:lang w:val="en_US" w:bidi="en_US"/>
        </w:rPr>
        <w:t>Jesus told a parable about ten servants</w:t>
      </w:r>
    </w:p>
    <w:p>
      <w:pPr/>
      <w:r>
        <w:rPr>
          <w:lang w:val="en_US" w:bidi="en_US"/>
        </w:rPr>
      </w:r>
      <w:r>
        <w:rPr>
          <w:lang w:val="en_US" w:bidi="en_US"/>
        </w:rPr>
        <w:t>A parallel passage to this section is found in Matthew 25:14–30.</w:t>
      </w:r>
    </w:p>
    <w:p>
      <w:pPr>
        <w:pStyle w:val="Heading5"/>
      </w:pPr>
      <w:r>
        <w:rPr>
          <w:lang w:val="en_US" w:bidi="en_US"/>
        </w:rPr>
        <w:t>19:23a</w:t>
      </w:r>
    </w:p>
    <w:p>
      <w:pPr/>
      <w:r>
        <w:rPr>
          <w:lang w:val="en_US" w:bidi="en_US"/>
        </w:rPr>
      </w:r>
      <w:r>
        <w:rPr>
          <w:b/>
          <w:lang w:val="en_US" w:bidi="en_US"/>
        </w:rPr>
        <w:t>Why then did you not deposit my money in the bank,</w:t>
      </w:r>
    </w:p>
    <w:p>
      <w:pPr>
        <w:pStyle w:val="ListBullet"/>
        <w:spacing w:line="240" w:lineRule="auto"/>
        <w:ind w:left="720"/>
      </w:pPr>
      <w:r>
        <w:rPr>
          <w:lang w:val="en_US" w:bidi="en_US"/>
        </w:rPr>
      </w:r>
      <w:r>
        <w:rPr>
          <w:lang w:val="en_US" w:bidi="en_US"/>
        </w:rPr>
        <w:t>Then why did you</w:t>
      </w:r>
      <w:r>
        <w:rPr>
          <w:vertAlign w:val="superscript"/>
          <w:lang w:val="en_US" w:bidi="en_US"/>
        </w:rPr>
        <w:t>(sing)</w:t>
      </w:r>
      <w:r>
        <w:rPr>
          <w:lang w:val="en_US" w:bidi="en_US"/>
        </w:rPr>
        <w:t xml:space="preserve"> not </w:t>
      </w:r>
      <w:r>
        <w:rPr>
          <w:lang w:val="en_US" w:bidi="en_US"/>
        </w:rPr>
        <w:t>at least</w:t>
      </w:r>
      <w:r>
        <w:rPr>
          <w:lang w:val="en_US" w:bidi="en_US"/>
        </w:rPr>
        <w:t xml:space="preserve"> put my money in the bank?</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w:t>
      </w:r>
      <w:r>
        <w:rPr>
          <w:lang w:val="en_US" w:bidi="en_US"/>
        </w:rPr>
        <w:t>really believed that,</w:t>
      </w:r>
      <w:r>
        <w:rPr>
          <w:lang w:val="en_US" w:bidi="en_US"/>
        </w:rPr>
        <w:t xml:space="preserve"> you should have invested my money with the moneylenders.</w:t>
      </w:r>
    </w:p>
    <w:p>
      <w:pPr>
        <w:pStyle w:val="Heading5"/>
      </w:pPr>
      <w:r>
        <w:rPr>
          <w:lang w:val="en_US" w:bidi="en_US"/>
        </w:rPr>
        <w:t>19:23a–b</w:t>
      </w:r>
    </w:p>
    <w:p>
      <w:pPr/>
      <w:r>
        <w:rPr>
          <w:lang w:val="en_US" w:bidi="en_US"/>
        </w:rPr>
      </w:r>
      <w:r>
        <w:rPr>
          <w:b/>
          <w:lang w:val="en_US" w:bidi="en_US"/>
        </w:rPr>
        <w:t>Why then did you not deposit my money in the bank:</w:t>
      </w:r>
      <w:r>
        <w:rPr>
          <w:lang w:val="en_US" w:bidi="en_US"/>
        </w:rPr>
        <w:t xml:space="preserve"> This is a rhetorical question. It expresses a rebuke. The king was telling his servant what he should have done but did not do. 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…why didn’t you put my money in the bank? (GW)</w:t>
      </w:r>
    </w:p>
    <w:p>
      <w:pPr>
        <w:pStyle w:val="ListBullet"/>
        <w:spacing w:line="240" w:lineRule="auto"/>
        <w:ind w:left="720"/>
      </w:pPr>
      <w:r>
        <w:rPr>
          <w:lang w:val="en_US" w:bidi="en_US"/>
        </w:rPr>
      </w:r>
      <w:r>
        <w:rPr>
          <w:lang w:val="en_US" w:bidi="en_US"/>
        </w:rPr>
        <w:t>As a statement or exclamation. For example:</w:t>
      </w:r>
      <w:r>
        <w:rPr>
          <w:lang w:val="en_US" w:bidi="en_US"/>
        </w:rPr>
        <w:t>You certainly should have put my money in the bank!</w:t>
      </w:r>
      <w:r>
        <w:rPr>
          <w:lang w:val="en_US" w:bidi="en_US"/>
        </w:rPr>
        <w:t>You should have deposited my money in the bank.</w:t>
      </w:r>
    </w:p>
    <w:p>
      <w:pPr/>
      <w:r>
        <w:rPr>
          <w:lang w:val="en_US" w:bidi="en_US"/>
        </w:rPr>
      </w:r>
      <w:r>
        <w:rPr>
          <w:lang w:val="en_US" w:bidi="en_US"/>
        </w:rPr>
        <w:t>Translate this rebuke in a way that is natural in your language.</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introduces a logical conclusion. If the servant really believed what he said about the master, then he should have put his master’s money on deposit. Some other ways to express this logical connection in English are:</w:t>
      </w:r>
    </w:p>
    <w:p>
      <w:pPr/>
      <w:r>
        <w:rPr>
          <w:lang w:val="en_US" w:bidi="en_US"/>
        </w:rPr>
      </w:r>
      <w:r>
        <w:rPr>
          <w:lang w:val="en_US" w:bidi="en_US"/>
        </w:rPr>
        <w:t>So</w:t>
      </w:r>
      <w:r>
        <w:rPr>
          <w:lang w:val="en_US" w:bidi="en_US"/>
        </w:rPr>
        <w:t>Western Bukidnon Manobo back translation on TW.</w:t>
      </w:r>
    </w:p>
    <w:p>
      <w:pPr/>
      <w:r>
        <w:rPr>
          <w:lang w:val="en_US" w:bidi="en_US"/>
        </w:rPr>
      </w:r>
      <w:r>
        <w:rPr>
          <w:lang w:val="en_US" w:bidi="en_US"/>
        </w:rPr>
        <w:t>If you really believed that</w:t>
      </w:r>
    </w:p>
    <w:p>
      <w:pPr/>
      <w:r>
        <w:rPr>
          <w:lang w:val="en_US" w:bidi="en_US"/>
        </w:rPr>
      </w:r>
      <w:r>
        <w:rPr>
          <w:lang w:val="en_US" w:bidi="en_US"/>
        </w:rPr>
        <w:t>Well, then (GNT)</w:t>
      </w:r>
    </w:p>
    <w:p>
      <w:pPr/>
      <w:r>
        <w:rPr>
          <w:lang w:val="en_US" w:bidi="en_US"/>
        </w:rPr>
      </w:r>
      <w:r>
        <w:rPr>
          <w:lang w:val="en_US" w:bidi="en_US"/>
        </w:rPr>
        <w:t>Express the connection in a natural way in your language.</w:t>
      </w:r>
    </w:p>
    <w:p>
      <w:pPr/>
      <w:r>
        <w:rPr>
          <w:lang w:val="en_US" w:bidi="en_US"/>
        </w:rPr>
      </w:r>
      <w:r>
        <w:rPr>
          <w:b/>
          <w:lang w:val="en_US" w:bidi="en_US"/>
        </w:rPr>
        <w:t>deposit my money in the bank:</w:t>
      </w:r>
      <w:r>
        <w:rPr>
          <w:lang w:val="en_US" w:bidi="en_US"/>
        </w:rPr>
        <w:t xml:space="preserve"> The Greek phrase that the BSB translates as </w:t>
      </w:r>
      <w:r>
        <w:rPr>
          <w:i/>
          <w:lang w:val="en_US" w:bidi="en_US"/>
        </w:rPr>
        <w:t>in the bank</w:t>
      </w:r>
      <w:r>
        <w:rPr>
          <w:lang w:val="en_US" w:bidi="en_US"/>
        </w:rPr>
        <w:t xml:space="preserve"> is literally “on the table.” It refers to a table where a man who loaned money worked. A person could come and put money on the lender’s table. The lender would promise to pay him interest. This interest was based on the amount of money that the lender received and how long he kept the money. After a lender received money, he loaned it to another person and demanded a higher interest fee.</w:t>
      </w:r>
    </w:p>
    <w:p>
      <w:pPr/>
      <w:r>
        <w:rPr>
          <w:lang w:val="en_US" w:bidi="en_US"/>
        </w:rPr>
      </w:r>
      <w:r>
        <w:rPr>
          <w:lang w:val="en_US" w:bidi="en_US"/>
        </w:rPr>
        <w:t>Some other ways to translate this action are:</w:t>
      </w:r>
    </w:p>
    <w:p>
      <w:pPr>
        <w:pStyle w:val="ListBullet"/>
        <w:spacing w:line="240" w:lineRule="auto"/>
        <w:ind w:left="720"/>
      </w:pPr>
      <w:r>
        <w:rPr>
          <w:lang w:val="en_US" w:bidi="en_US"/>
        </w:rPr>
      </w:r>
      <w:r>
        <w:rPr>
          <w:lang w:val="en_US" w:bidi="en_US"/>
        </w:rPr>
        <w:t>Use a specific term that describes the action. For example:</w:t>
      </w:r>
      <w:r>
        <w:rPr>
          <w:lang w:val="en_US" w:bidi="en_US"/>
        </w:rPr>
        <w:t>deposit my money with the moneylenders</w:t>
      </w:r>
    </w:p>
    <w:p>
      <w:pPr>
        <w:pStyle w:val="ListBullet"/>
        <w:spacing w:line="240" w:lineRule="auto"/>
        <w:ind w:left="720"/>
      </w:pPr>
      <w:r>
        <w:rPr>
          <w:lang w:val="en_US" w:bidi="en_US"/>
        </w:rPr>
      </w:r>
      <w:r>
        <w:rPr>
          <w:lang w:val="en_US" w:bidi="en_US"/>
        </w:rPr>
        <w:t>Use a descriptive phrase. For example:</w:t>
      </w:r>
      <w:r>
        <w:rPr>
          <w:lang w:val="en_US" w:bidi="en_US"/>
        </w:rPr>
        <w:t>invest my money with someone whose work/business is lending money</w:t>
      </w:r>
      <w:r>
        <w:rPr>
          <w:lang w:val="en_US" w:bidi="en_US"/>
        </w:rPr>
        <w:t>loan my money to a person/business who will pay a fee to borrow it</w:t>
      </w:r>
    </w:p>
    <w:p>
      <w:pPr>
        <w:pStyle w:val="ListBullet"/>
        <w:spacing w:line="240" w:lineRule="auto"/>
        <w:ind w:left="720"/>
      </w:pPr>
      <w:r>
        <w:rPr>
          <w:lang w:val="en_US" w:bidi="en_US"/>
        </w:rPr>
      </w:r>
      <w:r>
        <w:rPr>
          <w:lang w:val="en_US" w:bidi="en_US"/>
        </w:rPr>
        <w:t>Use a general term. For example:</w:t>
      </w:r>
      <w:r>
        <w:rPr>
          <w:lang w:val="en_US" w:bidi="en_US"/>
        </w:rPr>
        <w:t>put my money in the bank (GNT)</w:t>
      </w:r>
    </w:p>
    <w:p>
      <w:pPr/>
      <w:r>
        <w:rPr>
          <w:lang w:val="en_US" w:bidi="en_US"/>
        </w:rPr>
      </w:r>
      <w:r>
        <w:rPr>
          <w:lang w:val="en_US" w:bidi="en_US"/>
        </w:rPr>
        <w:t>If you use a general term, it should imply that the king would get interest from the money.</w:t>
      </w:r>
    </w:p>
    <w:p>
      <w:pPr>
        <w:pStyle w:val="Heading5"/>
      </w:pPr>
      <w:r>
        <w:rPr>
          <w:lang w:val="en_US" w:bidi="en_US"/>
        </w:rPr>
        <w:t>19:23b</w:t>
      </w:r>
    </w:p>
    <w:p>
      <w:pPr/>
      <w:r>
        <w:rPr>
          <w:lang w:val="en_US" w:bidi="en_US"/>
        </w:rPr>
      </w:r>
      <w:r>
        <w:rPr>
          <w:b/>
          <w:lang w:val="en_US" w:bidi="en_US"/>
        </w:rPr>
        <w:t>and upon my return</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w:t>
      </w:r>
      <w:r>
        <w:rPr>
          <w:lang w:val="en_US" w:bidi="en_US"/>
        </w:rPr>
        <w:t>had done that,</w:t>
      </w:r>
      <w:r>
        <w:rPr>
          <w:lang w:val="en_US" w:bidi="en_US"/>
        </w:rPr>
        <w:t xml:space="preserve"> when I came back</w:t>
      </w:r>
    </w:p>
    <w:p>
      <w:pPr>
        <w:pStyle w:val="ListBullet"/>
        <w:spacing w:line="240" w:lineRule="auto"/>
        <w:ind w:left="720"/>
      </w:pPr>
      <w:r>
        <w:rPr>
          <w:lang w:val="en_US" w:bidi="en_US"/>
        </w:rPr>
      </w:r>
      <w:r>
        <w:rPr>
          <w:lang w:val="en_US" w:bidi="en_US"/>
        </w:rPr>
        <w:t xml:space="preserve">Then, when I returned </w:t>
      </w:r>
      <w:r>
        <w:rPr>
          <w:lang w:val="en_US" w:bidi="en_US"/>
        </w:rPr>
        <w:t>to you</w:t>
      </w:r>
      <w:r>
        <w:rPr>
          <w:vertAlign w:val="superscript"/>
          <w:lang w:val="en_US" w:bidi="en_US"/>
        </w:rPr>
        <w:t>(sing)</w:t>
      </w:r>
      <w:r>
        <w:rPr>
          <w:lang w:val="en_US" w:bidi="en_US"/>
        </w:rPr>
        <w:t xml:space="preserve"> </w:t>
      </w:r>
      <w:r>
        <w:rPr>
          <w:lang w:val="en_US" w:bidi="en_US"/>
        </w:rPr>
        <w:t>from my journey</w:t>
      </w:r>
      <w:r>
        <w:rPr>
          <w:lang w:val="en_US" w:bidi="en_US"/>
        </w:rPr>
        <w:t>,</w:t>
      </w:r>
    </w:p>
    <w:p>
      <w:pPr/>
      <w:r>
        <w:rPr>
          <w:lang w:val="en_US" w:bidi="en_US"/>
        </w:rPr>
      </w:r>
      <w:r>
        <w:rPr>
          <w:b/>
          <w:lang w:val="en_US" w:bidi="en_US"/>
        </w:rPr>
        <w:t>and upon my return:</w:t>
      </w:r>
      <w:r>
        <w:rPr>
          <w:lang w:val="en_US" w:bidi="en_US"/>
        </w:rPr>
        <w:t xml:space="preserve"> The Greek phrase that the BSB translates as </w:t>
      </w:r>
      <w:r>
        <w:rPr>
          <w:i/>
          <w:lang w:val="en_US" w:bidi="en_US"/>
        </w:rPr>
        <w:t>and upon my return</w:t>
      </w:r>
      <w:r>
        <w:rPr>
          <w:lang w:val="en_US" w:bidi="en_US"/>
        </w:rPr>
        <w:t xml:space="preserve"> is literally “and I having come.” It refers to when the king returned to his servants.</w:t>
      </w:r>
    </w:p>
    <w:p>
      <w:pPr/>
      <w:r>
        <w:rPr>
          <w:lang w:val="en_US" w:bidi="en_US"/>
        </w:rPr>
      </w:r>
      <w:r>
        <w:rPr>
          <w:lang w:val="en_US" w:bidi="en_US"/>
        </w:rPr>
        <w:t xml:space="preserve">The BSB begins 19:23b with </w:t>
      </w:r>
      <w:r>
        <w:rPr>
          <w:i/>
          <w:lang w:val="en_US" w:bidi="en_US"/>
        </w:rPr>
        <w:t>and</w:t>
      </w:r>
      <w:r>
        <w:rPr>
          <w:lang w:val="en_US" w:bidi="en_US"/>
        </w:rPr>
        <w:t xml:space="preserve"> because in 19:23c the king describes the result of putting his money on deposit. The NIV and NET say “so that” because this was also the purpose of putting his money on deposit. In some languages it may be more natural to change the order of phrases in this verse. See the General Comment on 19:23a–c for a suggestion.</w:t>
      </w:r>
    </w:p>
    <w:p>
      <w:pPr/>
      <w:r>
        <w:rPr>
          <w:lang w:val="en_US" w:bidi="en_US"/>
        </w:rPr>
      </w:r>
      <w:r>
        <w:rPr>
          <w:lang w:val="en_US" w:bidi="en_US"/>
        </w:rPr>
        <w:t>Other ways to translate this part of the verse are:</w:t>
      </w:r>
    </w:p>
    <w:p>
      <w:pPr/>
      <w:r>
        <w:rPr>
          <w:lang w:val="en_US" w:bidi="en_US"/>
        </w:rPr>
      </w:r>
      <w:r>
        <w:rPr>
          <w:lang w:val="en_US" w:bidi="en_US"/>
        </w:rPr>
        <w:t>and at my coming (RSV)</w:t>
      </w:r>
    </w:p>
    <w:p>
      <w:pPr/>
      <w:r>
        <w:rPr>
          <w:lang w:val="en_US" w:bidi="en_US"/>
        </w:rPr>
      </w:r>
      <w:r>
        <w:rPr>
          <w:lang w:val="en_US" w:bidi="en_US"/>
        </w:rPr>
        <w:t>Then when I came back (NCV)</w:t>
      </w:r>
    </w:p>
    <w:p>
      <w:pPr>
        <w:pStyle w:val="Heading5"/>
      </w:pPr>
      <w:r>
        <w:rPr>
          <w:lang w:val="en_US" w:bidi="en_US"/>
        </w:rPr>
        <w:t>19:23c</w:t>
      </w:r>
    </w:p>
    <w:p>
      <w:pPr/>
      <w:r>
        <w:rPr>
          <w:lang w:val="en_US" w:bidi="en_US"/>
        </w:rPr>
      </w:r>
      <w:r>
        <w:rPr>
          <w:b/>
          <w:lang w:val="en_US" w:bidi="en_US"/>
        </w:rPr>
        <w:t>I could have collected it with interest?’</w:t>
      </w:r>
    </w:p>
    <w:p>
      <w:pPr>
        <w:pStyle w:val="ListBullet"/>
        <w:spacing w:line="240" w:lineRule="auto"/>
        <w:ind w:left="720"/>
      </w:pPr>
      <w:r>
        <w:rPr>
          <w:lang w:val="en_US" w:bidi="en_US"/>
        </w:rPr>
      </w:r>
      <w:r>
        <w:rPr>
          <w:lang w:val="en_US" w:bidi="en_US"/>
        </w:rPr>
        <w:t>I would have received my money back with some gain/profit.’</w:t>
      </w:r>
    </w:p>
    <w:p>
      <w:pPr>
        <w:pStyle w:val="ListBullet"/>
        <w:spacing w:line="240" w:lineRule="auto"/>
        <w:ind w:left="720"/>
      </w:pPr>
      <w:r>
        <w:rPr>
          <w:lang w:val="en_US" w:bidi="en_US"/>
        </w:rPr>
      </w:r>
      <w:r>
        <w:rPr>
          <w:lang w:val="en_US" w:bidi="en_US"/>
        </w:rPr>
        <w:t xml:space="preserve">I could have received all the money back with interest, </w:t>
      </w:r>
      <w:r>
        <w:rPr>
          <w:lang w:val="en_US" w:bidi="en_US"/>
        </w:rPr>
        <w:t>but now I do not get that interest</w:t>
      </w:r>
      <w:r>
        <w:rPr>
          <w:lang w:val="en_US" w:bidi="en_US"/>
        </w:rPr>
        <w:t>.’</w:t>
      </w:r>
    </w:p>
    <w:p>
      <w:pPr/>
      <w:r>
        <w:rPr>
          <w:lang w:val="en_US" w:bidi="en_US"/>
        </w:rPr>
      </w:r>
      <w:r>
        <w:rPr>
          <w:b/>
          <w:lang w:val="en_US" w:bidi="en_US"/>
        </w:rPr>
        <w:t>I could have collected it with interest:</w:t>
      </w:r>
      <w:r>
        <w:rPr>
          <w:lang w:val="en_US" w:bidi="en_US"/>
        </w:rPr>
        <w:t xml:space="preserve"> The clause in this verse expresses a result of depositing the king’s money. But this result did not happen. The servant did not deposit the king’s money, so the king could not collect interest from the money. In some languages there are special ways to express the results of actions that did not happen. In English special verb forms are used such as “might” or </w:t>
      </w:r>
      <w:r>
        <w:rPr>
          <w:i/>
          <w:lang w:val="en_US" w:bidi="en_US"/>
        </w:rPr>
        <w:t>could</w:t>
      </w:r>
      <w:r>
        <w:rPr>
          <w:lang w:val="en_US" w:bidi="en_US"/>
        </w:rPr>
        <w:t>, as in the BSB.</w:t>
      </w:r>
    </w:p>
    <w:p>
      <w:pPr/>
      <w:r>
        <w:rPr>
          <w:lang w:val="en_US" w:bidi="en_US"/>
        </w:rPr>
      </w:r>
      <w:r>
        <w:rPr>
          <w:lang w:val="en_US" w:bidi="en_US"/>
        </w:rPr>
        <w:t>English versions differ about where they end the rhetorical question that began in 19:23a. Many English versions express the result in this verse as a separate statement. For example:</w:t>
      </w:r>
    </w:p>
    <w:p>
      <w:pPr/>
      <w:r>
        <w:rPr>
          <w:lang w:val="en_US" w:bidi="en_US"/>
        </w:rPr>
      </w:r>
      <w:r>
        <w:rPr>
          <w:lang w:val="en_US" w:bidi="en_US"/>
        </w:rPr>
        <w:t>Then when I came back, my money would have earned some interest. (NCV)</w:t>
      </w:r>
    </w:p>
    <w:p>
      <w:pPr/>
      <w:r>
        <w:rPr>
          <w:lang w:val="en_US" w:bidi="en_US"/>
        </w:rPr>
      </w:r>
      <w:r>
        <w:rPr>
          <w:lang w:val="en_US" w:bidi="en_US"/>
        </w:rPr>
        <w:t>In some languages it may be helpful to begin this statement with an introductory clause. For example:</w:t>
      </w:r>
    </w:p>
    <w:p>
      <w:pPr/>
      <w:r>
        <w:rPr>
          <w:lang w:val="en_US" w:bidi="en_US"/>
        </w:rPr>
      </w:r>
      <w:r>
        <w:rPr>
          <w:u w:val="single"/>
          <w:lang w:val="en_US" w:bidi="en_US"/>
        </w:rPr>
        <w:t>If you had done that</w:t>
      </w:r>
      <w:r>
        <w:rPr>
          <w:lang w:val="en_US" w:bidi="en_US"/>
        </w:rPr>
        <w:t>, I could have collected the money with interest when I returned.</w:t>
      </w:r>
    </w:p>
    <w:p>
      <w:pPr/>
      <w:r>
        <w:rPr>
          <w:lang w:val="en_US" w:bidi="en_US"/>
        </w:rPr>
      </w:r>
      <w:r>
        <w:rPr>
          <w:b/>
          <w:lang w:val="en_US" w:bidi="en_US"/>
        </w:rPr>
        <w:t>collected it with interest:</w:t>
      </w:r>
      <w:r>
        <w:rPr>
          <w:lang w:val="en_US" w:bidi="en_US"/>
        </w:rPr>
        <w:t xml:space="preserve"> The word </w:t>
      </w:r>
      <w:r>
        <w:rPr>
          <w:i/>
          <w:lang w:val="en_US" w:bidi="en_US"/>
        </w:rPr>
        <w:t>interest</w:t>
      </w:r>
      <w:r>
        <w:rPr>
          <w:lang w:val="en_US" w:bidi="en_US"/>
        </w:rPr>
        <w:t xml:space="preserve"> refers to the extra money (“profits”) that a lender would have given the king for letting him use the money. It would have been good for the servant to put the money with a lender, who would have returned it with interest.</w:t>
      </w:r>
    </w:p>
    <w:p>
      <w:pPr/>
      <w:r>
        <w:rPr>
          <w:lang w:val="en_US" w:bidi="en_US"/>
        </w:rPr>
      </w:r>
      <w:r>
        <w:rPr>
          <w:lang w:val="en_US" w:bidi="en_US"/>
        </w:rPr>
        <w:t xml:space="preserve">Other ways to translate </w:t>
      </w:r>
      <w:r>
        <w:rPr>
          <w:i/>
          <w:lang w:val="en_US" w:bidi="en_US"/>
        </w:rPr>
        <w:t>collected it with interest</w:t>
      </w:r>
      <w:r>
        <w:rPr>
          <w:lang w:val="en_US" w:bidi="en_US"/>
        </w:rPr>
        <w:t xml:space="preserve"> are:</w:t>
      </w:r>
    </w:p>
    <w:p>
      <w:pPr/>
      <w:r>
        <w:rPr>
          <w:lang w:val="en_US" w:bidi="en_US"/>
        </w:rPr>
      </w:r>
      <w:r>
        <w:rPr>
          <w:lang w:val="en_US" w:bidi="en_US"/>
        </w:rPr>
        <w:t>received it back with a profit/gain/increase</w:t>
      </w:r>
    </w:p>
    <w:p>
      <w:pPr/>
      <w:r>
        <w:rPr>
          <w:lang w:val="en_US" w:bidi="en_US"/>
        </w:rPr>
      </w:r>
      <w:r>
        <w:rPr>
          <w:lang w:val="en_US" w:bidi="en_US"/>
        </w:rPr>
        <w:t>gotten it back again and also received some interest</w:t>
      </w:r>
    </w:p>
    <w:p>
      <w:pPr/>
      <w:r>
        <w:rPr>
          <w:lang w:val="en_US" w:bidi="en_US"/>
        </w:rPr>
      </w:r>
      <w:r>
        <w:rPr>
          <w:lang w:val="en_US" w:bidi="en_US"/>
        </w:rPr>
        <w:t>received even more money back</w:t>
      </w:r>
    </w:p>
    <w:p>
      <w:pPr>
        <w:pStyle w:val="Heading6"/>
      </w:pPr>
      <w:r>
        <w:rPr>
          <w:b/>
          <w:lang w:val="en_US" w:bidi="en_US"/>
        </w:rPr>
        <w:t>General Comment on 19:23a–c</w:t>
      </w:r>
    </w:p>
    <w:p>
      <w:pPr/>
      <w:r>
        <w:rPr>
          <w:lang w:val="en_US" w:bidi="en_US"/>
        </w:rPr>
      </w:r>
      <w:r>
        <w:rPr>
          <w:lang w:val="en_US" w:bidi="en_US"/>
        </w:rPr>
        <w:t>In some languages it may be more natural to change the order of clauses in this verse. For example:</w:t>
      </w:r>
    </w:p>
    <w:p>
      <w:pPr/>
      <w:r>
        <w:rPr>
          <w:lang w:val="en_US" w:bidi="en_US"/>
        </w:rPr>
      </w:r>
      <w:r>
        <w:rPr>
          <w:vertAlign w:val="superscript"/>
          <w:lang w:val="en_US" w:bidi="en_US"/>
        </w:rPr>
        <w:t>23a</w:t>
      </w:r>
      <w:r>
        <w:rPr>
          <w:lang w:val="en_US" w:bidi="en_US"/>
        </w:rPr>
        <w:t xml:space="preserve">Then why did you not put my money on deposit, </w:t>
      </w:r>
      <w:r>
        <w:rPr>
          <w:vertAlign w:val="superscript"/>
          <w:lang w:val="en_US" w:bidi="en_US"/>
        </w:rPr>
        <w:t>23c</w:t>
      </w:r>
      <w:r>
        <w:rPr>
          <w:lang w:val="en_US" w:bidi="en_US"/>
        </w:rPr>
        <w:t xml:space="preserve">and I could have claimed it with interest </w:t>
      </w:r>
      <w:r>
        <w:rPr>
          <w:vertAlign w:val="superscript"/>
          <w:lang w:val="en_US" w:bidi="en_US"/>
        </w:rPr>
        <w:t>23b</w:t>
      </w:r>
      <w:r>
        <w:rPr>
          <w:lang w:val="en_US" w:bidi="en_US"/>
        </w:rPr>
        <w:t>when I came back? (REB)</w:t>
      </w:r>
      <w:r>
        <w:rPr>
          <w:lang w:val="en_US" w:bidi="en_US"/>
        </w:rPr>
      </w:r>
      <w:r>
        <w:rPr>
          <w:lang w:val="en_US" w:bidi="en_US"/>
        </w:rPr>
      </w:r>
    </w:p>
    <w:p>
      <w:pPr/>
      <w:r>
        <w:rPr>
          <w:lang w:val="en_US" w:bidi="en_US"/>
        </w:rPr>
      </w:r>
    </w:p>
    <w:p>
      <w:pPr>
        <w:pStyle w:val="Heading2"/>
      </w:pPr>
      <w:r>
        <w:rPr>
          <w:lang w:val="en_US" w:bidi="en_US"/>
        </w:rPr>
        <w:t>Luke 19:24</w:t>
      </w:r>
      <w:r>
        <w:rPr>
          <w:lang w:val="en_US" w:bidi="en_US"/>
        </w:rPr>
      </w:r>
    </w:p>
    <w:p>
      <w:pPr>
        <w:pStyle w:val="Heading4"/>
      </w:pPr>
      <w:r>
        <w:rPr>
          <w:lang w:val="en_US" w:bidi="en_US"/>
        </w:rPr>
        <w:t>Section 19:11–27: Jesus told a parable about a king and his ten servants</w:t>
      </w:r>
    </w:p>
    <w:p>
      <w:pPr/>
      <w:r>
        <w:rPr>
          <w:lang w:val="en_US" w:bidi="en_US"/>
        </w:rPr>
      </w:r>
      <w:r>
        <w:rPr>
          <w:lang w:val="en_US" w:bidi="en_US"/>
        </w:rPr>
        <w:t>Many of Jesus’ followers expected that when they arrived in Jerusalem, Jesus would establish the kingdom of God and begin to reign as king. He told the parable in this section to help them understand that events would happen differently than they expected.</w:t>
      </w:r>
    </w:p>
    <w:p>
      <w:pPr/>
      <w:r>
        <w:rPr>
          <w:lang w:val="en_US" w:bidi="en_US"/>
        </w:rPr>
      </w:r>
      <w:r>
        <w:rPr>
          <w:lang w:val="en_US" w:bidi="en_US"/>
        </w:rPr>
        <w:t>There are two main ideas that Jesus taught through this parable:</w:t>
      </w:r>
    </w:p>
    <w:p>
      <w:pPr>
        <w:pStyle w:val="ListNumber"/>
        <w:numPr>
          <w:ilvl w:val="0"/>
          <w:numId w:val="324"/>
        </w:numPr>
        <w:spacing w:line="240" w:lineRule="auto"/>
        <w:ind w:left="720"/>
      </w:pPr>
      <w:r>
        <w:rPr>
          <w:lang w:val="en_US" w:bidi="en_US"/>
        </w:rPr>
      </w:r>
      <w:r>
        <w:rPr>
          <w:lang w:val="en_US" w:bidi="en_US"/>
        </w:rP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Pr>
          <w:lang w:val="en_US" w:bidi="en_US"/>
        </w:rPr>
      </w:r>
      <w:r>
        <w:rPr>
          <w:lang w:val="en_US" w:bidi="en_US"/>
        </w:rPr>
        <w:t>While Jesus is gone, his disciples must serve him faithfully and use whatever he has given them to glorify him.</w:t>
      </w:r>
    </w:p>
    <w:p>
      <w:pPr/>
      <w:r>
        <w:rPr>
          <w:lang w:val="en_US" w:bidi="en_US"/>
        </w:rPr>
      </w:r>
      <w:r>
        <w:rPr>
          <w:lang w:val="en_US" w:bidi="en_US"/>
        </w:rPr>
        <w:t>Other examples of headings for this section are:</w:t>
      </w:r>
    </w:p>
    <w:p>
      <w:pPr/>
      <w:r>
        <w:rPr>
          <w:lang w:val="en_US" w:bidi="en_US"/>
        </w:rPr>
      </w:r>
      <w:r>
        <w:rPr>
          <w:lang w:val="en_US" w:bidi="en_US"/>
        </w:rPr>
        <w:t>The Parable of the Gold Coins (GNT)</w:t>
      </w:r>
    </w:p>
    <w:p>
      <w:pPr/>
      <w:r>
        <w:rPr>
          <w:lang w:val="en_US" w:bidi="en_US"/>
        </w:rPr>
      </w:r>
      <w:r>
        <w:rPr>
          <w:lang w:val="en_US" w:bidi="en_US"/>
        </w:rPr>
        <w:t>Jesus told a parable about ten servants</w:t>
      </w:r>
    </w:p>
    <w:p>
      <w:pPr/>
      <w:r>
        <w:rPr>
          <w:lang w:val="en_US" w:bidi="en_US"/>
        </w:rPr>
      </w:r>
      <w:r>
        <w:rPr>
          <w:lang w:val="en_US" w:bidi="en_US"/>
        </w:rPr>
        <w:t>A parallel passage to this section is found in Matthew 25:14–30.</w:t>
      </w:r>
    </w:p>
    <w:p>
      <w:pPr>
        <w:pStyle w:val="Heading5"/>
      </w:pPr>
      <w:r>
        <w:rPr>
          <w:lang w:val="en_US" w:bidi="en_US"/>
        </w:rPr>
        <w:t>19:24a</w:t>
      </w:r>
    </w:p>
    <w:p>
      <w:pPr/>
      <w:r>
        <w:rPr>
          <w:lang w:val="en_US" w:bidi="en_US"/>
        </w:rPr>
      </w:r>
      <w:r>
        <w:rPr>
          <w:b/>
          <w:lang w:val="en_US" w:bidi="en_US"/>
        </w:rPr>
        <w:t>Then he told those standing by,</w:t>
      </w:r>
    </w:p>
    <w:p>
      <w:pPr>
        <w:pStyle w:val="ListBullet"/>
        <w:spacing w:line="240" w:lineRule="auto"/>
        <w:ind w:left="720"/>
      </w:pPr>
      <w:r>
        <w:rPr>
          <w:lang w:val="en_US" w:bidi="en_US"/>
        </w:rPr>
      </w:r>
      <w:r>
        <w:rPr>
          <w:lang w:val="en_US" w:bidi="en_US"/>
        </w:rPr>
        <w:t xml:space="preserve">Then the king said to the men standing by </w:t>
      </w:r>
      <w:r>
        <w:rPr>
          <w:lang w:val="en_US" w:bidi="en_US"/>
        </w:rPr>
        <w:t>him</w:t>
      </w:r>
      <w:r>
        <w:rPr>
          <w:lang w:val="en_US" w:bidi="en_US"/>
        </w:rPr>
        <w:t>,</w:t>
      </w:r>
    </w:p>
    <w:p>
      <w:pPr>
        <w:pStyle w:val="ListBullet"/>
        <w:spacing w:line="240" w:lineRule="auto"/>
        <w:ind w:left="720"/>
      </w:pPr>
      <w:r>
        <w:rPr>
          <w:lang w:val="en_US" w:bidi="en_US"/>
        </w:rPr>
      </w:r>
      <w:r>
        <w:rPr>
          <w:lang w:val="en_US" w:bidi="en_US"/>
        </w:rPr>
        <w:t>After the king said that, he turned to his attendants/men and ordered them,</w:t>
      </w:r>
    </w:p>
    <w:p>
      <w:pPr/>
      <w:r>
        <w:rPr>
          <w:lang w:val="en_US" w:bidi="en_US"/>
        </w:rPr>
      </w:r>
      <w:r>
        <w:rPr>
          <w:b/>
          <w:lang w:val="en_US" w:bidi="en_US"/>
        </w:rPr>
        <w:t>Then he told those standing by:</w:t>
      </w:r>
      <w:r>
        <w:rPr>
          <w:lang w:val="en_US" w:bidi="en_US"/>
        </w:rPr>
        <w:t xml:space="preserve"> The Greek phrase that the BSB translates as </w:t>
      </w:r>
      <w:r>
        <w:rPr>
          <w:i/>
          <w:lang w:val="en_US" w:bidi="en_US"/>
        </w:rPr>
        <w:t>those standing by</w:t>
      </w:r>
      <w:r>
        <w:rPr>
          <w:lang w:val="en_US" w:bidi="en_US"/>
        </w:rPr>
        <w:t xml:space="preserve"> refers to other people who were standing nearby as the king was talking to his servants. These people probably also served the king, since he gave them a command in 19:24b. A king usually had servants near him at all times. The text does not mention a specific category of servants. Some other ways to translate the phrase are:</w:t>
      </w:r>
    </w:p>
    <w:p>
      <w:pPr/>
      <w:r>
        <w:rPr>
          <w:lang w:val="en_US" w:bidi="en_US"/>
        </w:rPr>
      </w:r>
      <w:r>
        <w:rPr>
          <w:lang w:val="en_US" w:bidi="en_US"/>
        </w:rPr>
        <w:t>some other servants standing there (CEV)</w:t>
      </w:r>
    </w:p>
    <w:p>
      <w:pPr/>
      <w:r>
        <w:rPr>
          <w:lang w:val="en_US" w:bidi="en_US"/>
        </w:rPr>
      </w:r>
      <w:r>
        <w:rPr>
          <w:lang w:val="en_US" w:bidi="en_US"/>
        </w:rPr>
        <w:t>his attendants (NET)</w:t>
      </w:r>
    </w:p>
    <w:p>
      <w:pPr/>
      <w:r>
        <w:rPr>
          <w:lang w:val="en_US" w:bidi="en_US"/>
        </w:rPr>
      </w:r>
      <w:r>
        <w:rPr>
          <w:lang w:val="en_US" w:bidi="en_US"/>
        </w:rPr>
        <w:t>his men (GW)</w:t>
      </w:r>
    </w:p>
    <w:p>
      <w:pPr/>
      <w:r>
        <w:rPr>
          <w:lang w:val="en_US" w:bidi="en_US"/>
        </w:rPr>
      </w:r>
      <w:r>
        <w:rPr>
          <w:lang w:val="en_US" w:bidi="en_US"/>
        </w:rPr>
        <w:t>those who were standing there (GNT)</w:t>
      </w:r>
    </w:p>
    <w:p>
      <w:pPr>
        <w:pStyle w:val="Heading5"/>
      </w:pPr>
      <w:r>
        <w:rPr>
          <w:lang w:val="en_US" w:bidi="en_US"/>
        </w:rPr>
        <w:t>19:24b</w:t>
      </w:r>
    </w:p>
    <w:p>
      <w:pPr/>
      <w:r>
        <w:rPr>
          <w:lang w:val="en_US" w:bidi="en_US"/>
        </w:rPr>
      </w:r>
      <w:r>
        <w:rPr>
          <w:b/>
          <w:lang w:val="en_US" w:bidi="en_US"/>
        </w:rPr>
        <w:t>‘Take the mina from him and give it to the one who has ten minas.’</w:t>
      </w:r>
    </w:p>
    <w:p>
      <w:pPr>
        <w:pStyle w:val="ListBullet"/>
        <w:spacing w:line="240" w:lineRule="auto"/>
        <w:ind w:left="720"/>
      </w:pPr>
      <w:r>
        <w:rPr>
          <w:lang w:val="en_US" w:bidi="en_US"/>
        </w:rPr>
      </w:r>
      <w:r>
        <w:rPr>
          <w:lang w:val="en_US" w:bidi="en_US"/>
        </w:rPr>
        <w:t>‘Take</w:t>
      </w:r>
      <w:r>
        <w:rPr>
          <w:vertAlign w:val="superscript"/>
          <w:lang w:val="en_US" w:bidi="en_US"/>
        </w:rPr>
        <w:t>(plur)</w:t>
      </w:r>
      <w:r>
        <w:rPr>
          <w:lang w:val="en_US" w:bidi="en_US"/>
        </w:rPr>
        <w:t xml:space="preserve"> the coin away from him and hand it to the servant who has ten coins.’</w:t>
      </w:r>
    </w:p>
    <w:p>
      <w:pPr>
        <w:pStyle w:val="ListBullet"/>
        <w:spacing w:line="240" w:lineRule="auto"/>
        <w:ind w:left="720"/>
      </w:pPr>
      <w:r>
        <w:rPr>
          <w:lang w:val="en_US" w:bidi="en_US"/>
        </w:rPr>
      </w:r>
      <w:r>
        <w:rPr>
          <w:lang w:val="en_US" w:bidi="en_US"/>
        </w:rPr>
        <w:t>‘Take</w:t>
      </w:r>
      <w:r>
        <w:rPr>
          <w:vertAlign w:val="superscript"/>
          <w:lang w:val="en_US" w:bidi="en_US"/>
        </w:rPr>
        <w:t>(plur)</w:t>
      </w:r>
      <w:r>
        <w:rPr>
          <w:lang w:val="en_US" w:bidi="en_US"/>
        </w:rPr>
        <w:t xml:space="preserve"> the money away from him and give it to the servant who </w:t>
      </w:r>
      <w:r>
        <w:rPr>
          <w:lang w:val="en_US" w:bidi="en_US"/>
        </w:rPr>
        <w:t>used the money I gave him to gain</w:t>
      </w:r>
      <w:r>
        <w:rPr>
          <w:lang w:val="en_US" w:bidi="en_US"/>
        </w:rPr>
        <w:t xml:space="preserve"> ten times as much.’</w:t>
      </w:r>
    </w:p>
    <w:p>
      <w:pPr/>
      <w:r>
        <w:rPr>
          <w:lang w:val="en_US" w:bidi="en_US"/>
        </w:rPr>
      </w:r>
      <w:r>
        <w:rPr>
          <w:b/>
          <w:lang w:val="en_US" w:bidi="en_US"/>
        </w:rPr>
        <w:t>Take the mina from him:</w:t>
      </w:r>
      <w:r>
        <w:rPr>
          <w:lang w:val="en_US" w:bidi="en_US"/>
        </w:rPr>
        <w:t xml:space="preserve"> In this clause the king told men to take the servant’s mina from him. The word </w:t>
      </w:r>
      <w:r>
        <w:rPr>
          <w:i/>
          <w:lang w:val="en_US" w:bidi="en_US"/>
        </w:rPr>
        <w:t>mina</w:t>
      </w:r>
      <w:r>
        <w:rPr>
          <w:lang w:val="en_US" w:bidi="en_US"/>
        </w:rPr>
        <w:t xml:space="preserve"> refers to the valuable coin that the master had entrusted to his servant. It actually still belonged to the master. Here is another way to translate this:</w:t>
      </w:r>
    </w:p>
    <w:p>
      <w:pPr/>
      <w:r>
        <w:rPr>
          <w:lang w:val="en_US" w:bidi="en_US"/>
        </w:rPr>
      </w:r>
      <w:r>
        <w:rPr>
          <w:lang w:val="en_US" w:bidi="en_US"/>
        </w:rPr>
        <w:t>Take the money from this servant (NLT)</w:t>
      </w:r>
    </w:p>
    <w:p>
      <w:pPr/>
      <w:r>
        <w:rPr>
          <w:lang w:val="en_US" w:bidi="en_US"/>
        </w:rPr>
      </w:r>
      <w:r>
        <w:rPr>
          <w:b/>
          <w:lang w:val="en_US" w:bidi="en_US"/>
        </w:rPr>
        <w:t>and give it to the one who has ten minas:</w:t>
      </w:r>
      <w:r>
        <w:rPr>
          <w:lang w:val="en_US" w:bidi="en_US"/>
        </w:rPr>
        <w:t xml:space="preserve"> Here the king told the men to give the coin to the servant who earned ten coins (19:16). That servant would probably use it, along with the other ten coins, to make more money for the king.</w:t>
      </w:r>
    </w:p>
    <w:p>
      <w:pPr>
        <w:pStyle w:val="Heading6"/>
      </w:pPr>
      <w:r>
        <w:rPr>
          <w:b/>
          <w:lang w:val="en_US" w:bidi="en_US"/>
        </w:rPr>
        <w:t>General Comment on 19:24a–b</w:t>
      </w:r>
    </w:p>
    <w:p>
      <w:pPr/>
      <w:r>
        <w:rPr>
          <w:lang w:val="en_US" w:bidi="en_US"/>
        </w:rPr>
      </w:r>
      <w:r>
        <w:rPr>
          <w:lang w:val="en_US" w:bidi="en_US"/>
        </w:rPr>
        <w:t>In some languages it may be more natural to translate the command in this verse as indirect speech. For example:</w:t>
      </w:r>
    </w:p>
    <w:p>
      <w:pPr/>
      <w:r>
        <w:rPr>
          <w:lang w:val="en_US" w:bidi="en_US"/>
        </w:rPr>
      </w:r>
      <w:r>
        <w:rPr>
          <w:vertAlign w:val="superscript"/>
          <w:lang w:val="en_US" w:bidi="en_US"/>
        </w:rPr>
        <w:t>24a</w:t>
      </w:r>
      <w:r>
        <w:rPr>
          <w:lang w:val="en_US" w:bidi="en_US"/>
        </w:rPr>
        <w:t xml:space="preserve">Then he ordered his men </w:t>
      </w:r>
      <w:r>
        <w:rPr>
          <w:vertAlign w:val="superscript"/>
          <w:lang w:val="en_US" w:bidi="en_US"/>
        </w:rPr>
        <w:t>24b</w:t>
      </w:r>
      <w:r>
        <w:rPr>
          <w:lang w:val="en_US" w:bidi="en_US"/>
        </w:rPr>
        <w:t>to take the coin away from that servant and give it to the servant who had ten coins.</w:t>
      </w:r>
      <w:r>
        <w:rPr>
          <w:lang w:val="en_US" w:bidi="en_US"/>
        </w:rPr>
      </w:r>
      <w:r>
        <w:rPr>
          <w:lang w:val="en_US" w:bidi="en_US"/>
        </w:rPr>
      </w:r>
    </w:p>
    <w:p>
      <w:pPr/>
      <w:r>
        <w:rPr>
          <w:lang w:val="en_US" w:bidi="en_US"/>
        </w:rPr>
      </w:r>
    </w:p>
    <w:p>
      <w:pPr>
        <w:pStyle w:val="Heading2"/>
      </w:pPr>
      <w:r>
        <w:rPr>
          <w:lang w:val="en_US" w:bidi="en_US"/>
        </w:rPr>
        <w:t>Luke 19:25</w:t>
      </w:r>
      <w:r>
        <w:rPr>
          <w:lang w:val="en_US" w:bidi="en_US"/>
        </w:rPr>
      </w:r>
    </w:p>
    <w:p>
      <w:pPr>
        <w:pStyle w:val="Heading4"/>
      </w:pPr>
      <w:r>
        <w:rPr>
          <w:lang w:val="en_US" w:bidi="en_US"/>
        </w:rPr>
        <w:t>Section 19:11–27: Jesus told a parable about a king and his ten servants</w:t>
      </w:r>
    </w:p>
    <w:p>
      <w:pPr/>
      <w:r>
        <w:rPr>
          <w:lang w:val="en_US" w:bidi="en_US"/>
        </w:rPr>
      </w:r>
      <w:r>
        <w:rPr>
          <w:lang w:val="en_US" w:bidi="en_US"/>
        </w:rPr>
        <w:t>Many of Jesus’ followers expected that when they arrived in Jerusalem, Jesus would establish the kingdom of God and begin to reign as king. He told the parable in this section to help them understand that events would happen differently than they expected.</w:t>
      </w:r>
    </w:p>
    <w:p>
      <w:pPr/>
      <w:r>
        <w:rPr>
          <w:lang w:val="en_US" w:bidi="en_US"/>
        </w:rPr>
      </w:r>
      <w:r>
        <w:rPr>
          <w:lang w:val="en_US" w:bidi="en_US"/>
        </w:rPr>
        <w:t>There are two main ideas that Jesus taught through this parable:</w:t>
      </w:r>
    </w:p>
    <w:p>
      <w:pPr>
        <w:pStyle w:val="ListNumber"/>
        <w:numPr>
          <w:ilvl w:val="0"/>
          <w:numId w:val="325"/>
        </w:numPr>
        <w:spacing w:line="240" w:lineRule="auto"/>
        <w:ind w:left="720"/>
      </w:pPr>
      <w:r>
        <w:rPr>
          <w:lang w:val="en_US" w:bidi="en_US"/>
        </w:rPr>
      </w:r>
      <w:r>
        <w:rPr>
          <w:lang w:val="en_US" w:bidi="en_US"/>
        </w:rP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Pr>
          <w:lang w:val="en_US" w:bidi="en_US"/>
        </w:rPr>
      </w:r>
      <w:r>
        <w:rPr>
          <w:lang w:val="en_US" w:bidi="en_US"/>
        </w:rPr>
        <w:t>While Jesus is gone, his disciples must serve him faithfully and use whatever he has given them to glorify him.</w:t>
      </w:r>
    </w:p>
    <w:p>
      <w:pPr/>
      <w:r>
        <w:rPr>
          <w:lang w:val="en_US" w:bidi="en_US"/>
        </w:rPr>
      </w:r>
      <w:r>
        <w:rPr>
          <w:lang w:val="en_US" w:bidi="en_US"/>
        </w:rPr>
        <w:t>Other examples of headings for this section are:</w:t>
      </w:r>
    </w:p>
    <w:p>
      <w:pPr/>
      <w:r>
        <w:rPr>
          <w:lang w:val="en_US" w:bidi="en_US"/>
        </w:rPr>
      </w:r>
      <w:r>
        <w:rPr>
          <w:lang w:val="en_US" w:bidi="en_US"/>
        </w:rPr>
        <w:t>The Parable of the Gold Coins (GNT)</w:t>
      </w:r>
    </w:p>
    <w:p>
      <w:pPr/>
      <w:r>
        <w:rPr>
          <w:lang w:val="en_US" w:bidi="en_US"/>
        </w:rPr>
      </w:r>
      <w:r>
        <w:rPr>
          <w:lang w:val="en_US" w:bidi="en_US"/>
        </w:rPr>
        <w:t>Jesus told a parable about ten servants</w:t>
      </w:r>
    </w:p>
    <w:p>
      <w:pPr/>
      <w:r>
        <w:rPr>
          <w:lang w:val="en_US" w:bidi="en_US"/>
        </w:rPr>
      </w:r>
      <w:r>
        <w:rPr>
          <w:lang w:val="en_US" w:bidi="en_US"/>
        </w:rPr>
        <w:t>A parallel passage to this section is found in Matthew 25:14–30.</w:t>
      </w:r>
    </w:p>
    <w:p>
      <w:pPr>
        <w:pStyle w:val="Heading5"/>
      </w:pPr>
      <w:r>
        <w:rPr>
          <w:lang w:val="en_US" w:bidi="en_US"/>
        </w:rPr>
        <w:t>19:25</w:t>
      </w:r>
    </w:p>
    <w:p>
      <w:pPr/>
      <w:r>
        <w:rPr>
          <w:lang w:val="en_US" w:bidi="en_US"/>
        </w:rPr>
      </w:r>
      <w:r>
        <w:rPr>
          <w:b/>
          <w:lang w:val="en_US" w:bidi="en_US"/>
        </w:rPr>
        <w:t>‘Master,’ they said, ‘he already has ten!’</w:t>
      </w:r>
    </w:p>
    <w:p>
      <w:pPr>
        <w:pStyle w:val="ListBullet"/>
        <w:spacing w:line="240" w:lineRule="auto"/>
        <w:ind w:left="720"/>
      </w:pPr>
      <w:r>
        <w:rPr>
          <w:lang w:val="en_US" w:bidi="en_US"/>
        </w:rPr>
      </w:r>
      <w:r>
        <w:rPr>
          <w:lang w:val="en_US" w:bidi="en_US"/>
        </w:rPr>
        <w:t>They said, ‘</w:t>
      </w:r>
      <w:r>
        <w:rPr>
          <w:lang w:val="en_US" w:bidi="en_US"/>
        </w:rPr>
        <w:t>But</w:t>
      </w:r>
      <w:r>
        <w:rPr>
          <w:lang w:val="en_US" w:bidi="en_US"/>
        </w:rPr>
        <w:t xml:space="preserve"> Lord/King, he already has ten </w:t>
      </w:r>
      <w:r>
        <w:rPr>
          <w:lang w:val="en_US" w:bidi="en_US"/>
        </w:rPr>
        <w:t>coins</w:t>
      </w:r>
      <w:r>
        <w:rPr>
          <w:lang w:val="en_US" w:bidi="en_US"/>
        </w:rPr>
        <w:t>!’</w:t>
      </w:r>
    </w:p>
    <w:p>
      <w:pPr>
        <w:pStyle w:val="ListBullet"/>
        <w:spacing w:line="240" w:lineRule="auto"/>
        <w:ind w:left="720"/>
      </w:pPr>
      <w:r>
        <w:rPr>
          <w:lang w:val="en_US" w:bidi="en_US"/>
        </w:rPr>
      </w:r>
      <w:r>
        <w:rPr>
          <w:lang w:val="en_US" w:bidi="en_US"/>
        </w:rPr>
        <w:t>But</w:t>
      </w:r>
      <w:r>
        <w:rPr>
          <w:lang w:val="en_US" w:bidi="en_US"/>
        </w:rPr>
        <w:t xml:space="preserve"> the others objected/protested, ‘Master, </w:t>
      </w:r>
      <w:r>
        <w:rPr>
          <w:lang w:val="en_US" w:bidi="en_US"/>
        </w:rPr>
        <w:t>why do this?</w:t>
      </w:r>
      <w:r>
        <w:rPr>
          <w:lang w:val="en_US" w:bidi="en_US"/>
        </w:rPr>
        <w:t xml:space="preserve"> That servant has already gained ten times as much!’</w:t>
      </w:r>
    </w:p>
    <w:p>
      <w:pPr/>
      <w:r>
        <w:rPr>
          <w:lang w:val="en_US" w:bidi="en_US"/>
        </w:rPr>
      </w:r>
      <w:r>
        <w:rPr>
          <w:lang w:val="en_US" w:bidi="en_US"/>
        </w:rPr>
        <w:t>In this verse</w:t>
      </w:r>
      <w:r>
        <w:rPr>
          <w:lang w:val="en_US" w:bidi="en_US"/>
        </w:rPr>
        <w:t>A few Greek manuscripts omit this verse, but the UBS committee includes it with a high degree of certainty.</w:t>
      </w:r>
      <w:r>
        <w:rPr>
          <w:lang w:val="en_US" w:bidi="en_US"/>
        </w:rPr>
        <w:t xml:space="preserve"> people objected to what the king commanded in 19:24. There is a conjunction at the beginning of this verse that many English versions translate as “But.” Other versions do not translate this conjunction but indicate that the verse is an interruption by using parentheses. Express the objection in a natural way in your language.</w:t>
      </w:r>
    </w:p>
    <w:p>
      <w:pPr/>
      <w:r>
        <w:rPr>
          <w:lang w:val="en_US" w:bidi="en_US"/>
        </w:rPr>
      </w:r>
      <w:r>
        <w:rPr>
          <w:b/>
          <w:lang w:val="en_US" w:bidi="en_US"/>
        </w:rPr>
        <w:t>Master:</w:t>
      </w:r>
      <w:r>
        <w:rPr>
          <w:lang w:val="en_US" w:bidi="en_US"/>
        </w:rPr>
        <w:t xml:space="preserve"> The Greek title that the BSB translates as </w:t>
      </w:r>
      <w:r>
        <w:rPr>
          <w:i/>
          <w:lang w:val="en_US" w:bidi="en_US"/>
        </w:rPr>
        <w:t>Master</w:t>
      </w:r>
      <w:r>
        <w:rPr>
          <w:lang w:val="en_US" w:bidi="en_US"/>
        </w:rPr>
        <w:t xml:space="preserve"> is the same word that was used in 19:16 and 19:20. It is used to address the king. See the note on 19:16b for translation suggestions.</w:t>
      </w:r>
    </w:p>
    <w:p>
      <w:pPr/>
      <w:r>
        <w:rPr>
          <w:lang w:val="en_US" w:bidi="en_US"/>
        </w:rPr>
      </w:r>
      <w:r>
        <w:rPr>
          <w:b/>
          <w:lang w:val="en_US" w:bidi="en_US"/>
        </w:rPr>
        <w:t>they said:</w:t>
      </w:r>
      <w:r>
        <w:rPr>
          <w:lang w:val="en_US" w:bidi="en_US"/>
        </w:rPr>
        <w:t xml:space="preserve"> The Greek phrase that the BSB translates as </w:t>
      </w:r>
      <w:r>
        <w:rPr>
          <w:i/>
          <w:lang w:val="en_US" w:bidi="en_US"/>
        </w:rPr>
        <w:t>they said</w:t>
      </w:r>
      <w:r>
        <w:rPr>
          <w:lang w:val="en_US" w:bidi="en_US"/>
        </w:rPr>
        <w:t xml:space="preserve"> is literally “And they said to him.” The RSV and several other English versions translate it that way. In Greek it comes at the beginning of the verse. Place it where it is natural in your language.</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king’s other servants, whom he had spoken to in 19:24a.</w:t>
      </w:r>
      <w:r>
        <w:rPr>
          <w:lang w:val="en_US" w:bidi="en_US"/>
        </w:rPr>
        <w:t xml:space="preserve">This view is followed by most Bible scholars. Some scholars believe that </w:t>
      </w:r>
      <w:r>
        <w:rPr>
          <w:i/>
          <w:lang w:val="en_US" w:bidi="en_US"/>
        </w:rPr>
        <w:t>they</w:t>
      </w:r>
      <w:r>
        <w:rPr>
          <w:lang w:val="en_US" w:bidi="en_US"/>
        </w:rPr>
        <w:t xml:space="preserve"> refers to Jesus’ audience, both here and in 19:26.</w:t>
      </w:r>
    </w:p>
    <w:p>
      <w:pPr/>
      <w:r>
        <w:rPr>
          <w:lang w:val="en_US" w:bidi="en_US"/>
        </w:rPr>
      </w:r>
      <w:r>
        <w:rPr>
          <w:b/>
          <w:lang w:val="en_US" w:bidi="en_US"/>
        </w:rPr>
        <w:t>he already has ten:</w:t>
      </w:r>
      <w:r>
        <w:rPr>
          <w:lang w:val="en_US" w:bidi="en_US"/>
        </w:rPr>
        <w:t xml:space="preserve"> This is a protest. The servants politely suggested that what the king wanted to do was not fair. Some English versions, such as the BSB, indicate this by supplying a word such as </w:t>
      </w:r>
      <w:r>
        <w:rPr>
          <w:i/>
          <w:lang w:val="en_US" w:bidi="en_US"/>
        </w:rPr>
        <w:t>already</w:t>
      </w:r>
      <w:r>
        <w:rPr>
          <w:lang w:val="en_US" w:bidi="en_US"/>
        </w:rPr>
        <w:t>. Some ways to translate this are:</w:t>
      </w:r>
    </w:p>
    <w:p>
      <w:pPr/>
      <w:r>
        <w:rPr>
          <w:lang w:val="en_US" w:bidi="en_US"/>
        </w:rPr>
      </w:r>
      <w:r>
        <w:rPr>
          <w:lang w:val="en_US" w:bidi="en_US"/>
        </w:rPr>
        <w:t>that servant has enough already (NLT96)</w:t>
      </w:r>
    </w:p>
    <w:p>
      <w:pPr/>
      <w:r>
        <w:rPr>
          <w:lang w:val="en_US" w:bidi="en_US"/>
        </w:rPr>
      </w:r>
      <w:r>
        <w:rPr>
          <w:lang w:val="en_US" w:bidi="en_US"/>
        </w:rPr>
        <w:t>he has ten minas already (NASB)</w:t>
      </w:r>
    </w:p>
    <w:p>
      <w:pPr/>
      <w:r>
        <w:rPr>
          <w:lang w:val="en_US" w:bidi="en_US"/>
        </w:rPr>
      </w:r>
      <w:r>
        <w:rPr>
          <w:lang w:val="en_US" w:bidi="en_US"/>
        </w:rPr>
        <w:t>But, sir, he has ten pounds (NJB)</w:t>
      </w:r>
    </w:p>
    <w:p>
      <w:pPr/>
      <w:r>
        <w:rPr>
          <w:lang w:val="en_US" w:bidi="en_US"/>
        </w:rPr>
      </w:r>
      <w:r>
        <w:rPr>
          <w:lang w:val="en_US" w:bidi="en_US"/>
        </w:rPr>
        <w:t>Use a natural way in your language to imply that the servants thought that the one who had ten coins did not need more.</w:t>
      </w:r>
      <w:r>
        <w:rPr>
          <w:lang w:val="en_US" w:bidi="en_US"/>
        </w:rPr>
      </w:r>
      <w:r>
        <w:rPr>
          <w:lang w:val="en_US" w:bidi="en_US"/>
        </w:rPr>
      </w:r>
    </w:p>
    <w:p>
      <w:pPr/>
      <w:r>
        <w:rPr>
          <w:lang w:val="en_US" w:bidi="en_US"/>
        </w:rPr>
      </w:r>
    </w:p>
    <w:p>
      <w:pPr>
        <w:pStyle w:val="Heading2"/>
      </w:pPr>
      <w:r>
        <w:rPr>
          <w:lang w:val="en_US" w:bidi="en_US"/>
        </w:rPr>
        <w:t>Luke 19:26</w:t>
      </w:r>
      <w:r>
        <w:rPr>
          <w:lang w:val="en_US" w:bidi="en_US"/>
        </w:rPr>
      </w:r>
    </w:p>
    <w:p>
      <w:pPr>
        <w:pStyle w:val="Heading4"/>
      </w:pPr>
      <w:r>
        <w:rPr>
          <w:lang w:val="en_US" w:bidi="en_US"/>
        </w:rPr>
        <w:t>Section 19:11–27: Jesus told a parable about a king and his ten servants</w:t>
      </w:r>
    </w:p>
    <w:p>
      <w:pPr/>
      <w:r>
        <w:rPr>
          <w:lang w:val="en_US" w:bidi="en_US"/>
        </w:rPr>
      </w:r>
      <w:r>
        <w:rPr>
          <w:lang w:val="en_US" w:bidi="en_US"/>
        </w:rPr>
        <w:t>Many of Jesus’ followers expected that when they arrived in Jerusalem, Jesus would establish the kingdom of God and begin to reign as king. He told the parable in this section to help them understand that events would happen differently than they expected.</w:t>
      </w:r>
    </w:p>
    <w:p>
      <w:pPr/>
      <w:r>
        <w:rPr>
          <w:lang w:val="en_US" w:bidi="en_US"/>
        </w:rPr>
      </w:r>
      <w:r>
        <w:rPr>
          <w:lang w:val="en_US" w:bidi="en_US"/>
        </w:rPr>
        <w:t>There are two main ideas that Jesus taught through this parable:</w:t>
      </w:r>
    </w:p>
    <w:p>
      <w:pPr>
        <w:pStyle w:val="ListNumber"/>
        <w:numPr>
          <w:ilvl w:val="0"/>
          <w:numId w:val="326"/>
        </w:numPr>
        <w:spacing w:line="240" w:lineRule="auto"/>
        <w:ind w:left="720"/>
      </w:pPr>
      <w:r>
        <w:rPr>
          <w:lang w:val="en_US" w:bidi="en_US"/>
        </w:rPr>
      </w:r>
      <w:r>
        <w:rPr>
          <w:lang w:val="en_US" w:bidi="en_US"/>
        </w:rP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Pr>
          <w:lang w:val="en_US" w:bidi="en_US"/>
        </w:rPr>
      </w:r>
      <w:r>
        <w:rPr>
          <w:lang w:val="en_US" w:bidi="en_US"/>
        </w:rPr>
        <w:t>While Jesus is gone, his disciples must serve him faithfully and use whatever he has given them to glorify him.</w:t>
      </w:r>
    </w:p>
    <w:p>
      <w:pPr/>
      <w:r>
        <w:rPr>
          <w:lang w:val="en_US" w:bidi="en_US"/>
        </w:rPr>
      </w:r>
      <w:r>
        <w:rPr>
          <w:lang w:val="en_US" w:bidi="en_US"/>
        </w:rPr>
        <w:t>Other examples of headings for this section are:</w:t>
      </w:r>
    </w:p>
    <w:p>
      <w:pPr/>
      <w:r>
        <w:rPr>
          <w:lang w:val="en_US" w:bidi="en_US"/>
        </w:rPr>
      </w:r>
      <w:r>
        <w:rPr>
          <w:lang w:val="en_US" w:bidi="en_US"/>
        </w:rPr>
        <w:t>The Parable of the Gold Coins (GNT)</w:t>
      </w:r>
    </w:p>
    <w:p>
      <w:pPr/>
      <w:r>
        <w:rPr>
          <w:lang w:val="en_US" w:bidi="en_US"/>
        </w:rPr>
      </w:r>
      <w:r>
        <w:rPr>
          <w:lang w:val="en_US" w:bidi="en_US"/>
        </w:rPr>
        <w:t>Jesus told a parable about ten servants</w:t>
      </w:r>
    </w:p>
    <w:p>
      <w:pPr/>
      <w:r>
        <w:rPr>
          <w:lang w:val="en_US" w:bidi="en_US"/>
        </w:rPr>
      </w:r>
      <w:r>
        <w:rPr>
          <w:lang w:val="en_US" w:bidi="en_US"/>
        </w:rPr>
        <w:t>A parallel passage to this section is found in Matthew 25:14–30.</w:t>
      </w:r>
    </w:p>
    <w:p>
      <w:pPr>
        <w:pStyle w:val="Heading5"/>
      </w:pPr>
      <w:r>
        <w:rPr>
          <w:lang w:val="en_US" w:bidi="en_US"/>
        </w:rPr>
        <w:t>19:26</w:t>
      </w:r>
    </w:p>
    <w:p>
      <w:pPr/>
      <w:r>
        <w:rPr>
          <w:lang w:val="en_US" w:bidi="en_US"/>
        </w:rPr>
      </w:r>
      <w:r>
        <w:rPr>
          <w:lang w:val="en_US" w:bidi="en_US"/>
        </w:rPr>
        <w:t>This verse is very similar to 8:18. There are also similar verses in Matthew 13:12 and 25:29 and Mark 4:25. The saying in these verses was a proverb that could be used in different ways in different contexts.</w:t>
      </w:r>
      <w:r>
        <w:rPr>
          <w:lang w:val="en_US" w:bidi="en_US"/>
        </w:rPr>
        <w:t>In Mark 4:25 Jesus applied this proverb to the way people hear the word of God. If they listen well and receive truth, they will continue to receive more. It they do not listen, they will lose even what they think they understand. About the meaning of the saying here in Luke 19, Hultgren (p. 289) says, “The parable sets forth the view that, in the end, all the disciples of Jesus are accountable to him. To each has been given a gift for creative and vigorous use until Jesus comes again. The command to do business with those gifts…is not to be taken lightly.” Green (p. 680) says, “Those who hear and heed the instructions of the master will receive more, while those who hear but do not heed will lose what little they have.”</w:t>
      </w:r>
    </w:p>
    <w:p>
      <w:pPr>
        <w:pStyle w:val="Heading5"/>
      </w:pPr>
      <w:r>
        <w:rPr>
          <w:lang w:val="en_US" w:bidi="en_US"/>
        </w:rPr>
        <w:t>19:26a</w:t>
      </w:r>
    </w:p>
    <w:p>
      <w:pPr/>
      <w:r>
        <w:rPr>
          <w:lang w:val="en_US" w:bidi="en_US"/>
        </w:rPr>
      </w:r>
      <w:r>
        <w:rPr>
          <w:b/>
          <w:lang w:val="en_US" w:bidi="en_US"/>
        </w:rPr>
        <w:t>He replied, ‘I tell you that</w:t>
      </w:r>
    </w:p>
    <w:p>
      <w:pPr>
        <w:pStyle w:val="ListBullet"/>
        <w:spacing w:line="240" w:lineRule="auto"/>
        <w:ind w:left="720"/>
      </w:pPr>
      <w:r>
        <w:rPr>
          <w:lang w:val="en_US" w:bidi="en_US"/>
        </w:rPr>
      </w:r>
      <w:r>
        <w:rPr>
          <w:lang w:val="en_US" w:bidi="en_US"/>
        </w:rPr>
        <w:t>The king replied, ‘Listen</w:t>
      </w:r>
      <w:r>
        <w:rPr>
          <w:vertAlign w:val="superscript"/>
          <w:lang w:val="en_US" w:bidi="en_US"/>
        </w:rPr>
        <w:t>(plur)</w:t>
      </w:r>
      <w:r>
        <w:rPr>
          <w:lang w:val="en_US" w:bidi="en_US"/>
        </w:rPr>
        <w:t xml:space="preserve"> to this:</w:t>
      </w:r>
    </w:p>
    <w:p>
      <w:pPr>
        <w:pStyle w:val="ListBullet"/>
        <w:spacing w:line="240" w:lineRule="auto"/>
        <w:ind w:left="720"/>
      </w:pPr>
      <w:r>
        <w:rPr>
          <w:lang w:val="en_US" w:bidi="en_US"/>
        </w:rPr>
      </w:r>
      <w:r>
        <w:rPr>
          <w:lang w:val="en_US" w:bidi="en_US"/>
        </w:rPr>
        <w:t>The master replied: ‘I assure you</w:t>
      </w:r>
      <w:r>
        <w:rPr>
          <w:vertAlign w:val="superscript"/>
          <w:lang w:val="en_US" w:bidi="en_US"/>
        </w:rPr>
        <w:t>(plur)</w:t>
      </w:r>
      <w:r>
        <w:rPr>
          <w:lang w:val="en_US" w:bidi="en_US"/>
        </w:rPr>
        <w:t xml:space="preserve"> that</w:t>
      </w:r>
    </w:p>
    <w:p>
      <w:pPr/>
      <w:r>
        <w:rPr>
          <w:lang w:val="en_US" w:bidi="en_US"/>
        </w:rPr>
      </w:r>
      <w:r>
        <w:rPr>
          <w:b/>
          <w:lang w:val="en_US" w:bidi="en_US"/>
        </w:rPr>
        <w:t>He replied:</w:t>
      </w:r>
      <w:r>
        <w:rPr>
          <w:lang w:val="en_US" w:bidi="en_US"/>
        </w:rPr>
        <w:t xml:space="preserve"> The BSB has supplied the phrase </w:t>
      </w:r>
      <w:r>
        <w:rPr>
          <w:i/>
          <w:lang w:val="en_US" w:bidi="en_US"/>
        </w:rPr>
        <w:t>He replied</w:t>
      </w:r>
      <w:r>
        <w:rPr>
          <w:lang w:val="en_US" w:bidi="en_US"/>
        </w:rPr>
        <w:t xml:space="preserve"> to make it clear that the king was speaking again to the servants standing around him.</w:t>
      </w:r>
    </w:p>
    <w:p>
      <w:pPr/>
      <w:r>
        <w:rPr>
          <w:lang w:val="en_US" w:bidi="en_US"/>
        </w:rPr>
      </w:r>
      <w:r>
        <w:rPr>
          <w:b/>
          <w:lang w:val="en_US" w:bidi="en_US"/>
        </w:rPr>
        <w:t>I tell you that:</w:t>
      </w:r>
      <w:r>
        <w:rPr>
          <w:lang w:val="en_US" w:bidi="en_US"/>
        </w:rPr>
        <w:t xml:space="preserve"> The king used the words </w:t>
      </w:r>
      <w:r>
        <w:rPr>
          <w:i/>
          <w:lang w:val="en_US" w:bidi="en_US"/>
        </w:rPr>
        <w:t>I tell you</w:t>
      </w:r>
      <w:r>
        <w:rPr>
          <w:lang w:val="en_US" w:bidi="en_US"/>
        </w:rPr>
        <w:t xml:space="preserve"> to introduce a statement that he wanted to emphasize. It indicates that the statement was important and that people should listen carefully to it. Some other ways to show this emphasis are:</w:t>
      </w:r>
    </w:p>
    <w:p>
      <w:pPr/>
      <w:r>
        <w:rPr>
          <w:lang w:val="en_US" w:bidi="en_US"/>
        </w:rPr>
      </w:r>
      <w:r>
        <w:rPr>
          <w:lang w:val="en_US" w:bidi="en_US"/>
        </w:rPr>
        <w:t>Listen to this</w:t>
      </w:r>
    </w:p>
    <w:p>
      <w:pPr/>
      <w:r>
        <w:rPr>
          <w:lang w:val="en_US" w:bidi="en_US"/>
        </w:rPr>
      </w:r>
      <w:r>
        <w:rPr>
          <w:lang w:val="en_US" w:bidi="en_US"/>
        </w:rPr>
        <w:t>I can guarantee that (GW)</w:t>
      </w:r>
    </w:p>
    <w:p>
      <w:pPr/>
      <w:r>
        <w:rPr>
          <w:lang w:val="en_US" w:bidi="en_US"/>
        </w:rPr>
      </w:r>
      <w:r>
        <w:rPr>
          <w:lang w:val="en_US" w:bidi="en_US"/>
        </w:rPr>
        <w:t>I assure you</w:t>
      </w:r>
    </w:p>
    <w:p>
      <w:pPr/>
      <w:r>
        <w:rPr>
          <w:lang w:val="en_US" w:bidi="en_US"/>
        </w:rPr>
      </w:r>
      <w:r>
        <w:rPr>
          <w:lang w:val="en_US" w:bidi="en_US"/>
        </w:rPr>
        <w:t>In some languages it may be more natural to use an emphatic word within Jesus’ statement. For example:</w:t>
      </w:r>
    </w:p>
    <w:p>
      <w:pPr/>
      <w:r>
        <w:rPr>
          <w:lang w:val="en_US" w:bidi="en_US"/>
        </w:rPr>
      </w:r>
      <w:r>
        <w:rPr>
          <w:lang w:val="en_US" w:bidi="en_US"/>
        </w:rPr>
        <w:t xml:space="preserve">to everyone who has, more will </w:t>
      </w:r>
      <w:r>
        <w:rPr>
          <w:u w:val="single"/>
          <w:lang w:val="en_US" w:bidi="en_US"/>
        </w:rPr>
        <w:t>certainly</w:t>
      </w:r>
      <w:r>
        <w:rPr>
          <w:lang w:val="en_US" w:bidi="en_US"/>
        </w:rPr>
        <w:t xml:space="preserve"> be given</w:t>
      </w:r>
    </w:p>
    <w:p>
      <w:pPr/>
      <w:r>
        <w:rPr>
          <w:lang w:val="en_US" w:bidi="en_US"/>
        </w:rPr>
      </w:r>
      <w:r>
        <w:rPr>
          <w:lang w:val="en_US" w:bidi="en_US"/>
        </w:rPr>
        <w:t>Emphasize this important statement in a natural way in your language.</w:t>
      </w:r>
    </w:p>
    <w:p>
      <w:pPr>
        <w:pStyle w:val="Heading5"/>
      </w:pPr>
      <w:r>
        <w:rPr>
          <w:lang w:val="en_US" w:bidi="en_US"/>
        </w:rPr>
        <w:t>19:26b</w:t>
      </w:r>
    </w:p>
    <w:p>
      <w:pPr/>
      <w:r>
        <w:rPr>
          <w:lang w:val="en_US" w:bidi="en_US"/>
        </w:rPr>
      </w:r>
      <w:r>
        <w:rPr>
          <w:b/>
          <w:lang w:val="en_US" w:bidi="en_US"/>
        </w:rPr>
        <w:t>everyone who has will be given more;</w:t>
      </w:r>
    </w:p>
    <w:p>
      <w:pPr>
        <w:pStyle w:val="ListBullet"/>
        <w:spacing w:line="240" w:lineRule="auto"/>
        <w:ind w:left="720"/>
      </w:pPr>
      <w:r>
        <w:rPr>
          <w:lang w:val="en_US" w:bidi="en_US"/>
        </w:rPr>
      </w:r>
      <w:r>
        <w:rPr>
          <w:lang w:val="en_US" w:bidi="en_US"/>
        </w:rPr>
        <w:t>Everyone who has/</w:t>
      </w:r>
      <w:r>
        <w:rPr>
          <w:lang w:val="en_US" w:bidi="en_US"/>
        </w:rPr>
        <w:t>gains</w:t>
      </w:r>
      <w:r>
        <w:rPr>
          <w:lang w:val="en_US" w:bidi="en_US"/>
        </w:rPr>
        <w:t xml:space="preserve"> </w:t>
      </w:r>
      <w:r>
        <w:rPr>
          <w:lang w:val="en_US" w:bidi="en_US"/>
        </w:rPr>
        <w:t>good things/results</w:t>
      </w:r>
      <w:r>
        <w:rPr>
          <w:lang w:val="en_US" w:bidi="en_US"/>
        </w:rPr>
        <w:t xml:space="preserve"> will be given more.</w:t>
      </w:r>
    </w:p>
    <w:p>
      <w:pPr>
        <w:pStyle w:val="ListBullet"/>
        <w:spacing w:line="240" w:lineRule="auto"/>
        <w:ind w:left="720"/>
      </w:pPr>
      <w:r>
        <w:rPr>
          <w:lang w:val="en_US" w:bidi="en_US"/>
        </w:rPr>
      </w:r>
      <w:r>
        <w:rPr>
          <w:lang w:val="en_US" w:bidi="en_US"/>
        </w:rPr>
        <w:t xml:space="preserve">a person who </w:t>
      </w:r>
      <w:r>
        <w:rPr>
          <w:lang w:val="en_US" w:bidi="en_US"/>
        </w:rPr>
        <w:t>truly</w:t>
      </w:r>
      <w:r>
        <w:rPr>
          <w:lang w:val="en_US" w:bidi="en_US"/>
        </w:rPr>
        <w:t xml:space="preserve"> has </w:t>
      </w:r>
      <w:r>
        <w:rPr>
          <w:lang w:val="en_US" w:bidi="en_US"/>
        </w:rPr>
        <w:t>something</w:t>
      </w:r>
      <w:r>
        <w:rPr>
          <w:lang w:val="en_US" w:bidi="en_US"/>
        </w:rPr>
        <w:t xml:space="preserve"> will receive </w:t>
      </w:r>
      <w:r>
        <w:rPr>
          <w:lang w:val="en_US" w:bidi="en_US"/>
        </w:rPr>
        <w:t>even</w:t>
      </w:r>
      <w:r>
        <w:rPr>
          <w:lang w:val="en_US" w:bidi="en_US"/>
        </w:rPr>
        <w:t xml:space="preserve"> more.</w:t>
      </w:r>
    </w:p>
    <w:p>
      <w:pPr>
        <w:pStyle w:val="ListBullet"/>
        <w:spacing w:line="240" w:lineRule="auto"/>
        <w:ind w:left="720"/>
      </w:pPr>
      <w:r>
        <w:rPr>
          <w:lang w:val="en_US" w:bidi="en_US"/>
        </w:rPr>
      </w:r>
      <w:r>
        <w:rPr>
          <w:lang w:val="en_US" w:bidi="en_US"/>
        </w:rPr>
        <w:t>God</w:t>
      </w:r>
      <w:r>
        <w:rPr>
          <w:lang w:val="en_US" w:bidi="en_US"/>
        </w:rPr>
        <w:t xml:space="preserve"> will give more to people who </w:t>
      </w:r>
      <w:r>
        <w:rPr>
          <w:lang w:val="en_US" w:bidi="en_US"/>
        </w:rPr>
        <w:t>are faithful with the things they</w:t>
      </w:r>
      <w:r>
        <w:rPr>
          <w:lang w:val="en_US" w:bidi="en_US"/>
        </w:rPr>
        <w:t xml:space="preserve"> have.</w:t>
      </w:r>
    </w:p>
    <w:p>
      <w:pPr/>
      <w:r>
        <w:rPr>
          <w:lang w:val="en_US" w:bidi="en_US"/>
        </w:rPr>
      </w:r>
      <w:r>
        <w:rPr>
          <w:b/>
          <w:lang w:val="en_US" w:bidi="en_US"/>
        </w:rPr>
        <w:t>everyone who has will be given more:</w:t>
      </w:r>
      <w:r>
        <w:rPr>
          <w:lang w:val="en_US" w:bidi="en_US"/>
        </w:rPr>
        <w:t xml:space="preserve"> In the context the phrase </w:t>
      </w:r>
      <w:r>
        <w:rPr>
          <w:i/>
          <w:lang w:val="en_US" w:bidi="en_US"/>
        </w:rPr>
        <w:t>everyone who has</w:t>
      </w:r>
      <w:r>
        <w:rPr>
          <w:lang w:val="en_US" w:bidi="en_US"/>
        </w:rPr>
        <w:t xml:space="preserve"> refers to people who have profit or good results from what they have done. In this context it refers to the servants who had used their coin and fulfilled their responsibility to their master. They were rewarded with more responsibility.</w:t>
      </w:r>
    </w:p>
    <w:p>
      <w:pPr/>
      <w:r>
        <w:rPr>
          <w:lang w:val="en_US" w:bidi="en_US"/>
        </w:rPr>
      </w:r>
      <w:r>
        <w:rPr>
          <w:lang w:val="en_US" w:bidi="en_US"/>
        </w:rPr>
        <w:t>Some other ways to translate this proverb are:</w:t>
      </w:r>
    </w:p>
    <w:p>
      <w:pPr/>
      <w:r>
        <w:rPr>
          <w:lang w:val="en_US" w:bidi="en_US"/>
        </w:rPr>
      </w:r>
      <w:r>
        <w:rPr>
          <w:lang w:val="en_US" w:bidi="en_US"/>
        </w:rPr>
        <w:t>to those who use well what they are given, even more will be given (NLT)</w:t>
      </w:r>
    </w:p>
    <w:p>
      <w:pPr/>
      <w:r>
        <w:rPr>
          <w:lang w:val="en_US" w:bidi="en_US"/>
        </w:rPr>
      </w:r>
      <w:r>
        <w:rPr>
          <w:lang w:val="en_US" w:bidi="en_US"/>
        </w:rPr>
        <w:t xml:space="preserve">When people have/gain </w:t>
      </w:r>
      <w:r>
        <w:rPr>
          <w:lang w:val="en_US" w:bidi="en_US"/>
        </w:rPr>
        <w:t>good results</w:t>
      </w:r>
      <w:r>
        <w:rPr>
          <w:lang w:val="en_US" w:bidi="en_US"/>
        </w:rPr>
        <w:t xml:space="preserve"> </w:t>
      </w:r>
      <w:r>
        <w:rPr>
          <w:lang w:val="en_US" w:bidi="en_US"/>
        </w:rPr>
        <w:t>with what they receive</w:t>
      </w:r>
      <w:r>
        <w:rPr>
          <w:lang w:val="en_US" w:bidi="en_US"/>
        </w:rPr>
        <w:t>, they will receive more</w:t>
      </w:r>
    </w:p>
    <w:p>
      <w:pPr/>
      <w:r>
        <w:rPr>
          <w:lang w:val="en_US" w:bidi="en_US"/>
        </w:rPr>
      </w:r>
      <w:r>
        <w:rPr>
          <w:lang w:val="en_US" w:bidi="en_US"/>
        </w:rPr>
        <w:t xml:space="preserve">If a person </w:t>
      </w:r>
      <w:r>
        <w:rPr>
          <w:lang w:val="en_US" w:bidi="en_US"/>
        </w:rPr>
        <w:t>really</w:t>
      </w:r>
      <w:r>
        <w:rPr>
          <w:lang w:val="en_US" w:bidi="en_US"/>
        </w:rPr>
        <w:t xml:space="preserve"> has </w:t>
      </w:r>
      <w:r>
        <w:rPr>
          <w:lang w:val="en_US" w:bidi="en_US"/>
        </w:rPr>
        <w:t>something</w:t>
      </w:r>
      <w:r>
        <w:rPr>
          <w:lang w:val="en_US" w:bidi="en_US"/>
        </w:rPr>
        <w:t>, he will be given more</w:t>
      </w:r>
    </w:p>
    <w:p>
      <w:pPr/>
      <w:r>
        <w:rPr>
          <w:lang w:val="en_US" w:bidi="en_US"/>
        </w:rPr>
      </w:r>
      <w:r>
        <w:rPr>
          <w:b/>
          <w:lang w:val="en_US" w:bidi="en_US"/>
        </w:rPr>
        <w:t>will be given more:</w:t>
      </w:r>
      <w:r>
        <w:rPr>
          <w:lang w:val="en_US" w:bidi="en_US"/>
        </w:rPr>
        <w:t xml:space="preserve"> The Greek verb that the BSB translates as </w:t>
      </w:r>
      <w:r>
        <w:rPr>
          <w:i/>
          <w:lang w:val="en_US" w:bidi="en_US"/>
        </w:rPr>
        <w:t>will be given more</w:t>
      </w:r>
      <w:r>
        <w:rPr>
          <w:lang w:val="en_US" w:bidi="en_US"/>
        </w:rPr>
        <w:t xml:space="preserve"> is passive. The BSB supplies the word </w:t>
      </w:r>
      <w:r>
        <w:rPr>
          <w:i/>
          <w:lang w:val="en_US" w:bidi="en_US"/>
        </w:rPr>
        <w:t>more</w:t>
      </w:r>
      <w:r>
        <w:rPr>
          <w:lang w:val="en_US" w:bidi="en_US"/>
        </w:rPr>
        <w:t xml:space="preserve"> because it is implied in this context. It will be given to “everyone who has,” as in the previous clause. Some other ways to translate </w:t>
      </w:r>
      <w:r>
        <w:rPr>
          <w:i/>
          <w:lang w:val="en_US" w:bidi="en_US"/>
        </w:rPr>
        <w:t>will be given more</w:t>
      </w:r>
      <w:r>
        <w:rPr>
          <w:lang w:val="en_US" w:bidi="en_US"/>
        </w:rPr>
        <w:t xml:space="preserve"> are:</w:t>
      </w:r>
    </w:p>
    <w:p>
      <w:pPr>
        <w:pStyle w:val="ListBullet"/>
        <w:spacing w:line="240" w:lineRule="auto"/>
        <w:ind w:left="720"/>
      </w:pPr>
      <w:r>
        <w:rPr>
          <w:lang w:val="en_US" w:bidi="en_US"/>
        </w:rPr>
      </w:r>
      <w:r>
        <w:rPr>
          <w:lang w:val="en_US" w:bidi="en_US"/>
        </w:rPr>
        <w:t>As a passive clause. For example:</w:t>
      </w:r>
      <w:r>
        <w:rPr>
          <w:lang w:val="en_US" w:bidi="en_US"/>
        </w:rPr>
        <w:t xml:space="preserve">more will be given </w:t>
      </w:r>
      <w:r>
        <w:rPr>
          <w:lang w:val="en_US" w:bidi="en_US"/>
        </w:rPr>
        <w:t>to them</w:t>
      </w:r>
    </w:p>
    <w:p>
      <w:pPr>
        <w:pStyle w:val="ListBullet"/>
        <w:spacing w:line="240" w:lineRule="auto"/>
        <w:ind w:left="720"/>
      </w:pPr>
      <w:r>
        <w:rPr>
          <w:lang w:val="en_US" w:bidi="en_US"/>
        </w:rPr>
      </w:r>
      <w:r>
        <w:rPr>
          <w:lang w:val="en_US" w:bidi="en_US"/>
        </w:rPr>
        <w:t>As an active clause that uses a different verb. For example:</w:t>
      </w:r>
      <w:r>
        <w:rPr>
          <w:lang w:val="en_US" w:bidi="en_US"/>
        </w:rPr>
        <w:t>they will receive/get more</w:t>
      </w:r>
    </w:p>
    <w:p>
      <w:pPr>
        <w:pStyle w:val="ListBullet"/>
        <w:spacing w:line="240" w:lineRule="auto"/>
        <w:ind w:left="720"/>
      </w:pPr>
      <w:r>
        <w:rPr>
          <w:lang w:val="en_US" w:bidi="en_US"/>
        </w:rPr>
      </w:r>
      <w:r>
        <w:rPr>
          <w:lang w:val="en_US" w:bidi="en_US"/>
        </w:rPr>
        <w:t>As an active clause that supplies a subject. This subject should probably be God. For example:</w:t>
      </w:r>
      <w:r>
        <w:rPr>
          <w:lang w:val="en_US" w:bidi="en_US"/>
        </w:rPr>
        <w:t>God</w:t>
      </w:r>
      <w:r>
        <w:rPr>
          <w:lang w:val="en_US" w:bidi="en_US"/>
        </w:rPr>
        <w:t xml:space="preserve"> will give them more</w:t>
      </w:r>
      <w:r>
        <w:rPr>
          <w:lang w:val="en_US" w:bidi="en_US"/>
        </w:rPr>
        <w:t>God</w:t>
      </w:r>
      <w:r>
        <w:rPr>
          <w:lang w:val="en_US" w:bidi="en_US"/>
        </w:rPr>
        <w:t xml:space="preserve"> will cause them to have/get more</w:t>
      </w:r>
    </w:p>
    <w:p>
      <w:pPr>
        <w:pStyle w:val="Heading5"/>
      </w:pPr>
      <w:r>
        <w:rPr>
          <w:lang w:val="en_US" w:bidi="en_US"/>
        </w:rPr>
        <w:t>19:26c</w:t>
      </w:r>
    </w:p>
    <w:p>
      <w:pPr/>
      <w:r>
        <w:rPr>
          <w:lang w:val="en_US" w:bidi="en_US"/>
        </w:rPr>
      </w:r>
      <w:r>
        <w:rPr>
          <w:b/>
          <w:lang w:val="en_US" w:bidi="en_US"/>
        </w:rPr>
        <w:t>but the one who does not have,</w:t>
      </w:r>
    </w:p>
    <w:p>
      <w:pPr>
        <w:pStyle w:val="ListBullet"/>
        <w:spacing w:line="240" w:lineRule="auto"/>
        <w:ind w:left="720"/>
      </w:pPr>
      <w:r>
        <w:rPr>
          <w:lang w:val="en_US" w:bidi="en_US"/>
        </w:rPr>
      </w:r>
      <w:r>
        <w:rPr>
          <w:lang w:val="en_US" w:bidi="en_US"/>
        </w:rPr>
        <w:t>But from those who have/</w:t>
      </w:r>
      <w:r>
        <w:rPr>
          <w:lang w:val="en_US" w:bidi="en_US"/>
        </w:rPr>
        <w:t>gain</w:t>
      </w:r>
      <w:r>
        <w:rPr>
          <w:lang w:val="en_US" w:bidi="en_US"/>
        </w:rPr>
        <w:t xml:space="preserve"> nothing,</w:t>
      </w:r>
    </w:p>
    <w:p>
      <w:pPr>
        <w:pStyle w:val="ListBullet"/>
        <w:spacing w:line="240" w:lineRule="auto"/>
        <w:ind w:left="720"/>
      </w:pPr>
      <w:r>
        <w:rPr>
          <w:lang w:val="en_US" w:bidi="en_US"/>
        </w:rPr>
      </w:r>
      <w:r>
        <w:rPr>
          <w:lang w:val="en_US" w:bidi="en_US"/>
        </w:rPr>
        <w:t xml:space="preserve">But a person who does not </w:t>
      </w:r>
      <w:r>
        <w:rPr>
          <w:lang w:val="en_US" w:bidi="en_US"/>
        </w:rPr>
        <w:t>truly</w:t>
      </w:r>
      <w:r>
        <w:rPr>
          <w:lang w:val="en_US" w:bidi="en_US"/>
        </w:rPr>
        <w:t xml:space="preserve"> have </w:t>
      </w:r>
      <w:r>
        <w:rPr>
          <w:lang w:val="en_US" w:bidi="en_US"/>
        </w:rPr>
        <w:t>anything</w:t>
      </w:r>
    </w:p>
    <w:p>
      <w:pPr>
        <w:pStyle w:val="ListBullet"/>
        <w:spacing w:line="240" w:lineRule="auto"/>
        <w:ind w:left="720"/>
      </w:pPr>
      <w:r>
        <w:rPr>
          <w:lang w:val="en_US" w:bidi="en_US"/>
        </w:rPr>
      </w:r>
      <w:r>
        <w:rPr>
          <w:lang w:val="en_US" w:bidi="en_US"/>
        </w:rPr>
        <w:t xml:space="preserve">But as for </w:t>
      </w:r>
      <w:r>
        <w:rPr>
          <w:lang w:val="en_US" w:bidi="en_US"/>
        </w:rPr>
        <w:t>people who are not faithful</w:t>
      </w:r>
      <w:r>
        <w:rPr>
          <w:lang w:val="en_US" w:bidi="en_US"/>
        </w:rPr>
        <w:t>, even if they have only a little,</w:t>
      </w:r>
    </w:p>
    <w:p>
      <w:pPr>
        <w:pStyle w:val="Heading5"/>
      </w:pPr>
      <w:r>
        <w:rPr>
          <w:lang w:val="en_US" w:bidi="en_US"/>
        </w:rPr>
        <w:t>19:26d</w:t>
      </w:r>
    </w:p>
    <w:p>
      <w:pPr/>
      <w:r>
        <w:rPr>
          <w:lang w:val="en_US" w:bidi="en_US"/>
        </w:rPr>
      </w:r>
      <w:r>
        <w:rPr>
          <w:b/>
          <w:lang w:val="en_US" w:bidi="en_US"/>
        </w:rPr>
        <w:t>even what he has will be taken away from him.</w:t>
      </w:r>
    </w:p>
    <w:p>
      <w:pPr>
        <w:pStyle w:val="ListBullet"/>
        <w:spacing w:line="240" w:lineRule="auto"/>
        <w:ind w:left="720"/>
      </w:pPr>
      <w:r>
        <w:rPr>
          <w:lang w:val="en_US" w:bidi="en_US"/>
        </w:rPr>
      </w:r>
      <w:r>
        <w:rPr>
          <w:lang w:val="en_US" w:bidi="en_US"/>
        </w:rPr>
        <w:t xml:space="preserve">even what they have will be taken </w:t>
      </w:r>
      <w:r>
        <w:rPr>
          <w:lang w:val="en_US" w:bidi="en_US"/>
        </w:rPr>
        <w:t>from them</w:t>
      </w:r>
      <w:r>
        <w:rPr>
          <w:lang w:val="en_US" w:bidi="en_US"/>
        </w:rPr>
        <w:t>.</w:t>
      </w:r>
    </w:p>
    <w:p>
      <w:pPr>
        <w:pStyle w:val="ListBullet"/>
        <w:spacing w:line="240" w:lineRule="auto"/>
        <w:ind w:left="720"/>
      </w:pPr>
      <w:r>
        <w:rPr>
          <w:lang w:val="en_US" w:bidi="en_US"/>
        </w:rPr>
      </w:r>
      <w:r>
        <w:rPr>
          <w:lang w:val="en_US" w:bidi="en_US"/>
        </w:rPr>
        <w:t xml:space="preserve">will forfeit even </w:t>
      </w:r>
      <w:r>
        <w:rPr>
          <w:lang w:val="en_US" w:bidi="en_US"/>
        </w:rPr>
        <w:t>the little</w:t>
      </w:r>
      <w:r>
        <w:rPr>
          <w:lang w:val="en_US" w:bidi="en_US"/>
        </w:rPr>
        <w:t xml:space="preserve"> that he has.</w:t>
      </w:r>
    </w:p>
    <w:p>
      <w:pPr>
        <w:pStyle w:val="ListBullet"/>
        <w:spacing w:line="240" w:lineRule="auto"/>
        <w:ind w:left="720"/>
      </w:pPr>
      <w:r>
        <w:rPr>
          <w:lang w:val="en_US" w:bidi="en_US"/>
        </w:rPr>
      </w:r>
      <w:r>
        <w:rPr>
          <w:lang w:val="en_US" w:bidi="en_US"/>
        </w:rPr>
        <w:t>God</w:t>
      </w:r>
      <w:r>
        <w:rPr>
          <w:lang w:val="en_US" w:bidi="en_US"/>
        </w:rPr>
        <w:t xml:space="preserve"> will take it away </w:t>
      </w:r>
      <w:r>
        <w:rPr>
          <w:lang w:val="en_US" w:bidi="en_US"/>
        </w:rPr>
        <w:t>from them</w:t>
      </w:r>
      <w:r>
        <w:rPr>
          <w:lang w:val="en_US" w:bidi="en_US"/>
        </w:rPr>
        <w:t>.</w:t>
      </w:r>
    </w:p>
    <w:p>
      <w:pPr>
        <w:pStyle w:val="Heading5"/>
      </w:pPr>
      <w:r>
        <w:rPr>
          <w:lang w:val="en_US" w:bidi="en_US"/>
        </w:rPr>
        <w:t>19:26c–d</w:t>
      </w:r>
    </w:p>
    <w:p>
      <w:pPr/>
      <w:r>
        <w:rPr>
          <w:lang w:val="en_US" w:bidi="en_US"/>
        </w:rPr>
      </w:r>
      <w:r>
        <w:rPr>
          <w:b/>
          <w:lang w:val="en_US" w:bidi="en_US"/>
        </w:rPr>
        <w:t>but the one who does not have, even what he has will be taken away from him:</w:t>
      </w:r>
      <w:r>
        <w:rPr>
          <w:lang w:val="en_US" w:bidi="en_US"/>
        </w:rPr>
        <w:t xml:space="preserve"> This statement is a paradox. It seems impossible to take something from someone who </w:t>
      </w:r>
      <w:r>
        <w:rPr>
          <w:i/>
          <w:lang w:val="en_US" w:bidi="en_US"/>
        </w:rPr>
        <w:t>does not have</w:t>
      </w:r>
      <w:r>
        <w:rPr>
          <w:lang w:val="en_US" w:bidi="en_US"/>
        </w:rPr>
        <w:t xml:space="preserve"> anything. The statement is also a hyperbole. It indicates that the person has very little. In this context, it also indicates that the person has gained no good results from what he received. As in the parable, even what he received will be taken away.</w:t>
      </w:r>
    </w:p>
    <w:p>
      <w:pPr/>
      <w:r>
        <w:rPr>
          <w:lang w:val="en_US" w:bidi="en_US"/>
        </w:rPr>
      </w:r>
      <w:r>
        <w:rPr>
          <w:lang w:val="en_US" w:bidi="en_US"/>
        </w:rPr>
        <w:t>Some other ways to translate this paradox are:</w:t>
      </w:r>
    </w:p>
    <w:p>
      <w:pPr/>
      <w:r>
        <w:rPr>
          <w:lang w:val="en_US" w:bidi="en_US"/>
        </w:rPr>
      </w:r>
      <w:r>
        <w:rPr>
          <w:lang w:val="en_US" w:bidi="en_US"/>
        </w:rPr>
        <w:t>But from those who do nothing, even what little they have will be taken away. (NLT)</w:t>
      </w:r>
    </w:p>
    <w:p>
      <w:pPr/>
      <w:r>
        <w:rPr>
          <w:lang w:val="en_US" w:bidi="en_US"/>
        </w:rPr>
      </w:r>
      <w:r>
        <w:rPr>
          <w:lang w:val="en_US" w:bidi="en_US"/>
        </w:rPr>
        <w:t xml:space="preserve">But if people do not have/gain </w:t>
      </w:r>
      <w:r>
        <w:rPr>
          <w:lang w:val="en_US" w:bidi="en_US"/>
        </w:rPr>
        <w:t>any good thing/results</w:t>
      </w:r>
      <w:r>
        <w:rPr>
          <w:lang w:val="en_US" w:bidi="en_US"/>
        </w:rPr>
        <w:t xml:space="preserve"> </w:t>
      </w:r>
      <w:r>
        <w:rPr>
          <w:lang w:val="en_US" w:bidi="en_US"/>
        </w:rPr>
        <w:t>with what they receive</w:t>
      </w:r>
      <w:r>
        <w:rPr>
          <w:lang w:val="en_US" w:bidi="en_US"/>
        </w:rPr>
        <w:t xml:space="preserve">, even what they have/receive will be taken away </w:t>
      </w:r>
      <w:r>
        <w:rPr>
          <w:lang w:val="en_US" w:bidi="en_US"/>
        </w:rPr>
        <w:t>from them</w:t>
      </w:r>
      <w:r>
        <w:rPr>
          <w:lang w:val="en_US" w:bidi="en_US"/>
        </w:rPr>
        <w:t>.</w:t>
      </w:r>
    </w:p>
    <w:p>
      <w:pPr/>
      <w:r>
        <w:rPr>
          <w:lang w:val="en_US" w:bidi="en_US"/>
        </w:rPr>
      </w:r>
      <w:r>
        <w:rPr>
          <w:lang w:val="en_US" w:bidi="en_US"/>
        </w:rPr>
        <w:t xml:space="preserve">If a person does not </w:t>
      </w:r>
      <w:r>
        <w:rPr>
          <w:lang w:val="en_US" w:bidi="en_US"/>
        </w:rPr>
        <w:t>really</w:t>
      </w:r>
      <w:r>
        <w:rPr>
          <w:lang w:val="en_US" w:bidi="en_US"/>
        </w:rPr>
        <w:t xml:space="preserve"> have </w:t>
      </w:r>
      <w:r>
        <w:rPr>
          <w:lang w:val="en_US" w:bidi="en_US"/>
        </w:rPr>
        <w:t>anything</w:t>
      </w:r>
      <w:r>
        <w:rPr>
          <w:lang w:val="en_US" w:bidi="en_US"/>
        </w:rPr>
        <w:t xml:space="preserve">, even what he </w:t>
      </w:r>
      <w:r>
        <w:rPr>
          <w:lang w:val="en_US" w:bidi="en_US"/>
        </w:rPr>
        <w:t>seems to</w:t>
      </w:r>
      <w:r>
        <w:rPr>
          <w:lang w:val="en_US" w:bidi="en_US"/>
        </w:rPr>
        <w:t xml:space="preserve"> have will be taken away.</w:t>
      </w:r>
    </w:p>
    <w:p>
      <w:pPr/>
      <w:r>
        <w:rPr>
          <w:lang w:val="en_US" w:bidi="en_US"/>
        </w:rPr>
      </w:r>
      <w:r>
        <w:rPr>
          <w:b/>
          <w:lang w:val="en_US" w:bidi="en_US"/>
        </w:rPr>
        <w:t>even what he has will be taken away from him:</w:t>
      </w:r>
      <w:r>
        <w:rPr>
          <w:lang w:val="en_US" w:bidi="en_US"/>
        </w:rPr>
        <w:t xml:space="preserve"> The Greek verb that the BSB translates as </w:t>
      </w:r>
      <w:r>
        <w:rPr>
          <w:i/>
          <w:lang w:val="en_US" w:bidi="en_US"/>
        </w:rPr>
        <w:t>will be taken away</w:t>
      </w:r>
      <w:r>
        <w:rPr>
          <w:lang w:val="en_US" w:bidi="en_US"/>
        </w:rPr>
        <w:t xml:space="preserve"> is passive. It is not explicit who will take this away from the person who has nothing.</w:t>
      </w:r>
    </w:p>
    <w:p>
      <w:pPr/>
      <w:r>
        <w:rPr>
          <w:lang w:val="en_US" w:bidi="en_US"/>
        </w:rPr>
      </w:r>
      <w:r>
        <w:rPr>
          <w:lang w:val="en_US" w:bidi="en_US"/>
        </w:rPr>
        <w:t xml:space="preserve">Some other ways to translate </w:t>
      </w:r>
      <w:r>
        <w:rPr>
          <w:i/>
          <w:lang w:val="en_US" w:bidi="en_US"/>
        </w:rPr>
        <w:t>even what he has will be taken away</w:t>
      </w:r>
      <w:r>
        <w:rPr>
          <w:lang w:val="en_US" w:bidi="en_US"/>
        </w:rPr>
        <w:t xml:space="preserve"> are:</w:t>
      </w:r>
    </w:p>
    <w:p>
      <w:pPr>
        <w:pStyle w:val="ListBullet"/>
        <w:spacing w:line="240" w:lineRule="auto"/>
        <w:ind w:left="720"/>
      </w:pPr>
      <w:r>
        <w:rPr>
          <w:lang w:val="en_US" w:bidi="en_US"/>
        </w:rPr>
      </w:r>
      <w:r>
        <w:rPr>
          <w:lang w:val="en_US" w:bidi="en_US"/>
        </w:rPr>
        <w:t>As a passive clause. For example:</w:t>
      </w:r>
      <w:r>
        <w:rPr>
          <w:lang w:val="en_US" w:bidi="en_US"/>
        </w:rPr>
        <w:t>everything will be taken away from those who don’t have much (GW)</w:t>
      </w:r>
    </w:p>
    <w:p>
      <w:pPr>
        <w:pStyle w:val="ListBullet"/>
        <w:spacing w:line="240" w:lineRule="auto"/>
        <w:ind w:left="720"/>
      </w:pPr>
      <w:r>
        <w:rPr>
          <w:lang w:val="en_US" w:bidi="en_US"/>
        </w:rPr>
      </w:r>
      <w:r>
        <w:rPr>
          <w:lang w:val="en_US" w:bidi="en_US"/>
        </w:rPr>
        <w:t>As an active clause that uses a different verb For example:</w:t>
      </w:r>
      <w:r>
        <w:rPr>
          <w:lang w:val="en_US" w:bidi="en_US"/>
        </w:rPr>
        <w:t>whoever has nothing will forfeit even what he has (REB)</w:t>
      </w:r>
    </w:p>
    <w:p>
      <w:pPr>
        <w:pStyle w:val="ListBullet"/>
        <w:spacing w:line="240" w:lineRule="auto"/>
        <w:ind w:left="720"/>
      </w:pPr>
      <w:r>
        <w:rPr>
          <w:lang w:val="en_US" w:bidi="en_US"/>
        </w:rPr>
      </w:r>
      <w:r>
        <w:rPr>
          <w:lang w:val="en_US" w:bidi="en_US"/>
        </w:rPr>
        <w:t>As an active clause that supplies a subject. For example:</w:t>
      </w:r>
      <w:r>
        <w:rPr>
          <w:lang w:val="en_US" w:bidi="en_US"/>
        </w:rPr>
        <w:t>God</w:t>
      </w:r>
      <w:r>
        <w:rPr>
          <w:lang w:val="en_US" w:bidi="en_US"/>
        </w:rPr>
        <w:t xml:space="preserve"> will take it away from them</w:t>
      </w:r>
    </w:p>
    <w:p>
      <w:pPr/>
      <w:r>
        <w:rPr>
          <w:lang w:val="en_US" w:bidi="en_US"/>
        </w:rPr>
      </w:r>
      <w:r>
        <w:rPr>
          <w:lang w:val="en_US" w:bidi="en_US"/>
        </w:rPr>
        <w:t>Notice that the Notes have supplied “God” as the subject in the final example. In the parable, the master took the coin away from the servant. However, since this verse is a proverb, it is good to translate it in a way that could also apply to other contexts.</w:t>
      </w:r>
      <w:r>
        <w:rPr>
          <w:lang w:val="en_US" w:bidi="en_US"/>
        </w:rPr>
      </w:r>
      <w:r>
        <w:rPr>
          <w:lang w:val="en_US" w:bidi="en_US"/>
        </w:rPr>
      </w:r>
    </w:p>
    <w:p>
      <w:pPr/>
      <w:r>
        <w:rPr>
          <w:lang w:val="en_US" w:bidi="en_US"/>
        </w:rPr>
      </w:r>
    </w:p>
    <w:p>
      <w:pPr>
        <w:pStyle w:val="Heading2"/>
      </w:pPr>
      <w:r>
        <w:rPr>
          <w:lang w:val="en_US" w:bidi="en_US"/>
        </w:rPr>
        <w:t>Luke 19:27</w:t>
      </w:r>
      <w:r>
        <w:rPr>
          <w:lang w:val="en_US" w:bidi="en_US"/>
        </w:rPr>
      </w:r>
    </w:p>
    <w:p>
      <w:pPr>
        <w:pStyle w:val="Heading4"/>
      </w:pPr>
      <w:r>
        <w:rPr>
          <w:lang w:val="en_US" w:bidi="en_US"/>
        </w:rPr>
        <w:t>Section 19:11–27: Jesus told a parable about a king and his ten servants</w:t>
      </w:r>
    </w:p>
    <w:p>
      <w:pPr/>
      <w:r>
        <w:rPr>
          <w:lang w:val="en_US" w:bidi="en_US"/>
        </w:rPr>
      </w:r>
      <w:r>
        <w:rPr>
          <w:lang w:val="en_US" w:bidi="en_US"/>
        </w:rPr>
        <w:t>Many of Jesus’ followers expected that when they arrived in Jerusalem, Jesus would establish the kingdom of God and begin to reign as king. He told the parable in this section to help them understand that events would happen differently than they expected.</w:t>
      </w:r>
    </w:p>
    <w:p>
      <w:pPr/>
      <w:r>
        <w:rPr>
          <w:lang w:val="en_US" w:bidi="en_US"/>
        </w:rPr>
      </w:r>
      <w:r>
        <w:rPr>
          <w:lang w:val="en_US" w:bidi="en_US"/>
        </w:rPr>
        <w:t>There are two main ideas that Jesus taught through this parable:</w:t>
      </w:r>
    </w:p>
    <w:p>
      <w:pPr>
        <w:pStyle w:val="ListNumber"/>
        <w:numPr>
          <w:ilvl w:val="0"/>
          <w:numId w:val="327"/>
        </w:numPr>
        <w:spacing w:line="240" w:lineRule="auto"/>
        <w:ind w:left="720"/>
      </w:pPr>
      <w:r>
        <w:rPr>
          <w:lang w:val="en_US" w:bidi="en_US"/>
        </w:rPr>
      </w:r>
      <w:r>
        <w:rPr>
          <w:lang w:val="en_US" w:bidi="en_US"/>
        </w:rPr>
        <w:t>Jesus, like the important man in the parable, was going away and would not return until after God made him king. In the meantime, the Jewish people would reject Jesus and God would punish them when he returned.</w:t>
      </w:r>
    </w:p>
    <w:p>
      <w:pPr>
        <w:pStyle w:val="ListNumber"/>
        <w:spacing w:line="240" w:lineRule="auto"/>
        <w:ind w:left="720"/>
      </w:pPr>
      <w:r>
        <w:rPr>
          <w:lang w:val="en_US" w:bidi="en_US"/>
        </w:rPr>
      </w:r>
      <w:r>
        <w:rPr>
          <w:lang w:val="en_US" w:bidi="en_US"/>
        </w:rPr>
        <w:t>While Jesus is gone, his disciples must serve him faithfully and use whatever he has given them to glorify him.</w:t>
      </w:r>
    </w:p>
    <w:p>
      <w:pPr/>
      <w:r>
        <w:rPr>
          <w:lang w:val="en_US" w:bidi="en_US"/>
        </w:rPr>
      </w:r>
      <w:r>
        <w:rPr>
          <w:lang w:val="en_US" w:bidi="en_US"/>
        </w:rPr>
        <w:t>Other examples of headings for this section are:</w:t>
      </w:r>
    </w:p>
    <w:p>
      <w:pPr/>
      <w:r>
        <w:rPr>
          <w:lang w:val="en_US" w:bidi="en_US"/>
        </w:rPr>
      </w:r>
      <w:r>
        <w:rPr>
          <w:lang w:val="en_US" w:bidi="en_US"/>
        </w:rPr>
        <w:t>The Parable of the Gold Coins (GNT)</w:t>
      </w:r>
    </w:p>
    <w:p>
      <w:pPr/>
      <w:r>
        <w:rPr>
          <w:lang w:val="en_US" w:bidi="en_US"/>
        </w:rPr>
      </w:r>
      <w:r>
        <w:rPr>
          <w:lang w:val="en_US" w:bidi="en_US"/>
        </w:rPr>
        <w:t>Jesus told a parable about ten servants</w:t>
      </w:r>
    </w:p>
    <w:p>
      <w:pPr/>
      <w:r>
        <w:rPr>
          <w:lang w:val="en_US" w:bidi="en_US"/>
        </w:rPr>
      </w:r>
      <w:r>
        <w:rPr>
          <w:lang w:val="en_US" w:bidi="en_US"/>
        </w:rPr>
        <w:t>A parallel passage to this section is found in Matthew 25:14–30.</w:t>
      </w:r>
    </w:p>
    <w:p>
      <w:pPr>
        <w:pStyle w:val="Heading5"/>
      </w:pPr>
      <w:r>
        <w:rPr>
          <w:lang w:val="en_US" w:bidi="en_US"/>
        </w:rPr>
        <w:t>19:27a</w:t>
      </w:r>
    </w:p>
    <w:p>
      <w:pPr/>
      <w:r>
        <w:rPr>
          <w:lang w:val="en_US" w:bidi="en_US"/>
        </w:rPr>
      </w:r>
      <w:r>
        <w:rPr>
          <w:b/>
          <w:lang w:val="en_US" w:bidi="en_US"/>
        </w:rPr>
        <w:t>And these enemies of mine who were unwilling for me to rule over them,</w:t>
      </w:r>
    </w:p>
    <w:p>
      <w:pPr>
        <w:pStyle w:val="ListBullet"/>
        <w:spacing w:line="240" w:lineRule="auto"/>
        <w:ind w:left="720"/>
      </w:pPr>
      <w:r>
        <w:rPr>
          <w:lang w:val="en_US" w:bidi="en_US"/>
        </w:rPr>
      </w:r>
      <w:r>
        <w:rPr>
          <w:lang w:val="en_US" w:bidi="en_US"/>
        </w:rPr>
        <w:t>As for my enemies who did not want me to rule/reign over them,</w:t>
      </w:r>
    </w:p>
    <w:p>
      <w:pPr>
        <w:pStyle w:val="ListBullet"/>
        <w:spacing w:line="240" w:lineRule="auto"/>
        <w:ind w:left="720"/>
      </w:pPr>
      <w:r>
        <w:rPr>
          <w:lang w:val="en_US" w:bidi="en_US"/>
        </w:rPr>
      </w:r>
      <w:r>
        <w:rPr>
          <w:lang w:val="en_US" w:bidi="en_US"/>
        </w:rPr>
        <w:t xml:space="preserve">Now </w:t>
      </w:r>
      <w:r>
        <w:rPr>
          <w:lang w:val="en_US" w:bidi="en_US"/>
        </w:rPr>
        <w:t>I will deal with</w:t>
      </w:r>
      <w:r>
        <w:rPr>
          <w:lang w:val="en_US" w:bidi="en_US"/>
        </w:rPr>
        <w:t xml:space="preserve"> my enemies. They did not want me to be their king,</w:t>
      </w:r>
    </w:p>
    <w:p>
      <w:pPr>
        <w:pStyle w:val="ListBullet"/>
        <w:spacing w:line="240" w:lineRule="auto"/>
        <w:ind w:left="720"/>
      </w:pPr>
      <w:r>
        <w:rPr>
          <w:lang w:val="en_US" w:bidi="en_US"/>
        </w:rPr>
      </w:r>
      <w:r>
        <w:rPr>
          <w:lang w:val="en_US" w:bidi="en_US"/>
        </w:rPr>
        <w:t xml:space="preserve">Now </w:t>
      </w:r>
      <w:r>
        <w:rPr>
          <w:lang w:val="en_US" w:bidi="en_US"/>
        </w:rPr>
        <w:t>go and arrest</w:t>
      </w:r>
      <w:r>
        <w:rPr>
          <w:lang w:val="en_US" w:bidi="en_US"/>
        </w:rPr>
        <w:t xml:space="preserve"> the people who opposed/hated me and did not want me as their king.</w:t>
      </w:r>
    </w:p>
    <w:p>
      <w:pPr/>
      <w:r>
        <w:rPr>
          <w:lang w:val="en_US" w:bidi="en_US"/>
        </w:rPr>
      </w:r>
      <w:r>
        <w:rPr>
          <w:lang w:val="en_US" w:bidi="en_US"/>
        </w:rPr>
        <w:t>The BSB follows the Greek text and puts the object of the verb “bring” near the beginning of the verse. This object is the topic of the sentence. In some languages it may be necessary to change this order. See the General Comment on 19:27a–b for a suggestion.</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is probably used here to indicate that the king was about to deal with a different matter. He had finished hearing the servants’ reports. He would now turn his attention to the citizens who did not want him to rule over them (19:14). Other English versions have translated this as:</w:t>
      </w:r>
    </w:p>
    <w:p>
      <w:pPr/>
      <w:r>
        <w:rPr>
          <w:lang w:val="en_US" w:bidi="en_US"/>
        </w:rPr>
      </w:r>
      <w:r>
        <w:rPr>
          <w:lang w:val="en_US" w:bidi="en_US"/>
        </w:rPr>
        <w:t>But as for (RSV)</w:t>
      </w:r>
    </w:p>
    <w:p>
      <w:pPr/>
      <w:r>
        <w:rPr>
          <w:lang w:val="en_US" w:bidi="en_US"/>
        </w:rPr>
      </w:r>
      <w:r>
        <w:rPr>
          <w:lang w:val="en_US" w:bidi="en_US"/>
        </w:rPr>
        <w:t>Now, as for (GNT)</w:t>
      </w:r>
    </w:p>
    <w:p>
      <w:pPr/>
      <w:r>
        <w:rPr>
          <w:lang w:val="en_US" w:bidi="en_US"/>
        </w:rPr>
      </w:r>
      <w:r>
        <w:rPr>
          <w:lang w:val="en_US" w:bidi="en_US"/>
        </w:rPr>
        <w:t>And now about (NLT96)</w:t>
      </w:r>
    </w:p>
    <w:p>
      <w:pPr/>
      <w:r>
        <w:rPr>
          <w:lang w:val="en_US" w:bidi="en_US"/>
        </w:rPr>
      </w:r>
      <w:r>
        <w:rPr>
          <w:lang w:val="en_US" w:bidi="en_US"/>
        </w:rPr>
        <w:t>Now where are (NCV)</w:t>
      </w:r>
    </w:p>
    <w:p>
      <w:pPr/>
      <w:r>
        <w:rPr>
          <w:lang w:val="en_US" w:bidi="en_US"/>
        </w:rPr>
      </w:r>
      <w:r>
        <w:rPr>
          <w:lang w:val="en_US" w:bidi="en_US"/>
        </w:rPr>
        <w:t>Indicate this change of focus in a natural way in your language. The king was probably still speaking to his attendants who were standing nearby. In some languages it may be natural to change the focus by introducing them again. For example:</w:t>
      </w:r>
    </w:p>
    <w:p>
      <w:pPr/>
      <w:r>
        <w:rPr>
          <w:lang w:val="en_US" w:bidi="en_US"/>
        </w:rPr>
      </w:r>
      <w:r>
        <w:rPr>
          <w:lang w:val="en_US" w:bidi="en_US"/>
        </w:rPr>
        <w:t>Then he said to his attendants, “Now I want you to bring…”</w:t>
      </w:r>
    </w:p>
    <w:p>
      <w:pPr/>
      <w:r>
        <w:rPr>
          <w:lang w:val="en_US" w:bidi="en_US"/>
        </w:rPr>
      </w:r>
      <w:r>
        <w:rPr>
          <w:b/>
          <w:lang w:val="en_US" w:bidi="en_US"/>
        </w:rPr>
        <w:t>these enemies of mine who were unwilling for me to rule over them:</w:t>
      </w:r>
      <w:r>
        <w:rPr>
          <w:lang w:val="en_US" w:bidi="en_US"/>
        </w:rPr>
        <w:t xml:space="preserve"> The Greek phrase that the BSB translates as </w:t>
      </w:r>
      <w:r>
        <w:rPr>
          <w:i/>
          <w:lang w:val="en_US" w:bidi="en_US"/>
        </w:rPr>
        <w:t>these enemies of mine</w:t>
      </w:r>
      <w:r>
        <w:rPr>
          <w:lang w:val="en_US" w:bidi="en_US"/>
        </w:rPr>
        <w:t xml:space="preserve"> refers to the citizens mentioned in 19:14. These people were </w:t>
      </w:r>
      <w:r>
        <w:rPr>
          <w:i/>
          <w:lang w:val="en_US" w:bidi="en_US"/>
        </w:rPr>
        <w:t>enemies</w:t>
      </w:r>
      <w:r>
        <w:rPr>
          <w:lang w:val="en_US" w:bidi="en_US"/>
        </w:rPr>
        <w:t xml:space="preserve"> because they hated the nobleman. They did not want him to be their king. Another way to translate this part of the verse is:</w:t>
      </w:r>
    </w:p>
    <w:p>
      <w:pPr/>
      <w:r>
        <w:rPr>
          <w:lang w:val="en_US" w:bidi="en_US"/>
        </w:rPr>
      </w:r>
      <w:r>
        <w:rPr>
          <w:lang w:val="en_US" w:bidi="en_US"/>
        </w:rPr>
        <w:t>my enemies who were unwilling for me to rule over them</w:t>
      </w:r>
    </w:p>
    <w:p>
      <w:pPr/>
      <w:r>
        <w:rPr>
          <w:lang w:val="en_US" w:bidi="en_US"/>
        </w:rPr>
      </w:r>
      <w:r>
        <w:rPr>
          <w:lang w:val="en_US" w:bidi="en_US"/>
        </w:rPr>
        <w:t>In some languages it may be helpful to use a separate sentence for part of this information. For example:</w:t>
      </w:r>
    </w:p>
    <w:p>
      <w:pPr/>
      <w:r>
        <w:rPr>
          <w:lang w:val="en_US" w:bidi="en_US"/>
        </w:rPr>
      </w:r>
      <w:r>
        <w:rPr>
          <w:lang w:val="en_US" w:bidi="en_US"/>
        </w:rPr>
        <w:t>…the people who hated/opposed me. They did not want me to rule over them.</w:t>
      </w:r>
    </w:p>
    <w:p>
      <w:pPr/>
      <w:r>
        <w:rPr>
          <w:lang w:val="en_US" w:bidi="en_US"/>
        </w:rPr>
      </w:r>
      <w:r>
        <w:rPr>
          <w:lang w:val="en_US" w:bidi="en_US"/>
        </w:rPr>
        <w:t>In some languages it may be natural to use direct speech to express what the enemies wanted. For example:</w:t>
      </w:r>
    </w:p>
    <w:p>
      <w:pPr/>
      <w:r>
        <w:rPr>
          <w:lang w:val="en_US" w:bidi="en_US"/>
        </w:rPr>
      </w:r>
      <w:r>
        <w:rPr>
          <w:lang w:val="en_US" w:bidi="en_US"/>
        </w:rPr>
        <w:t>the people who hated me. They said, “We do not want him to be our king.”</w:t>
      </w:r>
    </w:p>
    <w:p>
      <w:pPr>
        <w:pStyle w:val="Heading5"/>
      </w:pPr>
      <w:r>
        <w:rPr>
          <w:lang w:val="en_US" w:bidi="en_US"/>
        </w:rPr>
        <w:t>19:27b</w:t>
      </w:r>
    </w:p>
    <w:p>
      <w:pPr/>
      <w:r>
        <w:rPr>
          <w:lang w:val="en_US" w:bidi="en_US"/>
        </w:rPr>
      </w:r>
      <w:r>
        <w:rPr>
          <w:b/>
          <w:lang w:val="en_US" w:bidi="en_US"/>
        </w:rPr>
        <w:t>bring them here and slay them in front of me.’”</w:t>
      </w:r>
    </w:p>
    <w:p>
      <w:pPr>
        <w:pStyle w:val="ListBullet"/>
        <w:spacing w:line="240" w:lineRule="auto"/>
        <w:ind w:left="720"/>
      </w:pPr>
      <w:r>
        <w:rPr>
          <w:lang w:val="en_US" w:bidi="en_US"/>
        </w:rPr>
      </w:r>
      <w:r>
        <w:rPr>
          <w:lang w:val="en_US" w:bidi="en_US"/>
        </w:rPr>
        <w:t>bring</w:t>
      </w:r>
      <w:r>
        <w:rPr>
          <w:vertAlign w:val="superscript"/>
          <w:lang w:val="en_US" w:bidi="en_US"/>
        </w:rPr>
        <w:t>(plur)</w:t>
      </w:r>
      <w:r>
        <w:rPr>
          <w:lang w:val="en_US" w:bidi="en_US"/>
        </w:rPr>
        <w:t xml:space="preserve"> them here and kill/slaughter them in my presence.’”</w:t>
      </w:r>
    </w:p>
    <w:p>
      <w:pPr>
        <w:pStyle w:val="ListBullet"/>
        <w:spacing w:line="240" w:lineRule="auto"/>
        <w:ind w:left="720"/>
      </w:pPr>
      <w:r>
        <w:rPr>
          <w:lang w:val="en_US" w:bidi="en_US"/>
        </w:rPr>
      </w:r>
      <w:r>
        <w:rPr>
          <w:lang w:val="en_US" w:bidi="en_US"/>
        </w:rPr>
        <w:t xml:space="preserve">Bring them </w:t>
      </w:r>
      <w:r>
        <w:rPr>
          <w:lang w:val="en_US" w:bidi="en_US"/>
        </w:rPr>
        <w:t>to me</w:t>
      </w:r>
      <w:r>
        <w:rPr>
          <w:lang w:val="en_US" w:bidi="en_US"/>
        </w:rPr>
        <w:t xml:space="preserve"> and kill them right here </w:t>
      </w:r>
      <w:r>
        <w:rPr>
          <w:lang w:val="en_US" w:bidi="en_US"/>
        </w:rPr>
        <w:t>while I watch</w:t>
      </w:r>
      <w:r>
        <w:rPr>
          <w:lang w:val="en_US" w:bidi="en_US"/>
        </w:rPr>
        <w:t>.’”</w:t>
      </w:r>
    </w:p>
    <w:p>
      <w:pPr/>
      <w:r>
        <w:rPr>
          <w:lang w:val="en_US" w:bidi="en_US"/>
        </w:rPr>
      </w:r>
      <w:r>
        <w:rPr>
          <w:b/>
          <w:lang w:val="en_US" w:bidi="en_US"/>
        </w:rPr>
        <w:t>bring them here:</w:t>
      </w:r>
      <w:r>
        <w:rPr>
          <w:lang w:val="en_US" w:bidi="en_US"/>
        </w:rPr>
        <w:t xml:space="preserve"> Here the king ordered his men to bring his enemies to him. The text does not indicate exactly where the enemies were. They may have been nearby, or the king’s men may have needed to go out and search for them. In some languages it may be necessary to make the action more explicit here. For example:</w:t>
      </w:r>
    </w:p>
    <w:p>
      <w:pPr/>
      <w:r>
        <w:rPr>
          <w:lang w:val="en_US" w:bidi="en_US"/>
        </w:rPr>
      </w:r>
      <w:r>
        <w:rPr>
          <w:lang w:val="en_US" w:bidi="en_US"/>
        </w:rPr>
        <w:t>Go</w:t>
      </w:r>
      <w:r>
        <w:rPr>
          <w:lang w:val="en_US" w:bidi="en_US"/>
        </w:rPr>
        <w:t xml:space="preserve"> </w:t>
      </w:r>
      <w:r>
        <w:rPr>
          <w:lang w:val="en_US" w:bidi="en_US"/>
        </w:rPr>
        <w:t>find them</w:t>
      </w:r>
      <w:r>
        <w:rPr>
          <w:lang w:val="en_US" w:bidi="en_US"/>
        </w:rPr>
        <w:t xml:space="preserve"> and bring them here.</w:t>
      </w:r>
    </w:p>
    <w:p>
      <w:pPr/>
      <w:r>
        <w:rPr>
          <w:lang w:val="en_US" w:bidi="en_US"/>
        </w:rPr>
      </w:r>
      <w:r>
        <w:rPr>
          <w:lang w:val="en_US" w:bidi="en_US"/>
        </w:rPr>
        <w:t>Go</w:t>
      </w:r>
      <w:r>
        <w:rPr>
          <w:lang w:val="en_US" w:bidi="en_US"/>
        </w:rPr>
        <w:t xml:space="preserve"> </w:t>
      </w:r>
      <w:r>
        <w:rPr>
          <w:lang w:val="en_US" w:bidi="en_US"/>
        </w:rPr>
        <w:t>arrest them</w:t>
      </w:r>
      <w:r>
        <w:rPr>
          <w:lang w:val="en_US" w:bidi="en_US"/>
        </w:rPr>
        <w:t xml:space="preserve"> and bring them here.</w:t>
      </w:r>
    </w:p>
    <w:p>
      <w:pPr/>
      <w:r>
        <w:rPr>
          <w:lang w:val="en_US" w:bidi="en_US"/>
        </w:rPr>
      </w:r>
      <w:r>
        <w:rPr>
          <w:b/>
          <w:lang w:val="en_US" w:bidi="en_US"/>
        </w:rPr>
        <w:t>and slay them in front of me:</w:t>
      </w:r>
      <w:r>
        <w:rPr>
          <w:lang w:val="en_US" w:bidi="en_US"/>
        </w:rPr>
        <w:t xml:space="preserve"> The king ordered his attendants to execute his enemies who were mentioned in 19:27a. The king’s command implies that he wanted the execution to happen in his presence as he watched. In cultures of that time period, it was common for rebels to be executed in the king’s presence. Other ways to translate this are:</w:t>
      </w:r>
    </w:p>
    <w:p>
      <w:pPr/>
      <w:r>
        <w:rPr>
          <w:lang w:val="en_US" w:bidi="en_US"/>
        </w:rPr>
      </w:r>
      <w:r>
        <w:rPr>
          <w:lang w:val="en_US" w:bidi="en_US"/>
        </w:rPr>
        <w:t>Kill them while I watch! (CEV)</w:t>
      </w:r>
    </w:p>
    <w:p>
      <w:pPr/>
      <w:r>
        <w:rPr>
          <w:lang w:val="en_US" w:bidi="en_US"/>
        </w:rPr>
      </w:r>
      <w:r>
        <w:rPr>
          <w:lang w:val="en_US" w:bidi="en_US"/>
        </w:rPr>
        <w:t>…slaughter them in my presence. (REB)</w:t>
      </w:r>
    </w:p>
    <w:p>
      <w:pPr/>
      <w:r>
        <w:rPr>
          <w:lang w:val="en_US" w:bidi="en_US"/>
        </w:rPr>
      </w:r>
      <w:r>
        <w:rPr>
          <w:b/>
          <w:lang w:val="en_US" w:bidi="en_US"/>
        </w:rPr>
        <w:t>slay them:</w:t>
      </w:r>
      <w:r>
        <w:rPr>
          <w:lang w:val="en_US" w:bidi="en_US"/>
        </w:rPr>
        <w:t xml:space="preserve"> The Greek word that the BSB translates as </w:t>
      </w:r>
      <w:r>
        <w:rPr>
          <w:i/>
          <w:lang w:val="en_US" w:bidi="en_US"/>
        </w:rPr>
        <w:t>slay</w:t>
      </w:r>
      <w:r>
        <w:rPr>
          <w:lang w:val="en_US" w:bidi="en_US"/>
        </w:rPr>
        <w:t xml:space="preserve"> refers to killing violently. In that culture such killing was often done with a sword. Other ways to translate it are:</w:t>
      </w:r>
    </w:p>
    <w:p>
      <w:pPr/>
      <w:r>
        <w:rPr>
          <w:lang w:val="en_US" w:bidi="en_US"/>
        </w:rPr>
      </w:r>
      <w:r>
        <w:rPr>
          <w:lang w:val="en_US" w:bidi="en_US"/>
        </w:rPr>
        <w:t>slaughter (REB)</w:t>
      </w:r>
    </w:p>
    <w:p>
      <w:pPr/>
      <w:r>
        <w:rPr>
          <w:lang w:val="en_US" w:bidi="en_US"/>
        </w:rPr>
      </w:r>
      <w:r>
        <w:rPr>
          <w:lang w:val="en_US" w:bidi="en_US"/>
        </w:rPr>
        <w:t>execute (NLT)</w:t>
      </w:r>
    </w:p>
    <w:p>
      <w:pPr>
        <w:pStyle w:val="Heading6"/>
      </w:pPr>
      <w:r>
        <w:rPr>
          <w:b/>
          <w:lang w:val="en_US" w:bidi="en_US"/>
        </w:rPr>
        <w:t>General Comment on 19:27a–b</w:t>
      </w:r>
    </w:p>
    <w:p>
      <w:pPr/>
      <w:r>
        <w:rPr>
          <w:lang w:val="en_US" w:bidi="en_US"/>
        </w:rPr>
      </w:r>
      <w:r>
        <w:rPr>
          <w:lang w:val="en_US" w:bidi="en_US"/>
        </w:rPr>
        <w:t>It may be more natural in some languages to change the order of these clauses. For example:</w:t>
      </w:r>
    </w:p>
    <w:p>
      <w:pPr/>
      <w:r>
        <w:rPr>
          <w:lang w:val="en_US" w:bidi="en_US"/>
        </w:rPr>
      </w:r>
      <w:r>
        <w:rPr>
          <w:vertAlign w:val="superscript"/>
          <w:lang w:val="en_US" w:bidi="en_US"/>
        </w:rPr>
        <w:t>27b</w:t>
      </w:r>
      <w:r>
        <w:rPr>
          <w:lang w:val="en_US" w:bidi="en_US"/>
        </w:rPr>
        <w:t xml:space="preserve">Bring </w:t>
      </w:r>
      <w:r>
        <w:rPr>
          <w:lang w:val="en_US" w:bidi="en_US"/>
        </w:rPr>
        <w:t>to me</w:t>
      </w:r>
      <w:r>
        <w:rPr>
          <w:lang w:val="en_US" w:bidi="en_US"/>
        </w:rPr>
        <w:t xml:space="preserve"> </w:t>
      </w:r>
      <w:r>
        <w:rPr>
          <w:vertAlign w:val="superscript"/>
          <w:lang w:val="en_US" w:bidi="en_US"/>
        </w:rPr>
        <w:t>27a</w:t>
      </w:r>
      <w:r>
        <w:rPr>
          <w:lang w:val="en_US" w:bidi="en_US"/>
        </w:rPr>
        <w:t xml:space="preserve">my enemies who did not want me to rule over them, </w:t>
      </w:r>
      <w:r>
        <w:rPr>
          <w:vertAlign w:val="superscript"/>
          <w:lang w:val="en_US" w:bidi="en_US"/>
        </w:rPr>
        <w:t>27b</w:t>
      </w:r>
      <w:r>
        <w:rPr>
          <w:lang w:val="en_US" w:bidi="en_US"/>
        </w:rPr>
        <w:t>and kill them in front of me.</w:t>
      </w:r>
    </w:p>
    <w:p>
      <w:pPr/>
      <w:r>
        <w:rPr>
          <w:lang w:val="en_US" w:bidi="en_US"/>
        </w:rPr>
      </w:r>
      <w:r>
        <w:rPr>
          <w:lang w:val="en_US" w:bidi="en_US"/>
        </w:rPr>
        <w:t>In this division Jesus arrived in Jerusalem and was greeted by the crowds as the Messiah. The rulers would not accept Jesus as Messiah as some of the people did. When Jesus forced people to stop selling animals and changing money in the temple courtyard, the rulers questioned his authority. Jesus used the parable of the tenants (20:9–19) to show that the Jewish leaders refused to believe that God had sent him. They did not believe that God had given him the authority to do and say what he did. Through the parable Jesus warned the leaders that if they rejected his authority, they would be killed and God would give their authority to other leaders.</w:t>
      </w:r>
      <w:r>
        <w:rPr>
          <w:lang w:val="en_US" w:bidi="en_US"/>
        </w:rPr>
      </w:r>
      <w:r>
        <w:rPr>
          <w:lang w:val="en_US" w:bidi="en_US"/>
        </w:rPr>
      </w:r>
    </w:p>
    <w:p>
      <w:pPr/>
      <w:r>
        <w:rPr>
          <w:lang w:val="en_US" w:bidi="en_US"/>
        </w:rPr>
      </w:r>
    </w:p>
    <w:p>
      <w:pPr>
        <w:pStyle w:val="Heading2"/>
      </w:pPr>
      <w:r>
        <w:rPr>
          <w:lang w:val="en_US" w:bidi="en_US"/>
        </w:rPr>
        <w:t>Luke 19:28</w:t>
      </w:r>
      <w:r>
        <w:rPr>
          <w:lang w:val="en_US" w:bidi="en_US"/>
        </w:rPr>
      </w:r>
    </w:p>
    <w:p>
      <w:pPr>
        <w:pStyle w:val="Heading4"/>
      </w:pPr>
      <w:r>
        <w:rPr>
          <w:lang w:val="en_US" w:bidi="en_US"/>
        </w:rPr>
        <w:t>Section 19:28–44: Jesus approached Jerusalem</w:t>
      </w:r>
    </w:p>
    <w:p>
      <w:pPr/>
      <w:r>
        <w:rPr>
          <w:lang w:val="en_US" w:bidi="en_US"/>
        </w:rPr>
      </w:r>
      <w:r>
        <w:rPr>
          <w:lang w:val="en_US" w:bidi="en_US"/>
        </w:rP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People of Jerusalem greeted Jesus as king</w:t>
      </w:r>
    </w:p>
    <w:p>
      <w:pPr/>
      <w:r>
        <w:rPr>
          <w:lang w:val="en_US" w:bidi="en_US"/>
        </w:rPr>
      </w:r>
      <w:r>
        <w:rPr>
          <w:lang w:val="en_US" w:bidi="en_US"/>
        </w:rPr>
        <w:t>There are parallel passages for this section in Matthew 21:1–11, Mark 11:1–11, and John 12:12–19.</w:t>
      </w:r>
    </w:p>
    <w:p>
      <w:pPr>
        <w:pStyle w:val="Heading5"/>
      </w:pPr>
      <w:r>
        <w:rPr>
          <w:lang w:val="en_US" w:bidi="en_US"/>
        </w:rPr>
        <w:t>19:28a</w:t>
      </w:r>
    </w:p>
    <w:p>
      <w:pPr/>
      <w:r>
        <w:rPr>
          <w:lang w:val="en_US" w:bidi="en_US"/>
        </w:rPr>
      </w:r>
      <w:r>
        <w:rPr>
          <w:b/>
          <w:lang w:val="en_US" w:bidi="en_US"/>
        </w:rPr>
        <w:t>After Jesus had said this,</w:t>
      </w:r>
    </w:p>
    <w:p>
      <w:pPr>
        <w:pStyle w:val="ListBullet"/>
        <w:spacing w:line="240" w:lineRule="auto"/>
        <w:ind w:left="720"/>
      </w:pPr>
      <w:r>
        <w:rPr>
          <w:lang w:val="en_US" w:bidi="en_US"/>
        </w:rPr>
      </w:r>
      <w:r>
        <w:rPr>
          <w:lang w:val="en_US" w:bidi="en_US"/>
        </w:rPr>
        <w:t>¶ After he said this,</w:t>
      </w:r>
    </w:p>
    <w:p>
      <w:pPr>
        <w:pStyle w:val="ListBullet"/>
        <w:spacing w:line="240" w:lineRule="auto"/>
        <w:ind w:left="720"/>
      </w:pPr>
      <w:r>
        <w:rPr>
          <w:lang w:val="en_US" w:bidi="en_US"/>
        </w:rPr>
      </w:r>
      <w:r>
        <w:rPr>
          <w:lang w:val="en_US" w:bidi="en_US"/>
        </w:rPr>
        <w:t xml:space="preserve">¶ When Jesus had finished telling this </w:t>
      </w:r>
      <w:r>
        <w:rPr>
          <w:lang w:val="en_US" w:bidi="en_US"/>
        </w:rPr>
        <w:t>parable/illustration</w:t>
      </w:r>
    </w:p>
    <w:p>
      <w:pPr/>
      <w:r>
        <w:rPr>
          <w:lang w:val="en_US" w:bidi="en_US"/>
        </w:rPr>
      </w:r>
      <w:r>
        <w:rPr>
          <w:b/>
          <w:lang w:val="en_US" w:bidi="en_US"/>
        </w:rPr>
        <w:t>After Jesus had said this:</w:t>
      </w:r>
      <w:r>
        <w:rPr>
          <w:lang w:val="en_US" w:bidi="en_US"/>
        </w:rPr>
        <w:t xml:space="preserve"> This clause refers to the end of Jesus’ parable about the king and his servants. It also introduces a new section in which Jesus entered Jerusalem. Other ways to translate the clause are:</w:t>
      </w:r>
    </w:p>
    <w:p>
      <w:pPr/>
      <w:r>
        <w:rPr>
          <w:lang w:val="en_US" w:bidi="en_US"/>
        </w:rPr>
      </w:r>
      <w:r>
        <w:rPr>
          <w:lang w:val="en_US" w:bidi="en_US"/>
        </w:rPr>
        <w:t>having said these things</w:t>
      </w:r>
    </w:p>
    <w:p>
      <w:pPr/>
      <w:r>
        <w:rPr>
          <w:lang w:val="en_US" w:bidi="en_US"/>
        </w:rPr>
      </w:r>
      <w:r>
        <w:rPr>
          <w:lang w:val="en_US" w:bidi="en_US"/>
        </w:rPr>
        <w:t>When Jesus had finished saying all this (CEV)</w:t>
      </w:r>
    </w:p>
    <w:p>
      <w:pPr/>
      <w:r>
        <w:rPr>
          <w:lang w:val="en_US" w:bidi="en_US"/>
        </w:rPr>
      </w:r>
      <w:r>
        <w:rPr>
          <w:lang w:val="en_US" w:bidi="en_US"/>
        </w:rPr>
        <w:t>After Jesus had given this illustration (GW)</w:t>
      </w:r>
    </w:p>
    <w:p>
      <w:pPr>
        <w:pStyle w:val="Heading5"/>
      </w:pPr>
      <w:r>
        <w:rPr>
          <w:lang w:val="en_US" w:bidi="en_US"/>
        </w:rPr>
        <w:t>19:28b</w:t>
      </w:r>
    </w:p>
    <w:p>
      <w:pPr/>
      <w:r>
        <w:rPr>
          <w:lang w:val="en_US" w:bidi="en_US"/>
        </w:rPr>
      </w:r>
      <w:r>
        <w:rPr>
          <w:b/>
          <w:lang w:val="en_US" w:bidi="en_US"/>
        </w:rPr>
        <w:t>He went on ahead, going up to Jerusalem.</w:t>
      </w:r>
    </w:p>
    <w:p>
      <w:pPr>
        <w:pStyle w:val="ListBullet"/>
        <w:spacing w:line="240" w:lineRule="auto"/>
        <w:ind w:left="720"/>
      </w:pPr>
      <w:r>
        <w:rPr>
          <w:lang w:val="en_US" w:bidi="en_US"/>
        </w:rPr>
      </w:r>
      <w:r>
        <w:rPr>
          <w:lang w:val="en_US" w:bidi="en_US"/>
        </w:rPr>
        <w:t xml:space="preserve">he went on toward Jerusalem, walking ahead </w:t>
      </w:r>
      <w:r>
        <w:rPr>
          <w:lang w:val="en_US" w:bidi="en_US"/>
        </w:rPr>
        <w:t>of his disciples</w:t>
      </w:r>
      <w:r>
        <w:rPr>
          <w:lang w:val="en_US" w:bidi="en_US"/>
        </w:rPr>
        <w:t>.</w:t>
      </w:r>
    </w:p>
    <w:p>
      <w:pPr>
        <w:pStyle w:val="ListBullet"/>
        <w:spacing w:line="240" w:lineRule="auto"/>
        <w:ind w:left="720"/>
      </w:pPr>
      <w:r>
        <w:rPr>
          <w:lang w:val="en_US" w:bidi="en_US"/>
        </w:rPr>
      </w:r>
      <w:r>
        <w:rPr>
          <w:lang w:val="en_US" w:bidi="en_US"/>
        </w:rPr>
        <w:t xml:space="preserve">he continued his journey, leading </w:t>
      </w:r>
      <w:r>
        <w:rPr>
          <w:lang w:val="en_US" w:bidi="en_US"/>
        </w:rPr>
        <w:t>his followers</w:t>
      </w:r>
      <w:r>
        <w:rPr>
          <w:lang w:val="en_US" w:bidi="en_US"/>
        </w:rPr>
        <w:t xml:space="preserve"> toward Jerusalem.</w:t>
      </w:r>
    </w:p>
    <w:p>
      <w:pPr/>
      <w:r>
        <w:rPr>
          <w:lang w:val="en_US" w:bidi="en_US"/>
        </w:rPr>
      </w:r>
      <w:r>
        <w:rPr>
          <w:b/>
          <w:lang w:val="en_US" w:bidi="en_US"/>
        </w:rPr>
        <w:t>He went on ahead:</w:t>
      </w:r>
      <w:r>
        <w:rPr>
          <w:lang w:val="en_US" w:bidi="en_US"/>
        </w:rPr>
        <w:t xml:space="preserve"> The Greek phrase that the BSB translates as </w:t>
      </w:r>
      <w:r>
        <w:rPr>
          <w:i/>
          <w:lang w:val="en_US" w:bidi="en_US"/>
        </w:rPr>
        <w:t>He went on ahead</w:t>
      </w:r>
      <w:r>
        <w:rPr>
          <w:lang w:val="en_US" w:bidi="en_US"/>
        </w:rPr>
        <w:t xml:space="preserve"> probably indicates that Jesus walked in front of his disciples as they went together to Jerusalem. He walked ahead of them.</w:t>
      </w:r>
      <w:r>
        <w:rPr>
          <w:lang w:val="en_US" w:bidi="en_US"/>
        </w:rPr>
        <w:t xml:space="preserve">The same Greek word was used in 19:4a when Zacchaeus “ran </w:t>
      </w:r>
      <w:r>
        <w:rPr>
          <w:u w:val="single"/>
          <w:lang w:val="en_US" w:bidi="en_US"/>
        </w:rPr>
        <w:t>ahead</w:t>
      </w:r>
      <w:r>
        <w:rPr>
          <w:lang w:val="en_US" w:bidi="en_US"/>
        </w:rPr>
        <w:t xml:space="preserve"> of the crowd” (GNT).</w:t>
      </w:r>
      <w:r>
        <w:rPr>
          <w:lang w:val="en_US" w:bidi="en_US"/>
        </w:rPr>
        <w:t xml:space="preserve"> Here is another way to translate this:</w:t>
      </w:r>
    </w:p>
    <w:p>
      <w:pPr/>
      <w:r>
        <w:rPr>
          <w:lang w:val="en_US" w:bidi="en_US"/>
        </w:rPr>
      </w:r>
      <w:r>
        <w:rPr>
          <w:lang w:val="en_US" w:bidi="en_US"/>
        </w:rPr>
        <w:t>walking ahead of his disciples (NLT)</w:t>
      </w:r>
    </w:p>
    <w:p>
      <w:pPr/>
      <w:r>
        <w:rPr>
          <w:lang w:val="en_US" w:bidi="en_US"/>
        </w:rPr>
      </w:r>
      <w:r>
        <w:rPr>
          <w:lang w:val="en_US" w:bidi="en_US"/>
        </w:rPr>
        <w:t>See the parallel account in Mark 10:32. Be sure that your translation does not imply that Jesus left the disciples and went on without them.</w:t>
      </w:r>
    </w:p>
    <w:p>
      <w:pPr/>
      <w:r>
        <w:rPr>
          <w:lang w:val="en_US" w:bidi="en_US"/>
        </w:rPr>
      </w:r>
      <w:r>
        <w:rPr>
          <w:b/>
          <w:lang w:val="en_US" w:bidi="en_US"/>
        </w:rPr>
        <w:t>went on…going up:</w:t>
      </w:r>
      <w:r>
        <w:rPr>
          <w:lang w:val="en_US" w:bidi="en_US"/>
        </w:rPr>
        <w:t xml:space="preserve"> The Greek verbs that the BSB translates as </w:t>
      </w:r>
      <w:r>
        <w:rPr>
          <w:i/>
          <w:lang w:val="en_US" w:bidi="en_US"/>
        </w:rPr>
        <w:t>went on</w:t>
      </w:r>
      <w:r>
        <w:rPr>
          <w:lang w:val="en_US" w:bidi="en_US"/>
        </w:rPr>
        <w:t xml:space="preserve"> and </w:t>
      </w:r>
      <w:r>
        <w:rPr>
          <w:i/>
          <w:lang w:val="en_US" w:bidi="en_US"/>
        </w:rPr>
        <w:t>going up</w:t>
      </w:r>
      <w:r>
        <w:rPr>
          <w:lang w:val="en_US" w:bidi="en_US"/>
        </w:rPr>
        <w:t xml:space="preserve"> refer to Jesus going on toward Jerusalem. In some languages it may be more natural to use only one verb to express this. For example:</w:t>
      </w:r>
    </w:p>
    <w:p>
      <w:pPr/>
      <w:r>
        <w:rPr>
          <w:lang w:val="en_US" w:bidi="en_US"/>
        </w:rPr>
      </w:r>
      <w:r>
        <w:rPr>
          <w:lang w:val="en_US" w:bidi="en_US"/>
        </w:rPr>
        <w:t xml:space="preserve">he went on ahead </w:t>
      </w:r>
      <w:r>
        <w:rPr>
          <w:lang w:val="en_US" w:bidi="en_US"/>
        </w:rPr>
        <w:t>of them</w:t>
      </w:r>
      <w:r>
        <w:rPr>
          <w:lang w:val="en_US" w:bidi="en_US"/>
        </w:rPr>
        <w:t xml:space="preserve"> to/toward Jerusalem</w:t>
      </w:r>
    </w:p>
    <w:p>
      <w:pPr/>
      <w:r>
        <w:rPr>
          <w:lang w:val="en_US" w:bidi="en_US"/>
        </w:rPr>
      </w:r>
      <w:r>
        <w:rPr>
          <w:b/>
          <w:lang w:val="en_US" w:bidi="en_US"/>
        </w:rPr>
        <w:t>going up to Jerusalem:</w:t>
      </w:r>
      <w:r>
        <w:rPr>
          <w:lang w:val="en_US" w:bidi="en_US"/>
        </w:rPr>
        <w:t xml:space="preserve"> The city of Jerusalem was higher than most parts of the land of Israel. It was also much higher than Jericho. So, when people were traveling to Jerusalem, they usually said that they were </w:t>
      </w:r>
      <w:r>
        <w:rPr>
          <w:i/>
          <w:lang w:val="en_US" w:bidi="en_US"/>
        </w:rPr>
        <w:t>going up to Jerusalem</w:t>
      </w:r>
      <w:r>
        <w:rPr>
          <w:lang w:val="en_US" w:bidi="en_US"/>
        </w:rPr>
        <w:t>. In some languages, it is more natural to use a more general expression. For example:</w:t>
      </w:r>
    </w:p>
    <w:p>
      <w:pPr/>
      <w:r>
        <w:rPr>
          <w:lang w:val="en_US" w:bidi="en_US"/>
        </w:rPr>
      </w:r>
      <w:r>
        <w:rPr>
          <w:lang w:val="en_US" w:bidi="en_US"/>
        </w:rPr>
        <w:t>going to Jerusalem</w:t>
      </w:r>
    </w:p>
    <w:p>
      <w:pPr/>
      <w:r>
        <w:rPr>
          <w:lang w:val="en_US" w:bidi="en_US"/>
        </w:rPr>
      </w:r>
      <w:r>
        <w:rPr>
          <w:lang w:val="en_US" w:bidi="en_US"/>
        </w:rPr>
        <w:t>See how you translated this same expression in 18:31.</w:t>
      </w:r>
      <w:r>
        <w:rPr>
          <w:lang w:val="en_US" w:bidi="en_US"/>
        </w:rPr>
      </w:r>
      <w:r>
        <w:rPr>
          <w:lang w:val="en_US" w:bidi="en_US"/>
        </w:rPr>
      </w:r>
    </w:p>
    <w:p>
      <w:pPr/>
      <w:r>
        <w:rPr>
          <w:lang w:val="en_US" w:bidi="en_US"/>
        </w:rPr>
      </w:r>
    </w:p>
    <w:p>
      <w:pPr>
        <w:pStyle w:val="Heading2"/>
      </w:pPr>
      <w:r>
        <w:rPr>
          <w:lang w:val="en_US" w:bidi="en_US"/>
        </w:rPr>
        <w:t>Luke 19:29</w:t>
      </w:r>
      <w:r>
        <w:rPr>
          <w:lang w:val="en_US" w:bidi="en_US"/>
        </w:rPr>
      </w:r>
    </w:p>
    <w:p>
      <w:pPr>
        <w:pStyle w:val="Heading4"/>
      </w:pPr>
      <w:r>
        <w:rPr>
          <w:lang w:val="en_US" w:bidi="en_US"/>
        </w:rPr>
        <w:t>Section 19:28–44: Jesus approached Jerusalem</w:t>
      </w:r>
    </w:p>
    <w:p>
      <w:pPr/>
      <w:r>
        <w:rPr>
          <w:lang w:val="en_US" w:bidi="en_US"/>
        </w:rPr>
      </w:r>
      <w:r>
        <w:rPr>
          <w:lang w:val="en_US" w:bidi="en_US"/>
        </w:rP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People of Jerusalem greeted Jesus as king</w:t>
      </w:r>
    </w:p>
    <w:p>
      <w:pPr/>
      <w:r>
        <w:rPr>
          <w:lang w:val="en_US" w:bidi="en_US"/>
        </w:rPr>
      </w:r>
      <w:r>
        <w:rPr>
          <w:lang w:val="en_US" w:bidi="en_US"/>
        </w:rPr>
        <w:t>There are parallel passages for this section in Matthew 21:1–11, Mark 11:1–11, and John 12:12–19.</w:t>
      </w:r>
    </w:p>
    <w:p>
      <w:pPr>
        <w:pStyle w:val="Heading5"/>
      </w:pPr>
      <w:r>
        <w:rPr>
          <w:lang w:val="en_US" w:bidi="en_US"/>
        </w:rPr>
        <w:t>19:29a</w:t>
      </w:r>
    </w:p>
    <w:p>
      <w:pPr/>
      <w:r>
        <w:rPr>
          <w:lang w:val="en_US" w:bidi="en_US"/>
        </w:rPr>
      </w:r>
      <w:r>
        <w:rPr>
          <w:b/>
          <w:lang w:val="en_US" w:bidi="en_US"/>
        </w:rPr>
        <w:t>As He approached Bethphage and Bethany</w:t>
      </w:r>
    </w:p>
    <w:p>
      <w:pPr>
        <w:pStyle w:val="ListBullet"/>
        <w:spacing w:line="240" w:lineRule="auto"/>
        <w:ind w:left="720"/>
      </w:pPr>
      <w:r>
        <w:rPr>
          <w:lang w:val="en_US" w:bidi="en_US"/>
        </w:rPr>
      </w:r>
      <w:r>
        <w:rPr>
          <w:lang w:val="en_US" w:bidi="en_US"/>
        </w:rPr>
        <w:t>As he was coming near Bethphage and Bethany,</w:t>
      </w:r>
    </w:p>
    <w:p>
      <w:pPr>
        <w:pStyle w:val="ListBullet"/>
        <w:spacing w:line="240" w:lineRule="auto"/>
        <w:ind w:left="720"/>
      </w:pPr>
      <w:r>
        <w:rPr>
          <w:lang w:val="en_US" w:bidi="en_US"/>
        </w:rPr>
      </w:r>
      <w:r>
        <w:rPr>
          <w:lang w:val="en_US" w:bidi="en_US"/>
        </w:rPr>
        <w:t xml:space="preserve">After some time, he reached </w:t>
      </w:r>
      <w:r>
        <w:rPr>
          <w:lang w:val="en_US" w:bidi="en_US"/>
        </w:rPr>
        <w:t>a place</w:t>
      </w:r>
      <w:r>
        <w:rPr>
          <w:lang w:val="en_US" w:bidi="en_US"/>
        </w:rPr>
        <w:t xml:space="preserve"> not far from </w:t>
      </w:r>
      <w:r>
        <w:rPr>
          <w:lang w:val="en_US" w:bidi="en_US"/>
        </w:rPr>
        <w:t>the villages called</w:t>
      </w:r>
      <w:r>
        <w:rPr>
          <w:lang w:val="en_US" w:bidi="en_US"/>
        </w:rPr>
        <w:t xml:space="preserve"> Bethphage and Bethany.</w:t>
      </w:r>
    </w:p>
    <w:p>
      <w:pPr/>
      <w:r>
        <w:rPr>
          <w:lang w:val="en_US" w:bidi="en_US"/>
        </w:rPr>
      </w:r>
      <w:r>
        <w:rPr>
          <w:b/>
          <w:lang w:val="en_US" w:bidi="en_US"/>
        </w:rPr>
        <w:t>As He approached:</w:t>
      </w:r>
      <w:r>
        <w:rPr>
          <w:lang w:val="en_US" w:bidi="en_US"/>
        </w:rPr>
        <w:t xml:space="preserve"> The word </w:t>
      </w:r>
      <w:r>
        <w:rPr>
          <w:i/>
          <w:lang w:val="en_US" w:bidi="en_US"/>
        </w:rPr>
        <w:t>He</w:t>
      </w:r>
      <w:r>
        <w:rPr>
          <w:lang w:val="en_US" w:bidi="en_US"/>
        </w:rPr>
        <w:t xml:space="preserve"> refers to Jesus, but the context implies that his followers were also with him. In some languages it may be necessary to make this explicit. For example:</w:t>
      </w:r>
    </w:p>
    <w:p>
      <w:pPr/>
      <w:r>
        <w:rPr>
          <w:lang w:val="en_US" w:bidi="en_US"/>
        </w:rPr>
      </w:r>
      <w:r>
        <w:rPr>
          <w:lang w:val="en_US" w:bidi="en_US"/>
        </w:rPr>
        <w:t xml:space="preserve">As he </w:t>
      </w:r>
      <w:r>
        <w:rPr>
          <w:lang w:val="en_US" w:bidi="en_US"/>
        </w:rPr>
        <w:t>and his followers</w:t>
      </w:r>
      <w:r>
        <w:rPr>
          <w:lang w:val="en_US" w:bidi="en_US"/>
        </w:rPr>
        <w:t xml:space="preserve"> approached</w:t>
      </w:r>
    </w:p>
    <w:p>
      <w:pPr/>
      <w:r>
        <w:rPr>
          <w:lang w:val="en_US" w:bidi="en_US"/>
        </w:rPr>
      </w:r>
      <w:r>
        <w:rPr>
          <w:lang w:val="en_US" w:bidi="en_US"/>
        </w:rPr>
        <w:t>As they came near</w:t>
      </w:r>
    </w:p>
    <w:p>
      <w:pPr/>
      <w:r>
        <w:rPr>
          <w:lang w:val="en_US" w:bidi="en_US"/>
        </w:rPr>
      </w:r>
      <w:r>
        <w:rPr>
          <w:b/>
          <w:lang w:val="en_US" w:bidi="en_US"/>
        </w:rPr>
        <w:t>Bethphage and Bethany:</w:t>
      </w:r>
      <w:r>
        <w:rPr>
          <w:lang w:val="en_US" w:bidi="en_US"/>
        </w:rPr>
        <w:t xml:space="preserve"> </w:t>
      </w:r>
      <w:r>
        <w:rPr>
          <w:i/>
          <w:lang w:val="en_US" w:bidi="en_US"/>
        </w:rPr>
        <w:t>Bethphage</w:t>
      </w:r>
      <w:r>
        <w:rPr>
          <w:lang w:val="en_US" w:bidi="en_US"/>
        </w:rPr>
        <w:t xml:space="preserve"> and </w:t>
      </w:r>
      <w:r>
        <w:rPr>
          <w:i/>
          <w:lang w:val="en_US" w:bidi="en_US"/>
        </w:rPr>
        <w:t>Bethany</w:t>
      </w:r>
      <w:r>
        <w:rPr>
          <w:lang w:val="en_US" w:bidi="en_US"/>
        </w:rPr>
        <w:t xml:space="preserve"> were two villages near Jerusalem. Probably fewer than two hundred people lived in either village at that time. </w:t>
      </w:r>
      <w:r>
        <w:rPr>
          <w:i/>
          <w:lang w:val="en_US" w:bidi="en_US"/>
        </w:rPr>
        <w:t>Bethany</w:t>
      </w:r>
      <w:r>
        <w:rPr>
          <w:lang w:val="en_US" w:bidi="en_US"/>
        </w:rPr>
        <w:t xml:space="preserve"> was the village where Mary, Martha, and Lazarus lived.</w:t>
      </w:r>
      <w:r>
        <w:rPr>
          <w:lang w:val="en_US" w:bidi="en_US"/>
        </w:rPr>
        <w:t>This fact is stated in John 11:1. Matthew 21:17 mentions that Jesus spent the night in Bethany.</w:t>
      </w:r>
      <w:r>
        <w:rPr>
          <w:lang w:val="en_US" w:bidi="en_US"/>
        </w:rPr>
        <w:t xml:space="preserve"> It was less than two miles from Jerusalem. </w:t>
      </w:r>
      <w:r>
        <w:rPr>
          <w:i/>
          <w:lang w:val="en_US" w:bidi="en_US"/>
        </w:rPr>
        <w:t>Bethphage</w:t>
      </w:r>
      <w:r>
        <w:rPr>
          <w:lang w:val="en_US" w:bidi="en_US"/>
        </w:rPr>
        <w:t xml:space="preserve"> is mentioned in Matthew 21:1 and Mark 11:1.</w:t>
      </w:r>
    </w:p>
    <w:p>
      <w:pPr>
        <w:pStyle w:val="Heading5"/>
      </w:pPr>
      <w:r>
        <w:rPr>
          <w:lang w:val="en_US" w:bidi="en_US"/>
        </w:rPr>
        <w:t>19:29b</w:t>
      </w:r>
    </w:p>
    <w:p>
      <w:pPr/>
      <w:r>
        <w:rPr>
          <w:lang w:val="en_US" w:bidi="en_US"/>
        </w:rPr>
      </w:r>
      <w:r>
        <w:rPr>
          <w:b/>
          <w:lang w:val="en_US" w:bidi="en_US"/>
        </w:rPr>
        <w:t>at the Mount of Olives,</w:t>
      </w:r>
    </w:p>
    <w:p>
      <w:pPr>
        <w:pStyle w:val="ListBullet"/>
        <w:spacing w:line="240" w:lineRule="auto"/>
        <w:ind w:left="720"/>
      </w:pPr>
      <w:r>
        <w:rPr>
          <w:lang w:val="en_US" w:bidi="en_US"/>
        </w:rPr>
      </w:r>
      <w:r>
        <w:rPr>
          <w:lang w:val="en_US" w:bidi="en_US"/>
        </w:rPr>
        <w:t xml:space="preserve">to the hill/mountain called Olive </w:t>
      </w:r>
      <w:r>
        <w:rPr>
          <w:lang w:val="en_US" w:bidi="en_US"/>
        </w:rPr>
        <w:t>Tree</w:t>
      </w:r>
      <w:r>
        <w:rPr>
          <w:lang w:val="en_US" w:bidi="en_US"/>
        </w:rPr>
        <w:t xml:space="preserve"> Mountain,</w:t>
      </w:r>
    </w:p>
    <w:p>
      <w:pPr>
        <w:pStyle w:val="ListBullet"/>
        <w:spacing w:line="240" w:lineRule="auto"/>
        <w:ind w:left="720"/>
      </w:pPr>
      <w:r>
        <w:rPr>
          <w:lang w:val="en_US" w:bidi="en_US"/>
        </w:rPr>
      </w:r>
      <w:r>
        <w:rPr>
          <w:lang w:val="en_US" w:bidi="en_US"/>
        </w:rPr>
        <w:t>These villages were located</w:t>
      </w:r>
      <w:r>
        <w:rPr>
          <w:lang w:val="en_US" w:bidi="en_US"/>
        </w:rPr>
        <w:t xml:space="preserve"> on </w:t>
      </w:r>
      <w:r>
        <w:rPr>
          <w:lang w:val="en_US" w:bidi="en_US"/>
        </w:rPr>
        <w:t>the side/slope of</w:t>
      </w:r>
      <w:r>
        <w:rPr>
          <w:lang w:val="en_US" w:bidi="en_US"/>
        </w:rPr>
        <w:t xml:space="preserve"> the Hill of Olive </w:t>
      </w:r>
      <w:r>
        <w:rPr>
          <w:lang w:val="en_US" w:bidi="en_US"/>
        </w:rPr>
        <w:t>Trees</w:t>
      </w:r>
      <w:r>
        <w:rPr>
          <w:lang w:val="en_US" w:bidi="en_US"/>
        </w:rPr>
        <w:t>.</w:t>
      </w:r>
    </w:p>
    <w:p>
      <w:pPr/>
      <w:r>
        <w:rPr>
          <w:lang w:val="en_US" w:bidi="en_US"/>
        </w:rPr>
      </w:r>
      <w:r>
        <w:rPr>
          <w:b/>
          <w:lang w:val="en_US" w:bidi="en_US"/>
        </w:rPr>
        <w:t>at the Mount of Olives:</w:t>
      </w:r>
      <w:r>
        <w:rPr>
          <w:lang w:val="en_US" w:bidi="en_US"/>
        </w:rPr>
        <w:t xml:space="preserve"> This phrase tells about the location of Bethphage and Bethany (19:29a). These villages were located near the Mount of Olives or on the slope of it. Some other ways to translate the phrase are:</w:t>
      </w:r>
    </w:p>
    <w:p>
      <w:pPr/>
      <w:r>
        <w:rPr>
          <w:lang w:val="en_US" w:bidi="en_US"/>
        </w:rPr>
      </w:r>
      <w:r>
        <w:rPr>
          <w:lang w:val="en_US" w:bidi="en_US"/>
        </w:rPr>
        <w:t>on the Mount of Olives (CEV)</w:t>
      </w:r>
    </w:p>
    <w:p>
      <w:pPr/>
      <w:r>
        <w:rPr>
          <w:lang w:val="en_US" w:bidi="en_US"/>
        </w:rPr>
      </w:r>
      <w:r>
        <w:rPr>
          <w:lang w:val="en_US" w:bidi="en_US"/>
        </w:rPr>
        <w:t>on the hillside going up the mountain called the Place of Olives</w:t>
      </w:r>
      <w:r>
        <w:rPr>
          <w:lang w:val="en_US" w:bidi="en_US"/>
        </w:rPr>
        <w:t>Western Bukidnon Manobo back translation on TW.</w:t>
      </w:r>
    </w:p>
    <w:p>
      <w:pPr/>
      <w:r>
        <w:rPr>
          <w:lang w:val="en_US" w:bidi="en_US"/>
        </w:rPr>
      </w:r>
      <w:r>
        <w:rPr>
          <w:lang w:val="en_US" w:bidi="en_US"/>
        </w:rPr>
        <w:t>near the hill called the Mount of Olives (NCV)</w:t>
      </w:r>
    </w:p>
    <w:p>
      <w:pPr/>
      <w:r>
        <w:rPr>
          <w:lang w:val="en_US" w:bidi="en_US"/>
        </w:rPr>
      </w:r>
      <w:r>
        <w:rPr>
          <w:b/>
          <w:lang w:val="en_US" w:bidi="en_US"/>
        </w:rPr>
        <w:t>the Mount of Olives:</w:t>
      </w:r>
      <w:r>
        <w:rPr>
          <w:lang w:val="en_US" w:bidi="en_US"/>
        </w:rPr>
        <w:t xml:space="preserve"> The Greek phrase that the BSB translates as </w:t>
      </w:r>
      <w:r>
        <w:rPr>
          <w:i/>
          <w:lang w:val="en_US" w:bidi="en_US"/>
        </w:rPr>
        <w:t>the Mount of Olives</w:t>
      </w:r>
      <w:r>
        <w:rPr>
          <w:lang w:val="en_US" w:bidi="en_US"/>
        </w:rPr>
        <w:t xml:space="preserve"> is literally “the hill called Of Olives.” This phrase is describing the name of a hill/mountain on the east side of Jerusalem. The highest point of the Mount of Olives is approximately 830 meters (2,675 feet) above sea level. It is about sixty meters (two hundred feet) higher than Jerusalem, but it is separated from Jerusalem by a deep valley.</w:t>
      </w:r>
      <w:r>
        <w:rPr>
          <w:lang w:val="en_US" w:bidi="en_US"/>
        </w:rPr>
        <w:t>This valley is called the Kidron Valley. It is about 140 meters (450 feet) deep.</w:t>
      </w:r>
    </w:p>
    <w:p>
      <w:pPr/>
      <w:r>
        <w:rPr>
          <w:lang w:val="en_US" w:bidi="en_US"/>
        </w:rPr>
      </w:r>
      <w:r>
        <w:rPr>
          <w:lang w:val="en_US" w:bidi="en_US"/>
        </w:rPr>
        <w:t xml:space="preserve">People called this hill/mountain </w:t>
      </w:r>
      <w:r>
        <w:rPr>
          <w:i/>
          <w:lang w:val="en_US" w:bidi="en_US"/>
        </w:rPr>
        <w:t>the Mount of Olives</w:t>
      </w:r>
      <w:r>
        <w:rPr>
          <w:lang w:val="en_US" w:bidi="en_US"/>
        </w:rPr>
        <w:t xml:space="preserve"> because it had olive trees growing on it. Some other ways to translate it are:</w:t>
      </w:r>
    </w:p>
    <w:p>
      <w:pPr/>
      <w:r>
        <w:rPr>
          <w:lang w:val="en_US" w:bidi="en_US"/>
        </w:rPr>
      </w:r>
      <w:r>
        <w:rPr>
          <w:lang w:val="en_US" w:bidi="en_US"/>
        </w:rPr>
        <w:t>Olive Mountain/Hill</w:t>
      </w:r>
    </w:p>
    <w:p>
      <w:pPr/>
      <w:r>
        <w:rPr>
          <w:lang w:val="en_US" w:bidi="en_US"/>
        </w:rPr>
      </w:r>
      <w:r>
        <w:rPr>
          <w:lang w:val="en_US" w:bidi="en_US"/>
        </w:rPr>
        <w:t>Olive Tree/Grove Hill</w:t>
      </w:r>
    </w:p>
    <w:p>
      <w:pPr/>
      <w:r>
        <w:rPr>
          <w:lang w:val="en_US" w:bidi="en_US"/>
        </w:rPr>
      </w:r>
      <w:r>
        <w:rPr>
          <w:lang w:val="en_US" w:bidi="en_US"/>
        </w:rPr>
        <w:t>hill/mountain with olive trees</w:t>
      </w:r>
    </w:p>
    <w:p>
      <w:pPr/>
      <w:r>
        <w:rPr>
          <w:lang w:val="en_US" w:bidi="en_US"/>
        </w:rPr>
      </w:r>
      <w:r>
        <w:rPr>
          <w:lang w:val="en_US" w:bidi="en_US"/>
        </w:rPr>
        <w:t xml:space="preserve">If olive trees are not known in your area, you may borrow the word that means </w:t>
      </w:r>
      <w:r>
        <w:rPr>
          <w:i/>
          <w:lang w:val="en_US" w:bidi="en_US"/>
        </w:rPr>
        <w:t>Olives</w:t>
      </w:r>
      <w:r>
        <w:rPr>
          <w:lang w:val="en_US" w:bidi="en_US"/>
        </w:rPr>
        <w:t xml:space="preserve"> from another language. If this word is not well known, you may want to add a descriptive phrase. For example:</w:t>
      </w:r>
    </w:p>
    <w:p>
      <w:pPr/>
      <w:r>
        <w:rPr>
          <w:lang w:val="en_US" w:bidi="en_US"/>
        </w:rPr>
      </w:r>
      <w:r>
        <w:rPr>
          <w:lang w:val="en_US" w:bidi="en_US"/>
        </w:rPr>
        <w:t xml:space="preserve">hill </w:t>
      </w:r>
      <w:r>
        <w:rPr>
          <w:lang w:val="en_US" w:bidi="en_US"/>
        </w:rPr>
        <w:t>where the trees</w:t>
      </w:r>
      <w:r>
        <w:rPr>
          <w:lang w:val="en_US" w:bidi="en_US"/>
        </w:rPr>
        <w:t xml:space="preserve"> called “olive” grow</w:t>
      </w:r>
    </w:p>
    <w:p>
      <w:pPr/>
      <w:r>
        <w:rPr>
          <w:lang w:val="en_US" w:bidi="en_US"/>
        </w:rPr>
      </w:r>
      <w:r>
        <w:rPr>
          <w:b/>
          <w:lang w:val="en_US" w:bidi="en_US"/>
        </w:rPr>
        <w:t>Olives:</w:t>
      </w:r>
      <w:r>
        <w:rPr>
          <w:lang w:val="en_US" w:bidi="en_US"/>
        </w:rPr>
        <w:t xml:space="preserve"> The word </w:t>
      </w:r>
      <w:r>
        <w:rPr>
          <w:i/>
          <w:lang w:val="en_US" w:bidi="en_US"/>
        </w:rPr>
        <w:t>Olives</w:t>
      </w:r>
      <w:r>
        <w:rPr>
          <w:lang w:val="en_US" w:bidi="en_US"/>
        </w:rPr>
        <w:t xml:space="preserve"> can refer to a kind of tree or to the fruits that grow on those trees. Here it refers to the trees.</w:t>
      </w:r>
    </w:p>
    <w:p>
      <w:pPr/>
      <w:r>
        <w:rPr>
          <w:lang w:val="en_US" w:bidi="en_US"/>
        </w:rPr>
      </w:r>
      <w:r>
        <w:rPr>
          <w:lang w:val="en_US" w:bidi="en_US"/>
        </w:rPr>
        <w:t>The olive fruit grows on trees. It is small and round with a hard seed inside. The olive was an important food in ancient times. It was pressed into oil that was used in cooking, as fuel for lamps, and in medicine and cosmetics. It was also used in some religious rituals.</w:t>
      </w:r>
    </w:p>
    <w:p>
      <w:pPr>
        <w:pStyle w:val="Heading5"/>
      </w:pPr>
      <w:r>
        <w:rPr>
          <w:lang w:val="en_US" w:bidi="en_US"/>
        </w:rPr>
        <w:t>19:29c</w:t>
      </w:r>
    </w:p>
    <w:p>
      <w:pPr/>
      <w:r>
        <w:rPr>
          <w:lang w:val="en_US" w:bidi="en_US"/>
        </w:rPr>
      </w:r>
      <w:r>
        <w:rPr>
          <w:b/>
          <w:lang w:val="en_US" w:bidi="en_US"/>
        </w:rPr>
        <w:t>He sent out two of His disciples,</w:t>
      </w:r>
    </w:p>
    <w:p>
      <w:pPr>
        <w:pStyle w:val="ListBullet"/>
        <w:spacing w:line="240" w:lineRule="auto"/>
        <w:ind w:left="720"/>
      </w:pPr>
      <w:r>
        <w:rPr>
          <w:lang w:val="en_US" w:bidi="en_US"/>
        </w:rPr>
      </w:r>
      <w:r>
        <w:rPr>
          <w:lang w:val="en_US" w:bidi="en_US"/>
        </w:rPr>
        <w:t xml:space="preserve">he sent two of his disciples </w:t>
      </w:r>
      <w:r>
        <w:rPr>
          <w:lang w:val="en_US" w:bidi="en_US"/>
        </w:rPr>
        <w:t>ahead of him</w:t>
      </w:r>
      <w:r>
        <w:rPr>
          <w:lang w:val="en_US" w:bidi="en_US"/>
        </w:rPr>
        <w:t xml:space="preserve">. </w:t>
      </w:r>
      <w:r>
        <w:rPr>
          <w:lang w:val="en_US" w:bidi="en_US"/>
        </w:rPr>
        <w:t>Before they left,</w:t>
      </w:r>
      <w:r>
        <w:rPr>
          <w:lang w:val="en_US" w:bidi="en_US"/>
        </w:rPr>
        <w:t xml:space="preserve"> he said to them,</w:t>
      </w:r>
    </w:p>
    <w:p>
      <w:pPr>
        <w:pStyle w:val="ListBullet"/>
        <w:spacing w:line="240" w:lineRule="auto"/>
        <w:ind w:left="720"/>
      </w:pPr>
      <w:r>
        <w:rPr>
          <w:lang w:val="en_US" w:bidi="en_US"/>
        </w:rPr>
      </w:r>
      <w:r>
        <w:rPr>
          <w:lang w:val="en_US" w:bidi="en_US"/>
        </w:rPr>
        <w:t xml:space="preserve">Then </w:t>
      </w:r>
      <w:r>
        <w:rPr>
          <w:lang w:val="en_US" w:bidi="en_US"/>
        </w:rPr>
        <w:t>Jesus called</w:t>
      </w:r>
      <w:r>
        <w:rPr>
          <w:lang w:val="en_US" w:bidi="en_US"/>
        </w:rPr>
        <w:t xml:space="preserve"> two of his disciples </w:t>
      </w:r>
      <w:r>
        <w:rPr>
          <w:lang w:val="en_US" w:bidi="en_US"/>
        </w:rPr>
        <w:t>to him and</w:t>
      </w:r>
      <w:r>
        <w:rPr>
          <w:lang w:val="en_US" w:bidi="en_US"/>
        </w:rPr>
        <w:t xml:space="preserve"> told them,</w:t>
      </w:r>
    </w:p>
    <w:p>
      <w:pPr/>
      <w:r>
        <w:rPr>
          <w:lang w:val="en_US" w:bidi="en_US"/>
        </w:rPr>
      </w:r>
      <w:r>
        <w:rPr>
          <w:b/>
          <w:lang w:val="en_US" w:bidi="en_US"/>
        </w:rPr>
        <w:t>He sent out two of His disciples:</w:t>
      </w:r>
      <w:r>
        <w:rPr>
          <w:lang w:val="en_US" w:bidi="en_US"/>
        </w:rPr>
        <w:t xml:space="preserve"> The word </w:t>
      </w:r>
      <w:r>
        <w:rPr>
          <w:i/>
          <w:lang w:val="en_US" w:bidi="en_US"/>
        </w:rPr>
        <w:t>sent</w:t>
      </w:r>
      <w:r>
        <w:rPr>
          <w:lang w:val="en_US" w:bidi="en_US"/>
        </w:rPr>
        <w:t xml:space="preserve"> indicates that Jesus told the two disciples to go and do a particular task.</w:t>
      </w:r>
      <w:r>
        <w:rPr>
          <w:lang w:val="en_US" w:bidi="en_US"/>
        </w:rPr>
      </w:r>
      <w:r>
        <w:rPr>
          <w:lang w:val="en_US" w:bidi="en_US"/>
        </w:rPr>
      </w:r>
    </w:p>
    <w:p>
      <w:pPr/>
      <w:r>
        <w:rPr>
          <w:lang w:val="en_US" w:bidi="en_US"/>
        </w:rPr>
      </w:r>
    </w:p>
    <w:p>
      <w:pPr>
        <w:pStyle w:val="Heading2"/>
      </w:pPr>
      <w:r>
        <w:rPr>
          <w:lang w:val="en_US" w:bidi="en_US"/>
        </w:rPr>
        <w:t>Luke 19:30</w:t>
      </w:r>
      <w:r>
        <w:rPr>
          <w:lang w:val="en_US" w:bidi="en_US"/>
        </w:rPr>
      </w:r>
    </w:p>
    <w:p>
      <w:pPr>
        <w:pStyle w:val="Heading4"/>
      </w:pPr>
      <w:r>
        <w:rPr>
          <w:lang w:val="en_US" w:bidi="en_US"/>
        </w:rPr>
        <w:t>Section 19:28–44: Jesus approached Jerusalem</w:t>
      </w:r>
    </w:p>
    <w:p>
      <w:pPr/>
      <w:r>
        <w:rPr>
          <w:lang w:val="en_US" w:bidi="en_US"/>
        </w:rPr>
      </w:r>
      <w:r>
        <w:rPr>
          <w:lang w:val="en_US" w:bidi="en_US"/>
        </w:rP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People of Jerusalem greeted Jesus as king</w:t>
      </w:r>
    </w:p>
    <w:p>
      <w:pPr/>
      <w:r>
        <w:rPr>
          <w:lang w:val="en_US" w:bidi="en_US"/>
        </w:rPr>
      </w:r>
      <w:r>
        <w:rPr>
          <w:lang w:val="en_US" w:bidi="en_US"/>
        </w:rPr>
        <w:t>There are parallel passages for this section in Matthew 21:1–11, Mark 11:1–11, and John 12:12–19.</w:t>
      </w:r>
    </w:p>
    <w:p>
      <w:pPr>
        <w:pStyle w:val="Heading5"/>
      </w:pPr>
      <w:r>
        <w:rPr>
          <w:lang w:val="en_US" w:bidi="en_US"/>
        </w:rPr>
        <w:t>19:30a</w:t>
      </w:r>
    </w:p>
    <w:p>
      <w:pPr/>
      <w:r>
        <w:rPr>
          <w:lang w:val="en_US" w:bidi="en_US"/>
        </w:rPr>
      </w:r>
      <w:r>
        <w:rPr>
          <w:b/>
          <w:lang w:val="en_US" w:bidi="en_US"/>
        </w:rPr>
        <w:t>saying, “Go into the village ahead of you,</w:t>
      </w:r>
    </w:p>
    <w:p>
      <w:pPr>
        <w:pStyle w:val="ListBullet"/>
        <w:spacing w:line="240" w:lineRule="auto"/>
        <w:ind w:left="720"/>
      </w:pPr>
      <w:r>
        <w:rPr>
          <w:lang w:val="en_US" w:bidi="en_US"/>
        </w:rPr>
      </w:r>
      <w:r>
        <w:rPr>
          <w:lang w:val="en_US" w:bidi="en_US"/>
        </w:rPr>
        <w:t>“Go</w:t>
      </w:r>
      <w:r>
        <w:rPr>
          <w:vertAlign w:val="superscript"/>
          <w:lang w:val="en_US" w:bidi="en_US"/>
        </w:rPr>
        <w:t>(plur)</w:t>
      </w:r>
      <w:r>
        <w:rPr>
          <w:lang w:val="en_US" w:bidi="en_US"/>
        </w:rPr>
        <w:t xml:space="preserve"> to that village in front of you/us.</w:t>
      </w:r>
    </w:p>
    <w:p>
      <w:pPr>
        <w:pStyle w:val="ListBullet"/>
        <w:spacing w:line="240" w:lineRule="auto"/>
        <w:ind w:left="720"/>
      </w:pPr>
      <w:r>
        <w:rPr>
          <w:lang w:val="en_US" w:bidi="en_US"/>
        </w:rPr>
      </w:r>
      <w:r>
        <w:rPr>
          <w:lang w:val="en_US" w:bidi="en_US"/>
        </w:rPr>
        <w:t>“Go</w:t>
      </w:r>
      <w:r>
        <w:rPr>
          <w:vertAlign w:val="superscript"/>
          <w:lang w:val="en_US" w:bidi="en_US"/>
        </w:rPr>
        <w:t>(dual)</w:t>
      </w:r>
      <w:r>
        <w:rPr>
          <w:lang w:val="en_US" w:bidi="en_US"/>
        </w:rPr>
        <w:t xml:space="preserve"> to the town that </w:t>
      </w:r>
      <w:r>
        <w:rPr>
          <w:lang w:val="en_US" w:bidi="en_US"/>
        </w:rPr>
        <w:t>you can see</w:t>
      </w:r>
      <w:r>
        <w:rPr>
          <w:lang w:val="en_US" w:bidi="en_US"/>
        </w:rPr>
        <w:t xml:space="preserve"> over there.</w:t>
      </w:r>
    </w:p>
    <w:p>
      <w:pPr/>
      <w:r>
        <w:rPr>
          <w:lang w:val="en_US" w:bidi="en_US"/>
        </w:rPr>
      </w:r>
      <w:r>
        <w:rPr>
          <w:b/>
          <w:lang w:val="en_US" w:bidi="en_US"/>
        </w:rPr>
        <w:t>saying</w:t>
      </w:r>
      <w:r>
        <w:rPr>
          <w:lang w:val="en_US" w:bidi="en_US"/>
        </w:rPr>
        <w:t xml:space="preserve"> The word </w:t>
      </w:r>
      <w:r>
        <w:rPr>
          <w:i/>
          <w:lang w:val="en_US" w:bidi="en_US"/>
        </w:rPr>
        <w:t>saying</w:t>
      </w:r>
      <w:r>
        <w:rPr>
          <w:lang w:val="en_US" w:bidi="en_US"/>
        </w:rPr>
        <w:t xml:space="preserve"> introduces the details of what Jesus told these disciples to do. Use an appropriate way in your language to express this.</w:t>
      </w:r>
    </w:p>
    <w:p>
      <w:pPr/>
      <w:r>
        <w:rPr>
          <w:lang w:val="en_US" w:bidi="en_US"/>
        </w:rPr>
      </w:r>
      <w:r>
        <w:rPr>
          <w:b/>
          <w:lang w:val="en_US" w:bidi="en_US"/>
        </w:rPr>
        <w:t>Go into the village ahead of you:</w:t>
      </w:r>
      <w:r>
        <w:rPr>
          <w:lang w:val="en_US" w:bidi="en_US"/>
        </w:rPr>
        <w:t xml:space="preserve"> The phrase </w:t>
      </w:r>
      <w:r>
        <w:rPr>
          <w:i/>
          <w:lang w:val="en_US" w:bidi="en_US"/>
        </w:rPr>
        <w:t>the village ahead of you</w:t>
      </w:r>
      <w:r>
        <w:rPr>
          <w:lang w:val="en_US" w:bidi="en_US"/>
        </w:rPr>
        <w:t xml:space="preserve"> refers to a village that was near the disciples or across from them.</w:t>
      </w:r>
      <w:r>
        <w:rPr>
          <w:lang w:val="en_US" w:bidi="en_US"/>
        </w:rPr>
        <w:t>This phrase probably refers to Bethphage. However, it could have referred to Bethany or to a different village. It is best not to mention a name for the village.</w:t>
      </w:r>
      <w:r>
        <w:rPr>
          <w:lang w:val="en_US" w:bidi="en_US"/>
        </w:rPr>
        <w:t xml:space="preserve"> The phrase may imply that the disciples could see it from where they were standing. Other ways to translate it are:</w:t>
      </w:r>
    </w:p>
    <w:p>
      <w:pPr/>
      <w:r>
        <w:rPr>
          <w:lang w:val="en_US" w:bidi="en_US"/>
        </w:rPr>
      </w:r>
      <w:r>
        <w:rPr>
          <w:lang w:val="en_US" w:bidi="en_US"/>
        </w:rPr>
        <w:t>the next village (CEV)</w:t>
      </w:r>
    </w:p>
    <w:p>
      <w:pPr/>
      <w:r>
        <w:rPr>
          <w:lang w:val="en_US" w:bidi="en_US"/>
        </w:rPr>
      </w:r>
      <w:r>
        <w:rPr>
          <w:lang w:val="en_US" w:bidi="en_US"/>
        </w:rPr>
        <w:t>that village over there (NLT)</w:t>
      </w:r>
    </w:p>
    <w:p>
      <w:pPr/>
      <w:r>
        <w:rPr>
          <w:lang w:val="en_US" w:bidi="en_US"/>
        </w:rPr>
      </w:r>
      <w:r>
        <w:rPr>
          <w:b/>
          <w:lang w:val="en_US" w:bidi="en_US"/>
        </w:rPr>
        <w:t>you:</w:t>
      </w:r>
      <w:r>
        <w:rPr>
          <w:lang w:val="en_US" w:bidi="en_US"/>
        </w:rPr>
        <w:t xml:space="preserve"> The word </w:t>
      </w:r>
      <w:r>
        <w:rPr>
          <w:i/>
          <w:lang w:val="en_US" w:bidi="en_US"/>
        </w:rPr>
        <w:t>you</w:t>
      </w:r>
      <w:r>
        <w:rPr>
          <w:lang w:val="en_US" w:bidi="en_US"/>
        </w:rPr>
        <w:t xml:space="preserve"> refers to the two disciples whom Jesus sent in 19:29. If your language uses a dual form, you could use it here.</w:t>
      </w:r>
    </w:p>
    <w:p>
      <w:pPr>
        <w:pStyle w:val="Heading5"/>
      </w:pPr>
      <w:r>
        <w:rPr>
          <w:lang w:val="en_US" w:bidi="en_US"/>
        </w:rPr>
        <w:t>19:30b</w:t>
      </w:r>
    </w:p>
    <w:p>
      <w:pPr/>
      <w:r>
        <w:rPr>
          <w:lang w:val="en_US" w:bidi="en_US"/>
        </w:rPr>
      </w:r>
      <w:r>
        <w:rPr>
          <w:b/>
          <w:lang w:val="en_US" w:bidi="en_US"/>
        </w:rPr>
        <w:t>and as you enter it, you will find a colt tied there,</w:t>
      </w:r>
    </w:p>
    <w:p>
      <w:pPr>
        <w:pStyle w:val="ListBullet"/>
        <w:spacing w:line="240" w:lineRule="auto"/>
        <w:ind w:left="720"/>
      </w:pPr>
      <w:r>
        <w:rPr>
          <w:lang w:val="en_US" w:bidi="en_US"/>
        </w:rPr>
      </w:r>
      <w:r>
        <w:rPr>
          <w:lang w:val="en_US" w:bidi="en_US"/>
        </w:rPr>
        <w:t>As you</w:t>
      </w:r>
      <w:r>
        <w:rPr>
          <w:vertAlign w:val="superscript"/>
          <w:lang w:val="en_US" w:bidi="en_US"/>
        </w:rPr>
        <w:t>(plur)</w:t>
      </w:r>
      <w:r>
        <w:rPr>
          <w:lang w:val="en_US" w:bidi="en_US"/>
        </w:rPr>
        <w:t xml:space="preserve"> are entering it, you will see a colt that </w:t>
      </w:r>
      <w:r>
        <w:rPr>
          <w:lang w:val="en_US" w:bidi="en_US"/>
        </w:rPr>
        <w:t>someone</w:t>
      </w:r>
      <w:r>
        <w:rPr>
          <w:lang w:val="en_US" w:bidi="en_US"/>
        </w:rPr>
        <w:t xml:space="preserve"> tied there.</w:t>
      </w:r>
    </w:p>
    <w:p>
      <w:pPr>
        <w:pStyle w:val="ListBullet"/>
        <w:spacing w:line="240" w:lineRule="auto"/>
        <w:ind w:left="720"/>
      </w:pPr>
      <w:r>
        <w:rPr>
          <w:lang w:val="en_US" w:bidi="en_US"/>
        </w:rPr>
      </w:r>
      <w:r>
        <w:rPr>
          <w:lang w:val="en_US" w:bidi="en_US"/>
        </w:rPr>
        <w:t>When you</w:t>
      </w:r>
      <w:r>
        <w:rPr>
          <w:vertAlign w:val="superscript"/>
          <w:lang w:val="en_US" w:bidi="en_US"/>
        </w:rPr>
        <w:t>(dual)</w:t>
      </w:r>
      <w:r>
        <w:rPr>
          <w:lang w:val="en_US" w:bidi="en_US"/>
        </w:rPr>
        <w:t xml:space="preserve"> come into town, you will find a young donkey tethered </w:t>
      </w:r>
      <w:r>
        <w:rPr>
          <w:lang w:val="en_US" w:bidi="en_US"/>
        </w:rPr>
        <w:t>with/by a cord</w:t>
      </w:r>
      <w:r>
        <w:rPr>
          <w:lang w:val="en_US" w:bidi="en_US"/>
        </w:rPr>
        <w:t xml:space="preserve"> </w:t>
      </w:r>
      <w:r>
        <w:rPr>
          <w:lang w:val="en_US" w:bidi="en_US"/>
        </w:rPr>
        <w:t>to a post</w:t>
      </w:r>
      <w:r>
        <w:rPr>
          <w:lang w:val="en_US" w:bidi="en_US"/>
        </w:rPr>
        <w:t>.</w:t>
      </w:r>
    </w:p>
    <w:p>
      <w:pPr/>
      <w:r>
        <w:rPr>
          <w:lang w:val="en_US" w:bidi="en_US"/>
        </w:rPr>
      </w:r>
      <w:r>
        <w:rPr>
          <w:b/>
          <w:lang w:val="en_US" w:bidi="en_US"/>
        </w:rPr>
        <w:t>and as you enter it, you will find a colt:</w:t>
      </w:r>
      <w:r>
        <w:rPr>
          <w:lang w:val="en_US" w:bidi="en_US"/>
        </w:rPr>
        <w:t xml:space="preserve"> The clause </w:t>
      </w:r>
      <w:r>
        <w:rPr>
          <w:i/>
          <w:lang w:val="en_US" w:bidi="en_US"/>
        </w:rPr>
        <w:t>and as you enter it</w:t>
      </w:r>
      <w:r>
        <w:rPr>
          <w:lang w:val="en_US" w:bidi="en_US"/>
        </w:rPr>
        <w:t xml:space="preserve"> refers to the two disciples coming into the village. In this context the verb </w:t>
      </w:r>
      <w:r>
        <w:rPr>
          <w:i/>
          <w:lang w:val="en_US" w:bidi="en_US"/>
        </w:rPr>
        <w:t>find</w:t>
      </w:r>
      <w:r>
        <w:rPr>
          <w:lang w:val="en_US" w:bidi="en_US"/>
        </w:rPr>
        <w:t xml:space="preserve"> indicates that they would </w:t>
      </w:r>
      <w:r>
        <w:rPr>
          <w:u w:val="single"/>
          <w:lang w:val="en_US" w:bidi="en_US"/>
        </w:rPr>
        <w:t>see</w:t>
      </w:r>
      <w:r>
        <w:rPr>
          <w:lang w:val="en_US" w:bidi="en_US"/>
        </w:rPr>
        <w:t xml:space="preserve"> a colt. It does not imply that they would have to search for it. Here is another way to translate this:</w:t>
      </w:r>
    </w:p>
    <w:p>
      <w:pPr/>
      <w:r>
        <w:rPr>
          <w:lang w:val="en_US" w:bidi="en_US"/>
        </w:rPr>
      </w:r>
      <w:r>
        <w:rPr>
          <w:lang w:val="en_US" w:bidi="en_US"/>
        </w:rPr>
        <w:t>As you enter it, you will see a young donkey (NLT)</w:t>
      </w:r>
    </w:p>
    <w:p>
      <w:pPr/>
      <w:r>
        <w:rPr>
          <w:lang w:val="en_US" w:bidi="en_US"/>
        </w:rPr>
      </w:r>
      <w:r>
        <w:rPr>
          <w:b/>
          <w:lang w:val="en_US" w:bidi="en_US"/>
        </w:rPr>
        <w:t>a colt:</w:t>
      </w:r>
      <w:r>
        <w:rPr>
          <w:lang w:val="en_US" w:bidi="en_US"/>
        </w:rPr>
        <w:t xml:space="preserve"> The Greek word that the BSB translates as </w:t>
      </w:r>
      <w:r>
        <w:rPr>
          <w:i/>
          <w:lang w:val="en_US" w:bidi="en_US"/>
        </w:rPr>
        <w:t>a colt</w:t>
      </w:r>
      <w:r>
        <w:rPr>
          <w:lang w:val="en_US" w:bidi="en_US"/>
        </w:rPr>
        <w:t xml:space="preserve"> refers to a young horse or donkey. Here it refers to one that would be big enough for a man to ride on. The parallel passages in Matthew and John (Matthew 21:2, John 12:14–15) make it clear that this was a young donkey. The Jewish people used donkeys to ride on and for carrying loads. The Greek text of Matthew 21:5 indicates that it was a male donkey.</w:t>
      </w:r>
    </w:p>
    <w:p>
      <w:pPr/>
      <w:r>
        <w:rPr>
          <w:lang w:val="en_US" w:bidi="en_US"/>
        </w:rPr>
      </w:r>
      <w:r>
        <w:rPr>
          <w:lang w:val="en_US" w:bidi="en_US"/>
        </w:rPr>
        <w:t>If donkeys are not known in your area, you may use a more general term. For example:</w:t>
      </w:r>
    </w:p>
    <w:p>
      <w:pPr/>
      <w:r>
        <w:rPr>
          <w:lang w:val="en_US" w:bidi="en_US"/>
        </w:rPr>
      </w:r>
      <w:r>
        <w:rPr>
          <w:lang w:val="en_US" w:bidi="en_US"/>
        </w:rPr>
        <w:t xml:space="preserve">a young riding animal </w:t>
      </w:r>
      <w:r>
        <w:rPr>
          <w:lang w:val="en_US" w:bidi="en_US"/>
        </w:rPr>
        <w:t>called a donkey</w:t>
      </w:r>
    </w:p>
    <w:p>
      <w:pPr/>
      <w:r>
        <w:rPr>
          <w:lang w:val="en_US" w:bidi="en_US"/>
        </w:rPr>
      </w:r>
      <w:r>
        <w:rPr>
          <w:lang w:val="en_US" w:bidi="en_US"/>
        </w:rPr>
        <w:t>a young animal upon which people ride</w:t>
      </w:r>
    </w:p>
    <w:p>
      <w:pPr/>
      <w:r>
        <w:rPr>
          <w:lang w:val="en_US" w:bidi="en_US"/>
        </w:rPr>
      </w:r>
      <w:r>
        <w:rPr>
          <w:lang w:val="en_US" w:bidi="en_US"/>
        </w:rPr>
        <w:t>You should not use a term that refers to an animal that was recently born or that is less than a year old.</w:t>
      </w:r>
    </w:p>
    <w:p>
      <w:pPr/>
      <w:r>
        <w:rPr>
          <w:lang w:val="en_US" w:bidi="en_US"/>
        </w:rPr>
      </w:r>
      <w:r>
        <w:rPr>
          <w:b/>
          <w:lang w:val="en_US" w:bidi="en_US"/>
        </w:rPr>
        <w:t>tied:</w:t>
      </w:r>
      <w:r>
        <w:rPr>
          <w:lang w:val="en_US" w:bidi="en_US"/>
        </w:rPr>
        <w:t xml:space="preserve"> People </w:t>
      </w:r>
      <w:r>
        <w:rPr>
          <w:i/>
          <w:lang w:val="en_US" w:bidi="en_US"/>
        </w:rPr>
        <w:t>tied</w:t>
      </w:r>
      <w:r>
        <w:rPr>
          <w:lang w:val="en_US" w:bidi="en_US"/>
        </w:rPr>
        <w:t xml:space="preserve"> their animals to a tree or post so they would not walk away when no one was using them. It was probably tied with the rope around its neck. You should not imply that its legs were bound so that it could not move.</w:t>
      </w:r>
      <w:r>
        <w:rPr>
          <w:lang w:val="en_US" w:bidi="en_US"/>
        </w:rPr>
        <w:t>This advice is taken from the TRT on TW.</w:t>
      </w:r>
    </w:p>
    <w:p>
      <w:pPr/>
      <w:r>
        <w:rPr>
          <w:lang w:val="en_US" w:bidi="en_US"/>
        </w:rPr>
      </w:r>
      <w:r>
        <w:rPr>
          <w:lang w:val="en_US" w:bidi="en_US"/>
        </w:rPr>
        <w:t>Luke does not say where the colt was tied, but Mark 11:4 says that it was tied to a door. It was probably either tied to the doorpost or to a post near the door. In some languages it may be necessary to make this explicit. For example:</w:t>
      </w:r>
    </w:p>
    <w:p>
      <w:pPr/>
      <w:r>
        <w:rPr>
          <w:lang w:val="en_US" w:bidi="en_US"/>
        </w:rPr>
      </w:r>
      <w:r>
        <w:rPr>
          <w:lang w:val="en_US" w:bidi="en_US"/>
        </w:rPr>
        <w:t xml:space="preserve">tied </w:t>
      </w:r>
      <w:r>
        <w:rPr>
          <w:lang w:val="en_US" w:bidi="en_US"/>
        </w:rPr>
        <w:t>by a cord</w:t>
      </w:r>
      <w:r>
        <w:rPr>
          <w:lang w:val="en_US" w:bidi="en_US"/>
        </w:rPr>
        <w:t xml:space="preserve"> </w:t>
      </w:r>
      <w:r>
        <w:rPr>
          <w:lang w:val="en_US" w:bidi="en_US"/>
        </w:rPr>
        <w:t>to a post</w:t>
      </w:r>
    </w:p>
    <w:p>
      <w:pPr/>
      <w:r>
        <w:rPr>
          <w:lang w:val="en_US" w:bidi="en_US"/>
        </w:rPr>
      </w:r>
      <w:r>
        <w:rPr>
          <w:b/>
          <w:lang w:val="en_US" w:bidi="en_US"/>
        </w:rPr>
        <w:t>there:</w:t>
      </w:r>
      <w:r>
        <w:rPr>
          <w:lang w:val="en_US" w:bidi="en_US"/>
        </w:rPr>
        <w:t xml:space="preserve"> The BSB has supplied the word </w:t>
      </w:r>
      <w:r>
        <w:rPr>
          <w:i/>
          <w:lang w:val="en_US" w:bidi="en_US"/>
        </w:rPr>
        <w:t>there</w:t>
      </w:r>
      <w:r>
        <w:rPr>
          <w:lang w:val="en_US" w:bidi="en_US"/>
        </w:rPr>
        <w:t xml:space="preserve"> to make it clear that the disciples would see the colt as soon as they entered the village. You may not need to supply this word. Here is another way to translate this:</w:t>
      </w:r>
    </w:p>
    <w:p>
      <w:pPr/>
      <w:r>
        <w:rPr>
          <w:lang w:val="en_US" w:bidi="en_US"/>
        </w:rPr>
      </w:r>
      <w:r>
        <w:rPr>
          <w:lang w:val="en_US" w:bidi="en_US"/>
        </w:rPr>
        <w:t>you will find a colt tied up (GNT)</w:t>
      </w:r>
    </w:p>
    <w:p>
      <w:pPr>
        <w:pStyle w:val="Heading5"/>
      </w:pPr>
      <w:r>
        <w:rPr>
          <w:lang w:val="en_US" w:bidi="en_US"/>
        </w:rPr>
        <w:t>19:30c</w:t>
      </w:r>
    </w:p>
    <w:p>
      <w:pPr/>
      <w:r>
        <w:rPr>
          <w:lang w:val="en_US" w:bidi="en_US"/>
        </w:rPr>
      </w:r>
      <w:r>
        <w:rPr>
          <w:b/>
          <w:lang w:val="en_US" w:bidi="en_US"/>
        </w:rPr>
        <w:t>on which no one has ever sat.</w:t>
      </w:r>
    </w:p>
    <w:p>
      <w:pPr>
        <w:pStyle w:val="ListBullet"/>
        <w:spacing w:line="240" w:lineRule="auto"/>
        <w:ind w:left="720"/>
      </w:pPr>
      <w:r>
        <w:rPr>
          <w:lang w:val="en_US" w:bidi="en_US"/>
        </w:rPr>
      </w:r>
      <w:r>
        <w:rPr>
          <w:lang w:val="en_US" w:bidi="en_US"/>
        </w:rPr>
        <w:t>Nobody has ever ridden it.</w:t>
      </w:r>
    </w:p>
    <w:p>
      <w:pPr>
        <w:pStyle w:val="ListBullet"/>
        <w:spacing w:line="240" w:lineRule="auto"/>
        <w:ind w:left="720"/>
      </w:pPr>
      <w:r>
        <w:rPr>
          <w:lang w:val="en_US" w:bidi="en_US"/>
        </w:rPr>
      </w:r>
      <w:r>
        <w:rPr>
          <w:lang w:val="en_US" w:bidi="en_US"/>
        </w:rPr>
        <w:t>As for this donkey, a person has never yet sat on it.</w:t>
      </w:r>
    </w:p>
    <w:p>
      <w:pPr/>
      <w:r>
        <w:rPr>
          <w:lang w:val="en_US" w:bidi="en_US"/>
        </w:rPr>
      </w:r>
      <w:r>
        <w:rPr>
          <w:b/>
          <w:lang w:val="en_US" w:bidi="en_US"/>
        </w:rPr>
        <w:t>on which no one has ever sat:</w:t>
      </w:r>
      <w:r>
        <w:rPr>
          <w:lang w:val="en_US" w:bidi="en_US"/>
        </w:rPr>
        <w:t xml:space="preserve"> The Greek clause that the BSB translates as </w:t>
      </w:r>
      <w:r>
        <w:rPr>
          <w:i/>
          <w:lang w:val="en_US" w:bidi="en_US"/>
        </w:rPr>
        <w:t>on which no one has ever sat</w:t>
      </w:r>
      <w:r>
        <w:rPr>
          <w:lang w:val="en_US" w:bidi="en_US"/>
        </w:rPr>
        <w:t xml:space="preserve"> is more literally “on which no one among people has ever sat.”</w:t>
      </w:r>
      <w:r>
        <w:rPr>
          <w:lang w:val="en_US" w:bidi="en_US"/>
        </w:rPr>
        <w:t>Marshall (p. 712) states, “The animal is described as tied up (an echo of Genesis 49:11, which has messianic associations) and not previously ridden (cf. Numbers 19:2; Deuteronomy 21:3; 1 Samuel 6:7; 2 Samuel 6:3…, Zechariah 9:9).” Nolland (pp. 924–925) says, “The thought here is probably to be related to the requirement that unused beasts be used for sacred purposes (that is, beasts whose potential has not been already partly used up: Numbers 19:2; Deuteronomy 21:3; 1 Samuel 6:7)….Are we to think of an unbroken mount over which Jesus exercises royal mastery, or should we be less literal and think of a beast trained to be a mount, but not yet put to use…?”</w:t>
      </w:r>
      <w:r>
        <w:rPr>
          <w:lang w:val="en_US" w:bidi="en_US"/>
        </w:rPr>
        <w:t xml:space="preserve"> It describes the colt in 19:30b. In some languages it may be more natural to express the clause as a complete sentence. For example:</w:t>
      </w:r>
    </w:p>
    <w:p>
      <w:pPr/>
      <w:r>
        <w:rPr>
          <w:lang w:val="en_US" w:bidi="en_US"/>
        </w:rPr>
      </w:r>
      <w:r>
        <w:rPr>
          <w:lang w:val="en_US" w:bidi="en_US"/>
        </w:rPr>
        <w:t>No one has ever ridden it.</w:t>
      </w:r>
    </w:p>
    <w:p>
      <w:pPr>
        <w:pStyle w:val="Heading6"/>
      </w:pPr>
      <w:r>
        <w:rPr>
          <w:b/>
          <w:lang w:val="en_US" w:bidi="en_US"/>
        </w:rPr>
        <w:t>General Comment on 19:30b–c</w:t>
      </w:r>
    </w:p>
    <w:p>
      <w:pPr/>
      <w:r>
        <w:rPr>
          <w:lang w:val="en_US" w:bidi="en_US"/>
        </w:rPr>
      </w:r>
      <w:r>
        <w:rPr>
          <w:lang w:val="en_US" w:bidi="en_US"/>
        </w:rPr>
        <w:t>In some languages it may be more natural to change the order of some phrases in 19:30b–c. For example:</w:t>
      </w:r>
    </w:p>
    <w:p>
      <w:pPr/>
      <w:r>
        <w:rPr>
          <w:lang w:val="en_US" w:bidi="en_US"/>
        </w:rPr>
      </w:r>
      <w:r>
        <w:rPr>
          <w:vertAlign w:val="superscript"/>
          <w:lang w:val="en_US" w:bidi="en_US"/>
        </w:rPr>
        <w:t>30b</w:t>
      </w:r>
      <w:r>
        <w:rPr>
          <w:lang w:val="en_US" w:bidi="en_US"/>
        </w:rPr>
        <w:t xml:space="preserve">As you enter the village, you will find a colt </w:t>
      </w:r>
      <w:r>
        <w:rPr>
          <w:vertAlign w:val="superscript"/>
          <w:lang w:val="en_US" w:bidi="en_US"/>
        </w:rPr>
        <w:t>30c</w:t>
      </w:r>
      <w:r>
        <w:rPr>
          <w:lang w:val="en_US" w:bidi="en_US"/>
        </w:rPr>
        <w:t xml:space="preserve">that no one has ever ridden. </w:t>
      </w:r>
      <w:r>
        <w:rPr>
          <w:vertAlign w:val="superscript"/>
          <w:lang w:val="en_US" w:bidi="en_US"/>
        </w:rPr>
        <w:t>30b</w:t>
      </w:r>
      <w:r>
        <w:rPr>
          <w:lang w:val="en_US" w:bidi="en_US"/>
        </w:rPr>
        <w:t xml:space="preserve">It will be tied </w:t>
      </w:r>
      <w:r>
        <w:rPr>
          <w:lang w:val="en_US" w:bidi="en_US"/>
        </w:rPr>
        <w:t>to a post</w:t>
      </w:r>
      <w:r>
        <w:rPr>
          <w:lang w:val="en_US" w:bidi="en_US"/>
        </w:rPr>
        <w:t>.</w:t>
      </w:r>
    </w:p>
    <w:p>
      <w:pPr>
        <w:pStyle w:val="Heading5"/>
      </w:pPr>
      <w:r>
        <w:rPr>
          <w:lang w:val="en_US" w:bidi="en_US"/>
        </w:rPr>
        <w:t>19:30d</w:t>
      </w:r>
    </w:p>
    <w:p>
      <w:pPr/>
      <w:r>
        <w:rPr>
          <w:lang w:val="en_US" w:bidi="en_US"/>
        </w:rPr>
      </w:r>
      <w:r>
        <w:rPr>
          <w:b/>
          <w:lang w:val="en_US" w:bidi="en_US"/>
        </w:rPr>
        <w:t>Untie it and bring it here.</w:t>
      </w:r>
    </w:p>
    <w:p>
      <w:pPr>
        <w:pStyle w:val="ListBullet"/>
        <w:spacing w:line="240" w:lineRule="auto"/>
        <w:ind w:left="720"/>
      </w:pPr>
      <w:r>
        <w:rPr>
          <w:lang w:val="en_US" w:bidi="en_US"/>
        </w:rPr>
      </w:r>
      <w:r>
        <w:rPr>
          <w:lang w:val="en_US" w:bidi="en_US"/>
        </w:rPr>
        <w:t>Untie</w:t>
      </w:r>
      <w:r>
        <w:rPr>
          <w:vertAlign w:val="superscript"/>
          <w:lang w:val="en_US" w:bidi="en_US"/>
        </w:rPr>
        <w:t>(plur)</w:t>
      </w:r>
      <w:r>
        <w:rPr>
          <w:lang w:val="en_US" w:bidi="en_US"/>
        </w:rPr>
        <w:t xml:space="preserve"> it and bring it.</w:t>
      </w:r>
    </w:p>
    <w:p>
      <w:pPr>
        <w:pStyle w:val="ListBullet"/>
        <w:spacing w:line="240" w:lineRule="auto"/>
        <w:ind w:left="720"/>
      </w:pPr>
      <w:r>
        <w:rPr>
          <w:lang w:val="en_US" w:bidi="en_US"/>
        </w:rPr>
      </w:r>
      <w:r>
        <w:rPr>
          <w:lang w:val="en_US" w:bidi="en_US"/>
        </w:rPr>
        <w:t>Untie</w:t>
      </w:r>
      <w:r>
        <w:rPr>
          <w:vertAlign w:val="superscript"/>
          <w:lang w:val="en_US" w:bidi="en_US"/>
        </w:rPr>
        <w:t>(dual)</w:t>
      </w:r>
      <w:r>
        <w:rPr>
          <w:lang w:val="en_US" w:bidi="en_US"/>
        </w:rPr>
        <w:t xml:space="preserve"> the animal and lead it here </w:t>
      </w:r>
      <w:r>
        <w:rPr>
          <w:lang w:val="en_US" w:bidi="en_US"/>
        </w:rPr>
        <w:t>to me</w:t>
      </w:r>
      <w:r>
        <w:rPr>
          <w:lang w:val="en_US" w:bidi="en_US"/>
        </w:rPr>
        <w:t>.</w:t>
      </w:r>
    </w:p>
    <w:p>
      <w:pPr/>
      <w:r>
        <w:rPr>
          <w:lang w:val="en_US" w:bidi="en_US"/>
        </w:rPr>
      </w:r>
      <w:r>
        <w:rPr>
          <w:b/>
          <w:lang w:val="en_US" w:bidi="en_US"/>
        </w:rPr>
        <w:t>Untie it and bring it here:</w:t>
      </w:r>
      <w:r>
        <w:rPr>
          <w:lang w:val="en_US" w:bidi="en_US"/>
        </w:rPr>
        <w:t xml:space="preserve"> Here Jesus told the two disciples to untie the colt and bring it to him. The context implies that the disciples did not ride the colt. They led it to Jesus. Another way to translate this is:</w:t>
      </w:r>
    </w:p>
    <w:p>
      <w:pPr/>
      <w:r>
        <w:rPr>
          <w:lang w:val="en_US" w:bidi="en_US"/>
        </w:rPr>
      </w:r>
      <w:r>
        <w:rPr>
          <w:lang w:val="en_US" w:bidi="en_US"/>
        </w:rPr>
        <w:t xml:space="preserve">Untie that colt, and lead it here </w:t>
      </w:r>
      <w:r>
        <w:rPr>
          <w:lang w:val="en_US" w:bidi="en_US"/>
        </w:rPr>
        <w:t>to me</w:t>
      </w:r>
      <w:r>
        <w:rPr>
          <w:lang w:val="en_US" w:bidi="en_US"/>
        </w:rPr>
        <w:t>.</w:t>
      </w:r>
      <w:r>
        <w:rPr>
          <w:lang w:val="en_US" w:bidi="en_US"/>
        </w:rPr>
      </w:r>
      <w:r>
        <w:rPr>
          <w:lang w:val="en_US" w:bidi="en_US"/>
        </w:rPr>
      </w:r>
    </w:p>
    <w:p>
      <w:pPr/>
      <w:r>
        <w:rPr>
          <w:lang w:val="en_US" w:bidi="en_US"/>
        </w:rPr>
      </w:r>
    </w:p>
    <w:p>
      <w:pPr>
        <w:pStyle w:val="Heading2"/>
      </w:pPr>
      <w:r>
        <w:rPr>
          <w:lang w:val="en_US" w:bidi="en_US"/>
        </w:rPr>
        <w:t>Luke 19:31</w:t>
      </w:r>
      <w:r>
        <w:rPr>
          <w:lang w:val="en_US" w:bidi="en_US"/>
        </w:rPr>
      </w:r>
    </w:p>
    <w:p>
      <w:pPr>
        <w:pStyle w:val="Heading4"/>
      </w:pPr>
      <w:r>
        <w:rPr>
          <w:lang w:val="en_US" w:bidi="en_US"/>
        </w:rPr>
        <w:t>Section 19:28–44: Jesus approached Jerusalem</w:t>
      </w:r>
    </w:p>
    <w:p>
      <w:pPr/>
      <w:r>
        <w:rPr>
          <w:lang w:val="en_US" w:bidi="en_US"/>
        </w:rPr>
      </w:r>
      <w:r>
        <w:rPr>
          <w:lang w:val="en_US" w:bidi="en_US"/>
        </w:rP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People of Jerusalem greeted Jesus as king</w:t>
      </w:r>
    </w:p>
    <w:p>
      <w:pPr/>
      <w:r>
        <w:rPr>
          <w:lang w:val="en_US" w:bidi="en_US"/>
        </w:rPr>
      </w:r>
      <w:r>
        <w:rPr>
          <w:lang w:val="en_US" w:bidi="en_US"/>
        </w:rPr>
        <w:t>There are parallel passages for this section in Matthew 21:1–11, Mark 11:1–11, and John 12:12–19.</w:t>
      </w:r>
    </w:p>
    <w:p>
      <w:pPr>
        <w:pStyle w:val="Heading5"/>
      </w:pPr>
      <w:r>
        <w:rPr>
          <w:lang w:val="en_US" w:bidi="en_US"/>
        </w:rPr>
        <w:t>19:31a</w:t>
      </w:r>
    </w:p>
    <w:p>
      <w:pPr/>
      <w:r>
        <w:rPr>
          <w:lang w:val="en_US" w:bidi="en_US"/>
        </w:rPr>
      </w:r>
      <w:r>
        <w:rPr>
          <w:b/>
          <w:lang w:val="en_US" w:bidi="en_US"/>
        </w:rPr>
        <w:t>If anyone asks, ‘Why are you untying it?’</w:t>
      </w:r>
    </w:p>
    <w:p>
      <w:pPr>
        <w:pStyle w:val="ListBullet"/>
        <w:spacing w:line="240" w:lineRule="auto"/>
        <w:ind w:left="720"/>
      </w:pPr>
      <w:r>
        <w:rPr>
          <w:lang w:val="en_US" w:bidi="en_US"/>
        </w:rPr>
      </w:r>
      <w:r>
        <w:rPr>
          <w:lang w:val="en_US" w:bidi="en_US"/>
        </w:rPr>
        <w:t>Someone may ask you</w:t>
      </w:r>
      <w:r>
        <w:rPr>
          <w:vertAlign w:val="superscript"/>
          <w:lang w:val="en_US" w:bidi="en_US"/>
        </w:rPr>
        <w:t>(plur)</w:t>
      </w:r>
      <w:r>
        <w:rPr>
          <w:lang w:val="en_US" w:bidi="en_US"/>
        </w:rPr>
        <w:t>, ‘Why you are untying the donkey/colt?’</w:t>
      </w:r>
    </w:p>
    <w:p>
      <w:pPr>
        <w:pStyle w:val="ListBullet"/>
        <w:spacing w:line="240" w:lineRule="auto"/>
        <w:ind w:left="720"/>
      </w:pPr>
      <w:r>
        <w:rPr>
          <w:lang w:val="en_US" w:bidi="en_US"/>
        </w:rPr>
      </w:r>
      <w:r>
        <w:rPr>
          <w:lang w:val="en_US" w:bidi="en_US"/>
        </w:rPr>
        <w:t>If anyone asks you</w:t>
      </w:r>
      <w:r>
        <w:rPr>
          <w:vertAlign w:val="superscript"/>
          <w:lang w:val="en_US" w:bidi="en_US"/>
        </w:rPr>
        <w:t>(dual)</w:t>
      </w:r>
      <w:r>
        <w:rPr>
          <w:lang w:val="en_US" w:bidi="en_US"/>
        </w:rPr>
        <w:t xml:space="preserve"> why you are untying </w:t>
      </w:r>
      <w:r>
        <w:rPr>
          <w:lang w:val="en_US" w:bidi="en_US"/>
        </w:rPr>
        <w:t>and taking</w:t>
      </w:r>
      <w:r>
        <w:rPr>
          <w:lang w:val="en_US" w:bidi="en_US"/>
        </w:rPr>
        <w:t xml:space="preserve"> it,</w:t>
      </w:r>
    </w:p>
    <w:p>
      <w:pPr/>
      <w:r>
        <w:rPr>
          <w:lang w:val="en_US" w:bidi="en_US"/>
        </w:rPr>
      </w:r>
      <w:r>
        <w:rPr>
          <w:b/>
          <w:lang w:val="en_US" w:bidi="en_US"/>
        </w:rPr>
        <w:t>If anyone asks:</w:t>
      </w:r>
      <w:r>
        <w:rPr>
          <w:lang w:val="en_US" w:bidi="en_US"/>
        </w:rPr>
        <w:t xml:space="preserve"> The phrase </w:t>
      </w:r>
      <w:r>
        <w:rPr>
          <w:i/>
          <w:lang w:val="en_US" w:bidi="en_US"/>
        </w:rPr>
        <w:t>If anyone asks</w:t>
      </w:r>
      <w:r>
        <w:rPr>
          <w:lang w:val="en_US" w:bidi="en_US"/>
        </w:rPr>
        <w:t xml:space="preserve"> refers to an event that might happen when the disciples went to take the donkey. Jesus implied that someone might ask the disciples why they were taking the donkey. This event had not yet happened when Jesus said this. Another way to translate this phrase is:</w:t>
      </w:r>
    </w:p>
    <w:p>
      <w:pPr/>
      <w:r>
        <w:rPr>
          <w:lang w:val="en_US" w:bidi="en_US"/>
        </w:rPr>
      </w:r>
      <w:r>
        <w:rPr>
          <w:lang w:val="en_US" w:bidi="en_US"/>
        </w:rPr>
        <w:t>Someone may ask you</w:t>
      </w:r>
    </w:p>
    <w:p>
      <w:pPr/>
      <w:r>
        <w:rPr>
          <w:lang w:val="en_US" w:bidi="en_US"/>
        </w:rPr>
      </w:r>
      <w:r>
        <w:rPr>
          <w:b/>
          <w:lang w:val="en_US" w:bidi="en_US"/>
        </w:rPr>
        <w:t>Why are you untying it?:</w:t>
      </w:r>
      <w:r>
        <w:rPr>
          <w:lang w:val="en_US" w:bidi="en_US"/>
        </w:rPr>
        <w:t xml:space="preserve"> Here Jesus quoted what someone might say to the disciples. People might ask the disciples why they were untying the colt. They would ask this because they knew that the colt did not belong to the disciples. In some languages it may be more natural to use indirect speech. For example:</w:t>
      </w:r>
    </w:p>
    <w:p>
      <w:pPr/>
      <w:r>
        <w:rPr>
          <w:lang w:val="en_US" w:bidi="en_US"/>
        </w:rPr>
      </w:r>
      <w:r>
        <w:rPr>
          <w:lang w:val="en_US" w:bidi="en_US"/>
        </w:rPr>
        <w:t>If anyone asks you why you are untying it</w:t>
      </w:r>
    </w:p>
    <w:p>
      <w:pPr>
        <w:pStyle w:val="Heading5"/>
      </w:pPr>
      <w:r>
        <w:rPr>
          <w:lang w:val="en_US" w:bidi="en_US"/>
        </w:rPr>
        <w:t>19:31b</w:t>
      </w:r>
    </w:p>
    <w:p>
      <w:pPr/>
      <w:r>
        <w:rPr>
          <w:lang w:val="en_US" w:bidi="en_US"/>
        </w:rPr>
      </w:r>
      <w:r>
        <w:rPr>
          <w:b/>
          <w:lang w:val="en_US" w:bidi="en_US"/>
        </w:rPr>
        <w:t>tell him, ‘The Lord needs it.’”</w:t>
      </w:r>
    </w:p>
    <w:p>
      <w:pPr>
        <w:pStyle w:val="ListBullet"/>
        <w:spacing w:line="240" w:lineRule="auto"/>
        <w:ind w:left="720"/>
      </w:pPr>
      <w:r>
        <w:rPr>
          <w:lang w:val="en_US" w:bidi="en_US"/>
        </w:rPr>
      </w:r>
      <w:r>
        <w:rPr>
          <w:lang w:val="en_US" w:bidi="en_US"/>
        </w:rPr>
        <w:t>If anyone asks that,</w:t>
      </w:r>
      <w:r>
        <w:rPr>
          <w:lang w:val="en_US" w:bidi="en_US"/>
        </w:rPr>
        <w:t xml:space="preserve"> answer</w:t>
      </w:r>
      <w:r>
        <w:rPr>
          <w:vertAlign w:val="superscript"/>
          <w:lang w:val="en_US" w:bidi="en_US"/>
        </w:rPr>
        <w:t>(plur)</w:t>
      </w:r>
      <w:r>
        <w:rPr>
          <w:lang w:val="en_US" w:bidi="en_US"/>
        </w:rPr>
        <w:t xml:space="preserve"> him like this: ‘The Lord needs </w:t>
      </w:r>
      <w:r>
        <w:rPr>
          <w:lang w:val="en_US" w:bidi="en_US"/>
        </w:rPr>
        <w:t>to use/ride</w:t>
      </w:r>
      <w:r>
        <w:rPr>
          <w:lang w:val="en_US" w:bidi="en_US"/>
        </w:rPr>
        <w:t xml:space="preserve"> it.’”</w:t>
      </w:r>
    </w:p>
    <w:p>
      <w:pPr>
        <w:pStyle w:val="ListBullet"/>
        <w:spacing w:line="240" w:lineRule="auto"/>
        <w:ind w:left="720"/>
      </w:pPr>
      <w:r>
        <w:rPr>
          <w:lang w:val="en_US" w:bidi="en_US"/>
        </w:rPr>
      </w:r>
      <w:r>
        <w:rPr>
          <w:lang w:val="en_US" w:bidi="en_US"/>
        </w:rPr>
        <w:t>tell</w:t>
      </w:r>
      <w:r>
        <w:rPr>
          <w:vertAlign w:val="superscript"/>
          <w:lang w:val="en_US" w:bidi="en_US"/>
        </w:rPr>
        <w:t>(dual)</w:t>
      </w:r>
      <w:r>
        <w:rPr>
          <w:lang w:val="en_US" w:bidi="en_US"/>
        </w:rPr>
        <w:t xml:space="preserve"> him that the Master needs it.”</w:t>
      </w:r>
    </w:p>
    <w:p>
      <w:pPr/>
      <w:r>
        <w:rPr>
          <w:lang w:val="en_US" w:bidi="en_US"/>
        </w:rPr>
      </w:r>
      <w:r>
        <w:rPr>
          <w:b/>
          <w:lang w:val="en_US" w:bidi="en_US"/>
        </w:rPr>
        <w:t>tell him, ‘The Lord needs it’:</w:t>
      </w:r>
      <w:r>
        <w:rPr>
          <w:lang w:val="en_US" w:bidi="en_US"/>
        </w:rPr>
        <w:t xml:space="preserve"> Here Jesus told the two disciples what to say to anyone who asked them why they were untying the colt. In some languages it may be more natural to use indirect speech here. For example:</w:t>
      </w:r>
    </w:p>
    <w:p>
      <w:pPr/>
      <w:r>
        <w:rPr>
          <w:lang w:val="en_US" w:bidi="en_US"/>
        </w:rPr>
      </w:r>
      <w:r>
        <w:rPr>
          <w:lang w:val="en_US" w:bidi="en_US"/>
        </w:rPr>
        <w:t xml:space="preserve">tell him </w:t>
      </w:r>
      <w:r>
        <w:rPr>
          <w:u w:val="single"/>
          <w:lang w:val="en_US" w:bidi="en_US"/>
        </w:rPr>
        <w:t>that</w:t>
      </w:r>
      <w:r>
        <w:rPr>
          <w:lang w:val="en_US" w:bidi="en_US"/>
        </w:rPr>
        <w:t xml:space="preserve"> the Master needs it (GNT)</w:t>
      </w:r>
    </w:p>
    <w:p>
      <w:pPr/>
      <w:r>
        <w:rPr>
          <w:lang w:val="en_US" w:bidi="en_US"/>
        </w:rPr>
      </w:r>
      <w:r>
        <w:rPr>
          <w:lang w:val="en_US" w:bidi="en_US"/>
        </w:rPr>
        <w:t>In Mark 11:3 the text includes a phrase that the BSB translates as “and will send it back here shortly.” Jesus wanted to use the donkey for only a short time. In some languages it may be helpful to indicate this in some way. For example:</w:t>
      </w:r>
    </w:p>
    <w:p>
      <w:pPr/>
      <w:r>
        <w:rPr>
          <w:lang w:val="en_US" w:bidi="en_US"/>
        </w:rPr>
      </w:r>
      <w:r>
        <w:rPr>
          <w:lang w:val="en_US" w:bidi="en_US"/>
        </w:rPr>
        <w:t xml:space="preserve">The Lord needs </w:t>
      </w:r>
      <w:r>
        <w:rPr>
          <w:lang w:val="en_US" w:bidi="en_US"/>
        </w:rPr>
        <w:t>to use/ride</w:t>
      </w:r>
      <w:r>
        <w:rPr>
          <w:lang w:val="en_US" w:bidi="en_US"/>
        </w:rPr>
        <w:t xml:space="preserve"> it.</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“master” or “the one who has authority over others.” It was a title that the disciples and early Christians gave to Jesus. Here the author does not tell us whether or not the owners of the donkey knew who Jesus was. You should translate </w:t>
      </w:r>
      <w:r>
        <w:rPr>
          <w:i/>
          <w:lang w:val="en_US" w:bidi="en_US"/>
        </w:rPr>
        <w:t>Lord</w:t>
      </w:r>
      <w:r>
        <w:rPr>
          <w:lang w:val="en_US" w:bidi="en_US"/>
        </w:rPr>
        <w:t xml:space="preserve"> with a general term of respect that the disciples could use to refer to Jesus.</w:t>
      </w:r>
      <w:r>
        <w:rPr>
          <w:lang w:val="en_US" w:bidi="en_US"/>
        </w:rPr>
        <w:t xml:space="preserve">The Greek text could be equally understood to mean: “The owner of it has need.” This reading is given as an alternative in a footnote in both the GNT and CEV. But it is very unlikely in light of 19:33, where the owners are the ones who ask why they are untying the colt. Another possibility is that </w:t>
      </w:r>
      <w:r>
        <w:rPr>
          <w:i/>
          <w:lang w:val="en_US" w:bidi="en_US"/>
        </w:rPr>
        <w:t>kurios</w:t>
      </w:r>
      <w:r>
        <w:rPr>
          <w:lang w:val="en_US" w:bidi="en_US"/>
        </w:rPr>
        <w:t xml:space="preserve"> here refers to Yahweh: The Lord (God) has need of him. While this seems possible, especially in light of the Jewish custom of </w:t>
      </w:r>
      <w:r>
        <w:rPr>
          <w:u w:val="single"/>
          <w:lang w:val="en_US" w:bidi="en_US"/>
        </w:rPr>
        <w:t>angaria</w:t>
      </w:r>
      <w:r>
        <w:rPr>
          <w:lang w:val="en_US" w:bidi="en_US"/>
        </w:rPr>
        <w:t>, which allows that an animal could be pressed into service when needed by someone of importance, this interpretation finds little support in the versions or commentaries. (An exception is France’s commentary on Mark, p. 432.)</w:t>
      </w:r>
      <w:r>
        <w:rPr>
          <w:lang w:val="en_US" w:bidi="en_US"/>
        </w:rPr>
        <w:t xml:space="preserve"> See Lord, Context 2, in the Glossary. Several versions translate </w:t>
      </w:r>
      <w:r>
        <w:rPr>
          <w:i/>
          <w:lang w:val="en_US" w:bidi="en_US"/>
        </w:rPr>
        <w:t>Lord</w:t>
      </w:r>
      <w:r>
        <w:rPr>
          <w:lang w:val="en_US" w:bidi="en_US"/>
        </w:rPr>
        <w:t xml:space="preserve"> here as:</w:t>
      </w:r>
    </w:p>
    <w:p>
      <w:pPr/>
      <w:r>
        <w:rPr>
          <w:lang w:val="en_US" w:bidi="en_US"/>
        </w:rPr>
      </w:r>
      <w:r>
        <w:rPr>
          <w:lang w:val="en_US" w:bidi="en_US"/>
        </w:rPr>
        <w:t>Master</w:t>
      </w:r>
      <w:r>
        <w:rPr>
          <w:lang w:val="en_US" w:bidi="en_US"/>
        </w:rPr>
      </w:r>
      <w:r>
        <w:rPr>
          <w:lang w:val="en_US" w:bidi="en_US"/>
        </w:rPr>
      </w:r>
    </w:p>
    <w:p>
      <w:pPr/>
      <w:r>
        <w:rPr>
          <w:lang w:val="en_US" w:bidi="en_US"/>
        </w:rPr>
      </w:r>
    </w:p>
    <w:p>
      <w:pPr>
        <w:pStyle w:val="Heading2"/>
      </w:pPr>
      <w:r>
        <w:rPr>
          <w:lang w:val="en_US" w:bidi="en_US"/>
        </w:rPr>
        <w:t>Luke 19:32</w:t>
      </w:r>
      <w:r>
        <w:rPr>
          <w:lang w:val="en_US" w:bidi="en_US"/>
        </w:rPr>
      </w:r>
    </w:p>
    <w:p>
      <w:pPr>
        <w:pStyle w:val="Heading4"/>
      </w:pPr>
      <w:r>
        <w:rPr>
          <w:lang w:val="en_US" w:bidi="en_US"/>
        </w:rPr>
        <w:t>Section 19:28–44: Jesus approached Jerusalem</w:t>
      </w:r>
    </w:p>
    <w:p>
      <w:pPr/>
      <w:r>
        <w:rPr>
          <w:lang w:val="en_US" w:bidi="en_US"/>
        </w:rPr>
      </w:r>
      <w:r>
        <w:rPr>
          <w:lang w:val="en_US" w:bidi="en_US"/>
        </w:rP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People of Jerusalem greeted Jesus as king</w:t>
      </w:r>
    </w:p>
    <w:p>
      <w:pPr/>
      <w:r>
        <w:rPr>
          <w:lang w:val="en_US" w:bidi="en_US"/>
        </w:rPr>
      </w:r>
      <w:r>
        <w:rPr>
          <w:lang w:val="en_US" w:bidi="en_US"/>
        </w:rPr>
        <w:t>There are parallel passages for this section in Matthew 21:1–11, Mark 11:1–11, and John 12:12–19.</w:t>
      </w:r>
    </w:p>
    <w:p>
      <w:pPr>
        <w:pStyle w:val="Heading5"/>
      </w:pPr>
      <w:r>
        <w:rPr>
          <w:lang w:val="en_US" w:bidi="en_US"/>
        </w:rPr>
        <w:t>19:32a</w:t>
      </w:r>
    </w:p>
    <w:p>
      <w:pPr/>
      <w:r>
        <w:rPr>
          <w:lang w:val="en_US" w:bidi="en_US"/>
        </w:rPr>
      </w:r>
      <w:r>
        <w:rPr>
          <w:b/>
          <w:lang w:val="en_US" w:bidi="en_US"/>
        </w:rPr>
        <w:t>So those who were sent went out</w:t>
      </w:r>
    </w:p>
    <w:p>
      <w:pPr>
        <w:pStyle w:val="ListBullet"/>
        <w:spacing w:line="240" w:lineRule="auto"/>
        <w:ind w:left="720"/>
      </w:pPr>
      <w:r>
        <w:rPr>
          <w:lang w:val="en_US" w:bidi="en_US"/>
        </w:rPr>
      </w:r>
      <w:r>
        <w:rPr>
          <w:lang w:val="en_US" w:bidi="en_US"/>
        </w:rPr>
        <w:t xml:space="preserve">¶ The men whom </w:t>
      </w:r>
      <w:r>
        <w:rPr>
          <w:lang w:val="en_US" w:bidi="en_US"/>
        </w:rPr>
        <w:t>Jesus</w:t>
      </w:r>
      <w:r>
        <w:rPr>
          <w:lang w:val="en_US" w:bidi="en_US"/>
        </w:rPr>
        <w:t xml:space="preserve"> sent departed/left,</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these </w:t>
      </w:r>
      <w:r>
        <w:rPr>
          <w:lang w:val="en_US" w:bidi="en_US"/>
        </w:rPr>
        <w:t>two</w:t>
      </w:r>
      <w:r>
        <w:rPr>
          <w:lang w:val="en_US" w:bidi="en_US"/>
        </w:rPr>
        <w:t xml:space="preserve"> men went </w:t>
      </w:r>
      <w:r>
        <w:rPr>
          <w:lang w:val="en_US" w:bidi="en_US"/>
        </w:rPr>
        <w:t>to that town</w:t>
      </w:r>
    </w:p>
    <w:p>
      <w:pPr/>
      <w:r>
        <w:rPr>
          <w:lang w:val="en_US" w:bidi="en_US"/>
        </w:rPr>
      </w:r>
      <w:r>
        <w:rPr>
          <w:b/>
          <w:lang w:val="en_US" w:bidi="en_US"/>
        </w:rPr>
        <w:t>So:</w:t>
      </w:r>
      <w:r>
        <w:rPr>
          <w:lang w:val="en_US" w:bidi="en_US"/>
        </w:rPr>
        <w:t xml:space="preserve"> This verse begins with a Greek conjunction. The BSB and several other versions (ESV, NET, NLT) translate it as </w:t>
      </w:r>
      <w:r>
        <w:rPr>
          <w:i/>
          <w:lang w:val="en_US" w:bidi="en_US"/>
        </w:rPr>
        <w:t>So</w:t>
      </w:r>
      <w:r>
        <w:rPr>
          <w:lang w:val="en_US" w:bidi="en_US"/>
        </w:rPr>
        <w:t xml:space="preserve"> in order to show that these two disciples went to the village as a result of the instructions that Jesus gave them. Many other versions do not translate this conjunction. Introduce what the disciples did in a natural way in your language.</w:t>
      </w:r>
    </w:p>
    <w:p>
      <w:pPr/>
      <w:r>
        <w:rPr>
          <w:lang w:val="en_US" w:bidi="en_US"/>
        </w:rPr>
      </w:r>
      <w:r>
        <w:rPr>
          <w:b/>
          <w:lang w:val="en_US" w:bidi="en_US"/>
        </w:rPr>
        <w:t>those who were sent went out:</w:t>
      </w:r>
      <w:r>
        <w:rPr>
          <w:lang w:val="en_US" w:bidi="en_US"/>
        </w:rPr>
        <w:t xml:space="preserve"> This clause indicates that the two disciples left and went to the next village, just as Jesus had told them to. Here is another way to translate this:</w:t>
      </w:r>
    </w:p>
    <w:p>
      <w:pPr/>
      <w:r>
        <w:rPr>
          <w:lang w:val="en_US" w:bidi="en_US"/>
        </w:rPr>
      </w:r>
      <w:r>
        <w:rPr>
          <w:lang w:val="en_US" w:bidi="en_US"/>
        </w:rPr>
        <w:t>They went off (CEV)</w:t>
      </w:r>
    </w:p>
    <w:p>
      <w:pPr/>
      <w:r>
        <w:rPr>
          <w:lang w:val="en_US" w:bidi="en_US"/>
        </w:rPr>
      </w:r>
      <w:r>
        <w:rPr>
          <w:b/>
          <w:lang w:val="en_US" w:bidi="en_US"/>
        </w:rPr>
        <w:t>those who were sent:</w:t>
      </w:r>
      <w:r>
        <w:rPr>
          <w:lang w:val="en_US" w:bidi="en_US"/>
        </w:rPr>
        <w:t xml:space="preserve"> The Greek phrase that the BSB translates as </w:t>
      </w:r>
      <w:r>
        <w:rPr>
          <w:i/>
          <w:lang w:val="en_US" w:bidi="en_US"/>
        </w:rPr>
        <w:t>those who were sent</w:t>
      </w:r>
      <w:r>
        <w:rPr>
          <w:lang w:val="en_US" w:bidi="en_US"/>
        </w:rPr>
        <w:t xml:space="preserve"> is literally “those who had been sent.” It refers to the two disciples whom Jesus had just been talking to. Some English versions translate it simply with the pronoun “they.” Other ways to translate this phrase are:</w:t>
      </w:r>
    </w:p>
    <w:p>
      <w:pPr/>
      <w:r>
        <w:rPr>
          <w:lang w:val="en_US" w:bidi="en_US"/>
        </w:rPr>
      </w:r>
      <w:r>
        <w:rPr>
          <w:lang w:val="en_US" w:bidi="en_US"/>
        </w:rPr>
        <w:t>The two disciples</w:t>
      </w:r>
    </w:p>
    <w:p>
      <w:pPr/>
      <w:r>
        <w:rPr>
          <w:lang w:val="en_US" w:bidi="en_US"/>
        </w:rPr>
      </w:r>
      <w:r>
        <w:rPr>
          <w:lang w:val="en_US" w:bidi="en_US"/>
        </w:rPr>
        <w:t>The messengers (NJB)</w:t>
      </w:r>
    </w:p>
    <w:p>
      <w:pPr/>
      <w:r>
        <w:rPr>
          <w:lang w:val="en_US" w:bidi="en_US"/>
        </w:rPr>
      </w:r>
      <w:r>
        <w:rPr>
          <w:lang w:val="en_US" w:bidi="en_US"/>
        </w:rPr>
        <w:t>The men Jesus sent (GW)</w:t>
      </w:r>
    </w:p>
    <w:p>
      <w:pPr>
        <w:pStyle w:val="Heading5"/>
      </w:pPr>
      <w:r>
        <w:rPr>
          <w:lang w:val="en_US" w:bidi="en_US"/>
        </w:rPr>
        <w:t>19:32b</w:t>
      </w:r>
    </w:p>
    <w:p>
      <w:pPr/>
      <w:r>
        <w:rPr>
          <w:lang w:val="en_US" w:bidi="en_US"/>
        </w:rPr>
      </w:r>
      <w:r>
        <w:rPr>
          <w:b/>
          <w:lang w:val="en_US" w:bidi="en_US"/>
        </w:rPr>
        <w:t>and found it just as Jesus had told them.</w:t>
      </w:r>
    </w:p>
    <w:p>
      <w:pPr>
        <w:pStyle w:val="ListBullet"/>
        <w:spacing w:line="240" w:lineRule="auto"/>
        <w:ind w:left="720"/>
      </w:pPr>
      <w:r>
        <w:rPr>
          <w:lang w:val="en_US" w:bidi="en_US"/>
        </w:rPr>
      </w:r>
      <w:r>
        <w:rPr>
          <w:lang w:val="en_US" w:bidi="en_US"/>
        </w:rPr>
        <w:t xml:space="preserve">and they found </w:t>
      </w:r>
      <w:r>
        <w:rPr>
          <w:lang w:val="en_US" w:bidi="en_US"/>
        </w:rPr>
        <w:t>that everything was</w:t>
      </w:r>
      <w:r>
        <w:rPr>
          <w:lang w:val="en_US" w:bidi="en_US"/>
        </w:rPr>
        <w:t xml:space="preserve"> exactly as he said </w:t>
      </w:r>
      <w:r>
        <w:rPr>
          <w:lang w:val="en_US" w:bidi="en_US"/>
        </w:rPr>
        <w:t>it would be</w:t>
      </w:r>
      <w:r>
        <w:rPr>
          <w:lang w:val="en_US" w:bidi="en_US"/>
        </w:rPr>
        <w:t>.</w:t>
      </w:r>
    </w:p>
    <w:p>
      <w:pPr>
        <w:pStyle w:val="ListBullet"/>
        <w:spacing w:line="240" w:lineRule="auto"/>
        <w:ind w:left="720"/>
      </w:pPr>
      <w:r>
        <w:rPr>
          <w:lang w:val="en_US" w:bidi="en_US"/>
        </w:rPr>
      </w:r>
      <w:r>
        <w:rPr>
          <w:lang w:val="en_US" w:bidi="en_US"/>
        </w:rPr>
        <w:t xml:space="preserve">and they saw that </w:t>
      </w:r>
      <w:r>
        <w:rPr>
          <w:lang w:val="en_US" w:bidi="en_US"/>
        </w:rPr>
        <w:t>things happened</w:t>
      </w:r>
      <w:r>
        <w:rPr>
          <w:lang w:val="en_US" w:bidi="en_US"/>
        </w:rPr>
        <w:t xml:space="preserve"> just as Jesus told them.</w:t>
      </w:r>
    </w:p>
    <w:p>
      <w:pPr/>
      <w:r>
        <w:rPr>
          <w:lang w:val="en_US" w:bidi="en_US"/>
        </w:rPr>
      </w:r>
      <w:r>
        <w:rPr>
          <w:b/>
          <w:lang w:val="en_US" w:bidi="en_US"/>
        </w:rPr>
        <w:t>and found it just as Jesus had told them:</w:t>
      </w:r>
      <w:r>
        <w:rPr>
          <w:lang w:val="en_US" w:bidi="en_US"/>
        </w:rPr>
        <w:t xml:space="preserve"> In Greek the verb </w:t>
      </w:r>
      <w:r>
        <w:rPr>
          <w:i/>
          <w:lang w:val="en_US" w:bidi="en_US"/>
        </w:rPr>
        <w:t>found</w:t>
      </w:r>
      <w:r>
        <w:rPr>
          <w:lang w:val="en_US" w:bidi="en_US"/>
        </w:rPr>
        <w:t xml:space="preserve"> has no object here. The BSB supplies the word </w:t>
      </w:r>
      <w:r>
        <w:rPr>
          <w:i/>
          <w:lang w:val="en_US" w:bidi="en_US"/>
        </w:rPr>
        <w:t>it</w:t>
      </w:r>
      <w:r>
        <w:rPr>
          <w:lang w:val="en_US" w:bidi="en_US"/>
        </w:rPr>
        <w:t xml:space="preserve"> because an object is needed in English. In this context the phrase </w:t>
      </w:r>
      <w:r>
        <w:rPr>
          <w:i/>
          <w:lang w:val="en_US" w:bidi="en_US"/>
        </w:rPr>
        <w:t>found…just as</w:t>
      </w:r>
      <w:r>
        <w:rPr>
          <w:lang w:val="en_US" w:bidi="en_US"/>
        </w:rPr>
        <w:t xml:space="preserve"> is used in a special way. It indicates that the disciples saw that everything was exactly as Jesus told them it would be. They did find the colt tied up. However, the emphasis is on the fact that what Jesus told them happened exactly as he said it would. Some ways to translate this are:</w:t>
      </w:r>
    </w:p>
    <w:p>
      <w:pPr/>
      <w:r>
        <w:rPr>
          <w:lang w:val="en_US" w:bidi="en_US"/>
        </w:rPr>
      </w:r>
      <w:r>
        <w:rPr>
          <w:lang w:val="en_US" w:bidi="en_US"/>
        </w:rPr>
        <w:t>and found everything just as he had told them (REB)</w:t>
      </w:r>
    </w:p>
    <w:p>
      <w:pPr/>
      <w:r>
        <w:rPr>
          <w:lang w:val="en_US" w:bidi="en_US"/>
        </w:rPr>
      </w:r>
      <w:r>
        <w:rPr>
          <w:lang w:val="en_US" w:bidi="en_US"/>
        </w:rPr>
        <w:t xml:space="preserve">and found </w:t>
      </w:r>
      <w:r>
        <w:rPr>
          <w:u w:val="single"/>
          <w:lang w:val="en_US" w:bidi="en_US"/>
        </w:rPr>
        <w:t>it</w:t>
      </w:r>
      <w:r>
        <w:rPr>
          <w:lang w:val="en_US" w:bidi="en_US"/>
        </w:rPr>
        <w:t xml:space="preserve"> as he had told them (RSV)</w:t>
      </w:r>
    </w:p>
    <w:p>
      <w:pPr/>
      <w:r>
        <w:rPr>
          <w:lang w:val="en_US" w:bidi="en_US"/>
        </w:rPr>
      </w:r>
      <w:r>
        <w:rPr>
          <w:lang w:val="en_US" w:bidi="en_US"/>
        </w:rPr>
        <w:t>and all that Jesus had told them came true</w:t>
      </w:r>
      <w:r>
        <w:rPr>
          <w:lang w:val="en_US" w:bidi="en_US"/>
        </w:rPr>
        <w:t>Kankanaey back translation on TW.</w:t>
      </w:r>
    </w:p>
    <w:p>
      <w:pPr/>
      <w:r>
        <w:rPr>
          <w:lang w:val="en_US" w:bidi="en_US"/>
        </w:rPr>
      </w:r>
      <w:r>
        <w:rPr>
          <w:lang w:val="en_US" w:bidi="en_US"/>
        </w:rPr>
        <w:t>when they arrived there, it was exactly as Jesus said</w:t>
      </w:r>
      <w:r>
        <w:rPr>
          <w:lang w:val="en_US" w:bidi="en_US"/>
        </w:rPr>
        <w:t>Western Bukidnon Manobo back translation on TW.</w:t>
      </w:r>
    </w:p>
    <w:p>
      <w:pPr/>
      <w:r>
        <w:rPr>
          <w:lang w:val="en_US" w:bidi="en_US"/>
        </w:rPr>
      </w:r>
      <w:r>
        <w:rPr>
          <w:lang w:val="en_US" w:bidi="en_US"/>
        </w:rPr>
        <w:t>Translate it in a way that is natural in your language.</w:t>
      </w:r>
      <w:r>
        <w:rPr>
          <w:lang w:val="en_US" w:bidi="en_US"/>
        </w:rPr>
      </w:r>
      <w:r>
        <w:rPr>
          <w:lang w:val="en_US" w:bidi="en_US"/>
        </w:rPr>
      </w:r>
    </w:p>
    <w:p>
      <w:pPr/>
      <w:r>
        <w:rPr>
          <w:lang w:val="en_US" w:bidi="en_US"/>
        </w:rPr>
      </w:r>
    </w:p>
    <w:p>
      <w:pPr>
        <w:pStyle w:val="Heading2"/>
      </w:pPr>
      <w:r>
        <w:rPr>
          <w:lang w:val="en_US" w:bidi="en_US"/>
        </w:rPr>
        <w:t>Luke 19:33</w:t>
      </w:r>
      <w:r>
        <w:rPr>
          <w:lang w:val="en_US" w:bidi="en_US"/>
        </w:rPr>
      </w:r>
    </w:p>
    <w:p>
      <w:pPr>
        <w:pStyle w:val="Heading4"/>
      </w:pPr>
      <w:r>
        <w:rPr>
          <w:lang w:val="en_US" w:bidi="en_US"/>
        </w:rPr>
        <w:t>Section 19:28–44: Jesus approached Jerusalem</w:t>
      </w:r>
    </w:p>
    <w:p>
      <w:pPr/>
      <w:r>
        <w:rPr>
          <w:lang w:val="en_US" w:bidi="en_US"/>
        </w:rPr>
      </w:r>
      <w:r>
        <w:rPr>
          <w:lang w:val="en_US" w:bidi="en_US"/>
        </w:rP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People of Jerusalem greeted Jesus as king</w:t>
      </w:r>
    </w:p>
    <w:p>
      <w:pPr/>
      <w:r>
        <w:rPr>
          <w:lang w:val="en_US" w:bidi="en_US"/>
        </w:rPr>
      </w:r>
      <w:r>
        <w:rPr>
          <w:lang w:val="en_US" w:bidi="en_US"/>
        </w:rPr>
        <w:t>There are parallel passages for this section in Matthew 21:1–11, Mark 11:1–11, and John 12:12–19.</w:t>
      </w:r>
    </w:p>
    <w:p>
      <w:pPr>
        <w:pStyle w:val="Heading5"/>
      </w:pPr>
      <w:r>
        <w:rPr>
          <w:lang w:val="en_US" w:bidi="en_US"/>
        </w:rPr>
        <w:t>19:33a</w:t>
      </w:r>
    </w:p>
    <w:p>
      <w:pPr/>
      <w:r>
        <w:rPr>
          <w:lang w:val="en_US" w:bidi="en_US"/>
        </w:rPr>
      </w:r>
      <w:r>
        <w:rPr>
          <w:b/>
          <w:lang w:val="en_US" w:bidi="en_US"/>
        </w:rPr>
        <w:t>As they were untying the colt,</w:t>
      </w:r>
    </w:p>
    <w:p>
      <w:pPr>
        <w:pStyle w:val="ListBullet"/>
        <w:spacing w:line="240" w:lineRule="auto"/>
        <w:ind w:left="720"/>
      </w:pPr>
      <w:r>
        <w:rPr>
          <w:lang w:val="en_US" w:bidi="en_US"/>
        </w:rPr>
      </w:r>
      <w:r>
        <w:rPr>
          <w:lang w:val="en_US" w:bidi="en_US"/>
        </w:rPr>
        <w:t>While they were untying the young donkey,</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began to untie the donkey.</w:t>
      </w:r>
    </w:p>
    <w:p>
      <w:pPr/>
      <w:r>
        <w:rPr>
          <w:lang w:val="en_US" w:bidi="en_US"/>
        </w:rPr>
      </w:r>
      <w:r>
        <w:rPr>
          <w:b/>
          <w:lang w:val="en_US" w:bidi="en_US"/>
        </w:rPr>
        <w:t>As they were untying the colt:</w:t>
      </w:r>
      <w:r>
        <w:rPr>
          <w:lang w:val="en_US" w:bidi="en_US"/>
        </w:rPr>
        <w:t xml:space="preserve"> The two disciples had begun to untie the colt. They had not finished untying it when they were interrupted.</w:t>
      </w:r>
    </w:p>
    <w:p>
      <w:pPr>
        <w:pStyle w:val="Heading5"/>
      </w:pPr>
      <w:r>
        <w:rPr>
          <w:lang w:val="en_US" w:bidi="en_US"/>
        </w:rPr>
        <w:t>19:33b</w:t>
      </w:r>
    </w:p>
    <w:p>
      <w:pPr/>
      <w:r>
        <w:rPr>
          <w:lang w:val="en_US" w:bidi="en_US"/>
        </w:rPr>
      </w:r>
      <w:r>
        <w:rPr>
          <w:b/>
          <w:lang w:val="en_US" w:bidi="en_US"/>
        </w:rPr>
        <w:t>its owners asked, “Why are you untying the colt?”</w:t>
      </w:r>
    </w:p>
    <w:p>
      <w:pPr>
        <w:pStyle w:val="ListBullet"/>
        <w:spacing w:line="240" w:lineRule="auto"/>
        <w:ind w:left="720"/>
      </w:pPr>
      <w:r>
        <w:rPr>
          <w:lang w:val="en_US" w:bidi="en_US"/>
        </w:rPr>
      </w:r>
      <w:r>
        <w:rPr>
          <w:lang w:val="en_US" w:bidi="en_US"/>
        </w:rPr>
        <w:t>its owners asked the disciples, “Why are you</w:t>
      </w:r>
      <w:r>
        <w:rPr>
          <w:vertAlign w:val="superscript"/>
          <w:lang w:val="en_US" w:bidi="en_US"/>
        </w:rPr>
        <w:t>(plur)</w:t>
      </w:r>
      <w:r>
        <w:rPr>
          <w:lang w:val="en_US" w:bidi="en_US"/>
        </w:rPr>
        <w:t xml:space="preserve"> untying the donkey/colt?”</w:t>
      </w:r>
    </w:p>
    <w:p>
      <w:pPr>
        <w:pStyle w:val="ListBullet"/>
        <w:spacing w:line="240" w:lineRule="auto"/>
        <w:ind w:left="720"/>
      </w:pPr>
      <w:r>
        <w:rPr>
          <w:lang w:val="en_US" w:bidi="en_US"/>
        </w:rPr>
      </w:r>
      <w:r>
        <w:rPr>
          <w:lang w:val="en_US" w:bidi="en_US"/>
        </w:rPr>
        <w:t>Then</w:t>
      </w:r>
      <w:r>
        <w:rPr>
          <w:lang w:val="en_US" w:bidi="en_US"/>
        </w:rPr>
        <w:t xml:space="preserve"> the people who owned it/him </w:t>
      </w:r>
      <w:r>
        <w:rPr>
          <w:lang w:val="en_US" w:bidi="en_US"/>
        </w:rPr>
        <w:t>saw them and</w:t>
      </w:r>
      <w:r>
        <w:rPr>
          <w:lang w:val="en_US" w:bidi="en_US"/>
        </w:rPr>
        <w:t xml:space="preserve"> asked why they</w:t>
      </w:r>
      <w:r>
        <w:rPr>
          <w:vertAlign w:val="superscript"/>
          <w:lang w:val="en_US" w:bidi="en_US"/>
        </w:rPr>
        <w:t>(dual)</w:t>
      </w:r>
      <w:r>
        <w:rPr>
          <w:lang w:val="en_US" w:bidi="en_US"/>
        </w:rPr>
        <w:t xml:space="preserve"> were untying it/him.</w:t>
      </w:r>
    </w:p>
    <w:p>
      <w:pPr/>
      <w:r>
        <w:rPr>
          <w:lang w:val="en_US" w:bidi="en_US"/>
        </w:rPr>
      </w:r>
      <w:r>
        <w:rPr>
          <w:b/>
          <w:lang w:val="en_US" w:bidi="en_US"/>
        </w:rPr>
        <w:t>its owners asked:</w:t>
      </w:r>
      <w:r>
        <w:rPr>
          <w:lang w:val="en_US" w:bidi="en_US"/>
        </w:rPr>
        <w:t xml:space="preserve"> This phrase introduces the question that the owners asked the two disciples. In some languages it may be necessary to first mention that the owners were there and saw the disciples. For example:</w:t>
      </w:r>
    </w:p>
    <w:p>
      <w:pPr/>
      <w:r>
        <w:rPr>
          <w:lang w:val="en_US" w:bidi="en_US"/>
        </w:rPr>
      </w:r>
      <w:r>
        <w:rPr>
          <w:lang w:val="en_US" w:bidi="en_US"/>
        </w:rPr>
        <w:t xml:space="preserve">its owners </w:t>
      </w:r>
      <w:r>
        <w:rPr>
          <w:lang w:val="en_US" w:bidi="en_US"/>
        </w:rPr>
        <w:t>saw what they were doing and</w:t>
      </w:r>
      <w:r>
        <w:rPr>
          <w:lang w:val="en_US" w:bidi="en_US"/>
        </w:rPr>
        <w:t xml:space="preserve"> asked</w:t>
      </w:r>
    </w:p>
    <w:p>
      <w:pPr/>
      <w:r>
        <w:rPr>
          <w:lang w:val="en_US" w:bidi="en_US"/>
        </w:rPr>
      </w:r>
      <w:r>
        <w:rPr>
          <w:b/>
          <w:lang w:val="en_US" w:bidi="en_US"/>
        </w:rPr>
        <w:t>its owners:</w:t>
      </w:r>
      <w:r>
        <w:rPr>
          <w:lang w:val="en_US" w:bidi="en_US"/>
        </w:rPr>
        <w:t xml:space="preserve"> The phrase </w:t>
      </w:r>
      <w:r>
        <w:rPr>
          <w:i/>
          <w:lang w:val="en_US" w:bidi="en_US"/>
        </w:rPr>
        <w:t>its owners</w:t>
      </w:r>
      <w:r>
        <w:rPr>
          <w:lang w:val="en_US" w:bidi="en_US"/>
        </w:rPr>
        <w:t xml:space="preserve"> indicates that more than one person owned the donkey. Perhaps a family owned it.</w:t>
      </w:r>
    </w:p>
    <w:p>
      <w:pPr/>
      <w:r>
        <w:rPr>
          <w:lang w:val="en_US" w:bidi="en_US"/>
        </w:rPr>
      </w:r>
      <w:r>
        <w:rPr>
          <w:b/>
          <w:lang w:val="en_US" w:bidi="en_US"/>
        </w:rPr>
        <w:t>Why are you untying the colt?:</w:t>
      </w:r>
      <w:r>
        <w:rPr>
          <w:lang w:val="en_US" w:bidi="en_US"/>
        </w:rPr>
        <w:t xml:space="preserve"> Here the owners asked Jesus’ two disciples the question that Jesus had predicted in 19:31a. The question implies that the owners were surprised and displeased to see the two disciples untying their donkey. The owners wanted to know the reason why the disciples were untying the colt. Here is another way to translate this:</w:t>
      </w:r>
    </w:p>
    <w:p>
      <w:pPr/>
      <w:r>
        <w:rPr>
          <w:lang w:val="en_US" w:bidi="en_US"/>
        </w:rPr>
      </w:r>
      <w:r>
        <w:rPr>
          <w:lang w:val="en_US" w:bidi="en_US"/>
        </w:rPr>
        <w:t>Why are you untying our colt? (NCV)</w:t>
      </w:r>
      <w:r>
        <w:rPr>
          <w:lang w:val="en_US" w:bidi="en_US"/>
        </w:rPr>
      </w:r>
      <w:r>
        <w:rPr>
          <w:lang w:val="en_US" w:bidi="en_US"/>
        </w:rPr>
      </w:r>
    </w:p>
    <w:p>
      <w:pPr/>
      <w:r>
        <w:rPr>
          <w:lang w:val="en_US" w:bidi="en_US"/>
        </w:rPr>
      </w:r>
    </w:p>
    <w:p>
      <w:pPr>
        <w:pStyle w:val="Heading2"/>
      </w:pPr>
      <w:r>
        <w:rPr>
          <w:lang w:val="en_US" w:bidi="en_US"/>
        </w:rPr>
        <w:t>Luke 19:34</w:t>
      </w:r>
      <w:r>
        <w:rPr>
          <w:lang w:val="en_US" w:bidi="en_US"/>
        </w:rPr>
      </w:r>
    </w:p>
    <w:p>
      <w:pPr>
        <w:pStyle w:val="Heading4"/>
      </w:pPr>
      <w:r>
        <w:rPr>
          <w:lang w:val="en_US" w:bidi="en_US"/>
        </w:rPr>
        <w:t>Section 19:28–44: Jesus approached Jerusalem</w:t>
      </w:r>
    </w:p>
    <w:p>
      <w:pPr/>
      <w:r>
        <w:rPr>
          <w:lang w:val="en_US" w:bidi="en_US"/>
        </w:rPr>
      </w:r>
      <w:r>
        <w:rPr>
          <w:lang w:val="en_US" w:bidi="en_US"/>
        </w:rP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People of Jerusalem greeted Jesus as king</w:t>
      </w:r>
    </w:p>
    <w:p>
      <w:pPr/>
      <w:r>
        <w:rPr>
          <w:lang w:val="en_US" w:bidi="en_US"/>
        </w:rPr>
      </w:r>
      <w:r>
        <w:rPr>
          <w:lang w:val="en_US" w:bidi="en_US"/>
        </w:rPr>
        <w:t>There are parallel passages for this section in Matthew 21:1–11, Mark 11:1–11, and John 12:12–19.</w:t>
      </w:r>
    </w:p>
    <w:p>
      <w:pPr>
        <w:pStyle w:val="Heading5"/>
      </w:pPr>
      <w:r>
        <w:rPr>
          <w:lang w:val="en_US" w:bidi="en_US"/>
        </w:rPr>
        <w:t>19:34</w:t>
      </w:r>
    </w:p>
    <w:p>
      <w:pPr/>
      <w:r>
        <w:rPr>
          <w:lang w:val="en_US" w:bidi="en_US"/>
        </w:rPr>
      </w:r>
      <w:r>
        <w:rPr>
          <w:b/>
          <w:lang w:val="en_US" w:bidi="en_US"/>
        </w:rPr>
        <w:t>“The Lord needs it,” they answered.</w:t>
      </w:r>
    </w:p>
    <w:p>
      <w:pPr>
        <w:pStyle w:val="ListBullet"/>
        <w:spacing w:line="240" w:lineRule="auto"/>
        <w:ind w:left="720"/>
      </w:pPr>
      <w:r>
        <w:rPr>
          <w:lang w:val="en_US" w:bidi="en_US"/>
        </w:rPr>
      </w:r>
      <w:r>
        <w:rPr>
          <w:lang w:val="en_US" w:bidi="en_US"/>
        </w:rPr>
        <w:t xml:space="preserve">And they said, “The Lord needs </w:t>
      </w:r>
      <w:r>
        <w:rPr>
          <w:lang w:val="en_US" w:bidi="en_US"/>
        </w:rPr>
        <w:t>to use</w:t>
      </w:r>
      <w:r>
        <w:rPr>
          <w:lang w:val="en_US" w:bidi="en_US"/>
        </w:rPr>
        <w:t xml:space="preserve"> it.”</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answered, “The Lord/Master needs </w:t>
      </w:r>
      <w:r>
        <w:rPr>
          <w:lang w:val="en_US" w:bidi="en_US"/>
        </w:rPr>
        <w:t>to ride</w:t>
      </w:r>
      <w:r>
        <w:rPr>
          <w:lang w:val="en_US" w:bidi="en_US"/>
        </w:rPr>
        <w:t xml:space="preserve"> him.” </w:t>
      </w:r>
      <w:r>
        <w:rPr>
          <w:lang w:val="en_US" w:bidi="en_US"/>
        </w:rPr>
        <w:t>So the owners agreed.</w:t>
      </w:r>
    </w:p>
    <w:p>
      <w:pPr/>
      <w:r>
        <w:rPr>
          <w:lang w:val="en_US" w:bidi="en_US"/>
        </w:rPr>
      </w:r>
      <w:r>
        <w:rPr>
          <w:b/>
          <w:lang w:val="en_US" w:bidi="en_US"/>
        </w:rPr>
        <w:t>“The Lord needs it,” they answered:</w:t>
      </w:r>
      <w:r>
        <w:rPr>
          <w:lang w:val="en_US" w:bidi="en_US"/>
        </w:rPr>
        <w:t xml:space="preserve"> The two disciples responded to the owners just as Jesus had told them to in 19:31b. You should translate in the same way here. The context implies that the owners then allowed the two disciples to take the donkey. Mark 11:6 makes this explicit. In many languages it may be helpful to make it explicit here, as well. For example:</w:t>
      </w:r>
    </w:p>
    <w:p>
      <w:pPr/>
      <w:r>
        <w:rPr>
          <w:lang w:val="en_US" w:bidi="en_US"/>
        </w:rPr>
      </w:r>
      <w:r>
        <w:rPr>
          <w:lang w:val="en_US" w:bidi="en_US"/>
        </w:rPr>
        <w:t xml:space="preserve">The </w:t>
      </w:r>
      <w:r>
        <w:rPr>
          <w:lang w:val="en_US" w:bidi="en_US"/>
        </w:rPr>
        <w:t>two</w:t>
      </w:r>
      <w:r>
        <w:rPr>
          <w:lang w:val="en_US" w:bidi="en_US"/>
        </w:rPr>
        <w:t xml:space="preserve"> disciples replied, “The Lord needs it.” </w:t>
      </w:r>
      <w:r>
        <w:rPr>
          <w:lang w:val="en_US" w:bidi="en_US"/>
        </w:rPr>
        <w:t>Then its owners permitted them</w:t>
      </w:r>
      <w:r>
        <w:rPr>
          <w:vertAlign w:val="superscript"/>
          <w:lang w:val="en_US" w:bidi="en_US"/>
        </w:rPr>
        <w:t>(dual)</w:t>
      </w:r>
      <w:r>
        <w:rPr>
          <w:lang w:val="en_US" w:bidi="en_US"/>
        </w:rPr>
        <w:t xml:space="preserve"> </w:t>
      </w:r>
      <w:r>
        <w:rPr>
          <w:lang w:val="en_US" w:bidi="en_US"/>
        </w:rPr>
        <w:t>to borrow it</w:t>
      </w:r>
      <w:r>
        <w:rPr>
          <w:lang w:val="en_US" w:bidi="en_US"/>
        </w:rPr>
        <w:t>.</w:t>
      </w:r>
    </w:p>
    <w:p>
      <w:pPr/>
      <w:r>
        <w:rPr>
          <w:lang w:val="en_US" w:bidi="en_US"/>
        </w:rPr>
      </w:r>
      <w:r>
        <w:rPr>
          <w:b/>
          <w:lang w:val="en_US" w:bidi="en_US"/>
        </w:rPr>
        <w:t>they answered:</w:t>
      </w:r>
      <w:r>
        <w:rPr>
          <w:lang w:val="en_US" w:bidi="en_US"/>
        </w:rPr>
        <w:t xml:space="preserve"> In Greek, the phrase that the BSB translates as </w:t>
      </w:r>
      <w:r>
        <w:rPr>
          <w:i/>
          <w:lang w:val="en_US" w:bidi="en_US"/>
        </w:rPr>
        <w:t>they answered</w:t>
      </w:r>
      <w:r>
        <w:rPr>
          <w:lang w:val="en_US" w:bidi="en_US"/>
        </w:rPr>
        <w:t xml:space="preserve"> comes before the quotation. The GNT, like the BSB, places this phrase after the quotation. Place it where it would be natural in your language.</w:t>
      </w:r>
      <w:r>
        <w:rPr>
          <w:lang w:val="en_US" w:bidi="en_US"/>
        </w:rPr>
      </w:r>
      <w:r>
        <w:rPr>
          <w:lang w:val="en_US" w:bidi="en_US"/>
        </w:rPr>
      </w:r>
    </w:p>
    <w:p>
      <w:pPr/>
      <w:r>
        <w:rPr>
          <w:lang w:val="en_US" w:bidi="en_US"/>
        </w:rPr>
      </w:r>
    </w:p>
    <w:p>
      <w:pPr>
        <w:pStyle w:val="Heading2"/>
      </w:pPr>
      <w:r>
        <w:rPr>
          <w:lang w:val="en_US" w:bidi="en_US"/>
        </w:rPr>
        <w:t>Luke 19:35</w:t>
      </w:r>
      <w:r>
        <w:rPr>
          <w:lang w:val="en_US" w:bidi="en_US"/>
        </w:rPr>
      </w:r>
    </w:p>
    <w:p>
      <w:pPr>
        <w:pStyle w:val="Heading4"/>
      </w:pPr>
      <w:r>
        <w:rPr>
          <w:lang w:val="en_US" w:bidi="en_US"/>
        </w:rPr>
        <w:t>Section 19:28–44: Jesus approached Jerusalem</w:t>
      </w:r>
    </w:p>
    <w:p>
      <w:pPr/>
      <w:r>
        <w:rPr>
          <w:lang w:val="en_US" w:bidi="en_US"/>
        </w:rPr>
      </w:r>
      <w:r>
        <w:rPr>
          <w:lang w:val="en_US" w:bidi="en_US"/>
        </w:rP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People of Jerusalem greeted Jesus as king</w:t>
      </w:r>
    </w:p>
    <w:p>
      <w:pPr/>
      <w:r>
        <w:rPr>
          <w:lang w:val="en_US" w:bidi="en_US"/>
        </w:rPr>
      </w:r>
      <w:r>
        <w:rPr>
          <w:lang w:val="en_US" w:bidi="en_US"/>
        </w:rPr>
        <w:t>There are parallel passages for this section in Matthew 21:1–11, Mark 11:1–11, and John 12:12–19.</w:t>
      </w:r>
    </w:p>
    <w:p>
      <w:pPr>
        <w:pStyle w:val="Heading5"/>
      </w:pPr>
      <w:r>
        <w:rPr>
          <w:lang w:val="en_US" w:bidi="en_US"/>
        </w:rPr>
        <w:t>19:35a</w:t>
      </w:r>
    </w:p>
    <w:p>
      <w:pPr/>
      <w:r>
        <w:rPr>
          <w:lang w:val="en_US" w:bidi="en_US"/>
        </w:rPr>
      </w:r>
      <w:r>
        <w:rPr>
          <w:b/>
          <w:lang w:val="en_US" w:bidi="en_US"/>
        </w:rPr>
        <w:t>Then they led the colt to Jesus,</w:t>
      </w:r>
    </w:p>
    <w:p>
      <w:pPr>
        <w:pStyle w:val="ListBullet"/>
        <w:spacing w:line="240" w:lineRule="auto"/>
        <w:ind w:left="720"/>
      </w:pPr>
      <w:r>
        <w:rPr>
          <w:lang w:val="en_US" w:bidi="en_US"/>
        </w:rPr>
      </w:r>
      <w:r>
        <w:rPr>
          <w:lang w:val="en_US" w:bidi="en_US"/>
        </w:rPr>
        <w:t>¶ So the two disciples took the donkey to Jesus.</w:t>
      </w:r>
    </w:p>
    <w:p>
      <w:pPr>
        <w:pStyle w:val="ListBullet"/>
        <w:spacing w:line="240" w:lineRule="auto"/>
        <w:ind w:left="720"/>
      </w:pPr>
      <w:r>
        <w:rPr>
          <w:lang w:val="en_US" w:bidi="en_US"/>
        </w:rPr>
      </w:r>
      <w:r>
        <w:rPr>
          <w:lang w:val="en_US" w:bidi="en_US"/>
        </w:rPr>
        <w:t>¶ Then they</w:t>
      </w:r>
      <w:r>
        <w:rPr>
          <w:vertAlign w:val="superscript"/>
          <w:lang w:val="en_US" w:bidi="en_US"/>
        </w:rPr>
        <w:t>(dual)</w:t>
      </w:r>
      <w:r>
        <w:rPr>
          <w:lang w:val="en_US" w:bidi="en_US"/>
        </w:rPr>
        <w:t xml:space="preserve"> led the donkey to Jesus</w:t>
      </w:r>
    </w:p>
    <w:p>
      <w:pPr>
        <w:pStyle w:val="Heading5"/>
      </w:pPr>
      <w:r>
        <w:rPr>
          <w:lang w:val="en_US" w:bidi="en_US"/>
        </w:rPr>
        <w:t>19:35b</w:t>
      </w:r>
    </w:p>
    <w:p>
      <w:pPr/>
      <w:r>
        <w:rPr>
          <w:lang w:val="en_US" w:bidi="en_US"/>
        </w:rPr>
      </w:r>
      <w:r>
        <w:rPr>
          <w:b/>
          <w:lang w:val="en_US" w:bidi="en_US"/>
        </w:rPr>
        <w:t>threw their cloaks over it,</w:t>
      </w:r>
    </w:p>
    <w:p>
      <w:pPr>
        <w:pStyle w:val="ListBullet"/>
        <w:spacing w:line="240" w:lineRule="auto"/>
        <w:ind w:left="720"/>
      </w:pPr>
      <w:r>
        <w:rPr>
          <w:lang w:val="en_US" w:bidi="en_US"/>
        </w:rPr>
      </w:r>
      <w:r>
        <w:rPr>
          <w:lang w:val="en_US" w:bidi="en_US"/>
        </w:rPr>
        <w:t>They put their coats on the donkey,</w:t>
      </w:r>
    </w:p>
    <w:p>
      <w:pPr>
        <w:pStyle w:val="ListBullet"/>
        <w:spacing w:line="240" w:lineRule="auto"/>
        <w:ind w:left="720"/>
      </w:pPr>
      <w:r>
        <w:rPr>
          <w:lang w:val="en_US" w:bidi="en_US"/>
        </w:rPr>
      </w:r>
      <w:r>
        <w:rPr>
          <w:lang w:val="en_US" w:bidi="en_US"/>
        </w:rPr>
        <w:t>and spread their coats over the donkey</w:t>
      </w:r>
      <w:r>
        <w:rPr>
          <w:lang w:val="en_US" w:bidi="en_US"/>
        </w:rPr>
        <w:t>’s back</w:t>
      </w:r>
      <w:r>
        <w:rPr>
          <w:lang w:val="en_US" w:bidi="en_US"/>
        </w:rPr>
        <w:t xml:space="preserve"> </w:t>
      </w:r>
      <w:r>
        <w:rPr>
          <w:lang w:val="en_US" w:bidi="en_US"/>
        </w:rPr>
        <w:t>for Jesus to sit on</w:t>
      </w:r>
      <w:r>
        <w:rPr>
          <w:lang w:val="en_US" w:bidi="en_US"/>
        </w:rPr>
        <w:t>.</w:t>
      </w:r>
    </w:p>
    <w:p>
      <w:pPr>
        <w:pStyle w:val="Heading5"/>
      </w:pPr>
      <w:r>
        <w:rPr>
          <w:lang w:val="en_US" w:bidi="en_US"/>
        </w:rPr>
        <w:t>19:35a–b</w:t>
      </w:r>
    </w:p>
    <w:p>
      <w:pPr/>
      <w:r>
        <w:rPr>
          <w:lang w:val="en_US" w:bidi="en_US"/>
        </w:rPr>
      </w:r>
      <w:r>
        <w:rPr>
          <w:b/>
          <w:lang w:val="en_US" w:bidi="en_US"/>
        </w:rPr>
        <w:t>Then:</w:t>
      </w:r>
      <w:r>
        <w:rPr>
          <w:lang w:val="en_US" w:bidi="en_US"/>
        </w:rPr>
        <w:t xml:space="preserve"> This verse begins with a Greek conjunction that is often translated as “and.” Some English versions, such as the ESV, translate it that way. The BSB and some other versions (CEV, NET, NRSV) translate it as </w:t>
      </w:r>
      <w:r>
        <w:rPr>
          <w:i/>
          <w:lang w:val="en_US" w:bidi="en_US"/>
        </w:rPr>
        <w:t>Then</w:t>
      </w:r>
      <w:r>
        <w:rPr>
          <w:lang w:val="en_US" w:bidi="en_US"/>
        </w:rPr>
        <w:t xml:space="preserve"> in order to show that it introduces what the disciples did next. The NCV and REB say “So” to indicate that they did this as a result of the permission they received. Some other versions, such as the NIV and GW, do not translate this conjunction. Connect 19:35a to 19:34 in a way that is natural in your language.</w:t>
      </w:r>
    </w:p>
    <w:p>
      <w:pPr/>
      <w:r>
        <w:rPr>
          <w:lang w:val="en_US" w:bidi="en_US"/>
        </w:rPr>
      </w:r>
      <w:r>
        <w:rPr>
          <w:b/>
          <w:lang w:val="en_US" w:bidi="en_US"/>
        </w:rPr>
        <w:t>they led the colt to Jesus, threw their cloaks over it:</w:t>
      </w:r>
      <w:r>
        <w:rPr>
          <w:lang w:val="en_US" w:bidi="en_US"/>
        </w:rPr>
        <w:t xml:space="preserve"> The words </w:t>
      </w:r>
      <w:r>
        <w:rPr>
          <w:i/>
          <w:lang w:val="en_US" w:bidi="en_US"/>
        </w:rPr>
        <w:t>they</w:t>
      </w:r>
      <w:r>
        <w:rPr>
          <w:lang w:val="en_US" w:bidi="en_US"/>
        </w:rPr>
        <w:t xml:space="preserve"> and </w:t>
      </w:r>
      <w:r>
        <w:rPr>
          <w:i/>
          <w:lang w:val="en_US" w:bidi="en_US"/>
        </w:rPr>
        <w:t>their</w:t>
      </w:r>
      <w:r>
        <w:rPr>
          <w:lang w:val="en_US" w:bidi="en_US"/>
        </w:rPr>
        <w:t xml:space="preserve"> refer to the two disciples who went to find the colt. The Greek says literally “they brought it…and throwing…on the colt.” The pronoun </w:t>
      </w:r>
      <w:r>
        <w:rPr>
          <w:i/>
          <w:lang w:val="en_US" w:bidi="en_US"/>
        </w:rPr>
        <w:t>it</w:t>
      </w:r>
      <w:r>
        <w:rPr>
          <w:lang w:val="en_US" w:bidi="en_US"/>
        </w:rPr>
        <w:t xml:space="preserve"> refers to the colt. In some languages it may be clearer to refer to say </w:t>
      </w:r>
      <w:r>
        <w:rPr>
          <w:i/>
          <w:lang w:val="en_US" w:bidi="en_US"/>
        </w:rPr>
        <w:t>the colt</w:t>
      </w:r>
      <w:r>
        <w:rPr>
          <w:lang w:val="en_US" w:bidi="en_US"/>
        </w:rPr>
        <w:t xml:space="preserve"> in the first clause and to use the pronoun in the second clause, as the BSB does. For example:</w:t>
      </w:r>
    </w:p>
    <w:p>
      <w:pPr/>
      <w:r>
        <w:rPr>
          <w:lang w:val="en_US" w:bidi="en_US"/>
        </w:rPr>
      </w:r>
      <w:r>
        <w:rPr>
          <w:lang w:val="en_US" w:bidi="en_US"/>
        </w:rPr>
        <w:t>They brought the colt to Jesus, threw their cloaks on it</w:t>
      </w:r>
    </w:p>
    <w:p>
      <w:pPr/>
      <w:r>
        <w:rPr>
          <w:lang w:val="en_US" w:bidi="en_US"/>
        </w:rPr>
      </w:r>
      <w:r>
        <w:rPr>
          <w:b/>
          <w:lang w:val="en_US" w:bidi="en_US"/>
        </w:rPr>
        <w:t>threw their cloaks over it:</w:t>
      </w:r>
      <w:r>
        <w:rPr>
          <w:lang w:val="en_US" w:bidi="en_US"/>
        </w:rPr>
        <w:t xml:space="preserve"> Here the word </w:t>
      </w:r>
      <w:r>
        <w:rPr>
          <w:i/>
          <w:lang w:val="en_US" w:bidi="en_US"/>
        </w:rPr>
        <w:t>threw</w:t>
      </w:r>
      <w:r>
        <w:rPr>
          <w:lang w:val="en_US" w:bidi="en_US"/>
        </w:rPr>
        <w:t xml:space="preserve"> indicates that they “placed” or “arranged” their cloaks on the young donkey’s back. Here is another way to translate this:</w:t>
      </w:r>
    </w:p>
    <w:p>
      <w:pPr/>
      <w:r>
        <w:rPr>
          <w:lang w:val="en_US" w:bidi="en_US"/>
        </w:rPr>
      </w:r>
      <w:r>
        <w:rPr>
          <w:lang w:val="en_US" w:bidi="en_US"/>
        </w:rPr>
        <w:t>They put some of their clothes on its back (CEV)</w:t>
      </w:r>
    </w:p>
    <w:p>
      <w:pPr/>
      <w:r>
        <w:rPr>
          <w:lang w:val="en_US" w:bidi="en_US"/>
        </w:rPr>
      </w:r>
      <w:r>
        <w:rPr>
          <w:b/>
          <w:lang w:val="en_US" w:bidi="en_US"/>
        </w:rPr>
        <w:t>cloaks:</w:t>
      </w:r>
      <w:r>
        <w:rPr>
          <w:lang w:val="en_US" w:bidi="en_US"/>
        </w:rPr>
        <w:t xml:space="preserve"> The Greek word that the BSB translates as </w:t>
      </w:r>
      <w:r>
        <w:rPr>
          <w:i/>
          <w:lang w:val="en_US" w:bidi="en_US"/>
        </w:rPr>
        <w:t>cloaks</w:t>
      </w:r>
      <w:r>
        <w:rPr>
          <w:lang w:val="en_US" w:bidi="en_US"/>
        </w:rPr>
        <w:t xml:space="preserve"> describes the robe-like garment worn by Jewish men. It was worn over their other clothing. The men could remove it and still be fully clothed. The disciples put the cloaks on the donkey’s back so that it would be more comfortable for Jesus to sit on.</w:t>
      </w:r>
    </w:p>
    <w:p>
      <w:pPr/>
      <w:r>
        <w:rPr>
          <w:lang w:val="en_US" w:bidi="en_US"/>
        </w:rPr>
      </w:r>
      <w:r>
        <w:rPr>
          <w:lang w:val="en_US" w:bidi="en_US"/>
        </w:rPr>
        <w:t>If men in your culture do not wear a second outer garment, you can translate this in a general way. For example:</w:t>
      </w:r>
    </w:p>
    <w:p>
      <w:pPr/>
      <w:r>
        <w:rPr>
          <w:lang w:val="en_US" w:bidi="en_US"/>
        </w:rPr>
      </w:r>
      <w:r>
        <w:rPr>
          <w:lang w:val="en_US" w:bidi="en_US"/>
        </w:rPr>
        <w:t>outer clothing</w:t>
      </w:r>
    </w:p>
    <w:p>
      <w:pPr/>
      <w:r>
        <w:rPr>
          <w:lang w:val="en_US" w:bidi="en_US"/>
        </w:rPr>
      </w:r>
      <w:r>
        <w:rPr>
          <w:lang w:val="en_US" w:bidi="en_US"/>
        </w:rPr>
        <w:t>garments</w:t>
      </w:r>
    </w:p>
    <w:p>
      <w:pPr/>
      <w:r>
        <w:rPr>
          <w:lang w:val="en_US" w:bidi="en_US"/>
        </w:rPr>
      </w:r>
      <w:r>
        <w:rPr>
          <w:lang w:val="en_US" w:bidi="en_US"/>
        </w:rPr>
        <w:t>coats</w:t>
      </w:r>
    </w:p>
    <w:p>
      <w:pPr/>
      <w:r>
        <w:rPr>
          <w:lang w:val="en_US" w:bidi="en_US"/>
        </w:rPr>
      </w:r>
      <w:r>
        <w:rPr>
          <w:lang w:val="en_US" w:bidi="en_US"/>
        </w:rPr>
        <w:t>See how you translated this word in 6:29 and 8:44. Be careful that your translation does not imply that the men were naked after they put their cloaks on the donkey.</w:t>
      </w:r>
    </w:p>
    <w:p>
      <w:pPr>
        <w:pStyle w:val="Heading5"/>
      </w:pPr>
      <w:r>
        <w:rPr>
          <w:lang w:val="en_US" w:bidi="en_US"/>
        </w:rPr>
        <w:t>19:35c</w:t>
      </w:r>
    </w:p>
    <w:p>
      <w:pPr/>
      <w:r>
        <w:rPr>
          <w:lang w:val="en_US" w:bidi="en_US"/>
        </w:rPr>
      </w:r>
      <w:r>
        <w:rPr>
          <w:b/>
          <w:lang w:val="en_US" w:bidi="en_US"/>
        </w:rPr>
        <w:t>and put Jesus on it.</w:t>
      </w:r>
    </w:p>
    <w:p>
      <w:pPr>
        <w:pStyle w:val="ListBullet"/>
        <w:spacing w:line="240" w:lineRule="auto"/>
        <w:ind w:left="720"/>
      </w:pPr>
      <w:r>
        <w:rPr>
          <w:lang w:val="en_US" w:bidi="en_US"/>
        </w:rPr>
      </w:r>
      <w:r>
        <w:rPr>
          <w:lang w:val="en_US" w:bidi="en_US"/>
        </w:rPr>
        <w:t>and helped Jesus get onto it.</w:t>
      </w:r>
    </w:p>
    <w:p>
      <w:pPr>
        <w:pStyle w:val="ListBullet"/>
        <w:spacing w:line="240" w:lineRule="auto"/>
        <w:ind w:left="720"/>
      </w:pPr>
      <w:r>
        <w:rPr>
          <w:lang w:val="en_US" w:bidi="en_US"/>
        </w:rPr>
      </w:r>
      <w:r>
        <w:rPr>
          <w:lang w:val="en_US" w:bidi="en_US"/>
        </w:rPr>
        <w:t xml:space="preserve">Then they caused him to get on it </w:t>
      </w:r>
      <w:r>
        <w:rPr>
          <w:lang w:val="en_US" w:bidi="en_US"/>
        </w:rPr>
        <w:t>and start to ride</w:t>
      </w:r>
      <w:r>
        <w:rPr>
          <w:lang w:val="en_US" w:bidi="en_US"/>
        </w:rPr>
        <w:t>.</w:t>
      </w:r>
    </w:p>
    <w:p>
      <w:pPr/>
      <w:r>
        <w:rPr>
          <w:lang w:val="en_US" w:bidi="en_US"/>
        </w:rPr>
      </w:r>
      <w:r>
        <w:rPr>
          <w:b/>
          <w:lang w:val="en_US" w:bidi="en_US"/>
        </w:rPr>
        <w:t>and put Jesus on it:</w:t>
      </w:r>
      <w:r>
        <w:rPr>
          <w:lang w:val="en_US" w:bidi="en_US"/>
        </w:rPr>
        <w:t xml:space="preserve"> The phrase </w:t>
      </w:r>
      <w:r>
        <w:rPr>
          <w:i/>
          <w:lang w:val="en_US" w:bidi="en_US"/>
        </w:rPr>
        <w:t>put Jesus on it</w:t>
      </w:r>
      <w:r>
        <w:rPr>
          <w:lang w:val="en_US" w:bidi="en_US"/>
        </w:rPr>
        <w:t xml:space="preserve"> indicates that the disciples caused or helped Jesus to get onto the donkey. The phrase probably does not indicate that the disciples lifted Jesus and put him on the donkey. They probably helped Jesus to get onto the donkey as a way of honoring him. They may also have wanted to help control the donkey, since no one had ridden it before. Here is another way to translate this:</w:t>
      </w:r>
    </w:p>
    <w:p>
      <w:pPr/>
      <w:r>
        <w:rPr>
          <w:lang w:val="en_US" w:bidi="en_US"/>
        </w:rPr>
      </w:r>
      <w:r>
        <w:rPr>
          <w:lang w:val="en_US" w:bidi="en_US"/>
        </w:rPr>
        <w:t>and helped Jesus get on (GNT)</w:t>
      </w:r>
      <w:r>
        <w:rPr>
          <w:lang w:val="en_US" w:bidi="en_US"/>
        </w:rPr>
      </w:r>
      <w:r>
        <w:rPr>
          <w:lang w:val="en_US" w:bidi="en_US"/>
        </w:rPr>
      </w:r>
    </w:p>
    <w:p>
      <w:pPr/>
      <w:r>
        <w:rPr>
          <w:lang w:val="en_US" w:bidi="en_US"/>
        </w:rPr>
      </w:r>
    </w:p>
    <w:p>
      <w:pPr>
        <w:pStyle w:val="Heading2"/>
      </w:pPr>
      <w:r>
        <w:rPr>
          <w:lang w:val="en_US" w:bidi="en_US"/>
        </w:rPr>
        <w:t>Luke 19:36</w:t>
      </w:r>
      <w:r>
        <w:rPr>
          <w:lang w:val="en_US" w:bidi="en_US"/>
        </w:rPr>
      </w:r>
    </w:p>
    <w:p>
      <w:pPr>
        <w:pStyle w:val="Heading4"/>
      </w:pPr>
      <w:r>
        <w:rPr>
          <w:lang w:val="en_US" w:bidi="en_US"/>
        </w:rPr>
        <w:t>Section 19:28–44: Jesus approached Jerusalem</w:t>
      </w:r>
    </w:p>
    <w:p>
      <w:pPr/>
      <w:r>
        <w:rPr>
          <w:lang w:val="en_US" w:bidi="en_US"/>
        </w:rPr>
      </w:r>
      <w:r>
        <w:rPr>
          <w:lang w:val="en_US" w:bidi="en_US"/>
        </w:rP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People of Jerusalem greeted Jesus as king</w:t>
      </w:r>
    </w:p>
    <w:p>
      <w:pPr/>
      <w:r>
        <w:rPr>
          <w:lang w:val="en_US" w:bidi="en_US"/>
        </w:rPr>
      </w:r>
      <w:r>
        <w:rPr>
          <w:lang w:val="en_US" w:bidi="en_US"/>
        </w:rPr>
        <w:t>There are parallel passages for this section in Matthew 21:1–11, Mark 11:1–11, and John 12:12–19.</w:t>
      </w:r>
    </w:p>
    <w:p>
      <w:pPr>
        <w:pStyle w:val="Heading5"/>
      </w:pPr>
      <w:r>
        <w:rPr>
          <w:lang w:val="en_US" w:bidi="en_US"/>
        </w:rPr>
        <w:t>19:36a</w:t>
      </w:r>
    </w:p>
    <w:p>
      <w:pPr/>
      <w:r>
        <w:rPr>
          <w:lang w:val="en_US" w:bidi="en_US"/>
        </w:rPr>
      </w:r>
      <w:r>
        <w:rPr>
          <w:b/>
          <w:lang w:val="en_US" w:bidi="en_US"/>
        </w:rPr>
        <w:t>As He rode along,</w:t>
      </w:r>
    </w:p>
    <w:p>
      <w:pPr>
        <w:pStyle w:val="ListBullet"/>
        <w:spacing w:line="240" w:lineRule="auto"/>
        <w:ind w:left="720"/>
      </w:pPr>
      <w:r>
        <w:rPr>
          <w:lang w:val="en_US" w:bidi="en_US"/>
        </w:rPr>
      </w:r>
      <w:r>
        <w:rPr>
          <w:lang w:val="en_US" w:bidi="en_US"/>
        </w:rPr>
        <w:t>As he traveled/rode along,</w:t>
      </w:r>
    </w:p>
    <w:p>
      <w:pPr>
        <w:pStyle w:val="ListBullet"/>
        <w:spacing w:line="240" w:lineRule="auto"/>
        <w:ind w:left="720"/>
      </w:pPr>
      <w:r>
        <w:rPr>
          <w:lang w:val="en_US" w:bidi="en_US"/>
        </w:rPr>
      </w:r>
      <w:r>
        <w:rPr>
          <w:lang w:val="en_US" w:bidi="en_US"/>
        </w:rPr>
        <w:t xml:space="preserve">While Jesus rode </w:t>
      </w:r>
      <w:r>
        <w:rPr>
          <w:lang w:val="en_US" w:bidi="en_US"/>
        </w:rPr>
        <w:t>the donkey</w:t>
      </w:r>
      <w:r>
        <w:rPr>
          <w:lang w:val="en_US" w:bidi="en_US"/>
        </w:rPr>
        <w:t xml:space="preserve"> </w:t>
      </w:r>
      <w:r>
        <w:rPr>
          <w:lang w:val="en_US" w:bidi="en_US"/>
        </w:rPr>
        <w:t>toward Jerusalem</w:t>
      </w:r>
      <w:r>
        <w:rPr>
          <w:lang w:val="en_US" w:bidi="en_US"/>
        </w:rPr>
        <w:t>,</w:t>
      </w:r>
    </w:p>
    <w:p>
      <w:pPr/>
      <w:r>
        <w:rPr>
          <w:lang w:val="en_US" w:bidi="en_US"/>
        </w:rPr>
      </w:r>
      <w:r>
        <w:rPr>
          <w:b/>
          <w:lang w:val="en_US" w:bidi="en_US"/>
        </w:rPr>
        <w:t>As He rode along:</w:t>
      </w:r>
      <w:r>
        <w:rPr>
          <w:lang w:val="en_US" w:bidi="en_US"/>
        </w:rPr>
        <w:t xml:space="preserve"> The Greek clause that the BSB translates as </w:t>
      </w:r>
      <w:r>
        <w:rPr>
          <w:i/>
          <w:lang w:val="en_US" w:bidi="en_US"/>
        </w:rPr>
        <w:t>As He rode along</w:t>
      </w:r>
      <w:r>
        <w:rPr>
          <w:lang w:val="en_US" w:bidi="en_US"/>
        </w:rPr>
        <w:t xml:space="preserve"> refers to Jesus riding along on the donkey. He was still traveling on the road to Jerusalem.</w:t>
      </w:r>
    </w:p>
    <w:p>
      <w:pPr>
        <w:pStyle w:val="Heading5"/>
      </w:pPr>
      <w:r>
        <w:rPr>
          <w:lang w:val="en_US" w:bidi="en_US"/>
        </w:rPr>
        <w:t>19:36b</w:t>
      </w:r>
    </w:p>
    <w:p>
      <w:pPr/>
      <w:r>
        <w:rPr>
          <w:lang w:val="en_US" w:bidi="en_US"/>
        </w:rPr>
      </w:r>
      <w:r>
        <w:rPr>
          <w:b/>
          <w:lang w:val="en_US" w:bidi="en_US"/>
        </w:rPr>
        <w:t>the people spread their cloaks on the road.</w:t>
      </w:r>
    </w:p>
    <w:p>
      <w:pPr>
        <w:pStyle w:val="ListBullet"/>
        <w:spacing w:line="240" w:lineRule="auto"/>
        <w:ind w:left="720"/>
      </w:pPr>
      <w:r>
        <w:rPr>
          <w:lang w:val="en_US" w:bidi="en_US"/>
        </w:rPr>
      </w:r>
      <w:r>
        <w:rPr>
          <w:lang w:val="en_US" w:bidi="en_US"/>
        </w:rPr>
        <w:t xml:space="preserve">people kept placing their cloaks/robes on the road </w:t>
      </w:r>
      <w:r>
        <w:rPr>
          <w:lang w:val="en_US" w:bidi="en_US"/>
        </w:rPr>
        <w:t>in front of him</w:t>
      </w:r>
      <w:r>
        <w:rPr>
          <w:lang w:val="en_US" w:bidi="en_US"/>
        </w:rPr>
        <w:t>.</w:t>
      </w:r>
    </w:p>
    <w:p>
      <w:pPr>
        <w:pStyle w:val="ListBullet"/>
        <w:spacing w:line="240" w:lineRule="auto"/>
        <w:ind w:left="720"/>
      </w:pPr>
      <w:r>
        <w:rPr>
          <w:lang w:val="en_US" w:bidi="en_US"/>
        </w:rPr>
      </w:r>
      <w:r>
        <w:rPr>
          <w:lang w:val="en_US" w:bidi="en_US"/>
        </w:rPr>
        <w:t xml:space="preserve">a crowd of his followers </w:t>
      </w:r>
      <w:r>
        <w:rPr>
          <w:lang w:val="en_US" w:bidi="en_US"/>
        </w:rPr>
        <w:t>honored him</w:t>
      </w:r>
      <w:r>
        <w:rPr>
          <w:lang w:val="en_US" w:bidi="en_US"/>
        </w:rPr>
        <w:t xml:space="preserve"> by spreading their outer garments on the road </w:t>
      </w:r>
      <w:r>
        <w:rPr>
          <w:lang w:val="en_US" w:bidi="en_US"/>
        </w:rPr>
        <w:t>for him to ride over</w:t>
      </w:r>
      <w:r>
        <w:rPr>
          <w:lang w:val="en_US" w:bidi="en_US"/>
        </w:rPr>
        <w:t>.</w:t>
      </w:r>
    </w:p>
    <w:p>
      <w:pPr/>
      <w:r>
        <w:rPr>
          <w:lang w:val="en_US" w:bidi="en_US"/>
        </w:rPr>
      </w:r>
      <w:r>
        <w:rPr>
          <w:b/>
          <w:lang w:val="en_US" w:bidi="en_US"/>
        </w:rPr>
        <w:t>the people spread:</w:t>
      </w:r>
      <w:r>
        <w:rPr>
          <w:lang w:val="en_US" w:bidi="en_US"/>
        </w:rPr>
        <w:t xml:space="preserve"> The Greek word that the BSB translates as </w:t>
      </w:r>
      <w:r>
        <w:rPr>
          <w:i/>
          <w:lang w:val="en_US" w:bidi="en_US"/>
        </w:rPr>
        <w:t>the people spread</w:t>
      </w:r>
      <w:r>
        <w:rPr>
          <w:lang w:val="en_US" w:bidi="en_US"/>
        </w:rPr>
        <w:t xml:space="preserve"> is literally “they-spread.” Here “they” probably refers to Jesus’ disciples and the large crowd of disciples mentioned in 19:37b. Matthew 21:8 calls this “a very large crowd.”</w:t>
      </w:r>
    </w:p>
    <w:p>
      <w:pPr/>
      <w:r>
        <w:rPr>
          <w:lang w:val="en_US" w:bidi="en_US"/>
        </w:rPr>
      </w:r>
      <w:r>
        <w:rPr>
          <w:lang w:val="en_US" w:bidi="en_US"/>
        </w:rPr>
        <w:t xml:space="preserve">Most English versions use a general subject here like “they” or </w:t>
      </w:r>
      <w:r>
        <w:rPr>
          <w:i/>
          <w:lang w:val="en_US" w:bidi="en_US"/>
        </w:rPr>
        <w:t>people</w:t>
      </w:r>
      <w:r>
        <w:rPr>
          <w:lang w:val="en_US" w:bidi="en_US"/>
        </w:rPr>
        <w:t>. It is also possible to translate more specifically to fit with 19:37. For example:</w:t>
      </w:r>
    </w:p>
    <w:p>
      <w:pPr/>
      <w:r>
        <w:rPr>
          <w:lang w:val="en_US" w:bidi="en_US"/>
        </w:rPr>
      </w:r>
      <w:r>
        <w:rPr>
          <w:lang w:val="en_US" w:bidi="en_US"/>
        </w:rPr>
        <w:t>many followers of Jesus</w:t>
      </w:r>
    </w:p>
    <w:p>
      <w:pPr/>
      <w:r>
        <w:rPr>
          <w:lang w:val="en_US" w:bidi="en_US"/>
        </w:rPr>
      </w:r>
      <w:r>
        <w:rPr>
          <w:b/>
          <w:lang w:val="en_US" w:bidi="en_US"/>
        </w:rPr>
        <w:t>spread their cloaks on the road:</w:t>
      </w:r>
      <w:r>
        <w:rPr>
          <w:lang w:val="en_US" w:bidi="en_US"/>
        </w:rPr>
        <w:t xml:space="preserve"> People spread their cloaks on the road in front of Jesus so that he would ride over them as the donkey walked along. The people did this to show great honor to him. In many languages, it may be necessary to indicate the meaning of this action. For example:</w:t>
      </w:r>
    </w:p>
    <w:p>
      <w:pPr/>
      <w:r>
        <w:rPr>
          <w:lang w:val="en_US" w:bidi="en_US"/>
        </w:rPr>
      </w:r>
      <w:r>
        <w:rPr>
          <w:lang w:val="en_US" w:bidi="en_US"/>
        </w:rPr>
        <w:t xml:space="preserve">spread their cloaks on the road </w:t>
      </w:r>
      <w:r>
        <w:rPr>
          <w:lang w:val="en_US" w:bidi="en_US"/>
        </w:rPr>
        <w:t>to honor him</w:t>
      </w:r>
    </w:p>
    <w:p>
      <w:pPr/>
      <w:r>
        <w:rPr>
          <w:lang w:val="en_US" w:bidi="en_US"/>
        </w:rPr>
      </w:r>
      <w:r>
        <w:rPr>
          <w:lang w:val="en_US" w:bidi="en_US"/>
        </w:rPr>
        <w:t>It may also be helpful to include a footnote to explain the meaning. For example:</w:t>
      </w:r>
    </w:p>
    <w:p>
      <w:pPr/>
      <w:r>
        <w:rPr>
          <w:lang w:val="en_US" w:bidi="en_US"/>
        </w:rPr>
      </w:r>
      <w:r>
        <w:rPr>
          <w:lang w:val="en_US" w:bidi="en_US"/>
        </w:rPr>
        <w:t>The people spread their cloaks on the road in front of Jesus to show that he was worthy of great honor. They were probably showing that they were ready to submit to him as king. See 2 Kings 9:13.</w:t>
      </w:r>
    </w:p>
    <w:p>
      <w:pPr/>
      <w:r>
        <w:rPr>
          <w:lang w:val="en_US" w:bidi="en_US"/>
        </w:rPr>
      </w:r>
      <w:r>
        <w:rPr>
          <w:b/>
          <w:lang w:val="en_US" w:bidi="en_US"/>
        </w:rPr>
        <w:t>spread their cloaks:</w:t>
      </w:r>
      <w:r>
        <w:rPr>
          <w:lang w:val="en_US" w:bidi="en_US"/>
        </w:rPr>
        <w:t xml:space="preserve"> The Greek verb that the BSB translates as </w:t>
      </w:r>
      <w:r>
        <w:rPr>
          <w:i/>
          <w:lang w:val="en_US" w:bidi="en_US"/>
        </w:rPr>
        <w:t>spread</w:t>
      </w:r>
      <w:r>
        <w:rPr>
          <w:lang w:val="en_US" w:bidi="en_US"/>
        </w:rPr>
        <w:t xml:space="preserve"> implies that the action was repeated. The people kept putting their coats out in front of Jesus so the donkey would walk on them. Some ways to translate this repeated action are:</w:t>
      </w:r>
    </w:p>
    <w:p>
      <w:pPr/>
      <w:r>
        <w:rPr>
          <w:lang w:val="en_US" w:bidi="en_US"/>
        </w:rPr>
      </w:r>
      <w:r>
        <w:rPr>
          <w:lang w:val="en_US" w:bidi="en_US"/>
        </w:rPr>
        <w:t xml:space="preserve">people </w:t>
      </w:r>
      <w:r>
        <w:rPr>
          <w:u w:val="single"/>
          <w:lang w:val="en_US" w:bidi="en_US"/>
        </w:rPr>
        <w:t>kept</w:t>
      </w:r>
      <w:r>
        <w:rPr>
          <w:lang w:val="en_US" w:bidi="en_US"/>
        </w:rPr>
        <w:t xml:space="preserve"> spreading their cloaks (NRSV)</w:t>
      </w:r>
    </w:p>
    <w:p>
      <w:pPr/>
      <w:r>
        <w:rPr>
          <w:lang w:val="en_US" w:bidi="en_US"/>
        </w:rPr>
      </w:r>
      <w:r>
        <w:rPr>
          <w:lang w:val="en_US" w:bidi="en_US"/>
        </w:rPr>
        <w:t xml:space="preserve">they </w:t>
      </w:r>
      <w:r>
        <w:rPr>
          <w:u w:val="single"/>
          <w:lang w:val="en_US" w:bidi="en_US"/>
        </w:rPr>
        <w:t>were spreading</w:t>
      </w:r>
      <w:r>
        <w:rPr>
          <w:lang w:val="en_US" w:bidi="en_US"/>
        </w:rPr>
        <w:t xml:space="preserve"> their coats (NASB)</w:t>
      </w:r>
    </w:p>
    <w:p>
      <w:pPr/>
      <w:r>
        <w:rPr>
          <w:lang w:val="en_US" w:bidi="en_US"/>
        </w:rPr>
      </w:r>
      <w:r>
        <w:rPr>
          <w:b/>
          <w:lang w:val="en_US" w:bidi="en_US"/>
        </w:rPr>
        <w:t>cloaks:</w:t>
      </w:r>
      <w:r>
        <w:rPr>
          <w:lang w:val="en_US" w:bidi="en_US"/>
        </w:rPr>
        <w:t xml:space="preserve"> The Greek word that the BSB translates as </w:t>
      </w:r>
      <w:r>
        <w:rPr>
          <w:i/>
          <w:lang w:val="en_US" w:bidi="en_US"/>
        </w:rPr>
        <w:t>cloaks</w:t>
      </w:r>
      <w:r>
        <w:rPr>
          <w:lang w:val="en_US" w:bidi="en_US"/>
        </w:rPr>
        <w:t xml:space="preserve"> is the same word as in 19:35a–b.</w:t>
      </w:r>
      <w:r>
        <w:rPr>
          <w:lang w:val="en_US" w:bidi="en_US"/>
        </w:rPr>
      </w:r>
      <w:r>
        <w:rPr>
          <w:lang w:val="en_US" w:bidi="en_US"/>
        </w:rPr>
      </w:r>
    </w:p>
    <w:p>
      <w:pPr/>
      <w:r>
        <w:rPr>
          <w:lang w:val="en_US" w:bidi="en_US"/>
        </w:rPr>
      </w:r>
    </w:p>
    <w:p>
      <w:pPr>
        <w:pStyle w:val="Heading2"/>
      </w:pPr>
      <w:r>
        <w:rPr>
          <w:lang w:val="en_US" w:bidi="en_US"/>
        </w:rPr>
        <w:t>Luke 19:37</w:t>
      </w:r>
      <w:r>
        <w:rPr>
          <w:lang w:val="en_US" w:bidi="en_US"/>
        </w:rPr>
      </w:r>
    </w:p>
    <w:p>
      <w:pPr>
        <w:pStyle w:val="Heading4"/>
      </w:pPr>
      <w:r>
        <w:rPr>
          <w:lang w:val="en_US" w:bidi="en_US"/>
        </w:rPr>
        <w:t>Section 19:28–44: Jesus approached Jerusalem</w:t>
      </w:r>
    </w:p>
    <w:p>
      <w:pPr/>
      <w:r>
        <w:rPr>
          <w:lang w:val="en_US" w:bidi="en_US"/>
        </w:rPr>
      </w:r>
      <w:r>
        <w:rPr>
          <w:lang w:val="en_US" w:bidi="en_US"/>
        </w:rP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People of Jerusalem greeted Jesus as king</w:t>
      </w:r>
    </w:p>
    <w:p>
      <w:pPr/>
      <w:r>
        <w:rPr>
          <w:lang w:val="en_US" w:bidi="en_US"/>
        </w:rPr>
      </w:r>
      <w:r>
        <w:rPr>
          <w:lang w:val="en_US" w:bidi="en_US"/>
        </w:rPr>
        <w:t>There are parallel passages for this section in Matthew 21:1–11, Mark 11:1–11, and John 12:12–19.</w:t>
      </w:r>
    </w:p>
    <w:p>
      <w:pPr>
        <w:pStyle w:val="Heading5"/>
      </w:pPr>
      <w:r>
        <w:rPr>
          <w:lang w:val="en_US" w:bidi="en_US"/>
        </w:rPr>
        <w:t>19:37a</w:t>
      </w:r>
    </w:p>
    <w:p>
      <w:pPr/>
      <w:r>
        <w:rPr>
          <w:lang w:val="en_US" w:bidi="en_US"/>
        </w:rPr>
      </w:r>
      <w:r>
        <w:rPr>
          <w:b/>
          <w:lang w:val="en_US" w:bidi="en_US"/>
        </w:rPr>
        <w:t>And as He approached the descent from the Mount of Olives,</w:t>
      </w:r>
    </w:p>
    <w:p>
      <w:pPr>
        <w:pStyle w:val="ListBullet"/>
        <w:spacing w:line="240" w:lineRule="auto"/>
        <w:ind w:left="720"/>
      </w:pPr>
      <w:r>
        <w:rPr>
          <w:lang w:val="en_US" w:bidi="en_US"/>
        </w:rPr>
      </w:r>
      <w:r>
        <w:rPr>
          <w:lang w:val="en_US" w:bidi="en_US"/>
        </w:rPr>
        <w:t xml:space="preserve">¶ As </w:t>
      </w:r>
      <w:r>
        <w:rPr>
          <w:lang w:val="en_US" w:bidi="en_US"/>
        </w:rPr>
        <w:t>Jesus</w:t>
      </w:r>
      <w:r>
        <w:rPr>
          <w:lang w:val="en_US" w:bidi="en_US"/>
        </w:rPr>
        <w:t xml:space="preserve"> arrived at the place where the road descends Olive </w:t>
      </w:r>
      <w:r>
        <w:rPr>
          <w:lang w:val="en_US" w:bidi="en_US"/>
        </w:rPr>
        <w:t>Tree</w:t>
      </w:r>
      <w:r>
        <w:rPr>
          <w:lang w:val="en_US" w:bidi="en_US"/>
        </w:rPr>
        <w:t xml:space="preserve"> Mountain,</w:t>
      </w:r>
    </w:p>
    <w:p>
      <w:pPr>
        <w:pStyle w:val="ListBullet"/>
        <w:spacing w:line="240" w:lineRule="auto"/>
        <w:ind w:left="720"/>
      </w:pPr>
      <w:r>
        <w:rPr>
          <w:lang w:val="en_US" w:bidi="en_US"/>
        </w:rPr>
      </w:r>
      <w:r>
        <w:rPr>
          <w:lang w:val="en_US" w:bidi="en_US"/>
        </w:rPr>
        <w:t xml:space="preserve">¶ As he rode along, he approached the place where the road begins to go down the Hill of Olive </w:t>
      </w:r>
      <w:r>
        <w:rPr>
          <w:lang w:val="en_US" w:bidi="en_US"/>
        </w:rPr>
        <w:t>Trees</w:t>
      </w:r>
      <w:r>
        <w:rPr>
          <w:lang w:val="en_US" w:bidi="en_US"/>
        </w:rPr>
        <w:t xml:space="preserve"> </w:t>
      </w:r>
      <w:r>
        <w:rPr>
          <w:lang w:val="en_US" w:bidi="en_US"/>
        </w:rPr>
        <w:t>toward Jerusalem</w:t>
      </w:r>
      <w:r>
        <w:rPr>
          <w:lang w:val="en_US" w:bidi="en_US"/>
        </w:rPr>
        <w:t>.</w:t>
      </w:r>
    </w:p>
    <w:p>
      <w:pPr/>
      <w:r>
        <w:rPr>
          <w:lang w:val="en_US" w:bidi="en_US"/>
        </w:rPr>
      </w:r>
      <w:r>
        <w:rPr>
          <w:b/>
          <w:lang w:val="en_US" w:bidi="en_US"/>
        </w:rPr>
        <w:t>And as He approached the descent from the Mount of Olives:</w:t>
      </w:r>
      <w:r>
        <w:rPr>
          <w:lang w:val="en_US" w:bidi="en_US"/>
        </w:rPr>
        <w:t xml:space="preserve"> In Greek this clause is more literally:</w:t>
      </w:r>
    </w:p>
    <w:p>
      <w:pPr/>
      <w:r>
        <w:rPr>
          <w:lang w:val="en_US" w:bidi="en_US"/>
        </w:rPr>
      </w:r>
      <w:r>
        <w:rPr>
          <w:lang w:val="en_US" w:bidi="en_US"/>
        </w:rPr>
        <w:t>And he coming-near, already (being) at the descent of the Mount of Olives</w:t>
      </w:r>
    </w:p>
    <w:p>
      <w:pPr/>
      <w:r>
        <w:rPr>
          <w:lang w:val="en_US" w:bidi="en_US"/>
        </w:rPr>
      </w:r>
      <w:r>
        <w:rPr>
          <w:lang w:val="en_US" w:bidi="en_US"/>
        </w:rPr>
        <w:t xml:space="preserve">The word </w:t>
      </w:r>
      <w:r>
        <w:rPr>
          <w:i/>
          <w:lang w:val="en_US" w:bidi="en_US"/>
        </w:rPr>
        <w:t>approached</w:t>
      </w:r>
      <w:r>
        <w:rPr>
          <w:lang w:val="en_US" w:bidi="en_US"/>
        </w:rPr>
        <w:t xml:space="preserve"> can imply either a general location or a specific one. Specifically, Jesus was approaching the place where the road began to go down toward Jerusalem, so he was also coming nearer to Jerusalem itself. The road descended from the Mount of Olives into the Kidron valley before rising again and entering the city. As the descent began, Jesus was less than two kilometers from Jerusalem.</w:t>
      </w:r>
    </w:p>
    <w:p>
      <w:pPr/>
      <w:r>
        <w:rPr>
          <w:lang w:val="en_US" w:bidi="en_US"/>
        </w:rPr>
      </w:r>
      <w:r>
        <w:rPr>
          <w:lang w:val="en_US" w:bidi="en_US"/>
        </w:rPr>
        <w:t>In some languages it may be helpful to specify Jerusalem as the location Jesus that was “coming-near.” For example:</w:t>
      </w:r>
    </w:p>
    <w:p>
      <w:pPr/>
      <w:r>
        <w:rPr>
          <w:lang w:val="en_US" w:bidi="en_US"/>
        </w:rPr>
      </w:r>
      <w:r>
        <w:rPr>
          <w:lang w:val="en_US" w:bidi="en_US"/>
        </w:rPr>
        <w:t xml:space="preserve">When he came near </w:t>
      </w:r>
      <w:r>
        <w:rPr>
          <w:u w:val="single"/>
          <w:lang w:val="en_US" w:bidi="en_US"/>
        </w:rPr>
        <w:t>Jerusalem</w:t>
      </w:r>
      <w:r>
        <w:rPr>
          <w:lang w:val="en_US" w:bidi="en_US"/>
        </w:rPr>
        <w:t>, at the place where the road went down the Mount of Olives (GNT)</w:t>
      </w:r>
    </w:p>
    <w:p>
      <w:pPr/>
      <w:r>
        <w:rPr>
          <w:lang w:val="en_US" w:bidi="en_US"/>
        </w:rPr>
      </w:r>
      <w:r>
        <w:rPr>
          <w:lang w:val="en_US" w:bidi="en_US"/>
        </w:rPr>
        <w:t xml:space="preserve">As he was coming close to </w:t>
      </w:r>
      <w:r>
        <w:rPr>
          <w:u w:val="single"/>
          <w:lang w:val="en_US" w:bidi="en_US"/>
        </w:rPr>
        <w:t>Jerusalem</w:t>
      </w:r>
      <w:r>
        <w:rPr>
          <w:lang w:val="en_US" w:bidi="en_US"/>
        </w:rPr>
        <w:t>, on the way down the Mount of Olives (NCV)</w:t>
      </w:r>
    </w:p>
    <w:p>
      <w:pPr/>
      <w:r>
        <w:rPr>
          <w:lang w:val="en_US" w:bidi="en_US"/>
        </w:rPr>
      </w:r>
      <w:r>
        <w:rPr>
          <w:b/>
          <w:lang w:val="en_US" w:bidi="en_US"/>
        </w:rPr>
        <w:t>the Mount of Olives:</w:t>
      </w:r>
      <w:r>
        <w:rPr>
          <w:lang w:val="en_US" w:bidi="en_US"/>
        </w:rPr>
        <w:t xml:space="preserve"> For help in translating </w:t>
      </w:r>
      <w:r>
        <w:rPr>
          <w:i/>
          <w:lang w:val="en_US" w:bidi="en_US"/>
        </w:rPr>
        <w:t>the Mount of Olives</w:t>
      </w:r>
      <w:r>
        <w:rPr>
          <w:lang w:val="en_US" w:bidi="en_US"/>
        </w:rPr>
        <w:t>, see the note on 19:29b.</w:t>
      </w:r>
    </w:p>
    <w:p>
      <w:pPr>
        <w:pStyle w:val="Heading5"/>
      </w:pPr>
      <w:r>
        <w:rPr>
          <w:lang w:val="en_US" w:bidi="en_US"/>
        </w:rPr>
        <w:t>19:37b</w:t>
      </w:r>
    </w:p>
    <w:p>
      <w:pPr/>
      <w:r>
        <w:rPr>
          <w:lang w:val="en_US" w:bidi="en_US"/>
        </w:rPr>
      </w:r>
      <w:r>
        <w:rPr>
          <w:b/>
          <w:lang w:val="en_US" w:bidi="en_US"/>
        </w:rPr>
        <w:t>the whole multitude of disciples began to praise God joyfully in a loud voice</w:t>
      </w:r>
    </w:p>
    <w:p>
      <w:pPr>
        <w:pStyle w:val="ListBullet"/>
        <w:spacing w:line="240" w:lineRule="auto"/>
        <w:ind w:left="720"/>
      </w:pPr>
      <w:r>
        <w:rPr>
          <w:lang w:val="en_US" w:bidi="en_US"/>
        </w:rPr>
      </w:r>
      <w:r>
        <w:rPr>
          <w:lang w:val="en_US" w:bidi="en_US"/>
        </w:rPr>
        <w:t>the entire crowd of disciples began to shout out joyful praises to God</w:t>
      </w:r>
    </w:p>
    <w:p>
      <w:pPr>
        <w:pStyle w:val="ListBullet"/>
        <w:spacing w:line="240" w:lineRule="auto"/>
        <w:ind w:left="720"/>
      </w:pPr>
      <w:r>
        <w:rPr>
          <w:lang w:val="en_US" w:bidi="en_US"/>
        </w:rPr>
      </w:r>
      <w:r>
        <w:rPr>
          <w:lang w:val="en_US" w:bidi="en_US"/>
        </w:rPr>
        <w:t xml:space="preserve">Then all of Jesus’ followers </w:t>
      </w:r>
      <w:r>
        <w:rPr>
          <w:lang w:val="en_US" w:bidi="en_US"/>
        </w:rPr>
        <w:t>who were there</w:t>
      </w:r>
      <w:r>
        <w:rPr>
          <w:lang w:val="en_US" w:bidi="en_US"/>
        </w:rPr>
        <w:t xml:space="preserve"> started praising God joyfully and loudly,</w:t>
      </w:r>
    </w:p>
    <w:p>
      <w:pPr>
        <w:pStyle w:val="ListBullet"/>
        <w:spacing w:line="240" w:lineRule="auto"/>
        <w:ind w:left="720"/>
      </w:pPr>
      <w:r>
        <w:rPr>
          <w:lang w:val="en_US" w:bidi="en_US"/>
        </w:rPr>
      </w:r>
      <w:r>
        <w:rPr>
          <w:lang w:val="en_US" w:bidi="en_US"/>
        </w:rPr>
        <w:t>The crowd of disciples was happy, and they shouted, “</w:t>
      </w:r>
      <w:r>
        <w:rPr>
          <w:lang w:val="en_US" w:bidi="en_US"/>
        </w:rPr>
        <w:t>We</w:t>
      </w:r>
      <w:r>
        <w:rPr>
          <w:vertAlign w:val="superscript"/>
          <w:lang w:val="en_US" w:bidi="en_US"/>
        </w:rPr>
        <w:t>(excl)</w:t>
      </w:r>
      <w:r>
        <w:rPr>
          <w:lang w:val="en_US" w:bidi="en_US"/>
        </w:rPr>
        <w:t xml:space="preserve"> praise you, God</w:t>
      </w:r>
    </w:p>
    <w:p>
      <w:pPr/>
      <w:r>
        <w:rPr>
          <w:lang w:val="en_US" w:bidi="en_US"/>
        </w:rPr>
      </w:r>
      <w:r>
        <w:rPr>
          <w:b/>
          <w:lang w:val="en_US" w:bidi="en_US"/>
        </w:rPr>
        <w:t>the whole multitude of disciples:</w:t>
      </w:r>
      <w:r>
        <w:rPr>
          <w:lang w:val="en_US" w:bidi="en_US"/>
        </w:rPr>
        <w:t xml:space="preserve"> In this context the word </w:t>
      </w:r>
      <w:r>
        <w:rPr>
          <w:i/>
          <w:lang w:val="en_US" w:bidi="en_US"/>
        </w:rPr>
        <w:t>disciples</w:t>
      </w:r>
      <w:r>
        <w:rPr>
          <w:lang w:val="en_US" w:bidi="en_US"/>
        </w:rPr>
        <w:t xml:space="preserve"> includes all the people who listened to and followed Jesus. It does not refer only to the twelve men who were with him all the time.</w:t>
      </w:r>
    </w:p>
    <w:p>
      <w:pPr/>
      <w:r>
        <w:rPr>
          <w:lang w:val="en_US" w:bidi="en_US"/>
        </w:rPr>
      </w:r>
      <w:r>
        <w:rPr>
          <w:b/>
          <w:lang w:val="en_US" w:bidi="en_US"/>
        </w:rPr>
        <w:t>began to praise God joyfully in a loud voice:</w:t>
      </w:r>
      <w:r>
        <w:rPr>
          <w:lang w:val="en_US" w:bidi="en_US"/>
        </w:rPr>
        <w:t xml:space="preserve"> The Greek word that the BSB translates as </w:t>
      </w:r>
      <w:r>
        <w:rPr>
          <w:i/>
          <w:lang w:val="en_US" w:bidi="en_US"/>
        </w:rPr>
        <w:t>joyfully</w:t>
      </w:r>
      <w:r>
        <w:rPr>
          <w:lang w:val="en_US" w:bidi="en_US"/>
        </w:rPr>
        <w:t xml:space="preserve"> indicates that the people were rejoicing as they praised God. They praised him loudly to express their joy and gratitude. Other ways to translate this are:</w:t>
      </w:r>
    </w:p>
    <w:p>
      <w:pPr/>
      <w:r>
        <w:rPr>
          <w:lang w:val="en_US" w:bidi="en_US"/>
        </w:rPr>
      </w:r>
      <w:r>
        <w:rPr>
          <w:lang w:val="en_US" w:bidi="en_US"/>
        </w:rPr>
        <w:t>began to rejoice and praise God (RSV)</w:t>
      </w:r>
    </w:p>
    <w:p>
      <w:pPr/>
      <w:r>
        <w:rPr>
          <w:lang w:val="en_US" w:bidi="en_US"/>
        </w:rPr>
      </w:r>
      <w:r>
        <w:rPr>
          <w:lang w:val="en_US" w:bidi="en_US"/>
        </w:rPr>
        <w:t>began joyfully shouting praise to God (NCV)</w:t>
      </w:r>
    </w:p>
    <w:p>
      <w:pPr>
        <w:pStyle w:val="Heading5"/>
      </w:pPr>
      <w:r>
        <w:rPr>
          <w:lang w:val="en_US" w:bidi="en_US"/>
        </w:rPr>
        <w:t>19:37c</w:t>
      </w:r>
    </w:p>
    <w:p>
      <w:pPr/>
      <w:r>
        <w:rPr>
          <w:lang w:val="en_US" w:bidi="en_US"/>
        </w:rPr>
      </w:r>
      <w:r>
        <w:rPr>
          <w:b/>
          <w:lang w:val="en_US" w:bidi="en_US"/>
        </w:rPr>
        <w:t>for all the miracles they had seen:</w:t>
      </w:r>
    </w:p>
    <w:p>
      <w:pPr>
        <w:pStyle w:val="ListBullet"/>
        <w:spacing w:line="240" w:lineRule="auto"/>
        <w:ind w:left="720"/>
      </w:pPr>
      <w:r>
        <w:rPr>
          <w:lang w:val="en_US" w:bidi="en_US"/>
        </w:rPr>
      </w:r>
      <w:r>
        <w:rPr>
          <w:lang w:val="en_US" w:bidi="en_US"/>
        </w:rPr>
        <w:t xml:space="preserve">because of all the miracles that they had seen </w:t>
      </w:r>
      <w:r>
        <w:rPr>
          <w:lang w:val="en_US" w:bidi="en_US"/>
        </w:rPr>
        <w:t>Jesus do</w:t>
      </w:r>
      <w:r>
        <w:rPr>
          <w:lang w:val="en_US" w:bidi="en_US"/>
        </w:rPr>
        <w:t xml:space="preserve">. </w:t>
      </w:r>
      <w:r>
        <w:rPr>
          <w:lang w:val="en_US" w:bidi="en_US"/>
        </w:rPr>
        <w:t>They exclaimed,</w:t>
      </w:r>
    </w:p>
    <w:p>
      <w:pPr>
        <w:pStyle w:val="ListBullet"/>
        <w:spacing w:line="240" w:lineRule="auto"/>
        <w:ind w:left="720"/>
      </w:pPr>
      <w:r>
        <w:rPr>
          <w:lang w:val="en_US" w:bidi="en_US"/>
        </w:rPr>
      </w:r>
      <w:r>
        <w:rPr>
          <w:lang w:val="en_US" w:bidi="en_US"/>
        </w:rPr>
        <w:t xml:space="preserve">speaking of all the miracles that they had seen him do </w:t>
      </w:r>
      <w:r>
        <w:rPr>
          <w:lang w:val="en_US" w:bidi="en_US"/>
        </w:rPr>
        <w:t>previously</w:t>
      </w:r>
      <w:r>
        <w:rPr>
          <w:lang w:val="en_US" w:bidi="en_US"/>
        </w:rPr>
        <w:t xml:space="preserve">. </w:t>
      </w:r>
      <w:r>
        <w:rPr>
          <w:lang w:val="en_US" w:bidi="en_US"/>
        </w:rPr>
        <w:t>They said,</w:t>
      </w:r>
    </w:p>
    <w:p>
      <w:pPr>
        <w:pStyle w:val="ListBullet"/>
        <w:spacing w:line="240" w:lineRule="auto"/>
        <w:ind w:left="720"/>
      </w:pPr>
      <w:r>
        <w:rPr>
          <w:lang w:val="en_US" w:bidi="en_US"/>
        </w:rPr>
      </w:r>
      <w:r>
        <w:rPr>
          <w:lang w:val="en_US" w:bidi="en_US"/>
        </w:rPr>
        <w:t>for all the wonderful miracles we</w:t>
      </w:r>
      <w:r>
        <w:rPr>
          <w:vertAlign w:val="superscript"/>
          <w:lang w:val="en_US" w:bidi="en_US"/>
        </w:rPr>
        <w:t>(excl)</w:t>
      </w:r>
      <w:r>
        <w:rPr>
          <w:lang w:val="en_US" w:bidi="en_US"/>
        </w:rPr>
        <w:t xml:space="preserve"> have seen </w:t>
      </w:r>
      <w:r>
        <w:rPr>
          <w:lang w:val="en_US" w:bidi="en_US"/>
        </w:rPr>
        <w:t>Jesus do</w:t>
      </w:r>
      <w:r>
        <w:rPr>
          <w:lang w:val="en_US" w:bidi="en_US"/>
        </w:rPr>
        <w:t xml:space="preserve">!” </w:t>
      </w:r>
      <w:r>
        <w:rPr>
          <w:lang w:val="en_US" w:bidi="en_US"/>
        </w:rPr>
        <w:t>They also said,</w:t>
      </w:r>
    </w:p>
    <w:p>
      <w:pPr/>
      <w:r>
        <w:rPr>
          <w:lang w:val="en_US" w:bidi="en_US"/>
        </w:rPr>
      </w:r>
      <w:r>
        <w:rPr>
          <w:b/>
          <w:lang w:val="en_US" w:bidi="en_US"/>
        </w:rPr>
        <w:t>for all the miracles they had seen:</w:t>
      </w:r>
      <w:r>
        <w:rPr>
          <w:lang w:val="en_US" w:bidi="en_US"/>
        </w:rPr>
        <w:t xml:space="preserve"> This phrase gives the reason why the people praised God. The phrase </w:t>
      </w:r>
      <w:r>
        <w:rPr>
          <w:i/>
          <w:lang w:val="en_US" w:bidi="en_US"/>
        </w:rPr>
        <w:t>all the miracles they had seen</w:t>
      </w:r>
      <w:r>
        <w:rPr>
          <w:lang w:val="en_US" w:bidi="en_US"/>
        </w:rPr>
        <w:t xml:space="preserve"> refers to the many miracles that they had seen Jesus do. In some languages it may be necessary to make this explicit. For example:</w:t>
      </w:r>
    </w:p>
    <w:p>
      <w:pPr/>
      <w:r>
        <w:rPr>
          <w:lang w:val="en_US" w:bidi="en_US"/>
        </w:rPr>
      </w:r>
      <w:r>
        <w:rPr>
          <w:lang w:val="en_US" w:bidi="en_US"/>
        </w:rPr>
        <w:t>because of all the miracles that they had seen Jesus do</w:t>
      </w:r>
    </w:p>
    <w:p>
      <w:pPr/>
      <w:r>
        <w:rPr>
          <w:lang w:val="en_US" w:bidi="en_US"/>
        </w:rPr>
      </w:r>
      <w:r>
        <w:rPr>
          <w:lang w:val="en_US" w:bidi="en_US"/>
        </w:rPr>
        <w:t xml:space="preserve">because they had seen </w:t>
      </w:r>
      <w:r>
        <w:rPr>
          <w:lang w:val="en_US" w:bidi="en_US"/>
        </w:rPr>
        <w:t>him do</w:t>
      </w:r>
      <w:r>
        <w:rPr>
          <w:lang w:val="en_US" w:bidi="en_US"/>
        </w:rPr>
        <w:t xml:space="preserve"> many miracles</w:t>
      </w:r>
    </w:p>
    <w:p>
      <w:pPr/>
      <w:r>
        <w:rPr>
          <w:lang w:val="en_US" w:bidi="en_US"/>
        </w:rPr>
      </w:r>
      <w:r>
        <w:rPr>
          <w:b/>
          <w:lang w:val="en_US" w:bidi="en_US"/>
        </w:rPr>
        <w:t>miracles:</w:t>
      </w:r>
      <w:r>
        <w:rPr>
          <w:lang w:val="en_US" w:bidi="en_US"/>
        </w:rPr>
        <w:t xml:space="preserve"> The Greek word that the BSB translates here as </w:t>
      </w:r>
      <w:r>
        <w:rPr>
          <w:i/>
          <w:lang w:val="en_US" w:bidi="en_US"/>
        </w:rPr>
        <w:t>miracles</w:t>
      </w:r>
      <w:r>
        <w:rPr>
          <w:lang w:val="en_US" w:bidi="en_US"/>
        </w:rPr>
        <w:t xml:space="preserve"> is literally “powers.”</w:t>
      </w:r>
      <w:r>
        <w:rPr>
          <w:lang w:val="en_US" w:bidi="en_US"/>
        </w:rPr>
        <w:t xml:space="preserve">The Greek word is </w:t>
      </w:r>
      <w:r>
        <w:rPr>
          <w:i/>
          <w:lang w:val="en_US" w:bidi="en_US"/>
        </w:rPr>
        <w:t>dunamis</w:t>
      </w:r>
      <w:r>
        <w:rPr>
          <w:lang w:val="en_US" w:bidi="en_US"/>
        </w:rPr>
        <w:t>.</w:t>
      </w:r>
      <w:r>
        <w:rPr>
          <w:lang w:val="en_US" w:bidi="en_US"/>
        </w:rPr>
        <w:t xml:space="preserve"> A “miracle” is an action that requires great power to accomplish. When a human being does a miracle, he must use greater power than human beings normally have. Jesus used God’s power to do miracles,</w:t>
      </w:r>
      <w:r>
        <w:rPr>
          <w:lang w:val="en_US" w:bidi="en_US"/>
        </w:rPr>
        <w:t>Jesus’ disciples also used God’s power to do miracles.</w:t>
      </w:r>
      <w:r>
        <w:rPr>
          <w:lang w:val="en_US" w:bidi="en_US"/>
        </w:rPr>
        <w:t xml:space="preserve"> and these miracles demonstrated that he came from God.</w:t>
      </w:r>
    </w:p>
    <w:p>
      <w:pPr/>
      <w:r>
        <w:rPr>
          <w:lang w:val="en_US" w:bidi="en_US"/>
        </w:rPr>
      </w:r>
      <w:r>
        <w:rPr>
          <w:lang w:val="en_US" w:bidi="en_US"/>
        </w:rPr>
        <w:t xml:space="preserve">Some other ways to translate </w:t>
      </w:r>
      <w:r>
        <w:rPr>
          <w:i/>
          <w:lang w:val="en_US" w:bidi="en_US"/>
        </w:rPr>
        <w:t>miracles</w:t>
      </w:r>
      <w:r>
        <w:rPr>
          <w:lang w:val="en_US" w:bidi="en_US"/>
        </w:rPr>
        <w:t xml:space="preserve"> are:</w:t>
      </w:r>
    </w:p>
    <w:p>
      <w:pPr/>
      <w:r>
        <w:rPr>
          <w:lang w:val="en_US" w:bidi="en_US"/>
        </w:rPr>
      </w:r>
      <w:r>
        <w:rPr>
          <w:lang w:val="en_US" w:bidi="en_US"/>
        </w:rPr>
        <w:t>mighty/great works</w:t>
      </w:r>
    </w:p>
    <w:p>
      <w:pPr/>
      <w:r>
        <w:rPr>
          <w:lang w:val="en_US" w:bidi="en_US"/>
        </w:rPr>
      </w:r>
      <w:r>
        <w:rPr>
          <w:lang w:val="en_US" w:bidi="en_US"/>
        </w:rPr>
        <w:t xml:space="preserve">marvelous/amazing acts </w:t>
      </w:r>
      <w:r>
        <w:rPr>
          <w:lang w:val="en_US" w:bidi="en_US"/>
        </w:rPr>
        <w:t>done with/by God’s power</w:t>
      </w:r>
    </w:p>
    <w:p>
      <w:pPr/>
      <w:r>
        <w:rPr>
          <w:lang w:val="en_US" w:bidi="en_US"/>
        </w:rPr>
      </w:r>
      <w:r>
        <w:rPr>
          <w:lang w:val="en_US" w:bidi="en_US"/>
        </w:rPr>
        <w:t>deeds of power</w:t>
      </w:r>
    </w:p>
    <w:p>
      <w:pPr/>
      <w:r>
        <w:rPr>
          <w:lang w:val="en_US" w:bidi="en_US"/>
        </w:rPr>
      </w:r>
      <w:r>
        <w:rPr>
          <w:lang w:val="en_US" w:bidi="en_US"/>
        </w:rPr>
        <w:t>In this context the people praised God because the miracles that Jesus did helped people. Through his miracles they received God’s mercy. For example, Jesus healed people of many sicknesses. He made blind people able to see, and he caused deaf people to hear again. Use a term that fits such helpful miracles. Avoid terms that refer to magic tricks or only to displays of power that frighten people.</w:t>
      </w:r>
      <w:r>
        <w:rPr>
          <w:lang w:val="en_US" w:bidi="en_US"/>
        </w:rPr>
      </w:r>
      <w:r>
        <w:rPr>
          <w:lang w:val="en_US" w:bidi="en_US"/>
        </w:rPr>
      </w:r>
    </w:p>
    <w:p>
      <w:pPr/>
      <w:r>
        <w:rPr>
          <w:lang w:val="en_US" w:bidi="en_US"/>
        </w:rPr>
      </w:r>
    </w:p>
    <w:p>
      <w:pPr>
        <w:pStyle w:val="Heading2"/>
      </w:pPr>
      <w:r>
        <w:rPr>
          <w:lang w:val="en_US" w:bidi="en_US"/>
        </w:rPr>
        <w:t>Luke 19:38</w:t>
      </w:r>
      <w:r>
        <w:rPr>
          <w:lang w:val="en_US" w:bidi="en_US"/>
        </w:rPr>
      </w:r>
    </w:p>
    <w:p>
      <w:pPr>
        <w:pStyle w:val="Heading4"/>
      </w:pPr>
      <w:r>
        <w:rPr>
          <w:lang w:val="en_US" w:bidi="en_US"/>
        </w:rPr>
        <w:t>Section 19:28–44: Jesus approached Jerusalem</w:t>
      </w:r>
    </w:p>
    <w:p>
      <w:pPr/>
      <w:r>
        <w:rPr>
          <w:lang w:val="en_US" w:bidi="en_US"/>
        </w:rPr>
      </w:r>
      <w:r>
        <w:rPr>
          <w:lang w:val="en_US" w:bidi="en_US"/>
        </w:rP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People of Jerusalem greeted Jesus as king</w:t>
      </w:r>
    </w:p>
    <w:p>
      <w:pPr/>
      <w:r>
        <w:rPr>
          <w:lang w:val="en_US" w:bidi="en_US"/>
        </w:rPr>
      </w:r>
      <w:r>
        <w:rPr>
          <w:lang w:val="en_US" w:bidi="en_US"/>
        </w:rPr>
        <w:t>There are parallel passages for this section in Matthew 21:1–11, Mark 11:1–11, and John 12:12–19.</w:t>
      </w:r>
    </w:p>
    <w:p>
      <w:pPr>
        <w:pStyle w:val="Heading5"/>
      </w:pPr>
      <w:r>
        <w:rPr>
          <w:lang w:val="en_US" w:bidi="en_US"/>
        </w:rPr>
        <w:t>19:38a</w:t>
      </w:r>
    </w:p>
    <w:p>
      <w:pPr/>
      <w:r>
        <w:rPr>
          <w:lang w:val="en_US" w:bidi="en_US"/>
        </w:rPr>
      </w:r>
      <w:r>
        <w:rPr>
          <w:b/>
          <w:lang w:val="en_US" w:bidi="en_US"/>
        </w:rPr>
        <w:t>“Blessed is the King who comes in the name of the Lord!”</w:t>
      </w:r>
    </w:p>
    <w:p>
      <w:pPr>
        <w:pStyle w:val="ListBullet"/>
        <w:spacing w:line="240" w:lineRule="auto"/>
        <w:ind w:left="720"/>
      </w:pPr>
      <w:r>
        <w:rPr>
          <w:lang w:val="en_US" w:bidi="en_US"/>
        </w:rPr>
      </w:r>
      <w:r>
        <w:rPr>
          <w:lang w:val="en_US" w:bidi="en_US"/>
        </w:rPr>
        <w:t>“The Lord greatly blesses/favors our king who comes representing him!</w:t>
      </w:r>
    </w:p>
    <w:p>
      <w:pPr>
        <w:pStyle w:val="ListBullet"/>
        <w:spacing w:line="240" w:lineRule="auto"/>
        <w:ind w:left="720"/>
      </w:pPr>
      <w:r>
        <w:rPr>
          <w:lang w:val="en_US" w:bidi="en_US"/>
        </w:rPr>
      </w:r>
      <w:r>
        <w:rPr>
          <w:lang w:val="en_US" w:bidi="en_US"/>
        </w:rPr>
        <w:t xml:space="preserve">“The Lord </w:t>
      </w:r>
      <w:r>
        <w:rPr>
          <w:lang w:val="en_US" w:bidi="en_US"/>
        </w:rPr>
        <w:t>God</w:t>
      </w:r>
      <w:r>
        <w:rPr>
          <w:lang w:val="en_US" w:bidi="en_US"/>
        </w:rPr>
        <w:t xml:space="preserve"> has done great/wonderful things for the Coming One! He comes as our king </w:t>
      </w:r>
      <w:r>
        <w:rPr>
          <w:lang w:val="en_US" w:bidi="en_US"/>
        </w:rPr>
        <w:t>to rule</w:t>
      </w:r>
      <w:r>
        <w:rPr>
          <w:lang w:val="en_US" w:bidi="en_US"/>
        </w:rPr>
        <w:t xml:space="preserve"> with the Lord’s authority!</w:t>
      </w:r>
    </w:p>
    <w:p>
      <w:pPr>
        <w:pStyle w:val="ListBullet"/>
        <w:spacing w:line="240" w:lineRule="auto"/>
        <w:ind w:left="720"/>
      </w:pPr>
      <w:r>
        <w:rPr>
          <w:lang w:val="en_US" w:bidi="en_US"/>
        </w:rPr>
      </w:r>
      <w:r>
        <w:rPr>
          <w:lang w:val="en_US" w:bidi="en_US"/>
        </w:rPr>
        <w:t>“Praise/Blessing belongs to the one who comes as king in the name of the Lord!</w:t>
      </w:r>
    </w:p>
    <w:p>
      <w:pPr/>
      <w:r>
        <w:rPr>
          <w:lang w:val="en_US" w:bidi="en_US"/>
        </w:rPr>
      </w:r>
      <w:r>
        <w:rPr>
          <w:lang w:val="en_US" w:bidi="en_US"/>
        </w:rPr>
        <w:t>In Greek this verse begins with a verb that is often translated as “saying.” The RSV and several other English versions translate it that way. It introduces what the people said as they shouted praises. Some other ways to translate it are:</w:t>
      </w:r>
    </w:p>
    <w:p>
      <w:pPr/>
      <w:r>
        <w:rPr>
          <w:lang w:val="en_US" w:bidi="en_US"/>
        </w:rPr>
      </w:r>
      <w:r>
        <w:rPr>
          <w:lang w:val="en_US" w:bidi="en_US"/>
        </w:rPr>
        <w:t>They said (NCV)</w:t>
      </w:r>
    </w:p>
    <w:p>
      <w:pPr/>
      <w:r>
        <w:rPr>
          <w:lang w:val="en_US" w:bidi="en_US"/>
        </w:rPr>
      </w:r>
      <w:r>
        <w:rPr>
          <w:lang w:val="en_US" w:bidi="en_US"/>
        </w:rPr>
        <w:t>shouting (NASB)</w:t>
      </w:r>
    </w:p>
    <w:p>
      <w:pPr/>
      <w:r>
        <w:rPr>
          <w:lang w:val="en_US" w:bidi="en_US"/>
        </w:rPr>
      </w:r>
      <w:r>
        <w:rPr>
          <w:b/>
          <w:lang w:val="en_US" w:bidi="en_US"/>
        </w:rPr>
        <w:t>Blessed is the King who comes in the name of the Lord!:</w:t>
      </w:r>
      <w:r>
        <w:rPr>
          <w:lang w:val="en_US" w:bidi="en_US"/>
        </w:rPr>
        <w:t xml:space="preserve"> This clause is very similar to 13:35c which says, “Blessed is He who comes in the name of the Lord.” It is a quote from Psalm 118:26. Here in 19:38 the statement adds the word </w:t>
      </w:r>
      <w:r>
        <w:rPr>
          <w:i/>
          <w:lang w:val="en_US" w:bidi="en_US"/>
        </w:rPr>
        <w:t>King</w:t>
      </w:r>
      <w:r>
        <w:rPr>
          <w:lang w:val="en_US" w:bidi="en_US"/>
        </w:rPr>
        <w:t>. It indicates that this coming person, the king, was especially blessed by God. This is one of the praises that people shouted as they welcomed Jesus.</w:t>
      </w:r>
    </w:p>
    <w:p>
      <w:pPr/>
      <w:r>
        <w:rPr>
          <w:lang w:val="en_US" w:bidi="en_US"/>
        </w:rPr>
      </w:r>
      <w:r>
        <w:rPr>
          <w:lang w:val="en_US" w:bidi="en_US"/>
        </w:rPr>
        <w:t>In Greek, this statement of praise has no verb. It is literally: “Blessed the coming one, the king, in the name of the Lord.” The phrase “the coming one” is a title that Jewish people used for the Messiah. Here “the coming one, the king” implies that Jesus was the Messiah and King whom they had expected to come.</w:t>
      </w:r>
    </w:p>
    <w:p>
      <w:pPr/>
      <w:r>
        <w:rPr>
          <w:lang w:val="en_US" w:bidi="en_US"/>
        </w:rPr>
      </w:r>
      <w:r>
        <w:rPr>
          <w:lang w:val="en_US" w:bidi="en_US"/>
        </w:rPr>
        <w:t>Some ways to translate this statement of praise are:</w:t>
      </w:r>
    </w:p>
    <w:p>
      <w:pPr>
        <w:pStyle w:val="ListBullet"/>
        <w:spacing w:line="240" w:lineRule="auto"/>
        <w:ind w:left="720"/>
      </w:pPr>
      <w:r>
        <w:rPr>
          <w:lang w:val="en_US" w:bidi="en_US"/>
        </w:rPr>
      </w:r>
      <w:r>
        <w:rPr>
          <w:lang w:val="en_US" w:bidi="en_US"/>
        </w:rPr>
        <w:t>As a statement or exclamation. For example:</w:t>
      </w:r>
      <w:r>
        <w:rPr>
          <w:lang w:val="en_US" w:bidi="en_US"/>
        </w:rPr>
        <w:t>The Lord</w:t>
      </w:r>
      <w:r>
        <w:rPr>
          <w:lang w:val="en_US" w:bidi="en_US"/>
        </w:rPr>
        <w:t xml:space="preserve"> has blessed the king who comes in his name!</w:t>
      </w:r>
      <w:r>
        <w:rPr>
          <w:lang w:val="en_US" w:bidi="en_US"/>
        </w:rPr>
        <w:t xml:space="preserve">Blessed is the Coming One, the King, who </w:t>
      </w:r>
      <w:r>
        <w:rPr>
          <w:lang w:val="en_US" w:bidi="en_US"/>
        </w:rPr>
        <w:t>will rule</w:t>
      </w:r>
      <w:r>
        <w:rPr>
          <w:lang w:val="en_US" w:bidi="en_US"/>
        </w:rPr>
        <w:t xml:space="preserve"> in the name of the Lord!</w:t>
      </w:r>
    </w:p>
    <w:p>
      <w:pPr>
        <w:pStyle w:val="ListBullet"/>
        <w:spacing w:line="240" w:lineRule="auto"/>
        <w:ind w:left="720"/>
      </w:pPr>
      <w:r>
        <w:rPr>
          <w:lang w:val="en_US" w:bidi="en_US"/>
        </w:rPr>
      </w:r>
      <w:r>
        <w:rPr>
          <w:lang w:val="en_US" w:bidi="en_US"/>
        </w:rPr>
        <w:t>As a wish or prayer. For example:</w:t>
      </w:r>
      <w:r>
        <w:rPr>
          <w:lang w:val="en_US" w:bidi="en_US"/>
        </w:rPr>
        <w:t>May the Lord bless the king who comes in his name!</w:t>
      </w:r>
    </w:p>
    <w:p>
      <w:pPr>
        <w:pStyle w:val="ListBullet"/>
        <w:spacing w:line="240" w:lineRule="auto"/>
        <w:ind w:left="720"/>
      </w:pPr>
      <w:r>
        <w:rPr>
          <w:lang w:val="en_US" w:bidi="en_US"/>
        </w:rPr>
      </w:r>
      <w:r>
        <w:rPr>
          <w:lang w:val="en_US" w:bidi="en_US"/>
        </w:rPr>
        <w:t>As a command or encouragement to praise the king. For example:</w:t>
      </w:r>
      <w:r>
        <w:rPr>
          <w:lang w:val="en_US" w:bidi="en_US"/>
        </w:rPr>
        <w:t>Praise/Bless the King who comes in the name of the Lord! (NLT96)</w:t>
      </w:r>
      <w:r>
        <w:rPr>
          <w:lang w:val="en_US" w:bidi="en_US"/>
        </w:rPr>
        <w:t>Praise to the king who comes in the Lord’s name!</w:t>
      </w:r>
    </w:p>
    <w:p>
      <w:pPr/>
      <w:r>
        <w:rPr>
          <w:lang w:val="en_US" w:bidi="en_US"/>
        </w:rPr>
      </w:r>
      <w:r>
        <w:rPr>
          <w:lang w:val="en_US" w:bidi="en_US"/>
        </w:rPr>
        <w:t>In some languages it may be more natural to use more than one sentence. For example:</w:t>
      </w:r>
    </w:p>
    <w:p>
      <w:pPr/>
      <w:r>
        <w:rPr>
          <w:lang w:val="en_US" w:bidi="en_US"/>
        </w:rPr>
      </w:r>
      <w:r>
        <w:rPr>
          <w:lang w:val="en_US" w:bidi="en_US"/>
        </w:rPr>
        <w:t xml:space="preserve">The one </w:t>
      </w:r>
      <w:r>
        <w:rPr>
          <w:lang w:val="en_US" w:bidi="en_US"/>
        </w:rPr>
        <w:t>we expected</w:t>
      </w:r>
      <w:r>
        <w:rPr>
          <w:lang w:val="en_US" w:bidi="en_US"/>
        </w:rPr>
        <w:t xml:space="preserve"> has come! He is the king, and God has blessed him!</w:t>
      </w:r>
    </w:p>
    <w:p>
      <w:pPr/>
      <w:r>
        <w:rPr>
          <w:lang w:val="en_US" w:bidi="en_US"/>
        </w:rPr>
      </w:r>
      <w:r>
        <w:rPr>
          <w:lang w:val="en_US" w:bidi="en_US"/>
        </w:rPr>
        <w:t>Blessed is the Coming One! He is the king whom God has sent!</w:t>
      </w:r>
    </w:p>
    <w:p>
      <w:pPr/>
      <w:r>
        <w:rPr>
          <w:lang w:val="en_US" w:bidi="en_US"/>
        </w:rPr>
      </w:r>
      <w:r>
        <w:rPr>
          <w:b/>
          <w:lang w:val="en_US" w:bidi="en_US"/>
        </w:rPr>
        <w:t>Blessed:</w:t>
      </w:r>
      <w:r>
        <w:rPr>
          <w:lang w:val="en_US" w:bidi="en_US"/>
        </w:rPr>
        <w:t xml:space="preserve"> The Greek word that the BSB translates as </w:t>
      </w:r>
      <w:r>
        <w:rPr>
          <w:i/>
          <w:lang w:val="en_US" w:bidi="en_US"/>
        </w:rPr>
        <w:t>Blessed</w:t>
      </w:r>
      <w:r>
        <w:rPr>
          <w:lang w:val="en_US" w:bidi="en_US"/>
        </w:rPr>
        <w:t xml:space="preserve"> refers to God showing favor to someone. Some other ways to translate </w:t>
      </w:r>
      <w:r>
        <w:rPr>
          <w:i/>
          <w:lang w:val="en_US" w:bidi="en_US"/>
        </w:rPr>
        <w:t>Blessed</w:t>
      </w:r>
      <w:r>
        <w:rPr>
          <w:lang w:val="en_US" w:bidi="en_US"/>
        </w:rPr>
        <w:t xml:space="preserve"> in this context are:</w:t>
      </w:r>
    </w:p>
    <w:p>
      <w:pPr/>
      <w:r>
        <w:rPr>
          <w:lang w:val="en_US" w:bidi="en_US"/>
        </w:rPr>
      </w:r>
      <w:r>
        <w:rPr>
          <w:lang w:val="en_US" w:bidi="en_US"/>
        </w:rPr>
        <w:t>Blessings on the King who comes in the name of the Lord! (NLT)</w:t>
      </w:r>
    </w:p>
    <w:p>
      <w:pPr/>
      <w:r>
        <w:rPr>
          <w:lang w:val="en_US" w:bidi="en_US"/>
        </w:rPr>
      </w:r>
      <w:r>
        <w:rPr>
          <w:lang w:val="en_US" w:bidi="en_US"/>
        </w:rPr>
        <w:t>The Lord has favored the king who comes in his name.</w:t>
      </w:r>
    </w:p>
    <w:p>
      <w:pPr/>
      <w:r>
        <w:rPr>
          <w:lang w:val="en_US" w:bidi="en_US"/>
        </w:rPr>
      </w:r>
      <w:r>
        <w:rPr>
          <w:lang w:val="en_US" w:bidi="en_US"/>
        </w:rPr>
        <w:t>The Lord has done good things for this king who comes in his name!</w:t>
      </w:r>
    </w:p>
    <w:p>
      <w:pPr/>
      <w:r>
        <w:rPr>
          <w:lang w:val="en_US" w:bidi="en_US"/>
        </w:rPr>
      </w:r>
      <w:r>
        <w:rPr>
          <w:lang w:val="en_US" w:bidi="en_US"/>
        </w:rPr>
        <w:t>See how you translated this word in 14:14–15. See also bless, Meaning 1, in the Glossary for more information.</w:t>
      </w:r>
    </w:p>
    <w:p>
      <w:pPr/>
      <w:r>
        <w:rPr>
          <w:lang w:val="en_US" w:bidi="en_US"/>
        </w:rPr>
      </w:r>
      <w:r>
        <w:rPr>
          <w:b/>
          <w:lang w:val="en_US" w:bidi="en_US"/>
        </w:rPr>
        <w:t>the King who comes in the name of the Lord!:</w:t>
      </w:r>
      <w:r>
        <w:rPr>
          <w:lang w:val="en_US" w:bidi="en_US"/>
        </w:rPr>
        <w:t xml:space="preserve"> The Greek phrase that the BSB translates as </w:t>
      </w:r>
      <w:r>
        <w:rPr>
          <w:i/>
          <w:lang w:val="en_US" w:bidi="en_US"/>
        </w:rPr>
        <w:t>in the name of the Lord</w:t>
      </w:r>
      <w:r>
        <w:rPr>
          <w:lang w:val="en_US" w:bidi="en_US"/>
        </w:rPr>
        <w:t xml:space="preserve"> means “as the representative of the Lord.” It indicates that the Lord sent Jesus with authority to represent him. As the phrase is used here in the context of being </w:t>
      </w:r>
      <w:r>
        <w:rPr>
          <w:i/>
          <w:lang w:val="en_US" w:bidi="en_US"/>
        </w:rPr>
        <w:t>the King</w:t>
      </w:r>
      <w:r>
        <w:rPr>
          <w:lang w:val="en_US" w:bidi="en_US"/>
        </w:rPr>
        <w:t>, it indicates that Jesus would rule as king with God’s authority.</w:t>
      </w:r>
    </w:p>
    <w:p>
      <w:pPr/>
      <w:r>
        <w:rPr>
          <w:lang w:val="en_US" w:bidi="en_US"/>
        </w:rPr>
      </w:r>
      <w:r>
        <w:rPr>
          <w:lang w:val="en_US" w:bidi="en_US"/>
        </w:rPr>
        <w:t xml:space="preserve">Other ways to translate </w:t>
      </w:r>
      <w:r>
        <w:rPr>
          <w:i/>
          <w:lang w:val="en_US" w:bidi="en_US"/>
        </w:rPr>
        <w:t>the King who comes in the name of the Lord</w:t>
      </w:r>
      <w:r>
        <w:rPr>
          <w:lang w:val="en_US" w:bidi="en_US"/>
        </w:rPr>
        <w:t xml:space="preserve"> are:</w:t>
      </w:r>
    </w:p>
    <w:p>
      <w:pPr/>
      <w:r>
        <w:rPr>
          <w:lang w:val="en_US" w:bidi="en_US"/>
        </w:rPr>
      </w:r>
      <w:r>
        <w:rPr>
          <w:lang w:val="en_US" w:bidi="en_US"/>
        </w:rPr>
        <w:t>the king whom the Lord sent</w:t>
      </w:r>
    </w:p>
    <w:p>
      <w:pPr/>
      <w:r>
        <w:rPr>
          <w:lang w:val="en_US" w:bidi="en_US"/>
        </w:rPr>
      </w:r>
      <w:r>
        <w:rPr>
          <w:lang w:val="en_US" w:bidi="en_US"/>
        </w:rPr>
        <w:t>who comes as king with the Lord’s authority</w:t>
      </w:r>
    </w:p>
    <w:p>
      <w:pPr/>
      <w:r>
        <w:rPr>
          <w:lang w:val="en_US" w:bidi="en_US"/>
        </w:rPr>
      </w:r>
      <w:r>
        <w:rPr>
          <w:lang w:val="en_US" w:bidi="en_US"/>
        </w:rPr>
        <w:t xml:space="preserve">the one who comes </w:t>
      </w:r>
      <w:r>
        <w:rPr>
          <w:lang w:val="en_US" w:bidi="en_US"/>
        </w:rPr>
        <w:t>to rule</w:t>
      </w:r>
      <w:r>
        <w:rPr>
          <w:lang w:val="en_US" w:bidi="en_US"/>
        </w:rPr>
        <w:t xml:space="preserve"> as king in the Lord’s name</w:t>
      </w:r>
    </w:p>
    <w:p>
      <w:pPr/>
      <w:r>
        <w:rPr>
          <w:lang w:val="en_US" w:bidi="en_US"/>
        </w:rPr>
      </w:r>
      <w:r>
        <w:rPr>
          <w:b/>
          <w:lang w:val="en_US" w:bidi="en_US"/>
        </w:rPr>
        <w:t>the Lord:</w:t>
      </w:r>
      <w:r>
        <w:rPr>
          <w:lang w:val="en_US" w:bidi="en_US"/>
        </w:rPr>
        <w:t xml:space="preserve"> In this context the Greek word that the BSB translates as </w:t>
      </w:r>
      <w:r>
        <w:rPr>
          <w:i/>
          <w:lang w:val="en_US" w:bidi="en_US"/>
        </w:rPr>
        <w:t>the Lord</w:t>
      </w:r>
      <w:r>
        <w:rPr>
          <w:lang w:val="en_US" w:bidi="en_US"/>
        </w:rPr>
        <w:t xml:space="preserve"> refers to God. It quotes Psalm 118:26, which uses Yahweh, the personal name of God. In some languages the word for “Lord” is not normally used for God, so it may be misunderstood. If that is true in your language, you may make explicit that it refers to God. For example:</w:t>
      </w:r>
    </w:p>
    <w:p>
      <w:pPr/>
      <w:r>
        <w:rPr>
          <w:lang w:val="en_US" w:bidi="en_US"/>
        </w:rPr>
      </w:r>
      <w:r>
        <w:rPr>
          <w:lang w:val="en_US" w:bidi="en_US"/>
        </w:rPr>
        <w:t xml:space="preserve">the Lord </w:t>
      </w:r>
      <w:r>
        <w:rPr>
          <w:lang w:val="en_US" w:bidi="en_US"/>
        </w:rPr>
        <w:t>God</w:t>
      </w:r>
    </w:p>
    <w:p>
      <w:pPr/>
      <w:r>
        <w:rPr>
          <w:lang w:val="en_US" w:bidi="en_US"/>
        </w:rPr>
      </w:r>
      <w:r>
        <w:rPr>
          <w:lang w:val="en_US" w:bidi="en_US"/>
        </w:rPr>
        <w:t>See Lord, Context 2, in the Glossary.</w:t>
      </w:r>
    </w:p>
    <w:p>
      <w:pPr>
        <w:pStyle w:val="Heading5"/>
      </w:pPr>
      <w:r>
        <w:rPr>
          <w:lang w:val="en_US" w:bidi="en_US"/>
        </w:rPr>
        <w:t>19:38b–c</w:t>
      </w:r>
    </w:p>
    <w:p>
      <w:pPr/>
      <w:r>
        <w:rPr>
          <w:lang w:val="en_US" w:bidi="en_US"/>
        </w:rPr>
      </w:r>
      <w:r>
        <w:rPr>
          <w:b/>
          <w:lang w:val="en_US" w:bidi="en_US"/>
        </w:rPr>
        <w:t>Peace in heaven and glory in the highest!:</w:t>
      </w:r>
      <w:r>
        <w:rPr>
          <w:lang w:val="en_US" w:bidi="en_US"/>
        </w:rPr>
        <w:t xml:space="preserve"> Like the phrase in 19:38a, the phrases </w:t>
      </w:r>
      <w:r>
        <w:rPr>
          <w:i/>
          <w:lang w:val="en_US" w:bidi="en_US"/>
        </w:rPr>
        <w:t>Peace in heaven</w:t>
      </w:r>
      <w:r>
        <w:rPr>
          <w:lang w:val="en_US" w:bidi="en_US"/>
        </w:rPr>
        <w:t xml:space="preserve"> and </w:t>
      </w:r>
      <w:r>
        <w:rPr>
          <w:i/>
          <w:lang w:val="en_US" w:bidi="en_US"/>
        </w:rPr>
        <w:t>glory in the highest</w:t>
      </w:r>
      <w:r>
        <w:rPr>
          <w:lang w:val="en_US" w:bidi="en_US"/>
        </w:rPr>
        <w:t xml:space="preserve"> are shouts of joy. In Greek they are arranged in a special poetic form, literally:</w:t>
      </w:r>
    </w:p>
    <w:p>
      <w:pPr/>
      <w:r>
        <w:rPr>
          <w:lang w:val="en_US" w:bidi="en_US"/>
        </w:rPr>
      </w:r>
      <w:r>
        <w:rPr>
          <w:lang w:val="en_US" w:bidi="en_US"/>
        </w:rPr>
        <w:t>in heaven peace and</w:t>
      </w:r>
    </w:p>
    <w:p>
      <w:pPr/>
      <w:r>
        <w:rPr>
          <w:lang w:val="en_US" w:bidi="en_US"/>
        </w:rPr>
      </w:r>
      <w:r>
        <w:rPr>
          <w:lang w:val="en_US" w:bidi="en_US"/>
        </w:rPr>
        <w:t>glory in the highest</w:t>
      </w:r>
    </w:p>
    <w:p>
      <w:pPr/>
      <w:r>
        <w:rPr>
          <w:lang w:val="en_US" w:bidi="en_US"/>
        </w:rPr>
      </w:r>
      <w:r>
        <w:rPr>
          <w:lang w:val="en_US" w:bidi="en_US"/>
        </w:rPr>
        <w:t>In some languages it may be good to translate 19:38 as poetry. The praises in 19:38b–c are similar to what the angels said in 2:14: “Glory to God in the highest, and on earth peace.”</w:t>
      </w:r>
    </w:p>
    <w:p>
      <w:pPr/>
      <w:r>
        <w:rPr>
          <w:lang w:val="en_US" w:bidi="en_US"/>
        </w:rPr>
      </w:r>
      <w:r>
        <w:rPr>
          <w:lang w:val="en_US" w:bidi="en_US"/>
        </w:rPr>
        <w:t>In Greek, there is no verb in these clauses. In some languages it is necessary to supply a verb. For example:</w:t>
      </w:r>
    </w:p>
    <w:p>
      <w:pPr/>
      <w:r>
        <w:rPr>
          <w:lang w:val="en_US" w:bidi="en_US"/>
        </w:rPr>
      </w:r>
      <w:r>
        <w:rPr>
          <w:lang w:val="en_US" w:bidi="en_US"/>
        </w:rPr>
        <w:t xml:space="preserve">In heaven </w:t>
      </w:r>
      <w:r>
        <w:rPr>
          <w:lang w:val="en_US" w:bidi="en_US"/>
        </w:rPr>
        <w:t>there is</w:t>
      </w:r>
      <w:r>
        <w:rPr>
          <w:lang w:val="en_US" w:bidi="en_US"/>
        </w:rPr>
        <w:t xml:space="preserve"> peace, and glory </w:t>
      </w:r>
      <w:r>
        <w:rPr>
          <w:lang w:val="en_US" w:bidi="en_US"/>
        </w:rPr>
        <w:t>comes</w:t>
      </w:r>
      <w:r>
        <w:rPr>
          <w:lang w:val="en_US" w:bidi="en_US"/>
        </w:rPr>
        <w:t xml:space="preserve"> to God!</w:t>
      </w:r>
    </w:p>
    <w:p>
      <w:pPr/>
      <w:r>
        <w:rPr>
          <w:lang w:val="en_US" w:bidi="en_US"/>
        </w:rPr>
      </w:r>
      <w:r>
        <w:rPr>
          <w:lang w:val="en_US" w:bidi="en_US"/>
        </w:rPr>
        <w:t xml:space="preserve">Peace </w:t>
      </w:r>
      <w:r>
        <w:rPr>
          <w:lang w:val="en_US" w:bidi="en_US"/>
        </w:rPr>
        <w:t>fills</w:t>
      </w:r>
      <w:r>
        <w:rPr>
          <w:lang w:val="en_US" w:bidi="en_US"/>
        </w:rPr>
        <w:t xml:space="preserve"> heaven, and God </w:t>
      </w:r>
      <w:r>
        <w:rPr>
          <w:lang w:val="en_US" w:bidi="en_US"/>
        </w:rPr>
        <w:t>receives</w:t>
      </w:r>
      <w:r>
        <w:rPr>
          <w:lang w:val="en_US" w:bidi="en_US"/>
        </w:rPr>
        <w:t xml:space="preserve"> great glory!</w:t>
      </w:r>
    </w:p>
    <w:p>
      <w:pPr/>
      <w:r>
        <w:rPr>
          <w:lang w:val="en_US" w:bidi="en_US"/>
        </w:rPr>
      </w:r>
      <w:r>
        <w:rPr>
          <w:b/>
          <w:lang w:val="en_US" w:bidi="en_US"/>
        </w:rPr>
        <w:t>in heaven…in the highest!:</w:t>
      </w:r>
      <w:r>
        <w:rPr>
          <w:lang w:val="en_US" w:bidi="en_US"/>
        </w:rPr>
        <w:t xml:space="preserve"> The phrases </w:t>
      </w:r>
      <w:r>
        <w:rPr>
          <w:i/>
          <w:lang w:val="en_US" w:bidi="en_US"/>
        </w:rPr>
        <w:t>in heaven</w:t>
      </w:r>
      <w:r>
        <w:rPr>
          <w:lang w:val="en_US" w:bidi="en_US"/>
        </w:rPr>
        <w:t xml:space="preserve"> and </w:t>
      </w:r>
      <w:r>
        <w:rPr>
          <w:i/>
          <w:lang w:val="en_US" w:bidi="en_US"/>
        </w:rPr>
        <w:t>in the highest</w:t>
      </w:r>
      <w:r>
        <w:rPr>
          <w:lang w:val="en_US" w:bidi="en_US"/>
        </w:rPr>
        <w:t xml:space="preserve"> refer to heaven where God dwells. Some scholars believe that in this context, one or both of these phrases may be a way to refer indirectly to God himself. Jewish people often showed respect to God by referring to him in an indirect way. In this context both God and heaven are probably implied.</w:t>
      </w:r>
    </w:p>
    <w:p>
      <w:pPr/>
      <w:r>
        <w:rPr>
          <w:lang w:val="en_US" w:bidi="en_US"/>
        </w:rPr>
      </w:r>
      <w:r>
        <w:rPr>
          <w:lang w:val="en_US" w:bidi="en_US"/>
        </w:rPr>
        <w:t>In some languages it may be helpful to refer to heaven in one of the phrases and to God in the other phrase. Refer to the examples in the preceding note. Another way to translate this is:</w:t>
      </w:r>
    </w:p>
    <w:p>
      <w:pPr/>
      <w:r>
        <w:rPr>
          <w:lang w:val="en_US" w:bidi="en_US"/>
        </w:rPr>
      </w:r>
      <w:r>
        <w:rPr>
          <w:lang w:val="en_US" w:bidi="en_US"/>
        </w:rPr>
        <w:t>Peace in heaven and glory to God! (GNT)</w:t>
      </w:r>
    </w:p>
    <w:p>
      <w:pPr/>
      <w:r>
        <w:rPr>
          <w:lang w:val="en_US" w:bidi="en_US"/>
        </w:rPr>
      </w:r>
      <w:r>
        <w:rPr>
          <w:lang w:val="en_US" w:bidi="en_US"/>
        </w:rPr>
        <w:t>See heaven, Meaning 3, in the Glossary.</w:t>
      </w:r>
    </w:p>
    <w:p>
      <w:pPr>
        <w:pStyle w:val="Heading5"/>
      </w:pPr>
      <w:r>
        <w:rPr>
          <w:lang w:val="en_US" w:bidi="en_US"/>
        </w:rPr>
        <w:t>19:38b</w:t>
      </w:r>
    </w:p>
    <w:p>
      <w:pPr/>
      <w:r>
        <w:rPr>
          <w:lang w:val="en_US" w:bidi="en_US"/>
        </w:rPr>
      </w:r>
      <w:r>
        <w:rPr>
          <w:b/>
          <w:lang w:val="en_US" w:bidi="en_US"/>
        </w:rPr>
        <w:t>“Peace in heaven</w:t>
      </w:r>
    </w:p>
    <w:p>
      <w:pPr>
        <w:pStyle w:val="ListBullet"/>
        <w:spacing w:line="240" w:lineRule="auto"/>
        <w:ind w:left="720"/>
      </w:pPr>
      <w:r>
        <w:rPr>
          <w:lang w:val="en_US" w:bidi="en_US"/>
        </w:rPr>
      </w:r>
      <w:r>
        <w:rPr>
          <w:lang w:val="en_US" w:bidi="en_US"/>
        </w:rPr>
        <w:t>There is</w:t>
      </w:r>
      <w:r>
        <w:rPr>
          <w:lang w:val="en_US" w:bidi="en_US"/>
        </w:rPr>
        <w:t xml:space="preserve"> peace in heaven!</w:t>
      </w:r>
    </w:p>
    <w:p>
      <w:pPr>
        <w:pStyle w:val="ListBullet"/>
        <w:spacing w:line="240" w:lineRule="auto"/>
        <w:ind w:left="720"/>
      </w:pPr>
      <w:r>
        <w:rPr>
          <w:lang w:val="en_US" w:bidi="en_US"/>
        </w:rPr>
      </w:r>
      <w:r>
        <w:rPr>
          <w:lang w:val="en_US" w:bidi="en_US"/>
        </w:rPr>
        <w:t>Now</w:t>
      </w:r>
      <w:r>
        <w:rPr>
          <w:lang w:val="en_US" w:bidi="en_US"/>
        </w:rPr>
        <w:t xml:space="preserve"> peace </w:t>
      </w:r>
      <w:r>
        <w:rPr>
          <w:lang w:val="en_US" w:bidi="en_US"/>
        </w:rPr>
        <w:t>comes</w:t>
      </w:r>
      <w:r>
        <w:rPr>
          <w:lang w:val="en_US" w:bidi="en_US"/>
        </w:rPr>
        <w:t xml:space="preserve"> between God </w:t>
      </w:r>
      <w:r>
        <w:rPr>
          <w:lang w:val="en_US" w:bidi="en_US"/>
        </w:rPr>
        <w:t>and his people</w:t>
      </w:r>
      <w:r>
        <w:rPr>
          <w:lang w:val="en_US" w:bidi="en_US"/>
        </w:rPr>
        <w:t>!</w:t>
      </w:r>
    </w:p>
    <w:p>
      <w:pPr/>
      <w:r>
        <w:rPr>
          <w:lang w:val="en_US" w:bidi="en_US"/>
        </w:rPr>
      </w:r>
      <w:r>
        <w:rPr>
          <w:b/>
          <w:lang w:val="en_US" w:bidi="en_US"/>
        </w:rPr>
        <w:t>Peace in heaven:</w:t>
      </w:r>
      <w:r>
        <w:rPr>
          <w:lang w:val="en_US" w:bidi="en_US"/>
        </w:rPr>
        <w:t xml:space="preserve"> The Greek phrase that the BSB translates as </w:t>
      </w:r>
      <w:r>
        <w:rPr>
          <w:i/>
          <w:lang w:val="en_US" w:bidi="en_US"/>
        </w:rPr>
        <w:t>Peace in heaven</w:t>
      </w:r>
      <w:r>
        <w:rPr>
          <w:lang w:val="en_US" w:bidi="en_US"/>
        </w:rPr>
        <w:t xml:space="preserve"> implies that Jesus’ coming as King and Messiah was bringing peace between God and his people. In some languages it may be helpful to make this explicit. In many languages a verb is needed. The form of the verb should refer to either the present or immediate future. For example:</w:t>
      </w:r>
    </w:p>
    <w:p>
      <w:pPr/>
      <w:r>
        <w:rPr>
          <w:lang w:val="en_US" w:bidi="en_US"/>
        </w:rPr>
      </w:r>
      <w:r>
        <w:rPr>
          <w:lang w:val="en_US" w:bidi="en_US"/>
        </w:rPr>
        <w:t>Now there will be</w:t>
      </w:r>
      <w:r>
        <w:rPr>
          <w:lang w:val="en_US" w:bidi="en_US"/>
        </w:rPr>
        <w:t xml:space="preserve"> peace </w:t>
      </w:r>
      <w:r>
        <w:rPr>
          <w:lang w:val="en_US" w:bidi="en_US"/>
        </w:rPr>
        <w:t>with God</w:t>
      </w:r>
      <w:r>
        <w:rPr>
          <w:lang w:val="en_US" w:bidi="en_US"/>
        </w:rPr>
        <w:t xml:space="preserve"> in heaven.</w:t>
      </w:r>
    </w:p>
    <w:p>
      <w:pPr/>
      <w:r>
        <w:rPr>
          <w:lang w:val="en_US" w:bidi="en_US"/>
        </w:rPr>
      </w:r>
      <w:r>
        <w:rPr>
          <w:lang w:val="en_US" w:bidi="en_US"/>
        </w:rPr>
        <w:t>The king</w:t>
      </w:r>
      <w:r>
        <w:rPr>
          <w:lang w:val="en_US" w:bidi="en_US"/>
        </w:rPr>
        <w:t xml:space="preserve"> </w:t>
      </w:r>
      <w:r>
        <w:rPr>
          <w:lang w:val="en_US" w:bidi="en_US"/>
        </w:rPr>
        <w:t>is bringing</w:t>
      </w:r>
      <w:r>
        <w:rPr>
          <w:lang w:val="en_US" w:bidi="en_US"/>
        </w:rPr>
        <w:t xml:space="preserve"> peace in heaven </w:t>
      </w:r>
      <w:r>
        <w:rPr>
          <w:lang w:val="en_US" w:bidi="en_US"/>
        </w:rPr>
        <w:t>between God and his people</w:t>
      </w:r>
      <w:r>
        <w:rPr>
          <w:lang w:val="en_US" w:bidi="en_US"/>
        </w:rPr>
        <w:t>.</w:t>
      </w:r>
    </w:p>
    <w:p>
      <w:pPr/>
      <w:r>
        <w:rPr>
          <w:lang w:val="en_US" w:bidi="en_US"/>
        </w:rPr>
      </w:r>
      <w:r>
        <w:rPr>
          <w:b/>
          <w:lang w:val="en_US" w:bidi="en_US"/>
        </w:rPr>
        <w:t>Peace:</w:t>
      </w:r>
      <w:r>
        <w:rPr>
          <w:lang w:val="en_US" w:bidi="en_US"/>
        </w:rPr>
        <w:t xml:space="preserve"> The word </w:t>
      </w:r>
      <w:r>
        <w:rPr>
          <w:i/>
          <w:lang w:val="en_US" w:bidi="en_US"/>
        </w:rPr>
        <w:t>Peace</w:t>
      </w:r>
      <w:r>
        <w:rPr>
          <w:lang w:val="en_US" w:bidi="en_US"/>
        </w:rPr>
        <w:t xml:space="preserve">In this context the word “peace” expresses the meaning of the Hebrew word </w:t>
      </w:r>
      <w:r>
        <w:rPr>
          <w:i/>
          <w:lang w:val="en_US" w:bidi="en_US"/>
        </w:rPr>
        <w:t>shalom</w:t>
      </w:r>
      <w:r>
        <w:rPr>
          <w:lang w:val="en_US" w:bidi="en_US"/>
        </w:rPr>
        <w:t>, which the Jewish people would have been thinking of as they welcomed the Messiah.</w:t>
      </w:r>
      <w:r>
        <w:rPr>
          <w:lang w:val="en_US" w:bidi="en_US"/>
        </w:rPr>
        <w:t xml:space="preserve"> refers to a condition of harmony, health, and prosperity. In this condition, people are living in harmony with others. They are secure and calm. They are not worried or in conflict. </w:t>
      </w:r>
      <w:r>
        <w:rPr>
          <w:i/>
          <w:lang w:val="en_US" w:bidi="en_US"/>
        </w:rPr>
        <w:t>Peace</w:t>
      </w:r>
      <w:r>
        <w:rPr>
          <w:lang w:val="en_US" w:bidi="en_US"/>
        </w:rPr>
        <w:t xml:space="preserve"> often implies the security that comes from a good relationship with God.</w:t>
      </w:r>
    </w:p>
    <w:p>
      <w:pPr/>
      <w:r>
        <w:rPr>
          <w:lang w:val="en_US" w:bidi="en_US"/>
        </w:rPr>
      </w:r>
      <w:r>
        <w:rPr>
          <w:lang w:val="en_US" w:bidi="en_US"/>
        </w:rPr>
        <w:t xml:space="preserve">In this context, the word </w:t>
      </w:r>
      <w:r>
        <w:rPr>
          <w:i/>
          <w:lang w:val="en_US" w:bidi="en_US"/>
        </w:rPr>
        <w:t>Peace</w:t>
      </w:r>
      <w:r>
        <w:rPr>
          <w:lang w:val="en_US" w:bidi="en_US"/>
        </w:rPr>
        <w:t xml:space="preserve"> describes the relationship between God and people. This indicates that people are living in harmony with God. God is not angry with people, and people are not hostile toward God.</w:t>
      </w:r>
    </w:p>
    <w:p>
      <w:pPr/>
      <w:r>
        <w:rPr>
          <w:lang w:val="en_US" w:bidi="en_US"/>
        </w:rPr>
      </w:r>
      <w:r>
        <w:rPr>
          <w:lang w:val="en_US" w:bidi="en_US"/>
        </w:rPr>
        <w:t xml:space="preserve">Some ways to translate </w:t>
      </w:r>
      <w:r>
        <w:rPr>
          <w:i/>
          <w:lang w:val="en_US" w:bidi="en_US"/>
        </w:rPr>
        <w:t>Peace</w:t>
      </w:r>
      <w:r>
        <w:rPr>
          <w:lang w:val="en_US" w:bidi="en_US"/>
        </w:rPr>
        <w:t xml:space="preserve"> in this context are:</w:t>
      </w:r>
    </w:p>
    <w:p>
      <w:pPr>
        <w:pStyle w:val="ListBullet"/>
        <w:spacing w:line="240" w:lineRule="auto"/>
        <w:ind w:left="720"/>
      </w:pPr>
      <w:r>
        <w:rPr>
          <w:lang w:val="en_US" w:bidi="en_US"/>
        </w:rPr>
      </w:r>
      <w:r>
        <w:rPr>
          <w:lang w:val="en_US" w:bidi="en_US"/>
        </w:rPr>
        <w:t>Use a general term that can be used in different contexts to describe various types of harmony and security. For example:</w:t>
      </w:r>
      <w:r>
        <w:rPr>
          <w:lang w:val="en_US" w:bidi="en_US"/>
        </w:rPr>
        <w:t>well-being</w:t>
      </w:r>
      <w:r>
        <w:rPr>
          <w:lang w:val="en_US" w:bidi="en_US"/>
        </w:rPr>
        <w:t>harmony</w:t>
      </w:r>
    </w:p>
    <w:p>
      <w:pPr>
        <w:pStyle w:val="ListBullet"/>
        <w:spacing w:line="240" w:lineRule="auto"/>
        <w:ind w:left="720"/>
      </w:pPr>
      <w:r>
        <w:rPr>
          <w:lang w:val="en_US" w:bidi="en_US"/>
        </w:rPr>
      </w:r>
      <w:r>
        <w:rPr>
          <w:lang w:val="en_US" w:bidi="en_US"/>
        </w:rPr>
        <w:t>Use a more specific term that is appropriate to describe the blessedness of a harmonious relationship with God.</w:t>
      </w:r>
    </w:p>
    <w:p>
      <w:pPr>
        <w:pStyle w:val="ListBullet"/>
        <w:spacing w:line="240" w:lineRule="auto"/>
        <w:ind w:left="720"/>
      </w:pPr>
      <w:r>
        <w:rPr>
          <w:lang w:val="en_US" w:bidi="en_US"/>
        </w:rPr>
      </w:r>
      <w:r>
        <w:rPr>
          <w:lang w:val="en_US" w:bidi="en_US"/>
        </w:rPr>
        <w:t>Use an idiom in your language that expresses the meaning.</w:t>
      </w:r>
    </w:p>
    <w:p>
      <w:pPr/>
      <w:r>
        <w:rPr>
          <w:lang w:val="en_US" w:bidi="en_US"/>
        </w:rPr>
      </w:r>
      <w:r>
        <w:rPr>
          <w:lang w:val="en_US" w:bidi="en_US"/>
        </w:rPr>
        <w:t xml:space="preserve">See the note on </w:t>
      </w:r>
      <w:r>
        <w:rPr>
          <w:i/>
          <w:lang w:val="en_US" w:bidi="en_US"/>
        </w:rPr>
        <w:t>Peace</w:t>
      </w:r>
      <w:r>
        <w:rPr>
          <w:lang w:val="en_US" w:bidi="en_US"/>
        </w:rPr>
        <w:t xml:space="preserve"> at 19:42b for a suggested footnote for the word </w:t>
      </w:r>
      <w:r>
        <w:rPr>
          <w:i/>
          <w:lang w:val="en_US" w:bidi="en_US"/>
        </w:rPr>
        <w:t>Peace</w:t>
      </w:r>
      <w:r>
        <w:rPr>
          <w:lang w:val="en_US" w:bidi="en_US"/>
        </w:rPr>
        <w:t>. See peace, Meaning 1, in the Glossary.</w:t>
      </w:r>
    </w:p>
    <w:p>
      <w:pPr>
        <w:pStyle w:val="Heading5"/>
      </w:pPr>
      <w:r>
        <w:rPr>
          <w:lang w:val="en_US" w:bidi="en_US"/>
        </w:rPr>
        <w:t>19:38c</w:t>
      </w:r>
    </w:p>
    <w:p>
      <w:pPr/>
      <w:r>
        <w:rPr>
          <w:lang w:val="en_US" w:bidi="en_US"/>
        </w:rPr>
      </w:r>
      <w:r>
        <w:rPr>
          <w:b/>
          <w:lang w:val="en_US" w:bidi="en_US"/>
        </w:rPr>
        <w:t>and glory in the highest!”</w:t>
      </w:r>
    </w:p>
    <w:p>
      <w:pPr>
        <w:pStyle w:val="ListBullet"/>
        <w:spacing w:line="240" w:lineRule="auto"/>
        <w:ind w:left="720"/>
      </w:pPr>
      <w:r>
        <w:rPr>
          <w:lang w:val="en_US" w:bidi="en_US"/>
        </w:rPr>
      </w:r>
      <w:r>
        <w:rPr>
          <w:lang w:val="en_US" w:bidi="en_US"/>
        </w:rPr>
        <w:t xml:space="preserve">Glory/honor </w:t>
      </w:r>
      <w:r>
        <w:rPr>
          <w:lang w:val="en_US" w:bidi="en_US"/>
        </w:rPr>
        <w:t>belongs to God who lives</w:t>
      </w:r>
      <w:r>
        <w:rPr>
          <w:lang w:val="en_US" w:bidi="en_US"/>
        </w:rPr>
        <w:t xml:space="preserve"> in heaven!”</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glorify/praise </w:t>
      </w:r>
      <w:r>
        <w:rPr>
          <w:lang w:val="en_US" w:bidi="en_US"/>
        </w:rPr>
        <w:t>God who lives</w:t>
      </w:r>
      <w:r>
        <w:rPr>
          <w:lang w:val="en_US" w:bidi="en_US"/>
        </w:rPr>
        <w:t xml:space="preserve"> in the highest place!”</w:t>
      </w:r>
    </w:p>
    <w:p>
      <w:pPr>
        <w:pStyle w:val="ListBullet"/>
        <w:spacing w:line="240" w:lineRule="auto"/>
        <w:ind w:left="720"/>
      </w:pPr>
      <w:r>
        <w:rPr>
          <w:lang w:val="en_US" w:bidi="en_US"/>
        </w:rPr>
      </w:r>
      <w:r>
        <w:rPr>
          <w:lang w:val="en_US" w:bidi="en_US"/>
        </w:rPr>
        <w:t xml:space="preserve">How great/magnificent </w:t>
      </w:r>
      <w:r>
        <w:rPr>
          <w:lang w:val="en_US" w:bidi="en_US"/>
        </w:rPr>
        <w:t>is</w:t>
      </w:r>
      <w:r>
        <w:rPr>
          <w:lang w:val="en_US" w:bidi="en_US"/>
        </w:rPr>
        <w:t xml:space="preserve"> our God!”</w:t>
      </w:r>
    </w:p>
    <w:p>
      <w:pPr/>
      <w:r>
        <w:rPr>
          <w:lang w:val="en_US" w:bidi="en_US"/>
        </w:rPr>
      </w:r>
      <w:r>
        <w:rPr>
          <w:b/>
          <w:lang w:val="en_US" w:bidi="en_US"/>
        </w:rPr>
        <w:t>glory in the highest:</w:t>
      </w:r>
      <w:r>
        <w:rPr>
          <w:lang w:val="en_US" w:bidi="en_US"/>
        </w:rPr>
        <w:t xml:space="preserve"> The Greek phrase that the BSB translates as </w:t>
      </w:r>
      <w:r>
        <w:rPr>
          <w:i/>
          <w:lang w:val="en_US" w:bidi="en_US"/>
        </w:rPr>
        <w:t>glory in the highest</w:t>
      </w:r>
      <w:r>
        <w:rPr>
          <w:lang w:val="en_US" w:bidi="en_US"/>
        </w:rPr>
        <w:t xml:space="preserve"> was a shout of praise. It indicates that God in the highest has glory and deserves glory. It implies that people should praise God and speak of his glory. Express this in a way that would be natural for praise in your language. It may be appropriate to make this a separate sentence. For example:</w:t>
      </w:r>
    </w:p>
    <w:p>
      <w:pPr/>
      <w:r>
        <w:rPr>
          <w:lang w:val="en_US" w:bidi="en_US"/>
        </w:rPr>
      </w:r>
      <w:r>
        <w:rPr>
          <w:lang w:val="en_US" w:bidi="en_US"/>
        </w:rPr>
        <w:t xml:space="preserve">Glory/honor </w:t>
      </w:r>
      <w:r>
        <w:rPr>
          <w:lang w:val="en_US" w:bidi="en_US"/>
        </w:rPr>
        <w:t>belongs to God</w:t>
      </w:r>
      <w:r>
        <w:rPr>
          <w:lang w:val="en_US" w:bidi="en_US"/>
        </w:rPr>
        <w:t xml:space="preserve"> </w:t>
      </w:r>
      <w:r>
        <w:rPr>
          <w:lang w:val="en_US" w:bidi="en_US"/>
        </w:rPr>
        <w:t>who lives</w:t>
      </w:r>
      <w:r>
        <w:rPr>
          <w:lang w:val="en_US" w:bidi="en_US"/>
        </w:rPr>
        <w:t xml:space="preserve"> in the highest </w:t>
      </w:r>
      <w:r>
        <w:rPr>
          <w:lang w:val="en_US" w:bidi="en_US"/>
        </w:rPr>
        <w:t>place</w:t>
      </w:r>
      <w:r>
        <w:rPr>
          <w:lang w:val="en_US" w:bidi="en_US"/>
        </w:rPr>
        <w:t>!</w:t>
      </w:r>
    </w:p>
    <w:p>
      <w:pPr/>
      <w:r>
        <w:rPr>
          <w:lang w:val="en_US" w:bidi="en_US"/>
        </w:rPr>
      </w:r>
      <w:r>
        <w:rPr>
          <w:lang w:val="en_US" w:bidi="en_US"/>
        </w:rPr>
        <w:t xml:space="preserve">How glorious </w:t>
      </w:r>
      <w:r>
        <w:rPr>
          <w:lang w:val="en_US" w:bidi="en_US"/>
        </w:rPr>
        <w:t>is our God</w:t>
      </w:r>
      <w:r>
        <w:rPr>
          <w:lang w:val="en_US" w:bidi="en_US"/>
        </w:rPr>
        <w:t xml:space="preserve"> in his dwelling place!</w:t>
      </w:r>
    </w:p>
    <w:p>
      <w:pPr/>
      <w:r>
        <w:rPr>
          <w:lang w:val="en_US" w:bidi="en_US"/>
        </w:rPr>
      </w:r>
      <w:r>
        <w:rPr>
          <w:lang w:val="en_US" w:bidi="en_US"/>
        </w:rPr>
        <w:t>All people should</w:t>
      </w:r>
      <w:r>
        <w:rPr>
          <w:lang w:val="en_US" w:bidi="en_US"/>
        </w:rPr>
        <w:t xml:space="preserve"> praise God in heaven for his glory/majesty!</w:t>
      </w:r>
    </w:p>
    <w:p>
      <w:pPr/>
      <w:r>
        <w:rPr>
          <w:lang w:val="en_US" w:bidi="en_US"/>
        </w:rPr>
      </w:r>
      <w:r>
        <w:rPr>
          <w:lang w:val="en_US" w:bidi="en_US"/>
        </w:rPr>
        <w:t>In this verse God’s glory is connected to the coming of Jesus as Messiah/King. Use a verb that is appropriate for this context. For example:</w:t>
      </w:r>
    </w:p>
    <w:p>
      <w:pPr/>
      <w:r>
        <w:rPr>
          <w:lang w:val="en_US" w:bidi="en_US"/>
        </w:rPr>
      </w:r>
      <w:r>
        <w:rPr>
          <w:lang w:val="en_US" w:bidi="en_US"/>
        </w:rPr>
        <w:t xml:space="preserve">and God </w:t>
      </w:r>
      <w:r>
        <w:rPr>
          <w:lang w:val="en_US" w:bidi="en_US"/>
        </w:rPr>
        <w:t>receives</w:t>
      </w:r>
      <w:r>
        <w:rPr>
          <w:lang w:val="en_US" w:bidi="en_US"/>
        </w:rPr>
        <w:t xml:space="preserve"> </w:t>
      </w:r>
      <w:r>
        <w:rPr>
          <w:lang w:val="en_US" w:bidi="en_US"/>
        </w:rPr>
        <w:t>great</w:t>
      </w:r>
      <w:r>
        <w:rPr>
          <w:lang w:val="en_US" w:bidi="en_US"/>
        </w:rPr>
        <w:t xml:space="preserve"> glory/praise!</w:t>
      </w:r>
    </w:p>
    <w:p>
      <w:pPr/>
      <w:r>
        <w:rPr>
          <w:lang w:val="en_US" w:bidi="en_US"/>
        </w:rPr>
      </w:r>
      <w:r>
        <w:rPr>
          <w:b/>
          <w:lang w:val="en_US" w:bidi="en_US"/>
        </w:rPr>
        <w:t>glory:</w:t>
      </w:r>
      <w:r>
        <w:rPr>
          <w:lang w:val="en_US" w:bidi="en_US"/>
        </w:rPr>
        <w:t xml:space="preserve"> The word </w:t>
      </w:r>
      <w:r>
        <w:rPr>
          <w:i/>
          <w:lang w:val="en_US" w:bidi="en_US"/>
        </w:rPr>
        <w:t>glory</w:t>
      </w:r>
      <w:r>
        <w:rPr>
          <w:lang w:val="en_US" w:bidi="en_US"/>
        </w:rPr>
        <w:t xml:space="preserve"> is used in different ways. It refers to the honor and praise that God deserves. It also often refers to the greatness or magnificence of God. Translate it in an appropriate way for this context.</w:t>
      </w:r>
    </w:p>
    <w:p>
      <w:pPr/>
      <w:r>
        <w:rPr>
          <w:lang w:val="en_US" w:bidi="en_US"/>
        </w:rPr>
      </w:r>
      <w:r>
        <w:rPr>
          <w:lang w:val="en_US" w:bidi="en_US"/>
        </w:rPr>
        <w:t>See also “glory” in KBT.</w:t>
      </w:r>
    </w:p>
    <w:p>
      <w:pPr/>
      <w:r>
        <w:rPr>
          <w:lang w:val="en_US" w:bidi="en_US"/>
        </w:rPr>
      </w:r>
      <w:r>
        <w:rPr>
          <w:b/>
          <w:lang w:val="en_US" w:bidi="en_US"/>
        </w:rPr>
        <w:t>in the highest:</w:t>
      </w:r>
      <w:r>
        <w:rPr>
          <w:lang w:val="en_US" w:bidi="en_US"/>
        </w:rPr>
        <w:t xml:space="preserve"> The phrase </w:t>
      </w:r>
      <w:r>
        <w:rPr>
          <w:i/>
          <w:lang w:val="en_US" w:bidi="en_US"/>
        </w:rPr>
        <w:t>in the highest</w:t>
      </w:r>
      <w:r>
        <w:rPr>
          <w:lang w:val="en_US" w:bidi="en_US"/>
        </w:rPr>
        <w:t xml:space="preserve"> refers to heaven. Several versions translate “in highest heaven.” However, the phrase does not imply that some areas of heaven are higher than others. Be careful not to imply that in your translation.</w:t>
      </w:r>
      <w:r>
        <w:rPr>
          <w:lang w:val="en_US" w:bidi="en_US"/>
        </w:rPr>
      </w:r>
      <w:r>
        <w:rPr>
          <w:lang w:val="en_US" w:bidi="en_US"/>
        </w:rPr>
      </w:r>
    </w:p>
    <w:p>
      <w:pPr/>
      <w:r>
        <w:rPr>
          <w:lang w:val="en_US" w:bidi="en_US"/>
        </w:rPr>
      </w:r>
    </w:p>
    <w:p>
      <w:pPr>
        <w:pStyle w:val="Heading2"/>
      </w:pPr>
      <w:r>
        <w:rPr>
          <w:lang w:val="en_US" w:bidi="en_US"/>
        </w:rPr>
        <w:t>Luke 19:39</w:t>
      </w:r>
      <w:r>
        <w:rPr>
          <w:lang w:val="en_US" w:bidi="en_US"/>
        </w:rPr>
      </w:r>
    </w:p>
    <w:p>
      <w:pPr>
        <w:pStyle w:val="Heading4"/>
      </w:pPr>
      <w:r>
        <w:rPr>
          <w:lang w:val="en_US" w:bidi="en_US"/>
        </w:rPr>
        <w:t>Section 19:28–44: Jesus approached Jerusalem</w:t>
      </w:r>
    </w:p>
    <w:p>
      <w:pPr/>
      <w:r>
        <w:rPr>
          <w:lang w:val="en_US" w:bidi="en_US"/>
        </w:rPr>
      </w:r>
      <w:r>
        <w:rPr>
          <w:lang w:val="en_US" w:bidi="en_US"/>
        </w:rP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People of Jerusalem greeted Jesus as king</w:t>
      </w:r>
    </w:p>
    <w:p>
      <w:pPr/>
      <w:r>
        <w:rPr>
          <w:lang w:val="en_US" w:bidi="en_US"/>
        </w:rPr>
      </w:r>
      <w:r>
        <w:rPr>
          <w:lang w:val="en_US" w:bidi="en_US"/>
        </w:rPr>
        <w:t>There are parallel passages for this section in Matthew 21:1–11, Mark 11:1–11, and John 12:12–19.</w:t>
      </w:r>
    </w:p>
    <w:p>
      <w:pPr>
        <w:pStyle w:val="Heading5"/>
      </w:pPr>
      <w:r>
        <w:rPr>
          <w:lang w:val="en_US" w:bidi="en_US"/>
        </w:rPr>
        <w:t>19:39a</w:t>
      </w:r>
    </w:p>
    <w:p>
      <w:pPr/>
      <w:r>
        <w:rPr>
          <w:lang w:val="en_US" w:bidi="en_US"/>
        </w:rPr>
      </w:r>
      <w:r>
        <w:rPr>
          <w:b/>
          <w:lang w:val="en_US" w:bidi="en_US"/>
        </w:rPr>
        <w:t>But some of the Pharisees in the crowd said to Him,</w:t>
      </w:r>
    </w:p>
    <w:p>
      <w:pPr>
        <w:pStyle w:val="ListBullet"/>
        <w:spacing w:line="240" w:lineRule="auto"/>
        <w:ind w:left="720"/>
      </w:pPr>
      <w:r>
        <w:rPr>
          <w:lang w:val="en_US" w:bidi="en_US"/>
        </w:rPr>
      </w:r>
      <w:r>
        <w:rPr>
          <w:lang w:val="en_US" w:bidi="en_US"/>
        </w:rPr>
        <w:t>But</w:t>
      </w:r>
      <w:r>
        <w:rPr>
          <w:lang w:val="en_US" w:bidi="en_US"/>
        </w:rPr>
        <w:t xml:space="preserve"> some of the Pharisees who were among the people said to Jesus,</w:t>
      </w:r>
    </w:p>
    <w:p>
      <w:pPr>
        <w:pStyle w:val="ListBullet"/>
        <w:spacing w:line="240" w:lineRule="auto"/>
        <w:ind w:left="720"/>
      </w:pPr>
      <w:r>
        <w:rPr>
          <w:lang w:val="en_US" w:bidi="en_US"/>
        </w:rPr>
      </w:r>
      <w:r>
        <w:rPr>
          <w:lang w:val="en_US" w:bidi="en_US"/>
        </w:rPr>
        <w:t>Then</w:t>
      </w:r>
      <w:r>
        <w:rPr>
          <w:lang w:val="en_US" w:bidi="en_US"/>
        </w:rPr>
        <w:t xml:space="preserve"> some Pharisees in the crowd said to Jesus,</w:t>
      </w:r>
    </w:p>
    <w:p>
      <w:pPr/>
      <w:r>
        <w:rPr>
          <w:lang w:val="en_US" w:bidi="en_US"/>
        </w:rPr>
      </w:r>
      <w:r>
        <w:rPr>
          <w:b/>
          <w:lang w:val="en_US" w:bidi="en_US"/>
        </w:rPr>
        <w:t>But:</w:t>
      </w:r>
      <w:r>
        <w:rPr>
          <w:lang w:val="en_US" w:bidi="en_US"/>
        </w:rPr>
        <w:t xml:space="preserve"> This verse begins with a Greek conjunction that is often translated as “and.” Some English versions, such as the ESV, translate it that way. The BSB and some other versions (NET, NLT) translate it as </w:t>
      </w:r>
      <w:r>
        <w:rPr>
          <w:i/>
          <w:lang w:val="en_US" w:bidi="en_US"/>
        </w:rPr>
        <w:t>But</w:t>
      </w:r>
      <w:r>
        <w:rPr>
          <w:lang w:val="en_US" w:bidi="en_US"/>
        </w:rPr>
        <w:t xml:space="preserve"> in order to show that it introduces a contrast. Other versions, such as the NIV and CEV, do not translate this conjunction. Connect this verse to 19:38 in a natural way in your language.</w:t>
      </w:r>
    </w:p>
    <w:p>
      <w:pPr/>
      <w:r>
        <w:rPr>
          <w:lang w:val="en_US" w:bidi="en_US"/>
        </w:rPr>
      </w:r>
      <w:r>
        <w:rPr>
          <w:b/>
          <w:lang w:val="en_US" w:bidi="en_US"/>
        </w:rPr>
        <w:t>some of the Pharisees in the crowd said to Him:</w:t>
      </w:r>
      <w:r>
        <w:rPr>
          <w:lang w:val="en_US" w:bidi="en_US"/>
        </w:rPr>
        <w:t xml:space="preserve"> There were many people around Jesus. The text does not say when these particular Pharisees joined the crowd. They may have been traveling to Jerusalem with his followers or they may have joined the crowd as Jesus came near Jerusalem.</w:t>
      </w:r>
    </w:p>
    <w:p>
      <w:pPr/>
      <w:r>
        <w:rPr>
          <w:lang w:val="en_US" w:bidi="en_US"/>
        </w:rPr>
      </w:r>
      <w:r>
        <w:rPr>
          <w:lang w:val="en_US" w:bidi="en_US"/>
        </w:rPr>
        <w:t>In some languages it may be more natural to introduce them before telling what they said. For example:</w:t>
      </w:r>
    </w:p>
    <w:p>
      <w:pPr/>
      <w:r>
        <w:rPr>
          <w:lang w:val="en_US" w:bidi="en_US"/>
        </w:rPr>
      </w:r>
      <w:r>
        <w:rPr>
          <w:lang w:val="en_US" w:bidi="en_US"/>
        </w:rPr>
        <w:t>There were Pharisees in the crowd. Some of them said to Jesus</w:t>
      </w:r>
    </w:p>
    <w:p>
      <w:pPr/>
      <w:r>
        <w:rPr>
          <w:lang w:val="en_US" w:bidi="en_US"/>
        </w:rPr>
      </w:r>
      <w:r>
        <w:rPr>
          <w:b/>
          <w:lang w:val="en_US" w:bidi="en_US"/>
        </w:rPr>
        <w:t>the Pharisees:</w:t>
      </w:r>
      <w:r>
        <w:rPr>
          <w:lang w:val="en_US" w:bidi="en_US"/>
        </w:rPr>
        <w:t xml:space="preserve"> The </w:t>
      </w:r>
      <w:r>
        <w:rPr>
          <w:i/>
          <w:lang w:val="en_US" w:bidi="en_US"/>
        </w:rPr>
        <w:t>Pharisees</w:t>
      </w:r>
      <w:r>
        <w:rPr>
          <w:lang w:val="en_US" w:bidi="en_US"/>
        </w:rPr>
        <w:t xml:space="preserve"> were a group of Jewish religious leaders who emphasized keeping the Jewish Law and following traditional customs. See how you translated this word in 17:20. See also “Pharisee,” sense A, in KBT for more information.</w:t>
      </w:r>
    </w:p>
    <w:p>
      <w:pPr>
        <w:pStyle w:val="Heading5"/>
      </w:pPr>
      <w:r>
        <w:rPr>
          <w:lang w:val="en_US" w:bidi="en_US"/>
        </w:rPr>
        <w:t>19:39b</w:t>
      </w:r>
    </w:p>
    <w:p>
      <w:pPr/>
      <w:r>
        <w:rPr>
          <w:lang w:val="en_US" w:bidi="en_US"/>
        </w:rPr>
      </w:r>
      <w:r>
        <w:rPr>
          <w:b/>
          <w:lang w:val="en_US" w:bidi="en_US"/>
        </w:rPr>
        <w:t>“Teacher, rebuke Your disciples!”</w:t>
      </w:r>
    </w:p>
    <w:p>
      <w:pPr>
        <w:pStyle w:val="ListBullet"/>
        <w:spacing w:line="240" w:lineRule="auto"/>
        <w:ind w:left="720"/>
      </w:pPr>
      <w:r>
        <w:rPr>
          <w:lang w:val="en_US" w:bidi="en_US"/>
        </w:rPr>
      </w:r>
      <w:r>
        <w:rPr>
          <w:lang w:val="en_US" w:bidi="en_US"/>
        </w:rPr>
        <w:t>“Teacher, command</w:t>
      </w:r>
      <w:r>
        <w:rPr>
          <w:vertAlign w:val="superscript"/>
          <w:lang w:val="en_US" w:bidi="en_US"/>
        </w:rPr>
        <w:t>(sing)</w:t>
      </w:r>
      <w:r>
        <w:rPr>
          <w:lang w:val="en_US" w:bidi="en_US"/>
        </w:rPr>
        <w:t xml:space="preserve"> your disciples to stop saying that!”</w:t>
      </w:r>
    </w:p>
    <w:p>
      <w:pPr>
        <w:pStyle w:val="ListBullet"/>
        <w:spacing w:line="240" w:lineRule="auto"/>
        <w:ind w:left="720"/>
      </w:pPr>
      <w:r>
        <w:rPr>
          <w:lang w:val="en_US" w:bidi="en_US"/>
        </w:rPr>
      </w:r>
      <w:r>
        <w:rPr>
          <w:lang w:val="en_US" w:bidi="en_US"/>
        </w:rPr>
        <w:t>“Teacher, tell</w:t>
      </w:r>
      <w:r>
        <w:rPr>
          <w:vertAlign w:val="superscript"/>
          <w:lang w:val="en_US" w:bidi="en_US"/>
        </w:rPr>
        <w:t>(sing)</w:t>
      </w:r>
      <w:r>
        <w:rPr>
          <w:lang w:val="en_US" w:bidi="en_US"/>
        </w:rPr>
        <w:t xml:space="preserve"> your followers not to say these things!”</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was a polite way to address a Jewish religious leader. It was a title of respect for a Jewish man who had authority to teach the things about God. Use an appropriate way to address a religious teacher in your language. For example:</w:t>
      </w:r>
    </w:p>
    <w:p>
      <w:pPr/>
      <w:r>
        <w:rPr>
          <w:lang w:val="en_US" w:bidi="en_US"/>
        </w:rPr>
      </w:r>
      <w:r>
        <w:rPr>
          <w:lang w:val="en_US" w:bidi="en_US"/>
        </w:rPr>
        <w:t>Honored Teacher</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lang w:val="en_US" w:bidi="en_US"/>
        </w:rPr>
        <w:t>Be careful not to use a term that can refer only to a school teacher.</w:t>
      </w:r>
    </w:p>
    <w:p>
      <w:pPr/>
      <w:r>
        <w:rPr>
          <w:lang w:val="en_US" w:bidi="en_US"/>
        </w:rPr>
      </w:r>
      <w:r>
        <w:rPr>
          <w:b/>
          <w:lang w:val="en_US" w:bidi="en_US"/>
        </w:rPr>
        <w:t>rebuke Your disciples:</w:t>
      </w:r>
      <w:r>
        <w:rPr>
          <w:lang w:val="en_US" w:bidi="en_US"/>
        </w:rPr>
        <w:t xml:space="preserve"> Here the word </w:t>
      </w:r>
      <w:r>
        <w:rPr>
          <w:i/>
          <w:lang w:val="en_US" w:bidi="en_US"/>
        </w:rPr>
        <w:t>rebuke</w:t>
      </w:r>
      <w:r>
        <w:rPr>
          <w:lang w:val="en_US" w:bidi="en_US"/>
        </w:rPr>
        <w:t xml:space="preserve"> indicates that the Pharisees wanted Jesus to command his disciples to stop shouting praises, as they were doing in 19:38. The text does not say why the Pharisees did not want the disciples to say those things. However, they did not believe that Jesus was the Messiah, the coming King (19:38a), so they were probably offended that Jesus allowed his disciples to praise him in that way.</w:t>
      </w:r>
    </w:p>
    <w:p>
      <w:pPr/>
      <w:r>
        <w:rPr>
          <w:lang w:val="en_US" w:bidi="en_US"/>
        </w:rPr>
      </w:r>
      <w:r>
        <w:rPr>
          <w:lang w:val="en_US" w:bidi="en_US"/>
        </w:rPr>
        <w:t xml:space="preserve">In some languages it may be helpful to translate the word </w:t>
      </w:r>
      <w:r>
        <w:rPr>
          <w:i/>
          <w:lang w:val="en_US" w:bidi="en_US"/>
        </w:rPr>
        <w:t>rebuke</w:t>
      </w:r>
      <w:r>
        <w:rPr>
          <w:lang w:val="en_US" w:bidi="en_US"/>
        </w:rPr>
        <w:t xml:space="preserve"> in a more explicit way. For example:</w:t>
      </w:r>
    </w:p>
    <w:p>
      <w:pPr/>
      <w:r>
        <w:rPr>
          <w:lang w:val="en_US" w:bidi="en_US"/>
        </w:rPr>
      </w:r>
      <w:r>
        <w:rPr>
          <w:u w:val="single"/>
          <w:lang w:val="en_US" w:bidi="en_US"/>
        </w:rPr>
        <w:t>command</w:t>
      </w:r>
      <w:r>
        <w:rPr>
          <w:lang w:val="en_US" w:bidi="en_US"/>
        </w:rPr>
        <w:t xml:space="preserve"> your disciples </w:t>
      </w:r>
      <w:r>
        <w:rPr>
          <w:u w:val="single"/>
          <w:lang w:val="en_US" w:bidi="en_US"/>
        </w:rPr>
        <w:t>to be quiet</w:t>
      </w:r>
      <w:r>
        <w:rPr>
          <w:lang w:val="en_US" w:bidi="en_US"/>
        </w:rPr>
        <w:t xml:space="preserve"> (GNT)</w:t>
      </w:r>
    </w:p>
    <w:p>
      <w:pPr/>
      <w:r>
        <w:rPr>
          <w:lang w:val="en_US" w:bidi="en_US"/>
        </w:rPr>
      </w:r>
      <w:r>
        <w:rPr>
          <w:u w:val="single"/>
          <w:lang w:val="en_US" w:bidi="en_US"/>
        </w:rPr>
        <w:t>tell</w:t>
      </w:r>
      <w:r>
        <w:rPr>
          <w:lang w:val="en_US" w:bidi="en_US"/>
        </w:rPr>
        <w:t xml:space="preserve"> your followers </w:t>
      </w:r>
      <w:r>
        <w:rPr>
          <w:u w:val="single"/>
          <w:lang w:val="en_US" w:bidi="en_US"/>
        </w:rPr>
        <w:t>not to say these things</w:t>
      </w:r>
      <w:r>
        <w:rPr>
          <w:lang w:val="en_US" w:bidi="en_US"/>
        </w:rPr>
        <w:t xml:space="preserve"> (NCV)</w:t>
      </w:r>
    </w:p>
    <w:p>
      <w:pPr/>
      <w:r>
        <w:rPr>
          <w:lang w:val="en_US" w:bidi="en_US"/>
        </w:rPr>
      </w:r>
      <w:r>
        <w:rPr>
          <w:lang w:val="en_US" w:bidi="en_US"/>
        </w:rPr>
        <w:t xml:space="preserve">tell your disciples that they must not say </w:t>
      </w:r>
      <w:r>
        <w:rPr>
          <w:lang w:val="en_US" w:bidi="en_US"/>
        </w:rPr>
        <w:t>things like that</w:t>
      </w:r>
    </w:p>
    <w:p>
      <w:pPr/>
      <w:r>
        <w:rPr>
          <w:lang w:val="en_US" w:bidi="en_US"/>
        </w:rPr>
      </w:r>
      <w:r>
        <w:rPr>
          <w:lang w:val="en_US" w:bidi="en_US"/>
        </w:rPr>
        <w:t>In some languages it may be more natural to use direct speech for what the Pharisees wanted Jesus to tell his disciples. For example:</w:t>
      </w:r>
    </w:p>
    <w:p>
      <w:pPr/>
      <w:r>
        <w:rPr>
          <w:lang w:val="en_US" w:bidi="en_US"/>
        </w:rPr>
      </w:r>
      <w:r>
        <w:rPr>
          <w:lang w:val="en_US" w:bidi="en_US"/>
        </w:rPr>
        <w:t>Command/Tell your disciples: “Stop saying these things!”</w:t>
      </w:r>
    </w:p>
    <w:p>
      <w:pPr/>
      <w:r>
        <w:rPr>
          <w:lang w:val="en_US" w:bidi="en_US"/>
        </w:rPr>
      </w:r>
      <w:r>
        <w:rPr>
          <w:b/>
          <w:lang w:val="en_US" w:bidi="en_US"/>
        </w:rPr>
        <w:t>disciples:</w:t>
      </w:r>
      <w:r>
        <w:rPr>
          <w:lang w:val="en_US" w:bidi="en_US"/>
        </w:rPr>
        <w:t xml:space="preserve"> The word </w:t>
      </w:r>
      <w:r>
        <w:rPr>
          <w:i/>
          <w:lang w:val="en_US" w:bidi="en_US"/>
        </w:rPr>
        <w:t>disciples</w:t>
      </w:r>
      <w:r>
        <w:rPr>
          <w:lang w:val="en_US" w:bidi="en_US"/>
        </w:rPr>
        <w:t xml:space="preserve"> here refers to the “whole multitude of disciples” in 19:37b.</w:t>
      </w:r>
      <w:r>
        <w:rPr>
          <w:lang w:val="en_US" w:bidi="en_US"/>
        </w:rPr>
      </w:r>
      <w:r>
        <w:rPr>
          <w:lang w:val="en_US" w:bidi="en_US"/>
        </w:rPr>
      </w:r>
    </w:p>
    <w:p>
      <w:pPr/>
      <w:r>
        <w:rPr>
          <w:lang w:val="en_US" w:bidi="en_US"/>
        </w:rPr>
      </w:r>
    </w:p>
    <w:p>
      <w:pPr>
        <w:pStyle w:val="Heading2"/>
      </w:pPr>
      <w:r>
        <w:rPr>
          <w:lang w:val="en_US" w:bidi="en_US"/>
        </w:rPr>
        <w:t>Luke 19:40</w:t>
      </w:r>
      <w:r>
        <w:rPr>
          <w:lang w:val="en_US" w:bidi="en_US"/>
        </w:rPr>
      </w:r>
    </w:p>
    <w:p>
      <w:pPr>
        <w:pStyle w:val="Heading4"/>
      </w:pPr>
      <w:r>
        <w:rPr>
          <w:lang w:val="en_US" w:bidi="en_US"/>
        </w:rPr>
        <w:t>Section 19:28–44: Jesus approached Jerusalem</w:t>
      </w:r>
    </w:p>
    <w:p>
      <w:pPr/>
      <w:r>
        <w:rPr>
          <w:lang w:val="en_US" w:bidi="en_US"/>
        </w:rPr>
      </w:r>
      <w:r>
        <w:rPr>
          <w:lang w:val="en_US" w:bidi="en_US"/>
        </w:rP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People of Jerusalem greeted Jesus as king</w:t>
      </w:r>
    </w:p>
    <w:p>
      <w:pPr/>
      <w:r>
        <w:rPr>
          <w:lang w:val="en_US" w:bidi="en_US"/>
        </w:rPr>
      </w:r>
      <w:r>
        <w:rPr>
          <w:lang w:val="en_US" w:bidi="en_US"/>
        </w:rPr>
        <w:t>There are parallel passages for this section in Matthew 21:1–11, Mark 11:1–11, and John 12:12–19.</w:t>
      </w:r>
    </w:p>
    <w:p>
      <w:pPr>
        <w:pStyle w:val="Heading5"/>
      </w:pPr>
      <w:r>
        <w:rPr>
          <w:lang w:val="en_US" w:bidi="en_US"/>
        </w:rPr>
        <w:t>19:40a</w:t>
      </w:r>
    </w:p>
    <w:p>
      <w:pPr/>
      <w:r>
        <w:rPr>
          <w:lang w:val="en_US" w:bidi="en_US"/>
        </w:rPr>
      </w:r>
      <w:r>
        <w:rPr>
          <w:b/>
          <w:lang w:val="en_US" w:bidi="en_US"/>
        </w:rPr>
        <w:t>“I tell you,” He answered,</w:t>
      </w:r>
    </w:p>
    <w:p>
      <w:pPr>
        <w:pStyle w:val="ListBullet"/>
        <w:spacing w:line="240" w:lineRule="auto"/>
        <w:ind w:left="720"/>
      </w:pPr>
      <w:r>
        <w:rPr>
          <w:lang w:val="en_US" w:bidi="en_US"/>
        </w:rPr>
      </w:r>
      <w:r>
        <w:rPr>
          <w:lang w:val="en_US" w:bidi="en_US"/>
        </w:rPr>
        <w:t>Jesus answered them, “Let me tell you</w:t>
      </w:r>
      <w:r>
        <w:rPr>
          <w:vertAlign w:val="superscript"/>
          <w:lang w:val="en_US" w:bidi="en_US"/>
        </w:rPr>
        <w:t>(plur)</w:t>
      </w:r>
      <w:r>
        <w:rPr>
          <w:lang w:val="en_US" w:bidi="en_US"/>
        </w:rPr>
        <w:t xml:space="preserve"> this:</w:t>
      </w:r>
    </w:p>
    <w:p>
      <w:pPr>
        <w:pStyle w:val="ListBullet"/>
        <w:spacing w:line="240" w:lineRule="auto"/>
        <w:ind w:left="720"/>
      </w:pPr>
      <w:r>
        <w:rPr>
          <w:lang w:val="en_US" w:bidi="en_US"/>
        </w:rPr>
      </w:r>
      <w:r>
        <w:rPr>
          <w:lang w:val="en_US" w:bidi="en_US"/>
        </w:rPr>
        <w:t>Then/But</w:t>
      </w:r>
      <w:r>
        <w:rPr>
          <w:lang w:val="en_US" w:bidi="en_US"/>
        </w:rPr>
        <w:t xml:space="preserve"> Jesus told them, “I assure you</w:t>
      </w:r>
      <w:r>
        <w:rPr>
          <w:vertAlign w:val="superscript"/>
          <w:lang w:val="en_US" w:bidi="en_US"/>
        </w:rPr>
        <w:t>(plur)</w:t>
      </w:r>
      <w:r>
        <w:rPr>
          <w:lang w:val="en_US" w:bidi="en_US"/>
        </w:rPr>
        <w:t>,</w:t>
      </w:r>
    </w:p>
    <w:p>
      <w:pPr/>
      <w:r>
        <w:rPr>
          <w:lang w:val="en_US" w:bidi="en_US"/>
        </w:rPr>
      </w:r>
      <w:r>
        <w:rPr>
          <w:lang w:val="en_US" w:bidi="en_US"/>
        </w:rPr>
        <w:t>In this verse, Jesus refused to do as the Pharisees asked him to do in 19:39. In some languages it may be natural to introduce the refusal in some way. This verse begins in Greek with a conjunction that the CEV and NCV translate as “But” in order to show a contrast. Most English versions do not translate this conjunction. Begin the verse in a natural way in your language.</w:t>
      </w:r>
    </w:p>
    <w:p>
      <w:pPr/>
      <w:r>
        <w:rPr>
          <w:lang w:val="en_US" w:bidi="en_US"/>
        </w:rPr>
      </w:r>
      <w:r>
        <w:rPr>
          <w:b/>
          <w:lang w:val="en_US" w:bidi="en_US"/>
        </w:rPr>
        <w:t>I tell you:</w:t>
      </w:r>
      <w:r>
        <w:rPr>
          <w:lang w:val="en_US" w:bidi="en_US"/>
        </w:rPr>
        <w:t xml:space="preserve"> Jesus often used the words </w:t>
      </w:r>
      <w:r>
        <w:rPr>
          <w:i/>
          <w:lang w:val="en_US" w:bidi="en_US"/>
        </w:rPr>
        <w:t>I tell you</w:t>
      </w:r>
      <w:r>
        <w:rPr>
          <w:lang w:val="en_US" w:bidi="en_US"/>
        </w:rPr>
        <w:t xml:space="preserve"> to begin a statement that he wanted to emphasize. It indicates that the statement was important and people should listen carefully to it. Some other ways to translate this emphasis here are:</w:t>
      </w:r>
    </w:p>
    <w:p>
      <w:pPr/>
      <w:r>
        <w:rPr>
          <w:lang w:val="en_US" w:bidi="en_US"/>
        </w:rPr>
      </w:r>
      <w:r>
        <w:rPr>
          <w:lang w:val="en_US" w:bidi="en_US"/>
        </w:rPr>
        <w:t>I assure you</w:t>
      </w:r>
    </w:p>
    <w:p>
      <w:pPr/>
      <w:r>
        <w:rPr>
          <w:lang w:val="en_US" w:bidi="en_US"/>
        </w:rPr>
      </w:r>
      <w:r>
        <w:rPr>
          <w:lang w:val="en_US" w:bidi="en_US"/>
        </w:rPr>
        <w:t>Listen to this:</w:t>
      </w:r>
    </w:p>
    <w:p>
      <w:pPr/>
      <w:r>
        <w:rPr>
          <w:lang w:val="en_US" w:bidi="en_US"/>
        </w:rPr>
      </w:r>
      <w:r>
        <w:rPr>
          <w:lang w:val="en_US" w:bidi="en_US"/>
        </w:rPr>
        <w:t>I can guarantee that (GW)</w:t>
      </w:r>
    </w:p>
    <w:p>
      <w:pPr/>
      <w:r>
        <w:rPr>
          <w:lang w:val="en_US" w:bidi="en_US"/>
        </w:rPr>
      </w:r>
      <w:r>
        <w:rPr>
          <w:lang w:val="en_US" w:bidi="en_US"/>
        </w:rPr>
        <w:t>If you have another way in your language to emphasize a statement or to alert people to listen with special attention, consider using it here.</w:t>
      </w:r>
    </w:p>
    <w:p>
      <w:pPr/>
      <w:r>
        <w:rPr>
          <w:lang w:val="en_US" w:bidi="en_US"/>
        </w:rPr>
      </w:r>
      <w:r>
        <w:rPr>
          <w:b/>
          <w:lang w:val="en_US" w:bidi="en_US"/>
        </w:rPr>
        <w:t>He answered:</w:t>
      </w:r>
      <w:r>
        <w:rPr>
          <w:lang w:val="en_US" w:bidi="en_US"/>
        </w:rPr>
        <w:t xml:space="preserve"> In Greek the phrase </w:t>
      </w:r>
      <w:r>
        <w:rPr>
          <w:i/>
          <w:lang w:val="en_US" w:bidi="en_US"/>
        </w:rPr>
        <w:t>He answered</w:t>
      </w:r>
      <w:r>
        <w:rPr>
          <w:lang w:val="en_US" w:bidi="en_US"/>
        </w:rPr>
        <w:t xml:space="preserve"> occurs at the beginning of the verse. It introduces Jesus’ response to the Pharisees. Place the phrase where it is natural in your language.</w:t>
      </w:r>
    </w:p>
    <w:p>
      <w:pPr>
        <w:pStyle w:val="Heading5"/>
      </w:pPr>
      <w:r>
        <w:rPr>
          <w:lang w:val="en_US" w:bidi="en_US"/>
        </w:rPr>
        <w:t>19:40b</w:t>
      </w:r>
    </w:p>
    <w:p>
      <w:pPr/>
      <w:r>
        <w:rPr>
          <w:lang w:val="en_US" w:bidi="en_US"/>
        </w:rPr>
      </w:r>
      <w:r>
        <w:rPr>
          <w:b/>
          <w:lang w:val="en_US" w:bidi="en_US"/>
        </w:rPr>
        <w:t>“if they remain silent,</w:t>
      </w:r>
    </w:p>
    <w:p>
      <w:pPr>
        <w:pStyle w:val="ListBullet"/>
        <w:spacing w:line="240" w:lineRule="auto"/>
        <w:ind w:left="720"/>
      </w:pPr>
      <w:r>
        <w:rPr>
          <w:lang w:val="en_US" w:bidi="en_US"/>
        </w:rPr>
      </w:r>
      <w:r>
        <w:rPr>
          <w:lang w:val="en_US" w:bidi="en_US"/>
        </w:rPr>
        <w:t xml:space="preserve">If my disciples stop shouting </w:t>
      </w:r>
      <w:r>
        <w:rPr>
          <w:lang w:val="en_US" w:bidi="en_US"/>
        </w:rPr>
        <w:t>praise</w:t>
      </w:r>
      <w:r>
        <w:rPr>
          <w:lang w:val="en_US" w:bidi="en_US"/>
        </w:rPr>
        <w:t>,</w:t>
      </w:r>
    </w:p>
    <w:p>
      <w:pPr>
        <w:pStyle w:val="ListBullet"/>
        <w:spacing w:line="240" w:lineRule="auto"/>
        <w:ind w:left="720"/>
      </w:pPr>
      <w:r>
        <w:rPr>
          <w:lang w:val="en_US" w:bidi="en_US"/>
        </w:rPr>
      </w:r>
      <w:r>
        <w:rPr>
          <w:lang w:val="en_US" w:bidi="en_US"/>
        </w:rPr>
        <w:t>it is right/necessary for my followers to say those things</w:t>
      </w:r>
      <w:r>
        <w:rPr>
          <w:lang w:val="en_US" w:bidi="en_US"/>
        </w:rPr>
        <w:t>. If they become silent,</w:t>
      </w:r>
    </w:p>
    <w:p>
      <w:pPr>
        <w:pStyle w:val="Heading5"/>
      </w:pPr>
      <w:r>
        <w:rPr>
          <w:lang w:val="en_US" w:bidi="en_US"/>
        </w:rPr>
        <w:t>19:40c</w:t>
      </w:r>
    </w:p>
    <w:p>
      <w:pPr/>
      <w:r>
        <w:rPr>
          <w:lang w:val="en_US" w:bidi="en_US"/>
        </w:rPr>
      </w:r>
      <w:r>
        <w:rPr>
          <w:b/>
          <w:lang w:val="en_US" w:bidi="en_US"/>
        </w:rPr>
        <w:t>the very stones will cry out.”</w:t>
      </w:r>
    </w:p>
    <w:p>
      <w:pPr>
        <w:pStyle w:val="ListBullet"/>
        <w:spacing w:line="240" w:lineRule="auto"/>
        <w:ind w:left="720"/>
      </w:pPr>
      <w:r>
        <w:rPr>
          <w:lang w:val="en_US" w:bidi="en_US"/>
        </w:rPr>
      </w:r>
      <w:r>
        <w:rPr>
          <w:lang w:val="en_US" w:bidi="en_US"/>
        </w:rPr>
        <w:t xml:space="preserve">then the stones will start shouting </w:t>
      </w:r>
      <w:r>
        <w:rPr>
          <w:lang w:val="en_US" w:bidi="en_US"/>
        </w:rPr>
        <w:t>praise</w:t>
      </w:r>
      <w:r>
        <w:rPr>
          <w:lang w:val="en_US" w:bidi="en_US"/>
        </w:rPr>
        <w:t>!”</w:t>
      </w:r>
    </w:p>
    <w:p>
      <w:pPr>
        <w:pStyle w:val="ListBullet"/>
        <w:spacing w:line="240" w:lineRule="auto"/>
        <w:ind w:left="720"/>
      </w:pPr>
      <w:r>
        <w:rPr>
          <w:lang w:val="en_US" w:bidi="en_US"/>
        </w:rPr>
      </w:r>
      <w:r>
        <w:rPr>
          <w:lang w:val="en_US" w:bidi="en_US"/>
        </w:rPr>
        <w:t xml:space="preserve">the stones will proclaim/shout </w:t>
      </w:r>
      <w:r>
        <w:rPr>
          <w:lang w:val="en_US" w:bidi="en_US"/>
        </w:rPr>
        <w:t>those praises</w:t>
      </w:r>
      <w:r>
        <w:rPr>
          <w:lang w:val="en_US" w:bidi="en_US"/>
        </w:rPr>
        <w:t xml:space="preserve"> </w:t>
      </w:r>
      <w:r>
        <w:rPr>
          <w:lang w:val="en_US" w:bidi="en_US"/>
        </w:rPr>
        <w:t>in their place</w:t>
      </w:r>
      <w:r>
        <w:rPr>
          <w:lang w:val="en_US" w:bidi="en_US"/>
        </w:rPr>
        <w:t>!”</w:t>
      </w:r>
    </w:p>
    <w:p>
      <w:pPr>
        <w:pStyle w:val="Heading5"/>
      </w:pPr>
      <w:r>
        <w:rPr>
          <w:lang w:val="en_US" w:bidi="en_US"/>
        </w:rPr>
        <w:t>19:40b–c</w:t>
      </w:r>
    </w:p>
    <w:p>
      <w:pPr/>
      <w:r>
        <w:rPr>
          <w:lang w:val="en_US" w:bidi="en_US"/>
        </w:rPr>
      </w:r>
      <w:r>
        <w:rPr>
          <w:b/>
          <w:lang w:val="en_US" w:bidi="en_US"/>
        </w:rPr>
        <w:t>if they remain silent, the very stones will cry out:</w:t>
      </w:r>
      <w:r>
        <w:rPr>
          <w:lang w:val="en_US" w:bidi="en_US"/>
        </w:rPr>
        <w:t xml:space="preserve"> This statement contains implied information. Jesus implied that it was necessary for his disciples to praise God and welcome him as the Messiah.</w:t>
      </w:r>
      <w:r>
        <w:rPr>
          <w:lang w:val="en_US" w:bidi="en_US"/>
        </w:rPr>
        <w:t>The Western Bukidnon Manobo back translation on TW says, “It cannot be, because if they stop praising then all of those stones there will replace them in praising, because it’s very necessary today that there is someone praising.”</w:t>
      </w:r>
      <w:r>
        <w:rPr>
          <w:lang w:val="en_US" w:bidi="en_US"/>
        </w:rPr>
        <w:t xml:space="preserve"> Jesus said this to answer the Pharisees and tell them that the disciples were right. In some languages it may be necessary to make the meaning more explicit. For example:</w:t>
      </w:r>
    </w:p>
    <w:p>
      <w:pPr/>
      <w:r>
        <w:rPr>
          <w:lang w:val="en_US" w:bidi="en_US"/>
        </w:rPr>
      </w:r>
      <w:r>
        <w:rPr>
          <w:lang w:val="en_US" w:bidi="en_US"/>
        </w:rPr>
        <w:t>No, I will not ask them to be silent, for</w:t>
      </w:r>
      <w:r>
        <w:rPr>
          <w:lang w:val="en_US" w:bidi="en_US"/>
        </w:rPr>
        <w:t xml:space="preserve"> if they were quiet, then the stones would shout out </w:t>
      </w:r>
      <w:r>
        <w:rPr>
          <w:lang w:val="en_US" w:bidi="en_US"/>
        </w:rPr>
        <w:t>in their place</w:t>
      </w:r>
      <w:r>
        <w:rPr>
          <w:lang w:val="en_US" w:bidi="en_US"/>
        </w:rPr>
        <w:t>.</w:t>
      </w:r>
    </w:p>
    <w:p>
      <w:pPr/>
      <w:r>
        <w:rPr>
          <w:lang w:val="en_US" w:bidi="en_US"/>
        </w:rPr>
      </w:r>
      <w:r>
        <w:rPr>
          <w:lang w:val="en_US" w:bidi="en_US"/>
        </w:rPr>
        <w:t>It is so right for them to do this, that</w:t>
      </w:r>
      <w:r>
        <w:rPr>
          <w:lang w:val="en_US" w:bidi="en_US"/>
        </w:rPr>
        <w:t xml:space="preserve"> if they did not, then the stones would cry out.</w:t>
      </w:r>
    </w:p>
    <w:p>
      <w:pPr/>
      <w:r>
        <w:rPr>
          <w:lang w:val="en_US" w:bidi="en_US"/>
        </w:rPr>
      </w:r>
      <w:r>
        <w:rPr>
          <w:lang w:val="en_US" w:bidi="en_US"/>
        </w:rPr>
        <w:t>You are wrong in what you ask.</w:t>
      </w:r>
      <w:r>
        <w:rPr>
          <w:lang w:val="en_US" w:bidi="en_US"/>
        </w:rPr>
        <w:t xml:space="preserve"> If my disciples stop shouting out praise, then the rocks will shout out.</w:t>
      </w:r>
    </w:p>
    <w:p>
      <w:pPr/>
      <w:r>
        <w:rPr>
          <w:lang w:val="en_US" w:bidi="en_US"/>
        </w:rPr>
      </w:r>
      <w:r>
        <w:rPr>
          <w:b/>
          <w:lang w:val="en_US" w:bidi="en_US"/>
        </w:rPr>
        <w:t>the very stones will cry out:</w:t>
      </w:r>
      <w:r>
        <w:rPr>
          <w:lang w:val="en_US" w:bidi="en_US"/>
        </w:rPr>
        <w:t xml:space="preserve"> The clause </w:t>
      </w:r>
      <w:r>
        <w:rPr>
          <w:i/>
          <w:lang w:val="en_US" w:bidi="en_US"/>
        </w:rPr>
        <w:t>the very stones will cry out</w:t>
      </w:r>
      <w:r>
        <w:rPr>
          <w:lang w:val="en_US" w:bidi="en_US"/>
        </w:rPr>
        <w:t xml:space="preserve"> is a figure of speech. The stones would not literally shout, and the disciples also would not be silent. In some languages there are special verb forms that are used to describe a hypothetical situation like this that will not really happen. For example:</w:t>
      </w:r>
    </w:p>
    <w:p>
      <w:pPr/>
      <w:r>
        <w:rPr>
          <w:lang w:val="en_US" w:bidi="en_US"/>
        </w:rPr>
      </w:r>
      <w:r>
        <w:rPr>
          <w:lang w:val="en_US" w:bidi="en_US"/>
        </w:rPr>
        <w:t xml:space="preserve">If they </w:t>
      </w:r>
      <w:r>
        <w:rPr>
          <w:u w:val="single"/>
          <w:lang w:val="en_US" w:bidi="en_US"/>
        </w:rPr>
        <w:t>kept</w:t>
      </w:r>
      <w:r>
        <w:rPr>
          <w:lang w:val="en_US" w:bidi="en_US"/>
        </w:rPr>
        <w:t xml:space="preserve"> quiet, the stones…</w:t>
      </w:r>
      <w:r>
        <w:rPr>
          <w:u w:val="single"/>
          <w:lang w:val="en_US" w:bidi="en_US"/>
        </w:rPr>
        <w:t>would</w:t>
      </w:r>
      <w:r>
        <w:rPr>
          <w:lang w:val="en_US" w:bidi="en_US"/>
        </w:rPr>
        <w:t xml:space="preserve"> burst into cheers! (NLT)</w:t>
      </w:r>
    </w:p>
    <w:p>
      <w:pPr/>
      <w:r>
        <w:rPr>
          <w:lang w:val="en_US" w:bidi="en_US"/>
        </w:rPr>
      </w:r>
      <w:r>
        <w:rPr>
          <w:b/>
          <w:lang w:val="en_US" w:bidi="en_US"/>
        </w:rPr>
        <w:t>cry out:</w:t>
      </w:r>
      <w:r>
        <w:rPr>
          <w:lang w:val="en_US" w:bidi="en_US"/>
        </w:rPr>
        <w:t xml:space="preserve"> Here the verb </w:t>
      </w:r>
      <w:r>
        <w:rPr>
          <w:i/>
          <w:lang w:val="en_US" w:bidi="en_US"/>
        </w:rPr>
        <w:t>cry out</w:t>
      </w:r>
      <w:r>
        <w:rPr>
          <w:lang w:val="en_US" w:bidi="en_US"/>
        </w:rPr>
        <w:t xml:space="preserve"> describes glad shouts of praise such as the disciples were shouting. It does not refer to crying out because of distress or anger. Use an appropriate verb in your language. In some languages it may be necessary to make the meaning more explicit. For example:</w:t>
      </w:r>
    </w:p>
    <w:p>
      <w:pPr/>
      <w:r>
        <w:rPr>
          <w:lang w:val="en_US" w:bidi="en_US"/>
        </w:rPr>
      </w:r>
      <w:r>
        <w:rPr>
          <w:lang w:val="en_US" w:bidi="en_US"/>
        </w:rPr>
        <w:t>…the stones…will call out praising me.</w:t>
      </w:r>
      <w:r>
        <w:rPr>
          <w:lang w:val="en_US" w:bidi="en_US"/>
        </w:rPr>
        <w:t>Yakan back translation on TW.</w:t>
      </w:r>
      <w:r>
        <w:rPr>
          <w:lang w:val="en_US" w:bidi="en_US"/>
        </w:rPr>
      </w:r>
      <w:r>
        <w:rPr>
          <w:lang w:val="en_US" w:bidi="en_US"/>
        </w:rPr>
      </w:r>
    </w:p>
    <w:p>
      <w:pPr/>
      <w:r>
        <w:rPr>
          <w:lang w:val="en_US" w:bidi="en_US"/>
        </w:rPr>
      </w:r>
    </w:p>
    <w:p>
      <w:pPr>
        <w:pStyle w:val="Heading2"/>
      </w:pPr>
      <w:r>
        <w:rPr>
          <w:lang w:val="en_US" w:bidi="en_US"/>
        </w:rPr>
        <w:t>Luke 19:41</w:t>
      </w:r>
      <w:r>
        <w:rPr>
          <w:lang w:val="en_US" w:bidi="en_US"/>
        </w:rPr>
      </w:r>
    </w:p>
    <w:p>
      <w:pPr>
        <w:pStyle w:val="Heading4"/>
      </w:pPr>
      <w:r>
        <w:rPr>
          <w:lang w:val="en_US" w:bidi="en_US"/>
        </w:rPr>
        <w:t>Section 19:28–44: Jesus approached Jerusalem</w:t>
      </w:r>
    </w:p>
    <w:p>
      <w:pPr/>
      <w:r>
        <w:rPr>
          <w:lang w:val="en_US" w:bidi="en_US"/>
        </w:rPr>
      </w:r>
      <w:r>
        <w:rPr>
          <w:lang w:val="en_US" w:bidi="en_US"/>
        </w:rP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People of Jerusalem greeted Jesus as king</w:t>
      </w:r>
    </w:p>
    <w:p>
      <w:pPr/>
      <w:r>
        <w:rPr>
          <w:lang w:val="en_US" w:bidi="en_US"/>
        </w:rPr>
      </w:r>
      <w:r>
        <w:rPr>
          <w:lang w:val="en_US" w:bidi="en_US"/>
        </w:rPr>
        <w:t>There are parallel passages for this section in Matthew 21:1–11, Mark 11:1–11, and John 12:12–19.</w:t>
      </w:r>
    </w:p>
    <w:p>
      <w:pPr>
        <w:pStyle w:val="Heading5"/>
      </w:pPr>
      <w:r>
        <w:rPr>
          <w:lang w:val="en_US" w:bidi="en_US"/>
        </w:rPr>
        <w:t>19:41a</w:t>
      </w:r>
    </w:p>
    <w:p>
      <w:pPr/>
      <w:r>
        <w:rPr>
          <w:lang w:val="en_US" w:bidi="en_US"/>
        </w:rPr>
      </w:r>
      <w:r>
        <w:rPr>
          <w:b/>
          <w:lang w:val="en_US" w:bidi="en_US"/>
        </w:rPr>
        <w:t>As Jesus approached Jerusalem and saw the city,</w:t>
      </w:r>
    </w:p>
    <w:p>
      <w:pPr>
        <w:pStyle w:val="ListBullet"/>
        <w:spacing w:line="240" w:lineRule="auto"/>
        <w:ind w:left="720"/>
      </w:pPr>
      <w:r>
        <w:rPr>
          <w:lang w:val="en_US" w:bidi="en_US"/>
        </w:rPr>
      </w:r>
      <w:r>
        <w:rPr>
          <w:lang w:val="en_US" w:bidi="en_US"/>
        </w:rPr>
        <w:t>¶ When he/Jesus got close to Jerusalem and could see the city,</w:t>
      </w:r>
    </w:p>
    <w:p>
      <w:pPr>
        <w:pStyle w:val="ListBullet"/>
        <w:spacing w:line="240" w:lineRule="auto"/>
        <w:ind w:left="720"/>
      </w:pPr>
      <w:r>
        <w:rPr>
          <w:lang w:val="en_US" w:bidi="en_US"/>
        </w:rPr>
      </w:r>
      <w:r>
        <w:rPr>
          <w:lang w:val="en_US" w:bidi="en_US"/>
        </w:rPr>
        <w:t>¶ When Jesus came even nearer to Jerusalem and saw the city,</w:t>
      </w:r>
    </w:p>
    <w:p>
      <w:pPr/>
      <w:r>
        <w:rPr>
          <w:lang w:val="en_US" w:bidi="en_US"/>
        </w:rPr>
      </w:r>
      <w:r>
        <w:rPr>
          <w:b/>
          <w:lang w:val="en_US" w:bidi="en_US"/>
        </w:rPr>
        <w:t>As Jesus approached Jerusalem and saw the city:</w:t>
      </w:r>
      <w:r>
        <w:rPr>
          <w:lang w:val="en_US" w:bidi="en_US"/>
        </w:rPr>
        <w:t xml:space="preserve"> The Greek word that the BSB translates as </w:t>
      </w:r>
      <w:r>
        <w:rPr>
          <w:i/>
          <w:lang w:val="en_US" w:bidi="en_US"/>
        </w:rPr>
        <w:t>approached</w:t>
      </w:r>
      <w:r>
        <w:rPr>
          <w:lang w:val="en_US" w:bidi="en_US"/>
        </w:rPr>
        <w:t xml:space="preserve"> means “to come near.” In 19:37 Jesus was already near the city. Jesus had continued to ride the donkey toward Jerusalem and was now close enough to see the city clearly. Here you may need to use a different expression that indicates that he was now nearer the city than before. For example:</w:t>
      </w:r>
    </w:p>
    <w:p>
      <w:pPr/>
      <w:r>
        <w:rPr>
          <w:lang w:val="en_US" w:bidi="en_US"/>
        </w:rPr>
      </w:r>
      <w:r>
        <w:rPr>
          <w:lang w:val="en_US" w:bidi="en_US"/>
        </w:rPr>
        <w:t xml:space="preserve">as he/Jesus came </w:t>
      </w:r>
      <w:r>
        <w:rPr>
          <w:u w:val="single"/>
          <w:lang w:val="en_US" w:bidi="en_US"/>
        </w:rPr>
        <w:t>even</w:t>
      </w:r>
      <w:r>
        <w:rPr>
          <w:lang w:val="en_US" w:bidi="en_US"/>
        </w:rPr>
        <w:t xml:space="preserve"> near</w:t>
      </w:r>
      <w:r>
        <w:rPr>
          <w:u w:val="single"/>
          <w:lang w:val="en_US" w:bidi="en_US"/>
        </w:rPr>
        <w:t>er</w:t>
      </w:r>
      <w:r>
        <w:rPr>
          <w:lang w:val="en_US" w:bidi="en_US"/>
        </w:rPr>
        <w:t xml:space="preserve"> to Jerusalem</w:t>
      </w:r>
    </w:p>
    <w:p>
      <w:pPr/>
      <w:r>
        <w:rPr>
          <w:lang w:val="en_US" w:bidi="en_US"/>
        </w:rPr>
      </w:r>
      <w:r>
        <w:rPr>
          <w:b/>
          <w:lang w:val="en_US" w:bidi="en_US"/>
        </w:rPr>
        <w:t>the city:</w:t>
      </w:r>
      <w:r>
        <w:rPr>
          <w:lang w:val="en_US" w:bidi="en_US"/>
        </w:rPr>
        <w:t xml:space="preserve"> The phrase </w:t>
      </w:r>
      <w:r>
        <w:rPr>
          <w:i/>
          <w:lang w:val="en_US" w:bidi="en_US"/>
        </w:rPr>
        <w:t>the city</w:t>
      </w:r>
      <w:r>
        <w:rPr>
          <w:lang w:val="en_US" w:bidi="en_US"/>
        </w:rPr>
        <w:t xml:space="preserve"> refers to Jerusalem. Jerusalem was already mentioned in this part of the verse. Refer back to it in a natural way in your language. Another way to do that in English is to use a pronoun:</w:t>
      </w:r>
    </w:p>
    <w:p>
      <w:pPr/>
      <w:r>
        <w:rPr>
          <w:lang w:val="en_US" w:bidi="en_US"/>
        </w:rPr>
      </w:r>
      <w:r>
        <w:rPr>
          <w:lang w:val="en_US" w:bidi="en_US"/>
        </w:rPr>
        <w:t xml:space="preserve">saw </w:t>
      </w:r>
      <w:r>
        <w:rPr>
          <w:u w:val="single"/>
          <w:lang w:val="en_US" w:bidi="en_US"/>
        </w:rPr>
        <w:t>it</w:t>
      </w:r>
    </w:p>
    <w:p>
      <w:pPr>
        <w:pStyle w:val="Heading5"/>
      </w:pPr>
      <w:r>
        <w:rPr>
          <w:lang w:val="en_US" w:bidi="en_US"/>
        </w:rPr>
        <w:t>19:41b</w:t>
      </w:r>
    </w:p>
    <w:p>
      <w:pPr/>
      <w:r>
        <w:rPr>
          <w:lang w:val="en_US" w:bidi="en_US"/>
        </w:rPr>
      </w:r>
      <w:r>
        <w:rPr>
          <w:b/>
          <w:lang w:val="en_US" w:bidi="en_US"/>
        </w:rPr>
        <w:t>He wept over it</w:t>
      </w:r>
    </w:p>
    <w:p>
      <w:pPr>
        <w:pStyle w:val="ListBullet"/>
        <w:spacing w:line="240" w:lineRule="auto"/>
        <w:ind w:left="720"/>
      </w:pPr>
      <w:r>
        <w:rPr>
          <w:lang w:val="en_US" w:bidi="en_US"/>
        </w:rPr>
      </w:r>
      <w:r>
        <w:rPr>
          <w:lang w:val="en_US" w:bidi="en_US"/>
        </w:rPr>
        <w:t xml:space="preserve">he </w:t>
      </w:r>
      <w:r>
        <w:rPr>
          <w:lang w:val="en_US" w:bidi="en_US"/>
        </w:rPr>
        <w:t>began to</w:t>
      </w:r>
      <w:r>
        <w:rPr>
          <w:lang w:val="en_US" w:bidi="en_US"/>
        </w:rPr>
        <w:t xml:space="preserve"> weep for/about the city </w:t>
      </w:r>
      <w:r>
        <w:rPr>
          <w:lang w:val="en_US" w:bidi="en_US"/>
        </w:rPr>
        <w:t>and its people</w:t>
      </w:r>
      <w:r>
        <w:rPr>
          <w:lang w:val="en_US" w:bidi="en_US"/>
        </w:rPr>
        <w:t>.</w:t>
      </w:r>
    </w:p>
    <w:p>
      <w:pPr>
        <w:pStyle w:val="ListBullet"/>
        <w:spacing w:line="240" w:lineRule="auto"/>
        <w:ind w:left="720"/>
      </w:pPr>
      <w:r>
        <w:rPr>
          <w:lang w:val="en_US" w:bidi="en_US"/>
        </w:rPr>
      </w:r>
      <w:r>
        <w:rPr>
          <w:lang w:val="en_US" w:bidi="en_US"/>
        </w:rPr>
        <w:t xml:space="preserve">he cried/lamented </w:t>
      </w:r>
      <w:r>
        <w:rPr>
          <w:lang w:val="en_US" w:bidi="en_US"/>
        </w:rPr>
        <w:t>because of what would happen to</w:t>
      </w:r>
      <w:r>
        <w:rPr>
          <w:lang w:val="en_US" w:bidi="en_US"/>
        </w:rPr>
        <w:t xml:space="preserve"> </w:t>
      </w:r>
      <w:r>
        <w:rPr>
          <w:lang w:val="en_US" w:bidi="en_US"/>
        </w:rPr>
        <w:t>the people who lived</w:t>
      </w:r>
      <w:r>
        <w:rPr>
          <w:lang w:val="en_US" w:bidi="en_US"/>
        </w:rPr>
        <w:t xml:space="preserve"> there.</w:t>
      </w:r>
    </w:p>
    <w:p>
      <w:pPr/>
      <w:r>
        <w:rPr>
          <w:lang w:val="en_US" w:bidi="en_US"/>
        </w:rPr>
      </w:r>
      <w:r>
        <w:rPr>
          <w:b/>
          <w:lang w:val="en_US" w:bidi="en_US"/>
        </w:rPr>
        <w:t>He wept over it:</w:t>
      </w:r>
      <w:r>
        <w:rPr>
          <w:lang w:val="en_US" w:bidi="en_US"/>
        </w:rPr>
        <w:t xml:space="preserve"> The Greek expression that the BSB translates as </w:t>
      </w:r>
      <w:r>
        <w:rPr>
          <w:i/>
          <w:lang w:val="en_US" w:bidi="en_US"/>
        </w:rPr>
        <w:t>He wept over it</w:t>
      </w:r>
      <w:r>
        <w:rPr>
          <w:lang w:val="en_US" w:bidi="en_US"/>
        </w:rPr>
        <w:t xml:space="preserve"> means that Jesus cried as he thought about the city of Jerusalem and its people. He cried because he knew the terrible things that would happen to the people and buildings there in the future.</w:t>
      </w:r>
    </w:p>
    <w:p>
      <w:pPr/>
      <w:r>
        <w:rPr>
          <w:lang w:val="en_US" w:bidi="en_US"/>
        </w:rPr>
      </w:r>
      <w:r>
        <w:rPr>
          <w:lang w:val="en_US" w:bidi="en_US"/>
        </w:rPr>
        <w:t>The reason he cried should be clear from the verses that follow this verse (19:43–44). However, in some languages it may be more natural to indicate it here also. For example:</w:t>
      </w:r>
    </w:p>
    <w:p>
      <w:pPr/>
      <w:r>
        <w:rPr>
          <w:lang w:val="en_US" w:bidi="en_US"/>
        </w:rPr>
      </w:r>
      <w:r>
        <w:rPr>
          <w:lang w:val="en_US" w:bidi="en_US"/>
        </w:rPr>
        <w:t xml:space="preserve">he cried </w:t>
      </w:r>
      <w:r>
        <w:rPr>
          <w:lang w:val="en_US" w:bidi="en_US"/>
        </w:rPr>
        <w:t>in sorrow</w:t>
      </w:r>
      <w:r>
        <w:rPr>
          <w:lang w:val="en_US" w:bidi="en_US"/>
        </w:rPr>
        <w:t xml:space="preserve"> as he thought about </w:t>
      </w:r>
      <w:r>
        <w:rPr>
          <w:lang w:val="en_US" w:bidi="en_US"/>
        </w:rPr>
        <w:t>what would happen to</w:t>
      </w:r>
      <w:r>
        <w:rPr>
          <w:lang w:val="en_US" w:bidi="en_US"/>
        </w:rPr>
        <w:t xml:space="preserve"> Jerusalem</w:t>
      </w:r>
    </w:p>
    <w:p>
      <w:pPr/>
      <w:r>
        <w:rPr>
          <w:lang w:val="en_US" w:bidi="en_US"/>
        </w:rPr>
      </w:r>
      <w:r>
        <w:rPr>
          <w:lang w:val="en_US" w:bidi="en_US"/>
        </w:rPr>
        <w:t xml:space="preserve">he cried </w:t>
      </w:r>
      <w:r>
        <w:rPr>
          <w:lang w:val="en_US" w:bidi="en_US"/>
        </w:rPr>
        <w:t>because he pitied</w:t>
      </w:r>
      <w:r>
        <w:rPr>
          <w:lang w:val="en_US" w:bidi="en_US"/>
        </w:rPr>
        <w:t xml:space="preserve"> the city </w:t>
      </w:r>
      <w:r>
        <w:rPr>
          <w:lang w:val="en_US" w:bidi="en_US"/>
        </w:rPr>
        <w:t>and its people</w:t>
      </w:r>
    </w:p>
    <w:p>
      <w:pPr/>
      <w:r>
        <w:rPr>
          <w:lang w:val="en_US" w:bidi="en_US"/>
        </w:rPr>
      </w:r>
      <w:r>
        <w:rPr>
          <w:b/>
          <w:lang w:val="en_US" w:bidi="en_US"/>
        </w:rPr>
        <w:t>wept:</w:t>
      </w:r>
      <w:r>
        <w:rPr>
          <w:lang w:val="en_US" w:bidi="en_US"/>
        </w:rPr>
        <w:t xml:space="preserve"> The Greek word that the BSB translates as </w:t>
      </w:r>
      <w:r>
        <w:rPr>
          <w:i/>
          <w:lang w:val="en_US" w:bidi="en_US"/>
        </w:rPr>
        <w:t>wept</w:t>
      </w:r>
      <w:r>
        <w:rPr>
          <w:lang w:val="en_US" w:bidi="en_US"/>
        </w:rPr>
        <w:t xml:space="preserve"> refers to a type of weeping or crying aloud that a person does as he mourns and laments. It does not refer specifically to shedding tears, though tears may accompany this kind of lamenting. Other ways to translate it are:</w:t>
      </w:r>
    </w:p>
    <w:p>
      <w:pPr/>
      <w:r>
        <w:rPr>
          <w:lang w:val="en_US" w:bidi="en_US"/>
        </w:rPr>
      </w:r>
      <w:r>
        <w:rPr>
          <w:lang w:val="en_US" w:bidi="en_US"/>
        </w:rPr>
        <w:t>he lamented and wept</w:t>
      </w:r>
    </w:p>
    <w:p>
      <w:pPr/>
      <w:r>
        <w:rPr>
          <w:lang w:val="en_US" w:bidi="en_US"/>
        </w:rPr>
      </w:r>
      <w:r>
        <w:rPr>
          <w:lang w:val="en_US" w:bidi="en_US"/>
        </w:rPr>
        <w:t>he mourned</w:t>
      </w:r>
      <w:r>
        <w:rPr>
          <w:lang w:val="en_US" w:bidi="en_US"/>
        </w:rPr>
      </w:r>
      <w:r>
        <w:rPr>
          <w:lang w:val="en_US" w:bidi="en_US"/>
        </w:rPr>
      </w:r>
    </w:p>
    <w:p>
      <w:pPr/>
      <w:r>
        <w:rPr>
          <w:lang w:val="en_US" w:bidi="en_US"/>
        </w:rPr>
      </w:r>
    </w:p>
    <w:p>
      <w:pPr>
        <w:pStyle w:val="Heading2"/>
      </w:pPr>
      <w:r>
        <w:rPr>
          <w:lang w:val="en_US" w:bidi="en_US"/>
        </w:rPr>
        <w:t>Luke 19:42</w:t>
      </w:r>
      <w:r>
        <w:rPr>
          <w:lang w:val="en_US" w:bidi="en_US"/>
        </w:rPr>
      </w:r>
    </w:p>
    <w:p>
      <w:pPr>
        <w:pStyle w:val="Heading4"/>
      </w:pPr>
      <w:r>
        <w:rPr>
          <w:lang w:val="en_US" w:bidi="en_US"/>
        </w:rPr>
        <w:t>Section 19:28–44: Jesus approached Jerusalem</w:t>
      </w:r>
    </w:p>
    <w:p>
      <w:pPr/>
      <w:r>
        <w:rPr>
          <w:lang w:val="en_US" w:bidi="en_US"/>
        </w:rPr>
      </w:r>
      <w:r>
        <w:rPr>
          <w:lang w:val="en_US" w:bidi="en_US"/>
        </w:rP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People of Jerusalem greeted Jesus as king</w:t>
      </w:r>
    </w:p>
    <w:p>
      <w:pPr/>
      <w:r>
        <w:rPr>
          <w:lang w:val="en_US" w:bidi="en_US"/>
        </w:rPr>
      </w:r>
      <w:r>
        <w:rPr>
          <w:lang w:val="en_US" w:bidi="en_US"/>
        </w:rPr>
        <w:t>There are parallel passages for this section in Matthew 21:1–11, Mark 11:1–11, and John 12:12–19.</w:t>
      </w:r>
    </w:p>
    <w:p>
      <w:pPr>
        <w:pStyle w:val="Heading5"/>
      </w:pPr>
      <w:r>
        <w:rPr>
          <w:lang w:val="en_US" w:bidi="en_US"/>
        </w:rPr>
        <w:t>19:42–44</w:t>
      </w:r>
    </w:p>
    <w:p>
      <w:pPr/>
      <w:r>
        <w:rPr>
          <w:lang w:val="en_US" w:bidi="en_US"/>
        </w:rPr>
      </w:r>
      <w:r>
        <w:rPr>
          <w:lang w:val="en_US" w:bidi="en_US"/>
        </w:rPr>
        <w:t xml:space="preserve">In these verses Jesus spoke to the city of Jerusalem, using singular forms of “you.” This is a figure of speech. The city represents the people in the city. In some languages it may be necessary to indicate that Jesus spoke to the </w:t>
      </w:r>
      <w:r>
        <w:rPr>
          <w:u w:val="single"/>
          <w:lang w:val="en_US" w:bidi="en_US"/>
        </w:rPr>
        <w:t>people</w:t>
      </w:r>
      <w:r>
        <w:rPr>
          <w:lang w:val="en_US" w:bidi="en_US"/>
        </w:rPr>
        <w:t>. For example:</w:t>
      </w:r>
    </w:p>
    <w:p>
      <w:pPr/>
      <w:r>
        <w:rPr>
          <w:lang w:val="en_US" w:bidi="en_US"/>
        </w:rPr>
      </w:r>
      <w:r>
        <w:rPr>
          <w:lang w:val="en_US" w:bidi="en_US"/>
        </w:rPr>
        <w:t>People of Jerusalem</w:t>
      </w:r>
      <w:r>
        <w:rPr>
          <w:lang w:val="en_US" w:bidi="en_US"/>
        </w:rPr>
        <w:t xml:space="preserve"> , if you</w:t>
      </w:r>
      <w:r>
        <w:rPr>
          <w:vertAlign w:val="superscript"/>
          <w:lang w:val="en_US" w:bidi="en_US"/>
        </w:rPr>
        <w:t>(plur)</w:t>
      </w:r>
      <w:r>
        <w:rPr>
          <w:lang w:val="en_US" w:bidi="en_US"/>
        </w:rPr>
        <w:t xml:space="preserve"> also had only known…</w:t>
      </w:r>
    </w:p>
    <w:p>
      <w:pPr/>
      <w:r>
        <w:rPr>
          <w:lang w:val="en_US" w:bidi="en_US"/>
        </w:rPr>
      </w:r>
      <w:r>
        <w:rPr>
          <w:lang w:val="en_US" w:bidi="en_US"/>
        </w:rPr>
        <w:t>In other languages the figure may be natural except in certain statements. There you will need to indicate that Jesus spoke of the people. For example:</w:t>
      </w:r>
    </w:p>
    <w:p>
      <w:pPr/>
      <w:r>
        <w:rPr>
          <w:lang w:val="en_US" w:bidi="en_US"/>
        </w:rPr>
      </w:r>
      <w:r>
        <w:rPr>
          <w:lang w:val="en_US" w:bidi="en_US"/>
        </w:rPr>
        <w:t>O Jerusalem,</w:t>
      </w:r>
      <w:r>
        <w:rPr>
          <w:lang w:val="en_US" w:bidi="en_US"/>
        </w:rPr>
        <w:t xml:space="preserve"> if only your </w:t>
      </w:r>
      <w:r>
        <w:rPr>
          <w:lang w:val="en_US" w:bidi="en_US"/>
        </w:rPr>
        <w:t>people</w:t>
      </w:r>
      <w:r>
        <w:rPr>
          <w:lang w:val="en_US" w:bidi="en_US"/>
        </w:rPr>
        <w:t xml:space="preserve"> had known</w:t>
      </w:r>
    </w:p>
    <w:p>
      <w:pPr/>
      <w:r>
        <w:rPr>
          <w:lang w:val="en_US" w:bidi="en_US"/>
        </w:rPr>
      </w:r>
      <w:r>
        <w:rPr>
          <w:lang w:val="en_US" w:bidi="en_US"/>
        </w:rPr>
        <w:t xml:space="preserve">In some languages it is not natural to speak to people who are not present. In those languages, you may use forms that are natural for talking </w:t>
      </w:r>
      <w:r>
        <w:rPr>
          <w:u w:val="single"/>
          <w:lang w:val="en_US" w:bidi="en_US"/>
        </w:rPr>
        <w:t>about</w:t>
      </w:r>
      <w:r>
        <w:rPr>
          <w:lang w:val="en_US" w:bidi="en_US"/>
        </w:rPr>
        <w:t xml:space="preserve"> a city or its people. For example:</w:t>
      </w:r>
    </w:p>
    <w:p>
      <w:pPr/>
      <w:r>
        <w:rPr>
          <w:lang w:val="en_US" w:bidi="en_US"/>
        </w:rPr>
      </w:r>
      <w:r>
        <w:rPr>
          <w:lang w:val="en_US" w:bidi="en_US"/>
        </w:rPr>
        <w:t>If only Jerusalem too had known the things that would have brought her/it peace…</w:t>
      </w:r>
    </w:p>
    <w:p>
      <w:pPr/>
      <w:r>
        <w:rPr>
          <w:lang w:val="en_US" w:bidi="en_US"/>
        </w:rPr>
      </w:r>
      <w:r>
        <w:rPr>
          <w:lang w:val="en_US" w:bidi="en_US"/>
        </w:rPr>
        <w:t xml:space="preserve">If only </w:t>
      </w:r>
      <w:r>
        <w:rPr>
          <w:lang w:val="en_US" w:bidi="en_US"/>
        </w:rPr>
        <w:t>the people of</w:t>
      </w:r>
      <w:r>
        <w:rPr>
          <w:lang w:val="en_US" w:bidi="en_US"/>
        </w:rPr>
        <w:t xml:space="preserve"> Jerusalem had known what would bring them peace…</w:t>
      </w:r>
    </w:p>
    <w:p>
      <w:pPr/>
      <w:r>
        <w:rPr>
          <w:lang w:val="en_US" w:bidi="en_US"/>
        </w:rPr>
      </w:r>
      <w:r>
        <w:rPr>
          <w:lang w:val="en_US" w:bidi="en_US"/>
        </w:rPr>
        <w:t>Translate these verses in a natural way in your language. See the second meaning lines of the Display for examples of Jesus addressing the people directly.</w:t>
      </w:r>
    </w:p>
    <w:p>
      <w:pPr>
        <w:pStyle w:val="Heading5"/>
      </w:pPr>
      <w:r>
        <w:rPr>
          <w:lang w:val="en_US" w:bidi="en_US"/>
        </w:rPr>
        <w:t>19:42a–b</w:t>
      </w:r>
    </w:p>
    <w:p>
      <w:pPr/>
      <w:r>
        <w:rPr>
          <w:lang w:val="en_US" w:bidi="en_US"/>
        </w:rPr>
      </w:r>
      <w:r>
        <w:rPr>
          <w:b/>
          <w:lang w:val="en_US" w:bidi="en_US"/>
        </w:rPr>
        <w:t>If only you had known on this day what would bring you peace:</w:t>
      </w:r>
      <w:r>
        <w:rPr>
          <w:lang w:val="en_US" w:bidi="en_US"/>
        </w:rPr>
        <w:t xml:space="preserve"> In this lament Jesus expressed his longing for something that did not happen. The lament implies that:</w:t>
      </w:r>
    </w:p>
    <w:p>
      <w:pPr>
        <w:pStyle w:val="ListNumber"/>
        <w:numPr>
          <w:ilvl w:val="0"/>
          <w:numId w:val="328"/>
        </w:numPr>
        <w:spacing w:line="240" w:lineRule="auto"/>
        <w:ind w:left="720"/>
      </w:pPr>
      <w:r>
        <w:rPr>
          <w:lang w:val="en_US" w:bidi="en_US"/>
        </w:rPr>
      </w:r>
      <w:r>
        <w:rPr>
          <w:lang w:val="en_US" w:bidi="en_US"/>
        </w:rPr>
        <w:t>the people of Jerusalem did not know what would bring them peace;</w:t>
      </w:r>
    </w:p>
    <w:p>
      <w:pPr>
        <w:pStyle w:val="ListNumber"/>
        <w:spacing w:line="240" w:lineRule="auto"/>
        <w:ind w:left="720"/>
      </w:pPr>
      <w:r>
        <w:rPr>
          <w:lang w:val="en_US" w:bidi="en_US"/>
        </w:rPr>
      </w:r>
      <w:r>
        <w:rPr>
          <w:lang w:val="en_US" w:bidi="en_US"/>
        </w:rPr>
        <w:t>if they had known, they would have recognized Jesus as the Messiah. Then God would have given them peace, and the city would not have been destroyed.</w:t>
      </w:r>
    </w:p>
    <w:p>
      <w:pPr/>
      <w:r>
        <w:rPr>
          <w:lang w:val="en_US" w:bidi="en_US"/>
        </w:rPr>
      </w:r>
      <w:r>
        <w:rPr>
          <w:lang w:val="en_US" w:bidi="en_US"/>
        </w:rPr>
        <w:t>In most languages, this information can be left implied. However, in some languages it may be necessary to make some of it explicit. If that is true in your language, express it in a general way. For example:</w:t>
      </w:r>
    </w:p>
    <w:p>
      <w:pPr/>
      <w:r>
        <w:rPr>
          <w:lang w:val="en_US" w:bidi="en_US"/>
        </w:rPr>
      </w:r>
      <w:r>
        <w:rPr>
          <w:lang w:val="en_US" w:bidi="en_US"/>
        </w:rPr>
        <w:t>then God would have given peace to you/it</w:t>
      </w:r>
    </w:p>
    <w:p>
      <w:pPr>
        <w:pStyle w:val="Heading5"/>
      </w:pPr>
      <w:r>
        <w:rPr>
          <w:lang w:val="en_US" w:bidi="en_US"/>
        </w:rPr>
        <w:t>19:42a</w:t>
      </w:r>
    </w:p>
    <w:p>
      <w:pPr/>
      <w:r>
        <w:rPr>
          <w:lang w:val="en_US" w:bidi="en_US"/>
        </w:rPr>
      </w:r>
      <w:r>
        <w:rPr>
          <w:b/>
          <w:lang w:val="en_US" w:bidi="en_US"/>
        </w:rPr>
        <w:t>and said, “If only you had known on this day</w:t>
      </w:r>
    </w:p>
    <w:p>
      <w:pPr>
        <w:pStyle w:val="ListBullet"/>
        <w:spacing w:line="240" w:lineRule="auto"/>
        <w:ind w:left="720"/>
      </w:pPr>
      <w:r>
        <w:rPr>
          <w:lang w:val="en_US" w:bidi="en_US"/>
        </w:rPr>
      </w:r>
      <w:r>
        <w:rPr>
          <w:lang w:val="en_US" w:bidi="en_US"/>
        </w:rPr>
        <w:t>And he said, “Ah, if you</w:t>
      </w:r>
      <w:r>
        <w:rPr>
          <w:vertAlign w:val="superscript"/>
          <w:lang w:val="en_US" w:bidi="en_US"/>
        </w:rPr>
        <w:t>(sing)</w:t>
      </w:r>
      <w:r>
        <w:rPr>
          <w:lang w:val="en_US" w:bidi="en_US"/>
        </w:rPr>
        <w:t xml:space="preserve"> also had only realized today</w:t>
      </w:r>
    </w:p>
    <w:p>
      <w:pPr>
        <w:pStyle w:val="ListBullet"/>
        <w:spacing w:line="240" w:lineRule="auto"/>
        <w:ind w:left="720"/>
      </w:pPr>
      <w:r>
        <w:rPr>
          <w:lang w:val="en_US" w:bidi="en_US"/>
        </w:rPr>
      </w:r>
      <w:r>
        <w:rPr>
          <w:lang w:val="en_US" w:bidi="en_US"/>
        </w:rPr>
        <w:t>He said, “Alas! It is terrible/tragic that on this day you</w:t>
      </w:r>
      <w:r>
        <w:rPr>
          <w:vertAlign w:val="superscript"/>
          <w:lang w:val="en_US" w:bidi="en_US"/>
        </w:rPr>
        <w:t>(plur)</w:t>
      </w:r>
      <w:r>
        <w:rPr>
          <w:lang w:val="en_US" w:bidi="en_US"/>
        </w:rPr>
        <w:t xml:space="preserve"> did not know/recognize</w:t>
      </w:r>
    </w:p>
    <w:p>
      <w:pPr/>
      <w:r>
        <w:rPr>
          <w:lang w:val="en_US" w:bidi="en_US"/>
        </w:rPr>
      </w:r>
      <w:r>
        <w:rPr>
          <w:b/>
          <w:lang w:val="en_US" w:bidi="en_US"/>
        </w:rPr>
        <w:t>If only you had known:</w:t>
      </w:r>
      <w:r>
        <w:rPr>
          <w:lang w:val="en_US" w:bidi="en_US"/>
        </w:rPr>
        <w:t xml:space="preserve"> The Greek phrase that the BSB translates as </w:t>
      </w:r>
      <w:r>
        <w:rPr>
          <w:i/>
          <w:lang w:val="en_US" w:bidi="en_US"/>
        </w:rPr>
        <w:t>If only you had known</w:t>
      </w:r>
      <w:r>
        <w:rPr>
          <w:lang w:val="en_US" w:bidi="en_US"/>
        </w:rPr>
        <w:t xml:space="preserve"> is an exclamation of sorrow and regret. It implies “</w:t>
      </w:r>
      <w:r>
        <w:rPr>
          <w:lang w:val="en_US" w:bidi="en_US"/>
        </w:rPr>
        <w:t>I wish that</w:t>
      </w:r>
      <w:r>
        <w:rPr>
          <w:lang w:val="en_US" w:bidi="en_US"/>
        </w:rPr>
        <w:t xml:space="preserve"> you had known” or “</w:t>
      </w:r>
      <w:r>
        <w:rPr>
          <w:lang w:val="en_US" w:bidi="en_US"/>
        </w:rPr>
        <w:t>it would have been so good</w:t>
      </w:r>
      <w:r>
        <w:rPr>
          <w:lang w:val="en_US" w:bidi="en_US"/>
        </w:rPr>
        <w:t xml:space="preserve"> if you had known, </w:t>
      </w:r>
      <w:r>
        <w:rPr>
          <w:lang w:val="en_US" w:bidi="en_US"/>
        </w:rPr>
        <w:t>but you did not</w:t>
      </w:r>
      <w:r>
        <w:rPr>
          <w:lang w:val="en_US" w:bidi="en_US"/>
        </w:rPr>
        <w:t>.”</w:t>
      </w:r>
    </w:p>
    <w:p>
      <w:pPr/>
      <w:r>
        <w:rPr>
          <w:lang w:val="en_US" w:bidi="en_US"/>
        </w:rPr>
      </w:r>
      <w:r>
        <w:rPr>
          <w:lang w:val="en_US" w:bidi="en_US"/>
        </w:rPr>
        <w:t>Jesus knew the terrible things that would happen to the people because they refused to know the truth. The result would be tragedy, destruction, and death. Jesus used this lament to express his sorrow over that. Some other ways to translate it are:</w:t>
      </w:r>
    </w:p>
    <w:p>
      <w:pPr/>
      <w:r>
        <w:rPr>
          <w:lang w:val="en_US" w:bidi="en_US"/>
        </w:rPr>
      </w:r>
      <w:r>
        <w:rPr>
          <w:lang w:val="en_US" w:bidi="en_US"/>
        </w:rPr>
        <w:t>It is so terrible/tragic that you did not know</w:t>
      </w:r>
    </w:p>
    <w:p>
      <w:pPr/>
      <w:r>
        <w:rPr>
          <w:lang w:val="en_US" w:bidi="en_US"/>
        </w:rPr>
      </w:r>
      <w:r>
        <w:rPr>
          <w:lang w:val="en_US" w:bidi="en_US"/>
        </w:rPr>
        <w:t>How I wish that you had known</w:t>
      </w:r>
    </w:p>
    <w:p>
      <w:pPr/>
      <w:r>
        <w:rPr>
          <w:lang w:val="en_US" w:bidi="en_US"/>
        </w:rPr>
      </w:r>
      <w:r>
        <w:rPr>
          <w:lang w:val="en_US" w:bidi="en_US"/>
        </w:rPr>
        <w:t>If you only knew (GNT)</w:t>
      </w:r>
    </w:p>
    <w:p>
      <w:pPr/>
      <w:r>
        <w:rPr>
          <w:lang w:val="en_US" w:bidi="en_US"/>
        </w:rPr>
      </w:r>
      <w:r>
        <w:rPr>
          <w:lang w:val="en_US" w:bidi="en_US"/>
        </w:rPr>
        <w:t>It is such a grief that you did not know</w:t>
      </w:r>
    </w:p>
    <w:p>
      <w:pPr/>
      <w:r>
        <w:rPr>
          <w:lang w:val="en_US" w:bidi="en_US"/>
        </w:rPr>
      </w:r>
      <w:r>
        <w:rPr>
          <w:lang w:val="en_US" w:bidi="en_US"/>
        </w:rPr>
        <w:t>Consider how to express Jesus’ lament in a natural way in your language.</w:t>
      </w:r>
    </w:p>
    <w:p>
      <w:pPr/>
      <w:r>
        <w:rPr>
          <w:lang w:val="en_US" w:bidi="en_US"/>
        </w:rPr>
      </w:r>
      <w:r>
        <w:rPr>
          <w:b/>
          <w:lang w:val="en_US" w:bidi="en_US"/>
        </w:rPr>
        <w:t>you had known:</w:t>
      </w:r>
      <w:r>
        <w:rPr>
          <w:lang w:val="en_US" w:bidi="en_US"/>
        </w:rPr>
        <w:t xml:space="preserve"> The Greek phrase that the BSB translates as </w:t>
      </w:r>
      <w:r>
        <w:rPr>
          <w:i/>
          <w:lang w:val="en_US" w:bidi="en_US"/>
        </w:rPr>
        <w:t>you had known</w:t>
      </w:r>
      <w:r>
        <w:rPr>
          <w:lang w:val="en_US" w:bidi="en_US"/>
        </w:rPr>
        <w:t xml:space="preserve"> is literally “you, even you, had known.” Scholars differ about the function of the word “even” here. However, it is probably best understood as “you also</w:t>
      </w:r>
      <w:r>
        <w:rPr>
          <w:lang w:val="en_US" w:bidi="en_US"/>
        </w:rPr>
        <w:t xml:space="preserve">A number of English versions translate this as “even you,” but it is unclear what the sense of that would be. Nor do commentaries that favor this translation make much comment as to its meaning in context. Normally, “even you” would suggest a counter-expectation: “even you who would not normally be expected to understand the things that would bring you peace.” Rather it seems that Jerusalem, more than others, should have recognized the coming of her Messiah. One possibility is for “even you” to indicate Jesus’ wish for Jerusalem to find peace in spite of her record: “even you who have always been hard-hearted, slow to believe, opposing my work, I wish even you had known the way of peace.” Another possibility is to understand </w:t>
      </w:r>
      <w:r>
        <w:rPr>
          <w:i/>
          <w:lang w:val="en_US" w:bidi="en_US"/>
        </w:rPr>
        <w:t>και συ</w:t>
      </w:r>
      <w:r>
        <w:rPr>
          <w:lang w:val="en_US" w:bidi="en_US"/>
        </w:rPr>
        <w:t xml:space="preserve"> as merely emphatic: something like “you, yes, you” or “you yourself.” But grammarians are not in agreement as to whether </w:t>
      </w:r>
      <w:r>
        <w:rPr>
          <w:i/>
          <w:lang w:val="en_US" w:bidi="en_US"/>
        </w:rPr>
        <w:t>και</w:t>
      </w:r>
      <w:r>
        <w:rPr>
          <w:lang w:val="en_US" w:bidi="en_US"/>
        </w:rPr>
        <w:t xml:space="preserve"> can serve as an emphatic conjunction. Dana and Mantey state that “the emphatic use of </w:t>
      </w:r>
      <w:r>
        <w:rPr>
          <w:i/>
          <w:lang w:val="en_US" w:bidi="en_US"/>
        </w:rPr>
        <w:t>και</w:t>
      </w:r>
      <w:r>
        <w:rPr>
          <w:lang w:val="en_US" w:bidi="en_US"/>
        </w:rPr>
        <w:t xml:space="preserve"> is unquestionable and frequent” (p. 250). But Wallace does not include </w:t>
      </w:r>
      <w:r>
        <w:rPr>
          <w:i/>
          <w:lang w:val="en_US" w:bidi="en_US"/>
        </w:rPr>
        <w:t>και</w:t>
      </w:r>
      <w:r>
        <w:rPr>
          <w:lang w:val="en_US" w:bidi="en_US"/>
        </w:rPr>
        <w:t xml:space="preserve"> under his list of emphatic conjunctions (p. 673). A few English versions (RSV, NLT96, JBP) translate the </w:t>
      </w:r>
      <w:r>
        <w:rPr>
          <w:i/>
          <w:lang w:val="en_US" w:bidi="en_US"/>
        </w:rPr>
        <w:t>και</w:t>
      </w:r>
      <w:r>
        <w:rPr>
          <w:lang w:val="en_US" w:bidi="en_US"/>
        </w:rPr>
        <w:t xml:space="preserve"> as modifying “in this day.” However, there is very little commentary support for this view. The </w:t>
      </w:r>
      <w:r>
        <w:rPr>
          <w:i/>
          <w:lang w:val="en_US" w:bidi="en_US"/>
        </w:rPr>
        <w:t>Exegetical Summary on Luke</w:t>
      </w:r>
      <w:r>
        <w:rPr>
          <w:lang w:val="en_US" w:bidi="en_US"/>
        </w:rPr>
        <w:t xml:space="preserve"> does not mention it as an option.</w:t>
      </w:r>
      <w:r>
        <w:rPr>
          <w:lang w:val="en_US" w:bidi="en_US"/>
        </w:rPr>
        <w:t xml:space="preserve"> (in addition to my disciples).” The disciples recognized Jesus as the Messiah, but most people in Jerusalem did not. Here is another way to translate this:</w:t>
      </w:r>
    </w:p>
    <w:p>
      <w:pPr/>
      <w:r>
        <w:rPr>
          <w:lang w:val="en_US" w:bidi="en_US"/>
        </w:rPr>
      </w:r>
      <w:r>
        <w:rPr>
          <w:lang w:val="en_US" w:bidi="en_US"/>
        </w:rPr>
        <w:t xml:space="preserve">If </w:t>
      </w:r>
      <w:r>
        <w:rPr>
          <w:u w:val="single"/>
          <w:lang w:val="en_US" w:bidi="en_US"/>
        </w:rPr>
        <w:t>you too</w:t>
      </w:r>
      <w:r>
        <w:rPr>
          <w:lang w:val="en_US" w:bidi="en_US"/>
        </w:rPr>
        <w:t xml:space="preserve"> had only recognized on this day the way to peace! (NJB)</w:t>
      </w:r>
    </w:p>
    <w:p>
      <w:pPr/>
      <w:r>
        <w:rPr>
          <w:lang w:val="en_US" w:bidi="en_US"/>
        </w:rPr>
      </w:r>
      <w:r>
        <w:rPr>
          <w:lang w:val="en_US" w:bidi="en_US"/>
        </w:rPr>
        <w:t>Several English versions, including the BSB, do not translate this word. This is a good option in languages where it may imply a wrong or ambiguous meaning.</w:t>
      </w:r>
    </w:p>
    <w:p>
      <w:pPr/>
      <w:r>
        <w:rPr>
          <w:lang w:val="en_US" w:bidi="en_US"/>
        </w:rPr>
      </w:r>
      <w:r>
        <w:rPr>
          <w:b/>
          <w:lang w:val="en_US" w:bidi="en_US"/>
        </w:rPr>
        <w:t>on this day:</w:t>
      </w:r>
      <w:r>
        <w:rPr>
          <w:lang w:val="en_US" w:bidi="en_US"/>
        </w:rPr>
        <w:t xml:space="preserve"> The phrase </w:t>
      </w:r>
      <w:r>
        <w:rPr>
          <w:i/>
          <w:lang w:val="en_US" w:bidi="en_US"/>
        </w:rPr>
        <w:t>on this day</w:t>
      </w:r>
      <w:r>
        <w:rPr>
          <w:lang w:val="en_US" w:bidi="en_US"/>
        </w:rPr>
        <w:t xml:space="preserve"> refers to that day when Jesus came to Jerusalem as their king and Messiah. He came to them, but they did not accept him. It happened as Jesus predicted in the parable in the preceding section.</w:t>
      </w:r>
    </w:p>
    <w:p>
      <w:pPr>
        <w:pStyle w:val="Heading5"/>
      </w:pPr>
      <w:r>
        <w:rPr>
          <w:lang w:val="en_US" w:bidi="en_US"/>
        </w:rPr>
        <w:t>19:42b</w:t>
      </w:r>
    </w:p>
    <w:p>
      <w:pPr/>
      <w:r>
        <w:rPr>
          <w:lang w:val="en_US" w:bidi="en_US"/>
        </w:rPr>
      </w:r>
      <w:r>
        <w:rPr>
          <w:b/>
          <w:lang w:val="en_US" w:bidi="en_US"/>
        </w:rPr>
        <w:t>what would bring you peace!</w:t>
      </w:r>
    </w:p>
    <w:p>
      <w:pPr>
        <w:pStyle w:val="ListBullet"/>
        <w:spacing w:line="240" w:lineRule="auto"/>
        <w:ind w:left="720"/>
      </w:pPr>
      <w:r>
        <w:rPr>
          <w:lang w:val="en_US" w:bidi="en_US"/>
        </w:rPr>
      </w:r>
      <w:r>
        <w:rPr>
          <w:lang w:val="en_US" w:bidi="en_US"/>
        </w:rPr>
        <w:t>what would cause you</w:t>
      </w:r>
      <w:r>
        <w:rPr>
          <w:vertAlign w:val="superscript"/>
          <w:lang w:val="en_US" w:bidi="en_US"/>
        </w:rPr>
        <w:t>(sing)</w:t>
      </w:r>
      <w:r>
        <w:rPr>
          <w:lang w:val="en_US" w:bidi="en_US"/>
        </w:rPr>
        <w:t xml:space="preserve"> to have peace!</w:t>
      </w:r>
    </w:p>
    <w:p>
      <w:pPr>
        <w:pStyle w:val="ListBullet"/>
        <w:spacing w:line="240" w:lineRule="auto"/>
        <w:ind w:left="720"/>
      </w:pPr>
      <w:r>
        <w:rPr>
          <w:lang w:val="en_US" w:bidi="en_US"/>
        </w:rPr>
      </w:r>
      <w:r>
        <w:rPr>
          <w:lang w:val="en_US" w:bidi="en_US"/>
        </w:rPr>
        <w:t>what you</w:t>
      </w:r>
      <w:r>
        <w:rPr>
          <w:vertAlign w:val="superscript"/>
          <w:lang w:val="en_US" w:bidi="en_US"/>
        </w:rPr>
        <w:t>(plur)</w:t>
      </w:r>
      <w:r>
        <w:rPr>
          <w:lang w:val="en_US" w:bidi="en_US"/>
        </w:rPr>
        <w:t xml:space="preserve"> should do to have peace!</w:t>
      </w:r>
    </w:p>
    <w:p>
      <w:pPr/>
      <w:r>
        <w:rPr>
          <w:lang w:val="en_US" w:bidi="en_US"/>
        </w:rPr>
      </w:r>
      <w:r>
        <w:rPr>
          <w:b/>
          <w:lang w:val="en_US" w:bidi="en_US"/>
        </w:rPr>
        <w:t>what would bring you peace:</w:t>
      </w:r>
      <w:r>
        <w:rPr>
          <w:lang w:val="en_US" w:bidi="en_US"/>
        </w:rPr>
        <w:t xml:space="preserve"> The Greek phrase that the BSB translates as </w:t>
      </w:r>
      <w:r>
        <w:rPr>
          <w:i/>
          <w:lang w:val="en_US" w:bidi="en_US"/>
        </w:rPr>
        <w:t>what would bring you peace</w:t>
      </w:r>
      <w:r>
        <w:rPr>
          <w:lang w:val="en_US" w:bidi="en_US"/>
        </w:rPr>
        <w:t xml:space="preserve"> is literally: “the for/toward peace things.” It is translated in various ways in English versions:</w:t>
      </w:r>
    </w:p>
    <w:p>
      <w:pPr/>
      <w:r>
        <w:rPr>
          <w:lang w:val="en_US" w:bidi="en_US"/>
        </w:rPr>
      </w:r>
      <w:r>
        <w:rPr>
          <w:lang w:val="en_US" w:bidi="en_US"/>
        </w:rPr>
        <w:t xml:space="preserve">the things that </w:t>
      </w:r>
      <w:r>
        <w:rPr>
          <w:u w:val="single"/>
          <w:lang w:val="en_US" w:bidi="en_US"/>
        </w:rPr>
        <w:t>make</w:t>
      </w:r>
      <w:r>
        <w:rPr>
          <w:lang w:val="en_US" w:bidi="en_US"/>
        </w:rPr>
        <w:t xml:space="preserve"> for peace (RSV)</w:t>
      </w:r>
    </w:p>
    <w:p>
      <w:pPr/>
      <w:r>
        <w:rPr>
          <w:lang w:val="en_US" w:bidi="en_US"/>
        </w:rPr>
      </w:r>
      <w:r>
        <w:rPr>
          <w:lang w:val="en_US" w:bidi="en_US"/>
        </w:rPr>
        <w:t xml:space="preserve">what would </w:t>
      </w:r>
      <w:r>
        <w:rPr>
          <w:u w:val="single"/>
          <w:lang w:val="en_US" w:bidi="en_US"/>
        </w:rPr>
        <w:t>bring</w:t>
      </w:r>
      <w:r>
        <w:rPr>
          <w:lang w:val="en_US" w:bidi="en_US"/>
        </w:rPr>
        <w:t xml:space="preserve"> you peace (NIV)</w:t>
      </w:r>
    </w:p>
    <w:p>
      <w:pPr/>
      <w:r>
        <w:rPr>
          <w:lang w:val="en_US" w:bidi="en_US"/>
        </w:rPr>
      </w:r>
      <w:r>
        <w:rPr>
          <w:lang w:val="en_US" w:bidi="en_US"/>
        </w:rPr>
        <w:t xml:space="preserve">what is </w:t>
      </w:r>
      <w:r>
        <w:rPr>
          <w:u w:val="single"/>
          <w:lang w:val="en_US" w:bidi="en_US"/>
        </w:rPr>
        <w:t>needed</w:t>
      </w:r>
      <w:r>
        <w:rPr>
          <w:lang w:val="en_US" w:bidi="en_US"/>
        </w:rPr>
        <w:t xml:space="preserve"> for peace (GNT)</w:t>
      </w:r>
    </w:p>
    <w:p>
      <w:pPr/>
      <w:r>
        <w:rPr>
          <w:lang w:val="en_US" w:bidi="en_US"/>
        </w:rPr>
      </w:r>
      <w:r>
        <w:rPr>
          <w:lang w:val="en_US" w:bidi="en_US"/>
        </w:rPr>
        <w:t xml:space="preserve">the way that </w:t>
      </w:r>
      <w:r>
        <w:rPr>
          <w:u w:val="single"/>
          <w:lang w:val="en_US" w:bidi="en_US"/>
        </w:rPr>
        <w:t>leads</w:t>
      </w:r>
      <w:r>
        <w:rPr>
          <w:lang w:val="en_US" w:bidi="en_US"/>
        </w:rPr>
        <w:t xml:space="preserve"> to peace (REB)</w:t>
      </w:r>
    </w:p>
    <w:p>
      <w:pPr/>
      <w:r>
        <w:rPr>
          <w:lang w:val="en_US" w:bidi="en_US"/>
        </w:rPr>
      </w:r>
      <w:r>
        <w:rPr>
          <w:lang w:val="en_US" w:bidi="en_US"/>
        </w:rPr>
        <w:t>In all these examples, the idea is that the people of Jerusalem did not recognize what would cause them to have peace. Express this in a way that is natural in your language.</w:t>
      </w:r>
    </w:p>
    <w:p>
      <w:pPr/>
      <w:r>
        <w:rPr>
          <w:lang w:val="en_US" w:bidi="en_US"/>
        </w:rPr>
      </w:r>
      <w:r>
        <w:rPr>
          <w:b/>
          <w:lang w:val="en_US" w:bidi="en_US"/>
        </w:rPr>
        <w:t>peace:</w:t>
      </w:r>
      <w:r>
        <w:rPr>
          <w:lang w:val="en_US" w:bidi="en_US"/>
        </w:rPr>
        <w:t xml:space="preserve"> See the note on </w:t>
      </w:r>
      <w:r>
        <w:rPr>
          <w:i/>
          <w:lang w:val="en_US" w:bidi="en_US"/>
        </w:rPr>
        <w:t>peace</w:t>
      </w:r>
      <w:r>
        <w:rPr>
          <w:lang w:val="en_US" w:bidi="en_US"/>
        </w:rPr>
        <w:t xml:space="preserve"> at 19:38b. Here Jesus probably referred to two aspects of peace: harmony with God and absence of war/conflict.</w:t>
      </w:r>
      <w:r>
        <w:rPr>
          <w:lang w:val="en_US" w:bidi="en_US"/>
        </w:rPr>
        <w:t xml:space="preserve">Fitzmyer (p. 1256) says, “If ‘peace’ in verse 38 carries the full connotation of OT </w:t>
      </w:r>
      <w:r>
        <w:rPr>
          <w:i/>
          <w:lang w:val="en_US" w:bidi="en_US"/>
        </w:rPr>
        <w:t>shalom</w:t>
      </w:r>
      <w:r>
        <w:rPr>
          <w:lang w:val="en_US" w:bidi="en_US"/>
        </w:rPr>
        <w:t>, it is used in this passage not only with the same connotation, but also more specifically with the nuance of absence of war or hostilities, as the allusions in verses 43–44 make clear.”</w:t>
      </w:r>
      <w:r>
        <w:rPr>
          <w:lang w:val="en_US" w:bidi="en_US"/>
        </w:rPr>
        <w:t xml:space="preserve"> In 19:43–44 Jesus implied that if the people had recognized him as the Messiah, God would have given them peace. They would have been in harmony with God, and they would have had freedom from war as well. They would not have been judged and punished by having their city destroyed.</w:t>
      </w:r>
    </w:p>
    <w:p>
      <w:pPr/>
      <w:r>
        <w:rPr>
          <w:lang w:val="en_US" w:bidi="en_US"/>
        </w:rPr>
      </w:r>
      <w:r>
        <w:rPr>
          <w:lang w:val="en_US" w:bidi="en_US"/>
        </w:rPr>
        <w:t xml:space="preserve">Some ways to translate </w:t>
      </w:r>
      <w:r>
        <w:rPr>
          <w:i/>
          <w:lang w:val="en_US" w:bidi="en_US"/>
        </w:rPr>
        <w:t>peace</w:t>
      </w:r>
      <w:r>
        <w:rPr>
          <w:lang w:val="en_US" w:bidi="en_US"/>
        </w:rPr>
        <w:t xml:space="preserve"> in this context are:</w:t>
      </w:r>
    </w:p>
    <w:p>
      <w:pPr>
        <w:pStyle w:val="ListBullet"/>
        <w:spacing w:line="240" w:lineRule="auto"/>
        <w:ind w:left="720"/>
      </w:pPr>
      <w:r>
        <w:rPr>
          <w:lang w:val="en_US" w:bidi="en_US"/>
        </w:rPr>
      </w:r>
      <w:r>
        <w:rPr>
          <w:lang w:val="en_US" w:bidi="en_US"/>
        </w:rPr>
        <w:t>Choose a term that can imply different types of peace.</w:t>
      </w:r>
    </w:p>
    <w:p>
      <w:pPr>
        <w:pStyle w:val="ListBullet"/>
        <w:spacing w:line="240" w:lineRule="auto"/>
        <w:ind w:left="720"/>
      </w:pPr>
      <w:r>
        <w:rPr>
          <w:lang w:val="en_US" w:bidi="en_US"/>
        </w:rPr>
      </w:r>
      <w:r>
        <w:rPr>
          <w:lang w:val="en_US" w:bidi="en_US"/>
        </w:rPr>
        <w:t xml:space="preserve">Indicate that two aspects of </w:t>
      </w:r>
      <w:r>
        <w:rPr>
          <w:i/>
          <w:lang w:val="en_US" w:bidi="en_US"/>
        </w:rPr>
        <w:t>peace</w:t>
      </w:r>
      <w:r>
        <w:rPr>
          <w:lang w:val="en_US" w:bidi="en_US"/>
        </w:rPr>
        <w:t xml:space="preserve"> are in focus here. For example:</w:t>
      </w:r>
      <w:r>
        <w:rPr>
          <w:lang w:val="en_US" w:bidi="en_US"/>
        </w:rPr>
        <w:t xml:space="preserve">harmony </w:t>
      </w:r>
      <w:r>
        <w:rPr>
          <w:lang w:val="en_US" w:bidi="en_US"/>
        </w:rPr>
        <w:t>with God and people</w:t>
      </w:r>
    </w:p>
    <w:p>
      <w:pPr>
        <w:pStyle w:val="ListBullet"/>
        <w:spacing w:line="240" w:lineRule="auto"/>
        <w:ind w:left="720"/>
      </w:pPr>
      <w:r>
        <w:rPr>
          <w:lang w:val="en_US" w:bidi="en_US"/>
        </w:rPr>
      </w:r>
      <w:r>
        <w:rPr>
          <w:lang w:val="en_US" w:bidi="en_US"/>
        </w:rPr>
        <w:t>Use a term that refers mainly to freedom from conflict, war, or hostility.</w:t>
      </w:r>
      <w:r>
        <w:rPr>
          <w:lang w:val="en_US" w:bidi="en_US"/>
        </w:rPr>
        <w:t>We make this recommendation because: (a) In the context, failure to recognize “the things that bring peace” leads directly to military conquest. (b) This whole passage strongly alludes to Zechariah 9:9–10, which talks about the coming Messiah riding on a donkey and follows with saying that the Messiah will remove chariots and war-horses from Jerusalem. (c) There is a possible allusion to passages such as Jeremiah 6 that describe the siege of Jerusalem: “Cut down the trees and raise a siege ramp against Jerusalem” (6:6); “They dress the wound of My people with very little care, saying, ‘Peace, peace,’ when there is no peace at all” (6:14). See also passages such as Isaiah 48:18, 48:22; 57:19, 57:21; Jeremiah 8:11, and Ezekiel 13:10–11. (d) It can be seen how peace in its spiritual sense (peace with God) derives from the meaning “absence of conflict” between God and man. It may not be as clear how a translation of “well-being” connects with either peace as absence of conflict or peace in the spiritual sense. A number of commentators (Marshall, Green, Kittel and Friedrich, Bock, Arndt) have suggested that peace should be viewed essentially as salvation in this passage, i.e., peace with God. We do not disagree and feel that this is included in the meaning. Pastors and teachers can build on a translation of “peace” (absence of conflict) and draw out the spiritual aspects. But a translation of “peace” as “salvation” or “peace with God” has the danger of excluding other aspects of the meaning of the word.</w:t>
      </w:r>
      <w:r>
        <w:rPr>
          <w:lang w:val="en_US" w:bidi="en_US"/>
        </w:rPr>
        <w:t xml:space="preserve"> For example:</w:t>
      </w:r>
      <w:r>
        <w:rPr>
          <w:lang w:val="en_US" w:bidi="en_US"/>
        </w:rPr>
        <w:t>save you from hostility/war</w:t>
      </w:r>
      <w:r>
        <w:rPr>
          <w:lang w:val="en_US" w:bidi="en_US"/>
        </w:rPr>
        <w:t xml:space="preserve">free you from conflict </w:t>
      </w:r>
      <w:r>
        <w:rPr>
          <w:lang w:val="en_US" w:bidi="en_US"/>
        </w:rPr>
        <w:t>with God and people</w:t>
      </w:r>
    </w:p>
    <w:p>
      <w:pPr/>
      <w:r>
        <w:rPr>
          <w:lang w:val="en_US" w:bidi="en_US"/>
        </w:rPr>
      </w:r>
      <w:r>
        <w:rPr>
          <w:lang w:val="en_US" w:bidi="en_US"/>
        </w:rPr>
        <w:t xml:space="preserve">See how you translated </w:t>
      </w:r>
      <w:r>
        <w:rPr>
          <w:i/>
          <w:lang w:val="en_US" w:bidi="en_US"/>
        </w:rPr>
        <w:t>peace</w:t>
      </w:r>
      <w:r>
        <w:rPr>
          <w:lang w:val="en_US" w:bidi="en_US"/>
        </w:rPr>
        <w:t xml:space="preserve"> in 12:51 and 19:38. See also peace, Meanings 1 and peace, Meaning 2, in the Glossary. Remember that some languages have idioms to express this meaning.</w:t>
      </w:r>
    </w:p>
    <w:p>
      <w:pPr>
        <w:pStyle w:val="Heading5"/>
      </w:pPr>
      <w:r>
        <w:rPr>
          <w:lang w:val="en_US" w:bidi="en_US"/>
        </w:rPr>
        <w:t>19:42c</w:t>
      </w:r>
    </w:p>
    <w:p>
      <w:pPr/>
      <w:r>
        <w:rPr>
          <w:lang w:val="en_US" w:bidi="en_US"/>
        </w:rPr>
      </w:r>
      <w:r>
        <w:rPr>
          <w:b/>
          <w:lang w:val="en_US" w:bidi="en_US"/>
        </w:rPr>
        <w:t>But now it is hidden from your eyes.</w:t>
      </w:r>
    </w:p>
    <w:p>
      <w:pPr>
        <w:pStyle w:val="ListBullet"/>
        <w:spacing w:line="240" w:lineRule="auto"/>
        <w:ind w:left="720"/>
      </w:pPr>
      <w:r>
        <w:rPr>
          <w:lang w:val="en_US" w:bidi="en_US"/>
        </w:rPr>
      </w:r>
      <w:r>
        <w:rPr>
          <w:lang w:val="en_US" w:bidi="en_US"/>
        </w:rPr>
        <w:t>But as it is, it is hidden from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But now </w:t>
      </w:r>
      <w:r>
        <w:rPr>
          <w:lang w:val="en_US" w:bidi="en_US"/>
        </w:rPr>
        <w:t>it is too late</w:t>
      </w:r>
      <w:r>
        <w:rPr>
          <w:lang w:val="en_US" w:bidi="en_US"/>
        </w:rPr>
        <w:t>. You</w:t>
      </w:r>
      <w:r>
        <w:rPr>
          <w:vertAlign w:val="superscript"/>
          <w:lang w:val="en_US" w:bidi="en_US"/>
        </w:rPr>
        <w:t>(plur)</w:t>
      </w:r>
      <w:r>
        <w:rPr>
          <w:lang w:val="en_US" w:bidi="en_US"/>
        </w:rPr>
        <w:t xml:space="preserve"> are not able to understand </w:t>
      </w:r>
      <w:r>
        <w:rPr>
          <w:lang w:val="en_US" w:bidi="en_US"/>
        </w:rPr>
        <w:t>the way to peace</w:t>
      </w:r>
      <w:r>
        <w:rPr>
          <w:lang w:val="en_US" w:bidi="en_US"/>
        </w:rPr>
        <w:t>.</w:t>
      </w:r>
    </w:p>
    <w:p>
      <w:pPr/>
      <w:r>
        <w:rPr>
          <w:lang w:val="en_US" w:bidi="en_US"/>
        </w:rPr>
      </w:r>
      <w:r>
        <w:rPr>
          <w:b/>
          <w:lang w:val="en_US" w:bidi="en_US"/>
        </w:rPr>
        <w:t>But now:</w:t>
      </w:r>
      <w:r>
        <w:rPr>
          <w:lang w:val="en_US" w:bidi="en_US"/>
        </w:rPr>
        <w:t xml:space="preserve"> The phrase </w:t>
      </w:r>
      <w:r>
        <w:rPr>
          <w:i/>
          <w:lang w:val="en_US" w:bidi="en_US"/>
        </w:rPr>
        <w:t>But now</w:t>
      </w:r>
      <w:r>
        <w:rPr>
          <w:lang w:val="en_US" w:bidi="en_US"/>
        </w:rPr>
        <w:t xml:space="preserve"> introduces a contrast between a previous situation and the present situation. Before that time, the people could have realized what would cause them to have peace. But at the present time (as Jesus was speaking), it was already too late for Jerusalem to realize that and change. Some ways to translate this could be:</w:t>
      </w:r>
    </w:p>
    <w:p>
      <w:pPr/>
      <w:r>
        <w:rPr>
          <w:lang w:val="en_US" w:bidi="en_US"/>
        </w:rPr>
      </w:r>
      <w:r>
        <w:rPr>
          <w:lang w:val="en_US" w:bidi="en_US"/>
        </w:rPr>
        <w:t>But as it is</w:t>
      </w:r>
    </w:p>
    <w:p>
      <w:pPr/>
      <w:r>
        <w:rPr>
          <w:lang w:val="en_US" w:bidi="en_US"/>
        </w:rPr>
      </w:r>
      <w:r>
        <w:rPr>
          <w:lang w:val="en_US" w:bidi="en_US"/>
        </w:rPr>
        <w:t>But as things are now</w:t>
      </w:r>
    </w:p>
    <w:p>
      <w:pPr/>
      <w:r>
        <w:rPr>
          <w:lang w:val="en_US" w:bidi="en_US"/>
        </w:rPr>
      </w:r>
      <w:r>
        <w:rPr>
          <w:lang w:val="en_US" w:bidi="en_US"/>
        </w:rPr>
        <w:t>But alas, as it is</w:t>
      </w:r>
    </w:p>
    <w:p>
      <w:pPr/>
      <w:r>
        <w:rPr>
          <w:lang w:val="en_US" w:bidi="en_US"/>
        </w:rPr>
      </w:r>
      <w:r>
        <w:rPr>
          <w:lang w:val="en_US" w:bidi="en_US"/>
        </w:rPr>
        <w:t xml:space="preserve">But now </w:t>
      </w:r>
      <w:r>
        <w:rPr>
          <w:lang w:val="en_US" w:bidi="en_US"/>
        </w:rPr>
        <w:t>it is too late</w:t>
      </w:r>
    </w:p>
    <w:p>
      <w:pPr/>
      <w:r>
        <w:rPr>
          <w:lang w:val="en_US" w:bidi="en_US"/>
        </w:rPr>
      </w:r>
      <w:r>
        <w:rPr>
          <w:b/>
          <w:lang w:val="en_US" w:bidi="en_US"/>
        </w:rPr>
        <w:t>it is hidden from your eyes:</w:t>
      </w:r>
      <w:r>
        <w:rPr>
          <w:lang w:val="en_US" w:bidi="en_US"/>
        </w:rPr>
        <w:t xml:space="preserve"> The Greek phrase that the BSB translates literally as </w:t>
      </w:r>
      <w:r>
        <w:rPr>
          <w:i/>
          <w:lang w:val="en_US" w:bidi="en_US"/>
        </w:rPr>
        <w:t>it is hidden from your eyes</w:t>
      </w:r>
      <w:r>
        <w:rPr>
          <w:lang w:val="en_US" w:bidi="en_US"/>
        </w:rPr>
        <w:t xml:space="preserve"> is a figure of speech. Jesus was saying that the people of Jerusalem were not able to understand the things that would have brought them peace.</w:t>
      </w:r>
    </w:p>
    <w:p>
      <w:pPr/>
      <w:r>
        <w:rPr>
          <w:lang w:val="en_US" w:bidi="en_US"/>
        </w:rPr>
      </w:r>
      <w:r>
        <w:rPr>
          <w:lang w:val="en_US" w:bidi="en_US"/>
        </w:rPr>
        <w:t>In some languages, this figure of speech is hard to understand or is not natural. Other ways to translate the meaning are:</w:t>
      </w:r>
    </w:p>
    <w:p>
      <w:pPr>
        <w:pStyle w:val="ListBullet"/>
        <w:spacing w:line="240" w:lineRule="auto"/>
        <w:ind w:left="720"/>
      </w:pPr>
      <w:r>
        <w:rPr>
          <w:lang w:val="en_US" w:bidi="en_US"/>
        </w:rPr>
      </w:r>
      <w:r>
        <w:rPr>
          <w:lang w:val="en_US" w:bidi="en_US"/>
        </w:rPr>
        <w:t>Use a different figure of speech in your language that has the same meaning.</w:t>
      </w:r>
    </w:p>
    <w:p>
      <w:pPr>
        <w:pStyle w:val="ListBullet"/>
        <w:spacing w:line="240" w:lineRule="auto"/>
        <w:ind w:left="720"/>
      </w:pPr>
      <w:r>
        <w:rPr>
          <w:lang w:val="en_US" w:bidi="en_US"/>
        </w:rPr>
      </w:r>
      <w:r>
        <w:rPr>
          <w:lang w:val="en_US" w:bidi="en_US"/>
        </w:rPr>
        <w:t xml:space="preserve">Substitute “you” for </w:t>
      </w:r>
      <w:r>
        <w:rPr>
          <w:i/>
          <w:lang w:val="en_US" w:bidi="en_US"/>
        </w:rPr>
        <w:t>your eyes</w:t>
      </w:r>
      <w:r>
        <w:rPr>
          <w:lang w:val="en_US" w:bidi="en_US"/>
        </w:rPr>
        <w:t>:</w:t>
      </w:r>
      <w:r>
        <w:rPr>
          <w:lang w:val="en_US" w:bidi="en_US"/>
        </w:rPr>
        <w:t>they are hidden from you</w:t>
      </w:r>
    </w:p>
    <w:p>
      <w:pPr>
        <w:pStyle w:val="ListBullet"/>
        <w:spacing w:line="240" w:lineRule="auto"/>
        <w:ind w:left="720"/>
      </w:pPr>
      <w:r>
        <w:rPr>
          <w:lang w:val="en_US" w:bidi="en_US"/>
        </w:rPr>
      </w:r>
      <w:r>
        <w:rPr>
          <w:lang w:val="en_US" w:bidi="en_US"/>
        </w:rPr>
        <w:t>Translate the meaning more directly:</w:t>
      </w:r>
      <w:r>
        <w:rPr>
          <w:lang w:val="en_US" w:bidi="en_US"/>
        </w:rPr>
        <w:t>you are not able to understand them</w:t>
      </w:r>
    </w:p>
    <w:p>
      <w:pPr/>
      <w:r>
        <w:rPr>
          <w:lang w:val="en_US" w:bidi="en_US"/>
        </w:rPr>
      </w:r>
      <w:r>
        <w:rPr>
          <w:b/>
          <w:lang w:val="en_US" w:bidi="en_US"/>
        </w:rPr>
        <w:t>it:</w:t>
      </w:r>
      <w:r>
        <w:rPr>
          <w:lang w:val="en_US" w:bidi="en_US"/>
        </w:rPr>
        <w:t xml:space="preserve"> The word </w:t>
      </w:r>
      <w:r>
        <w:rPr>
          <w:i/>
          <w:lang w:val="en_US" w:bidi="en_US"/>
        </w:rPr>
        <w:t>it</w:t>
      </w:r>
      <w:r>
        <w:rPr>
          <w:lang w:val="en_US" w:bidi="en_US"/>
        </w:rPr>
        <w:t xml:space="preserve"> probably refers back to the phrase “the </w:t>
      </w:r>
      <w:r>
        <w:rPr>
          <w:u w:val="single"/>
          <w:lang w:val="en_US" w:bidi="en_US"/>
        </w:rPr>
        <w:t>things</w:t>
      </w:r>
      <w:r>
        <w:rPr>
          <w:lang w:val="en_US" w:bidi="en_US"/>
        </w:rPr>
        <w:t xml:space="preserve"> that would bring you peace” instead of to “peace” itself.</w:t>
      </w:r>
      <w:r>
        <w:rPr>
          <w:lang w:val="en_US" w:bidi="en_US"/>
        </w:rPr>
        <w:t>The Greek grammar is ambiguous, since the third person singular verb could either go with “peace” (</w:t>
      </w:r>
      <w:r>
        <w:rPr>
          <w:i/>
          <w:lang w:val="en_US" w:bidi="en_US"/>
        </w:rPr>
        <w:t>εἰρήνην</w:t>
      </w:r>
      <w:r>
        <w:rPr>
          <w:lang w:val="en_US" w:bidi="en_US"/>
        </w:rPr>
        <w:t>, feminine singular) or “things” (</w:t>
      </w:r>
      <w:r>
        <w:rPr>
          <w:i/>
          <w:lang w:val="en_US" w:bidi="en_US"/>
        </w:rPr>
        <w:t>τὰ</w:t>
      </w:r>
      <w:r>
        <w:rPr>
          <w:lang w:val="en_US" w:bidi="en_US"/>
        </w:rPr>
        <w:t>, neuter plural). But the context slightly favors the plural subject. It may not be an important distinction, since not recognizing the things that would lead to peace necessarily meant they would not experience peace itself.</w:t>
      </w:r>
      <w:r>
        <w:rPr>
          <w:lang w:val="en_US" w:bidi="en_US"/>
        </w:rPr>
      </w:r>
      <w:r>
        <w:rPr>
          <w:lang w:val="en_US" w:bidi="en_US"/>
        </w:rPr>
      </w:r>
    </w:p>
    <w:p>
      <w:pPr/>
      <w:r>
        <w:rPr>
          <w:lang w:val="en_US" w:bidi="en_US"/>
        </w:rPr>
      </w:r>
    </w:p>
    <w:p>
      <w:pPr>
        <w:pStyle w:val="Heading2"/>
      </w:pPr>
      <w:r>
        <w:rPr>
          <w:lang w:val="en_US" w:bidi="en_US"/>
        </w:rPr>
        <w:t>Luke 19:43</w:t>
      </w:r>
      <w:r>
        <w:rPr>
          <w:lang w:val="en_US" w:bidi="en_US"/>
        </w:rPr>
      </w:r>
    </w:p>
    <w:p>
      <w:pPr>
        <w:pStyle w:val="Heading4"/>
      </w:pPr>
      <w:r>
        <w:rPr>
          <w:lang w:val="en_US" w:bidi="en_US"/>
        </w:rPr>
        <w:t>Section 19:28–44: Jesus approached Jerusalem</w:t>
      </w:r>
    </w:p>
    <w:p>
      <w:pPr/>
      <w:r>
        <w:rPr>
          <w:lang w:val="en_US" w:bidi="en_US"/>
        </w:rPr>
      </w:r>
      <w:r>
        <w:rPr>
          <w:lang w:val="en_US" w:bidi="en_US"/>
        </w:rP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People of Jerusalem greeted Jesus as king</w:t>
      </w:r>
    </w:p>
    <w:p>
      <w:pPr/>
      <w:r>
        <w:rPr>
          <w:lang w:val="en_US" w:bidi="en_US"/>
        </w:rPr>
      </w:r>
      <w:r>
        <w:rPr>
          <w:lang w:val="en_US" w:bidi="en_US"/>
        </w:rPr>
        <w:t>There are parallel passages for this section in Matthew 21:1–11, Mark 11:1–11, and John 12:12–19.</w:t>
      </w:r>
    </w:p>
    <w:p>
      <w:pPr>
        <w:pStyle w:val="Heading5"/>
      </w:pPr>
      <w:r>
        <w:rPr>
          <w:lang w:val="en_US" w:bidi="en_US"/>
        </w:rPr>
        <w:t>19:43–44</w:t>
      </w:r>
    </w:p>
    <w:p>
      <w:pPr/>
      <w:r>
        <w:rPr>
          <w:lang w:val="en_US" w:bidi="en_US"/>
        </w:rPr>
      </w:r>
      <w:r>
        <w:rPr>
          <w:lang w:val="en_US" w:bidi="en_US"/>
        </w:rPr>
        <w:t>These verses describe a siege, where an army surrounds a city that has walls around it. When the army surrounds the city, the people cannot go out of it, and no one can go in to help them. Jesus predicted that this would happen to Jerusalem in the future, and it did happen. In A.D. 70 the Roman army surrounded Jerusalem and killed many people there.</w:t>
      </w:r>
    </w:p>
    <w:p>
      <w:pPr>
        <w:pStyle w:val="Heading5"/>
      </w:pPr>
      <w:r>
        <w:rPr>
          <w:lang w:val="en_US" w:bidi="en_US"/>
        </w:rPr>
        <w:t>19:43a</w:t>
      </w:r>
    </w:p>
    <w:p>
      <w:pPr/>
      <w:r>
        <w:rPr>
          <w:lang w:val="en_US" w:bidi="en_US"/>
        </w:rPr>
      </w:r>
      <w:r>
        <w:rPr>
          <w:b/>
          <w:lang w:val="en_US" w:bidi="en_US"/>
        </w:rPr>
        <w:t>For the days will come upon you</w:t>
      </w:r>
    </w:p>
    <w:p>
      <w:pPr>
        <w:pStyle w:val="ListBullet"/>
        <w:spacing w:line="240" w:lineRule="auto"/>
        <w:ind w:left="720"/>
      </w:pPr>
      <w:r>
        <w:rPr>
          <w:lang w:val="en_US" w:bidi="en_US"/>
        </w:rPr>
      </w:r>
      <w:r>
        <w:rPr>
          <w:lang w:val="en_US" w:bidi="en_US"/>
        </w:rPr>
        <w:t>After this,</w:t>
      </w:r>
      <w:r>
        <w:rPr>
          <w:lang w:val="en_US" w:bidi="en_US"/>
        </w:rPr>
        <w:t xml:space="preserve"> a time </w:t>
      </w:r>
      <w:r>
        <w:rPr>
          <w:lang w:val="en_US" w:bidi="en_US"/>
        </w:rPr>
        <w:t>of trouble</w:t>
      </w:r>
      <w:r>
        <w:rPr>
          <w:lang w:val="en_US" w:bidi="en_US"/>
        </w:rPr>
        <w:t xml:space="preserve"> will come to/against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This is terrible</w:t>
      </w:r>
      <w:r>
        <w:rPr>
          <w:lang w:val="en_US" w:bidi="en_US"/>
        </w:rPr>
        <w:t xml:space="preserve"> because in the future </w:t>
      </w:r>
      <w:r>
        <w:rPr>
          <w:lang w:val="en_US" w:bidi="en_US"/>
        </w:rPr>
        <w:t>tragic things</w:t>
      </w:r>
      <w:r>
        <w:rPr>
          <w:lang w:val="en_US" w:bidi="en_US"/>
        </w:rPr>
        <w:t xml:space="preserve"> are going to happen to you</w:t>
      </w:r>
      <w:r>
        <w:rPr>
          <w:vertAlign w:val="superscript"/>
          <w:lang w:val="en_US" w:bidi="en_US"/>
        </w:rPr>
        <w:t>(plur)</w:t>
      </w:r>
      <w:r>
        <w:rPr>
          <w:lang w:val="en_US" w:bidi="en_US"/>
        </w:rPr>
        <w:t>:</w:t>
      </w:r>
    </w:p>
    <w:p>
      <w:pPr/>
      <w:r>
        <w:rPr>
          <w:lang w:val="en_US" w:bidi="en_US"/>
        </w:rPr>
      </w:r>
      <w:r>
        <w:rPr>
          <w:b/>
          <w:lang w:val="en_US" w:bidi="en_US"/>
        </w:rPr>
        <w:t>For:</w:t>
      </w:r>
      <w:r>
        <w:rPr>
          <w:lang w:val="en_US" w:bidi="en_US"/>
        </w:rPr>
        <w:t xml:space="preserve"> In Greek, this verse begins with a conjunction that the BSB translates as </w:t>
      </w:r>
      <w:r>
        <w:rPr>
          <w:i/>
          <w:lang w:val="en_US" w:bidi="en_US"/>
        </w:rPr>
        <w:t>For</w:t>
      </w:r>
      <w:r>
        <w:rPr>
          <w:lang w:val="en_US" w:bidi="en_US"/>
        </w:rPr>
        <w:t xml:space="preserve">. It connects 19:43–44 to 19:42a. Verse 43 describes the things that would happen to Jerusalem, and those things are the </w:t>
      </w:r>
      <w:r>
        <w:rPr>
          <w:u w:val="single"/>
          <w:lang w:val="en_US" w:bidi="en_US"/>
        </w:rPr>
        <w:t>reason</w:t>
      </w:r>
      <w:r>
        <w:rPr>
          <w:lang w:val="en_US" w:bidi="en_US"/>
        </w:rPr>
        <w:t xml:space="preserve"> why Jesus wept in 19:41b. Many English versions do not have a conjunction here.</w:t>
      </w:r>
    </w:p>
    <w:p>
      <w:pPr/>
      <w:r>
        <w:rPr>
          <w:lang w:val="en_US" w:bidi="en_US"/>
        </w:rPr>
      </w:r>
      <w:r>
        <w:rPr>
          <w:lang w:val="en_US" w:bidi="en_US"/>
        </w:rPr>
        <w:t>In many languages, a simple conjunction such as “for” or “because” may not make the connection clear. If this is true in your language, you may need to make the connection more explicit. You may be able to repeat words or phrases that you used in 19:42a. For example:</w:t>
      </w:r>
    </w:p>
    <w:p>
      <w:pPr/>
      <w:r>
        <w:rPr>
          <w:lang w:val="en_US" w:bidi="en_US"/>
        </w:rPr>
      </w:r>
      <w:r>
        <w:rPr>
          <w:lang w:val="en_US" w:bidi="en_US"/>
        </w:rPr>
        <w:t>It is tragic that you did not know,</w:t>
      </w:r>
      <w:r>
        <w:rPr>
          <w:lang w:val="en_US" w:bidi="en_US"/>
        </w:rPr>
        <w:t xml:space="preserve"> because the days will come</w:t>
      </w:r>
    </w:p>
    <w:p>
      <w:pPr/>
      <w:r>
        <w:rPr>
          <w:lang w:val="en_US" w:bidi="en_US"/>
        </w:rPr>
      </w:r>
      <w:r>
        <w:rPr>
          <w:lang w:val="en_US" w:bidi="en_US"/>
        </w:rPr>
        <w:t>I wish that you had known,</w:t>
      </w:r>
      <w:r>
        <w:rPr>
          <w:lang w:val="en_US" w:bidi="en_US"/>
        </w:rPr>
        <w:t xml:space="preserve"> because the days will come</w:t>
      </w:r>
    </w:p>
    <w:p>
      <w:pPr/>
      <w:r>
        <w:rPr>
          <w:lang w:val="en_US" w:bidi="en_US"/>
        </w:rPr>
      </w:r>
      <w:r>
        <w:rPr>
          <w:b/>
          <w:lang w:val="en_US" w:bidi="en_US"/>
        </w:rPr>
        <w:t>the days will come upon you:</w:t>
      </w:r>
      <w:r>
        <w:rPr>
          <w:lang w:val="en_US" w:bidi="en_US"/>
        </w:rPr>
        <w:t xml:space="preserve"> Here Jesus introduced what would happen to Jerusalem in the future. Other ways to translate it are:</w:t>
      </w:r>
    </w:p>
    <w:p>
      <w:pPr/>
      <w:r>
        <w:rPr>
          <w:lang w:val="en_US" w:bidi="en_US"/>
        </w:rPr>
      </w:r>
      <w:r>
        <w:rPr>
          <w:lang w:val="en_US" w:bidi="en_US"/>
        </w:rPr>
        <w:t>In the future</w:t>
      </w:r>
    </w:p>
    <w:p>
      <w:pPr/>
      <w:r>
        <w:rPr>
          <w:lang w:val="en_US" w:bidi="en_US"/>
        </w:rPr>
      </w:r>
      <w:r>
        <w:rPr>
          <w:lang w:val="en_US" w:bidi="en_US"/>
        </w:rPr>
        <w:t>Before long (NLT)</w:t>
      </w:r>
    </w:p>
    <w:p>
      <w:pPr/>
      <w:r>
        <w:rPr>
          <w:lang w:val="en_US" w:bidi="en_US"/>
        </w:rPr>
      </w:r>
      <w:r>
        <w:rPr>
          <w:lang w:val="en_US" w:bidi="en_US"/>
        </w:rPr>
        <w:t>At a future time this is what will happen to you</w:t>
      </w:r>
      <w:r>
        <w:rPr>
          <w:vertAlign w:val="superscript"/>
          <w:lang w:val="en_US" w:bidi="en_US"/>
        </w:rPr>
        <w:t>(sing)</w:t>
      </w:r>
      <w:r>
        <w:rPr>
          <w:lang w:val="en_US" w:bidi="en_US"/>
        </w:rPr>
        <w:t>:</w:t>
      </w:r>
    </w:p>
    <w:p>
      <w:pPr/>
      <w:r>
        <w:rPr>
          <w:lang w:val="en_US" w:bidi="en_US"/>
        </w:rPr>
      </w:r>
      <w:r>
        <w:rPr>
          <w:lang w:val="en_US" w:bidi="en_US"/>
        </w:rPr>
        <w:t xml:space="preserve">The phrase </w:t>
      </w:r>
      <w:r>
        <w:rPr>
          <w:i/>
          <w:lang w:val="en_US" w:bidi="en_US"/>
        </w:rPr>
        <w:t>upon you</w:t>
      </w:r>
      <w:r>
        <w:rPr>
          <w:lang w:val="en_US" w:bidi="en_US"/>
        </w:rPr>
        <w:t xml:space="preserve"> implies that the future events will be bad or difficult. In some languages it may be natural to make this explicit here. For example:</w:t>
      </w:r>
    </w:p>
    <w:p>
      <w:pPr/>
      <w:r>
        <w:rPr>
          <w:lang w:val="en_US" w:bidi="en_US"/>
        </w:rPr>
      </w:r>
      <w:r>
        <w:rPr>
          <w:lang w:val="en_US" w:bidi="en_US"/>
        </w:rPr>
        <w:t xml:space="preserve">You will soon </w:t>
      </w:r>
      <w:r>
        <w:rPr>
          <w:u w:val="single"/>
          <w:lang w:val="en_US" w:bidi="en_US"/>
        </w:rPr>
        <w:t>endure</w:t>
      </w:r>
      <w:r>
        <w:rPr>
          <w:lang w:val="en_US" w:bidi="en_US"/>
        </w:rPr>
        <w:t xml:space="preserve"> a time when…</w:t>
      </w:r>
    </w:p>
    <w:p>
      <w:pPr>
        <w:pStyle w:val="Heading5"/>
      </w:pPr>
      <w:r>
        <w:rPr>
          <w:lang w:val="en_US" w:bidi="en_US"/>
        </w:rPr>
        <w:t>19:43b</w:t>
      </w:r>
    </w:p>
    <w:p>
      <w:pPr/>
      <w:r>
        <w:rPr>
          <w:lang w:val="en_US" w:bidi="en_US"/>
        </w:rPr>
      </w:r>
      <w:r>
        <w:rPr>
          <w:b/>
          <w:lang w:val="en_US" w:bidi="en_US"/>
        </w:rPr>
        <w:t>when your enemies will barricade you</w:t>
      </w:r>
    </w:p>
    <w:p>
      <w:pPr>
        <w:pStyle w:val="ListBullet"/>
        <w:spacing w:line="240" w:lineRule="auto"/>
        <w:ind w:left="720"/>
      </w:pPr>
      <w:r>
        <w:rPr>
          <w:lang w:val="en_US" w:bidi="en_US"/>
        </w:rPr>
      </w:r>
      <w:r>
        <w:rPr>
          <w:lang w:val="en_US" w:bidi="en_US"/>
        </w:rPr>
        <w:t>At that time, your</w:t>
      </w:r>
      <w:r>
        <w:rPr>
          <w:vertAlign w:val="superscript"/>
          <w:lang w:val="en_US" w:bidi="en_US"/>
        </w:rPr>
        <w:t>(sing)</w:t>
      </w:r>
      <w:r>
        <w:rPr>
          <w:lang w:val="en_US" w:bidi="en_US"/>
        </w:rPr>
        <w:t xml:space="preserve"> enemies will build a wall </w:t>
      </w:r>
      <w:r>
        <w:rPr>
          <w:lang w:val="en_US" w:bidi="en_US"/>
        </w:rPr>
        <w:t>around</w:t>
      </w:r>
      <w:r>
        <w:rPr>
          <w:lang w:val="en_US" w:bidi="en_US"/>
        </w:rPr>
        <w:t xml:space="preserve">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enemies will build a barricade </w:t>
      </w:r>
      <w:r>
        <w:rPr>
          <w:lang w:val="en_US" w:bidi="en_US"/>
        </w:rPr>
        <w:t>around</w:t>
      </w:r>
      <w:r>
        <w:rPr>
          <w:lang w:val="en_US" w:bidi="en_US"/>
        </w:rPr>
        <w:t xml:space="preserve"> you</w:t>
      </w:r>
      <w:r>
        <w:rPr>
          <w:vertAlign w:val="superscript"/>
          <w:lang w:val="en_US" w:bidi="en_US"/>
        </w:rPr>
        <w:t>(plur)</w:t>
      </w:r>
      <w:r>
        <w:rPr>
          <w:lang w:val="en_US" w:bidi="en_US"/>
        </w:rPr>
        <w:t>.</w:t>
      </w:r>
    </w:p>
    <w:p>
      <w:pPr/>
      <w:r>
        <w:rPr>
          <w:lang w:val="en_US" w:bidi="en_US"/>
        </w:rPr>
      </w:r>
      <w:r>
        <w:rPr>
          <w:b/>
          <w:lang w:val="en_US" w:bidi="en_US"/>
        </w:rPr>
        <w:t>when your enemies will barricade you:</w:t>
      </w:r>
      <w:r>
        <w:rPr>
          <w:lang w:val="en_US" w:bidi="en_US"/>
        </w:rPr>
        <w:t xml:space="preserve"> The Greek word that the BSB translates as </w:t>
      </w:r>
      <w:r>
        <w:rPr>
          <w:i/>
          <w:lang w:val="en_US" w:bidi="en_US"/>
        </w:rPr>
        <w:t>barricade</w:t>
      </w:r>
      <w:r>
        <w:rPr>
          <w:lang w:val="en_US" w:bidi="en_US"/>
        </w:rPr>
        <w:t xml:space="preserve"> refers here to some type of wall or barrier. Such a wall was usually built on a large ridge or mound of dirt and stones. Sometimes it had stakes with sharp points on top of it.</w:t>
      </w:r>
    </w:p>
    <w:p>
      <w:pPr/>
      <w:r>
        <w:rPr>
          <w:lang w:val="en_US" w:bidi="en_US"/>
        </w:rPr>
      </w:r>
      <w:r>
        <w:rPr>
          <w:lang w:val="en_US" w:bidi="en_US"/>
        </w:rPr>
        <w:t>In this context Jesus indicated that enemies would build a large wall/barrier around the city of Jerusalem so that no one could leave or enter the city without their permission. Then they would attack the city from behind the wall.</w:t>
      </w:r>
      <w:r>
        <w:rPr>
          <w:lang w:val="en_US" w:bidi="en_US"/>
        </w:rPr>
        <w:t>In the historical realization of this prophecy, the Romans first built four embankments made of earth and timber from which they attacked the city walls. After these proved vulnerable to burning by the Jews, the Romans constructed a wall of stone around the city that measured 39 furlongs (about 7 kilometers).</w:t>
      </w:r>
    </w:p>
    <w:p>
      <w:pPr/>
      <w:r>
        <w:rPr>
          <w:lang w:val="en_US" w:bidi="en_US"/>
        </w:rPr>
      </w:r>
      <w:r>
        <w:rPr>
          <w:lang w:val="en_US" w:bidi="en_US"/>
        </w:rPr>
        <w:t>In your translation it may be helpful to describe the wall according to its purpose. For example:</w:t>
      </w:r>
    </w:p>
    <w:p>
      <w:pPr/>
      <w:r>
        <w:rPr>
          <w:lang w:val="en_US" w:bidi="en_US"/>
        </w:rPr>
      </w:r>
      <w:r>
        <w:rPr>
          <w:lang w:val="en_US" w:bidi="en_US"/>
        </w:rPr>
        <w:t>build a wall/barricade around you to put you under siege</w:t>
      </w:r>
    </w:p>
    <w:p>
      <w:pPr/>
      <w:r>
        <w:rPr>
          <w:lang w:val="en_US" w:bidi="en_US"/>
        </w:rPr>
      </w:r>
      <w:r>
        <w:rPr>
          <w:lang w:val="en_US" w:bidi="en_US"/>
        </w:rPr>
        <w:t xml:space="preserve">build a wall/barrier to trap you </w:t>
      </w:r>
      <w:r>
        <w:rPr>
          <w:lang w:val="en_US" w:bidi="en_US"/>
        </w:rPr>
        <w:t>in your city</w:t>
      </w:r>
      <w:r>
        <w:rPr>
          <w:lang w:val="en_US" w:bidi="en_US"/>
        </w:rPr>
        <w:t xml:space="preserve"> and from which to attack you</w:t>
      </w:r>
    </w:p>
    <w:p>
      <w:pPr/>
      <w:r>
        <w:rPr>
          <w:lang w:val="en_US" w:bidi="en_US"/>
        </w:rPr>
      </w:r>
      <w:r>
        <w:rPr>
          <w:lang w:val="en_US" w:bidi="en_US"/>
        </w:rPr>
        <w:t>build a wall to surround you and close you in on every side (GW)</w:t>
      </w:r>
    </w:p>
    <w:p>
      <w:pPr>
        <w:pStyle w:val="Heading5"/>
      </w:pPr>
      <w:r>
        <w:rPr>
          <w:lang w:val="en_US" w:bidi="en_US"/>
        </w:rPr>
        <w:t>19:43c</w:t>
      </w:r>
    </w:p>
    <w:p>
      <w:pPr/>
      <w:r>
        <w:rPr>
          <w:lang w:val="en_US" w:bidi="en_US"/>
        </w:rPr>
      </w:r>
      <w:r>
        <w:rPr>
          <w:b/>
          <w:lang w:val="en_US" w:bidi="en_US"/>
        </w:rPr>
        <w:t>and surround you</w:t>
      </w:r>
    </w:p>
    <w:p>
      <w:pPr>
        <w:pStyle w:val="ListBullet"/>
        <w:spacing w:line="240" w:lineRule="auto"/>
        <w:ind w:left="720"/>
      </w:pPr>
      <w:r>
        <w:rPr>
          <w:lang w:val="en_US" w:bidi="en_US"/>
        </w:rPr>
      </w:r>
      <w:r>
        <w:rPr>
          <w:lang w:val="en_US" w:bidi="en_US"/>
        </w:rPr>
        <w:t>camp around you</w:t>
      </w:r>
      <w:r>
        <w:rPr>
          <w:vertAlign w:val="superscript"/>
          <w:lang w:val="en_US" w:bidi="en_US"/>
        </w:rPr>
        <w:t>(sing)</w:t>
      </w:r>
      <w:r>
        <w:rPr>
          <w:lang w:val="en_US" w:bidi="en_US"/>
        </w:rPr>
        <w:t xml:space="preserve"> in a circle,</w:t>
      </w:r>
    </w:p>
    <w:p>
      <w:pPr>
        <w:pStyle w:val="ListBullet"/>
        <w:spacing w:line="240" w:lineRule="auto"/>
        <w:ind w:left="720"/>
      </w:pPr>
      <w:r>
        <w:rPr>
          <w:lang w:val="en_US" w:bidi="en_US"/>
        </w:rPr>
      </w:r>
      <w:r>
        <w:rPr>
          <w:lang w:val="en_US" w:bidi="en_US"/>
        </w:rPr>
        <w:t>They will completely surround you</w:t>
      </w:r>
      <w:r>
        <w:rPr>
          <w:vertAlign w:val="superscript"/>
          <w:lang w:val="en_US" w:bidi="en_US"/>
        </w:rPr>
        <w:t>(plur)</w:t>
      </w:r>
      <w:r>
        <w:rPr>
          <w:lang w:val="en_US" w:bidi="en_US"/>
        </w:rPr>
        <w:t xml:space="preserve"> </w:t>
      </w:r>
      <w:r>
        <w:rPr>
          <w:lang w:val="en_US" w:bidi="en_US"/>
        </w:rPr>
        <w:t>so that no one can go in and out of your</w:t>
      </w:r>
      <w:r>
        <w:rPr>
          <w:vertAlign w:val="superscript"/>
          <w:lang w:val="en_US" w:bidi="en_US"/>
        </w:rPr>
        <w:t>(plur)</w:t>
      </w:r>
      <w:r>
        <w:rPr>
          <w:lang w:val="en_US" w:bidi="en_US"/>
        </w:rPr>
        <w:t xml:space="preserve"> </w:t>
      </w:r>
      <w:r>
        <w:rPr>
          <w:lang w:val="en_US" w:bidi="en_US"/>
        </w:rPr>
        <w:t>city</w:t>
      </w:r>
      <w:r>
        <w:rPr>
          <w:lang w:val="en_US" w:bidi="en_US"/>
        </w:rPr>
        <w:t>.</w:t>
      </w:r>
    </w:p>
    <w:p>
      <w:pPr/>
      <w:r>
        <w:rPr>
          <w:lang w:val="en_US" w:bidi="en_US"/>
        </w:rPr>
      </w:r>
      <w:r>
        <w:rPr>
          <w:b/>
          <w:lang w:val="en_US" w:bidi="en_US"/>
        </w:rPr>
        <w:t>surround you:</w:t>
      </w:r>
      <w:r>
        <w:rPr>
          <w:lang w:val="en_US" w:bidi="en_US"/>
        </w:rPr>
        <w:t xml:space="preserve"> The idea of encircling or surrounding the city implies that the city would be put under siege. The surrounding army would not let anyone leave or enter the city. This would prevent the city from getting supplies of food and weapons. If you have not already made the idea of a siege explicit, you could do it here:</w:t>
      </w:r>
    </w:p>
    <w:p>
      <w:pPr/>
      <w:r>
        <w:rPr>
          <w:lang w:val="en_US" w:bidi="en_US"/>
        </w:rPr>
      </w:r>
      <w:r>
        <w:rPr>
          <w:lang w:val="en_US" w:bidi="en_US"/>
        </w:rPr>
        <w:t>will encircle/surround you to put you under siege</w:t>
      </w:r>
    </w:p>
    <w:p>
      <w:pPr/>
      <w:r>
        <w:rPr>
          <w:lang w:val="en_US" w:bidi="en_US"/>
        </w:rPr>
      </w:r>
      <w:r>
        <w:rPr>
          <w:lang w:val="en_US" w:bidi="en_US"/>
        </w:rPr>
        <w:t>will surround you so that you cannot go out</w:t>
      </w:r>
    </w:p>
    <w:p>
      <w:pPr/>
      <w:r>
        <w:rPr>
          <w:lang w:val="en_US" w:bidi="en_US"/>
        </w:rPr>
      </w:r>
      <w:r>
        <w:rPr>
          <w:lang w:val="en_US" w:bidi="en_US"/>
        </w:rPr>
        <w:t>Because the idea of encircling is implicit in the idea of a siege, it is also possible to simply say:</w:t>
      </w:r>
    </w:p>
    <w:p>
      <w:pPr/>
      <w:r>
        <w:rPr>
          <w:lang w:val="en_US" w:bidi="en_US"/>
        </w:rPr>
      </w:r>
      <w:r>
        <w:rPr>
          <w:lang w:val="en_US" w:bidi="en_US"/>
        </w:rPr>
        <w:t>to blockade/trap you</w:t>
      </w:r>
    </w:p>
    <w:p>
      <w:pPr/>
      <w:r>
        <w:rPr>
          <w:lang w:val="en_US" w:bidi="en_US"/>
        </w:rPr>
      </w:r>
      <w:r>
        <w:rPr>
          <w:lang w:val="en_US" w:bidi="en_US"/>
        </w:rPr>
        <w:t>to put you under siege</w:t>
      </w:r>
    </w:p>
    <w:p>
      <w:pPr>
        <w:pStyle w:val="Heading5"/>
      </w:pPr>
      <w:r>
        <w:rPr>
          <w:lang w:val="en_US" w:bidi="en_US"/>
        </w:rPr>
        <w:t>19:43d</w:t>
      </w:r>
    </w:p>
    <w:p>
      <w:pPr/>
      <w:r>
        <w:rPr>
          <w:lang w:val="en_US" w:bidi="en_US"/>
        </w:rPr>
      </w:r>
      <w:r>
        <w:rPr>
          <w:b/>
          <w:lang w:val="en_US" w:bidi="en_US"/>
        </w:rPr>
        <w:t>and hem you in on every side.</w:t>
      </w:r>
    </w:p>
    <w:p>
      <w:pPr>
        <w:pStyle w:val="ListBullet"/>
        <w:spacing w:line="240" w:lineRule="auto"/>
        <w:ind w:left="720"/>
      </w:pPr>
      <w:r>
        <w:rPr>
          <w:lang w:val="en_US" w:bidi="en_US"/>
        </w:rPr>
      </w:r>
      <w:r>
        <w:rPr>
          <w:lang w:val="en_US" w:bidi="en_US"/>
        </w:rPr>
        <w:t>and press in on you</w:t>
      </w:r>
      <w:r>
        <w:rPr>
          <w:vertAlign w:val="superscript"/>
          <w:lang w:val="en_US" w:bidi="en_US"/>
        </w:rPr>
        <w:t>(sing)</w:t>
      </w:r>
      <w:r>
        <w:rPr>
          <w:lang w:val="en_US" w:bidi="en_US"/>
        </w:rPr>
        <w:t xml:space="preserve"> from every direction.</w:t>
      </w:r>
    </w:p>
    <w:p>
      <w:pPr>
        <w:pStyle w:val="ListBullet"/>
        <w:spacing w:line="240" w:lineRule="auto"/>
        <w:ind w:left="720"/>
      </w:pPr>
      <w:r>
        <w:rPr>
          <w:lang w:val="en_US" w:bidi="en_US"/>
        </w:rPr>
      </w:r>
      <w:r>
        <w:rPr>
          <w:lang w:val="en_US" w:bidi="en_US"/>
        </w:rPr>
        <w:t>They will move in closer and closer and attack you</w:t>
      </w:r>
      <w:r>
        <w:rPr>
          <w:vertAlign w:val="superscript"/>
          <w:lang w:val="en_US" w:bidi="en_US"/>
        </w:rPr>
        <w:t>(plur)</w:t>
      </w:r>
      <w:r>
        <w:rPr>
          <w:lang w:val="en_US" w:bidi="en_US"/>
        </w:rPr>
        <w:t xml:space="preserve"> from all sides.</w:t>
      </w:r>
    </w:p>
    <w:p>
      <w:pPr/>
      <w:r>
        <w:rPr>
          <w:lang w:val="en_US" w:bidi="en_US"/>
        </w:rPr>
      </w:r>
      <w:r>
        <w:rPr>
          <w:b/>
          <w:lang w:val="en_US" w:bidi="en_US"/>
        </w:rPr>
        <w:t>hem you in on every side:</w:t>
      </w:r>
      <w:r>
        <w:rPr>
          <w:lang w:val="en_US" w:bidi="en_US"/>
        </w:rPr>
        <w:t xml:space="preserve"> The Greek phrase that the BSB translates as </w:t>
      </w:r>
      <w:r>
        <w:rPr>
          <w:i/>
          <w:lang w:val="en_US" w:bidi="en_US"/>
        </w:rPr>
        <w:t>hem you in on every side</w:t>
      </w:r>
      <w:r>
        <w:rPr>
          <w:lang w:val="en_US" w:bidi="en_US"/>
        </w:rPr>
        <w:t xml:space="preserve"> indicates that the army that surrounded the city will keep moving toward it from every direction. They will press the attack against the city from all sides. Some ways to translate this could be:</w:t>
      </w:r>
    </w:p>
    <w:p>
      <w:pPr/>
      <w:r>
        <w:rPr>
          <w:lang w:val="en_US" w:bidi="en_US"/>
        </w:rPr>
      </w:r>
      <w:r>
        <w:rPr>
          <w:lang w:val="en_US" w:bidi="en_US"/>
        </w:rPr>
        <w:t>press in on you from all sides</w:t>
      </w:r>
    </w:p>
    <w:p>
      <w:pPr/>
      <w:r>
        <w:rPr>
          <w:lang w:val="en_US" w:bidi="en_US"/>
        </w:rPr>
      </w:r>
      <w:r>
        <w:rPr>
          <w:lang w:val="en_US" w:bidi="en_US"/>
        </w:rPr>
        <w:t>press the attack in upon you from every side</w:t>
      </w:r>
    </w:p>
    <w:p>
      <w:pPr/>
      <w:r>
        <w:rPr>
          <w:lang w:val="en_US" w:bidi="en_US"/>
        </w:rPr>
      </w:r>
      <w:r>
        <w:rPr>
          <w:lang w:val="en_US" w:bidi="en_US"/>
        </w:rPr>
        <w:t>attack you from every direction</w:t>
      </w:r>
    </w:p>
    <w:p>
      <w:pPr>
        <w:pStyle w:val="Heading6"/>
      </w:pPr>
      <w:r>
        <w:rPr>
          <w:b/>
          <w:lang w:val="en_US" w:bidi="en_US"/>
        </w:rPr>
        <w:t>General Comment on 19:43b–d</w:t>
      </w:r>
    </w:p>
    <w:p>
      <w:pPr/>
      <w:r>
        <w:rPr>
          <w:lang w:val="en_US" w:bidi="en_US"/>
        </w:rPr>
      </w:r>
      <w:r>
        <w:rPr>
          <w:lang w:val="en_US" w:bidi="en_US"/>
        </w:rPr>
        <w:t>Jesus stated three actions in 19:43b–d that together describe a siege:</w:t>
      </w:r>
    </w:p>
    <w:p>
      <w:pPr>
        <w:pStyle w:val="ListNumber"/>
        <w:numPr>
          <w:ilvl w:val="0"/>
          <w:numId w:val="329"/>
        </w:numPr>
        <w:spacing w:line="240" w:lineRule="auto"/>
        <w:ind w:left="720"/>
      </w:pPr>
      <w:r>
        <w:rPr>
          <w:lang w:val="en_US" w:bidi="en_US"/>
        </w:rPr>
      </w:r>
      <w:r>
        <w:rPr>
          <w:lang w:val="en_US" w:bidi="en_US"/>
        </w:rPr>
        <w:t>build a wall around you;</w:t>
      </w:r>
    </w:p>
    <w:p>
      <w:pPr>
        <w:pStyle w:val="ListNumber"/>
        <w:spacing w:line="240" w:lineRule="auto"/>
        <w:ind w:left="720"/>
      </w:pPr>
      <w:r>
        <w:rPr>
          <w:lang w:val="en_US" w:bidi="en_US"/>
        </w:rPr>
      </w:r>
      <w:r>
        <w:rPr>
          <w:lang w:val="en_US" w:bidi="en_US"/>
        </w:rPr>
        <w:t>encircle you;</w:t>
      </w:r>
    </w:p>
    <w:p>
      <w:pPr>
        <w:pStyle w:val="ListNumber"/>
        <w:spacing w:line="240" w:lineRule="auto"/>
        <w:ind w:left="720"/>
      </w:pPr>
      <w:r>
        <w:rPr>
          <w:lang w:val="en_US" w:bidi="en_US"/>
        </w:rPr>
      </w:r>
      <w:r>
        <w:rPr>
          <w:lang w:val="en_US" w:bidi="en_US"/>
        </w:rPr>
        <w:t>hem you in on every side.</w:t>
      </w:r>
    </w:p>
    <w:p>
      <w:pPr/>
      <w:r>
        <w:rPr>
          <w:lang w:val="en_US" w:bidi="en_US"/>
        </w:rPr>
      </w:r>
      <w:r>
        <w:rPr>
          <w:lang w:val="en_US" w:bidi="en_US"/>
        </w:rPr>
        <w:t>As you translate, consider all three of these actions together, since the meanings are similar. For example, the idea of encircling or surrounding the city (b) is implied in (a) and (c). It is recommended that you make the idea of a siege explicit somewhere in your translation of these three phrases. You may also change the order of the phrases if that would be more natural in your language. Some ways to translate it are:</w:t>
      </w:r>
    </w:p>
    <w:p>
      <w:pPr/>
      <w:r>
        <w:rPr>
          <w:lang w:val="en_US" w:bidi="en_US"/>
        </w:rPr>
      </w:r>
      <w:r>
        <w:rPr>
          <w:lang w:val="en_US" w:bidi="en_US"/>
        </w:rPr>
        <w:t xml:space="preserve">Your enemies will build a wall around/against you. They will surround you </w:t>
      </w:r>
      <w:r>
        <w:rPr>
          <w:u w:val="single"/>
          <w:lang w:val="en_US" w:bidi="en_US"/>
        </w:rPr>
        <w:t>so no one can go in or out of your city</w:t>
      </w:r>
      <w:r>
        <w:rPr>
          <w:lang w:val="en_US" w:bidi="en_US"/>
        </w:rPr>
        <w:t>. Then they will press in on you from all sides.</w:t>
      </w:r>
    </w:p>
    <w:p>
      <w:pPr/>
      <w:r>
        <w:rPr>
          <w:lang w:val="en_US" w:bidi="en_US"/>
        </w:rPr>
      </w:r>
      <w:r>
        <w:rPr>
          <w:lang w:val="en_US" w:bidi="en_US"/>
        </w:rPr>
        <w:t xml:space="preserve">Your enemies will encircle/surround you and build a wall around you </w:t>
      </w:r>
      <w:r>
        <w:rPr>
          <w:u w:val="single"/>
          <w:lang w:val="en_US" w:bidi="en_US"/>
        </w:rPr>
        <w:t>to put you under siege</w:t>
      </w:r>
      <w:r>
        <w:rPr>
          <w:lang w:val="en_US" w:bidi="en_US"/>
        </w:rPr>
        <w:t>. They will attack you from every side.</w:t>
      </w:r>
      <w:r>
        <w:rPr>
          <w:lang w:val="en_US" w:bidi="en_US"/>
        </w:rPr>
      </w:r>
      <w:r>
        <w:rPr>
          <w:lang w:val="en_US" w:bidi="en_US"/>
        </w:rPr>
      </w:r>
    </w:p>
    <w:p>
      <w:pPr/>
      <w:r>
        <w:rPr>
          <w:lang w:val="en_US" w:bidi="en_US"/>
        </w:rPr>
      </w:r>
    </w:p>
    <w:p>
      <w:pPr>
        <w:pStyle w:val="Heading2"/>
      </w:pPr>
      <w:r>
        <w:rPr>
          <w:lang w:val="en_US" w:bidi="en_US"/>
        </w:rPr>
        <w:t>Luke 19:44</w:t>
      </w:r>
      <w:r>
        <w:rPr>
          <w:lang w:val="en_US" w:bidi="en_US"/>
        </w:rPr>
      </w:r>
    </w:p>
    <w:p>
      <w:pPr>
        <w:pStyle w:val="Heading4"/>
      </w:pPr>
      <w:r>
        <w:rPr>
          <w:lang w:val="en_US" w:bidi="en_US"/>
        </w:rPr>
        <w:t>Section 19:28–44: Jesus approached Jerusalem</w:t>
      </w:r>
    </w:p>
    <w:p>
      <w:pPr/>
      <w:r>
        <w:rPr>
          <w:lang w:val="en_US" w:bidi="en_US"/>
        </w:rPr>
      </w:r>
      <w:r>
        <w:rPr>
          <w:lang w:val="en_US" w:bidi="en_US"/>
        </w:rPr>
        <w:t>As Jesus approached Jerusalem in this section, his many disciples were very excited. He came riding on a donkey. This fulfilled the prophecy in Zechariah 9:9 that he would come as a gentle, humble king. The crowd of disciples praised him in a way that showed that they were welcoming him as their king (19:38). They believed that he was the Messiah whom the Jews had been awaiting for many generations.</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People of Jerusalem greeted Jesus as king</w:t>
      </w:r>
    </w:p>
    <w:p>
      <w:pPr/>
      <w:r>
        <w:rPr>
          <w:lang w:val="en_US" w:bidi="en_US"/>
        </w:rPr>
      </w:r>
      <w:r>
        <w:rPr>
          <w:lang w:val="en_US" w:bidi="en_US"/>
        </w:rPr>
        <w:t>There are parallel passages for this section in Matthew 21:1–11, Mark 11:1–11, and John 12:12–19.</w:t>
      </w:r>
    </w:p>
    <w:p>
      <w:pPr>
        <w:pStyle w:val="Heading5"/>
      </w:pPr>
      <w:r>
        <w:rPr>
          <w:lang w:val="en_US" w:bidi="en_US"/>
        </w:rPr>
        <w:t>19:44a</w:t>
      </w:r>
    </w:p>
    <w:p>
      <w:pPr/>
      <w:r>
        <w:rPr>
          <w:lang w:val="en_US" w:bidi="en_US"/>
        </w:rPr>
      </w:r>
      <w:r>
        <w:rPr>
          <w:b/>
          <w:lang w:val="en_US" w:bidi="en_US"/>
        </w:rPr>
        <w:t>They will level you to the ground—you and the children within your walls.</w:t>
      </w:r>
    </w:p>
    <w:p>
      <w:pPr>
        <w:pStyle w:val="ListBullet"/>
        <w:spacing w:line="240" w:lineRule="auto"/>
        <w:ind w:left="720"/>
      </w:pPr>
      <w:r>
        <w:rPr>
          <w:lang w:val="en_US" w:bidi="en_US"/>
        </w:rPr>
      </w:r>
      <w:r>
        <w:rPr>
          <w:lang w:val="en_US" w:bidi="en_US"/>
        </w:rPr>
        <w:t>They will throw you</w:t>
      </w:r>
      <w:r>
        <w:rPr>
          <w:vertAlign w:val="superscript"/>
          <w:lang w:val="en_US" w:bidi="en_US"/>
        </w:rPr>
        <w:t>(sing)</w:t>
      </w:r>
      <w:r>
        <w:rPr>
          <w:lang w:val="en_US" w:bidi="en_US"/>
        </w:rPr>
        <w:t xml:space="preserve"> and the people who live with you to the ground.</w:t>
      </w:r>
    </w:p>
    <w:p>
      <w:pPr>
        <w:pStyle w:val="ListBullet"/>
        <w:spacing w:line="240" w:lineRule="auto"/>
        <w:ind w:left="720"/>
      </w:pPr>
      <w:r>
        <w:rPr>
          <w:lang w:val="en_US" w:bidi="en_US"/>
        </w:rPr>
      </w:r>
      <w:r>
        <w:rPr>
          <w:lang w:val="en_US" w:bidi="en_US"/>
        </w:rPr>
        <w:t>They will level/raze your</w:t>
      </w:r>
      <w:r>
        <w:rPr>
          <w:vertAlign w:val="superscript"/>
          <w:lang w:val="en_US" w:bidi="en_US"/>
        </w:rPr>
        <w:t>(plur)</w:t>
      </w:r>
      <w:r>
        <w:rPr>
          <w:lang w:val="en_US" w:bidi="en_US"/>
        </w:rPr>
        <w:t xml:space="preserve"> city to the ground and kill all of your</w:t>
      </w:r>
      <w:r>
        <w:rPr>
          <w:vertAlign w:val="superscript"/>
          <w:lang w:val="en_US" w:bidi="en_US"/>
        </w:rPr>
        <w:t>(plur)</w:t>
      </w:r>
      <w:r>
        <w:rPr>
          <w:lang w:val="en_US" w:bidi="en_US"/>
        </w:rPr>
        <w:t xml:space="preserve"> people by smashing them to the ground.</w:t>
      </w:r>
    </w:p>
    <w:p>
      <w:pPr>
        <w:pStyle w:val="ListBullet"/>
        <w:spacing w:line="240" w:lineRule="auto"/>
        <w:ind w:left="720"/>
      </w:pPr>
      <w:r>
        <w:rPr>
          <w:lang w:val="en_US" w:bidi="en_US"/>
        </w:rPr>
      </w:r>
      <w:r>
        <w:rPr>
          <w:lang w:val="en_US" w:bidi="en_US"/>
        </w:rPr>
        <w:t>They will destroy you</w:t>
      </w:r>
      <w:r>
        <w:rPr>
          <w:vertAlign w:val="superscript"/>
          <w:lang w:val="en_US" w:bidi="en_US"/>
        </w:rPr>
        <w:t>(plur)</w:t>
      </w:r>
      <w:r>
        <w:rPr>
          <w:lang w:val="en_US" w:bidi="en_US"/>
        </w:rPr>
        <w:t xml:space="preserve"> and your</w:t>
      </w:r>
      <w:r>
        <w:rPr>
          <w:vertAlign w:val="superscript"/>
          <w:lang w:val="en_US" w:bidi="en_US"/>
        </w:rPr>
        <w:t>(plur)</w:t>
      </w:r>
      <w:r>
        <w:rPr>
          <w:lang w:val="en_US" w:bidi="en_US"/>
        </w:rPr>
        <w:t xml:space="preserve"> people.</w:t>
      </w:r>
    </w:p>
    <w:p>
      <w:pPr/>
      <w:r>
        <w:rPr>
          <w:lang w:val="en_US" w:bidi="en_US"/>
        </w:rPr>
      </w:r>
      <w:r>
        <w:rPr>
          <w:b/>
          <w:lang w:val="en_US" w:bidi="en_US"/>
        </w:rPr>
        <w:t>They will level you to the ground—you and the children within your walls:</w:t>
      </w:r>
      <w:r>
        <w:rPr>
          <w:lang w:val="en_US" w:bidi="en_US"/>
        </w:rPr>
        <w:t xml:space="preserve"> The Greek verb that the BSB translates as </w:t>
      </w:r>
      <w:r>
        <w:rPr>
          <w:i/>
          <w:lang w:val="en_US" w:bidi="en_US"/>
        </w:rPr>
        <w:t>level…to the ground</w:t>
      </w:r>
      <w:r>
        <w:rPr>
          <w:lang w:val="en_US" w:bidi="en_US"/>
        </w:rPr>
        <w:t xml:space="preserve"> has two meaning, “level to the ground” and “throw to the ground.” Here the verb has two different objects:</w:t>
      </w:r>
    </w:p>
    <w:p>
      <w:pPr>
        <w:pStyle w:val="ListNumber"/>
        <w:numPr>
          <w:ilvl w:val="0"/>
          <w:numId w:val="330"/>
        </w:numPr>
        <w:spacing w:line="240" w:lineRule="auto"/>
        <w:ind w:left="720"/>
      </w:pPr>
      <w:r>
        <w:rPr>
          <w:lang w:val="en_US" w:bidi="en_US"/>
        </w:rPr>
      </w:r>
      <w:r>
        <w:rPr>
          <w:lang w:val="en_US" w:bidi="en_US"/>
        </w:rPr>
        <w:t xml:space="preserve">One object is </w:t>
      </w:r>
      <w:r>
        <w:rPr>
          <w:i/>
          <w:lang w:val="en_US" w:bidi="en_US"/>
        </w:rPr>
        <w:t>you</w:t>
      </w:r>
      <w:r>
        <w:rPr>
          <w:lang w:val="en_US" w:bidi="en_US"/>
        </w:rPr>
        <w:t>, which refers to the city itself. With this object, the verb indicates that the army will break down the walls and buildings and level them.</w:t>
      </w:r>
    </w:p>
    <w:p>
      <w:pPr>
        <w:pStyle w:val="ListNumber"/>
        <w:spacing w:line="240" w:lineRule="auto"/>
        <w:ind w:left="720"/>
      </w:pPr>
      <w:r>
        <w:rPr>
          <w:lang w:val="en_US" w:bidi="en_US"/>
        </w:rPr>
      </w:r>
      <w:r>
        <w:rPr>
          <w:lang w:val="en_US" w:bidi="en_US"/>
        </w:rPr>
        <w:t xml:space="preserve">The other object is </w:t>
      </w:r>
      <w:r>
        <w:rPr>
          <w:i/>
          <w:lang w:val="en_US" w:bidi="en_US"/>
        </w:rPr>
        <w:t>the children within your walls</w:t>
      </w:r>
      <w:r>
        <w:rPr>
          <w:lang w:val="en_US" w:bidi="en_US"/>
        </w:rPr>
        <w:t>. This object refers to the people of Jerusalem. With this object, the verb indicates that the soldiers will kill the people by throwing them to the ground.</w:t>
      </w:r>
    </w:p>
    <w:p>
      <w:pPr/>
      <w:r>
        <w:rPr>
          <w:lang w:val="en_US" w:bidi="en_US"/>
        </w:rPr>
      </w:r>
      <w:r>
        <w:rPr>
          <w:lang w:val="en_US" w:bidi="en_US"/>
        </w:rPr>
        <w:t>In some languages there may be one verb that can be used with both objects, such as “destroy” or “dash” in English. Here is another way to translate this:</w:t>
      </w:r>
    </w:p>
    <w:p>
      <w:pPr/>
      <w:r>
        <w:rPr>
          <w:lang w:val="en_US" w:bidi="en_US"/>
        </w:rPr>
      </w:r>
      <w:r>
        <w:rPr>
          <w:lang w:val="en_US" w:bidi="en_US"/>
        </w:rPr>
        <w:t>They will destroy you and all your people (NCV)</w:t>
      </w:r>
    </w:p>
    <w:p>
      <w:pPr/>
      <w:r>
        <w:rPr>
          <w:lang w:val="en_US" w:bidi="en_US"/>
        </w:rPr>
      </w:r>
      <w:r>
        <w:rPr>
          <w:lang w:val="en_US" w:bidi="en_US"/>
        </w:rPr>
        <w:t>If there is no verb like this, you may use two different verbs. For example:</w:t>
      </w:r>
    </w:p>
    <w:p>
      <w:pPr/>
      <w:r>
        <w:rPr>
          <w:lang w:val="en_US" w:bidi="en_US"/>
        </w:rPr>
      </w:r>
      <w:r>
        <w:rPr>
          <w:lang w:val="en_US" w:bidi="en_US"/>
        </w:rPr>
        <w:t xml:space="preserve">They will </w:t>
      </w:r>
      <w:r>
        <w:rPr>
          <w:u w:val="single"/>
          <w:lang w:val="en_US" w:bidi="en_US"/>
        </w:rPr>
        <w:t>break</w:t>
      </w:r>
      <w:r>
        <w:rPr>
          <w:lang w:val="en_US" w:bidi="en_US"/>
        </w:rPr>
        <w:t xml:space="preserve"> your</w:t>
      </w:r>
      <w:r>
        <w:rPr>
          <w:vertAlign w:val="superscript"/>
          <w:lang w:val="en_US" w:bidi="en_US"/>
        </w:rPr>
        <w:t>(sing)</w:t>
      </w:r>
      <w:r>
        <w:rPr>
          <w:lang w:val="en_US" w:bidi="en_US"/>
        </w:rPr>
        <w:t xml:space="preserve"> walls to the ground and they will </w:t>
      </w:r>
      <w:r>
        <w:rPr>
          <w:u w:val="single"/>
          <w:lang w:val="en_US" w:bidi="en_US"/>
        </w:rPr>
        <w:t>kill</w:t>
      </w:r>
      <w:r>
        <w:rPr>
          <w:lang w:val="en_US" w:bidi="en_US"/>
        </w:rPr>
        <w:t xml:space="preserve"> your</w:t>
      </w:r>
      <w:r>
        <w:rPr>
          <w:vertAlign w:val="superscript"/>
          <w:lang w:val="en_US" w:bidi="en_US"/>
        </w:rPr>
        <w:t>(sing)</w:t>
      </w:r>
      <w:r>
        <w:rPr>
          <w:lang w:val="en_US" w:bidi="en_US"/>
        </w:rPr>
        <w:t xml:space="preserve"> people by smashing them against the ground.</w:t>
      </w:r>
    </w:p>
    <w:p>
      <w:pPr/>
      <w:r>
        <w:rPr>
          <w:lang w:val="en_US" w:bidi="en_US"/>
        </w:rPr>
      </w:r>
      <w:r>
        <w:rPr>
          <w:b/>
          <w:lang w:val="en_US" w:bidi="en_US"/>
        </w:rPr>
        <w:t>you and the children within your walls:</w:t>
      </w:r>
      <w:r>
        <w:rPr>
          <w:lang w:val="en_US" w:bidi="en_US"/>
        </w:rPr>
        <w:t xml:space="preserve"> Here Jesus continued to use a figure of speech to speak of Jerusalem. He spoke as though Jerusalem were a mother and its people were her children. In this context he was saying that the enemy would destroy the city itself and the people in the city. The word </w:t>
      </w:r>
      <w:r>
        <w:rPr>
          <w:i/>
          <w:lang w:val="en_US" w:bidi="en_US"/>
        </w:rPr>
        <w:t>children</w:t>
      </w:r>
      <w:r>
        <w:rPr>
          <w:lang w:val="en_US" w:bidi="en_US"/>
        </w:rPr>
        <w:t xml:space="preserve"> does not refer only to children. It includes all the people in Jerusalem.</w:t>
      </w:r>
    </w:p>
    <w:p>
      <w:pPr/>
      <w:r>
        <w:rPr>
          <w:lang w:val="en_US" w:bidi="en_US"/>
        </w:rPr>
      </w:r>
      <w:r>
        <w:rPr>
          <w:lang w:val="en_US" w:bidi="en_US"/>
        </w:rPr>
        <w:t>In some languages people may not understand this figure of speech. You may need to translate the meaning without the figure, as in the example in the preceding note.</w:t>
      </w:r>
    </w:p>
    <w:p>
      <w:pPr/>
      <w:r>
        <w:rPr>
          <w:lang w:val="en_US" w:bidi="en_US"/>
        </w:rPr>
      </w:r>
      <w:r>
        <w:rPr>
          <w:b/>
          <w:lang w:val="en_US" w:bidi="en_US"/>
        </w:rPr>
        <w:t>within your walls:</w:t>
      </w:r>
      <w:r>
        <w:rPr>
          <w:lang w:val="en_US" w:bidi="en_US"/>
        </w:rPr>
        <w:t xml:space="preserve"> The city of Jerusalem was surrounded by high walls that protected it from enemies. However, here the Greek text does not actually mention these walls. It says “within you.” The BSB has supplied </w:t>
      </w:r>
      <w:r>
        <w:rPr>
          <w:i/>
          <w:lang w:val="en_US" w:bidi="en_US"/>
        </w:rPr>
        <w:t>your walls</w:t>
      </w:r>
      <w:r>
        <w:rPr>
          <w:lang w:val="en_US" w:bidi="en_US"/>
        </w:rPr>
        <w:t xml:space="preserve"> in order to make clear that Jesus was still speaking to the city about its people. Other ways to translate it are:</w:t>
      </w:r>
    </w:p>
    <w:p>
      <w:pPr/>
      <w:r>
        <w:rPr>
          <w:lang w:val="en_US" w:bidi="en_US"/>
        </w:rPr>
      </w:r>
      <w:r>
        <w:rPr>
          <w:lang w:val="en_US" w:bidi="en_US"/>
        </w:rPr>
        <w:t>who live within you</w:t>
      </w:r>
      <w:r>
        <w:rPr>
          <w:vertAlign w:val="superscript"/>
          <w:lang w:val="en_US" w:bidi="en_US"/>
        </w:rPr>
        <w:t>(sing)</w:t>
      </w:r>
    </w:p>
    <w:p>
      <w:pPr/>
      <w:r>
        <w:rPr>
          <w:lang w:val="en_US" w:bidi="en_US"/>
        </w:rPr>
      </w:r>
      <w:r>
        <w:rPr>
          <w:lang w:val="en_US" w:bidi="en_US"/>
        </w:rPr>
        <w:t>in the/your city</w:t>
      </w:r>
    </w:p>
    <w:p>
      <w:pPr>
        <w:pStyle w:val="Heading5"/>
      </w:pPr>
      <w:r>
        <w:rPr>
          <w:lang w:val="en_US" w:bidi="en_US"/>
        </w:rPr>
        <w:t>19:44b</w:t>
      </w:r>
    </w:p>
    <w:p>
      <w:pPr/>
      <w:r>
        <w:rPr>
          <w:lang w:val="en_US" w:bidi="en_US"/>
        </w:rPr>
      </w:r>
      <w:r>
        <w:rPr>
          <w:b/>
          <w:lang w:val="en_US" w:bidi="en_US"/>
        </w:rPr>
        <w:t>They will not leave one stone on another,</w:t>
      </w:r>
    </w:p>
    <w:p>
      <w:pPr>
        <w:pStyle w:val="ListBullet"/>
        <w:spacing w:line="240" w:lineRule="auto"/>
        <w:ind w:left="720"/>
      </w:pPr>
      <w:r>
        <w:rPr>
          <w:lang w:val="en_US" w:bidi="en_US"/>
        </w:rPr>
      </w:r>
      <w:r>
        <w:rPr>
          <w:lang w:val="en_US" w:bidi="en_US"/>
        </w:rPr>
        <w:t>They will pull down every stone,</w:t>
      </w:r>
    </w:p>
    <w:p>
      <w:pPr>
        <w:pStyle w:val="ListBullet"/>
        <w:spacing w:line="240" w:lineRule="auto"/>
        <w:ind w:left="720"/>
      </w:pPr>
      <w:r>
        <w:rPr>
          <w:lang w:val="en_US" w:bidi="en_US"/>
        </w:rPr>
      </w:r>
      <w:r>
        <w:rPr>
          <w:lang w:val="en_US" w:bidi="en_US"/>
        </w:rPr>
        <w:t>They will completely destroy your</w:t>
      </w:r>
      <w:r>
        <w:rPr>
          <w:vertAlign w:val="superscript"/>
          <w:lang w:val="en_US" w:bidi="en_US"/>
        </w:rPr>
        <w:t>(plur)</w:t>
      </w:r>
      <w:r>
        <w:rPr>
          <w:lang w:val="en_US" w:bidi="en_US"/>
        </w:rPr>
        <w:t xml:space="preserve"> buildings and walls.</w:t>
      </w:r>
    </w:p>
    <w:p>
      <w:pPr/>
      <w:r>
        <w:rPr>
          <w:lang w:val="en_US" w:bidi="en_US"/>
        </w:rPr>
      </w:r>
      <w:r>
        <w:rPr>
          <w:b/>
          <w:lang w:val="en_US" w:bidi="en_US"/>
        </w:rPr>
        <w:t>They will not leave one stone on another:</w:t>
      </w:r>
      <w:r>
        <w:rPr>
          <w:lang w:val="en_US" w:bidi="en_US"/>
        </w:rPr>
        <w:t xml:space="preserve"> The Greek phrase that the BSB translates literally as </w:t>
      </w:r>
      <w:r>
        <w:rPr>
          <w:i/>
          <w:lang w:val="en_US" w:bidi="en_US"/>
        </w:rPr>
        <w:t>They will not leave one stone on another</w:t>
      </w:r>
      <w:r>
        <w:rPr>
          <w:lang w:val="en_US" w:bidi="en_US"/>
        </w:rPr>
        <w:t xml:space="preserve"> indicates that they will knock down every single stone. This is a figure of speech called hyperbole. It emphasizes that the enemy soldiers would completely destroy the city. It does not mean literally that no stone would be on top of any other stone.</w:t>
      </w:r>
    </w:p>
    <w:p>
      <w:pPr/>
      <w:r>
        <w:rPr>
          <w:lang w:val="en_US" w:bidi="en_US"/>
        </w:rPr>
      </w:r>
      <w:r>
        <w:rPr>
          <w:lang w:val="en_US" w:bidi="en_US"/>
        </w:rPr>
        <w:t>Other ways to translate this are:</w:t>
      </w:r>
    </w:p>
    <w:p>
      <w:pPr/>
      <w:r>
        <w:rPr>
          <w:lang w:val="en_US" w:bidi="en_US"/>
        </w:rPr>
      </w:r>
      <w:r>
        <w:rPr>
          <w:lang w:val="en_US" w:bidi="en_US"/>
        </w:rPr>
        <w:t>not a single building or wall will be left standing</w:t>
      </w:r>
    </w:p>
    <w:p>
      <w:pPr/>
      <w:r>
        <w:rPr>
          <w:lang w:val="en_US" w:bidi="en_US"/>
        </w:rPr>
      </w:r>
      <w:r>
        <w:rPr>
          <w:lang w:val="en_US" w:bidi="en_US"/>
        </w:rPr>
        <w:t>your walls and buildings will be completely destroyed</w:t>
      </w:r>
    </w:p>
    <w:p>
      <w:pPr>
        <w:pStyle w:val="Heading5"/>
      </w:pPr>
      <w:r>
        <w:rPr>
          <w:lang w:val="en_US" w:bidi="en_US"/>
        </w:rPr>
        <w:t>19:44c</w:t>
      </w:r>
    </w:p>
    <w:p>
      <w:pPr/>
      <w:r>
        <w:rPr>
          <w:lang w:val="en_US" w:bidi="en_US"/>
        </w:rPr>
      </w:r>
      <w:r>
        <w:rPr>
          <w:b/>
          <w:lang w:val="en_US" w:bidi="en_US"/>
        </w:rPr>
        <w:t>because you did not recognize the time of your visitation from God.”</w:t>
      </w:r>
    </w:p>
    <w:p>
      <w:pPr>
        <w:pStyle w:val="ListBullet"/>
        <w:spacing w:line="240" w:lineRule="auto"/>
        <w:ind w:left="720"/>
      </w:pPr>
      <w:r>
        <w:rPr>
          <w:lang w:val="en_US" w:bidi="en_US"/>
        </w:rPr>
      </w:r>
      <w:r>
        <w:rPr>
          <w:lang w:val="en_US" w:bidi="en_US"/>
        </w:rPr>
        <w:t>because you</w:t>
      </w:r>
      <w:r>
        <w:rPr>
          <w:vertAlign w:val="superscript"/>
          <w:lang w:val="en_US" w:bidi="en_US"/>
        </w:rPr>
        <w:t>(sing)</w:t>
      </w:r>
      <w:r>
        <w:rPr>
          <w:lang w:val="en_US" w:bidi="en_US"/>
        </w:rPr>
        <w:t xml:space="preserve"> did not recognize/understand the time of God’s visit </w:t>
      </w:r>
      <w:r>
        <w:rPr>
          <w:lang w:val="en_US" w:bidi="en_US"/>
        </w:rPr>
        <w:t>of mercy</w:t>
      </w:r>
      <w:r>
        <w:rPr>
          <w:lang w:val="en_US" w:bidi="en_US"/>
        </w:rPr>
        <w:t xml:space="preserve"> to you.”</w:t>
      </w:r>
    </w:p>
    <w:p>
      <w:pPr>
        <w:pStyle w:val="ListBullet"/>
        <w:spacing w:line="240" w:lineRule="auto"/>
        <w:ind w:left="720"/>
      </w:pPr>
      <w:r>
        <w:rPr>
          <w:lang w:val="en_US" w:bidi="en_US"/>
        </w:rPr>
      </w:r>
      <w:r>
        <w:rPr>
          <w:lang w:val="en_US" w:bidi="en_US"/>
        </w:rPr>
        <w:t>They will do all this</w:t>
      </w:r>
      <w:r>
        <w:rPr>
          <w:lang w:val="en_US" w:bidi="en_US"/>
        </w:rPr>
        <w:t xml:space="preserve"> because you</w:t>
      </w:r>
      <w:r>
        <w:rPr>
          <w:vertAlign w:val="superscript"/>
          <w:lang w:val="en_US" w:bidi="en_US"/>
        </w:rPr>
        <w:t>(plur)</w:t>
      </w:r>
      <w:r>
        <w:rPr>
          <w:lang w:val="en_US" w:bidi="en_US"/>
        </w:rPr>
        <w:t xml:space="preserve"> did not recognize when God came </w:t>
      </w:r>
      <w:r>
        <w:rPr>
          <w:lang w:val="en_US" w:bidi="en_US"/>
        </w:rPr>
        <w:t>as the Messiah</w:t>
      </w:r>
      <w:r>
        <w:rPr>
          <w:lang w:val="en_US" w:bidi="en_US"/>
        </w:rPr>
        <w:t xml:space="preserve"> </w:t>
      </w:r>
      <w:r>
        <w:rPr>
          <w:lang w:val="en_US" w:bidi="en_US"/>
        </w:rPr>
        <w:t>to save you</w:t>
      </w:r>
      <w:r>
        <w:rPr>
          <w:lang w:val="en_US" w:bidi="en_US"/>
        </w:rPr>
        <w:t>.”</w:t>
      </w:r>
    </w:p>
    <w:p>
      <w:pPr/>
      <w:r>
        <w:rPr>
          <w:lang w:val="en_US" w:bidi="en_US"/>
        </w:rPr>
      </w:r>
      <w:r>
        <w:rPr>
          <w:b/>
          <w:lang w:val="en_US" w:bidi="en_US"/>
        </w:rPr>
        <w:t>because you did not recognize the time of your visitation from God:</w:t>
      </w:r>
      <w:r>
        <w:rPr>
          <w:lang w:val="en_US" w:bidi="en_US"/>
        </w:rPr>
        <w:t xml:space="preserve"> This clause gives the reason for the things that would happen in 19:43–44. In some languages it may be helpful to make the connection more explicit. For example:</w:t>
      </w:r>
    </w:p>
    <w:p>
      <w:pPr/>
      <w:r>
        <w:rPr>
          <w:lang w:val="en_US" w:bidi="en_US"/>
        </w:rPr>
      </w:r>
      <w:r>
        <w:rPr>
          <w:lang w:val="en_US" w:bidi="en_US"/>
        </w:rPr>
        <w:t>All this will happen</w:t>
      </w:r>
      <w:r>
        <w:rPr>
          <w:lang w:val="en_US" w:bidi="en_US"/>
        </w:rPr>
        <w:t xml:space="preserve"> because you did not recognize…</w:t>
      </w:r>
    </w:p>
    <w:p>
      <w:pPr/>
      <w:r>
        <w:rPr>
          <w:lang w:val="en_US" w:bidi="en_US"/>
        </w:rPr>
      </w:r>
      <w:r>
        <w:rPr>
          <w:b/>
          <w:lang w:val="en_US" w:bidi="en_US"/>
        </w:rPr>
        <w:t>your visitation from God:</w:t>
      </w:r>
      <w:r>
        <w:rPr>
          <w:lang w:val="en_US" w:bidi="en_US"/>
        </w:rPr>
        <w:t xml:space="preserve"> The Greek phrase that the BSB translates literally as </w:t>
      </w:r>
      <w:r>
        <w:rPr>
          <w:i/>
          <w:lang w:val="en_US" w:bidi="en_US"/>
        </w:rPr>
        <w:t>your visitation</w:t>
      </w:r>
      <w:r>
        <w:rPr>
          <w:lang w:val="en_US" w:bidi="en_US"/>
        </w:rPr>
        <w:t xml:space="preserve"> reflects a Hebrew term with the same meaning that occurs often in the Old Testament. Both terms refer to a special visit by God to bring judgment or mercy. In this context it refers to a visit of mercy. It indicates that God had visited the people of Jerusalem in the person of Jesus, the Messiah. He came to save and bless them.</w:t>
      </w:r>
    </w:p>
    <w:p>
      <w:pPr/>
      <w:r>
        <w:rPr>
          <w:lang w:val="en_US" w:bidi="en_US"/>
        </w:rPr>
      </w:r>
      <w:r>
        <w:rPr>
          <w:lang w:val="en_US" w:bidi="en_US"/>
        </w:rPr>
        <w:t>It is recommended that you make clear that God is the one who visits, as the BSB does and as a number of English versions also do:</w:t>
      </w:r>
    </w:p>
    <w:p>
      <w:pPr/>
      <w:r>
        <w:rPr>
          <w:lang w:val="en_US" w:bidi="en_US"/>
        </w:rPr>
      </w:r>
      <w:r>
        <w:rPr>
          <w:lang w:val="en_US" w:bidi="en_US"/>
        </w:rPr>
        <w:t xml:space="preserve">your visitation </w:t>
      </w:r>
      <w:r>
        <w:rPr>
          <w:u w:val="single"/>
          <w:lang w:val="en_US" w:bidi="en_US"/>
        </w:rPr>
        <w:t>from God</w:t>
      </w:r>
      <w:r>
        <w:rPr>
          <w:lang w:val="en_US" w:bidi="en_US"/>
        </w:rPr>
        <w:t xml:space="preserve"> (NRSV)</w:t>
      </w:r>
    </w:p>
    <w:p>
      <w:pPr/>
      <w:r>
        <w:rPr>
          <w:lang w:val="en_US" w:bidi="en_US"/>
        </w:rPr>
      </w:r>
      <w:r>
        <w:rPr>
          <w:u w:val="single"/>
          <w:lang w:val="en_US" w:bidi="en_US"/>
        </w:rPr>
        <w:t>God’s</w:t>
      </w:r>
      <w:r>
        <w:rPr>
          <w:lang w:val="en_US" w:bidi="en_US"/>
        </w:rPr>
        <w:t xml:space="preserve"> coming to you (NIV)</w:t>
      </w:r>
    </w:p>
    <w:p>
      <w:pPr/>
      <w:r>
        <w:rPr>
          <w:lang w:val="en_US" w:bidi="en_US"/>
        </w:rPr>
      </w:r>
      <w:r>
        <w:rPr>
          <w:lang w:val="en_US" w:bidi="en_US"/>
        </w:rPr>
        <w:t>It may also be helpful to make clear the reason for this visit:</w:t>
      </w:r>
    </w:p>
    <w:p>
      <w:pPr/>
      <w:r>
        <w:rPr>
          <w:lang w:val="en_US" w:bidi="en_US"/>
        </w:rPr>
      </w:r>
      <w:r>
        <w:rPr>
          <w:lang w:val="en_US" w:bidi="en_US"/>
        </w:rPr>
        <w:t xml:space="preserve">when God came to you </w:t>
      </w:r>
      <w:r>
        <w:rPr>
          <w:u w:val="single"/>
          <w:lang w:val="en_US" w:bidi="en_US"/>
        </w:rPr>
        <w:t>in/with mercy</w:t>
      </w:r>
    </w:p>
    <w:p>
      <w:pPr/>
      <w:r>
        <w:rPr>
          <w:lang w:val="en_US" w:bidi="en_US"/>
        </w:rPr>
      </w:r>
      <w:r>
        <w:rPr>
          <w:lang w:val="en_US" w:bidi="en_US"/>
        </w:rPr>
        <w:t xml:space="preserve">when God came </w:t>
      </w:r>
      <w:r>
        <w:rPr>
          <w:u w:val="single"/>
          <w:lang w:val="en_US" w:bidi="en_US"/>
        </w:rPr>
        <w:t>to save you</w:t>
      </w:r>
      <w:r>
        <w:rPr>
          <w:lang w:val="en_US" w:bidi="en_US"/>
        </w:rPr>
        <w:t xml:space="preserve"> (GNT)</w:t>
      </w:r>
      <w:r>
        <w:rPr>
          <w:lang w:val="en_US" w:bidi="en_US"/>
        </w:rPr>
      </w:r>
      <w:r>
        <w:rPr>
          <w:lang w:val="en_US" w:bidi="en_US"/>
        </w:rPr>
      </w:r>
    </w:p>
    <w:p>
      <w:pPr/>
      <w:r>
        <w:rPr>
          <w:lang w:val="en_US" w:bidi="en_US"/>
        </w:rPr>
      </w:r>
    </w:p>
    <w:p>
      <w:pPr>
        <w:pStyle w:val="Heading2"/>
      </w:pPr>
      <w:r>
        <w:rPr>
          <w:lang w:val="en_US" w:bidi="en_US"/>
        </w:rPr>
        <w:t>Luke 19:45</w:t>
      </w:r>
      <w:r>
        <w:rPr>
          <w:lang w:val="en_US" w:bidi="en_US"/>
        </w:rPr>
      </w:r>
    </w:p>
    <w:p>
      <w:pPr>
        <w:pStyle w:val="Heading4"/>
      </w:pPr>
      <w:r>
        <w:rPr>
          <w:lang w:val="en_US" w:bidi="en_US"/>
        </w:rPr>
        <w:t>Section 19:45–48: Jesus expelled sellers from the temple courtyard</w:t>
      </w:r>
    </w:p>
    <w:p>
      <w:pPr/>
      <w:r>
        <w:rPr>
          <w:lang w:val="en_US" w:bidi="en_US"/>
        </w:rPr>
      </w:r>
      <w:r>
        <w:rPr>
          <w:lang w:val="en_US" w:bidi="en_US"/>
        </w:rPr>
        <w:t>In this section, Jesus went to the temple in the city of Jerusalem. There he drove out the people who were selling things in the temple area. Then he quoted what God said in Isaiah 56:7: God intended his temple to be a place of prayer. Then Jesus told them that in contrast, they had made it “a den of robbers.” This is a reference to Jeremiah 7:11, where God used this phrase to accuse people who had done evil things in his temple. By using this phrase, Jesus implied that the sellers were cheating people and working against God’s purpose for the temple.</w:t>
      </w:r>
    </w:p>
    <w:p>
      <w:pPr/>
      <w:r>
        <w:rPr>
          <w:lang w:val="en_US" w:bidi="en_US"/>
        </w:rPr>
      </w:r>
      <w:r>
        <w:rPr>
          <w:lang w:val="en_US" w:bidi="en_US"/>
        </w:rPr>
        <w:t>At the end of this section, Luke summarized the events of the next few days. Jesus taught in the temple. The Jewish leaders were angry and wanted to kill him. But they could not do it because he was surrounded by many people who listened eagerly to his teachings.</w:t>
      </w:r>
    </w:p>
    <w:p>
      <w:pPr/>
      <w:r>
        <w:rPr>
          <w:lang w:val="en_US" w:bidi="en_US"/>
        </w:rPr>
      </w:r>
      <w:r>
        <w:rPr>
          <w:lang w:val="en_US" w:bidi="en_US"/>
        </w:rPr>
        <w:t>Other examples of headings for this section are:</w:t>
      </w:r>
    </w:p>
    <w:p>
      <w:pPr/>
      <w:r>
        <w:rPr>
          <w:lang w:val="en_US" w:bidi="en_US"/>
        </w:rPr>
      </w:r>
      <w:r>
        <w:rPr>
          <w:lang w:val="en_US" w:bidi="en_US"/>
        </w:rPr>
        <w:t>Jesus Goes to the Temple (GNT)</w:t>
      </w:r>
    </w:p>
    <w:p>
      <w:pPr/>
      <w:r>
        <w:rPr>
          <w:lang w:val="en_US" w:bidi="en_US"/>
        </w:rPr>
      </w:r>
      <w:r>
        <w:rPr>
          <w:lang w:val="en_US" w:bidi="en_US"/>
        </w:rPr>
        <w:t>Jesus Clears the Temple (NLT)</w:t>
      </w:r>
    </w:p>
    <w:p>
      <w:pPr/>
      <w:r>
        <w:rPr>
          <w:lang w:val="en_US" w:bidi="en_US"/>
        </w:rPr>
      </w:r>
      <w:r>
        <w:rPr>
          <w:lang w:val="en_US" w:bidi="en_US"/>
        </w:rPr>
        <w:t>Jesus sends the merchants from the temple</w:t>
      </w:r>
    </w:p>
    <w:p>
      <w:pPr/>
      <w:r>
        <w:rPr>
          <w:lang w:val="en_US" w:bidi="en_US"/>
        </w:rPr>
      </w:r>
      <w:r>
        <w:rPr>
          <w:lang w:val="en_US" w:bidi="en_US"/>
        </w:rPr>
        <w:t>Parallel passages for this section occur in Matthew 21:12–17, Mark 11:15–18, and John 2:13–16.</w:t>
      </w:r>
    </w:p>
    <w:p>
      <w:pPr>
        <w:pStyle w:val="Heading5"/>
      </w:pPr>
      <w:r>
        <w:rPr>
          <w:lang w:val="en_US" w:bidi="en_US"/>
        </w:rPr>
        <w:t>19:45a</w:t>
      </w:r>
    </w:p>
    <w:p>
      <w:pPr/>
      <w:r>
        <w:rPr>
          <w:lang w:val="en_US" w:bidi="en_US"/>
        </w:rPr>
      </w:r>
      <w:r>
        <w:rPr>
          <w:b/>
          <w:lang w:val="en_US" w:bidi="en_US"/>
        </w:rPr>
        <w:t>Then Jesus entered the temple courts</w:t>
      </w:r>
    </w:p>
    <w:p>
      <w:pPr>
        <w:pStyle w:val="ListBullet"/>
        <w:spacing w:line="240" w:lineRule="auto"/>
        <w:ind w:left="720"/>
      </w:pPr>
      <w:r>
        <w:rPr>
          <w:lang w:val="en_US" w:bidi="en_US"/>
        </w:rPr>
      </w:r>
      <w:r>
        <w:rPr>
          <w:lang w:val="en_US" w:bidi="en_US"/>
        </w:rPr>
        <w:t xml:space="preserve">¶ </w:t>
      </w:r>
      <w:r>
        <w:rPr>
          <w:lang w:val="en_US" w:bidi="en_US"/>
        </w:rPr>
        <w:t>After this,</w:t>
      </w:r>
      <w:r>
        <w:rPr>
          <w:lang w:val="en_US" w:bidi="en_US"/>
        </w:rPr>
        <w:t xml:space="preserve"> Jesus entered the temple,</w:t>
      </w:r>
    </w:p>
    <w:p>
      <w:pPr>
        <w:pStyle w:val="ListBullet"/>
        <w:spacing w:line="240" w:lineRule="auto"/>
        <w:ind w:left="720"/>
      </w:pPr>
      <w:r>
        <w:rPr>
          <w:lang w:val="en_US" w:bidi="en_US"/>
        </w:rPr>
      </w:r>
      <w:r>
        <w:rPr>
          <w:lang w:val="en_US" w:bidi="en_US"/>
        </w:rPr>
        <w:t xml:space="preserve">¶ </w:t>
      </w:r>
      <w:r>
        <w:rPr>
          <w:lang w:val="en_US" w:bidi="en_US"/>
        </w:rPr>
        <w:t>After arriving in Jerusalem,</w:t>
      </w:r>
      <w:r>
        <w:rPr>
          <w:lang w:val="en_US" w:bidi="en_US"/>
        </w:rPr>
        <w:t xml:space="preserve"> Jesus went into the temple </w:t>
      </w:r>
      <w:r>
        <w:rPr>
          <w:lang w:val="en_US" w:bidi="en_US"/>
        </w:rPr>
        <w:t>courtyard</w:t>
      </w:r>
      <w:r>
        <w:rPr>
          <w:lang w:val="en_US" w:bidi="en_US"/>
        </w:rPr>
        <w:t>.</w:t>
      </w:r>
    </w:p>
    <w:p>
      <w:pPr/>
      <w:r>
        <w:rPr>
          <w:lang w:val="en_US" w:bidi="en_US"/>
        </w:rPr>
      </w:r>
      <w:r>
        <w:rPr>
          <w:b/>
          <w:lang w:val="en_US" w:bidi="en_US"/>
        </w:rPr>
        <w:t>Then Jesus entered the temple courts:</w:t>
      </w:r>
      <w:r>
        <w:rPr>
          <w:lang w:val="en_US" w:bidi="en_US"/>
        </w:rPr>
        <w:t xml:space="preserve"> The word</w:t>
      </w:r>
      <w:r>
        <w:rPr>
          <w:lang w:val="en_US" w:bidi="en_US"/>
        </w:rPr>
        <w:t xml:space="preserve">Luke’s use of </w:t>
      </w:r>
      <w:r>
        <w:rPr>
          <w:i/>
          <w:lang w:val="en_US" w:bidi="en_US"/>
        </w:rPr>
        <w:t>και</w:t>
      </w:r>
      <w:r>
        <w:rPr>
          <w:lang w:val="en_US" w:bidi="en_US"/>
        </w:rPr>
        <w:t xml:space="preserve"> here may reflect his purpose to show a close connection between Jesus’ Messianic entry into Jerusalem (and the Pharisee’s rejection of him as Messiah) and the cleansing of the temple. Alternatively, the </w:t>
      </w:r>
      <w:r>
        <w:rPr>
          <w:i/>
          <w:lang w:val="en_US" w:bidi="en_US"/>
        </w:rPr>
        <w:t>και</w:t>
      </w:r>
      <w:r>
        <w:rPr>
          <w:lang w:val="en_US" w:bidi="en_US"/>
        </w:rPr>
        <w:t xml:space="preserve"> may simply be brought over from Mark 11:15, as the wording of Luke 19:45 matches Mark’s wording exactly.</w:t>
      </w:r>
      <w:r>
        <w:rPr>
          <w:lang w:val="en_US" w:bidi="en_US"/>
        </w:rPr>
        <w:t xml:space="preserve"> </w:t>
      </w:r>
      <w:r>
        <w:rPr>
          <w:i/>
          <w:lang w:val="en_US" w:bidi="en_US"/>
        </w:rPr>
        <w:t>Then</w:t>
      </w:r>
      <w:r>
        <w:rPr>
          <w:lang w:val="en_US" w:bidi="en_US"/>
        </w:rPr>
        <w:t xml:space="preserve"> introduces what happened sometime after Jesus had come into Jerusalem. In your translation, it may be helpful to indicate that the events of 19:45 did not occur immediately after Jesus finished speaking in 19:44. Before Jesus entered the temple in 19:45, he completed his journey and came into the city of Jerusalem.</w:t>
      </w:r>
    </w:p>
    <w:p>
      <w:pPr/>
      <w:r>
        <w:rPr>
          <w:lang w:val="en_US" w:bidi="en_US"/>
        </w:rPr>
      </w:r>
      <w:r>
        <w:rPr>
          <w:b/>
          <w:lang w:val="en_US" w:bidi="en_US"/>
        </w:rPr>
        <w:t>Jesus entered:</w:t>
      </w:r>
      <w:r>
        <w:rPr>
          <w:lang w:val="en_US" w:bidi="en_US"/>
        </w:rPr>
        <w:t xml:space="preserve"> The word that the BSB translates as </w:t>
      </w:r>
      <w:r>
        <w:rPr>
          <w:i/>
          <w:lang w:val="en_US" w:bidi="en_US"/>
        </w:rPr>
        <w:t>Jesus entered</w:t>
      </w:r>
      <w:r>
        <w:rPr>
          <w:lang w:val="en_US" w:bidi="en_US"/>
        </w:rPr>
        <w:t xml:space="preserve"> is literally “entering.” Many English versions say “he entered.” For clarity, it may be helpful to use the name </w:t>
      </w:r>
      <w:r>
        <w:rPr>
          <w:i/>
          <w:lang w:val="en_US" w:bidi="en_US"/>
        </w:rPr>
        <w:t>Jesus</w:t>
      </w:r>
      <w:r>
        <w:rPr>
          <w:lang w:val="en_US" w:bidi="en_US"/>
        </w:rPr>
        <w:t>, as the BSB and several other English versions do.</w:t>
      </w:r>
    </w:p>
    <w:p>
      <w:pPr/>
      <w:r>
        <w:rPr>
          <w:lang w:val="en_US" w:bidi="en_US"/>
        </w:rPr>
      </w:r>
      <w:r>
        <w:rPr>
          <w:b/>
          <w:lang w:val="en_US" w:bidi="en_US"/>
        </w:rPr>
        <w:t>the temple courts:</w:t>
      </w:r>
      <w:r>
        <w:rPr>
          <w:lang w:val="en_US" w:bidi="en_US"/>
        </w:rPr>
        <w:t xml:space="preserve"> The Greek word that the BSB translates as </w:t>
      </w:r>
      <w:r>
        <w:rPr>
          <w:i/>
          <w:lang w:val="en_US" w:bidi="en_US"/>
        </w:rPr>
        <w:t>temple courts</w:t>
      </w:r>
      <w:r>
        <w:rPr>
          <w:lang w:val="en_US" w:bidi="en_US"/>
        </w:rPr>
        <w:t xml:space="preserve"> is literally just “temple” (as in most English versions). The </w:t>
      </w:r>
      <w:r>
        <w:rPr>
          <w:i/>
          <w:lang w:val="en_US" w:bidi="en_US"/>
        </w:rPr>
        <w:t>temple</w:t>
      </w:r>
      <w:r>
        <w:rPr>
          <w:lang w:val="en_US" w:bidi="en_US"/>
        </w:rPr>
        <w:t xml:space="preserve"> consisted of the temple building itself and the walls and courtyards that surrounded it. Here </w:t>
      </w:r>
      <w:r>
        <w:rPr>
          <w:i/>
          <w:lang w:val="en_US" w:bidi="en_US"/>
        </w:rPr>
        <w:t>temple</w:t>
      </w:r>
      <w:r>
        <w:rPr>
          <w:lang w:val="en_US" w:bidi="en_US"/>
        </w:rPr>
        <w:t xml:space="preserve"> refers specifically to the large outer courtyard, and not to the temple building itself.</w:t>
      </w:r>
    </w:p>
    <w:p>
      <w:pPr/>
      <w:r>
        <w:rPr>
          <w:lang w:val="en_US" w:bidi="en_US"/>
        </w:rPr>
      </w:r>
      <w:r>
        <w:rPr>
          <w:lang w:val="en_US" w:bidi="en_US"/>
        </w:rPr>
        <w:t xml:space="preserve">Some English versions have made this clear by translating </w:t>
      </w:r>
      <w:r>
        <w:rPr>
          <w:i/>
          <w:lang w:val="en_US" w:bidi="en_US"/>
        </w:rPr>
        <w:t>temple</w:t>
      </w:r>
      <w:r>
        <w:rPr>
          <w:lang w:val="en_US" w:bidi="en_US"/>
        </w:rPr>
        <w:t xml:space="preserve"> as “temple area” (NIV), “temple grounds” (NASB), or “temple courtyard” (GW). You may want to do this also if your word or phrase for “temple” would make readers think that Jesus entered the temple building. If not, you can simply say “temple.”</w:t>
      </w:r>
    </w:p>
    <w:p>
      <w:pPr/>
      <w:r>
        <w:rPr>
          <w:lang w:val="en_US" w:bidi="en_US"/>
        </w:rPr>
      </w:r>
      <w:r>
        <w:rPr>
          <w:lang w:val="en_US" w:bidi="en_US"/>
        </w:rPr>
        <w:t xml:space="preserve">Some ways to translate the term </w:t>
      </w:r>
      <w:r>
        <w:rPr>
          <w:i/>
          <w:lang w:val="en_US" w:bidi="en_US"/>
        </w:rPr>
        <w:t>temple courts</w:t>
      </w:r>
      <w:r>
        <w:rPr>
          <w:lang w:val="en_US" w:bidi="en_US"/>
        </w:rPr>
        <w:t xml:space="preserve"> are:</w:t>
      </w:r>
    </w:p>
    <w:p>
      <w:pPr>
        <w:pStyle w:val="ListBullet"/>
        <w:spacing w:line="240" w:lineRule="auto"/>
        <w:ind w:left="720"/>
      </w:pPr>
      <w:r>
        <w:rPr>
          <w:lang w:val="en_US" w:bidi="en_US"/>
        </w:rPr>
      </w:r>
      <w:r>
        <w:rPr>
          <w:lang w:val="en_US" w:bidi="en_US"/>
        </w:rPr>
        <w:t>Use a descriptive phrase. For example:</w:t>
      </w:r>
      <w:r>
        <w:rPr>
          <w:lang w:val="en_US" w:bidi="en_US"/>
        </w:rPr>
        <w:t>courtyard of the house of God</w:t>
      </w:r>
      <w:r>
        <w:rPr>
          <w:lang w:val="en_US" w:bidi="en_US"/>
        </w:rPr>
        <w:t>courtyard of the house of sacrifice</w:t>
      </w:r>
      <w:r>
        <w:rPr>
          <w:lang w:val="en_US" w:bidi="en_US"/>
        </w:rPr>
        <w:t>courtyard of the house of worship</w:t>
      </w:r>
      <w:r>
        <w:rPr>
          <w:lang w:val="en_US" w:bidi="en_US"/>
        </w:rPr>
        <w:t>holy/sacred house courtyard</w:t>
      </w:r>
    </w:p>
    <w:p>
      <w:pPr>
        <w:pStyle w:val="ListBullet"/>
        <w:spacing w:line="240" w:lineRule="auto"/>
        <w:ind w:left="720"/>
      </w:pPr>
      <w:r>
        <w:rPr>
          <w:lang w:val="en_US" w:bidi="en_US"/>
        </w:rPr>
      </w:r>
      <w:r>
        <w:rPr>
          <w:lang w:val="en_US" w:bidi="en_US"/>
        </w:rPr>
        <w:t xml:space="preserve">If your language has a word for </w:t>
      </w:r>
      <w:r>
        <w:rPr>
          <w:i/>
          <w:lang w:val="en_US" w:bidi="en_US"/>
        </w:rPr>
        <w:t>temple</w:t>
      </w:r>
      <w:r>
        <w:rPr>
          <w:lang w:val="en_US" w:bidi="en_US"/>
        </w:rPr>
        <w:t>, consider using it. But you may need to modify it by saying:</w:t>
      </w:r>
      <w:r>
        <w:rPr>
          <w:lang w:val="en_US" w:bidi="en_US"/>
        </w:rPr>
        <w:t xml:space="preserve">courtyard of the temple </w:t>
      </w:r>
      <w:r>
        <w:rPr>
          <w:u w:val="single"/>
          <w:lang w:val="en_US" w:bidi="en_US"/>
        </w:rPr>
        <w:t>of the Jews/Lord</w:t>
      </w:r>
      <w:r>
        <w:rPr>
          <w:u w:val="single"/>
          <w:lang w:val="en_US" w:bidi="en_US"/>
        </w:rPr>
        <w:t>big/great</w:t>
      </w:r>
      <w:r>
        <w:rPr>
          <w:lang w:val="en_US" w:bidi="en_US"/>
        </w:rPr>
        <w:t xml:space="preserve"> temple courtyard</w:t>
      </w:r>
    </w:p>
    <w:p>
      <w:pPr/>
      <w:r>
        <w:rPr>
          <w:lang w:val="en_US" w:bidi="en_US"/>
        </w:rPr>
      </w:r>
      <w:r>
        <w:rPr>
          <w:lang w:val="en_US" w:bidi="en_US"/>
        </w:rPr>
        <w:t xml:space="preserve">See how you translated </w:t>
      </w:r>
      <w:r>
        <w:rPr>
          <w:i/>
          <w:lang w:val="en_US" w:bidi="en_US"/>
        </w:rPr>
        <w:t>temple</w:t>
      </w:r>
      <w:r>
        <w:rPr>
          <w:lang w:val="en_US" w:bidi="en_US"/>
        </w:rPr>
        <w:t xml:space="preserve"> in 2:27 and 18:10. Also, see the word temple, Meaning 1, in the Glossary for more information about the </w:t>
      </w:r>
      <w:r>
        <w:rPr>
          <w:i/>
          <w:lang w:val="en_US" w:bidi="en_US"/>
        </w:rPr>
        <w:t>temple</w:t>
      </w:r>
      <w:r>
        <w:rPr>
          <w:lang w:val="en_US" w:bidi="en_US"/>
        </w:rPr>
        <w:t xml:space="preserve"> and how to translate it.</w:t>
      </w:r>
    </w:p>
    <w:p>
      <w:pPr>
        <w:pStyle w:val="Heading5"/>
      </w:pPr>
      <w:r>
        <w:rPr>
          <w:lang w:val="en_US" w:bidi="en_US"/>
        </w:rPr>
        <w:t>19:45b</w:t>
      </w:r>
    </w:p>
    <w:p>
      <w:pPr/>
      <w:r>
        <w:rPr>
          <w:lang w:val="en_US" w:bidi="en_US"/>
        </w:rPr>
      </w:r>
      <w:r>
        <w:rPr>
          <w:b/>
          <w:lang w:val="en_US" w:bidi="en_US"/>
        </w:rPr>
        <w:t>and began to drive out those who were selling there.</w:t>
      </w:r>
    </w:p>
    <w:p>
      <w:pPr>
        <w:pStyle w:val="ListBullet"/>
        <w:spacing w:line="240" w:lineRule="auto"/>
        <w:ind w:left="720"/>
      </w:pPr>
      <w:r>
        <w:rPr>
          <w:lang w:val="en_US" w:bidi="en_US"/>
        </w:rPr>
      </w:r>
      <w:r>
        <w:rPr>
          <w:lang w:val="en_US" w:bidi="en_US"/>
        </w:rPr>
        <w:t xml:space="preserve">and he began to force those who were selling </w:t>
      </w:r>
      <w:r>
        <w:rPr>
          <w:lang w:val="en_US" w:bidi="en_US"/>
        </w:rPr>
        <w:t>things</w:t>
      </w:r>
      <w:r>
        <w:rPr>
          <w:lang w:val="en_US" w:bidi="en_US"/>
        </w:rPr>
        <w:t xml:space="preserve"> to leave.</w:t>
      </w:r>
    </w:p>
    <w:p>
      <w:pPr>
        <w:pStyle w:val="ListBullet"/>
        <w:spacing w:line="240" w:lineRule="auto"/>
        <w:ind w:left="720"/>
      </w:pPr>
      <w:r>
        <w:rPr>
          <w:lang w:val="en_US" w:bidi="en_US"/>
        </w:rPr>
      </w:r>
      <w:r>
        <w:rPr>
          <w:lang w:val="en_US" w:bidi="en_US"/>
        </w:rPr>
        <w:t>He saw</w:t>
      </w:r>
      <w:r>
        <w:rPr>
          <w:lang w:val="en_US" w:bidi="en_US"/>
        </w:rPr>
        <w:t xml:space="preserve"> people who were selling things, and he chased them out </w:t>
      </w:r>
      <w:r>
        <w:rPr>
          <w:lang w:val="en_US" w:bidi="en_US"/>
        </w:rPr>
        <w:t>of the temple area</w:t>
      </w:r>
      <w:r>
        <w:rPr>
          <w:lang w:val="en_US" w:bidi="en_US"/>
        </w:rPr>
        <w:t>.</w:t>
      </w:r>
    </w:p>
    <w:p>
      <w:pPr>
        <w:pStyle w:val="ListBullet"/>
        <w:spacing w:line="240" w:lineRule="auto"/>
        <w:ind w:left="720"/>
      </w:pPr>
      <w:r>
        <w:rPr>
          <w:lang w:val="en_US" w:bidi="en_US"/>
        </w:rPr>
      </w:r>
      <w:r>
        <w:rPr>
          <w:lang w:val="en_US" w:bidi="en_US"/>
        </w:rPr>
        <w:t>Tradesmen/merchants were there, selling their stuff/goods. Jesus forced them to leave the temple,</w:t>
      </w:r>
    </w:p>
    <w:p>
      <w:pPr/>
      <w:r>
        <w:rPr>
          <w:lang w:val="en_US" w:bidi="en_US"/>
        </w:rPr>
      </w:r>
      <w:r>
        <w:rPr>
          <w:b/>
          <w:lang w:val="en_US" w:bidi="en_US"/>
        </w:rPr>
        <w:t>and began to drive out those who were selling there:</w:t>
      </w:r>
      <w:r>
        <w:rPr>
          <w:lang w:val="en_US" w:bidi="en_US"/>
        </w:rPr>
        <w:t xml:space="preserve"> The Greek verb that the BSB translates as </w:t>
      </w:r>
      <w:r>
        <w:rPr>
          <w:i/>
          <w:lang w:val="en_US" w:bidi="en_US"/>
        </w:rPr>
        <w:t>drive out</w:t>
      </w:r>
      <w:r>
        <w:rPr>
          <w:lang w:val="en_US" w:bidi="en_US"/>
        </w:rPr>
        <w:t xml:space="preserve"> is literally “throw out.” In this context it indicates that Jesus forced people who were selling things in the temple to leave. Some other ways to translate the action are:</w:t>
      </w:r>
    </w:p>
    <w:p>
      <w:pPr/>
      <w:r>
        <w:rPr>
          <w:lang w:val="en_US" w:bidi="en_US"/>
        </w:rPr>
      </w:r>
      <w:r>
        <w:rPr>
          <w:lang w:val="en_US" w:bidi="en_US"/>
        </w:rPr>
        <w:t>he started chasing out the people who were selling things (CEV)</w:t>
      </w:r>
    </w:p>
    <w:p>
      <w:pPr/>
      <w:r>
        <w:rPr>
          <w:lang w:val="en_US" w:bidi="en_US"/>
        </w:rPr>
      </w:r>
      <w:r>
        <w:rPr>
          <w:lang w:val="en_US" w:bidi="en_US"/>
        </w:rPr>
        <w:t>and began to throw out the people who were selling things there (NCV)</w:t>
      </w:r>
    </w:p>
    <w:p>
      <w:pPr/>
      <w:r>
        <w:rPr>
          <w:lang w:val="en_US" w:bidi="en_US"/>
        </w:rPr>
      </w:r>
      <w:r>
        <w:rPr>
          <w:b/>
          <w:lang w:val="en_US" w:bidi="en_US"/>
        </w:rPr>
        <w:t>those who were selling there:</w:t>
      </w:r>
      <w:r>
        <w:rPr>
          <w:lang w:val="en_US" w:bidi="en_US"/>
        </w:rPr>
        <w:t xml:space="preserve"> The phrase </w:t>
      </w:r>
      <w:r>
        <w:rPr>
          <w:i/>
          <w:lang w:val="en_US" w:bidi="en_US"/>
        </w:rPr>
        <w:t>those who were selling there</w:t>
      </w:r>
      <w:r>
        <w:rPr>
          <w:lang w:val="en_US" w:bidi="en_US"/>
        </w:rPr>
        <w:t xml:space="preserve"> refers to people who sold things in the temple area. They sold things that people needed for sacrifices such as animals, wine, oil, and salt. Here is another way to translate this:</w:t>
      </w:r>
    </w:p>
    <w:p>
      <w:pPr/>
      <w:r>
        <w:rPr>
          <w:lang w:val="en_US" w:bidi="en_US"/>
        </w:rPr>
      </w:r>
      <w:r>
        <w:rPr>
          <w:lang w:val="en_US" w:bidi="en_US"/>
        </w:rPr>
        <w:t>merchants (GNT)</w:t>
      </w:r>
    </w:p>
    <w:p>
      <w:pPr/>
      <w:r>
        <w:rPr>
          <w:lang w:val="en_US" w:bidi="en_US"/>
        </w:rPr>
      </w:r>
      <w:r>
        <w:rPr>
          <w:lang w:val="en_US" w:bidi="en_US"/>
        </w:rPr>
        <w:t>If you are using footnotes in your translation to give background information, you may want to include one here. For example:</w:t>
      </w:r>
    </w:p>
    <w:p>
      <w:pPr/>
      <w:r>
        <w:rPr>
          <w:lang w:val="en_US" w:bidi="en_US"/>
        </w:rPr>
      </w:r>
      <w:r>
        <w:rPr>
          <w:lang w:val="en_US" w:bidi="en_US"/>
        </w:rPr>
        <w:t>If someone needed to buy an animal so that he could offer it as a sacrifice to God in the temple, these merchants would sell it to him. They also sold other things that people needed for the sacrifices such as wine, oil, and salt.</w:t>
      </w:r>
      <w:r>
        <w:rPr>
          <w:lang w:val="en_US" w:bidi="en_US"/>
        </w:rPr>
      </w:r>
      <w:r>
        <w:rPr>
          <w:lang w:val="en_US" w:bidi="en_US"/>
        </w:rPr>
      </w:r>
    </w:p>
    <w:p>
      <w:pPr/>
      <w:r>
        <w:rPr>
          <w:lang w:val="en_US" w:bidi="en_US"/>
        </w:rPr>
      </w:r>
    </w:p>
    <w:p>
      <w:pPr>
        <w:pStyle w:val="Heading2"/>
      </w:pPr>
      <w:r>
        <w:rPr>
          <w:lang w:val="en_US" w:bidi="en_US"/>
        </w:rPr>
        <w:t>Luke 19:46</w:t>
      </w:r>
      <w:r>
        <w:rPr>
          <w:lang w:val="en_US" w:bidi="en_US"/>
        </w:rPr>
      </w:r>
    </w:p>
    <w:p>
      <w:pPr>
        <w:pStyle w:val="Heading4"/>
      </w:pPr>
      <w:r>
        <w:rPr>
          <w:lang w:val="en_US" w:bidi="en_US"/>
        </w:rPr>
        <w:t>Section 19:45–48: Jesus expelled sellers from the temple courtyard</w:t>
      </w:r>
    </w:p>
    <w:p>
      <w:pPr/>
      <w:r>
        <w:rPr>
          <w:lang w:val="en_US" w:bidi="en_US"/>
        </w:rPr>
      </w:r>
      <w:r>
        <w:rPr>
          <w:lang w:val="en_US" w:bidi="en_US"/>
        </w:rPr>
        <w:t>In this section, Jesus went to the temple in the city of Jerusalem. There he drove out the people who were selling things in the temple area. Then he quoted what God said in Isaiah 56:7: God intended his temple to be a place of prayer. Then Jesus told them that in contrast, they had made it “a den of robbers.” This is a reference to Jeremiah 7:11, where God used this phrase to accuse people who had done evil things in his temple. By using this phrase, Jesus implied that the sellers were cheating people and working against God’s purpose for the temple.</w:t>
      </w:r>
    </w:p>
    <w:p>
      <w:pPr/>
      <w:r>
        <w:rPr>
          <w:lang w:val="en_US" w:bidi="en_US"/>
        </w:rPr>
      </w:r>
      <w:r>
        <w:rPr>
          <w:lang w:val="en_US" w:bidi="en_US"/>
        </w:rPr>
        <w:t>At the end of this section, Luke summarized the events of the next few days. Jesus taught in the temple. The Jewish leaders were angry and wanted to kill him. But they could not do it because he was surrounded by many people who listened eagerly to his teachings.</w:t>
      </w:r>
    </w:p>
    <w:p>
      <w:pPr/>
      <w:r>
        <w:rPr>
          <w:lang w:val="en_US" w:bidi="en_US"/>
        </w:rPr>
      </w:r>
      <w:r>
        <w:rPr>
          <w:lang w:val="en_US" w:bidi="en_US"/>
        </w:rPr>
        <w:t>Other examples of headings for this section are:</w:t>
      </w:r>
    </w:p>
    <w:p>
      <w:pPr/>
      <w:r>
        <w:rPr>
          <w:lang w:val="en_US" w:bidi="en_US"/>
        </w:rPr>
      </w:r>
      <w:r>
        <w:rPr>
          <w:lang w:val="en_US" w:bidi="en_US"/>
        </w:rPr>
        <w:t>Jesus Goes to the Temple (GNT)</w:t>
      </w:r>
    </w:p>
    <w:p>
      <w:pPr/>
      <w:r>
        <w:rPr>
          <w:lang w:val="en_US" w:bidi="en_US"/>
        </w:rPr>
      </w:r>
      <w:r>
        <w:rPr>
          <w:lang w:val="en_US" w:bidi="en_US"/>
        </w:rPr>
        <w:t>Jesus Clears the Temple (NLT)</w:t>
      </w:r>
    </w:p>
    <w:p>
      <w:pPr/>
      <w:r>
        <w:rPr>
          <w:lang w:val="en_US" w:bidi="en_US"/>
        </w:rPr>
      </w:r>
      <w:r>
        <w:rPr>
          <w:lang w:val="en_US" w:bidi="en_US"/>
        </w:rPr>
        <w:t>Jesus sends the merchants from the temple</w:t>
      </w:r>
    </w:p>
    <w:p>
      <w:pPr/>
      <w:r>
        <w:rPr>
          <w:lang w:val="en_US" w:bidi="en_US"/>
        </w:rPr>
      </w:r>
      <w:r>
        <w:rPr>
          <w:lang w:val="en_US" w:bidi="en_US"/>
        </w:rPr>
        <w:t>Parallel passages for this section occur in Matthew 21:12–17, Mark 11:15–18, and John 2:13–16.</w:t>
      </w:r>
    </w:p>
    <w:p>
      <w:pPr>
        <w:pStyle w:val="Heading5"/>
      </w:pPr>
      <w:r>
        <w:rPr>
          <w:lang w:val="en_US" w:bidi="en_US"/>
        </w:rPr>
        <w:t>19:46a</w:t>
      </w:r>
    </w:p>
    <w:p>
      <w:pPr/>
      <w:r>
        <w:rPr>
          <w:lang w:val="en_US" w:bidi="en_US"/>
        </w:rPr>
      </w:r>
      <w:r>
        <w:rPr>
          <w:b/>
          <w:lang w:val="en_US" w:bidi="en_US"/>
        </w:rPr>
        <w:t>He declared to them, “It is written:</w:t>
      </w:r>
    </w:p>
    <w:p>
      <w:pPr>
        <w:pStyle w:val="ListBullet"/>
        <w:spacing w:line="240" w:lineRule="auto"/>
        <w:ind w:left="720"/>
      </w:pPr>
      <w:r>
        <w:rPr>
          <w:lang w:val="en_US" w:bidi="en_US"/>
        </w:rPr>
      </w:r>
      <w:r>
        <w:rPr>
          <w:lang w:val="en_US" w:bidi="en_US"/>
        </w:rPr>
        <w:t xml:space="preserve">He told them, “It is written </w:t>
      </w:r>
      <w:r>
        <w:rPr>
          <w:lang w:val="en_US" w:bidi="en_US"/>
        </w:rPr>
        <w:t>in the Scriptures</w:t>
      </w:r>
      <w:r>
        <w:rPr>
          <w:lang w:val="en_US" w:bidi="en_US"/>
        </w:rPr>
        <w:t>:</w:t>
      </w:r>
    </w:p>
    <w:p>
      <w:pPr>
        <w:pStyle w:val="ListBullet"/>
        <w:spacing w:line="240" w:lineRule="auto"/>
        <w:ind w:left="720"/>
      </w:pPr>
      <w:r>
        <w:rPr>
          <w:lang w:val="en_US" w:bidi="en_US"/>
        </w:rPr>
      </w:r>
      <w:r>
        <w:rPr>
          <w:lang w:val="en_US" w:bidi="en_US"/>
        </w:rPr>
        <w:t>He said to them, “</w:t>
      </w:r>
      <w:r>
        <w:rPr>
          <w:lang w:val="en_US" w:bidi="en_US"/>
        </w:rPr>
        <w:t>God said</w:t>
      </w:r>
      <w:r>
        <w:rPr>
          <w:lang w:val="en_US" w:bidi="en_US"/>
        </w:rPr>
        <w:t xml:space="preserve"> in the Scriptures that</w:t>
      </w:r>
    </w:p>
    <w:p>
      <w:pPr>
        <w:pStyle w:val="ListBullet"/>
        <w:spacing w:line="240" w:lineRule="auto"/>
        <w:ind w:left="720"/>
      </w:pPr>
      <w:r>
        <w:rPr>
          <w:lang w:val="en_US" w:bidi="en_US"/>
        </w:rPr>
      </w:r>
      <w:r>
        <w:rPr>
          <w:lang w:val="en_US" w:bidi="en_US"/>
        </w:rPr>
        <w:t xml:space="preserve">saying to them, “The </w:t>
      </w:r>
      <w:r>
        <w:rPr>
          <w:lang w:val="en_US" w:bidi="en_US"/>
        </w:rPr>
        <w:t>words of God</w:t>
      </w:r>
      <w:r>
        <w:rPr>
          <w:lang w:val="en_US" w:bidi="en_US"/>
        </w:rPr>
        <w:t xml:space="preserve"> that </w:t>
      </w:r>
      <w:r>
        <w:rPr>
          <w:lang w:val="en_US" w:bidi="en_US"/>
        </w:rPr>
        <w:t>men</w:t>
      </w:r>
      <w:r>
        <w:rPr>
          <w:lang w:val="en_US" w:bidi="en_US"/>
        </w:rPr>
        <w:t xml:space="preserve"> wrote </w:t>
      </w:r>
      <w:r>
        <w:rPr>
          <w:lang w:val="en_US" w:bidi="en_US"/>
        </w:rPr>
        <w:t>in the Scriptures</w:t>
      </w:r>
      <w:r>
        <w:rPr>
          <w:lang w:val="en_US" w:bidi="en_US"/>
        </w:rPr>
        <w:t xml:space="preserve"> say this:</w:t>
      </w:r>
    </w:p>
    <w:p>
      <w:pPr/>
      <w:r>
        <w:rPr>
          <w:lang w:val="en_US" w:bidi="en_US"/>
        </w:rPr>
      </w:r>
      <w:r>
        <w:rPr>
          <w:b/>
          <w:lang w:val="en_US" w:bidi="en_US"/>
        </w:rPr>
        <w:t>He declared to them:</w:t>
      </w:r>
      <w:r>
        <w:rPr>
          <w:lang w:val="en_US" w:bidi="en_US"/>
        </w:rPr>
        <w:t xml:space="preserve"> The BSB has put the clause </w:t>
      </w:r>
      <w:r>
        <w:rPr>
          <w:i/>
          <w:lang w:val="en_US" w:bidi="en_US"/>
        </w:rPr>
        <w:t>He declared to them</w:t>
      </w:r>
      <w:r>
        <w:rPr>
          <w:lang w:val="en_US" w:bidi="en_US"/>
        </w:rPr>
        <w:t xml:space="preserve"> before Jesus’ statement, where it also occurs in the Greek text. The NIV places it in the middle of the statement. Place it where it is natural in your language.</w:t>
      </w:r>
    </w:p>
    <w:p>
      <w:pPr/>
      <w:r>
        <w:rPr>
          <w:lang w:val="en_US" w:bidi="en_US"/>
        </w:rPr>
      </w:r>
      <w:r>
        <w:rPr>
          <w:lang w:val="en_US" w:bidi="en_US"/>
        </w:rPr>
        <w:t>Jesus quoted the scripture in 19:46b to the sellers as he was driving them out of the temple. He was explaining why he was making them leave the temple. He did not speak to them first and then drive them out. Another way to translate this is:</w:t>
      </w:r>
    </w:p>
    <w:p>
      <w:pPr/>
      <w:r>
        <w:rPr>
          <w:lang w:val="en_US" w:bidi="en_US"/>
        </w:rPr>
      </w:r>
      <w:r>
        <w:rPr>
          <w:lang w:val="en_US" w:bidi="en_US"/>
        </w:rPr>
        <w:t>saying to them (GNT)</w:t>
      </w:r>
    </w:p>
    <w:p>
      <w:pPr/>
      <w:r>
        <w:rPr>
          <w:lang w:val="en_US" w:bidi="en_US"/>
        </w:rPr>
      </w:r>
      <w:r>
        <w:rPr>
          <w:lang w:val="en_US" w:bidi="en_US"/>
        </w:rPr>
        <w:t>Use an appropriate verb form in your language.</w:t>
      </w:r>
    </w:p>
    <w:p>
      <w:pPr/>
      <w:r>
        <w:rPr>
          <w:lang w:val="en_US" w:bidi="en_US"/>
        </w:rPr>
      </w:r>
      <w:r>
        <w:rPr>
          <w:b/>
          <w:lang w:val="en_US" w:bidi="en_US"/>
        </w:rPr>
        <w:t>It is written:</w:t>
      </w:r>
      <w:r>
        <w:rPr>
          <w:lang w:val="en_US" w:bidi="en_US"/>
        </w:rPr>
        <w:t xml:space="preserve"> Jesus often used the expression </w:t>
      </w:r>
      <w:r>
        <w:rPr>
          <w:i/>
          <w:lang w:val="en_US" w:bidi="en_US"/>
        </w:rPr>
        <w:t>It is written</w:t>
      </w:r>
      <w:r>
        <w:rPr>
          <w:lang w:val="en_US" w:bidi="en_US"/>
        </w:rPr>
        <w:t xml:space="preserve"> to introduce a quotation from the OT Scriptures. Here are some things to consider as you decide how to introduce it in your language:</w:t>
      </w:r>
    </w:p>
    <w:p>
      <w:pPr>
        <w:pStyle w:val="ListBullet"/>
        <w:spacing w:line="240" w:lineRule="auto"/>
        <w:ind w:left="720"/>
      </w:pPr>
      <w:r>
        <w:rPr>
          <w:lang w:val="en_US" w:bidi="en_US"/>
        </w:rPr>
      </w:r>
      <w:r>
        <w:rPr>
          <w:lang w:val="en_US" w:bidi="en_US"/>
        </w:rPr>
        <w:t>Some languages have a specific phrase to introduce a quotation from sacred writings. Consider if you could use that phrase here or adapt it for this context.</w:t>
      </w:r>
    </w:p>
    <w:p>
      <w:pPr>
        <w:pStyle w:val="ListBullet"/>
        <w:spacing w:line="240" w:lineRule="auto"/>
        <w:ind w:left="720"/>
      </w:pPr>
      <w:r>
        <w:rPr>
          <w:lang w:val="en_US" w:bidi="en_US"/>
        </w:rPr>
      </w:r>
      <w:r>
        <w:rPr>
          <w:lang w:val="en_US" w:bidi="en_US"/>
        </w:rPr>
        <w:t>In some languages you will need to make explicit that the quotation comes from Scripture, God’s writings. For example:</w:t>
      </w:r>
      <w:r>
        <w:rPr>
          <w:lang w:val="en_US" w:bidi="en_US"/>
        </w:rPr>
        <w:t xml:space="preserve">It is written </w:t>
      </w:r>
      <w:r>
        <w:rPr>
          <w:u w:val="single"/>
          <w:lang w:val="en_US" w:bidi="en_US"/>
        </w:rPr>
        <w:t>in the Scriptures</w:t>
      </w:r>
      <w:r>
        <w:rPr>
          <w:lang w:val="en_US" w:bidi="en_US"/>
        </w:rPr>
        <w:t xml:space="preserve"> (NCV)</w:t>
      </w:r>
      <w:r>
        <w:rPr>
          <w:u w:val="single"/>
          <w:lang w:val="en_US" w:bidi="en_US"/>
        </w:rPr>
        <w:t>As we/people read</w:t>
      </w:r>
      <w:r>
        <w:rPr>
          <w:lang w:val="en_US" w:bidi="en_US"/>
        </w:rPr>
        <w:t xml:space="preserve"> in the Scriptures</w:t>
      </w:r>
    </w:p>
    <w:p>
      <w:pPr>
        <w:pStyle w:val="ListBullet"/>
        <w:spacing w:line="240" w:lineRule="auto"/>
        <w:ind w:left="720"/>
      </w:pPr>
      <w:r>
        <w:rPr>
          <w:lang w:val="en_US" w:bidi="en_US"/>
        </w:rPr>
      </w:r>
      <w:r>
        <w:rPr>
          <w:lang w:val="en_US" w:bidi="en_US"/>
        </w:rPr>
        <w:t>In some languages it may be helpful to specify God as the source. For example:</w:t>
      </w:r>
      <w:r>
        <w:rPr>
          <w:u w:val="single"/>
          <w:lang w:val="en_US" w:bidi="en_US"/>
        </w:rPr>
        <w:t>God said</w:t>
      </w:r>
      <w:r>
        <w:rPr>
          <w:lang w:val="en_US" w:bidi="en_US"/>
        </w:rPr>
        <w:t xml:space="preserve"> in the Scriptures that</w:t>
      </w:r>
      <w:r>
        <w:rPr>
          <w:lang w:val="en_US" w:bidi="en_US"/>
        </w:rPr>
        <w:t>God said in his writings/Bible</w:t>
      </w:r>
    </w:p>
    <w:p>
      <w:pPr/>
      <w:r>
        <w:rPr>
          <w:lang w:val="en_US" w:bidi="en_US"/>
        </w:rPr>
      </w:r>
      <w:r>
        <w:rPr>
          <w:lang w:val="en_US" w:bidi="en_US"/>
        </w:rPr>
        <w:t>See how you translated this expression in 4:4 and 4:8.</w:t>
      </w:r>
    </w:p>
    <w:p>
      <w:pPr>
        <w:pStyle w:val="Heading5"/>
      </w:pPr>
      <w:r>
        <w:rPr>
          <w:lang w:val="en_US" w:bidi="en_US"/>
        </w:rPr>
        <w:t>19:46b</w:t>
      </w:r>
    </w:p>
    <w:p>
      <w:pPr/>
      <w:r>
        <w:rPr>
          <w:lang w:val="en_US" w:bidi="en_US"/>
        </w:rPr>
      </w:r>
      <w:r>
        <w:rPr>
          <w:b/>
          <w:lang w:val="en_US" w:bidi="en_US"/>
        </w:rPr>
        <w:t>‘My house will be a house of prayer.’</w:t>
      </w:r>
    </w:p>
    <w:p>
      <w:pPr>
        <w:pStyle w:val="ListBullet"/>
        <w:spacing w:line="240" w:lineRule="auto"/>
        <w:ind w:left="720"/>
      </w:pPr>
      <w:r>
        <w:rPr>
          <w:lang w:val="en_US" w:bidi="en_US"/>
        </w:rPr>
      </w:r>
      <w:r>
        <w:rPr>
          <w:lang w:val="en_US" w:bidi="en_US"/>
        </w:rPr>
        <w:t>‘My house will be a prayer house’;</w:t>
      </w:r>
    </w:p>
    <w:p>
      <w:pPr>
        <w:pStyle w:val="ListBullet"/>
        <w:spacing w:line="240" w:lineRule="auto"/>
        <w:ind w:left="720"/>
      </w:pPr>
      <w:r>
        <w:rPr>
          <w:lang w:val="en_US" w:bidi="en_US"/>
        </w:rPr>
      </w:r>
      <w:r>
        <w:rPr>
          <w:lang w:val="en_US" w:bidi="en_US"/>
        </w:rPr>
        <w:t xml:space="preserve">his house will be a place </w:t>
      </w:r>
      <w:r>
        <w:rPr>
          <w:lang w:val="en_US" w:bidi="en_US"/>
        </w:rPr>
        <w:t>where people</w:t>
      </w:r>
      <w:r>
        <w:rPr>
          <w:lang w:val="en_US" w:bidi="en_US"/>
        </w:rPr>
        <w:t xml:space="preserve"> pray.</w:t>
      </w:r>
    </w:p>
    <w:p>
      <w:pPr>
        <w:pStyle w:val="ListBullet"/>
        <w:spacing w:line="240" w:lineRule="auto"/>
        <w:ind w:left="720"/>
      </w:pPr>
      <w:r>
        <w:rPr>
          <w:lang w:val="en_US" w:bidi="en_US"/>
        </w:rPr>
      </w:r>
      <w:r>
        <w:rPr>
          <w:lang w:val="en_US" w:bidi="en_US"/>
        </w:rPr>
        <w:t xml:space="preserve">‘My temple will be a place </w:t>
      </w:r>
      <w:r>
        <w:rPr>
          <w:lang w:val="en_US" w:bidi="en_US"/>
        </w:rPr>
        <w:t>for people</w:t>
      </w:r>
      <w:r>
        <w:rPr>
          <w:lang w:val="en_US" w:bidi="en_US"/>
        </w:rPr>
        <w:t xml:space="preserve"> to pray </w:t>
      </w:r>
      <w:r>
        <w:rPr>
          <w:lang w:val="en_US" w:bidi="en_US"/>
        </w:rPr>
        <w:t>to me</w:t>
      </w:r>
      <w:r>
        <w:rPr>
          <w:lang w:val="en_US" w:bidi="en_US"/>
        </w:rPr>
        <w:t>.’</w:t>
      </w:r>
    </w:p>
    <w:p>
      <w:pPr/>
      <w:r>
        <w:rPr>
          <w:lang w:val="en_US" w:bidi="en_US"/>
        </w:rPr>
      </w:r>
      <w:r>
        <w:rPr>
          <w:lang w:val="en_US" w:bidi="en_US"/>
        </w:rPr>
        <w:t>The statement here in 19:46b was quoted from Isaiah 56:7. It may be helpful to include this information as a cross-reference or footnote.</w:t>
      </w:r>
    </w:p>
    <w:p>
      <w:pPr/>
      <w:r>
        <w:rPr>
          <w:lang w:val="en_US" w:bidi="en_US"/>
        </w:rPr>
      </w:r>
      <w:r>
        <w:rPr>
          <w:b/>
          <w:lang w:val="en_US" w:bidi="en_US"/>
        </w:rPr>
        <w:t>My house will be a house of prayer:</w:t>
      </w:r>
      <w:r>
        <w:rPr>
          <w:lang w:val="en_US" w:bidi="en_US"/>
        </w:rPr>
        <w:t xml:space="preserve"> The word </w:t>
      </w:r>
      <w:r>
        <w:rPr>
          <w:i/>
          <w:lang w:val="en_US" w:bidi="en_US"/>
        </w:rPr>
        <w:t>house</w:t>
      </w:r>
      <w:r>
        <w:rPr>
          <w:lang w:val="en_US" w:bidi="en_US"/>
        </w:rPr>
        <w:t xml:space="preserve"> refers here to the temple in Jerusalem. In the Old Testament, “the house of God” was a common way to refer to the temple. In some languages it may be necessary to use an expression which is more explicit than </w:t>
      </w:r>
      <w:r>
        <w:rPr>
          <w:i/>
          <w:lang w:val="en_US" w:bidi="en_US"/>
        </w:rPr>
        <w:t>house</w:t>
      </w:r>
      <w:r>
        <w:rPr>
          <w:lang w:val="en_US" w:bidi="en_US"/>
        </w:rPr>
        <w:t>. For example:</w:t>
      </w:r>
    </w:p>
    <w:p>
      <w:pPr/>
      <w:r>
        <w:rPr>
          <w:lang w:val="en_US" w:bidi="en_US"/>
        </w:rPr>
      </w:r>
      <w:r>
        <w:rPr>
          <w:lang w:val="en_US" w:bidi="en_US"/>
        </w:rPr>
        <w:t>My temple</w:t>
      </w:r>
    </w:p>
    <w:p>
      <w:pPr/>
      <w:r>
        <w:rPr>
          <w:lang w:val="en_US" w:bidi="en_US"/>
        </w:rPr>
      </w:r>
      <w:r>
        <w:rPr>
          <w:lang w:val="en_US" w:bidi="en_US"/>
        </w:rPr>
        <w:t>The place where people come to worship me.</w:t>
      </w:r>
    </w:p>
    <w:p>
      <w:pPr/>
      <w:r>
        <w:rPr>
          <w:lang w:val="en_US" w:bidi="en_US"/>
        </w:rPr>
      </w:r>
      <w:r>
        <w:rPr>
          <w:b/>
          <w:lang w:val="en_US" w:bidi="en_US"/>
        </w:rPr>
        <w:t>My:</w:t>
      </w:r>
      <w:r>
        <w:rPr>
          <w:lang w:val="en_US" w:bidi="en_US"/>
        </w:rPr>
        <w:t xml:space="preserve"> The pronoun </w:t>
      </w:r>
      <w:r>
        <w:rPr>
          <w:i/>
          <w:lang w:val="en_US" w:bidi="en_US"/>
        </w:rPr>
        <w:t>My</w:t>
      </w:r>
      <w:r>
        <w:rPr>
          <w:lang w:val="en_US" w:bidi="en_US"/>
        </w:rPr>
        <w:t xml:space="preserve"> refers to God. Make sure in your translation that it does not refer to Jesus. In some languages it may be necessary to make this explicit. For example:</w:t>
      </w:r>
    </w:p>
    <w:p>
      <w:pPr/>
      <w:r>
        <w:rPr>
          <w:lang w:val="en_US" w:bidi="en_US"/>
        </w:rPr>
      </w:r>
      <w:r>
        <w:rPr>
          <w:lang w:val="en_US" w:bidi="en_US"/>
        </w:rPr>
        <w:t>God said, “My Temple…” (GNT)</w:t>
      </w:r>
    </w:p>
    <w:p>
      <w:pPr/>
      <w:r>
        <w:rPr>
          <w:lang w:val="en_US" w:bidi="en_US"/>
        </w:rPr>
      </w:r>
      <w:r>
        <w:rPr>
          <w:b/>
          <w:lang w:val="en_US" w:bidi="en_US"/>
        </w:rPr>
        <w:t>a house of prayer:</w:t>
      </w:r>
      <w:r>
        <w:rPr>
          <w:lang w:val="en_US" w:bidi="en_US"/>
        </w:rPr>
        <w:t xml:space="preserve"> The Greek phrase that the BSB translates as </w:t>
      </w:r>
      <w:r>
        <w:rPr>
          <w:i/>
          <w:lang w:val="en_US" w:bidi="en_US"/>
        </w:rPr>
        <w:t>a house of prayer</w:t>
      </w:r>
      <w:r>
        <w:rPr>
          <w:lang w:val="en_US" w:bidi="en_US"/>
        </w:rPr>
        <w:t xml:space="preserve"> means a place where people pray. It may be helpful to include a reference to God. For example:</w:t>
      </w:r>
    </w:p>
    <w:p>
      <w:pPr/>
      <w:r>
        <w:rPr>
          <w:lang w:val="en_US" w:bidi="en_US"/>
        </w:rPr>
      </w:r>
      <w:r>
        <w:rPr>
          <w:lang w:val="en_US" w:bidi="en_US"/>
        </w:rPr>
        <w:t xml:space="preserve">a place/house where people pray </w:t>
      </w:r>
      <w:r>
        <w:rPr>
          <w:lang w:val="en_US" w:bidi="en_US"/>
        </w:rPr>
        <w:t>to me/God</w:t>
      </w:r>
    </w:p>
    <w:p>
      <w:pPr/>
      <w:r>
        <w:rPr>
          <w:lang w:val="en_US" w:bidi="en_US"/>
        </w:rPr>
      </w:r>
      <w:r>
        <w:rPr>
          <w:lang w:val="en_US" w:bidi="en_US"/>
        </w:rPr>
        <w:t>Use a term here that people will not confuse with the terms for synagogue and church.</w:t>
      </w:r>
    </w:p>
    <w:p>
      <w:pPr>
        <w:pStyle w:val="Heading5"/>
      </w:pPr>
      <w:r>
        <w:rPr>
          <w:lang w:val="en_US" w:bidi="en_US"/>
        </w:rPr>
        <w:t>19:46c</w:t>
      </w:r>
    </w:p>
    <w:p>
      <w:pPr/>
      <w:r>
        <w:rPr>
          <w:lang w:val="en_US" w:bidi="en_US"/>
        </w:rPr>
      </w:r>
      <w:r>
        <w:rPr>
          <w:b/>
          <w:lang w:val="en_US" w:bidi="en_US"/>
        </w:rPr>
        <w:t>But you have made it ‘a den of robbers.’”</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have made it into a robbers’ cave.”</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have caused it to become like a gathering place for thieves!”</w:t>
      </w:r>
    </w:p>
    <w:p>
      <w:pPr/>
      <w:r>
        <w:rPr>
          <w:lang w:val="en_US" w:bidi="en_US"/>
        </w:rPr>
      </w:r>
      <w:r>
        <w:rPr>
          <w:lang w:val="en_US" w:bidi="en_US"/>
        </w:rPr>
        <w:t xml:space="preserve">The clause in 19:46c is not part of the quotation from Isaiah. It is similar to words in Jeremiah 7:11 “Has this house, which bears my Name, become a </w:t>
      </w:r>
      <w:r>
        <w:rPr>
          <w:u w:val="single"/>
          <w:lang w:val="en_US" w:bidi="en_US"/>
        </w:rPr>
        <w:t>den of robbers</w:t>
      </w:r>
      <w:r>
        <w:rPr>
          <w:lang w:val="en_US" w:bidi="en_US"/>
        </w:rPr>
        <w:t xml:space="preserve"> to you?” Jesus used these words to severely condemn what the sellers were doing in the temple.</w:t>
      </w:r>
    </w:p>
    <w:p>
      <w:pPr/>
      <w:r>
        <w:rPr>
          <w:lang w:val="en_US" w:bidi="en_US"/>
        </w:rPr>
      </w:r>
      <w:r>
        <w:rPr>
          <w:b/>
          <w:lang w:val="en_US" w:bidi="en_US"/>
        </w:rPr>
        <w:t>But you have made it ‘a den of robbers’:</w:t>
      </w:r>
      <w:r>
        <w:rPr>
          <w:lang w:val="en_US" w:bidi="en_US"/>
        </w:rPr>
        <w:t xml:space="preserve"> This clause is an emphatic contrast to the clause in 19:46b. God wanted his house to be a place for prayer. In contrast, </w:t>
      </w:r>
      <w:r>
        <w:rPr>
          <w:u w:val="single"/>
          <w:lang w:val="en_US" w:bidi="en_US"/>
        </w:rPr>
        <w:t>they</w:t>
      </w:r>
      <w:r>
        <w:rPr>
          <w:lang w:val="en_US" w:bidi="en_US"/>
        </w:rPr>
        <w:t xml:space="preserve"> had made it like a den for robbers. The phrase </w:t>
      </w:r>
      <w:r>
        <w:rPr>
          <w:i/>
          <w:lang w:val="en_US" w:bidi="en_US"/>
        </w:rPr>
        <w:t>a den of robbers</w:t>
      </w:r>
      <w:r>
        <w:rPr>
          <w:lang w:val="en_US" w:bidi="en_US"/>
        </w:rPr>
        <w:t xml:space="preserve"> is a metaphor. In some languages it may be necessary to use a simile. For example:</w:t>
      </w:r>
    </w:p>
    <w:p>
      <w:pPr/>
      <w:r>
        <w:rPr>
          <w:lang w:val="en_US" w:bidi="en_US"/>
        </w:rPr>
      </w:r>
      <w:r>
        <w:rPr>
          <w:lang w:val="en_US" w:bidi="en_US"/>
        </w:rPr>
        <w:t xml:space="preserve">But you have made it </w:t>
      </w:r>
      <w:r>
        <w:rPr>
          <w:u w:val="single"/>
          <w:lang w:val="en_US" w:bidi="en_US"/>
        </w:rPr>
        <w:t>like</w:t>
      </w:r>
      <w:r>
        <w:rPr>
          <w:lang w:val="en_US" w:bidi="en_US"/>
        </w:rPr>
        <w:t xml:space="preserve"> a den of robbers</w:t>
      </w:r>
    </w:p>
    <w:p>
      <w:pPr/>
      <w:r>
        <w:rPr>
          <w:lang w:val="en_US" w:bidi="en_US"/>
        </w:rPr>
      </w:r>
      <w:r>
        <w:rPr>
          <w:lang w:val="en_US" w:bidi="en_US"/>
        </w:rPr>
        <w:t xml:space="preserve">But you are treating it </w:t>
      </w:r>
      <w:r>
        <w:rPr>
          <w:u w:val="single"/>
          <w:lang w:val="en_US" w:bidi="en_US"/>
        </w:rPr>
        <w:t>as if it were</w:t>
      </w:r>
      <w:r>
        <w:rPr>
          <w:lang w:val="en_US" w:bidi="en_US"/>
        </w:rPr>
        <w:t xml:space="preserve"> a den for robbers</w:t>
      </w:r>
    </w:p>
    <w:p>
      <w:pPr/>
      <w:r>
        <w:rPr>
          <w:lang w:val="en_US" w:bidi="en_US"/>
        </w:rPr>
      </w:r>
      <w:r>
        <w:rPr>
          <w:lang w:val="en_US" w:bidi="en_US"/>
        </w:rPr>
        <w:t xml:space="preserve">Here Jesus compared the sellers in the temple to </w:t>
      </w:r>
      <w:r>
        <w:rPr>
          <w:i/>
          <w:lang w:val="en_US" w:bidi="en_US"/>
        </w:rPr>
        <w:t>robbers</w:t>
      </w:r>
      <w:r>
        <w:rPr>
          <w:lang w:val="en_US" w:bidi="en_US"/>
        </w:rPr>
        <w:t>. These merchants were robbing people by charging them very high prices for animals that they needed for sacrificing to God. They were also robbing God and his people by using the temple to sell things. God wanted the temple to be a place for people to pray.</w:t>
      </w:r>
    </w:p>
    <w:p>
      <w:pPr/>
      <w:r>
        <w:rPr>
          <w:lang w:val="en_US" w:bidi="en_US"/>
        </w:rPr>
      </w:r>
      <w:r>
        <w:rPr>
          <w:lang w:val="en_US" w:bidi="en_US"/>
        </w:rPr>
        <w:t>It may be helpful to include a footnote to explain some of this information. For example:</w:t>
      </w:r>
    </w:p>
    <w:p>
      <w:pPr/>
      <w:r>
        <w:rPr>
          <w:lang w:val="en_US" w:bidi="en_US"/>
        </w:rPr>
      </w:r>
      <w:r>
        <w:rPr>
          <w:lang w:val="en_US" w:bidi="en_US"/>
        </w:rPr>
        <w:t>Jesus rebuked the sellers because they were destroying the purpose of God’s temple. God wanted people to pray in his temple, but the sellers were using it like a market. They were also cheating people by charging them too much for things they needed to make their sacrifices.</w:t>
      </w:r>
    </w:p>
    <w:p>
      <w:pPr/>
      <w:r>
        <w:rPr>
          <w:lang w:val="en_US" w:bidi="en_US"/>
        </w:rPr>
      </w:r>
      <w:r>
        <w:rPr>
          <w:b/>
          <w:lang w:val="en_US" w:bidi="en_US"/>
        </w:rPr>
        <w:t>a den of robbers:</w:t>
      </w:r>
      <w:r>
        <w:rPr>
          <w:lang w:val="en_US" w:bidi="en_US"/>
        </w:rPr>
        <w:t xml:space="preserve"> The Greek word that the BSB translates as </w:t>
      </w:r>
      <w:r>
        <w:rPr>
          <w:i/>
          <w:lang w:val="en_US" w:bidi="en_US"/>
        </w:rPr>
        <w:t>den</w:t>
      </w:r>
      <w:r>
        <w:rPr>
          <w:lang w:val="en_US" w:bidi="en_US"/>
        </w:rPr>
        <w:t xml:space="preserve"> describes a cave or hole large enough for people to enter. There were many caves in the hill country of Judea, and it was common for robbers to use these caves as places to live or hide.</w:t>
      </w:r>
    </w:p>
    <w:p>
      <w:pPr/>
      <w:r>
        <w:rPr>
          <w:lang w:val="en_US" w:bidi="en_US"/>
        </w:rPr>
      </w:r>
      <w:r>
        <w:rPr>
          <w:lang w:val="en_US" w:bidi="en_US"/>
        </w:rPr>
        <w:t xml:space="preserve">Some ways to translate </w:t>
      </w:r>
      <w:r>
        <w:rPr>
          <w:i/>
          <w:lang w:val="en_US" w:bidi="en_US"/>
        </w:rPr>
        <w:t>den of robbers</w:t>
      </w:r>
      <w:r>
        <w:rPr>
          <w:lang w:val="en_US" w:bidi="en_US"/>
        </w:rPr>
        <w:t xml:space="preserve"> are:</w:t>
      </w:r>
    </w:p>
    <w:p>
      <w:pPr/>
      <w:r>
        <w:rPr>
          <w:lang w:val="en_US" w:bidi="en_US"/>
        </w:rPr>
      </w:r>
      <w:r>
        <w:rPr>
          <w:lang w:val="en_US" w:bidi="en_US"/>
        </w:rPr>
        <w:t>a gathering place for robbers</w:t>
      </w:r>
    </w:p>
    <w:p>
      <w:pPr/>
      <w:r>
        <w:rPr>
          <w:lang w:val="en_US" w:bidi="en_US"/>
        </w:rPr>
      </w:r>
      <w:r>
        <w:rPr>
          <w:lang w:val="en_US" w:bidi="en_US"/>
        </w:rPr>
        <w:t>a cave/place where robbers hide/meet</w:t>
      </w:r>
    </w:p>
    <w:p>
      <w:pPr/>
      <w:r>
        <w:rPr>
          <w:lang w:val="en_US" w:bidi="en_US"/>
        </w:rPr>
      </w:r>
      <w:r>
        <w:rPr>
          <w:lang w:val="en_US" w:bidi="en_US"/>
        </w:rPr>
        <w:t xml:space="preserve">Some other English versions punctuate the phrase </w:t>
      </w:r>
      <w:r>
        <w:rPr>
          <w:i/>
          <w:lang w:val="en_US" w:bidi="en_US"/>
        </w:rPr>
        <w:t>den of robbers</w:t>
      </w:r>
      <w:r>
        <w:rPr>
          <w:lang w:val="en_US" w:bidi="en_US"/>
        </w:rPr>
        <w:t xml:space="preserve"> as a quotation, as the BSB does, since it comes from Jeremiah 7:11. For example:</w:t>
      </w:r>
    </w:p>
    <w:p>
      <w:pPr/>
      <w:r>
        <w:rPr>
          <w:lang w:val="en_US" w:bidi="en_US"/>
        </w:rPr>
      </w:r>
      <w:r>
        <w:rPr>
          <w:lang w:val="en_US" w:bidi="en_US"/>
        </w:rPr>
        <w:t>but you have made it a ‘den of thieves’ (NKJV)</w:t>
      </w:r>
    </w:p>
    <w:p>
      <w:pPr>
        <w:pStyle w:val="Heading6"/>
      </w:pPr>
      <w:r>
        <w:rPr>
          <w:b/>
          <w:lang w:val="en_US" w:bidi="en_US"/>
        </w:rPr>
        <w:t>General Comment on 19:46a–c</w:t>
      </w:r>
    </w:p>
    <w:p>
      <w:pPr/>
      <w:r>
        <w:rPr>
          <w:lang w:val="en_US" w:bidi="en_US"/>
        </w:rPr>
      </w:r>
      <w:r>
        <w:rPr>
          <w:lang w:val="en_US" w:bidi="en_US"/>
        </w:rPr>
        <w:t>As Jesus spoke, he quoted from the Old Testament Scriptures where God was speaking. In some languages it may be more natural to use indirect speech for the Old Testament quotation. For example:</w:t>
      </w:r>
    </w:p>
    <w:p>
      <w:pPr/>
      <w:r>
        <w:rPr>
          <w:lang w:val="en_US" w:bidi="en_US"/>
        </w:rPr>
      </w:r>
      <w:r>
        <w:rPr>
          <w:lang w:val="en_US" w:bidi="en_US"/>
        </w:rPr>
        <w:t xml:space="preserve">He said to them, “It is written </w:t>
      </w:r>
      <w:r>
        <w:rPr>
          <w:u w:val="single"/>
          <w:lang w:val="en_US" w:bidi="en_US"/>
        </w:rPr>
        <w:t>that</w:t>
      </w:r>
      <w:r>
        <w:rPr>
          <w:lang w:val="en_US" w:bidi="en_US"/>
        </w:rPr>
        <w:t xml:space="preserve"> </w:t>
      </w:r>
      <w:r>
        <w:rPr>
          <w:u w:val="single"/>
          <w:lang w:val="en_US" w:bidi="en_US"/>
        </w:rPr>
        <w:t>God’s</w:t>
      </w:r>
      <w:r>
        <w:rPr>
          <w:lang w:val="en_US" w:bidi="en_US"/>
        </w:rPr>
        <w:t xml:space="preserve"> house will be a house of prayer; but you have made it a den of robbers.”</w:t>
      </w:r>
    </w:p>
    <w:p>
      <w:pPr/>
      <w:r>
        <w:rPr>
          <w:lang w:val="en_US" w:bidi="en_US"/>
        </w:rPr>
      </w:r>
      <w:r>
        <w:rPr>
          <w:lang w:val="en_US" w:bidi="en_US"/>
        </w:rPr>
        <w:t>If your language would naturally use direct speech for both Jesus’ words and the Old Testament quotation, be careful to show this in a natural way. For example:</w:t>
      </w:r>
    </w:p>
    <w:p>
      <w:pPr/>
      <w:r>
        <w:rPr>
          <w:lang w:val="en_US" w:bidi="en_US"/>
        </w:rPr>
      </w:r>
      <w:r>
        <w:rPr>
          <w:lang w:val="en_US" w:bidi="en_US"/>
        </w:rPr>
        <w:t>He said to them, “God said this in the Scriptures/Bible, ‘My house will be a house of prayer,’ but you have made it a den of thieves.”</w:t>
      </w:r>
      <w:r>
        <w:rPr>
          <w:lang w:val="en_US" w:bidi="en_US"/>
        </w:rPr>
      </w:r>
      <w:r>
        <w:rPr>
          <w:lang w:val="en_US" w:bidi="en_US"/>
        </w:rPr>
      </w:r>
    </w:p>
    <w:p>
      <w:pPr/>
      <w:r>
        <w:rPr>
          <w:lang w:val="en_US" w:bidi="en_US"/>
        </w:rPr>
      </w:r>
    </w:p>
    <w:p>
      <w:pPr>
        <w:pStyle w:val="Heading2"/>
      </w:pPr>
      <w:r>
        <w:rPr>
          <w:lang w:val="en_US" w:bidi="en_US"/>
        </w:rPr>
        <w:t>Luke 19:47</w:t>
      </w:r>
      <w:r>
        <w:rPr>
          <w:lang w:val="en_US" w:bidi="en_US"/>
        </w:rPr>
      </w:r>
    </w:p>
    <w:p>
      <w:pPr>
        <w:pStyle w:val="Heading4"/>
      </w:pPr>
      <w:r>
        <w:rPr>
          <w:lang w:val="en_US" w:bidi="en_US"/>
        </w:rPr>
        <w:t>Section 19:45–48: Jesus expelled sellers from the temple courtyard</w:t>
      </w:r>
    </w:p>
    <w:p>
      <w:pPr/>
      <w:r>
        <w:rPr>
          <w:lang w:val="en_US" w:bidi="en_US"/>
        </w:rPr>
      </w:r>
      <w:r>
        <w:rPr>
          <w:lang w:val="en_US" w:bidi="en_US"/>
        </w:rPr>
        <w:t>In this section, Jesus went to the temple in the city of Jerusalem. There he drove out the people who were selling things in the temple area. Then he quoted what God said in Isaiah 56:7: God intended his temple to be a place of prayer. Then Jesus told them that in contrast, they had made it “a den of robbers.” This is a reference to Jeremiah 7:11, where God used this phrase to accuse people who had done evil things in his temple. By using this phrase, Jesus implied that the sellers were cheating people and working against God’s purpose for the temple.</w:t>
      </w:r>
    </w:p>
    <w:p>
      <w:pPr/>
      <w:r>
        <w:rPr>
          <w:lang w:val="en_US" w:bidi="en_US"/>
        </w:rPr>
      </w:r>
      <w:r>
        <w:rPr>
          <w:lang w:val="en_US" w:bidi="en_US"/>
        </w:rPr>
        <w:t>At the end of this section, Luke summarized the events of the next few days. Jesus taught in the temple. The Jewish leaders were angry and wanted to kill him. But they could not do it because he was surrounded by many people who listened eagerly to his teachings.</w:t>
      </w:r>
    </w:p>
    <w:p>
      <w:pPr/>
      <w:r>
        <w:rPr>
          <w:lang w:val="en_US" w:bidi="en_US"/>
        </w:rPr>
      </w:r>
      <w:r>
        <w:rPr>
          <w:lang w:val="en_US" w:bidi="en_US"/>
        </w:rPr>
        <w:t>Other examples of headings for this section are:</w:t>
      </w:r>
    </w:p>
    <w:p>
      <w:pPr/>
      <w:r>
        <w:rPr>
          <w:lang w:val="en_US" w:bidi="en_US"/>
        </w:rPr>
      </w:r>
      <w:r>
        <w:rPr>
          <w:lang w:val="en_US" w:bidi="en_US"/>
        </w:rPr>
        <w:t>Jesus Goes to the Temple (GNT)</w:t>
      </w:r>
    </w:p>
    <w:p>
      <w:pPr/>
      <w:r>
        <w:rPr>
          <w:lang w:val="en_US" w:bidi="en_US"/>
        </w:rPr>
      </w:r>
      <w:r>
        <w:rPr>
          <w:lang w:val="en_US" w:bidi="en_US"/>
        </w:rPr>
        <w:t>Jesus Clears the Temple (NLT)</w:t>
      </w:r>
    </w:p>
    <w:p>
      <w:pPr/>
      <w:r>
        <w:rPr>
          <w:lang w:val="en_US" w:bidi="en_US"/>
        </w:rPr>
      </w:r>
      <w:r>
        <w:rPr>
          <w:lang w:val="en_US" w:bidi="en_US"/>
        </w:rPr>
        <w:t>Jesus sends the merchants from the temple</w:t>
      </w:r>
    </w:p>
    <w:p>
      <w:pPr/>
      <w:r>
        <w:rPr>
          <w:lang w:val="en_US" w:bidi="en_US"/>
        </w:rPr>
      </w:r>
      <w:r>
        <w:rPr>
          <w:lang w:val="en_US" w:bidi="en_US"/>
        </w:rPr>
        <w:t>Parallel passages for this section occur in Matthew 21:12–17, Mark 11:15–18, and John 2:13–16.</w:t>
      </w:r>
    </w:p>
    <w:p>
      <w:pPr>
        <w:pStyle w:val="Heading4"/>
      </w:pPr>
      <w:r>
        <w:rPr>
          <w:lang w:val="en_US" w:bidi="en_US"/>
        </w:rPr>
        <w:t>Paragraph 19:47–48</w:t>
      </w:r>
    </w:p>
    <w:p>
      <w:pPr/>
      <w:r>
        <w:rPr>
          <w:lang w:val="en_US" w:bidi="en_US"/>
        </w:rPr>
      </w:r>
      <w:r>
        <w:rPr>
          <w:lang w:val="en_US" w:bidi="en_US"/>
        </w:rPr>
        <w:t>This paragraph provides background information for the events in chapter 20. Use a natural way in your language to translate this as background information.</w:t>
      </w:r>
    </w:p>
    <w:p>
      <w:pPr>
        <w:pStyle w:val="Heading5"/>
      </w:pPr>
      <w:r>
        <w:rPr>
          <w:lang w:val="en_US" w:bidi="en_US"/>
        </w:rPr>
        <w:t>19:47a</w:t>
      </w:r>
    </w:p>
    <w:p>
      <w:pPr/>
      <w:r>
        <w:rPr>
          <w:lang w:val="en_US" w:bidi="en_US"/>
        </w:rPr>
      </w:r>
      <w:r>
        <w:rPr>
          <w:b/>
          <w:lang w:val="en_US" w:bidi="en_US"/>
        </w:rPr>
        <w:t>Jesus was teaching at the temple every day,</w:t>
      </w:r>
    </w:p>
    <w:p>
      <w:pPr>
        <w:pStyle w:val="ListBullet"/>
        <w:spacing w:line="240" w:lineRule="auto"/>
        <w:ind w:left="720"/>
      </w:pPr>
      <w:r>
        <w:rPr>
          <w:lang w:val="en_US" w:bidi="en_US"/>
        </w:rPr>
      </w:r>
      <w:r>
        <w:rPr>
          <w:lang w:val="en_US" w:bidi="en_US"/>
        </w:rPr>
        <w:t xml:space="preserve">¶ </w:t>
      </w:r>
      <w:r>
        <w:rPr>
          <w:lang w:val="en_US" w:bidi="en_US"/>
        </w:rPr>
        <w:t>After that,</w:t>
      </w:r>
      <w:r>
        <w:rPr>
          <w:lang w:val="en_US" w:bidi="en_US"/>
        </w:rPr>
        <w:t xml:space="preserve"> he taught </w:t>
      </w:r>
      <w:r>
        <w:rPr>
          <w:lang w:val="en_US" w:bidi="en_US"/>
        </w:rPr>
        <w:t>the people</w:t>
      </w:r>
      <w:r>
        <w:rPr>
          <w:lang w:val="en_US" w:bidi="en_US"/>
        </w:rPr>
        <w:t xml:space="preserve"> every day in the temple </w:t>
      </w:r>
      <w:r>
        <w:rPr>
          <w:lang w:val="en_US" w:bidi="en_US"/>
        </w:rPr>
        <w:t>area</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And</w:t>
      </w:r>
      <w:r>
        <w:rPr>
          <w:lang w:val="en_US" w:bidi="en_US"/>
        </w:rPr>
        <w:t xml:space="preserve"> each day, Jesus continued to teach </w:t>
      </w:r>
      <w:r>
        <w:rPr>
          <w:lang w:val="en_US" w:bidi="en_US"/>
        </w:rPr>
        <w:t>God’s word</w:t>
      </w:r>
      <w:r>
        <w:rPr>
          <w:lang w:val="en_US" w:bidi="en_US"/>
        </w:rPr>
        <w:t xml:space="preserve"> in the temple </w:t>
      </w:r>
      <w:r>
        <w:rPr>
          <w:lang w:val="en_US" w:bidi="en_US"/>
        </w:rPr>
        <w:t>courtyard</w:t>
      </w:r>
      <w:r>
        <w:rPr>
          <w:lang w:val="en_US" w:bidi="en_US"/>
        </w:rPr>
        <w:t>.</w:t>
      </w:r>
    </w:p>
    <w:p>
      <w:pPr/>
      <w:r>
        <w:rPr>
          <w:lang w:val="en_US" w:bidi="en_US"/>
        </w:rPr>
      </w:r>
      <w:r>
        <w:rPr>
          <w:b/>
          <w:lang w:val="en_US" w:bidi="en_US"/>
        </w:rPr>
        <w:t>Jesus was teaching at the temple every day:</w:t>
      </w:r>
      <w:r>
        <w:rPr>
          <w:lang w:val="en_US" w:bidi="en_US"/>
        </w:rPr>
        <w:t xml:space="preserve"> The verb form that the BSB translates as </w:t>
      </w:r>
      <w:r>
        <w:rPr>
          <w:i/>
          <w:lang w:val="en_US" w:bidi="en_US"/>
        </w:rPr>
        <w:t>Jesus was teaching</w:t>
      </w:r>
      <w:r>
        <w:rPr>
          <w:lang w:val="en_US" w:bidi="en_US"/>
        </w:rPr>
        <w:t xml:space="preserve"> describes a continual or repeated action. In the short period between Jesus’ triumphal entry into Jerusalem and his arrest, his main activity each day was teaching in the temple courts. One way to say this could be:</w:t>
      </w:r>
    </w:p>
    <w:p>
      <w:pPr/>
      <w:r>
        <w:rPr>
          <w:lang w:val="en_US" w:bidi="en_US"/>
        </w:rPr>
      </w:r>
      <w:r>
        <w:rPr>
          <w:lang w:val="en_US" w:bidi="en_US"/>
        </w:rPr>
        <w:t>He spent/passed his days teaching in the temple.</w:t>
      </w:r>
    </w:p>
    <w:p>
      <w:pPr/>
      <w:r>
        <w:rPr>
          <w:lang w:val="en_US" w:bidi="en_US"/>
        </w:rPr>
      </w:r>
      <w:r>
        <w:rPr>
          <w:lang w:val="en_US" w:bidi="en_US"/>
        </w:rPr>
        <w:t>…he taught daily in the Temple. (NLT96)</w:t>
      </w:r>
    </w:p>
    <w:p>
      <w:pPr/>
      <w:r>
        <w:rPr>
          <w:lang w:val="en_US" w:bidi="en_US"/>
        </w:rPr>
      </w:r>
      <w:r>
        <w:rPr>
          <w:lang w:val="en_US" w:bidi="en_US"/>
        </w:rPr>
        <w:t>Each day, Jesus kept on teaching in the temple. (CEV)</w:t>
      </w:r>
    </w:p>
    <w:p>
      <w:pPr/>
      <w:r>
        <w:rPr>
          <w:lang w:val="en_US" w:bidi="en_US"/>
        </w:rPr>
      </w:r>
      <w:r>
        <w:rPr>
          <w:lang w:val="en_US" w:bidi="en_US"/>
        </w:rPr>
        <w:t>In some languages, it may be necessary to make explicit what Jesus taught and whom he taught. For example:</w:t>
      </w:r>
    </w:p>
    <w:p>
      <w:pPr/>
      <w:r>
        <w:rPr>
          <w:lang w:val="en_US" w:bidi="en_US"/>
        </w:rPr>
      </w:r>
      <w:r>
        <w:rPr>
          <w:lang w:val="en_US" w:bidi="en_US"/>
        </w:rPr>
        <w:t xml:space="preserve">He was teaching </w:t>
      </w:r>
      <w:r>
        <w:rPr>
          <w:lang w:val="en_US" w:bidi="en_US"/>
        </w:rPr>
        <w:t>God’s message/word</w:t>
      </w:r>
      <w:r>
        <w:rPr>
          <w:lang w:val="en_US" w:bidi="en_US"/>
        </w:rPr>
        <w:t xml:space="preserve"> </w:t>
      </w:r>
      <w:r>
        <w:rPr>
          <w:lang w:val="en_US" w:bidi="en_US"/>
        </w:rPr>
        <w:t>to the people</w:t>
      </w:r>
      <w:r>
        <w:rPr>
          <w:lang w:val="en_US" w:bidi="en_US"/>
        </w:rPr>
        <w:t xml:space="preserve"> in the temple every day.</w:t>
      </w:r>
    </w:p>
    <w:p>
      <w:pPr/>
      <w:r>
        <w:rPr>
          <w:lang w:val="en_US" w:bidi="en_US"/>
        </w:rPr>
      </w:r>
      <w:r>
        <w:rPr>
          <w:b/>
          <w:lang w:val="en_US" w:bidi="en_US"/>
        </w:rPr>
        <w:t>at the temple:</w:t>
      </w:r>
      <w:r>
        <w:rPr>
          <w:lang w:val="en_US" w:bidi="en_US"/>
        </w:rPr>
        <w:t xml:space="preserve"> The Greek word that the BSB translates as </w:t>
      </w:r>
      <w:r>
        <w:rPr>
          <w:i/>
          <w:lang w:val="en_US" w:bidi="en_US"/>
        </w:rPr>
        <w:t>temple</w:t>
      </w:r>
      <w:r>
        <w:rPr>
          <w:lang w:val="en_US" w:bidi="en_US"/>
        </w:rPr>
        <w:t xml:space="preserve"> here is the same word that was translated as “temple courts” in 19:45a. It refers to the temple courtyard, not the temple building. See the note on “the temple courts” at 19:45a for more information and suggestions for translating </w:t>
      </w:r>
      <w:r>
        <w:rPr>
          <w:i/>
          <w:lang w:val="en_US" w:bidi="en_US"/>
        </w:rPr>
        <w:t>temple</w:t>
      </w:r>
      <w:r>
        <w:rPr>
          <w:lang w:val="en_US" w:bidi="en_US"/>
        </w:rPr>
        <w:t>.</w:t>
      </w:r>
    </w:p>
    <w:p>
      <w:pPr>
        <w:pStyle w:val="Heading5"/>
      </w:pPr>
      <w:r>
        <w:rPr>
          <w:lang w:val="en_US" w:bidi="en_US"/>
        </w:rPr>
        <w:t>19:47b</w:t>
      </w:r>
    </w:p>
    <w:p>
      <w:pPr/>
      <w:r>
        <w:rPr>
          <w:lang w:val="en_US" w:bidi="en_US"/>
        </w:rPr>
      </w:r>
      <w:r>
        <w:rPr>
          <w:b/>
          <w:lang w:val="en_US" w:bidi="en_US"/>
        </w:rPr>
        <w:t>but the chief priests, scribes,</w:t>
      </w:r>
    </w:p>
    <w:p>
      <w:pPr>
        <w:pStyle w:val="ListBullet"/>
        <w:spacing w:line="240" w:lineRule="auto"/>
        <w:ind w:left="720"/>
      </w:pPr>
      <w:r>
        <w:rPr>
          <w:lang w:val="en_US" w:bidi="en_US"/>
        </w:rPr>
      </w:r>
      <w:r>
        <w:rPr>
          <w:lang w:val="en_US" w:bidi="en_US"/>
        </w:rPr>
        <w:t>But the leading/ruling priests and the teachers of the law,</w:t>
      </w:r>
    </w:p>
    <w:p>
      <w:pPr>
        <w:pStyle w:val="ListBullet"/>
        <w:spacing w:line="240" w:lineRule="auto"/>
        <w:ind w:left="720"/>
      </w:pPr>
      <w:r>
        <w:rPr>
          <w:lang w:val="en_US" w:bidi="en_US"/>
        </w:rPr>
      </w:r>
      <w:r>
        <w:rPr>
          <w:lang w:val="en_US" w:bidi="en_US"/>
        </w:rPr>
        <w:t>The leaders of the priests, the experts in the law,</w:t>
      </w:r>
    </w:p>
    <w:p>
      <w:pPr>
        <w:pStyle w:val="Heading5"/>
      </w:pPr>
      <w:r>
        <w:rPr>
          <w:lang w:val="en_US" w:bidi="en_US"/>
        </w:rPr>
        <w:t>19:47c</w:t>
      </w:r>
    </w:p>
    <w:p>
      <w:pPr/>
      <w:r>
        <w:rPr>
          <w:lang w:val="en_US" w:bidi="en_US"/>
        </w:rPr>
      </w:r>
      <w:r>
        <w:rPr>
          <w:b/>
          <w:lang w:val="en_US" w:bidi="en_US"/>
        </w:rPr>
        <w:t>and leaders of the people</w:t>
      </w:r>
    </w:p>
    <w:p>
      <w:pPr>
        <w:pStyle w:val="ListBullet"/>
        <w:spacing w:line="240" w:lineRule="auto"/>
        <w:ind w:left="720"/>
      </w:pPr>
      <w:r>
        <w:rPr>
          <w:lang w:val="en_US" w:bidi="en_US"/>
        </w:rPr>
      </w:r>
      <w:r>
        <w:rPr>
          <w:lang w:val="en_US" w:bidi="en_US"/>
        </w:rPr>
        <w:t>along with the leading/prominent Jewish citizens,</w:t>
      </w:r>
    </w:p>
    <w:p>
      <w:pPr>
        <w:pStyle w:val="ListBullet"/>
        <w:spacing w:line="240" w:lineRule="auto"/>
        <w:ind w:left="720"/>
      </w:pPr>
      <w:r>
        <w:rPr>
          <w:lang w:val="en_US" w:bidi="en_US"/>
        </w:rPr>
      </w:r>
      <w:r>
        <w:rPr>
          <w:lang w:val="en_US" w:bidi="en_US"/>
        </w:rPr>
        <w:t xml:space="preserve">and the </w:t>
      </w:r>
      <w:r>
        <w:rPr>
          <w:lang w:val="en_US" w:bidi="en_US"/>
        </w:rPr>
        <w:t>other</w:t>
      </w:r>
      <w:r>
        <w:rPr>
          <w:lang w:val="en_US" w:bidi="en_US"/>
        </w:rPr>
        <w:t xml:space="preserve"> important men </w:t>
      </w:r>
      <w:r>
        <w:rPr>
          <w:lang w:val="en_US" w:bidi="en_US"/>
        </w:rPr>
        <w:t>together</w:t>
      </w:r>
    </w:p>
    <w:p>
      <w:pPr>
        <w:pStyle w:val="Heading5"/>
      </w:pPr>
      <w:r>
        <w:rPr>
          <w:lang w:val="en_US" w:bidi="en_US"/>
        </w:rPr>
        <w:t>19:47d</w:t>
      </w:r>
    </w:p>
    <w:p>
      <w:pPr/>
      <w:r>
        <w:rPr>
          <w:lang w:val="en_US" w:bidi="en_US"/>
        </w:rPr>
      </w:r>
      <w:r>
        <w:rPr>
          <w:b/>
          <w:lang w:val="en_US" w:bidi="en_US"/>
        </w:rPr>
        <w:t>were intent on killing Him.</w:t>
      </w:r>
    </w:p>
    <w:p>
      <w:pPr>
        <w:pStyle w:val="ListBullet"/>
        <w:spacing w:line="240" w:lineRule="auto"/>
        <w:ind w:left="720"/>
      </w:pPr>
      <w:r>
        <w:rPr>
          <w:lang w:val="en_US" w:bidi="en_US"/>
        </w:rPr>
      </w:r>
      <w:r>
        <w:rPr>
          <w:lang w:val="en_US" w:bidi="en_US"/>
        </w:rPr>
        <w:t xml:space="preserve">were trying </w:t>
      </w:r>
      <w:r>
        <w:rPr>
          <w:lang w:val="en_US" w:bidi="en_US"/>
        </w:rPr>
        <w:t>to think of a way</w:t>
      </w:r>
      <w:r>
        <w:rPr>
          <w:lang w:val="en_US" w:bidi="en_US"/>
        </w:rPr>
        <w:t xml:space="preserve"> to kill him.</w:t>
      </w:r>
    </w:p>
    <w:p>
      <w:pPr>
        <w:pStyle w:val="ListBullet"/>
        <w:spacing w:line="240" w:lineRule="auto"/>
        <w:ind w:left="720"/>
      </w:pPr>
      <w:r>
        <w:rPr>
          <w:lang w:val="en_US" w:bidi="en_US"/>
        </w:rPr>
      </w:r>
      <w:r>
        <w:rPr>
          <w:lang w:val="en_US" w:bidi="en_US"/>
        </w:rPr>
        <w:t>continued to seek an opportunity to cause Jesus to be killed.</w:t>
      </w:r>
    </w:p>
    <w:p>
      <w:pPr>
        <w:pStyle w:val="Heading5"/>
      </w:pPr>
      <w:r>
        <w:rPr>
          <w:lang w:val="en_US" w:bidi="en_US"/>
        </w:rPr>
        <w:t>19:47b–d</w:t>
      </w:r>
    </w:p>
    <w:p>
      <w:pPr/>
      <w:r>
        <w:rPr>
          <w:lang w:val="en_US" w:bidi="en_US"/>
        </w:rPr>
      </w:r>
      <w:r>
        <w:rPr>
          <w:b/>
          <w:lang w:val="en_US" w:bidi="en_US"/>
        </w:rPr>
        <w:t>but the chief priests, scribes, and leaders of the people were intent on killing Him:</w:t>
      </w:r>
      <w:r>
        <w:rPr>
          <w:lang w:val="en_US" w:bidi="en_US"/>
        </w:rPr>
        <w:t xml:space="preserve"> The BSB begins this clause with the conjunction </w:t>
      </w:r>
      <w:r>
        <w:rPr>
          <w:i/>
          <w:lang w:val="en_US" w:bidi="en_US"/>
        </w:rPr>
        <w:t>but</w:t>
      </w:r>
      <w:r>
        <w:rPr>
          <w:lang w:val="en_US" w:bidi="en_US"/>
        </w:rPr>
        <w:t xml:space="preserve"> to indicate a contrast between what Jesus was doing and what the leaders were doing. Jesus was teaching in the temple, and the leaders were trying to find a way to kill him. Many English versions do not have a conjunction here. Begin the statement in a natural way in your language.</w:t>
      </w:r>
    </w:p>
    <w:p>
      <w:pPr/>
      <w:r>
        <w:rPr>
          <w:lang w:val="en_US" w:bidi="en_US"/>
        </w:rPr>
      </w:r>
      <w:r>
        <w:rPr>
          <w:b/>
          <w:lang w:val="en_US" w:bidi="en_US"/>
        </w:rPr>
        <w:t>the chief priests, scribes, and leaders of the people:</w:t>
      </w:r>
      <w:r>
        <w:rPr>
          <w:lang w:val="en_US" w:bidi="en_US"/>
        </w:rPr>
        <w:t xml:space="preserve"> Three groups of people are mentioned here. Together they represent the leaders of the Jewish people.</w:t>
      </w:r>
    </w:p>
    <w:p>
      <w:pPr/>
      <w:r>
        <w:rPr>
          <w:lang w:val="en_US" w:bidi="en_US"/>
        </w:rPr>
      </w:r>
      <w:r>
        <w:rPr>
          <w:b/>
          <w:lang w:val="en_US" w:bidi="en_US"/>
        </w:rPr>
        <w:t>chief priests:</w:t>
      </w:r>
      <w:r>
        <w:rPr>
          <w:lang w:val="en_US" w:bidi="en_US"/>
        </w:rPr>
        <w:t xml:space="preserve"> A Jewish “priest” was a man who offered sacrifices to God on behalf of the people. He also performed other rituals for them. The phrase </w:t>
      </w:r>
      <w:r>
        <w:rPr>
          <w:i/>
          <w:lang w:val="en_US" w:bidi="en_US"/>
        </w:rPr>
        <w:t>chief priests</w:t>
      </w:r>
      <w:r>
        <w:rPr>
          <w:lang w:val="en_US" w:bidi="en_US"/>
        </w:rPr>
        <w:t xml:space="preserve"> refers to the leaders among these priests. They were important officers of the temple and served as part of a permanent temple staff. Some ways to translate </w:t>
      </w:r>
      <w:r>
        <w:rPr>
          <w:i/>
          <w:lang w:val="en_US" w:bidi="en_US"/>
        </w:rPr>
        <w:t>chief priests</w:t>
      </w:r>
      <w:r>
        <w:rPr>
          <w:lang w:val="en_US" w:bidi="en_US"/>
        </w:rPr>
        <w:t xml:space="preserve"> are:</w:t>
      </w:r>
    </w:p>
    <w:p>
      <w:pPr/>
      <w:r>
        <w:rPr>
          <w:lang w:val="en_US" w:bidi="en_US"/>
        </w:rPr>
      </w:r>
      <w:r>
        <w:rPr>
          <w:lang w:val="en_US" w:bidi="en_US"/>
        </w:rPr>
        <w:t>the leading/ruling priests</w:t>
      </w:r>
    </w:p>
    <w:p>
      <w:pPr/>
      <w:r>
        <w:rPr>
          <w:lang w:val="en_US" w:bidi="en_US"/>
        </w:rPr>
      </w:r>
      <w:r>
        <w:rPr>
          <w:lang w:val="en_US" w:bidi="en_US"/>
        </w:rPr>
        <w:t>the elders among the Jewish sacrificers</w:t>
      </w:r>
    </w:p>
    <w:p>
      <w:pPr/>
      <w:r>
        <w:rPr>
          <w:lang w:val="en_US" w:bidi="en_US"/>
        </w:rPr>
      </w:r>
      <w:r>
        <w:rPr>
          <w:lang w:val="en_US" w:bidi="en_US"/>
        </w:rPr>
        <w:t>the most prominent priests</w:t>
      </w:r>
    </w:p>
    <w:p>
      <w:pPr/>
      <w:r>
        <w:rPr>
          <w:lang w:val="en_US" w:bidi="en_US"/>
        </w:rPr>
      </w:r>
      <w:r>
        <w:rPr>
          <w:lang w:val="en_US" w:bidi="en_US"/>
        </w:rPr>
        <w:t xml:space="preserve">See how you translated </w:t>
      </w:r>
      <w:r>
        <w:rPr>
          <w:i/>
          <w:lang w:val="en_US" w:bidi="en_US"/>
        </w:rPr>
        <w:t>chief priests</w:t>
      </w:r>
      <w:r>
        <w:rPr>
          <w:lang w:val="en_US" w:bidi="en_US"/>
        </w:rPr>
        <w:t xml:space="preserve"> in 9:22. See also priest in the Glossary for more information.</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refers to men who studied, interpreted, and taught the law of Moses. This word is sometimes translated as “teachers of the law,” as in the NIV. The original work of these men was to copy the laws of Moses by hand. In New Testament times, this was no longer their main task.</w:t>
      </w:r>
    </w:p>
    <w:p>
      <w:pPr/>
      <w:r>
        <w:rPr>
          <w:lang w:val="en_US" w:bidi="en_US"/>
        </w:rPr>
      </w:r>
      <w:r>
        <w:rPr>
          <w:lang w:val="en_US" w:bidi="en_US"/>
        </w:rPr>
        <w:t>Some ways to translate this term are:</w:t>
      </w:r>
    </w:p>
    <w:p>
      <w:pPr/>
      <w:r>
        <w:rPr>
          <w:lang w:val="en_US" w:bidi="en_US"/>
        </w:rPr>
      </w:r>
      <w:r>
        <w:rPr>
          <w:lang w:val="en_US" w:bidi="en_US"/>
        </w:rPr>
        <w:t>teachers of the Law of Moses (CEV)</w:t>
      </w:r>
    </w:p>
    <w:p>
      <w:pPr/>
      <w:r>
        <w:rPr>
          <w:lang w:val="en_US" w:bidi="en_US"/>
        </w:rPr>
      </w:r>
      <w:r>
        <w:rPr>
          <w:lang w:val="en_US" w:bidi="en_US"/>
        </w:rPr>
        <w:t>teachers of religious law (NLT)</w:t>
      </w:r>
    </w:p>
    <w:p>
      <w:pPr/>
      <w:r>
        <w:rPr>
          <w:lang w:val="en_US" w:bidi="en_US"/>
        </w:rPr>
      </w:r>
      <w:r>
        <w:rPr>
          <w:lang w:val="en_US" w:bidi="en_US"/>
        </w:rPr>
        <w:t>experts on the law</w:t>
      </w:r>
    </w:p>
    <w:p>
      <w:pPr/>
      <w:r>
        <w:rPr>
          <w:lang w:val="en_US" w:bidi="en_US"/>
        </w:rPr>
      </w:r>
      <w:r>
        <w:rPr>
          <w:lang w:val="en_US" w:bidi="en_US"/>
        </w:rPr>
        <w:t xml:space="preserve">See how you translated </w:t>
      </w:r>
      <w:r>
        <w:rPr>
          <w:i/>
          <w:lang w:val="en_US" w:bidi="en_US"/>
        </w:rPr>
        <w:t>scribes</w:t>
      </w:r>
      <w:r>
        <w:rPr>
          <w:lang w:val="en_US" w:bidi="en_US"/>
        </w:rPr>
        <w:t xml:space="preserve"> in 15:2.</w:t>
      </w:r>
    </w:p>
    <w:p>
      <w:pPr/>
      <w:r>
        <w:rPr>
          <w:lang w:val="en_US" w:bidi="en_US"/>
        </w:rPr>
      </w:r>
      <w:r>
        <w:rPr>
          <w:b/>
          <w:lang w:val="en_US" w:bidi="en_US"/>
        </w:rPr>
        <w:t>leaders of the people:</w:t>
      </w:r>
      <w:r>
        <w:rPr>
          <w:lang w:val="en_US" w:bidi="en_US"/>
        </w:rPr>
        <w:t xml:space="preserve"> This probably refers to a group of leaders in Jewish society. They were the heads of important families. They are probably the same group that is described as “elders” in 9:22, 20:1, and 22:52.</w:t>
      </w:r>
      <w:r>
        <w:rPr>
          <w:lang w:val="en_US" w:bidi="en_US"/>
        </w:rPr>
        <w:t xml:space="preserve">In the Greek text, the “leaders of the people” is not joined in a list with “the chief priests” and “scribes.” Rather, it comes last in the sentence. So a literal rending of the Greek would be: “The chief priests and the scribes were seeking to destroy him—and the leaders of the people.”The leaders of the people may be separated like this and put last to show that they were a new group that had recently joined the others to oppose Jesus. Most English versions join the three groups together in a list, but you might choose to keep a slight separation. For example, you might say: “The chief priests and scribes, </w:t>
      </w:r>
      <w:r>
        <w:rPr>
          <w:u w:val="single"/>
          <w:lang w:val="en_US" w:bidi="en_US"/>
        </w:rPr>
        <w:t>with the support of</w:t>
      </w:r>
      <w:r>
        <w:rPr>
          <w:lang w:val="en_US" w:bidi="en_US"/>
        </w:rPr>
        <w:t xml:space="preserve"> the leading citizens, wanted to bring about his death” (REB), or, “The chief priests and experts of the law were seeking a way to have him killed. The leading men among the people joined them.”</w:t>
      </w:r>
    </w:p>
    <w:p>
      <w:pPr/>
      <w:r>
        <w:rPr>
          <w:lang w:val="en_US" w:bidi="en_US"/>
        </w:rPr>
      </w:r>
      <w:r>
        <w:rPr>
          <w:lang w:val="en_US" w:bidi="en_US"/>
        </w:rPr>
        <w:t>Some ways to translate this are:</w:t>
      </w:r>
    </w:p>
    <w:p>
      <w:pPr/>
      <w:r>
        <w:rPr>
          <w:lang w:val="en_US" w:bidi="en_US"/>
        </w:rPr>
      </w:r>
      <w:r>
        <w:rPr>
          <w:lang w:val="en_US" w:bidi="en_US"/>
        </w:rPr>
        <w:t>elders</w:t>
      </w:r>
    </w:p>
    <w:p>
      <w:pPr/>
      <w:r>
        <w:rPr>
          <w:lang w:val="en_US" w:bidi="en_US"/>
        </w:rPr>
      </w:r>
      <w:r>
        <w:rPr>
          <w:lang w:val="en_US" w:bidi="en_US"/>
        </w:rPr>
        <w:t>leading/important men among the people</w:t>
      </w:r>
    </w:p>
    <w:p>
      <w:pPr/>
      <w:r>
        <w:rPr>
          <w:lang w:val="en_US" w:bidi="en_US"/>
        </w:rPr>
      </w:r>
      <w:r>
        <w:rPr>
          <w:b/>
          <w:lang w:val="en_US" w:bidi="en_US"/>
        </w:rPr>
        <w:t>were intent on killing Him:</w:t>
      </w:r>
      <w:r>
        <w:rPr>
          <w:lang w:val="en_US" w:bidi="en_US"/>
        </w:rPr>
        <w:t xml:space="preserve"> The Greek phrase that the BSB translates as </w:t>
      </w:r>
      <w:r>
        <w:rPr>
          <w:i/>
          <w:lang w:val="en_US" w:bidi="en_US"/>
        </w:rPr>
        <w:t>were intent on killing Him</w:t>
      </w:r>
      <w:r>
        <w:rPr>
          <w:lang w:val="en_US" w:bidi="en_US"/>
        </w:rPr>
        <w:t xml:space="preserve"> indicates that the leaders were trying to think of a way to kill Jesus that would not cause the ordinary people to oppose them. The NIV and NASB say that they were “trying” to kill Jesus, but this does not mean they had already attempted to kill him but had been unsuccessful.</w:t>
      </w:r>
    </w:p>
    <w:p>
      <w:pPr/>
      <w:r>
        <w:rPr>
          <w:lang w:val="en_US" w:bidi="en_US"/>
        </w:rPr>
      </w:r>
      <w:r>
        <w:rPr>
          <w:lang w:val="en_US" w:bidi="en_US"/>
        </w:rPr>
        <w:t>The tense of the verb in Greek implies continuing action. They continually searched for a way to do this. Some English versions make this explicit. For example:</w:t>
      </w:r>
    </w:p>
    <w:p>
      <w:pPr/>
      <w:r>
        <w:rPr>
          <w:lang w:val="en_US" w:bidi="en_US"/>
        </w:rPr>
      </w:r>
      <w:r>
        <w:rPr>
          <w:lang w:val="en_US" w:bidi="en_US"/>
        </w:rPr>
        <w:t xml:space="preserve">The chief priests, the scribes, and the leaders of the people </w:t>
      </w:r>
      <w:r>
        <w:rPr>
          <w:u w:val="single"/>
          <w:lang w:val="en_US" w:bidi="en_US"/>
        </w:rPr>
        <w:t>kept</w:t>
      </w:r>
      <w:r>
        <w:rPr>
          <w:lang w:val="en_US" w:bidi="en_US"/>
        </w:rPr>
        <w:t xml:space="preserve"> looking for a way to kill him (NRSV)</w:t>
      </w:r>
    </w:p>
    <w:p>
      <w:pPr/>
      <w:r>
        <w:rPr>
          <w:lang w:val="en_US" w:bidi="en_US"/>
        </w:rPr>
      </w:r>
      <w:r>
        <w:rPr>
          <w:b/>
          <w:lang w:val="en_US" w:bidi="en_US"/>
        </w:rPr>
        <w:t>killing Him:</w:t>
      </w:r>
      <w:r>
        <w:rPr>
          <w:lang w:val="en_US" w:bidi="en_US"/>
        </w:rPr>
        <w:t xml:space="preserve"> The Greek word that the BSB translates as </w:t>
      </w:r>
      <w:r>
        <w:rPr>
          <w:i/>
          <w:lang w:val="en_US" w:bidi="en_US"/>
        </w:rPr>
        <w:t>killing</w:t>
      </w:r>
      <w:r>
        <w:rPr>
          <w:lang w:val="en_US" w:bidi="en_US"/>
        </w:rPr>
        <w:t xml:space="preserve"> here means “causing to be killed.” The Jewish leaders probably did not intend to kill Jesus themselves, but rather to find a way to make the Roman authorities want to execute him. It may be clearer to say:</w:t>
      </w:r>
    </w:p>
    <w:p>
      <w:pPr/>
      <w:r>
        <w:rPr>
          <w:lang w:val="en_US" w:bidi="en_US"/>
        </w:rPr>
      </w:r>
      <w:r>
        <w:rPr>
          <w:lang w:val="en_US" w:bidi="en_US"/>
        </w:rPr>
        <w:t>bring about his death (REB)</w:t>
      </w:r>
    </w:p>
    <w:p>
      <w:pPr/>
      <w:r>
        <w:rPr>
          <w:lang w:val="en_US" w:bidi="en_US"/>
        </w:rPr>
      </w:r>
      <w:r>
        <w:rPr>
          <w:lang w:val="en_US" w:bidi="en_US"/>
        </w:rPr>
        <w:t>have him killed (CEV)</w:t>
      </w:r>
    </w:p>
    <w:p>
      <w:pPr/>
      <w:r>
        <w:rPr>
          <w:lang w:val="en_US" w:bidi="en_US"/>
        </w:rPr>
      </w:r>
      <w:r>
        <w:rPr>
          <w:lang w:val="en_US" w:bidi="en_US"/>
        </w:rPr>
        <w:t>cause him to be killed</w:t>
      </w:r>
      <w:r>
        <w:rPr>
          <w:lang w:val="en_US" w:bidi="en_US"/>
        </w:rPr>
      </w:r>
      <w:r>
        <w:rPr>
          <w:lang w:val="en_US" w:bidi="en_US"/>
        </w:rPr>
      </w:r>
    </w:p>
    <w:p>
      <w:pPr/>
      <w:r>
        <w:rPr>
          <w:lang w:val="en_US" w:bidi="en_US"/>
        </w:rPr>
      </w:r>
    </w:p>
    <w:p>
      <w:pPr>
        <w:pStyle w:val="Heading2"/>
      </w:pPr>
      <w:r>
        <w:rPr>
          <w:lang w:val="en_US" w:bidi="en_US"/>
        </w:rPr>
        <w:t>Luke 19:48</w:t>
      </w:r>
      <w:r>
        <w:rPr>
          <w:lang w:val="en_US" w:bidi="en_US"/>
        </w:rPr>
      </w:r>
    </w:p>
    <w:p>
      <w:pPr>
        <w:pStyle w:val="Heading4"/>
      </w:pPr>
      <w:r>
        <w:rPr>
          <w:lang w:val="en_US" w:bidi="en_US"/>
        </w:rPr>
        <w:t>Section 19:45–48: Jesus expelled sellers from the temple courtyard</w:t>
      </w:r>
    </w:p>
    <w:p>
      <w:pPr/>
      <w:r>
        <w:rPr>
          <w:lang w:val="en_US" w:bidi="en_US"/>
        </w:rPr>
      </w:r>
      <w:r>
        <w:rPr>
          <w:lang w:val="en_US" w:bidi="en_US"/>
        </w:rPr>
        <w:t>In this section, Jesus went to the temple in the city of Jerusalem. There he drove out the people who were selling things in the temple area. Then he quoted what God said in Isaiah 56:7: God intended his temple to be a place of prayer. Then Jesus told them that in contrast, they had made it “a den of robbers.” This is a reference to Jeremiah 7:11, where God used this phrase to accuse people who had done evil things in his temple. By using this phrase, Jesus implied that the sellers were cheating people and working against God’s purpose for the temple.</w:t>
      </w:r>
    </w:p>
    <w:p>
      <w:pPr/>
      <w:r>
        <w:rPr>
          <w:lang w:val="en_US" w:bidi="en_US"/>
        </w:rPr>
      </w:r>
      <w:r>
        <w:rPr>
          <w:lang w:val="en_US" w:bidi="en_US"/>
        </w:rPr>
        <w:t>At the end of this section, Luke summarized the events of the next few days. Jesus taught in the temple. The Jewish leaders were angry and wanted to kill him. But they could not do it because he was surrounded by many people who listened eagerly to his teachings.</w:t>
      </w:r>
    </w:p>
    <w:p>
      <w:pPr/>
      <w:r>
        <w:rPr>
          <w:lang w:val="en_US" w:bidi="en_US"/>
        </w:rPr>
      </w:r>
      <w:r>
        <w:rPr>
          <w:lang w:val="en_US" w:bidi="en_US"/>
        </w:rPr>
        <w:t>Other examples of headings for this section are:</w:t>
      </w:r>
    </w:p>
    <w:p>
      <w:pPr/>
      <w:r>
        <w:rPr>
          <w:lang w:val="en_US" w:bidi="en_US"/>
        </w:rPr>
      </w:r>
      <w:r>
        <w:rPr>
          <w:lang w:val="en_US" w:bidi="en_US"/>
        </w:rPr>
        <w:t>Jesus Goes to the Temple (GNT)</w:t>
      </w:r>
    </w:p>
    <w:p>
      <w:pPr/>
      <w:r>
        <w:rPr>
          <w:lang w:val="en_US" w:bidi="en_US"/>
        </w:rPr>
      </w:r>
      <w:r>
        <w:rPr>
          <w:lang w:val="en_US" w:bidi="en_US"/>
        </w:rPr>
        <w:t>Jesus Clears the Temple (NLT)</w:t>
      </w:r>
    </w:p>
    <w:p>
      <w:pPr/>
      <w:r>
        <w:rPr>
          <w:lang w:val="en_US" w:bidi="en_US"/>
        </w:rPr>
      </w:r>
      <w:r>
        <w:rPr>
          <w:lang w:val="en_US" w:bidi="en_US"/>
        </w:rPr>
        <w:t>Jesus sends the merchants from the temple</w:t>
      </w:r>
    </w:p>
    <w:p>
      <w:pPr/>
      <w:r>
        <w:rPr>
          <w:lang w:val="en_US" w:bidi="en_US"/>
        </w:rPr>
      </w:r>
      <w:r>
        <w:rPr>
          <w:lang w:val="en_US" w:bidi="en_US"/>
        </w:rPr>
        <w:t>Parallel passages for this section occur in Matthew 21:12–17, Mark 11:15–18, and John 2:13–16.</w:t>
      </w:r>
    </w:p>
    <w:p>
      <w:pPr>
        <w:pStyle w:val="Heading4"/>
      </w:pPr>
      <w:r>
        <w:rPr>
          <w:lang w:val="en_US" w:bidi="en_US"/>
        </w:rPr>
        <w:t>Paragraph 19:47–48</w:t>
      </w:r>
    </w:p>
    <w:p>
      <w:pPr/>
      <w:r>
        <w:rPr>
          <w:lang w:val="en_US" w:bidi="en_US"/>
        </w:rPr>
      </w:r>
      <w:r>
        <w:rPr>
          <w:lang w:val="en_US" w:bidi="en_US"/>
        </w:rPr>
        <w:t>This paragraph provides background information for the events in chapter 20. Use a natural way in your language to translate this as background information.</w:t>
      </w:r>
    </w:p>
    <w:p>
      <w:pPr>
        <w:pStyle w:val="Heading5"/>
      </w:pPr>
      <w:r>
        <w:rPr>
          <w:lang w:val="en_US" w:bidi="en_US"/>
        </w:rPr>
        <w:t>19:48a</w:t>
      </w:r>
    </w:p>
    <w:p>
      <w:pPr/>
      <w:r>
        <w:rPr>
          <w:lang w:val="en_US" w:bidi="en_US"/>
        </w:rPr>
      </w:r>
      <w:r>
        <w:rPr>
          <w:b/>
          <w:lang w:val="en_US" w:bidi="en_US"/>
        </w:rPr>
        <w:t>Yet they could not find a way to do so,</w:t>
      </w:r>
    </w:p>
    <w:p>
      <w:pPr>
        <w:pStyle w:val="ListBullet"/>
        <w:spacing w:line="240" w:lineRule="auto"/>
        <w:ind w:left="720"/>
      </w:pPr>
      <w:r>
        <w:rPr>
          <w:lang w:val="en_US" w:bidi="en_US"/>
        </w:rPr>
      </w:r>
      <w:r>
        <w:rPr>
          <w:lang w:val="en_US" w:bidi="en_US"/>
        </w:rPr>
        <w:t>However, they could not think of a way to do it,</w:t>
      </w:r>
    </w:p>
    <w:p>
      <w:pPr>
        <w:pStyle w:val="ListBullet"/>
        <w:spacing w:line="240" w:lineRule="auto"/>
        <w:ind w:left="720"/>
      </w:pPr>
      <w:r>
        <w:rPr>
          <w:lang w:val="en_US" w:bidi="en_US"/>
        </w:rPr>
      </w:r>
      <w:r>
        <w:rPr>
          <w:lang w:val="en_US" w:bidi="en_US"/>
        </w:rPr>
        <w:t xml:space="preserve">But they found no chance/way to cause his death </w:t>
      </w:r>
      <w:r>
        <w:rPr>
          <w:lang w:val="en_US" w:bidi="en_US"/>
        </w:rPr>
        <w:t>secretly</w:t>
      </w:r>
      <w:r>
        <w:rPr>
          <w:lang w:val="en_US" w:bidi="en_US"/>
        </w:rPr>
        <w:t>.</w:t>
      </w:r>
    </w:p>
    <w:p>
      <w:pPr/>
      <w:r>
        <w:rPr>
          <w:lang w:val="en_US" w:bidi="en_US"/>
        </w:rPr>
      </w:r>
      <w:r>
        <w:rPr>
          <w:b/>
          <w:lang w:val="en_US" w:bidi="en_US"/>
        </w:rPr>
        <w:t>Yet they could not find a way to do so:</w:t>
      </w:r>
      <w:r>
        <w:rPr>
          <w:lang w:val="en_US" w:bidi="en_US"/>
        </w:rPr>
        <w:t xml:space="preserve"> This clause contrasts with the preceding verse, so the BSB begins it with </w:t>
      </w:r>
      <w:r>
        <w:rPr>
          <w:i/>
          <w:lang w:val="en_US" w:bidi="en_US"/>
        </w:rPr>
        <w:t>Yet</w:t>
      </w:r>
      <w:r>
        <w:rPr>
          <w:lang w:val="en_US" w:bidi="en_US"/>
        </w:rPr>
        <w:t>. Although the Jewish leaders were continually trying to cause Jesus’ death, they were unsuccessful.</w:t>
      </w:r>
    </w:p>
    <w:p>
      <w:pPr/>
      <w:r>
        <w:rPr>
          <w:lang w:val="en_US" w:bidi="en_US"/>
        </w:rPr>
      </w:r>
      <w:r>
        <w:rPr>
          <w:lang w:val="en_US" w:bidi="en_US"/>
        </w:rPr>
        <w:t xml:space="preserve">The clause </w:t>
      </w:r>
      <w:r>
        <w:rPr>
          <w:i/>
          <w:lang w:val="en_US" w:bidi="en_US"/>
        </w:rPr>
        <w:t>they could not find a way to do so</w:t>
      </w:r>
      <w:r>
        <w:rPr>
          <w:lang w:val="en_US" w:bidi="en_US"/>
        </w:rPr>
        <w:t xml:space="preserve"> indicates that the Jewish religious leaders were unable to capture and kill Jesus secretly. They wanted to arrest Jesus when he was alone. Then they wanted to make the Romans believe that Jesus deserved to die. They could not find a good opportunity to do either of these things. Here is another way to translate this:</w:t>
      </w:r>
    </w:p>
    <w:p>
      <w:pPr/>
      <w:r>
        <w:rPr>
          <w:lang w:val="en_US" w:bidi="en_US"/>
        </w:rPr>
      </w:r>
      <w:r>
        <w:rPr>
          <w:lang w:val="en_US" w:bidi="en_US"/>
        </w:rPr>
        <w:t>But they did not know how they could do it (NCV)</w:t>
      </w:r>
    </w:p>
    <w:p>
      <w:pPr>
        <w:pStyle w:val="Heading5"/>
      </w:pPr>
      <w:r>
        <w:rPr>
          <w:lang w:val="en_US" w:bidi="en_US"/>
        </w:rPr>
        <w:t>19:48b</w:t>
      </w:r>
    </w:p>
    <w:p>
      <w:pPr/>
      <w:r>
        <w:rPr>
          <w:lang w:val="en_US" w:bidi="en_US"/>
        </w:rPr>
      </w:r>
      <w:r>
        <w:rPr>
          <w:b/>
          <w:lang w:val="en_US" w:bidi="en_US"/>
        </w:rPr>
        <w:t>because all the people hung on His words.</w:t>
      </w:r>
    </w:p>
    <w:p>
      <w:pPr>
        <w:pStyle w:val="ListBullet"/>
        <w:spacing w:line="240" w:lineRule="auto"/>
        <w:ind w:left="720"/>
      </w:pPr>
      <w:r>
        <w:rPr>
          <w:lang w:val="en_US" w:bidi="en_US"/>
        </w:rPr>
      </w:r>
      <w:r>
        <w:rPr>
          <w:lang w:val="en_US" w:bidi="en_US"/>
        </w:rPr>
        <w:t>because all the people were listening to him with great attention.</w:t>
      </w:r>
    </w:p>
    <w:p>
      <w:pPr>
        <w:pStyle w:val="ListBullet"/>
        <w:spacing w:line="240" w:lineRule="auto"/>
        <w:ind w:left="720"/>
      </w:pPr>
      <w:r>
        <w:rPr>
          <w:lang w:val="en_US" w:bidi="en_US"/>
        </w:rPr>
      </w:r>
      <w:r>
        <w:rPr>
          <w:lang w:val="en_US" w:bidi="en_US"/>
        </w:rPr>
        <w:t xml:space="preserve">Everyone </w:t>
      </w:r>
      <w:r>
        <w:rPr>
          <w:lang w:val="en_US" w:bidi="en_US"/>
        </w:rPr>
        <w:t>in Jerusalem</w:t>
      </w:r>
      <w:r>
        <w:rPr>
          <w:lang w:val="en_US" w:bidi="en_US"/>
        </w:rPr>
        <w:t xml:space="preserve"> was eagerly listening to the things that Jesus was saying. </w:t>
      </w:r>
      <w:r>
        <w:rPr>
          <w:lang w:val="en_US" w:bidi="en_US"/>
        </w:rPr>
        <w:t>The leaders feared that the people would be very angry if they harmed Jesus</w:t>
      </w:r>
      <w:r>
        <w:rPr>
          <w:lang w:val="en_US" w:bidi="en_US"/>
        </w:rPr>
        <w:t>.</w:t>
      </w:r>
    </w:p>
    <w:p>
      <w:pPr/>
      <w:r>
        <w:rPr>
          <w:lang w:val="en_US" w:bidi="en_US"/>
        </w:rPr>
      </w:r>
      <w:r>
        <w:rPr>
          <w:b/>
          <w:lang w:val="en_US" w:bidi="en_US"/>
        </w:rPr>
        <w:t>because all the people hung on His words:</w:t>
      </w:r>
      <w:r>
        <w:rPr>
          <w:lang w:val="en_US" w:bidi="en_US"/>
        </w:rPr>
        <w:t xml:space="preserve"> This clause gives the reason that the Jewish leaders were unable to have Jesus killed. All the people were continually with him, listening to him teach. The Jewish leaders could not arrest Jesus secretly because these people would have opposed such an act against him. Express this reason in a natural way in your language.</w:t>
      </w:r>
    </w:p>
    <w:p>
      <w:pPr/>
      <w:r>
        <w:rPr>
          <w:lang w:val="en_US" w:bidi="en_US"/>
        </w:rPr>
      </w:r>
      <w:r>
        <w:rPr>
          <w:b/>
          <w:lang w:val="en_US" w:bidi="en_US"/>
        </w:rPr>
        <w:t>all the people hung on His words:</w:t>
      </w:r>
      <w:r>
        <w:rPr>
          <w:lang w:val="en_US" w:bidi="en_US"/>
        </w:rPr>
        <w:t xml:space="preserve"> The Greek phrase that the BSB translates as </w:t>
      </w:r>
      <w:r>
        <w:rPr>
          <w:i/>
          <w:lang w:val="en_US" w:bidi="en_US"/>
        </w:rPr>
        <w:t>all the people hung on His words</w:t>
      </w:r>
      <w:r>
        <w:rPr>
          <w:lang w:val="en_US" w:bidi="en_US"/>
        </w:rPr>
        <w:t xml:space="preserve"> is an idiom. It indicates that everyone was eagerly listening to everything that Jesus said. Some other ways to translate this phrase are:</w:t>
      </w:r>
    </w:p>
    <w:p>
      <w:pPr/>
      <w:r>
        <w:rPr>
          <w:lang w:val="en_US" w:bidi="en_US"/>
        </w:rPr>
      </w:r>
      <w:r>
        <w:rPr>
          <w:lang w:val="en_US" w:bidi="en_US"/>
        </w:rPr>
        <w:t>all the people were listening closely to him (NCV)</w:t>
      </w:r>
    </w:p>
    <w:p>
      <w:pPr/>
      <w:r>
        <w:rPr>
          <w:lang w:val="en_US" w:bidi="en_US"/>
        </w:rPr>
      </w:r>
      <w:r>
        <w:rPr>
          <w:lang w:val="en_US" w:bidi="en_US"/>
        </w:rPr>
        <w:t>all the people listened with full/great attention</w:t>
      </w:r>
    </w:p>
    <w:p>
      <w:pPr/>
      <w:r>
        <w:rPr>
          <w:lang w:val="en_US" w:bidi="en_US"/>
        </w:rPr>
      </w:r>
      <w:r>
        <w:rPr>
          <w:lang w:val="en_US" w:bidi="en_US"/>
        </w:rPr>
        <w:t>all the people were eager to hear him (GW)</w:t>
      </w:r>
    </w:p>
    <w:p>
      <w:pPr/>
      <w:r>
        <w:rPr>
          <w:lang w:val="en_US" w:bidi="en_US"/>
        </w:rPr>
      </w:r>
      <w:r>
        <w:rPr>
          <w:b/>
          <w:lang w:val="en_US" w:bidi="en_US"/>
        </w:rPr>
        <w:t>all the people:</w:t>
      </w:r>
      <w:r>
        <w:rPr>
          <w:lang w:val="en_US" w:bidi="en_US"/>
        </w:rPr>
        <w:t xml:space="preserve"> The phrase </w:t>
      </w:r>
      <w:r>
        <w:rPr>
          <w:i/>
          <w:lang w:val="en_US" w:bidi="en_US"/>
        </w:rPr>
        <w:t>all the people</w:t>
      </w:r>
      <w:r>
        <w:rPr>
          <w:lang w:val="en_US" w:bidi="en_US"/>
        </w:rPr>
        <w:t xml:space="preserve"> refers to the large crowds of people that were coming to the temple during this time. It does not literally mean all the people in Jerusalem. It probably included many of the people who lived in Jerusalem and also many people who had come to Jerusalem for the Passover celebration.</w:t>
      </w:r>
    </w:p>
    <w:p>
      <w:pPr>
        <w:pStyle w:val="Heading6"/>
      </w:pPr>
      <w:r>
        <w:rPr>
          <w:b/>
          <w:lang w:val="en_US" w:bidi="en_US"/>
        </w:rPr>
        <w:t>General Comment on 19:48a–b</w:t>
      </w:r>
    </w:p>
    <w:p>
      <w:pPr/>
      <w:r>
        <w:rPr>
          <w:lang w:val="en_US" w:bidi="en_US"/>
        </w:rPr>
      </w:r>
      <w:r>
        <w:rPr>
          <w:lang w:val="en_US" w:bidi="en_US"/>
        </w:rPr>
        <w:t>In some languages it may be more natural to change the order of clauses in this verse. For example:</w:t>
      </w:r>
    </w:p>
    <w:p>
      <w:pPr/>
      <w:r>
        <w:rPr>
          <w:lang w:val="en_US" w:bidi="en_US"/>
        </w:rPr>
      </w:r>
      <w:r>
        <w:rPr>
          <w:lang w:val="en_US" w:bidi="en_US"/>
        </w:rPr>
        <w:t xml:space="preserve">But/Yet </w:t>
      </w:r>
      <w:r>
        <w:rPr>
          <w:vertAlign w:val="superscript"/>
          <w:lang w:val="en_US" w:bidi="en_US"/>
        </w:rPr>
        <w:t>48b</w:t>
      </w:r>
      <w:r>
        <w:rPr>
          <w:lang w:val="en_US" w:bidi="en_US"/>
        </w:rPr>
        <w:t xml:space="preserve">because all the people hung on his words, </w:t>
      </w:r>
      <w:r>
        <w:rPr>
          <w:vertAlign w:val="superscript"/>
          <w:lang w:val="en_US" w:bidi="en_US"/>
        </w:rPr>
        <w:t>48a</w:t>
      </w:r>
      <w:r>
        <w:rPr>
          <w:lang w:val="en_US" w:bidi="en_US"/>
        </w:rPr>
        <w:t>the Jewish leaders could not find a way to kill him.</w:t>
      </w:r>
      <w:r>
        <w:rPr>
          <w:lang w:val="en_US" w:bidi="en_US"/>
        </w:rPr>
      </w:r>
      <w:r>
        <w:rPr>
          <w:lang w:val="en_US" w:bidi="en_US"/>
        </w:rPr>
      </w:r>
    </w:p>
    <w:p>
      <w:pPr/>
      <w:r>
        <w:rPr>
          <w:lang w:val="en_US" w:bidi="en_US"/>
        </w:rPr>
      </w:r>
    </w:p>
    <w:p>
      <w:pPr>
        <w:pStyle w:val="Heading2"/>
      </w:pPr>
      <w:r>
        <w:rPr>
          <w:lang w:val="en_US" w:bidi="en_US"/>
        </w:rPr>
        <w:t>Luke 20:1</w:t>
      </w:r>
      <w:r>
        <w:rPr>
          <w:lang w:val="en_US" w:bidi="en_US"/>
        </w:rPr>
      </w:r>
    </w:p>
    <w:p>
      <w:pPr>
        <w:pStyle w:val="Heading4"/>
      </w:pPr>
      <w:r>
        <w:rPr>
          <w:lang w:val="en_US" w:bidi="en_US"/>
        </w:rPr>
        <w:t>Section 20:1–8: The Jewish leaders challenged Jesus’ authority</w:t>
      </w:r>
    </w:p>
    <w:p>
      <w:pPr/>
      <w:r>
        <w:rPr>
          <w:lang w:val="en_US" w:bidi="en_US"/>
        </w:rPr>
      </w:r>
      <w:r>
        <w:rPr>
          <w:lang w:val="en_US" w:bidi="en_US"/>
        </w:rPr>
        <w:t>In this paragraph the Jewish leaders asked Jesus what authority he had to do the things that he had been doing. They implied by their question in 20:2 that God had not authorized Jesus to do and say what he did.</w:t>
      </w:r>
    </w:p>
    <w:p>
      <w:pPr/>
      <w:r>
        <w:rPr>
          <w:lang w:val="en_US" w:bidi="en_US"/>
        </w:rPr>
      </w:r>
      <w:r>
        <w:rPr>
          <w:lang w:val="en_US" w:bidi="en_US"/>
        </w:rPr>
        <w:t>Jesus replied by asking the leaders who gave John the Baptizer his authority. His question implied that both he and John got their authority from God. The leaders did not want to admit that God had given John his authority, because they did not believe John’s teaching. But they did not want to say that his authority was only from human beings, because they were afraid that the people would stone them. So they said that they did not know where John’s authority came from.</w:t>
      </w:r>
    </w:p>
    <w:p>
      <w:pPr/>
      <w:r>
        <w:rPr>
          <w:lang w:val="en_US" w:bidi="en_US"/>
        </w:rPr>
      </w:r>
      <w:r>
        <w:rPr>
          <w:lang w:val="en_US" w:bidi="en_US"/>
        </w:rPr>
        <w:t>Because the leaders refused to say what they believed about John, Jesus also said that he would not tell them about his own authority. He knew that they would not accept his answer, because they were questioning him with evil motives. However, in Section 20:9–19, he revealed the answer in a parable.</w:t>
      </w:r>
    </w:p>
    <w:p>
      <w:pPr/>
      <w:r>
        <w:rPr>
          <w:lang w:val="en_US" w:bidi="en_US"/>
        </w:rPr>
      </w:r>
      <w:r>
        <w:rPr>
          <w:lang w:val="en_US" w:bidi="en_US"/>
        </w:rPr>
        <w:t>Examples of headings for this section are:</w:t>
      </w:r>
    </w:p>
    <w:p>
      <w:pPr/>
      <w:r>
        <w:rPr>
          <w:lang w:val="en_US" w:bidi="en_US"/>
        </w:rPr>
      </w:r>
      <w:r>
        <w:rPr>
          <w:lang w:val="en_US" w:bidi="en_US"/>
        </w:rPr>
        <w:t>The Authority of Jesus Questioned (NIV)</w:t>
      </w:r>
    </w:p>
    <w:p>
      <w:pPr/>
      <w:r>
        <w:rPr>
          <w:lang w:val="en_US" w:bidi="en_US"/>
        </w:rPr>
      </w:r>
      <w:r>
        <w:rPr>
          <w:lang w:val="en_US" w:bidi="en_US"/>
        </w:rPr>
        <w:t>The Jewish leaders did not believe that Jesus came with God’s authority</w:t>
      </w:r>
    </w:p>
    <w:p>
      <w:pPr/>
      <w:r>
        <w:rPr>
          <w:lang w:val="en_US" w:bidi="en_US"/>
        </w:rPr>
      </w:r>
      <w:r>
        <w:rPr>
          <w:lang w:val="en_US" w:bidi="en_US"/>
        </w:rPr>
        <w:t>Jewish Leaders Question Jesus (NCV)</w:t>
      </w:r>
    </w:p>
    <w:p>
      <w:pPr/>
      <w:r>
        <w:rPr>
          <w:lang w:val="en_US" w:bidi="en_US"/>
        </w:rPr>
      </w:r>
      <w:r>
        <w:rPr>
          <w:lang w:val="en_US" w:bidi="en_US"/>
        </w:rPr>
        <w:t>There are parallel passages for this section in Matthew 21:23–27 and Mark 11:27–33.</w:t>
      </w:r>
    </w:p>
    <w:p>
      <w:pPr>
        <w:pStyle w:val="Heading5"/>
      </w:pPr>
      <w:r>
        <w:rPr>
          <w:lang w:val="en_US" w:bidi="en_US"/>
        </w:rPr>
        <w:t>20:1a</w:t>
      </w:r>
    </w:p>
    <w:p>
      <w:pPr/>
      <w:r>
        <w:rPr>
          <w:lang w:val="en_US" w:bidi="en_US"/>
        </w:rPr>
      </w:r>
      <w:r>
        <w:rPr>
          <w:b/>
          <w:lang w:val="en_US" w:bidi="en_US"/>
        </w:rPr>
        <w:t>One day as Jesus was teaching the people in the temple courts</w:t>
      </w:r>
    </w:p>
    <w:p>
      <w:pPr>
        <w:pStyle w:val="ListBullet"/>
        <w:spacing w:line="240" w:lineRule="auto"/>
        <w:ind w:left="720"/>
      </w:pPr>
      <w:r>
        <w:rPr>
          <w:lang w:val="en_US" w:bidi="en_US"/>
        </w:rPr>
      </w:r>
      <w:r>
        <w:rPr>
          <w:lang w:val="en_US" w:bidi="en_US"/>
        </w:rPr>
        <w:t>¶ On one of the days when Jesus was teaching the people in the temple area</w:t>
      </w:r>
    </w:p>
    <w:p>
      <w:pPr>
        <w:pStyle w:val="ListBullet"/>
        <w:spacing w:line="240" w:lineRule="auto"/>
        <w:ind w:left="720"/>
      </w:pPr>
      <w:r>
        <w:rPr>
          <w:lang w:val="en_US" w:bidi="en_US"/>
        </w:rPr>
      </w:r>
      <w:r>
        <w:rPr>
          <w:lang w:val="en_US" w:bidi="en_US"/>
        </w:rPr>
        <w:t>¶ One day Jesus was in the temple courtyards teaching the people</w:t>
      </w:r>
    </w:p>
    <w:p>
      <w:pPr>
        <w:pStyle w:val="Heading5"/>
      </w:pPr>
      <w:r>
        <w:rPr>
          <w:lang w:val="en_US" w:bidi="en_US"/>
        </w:rPr>
        <w:t>20:1b</w:t>
      </w:r>
    </w:p>
    <w:p>
      <w:pPr/>
      <w:r>
        <w:rPr>
          <w:lang w:val="en_US" w:bidi="en_US"/>
        </w:rPr>
      </w:r>
      <w:r>
        <w:rPr>
          <w:b/>
          <w:lang w:val="en_US" w:bidi="en_US"/>
        </w:rPr>
        <w:t>and proclaiming the gospel,</w:t>
      </w:r>
    </w:p>
    <w:p>
      <w:pPr>
        <w:pStyle w:val="ListBullet"/>
        <w:spacing w:line="240" w:lineRule="auto"/>
        <w:ind w:left="720"/>
      </w:pPr>
      <w:r>
        <w:rPr>
          <w:lang w:val="en_US" w:bidi="en_US"/>
        </w:rPr>
      </w:r>
      <w:r>
        <w:rPr>
          <w:lang w:val="en_US" w:bidi="en_US"/>
        </w:rPr>
        <w:t xml:space="preserve">and proclaiming </w:t>
      </w:r>
      <w:r>
        <w:rPr>
          <w:lang w:val="en_US" w:bidi="en_US"/>
        </w:rPr>
        <w:t>to them</w:t>
      </w:r>
      <w:r>
        <w:rPr>
          <w:lang w:val="en_US" w:bidi="en_US"/>
        </w:rPr>
        <w:t xml:space="preserve"> the good news </w:t>
      </w:r>
      <w:r>
        <w:rPr>
          <w:lang w:val="en_US" w:bidi="en_US"/>
        </w:rPr>
        <w:t>from God</w:t>
      </w:r>
      <w:r>
        <w:rPr>
          <w:lang w:val="en_US" w:bidi="en_US"/>
        </w:rPr>
        <w:t>,</w:t>
      </w:r>
    </w:p>
    <w:p>
      <w:pPr>
        <w:pStyle w:val="ListBullet"/>
        <w:spacing w:line="240" w:lineRule="auto"/>
        <w:ind w:left="720"/>
      </w:pPr>
      <w:r>
        <w:rPr>
          <w:lang w:val="en_US" w:bidi="en_US"/>
        </w:rPr>
      </w:r>
      <w:r>
        <w:rPr>
          <w:lang w:val="en_US" w:bidi="en_US"/>
        </w:rPr>
        <w:t xml:space="preserve">and telling them sweet messages/words </w:t>
      </w:r>
      <w:r>
        <w:rPr>
          <w:lang w:val="en_US" w:bidi="en_US"/>
        </w:rPr>
        <w:t>about God’s kingdom</w:t>
      </w:r>
      <w:r>
        <w:rPr>
          <w:lang w:val="en_US" w:bidi="en_US"/>
        </w:rPr>
        <w:t>.</w:t>
      </w:r>
    </w:p>
    <w:p>
      <w:pPr>
        <w:pStyle w:val="Heading5"/>
      </w:pPr>
      <w:r>
        <w:rPr>
          <w:lang w:val="en_US" w:bidi="en_US"/>
        </w:rPr>
        <w:t>20:1a–b</w:t>
      </w:r>
    </w:p>
    <w:p>
      <w:pPr/>
      <w:r>
        <w:rPr>
          <w:lang w:val="en_US" w:bidi="en_US"/>
        </w:rPr>
      </w:r>
      <w:r>
        <w:rPr>
          <w:b/>
          <w:lang w:val="en_US" w:bidi="en_US"/>
        </w:rPr>
        <w:t>One day:</w:t>
      </w:r>
      <w:r>
        <w:rPr>
          <w:lang w:val="en_US" w:bidi="en_US"/>
        </w:rPr>
        <w:t xml:space="preserve"> The Greek phrase that the BSB translates as </w:t>
      </w:r>
      <w:r>
        <w:rPr>
          <w:i/>
          <w:lang w:val="en_US" w:bidi="en_US"/>
        </w:rPr>
        <w:t>One day</w:t>
      </w:r>
      <w:r>
        <w:rPr>
          <w:lang w:val="en_US" w:bidi="en_US"/>
        </w:rPr>
        <w:t xml:space="preserve"> refers to one of the days when Jesus was teaching in the temple, as described in 19:47–48. It probably refers to the day after he cleared the temple (19:45–46).</w:t>
      </w:r>
    </w:p>
    <w:p>
      <w:pPr/>
      <w:r>
        <w:rPr>
          <w:lang w:val="en_US" w:bidi="en_US"/>
        </w:rPr>
      </w:r>
      <w:r>
        <w:rPr>
          <w:lang w:val="en_US" w:bidi="en_US"/>
        </w:rPr>
        <w:t>This verse begins with a Greek phrase that means “and it happened.” It introduces the new event in 20:1–8. Here is another way to translate this:</w:t>
      </w:r>
    </w:p>
    <w:p>
      <w:pPr/>
      <w:r>
        <w:rPr>
          <w:lang w:val="en_US" w:bidi="en_US"/>
        </w:rPr>
      </w:r>
      <w:r>
        <w:rPr>
          <w:u w:val="single"/>
          <w:lang w:val="en_US" w:bidi="en_US"/>
        </w:rPr>
        <w:t>Now it happened that</w:t>
      </w:r>
      <w:r>
        <w:rPr>
          <w:lang w:val="en_US" w:bidi="en_US"/>
        </w:rPr>
        <w:t xml:space="preserve"> one day while he was teaching (NJB)</w:t>
      </w:r>
    </w:p>
    <w:p>
      <w:pPr/>
      <w:r>
        <w:rPr>
          <w:lang w:val="en_US" w:bidi="en_US"/>
        </w:rPr>
      </w:r>
      <w:r>
        <w:rPr>
          <w:lang w:val="en_US" w:bidi="en_US"/>
        </w:rPr>
        <w:t xml:space="preserve">Many English versions do not translate this phrase, since </w:t>
      </w:r>
      <w:r>
        <w:rPr>
          <w:i/>
          <w:lang w:val="en_US" w:bidi="en_US"/>
        </w:rPr>
        <w:t>One day</w:t>
      </w:r>
      <w:r>
        <w:rPr>
          <w:lang w:val="en_US" w:bidi="en_US"/>
        </w:rPr>
        <w:t xml:space="preserve"> is a natural way to introduce the event. Introduce the event in a natural way in your language.</w:t>
      </w:r>
    </w:p>
    <w:p>
      <w:pPr/>
      <w:r>
        <w:rPr>
          <w:lang w:val="en_US" w:bidi="en_US"/>
        </w:rPr>
      </w:r>
      <w:r>
        <w:rPr>
          <w:b/>
          <w:lang w:val="en_US" w:bidi="en_US"/>
        </w:rPr>
        <w:t>as Jesus was teaching the people in the temple courts and proclaiming the gospel:</w:t>
      </w:r>
      <w:r>
        <w:rPr>
          <w:lang w:val="en_US" w:bidi="en_US"/>
        </w:rPr>
        <w:t xml:space="preserve"> Here the words </w:t>
      </w:r>
      <w:r>
        <w:rPr>
          <w:i/>
          <w:lang w:val="en_US" w:bidi="en_US"/>
        </w:rPr>
        <w:t>teaching</w:t>
      </w:r>
      <w:r>
        <w:rPr>
          <w:lang w:val="en_US" w:bidi="en_US"/>
        </w:rPr>
        <w:t xml:space="preserve"> and </w:t>
      </w:r>
      <w:r>
        <w:rPr>
          <w:i/>
          <w:lang w:val="en_US" w:bidi="en_US"/>
        </w:rPr>
        <w:t>proclaiming the gospel</w:t>
      </w:r>
      <w:r>
        <w:rPr>
          <w:lang w:val="en_US" w:bidi="en_US"/>
        </w:rPr>
        <w:t xml:space="preserve"> probably describe the same action. The expression </w:t>
      </w:r>
      <w:r>
        <w:rPr>
          <w:i/>
          <w:lang w:val="en_US" w:bidi="en_US"/>
        </w:rPr>
        <w:t>proclaiming the gospel</w:t>
      </w:r>
      <w:r>
        <w:rPr>
          <w:lang w:val="en_US" w:bidi="en_US"/>
        </w:rPr>
        <w:t xml:space="preserve"> is more specific than </w:t>
      </w:r>
      <w:r>
        <w:rPr>
          <w:i/>
          <w:lang w:val="en_US" w:bidi="en_US"/>
        </w:rPr>
        <w:t>teaching</w:t>
      </w:r>
      <w:r>
        <w:rPr>
          <w:lang w:val="en_US" w:bidi="en_US"/>
        </w:rPr>
        <w:t>. It describes what Jesus taught the people. Another way to translate this is:</w:t>
      </w:r>
    </w:p>
    <w:p>
      <w:pPr/>
      <w:r>
        <w:rPr>
          <w:lang w:val="en_US" w:bidi="en_US"/>
        </w:rPr>
      </w:r>
      <w:r>
        <w:rPr>
          <w:lang w:val="en_US" w:bidi="en_US"/>
        </w:rPr>
        <w:t>when Jesus was in the Temple teaching the people about the Good News</w:t>
      </w:r>
    </w:p>
    <w:p>
      <w:pPr/>
      <w:r>
        <w:rPr>
          <w:lang w:val="en_US" w:bidi="en_US"/>
        </w:rPr>
      </w:r>
      <w:r>
        <w:rPr>
          <w:b/>
          <w:lang w:val="en_US" w:bidi="en_US"/>
        </w:rPr>
        <w:t>in the temple courts:</w:t>
      </w:r>
      <w:r>
        <w:rPr>
          <w:lang w:val="en_US" w:bidi="en_US"/>
        </w:rPr>
        <w:t xml:space="preserve"> The Greek phrase that the BSB translates as </w:t>
      </w:r>
      <w:r>
        <w:rPr>
          <w:i/>
          <w:lang w:val="en_US" w:bidi="en_US"/>
        </w:rPr>
        <w:t>in the temple courts</w:t>
      </w:r>
      <w:r>
        <w:rPr>
          <w:lang w:val="en_US" w:bidi="en_US"/>
        </w:rPr>
        <w:t xml:space="preserve"> is the same as “the temple courts” mentioned in 19:45a. It refers to the open area around the temple building. Refer back to it in a natural way in your language. See temple, Meaning 1, in the Glossary.</w:t>
      </w:r>
    </w:p>
    <w:p>
      <w:pPr/>
      <w:r>
        <w:rPr>
          <w:lang w:val="en_US" w:bidi="en_US"/>
        </w:rPr>
      </w:r>
      <w:r>
        <w:rPr>
          <w:b/>
          <w:lang w:val="en_US" w:bidi="en_US"/>
        </w:rPr>
        <w:t>proclaiming the gospel:</w:t>
      </w:r>
      <w:r>
        <w:rPr>
          <w:lang w:val="en_US" w:bidi="en_US"/>
        </w:rPr>
        <w:t xml:space="preserve"> The Greek word that the BSB translates as </w:t>
      </w:r>
      <w:r>
        <w:rPr>
          <w:i/>
          <w:lang w:val="en_US" w:bidi="en_US"/>
        </w:rPr>
        <w:t>proclaiming the gospel</w:t>
      </w:r>
      <w:r>
        <w:rPr>
          <w:lang w:val="en_US" w:bidi="en_US"/>
        </w:rPr>
        <w:t xml:space="preserve"> means “speak/tell good news.” This word refers to the good news about the kingdom of God.</w:t>
      </w:r>
    </w:p>
    <w:p>
      <w:pPr/>
      <w:r>
        <w:rPr>
          <w:lang w:val="en_US" w:bidi="en_US"/>
        </w:rPr>
      </w:r>
      <w:r>
        <w:rPr>
          <w:lang w:val="en_US" w:bidi="en_US"/>
        </w:rPr>
        <w:t>Some ways to translate this word are:</w:t>
      </w:r>
    </w:p>
    <w:p>
      <w:pPr/>
      <w:r>
        <w:rPr>
          <w:lang w:val="en_US" w:bidi="en_US"/>
        </w:rPr>
      </w:r>
      <w:r>
        <w:rPr>
          <w:lang w:val="en_US" w:bidi="en_US"/>
        </w:rPr>
        <w:t xml:space="preserve">preaching the good/sweet news </w:t>
      </w:r>
      <w:r>
        <w:rPr>
          <w:lang w:val="en_US" w:bidi="en_US"/>
        </w:rPr>
        <w:t>to the people</w:t>
      </w:r>
    </w:p>
    <w:p>
      <w:pPr/>
      <w:r>
        <w:rPr>
          <w:lang w:val="en_US" w:bidi="en_US"/>
        </w:rPr>
      </w:r>
      <w:r>
        <w:rPr>
          <w:lang w:val="en_US" w:bidi="en_US"/>
        </w:rPr>
        <w:t xml:space="preserve">telling </w:t>
      </w:r>
      <w:r>
        <w:rPr>
          <w:lang w:val="en_US" w:bidi="en_US"/>
        </w:rPr>
        <w:t>the people</w:t>
      </w:r>
      <w:r>
        <w:rPr>
          <w:lang w:val="en_US" w:bidi="en_US"/>
        </w:rPr>
        <w:t xml:space="preserve"> the good news </w:t>
      </w:r>
      <w:r>
        <w:rPr>
          <w:lang w:val="en_US" w:bidi="en_US"/>
        </w:rPr>
        <w:t>about the kingdom</w:t>
      </w:r>
    </w:p>
    <w:p>
      <w:pPr/>
      <w:r>
        <w:rPr>
          <w:lang w:val="en_US" w:bidi="en_US"/>
        </w:rPr>
      </w:r>
      <w:r>
        <w:rPr>
          <w:lang w:val="en_US" w:bidi="en_US"/>
        </w:rPr>
        <w:t>he was telling the message/report that causes joy</w:t>
      </w:r>
    </w:p>
    <w:p>
      <w:pPr/>
      <w:r>
        <w:rPr>
          <w:lang w:val="en_US" w:bidi="en_US"/>
        </w:rPr>
      </w:r>
      <w:r>
        <w:rPr>
          <w:lang w:val="en_US" w:bidi="en_US"/>
        </w:rPr>
        <w:t>Be sure that the term you choose does not refer only to a news report. Also, do not use a word like “story” if it refers only to a story that is not true.</w:t>
      </w:r>
    </w:p>
    <w:p>
      <w:pPr>
        <w:pStyle w:val="Heading5"/>
      </w:pPr>
      <w:r>
        <w:rPr>
          <w:lang w:val="en_US" w:bidi="en_US"/>
        </w:rPr>
        <w:t>20:1c</w:t>
      </w:r>
    </w:p>
    <w:p>
      <w:pPr/>
      <w:r>
        <w:rPr>
          <w:lang w:val="en_US" w:bidi="en_US"/>
        </w:rPr>
      </w:r>
      <w:r>
        <w:rPr>
          <w:b/>
          <w:lang w:val="en_US" w:bidi="en_US"/>
        </w:rPr>
        <w:t>the chief priests and scribes, together with the elders,</w:t>
      </w:r>
    </w:p>
    <w:p>
      <w:pPr>
        <w:pStyle w:val="ListBullet"/>
        <w:spacing w:line="240" w:lineRule="auto"/>
        <w:ind w:left="720"/>
      </w:pPr>
      <w:r>
        <w:rPr>
          <w:lang w:val="en_US" w:bidi="en_US"/>
        </w:rPr>
      </w:r>
      <w:r>
        <w:rPr>
          <w:lang w:val="en_US" w:bidi="en_US"/>
        </w:rPr>
        <w:t>the leading/ruling priests and the teachers of the law, with the elders,</w:t>
      </w:r>
    </w:p>
    <w:p>
      <w:pPr>
        <w:pStyle w:val="ListBullet"/>
        <w:spacing w:line="240" w:lineRule="auto"/>
        <w:ind w:left="720"/>
      </w:pPr>
      <w:r>
        <w:rPr>
          <w:lang w:val="en_US" w:bidi="en_US"/>
        </w:rPr>
      </w:r>
      <w:r>
        <w:rPr>
          <w:lang w:val="en_US" w:bidi="en_US"/>
        </w:rPr>
        <w:t xml:space="preserve">The leaders of the priests, the experts in the law, and the </w:t>
      </w:r>
      <w:r>
        <w:rPr>
          <w:lang w:val="en_US" w:bidi="en_US"/>
        </w:rPr>
        <w:t>other</w:t>
      </w:r>
      <w:r>
        <w:rPr>
          <w:lang w:val="en_US" w:bidi="en_US"/>
        </w:rPr>
        <w:t xml:space="preserve"> leaders </w:t>
      </w:r>
      <w:r>
        <w:rPr>
          <w:lang w:val="en_US" w:bidi="en_US"/>
        </w:rPr>
        <w:t>of the people</w:t>
      </w:r>
    </w:p>
    <w:p>
      <w:pPr/>
      <w:r>
        <w:rPr>
          <w:lang w:val="en_US" w:bidi="en_US"/>
        </w:rPr>
      </w:r>
      <w:r>
        <w:rPr>
          <w:b/>
          <w:lang w:val="en_US" w:bidi="en_US"/>
        </w:rPr>
        <w:t>the chief priests and scribes, together with the elders, came up to Him:</w:t>
      </w:r>
      <w:r>
        <w:rPr>
          <w:lang w:val="en_US" w:bidi="en_US"/>
        </w:rPr>
        <w:t xml:space="preserve"> The three groups of men listed here came to Jesus in an official way as leaders of the Jewish people. In this context the phrase </w:t>
      </w:r>
      <w:r>
        <w:rPr>
          <w:i/>
          <w:lang w:val="en_US" w:bidi="en_US"/>
        </w:rPr>
        <w:t>together with</w:t>
      </w:r>
      <w:r>
        <w:rPr>
          <w:lang w:val="en_US" w:bidi="en_US"/>
        </w:rPr>
        <w:t xml:space="preserve"> has the same meaning as “and.” Some other ways to translate this part of the verse are:</w:t>
      </w:r>
    </w:p>
    <w:p>
      <w:pPr/>
      <w:r>
        <w:rPr>
          <w:lang w:val="en_US" w:bidi="en_US"/>
        </w:rPr>
      </w:r>
      <w:r>
        <w:rPr>
          <w:lang w:val="en_US" w:bidi="en_US"/>
        </w:rPr>
        <w:t>the chief priests and the scribes with the elders confronted Him (NASB)</w:t>
      </w:r>
    </w:p>
    <w:p>
      <w:pPr/>
      <w:r>
        <w:rPr>
          <w:lang w:val="en_US" w:bidi="en_US"/>
        </w:rPr>
      </w:r>
      <w:r>
        <w:rPr>
          <w:lang w:val="en_US" w:bidi="en_US"/>
        </w:rPr>
        <w:t>the chief priests and the scribes, and the elders of the Jews went to him</w:t>
      </w:r>
      <w:r>
        <w:rPr>
          <w:lang w:val="en_US" w:bidi="en_US"/>
        </w:rPr>
        <w:t>Western Bukidnon Manobo back translation on TW.</w:t>
      </w:r>
    </w:p>
    <w:p>
      <w:pPr/>
      <w:r>
        <w:rPr>
          <w:lang w:val="en_US" w:bidi="en_US"/>
        </w:rPr>
      </w:r>
      <w:r>
        <w:rPr>
          <w:b/>
          <w:lang w:val="en_US" w:bidi="en_US"/>
        </w:rPr>
        <w:t>the chief priests and scribes:</w:t>
      </w:r>
      <w:r>
        <w:rPr>
          <w:lang w:val="en_US" w:bidi="en_US"/>
        </w:rPr>
        <w:t xml:space="preserve"> The Greek terms that the BSB translates as </w:t>
      </w:r>
      <w:r>
        <w:rPr>
          <w:i/>
          <w:lang w:val="en_US" w:bidi="en_US"/>
        </w:rPr>
        <w:t>the chief priests</w:t>
      </w:r>
      <w:r>
        <w:rPr>
          <w:lang w:val="en_US" w:bidi="en_US"/>
        </w:rPr>
        <w:t xml:space="preserve"> and </w:t>
      </w:r>
      <w:r>
        <w:rPr>
          <w:i/>
          <w:lang w:val="en_US" w:bidi="en_US"/>
        </w:rPr>
        <w:t>scribes</w:t>
      </w:r>
      <w:r>
        <w:rPr>
          <w:lang w:val="en_US" w:bidi="en_US"/>
        </w:rPr>
        <w:t xml:space="preserve"> occurred in 19:47b–d. See the note there.</w:t>
      </w:r>
    </w:p>
    <w:p>
      <w:pPr/>
      <w:r>
        <w:rPr>
          <w:lang w:val="en_US" w:bidi="en_US"/>
        </w:rPr>
      </w:r>
      <w:r>
        <w:rPr>
          <w:b/>
          <w:lang w:val="en_US" w:bidi="en_US"/>
        </w:rPr>
        <w:t>the elders:</w:t>
      </w:r>
      <w:r>
        <w:rPr>
          <w:lang w:val="en_US" w:bidi="en_US"/>
        </w:rPr>
        <w:t xml:space="preserve"> The phrase </w:t>
      </w:r>
      <w:r>
        <w:rPr>
          <w:i/>
          <w:lang w:val="en_US" w:bidi="en_US"/>
        </w:rPr>
        <w:t>the elders</w:t>
      </w:r>
      <w:r>
        <w:rPr>
          <w:lang w:val="en_US" w:bidi="en_US"/>
        </w:rPr>
        <w:t xml:space="preserve"> refers to respected leaders among the Jewish people. In this context it probably refers to the same group as the “leaders of the people” in 19:47b–d. They were probably members of the Jewish high court (the Sanhedrin) who were not chief priests or teachers of the law.</w:t>
      </w:r>
    </w:p>
    <w:p>
      <w:pPr/>
      <w:r>
        <w:rPr>
          <w:lang w:val="en_US" w:bidi="en_US"/>
        </w:rPr>
      </w:r>
      <w:r>
        <w:rPr>
          <w:lang w:val="en_US" w:bidi="en_US"/>
        </w:rPr>
        <w:t xml:space="preserve">In some languages a literal translation of </w:t>
      </w:r>
      <w:r>
        <w:rPr>
          <w:i/>
          <w:lang w:val="en_US" w:bidi="en_US"/>
        </w:rPr>
        <w:t>elders</w:t>
      </w:r>
      <w:r>
        <w:rPr>
          <w:lang w:val="en_US" w:bidi="en_US"/>
        </w:rPr>
        <w:t xml:space="preserve"> may not imply that the men were leaders. If that is true in your language, you may need to translate in a different way. For example:</w:t>
      </w:r>
    </w:p>
    <w:p>
      <w:pPr/>
      <w:r>
        <w:rPr>
          <w:lang w:val="en_US" w:bidi="en_US"/>
        </w:rPr>
      </w:r>
      <w:r>
        <w:rPr>
          <w:lang w:val="en_US" w:bidi="en_US"/>
        </w:rPr>
        <w:t xml:space="preserve">the </w:t>
      </w:r>
      <w:r>
        <w:rPr>
          <w:lang w:val="en_US" w:bidi="en_US"/>
        </w:rPr>
        <w:t>other Jewish</w:t>
      </w:r>
      <w:r>
        <w:rPr>
          <w:lang w:val="en_US" w:bidi="en_US"/>
        </w:rPr>
        <w:t xml:space="preserve"> leaders</w:t>
      </w:r>
    </w:p>
    <w:p>
      <w:pPr/>
      <w:r>
        <w:rPr>
          <w:lang w:val="en_US" w:bidi="en_US"/>
        </w:rPr>
      </w:r>
      <w:r>
        <w:rPr>
          <w:lang w:val="en_US" w:bidi="en_US"/>
        </w:rPr>
        <w:t>other leading men among the people</w:t>
      </w:r>
    </w:p>
    <w:p>
      <w:pPr>
        <w:pStyle w:val="Heading5"/>
      </w:pPr>
      <w:r>
        <w:rPr>
          <w:lang w:val="en_US" w:bidi="en_US"/>
        </w:rPr>
        <w:t>20:1d</w:t>
      </w:r>
    </w:p>
    <w:p>
      <w:pPr/>
      <w:r>
        <w:rPr>
          <w:lang w:val="en_US" w:bidi="en_US"/>
        </w:rPr>
      </w:r>
      <w:r>
        <w:rPr>
          <w:b/>
          <w:lang w:val="en_US" w:bidi="en_US"/>
        </w:rPr>
        <w:t>came up to Him.</w:t>
      </w:r>
    </w:p>
    <w:p>
      <w:pPr>
        <w:pStyle w:val="ListBullet"/>
        <w:spacing w:line="240" w:lineRule="auto"/>
        <w:ind w:left="720"/>
      </w:pPr>
      <w:r>
        <w:rPr>
          <w:lang w:val="en_US" w:bidi="en_US"/>
        </w:rPr>
      </w:r>
      <w:r>
        <w:rPr>
          <w:lang w:val="en_US" w:bidi="en_US"/>
        </w:rPr>
        <w:t>approached him.</w:t>
      </w:r>
    </w:p>
    <w:p>
      <w:pPr>
        <w:pStyle w:val="ListBullet"/>
        <w:spacing w:line="240" w:lineRule="auto"/>
        <w:ind w:left="720"/>
      </w:pPr>
      <w:r>
        <w:rPr>
          <w:lang w:val="en_US" w:bidi="en_US"/>
        </w:rPr>
      </w:r>
      <w:r>
        <w:rPr>
          <w:lang w:val="en_US" w:bidi="en_US"/>
        </w:rPr>
        <w:t>came to Jesus. They stood by/around him</w:t>
      </w:r>
    </w:p>
    <w:p>
      <w:pPr>
        <w:pStyle w:val="ListBullet"/>
        <w:spacing w:line="240" w:lineRule="auto"/>
        <w:ind w:left="720"/>
      </w:pPr>
      <w:r>
        <w:rPr>
          <w:lang w:val="en_US" w:bidi="en_US"/>
        </w:rPr>
      </w:r>
      <w:r>
        <w:rPr>
          <w:lang w:val="en_US" w:bidi="en_US"/>
        </w:rPr>
        <w:t>came/went to confront Jesus.</w:t>
      </w:r>
    </w:p>
    <w:p>
      <w:pPr/>
      <w:r>
        <w:rPr>
          <w:lang w:val="en_US" w:bidi="en_US"/>
        </w:rPr>
      </w:r>
      <w:r>
        <w:rPr>
          <w:b/>
          <w:lang w:val="en_US" w:bidi="en_US"/>
        </w:rPr>
        <w:t>came up to Him:</w:t>
      </w:r>
      <w:r>
        <w:rPr>
          <w:lang w:val="en_US" w:bidi="en_US"/>
        </w:rPr>
        <w:t xml:space="preserve"> The phrase </w:t>
      </w:r>
      <w:r>
        <w:rPr>
          <w:i/>
          <w:lang w:val="en_US" w:bidi="en_US"/>
        </w:rPr>
        <w:t>came up to Him</w:t>
      </w:r>
      <w:r>
        <w:rPr>
          <w:lang w:val="en_US" w:bidi="en_US"/>
        </w:rPr>
        <w:t xml:space="preserve"> indicates that they approached Jesus and stood by him. They were probably already in the crowd before they came closer to Jesus to speak to him. The Greek verb that is used here sometimes implies hostility. For example:</w:t>
      </w:r>
    </w:p>
    <w:p>
      <w:pPr/>
      <w:r>
        <w:rPr>
          <w:lang w:val="en_US" w:bidi="en_US"/>
        </w:rPr>
      </w:r>
      <w:r>
        <w:rPr>
          <w:lang w:val="en_US" w:bidi="en_US"/>
        </w:rPr>
        <w:t>confronted (NASB)</w:t>
      </w:r>
    </w:p>
    <w:p>
      <w:pPr/>
      <w:r>
        <w:rPr>
          <w:lang w:val="en_US" w:bidi="en_US"/>
        </w:rPr>
      </w:r>
      <w:r>
        <w:rPr>
          <w:lang w:val="en_US" w:bidi="en_US"/>
        </w:rPr>
        <w:t>For another suggestion, see the note on “they said” in 20:2a.</w:t>
      </w:r>
      <w:r>
        <w:rPr>
          <w:lang w:val="en_US" w:bidi="en_US"/>
        </w:rPr>
      </w:r>
      <w:r>
        <w:rPr>
          <w:lang w:val="en_US" w:bidi="en_US"/>
        </w:rPr>
      </w:r>
    </w:p>
    <w:p>
      <w:pPr/>
      <w:r>
        <w:rPr>
          <w:lang w:val="en_US" w:bidi="en_US"/>
        </w:rPr>
      </w:r>
    </w:p>
    <w:p>
      <w:pPr>
        <w:pStyle w:val="Heading2"/>
      </w:pPr>
      <w:r>
        <w:rPr>
          <w:lang w:val="en_US" w:bidi="en_US"/>
        </w:rPr>
        <w:t>Luke 20:2</w:t>
      </w:r>
      <w:r>
        <w:rPr>
          <w:lang w:val="en_US" w:bidi="en_US"/>
        </w:rPr>
      </w:r>
    </w:p>
    <w:p>
      <w:pPr>
        <w:pStyle w:val="Heading4"/>
      </w:pPr>
      <w:r>
        <w:rPr>
          <w:lang w:val="en_US" w:bidi="en_US"/>
        </w:rPr>
        <w:t>Section 20:1–8: The Jewish leaders challenged Jesus’ authority</w:t>
      </w:r>
    </w:p>
    <w:p>
      <w:pPr/>
      <w:r>
        <w:rPr>
          <w:lang w:val="en_US" w:bidi="en_US"/>
        </w:rPr>
      </w:r>
      <w:r>
        <w:rPr>
          <w:lang w:val="en_US" w:bidi="en_US"/>
        </w:rPr>
        <w:t>In this paragraph the Jewish leaders asked Jesus what authority he had to do the things that he had been doing. They implied by their question in 20:2 that God had not authorized Jesus to do and say what he did.</w:t>
      </w:r>
    </w:p>
    <w:p>
      <w:pPr/>
      <w:r>
        <w:rPr>
          <w:lang w:val="en_US" w:bidi="en_US"/>
        </w:rPr>
      </w:r>
      <w:r>
        <w:rPr>
          <w:lang w:val="en_US" w:bidi="en_US"/>
        </w:rPr>
        <w:t>Jesus replied by asking the leaders who gave John the Baptizer his authority. His question implied that both he and John got their authority from God. The leaders did not want to admit that God had given John his authority, because they did not believe John’s teaching. But they did not want to say that his authority was only from human beings, because they were afraid that the people would stone them. So they said that they did not know where John’s authority came from.</w:t>
      </w:r>
    </w:p>
    <w:p>
      <w:pPr/>
      <w:r>
        <w:rPr>
          <w:lang w:val="en_US" w:bidi="en_US"/>
        </w:rPr>
      </w:r>
      <w:r>
        <w:rPr>
          <w:lang w:val="en_US" w:bidi="en_US"/>
        </w:rPr>
        <w:t>Because the leaders refused to say what they believed about John, Jesus also said that he would not tell them about his own authority. He knew that they would not accept his answer, because they were questioning him with evil motives. However, in Section 20:9–19, he revealed the answer in a parable.</w:t>
      </w:r>
    </w:p>
    <w:p>
      <w:pPr/>
      <w:r>
        <w:rPr>
          <w:lang w:val="en_US" w:bidi="en_US"/>
        </w:rPr>
      </w:r>
      <w:r>
        <w:rPr>
          <w:lang w:val="en_US" w:bidi="en_US"/>
        </w:rPr>
        <w:t>Examples of headings for this section are:</w:t>
      </w:r>
    </w:p>
    <w:p>
      <w:pPr/>
      <w:r>
        <w:rPr>
          <w:lang w:val="en_US" w:bidi="en_US"/>
        </w:rPr>
      </w:r>
      <w:r>
        <w:rPr>
          <w:lang w:val="en_US" w:bidi="en_US"/>
        </w:rPr>
        <w:t>The Authority of Jesus Questioned (NIV)</w:t>
      </w:r>
    </w:p>
    <w:p>
      <w:pPr/>
      <w:r>
        <w:rPr>
          <w:lang w:val="en_US" w:bidi="en_US"/>
        </w:rPr>
      </w:r>
      <w:r>
        <w:rPr>
          <w:lang w:val="en_US" w:bidi="en_US"/>
        </w:rPr>
        <w:t>The Jewish leaders did not believe that Jesus came with God’s authority</w:t>
      </w:r>
    </w:p>
    <w:p>
      <w:pPr/>
      <w:r>
        <w:rPr>
          <w:lang w:val="en_US" w:bidi="en_US"/>
        </w:rPr>
      </w:r>
      <w:r>
        <w:rPr>
          <w:lang w:val="en_US" w:bidi="en_US"/>
        </w:rPr>
        <w:t>Jewish Leaders Question Jesus (NCV)</w:t>
      </w:r>
    </w:p>
    <w:p>
      <w:pPr/>
      <w:r>
        <w:rPr>
          <w:lang w:val="en_US" w:bidi="en_US"/>
        </w:rPr>
      </w:r>
      <w:r>
        <w:rPr>
          <w:lang w:val="en_US" w:bidi="en_US"/>
        </w:rPr>
        <w:t>There are parallel passages for this section in Matthew 21:23–27 and Mark 11:27–33.</w:t>
      </w:r>
    </w:p>
    <w:p>
      <w:pPr>
        <w:pStyle w:val="Heading5"/>
      </w:pPr>
      <w:r>
        <w:rPr>
          <w:lang w:val="en_US" w:bidi="en_US"/>
        </w:rPr>
        <w:t>20:2a–b</w:t>
      </w:r>
    </w:p>
    <w:p>
      <w:pPr/>
      <w:r>
        <w:rPr>
          <w:lang w:val="en_US" w:bidi="en_US"/>
        </w:rPr>
      </w:r>
      <w:r>
        <w:rPr>
          <w:b/>
          <w:lang w:val="en_US" w:bidi="en_US"/>
        </w:rPr>
        <w:t>“Tell us,” they said, “by what authority are You doing these things, and who gave You this authority?”:</w:t>
      </w:r>
      <w:r>
        <w:rPr>
          <w:lang w:val="en_US" w:bidi="en_US"/>
        </w:rPr>
        <w:t xml:space="preserve"> The BSB places the words </w:t>
      </w:r>
      <w:r>
        <w:rPr>
          <w:i/>
          <w:lang w:val="en_US" w:bidi="en_US"/>
        </w:rPr>
        <w:t>they said</w:t>
      </w:r>
      <w:r>
        <w:rPr>
          <w:lang w:val="en_US" w:bidi="en_US"/>
        </w:rPr>
        <w:t xml:space="preserve"> in the middle of what the chief priests, scribes, and elders said to Jesus. This is good English style. However, in some languages, it may be necessary to place these words at the beginning of 20:2a. For example:</w:t>
      </w:r>
    </w:p>
    <w:p>
      <w:pPr/>
      <w:r>
        <w:rPr>
          <w:lang w:val="en_US" w:bidi="en_US"/>
        </w:rPr>
      </w:r>
      <w:r>
        <w:rPr>
          <w:lang w:val="en_US" w:bidi="en_US"/>
        </w:rPr>
        <w:t>and they said to him, “Tell us by what authority you are doing these things and who gave you this authority?”</w:t>
      </w:r>
    </w:p>
    <w:p>
      <w:pPr/>
      <w:r>
        <w:rPr>
          <w:lang w:val="en_US" w:bidi="en_US"/>
        </w:rPr>
      </w:r>
      <w:r>
        <w:rPr>
          <w:b/>
          <w:lang w:val="en_US" w:bidi="en_US"/>
        </w:rPr>
        <w:t>Tell us.…by what authority are You doing these things, and who gave You this authority?:</w:t>
      </w:r>
      <w:r>
        <w:rPr>
          <w:lang w:val="en_US" w:bidi="en_US"/>
        </w:rPr>
        <w:t xml:space="preserve"> Here the Jewish leaders challenged Jesus’ authority. The Greek text uses two questions to translate this challenge. In some languages it may be natural to express one or both of the questions as a command. For example:</w:t>
      </w:r>
    </w:p>
    <w:p>
      <w:pPr/>
      <w:r>
        <w:rPr>
          <w:lang w:val="en_US" w:bidi="en_US"/>
        </w:rPr>
      </w:r>
      <w:r>
        <w:rPr>
          <w:lang w:val="en_US" w:bidi="en_US"/>
        </w:rPr>
        <w:t>Tell us what authority You have to do these things and who gave You the authority.</w:t>
      </w:r>
    </w:p>
    <w:p>
      <w:pPr/>
      <w:r>
        <w:rPr>
          <w:lang w:val="en_US" w:bidi="en_US"/>
        </w:rPr>
      </w:r>
      <w:r>
        <w:rPr>
          <w:lang w:val="en_US" w:bidi="en_US"/>
        </w:rPr>
        <w:t xml:space="preserve">The Greek text connects the questions with a conjunction that the BSB translates as </w:t>
      </w:r>
      <w:r>
        <w:rPr>
          <w:i/>
          <w:lang w:val="en_US" w:bidi="en_US"/>
        </w:rPr>
        <w:t>and</w:t>
      </w:r>
      <w:r>
        <w:rPr>
          <w:lang w:val="en_US" w:bidi="en_US"/>
        </w:rPr>
        <w:t>. However, many English versions translate this conjunction as “or.” In some languages it may be more natural to have no conjunction. For example:</w:t>
      </w:r>
    </w:p>
    <w:p>
      <w:pPr/>
      <w:r>
        <w:rPr>
          <w:lang w:val="en_US" w:bidi="en_US"/>
        </w:rPr>
      </w:r>
      <w:r>
        <w:rPr>
          <w:lang w:val="en_US" w:bidi="en_US"/>
        </w:rPr>
        <w:t>What right do you have to do these things? Who gave you this authority? (CEV)</w:t>
      </w:r>
    </w:p>
    <w:p>
      <w:pPr/>
      <w:r>
        <w:rPr>
          <w:lang w:val="en_US" w:bidi="en_US"/>
        </w:rPr>
      </w:r>
      <w:r>
        <w:rPr>
          <w:lang w:val="en_US" w:bidi="en_US"/>
        </w:rPr>
        <w:t>Use a natural way in your language to express this challenge to Jesus’ authority.</w:t>
      </w:r>
    </w:p>
    <w:p>
      <w:pPr>
        <w:pStyle w:val="Heading5"/>
      </w:pPr>
      <w:r>
        <w:rPr>
          <w:lang w:val="en_US" w:bidi="en_US"/>
        </w:rPr>
        <w:t>20:2a</w:t>
      </w:r>
    </w:p>
    <w:p>
      <w:pPr/>
      <w:r>
        <w:rPr>
          <w:lang w:val="en_US" w:bidi="en_US"/>
        </w:rPr>
      </w:r>
      <w:r>
        <w:rPr>
          <w:b/>
          <w:lang w:val="en_US" w:bidi="en_US"/>
        </w:rPr>
        <w:t>“Tell us,” they said, “by what authority are You doing these things,</w:t>
      </w:r>
    </w:p>
    <w:p>
      <w:pPr>
        <w:pStyle w:val="ListBullet"/>
        <w:spacing w:line="240" w:lineRule="auto"/>
        <w:ind w:left="720"/>
      </w:pPr>
      <w:r>
        <w:rPr>
          <w:lang w:val="en_US" w:bidi="en_US"/>
        </w:rPr>
      </w:r>
      <w:r>
        <w:rPr>
          <w:lang w:val="en_US" w:bidi="en_US"/>
        </w:rPr>
        <w:t>They said to Jesus, “Tell us</w:t>
      </w:r>
      <w:r>
        <w:rPr>
          <w:vertAlign w:val="superscript"/>
          <w:lang w:val="en_US" w:bidi="en_US"/>
        </w:rPr>
        <w:t>(excl)</w:t>
      </w:r>
      <w:r>
        <w:rPr>
          <w:lang w:val="en_US" w:bidi="en_US"/>
        </w:rPr>
        <w:t xml:space="preserve"> what authority you</w:t>
      </w:r>
      <w:r>
        <w:rPr>
          <w:vertAlign w:val="superscript"/>
          <w:lang w:val="en_US" w:bidi="en_US"/>
        </w:rPr>
        <w:t>(sing)</w:t>
      </w:r>
      <w:r>
        <w:rPr>
          <w:lang w:val="en_US" w:bidi="en_US"/>
        </w:rPr>
        <w:t xml:space="preserve"> have to do these things,</w:t>
      </w:r>
    </w:p>
    <w:p>
      <w:pPr>
        <w:pStyle w:val="ListBullet"/>
        <w:spacing w:line="240" w:lineRule="auto"/>
        <w:ind w:left="720"/>
      </w:pPr>
      <w:r>
        <w:rPr>
          <w:lang w:val="en_US" w:bidi="en_US"/>
        </w:rPr>
      </w:r>
      <w:r>
        <w:rPr>
          <w:lang w:val="en_US" w:bidi="en_US"/>
        </w:rPr>
        <w:t>and asked him, “What right do you</w:t>
      </w:r>
      <w:r>
        <w:rPr>
          <w:vertAlign w:val="superscript"/>
          <w:lang w:val="en_US" w:bidi="en_US"/>
        </w:rPr>
        <w:t>(sing)</w:t>
      </w:r>
      <w:r>
        <w:rPr>
          <w:lang w:val="en_US" w:bidi="en_US"/>
        </w:rPr>
        <w:t xml:space="preserve"> have to act/behave </w:t>
      </w:r>
      <w:r>
        <w:rPr>
          <w:lang w:val="en_US" w:bidi="en_US"/>
        </w:rPr>
        <w:t>and teach</w:t>
      </w:r>
      <w:r>
        <w:rPr>
          <w:lang w:val="en_US" w:bidi="en_US"/>
        </w:rPr>
        <w:t xml:space="preserve"> as you do?</w:t>
      </w:r>
    </w:p>
    <w:p>
      <w:pPr>
        <w:pStyle w:val="ListBullet"/>
        <w:spacing w:line="240" w:lineRule="auto"/>
        <w:ind w:left="720"/>
      </w:pPr>
      <w:r>
        <w:rPr>
          <w:lang w:val="en_US" w:bidi="en_US"/>
        </w:rPr>
      </w:r>
      <w:r>
        <w:rPr>
          <w:lang w:val="en_US" w:bidi="en_US"/>
        </w:rPr>
        <w:t>They asked him by what authority he acted as he did</w:t>
      </w:r>
    </w:p>
    <w:p>
      <w:pPr/>
      <w:r>
        <w:rPr>
          <w:lang w:val="en_US" w:bidi="en_US"/>
        </w:rPr>
      </w:r>
      <w:r>
        <w:rPr>
          <w:b/>
          <w:lang w:val="en_US" w:bidi="en_US"/>
        </w:rPr>
        <w:t>they said:</w:t>
      </w:r>
      <w:r>
        <w:rPr>
          <w:lang w:val="en_US" w:bidi="en_US"/>
        </w:rPr>
        <w:t xml:space="preserve"> The Greek phrase that the BSB translates as </w:t>
      </w:r>
      <w:r>
        <w:rPr>
          <w:i/>
          <w:lang w:val="en_US" w:bidi="en_US"/>
        </w:rPr>
        <w:t>they said</w:t>
      </w:r>
      <w:r>
        <w:rPr>
          <w:lang w:val="en_US" w:bidi="en_US"/>
        </w:rPr>
        <w:t xml:space="preserve"> is literally “and they spoke, saying to him.” In the Greek text this phrase occurs at the beginning of the verse. See the note on 20:2a–b above and place this phrase where it is natural in your language.</w:t>
      </w:r>
    </w:p>
    <w:p>
      <w:pPr/>
      <w:r>
        <w:rPr>
          <w:lang w:val="en_US" w:bidi="en_US"/>
        </w:rPr>
      </w:r>
      <w:r>
        <w:rPr>
          <w:lang w:val="en_US" w:bidi="en_US"/>
        </w:rPr>
        <w:t>In this context the leaders were challenging Jesus, so it may be natural to use a more specific verb. For example:</w:t>
      </w:r>
    </w:p>
    <w:p>
      <w:pPr/>
      <w:r>
        <w:rPr>
          <w:lang w:val="en_US" w:bidi="en_US"/>
        </w:rPr>
      </w:r>
      <w:r>
        <w:rPr>
          <w:lang w:val="en_US" w:bidi="en_US"/>
        </w:rPr>
        <w:t>They demanded (NLT)</w:t>
      </w:r>
    </w:p>
    <w:p>
      <w:pPr/>
      <w:r>
        <w:rPr>
          <w:lang w:val="en_US" w:bidi="en_US"/>
        </w:rPr>
      </w:r>
      <w:r>
        <w:rPr>
          <w:b/>
          <w:lang w:val="en_US" w:bidi="en_US"/>
        </w:rPr>
        <w:t>by what authority are You doing these things:</w:t>
      </w:r>
      <w:r>
        <w:rPr>
          <w:lang w:val="en_US" w:bidi="en_US"/>
        </w:rPr>
        <w:t xml:space="preserve"> In Greek the clause </w:t>
      </w:r>
      <w:r>
        <w:rPr>
          <w:i/>
          <w:lang w:val="en_US" w:bidi="en_US"/>
        </w:rPr>
        <w:t>by what authority are You doing these things</w:t>
      </w:r>
      <w:r>
        <w:rPr>
          <w:lang w:val="en_US" w:bidi="en_US"/>
        </w:rPr>
        <w:t xml:space="preserve"> is identical to the question in Mark 11:28a.</w:t>
      </w:r>
    </w:p>
    <w:p>
      <w:pPr/>
      <w:r>
        <w:rPr>
          <w:lang w:val="en_US" w:bidi="en_US"/>
        </w:rPr>
      </w:r>
      <w:r>
        <w:rPr>
          <w:lang w:val="en_US" w:bidi="en_US"/>
        </w:rPr>
        <w:t xml:space="preserve">The Greek phrase that the BSB translates as </w:t>
      </w:r>
      <w:r>
        <w:rPr>
          <w:i/>
          <w:lang w:val="en_US" w:bidi="en_US"/>
        </w:rPr>
        <w:t>by what authority</w:t>
      </w:r>
      <w:r>
        <w:rPr>
          <w:lang w:val="en_US" w:bidi="en_US"/>
        </w:rPr>
        <w:t xml:space="preserve"> means “by what right.” It questions the type of authority Jesus had. Did he claim to be the Messiah, a prophet, or to have some other type of authority? Some other ways to translate this are:</w:t>
      </w:r>
    </w:p>
    <w:p>
      <w:pPr/>
      <w:r>
        <w:rPr>
          <w:lang w:val="en_US" w:bidi="en_US"/>
        </w:rPr>
      </w:r>
      <w:r>
        <w:rPr>
          <w:lang w:val="en_US" w:bidi="en_US"/>
        </w:rPr>
        <w:t>Tell us, what gives you the right…? (GW)</w:t>
      </w:r>
    </w:p>
    <w:p>
      <w:pPr/>
      <w:r>
        <w:rPr>
          <w:lang w:val="en_US" w:bidi="en_US"/>
        </w:rPr>
      </w:r>
      <w:r>
        <w:rPr>
          <w:lang w:val="en_US" w:bidi="en_US"/>
        </w:rPr>
        <w:t>Tell us where your authority to do all that…is from!</w:t>
      </w:r>
      <w:r>
        <w:rPr>
          <w:lang w:val="en_US" w:bidi="en_US"/>
        </w:rPr>
        <w:t>Uma Back Translation on TW.</w:t>
      </w:r>
    </w:p>
    <w:p>
      <w:pPr/>
      <w:r>
        <w:rPr>
          <w:lang w:val="en_US" w:bidi="en_US"/>
        </w:rPr>
      </w:r>
      <w:r>
        <w:rPr>
          <w:b/>
          <w:lang w:val="en_US" w:bidi="en_US"/>
        </w:rPr>
        <w:t>doing these things:</w:t>
      </w:r>
      <w:r>
        <w:rPr>
          <w:lang w:val="en_US" w:bidi="en_US"/>
        </w:rPr>
        <w:t xml:space="preserve"> The phrase </w:t>
      </w:r>
      <w:r>
        <w:rPr>
          <w:i/>
          <w:lang w:val="en_US" w:bidi="en_US"/>
        </w:rPr>
        <w:t>doing these things</w:t>
      </w:r>
      <w:r>
        <w:rPr>
          <w:lang w:val="en_US" w:bidi="en_US"/>
        </w:rPr>
        <w:t xml:space="preserve"> has a general meaning. It refers to everything that Jesus had been doing and teaching since he arrived in Jerusalem. In some languages it may be helpful to include a footnote to explain the meaning more specifically. For example:</w:t>
      </w:r>
    </w:p>
    <w:p>
      <w:pPr/>
      <w:r>
        <w:rPr>
          <w:lang w:val="en_US" w:bidi="en_US"/>
        </w:rPr>
      </w:r>
      <w:r>
        <w:rPr>
          <w:lang w:val="en_US" w:bidi="en_US"/>
        </w:rPr>
        <w:t>“These things” could refer to everything that Jesus had been doing and teaching since he arrived in Jerusalem. These things included accepting the praise of the crowd as he entered the city, making people stop selling things in the temple, and teaching people in the temple.</w:t>
      </w:r>
    </w:p>
    <w:p>
      <w:pPr>
        <w:pStyle w:val="Heading5"/>
      </w:pPr>
      <w:r>
        <w:rPr>
          <w:lang w:val="en_US" w:bidi="en_US"/>
        </w:rPr>
        <w:t>20:2b</w:t>
      </w:r>
    </w:p>
    <w:p>
      <w:pPr/>
      <w:r>
        <w:rPr>
          <w:lang w:val="en_US" w:bidi="en_US"/>
        </w:rPr>
      </w:r>
      <w:r>
        <w:rPr>
          <w:b/>
          <w:lang w:val="en_US" w:bidi="en_US"/>
        </w:rPr>
        <w:t>and who gave You this authority?”</w:t>
      </w:r>
    </w:p>
    <w:p>
      <w:pPr>
        <w:pStyle w:val="ListBullet"/>
        <w:spacing w:line="240" w:lineRule="auto"/>
        <w:ind w:left="720"/>
      </w:pPr>
      <w:r>
        <w:rPr>
          <w:lang w:val="en_US" w:bidi="en_US"/>
        </w:rPr>
      </w:r>
      <w:r>
        <w:rPr>
          <w:lang w:val="en_US" w:bidi="en_US"/>
        </w:rPr>
        <w:t>and who sent/authorized you</w:t>
      </w:r>
      <w:r>
        <w:rPr>
          <w:vertAlign w:val="superscript"/>
          <w:lang w:val="en_US" w:bidi="en_US"/>
        </w:rPr>
        <w:t>(sing)</w:t>
      </w:r>
      <w:r>
        <w:rPr>
          <w:lang w:val="en_US" w:bidi="en_US"/>
        </w:rPr>
        <w:t xml:space="preserve"> to do them.”</w:t>
      </w:r>
    </w:p>
    <w:p>
      <w:pPr>
        <w:pStyle w:val="ListBullet"/>
        <w:spacing w:line="240" w:lineRule="auto"/>
        <w:ind w:left="720"/>
      </w:pPr>
      <w:r>
        <w:rPr>
          <w:lang w:val="en_US" w:bidi="en_US"/>
        </w:rPr>
      </w:r>
      <w:r>
        <w:rPr>
          <w:lang w:val="en_US" w:bidi="en_US"/>
        </w:rPr>
        <w:t>Who gave you</w:t>
      </w:r>
      <w:r>
        <w:rPr>
          <w:vertAlign w:val="superscript"/>
          <w:lang w:val="en_US" w:bidi="en_US"/>
        </w:rPr>
        <w:t>(sing)</w:t>
      </w:r>
      <w:r>
        <w:rPr>
          <w:lang w:val="en_US" w:bidi="en_US"/>
        </w:rPr>
        <w:t xml:space="preserve"> that right?”</w:t>
      </w:r>
    </w:p>
    <w:p>
      <w:pPr>
        <w:pStyle w:val="ListBullet"/>
        <w:spacing w:line="240" w:lineRule="auto"/>
        <w:ind w:left="720"/>
      </w:pPr>
      <w:r>
        <w:rPr>
          <w:lang w:val="en_US" w:bidi="en_US"/>
        </w:rPr>
      </w:r>
      <w:r>
        <w:rPr>
          <w:lang w:val="en_US" w:bidi="en_US"/>
        </w:rPr>
        <w:t>and who gave him that authority.</w:t>
      </w:r>
    </w:p>
    <w:p>
      <w:pPr/>
      <w:r>
        <w:rPr>
          <w:lang w:val="en_US" w:bidi="en_US"/>
        </w:rPr>
      </w:r>
      <w:r>
        <w:rPr>
          <w:b/>
          <w:lang w:val="en_US" w:bidi="en_US"/>
        </w:rPr>
        <w:t>and who gave You this authority?:</w:t>
      </w:r>
      <w:r>
        <w:rPr>
          <w:lang w:val="en_US" w:bidi="en_US"/>
        </w:rPr>
        <w:t xml:space="preserve"> This question is similar to the question in 20:2a, but it is more specific. The leaders demanded that Jesus tell </w:t>
      </w:r>
      <w:r>
        <w:rPr>
          <w:u w:val="single"/>
          <w:lang w:val="en_US" w:bidi="en_US"/>
        </w:rPr>
        <w:t>who</w:t>
      </w:r>
      <w:r>
        <w:rPr>
          <w:lang w:val="en_US" w:bidi="en_US"/>
        </w:rPr>
        <w:t xml:space="preserve"> had given him the right to do what he was doing. The leaders themselves did not actually believe that anyone had given Jesus such a right. Another way to translate the demand is:</w:t>
      </w:r>
    </w:p>
    <w:p>
      <w:pPr/>
      <w:r>
        <w:rPr>
          <w:lang w:val="en_US" w:bidi="en_US"/>
        </w:rPr>
      </w:r>
      <w:r>
        <w:rPr>
          <w:lang w:val="en_US" w:bidi="en_US"/>
        </w:rPr>
        <w:t xml:space="preserve">Who sent you </w:t>
      </w:r>
      <w:r>
        <w:rPr>
          <w:lang w:val="en_US" w:bidi="en_US"/>
        </w:rPr>
        <w:t>to do these things</w:t>
      </w:r>
      <w:r>
        <w:rPr>
          <w:lang w:val="en_US" w:bidi="en_US"/>
        </w:rPr>
        <w:t>?</w:t>
      </w:r>
      <w:r>
        <w:rPr>
          <w:lang w:val="en_US" w:bidi="en_US"/>
        </w:rPr>
      </w:r>
      <w:r>
        <w:rPr>
          <w:lang w:val="en_US" w:bidi="en_US"/>
        </w:rPr>
      </w:r>
    </w:p>
    <w:p>
      <w:pPr/>
      <w:r>
        <w:rPr>
          <w:lang w:val="en_US" w:bidi="en_US"/>
        </w:rPr>
      </w:r>
    </w:p>
    <w:p>
      <w:pPr>
        <w:pStyle w:val="Heading2"/>
      </w:pPr>
      <w:r>
        <w:rPr>
          <w:lang w:val="en_US" w:bidi="en_US"/>
        </w:rPr>
        <w:t>Luke 20:3</w:t>
      </w:r>
      <w:r>
        <w:rPr>
          <w:lang w:val="en_US" w:bidi="en_US"/>
        </w:rPr>
      </w:r>
    </w:p>
    <w:p>
      <w:pPr>
        <w:pStyle w:val="Heading4"/>
      </w:pPr>
      <w:r>
        <w:rPr>
          <w:lang w:val="en_US" w:bidi="en_US"/>
        </w:rPr>
        <w:t>Section 20:1–8: The Jewish leaders challenged Jesus’ authority</w:t>
      </w:r>
    </w:p>
    <w:p>
      <w:pPr/>
      <w:r>
        <w:rPr>
          <w:lang w:val="en_US" w:bidi="en_US"/>
        </w:rPr>
      </w:r>
      <w:r>
        <w:rPr>
          <w:lang w:val="en_US" w:bidi="en_US"/>
        </w:rPr>
        <w:t>In this paragraph the Jewish leaders asked Jesus what authority he had to do the things that he had been doing. They implied by their question in 20:2 that God had not authorized Jesus to do and say what he did.</w:t>
      </w:r>
    </w:p>
    <w:p>
      <w:pPr/>
      <w:r>
        <w:rPr>
          <w:lang w:val="en_US" w:bidi="en_US"/>
        </w:rPr>
      </w:r>
      <w:r>
        <w:rPr>
          <w:lang w:val="en_US" w:bidi="en_US"/>
        </w:rPr>
        <w:t>Jesus replied by asking the leaders who gave John the Baptizer his authority. His question implied that both he and John got their authority from God. The leaders did not want to admit that God had given John his authority, because they did not believe John’s teaching. But they did not want to say that his authority was only from human beings, because they were afraid that the people would stone them. So they said that they did not know where John’s authority came from.</w:t>
      </w:r>
    </w:p>
    <w:p>
      <w:pPr/>
      <w:r>
        <w:rPr>
          <w:lang w:val="en_US" w:bidi="en_US"/>
        </w:rPr>
      </w:r>
      <w:r>
        <w:rPr>
          <w:lang w:val="en_US" w:bidi="en_US"/>
        </w:rPr>
        <w:t>Because the leaders refused to say what they believed about John, Jesus also said that he would not tell them about his own authority. He knew that they would not accept his answer, because they were questioning him with evil motives. However, in Section 20:9–19, he revealed the answer in a parable.</w:t>
      </w:r>
    </w:p>
    <w:p>
      <w:pPr/>
      <w:r>
        <w:rPr>
          <w:lang w:val="en_US" w:bidi="en_US"/>
        </w:rPr>
      </w:r>
      <w:r>
        <w:rPr>
          <w:lang w:val="en_US" w:bidi="en_US"/>
        </w:rPr>
        <w:t>Examples of headings for this section are:</w:t>
      </w:r>
    </w:p>
    <w:p>
      <w:pPr/>
      <w:r>
        <w:rPr>
          <w:lang w:val="en_US" w:bidi="en_US"/>
        </w:rPr>
      </w:r>
      <w:r>
        <w:rPr>
          <w:lang w:val="en_US" w:bidi="en_US"/>
        </w:rPr>
        <w:t>The Authority of Jesus Questioned (NIV)</w:t>
      </w:r>
    </w:p>
    <w:p>
      <w:pPr/>
      <w:r>
        <w:rPr>
          <w:lang w:val="en_US" w:bidi="en_US"/>
        </w:rPr>
      </w:r>
      <w:r>
        <w:rPr>
          <w:lang w:val="en_US" w:bidi="en_US"/>
        </w:rPr>
        <w:t>The Jewish leaders did not believe that Jesus came with God’s authority</w:t>
      </w:r>
    </w:p>
    <w:p>
      <w:pPr/>
      <w:r>
        <w:rPr>
          <w:lang w:val="en_US" w:bidi="en_US"/>
        </w:rPr>
      </w:r>
      <w:r>
        <w:rPr>
          <w:lang w:val="en_US" w:bidi="en_US"/>
        </w:rPr>
        <w:t>Jewish Leaders Question Jesus (NCV)</w:t>
      </w:r>
    </w:p>
    <w:p>
      <w:pPr/>
      <w:r>
        <w:rPr>
          <w:lang w:val="en_US" w:bidi="en_US"/>
        </w:rPr>
      </w:r>
      <w:r>
        <w:rPr>
          <w:lang w:val="en_US" w:bidi="en_US"/>
        </w:rPr>
        <w:t>There are parallel passages for this section in Matthew 21:23–27 and Mark 11:27–33.</w:t>
      </w:r>
    </w:p>
    <w:p>
      <w:pPr>
        <w:pStyle w:val="Heading5"/>
      </w:pPr>
      <w:r>
        <w:rPr>
          <w:lang w:val="en_US" w:bidi="en_US"/>
        </w:rPr>
        <w:t>20:3</w:t>
      </w:r>
    </w:p>
    <w:p>
      <w:pPr/>
      <w:r>
        <w:rPr>
          <w:lang w:val="en_US" w:bidi="en_US"/>
        </w:rPr>
      </w:r>
      <w:r>
        <w:rPr>
          <w:b/>
          <w:lang w:val="en_US" w:bidi="en_US"/>
        </w:rPr>
        <w:t>“I will also ask you a question,” Jesus replied. “Tell Me:</w:t>
      </w:r>
    </w:p>
    <w:p>
      <w:pPr>
        <w:pStyle w:val="ListBullet"/>
        <w:spacing w:line="240" w:lineRule="auto"/>
        <w:ind w:left="720"/>
      </w:pPr>
      <w:r>
        <w:rPr>
          <w:lang w:val="en_US" w:bidi="en_US"/>
        </w:rPr>
      </w:r>
      <w:r>
        <w:rPr>
          <w:lang w:val="en_US" w:bidi="en_US"/>
        </w:rPr>
        <w:t>Jesus</w:t>
      </w:r>
      <w:r>
        <w:rPr>
          <w:lang w:val="en_US" w:bidi="en_US"/>
        </w:rPr>
        <w:t xml:space="preserve"> said to them, “</w:t>
      </w:r>
      <w:r>
        <w:rPr>
          <w:lang w:val="en_US" w:bidi="en_US"/>
        </w:rPr>
        <w:t>First,</w:t>
      </w:r>
      <w:r>
        <w:rPr>
          <w:lang w:val="en_US" w:bidi="en_US"/>
        </w:rPr>
        <w:t xml:space="preserve"> I will ask you</w:t>
      </w:r>
      <w:r>
        <w:rPr>
          <w:vertAlign w:val="superscript"/>
          <w:lang w:val="en_US" w:bidi="en_US"/>
        </w:rPr>
        <w:t>(plur)</w:t>
      </w:r>
      <w:r>
        <w:rPr>
          <w:lang w:val="en_US" w:bidi="en_US"/>
        </w:rPr>
        <w:t xml:space="preserve"> a question. Tell me </w:t>
      </w:r>
      <w:r>
        <w:rPr>
          <w:lang w:val="en_US" w:bidi="en_US"/>
        </w:rPr>
        <w:t>your answer</w:t>
      </w:r>
      <w:r>
        <w:rPr>
          <w:lang w:val="en_US" w:bidi="en_US"/>
        </w:rPr>
        <w:t>.</w:t>
      </w:r>
    </w:p>
    <w:p>
      <w:pPr>
        <w:pStyle w:val="ListBullet"/>
        <w:spacing w:line="240" w:lineRule="auto"/>
        <w:ind w:left="720"/>
      </w:pPr>
      <w:r>
        <w:rPr>
          <w:lang w:val="en_US" w:bidi="en_US"/>
        </w:rPr>
      </w:r>
      <w:r>
        <w:rPr>
          <w:lang w:val="en_US" w:bidi="en_US"/>
        </w:rPr>
        <w:t>He answered them, “You</w:t>
      </w:r>
      <w:r>
        <w:rPr>
          <w:vertAlign w:val="superscript"/>
          <w:lang w:val="en_US" w:bidi="en_US"/>
        </w:rPr>
        <w:t>(plur)</w:t>
      </w:r>
      <w:r>
        <w:rPr>
          <w:lang w:val="en_US" w:bidi="en_US"/>
        </w:rPr>
        <w:t xml:space="preserve"> must answer one question </w:t>
      </w:r>
      <w:r>
        <w:rPr>
          <w:lang w:val="en_US" w:bidi="en_US"/>
        </w:rPr>
        <w:t>before I give you my answer</w:t>
      </w:r>
      <w:r>
        <w:rPr>
          <w:lang w:val="en_US" w:bidi="en_US"/>
        </w:rPr>
        <w:t>. Tell me about</w:t>
      </w:r>
    </w:p>
    <w:p>
      <w:pPr>
        <w:pStyle w:val="ListBullet"/>
        <w:spacing w:line="240" w:lineRule="auto"/>
        <w:ind w:left="720"/>
      </w:pPr>
      <w:r>
        <w:rPr>
          <w:lang w:val="en_US" w:bidi="en_US"/>
        </w:rPr>
      </w:r>
      <w:r>
        <w:rPr>
          <w:lang w:val="en_US" w:bidi="en_US"/>
        </w:rPr>
        <w:t xml:space="preserve">He told them that </w:t>
      </w:r>
      <w:r>
        <w:rPr>
          <w:lang w:val="en_US" w:bidi="en_US"/>
        </w:rPr>
        <w:t>just as they asked him a question</w:t>
      </w:r>
      <w:r>
        <w:rPr>
          <w:lang w:val="en_US" w:bidi="en_US"/>
        </w:rPr>
        <w:t>, he would ask them one also.</w:t>
      </w:r>
    </w:p>
    <w:p>
      <w:pPr/>
      <w:r>
        <w:rPr>
          <w:lang w:val="en_US" w:bidi="en_US"/>
        </w:rPr>
      </w:r>
      <w:r>
        <w:rPr>
          <w:b/>
          <w:lang w:val="en_US" w:bidi="en_US"/>
        </w:rPr>
        <w:t>“I will also ask you a question,” Jesus replied. “Tell Me…”:</w:t>
      </w:r>
      <w:r>
        <w:rPr>
          <w:lang w:val="en_US" w:bidi="en_US"/>
        </w:rPr>
        <w:t xml:space="preserve"> The BSB places the words </w:t>
      </w:r>
      <w:r>
        <w:rPr>
          <w:i/>
          <w:lang w:val="en_US" w:bidi="en_US"/>
        </w:rPr>
        <w:t>Jesus replied</w:t>
      </w:r>
      <w:r>
        <w:rPr>
          <w:lang w:val="en_US" w:bidi="en_US"/>
        </w:rPr>
        <w:t xml:space="preserve"> in the middle of what Jesus said. This is good English style. However, in some languages, it may be necessary to place these words at the beginning of 20:3. For example:</w:t>
      </w:r>
    </w:p>
    <w:p>
      <w:pPr/>
      <w:r>
        <w:rPr>
          <w:lang w:val="en_US" w:bidi="en_US"/>
        </w:rPr>
      </w:r>
      <w:r>
        <w:rPr>
          <w:lang w:val="en_US" w:bidi="en_US"/>
        </w:rPr>
        <w:t>He replied, “I will also ask you a question. Tell me…” (NIV)</w:t>
      </w:r>
    </w:p>
    <w:p>
      <w:pPr/>
      <w:r>
        <w:rPr>
          <w:lang w:val="en_US" w:bidi="en_US"/>
        </w:rPr>
      </w:r>
      <w:r>
        <w:rPr>
          <w:b/>
          <w:lang w:val="en_US" w:bidi="en_US"/>
        </w:rPr>
        <w:t>I will also ask you a question…Tell Me:</w:t>
      </w:r>
      <w:r>
        <w:rPr>
          <w:lang w:val="en_US" w:bidi="en_US"/>
        </w:rPr>
        <w:t xml:space="preserve"> It was common among Jews to answer one question by asking another question. The phrase </w:t>
      </w:r>
      <w:r>
        <w:rPr>
          <w:i/>
          <w:lang w:val="en_US" w:bidi="en_US"/>
        </w:rPr>
        <w:t>Tell Me</w:t>
      </w:r>
      <w:r>
        <w:rPr>
          <w:lang w:val="en_US" w:bidi="en_US"/>
        </w:rPr>
        <w:t xml:space="preserve"> introduces the question that Jesus intended to ask the leaders. In some languages it may be more natural to include this phrase with the question in 20:4 or to leave it implied. See the General Comment on 20:3–4 at the end of 20:4.</w:t>
      </w:r>
    </w:p>
    <w:p>
      <w:pPr/>
      <w:r>
        <w:rPr>
          <w:lang w:val="en_US" w:bidi="en_US"/>
        </w:rPr>
      </w:r>
      <w:r>
        <w:rPr>
          <w:b/>
          <w:lang w:val="en_US" w:bidi="en_US"/>
        </w:rPr>
        <w:t>I…also:</w:t>
      </w:r>
      <w:r>
        <w:rPr>
          <w:lang w:val="en_US" w:bidi="en_US"/>
        </w:rPr>
        <w:t xml:space="preserve"> The Greek word that the BSB translates as </w:t>
      </w:r>
      <w:r>
        <w:rPr>
          <w:i/>
          <w:lang w:val="en_US" w:bidi="en_US"/>
        </w:rPr>
        <w:t>I…also</w:t>
      </w:r>
      <w:r>
        <w:rPr>
          <w:lang w:val="en_US" w:bidi="en_US"/>
        </w:rPr>
        <w:t xml:space="preserve"> implies, “</w:t>
      </w:r>
      <w:r>
        <w:rPr>
          <w:lang w:val="en_US" w:bidi="en_US"/>
        </w:rPr>
        <w:t>Just as you asked me a question,</w:t>
      </w:r>
      <w:r>
        <w:rPr>
          <w:lang w:val="en_US" w:bidi="en_US"/>
        </w:rPr>
        <w:t xml:space="preserve"> I too, will ask you a question.”</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refers to the three groups of leaders who came to Jesus in 20:1.</w:t>
      </w:r>
      <w:r>
        <w:rPr>
          <w:lang w:val="en_US" w:bidi="en_US"/>
        </w:rPr>
      </w:r>
      <w:r>
        <w:rPr>
          <w:lang w:val="en_US" w:bidi="en_US"/>
        </w:rPr>
      </w:r>
    </w:p>
    <w:p>
      <w:pPr/>
      <w:r>
        <w:rPr>
          <w:lang w:val="en_US" w:bidi="en_US"/>
        </w:rPr>
      </w:r>
    </w:p>
    <w:p>
      <w:pPr>
        <w:pStyle w:val="Heading2"/>
      </w:pPr>
      <w:r>
        <w:rPr>
          <w:lang w:val="en_US" w:bidi="en_US"/>
        </w:rPr>
        <w:t>Luke 20:4</w:t>
      </w:r>
      <w:r>
        <w:rPr>
          <w:lang w:val="en_US" w:bidi="en_US"/>
        </w:rPr>
      </w:r>
    </w:p>
    <w:p>
      <w:pPr>
        <w:pStyle w:val="Heading4"/>
      </w:pPr>
      <w:r>
        <w:rPr>
          <w:lang w:val="en_US" w:bidi="en_US"/>
        </w:rPr>
        <w:t>Section 20:1–8: The Jewish leaders challenged Jesus’ authority</w:t>
      </w:r>
    </w:p>
    <w:p>
      <w:pPr/>
      <w:r>
        <w:rPr>
          <w:lang w:val="en_US" w:bidi="en_US"/>
        </w:rPr>
      </w:r>
      <w:r>
        <w:rPr>
          <w:lang w:val="en_US" w:bidi="en_US"/>
        </w:rPr>
        <w:t>In this paragraph the Jewish leaders asked Jesus what authority he had to do the things that he had been doing. They implied by their question in 20:2 that God had not authorized Jesus to do and say what he did.</w:t>
      </w:r>
    </w:p>
    <w:p>
      <w:pPr/>
      <w:r>
        <w:rPr>
          <w:lang w:val="en_US" w:bidi="en_US"/>
        </w:rPr>
      </w:r>
      <w:r>
        <w:rPr>
          <w:lang w:val="en_US" w:bidi="en_US"/>
        </w:rPr>
        <w:t>Jesus replied by asking the leaders who gave John the Baptizer his authority. His question implied that both he and John got their authority from God. The leaders did not want to admit that God had given John his authority, because they did not believe John’s teaching. But they did not want to say that his authority was only from human beings, because they were afraid that the people would stone them. So they said that they did not know where John’s authority came from.</w:t>
      </w:r>
    </w:p>
    <w:p>
      <w:pPr/>
      <w:r>
        <w:rPr>
          <w:lang w:val="en_US" w:bidi="en_US"/>
        </w:rPr>
      </w:r>
      <w:r>
        <w:rPr>
          <w:lang w:val="en_US" w:bidi="en_US"/>
        </w:rPr>
        <w:t>Because the leaders refused to say what they believed about John, Jesus also said that he would not tell them about his own authority. He knew that they would not accept his answer, because they were questioning him with evil motives. However, in Section 20:9–19, he revealed the answer in a parable.</w:t>
      </w:r>
    </w:p>
    <w:p>
      <w:pPr/>
      <w:r>
        <w:rPr>
          <w:lang w:val="en_US" w:bidi="en_US"/>
        </w:rPr>
      </w:r>
      <w:r>
        <w:rPr>
          <w:lang w:val="en_US" w:bidi="en_US"/>
        </w:rPr>
        <w:t>Examples of headings for this section are:</w:t>
      </w:r>
    </w:p>
    <w:p>
      <w:pPr/>
      <w:r>
        <w:rPr>
          <w:lang w:val="en_US" w:bidi="en_US"/>
        </w:rPr>
      </w:r>
      <w:r>
        <w:rPr>
          <w:lang w:val="en_US" w:bidi="en_US"/>
        </w:rPr>
        <w:t>The Authority of Jesus Questioned (NIV)</w:t>
      </w:r>
    </w:p>
    <w:p>
      <w:pPr/>
      <w:r>
        <w:rPr>
          <w:lang w:val="en_US" w:bidi="en_US"/>
        </w:rPr>
      </w:r>
      <w:r>
        <w:rPr>
          <w:lang w:val="en_US" w:bidi="en_US"/>
        </w:rPr>
        <w:t>The Jewish leaders did not believe that Jesus came with God’s authority</w:t>
      </w:r>
    </w:p>
    <w:p>
      <w:pPr/>
      <w:r>
        <w:rPr>
          <w:lang w:val="en_US" w:bidi="en_US"/>
        </w:rPr>
      </w:r>
      <w:r>
        <w:rPr>
          <w:lang w:val="en_US" w:bidi="en_US"/>
        </w:rPr>
        <w:t>Jewish Leaders Question Jesus (NCV)</w:t>
      </w:r>
    </w:p>
    <w:p>
      <w:pPr/>
      <w:r>
        <w:rPr>
          <w:lang w:val="en_US" w:bidi="en_US"/>
        </w:rPr>
      </w:r>
      <w:r>
        <w:rPr>
          <w:lang w:val="en_US" w:bidi="en_US"/>
        </w:rPr>
        <w:t>There are parallel passages for this section in Matthew 21:23–27 and Mark 11:27–33.</w:t>
      </w:r>
    </w:p>
    <w:p>
      <w:pPr>
        <w:pStyle w:val="Heading5"/>
      </w:pPr>
      <w:r>
        <w:rPr>
          <w:lang w:val="en_US" w:bidi="en_US"/>
        </w:rPr>
        <w:t>20:4</w:t>
      </w:r>
    </w:p>
    <w:p>
      <w:pPr/>
      <w:r>
        <w:rPr>
          <w:lang w:val="en_US" w:bidi="en_US"/>
        </w:rPr>
      </w:r>
      <w:r>
        <w:rPr>
          <w:b/>
          <w:lang w:val="en_US" w:bidi="en_US"/>
        </w:rPr>
        <w:t>John’s baptism—was it from heaven, or from men?”</w:t>
      </w:r>
    </w:p>
    <w:p>
      <w:pPr>
        <w:pStyle w:val="ListBullet"/>
        <w:spacing w:line="240" w:lineRule="auto"/>
        <w:ind w:left="720"/>
      </w:pPr>
      <w:r>
        <w:rPr>
          <w:lang w:val="en_US" w:bidi="en_US"/>
        </w:rPr>
      </w:r>
      <w:r>
        <w:rPr>
          <w:lang w:val="en_US" w:bidi="en_US"/>
        </w:rPr>
        <w:t xml:space="preserve">Did John </w:t>
      </w:r>
      <w:r>
        <w:rPr>
          <w:lang w:val="en_US" w:bidi="en_US"/>
        </w:rPr>
        <w:t>get</w:t>
      </w:r>
      <w:r>
        <w:rPr>
          <w:lang w:val="en_US" w:bidi="en_US"/>
        </w:rPr>
        <w:t xml:space="preserve"> the </w:t>
      </w:r>
      <w:r>
        <w:rPr>
          <w:lang w:val="en_US" w:bidi="en_US"/>
        </w:rPr>
        <w:t>authority</w:t>
      </w:r>
      <w:r>
        <w:rPr>
          <w:lang w:val="en_US" w:bidi="en_US"/>
        </w:rPr>
        <w:t xml:space="preserve"> to baptize from heaven or from people?”</w:t>
      </w:r>
    </w:p>
    <w:p>
      <w:pPr>
        <w:pStyle w:val="ListBullet"/>
        <w:spacing w:line="240" w:lineRule="auto"/>
        <w:ind w:left="720"/>
      </w:pPr>
      <w:r>
        <w:rPr>
          <w:lang w:val="en_US" w:bidi="en_US"/>
        </w:rPr>
      </w:r>
      <w:r>
        <w:rPr>
          <w:lang w:val="en_US" w:bidi="en_US"/>
        </w:rPr>
        <w:t xml:space="preserve">John’s </w:t>
      </w:r>
      <w:r>
        <w:rPr>
          <w:lang w:val="en_US" w:bidi="en_US"/>
        </w:rPr>
        <w:t>right</w:t>
      </w:r>
      <w:r>
        <w:rPr>
          <w:lang w:val="en_US" w:bidi="en_US"/>
        </w:rPr>
        <w:t xml:space="preserve"> to baptize </w:t>
      </w:r>
      <w:r>
        <w:rPr>
          <w:lang w:val="en_US" w:bidi="en_US"/>
        </w:rPr>
        <w:t>people</w:t>
      </w:r>
      <w:r>
        <w:rPr>
          <w:lang w:val="en_US" w:bidi="en_US"/>
        </w:rPr>
        <w:t xml:space="preserve">. </w:t>
      </w:r>
      <w:r>
        <w:rPr>
          <w:lang w:val="en_US" w:bidi="en_US"/>
        </w:rPr>
        <w:t>Did John get that right</w:t>
      </w:r>
      <w:r>
        <w:rPr>
          <w:lang w:val="en_US" w:bidi="en_US"/>
        </w:rPr>
        <w:t xml:space="preserve"> from </w:t>
      </w:r>
      <w:r>
        <w:rPr>
          <w:lang w:val="en_US" w:bidi="en_US"/>
        </w:rPr>
        <w:t>God in</w:t>
      </w:r>
      <w:r>
        <w:rPr>
          <w:lang w:val="en_US" w:bidi="en_US"/>
        </w:rPr>
        <w:t xml:space="preserve"> heaven or from people?”</w:t>
      </w:r>
    </w:p>
    <w:p>
      <w:pPr>
        <w:pStyle w:val="ListBullet"/>
        <w:spacing w:line="240" w:lineRule="auto"/>
        <w:ind w:left="720"/>
      </w:pPr>
      <w:r>
        <w:rPr>
          <w:lang w:val="en_US" w:bidi="en_US"/>
        </w:rPr>
      </w:r>
      <w:r>
        <w:rPr>
          <w:lang w:val="en_US" w:bidi="en_US"/>
        </w:rPr>
        <w:t xml:space="preserve">He asked them if God had sent John to baptize </w:t>
      </w:r>
      <w:r>
        <w:rPr>
          <w:lang w:val="en_US" w:bidi="en_US"/>
        </w:rPr>
        <w:t>people</w:t>
      </w:r>
      <w:r>
        <w:rPr>
          <w:lang w:val="en_US" w:bidi="en_US"/>
        </w:rPr>
        <w:t xml:space="preserve"> or if a human being sent him.</w:t>
      </w:r>
    </w:p>
    <w:p>
      <w:pPr/>
      <w:r>
        <w:rPr>
          <w:lang w:val="en_US" w:bidi="en_US"/>
        </w:rPr>
      </w:r>
      <w:r>
        <w:rPr>
          <w:b/>
          <w:lang w:val="en_US" w:bidi="en_US"/>
        </w:rPr>
        <w:t>John’s baptism—was it from heaven, or from men?:</w:t>
      </w:r>
      <w:r>
        <w:rPr>
          <w:lang w:val="en_US" w:bidi="en_US"/>
        </w:rPr>
        <w:t xml:space="preserve"> This question means, “Who gave John the authority to baptize people? Did God give it to him or did men give it to him?” The question </w:t>
      </w:r>
      <w:r>
        <w:rPr>
          <w:i/>
          <w:lang w:val="en_US" w:bidi="en_US"/>
        </w:rPr>
        <w:t>or from men</w:t>
      </w:r>
      <w:r>
        <w:rPr>
          <w:lang w:val="en_US" w:bidi="en_US"/>
        </w:rPr>
        <w:t xml:space="preserve"> expresses a general meaning like “was it a human idea (in contrast to an idea from God)?”</w:t>
      </w:r>
      <w:r>
        <w:rPr>
          <w:lang w:val="en_US" w:bidi="en_US"/>
        </w:rPr>
        <w:t>Nolland (p. 944) says, “Did John’s baptism come from God or was it merely a human matter? If it was from God, then questions of authorization rather lose their point; if it was only a human matter, then authorization through even the best channels of religious authorization could not legitimate what presented itself falsely as a decisive prophetic act.”</w:t>
      </w:r>
      <w:r>
        <w:rPr>
          <w:lang w:val="en_US" w:bidi="en_US"/>
        </w:rPr>
        <w:t xml:space="preserve"> The answer could be that John himself decided to baptize or that other people sent him to do it. Here is another way to translate this:</w:t>
      </w:r>
    </w:p>
    <w:p>
      <w:pPr/>
      <w:r>
        <w:rPr>
          <w:lang w:val="en_US" w:bidi="en_US"/>
        </w:rPr>
      </w:r>
      <w:r>
        <w:rPr>
          <w:lang w:val="en_US" w:bidi="en_US"/>
        </w:rPr>
        <w:t xml:space="preserve">Did the baptism of John come from heaven, or </w:t>
      </w:r>
      <w:r>
        <w:rPr>
          <w:u w:val="single"/>
          <w:lang w:val="en_US" w:bidi="en_US"/>
        </w:rPr>
        <w:t>was it of human origin</w:t>
      </w:r>
      <w:r>
        <w:rPr>
          <w:lang w:val="en_US" w:bidi="en_US"/>
        </w:rPr>
        <w:t>? (NRSV)</w:t>
      </w:r>
    </w:p>
    <w:p>
      <w:pPr/>
      <w:r>
        <w:rPr>
          <w:lang w:val="en_US" w:bidi="en_US"/>
        </w:rPr>
      </w:r>
      <w:r>
        <w:rPr>
          <w:lang w:val="en_US" w:bidi="en_US"/>
        </w:rPr>
        <w:t xml:space="preserve">The BSB, like the Greek text, has placed the phrase </w:t>
      </w:r>
      <w:r>
        <w:rPr>
          <w:i/>
          <w:lang w:val="en_US" w:bidi="en_US"/>
        </w:rPr>
        <w:t>John’s baptism</w:t>
      </w:r>
      <w:r>
        <w:rPr>
          <w:lang w:val="en_US" w:bidi="en_US"/>
        </w:rPr>
        <w:t xml:space="preserve"> at the beginning of the question. This emphasizes it as the new topic.</w:t>
      </w:r>
    </w:p>
    <w:p>
      <w:pPr/>
      <w:r>
        <w:rPr>
          <w:lang w:val="en_US" w:bidi="en_US"/>
        </w:rPr>
      </w:r>
      <w:r>
        <w:rPr>
          <w:lang w:val="en_US" w:bidi="en_US"/>
        </w:rPr>
        <w:t>Some other ways to translate this question are:</w:t>
      </w:r>
    </w:p>
    <w:p>
      <w:pPr/>
      <w:r>
        <w:rPr>
          <w:lang w:val="en_US" w:bidi="en_US"/>
        </w:rPr>
      </w:r>
      <w:r>
        <w:rPr>
          <w:lang w:val="en_US" w:bidi="en_US"/>
        </w:rPr>
        <w:t>…did John’s right to baptize come from God or from human beings? (GNT)</w:t>
      </w:r>
    </w:p>
    <w:p>
      <w:pPr/>
      <w:r>
        <w:rPr>
          <w:lang w:val="en_US" w:bidi="en_US"/>
        </w:rPr>
      </w:r>
      <w:r>
        <w:rPr>
          <w:lang w:val="en_US" w:bidi="en_US"/>
        </w:rPr>
        <w:t>Who gave John the right to baptize? Was it God in heaven or merely some human being? (CEV)</w:t>
      </w:r>
    </w:p>
    <w:p>
      <w:pPr/>
      <w:r>
        <w:rPr>
          <w:lang w:val="en_US" w:bidi="en_US"/>
        </w:rPr>
      </w:r>
      <w:r>
        <w:rPr>
          <w:lang w:val="en_US" w:bidi="en_US"/>
        </w:rPr>
        <w:t>Notice that the CEV example uses two questions. Translate this verse in a natural way in your language.</w:t>
      </w:r>
    </w:p>
    <w:p>
      <w:pPr/>
      <w:r>
        <w:rPr>
          <w:lang w:val="en_US" w:bidi="en_US"/>
        </w:rPr>
      </w:r>
      <w:r>
        <w:rPr>
          <w:b/>
          <w:lang w:val="en_US" w:bidi="en_US"/>
        </w:rPr>
        <w:t>John’s baptism:</w:t>
      </w:r>
      <w:r>
        <w:rPr>
          <w:lang w:val="en_US" w:bidi="en_US"/>
        </w:rPr>
        <w:t xml:space="preserve"> The Greek phrase that the BSB translates as </w:t>
      </w:r>
      <w:r>
        <w:rPr>
          <w:i/>
          <w:lang w:val="en_US" w:bidi="en_US"/>
        </w:rPr>
        <w:t>John’s baptism</w:t>
      </w:r>
      <w:r>
        <w:rPr>
          <w:lang w:val="en_US" w:bidi="en_US"/>
        </w:rPr>
        <w:t xml:space="preserve"> refers to John’s practice of baptizing people. In this context </w:t>
      </w:r>
      <w:r>
        <w:rPr>
          <w:i/>
          <w:lang w:val="en_US" w:bidi="en_US"/>
        </w:rPr>
        <w:t>baptism</w:t>
      </w:r>
      <w:r>
        <w:rPr>
          <w:lang w:val="en_US" w:bidi="en_US"/>
        </w:rPr>
        <w:t xml:space="preserve"> refers to a ceremonial washing to purify people from sin. It was an initiation that marked the beginning of the baptized person’s life as one of God’s purified people.</w:t>
      </w:r>
    </w:p>
    <w:p>
      <w:pPr/>
      <w:r>
        <w:rPr>
          <w:lang w:val="en_US" w:bidi="en_US"/>
        </w:rPr>
      </w:r>
      <w:r>
        <w:rPr>
          <w:lang w:val="en_US" w:bidi="en_US"/>
        </w:rPr>
        <w:t xml:space="preserve">Some ways to translate the phrase </w:t>
      </w:r>
      <w:r>
        <w:rPr>
          <w:i/>
          <w:lang w:val="en_US" w:bidi="en_US"/>
        </w:rPr>
        <w:t>John’s baptism</w:t>
      </w:r>
      <w:r>
        <w:rPr>
          <w:lang w:val="en_US" w:bidi="en_US"/>
        </w:rPr>
        <w:t xml:space="preserve"> are:</w:t>
      </w:r>
    </w:p>
    <w:p>
      <w:pPr>
        <w:pStyle w:val="ListBullet"/>
        <w:spacing w:line="240" w:lineRule="auto"/>
        <w:ind w:left="720"/>
      </w:pPr>
      <w:r>
        <w:rPr>
          <w:lang w:val="en_US" w:bidi="en_US"/>
        </w:rPr>
      </w:r>
      <w:r>
        <w:rPr>
          <w:lang w:val="en_US" w:bidi="en_US"/>
        </w:rPr>
        <w:t>As a descriptive term. For example:</w:t>
      </w:r>
      <w:r>
        <w:rPr>
          <w:lang w:val="en_US" w:bidi="en_US"/>
        </w:rPr>
        <w:t xml:space="preserve">ritual washing that John gave </w:t>
      </w:r>
      <w:r>
        <w:rPr>
          <w:lang w:val="en_US" w:bidi="en_US"/>
        </w:rPr>
        <w:t>people</w:t>
      </w:r>
      <w:r>
        <w:rPr>
          <w:lang w:val="en_US" w:bidi="en_US"/>
        </w:rPr>
        <w:t xml:space="preserve">John purified/initiated </w:t>
      </w:r>
      <w:r>
        <w:rPr>
          <w:lang w:val="en_US" w:bidi="en_US"/>
        </w:rPr>
        <w:t>people</w:t>
      </w:r>
    </w:p>
    <w:p>
      <w:pPr>
        <w:pStyle w:val="ListBullet"/>
        <w:spacing w:line="240" w:lineRule="auto"/>
        <w:ind w:left="720"/>
      </w:pPr>
      <w:r>
        <w:rPr>
          <w:lang w:val="en_US" w:bidi="en_US"/>
        </w:rPr>
      </w:r>
      <w:r>
        <w:rPr>
          <w:lang w:val="en_US" w:bidi="en_US"/>
        </w:rPr>
        <w:t>Use a term for a similar ritual that is already used in your culture. You may need to indicate that in this context it has a special connection with God. For example:</w:t>
      </w:r>
      <w:r>
        <w:rPr>
          <w:lang w:val="en_US" w:bidi="en_US"/>
        </w:rPr>
        <w:t xml:space="preserve">When John purified </w:t>
      </w:r>
      <w:r>
        <w:rPr>
          <w:lang w:val="en_US" w:bidi="en_US"/>
        </w:rPr>
        <w:t>people</w:t>
      </w:r>
      <w:r>
        <w:rPr>
          <w:lang w:val="en_US" w:bidi="en_US"/>
        </w:rPr>
        <w:t xml:space="preserve"> with </w:t>
      </w:r>
      <w:r>
        <w:rPr>
          <w:u w:val="single"/>
          <w:lang w:val="en_US" w:bidi="en_US"/>
        </w:rPr>
        <w:t>God’s</w:t>
      </w:r>
      <w:r>
        <w:rPr>
          <w:lang w:val="en_US" w:bidi="en_US"/>
        </w:rPr>
        <w:t xml:space="preserve"> ceremonial bath</w:t>
      </w:r>
      <w:r>
        <w:rPr>
          <w:lang w:val="en_US" w:bidi="en_US"/>
        </w:rPr>
        <w:t xml:space="preserve">John’s washing </w:t>
      </w:r>
      <w:r>
        <w:rPr>
          <w:lang w:val="en_US" w:bidi="en_US"/>
        </w:rPr>
        <w:t>people</w:t>
      </w:r>
      <w:r>
        <w:rPr>
          <w:lang w:val="en_US" w:bidi="en_US"/>
        </w:rPr>
        <w:t xml:space="preserve"> in </w:t>
      </w:r>
      <w:r>
        <w:rPr>
          <w:u w:val="single"/>
          <w:lang w:val="en_US" w:bidi="en_US"/>
        </w:rPr>
        <w:t>God’s</w:t>
      </w:r>
      <w:r>
        <w:rPr>
          <w:lang w:val="en_US" w:bidi="en_US"/>
        </w:rPr>
        <w:t xml:space="preserve"> initiation water</w:t>
      </w:r>
    </w:p>
    <w:p>
      <w:pPr>
        <w:pStyle w:val="ListBullet"/>
        <w:spacing w:line="240" w:lineRule="auto"/>
        <w:ind w:left="720"/>
      </w:pPr>
      <w:r>
        <w:rPr>
          <w:lang w:val="en_US" w:bidi="en_US"/>
        </w:rPr>
      </w:r>
      <w:r>
        <w:rPr>
          <w:lang w:val="en_US" w:bidi="en_US"/>
        </w:rPr>
        <w:t>Use a term that is already accepted by the local churches. In some areas this term may have been borrowed from the national language or transliterated from Greek or English. For example:</w:t>
      </w:r>
      <w:r>
        <w:rPr>
          <w:lang w:val="en_US" w:bidi="en_US"/>
        </w:rPr>
        <w:t xml:space="preserve">John baptized </w:t>
      </w:r>
      <w:r>
        <w:rPr>
          <w:lang w:val="en_US" w:bidi="en_US"/>
        </w:rPr>
        <w:t>people</w:t>
      </w:r>
    </w:p>
    <w:p>
      <w:pPr/>
      <w:r>
        <w:rPr>
          <w:lang w:val="en_US" w:bidi="en_US"/>
        </w:rPr>
      </w:r>
      <w:r>
        <w:rPr>
          <w:lang w:val="en_US" w:bidi="en_US"/>
        </w:rPr>
        <w:t xml:space="preserve">See how you translated </w:t>
      </w:r>
      <w:r>
        <w:rPr>
          <w:i/>
          <w:lang w:val="en_US" w:bidi="en_US"/>
        </w:rPr>
        <w:t>baptism</w:t>
      </w:r>
      <w:r>
        <w:rPr>
          <w:lang w:val="en_US" w:bidi="en_US"/>
        </w:rPr>
        <w:t xml:space="preserve"> in 3:3. See also baptize, Meaning 1, in the Glossary.</w:t>
      </w:r>
    </w:p>
    <w:p>
      <w:pPr/>
      <w:r>
        <w:rPr>
          <w:lang w:val="en_US" w:bidi="en_US"/>
        </w:rPr>
      </w:r>
      <w:r>
        <w:rPr>
          <w:b/>
          <w:lang w:val="en_US" w:bidi="en_US"/>
        </w:rPr>
        <w:t>from heaven:</w:t>
      </w:r>
      <w:r>
        <w:rPr>
          <w:lang w:val="en_US" w:bidi="en_US"/>
        </w:rPr>
        <w:t xml:space="preserve"> In this context the phrase </w:t>
      </w:r>
      <w:r>
        <w:rPr>
          <w:i/>
          <w:lang w:val="en_US" w:bidi="en_US"/>
        </w:rPr>
        <w:t>from heaven</w:t>
      </w:r>
      <w:r>
        <w:rPr>
          <w:lang w:val="en_US" w:bidi="en_US"/>
        </w:rPr>
        <w:t xml:space="preserve"> means “from God.” The Jews often referred indirectly to God in order to show their great respect for his name.</w:t>
      </w:r>
    </w:p>
    <w:p>
      <w:pPr/>
      <w:r>
        <w:rPr>
          <w:lang w:val="en_US" w:bidi="en_US"/>
        </w:rPr>
      </w:r>
      <w:r>
        <w:rPr>
          <w:lang w:val="en_US" w:bidi="en_US"/>
        </w:rPr>
        <w:t>See heaven, Meaning 3, in the Glossary.</w:t>
      </w:r>
    </w:p>
    <w:p>
      <w:pPr/>
      <w:r>
        <w:rPr>
          <w:lang w:val="en_US" w:bidi="en_US"/>
        </w:rPr>
      </w:r>
      <w:r>
        <w:rPr>
          <w:b/>
          <w:lang w:val="en_US" w:bidi="en_US"/>
        </w:rPr>
        <w:t>from men:</w:t>
      </w:r>
      <w:r>
        <w:rPr>
          <w:lang w:val="en_US" w:bidi="en_US"/>
        </w:rPr>
        <w:t xml:space="preserve"> The phrase </w:t>
      </w:r>
      <w:r>
        <w:rPr>
          <w:i/>
          <w:lang w:val="en_US" w:bidi="en_US"/>
        </w:rPr>
        <w:t>from men</w:t>
      </w:r>
      <w:r>
        <w:rPr>
          <w:lang w:val="en_US" w:bidi="en_US"/>
        </w:rPr>
        <w:t xml:space="preserve"> means “from people” or “from a human source.” In this context it is in contrast to “from heaven/God.”</w:t>
      </w:r>
    </w:p>
    <w:p>
      <w:pPr>
        <w:pStyle w:val="Heading6"/>
      </w:pPr>
      <w:r>
        <w:rPr>
          <w:b/>
          <w:lang w:val="en_US" w:bidi="en_US"/>
        </w:rPr>
        <w:t>General Comment on 20:3–4</w:t>
      </w:r>
    </w:p>
    <w:p>
      <w:pPr/>
      <w:r>
        <w:rPr>
          <w:lang w:val="en_US" w:bidi="en_US"/>
        </w:rPr>
      </w:r>
      <w:r>
        <w:rPr>
          <w:lang w:val="en_US" w:bidi="en_US"/>
        </w:rPr>
        <w:t>The Greek words that the BSB translates as “Tell me” occur at the end of 20:3. In some languages it may be more natural to place them at the end of 20:4. For example:</w:t>
      </w:r>
    </w:p>
    <w:p>
      <w:pPr/>
      <w:r>
        <w:rPr>
          <w:lang w:val="en_US" w:bidi="en_US"/>
        </w:rPr>
      </w:r>
      <w:r>
        <w:rPr>
          <w:vertAlign w:val="superscript"/>
          <w:lang w:val="en_US" w:bidi="en_US"/>
        </w:rPr>
        <w:t>3</w:t>
      </w:r>
      <w:r>
        <w:rPr>
          <w:lang w:val="en_US" w:bidi="en_US"/>
        </w:rPr>
        <w:t xml:space="preserve">He replied, “I will also ask you a question, </w:t>
      </w:r>
      <w:r>
        <w:rPr>
          <w:vertAlign w:val="superscript"/>
          <w:lang w:val="en_US" w:bidi="en_US"/>
        </w:rPr>
        <w:t>4</w:t>
      </w:r>
      <w:r>
        <w:rPr>
          <w:lang w:val="en_US" w:bidi="en_US"/>
        </w:rPr>
        <w:t xml:space="preserve">‘Was John’s baptism from heaven, or from men?’ </w:t>
      </w:r>
      <w:r>
        <w:rPr>
          <w:vertAlign w:val="superscript"/>
          <w:lang w:val="en_US" w:bidi="en_US"/>
        </w:rPr>
        <w:t>3</w:t>
      </w:r>
      <w:r>
        <w:rPr>
          <w:lang w:val="en_US" w:bidi="en_US"/>
        </w:rPr>
        <w:t>Tell me.”</w:t>
      </w:r>
    </w:p>
    <w:p>
      <w:pPr/>
      <w:r>
        <w:rPr>
          <w:lang w:val="en_US" w:bidi="en_US"/>
        </w:rPr>
      </w:r>
      <w:r>
        <w:rPr>
          <w:lang w:val="en_US" w:bidi="en_US"/>
        </w:rPr>
        <w:t>In other languages it may be more natural to leave these words implied. For example:</w:t>
      </w:r>
    </w:p>
    <w:p>
      <w:pPr/>
      <w:r>
        <w:rPr>
          <w:lang w:val="en_US" w:bidi="en_US"/>
        </w:rPr>
      </w:r>
      <w:r>
        <w:rPr>
          <w:vertAlign w:val="superscript"/>
          <w:lang w:val="en_US" w:bidi="en_US"/>
        </w:rPr>
        <w:t>3</w:t>
      </w:r>
      <w:r>
        <w:rPr>
          <w:lang w:val="en_US" w:bidi="en_US"/>
        </w:rPr>
        <w:t xml:space="preserve">Jesus replied, “I want to ask you a question. </w:t>
      </w:r>
      <w:r>
        <w:rPr>
          <w:vertAlign w:val="superscript"/>
          <w:lang w:val="en_US" w:bidi="en_US"/>
        </w:rPr>
        <w:t>4</w:t>
      </w:r>
      <w:r>
        <w:rPr>
          <w:lang w:val="en_US" w:bidi="en_US"/>
        </w:rPr>
        <w:t>Who gave John the right to baptize? Was it God in heaven or merely some human being?” (CEV)</w:t>
      </w:r>
      <w:r>
        <w:rPr>
          <w:lang w:val="en_US" w:bidi="en_US"/>
        </w:rPr>
      </w:r>
      <w:r>
        <w:rPr>
          <w:lang w:val="en_US" w:bidi="en_US"/>
        </w:rPr>
      </w:r>
    </w:p>
    <w:p>
      <w:pPr/>
      <w:r>
        <w:rPr>
          <w:lang w:val="en_US" w:bidi="en_US"/>
        </w:rPr>
      </w:r>
    </w:p>
    <w:p>
      <w:pPr>
        <w:pStyle w:val="Heading2"/>
      </w:pPr>
      <w:r>
        <w:rPr>
          <w:lang w:val="en_US" w:bidi="en_US"/>
        </w:rPr>
        <w:t>Luke 20:5</w:t>
      </w:r>
      <w:r>
        <w:rPr>
          <w:lang w:val="en_US" w:bidi="en_US"/>
        </w:rPr>
      </w:r>
    </w:p>
    <w:p>
      <w:pPr>
        <w:pStyle w:val="Heading4"/>
      </w:pPr>
      <w:r>
        <w:rPr>
          <w:lang w:val="en_US" w:bidi="en_US"/>
        </w:rPr>
        <w:t>Section 20:1–8: The Jewish leaders challenged Jesus’ authority</w:t>
      </w:r>
    </w:p>
    <w:p>
      <w:pPr/>
      <w:r>
        <w:rPr>
          <w:lang w:val="en_US" w:bidi="en_US"/>
        </w:rPr>
      </w:r>
      <w:r>
        <w:rPr>
          <w:lang w:val="en_US" w:bidi="en_US"/>
        </w:rPr>
        <w:t>In this paragraph the Jewish leaders asked Jesus what authority he had to do the things that he had been doing. They implied by their question in 20:2 that God had not authorized Jesus to do and say what he did.</w:t>
      </w:r>
    </w:p>
    <w:p>
      <w:pPr/>
      <w:r>
        <w:rPr>
          <w:lang w:val="en_US" w:bidi="en_US"/>
        </w:rPr>
      </w:r>
      <w:r>
        <w:rPr>
          <w:lang w:val="en_US" w:bidi="en_US"/>
        </w:rPr>
        <w:t>Jesus replied by asking the leaders who gave John the Baptizer his authority. His question implied that both he and John got their authority from God. The leaders did not want to admit that God had given John his authority, because they did not believe John’s teaching. But they did not want to say that his authority was only from human beings, because they were afraid that the people would stone them. So they said that they did not know where John’s authority came from.</w:t>
      </w:r>
    </w:p>
    <w:p>
      <w:pPr/>
      <w:r>
        <w:rPr>
          <w:lang w:val="en_US" w:bidi="en_US"/>
        </w:rPr>
      </w:r>
      <w:r>
        <w:rPr>
          <w:lang w:val="en_US" w:bidi="en_US"/>
        </w:rPr>
        <w:t>Because the leaders refused to say what they believed about John, Jesus also said that he would not tell them about his own authority. He knew that they would not accept his answer, because they were questioning him with evil motives. However, in Section 20:9–19, he revealed the answer in a parable.</w:t>
      </w:r>
    </w:p>
    <w:p>
      <w:pPr/>
      <w:r>
        <w:rPr>
          <w:lang w:val="en_US" w:bidi="en_US"/>
        </w:rPr>
      </w:r>
      <w:r>
        <w:rPr>
          <w:lang w:val="en_US" w:bidi="en_US"/>
        </w:rPr>
        <w:t>Examples of headings for this section are:</w:t>
      </w:r>
    </w:p>
    <w:p>
      <w:pPr/>
      <w:r>
        <w:rPr>
          <w:lang w:val="en_US" w:bidi="en_US"/>
        </w:rPr>
      </w:r>
      <w:r>
        <w:rPr>
          <w:lang w:val="en_US" w:bidi="en_US"/>
        </w:rPr>
        <w:t>The Authority of Jesus Questioned (NIV)</w:t>
      </w:r>
    </w:p>
    <w:p>
      <w:pPr/>
      <w:r>
        <w:rPr>
          <w:lang w:val="en_US" w:bidi="en_US"/>
        </w:rPr>
      </w:r>
      <w:r>
        <w:rPr>
          <w:lang w:val="en_US" w:bidi="en_US"/>
        </w:rPr>
        <w:t>The Jewish leaders did not believe that Jesus came with God’s authority</w:t>
      </w:r>
    </w:p>
    <w:p>
      <w:pPr/>
      <w:r>
        <w:rPr>
          <w:lang w:val="en_US" w:bidi="en_US"/>
        </w:rPr>
      </w:r>
      <w:r>
        <w:rPr>
          <w:lang w:val="en_US" w:bidi="en_US"/>
        </w:rPr>
        <w:t>Jewish Leaders Question Jesus (NCV)</w:t>
      </w:r>
    </w:p>
    <w:p>
      <w:pPr/>
      <w:r>
        <w:rPr>
          <w:lang w:val="en_US" w:bidi="en_US"/>
        </w:rPr>
      </w:r>
      <w:r>
        <w:rPr>
          <w:lang w:val="en_US" w:bidi="en_US"/>
        </w:rPr>
        <w:t>There are parallel passages for this section in Matthew 21:23–27 and Mark 11:27–33.</w:t>
      </w:r>
    </w:p>
    <w:p>
      <w:pPr>
        <w:pStyle w:val="Heading5"/>
      </w:pPr>
      <w:r>
        <w:rPr>
          <w:lang w:val="en_US" w:bidi="en_US"/>
        </w:rPr>
        <w:t>20:5a</w:t>
      </w:r>
    </w:p>
    <w:p>
      <w:pPr/>
      <w:r>
        <w:rPr>
          <w:lang w:val="en_US" w:bidi="en_US"/>
        </w:rPr>
      </w:r>
      <w:r>
        <w:rPr>
          <w:b/>
          <w:lang w:val="en_US" w:bidi="en_US"/>
        </w:rPr>
        <w:t>They deliberated among themselves and said,</w:t>
      </w:r>
    </w:p>
    <w:p>
      <w:pPr>
        <w:pStyle w:val="ListBullet"/>
        <w:spacing w:line="240" w:lineRule="auto"/>
        <w:ind w:left="720"/>
      </w:pPr>
      <w:r>
        <w:rPr>
          <w:lang w:val="en_US" w:bidi="en_US"/>
        </w:rPr>
      </w:r>
      <w:r>
        <w:rPr>
          <w:lang w:val="en_US" w:bidi="en_US"/>
        </w:rPr>
        <w:t xml:space="preserve">They </w:t>
      </w:r>
      <w:r>
        <w:rPr>
          <w:lang w:val="en_US" w:bidi="en_US"/>
        </w:rPr>
        <w:t>began to</w:t>
      </w:r>
      <w:r>
        <w:rPr>
          <w:lang w:val="en_US" w:bidi="en_US"/>
        </w:rPr>
        <w:t xml:space="preserve"> talk about this among themselves, saying,</w:t>
      </w:r>
    </w:p>
    <w:p>
      <w:pPr>
        <w:pStyle w:val="ListBullet"/>
        <w:spacing w:line="240" w:lineRule="auto"/>
        <w:ind w:left="720"/>
      </w:pPr>
      <w:r>
        <w:rPr>
          <w:lang w:val="en_US" w:bidi="en_US"/>
        </w:rPr>
      </w:r>
      <w:r>
        <w:rPr>
          <w:lang w:val="en_US" w:bidi="en_US"/>
        </w:rPr>
        <w:t xml:space="preserve">Then </w:t>
      </w:r>
      <w:r>
        <w:rPr>
          <w:lang w:val="en_US" w:bidi="en_US"/>
        </w:rPr>
        <w:t>the leaders</w:t>
      </w:r>
      <w:r>
        <w:rPr>
          <w:lang w:val="en_US" w:bidi="en_US"/>
        </w:rPr>
        <w:t xml:space="preserve"> discussed </w:t>
      </w:r>
      <w:r>
        <w:rPr>
          <w:lang w:val="en_US" w:bidi="en_US"/>
        </w:rPr>
        <w:t>the question</w:t>
      </w:r>
      <w:r>
        <w:rPr>
          <w:lang w:val="en_US" w:bidi="en_US"/>
        </w:rPr>
        <w:t xml:space="preserve">. They said </w:t>
      </w:r>
      <w:r>
        <w:rPr>
          <w:lang w:val="en_US" w:bidi="en_US"/>
        </w:rPr>
        <w:t>to each other</w:t>
      </w:r>
      <w:r>
        <w:rPr>
          <w:lang w:val="en_US" w:bidi="en_US"/>
        </w:rPr>
        <w:t>,</w:t>
      </w:r>
    </w:p>
    <w:p>
      <w:pPr>
        <w:pStyle w:val="ListBullet"/>
        <w:spacing w:line="240" w:lineRule="auto"/>
        <w:ind w:left="720"/>
      </w:pPr>
      <w:r>
        <w:rPr>
          <w:lang w:val="en_US" w:bidi="en_US"/>
        </w:rPr>
      </w:r>
      <w:r>
        <w:rPr>
          <w:lang w:val="en_US" w:bidi="en_US"/>
        </w:rPr>
        <w:t xml:space="preserve">They reasoned/argued about </w:t>
      </w:r>
      <w:r>
        <w:rPr>
          <w:lang w:val="en_US" w:bidi="en_US"/>
        </w:rPr>
        <w:t>Jesus’ question</w:t>
      </w:r>
      <w:r>
        <w:rPr>
          <w:lang w:val="en_US" w:bidi="en_US"/>
        </w:rPr>
        <w:t xml:space="preserve"> among themselves. </w:t>
      </w:r>
      <w:r>
        <w:rPr>
          <w:lang w:val="en_US" w:bidi="en_US"/>
        </w:rPr>
        <w:t>Some/Someone</w:t>
      </w:r>
      <w:r>
        <w:rPr>
          <w:lang w:val="en_US" w:bidi="en_US"/>
        </w:rPr>
        <w:t xml:space="preserve"> said,</w:t>
      </w:r>
    </w:p>
    <w:p>
      <w:pPr/>
      <w:r>
        <w:rPr>
          <w:lang w:val="en_US" w:bidi="en_US"/>
        </w:rPr>
      </w:r>
      <w:r>
        <w:rPr>
          <w:b/>
          <w:lang w:val="en_US" w:bidi="en_US"/>
        </w:rPr>
        <w:t>They deliberated among themselves and said:</w:t>
      </w:r>
      <w:r>
        <w:rPr>
          <w:lang w:val="en_US" w:bidi="en_US"/>
        </w:rPr>
        <w:t xml:space="preserve"> This clause introduces the leaders’ words in 20:5b. The Greek verbs that the BSB translates as </w:t>
      </w:r>
      <w:r>
        <w:rPr>
          <w:i/>
          <w:lang w:val="en_US" w:bidi="en_US"/>
        </w:rPr>
        <w:t>deliberated among themselves</w:t>
      </w:r>
      <w:r>
        <w:rPr>
          <w:lang w:val="en_US" w:bidi="en_US"/>
        </w:rPr>
        <w:t xml:space="preserve"> and </w:t>
      </w:r>
      <w:r>
        <w:rPr>
          <w:i/>
          <w:lang w:val="en_US" w:bidi="en_US"/>
        </w:rPr>
        <w:t>said</w:t>
      </w:r>
      <w:r>
        <w:rPr>
          <w:lang w:val="en_US" w:bidi="en_US"/>
        </w:rPr>
        <w:t xml:space="preserve"> refer to the same action. The leaders talked to each other about how they should answer the question that Jesus asked them. The following verses tell what the leaders said in their discussion. Other ways to introduce the discussion are:</w:t>
      </w:r>
    </w:p>
    <w:p>
      <w:pPr/>
      <w:r>
        <w:rPr>
          <w:lang w:val="en_US" w:bidi="en_US"/>
        </w:rPr>
      </w:r>
      <w:r>
        <w:rPr>
          <w:lang w:val="en_US" w:bidi="en_US"/>
        </w:rPr>
        <w:t>They discussed it with one another, saying (NRSV)</w:t>
      </w:r>
    </w:p>
    <w:p>
      <w:pPr/>
      <w:r>
        <w:rPr>
          <w:lang w:val="en_US" w:bidi="en_US"/>
        </w:rPr>
      </w:r>
      <w:r>
        <w:rPr>
          <w:lang w:val="en_US" w:bidi="en_US"/>
        </w:rPr>
        <w:t>They started to argue among themselves (GNT)</w:t>
      </w:r>
    </w:p>
    <w:p>
      <w:pPr>
        <w:pStyle w:val="Heading5"/>
      </w:pPr>
      <w:r>
        <w:rPr>
          <w:lang w:val="en_US" w:bidi="en_US"/>
        </w:rPr>
        <w:t>20:5b</w:t>
      </w:r>
    </w:p>
    <w:p>
      <w:pPr/>
      <w:r>
        <w:rPr>
          <w:lang w:val="en_US" w:bidi="en_US"/>
        </w:rPr>
      </w:r>
      <w:r>
        <w:rPr>
          <w:b/>
          <w:lang w:val="en_US" w:bidi="en_US"/>
        </w:rPr>
        <w:t>“If we say, ‘From heaven,’</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say, ‘</w:t>
      </w:r>
      <w:r>
        <w:rPr>
          <w:lang w:val="en_US" w:bidi="en_US"/>
        </w:rPr>
        <w:t>John’s right to baptize had</w:t>
      </w:r>
      <w:r>
        <w:rPr>
          <w:lang w:val="en_US" w:bidi="en_US"/>
        </w:rPr>
        <w:t xml:space="preserve"> its origins in heaven,’</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could answer </w:t>
      </w:r>
      <w:r>
        <w:rPr>
          <w:lang w:val="en_US" w:bidi="en_US"/>
        </w:rPr>
        <w:t>that John’s right/authority came</w:t>
      </w:r>
      <w:r>
        <w:rPr>
          <w:lang w:val="en_US" w:bidi="en_US"/>
        </w:rPr>
        <w:t xml:space="preserve"> from </w:t>
      </w:r>
      <w:r>
        <w:rPr>
          <w:lang w:val="en_US" w:bidi="en_US"/>
        </w:rPr>
        <w:t>God in</w:t>
      </w:r>
      <w:r>
        <w:rPr>
          <w:lang w:val="en_US" w:bidi="en_US"/>
        </w:rPr>
        <w:t xml:space="preserve"> heaven,</w:t>
      </w:r>
    </w:p>
    <w:p>
      <w:pPr>
        <w:pStyle w:val="ListBullet"/>
        <w:spacing w:line="240" w:lineRule="auto"/>
        <w:ind w:left="720"/>
      </w:pPr>
      <w:r>
        <w:rPr>
          <w:lang w:val="en_US" w:bidi="en_US"/>
        </w:rPr>
      </w:r>
      <w:r>
        <w:rPr>
          <w:lang w:val="en_US" w:bidi="en_US"/>
        </w:rPr>
        <w:t>“Suppose we</w:t>
      </w:r>
      <w:r>
        <w:rPr>
          <w:vertAlign w:val="superscript"/>
          <w:lang w:val="en_US" w:bidi="en_US"/>
        </w:rPr>
        <w:t>(incl)</w:t>
      </w:r>
      <w:r>
        <w:rPr>
          <w:lang w:val="en_US" w:bidi="en_US"/>
        </w:rPr>
        <w:t xml:space="preserve"> say that God was the one </w:t>
      </w:r>
      <w:r>
        <w:rPr>
          <w:lang w:val="en_US" w:bidi="en_US"/>
        </w:rPr>
        <w:t>who sent/told John to baptize people</w:t>
      </w:r>
      <w:r>
        <w:rPr>
          <w:lang w:val="en_US" w:bidi="en_US"/>
        </w:rPr>
        <w:t>,</w:t>
      </w:r>
    </w:p>
    <w:p>
      <w:pPr/>
      <w:r>
        <w:rPr>
          <w:lang w:val="en_US" w:bidi="en_US"/>
        </w:rPr>
      </w:r>
      <w:r>
        <w:rPr>
          <w:b/>
          <w:lang w:val="en_US" w:bidi="en_US"/>
        </w:rPr>
        <w:t>If we say, ‘From heaven’:</w:t>
      </w:r>
      <w:r>
        <w:rPr>
          <w:lang w:val="en_US" w:bidi="en_US"/>
        </w:rPr>
        <w:t xml:space="preserve"> The pronoun </w:t>
      </w:r>
      <w:r>
        <w:rPr>
          <w:i/>
          <w:lang w:val="en_US" w:bidi="en_US"/>
        </w:rPr>
        <w:t>we</w:t>
      </w:r>
      <w:r>
        <w:rPr>
          <w:lang w:val="en_US" w:bidi="en_US"/>
        </w:rPr>
        <w:t xml:space="preserve"> refers to the Jewish leaders who spoke to each other. They did not include Jesus in their conversation. They were considering one possible answer that they could give Jesus.</w:t>
      </w:r>
    </w:p>
    <w:p>
      <w:pPr/>
      <w:r>
        <w:rPr>
          <w:lang w:val="en_US" w:bidi="en_US"/>
        </w:rPr>
      </w:r>
      <w:r>
        <w:rPr>
          <w:lang w:val="en_US" w:bidi="en_US"/>
        </w:rPr>
        <w:t xml:space="preserve">The phrase </w:t>
      </w:r>
      <w:r>
        <w:rPr>
          <w:i/>
          <w:lang w:val="en_US" w:bidi="en_US"/>
        </w:rPr>
        <w:t>From heaven</w:t>
      </w:r>
      <w:r>
        <w:rPr>
          <w:lang w:val="en_US" w:bidi="en_US"/>
        </w:rPr>
        <w:t xml:space="preserve"> is a quote within a quote. Translate it in a natural way in your language. Some ways to do this in English are:</w:t>
      </w:r>
    </w:p>
    <w:p>
      <w:pPr/>
      <w:r>
        <w:rPr>
          <w:lang w:val="en_US" w:bidi="en_US"/>
        </w:rPr>
      </w:r>
      <w:r>
        <w:rPr>
          <w:lang w:val="en_US" w:bidi="en_US"/>
        </w:rPr>
        <w:t xml:space="preserve">If we say that </w:t>
      </w:r>
      <w:r>
        <w:rPr>
          <w:lang w:val="en_US" w:bidi="en_US"/>
        </w:rPr>
        <w:t>John’s baptism came</w:t>
      </w:r>
      <w:r>
        <w:rPr>
          <w:lang w:val="en_US" w:bidi="en_US"/>
        </w:rPr>
        <w:t xml:space="preserve"> from heaven/God</w:t>
      </w:r>
    </w:p>
    <w:p>
      <w:pPr/>
      <w:r>
        <w:rPr>
          <w:lang w:val="en_US" w:bidi="en_US"/>
        </w:rPr>
      </w:r>
      <w:r>
        <w:rPr>
          <w:lang w:val="en_US" w:bidi="en_US"/>
        </w:rPr>
        <w:t xml:space="preserve">If we say that God sent John </w:t>
      </w:r>
      <w:r>
        <w:rPr>
          <w:lang w:val="en_US" w:bidi="en_US"/>
        </w:rPr>
        <w:t>to baptize people</w:t>
      </w:r>
    </w:p>
    <w:p>
      <w:pPr/>
      <w:r>
        <w:rPr>
          <w:lang w:val="en_US" w:bidi="en_US"/>
        </w:rPr>
      </w:r>
      <w:r>
        <w:rPr>
          <w:lang w:val="en_US" w:bidi="en_US"/>
        </w:rPr>
        <w:t xml:space="preserve">If we say, “God sent John </w:t>
      </w:r>
      <w:r>
        <w:rPr>
          <w:lang w:val="en_US" w:bidi="en_US"/>
        </w:rPr>
        <w:t>to baptize people</w:t>
      </w:r>
      <w:r>
        <w:rPr>
          <w:lang w:val="en_US" w:bidi="en_US"/>
        </w:rPr>
        <w:t>.”</w:t>
      </w:r>
    </w:p>
    <w:p>
      <w:pPr/>
      <w:r>
        <w:rPr>
          <w:lang w:val="en_US" w:bidi="en_US"/>
        </w:rPr>
      </w:r>
      <w:r>
        <w:rPr>
          <w:lang w:val="en_US" w:bidi="en_US"/>
        </w:rPr>
        <w:t xml:space="preserve">If you need to make the reply </w:t>
      </w:r>
      <w:r>
        <w:rPr>
          <w:i/>
          <w:lang w:val="en_US" w:bidi="en_US"/>
        </w:rPr>
        <w:t>From heaven</w:t>
      </w:r>
      <w:r>
        <w:rPr>
          <w:lang w:val="en_US" w:bidi="en_US"/>
        </w:rPr>
        <w:t xml:space="preserve"> into a complete sentence, use wording that agrees with what you used in 20:4.</w:t>
      </w:r>
    </w:p>
    <w:p>
      <w:pPr/>
      <w:r>
        <w:rPr>
          <w:lang w:val="en_US" w:bidi="en_US"/>
        </w:rPr>
      </w:r>
      <w:r>
        <w:rPr>
          <w:b/>
          <w:lang w:val="en_US" w:bidi="en_US"/>
        </w:rPr>
        <w:t>If we say:</w:t>
      </w:r>
      <w:r>
        <w:rPr>
          <w:lang w:val="en_US" w:bidi="en_US"/>
        </w:rPr>
        <w:t xml:space="preserve"> The Jewish leaders were not certain how they should answer Jesus. Here they introduced one possible answer. Other ways to introduce it are:</w:t>
      </w:r>
    </w:p>
    <w:p>
      <w:pPr/>
      <w:r>
        <w:rPr>
          <w:lang w:val="en_US" w:bidi="en_US"/>
        </w:rPr>
      </w:r>
      <w:r>
        <w:rPr>
          <w:lang w:val="en_US" w:bidi="en_US"/>
        </w:rPr>
        <w:t>Suppose we say</w:t>
      </w:r>
    </w:p>
    <w:p>
      <w:pPr/>
      <w:r>
        <w:rPr>
          <w:lang w:val="en_US" w:bidi="en_US"/>
        </w:rPr>
      </w:r>
      <w:r>
        <w:rPr>
          <w:lang w:val="en_US" w:bidi="en_US"/>
        </w:rPr>
        <w:t>We could answer</w:t>
      </w:r>
    </w:p>
    <w:p>
      <w:pPr/>
      <w:r>
        <w:rPr>
          <w:lang w:val="en_US" w:bidi="en_US"/>
        </w:rPr>
      </w:r>
      <w:r>
        <w:rPr>
          <w:lang w:val="en_US" w:bidi="en_US"/>
        </w:rPr>
        <w:t>Should we reply…?</w:t>
      </w:r>
    </w:p>
    <w:p>
      <w:pPr/>
      <w:r>
        <w:rPr>
          <w:lang w:val="en_US" w:bidi="en_US"/>
        </w:rPr>
      </w:r>
      <w:r>
        <w:rPr>
          <w:lang w:val="en_US" w:bidi="en_US"/>
        </w:rPr>
        <w:t>We can’t say… (CEV)</w:t>
      </w:r>
    </w:p>
    <w:p>
      <w:pPr/>
      <w:r>
        <w:rPr>
          <w:lang w:val="en_US" w:bidi="en_US"/>
        </w:rPr>
      </w:r>
      <w:r>
        <w:rPr>
          <w:lang w:val="en_US" w:bidi="en_US"/>
        </w:rPr>
        <w:t>Introduce the possible answer in a way that is natural in your language.</w:t>
      </w:r>
    </w:p>
    <w:p>
      <w:pPr>
        <w:pStyle w:val="Heading5"/>
      </w:pPr>
      <w:r>
        <w:rPr>
          <w:lang w:val="en_US" w:bidi="en_US"/>
        </w:rPr>
        <w:t>20:5c</w:t>
      </w:r>
    </w:p>
    <w:p>
      <w:pPr/>
      <w:r>
        <w:rPr>
          <w:lang w:val="en_US" w:bidi="en_US"/>
        </w:rPr>
      </w:r>
      <w:r>
        <w:rPr>
          <w:b/>
          <w:lang w:val="en_US" w:bidi="en_US"/>
        </w:rPr>
        <w:t>He will ask, ‘Why did you not believe him?’</w:t>
      </w:r>
    </w:p>
    <w:p>
      <w:pPr>
        <w:pStyle w:val="ListBullet"/>
        <w:spacing w:line="240" w:lineRule="auto"/>
        <w:ind w:left="720"/>
      </w:pPr>
      <w:r>
        <w:rPr>
          <w:lang w:val="en_US" w:bidi="en_US"/>
        </w:rPr>
      </w:r>
      <w:r>
        <w:rPr>
          <w:lang w:val="en_US" w:bidi="en_US"/>
        </w:rPr>
        <w:t>he/Jesus will ask us</w:t>
      </w:r>
      <w:r>
        <w:rPr>
          <w:vertAlign w:val="superscript"/>
          <w:lang w:val="en_US" w:bidi="en_US"/>
        </w:rPr>
        <w:t>(incl)</w:t>
      </w:r>
      <w:r>
        <w:rPr>
          <w:lang w:val="en_US" w:bidi="en_US"/>
        </w:rPr>
        <w:t xml:space="preserve"> </w:t>
      </w:r>
      <w:r>
        <w:rPr>
          <w:lang w:val="en_US" w:bidi="en_US"/>
        </w:rPr>
        <w:t>this question</w:t>
      </w:r>
      <w:r>
        <w:rPr>
          <w:lang w:val="en_US" w:bidi="en_US"/>
        </w:rPr>
        <w:t>: ‘Then why did you</w:t>
      </w:r>
      <w:r>
        <w:rPr>
          <w:vertAlign w:val="superscript"/>
          <w:lang w:val="en_US" w:bidi="en_US"/>
        </w:rPr>
        <w:t>(plur)</w:t>
      </w:r>
      <w:r>
        <w:rPr>
          <w:lang w:val="en_US" w:bidi="en_US"/>
        </w:rPr>
        <w:t xml:space="preserve"> not believe John’s </w:t>
      </w:r>
      <w:r>
        <w:rPr>
          <w:lang w:val="en_US" w:bidi="en_US"/>
        </w:rPr>
        <w:t>message</w:t>
      </w:r>
      <w:r>
        <w:rPr>
          <w:lang w:val="en_US" w:bidi="en_US"/>
        </w:rPr>
        <w:t>?’</w:t>
      </w:r>
    </w:p>
    <w:p>
      <w:pPr>
        <w:pStyle w:val="ListBullet"/>
        <w:spacing w:line="240" w:lineRule="auto"/>
        <w:ind w:left="720"/>
      </w:pPr>
      <w:r>
        <w:rPr>
          <w:lang w:val="en_US" w:bidi="en_US"/>
        </w:rPr>
      </w:r>
      <w:r>
        <w:rPr>
          <w:lang w:val="en_US" w:bidi="en_US"/>
        </w:rPr>
        <w:t>but</w:t>
      </w:r>
      <w:r>
        <w:rPr>
          <w:lang w:val="en_US" w:bidi="en_US"/>
        </w:rPr>
        <w:t xml:space="preserve"> then </w:t>
      </w:r>
      <w:r>
        <w:rPr>
          <w:lang w:val="en_US" w:bidi="en_US"/>
        </w:rPr>
        <w:t>Jesus</w:t>
      </w:r>
      <w:r>
        <w:rPr>
          <w:lang w:val="en_US" w:bidi="en_US"/>
        </w:rPr>
        <w:t xml:space="preserve"> will ask us</w:t>
      </w:r>
      <w:r>
        <w:rPr>
          <w:vertAlign w:val="superscript"/>
          <w:lang w:val="en_US" w:bidi="en_US"/>
        </w:rPr>
        <w:t>(incl)</w:t>
      </w:r>
      <w:r>
        <w:rPr>
          <w:lang w:val="en_US" w:bidi="en_US"/>
        </w:rPr>
        <w:t xml:space="preserve"> why we</w:t>
      </w:r>
      <w:r>
        <w:rPr>
          <w:vertAlign w:val="superscript"/>
          <w:lang w:val="en_US" w:bidi="en_US"/>
        </w:rPr>
        <w:t>(incl)</w:t>
      </w:r>
      <w:r>
        <w:rPr>
          <w:lang w:val="en_US" w:bidi="en_US"/>
        </w:rPr>
        <w:t xml:space="preserve"> did not believe </w:t>
      </w:r>
      <w:r>
        <w:rPr>
          <w:lang w:val="en_US" w:bidi="en_US"/>
        </w:rPr>
        <w:t>what John was saying</w:t>
      </w:r>
      <w:r>
        <w:rPr>
          <w:lang w:val="en_US" w:bidi="en_US"/>
        </w:rPr>
        <w:t>.</w:t>
      </w:r>
    </w:p>
    <w:p>
      <w:pPr>
        <w:pStyle w:val="ListBullet"/>
        <w:spacing w:line="240" w:lineRule="auto"/>
        <w:ind w:left="720"/>
      </w:pPr>
      <w:r>
        <w:rPr>
          <w:lang w:val="en_US" w:bidi="en_US"/>
        </w:rPr>
      </w:r>
      <w:r>
        <w:rPr>
          <w:lang w:val="en_US" w:bidi="en_US"/>
        </w:rPr>
        <w:t>then Jesus will say that we</w:t>
      </w:r>
      <w:r>
        <w:rPr>
          <w:vertAlign w:val="superscript"/>
          <w:lang w:val="en_US" w:bidi="en_US"/>
        </w:rPr>
        <w:t>(incl)</w:t>
      </w:r>
      <w:r>
        <w:rPr>
          <w:lang w:val="en_US" w:bidi="en_US"/>
        </w:rPr>
        <w:t xml:space="preserve"> should not have rejected/refused </w:t>
      </w:r>
      <w:r>
        <w:rPr>
          <w:lang w:val="en_US" w:bidi="en_US"/>
        </w:rPr>
        <w:t>his/John’s message</w:t>
      </w:r>
      <w:r>
        <w:rPr>
          <w:lang w:val="en_US" w:bidi="en_US"/>
        </w:rPr>
        <w:t>.”</w:t>
      </w:r>
    </w:p>
    <w:p>
      <w:pPr/>
      <w:r>
        <w:rPr>
          <w:lang w:val="en_US" w:bidi="en_US"/>
        </w:rPr>
      </w:r>
      <w:r>
        <w:rPr>
          <w:b/>
          <w:lang w:val="en_US" w:bidi="en_US"/>
        </w:rPr>
        <w:t>He will ask, ‘Why did you not believe him?’:</w:t>
      </w:r>
      <w:r>
        <w:rPr>
          <w:lang w:val="en_US" w:bidi="en_US"/>
        </w:rPr>
        <w:t xml:space="preserve"> The Greek verb that the BSB translates as </w:t>
      </w:r>
      <w:r>
        <w:rPr>
          <w:i/>
          <w:lang w:val="en_US" w:bidi="en_US"/>
        </w:rPr>
        <w:t>ask</w:t>
      </w:r>
      <w:r>
        <w:rPr>
          <w:lang w:val="en_US" w:bidi="en_US"/>
        </w:rPr>
        <w:t xml:space="preserve"> is a general verb that means “say.” Here the Jewish leaders guessed how Jesus would reply to them if they said “From heaven.” Some versions translate this as indirect speech. For example:</w:t>
      </w:r>
    </w:p>
    <w:p>
      <w:pPr/>
      <w:r>
        <w:rPr>
          <w:lang w:val="en_US" w:bidi="en_US"/>
        </w:rPr>
      </w:r>
      <w:r>
        <w:rPr>
          <w:lang w:val="en_US" w:bidi="en_US"/>
        </w:rPr>
        <w:t>he will ask why we didn’t believe John (NLT)</w:t>
      </w:r>
    </w:p>
    <w:p>
      <w:pPr/>
      <w:r>
        <w:rPr>
          <w:lang w:val="en_US" w:bidi="en_US"/>
        </w:rPr>
      </w:r>
      <w:r>
        <w:rPr>
          <w:lang w:val="en_US" w:bidi="en_US"/>
        </w:rPr>
        <w:t>Translate it in a natural way in your language.</w:t>
      </w:r>
    </w:p>
    <w:p>
      <w:pPr/>
      <w:r>
        <w:rPr>
          <w:lang w:val="en_US" w:bidi="en_US"/>
        </w:rPr>
      </w:r>
      <w:r>
        <w:rPr>
          <w:b/>
          <w:lang w:val="en_US" w:bidi="en_US"/>
        </w:rPr>
        <w:t>Why did you not believe him?:</w:t>
      </w:r>
      <w:r>
        <w:rPr>
          <w:lang w:val="en_US" w:bidi="en_US"/>
        </w:rPr>
        <w:t xml:space="preserve"> This is a rhetorical question. It expresses a rebuke. The Jewish leaders thought that if they admitted that John’s authority was from God, Jesus would rebuke them. He would tell them that they should have believed what John told them.</w:t>
      </w:r>
    </w:p>
    <w:p>
      <w:pPr/>
      <w:r>
        <w:rPr>
          <w:lang w:val="en_US" w:bidi="en_US"/>
        </w:rPr>
      </w:r>
      <w:r>
        <w:rPr>
          <w:lang w:val="en_US" w:bidi="en_US"/>
        </w:rPr>
        <w:t>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Why did you not believe him? (NRSV)</w:t>
      </w:r>
    </w:p>
    <w:p>
      <w:pPr>
        <w:pStyle w:val="ListBullet"/>
        <w:spacing w:line="240" w:lineRule="auto"/>
        <w:ind w:left="720"/>
      </w:pPr>
      <w:r>
        <w:rPr>
          <w:lang w:val="en_US" w:bidi="en_US"/>
        </w:rPr>
      </w:r>
      <w:r>
        <w:rPr>
          <w:lang w:val="en_US" w:bidi="en_US"/>
        </w:rPr>
        <w:t>As a statement or exclamation. For example:</w:t>
      </w:r>
      <w:r>
        <w:rPr>
          <w:lang w:val="en_US" w:bidi="en_US"/>
        </w:rPr>
        <w:t>Then you should have believed him!</w:t>
      </w:r>
      <w:r>
        <w:rPr>
          <w:lang w:val="en_US" w:bidi="en_US"/>
        </w:rPr>
        <w:t>You should not have rejected his message.</w:t>
      </w:r>
      <w:r>
        <w:rPr>
          <w:lang w:val="en_US" w:bidi="en_US"/>
        </w:rPr>
        <w:t>…he will say that we should have believed him.</w:t>
      </w:r>
    </w:p>
    <w:p>
      <w:pPr/>
      <w:r>
        <w:rPr>
          <w:lang w:val="en_US" w:bidi="en_US"/>
        </w:rPr>
      </w:r>
      <w:r>
        <w:rPr>
          <w:lang w:val="en_US" w:bidi="en_US"/>
        </w:rPr>
        <w:t>Translate this rebuke in a way that is natural in your language. In some languages it may be natural to introduce the rebuke with a word or phrase. For example:</w:t>
      </w:r>
    </w:p>
    <w:p>
      <w:pPr/>
      <w:r>
        <w:rPr>
          <w:lang w:val="en_US" w:bidi="en_US"/>
        </w:rPr>
      </w:r>
      <w:r>
        <w:rPr>
          <w:u w:val="single"/>
          <w:lang w:val="en_US" w:bidi="en_US"/>
        </w:rPr>
        <w:t>Then</w:t>
      </w:r>
      <w:r>
        <w:rPr>
          <w:lang w:val="en_US" w:bidi="en_US"/>
        </w:rPr>
        <w:t xml:space="preserve"> why did you not believe him? (NCV)</w:t>
      </w:r>
    </w:p>
    <w:p>
      <w:pPr/>
      <w:r>
        <w:rPr>
          <w:lang w:val="en_US" w:bidi="en_US"/>
        </w:rPr>
      </w:r>
      <w:r>
        <w:rPr>
          <w:lang w:val="en_US" w:bidi="en_US"/>
        </w:rPr>
        <w:t>If you knew that God gave him the authority,</w:t>
      </w:r>
      <w:r>
        <w:rPr>
          <w:lang w:val="en_US" w:bidi="en_US"/>
        </w:rPr>
        <w:t xml:space="preserve"> you should have believed him.</w:t>
      </w:r>
    </w:p>
    <w:p>
      <w:pPr/>
      <w:r>
        <w:rPr>
          <w:lang w:val="en_US" w:bidi="en_US"/>
        </w:rPr>
      </w:r>
      <w:r>
        <w:rPr>
          <w:b/>
          <w:lang w:val="en_US" w:bidi="en_US"/>
        </w:rPr>
        <w:t>believe him:</w:t>
      </w:r>
      <w:r>
        <w:rPr>
          <w:lang w:val="en_US" w:bidi="en_US"/>
        </w:rPr>
        <w:t xml:space="preserve"> The phrase </w:t>
      </w:r>
      <w:r>
        <w:rPr>
          <w:i/>
          <w:lang w:val="en_US" w:bidi="en_US"/>
        </w:rPr>
        <w:t>believe him</w:t>
      </w:r>
      <w:r>
        <w:rPr>
          <w:lang w:val="en_US" w:bidi="en_US"/>
        </w:rPr>
        <w:t xml:space="preserve"> refers here to believing that what John said was true. The chief priests and the scribes did not believe what John preached. They rejected his teaching. They did not repent of their sins and allow John to baptize them, and they did not believe what John said about Jesus. Other ways to translate this phrase are:</w:t>
      </w:r>
    </w:p>
    <w:p>
      <w:pPr/>
      <w:r>
        <w:rPr>
          <w:lang w:val="en_US" w:bidi="en_US"/>
        </w:rPr>
      </w:r>
      <w:r>
        <w:rPr>
          <w:lang w:val="en_US" w:bidi="en_US"/>
        </w:rPr>
        <w:t xml:space="preserve">accept his </w:t>
      </w:r>
      <w:r>
        <w:rPr>
          <w:lang w:val="en_US" w:bidi="en_US"/>
        </w:rPr>
        <w:t>message</w:t>
      </w:r>
    </w:p>
    <w:p>
      <w:pPr/>
      <w:r>
        <w:rPr>
          <w:lang w:val="en_US" w:bidi="en_US"/>
        </w:rPr>
      </w:r>
      <w:r>
        <w:rPr>
          <w:lang w:val="en_US" w:bidi="en_US"/>
        </w:rPr>
        <w:t>agree that what he said was true</w:t>
      </w:r>
    </w:p>
    <w:p>
      <w:pPr/>
      <w:r>
        <w:rPr>
          <w:lang w:val="en_US" w:bidi="en_US"/>
        </w:rPr>
      </w:r>
      <w:r>
        <w:rPr>
          <w:lang w:val="en_US" w:bidi="en_US"/>
        </w:rPr>
        <w:t>See believe, Meaning 1, in the Glossary.</w:t>
      </w:r>
      <w:r>
        <w:rPr>
          <w:lang w:val="en_US" w:bidi="en_US"/>
        </w:rPr>
      </w:r>
      <w:r>
        <w:rPr>
          <w:lang w:val="en_US" w:bidi="en_US"/>
        </w:rPr>
      </w:r>
    </w:p>
    <w:p>
      <w:pPr/>
      <w:r>
        <w:rPr>
          <w:lang w:val="en_US" w:bidi="en_US"/>
        </w:rPr>
      </w:r>
    </w:p>
    <w:p>
      <w:pPr>
        <w:pStyle w:val="Heading2"/>
      </w:pPr>
      <w:r>
        <w:rPr>
          <w:lang w:val="en_US" w:bidi="en_US"/>
        </w:rPr>
        <w:t>Luke 20:6</w:t>
      </w:r>
      <w:r>
        <w:rPr>
          <w:lang w:val="en_US" w:bidi="en_US"/>
        </w:rPr>
      </w:r>
    </w:p>
    <w:p>
      <w:pPr>
        <w:pStyle w:val="Heading4"/>
      </w:pPr>
      <w:r>
        <w:rPr>
          <w:lang w:val="en_US" w:bidi="en_US"/>
        </w:rPr>
        <w:t>Section 20:1–8: The Jewish leaders challenged Jesus’ authority</w:t>
      </w:r>
    </w:p>
    <w:p>
      <w:pPr/>
      <w:r>
        <w:rPr>
          <w:lang w:val="en_US" w:bidi="en_US"/>
        </w:rPr>
      </w:r>
      <w:r>
        <w:rPr>
          <w:lang w:val="en_US" w:bidi="en_US"/>
        </w:rPr>
        <w:t>In this paragraph the Jewish leaders asked Jesus what authority he had to do the things that he had been doing. They implied by their question in 20:2 that God had not authorized Jesus to do and say what he did.</w:t>
      </w:r>
    </w:p>
    <w:p>
      <w:pPr/>
      <w:r>
        <w:rPr>
          <w:lang w:val="en_US" w:bidi="en_US"/>
        </w:rPr>
      </w:r>
      <w:r>
        <w:rPr>
          <w:lang w:val="en_US" w:bidi="en_US"/>
        </w:rPr>
        <w:t>Jesus replied by asking the leaders who gave John the Baptizer his authority. His question implied that both he and John got their authority from God. The leaders did not want to admit that God had given John his authority, because they did not believe John’s teaching. But they did not want to say that his authority was only from human beings, because they were afraid that the people would stone them. So they said that they did not know where John’s authority came from.</w:t>
      </w:r>
    </w:p>
    <w:p>
      <w:pPr/>
      <w:r>
        <w:rPr>
          <w:lang w:val="en_US" w:bidi="en_US"/>
        </w:rPr>
      </w:r>
      <w:r>
        <w:rPr>
          <w:lang w:val="en_US" w:bidi="en_US"/>
        </w:rPr>
        <w:t>Because the leaders refused to say what they believed about John, Jesus also said that he would not tell them about his own authority. He knew that they would not accept his answer, because they were questioning him with evil motives. However, in Section 20:9–19, he revealed the answer in a parable.</w:t>
      </w:r>
    </w:p>
    <w:p>
      <w:pPr/>
      <w:r>
        <w:rPr>
          <w:lang w:val="en_US" w:bidi="en_US"/>
        </w:rPr>
      </w:r>
      <w:r>
        <w:rPr>
          <w:lang w:val="en_US" w:bidi="en_US"/>
        </w:rPr>
        <w:t>Examples of headings for this section are:</w:t>
      </w:r>
    </w:p>
    <w:p>
      <w:pPr/>
      <w:r>
        <w:rPr>
          <w:lang w:val="en_US" w:bidi="en_US"/>
        </w:rPr>
      </w:r>
      <w:r>
        <w:rPr>
          <w:lang w:val="en_US" w:bidi="en_US"/>
        </w:rPr>
        <w:t>The Authority of Jesus Questioned (NIV)</w:t>
      </w:r>
    </w:p>
    <w:p>
      <w:pPr/>
      <w:r>
        <w:rPr>
          <w:lang w:val="en_US" w:bidi="en_US"/>
        </w:rPr>
      </w:r>
      <w:r>
        <w:rPr>
          <w:lang w:val="en_US" w:bidi="en_US"/>
        </w:rPr>
        <w:t>The Jewish leaders did not believe that Jesus came with God’s authority</w:t>
      </w:r>
    </w:p>
    <w:p>
      <w:pPr/>
      <w:r>
        <w:rPr>
          <w:lang w:val="en_US" w:bidi="en_US"/>
        </w:rPr>
      </w:r>
      <w:r>
        <w:rPr>
          <w:lang w:val="en_US" w:bidi="en_US"/>
        </w:rPr>
        <w:t>Jewish Leaders Question Jesus (NCV)</w:t>
      </w:r>
    </w:p>
    <w:p>
      <w:pPr/>
      <w:r>
        <w:rPr>
          <w:lang w:val="en_US" w:bidi="en_US"/>
        </w:rPr>
      </w:r>
      <w:r>
        <w:rPr>
          <w:lang w:val="en_US" w:bidi="en_US"/>
        </w:rPr>
        <w:t>There are parallel passages for this section in Matthew 21:23–27 and Mark 11:27–33.</w:t>
      </w:r>
    </w:p>
    <w:p>
      <w:pPr>
        <w:pStyle w:val="Heading5"/>
      </w:pPr>
      <w:r>
        <w:rPr>
          <w:lang w:val="en_US" w:bidi="en_US"/>
        </w:rPr>
        <w:t>20:6a</w:t>
      </w:r>
    </w:p>
    <w:p>
      <w:pPr/>
      <w:r>
        <w:rPr>
          <w:lang w:val="en_US" w:bidi="en_US"/>
        </w:rPr>
      </w:r>
      <w:r>
        <w:rPr>
          <w:b/>
          <w:lang w:val="en_US" w:bidi="en_US"/>
        </w:rPr>
        <w:t>But if we say, ‘From men,’</w:t>
      </w:r>
    </w:p>
    <w:p>
      <w:pPr>
        <w:pStyle w:val="ListBullet"/>
        <w:spacing w:line="240" w:lineRule="auto"/>
        <w:ind w:left="720"/>
      </w:pPr>
      <w:r>
        <w:rPr>
          <w:lang w:val="en_US" w:bidi="en_US"/>
        </w:rPr>
      </w:r>
      <w:r>
        <w:rPr>
          <w:lang w:val="en_US" w:bidi="en_US"/>
        </w:rPr>
        <w:t>But if we</w:t>
      </w:r>
      <w:r>
        <w:rPr>
          <w:vertAlign w:val="superscript"/>
          <w:lang w:val="en_US" w:bidi="en_US"/>
        </w:rPr>
        <w:t>(incl)</w:t>
      </w:r>
      <w:r>
        <w:rPr>
          <w:lang w:val="en_US" w:bidi="en_US"/>
        </w:rPr>
        <w:t xml:space="preserve"> say, ‘It was </w:t>
      </w:r>
      <w:r>
        <w:rPr>
          <w:lang w:val="en_US" w:bidi="en_US"/>
        </w:rPr>
        <w:t>merely</w:t>
      </w:r>
      <w:r>
        <w:rPr>
          <w:lang w:val="en_US" w:bidi="en_US"/>
        </w:rPr>
        <w:t xml:space="preserve"> from people,’</w:t>
      </w:r>
    </w:p>
    <w:p>
      <w:pPr>
        <w:pStyle w:val="ListBullet"/>
        <w:spacing w:line="240" w:lineRule="auto"/>
        <w:ind w:left="720"/>
      </w:pPr>
      <w:r>
        <w:rPr>
          <w:lang w:val="en_US" w:bidi="en_US"/>
        </w:rPr>
      </w:r>
      <w:r>
        <w:rPr>
          <w:lang w:val="en_US" w:bidi="en_US"/>
        </w:rPr>
        <w:t>But suppose we</w:t>
      </w:r>
      <w:r>
        <w:rPr>
          <w:vertAlign w:val="superscript"/>
          <w:lang w:val="en_US" w:bidi="en_US"/>
        </w:rPr>
        <w:t>(incl)</w:t>
      </w:r>
      <w:r>
        <w:rPr>
          <w:lang w:val="en_US" w:bidi="en_US"/>
        </w:rPr>
        <w:t xml:space="preserve"> answer </w:t>
      </w:r>
      <w:r>
        <w:rPr>
          <w:lang w:val="en_US" w:bidi="en_US"/>
        </w:rPr>
        <w:t>Jesus</w:t>
      </w:r>
      <w:r>
        <w:rPr>
          <w:lang w:val="en_US" w:bidi="en_US"/>
        </w:rPr>
        <w:t>, ‘</w:t>
      </w:r>
      <w:r>
        <w:rPr>
          <w:lang w:val="en_US" w:bidi="en_US"/>
        </w:rPr>
        <w:t>John got his authority</w:t>
      </w:r>
      <w:r>
        <w:rPr>
          <w:lang w:val="en_US" w:bidi="en_US"/>
        </w:rPr>
        <w:t xml:space="preserve"> from human beings.’</w:t>
      </w:r>
    </w:p>
    <w:p>
      <w:pPr>
        <w:pStyle w:val="ListBullet"/>
        <w:spacing w:line="240" w:lineRule="auto"/>
        <w:ind w:left="720"/>
      </w:pPr>
      <w:r>
        <w:rPr>
          <w:lang w:val="en_US" w:bidi="en_US"/>
        </w:rPr>
      </w:r>
      <w:r>
        <w:rPr>
          <w:lang w:val="en_US" w:bidi="en_US"/>
        </w:rPr>
        <w:t>Another/Others</w:t>
      </w:r>
      <w:r>
        <w:rPr>
          <w:lang w:val="en_US" w:bidi="en_US"/>
        </w:rPr>
        <w:t xml:space="preserve"> said, “We</w:t>
      </w:r>
      <w:r>
        <w:rPr>
          <w:vertAlign w:val="superscript"/>
          <w:lang w:val="en_US" w:bidi="en_US"/>
        </w:rPr>
        <w:t>(incl)</w:t>
      </w:r>
      <w:r>
        <w:rPr>
          <w:lang w:val="en_US" w:bidi="en_US"/>
        </w:rPr>
        <w:t xml:space="preserve"> could say </w:t>
      </w:r>
      <w:r>
        <w:rPr>
          <w:lang w:val="en_US" w:bidi="en_US"/>
        </w:rPr>
        <w:t>to Jesus</w:t>
      </w:r>
      <w:r>
        <w:rPr>
          <w:lang w:val="en_US" w:bidi="en_US"/>
        </w:rPr>
        <w:t xml:space="preserve"> that it was a human </w:t>
      </w:r>
      <w:r>
        <w:rPr>
          <w:lang w:val="en_US" w:bidi="en_US"/>
        </w:rPr>
        <w:t>idea</w:t>
      </w:r>
      <w:r>
        <w:rPr>
          <w:lang w:val="en_US" w:bidi="en_US"/>
        </w:rPr>
        <w:t xml:space="preserve">, God did not send </w:t>
      </w:r>
      <w:r>
        <w:rPr>
          <w:lang w:val="en_US" w:bidi="en_US"/>
        </w:rPr>
        <w:t>him/John to baptize people</w:t>
      </w:r>
      <w:r>
        <w:rPr>
          <w:lang w:val="en_US" w:bidi="en_US"/>
        </w:rPr>
        <w:t>,</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introduces another possible answer to Jesus’ question. This answer contrasts with the one in 20:5b. In some languages it may be more natural to use a different conjunction. For example:</w:t>
      </w:r>
    </w:p>
    <w:p>
      <w:pPr/>
      <w:r>
        <w:rPr>
          <w:lang w:val="en_US" w:bidi="en_US"/>
        </w:rPr>
      </w:r>
      <w:r>
        <w:rPr>
          <w:lang w:val="en_US" w:bidi="en_US"/>
        </w:rPr>
        <w:t>And</w:t>
      </w:r>
    </w:p>
    <w:p>
      <w:pPr/>
      <w:r>
        <w:rPr>
          <w:lang w:val="en_US" w:bidi="en_US"/>
        </w:rPr>
      </w:r>
      <w:r>
        <w:rPr>
          <w:lang w:val="en_US" w:bidi="en_US"/>
        </w:rPr>
        <w:t>Or</w:t>
      </w:r>
    </w:p>
    <w:p>
      <w:pPr/>
      <w:r>
        <w:rPr>
          <w:lang w:val="en_US" w:bidi="en_US"/>
        </w:rPr>
      </w:r>
      <w:r>
        <w:rPr>
          <w:lang w:val="en_US" w:bidi="en_US"/>
        </w:rPr>
        <w:t>In some languages a conjunction may not be needed. Translate the connection in a natural way in your language.</w:t>
      </w:r>
    </w:p>
    <w:p>
      <w:pPr/>
      <w:r>
        <w:rPr>
          <w:lang w:val="en_US" w:bidi="en_US"/>
        </w:rPr>
      </w:r>
      <w:r>
        <w:rPr>
          <w:b/>
          <w:lang w:val="en_US" w:bidi="en_US"/>
        </w:rPr>
        <w:t>if we say, ‘From men’:</w:t>
      </w:r>
      <w:r>
        <w:rPr>
          <w:lang w:val="en_US" w:bidi="en_US"/>
        </w:rPr>
        <w:t xml:space="preserve"> Here the phrase </w:t>
      </w:r>
      <w:r>
        <w:rPr>
          <w:i/>
          <w:lang w:val="en_US" w:bidi="en_US"/>
        </w:rPr>
        <w:t>From men</w:t>
      </w:r>
      <w:r>
        <w:rPr>
          <w:lang w:val="en_US" w:bidi="en_US"/>
        </w:rPr>
        <w:t xml:space="preserve"> has the same meaning as in 20:4. See how you translated it there. In this context the Jewish leaders were considering another possible answer to Jesus’ question. This was the answer that they really thought was true.</w:t>
      </w:r>
    </w:p>
    <w:p>
      <w:pPr/>
      <w:r>
        <w:rPr>
          <w:lang w:val="en_US" w:bidi="en_US"/>
        </w:rPr>
      </w:r>
      <w:r>
        <w:rPr>
          <w:lang w:val="en_US" w:bidi="en_US"/>
        </w:rPr>
        <w:t xml:space="preserve">The phrase </w:t>
      </w:r>
      <w:r>
        <w:rPr>
          <w:i/>
          <w:lang w:val="en_US" w:bidi="en_US"/>
        </w:rPr>
        <w:t>From men</w:t>
      </w:r>
      <w:r>
        <w:rPr>
          <w:lang w:val="en_US" w:bidi="en_US"/>
        </w:rPr>
        <w:t xml:space="preserve"> is another quote within a quote. Translate it in a natural way in your language. Other ways to do this in English are:</w:t>
      </w:r>
    </w:p>
    <w:p>
      <w:pPr/>
      <w:r>
        <w:rPr>
          <w:lang w:val="en_US" w:bidi="en_US"/>
        </w:rPr>
      </w:r>
      <w:r>
        <w:rPr>
          <w:lang w:val="en_US" w:bidi="en_US"/>
        </w:rPr>
        <w:t>if we say it was merely human (NLT)</w:t>
      </w:r>
    </w:p>
    <w:p>
      <w:pPr/>
      <w:r>
        <w:rPr>
          <w:lang w:val="en_US" w:bidi="en_US"/>
        </w:rPr>
      </w:r>
      <w:r>
        <w:rPr>
          <w:lang w:val="en_US" w:bidi="en_US"/>
        </w:rPr>
        <w:t xml:space="preserve">Suppose we say </w:t>
      </w:r>
      <w:r>
        <w:rPr>
          <w:lang w:val="en_US" w:bidi="en_US"/>
        </w:rPr>
        <w:t>that the baptizing that John did was merely a</w:t>
      </w:r>
      <w:r>
        <w:rPr>
          <w:lang w:val="en_US" w:bidi="en_US"/>
        </w:rPr>
        <w:t xml:space="preserve"> human </w:t>
      </w:r>
      <w:r>
        <w:rPr>
          <w:lang w:val="en_US" w:bidi="en_US"/>
        </w:rPr>
        <w:t>idea</w:t>
      </w:r>
    </w:p>
    <w:p>
      <w:pPr/>
      <w:r>
        <w:rPr>
          <w:lang w:val="en_US" w:bidi="en_US"/>
        </w:rPr>
      </w:r>
      <w:r>
        <w:rPr>
          <w:lang w:val="en_US" w:bidi="en_US"/>
        </w:rPr>
        <w:t>if we say, “Of human origin” (NRSV)</w:t>
      </w:r>
    </w:p>
    <w:p>
      <w:pPr>
        <w:pStyle w:val="Heading5"/>
      </w:pPr>
      <w:r>
        <w:rPr>
          <w:lang w:val="en_US" w:bidi="en_US"/>
        </w:rPr>
        <w:t>20:6b</w:t>
      </w:r>
    </w:p>
    <w:p>
      <w:pPr/>
      <w:r>
        <w:rPr>
          <w:lang w:val="en_US" w:bidi="en_US"/>
        </w:rPr>
      </w:r>
      <w:r>
        <w:rPr>
          <w:b/>
          <w:lang w:val="en_US" w:bidi="en_US"/>
        </w:rPr>
        <w:t>all the people will stone us,</w:t>
      </w:r>
    </w:p>
    <w:p>
      <w:pPr>
        <w:pStyle w:val="ListBullet"/>
        <w:spacing w:line="240" w:lineRule="auto"/>
        <w:ind w:left="720"/>
      </w:pPr>
      <w:r>
        <w:rPr>
          <w:lang w:val="en_US" w:bidi="en_US"/>
        </w:rPr>
      </w:r>
      <w:r>
        <w:rPr>
          <w:lang w:val="en_US" w:bidi="en_US"/>
        </w:rPr>
        <w:t xml:space="preserve">then everyone </w:t>
      </w:r>
      <w:r>
        <w:rPr>
          <w:lang w:val="en_US" w:bidi="en_US"/>
        </w:rPr>
        <w:t>else</w:t>
      </w:r>
      <w:r>
        <w:rPr>
          <w:lang w:val="en_US" w:bidi="en_US"/>
        </w:rPr>
        <w:t xml:space="preserve"> will </w:t>
      </w:r>
      <w:r>
        <w:rPr>
          <w:lang w:val="en_US" w:bidi="en_US"/>
        </w:rPr>
        <w:t>kill us</w:t>
      </w:r>
      <w:r>
        <w:rPr>
          <w:vertAlign w:val="superscript"/>
          <w:lang w:val="en_US" w:bidi="en_US"/>
        </w:rPr>
        <w:t>(incl)</w:t>
      </w:r>
      <w:r>
        <w:rPr>
          <w:lang w:val="en_US" w:bidi="en_US"/>
        </w:rPr>
        <w:t xml:space="preserve"> </w:t>
      </w:r>
      <w:r>
        <w:rPr>
          <w:lang w:val="en_US" w:bidi="en_US"/>
        </w:rPr>
        <w:t>by</w:t>
      </w:r>
      <w:r>
        <w:rPr>
          <w:lang w:val="en_US" w:bidi="en_US"/>
        </w:rPr>
        <w:t xml:space="preserve"> throwing stones at us,</w:t>
      </w:r>
    </w:p>
    <w:p>
      <w:pPr>
        <w:pStyle w:val="ListBullet"/>
        <w:spacing w:line="240" w:lineRule="auto"/>
        <w:ind w:left="720"/>
      </w:pPr>
      <w:r>
        <w:rPr>
          <w:lang w:val="en_US" w:bidi="en_US"/>
        </w:rPr>
      </w:r>
      <w:r>
        <w:rPr>
          <w:lang w:val="en_US" w:bidi="en_US"/>
        </w:rPr>
        <w:t xml:space="preserve">Then all </w:t>
      </w:r>
      <w:r>
        <w:rPr>
          <w:lang w:val="en_US" w:bidi="en_US"/>
        </w:rPr>
        <w:t>our</w:t>
      </w:r>
      <w:r>
        <w:rPr>
          <w:vertAlign w:val="superscript"/>
          <w:lang w:val="en_US" w:bidi="en_US"/>
        </w:rPr>
        <w:t>(incl)</w:t>
      </w:r>
      <w:r>
        <w:rPr>
          <w:lang w:val="en_US" w:bidi="en_US"/>
        </w:rPr>
        <w:t xml:space="preserve"> </w:t>
      </w:r>
      <w:r>
        <w:rPr>
          <w:lang w:val="en_US" w:bidi="en_US"/>
        </w:rPr>
        <w:t>fellow Jews</w:t>
      </w:r>
      <w:r>
        <w:rPr>
          <w:lang w:val="en_US" w:bidi="en_US"/>
        </w:rPr>
        <w:t xml:space="preserve"> will be so angry that they will stone us </w:t>
      </w:r>
      <w:r>
        <w:rPr>
          <w:lang w:val="en_US" w:bidi="en_US"/>
        </w:rPr>
        <w:t>to death</w:t>
      </w:r>
      <w:r>
        <w:rPr>
          <w:lang w:val="en_US" w:bidi="en_US"/>
        </w:rPr>
        <w:t>.</w:t>
      </w:r>
    </w:p>
    <w:p>
      <w:pPr>
        <w:pStyle w:val="ListBullet"/>
        <w:spacing w:line="240" w:lineRule="auto"/>
        <w:ind w:left="720"/>
      </w:pPr>
      <w:r>
        <w:rPr>
          <w:lang w:val="en_US" w:bidi="en_US"/>
        </w:rPr>
      </w:r>
      <w:r>
        <w:rPr>
          <w:lang w:val="en_US" w:bidi="en_US"/>
        </w:rPr>
        <w:t>but if we</w:t>
      </w:r>
      <w:r>
        <w:rPr>
          <w:vertAlign w:val="superscript"/>
          <w:lang w:val="en_US" w:bidi="en_US"/>
        </w:rPr>
        <w:t>(incl)</w:t>
      </w:r>
      <w:r>
        <w:rPr>
          <w:lang w:val="en_US" w:bidi="en_US"/>
        </w:rPr>
        <w:t xml:space="preserve"> </w:t>
      </w:r>
      <w:r>
        <w:rPr>
          <w:lang w:val="en_US" w:bidi="en_US"/>
        </w:rPr>
        <w:t>say that,</w:t>
      </w:r>
      <w:r>
        <w:rPr>
          <w:lang w:val="en_US" w:bidi="en_US"/>
        </w:rPr>
        <w:t xml:space="preserve"> the people </w:t>
      </w:r>
      <w:r>
        <w:rPr>
          <w:lang w:val="en_US" w:bidi="en_US"/>
        </w:rPr>
        <w:t>of our nation</w:t>
      </w:r>
      <w:r>
        <w:rPr>
          <w:lang w:val="en_US" w:bidi="en_US"/>
        </w:rPr>
        <w:t xml:space="preserve"> will </w:t>
      </w:r>
      <w:r>
        <w:rPr>
          <w:lang w:val="en_US" w:bidi="en_US"/>
        </w:rPr>
        <w:t>kill us by throwing</w:t>
      </w:r>
      <w:r>
        <w:rPr>
          <w:lang w:val="en_US" w:bidi="en_US"/>
        </w:rPr>
        <w:t xml:space="preserve"> stones at us.</w:t>
      </w:r>
    </w:p>
    <w:p>
      <w:pPr/>
      <w:r>
        <w:rPr>
          <w:lang w:val="en_US" w:bidi="en_US"/>
        </w:rPr>
      </w:r>
      <w:r>
        <w:rPr>
          <w:b/>
          <w:lang w:val="en_US" w:bidi="en_US"/>
        </w:rPr>
        <w:t>all the people will stone us:</w:t>
      </w:r>
      <w:r>
        <w:rPr>
          <w:lang w:val="en_US" w:bidi="en_US"/>
        </w:rPr>
        <w:t xml:space="preserve"> The Law of Moses said that if people spoke against a prophet of God, they must be put to death. The other people must throw stones at them until they died. See also 13:34b. The Jewish leaders were afraid to say that John’s baptism was only a human ritual and not from God. They were afraid that the other Jews would stone them to death. Some other ways to translate this are:</w:t>
      </w:r>
    </w:p>
    <w:p>
      <w:pPr/>
      <w:r>
        <w:rPr>
          <w:lang w:val="en_US" w:bidi="en_US"/>
        </w:rPr>
      </w:r>
      <w:r>
        <w:rPr>
          <w:lang w:val="en_US" w:bidi="en_US"/>
        </w:rPr>
        <w:t xml:space="preserve">The </w:t>
      </w:r>
      <w:r>
        <w:rPr>
          <w:lang w:val="en_US" w:bidi="en_US"/>
        </w:rPr>
        <w:t>other</w:t>
      </w:r>
      <w:r>
        <w:rPr>
          <w:lang w:val="en_US" w:bidi="en_US"/>
        </w:rPr>
        <w:t xml:space="preserve"> people will throw stones at us until we die.</w:t>
      </w:r>
    </w:p>
    <w:p>
      <w:pPr/>
      <w:r>
        <w:rPr>
          <w:lang w:val="en_US" w:bidi="en_US"/>
        </w:rPr>
      </w:r>
      <w:r>
        <w:rPr>
          <w:lang w:val="en_US" w:bidi="en_US"/>
        </w:rPr>
        <w:t>the people…will throw stones at us and kill us</w:t>
      </w:r>
      <w:r>
        <w:rPr>
          <w:lang w:val="en_US" w:bidi="en_US"/>
        </w:rPr>
        <w:t>Western Bukidnon Manobo Back Translation on TW.</w:t>
      </w:r>
    </w:p>
    <w:p>
      <w:pPr/>
      <w:r>
        <w:rPr>
          <w:lang w:val="en_US" w:bidi="en_US"/>
        </w:rPr>
      </w:r>
      <w:r>
        <w:rPr>
          <w:b/>
          <w:lang w:val="en_US" w:bidi="en_US"/>
        </w:rPr>
        <w:t>all the people:</w:t>
      </w:r>
      <w:r>
        <w:rPr>
          <w:lang w:val="en_US" w:bidi="en_US"/>
        </w:rPr>
        <w:t xml:space="preserve"> The Greek phrase that the BSB translates as </w:t>
      </w:r>
      <w:r>
        <w:rPr>
          <w:i/>
          <w:lang w:val="en_US" w:bidi="en_US"/>
        </w:rPr>
        <w:t>the people</w:t>
      </w:r>
      <w:r>
        <w:rPr>
          <w:lang w:val="en_US" w:bidi="en_US"/>
        </w:rPr>
        <w:t xml:space="preserve"> was the way that the Jewish people referred to themselves. Here it indicates that the Jewish leaders were referring to their fellow Jewish people. In some languages it may be helpful to make this explicit. For example:</w:t>
      </w:r>
    </w:p>
    <w:p>
      <w:pPr/>
      <w:r>
        <w:rPr>
          <w:lang w:val="en_US" w:bidi="en_US"/>
        </w:rPr>
      </w:r>
      <w:r>
        <w:rPr>
          <w:lang w:val="en_US" w:bidi="en_US"/>
        </w:rPr>
        <w:t xml:space="preserve">all </w:t>
      </w:r>
      <w:r>
        <w:rPr>
          <w:lang w:val="en_US" w:bidi="en_US"/>
        </w:rPr>
        <w:t>our fellow</w:t>
      </w:r>
      <w:r>
        <w:rPr>
          <w:lang w:val="en_US" w:bidi="en_US"/>
        </w:rPr>
        <w:t xml:space="preserve"> Jews</w:t>
      </w:r>
    </w:p>
    <w:p>
      <w:pPr>
        <w:pStyle w:val="Heading5"/>
      </w:pPr>
      <w:r>
        <w:rPr>
          <w:lang w:val="en_US" w:bidi="en_US"/>
        </w:rPr>
        <w:t>20:6c</w:t>
      </w:r>
    </w:p>
    <w:p>
      <w:pPr/>
      <w:r>
        <w:rPr>
          <w:lang w:val="en_US" w:bidi="en_US"/>
        </w:rPr>
      </w:r>
      <w:r>
        <w:rPr>
          <w:b/>
          <w:lang w:val="en_US" w:bidi="en_US"/>
        </w:rPr>
        <w:t>for they are convinced that John was a prophet.”</w:t>
      </w:r>
    </w:p>
    <w:p>
      <w:pPr>
        <w:pStyle w:val="ListBullet"/>
        <w:spacing w:line="240" w:lineRule="auto"/>
        <w:ind w:left="720"/>
      </w:pPr>
      <w:r>
        <w:rPr>
          <w:lang w:val="en_US" w:bidi="en_US"/>
        </w:rPr>
      </w:r>
      <w:r>
        <w:rPr>
          <w:lang w:val="en_US" w:bidi="en_US"/>
        </w:rPr>
        <w:t>because they are convinced that John was a prophet.”</w:t>
      </w:r>
    </w:p>
    <w:p>
      <w:pPr>
        <w:pStyle w:val="ListBullet"/>
        <w:spacing w:line="240" w:lineRule="auto"/>
        <w:ind w:left="720"/>
      </w:pPr>
      <w:r>
        <w:rPr>
          <w:lang w:val="en_US" w:bidi="en_US"/>
        </w:rPr>
      </w:r>
      <w:r>
        <w:rPr>
          <w:lang w:val="en_US" w:bidi="en_US"/>
        </w:rPr>
        <w:t xml:space="preserve">They firmly believe that John spoke as a prophet </w:t>
      </w:r>
      <w:r>
        <w:rPr>
          <w:lang w:val="en_US" w:bidi="en_US"/>
        </w:rPr>
        <w:t>with God’s authority</w:t>
      </w:r>
      <w:r>
        <w:rPr>
          <w:lang w:val="en_US" w:bidi="en_US"/>
        </w:rPr>
        <w:t>.”</w:t>
      </w:r>
    </w:p>
    <w:p>
      <w:pPr>
        <w:pStyle w:val="ListBullet"/>
        <w:spacing w:line="240" w:lineRule="auto"/>
        <w:ind w:left="720"/>
      </w:pPr>
      <w:r>
        <w:rPr>
          <w:lang w:val="en_US" w:bidi="en_US"/>
        </w:rPr>
      </w:r>
      <w:r>
        <w:rPr>
          <w:lang w:val="en_US" w:bidi="en_US"/>
        </w:rPr>
        <w:t xml:space="preserve">For they are certain/sure that John was a spokesman/message-speaker </w:t>
      </w:r>
      <w:r>
        <w:rPr>
          <w:lang w:val="en_US" w:bidi="en_US"/>
        </w:rPr>
        <w:t>for God</w:t>
      </w:r>
      <w:r>
        <w:rPr>
          <w:lang w:val="en_US" w:bidi="en_US"/>
        </w:rPr>
        <w:t>.”</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introduces the reason why the Jewish leaders believed that the crowd would stone them. In some languages it may be more natural to change the order of this reason and put it before the result in 20:8b. See the General Comment on 20:6a–c below for an example.</w:t>
      </w:r>
    </w:p>
    <w:p>
      <w:pPr/>
      <w:r>
        <w:rPr>
          <w:lang w:val="en_US" w:bidi="en_US"/>
        </w:rPr>
      </w:r>
      <w:r>
        <w:rPr>
          <w:b/>
          <w:lang w:val="en_US" w:bidi="en_US"/>
        </w:rPr>
        <w:t>they are convinced that John was a prophet:</w:t>
      </w:r>
      <w:r>
        <w:rPr>
          <w:lang w:val="en_US" w:bidi="en_US"/>
        </w:rPr>
        <w:t xml:space="preserve"> The phrase </w:t>
      </w:r>
      <w:r>
        <w:rPr>
          <w:i/>
          <w:lang w:val="en_US" w:bidi="en_US"/>
        </w:rPr>
        <w:t>they are convinced</w:t>
      </w:r>
      <w:r>
        <w:rPr>
          <w:lang w:val="en_US" w:bidi="en_US"/>
        </w:rPr>
        <w:t xml:space="preserve"> indicates here that the people were sure that John was a prophet. They firmly believed that he was speaking words from God. In this context the Jewish leaders implied that the people believed that John’s authority came from God. God had sent him to preach and to baptize people. Some other ways to translate this are:</w:t>
      </w:r>
    </w:p>
    <w:p>
      <w:pPr/>
      <w:r>
        <w:rPr>
          <w:lang w:val="en_US" w:bidi="en_US"/>
        </w:rPr>
      </w:r>
      <w:r>
        <w:rPr>
          <w:lang w:val="en_US" w:bidi="en_US"/>
        </w:rPr>
        <w:t>they totally believe that John was a prophet</w:t>
      </w:r>
    </w:p>
    <w:p>
      <w:pPr/>
      <w:r>
        <w:rPr>
          <w:lang w:val="en_US" w:bidi="en_US"/>
        </w:rPr>
      </w:r>
      <w:r>
        <w:rPr>
          <w:lang w:val="en_US" w:bidi="en_US"/>
        </w:rPr>
        <w:t>they believe that John was really a prophet from God</w:t>
      </w:r>
    </w:p>
    <w:p>
      <w:pPr/>
      <w:r>
        <w:rPr>
          <w:lang w:val="en_US" w:bidi="en_US"/>
        </w:rPr>
      </w:r>
      <w:r>
        <w:rPr>
          <w:lang w:val="en_US" w:bidi="en_US"/>
        </w:rPr>
        <w:t>In some languages it may be more natural to use direct speech to express what the people believed. For example:</w:t>
      </w:r>
    </w:p>
    <w:p>
      <w:pPr/>
      <w:r>
        <w:rPr>
          <w:lang w:val="en_US" w:bidi="en_US"/>
        </w:rPr>
      </w:r>
      <w:r>
        <w:rPr>
          <w:lang w:val="en_US" w:bidi="en_US"/>
        </w:rPr>
        <w:t>they all say, “John was a prophet.”</w:t>
      </w:r>
    </w:p>
    <w:p>
      <w:pPr/>
      <w:r>
        <w:rPr>
          <w:lang w:val="en_US" w:bidi="en_US"/>
        </w:rPr>
      </w:r>
      <w:r>
        <w:rPr>
          <w:b/>
          <w:lang w:val="en_US" w:bidi="en_US"/>
        </w:rPr>
        <w:t>a prophet:</w:t>
      </w:r>
      <w:r>
        <w:rPr>
          <w:lang w:val="en_US" w:bidi="en_US"/>
        </w:rPr>
        <w:t xml:space="preserve"> A </w:t>
      </w:r>
      <w:r>
        <w:rPr>
          <w:i/>
          <w:lang w:val="en_US" w:bidi="en_US"/>
        </w:rPr>
        <w:t>prophet</w:t>
      </w:r>
      <w:r>
        <w:rPr>
          <w:lang w:val="en_US" w:bidi="en_US"/>
        </w:rPr>
        <w:t xml:space="preserve"> is a man who speaks on behalf of God. He tells people what God reveals to him. Some other ways to translate </w:t>
      </w:r>
      <w:r>
        <w:rPr>
          <w:i/>
          <w:lang w:val="en_US" w:bidi="en_US"/>
        </w:rPr>
        <w:t>prophet</w:t>
      </w:r>
      <w:r>
        <w:rPr>
          <w:lang w:val="en_US" w:bidi="en_US"/>
        </w:rPr>
        <w:t xml:space="preserve"> in this context are:</w:t>
      </w:r>
    </w:p>
    <w:p>
      <w:pPr/>
      <w:r>
        <w:rPr>
          <w:lang w:val="en_US" w:bidi="en_US"/>
        </w:rPr>
      </w:r>
      <w:r>
        <w:rPr>
          <w:lang w:val="en_US" w:bidi="en_US"/>
        </w:rPr>
        <w:t>a spokesman for God</w:t>
      </w:r>
    </w:p>
    <w:p>
      <w:pPr/>
      <w:r>
        <w:rPr>
          <w:lang w:val="en_US" w:bidi="en_US"/>
        </w:rPr>
      </w:r>
      <w:r>
        <w:rPr>
          <w:lang w:val="en_US" w:bidi="en_US"/>
        </w:rPr>
        <w:t>God’s message-speaker</w:t>
      </w:r>
    </w:p>
    <w:p>
      <w:pPr/>
      <w:r>
        <w:rPr>
          <w:lang w:val="en_US" w:bidi="en_US"/>
        </w:rPr>
      </w:r>
      <w:r>
        <w:rPr>
          <w:lang w:val="en_US" w:bidi="en_US"/>
        </w:rPr>
        <w:t>a person who speaks with God’s authority</w:t>
      </w:r>
    </w:p>
    <w:p>
      <w:pPr/>
      <w:r>
        <w:rPr>
          <w:lang w:val="en_US" w:bidi="en_US"/>
        </w:rPr>
      </w:r>
      <w:r>
        <w:rPr>
          <w:lang w:val="en_US" w:bidi="en_US"/>
        </w:rPr>
        <w:t>In 1:76 John’s father spoke about John saying that he would be a prophet of God. See how you translated prophet there. See also prophet in the Glossary.</w:t>
      </w:r>
    </w:p>
    <w:p>
      <w:pPr>
        <w:pStyle w:val="Heading6"/>
      </w:pPr>
      <w:r>
        <w:rPr>
          <w:b/>
          <w:lang w:val="en_US" w:bidi="en_US"/>
        </w:rPr>
        <w:t>General Comment on 20:6a–c</w:t>
      </w:r>
    </w:p>
    <w:p>
      <w:pPr/>
      <w:r>
        <w:rPr>
          <w:lang w:val="en_US" w:bidi="en_US"/>
        </w:rPr>
      </w:r>
      <w:r>
        <w:rPr>
          <w:lang w:val="en_US" w:bidi="en_US"/>
        </w:rPr>
        <w:t>In some languages it may be helpful to reorder the clauses in this verse. For example:</w:t>
      </w:r>
    </w:p>
    <w:p>
      <w:pPr/>
      <w:r>
        <w:rPr>
          <w:lang w:val="en_US" w:bidi="en_US"/>
        </w:rPr>
      </w:r>
      <w:r>
        <w:rPr>
          <w:vertAlign w:val="superscript"/>
          <w:lang w:val="en_US" w:bidi="en_US"/>
        </w:rPr>
        <w:t>6c</w:t>
      </w:r>
      <w:r>
        <w:rPr>
          <w:lang w:val="en_US" w:bidi="en_US"/>
        </w:rPr>
        <w:t xml:space="preserve">All the people regard John as a prophet, </w:t>
      </w:r>
      <w:r>
        <w:rPr>
          <w:vertAlign w:val="superscript"/>
          <w:lang w:val="en_US" w:bidi="en_US"/>
        </w:rPr>
        <w:t>6b</w:t>
      </w:r>
      <w:r>
        <w:rPr>
          <w:lang w:val="en_US" w:bidi="en_US"/>
        </w:rPr>
        <w:t xml:space="preserve">so they will stone us </w:t>
      </w:r>
      <w:r>
        <w:rPr>
          <w:vertAlign w:val="superscript"/>
          <w:lang w:val="en_US" w:bidi="en_US"/>
        </w:rPr>
        <w:t>6a</w:t>
      </w:r>
      <w:r>
        <w:rPr>
          <w:lang w:val="en_US" w:bidi="en_US"/>
        </w:rPr>
        <w:t xml:space="preserve">if we say that John got his authority to baptize from human beings </w:t>
      </w:r>
      <w:r>
        <w:rPr>
          <w:lang w:val="en_US" w:bidi="en_US"/>
        </w:rPr>
        <w:t>alone</w:t>
      </w:r>
      <w:r>
        <w:rPr>
          <w:lang w:val="en_US" w:bidi="en_US"/>
        </w:rPr>
        <w:t>.</w:t>
      </w:r>
      <w:r>
        <w:rPr>
          <w:lang w:val="en_US" w:bidi="en_US"/>
        </w:rPr>
      </w:r>
      <w:r>
        <w:rPr>
          <w:lang w:val="en_US" w:bidi="en_US"/>
        </w:rPr>
      </w:r>
    </w:p>
    <w:p>
      <w:pPr/>
      <w:r>
        <w:rPr>
          <w:lang w:val="en_US" w:bidi="en_US"/>
        </w:rPr>
      </w:r>
    </w:p>
    <w:p>
      <w:pPr>
        <w:pStyle w:val="Heading2"/>
      </w:pPr>
      <w:r>
        <w:rPr>
          <w:lang w:val="en_US" w:bidi="en_US"/>
        </w:rPr>
        <w:t>Luke 20:7</w:t>
      </w:r>
      <w:r>
        <w:rPr>
          <w:lang w:val="en_US" w:bidi="en_US"/>
        </w:rPr>
      </w:r>
    </w:p>
    <w:p>
      <w:pPr>
        <w:pStyle w:val="Heading4"/>
      </w:pPr>
      <w:r>
        <w:rPr>
          <w:lang w:val="en_US" w:bidi="en_US"/>
        </w:rPr>
        <w:t>Section 20:1–8: The Jewish leaders challenged Jesus’ authority</w:t>
      </w:r>
    </w:p>
    <w:p>
      <w:pPr/>
      <w:r>
        <w:rPr>
          <w:lang w:val="en_US" w:bidi="en_US"/>
        </w:rPr>
      </w:r>
      <w:r>
        <w:rPr>
          <w:lang w:val="en_US" w:bidi="en_US"/>
        </w:rPr>
        <w:t>In this paragraph the Jewish leaders asked Jesus what authority he had to do the things that he had been doing. They implied by their question in 20:2 that God had not authorized Jesus to do and say what he did.</w:t>
      </w:r>
    </w:p>
    <w:p>
      <w:pPr/>
      <w:r>
        <w:rPr>
          <w:lang w:val="en_US" w:bidi="en_US"/>
        </w:rPr>
      </w:r>
      <w:r>
        <w:rPr>
          <w:lang w:val="en_US" w:bidi="en_US"/>
        </w:rPr>
        <w:t>Jesus replied by asking the leaders who gave John the Baptizer his authority. His question implied that both he and John got their authority from God. The leaders did not want to admit that God had given John his authority, because they did not believe John’s teaching. But they did not want to say that his authority was only from human beings, because they were afraid that the people would stone them. So they said that they did not know where John’s authority came from.</w:t>
      </w:r>
    </w:p>
    <w:p>
      <w:pPr/>
      <w:r>
        <w:rPr>
          <w:lang w:val="en_US" w:bidi="en_US"/>
        </w:rPr>
      </w:r>
      <w:r>
        <w:rPr>
          <w:lang w:val="en_US" w:bidi="en_US"/>
        </w:rPr>
        <w:t>Because the leaders refused to say what they believed about John, Jesus also said that he would not tell them about his own authority. He knew that they would not accept his answer, because they were questioning him with evil motives. However, in Section 20:9–19, he revealed the answer in a parable.</w:t>
      </w:r>
    </w:p>
    <w:p>
      <w:pPr/>
      <w:r>
        <w:rPr>
          <w:lang w:val="en_US" w:bidi="en_US"/>
        </w:rPr>
      </w:r>
      <w:r>
        <w:rPr>
          <w:lang w:val="en_US" w:bidi="en_US"/>
        </w:rPr>
        <w:t>Examples of headings for this section are:</w:t>
      </w:r>
    </w:p>
    <w:p>
      <w:pPr/>
      <w:r>
        <w:rPr>
          <w:lang w:val="en_US" w:bidi="en_US"/>
        </w:rPr>
      </w:r>
      <w:r>
        <w:rPr>
          <w:lang w:val="en_US" w:bidi="en_US"/>
        </w:rPr>
        <w:t>The Authority of Jesus Questioned (NIV)</w:t>
      </w:r>
    </w:p>
    <w:p>
      <w:pPr/>
      <w:r>
        <w:rPr>
          <w:lang w:val="en_US" w:bidi="en_US"/>
        </w:rPr>
      </w:r>
      <w:r>
        <w:rPr>
          <w:lang w:val="en_US" w:bidi="en_US"/>
        </w:rPr>
        <w:t>The Jewish leaders did not believe that Jesus came with God’s authority</w:t>
      </w:r>
    </w:p>
    <w:p>
      <w:pPr/>
      <w:r>
        <w:rPr>
          <w:lang w:val="en_US" w:bidi="en_US"/>
        </w:rPr>
      </w:r>
      <w:r>
        <w:rPr>
          <w:lang w:val="en_US" w:bidi="en_US"/>
        </w:rPr>
        <w:t>Jewish Leaders Question Jesus (NCV)</w:t>
      </w:r>
    </w:p>
    <w:p>
      <w:pPr/>
      <w:r>
        <w:rPr>
          <w:lang w:val="en_US" w:bidi="en_US"/>
        </w:rPr>
      </w:r>
      <w:r>
        <w:rPr>
          <w:lang w:val="en_US" w:bidi="en_US"/>
        </w:rPr>
        <w:t>There are parallel passages for this section in Matthew 21:23–27 and Mark 11:27–33.</w:t>
      </w:r>
    </w:p>
    <w:p>
      <w:pPr>
        <w:pStyle w:val="Heading5"/>
      </w:pPr>
      <w:r>
        <w:rPr>
          <w:lang w:val="en_US" w:bidi="en_US"/>
        </w:rPr>
        <w:t>20:7a</w:t>
      </w:r>
    </w:p>
    <w:p>
      <w:pPr/>
      <w:r>
        <w:rPr>
          <w:lang w:val="en_US" w:bidi="en_US"/>
        </w:rPr>
      </w:r>
      <w:r>
        <w:rPr>
          <w:b/>
          <w:lang w:val="en_US" w:bidi="en_US"/>
        </w:rPr>
        <w:t>So they answered that</w:t>
      </w:r>
    </w:p>
    <w:p>
      <w:pPr>
        <w:pStyle w:val="ListBullet"/>
        <w:spacing w:line="240" w:lineRule="auto"/>
        <w:ind w:left="720"/>
      </w:pPr>
      <w:r>
        <w:rPr>
          <w:lang w:val="en_US" w:bidi="en_US"/>
        </w:rPr>
      </w:r>
      <w:r>
        <w:rPr>
          <w:lang w:val="en_US" w:bidi="en_US"/>
        </w:rPr>
        <w:t xml:space="preserve">So/And they said </w:t>
      </w:r>
      <w:r>
        <w:rPr>
          <w:lang w:val="en_US" w:bidi="en_US"/>
        </w:rPr>
        <w:t>to Jesus</w:t>
      </w:r>
      <w:r>
        <w:rPr>
          <w:lang w:val="en_US" w:bidi="en_US"/>
        </w:rPr>
        <w:t>,</w:t>
      </w:r>
    </w:p>
    <w:p>
      <w:pPr>
        <w:pStyle w:val="ListBullet"/>
        <w:spacing w:line="240" w:lineRule="auto"/>
        <w:ind w:left="720"/>
      </w:pPr>
      <w:r>
        <w:rPr>
          <w:lang w:val="en_US" w:bidi="en_US"/>
        </w:rPr>
      </w:r>
      <w:r>
        <w:rPr>
          <w:lang w:val="en_US" w:bidi="en_US"/>
        </w:rPr>
        <w:t xml:space="preserve">When </w:t>
      </w:r>
      <w:r>
        <w:rPr>
          <w:lang w:val="en_US" w:bidi="en_US"/>
        </w:rPr>
        <w:t>they finished discussing it,</w:t>
      </w:r>
      <w:r>
        <w:rPr>
          <w:lang w:val="en_US" w:bidi="en_US"/>
        </w:rPr>
        <w:t xml:space="preserve"> they said,</w:t>
      </w:r>
    </w:p>
    <w:p>
      <w:pPr>
        <w:pStyle w:val="ListBullet"/>
        <w:spacing w:line="240" w:lineRule="auto"/>
        <w:ind w:left="720"/>
      </w:pPr>
      <w:r>
        <w:rPr>
          <w:lang w:val="en_US" w:bidi="en_US"/>
        </w:rPr>
      </w:r>
      <w:r>
        <w:rPr>
          <w:lang w:val="en_US" w:bidi="en_US"/>
        </w:rPr>
        <w:t>After their discussion/reasoning, they told Jesus</w:t>
      </w:r>
    </w:p>
    <w:p>
      <w:pPr/>
      <w:r>
        <w:rPr>
          <w:lang w:val="en_US" w:bidi="en_US"/>
        </w:rPr>
      </w:r>
      <w:r>
        <w:rPr>
          <w:b/>
          <w:lang w:val="en_US" w:bidi="en_US"/>
        </w:rPr>
        <w:t>So they answered that:</w:t>
      </w:r>
      <w:r>
        <w:rPr>
          <w:lang w:val="en_US" w:bidi="en_US"/>
        </w:rPr>
        <w:t xml:space="preserve"> The phrase </w:t>
      </w:r>
      <w:r>
        <w:rPr>
          <w:i/>
          <w:lang w:val="en_US" w:bidi="en_US"/>
        </w:rPr>
        <w:t>So they answered that</w:t>
      </w:r>
      <w:r>
        <w:rPr>
          <w:lang w:val="en_US" w:bidi="en_US"/>
        </w:rPr>
        <w:t xml:space="preserve"> introduces what the Jewish leaders concluded from their reasoning in 20:6. They told Jesus their conclusion in 20:7b. Introduce their answer to Jesus in a natural way in your language.</w:t>
      </w:r>
    </w:p>
    <w:p>
      <w:pPr>
        <w:pStyle w:val="Heading5"/>
      </w:pPr>
      <w:r>
        <w:rPr>
          <w:lang w:val="en_US" w:bidi="en_US"/>
        </w:rPr>
        <w:t>20:7b</w:t>
      </w:r>
    </w:p>
    <w:p>
      <w:pPr/>
      <w:r>
        <w:rPr>
          <w:lang w:val="en_US" w:bidi="en_US"/>
        </w:rPr>
      </w:r>
      <w:r>
        <w:rPr>
          <w:b/>
          <w:lang w:val="en_US" w:bidi="en_US"/>
        </w:rPr>
        <w:t>they did not know where it was from.</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do not know where </w:t>
      </w:r>
      <w:r>
        <w:rPr>
          <w:lang w:val="en_US" w:bidi="en_US"/>
        </w:rPr>
        <w:t>John’s authority/right to baptize people</w:t>
      </w:r>
      <w:r>
        <w:rPr>
          <w:lang w:val="en_US" w:bidi="en_US"/>
        </w:rPr>
        <w:t xml:space="preserve"> came from.”</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do not know who </w:t>
      </w:r>
      <w:r>
        <w:rPr>
          <w:lang w:val="en_US" w:bidi="en_US"/>
        </w:rPr>
        <w:t>authorized/sent John to baptize people</w:t>
      </w:r>
      <w:r>
        <w:rPr>
          <w:lang w:val="en_US" w:bidi="en_US"/>
        </w:rPr>
        <w:t>.”</w:t>
      </w:r>
    </w:p>
    <w:p>
      <w:pPr>
        <w:pStyle w:val="ListBullet"/>
        <w:spacing w:line="240" w:lineRule="auto"/>
        <w:ind w:left="720"/>
      </w:pPr>
      <w:r>
        <w:rPr>
          <w:lang w:val="en_US" w:bidi="en_US"/>
        </w:rPr>
      </w:r>
      <w:r>
        <w:rPr>
          <w:lang w:val="en_US" w:bidi="en_US"/>
        </w:rPr>
        <w:t xml:space="preserve">that they did not know who </w:t>
      </w:r>
      <w:r>
        <w:rPr>
          <w:lang w:val="en_US" w:bidi="en_US"/>
        </w:rPr>
        <w:t>had sent John to baptize people</w:t>
      </w:r>
      <w:r>
        <w:rPr>
          <w:lang w:val="en_US" w:bidi="en_US"/>
        </w:rPr>
        <w:t>.</w:t>
      </w:r>
    </w:p>
    <w:p>
      <w:pPr/>
      <w:r>
        <w:rPr>
          <w:lang w:val="en_US" w:bidi="en_US"/>
        </w:rPr>
      </w:r>
      <w:r>
        <w:rPr>
          <w:b/>
          <w:lang w:val="en_US" w:bidi="en_US"/>
        </w:rPr>
        <w:t>they did not know where it was from:</w:t>
      </w:r>
      <w:r>
        <w:rPr>
          <w:lang w:val="en_US" w:bidi="en_US"/>
        </w:rPr>
        <w:t xml:space="preserve"> The BSB translates this phrase as indirect speech. However, the Greek is more literally “We do not know from whence.” For example:</w:t>
      </w:r>
    </w:p>
    <w:p>
      <w:pPr/>
      <w:r>
        <w:rPr>
          <w:lang w:val="en_US" w:bidi="en_US"/>
        </w:rPr>
      </w:r>
      <w:r>
        <w:rPr>
          <w:lang w:val="en_US" w:bidi="en_US"/>
        </w:rPr>
        <w:t>We don’t know where it was from. (NIV)</w:t>
      </w:r>
    </w:p>
    <w:p>
      <w:pPr/>
      <w:r>
        <w:rPr>
          <w:lang w:val="en_US" w:bidi="en_US"/>
        </w:rPr>
      </w:r>
      <w:r>
        <w:rPr>
          <w:lang w:val="en_US" w:bidi="en_US"/>
        </w:rPr>
        <w:t>The Jewish leaders did not believe that John’s authority to baptize people was from God, and they were afraid to say that it was from people. So they simply said that they did not know where John’s authority to baptize came from.</w:t>
      </w:r>
    </w:p>
    <w:p>
      <w:pPr/>
      <w:r>
        <w:rPr>
          <w:lang w:val="en_US" w:bidi="en_US"/>
        </w:rPr>
      </w:r>
      <w:r>
        <w:rPr>
          <w:lang w:val="en_US" w:bidi="en_US"/>
        </w:rPr>
        <w:t xml:space="preserve">The word </w:t>
      </w:r>
      <w:r>
        <w:rPr>
          <w:i/>
          <w:lang w:val="en_US" w:bidi="en_US"/>
        </w:rPr>
        <w:t>it</w:t>
      </w:r>
      <w:r>
        <w:rPr>
          <w:lang w:val="en_US" w:bidi="en_US"/>
        </w:rPr>
        <w:t xml:space="preserve"> refers to John’s authority to baptize. In your translation, it may be necessary to make this explicit. For example:</w:t>
      </w:r>
    </w:p>
    <w:p>
      <w:pPr/>
      <w:r>
        <w:rPr>
          <w:lang w:val="en_US" w:bidi="en_US"/>
        </w:rPr>
      </w:r>
      <w:r>
        <w:rPr>
          <w:lang w:val="en_US" w:bidi="en_US"/>
        </w:rPr>
        <w:t>We</w:t>
      </w:r>
      <w:r>
        <w:rPr>
          <w:vertAlign w:val="superscript"/>
          <w:lang w:val="en_US" w:bidi="en_US"/>
        </w:rPr>
        <w:t>(excl)</w:t>
      </w:r>
      <w:r>
        <w:rPr>
          <w:lang w:val="en_US" w:bidi="en_US"/>
        </w:rPr>
        <w:t xml:space="preserve"> do not know where </w:t>
      </w:r>
      <w:r>
        <w:rPr>
          <w:lang w:val="en_US" w:bidi="en_US"/>
        </w:rPr>
        <w:t>John’s authority to baptize people</w:t>
      </w:r>
      <w:r>
        <w:rPr>
          <w:lang w:val="en_US" w:bidi="en_US"/>
        </w:rPr>
        <w:t xml:space="preserve"> came from.</w:t>
      </w:r>
    </w:p>
    <w:p>
      <w:pPr/>
      <w:r>
        <w:rPr>
          <w:lang w:val="en_US" w:bidi="en_US"/>
        </w:rPr>
      </w:r>
      <w:r>
        <w:rPr>
          <w:lang w:val="en_US" w:bidi="en_US"/>
        </w:rPr>
        <w:t xml:space="preserve">We do not know who sent John to baptize </w:t>
      </w:r>
      <w:r>
        <w:rPr>
          <w:lang w:val="en_US" w:bidi="en_US"/>
        </w:rPr>
        <w:t>people</w:t>
      </w:r>
      <w:r>
        <w:rPr>
          <w:lang w:val="en_US" w:bidi="en_US"/>
        </w:rPr>
        <w:t>.</w:t>
      </w:r>
      <w:r>
        <w:rPr>
          <w:lang w:val="en_US" w:bidi="en_US"/>
        </w:rPr>
      </w:r>
      <w:r>
        <w:rPr>
          <w:lang w:val="en_US" w:bidi="en_US"/>
        </w:rPr>
      </w:r>
    </w:p>
    <w:p>
      <w:pPr/>
      <w:r>
        <w:rPr>
          <w:lang w:val="en_US" w:bidi="en_US"/>
        </w:rPr>
      </w:r>
    </w:p>
    <w:p>
      <w:pPr>
        <w:pStyle w:val="Heading2"/>
      </w:pPr>
      <w:r>
        <w:rPr>
          <w:lang w:val="en_US" w:bidi="en_US"/>
        </w:rPr>
        <w:t>Luke 20:8</w:t>
      </w:r>
      <w:r>
        <w:rPr>
          <w:lang w:val="en_US" w:bidi="en_US"/>
        </w:rPr>
      </w:r>
    </w:p>
    <w:p>
      <w:pPr>
        <w:pStyle w:val="Heading4"/>
      </w:pPr>
      <w:r>
        <w:rPr>
          <w:lang w:val="en_US" w:bidi="en_US"/>
        </w:rPr>
        <w:t>Section 20:1–8: The Jewish leaders challenged Jesus’ authority</w:t>
      </w:r>
    </w:p>
    <w:p>
      <w:pPr/>
      <w:r>
        <w:rPr>
          <w:lang w:val="en_US" w:bidi="en_US"/>
        </w:rPr>
      </w:r>
      <w:r>
        <w:rPr>
          <w:lang w:val="en_US" w:bidi="en_US"/>
        </w:rPr>
        <w:t>In this paragraph the Jewish leaders asked Jesus what authority he had to do the things that he had been doing. They implied by their question in 20:2 that God had not authorized Jesus to do and say what he did.</w:t>
      </w:r>
    </w:p>
    <w:p>
      <w:pPr/>
      <w:r>
        <w:rPr>
          <w:lang w:val="en_US" w:bidi="en_US"/>
        </w:rPr>
      </w:r>
      <w:r>
        <w:rPr>
          <w:lang w:val="en_US" w:bidi="en_US"/>
        </w:rPr>
        <w:t>Jesus replied by asking the leaders who gave John the Baptizer his authority. His question implied that both he and John got their authority from God. The leaders did not want to admit that God had given John his authority, because they did not believe John’s teaching. But they did not want to say that his authority was only from human beings, because they were afraid that the people would stone them. So they said that they did not know where John’s authority came from.</w:t>
      </w:r>
    </w:p>
    <w:p>
      <w:pPr/>
      <w:r>
        <w:rPr>
          <w:lang w:val="en_US" w:bidi="en_US"/>
        </w:rPr>
      </w:r>
      <w:r>
        <w:rPr>
          <w:lang w:val="en_US" w:bidi="en_US"/>
        </w:rPr>
        <w:t>Because the leaders refused to say what they believed about John, Jesus also said that he would not tell them about his own authority. He knew that they would not accept his answer, because they were questioning him with evil motives. However, in Section 20:9–19, he revealed the answer in a parable.</w:t>
      </w:r>
    </w:p>
    <w:p>
      <w:pPr/>
      <w:r>
        <w:rPr>
          <w:lang w:val="en_US" w:bidi="en_US"/>
        </w:rPr>
      </w:r>
      <w:r>
        <w:rPr>
          <w:lang w:val="en_US" w:bidi="en_US"/>
        </w:rPr>
        <w:t>Examples of headings for this section are:</w:t>
      </w:r>
    </w:p>
    <w:p>
      <w:pPr/>
      <w:r>
        <w:rPr>
          <w:lang w:val="en_US" w:bidi="en_US"/>
        </w:rPr>
      </w:r>
      <w:r>
        <w:rPr>
          <w:lang w:val="en_US" w:bidi="en_US"/>
        </w:rPr>
        <w:t>The Authority of Jesus Questioned (NIV)</w:t>
      </w:r>
    </w:p>
    <w:p>
      <w:pPr/>
      <w:r>
        <w:rPr>
          <w:lang w:val="en_US" w:bidi="en_US"/>
        </w:rPr>
      </w:r>
      <w:r>
        <w:rPr>
          <w:lang w:val="en_US" w:bidi="en_US"/>
        </w:rPr>
        <w:t>The Jewish leaders did not believe that Jesus came with God’s authority</w:t>
      </w:r>
    </w:p>
    <w:p>
      <w:pPr/>
      <w:r>
        <w:rPr>
          <w:lang w:val="en_US" w:bidi="en_US"/>
        </w:rPr>
      </w:r>
      <w:r>
        <w:rPr>
          <w:lang w:val="en_US" w:bidi="en_US"/>
        </w:rPr>
        <w:t>Jewish Leaders Question Jesus (NCV)</w:t>
      </w:r>
    </w:p>
    <w:p>
      <w:pPr/>
      <w:r>
        <w:rPr>
          <w:lang w:val="en_US" w:bidi="en_US"/>
        </w:rPr>
      </w:r>
      <w:r>
        <w:rPr>
          <w:lang w:val="en_US" w:bidi="en_US"/>
        </w:rPr>
        <w:t>There are parallel passages for this section in Matthew 21:23–27 and Mark 11:27–33.</w:t>
      </w:r>
    </w:p>
    <w:p>
      <w:pPr>
        <w:pStyle w:val="Heading5"/>
      </w:pPr>
      <w:r>
        <w:rPr>
          <w:lang w:val="en_US" w:bidi="en_US"/>
        </w:rPr>
        <w:t>20:8a</w:t>
      </w:r>
    </w:p>
    <w:p>
      <w:pPr/>
      <w:r>
        <w:rPr>
          <w:lang w:val="en_US" w:bidi="en_US"/>
        </w:rPr>
      </w:r>
      <w:r>
        <w:rPr>
          <w:b/>
          <w:lang w:val="en_US" w:bidi="en_US"/>
        </w:rPr>
        <w:t>And Jesus replied, “Neither will I tell you</w:t>
      </w:r>
    </w:p>
    <w:p>
      <w:pPr>
        <w:pStyle w:val="ListBullet"/>
        <w:spacing w:line="240" w:lineRule="auto"/>
        <w:ind w:left="720"/>
      </w:pPr>
      <w:r>
        <w:rPr>
          <w:lang w:val="en_US" w:bidi="en_US"/>
        </w:rPr>
      </w:r>
      <w:r>
        <w:rPr>
          <w:lang w:val="en_US" w:bidi="en_US"/>
        </w:rPr>
        <w:t xml:space="preserve">And Jesus said </w:t>
      </w:r>
      <w:r>
        <w:rPr>
          <w:lang w:val="en_US" w:bidi="en_US"/>
        </w:rPr>
        <w:t>to them</w:t>
      </w:r>
      <w:r>
        <w:rPr>
          <w:lang w:val="en_US" w:bidi="en_US"/>
        </w:rPr>
        <w:t>, “Then I also will not tell you</w:t>
      </w:r>
      <w:r>
        <w:rPr>
          <w:vertAlign w:val="superscript"/>
          <w:lang w:val="en_US" w:bidi="en_US"/>
        </w:rPr>
        <w:t>(plur)</w:t>
      </w:r>
    </w:p>
    <w:p>
      <w:pPr>
        <w:pStyle w:val="ListBullet"/>
        <w:spacing w:line="240" w:lineRule="auto"/>
        <w:ind w:left="720"/>
      </w:pPr>
      <w:r>
        <w:rPr>
          <w:lang w:val="en_US" w:bidi="en_US"/>
        </w:rPr>
      </w:r>
      <w:r>
        <w:rPr>
          <w:lang w:val="en_US" w:bidi="en_US"/>
        </w:rPr>
        <w:t>Jesus replied, “</w:t>
      </w:r>
      <w:r>
        <w:rPr>
          <w:lang w:val="en_US" w:bidi="en_US"/>
        </w:rPr>
        <w:t>Because you</w:t>
      </w:r>
      <w:r>
        <w:rPr>
          <w:vertAlign w:val="superscript"/>
          <w:lang w:val="en_US" w:bidi="en_US"/>
        </w:rPr>
        <w:t>(plur)</w:t>
      </w:r>
      <w:r>
        <w:rPr>
          <w:lang w:val="en_US" w:bidi="en_US"/>
        </w:rPr>
        <w:t xml:space="preserve"> </w:t>
      </w:r>
      <w:r>
        <w:rPr>
          <w:lang w:val="en_US" w:bidi="en_US"/>
        </w:rPr>
        <w:t>did not answer me,</w:t>
      </w:r>
      <w:r>
        <w:rPr>
          <w:lang w:val="en_US" w:bidi="en_US"/>
        </w:rPr>
        <w:t xml:space="preserve"> I will not </w:t>
      </w:r>
      <w:r>
        <w:rPr>
          <w:lang w:val="en_US" w:bidi="en_US"/>
        </w:rPr>
        <w:t>answer you</w:t>
      </w:r>
      <w:r>
        <w:rPr>
          <w:lang w:val="en_US" w:bidi="en_US"/>
        </w:rPr>
        <w:t xml:space="preserve"> either. </w:t>
      </w:r>
      <w:r>
        <w:rPr>
          <w:lang w:val="en_US" w:bidi="en_US"/>
        </w:rPr>
        <w:t>I will not</w:t>
      </w:r>
      <w:r>
        <w:rPr>
          <w:lang w:val="en_US" w:bidi="en_US"/>
        </w:rPr>
        <w:t xml:space="preserve"> tell you</w:t>
      </w:r>
    </w:p>
    <w:p>
      <w:pPr>
        <w:pStyle w:val="ListBullet"/>
        <w:spacing w:line="240" w:lineRule="auto"/>
        <w:ind w:left="720"/>
      </w:pPr>
      <w:r>
        <w:rPr>
          <w:lang w:val="en_US" w:bidi="en_US"/>
        </w:rPr>
      </w:r>
      <w:r>
        <w:rPr>
          <w:lang w:val="en_US" w:bidi="en_US"/>
        </w:rPr>
        <w:t xml:space="preserve">And he/Jesus told them that </w:t>
      </w:r>
      <w:r>
        <w:rPr>
          <w:lang w:val="en_US" w:bidi="en_US"/>
        </w:rPr>
        <w:t>just as they did not answer his question</w:t>
      </w:r>
      <w:r>
        <w:rPr>
          <w:lang w:val="en_US" w:bidi="en_US"/>
        </w:rPr>
        <w:t>, so he would not tell them</w:t>
      </w:r>
    </w:p>
    <w:p>
      <w:pPr>
        <w:pStyle w:val="Heading5"/>
      </w:pPr>
      <w:r>
        <w:rPr>
          <w:lang w:val="en_US" w:bidi="en_US"/>
        </w:rPr>
        <w:t>20:8b</w:t>
      </w:r>
    </w:p>
    <w:p>
      <w:pPr/>
      <w:r>
        <w:rPr>
          <w:lang w:val="en_US" w:bidi="en_US"/>
        </w:rPr>
      </w:r>
      <w:r>
        <w:rPr>
          <w:b/>
          <w:lang w:val="en_US" w:bidi="en_US"/>
        </w:rPr>
        <w:t>by what authority I am doing these things.”</w:t>
      </w:r>
    </w:p>
    <w:p>
      <w:pPr>
        <w:pStyle w:val="ListBullet"/>
        <w:spacing w:line="240" w:lineRule="auto"/>
        <w:ind w:left="720"/>
      </w:pPr>
      <w:r>
        <w:rPr>
          <w:lang w:val="en_US" w:bidi="en_US"/>
        </w:rPr>
      </w:r>
      <w:r>
        <w:rPr>
          <w:lang w:val="en_US" w:bidi="en_US"/>
        </w:rPr>
        <w:t>where my authority came from to do these things.”</w:t>
      </w:r>
    </w:p>
    <w:p>
      <w:pPr>
        <w:pStyle w:val="ListBullet"/>
        <w:spacing w:line="240" w:lineRule="auto"/>
        <w:ind w:left="720"/>
      </w:pPr>
      <w:r>
        <w:rPr>
          <w:lang w:val="en_US" w:bidi="en_US"/>
        </w:rPr>
      </w:r>
      <w:r>
        <w:rPr>
          <w:lang w:val="en_US" w:bidi="en_US"/>
        </w:rPr>
        <w:t>who authorized me to do what I have been doing.”</w:t>
      </w:r>
    </w:p>
    <w:p>
      <w:pPr>
        <w:pStyle w:val="ListBullet"/>
        <w:spacing w:line="240" w:lineRule="auto"/>
        <w:ind w:left="720"/>
      </w:pPr>
      <w:r>
        <w:rPr>
          <w:lang w:val="en_US" w:bidi="en_US"/>
        </w:rPr>
      </w:r>
      <w:r>
        <w:rPr>
          <w:lang w:val="en_US" w:bidi="en_US"/>
        </w:rPr>
        <w:t xml:space="preserve">who had sent him to do the things that </w:t>
      </w:r>
      <w:r>
        <w:rPr>
          <w:lang w:val="en_US" w:bidi="en_US"/>
        </w:rPr>
        <w:t>he had done</w:t>
      </w:r>
      <w:r>
        <w:rPr>
          <w:lang w:val="en_US" w:bidi="en_US"/>
        </w:rPr>
        <w:t>.</w:t>
      </w:r>
    </w:p>
    <w:p>
      <w:pPr>
        <w:pStyle w:val="Heading5"/>
      </w:pPr>
      <w:r>
        <w:rPr>
          <w:lang w:val="en_US" w:bidi="en_US"/>
        </w:rPr>
        <w:t>20:8a–b</w:t>
      </w:r>
    </w:p>
    <w:p>
      <w:pPr/>
      <w:r>
        <w:rPr>
          <w:lang w:val="en_US" w:bidi="en_US"/>
        </w:rPr>
      </w:r>
      <w:r>
        <w:rPr>
          <w:b/>
          <w:lang w:val="en_US" w:bidi="en_US"/>
        </w:rPr>
        <w:t>And Jesus replied:</w:t>
      </w:r>
      <w:r>
        <w:rPr>
          <w:lang w:val="en_US" w:bidi="en_US"/>
        </w:rPr>
        <w:t xml:space="preserve"> The Greek phrase that the BSB translates as </w:t>
      </w:r>
      <w:r>
        <w:rPr>
          <w:i/>
          <w:lang w:val="en_US" w:bidi="en_US"/>
        </w:rPr>
        <w:t>And Jesus replied</w:t>
      </w:r>
      <w:r>
        <w:rPr>
          <w:lang w:val="en_US" w:bidi="en_US"/>
        </w:rPr>
        <w:t xml:space="preserve"> is literally, “And Jesus said to them.” The RSV and several other English versions translate it that way. It introduces Jesus’ response to what the leaders said in 20:7b. Some other ways to translate it are:</w:t>
      </w:r>
    </w:p>
    <w:p>
      <w:pPr/>
      <w:r>
        <w:rPr>
          <w:lang w:val="en_US" w:bidi="en_US"/>
        </w:rPr>
      </w:r>
      <w:r>
        <w:rPr>
          <w:lang w:val="en_US" w:bidi="en_US"/>
        </w:rPr>
        <w:t>Then Jesus said to the leaders</w:t>
      </w:r>
    </w:p>
    <w:p>
      <w:pPr/>
      <w:r>
        <w:rPr>
          <w:lang w:val="en_US" w:bidi="en_US"/>
        </w:rPr>
      </w:r>
      <w:r>
        <w:rPr>
          <w:lang w:val="en_US" w:bidi="en_US"/>
        </w:rPr>
        <w:t>So Jesus replied</w:t>
      </w:r>
    </w:p>
    <w:p>
      <w:pPr/>
      <w:r>
        <w:rPr>
          <w:lang w:val="en_US" w:bidi="en_US"/>
        </w:rPr>
      </w:r>
      <w:r>
        <w:rPr>
          <w:lang w:val="en_US" w:bidi="en_US"/>
        </w:rPr>
        <w:t>Introduce Jesus’ response in a natural way in your language.</w:t>
      </w:r>
    </w:p>
    <w:p>
      <w:pPr/>
      <w:r>
        <w:rPr>
          <w:lang w:val="en_US" w:bidi="en_US"/>
        </w:rPr>
      </w:r>
      <w:r>
        <w:rPr>
          <w:b/>
          <w:lang w:val="en_US" w:bidi="en_US"/>
        </w:rPr>
        <w:t>Neither will I tell you by what authority I am doing these things:</w:t>
      </w:r>
      <w:r>
        <w:rPr>
          <w:lang w:val="en_US" w:bidi="en_US"/>
        </w:rPr>
        <w:t xml:space="preserve"> Jesus refused to answer the question that the Jewish leaders had asked him.</w:t>
      </w:r>
    </w:p>
    <w:p>
      <w:pPr/>
      <w:r>
        <w:rPr>
          <w:lang w:val="en_US" w:bidi="en_US"/>
        </w:rPr>
      </w:r>
      <w:r>
        <w:rPr>
          <w:lang w:val="en_US" w:bidi="en_US"/>
        </w:rPr>
        <w:t xml:space="preserve">The Greek word that the BSB translates as </w:t>
      </w:r>
      <w:r>
        <w:rPr>
          <w:i/>
          <w:lang w:val="en_US" w:bidi="en_US"/>
        </w:rPr>
        <w:t>Neither</w:t>
      </w:r>
      <w:r>
        <w:rPr>
          <w:lang w:val="en_US" w:bidi="en_US"/>
        </w:rPr>
        <w:t xml:space="preserve"> indicates here that Jesus would not tell the leaders where he got his authority. Jesus said this because the leaders would not say where John got his authority. Some other ways to translate this are:</w:t>
      </w:r>
    </w:p>
    <w:p>
      <w:pPr/>
      <w:r>
        <w:rPr>
          <w:lang w:val="en_US" w:bidi="en_US"/>
        </w:rPr>
      </w:r>
      <w:r>
        <w:rPr>
          <w:lang w:val="en_US" w:bidi="en_US"/>
        </w:rPr>
        <w:t>You refuse to tell me what right John had to baptize.</w:t>
      </w:r>
      <w:r>
        <w:rPr>
          <w:lang w:val="en_US" w:bidi="en_US"/>
        </w:rPr>
        <w:t xml:space="preserve"> So I too will not tell you what right I have to do these things.</w:t>
      </w:r>
    </w:p>
    <w:p>
      <w:pPr/>
      <w:r>
        <w:rPr>
          <w:lang w:val="en_US" w:bidi="en_US"/>
        </w:rPr>
      </w:r>
      <w:r>
        <w:rPr>
          <w:lang w:val="en_US" w:bidi="en_US"/>
        </w:rPr>
        <w:t xml:space="preserve">I also will not tell you who gave me the authority to do these things, </w:t>
      </w:r>
      <w:r>
        <w:rPr>
          <w:lang w:val="en_US" w:bidi="en_US"/>
        </w:rPr>
        <w:t>because you will not say who gave John his authority</w:t>
      </w:r>
      <w:r>
        <w:rPr>
          <w:lang w:val="en_US" w:bidi="en_US"/>
        </w:rPr>
        <w:t>.</w:t>
      </w:r>
    </w:p>
    <w:p>
      <w:pPr/>
      <w:r>
        <w:rPr>
          <w:lang w:val="en_US" w:bidi="en_US"/>
        </w:rPr>
      </w:r>
      <w:r>
        <w:rPr>
          <w:lang w:val="en_US" w:bidi="en_US"/>
        </w:rPr>
        <w:t>Then I won’t tell you who gave me the right to do what I do. (CEV)</w:t>
      </w:r>
      <w:r>
        <w:rPr>
          <w:lang w:val="en_US" w:bidi="en_US"/>
        </w:rPr>
      </w:r>
      <w:r>
        <w:rPr>
          <w:lang w:val="en_US" w:bidi="en_US"/>
        </w:rPr>
      </w:r>
    </w:p>
    <w:p>
      <w:pPr/>
      <w:r>
        <w:rPr>
          <w:lang w:val="en_US" w:bidi="en_US"/>
        </w:rPr>
      </w:r>
    </w:p>
    <w:p>
      <w:pPr>
        <w:pStyle w:val="Heading2"/>
      </w:pPr>
      <w:r>
        <w:rPr>
          <w:lang w:val="en_US" w:bidi="en_US"/>
        </w:rPr>
        <w:t>Luke 20:9</w:t>
      </w:r>
      <w:r>
        <w:rPr>
          <w:lang w:val="en_US" w:bidi="en_US"/>
        </w:rPr>
      </w:r>
    </w:p>
    <w:p>
      <w:pPr>
        <w:pStyle w:val="Heading4"/>
      </w:pPr>
      <w:r>
        <w:rPr>
          <w:lang w:val="en_US" w:bidi="en_US"/>
        </w:rPr>
        <w:t>Section 20:9–19: Jesus told a parable about some evil tenant farmers</w:t>
      </w:r>
    </w:p>
    <w:p>
      <w:pPr/>
      <w:r>
        <w:rPr>
          <w:lang w:val="en_US" w:bidi="en_US"/>
        </w:rPr>
      </w:r>
      <w:r>
        <w:rPr>
          <w:lang w:val="en_US" w:bidi="en_US"/>
        </w:rPr>
        <w:t>In 20:1–8 the Jewish religious leaders asked Jesus two questions about his authority. In this section Jesus used a parable to answer those questions in an indirect way. The Jewish leaders showed that they understood this parable by their response in 20:19.</w:t>
      </w:r>
    </w:p>
    <w:p>
      <w:pPr/>
      <w:r>
        <w:rPr>
          <w:lang w:val="en_US" w:bidi="en_US"/>
        </w:rPr>
      </w:r>
      <w:r>
        <w:rPr>
          <w:lang w:val="en_US" w:bidi="en_US"/>
        </w:rP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pPr/>
      <w:r>
        <w:rPr>
          <w:lang w:val="en_US" w:bidi="en_US"/>
        </w:rPr>
      </w:r>
      <w:r>
        <w:rPr>
          <w:lang w:val="en_US" w:bidi="en_US"/>
        </w:rP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pPr/>
      <w:r>
        <w:rPr>
          <w:lang w:val="en_US" w:bidi="en_US"/>
        </w:rPr>
      </w:r>
      <w:r>
        <w:rPr>
          <w:lang w:val="en_US" w:bidi="en_US"/>
        </w:rP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pPr/>
      <w:r>
        <w:rPr>
          <w:lang w:val="en_US" w:bidi="en_US"/>
        </w:rPr>
      </w:r>
      <w:r>
        <w:rPr>
          <w:lang w:val="en_US" w:bidi="en_US"/>
        </w:rPr>
        <w:t>Examples of headings for this section are:</w:t>
      </w:r>
    </w:p>
    <w:p>
      <w:pPr/>
      <w:r>
        <w:rPr>
          <w:lang w:val="en_US" w:bidi="en_US"/>
        </w:rPr>
      </w:r>
      <w:r>
        <w:rPr>
          <w:lang w:val="en_US" w:bidi="en_US"/>
        </w:rPr>
        <w:t>The Parable of the Tenants (NIV)</w:t>
      </w:r>
    </w:p>
    <w:p>
      <w:pPr/>
      <w:r>
        <w:rPr>
          <w:lang w:val="en_US" w:bidi="en_US"/>
        </w:rPr>
      </w:r>
      <w:r>
        <w:rPr>
          <w:lang w:val="en_US" w:bidi="en_US"/>
        </w:rPr>
        <w:t>A story of evil farmers</w:t>
      </w:r>
    </w:p>
    <w:p>
      <w:pPr/>
      <w:r>
        <w:rPr>
          <w:lang w:val="en_US" w:bidi="en_US"/>
        </w:rPr>
      </w:r>
      <w:r>
        <w:rPr>
          <w:lang w:val="en_US" w:bidi="en_US"/>
        </w:rPr>
        <w:t>A parable about bad renters of a vineyard</w:t>
      </w:r>
    </w:p>
    <w:p>
      <w:pPr/>
      <w:r>
        <w:rPr>
          <w:lang w:val="en_US" w:bidi="en_US"/>
        </w:rPr>
      </w:r>
      <w:r>
        <w:rPr>
          <w:lang w:val="en_US" w:bidi="en_US"/>
        </w:rPr>
        <w:t>Parallel passages for this section are in Matthew 21:33–46 and Mark 12:1–12.</w:t>
      </w:r>
    </w:p>
    <w:p>
      <w:pPr>
        <w:pStyle w:val="Heading5"/>
      </w:pPr>
      <w:r>
        <w:rPr>
          <w:lang w:val="en_US" w:bidi="en_US"/>
        </w:rPr>
        <w:t>20:9a</w:t>
      </w:r>
    </w:p>
    <w:p>
      <w:pPr/>
      <w:r>
        <w:rPr>
          <w:lang w:val="en_US" w:bidi="en_US"/>
        </w:rPr>
      </w:r>
      <w:r>
        <w:rPr>
          <w:b/>
          <w:lang w:val="en_US" w:bidi="en_US"/>
        </w:rPr>
        <w:t>Then He proceeded to tell the people this parable:</w:t>
      </w:r>
    </w:p>
    <w:p>
      <w:pPr>
        <w:pStyle w:val="ListBullet"/>
        <w:spacing w:line="240" w:lineRule="auto"/>
        <w:ind w:left="720"/>
      </w:pPr>
      <w:r>
        <w:rPr>
          <w:lang w:val="en_US" w:bidi="en_US"/>
        </w:rPr>
      </w:r>
      <w:r>
        <w:rPr>
          <w:lang w:val="en_US" w:bidi="en_US"/>
        </w:rPr>
        <w:t>¶ Then he began to tell the people this parable:</w:t>
      </w:r>
    </w:p>
    <w:p>
      <w:pPr>
        <w:pStyle w:val="ListBullet"/>
        <w:spacing w:line="240" w:lineRule="auto"/>
        <w:ind w:left="720"/>
      </w:pPr>
      <w:r>
        <w:rPr>
          <w:lang w:val="en_US" w:bidi="en_US"/>
        </w:rPr>
      </w:r>
      <w:r>
        <w:rPr>
          <w:lang w:val="en_US" w:bidi="en_US"/>
        </w:rPr>
        <w:t xml:space="preserve">¶ After </w:t>
      </w:r>
      <w:r>
        <w:rPr>
          <w:lang w:val="en_US" w:bidi="en_US"/>
        </w:rPr>
        <w:t>he said this,</w:t>
      </w:r>
      <w:r>
        <w:rPr>
          <w:lang w:val="en_US" w:bidi="en_US"/>
        </w:rPr>
        <w:t xml:space="preserve"> Jesus told the people this parable:</w:t>
      </w:r>
    </w:p>
    <w:p>
      <w:pPr/>
      <w:r>
        <w:rPr>
          <w:lang w:val="en_US" w:bidi="en_US"/>
        </w:rPr>
      </w:r>
      <w:r>
        <w:rPr>
          <w:b/>
          <w:lang w:val="en_US" w:bidi="en_US"/>
        </w:rPr>
        <w:t>Then He proceeded to tell the people this parable:</w:t>
      </w:r>
      <w:r>
        <w:rPr>
          <w:lang w:val="en_US" w:bidi="en_US"/>
        </w:rPr>
        <w:t xml:space="preserve"> The Greek verb that the BSB translates as </w:t>
      </w:r>
      <w:r>
        <w:rPr>
          <w:i/>
          <w:lang w:val="en_US" w:bidi="en_US"/>
        </w:rPr>
        <w:t>He proceeded to tell</w:t>
      </w:r>
      <w:r>
        <w:rPr>
          <w:lang w:val="en_US" w:bidi="en_US"/>
        </w:rPr>
        <w:t xml:space="preserve"> is literally “he began to tell.” The RSV and several other English versions translate it that way. The clause indicates that he had been talking to the leaders, and now he began to speak to all the people. The leaders were included in this larger group.</w:t>
      </w:r>
    </w:p>
    <w:p>
      <w:pPr/>
      <w:r>
        <w:rPr>
          <w:lang w:val="en_US" w:bidi="en_US"/>
        </w:rPr>
      </w:r>
      <w:r>
        <w:rPr>
          <w:b/>
          <w:lang w:val="en_US" w:bidi="en_US"/>
        </w:rPr>
        <w:t>this parable:</w:t>
      </w:r>
      <w:r>
        <w:rPr>
          <w:lang w:val="en_US" w:bidi="en_US"/>
        </w:rPr>
        <w:t xml:space="preserve"> The Greek word that the BSB translates as </w:t>
      </w:r>
      <w:r>
        <w:rPr>
          <w:i/>
          <w:lang w:val="en_US" w:bidi="en_US"/>
        </w:rPr>
        <w:t>this parable</w:t>
      </w:r>
      <w:r>
        <w:rPr>
          <w:lang w:val="en_US" w:bidi="en_US"/>
        </w:rPr>
        <w:t xml:space="preserve"> refers to the story that begins in 20:9b.</w:t>
      </w:r>
    </w:p>
    <w:p>
      <w:pPr/>
      <w:r>
        <w:rPr>
          <w:lang w:val="en_US" w:bidi="en_US"/>
        </w:rPr>
      </w:r>
      <w:r>
        <w:rPr>
          <w:lang w:val="en_US" w:bidi="en_US"/>
        </w:rPr>
        <w:t xml:space="preserve">For help in translating the word </w:t>
      </w:r>
      <w:r>
        <w:rPr>
          <w:i/>
          <w:lang w:val="en_US" w:bidi="en_US"/>
        </w:rPr>
        <w:t>parable</w:t>
      </w:r>
      <w:r>
        <w:rPr>
          <w:lang w:val="en_US" w:bidi="en_US"/>
        </w:rPr>
        <w:t>, see the note on 18:1. See also parable, Type 3, in the Glossary.</w:t>
      </w:r>
    </w:p>
    <w:p>
      <w:pPr>
        <w:pStyle w:val="Heading5"/>
      </w:pPr>
      <w:r>
        <w:rPr>
          <w:lang w:val="en_US" w:bidi="en_US"/>
        </w:rPr>
        <w:t>20:9b</w:t>
      </w:r>
    </w:p>
    <w:p>
      <w:pPr/>
      <w:r>
        <w:rPr>
          <w:lang w:val="en_US" w:bidi="en_US"/>
        </w:rPr>
      </w:r>
      <w:r>
        <w:rPr>
          <w:b/>
          <w:lang w:val="en_US" w:bidi="en_US"/>
        </w:rPr>
        <w:t>“A man planted a vineyard,</w:t>
      </w:r>
    </w:p>
    <w:p>
      <w:pPr>
        <w:pStyle w:val="ListBullet"/>
        <w:spacing w:line="240" w:lineRule="auto"/>
        <w:ind w:left="720"/>
      </w:pPr>
      <w:r>
        <w:rPr>
          <w:lang w:val="en_US" w:bidi="en_US"/>
        </w:rPr>
      </w:r>
      <w:r>
        <w:rPr>
          <w:lang w:val="en_US" w:bidi="en_US"/>
        </w:rPr>
        <w:t xml:space="preserve">“A </w:t>
      </w:r>
      <w:r>
        <w:rPr>
          <w:lang w:val="en_US" w:bidi="en_US"/>
        </w:rPr>
        <w:t>certain</w:t>
      </w:r>
      <w:r>
        <w:rPr>
          <w:lang w:val="en_US" w:bidi="en_US"/>
        </w:rPr>
        <w:t xml:space="preserve"> man planted a grape farm/garden</w:t>
      </w:r>
    </w:p>
    <w:p>
      <w:pPr>
        <w:pStyle w:val="ListBullet"/>
        <w:spacing w:line="240" w:lineRule="auto"/>
        <w:ind w:left="720"/>
      </w:pPr>
      <w:r>
        <w:rPr>
          <w:lang w:val="en_US" w:bidi="en_US"/>
        </w:rPr>
      </w:r>
      <w:r>
        <w:rPr>
          <w:lang w:val="en_US" w:bidi="en_US"/>
        </w:rPr>
        <w:t xml:space="preserve">“There was a man </w:t>
      </w:r>
      <w:r>
        <w:rPr>
          <w:lang w:val="en_US" w:bidi="en_US"/>
        </w:rPr>
        <w:t>who owned a farm</w:t>
      </w:r>
      <w:r>
        <w:rPr>
          <w:lang w:val="en_US" w:bidi="en_US"/>
        </w:rPr>
        <w:t>. He planted grape vines in his farm.</w:t>
      </w:r>
    </w:p>
    <w:p>
      <w:pPr>
        <w:pStyle w:val="ListBullet"/>
        <w:spacing w:line="240" w:lineRule="auto"/>
        <w:ind w:left="720"/>
      </w:pPr>
      <w:r>
        <w:rPr>
          <w:lang w:val="en_US" w:bidi="en_US"/>
        </w:rPr>
      </w:r>
      <w:r>
        <w:rPr>
          <w:lang w:val="en_US" w:bidi="en_US"/>
        </w:rPr>
        <w:t xml:space="preserve">“A </w:t>
      </w:r>
      <w:r>
        <w:rPr>
          <w:lang w:val="en_US" w:bidi="en_US"/>
        </w:rPr>
        <w:t>certain</w:t>
      </w:r>
      <w:r>
        <w:rPr>
          <w:lang w:val="en_US" w:bidi="en_US"/>
        </w:rPr>
        <w:t xml:space="preserve"> man </w:t>
      </w:r>
      <w:r>
        <w:rPr>
          <w:lang w:val="en_US" w:bidi="en_US"/>
        </w:rPr>
        <w:t>caused/ordered</w:t>
      </w:r>
      <w:r>
        <w:rPr>
          <w:lang w:val="en_US" w:bidi="en_US"/>
        </w:rPr>
        <w:t xml:space="preserve"> grape vines </w:t>
      </w:r>
      <w:r>
        <w:rPr>
          <w:lang w:val="en_US" w:bidi="en_US"/>
        </w:rPr>
        <w:t>to be</w:t>
      </w:r>
      <w:r>
        <w:rPr>
          <w:lang w:val="en_US" w:bidi="en_US"/>
        </w:rPr>
        <w:t xml:space="preserve"> planted in his field.</w:t>
      </w:r>
    </w:p>
    <w:p>
      <w:pPr/>
      <w:r>
        <w:rPr>
          <w:lang w:val="en_US" w:bidi="en_US"/>
        </w:rPr>
      </w:r>
      <w:r>
        <w:rPr>
          <w:b/>
          <w:lang w:val="en_US" w:bidi="en_US"/>
        </w:rPr>
        <w:t>A man planted a vineyard:</w:t>
      </w:r>
      <w:r>
        <w:rPr>
          <w:lang w:val="en_US" w:bidi="en_US"/>
        </w:rPr>
        <w:t xml:space="preserve"> This clause introduces the story and the most important person in the story. Introduce the story and the main character in a way that is natural in your language. Other ways to introduce it are:</w:t>
      </w:r>
    </w:p>
    <w:p>
      <w:pPr/>
      <w:r>
        <w:rPr>
          <w:lang w:val="en_US" w:bidi="en_US"/>
        </w:rPr>
      </w:r>
      <w:r>
        <w:rPr>
          <w:lang w:val="en_US" w:bidi="en_US"/>
        </w:rPr>
        <w:t>There was once a man who planted a vineyard (GNT)</w:t>
      </w:r>
    </w:p>
    <w:p>
      <w:pPr/>
      <w:r>
        <w:rPr>
          <w:lang w:val="en_US" w:bidi="en_US"/>
        </w:rPr>
      </w:r>
      <w:r>
        <w:rPr>
          <w:lang w:val="en_US" w:bidi="en_US"/>
        </w:rPr>
        <w:t>There was a certain man. One day, he planted a vineyard</w:t>
      </w:r>
    </w:p>
    <w:p>
      <w:pPr/>
      <w:r>
        <w:rPr>
          <w:lang w:val="en_US" w:bidi="en_US"/>
        </w:rPr>
      </w:r>
      <w:r>
        <w:rPr>
          <w:b/>
          <w:lang w:val="en_US" w:bidi="en_US"/>
        </w:rPr>
        <w:t>planted a vineyard:</w:t>
      </w:r>
      <w:r>
        <w:rPr>
          <w:lang w:val="en_US" w:bidi="en_US"/>
        </w:rPr>
        <w:t xml:space="preserve"> The phrase </w:t>
      </w:r>
      <w:r>
        <w:rPr>
          <w:i/>
          <w:lang w:val="en_US" w:bidi="en_US"/>
        </w:rPr>
        <w:t>planted a vineyard</w:t>
      </w:r>
      <w:r>
        <w:rPr>
          <w:lang w:val="en_US" w:bidi="en_US"/>
        </w:rPr>
        <w:t xml:space="preserve"> indicates that the man planted grape vines in a field. In the story the man had servants, so he probably did not plant these vines himself. He probably ordered his servants to do the work. In some languages it may be necessary to make this clear. For example:</w:t>
      </w:r>
    </w:p>
    <w:p>
      <w:pPr/>
      <w:r>
        <w:rPr>
          <w:lang w:val="en_US" w:bidi="en_US"/>
        </w:rPr>
      </w:r>
      <w:r>
        <w:rPr>
          <w:lang w:val="en_US" w:bidi="en_US"/>
        </w:rPr>
        <w:t>caused/ordered</w:t>
      </w:r>
      <w:r>
        <w:rPr>
          <w:lang w:val="en_US" w:bidi="en_US"/>
        </w:rPr>
        <w:t xml:space="preserve"> a vineyard </w:t>
      </w:r>
      <w:r>
        <w:rPr>
          <w:lang w:val="en_US" w:bidi="en_US"/>
        </w:rPr>
        <w:t>to be</w:t>
      </w:r>
      <w:r>
        <w:rPr>
          <w:lang w:val="en_US" w:bidi="en_US"/>
        </w:rPr>
        <w:t xml:space="preserve"> planted.</w:t>
      </w:r>
    </w:p>
    <w:p>
      <w:pPr/>
      <w:r>
        <w:rPr>
          <w:lang w:val="en_US" w:bidi="en_US"/>
        </w:rPr>
      </w:r>
      <w:r>
        <w:rPr>
          <w:b/>
          <w:lang w:val="en_US" w:bidi="en_US"/>
        </w:rPr>
        <w:t>a vineyard:</w:t>
      </w:r>
      <w:r>
        <w:rPr>
          <w:lang w:val="en_US" w:bidi="en_US"/>
        </w:rPr>
        <w:t xml:space="preserve"> A </w:t>
      </w:r>
      <w:r>
        <w:rPr>
          <w:i/>
          <w:lang w:val="en_US" w:bidi="en_US"/>
        </w:rPr>
        <w:t>vineyard</w:t>
      </w:r>
      <w:r>
        <w:rPr>
          <w:lang w:val="en_US" w:bidi="en_US"/>
        </w:rPr>
        <w:t xml:space="preserve"> is a farm where grape vines grow and produce grapes. Grapes are small, sweet fruit that are commonly grown in Israel. People use them to make wine. Some ways to translate vineyard are:</w:t>
      </w:r>
    </w:p>
    <w:p>
      <w:pPr/>
      <w:r>
        <w:rPr>
          <w:lang w:val="en_US" w:bidi="en_US"/>
        </w:rPr>
      </w:r>
      <w:r>
        <w:rPr>
          <w:lang w:val="en_US" w:bidi="en_US"/>
        </w:rPr>
        <w:t>grape farm/garden</w:t>
      </w:r>
    </w:p>
    <w:p>
      <w:pPr/>
      <w:r>
        <w:rPr>
          <w:lang w:val="en_US" w:bidi="en_US"/>
        </w:rPr>
      </w:r>
      <w:r>
        <w:rPr>
          <w:lang w:val="en_US" w:bidi="en_US"/>
        </w:rPr>
        <w:t>field of grape vines</w:t>
      </w:r>
    </w:p>
    <w:p>
      <w:pPr/>
      <w:r>
        <w:rPr>
          <w:lang w:val="en_US" w:bidi="en_US"/>
        </w:rPr>
      </w:r>
      <w:r>
        <w:rPr>
          <w:lang w:val="en_US" w:bidi="en_US"/>
        </w:rPr>
        <w:t xml:space="preserve">In some languages there may not be a common word for </w:t>
      </w:r>
      <w:r>
        <w:rPr>
          <w:i/>
          <w:lang w:val="en_US" w:bidi="en_US"/>
        </w:rPr>
        <w:t>vineyard</w:t>
      </w:r>
      <w:r>
        <w:rPr>
          <w:lang w:val="en_US" w:bidi="en_US"/>
        </w:rPr>
        <w:t xml:space="preserve"> or for “grapes.” See the note on 6:44c. If this is true in your language, here are two other options to consider:</w:t>
      </w:r>
    </w:p>
    <w:p>
      <w:pPr>
        <w:pStyle w:val="ListBullet"/>
        <w:spacing w:line="240" w:lineRule="auto"/>
        <w:ind w:left="720"/>
      </w:pPr>
      <w:r>
        <w:rPr>
          <w:lang w:val="en_US" w:bidi="en_US"/>
        </w:rPr>
      </w:r>
      <w:r>
        <w:rPr>
          <w:lang w:val="en_US" w:bidi="en_US"/>
        </w:rPr>
        <w:t>Borrow the word for “grape” from another language. Then add a general expression that describes what a grape farm is. For example:</w:t>
      </w:r>
      <w:r>
        <w:rPr>
          <w:lang w:val="en_US" w:bidi="en_US"/>
        </w:rPr>
        <w:t>farm for producing a fruit called grape</w:t>
      </w:r>
    </w:p>
    <w:p>
      <w:pPr>
        <w:pStyle w:val="ListBullet"/>
        <w:spacing w:line="240" w:lineRule="auto"/>
        <w:ind w:left="720"/>
      </w:pPr>
      <w:r>
        <w:rPr>
          <w:lang w:val="en_US" w:bidi="en_US"/>
        </w:rPr>
      </w:r>
      <w:r>
        <w:rPr>
          <w:lang w:val="en_US" w:bidi="en_US"/>
        </w:rPr>
        <w:t>Use a general word for fruit that would fit in this context. For example:</w:t>
      </w:r>
      <w:r>
        <w:rPr>
          <w:lang w:val="en_US" w:bidi="en_US"/>
        </w:rPr>
        <w:t>wine-fruit farm</w:t>
      </w:r>
    </w:p>
    <w:p>
      <w:pPr/>
      <w:r>
        <w:rPr>
          <w:lang w:val="en_US" w:bidi="en_US"/>
        </w:rPr>
      </w:r>
      <w:r>
        <w:rPr>
          <w:lang w:val="en_US" w:bidi="en_US"/>
        </w:rPr>
        <w:t>You should not substitute the name of another kind of fruit for “grapes.” Grapes and wine are important images in the Bible. Israel has been compared to a vineyard, and Jesus told this parable about Israel’s leaders.</w:t>
      </w:r>
    </w:p>
    <w:p>
      <w:pPr/>
      <w:r>
        <w:rPr>
          <w:lang w:val="en_US" w:bidi="en_US"/>
        </w:rPr>
      </w:r>
      <w:r>
        <w:rPr>
          <w:lang w:val="en_US" w:bidi="en_US"/>
        </w:rPr>
        <w:t>You may also want to add a footnote. For example:</w:t>
      </w:r>
    </w:p>
    <w:p>
      <w:pPr/>
      <w:r>
        <w:rPr>
          <w:lang w:val="en_US" w:bidi="en_US"/>
        </w:rPr>
      </w:r>
      <w:r>
        <w:rPr>
          <w:lang w:val="en_US" w:bidi="en_US"/>
        </w:rPr>
        <w:t>The fruit called “grape” grows on a vine. The fruit is used for making wine.</w:t>
      </w:r>
    </w:p>
    <w:p>
      <w:pPr/>
      <w:r>
        <w:rPr>
          <w:lang w:val="en_US" w:bidi="en_US"/>
        </w:rPr>
      </w:r>
      <w:r>
        <w:rPr>
          <w:lang w:val="en_US" w:bidi="en_US"/>
        </w:rPr>
        <w:t>Vineyards are also referred to in Isaiah 5:1–7, Genesis 9:20, Mark 12:1, and Matthew 20:1. Grapes are also referred to in Genesis 40:10–11, Isaiah 5:2, and Matthew 7:16.</w:t>
      </w:r>
    </w:p>
    <w:p>
      <w:pPr>
        <w:pStyle w:val="Heading5"/>
      </w:pPr>
      <w:r>
        <w:rPr>
          <w:lang w:val="en_US" w:bidi="en_US"/>
        </w:rPr>
        <w:t>20:9c</w:t>
      </w:r>
    </w:p>
    <w:p>
      <w:pPr/>
      <w:r>
        <w:rPr>
          <w:lang w:val="en_US" w:bidi="en_US"/>
        </w:rPr>
      </w:r>
      <w:r>
        <w:rPr>
          <w:b/>
          <w:lang w:val="en_US" w:bidi="en_US"/>
        </w:rPr>
        <w:t>rented it out to some tenants,</w:t>
      </w:r>
    </w:p>
    <w:p>
      <w:pPr>
        <w:pStyle w:val="ListBullet"/>
        <w:spacing w:line="240" w:lineRule="auto"/>
        <w:ind w:left="720"/>
      </w:pPr>
      <w:r>
        <w:rPr>
          <w:lang w:val="en_US" w:bidi="en_US"/>
        </w:rPr>
      </w:r>
      <w:r>
        <w:rPr>
          <w:lang w:val="en_US" w:bidi="en_US"/>
        </w:rPr>
        <w:t>and rented/leased it to some tenant farmers.</w:t>
      </w:r>
    </w:p>
    <w:p>
      <w:pPr>
        <w:pStyle w:val="ListBullet"/>
        <w:spacing w:line="240" w:lineRule="auto"/>
        <w:ind w:left="720"/>
      </w:pPr>
      <w:r>
        <w:rPr>
          <w:lang w:val="en_US" w:bidi="en_US"/>
        </w:rPr>
      </w:r>
      <w:r>
        <w:rPr>
          <w:lang w:val="en_US" w:bidi="en_US"/>
        </w:rPr>
        <w:t>Then he told/hired some men to take care of the farm for him in exchange for a part of the harvest.</w:t>
      </w:r>
    </w:p>
    <w:p>
      <w:pPr/>
      <w:r>
        <w:rPr>
          <w:lang w:val="en_US" w:bidi="en_US"/>
        </w:rPr>
      </w:r>
      <w:r>
        <w:rPr>
          <w:b/>
          <w:lang w:val="en_US" w:bidi="en_US"/>
        </w:rPr>
        <w:t>rented it out to some tenants:</w:t>
      </w:r>
      <w:r>
        <w:rPr>
          <w:lang w:val="en_US" w:bidi="en_US"/>
        </w:rPr>
        <w:t xml:space="preserve"> The owner rented or leased the grape farm to some men. This means that the owner let the men grow grapes for themselves on his land. But he required the men to give him part of the grapes as payment for using the land. Another way to translate this is:</w:t>
      </w:r>
    </w:p>
    <w:p>
      <w:pPr/>
      <w:r>
        <w:rPr>
          <w:lang w:val="en_US" w:bidi="en_US"/>
        </w:rPr>
      </w:r>
      <w:r>
        <w:rPr>
          <w:lang w:val="en_US" w:bidi="en_US"/>
        </w:rPr>
        <w:t xml:space="preserve">He told them, “You will tend/farm the grapes, and you will get some </w:t>
      </w:r>
      <w:r>
        <w:rPr>
          <w:lang w:val="en_US" w:bidi="en_US"/>
        </w:rPr>
        <w:t>of the grape harvest</w:t>
      </w:r>
      <w:r>
        <w:rPr>
          <w:lang w:val="en_US" w:bidi="en_US"/>
        </w:rPr>
        <w:t xml:space="preserve">. You must also give some </w:t>
      </w:r>
      <w:r>
        <w:rPr>
          <w:lang w:val="en_US" w:bidi="en_US"/>
        </w:rPr>
        <w:t>of the grapes</w:t>
      </w:r>
      <w:r>
        <w:rPr>
          <w:lang w:val="en_US" w:bidi="en_US"/>
        </w:rPr>
        <w:t xml:space="preserve"> to me </w:t>
      </w:r>
      <w:r>
        <w:rPr>
          <w:lang w:val="en_US" w:bidi="en_US"/>
        </w:rPr>
        <w:t>as payment</w:t>
      </w:r>
      <w:r>
        <w:rPr>
          <w:lang w:val="en_US" w:bidi="en_US"/>
        </w:rPr>
        <w:t xml:space="preserve">,” </w:t>
      </w:r>
      <w:r>
        <w:rPr>
          <w:lang w:val="en_US" w:bidi="en_US"/>
        </w:rPr>
        <w:t>and they agreed</w:t>
      </w:r>
      <w:r>
        <w:rPr>
          <w:lang w:val="en_US" w:bidi="en_US"/>
        </w:rPr>
        <w:t>.</w:t>
      </w:r>
    </w:p>
    <w:p>
      <w:pPr/>
      <w:r>
        <w:rPr>
          <w:lang w:val="en_US" w:bidi="en_US"/>
        </w:rPr>
      </w:r>
      <w:r>
        <w:rPr>
          <w:b/>
          <w:lang w:val="en_US" w:bidi="en_US"/>
        </w:rPr>
        <w:t>tenants:</w:t>
      </w:r>
      <w:r>
        <w:rPr>
          <w:lang w:val="en_US" w:bidi="en_US"/>
        </w:rPr>
        <w:t xml:space="preserve"> In this verse the term </w:t>
      </w:r>
      <w:r>
        <w:rPr>
          <w:i/>
          <w:lang w:val="en_US" w:bidi="en_US"/>
        </w:rPr>
        <w:t>tenants</w:t>
      </w:r>
      <w:r>
        <w:rPr>
          <w:lang w:val="en_US" w:bidi="en_US"/>
        </w:rPr>
        <w:t xml:space="preserve"> refers to men who farm for the owners of the land. These men had the responsibility of picking the ripe fruit and selling it to benefit both themselves and the owner.</w:t>
      </w:r>
    </w:p>
    <w:p>
      <w:pPr>
        <w:pStyle w:val="Heading5"/>
      </w:pPr>
      <w:r>
        <w:rPr>
          <w:lang w:val="en_US" w:bidi="en_US"/>
        </w:rPr>
        <w:t>20:9d</w:t>
      </w:r>
    </w:p>
    <w:p>
      <w:pPr/>
      <w:r>
        <w:rPr>
          <w:lang w:val="en_US" w:bidi="en_US"/>
        </w:rPr>
      </w:r>
      <w:r>
        <w:rPr>
          <w:b/>
          <w:lang w:val="en_US" w:bidi="en_US"/>
        </w:rPr>
        <w:t>and went away for a long time.</w:t>
      </w:r>
    </w:p>
    <w:p>
      <w:pPr>
        <w:pStyle w:val="ListBullet"/>
        <w:spacing w:line="240" w:lineRule="auto"/>
        <w:ind w:left="720"/>
      </w:pPr>
      <w:r>
        <w:rPr>
          <w:lang w:val="en_US" w:bidi="en_US"/>
        </w:rPr>
      </w:r>
      <w:r>
        <w:rPr>
          <w:lang w:val="en_US" w:bidi="en_US"/>
        </w:rPr>
        <w:t xml:space="preserve">Then he went away </w:t>
      </w:r>
      <w:r>
        <w:rPr>
          <w:lang w:val="en_US" w:bidi="en_US"/>
        </w:rPr>
        <w:t>to another country</w:t>
      </w:r>
      <w:r>
        <w:rPr>
          <w:lang w:val="en_US" w:bidi="en_US"/>
        </w:rPr>
        <w:t xml:space="preserve"> for a long time.</w:t>
      </w:r>
    </w:p>
    <w:p>
      <w:pPr>
        <w:pStyle w:val="ListBullet"/>
        <w:spacing w:line="240" w:lineRule="auto"/>
        <w:ind w:left="720"/>
      </w:pPr>
      <w:r>
        <w:rPr>
          <w:lang w:val="en_US" w:bidi="en_US"/>
        </w:rPr>
      </w:r>
      <w:r>
        <w:rPr>
          <w:lang w:val="en_US" w:bidi="en_US"/>
        </w:rPr>
        <w:t>After that, he left his home to go on a long trip/journey.</w:t>
      </w:r>
    </w:p>
    <w:p>
      <w:pPr/>
      <w:r>
        <w:rPr>
          <w:lang w:val="en_US" w:bidi="en_US"/>
        </w:rPr>
      </w:r>
      <w:r>
        <w:rPr>
          <w:b/>
          <w:lang w:val="en_US" w:bidi="en_US"/>
        </w:rPr>
        <w:t>went away for a long time:</w:t>
      </w:r>
      <w:r>
        <w:rPr>
          <w:lang w:val="en_US" w:bidi="en_US"/>
        </w:rPr>
        <w:t xml:space="preserve"> The verb </w:t>
      </w:r>
      <w:r>
        <w:rPr>
          <w:i/>
          <w:lang w:val="en_US" w:bidi="en_US"/>
        </w:rPr>
        <w:t>went away</w:t>
      </w:r>
      <w:r>
        <w:rPr>
          <w:lang w:val="en_US" w:bidi="en_US"/>
        </w:rPr>
        <w:t xml:space="preserve"> indicates that the man traveled far from home. He also stayed away </w:t>
      </w:r>
      <w:r>
        <w:rPr>
          <w:i/>
          <w:lang w:val="en_US" w:bidi="en_US"/>
        </w:rPr>
        <w:t>for a long time</w:t>
      </w:r>
      <w:r>
        <w:rPr>
          <w:lang w:val="en_US" w:bidi="en_US"/>
        </w:rPr>
        <w:t>, probably at least several years.</w:t>
      </w:r>
      <w:r>
        <w:rPr>
          <w:lang w:val="en_US" w:bidi="en_US"/>
        </w:rPr>
      </w:r>
      <w:r>
        <w:rPr>
          <w:lang w:val="en_US" w:bidi="en_US"/>
        </w:rPr>
      </w:r>
    </w:p>
    <w:p>
      <w:pPr/>
      <w:r>
        <w:rPr>
          <w:lang w:val="en_US" w:bidi="en_US"/>
        </w:rPr>
      </w:r>
    </w:p>
    <w:p>
      <w:pPr>
        <w:pStyle w:val="Heading2"/>
      </w:pPr>
      <w:r>
        <w:rPr>
          <w:lang w:val="en_US" w:bidi="en_US"/>
        </w:rPr>
        <w:t>Luke 20:10</w:t>
      </w:r>
      <w:r>
        <w:rPr>
          <w:lang w:val="en_US" w:bidi="en_US"/>
        </w:rPr>
      </w:r>
    </w:p>
    <w:p>
      <w:pPr>
        <w:pStyle w:val="Heading4"/>
      </w:pPr>
      <w:r>
        <w:rPr>
          <w:lang w:val="en_US" w:bidi="en_US"/>
        </w:rPr>
        <w:t>Section 20:9–19: Jesus told a parable about some evil tenant farmers</w:t>
      </w:r>
    </w:p>
    <w:p>
      <w:pPr/>
      <w:r>
        <w:rPr>
          <w:lang w:val="en_US" w:bidi="en_US"/>
        </w:rPr>
      </w:r>
      <w:r>
        <w:rPr>
          <w:lang w:val="en_US" w:bidi="en_US"/>
        </w:rPr>
        <w:t>In 20:1–8 the Jewish religious leaders asked Jesus two questions about his authority. In this section Jesus used a parable to answer those questions in an indirect way. The Jewish leaders showed that they understood this parable by their response in 20:19.</w:t>
      </w:r>
    </w:p>
    <w:p>
      <w:pPr/>
      <w:r>
        <w:rPr>
          <w:lang w:val="en_US" w:bidi="en_US"/>
        </w:rPr>
      </w:r>
      <w:r>
        <w:rPr>
          <w:lang w:val="en_US" w:bidi="en_US"/>
        </w:rP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pPr/>
      <w:r>
        <w:rPr>
          <w:lang w:val="en_US" w:bidi="en_US"/>
        </w:rPr>
      </w:r>
      <w:r>
        <w:rPr>
          <w:lang w:val="en_US" w:bidi="en_US"/>
        </w:rP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pPr/>
      <w:r>
        <w:rPr>
          <w:lang w:val="en_US" w:bidi="en_US"/>
        </w:rPr>
      </w:r>
      <w:r>
        <w:rPr>
          <w:lang w:val="en_US" w:bidi="en_US"/>
        </w:rP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pPr/>
      <w:r>
        <w:rPr>
          <w:lang w:val="en_US" w:bidi="en_US"/>
        </w:rPr>
      </w:r>
      <w:r>
        <w:rPr>
          <w:lang w:val="en_US" w:bidi="en_US"/>
        </w:rPr>
        <w:t>Examples of headings for this section are:</w:t>
      </w:r>
    </w:p>
    <w:p>
      <w:pPr/>
      <w:r>
        <w:rPr>
          <w:lang w:val="en_US" w:bidi="en_US"/>
        </w:rPr>
      </w:r>
      <w:r>
        <w:rPr>
          <w:lang w:val="en_US" w:bidi="en_US"/>
        </w:rPr>
        <w:t>The Parable of the Tenants (NIV)</w:t>
      </w:r>
    </w:p>
    <w:p>
      <w:pPr/>
      <w:r>
        <w:rPr>
          <w:lang w:val="en_US" w:bidi="en_US"/>
        </w:rPr>
      </w:r>
      <w:r>
        <w:rPr>
          <w:lang w:val="en_US" w:bidi="en_US"/>
        </w:rPr>
        <w:t>A story of evil farmers</w:t>
      </w:r>
    </w:p>
    <w:p>
      <w:pPr/>
      <w:r>
        <w:rPr>
          <w:lang w:val="en_US" w:bidi="en_US"/>
        </w:rPr>
      </w:r>
      <w:r>
        <w:rPr>
          <w:lang w:val="en_US" w:bidi="en_US"/>
        </w:rPr>
        <w:t>A parable about bad renters of a vineyard</w:t>
      </w:r>
    </w:p>
    <w:p>
      <w:pPr/>
      <w:r>
        <w:rPr>
          <w:lang w:val="en_US" w:bidi="en_US"/>
        </w:rPr>
      </w:r>
      <w:r>
        <w:rPr>
          <w:lang w:val="en_US" w:bidi="en_US"/>
        </w:rPr>
        <w:t>Parallel passages for this section are in Matthew 21:33–46 and Mark 12:1–12.</w:t>
      </w:r>
    </w:p>
    <w:p>
      <w:pPr>
        <w:pStyle w:val="Heading5"/>
      </w:pPr>
      <w:r>
        <w:rPr>
          <w:lang w:val="en_US" w:bidi="en_US"/>
        </w:rPr>
        <w:t>20:10a</w:t>
      </w:r>
    </w:p>
    <w:p>
      <w:pPr/>
      <w:r>
        <w:rPr>
          <w:lang w:val="en_US" w:bidi="en_US"/>
        </w:rPr>
      </w:r>
      <w:r>
        <w:rPr>
          <w:b/>
          <w:lang w:val="en_US" w:bidi="en_US"/>
        </w:rPr>
        <w:t>At harvest time,</w:t>
      </w:r>
    </w:p>
    <w:p>
      <w:pPr>
        <w:pStyle w:val="ListBullet"/>
        <w:spacing w:line="240" w:lineRule="auto"/>
        <w:ind w:left="720"/>
      </w:pPr>
      <w:r>
        <w:rPr>
          <w:lang w:val="en_US" w:bidi="en_US"/>
        </w:rPr>
      </w:r>
      <w:r>
        <w:rPr>
          <w:lang w:val="en_US" w:bidi="en_US"/>
        </w:rPr>
        <w:t xml:space="preserve">When the time came to harvest </w:t>
      </w:r>
      <w:r>
        <w:rPr>
          <w:lang w:val="en_US" w:bidi="en_US"/>
        </w:rPr>
        <w:t>the grapes</w:t>
      </w:r>
      <w:r>
        <w:rPr>
          <w:lang w:val="en_US" w:bidi="en_US"/>
        </w:rPr>
        <w:t>,</w:t>
      </w:r>
    </w:p>
    <w:p>
      <w:pPr>
        <w:pStyle w:val="ListBullet"/>
        <w:spacing w:line="240" w:lineRule="auto"/>
        <w:ind w:left="720"/>
      </w:pPr>
      <w:r>
        <w:rPr>
          <w:lang w:val="en_US" w:bidi="en_US"/>
        </w:rPr>
      </w:r>
      <w:r>
        <w:rPr>
          <w:lang w:val="en_US" w:bidi="en_US"/>
        </w:rPr>
        <w:t>When the grapes were ripe,</w:t>
      </w:r>
    </w:p>
    <w:p>
      <w:pPr/>
      <w:r>
        <w:rPr>
          <w:lang w:val="en_US" w:bidi="en_US"/>
        </w:rPr>
      </w:r>
      <w:r>
        <w:rPr>
          <w:b/>
          <w:lang w:val="en_US" w:bidi="en_US"/>
        </w:rPr>
        <w:t>At harvest time:</w:t>
      </w:r>
      <w:r>
        <w:rPr>
          <w:lang w:val="en_US" w:bidi="en_US"/>
        </w:rPr>
        <w:t xml:space="preserve"> The Greek word that the BSB translates as </w:t>
      </w:r>
      <w:r>
        <w:rPr>
          <w:i/>
          <w:lang w:val="en_US" w:bidi="en_US"/>
        </w:rPr>
        <w:t>At harvest time</w:t>
      </w:r>
      <w:r>
        <w:rPr>
          <w:lang w:val="en_US" w:bidi="en_US"/>
        </w:rPr>
        <w:t xml:space="preserve"> means “at the right/proper time.” It refers here to </w:t>
      </w:r>
      <w:r>
        <w:rPr>
          <w:i/>
          <w:lang w:val="en_US" w:bidi="en_US"/>
        </w:rPr>
        <w:t>harvest time</w:t>
      </w:r>
      <w:r>
        <w:rPr>
          <w:lang w:val="en_US" w:bidi="en_US"/>
        </w:rPr>
        <w:t xml:space="preserve"> as in the BSB. At that time, the grapes had ripened and were ready to be picked. It can take from four to five years for grape vines to mature and produce good grapes. Other ways to refer to this time here are:</w:t>
      </w:r>
    </w:p>
    <w:p>
      <w:pPr/>
      <w:r>
        <w:rPr>
          <w:lang w:val="en_US" w:bidi="en_US"/>
        </w:rPr>
      </w:r>
      <w:r>
        <w:rPr>
          <w:lang w:val="en_US" w:bidi="en_US"/>
        </w:rPr>
        <w:t>At the right time (GW)</w:t>
      </w:r>
    </w:p>
    <w:p>
      <w:pPr/>
      <w:r>
        <w:rPr>
          <w:lang w:val="en_US" w:bidi="en_US"/>
        </w:rPr>
      </w:r>
      <w:r>
        <w:rPr>
          <w:lang w:val="en_US" w:bidi="en_US"/>
        </w:rPr>
        <w:t>When the time came to gather the grapes (GNT)</w:t>
      </w:r>
    </w:p>
    <w:p>
      <w:pPr>
        <w:pStyle w:val="Heading5"/>
      </w:pPr>
      <w:r>
        <w:rPr>
          <w:lang w:val="en_US" w:bidi="en_US"/>
        </w:rPr>
        <w:t>20:10b–c</w:t>
      </w:r>
    </w:p>
    <w:p>
      <w:pPr/>
      <w:r>
        <w:rPr>
          <w:lang w:val="en_US" w:bidi="en_US"/>
        </w:rPr>
      </w:r>
      <w:r>
        <w:rPr>
          <w:b/>
          <w:lang w:val="en_US" w:bidi="en_US"/>
        </w:rPr>
        <w:t>he sent a servant to the tenants to collect his share of the fruit of the vineyard:</w:t>
      </w:r>
      <w:r>
        <w:rPr>
          <w:lang w:val="en_US" w:bidi="en_US"/>
        </w:rPr>
        <w:t xml:space="preserve"> The Greek word that the BSB translates as </w:t>
      </w:r>
      <w:r>
        <w:rPr>
          <w:i/>
          <w:lang w:val="en_US" w:bidi="en_US"/>
        </w:rPr>
        <w:t>sent</w:t>
      </w:r>
      <w:r>
        <w:rPr>
          <w:lang w:val="en_US" w:bidi="en_US"/>
        </w:rPr>
        <w:t xml:space="preserve"> refers to sending someone to do a certain task or to give a message. Here the owner of the grape farm chose one of his servants to go to the tenants to get his share of the grapes. Some ways to translate this meaning are:</w:t>
      </w:r>
    </w:p>
    <w:p>
      <w:pPr>
        <w:pStyle w:val="ListBullet"/>
        <w:spacing w:line="240" w:lineRule="auto"/>
        <w:ind w:left="720"/>
      </w:pPr>
      <w:r>
        <w:rPr>
          <w:lang w:val="en_US" w:bidi="en_US"/>
        </w:rPr>
      </w:r>
      <w:r>
        <w:rPr>
          <w:lang w:val="en_US" w:bidi="en_US"/>
        </w:rPr>
        <w:t>As a statement that tells the owner’s purpose for sending the servant. For example:</w:t>
      </w:r>
      <w:r>
        <w:rPr>
          <w:lang w:val="en_US" w:bidi="en_US"/>
        </w:rPr>
        <w:t>he sent a slave to the tenants to receive from them his share of the harvest (GNT)</w:t>
      </w:r>
      <w:r>
        <w:rPr>
          <w:lang w:val="en_US" w:bidi="en_US"/>
        </w:rPr>
        <w:t>he sent a servant to the tenants, so that they would give him some of the fruit of the vineyard (ESV)</w:t>
      </w:r>
    </w:p>
    <w:p>
      <w:pPr>
        <w:pStyle w:val="ListBullet"/>
        <w:spacing w:line="240" w:lineRule="auto"/>
        <w:ind w:left="720"/>
      </w:pPr>
      <w:r>
        <w:rPr>
          <w:lang w:val="en_US" w:bidi="en_US"/>
        </w:rPr>
      </w:r>
      <w:r>
        <w:rPr>
          <w:lang w:val="en_US" w:bidi="en_US"/>
        </w:rPr>
        <w:t>As a message that the owner’s servant would give to the tenants. For example:</w:t>
      </w:r>
      <w:r>
        <w:rPr>
          <w:lang w:val="en_US" w:bidi="en_US"/>
        </w:rPr>
        <w:t>he sent a servant to ask the renters for his share of the grapes (CEV)</w:t>
      </w:r>
      <w:r>
        <w:rPr>
          <w:lang w:val="en_US" w:bidi="en_US"/>
        </w:rPr>
        <w:t>he sent a servant to tell the renters that they should give him his share of the grape harvest</w:t>
      </w:r>
      <w:r>
        <w:rPr>
          <w:lang w:val="en_US" w:bidi="en_US"/>
        </w:rPr>
        <w:t>he told one of his servants to go and say to the tenants, “Give me my share of the grapes.”</w:t>
      </w:r>
    </w:p>
    <w:p>
      <w:pPr/>
      <w:r>
        <w:rPr>
          <w:lang w:val="en_US" w:bidi="en_US"/>
        </w:rPr>
      </w:r>
      <w:r>
        <w:rPr>
          <w:lang w:val="en_US" w:bidi="en_US"/>
        </w:rPr>
        <w:t>Notice that the final example uses both indirect and direct speech. Translate the meaning of 20:10b–c in a natural way in your language.</w:t>
      </w:r>
    </w:p>
    <w:p>
      <w:pPr>
        <w:pStyle w:val="Heading5"/>
      </w:pPr>
      <w:r>
        <w:rPr>
          <w:lang w:val="en_US" w:bidi="en_US"/>
        </w:rPr>
        <w:t>20:10b</w:t>
      </w:r>
    </w:p>
    <w:p>
      <w:pPr/>
      <w:r>
        <w:rPr>
          <w:lang w:val="en_US" w:bidi="en_US"/>
        </w:rPr>
      </w:r>
      <w:r>
        <w:rPr>
          <w:b/>
          <w:lang w:val="en_US" w:bidi="en_US"/>
        </w:rPr>
        <w:t>he sent a servant to the tenants</w:t>
      </w:r>
    </w:p>
    <w:p>
      <w:pPr>
        <w:pStyle w:val="ListBullet"/>
        <w:spacing w:line="240" w:lineRule="auto"/>
        <w:ind w:left="720"/>
      </w:pPr>
      <w:r>
        <w:rPr>
          <w:lang w:val="en_US" w:bidi="en_US"/>
        </w:rPr>
      </w:r>
      <w:r>
        <w:rPr>
          <w:lang w:val="en_US" w:bidi="en_US"/>
        </w:rPr>
        <w:t>he sent a servant to the tenant farmers</w:t>
      </w:r>
    </w:p>
    <w:p>
      <w:pPr>
        <w:pStyle w:val="ListBullet"/>
        <w:spacing w:line="240" w:lineRule="auto"/>
        <w:ind w:left="720"/>
      </w:pPr>
      <w:r>
        <w:rPr>
          <w:lang w:val="en_US" w:bidi="en_US"/>
        </w:rPr>
      </w:r>
      <w:r>
        <w:rPr>
          <w:lang w:val="en_US" w:bidi="en_US"/>
        </w:rPr>
        <w:t xml:space="preserve">the land owner sent one of his servants/slaves to the men who were taking care of his farm </w:t>
      </w:r>
      <w:r>
        <w:rPr>
          <w:lang w:val="en_US" w:bidi="en_US"/>
        </w:rPr>
        <w:t>for him</w:t>
      </w:r>
      <w:r>
        <w:rPr>
          <w:lang w:val="en_US" w:bidi="en_US"/>
        </w:rPr>
        <w:t>.</w:t>
      </w:r>
    </w:p>
    <w:p>
      <w:pPr/>
      <w:r>
        <w:rPr>
          <w:lang w:val="en_US" w:bidi="en_US"/>
        </w:rPr>
      </w:r>
      <w:r>
        <w:rPr>
          <w:b/>
          <w:lang w:val="en_US" w:bidi="en_US"/>
        </w:rPr>
        <w:t>servant:</w:t>
      </w:r>
      <w:r>
        <w:rPr>
          <w:lang w:val="en_US" w:bidi="en_US"/>
        </w:rPr>
        <w:t xml:space="preserve"> The Greek word that the BSB translates as </w:t>
      </w:r>
      <w:r>
        <w:rPr>
          <w:i/>
          <w:lang w:val="en_US" w:bidi="en_US"/>
        </w:rPr>
        <w:t>servant</w:t>
      </w:r>
      <w:r>
        <w:rPr>
          <w:lang w:val="en_US" w:bidi="en_US"/>
        </w:rPr>
        <w:t xml:space="preserve"> means “slave,” as in the NRSV. This word refers to someone who was owned by another person. He worked for his owner/master without receiving pay.</w:t>
      </w:r>
    </w:p>
    <w:p>
      <w:pPr/>
      <w:r>
        <w:rPr>
          <w:lang w:val="en_US" w:bidi="en_US"/>
        </w:rPr>
      </w:r>
      <w:r>
        <w:rPr>
          <w:lang w:val="en_US" w:bidi="en_US"/>
        </w:rPr>
        <w:t>In some cultures, slaves may not be known. In other cultures, the word for slave may imply different customs than in biblical culture. If that is true in your language, some ways to translate this are:</w:t>
      </w:r>
    </w:p>
    <w:p>
      <w:pPr/>
      <w:r>
        <w:rPr>
          <w:lang w:val="en_US" w:bidi="en_US"/>
        </w:rPr>
      </w:r>
      <w:r>
        <w:rPr>
          <w:lang w:val="en_US" w:bidi="en_US"/>
        </w:rPr>
        <w:t>worker/servant</w:t>
      </w:r>
    </w:p>
    <w:p>
      <w:pPr/>
      <w:r>
        <w:rPr>
          <w:lang w:val="en_US" w:bidi="en_US"/>
        </w:rPr>
      </w:r>
      <w:r>
        <w:rPr>
          <w:lang w:val="en_US" w:bidi="en_US"/>
        </w:rPr>
        <w:t>owned person</w:t>
      </w:r>
    </w:p>
    <w:p>
      <w:pPr/>
      <w:r>
        <w:rPr>
          <w:lang w:val="en_US" w:bidi="en_US"/>
        </w:rPr>
      </w:r>
      <w:r>
        <w:rPr>
          <w:lang w:val="en_US" w:bidi="en_US"/>
        </w:rPr>
        <w:t>person who serves someone</w:t>
      </w:r>
    </w:p>
    <w:p>
      <w:pPr/>
      <w:r>
        <w:rPr>
          <w:lang w:val="en_US" w:bidi="en_US"/>
        </w:rPr>
      </w:r>
      <w:r>
        <w:rPr>
          <w:b/>
          <w:lang w:val="en_US" w:bidi="en_US"/>
        </w:rPr>
        <w:t>the tenants:</w:t>
      </w:r>
      <w:r>
        <w:rPr>
          <w:lang w:val="en_US" w:bidi="en_US"/>
        </w:rPr>
        <w:t xml:space="preserve"> The Greek word that the BSB translates as </w:t>
      </w:r>
      <w:r>
        <w:rPr>
          <w:i/>
          <w:lang w:val="en_US" w:bidi="en_US"/>
        </w:rPr>
        <w:t>tenants</w:t>
      </w:r>
      <w:r>
        <w:rPr>
          <w:lang w:val="en_US" w:bidi="en_US"/>
        </w:rPr>
        <w:t xml:space="preserve"> is the same word that was translated as “tenants” in 20:9c.</w:t>
      </w:r>
    </w:p>
    <w:p>
      <w:pPr>
        <w:pStyle w:val="Heading5"/>
      </w:pPr>
      <w:r>
        <w:rPr>
          <w:lang w:val="en_US" w:bidi="en_US"/>
        </w:rPr>
        <w:t>20:10c</w:t>
      </w:r>
    </w:p>
    <w:p>
      <w:pPr/>
      <w:r>
        <w:rPr>
          <w:lang w:val="en_US" w:bidi="en_US"/>
        </w:rPr>
      </w:r>
      <w:r>
        <w:rPr>
          <w:b/>
          <w:lang w:val="en_US" w:bidi="en_US"/>
        </w:rPr>
        <w:t>to collect his share of the fruit of the vineyard.</w:t>
      </w:r>
    </w:p>
    <w:p>
      <w:pPr>
        <w:pStyle w:val="ListBullet"/>
        <w:spacing w:line="240" w:lineRule="auto"/>
        <w:ind w:left="720"/>
      </w:pPr>
      <w:r>
        <w:rPr>
          <w:lang w:val="en_US" w:bidi="en_US"/>
        </w:rPr>
      </w:r>
      <w:r>
        <w:rPr>
          <w:lang w:val="en_US" w:bidi="en_US"/>
        </w:rPr>
        <w:t>to tell them</w:t>
      </w:r>
      <w:r>
        <w:rPr>
          <w:lang w:val="en_US" w:bidi="en_US"/>
        </w:rPr>
        <w:t xml:space="preserve"> to give him some of the fruit that the grape farm/garden </w:t>
      </w:r>
      <w:r>
        <w:rPr>
          <w:lang w:val="en_US" w:bidi="en_US"/>
        </w:rPr>
        <w:t>had produced</w:t>
      </w:r>
      <w:r>
        <w:rPr>
          <w:lang w:val="en_US" w:bidi="en_US"/>
        </w:rPr>
        <w:t>.</w:t>
      </w:r>
    </w:p>
    <w:p>
      <w:pPr>
        <w:pStyle w:val="ListBullet"/>
        <w:spacing w:line="240" w:lineRule="auto"/>
        <w:ind w:left="720"/>
      </w:pPr>
      <w:r>
        <w:rPr>
          <w:lang w:val="en_US" w:bidi="en_US"/>
        </w:rPr>
      </w:r>
      <w:r>
        <w:rPr>
          <w:lang w:val="en_US" w:bidi="en_US"/>
        </w:rPr>
        <w:t>with this message:</w:t>
      </w:r>
      <w:r>
        <w:rPr>
          <w:lang w:val="en_US" w:bidi="en_US"/>
        </w:rPr>
        <w:t xml:space="preserve"> ‘Send me fruit from </w:t>
      </w:r>
      <w:r>
        <w:rPr>
          <w:lang w:val="en_US" w:bidi="en_US"/>
        </w:rPr>
        <w:t>my</w:t>
      </w:r>
      <w:r>
        <w:rPr>
          <w:lang w:val="en_US" w:bidi="en_US"/>
        </w:rPr>
        <w:t xml:space="preserve"> grape field/farm </w:t>
      </w:r>
      <w:r>
        <w:rPr>
          <w:lang w:val="en_US" w:bidi="en_US"/>
        </w:rPr>
        <w:t>as we</w:t>
      </w:r>
      <w:r>
        <w:rPr>
          <w:vertAlign w:val="superscript"/>
          <w:lang w:val="en_US" w:bidi="en_US"/>
        </w:rPr>
        <w:t>(incl)</w:t>
      </w:r>
      <w:r>
        <w:rPr>
          <w:lang w:val="en_US" w:bidi="en_US"/>
        </w:rPr>
        <w:t xml:space="preserve"> </w:t>
      </w:r>
      <w:r>
        <w:rPr>
          <w:lang w:val="en_US" w:bidi="en_US"/>
        </w:rPr>
        <w:t>agreed</w:t>
      </w:r>
      <w:r>
        <w:rPr>
          <w:lang w:val="en_US" w:bidi="en_US"/>
        </w:rPr>
        <w:t>.’</w:t>
      </w:r>
    </w:p>
    <w:p>
      <w:pPr>
        <w:pStyle w:val="ListBullet"/>
        <w:spacing w:line="240" w:lineRule="auto"/>
        <w:ind w:left="720"/>
      </w:pPr>
      <w:r>
        <w:rPr>
          <w:lang w:val="en_US" w:bidi="en_US"/>
        </w:rPr>
      </w:r>
      <w:r>
        <w:rPr>
          <w:lang w:val="en_US" w:bidi="en_US"/>
        </w:rPr>
        <w:t>He wanted them</w:t>
      </w:r>
      <w:r>
        <w:rPr>
          <w:lang w:val="en_US" w:bidi="en_US"/>
        </w:rPr>
        <w:t xml:space="preserve"> to send him his share of the ripe grapes.</w:t>
      </w:r>
    </w:p>
    <w:p>
      <w:pPr/>
      <w:r>
        <w:rPr>
          <w:lang w:val="en_US" w:bidi="en_US"/>
        </w:rPr>
      </w:r>
      <w:r>
        <w:rPr>
          <w:b/>
          <w:lang w:val="en_US" w:bidi="en_US"/>
        </w:rPr>
        <w:t>to collect his share of the fruit of the vineyard:</w:t>
      </w:r>
      <w:r>
        <w:rPr>
          <w:lang w:val="en_US" w:bidi="en_US"/>
        </w:rPr>
        <w:t xml:space="preserve"> The pronoun </w:t>
      </w:r>
      <w:r>
        <w:rPr>
          <w:i/>
          <w:lang w:val="en_US" w:bidi="en_US"/>
        </w:rPr>
        <w:t>his</w:t>
      </w:r>
      <w:r>
        <w:rPr>
          <w:lang w:val="en_US" w:bidi="en_US"/>
        </w:rPr>
        <w:t xml:space="preserve"> refers to the owner of the vineyard. The clause does not imply that the owner wanted his servant to have a share of the grapes. Be sure that this is clear in your translation. Some ways to make it clear in English are:</w:t>
      </w:r>
    </w:p>
    <w:p>
      <w:pPr/>
      <w:r>
        <w:rPr>
          <w:lang w:val="en_US" w:bidi="en_US"/>
        </w:rPr>
      </w:r>
      <w:r>
        <w:rPr>
          <w:lang w:val="en_US" w:bidi="en_US"/>
        </w:rPr>
        <w:t>to receive from them his share of the harvest (GNT)</w:t>
      </w:r>
    </w:p>
    <w:p>
      <w:pPr/>
      <w:r>
        <w:rPr>
          <w:lang w:val="en_US" w:bidi="en_US"/>
        </w:rPr>
      </w:r>
      <w:r>
        <w:rPr>
          <w:lang w:val="en_US" w:bidi="en_US"/>
        </w:rPr>
        <w:t>to collect his share of the crop (NLT)</w:t>
      </w:r>
    </w:p>
    <w:p>
      <w:pPr/>
      <w:r>
        <w:rPr>
          <w:lang w:val="en_US" w:bidi="en_US"/>
        </w:rPr>
      </w:r>
      <w:r>
        <w:rPr>
          <w:lang w:val="en_US" w:bidi="en_US"/>
        </w:rPr>
        <w:t>The owner wanted the farmers/tenants to prepare his part of the harvest and entrust it to his servant. Then the servant would take it back to the owner. In some languages it may be helpful to describe this purpose in more detail. For example:</w:t>
      </w:r>
    </w:p>
    <w:p>
      <w:pPr/>
      <w:r>
        <w:rPr>
          <w:lang w:val="en_US" w:bidi="en_US"/>
        </w:rPr>
      </w:r>
      <w:r>
        <w:rPr>
          <w:lang w:val="en_US" w:bidi="en_US"/>
        </w:rPr>
        <w:t xml:space="preserve">that they would send the slave </w:t>
      </w:r>
      <w:r>
        <w:rPr>
          <w:lang w:val="en_US" w:bidi="en_US"/>
        </w:rPr>
        <w:t>back to the owner</w:t>
      </w:r>
      <w:r>
        <w:rPr>
          <w:lang w:val="en_US" w:bidi="en_US"/>
        </w:rPr>
        <w:t xml:space="preserve"> with some of the fruit from the vineyard</w:t>
      </w:r>
    </w:p>
    <w:p>
      <w:pPr/>
      <w:r>
        <w:rPr>
          <w:lang w:val="en_US" w:bidi="en_US"/>
        </w:rPr>
      </w:r>
      <w:r>
        <w:rPr>
          <w:lang w:val="en_US" w:bidi="en_US"/>
        </w:rPr>
        <w:t>that they would give/entrust the owner’s share of the grapes to the servant who would then take it back to the owner</w:t>
      </w:r>
    </w:p>
    <w:p>
      <w:pPr/>
      <w:r>
        <w:rPr>
          <w:lang w:val="en_US" w:bidi="en_US"/>
        </w:rPr>
      </w:r>
      <w:r>
        <w:rPr>
          <w:b/>
          <w:lang w:val="en_US" w:bidi="en_US"/>
        </w:rPr>
        <w:t>his share of the fruit of the vineyard:</w:t>
      </w:r>
      <w:r>
        <w:rPr>
          <w:lang w:val="en_US" w:bidi="en_US"/>
        </w:rPr>
        <w:t xml:space="preserve"> The Greek phrase that the BSB translates as </w:t>
      </w:r>
      <w:r>
        <w:rPr>
          <w:i/>
          <w:lang w:val="en_US" w:bidi="en_US"/>
        </w:rPr>
        <w:t>his share of the fruit of the vineyard</w:t>
      </w:r>
      <w:r>
        <w:rPr>
          <w:lang w:val="en_US" w:bidi="en_US"/>
        </w:rPr>
        <w:t xml:space="preserve"> means “some of the fruit that the vineyard had produced.” Here it refers to the owner’s share of the grape harvest. The owner probably expected to receive either grapes or wine made from the grapes. In 20:9c the owner had made an agreement with the grape farmers/tenants. They agreed that they could keep a certain amount of the fruit from the harvest and that he would get the rest.</w:t>
      </w:r>
    </w:p>
    <w:p>
      <w:pPr>
        <w:pStyle w:val="Heading5"/>
      </w:pPr>
      <w:r>
        <w:rPr>
          <w:lang w:val="en_US" w:bidi="en_US"/>
        </w:rPr>
        <w:t>20:10d</w:t>
      </w:r>
    </w:p>
    <w:p>
      <w:pPr/>
      <w:r>
        <w:rPr>
          <w:lang w:val="en_US" w:bidi="en_US"/>
        </w:rPr>
      </w:r>
      <w:r>
        <w:rPr>
          <w:b/>
          <w:lang w:val="en_US" w:bidi="en_US"/>
        </w:rPr>
        <w:t>But the tenants beat the servant</w:t>
      </w:r>
    </w:p>
    <w:p>
      <w:pPr>
        <w:pStyle w:val="ListBullet"/>
        <w:spacing w:line="240" w:lineRule="auto"/>
        <w:ind w:left="720"/>
      </w:pPr>
      <w:r>
        <w:rPr>
          <w:lang w:val="en_US" w:bidi="en_US"/>
        </w:rPr>
      </w:r>
      <w:r>
        <w:rPr>
          <w:lang w:val="en_US" w:bidi="en_US"/>
        </w:rPr>
        <w:t xml:space="preserve">But/Instead, the tenant farmers beat the servant </w:t>
      </w:r>
      <w:r>
        <w:rPr>
          <w:lang w:val="en_US" w:bidi="en_US"/>
        </w:rPr>
        <w:t>severely</w:t>
      </w:r>
    </w:p>
    <w:p>
      <w:pPr>
        <w:pStyle w:val="ListBullet"/>
        <w:spacing w:line="240" w:lineRule="auto"/>
        <w:ind w:left="720"/>
      </w:pPr>
      <w:r>
        <w:rPr>
          <w:lang w:val="en_US" w:bidi="en_US"/>
        </w:rPr>
      </w:r>
      <w:r>
        <w:rPr>
          <w:lang w:val="en_US" w:bidi="en_US"/>
        </w:rPr>
        <w:t xml:space="preserve">But </w:t>
      </w:r>
      <w:r>
        <w:rPr>
          <w:lang w:val="en_US" w:bidi="en_US"/>
        </w:rPr>
        <w:t>when the servant went to the men with this message,</w:t>
      </w:r>
      <w:r>
        <w:rPr>
          <w:lang w:val="en_US" w:bidi="en_US"/>
        </w:rPr>
        <w:t xml:space="preserve"> the men hit him and bruised him.</w:t>
      </w:r>
    </w:p>
    <w:p>
      <w:pPr>
        <w:pStyle w:val="ListBullet"/>
        <w:spacing w:line="240" w:lineRule="auto"/>
        <w:ind w:left="720"/>
      </w:pPr>
      <w:r>
        <w:rPr>
          <w:lang w:val="en_US" w:bidi="en_US"/>
        </w:rPr>
      </w:r>
      <w:r>
        <w:rPr>
          <w:lang w:val="en_US" w:bidi="en_US"/>
        </w:rPr>
        <w:t xml:space="preserve">However, the farmers </w:t>
      </w:r>
      <w:r>
        <w:rPr>
          <w:lang w:val="en_US" w:bidi="en_US"/>
        </w:rPr>
        <w:t>refused to send any fruit to the owner</w:t>
      </w:r>
      <w:r>
        <w:rPr>
          <w:lang w:val="en_US" w:bidi="en_US"/>
        </w:rPr>
        <w:t xml:space="preserve">. </w:t>
      </w:r>
      <w:r>
        <w:rPr>
          <w:lang w:val="en_US" w:bidi="en_US"/>
        </w:rPr>
        <w:t>Instead</w:t>
      </w:r>
      <w:r>
        <w:rPr>
          <w:lang w:val="en_US" w:bidi="en_US"/>
        </w:rPr>
        <w:t xml:space="preserve"> they gave the servant a beating</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is often translated as “and.” It introduces the next event. The BSB has </w:t>
      </w:r>
      <w:r>
        <w:rPr>
          <w:i/>
          <w:lang w:val="en_US" w:bidi="en_US"/>
        </w:rPr>
        <w:t>But</w:t>
      </w:r>
      <w:r>
        <w:rPr>
          <w:lang w:val="en_US" w:bidi="en_US"/>
        </w:rPr>
        <w:t xml:space="preserve"> to indicate that the tenant farmers did not do what the owner expected in 20:10b–c. Connect 20:10d to 20:10b–c in a natural way in your language.</w:t>
      </w:r>
    </w:p>
    <w:p>
      <w:pPr/>
      <w:r>
        <w:rPr>
          <w:lang w:val="en_US" w:bidi="en_US"/>
        </w:rPr>
      </w:r>
      <w:r>
        <w:rPr>
          <w:lang w:val="en_US" w:bidi="en_US"/>
        </w:rPr>
        <w:t>In some languages it may be natural to say explicitly that the action in this verse happened after the servant arrived at the grape farm. For example:</w:t>
      </w:r>
    </w:p>
    <w:p>
      <w:pPr/>
      <w:r>
        <w:rPr>
          <w:lang w:val="en_US" w:bidi="en_US"/>
        </w:rPr>
      </w:r>
      <w:r>
        <w:rPr>
          <w:lang w:val="en_US" w:bidi="en_US"/>
        </w:rPr>
        <w:t xml:space="preserve">But </w:t>
      </w:r>
      <w:r>
        <w:rPr>
          <w:lang w:val="en_US" w:bidi="en_US"/>
        </w:rPr>
        <w:t>after the servant arrived</w:t>
      </w:r>
    </w:p>
    <w:p>
      <w:pPr/>
      <w:r>
        <w:rPr>
          <w:lang w:val="en_US" w:bidi="en_US"/>
        </w:rPr>
      </w:r>
      <w:r>
        <w:rPr>
          <w:b/>
          <w:lang w:val="en_US" w:bidi="en_US"/>
        </w:rPr>
        <w:t>the tenants beat the servant and sent him away empty-handed:</w:t>
      </w:r>
      <w:r>
        <w:rPr>
          <w:lang w:val="en_US" w:bidi="en_US"/>
        </w:rPr>
        <w:t xml:space="preserve"> The phrase indicates that the grape farmers/tenants showed that they rejected the owner’s request by beating his servant. In some languages it may be helpful to make it clear that they refused the owner’s request. For example:</w:t>
      </w:r>
    </w:p>
    <w:p>
      <w:pPr/>
      <w:r>
        <w:rPr>
          <w:lang w:val="en_US" w:bidi="en_US"/>
        </w:rPr>
      </w:r>
      <w:r>
        <w:rPr>
          <w:lang w:val="en_US" w:bidi="en_US"/>
        </w:rPr>
        <w:t xml:space="preserve">But the tenants </w:t>
      </w:r>
      <w:r>
        <w:rPr>
          <w:lang w:val="en_US" w:bidi="en_US"/>
        </w:rPr>
        <w:t>refused. They</w:t>
      </w:r>
      <w:r>
        <w:rPr>
          <w:lang w:val="en_US" w:bidi="en_US"/>
        </w:rPr>
        <w:t xml:space="preserve"> beat the servant, and sent him away without any grapes.</w:t>
      </w:r>
    </w:p>
    <w:p>
      <w:pPr/>
      <w:r>
        <w:rPr>
          <w:lang w:val="en_US" w:bidi="en_US"/>
        </w:rPr>
      </w:r>
      <w:r>
        <w:rPr>
          <w:b/>
          <w:lang w:val="en_US" w:bidi="en_US"/>
        </w:rPr>
        <w:t>beat:</w:t>
      </w:r>
      <w:r>
        <w:rPr>
          <w:lang w:val="en_US" w:bidi="en_US"/>
        </w:rPr>
        <w:t xml:space="preserve"> The Greek word that the BSB translates as </w:t>
      </w:r>
      <w:r>
        <w:rPr>
          <w:i/>
          <w:lang w:val="en_US" w:bidi="en_US"/>
        </w:rPr>
        <w:t>beat</w:t>
      </w:r>
      <w:r>
        <w:rPr>
          <w:lang w:val="en_US" w:bidi="en_US"/>
        </w:rPr>
        <w:t xml:space="preserve"> means to hit repeatedly and cause bruises.</w:t>
      </w:r>
    </w:p>
    <w:p>
      <w:pPr>
        <w:pStyle w:val="Heading5"/>
      </w:pPr>
      <w:r>
        <w:rPr>
          <w:lang w:val="en_US" w:bidi="en_US"/>
        </w:rPr>
        <w:t>20:10e</w:t>
      </w:r>
    </w:p>
    <w:p>
      <w:pPr/>
      <w:r>
        <w:rPr>
          <w:lang w:val="en_US" w:bidi="en_US"/>
        </w:rPr>
      </w:r>
      <w:r>
        <w:rPr>
          <w:b/>
          <w:lang w:val="en_US" w:bidi="en_US"/>
        </w:rPr>
        <w:t>and sent him away empty-handed.</w:t>
      </w:r>
    </w:p>
    <w:p>
      <w:pPr>
        <w:pStyle w:val="ListBullet"/>
        <w:spacing w:line="240" w:lineRule="auto"/>
        <w:ind w:left="720"/>
      </w:pPr>
      <w:r>
        <w:rPr>
          <w:lang w:val="en_US" w:bidi="en_US"/>
        </w:rPr>
      </w:r>
      <w:r>
        <w:rPr>
          <w:lang w:val="en_US" w:bidi="en_US"/>
        </w:rPr>
        <w:t xml:space="preserve">and sent him away/back without any </w:t>
      </w:r>
      <w:r>
        <w:rPr>
          <w:lang w:val="en_US" w:bidi="en_US"/>
        </w:rPr>
        <w:t>grapes</w:t>
      </w:r>
      <w:r>
        <w:rPr>
          <w:lang w:val="en_US" w:bidi="en_US"/>
        </w:rPr>
        <w:t>.</w:t>
      </w:r>
    </w:p>
    <w:p>
      <w:pPr>
        <w:pStyle w:val="ListBullet"/>
        <w:spacing w:line="240" w:lineRule="auto"/>
        <w:ind w:left="720"/>
      </w:pPr>
      <w:r>
        <w:rPr>
          <w:lang w:val="en_US" w:bidi="en_US"/>
        </w:rPr>
      </w:r>
      <w:r>
        <w:rPr>
          <w:lang w:val="en_US" w:bidi="en_US"/>
        </w:rPr>
        <w:t>They said, “Go</w:t>
      </w:r>
      <w:r>
        <w:rPr>
          <w:vertAlign w:val="superscript"/>
          <w:lang w:val="en_US" w:bidi="en_US"/>
        </w:rPr>
        <w:t>(sing)</w:t>
      </w:r>
      <w:r>
        <w:rPr>
          <w:lang w:val="en_US" w:bidi="en_US"/>
        </w:rPr>
        <w:t xml:space="preserve"> away! We</w:t>
      </w:r>
      <w:r>
        <w:rPr>
          <w:vertAlign w:val="superscript"/>
          <w:lang w:val="en_US" w:bidi="en_US"/>
        </w:rPr>
        <w:t>(excl)</w:t>
      </w:r>
      <w:r>
        <w:rPr>
          <w:lang w:val="en_US" w:bidi="en_US"/>
        </w:rPr>
        <w:t xml:space="preserve"> will not send </w:t>
      </w:r>
      <w:r>
        <w:rPr>
          <w:lang w:val="en_US" w:bidi="en_US"/>
        </w:rPr>
        <w:t>the owner</w:t>
      </w:r>
      <w:r>
        <w:rPr>
          <w:lang w:val="en_US" w:bidi="en_US"/>
        </w:rPr>
        <w:t xml:space="preserve"> any </w:t>
      </w:r>
      <w:r>
        <w:rPr>
          <w:lang w:val="en_US" w:bidi="en_US"/>
        </w:rPr>
        <w:t>fruit</w:t>
      </w:r>
      <w:r>
        <w:rPr>
          <w:lang w:val="en_US" w:bidi="en_US"/>
        </w:rPr>
        <w:t>.”</w:t>
      </w:r>
    </w:p>
    <w:p>
      <w:pPr>
        <w:pStyle w:val="ListBullet"/>
        <w:spacing w:line="240" w:lineRule="auto"/>
        <w:ind w:left="720"/>
      </w:pPr>
      <w:r>
        <w:rPr>
          <w:lang w:val="en_US" w:bidi="en_US"/>
        </w:rPr>
      </w:r>
      <w:r>
        <w:rPr>
          <w:lang w:val="en_US" w:bidi="en_US"/>
        </w:rPr>
        <w:t>and made him leave with nothing.</w:t>
      </w:r>
    </w:p>
    <w:p>
      <w:pPr/>
      <w:r>
        <w:rPr>
          <w:lang w:val="en_US" w:bidi="en_US"/>
        </w:rPr>
      </w:r>
      <w:r>
        <w:rPr>
          <w:b/>
          <w:lang w:val="en_US" w:bidi="en_US"/>
        </w:rPr>
        <w:t>sent him away empty-handed:</w:t>
      </w:r>
      <w:r>
        <w:rPr>
          <w:lang w:val="en_US" w:bidi="en_US"/>
        </w:rPr>
        <w:t xml:space="preserve"> The Greek phrase that the BSB translates as </w:t>
      </w:r>
      <w:r>
        <w:rPr>
          <w:i/>
          <w:lang w:val="en_US" w:bidi="en_US"/>
        </w:rPr>
        <w:t>sent him away empty-handed</w:t>
      </w:r>
      <w:r>
        <w:rPr>
          <w:lang w:val="en_US" w:bidi="en_US"/>
        </w:rPr>
        <w:t xml:space="preserve"> is literally “sent him out empty.” It indicates that the farmers/tenants sent the owner’s servant out of the garden/vineyard without giving him any grapes from the harvest. Other ways to translate 20:10d–e are:</w:t>
      </w:r>
    </w:p>
    <w:p>
      <w:pPr/>
      <w:r>
        <w:rPr>
          <w:lang w:val="en_US" w:bidi="en_US"/>
        </w:rPr>
      </w:r>
      <w:r>
        <w:rPr>
          <w:lang w:val="en_US" w:bidi="en_US"/>
        </w:rPr>
        <w:t>But the tenants/farmers gave him no grapes, beat him up, and sent him out of the garden.</w:t>
      </w:r>
    </w:p>
    <w:p>
      <w:pPr/>
      <w:r>
        <w:rPr>
          <w:lang w:val="en_US" w:bidi="en_US"/>
        </w:rPr>
      </w:r>
      <w:r>
        <w:rPr>
          <w:lang w:val="en_US" w:bidi="en_US"/>
        </w:rPr>
        <w:t xml:space="preserve">The tenants did not give him </w:t>
      </w:r>
      <w:r>
        <w:rPr>
          <w:lang w:val="en_US" w:bidi="en_US"/>
        </w:rPr>
        <w:t>any</w:t>
      </w:r>
      <w:r>
        <w:rPr>
          <w:lang w:val="en_US" w:bidi="en_US"/>
        </w:rPr>
        <w:t xml:space="preserve"> grapes, </w:t>
      </w:r>
      <w:r>
        <w:rPr>
          <w:lang w:val="en_US" w:bidi="en_US"/>
        </w:rPr>
        <w:t>rather</w:t>
      </w:r>
      <w:r>
        <w:rPr>
          <w:lang w:val="en_US" w:bidi="en_US"/>
        </w:rPr>
        <w:t xml:space="preserve"> they beat him and sent him </w:t>
      </w:r>
      <w:r>
        <w:rPr>
          <w:lang w:val="en_US" w:bidi="en_US"/>
        </w:rPr>
        <w:t>back to his master</w:t>
      </w:r>
      <w:r>
        <w:rPr>
          <w:lang w:val="en_US" w:bidi="en_US"/>
        </w:rPr>
        <w:t>.</w:t>
      </w:r>
      <w:r>
        <w:rPr>
          <w:lang w:val="en_US" w:bidi="en_US"/>
        </w:rPr>
      </w:r>
      <w:r>
        <w:rPr>
          <w:lang w:val="en_US" w:bidi="en_US"/>
        </w:rPr>
      </w:r>
    </w:p>
    <w:p>
      <w:pPr/>
      <w:r>
        <w:rPr>
          <w:lang w:val="en_US" w:bidi="en_US"/>
        </w:rPr>
      </w:r>
    </w:p>
    <w:p>
      <w:pPr>
        <w:pStyle w:val="Heading2"/>
      </w:pPr>
      <w:r>
        <w:rPr>
          <w:lang w:val="en_US" w:bidi="en_US"/>
        </w:rPr>
        <w:t>Luke 20:11</w:t>
      </w:r>
      <w:r>
        <w:rPr>
          <w:lang w:val="en_US" w:bidi="en_US"/>
        </w:rPr>
      </w:r>
    </w:p>
    <w:p>
      <w:pPr>
        <w:pStyle w:val="Heading4"/>
      </w:pPr>
      <w:r>
        <w:rPr>
          <w:lang w:val="en_US" w:bidi="en_US"/>
        </w:rPr>
        <w:t>Section 20:9–19: Jesus told a parable about some evil tenant farmers</w:t>
      </w:r>
    </w:p>
    <w:p>
      <w:pPr/>
      <w:r>
        <w:rPr>
          <w:lang w:val="en_US" w:bidi="en_US"/>
        </w:rPr>
      </w:r>
      <w:r>
        <w:rPr>
          <w:lang w:val="en_US" w:bidi="en_US"/>
        </w:rPr>
        <w:t>In 20:1–8 the Jewish religious leaders asked Jesus two questions about his authority. In this section Jesus used a parable to answer those questions in an indirect way. The Jewish leaders showed that they understood this parable by their response in 20:19.</w:t>
      </w:r>
    </w:p>
    <w:p>
      <w:pPr/>
      <w:r>
        <w:rPr>
          <w:lang w:val="en_US" w:bidi="en_US"/>
        </w:rPr>
      </w:r>
      <w:r>
        <w:rPr>
          <w:lang w:val="en_US" w:bidi="en_US"/>
        </w:rP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pPr/>
      <w:r>
        <w:rPr>
          <w:lang w:val="en_US" w:bidi="en_US"/>
        </w:rPr>
      </w:r>
      <w:r>
        <w:rPr>
          <w:lang w:val="en_US" w:bidi="en_US"/>
        </w:rP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pPr/>
      <w:r>
        <w:rPr>
          <w:lang w:val="en_US" w:bidi="en_US"/>
        </w:rPr>
      </w:r>
      <w:r>
        <w:rPr>
          <w:lang w:val="en_US" w:bidi="en_US"/>
        </w:rP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pPr/>
      <w:r>
        <w:rPr>
          <w:lang w:val="en_US" w:bidi="en_US"/>
        </w:rPr>
      </w:r>
      <w:r>
        <w:rPr>
          <w:lang w:val="en_US" w:bidi="en_US"/>
        </w:rPr>
        <w:t>Examples of headings for this section are:</w:t>
      </w:r>
    </w:p>
    <w:p>
      <w:pPr/>
      <w:r>
        <w:rPr>
          <w:lang w:val="en_US" w:bidi="en_US"/>
        </w:rPr>
      </w:r>
      <w:r>
        <w:rPr>
          <w:lang w:val="en_US" w:bidi="en_US"/>
        </w:rPr>
        <w:t>The Parable of the Tenants (NIV)</w:t>
      </w:r>
    </w:p>
    <w:p>
      <w:pPr/>
      <w:r>
        <w:rPr>
          <w:lang w:val="en_US" w:bidi="en_US"/>
        </w:rPr>
      </w:r>
      <w:r>
        <w:rPr>
          <w:lang w:val="en_US" w:bidi="en_US"/>
        </w:rPr>
        <w:t>A story of evil farmers</w:t>
      </w:r>
    </w:p>
    <w:p>
      <w:pPr/>
      <w:r>
        <w:rPr>
          <w:lang w:val="en_US" w:bidi="en_US"/>
        </w:rPr>
      </w:r>
      <w:r>
        <w:rPr>
          <w:lang w:val="en_US" w:bidi="en_US"/>
        </w:rPr>
        <w:t>A parable about bad renters of a vineyard</w:t>
      </w:r>
    </w:p>
    <w:p>
      <w:pPr/>
      <w:r>
        <w:rPr>
          <w:lang w:val="en_US" w:bidi="en_US"/>
        </w:rPr>
      </w:r>
      <w:r>
        <w:rPr>
          <w:lang w:val="en_US" w:bidi="en_US"/>
        </w:rPr>
        <w:t>Parallel passages for this section are in Matthew 21:33–46 and Mark 12:1–12.</w:t>
      </w:r>
    </w:p>
    <w:p>
      <w:pPr>
        <w:pStyle w:val="Heading5"/>
      </w:pPr>
      <w:r>
        <w:rPr>
          <w:lang w:val="en_US" w:bidi="en_US"/>
        </w:rPr>
        <w:t>20:11a</w:t>
      </w:r>
    </w:p>
    <w:p>
      <w:pPr/>
      <w:r>
        <w:rPr>
          <w:lang w:val="en_US" w:bidi="en_US"/>
        </w:rPr>
      </w:r>
      <w:r>
        <w:rPr>
          <w:b/>
          <w:lang w:val="en_US" w:bidi="en_US"/>
        </w:rPr>
        <w:t>So he sent another servant,</w:t>
      </w:r>
    </w:p>
    <w:p>
      <w:pPr>
        <w:pStyle w:val="ListBullet"/>
        <w:spacing w:line="240" w:lineRule="auto"/>
        <w:ind w:left="720"/>
      </w:pPr>
      <w:r>
        <w:rPr>
          <w:lang w:val="en_US" w:bidi="en_US"/>
        </w:rPr>
      </w:r>
      <w:r>
        <w:rPr>
          <w:lang w:val="en_US" w:bidi="en_US"/>
        </w:rPr>
        <w:t xml:space="preserve">Again </w:t>
      </w:r>
      <w:r>
        <w:rPr>
          <w:lang w:val="en_US" w:bidi="en_US"/>
        </w:rPr>
        <w:t>the owner</w:t>
      </w:r>
      <w:r>
        <w:rPr>
          <w:lang w:val="en_US" w:bidi="en_US"/>
        </w:rPr>
        <w:t xml:space="preserve"> sent another </w:t>
      </w:r>
      <w:r>
        <w:rPr>
          <w:lang w:val="en_US" w:bidi="en_US"/>
        </w:rPr>
        <w:t>of his</w:t>
      </w:r>
      <w:r>
        <w:rPr>
          <w:lang w:val="en_US" w:bidi="en_US"/>
        </w:rPr>
        <w:t xml:space="preserve"> servants,</w:t>
      </w:r>
    </w:p>
    <w:p>
      <w:pPr>
        <w:pStyle w:val="ListBullet"/>
        <w:spacing w:line="240" w:lineRule="auto"/>
        <w:ind w:left="720"/>
      </w:pPr>
      <w:r>
        <w:rPr>
          <w:lang w:val="en_US" w:bidi="en_US"/>
        </w:rPr>
      </w:r>
      <w:r>
        <w:rPr>
          <w:lang w:val="en_US" w:bidi="en_US"/>
        </w:rPr>
        <w:t>So the owner sent another servant. (CEV)</w:t>
      </w:r>
    </w:p>
    <w:p>
      <w:pPr>
        <w:pStyle w:val="ListBullet"/>
        <w:spacing w:line="240" w:lineRule="auto"/>
        <w:ind w:left="720"/>
      </w:pPr>
      <w:r>
        <w:rPr>
          <w:lang w:val="en_US" w:bidi="en_US"/>
        </w:rPr>
      </w:r>
      <w:r>
        <w:rPr>
          <w:lang w:val="en_US" w:bidi="en_US"/>
        </w:rPr>
        <w:t>When the servant returned to the owner and told him what happened,</w:t>
      </w:r>
      <w:r>
        <w:rPr>
          <w:lang w:val="en_US" w:bidi="en_US"/>
        </w:rPr>
        <w:t xml:space="preserve"> the owner sent a second servant </w:t>
      </w:r>
      <w:r>
        <w:rPr>
          <w:lang w:val="en_US" w:bidi="en_US"/>
        </w:rPr>
        <w:t>to the farmers</w:t>
      </w:r>
      <w:r>
        <w:rPr>
          <w:lang w:val="en_US" w:bidi="en_US"/>
        </w:rPr>
        <w:t>.</w:t>
      </w:r>
    </w:p>
    <w:p>
      <w:pPr/>
      <w:r>
        <w:rPr>
          <w:lang w:val="en_US" w:bidi="en_US"/>
        </w:rPr>
      </w:r>
      <w:r>
        <w:rPr>
          <w:b/>
          <w:lang w:val="en_US" w:bidi="en_US"/>
        </w:rPr>
        <w:t>So he sent another servant:</w:t>
      </w:r>
      <w:r>
        <w:rPr>
          <w:lang w:val="en_US" w:bidi="en_US"/>
        </w:rPr>
        <w:t xml:space="preserve"> In Greek, this clause is literally “And he proceeded to send another slave,” as in the NASB. It tells what the owner of the vineyard did when his servant returned without any grapes. He sent another servant. In some languages it may be helpful to use a different conjunction or a phrase or clause to introduce the event. For example:</w:t>
      </w:r>
    </w:p>
    <w:p>
      <w:pPr/>
      <w:r>
        <w:rPr>
          <w:lang w:val="en_US" w:bidi="en_US"/>
        </w:rPr>
      </w:r>
      <w:r>
        <w:rPr>
          <w:lang w:val="en_US" w:bidi="en_US"/>
        </w:rPr>
        <w:t>So/Then he sent a different servant.</w:t>
      </w:r>
    </w:p>
    <w:p>
      <w:pPr/>
      <w:r>
        <w:rPr>
          <w:lang w:val="en_US" w:bidi="en_US"/>
        </w:rPr>
      </w:r>
      <w:r>
        <w:rPr>
          <w:lang w:val="en_US" w:bidi="en_US"/>
        </w:rPr>
        <w:t xml:space="preserve">After </w:t>
      </w:r>
      <w:r>
        <w:rPr>
          <w:lang w:val="en_US" w:bidi="en_US"/>
        </w:rPr>
        <w:t>that servant returned empty-handed</w:t>
      </w:r>
      <w:r>
        <w:rPr>
          <w:lang w:val="en_US" w:bidi="en_US"/>
        </w:rPr>
        <w:t>, the owner sent another servant.</w:t>
      </w:r>
    </w:p>
    <w:p>
      <w:pPr/>
      <w:r>
        <w:rPr>
          <w:lang w:val="en_US" w:bidi="en_US"/>
        </w:rPr>
      </w:r>
      <w:r>
        <w:rPr>
          <w:lang w:val="en_US" w:bidi="en_US"/>
        </w:rPr>
        <w:t>He tried again and sent a second servant… (REB)</w:t>
      </w:r>
    </w:p>
    <w:p>
      <w:pPr>
        <w:pStyle w:val="Heading5"/>
      </w:pPr>
      <w:r>
        <w:rPr>
          <w:lang w:val="en_US" w:bidi="en_US"/>
        </w:rPr>
        <w:t>20:11b</w:t>
      </w:r>
    </w:p>
    <w:p>
      <w:pPr/>
      <w:r>
        <w:rPr>
          <w:lang w:val="en_US" w:bidi="en_US"/>
        </w:rPr>
      </w:r>
      <w:r>
        <w:rPr>
          <w:b/>
          <w:lang w:val="en_US" w:bidi="en_US"/>
        </w:rPr>
        <w:t>but they beat him and treated him shamefully,</w:t>
      </w:r>
    </w:p>
    <w:p>
      <w:pPr>
        <w:pStyle w:val="ListBullet"/>
        <w:spacing w:line="240" w:lineRule="auto"/>
        <w:ind w:left="720"/>
      </w:pPr>
      <w:r>
        <w:rPr>
          <w:lang w:val="en_US" w:bidi="en_US"/>
        </w:rPr>
      </w:r>
      <w:r>
        <w:rPr>
          <w:lang w:val="en_US" w:bidi="en_US"/>
        </w:rPr>
        <w:t>but they beat him too and insulted/dishonored him.</w:t>
      </w:r>
    </w:p>
    <w:p>
      <w:pPr>
        <w:pStyle w:val="ListBullet"/>
        <w:spacing w:line="240" w:lineRule="auto"/>
        <w:ind w:left="720"/>
      </w:pPr>
      <w:r>
        <w:rPr>
          <w:lang w:val="en_US" w:bidi="en_US"/>
        </w:rPr>
      </w:r>
      <w:r>
        <w:rPr>
          <w:lang w:val="en_US" w:bidi="en_US"/>
        </w:rPr>
        <w:t>When he went to them,</w:t>
      </w:r>
      <w:r>
        <w:rPr>
          <w:lang w:val="en_US" w:bidi="en_US"/>
        </w:rPr>
        <w:t xml:space="preserve"> they beat him too and humiliated him.</w:t>
      </w:r>
    </w:p>
    <w:p>
      <w:pPr>
        <w:pStyle w:val="Heading5"/>
      </w:pPr>
      <w:r>
        <w:rPr>
          <w:lang w:val="en_US" w:bidi="en_US"/>
        </w:rPr>
        <w:t>20:11c</w:t>
      </w:r>
    </w:p>
    <w:p>
      <w:pPr/>
      <w:r>
        <w:rPr>
          <w:lang w:val="en_US" w:bidi="en_US"/>
        </w:rPr>
      </w:r>
      <w:r>
        <w:rPr>
          <w:b/>
          <w:lang w:val="en_US" w:bidi="en_US"/>
        </w:rPr>
        <w:t>sending him away empty-handed.</w:t>
      </w:r>
    </w:p>
    <w:p>
      <w:pPr>
        <w:pStyle w:val="ListBullet"/>
        <w:spacing w:line="240" w:lineRule="auto"/>
        <w:ind w:left="720"/>
      </w:pPr>
      <w:r>
        <w:rPr>
          <w:lang w:val="en_US" w:bidi="en_US"/>
        </w:rPr>
      </w:r>
      <w:r>
        <w:rPr>
          <w:lang w:val="en_US" w:bidi="en_US"/>
        </w:rPr>
        <w:t xml:space="preserve">Then </w:t>
      </w:r>
      <w:r>
        <w:rPr>
          <w:lang w:val="en_US" w:bidi="en_US"/>
        </w:rPr>
        <w:t>they</w:t>
      </w:r>
      <w:r>
        <w:rPr>
          <w:lang w:val="en_US" w:bidi="en_US"/>
        </w:rPr>
        <w:t xml:space="preserve"> sent </w:t>
      </w:r>
      <w:r>
        <w:rPr>
          <w:lang w:val="en_US" w:bidi="en_US"/>
        </w:rPr>
        <w:t>him</w:t>
      </w:r>
      <w:r>
        <w:rPr>
          <w:lang w:val="en_US" w:bidi="en_US"/>
        </w:rPr>
        <w:t xml:space="preserve"> away without anything.</w:t>
      </w:r>
    </w:p>
    <w:p>
      <w:pPr>
        <w:pStyle w:val="ListBullet"/>
        <w:spacing w:line="240" w:lineRule="auto"/>
        <w:ind w:left="720"/>
      </w:pPr>
      <w:r>
        <w:rPr>
          <w:lang w:val="en_US" w:bidi="en_US"/>
        </w:rPr>
      </w:r>
      <w:r>
        <w:rPr>
          <w:lang w:val="en_US" w:bidi="en_US"/>
        </w:rPr>
        <w:t>They did</w:t>
      </w:r>
      <w:r>
        <w:rPr>
          <w:lang w:val="en_US" w:bidi="en_US"/>
        </w:rPr>
        <w:t xml:space="preserve"> not </w:t>
      </w:r>
      <w:r>
        <w:rPr>
          <w:lang w:val="en_US" w:bidi="en_US"/>
        </w:rPr>
        <w:t>give</w:t>
      </w:r>
      <w:r>
        <w:rPr>
          <w:lang w:val="en_US" w:bidi="en_US"/>
        </w:rPr>
        <w:t xml:space="preserve"> </w:t>
      </w:r>
      <w:r>
        <w:rPr>
          <w:lang w:val="en_US" w:bidi="en_US"/>
        </w:rPr>
        <w:t>him</w:t>
      </w:r>
      <w:r>
        <w:rPr>
          <w:lang w:val="en_US" w:bidi="en_US"/>
        </w:rPr>
        <w:t xml:space="preserve"> </w:t>
      </w:r>
      <w:r>
        <w:rPr>
          <w:lang w:val="en_US" w:bidi="en_US"/>
        </w:rPr>
        <w:t>the owner’s share of</w:t>
      </w:r>
      <w:r>
        <w:rPr>
          <w:lang w:val="en_US" w:bidi="en_US"/>
        </w:rPr>
        <w:t xml:space="preserve"> </w:t>
      </w:r>
      <w:r>
        <w:rPr>
          <w:lang w:val="en_US" w:bidi="en_US"/>
        </w:rPr>
        <w:t>the grapes</w:t>
      </w:r>
      <w:r>
        <w:rPr>
          <w:lang w:val="en_US" w:bidi="en_US"/>
        </w:rPr>
        <w:t xml:space="preserve"> to take back </w:t>
      </w:r>
      <w:r>
        <w:rPr>
          <w:lang w:val="en_US" w:bidi="en_US"/>
        </w:rPr>
        <w:t>to him</w:t>
      </w:r>
      <w:r>
        <w:rPr>
          <w:lang w:val="en_US" w:bidi="en_US"/>
        </w:rPr>
        <w:t>.</w:t>
      </w:r>
    </w:p>
    <w:p>
      <w:pPr>
        <w:pStyle w:val="Heading5"/>
      </w:pPr>
      <w:r>
        <w:rPr>
          <w:lang w:val="en_US" w:bidi="en_US"/>
        </w:rPr>
        <w:t>20:11b–c</w:t>
      </w:r>
    </w:p>
    <w:p>
      <w:pPr/>
      <w:r>
        <w:rPr>
          <w:lang w:val="en_US" w:bidi="en_US"/>
        </w:rPr>
      </w:r>
      <w:r>
        <w:rPr>
          <w:b/>
          <w:lang w:val="en_US" w:bidi="en_US"/>
        </w:rPr>
        <w:t>but they beat him and treated him shamefully, sending him away empty-handed:</w:t>
      </w:r>
      <w:r>
        <w:rPr>
          <w:lang w:val="en_US" w:bidi="en_US"/>
        </w:rPr>
        <w:t xml:space="preserve"> The farmers/tenants also abused this slave/servant that the master sent to them. Some other ways to translate this clause are:</w:t>
      </w:r>
    </w:p>
    <w:p>
      <w:pPr/>
      <w:r>
        <w:rPr>
          <w:lang w:val="en_US" w:bidi="en_US"/>
        </w:rPr>
      </w:r>
      <w:r>
        <w:rPr>
          <w:lang w:val="en_US" w:bidi="en_US"/>
        </w:rPr>
        <w:t>…that one also they beat and insulted and sent away empty-handed. (NRSV)</w:t>
      </w:r>
    </w:p>
    <w:p>
      <w:pPr/>
      <w:r>
        <w:rPr>
          <w:lang w:val="en_US" w:bidi="en_US"/>
        </w:rPr>
      </w:r>
      <w:r>
        <w:rPr>
          <w:lang w:val="en_US" w:bidi="en_US"/>
        </w:rPr>
        <w:t>They beat this one too, treated him outrageously, and sent him away empty-handed. (NET)</w:t>
      </w:r>
    </w:p>
    <w:p>
      <w:pPr/>
      <w:r>
        <w:rPr>
          <w:lang w:val="en_US" w:bidi="en_US"/>
        </w:rPr>
      </w:r>
      <w:r>
        <w:rPr>
          <w:lang w:val="en_US" w:bidi="en_US"/>
        </w:rPr>
        <w:t>They insulted him and beat him. Then they made him return to his master without any grapes.</w:t>
      </w:r>
    </w:p>
    <w:p>
      <w:pPr/>
      <w:r>
        <w:rPr>
          <w:lang w:val="en_US" w:bidi="en_US"/>
        </w:rPr>
      </w:r>
      <w:r>
        <w:rPr>
          <w:b/>
          <w:lang w:val="en_US" w:bidi="en_US"/>
        </w:rPr>
        <w:t>beat:</w:t>
      </w:r>
      <w:r>
        <w:rPr>
          <w:lang w:val="en_US" w:bidi="en_US"/>
        </w:rPr>
        <w:t xml:space="preserve"> The word </w:t>
      </w:r>
      <w:r>
        <w:rPr>
          <w:i/>
          <w:lang w:val="en_US" w:bidi="en_US"/>
        </w:rPr>
        <w:t>beat</w:t>
      </w:r>
      <w:r>
        <w:rPr>
          <w:lang w:val="en_US" w:bidi="en_US"/>
        </w:rPr>
        <w:t xml:space="preserve"> is the same Greek word that was used in 20:10d.</w:t>
      </w:r>
    </w:p>
    <w:p>
      <w:pPr/>
      <w:r>
        <w:rPr>
          <w:lang w:val="en_US" w:bidi="en_US"/>
        </w:rPr>
      </w:r>
      <w:r>
        <w:rPr>
          <w:b/>
          <w:lang w:val="en_US" w:bidi="en_US"/>
        </w:rPr>
        <w:t>treated him shamefully:</w:t>
      </w:r>
      <w:r>
        <w:rPr>
          <w:lang w:val="en_US" w:bidi="en_US"/>
        </w:rPr>
        <w:t xml:space="preserve"> The Greek verb that the BSB translates as </w:t>
      </w:r>
      <w:r>
        <w:rPr>
          <w:i/>
          <w:lang w:val="en_US" w:bidi="en_US"/>
        </w:rPr>
        <w:t>treated…shamefully</w:t>
      </w:r>
      <w:r>
        <w:rPr>
          <w:lang w:val="en_US" w:bidi="en_US"/>
        </w:rPr>
        <w:t xml:space="preserve"> means “dishonored, insulted.” It refers to treating a person badly in order to humiliate him. By treating the servant with contempt in that way, the farmers/tenants were also treating his master, the owner, with contempt. In some languages there may be an idiom to express this meaning. Some other ways to translate the meaning are:</w:t>
      </w:r>
    </w:p>
    <w:p>
      <w:pPr/>
      <w:r>
        <w:rPr>
          <w:lang w:val="en_US" w:bidi="en_US"/>
        </w:rPr>
      </w:r>
      <w:r>
        <w:rPr>
          <w:lang w:val="en_US" w:bidi="en_US"/>
        </w:rPr>
        <w:t>treated him outrageously (NET)</w:t>
      </w:r>
    </w:p>
    <w:p>
      <w:pPr/>
      <w:r>
        <w:rPr>
          <w:lang w:val="en_US" w:bidi="en_US"/>
        </w:rPr>
      </w:r>
      <w:r>
        <w:rPr>
          <w:lang w:val="en_US" w:bidi="en_US"/>
        </w:rPr>
        <w:t>manhandling him disgracefully (JBP)</w:t>
      </w:r>
    </w:p>
    <w:p>
      <w:pPr/>
      <w:r>
        <w:rPr>
          <w:lang w:val="en_US" w:bidi="en_US"/>
        </w:rPr>
      </w:r>
      <w:r>
        <w:rPr>
          <w:lang w:val="en_US" w:bidi="en_US"/>
        </w:rPr>
        <w:t>They insulted him terribly (CEV)</w:t>
      </w:r>
      <w:r>
        <w:rPr>
          <w:lang w:val="en_US" w:bidi="en_US"/>
        </w:rPr>
      </w:r>
      <w:r>
        <w:rPr>
          <w:lang w:val="en_US" w:bidi="en_US"/>
        </w:rPr>
      </w:r>
    </w:p>
    <w:p>
      <w:pPr/>
      <w:r>
        <w:rPr>
          <w:lang w:val="en_US" w:bidi="en_US"/>
        </w:rPr>
      </w:r>
    </w:p>
    <w:p>
      <w:pPr>
        <w:pStyle w:val="Heading2"/>
      </w:pPr>
      <w:r>
        <w:rPr>
          <w:lang w:val="en_US" w:bidi="en_US"/>
        </w:rPr>
        <w:t>Luke 20:12</w:t>
      </w:r>
      <w:r>
        <w:rPr>
          <w:lang w:val="en_US" w:bidi="en_US"/>
        </w:rPr>
      </w:r>
    </w:p>
    <w:p>
      <w:pPr>
        <w:pStyle w:val="Heading4"/>
      </w:pPr>
      <w:r>
        <w:rPr>
          <w:lang w:val="en_US" w:bidi="en_US"/>
        </w:rPr>
        <w:t>Section 20:9–19: Jesus told a parable about some evil tenant farmers</w:t>
      </w:r>
    </w:p>
    <w:p>
      <w:pPr/>
      <w:r>
        <w:rPr>
          <w:lang w:val="en_US" w:bidi="en_US"/>
        </w:rPr>
      </w:r>
      <w:r>
        <w:rPr>
          <w:lang w:val="en_US" w:bidi="en_US"/>
        </w:rPr>
        <w:t>In 20:1–8 the Jewish religious leaders asked Jesus two questions about his authority. In this section Jesus used a parable to answer those questions in an indirect way. The Jewish leaders showed that they understood this parable by their response in 20:19.</w:t>
      </w:r>
    </w:p>
    <w:p>
      <w:pPr/>
      <w:r>
        <w:rPr>
          <w:lang w:val="en_US" w:bidi="en_US"/>
        </w:rPr>
      </w:r>
      <w:r>
        <w:rPr>
          <w:lang w:val="en_US" w:bidi="en_US"/>
        </w:rP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pPr/>
      <w:r>
        <w:rPr>
          <w:lang w:val="en_US" w:bidi="en_US"/>
        </w:rPr>
      </w:r>
      <w:r>
        <w:rPr>
          <w:lang w:val="en_US" w:bidi="en_US"/>
        </w:rP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pPr/>
      <w:r>
        <w:rPr>
          <w:lang w:val="en_US" w:bidi="en_US"/>
        </w:rPr>
      </w:r>
      <w:r>
        <w:rPr>
          <w:lang w:val="en_US" w:bidi="en_US"/>
        </w:rP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pPr/>
      <w:r>
        <w:rPr>
          <w:lang w:val="en_US" w:bidi="en_US"/>
        </w:rPr>
      </w:r>
      <w:r>
        <w:rPr>
          <w:lang w:val="en_US" w:bidi="en_US"/>
        </w:rPr>
        <w:t>Examples of headings for this section are:</w:t>
      </w:r>
    </w:p>
    <w:p>
      <w:pPr/>
      <w:r>
        <w:rPr>
          <w:lang w:val="en_US" w:bidi="en_US"/>
        </w:rPr>
      </w:r>
      <w:r>
        <w:rPr>
          <w:lang w:val="en_US" w:bidi="en_US"/>
        </w:rPr>
        <w:t>The Parable of the Tenants (NIV)</w:t>
      </w:r>
    </w:p>
    <w:p>
      <w:pPr/>
      <w:r>
        <w:rPr>
          <w:lang w:val="en_US" w:bidi="en_US"/>
        </w:rPr>
      </w:r>
      <w:r>
        <w:rPr>
          <w:lang w:val="en_US" w:bidi="en_US"/>
        </w:rPr>
        <w:t>A story of evil farmers</w:t>
      </w:r>
    </w:p>
    <w:p>
      <w:pPr/>
      <w:r>
        <w:rPr>
          <w:lang w:val="en_US" w:bidi="en_US"/>
        </w:rPr>
      </w:r>
      <w:r>
        <w:rPr>
          <w:lang w:val="en_US" w:bidi="en_US"/>
        </w:rPr>
        <w:t>A parable about bad renters of a vineyard</w:t>
      </w:r>
    </w:p>
    <w:p>
      <w:pPr/>
      <w:r>
        <w:rPr>
          <w:lang w:val="en_US" w:bidi="en_US"/>
        </w:rPr>
      </w:r>
      <w:r>
        <w:rPr>
          <w:lang w:val="en_US" w:bidi="en_US"/>
        </w:rPr>
        <w:t>Parallel passages for this section are in Matthew 21:33–46 and Mark 12:1–12.</w:t>
      </w:r>
    </w:p>
    <w:p>
      <w:pPr>
        <w:pStyle w:val="Heading5"/>
      </w:pPr>
      <w:r>
        <w:rPr>
          <w:lang w:val="en_US" w:bidi="en_US"/>
        </w:rPr>
        <w:t>20:12a</w:t>
      </w:r>
    </w:p>
    <w:p>
      <w:pPr/>
      <w:r>
        <w:rPr>
          <w:lang w:val="en_US" w:bidi="en_US"/>
        </w:rPr>
      </w:r>
      <w:r>
        <w:rPr>
          <w:b/>
          <w:lang w:val="en_US" w:bidi="en_US"/>
        </w:rPr>
        <w:t>Then he sent a third,</w:t>
      </w:r>
    </w:p>
    <w:p>
      <w:pPr>
        <w:pStyle w:val="ListBullet"/>
        <w:spacing w:line="240" w:lineRule="auto"/>
        <w:ind w:left="720"/>
      </w:pPr>
      <w:r>
        <w:rPr>
          <w:lang w:val="en_US" w:bidi="en_US"/>
        </w:rPr>
      </w:r>
      <w:r>
        <w:rPr>
          <w:lang w:val="en_US" w:bidi="en_US"/>
        </w:rPr>
        <w:t xml:space="preserve">Again a third time, </w:t>
      </w:r>
      <w:r>
        <w:rPr>
          <w:lang w:val="en_US" w:bidi="en_US"/>
        </w:rPr>
        <w:t>the owner</w:t>
      </w:r>
      <w:r>
        <w:rPr>
          <w:lang w:val="en_US" w:bidi="en_US"/>
        </w:rPr>
        <w:t xml:space="preserve"> sent a </w:t>
      </w:r>
      <w:r>
        <w:rPr>
          <w:lang w:val="en_US" w:bidi="en_US"/>
        </w:rPr>
        <w:t>servant</w:t>
      </w:r>
      <w:r>
        <w:rPr>
          <w:lang w:val="en_US" w:bidi="en_US"/>
        </w:rPr>
        <w:t>,</w:t>
      </w:r>
    </w:p>
    <w:p>
      <w:pPr>
        <w:pStyle w:val="ListBullet"/>
        <w:spacing w:line="240" w:lineRule="auto"/>
        <w:ind w:left="720"/>
      </w:pPr>
      <w:r>
        <w:rPr>
          <w:lang w:val="en_US" w:bidi="en_US"/>
        </w:rPr>
      </w:r>
      <w:r>
        <w:rPr>
          <w:lang w:val="en_US" w:bidi="en_US"/>
        </w:rPr>
        <w:t>Then/So again the owner sent another servant,</w:t>
      </w:r>
    </w:p>
    <w:p>
      <w:pPr>
        <w:pStyle w:val="ListBullet"/>
        <w:spacing w:line="240" w:lineRule="auto"/>
        <w:ind w:left="720"/>
      </w:pPr>
      <w:r>
        <w:rPr>
          <w:lang w:val="en_US" w:bidi="en_US"/>
        </w:rPr>
      </w:r>
      <w:r>
        <w:rPr>
          <w:lang w:val="en_US" w:bidi="en_US"/>
        </w:rPr>
        <w:t>When the servant came to the owner and told this to him,</w:t>
      </w:r>
      <w:r>
        <w:rPr>
          <w:lang w:val="en_US" w:bidi="en_US"/>
        </w:rPr>
        <w:t xml:space="preserve"> the owner sent a third servant </w:t>
      </w:r>
      <w:r>
        <w:rPr>
          <w:lang w:val="en_US" w:bidi="en_US"/>
        </w:rPr>
        <w:t>to them</w:t>
      </w:r>
      <w:r>
        <w:rPr>
          <w:lang w:val="en_US" w:bidi="en_US"/>
        </w:rPr>
        <w:t>.</w:t>
      </w:r>
    </w:p>
    <w:p>
      <w:pPr/>
      <w:r>
        <w:rPr>
          <w:lang w:val="en_US" w:bidi="en_US"/>
        </w:rPr>
      </w:r>
      <w:r>
        <w:rPr>
          <w:lang w:val="en_US" w:bidi="en_US"/>
        </w:rPr>
        <w:t>The event in this verse is the third in a series of similar events. These three events lead to the climax in the next verse, when the owner will send his own son to the farmers/tenants. Consider how to translate this series of events in a way that is natural for leading to a climax in your language.</w:t>
      </w:r>
    </w:p>
    <w:p>
      <w:pPr/>
      <w:r>
        <w:rPr>
          <w:lang w:val="en_US" w:bidi="en_US"/>
        </w:rPr>
      </w:r>
      <w:r>
        <w:rPr>
          <w:b/>
          <w:lang w:val="en_US" w:bidi="en_US"/>
        </w:rPr>
        <w:t>Then he sent a third:</w:t>
      </w:r>
      <w:r>
        <w:rPr>
          <w:lang w:val="en_US" w:bidi="en_US"/>
        </w:rPr>
        <w:t xml:space="preserve"> In Greek, this clause is literally “and he proceeded a third time to send </w:t>
      </w:r>
      <w:r>
        <w:rPr>
          <w:lang w:val="en_US" w:bidi="en_US"/>
        </w:rPr>
        <w:t>someone</w:t>
      </w:r>
      <w:r>
        <w:rPr>
          <w:lang w:val="en_US" w:bidi="en_US"/>
        </w:rPr>
        <w:t>.” This clause indicates that the owner again sent another servant to bring his share of the harvest to him. He had already sent two of his servants. Some English versions use the English word “still” to emphasize this. For example:</w:t>
      </w:r>
    </w:p>
    <w:p>
      <w:pPr/>
      <w:r>
        <w:rPr>
          <w:lang w:val="en_US" w:bidi="en_US"/>
        </w:rPr>
      </w:r>
      <w:r>
        <w:rPr>
          <w:lang w:val="en_US" w:bidi="en_US"/>
        </w:rPr>
        <w:t>He sent still a third (NIV)</w:t>
      </w:r>
    </w:p>
    <w:p>
      <w:pPr/>
      <w:r>
        <w:rPr>
          <w:lang w:val="en_US" w:bidi="en_US"/>
        </w:rPr>
      </w:r>
      <w:r>
        <w:rPr>
          <w:lang w:val="en_US" w:bidi="en_US"/>
        </w:rPr>
        <w:t>Some ways to translate the clause are:</w:t>
      </w:r>
    </w:p>
    <w:p>
      <w:pPr/>
      <w:r>
        <w:rPr>
          <w:lang w:val="en_US" w:bidi="en_US"/>
        </w:rPr>
      </w:r>
      <w:r>
        <w:rPr>
          <w:lang w:val="en_US" w:bidi="en_US"/>
        </w:rPr>
        <w:t>Then a third time he sent a slave</w:t>
      </w:r>
    </w:p>
    <w:p>
      <w:pPr/>
      <w:r>
        <w:rPr>
          <w:lang w:val="en_US" w:bidi="en_US"/>
        </w:rPr>
      </w:r>
      <w:r>
        <w:rPr>
          <w:lang w:val="en_US" w:bidi="en_US"/>
        </w:rPr>
        <w:t>He tried once more and sent a third (REB)</w:t>
      </w:r>
    </w:p>
    <w:p>
      <w:pPr>
        <w:pStyle w:val="Heading5"/>
      </w:pPr>
      <w:r>
        <w:rPr>
          <w:lang w:val="en_US" w:bidi="en_US"/>
        </w:rPr>
        <w:t>20:12b</w:t>
      </w:r>
    </w:p>
    <w:p>
      <w:pPr/>
      <w:r>
        <w:rPr>
          <w:lang w:val="en_US" w:bidi="en_US"/>
        </w:rPr>
      </w:r>
      <w:r>
        <w:rPr>
          <w:b/>
          <w:lang w:val="en_US" w:bidi="en_US"/>
        </w:rPr>
        <w:t>but they wounded him and threw him out.</w:t>
      </w:r>
    </w:p>
    <w:p>
      <w:pPr>
        <w:pStyle w:val="ListBullet"/>
        <w:spacing w:line="240" w:lineRule="auto"/>
        <w:ind w:left="720"/>
      </w:pPr>
      <w:r>
        <w:rPr>
          <w:lang w:val="en_US" w:bidi="en_US"/>
        </w:rPr>
      </w:r>
      <w:r>
        <w:rPr>
          <w:lang w:val="en_US" w:bidi="en_US"/>
        </w:rPr>
        <w:t xml:space="preserve">but the tenant farmers hurt him badly and forced him to leave </w:t>
      </w:r>
      <w:r>
        <w:rPr>
          <w:lang w:val="en_US" w:bidi="en_US"/>
        </w:rPr>
        <w:t>the grape farm/garden</w:t>
      </w:r>
      <w:r>
        <w:rPr>
          <w:lang w:val="en_US" w:bidi="en_US"/>
        </w:rPr>
        <w:t>.</w:t>
      </w:r>
    </w:p>
    <w:p>
      <w:pPr>
        <w:pStyle w:val="ListBullet"/>
        <w:spacing w:line="240" w:lineRule="auto"/>
        <w:ind w:left="720"/>
      </w:pPr>
      <w:r>
        <w:rPr>
          <w:lang w:val="en_US" w:bidi="en_US"/>
        </w:rPr>
      </w:r>
      <w:r>
        <w:rPr>
          <w:lang w:val="en_US" w:bidi="en_US"/>
        </w:rPr>
        <w:t xml:space="preserve">but the men injured him seriously and threw/thrust him off </w:t>
      </w:r>
      <w:r>
        <w:rPr>
          <w:lang w:val="en_US" w:bidi="en_US"/>
        </w:rPr>
        <w:t>the property</w:t>
      </w:r>
      <w:r>
        <w:rPr>
          <w:lang w:val="en_US" w:bidi="en_US"/>
        </w:rPr>
        <w:t>.</w:t>
      </w:r>
    </w:p>
    <w:p>
      <w:pPr>
        <w:pStyle w:val="ListBullet"/>
        <w:spacing w:line="240" w:lineRule="auto"/>
        <w:ind w:left="720"/>
      </w:pPr>
      <w:r>
        <w:rPr>
          <w:lang w:val="en_US" w:bidi="en_US"/>
        </w:rPr>
      </w:r>
      <w:r>
        <w:rPr>
          <w:lang w:val="en_US" w:bidi="en_US"/>
        </w:rPr>
        <w:t>When that servant went</w:t>
      </w:r>
      <w:r>
        <w:rPr>
          <w:lang w:val="en_US" w:bidi="en_US"/>
        </w:rPr>
        <w:t xml:space="preserve"> </w:t>
      </w:r>
      <w:r>
        <w:rPr>
          <w:lang w:val="en_US" w:bidi="en_US"/>
        </w:rPr>
        <w:t>to the farmers,</w:t>
      </w:r>
      <w:r>
        <w:rPr>
          <w:lang w:val="en_US" w:bidi="en_US"/>
        </w:rPr>
        <w:t xml:space="preserve"> they </w:t>
      </w:r>
      <w:r>
        <w:rPr>
          <w:lang w:val="en_US" w:bidi="en_US"/>
        </w:rPr>
        <w:t>treated him worse than the others. They</w:t>
      </w:r>
      <w:r>
        <w:rPr>
          <w:lang w:val="en_US" w:bidi="en_US"/>
        </w:rPr>
        <w:t xml:space="preserve"> wounded him and threw/flung him out.</w:t>
      </w:r>
    </w:p>
    <w:p>
      <w:pPr/>
      <w:r>
        <w:rPr>
          <w:lang w:val="en_US" w:bidi="en_US"/>
        </w:rPr>
      </w:r>
      <w:r>
        <w:rPr>
          <w:b/>
          <w:lang w:val="en_US" w:bidi="en_US"/>
        </w:rPr>
        <w:t>but they wounded him:</w:t>
      </w:r>
      <w:r>
        <w:rPr>
          <w:lang w:val="en_US" w:bidi="en_US"/>
        </w:rPr>
        <w:t xml:space="preserve"> The Greek word that the BSB translates as </w:t>
      </w:r>
      <w:r>
        <w:rPr>
          <w:i/>
          <w:lang w:val="en_US" w:bidi="en_US"/>
        </w:rPr>
        <w:t>wounded</w:t>
      </w:r>
      <w:r>
        <w:rPr>
          <w:lang w:val="en_US" w:bidi="en_US"/>
        </w:rPr>
        <w:t xml:space="preserve"> means “hurt badly” or “beat bloody.” It implies that this servant was injured more seriously than the others.</w:t>
      </w:r>
    </w:p>
    <w:p>
      <w:pPr/>
      <w:r>
        <w:rPr>
          <w:lang w:val="en_US" w:bidi="en_US"/>
        </w:rPr>
      </w:r>
      <w:r>
        <w:rPr>
          <w:b/>
          <w:lang w:val="en_US" w:bidi="en_US"/>
        </w:rPr>
        <w:t>and threw him out:</w:t>
      </w:r>
      <w:r>
        <w:rPr>
          <w:lang w:val="en_US" w:bidi="en_US"/>
        </w:rPr>
        <w:t xml:space="preserve"> The Greek verb that the BSB translates as </w:t>
      </w:r>
      <w:r>
        <w:rPr>
          <w:i/>
          <w:lang w:val="en_US" w:bidi="en_US"/>
        </w:rPr>
        <w:t>threw him out</w:t>
      </w:r>
      <w:r>
        <w:rPr>
          <w:lang w:val="en_US" w:bidi="en_US"/>
        </w:rPr>
        <w:t xml:space="preserve"> indicates that the tenant farmers themselves used force to throw or drag the servant from the farm.</w:t>
      </w:r>
    </w:p>
    <w:p>
      <w:pPr/>
      <w:r>
        <w:rPr>
          <w:lang w:val="en_US" w:bidi="en_US"/>
        </w:rPr>
      </w:r>
      <w:r>
        <w:rPr>
          <w:lang w:val="en_US" w:bidi="en_US"/>
        </w:rPr>
        <w:t>The Greek text does not say explicitly here that this servant went home empty-handed, but that is clearly implied. In some languages you may need to make it explicit. For example:</w:t>
      </w:r>
    </w:p>
    <w:p>
      <w:pPr/>
      <w:r>
        <w:rPr>
          <w:lang w:val="en_US" w:bidi="en_US"/>
        </w:rPr>
      </w:r>
      <w:r>
        <w:rPr>
          <w:lang w:val="en_US" w:bidi="en_US"/>
        </w:rPr>
        <w:t>without any share of the harvest</w:t>
      </w:r>
      <w:r>
        <w:rPr>
          <w:lang w:val="en_US" w:bidi="en_US"/>
        </w:rPr>
      </w:r>
      <w:r>
        <w:rPr>
          <w:lang w:val="en_US" w:bidi="en_US"/>
        </w:rPr>
      </w:r>
    </w:p>
    <w:p>
      <w:pPr/>
      <w:r>
        <w:rPr>
          <w:lang w:val="en_US" w:bidi="en_US"/>
        </w:rPr>
      </w:r>
    </w:p>
    <w:p>
      <w:pPr>
        <w:pStyle w:val="Heading2"/>
      </w:pPr>
      <w:r>
        <w:rPr>
          <w:lang w:val="en_US" w:bidi="en_US"/>
        </w:rPr>
        <w:t>Luke 20:13</w:t>
      </w:r>
      <w:r>
        <w:rPr>
          <w:lang w:val="en_US" w:bidi="en_US"/>
        </w:rPr>
      </w:r>
    </w:p>
    <w:p>
      <w:pPr>
        <w:pStyle w:val="Heading4"/>
      </w:pPr>
      <w:r>
        <w:rPr>
          <w:lang w:val="en_US" w:bidi="en_US"/>
        </w:rPr>
        <w:t>Section 20:9–19: Jesus told a parable about some evil tenant farmers</w:t>
      </w:r>
    </w:p>
    <w:p>
      <w:pPr/>
      <w:r>
        <w:rPr>
          <w:lang w:val="en_US" w:bidi="en_US"/>
        </w:rPr>
      </w:r>
      <w:r>
        <w:rPr>
          <w:lang w:val="en_US" w:bidi="en_US"/>
        </w:rPr>
        <w:t>In 20:1–8 the Jewish religious leaders asked Jesus two questions about his authority. In this section Jesus used a parable to answer those questions in an indirect way. The Jewish leaders showed that they understood this parable by their response in 20:19.</w:t>
      </w:r>
    </w:p>
    <w:p>
      <w:pPr/>
      <w:r>
        <w:rPr>
          <w:lang w:val="en_US" w:bidi="en_US"/>
        </w:rPr>
      </w:r>
      <w:r>
        <w:rPr>
          <w:lang w:val="en_US" w:bidi="en_US"/>
        </w:rP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pPr/>
      <w:r>
        <w:rPr>
          <w:lang w:val="en_US" w:bidi="en_US"/>
        </w:rPr>
      </w:r>
      <w:r>
        <w:rPr>
          <w:lang w:val="en_US" w:bidi="en_US"/>
        </w:rP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pPr/>
      <w:r>
        <w:rPr>
          <w:lang w:val="en_US" w:bidi="en_US"/>
        </w:rPr>
      </w:r>
      <w:r>
        <w:rPr>
          <w:lang w:val="en_US" w:bidi="en_US"/>
        </w:rP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pPr/>
      <w:r>
        <w:rPr>
          <w:lang w:val="en_US" w:bidi="en_US"/>
        </w:rPr>
      </w:r>
      <w:r>
        <w:rPr>
          <w:lang w:val="en_US" w:bidi="en_US"/>
        </w:rPr>
        <w:t>Examples of headings for this section are:</w:t>
      </w:r>
    </w:p>
    <w:p>
      <w:pPr/>
      <w:r>
        <w:rPr>
          <w:lang w:val="en_US" w:bidi="en_US"/>
        </w:rPr>
      </w:r>
      <w:r>
        <w:rPr>
          <w:lang w:val="en_US" w:bidi="en_US"/>
        </w:rPr>
        <w:t>The Parable of the Tenants (NIV)</w:t>
      </w:r>
    </w:p>
    <w:p>
      <w:pPr/>
      <w:r>
        <w:rPr>
          <w:lang w:val="en_US" w:bidi="en_US"/>
        </w:rPr>
      </w:r>
      <w:r>
        <w:rPr>
          <w:lang w:val="en_US" w:bidi="en_US"/>
        </w:rPr>
        <w:t>A story of evil farmers</w:t>
      </w:r>
    </w:p>
    <w:p>
      <w:pPr/>
      <w:r>
        <w:rPr>
          <w:lang w:val="en_US" w:bidi="en_US"/>
        </w:rPr>
      </w:r>
      <w:r>
        <w:rPr>
          <w:lang w:val="en_US" w:bidi="en_US"/>
        </w:rPr>
        <w:t>A parable about bad renters of a vineyard</w:t>
      </w:r>
    </w:p>
    <w:p>
      <w:pPr/>
      <w:r>
        <w:rPr>
          <w:lang w:val="en_US" w:bidi="en_US"/>
        </w:rPr>
      </w:r>
      <w:r>
        <w:rPr>
          <w:lang w:val="en_US" w:bidi="en_US"/>
        </w:rPr>
        <w:t>Parallel passages for this section are in Matthew 21:33–46 and Mark 12:1–12.</w:t>
      </w:r>
    </w:p>
    <w:p>
      <w:pPr>
        <w:pStyle w:val="Heading4"/>
      </w:pPr>
      <w:r>
        <w:rPr>
          <w:lang w:val="en_US" w:bidi="en_US"/>
        </w:rPr>
        <w:t>Paragraph 20:13–16b</w:t>
      </w:r>
    </w:p>
    <w:p>
      <w:pPr/>
      <w:r>
        <w:rPr>
          <w:lang w:val="en_US" w:bidi="en_US"/>
        </w:rPr>
      </w:r>
      <w:r>
        <w:rPr>
          <w:lang w:val="en_US" w:bidi="en_US"/>
        </w:rPr>
        <w:t>In this paragraph the owner decided to send his son. The grape farmers/tenants rejected him and killed him. This figuratively represents the people rejecting Jesus, God’s Son, and killing him.</w:t>
      </w:r>
    </w:p>
    <w:p>
      <w:pPr>
        <w:pStyle w:val="Heading5"/>
      </w:pPr>
      <w:r>
        <w:rPr>
          <w:lang w:val="en_US" w:bidi="en_US"/>
        </w:rPr>
        <w:t>20:13a</w:t>
      </w:r>
    </w:p>
    <w:p>
      <w:pPr/>
      <w:r>
        <w:rPr>
          <w:lang w:val="en_US" w:bidi="en_US"/>
        </w:rPr>
      </w:r>
      <w:r>
        <w:rPr>
          <w:b/>
          <w:lang w:val="en_US" w:bidi="en_US"/>
        </w:rPr>
        <w:t>‘What shall I do?’ asked the owner of the vineyard.</w:t>
      </w:r>
    </w:p>
    <w:p>
      <w:pPr>
        <w:pStyle w:val="ListBullet"/>
        <w:spacing w:line="240" w:lineRule="auto"/>
        <w:ind w:left="720"/>
      </w:pPr>
      <w:r>
        <w:rPr>
          <w:lang w:val="en_US" w:bidi="en_US"/>
        </w:rPr>
      </w:r>
      <w:r>
        <w:rPr>
          <w:lang w:val="en_US" w:bidi="en_US"/>
        </w:rPr>
        <w:t xml:space="preserve">¶ “Then the owner of the grape farm thought, ‘What am I going to do </w:t>
      </w:r>
      <w:r>
        <w:rPr>
          <w:lang w:val="en_US" w:bidi="en_US"/>
        </w:rPr>
        <w:t>now</w:t>
      </w:r>
      <w:r>
        <w:rPr>
          <w:lang w:val="en_US" w:bidi="en_US"/>
        </w:rPr>
        <w:t>?</w:t>
      </w:r>
    </w:p>
    <w:p>
      <w:pPr>
        <w:pStyle w:val="ListBullet"/>
        <w:spacing w:line="240" w:lineRule="auto"/>
        <w:ind w:left="720"/>
      </w:pPr>
      <w:r>
        <w:rPr>
          <w:lang w:val="en_US" w:bidi="en_US"/>
        </w:rPr>
      </w:r>
      <w:r>
        <w:rPr>
          <w:lang w:val="en_US" w:bidi="en_US"/>
        </w:rPr>
        <w:t xml:space="preserve">¶ “So the owner of the farm asked </w:t>
      </w:r>
      <w:r>
        <w:rPr>
          <w:lang w:val="en_US" w:bidi="en_US"/>
        </w:rPr>
        <w:t>himself</w:t>
      </w:r>
      <w:r>
        <w:rPr>
          <w:lang w:val="en_US" w:bidi="en_US"/>
        </w:rPr>
        <w:t xml:space="preserve">, ‘What will I do </w:t>
      </w:r>
      <w:r>
        <w:rPr>
          <w:lang w:val="en_US" w:bidi="en_US"/>
        </w:rPr>
        <w:t>next</w:t>
      </w:r>
      <w:r>
        <w:rPr>
          <w:lang w:val="en_US" w:bidi="en_US"/>
        </w:rPr>
        <w:t>?’</w:t>
      </w:r>
    </w:p>
    <w:p>
      <w:pPr>
        <w:pStyle w:val="ListBullet"/>
        <w:spacing w:line="240" w:lineRule="auto"/>
        <w:ind w:left="720"/>
      </w:pPr>
      <w:r>
        <w:rPr>
          <w:lang w:val="en_US" w:bidi="en_US"/>
        </w:rPr>
      </w:r>
      <w:r>
        <w:rPr>
          <w:lang w:val="en_US" w:bidi="en_US"/>
        </w:rPr>
        <w:t xml:space="preserve">¶ “When the master/lord </w:t>
      </w:r>
      <w:r>
        <w:rPr>
          <w:lang w:val="en_US" w:bidi="en_US"/>
        </w:rPr>
        <w:t>heard this</w:t>
      </w:r>
      <w:r>
        <w:rPr>
          <w:lang w:val="en_US" w:bidi="en_US"/>
        </w:rPr>
        <w:t>, he thought about what he would do.</w:t>
      </w:r>
    </w:p>
    <w:p>
      <w:pPr/>
      <w:r>
        <w:rPr>
          <w:lang w:val="en_US" w:bidi="en_US"/>
        </w:rPr>
      </w:r>
      <w:r>
        <w:rPr>
          <w:lang w:val="en_US" w:bidi="en_US"/>
        </w:rPr>
        <w:t>In Greek, 20:13a begins with a conjunction that is often translated as “and” or “so.” The NIV translates this word as “Then.” It introduces what the owner thought or said as a result of what had happened. In some languages it may be natural to introduce this statement with a clause. For example:</w:t>
      </w:r>
    </w:p>
    <w:p>
      <w:pPr/>
      <w:r>
        <w:rPr>
          <w:lang w:val="en_US" w:bidi="en_US"/>
        </w:rPr>
      </w:r>
      <w:r>
        <w:rPr>
          <w:lang w:val="en_US" w:bidi="en_US"/>
        </w:rPr>
        <w:t xml:space="preserve">When </w:t>
      </w:r>
      <w:r>
        <w:rPr>
          <w:lang w:val="en_US" w:bidi="en_US"/>
        </w:rPr>
        <w:t>the owner heard this</w:t>
      </w:r>
    </w:p>
    <w:p>
      <w:pPr/>
      <w:r>
        <w:rPr>
          <w:lang w:val="en_US" w:bidi="en_US"/>
        </w:rPr>
      </w:r>
      <w:r>
        <w:rPr>
          <w:lang w:val="en_US" w:bidi="en_US"/>
        </w:rPr>
        <w:t xml:space="preserve">When </w:t>
      </w:r>
      <w:r>
        <w:rPr>
          <w:lang w:val="en_US" w:bidi="en_US"/>
        </w:rPr>
        <w:t>the servant returned to the owner</w:t>
      </w:r>
    </w:p>
    <w:p>
      <w:pPr/>
      <w:r>
        <w:rPr>
          <w:lang w:val="en_US" w:bidi="en_US"/>
        </w:rPr>
      </w:r>
      <w:r>
        <w:rPr>
          <w:lang w:val="en_US" w:bidi="en_US"/>
        </w:rPr>
        <w:t>Introduce this event in a natural way in your language.</w:t>
      </w:r>
    </w:p>
    <w:p>
      <w:pPr/>
      <w:r>
        <w:rPr>
          <w:lang w:val="en_US" w:bidi="en_US"/>
        </w:rPr>
      </w:r>
      <w:r>
        <w:rPr>
          <w:b/>
          <w:lang w:val="en_US" w:bidi="en_US"/>
        </w:rPr>
        <w:t>‘What shall I do?’ asked the owner of the vineyard:</w:t>
      </w:r>
      <w:r>
        <w:rPr>
          <w:lang w:val="en_US" w:bidi="en_US"/>
        </w:rPr>
        <w:t xml:space="preserve"> The BSB places the words </w:t>
      </w:r>
      <w:r>
        <w:rPr>
          <w:i/>
          <w:lang w:val="en_US" w:bidi="en_US"/>
        </w:rPr>
        <w:t>asked the owner of the vineyard</w:t>
      </w:r>
      <w:r>
        <w:rPr>
          <w:lang w:val="en_US" w:bidi="en_US"/>
        </w:rPr>
        <w:t xml:space="preserve"> in the middle of what the owner said to himself. This is good English style. However, in some languages, it may be necessary to place these words at the beginning of 20:13a. For example:</w:t>
      </w:r>
    </w:p>
    <w:p>
      <w:pPr/>
      <w:r>
        <w:rPr>
          <w:lang w:val="en_US" w:bidi="en_US"/>
        </w:rPr>
      </w:r>
      <w:r>
        <w:rPr>
          <w:lang w:val="en_US" w:bidi="en_US"/>
        </w:rPr>
        <w:t>Then the owner of the vineyard said, ‘What shall I ?…’ (NIV)</w:t>
      </w:r>
    </w:p>
    <w:p>
      <w:pPr/>
      <w:r>
        <w:rPr>
          <w:lang w:val="en_US" w:bidi="en_US"/>
        </w:rPr>
      </w:r>
      <w:r>
        <w:rPr>
          <w:b/>
          <w:lang w:val="en_US" w:bidi="en_US"/>
        </w:rPr>
        <w:t>What shall I do?:</w:t>
      </w:r>
      <w:r>
        <w:rPr>
          <w:lang w:val="en_US" w:bidi="en_US"/>
        </w:rPr>
        <w:t xml:space="preserve"> This is a rhetorical question. The owner asked himself this question. He was not certain how he should react to what the farmers had done. Some ways to translate this uncertainty are:</w:t>
      </w:r>
    </w:p>
    <w:p>
      <w:pPr>
        <w:pStyle w:val="ListBullet"/>
        <w:spacing w:line="240" w:lineRule="auto"/>
        <w:ind w:left="720"/>
      </w:pPr>
      <w:r>
        <w:rPr>
          <w:lang w:val="en_US" w:bidi="en_US"/>
        </w:rPr>
      </w:r>
      <w:r>
        <w:rPr>
          <w:lang w:val="en_US" w:bidi="en_US"/>
        </w:rPr>
        <w:t>As a question. For example:</w:t>
      </w:r>
      <w:r>
        <w:rPr>
          <w:lang w:val="en_US" w:bidi="en_US"/>
        </w:rPr>
        <w:t>What will I do now? (NCV)</w:t>
      </w:r>
      <w:r>
        <w:rPr>
          <w:lang w:val="en_US" w:bidi="en_US"/>
        </w:rPr>
        <w:t>What am I to do? (REB)</w:t>
      </w:r>
    </w:p>
    <w:p>
      <w:pPr>
        <w:pStyle w:val="ListBullet"/>
        <w:spacing w:line="240" w:lineRule="auto"/>
        <w:ind w:left="720"/>
      </w:pPr>
      <w:r>
        <w:rPr>
          <w:lang w:val="en_US" w:bidi="en_US"/>
        </w:rPr>
      </w:r>
      <w:r>
        <w:rPr>
          <w:lang w:val="en_US" w:bidi="en_US"/>
        </w:rPr>
        <w:t>As a direct quote. For example:</w:t>
      </w:r>
      <w:r>
        <w:rPr>
          <w:lang w:val="en_US" w:bidi="en_US"/>
        </w:rPr>
        <w:t>I wonder what I should do.</w:t>
      </w:r>
    </w:p>
    <w:p>
      <w:pPr>
        <w:pStyle w:val="ListBullet"/>
        <w:spacing w:line="240" w:lineRule="auto"/>
        <w:ind w:left="720"/>
      </w:pPr>
      <w:r>
        <w:rPr>
          <w:lang w:val="en_US" w:bidi="en_US"/>
        </w:rPr>
      </w:r>
      <w:r>
        <w:rPr>
          <w:lang w:val="en_US" w:bidi="en_US"/>
        </w:rPr>
        <w:t>As an indirect quote. For example:</w:t>
      </w:r>
      <w:r>
        <w:rPr>
          <w:lang w:val="en_US" w:bidi="en_US"/>
        </w:rPr>
        <w:t>…</w:t>
      </w:r>
      <w:r>
        <w:rPr>
          <w:lang w:val="en_US" w:bidi="en_US"/>
        </w:rPr>
        <w:t>he</w:t>
      </w:r>
      <w:r>
        <w:rPr>
          <w:lang w:val="en_US" w:bidi="en_US"/>
        </w:rPr>
        <w:t xml:space="preserve"> thought about what he should do.</w:t>
      </w:r>
      <w:r>
        <w:rPr>
          <w:lang w:val="en_US" w:bidi="en_US"/>
        </w:rPr>
        <w:t>Translate this uncertainty in a way that is natural in your language.</w:t>
      </w:r>
    </w:p>
    <w:p>
      <w:pPr/>
      <w:r>
        <w:rPr>
          <w:lang w:val="en_US" w:bidi="en_US"/>
        </w:rPr>
      </w:r>
      <w:r>
        <w:rPr>
          <w:b/>
          <w:lang w:val="en_US" w:bidi="en_US"/>
        </w:rPr>
        <w:t>asked the owner of the vineyard:</w:t>
      </w:r>
      <w:r>
        <w:rPr>
          <w:lang w:val="en_US" w:bidi="en_US"/>
        </w:rPr>
        <w:t xml:space="preserve"> The Greek verb that the BSB translates as </w:t>
      </w:r>
      <w:r>
        <w:rPr>
          <w:i/>
          <w:lang w:val="en_US" w:bidi="en_US"/>
        </w:rPr>
        <w:t>asked</w:t>
      </w:r>
      <w:r>
        <w:rPr>
          <w:lang w:val="en_US" w:bidi="en_US"/>
        </w:rPr>
        <w:t xml:space="preserve"> can refer to either thoughts or spoken words. Some other ways to translate it here are:</w:t>
      </w:r>
    </w:p>
    <w:p>
      <w:pPr/>
      <w:r>
        <w:rPr>
          <w:lang w:val="en_US" w:bidi="en_US"/>
        </w:rPr>
      </w:r>
      <w:r>
        <w:rPr>
          <w:lang w:val="en_US" w:bidi="en_US"/>
        </w:rPr>
        <w:t>The owner then said to himself (CEV)</w:t>
      </w:r>
    </w:p>
    <w:p>
      <w:pPr/>
      <w:r>
        <w:rPr>
          <w:lang w:val="en_US" w:bidi="en_US"/>
        </w:rPr>
      </w:r>
      <w:r>
        <w:rPr>
          <w:lang w:val="en_US" w:bidi="en_US"/>
        </w:rPr>
        <w:t>Then the owner asked himself</w:t>
      </w:r>
    </w:p>
    <w:p>
      <w:pPr/>
      <w:r>
        <w:rPr>
          <w:lang w:val="en_US" w:bidi="en_US"/>
        </w:rPr>
      </w:r>
      <w:r>
        <w:rPr>
          <w:lang w:val="en_US" w:bidi="en_US"/>
        </w:rPr>
        <w:t>The owner thought</w:t>
      </w:r>
    </w:p>
    <w:p>
      <w:pPr>
        <w:pStyle w:val="Heading5"/>
      </w:pPr>
      <w:r>
        <w:rPr>
          <w:lang w:val="en_US" w:bidi="en_US"/>
        </w:rPr>
        <w:t>20:13b</w:t>
      </w:r>
    </w:p>
    <w:p>
      <w:pPr/>
      <w:r>
        <w:rPr>
          <w:lang w:val="en_US" w:bidi="en_US"/>
        </w:rPr>
      </w:r>
      <w:r>
        <w:rPr>
          <w:b/>
          <w:lang w:val="en_US" w:bidi="en_US"/>
        </w:rPr>
        <w:t>‘I will send my beloved son.</w:t>
      </w:r>
    </w:p>
    <w:p>
      <w:pPr>
        <w:pStyle w:val="ListBullet"/>
        <w:spacing w:line="240" w:lineRule="auto"/>
        <w:ind w:left="720"/>
      </w:pPr>
      <w:r>
        <w:rPr>
          <w:lang w:val="en_US" w:bidi="en_US"/>
        </w:rPr>
      </w:r>
      <w:r>
        <w:rPr>
          <w:lang w:val="en_US" w:bidi="en_US"/>
        </w:rPr>
        <w:t xml:space="preserve">I will send my beloved son </w:t>
      </w:r>
      <w:r>
        <w:rPr>
          <w:lang w:val="en_US" w:bidi="en_US"/>
        </w:rPr>
        <w:t>to them</w:t>
      </w:r>
      <w:r>
        <w:rPr>
          <w:lang w:val="en_US" w:bidi="en_US"/>
        </w:rPr>
        <w:t>.</w:t>
      </w:r>
    </w:p>
    <w:p>
      <w:pPr>
        <w:pStyle w:val="ListBullet"/>
        <w:spacing w:line="240" w:lineRule="auto"/>
        <w:ind w:left="720"/>
      </w:pPr>
      <w:r>
        <w:rPr>
          <w:lang w:val="en_US" w:bidi="en_US"/>
        </w:rPr>
      </w:r>
      <w:r>
        <w:rPr>
          <w:lang w:val="en_US" w:bidi="en_US"/>
        </w:rPr>
        <w:t>And he said</w:t>
      </w:r>
      <w:r>
        <w:rPr>
          <w:lang w:val="en_US" w:bidi="en_US"/>
        </w:rPr>
        <w:t xml:space="preserve">, ‘I will send my son </w:t>
      </w:r>
      <w:r>
        <w:rPr>
          <w:lang w:val="en_US" w:bidi="en_US"/>
        </w:rPr>
        <w:t>to them</w:t>
      </w:r>
      <w:r>
        <w:rPr>
          <w:lang w:val="en_US" w:bidi="en_US"/>
        </w:rPr>
        <w:t xml:space="preserve">. I love him </w:t>
      </w:r>
      <w:r>
        <w:rPr>
          <w:lang w:val="en_US" w:bidi="en_US"/>
        </w:rPr>
        <w:t>very much</w:t>
      </w:r>
      <w:r>
        <w:rPr>
          <w:lang w:val="en_US" w:bidi="en_US"/>
        </w:rPr>
        <w:t>.</w:t>
      </w:r>
    </w:p>
    <w:p>
      <w:pPr>
        <w:pStyle w:val="ListBullet"/>
        <w:spacing w:line="240" w:lineRule="auto"/>
        <w:ind w:left="720"/>
      </w:pPr>
      <w:r>
        <w:rPr>
          <w:lang w:val="en_US" w:bidi="en_US"/>
        </w:rPr>
      </w:r>
      <w:r>
        <w:rPr>
          <w:lang w:val="en_US" w:bidi="en_US"/>
        </w:rPr>
        <w:t>He decided that he would send his cherished/beloved son,</w:t>
      </w:r>
    </w:p>
    <w:p>
      <w:pPr/>
      <w:r>
        <w:rPr>
          <w:lang w:val="en_US" w:bidi="en_US"/>
        </w:rPr>
      </w:r>
      <w:r>
        <w:rPr>
          <w:b/>
          <w:lang w:val="en_US" w:bidi="en_US"/>
        </w:rPr>
        <w:t>I will send my beloved son:</w:t>
      </w:r>
      <w:r>
        <w:rPr>
          <w:lang w:val="en_US" w:bidi="en_US"/>
        </w:rPr>
        <w:t xml:space="preserve"> Here the owner answered the question that he asked himself in 20:13a. The Greek phrase that the BSB translates as </w:t>
      </w:r>
      <w:r>
        <w:rPr>
          <w:i/>
          <w:lang w:val="en_US" w:bidi="en_US"/>
        </w:rPr>
        <w:t>my beloved</w:t>
      </w:r>
      <w:r>
        <w:rPr>
          <w:lang w:val="en_US" w:bidi="en_US"/>
        </w:rPr>
        <w:t xml:space="preserve"> describes the son. It indicates that the son was very dear to his father. It does not imply that the owner had other sons whom he did not love. This son was his only son. In the parable he represents God’s Son Jesus.</w:t>
      </w:r>
    </w:p>
    <w:p>
      <w:pPr/>
      <w:r>
        <w:rPr>
          <w:lang w:val="en_US" w:bidi="en_US"/>
        </w:rPr>
      </w:r>
      <w:r>
        <w:rPr>
          <w:lang w:val="en_US" w:bidi="en_US"/>
        </w:rPr>
        <w:t>Some other ways to translate it are:</w:t>
      </w:r>
    </w:p>
    <w:p>
      <w:pPr/>
      <w:r>
        <w:rPr>
          <w:lang w:val="en_US" w:bidi="en_US"/>
        </w:rPr>
      </w:r>
      <w:r>
        <w:rPr>
          <w:lang w:val="en_US" w:bidi="en_US"/>
        </w:rPr>
        <w:t>I will send my beloved son (NRSV)</w:t>
      </w:r>
    </w:p>
    <w:p>
      <w:pPr/>
      <w:r>
        <w:rPr>
          <w:lang w:val="en_US" w:bidi="en_US"/>
        </w:rPr>
      </w:r>
      <w:r>
        <w:rPr>
          <w:lang w:val="en_US" w:bidi="en_US"/>
        </w:rPr>
        <w:t>I will send my own dear son (GNT)</w:t>
      </w:r>
    </w:p>
    <w:p>
      <w:pPr/>
      <w:r>
        <w:rPr>
          <w:lang w:val="en_US" w:bidi="en_US"/>
        </w:rPr>
      </w:r>
      <w:r>
        <w:rPr>
          <w:lang w:val="en_US" w:bidi="en_US"/>
        </w:rPr>
        <w:t>I will send my son. I love him very much.</w:t>
      </w:r>
    </w:p>
    <w:p>
      <w:pPr/>
      <w:r>
        <w:rPr>
          <w:lang w:val="en_US" w:bidi="en_US"/>
        </w:rPr>
      </w:r>
      <w:r>
        <w:rPr>
          <w:lang w:val="en_US" w:bidi="en_US"/>
        </w:rPr>
        <w:t>In 3:22 God used this phrase about Jesus at his baptism. See how you translated it there.</w:t>
      </w:r>
    </w:p>
    <w:p>
      <w:pPr>
        <w:pStyle w:val="Heading5"/>
      </w:pPr>
      <w:r>
        <w:rPr>
          <w:lang w:val="en_US" w:bidi="en_US"/>
        </w:rPr>
        <w:t>20:13c</w:t>
      </w:r>
    </w:p>
    <w:p>
      <w:pPr/>
      <w:r>
        <w:rPr>
          <w:lang w:val="en_US" w:bidi="en_US"/>
        </w:rPr>
      </w:r>
      <w:r>
        <w:rPr>
          <w:b/>
          <w:lang w:val="en_US" w:bidi="en_US"/>
        </w:rPr>
        <w:t>Perhaps they will respect him.’</w:t>
      </w:r>
    </w:p>
    <w:p>
      <w:pPr>
        <w:pStyle w:val="ListBullet"/>
        <w:spacing w:line="240" w:lineRule="auto"/>
        <w:ind w:left="720"/>
      </w:pPr>
      <w:r>
        <w:rPr>
          <w:lang w:val="en_US" w:bidi="en_US"/>
        </w:rPr>
      </w:r>
      <w:r>
        <w:rPr>
          <w:lang w:val="en_US" w:bidi="en_US"/>
        </w:rPr>
        <w:t>Surely/Maybe they will treat him with respect.’</w:t>
      </w:r>
    </w:p>
    <w:p>
      <w:pPr>
        <w:pStyle w:val="ListBullet"/>
        <w:spacing w:line="240" w:lineRule="auto"/>
        <w:ind w:left="720"/>
      </w:pPr>
      <w:r>
        <w:rPr>
          <w:lang w:val="en_US" w:bidi="en_US"/>
        </w:rPr>
      </w:r>
      <w:r>
        <w:rPr>
          <w:lang w:val="en_US" w:bidi="en_US"/>
        </w:rPr>
        <w:t>I expect/hope that they will honor him.’</w:t>
      </w:r>
    </w:p>
    <w:p>
      <w:pPr>
        <w:pStyle w:val="ListBullet"/>
        <w:spacing w:line="240" w:lineRule="auto"/>
        <w:ind w:left="720"/>
      </w:pPr>
      <w:r>
        <w:rPr>
          <w:lang w:val="en_US" w:bidi="en_US"/>
        </w:rPr>
      </w:r>
      <w:r>
        <w:rPr>
          <w:lang w:val="en_US" w:bidi="en_US"/>
        </w:rPr>
        <w:t>thinking that the tenants would surely treat his son with respect.</w:t>
      </w:r>
    </w:p>
    <w:p>
      <w:pPr/>
      <w:r>
        <w:rPr>
          <w:lang w:val="en_US" w:bidi="en_US"/>
        </w:rPr>
      </w:r>
      <w:r>
        <w:rPr>
          <w:b/>
          <w:lang w:val="en_US" w:bidi="en_US"/>
        </w:rPr>
        <w:t>Perhaps they will respect him:</w:t>
      </w:r>
      <w:r>
        <w:rPr>
          <w:lang w:val="en_US" w:bidi="en_US"/>
        </w:rPr>
        <w:t xml:space="preserve"> In Greek the word </w:t>
      </w:r>
      <w:r>
        <w:rPr>
          <w:i/>
          <w:lang w:val="en_US" w:bidi="en_US"/>
        </w:rPr>
        <w:t>him</w:t>
      </w:r>
      <w:r>
        <w:rPr>
          <w:lang w:val="en_US" w:bidi="en_US"/>
        </w:rPr>
        <w:t xml:space="preserve"> is emphasized. It is literally: “maybe this-one they will respect.” The owner thought that the grape farmers would probably respect his son. They knew that he had given his son complete authority to represent him. The clause implies a contrast with the servants, whom the grape farmers did not respect. In some languages it may be natural to make this explicit:</w:t>
      </w:r>
    </w:p>
    <w:p>
      <w:pPr/>
      <w:r>
        <w:rPr>
          <w:lang w:val="en_US" w:bidi="en_US"/>
        </w:rPr>
      </w:r>
      <w:r>
        <w:rPr>
          <w:lang w:val="en_US" w:bidi="en_US"/>
        </w:rPr>
        <w:t xml:space="preserve">perhaps they will respect him </w:t>
      </w:r>
      <w:r>
        <w:rPr>
          <w:lang w:val="en_US" w:bidi="en_US"/>
        </w:rPr>
        <w:t>even though they did not respect my servants</w:t>
      </w:r>
    </w:p>
    <w:p>
      <w:pPr/>
      <w:r>
        <w:rPr>
          <w:lang w:val="en_US" w:bidi="en_US"/>
        </w:rPr>
      </w:r>
      <w:r>
        <w:rPr>
          <w:b/>
          <w:lang w:val="en_US" w:bidi="en_US"/>
        </w:rPr>
        <w:t>Perhaps:</w:t>
      </w:r>
      <w:r>
        <w:rPr>
          <w:lang w:val="en_US" w:bidi="en_US"/>
        </w:rPr>
        <w:t xml:space="preserve"> The Greek word that the BSB translates as </w:t>
      </w:r>
      <w:r>
        <w:rPr>
          <w:i/>
          <w:lang w:val="en_US" w:bidi="en_US"/>
        </w:rPr>
        <w:t>Perhaps</w:t>
      </w:r>
      <w:r>
        <w:rPr>
          <w:lang w:val="en_US" w:bidi="en_US"/>
        </w:rPr>
        <w:t xml:space="preserve"> occurs only here in the New Testament. It is difficult to know exactly how much certainty it indicates. English versions have translated it in different ways. For example:</w:t>
      </w:r>
    </w:p>
    <w:p>
      <w:pPr/>
      <w:r>
        <w:rPr>
          <w:lang w:val="en_US" w:bidi="en_US"/>
        </w:rPr>
      </w:r>
      <w:r>
        <w:rPr>
          <w:lang w:val="en_US" w:bidi="en_US"/>
        </w:rPr>
        <w:t>Surely (NLT)</w:t>
      </w:r>
    </w:p>
    <w:p>
      <w:pPr/>
      <w:r>
        <w:rPr>
          <w:lang w:val="en_US" w:bidi="en_US"/>
        </w:rPr>
      </w:r>
      <w:r>
        <w:rPr>
          <w:lang w:val="en_US" w:bidi="en_US"/>
        </w:rPr>
        <w:t>probably (GW)</w:t>
      </w:r>
    </w:p>
    <w:p>
      <w:pPr/>
      <w:r>
        <w:rPr>
          <w:lang w:val="en_US" w:bidi="en_US"/>
        </w:rPr>
      </w:r>
      <w:r>
        <w:rPr>
          <w:lang w:val="en_US" w:bidi="en_US"/>
        </w:rPr>
        <w:t>it may be (RSV)</w:t>
      </w:r>
    </w:p>
    <w:p>
      <w:pPr/>
      <w:r>
        <w:rPr>
          <w:lang w:val="en_US" w:bidi="en_US"/>
        </w:rPr>
      </w:r>
      <w:r>
        <w:rPr>
          <w:lang w:val="en_US" w:bidi="en_US"/>
        </w:rPr>
        <w:t xml:space="preserve">The parable compares God to the owner. It may not intend to imply that the owner had the same knowledge of the future as God has. The owner had reason to hope and expect that the farmers would respect his son. Translate the word </w:t>
      </w:r>
      <w:r>
        <w:rPr>
          <w:i/>
          <w:lang w:val="en_US" w:bidi="en_US"/>
        </w:rPr>
        <w:t>Perhaps</w:t>
      </w:r>
      <w:r>
        <w:rPr>
          <w:lang w:val="en_US" w:bidi="en_US"/>
        </w:rPr>
        <w:t xml:space="preserve"> in a natural way in your language for this context.</w:t>
      </w:r>
    </w:p>
    <w:p>
      <w:pPr>
        <w:pStyle w:val="Heading6"/>
      </w:pPr>
      <w:r>
        <w:rPr>
          <w:b/>
          <w:lang w:val="en_US" w:bidi="en_US"/>
        </w:rPr>
        <w:t>General Comment on 20:13a–c</w:t>
      </w:r>
    </w:p>
    <w:p>
      <w:pPr/>
      <w:r>
        <w:rPr>
          <w:lang w:val="en_US" w:bidi="en_US"/>
        </w:rPr>
      </w:r>
      <w:r>
        <w:rPr>
          <w:lang w:val="en_US" w:bidi="en_US"/>
        </w:rPr>
        <w:t>In some languages it may be necessary to use indirect speech to tell what the owner thought. For example:</w:t>
      </w:r>
    </w:p>
    <w:p>
      <w:pPr/>
      <w:r>
        <w:rPr>
          <w:lang w:val="en_US" w:bidi="en_US"/>
        </w:rPr>
      </w:r>
      <w:r>
        <w:rPr>
          <w:lang w:val="en_US" w:bidi="en_US"/>
        </w:rPr>
        <w:t>So the owner of the vineyard wondered what to do next. He decided to send his own beloved son, hoping that the tenants would respect him.</w:t>
      </w:r>
      <w:r>
        <w:rPr>
          <w:lang w:val="en_US" w:bidi="en_US"/>
        </w:rPr>
      </w:r>
      <w:r>
        <w:rPr>
          <w:lang w:val="en_US" w:bidi="en_US"/>
        </w:rPr>
      </w:r>
    </w:p>
    <w:p>
      <w:pPr/>
      <w:r>
        <w:rPr>
          <w:lang w:val="en_US" w:bidi="en_US"/>
        </w:rPr>
      </w:r>
    </w:p>
    <w:p>
      <w:pPr>
        <w:pStyle w:val="Heading2"/>
      </w:pPr>
      <w:r>
        <w:rPr>
          <w:lang w:val="en_US" w:bidi="en_US"/>
        </w:rPr>
        <w:t>Luke 20:14</w:t>
      </w:r>
      <w:r>
        <w:rPr>
          <w:lang w:val="en_US" w:bidi="en_US"/>
        </w:rPr>
      </w:r>
    </w:p>
    <w:p>
      <w:pPr>
        <w:pStyle w:val="Heading4"/>
      </w:pPr>
      <w:r>
        <w:rPr>
          <w:lang w:val="en_US" w:bidi="en_US"/>
        </w:rPr>
        <w:t>Section 20:9–19: Jesus told a parable about some evil tenant farmers</w:t>
      </w:r>
    </w:p>
    <w:p>
      <w:pPr/>
      <w:r>
        <w:rPr>
          <w:lang w:val="en_US" w:bidi="en_US"/>
        </w:rPr>
      </w:r>
      <w:r>
        <w:rPr>
          <w:lang w:val="en_US" w:bidi="en_US"/>
        </w:rPr>
        <w:t>In 20:1–8 the Jewish religious leaders asked Jesus two questions about his authority. In this section Jesus used a parable to answer those questions in an indirect way. The Jewish leaders showed that they understood this parable by their response in 20:19.</w:t>
      </w:r>
    </w:p>
    <w:p>
      <w:pPr/>
      <w:r>
        <w:rPr>
          <w:lang w:val="en_US" w:bidi="en_US"/>
        </w:rPr>
      </w:r>
      <w:r>
        <w:rPr>
          <w:lang w:val="en_US" w:bidi="en_US"/>
        </w:rP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pPr/>
      <w:r>
        <w:rPr>
          <w:lang w:val="en_US" w:bidi="en_US"/>
        </w:rPr>
      </w:r>
      <w:r>
        <w:rPr>
          <w:lang w:val="en_US" w:bidi="en_US"/>
        </w:rP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pPr/>
      <w:r>
        <w:rPr>
          <w:lang w:val="en_US" w:bidi="en_US"/>
        </w:rPr>
      </w:r>
      <w:r>
        <w:rPr>
          <w:lang w:val="en_US" w:bidi="en_US"/>
        </w:rP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pPr/>
      <w:r>
        <w:rPr>
          <w:lang w:val="en_US" w:bidi="en_US"/>
        </w:rPr>
      </w:r>
      <w:r>
        <w:rPr>
          <w:lang w:val="en_US" w:bidi="en_US"/>
        </w:rPr>
        <w:t>Examples of headings for this section are:</w:t>
      </w:r>
    </w:p>
    <w:p>
      <w:pPr/>
      <w:r>
        <w:rPr>
          <w:lang w:val="en_US" w:bidi="en_US"/>
        </w:rPr>
      </w:r>
      <w:r>
        <w:rPr>
          <w:lang w:val="en_US" w:bidi="en_US"/>
        </w:rPr>
        <w:t>The Parable of the Tenants (NIV)</w:t>
      </w:r>
    </w:p>
    <w:p>
      <w:pPr/>
      <w:r>
        <w:rPr>
          <w:lang w:val="en_US" w:bidi="en_US"/>
        </w:rPr>
      </w:r>
      <w:r>
        <w:rPr>
          <w:lang w:val="en_US" w:bidi="en_US"/>
        </w:rPr>
        <w:t>A story of evil farmers</w:t>
      </w:r>
    </w:p>
    <w:p>
      <w:pPr/>
      <w:r>
        <w:rPr>
          <w:lang w:val="en_US" w:bidi="en_US"/>
        </w:rPr>
      </w:r>
      <w:r>
        <w:rPr>
          <w:lang w:val="en_US" w:bidi="en_US"/>
        </w:rPr>
        <w:t>A parable about bad renters of a vineyard</w:t>
      </w:r>
    </w:p>
    <w:p>
      <w:pPr/>
      <w:r>
        <w:rPr>
          <w:lang w:val="en_US" w:bidi="en_US"/>
        </w:rPr>
      </w:r>
      <w:r>
        <w:rPr>
          <w:lang w:val="en_US" w:bidi="en_US"/>
        </w:rPr>
        <w:t>Parallel passages for this section are in Matthew 21:33–46 and Mark 12:1–12.</w:t>
      </w:r>
    </w:p>
    <w:p>
      <w:pPr>
        <w:pStyle w:val="Heading4"/>
      </w:pPr>
      <w:r>
        <w:rPr>
          <w:lang w:val="en_US" w:bidi="en_US"/>
        </w:rPr>
        <w:t>Paragraph 20:13–16b</w:t>
      </w:r>
    </w:p>
    <w:p>
      <w:pPr/>
      <w:r>
        <w:rPr>
          <w:lang w:val="en_US" w:bidi="en_US"/>
        </w:rPr>
      </w:r>
      <w:r>
        <w:rPr>
          <w:lang w:val="en_US" w:bidi="en_US"/>
        </w:rPr>
        <w:t>In this paragraph the owner decided to send his son. The grape farmers/tenants rejected him and killed him. This figuratively represents the people rejecting Jesus, God’s Son, and killing him.</w:t>
      </w:r>
    </w:p>
    <w:p>
      <w:pPr>
        <w:pStyle w:val="Heading5"/>
      </w:pPr>
      <w:r>
        <w:rPr>
          <w:lang w:val="en_US" w:bidi="en_US"/>
        </w:rPr>
        <w:t>20:14a</w:t>
      </w:r>
    </w:p>
    <w:p>
      <w:pPr/>
      <w:r>
        <w:rPr>
          <w:lang w:val="en_US" w:bidi="en_US"/>
        </w:rPr>
      </w:r>
      <w:r>
        <w:rPr>
          <w:b/>
          <w:lang w:val="en_US" w:bidi="en_US"/>
        </w:rPr>
        <w:t>But when the tenants saw the son,</w:t>
      </w:r>
    </w:p>
    <w:p>
      <w:pPr>
        <w:pStyle w:val="ListBullet"/>
        <w:spacing w:line="240" w:lineRule="auto"/>
        <w:ind w:left="720"/>
      </w:pPr>
      <w:r>
        <w:rPr>
          <w:lang w:val="en_US" w:bidi="en_US"/>
        </w:rPr>
      </w:r>
      <w:r>
        <w:rPr>
          <w:lang w:val="en_US" w:bidi="en_US"/>
        </w:rPr>
        <w:t xml:space="preserve">But when the tenant farmers saw him </w:t>
      </w:r>
      <w:r>
        <w:rPr>
          <w:lang w:val="en_US" w:bidi="en_US"/>
        </w:rPr>
        <w:t>coming</w:t>
      </w:r>
      <w:r>
        <w:rPr>
          <w:lang w:val="en_US" w:bidi="en_US"/>
        </w:rPr>
        <w:t>,</w:t>
      </w:r>
    </w:p>
    <w:p>
      <w:pPr>
        <w:pStyle w:val="ListBullet"/>
        <w:spacing w:line="240" w:lineRule="auto"/>
        <w:ind w:left="720"/>
      </w:pPr>
      <w:r>
        <w:rPr>
          <w:lang w:val="en_US" w:bidi="en_US"/>
        </w:rPr>
      </w:r>
      <w:r>
        <w:rPr>
          <w:lang w:val="en_US" w:bidi="en_US"/>
        </w:rPr>
        <w:t>So the son set out for the grape farm.</w:t>
      </w:r>
      <w:r>
        <w:rPr>
          <w:lang w:val="en_US" w:bidi="en_US"/>
        </w:rPr>
        <w:t xml:space="preserve"> When the men who were taking care of the field/farm saw him,</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with what the owner thought in 20:13c. The actual contrast occurs in 20:14d when the tenants decided to kill the son. So in some language it may not be natural to begin the verse with a conjunction like </w:t>
      </w:r>
      <w:r>
        <w:rPr>
          <w:i/>
          <w:lang w:val="en_US" w:bidi="en_US"/>
        </w:rPr>
        <w:t>But</w:t>
      </w:r>
      <w:r>
        <w:rPr>
          <w:lang w:val="en_US" w:bidi="en_US"/>
        </w:rPr>
        <w:t>. Here is another way to translate this:</w:t>
      </w:r>
    </w:p>
    <w:p>
      <w:pPr/>
      <w:r>
        <w:rPr>
          <w:lang w:val="en_US" w:bidi="en_US"/>
        </w:rPr>
      </w:r>
      <w:r>
        <w:rPr>
          <w:lang w:val="en_US" w:bidi="en_US"/>
        </w:rPr>
        <w:t>When the renters saw the owner’s son (CEV)</w:t>
      </w:r>
    </w:p>
    <w:p>
      <w:pPr/>
      <w:r>
        <w:rPr>
          <w:lang w:val="en_US" w:bidi="en_US"/>
        </w:rPr>
      </w:r>
      <w:r>
        <w:rPr>
          <w:lang w:val="en_US" w:bidi="en_US"/>
        </w:rPr>
        <w:t>Connect the events in this section in a natural way in your language.</w:t>
      </w:r>
    </w:p>
    <w:p>
      <w:pPr/>
      <w:r>
        <w:rPr>
          <w:lang w:val="en_US" w:bidi="en_US"/>
        </w:rPr>
      </w:r>
      <w:r>
        <w:rPr>
          <w:b/>
          <w:lang w:val="en_US" w:bidi="en_US"/>
        </w:rPr>
        <w:t>when the tenants saw the son:</w:t>
      </w:r>
      <w:r>
        <w:rPr>
          <w:lang w:val="en_US" w:bidi="en_US"/>
        </w:rPr>
        <w:t xml:space="preserve"> The phrase </w:t>
      </w:r>
      <w:r>
        <w:rPr>
          <w:i/>
          <w:lang w:val="en_US" w:bidi="en_US"/>
        </w:rPr>
        <w:t>the son</w:t>
      </w:r>
      <w:r>
        <w:rPr>
          <w:lang w:val="en_US" w:bidi="en_US"/>
        </w:rPr>
        <w:t xml:space="preserve"> refers to the owner’s son. The clause implies that the owner did send his son, as he planned in 20:13b, and the son arrived. As the son was arriving at the vineyard, the tenant farmers saw him. In some languages it may be necessary to make the sequence of events more explicit. For example:</w:t>
      </w:r>
    </w:p>
    <w:p>
      <w:pPr/>
      <w:r>
        <w:rPr>
          <w:lang w:val="en_US" w:bidi="en_US"/>
        </w:rPr>
      </w:r>
      <w:r>
        <w:rPr>
          <w:lang w:val="en_US" w:bidi="en_US"/>
        </w:rPr>
        <w:t>So the owner sent his son to them.</w:t>
      </w:r>
      <w:r>
        <w:rPr>
          <w:lang w:val="en_US" w:bidi="en_US"/>
        </w:rPr>
        <w:t xml:space="preserve"> But when the tenants saw him </w:t>
      </w:r>
      <w:r>
        <w:rPr>
          <w:lang w:val="en_US" w:bidi="en_US"/>
        </w:rPr>
        <w:t>coming</w:t>
      </w:r>
      <w:r>
        <w:rPr>
          <w:lang w:val="en_US" w:bidi="en_US"/>
        </w:rPr>
        <w:t>….</w:t>
      </w:r>
    </w:p>
    <w:p>
      <w:pPr>
        <w:pStyle w:val="Heading5"/>
      </w:pPr>
      <w:r>
        <w:rPr>
          <w:lang w:val="en_US" w:bidi="en_US"/>
        </w:rPr>
        <w:t>20:14b</w:t>
      </w:r>
    </w:p>
    <w:p>
      <w:pPr/>
      <w:r>
        <w:rPr>
          <w:lang w:val="en_US" w:bidi="en_US"/>
        </w:rPr>
      </w:r>
      <w:r>
        <w:rPr>
          <w:b/>
          <w:lang w:val="en_US" w:bidi="en_US"/>
        </w:rPr>
        <w:t>they discussed it among themselves and said,</w:t>
      </w:r>
    </w:p>
    <w:p>
      <w:pPr>
        <w:pStyle w:val="ListBullet"/>
        <w:spacing w:line="240" w:lineRule="auto"/>
        <w:ind w:left="720"/>
      </w:pPr>
      <w:r>
        <w:rPr>
          <w:lang w:val="en_US" w:bidi="en_US"/>
        </w:rPr>
      </w:r>
      <w:r>
        <w:rPr>
          <w:lang w:val="en_US" w:bidi="en_US"/>
        </w:rPr>
        <w:t>they discussed what they should do. And they said,</w:t>
      </w:r>
    </w:p>
    <w:p>
      <w:pPr>
        <w:pStyle w:val="ListBullet"/>
        <w:spacing w:line="240" w:lineRule="auto"/>
        <w:ind w:left="720"/>
      </w:pPr>
      <w:r>
        <w:rPr>
          <w:lang w:val="en_US" w:bidi="en_US"/>
        </w:rPr>
      </w:r>
      <w:r>
        <w:rPr>
          <w:lang w:val="en_US" w:bidi="en_US"/>
        </w:rPr>
        <w:t xml:space="preserve">they considered the situation and talked with each other about the </w:t>
      </w:r>
      <w:r>
        <w:rPr>
          <w:lang w:val="en_US" w:bidi="en_US"/>
        </w:rPr>
        <w:t>owner and his son</w:t>
      </w:r>
      <w:r>
        <w:rPr>
          <w:lang w:val="en_US" w:bidi="en_US"/>
        </w:rPr>
        <w:t>. They said,</w:t>
      </w:r>
    </w:p>
    <w:p>
      <w:pPr/>
      <w:r>
        <w:rPr>
          <w:lang w:val="en_US" w:bidi="en_US"/>
        </w:rPr>
      </w:r>
      <w:r>
        <w:rPr>
          <w:b/>
          <w:lang w:val="en_US" w:bidi="en_US"/>
        </w:rPr>
        <w:t>they discussed it among themselves and said:</w:t>
      </w:r>
      <w:r>
        <w:rPr>
          <w:lang w:val="en_US" w:bidi="en_US"/>
        </w:rPr>
        <w:t xml:space="preserve"> The Greek clause that the BSB translates as </w:t>
      </w:r>
      <w:r>
        <w:rPr>
          <w:i/>
          <w:lang w:val="en_US" w:bidi="en_US"/>
        </w:rPr>
        <w:t>they discussed it among themselves and said</w:t>
      </w:r>
      <w:r>
        <w:rPr>
          <w:lang w:val="en_US" w:bidi="en_US"/>
        </w:rPr>
        <w:t xml:space="preserve"> is literally, “they were discussing/reasoning with each other saying.” It means that the tenant farmers considered the situation and discussed it among themselves. They talked about what they could gain if they killed the son. Some other ways to translate this clause are:</w:t>
      </w:r>
    </w:p>
    <w:p>
      <w:pPr/>
      <w:r>
        <w:rPr>
          <w:lang w:val="en_US" w:bidi="en_US"/>
        </w:rPr>
      </w:r>
      <w:r>
        <w:rPr>
          <w:lang w:val="en_US" w:bidi="en_US"/>
        </w:rPr>
        <w:t>they discussed what they should do (REB)</w:t>
      </w:r>
    </w:p>
    <w:p>
      <w:pPr/>
      <w:r>
        <w:rPr>
          <w:lang w:val="en_US" w:bidi="en_US"/>
        </w:rPr>
      </w:r>
      <w:r>
        <w:rPr>
          <w:lang w:val="en_US" w:bidi="en_US"/>
        </w:rPr>
        <w:t>they said to each other (NLT)</w:t>
      </w:r>
    </w:p>
    <w:p>
      <w:pPr/>
      <w:r>
        <w:rPr>
          <w:lang w:val="en_US" w:bidi="en_US"/>
        </w:rPr>
      </w:r>
      <w:r>
        <w:rPr>
          <w:lang w:val="en_US" w:bidi="en_US"/>
        </w:rPr>
        <w:t>they reasoned with one another, saying (NASB)</w:t>
      </w:r>
    </w:p>
    <w:p>
      <w:pPr/>
      <w:r>
        <w:rPr>
          <w:lang w:val="en_US" w:bidi="en_US"/>
        </w:rPr>
      </w:r>
      <w:r>
        <w:rPr>
          <w:lang w:val="en_US" w:bidi="en_US"/>
        </w:rPr>
        <w:t>they planned</w:t>
      </w:r>
    </w:p>
    <w:p>
      <w:pPr>
        <w:pStyle w:val="Heading5"/>
      </w:pPr>
      <w:r>
        <w:rPr>
          <w:lang w:val="en_US" w:bidi="en_US"/>
        </w:rPr>
        <w:t>20:14c</w:t>
      </w:r>
    </w:p>
    <w:p>
      <w:pPr/>
      <w:r>
        <w:rPr>
          <w:lang w:val="en_US" w:bidi="en_US"/>
        </w:rPr>
      </w:r>
      <w:r>
        <w:rPr>
          <w:b/>
          <w:lang w:val="en_US" w:bidi="en_US"/>
        </w:rPr>
        <w:t>‘This is the heir.</w:t>
      </w:r>
    </w:p>
    <w:p>
      <w:pPr>
        <w:pStyle w:val="ListBullet"/>
        <w:spacing w:line="240" w:lineRule="auto"/>
        <w:ind w:left="720"/>
      </w:pPr>
      <w:r>
        <w:rPr>
          <w:lang w:val="en_US" w:bidi="en_US"/>
        </w:rPr>
      </w:r>
      <w:r>
        <w:rPr>
          <w:lang w:val="en_US" w:bidi="en_US"/>
        </w:rPr>
        <w:t xml:space="preserve">‘Here is the man who will inherit </w:t>
      </w:r>
      <w:r>
        <w:rPr>
          <w:lang w:val="en_US" w:bidi="en_US"/>
        </w:rPr>
        <w:t>the grape farm</w:t>
      </w:r>
      <w:r>
        <w:rPr>
          <w:lang w:val="en_US" w:bidi="en_US"/>
        </w:rPr>
        <w:t>.</w:t>
      </w:r>
    </w:p>
    <w:p>
      <w:pPr>
        <w:pStyle w:val="ListBullet"/>
        <w:spacing w:line="240" w:lineRule="auto"/>
        <w:ind w:left="720"/>
      </w:pPr>
      <w:r>
        <w:rPr>
          <w:lang w:val="en_US" w:bidi="en_US"/>
        </w:rPr>
      </w:r>
      <w:r>
        <w:rPr>
          <w:lang w:val="en_US" w:bidi="en_US"/>
        </w:rPr>
        <w:t xml:space="preserve">‘Here </w:t>
      </w:r>
      <w:r>
        <w:rPr>
          <w:lang w:val="en_US" w:bidi="en_US"/>
        </w:rPr>
        <w:t>comes</w:t>
      </w:r>
      <w:r>
        <w:rPr>
          <w:lang w:val="en_US" w:bidi="en_US"/>
        </w:rPr>
        <w:t xml:space="preserve"> the owner’s son. </w:t>
      </w:r>
      <w:r>
        <w:rPr>
          <w:lang w:val="en_US" w:bidi="en_US"/>
        </w:rPr>
        <w:t>When his father dies,</w:t>
      </w:r>
      <w:r>
        <w:rPr>
          <w:lang w:val="en_US" w:bidi="en_US"/>
        </w:rPr>
        <w:t xml:space="preserve"> he will inherit the property.</w:t>
      </w:r>
    </w:p>
    <w:p>
      <w:pPr/>
      <w:r>
        <w:rPr>
          <w:lang w:val="en_US" w:bidi="en_US"/>
        </w:rPr>
      </w:r>
      <w:r>
        <w:rPr>
          <w:b/>
          <w:lang w:val="en_US" w:bidi="en_US"/>
        </w:rPr>
        <w:t>This is the heir:</w:t>
      </w:r>
      <w:r>
        <w:rPr>
          <w:lang w:val="en_US" w:bidi="en_US"/>
        </w:rPr>
        <w:t xml:space="preserve"> The Greek word that the BSB translates as </w:t>
      </w:r>
      <w:r>
        <w:rPr>
          <w:i/>
          <w:lang w:val="en_US" w:bidi="en_US"/>
        </w:rPr>
        <w:t>the heir</w:t>
      </w:r>
      <w:r>
        <w:rPr>
          <w:lang w:val="en_US" w:bidi="en_US"/>
        </w:rPr>
        <w:t xml:space="preserve"> refers to the one who would receive his father’s property when his father died. The clause </w:t>
      </w:r>
      <w:r>
        <w:rPr>
          <w:i/>
          <w:lang w:val="en_US" w:bidi="en_US"/>
        </w:rPr>
        <w:t>This is the heir</w:t>
      </w:r>
      <w:r>
        <w:rPr>
          <w:lang w:val="en_US" w:bidi="en_US"/>
        </w:rPr>
        <w:t xml:space="preserve"> refers to the owner’s son. He was coming toward them. Another way to translate it is:</w:t>
      </w:r>
    </w:p>
    <w:p>
      <w:pPr/>
      <w:r>
        <w:rPr>
          <w:lang w:val="en_US" w:bidi="en_US"/>
        </w:rPr>
      </w:r>
      <w:r>
        <w:rPr>
          <w:lang w:val="en_US" w:bidi="en_US"/>
        </w:rPr>
        <w:t>Here comes the owner’s son. He will own the vineyard when his father dies.</w:t>
      </w:r>
    </w:p>
    <w:p>
      <w:pPr>
        <w:pStyle w:val="Heading5"/>
      </w:pPr>
      <w:r>
        <w:rPr>
          <w:lang w:val="en_US" w:bidi="en_US"/>
        </w:rPr>
        <w:t>20:14d</w:t>
      </w:r>
    </w:p>
    <w:p>
      <w:pPr/>
      <w:r>
        <w:rPr>
          <w:lang w:val="en_US" w:bidi="en_US"/>
        </w:rPr>
      </w:r>
      <w:r>
        <w:rPr>
          <w:b/>
          <w:lang w:val="en_US" w:bidi="en_US"/>
        </w:rPr>
        <w:t>Let us kill him, and the inheritance will be ours.’</w:t>
      </w:r>
    </w:p>
    <w:p>
      <w:pPr>
        <w:pStyle w:val="ListBullet"/>
        <w:spacing w:line="240" w:lineRule="auto"/>
        <w:ind w:left="720"/>
      </w:pPr>
      <w:r>
        <w:rPr>
          <w:lang w:val="en_US" w:bidi="en_US"/>
        </w:rPr>
      </w:r>
      <w:r>
        <w:rPr>
          <w:lang w:val="en_US" w:bidi="en_US"/>
        </w:rPr>
        <w:t>Let us</w:t>
      </w:r>
      <w:r>
        <w:rPr>
          <w:vertAlign w:val="superscript"/>
          <w:lang w:val="en_US" w:bidi="en_US"/>
        </w:rPr>
        <w:t>(incl)</w:t>
      </w:r>
      <w:r>
        <w:rPr>
          <w:lang w:val="en_US" w:bidi="en_US"/>
        </w:rPr>
        <w:t xml:space="preserve"> kill him so that the grape farm will belong to us!’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should kill him! Then we will </w:t>
      </w:r>
      <w:r>
        <w:rPr>
          <w:lang w:val="en_US" w:bidi="en_US"/>
        </w:rPr>
        <w:t>be able to</w:t>
      </w:r>
      <w:r>
        <w:rPr>
          <w:lang w:val="en_US" w:bidi="en_US"/>
        </w:rPr>
        <w:t xml:space="preserve"> keep his father’s property/estate.’</w:t>
      </w:r>
    </w:p>
    <w:p>
      <w:pPr/>
      <w:r>
        <w:rPr>
          <w:lang w:val="en_US" w:bidi="en_US"/>
        </w:rPr>
      </w:r>
      <w:r>
        <w:rPr>
          <w:b/>
          <w:lang w:val="en_US" w:bidi="en_US"/>
        </w:rPr>
        <w:t>Let us kill him:</w:t>
      </w:r>
      <w:r>
        <w:rPr>
          <w:lang w:val="en_US" w:bidi="en_US"/>
        </w:rPr>
        <w:t xml:space="preserve"> The clause </w:t>
      </w:r>
      <w:r>
        <w:rPr>
          <w:i/>
          <w:lang w:val="en_US" w:bidi="en_US"/>
        </w:rPr>
        <w:t>Let us kill him</w:t>
      </w:r>
      <w:r>
        <w:rPr>
          <w:lang w:val="en_US" w:bidi="en_US"/>
        </w:rPr>
        <w:t xml:space="preserve"> is more literally, “We should/must kill him.” The tenants said this to encourage each other to kill the son. The phrase </w:t>
      </w:r>
      <w:r>
        <w:rPr>
          <w:i/>
          <w:lang w:val="en_US" w:bidi="en_US"/>
        </w:rPr>
        <w:t>Let us</w:t>
      </w:r>
      <w:r>
        <w:rPr>
          <w:lang w:val="en_US" w:bidi="en_US"/>
        </w:rPr>
        <w:t xml:space="preserve"> is not a request for permission. Use a natural way in your language for people to encourage each other to do something.</w:t>
      </w:r>
    </w:p>
    <w:p>
      <w:pPr/>
      <w:r>
        <w:rPr>
          <w:lang w:val="en_US" w:bidi="en_US"/>
        </w:rPr>
      </w:r>
      <w:r>
        <w:rPr>
          <w:b/>
          <w:lang w:val="en_US" w:bidi="en_US"/>
        </w:rPr>
        <w:t>and the inheritance will be ours:</w:t>
      </w:r>
      <w:r>
        <w:rPr>
          <w:lang w:val="en_US" w:bidi="en_US"/>
        </w:rPr>
        <w:t xml:space="preserve"> This phrase tells the reason why the tenants wanted to kill the owner’s son. They thought that if they killed him, they could own the grape farm.</w:t>
      </w:r>
      <w:r>
        <w:rPr>
          <w:lang w:val="en_US" w:bidi="en_US"/>
        </w:rPr>
        <w:t>The reasoning of the tenants is not entirely clear. Marshall (p. 730) suggests that they may have assumed that the father had already died and that the son was coming to claim the grape farm for himself. They may have thought that “if they killed the new owner, the vineyard would pass into their hands as the first claimants; it would be regarded as ownerless property, and they would have a good chance of maintaining their claim.” It was a custom at that time that, when men had farmed land for three years or more, they could claim that it was their land if no other person claimed it. So the farmers thought that if they killed the son (apparently the only son), they would become the owners of the grape farm.</w:t>
      </w:r>
      <w:r>
        <w:rPr>
          <w:lang w:val="en_US" w:bidi="en_US"/>
        </w:rPr>
        <w:t xml:space="preserve"> Some ways to translate this reason are:</w:t>
      </w:r>
    </w:p>
    <w:p>
      <w:pPr/>
      <w:r>
        <w:rPr>
          <w:lang w:val="en_US" w:bidi="en_US"/>
        </w:rPr>
      </w:r>
      <w:r>
        <w:rPr>
          <w:lang w:val="en_US" w:bidi="en_US"/>
        </w:rPr>
        <w:t>Let’s kill him so that the inheritance will be ours. (GW)</w:t>
      </w:r>
    </w:p>
    <w:p>
      <w:pPr/>
      <w:r>
        <w:rPr>
          <w:lang w:val="en_US" w:bidi="en_US"/>
        </w:rPr>
      </w:r>
      <w:r>
        <w:rPr>
          <w:lang w:val="en_US" w:bidi="en_US"/>
        </w:rPr>
        <w:t>If we kill him, it will be ours. (NCV)</w:t>
      </w:r>
    </w:p>
    <w:p>
      <w:pPr/>
      <w:r>
        <w:rPr>
          <w:lang w:val="en_US" w:bidi="en_US"/>
        </w:rPr>
      </w:r>
      <w:r>
        <w:rPr>
          <w:lang w:val="en_US" w:bidi="en_US"/>
        </w:rPr>
        <w:t>Let’s kill him! Then we can have it all for ourselves. (CEV)</w:t>
      </w:r>
    </w:p>
    <w:p>
      <w:pPr/>
      <w:r>
        <w:rPr>
          <w:lang w:val="en_US" w:bidi="en_US"/>
        </w:rPr>
      </w:r>
      <w:r>
        <w:rPr>
          <w:b/>
          <w:lang w:val="en_US" w:bidi="en_US"/>
        </w:rPr>
        <w:t>the inheritance:</w:t>
      </w:r>
      <w:r>
        <w:rPr>
          <w:lang w:val="en_US" w:bidi="en_US"/>
        </w:rPr>
        <w:t xml:space="preserve"> An </w:t>
      </w:r>
      <w:r>
        <w:rPr>
          <w:i/>
          <w:lang w:val="en_US" w:bidi="en_US"/>
        </w:rPr>
        <w:t>inheritance</w:t>
      </w:r>
      <w:r>
        <w:rPr>
          <w:lang w:val="en_US" w:bidi="en_US"/>
        </w:rPr>
        <w:t xml:space="preserve"> is something that a person receives when its previous owner dies. Here it refers specifically to the grape farm. Some ways to translate it are:</w:t>
      </w:r>
    </w:p>
    <w:p>
      <w:pPr>
        <w:pStyle w:val="ListBullet"/>
        <w:spacing w:line="240" w:lineRule="auto"/>
        <w:ind w:left="720"/>
      </w:pPr>
      <w:r>
        <w:rPr>
          <w:lang w:val="en_US" w:bidi="en_US"/>
        </w:rPr>
      </w:r>
      <w:r>
        <w:rPr>
          <w:lang w:val="en_US" w:bidi="en_US"/>
        </w:rPr>
        <w:t>Refer in general to all the property that the son would inherit. For example:</w:t>
      </w:r>
      <w:r>
        <w:rPr>
          <w:lang w:val="en_US" w:bidi="en_US"/>
        </w:rPr>
        <w:t>his property (GNT)</w:t>
      </w:r>
      <w:r>
        <w:rPr>
          <w:lang w:val="en_US" w:bidi="en_US"/>
        </w:rPr>
        <w:t>everything that he would have had (JBP)</w:t>
      </w:r>
      <w:r>
        <w:rPr>
          <w:lang w:val="en_US" w:bidi="en_US"/>
        </w:rPr>
        <w:t>the estate (NLT)</w:t>
      </w:r>
    </w:p>
    <w:p>
      <w:pPr>
        <w:pStyle w:val="ListBullet"/>
        <w:spacing w:line="240" w:lineRule="auto"/>
        <w:ind w:left="720"/>
      </w:pPr>
      <w:r>
        <w:rPr>
          <w:lang w:val="en_US" w:bidi="en_US"/>
        </w:rPr>
      </w:r>
      <w:r>
        <w:rPr>
          <w:lang w:val="en_US" w:bidi="en_US"/>
        </w:rPr>
        <w:t>Refer specifically to the grape farm. For example:</w:t>
      </w:r>
      <w:r>
        <w:rPr>
          <w:lang w:val="en_US" w:bidi="en_US"/>
        </w:rPr>
        <w:t>the vineyard…it (NCV)</w:t>
      </w:r>
    </w:p>
    <w:p>
      <w:pPr/>
      <w:r>
        <w:rPr>
          <w:lang w:val="en_US" w:bidi="en_US"/>
        </w:rPr>
      </w:r>
      <w:r>
        <w:rPr>
          <w:b/>
          <w:lang w:val="en_US" w:bidi="en_US"/>
        </w:rPr>
        <w:t>ours:</w:t>
      </w:r>
      <w:r>
        <w:rPr>
          <w:lang w:val="en_US" w:bidi="en_US"/>
        </w:rPr>
        <w:t xml:space="preserve"> The pronoun </w:t>
      </w:r>
      <w:r>
        <w:rPr>
          <w:i/>
          <w:lang w:val="en_US" w:bidi="en_US"/>
        </w:rPr>
        <w:t>ours</w:t>
      </w:r>
      <w:r>
        <w:rPr>
          <w:lang w:val="en_US" w:bidi="en_US"/>
        </w:rPr>
        <w:t xml:space="preserve"> refers to the tenant farmers.</w:t>
      </w:r>
      <w:r>
        <w:rPr>
          <w:lang w:val="en_US" w:bidi="en_US"/>
        </w:rPr>
      </w:r>
      <w:r>
        <w:rPr>
          <w:lang w:val="en_US" w:bidi="en_US"/>
        </w:rPr>
      </w:r>
    </w:p>
    <w:p>
      <w:pPr/>
      <w:r>
        <w:rPr>
          <w:lang w:val="en_US" w:bidi="en_US"/>
        </w:rPr>
      </w:r>
    </w:p>
    <w:p>
      <w:pPr>
        <w:pStyle w:val="Heading2"/>
      </w:pPr>
      <w:r>
        <w:rPr>
          <w:lang w:val="en_US" w:bidi="en_US"/>
        </w:rPr>
        <w:t>Luke 20:15</w:t>
      </w:r>
      <w:r>
        <w:rPr>
          <w:lang w:val="en_US" w:bidi="en_US"/>
        </w:rPr>
      </w:r>
    </w:p>
    <w:p>
      <w:pPr>
        <w:pStyle w:val="Heading4"/>
      </w:pPr>
      <w:r>
        <w:rPr>
          <w:lang w:val="en_US" w:bidi="en_US"/>
        </w:rPr>
        <w:t>Section 20:9–19: Jesus told a parable about some evil tenant farmers</w:t>
      </w:r>
    </w:p>
    <w:p>
      <w:pPr/>
      <w:r>
        <w:rPr>
          <w:lang w:val="en_US" w:bidi="en_US"/>
        </w:rPr>
      </w:r>
      <w:r>
        <w:rPr>
          <w:lang w:val="en_US" w:bidi="en_US"/>
        </w:rPr>
        <w:t>In 20:1–8 the Jewish religious leaders asked Jesus two questions about his authority. In this section Jesus used a parable to answer those questions in an indirect way. The Jewish leaders showed that they understood this parable by their response in 20:19.</w:t>
      </w:r>
    </w:p>
    <w:p>
      <w:pPr/>
      <w:r>
        <w:rPr>
          <w:lang w:val="en_US" w:bidi="en_US"/>
        </w:rPr>
      </w:r>
      <w:r>
        <w:rPr>
          <w:lang w:val="en_US" w:bidi="en_US"/>
        </w:rP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pPr/>
      <w:r>
        <w:rPr>
          <w:lang w:val="en_US" w:bidi="en_US"/>
        </w:rPr>
      </w:r>
      <w:r>
        <w:rPr>
          <w:lang w:val="en_US" w:bidi="en_US"/>
        </w:rP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pPr/>
      <w:r>
        <w:rPr>
          <w:lang w:val="en_US" w:bidi="en_US"/>
        </w:rPr>
      </w:r>
      <w:r>
        <w:rPr>
          <w:lang w:val="en_US" w:bidi="en_US"/>
        </w:rP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pPr/>
      <w:r>
        <w:rPr>
          <w:lang w:val="en_US" w:bidi="en_US"/>
        </w:rPr>
      </w:r>
      <w:r>
        <w:rPr>
          <w:lang w:val="en_US" w:bidi="en_US"/>
        </w:rPr>
        <w:t>Examples of headings for this section are:</w:t>
      </w:r>
    </w:p>
    <w:p>
      <w:pPr/>
      <w:r>
        <w:rPr>
          <w:lang w:val="en_US" w:bidi="en_US"/>
        </w:rPr>
      </w:r>
      <w:r>
        <w:rPr>
          <w:lang w:val="en_US" w:bidi="en_US"/>
        </w:rPr>
        <w:t>The Parable of the Tenants (NIV)</w:t>
      </w:r>
    </w:p>
    <w:p>
      <w:pPr/>
      <w:r>
        <w:rPr>
          <w:lang w:val="en_US" w:bidi="en_US"/>
        </w:rPr>
      </w:r>
      <w:r>
        <w:rPr>
          <w:lang w:val="en_US" w:bidi="en_US"/>
        </w:rPr>
        <w:t>A story of evil farmers</w:t>
      </w:r>
    </w:p>
    <w:p>
      <w:pPr/>
      <w:r>
        <w:rPr>
          <w:lang w:val="en_US" w:bidi="en_US"/>
        </w:rPr>
      </w:r>
      <w:r>
        <w:rPr>
          <w:lang w:val="en_US" w:bidi="en_US"/>
        </w:rPr>
        <w:t>A parable about bad renters of a vineyard</w:t>
      </w:r>
    </w:p>
    <w:p>
      <w:pPr/>
      <w:r>
        <w:rPr>
          <w:lang w:val="en_US" w:bidi="en_US"/>
        </w:rPr>
      </w:r>
      <w:r>
        <w:rPr>
          <w:lang w:val="en_US" w:bidi="en_US"/>
        </w:rPr>
        <w:t>Parallel passages for this section are in Matthew 21:33–46 and Mark 12:1–12.</w:t>
      </w:r>
    </w:p>
    <w:p>
      <w:pPr>
        <w:pStyle w:val="Heading4"/>
      </w:pPr>
      <w:r>
        <w:rPr>
          <w:lang w:val="en_US" w:bidi="en_US"/>
        </w:rPr>
        <w:t>Paragraph 20:13–16b</w:t>
      </w:r>
    </w:p>
    <w:p>
      <w:pPr/>
      <w:r>
        <w:rPr>
          <w:lang w:val="en_US" w:bidi="en_US"/>
        </w:rPr>
      </w:r>
      <w:r>
        <w:rPr>
          <w:lang w:val="en_US" w:bidi="en_US"/>
        </w:rPr>
        <w:t>In this paragraph the owner decided to send his son. The grape farmers/tenants rejected him and killed him. This figuratively represents the people rejecting Jesus, God’s Son, and killing him.</w:t>
      </w:r>
    </w:p>
    <w:p>
      <w:pPr>
        <w:pStyle w:val="Heading5"/>
      </w:pPr>
      <w:r>
        <w:rPr>
          <w:lang w:val="en_US" w:bidi="en_US"/>
        </w:rPr>
        <w:t>20:15a</w:t>
      </w:r>
    </w:p>
    <w:p>
      <w:pPr/>
      <w:r>
        <w:rPr>
          <w:lang w:val="en_US" w:bidi="en_US"/>
        </w:rPr>
      </w:r>
      <w:r>
        <w:rPr>
          <w:b/>
          <w:lang w:val="en_US" w:bidi="en_US"/>
        </w:rPr>
        <w:t>So they threw him out of the vineyard and killed him.</w:t>
      </w:r>
    </w:p>
    <w:p>
      <w:pPr>
        <w:pStyle w:val="ListBullet"/>
        <w:spacing w:line="240" w:lineRule="auto"/>
        <w:ind w:left="720"/>
      </w:pPr>
      <w:r>
        <w:rPr>
          <w:lang w:val="en_US" w:bidi="en_US"/>
        </w:rPr>
      </w:r>
      <w:r>
        <w:rPr>
          <w:lang w:val="en_US" w:bidi="en_US"/>
        </w:rPr>
        <w:t>So/Then they forcibly took him away from the grape farm and murdered him.</w:t>
      </w:r>
    </w:p>
    <w:p>
      <w:pPr>
        <w:pStyle w:val="ListBullet"/>
        <w:spacing w:line="240" w:lineRule="auto"/>
        <w:ind w:left="720"/>
      </w:pPr>
      <w:r>
        <w:rPr>
          <w:lang w:val="en_US" w:bidi="en_US"/>
        </w:rPr>
      </w:r>
      <w:r>
        <w:rPr>
          <w:lang w:val="en_US" w:bidi="en_US"/>
        </w:rPr>
        <w:t>Saying/Thinking that, they pushed him out of the grape farm. Then they killed him.</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is often translated as “and.” Here it introduces what the tenants did as a result of their discussion. After they talked about the situation, they did what they had decided to do. Connect this verse to 20:14 in a way that is natural in your language.</w:t>
      </w:r>
    </w:p>
    <w:p>
      <w:pPr/>
      <w:r>
        <w:rPr>
          <w:lang w:val="en_US" w:bidi="en_US"/>
        </w:rPr>
      </w:r>
      <w:r>
        <w:rPr>
          <w:b/>
          <w:lang w:val="en_US" w:bidi="en_US"/>
        </w:rPr>
        <w:t>they threw him out of the vineyard and killed him:</w:t>
      </w:r>
      <w:r>
        <w:rPr>
          <w:lang w:val="en_US" w:bidi="en_US"/>
        </w:rPr>
        <w:t xml:space="preserve"> The tenants threw the son out of the vineyard and then killed him there. They did not kill him in the vineyard and then throw his dead body out. Be sure that this is clear in your language.</w:t>
      </w:r>
    </w:p>
    <w:p>
      <w:pPr/>
      <w:r>
        <w:rPr>
          <w:lang w:val="en_US" w:bidi="en_US"/>
        </w:rPr>
      </w:r>
      <w:r>
        <w:rPr>
          <w:b/>
          <w:lang w:val="en_US" w:bidi="en_US"/>
        </w:rPr>
        <w:t>they threw him out of the vineyard:</w:t>
      </w:r>
      <w:r>
        <w:rPr>
          <w:lang w:val="en_US" w:bidi="en_US"/>
        </w:rPr>
        <w:t xml:space="preserve"> The Greek verb that the BSB translates as </w:t>
      </w:r>
      <w:r>
        <w:rPr>
          <w:i/>
          <w:lang w:val="en_US" w:bidi="en_US"/>
        </w:rPr>
        <w:t>they threw him out</w:t>
      </w:r>
      <w:r>
        <w:rPr>
          <w:lang w:val="en_US" w:bidi="en_US"/>
        </w:rPr>
        <w:t xml:space="preserve"> was also used in 20:12. It indicates that the tenants forced the son out of the grape farm. They may have pushed or dragged him. They may even have carried him and thrown him down outside the grape farm.</w:t>
      </w:r>
    </w:p>
    <w:p>
      <w:pPr/>
      <w:r>
        <w:rPr>
          <w:lang w:val="en_US" w:bidi="en_US"/>
        </w:rPr>
      </w:r>
      <w:r>
        <w:rPr>
          <w:b/>
          <w:lang w:val="en_US" w:bidi="en_US"/>
        </w:rPr>
        <w:t>and killed him:</w:t>
      </w:r>
      <w:r>
        <w:rPr>
          <w:lang w:val="en_US" w:bidi="en_US"/>
        </w:rPr>
        <w:t xml:space="preserve"> The tenants killed the son illegally. Another way to translate the clause is:</w:t>
      </w:r>
    </w:p>
    <w:p>
      <w:pPr/>
      <w:r>
        <w:rPr>
          <w:lang w:val="en_US" w:bidi="en_US"/>
        </w:rPr>
      </w:r>
      <w:r>
        <w:rPr>
          <w:lang w:val="en_US" w:bidi="en_US"/>
        </w:rPr>
        <w:t>Then they murdered him.</w:t>
      </w:r>
    </w:p>
    <w:p>
      <w:pPr>
        <w:pStyle w:val="Heading5"/>
      </w:pPr>
      <w:r>
        <w:rPr>
          <w:lang w:val="en_US" w:bidi="en_US"/>
        </w:rPr>
        <w:t>20:15b</w:t>
      </w:r>
    </w:p>
    <w:p>
      <w:pPr/>
      <w:r>
        <w:rPr>
          <w:lang w:val="en_US" w:bidi="en_US"/>
        </w:rPr>
      </w:r>
      <w:r>
        <w:rPr>
          <w:b/>
          <w:lang w:val="en_US" w:bidi="en_US"/>
        </w:rPr>
        <w:t>What then will the owner of the vineyard do to them?</w:t>
      </w:r>
    </w:p>
    <w:p>
      <w:pPr>
        <w:pStyle w:val="ListBullet"/>
        <w:spacing w:line="240" w:lineRule="auto"/>
        <w:ind w:left="720"/>
      </w:pPr>
      <w:r>
        <w:rPr>
          <w:lang w:val="en_US" w:bidi="en_US"/>
        </w:rPr>
      </w:r>
      <w:r>
        <w:rPr>
          <w:lang w:val="en_US" w:bidi="en_US"/>
        </w:rPr>
        <w:t xml:space="preserve">So what </w:t>
      </w:r>
      <w:r>
        <w:rPr>
          <w:lang w:val="en_US" w:bidi="en_US"/>
        </w:rPr>
        <w:t>do you</w:t>
      </w:r>
      <w:r>
        <w:rPr>
          <w:vertAlign w:val="superscript"/>
          <w:lang w:val="en_US" w:bidi="en_US"/>
        </w:rPr>
        <w:t>(plur)</w:t>
      </w:r>
      <w:r>
        <w:rPr>
          <w:lang w:val="en_US" w:bidi="en_US"/>
        </w:rPr>
        <w:t xml:space="preserve"> </w:t>
      </w:r>
      <w:r>
        <w:rPr>
          <w:lang w:val="en_US" w:bidi="en_US"/>
        </w:rPr>
        <w:t>think</w:t>
      </w:r>
      <w:r>
        <w:rPr>
          <w:lang w:val="en_US" w:bidi="en_US"/>
        </w:rPr>
        <w:t xml:space="preserve"> the owner of the grape farm will do to them?</w:t>
      </w:r>
    </w:p>
    <w:p>
      <w:pPr>
        <w:pStyle w:val="ListBullet"/>
        <w:spacing w:line="240" w:lineRule="auto"/>
        <w:ind w:left="720"/>
      </w:pPr>
      <w:r>
        <w:rPr>
          <w:lang w:val="en_US" w:bidi="en_US"/>
        </w:rPr>
      </w:r>
      <w:r>
        <w:rPr>
          <w:lang w:val="en_US" w:bidi="en_US"/>
        </w:rPr>
        <w:t xml:space="preserve">Now </w:t>
      </w:r>
      <w:r>
        <w:rPr>
          <w:lang w:val="en_US" w:bidi="en_US"/>
        </w:rPr>
        <w:t>listen to</w:t>
      </w:r>
      <w:r>
        <w:rPr>
          <w:lang w:val="en_US" w:bidi="en_US"/>
        </w:rPr>
        <w:t xml:space="preserve"> what the lord/master of the vineyard will do to </w:t>
      </w:r>
      <w:r>
        <w:rPr>
          <w:lang w:val="en_US" w:bidi="en_US"/>
        </w:rPr>
        <w:t>punish</w:t>
      </w:r>
      <w:r>
        <w:rPr>
          <w:lang w:val="en_US" w:bidi="en_US"/>
        </w:rPr>
        <w:t xml:space="preserve"> them.</w:t>
      </w:r>
    </w:p>
    <w:p>
      <w:pPr>
        <w:pStyle w:val="ListBullet"/>
        <w:spacing w:line="240" w:lineRule="auto"/>
        <w:ind w:left="720"/>
      </w:pPr>
      <w:r>
        <w:rPr>
          <w:lang w:val="en_US" w:bidi="en_US"/>
        </w:rPr>
      </w:r>
      <w:r>
        <w:rPr>
          <w:lang w:val="en_US" w:bidi="en_US"/>
        </w:rPr>
        <w:t>Now then, this is</w:t>
      </w:r>
      <w:r>
        <w:rPr>
          <w:lang w:val="en_US" w:bidi="en_US"/>
        </w:rPr>
        <w:t xml:space="preserve"> what the owner of the vineyard will do to them:</w:t>
      </w:r>
    </w:p>
    <w:p>
      <w:pPr/>
      <w:r>
        <w:rPr>
          <w:lang w:val="en_US" w:bidi="en_US"/>
        </w:rPr>
      </w:r>
      <w:r>
        <w:rPr>
          <w:b/>
          <w:lang w:val="en_US" w:bidi="en_US"/>
        </w:rPr>
        <w:t>What then will the owner of the vineyard do to them?:</w:t>
      </w:r>
      <w:r>
        <w:rPr>
          <w:lang w:val="en_US" w:bidi="en_US"/>
        </w:rPr>
        <w:t xml:space="preserve"> This is a rhetorical question. Jesus asked it to make people think about what the owner should do. Although the people probably knew the answer to the question, Jesus answered it himself. He used the question to direct attention to the obvious conclusion of the parable. Some ways to translate this question are:</w:t>
      </w:r>
    </w:p>
    <w:p>
      <w:pPr>
        <w:pStyle w:val="ListBullet"/>
        <w:spacing w:line="240" w:lineRule="auto"/>
        <w:ind w:left="720"/>
      </w:pPr>
      <w:r>
        <w:rPr>
          <w:lang w:val="en_US" w:bidi="en_US"/>
        </w:rPr>
      </w:r>
      <w:r>
        <w:rPr>
          <w:lang w:val="en_US" w:bidi="en_US"/>
        </w:rPr>
        <w:t>As a rhetorical question. For example:</w:t>
      </w:r>
      <w:r>
        <w:rPr>
          <w:lang w:val="en_US" w:bidi="en_US"/>
        </w:rPr>
        <w:t>Jesus then asked,</w:t>
      </w:r>
      <w:r>
        <w:rPr>
          <w:lang w:val="en_US" w:bidi="en_US"/>
        </w:rPr>
        <w:t xml:space="preserve"> “What </w:t>
      </w:r>
      <w:r>
        <w:rPr>
          <w:lang w:val="en_US" w:bidi="en_US"/>
        </w:rPr>
        <w:t>do you think</w:t>
      </w:r>
      <w:r>
        <w:rPr>
          <w:lang w:val="en_US" w:bidi="en_US"/>
        </w:rPr>
        <w:t xml:space="preserve"> the owner of the vineyard will do?”</w:t>
      </w:r>
    </w:p>
    <w:p>
      <w:pPr>
        <w:pStyle w:val="ListBullet"/>
        <w:spacing w:line="240" w:lineRule="auto"/>
        <w:ind w:left="720"/>
      </w:pPr>
      <w:r>
        <w:rPr>
          <w:lang w:val="en_US" w:bidi="en_US"/>
        </w:rPr>
      </w:r>
      <w:r>
        <w:rPr>
          <w:lang w:val="en_US" w:bidi="en_US"/>
        </w:rPr>
        <w:t>As a request or command. For example:</w:t>
      </w:r>
      <w:r>
        <w:rPr>
          <w:lang w:val="en_US" w:bidi="en_US"/>
        </w:rPr>
        <w:t>Now tell me what the owner of the vineyard will do.</w:t>
      </w:r>
    </w:p>
    <w:p>
      <w:pPr>
        <w:pStyle w:val="ListBullet"/>
        <w:spacing w:line="240" w:lineRule="auto"/>
        <w:ind w:left="720"/>
      </w:pPr>
      <w:r>
        <w:rPr>
          <w:lang w:val="en_US" w:bidi="en_US"/>
        </w:rPr>
      </w:r>
      <w:r>
        <w:rPr>
          <w:lang w:val="en_US" w:bidi="en_US"/>
        </w:rPr>
        <w:t>As a statement. For example:</w:t>
      </w:r>
      <w:r>
        <w:rPr>
          <w:lang w:val="en_US" w:bidi="en_US"/>
        </w:rPr>
        <w:t>Now then, here is</w:t>
      </w:r>
      <w:r>
        <w:rPr>
          <w:lang w:val="en_US" w:bidi="en_US"/>
        </w:rPr>
        <w:t xml:space="preserve"> what the owner of the vineyard will do.</w:t>
      </w:r>
    </w:p>
    <w:p>
      <w:pPr/>
      <w:r>
        <w:rPr>
          <w:lang w:val="en_US" w:bidi="en_US"/>
        </w:rPr>
      </w:r>
      <w:r>
        <w:rPr>
          <w:lang w:val="en_US" w:bidi="en_US"/>
        </w:rPr>
        <w:t>Use a natural way in your language to help people think about the conclusion of this parable.</w:t>
      </w:r>
    </w:p>
    <w:p>
      <w:pPr/>
      <w:r>
        <w:rPr>
          <w:lang w:val="en_US" w:bidi="en_US"/>
        </w:rPr>
      </w:r>
      <w:r>
        <w:rPr>
          <w:b/>
          <w:lang w:val="en_US" w:bidi="en_US"/>
        </w:rPr>
        <w:t>What then:</w:t>
      </w:r>
      <w:r>
        <w:rPr>
          <w:lang w:val="en_US" w:bidi="en_US"/>
        </w:rPr>
        <w:t xml:space="preserve"> The Greek phrase that the BSB translates as </w:t>
      </w:r>
      <w:r>
        <w:rPr>
          <w:i/>
          <w:lang w:val="en_US" w:bidi="en_US"/>
        </w:rPr>
        <w:t>What then</w:t>
      </w:r>
      <w:r>
        <w:rPr>
          <w:lang w:val="en_US" w:bidi="en_US"/>
        </w:rPr>
        <w:t xml:space="preserve"> introduces a rhetorical question. Jesus asked this question so that his readers would think about how his parable should end. Some English versions have a result connector like “so” here. Consider how to connect this question to the parable in a natural way in your language.</w:t>
      </w:r>
    </w:p>
    <w:p>
      <w:pPr/>
      <w:r>
        <w:rPr>
          <w:lang w:val="en_US" w:bidi="en_US"/>
        </w:rPr>
      </w:r>
      <w:r>
        <w:rPr>
          <w:b/>
          <w:lang w:val="en_US" w:bidi="en_US"/>
        </w:rPr>
        <w:t>do to them:</w:t>
      </w:r>
      <w:r>
        <w:rPr>
          <w:lang w:val="en_US" w:bidi="en_US"/>
        </w:rPr>
        <w:t xml:space="preserve"> In this context </w:t>
      </w:r>
      <w:r>
        <w:rPr>
          <w:i/>
          <w:lang w:val="en_US" w:bidi="en_US"/>
        </w:rPr>
        <w:t>do to them</w:t>
      </w:r>
      <w:r>
        <w:rPr>
          <w:lang w:val="en_US" w:bidi="en_US"/>
        </w:rPr>
        <w:t xml:space="preserve"> implies that the owner would punish them in some way. In some languages it may be helpful to make this explicit:</w:t>
      </w:r>
    </w:p>
    <w:p>
      <w:pPr/>
      <w:r>
        <w:rPr>
          <w:lang w:val="en_US" w:bidi="en_US"/>
        </w:rPr>
      </w:r>
      <w:r>
        <w:rPr>
          <w:lang w:val="en_US" w:bidi="en_US"/>
        </w:rPr>
        <w:t xml:space="preserve">do to </w:t>
      </w:r>
      <w:r>
        <w:rPr>
          <w:lang w:val="en_US" w:bidi="en_US"/>
        </w:rPr>
        <w:t>punish</w:t>
      </w:r>
      <w:r>
        <w:rPr>
          <w:lang w:val="en_US" w:bidi="en_US"/>
        </w:rPr>
        <w:t xml:space="preserve"> them.</w:t>
      </w:r>
      <w:r>
        <w:rPr>
          <w:lang w:val="en_US" w:bidi="en_US"/>
        </w:rPr>
      </w:r>
      <w:r>
        <w:rPr>
          <w:lang w:val="en_US" w:bidi="en_US"/>
        </w:rPr>
      </w:r>
    </w:p>
    <w:p>
      <w:pPr/>
      <w:r>
        <w:rPr>
          <w:lang w:val="en_US" w:bidi="en_US"/>
        </w:rPr>
      </w:r>
    </w:p>
    <w:p>
      <w:pPr>
        <w:pStyle w:val="Heading2"/>
      </w:pPr>
      <w:r>
        <w:rPr>
          <w:lang w:val="en_US" w:bidi="en_US"/>
        </w:rPr>
        <w:t>Luke 20:16</w:t>
      </w:r>
      <w:r>
        <w:rPr>
          <w:lang w:val="en_US" w:bidi="en_US"/>
        </w:rPr>
      </w:r>
    </w:p>
    <w:p>
      <w:pPr>
        <w:pStyle w:val="Heading4"/>
      </w:pPr>
      <w:r>
        <w:rPr>
          <w:lang w:val="en_US" w:bidi="en_US"/>
        </w:rPr>
        <w:t>Section 20:9–19: Jesus told a parable about some evil tenant farmers</w:t>
      </w:r>
    </w:p>
    <w:p>
      <w:pPr/>
      <w:r>
        <w:rPr>
          <w:lang w:val="en_US" w:bidi="en_US"/>
        </w:rPr>
      </w:r>
      <w:r>
        <w:rPr>
          <w:lang w:val="en_US" w:bidi="en_US"/>
        </w:rPr>
        <w:t>In 20:1–8 the Jewish religious leaders asked Jesus two questions about his authority. In this section Jesus used a parable to answer those questions in an indirect way. The Jewish leaders showed that they understood this parable by their response in 20:19.</w:t>
      </w:r>
    </w:p>
    <w:p>
      <w:pPr/>
      <w:r>
        <w:rPr>
          <w:lang w:val="en_US" w:bidi="en_US"/>
        </w:rPr>
      </w:r>
      <w:r>
        <w:rPr>
          <w:lang w:val="en_US" w:bidi="en_US"/>
        </w:rP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pPr/>
      <w:r>
        <w:rPr>
          <w:lang w:val="en_US" w:bidi="en_US"/>
        </w:rPr>
      </w:r>
      <w:r>
        <w:rPr>
          <w:lang w:val="en_US" w:bidi="en_US"/>
        </w:rP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pPr/>
      <w:r>
        <w:rPr>
          <w:lang w:val="en_US" w:bidi="en_US"/>
        </w:rPr>
      </w:r>
      <w:r>
        <w:rPr>
          <w:lang w:val="en_US" w:bidi="en_US"/>
        </w:rP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pPr/>
      <w:r>
        <w:rPr>
          <w:lang w:val="en_US" w:bidi="en_US"/>
        </w:rPr>
      </w:r>
      <w:r>
        <w:rPr>
          <w:lang w:val="en_US" w:bidi="en_US"/>
        </w:rPr>
        <w:t>Examples of headings for this section are:</w:t>
      </w:r>
    </w:p>
    <w:p>
      <w:pPr/>
      <w:r>
        <w:rPr>
          <w:lang w:val="en_US" w:bidi="en_US"/>
        </w:rPr>
      </w:r>
      <w:r>
        <w:rPr>
          <w:lang w:val="en_US" w:bidi="en_US"/>
        </w:rPr>
        <w:t>The Parable of the Tenants (NIV)</w:t>
      </w:r>
    </w:p>
    <w:p>
      <w:pPr/>
      <w:r>
        <w:rPr>
          <w:lang w:val="en_US" w:bidi="en_US"/>
        </w:rPr>
      </w:r>
      <w:r>
        <w:rPr>
          <w:lang w:val="en_US" w:bidi="en_US"/>
        </w:rPr>
        <w:t>A story of evil farmers</w:t>
      </w:r>
    </w:p>
    <w:p>
      <w:pPr/>
      <w:r>
        <w:rPr>
          <w:lang w:val="en_US" w:bidi="en_US"/>
        </w:rPr>
      </w:r>
      <w:r>
        <w:rPr>
          <w:lang w:val="en_US" w:bidi="en_US"/>
        </w:rPr>
        <w:t>A parable about bad renters of a vineyard</w:t>
      </w:r>
    </w:p>
    <w:p>
      <w:pPr/>
      <w:r>
        <w:rPr>
          <w:lang w:val="en_US" w:bidi="en_US"/>
        </w:rPr>
      </w:r>
      <w:r>
        <w:rPr>
          <w:lang w:val="en_US" w:bidi="en_US"/>
        </w:rPr>
        <w:t>Parallel passages for this section are in Matthew 21:33–46 and Mark 12:1–12.</w:t>
      </w:r>
    </w:p>
    <w:p>
      <w:pPr>
        <w:pStyle w:val="Heading4"/>
      </w:pPr>
      <w:r>
        <w:rPr>
          <w:lang w:val="en_US" w:bidi="en_US"/>
        </w:rPr>
        <w:t>Paragraph 20:13–16b</w:t>
      </w:r>
    </w:p>
    <w:p>
      <w:pPr/>
      <w:r>
        <w:rPr>
          <w:lang w:val="en_US" w:bidi="en_US"/>
        </w:rPr>
      </w:r>
      <w:r>
        <w:rPr>
          <w:lang w:val="en_US" w:bidi="en_US"/>
        </w:rPr>
        <w:t>In this paragraph the owner decided to send his son. The grape farmers/tenants rejected him and killed him. This figuratively represents the people rejecting Jesus, God’s Son, and killing him.</w:t>
      </w:r>
    </w:p>
    <w:p>
      <w:pPr>
        <w:pStyle w:val="Heading5"/>
      </w:pPr>
      <w:r>
        <w:rPr>
          <w:lang w:val="en_US" w:bidi="en_US"/>
        </w:rPr>
        <w:t>20:16a</w:t>
      </w:r>
    </w:p>
    <w:p>
      <w:pPr/>
      <w:r>
        <w:rPr>
          <w:lang w:val="en_US" w:bidi="en_US"/>
        </w:rPr>
      </w:r>
      <w:r>
        <w:rPr>
          <w:b/>
          <w:lang w:val="en_US" w:bidi="en_US"/>
        </w:rPr>
        <w:t>He will come and kill those tenants,</w:t>
      </w:r>
    </w:p>
    <w:p>
      <w:pPr>
        <w:pStyle w:val="ListBullet"/>
        <w:spacing w:line="240" w:lineRule="auto"/>
        <w:ind w:left="720"/>
      </w:pPr>
      <w:r>
        <w:rPr>
          <w:lang w:val="en_US" w:bidi="en_US"/>
        </w:rPr>
      </w:r>
      <w:r>
        <w:rPr>
          <w:lang w:val="en_US" w:bidi="en_US"/>
        </w:rPr>
        <w:t>He will come and kill/execute those tenant farmers.</w:t>
      </w:r>
    </w:p>
    <w:p>
      <w:pPr>
        <w:pStyle w:val="ListBullet"/>
        <w:spacing w:line="240" w:lineRule="auto"/>
        <w:ind w:left="720"/>
      </w:pPr>
      <w:r>
        <w:rPr>
          <w:lang w:val="en_US" w:bidi="en_US"/>
        </w:rPr>
      </w:r>
      <w:r>
        <w:rPr>
          <w:lang w:val="en_US" w:bidi="en_US"/>
        </w:rPr>
        <w:t xml:space="preserve">He will go </w:t>
      </w:r>
      <w:r>
        <w:rPr>
          <w:lang w:val="en_US" w:bidi="en_US"/>
        </w:rPr>
        <w:t>to the grape field/farm</w:t>
      </w:r>
      <w:r>
        <w:rPr>
          <w:lang w:val="en_US" w:bidi="en_US"/>
        </w:rPr>
        <w:t xml:space="preserve"> and punish them with death.</w:t>
      </w:r>
    </w:p>
    <w:p>
      <w:pPr>
        <w:pStyle w:val="ListBullet"/>
        <w:spacing w:line="240" w:lineRule="auto"/>
        <w:ind w:left="720"/>
      </w:pPr>
      <w:r>
        <w:rPr>
          <w:lang w:val="en_US" w:bidi="en_US"/>
        </w:rPr>
      </w:r>
      <w:r>
        <w:rPr>
          <w:lang w:val="en_US" w:bidi="en_US"/>
        </w:rPr>
        <w:t>He will come and have them put to death.</w:t>
      </w:r>
    </w:p>
    <w:p>
      <w:pPr>
        <w:pStyle w:val="Heading5"/>
      </w:pPr>
      <w:r>
        <w:rPr>
          <w:lang w:val="en_US" w:bidi="en_US"/>
        </w:rPr>
        <w:t>20:16b</w:t>
      </w:r>
    </w:p>
    <w:p>
      <w:pPr/>
      <w:r>
        <w:rPr>
          <w:lang w:val="en_US" w:bidi="en_US"/>
        </w:rPr>
      </w:r>
      <w:r>
        <w:rPr>
          <w:b/>
          <w:lang w:val="en_US" w:bidi="en_US"/>
        </w:rPr>
        <w:t>and will give the vineyard to others.”</w:t>
      </w:r>
    </w:p>
    <w:p>
      <w:pPr>
        <w:pStyle w:val="ListBullet"/>
        <w:spacing w:line="240" w:lineRule="auto"/>
        <w:ind w:left="720"/>
      </w:pPr>
      <w:r>
        <w:rPr>
          <w:lang w:val="en_US" w:bidi="en_US"/>
        </w:rPr>
      </w:r>
      <w:r>
        <w:rPr>
          <w:lang w:val="en_US" w:bidi="en_US"/>
        </w:rPr>
        <w:t xml:space="preserve">Then he will lease the grape farm to other </w:t>
      </w:r>
      <w:r>
        <w:rPr>
          <w:lang w:val="en_US" w:bidi="en_US"/>
        </w:rPr>
        <w:t>farmers</w:t>
      </w:r>
      <w:r>
        <w:rPr>
          <w:lang w:val="en_US" w:bidi="en_US"/>
        </w:rPr>
        <w:t>.”</w:t>
      </w:r>
    </w:p>
    <w:p>
      <w:pPr>
        <w:pStyle w:val="ListBullet"/>
        <w:spacing w:line="240" w:lineRule="auto"/>
        <w:ind w:left="720"/>
      </w:pPr>
      <w:r>
        <w:rPr>
          <w:lang w:val="en_US" w:bidi="en_US"/>
        </w:rPr>
      </w:r>
      <w:r>
        <w:rPr>
          <w:lang w:val="en_US" w:bidi="en_US"/>
        </w:rPr>
        <w:t>Then he will choose different people to care for his grape field/farm.”</w:t>
      </w:r>
    </w:p>
    <w:p>
      <w:pPr>
        <w:pStyle w:val="Heading5"/>
      </w:pPr>
      <w:r>
        <w:rPr>
          <w:lang w:val="en_US" w:bidi="en_US"/>
        </w:rPr>
        <w:t>20:16a–b</w:t>
      </w:r>
    </w:p>
    <w:p>
      <w:pPr/>
      <w:r>
        <w:rPr>
          <w:lang w:val="en_US" w:bidi="en_US"/>
        </w:rPr>
      </w:r>
      <w:r>
        <w:rPr>
          <w:b/>
          <w:lang w:val="en_US" w:bidi="en_US"/>
        </w:rPr>
        <w:t>He will come:</w:t>
      </w:r>
      <w:r>
        <w:rPr>
          <w:lang w:val="en_US" w:bidi="en_US"/>
        </w:rPr>
        <w:t xml:space="preserve"> The phrase </w:t>
      </w:r>
      <w:r>
        <w:rPr>
          <w:i/>
          <w:lang w:val="en_US" w:bidi="en_US"/>
        </w:rPr>
        <w:t>He will come</w:t>
      </w:r>
      <w:r>
        <w:rPr>
          <w:lang w:val="en_US" w:bidi="en_US"/>
        </w:rPr>
        <w:t xml:space="preserve"> implies that the owner would come to his grape farm where the tenants were. In some languages it may be more natural to say, “He will </w:t>
      </w:r>
      <w:r>
        <w:rPr>
          <w:u w:val="single"/>
          <w:lang w:val="en_US" w:bidi="en_US"/>
        </w:rPr>
        <w:t>go</w:t>
      </w:r>
      <w:r>
        <w:rPr>
          <w:lang w:val="en_US" w:bidi="en_US"/>
        </w:rPr>
        <w:t>.” It may also be necessary in some languages to specify a location. For example:</w:t>
      </w:r>
    </w:p>
    <w:p>
      <w:pPr/>
      <w:r>
        <w:rPr>
          <w:lang w:val="en_US" w:bidi="en_US"/>
        </w:rPr>
      </w:r>
      <w:r>
        <w:rPr>
          <w:lang w:val="en_US" w:bidi="en_US"/>
        </w:rPr>
        <w:t xml:space="preserve">He will go </w:t>
      </w:r>
      <w:r>
        <w:rPr>
          <w:lang w:val="en_US" w:bidi="en_US"/>
        </w:rPr>
        <w:t>to his grape farm</w:t>
      </w:r>
    </w:p>
    <w:p>
      <w:pPr/>
      <w:r>
        <w:rPr>
          <w:lang w:val="en_US" w:bidi="en_US"/>
        </w:rPr>
      </w:r>
      <w:r>
        <w:rPr>
          <w:b/>
          <w:lang w:val="en_US" w:bidi="en_US"/>
        </w:rPr>
        <w:t>and kill those tenants:</w:t>
      </w:r>
      <w:r>
        <w:rPr>
          <w:lang w:val="en_US" w:bidi="en_US"/>
        </w:rPr>
        <w:t xml:space="preserve"> The parable probably implies that the owner would go to the vineyard with other men or servants. He would order those men to execute the tenant farmers. Here the word </w:t>
      </w:r>
      <w:r>
        <w:rPr>
          <w:i/>
          <w:lang w:val="en_US" w:bidi="en_US"/>
        </w:rPr>
        <w:t>kill</w:t>
      </w:r>
      <w:r>
        <w:rPr>
          <w:lang w:val="en_US" w:bidi="en_US"/>
        </w:rPr>
        <w:t xml:space="preserve"> refers to a legal punishment. The owner would punish them with death because they had murdered an innocent person. Other ways to translate this are:</w:t>
      </w:r>
    </w:p>
    <w:p>
      <w:pPr/>
      <w:r>
        <w:rPr>
          <w:lang w:val="en_US" w:bidi="en_US"/>
        </w:rPr>
      </w:r>
      <w:r>
        <w:rPr>
          <w:lang w:val="en_US" w:bidi="en_US"/>
        </w:rPr>
        <w:t>and have those tenants put to death</w:t>
      </w:r>
    </w:p>
    <w:p>
      <w:pPr/>
      <w:r>
        <w:rPr>
          <w:lang w:val="en_US" w:bidi="en_US"/>
        </w:rPr>
      </w:r>
      <w:r>
        <w:rPr>
          <w:lang w:val="en_US" w:bidi="en_US"/>
        </w:rPr>
        <w:t>and execute those tenants</w:t>
      </w:r>
    </w:p>
    <w:p>
      <w:pPr/>
      <w:r>
        <w:rPr>
          <w:lang w:val="en_US" w:bidi="en_US"/>
        </w:rPr>
      </w:r>
      <w:r>
        <w:rPr>
          <w:b/>
          <w:lang w:val="en_US" w:bidi="en_US"/>
        </w:rPr>
        <w:t>and will give the vineyard to others:</w:t>
      </w:r>
      <w:r>
        <w:rPr>
          <w:lang w:val="en_US" w:bidi="en_US"/>
        </w:rPr>
        <w:t xml:space="preserve"> The phrase </w:t>
      </w:r>
      <w:r>
        <w:rPr>
          <w:i/>
          <w:lang w:val="en_US" w:bidi="en_US"/>
        </w:rPr>
        <w:t>give the vineyard to others</w:t>
      </w:r>
      <w:r>
        <w:rPr>
          <w:lang w:val="en_US" w:bidi="en_US"/>
        </w:rPr>
        <w:t xml:space="preserve"> indicates that the owner would choose different people to take care of his grape farm for him. It does not indicate that the owner would give the farm away. He would lease the farm to people who would be more faithful to him. Other ways to translate this are:</w:t>
      </w:r>
    </w:p>
    <w:p>
      <w:pPr/>
      <w:r>
        <w:rPr>
          <w:lang w:val="en_US" w:bidi="en_US"/>
        </w:rPr>
      </w:r>
      <w:r>
        <w:rPr>
          <w:lang w:val="en_US" w:bidi="en_US"/>
        </w:rPr>
        <w:t>and lease the vineyard to others (NLT)</w:t>
      </w:r>
    </w:p>
    <w:p>
      <w:pPr/>
      <w:r>
        <w:rPr>
          <w:lang w:val="en_US" w:bidi="en_US"/>
        </w:rPr>
      </w:r>
      <w:r>
        <w:rPr>
          <w:lang w:val="en_US" w:bidi="en_US"/>
        </w:rPr>
        <w:t>and turn the vineyard over to other tenants (GNT)</w:t>
      </w:r>
    </w:p>
    <w:p>
      <w:pPr>
        <w:pStyle w:val="Heading5"/>
      </w:pPr>
      <w:r>
        <w:rPr>
          <w:lang w:val="en_US" w:bidi="en_US"/>
        </w:rPr>
        <w:t>20:16c</w:t>
      </w:r>
    </w:p>
    <w:p>
      <w:pPr/>
      <w:r>
        <w:rPr>
          <w:lang w:val="en_US" w:bidi="en_US"/>
        </w:rPr>
      </w:r>
      <w:r>
        <w:rPr>
          <w:b/>
          <w:lang w:val="en_US" w:bidi="en_US"/>
        </w:rPr>
        <w:t>And when the people heard this, they said, “May such a thing never happen!”</w:t>
      </w:r>
    </w:p>
    <w:p>
      <w:pPr>
        <w:pStyle w:val="ListBullet"/>
        <w:spacing w:line="240" w:lineRule="auto"/>
        <w:ind w:left="720"/>
      </w:pPr>
      <w:r>
        <w:rPr>
          <w:lang w:val="en_US" w:bidi="en_US"/>
        </w:rPr>
      </w:r>
      <w:r>
        <w:rPr>
          <w:lang w:val="en_US" w:bidi="en_US"/>
        </w:rPr>
        <w:t xml:space="preserve">¶ When the people heard </w:t>
      </w:r>
      <w:r>
        <w:rPr>
          <w:lang w:val="en_US" w:bidi="en_US"/>
        </w:rPr>
        <w:t>Jesus say</w:t>
      </w:r>
      <w:r>
        <w:rPr>
          <w:lang w:val="en_US" w:bidi="en_US"/>
        </w:rPr>
        <w:t xml:space="preserve"> this, they said, “This must/should never happen!”</w:t>
      </w:r>
    </w:p>
    <w:p>
      <w:pPr>
        <w:pStyle w:val="ListBullet"/>
        <w:spacing w:line="240" w:lineRule="auto"/>
        <w:ind w:left="720"/>
      </w:pPr>
      <w:r>
        <w:rPr>
          <w:lang w:val="en_US" w:bidi="en_US"/>
        </w:rPr>
      </w:r>
      <w:r>
        <w:rPr>
          <w:lang w:val="en_US" w:bidi="en_US"/>
        </w:rPr>
        <w:t xml:space="preserve">¶ When </w:t>
      </w:r>
      <w:r>
        <w:rPr>
          <w:lang w:val="en_US" w:bidi="en_US"/>
        </w:rPr>
        <w:t>Jesus said</w:t>
      </w:r>
      <w:r>
        <w:rPr>
          <w:lang w:val="en_US" w:bidi="en_US"/>
        </w:rPr>
        <w:t xml:space="preserve"> this, the people </w:t>
      </w:r>
      <w:r>
        <w:rPr>
          <w:lang w:val="en_US" w:bidi="en_US"/>
        </w:rPr>
        <w:t>were horrified/appalled.</w:t>
      </w:r>
      <w:r>
        <w:rPr>
          <w:lang w:val="en_US" w:bidi="en_US"/>
        </w:rPr>
        <w:t xml:space="preserve"> They said, “May </w:t>
      </w:r>
      <w:r>
        <w:rPr>
          <w:lang w:val="en_US" w:bidi="en_US"/>
        </w:rPr>
        <w:t>God</w:t>
      </w:r>
      <w:r>
        <w:rPr>
          <w:lang w:val="en_US" w:bidi="en_US"/>
        </w:rPr>
        <w:t xml:space="preserve"> never let this happen!”</w:t>
      </w:r>
    </w:p>
    <w:p>
      <w:pPr/>
      <w:r>
        <w:rPr>
          <w:lang w:val="en_US" w:bidi="en_US"/>
        </w:rPr>
      </w:r>
      <w:r>
        <w:rPr>
          <w:b/>
          <w:lang w:val="en_US" w:bidi="en_US"/>
        </w:rPr>
        <w:t>And when the people heard this:</w:t>
      </w:r>
      <w:r>
        <w:rPr>
          <w:lang w:val="en_US" w:bidi="en_US"/>
        </w:rPr>
        <w:t xml:space="preserve"> The Greek phrase that the BSB translates as </w:t>
      </w:r>
      <w:r>
        <w:rPr>
          <w:i/>
          <w:lang w:val="en_US" w:bidi="en_US"/>
        </w:rPr>
        <w:t>when the people heard this</w:t>
      </w:r>
      <w:r>
        <w:rPr>
          <w:lang w:val="en_US" w:bidi="en_US"/>
        </w:rPr>
        <w:t xml:space="preserve"> is more literally “hearing this.” The BSB supplies the subject </w:t>
      </w:r>
      <w:r>
        <w:rPr>
          <w:i/>
          <w:lang w:val="en_US" w:bidi="en_US"/>
        </w:rPr>
        <w:t>the people</w:t>
      </w:r>
      <w:r>
        <w:rPr>
          <w:lang w:val="en_US" w:bidi="en_US"/>
        </w:rPr>
        <w:t xml:space="preserve"> to refer back to the people whom Jesus was speaking to in 20:9. If you need to supply a subject here, refer back to these people in a natural way in your language.</w:t>
      </w:r>
    </w:p>
    <w:p>
      <w:pPr/>
      <w:r>
        <w:rPr>
          <w:lang w:val="en_US" w:bidi="en_US"/>
        </w:rPr>
      </w:r>
      <w:r>
        <w:rPr>
          <w:b/>
          <w:lang w:val="en_US" w:bidi="en_US"/>
        </w:rPr>
        <w:t>May such a thing never happen!:</w:t>
      </w:r>
      <w:r>
        <w:rPr>
          <w:lang w:val="en_US" w:bidi="en_US"/>
        </w:rPr>
        <w:t xml:space="preserve"> The Greek phrase that the BSB translates as </w:t>
      </w:r>
      <w:r>
        <w:rPr>
          <w:i/>
          <w:lang w:val="en_US" w:bidi="en_US"/>
        </w:rPr>
        <w:t>May such a thing never happen!</w:t>
      </w:r>
      <w:r>
        <w:rPr>
          <w:lang w:val="en_US" w:bidi="en_US"/>
        </w:rPr>
        <w:t xml:space="preserve"> expresses a strong desire or prayer that something would not happen. Some ways to translate it are:</w:t>
      </w:r>
    </w:p>
    <w:p>
      <w:pPr/>
      <w:r>
        <w:rPr>
          <w:lang w:val="en_US" w:bidi="en_US"/>
        </w:rPr>
      </w:r>
      <w:r>
        <w:rPr>
          <w:lang w:val="en_US" w:bidi="en_US"/>
        </w:rPr>
        <w:t xml:space="preserve">May </w:t>
      </w:r>
      <w:r>
        <w:rPr>
          <w:lang w:val="en_US" w:bidi="en_US"/>
        </w:rPr>
        <w:t>God</w:t>
      </w:r>
      <w:r>
        <w:rPr>
          <w:lang w:val="en_US" w:bidi="en_US"/>
        </w:rPr>
        <w:t xml:space="preserve"> never let this happen!</w:t>
      </w:r>
    </w:p>
    <w:p>
      <w:pPr/>
      <w:r>
        <w:rPr>
          <w:lang w:val="en_US" w:bidi="en_US"/>
        </w:rPr>
      </w:r>
      <w:r>
        <w:rPr>
          <w:lang w:val="en_US" w:bidi="en_US"/>
        </w:rPr>
        <w:t>This must never happen! (CEV)</w:t>
      </w:r>
    </w:p>
    <w:p>
      <w:pPr/>
      <w:r>
        <w:rPr>
          <w:lang w:val="en_US" w:bidi="en_US"/>
        </w:rPr>
      </w:r>
      <w:r>
        <w:rPr>
          <w:lang w:val="en_US" w:bidi="en_US"/>
        </w:rPr>
        <w:t>May this never happen! (NET)</w:t>
      </w:r>
    </w:p>
    <w:p>
      <w:pPr/>
      <w:r>
        <w:rPr>
          <w:lang w:val="en_US" w:bidi="en_US"/>
        </w:rPr>
      </w:r>
      <w:r>
        <w:rPr>
          <w:lang w:val="en_US" w:bidi="en_US"/>
        </w:rPr>
        <w:t>That’s unthinkable! (GW)</w:t>
      </w:r>
    </w:p>
    <w:p>
      <w:pPr/>
      <w:r>
        <w:rPr>
          <w:lang w:val="en_US" w:bidi="en_US"/>
        </w:rPr>
      </w:r>
      <w:r>
        <w:rPr>
          <w:lang w:val="en_US" w:bidi="en_US"/>
        </w:rPr>
        <w:t>The text does not specify exactly what the people did not want to happen. However, they probably understood that the grape farmers represented their leaders, and the owner and his son represented God and his son Jesus. The people were horrified that the leaders might become guilty of killing God’s son. They were also horrified that God would have to punish the leaders and get other people to take care of his work.</w:t>
      </w:r>
      <w:r>
        <w:rPr>
          <w:lang w:val="en_US" w:bidi="en_US"/>
        </w:rPr>
        <w:t>The people may have thought that the parable implied that God would take his kingdom away from the Jews and give it to the Gentiles. They would also strongly disagree with that.</w:t>
      </w:r>
    </w:p>
    <w:p>
      <w:pPr/>
      <w:r>
        <w:rPr>
          <w:lang w:val="en_US" w:bidi="en_US"/>
        </w:rPr>
      </w:r>
      <w:r>
        <w:rPr>
          <w:lang w:val="en_US" w:bidi="en_US"/>
        </w:rPr>
        <w:t>If you must make some information explicit here, you can refer to the events in 20:16a–b. You can refer to them in either a specific or a general way. For example:</w:t>
      </w:r>
    </w:p>
    <w:p>
      <w:pPr/>
      <w:r>
        <w:rPr>
          <w:lang w:val="en_US" w:bidi="en_US"/>
        </w:rPr>
      </w:r>
      <w:r>
        <w:rPr>
          <w:lang w:val="en_US" w:bidi="en_US"/>
        </w:rPr>
        <w:t xml:space="preserve">It should not happen </w:t>
      </w:r>
      <w:r>
        <w:rPr>
          <w:lang w:val="en_US" w:bidi="en_US"/>
        </w:rPr>
        <w:t>that the farmers do such terrible things and are killed and replaced</w:t>
      </w:r>
      <w:r>
        <w:rPr>
          <w:lang w:val="en_US" w:bidi="en_US"/>
        </w:rPr>
        <w:t>!</w:t>
      </w:r>
    </w:p>
    <w:p>
      <w:pPr/>
      <w:r>
        <w:rPr>
          <w:lang w:val="en_US" w:bidi="en_US"/>
        </w:rPr>
      </w:r>
      <w:r>
        <w:rPr>
          <w:lang w:val="en_US" w:bidi="en_US"/>
        </w:rPr>
        <w:t xml:space="preserve">May </w:t>
      </w:r>
      <w:r>
        <w:rPr>
          <w:lang w:val="en_US" w:bidi="en_US"/>
        </w:rPr>
        <w:t>these terrible things</w:t>
      </w:r>
      <w:r>
        <w:rPr>
          <w:lang w:val="en_US" w:bidi="en_US"/>
        </w:rPr>
        <w:t xml:space="preserve"> never happen!</w:t>
      </w:r>
      <w:r>
        <w:rPr>
          <w:lang w:val="en_US" w:bidi="en_US"/>
        </w:rPr>
      </w:r>
      <w:r>
        <w:rPr>
          <w:lang w:val="en_US" w:bidi="en_US"/>
        </w:rPr>
      </w:r>
    </w:p>
    <w:p>
      <w:pPr/>
      <w:r>
        <w:rPr>
          <w:lang w:val="en_US" w:bidi="en_US"/>
        </w:rPr>
      </w:r>
    </w:p>
    <w:p>
      <w:pPr>
        <w:pStyle w:val="Heading2"/>
      </w:pPr>
      <w:r>
        <w:rPr>
          <w:lang w:val="en_US" w:bidi="en_US"/>
        </w:rPr>
        <w:t>Luke 20:17</w:t>
      </w:r>
      <w:r>
        <w:rPr>
          <w:lang w:val="en_US" w:bidi="en_US"/>
        </w:rPr>
      </w:r>
    </w:p>
    <w:p>
      <w:pPr>
        <w:pStyle w:val="Heading4"/>
      </w:pPr>
      <w:r>
        <w:rPr>
          <w:lang w:val="en_US" w:bidi="en_US"/>
        </w:rPr>
        <w:t>Section 20:9–19: Jesus told a parable about some evil tenant farmers</w:t>
      </w:r>
    </w:p>
    <w:p>
      <w:pPr/>
      <w:r>
        <w:rPr>
          <w:lang w:val="en_US" w:bidi="en_US"/>
        </w:rPr>
      </w:r>
      <w:r>
        <w:rPr>
          <w:lang w:val="en_US" w:bidi="en_US"/>
        </w:rPr>
        <w:t>In 20:1–8 the Jewish religious leaders asked Jesus two questions about his authority. In this section Jesus used a parable to answer those questions in an indirect way. The Jewish leaders showed that they understood this parable by their response in 20:19.</w:t>
      </w:r>
    </w:p>
    <w:p>
      <w:pPr/>
      <w:r>
        <w:rPr>
          <w:lang w:val="en_US" w:bidi="en_US"/>
        </w:rPr>
      </w:r>
      <w:r>
        <w:rPr>
          <w:lang w:val="en_US" w:bidi="en_US"/>
        </w:rP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pPr/>
      <w:r>
        <w:rPr>
          <w:lang w:val="en_US" w:bidi="en_US"/>
        </w:rPr>
      </w:r>
      <w:r>
        <w:rPr>
          <w:lang w:val="en_US" w:bidi="en_US"/>
        </w:rP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pPr/>
      <w:r>
        <w:rPr>
          <w:lang w:val="en_US" w:bidi="en_US"/>
        </w:rPr>
      </w:r>
      <w:r>
        <w:rPr>
          <w:lang w:val="en_US" w:bidi="en_US"/>
        </w:rP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pPr/>
      <w:r>
        <w:rPr>
          <w:lang w:val="en_US" w:bidi="en_US"/>
        </w:rPr>
      </w:r>
      <w:r>
        <w:rPr>
          <w:lang w:val="en_US" w:bidi="en_US"/>
        </w:rPr>
        <w:t>Examples of headings for this section are:</w:t>
      </w:r>
    </w:p>
    <w:p>
      <w:pPr/>
      <w:r>
        <w:rPr>
          <w:lang w:val="en_US" w:bidi="en_US"/>
        </w:rPr>
      </w:r>
      <w:r>
        <w:rPr>
          <w:lang w:val="en_US" w:bidi="en_US"/>
        </w:rPr>
        <w:t>The Parable of the Tenants (NIV)</w:t>
      </w:r>
    </w:p>
    <w:p>
      <w:pPr/>
      <w:r>
        <w:rPr>
          <w:lang w:val="en_US" w:bidi="en_US"/>
        </w:rPr>
      </w:r>
      <w:r>
        <w:rPr>
          <w:lang w:val="en_US" w:bidi="en_US"/>
        </w:rPr>
        <w:t>A story of evil farmers</w:t>
      </w:r>
    </w:p>
    <w:p>
      <w:pPr/>
      <w:r>
        <w:rPr>
          <w:lang w:val="en_US" w:bidi="en_US"/>
        </w:rPr>
      </w:r>
      <w:r>
        <w:rPr>
          <w:lang w:val="en_US" w:bidi="en_US"/>
        </w:rPr>
        <w:t>A parable about bad renters of a vineyard</w:t>
      </w:r>
    </w:p>
    <w:p>
      <w:pPr/>
      <w:r>
        <w:rPr>
          <w:lang w:val="en_US" w:bidi="en_US"/>
        </w:rPr>
      </w:r>
      <w:r>
        <w:rPr>
          <w:lang w:val="en_US" w:bidi="en_US"/>
        </w:rPr>
        <w:t>Parallel passages for this section are in Matthew 21:33–46 and Mark 12:1–12.</w:t>
      </w:r>
    </w:p>
    <w:p>
      <w:pPr>
        <w:pStyle w:val="Heading5"/>
      </w:pPr>
      <w:r>
        <w:rPr>
          <w:lang w:val="en_US" w:bidi="en_US"/>
        </w:rPr>
        <w:t>20:17a</w:t>
      </w:r>
    </w:p>
    <w:p>
      <w:pPr/>
      <w:r>
        <w:rPr>
          <w:lang w:val="en_US" w:bidi="en_US"/>
        </w:rPr>
      </w:r>
      <w:r>
        <w:rPr>
          <w:b/>
          <w:lang w:val="en_US" w:bidi="en_US"/>
        </w:rPr>
        <w:t>But Jesus looked directly at them and said,</w:t>
      </w:r>
    </w:p>
    <w:p>
      <w:pPr>
        <w:pStyle w:val="ListBullet"/>
        <w:spacing w:line="240" w:lineRule="auto"/>
        <w:ind w:left="720"/>
      </w:pPr>
      <w:r>
        <w:rPr>
          <w:lang w:val="en_US" w:bidi="en_US"/>
        </w:rPr>
      </w:r>
      <w:r>
        <w:rPr>
          <w:lang w:val="en_US" w:bidi="en_US"/>
        </w:rPr>
        <w:t xml:space="preserve">Then Jesus looked straight at them and asked </w:t>
      </w:r>
      <w:r>
        <w:rPr>
          <w:lang w:val="en_US" w:bidi="en_US"/>
        </w:rPr>
        <w:t>this question</w:t>
      </w:r>
      <w:r>
        <w:rPr>
          <w:lang w:val="en_US" w:bidi="en_US"/>
        </w:rPr>
        <w:t>:</w:t>
      </w:r>
    </w:p>
    <w:p>
      <w:pPr>
        <w:pStyle w:val="ListBullet"/>
        <w:spacing w:line="240" w:lineRule="auto"/>
        <w:ind w:left="720"/>
      </w:pPr>
      <w:r>
        <w:rPr>
          <w:lang w:val="en_US" w:bidi="en_US"/>
        </w:rPr>
      </w:r>
      <w:r>
        <w:rPr>
          <w:lang w:val="en_US" w:bidi="en_US"/>
        </w:rPr>
        <w:t>But Jesus looked directly at the people and said,</w:t>
      </w:r>
    </w:p>
    <w:p>
      <w:pPr/>
      <w:r>
        <w:rPr>
          <w:lang w:val="en_US" w:bidi="en_US"/>
        </w:rPr>
      </w:r>
      <w:r>
        <w:rPr>
          <w:b/>
          <w:lang w:val="en_US" w:bidi="en_US"/>
        </w:rPr>
        <w:t>But:</w:t>
      </w:r>
      <w:r>
        <w:rPr>
          <w:lang w:val="en_US" w:bidi="en_US"/>
        </w:rPr>
        <w:t xml:space="preserve"> In Greek, this verse begins with the common conjunction that the BSB translates as </w:t>
      </w:r>
      <w:r>
        <w:rPr>
          <w:i/>
          <w:lang w:val="en_US" w:bidi="en_US"/>
        </w:rPr>
        <w:t>But</w:t>
      </w:r>
      <w:r>
        <w:rPr>
          <w:lang w:val="en_US" w:bidi="en_US"/>
        </w:rPr>
        <w:t>. It introduces Jesus’ response to what the people said in 20:16. Other English versions translate this word as “Then.” Versions such as the NIV do not translate this conjunction. Begin 20:17a in a way that is natural in your language.</w:t>
      </w:r>
    </w:p>
    <w:p>
      <w:pPr/>
      <w:r>
        <w:rPr>
          <w:lang w:val="en_US" w:bidi="en_US"/>
        </w:rPr>
      </w:r>
      <w:r>
        <w:rPr>
          <w:b/>
          <w:lang w:val="en_US" w:bidi="en_US"/>
        </w:rPr>
        <w:t>Jesus looked directly at them:</w:t>
      </w:r>
      <w:r>
        <w:rPr>
          <w:lang w:val="en_US" w:bidi="en_US"/>
        </w:rPr>
        <w:t xml:space="preserve"> The Greek clause that the BSB translates as </w:t>
      </w:r>
      <w:r>
        <w:rPr>
          <w:i/>
          <w:lang w:val="en_US" w:bidi="en_US"/>
        </w:rPr>
        <w:t>Jesus looked directly at them</w:t>
      </w:r>
      <w:r>
        <w:rPr>
          <w:lang w:val="en_US" w:bidi="en_US"/>
        </w:rPr>
        <w:t xml:space="preserve"> indicates that Jesus looked intently at the people. He did this to emphasize what he was about to say. He wanted them to think seriously about it. Some other ways to translate the clause are:</w:t>
      </w:r>
    </w:p>
    <w:p>
      <w:pPr/>
      <w:r>
        <w:rPr>
          <w:lang w:val="en_US" w:bidi="en_US"/>
        </w:rPr>
      </w:r>
      <w:r>
        <w:rPr>
          <w:lang w:val="en_US" w:bidi="en_US"/>
        </w:rPr>
        <w:t>Jesus looked steadily at them</w:t>
      </w:r>
    </w:p>
    <w:p>
      <w:pPr/>
      <w:r>
        <w:rPr>
          <w:lang w:val="en_US" w:bidi="en_US"/>
        </w:rPr>
      </w:r>
      <w:r>
        <w:rPr>
          <w:lang w:val="en_US" w:bidi="en_US"/>
        </w:rPr>
        <w:t>Jesus looked straight at them (NET)</w:t>
      </w:r>
    </w:p>
    <w:p>
      <w:pPr/>
      <w:r>
        <w:rPr>
          <w:lang w:val="en_US" w:bidi="en_US"/>
        </w:rPr>
      </w:r>
      <w:r>
        <w:rPr>
          <w:lang w:val="en_US" w:bidi="en_US"/>
        </w:rPr>
        <w:t>Some languages have an idiom to express this. For example:</w:t>
      </w:r>
    </w:p>
    <w:p>
      <w:pPr/>
      <w:r>
        <w:rPr>
          <w:lang w:val="en_US" w:bidi="en_US"/>
        </w:rPr>
      </w:r>
      <w:r>
        <w:rPr>
          <w:lang w:val="en_US" w:bidi="en_US"/>
        </w:rPr>
        <w:t>Jesus looked them in the eye</w:t>
      </w:r>
    </w:p>
    <w:p>
      <w:pPr/>
      <w:r>
        <w:rPr>
          <w:lang w:val="en_US" w:bidi="en_US"/>
        </w:rPr>
      </w:r>
      <w:r>
        <w:rPr>
          <w:lang w:val="en_US" w:bidi="en_US"/>
        </w:rPr>
        <w:t>In some languages the meaning of this action may not be clear. The action may imply that Jesus was angry or disrespectful, or that Jesus was not looking at the people before that. If the action implies a wrong meaning like these in your language, you may use a different expression that emphasizes what Jesus was about to say. For example:</w:t>
      </w:r>
    </w:p>
    <w:p>
      <w:pPr/>
      <w:r>
        <w:rPr>
          <w:lang w:val="en_US" w:bidi="en_US"/>
        </w:rPr>
      </w:r>
      <w:r>
        <w:rPr>
          <w:lang w:val="en_US" w:bidi="en_US"/>
        </w:rPr>
        <w:t>Jesus spoke very seriously/directly to them.</w:t>
      </w:r>
    </w:p>
    <w:p>
      <w:pPr/>
      <w:r>
        <w:rPr>
          <w:lang w:val="en_US" w:bidi="en_US"/>
        </w:rPr>
      </w:r>
      <w:r>
        <w:rPr>
          <w:lang w:val="en_US" w:bidi="en_US"/>
        </w:rPr>
        <w:t>You may also need to include a footnote in your translation to give the literal words and explain the meaning. For example:</w:t>
      </w:r>
    </w:p>
    <w:p>
      <w:pPr/>
      <w:r>
        <w:rPr>
          <w:lang w:val="en_US" w:bidi="en_US"/>
        </w:rPr>
      </w:r>
      <w:r>
        <w:rPr>
          <w:lang w:val="en_US" w:bidi="en_US"/>
        </w:rPr>
        <w:t>Literally “having looked directly at them.” Jesus looked seriously at them to emphasize what he was about to say.</w:t>
      </w:r>
    </w:p>
    <w:p>
      <w:pPr/>
      <w:r>
        <w:rPr>
          <w:lang w:val="en_US" w:bidi="en_US"/>
        </w:rPr>
      </w:r>
      <w:r>
        <w:rPr>
          <w:b/>
          <w:lang w:val="en_US" w:bidi="en_US"/>
        </w:rPr>
        <w:t>and said:</w:t>
      </w:r>
      <w:r>
        <w:rPr>
          <w:lang w:val="en_US" w:bidi="en_US"/>
        </w:rPr>
        <w:t xml:space="preserve"> The Greek verb that the BSB literally translates as </w:t>
      </w:r>
      <w:r>
        <w:rPr>
          <w:i/>
          <w:lang w:val="en_US" w:bidi="en_US"/>
        </w:rPr>
        <w:t>said</w:t>
      </w:r>
      <w:r>
        <w:rPr>
          <w:lang w:val="en_US" w:bidi="en_US"/>
        </w:rPr>
        <w:t xml:space="preserve"> introduces a rhetorical question. Use a verb that is natural here in your language.</w:t>
      </w:r>
    </w:p>
    <w:p>
      <w:pPr>
        <w:pStyle w:val="Heading5"/>
      </w:pPr>
      <w:r>
        <w:rPr>
          <w:lang w:val="en_US" w:bidi="en_US"/>
        </w:rPr>
        <w:t>20:17b</w:t>
      </w:r>
    </w:p>
    <w:p>
      <w:pPr/>
      <w:r>
        <w:rPr>
          <w:lang w:val="en_US" w:bidi="en_US"/>
        </w:rPr>
      </w:r>
      <w:r>
        <w:rPr>
          <w:b/>
          <w:lang w:val="en_US" w:bidi="en_US"/>
        </w:rPr>
        <w:t>“Then what is the meaning of that which is written:</w:t>
      </w:r>
    </w:p>
    <w:p>
      <w:pPr>
        <w:pStyle w:val="ListBullet"/>
        <w:spacing w:line="240" w:lineRule="auto"/>
        <w:ind w:left="720"/>
      </w:pPr>
      <w:r>
        <w:rPr>
          <w:lang w:val="en_US" w:bidi="en_US"/>
        </w:rPr>
      </w:r>
      <w:r>
        <w:rPr>
          <w:lang w:val="en_US" w:bidi="en_US"/>
        </w:rPr>
        <w:t>“Then how do you</w:t>
      </w:r>
      <w:r>
        <w:rPr>
          <w:vertAlign w:val="superscript"/>
          <w:lang w:val="en_US" w:bidi="en_US"/>
        </w:rPr>
        <w:t>(plur)</w:t>
      </w:r>
      <w:r>
        <w:rPr>
          <w:lang w:val="en_US" w:bidi="en_US"/>
        </w:rPr>
        <w:t xml:space="preserve"> understand what is written in the Scriptures, where it says,</w:t>
      </w:r>
    </w:p>
    <w:p>
      <w:pPr>
        <w:pStyle w:val="ListBullet"/>
        <w:spacing w:line="240" w:lineRule="auto"/>
        <w:ind w:left="720"/>
      </w:pPr>
      <w:r>
        <w:rPr>
          <w:lang w:val="en_US" w:bidi="en_US"/>
        </w:rPr>
      </w:r>
      <w:r>
        <w:rPr>
          <w:lang w:val="en_US" w:bidi="en_US"/>
        </w:rPr>
        <w:t>“</w:t>
      </w:r>
      <w:r>
        <w:rPr>
          <w:lang w:val="en_US" w:bidi="en_US"/>
        </w:rPr>
        <w:t>If you</w:t>
      </w:r>
      <w:r>
        <w:rPr>
          <w:vertAlign w:val="superscript"/>
          <w:lang w:val="en_US" w:bidi="en_US"/>
        </w:rPr>
        <w:t>(plur)</w:t>
      </w:r>
      <w:r>
        <w:rPr>
          <w:lang w:val="en_US" w:bidi="en_US"/>
        </w:rPr>
        <w:t xml:space="preserve"> </w:t>
      </w:r>
      <w:r>
        <w:rPr>
          <w:lang w:val="en_US" w:bidi="en_US"/>
        </w:rPr>
        <w:t>reject this</w:t>
      </w:r>
      <w:r>
        <w:rPr>
          <w:lang w:val="en_US" w:bidi="en_US"/>
        </w:rPr>
        <w:t xml:space="preserve">, then how do you explain what </w:t>
      </w:r>
      <w:r>
        <w:rPr>
          <w:lang w:val="en_US" w:bidi="en_US"/>
        </w:rPr>
        <w:t>God caused</w:t>
      </w:r>
      <w:r>
        <w:rPr>
          <w:lang w:val="en_US" w:bidi="en_US"/>
        </w:rPr>
        <w:t xml:space="preserve"> to be written in the Holy Book? It says,</w:t>
      </w:r>
    </w:p>
    <w:p>
      <w:pPr>
        <w:pStyle w:val="ListBullet"/>
        <w:spacing w:line="240" w:lineRule="auto"/>
        <w:ind w:left="720"/>
      </w:pPr>
      <w:r>
        <w:rPr>
          <w:lang w:val="en_US" w:bidi="en_US"/>
        </w:rPr>
      </w:r>
      <w:r>
        <w:rPr>
          <w:lang w:val="en_US" w:bidi="en_US"/>
        </w:rPr>
        <w:t xml:space="preserve">“Then </w:t>
      </w:r>
      <w:r>
        <w:rPr>
          <w:lang w:val="en_US" w:bidi="en_US"/>
        </w:rPr>
        <w:t>think</w:t>
      </w:r>
      <w:r>
        <w:rPr>
          <w:vertAlign w:val="superscript"/>
          <w:lang w:val="en_US" w:bidi="en_US"/>
        </w:rPr>
        <w:t>(plur)</w:t>
      </w:r>
      <w:r>
        <w:rPr>
          <w:lang w:val="en_US" w:bidi="en_US"/>
        </w:rPr>
        <w:t xml:space="preserve"> about what this scripture could mean:</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introduces Jesus’ response to what the people said in 20:16c. When they said, “May such a thing never happen!” they implied that they rejected the statement in 20:16a–b. That statement implied that the Jewish leaders would kill God’s Son and that God would punish them and give their role to others. The word </w:t>
      </w:r>
      <w:r>
        <w:rPr>
          <w:i/>
          <w:lang w:val="en_US" w:bidi="en_US"/>
        </w:rPr>
        <w:t>Then</w:t>
      </w:r>
      <w:r>
        <w:rPr>
          <w:lang w:val="en_US" w:bidi="en_US"/>
        </w:rPr>
        <w:t xml:space="preserve"> implies here that if the people rejected that statement, their thoughts would not fit with what is written in the Scriptures.</w:t>
      </w:r>
    </w:p>
    <w:p>
      <w:pPr/>
      <w:r>
        <w:rPr>
          <w:lang w:val="en_US" w:bidi="en_US"/>
        </w:rPr>
      </w:r>
      <w:r>
        <w:rPr>
          <w:lang w:val="en_US" w:bidi="en_US"/>
        </w:rPr>
        <w:t>In some languages it may be necessary to make the connection with 20:16c more explicit. For example:</w:t>
      </w:r>
    </w:p>
    <w:p>
      <w:pPr/>
      <w:r>
        <w:rPr>
          <w:lang w:val="en_US" w:bidi="en_US"/>
        </w:rPr>
      </w:r>
      <w:r>
        <w:rPr>
          <w:lang w:val="en_US" w:bidi="en_US"/>
        </w:rPr>
        <w:t>If you say that this should never happen,</w:t>
      </w:r>
      <w:r>
        <w:rPr>
          <w:lang w:val="en_US" w:bidi="en_US"/>
        </w:rPr>
        <w:t xml:space="preserve"> then…</w:t>
      </w:r>
    </w:p>
    <w:p>
      <w:pPr/>
      <w:r>
        <w:rPr>
          <w:lang w:val="en_US" w:bidi="en_US"/>
        </w:rPr>
      </w:r>
      <w:r>
        <w:rPr>
          <w:lang w:val="en_US" w:bidi="en_US"/>
        </w:rPr>
        <w:t>Do you reject/deny that this will happen?</w:t>
      </w:r>
      <w:r>
        <w:rPr>
          <w:lang w:val="en_US" w:bidi="en_US"/>
        </w:rPr>
        <w:t xml:space="preserve"> Then…</w:t>
      </w:r>
    </w:p>
    <w:p>
      <w:pPr/>
      <w:r>
        <w:rPr>
          <w:lang w:val="en_US" w:bidi="en_US"/>
        </w:rPr>
      </w:r>
      <w:r>
        <w:rPr>
          <w:lang w:val="en_US" w:bidi="en_US"/>
        </w:rPr>
        <w:t>If it will not happen, what then…</w:t>
      </w:r>
    </w:p>
    <w:p>
      <w:pPr/>
      <w:r>
        <w:rPr>
          <w:lang w:val="en_US" w:bidi="en_US"/>
        </w:rPr>
      </w:r>
      <w:r>
        <w:rPr>
          <w:b/>
          <w:lang w:val="en_US" w:bidi="en_US"/>
        </w:rPr>
        <w:t>what is the meaning of that which is written:</w:t>
      </w:r>
      <w:r>
        <w:rPr>
          <w:lang w:val="en_US" w:bidi="en_US"/>
        </w:rPr>
        <w:t xml:space="preserve"> This is a rhetorical question. It introduces a scripture that agrees with what Jesus said in 20:16a–b. Jesus wanted the people to think seriously about this scripture. He wanted them to realize that the scripture predicts what would happen to him, and those events must happen.</w:t>
      </w:r>
    </w:p>
    <w:p>
      <w:pPr/>
      <w:r>
        <w:rPr>
          <w:lang w:val="en_US" w:bidi="en_US"/>
        </w:rPr>
      </w:r>
      <w:r>
        <w:rPr>
          <w:lang w:val="en_US" w:bidi="en_US"/>
        </w:rPr>
        <w:t>Some ways to translate the introduction to this quote are:</w:t>
      </w:r>
    </w:p>
    <w:p>
      <w:pPr>
        <w:pStyle w:val="ListBullet"/>
        <w:spacing w:line="240" w:lineRule="auto"/>
        <w:ind w:left="720"/>
      </w:pPr>
      <w:r>
        <w:rPr>
          <w:lang w:val="en_US" w:bidi="en_US"/>
        </w:rPr>
      </w:r>
      <w:r>
        <w:rPr>
          <w:lang w:val="en_US" w:bidi="en_US"/>
        </w:rPr>
        <w:t>As a rhetorical question. For example:</w:t>
      </w:r>
      <w:r>
        <w:rPr>
          <w:lang w:val="en_US" w:bidi="en_US"/>
        </w:rPr>
        <w:t>What, then, does this scripture mean? (GNT)</w:t>
      </w:r>
      <w:r>
        <w:rPr>
          <w:lang w:val="en_US" w:bidi="en_US"/>
        </w:rPr>
        <w:t>Then what is the meaning of this scripture…? (JBP)</w:t>
      </w:r>
    </w:p>
    <w:p>
      <w:pPr>
        <w:pStyle w:val="ListBullet"/>
        <w:spacing w:line="240" w:lineRule="auto"/>
        <w:ind w:left="720"/>
      </w:pPr>
      <w:r>
        <w:rPr>
          <w:lang w:val="en_US" w:bidi="en_US"/>
        </w:rPr>
      </w:r>
      <w:r>
        <w:rPr>
          <w:lang w:val="en_US" w:bidi="en_US"/>
        </w:rPr>
        <w:t>As a command. For example:</w:t>
      </w:r>
      <w:r>
        <w:rPr>
          <w:lang w:val="en_US" w:bidi="en_US"/>
        </w:rPr>
        <w:t>Then tell me what the Scripture means when it says:</w:t>
      </w:r>
      <w:r>
        <w:rPr>
          <w:lang w:val="en_US" w:bidi="en_US"/>
        </w:rPr>
        <w:t>Then listen to this scripture and think about what it means:</w:t>
      </w:r>
    </w:p>
    <w:p>
      <w:pPr>
        <w:pStyle w:val="ListBullet"/>
        <w:spacing w:line="240" w:lineRule="auto"/>
        <w:ind w:left="720"/>
      </w:pPr>
      <w:r>
        <w:rPr>
          <w:lang w:val="en_US" w:bidi="en_US"/>
        </w:rPr>
      </w:r>
      <w:r>
        <w:rPr>
          <w:lang w:val="en_US" w:bidi="en_US"/>
        </w:rPr>
        <w:t>As a statement. For example:</w:t>
      </w:r>
      <w:r>
        <w:rPr>
          <w:lang w:val="en_US" w:bidi="en_US"/>
        </w:rPr>
        <w:t>That is the</w:t>
      </w:r>
      <w:r>
        <w:rPr>
          <w:lang w:val="en_US" w:bidi="en_US"/>
        </w:rPr>
        <w:t xml:space="preserve"> meaning of this statement that is written </w:t>
      </w:r>
      <w:r>
        <w:rPr>
          <w:lang w:val="en_US" w:bidi="en_US"/>
        </w:rPr>
        <w:t>in God’s Word</w:t>
      </w:r>
      <w:r>
        <w:rPr>
          <w:lang w:val="en_US" w:bidi="en_US"/>
        </w:rPr>
        <w:t>.</w:t>
      </w:r>
      <w:r>
        <w:rPr>
          <w:lang w:val="en_US" w:bidi="en_US"/>
        </w:rPr>
        <w:t>Yet that is the meaning of the figure-of-speech that is in the Holy Book that says:</w:t>
      </w:r>
      <w:r>
        <w:rPr>
          <w:lang w:val="en_US" w:bidi="en_US"/>
        </w:rPr>
        <w:t>Uma back translation on TW.</w:t>
      </w:r>
    </w:p>
    <w:p>
      <w:pPr/>
      <w:r>
        <w:rPr>
          <w:lang w:val="en_US" w:bidi="en_US"/>
        </w:rPr>
      </w:r>
      <w:r>
        <w:rPr>
          <w:lang w:val="en_US" w:bidi="en_US"/>
        </w:rPr>
        <w:t>Translate the introduction to the quote in a way that is natural in your language.</w:t>
      </w:r>
    </w:p>
    <w:p>
      <w:pPr/>
      <w:r>
        <w:rPr>
          <w:lang w:val="en_US" w:bidi="en_US"/>
        </w:rPr>
      </w:r>
      <w:r>
        <w:rPr>
          <w:b/>
          <w:lang w:val="en_US" w:bidi="en_US"/>
        </w:rPr>
        <w:t>that which is written:</w:t>
      </w:r>
      <w:r>
        <w:rPr>
          <w:lang w:val="en_US" w:bidi="en_US"/>
        </w:rPr>
        <w:t xml:space="preserve"> The Greek phrase that the BSB translates as </w:t>
      </w:r>
      <w:r>
        <w:rPr>
          <w:i/>
          <w:lang w:val="en_US" w:bidi="en_US"/>
        </w:rPr>
        <w:t>that which is written</w:t>
      </w:r>
      <w:r>
        <w:rPr>
          <w:lang w:val="en_US" w:bidi="en_US"/>
        </w:rPr>
        <w:t xml:space="preserve"> refers to words that God directed someone to write. Such writings have authority because God guided a person to write them. Here the phrase refers specifically to the statement in Psalm 118:22. Other ways to translate the phrase </w:t>
      </w:r>
      <w:r>
        <w:rPr>
          <w:i/>
          <w:lang w:val="en_US" w:bidi="en_US"/>
        </w:rPr>
        <w:t>that which is written</w:t>
      </w:r>
      <w:r>
        <w:rPr>
          <w:lang w:val="en_US" w:bidi="en_US"/>
        </w:rPr>
        <w:t xml:space="preserve"> are:</w:t>
      </w:r>
    </w:p>
    <w:p>
      <w:pPr/>
      <w:r>
        <w:rPr>
          <w:lang w:val="en_US" w:bidi="en_US"/>
        </w:rPr>
      </w:r>
      <w:r>
        <w:rPr>
          <w:lang w:val="en_US" w:bidi="en_US"/>
        </w:rPr>
        <w:t xml:space="preserve">this statement from </w:t>
      </w:r>
      <w:r>
        <w:rPr>
          <w:lang w:val="en_US" w:bidi="en_US"/>
        </w:rPr>
        <w:t>God’s</w:t>
      </w:r>
      <w:r>
        <w:rPr>
          <w:lang w:val="en_US" w:bidi="en_US"/>
        </w:rPr>
        <w:t xml:space="preserve"> written words</w:t>
      </w:r>
    </w:p>
    <w:p>
      <w:pPr/>
      <w:r>
        <w:rPr>
          <w:lang w:val="en_US" w:bidi="en_US"/>
        </w:rPr>
      </w:r>
      <w:r>
        <w:rPr>
          <w:lang w:val="en_US" w:bidi="en_US"/>
        </w:rPr>
        <w:t xml:space="preserve">This word/message that </w:t>
      </w:r>
      <w:r>
        <w:rPr>
          <w:lang w:val="en_US" w:bidi="en_US"/>
        </w:rPr>
        <w:t>God</w:t>
      </w:r>
      <w:r>
        <w:rPr>
          <w:lang w:val="en_US" w:bidi="en_US"/>
        </w:rPr>
        <w:t xml:space="preserve"> </w:t>
      </w:r>
      <w:r>
        <w:rPr>
          <w:lang w:val="en_US" w:bidi="en_US"/>
        </w:rPr>
        <w:t>caused</w:t>
      </w:r>
      <w:r>
        <w:rPr>
          <w:lang w:val="en_US" w:bidi="en_US"/>
        </w:rPr>
        <w:t xml:space="preserve"> </w:t>
      </w:r>
      <w:r>
        <w:rPr>
          <w:lang w:val="en_US" w:bidi="en_US"/>
        </w:rPr>
        <w:t>someone</w:t>
      </w:r>
      <w:r>
        <w:rPr>
          <w:lang w:val="en_US" w:bidi="en_US"/>
        </w:rPr>
        <w:t xml:space="preserve"> to write</w:t>
      </w:r>
    </w:p>
    <w:p>
      <w:pPr/>
      <w:r>
        <w:rPr>
          <w:lang w:val="en_US" w:bidi="en_US"/>
        </w:rPr>
      </w:r>
      <w:r>
        <w:rPr>
          <w:lang w:val="en_US" w:bidi="en_US"/>
        </w:rPr>
        <w:t>See how you translated the similar phrase in 4:17.</w:t>
      </w:r>
    </w:p>
    <w:p>
      <w:pPr/>
      <w:r>
        <w:rPr>
          <w:lang w:val="en_US" w:bidi="en_US"/>
        </w:rPr>
      </w:r>
      <w:r>
        <w:rPr>
          <w:lang w:val="en_US" w:bidi="en_US"/>
        </w:rPr>
        <w:t xml:space="preserve">In this context </w:t>
      </w:r>
      <w:r>
        <w:rPr>
          <w:i/>
          <w:lang w:val="en_US" w:bidi="en_US"/>
        </w:rPr>
        <w:t>that which is written</w:t>
      </w:r>
      <w:r>
        <w:rPr>
          <w:lang w:val="en_US" w:bidi="en_US"/>
        </w:rPr>
        <w:t xml:space="preserve"> refers specifically to what is written as a metaphor about Jesus as the Messiah. In some languages it may be necessary to make this meaning more explicit. For example:</w:t>
      </w:r>
    </w:p>
    <w:p>
      <w:pPr/>
      <w:r>
        <w:rPr>
          <w:lang w:val="en_US" w:bidi="en_US"/>
        </w:rPr>
      </w:r>
      <w:r>
        <w:rPr>
          <w:lang w:val="en_US" w:bidi="en_US"/>
        </w:rPr>
        <w:t xml:space="preserve">what is written </w:t>
      </w:r>
      <w:r>
        <w:rPr>
          <w:lang w:val="en_US" w:bidi="en_US"/>
        </w:rPr>
        <w:t>about the Messiah</w:t>
      </w:r>
    </w:p>
    <w:p>
      <w:pPr/>
      <w:r>
        <w:rPr>
          <w:lang w:val="en_US" w:bidi="en_US"/>
        </w:rPr>
      </w:r>
      <w:r>
        <w:rPr>
          <w:lang w:val="en_US" w:bidi="en_US"/>
        </w:rPr>
        <w:t xml:space="preserve">what is written </w:t>
      </w:r>
      <w:r>
        <w:rPr>
          <w:lang w:val="en_US" w:bidi="en_US"/>
        </w:rPr>
        <w:t>as a proverb/symbol</w:t>
      </w:r>
      <w:r>
        <w:rPr>
          <w:lang w:val="en_US" w:bidi="en_US"/>
        </w:rPr>
        <w:t xml:space="preserve"> </w:t>
      </w:r>
      <w:r>
        <w:rPr>
          <w:lang w:val="en_US" w:bidi="en_US"/>
        </w:rPr>
        <w:t>about Christ</w:t>
      </w:r>
    </w:p>
    <w:p>
      <w:pPr>
        <w:pStyle w:val="Heading5"/>
      </w:pPr>
      <w:r>
        <w:rPr>
          <w:lang w:val="en_US" w:bidi="en_US"/>
        </w:rPr>
        <w:t>20:17c–d</w:t>
      </w:r>
    </w:p>
    <w:p>
      <w:pPr/>
      <w:r>
        <w:rPr>
          <w:lang w:val="en_US" w:bidi="en_US"/>
        </w:rPr>
      </w:r>
      <w:r>
        <w:rPr>
          <w:b/>
          <w:lang w:val="en_US" w:bidi="en_US"/>
        </w:rPr>
        <w:t>The stone the builders rejected has become the cornerstone:</w:t>
      </w:r>
      <w:r>
        <w:rPr>
          <w:lang w:val="en_US" w:bidi="en_US"/>
        </w:rPr>
        <w:t xml:space="preserve"> In this context the stone is a metaphor that Jesus applied to himself as the Messiah.</w:t>
      </w:r>
      <w:r>
        <w:rPr>
          <w:lang w:val="en_US" w:bidi="en_US"/>
        </w:rPr>
        <w:t xml:space="preserve">In Jesus’ lifetime Jewish leaders recognized certain OT Scriptures about a stone as referring to the Messiah. These Scriptures include Psalm 118:22, Isaiah 28:16, and Daniel 2:34. (See Jeremias, </w:t>
      </w:r>
      <w:r>
        <w:rPr>
          <w:i/>
          <w:lang w:val="en_US" w:bidi="en_US"/>
        </w:rPr>
        <w:t>lithos</w:t>
      </w:r>
      <w:r>
        <w:rPr>
          <w:lang w:val="en_US" w:bidi="en_US"/>
        </w:rPr>
        <w:t xml:space="preserve"> TDNT IV, pp. 272–273.)</w:t>
      </w:r>
      <w:r>
        <w:rPr>
          <w:lang w:val="en_US" w:bidi="en_US"/>
        </w:rPr>
        <w:t xml:space="preserve"> In some languages it is more natural to use a simile. For example:</w:t>
      </w:r>
    </w:p>
    <w:p>
      <w:pPr/>
      <w:r>
        <w:rPr>
          <w:lang w:val="en_US" w:bidi="en_US"/>
        </w:rPr>
      </w:r>
      <w:r>
        <w:rPr>
          <w:lang w:val="en_US" w:bidi="en_US"/>
        </w:rPr>
        <w:t>He is like</w:t>
      </w:r>
      <w:r>
        <w:rPr>
          <w:lang w:val="en_US" w:bidi="en_US"/>
        </w:rPr>
        <w:t xml:space="preserve"> a stone that builders rejected, but then that stone became the most important stone.</w:t>
      </w:r>
    </w:p>
    <w:p>
      <w:pPr/>
      <w:r>
        <w:rPr>
          <w:lang w:val="en_US" w:bidi="en_US"/>
        </w:rPr>
      </w:r>
      <w:r>
        <w:rPr>
          <w:lang w:val="en_US" w:bidi="en_US"/>
        </w:rPr>
        <w:t>The Jewish leaders who rejected Jesus are like the builders who rejected the stone. Jesus would become like the most important stone in a building, because he is the Messiah, God’s Son.</w:t>
      </w:r>
    </w:p>
    <w:p>
      <w:pPr/>
      <w:r>
        <w:rPr>
          <w:lang w:val="en_US" w:bidi="en_US"/>
        </w:rPr>
      </w:r>
      <w:r>
        <w:rPr>
          <w:lang w:val="en_US" w:bidi="en_US"/>
        </w:rPr>
        <w:t>You may want to include a footnote in your translation to help readers understand the meaning of the quotation in this verse. For example:</w:t>
      </w:r>
    </w:p>
    <w:p>
      <w:pPr/>
      <w:r>
        <w:rPr>
          <w:lang w:val="en_US" w:bidi="en_US"/>
        </w:rPr>
      </w:r>
      <w:r>
        <w:rPr>
          <w:lang w:val="en_US" w:bidi="en_US"/>
        </w:rPr>
        <w:t>Jesus applied this verse to himself. The stone represents him. The builders represent the Jewish leaders. They rejected him, but God exalted him.</w:t>
      </w:r>
    </w:p>
    <w:p>
      <w:pPr>
        <w:pStyle w:val="Heading5"/>
      </w:pPr>
      <w:r>
        <w:rPr>
          <w:lang w:val="en_US" w:bidi="en_US"/>
        </w:rPr>
        <w:t>20:17c</w:t>
      </w:r>
    </w:p>
    <w:p>
      <w:pPr/>
      <w:r>
        <w:rPr>
          <w:lang w:val="en_US" w:bidi="en_US"/>
        </w:rPr>
      </w:r>
      <w:r>
        <w:rPr>
          <w:b/>
          <w:lang w:val="en_US" w:bidi="en_US"/>
        </w:rPr>
        <w:t>‘The stone the builders rejected</w:t>
      </w:r>
    </w:p>
    <w:p>
      <w:pPr>
        <w:pStyle w:val="ListBullet"/>
        <w:spacing w:line="240" w:lineRule="auto"/>
        <w:ind w:left="720"/>
      </w:pPr>
      <w:r>
        <w:rPr>
          <w:lang w:val="en_US" w:bidi="en_US"/>
        </w:rPr>
      </w:r>
      <w:r>
        <w:rPr>
          <w:lang w:val="en_US" w:bidi="en_US"/>
        </w:rPr>
        <w:t xml:space="preserve">‘The stone that the builders rejected </w:t>
      </w:r>
      <w:r>
        <w:rPr>
          <w:lang w:val="en_US" w:bidi="en_US"/>
        </w:rPr>
        <w:t>as useless/worthless</w:t>
      </w:r>
    </w:p>
    <w:p>
      <w:pPr>
        <w:pStyle w:val="ListBullet"/>
        <w:spacing w:line="240" w:lineRule="auto"/>
        <w:ind w:left="720"/>
      </w:pPr>
      <w:r>
        <w:rPr>
          <w:lang w:val="en_US" w:bidi="en_US"/>
        </w:rPr>
      </w:r>
      <w:r>
        <w:rPr>
          <w:lang w:val="en_US" w:bidi="en_US"/>
        </w:rPr>
        <w:t>‘</w:t>
      </w:r>
      <w:r>
        <w:rPr>
          <w:lang w:val="en_US" w:bidi="en_US"/>
        </w:rPr>
        <w:t>God has approved</w:t>
      </w:r>
      <w:r>
        <w:rPr>
          <w:lang w:val="en_US" w:bidi="en_US"/>
        </w:rPr>
        <w:t xml:space="preserve"> the stone that the builders declared to be worthless </w:t>
      </w:r>
      <w:r>
        <w:rPr>
          <w:lang w:val="en_US" w:bidi="en_US"/>
        </w:rPr>
        <w:t>for building his/the house</w:t>
      </w:r>
      <w:r>
        <w:rPr>
          <w:lang w:val="en_US" w:bidi="en_US"/>
        </w:rPr>
        <w:t>.</w:t>
      </w:r>
    </w:p>
    <w:p>
      <w:pPr>
        <w:pStyle w:val="ListBullet"/>
        <w:spacing w:line="240" w:lineRule="auto"/>
        <w:ind w:left="720"/>
      </w:pPr>
      <w:r>
        <w:rPr>
          <w:lang w:val="en_US" w:bidi="en_US"/>
        </w:rPr>
      </w:r>
      <w:r>
        <w:rPr>
          <w:lang w:val="en_US" w:bidi="en_US"/>
        </w:rPr>
        <w:t xml:space="preserve">‘The people who were building a/the </w:t>
      </w:r>
      <w:r>
        <w:rPr>
          <w:lang w:val="en_US" w:bidi="en_US"/>
        </w:rPr>
        <w:t>house</w:t>
      </w:r>
      <w:r>
        <w:rPr>
          <w:lang w:val="en_US" w:bidi="en_US"/>
        </w:rPr>
        <w:t xml:space="preserve"> examined a certain stone and said, “This stone is not fit to be used </w:t>
      </w:r>
      <w:r>
        <w:rPr>
          <w:lang w:val="en_US" w:bidi="en_US"/>
        </w:rPr>
        <w:t>for the building</w:t>
      </w:r>
      <w:r>
        <w:rPr>
          <w:lang w:val="en_US" w:bidi="en_US"/>
        </w:rPr>
        <w:t>.”</w:t>
      </w:r>
    </w:p>
    <w:p>
      <w:pPr/>
      <w:r>
        <w:rPr>
          <w:lang w:val="en_US" w:bidi="en_US"/>
        </w:rPr>
      </w:r>
      <w:r>
        <w:rPr>
          <w:b/>
          <w:lang w:val="en_US" w:bidi="en_US"/>
        </w:rPr>
        <w:t>The stone the builders rejected:</w:t>
      </w:r>
      <w:r>
        <w:rPr>
          <w:lang w:val="en_US" w:bidi="en_US"/>
        </w:rPr>
        <w:t xml:space="preserve"> The </w:t>
      </w:r>
      <w:r>
        <w:rPr>
          <w:i/>
          <w:lang w:val="en_US" w:bidi="en_US"/>
        </w:rPr>
        <w:t>builders</w:t>
      </w:r>
      <w:r>
        <w:rPr>
          <w:lang w:val="en_US" w:bidi="en_US"/>
        </w:rPr>
        <w:t xml:space="preserve"> in this clause were using stones to build a house. They rejected one of the stones as useless. They thought that it was not the type of stone that they wanted to use in building the house.</w:t>
      </w:r>
    </w:p>
    <w:p>
      <w:pPr/>
      <w:r>
        <w:rPr>
          <w:lang w:val="en_US" w:bidi="en_US"/>
        </w:rPr>
      </w:r>
      <w:r>
        <w:rPr>
          <w:lang w:val="en_US" w:bidi="en_US"/>
        </w:rPr>
        <w:t xml:space="preserve">In Greek the word </w:t>
      </w:r>
      <w:r>
        <w:rPr>
          <w:i/>
          <w:lang w:val="en_US" w:bidi="en_US"/>
        </w:rPr>
        <w:t>stone</w:t>
      </w:r>
      <w:r>
        <w:rPr>
          <w:lang w:val="en_US" w:bidi="en_US"/>
        </w:rPr>
        <w:t xml:space="preserve"> begins the clause because it is the topic of the statement. In some languages it may be more natural to change the order of words in the clause. For example:</w:t>
      </w:r>
    </w:p>
    <w:p>
      <w:pPr/>
      <w:r>
        <w:rPr>
          <w:lang w:val="en_US" w:bidi="en_US"/>
        </w:rPr>
      </w:r>
      <w:r>
        <w:rPr>
          <w:lang w:val="en_US" w:bidi="en_US"/>
        </w:rPr>
        <w:t>The builders declared a certain stone to be useless</w:t>
      </w:r>
      <w:r>
        <w:rPr>
          <w:lang w:val="en_US" w:bidi="en_US"/>
        </w:rPr>
        <w:t xml:space="preserve">In BDAG one definition of </w:t>
      </w:r>
      <w:r>
        <w:rPr>
          <w:i/>
          <w:lang w:val="en_US" w:bidi="en_US"/>
        </w:rPr>
        <w:t>apodokimazō</w:t>
      </w:r>
      <w:r>
        <w:rPr>
          <w:lang w:val="en_US" w:bidi="en_US"/>
        </w:rPr>
        <w:t xml:space="preserve"> (translated as “rejected”) is “to declare useless” (p. 110).</w:t>
      </w:r>
    </w:p>
    <w:p>
      <w:pPr/>
      <w:r>
        <w:rPr>
          <w:lang w:val="en_US" w:bidi="en_US"/>
        </w:rPr>
      </w:r>
      <w:r>
        <w:rPr>
          <w:b/>
          <w:lang w:val="en_US" w:bidi="en_US"/>
        </w:rPr>
        <w:t>The stone:</w:t>
      </w:r>
      <w:r>
        <w:rPr>
          <w:lang w:val="en_US" w:bidi="en_US"/>
        </w:rPr>
        <w:t xml:space="preserve"> The Jews used stones to build most of their houses. It was a common building material. In some languages it may be helpful to indicate more explicitly here that the builders were using stones to build with. For example:</w:t>
      </w:r>
    </w:p>
    <w:p>
      <w:pPr/>
      <w:r>
        <w:rPr>
          <w:lang w:val="en_US" w:bidi="en_US"/>
        </w:rPr>
      </w:r>
      <w:r>
        <w:rPr>
          <w:lang w:val="en_US" w:bidi="en_US"/>
        </w:rPr>
        <w:t xml:space="preserve">As the people were building </w:t>
      </w:r>
      <w:r>
        <w:rPr>
          <w:lang w:val="en_US" w:bidi="en_US"/>
        </w:rPr>
        <w:t>a house of stones</w:t>
      </w:r>
      <w:r>
        <w:rPr>
          <w:lang w:val="en_US" w:bidi="en_US"/>
        </w:rPr>
        <w:t>, they rejected a certain stone.</w:t>
      </w:r>
    </w:p>
    <w:p>
      <w:pPr/>
      <w:r>
        <w:rPr>
          <w:lang w:val="en_US" w:bidi="en_US"/>
        </w:rPr>
      </w:r>
      <w:r>
        <w:rPr>
          <w:lang w:val="en_US" w:bidi="en_US"/>
        </w:rPr>
        <w:t>In some areas people do not use stones to build houses. If that is true in your area, you may need to include a footnote about this. For example:</w:t>
      </w:r>
    </w:p>
    <w:p>
      <w:pPr/>
      <w:r>
        <w:rPr>
          <w:lang w:val="en_US" w:bidi="en_US"/>
        </w:rPr>
      </w:r>
      <w:r>
        <w:rPr>
          <w:lang w:val="en_US" w:bidi="en_US"/>
        </w:rPr>
        <w:t>People in Jesus’ country usually used stones to build houses.</w:t>
      </w:r>
    </w:p>
    <w:p>
      <w:pPr/>
      <w:r>
        <w:rPr>
          <w:lang w:val="en_US" w:bidi="en_US"/>
        </w:rPr>
      </w:r>
      <w:r>
        <w:rPr>
          <w:lang w:val="en_US" w:bidi="en_US"/>
        </w:rPr>
        <w:t>It is usually best not to substitute a different building material, because stone is used as a metaphor in other places in the New Testament.</w:t>
      </w:r>
      <w:r>
        <w:rPr>
          <w:lang w:val="en_US" w:bidi="en_US"/>
        </w:rPr>
        <w:t>See, for example, Acts 4:11, Romans 9:32–33, 1 Peter 2:4–8, and Ephesians 2:20.</w:t>
      </w:r>
    </w:p>
    <w:p>
      <w:pPr/>
      <w:r>
        <w:rPr>
          <w:lang w:val="en_US" w:bidi="en_US"/>
        </w:rPr>
      </w:r>
      <w:r>
        <w:rPr>
          <w:b/>
          <w:lang w:val="en_US" w:bidi="en_US"/>
        </w:rPr>
        <w:t>builders:</w:t>
      </w:r>
      <w:r>
        <w:rPr>
          <w:lang w:val="en_US" w:bidi="en_US"/>
        </w:rPr>
        <w:t xml:space="preserve"> The word </w:t>
      </w:r>
      <w:r>
        <w:rPr>
          <w:i/>
          <w:lang w:val="en_US" w:bidi="en_US"/>
        </w:rPr>
        <w:t>builders</w:t>
      </w:r>
      <w:r>
        <w:rPr>
          <w:lang w:val="en_US" w:bidi="en_US"/>
        </w:rPr>
        <w:t xml:space="preserve"> refers in general to people who construct a building. In some languages it is necessary to translate this word as a verb and supply a subject and object. For example:</w:t>
      </w:r>
    </w:p>
    <w:p>
      <w:pPr/>
      <w:r>
        <w:rPr>
          <w:lang w:val="en_US" w:bidi="en_US"/>
        </w:rPr>
      </w:r>
      <w:r>
        <w:rPr>
          <w:lang w:val="en_US" w:bidi="en_US"/>
        </w:rPr>
        <w:t>the people who were constructing the building/house</w:t>
      </w:r>
    </w:p>
    <w:p>
      <w:pPr/>
      <w:r>
        <w:rPr>
          <w:lang w:val="en_US" w:bidi="en_US"/>
        </w:rPr>
      </w:r>
      <w:r>
        <w:rPr>
          <w:lang w:val="en_US" w:bidi="en_US"/>
        </w:rPr>
        <w:t>The scripture implies that the builders were working on a building that belongs to God. In some languages it may be helpful to make that explicit. For example:</w:t>
      </w:r>
    </w:p>
    <w:p>
      <w:pPr/>
      <w:r>
        <w:rPr>
          <w:lang w:val="en_US" w:bidi="en_US"/>
        </w:rPr>
      </w:r>
      <w:r>
        <w:rPr>
          <w:lang w:val="en_US" w:bidi="en_US"/>
        </w:rPr>
        <w:t xml:space="preserve">The people who were building </w:t>
      </w:r>
      <w:r>
        <w:rPr>
          <w:lang w:val="en_US" w:bidi="en_US"/>
        </w:rPr>
        <w:t>God’s</w:t>
      </w:r>
      <w:r>
        <w:rPr>
          <w:lang w:val="en_US" w:bidi="en_US"/>
        </w:rPr>
        <w:t xml:space="preserve"> house</w:t>
      </w:r>
    </w:p>
    <w:p>
      <w:pPr/>
      <w:r>
        <w:rPr>
          <w:lang w:val="en_US" w:bidi="en_US"/>
        </w:rPr>
      </w:r>
      <w:r>
        <w:rPr>
          <w:b/>
          <w:lang w:val="en_US" w:bidi="en_US"/>
        </w:rPr>
        <w:t>rejected:</w:t>
      </w:r>
      <w:r>
        <w:rPr>
          <w:lang w:val="en_US" w:bidi="en_US"/>
        </w:rPr>
        <w:t xml:space="preserve"> The Greek word that the BSB translates as </w:t>
      </w:r>
      <w:r>
        <w:rPr>
          <w:i/>
          <w:lang w:val="en_US" w:bidi="en_US"/>
        </w:rPr>
        <w:t>rejected</w:t>
      </w:r>
      <w:r>
        <w:rPr>
          <w:lang w:val="en_US" w:bidi="en_US"/>
        </w:rPr>
        <w:t xml:space="preserve"> means “to examine (something), decide that it is useless, and then reject it.” The builders looked at the stone and decided that it was not useful. They did not want to use it in the building. Some other ways to translate this meaning are:</w:t>
      </w:r>
    </w:p>
    <w:p>
      <w:pPr/>
      <w:r>
        <w:rPr>
          <w:lang w:val="en_US" w:bidi="en_US"/>
        </w:rPr>
      </w:r>
      <w:r>
        <w:rPr>
          <w:lang w:val="en_US" w:bidi="en_US"/>
        </w:rPr>
        <w:t>The stone which the builders rejected as worthless (GNT)</w:t>
      </w:r>
    </w:p>
    <w:p>
      <w:pPr/>
      <w:r>
        <w:rPr>
          <w:lang w:val="en_US" w:bidi="en_US"/>
        </w:rPr>
      </w:r>
      <w:r>
        <w:rPr>
          <w:lang w:val="en_US" w:bidi="en_US"/>
        </w:rPr>
        <w:t>A certain stone was examined by the builders, and they decided that it was useless</w:t>
      </w:r>
    </w:p>
    <w:p>
      <w:pPr/>
      <w:r>
        <w:rPr>
          <w:lang w:val="en_US" w:bidi="en_US"/>
        </w:rPr>
      </w:r>
      <w:r>
        <w:rPr>
          <w:lang w:val="en_US" w:bidi="en_US"/>
        </w:rPr>
        <w:t>In some languages it may be natural to express this either as direct speech or indirect speech. For example:</w:t>
      </w:r>
    </w:p>
    <w:p>
      <w:pPr/>
      <w:r>
        <w:rPr>
          <w:lang w:val="en_US" w:bidi="en_US"/>
        </w:rPr>
      </w:r>
      <w:r>
        <w:rPr>
          <w:lang w:val="en_US" w:bidi="en_US"/>
        </w:rPr>
        <w:t>The builders said, “This stone is worthless.”</w:t>
      </w:r>
    </w:p>
    <w:p>
      <w:pPr/>
      <w:r>
        <w:rPr>
          <w:lang w:val="en_US" w:bidi="en_US"/>
        </w:rPr>
      </w:r>
      <w:r>
        <w:rPr>
          <w:lang w:val="en_US" w:bidi="en_US"/>
        </w:rPr>
        <w:t>The builders said/declared that the stone was worthless.</w:t>
      </w:r>
    </w:p>
    <w:p>
      <w:pPr>
        <w:pStyle w:val="Heading5"/>
      </w:pPr>
      <w:r>
        <w:rPr>
          <w:lang w:val="en_US" w:bidi="en_US"/>
        </w:rPr>
        <w:t>20:17d</w:t>
      </w:r>
    </w:p>
    <w:p>
      <w:pPr/>
      <w:r>
        <w:rPr>
          <w:lang w:val="en_US" w:bidi="en_US"/>
        </w:rPr>
      </w:r>
      <w:r>
        <w:rPr>
          <w:b/>
          <w:lang w:val="en_US" w:bidi="en_US"/>
        </w:rPr>
        <w:t>has become the cornerstone’?</w:t>
      </w:r>
    </w:p>
    <w:p>
      <w:pPr>
        <w:pStyle w:val="ListBullet"/>
        <w:spacing w:line="240" w:lineRule="auto"/>
        <w:ind w:left="720"/>
      </w:pPr>
      <w:r>
        <w:rPr>
          <w:lang w:val="en_US" w:bidi="en_US"/>
        </w:rPr>
      </w:r>
      <w:r>
        <w:rPr>
          <w:lang w:val="en_US" w:bidi="en_US"/>
        </w:rPr>
        <w:t xml:space="preserve">has become the corner stone </w:t>
      </w:r>
      <w:r>
        <w:rPr>
          <w:lang w:val="en_US" w:bidi="en_US"/>
        </w:rPr>
        <w:t>of the building</w:t>
      </w:r>
      <w:r>
        <w:rPr>
          <w:lang w:val="en_US" w:bidi="en_US"/>
        </w:rPr>
        <w:t>’?</w:t>
      </w:r>
    </w:p>
    <w:p>
      <w:pPr>
        <w:pStyle w:val="ListBullet"/>
        <w:spacing w:line="240" w:lineRule="auto"/>
        <w:ind w:left="720"/>
      </w:pPr>
      <w:r>
        <w:rPr>
          <w:lang w:val="en_US" w:bidi="en_US"/>
        </w:rPr>
      </w:r>
      <w:r>
        <w:rPr>
          <w:lang w:val="en_US" w:bidi="en_US"/>
        </w:rPr>
        <w:t>He has caused</w:t>
      </w:r>
      <w:r>
        <w:rPr>
          <w:lang w:val="en_US" w:bidi="en_US"/>
        </w:rPr>
        <w:t xml:space="preserve"> it to become the cornerstone.’</w:t>
      </w:r>
    </w:p>
    <w:p>
      <w:pPr>
        <w:pStyle w:val="ListBullet"/>
        <w:spacing w:line="240" w:lineRule="auto"/>
        <w:ind w:left="720"/>
      </w:pPr>
      <w:r>
        <w:rPr>
          <w:lang w:val="en_US" w:bidi="en_US"/>
        </w:rPr>
      </w:r>
      <w:r>
        <w:rPr>
          <w:lang w:val="en_US" w:bidi="en_US"/>
        </w:rPr>
        <w:t xml:space="preserve">But </w:t>
      </w:r>
      <w:r>
        <w:rPr>
          <w:lang w:val="en_US" w:bidi="en_US"/>
        </w:rPr>
        <w:t>God</w:t>
      </w:r>
      <w:r>
        <w:rPr>
          <w:lang w:val="en_US" w:bidi="en_US"/>
        </w:rPr>
        <w:t xml:space="preserve"> </w:t>
      </w:r>
      <w:r>
        <w:rPr>
          <w:lang w:val="en_US" w:bidi="en_US"/>
        </w:rPr>
        <w:t>made</w:t>
      </w:r>
      <w:r>
        <w:rPr>
          <w:lang w:val="en_US" w:bidi="en_US"/>
        </w:rPr>
        <w:t xml:space="preserve"> that stone the most important stone </w:t>
      </w:r>
      <w:r>
        <w:rPr>
          <w:lang w:val="en_US" w:bidi="en_US"/>
        </w:rPr>
        <w:t>in the house</w:t>
      </w:r>
      <w:r>
        <w:rPr>
          <w:lang w:val="en_US" w:bidi="en_US"/>
        </w:rPr>
        <w:t>.’</w:t>
      </w:r>
    </w:p>
    <w:p>
      <w:pPr/>
      <w:r>
        <w:rPr>
          <w:lang w:val="en_US" w:bidi="en_US"/>
        </w:rPr>
      </w:r>
      <w:r>
        <w:rPr>
          <w:b/>
          <w:lang w:val="en_US" w:bidi="en_US"/>
        </w:rPr>
        <w:t>has become the cornerstone:</w:t>
      </w:r>
      <w:r>
        <w:rPr>
          <w:lang w:val="en_US" w:bidi="en_US"/>
        </w:rPr>
        <w:t xml:space="preserve"> The Greek text does not say how the rejected stone became the most important stone in the building. If you must supply this information in your language, you should supply God as the cause.</w:t>
      </w:r>
      <w:r>
        <w:rPr>
          <w:lang w:val="en_US" w:bidi="en_US"/>
        </w:rPr>
        <w:t>Here are examples from back translations on TW: Kankanaey: “The stone that the builders rejected, that’s what God has turned-into the most-valuable stone which causes-the-house-to-be-strong/firm.” Tagbanwa: “That rock/stone which was not acceptable to the house builders, that’s what was used after all as the main-support of the house.” Yakan: “The stone that is rejected by the experts building the stone house because they thought-mistakenly that it didn’t have any use, now that one is the stone of the greatest/utmost use.”</w:t>
      </w:r>
      <w:r>
        <w:rPr>
          <w:lang w:val="en_US" w:bidi="en_US"/>
        </w:rPr>
        <w:t xml:space="preserve"> For example:</w:t>
      </w:r>
    </w:p>
    <w:p>
      <w:pPr/>
      <w:r>
        <w:rPr>
          <w:lang w:val="en_US" w:bidi="en_US"/>
        </w:rPr>
      </w:r>
      <w:r>
        <w:rPr>
          <w:lang w:val="en_US" w:bidi="en_US"/>
        </w:rPr>
        <w:t>God has used</w:t>
      </w:r>
      <w:r>
        <w:rPr>
          <w:lang w:val="en_US" w:bidi="en_US"/>
        </w:rPr>
        <w:t xml:space="preserve"> the stone which the builders rejected as the cornerstone of the house.</w:t>
      </w:r>
    </w:p>
    <w:p>
      <w:pPr/>
      <w:r>
        <w:rPr>
          <w:lang w:val="en_US" w:bidi="en_US"/>
        </w:rPr>
      </w:r>
      <w:r>
        <w:rPr>
          <w:lang w:val="en_US" w:bidi="en_US"/>
        </w:rPr>
        <w:t>God has taken</w:t>
      </w:r>
      <w:r>
        <w:rPr>
          <w:lang w:val="en_US" w:bidi="en_US"/>
        </w:rPr>
        <w:t xml:space="preserve"> the stone which the builders rejected and made it the </w:t>
      </w:r>
      <w:r>
        <w:rPr>
          <w:lang w:val="en_US" w:bidi="en_US"/>
        </w:rPr>
        <w:t>most important</w:t>
      </w:r>
      <w:r>
        <w:rPr>
          <w:lang w:val="en_US" w:bidi="en_US"/>
        </w:rPr>
        <w:t xml:space="preserve"> stone of the house</w:t>
      </w:r>
    </w:p>
    <w:p>
      <w:pPr/>
      <w:r>
        <w:rPr>
          <w:lang w:val="en_US" w:bidi="en_US"/>
        </w:rPr>
      </w:r>
      <w:r>
        <w:rPr>
          <w:b/>
          <w:lang w:val="en_US" w:bidi="en_US"/>
        </w:rPr>
        <w:t>the cornerstone:</w:t>
      </w:r>
      <w:r>
        <w:rPr>
          <w:lang w:val="en_US" w:bidi="en_US"/>
        </w:rPr>
        <w:t xml:space="preserve"> The Greek phrase that the BSB translates as </w:t>
      </w:r>
      <w:r>
        <w:rPr>
          <w:i/>
          <w:lang w:val="en_US" w:bidi="en_US"/>
        </w:rPr>
        <w:t>the cornerstone</w:t>
      </w:r>
      <w:r>
        <w:rPr>
          <w:lang w:val="en_US" w:bidi="en_US"/>
        </w:rPr>
        <w:t xml:space="preserve"> literally means “head of the corner.” There are two ways to interpret this phrase:</w:t>
      </w:r>
    </w:p>
    <w:p>
      <w:pPr>
        <w:pStyle w:val="ListNumber"/>
        <w:numPr>
          <w:ilvl w:val="0"/>
          <w:numId w:val="331"/>
        </w:numPr>
        <w:spacing w:line="240" w:lineRule="auto"/>
        <w:ind w:left="720"/>
      </w:pPr>
      <w:r>
        <w:rPr>
          <w:lang w:val="en_US" w:bidi="en_US"/>
        </w:rPr>
      </w:r>
      <w:r>
        <w:rPr>
          <w:lang w:val="en_US" w:bidi="en_US"/>
        </w:rPr>
        <w:t>It refers to a stone in the corner of the foundation. Here is another way to translate this:</w:t>
      </w:r>
      <w:r>
        <w:rPr>
          <w:lang w:val="en_US" w:bidi="en_US"/>
        </w:rPr>
        <w:t xml:space="preserve">the cornerstone (NLT) </w:t>
      </w:r>
      <w:r>
        <w:rPr>
          <w:i/>
          <w:lang w:val="en_US" w:bidi="en_US"/>
        </w:rPr>
        <w:t>(BSB, NLT, KJV, NASB, RSV, REB, NET, GW, NCV, ESV, JBP, NJB)</w:t>
      </w:r>
    </w:p>
    <w:p>
      <w:pPr>
        <w:pStyle w:val="ListNumber"/>
        <w:spacing w:line="240" w:lineRule="auto"/>
        <w:ind w:left="720"/>
      </w:pPr>
      <w:r>
        <w:rPr>
          <w:lang w:val="en_US" w:bidi="en_US"/>
        </w:rPr>
      </w:r>
      <w:r>
        <w:rPr>
          <w:lang w:val="en_US" w:bidi="en_US"/>
        </w:rPr>
        <w:t>It refers to a capstone, a stone in the center of an arched door. Another way to translate this is:</w:t>
      </w:r>
      <w:r>
        <w:rPr>
          <w:lang w:val="en_US" w:bidi="en_US"/>
        </w:rPr>
        <w:t xml:space="preserve">the capstone (NIV) </w:t>
      </w:r>
      <w:r>
        <w:rPr>
          <w:i/>
          <w:lang w:val="en_US" w:bidi="en_US"/>
        </w:rPr>
        <w:t>(NIV)</w:t>
      </w:r>
    </w:p>
    <w:p>
      <w:pPr/>
      <w:r>
        <w:rPr>
          <w:lang w:val="en_US" w:bidi="en_US"/>
        </w:rPr>
      </w:r>
      <w:r>
        <w:rPr>
          <w:lang w:val="en_US" w:bidi="en_US"/>
        </w:rPr>
        <w:t>It is recommended that you follow interpretation (1). However, both interpretations indicate that the stone was very important in the building. In some languages it is good to translate in a general way that makes this meaning clear. For example:</w:t>
      </w:r>
    </w:p>
    <w:p>
      <w:pPr/>
      <w:r>
        <w:rPr>
          <w:lang w:val="en_US" w:bidi="en_US"/>
        </w:rPr>
      </w:r>
      <w:r>
        <w:rPr>
          <w:lang w:val="en_US" w:bidi="en_US"/>
        </w:rPr>
        <w:t>The stone which the builders rejected as worthless turned out to be the most important of all. (GNT)</w:t>
      </w:r>
      <w:r>
        <w:rPr>
          <w:lang w:val="en_US" w:bidi="en_US"/>
        </w:rPr>
      </w:r>
      <w:r>
        <w:rPr>
          <w:lang w:val="en_US" w:bidi="en_US"/>
        </w:rPr>
      </w:r>
    </w:p>
    <w:p>
      <w:pPr/>
      <w:r>
        <w:rPr>
          <w:lang w:val="en_US" w:bidi="en_US"/>
        </w:rPr>
      </w:r>
    </w:p>
    <w:p>
      <w:pPr>
        <w:pStyle w:val="Heading2"/>
      </w:pPr>
      <w:r>
        <w:rPr>
          <w:lang w:val="en_US" w:bidi="en_US"/>
        </w:rPr>
        <w:t>Luke 20:18</w:t>
      </w:r>
      <w:r>
        <w:rPr>
          <w:lang w:val="en_US" w:bidi="en_US"/>
        </w:rPr>
      </w:r>
    </w:p>
    <w:p>
      <w:pPr>
        <w:pStyle w:val="Heading4"/>
      </w:pPr>
      <w:r>
        <w:rPr>
          <w:lang w:val="en_US" w:bidi="en_US"/>
        </w:rPr>
        <w:t>Section 20:9–19: Jesus told a parable about some evil tenant farmers</w:t>
      </w:r>
    </w:p>
    <w:p>
      <w:pPr/>
      <w:r>
        <w:rPr>
          <w:lang w:val="en_US" w:bidi="en_US"/>
        </w:rPr>
      </w:r>
      <w:r>
        <w:rPr>
          <w:lang w:val="en_US" w:bidi="en_US"/>
        </w:rPr>
        <w:t>In 20:1–8 the Jewish religious leaders asked Jesus two questions about his authority. In this section Jesus used a parable to answer those questions in an indirect way. The Jewish leaders showed that they understood this parable by their response in 20:19.</w:t>
      </w:r>
    </w:p>
    <w:p>
      <w:pPr/>
      <w:r>
        <w:rPr>
          <w:lang w:val="en_US" w:bidi="en_US"/>
        </w:rPr>
      </w:r>
      <w:r>
        <w:rPr>
          <w:lang w:val="en_US" w:bidi="en_US"/>
        </w:rP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pPr/>
      <w:r>
        <w:rPr>
          <w:lang w:val="en_US" w:bidi="en_US"/>
        </w:rPr>
      </w:r>
      <w:r>
        <w:rPr>
          <w:lang w:val="en_US" w:bidi="en_US"/>
        </w:rP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pPr/>
      <w:r>
        <w:rPr>
          <w:lang w:val="en_US" w:bidi="en_US"/>
        </w:rPr>
      </w:r>
      <w:r>
        <w:rPr>
          <w:lang w:val="en_US" w:bidi="en_US"/>
        </w:rP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pPr/>
      <w:r>
        <w:rPr>
          <w:lang w:val="en_US" w:bidi="en_US"/>
        </w:rPr>
      </w:r>
      <w:r>
        <w:rPr>
          <w:lang w:val="en_US" w:bidi="en_US"/>
        </w:rPr>
        <w:t>Examples of headings for this section are:</w:t>
      </w:r>
    </w:p>
    <w:p>
      <w:pPr/>
      <w:r>
        <w:rPr>
          <w:lang w:val="en_US" w:bidi="en_US"/>
        </w:rPr>
      </w:r>
      <w:r>
        <w:rPr>
          <w:lang w:val="en_US" w:bidi="en_US"/>
        </w:rPr>
        <w:t>The Parable of the Tenants (NIV)</w:t>
      </w:r>
    </w:p>
    <w:p>
      <w:pPr/>
      <w:r>
        <w:rPr>
          <w:lang w:val="en_US" w:bidi="en_US"/>
        </w:rPr>
      </w:r>
      <w:r>
        <w:rPr>
          <w:lang w:val="en_US" w:bidi="en_US"/>
        </w:rPr>
        <w:t>A story of evil farmers</w:t>
      </w:r>
    </w:p>
    <w:p>
      <w:pPr/>
      <w:r>
        <w:rPr>
          <w:lang w:val="en_US" w:bidi="en_US"/>
        </w:rPr>
      </w:r>
      <w:r>
        <w:rPr>
          <w:lang w:val="en_US" w:bidi="en_US"/>
        </w:rPr>
        <w:t>A parable about bad renters of a vineyard</w:t>
      </w:r>
    </w:p>
    <w:p>
      <w:pPr/>
      <w:r>
        <w:rPr>
          <w:lang w:val="en_US" w:bidi="en_US"/>
        </w:rPr>
      </w:r>
      <w:r>
        <w:rPr>
          <w:lang w:val="en_US" w:bidi="en_US"/>
        </w:rPr>
        <w:t>Parallel passages for this section are in Matthew 21:33–46 and Mark 12:1–12.</w:t>
      </w:r>
    </w:p>
    <w:p>
      <w:pPr>
        <w:pStyle w:val="Heading5"/>
      </w:pPr>
      <w:r>
        <w:rPr>
          <w:lang w:val="en_US" w:bidi="en_US"/>
        </w:rPr>
        <w:t>20:18</w:t>
      </w:r>
    </w:p>
    <w:p>
      <w:pPr/>
      <w:r>
        <w:rPr>
          <w:lang w:val="en_US" w:bidi="en_US"/>
        </w:rPr>
      </w:r>
      <w:r>
        <w:rPr>
          <w:lang w:val="en_US" w:bidi="en_US"/>
        </w:rPr>
        <w:t>In 20:17 Jesus compared himself as the Messiah to a stone that was rejected by the builders. Here in 20:18 Jesus continued to compare himself to a stone, but he referred to different verses in the Old Testament. He probably alluded to Isaiah 8:14–15 and Daniel 2:34–35, 44–45, but he did not quote them exactly.</w:t>
      </w:r>
    </w:p>
    <w:p>
      <w:pPr/>
      <w:r>
        <w:rPr>
          <w:lang w:val="en_US" w:bidi="en_US"/>
        </w:rPr>
      </w:r>
      <w:r>
        <w:rPr>
          <w:b/>
          <w:lang w:val="en_US" w:bidi="en_US"/>
        </w:rPr>
        <w:t>Everyone who falls on this stone will be broken to pieces, but he on whom it falls will be crushed:</w:t>
      </w:r>
      <w:r>
        <w:rPr>
          <w:lang w:val="en_US" w:bidi="en_US"/>
        </w:rPr>
        <w:t xml:space="preserve"> Here Jesus used two comparisons to describe what will happen to people who reject him as the Messiah. The two comparisons have the same meaning: people who reject Jesus will be destroyed.</w:t>
      </w:r>
      <w:r>
        <w:rPr>
          <w:lang w:val="en_US" w:bidi="en_US"/>
        </w:rPr>
        <w:t>Some scholars suggest that the comparisons have somewhat different meanings. They imply that being “broken to pieces” may not imply complete destruction as “crushed” does. However, the Notes follows the scholars who interpret both being “broken to pieces” and being “crushed” as implying complete destruction. The NET note says: “This proverb basically means that the stone crushes, without regard to whether it falls on someone or someone falls on it.”According to some scholars, the image that Jesus used here may refer to the way a clay pot is broken or crushed by a stone. Marshall (p. 732) says, “The imagery may be that of a pot falling on a stone and being dashed in pieces…; alternatively the stone may fall on the pot and destroy it.” Nolland (p. 953) refers to a similar saying from Midrash Esther 3:6: “If a stone falls on a pot, woe to the pot! If the pot falls on the stone, woe to the pot! Either way, woe to the pot!” The Uma back translation on TW translates 20:18 as, “Like a pot that falls on a stone breaks, like a pot that is squeezed by a stone is-smashed, like that also will be the people who refuse/deny me.”</w:t>
      </w:r>
      <w:r>
        <w:rPr>
          <w:lang w:val="en_US" w:bidi="en_US"/>
        </w:rPr>
        <w:t xml:space="preserve"> They will be like a person who falls on a large stone or like someone on whom the stone falls.</w:t>
      </w:r>
    </w:p>
    <w:p>
      <w:pPr/>
      <w:r>
        <w:rPr>
          <w:lang w:val="en_US" w:bidi="en_US"/>
        </w:rPr>
      </w:r>
      <w:r>
        <w:rPr>
          <w:lang w:val="en_US" w:bidi="en_US"/>
        </w:rPr>
        <w:t>In some languages it may be helpful to use a simile and make the meaning more explicit. For example:</w:t>
      </w:r>
    </w:p>
    <w:p>
      <w:pPr/>
      <w:r>
        <w:rPr>
          <w:lang w:val="en_US" w:bidi="en_US"/>
        </w:rPr>
      </w:r>
      <w:r>
        <w:rPr>
          <w:lang w:val="en_US" w:bidi="en_US"/>
        </w:rPr>
        <w:t xml:space="preserve">A person </w:t>
      </w:r>
      <w:r>
        <w:rPr>
          <w:lang w:val="en_US" w:bidi="en_US"/>
        </w:rPr>
        <w:t>who rejects the Messiah</w:t>
      </w:r>
      <w:r>
        <w:rPr>
          <w:lang w:val="en_US" w:bidi="en_US"/>
        </w:rPr>
        <w:t xml:space="preserve"> is like someone who falls on a </w:t>
      </w:r>
      <w:r>
        <w:rPr>
          <w:lang w:val="en_US" w:bidi="en_US"/>
        </w:rPr>
        <w:t>huge</w:t>
      </w:r>
      <w:r>
        <w:rPr>
          <w:lang w:val="en_US" w:bidi="en_US"/>
        </w:rPr>
        <w:t xml:space="preserve"> stone. He will be broken to pieces. Or he is like a person on whom the </w:t>
      </w:r>
      <w:r>
        <w:rPr>
          <w:lang w:val="en_US" w:bidi="en_US"/>
        </w:rPr>
        <w:t>huge</w:t>
      </w:r>
      <w:r>
        <w:rPr>
          <w:lang w:val="en_US" w:bidi="en_US"/>
        </w:rPr>
        <w:t xml:space="preserve"> stone falls. He will be completely crushed.</w:t>
      </w:r>
    </w:p>
    <w:p>
      <w:pPr/>
      <w:r>
        <w:rPr>
          <w:lang w:val="en_US" w:bidi="en_US"/>
        </w:rPr>
      </w:r>
      <w:r>
        <w:rPr>
          <w:lang w:val="en_US" w:bidi="en_US"/>
        </w:rPr>
        <w:t>It may also be helpful to include a footnote. For example:</w:t>
      </w:r>
    </w:p>
    <w:p>
      <w:pPr/>
      <w:r>
        <w:rPr>
          <w:lang w:val="en_US" w:bidi="en_US"/>
        </w:rPr>
      </w:r>
      <w:r>
        <w:rPr>
          <w:lang w:val="en_US" w:bidi="en_US"/>
        </w:rPr>
        <w:t>Here the stone represents Jesus. Jesus was saying that the people who reject him will be destroyed.</w:t>
      </w:r>
    </w:p>
    <w:p>
      <w:pPr>
        <w:pStyle w:val="Heading5"/>
      </w:pPr>
      <w:r>
        <w:rPr>
          <w:lang w:val="en_US" w:bidi="en_US"/>
        </w:rPr>
        <w:t>20:18a</w:t>
      </w:r>
    </w:p>
    <w:p>
      <w:pPr/>
      <w:r>
        <w:rPr>
          <w:lang w:val="en_US" w:bidi="en_US"/>
        </w:rPr>
      </w:r>
      <w:r>
        <w:rPr>
          <w:b/>
          <w:lang w:val="en_US" w:bidi="en_US"/>
        </w:rPr>
        <w:t>Everyone who falls on this stone will be broken to pieces,</w:t>
      </w:r>
    </w:p>
    <w:p>
      <w:pPr>
        <w:pStyle w:val="ListBullet"/>
        <w:spacing w:line="240" w:lineRule="auto"/>
        <w:ind w:left="720"/>
      </w:pPr>
      <w:r>
        <w:rPr>
          <w:lang w:val="en_US" w:bidi="en_US"/>
        </w:rPr>
      </w:r>
      <w:r>
        <w:rPr>
          <w:lang w:val="en_US" w:bidi="en_US"/>
        </w:rPr>
        <w:t>Everyone who falls on that stone will be broken/shattered into pieces.</w:t>
      </w:r>
    </w:p>
    <w:p>
      <w:pPr>
        <w:pStyle w:val="ListBullet"/>
        <w:spacing w:line="240" w:lineRule="auto"/>
        <w:ind w:left="720"/>
      </w:pPr>
      <w:r>
        <w:rPr>
          <w:lang w:val="en_US" w:bidi="en_US"/>
        </w:rPr>
      </w:r>
      <w:r>
        <w:rPr>
          <w:lang w:val="en_US" w:bidi="en_US"/>
        </w:rPr>
        <w:t>When a person stumbles onto that stone, the stone will break/ruin him.</w:t>
      </w:r>
    </w:p>
    <w:p>
      <w:pPr/>
      <w:r>
        <w:rPr>
          <w:lang w:val="en_US" w:bidi="en_US"/>
        </w:rPr>
      </w:r>
      <w:r>
        <w:rPr>
          <w:b/>
          <w:lang w:val="en_US" w:bidi="en_US"/>
        </w:rPr>
        <w:t>Everyone who falls on this stone will be broken to pieces:</w:t>
      </w:r>
      <w:r>
        <w:rPr>
          <w:lang w:val="en_US" w:bidi="en_US"/>
        </w:rPr>
        <w:t xml:space="preserve"> This clause refers to what happens to a person who falls on the stone.</w:t>
      </w:r>
      <w:r>
        <w:rPr>
          <w:lang w:val="en_US" w:bidi="en_US"/>
        </w:rPr>
        <w:t xml:space="preserve">Some commentators believe that the Greek phrase that the BSB translates as “falls on” means “stumble over” in this context. The NT writers refer to Jesus several times as a stone over which people stumble (Romans 9:31–33, 1 Corinthians 1:23, 1 Peter 2:8). This interpretation is followed by the NLT and CEV. The other English versions on TW have “falls on,” and this interpretation is also followed by many commentators. Nolland (p. 953) says, “The falling involved is…likely to be that of falling from a height and being crushed upon impact with this unyielding stone….” The </w:t>
      </w:r>
      <w:r>
        <w:rPr>
          <w:i/>
          <w:lang w:val="en_US" w:bidi="en_US"/>
        </w:rPr>
        <w:t>IVP Bible Background Commentary</w:t>
      </w:r>
      <w:r>
        <w:rPr>
          <w:lang w:val="en_US" w:bidi="en_US"/>
        </w:rPr>
        <w:t xml:space="preserve"> (p. 244) says, “’Falling on’ the cornerstone reflects Isaiah 8:14–15 (cf. 28:16); the stone falling on the offender reflects Daniel 2:34, 2:44, where God’s kingdom portrayed as a rock, crushes its earthly challengers.” Morris (p. 313) says, “The imagery changes. Now it is not the value to be placed on the stone that is in mind, but the destructive power of the stone as against flesh and blood. To fall on the stone or have the stone fall on one in either case means destruction. People may reject and oppose Jesus but it is they, not he, who will suffer. The second part of the saying will refer to the future judgment. It will be their attitude to Jesus that will mean the destruction of the people of his day.”</w:t>
      </w:r>
      <w:r>
        <w:rPr>
          <w:lang w:val="en_US" w:bidi="en_US"/>
        </w:rPr>
        <w:t xml:space="preserve"> The clause is a metaphor. It indicates that if a person rejects the Messiah, the person will be completely destroyed. In some languages it is not natural to speak of a person being broken to pieces. Some other ways to translate this are:</w:t>
      </w:r>
    </w:p>
    <w:p>
      <w:pPr>
        <w:pStyle w:val="ListBullet"/>
        <w:spacing w:line="240" w:lineRule="auto"/>
        <w:ind w:left="720"/>
      </w:pPr>
      <w:r>
        <w:rPr>
          <w:lang w:val="en_US" w:bidi="en_US"/>
        </w:rPr>
      </w:r>
      <w:r>
        <w:rPr>
          <w:lang w:val="en_US" w:bidi="en_US"/>
        </w:rPr>
        <w:t>Use a more general expression. For example:</w:t>
      </w:r>
      <w:r>
        <w:rPr>
          <w:lang w:val="en_US" w:bidi="en_US"/>
        </w:rPr>
        <w:t>The man who falls on that stone will be broken (JBP)</w:t>
      </w:r>
    </w:p>
    <w:p>
      <w:pPr>
        <w:pStyle w:val="ListBullet"/>
        <w:spacing w:line="240" w:lineRule="auto"/>
        <w:ind w:left="720"/>
      </w:pPr>
      <w:r>
        <w:rPr>
          <w:lang w:val="en_US" w:bidi="en_US"/>
        </w:rPr>
      </w:r>
      <w:r>
        <w:rPr>
          <w:lang w:val="en_US" w:bidi="en_US"/>
        </w:rPr>
        <w:t>Refer more specifically to the person’s body. For example:</w:t>
      </w:r>
      <w:r>
        <w:rPr>
          <w:lang w:val="en_US" w:bidi="en_US"/>
        </w:rPr>
        <w:t>If a person falls on that stone, his body/bones will be completely broken up</w:t>
      </w:r>
      <w:r>
        <w:rPr>
          <w:lang w:val="en_US" w:bidi="en_US"/>
        </w:rPr>
        <w:t>All those who fall on this stone their bodies will be crumbled</w:t>
      </w:r>
      <w:r>
        <w:rPr>
          <w:lang w:val="en_US" w:bidi="en_US"/>
        </w:rPr>
        <w:t>Yakan back translation on TW.</w:t>
      </w:r>
    </w:p>
    <w:p>
      <w:pPr/>
      <w:r>
        <w:rPr>
          <w:lang w:val="en_US" w:bidi="en_US"/>
        </w:rPr>
      </w:r>
      <w:r>
        <w:rPr>
          <w:lang w:val="en_US" w:bidi="en_US"/>
        </w:rPr>
        <w:t>Translate the metaphor in a way that is natural in your language.</w:t>
      </w:r>
    </w:p>
    <w:p>
      <w:pPr/>
      <w:r>
        <w:rPr>
          <w:lang w:val="en_US" w:bidi="en_US"/>
        </w:rPr>
      </w:r>
      <w:r>
        <w:rPr>
          <w:b/>
          <w:lang w:val="en_US" w:bidi="en_US"/>
        </w:rPr>
        <w:t>will be broken to pieces:</w:t>
      </w:r>
      <w:r>
        <w:rPr>
          <w:lang w:val="en_US" w:bidi="en_US"/>
        </w:rPr>
        <w:t xml:space="preserve"> The Greek word that the BSB translates as </w:t>
      </w:r>
      <w:r>
        <w:rPr>
          <w:i/>
          <w:lang w:val="en_US" w:bidi="en_US"/>
        </w:rPr>
        <w:t>will be broken to pieces</w:t>
      </w:r>
      <w:r>
        <w:rPr>
          <w:lang w:val="en_US" w:bidi="en_US"/>
        </w:rPr>
        <w:t xml:space="preserve"> is passive. In some languages it may be more natural use an active verb here. For example:</w:t>
      </w:r>
    </w:p>
    <w:p>
      <w:pPr/>
      <w:r>
        <w:rPr>
          <w:lang w:val="en_US" w:bidi="en_US"/>
        </w:rPr>
      </w:r>
      <w:r>
        <w:rPr>
          <w:lang w:val="en_US" w:bidi="en_US"/>
        </w:rPr>
        <w:t>the stone will break/shatter him into pieces.</w:t>
      </w:r>
    </w:p>
    <w:p>
      <w:pPr>
        <w:pStyle w:val="Heading5"/>
      </w:pPr>
      <w:r>
        <w:rPr>
          <w:lang w:val="en_US" w:bidi="en_US"/>
        </w:rPr>
        <w:t>20:18b</w:t>
      </w:r>
    </w:p>
    <w:p>
      <w:pPr/>
      <w:r>
        <w:rPr>
          <w:lang w:val="en_US" w:bidi="en_US"/>
        </w:rPr>
      </w:r>
      <w:r>
        <w:rPr>
          <w:b/>
          <w:lang w:val="en_US" w:bidi="en_US"/>
        </w:rPr>
        <w:t>but he on whom it falls will be crushed.”</w:t>
      </w:r>
    </w:p>
    <w:p>
      <w:pPr>
        <w:pStyle w:val="ListBullet"/>
        <w:spacing w:line="240" w:lineRule="auto"/>
        <w:ind w:left="720"/>
      </w:pPr>
      <w:r>
        <w:rPr>
          <w:lang w:val="en_US" w:bidi="en_US"/>
        </w:rPr>
      </w:r>
      <w:r>
        <w:rPr>
          <w:lang w:val="en_US" w:bidi="en_US"/>
        </w:rPr>
        <w:t xml:space="preserve">But if that stone falls on anyone, it will crush/grind him </w:t>
      </w:r>
      <w:r>
        <w:rPr>
          <w:lang w:val="en_US" w:bidi="en_US"/>
        </w:rPr>
        <w:t>to dust</w:t>
      </w:r>
      <w:r>
        <w:rPr>
          <w:lang w:val="en_US" w:bidi="en_US"/>
        </w:rPr>
        <w:t>.”</w:t>
      </w:r>
    </w:p>
    <w:p>
      <w:pPr>
        <w:pStyle w:val="ListBullet"/>
        <w:spacing w:line="240" w:lineRule="auto"/>
        <w:ind w:left="720"/>
      </w:pPr>
      <w:r>
        <w:rPr>
          <w:lang w:val="en_US" w:bidi="en_US"/>
        </w:rPr>
      </w:r>
      <w:r>
        <w:rPr>
          <w:lang w:val="en_US" w:bidi="en_US"/>
        </w:rPr>
        <w:t>When the stone falls onto a person, that person will be completely destroyed/pulverized.”</w:t>
      </w:r>
    </w:p>
    <w:p>
      <w:pPr/>
      <w:r>
        <w:rPr>
          <w:lang w:val="en_US" w:bidi="en_US"/>
        </w:rPr>
      </w:r>
      <w:r>
        <w:rPr>
          <w:b/>
          <w:lang w:val="en_US" w:bidi="en_US"/>
        </w:rPr>
        <w:t>but he on whom it falls will be crushed:</w:t>
      </w:r>
      <w:r>
        <w:rPr>
          <w:lang w:val="en_US" w:bidi="en_US"/>
        </w:rPr>
        <w:t xml:space="preserve"> The Greek conjunction that the BSB translates as </w:t>
      </w:r>
      <w:r>
        <w:rPr>
          <w:i/>
          <w:lang w:val="en_US" w:bidi="en_US"/>
        </w:rPr>
        <w:t>but</w:t>
      </w:r>
      <w:r>
        <w:rPr>
          <w:lang w:val="en_US" w:bidi="en_US"/>
        </w:rPr>
        <w:t xml:space="preserve"> introduces a situation that is different from the one in 20:18a, but it has a similar result. In some languages it may be more natural to use a conjunction like “and.” For example:</w:t>
      </w:r>
    </w:p>
    <w:p>
      <w:pPr/>
      <w:r>
        <w:rPr>
          <w:lang w:val="en_US" w:bidi="en_US"/>
        </w:rPr>
      </w:r>
      <w:r>
        <w:rPr>
          <w:lang w:val="en_US" w:bidi="en_US"/>
        </w:rPr>
        <w:t xml:space="preserve">Everyone who falls on that stone will be broken, </w:t>
      </w:r>
      <w:r>
        <w:rPr>
          <w:u w:val="single"/>
          <w:lang w:val="en_US" w:bidi="en_US"/>
        </w:rPr>
        <w:t>and</w:t>
      </w:r>
      <w:r>
        <w:rPr>
          <w:lang w:val="en_US" w:bidi="en_US"/>
        </w:rPr>
        <w:t xml:space="preserve"> the person on whom it falls, that person will be crushed! (NCV)</w:t>
      </w:r>
    </w:p>
    <w:p>
      <w:pPr/>
      <w:r>
        <w:rPr>
          <w:lang w:val="en_US" w:bidi="en_US"/>
        </w:rPr>
      </w:r>
      <w:r>
        <w:rPr>
          <w:lang w:val="en_US" w:bidi="en_US"/>
        </w:rPr>
        <w:t>In some languages a conjunction is not needed. For example:</w:t>
      </w:r>
    </w:p>
    <w:p>
      <w:pPr/>
      <w:r>
        <w:rPr>
          <w:lang w:val="en_US" w:bidi="en_US"/>
        </w:rPr>
      </w:r>
      <w:r>
        <w:rPr>
          <w:lang w:val="en_US" w:bidi="en_US"/>
        </w:rPr>
        <w:t>Everyone who falls on that stone will be broken. If that stone falls on anyone, it will crush that person. (GW)</w:t>
      </w:r>
    </w:p>
    <w:p>
      <w:pPr/>
      <w:r>
        <w:rPr>
          <w:lang w:val="en_US" w:bidi="en_US"/>
        </w:rPr>
      </w:r>
      <w:r>
        <w:rPr>
          <w:b/>
          <w:lang w:val="en_US" w:bidi="en_US"/>
        </w:rPr>
        <w:t>he on whom it falls will be crushed:</w:t>
      </w:r>
      <w:r>
        <w:rPr>
          <w:lang w:val="en_US" w:bidi="en_US"/>
        </w:rPr>
        <w:t xml:space="preserve"> In Greek this clause literally says “when it falls on anyone, it crushes him.” Notice that the BSB translated the verb “crush” with a passive verb. In many languages it is natural to translate it as active. See the examples in the preceding note.</w:t>
      </w:r>
    </w:p>
    <w:p>
      <w:pPr/>
      <w:r>
        <w:rPr>
          <w:lang w:val="en_US" w:bidi="en_US"/>
        </w:rPr>
      </w:r>
      <w:r>
        <w:rPr>
          <w:lang w:val="en_US" w:bidi="en_US"/>
        </w:rPr>
        <w:t>The verb “crush” indicates here that the stone will smash or flatten the person. It may imply that it will completely grind the person to dust. For example:</w:t>
      </w:r>
    </w:p>
    <w:p>
      <w:pPr/>
      <w:r>
        <w:rPr>
          <w:lang w:val="en_US" w:bidi="en_US"/>
        </w:rPr>
      </w:r>
      <w:r>
        <w:rPr>
          <w:lang w:val="en_US" w:bidi="en_US"/>
        </w:rPr>
        <w:t>that person will be crushed to dust (GNT)</w:t>
      </w:r>
      <w:r>
        <w:rPr>
          <w:lang w:val="en_US" w:bidi="en_US"/>
        </w:rPr>
      </w:r>
      <w:r>
        <w:rPr>
          <w:lang w:val="en_US" w:bidi="en_US"/>
        </w:rPr>
      </w:r>
    </w:p>
    <w:p>
      <w:pPr/>
      <w:r>
        <w:rPr>
          <w:lang w:val="en_US" w:bidi="en_US"/>
        </w:rPr>
      </w:r>
    </w:p>
    <w:p>
      <w:pPr>
        <w:pStyle w:val="Heading2"/>
      </w:pPr>
      <w:r>
        <w:rPr>
          <w:lang w:val="en_US" w:bidi="en_US"/>
        </w:rPr>
        <w:t>Luke 20:19</w:t>
      </w:r>
      <w:r>
        <w:rPr>
          <w:lang w:val="en_US" w:bidi="en_US"/>
        </w:rPr>
      </w:r>
    </w:p>
    <w:p>
      <w:pPr>
        <w:pStyle w:val="Heading4"/>
      </w:pPr>
      <w:r>
        <w:rPr>
          <w:lang w:val="en_US" w:bidi="en_US"/>
        </w:rPr>
        <w:t>Section 20:9–19: Jesus told a parable about some evil tenant farmers</w:t>
      </w:r>
    </w:p>
    <w:p>
      <w:pPr/>
      <w:r>
        <w:rPr>
          <w:lang w:val="en_US" w:bidi="en_US"/>
        </w:rPr>
      </w:r>
      <w:r>
        <w:rPr>
          <w:lang w:val="en_US" w:bidi="en_US"/>
        </w:rPr>
        <w:t>In 20:1–8 the Jewish religious leaders asked Jesus two questions about his authority. In this section Jesus used a parable to answer those questions in an indirect way. The Jewish leaders showed that they understood this parable by their response in 20:19.</w:t>
      </w:r>
    </w:p>
    <w:p>
      <w:pPr/>
      <w:r>
        <w:rPr>
          <w:lang w:val="en_US" w:bidi="en_US"/>
        </w:rPr>
      </w:r>
      <w:r>
        <w:rPr>
          <w:lang w:val="en_US" w:bidi="en_US"/>
        </w:rPr>
        <w:t>The parable was a story about a man who owned a vineyard. A vineyard is a farm where people grow vines that produce a fruit called “grapes.” Many Jewish people had grape farms. They used the grape juice to make wine, which was important in their culture. They also sold the grapes to make money.</w:t>
      </w:r>
    </w:p>
    <w:p>
      <w:pPr/>
      <w:r>
        <w:rPr>
          <w:lang w:val="en_US" w:bidi="en_US"/>
        </w:rPr>
      </w:r>
      <w:r>
        <w:rPr>
          <w:lang w:val="en_US" w:bidi="en_US"/>
        </w:rPr>
        <w:t>In this story, the owner of the grape farm hired men to farm it for him and to give him a share of the profit. Three times the owner sent servants to the men to collect his share. But the men refused to give the owner his share, and they mistreated each of his servants who came to collect it. When he sent his own son, they killed him. Consider how you would tell a similar story in your language.</w:t>
      </w:r>
    </w:p>
    <w:p>
      <w:pPr/>
      <w:r>
        <w:rPr>
          <w:lang w:val="en_US" w:bidi="en_US"/>
        </w:rPr>
      </w:r>
      <w:r>
        <w:rPr>
          <w:lang w:val="en_US" w:bidi="en_US"/>
        </w:rPr>
        <w:t>Jesus used the people in the parable to represent the Jewish religious leaders and their actions toward God and toward himself, God’s Son. The grape farm represents the people of Israel, and the owner represents God. The grape farmers represent the leaders of Israel. The servants represent the prophets, and the owner’s son represents Jesus.</w:t>
      </w:r>
    </w:p>
    <w:p>
      <w:pPr/>
      <w:r>
        <w:rPr>
          <w:lang w:val="en_US" w:bidi="en_US"/>
        </w:rPr>
      </w:r>
      <w:r>
        <w:rPr>
          <w:lang w:val="en_US" w:bidi="en_US"/>
        </w:rPr>
        <w:t>Examples of headings for this section are:</w:t>
      </w:r>
    </w:p>
    <w:p>
      <w:pPr/>
      <w:r>
        <w:rPr>
          <w:lang w:val="en_US" w:bidi="en_US"/>
        </w:rPr>
      </w:r>
      <w:r>
        <w:rPr>
          <w:lang w:val="en_US" w:bidi="en_US"/>
        </w:rPr>
        <w:t>The Parable of the Tenants (NIV)</w:t>
      </w:r>
    </w:p>
    <w:p>
      <w:pPr/>
      <w:r>
        <w:rPr>
          <w:lang w:val="en_US" w:bidi="en_US"/>
        </w:rPr>
      </w:r>
      <w:r>
        <w:rPr>
          <w:lang w:val="en_US" w:bidi="en_US"/>
        </w:rPr>
        <w:t>A story of evil farmers</w:t>
      </w:r>
    </w:p>
    <w:p>
      <w:pPr/>
      <w:r>
        <w:rPr>
          <w:lang w:val="en_US" w:bidi="en_US"/>
        </w:rPr>
      </w:r>
      <w:r>
        <w:rPr>
          <w:lang w:val="en_US" w:bidi="en_US"/>
        </w:rPr>
        <w:t>A parable about bad renters of a vineyard</w:t>
      </w:r>
    </w:p>
    <w:p>
      <w:pPr/>
      <w:r>
        <w:rPr>
          <w:lang w:val="en_US" w:bidi="en_US"/>
        </w:rPr>
      </w:r>
      <w:r>
        <w:rPr>
          <w:lang w:val="en_US" w:bidi="en_US"/>
        </w:rPr>
        <w:t>Parallel passages for this section are in Matthew 21:33–46 and Mark 12:1–12.</w:t>
      </w:r>
    </w:p>
    <w:p>
      <w:pPr>
        <w:pStyle w:val="Heading5"/>
      </w:pPr>
      <w:r>
        <w:rPr>
          <w:lang w:val="en_US" w:bidi="en_US"/>
        </w:rPr>
        <w:t>20:19a–d</w:t>
      </w:r>
    </w:p>
    <w:p>
      <w:pPr/>
      <w:r>
        <w:rPr>
          <w:lang w:val="en_US" w:bidi="en_US"/>
        </w:rPr>
      </w:r>
      <w:r>
        <w:rPr>
          <w:lang w:val="en_US" w:bidi="en_US"/>
        </w:rPr>
        <w:t>The BSB here does not follow the order of the Greek but rearranges the words for good English style. The Greek is literally:</w:t>
      </w:r>
    </w:p>
    <w:p>
      <w:pPr/>
      <w:r>
        <w:rPr>
          <w:lang w:val="en_US" w:bidi="en_US"/>
        </w:rPr>
      </w:r>
      <w:r>
        <w:rPr>
          <w:vertAlign w:val="superscript"/>
          <w:lang w:val="en_US" w:bidi="en_US"/>
        </w:rPr>
        <w:t>19a</w:t>
      </w:r>
      <w:r>
        <w:rPr>
          <w:lang w:val="en_US" w:bidi="en_US"/>
        </w:rPr>
        <w:t xml:space="preserve">And the scribes and the chief priests </w:t>
      </w:r>
      <w:r>
        <w:rPr>
          <w:vertAlign w:val="superscript"/>
          <w:lang w:val="en_US" w:bidi="en_US"/>
        </w:rPr>
        <w:t>19c</w:t>
      </w:r>
      <w:r>
        <w:rPr>
          <w:lang w:val="en_US" w:bidi="en_US"/>
        </w:rPr>
        <w:t xml:space="preserve">sought to lay hands on him in that hour and/but </w:t>
      </w:r>
      <w:r>
        <w:rPr>
          <w:vertAlign w:val="superscript"/>
          <w:lang w:val="en_US" w:bidi="en_US"/>
        </w:rPr>
        <w:t>19d</w:t>
      </w:r>
      <w:r>
        <w:rPr>
          <w:lang w:val="en_US" w:bidi="en_US"/>
        </w:rPr>
        <w:t xml:space="preserve">they feared the people, </w:t>
      </w:r>
      <w:r>
        <w:rPr>
          <w:vertAlign w:val="superscript"/>
          <w:lang w:val="en_US" w:bidi="en_US"/>
        </w:rPr>
        <w:t>19b</w:t>
      </w:r>
      <w:r>
        <w:rPr>
          <w:lang w:val="en_US" w:bidi="en_US"/>
        </w:rPr>
        <w:t>because they knew that against them he spoke this parable.</w:t>
      </w:r>
    </w:p>
    <w:p>
      <w:pPr/>
      <w:r>
        <w:rPr>
          <w:lang w:val="en_US" w:bidi="en_US"/>
        </w:rPr>
      </w:r>
      <w:r>
        <w:rPr>
          <w:lang w:val="en_US" w:bidi="en_US"/>
        </w:rPr>
        <w:t>In some languages, it may be necessary to change the order of the sentence, as the BSB does. See General Comment on 20:19a–c for suggestions.</w:t>
      </w:r>
    </w:p>
    <w:p>
      <w:pPr>
        <w:pStyle w:val="Heading5"/>
      </w:pPr>
      <w:r>
        <w:rPr>
          <w:lang w:val="en_US" w:bidi="en_US"/>
        </w:rPr>
        <w:t>20:19a–b</w:t>
      </w:r>
    </w:p>
    <w:p>
      <w:pPr/>
      <w:r>
        <w:rPr>
          <w:lang w:val="en_US" w:bidi="en_US"/>
        </w:rPr>
      </w:r>
      <w:r>
        <w:rPr>
          <w:b/>
          <w:lang w:val="en_US" w:bidi="en_US"/>
        </w:rPr>
        <w:t>When the scribes and chief priests realized that Jesus had spoken this parable against them:</w:t>
      </w:r>
      <w:r>
        <w:rPr>
          <w:lang w:val="en_US" w:bidi="en_US"/>
        </w:rPr>
        <w:t xml:space="preserve"> The Jewish leaders understood that Jesus had told the parable of the vineyard and the metaphor of the stone as a warning to them. They realized that the parable referred to them as the evil farmers who killed the son. They knew that the parable indicated that God would certainly punish them. That was why they wanted to arrest Jesus.</w:t>
      </w:r>
    </w:p>
    <w:p>
      <w:pPr/>
      <w:r>
        <w:rPr>
          <w:lang w:val="en_US" w:bidi="en_US"/>
        </w:rPr>
      </w:r>
      <w:r>
        <w:rPr>
          <w:lang w:val="en_US" w:bidi="en_US"/>
        </w:rPr>
        <w:t>Some other ways to translate this are:</w:t>
      </w:r>
    </w:p>
    <w:p>
      <w:pPr/>
      <w:r>
        <w:rPr>
          <w:lang w:val="en_US" w:bidi="en_US"/>
        </w:rPr>
      </w:r>
      <w:r>
        <w:rPr>
          <w:lang w:val="en_US" w:bidi="en_US"/>
        </w:rPr>
        <w:t>…they realized he was telling the story against them—they were the wicked farmers. (NLT)</w:t>
      </w:r>
    </w:p>
    <w:p>
      <w:pPr/>
      <w:r>
        <w:rPr>
          <w:lang w:val="en_US" w:bidi="en_US"/>
        </w:rPr>
      </w:r>
      <w:r>
        <w:rPr>
          <w:lang w:val="en_US" w:bidi="en_US"/>
        </w:rPr>
        <w:t>…they knew the story was about them. (NCV)</w:t>
      </w:r>
    </w:p>
    <w:p>
      <w:pPr/>
      <w:r>
        <w:rPr>
          <w:lang w:val="en_US" w:bidi="en_US"/>
        </w:rPr>
      </w:r>
      <w:r>
        <w:rPr>
          <w:lang w:val="en_US" w:bidi="en_US"/>
        </w:rPr>
        <w:t>…knew that they were the ones Yesus was aiming-towards with his parable earlier.</w:t>
      </w:r>
      <w:r>
        <w:rPr>
          <w:lang w:val="en_US" w:bidi="en_US"/>
        </w:rPr>
        <w:t>Uma back translation on TW.</w:t>
      </w:r>
    </w:p>
    <w:p>
      <w:pPr>
        <w:pStyle w:val="Heading5"/>
      </w:pPr>
      <w:r>
        <w:rPr>
          <w:lang w:val="en_US" w:bidi="en_US"/>
        </w:rPr>
        <w:t>20:19a</w:t>
      </w:r>
    </w:p>
    <w:p>
      <w:pPr/>
      <w:r>
        <w:rPr>
          <w:lang w:val="en_US" w:bidi="en_US"/>
        </w:rPr>
      </w:r>
      <w:r>
        <w:rPr>
          <w:b/>
          <w:lang w:val="en_US" w:bidi="en_US"/>
        </w:rPr>
        <w:t>When the scribes and chief priests</w:t>
      </w:r>
    </w:p>
    <w:p>
      <w:pPr>
        <w:pStyle w:val="ListBullet"/>
        <w:spacing w:line="240" w:lineRule="auto"/>
        <w:ind w:left="720"/>
      </w:pPr>
      <w:r>
        <w:rPr>
          <w:lang w:val="en_US" w:bidi="en_US"/>
        </w:rPr>
      </w:r>
      <w:r>
        <w:rPr>
          <w:lang w:val="en_US" w:bidi="en_US"/>
        </w:rPr>
        <w:t>The teachers of the law and the leaders of the priests</w:t>
      </w:r>
    </w:p>
    <w:p>
      <w:pPr>
        <w:pStyle w:val="ListBullet"/>
        <w:spacing w:line="240" w:lineRule="auto"/>
        <w:ind w:left="720"/>
      </w:pPr>
      <w:r>
        <w:rPr>
          <w:lang w:val="en_US" w:bidi="en_US"/>
        </w:rPr>
      </w:r>
      <w:r>
        <w:rPr>
          <w:lang w:val="en_US" w:bidi="en_US"/>
        </w:rPr>
        <w:t>The experts in the law and the most important priests</w:t>
      </w:r>
    </w:p>
    <w:p>
      <w:pPr/>
      <w:r>
        <w:rPr>
          <w:lang w:val="en_US" w:bidi="en_US"/>
        </w:rPr>
      </w:r>
      <w:r>
        <w:rPr>
          <w:b/>
          <w:lang w:val="en_US" w:bidi="en_US"/>
        </w:rPr>
        <w:t>the scribes and chief priests:</w:t>
      </w:r>
      <w:r>
        <w:rPr>
          <w:lang w:val="en_US" w:bidi="en_US"/>
        </w:rPr>
        <w:t xml:space="preserve"> These two groups of people were also mentioned in 19:47b–d. See how you referred to them there. See also teacher of the law and priest in the Glossary.</w:t>
      </w:r>
    </w:p>
    <w:p>
      <w:pPr>
        <w:pStyle w:val="Heading5"/>
      </w:pPr>
      <w:r>
        <w:rPr>
          <w:lang w:val="en_US" w:bidi="en_US"/>
        </w:rPr>
        <w:t>20:19b</w:t>
      </w:r>
    </w:p>
    <w:p>
      <w:pPr/>
      <w:r>
        <w:rPr>
          <w:lang w:val="en_US" w:bidi="en_US"/>
        </w:rPr>
      </w:r>
      <w:r>
        <w:rPr>
          <w:b/>
          <w:lang w:val="en_US" w:bidi="en_US"/>
        </w:rPr>
        <w:t>realized that Jesus had spoken this parable against them,</w:t>
      </w:r>
    </w:p>
    <w:p>
      <w:pPr>
        <w:pStyle w:val="ListBullet"/>
        <w:spacing w:line="240" w:lineRule="auto"/>
        <w:ind w:left="720"/>
      </w:pPr>
      <w:r>
        <w:rPr>
          <w:lang w:val="en_US" w:bidi="en_US"/>
        </w:rPr>
      </w:r>
      <w:r>
        <w:rPr>
          <w:lang w:val="en_US" w:bidi="en_US"/>
        </w:rPr>
        <w:t>knew/understood that he had spoken this story about them.</w:t>
      </w:r>
    </w:p>
    <w:p>
      <w:pPr>
        <w:pStyle w:val="ListBullet"/>
        <w:spacing w:line="240" w:lineRule="auto"/>
        <w:ind w:left="720"/>
      </w:pPr>
      <w:r>
        <w:rPr>
          <w:lang w:val="en_US" w:bidi="en_US"/>
        </w:rPr>
      </w:r>
      <w:r>
        <w:rPr>
          <w:lang w:val="en_US" w:bidi="en_US"/>
        </w:rPr>
        <w:t xml:space="preserve">realized that when Jesus told the parable about </w:t>
      </w:r>
      <w:r>
        <w:rPr>
          <w:lang w:val="en_US" w:bidi="en_US"/>
        </w:rPr>
        <w:t>the evil farmers</w:t>
      </w:r>
      <w:r>
        <w:rPr>
          <w:lang w:val="en_US" w:bidi="en_US"/>
        </w:rPr>
        <w:t>, he was talking about them.</w:t>
      </w:r>
    </w:p>
    <w:p>
      <w:pPr/>
      <w:r>
        <w:rPr>
          <w:lang w:val="en_US" w:bidi="en_US"/>
        </w:rPr>
      </w:r>
      <w:r>
        <w:rPr>
          <w:lang w:val="en_US" w:bidi="en_US"/>
        </w:rPr>
        <w:t>The Greek conjunction of 20:19b begins with a conjunction that is often translated as “for” or “because.” For example:</w:t>
      </w:r>
    </w:p>
    <w:p>
      <w:pPr/>
      <w:r>
        <w:rPr>
          <w:lang w:val="en_US" w:bidi="en_US"/>
        </w:rPr>
      </w:r>
      <w:r>
        <w:rPr>
          <w:lang w:val="en_US" w:bidi="en_US"/>
        </w:rPr>
        <w:t>because they knew he had spoken this parable against them (NIV)</w:t>
      </w:r>
    </w:p>
    <w:p>
      <w:pPr/>
      <w:r>
        <w:rPr>
          <w:lang w:val="en_US" w:bidi="en_US"/>
        </w:rPr>
      </w:r>
      <w:r>
        <w:rPr>
          <w:lang w:val="en_US" w:bidi="en_US"/>
        </w:rPr>
        <w:t>This conjunction introduces the reason why the religious leaders wanted to arrest Jesus at once. If you choose to rearrange the order of 20:19a–d as the BSB does, it may not be necessary to translate this conjunction.</w:t>
      </w:r>
    </w:p>
    <w:p>
      <w:pPr/>
      <w:r>
        <w:rPr>
          <w:lang w:val="en_US" w:bidi="en_US"/>
        </w:rPr>
      </w:r>
      <w:r>
        <w:rPr>
          <w:b/>
          <w:lang w:val="en_US" w:bidi="en_US"/>
        </w:rPr>
        <w:t>this parable:</w:t>
      </w:r>
      <w:r>
        <w:rPr>
          <w:lang w:val="en_US" w:bidi="en_US"/>
        </w:rPr>
        <w:t xml:space="preserve"> The Greek word that the BSB translates as </w:t>
      </w:r>
      <w:r>
        <w:rPr>
          <w:i/>
          <w:lang w:val="en_US" w:bidi="en_US"/>
        </w:rPr>
        <w:t>this parable</w:t>
      </w:r>
      <w:r>
        <w:rPr>
          <w:lang w:val="en_US" w:bidi="en_US"/>
        </w:rPr>
        <w:t xml:space="preserve"> refers to the story that begins in 20:9b. For help in translating the word </w:t>
      </w:r>
      <w:r>
        <w:rPr>
          <w:i/>
          <w:lang w:val="en_US" w:bidi="en_US"/>
        </w:rPr>
        <w:t>parable</w:t>
      </w:r>
      <w:r>
        <w:rPr>
          <w:lang w:val="en_US" w:bidi="en_US"/>
        </w:rPr>
        <w:t>, see the note on 18:1. See also parable in the Glossary.</w:t>
      </w:r>
    </w:p>
    <w:p>
      <w:pPr>
        <w:pStyle w:val="Heading5"/>
      </w:pPr>
      <w:r>
        <w:rPr>
          <w:lang w:val="en_US" w:bidi="en_US"/>
        </w:rPr>
        <w:t>20:19c</w:t>
      </w:r>
    </w:p>
    <w:p>
      <w:pPr/>
      <w:r>
        <w:rPr>
          <w:lang w:val="en_US" w:bidi="en_US"/>
        </w:rPr>
      </w:r>
      <w:r>
        <w:rPr>
          <w:b/>
          <w:lang w:val="en_US" w:bidi="en_US"/>
        </w:rPr>
        <w:t>they sought to arrest Him that very hour.</w:t>
      </w:r>
    </w:p>
    <w:p>
      <w:pPr>
        <w:pStyle w:val="ListBullet"/>
        <w:spacing w:line="240" w:lineRule="auto"/>
        <w:ind w:left="720"/>
      </w:pPr>
      <w:r>
        <w:rPr>
          <w:lang w:val="en_US" w:bidi="en_US"/>
        </w:rPr>
      </w:r>
      <w:r>
        <w:rPr>
          <w:lang w:val="en_US" w:bidi="en_US"/>
        </w:rPr>
        <w:t>They wanted to arrest him/Jesus at once.</w:t>
      </w:r>
    </w:p>
    <w:p>
      <w:pPr>
        <w:pStyle w:val="ListBullet"/>
        <w:spacing w:line="240" w:lineRule="auto"/>
        <w:ind w:left="720"/>
      </w:pPr>
      <w:r>
        <w:rPr>
          <w:lang w:val="en_US" w:bidi="en_US"/>
        </w:rPr>
      </w:r>
      <w:r>
        <w:rPr>
          <w:lang w:val="en_US" w:bidi="en_US"/>
        </w:rPr>
        <w:t xml:space="preserve">So they tried to </w:t>
      </w:r>
      <w:r>
        <w:rPr>
          <w:lang w:val="en_US" w:bidi="en_US"/>
        </w:rPr>
        <w:t>find a way to</w:t>
      </w:r>
      <w:r>
        <w:rPr>
          <w:lang w:val="en_US" w:bidi="en_US"/>
        </w:rPr>
        <w:t xml:space="preserve"> arrest/seize Jesus that very moment,</w:t>
      </w:r>
    </w:p>
    <w:p>
      <w:pPr/>
      <w:r>
        <w:rPr>
          <w:lang w:val="en_US" w:bidi="en_US"/>
        </w:rPr>
      </w:r>
      <w:r>
        <w:rPr>
          <w:b/>
          <w:lang w:val="en_US" w:bidi="en_US"/>
        </w:rPr>
        <w:t>they sought to arrest Him that very hour:</w:t>
      </w:r>
      <w:r>
        <w:rPr>
          <w:lang w:val="en_US" w:bidi="en_US"/>
        </w:rPr>
        <w:t xml:space="preserve"> The Greek words that the BSB translates as </w:t>
      </w:r>
      <w:r>
        <w:rPr>
          <w:i/>
          <w:lang w:val="en_US" w:bidi="en_US"/>
        </w:rPr>
        <w:t>sought to arrest Him that very hour</w:t>
      </w:r>
      <w:r>
        <w:rPr>
          <w:lang w:val="en_US" w:bidi="en_US"/>
        </w:rPr>
        <w:t xml:space="preserve"> indicate that the leaders wanted to arrest Jesus immediately, and they tried to think of a way to do that. The context implies that they did not want to arrest him in public. They were afraid of the people, as 20:19c says.</w:t>
      </w:r>
    </w:p>
    <w:p>
      <w:pPr/>
      <w:r>
        <w:rPr>
          <w:lang w:val="en_US" w:bidi="en_US"/>
        </w:rPr>
      </w:r>
      <w:r>
        <w:rPr>
          <w:lang w:val="en_US" w:bidi="en_US"/>
        </w:rPr>
        <w:t>See the General Comment on 20:19a–c for a suggestion about changing the order of clauses in 20:19a and 20:19b.</w:t>
      </w:r>
    </w:p>
    <w:p>
      <w:pPr/>
      <w:r>
        <w:rPr>
          <w:lang w:val="en_US" w:bidi="en_US"/>
        </w:rPr>
      </w:r>
      <w:r>
        <w:rPr>
          <w:b/>
          <w:lang w:val="en_US" w:bidi="en_US"/>
        </w:rPr>
        <w:t>to arrest Him:</w:t>
      </w:r>
      <w:r>
        <w:rPr>
          <w:lang w:val="en_US" w:bidi="en_US"/>
        </w:rPr>
        <w:t xml:space="preserve"> The Greek idiom that the BSB translates as </w:t>
      </w:r>
      <w:r>
        <w:rPr>
          <w:i/>
          <w:lang w:val="en_US" w:bidi="en_US"/>
        </w:rPr>
        <w:t>to arrest Him</w:t>
      </w:r>
      <w:r>
        <w:rPr>
          <w:lang w:val="en_US" w:bidi="en_US"/>
        </w:rPr>
        <w:t xml:space="preserve"> is literally “to lay their hands on him.” Here it means “to seize </w:t>
      </w:r>
      <w:r>
        <w:rPr>
          <w:lang w:val="en_US" w:bidi="en_US"/>
        </w:rPr>
        <w:t>in order to arrest</w:t>
      </w:r>
      <w:r>
        <w:rPr>
          <w:lang w:val="en_US" w:bidi="en_US"/>
        </w:rPr>
        <w:t>.” It indicates that they wanted to take Jesus away for trial and punishment.</w:t>
      </w:r>
    </w:p>
    <w:p>
      <w:pPr/>
      <w:r>
        <w:rPr>
          <w:lang w:val="en_US" w:bidi="en_US"/>
        </w:rPr>
      </w:r>
      <w:r>
        <w:rPr>
          <w:b/>
          <w:lang w:val="en_US" w:bidi="en_US"/>
        </w:rPr>
        <w:t>that very hour:</w:t>
      </w:r>
      <w:r>
        <w:rPr>
          <w:lang w:val="en_US" w:bidi="en_US"/>
        </w:rPr>
        <w:t xml:space="preserve"> The Greek phrase that the BSB translates as </w:t>
      </w:r>
      <w:r>
        <w:rPr>
          <w:i/>
          <w:lang w:val="en_US" w:bidi="en_US"/>
        </w:rPr>
        <w:t>that very hour</w:t>
      </w:r>
      <w:r>
        <w:rPr>
          <w:lang w:val="en_US" w:bidi="en_US"/>
        </w:rPr>
        <w:t xml:space="preserve"> is literally “in the same hour.” It means “at that moment/time.” In this context it indicates that the leaders wanted to arrest Jesus immediately without waiting any longer. Some other ways to translate this phrase are:</w:t>
      </w:r>
    </w:p>
    <w:p>
      <w:pPr/>
      <w:r>
        <w:rPr>
          <w:lang w:val="en_US" w:bidi="en_US"/>
        </w:rPr>
      </w:r>
      <w:r>
        <w:rPr>
          <w:lang w:val="en_US" w:bidi="en_US"/>
        </w:rPr>
        <w:t>at once (NCV)</w:t>
      </w:r>
    </w:p>
    <w:p>
      <w:pPr/>
      <w:r>
        <w:rPr>
          <w:lang w:val="en_US" w:bidi="en_US"/>
        </w:rPr>
      </w:r>
      <w:r>
        <w:rPr>
          <w:lang w:val="en_US" w:bidi="en_US"/>
        </w:rPr>
        <w:t>that very hour (NET)</w:t>
      </w:r>
    </w:p>
    <w:p>
      <w:pPr/>
      <w:r>
        <w:rPr>
          <w:lang w:val="en_US" w:bidi="en_US"/>
        </w:rPr>
      </w:r>
      <w:r>
        <w:rPr>
          <w:lang w:val="en_US" w:bidi="en_US"/>
        </w:rPr>
        <w:t>at that moment (JBP)</w:t>
      </w:r>
    </w:p>
    <w:p>
      <w:pPr/>
      <w:r>
        <w:rPr>
          <w:lang w:val="en_US" w:bidi="en_US"/>
        </w:rPr>
      </w:r>
      <w:r>
        <w:rPr>
          <w:lang w:val="en_US" w:bidi="en_US"/>
        </w:rPr>
        <w:t>In some languages there may be an idiom that expresses this meaning. For example:</w:t>
      </w:r>
    </w:p>
    <w:p>
      <w:pPr/>
      <w:r>
        <w:rPr>
          <w:lang w:val="en_US" w:bidi="en_US"/>
        </w:rPr>
      </w:r>
      <w:r>
        <w:rPr>
          <w:lang w:val="en_US" w:bidi="en_US"/>
        </w:rPr>
        <w:t>on the spot (GNT)</w:t>
      </w:r>
    </w:p>
    <w:p>
      <w:pPr>
        <w:pStyle w:val="Heading6"/>
      </w:pPr>
      <w:r>
        <w:rPr>
          <w:b/>
          <w:lang w:val="en_US" w:bidi="en_US"/>
        </w:rPr>
        <w:t>General Comment on 20:19a–c</w:t>
      </w:r>
    </w:p>
    <w:p>
      <w:pPr/>
      <w:r>
        <w:rPr>
          <w:lang w:val="en_US" w:bidi="en_US"/>
        </w:rPr>
      </w:r>
      <w:r>
        <w:rPr>
          <w:lang w:val="en_US" w:bidi="en_US"/>
        </w:rPr>
        <w:t>In some languages it may be necessary to reverse the order of these clauses. For example:</w:t>
      </w:r>
    </w:p>
    <w:p>
      <w:pPr/>
      <w:r>
        <w:rPr>
          <w:lang w:val="en_US" w:bidi="en_US"/>
        </w:rPr>
      </w:r>
      <w:r>
        <w:rPr>
          <w:vertAlign w:val="superscript"/>
          <w:lang w:val="en_US" w:bidi="en_US"/>
        </w:rPr>
        <w:t>19a</w:t>
      </w:r>
      <w:r>
        <w:rPr>
          <w:lang w:val="en_US" w:bidi="en_US"/>
        </w:rPr>
        <w:t xml:space="preserve">The scribes and the chief priests </w:t>
      </w:r>
      <w:r>
        <w:rPr>
          <w:vertAlign w:val="superscript"/>
          <w:lang w:val="en_US" w:bidi="en_US"/>
        </w:rPr>
        <w:t>19c</w:t>
      </w:r>
      <w:r>
        <w:rPr>
          <w:lang w:val="en_US" w:bidi="en_US"/>
        </w:rPr>
        <w:t xml:space="preserve">tried to arrest Jesus at once, </w:t>
      </w:r>
      <w:r>
        <w:rPr>
          <w:vertAlign w:val="superscript"/>
          <w:lang w:val="en_US" w:bidi="en_US"/>
        </w:rPr>
        <w:t>19b</w:t>
      </w:r>
      <w:r>
        <w:rPr>
          <w:lang w:val="en_US" w:bidi="en_US"/>
        </w:rPr>
        <w:t>since they knew that Jesus had spoken this parable against them.</w:t>
      </w:r>
    </w:p>
    <w:p>
      <w:pPr>
        <w:pStyle w:val="Heading5"/>
      </w:pPr>
      <w:r>
        <w:rPr>
          <w:lang w:val="en_US" w:bidi="en_US"/>
        </w:rPr>
        <w:t>20:19d</w:t>
      </w:r>
    </w:p>
    <w:p>
      <w:pPr/>
      <w:r>
        <w:rPr>
          <w:lang w:val="en_US" w:bidi="en_US"/>
        </w:rPr>
      </w:r>
      <w:r>
        <w:rPr>
          <w:b/>
          <w:lang w:val="en_US" w:bidi="en_US"/>
        </w:rPr>
        <w:t>But they were afraid of the people.</w:t>
      </w:r>
    </w:p>
    <w:p>
      <w:pPr>
        <w:pStyle w:val="ListBullet"/>
        <w:spacing w:line="240" w:lineRule="auto"/>
        <w:ind w:left="720"/>
      </w:pPr>
      <w:r>
        <w:rPr>
          <w:lang w:val="en_US" w:bidi="en_US"/>
        </w:rPr>
      </w:r>
      <w:r>
        <w:rPr>
          <w:lang w:val="en_US" w:bidi="en_US"/>
        </w:rPr>
        <w:t xml:space="preserve">But they were afraid of what the people would do </w:t>
      </w:r>
      <w:r>
        <w:rPr>
          <w:lang w:val="en_US" w:bidi="en_US"/>
        </w:rPr>
        <w:t>if they did arrest him</w:t>
      </w:r>
      <w:r>
        <w:rPr>
          <w:lang w:val="en_US" w:bidi="en_US"/>
        </w:rPr>
        <w:t>.</w:t>
      </w:r>
    </w:p>
    <w:p>
      <w:pPr>
        <w:pStyle w:val="ListBullet"/>
        <w:spacing w:line="240" w:lineRule="auto"/>
        <w:ind w:left="720"/>
      </w:pPr>
      <w:r>
        <w:rPr>
          <w:lang w:val="en_US" w:bidi="en_US"/>
        </w:rPr>
      </w:r>
      <w:r>
        <w:rPr>
          <w:lang w:val="en_US" w:bidi="en_US"/>
        </w:rPr>
        <w:t xml:space="preserve">but they </w:t>
      </w:r>
      <w:r>
        <w:rPr>
          <w:lang w:val="en_US" w:bidi="en_US"/>
        </w:rPr>
        <w:t>were not able to arrest him at that time because they</w:t>
      </w:r>
      <w:r>
        <w:rPr>
          <w:lang w:val="en_US" w:bidi="en_US"/>
        </w:rPr>
        <w:t xml:space="preserve"> feared that the people </w:t>
      </w:r>
      <w:r>
        <w:rPr>
          <w:lang w:val="en_US" w:bidi="en_US"/>
        </w:rPr>
        <w:t>might riot</w:t>
      </w:r>
      <w:r>
        <w:rPr>
          <w:lang w:val="en_US" w:bidi="en_US"/>
        </w:rPr>
        <w:t>.</w:t>
      </w:r>
    </w:p>
    <w:p>
      <w:pPr/>
      <w:r>
        <w:rPr>
          <w:lang w:val="en_US" w:bidi="en_US"/>
        </w:rPr>
      </w:r>
      <w:r>
        <w:rPr>
          <w:b/>
          <w:lang w:val="en_US" w:bidi="en_US"/>
        </w:rPr>
        <w:t>But they were afraid of the people:</w:t>
      </w:r>
      <w:r>
        <w:rPr>
          <w:lang w:val="en_US" w:bidi="en_US"/>
        </w:rPr>
        <w:t xml:space="preserve"> This clause explains why the religious leaders did not arrest Jesus immediately. They knew that the people respected Jesus. They were afraid that if they tried to arrest him, the people might attack them and cause a riot.</w:t>
      </w:r>
    </w:p>
    <w:p>
      <w:pPr/>
      <w:r>
        <w:rPr>
          <w:lang w:val="en_US" w:bidi="en_US"/>
        </w:rPr>
      </w:r>
      <w:r>
        <w:rPr>
          <w:lang w:val="en_US" w:bidi="en_US"/>
        </w:rPr>
        <w:t>In some languages it may be necessary to make explicit that the leaders did not actually arrest Jesus then. For example:</w:t>
      </w:r>
    </w:p>
    <w:p>
      <w:pPr/>
      <w:r>
        <w:rPr>
          <w:lang w:val="en_US" w:bidi="en_US"/>
        </w:rPr>
      </w:r>
      <w:r>
        <w:rPr>
          <w:lang w:val="en_US" w:bidi="en_US"/>
        </w:rPr>
        <w:t xml:space="preserve">But </w:t>
      </w:r>
      <w:r>
        <w:rPr>
          <w:lang w:val="en_US" w:bidi="en_US"/>
        </w:rPr>
        <w:t>they did not arrest him because</w:t>
      </w:r>
      <w:r>
        <w:rPr>
          <w:lang w:val="en_US" w:bidi="en_US"/>
        </w:rPr>
        <w:t xml:space="preserve"> they were afraid of the people.</w:t>
      </w:r>
    </w:p>
    <w:p>
      <w:pPr/>
      <w:r>
        <w:rPr>
          <w:lang w:val="en_US" w:bidi="en_US"/>
        </w:rPr>
      </w:r>
      <w:r>
        <w:rPr>
          <w:lang w:val="en_US" w:bidi="en_US"/>
        </w:rPr>
        <w:t xml:space="preserve">But they were afraid of </w:t>
      </w:r>
      <w:r>
        <w:rPr>
          <w:lang w:val="en_US" w:bidi="en_US"/>
        </w:rPr>
        <w:t>what</w:t>
      </w:r>
      <w:r>
        <w:rPr>
          <w:lang w:val="en_US" w:bidi="en_US"/>
        </w:rPr>
        <w:t xml:space="preserve"> the people </w:t>
      </w:r>
      <w:r>
        <w:rPr>
          <w:lang w:val="en_US" w:bidi="en_US"/>
        </w:rPr>
        <w:t>might do to them</w:t>
      </w:r>
      <w:r>
        <w:rPr>
          <w:lang w:val="en_US" w:bidi="en_US"/>
        </w:rPr>
        <w:t xml:space="preserve">, </w:t>
      </w:r>
      <w:r>
        <w:rPr>
          <w:lang w:val="en_US" w:bidi="en_US"/>
        </w:rPr>
        <w:t>so</w:t>
      </w:r>
      <w:r>
        <w:rPr>
          <w:lang w:val="en_US" w:bidi="en_US"/>
        </w:rPr>
        <w:t xml:space="preserve"> </w:t>
      </w:r>
      <w:r>
        <w:rPr>
          <w:lang w:val="en_US" w:bidi="en_US"/>
        </w:rPr>
        <w:t>they did not arrest him</w:t>
      </w:r>
      <w:r>
        <w:rPr>
          <w:lang w:val="en_US" w:bidi="en_US"/>
        </w:rPr>
        <w:t>.</w:t>
      </w:r>
      <w:r>
        <w:rPr>
          <w:lang w:val="en_US" w:bidi="en_US"/>
        </w:rPr>
      </w:r>
      <w:r>
        <w:rPr>
          <w:lang w:val="en_US" w:bidi="en_US"/>
        </w:rPr>
      </w:r>
    </w:p>
    <w:p>
      <w:pPr/>
      <w:r>
        <w:rPr>
          <w:lang w:val="en_US" w:bidi="en_US"/>
        </w:rPr>
      </w:r>
    </w:p>
    <w:p>
      <w:pPr>
        <w:pStyle w:val="Heading2"/>
      </w:pPr>
      <w:r>
        <w:rPr>
          <w:lang w:val="en_US" w:bidi="en_US"/>
        </w:rPr>
        <w:t>Luke 20:20</w:t>
      </w:r>
      <w:r>
        <w:rPr>
          <w:lang w:val="en_US" w:bidi="en_US"/>
        </w:rPr>
      </w:r>
    </w:p>
    <w:p>
      <w:pPr>
        <w:pStyle w:val="Heading4"/>
      </w:pPr>
      <w:r>
        <w:rPr>
          <w:lang w:val="en_US" w:bidi="en_US"/>
        </w:rPr>
        <w:t>Section 20:20–26: Jewish leaders tried to trap Jesus with a question about taxes</w:t>
      </w:r>
    </w:p>
    <w:p>
      <w:pPr/>
      <w:r>
        <w:rPr>
          <w:lang w:val="en_US" w:bidi="en_US"/>
        </w:rPr>
      </w:r>
      <w:r>
        <w:rPr>
          <w:lang w:val="en_US" w:bidi="en_US"/>
        </w:rPr>
        <w:t>The chief priests, the scribes, and the elders mentioned in 20:1 sent men to trick Jesus into saying something for which they could accuse him and arrest him. They wanted to cause trouble for him.</w:t>
      </w:r>
    </w:p>
    <w:p>
      <w:pPr/>
      <w:r>
        <w:rPr>
          <w:lang w:val="en_US" w:bidi="en_US"/>
        </w:rPr>
      </w:r>
      <w:r>
        <w:rPr>
          <w:lang w:val="en_US" w:bidi="en_US"/>
        </w:rPr>
        <w:t>The men asked Jesus, “Should the Jews pay taxes to the Roman Emperor Caesar or not?” The word “Caesar” was the title that the Roman people gave to their highest ruler, the emperor.</w:t>
      </w:r>
      <w:r>
        <w:rPr>
          <w:lang w:val="en_US" w:bidi="en_US"/>
        </w:rPr>
        <w:t>The Romans worshiped their emperor as a god.</w:t>
      </w:r>
      <w:r>
        <w:rPr>
          <w:lang w:val="en_US" w:bidi="en_US"/>
        </w:rPr>
        <w:t xml:space="preserve"> The Romans ruled over the Jews at that time and forced them to pay taxes.</w:t>
      </w:r>
    </w:p>
    <w:p>
      <w:pPr/>
      <w:r>
        <w:rPr>
          <w:lang w:val="en_US" w:bidi="en_US"/>
        </w:rPr>
      </w:r>
      <w:r>
        <w:rPr>
          <w:lang w:val="en_US" w:bidi="en_US"/>
        </w:rPr>
        <w:t>The men’s question was difficult because either a “yes” or a “no” answer would cause problems for Jesus. If Jesus answered, “yes, the Jews should pay taxes to the Romans,” he would make the Jews angry. If he answered “no, they should not pay,” he would make the Roman government angry. But Jesus answered wisely and avoided the trap that the Jewish leaders set for him.</w:t>
      </w:r>
    </w:p>
    <w:p>
      <w:pPr/>
      <w:r>
        <w:rPr>
          <w:lang w:val="en_US" w:bidi="en_US"/>
        </w:rPr>
      </w:r>
      <w:r>
        <w:rPr>
          <w:lang w:val="en_US" w:bidi="en_US"/>
        </w:rPr>
        <w:t>Some examples of headings for this section are:</w:t>
      </w:r>
    </w:p>
    <w:p>
      <w:pPr/>
      <w:r>
        <w:rPr>
          <w:lang w:val="en_US" w:bidi="en_US"/>
        </w:rPr>
      </w:r>
      <w:r>
        <w:rPr>
          <w:lang w:val="en_US" w:bidi="en_US"/>
        </w:rPr>
        <w:t>The Question about Paying Taxes (GNT)</w:t>
      </w:r>
    </w:p>
    <w:p>
      <w:pPr/>
      <w:r>
        <w:rPr>
          <w:lang w:val="en_US" w:bidi="en_US"/>
        </w:rPr>
      </w:r>
      <w:r>
        <w:rPr>
          <w:lang w:val="en_US" w:bidi="en_US"/>
        </w:rPr>
        <w:t>Paying Taxes to Caesar (NIV)</w:t>
      </w:r>
    </w:p>
    <w:p>
      <w:pPr/>
      <w:r>
        <w:rPr>
          <w:lang w:val="en_US" w:bidi="en_US"/>
        </w:rPr>
      </w:r>
      <w:r>
        <w:rPr>
          <w:lang w:val="en_US" w:bidi="en_US"/>
        </w:rPr>
        <w:t xml:space="preserve">Should people pay taxes to Caesar </w:t>
      </w:r>
      <w:r>
        <w:rPr>
          <w:lang w:val="en_US" w:bidi="en_US"/>
        </w:rPr>
        <w:t>or not</w:t>
      </w:r>
      <w:r>
        <w:rPr>
          <w:lang w:val="en_US" w:bidi="en_US"/>
        </w:rPr>
        <w:t>?</w:t>
      </w:r>
    </w:p>
    <w:p>
      <w:pPr/>
      <w:r>
        <w:rPr>
          <w:lang w:val="en_US" w:bidi="en_US"/>
        </w:rPr>
      </w:r>
      <w:r>
        <w:rPr>
          <w:lang w:val="en_US" w:bidi="en_US"/>
        </w:rPr>
        <w:t>There are parallel passages for this section in Matthew 22:15–22 and Mark 12:13–17.</w:t>
      </w:r>
    </w:p>
    <w:p>
      <w:pPr>
        <w:pStyle w:val="Heading5"/>
      </w:pPr>
      <w:r>
        <w:rPr>
          <w:lang w:val="en_US" w:bidi="en_US"/>
        </w:rPr>
        <w:t>20:20a</w:t>
      </w:r>
    </w:p>
    <w:p>
      <w:pPr/>
      <w:r>
        <w:rPr>
          <w:lang w:val="en_US" w:bidi="en_US"/>
        </w:rPr>
      </w:r>
      <w:r>
        <w:rPr>
          <w:b/>
          <w:lang w:val="en_US" w:bidi="en_US"/>
        </w:rPr>
        <w:t>So they watched Him closely</w:t>
      </w:r>
    </w:p>
    <w:p>
      <w:pPr>
        <w:pStyle w:val="ListBullet"/>
        <w:spacing w:line="240" w:lineRule="auto"/>
        <w:ind w:left="720"/>
      </w:pPr>
      <w:r>
        <w:rPr>
          <w:lang w:val="en_US" w:bidi="en_US"/>
        </w:rPr>
      </w:r>
      <w:r>
        <w:rPr>
          <w:lang w:val="en_US" w:bidi="en_US"/>
        </w:rPr>
        <w:t>¶ So the teachers of the law and the leaders of the priests watched Jesus closely.</w:t>
      </w:r>
    </w:p>
    <w:p>
      <w:pPr>
        <w:pStyle w:val="ListBullet"/>
        <w:spacing w:line="240" w:lineRule="auto"/>
        <w:ind w:left="720"/>
      </w:pPr>
      <w:r>
        <w:rPr>
          <w:lang w:val="en_US" w:bidi="en_US"/>
        </w:rPr>
      </w:r>
      <w:r>
        <w:rPr>
          <w:lang w:val="en_US" w:bidi="en_US"/>
        </w:rPr>
        <w:t xml:space="preserve">¶ They watched Jesus closely/carefully, </w:t>
      </w:r>
      <w:r>
        <w:rPr>
          <w:lang w:val="en_US" w:bidi="en_US"/>
        </w:rPr>
        <w:t>trying to discover an opportunity to accuse him</w:t>
      </w:r>
      <w:r>
        <w:rPr>
          <w:lang w:val="en_US" w:bidi="en_US"/>
        </w:rPr>
        <w:t>.</w:t>
      </w:r>
    </w:p>
    <w:p>
      <w:pPr/>
      <w:r>
        <w:rPr>
          <w:lang w:val="en_US" w:bidi="en_US"/>
        </w:rPr>
      </w:r>
      <w:r>
        <w:rPr>
          <w:lang w:val="en_US" w:bidi="en_US"/>
        </w:rPr>
        <w:t>This verse begins a new event. It tells what the Jewish leaders did after Jesus told his parable. They wanted to arrest him, so they continued to watch him closely, and sent people to try to trick him. Some English versions begin the new event with “Then.” Others have “So” because the event in this section is a result of what happened in the preceding section. Some versions have no conjunction here. Begin this section in a natural way in your language.</w:t>
      </w:r>
    </w:p>
    <w:p>
      <w:pPr/>
      <w:r>
        <w:rPr>
          <w:lang w:val="en_US" w:bidi="en_US"/>
        </w:rPr>
      </w:r>
      <w:r>
        <w:rPr>
          <w:b/>
          <w:lang w:val="en_US" w:bidi="en_US"/>
        </w:rPr>
        <w:t>So they watched Him closely:</w:t>
      </w:r>
      <w:r>
        <w:rPr>
          <w:lang w:val="en_US" w:bidi="en_US"/>
        </w:rPr>
        <w:t xml:space="preserve"> The Greek word that the BSB translates as </w:t>
      </w:r>
      <w:r>
        <w:rPr>
          <w:i/>
          <w:lang w:val="en_US" w:bidi="en_US"/>
        </w:rPr>
        <w:t>they watched Him closely</w:t>
      </w:r>
      <w:r>
        <w:rPr>
          <w:lang w:val="en_US" w:bidi="en_US"/>
        </w:rPr>
        <w:t xml:space="preserve"> means “having watched carefully.” The Greek text does not specify who or what the leaders were watching. There are at least two possibilities:</w:t>
      </w:r>
    </w:p>
    <w:p>
      <w:pPr>
        <w:pStyle w:val="ListNumber"/>
        <w:numPr>
          <w:ilvl w:val="0"/>
          <w:numId w:val="332"/>
        </w:numPr>
        <w:spacing w:line="240" w:lineRule="auto"/>
        <w:ind w:left="720"/>
      </w:pPr>
      <w:r>
        <w:rPr>
          <w:lang w:val="en_US" w:bidi="en_US"/>
        </w:rPr>
      </w:r>
      <w:r>
        <w:rPr>
          <w:lang w:val="en_US" w:bidi="en_US"/>
        </w:rPr>
        <w:t>They were watching Jesus. For example:</w:t>
      </w:r>
      <w:r>
        <w:rPr>
          <w:lang w:val="en_US" w:bidi="en_US"/>
        </w:rPr>
        <w:t>they watched Him (NASB)</w:t>
      </w:r>
    </w:p>
    <w:p>
      <w:pPr>
        <w:pStyle w:val="ListNumber"/>
        <w:spacing w:line="240" w:lineRule="auto"/>
        <w:ind w:left="720"/>
      </w:pPr>
      <w:r>
        <w:rPr>
          <w:lang w:val="en_US" w:bidi="en_US"/>
        </w:rPr>
      </w:r>
      <w:r>
        <w:rPr>
          <w:lang w:val="en_US" w:bidi="en_US"/>
        </w:rPr>
        <w:t>They were watching for an opportunity to trap him or arrest him. For example:</w:t>
      </w:r>
      <w:r>
        <w:rPr>
          <w:lang w:val="en_US" w:bidi="en_US"/>
        </w:rPr>
        <w:t>they looked for an opportunity (GNT)</w:t>
      </w:r>
    </w:p>
    <w:p>
      <w:pPr/>
      <w:r>
        <w:rPr>
          <w:lang w:val="en_US" w:bidi="en_US"/>
        </w:rPr>
      </w:r>
      <w:r>
        <w:rPr>
          <w:lang w:val="en_US" w:bidi="en_US"/>
        </w:rPr>
        <w:t>These two possibilities have almost the same meaning in this context, and either one is a good translation. The leaders watched Jesus and listened carefully to what he said because they wanted to accuse him of saying something wrong. Then they would have an excuse to arrest him.</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“scribes and the chief priests,” who were mentioned in 20:19a. In some languages you may be able to use a shorter phrase here. Refer back to them in a natural way in your language.</w:t>
      </w:r>
    </w:p>
    <w:p>
      <w:pPr>
        <w:pStyle w:val="Heading5"/>
      </w:pPr>
      <w:r>
        <w:rPr>
          <w:lang w:val="en_US" w:bidi="en_US"/>
        </w:rPr>
        <w:t>20:20b</w:t>
      </w:r>
    </w:p>
    <w:p>
      <w:pPr/>
      <w:r>
        <w:rPr>
          <w:lang w:val="en_US" w:bidi="en_US"/>
        </w:rPr>
      </w:r>
      <w:r>
        <w:rPr>
          <w:b/>
          <w:lang w:val="en_US" w:bidi="en_US"/>
        </w:rPr>
        <w:t>and sent spies who pretended to be sincere.</w:t>
      </w:r>
    </w:p>
    <w:p>
      <w:pPr>
        <w:pStyle w:val="ListBullet"/>
        <w:spacing w:line="240" w:lineRule="auto"/>
        <w:ind w:left="720"/>
      </w:pPr>
      <w:r>
        <w:rPr>
          <w:lang w:val="en_US" w:bidi="en_US"/>
        </w:rPr>
      </w:r>
      <w:r>
        <w:rPr>
          <w:lang w:val="en_US" w:bidi="en_US"/>
        </w:rPr>
        <w:t xml:space="preserve">They hired people as spies, and they told them to go </w:t>
      </w:r>
      <w:r>
        <w:rPr>
          <w:lang w:val="en_US" w:bidi="en_US"/>
        </w:rPr>
        <w:t>to Jesus,</w:t>
      </w:r>
      <w:r>
        <w:rPr>
          <w:lang w:val="en_US" w:bidi="en_US"/>
        </w:rPr>
        <w:t xml:space="preserve"> pretending to be righteous men.</w:t>
      </w:r>
    </w:p>
    <w:p>
      <w:pPr>
        <w:pStyle w:val="ListBullet"/>
        <w:spacing w:line="240" w:lineRule="auto"/>
        <w:ind w:left="720"/>
      </w:pPr>
      <w:r>
        <w:rPr>
          <w:lang w:val="en_US" w:bidi="en_US"/>
        </w:rPr>
      </w:r>
      <w:r>
        <w:rPr>
          <w:lang w:val="en_US" w:bidi="en_US"/>
        </w:rPr>
        <w:t xml:space="preserve">They sent some people </w:t>
      </w:r>
      <w:r>
        <w:rPr>
          <w:lang w:val="en_US" w:bidi="en_US"/>
        </w:rPr>
        <w:t>to him</w:t>
      </w:r>
      <w:r>
        <w:rPr>
          <w:lang w:val="en_US" w:bidi="en_US"/>
        </w:rPr>
        <w:t xml:space="preserve"> to act as if they honestly/truly </w:t>
      </w:r>
      <w:r>
        <w:rPr>
          <w:lang w:val="en_US" w:bidi="en_US"/>
        </w:rPr>
        <w:t>wanted his advice</w:t>
      </w:r>
      <w:r>
        <w:rPr>
          <w:lang w:val="en_US" w:bidi="en_US"/>
        </w:rPr>
        <w:t>.</w:t>
      </w:r>
    </w:p>
    <w:p>
      <w:pPr>
        <w:pStyle w:val="ListBullet"/>
        <w:spacing w:line="240" w:lineRule="auto"/>
        <w:ind w:left="720"/>
      </w:pPr>
      <w:r>
        <w:rPr>
          <w:lang w:val="en_US" w:bidi="en_US"/>
        </w:rPr>
      </w:r>
      <w:r>
        <w:rPr>
          <w:lang w:val="en_US" w:bidi="en_US"/>
        </w:rPr>
        <w:t xml:space="preserve">They paid some men to pretend to </w:t>
      </w:r>
      <w:r>
        <w:rPr>
          <w:lang w:val="en_US" w:bidi="en_US"/>
        </w:rPr>
        <w:t>ask Jesus</w:t>
      </w:r>
      <w:r>
        <w:rPr>
          <w:lang w:val="en_US" w:bidi="en_US"/>
        </w:rPr>
        <w:t xml:space="preserve"> sincere </w:t>
      </w:r>
      <w:r>
        <w:rPr>
          <w:lang w:val="en_US" w:bidi="en_US"/>
        </w:rPr>
        <w:t>questions</w:t>
      </w:r>
      <w:r>
        <w:rPr>
          <w:lang w:val="en_US" w:bidi="en_US"/>
        </w:rPr>
        <w:t>.</w:t>
      </w:r>
    </w:p>
    <w:p>
      <w:pPr/>
      <w:r>
        <w:rPr>
          <w:lang w:val="en_US" w:bidi="en_US"/>
        </w:rPr>
      </w:r>
      <w:r>
        <w:rPr>
          <w:b/>
          <w:lang w:val="en_US" w:bidi="en_US"/>
        </w:rPr>
        <w:t>sent spies:</w:t>
      </w:r>
      <w:r>
        <w:rPr>
          <w:lang w:val="en_US" w:bidi="en_US"/>
        </w:rPr>
        <w:t xml:space="preserve"> The Greek clause that the BSB translates as </w:t>
      </w:r>
      <w:r>
        <w:rPr>
          <w:i/>
          <w:lang w:val="en_US" w:bidi="en_US"/>
        </w:rPr>
        <w:t>sent spies</w:t>
      </w:r>
      <w:r>
        <w:rPr>
          <w:lang w:val="en_US" w:bidi="en_US"/>
        </w:rPr>
        <w:t xml:space="preserve"> indicates that the Jewish leaders hired men to get information from Jesus in a deceitful way. The leaders wanted to use that information to accuse him to the authorities. Some other ways to translate this are:</w:t>
      </w:r>
    </w:p>
    <w:p>
      <w:pPr/>
      <w:r>
        <w:rPr>
          <w:lang w:val="en_US" w:bidi="en_US"/>
        </w:rPr>
      </w:r>
      <w:r>
        <w:rPr>
          <w:lang w:val="en_US" w:bidi="en_US"/>
        </w:rPr>
        <w:t>they hired some men and told them to go and deceive Jesus</w:t>
      </w:r>
    </w:p>
    <w:p>
      <w:pPr/>
      <w:r>
        <w:rPr>
          <w:lang w:val="en_US" w:bidi="en_US"/>
        </w:rPr>
      </w:r>
      <w:r>
        <w:rPr>
          <w:lang w:val="en_US" w:bidi="en_US"/>
        </w:rPr>
        <w:t>They bribed some men…and they sent them to trap Jesus (GNT)</w:t>
      </w:r>
    </w:p>
    <w:p>
      <w:pPr/>
      <w:r>
        <w:rPr>
          <w:lang w:val="en_US" w:bidi="en_US"/>
        </w:rPr>
      </w:r>
      <w:r>
        <w:rPr>
          <w:lang w:val="en_US" w:bidi="en_US"/>
        </w:rPr>
        <w:t>The information about what they were sent to do is made more explicit in 20:20c.</w:t>
      </w:r>
    </w:p>
    <w:p>
      <w:pPr/>
      <w:r>
        <w:rPr>
          <w:lang w:val="en_US" w:bidi="en_US"/>
        </w:rPr>
      </w:r>
      <w:r>
        <w:rPr>
          <w:b/>
          <w:lang w:val="en_US" w:bidi="en_US"/>
        </w:rPr>
        <w:t>spies:</w:t>
      </w:r>
      <w:r>
        <w:rPr>
          <w:lang w:val="en_US" w:bidi="en_US"/>
        </w:rPr>
        <w:t xml:space="preserve"> The Greek word that the BSB translates as </w:t>
      </w:r>
      <w:r>
        <w:rPr>
          <w:i/>
          <w:lang w:val="en_US" w:bidi="en_US"/>
        </w:rPr>
        <w:t>spies</w:t>
      </w:r>
      <w:r>
        <w:rPr>
          <w:lang w:val="en_US" w:bidi="en_US"/>
        </w:rPr>
        <w:t xml:space="preserve"> refers to people who are hired to get information by using deceitful methods. In some languages a word like </w:t>
      </w:r>
      <w:r>
        <w:rPr>
          <w:i/>
          <w:lang w:val="en_US" w:bidi="en_US"/>
        </w:rPr>
        <w:t>spies</w:t>
      </w:r>
      <w:r>
        <w:rPr>
          <w:lang w:val="en_US" w:bidi="en_US"/>
        </w:rPr>
        <w:t xml:space="preserve"> may be used only in certain contexts that do not fit this situation. If that is true in your language, you may need to use a different word or a descriptive phrase. For example:</w:t>
      </w:r>
    </w:p>
    <w:p>
      <w:pPr/>
      <w:r>
        <w:rPr>
          <w:lang w:val="en_US" w:bidi="en_US"/>
        </w:rPr>
      </w:r>
      <w:r>
        <w:rPr>
          <w:lang w:val="en_US" w:bidi="en_US"/>
        </w:rPr>
        <w:t>deceivers</w:t>
      </w:r>
    </w:p>
    <w:p>
      <w:pPr/>
      <w:r>
        <w:rPr>
          <w:lang w:val="en_US" w:bidi="en_US"/>
        </w:rPr>
      </w:r>
      <w:r>
        <w:rPr>
          <w:lang w:val="en_US" w:bidi="en_US"/>
        </w:rPr>
        <w:t>people to trick/trap Jesus</w:t>
      </w:r>
    </w:p>
    <w:p>
      <w:pPr/>
      <w:r>
        <w:rPr>
          <w:lang w:val="en_US" w:bidi="en_US"/>
        </w:rPr>
      </w:r>
      <w:r>
        <w:rPr>
          <w:b/>
          <w:lang w:val="en_US" w:bidi="en_US"/>
        </w:rPr>
        <w:t>who pretended to be sincere:</w:t>
      </w:r>
      <w:r>
        <w:rPr>
          <w:lang w:val="en_US" w:bidi="en_US"/>
        </w:rPr>
        <w:t xml:space="preserve"> The clause </w:t>
      </w:r>
      <w:r>
        <w:rPr>
          <w:i/>
          <w:lang w:val="en_US" w:bidi="en_US"/>
        </w:rPr>
        <w:t>who pretended to be sincere</w:t>
      </w:r>
      <w:r>
        <w:rPr>
          <w:lang w:val="en_US" w:bidi="en_US"/>
        </w:rPr>
        <w:t xml:space="preserve"> tells the method that the leaders wanted the spies to use. The leaders wanted the spies to pretend to be honest. This clause does not imply that the leaders also hired some men who were actually honest. Other ways to translate this clause are:</w:t>
      </w:r>
    </w:p>
    <w:p>
      <w:pPr/>
      <w:r>
        <w:rPr>
          <w:lang w:val="en_US" w:bidi="en_US"/>
        </w:rPr>
      </w:r>
      <w:r>
        <w:rPr>
          <w:lang w:val="en_US" w:bidi="en_US"/>
        </w:rPr>
        <w:t>to pretend they were sincere (GNT)</w:t>
      </w:r>
    </w:p>
    <w:p>
      <w:pPr/>
      <w:r>
        <w:rPr>
          <w:lang w:val="en_US" w:bidi="en_US"/>
        </w:rPr>
      </w:r>
      <w:r>
        <w:rPr>
          <w:lang w:val="en_US" w:bidi="en_US"/>
        </w:rPr>
        <w:t>and asked/told them to pretend to be sincere</w:t>
      </w:r>
    </w:p>
    <w:p>
      <w:pPr/>
      <w:r>
        <w:rPr>
          <w:lang w:val="en_US" w:bidi="en_US"/>
        </w:rPr>
      </w:r>
      <w:r>
        <w:rPr>
          <w:lang w:val="en_US" w:bidi="en_US"/>
        </w:rPr>
        <w:t>pretending to be honest men (NLT)</w:t>
      </w:r>
    </w:p>
    <w:p>
      <w:pPr/>
      <w:r>
        <w:rPr>
          <w:lang w:val="en_US" w:bidi="en_US"/>
        </w:rPr>
      </w:r>
      <w:r>
        <w:rPr>
          <w:b/>
          <w:lang w:val="en_US" w:bidi="en_US"/>
        </w:rPr>
        <w:t>pretended to be sincere:</w:t>
      </w:r>
      <w:r>
        <w:rPr>
          <w:lang w:val="en_US" w:bidi="en_US"/>
        </w:rPr>
        <w:t xml:space="preserve"> The Greek word that the BSB translates as </w:t>
      </w:r>
      <w:r>
        <w:rPr>
          <w:i/>
          <w:lang w:val="en_US" w:bidi="en_US"/>
        </w:rPr>
        <w:t>sincere</w:t>
      </w:r>
      <w:r>
        <w:rPr>
          <w:lang w:val="en_US" w:bidi="en_US"/>
        </w:rPr>
        <w:t xml:space="preserve"> literally means “honest,” “righteous,” or “upright.” In this context it refers to being sincere, true, or genuine. The spies pretended to be sincere in wanting advice from Jesus. However, they were not sincere. They were trying to deceive him.</w:t>
      </w:r>
    </w:p>
    <w:p>
      <w:pPr>
        <w:pStyle w:val="Heading5"/>
      </w:pPr>
      <w:r>
        <w:rPr>
          <w:lang w:val="en_US" w:bidi="en_US"/>
        </w:rPr>
        <w:t>20:20c</w:t>
      </w:r>
    </w:p>
    <w:p>
      <w:pPr/>
      <w:r>
        <w:rPr>
          <w:lang w:val="en_US" w:bidi="en_US"/>
        </w:rPr>
      </w:r>
      <w:r>
        <w:rPr>
          <w:b/>
          <w:lang w:val="en_US" w:bidi="en_US"/>
        </w:rPr>
        <w:t>They were hoping to catch Him in His words</w:t>
      </w:r>
    </w:p>
    <w:p>
      <w:pPr>
        <w:pStyle w:val="ListBullet"/>
        <w:spacing w:line="240" w:lineRule="auto"/>
        <w:ind w:left="720"/>
      </w:pPr>
      <w:r>
        <w:rPr>
          <w:lang w:val="en_US" w:bidi="en_US"/>
        </w:rPr>
      </w:r>
      <w:r>
        <w:rPr>
          <w:lang w:val="en_US" w:bidi="en_US"/>
        </w:rPr>
        <w:t xml:space="preserve">They hoped that the spies would trap Jesus into saying something </w:t>
      </w:r>
      <w:r>
        <w:rPr>
          <w:lang w:val="en_US" w:bidi="en_US"/>
        </w:rPr>
        <w:t>that they could use against him</w:t>
      </w:r>
    </w:p>
    <w:p>
      <w:pPr>
        <w:pStyle w:val="ListBullet"/>
        <w:spacing w:line="240" w:lineRule="auto"/>
        <w:ind w:left="720"/>
      </w:pPr>
      <w:r>
        <w:rPr>
          <w:lang w:val="en_US" w:bidi="en_US"/>
        </w:rPr>
      </w:r>
      <w:r>
        <w:rPr>
          <w:lang w:val="en_US" w:bidi="en_US"/>
        </w:rPr>
        <w:t>The Jewish leaders</w:t>
      </w:r>
      <w:r>
        <w:rPr>
          <w:lang w:val="en_US" w:bidi="en_US"/>
        </w:rPr>
        <w:t xml:space="preserve"> wanted them to cause Jesus to say something unwise/wrong.</w:t>
      </w:r>
    </w:p>
    <w:p>
      <w:pPr/>
      <w:r>
        <w:rPr>
          <w:lang w:val="en_US" w:bidi="en_US"/>
        </w:rPr>
      </w:r>
      <w:r>
        <w:rPr>
          <w:b/>
          <w:lang w:val="en_US" w:bidi="en_US"/>
        </w:rPr>
        <w:t>They were hoping to catch Him in His words:</w:t>
      </w:r>
      <w:r>
        <w:rPr>
          <w:lang w:val="en_US" w:bidi="en_US"/>
        </w:rPr>
        <w:t xml:space="preserve"> This clause tells the purpose that the Jewish leaders had for sending the spies to Jesus. They wanted to cause Jesus to say something that they could use as a reason to arrest him. Some other ways to say this are:</w:t>
      </w:r>
    </w:p>
    <w:p>
      <w:pPr/>
      <w:r>
        <w:rPr>
          <w:lang w:val="en_US" w:bidi="en_US"/>
        </w:rPr>
      </w:r>
      <w:r>
        <w:rPr>
          <w:lang w:val="en_US" w:bidi="en_US"/>
        </w:rPr>
        <w:t>in order to trap him by what he said (NRSV)</w:t>
      </w:r>
    </w:p>
    <w:p>
      <w:pPr/>
      <w:r>
        <w:rPr>
          <w:lang w:val="en_US" w:bidi="en_US"/>
        </w:rPr>
      </w:r>
      <w:r>
        <w:rPr>
          <w:lang w:val="en_US" w:bidi="en_US"/>
        </w:rPr>
        <w:t>They tried to get Jesus to say something that could be reported (NLT)</w:t>
      </w:r>
    </w:p>
    <w:p>
      <w:pPr/>
      <w:r>
        <w:rPr>
          <w:lang w:val="en_US" w:bidi="en_US"/>
        </w:rPr>
      </w:r>
      <w:r>
        <w:rPr>
          <w:lang w:val="en_US" w:bidi="en_US"/>
        </w:rPr>
        <w:t>The Greek text continues the same sentence from 20:20b. If you begin a new sentence here, as the BSB does, you may need to specify who hoped to catch Jesus. The leaders were the ones who hoped to catch him, and they were using the spies to help them. In some languages it may be necessary to make this clear. For example:</w:t>
      </w:r>
    </w:p>
    <w:p>
      <w:pPr/>
      <w:r>
        <w:rPr>
          <w:lang w:val="en_US" w:bidi="en_US"/>
        </w:rPr>
      </w:r>
      <w:r>
        <w:rPr>
          <w:lang w:val="en_US" w:bidi="en_US"/>
        </w:rPr>
        <w:t xml:space="preserve">The religious leaders </w:t>
      </w:r>
      <w:r>
        <w:rPr>
          <w:lang w:val="en_US" w:bidi="en_US"/>
        </w:rPr>
        <w:t>told the spies</w:t>
      </w:r>
      <w:r>
        <w:rPr>
          <w:lang w:val="en_US" w:bidi="en_US"/>
        </w:rPr>
        <w:t xml:space="preserve"> to catch/trap Jesus in something he said.</w:t>
      </w:r>
    </w:p>
    <w:p>
      <w:pPr>
        <w:pStyle w:val="Heading5"/>
      </w:pPr>
      <w:r>
        <w:rPr>
          <w:lang w:val="en_US" w:bidi="en_US"/>
        </w:rPr>
        <w:t>20:20d</w:t>
      </w:r>
    </w:p>
    <w:p>
      <w:pPr/>
      <w:r>
        <w:rPr>
          <w:lang w:val="en_US" w:bidi="en_US"/>
        </w:rPr>
      </w:r>
      <w:r>
        <w:rPr>
          <w:b/>
          <w:lang w:val="en_US" w:bidi="en_US"/>
        </w:rPr>
        <w:t>in order to hand Him over to the rule and authority of the governor.</w:t>
      </w:r>
    </w:p>
    <w:p>
      <w:pPr>
        <w:pStyle w:val="ListBullet"/>
        <w:spacing w:line="240" w:lineRule="auto"/>
        <w:ind w:left="720"/>
      </w:pPr>
      <w:r>
        <w:rPr>
          <w:lang w:val="en_US" w:bidi="en_US"/>
        </w:rPr>
      </w:r>
      <w:r>
        <w:rPr>
          <w:lang w:val="en_US" w:bidi="en_US"/>
        </w:rPr>
        <w:t xml:space="preserve">so that they could deliver him to the power/authority of the </w:t>
      </w:r>
      <w:r>
        <w:rPr>
          <w:lang w:val="en_US" w:bidi="en_US"/>
        </w:rPr>
        <w:t>Roman</w:t>
      </w:r>
      <w:r>
        <w:rPr>
          <w:lang w:val="en_US" w:bidi="en_US"/>
        </w:rPr>
        <w:t xml:space="preserve"> governor.</w:t>
      </w:r>
    </w:p>
    <w:p>
      <w:pPr>
        <w:pStyle w:val="ListBullet"/>
        <w:spacing w:line="240" w:lineRule="auto"/>
        <w:ind w:left="720"/>
      </w:pPr>
      <w:r>
        <w:rPr>
          <w:lang w:val="en_US" w:bidi="en_US"/>
        </w:rPr>
      </w:r>
      <w:r>
        <w:rPr>
          <w:lang w:val="en_US" w:bidi="en_US"/>
        </w:rPr>
        <w:t xml:space="preserve">Then they would be able to report this to the ruler of the province, so that the ruler would </w:t>
      </w:r>
      <w:r>
        <w:rPr>
          <w:lang w:val="en_US" w:bidi="en_US"/>
        </w:rPr>
        <w:t>send soldiers and</w:t>
      </w:r>
      <w:r>
        <w:rPr>
          <w:lang w:val="en_US" w:bidi="en_US"/>
        </w:rPr>
        <w:t xml:space="preserve"> arrest him.</w:t>
      </w:r>
    </w:p>
    <w:p>
      <w:pPr>
        <w:pStyle w:val="ListBullet"/>
        <w:spacing w:line="240" w:lineRule="auto"/>
        <w:ind w:left="720"/>
      </w:pPr>
      <w:r>
        <w:rPr>
          <w:lang w:val="en_US" w:bidi="en_US"/>
        </w:rPr>
      </w:r>
      <w:r>
        <w:rPr>
          <w:lang w:val="en_US" w:bidi="en_US"/>
        </w:rPr>
        <w:t xml:space="preserve">Then they would </w:t>
      </w:r>
      <w:r>
        <w:rPr>
          <w:lang w:val="en_US" w:bidi="en_US"/>
        </w:rPr>
        <w:t>have a reason for</w:t>
      </w:r>
      <w:r>
        <w:rPr>
          <w:lang w:val="en_US" w:bidi="en_US"/>
        </w:rPr>
        <w:t xml:space="preserve"> asking the governor to have him </w:t>
      </w:r>
      <w:r>
        <w:rPr>
          <w:lang w:val="en_US" w:bidi="en_US"/>
        </w:rPr>
        <w:t>arrested/punished</w:t>
      </w:r>
      <w:r>
        <w:rPr>
          <w:lang w:val="en_US" w:bidi="en_US"/>
        </w:rPr>
        <w:t>.</w:t>
      </w:r>
    </w:p>
    <w:p>
      <w:pPr/>
      <w:r>
        <w:rPr>
          <w:lang w:val="en_US" w:bidi="en_US"/>
        </w:rPr>
      </w:r>
      <w:r>
        <w:rPr>
          <w:b/>
          <w:lang w:val="en_US" w:bidi="en_US"/>
        </w:rPr>
        <w:t>in order to hand Him over to the rule and authority of the governor:</w:t>
      </w:r>
      <w:r>
        <w:rPr>
          <w:lang w:val="en_US" w:bidi="en_US"/>
        </w:rPr>
        <w:t xml:space="preserve"> This clause is another purpose clause. It tells the leaders’ purpose for tricking Jesus into saying something that would trouble the authorities (20:20c). They intended to use what he said to persuade the governor to arrest him and punish him. In some languages it may be necessary to make this purpose more explicit. For example:</w:t>
      </w:r>
    </w:p>
    <w:p>
      <w:pPr/>
      <w:r>
        <w:rPr>
          <w:lang w:val="en_US" w:bidi="en_US"/>
        </w:rPr>
      </w:r>
      <w:r>
        <w:rPr>
          <w:lang w:val="en_US" w:bidi="en_US"/>
        </w:rPr>
        <w:t xml:space="preserve">so that they might accuse him to the governor, and the governor would use his power and authority </w:t>
      </w:r>
      <w:r>
        <w:rPr>
          <w:lang w:val="en_US" w:bidi="en_US"/>
        </w:rPr>
        <w:t>to arrest/punish him</w:t>
      </w:r>
    </w:p>
    <w:p>
      <w:pPr/>
      <w:r>
        <w:rPr>
          <w:lang w:val="en_US" w:bidi="en_US"/>
        </w:rPr>
      </w:r>
      <w:r>
        <w:rPr>
          <w:b/>
          <w:lang w:val="en_US" w:bidi="en_US"/>
        </w:rPr>
        <w:t>the rule and authority of the governor:</w:t>
      </w:r>
      <w:r>
        <w:rPr>
          <w:lang w:val="en_US" w:bidi="en_US"/>
        </w:rPr>
        <w:t xml:space="preserve"> The Greek words that the BSB translates as </w:t>
      </w:r>
      <w:r>
        <w:rPr>
          <w:i/>
          <w:lang w:val="en_US" w:bidi="en_US"/>
        </w:rPr>
        <w:t>rule</w:t>
      </w:r>
      <w:r>
        <w:rPr>
          <w:lang w:val="en_US" w:bidi="en_US"/>
        </w:rPr>
        <w:t xml:space="preserve"> and </w:t>
      </w:r>
      <w:r>
        <w:rPr>
          <w:i/>
          <w:lang w:val="en_US" w:bidi="en_US"/>
        </w:rPr>
        <w:t>authority</w:t>
      </w:r>
      <w:r>
        <w:rPr>
          <w:lang w:val="en_US" w:bidi="en_US"/>
        </w:rPr>
        <w:t xml:space="preserve"> have almost the same meaning. The governor had the right to force people to obey the laws. In some languages it may be more natural to express the meaning with only one word or phrase. For example:</w:t>
      </w:r>
    </w:p>
    <w:p>
      <w:pPr/>
      <w:r>
        <w:rPr>
          <w:lang w:val="en_US" w:bidi="en_US"/>
        </w:rPr>
      </w:r>
      <w:r>
        <w:rPr>
          <w:lang w:val="en_US" w:bidi="en_US"/>
        </w:rPr>
        <w:t>the authority of the governor</w:t>
      </w:r>
    </w:p>
    <w:p>
      <w:pPr/>
      <w:r>
        <w:rPr>
          <w:lang w:val="en_US" w:bidi="en_US"/>
        </w:rPr>
      </w:r>
      <w:r>
        <w:rPr>
          <w:lang w:val="en_US" w:bidi="en_US"/>
        </w:rPr>
        <w:t>to the governor for judgment</w:t>
      </w:r>
    </w:p>
    <w:p>
      <w:pPr/>
      <w:r>
        <w:rPr>
          <w:lang w:val="en_US" w:bidi="en_US"/>
        </w:rPr>
      </w:r>
      <w:r>
        <w:rPr>
          <w:lang w:val="en_US" w:bidi="en_US"/>
        </w:rPr>
        <w:t xml:space="preserve">In some languages the term </w:t>
      </w:r>
      <w:r>
        <w:rPr>
          <w:i/>
          <w:lang w:val="en_US" w:bidi="en_US"/>
        </w:rPr>
        <w:t>governor</w:t>
      </w:r>
      <w:r>
        <w:rPr>
          <w:lang w:val="en_US" w:bidi="en_US"/>
        </w:rPr>
        <w:t xml:space="preserve"> already indicates that the governor has </w:t>
      </w:r>
      <w:r>
        <w:rPr>
          <w:i/>
          <w:lang w:val="en_US" w:bidi="en_US"/>
        </w:rPr>
        <w:t>rule</w:t>
      </w:r>
      <w:r>
        <w:rPr>
          <w:lang w:val="en_US" w:bidi="en_US"/>
        </w:rPr>
        <w:t xml:space="preserve"> and </w:t>
      </w:r>
      <w:r>
        <w:rPr>
          <w:i/>
          <w:lang w:val="en_US" w:bidi="en_US"/>
        </w:rPr>
        <w:t>authority</w:t>
      </w:r>
      <w:r>
        <w:rPr>
          <w:lang w:val="en_US" w:bidi="en_US"/>
        </w:rPr>
        <w:t>. If that is true in your language, you may be able to leave these ideas implied. For example:</w:t>
      </w:r>
    </w:p>
    <w:p>
      <w:pPr/>
      <w:r>
        <w:rPr>
          <w:lang w:val="en_US" w:bidi="en_US"/>
        </w:rPr>
      </w:r>
      <w:r>
        <w:rPr>
          <w:lang w:val="en_US" w:bidi="en_US"/>
        </w:rPr>
        <w:t>hand him over to the Roman governor (CEV)</w:t>
      </w:r>
    </w:p>
    <w:p>
      <w:pPr/>
      <w:r>
        <w:rPr>
          <w:lang w:val="en_US" w:bidi="en_US"/>
        </w:rPr>
      </w:r>
      <w:r>
        <w:rPr>
          <w:b/>
          <w:lang w:val="en_US" w:bidi="en_US"/>
        </w:rPr>
        <w:t>governor:</w:t>
      </w:r>
      <w:r>
        <w:rPr>
          <w:lang w:val="en_US" w:bidi="en_US"/>
        </w:rPr>
        <w:t xml:space="preserve"> The Greek word that the BSB translates as </w:t>
      </w:r>
      <w:r>
        <w:rPr>
          <w:i/>
          <w:lang w:val="en_US" w:bidi="en_US"/>
        </w:rPr>
        <w:t>governor</w:t>
      </w:r>
      <w:r>
        <w:rPr>
          <w:lang w:val="en_US" w:bidi="en_US"/>
        </w:rPr>
        <w:t xml:space="preserve"> is a general word that means “local ruler” or “leader.”</w:t>
      </w:r>
      <w:r>
        <w:rPr>
          <w:lang w:val="en_US" w:bidi="en_US"/>
        </w:rPr>
        <w:t>See BDAG, p. 433.</w:t>
      </w:r>
      <w:r>
        <w:rPr>
          <w:lang w:val="en_US" w:bidi="en_US"/>
        </w:rPr>
        <w:t xml:space="preserve"> Here it refers to the ruler of the province of Judea, who was Pontius Pilate. He ruled under the authority of the emperor. Use an appropriate word in your language.</w:t>
      </w:r>
      <w:r>
        <w:rPr>
          <w:lang w:val="en_US" w:bidi="en_US"/>
        </w:rPr>
      </w:r>
      <w:r>
        <w:rPr>
          <w:lang w:val="en_US" w:bidi="en_US"/>
        </w:rPr>
      </w:r>
    </w:p>
    <w:p>
      <w:pPr/>
      <w:r>
        <w:rPr>
          <w:lang w:val="en_US" w:bidi="en_US"/>
        </w:rPr>
      </w:r>
    </w:p>
    <w:p>
      <w:pPr>
        <w:pStyle w:val="Heading2"/>
      </w:pPr>
      <w:r>
        <w:rPr>
          <w:lang w:val="en_US" w:bidi="en_US"/>
        </w:rPr>
        <w:t>Luke 20:21</w:t>
      </w:r>
      <w:r>
        <w:rPr>
          <w:lang w:val="en_US" w:bidi="en_US"/>
        </w:rPr>
      </w:r>
    </w:p>
    <w:p>
      <w:pPr>
        <w:pStyle w:val="Heading4"/>
      </w:pPr>
      <w:r>
        <w:rPr>
          <w:lang w:val="en_US" w:bidi="en_US"/>
        </w:rPr>
        <w:t>Section 20:20–26: Jewish leaders tried to trap Jesus with a question about taxes</w:t>
      </w:r>
    </w:p>
    <w:p>
      <w:pPr/>
      <w:r>
        <w:rPr>
          <w:lang w:val="en_US" w:bidi="en_US"/>
        </w:rPr>
      </w:r>
      <w:r>
        <w:rPr>
          <w:lang w:val="en_US" w:bidi="en_US"/>
        </w:rPr>
        <w:t>The chief priests, the scribes, and the elders mentioned in 20:1 sent men to trick Jesus into saying something for which they could accuse him and arrest him. They wanted to cause trouble for him.</w:t>
      </w:r>
    </w:p>
    <w:p>
      <w:pPr/>
      <w:r>
        <w:rPr>
          <w:lang w:val="en_US" w:bidi="en_US"/>
        </w:rPr>
      </w:r>
      <w:r>
        <w:rPr>
          <w:lang w:val="en_US" w:bidi="en_US"/>
        </w:rPr>
        <w:t>The men asked Jesus, “Should the Jews pay taxes to the Roman Emperor Caesar or not?” The word “Caesar” was the title that the Roman people gave to their highest ruler, the emperor.</w:t>
      </w:r>
      <w:r>
        <w:rPr>
          <w:lang w:val="en_US" w:bidi="en_US"/>
        </w:rPr>
        <w:t>The Romans worshiped their emperor as a god.</w:t>
      </w:r>
      <w:r>
        <w:rPr>
          <w:lang w:val="en_US" w:bidi="en_US"/>
        </w:rPr>
        <w:t xml:space="preserve"> The Romans ruled over the Jews at that time and forced them to pay taxes.</w:t>
      </w:r>
    </w:p>
    <w:p>
      <w:pPr/>
      <w:r>
        <w:rPr>
          <w:lang w:val="en_US" w:bidi="en_US"/>
        </w:rPr>
      </w:r>
      <w:r>
        <w:rPr>
          <w:lang w:val="en_US" w:bidi="en_US"/>
        </w:rPr>
        <w:t>The men’s question was difficult because either a “yes” or a “no” answer would cause problems for Jesus. If Jesus answered, “yes, the Jews should pay taxes to the Romans,” he would make the Jews angry. If he answered “no, they should not pay,” he would make the Roman government angry. But Jesus answered wisely and avoided the trap that the Jewish leaders set for him.</w:t>
      </w:r>
    </w:p>
    <w:p>
      <w:pPr/>
      <w:r>
        <w:rPr>
          <w:lang w:val="en_US" w:bidi="en_US"/>
        </w:rPr>
      </w:r>
      <w:r>
        <w:rPr>
          <w:lang w:val="en_US" w:bidi="en_US"/>
        </w:rPr>
        <w:t>Some examples of headings for this section are:</w:t>
      </w:r>
    </w:p>
    <w:p>
      <w:pPr/>
      <w:r>
        <w:rPr>
          <w:lang w:val="en_US" w:bidi="en_US"/>
        </w:rPr>
      </w:r>
      <w:r>
        <w:rPr>
          <w:lang w:val="en_US" w:bidi="en_US"/>
        </w:rPr>
        <w:t>The Question about Paying Taxes (GNT)</w:t>
      </w:r>
    </w:p>
    <w:p>
      <w:pPr/>
      <w:r>
        <w:rPr>
          <w:lang w:val="en_US" w:bidi="en_US"/>
        </w:rPr>
      </w:r>
      <w:r>
        <w:rPr>
          <w:lang w:val="en_US" w:bidi="en_US"/>
        </w:rPr>
        <w:t>Paying Taxes to Caesar (NIV)</w:t>
      </w:r>
    </w:p>
    <w:p>
      <w:pPr/>
      <w:r>
        <w:rPr>
          <w:lang w:val="en_US" w:bidi="en_US"/>
        </w:rPr>
      </w:r>
      <w:r>
        <w:rPr>
          <w:lang w:val="en_US" w:bidi="en_US"/>
        </w:rPr>
        <w:t xml:space="preserve">Should people pay taxes to Caesar </w:t>
      </w:r>
      <w:r>
        <w:rPr>
          <w:lang w:val="en_US" w:bidi="en_US"/>
        </w:rPr>
        <w:t>or not</w:t>
      </w:r>
      <w:r>
        <w:rPr>
          <w:lang w:val="en_US" w:bidi="en_US"/>
        </w:rPr>
        <w:t>?</w:t>
      </w:r>
    </w:p>
    <w:p>
      <w:pPr/>
      <w:r>
        <w:rPr>
          <w:lang w:val="en_US" w:bidi="en_US"/>
        </w:rPr>
      </w:r>
      <w:r>
        <w:rPr>
          <w:lang w:val="en_US" w:bidi="en_US"/>
        </w:rPr>
        <w:t>There are parallel passages for this section in Matthew 22:15–22 and Mark 12:13–17.</w:t>
      </w:r>
    </w:p>
    <w:p>
      <w:pPr>
        <w:pStyle w:val="Heading5"/>
      </w:pPr>
      <w:r>
        <w:rPr>
          <w:lang w:val="en_US" w:bidi="en_US"/>
        </w:rPr>
        <w:t>20:21a</w:t>
      </w:r>
    </w:p>
    <w:p>
      <w:pPr/>
      <w:r>
        <w:rPr>
          <w:lang w:val="en_US" w:bidi="en_US"/>
        </w:rPr>
      </w:r>
      <w:r>
        <w:rPr>
          <w:b/>
          <w:lang w:val="en_US" w:bidi="en_US"/>
        </w:rPr>
        <w:t>“Teacher,” they inquired,</w:t>
      </w:r>
    </w:p>
    <w:p>
      <w:pPr>
        <w:pStyle w:val="ListBullet"/>
        <w:spacing w:line="240" w:lineRule="auto"/>
        <w:ind w:left="720"/>
      </w:pPr>
      <w:r>
        <w:rPr>
          <w:lang w:val="en_US" w:bidi="en_US"/>
        </w:rPr>
      </w:r>
      <w:r>
        <w:rPr>
          <w:lang w:val="en_US" w:bidi="en_US"/>
        </w:rPr>
        <w:t>So those spies began to question Jesus, saying,</w:t>
      </w:r>
    </w:p>
    <w:p>
      <w:pPr>
        <w:pStyle w:val="ListBullet"/>
        <w:spacing w:line="240" w:lineRule="auto"/>
        <w:ind w:left="720"/>
      </w:pPr>
      <w:r>
        <w:rPr>
          <w:lang w:val="en_US" w:bidi="en_US"/>
        </w:rPr>
      </w:r>
      <w:r>
        <w:rPr>
          <w:lang w:val="en_US" w:bidi="en_US"/>
        </w:rPr>
        <w:t>Then those men/people went to Jesus and said to him,</w:t>
      </w:r>
    </w:p>
    <w:p>
      <w:pPr/>
      <w:r>
        <w:rPr>
          <w:lang w:val="en_US" w:bidi="en_US"/>
        </w:rPr>
      </w:r>
      <w:r>
        <w:rPr>
          <w:lang w:val="en_US" w:bidi="en_US"/>
        </w:rPr>
        <w:t>In Greek, 20:21a begins with conjunction that is often translated as “and.” The NIV translates this word as “So.” It introduces the result of the plans that the Jewish leaders made: The spies asked Jesus a question. Many English versions, such as the BSB, do not have a conjunction here. In some languages it may be natural to introduce the verse with a phrase or clause. For example:</w:t>
      </w:r>
    </w:p>
    <w:p>
      <w:pPr/>
      <w:r>
        <w:rPr>
          <w:lang w:val="en_US" w:bidi="en_US"/>
        </w:rPr>
      </w:r>
      <w:r>
        <w:rPr>
          <w:lang w:val="en_US" w:bidi="en_US"/>
        </w:rPr>
        <w:t>When the spies came to Jesus, they…</w:t>
      </w:r>
    </w:p>
    <w:p>
      <w:pPr/>
      <w:r>
        <w:rPr>
          <w:lang w:val="en_US" w:bidi="en_US"/>
        </w:rPr>
      </w:r>
      <w:r>
        <w:rPr>
          <w:lang w:val="en_US" w:bidi="en_US"/>
        </w:rPr>
        <w:t>Having come to Jesus, the spies…</w:t>
      </w:r>
    </w:p>
    <w:p>
      <w:pPr/>
      <w:r>
        <w:rPr>
          <w:lang w:val="en_US" w:bidi="en_US"/>
        </w:rPr>
      </w:r>
      <w:r>
        <w:rPr>
          <w:lang w:val="en_US" w:bidi="en_US"/>
        </w:rPr>
        <w:t>Then the spies went to Jesus, and…</w:t>
      </w:r>
    </w:p>
    <w:p>
      <w:pPr/>
      <w:r>
        <w:rPr>
          <w:lang w:val="en_US" w:bidi="en_US"/>
        </w:rPr>
      </w:r>
      <w:r>
        <w:rPr>
          <w:lang w:val="en_US" w:bidi="en_US"/>
        </w:rPr>
        <w:t>Introduce this verse in a natural way in your language.</w:t>
      </w:r>
    </w:p>
    <w:p>
      <w:pPr/>
      <w:r>
        <w:rPr>
          <w:lang w:val="en_US" w:bidi="en_US"/>
        </w:rPr>
      </w:r>
      <w:r>
        <w:rPr>
          <w:b/>
          <w:lang w:val="en_US" w:bidi="en_US"/>
        </w:rPr>
        <w:t>“Teacher,” they inquired:</w:t>
      </w:r>
      <w:r>
        <w:rPr>
          <w:lang w:val="en_US" w:bidi="en_US"/>
        </w:rPr>
        <w:t xml:space="preserve"> The Greek verb that the BSB translates as </w:t>
      </w:r>
      <w:r>
        <w:rPr>
          <w:i/>
          <w:lang w:val="en_US" w:bidi="en_US"/>
        </w:rPr>
        <w:t>they inquired</w:t>
      </w:r>
      <w:r>
        <w:rPr>
          <w:lang w:val="en_US" w:bidi="en_US"/>
        </w:rPr>
        <w:t xml:space="preserve"> means “to ask” or “to question.” The BSB places these words in the middle of what the spies said. In some languages, it may be necessary to put these words at the beginning of 20:21a. For example:</w:t>
      </w:r>
    </w:p>
    <w:p>
      <w:pPr/>
      <w:r>
        <w:rPr>
          <w:lang w:val="en_US" w:bidi="en_US"/>
        </w:rPr>
      </w:r>
      <w:r>
        <w:rPr>
          <w:lang w:val="en_US" w:bidi="en_US"/>
        </w:rPr>
        <w:t>So the spies questioned him, “Teacher…” (NIV)</w:t>
      </w:r>
    </w:p>
    <w:p>
      <w:pPr/>
      <w:r>
        <w:rPr>
          <w:lang w:val="en_US" w:bidi="en_US"/>
        </w:rPr>
      </w:r>
      <w:r>
        <w:rPr>
          <w:b/>
          <w:lang w:val="en_US" w:bidi="en_US"/>
        </w:rPr>
        <w:t>Teacher:</w:t>
      </w:r>
      <w:r>
        <w:rPr>
          <w:lang w:val="en_US" w:bidi="en_US"/>
        </w:rPr>
        <w:t xml:space="preserve"> The word </w:t>
      </w:r>
      <w:r>
        <w:rPr>
          <w:i/>
          <w:lang w:val="en_US" w:bidi="en_US"/>
        </w:rPr>
        <w:t>Teacher</w:t>
      </w:r>
      <w:r>
        <w:rPr>
          <w:lang w:val="en_US" w:bidi="en_US"/>
        </w:rPr>
        <w:t xml:space="preserve"> was a polite title for a Jewish religious leader. It was a title of respect for a Jewish man who had authority to teach other people things about God and his commands. In some languages the appropriate way to address a religious teacher may be:</w:t>
      </w:r>
    </w:p>
    <w:p>
      <w:pPr/>
      <w:r>
        <w:rPr>
          <w:lang w:val="en_US" w:bidi="en_US"/>
        </w:rPr>
      </w:r>
      <w:r>
        <w:rPr>
          <w:lang w:val="en_US" w:bidi="en_US"/>
        </w:rPr>
        <w:t>Honored Teacher</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lang w:val="en_US" w:bidi="en_US"/>
        </w:rPr>
        <w:t>The term does not refer to a person who taught children in school.</w:t>
      </w:r>
    </w:p>
    <w:p>
      <w:pPr/>
      <w:r>
        <w:rPr>
          <w:lang w:val="en_US" w:bidi="en_US"/>
        </w:rPr>
      </w:r>
      <w:r>
        <w:rPr>
          <w:b/>
          <w:lang w:val="en_US" w:bidi="en_US"/>
        </w:rPr>
        <w:t>they inquired:</w:t>
      </w:r>
      <w:r>
        <w:rPr>
          <w:lang w:val="en_US" w:bidi="en_US"/>
        </w:rPr>
        <w:t xml:space="preserve"> The Greek word that the BSB translates as </w:t>
      </w:r>
      <w:r>
        <w:rPr>
          <w:i/>
          <w:lang w:val="en_US" w:bidi="en_US"/>
        </w:rPr>
        <w:t>inquired</w:t>
      </w:r>
      <w:r>
        <w:rPr>
          <w:lang w:val="en_US" w:bidi="en_US"/>
        </w:rPr>
        <w:t xml:space="preserve"> is literally “questioned.” In some languages, it may be necessary to make the subject of this verb explicit, since the subject of 20:20 was the Jewish leaders. For example:</w:t>
      </w:r>
    </w:p>
    <w:p>
      <w:pPr/>
      <w:r>
        <w:rPr>
          <w:lang w:val="en_US" w:bidi="en_US"/>
        </w:rPr>
      </w:r>
      <w:r>
        <w:rPr>
          <w:lang w:val="en_US" w:bidi="en_US"/>
        </w:rPr>
        <w:t>the spies questioned him (NIV)</w:t>
      </w:r>
    </w:p>
    <w:p>
      <w:pPr/>
      <w:r>
        <w:rPr>
          <w:lang w:val="en_US" w:bidi="en_US"/>
        </w:rPr>
      </w:r>
      <w:r>
        <w:rPr>
          <w:lang w:val="en_US" w:bidi="en_US"/>
        </w:rPr>
        <w:t xml:space="preserve">The spies did not question Jesus until 20:22. First, they praised Jesus in a long statement. In some languages it may be more natural to translate </w:t>
      </w:r>
      <w:r>
        <w:rPr>
          <w:i/>
          <w:lang w:val="en_US" w:bidi="en_US"/>
        </w:rPr>
        <w:t>inquired</w:t>
      </w:r>
      <w:r>
        <w:rPr>
          <w:lang w:val="en_US" w:bidi="en_US"/>
        </w:rPr>
        <w:t xml:space="preserve"> as “said” here. If you do this, you may introduce the actual question in 20:22 with a phrase like “then they asked him.”</w:t>
      </w:r>
    </w:p>
    <w:p>
      <w:pPr>
        <w:pStyle w:val="Heading5"/>
      </w:pPr>
      <w:r>
        <w:rPr>
          <w:lang w:val="en_US" w:bidi="en_US"/>
        </w:rPr>
        <w:t>20:21b</w:t>
      </w:r>
    </w:p>
    <w:p>
      <w:pPr/>
      <w:r>
        <w:rPr>
          <w:lang w:val="en_US" w:bidi="en_US"/>
        </w:rPr>
      </w:r>
      <w:r>
        <w:rPr>
          <w:b/>
          <w:lang w:val="en_US" w:bidi="en_US"/>
        </w:rPr>
        <w:t>“we know that You speak and teach correctly.</w:t>
      </w:r>
    </w:p>
    <w:p>
      <w:pPr>
        <w:pStyle w:val="ListBullet"/>
        <w:spacing w:line="240" w:lineRule="auto"/>
        <w:ind w:left="720"/>
      </w:pPr>
      <w:r>
        <w:rPr>
          <w:lang w:val="en_US" w:bidi="en_US"/>
        </w:rPr>
      </w:r>
      <w:r>
        <w:rPr>
          <w:lang w:val="en_US" w:bidi="en_US"/>
        </w:rPr>
        <w:t>“Teacher, we</w:t>
      </w:r>
      <w:r>
        <w:rPr>
          <w:vertAlign w:val="superscript"/>
          <w:lang w:val="en_US" w:bidi="en_US"/>
        </w:rPr>
        <w:t>(excl)</w:t>
      </w:r>
      <w:r>
        <w:rPr>
          <w:lang w:val="en_US" w:bidi="en_US"/>
        </w:rPr>
        <w:t xml:space="preserve"> know that you</w:t>
      </w:r>
      <w:r>
        <w:rPr>
          <w:vertAlign w:val="superscript"/>
          <w:lang w:val="en_US" w:bidi="en_US"/>
        </w:rPr>
        <w:t>(sing)</w:t>
      </w:r>
      <w:r>
        <w:rPr>
          <w:lang w:val="en_US" w:bidi="en_US"/>
        </w:rPr>
        <w:t xml:space="preserve"> speak and teach accurately/correctly,</w:t>
      </w:r>
    </w:p>
    <w:p>
      <w:pPr>
        <w:pStyle w:val="ListBullet"/>
        <w:spacing w:line="240" w:lineRule="auto"/>
        <w:ind w:left="720"/>
      </w:pPr>
      <w:r>
        <w:rPr>
          <w:lang w:val="en_US" w:bidi="en_US"/>
        </w:rPr>
      </w:r>
      <w:r>
        <w:rPr>
          <w:lang w:val="en_US" w:bidi="en_US"/>
        </w:rPr>
        <w:t>“Teacher, we</w:t>
      </w:r>
      <w:r>
        <w:rPr>
          <w:vertAlign w:val="superscript"/>
          <w:lang w:val="en_US" w:bidi="en_US"/>
        </w:rPr>
        <w:t>(excl)</w:t>
      </w:r>
      <w:r>
        <w:rPr>
          <w:lang w:val="en_US" w:bidi="en_US"/>
        </w:rPr>
        <w:t xml:space="preserve"> know that your</w:t>
      </w:r>
      <w:r>
        <w:rPr>
          <w:vertAlign w:val="superscript"/>
          <w:lang w:val="en_US" w:bidi="en_US"/>
        </w:rPr>
        <w:t>(sing)</w:t>
      </w:r>
      <w:r>
        <w:rPr>
          <w:lang w:val="en_US" w:bidi="en_US"/>
        </w:rPr>
        <w:t xml:space="preserve"> teaching is right,</w:t>
      </w:r>
    </w:p>
    <w:p>
      <w:pPr/>
      <w:r>
        <w:rPr>
          <w:lang w:val="en_US" w:bidi="en_US"/>
        </w:rPr>
      </w:r>
      <w:r>
        <w:rPr>
          <w:b/>
          <w:lang w:val="en_US" w:bidi="en_US"/>
        </w:rPr>
        <w:t>we know that You speak and teach correctly:</w:t>
      </w:r>
      <w:r>
        <w:rPr>
          <w:lang w:val="en_US" w:bidi="en_US"/>
        </w:rPr>
        <w:t xml:space="preserve"> Here the spies said something that they did not really believe. They did not really believe that Jesus spoke and taught correctly. They said it because they wanted him to think that they were friendly toward him. They did not want him to guard carefully what he said to them. However, what they said about Jesus was true: Jesus did teach what was correct. Some other ways to translate this are:</w:t>
      </w:r>
    </w:p>
    <w:p>
      <w:pPr/>
      <w:r>
        <w:rPr>
          <w:lang w:val="en_US" w:bidi="en_US"/>
        </w:rPr>
      </w:r>
      <w:r>
        <w:rPr>
          <w:lang w:val="en_US" w:bidi="en_US"/>
        </w:rPr>
        <w:t>we know that what you say and teach is true (NCV)</w:t>
      </w:r>
    </w:p>
    <w:p>
      <w:pPr/>
      <w:r>
        <w:rPr>
          <w:lang w:val="en_US" w:bidi="en_US"/>
        </w:rPr>
      </w:r>
      <w:r>
        <w:rPr>
          <w:lang w:val="en_US" w:bidi="en_US"/>
        </w:rPr>
        <w:t>we know that you are right in what you say and teach (NRSV)</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refers to the spies and not to both the spies and Jesus.</w:t>
      </w:r>
    </w:p>
    <w:p>
      <w:pPr/>
      <w:r>
        <w:rPr>
          <w:lang w:val="en_US" w:bidi="en_US"/>
        </w:rPr>
      </w:r>
      <w:r>
        <w:rPr>
          <w:b/>
          <w:lang w:val="en_US" w:bidi="en_US"/>
        </w:rPr>
        <w:t>speak and teach correctly:</w:t>
      </w:r>
      <w:r>
        <w:rPr>
          <w:lang w:val="en_US" w:bidi="en_US"/>
        </w:rPr>
        <w:t xml:space="preserve"> The phrase </w:t>
      </w:r>
      <w:r>
        <w:rPr>
          <w:i/>
          <w:lang w:val="en_US" w:bidi="en_US"/>
        </w:rPr>
        <w:t>speak and teach correctly</w:t>
      </w:r>
      <w:r>
        <w:rPr>
          <w:lang w:val="en_US" w:bidi="en_US"/>
        </w:rPr>
        <w:t xml:space="preserve"> is literally “rightly speak and teach.” It indicates that what Jesus taught and what he said in ordinary speech was true and correct. It implies that he did not teach error.</w:t>
      </w:r>
    </w:p>
    <w:p>
      <w:pPr/>
      <w:r>
        <w:rPr>
          <w:lang w:val="en_US" w:bidi="en_US"/>
        </w:rPr>
      </w:r>
      <w:r>
        <w:rPr>
          <w:lang w:val="en_US" w:bidi="en_US"/>
        </w:rPr>
        <w:t xml:space="preserve">In this context the words </w:t>
      </w:r>
      <w:r>
        <w:rPr>
          <w:i/>
          <w:lang w:val="en_US" w:bidi="en_US"/>
        </w:rPr>
        <w:t>speak</w:t>
      </w:r>
      <w:r>
        <w:rPr>
          <w:lang w:val="en_US" w:bidi="en_US"/>
        </w:rPr>
        <w:t xml:space="preserve"> and </w:t>
      </w:r>
      <w:r>
        <w:rPr>
          <w:i/>
          <w:lang w:val="en_US" w:bidi="en_US"/>
        </w:rPr>
        <w:t>teach</w:t>
      </w:r>
      <w:r>
        <w:rPr>
          <w:lang w:val="en_US" w:bidi="en_US"/>
        </w:rPr>
        <w:t xml:space="preserve"> have similar meanings. In some languages it may be more natural to use only one of these verbs. For example:</w:t>
      </w:r>
    </w:p>
    <w:p>
      <w:pPr/>
      <w:r>
        <w:rPr>
          <w:lang w:val="en_US" w:bidi="en_US"/>
        </w:rPr>
      </w:r>
      <w:r>
        <w:rPr>
          <w:lang w:val="en_US" w:bidi="en_US"/>
        </w:rPr>
        <w:t>we know that you teach the truth (CEV)</w:t>
      </w:r>
    </w:p>
    <w:p>
      <w:pPr>
        <w:pStyle w:val="Heading5"/>
      </w:pPr>
      <w:r>
        <w:rPr>
          <w:lang w:val="en_US" w:bidi="en_US"/>
        </w:rPr>
        <w:t>20:21c</w:t>
      </w:r>
    </w:p>
    <w:p>
      <w:pPr/>
      <w:r>
        <w:rPr>
          <w:lang w:val="en_US" w:bidi="en_US"/>
        </w:rPr>
      </w:r>
      <w:r>
        <w:rPr>
          <w:b/>
          <w:lang w:val="en_US" w:bidi="en_US"/>
        </w:rPr>
        <w:t>You show no partiality,</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do not favor some people over other people.</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treat all people the same.</w:t>
      </w:r>
    </w:p>
    <w:p>
      <w:pPr/>
      <w:r>
        <w:rPr>
          <w:lang w:val="en_US" w:bidi="en_US"/>
        </w:rPr>
      </w:r>
      <w:r>
        <w:rPr>
          <w:b/>
          <w:lang w:val="en_US" w:bidi="en_US"/>
        </w:rPr>
        <w:t>You show no partiality:</w:t>
      </w:r>
      <w:r>
        <w:rPr>
          <w:lang w:val="en_US" w:bidi="en_US"/>
        </w:rPr>
        <w:t xml:space="preserve"> The Greek phrase that the BSB translates as </w:t>
      </w:r>
      <w:r>
        <w:rPr>
          <w:i/>
          <w:lang w:val="en_US" w:bidi="en_US"/>
        </w:rPr>
        <w:t>You show no partiality</w:t>
      </w:r>
      <w:r>
        <w:rPr>
          <w:lang w:val="en_US" w:bidi="en_US"/>
        </w:rPr>
        <w:t xml:space="preserve"> is literally “you do not receive/accept a face.” This statement is an idiom. It indicates that Jesus did not favor one person more than another person. He treated all people fairly. He did not flatter rich and important people. He told everyone the truth, even when they did not like to hear it. Here is another way to translate this:</w:t>
      </w:r>
    </w:p>
    <w:p>
      <w:pPr/>
      <w:r>
        <w:rPr>
          <w:lang w:val="en_US" w:bidi="en_US"/>
        </w:rPr>
      </w:r>
      <w:r>
        <w:rPr>
          <w:lang w:val="en_US" w:bidi="en_US"/>
        </w:rPr>
        <w:t>you pay no attention to anyone’s status (GNT)</w:t>
      </w:r>
    </w:p>
    <w:p>
      <w:pPr/>
      <w:r>
        <w:rPr>
          <w:lang w:val="en_US" w:bidi="en_US"/>
        </w:rPr>
      </w:r>
      <w:r>
        <w:rPr>
          <w:lang w:val="en_US" w:bidi="en_US"/>
        </w:rPr>
        <w:t>By saying this, the spies were praising Jesus. However, they had a deceitful motive in praising him. They wanted Jesus to answer their question without showing special favor or respect even to the emperor. Be sure to translate the statement as a good thing to say about Jesus. For example:</w:t>
      </w:r>
    </w:p>
    <w:p>
      <w:pPr/>
      <w:r>
        <w:rPr>
          <w:lang w:val="en_US" w:bidi="en_US"/>
        </w:rPr>
      </w:r>
      <w:r>
        <w:rPr>
          <w:lang w:val="en_US" w:bidi="en_US"/>
        </w:rPr>
        <w:t>You do not show unfair/improper favor to anyone</w:t>
      </w:r>
    </w:p>
    <w:p>
      <w:pPr/>
      <w:r>
        <w:rPr>
          <w:lang w:val="en_US" w:bidi="en_US"/>
        </w:rPr>
      </w:r>
      <w:r>
        <w:rPr>
          <w:lang w:val="en_US" w:bidi="en_US"/>
        </w:rPr>
        <w:t>In some languages it may be more natural to translate this without a negative. For example:</w:t>
      </w:r>
    </w:p>
    <w:p>
      <w:pPr/>
      <w:r>
        <w:rPr>
          <w:lang w:val="en_US" w:bidi="en_US"/>
        </w:rPr>
      </w:r>
      <w:r>
        <w:rPr>
          <w:lang w:val="en_US" w:bidi="en_US"/>
        </w:rPr>
        <w:t>You treat everyone fairly.</w:t>
      </w:r>
    </w:p>
    <w:p>
      <w:pPr/>
      <w:r>
        <w:rPr>
          <w:lang w:val="en_US" w:bidi="en_US"/>
        </w:rPr>
      </w:r>
      <w:r>
        <w:rPr>
          <w:lang w:val="en_US" w:bidi="en_US"/>
        </w:rPr>
        <w:t>And you treat everyone with the same respect, no matter who they are. (CEV)</w:t>
      </w:r>
    </w:p>
    <w:p>
      <w:pPr>
        <w:pStyle w:val="Heading5"/>
      </w:pPr>
      <w:r>
        <w:rPr>
          <w:lang w:val="en_US" w:bidi="en_US"/>
        </w:rPr>
        <w:t>20:21d</w:t>
      </w:r>
    </w:p>
    <w:p>
      <w:pPr/>
      <w:r>
        <w:rPr>
          <w:lang w:val="en_US" w:bidi="en_US"/>
        </w:rPr>
      </w:r>
      <w:r>
        <w:rPr>
          <w:b/>
          <w:lang w:val="en_US" w:bidi="en_US"/>
        </w:rPr>
        <w:t>but teach the way of God in accordance with the truth.</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teach the truth about how God wants </w:t>
      </w:r>
      <w:r>
        <w:rPr>
          <w:lang w:val="en_US" w:bidi="en_US"/>
        </w:rPr>
        <w:t>people</w:t>
      </w:r>
      <w:r>
        <w:rPr>
          <w:lang w:val="en_US" w:bidi="en_US"/>
        </w:rPr>
        <w:t xml:space="preserve"> to live.</w:t>
      </w:r>
    </w:p>
    <w:p>
      <w:pPr>
        <w:pStyle w:val="ListBullet"/>
        <w:spacing w:line="240" w:lineRule="auto"/>
        <w:ind w:left="720"/>
      </w:pPr>
      <w:r>
        <w:rPr>
          <w:lang w:val="en_US" w:bidi="en_US"/>
        </w:rPr>
      </w:r>
      <w:r>
        <w:rPr>
          <w:lang w:val="en_US" w:bidi="en_US"/>
        </w:rPr>
        <w:t>As you</w:t>
      </w:r>
      <w:r>
        <w:rPr>
          <w:vertAlign w:val="superscript"/>
          <w:lang w:val="en_US" w:bidi="en_US"/>
        </w:rPr>
        <w:t>(sing)</w:t>
      </w:r>
      <w:r>
        <w:rPr>
          <w:lang w:val="en_US" w:bidi="en_US"/>
        </w:rPr>
        <w:t xml:space="preserve"> teach </w:t>
      </w:r>
      <w:r>
        <w:rPr>
          <w:lang w:val="en_US" w:bidi="en_US"/>
        </w:rPr>
        <w:t>people</w:t>
      </w:r>
      <w:r>
        <w:rPr>
          <w:lang w:val="en_US" w:bidi="en_US"/>
        </w:rPr>
        <w:t xml:space="preserve"> what God requires </w:t>
      </w:r>
      <w:r>
        <w:rPr>
          <w:lang w:val="en_US" w:bidi="en_US"/>
        </w:rPr>
        <w:t>of them</w:t>
      </w:r>
      <w:r>
        <w:rPr>
          <w:lang w:val="en_US" w:bidi="en_US"/>
        </w:rPr>
        <w:t xml:space="preserve">, you </w:t>
      </w:r>
      <w:r>
        <w:rPr>
          <w:lang w:val="en_US" w:bidi="en_US"/>
        </w:rPr>
        <w:t>faithfully</w:t>
      </w:r>
      <w:r>
        <w:rPr>
          <w:lang w:val="en_US" w:bidi="en_US"/>
        </w:rPr>
        <w:t xml:space="preserve"> tell them what is true.</w:t>
      </w:r>
    </w:p>
    <w:p>
      <w:pPr/>
      <w:r>
        <w:rPr>
          <w:lang w:val="en_US" w:bidi="en_US"/>
        </w:rPr>
      </w:r>
      <w:r>
        <w:rPr>
          <w:b/>
          <w:lang w:val="en_US" w:bidi="en_US"/>
        </w:rPr>
        <w:t>but teach the way of God in accordance with the truth:</w:t>
      </w:r>
      <w:r>
        <w:rPr>
          <w:lang w:val="en_US" w:bidi="en_US"/>
        </w:rPr>
        <w:t xml:space="preserve"> This statement is similar to the statements in 20:21b and 20:21c. It indicates that Jesus taught what is true about God’s way. He did not say false things in order to please anyone.</w:t>
      </w:r>
    </w:p>
    <w:p>
      <w:pPr/>
      <w:r>
        <w:rPr>
          <w:lang w:val="en_US" w:bidi="en_US"/>
        </w:rPr>
      </w:r>
      <w:r>
        <w:rPr>
          <w:lang w:val="en_US" w:bidi="en_US"/>
        </w:rPr>
        <w:t xml:space="preserve">In some languages a conjunction like </w:t>
      </w:r>
      <w:r>
        <w:rPr>
          <w:i/>
          <w:lang w:val="en_US" w:bidi="en_US"/>
        </w:rPr>
        <w:t>but</w:t>
      </w:r>
      <w:r>
        <w:rPr>
          <w:lang w:val="en_US" w:bidi="en_US"/>
        </w:rPr>
        <w:t xml:space="preserve"> may be confusing here or it may imply a wrong contrast. If that is true in your language, you may connect the statements in a different way or omit a conjunction. For example:</w:t>
      </w:r>
    </w:p>
    <w:p>
      <w:pPr/>
      <w:r>
        <w:rPr>
          <w:lang w:val="en_US" w:bidi="en_US"/>
        </w:rPr>
      </w:r>
      <w:r>
        <w:rPr>
          <w:lang w:val="en_US" w:bidi="en_US"/>
        </w:rPr>
        <w:t>You teach the way of God truthfully. (NLT)</w:t>
      </w:r>
    </w:p>
    <w:p>
      <w:pPr/>
      <w:r>
        <w:rPr>
          <w:lang w:val="en_US" w:bidi="en_US"/>
        </w:rPr>
      </w:r>
      <w:r>
        <w:rPr>
          <w:lang w:val="en_US" w:bidi="en_US"/>
        </w:rPr>
        <w:t>…and you always teach the truth about God’s way. (NCV)</w:t>
      </w:r>
    </w:p>
    <w:p>
      <w:pPr/>
      <w:r>
        <w:rPr>
          <w:lang w:val="en_US" w:bidi="en_US"/>
        </w:rPr>
      </w:r>
      <w:r>
        <w:rPr>
          <w:b/>
          <w:lang w:val="en_US" w:bidi="en_US"/>
        </w:rPr>
        <w:t>the way of God:</w:t>
      </w:r>
      <w:r>
        <w:rPr>
          <w:lang w:val="en_US" w:bidi="en_US"/>
        </w:rPr>
        <w:t xml:space="preserve"> In the context of the question about paying taxes, the phrase </w:t>
      </w:r>
      <w:r>
        <w:rPr>
          <w:i/>
          <w:lang w:val="en_US" w:bidi="en_US"/>
        </w:rPr>
        <w:t>the way of God</w:t>
      </w:r>
      <w:r>
        <w:rPr>
          <w:lang w:val="en_US" w:bidi="en_US"/>
        </w:rPr>
        <w:t xml:space="preserve"> refers primarily to what God wants people to do or not to do. Some other ways to translate this are:</w:t>
      </w:r>
    </w:p>
    <w:p>
      <w:pPr/>
      <w:r>
        <w:rPr>
          <w:lang w:val="en_US" w:bidi="en_US"/>
        </w:rPr>
      </w:r>
      <w:r>
        <w:rPr>
          <w:lang w:val="en_US" w:bidi="en_US"/>
        </w:rPr>
        <w:t>the way of life that God requires (REB)</w:t>
      </w:r>
    </w:p>
    <w:p>
      <w:pPr/>
      <w:r>
        <w:rPr>
          <w:lang w:val="en_US" w:bidi="en_US"/>
        </w:rPr>
      </w:r>
      <w:r>
        <w:rPr>
          <w:lang w:val="en_US" w:bidi="en_US"/>
        </w:rPr>
        <w:t>what God wants people to do (CEV)</w:t>
      </w:r>
    </w:p>
    <w:p>
      <w:pPr/>
      <w:r>
        <w:rPr>
          <w:lang w:val="en_US" w:bidi="en_US"/>
        </w:rPr>
      </w:r>
      <w:r>
        <w:rPr>
          <w:b/>
          <w:lang w:val="en_US" w:bidi="en_US"/>
        </w:rPr>
        <w:t>in accordance with the truth:</w:t>
      </w:r>
      <w:r>
        <w:rPr>
          <w:lang w:val="en_US" w:bidi="en_US"/>
        </w:rPr>
        <w:t xml:space="preserve"> The Greek phrase that the BSB translates as </w:t>
      </w:r>
      <w:r>
        <w:rPr>
          <w:i/>
          <w:lang w:val="en_US" w:bidi="en_US"/>
        </w:rPr>
        <w:t>in accordance with the truth</w:t>
      </w:r>
      <w:r>
        <w:rPr>
          <w:lang w:val="en_US" w:bidi="en_US"/>
        </w:rPr>
        <w:t xml:space="preserve"> is literally “in truth.” It means “truthfully.” The spies were saying that Jesus taught the truth about the way God wants people to live.</w:t>
      </w:r>
      <w:r>
        <w:rPr>
          <w:lang w:val="en_US" w:bidi="en_US"/>
        </w:rPr>
      </w:r>
      <w:r>
        <w:rPr>
          <w:lang w:val="en_US" w:bidi="en_US"/>
        </w:rPr>
      </w:r>
    </w:p>
    <w:p>
      <w:pPr/>
      <w:r>
        <w:rPr>
          <w:lang w:val="en_US" w:bidi="en_US"/>
        </w:rPr>
      </w:r>
    </w:p>
    <w:p>
      <w:pPr>
        <w:pStyle w:val="Heading2"/>
      </w:pPr>
      <w:r>
        <w:rPr>
          <w:lang w:val="en_US" w:bidi="en_US"/>
        </w:rPr>
        <w:t>Luke 20:22</w:t>
      </w:r>
      <w:r>
        <w:rPr>
          <w:lang w:val="en_US" w:bidi="en_US"/>
        </w:rPr>
      </w:r>
    </w:p>
    <w:p>
      <w:pPr>
        <w:pStyle w:val="Heading4"/>
      </w:pPr>
      <w:r>
        <w:rPr>
          <w:lang w:val="en_US" w:bidi="en_US"/>
        </w:rPr>
        <w:t>Section 20:20–26: Jewish leaders tried to trap Jesus with a question about taxes</w:t>
      </w:r>
    </w:p>
    <w:p>
      <w:pPr/>
      <w:r>
        <w:rPr>
          <w:lang w:val="en_US" w:bidi="en_US"/>
        </w:rPr>
      </w:r>
      <w:r>
        <w:rPr>
          <w:lang w:val="en_US" w:bidi="en_US"/>
        </w:rPr>
        <w:t>The chief priests, the scribes, and the elders mentioned in 20:1 sent men to trick Jesus into saying something for which they could accuse him and arrest him. They wanted to cause trouble for him.</w:t>
      </w:r>
    </w:p>
    <w:p>
      <w:pPr/>
      <w:r>
        <w:rPr>
          <w:lang w:val="en_US" w:bidi="en_US"/>
        </w:rPr>
      </w:r>
      <w:r>
        <w:rPr>
          <w:lang w:val="en_US" w:bidi="en_US"/>
        </w:rPr>
        <w:t>The men asked Jesus, “Should the Jews pay taxes to the Roman Emperor Caesar or not?” The word “Caesar” was the title that the Roman people gave to their highest ruler, the emperor.</w:t>
      </w:r>
      <w:r>
        <w:rPr>
          <w:lang w:val="en_US" w:bidi="en_US"/>
        </w:rPr>
        <w:t>The Romans worshiped their emperor as a god.</w:t>
      </w:r>
      <w:r>
        <w:rPr>
          <w:lang w:val="en_US" w:bidi="en_US"/>
        </w:rPr>
        <w:t xml:space="preserve"> The Romans ruled over the Jews at that time and forced them to pay taxes.</w:t>
      </w:r>
    </w:p>
    <w:p>
      <w:pPr/>
      <w:r>
        <w:rPr>
          <w:lang w:val="en_US" w:bidi="en_US"/>
        </w:rPr>
      </w:r>
      <w:r>
        <w:rPr>
          <w:lang w:val="en_US" w:bidi="en_US"/>
        </w:rPr>
        <w:t>The men’s question was difficult because either a “yes” or a “no” answer would cause problems for Jesus. If Jesus answered, “yes, the Jews should pay taxes to the Romans,” he would make the Jews angry. If he answered “no, they should not pay,” he would make the Roman government angry. But Jesus answered wisely and avoided the trap that the Jewish leaders set for him.</w:t>
      </w:r>
    </w:p>
    <w:p>
      <w:pPr/>
      <w:r>
        <w:rPr>
          <w:lang w:val="en_US" w:bidi="en_US"/>
        </w:rPr>
      </w:r>
      <w:r>
        <w:rPr>
          <w:lang w:val="en_US" w:bidi="en_US"/>
        </w:rPr>
        <w:t>Some examples of headings for this section are:</w:t>
      </w:r>
    </w:p>
    <w:p>
      <w:pPr/>
      <w:r>
        <w:rPr>
          <w:lang w:val="en_US" w:bidi="en_US"/>
        </w:rPr>
      </w:r>
      <w:r>
        <w:rPr>
          <w:lang w:val="en_US" w:bidi="en_US"/>
        </w:rPr>
        <w:t>The Question about Paying Taxes (GNT)</w:t>
      </w:r>
    </w:p>
    <w:p>
      <w:pPr/>
      <w:r>
        <w:rPr>
          <w:lang w:val="en_US" w:bidi="en_US"/>
        </w:rPr>
      </w:r>
      <w:r>
        <w:rPr>
          <w:lang w:val="en_US" w:bidi="en_US"/>
        </w:rPr>
        <w:t>Paying Taxes to Caesar (NIV)</w:t>
      </w:r>
    </w:p>
    <w:p>
      <w:pPr/>
      <w:r>
        <w:rPr>
          <w:lang w:val="en_US" w:bidi="en_US"/>
        </w:rPr>
      </w:r>
      <w:r>
        <w:rPr>
          <w:lang w:val="en_US" w:bidi="en_US"/>
        </w:rPr>
        <w:t xml:space="preserve">Should people pay taxes to Caesar </w:t>
      </w:r>
      <w:r>
        <w:rPr>
          <w:lang w:val="en_US" w:bidi="en_US"/>
        </w:rPr>
        <w:t>or not</w:t>
      </w:r>
      <w:r>
        <w:rPr>
          <w:lang w:val="en_US" w:bidi="en_US"/>
        </w:rPr>
        <w:t>?</w:t>
      </w:r>
    </w:p>
    <w:p>
      <w:pPr/>
      <w:r>
        <w:rPr>
          <w:lang w:val="en_US" w:bidi="en_US"/>
        </w:rPr>
      </w:r>
      <w:r>
        <w:rPr>
          <w:lang w:val="en_US" w:bidi="en_US"/>
        </w:rPr>
        <w:t>There are parallel passages for this section in Matthew 22:15–22 and Mark 12:13–17.</w:t>
      </w:r>
    </w:p>
    <w:p>
      <w:pPr>
        <w:pStyle w:val="Heading5"/>
      </w:pPr>
      <w:r>
        <w:rPr>
          <w:lang w:val="en_US" w:bidi="en_US"/>
        </w:rPr>
        <w:t>20:22</w:t>
      </w:r>
    </w:p>
    <w:p>
      <w:pPr/>
      <w:r>
        <w:rPr>
          <w:lang w:val="en_US" w:bidi="en_US"/>
        </w:rPr>
      </w:r>
      <w:r>
        <w:rPr>
          <w:b/>
          <w:lang w:val="en_US" w:bidi="en_US"/>
        </w:rPr>
        <w:t>Is it lawful for us to pay taxes to Caesar or not?”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want to ask you,</w:t>
      </w:r>
      <w:r>
        <w:rPr>
          <w:vertAlign w:val="superscript"/>
          <w:lang w:val="en_US" w:bidi="en_US"/>
        </w:rPr>
        <w:t>(sing)</w:t>
      </w:r>
      <w:r>
        <w:rPr>
          <w:lang w:val="en_US" w:bidi="en_US"/>
        </w:rPr>
        <w:t xml:space="preserve"> is it lawful for us</w:t>
      </w:r>
      <w:r>
        <w:rPr>
          <w:vertAlign w:val="superscript"/>
          <w:lang w:val="en_US" w:bidi="en_US"/>
        </w:rPr>
        <w:t>(incl)</w:t>
      </w:r>
      <w:r>
        <w:rPr>
          <w:lang w:val="en_US" w:bidi="en_US"/>
        </w:rPr>
        <w:t xml:space="preserve"> </w:t>
      </w:r>
      <w:r>
        <w:rPr>
          <w:lang w:val="en_US" w:bidi="en_US"/>
        </w:rPr>
        <w:t>as Jews</w:t>
      </w:r>
      <w:r>
        <w:rPr>
          <w:lang w:val="en_US" w:bidi="en_US"/>
        </w:rPr>
        <w:t xml:space="preserve"> to pay taxes to the Roman emperor, or </w:t>
      </w:r>
      <w:r>
        <w:rPr>
          <w:lang w:val="en_US" w:bidi="en_US"/>
        </w:rPr>
        <w:t>is that</w:t>
      </w:r>
      <w:r>
        <w:rPr>
          <w:lang w:val="en_US" w:bidi="en_US"/>
        </w:rPr>
        <w:t xml:space="preserve"> not </w:t>
      </w:r>
      <w:r>
        <w:rPr>
          <w:lang w:val="en_US" w:bidi="en_US"/>
        </w:rPr>
        <w:t>lawful</w:t>
      </w:r>
      <w:r>
        <w:rPr>
          <w:lang w:val="en_US" w:bidi="en_US"/>
        </w:rPr>
        <w:t xml:space="preserve"> </w:t>
      </w:r>
      <w:r>
        <w:rPr>
          <w:lang w:val="en_US" w:bidi="en_US"/>
        </w:rPr>
        <w:t>for us</w:t>
      </w:r>
      <w:r>
        <w:rPr>
          <w:lang w:val="en_US" w:bidi="en_US"/>
        </w:rPr>
        <w:t>?”</w:t>
      </w:r>
    </w:p>
    <w:p>
      <w:pPr>
        <w:pStyle w:val="ListBullet"/>
        <w:spacing w:line="240" w:lineRule="auto"/>
        <w:ind w:left="720"/>
      </w:pPr>
      <w:r>
        <w:rPr>
          <w:lang w:val="en_US" w:bidi="en_US"/>
        </w:rPr>
      </w:r>
      <w:r>
        <w:rPr>
          <w:lang w:val="en_US" w:bidi="en_US"/>
        </w:rPr>
        <w:t>So tell us,</w:t>
      </w:r>
      <w:r>
        <w:rPr>
          <w:vertAlign w:val="superscript"/>
          <w:lang w:val="en_US" w:bidi="en_US"/>
        </w:rPr>
        <w:t>(excl)</w:t>
      </w:r>
      <w:r>
        <w:rPr>
          <w:lang w:val="en_US" w:bidi="en_US"/>
        </w:rPr>
        <w:t xml:space="preserve"> does </w:t>
      </w:r>
      <w:r>
        <w:rPr>
          <w:lang w:val="en_US" w:bidi="en_US"/>
        </w:rPr>
        <w:t>our</w:t>
      </w:r>
      <w:r>
        <w:rPr>
          <w:vertAlign w:val="superscript"/>
          <w:lang w:val="en_US" w:bidi="en_US"/>
        </w:rPr>
        <w:t>(incl)</w:t>
      </w:r>
      <w:r>
        <w:rPr>
          <w:lang w:val="en_US" w:bidi="en_US"/>
        </w:rPr>
        <w:t xml:space="preserve"> law allow us</w:t>
      </w:r>
      <w:r>
        <w:rPr>
          <w:vertAlign w:val="superscript"/>
          <w:lang w:val="en_US" w:bidi="en_US"/>
        </w:rPr>
        <w:t>(incl)</w:t>
      </w:r>
      <w:r>
        <w:rPr>
          <w:lang w:val="en_US" w:bidi="en_US"/>
        </w:rPr>
        <w:t xml:space="preserve"> to pay tax to the </w:t>
      </w:r>
      <w:r>
        <w:rPr>
          <w:lang w:val="en_US" w:bidi="en_US"/>
        </w:rPr>
        <w:t>Roman</w:t>
      </w:r>
      <w:r>
        <w:rPr>
          <w:lang w:val="en_US" w:bidi="en_US"/>
        </w:rPr>
        <w:t xml:space="preserve"> emperor?”</w:t>
      </w:r>
    </w:p>
    <w:p>
      <w:pPr/>
      <w:r>
        <w:rPr>
          <w:lang w:val="en_US" w:bidi="en_US"/>
        </w:rPr>
      </w:r>
      <w:r>
        <w:rPr>
          <w:lang w:val="en_US" w:bidi="en_US"/>
        </w:rPr>
        <w:t>After the spies praised Jesus insincerely in 20:21, they asked him a question. Their praise implied that because he was honest and fair, he would give them a true answer. In some languages, it may be necessary to introduce this question with a phrase or clause to connect it with 20:21. For example:</w:t>
      </w:r>
    </w:p>
    <w:p>
      <w:pPr/>
      <w:r>
        <w:rPr>
          <w:lang w:val="en_US" w:bidi="en_US"/>
        </w:rPr>
      </w:r>
      <w:r>
        <w:rPr>
          <w:lang w:val="en_US" w:bidi="en_US"/>
        </w:rPr>
        <w:t>So we ask you,</w:t>
      </w:r>
      <w:r>
        <w:rPr>
          <w:lang w:val="en_US" w:bidi="en_US"/>
        </w:rPr>
        <w:t xml:space="preserve"> is it lawful…</w:t>
      </w:r>
    </w:p>
    <w:p>
      <w:pPr/>
      <w:r>
        <w:rPr>
          <w:lang w:val="en_US" w:bidi="en_US"/>
        </w:rPr>
      </w:r>
      <w:r>
        <w:rPr>
          <w:b/>
          <w:lang w:val="en_US" w:bidi="en_US"/>
        </w:rPr>
        <w:t>Is it lawful for us to pay taxes to Caesar or not?:</w:t>
      </w:r>
      <w:r>
        <w:rPr>
          <w:lang w:val="en_US" w:bidi="en_US"/>
        </w:rPr>
        <w:t xml:space="preserve"> This question contains an ellipsis. The full form of the question has a positive part and a negative part:</w:t>
      </w:r>
    </w:p>
    <w:p>
      <w:pPr/>
      <w:r>
        <w:rPr>
          <w:lang w:val="en_US" w:bidi="en_US"/>
        </w:rPr>
      </w:r>
      <w:r>
        <w:rPr>
          <w:u w:val="single"/>
          <w:lang w:val="en_US" w:bidi="en_US"/>
        </w:rPr>
        <w:t>Is it lawful</w:t>
      </w:r>
      <w:r>
        <w:rPr>
          <w:lang w:val="en_US" w:bidi="en_US"/>
        </w:rPr>
        <w:t xml:space="preserve"> for us to pay taxes to Caesar or </w:t>
      </w:r>
      <w:r>
        <w:rPr>
          <w:u w:val="single"/>
          <w:lang w:val="en_US" w:bidi="en_US"/>
        </w:rPr>
        <w:t>is it not lawful</w:t>
      </w:r>
      <w:r>
        <w:rPr>
          <w:lang w:val="en_US" w:bidi="en_US"/>
        </w:rPr>
        <w:t xml:space="preserve"> for us to pay taxes to him?</w:t>
      </w:r>
    </w:p>
    <w:p>
      <w:pPr/>
      <w:r>
        <w:rPr>
          <w:lang w:val="en_US" w:bidi="en_US"/>
        </w:rPr>
      </w:r>
      <w:r>
        <w:rPr>
          <w:lang w:val="en_US" w:bidi="en_US"/>
        </w:rPr>
        <w:t>In some languages it may be more natural to translate only the positive part or only the negative part. The other part is already implied. For example:</w:t>
      </w:r>
    </w:p>
    <w:p>
      <w:pPr/>
      <w:r>
        <w:rPr>
          <w:lang w:val="en_US" w:bidi="en_US"/>
        </w:rPr>
      </w:r>
      <w:r>
        <w:rPr>
          <w:lang w:val="en_US" w:bidi="en_US"/>
        </w:rPr>
        <w:t>Is it right for us to pay taxes to Caesar?</w:t>
      </w:r>
    </w:p>
    <w:p>
      <w:pPr/>
      <w:r>
        <w:rPr>
          <w:lang w:val="en_US" w:bidi="en_US"/>
        </w:rPr>
      </w:r>
      <w:r>
        <w:rPr>
          <w:lang w:val="en_US" w:bidi="en_US"/>
        </w:rPr>
        <w:t>Is it against our law to pay taxes to Caesar?</w:t>
      </w:r>
    </w:p>
    <w:p>
      <w:pPr/>
      <w:r>
        <w:rPr>
          <w:lang w:val="en_US" w:bidi="en_US"/>
        </w:rPr>
      </w:r>
      <w:r>
        <w:rPr>
          <w:lang w:val="en_US" w:bidi="en_US"/>
        </w:rPr>
        <w:t>The spies wanted Jesus to answer their question clearly. They expected him to say either that it was right for Jews to pay taxes to Caesar, or that it was not right to pay those taxes. The question expresses a request for information. Some ways to translate it are:</w:t>
      </w:r>
    </w:p>
    <w:p>
      <w:pPr>
        <w:pStyle w:val="ListBullet"/>
        <w:spacing w:line="240" w:lineRule="auto"/>
        <w:ind w:left="720"/>
      </w:pPr>
      <w:r>
        <w:rPr>
          <w:lang w:val="en_US" w:bidi="en_US"/>
        </w:rPr>
      </w:r>
      <w:r>
        <w:rPr>
          <w:lang w:val="en_US" w:bidi="en_US"/>
        </w:rPr>
        <w:t>As a question:</w:t>
      </w:r>
      <w:r>
        <w:rPr>
          <w:lang w:val="en_US" w:bidi="en_US"/>
        </w:rPr>
        <w:t>Does the law permit us to pay taxes to Caesar or does it not permit us?</w:t>
      </w:r>
      <w:r>
        <w:rPr>
          <w:lang w:val="en_US" w:bidi="en_US"/>
        </w:rPr>
        <w:t>Is it right or wrong for us to pay taxes to Caesar?</w:t>
      </w:r>
    </w:p>
    <w:p>
      <w:pPr>
        <w:pStyle w:val="ListBullet"/>
        <w:spacing w:line="240" w:lineRule="auto"/>
        <w:ind w:left="720"/>
      </w:pPr>
      <w:r>
        <w:rPr>
          <w:lang w:val="en_US" w:bidi="en_US"/>
        </w:rPr>
      </w:r>
      <w:r>
        <w:rPr>
          <w:lang w:val="en_US" w:bidi="en_US"/>
        </w:rPr>
        <w:t>As a request:</w:t>
      </w:r>
      <w:r>
        <w:rPr>
          <w:lang w:val="en_US" w:bidi="en_US"/>
        </w:rPr>
        <w:t>Tell us whether it is lawful for us to pay taxes to Caesar.</w:t>
      </w:r>
    </w:p>
    <w:p>
      <w:pPr/>
      <w:r>
        <w:rPr>
          <w:lang w:val="en_US" w:bidi="en_US"/>
        </w:rPr>
      </w:r>
      <w:r>
        <w:rPr>
          <w:b/>
          <w:lang w:val="en_US" w:bidi="en_US"/>
        </w:rPr>
        <w:t>Is it lawful for us:</w:t>
      </w:r>
      <w:r>
        <w:rPr>
          <w:lang w:val="en_US" w:bidi="en_US"/>
        </w:rPr>
        <w:t xml:space="preserve"> In this context the Greek phrase that the BSB translates as </w:t>
      </w:r>
      <w:r>
        <w:rPr>
          <w:i/>
          <w:lang w:val="en_US" w:bidi="en_US"/>
        </w:rPr>
        <w:t>Is it lawful</w:t>
      </w:r>
      <w:r>
        <w:rPr>
          <w:lang w:val="en_US" w:bidi="en_US"/>
        </w:rPr>
        <w:t xml:space="preserve"> implies the meaning “Is it right </w:t>
      </w:r>
      <w:r>
        <w:rPr>
          <w:lang w:val="en_US" w:bidi="en_US"/>
        </w:rPr>
        <w:t>according to God’s Law</w:t>
      </w:r>
      <w:r>
        <w:rPr>
          <w:lang w:val="en_US" w:bidi="en_US"/>
        </w:rPr>
        <w:t xml:space="preserve">” or “Does the </w:t>
      </w:r>
      <w:r>
        <w:rPr>
          <w:lang w:val="en_US" w:bidi="en_US"/>
        </w:rPr>
        <w:t>Law of God</w:t>
      </w:r>
      <w:r>
        <w:rPr>
          <w:lang w:val="en_US" w:bidi="en_US"/>
        </w:rPr>
        <w:t xml:space="preserve"> permit.”</w:t>
      </w:r>
      <w:r>
        <w:rPr>
          <w:lang w:val="en_US" w:bidi="en_US"/>
        </w:rPr>
        <w:t xml:space="preserve">Nolland (p. 958) says, “The language </w:t>
      </w:r>
      <w:r>
        <w:rPr>
          <w:i/>
          <w:lang w:val="en_US" w:bidi="en_US"/>
        </w:rPr>
        <w:t>exestin</w:t>
      </w:r>
      <w:r>
        <w:rPr>
          <w:lang w:val="en_US" w:bidi="en_US"/>
        </w:rPr>
        <w:t>, ‘Is it lawful,’ raises the possibility that some kind of failure of loyalty to God and his law might be involved in making these tax payments.” Johnson (p. 311) says, “The issue of what is ‘allowed’…refers to what is demanded by Torah and therefore covenantal loyalty to God…The context for the issue was set by the taxation of Judea under Quirinius (see Luke 2:2) which is repeatedly mentioned by Josephus….”</w:t>
      </w:r>
      <w:r>
        <w:rPr>
          <w:lang w:val="en_US" w:bidi="en_US"/>
        </w:rPr>
        <w:t xml:space="preserve"> The spies were not asking what the </w:t>
      </w:r>
      <w:r>
        <w:rPr>
          <w:u w:val="single"/>
          <w:lang w:val="en_US" w:bidi="en_US"/>
        </w:rPr>
        <w:t>Roman</w:t>
      </w:r>
      <w:r>
        <w:rPr>
          <w:lang w:val="en_US" w:bidi="en_US"/>
        </w:rPr>
        <w:t xml:space="preserve"> law required. In some languages it may be necessary to indicate which law the spies asked about. For example:</w:t>
      </w:r>
    </w:p>
    <w:p>
      <w:pPr/>
      <w:r>
        <w:rPr>
          <w:lang w:val="en_US" w:bidi="en_US"/>
        </w:rPr>
      </w:r>
      <w:r>
        <w:rPr>
          <w:lang w:val="en_US" w:bidi="en_US"/>
        </w:rPr>
        <w:t xml:space="preserve">Does the law </w:t>
      </w:r>
      <w:r>
        <w:rPr>
          <w:lang w:val="en_US" w:bidi="en_US"/>
        </w:rPr>
        <w:t>of Moses</w:t>
      </w:r>
      <w:r>
        <w:rPr>
          <w:lang w:val="en_US" w:bidi="en_US"/>
        </w:rPr>
        <w:t xml:space="preserve"> allow us…?</w:t>
      </w:r>
    </w:p>
    <w:p>
      <w:pPr/>
      <w:r>
        <w:rPr>
          <w:lang w:val="en_US" w:bidi="en_US"/>
        </w:rPr>
      </w:r>
      <w:r>
        <w:rPr>
          <w:lang w:val="en_US" w:bidi="en_US"/>
        </w:rPr>
        <w:t xml:space="preserve">Does </w:t>
      </w:r>
      <w:r>
        <w:rPr>
          <w:lang w:val="en_US" w:bidi="en_US"/>
        </w:rPr>
        <w:t>our</w:t>
      </w:r>
      <w:r>
        <w:rPr>
          <w:lang w:val="en_US" w:bidi="en_US"/>
        </w:rPr>
        <w:t xml:space="preserve"> law permit us…?</w:t>
      </w:r>
    </w:p>
    <w:p>
      <w:pPr/>
      <w:r>
        <w:rPr>
          <w:lang w:val="en_US" w:bidi="en_US"/>
        </w:rPr>
      </w:r>
      <w:r>
        <w:rPr>
          <w:lang w:val="en_US" w:bidi="en_US"/>
        </w:rPr>
        <w:t>…is it against our Law…? (GNT)</w:t>
      </w:r>
    </w:p>
    <w:p>
      <w:pPr/>
      <w:r>
        <w:rPr>
          <w:lang w:val="en_US" w:bidi="en_US"/>
        </w:rPr>
      </w:r>
      <w:r>
        <w:rPr>
          <w:lang w:val="en_US" w:bidi="en_US"/>
        </w:rPr>
        <w:t xml:space="preserve">The pronoun </w:t>
      </w:r>
      <w:r>
        <w:rPr>
          <w:i/>
          <w:lang w:val="en_US" w:bidi="en_US"/>
        </w:rPr>
        <w:t>us</w:t>
      </w:r>
      <w:r>
        <w:rPr>
          <w:lang w:val="en_US" w:bidi="en_US"/>
        </w:rPr>
        <w:t xml:space="preserve"> refers to all Jews including Jesus. It does not refer only to the spies.</w:t>
      </w:r>
    </w:p>
    <w:p>
      <w:pPr/>
      <w:r>
        <w:rPr>
          <w:lang w:val="en_US" w:bidi="en_US"/>
        </w:rPr>
      </w:r>
      <w:r>
        <w:rPr>
          <w:b/>
          <w:lang w:val="en_US" w:bidi="en_US"/>
        </w:rPr>
        <w:t>pay taxes to Caesar:</w:t>
      </w:r>
      <w:r>
        <w:rPr>
          <w:lang w:val="en_US" w:bidi="en_US"/>
        </w:rPr>
        <w:t xml:space="preserve"> The phrase </w:t>
      </w:r>
      <w:r>
        <w:rPr>
          <w:i/>
          <w:lang w:val="en_US" w:bidi="en_US"/>
        </w:rPr>
        <w:t>pay taxes to Caesar</w:t>
      </w:r>
      <w:r>
        <w:rPr>
          <w:lang w:val="en_US" w:bidi="en_US"/>
        </w:rPr>
        <w:t xml:space="preserve"> refers to paying tax to the Roman government, of which Caesar was the leader. The Romans had conquered the Jews and were governing them. The </w:t>
      </w:r>
      <w:r>
        <w:rPr>
          <w:i/>
          <w:lang w:val="en_US" w:bidi="en_US"/>
        </w:rPr>
        <w:t>taxes</w:t>
      </w:r>
      <w:r>
        <w:rPr>
          <w:lang w:val="en_US" w:bidi="en_US"/>
        </w:rPr>
        <w:t xml:space="preserve"> mentioned here refer to the money that the Roman government required each Jewish man to pay to them.</w:t>
      </w:r>
    </w:p>
    <w:p>
      <w:pPr/>
      <w:r>
        <w:rPr>
          <w:lang w:val="en_US" w:bidi="en_US"/>
        </w:rPr>
      </w:r>
      <w:r>
        <w:rPr>
          <w:b/>
          <w:lang w:val="en_US" w:bidi="en_US"/>
        </w:rPr>
        <w:t>Caesar:</w:t>
      </w:r>
      <w:r>
        <w:rPr>
          <w:lang w:val="en_US" w:bidi="en_US"/>
        </w:rPr>
        <w:t xml:space="preserve"> The word </w:t>
      </w:r>
      <w:r>
        <w:rPr>
          <w:i/>
          <w:lang w:val="en_US" w:bidi="en_US"/>
        </w:rPr>
        <w:t>Caesar</w:t>
      </w:r>
      <w:r>
        <w:rPr>
          <w:lang w:val="en_US" w:bidi="en_US"/>
        </w:rPr>
        <w:t xml:space="preserve"> was a title for the great king of the city of Rome and of the Roman empire. He ruled many countries and kings that the people of Rome had conquered. The title </w:t>
      </w:r>
      <w:r>
        <w:rPr>
          <w:i/>
          <w:lang w:val="en_US" w:bidi="en_US"/>
        </w:rPr>
        <w:t>Caesar</w:t>
      </w:r>
      <w:r>
        <w:rPr>
          <w:lang w:val="en_US" w:bidi="en_US"/>
        </w:rPr>
        <w:t xml:space="preserve"> means “Emperor.” Some ways to translate the title </w:t>
      </w:r>
      <w:r>
        <w:rPr>
          <w:i/>
          <w:lang w:val="en_US" w:bidi="en_US"/>
        </w:rPr>
        <w:t>Caesar</w:t>
      </w:r>
      <w:r>
        <w:rPr>
          <w:lang w:val="en_US" w:bidi="en_US"/>
        </w:rPr>
        <w:t xml:space="preserve"> here are:</w:t>
      </w:r>
    </w:p>
    <w:p>
      <w:pPr>
        <w:pStyle w:val="ListBullet"/>
        <w:spacing w:line="240" w:lineRule="auto"/>
        <w:ind w:left="720"/>
      </w:pPr>
      <w:r>
        <w:rPr>
          <w:lang w:val="en_US" w:bidi="en_US"/>
        </w:rPr>
      </w:r>
      <w:r>
        <w:rPr>
          <w:lang w:val="en_US" w:bidi="en_US"/>
        </w:rPr>
        <w:t>Use an equivalent title. For example:</w:t>
      </w:r>
      <w:r>
        <w:rPr>
          <w:lang w:val="en_US" w:bidi="en_US"/>
        </w:rPr>
        <w:t>the High King in Rome</w:t>
      </w:r>
      <w:r>
        <w:rPr>
          <w:lang w:val="en_US" w:bidi="en_US"/>
        </w:rPr>
        <w:t>the Roman Emperor (GNT)</w:t>
      </w:r>
      <w:r>
        <w:rPr>
          <w:lang w:val="en_US" w:bidi="en_US"/>
        </w:rPr>
        <w:t>the high/paramount chief</w:t>
      </w:r>
    </w:p>
    <w:p>
      <w:pPr>
        <w:pStyle w:val="ListBullet"/>
        <w:spacing w:line="240" w:lineRule="auto"/>
        <w:ind w:left="720"/>
      </w:pPr>
      <w:r>
        <w:rPr>
          <w:lang w:val="en_US" w:bidi="en_US"/>
        </w:rPr>
      </w:r>
      <w:r>
        <w:rPr>
          <w:lang w:val="en_US" w:bidi="en_US"/>
        </w:rPr>
        <w:t>Use a more general term. For example:</w:t>
      </w:r>
      <w:r>
        <w:rPr>
          <w:lang w:val="en_US" w:bidi="en_US"/>
        </w:rPr>
        <w:t>the government of the Romans that rules us</w:t>
      </w:r>
      <w:r>
        <w:rPr>
          <w:lang w:val="en_US" w:bidi="en_US"/>
        </w:rPr>
        <w:t>the ruler of the city of Rome</w:t>
      </w:r>
    </w:p>
    <w:p>
      <w:pPr/>
      <w:r>
        <w:rPr>
          <w:lang w:val="en_US" w:bidi="en_US"/>
        </w:rPr>
      </w:r>
      <w:r>
        <w:rPr>
          <w:lang w:val="en_US" w:bidi="en_US"/>
        </w:rPr>
        <w:t>You may also want to add a footnote. For example:</w:t>
      </w:r>
    </w:p>
    <w:p>
      <w:pPr/>
      <w:r>
        <w:rPr>
          <w:lang w:val="en_US" w:bidi="en_US"/>
        </w:rPr>
      </w:r>
      <w:r>
        <w:rPr>
          <w:lang w:val="en_US" w:bidi="en_US"/>
        </w:rPr>
        <w:t>“Emperor” was the title for the ruler of the people in the city of Rome. He also ruled over all the countries that Rome had conquered, including the country of the Jews.</w:t>
      </w:r>
    </w:p>
    <w:p>
      <w:pPr/>
      <w:r>
        <w:rPr>
          <w:lang w:val="en_US" w:bidi="en_US"/>
        </w:rPr>
      </w:r>
      <w:r>
        <w:rPr>
          <w:lang w:val="en_US" w:bidi="en_US"/>
        </w:rPr>
        <w:t xml:space="preserve">The word </w:t>
      </w:r>
      <w:r>
        <w:rPr>
          <w:i/>
          <w:lang w:val="en_US" w:bidi="en_US"/>
        </w:rPr>
        <w:t>Caesar</w:t>
      </w:r>
      <w:r>
        <w:rPr>
          <w:lang w:val="en_US" w:bidi="en_US"/>
        </w:rPr>
        <w:t xml:space="preserve"> also occurred in 2:1. See how you translated it there.</w:t>
      </w:r>
      <w:r>
        <w:rPr>
          <w:lang w:val="en_US" w:bidi="en_US"/>
        </w:rPr>
      </w:r>
      <w:r>
        <w:rPr>
          <w:lang w:val="en_US" w:bidi="en_US"/>
        </w:rPr>
      </w:r>
    </w:p>
    <w:p>
      <w:pPr/>
      <w:r>
        <w:rPr>
          <w:lang w:val="en_US" w:bidi="en_US"/>
        </w:rPr>
      </w:r>
    </w:p>
    <w:p>
      <w:pPr>
        <w:pStyle w:val="Heading2"/>
      </w:pPr>
      <w:r>
        <w:rPr>
          <w:lang w:val="en_US" w:bidi="en_US"/>
        </w:rPr>
        <w:t>Luke 20:23</w:t>
      </w:r>
      <w:r>
        <w:rPr>
          <w:lang w:val="en_US" w:bidi="en_US"/>
        </w:rPr>
      </w:r>
    </w:p>
    <w:p>
      <w:pPr>
        <w:pStyle w:val="Heading4"/>
      </w:pPr>
      <w:r>
        <w:rPr>
          <w:lang w:val="en_US" w:bidi="en_US"/>
        </w:rPr>
        <w:t>Section 20:20–26: Jewish leaders tried to trap Jesus with a question about taxes</w:t>
      </w:r>
    </w:p>
    <w:p>
      <w:pPr/>
      <w:r>
        <w:rPr>
          <w:lang w:val="en_US" w:bidi="en_US"/>
        </w:rPr>
      </w:r>
      <w:r>
        <w:rPr>
          <w:lang w:val="en_US" w:bidi="en_US"/>
        </w:rPr>
        <w:t>The chief priests, the scribes, and the elders mentioned in 20:1 sent men to trick Jesus into saying something for which they could accuse him and arrest him. They wanted to cause trouble for him.</w:t>
      </w:r>
    </w:p>
    <w:p>
      <w:pPr/>
      <w:r>
        <w:rPr>
          <w:lang w:val="en_US" w:bidi="en_US"/>
        </w:rPr>
      </w:r>
      <w:r>
        <w:rPr>
          <w:lang w:val="en_US" w:bidi="en_US"/>
        </w:rPr>
        <w:t>The men asked Jesus, “Should the Jews pay taxes to the Roman Emperor Caesar or not?” The word “Caesar” was the title that the Roman people gave to their highest ruler, the emperor.</w:t>
      </w:r>
      <w:r>
        <w:rPr>
          <w:lang w:val="en_US" w:bidi="en_US"/>
        </w:rPr>
        <w:t>The Romans worshiped their emperor as a god.</w:t>
      </w:r>
      <w:r>
        <w:rPr>
          <w:lang w:val="en_US" w:bidi="en_US"/>
        </w:rPr>
        <w:t xml:space="preserve"> The Romans ruled over the Jews at that time and forced them to pay taxes.</w:t>
      </w:r>
    </w:p>
    <w:p>
      <w:pPr/>
      <w:r>
        <w:rPr>
          <w:lang w:val="en_US" w:bidi="en_US"/>
        </w:rPr>
      </w:r>
      <w:r>
        <w:rPr>
          <w:lang w:val="en_US" w:bidi="en_US"/>
        </w:rPr>
        <w:t>The men’s question was difficult because either a “yes” or a “no” answer would cause problems for Jesus. If Jesus answered, “yes, the Jews should pay taxes to the Romans,” he would make the Jews angry. If he answered “no, they should not pay,” he would make the Roman government angry. But Jesus answered wisely and avoided the trap that the Jewish leaders set for him.</w:t>
      </w:r>
    </w:p>
    <w:p>
      <w:pPr/>
      <w:r>
        <w:rPr>
          <w:lang w:val="en_US" w:bidi="en_US"/>
        </w:rPr>
      </w:r>
      <w:r>
        <w:rPr>
          <w:lang w:val="en_US" w:bidi="en_US"/>
        </w:rPr>
        <w:t>Some examples of headings for this section are:</w:t>
      </w:r>
    </w:p>
    <w:p>
      <w:pPr/>
      <w:r>
        <w:rPr>
          <w:lang w:val="en_US" w:bidi="en_US"/>
        </w:rPr>
      </w:r>
      <w:r>
        <w:rPr>
          <w:lang w:val="en_US" w:bidi="en_US"/>
        </w:rPr>
        <w:t>The Question about Paying Taxes (GNT)</w:t>
      </w:r>
    </w:p>
    <w:p>
      <w:pPr/>
      <w:r>
        <w:rPr>
          <w:lang w:val="en_US" w:bidi="en_US"/>
        </w:rPr>
      </w:r>
      <w:r>
        <w:rPr>
          <w:lang w:val="en_US" w:bidi="en_US"/>
        </w:rPr>
        <w:t>Paying Taxes to Caesar (NIV)</w:t>
      </w:r>
    </w:p>
    <w:p>
      <w:pPr/>
      <w:r>
        <w:rPr>
          <w:lang w:val="en_US" w:bidi="en_US"/>
        </w:rPr>
      </w:r>
      <w:r>
        <w:rPr>
          <w:lang w:val="en_US" w:bidi="en_US"/>
        </w:rPr>
        <w:t xml:space="preserve">Should people pay taxes to Caesar </w:t>
      </w:r>
      <w:r>
        <w:rPr>
          <w:lang w:val="en_US" w:bidi="en_US"/>
        </w:rPr>
        <w:t>or not</w:t>
      </w:r>
      <w:r>
        <w:rPr>
          <w:lang w:val="en_US" w:bidi="en_US"/>
        </w:rPr>
        <w:t>?</w:t>
      </w:r>
    </w:p>
    <w:p>
      <w:pPr/>
      <w:r>
        <w:rPr>
          <w:lang w:val="en_US" w:bidi="en_US"/>
        </w:rPr>
      </w:r>
      <w:r>
        <w:rPr>
          <w:lang w:val="en_US" w:bidi="en_US"/>
        </w:rPr>
        <w:t>There are parallel passages for this section in Matthew 22:15–22 and Mark 12:13–17.</w:t>
      </w:r>
    </w:p>
    <w:p>
      <w:pPr>
        <w:pStyle w:val="Heading5"/>
      </w:pPr>
      <w:r>
        <w:rPr>
          <w:lang w:val="en_US" w:bidi="en_US"/>
        </w:rPr>
        <w:t>20:23</w:t>
      </w:r>
    </w:p>
    <w:p>
      <w:pPr/>
      <w:r>
        <w:rPr>
          <w:lang w:val="en_US" w:bidi="en_US"/>
        </w:rPr>
      </w:r>
      <w:r>
        <w:rPr>
          <w:b/>
          <w:lang w:val="en_US" w:bidi="en_US"/>
        </w:rPr>
        <w:t>But Jesus saw through their duplicity and said to them,</w:t>
      </w:r>
    </w:p>
    <w:p>
      <w:pPr>
        <w:pStyle w:val="ListBullet"/>
        <w:spacing w:line="240" w:lineRule="auto"/>
        <w:ind w:left="720"/>
      </w:pPr>
      <w:r>
        <w:rPr>
          <w:lang w:val="en_US" w:bidi="en_US"/>
        </w:rPr>
      </w:r>
      <w:r>
        <w:rPr>
          <w:lang w:val="en_US" w:bidi="en_US"/>
        </w:rPr>
        <w:t>¶ Jesus perceived/knew that they were trying to deceive him. He said to them,</w:t>
      </w:r>
    </w:p>
    <w:p>
      <w:pPr>
        <w:pStyle w:val="ListBullet"/>
        <w:spacing w:line="240" w:lineRule="auto"/>
        <w:ind w:left="720"/>
      </w:pPr>
      <w:r>
        <w:rPr>
          <w:lang w:val="en_US" w:bidi="en_US"/>
        </w:rPr>
      </w:r>
      <w:r>
        <w:rPr>
          <w:lang w:val="en_US" w:bidi="en_US"/>
        </w:rPr>
        <w:t xml:space="preserve">¶ But Jesus realized </w:t>
      </w:r>
      <w:r>
        <w:rPr>
          <w:lang w:val="en_US" w:bidi="en_US"/>
        </w:rPr>
        <w:t>that they asked this</w:t>
      </w:r>
      <w:r>
        <w:rPr>
          <w:lang w:val="en_US" w:bidi="en_US"/>
        </w:rPr>
        <w:t xml:space="preserve"> craftily/insincerely in order to trick him, and/so he said to them,</w:t>
      </w:r>
    </w:p>
    <w:p>
      <w:pPr/>
      <w:r>
        <w:rPr>
          <w:lang w:val="en_US" w:bidi="en_US"/>
        </w:rPr>
      </w:r>
      <w:r>
        <w:rPr>
          <w:b/>
          <w:lang w:val="en_US" w:bidi="en_US"/>
        </w:rPr>
        <w:t>But:</w:t>
      </w:r>
      <w:r>
        <w:rPr>
          <w:lang w:val="en_US" w:bidi="en_US"/>
        </w:rPr>
        <w:t xml:space="preserve"> This conjunction indicates a contrast with 20:22. This verse tells how Jesus responded to the spies’ question. He responded in a way that they did not expect, so the BSB introduce the verse with </w:t>
      </w:r>
      <w:r>
        <w:rPr>
          <w:i/>
          <w:lang w:val="en_US" w:bidi="en_US"/>
        </w:rPr>
        <w:t>But</w:t>
      </w:r>
      <w:r>
        <w:rPr>
          <w:lang w:val="en_US" w:bidi="en_US"/>
        </w:rPr>
        <w:t>. Other English versions do not begin the verse with a conjunction. Begin the verse in a natural way in your language.</w:t>
      </w:r>
    </w:p>
    <w:p>
      <w:pPr/>
      <w:r>
        <w:rPr>
          <w:lang w:val="en_US" w:bidi="en_US"/>
        </w:rPr>
      </w:r>
      <w:r>
        <w:rPr>
          <w:b/>
          <w:lang w:val="en_US" w:bidi="en_US"/>
        </w:rPr>
        <w:t>Jesus saw through their duplicity:</w:t>
      </w:r>
      <w:r>
        <w:rPr>
          <w:lang w:val="en_US" w:bidi="en_US"/>
        </w:rPr>
        <w:t xml:space="preserve"> The Greek word that the BSB translates as </w:t>
      </w:r>
      <w:r>
        <w:rPr>
          <w:i/>
          <w:lang w:val="en_US" w:bidi="en_US"/>
        </w:rPr>
        <w:t>saw through</w:t>
      </w:r>
      <w:r>
        <w:rPr>
          <w:lang w:val="en_US" w:bidi="en_US"/>
        </w:rPr>
        <w:t xml:space="preserve"> means “to notice.”</w:t>
      </w:r>
      <w:r>
        <w:rPr>
          <w:lang w:val="en_US" w:bidi="en_US"/>
        </w:rPr>
        <w:t>BDAG, p. 522.</w:t>
      </w:r>
      <w:r>
        <w:rPr>
          <w:lang w:val="en_US" w:bidi="en_US"/>
        </w:rPr>
        <w:t xml:space="preserve"> The clause </w:t>
      </w:r>
      <w:r>
        <w:rPr>
          <w:i/>
          <w:lang w:val="en_US" w:bidi="en_US"/>
        </w:rPr>
        <w:t>Jesus saw through their duplicity</w:t>
      </w:r>
      <w:r>
        <w:rPr>
          <w:lang w:val="en_US" w:bidi="en_US"/>
        </w:rPr>
        <w:t xml:space="preserve"> indicates that Jesus realized that the spies were trying to trick him. Other ways to translate it are:</w:t>
      </w:r>
    </w:p>
    <w:p>
      <w:pPr/>
      <w:r>
        <w:rPr>
          <w:lang w:val="en_US" w:bidi="en_US"/>
        </w:rPr>
      </w:r>
      <w:r>
        <w:rPr>
          <w:lang w:val="en_US" w:bidi="en_US"/>
        </w:rPr>
        <w:t>Jesus perceived their deceit (NET)</w:t>
      </w:r>
    </w:p>
    <w:p>
      <w:pPr/>
      <w:r>
        <w:rPr>
          <w:lang w:val="en_US" w:bidi="en_US"/>
        </w:rPr>
      </w:r>
      <w:r>
        <w:rPr>
          <w:lang w:val="en_US" w:bidi="en_US"/>
        </w:rPr>
        <w:t>he was aware of their cunning (NJB)</w:t>
      </w:r>
    </w:p>
    <w:p>
      <w:pPr/>
      <w:r>
        <w:rPr>
          <w:lang w:val="en_US" w:bidi="en_US"/>
        </w:rPr>
      </w:r>
      <w:r>
        <w:rPr>
          <w:lang w:val="en_US" w:bidi="en_US"/>
        </w:rPr>
        <w:t>He detected their trickery (NASB)</w:t>
      </w:r>
    </w:p>
    <w:p>
      <w:pPr/>
      <w:r>
        <w:rPr>
          <w:lang w:val="en_US" w:bidi="en_US"/>
        </w:rPr>
      </w:r>
      <w:r>
        <w:rPr>
          <w:lang w:val="en_US" w:bidi="en_US"/>
        </w:rPr>
        <w:t>The BSB uses an idiom to translate this meaning. If you have an idiom in your language that expresses it, you may be able to use it here.</w:t>
      </w:r>
    </w:p>
    <w:p>
      <w:pPr/>
      <w:r>
        <w:rPr>
          <w:lang w:val="en_US" w:bidi="en_US"/>
        </w:rPr>
      </w:r>
      <w:r>
        <w:rPr>
          <w:b/>
          <w:lang w:val="en_US" w:bidi="en_US"/>
        </w:rPr>
        <w:t>duplicity:</w:t>
      </w:r>
      <w:r>
        <w:rPr>
          <w:lang w:val="en_US" w:bidi="en_US"/>
        </w:rPr>
        <w:t xml:space="preserve"> The Greek word that the BSB translates as </w:t>
      </w:r>
      <w:r>
        <w:rPr>
          <w:i/>
          <w:lang w:val="en_US" w:bidi="en_US"/>
        </w:rPr>
        <w:t>duplicity</w:t>
      </w:r>
      <w:r>
        <w:rPr>
          <w:lang w:val="en_US" w:bidi="en_US"/>
        </w:rPr>
        <w:t xml:space="preserve"> means “cunning, craftiness, trickery.”</w:t>
      </w:r>
      <w:r>
        <w:rPr>
          <w:lang w:val="en_US" w:bidi="en_US"/>
        </w:rPr>
        <w:t>BDAG, p. 754.</w:t>
      </w:r>
      <w:r>
        <w:rPr>
          <w:lang w:val="en_US" w:bidi="en_US"/>
        </w:rPr>
        <w:t xml:space="preserve"> Here it refers to a deceitful and evil trick. The spies wanted to trick Jesus into saying something that would cause him great harm, even death. Their motives were evil. Another way to translate this is:</w:t>
      </w:r>
    </w:p>
    <w:p>
      <w:pPr/>
      <w:r>
        <w:rPr>
          <w:lang w:val="en_US" w:bidi="en_US"/>
        </w:rPr>
      </w:r>
      <w:r>
        <w:rPr>
          <w:lang w:val="en_US" w:bidi="en_US"/>
        </w:rPr>
        <w:t xml:space="preserve">that they were trying </w:t>
      </w:r>
      <w:r>
        <w:rPr>
          <w:lang w:val="en_US" w:bidi="en_US"/>
        </w:rPr>
        <w:t>with evil intent/cunning</w:t>
      </w:r>
      <w:r>
        <w:rPr>
          <w:lang w:val="en_US" w:bidi="en_US"/>
        </w:rPr>
        <w:t xml:space="preserve"> to trick him</w:t>
      </w:r>
    </w:p>
    <w:p>
      <w:pPr/>
      <w:r>
        <w:rPr>
          <w:lang w:val="en_US" w:bidi="en_US"/>
        </w:rPr>
      </w:r>
      <w:r>
        <w:rPr>
          <w:b/>
          <w:lang w:val="en_US" w:bidi="en_US"/>
        </w:rPr>
        <w:t>and said to them:</w:t>
      </w:r>
      <w:r>
        <w:rPr>
          <w:lang w:val="en_US" w:bidi="en_US"/>
        </w:rPr>
        <w:t xml:space="preserve"> This clause introduces what Jesus said as a result of understanding the motives of the spies. Introduce his reply in a natural way in your language. Here is another way to translate this:</w:t>
      </w:r>
    </w:p>
    <w:p>
      <w:pPr/>
      <w:r>
        <w:rPr>
          <w:lang w:val="en_US" w:bidi="en_US"/>
        </w:rPr>
      </w:r>
      <w:r>
        <w:rPr>
          <w:lang w:val="en_US" w:bidi="en_US"/>
        </w:rPr>
        <w:t>So he told them (CEV)</w:t>
      </w:r>
      <w:r>
        <w:rPr>
          <w:lang w:val="en_US" w:bidi="en_US"/>
        </w:rPr>
      </w:r>
      <w:r>
        <w:rPr>
          <w:lang w:val="en_US" w:bidi="en_US"/>
        </w:rPr>
      </w:r>
    </w:p>
    <w:p>
      <w:pPr/>
      <w:r>
        <w:rPr>
          <w:lang w:val="en_US" w:bidi="en_US"/>
        </w:rPr>
      </w:r>
    </w:p>
    <w:p>
      <w:pPr>
        <w:pStyle w:val="Heading2"/>
      </w:pPr>
      <w:r>
        <w:rPr>
          <w:lang w:val="en_US" w:bidi="en_US"/>
        </w:rPr>
        <w:t>Luke 20:24</w:t>
      </w:r>
      <w:r>
        <w:rPr>
          <w:lang w:val="en_US" w:bidi="en_US"/>
        </w:rPr>
      </w:r>
    </w:p>
    <w:p>
      <w:pPr>
        <w:pStyle w:val="Heading4"/>
      </w:pPr>
      <w:r>
        <w:rPr>
          <w:lang w:val="en_US" w:bidi="en_US"/>
        </w:rPr>
        <w:t>Section 20:20–26: Jewish leaders tried to trap Jesus with a question about taxes</w:t>
      </w:r>
    </w:p>
    <w:p>
      <w:pPr/>
      <w:r>
        <w:rPr>
          <w:lang w:val="en_US" w:bidi="en_US"/>
        </w:rPr>
      </w:r>
      <w:r>
        <w:rPr>
          <w:lang w:val="en_US" w:bidi="en_US"/>
        </w:rPr>
        <w:t>The chief priests, the scribes, and the elders mentioned in 20:1 sent men to trick Jesus into saying something for which they could accuse him and arrest him. They wanted to cause trouble for him.</w:t>
      </w:r>
    </w:p>
    <w:p>
      <w:pPr/>
      <w:r>
        <w:rPr>
          <w:lang w:val="en_US" w:bidi="en_US"/>
        </w:rPr>
      </w:r>
      <w:r>
        <w:rPr>
          <w:lang w:val="en_US" w:bidi="en_US"/>
        </w:rPr>
        <w:t>The men asked Jesus, “Should the Jews pay taxes to the Roman Emperor Caesar or not?” The word “Caesar” was the title that the Roman people gave to their highest ruler, the emperor.</w:t>
      </w:r>
      <w:r>
        <w:rPr>
          <w:lang w:val="en_US" w:bidi="en_US"/>
        </w:rPr>
        <w:t>The Romans worshiped their emperor as a god.</w:t>
      </w:r>
      <w:r>
        <w:rPr>
          <w:lang w:val="en_US" w:bidi="en_US"/>
        </w:rPr>
        <w:t xml:space="preserve"> The Romans ruled over the Jews at that time and forced them to pay taxes.</w:t>
      </w:r>
    </w:p>
    <w:p>
      <w:pPr/>
      <w:r>
        <w:rPr>
          <w:lang w:val="en_US" w:bidi="en_US"/>
        </w:rPr>
      </w:r>
      <w:r>
        <w:rPr>
          <w:lang w:val="en_US" w:bidi="en_US"/>
        </w:rPr>
        <w:t>The men’s question was difficult because either a “yes” or a “no” answer would cause problems for Jesus. If Jesus answered, “yes, the Jews should pay taxes to the Romans,” he would make the Jews angry. If he answered “no, they should not pay,” he would make the Roman government angry. But Jesus answered wisely and avoided the trap that the Jewish leaders set for him.</w:t>
      </w:r>
    </w:p>
    <w:p>
      <w:pPr/>
      <w:r>
        <w:rPr>
          <w:lang w:val="en_US" w:bidi="en_US"/>
        </w:rPr>
      </w:r>
      <w:r>
        <w:rPr>
          <w:lang w:val="en_US" w:bidi="en_US"/>
        </w:rPr>
        <w:t>Some examples of headings for this section are:</w:t>
      </w:r>
    </w:p>
    <w:p>
      <w:pPr/>
      <w:r>
        <w:rPr>
          <w:lang w:val="en_US" w:bidi="en_US"/>
        </w:rPr>
      </w:r>
      <w:r>
        <w:rPr>
          <w:lang w:val="en_US" w:bidi="en_US"/>
        </w:rPr>
        <w:t>The Question about Paying Taxes (GNT)</w:t>
      </w:r>
    </w:p>
    <w:p>
      <w:pPr/>
      <w:r>
        <w:rPr>
          <w:lang w:val="en_US" w:bidi="en_US"/>
        </w:rPr>
      </w:r>
      <w:r>
        <w:rPr>
          <w:lang w:val="en_US" w:bidi="en_US"/>
        </w:rPr>
        <w:t>Paying Taxes to Caesar (NIV)</w:t>
      </w:r>
    </w:p>
    <w:p>
      <w:pPr/>
      <w:r>
        <w:rPr>
          <w:lang w:val="en_US" w:bidi="en_US"/>
        </w:rPr>
      </w:r>
      <w:r>
        <w:rPr>
          <w:lang w:val="en_US" w:bidi="en_US"/>
        </w:rPr>
        <w:t xml:space="preserve">Should people pay taxes to Caesar </w:t>
      </w:r>
      <w:r>
        <w:rPr>
          <w:lang w:val="en_US" w:bidi="en_US"/>
        </w:rPr>
        <w:t>or not</w:t>
      </w:r>
      <w:r>
        <w:rPr>
          <w:lang w:val="en_US" w:bidi="en_US"/>
        </w:rPr>
        <w:t>?</w:t>
      </w:r>
    </w:p>
    <w:p>
      <w:pPr/>
      <w:r>
        <w:rPr>
          <w:lang w:val="en_US" w:bidi="en_US"/>
        </w:rPr>
      </w:r>
      <w:r>
        <w:rPr>
          <w:lang w:val="en_US" w:bidi="en_US"/>
        </w:rPr>
        <w:t>There are parallel passages for this section in Matthew 22:15–22 and Mark 12:13–17.</w:t>
      </w:r>
    </w:p>
    <w:p>
      <w:pPr>
        <w:pStyle w:val="Heading5"/>
      </w:pPr>
      <w:r>
        <w:rPr>
          <w:lang w:val="en_US" w:bidi="en_US"/>
        </w:rPr>
        <w:t>20:24a</w:t>
      </w:r>
    </w:p>
    <w:p>
      <w:pPr/>
      <w:r>
        <w:rPr>
          <w:lang w:val="en_US" w:bidi="en_US"/>
        </w:rPr>
      </w:r>
      <w:r>
        <w:rPr>
          <w:b/>
          <w:lang w:val="en_US" w:bidi="en_US"/>
        </w:rPr>
        <w:t>“Show Me a denarius.</w:t>
      </w:r>
    </w:p>
    <w:p>
      <w:pPr>
        <w:pStyle w:val="ListBullet"/>
        <w:spacing w:line="240" w:lineRule="auto"/>
        <w:ind w:left="720"/>
      </w:pPr>
      <w:r>
        <w:rPr>
          <w:lang w:val="en_US" w:bidi="en_US"/>
        </w:rPr>
      </w:r>
      <w:r>
        <w:rPr>
          <w:lang w:val="en_US" w:bidi="en_US"/>
        </w:rPr>
        <w:t>“Show</w:t>
      </w:r>
      <w:r>
        <w:rPr>
          <w:vertAlign w:val="superscript"/>
          <w:lang w:val="en_US" w:bidi="en_US"/>
        </w:rPr>
        <w:t>(plur)</w:t>
      </w:r>
      <w:r>
        <w:rPr>
          <w:lang w:val="en_US" w:bidi="en_US"/>
        </w:rPr>
        <w:t xml:space="preserve"> me a denarius </w:t>
      </w:r>
      <w:r>
        <w:rPr>
          <w:lang w:val="en_US" w:bidi="en_US"/>
        </w:rPr>
        <w:t>coin</w:t>
      </w:r>
      <w:r>
        <w:rPr>
          <w:lang w:val="en_US" w:bidi="en_US"/>
        </w:rPr>
        <w:t>.</w:t>
      </w:r>
    </w:p>
    <w:p>
      <w:pPr>
        <w:pStyle w:val="ListBullet"/>
        <w:spacing w:line="240" w:lineRule="auto"/>
        <w:ind w:left="720"/>
      </w:pPr>
      <w:r>
        <w:rPr>
          <w:lang w:val="en_US" w:bidi="en_US"/>
        </w:rPr>
      </w:r>
      <w:r>
        <w:rPr>
          <w:lang w:val="en_US" w:bidi="en_US"/>
        </w:rPr>
        <w:t>“Let</w:t>
      </w:r>
      <w:r>
        <w:rPr>
          <w:vertAlign w:val="superscript"/>
          <w:lang w:val="en_US" w:bidi="en_US"/>
        </w:rPr>
        <w:t>(plur)</w:t>
      </w:r>
      <w:r>
        <w:rPr>
          <w:lang w:val="en_US" w:bidi="en_US"/>
        </w:rPr>
        <w:t xml:space="preserve"> me see the </w:t>
      </w:r>
      <w:r>
        <w:rPr>
          <w:lang w:val="en_US" w:bidi="en_US"/>
        </w:rPr>
        <w:t>Roman</w:t>
      </w:r>
      <w:r>
        <w:rPr>
          <w:lang w:val="en_US" w:bidi="en_US"/>
        </w:rPr>
        <w:t xml:space="preserve"> coin/money </w:t>
      </w:r>
      <w:r>
        <w:rPr>
          <w:lang w:val="en_US" w:bidi="en_US"/>
        </w:rPr>
        <w:t>that is used to pay the tax</w:t>
      </w:r>
      <w:r>
        <w:rPr>
          <w:lang w:val="en_US" w:bidi="en_US"/>
        </w:rPr>
        <w:t>.</w:t>
      </w:r>
    </w:p>
    <w:p>
      <w:pPr/>
      <w:r>
        <w:rPr>
          <w:lang w:val="en_US" w:bidi="en_US"/>
        </w:rPr>
      </w:r>
      <w:r>
        <w:rPr>
          <w:b/>
          <w:lang w:val="en_US" w:bidi="en_US"/>
        </w:rPr>
        <w:t>Show Me a denarius:</w:t>
      </w:r>
      <w:r>
        <w:rPr>
          <w:lang w:val="en_US" w:bidi="en_US"/>
        </w:rPr>
        <w:t xml:space="preserve"> Jesus wanted his questioners to show him one of the coins people used to pay the Roman tax. So he asked them to show him a </w:t>
      </w:r>
      <w:r>
        <w:rPr>
          <w:i/>
          <w:lang w:val="en_US" w:bidi="en_US"/>
        </w:rPr>
        <w:t>denarius</w:t>
      </w:r>
      <w:r>
        <w:rPr>
          <w:lang w:val="en_US" w:bidi="en_US"/>
        </w:rPr>
        <w:t xml:space="preserve"> coin. See the next note for more details.</w:t>
      </w:r>
    </w:p>
    <w:p>
      <w:pPr/>
      <w:r>
        <w:rPr>
          <w:lang w:val="en_US" w:bidi="en_US"/>
        </w:rPr>
      </w:r>
      <w:r>
        <w:rPr>
          <w:b/>
          <w:lang w:val="en_US" w:bidi="en_US"/>
        </w:rPr>
        <w:t>denarius:</w:t>
      </w:r>
      <w:r>
        <w:rPr>
          <w:lang w:val="en_US" w:bidi="en_US"/>
        </w:rPr>
        <w:t xml:space="preserve"> The word </w:t>
      </w:r>
      <w:r>
        <w:rPr>
          <w:i/>
          <w:lang w:val="en_US" w:bidi="en_US"/>
        </w:rPr>
        <w:t>denarius</w:t>
      </w:r>
      <w:r>
        <w:rPr>
          <w:lang w:val="en_US" w:bidi="en_US"/>
        </w:rPr>
        <w:t xml:space="preserve"> refers to a type of silver coin that Romans used as money. Each Roman coin had the name and image (picture) of Caesar on it. In this context that image is important. When Jesus answered the spies, he used Caesar’s image to teach them and the people an important truth. Some ways to translate </w:t>
      </w:r>
      <w:r>
        <w:rPr>
          <w:i/>
          <w:lang w:val="en_US" w:bidi="en_US"/>
        </w:rPr>
        <w:t>denarius</w:t>
      </w:r>
      <w:r>
        <w:rPr>
          <w:lang w:val="en_US" w:bidi="en_US"/>
        </w:rPr>
        <w:t xml:space="preserve"> in this context are:</w:t>
      </w:r>
    </w:p>
    <w:p>
      <w:pPr>
        <w:pStyle w:val="ListBullet"/>
        <w:spacing w:line="240" w:lineRule="auto"/>
        <w:ind w:left="720"/>
      </w:pPr>
      <w:r>
        <w:rPr>
          <w:lang w:val="en_US" w:bidi="en_US"/>
        </w:rPr>
      </w:r>
      <w:r>
        <w:rPr>
          <w:lang w:val="en_US" w:bidi="en_US"/>
        </w:rPr>
        <w:t>Use a more general term or a descriptive phrase. For example:</w:t>
      </w:r>
      <w:r>
        <w:rPr>
          <w:lang w:val="en_US" w:bidi="en_US"/>
        </w:rPr>
        <w:t>the Roman tax coin/money</w:t>
      </w:r>
      <w:r>
        <w:rPr>
          <w:lang w:val="en_US" w:bidi="en_US"/>
        </w:rPr>
        <w:t xml:space="preserve">the </w:t>
      </w:r>
      <w:r>
        <w:rPr>
          <w:lang w:val="en_US" w:bidi="en_US"/>
        </w:rPr>
        <w:t>type of</w:t>
      </w:r>
      <w:r>
        <w:rPr>
          <w:lang w:val="en_US" w:bidi="en_US"/>
        </w:rPr>
        <w:t xml:space="preserve"> coin used for paying taxes</w:t>
      </w:r>
      <w:r>
        <w:rPr>
          <w:lang w:val="en_US" w:bidi="en_US"/>
        </w:rPr>
        <w:t>a Roman coin (NLT)</w:t>
      </w:r>
    </w:p>
    <w:p>
      <w:pPr>
        <w:pStyle w:val="ListBullet"/>
        <w:spacing w:line="240" w:lineRule="auto"/>
        <w:ind w:left="720"/>
      </w:pPr>
      <w:r>
        <w:rPr>
          <w:lang w:val="en_US" w:bidi="en_US"/>
        </w:rPr>
      </w:r>
      <w:r>
        <w:rPr>
          <w:lang w:val="en_US" w:bidi="en_US"/>
        </w:rPr>
        <w:t>Use a borrowed word along with a general term. For example:</w:t>
      </w:r>
      <w:r>
        <w:rPr>
          <w:lang w:val="en_US" w:bidi="en_US"/>
        </w:rPr>
        <w:t>denarius coin</w:t>
      </w:r>
    </w:p>
    <w:p>
      <w:pPr/>
      <w:r>
        <w:rPr>
          <w:lang w:val="en_US" w:bidi="en_US"/>
        </w:rPr>
      </w:r>
      <w:r>
        <w:rPr>
          <w:lang w:val="en_US" w:bidi="en_US"/>
        </w:rPr>
        <w:t xml:space="preserve">The word </w:t>
      </w:r>
      <w:r>
        <w:rPr>
          <w:i/>
          <w:lang w:val="en_US" w:bidi="en_US"/>
        </w:rPr>
        <w:t>denarius</w:t>
      </w:r>
      <w:r>
        <w:rPr>
          <w:lang w:val="en_US" w:bidi="en_US"/>
        </w:rPr>
        <w:t xml:space="preserve"> occurred in the plural form in 7:41. However, in that context the focus was on the value of the coins, not on the image. You may need to translate in a different way here.</w:t>
      </w:r>
    </w:p>
    <w:p>
      <w:pPr>
        <w:pStyle w:val="Heading5"/>
      </w:pPr>
      <w:r>
        <w:rPr>
          <w:lang w:val="en_US" w:bidi="en_US"/>
        </w:rPr>
        <w:t>20:24b</w:t>
      </w:r>
    </w:p>
    <w:p>
      <w:pPr/>
      <w:r>
        <w:rPr>
          <w:lang w:val="en_US" w:bidi="en_US"/>
        </w:rPr>
      </w:r>
      <w:r>
        <w:rPr>
          <w:b/>
          <w:lang w:val="en_US" w:bidi="en_US"/>
        </w:rPr>
        <w:t>Whose image and inscription are on it?”</w:t>
      </w:r>
    </w:p>
    <w:p>
      <w:pPr>
        <w:pStyle w:val="ListBullet"/>
        <w:spacing w:line="240" w:lineRule="auto"/>
        <w:ind w:left="720"/>
      </w:pPr>
      <w:r>
        <w:rPr>
          <w:lang w:val="en_US" w:bidi="en_US"/>
        </w:rPr>
      </w:r>
      <w:r>
        <w:rPr>
          <w:lang w:val="en_US" w:bidi="en_US"/>
        </w:rPr>
        <w:t>Tell</w:t>
      </w:r>
      <w:r>
        <w:rPr>
          <w:vertAlign w:val="superscript"/>
          <w:lang w:val="en_US" w:bidi="en_US"/>
        </w:rPr>
        <w:t>(plur)</w:t>
      </w:r>
      <w:r>
        <w:rPr>
          <w:lang w:val="en_US" w:bidi="en_US"/>
        </w:rPr>
        <w:t xml:space="preserve"> </w:t>
      </w:r>
      <w:r>
        <w:rPr>
          <w:lang w:val="en_US" w:bidi="en_US"/>
        </w:rPr>
        <w:t>me</w:t>
      </w:r>
      <w:r>
        <w:rPr>
          <w:lang w:val="en_US" w:bidi="en_US"/>
        </w:rPr>
        <w:t xml:space="preserve"> whose picture/image and name are inscribed on it?”</w:t>
      </w:r>
    </w:p>
    <w:p>
      <w:pPr>
        <w:pStyle w:val="ListBullet"/>
        <w:spacing w:line="240" w:lineRule="auto"/>
        <w:ind w:left="720"/>
      </w:pPr>
      <w:r>
        <w:rPr>
          <w:lang w:val="en_US" w:bidi="en_US"/>
        </w:rPr>
      </w:r>
      <w:r>
        <w:rPr>
          <w:lang w:val="en_US" w:bidi="en_US"/>
        </w:rPr>
        <w:t xml:space="preserve">Whose image/face is </w:t>
      </w:r>
      <w:r>
        <w:rPr>
          <w:lang w:val="en_US" w:bidi="en_US"/>
        </w:rPr>
        <w:t>drawn/shown</w:t>
      </w:r>
      <w:r>
        <w:rPr>
          <w:lang w:val="en_US" w:bidi="en_US"/>
        </w:rPr>
        <w:t xml:space="preserve"> on it? Whose title is </w:t>
      </w:r>
      <w:r>
        <w:rPr>
          <w:lang w:val="en_US" w:bidi="en_US"/>
        </w:rPr>
        <w:t>written</w:t>
      </w:r>
      <w:r>
        <w:rPr>
          <w:lang w:val="en_US" w:bidi="en_US"/>
        </w:rPr>
        <w:t xml:space="preserve"> on it?”</w:t>
      </w:r>
    </w:p>
    <w:p>
      <w:pPr/>
      <w:r>
        <w:rPr>
          <w:lang w:val="en_US" w:bidi="en_US"/>
        </w:rPr>
      </w:r>
      <w:r>
        <w:rPr>
          <w:lang w:val="en_US" w:bidi="en_US"/>
        </w:rPr>
        <w:t>In this part of the verse Jesus asked the spies a question about the denarius. It implies that someone had showed Jesus a denarius, as he requested in 20:24a. In some languages it may be helpful to make this explicit here. For example:</w:t>
      </w:r>
    </w:p>
    <w:p>
      <w:pPr/>
      <w:r>
        <w:rPr>
          <w:lang w:val="en_US" w:bidi="en_US"/>
        </w:rPr>
      </w:r>
      <w:r>
        <w:rPr>
          <w:lang w:val="en_US" w:bidi="en_US"/>
        </w:rPr>
        <w:t>So they showed it to him</w:t>
      </w:r>
    </w:p>
    <w:p>
      <w:pPr/>
      <w:r>
        <w:rPr>
          <w:lang w:val="en_US" w:bidi="en_US"/>
        </w:rPr>
      </w:r>
      <w:r>
        <w:rPr>
          <w:lang w:val="en_US" w:bidi="en_US"/>
        </w:rPr>
        <w:t>It may also be natural to introduce the question that Jesus asked the spies. For example:</w:t>
      </w:r>
    </w:p>
    <w:p>
      <w:pPr/>
      <w:r>
        <w:rPr>
          <w:lang w:val="en_US" w:bidi="en_US"/>
        </w:rPr>
      </w:r>
      <w:r>
        <w:rPr>
          <w:lang w:val="en_US" w:bidi="en_US"/>
        </w:rPr>
        <w:t>Then he asked (CEV)</w:t>
      </w:r>
    </w:p>
    <w:p>
      <w:pPr/>
      <w:r>
        <w:rPr>
          <w:lang w:val="en_US" w:bidi="en_US"/>
        </w:rPr>
      </w:r>
      <w:r>
        <w:rPr>
          <w:b/>
          <w:lang w:val="en_US" w:bidi="en_US"/>
        </w:rPr>
        <w:t>Whose image and inscription are on it?:</w:t>
      </w:r>
      <w:r>
        <w:rPr>
          <w:lang w:val="en_US" w:bidi="en_US"/>
        </w:rPr>
        <w:t xml:space="preserve"> Jesus asked this question to prepare the people for what he wanted to teach them. Both Jesus and the spies knew the answer to this question, but Jesus still wanted them to say the answer and they did. Some ways to translate the question are:</w:t>
      </w:r>
    </w:p>
    <w:p>
      <w:pPr/>
      <w:r>
        <w:rPr>
          <w:lang w:val="en_US" w:bidi="en_US"/>
        </w:rPr>
      </w:r>
      <w:r>
        <w:rPr>
          <w:lang w:val="en_US" w:bidi="en_US"/>
        </w:rPr>
        <w:t>Whose image and name are on it? (NCV)</w:t>
      </w:r>
    </w:p>
    <w:p>
      <w:pPr/>
      <w:r>
        <w:rPr>
          <w:lang w:val="en_US" w:bidi="en_US"/>
        </w:rPr>
      </w:r>
      <w:r>
        <w:rPr>
          <w:lang w:val="en_US" w:bidi="en_US"/>
        </w:rPr>
        <w:t xml:space="preserve">Tell me whose picture and title </w:t>
      </w:r>
      <w:r>
        <w:rPr>
          <w:lang w:val="en_US" w:bidi="en_US"/>
        </w:rPr>
        <w:t>you see</w:t>
      </w:r>
      <w:r>
        <w:rPr>
          <w:lang w:val="en_US" w:bidi="en_US"/>
        </w:rPr>
        <w:t xml:space="preserve"> on it.</w:t>
      </w:r>
    </w:p>
    <w:p>
      <w:pPr/>
      <w:r>
        <w:rPr>
          <w:lang w:val="en_US" w:bidi="en_US"/>
        </w:rPr>
      </w:r>
      <w:r>
        <w:rPr>
          <w:b/>
          <w:lang w:val="en_US" w:bidi="en_US"/>
        </w:rPr>
        <w:t>image:</w:t>
      </w:r>
      <w:r>
        <w:rPr>
          <w:lang w:val="en_US" w:bidi="en_US"/>
        </w:rPr>
        <w:t xml:space="preserve"> The Greek word that the BSB translates as </w:t>
      </w:r>
      <w:r>
        <w:rPr>
          <w:i/>
          <w:lang w:val="en_US" w:bidi="en_US"/>
        </w:rPr>
        <w:t>image</w:t>
      </w:r>
      <w:r>
        <w:rPr>
          <w:lang w:val="en_US" w:bidi="en_US"/>
        </w:rPr>
        <w:t xml:space="preserve"> means “portrait” or “likeness.” On each denarius there was a picture of the emperor’s head. This image symbolically marked the coins as belonging to the emperor.</w:t>
      </w:r>
    </w:p>
    <w:p>
      <w:pPr/>
      <w:r>
        <w:rPr>
          <w:lang w:val="en_US" w:bidi="en_US"/>
        </w:rPr>
      </w:r>
      <w:r>
        <w:rPr>
          <w:lang w:val="en_US" w:bidi="en_US"/>
        </w:rPr>
        <w:t xml:space="preserve">Genesis 1:26–27 indicates that God made man in his image. In 20:25c Jesus implied a comparison between the image of Caesar on the coin and the image of God on people. If you have already translated Genesis 1:26–27, it may be helpful to translate </w:t>
      </w:r>
      <w:r>
        <w:rPr>
          <w:i/>
          <w:lang w:val="en_US" w:bidi="en_US"/>
        </w:rPr>
        <w:t>image</w:t>
      </w:r>
      <w:r>
        <w:rPr>
          <w:lang w:val="en_US" w:bidi="en_US"/>
        </w:rPr>
        <w:t xml:space="preserve"> with the same word that you used for “image” or “likeness” there. Do this only if it is clear and natural in your language. Other ways to translate </w:t>
      </w:r>
      <w:r>
        <w:rPr>
          <w:i/>
          <w:lang w:val="en_US" w:bidi="en_US"/>
        </w:rPr>
        <w:t>image</w:t>
      </w:r>
      <w:r>
        <w:rPr>
          <w:lang w:val="en_US" w:bidi="en_US"/>
        </w:rPr>
        <w:t xml:space="preserve"> here are:</w:t>
      </w:r>
    </w:p>
    <w:p>
      <w:pPr/>
      <w:r>
        <w:rPr>
          <w:lang w:val="en_US" w:bidi="en_US"/>
        </w:rPr>
      </w:r>
      <w:r>
        <w:rPr>
          <w:lang w:val="en_US" w:bidi="en_US"/>
        </w:rPr>
        <w:t>head (NRSV)</w:t>
      </w:r>
    </w:p>
    <w:p>
      <w:pPr/>
      <w:r>
        <w:rPr>
          <w:lang w:val="en_US" w:bidi="en_US"/>
        </w:rPr>
      </w:r>
      <w:r>
        <w:rPr>
          <w:lang w:val="en_US" w:bidi="en_US"/>
        </w:rPr>
        <w:t>picture (CEV)</w:t>
      </w:r>
    </w:p>
    <w:p>
      <w:pPr/>
      <w:r>
        <w:rPr>
          <w:lang w:val="en_US" w:bidi="en_US"/>
        </w:rPr>
      </w:r>
      <w:r>
        <w:rPr>
          <w:lang w:val="en_US" w:bidi="en_US"/>
        </w:rPr>
        <w:t>face (GNT)</w:t>
      </w:r>
    </w:p>
    <w:p>
      <w:pPr/>
      <w:r>
        <w:rPr>
          <w:lang w:val="en_US" w:bidi="en_US"/>
        </w:rPr>
      </w:r>
      <w:r>
        <w:rPr>
          <w:lang w:val="en_US" w:bidi="en_US"/>
        </w:rPr>
        <w:t>image (NCV)</w:t>
      </w:r>
    </w:p>
    <w:p>
      <w:pPr/>
      <w:r>
        <w:rPr>
          <w:lang w:val="en_US" w:bidi="en_US"/>
        </w:rPr>
      </w:r>
      <w:r>
        <w:rPr>
          <w:b/>
          <w:lang w:val="en_US" w:bidi="en_US"/>
        </w:rPr>
        <w:t>inscription:</w:t>
      </w:r>
      <w:r>
        <w:rPr>
          <w:lang w:val="en_US" w:bidi="en_US"/>
        </w:rPr>
        <w:t xml:space="preserve"> The </w:t>
      </w:r>
      <w:r>
        <w:rPr>
          <w:i/>
          <w:lang w:val="en_US" w:bidi="en_US"/>
        </w:rPr>
        <w:t>inscription</w:t>
      </w:r>
      <w:r>
        <w:rPr>
          <w:lang w:val="en_US" w:bidi="en_US"/>
        </w:rPr>
        <w:t xml:space="preserve"> on a coin is the writing on it. The writing on a denarius included the name of the emperor.</w:t>
      </w:r>
      <w:r>
        <w:rPr>
          <w:lang w:val="en_US" w:bidi="en_US"/>
        </w:rPr>
        <w:t>On a denarius, around the portrait of the emperor would have been written the words “Tiberius Caesar Augustus, son of the divine Augustus.” Tiberius was the emperor at that time, and so his name appeared on the coins.</w:t>
      </w:r>
      <w:r>
        <w:rPr>
          <w:lang w:val="en_US" w:bidi="en_US"/>
        </w:rPr>
        <w:t xml:space="preserve"> Some other ways to translate the word </w:t>
      </w:r>
      <w:r>
        <w:rPr>
          <w:i/>
          <w:lang w:val="en_US" w:bidi="en_US"/>
        </w:rPr>
        <w:t>inscription</w:t>
      </w:r>
      <w:r>
        <w:rPr>
          <w:lang w:val="en_US" w:bidi="en_US"/>
        </w:rPr>
        <w:t xml:space="preserve"> are:</w:t>
      </w:r>
    </w:p>
    <w:p>
      <w:pPr/>
      <w:r>
        <w:rPr>
          <w:lang w:val="en_US" w:bidi="en_US"/>
        </w:rPr>
      </w:r>
      <w:r>
        <w:rPr>
          <w:lang w:val="en_US" w:bidi="en_US"/>
        </w:rPr>
        <w:t>name (CEV)</w:t>
      </w:r>
    </w:p>
    <w:p>
      <w:pPr/>
      <w:r>
        <w:rPr>
          <w:lang w:val="en_US" w:bidi="en_US"/>
        </w:rPr>
      </w:r>
      <w:r>
        <w:rPr>
          <w:lang w:val="en_US" w:bidi="en_US"/>
        </w:rPr>
        <w:t>title (NLT)</w:t>
      </w:r>
    </w:p>
    <w:p>
      <w:pPr>
        <w:pStyle w:val="Heading5"/>
      </w:pPr>
      <w:r>
        <w:rPr>
          <w:lang w:val="en_US" w:bidi="en_US"/>
        </w:rPr>
        <w:t>20:24c</w:t>
      </w:r>
    </w:p>
    <w:p>
      <w:pPr/>
      <w:r>
        <w:rPr>
          <w:lang w:val="en_US" w:bidi="en_US"/>
        </w:rPr>
      </w:r>
      <w:r>
        <w:rPr>
          <w:b/>
          <w:lang w:val="en_US" w:bidi="en_US"/>
        </w:rPr>
        <w:t>“Caesar’s,” they answered.</w:t>
      </w:r>
    </w:p>
    <w:p>
      <w:pPr>
        <w:pStyle w:val="ListBullet"/>
        <w:spacing w:line="240" w:lineRule="auto"/>
        <w:ind w:left="720"/>
      </w:pPr>
      <w:r>
        <w:rPr>
          <w:lang w:val="en_US" w:bidi="en_US"/>
        </w:rPr>
      </w:r>
      <w:r>
        <w:rPr>
          <w:lang w:val="en_US" w:bidi="en_US"/>
        </w:rPr>
        <w:t xml:space="preserve">“The </w:t>
      </w:r>
      <w:r>
        <w:rPr>
          <w:lang w:val="en_US" w:bidi="en_US"/>
        </w:rPr>
        <w:t>picture/image and name</w:t>
      </w:r>
      <w:r>
        <w:rPr>
          <w:lang w:val="en_US" w:bidi="en_US"/>
        </w:rPr>
        <w:t xml:space="preserve"> of the emperor,” they answered </w:t>
      </w:r>
      <w:r>
        <w:rPr>
          <w:lang w:val="en_US" w:bidi="en_US"/>
        </w:rPr>
        <w:t>him</w:t>
      </w:r>
      <w:r>
        <w:rPr>
          <w:lang w:val="en_US" w:bidi="en_US"/>
        </w:rPr>
        <w:t>.</w:t>
      </w:r>
    </w:p>
    <w:p>
      <w:pPr>
        <w:pStyle w:val="ListBullet"/>
        <w:spacing w:line="240" w:lineRule="auto"/>
        <w:ind w:left="720"/>
      </w:pPr>
      <w:r>
        <w:rPr>
          <w:lang w:val="en_US" w:bidi="en_US"/>
        </w:rPr>
      </w:r>
      <w:r>
        <w:rPr>
          <w:lang w:val="en_US" w:bidi="en_US"/>
        </w:rPr>
        <w:t xml:space="preserve">The spies/men answered, “The emperor’s </w:t>
      </w:r>
      <w:r>
        <w:rPr>
          <w:lang w:val="en_US" w:bidi="en_US"/>
        </w:rPr>
        <w:t>image/face and title are on it</w:t>
      </w:r>
      <w:r>
        <w:rPr>
          <w:lang w:val="en_US" w:bidi="en_US"/>
        </w:rPr>
        <w:t>.”</w:t>
      </w:r>
    </w:p>
    <w:p>
      <w:pPr/>
      <w:r>
        <w:rPr>
          <w:lang w:val="en_US" w:bidi="en_US"/>
        </w:rPr>
      </w:r>
      <w:r>
        <w:rPr>
          <w:b/>
          <w:lang w:val="en_US" w:bidi="en_US"/>
        </w:rPr>
        <w:t>“Caesar’s,” they answered:</w:t>
      </w:r>
      <w:r>
        <w:rPr>
          <w:lang w:val="en_US" w:bidi="en_US"/>
        </w:rPr>
        <w:t xml:space="preserve"> The BSB places the words </w:t>
      </w:r>
      <w:r>
        <w:rPr>
          <w:i/>
          <w:lang w:val="en_US" w:bidi="en_US"/>
        </w:rPr>
        <w:t>they answered</w:t>
      </w:r>
      <w:r>
        <w:rPr>
          <w:lang w:val="en_US" w:bidi="en_US"/>
        </w:rPr>
        <w:t xml:space="preserve"> in the middle of what the spies said in response to Jesus’ question. In some languages. it may be necessary to put these words at the beginning of 20:24c. For example:</w:t>
      </w:r>
    </w:p>
    <w:p>
      <w:pPr/>
      <w:r>
        <w:rPr>
          <w:lang w:val="en_US" w:bidi="en_US"/>
        </w:rPr>
      </w:r>
      <w:r>
        <w:rPr>
          <w:lang w:val="en_US" w:bidi="en_US"/>
        </w:rPr>
        <w:t>And they said, “Caesar’s.”</w:t>
      </w:r>
    </w:p>
    <w:p>
      <w:pPr/>
      <w:r>
        <w:rPr>
          <w:lang w:val="en_US" w:bidi="en_US"/>
        </w:rPr>
      </w:r>
      <w:r>
        <w:rPr>
          <w:b/>
          <w:lang w:val="en_US" w:bidi="en_US"/>
        </w:rPr>
        <w:t>Caesar’s:</w:t>
      </w:r>
      <w:r>
        <w:rPr>
          <w:lang w:val="en_US" w:bidi="en_US"/>
        </w:rPr>
        <w:t xml:space="preserve"> The word </w:t>
      </w:r>
      <w:r>
        <w:rPr>
          <w:i/>
          <w:lang w:val="en_US" w:bidi="en_US"/>
        </w:rPr>
        <w:t>Caesar’s</w:t>
      </w:r>
      <w:r>
        <w:rPr>
          <w:lang w:val="en_US" w:bidi="en_US"/>
        </w:rPr>
        <w:t xml:space="preserve"> is the answer that the spies gave to Jesus’ question. In some languages it may be necessary to make this answer into a complete sentence. For example:</w:t>
      </w:r>
    </w:p>
    <w:p>
      <w:pPr/>
      <w:r>
        <w:rPr>
          <w:lang w:val="en_US" w:bidi="en_US"/>
        </w:rPr>
      </w:r>
      <w:r>
        <w:rPr>
          <w:lang w:val="en_US" w:bidi="en_US"/>
        </w:rPr>
        <w:t>the spies told him, “</w:t>
      </w:r>
      <w:r>
        <w:rPr>
          <w:lang w:val="en_US" w:bidi="en_US"/>
        </w:rPr>
        <w:t>The picture/image and name</w:t>
      </w:r>
      <w:r>
        <w:rPr>
          <w:lang w:val="en_US" w:bidi="en_US"/>
        </w:rPr>
        <w:t xml:space="preserve"> of Caesar </w:t>
      </w:r>
      <w:r>
        <w:rPr>
          <w:lang w:val="en_US" w:bidi="en_US"/>
        </w:rPr>
        <w:t>are on it</w:t>
      </w:r>
      <w:r>
        <w:rPr>
          <w:lang w:val="en_US" w:bidi="en_US"/>
        </w:rPr>
        <w:t>.”</w:t>
      </w:r>
    </w:p>
    <w:p>
      <w:pPr/>
      <w:r>
        <w:rPr>
          <w:lang w:val="en_US" w:bidi="en_US"/>
        </w:rPr>
      </w:r>
      <w:r>
        <w:rPr>
          <w:b/>
          <w:lang w:val="en_US" w:bidi="en_US"/>
        </w:rPr>
        <w:t>they answered:</w:t>
      </w:r>
      <w:r>
        <w:rPr>
          <w:lang w:val="en_US" w:bidi="en_US"/>
        </w:rPr>
        <w:t xml:space="preserve"> The BSB puts the phrase </w:t>
      </w:r>
      <w:r>
        <w:rPr>
          <w:i/>
          <w:lang w:val="en_US" w:bidi="en_US"/>
        </w:rPr>
        <w:t>they answered</w:t>
      </w:r>
      <w:r>
        <w:rPr>
          <w:lang w:val="en_US" w:bidi="en_US"/>
        </w:rPr>
        <w:t xml:space="preserve"> after the people’s answer. The Greek text places it before their answer. You may place this information where it is natural in your language.</w:t>
      </w:r>
      <w:r>
        <w:rPr>
          <w:lang w:val="en_US" w:bidi="en_US"/>
        </w:rPr>
      </w:r>
      <w:r>
        <w:rPr>
          <w:lang w:val="en_US" w:bidi="en_US"/>
        </w:rPr>
      </w:r>
    </w:p>
    <w:p>
      <w:pPr/>
      <w:r>
        <w:rPr>
          <w:lang w:val="en_US" w:bidi="en_US"/>
        </w:rPr>
      </w:r>
    </w:p>
    <w:p>
      <w:pPr>
        <w:pStyle w:val="Heading2"/>
      </w:pPr>
      <w:r>
        <w:rPr>
          <w:lang w:val="en_US" w:bidi="en_US"/>
        </w:rPr>
        <w:t>Luke 20:25</w:t>
      </w:r>
      <w:r>
        <w:rPr>
          <w:lang w:val="en_US" w:bidi="en_US"/>
        </w:rPr>
      </w:r>
    </w:p>
    <w:p>
      <w:pPr>
        <w:pStyle w:val="Heading4"/>
      </w:pPr>
      <w:r>
        <w:rPr>
          <w:lang w:val="en_US" w:bidi="en_US"/>
        </w:rPr>
        <w:t>Section 20:20–26: Jewish leaders tried to trap Jesus with a question about taxes</w:t>
      </w:r>
    </w:p>
    <w:p>
      <w:pPr/>
      <w:r>
        <w:rPr>
          <w:lang w:val="en_US" w:bidi="en_US"/>
        </w:rPr>
      </w:r>
      <w:r>
        <w:rPr>
          <w:lang w:val="en_US" w:bidi="en_US"/>
        </w:rPr>
        <w:t>The chief priests, the scribes, and the elders mentioned in 20:1 sent men to trick Jesus into saying something for which they could accuse him and arrest him. They wanted to cause trouble for him.</w:t>
      </w:r>
    </w:p>
    <w:p>
      <w:pPr/>
      <w:r>
        <w:rPr>
          <w:lang w:val="en_US" w:bidi="en_US"/>
        </w:rPr>
      </w:r>
      <w:r>
        <w:rPr>
          <w:lang w:val="en_US" w:bidi="en_US"/>
        </w:rPr>
        <w:t>The men asked Jesus, “Should the Jews pay taxes to the Roman Emperor Caesar or not?” The word “Caesar” was the title that the Roman people gave to their highest ruler, the emperor.</w:t>
      </w:r>
      <w:r>
        <w:rPr>
          <w:lang w:val="en_US" w:bidi="en_US"/>
        </w:rPr>
        <w:t>The Romans worshiped their emperor as a god.</w:t>
      </w:r>
      <w:r>
        <w:rPr>
          <w:lang w:val="en_US" w:bidi="en_US"/>
        </w:rPr>
        <w:t xml:space="preserve"> The Romans ruled over the Jews at that time and forced them to pay taxes.</w:t>
      </w:r>
    </w:p>
    <w:p>
      <w:pPr/>
      <w:r>
        <w:rPr>
          <w:lang w:val="en_US" w:bidi="en_US"/>
        </w:rPr>
      </w:r>
      <w:r>
        <w:rPr>
          <w:lang w:val="en_US" w:bidi="en_US"/>
        </w:rPr>
        <w:t>The men’s question was difficult because either a “yes” or a “no” answer would cause problems for Jesus. If Jesus answered, “yes, the Jews should pay taxes to the Romans,” he would make the Jews angry. If he answered “no, they should not pay,” he would make the Roman government angry. But Jesus answered wisely and avoided the trap that the Jewish leaders set for him.</w:t>
      </w:r>
    </w:p>
    <w:p>
      <w:pPr/>
      <w:r>
        <w:rPr>
          <w:lang w:val="en_US" w:bidi="en_US"/>
        </w:rPr>
      </w:r>
      <w:r>
        <w:rPr>
          <w:lang w:val="en_US" w:bidi="en_US"/>
        </w:rPr>
        <w:t>Some examples of headings for this section are:</w:t>
      </w:r>
    </w:p>
    <w:p>
      <w:pPr/>
      <w:r>
        <w:rPr>
          <w:lang w:val="en_US" w:bidi="en_US"/>
        </w:rPr>
      </w:r>
      <w:r>
        <w:rPr>
          <w:lang w:val="en_US" w:bidi="en_US"/>
        </w:rPr>
        <w:t>The Question about Paying Taxes (GNT)</w:t>
      </w:r>
    </w:p>
    <w:p>
      <w:pPr/>
      <w:r>
        <w:rPr>
          <w:lang w:val="en_US" w:bidi="en_US"/>
        </w:rPr>
      </w:r>
      <w:r>
        <w:rPr>
          <w:lang w:val="en_US" w:bidi="en_US"/>
        </w:rPr>
        <w:t>Paying Taxes to Caesar (NIV)</w:t>
      </w:r>
    </w:p>
    <w:p>
      <w:pPr/>
      <w:r>
        <w:rPr>
          <w:lang w:val="en_US" w:bidi="en_US"/>
        </w:rPr>
      </w:r>
      <w:r>
        <w:rPr>
          <w:lang w:val="en_US" w:bidi="en_US"/>
        </w:rPr>
        <w:t xml:space="preserve">Should people pay taxes to Caesar </w:t>
      </w:r>
      <w:r>
        <w:rPr>
          <w:lang w:val="en_US" w:bidi="en_US"/>
        </w:rPr>
        <w:t>or not</w:t>
      </w:r>
      <w:r>
        <w:rPr>
          <w:lang w:val="en_US" w:bidi="en_US"/>
        </w:rPr>
        <w:t>?</w:t>
      </w:r>
    </w:p>
    <w:p>
      <w:pPr/>
      <w:r>
        <w:rPr>
          <w:lang w:val="en_US" w:bidi="en_US"/>
        </w:rPr>
      </w:r>
      <w:r>
        <w:rPr>
          <w:lang w:val="en_US" w:bidi="en_US"/>
        </w:rPr>
        <w:t>There are parallel passages for this section in Matthew 22:15–22 and Mark 12:13–17.</w:t>
      </w:r>
    </w:p>
    <w:p>
      <w:pPr>
        <w:pStyle w:val="Heading5"/>
      </w:pPr>
      <w:r>
        <w:rPr>
          <w:lang w:val="en_US" w:bidi="en_US"/>
        </w:rPr>
        <w:t>20:25a</w:t>
      </w:r>
    </w:p>
    <w:p>
      <w:pPr/>
      <w:r>
        <w:rPr>
          <w:lang w:val="en_US" w:bidi="en_US"/>
        </w:rPr>
      </w:r>
      <w:r>
        <w:rPr>
          <w:b/>
          <w:lang w:val="en_US" w:bidi="en_US"/>
        </w:rPr>
        <w:t>So Jesus told them,</w:t>
      </w:r>
    </w:p>
    <w:p>
      <w:pPr>
        <w:pStyle w:val="ListBullet"/>
        <w:spacing w:line="240" w:lineRule="auto"/>
        <w:ind w:left="720"/>
      </w:pPr>
      <w:r>
        <w:rPr>
          <w:lang w:val="en_US" w:bidi="en_US"/>
        </w:rPr>
      </w:r>
      <w:r>
        <w:rPr>
          <w:lang w:val="en_US" w:bidi="en_US"/>
        </w:rPr>
        <w:t>Then Jesus said to them,</w:t>
      </w:r>
    </w:p>
    <w:p>
      <w:pPr>
        <w:pStyle w:val="ListBullet"/>
        <w:spacing w:line="240" w:lineRule="auto"/>
        <w:ind w:left="720"/>
      </w:pPr>
      <w:r>
        <w:rPr>
          <w:lang w:val="en_US" w:bidi="en_US"/>
        </w:rPr>
      </w:r>
      <w:r>
        <w:rPr>
          <w:lang w:val="en_US" w:bidi="en_US"/>
        </w:rPr>
        <w:t>So Jesus said to them,</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introduces what Jesus wanted the people to learn from his question and the answer. It is Jesus’ conclusion to the discussion. Some other ways to introduce this conclusion in English are:</w:t>
      </w:r>
    </w:p>
    <w:p>
      <w:pPr/>
      <w:r>
        <w:rPr>
          <w:lang w:val="en_US" w:bidi="en_US"/>
        </w:rPr>
      </w:r>
      <w:r>
        <w:rPr>
          <w:lang w:val="en_US" w:bidi="en_US"/>
        </w:rPr>
        <w:t>Therefore</w:t>
      </w:r>
    </w:p>
    <w:p>
      <w:pPr/>
      <w:r>
        <w:rPr>
          <w:lang w:val="en_US" w:bidi="en_US"/>
        </w:rPr>
      </w:r>
      <w:r>
        <w:rPr>
          <w:lang w:val="en_US" w:bidi="en_US"/>
        </w:rPr>
        <w:t>On that basis</w:t>
      </w:r>
    </w:p>
    <w:p>
      <w:pPr/>
      <w:r>
        <w:rPr>
          <w:lang w:val="en_US" w:bidi="en_US"/>
        </w:rPr>
      </w:r>
      <w:r>
        <w:rPr>
          <w:lang w:val="en_US" w:bidi="en_US"/>
        </w:rPr>
        <w:t>Because of that</w:t>
      </w:r>
    </w:p>
    <w:p>
      <w:pPr/>
      <w:r>
        <w:rPr>
          <w:lang w:val="en_US" w:bidi="en_US"/>
        </w:rPr>
      </w:r>
      <w:r>
        <w:rPr>
          <w:lang w:val="en_US" w:bidi="en_US"/>
        </w:rPr>
        <w:t>If that is so</w:t>
      </w:r>
      <w:r>
        <w:rPr>
          <w:lang w:val="en_US" w:bidi="en_US"/>
        </w:rPr>
        <w:t>Kankanaey back translation on TW.</w:t>
      </w:r>
    </w:p>
    <w:p>
      <w:pPr/>
      <w:r>
        <w:rPr>
          <w:lang w:val="en_US" w:bidi="en_US"/>
        </w:rPr>
      </w:r>
      <w:r>
        <w:rPr>
          <w:lang w:val="en_US" w:bidi="en_US"/>
        </w:rPr>
        <w:t>You should use a natural way in your language to introduce a conclusion like this.</w:t>
      </w:r>
    </w:p>
    <w:p>
      <w:pPr/>
      <w:r>
        <w:rPr>
          <w:lang w:val="en_US" w:bidi="en_US"/>
        </w:rPr>
      </w:r>
      <w:r>
        <w:rPr>
          <w:b/>
          <w:lang w:val="en_US" w:bidi="en_US"/>
        </w:rPr>
        <w:t>Jesus told them:</w:t>
      </w:r>
      <w:r>
        <w:rPr>
          <w:lang w:val="en_US" w:bidi="en_US"/>
        </w:rPr>
        <w:t xml:space="preserve"> This clause introduces Jesus’ response to the spies. The response is his conclusion based on what they have said.</w:t>
      </w:r>
    </w:p>
    <w:p>
      <w:pPr>
        <w:pStyle w:val="Heading5"/>
      </w:pPr>
      <w:r>
        <w:rPr>
          <w:lang w:val="en_US" w:bidi="en_US"/>
        </w:rPr>
        <w:t>20:25b</w:t>
      </w:r>
    </w:p>
    <w:p>
      <w:pPr/>
      <w:r>
        <w:rPr>
          <w:lang w:val="en_US" w:bidi="en_US"/>
        </w:rPr>
      </w:r>
      <w:r>
        <w:rPr>
          <w:b/>
          <w:lang w:val="en_US" w:bidi="en_US"/>
        </w:rPr>
        <w:t>“Give to Caesar what is Caesar’s,</w:t>
      </w:r>
    </w:p>
    <w:p>
      <w:pPr>
        <w:pStyle w:val="ListBullet"/>
        <w:spacing w:line="240" w:lineRule="auto"/>
        <w:ind w:left="720"/>
      </w:pPr>
      <w:r>
        <w:rPr>
          <w:lang w:val="en_US" w:bidi="en_US"/>
        </w:rPr>
      </w:r>
      <w:r>
        <w:rPr>
          <w:lang w:val="en_US" w:bidi="en_US"/>
        </w:rPr>
        <w:t>“So/Therefore, give to the emperor whatever belongs to him,</w:t>
      </w:r>
    </w:p>
    <w:p>
      <w:pPr>
        <w:pStyle w:val="ListBullet"/>
        <w:spacing w:line="240" w:lineRule="auto"/>
        <w:ind w:left="720"/>
      </w:pPr>
      <w:r>
        <w:rPr>
          <w:lang w:val="en_US" w:bidi="en_US"/>
        </w:rPr>
      </w:r>
      <w:r>
        <w:rPr>
          <w:lang w:val="en_US" w:bidi="en_US"/>
        </w:rPr>
        <w:t>“</w:t>
      </w:r>
      <w:r>
        <w:rPr>
          <w:lang w:val="en_US" w:bidi="en_US"/>
        </w:rPr>
        <w:t>On that basis</w:t>
      </w:r>
      <w:r>
        <w:rPr>
          <w:lang w:val="en_US" w:bidi="en_US"/>
        </w:rPr>
        <w:t xml:space="preserve">, </w:t>
      </w:r>
      <w:r>
        <w:rPr>
          <w:lang w:val="en_US" w:bidi="en_US"/>
        </w:rPr>
        <w:t>know that</w:t>
      </w:r>
      <w:r>
        <w:rPr>
          <w:lang w:val="en_US" w:bidi="en_US"/>
        </w:rPr>
        <w:t xml:space="preserve"> you</w:t>
      </w:r>
      <w:r>
        <w:rPr>
          <w:vertAlign w:val="superscript"/>
          <w:lang w:val="en_US" w:bidi="en_US"/>
        </w:rPr>
        <w:t>(plur)</w:t>
      </w:r>
      <w:r>
        <w:rPr>
          <w:lang w:val="en_US" w:bidi="en_US"/>
        </w:rPr>
        <w:t xml:space="preserve"> should give to the emperor the things that are </w:t>
      </w:r>
      <w:r>
        <w:rPr>
          <w:lang w:val="en_US" w:bidi="en_US"/>
        </w:rPr>
        <w:t>rightfully</w:t>
      </w:r>
      <w:r>
        <w:rPr>
          <w:lang w:val="en_US" w:bidi="en_US"/>
        </w:rPr>
        <w:t xml:space="preserve"> his,</w:t>
      </w:r>
    </w:p>
    <w:p>
      <w:pPr/>
      <w:r>
        <w:rPr>
          <w:lang w:val="en_US" w:bidi="en_US"/>
        </w:rPr>
      </w:r>
      <w:r>
        <w:rPr>
          <w:b/>
          <w:lang w:val="en_US" w:bidi="en_US"/>
        </w:rPr>
        <w:t>Give to Caesar what is Caesar’s:</w:t>
      </w:r>
      <w:r>
        <w:rPr>
          <w:lang w:val="en_US" w:bidi="en_US"/>
        </w:rPr>
        <w:t xml:space="preserve"> The clause </w:t>
      </w:r>
      <w:r>
        <w:rPr>
          <w:i/>
          <w:lang w:val="en_US" w:bidi="en_US"/>
        </w:rPr>
        <w:t>Give to Caesar what is Caesar’s</w:t>
      </w:r>
      <w:r>
        <w:rPr>
          <w:lang w:val="en_US" w:bidi="en_US"/>
        </w:rPr>
        <w:t xml:space="preserve"> means that people should give to the Roman emperor what rightfully belongs to the emperor. This command implies that the Jews should obey the Roman law and pay the Roman tax. Some other ways to translate the command are:</w:t>
      </w:r>
    </w:p>
    <w:p>
      <w:pPr/>
      <w:r>
        <w:rPr>
          <w:lang w:val="en_US" w:bidi="en_US"/>
        </w:rPr>
      </w:r>
      <w:r>
        <w:rPr>
          <w:lang w:val="en_US" w:bidi="en_US"/>
        </w:rPr>
        <w:t>pay to the Emperor what belongs to the Emperor (GNT)</w:t>
      </w:r>
    </w:p>
    <w:p>
      <w:pPr/>
      <w:r>
        <w:rPr>
          <w:lang w:val="en_US" w:bidi="en_US"/>
        </w:rPr>
      </w:r>
      <w:r>
        <w:rPr>
          <w:lang w:val="en_US" w:bidi="en_US"/>
        </w:rPr>
        <w:t>give to Caesar the things that are Caesar’s (NET)</w:t>
      </w:r>
    </w:p>
    <w:p>
      <w:pPr>
        <w:pStyle w:val="Heading5"/>
      </w:pPr>
      <w:r>
        <w:rPr>
          <w:lang w:val="en_US" w:bidi="en_US"/>
        </w:rPr>
        <w:t>20:25c</w:t>
      </w:r>
    </w:p>
    <w:p>
      <w:pPr/>
      <w:r>
        <w:rPr>
          <w:lang w:val="en_US" w:bidi="en_US"/>
        </w:rPr>
      </w:r>
      <w:r>
        <w:rPr>
          <w:b/>
          <w:lang w:val="en_US" w:bidi="en_US"/>
        </w:rPr>
        <w:t>and to God what is God’s.”</w:t>
      </w:r>
    </w:p>
    <w:p>
      <w:pPr>
        <w:pStyle w:val="ListBullet"/>
        <w:spacing w:line="240" w:lineRule="auto"/>
        <w:ind w:left="720"/>
      </w:pPr>
      <w:r>
        <w:rPr>
          <w:lang w:val="en_US" w:bidi="en_US"/>
        </w:rPr>
      </w:r>
      <w:r>
        <w:rPr>
          <w:lang w:val="en_US" w:bidi="en_US"/>
        </w:rPr>
        <w:t xml:space="preserve">and </w:t>
      </w:r>
      <w:r>
        <w:rPr>
          <w:lang w:val="en_US" w:bidi="en_US"/>
        </w:rPr>
        <w:t>give</w:t>
      </w:r>
      <w:r>
        <w:rPr>
          <w:lang w:val="en_US" w:bidi="en_US"/>
        </w:rPr>
        <w:t xml:space="preserve"> to God whatever belongs to him!”</w:t>
      </w:r>
    </w:p>
    <w:p>
      <w:pPr>
        <w:pStyle w:val="ListBullet"/>
        <w:spacing w:line="240" w:lineRule="auto"/>
        <w:ind w:left="720"/>
      </w:pPr>
      <w:r>
        <w:rPr>
          <w:lang w:val="en_US" w:bidi="en_US"/>
        </w:rPr>
      </w:r>
      <w:r>
        <w:rPr>
          <w:lang w:val="en_US" w:bidi="en_US"/>
        </w:rPr>
        <w:t xml:space="preserve">and </w:t>
      </w:r>
      <w:r>
        <w:rPr>
          <w:lang w:val="en_US" w:bidi="en_US"/>
        </w:rPr>
        <w:t>you</w:t>
      </w:r>
      <w:r>
        <w:rPr>
          <w:vertAlign w:val="superscript"/>
          <w:lang w:val="en_US" w:bidi="en_US"/>
        </w:rPr>
        <w:t>(plur)</w:t>
      </w:r>
      <w:r>
        <w:rPr>
          <w:lang w:val="en_US" w:bidi="en_US"/>
        </w:rPr>
        <w:t xml:space="preserve"> </w:t>
      </w:r>
      <w:r>
        <w:rPr>
          <w:lang w:val="en_US" w:bidi="en_US"/>
        </w:rPr>
        <w:t>should give</w:t>
      </w:r>
      <w:r>
        <w:rPr>
          <w:lang w:val="en_US" w:bidi="en_US"/>
        </w:rPr>
        <w:t xml:space="preserve"> to God the things that are </w:t>
      </w:r>
      <w:r>
        <w:rPr>
          <w:lang w:val="en_US" w:bidi="en_US"/>
        </w:rPr>
        <w:t>rightfully</w:t>
      </w:r>
      <w:r>
        <w:rPr>
          <w:lang w:val="en_US" w:bidi="en_US"/>
        </w:rPr>
        <w:t xml:space="preserve"> his.”</w:t>
      </w:r>
    </w:p>
    <w:p>
      <w:pPr/>
      <w:r>
        <w:rPr>
          <w:lang w:val="en_US" w:bidi="en_US"/>
        </w:rPr>
      </w:r>
      <w:r>
        <w:rPr>
          <w:b/>
          <w:lang w:val="en_US" w:bidi="en_US"/>
        </w:rPr>
        <w:t>and to God what is God’s:</w:t>
      </w:r>
      <w:r>
        <w:rPr>
          <w:lang w:val="en_US" w:bidi="en_US"/>
        </w:rPr>
        <w:t xml:space="preserve"> In this clause the verb “give” is implied, as in 20:25c. In some languages it may be necessary to make it explicit. For example:</w:t>
      </w:r>
    </w:p>
    <w:p>
      <w:pPr/>
      <w:r>
        <w:rPr>
          <w:lang w:val="en_US" w:bidi="en_US"/>
        </w:rPr>
      </w:r>
      <w:r>
        <w:rPr>
          <w:lang w:val="en_US" w:bidi="en_US"/>
        </w:rPr>
        <w:t xml:space="preserve">and </w:t>
      </w:r>
      <w:r>
        <w:rPr>
          <w:lang w:val="en_US" w:bidi="en_US"/>
        </w:rPr>
        <w:t>give</w:t>
      </w:r>
      <w:r>
        <w:rPr>
          <w:lang w:val="en_US" w:bidi="en_US"/>
        </w:rPr>
        <w:t xml:space="preserve"> to God what is God’s</w:t>
      </w:r>
    </w:p>
    <w:p>
      <w:pPr/>
      <w:r>
        <w:rPr>
          <w:lang w:val="en_US" w:bidi="en_US"/>
        </w:rPr>
      </w:r>
      <w:r>
        <w:rPr>
          <w:lang w:val="en_US" w:bidi="en_US"/>
        </w:rPr>
        <w:t>The statement means that people should give to God what belongs to him. Just as Caesar’s government made coins with Caesar’s image, so God put his own image on people when he created them. This indicates that each person’s whole life belongs to God.</w:t>
      </w:r>
      <w:r>
        <w:rPr>
          <w:lang w:val="en_US" w:bidi="en_US"/>
        </w:rPr>
      </w:r>
      <w:r>
        <w:rPr>
          <w:lang w:val="en_US" w:bidi="en_US"/>
        </w:rPr>
      </w:r>
    </w:p>
    <w:p>
      <w:pPr/>
      <w:r>
        <w:rPr>
          <w:lang w:val="en_US" w:bidi="en_US"/>
        </w:rPr>
      </w:r>
    </w:p>
    <w:p>
      <w:pPr>
        <w:pStyle w:val="Heading2"/>
      </w:pPr>
      <w:r>
        <w:rPr>
          <w:lang w:val="en_US" w:bidi="en_US"/>
        </w:rPr>
        <w:t>Luke 20:26</w:t>
      </w:r>
      <w:r>
        <w:rPr>
          <w:lang w:val="en_US" w:bidi="en_US"/>
        </w:rPr>
      </w:r>
    </w:p>
    <w:p>
      <w:pPr>
        <w:pStyle w:val="Heading4"/>
      </w:pPr>
      <w:r>
        <w:rPr>
          <w:lang w:val="en_US" w:bidi="en_US"/>
        </w:rPr>
        <w:t>Section 20:20–26: Jewish leaders tried to trap Jesus with a question about taxes</w:t>
      </w:r>
    </w:p>
    <w:p>
      <w:pPr/>
      <w:r>
        <w:rPr>
          <w:lang w:val="en_US" w:bidi="en_US"/>
        </w:rPr>
      </w:r>
      <w:r>
        <w:rPr>
          <w:lang w:val="en_US" w:bidi="en_US"/>
        </w:rPr>
        <w:t>The chief priests, the scribes, and the elders mentioned in 20:1 sent men to trick Jesus into saying something for which they could accuse him and arrest him. They wanted to cause trouble for him.</w:t>
      </w:r>
    </w:p>
    <w:p>
      <w:pPr/>
      <w:r>
        <w:rPr>
          <w:lang w:val="en_US" w:bidi="en_US"/>
        </w:rPr>
      </w:r>
      <w:r>
        <w:rPr>
          <w:lang w:val="en_US" w:bidi="en_US"/>
        </w:rPr>
        <w:t>The men asked Jesus, “Should the Jews pay taxes to the Roman Emperor Caesar or not?” The word “Caesar” was the title that the Roman people gave to their highest ruler, the emperor.</w:t>
      </w:r>
      <w:r>
        <w:rPr>
          <w:lang w:val="en_US" w:bidi="en_US"/>
        </w:rPr>
        <w:t>The Romans worshiped their emperor as a god.</w:t>
      </w:r>
      <w:r>
        <w:rPr>
          <w:lang w:val="en_US" w:bidi="en_US"/>
        </w:rPr>
        <w:t xml:space="preserve"> The Romans ruled over the Jews at that time and forced them to pay taxes.</w:t>
      </w:r>
    </w:p>
    <w:p>
      <w:pPr/>
      <w:r>
        <w:rPr>
          <w:lang w:val="en_US" w:bidi="en_US"/>
        </w:rPr>
      </w:r>
      <w:r>
        <w:rPr>
          <w:lang w:val="en_US" w:bidi="en_US"/>
        </w:rPr>
        <w:t>The men’s question was difficult because either a “yes” or a “no” answer would cause problems for Jesus. If Jesus answered, “yes, the Jews should pay taxes to the Romans,” he would make the Jews angry. If he answered “no, they should not pay,” he would make the Roman government angry. But Jesus answered wisely and avoided the trap that the Jewish leaders set for him.</w:t>
      </w:r>
    </w:p>
    <w:p>
      <w:pPr/>
      <w:r>
        <w:rPr>
          <w:lang w:val="en_US" w:bidi="en_US"/>
        </w:rPr>
      </w:r>
      <w:r>
        <w:rPr>
          <w:lang w:val="en_US" w:bidi="en_US"/>
        </w:rPr>
        <w:t>Some examples of headings for this section are:</w:t>
      </w:r>
    </w:p>
    <w:p>
      <w:pPr/>
      <w:r>
        <w:rPr>
          <w:lang w:val="en_US" w:bidi="en_US"/>
        </w:rPr>
      </w:r>
      <w:r>
        <w:rPr>
          <w:lang w:val="en_US" w:bidi="en_US"/>
        </w:rPr>
        <w:t>The Question about Paying Taxes (GNT)</w:t>
      </w:r>
    </w:p>
    <w:p>
      <w:pPr/>
      <w:r>
        <w:rPr>
          <w:lang w:val="en_US" w:bidi="en_US"/>
        </w:rPr>
      </w:r>
      <w:r>
        <w:rPr>
          <w:lang w:val="en_US" w:bidi="en_US"/>
        </w:rPr>
        <w:t>Paying Taxes to Caesar (NIV)</w:t>
      </w:r>
    </w:p>
    <w:p>
      <w:pPr/>
      <w:r>
        <w:rPr>
          <w:lang w:val="en_US" w:bidi="en_US"/>
        </w:rPr>
      </w:r>
      <w:r>
        <w:rPr>
          <w:lang w:val="en_US" w:bidi="en_US"/>
        </w:rPr>
        <w:t xml:space="preserve">Should people pay taxes to Caesar </w:t>
      </w:r>
      <w:r>
        <w:rPr>
          <w:lang w:val="en_US" w:bidi="en_US"/>
        </w:rPr>
        <w:t>or not</w:t>
      </w:r>
      <w:r>
        <w:rPr>
          <w:lang w:val="en_US" w:bidi="en_US"/>
        </w:rPr>
        <w:t>?</w:t>
      </w:r>
    </w:p>
    <w:p>
      <w:pPr/>
      <w:r>
        <w:rPr>
          <w:lang w:val="en_US" w:bidi="en_US"/>
        </w:rPr>
      </w:r>
      <w:r>
        <w:rPr>
          <w:lang w:val="en_US" w:bidi="en_US"/>
        </w:rPr>
        <w:t>There are parallel passages for this section in Matthew 22:15–22 and Mark 12:13–17.</w:t>
      </w:r>
    </w:p>
    <w:p>
      <w:pPr>
        <w:pStyle w:val="Heading5"/>
      </w:pPr>
      <w:r>
        <w:rPr>
          <w:lang w:val="en_US" w:bidi="en_US"/>
        </w:rPr>
        <w:t>20:26a</w:t>
      </w:r>
    </w:p>
    <w:p>
      <w:pPr/>
      <w:r>
        <w:rPr>
          <w:lang w:val="en_US" w:bidi="en_US"/>
        </w:rPr>
      </w:r>
      <w:r>
        <w:rPr>
          <w:b/>
          <w:lang w:val="en_US" w:bidi="en_US"/>
        </w:rPr>
        <w:t>And they were unable to trap Him in His words before the people;</w:t>
      </w:r>
    </w:p>
    <w:p>
      <w:pPr>
        <w:pStyle w:val="ListBullet"/>
        <w:spacing w:line="240" w:lineRule="auto"/>
        <w:ind w:left="720"/>
      </w:pPr>
      <w:r>
        <w:rPr>
          <w:lang w:val="en_US" w:bidi="en_US"/>
        </w:rPr>
      </w:r>
      <w:r>
        <w:rPr>
          <w:lang w:val="en_US" w:bidi="en_US"/>
        </w:rPr>
        <w:t>The spies</w:t>
      </w:r>
      <w:r>
        <w:rPr>
          <w:lang w:val="en_US" w:bidi="en_US"/>
        </w:rPr>
        <w:t xml:space="preserve"> could not cause Jesus to say anything in the people’s presence that they could use against him.</w:t>
      </w:r>
    </w:p>
    <w:p>
      <w:pPr>
        <w:pStyle w:val="ListBullet"/>
        <w:spacing w:line="240" w:lineRule="auto"/>
        <w:ind w:left="720"/>
      </w:pPr>
      <w:r>
        <w:rPr>
          <w:lang w:val="en_US" w:bidi="en_US"/>
        </w:rPr>
      </w:r>
      <w:r>
        <w:rPr>
          <w:lang w:val="en_US" w:bidi="en_US"/>
        </w:rPr>
        <w:t>The men</w:t>
      </w:r>
      <w:r>
        <w:rPr>
          <w:lang w:val="en_US" w:bidi="en_US"/>
        </w:rPr>
        <w:t xml:space="preserve"> could not trick Jesus into saying anything wrong in front of the people, so the men could not accuse/harm him.</w:t>
      </w:r>
    </w:p>
    <w:p>
      <w:pPr/>
      <w:r>
        <w:rPr>
          <w:lang w:val="en_US" w:bidi="en_US"/>
        </w:rPr>
      </w:r>
      <w:r>
        <w:rPr>
          <w:b/>
          <w:lang w:val="en_US" w:bidi="en_US"/>
        </w:rPr>
        <w:t>And they were unable to trap Him in His words before the people:</w:t>
      </w:r>
      <w:r>
        <w:rPr>
          <w:lang w:val="en_US" w:bidi="en_US"/>
        </w:rPr>
        <w:t xml:space="preserve"> The word </w:t>
      </w:r>
      <w:r>
        <w:rPr>
          <w:i/>
          <w:lang w:val="en_US" w:bidi="en_US"/>
        </w:rPr>
        <w:t>they</w:t>
      </w:r>
      <w:r>
        <w:rPr>
          <w:lang w:val="en_US" w:bidi="en_US"/>
        </w:rPr>
        <w:t xml:space="preserve"> refers to the spies. The statement indicates that they were not able to use Jesus’ answer to harm him. Jesus did not answer by simply saying “yes” or “no,” as the spies expected he would. His answer was so wise that they could not use it to make either the Romans or the Jewish people angry with him. Other ways to translate this are:</w:t>
      </w:r>
    </w:p>
    <w:p>
      <w:pPr/>
      <w:r>
        <w:rPr>
          <w:lang w:val="en_US" w:bidi="en_US"/>
        </w:rPr>
      </w:r>
      <w:r>
        <w:rPr>
          <w:lang w:val="en_US" w:bidi="en_US"/>
        </w:rPr>
        <w:t>They couldn’t make him say anything wrong in front of the people. (GW)</w:t>
      </w:r>
    </w:p>
    <w:p>
      <w:pPr/>
      <w:r>
        <w:rPr>
          <w:lang w:val="en_US" w:bidi="en_US"/>
        </w:rPr>
      </w:r>
      <w:r>
        <w:rPr>
          <w:lang w:val="en_US" w:bidi="en_US"/>
        </w:rPr>
        <w:t>So they were not able to trap Jesus in anything he said in the presence of the people. (NCV)</w:t>
      </w:r>
    </w:p>
    <w:p>
      <w:pPr/>
      <w:r>
        <w:rPr>
          <w:lang w:val="en_US" w:bidi="en_US"/>
        </w:rPr>
      </w:r>
      <w:r>
        <w:rPr>
          <w:b/>
          <w:lang w:val="en_US" w:bidi="en_US"/>
        </w:rPr>
        <w:t>to trap Him:</w:t>
      </w:r>
      <w:r>
        <w:rPr>
          <w:lang w:val="en_US" w:bidi="en_US"/>
        </w:rPr>
        <w:t xml:space="preserve"> The Greek word that the BSB translates as </w:t>
      </w:r>
      <w:r>
        <w:rPr>
          <w:i/>
          <w:lang w:val="en_US" w:bidi="en_US"/>
        </w:rPr>
        <w:t>to trap</w:t>
      </w:r>
      <w:r>
        <w:rPr>
          <w:lang w:val="en_US" w:bidi="en_US"/>
        </w:rPr>
        <w:t xml:space="preserve"> is a form of the same word that was translated as “catch” in 20:20c. You should translate in a similar way here.</w:t>
      </w:r>
    </w:p>
    <w:p>
      <w:pPr/>
      <w:r>
        <w:rPr>
          <w:lang w:val="en_US" w:bidi="en_US"/>
        </w:rPr>
      </w:r>
      <w:r>
        <w:rPr>
          <w:b/>
          <w:lang w:val="en_US" w:bidi="en_US"/>
        </w:rPr>
        <w:t>before the people:</w:t>
      </w:r>
      <w:r>
        <w:rPr>
          <w:lang w:val="en_US" w:bidi="en_US"/>
        </w:rPr>
        <w:t xml:space="preserve"> The Greek phrase that the BSB literally translates this Greek phrase. The word </w:t>
      </w:r>
      <w:r>
        <w:rPr>
          <w:i/>
          <w:lang w:val="en_US" w:bidi="en_US"/>
        </w:rPr>
        <w:t>people</w:t>
      </w:r>
      <w:r>
        <w:rPr>
          <w:lang w:val="en_US" w:bidi="en_US"/>
        </w:rPr>
        <w:t xml:space="preserve"> was often used by the Jews to refer to themselves. In this context the phrase indicates that the spies were not able to trap or discredit Jesus there where the crowd of people was watching and listening.</w:t>
      </w:r>
    </w:p>
    <w:p>
      <w:pPr>
        <w:pStyle w:val="Heading5"/>
      </w:pPr>
      <w:r>
        <w:rPr>
          <w:lang w:val="en_US" w:bidi="en_US"/>
        </w:rPr>
        <w:t>20:26b</w:t>
      </w:r>
    </w:p>
    <w:p>
      <w:pPr/>
      <w:r>
        <w:rPr>
          <w:lang w:val="en_US" w:bidi="en_US"/>
        </w:rPr>
      </w:r>
      <w:r>
        <w:rPr>
          <w:b/>
          <w:lang w:val="en_US" w:bidi="en_US"/>
        </w:rPr>
        <w:t>and amazed at His answer, they fell silent.</w:t>
      </w:r>
    </w:p>
    <w:p>
      <w:pPr>
        <w:pStyle w:val="ListBullet"/>
        <w:spacing w:line="240" w:lineRule="auto"/>
        <w:ind w:left="720"/>
      </w:pPr>
      <w:r>
        <w:rPr>
          <w:lang w:val="en_US" w:bidi="en_US"/>
        </w:rPr>
      </w:r>
      <w:r>
        <w:rPr>
          <w:lang w:val="en_US" w:bidi="en_US"/>
        </w:rPr>
        <w:t xml:space="preserve">They were astonished at how he had answered </w:t>
      </w:r>
      <w:r>
        <w:rPr>
          <w:lang w:val="en_US" w:bidi="en_US"/>
        </w:rPr>
        <w:t>them</w:t>
      </w:r>
      <w:r>
        <w:rPr>
          <w:lang w:val="en_US" w:bidi="en_US"/>
        </w:rPr>
        <w:t>, and/so they were silent.</w:t>
      </w:r>
    </w:p>
    <w:p>
      <w:pPr>
        <w:pStyle w:val="ListBullet"/>
        <w:spacing w:line="240" w:lineRule="auto"/>
        <w:ind w:left="720"/>
      </w:pPr>
      <w:r>
        <w:rPr>
          <w:lang w:val="en_US" w:bidi="en_US"/>
        </w:rPr>
      </w:r>
      <w:r>
        <w:rPr>
          <w:lang w:val="en_US" w:bidi="en_US"/>
        </w:rPr>
        <w:t xml:space="preserve">They had nothing </w:t>
      </w:r>
      <w:r>
        <w:rPr>
          <w:lang w:val="en_US" w:bidi="en_US"/>
        </w:rPr>
        <w:t>more</w:t>
      </w:r>
      <w:r>
        <w:rPr>
          <w:lang w:val="en_US" w:bidi="en_US"/>
        </w:rPr>
        <w:t xml:space="preserve"> to say, because they were so amazed at his </w:t>
      </w:r>
      <w:r>
        <w:rPr>
          <w:lang w:val="en_US" w:bidi="en_US"/>
        </w:rPr>
        <w:t>wise</w:t>
      </w:r>
      <w:r>
        <w:rPr>
          <w:lang w:val="en_US" w:bidi="en_US"/>
        </w:rPr>
        <w:t xml:space="preserve"> answer.</w:t>
      </w:r>
    </w:p>
    <w:p>
      <w:pPr/>
      <w:r>
        <w:rPr>
          <w:lang w:val="en_US" w:bidi="en_US"/>
        </w:rPr>
      </w:r>
      <w:r>
        <w:rPr>
          <w:b/>
          <w:lang w:val="en_US" w:bidi="en_US"/>
        </w:rPr>
        <w:t>and amazed at His answer, they fell silent:</w:t>
      </w:r>
      <w:r>
        <w:rPr>
          <w:lang w:val="en_US" w:bidi="en_US"/>
        </w:rPr>
        <w:t xml:space="preserve"> The spies sent by the Jewish leaders were surprised and amazed at how well Jesus answered their question. They thought that their question would trap him whether he answered “yes” or “no.” They did not expect such a wise answer. Jesus had shown them their duty to give their complete devotion to God, but he had not said anything against the emperor. The spies could not think of anything to reply. They could not find anything wrong in what Jesus had said.</w:t>
      </w:r>
    </w:p>
    <w:p>
      <w:pPr/>
      <w:r>
        <w:rPr>
          <w:lang w:val="en_US" w:bidi="en_US"/>
        </w:rPr>
      </w:r>
      <w:r>
        <w:rPr>
          <w:lang w:val="en_US" w:bidi="en_US"/>
        </w:rPr>
        <w:t>In some languages there may be an idiom to express this amazement. For example:</w:t>
      </w:r>
    </w:p>
    <w:p>
      <w:pPr/>
      <w:r>
        <w:rPr>
          <w:lang w:val="en_US" w:bidi="en_US"/>
        </w:rPr>
      </w:r>
      <w:r>
        <w:rPr>
          <w:lang w:val="en_US" w:bidi="en_US"/>
        </w:rPr>
        <w:t>And stunned by his answer, they fell silent. (NET)</w:t>
      </w:r>
    </w:p>
    <w:p>
      <w:pPr/>
      <w:r>
        <w:rPr>
          <w:lang w:val="en_US" w:bidi="en_US"/>
        </w:rPr>
      </w:r>
      <w:r>
        <w:rPr>
          <w:lang w:val="en_US" w:bidi="en_US"/>
        </w:rPr>
        <w:t>In some languages it may be best to reverse the order of the two phrases in 20:26b. For example:</w:t>
      </w:r>
    </w:p>
    <w:p>
      <w:pPr/>
      <w:r>
        <w:rPr>
          <w:lang w:val="en_US" w:bidi="en_US"/>
        </w:rPr>
      </w:r>
      <w:r>
        <w:rPr>
          <w:lang w:val="en_US" w:bidi="en_US"/>
        </w:rPr>
        <w:t xml:space="preserve">They became silent because they were amazed at how he had answered </w:t>
      </w:r>
      <w:r>
        <w:rPr>
          <w:lang w:val="en_US" w:bidi="en_US"/>
        </w:rPr>
        <w:t>them</w:t>
      </w:r>
      <w:r>
        <w:rPr>
          <w:lang w:val="en_US" w:bidi="en_US"/>
        </w:rPr>
        <w:t>.</w:t>
      </w:r>
      <w:r>
        <w:rPr>
          <w:lang w:val="en_US" w:bidi="en_US"/>
        </w:rPr>
      </w:r>
      <w:r>
        <w:rPr>
          <w:lang w:val="en_US" w:bidi="en_US"/>
        </w:rPr>
      </w:r>
    </w:p>
    <w:p>
      <w:pPr/>
      <w:r>
        <w:rPr>
          <w:lang w:val="en_US" w:bidi="en_US"/>
        </w:rPr>
      </w:r>
    </w:p>
    <w:p>
      <w:pPr>
        <w:pStyle w:val="Heading2"/>
      </w:pPr>
      <w:r>
        <w:rPr>
          <w:lang w:val="en_US" w:bidi="en_US"/>
        </w:rPr>
        <w:t>Luke 20:27</w:t>
      </w:r>
      <w:r>
        <w:rPr>
          <w:lang w:val="en_US" w:bidi="en_US"/>
        </w:rPr>
      </w:r>
    </w:p>
    <w:p>
      <w:pPr>
        <w:pStyle w:val="Heading4"/>
      </w:pPr>
      <w:r>
        <w:rPr>
          <w:lang w:val="en_US" w:bidi="en_US"/>
        </w:rPr>
        <w:t>Section 20:27–40: Sadducees asked Jesus a trick question about the resurrection</w:t>
      </w:r>
    </w:p>
    <w:p>
      <w:pPr/>
      <w:r>
        <w:rPr>
          <w:lang w:val="en_US" w:bidi="en_US"/>
        </w:rPr>
      </w:r>
      <w:r>
        <w:rPr>
          <w:lang w:val="en_US" w:bidi="en_US"/>
        </w:rP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pPr/>
      <w:r>
        <w:rPr>
          <w:lang w:val="en_US" w:bidi="en_US"/>
        </w:rPr>
      </w:r>
      <w:r>
        <w:rPr>
          <w:lang w:val="en_US" w:bidi="en_US"/>
        </w:rP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rPr>
          <w:lang w:val="en_US" w:bidi="en_US"/>
        </w:rPr>
        <w:t xml:space="preserve">This custom was called </w:t>
      </w:r>
      <w:r>
        <w:rPr>
          <w:u w:val="single"/>
          <w:lang w:val="en_US" w:bidi="en_US"/>
        </w:rPr>
        <w:t>levirate</w:t>
      </w:r>
      <w:r>
        <w:rPr>
          <w:lang w:val="en_US" w:bidi="en_US"/>
        </w:rP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Examples of headings for this section are:</w:t>
      </w:r>
    </w:p>
    <w:p>
      <w:pPr/>
      <w:r>
        <w:rPr>
          <w:lang w:val="en_US" w:bidi="en_US"/>
        </w:rPr>
      </w:r>
      <w:r>
        <w:rPr>
          <w:lang w:val="en_US" w:bidi="en_US"/>
        </w:rPr>
        <w:t>The Question about Rising from Death (GNT)</w:t>
      </w:r>
    </w:p>
    <w:p>
      <w:pPr/>
      <w:r>
        <w:rPr>
          <w:lang w:val="en_US" w:bidi="en_US"/>
        </w:rPr>
      </w:r>
      <w:r>
        <w:rPr>
          <w:lang w:val="en_US" w:bidi="en_US"/>
        </w:rPr>
        <w:t>Do the dead rise again?</w:t>
      </w:r>
    </w:p>
    <w:p>
      <w:pPr/>
      <w:r>
        <w:rPr>
          <w:lang w:val="en_US" w:bidi="en_US"/>
        </w:rPr>
      </w:r>
      <w:r>
        <w:rPr>
          <w:lang w:val="en_US" w:bidi="en_US"/>
        </w:rPr>
        <w:t>The Sadducees challenged Jesus on people rising from death</w:t>
      </w:r>
    </w:p>
    <w:p>
      <w:pPr/>
      <w:r>
        <w:rPr>
          <w:lang w:val="en_US" w:bidi="en_US"/>
        </w:rPr>
      </w:r>
      <w:r>
        <w:rPr>
          <w:lang w:val="en_US" w:bidi="en_US"/>
        </w:rPr>
        <w:t>Parallel passages for this section are found in Matthew 22:23–33 and Mark 12:18–27.</w:t>
      </w:r>
    </w:p>
    <w:p>
      <w:pPr>
        <w:pStyle w:val="Heading5"/>
      </w:pPr>
      <w:r>
        <w:rPr>
          <w:lang w:val="en_US" w:bidi="en_US"/>
        </w:rPr>
        <w:t>20:27a</w:t>
      </w:r>
    </w:p>
    <w:p>
      <w:pPr/>
      <w:r>
        <w:rPr>
          <w:lang w:val="en_US" w:bidi="en_US"/>
        </w:rPr>
      </w:r>
      <w:r>
        <w:rPr>
          <w:b/>
          <w:lang w:val="en_US" w:bidi="en_US"/>
        </w:rPr>
        <w:t>Then some of the Sadducees,</w:t>
      </w:r>
    </w:p>
    <w:p>
      <w:pPr>
        <w:pStyle w:val="ListBullet"/>
        <w:spacing w:line="240" w:lineRule="auto"/>
        <w:ind w:left="720"/>
      </w:pPr>
      <w:r>
        <w:rPr>
          <w:lang w:val="en_US" w:bidi="en_US"/>
        </w:rPr>
      </w:r>
      <w:r>
        <w:rPr>
          <w:lang w:val="en_US" w:bidi="en_US"/>
        </w:rPr>
        <w:t xml:space="preserve">¶ Then some Sadducee </w:t>
      </w:r>
      <w:r>
        <w:rPr>
          <w:lang w:val="en_US" w:bidi="en_US"/>
        </w:rPr>
        <w:t>men</w:t>
      </w:r>
    </w:p>
    <w:p>
      <w:pPr>
        <w:pStyle w:val="ListBullet"/>
        <w:spacing w:line="240" w:lineRule="auto"/>
        <w:ind w:left="720"/>
      </w:pPr>
      <w:r>
        <w:rPr>
          <w:lang w:val="en_US" w:bidi="en_US"/>
        </w:rPr>
      </w:r>
      <w:r>
        <w:rPr>
          <w:lang w:val="en_US" w:bidi="en_US"/>
        </w:rPr>
        <w:t xml:space="preserve">¶ After that, some people from the Sadducee </w:t>
      </w:r>
      <w:r>
        <w:rPr>
          <w:lang w:val="en_US" w:bidi="en_US"/>
        </w:rPr>
        <w:t>religious group</w:t>
      </w:r>
    </w:p>
    <w:p>
      <w:pPr/>
      <w:r>
        <w:rPr>
          <w:lang w:val="en_US" w:bidi="en_US"/>
        </w:rPr>
      </w:r>
      <w:r>
        <w:rPr>
          <w:b/>
          <w:lang w:val="en_US" w:bidi="en_US"/>
        </w:rPr>
        <w:t>Then:</w:t>
      </w:r>
      <w:r>
        <w:rPr>
          <w:lang w:val="en_US" w:bidi="en_US"/>
        </w:rPr>
        <w:t xml:space="preserve"> In Greek, 20:27a begins with the common conjunction that the BSB translates as </w:t>
      </w:r>
      <w:r>
        <w:rPr>
          <w:i/>
          <w:lang w:val="en_US" w:bidi="en_US"/>
        </w:rPr>
        <w:t>Then</w:t>
      </w:r>
      <w:r>
        <w:rPr>
          <w:lang w:val="en_US" w:bidi="en_US"/>
        </w:rPr>
        <w:t>. Luke used this conjunction to introduce a new event. Matthew 22:23 indicates that this event happened on the same day as the events in the preceding section. The Greek text of Luke and Mark do not indicate how much time passed between these two events.</w:t>
      </w:r>
    </w:p>
    <w:p>
      <w:pPr/>
      <w:r>
        <w:rPr>
          <w:lang w:val="en_US" w:bidi="en_US"/>
        </w:rPr>
      </w:r>
      <w:r>
        <w:rPr>
          <w:lang w:val="en_US" w:bidi="en_US"/>
        </w:rPr>
        <w:t>If it is natural in your language to begin a story with a time word or phrase, use an expression that is not too specific. For example:</w:t>
      </w:r>
    </w:p>
    <w:p>
      <w:pPr/>
      <w:r>
        <w:rPr>
          <w:lang w:val="en_US" w:bidi="en_US"/>
        </w:rPr>
      </w:r>
      <w:r>
        <w:rPr>
          <w:lang w:val="en_US" w:bidi="en_US"/>
        </w:rPr>
        <w:t>Later</w:t>
      </w:r>
    </w:p>
    <w:p>
      <w:pPr/>
      <w:r>
        <w:rPr>
          <w:lang w:val="en_US" w:bidi="en_US"/>
        </w:rPr>
      </w:r>
      <w:r>
        <w:rPr>
          <w:lang w:val="en_US" w:bidi="en_US"/>
        </w:rPr>
        <w:t>After that</w:t>
      </w:r>
    </w:p>
    <w:p>
      <w:pPr/>
      <w:r>
        <w:rPr>
          <w:lang w:val="en_US" w:bidi="en_US"/>
        </w:rPr>
      </w:r>
      <w:r>
        <w:rPr>
          <w:lang w:val="en_US" w:bidi="en_US"/>
        </w:rPr>
        <w:t>In some languages, a time word or phrase is not necessary. Introduce this event in a natural way in your language.</w:t>
      </w:r>
    </w:p>
    <w:p>
      <w:pPr/>
      <w:r>
        <w:rPr>
          <w:lang w:val="en_US" w:bidi="en_US"/>
        </w:rPr>
      </w:r>
      <w:r>
        <w:rPr>
          <w:b/>
          <w:lang w:val="en_US" w:bidi="en_US"/>
        </w:rPr>
        <w:t>some of the Sadducees:</w:t>
      </w:r>
      <w:r>
        <w:rPr>
          <w:lang w:val="en_US" w:bidi="en_US"/>
        </w:rPr>
        <w:t xml:space="preserve"> The </w:t>
      </w:r>
      <w:r>
        <w:rPr>
          <w:i/>
          <w:lang w:val="en_US" w:bidi="en_US"/>
        </w:rPr>
        <w:t>Sadducees</w:t>
      </w:r>
      <w:r>
        <w:rPr>
          <w:lang w:val="en_US" w:bidi="en_US"/>
        </w:rPr>
        <w:t xml:space="preserve"> were a group of Jewish religious leaders who had certain beliefs. The Sadducees taught that the first five books of the Old Testament were more important than the other books. They did not believe that God would cause people to live again after they died. They also did not believe that angels or spirits existed (Acts 23:8).</w:t>
      </w:r>
    </w:p>
    <w:p>
      <w:pPr/>
      <w:r>
        <w:rPr>
          <w:lang w:val="en_US" w:bidi="en_US"/>
        </w:rPr>
      </w:r>
      <w:r>
        <w:rPr>
          <w:lang w:val="en_US" w:bidi="en_US"/>
        </w:rPr>
        <w:t xml:space="preserve">Here are some ways to translate </w:t>
      </w:r>
      <w:r>
        <w:rPr>
          <w:i/>
          <w:lang w:val="en_US" w:bidi="en_US"/>
        </w:rPr>
        <w:t>Sadducees</w:t>
      </w:r>
      <w:r>
        <w:rPr>
          <w:lang w:val="en_US" w:bidi="en_US"/>
        </w:rPr>
        <w:t>:</w:t>
      </w:r>
    </w:p>
    <w:p>
      <w:pPr>
        <w:pStyle w:val="ListBullet"/>
        <w:spacing w:line="240" w:lineRule="auto"/>
        <w:ind w:left="720"/>
      </w:pPr>
      <w:r>
        <w:rPr>
          <w:lang w:val="en_US" w:bidi="en_US"/>
        </w:rPr>
      </w:r>
      <w:r>
        <w:rPr>
          <w:lang w:val="en_US" w:bidi="en_US"/>
        </w:rPr>
        <w:t xml:space="preserve">Transliterate the word </w:t>
      </w:r>
      <w:r>
        <w:rPr>
          <w:i/>
          <w:lang w:val="en_US" w:bidi="en_US"/>
        </w:rPr>
        <w:t>Sadducees</w:t>
      </w:r>
      <w:r>
        <w:rPr>
          <w:lang w:val="en_US" w:bidi="en_US"/>
        </w:rPr>
        <w:t xml:space="preserve"> according to the sounds of your language and indicate that it refers to a group of people. For example:</w:t>
      </w:r>
      <w:r>
        <w:rPr>
          <w:lang w:val="en_US" w:bidi="en_US"/>
        </w:rPr>
        <w:t>Sadusi members</w:t>
      </w:r>
      <w:r>
        <w:rPr>
          <w:lang w:val="en_US" w:bidi="en_US"/>
        </w:rPr>
        <w:t>Saduce adherents</w:t>
      </w:r>
    </w:p>
    <w:p>
      <w:pPr>
        <w:pStyle w:val="ListBullet"/>
        <w:spacing w:line="240" w:lineRule="auto"/>
        <w:ind w:left="720"/>
      </w:pPr>
      <w:r>
        <w:rPr>
          <w:lang w:val="en_US" w:bidi="en_US"/>
        </w:rPr>
      </w:r>
      <w:r>
        <w:rPr>
          <w:lang w:val="en_US" w:bidi="en_US"/>
        </w:rPr>
        <w:t xml:space="preserve">Transliterate the word </w:t>
      </w:r>
      <w:r>
        <w:rPr>
          <w:i/>
          <w:lang w:val="en_US" w:bidi="en_US"/>
        </w:rPr>
        <w:t>Sadducees</w:t>
      </w:r>
      <w:r>
        <w:rPr>
          <w:lang w:val="en_US" w:bidi="en_US"/>
        </w:rPr>
        <w:t xml:space="preserve"> and indicate that it refers to a group of people with certain beliefs. For example:</w:t>
      </w:r>
      <w:r>
        <w:rPr>
          <w:lang w:val="en_US" w:bidi="en_US"/>
        </w:rPr>
        <w:t>people belonging to the Sadusi religious group</w:t>
      </w:r>
      <w:r>
        <w:rPr>
          <w:lang w:val="en_US" w:bidi="en_US"/>
        </w:rPr>
        <w:t>members of the Jewish group called the Saduceo</w:t>
      </w:r>
    </w:p>
    <w:p>
      <w:pPr/>
      <w:r>
        <w:rPr>
          <w:lang w:val="en_US" w:bidi="en_US"/>
        </w:rPr>
      </w:r>
      <w:r>
        <w:rPr>
          <w:lang w:val="en_US" w:bidi="en_US"/>
        </w:rPr>
        <w:t xml:space="preserve">The word </w:t>
      </w:r>
      <w:r>
        <w:rPr>
          <w:i/>
          <w:lang w:val="en_US" w:bidi="en_US"/>
        </w:rPr>
        <w:t>Sadducees</w:t>
      </w:r>
      <w:r>
        <w:rPr>
          <w:lang w:val="en_US" w:bidi="en_US"/>
        </w:rPr>
        <w:t xml:space="preserve"> occurs only here in Luke. It also occurs in Mark 12:18, Matthew 3:7, and six other times in Matthew. If you have translated those books, refer to how you translated </w:t>
      </w:r>
      <w:r>
        <w:rPr>
          <w:i/>
          <w:lang w:val="en_US" w:bidi="en_US"/>
        </w:rPr>
        <w:t>Sadducees</w:t>
      </w:r>
      <w:r>
        <w:rPr>
          <w:lang w:val="en_US" w:bidi="en_US"/>
        </w:rPr>
        <w:t xml:space="preserve"> there. You should translate </w:t>
      </w:r>
      <w:r>
        <w:rPr>
          <w:i/>
          <w:lang w:val="en_US" w:bidi="en_US"/>
        </w:rPr>
        <w:t>Sadducees</w:t>
      </w:r>
      <w:r>
        <w:rPr>
          <w:lang w:val="en_US" w:bidi="en_US"/>
        </w:rPr>
        <w:t xml:space="preserve"> in a similar way as you translated “Pharisees” in 17:20a–b.</w:t>
      </w:r>
    </w:p>
    <w:p>
      <w:pPr>
        <w:pStyle w:val="Heading5"/>
      </w:pPr>
      <w:r>
        <w:rPr>
          <w:lang w:val="en_US" w:bidi="en_US"/>
        </w:rPr>
        <w:t>20:27b</w:t>
      </w:r>
    </w:p>
    <w:p>
      <w:pPr/>
      <w:r>
        <w:rPr>
          <w:lang w:val="en_US" w:bidi="en_US"/>
        </w:rPr>
      </w:r>
      <w:r>
        <w:rPr>
          <w:b/>
          <w:lang w:val="en_US" w:bidi="en_US"/>
        </w:rPr>
        <w:t>who say there is no resurrection,</w:t>
      </w:r>
    </w:p>
    <w:p>
      <w:pPr>
        <w:pStyle w:val="ListBullet"/>
        <w:spacing w:line="240" w:lineRule="auto"/>
        <w:ind w:left="720"/>
      </w:pPr>
      <w:r>
        <w:rPr>
          <w:lang w:val="en_US" w:bidi="en_US"/>
        </w:rPr>
      </w:r>
      <w:r>
        <w:rPr>
          <w:lang w:val="en_US" w:bidi="en_US"/>
        </w:rPr>
        <w:t>came. Sadducees did not believe that people will live again after they die.</w:t>
      </w:r>
    </w:p>
    <w:p>
      <w:pPr>
        <w:pStyle w:val="ListBullet"/>
        <w:spacing w:line="240" w:lineRule="auto"/>
        <w:ind w:left="720"/>
      </w:pPr>
      <w:r>
        <w:rPr>
          <w:lang w:val="en_US" w:bidi="en_US"/>
        </w:rPr>
      </w:r>
      <w:r>
        <w:rPr>
          <w:lang w:val="en_US" w:bidi="en_US"/>
        </w:rPr>
        <w:t xml:space="preserve">came. </w:t>
      </w:r>
      <w:r>
        <w:rPr>
          <w:lang w:val="en_US" w:bidi="en_US"/>
        </w:rPr>
        <w:t>It was well known that</w:t>
      </w:r>
      <w:r>
        <w:rPr>
          <w:lang w:val="en_US" w:bidi="en_US"/>
        </w:rPr>
        <w:t xml:space="preserve"> Sadducees did not believe that </w:t>
      </w:r>
      <w:r>
        <w:rPr>
          <w:lang w:val="en_US" w:bidi="en_US"/>
        </w:rPr>
        <w:t>God will cause</w:t>
      </w:r>
      <w:r>
        <w:rPr>
          <w:lang w:val="en_US" w:bidi="en_US"/>
        </w:rPr>
        <w:t xml:space="preserve"> people to rise from the dead.</w:t>
      </w:r>
    </w:p>
    <w:p>
      <w:pPr>
        <w:pStyle w:val="Heading5"/>
      </w:pPr>
      <w:r>
        <w:rPr>
          <w:lang w:val="en_US" w:bidi="en_US"/>
        </w:rPr>
        <w:t>20:27c</w:t>
      </w:r>
    </w:p>
    <w:p>
      <w:pPr/>
      <w:r>
        <w:rPr>
          <w:lang w:val="en_US" w:bidi="en_US"/>
        </w:rPr>
      </w:r>
      <w:r>
        <w:rPr>
          <w:b/>
          <w:lang w:val="en_US" w:bidi="en_US"/>
        </w:rPr>
        <w:t>came to question Him.</w:t>
      </w:r>
    </w:p>
    <w:p>
      <w:pPr>
        <w:pStyle w:val="ListBullet"/>
        <w:spacing w:line="240" w:lineRule="auto"/>
        <w:ind w:left="720"/>
      </w:pPr>
      <w:r>
        <w:rPr>
          <w:lang w:val="en_US" w:bidi="en_US"/>
        </w:rPr>
      </w:r>
      <w:r>
        <w:rPr>
          <w:lang w:val="en_US" w:bidi="en_US"/>
        </w:rPr>
        <w:t xml:space="preserve">The men began to ask Jesus a </w:t>
      </w:r>
      <w:r>
        <w:rPr>
          <w:lang w:val="en_US" w:bidi="en_US"/>
        </w:rPr>
        <w:t>tricky</w:t>
      </w:r>
      <w:r>
        <w:rPr>
          <w:lang w:val="en_US" w:bidi="en_US"/>
        </w:rPr>
        <w:t xml:space="preserve"> question,</w:t>
      </w:r>
    </w:p>
    <w:p>
      <w:pPr>
        <w:pStyle w:val="ListBullet"/>
        <w:spacing w:line="240" w:lineRule="auto"/>
        <w:ind w:left="720"/>
      </w:pPr>
      <w:r>
        <w:rPr>
          <w:lang w:val="en_US" w:bidi="en_US"/>
        </w:rPr>
      </w:r>
      <w:r>
        <w:rPr>
          <w:lang w:val="en_US" w:bidi="en_US"/>
        </w:rPr>
        <w:t xml:space="preserve">These people </w:t>
      </w:r>
      <w:r>
        <w:rPr>
          <w:lang w:val="en_US" w:bidi="en_US"/>
        </w:rPr>
        <w:t>too</w:t>
      </w:r>
      <w:r>
        <w:rPr>
          <w:lang w:val="en_US" w:bidi="en_US"/>
        </w:rPr>
        <w:t xml:space="preserve"> </w:t>
      </w:r>
      <w:r>
        <w:rPr>
          <w:lang w:val="en_US" w:bidi="en_US"/>
        </w:rPr>
        <w:t>tried to trick/trap</w:t>
      </w:r>
      <w:r>
        <w:rPr>
          <w:lang w:val="en_US" w:bidi="en_US"/>
        </w:rPr>
        <w:t xml:space="preserve"> Jesus by asking him a </w:t>
      </w:r>
      <w:r>
        <w:rPr>
          <w:lang w:val="en_US" w:bidi="en_US"/>
        </w:rPr>
        <w:t>difficult</w:t>
      </w:r>
      <w:r>
        <w:rPr>
          <w:lang w:val="en_US" w:bidi="en_US"/>
        </w:rPr>
        <w:t xml:space="preserve"> question.</w:t>
      </w:r>
    </w:p>
    <w:p>
      <w:pPr>
        <w:pStyle w:val="Heading5"/>
      </w:pPr>
      <w:r>
        <w:rPr>
          <w:lang w:val="en_US" w:bidi="en_US"/>
        </w:rPr>
        <w:t>20:27b–c</w:t>
      </w:r>
    </w:p>
    <w:p>
      <w:pPr/>
      <w:r>
        <w:rPr>
          <w:lang w:val="en_US" w:bidi="en_US"/>
        </w:rPr>
      </w:r>
      <w:r>
        <w:rPr>
          <w:b/>
          <w:lang w:val="en_US" w:bidi="en_US"/>
        </w:rPr>
        <w:t>who say there is no resurrection:</w:t>
      </w:r>
      <w:r>
        <w:rPr>
          <w:lang w:val="en_US" w:bidi="en_US"/>
        </w:rPr>
        <w:t xml:space="preserve"> The clause </w:t>
      </w:r>
      <w:r>
        <w:rPr>
          <w:i/>
          <w:lang w:val="en_US" w:bidi="en_US"/>
        </w:rPr>
        <w:t>who say there is no resurrection</w:t>
      </w:r>
      <w:r>
        <w:rPr>
          <w:lang w:val="en_US" w:bidi="en_US"/>
        </w:rPr>
        <w:t xml:space="preserve"> tells a belief of the group called the Sadducees. The Sadducees believed that God does not cause people to live again after they die. They also taught this belief to other people.</w:t>
      </w:r>
    </w:p>
    <w:p>
      <w:pPr/>
      <w:r>
        <w:rPr>
          <w:lang w:val="en_US" w:bidi="en_US"/>
        </w:rPr>
      </w:r>
      <w:r>
        <w:rPr>
          <w:lang w:val="en_US" w:bidi="en_US"/>
        </w:rPr>
        <w:t xml:space="preserve">In this context the verb </w:t>
      </w:r>
      <w:r>
        <w:rPr>
          <w:i/>
          <w:lang w:val="en_US" w:bidi="en_US"/>
        </w:rPr>
        <w:t>say</w:t>
      </w:r>
      <w:r>
        <w:rPr>
          <w:lang w:val="en_US" w:bidi="en_US"/>
        </w:rPr>
        <w:t xml:space="preserve"> refers to what the Sadducees generally believed and taught. It does not imply that the Sadducees said this to Jesus when they came to ask Jesus their question.</w:t>
      </w:r>
    </w:p>
    <w:p>
      <w:pPr/>
      <w:r>
        <w:rPr>
          <w:lang w:val="en_US" w:bidi="en_US"/>
        </w:rPr>
      </w:r>
      <w:r>
        <w:rPr>
          <w:lang w:val="en_US" w:bidi="en_US"/>
        </w:rPr>
        <w:t>Some ways to translate this clause are:</w:t>
      </w:r>
    </w:p>
    <w:p>
      <w:pPr/>
      <w:r>
        <w:rPr>
          <w:lang w:val="en_US" w:bidi="en_US"/>
        </w:rPr>
      </w:r>
      <w:r>
        <w:rPr>
          <w:lang w:val="en_US" w:bidi="en_US"/>
        </w:rPr>
        <w:t>The Sadducees did not believe that people would rise to life after death. (CEV)</w:t>
      </w:r>
    </w:p>
    <w:p>
      <w:pPr/>
      <w:r>
        <w:rPr>
          <w:lang w:val="en_US" w:bidi="en_US"/>
        </w:rPr>
      </w:r>
      <w:r>
        <w:rPr>
          <w:lang w:val="en_US" w:bidi="en_US"/>
        </w:rPr>
        <w:t>…who believed people would not rise from the dead. (NCV)</w:t>
      </w:r>
    </w:p>
    <w:p>
      <w:pPr/>
      <w:r>
        <w:rPr>
          <w:lang w:val="en_US" w:bidi="en_US"/>
        </w:rPr>
      </w:r>
      <w:r>
        <w:rPr>
          <w:lang w:val="en_US" w:bidi="en_US"/>
        </w:rPr>
        <w:t>…who say that people will never come back to life. (GW)</w:t>
      </w:r>
    </w:p>
    <w:p>
      <w:pPr/>
      <w:r>
        <w:rPr>
          <w:lang w:val="en_US" w:bidi="en_US"/>
        </w:rPr>
      </w:r>
      <w:r>
        <w:rPr>
          <w:lang w:val="en_US" w:bidi="en_US"/>
        </w:rPr>
        <w:t>In some languages it may be helpful to indicate that Jesus did believe in the resurrection. For example:</w:t>
      </w:r>
    </w:p>
    <w:p>
      <w:pPr/>
      <w:r>
        <w:rPr>
          <w:lang w:val="en_US" w:bidi="en_US"/>
        </w:rPr>
      </w:r>
      <w:r>
        <w:rPr>
          <w:lang w:val="en_US" w:bidi="en_US"/>
        </w:rPr>
        <w:t xml:space="preserve">Sadducees, who did not believe, </w:t>
      </w:r>
      <w:r>
        <w:rPr>
          <w:lang w:val="en_US" w:bidi="en_US"/>
        </w:rPr>
        <w:t>as Jesus did,</w:t>
      </w:r>
      <w:r>
        <w:rPr>
          <w:lang w:val="en_US" w:bidi="en_US"/>
        </w:rPr>
        <w:t xml:space="preserve"> that there would be a resurrection.</w:t>
      </w:r>
    </w:p>
    <w:p>
      <w:pPr/>
      <w:r>
        <w:rPr>
          <w:lang w:val="en_US" w:bidi="en_US"/>
        </w:rPr>
      </w:r>
      <w:r>
        <w:rPr>
          <w:b/>
          <w:lang w:val="en_US" w:bidi="en_US"/>
        </w:rPr>
        <w:t>resurrection:</w:t>
      </w:r>
      <w:r>
        <w:rPr>
          <w:lang w:val="en_US" w:bidi="en_US"/>
        </w:rPr>
        <w:t xml:space="preserve"> The term </w:t>
      </w:r>
      <w:r>
        <w:rPr>
          <w:i/>
          <w:lang w:val="en_US" w:bidi="en_US"/>
        </w:rPr>
        <w:t>resurrection</w:t>
      </w:r>
      <w:r>
        <w:rPr>
          <w:lang w:val="en_US" w:bidi="en_US"/>
        </w:rPr>
        <w:t xml:space="preserve"> refers to people living again after they die.</w:t>
      </w:r>
      <w:r>
        <w:rPr>
          <w:lang w:val="en_US" w:bidi="en_US"/>
        </w:rPr>
        <w:t>Some scholars think that the term resurrection refers to a time in the future when God will cause all people who have died to live again.</w:t>
      </w:r>
      <w:r>
        <w:rPr>
          <w:lang w:val="en_US" w:bidi="en_US"/>
        </w:rPr>
        <w:t xml:space="preserve"> This term does not imply that a person will live again as a different person or as an animal. It implies that when God causes people to live again, they will have the same identities that they had before they died. The term also does not indicate that people will literally “rise” up into the air or from their beds or graves. It indicates that they will live again. In some languages there may be other idioms to refer to this. For example:</w:t>
      </w:r>
    </w:p>
    <w:p>
      <w:pPr/>
      <w:r>
        <w:rPr>
          <w:lang w:val="en_US" w:bidi="en_US"/>
        </w:rPr>
      </w:r>
      <w:r>
        <w:rPr>
          <w:lang w:val="en_US" w:bidi="en_US"/>
        </w:rPr>
        <w:t>when people come back to life again</w:t>
      </w:r>
    </w:p>
    <w:p>
      <w:pPr/>
      <w:r>
        <w:rPr>
          <w:lang w:val="en_US" w:bidi="en_US"/>
        </w:rPr>
      </w:r>
      <w:r>
        <w:rPr>
          <w:lang w:val="en_US" w:bidi="en_US"/>
        </w:rPr>
        <w:t>Check your translation of this term carefully to make sure that it does not communicate a wrong meaning.</w:t>
      </w:r>
    </w:p>
    <w:p>
      <w:pPr/>
      <w:r>
        <w:rPr>
          <w:lang w:val="en_US" w:bidi="en_US"/>
        </w:rPr>
      </w:r>
      <w:r>
        <w:rPr>
          <w:b/>
          <w:lang w:val="en_US" w:bidi="en_US"/>
        </w:rPr>
        <w:t>came to question Him:</w:t>
      </w:r>
      <w:r>
        <w:rPr>
          <w:lang w:val="en_US" w:bidi="en_US"/>
        </w:rPr>
        <w:t xml:space="preserve"> The Greek expression that the BSB translates as </w:t>
      </w:r>
      <w:r>
        <w:rPr>
          <w:i/>
          <w:lang w:val="en_US" w:bidi="en_US"/>
        </w:rPr>
        <w:t>came to question Him</w:t>
      </w:r>
      <w:r>
        <w:rPr>
          <w:lang w:val="en_US" w:bidi="en_US"/>
        </w:rPr>
        <w:t xml:space="preserve"> means that the Sadducees came to Jesus to ask him a question. Notice that the actual question is in 20:33. The verses from 20:28–32 describe an imaginary situation that the Sadducees told as an introduction or basis for their question.</w:t>
      </w:r>
    </w:p>
    <w:p>
      <w:pPr/>
      <w:r>
        <w:rPr>
          <w:lang w:val="en_US" w:bidi="en_US"/>
        </w:rPr>
      </w:r>
      <w:r>
        <w:rPr>
          <w:b/>
          <w:lang w:val="en_US" w:bidi="en_US"/>
        </w:rPr>
        <w:t>to question Him:</w:t>
      </w:r>
      <w:r>
        <w:rPr>
          <w:lang w:val="en_US" w:bidi="en_US"/>
        </w:rPr>
        <w:t xml:space="preserve"> The question that the Sadducees asked was not sincere. They asked it to trick Jesus and to ridicule the idea that people can live again after they die. In some languages it may be necessary to indicate some of this implied information. For example:</w:t>
      </w:r>
    </w:p>
    <w:p>
      <w:pPr/>
      <w:r>
        <w:rPr>
          <w:lang w:val="en_US" w:bidi="en_US"/>
        </w:rPr>
      </w:r>
      <w:r>
        <w:rPr>
          <w:lang w:val="en_US" w:bidi="en_US"/>
        </w:rPr>
        <w:t>to trick/discredit him</w:t>
      </w:r>
      <w:r>
        <w:rPr>
          <w:lang w:val="en_US" w:bidi="en_US"/>
        </w:rPr>
        <w:t xml:space="preserve"> with a </w:t>
      </w:r>
      <w:r>
        <w:rPr>
          <w:lang w:val="en_US" w:bidi="en_US"/>
        </w:rPr>
        <w:t>difficult</w:t>
      </w:r>
      <w:r>
        <w:rPr>
          <w:lang w:val="en_US" w:bidi="en_US"/>
        </w:rPr>
        <w:t xml:space="preserve"> question</w:t>
      </w:r>
      <w:r>
        <w:rPr>
          <w:lang w:val="en_US" w:bidi="en_US"/>
        </w:rPr>
      </w:r>
      <w:r>
        <w:rPr>
          <w:lang w:val="en_US" w:bidi="en_US"/>
        </w:rPr>
      </w:r>
    </w:p>
    <w:p>
      <w:pPr/>
      <w:r>
        <w:rPr>
          <w:lang w:val="en_US" w:bidi="en_US"/>
        </w:rPr>
      </w:r>
    </w:p>
    <w:p>
      <w:pPr>
        <w:pStyle w:val="Heading2"/>
      </w:pPr>
      <w:r>
        <w:rPr>
          <w:lang w:val="en_US" w:bidi="en_US"/>
        </w:rPr>
        <w:t>Luke 20:28</w:t>
      </w:r>
      <w:r>
        <w:rPr>
          <w:lang w:val="en_US" w:bidi="en_US"/>
        </w:rPr>
      </w:r>
    </w:p>
    <w:p>
      <w:pPr>
        <w:pStyle w:val="Heading4"/>
      </w:pPr>
      <w:r>
        <w:rPr>
          <w:lang w:val="en_US" w:bidi="en_US"/>
        </w:rPr>
        <w:t>Section 20:27–40: Sadducees asked Jesus a trick question about the resurrection</w:t>
      </w:r>
    </w:p>
    <w:p>
      <w:pPr/>
      <w:r>
        <w:rPr>
          <w:lang w:val="en_US" w:bidi="en_US"/>
        </w:rPr>
      </w:r>
      <w:r>
        <w:rPr>
          <w:lang w:val="en_US" w:bidi="en_US"/>
        </w:rP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pPr/>
      <w:r>
        <w:rPr>
          <w:lang w:val="en_US" w:bidi="en_US"/>
        </w:rPr>
      </w:r>
      <w:r>
        <w:rPr>
          <w:lang w:val="en_US" w:bidi="en_US"/>
        </w:rP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rPr>
          <w:lang w:val="en_US" w:bidi="en_US"/>
        </w:rPr>
        <w:t xml:space="preserve">This custom was called </w:t>
      </w:r>
      <w:r>
        <w:rPr>
          <w:u w:val="single"/>
          <w:lang w:val="en_US" w:bidi="en_US"/>
        </w:rPr>
        <w:t>levirate</w:t>
      </w:r>
      <w:r>
        <w:rPr>
          <w:lang w:val="en_US" w:bidi="en_US"/>
        </w:rP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Examples of headings for this section are:</w:t>
      </w:r>
    </w:p>
    <w:p>
      <w:pPr/>
      <w:r>
        <w:rPr>
          <w:lang w:val="en_US" w:bidi="en_US"/>
        </w:rPr>
      </w:r>
      <w:r>
        <w:rPr>
          <w:lang w:val="en_US" w:bidi="en_US"/>
        </w:rPr>
        <w:t>The Question about Rising from Death (GNT)</w:t>
      </w:r>
    </w:p>
    <w:p>
      <w:pPr/>
      <w:r>
        <w:rPr>
          <w:lang w:val="en_US" w:bidi="en_US"/>
        </w:rPr>
      </w:r>
      <w:r>
        <w:rPr>
          <w:lang w:val="en_US" w:bidi="en_US"/>
        </w:rPr>
        <w:t>Do the dead rise again?</w:t>
      </w:r>
    </w:p>
    <w:p>
      <w:pPr/>
      <w:r>
        <w:rPr>
          <w:lang w:val="en_US" w:bidi="en_US"/>
        </w:rPr>
      </w:r>
      <w:r>
        <w:rPr>
          <w:lang w:val="en_US" w:bidi="en_US"/>
        </w:rPr>
        <w:t>The Sadducees challenged Jesus on people rising from death</w:t>
      </w:r>
    </w:p>
    <w:p>
      <w:pPr/>
      <w:r>
        <w:rPr>
          <w:lang w:val="en_US" w:bidi="en_US"/>
        </w:rPr>
      </w:r>
      <w:r>
        <w:rPr>
          <w:lang w:val="en_US" w:bidi="en_US"/>
        </w:rPr>
        <w:t>Parallel passages for this section are found in Matthew 22:23–33 and Mark 12:18–27.</w:t>
      </w:r>
    </w:p>
    <w:p>
      <w:pPr>
        <w:pStyle w:val="Heading5"/>
      </w:pPr>
      <w:r>
        <w:rPr>
          <w:lang w:val="en_US" w:bidi="en_US"/>
        </w:rPr>
        <w:t>20:28a</w:t>
      </w:r>
    </w:p>
    <w:p>
      <w:pPr/>
      <w:r>
        <w:rPr>
          <w:lang w:val="en_US" w:bidi="en_US"/>
        </w:rPr>
      </w:r>
      <w:r>
        <w:rPr>
          <w:b/>
          <w:lang w:val="en_US" w:bidi="en_US"/>
        </w:rPr>
        <w:t>“Teacher,” they said, “Moses wrote for us that</w:t>
      </w:r>
    </w:p>
    <w:p>
      <w:pPr>
        <w:pStyle w:val="ListBullet"/>
        <w:spacing w:line="240" w:lineRule="auto"/>
        <w:ind w:left="720"/>
      </w:pPr>
      <w:r>
        <w:rPr>
          <w:lang w:val="en_US" w:bidi="en_US"/>
        </w:rPr>
      </w:r>
      <w:r>
        <w:rPr>
          <w:lang w:val="en_US" w:bidi="en_US"/>
        </w:rPr>
        <w:t>saying, “Teacher, Moses wrote that we</w:t>
      </w:r>
      <w:r>
        <w:rPr>
          <w:vertAlign w:val="superscript"/>
          <w:lang w:val="en_US" w:bidi="en_US"/>
        </w:rPr>
        <w:t>(incl)</w:t>
      </w:r>
      <w:r>
        <w:rPr>
          <w:lang w:val="en_US" w:bidi="en_US"/>
        </w:rPr>
        <w:t xml:space="preserve"> must follow </w:t>
      </w:r>
      <w:r>
        <w:rPr>
          <w:lang w:val="en_US" w:bidi="en_US"/>
        </w:rPr>
        <w:t>a certain custom</w:t>
      </w:r>
      <w:r>
        <w:rPr>
          <w:lang w:val="en_US" w:bidi="en_US"/>
        </w:rPr>
        <w:t>:</w:t>
      </w:r>
    </w:p>
    <w:p>
      <w:pPr>
        <w:pStyle w:val="ListBullet"/>
        <w:spacing w:line="240" w:lineRule="auto"/>
        <w:ind w:left="720"/>
      </w:pPr>
      <w:r>
        <w:rPr>
          <w:lang w:val="en_US" w:bidi="en_US"/>
        </w:rPr>
      </w:r>
      <w:r>
        <w:rPr>
          <w:lang w:val="en_US" w:bidi="en_US"/>
        </w:rPr>
        <w:t xml:space="preserve">They said to him, “Sir, when Moses wrote </w:t>
      </w:r>
      <w:r>
        <w:rPr>
          <w:lang w:val="en_US" w:bidi="en_US"/>
        </w:rPr>
        <w:t>God’s laws</w:t>
      </w:r>
      <w:r>
        <w:rPr>
          <w:lang w:val="en_US" w:bidi="en_US"/>
        </w:rPr>
        <w:t xml:space="preserve"> for us</w:t>
      </w:r>
      <w:r>
        <w:rPr>
          <w:vertAlign w:val="superscript"/>
          <w:lang w:val="en_US" w:bidi="en_US"/>
        </w:rPr>
        <w:t>(incl)</w:t>
      </w:r>
      <w:r>
        <w:rPr>
          <w:lang w:val="en_US" w:bidi="en_US"/>
        </w:rPr>
        <w:t xml:space="preserve"> </w:t>
      </w:r>
      <w:r>
        <w:rPr>
          <w:lang w:val="en_US" w:bidi="en_US"/>
        </w:rPr>
        <w:t>Jews</w:t>
      </w:r>
      <w:r>
        <w:rPr>
          <w:lang w:val="en_US" w:bidi="en_US"/>
        </w:rPr>
        <w:t>, he told us</w:t>
      </w:r>
    </w:p>
    <w:p>
      <w:pPr/>
      <w:r>
        <w:rPr>
          <w:lang w:val="en_US" w:bidi="en_US"/>
        </w:rPr>
      </w:r>
      <w:r>
        <w:rPr>
          <w:b/>
          <w:lang w:val="en_US" w:bidi="en_US"/>
        </w:rPr>
        <w:t>“Teacher,” they said:</w:t>
      </w:r>
      <w:r>
        <w:rPr>
          <w:lang w:val="en_US" w:bidi="en_US"/>
        </w:rPr>
        <w:t xml:space="preserve"> The BSB places the words </w:t>
      </w:r>
      <w:r>
        <w:rPr>
          <w:i/>
          <w:lang w:val="en_US" w:bidi="en_US"/>
        </w:rPr>
        <w:t>they said</w:t>
      </w:r>
      <w:r>
        <w:rPr>
          <w:lang w:val="en_US" w:bidi="en_US"/>
        </w:rPr>
        <w:t xml:space="preserve"> after the word </w:t>
      </w:r>
      <w:r>
        <w:rPr>
          <w:i/>
          <w:lang w:val="en_US" w:bidi="en_US"/>
        </w:rPr>
        <w:t>Teacher</w:t>
      </w:r>
      <w:r>
        <w:rPr>
          <w:lang w:val="en_US" w:bidi="en_US"/>
        </w:rPr>
        <w:t xml:space="preserve">. In Greek, the word that the BSB translates as </w:t>
      </w:r>
      <w:r>
        <w:rPr>
          <w:i/>
          <w:lang w:val="en_US" w:bidi="en_US"/>
        </w:rPr>
        <w:t>they said</w:t>
      </w:r>
      <w:r>
        <w:rPr>
          <w:lang w:val="en_US" w:bidi="en_US"/>
        </w:rPr>
        <w:t xml:space="preserve"> occurs at the beginning of 20:28a. Place the words </w:t>
      </w:r>
      <w:r>
        <w:rPr>
          <w:i/>
          <w:lang w:val="en_US" w:bidi="en_US"/>
        </w:rPr>
        <w:t>they said</w:t>
      </w:r>
      <w:r>
        <w:rPr>
          <w:lang w:val="en_US" w:bidi="en_US"/>
        </w:rPr>
        <w:t xml:space="preserve"> where it is natural in your language.</w:t>
      </w:r>
    </w:p>
    <w:p>
      <w:pPr/>
      <w:r>
        <w:rPr>
          <w:lang w:val="en_US" w:bidi="en_US"/>
        </w:rPr>
      </w:r>
      <w:r>
        <w:rPr>
          <w:lang w:val="en_US" w:bidi="en_US"/>
        </w:rPr>
        <w:t xml:space="preserve">If you begin 20:28a with </w:t>
      </w:r>
      <w:r>
        <w:rPr>
          <w:i/>
          <w:lang w:val="en_US" w:bidi="en_US"/>
        </w:rPr>
        <w:t>they said</w:t>
      </w:r>
      <w:r>
        <w:rPr>
          <w:lang w:val="en_US" w:bidi="en_US"/>
        </w:rPr>
        <w:t xml:space="preserve"> you may want to use a word or phrase to show the connection between 20:28a and 20:27b. For example:</w:t>
      </w:r>
    </w:p>
    <w:p>
      <w:pPr/>
      <w:r>
        <w:rPr>
          <w:lang w:val="en_US" w:bidi="en_US"/>
        </w:rPr>
      </w:r>
      <w:r>
        <w:rPr>
          <w:lang w:val="en_US" w:bidi="en_US"/>
        </w:rPr>
        <w:t>So</w:t>
      </w:r>
      <w:r>
        <w:rPr>
          <w:lang w:val="en_US" w:bidi="en_US"/>
        </w:rPr>
        <w:t xml:space="preserve"> they said to him</w:t>
      </w:r>
    </w:p>
    <w:p>
      <w:pPr/>
      <w:r>
        <w:rPr>
          <w:lang w:val="en_US" w:bidi="en_US"/>
        </w:rPr>
      </w:r>
      <w:r>
        <w:rPr>
          <w:lang w:val="en_US" w:bidi="en_US"/>
        </w:rPr>
        <w:t>With this in mind</w:t>
      </w:r>
      <w:r>
        <w:rPr>
          <w:lang w:val="en_US" w:bidi="en_US"/>
        </w:rPr>
        <w:t xml:space="preserve"> , they said to him</w:t>
      </w:r>
    </w:p>
    <w:p>
      <w:pPr/>
      <w:r>
        <w:rPr>
          <w:lang w:val="en_US" w:bidi="en_US"/>
        </w:rPr>
      </w:r>
      <w:r>
        <w:rPr>
          <w:lang w:val="en_US" w:bidi="en_US"/>
        </w:rPr>
        <w:t xml:space="preserve">For help in translating </w:t>
      </w:r>
      <w:r>
        <w:rPr>
          <w:i/>
          <w:lang w:val="en_US" w:bidi="en_US"/>
        </w:rPr>
        <w:t>Teacher</w:t>
      </w:r>
      <w:r>
        <w:rPr>
          <w:lang w:val="en_US" w:bidi="en_US"/>
        </w:rPr>
        <w:t>, see the note on 20:21a.</w:t>
      </w:r>
    </w:p>
    <w:p>
      <w:pPr/>
      <w:r>
        <w:rPr>
          <w:lang w:val="en_US" w:bidi="en_US"/>
        </w:rPr>
      </w:r>
      <w:r>
        <w:rPr>
          <w:b/>
          <w:lang w:val="en_US" w:bidi="en_US"/>
        </w:rPr>
        <w:t>Moses wrote for us:</w:t>
      </w:r>
      <w:r>
        <w:rPr>
          <w:lang w:val="en_US" w:bidi="en_US"/>
        </w:rPr>
        <w:t xml:space="preserve"> This phrase introduces a specific law that God gave the Jews. Moses wrote this law for them in Deuteronomy 25:5–10. The word </w:t>
      </w:r>
      <w:r>
        <w:rPr>
          <w:i/>
          <w:lang w:val="en_US" w:bidi="en_US"/>
        </w:rPr>
        <w:t>us</w:t>
      </w:r>
      <w:r>
        <w:rPr>
          <w:lang w:val="en_US" w:bidi="en_US"/>
        </w:rPr>
        <w:t xml:space="preserve"> here includes Jesus, because he also was a Jew.</w:t>
      </w:r>
    </w:p>
    <w:p>
      <w:pPr/>
      <w:r>
        <w:rPr>
          <w:lang w:val="en_US" w:bidi="en_US"/>
        </w:rPr>
      </w:r>
      <w:r>
        <w:rPr>
          <w:lang w:val="en_US" w:bidi="en_US"/>
        </w:rPr>
        <w:t xml:space="preserve">In some languages it may be necessary to make explicit that what Moses wrote was a law. It may also be necessary to clarify that the phrase </w:t>
      </w:r>
      <w:r>
        <w:rPr>
          <w:i/>
          <w:lang w:val="en_US" w:bidi="en_US"/>
        </w:rPr>
        <w:t>for us</w:t>
      </w:r>
      <w:r>
        <w:rPr>
          <w:lang w:val="en_US" w:bidi="en_US"/>
        </w:rPr>
        <w:t xml:space="preserve"> refers to the Jews in general. It does not refer only to the Sadducees of Jesus’ time. One way to clarify these things is:</w:t>
      </w:r>
    </w:p>
    <w:p>
      <w:pPr/>
      <w:r>
        <w:rPr>
          <w:lang w:val="en_US" w:bidi="en_US"/>
        </w:rPr>
      </w:r>
      <w:r>
        <w:rPr>
          <w:lang w:val="en_US" w:bidi="en_US"/>
        </w:rPr>
        <w:t>Our</w:t>
      </w:r>
      <w:r>
        <w:rPr>
          <w:vertAlign w:val="superscript"/>
          <w:lang w:val="en_US" w:bidi="en_US"/>
        </w:rPr>
        <w:t>(incl)</w:t>
      </w:r>
      <w:r>
        <w:rPr>
          <w:lang w:val="en_US" w:bidi="en_US"/>
        </w:rPr>
        <w:t xml:space="preserve"> law that Moses wrote says</w:t>
      </w:r>
    </w:p>
    <w:p>
      <w:pPr/>
      <w:r>
        <w:rPr>
          <w:lang w:val="en_US" w:bidi="en_US"/>
        </w:rPr>
      </w:r>
      <w:r>
        <w:rPr>
          <w:lang w:val="en_US" w:bidi="en_US"/>
        </w:rPr>
        <w:t>Moses wrote this law for us Jews:</w:t>
      </w:r>
    </w:p>
    <w:p>
      <w:pPr/>
      <w:r>
        <w:rPr>
          <w:lang w:val="en_US" w:bidi="en_US"/>
        </w:rPr>
      </w:r>
      <w:r>
        <w:rPr>
          <w:lang w:val="en_US" w:bidi="en_US"/>
        </w:rPr>
        <w:t>In some languages it may be more natural to refer to this particular law as a custom. For example:</w:t>
      </w:r>
    </w:p>
    <w:p>
      <w:pPr/>
      <w:r>
        <w:rPr>
          <w:lang w:val="en_US" w:bidi="en_US"/>
        </w:rPr>
      </w:r>
      <w:r>
        <w:rPr>
          <w:lang w:val="en_US" w:bidi="en_US"/>
        </w:rPr>
        <w:t>Moses wrote that we Jews should follow this custom</w:t>
      </w:r>
    </w:p>
    <w:p>
      <w:pPr/>
      <w:r>
        <w:rPr>
          <w:lang w:val="en_US" w:bidi="en_US"/>
        </w:rPr>
      </w:r>
      <w:r>
        <w:rPr>
          <w:b/>
          <w:lang w:val="en_US" w:bidi="en_US"/>
        </w:rPr>
        <w:t>Moses:</w:t>
      </w:r>
      <w:r>
        <w:rPr>
          <w:lang w:val="en_US" w:bidi="en_US"/>
        </w:rPr>
        <w:t xml:space="preserve"> Moses was one of the greatest leaders of the Jews. He lived long before Jesus was born. He wrote God’s laws for the Jews. That is why the first five books of the Old Testament are often called “the Law of Moses.”</w:t>
      </w:r>
    </w:p>
    <w:p>
      <w:pPr>
        <w:pStyle w:val="Heading5"/>
      </w:pPr>
      <w:r>
        <w:rPr>
          <w:lang w:val="en_US" w:bidi="en_US"/>
        </w:rPr>
        <w:t>20:28b</w:t>
      </w:r>
    </w:p>
    <w:p>
      <w:pPr/>
      <w:r>
        <w:rPr>
          <w:lang w:val="en_US" w:bidi="en_US"/>
        </w:rPr>
      </w:r>
      <w:r>
        <w:rPr>
          <w:b/>
          <w:lang w:val="en_US" w:bidi="en_US"/>
        </w:rPr>
        <w:t>if a man’s brother dies and leaves a wife but no children,</w:t>
      </w:r>
    </w:p>
    <w:p>
      <w:pPr>
        <w:pStyle w:val="ListBullet"/>
        <w:spacing w:line="240" w:lineRule="auto"/>
        <w:ind w:left="720"/>
      </w:pPr>
      <w:r>
        <w:rPr>
          <w:lang w:val="en_US" w:bidi="en_US"/>
        </w:rPr>
      </w:r>
      <w:r>
        <w:rPr>
          <w:lang w:val="en_US" w:bidi="en_US"/>
        </w:rPr>
        <w:t>If a man’s married brother dies without having any children,</w:t>
      </w:r>
    </w:p>
    <w:p>
      <w:pPr>
        <w:pStyle w:val="ListBullet"/>
        <w:spacing w:line="240" w:lineRule="auto"/>
        <w:ind w:left="720"/>
      </w:pPr>
      <w:r>
        <w:rPr>
          <w:lang w:val="en_US" w:bidi="en_US"/>
        </w:rPr>
      </w:r>
      <w:r>
        <w:rPr>
          <w:lang w:val="en_US" w:bidi="en_US"/>
        </w:rPr>
        <w:t>what a man should do when his brother marries but dies before he fathers a child.</w:t>
      </w:r>
    </w:p>
    <w:p>
      <w:pPr/>
      <w:r>
        <w:rPr>
          <w:lang w:val="en_US" w:bidi="en_US"/>
        </w:rPr>
      </w:r>
      <w:r>
        <w:rPr>
          <w:b/>
          <w:lang w:val="en_US" w:bidi="en_US"/>
        </w:rPr>
        <w:t>if a man’s brother dies and leaves a wife but no children:</w:t>
      </w:r>
      <w:r>
        <w:rPr>
          <w:lang w:val="en_US" w:bidi="en_US"/>
        </w:rPr>
        <w:t xml:space="preserve"> This clause describes the situation that Moses gave instructions about in Deuteronomy 25:5–10. It is a situation that might happen. A married man might die without having any children. Moses wrote a law that would apply to the wife and the man’s brother in this situation.</w:t>
      </w:r>
    </w:p>
    <w:p>
      <w:pPr/>
      <w:r>
        <w:rPr>
          <w:lang w:val="en_US" w:bidi="en_US"/>
        </w:rPr>
      </w:r>
      <w:r>
        <w:rPr>
          <w:lang w:val="en_US" w:bidi="en_US"/>
        </w:rPr>
        <w:t>Languages have different ways to begin a description like this. Another way to do this in English is:</w:t>
      </w:r>
    </w:p>
    <w:p>
      <w:pPr/>
      <w:r>
        <w:rPr>
          <w:lang w:val="en_US" w:bidi="en_US"/>
        </w:rPr>
      </w:r>
      <w:r>
        <w:rPr>
          <w:lang w:val="en_US" w:bidi="en_US"/>
        </w:rPr>
        <w:t>He told us what a man should do when his married brother dies without having any children.</w:t>
      </w:r>
    </w:p>
    <w:p>
      <w:pPr/>
      <w:r>
        <w:rPr>
          <w:lang w:val="en_US" w:bidi="en_US"/>
        </w:rPr>
      </w:r>
      <w:r>
        <w:rPr>
          <w:lang w:val="en_US" w:bidi="en_US"/>
        </w:rPr>
        <w:t>In some languages it may be more natural to begin by talking about the brother who died. For example:</w:t>
      </w:r>
    </w:p>
    <w:p>
      <w:pPr/>
      <w:r>
        <w:rPr>
          <w:lang w:val="en_US" w:bidi="en_US"/>
        </w:rPr>
      </w:r>
      <w:r>
        <w:rPr>
          <w:lang w:val="en_US" w:bidi="en_US"/>
        </w:rPr>
        <w:t>If a man dies and leaves a wife but no children, that man’s brother must marry the widow</w:t>
      </w:r>
    </w:p>
    <w:p>
      <w:pPr/>
      <w:r>
        <w:rPr>
          <w:lang w:val="en_US" w:bidi="en_US"/>
        </w:rPr>
      </w:r>
      <w:r>
        <w:rPr>
          <w:lang w:val="en_US" w:bidi="en_US"/>
        </w:rPr>
        <w:t>Use a natural way in your language to begin describing this situation.</w:t>
      </w:r>
    </w:p>
    <w:p>
      <w:pPr/>
      <w:r>
        <w:rPr>
          <w:lang w:val="en_US" w:bidi="en_US"/>
        </w:rPr>
      </w:r>
      <w:r>
        <w:rPr>
          <w:b/>
          <w:lang w:val="en_US" w:bidi="en_US"/>
        </w:rPr>
        <w:t>a man’s brother:</w:t>
      </w:r>
      <w:r>
        <w:rPr>
          <w:lang w:val="en_US" w:bidi="en_US"/>
        </w:rPr>
        <w:t xml:space="preserve"> The Greek word that the BSB translates as </w:t>
      </w:r>
      <w:r>
        <w:rPr>
          <w:i/>
          <w:lang w:val="en_US" w:bidi="en_US"/>
        </w:rPr>
        <w:t>brother</w:t>
      </w:r>
      <w:r>
        <w:rPr>
          <w:lang w:val="en_US" w:bidi="en_US"/>
        </w:rPr>
        <w:t xml:space="preserve"> could refer to an older or younger brother. The verses in Deuteronomy do not indicate whether one brother was older or younger than the other. However, if you must be specific, you can specify that the older brother died. It is more likely that an older brother would marry and die before his younger brother.</w:t>
      </w:r>
    </w:p>
    <w:p>
      <w:pPr>
        <w:pStyle w:val="Heading5"/>
      </w:pPr>
      <w:r>
        <w:rPr>
          <w:lang w:val="en_US" w:bidi="en_US"/>
        </w:rPr>
        <w:t>20:28c</w:t>
      </w:r>
    </w:p>
    <w:p>
      <w:pPr/>
      <w:r>
        <w:rPr>
          <w:lang w:val="en_US" w:bidi="en_US"/>
        </w:rPr>
      </w:r>
      <w:r>
        <w:rPr>
          <w:b/>
          <w:lang w:val="en_US" w:bidi="en_US"/>
        </w:rPr>
        <w:t>the man is to marry his brother’s widow</w:t>
      </w:r>
    </w:p>
    <w:p>
      <w:pPr>
        <w:pStyle w:val="ListBullet"/>
        <w:spacing w:line="240" w:lineRule="auto"/>
        <w:ind w:left="720"/>
      </w:pPr>
      <w:r>
        <w:rPr>
          <w:lang w:val="en_US" w:bidi="en_US"/>
        </w:rPr>
      </w:r>
      <w:r>
        <w:rPr>
          <w:lang w:val="en_US" w:bidi="en_US"/>
        </w:rPr>
        <w:t>then the man must marry the widow</w:t>
      </w:r>
    </w:p>
    <w:p>
      <w:pPr>
        <w:pStyle w:val="ListBullet"/>
        <w:spacing w:line="240" w:lineRule="auto"/>
        <w:ind w:left="720"/>
      </w:pPr>
      <w:r>
        <w:rPr>
          <w:lang w:val="en_US" w:bidi="en_US"/>
        </w:rPr>
      </w:r>
      <w:r>
        <w:rPr>
          <w:lang w:val="en_US" w:bidi="en_US"/>
        </w:rPr>
        <w:t xml:space="preserve">That man should marry </w:t>
      </w:r>
      <w:r>
        <w:rPr>
          <w:lang w:val="en_US" w:bidi="en_US"/>
        </w:rPr>
        <w:t>his dead brother’s</w:t>
      </w:r>
      <w:r>
        <w:rPr>
          <w:lang w:val="en_US" w:bidi="en_US"/>
        </w:rPr>
        <w:t xml:space="preserve"> widow</w:t>
      </w:r>
    </w:p>
    <w:p>
      <w:pPr/>
      <w:r>
        <w:rPr>
          <w:lang w:val="en_US" w:bidi="en_US"/>
        </w:rPr>
      </w:r>
      <w:r>
        <w:rPr>
          <w:b/>
          <w:lang w:val="en_US" w:bidi="en_US"/>
        </w:rPr>
        <w:t>the man is to marry his brother’s widow:</w:t>
      </w:r>
      <w:r>
        <w:rPr>
          <w:lang w:val="en_US" w:bidi="en_US"/>
        </w:rPr>
        <w:t xml:space="preserve"> This clause tells what a man must do in the situation described in 20:28b. It is the Jewish law and custom for that situation.</w:t>
      </w:r>
    </w:p>
    <w:p>
      <w:pPr/>
      <w:r>
        <w:rPr>
          <w:lang w:val="en_US" w:bidi="en_US"/>
        </w:rPr>
      </w:r>
      <w:r>
        <w:rPr>
          <w:b/>
          <w:lang w:val="en_US" w:bidi="en_US"/>
        </w:rPr>
        <w:t>the man:</w:t>
      </w:r>
      <w:r>
        <w:rPr>
          <w:lang w:val="en_US" w:bidi="en_US"/>
        </w:rPr>
        <w:t xml:space="preserve"> The Greek word that the BSB translates as </w:t>
      </w:r>
      <w:r>
        <w:rPr>
          <w:i/>
          <w:lang w:val="en_US" w:bidi="en_US"/>
        </w:rPr>
        <w:t>the man</w:t>
      </w:r>
      <w:r>
        <w:rPr>
          <w:lang w:val="en_US" w:bidi="en_US"/>
        </w:rPr>
        <w:t xml:space="preserve"> refers to the surviving brother. Refer to him in the way that is most natural in your language.</w:t>
      </w:r>
    </w:p>
    <w:p>
      <w:pPr/>
      <w:r>
        <w:rPr>
          <w:lang w:val="en_US" w:bidi="en_US"/>
        </w:rPr>
      </w:r>
      <w:r>
        <w:rPr>
          <w:b/>
          <w:lang w:val="en_US" w:bidi="en_US"/>
        </w:rPr>
        <w:t>widow:</w:t>
      </w:r>
      <w:r>
        <w:rPr>
          <w:lang w:val="en_US" w:bidi="en_US"/>
        </w:rPr>
        <w:t xml:space="preserve"> A </w:t>
      </w:r>
      <w:r>
        <w:rPr>
          <w:i/>
          <w:lang w:val="en_US" w:bidi="en_US"/>
        </w:rPr>
        <w:t>widow</w:t>
      </w:r>
      <w:r>
        <w:rPr>
          <w:lang w:val="en_US" w:bidi="en_US"/>
        </w:rPr>
        <w:t xml:space="preserve"> is a woman whose husband has died. If she remarries, she is no longer a widow. However, she would still be considered the widow of her deceased husband.</w:t>
      </w:r>
    </w:p>
    <w:p>
      <w:pPr>
        <w:pStyle w:val="Heading5"/>
      </w:pPr>
      <w:r>
        <w:rPr>
          <w:lang w:val="en_US" w:bidi="en_US"/>
        </w:rPr>
        <w:t>20:28d</w:t>
      </w:r>
    </w:p>
    <w:p>
      <w:pPr/>
      <w:r>
        <w:rPr>
          <w:lang w:val="en_US" w:bidi="en_US"/>
        </w:rPr>
      </w:r>
      <w:r>
        <w:rPr>
          <w:b/>
          <w:lang w:val="en_US" w:bidi="en_US"/>
        </w:rPr>
        <w:t>and raise up offspring for him.</w:t>
      </w:r>
    </w:p>
    <w:p>
      <w:pPr>
        <w:pStyle w:val="ListBullet"/>
        <w:spacing w:line="240" w:lineRule="auto"/>
        <w:ind w:left="720"/>
      </w:pPr>
      <w:r>
        <w:rPr>
          <w:lang w:val="en_US" w:bidi="en_US"/>
        </w:rPr>
      </w:r>
      <w:r>
        <w:rPr>
          <w:lang w:val="en_US" w:bidi="en_US"/>
        </w:rPr>
        <w:t>and have a son for that brother.</w:t>
      </w:r>
    </w:p>
    <w:p>
      <w:pPr>
        <w:pStyle w:val="ListBullet"/>
        <w:spacing w:line="240" w:lineRule="auto"/>
        <w:ind w:left="720"/>
      </w:pPr>
      <w:r>
        <w:rPr>
          <w:lang w:val="en_US" w:bidi="en_US"/>
        </w:rPr>
      </w:r>
      <w:r>
        <w:rPr>
          <w:lang w:val="en_US" w:bidi="en_US"/>
        </w:rPr>
        <w:t>and have a child who will be considered the dead man’s child.</w:t>
      </w:r>
    </w:p>
    <w:p>
      <w:pPr>
        <w:pStyle w:val="ListBullet"/>
        <w:spacing w:line="240" w:lineRule="auto"/>
        <w:ind w:left="720"/>
      </w:pPr>
      <w:r>
        <w:rPr>
          <w:lang w:val="en_US" w:bidi="en_US"/>
        </w:rPr>
      </w:r>
      <w:r>
        <w:rPr>
          <w:lang w:val="en_US" w:bidi="en_US"/>
        </w:rPr>
        <w:t xml:space="preserve">and father an </w:t>
      </w:r>
      <w:r>
        <w:rPr>
          <w:lang w:val="en_US" w:bidi="en_US"/>
        </w:rPr>
        <w:t>heir</w:t>
      </w:r>
      <w:r>
        <w:rPr>
          <w:lang w:val="en_US" w:bidi="en_US"/>
        </w:rPr>
        <w:t xml:space="preserve"> for his brother.</w:t>
      </w:r>
    </w:p>
    <w:p>
      <w:pPr/>
      <w:r>
        <w:rPr>
          <w:lang w:val="en_US" w:bidi="en_US"/>
        </w:rPr>
      </w:r>
      <w:r>
        <w:rPr>
          <w:b/>
          <w:lang w:val="en_US" w:bidi="en_US"/>
        </w:rPr>
        <w:t>raise up offspring for him:</w:t>
      </w:r>
      <w:r>
        <w:rPr>
          <w:lang w:val="en_US" w:bidi="en_US"/>
        </w:rPr>
        <w:t xml:space="preserve"> The Greek word that the BSB translates as </w:t>
      </w:r>
      <w:r>
        <w:rPr>
          <w:i/>
          <w:lang w:val="en_US" w:bidi="en_US"/>
        </w:rPr>
        <w:t>offspring</w:t>
      </w:r>
      <w:r>
        <w:rPr>
          <w:lang w:val="en_US" w:bidi="en_US"/>
        </w:rPr>
        <w:t xml:space="preserve"> is literally “seed.” Here it refers to a son and that son’s descendants. When the brother and the widow had their first son, that son would inherit the dead brother’s name and land. Through this son, the dead brother would then have descendants and his family could continue.</w:t>
      </w:r>
    </w:p>
    <w:p>
      <w:pPr/>
      <w:r>
        <w:rPr>
          <w:lang w:val="en_US" w:bidi="en_US"/>
        </w:rPr>
      </w:r>
      <w:r>
        <w:rPr>
          <w:lang w:val="en_US" w:bidi="en_US"/>
        </w:rPr>
        <w:t>You may want to make explicit in your translation that only the first child would be considered the child of the dead brother. For example:</w:t>
      </w:r>
    </w:p>
    <w:p>
      <w:pPr/>
      <w:r>
        <w:rPr>
          <w:lang w:val="en_US" w:bidi="en_US"/>
        </w:rPr>
      </w:r>
      <w:r>
        <w:rPr>
          <w:lang w:val="en_US" w:bidi="en_US"/>
        </w:rPr>
        <w:t>Their first son would then be thought of as the son of the dead brother. (CEV)</w:t>
      </w:r>
    </w:p>
    <w:p>
      <w:pPr/>
      <w:r>
        <w:rPr>
          <w:lang w:val="en_US" w:bidi="en_US"/>
        </w:rPr>
      </w:r>
      <w:r>
        <w:rPr>
          <w:lang w:val="en_US" w:bidi="en_US"/>
        </w:rPr>
        <w:t>…his brother should marry the widow and have a child who will be the brother’s heir. (NLT96)</w:t>
      </w:r>
    </w:p>
    <w:p>
      <w:pPr/>
      <w:r>
        <w:rPr>
          <w:lang w:val="en_US" w:bidi="en_US"/>
        </w:rPr>
      </w:r>
      <w:r>
        <w:rPr>
          <w:lang w:val="en_US" w:bidi="en_US"/>
        </w:rPr>
        <w:t>Consider if it would be helpful to have a footnote briefly explaining this custom. For example:</w:t>
      </w:r>
    </w:p>
    <w:p>
      <w:pPr/>
      <w:r>
        <w:rPr>
          <w:lang w:val="en_US" w:bidi="en_US"/>
        </w:rPr>
      </w:r>
      <w:r>
        <w:rPr>
          <w:lang w:val="en_US" w:bidi="en_US"/>
        </w:rPr>
        <w:t>In ancient Israel there was a custom that if a man married and then died childless, one of his brothers should marry his widow. The first son that the widow bore in her new marriage would legally be the son of her first husband. He would be the heir of the first husband’s name and property. See Deuteronomy 25:5–10.</w:t>
      </w:r>
    </w:p>
    <w:p>
      <w:pPr/>
      <w:r>
        <w:rPr>
          <w:lang w:val="en_US" w:bidi="en_US"/>
        </w:rPr>
      </w:r>
      <w:r>
        <w:rPr>
          <w:b/>
          <w:lang w:val="en_US" w:bidi="en_US"/>
        </w:rPr>
        <w:t>for him:</w:t>
      </w:r>
      <w:r>
        <w:rPr>
          <w:lang w:val="en_US" w:bidi="en_US"/>
        </w:rPr>
        <w:t xml:space="preserve"> In this context the phrase </w:t>
      </w:r>
      <w:r>
        <w:rPr>
          <w:i/>
          <w:lang w:val="en_US" w:bidi="en_US"/>
        </w:rPr>
        <w:t>for him</w:t>
      </w:r>
      <w:r>
        <w:rPr>
          <w:lang w:val="en_US" w:bidi="en_US"/>
        </w:rPr>
        <w:t xml:space="preserve"> means “in his brother’s name” or “to keep alive his brother’s family line.” Other ways to translate the phrase </w:t>
      </w:r>
      <w:r>
        <w:rPr>
          <w:i/>
          <w:lang w:val="en_US" w:bidi="en_US"/>
        </w:rPr>
        <w:t>for him</w:t>
      </w:r>
      <w:r>
        <w:rPr>
          <w:lang w:val="en_US" w:bidi="en_US"/>
        </w:rPr>
        <w:t xml:space="preserve"> are:</w:t>
      </w:r>
    </w:p>
    <w:p>
      <w:pPr/>
      <w:r>
        <w:rPr>
          <w:lang w:val="en_US" w:bidi="en_US"/>
        </w:rPr>
      </w:r>
      <w:r>
        <w:rPr>
          <w:lang w:val="en_US" w:bidi="en_US"/>
        </w:rPr>
        <w:t>who will carry on the brother’s name (NLT)</w:t>
      </w:r>
    </w:p>
    <w:p>
      <w:pPr/>
      <w:r>
        <w:rPr>
          <w:lang w:val="en_US" w:bidi="en_US"/>
        </w:rPr>
      </w:r>
      <w:r>
        <w:rPr>
          <w:lang w:val="en_US" w:bidi="en_US"/>
        </w:rPr>
        <w:t>who will be considered the dead man’s child</w:t>
      </w:r>
    </w:p>
    <w:p>
      <w:pPr/>
      <w:r>
        <w:rPr>
          <w:lang w:val="en_US" w:bidi="en_US"/>
        </w:rPr>
      </w:r>
      <w:r>
        <w:rPr>
          <w:lang w:val="en_US" w:bidi="en_US"/>
        </w:rPr>
        <w:t>who will be his brother’s heir</w:t>
      </w:r>
      <w:r>
        <w:rPr>
          <w:lang w:val="en_US" w:bidi="en_US"/>
        </w:rPr>
      </w:r>
      <w:r>
        <w:rPr>
          <w:lang w:val="en_US" w:bidi="en_US"/>
        </w:rPr>
      </w:r>
    </w:p>
    <w:p>
      <w:pPr/>
      <w:r>
        <w:rPr>
          <w:lang w:val="en_US" w:bidi="en_US"/>
        </w:rPr>
      </w:r>
    </w:p>
    <w:p>
      <w:pPr>
        <w:pStyle w:val="Heading2"/>
      </w:pPr>
      <w:r>
        <w:rPr>
          <w:lang w:val="en_US" w:bidi="en_US"/>
        </w:rPr>
        <w:t>Luke 20:29</w:t>
      </w:r>
      <w:r>
        <w:rPr>
          <w:lang w:val="en_US" w:bidi="en_US"/>
        </w:rPr>
      </w:r>
    </w:p>
    <w:p>
      <w:pPr>
        <w:pStyle w:val="Heading4"/>
      </w:pPr>
      <w:r>
        <w:rPr>
          <w:lang w:val="en_US" w:bidi="en_US"/>
        </w:rPr>
        <w:t>Section 20:27–40: Sadducees asked Jesus a trick question about the resurrection</w:t>
      </w:r>
    </w:p>
    <w:p>
      <w:pPr/>
      <w:r>
        <w:rPr>
          <w:lang w:val="en_US" w:bidi="en_US"/>
        </w:rPr>
      </w:r>
      <w:r>
        <w:rPr>
          <w:lang w:val="en_US" w:bidi="en_US"/>
        </w:rP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pPr/>
      <w:r>
        <w:rPr>
          <w:lang w:val="en_US" w:bidi="en_US"/>
        </w:rPr>
      </w:r>
      <w:r>
        <w:rPr>
          <w:lang w:val="en_US" w:bidi="en_US"/>
        </w:rP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rPr>
          <w:lang w:val="en_US" w:bidi="en_US"/>
        </w:rPr>
        <w:t xml:space="preserve">This custom was called </w:t>
      </w:r>
      <w:r>
        <w:rPr>
          <w:u w:val="single"/>
          <w:lang w:val="en_US" w:bidi="en_US"/>
        </w:rPr>
        <w:t>levirate</w:t>
      </w:r>
      <w:r>
        <w:rPr>
          <w:lang w:val="en_US" w:bidi="en_US"/>
        </w:rP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Examples of headings for this section are:</w:t>
      </w:r>
    </w:p>
    <w:p>
      <w:pPr/>
      <w:r>
        <w:rPr>
          <w:lang w:val="en_US" w:bidi="en_US"/>
        </w:rPr>
      </w:r>
      <w:r>
        <w:rPr>
          <w:lang w:val="en_US" w:bidi="en_US"/>
        </w:rPr>
        <w:t>The Question about Rising from Death (GNT)</w:t>
      </w:r>
    </w:p>
    <w:p>
      <w:pPr/>
      <w:r>
        <w:rPr>
          <w:lang w:val="en_US" w:bidi="en_US"/>
        </w:rPr>
      </w:r>
      <w:r>
        <w:rPr>
          <w:lang w:val="en_US" w:bidi="en_US"/>
        </w:rPr>
        <w:t>Do the dead rise again?</w:t>
      </w:r>
    </w:p>
    <w:p>
      <w:pPr/>
      <w:r>
        <w:rPr>
          <w:lang w:val="en_US" w:bidi="en_US"/>
        </w:rPr>
      </w:r>
      <w:r>
        <w:rPr>
          <w:lang w:val="en_US" w:bidi="en_US"/>
        </w:rPr>
        <w:t>The Sadducees challenged Jesus on people rising from death</w:t>
      </w:r>
    </w:p>
    <w:p>
      <w:pPr/>
      <w:r>
        <w:rPr>
          <w:lang w:val="en_US" w:bidi="en_US"/>
        </w:rPr>
      </w:r>
      <w:r>
        <w:rPr>
          <w:lang w:val="en_US" w:bidi="en_US"/>
        </w:rPr>
        <w:t>Parallel passages for this section are found in Matthew 22:23–33 and Mark 12:18–27.</w:t>
      </w:r>
    </w:p>
    <w:p>
      <w:pPr>
        <w:pStyle w:val="Heading5"/>
      </w:pPr>
      <w:r>
        <w:rPr>
          <w:lang w:val="en_US" w:bidi="en_US"/>
        </w:rPr>
        <w:t>20:29a</w:t>
      </w:r>
    </w:p>
    <w:p>
      <w:pPr/>
      <w:r>
        <w:rPr>
          <w:lang w:val="en_US" w:bidi="en_US"/>
        </w:rPr>
      </w:r>
      <w:r>
        <w:rPr>
          <w:b/>
          <w:lang w:val="en_US" w:bidi="en_US"/>
        </w:rPr>
        <w:t>Now there were seven brothers.</w:t>
      </w:r>
    </w:p>
    <w:p>
      <w:pPr>
        <w:pStyle w:val="ListBullet"/>
        <w:spacing w:line="240" w:lineRule="auto"/>
        <w:ind w:left="720"/>
      </w:pPr>
      <w:r>
        <w:rPr>
          <w:lang w:val="en_US" w:bidi="en_US"/>
        </w:rPr>
      </w:r>
      <w:r>
        <w:rPr>
          <w:lang w:val="en_US" w:bidi="en_US"/>
        </w:rPr>
        <w:t>Once there were seven men who were brothers.</w:t>
      </w:r>
    </w:p>
    <w:p>
      <w:pPr>
        <w:pStyle w:val="ListBullet"/>
        <w:spacing w:line="240" w:lineRule="auto"/>
        <w:ind w:left="720"/>
      </w:pPr>
      <w:r>
        <w:rPr>
          <w:lang w:val="en_US" w:bidi="en_US"/>
        </w:rPr>
      </w:r>
      <w:r>
        <w:rPr>
          <w:lang w:val="en_US" w:bidi="en_US"/>
        </w:rPr>
        <w:t>Suppose</w:t>
      </w:r>
      <w:r>
        <w:rPr>
          <w:lang w:val="en_US" w:bidi="en_US"/>
        </w:rPr>
        <w:t xml:space="preserve"> there were seven brothers.</w:t>
      </w:r>
    </w:p>
    <w:p>
      <w:pPr/>
      <w:r>
        <w:rPr>
          <w:lang w:val="en_US" w:bidi="en_US"/>
        </w:rPr>
      </w:r>
      <w:r>
        <w:rPr>
          <w:b/>
          <w:lang w:val="en_US" w:bidi="en_US"/>
        </w:rPr>
        <w:t>Now there were seven brothers:</w:t>
      </w:r>
      <w:r>
        <w:rPr>
          <w:lang w:val="en_US" w:bidi="en_US"/>
        </w:rPr>
        <w:t xml:space="preserve"> In this verse the Sadducees began to tell Jesus a story that described a situation that might have happened. It was not a true story about actual people. The Greek word that the BSB translates as </w:t>
      </w:r>
      <w:r>
        <w:rPr>
          <w:i/>
          <w:lang w:val="en_US" w:bidi="en_US"/>
        </w:rPr>
        <w:t>Now</w:t>
      </w:r>
      <w:r>
        <w:rPr>
          <w:lang w:val="en_US" w:bidi="en_US"/>
        </w:rPr>
        <w:t xml:space="preserve"> introduces this story. It is not a time word here. It indicates that the Sadducees had finished giving background information, and they were now beginning to tell the actual story. Some ways to introduce this story in English are:</w:t>
      </w:r>
    </w:p>
    <w:p>
      <w:pPr/>
      <w:r>
        <w:rPr>
          <w:lang w:val="en_US" w:bidi="en_US"/>
        </w:rPr>
      </w:r>
      <w:r>
        <w:rPr>
          <w:lang w:val="en_US" w:bidi="en_US"/>
        </w:rPr>
        <w:t>Once there were seven brothers…. (GNT)</w:t>
      </w:r>
    </w:p>
    <w:p>
      <w:pPr/>
      <w:r>
        <w:rPr>
          <w:lang w:val="en_US" w:bidi="en_US"/>
        </w:rPr>
      </w:r>
      <w:r>
        <w:rPr>
          <w:lang w:val="en_US" w:bidi="en_US"/>
        </w:rPr>
        <w:t>Well, suppose there were seven brothers. (NLT)</w:t>
      </w:r>
    </w:p>
    <w:p>
      <w:pPr/>
      <w:r>
        <w:rPr>
          <w:lang w:val="en_US" w:bidi="en_US"/>
        </w:rPr>
      </w:r>
      <w:r>
        <w:rPr>
          <w:lang w:val="en_US" w:bidi="en_US"/>
        </w:rPr>
        <w:t>There were seven brothers. (GW)</w:t>
      </w:r>
    </w:p>
    <w:p>
      <w:pPr>
        <w:pStyle w:val="Heading5"/>
      </w:pPr>
      <w:r>
        <w:rPr>
          <w:lang w:val="en_US" w:bidi="en_US"/>
        </w:rPr>
        <w:t>20:29b</w:t>
      </w:r>
    </w:p>
    <w:p>
      <w:pPr/>
      <w:r>
        <w:rPr>
          <w:lang w:val="en_US" w:bidi="en_US"/>
        </w:rPr>
      </w:r>
      <w:r>
        <w:rPr>
          <w:b/>
          <w:lang w:val="en_US" w:bidi="en_US"/>
        </w:rPr>
        <w:t>The first one married a wife, but died childless.</w:t>
      </w:r>
    </w:p>
    <w:p>
      <w:pPr>
        <w:pStyle w:val="ListBullet"/>
        <w:spacing w:line="240" w:lineRule="auto"/>
        <w:ind w:left="720"/>
      </w:pPr>
      <w:r>
        <w:rPr>
          <w:lang w:val="en_US" w:bidi="en_US"/>
        </w:rPr>
      </w:r>
      <w:r>
        <w:rPr>
          <w:lang w:val="en_US" w:bidi="en_US"/>
        </w:rPr>
        <w:t xml:space="preserve">The oldest </w:t>
      </w:r>
      <w:r>
        <w:rPr>
          <w:lang w:val="en_US" w:bidi="en_US"/>
        </w:rPr>
        <w:t>brother</w:t>
      </w:r>
      <w:r>
        <w:rPr>
          <w:lang w:val="en_US" w:bidi="en_US"/>
        </w:rPr>
        <w:t xml:space="preserve"> married a </w:t>
      </w:r>
      <w:r>
        <w:rPr>
          <w:lang w:val="en_US" w:bidi="en_US"/>
        </w:rPr>
        <w:t>certain</w:t>
      </w:r>
      <w:r>
        <w:rPr>
          <w:lang w:val="en_US" w:bidi="en_US"/>
        </w:rPr>
        <w:t xml:space="preserve"> woman, but he died without having any children.</w:t>
      </w:r>
    </w:p>
    <w:p>
      <w:pPr>
        <w:pStyle w:val="ListBullet"/>
        <w:spacing w:line="240" w:lineRule="auto"/>
        <w:ind w:left="720"/>
      </w:pPr>
      <w:r>
        <w:rPr>
          <w:lang w:val="en_US" w:bidi="en_US"/>
        </w:rPr>
      </w:r>
      <w:r>
        <w:rPr>
          <w:lang w:val="en_US" w:bidi="en_US"/>
        </w:rPr>
        <w:t>The first brother married, but he died before he fathered a child.</w:t>
      </w:r>
    </w:p>
    <w:p>
      <w:pPr/>
      <w:r>
        <w:rPr>
          <w:lang w:val="en_US" w:bidi="en_US"/>
        </w:rPr>
      </w:r>
      <w:r>
        <w:rPr>
          <w:b/>
          <w:lang w:val="en_US" w:bidi="en_US"/>
        </w:rPr>
        <w:t>The first one married a wife:</w:t>
      </w:r>
      <w:r>
        <w:rPr>
          <w:lang w:val="en_US" w:bidi="en_US"/>
        </w:rPr>
        <w:t xml:space="preserve"> </w:t>
      </w:r>
      <w:r>
        <w:rPr>
          <w:i/>
          <w:lang w:val="en_US" w:bidi="en_US"/>
        </w:rPr>
        <w:t>The first one</w:t>
      </w:r>
      <w:r>
        <w:rPr>
          <w:lang w:val="en_US" w:bidi="en_US"/>
        </w:rPr>
        <w:t xml:space="preserve"> in this context refers to the oldest brother, who would normally be the first one to marry. The phrase </w:t>
      </w:r>
      <w:r>
        <w:rPr>
          <w:i/>
          <w:lang w:val="en_US" w:bidi="en_US"/>
        </w:rPr>
        <w:t>married a wife</w:t>
      </w:r>
      <w:r>
        <w:rPr>
          <w:lang w:val="en_US" w:bidi="en_US"/>
        </w:rPr>
        <w:t xml:space="preserve"> may be redundant in some languages. Describe the action in a natural way in your language. Other ways to say it are:</w:t>
      </w:r>
    </w:p>
    <w:p>
      <w:pPr/>
      <w:r>
        <w:rPr>
          <w:lang w:val="en_US" w:bidi="en_US"/>
        </w:rPr>
      </w:r>
      <w:r>
        <w:rPr>
          <w:lang w:val="en_US" w:bidi="en_US"/>
        </w:rPr>
        <w:t>the oldest got married (GNT)</w:t>
      </w:r>
    </w:p>
    <w:p>
      <w:pPr/>
      <w:r>
        <w:rPr>
          <w:lang w:val="en_US" w:bidi="en_US"/>
        </w:rPr>
      </w:r>
      <w:r>
        <w:rPr>
          <w:lang w:val="en_US" w:bidi="en_US"/>
        </w:rPr>
        <w:t>The first brother married (NCV)</w:t>
      </w:r>
    </w:p>
    <w:p>
      <w:pPr/>
      <w:r>
        <w:rPr>
          <w:lang w:val="en_US" w:bidi="en_US"/>
        </w:rPr>
      </w:r>
      <w:r>
        <w:rPr>
          <w:b/>
          <w:lang w:val="en_US" w:bidi="en_US"/>
        </w:rPr>
        <w:t>but died childless:</w:t>
      </w:r>
      <w:r>
        <w:rPr>
          <w:lang w:val="en_US" w:bidi="en_US"/>
        </w:rPr>
        <w:t xml:space="preserve"> The phrase </w:t>
      </w:r>
      <w:r>
        <w:rPr>
          <w:i/>
          <w:lang w:val="en_US" w:bidi="en_US"/>
        </w:rPr>
        <w:t>but died childless</w:t>
      </w:r>
      <w:r>
        <w:rPr>
          <w:lang w:val="en_US" w:bidi="en_US"/>
        </w:rPr>
        <w:t xml:space="preserve"> indicates that the husband died and his wife had no children by him. He died without fathering a child. There is nothing in the story that suggests why the man died. Your translation should not imply that the woman caused the husband to die. Some other ways to translate this are:</w:t>
      </w:r>
    </w:p>
    <w:p>
      <w:pPr/>
      <w:r>
        <w:rPr>
          <w:lang w:val="en_US" w:bidi="en_US"/>
        </w:rPr>
      </w:r>
      <w:r>
        <w:rPr>
          <w:lang w:val="en_US" w:bidi="en_US"/>
        </w:rPr>
        <w:t>Then he died and did not leave any children.</w:t>
      </w:r>
    </w:p>
    <w:p>
      <w:pPr/>
      <w:r>
        <w:rPr>
          <w:lang w:val="en_US" w:bidi="en_US"/>
        </w:rPr>
      </w:r>
      <w:r>
        <w:rPr>
          <w:lang w:val="en_US" w:bidi="en_US"/>
        </w:rPr>
        <w:t>and he died without having fathered a child</w:t>
      </w:r>
      <w:r>
        <w:rPr>
          <w:lang w:val="en_US" w:bidi="en_US"/>
        </w:rPr>
      </w:r>
      <w:r>
        <w:rPr>
          <w:lang w:val="en_US" w:bidi="en_US"/>
        </w:rPr>
      </w:r>
    </w:p>
    <w:p>
      <w:pPr/>
      <w:r>
        <w:rPr>
          <w:lang w:val="en_US" w:bidi="en_US"/>
        </w:rPr>
      </w:r>
    </w:p>
    <w:p>
      <w:pPr>
        <w:pStyle w:val="Heading2"/>
      </w:pPr>
      <w:r>
        <w:rPr>
          <w:lang w:val="en_US" w:bidi="en_US"/>
        </w:rPr>
        <w:t>Luke 20:30</w:t>
      </w:r>
      <w:r>
        <w:rPr>
          <w:lang w:val="en_US" w:bidi="en_US"/>
        </w:rPr>
      </w:r>
    </w:p>
    <w:p>
      <w:pPr>
        <w:pStyle w:val="Heading4"/>
      </w:pPr>
      <w:r>
        <w:rPr>
          <w:lang w:val="en_US" w:bidi="en_US"/>
        </w:rPr>
        <w:t>Section 20:27–40: Sadducees asked Jesus a trick question about the resurrection</w:t>
      </w:r>
    </w:p>
    <w:p>
      <w:pPr/>
      <w:r>
        <w:rPr>
          <w:lang w:val="en_US" w:bidi="en_US"/>
        </w:rPr>
      </w:r>
      <w:r>
        <w:rPr>
          <w:lang w:val="en_US" w:bidi="en_US"/>
        </w:rP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pPr/>
      <w:r>
        <w:rPr>
          <w:lang w:val="en_US" w:bidi="en_US"/>
        </w:rPr>
      </w:r>
      <w:r>
        <w:rPr>
          <w:lang w:val="en_US" w:bidi="en_US"/>
        </w:rP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rPr>
          <w:lang w:val="en_US" w:bidi="en_US"/>
        </w:rPr>
        <w:t xml:space="preserve">This custom was called </w:t>
      </w:r>
      <w:r>
        <w:rPr>
          <w:u w:val="single"/>
          <w:lang w:val="en_US" w:bidi="en_US"/>
        </w:rPr>
        <w:t>levirate</w:t>
      </w:r>
      <w:r>
        <w:rPr>
          <w:lang w:val="en_US" w:bidi="en_US"/>
        </w:rP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Examples of headings for this section are:</w:t>
      </w:r>
    </w:p>
    <w:p>
      <w:pPr/>
      <w:r>
        <w:rPr>
          <w:lang w:val="en_US" w:bidi="en_US"/>
        </w:rPr>
      </w:r>
      <w:r>
        <w:rPr>
          <w:lang w:val="en_US" w:bidi="en_US"/>
        </w:rPr>
        <w:t>The Question about Rising from Death (GNT)</w:t>
      </w:r>
    </w:p>
    <w:p>
      <w:pPr/>
      <w:r>
        <w:rPr>
          <w:lang w:val="en_US" w:bidi="en_US"/>
        </w:rPr>
      </w:r>
      <w:r>
        <w:rPr>
          <w:lang w:val="en_US" w:bidi="en_US"/>
        </w:rPr>
        <w:t>Do the dead rise again?</w:t>
      </w:r>
    </w:p>
    <w:p>
      <w:pPr/>
      <w:r>
        <w:rPr>
          <w:lang w:val="en_US" w:bidi="en_US"/>
        </w:rPr>
      </w:r>
      <w:r>
        <w:rPr>
          <w:lang w:val="en_US" w:bidi="en_US"/>
        </w:rPr>
        <w:t>The Sadducees challenged Jesus on people rising from death</w:t>
      </w:r>
    </w:p>
    <w:p>
      <w:pPr/>
      <w:r>
        <w:rPr>
          <w:lang w:val="en_US" w:bidi="en_US"/>
        </w:rPr>
      </w:r>
      <w:r>
        <w:rPr>
          <w:lang w:val="en_US" w:bidi="en_US"/>
        </w:rPr>
        <w:t>Parallel passages for this section are found in Matthew 22:23–33 and Mark 12:18–27.</w:t>
      </w:r>
    </w:p>
    <w:p>
      <w:pPr>
        <w:pStyle w:val="Heading5"/>
      </w:pPr>
      <w:r>
        <w:rPr>
          <w:lang w:val="en_US" w:bidi="en_US"/>
        </w:rPr>
        <w:t>20:30</w:t>
      </w:r>
    </w:p>
    <w:p>
      <w:pPr/>
      <w:r>
        <w:rPr>
          <w:lang w:val="en_US" w:bidi="en_US"/>
        </w:rPr>
      </w:r>
      <w:r>
        <w:rPr>
          <w:b/>
          <w:lang w:val="en_US" w:bidi="en_US"/>
        </w:rPr>
        <w:t>Then the second</w:t>
      </w:r>
    </w:p>
    <w:p>
      <w:pPr>
        <w:pStyle w:val="ListBullet"/>
        <w:spacing w:line="240" w:lineRule="auto"/>
        <w:ind w:left="720"/>
      </w:pPr>
      <w:r>
        <w:rPr>
          <w:lang w:val="en_US" w:bidi="en_US"/>
        </w:rPr>
      </w:r>
      <w:r>
        <w:rPr>
          <w:lang w:val="en_US" w:bidi="en_US"/>
        </w:rPr>
        <w:t xml:space="preserve">The next </w:t>
      </w:r>
      <w:r>
        <w:rPr>
          <w:lang w:val="en_US" w:bidi="en_US"/>
        </w:rPr>
        <w:t>oldest</w:t>
      </w:r>
      <w:r>
        <w:rPr>
          <w:lang w:val="en_US" w:bidi="en_US"/>
        </w:rPr>
        <w:t xml:space="preserve"> </w:t>
      </w:r>
      <w:r>
        <w:rPr>
          <w:lang w:val="en_US" w:bidi="en_US"/>
        </w:rPr>
        <w:t>brother</w:t>
      </w:r>
      <w:r>
        <w:rPr>
          <w:lang w:val="en_US" w:bidi="en_US"/>
        </w:rPr>
        <w:t xml:space="preserve"> </w:t>
      </w:r>
      <w:r>
        <w:rPr>
          <w:lang w:val="en_US" w:bidi="en_US"/>
        </w:rPr>
        <w:t>married her</w:t>
      </w:r>
      <w:r>
        <w:rPr>
          <w:lang w:val="en_US" w:bidi="en_US"/>
        </w:rPr>
        <w:t>,</w:t>
      </w:r>
    </w:p>
    <w:p>
      <w:pPr>
        <w:pStyle w:val="ListBullet"/>
        <w:spacing w:line="240" w:lineRule="auto"/>
        <w:ind w:left="720"/>
      </w:pPr>
      <w:r>
        <w:rPr>
          <w:lang w:val="en_US" w:bidi="en_US"/>
        </w:rPr>
      </w:r>
      <w:r>
        <w:rPr>
          <w:lang w:val="en_US" w:bidi="en_US"/>
        </w:rPr>
        <w:t xml:space="preserve">Then the second </w:t>
      </w:r>
      <w:r>
        <w:rPr>
          <w:lang w:val="en_US" w:bidi="en_US"/>
        </w:rPr>
        <w:t>brother married his older brother’s widow, and died</w:t>
      </w:r>
      <w:r>
        <w:rPr>
          <w:lang w:val="en_US" w:bidi="en_US"/>
        </w:rPr>
        <w:t>.</w:t>
      </w:r>
    </w:p>
    <w:p>
      <w:pPr/>
      <w:r>
        <w:rPr>
          <w:lang w:val="en_US" w:bidi="en_US"/>
        </w:rPr>
      </w:r>
      <w:r>
        <w:rPr>
          <w:b/>
          <w:lang w:val="en_US" w:bidi="en_US"/>
        </w:rPr>
        <w:t>Then the second:</w:t>
      </w:r>
      <w:r>
        <w:rPr>
          <w:lang w:val="en_US" w:bidi="en_US"/>
        </w:rPr>
        <w:t xml:space="preserve"> </w:t>
      </w:r>
      <w:r>
        <w:rPr>
          <w:i/>
          <w:lang w:val="en_US" w:bidi="en_US"/>
        </w:rPr>
        <w:t>the second</w:t>
      </w:r>
      <w:r>
        <w:rPr>
          <w:lang w:val="en_US" w:bidi="en_US"/>
        </w:rPr>
        <w:t xml:space="preserve"> refers to the second oldest brother. In some languages it may be helpful to translate this verse as a separate sentence. For example:</w:t>
      </w:r>
    </w:p>
    <w:p>
      <w:pPr/>
      <w:r>
        <w:rPr>
          <w:lang w:val="en_US" w:bidi="en_US"/>
        </w:rPr>
      </w:r>
      <w:r>
        <w:rPr>
          <w:lang w:val="en_US" w:bidi="en_US"/>
        </w:rPr>
        <w:t>Then the second brother married the widow (GW)</w:t>
      </w:r>
    </w:p>
    <w:p>
      <w:pPr/>
      <w:r>
        <w:rPr>
          <w:lang w:val="en_US" w:bidi="en_US"/>
        </w:rPr>
      </w:r>
      <w:r>
        <w:rPr>
          <w:lang w:val="en_US" w:bidi="en_US"/>
        </w:rPr>
        <w:t>In some languages it may be necessary to make explicit here that this brother also died without having children. For example:</w:t>
      </w:r>
    </w:p>
    <w:p>
      <w:pPr/>
      <w:r>
        <w:rPr>
          <w:lang w:val="en_US" w:bidi="en_US"/>
        </w:rPr>
      </w:r>
      <w:r>
        <w:rPr>
          <w:lang w:val="en_US" w:bidi="en_US"/>
        </w:rPr>
        <w:t xml:space="preserve">Then the second </w:t>
      </w:r>
      <w:r>
        <w:rPr>
          <w:lang w:val="en_US" w:bidi="en_US"/>
        </w:rPr>
        <w:t>oldest</w:t>
      </w:r>
      <w:r>
        <w:rPr>
          <w:lang w:val="en_US" w:bidi="en_US"/>
        </w:rPr>
        <w:t xml:space="preserve"> </w:t>
      </w:r>
      <w:r>
        <w:rPr>
          <w:lang w:val="en_US" w:bidi="en_US"/>
        </w:rPr>
        <w:t>brother</w:t>
      </w:r>
      <w:r>
        <w:rPr>
          <w:lang w:val="en_US" w:bidi="en_US"/>
        </w:rPr>
        <w:t xml:space="preserve"> </w:t>
      </w:r>
      <w:r>
        <w:rPr>
          <w:lang w:val="en_US" w:bidi="en_US"/>
        </w:rPr>
        <w:t>married her</w:t>
      </w:r>
      <w:r>
        <w:rPr>
          <w:lang w:val="en_US" w:bidi="en_US"/>
        </w:rPr>
        <w:t xml:space="preserve"> </w:t>
      </w:r>
      <w:r>
        <w:rPr>
          <w:lang w:val="en_US" w:bidi="en_US"/>
        </w:rPr>
        <w:t>and died childless</w:t>
      </w:r>
      <w:r>
        <w:rPr>
          <w:lang w:val="en_US" w:bidi="en_US"/>
        </w:rPr>
        <w:t>.</w:t>
      </w:r>
      <w:r>
        <w:rPr>
          <w:lang w:val="en_US" w:bidi="en_US"/>
        </w:rPr>
      </w:r>
      <w:r>
        <w:rPr>
          <w:lang w:val="en_US" w:bidi="en_US"/>
        </w:rPr>
      </w:r>
    </w:p>
    <w:p>
      <w:pPr/>
      <w:r>
        <w:rPr>
          <w:lang w:val="en_US" w:bidi="en_US"/>
        </w:rPr>
      </w:r>
    </w:p>
    <w:p>
      <w:pPr>
        <w:pStyle w:val="Heading2"/>
      </w:pPr>
      <w:r>
        <w:rPr>
          <w:lang w:val="en_US" w:bidi="en_US"/>
        </w:rPr>
        <w:t>Luke 20:31</w:t>
      </w:r>
      <w:r>
        <w:rPr>
          <w:lang w:val="en_US" w:bidi="en_US"/>
        </w:rPr>
      </w:r>
    </w:p>
    <w:p>
      <w:pPr>
        <w:pStyle w:val="Heading4"/>
      </w:pPr>
      <w:r>
        <w:rPr>
          <w:lang w:val="en_US" w:bidi="en_US"/>
        </w:rPr>
        <w:t>Section 20:27–40: Sadducees asked Jesus a trick question about the resurrection</w:t>
      </w:r>
    </w:p>
    <w:p>
      <w:pPr/>
      <w:r>
        <w:rPr>
          <w:lang w:val="en_US" w:bidi="en_US"/>
        </w:rPr>
      </w:r>
      <w:r>
        <w:rPr>
          <w:lang w:val="en_US" w:bidi="en_US"/>
        </w:rP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pPr/>
      <w:r>
        <w:rPr>
          <w:lang w:val="en_US" w:bidi="en_US"/>
        </w:rPr>
      </w:r>
      <w:r>
        <w:rPr>
          <w:lang w:val="en_US" w:bidi="en_US"/>
        </w:rP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rPr>
          <w:lang w:val="en_US" w:bidi="en_US"/>
        </w:rPr>
        <w:t xml:space="preserve">This custom was called </w:t>
      </w:r>
      <w:r>
        <w:rPr>
          <w:u w:val="single"/>
          <w:lang w:val="en_US" w:bidi="en_US"/>
        </w:rPr>
        <w:t>levirate</w:t>
      </w:r>
      <w:r>
        <w:rPr>
          <w:lang w:val="en_US" w:bidi="en_US"/>
        </w:rP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Examples of headings for this section are:</w:t>
      </w:r>
    </w:p>
    <w:p>
      <w:pPr/>
      <w:r>
        <w:rPr>
          <w:lang w:val="en_US" w:bidi="en_US"/>
        </w:rPr>
      </w:r>
      <w:r>
        <w:rPr>
          <w:lang w:val="en_US" w:bidi="en_US"/>
        </w:rPr>
        <w:t>The Question about Rising from Death (GNT)</w:t>
      </w:r>
    </w:p>
    <w:p>
      <w:pPr/>
      <w:r>
        <w:rPr>
          <w:lang w:val="en_US" w:bidi="en_US"/>
        </w:rPr>
      </w:r>
      <w:r>
        <w:rPr>
          <w:lang w:val="en_US" w:bidi="en_US"/>
        </w:rPr>
        <w:t>Do the dead rise again?</w:t>
      </w:r>
    </w:p>
    <w:p>
      <w:pPr/>
      <w:r>
        <w:rPr>
          <w:lang w:val="en_US" w:bidi="en_US"/>
        </w:rPr>
      </w:r>
      <w:r>
        <w:rPr>
          <w:lang w:val="en_US" w:bidi="en_US"/>
        </w:rPr>
        <w:t>The Sadducees challenged Jesus on people rising from death</w:t>
      </w:r>
    </w:p>
    <w:p>
      <w:pPr/>
      <w:r>
        <w:rPr>
          <w:lang w:val="en_US" w:bidi="en_US"/>
        </w:rPr>
      </w:r>
      <w:r>
        <w:rPr>
          <w:lang w:val="en_US" w:bidi="en_US"/>
        </w:rPr>
        <w:t>Parallel passages for this section are found in Matthew 22:23–33 and Mark 12:18–27.</w:t>
      </w:r>
    </w:p>
    <w:p>
      <w:pPr>
        <w:pStyle w:val="Heading5"/>
      </w:pPr>
      <w:r>
        <w:rPr>
          <w:lang w:val="en_US" w:bidi="en_US"/>
        </w:rPr>
        <w:t>20:31a</w:t>
      </w:r>
    </w:p>
    <w:p>
      <w:pPr/>
      <w:r>
        <w:rPr>
          <w:lang w:val="en_US" w:bidi="en_US"/>
        </w:rPr>
      </w:r>
      <w:r>
        <w:rPr>
          <w:b/>
          <w:lang w:val="en_US" w:bidi="en_US"/>
        </w:rPr>
        <w:t>and the third married the widow,</w:t>
      </w:r>
    </w:p>
    <w:p>
      <w:pPr>
        <w:pStyle w:val="ListBullet"/>
        <w:spacing w:line="240" w:lineRule="auto"/>
        <w:ind w:left="720"/>
      </w:pPr>
      <w:r>
        <w:rPr>
          <w:lang w:val="en_US" w:bidi="en_US"/>
        </w:rPr>
      </w:r>
      <w:r>
        <w:rPr>
          <w:lang w:val="en_US" w:bidi="en_US"/>
        </w:rPr>
        <w:t xml:space="preserve">and then the third </w:t>
      </w:r>
      <w:r>
        <w:rPr>
          <w:lang w:val="en_US" w:bidi="en_US"/>
        </w:rPr>
        <w:t>brother</w:t>
      </w:r>
      <w:r>
        <w:rPr>
          <w:lang w:val="en_US" w:bidi="en_US"/>
        </w:rPr>
        <w:t>.</w:t>
      </w:r>
    </w:p>
    <w:p>
      <w:pPr>
        <w:pStyle w:val="ListBullet"/>
        <w:spacing w:line="240" w:lineRule="auto"/>
        <w:ind w:left="720"/>
      </w:pPr>
      <w:r>
        <w:rPr>
          <w:lang w:val="en_US" w:bidi="en_US"/>
        </w:rPr>
      </w:r>
      <w:r>
        <w:rPr>
          <w:lang w:val="en_US" w:bidi="en_US"/>
        </w:rPr>
        <w:t xml:space="preserve">Then the third </w:t>
      </w:r>
      <w:r>
        <w:rPr>
          <w:lang w:val="en_US" w:bidi="en_US"/>
        </w:rPr>
        <w:t>brother</w:t>
      </w:r>
      <w:r>
        <w:rPr>
          <w:lang w:val="en_US" w:bidi="en_US"/>
        </w:rPr>
        <w:t xml:space="preserve"> married her, </w:t>
      </w:r>
      <w:r>
        <w:rPr>
          <w:lang w:val="en_US" w:bidi="en_US"/>
        </w:rPr>
        <w:t>and died leaving no children</w:t>
      </w:r>
      <w:r>
        <w:rPr>
          <w:lang w:val="en_US" w:bidi="en_US"/>
        </w:rPr>
        <w:t>.</w:t>
      </w:r>
    </w:p>
    <w:p>
      <w:pPr/>
      <w:r>
        <w:rPr>
          <w:lang w:val="en_US" w:bidi="en_US"/>
        </w:rPr>
      </w:r>
      <w:r>
        <w:rPr>
          <w:b/>
          <w:lang w:val="en_US" w:bidi="en_US"/>
        </w:rPr>
        <w:t>and the third married the widow:</w:t>
      </w:r>
      <w:r>
        <w:rPr>
          <w:lang w:val="en_US" w:bidi="en_US"/>
        </w:rPr>
        <w:t xml:space="preserve"> Then the third oldest brother married the woman. It is again implied that he died childless. Your translation should not imply that the woman caused the men to die.</w:t>
      </w:r>
    </w:p>
    <w:p>
      <w:pPr>
        <w:pStyle w:val="Heading5"/>
      </w:pPr>
      <w:r>
        <w:rPr>
          <w:lang w:val="en_US" w:bidi="en_US"/>
        </w:rPr>
        <w:t>20:31b</w:t>
      </w:r>
    </w:p>
    <w:p>
      <w:pPr/>
      <w:r>
        <w:rPr>
          <w:lang w:val="en_US" w:bidi="en_US"/>
        </w:rPr>
      </w:r>
      <w:r>
        <w:rPr>
          <w:b/>
          <w:lang w:val="en_US" w:bidi="en_US"/>
        </w:rPr>
        <w:t>and in the same way all seven died,</w:t>
      </w:r>
    </w:p>
    <w:p>
      <w:pPr>
        <w:pStyle w:val="ListBullet"/>
        <w:spacing w:line="240" w:lineRule="auto"/>
        <w:ind w:left="720"/>
      </w:pPr>
      <w:r>
        <w:rPr>
          <w:lang w:val="en_US" w:bidi="en_US"/>
        </w:rPr>
      </w:r>
      <w:r>
        <w:rPr>
          <w:lang w:val="en_US" w:bidi="en_US"/>
        </w:rPr>
        <w:t xml:space="preserve">And in the same way, all seven </w:t>
      </w:r>
      <w:r>
        <w:rPr>
          <w:lang w:val="en_US" w:bidi="en_US"/>
        </w:rPr>
        <w:t>brothers married her, and all seven</w:t>
      </w:r>
      <w:r>
        <w:rPr>
          <w:lang w:val="en_US" w:bidi="en_US"/>
        </w:rPr>
        <w:t xml:space="preserve"> died.</w:t>
      </w:r>
    </w:p>
    <w:p>
      <w:pPr>
        <w:pStyle w:val="ListBullet"/>
        <w:spacing w:line="240" w:lineRule="auto"/>
        <w:ind w:left="720"/>
      </w:pPr>
      <w:r>
        <w:rPr>
          <w:lang w:val="en_US" w:bidi="en_US"/>
        </w:rPr>
      </w:r>
      <w:r>
        <w:rPr>
          <w:lang w:val="en_US" w:bidi="en_US"/>
        </w:rPr>
        <w:t xml:space="preserve">All seven brothers </w:t>
      </w:r>
      <w:r>
        <w:rPr>
          <w:lang w:val="en_US" w:bidi="en_US"/>
        </w:rPr>
        <w:t>married her,</w:t>
      </w:r>
      <w:r>
        <w:rPr>
          <w:lang w:val="en_US" w:bidi="en_US"/>
        </w:rPr>
        <w:t xml:space="preserve"> and all of them died.</w:t>
      </w:r>
    </w:p>
    <w:p>
      <w:pPr>
        <w:pStyle w:val="Heading5"/>
      </w:pPr>
      <w:r>
        <w:rPr>
          <w:lang w:val="en_US" w:bidi="en_US"/>
        </w:rPr>
        <w:t>20:31c</w:t>
      </w:r>
    </w:p>
    <w:p>
      <w:pPr/>
      <w:r>
        <w:rPr>
          <w:lang w:val="en_US" w:bidi="en_US"/>
        </w:rPr>
      </w:r>
      <w:r>
        <w:rPr>
          <w:b/>
          <w:lang w:val="en_US" w:bidi="en_US"/>
        </w:rPr>
        <w:t>leaving no children.</w:t>
      </w:r>
    </w:p>
    <w:p>
      <w:pPr>
        <w:pStyle w:val="ListBullet"/>
        <w:spacing w:line="240" w:lineRule="auto"/>
        <w:ind w:left="720"/>
      </w:pPr>
      <w:r>
        <w:rPr>
          <w:lang w:val="en_US" w:bidi="en_US"/>
        </w:rPr>
      </w:r>
      <w:r>
        <w:rPr>
          <w:lang w:val="en_US" w:bidi="en_US"/>
        </w:rPr>
        <w:t>None of them had any children.</w:t>
      </w:r>
    </w:p>
    <w:p>
      <w:pPr>
        <w:pStyle w:val="ListBullet"/>
        <w:spacing w:line="240" w:lineRule="auto"/>
        <w:ind w:left="720"/>
      </w:pPr>
      <w:r>
        <w:rPr>
          <w:lang w:val="en_US" w:bidi="en_US"/>
        </w:rPr>
      </w:r>
      <w:r>
        <w:rPr>
          <w:lang w:val="en_US" w:bidi="en_US"/>
        </w:rPr>
        <w:t>The woman did not bear</w:t>
      </w:r>
      <w:r>
        <w:rPr>
          <w:lang w:val="en_US" w:bidi="en_US"/>
        </w:rPr>
        <w:t xml:space="preserve"> any of them a child.</w:t>
      </w:r>
    </w:p>
    <w:p>
      <w:pPr>
        <w:pStyle w:val="Heading5"/>
      </w:pPr>
      <w:r>
        <w:rPr>
          <w:lang w:val="en_US" w:bidi="en_US"/>
        </w:rPr>
        <w:t>20:31b–c</w:t>
      </w:r>
    </w:p>
    <w:p>
      <w:pPr/>
      <w:r>
        <w:rPr>
          <w:lang w:val="en_US" w:bidi="en_US"/>
        </w:rPr>
      </w:r>
      <w:r>
        <w:rPr>
          <w:b/>
          <w:lang w:val="en_US" w:bidi="en_US"/>
        </w:rPr>
        <w:t>and in the same way all seven died, leaving no children:</w:t>
      </w:r>
      <w:r>
        <w:rPr>
          <w:lang w:val="en_US" w:bidi="en_US"/>
        </w:rPr>
        <w:t xml:space="preserve"> It is clearly implied here that before they died, all seven brothers married the same woman, one after the other. None of the seven brothers produced any children by the woman whom they all had married. Another way to translate this is:</w:t>
      </w:r>
    </w:p>
    <w:p>
      <w:pPr/>
      <w:r>
        <w:rPr>
          <w:lang w:val="en_US" w:bidi="en_US"/>
        </w:rPr>
      </w:r>
      <w:r>
        <w:rPr>
          <w:lang w:val="en_US" w:bidi="en_US"/>
        </w:rPr>
        <w:t>In the same way all seven brothers married the widow, died, and left no children. (GW)</w:t>
      </w:r>
      <w:r>
        <w:rPr>
          <w:lang w:val="en_US" w:bidi="en_US"/>
        </w:rPr>
      </w:r>
      <w:r>
        <w:rPr>
          <w:lang w:val="en_US" w:bidi="en_US"/>
        </w:rPr>
      </w:r>
    </w:p>
    <w:p>
      <w:pPr/>
      <w:r>
        <w:rPr>
          <w:lang w:val="en_US" w:bidi="en_US"/>
        </w:rPr>
      </w:r>
    </w:p>
    <w:p>
      <w:pPr>
        <w:pStyle w:val="Heading2"/>
      </w:pPr>
      <w:r>
        <w:rPr>
          <w:lang w:val="en_US" w:bidi="en_US"/>
        </w:rPr>
        <w:t>Luke 20:32</w:t>
      </w:r>
      <w:r>
        <w:rPr>
          <w:lang w:val="en_US" w:bidi="en_US"/>
        </w:rPr>
      </w:r>
    </w:p>
    <w:p>
      <w:pPr>
        <w:pStyle w:val="Heading4"/>
      </w:pPr>
      <w:r>
        <w:rPr>
          <w:lang w:val="en_US" w:bidi="en_US"/>
        </w:rPr>
        <w:t>Section 20:27–40: Sadducees asked Jesus a trick question about the resurrection</w:t>
      </w:r>
    </w:p>
    <w:p>
      <w:pPr/>
      <w:r>
        <w:rPr>
          <w:lang w:val="en_US" w:bidi="en_US"/>
        </w:rPr>
      </w:r>
      <w:r>
        <w:rPr>
          <w:lang w:val="en_US" w:bidi="en_US"/>
        </w:rP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pPr/>
      <w:r>
        <w:rPr>
          <w:lang w:val="en_US" w:bidi="en_US"/>
        </w:rPr>
      </w:r>
      <w:r>
        <w:rPr>
          <w:lang w:val="en_US" w:bidi="en_US"/>
        </w:rP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rPr>
          <w:lang w:val="en_US" w:bidi="en_US"/>
        </w:rPr>
        <w:t xml:space="preserve">This custom was called </w:t>
      </w:r>
      <w:r>
        <w:rPr>
          <w:u w:val="single"/>
          <w:lang w:val="en_US" w:bidi="en_US"/>
        </w:rPr>
        <w:t>levirate</w:t>
      </w:r>
      <w:r>
        <w:rPr>
          <w:lang w:val="en_US" w:bidi="en_US"/>
        </w:rP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Examples of headings for this section are:</w:t>
      </w:r>
    </w:p>
    <w:p>
      <w:pPr/>
      <w:r>
        <w:rPr>
          <w:lang w:val="en_US" w:bidi="en_US"/>
        </w:rPr>
      </w:r>
      <w:r>
        <w:rPr>
          <w:lang w:val="en_US" w:bidi="en_US"/>
        </w:rPr>
        <w:t>The Question about Rising from Death (GNT)</w:t>
      </w:r>
    </w:p>
    <w:p>
      <w:pPr/>
      <w:r>
        <w:rPr>
          <w:lang w:val="en_US" w:bidi="en_US"/>
        </w:rPr>
      </w:r>
      <w:r>
        <w:rPr>
          <w:lang w:val="en_US" w:bidi="en_US"/>
        </w:rPr>
        <w:t>Do the dead rise again?</w:t>
      </w:r>
    </w:p>
    <w:p>
      <w:pPr/>
      <w:r>
        <w:rPr>
          <w:lang w:val="en_US" w:bidi="en_US"/>
        </w:rPr>
      </w:r>
      <w:r>
        <w:rPr>
          <w:lang w:val="en_US" w:bidi="en_US"/>
        </w:rPr>
        <w:t>The Sadducees challenged Jesus on people rising from death</w:t>
      </w:r>
    </w:p>
    <w:p>
      <w:pPr/>
      <w:r>
        <w:rPr>
          <w:lang w:val="en_US" w:bidi="en_US"/>
        </w:rPr>
      </w:r>
      <w:r>
        <w:rPr>
          <w:lang w:val="en_US" w:bidi="en_US"/>
        </w:rPr>
        <w:t>Parallel passages for this section are found in Matthew 22:23–33 and Mark 12:18–27.</w:t>
      </w:r>
    </w:p>
    <w:p>
      <w:pPr>
        <w:pStyle w:val="Heading5"/>
      </w:pPr>
      <w:r>
        <w:rPr>
          <w:lang w:val="en_US" w:bidi="en_US"/>
        </w:rPr>
        <w:t>20:32</w:t>
      </w:r>
    </w:p>
    <w:p>
      <w:pPr/>
      <w:r>
        <w:rPr>
          <w:lang w:val="en_US" w:bidi="en_US"/>
        </w:rPr>
      </w:r>
      <w:r>
        <w:rPr>
          <w:b/>
          <w:lang w:val="en_US" w:bidi="en_US"/>
        </w:rPr>
        <w:t>And last of all, the woman died.</w:t>
      </w:r>
    </w:p>
    <w:p>
      <w:pPr>
        <w:pStyle w:val="ListBullet"/>
        <w:spacing w:line="240" w:lineRule="auto"/>
        <w:ind w:left="720"/>
      </w:pPr>
      <w:r>
        <w:rPr>
          <w:lang w:val="en_US" w:bidi="en_US"/>
        </w:rPr>
      </w:r>
      <w:r>
        <w:rPr>
          <w:lang w:val="en_US" w:bidi="en_US"/>
        </w:rPr>
        <w:t>In the end, the woman also died.</w:t>
      </w:r>
    </w:p>
    <w:p>
      <w:pPr>
        <w:pStyle w:val="ListBullet"/>
        <w:spacing w:line="240" w:lineRule="auto"/>
        <w:ind w:left="720"/>
      </w:pPr>
      <w:r>
        <w:rPr>
          <w:lang w:val="en_US" w:bidi="en_US"/>
        </w:rPr>
      </w:r>
      <w:r>
        <w:rPr>
          <w:lang w:val="en_US" w:bidi="en_US"/>
        </w:rPr>
        <w:t xml:space="preserve">After </w:t>
      </w:r>
      <w:r>
        <w:rPr>
          <w:lang w:val="en_US" w:bidi="en_US"/>
        </w:rPr>
        <w:t>they all died,</w:t>
      </w:r>
      <w:r>
        <w:rPr>
          <w:lang w:val="en_US" w:bidi="en_US"/>
        </w:rPr>
        <w:t xml:space="preserve"> the woman died also.</w:t>
      </w:r>
    </w:p>
    <w:p>
      <w:pPr/>
      <w:r>
        <w:rPr>
          <w:lang w:val="en_US" w:bidi="en_US"/>
        </w:rPr>
      </w:r>
      <w:r>
        <w:rPr>
          <w:b/>
          <w:lang w:val="en_US" w:bidi="en_US"/>
        </w:rPr>
        <w:t>And last of all, the woman died:</w:t>
      </w:r>
      <w:r>
        <w:rPr>
          <w:lang w:val="en_US" w:bidi="en_US"/>
        </w:rPr>
        <w:t xml:space="preserve"> The phrase </w:t>
      </w:r>
      <w:r>
        <w:rPr>
          <w:i/>
          <w:lang w:val="en_US" w:bidi="en_US"/>
        </w:rPr>
        <w:t>last of all</w:t>
      </w:r>
      <w:r>
        <w:rPr>
          <w:lang w:val="en_US" w:bidi="en_US"/>
        </w:rPr>
        <w:t xml:space="preserve"> introduces the last event that happened in the story. Some other ways to translate this verse are:</w:t>
      </w:r>
    </w:p>
    <w:p>
      <w:pPr/>
      <w:r>
        <w:rPr>
          <w:lang w:val="en_US" w:bidi="en_US"/>
        </w:rPr>
      </w:r>
      <w:r>
        <w:rPr>
          <w:lang w:val="en_US" w:bidi="en_US"/>
        </w:rPr>
        <w:t>After all this, the woman died also.</w:t>
      </w:r>
    </w:p>
    <w:p>
      <w:pPr/>
      <w:r>
        <w:rPr>
          <w:lang w:val="en_US" w:bidi="en_US"/>
        </w:rPr>
      </w:r>
      <w:r>
        <w:rPr>
          <w:lang w:val="en_US" w:bidi="en_US"/>
        </w:rPr>
        <w:t xml:space="preserve">In the end </w:t>
      </w:r>
      <w:r>
        <w:rPr>
          <w:lang w:val="en_US" w:bidi="en_US"/>
        </w:rPr>
        <w:t>after all the brothers died</w:t>
      </w:r>
      <w:r>
        <w:rPr>
          <w:lang w:val="en_US" w:bidi="en_US"/>
        </w:rPr>
        <w:t>, the woman also died.</w:t>
      </w:r>
      <w:r>
        <w:rPr>
          <w:lang w:val="en_US" w:bidi="en_US"/>
        </w:rPr>
      </w:r>
      <w:r>
        <w:rPr>
          <w:lang w:val="en_US" w:bidi="en_US"/>
        </w:rPr>
      </w:r>
    </w:p>
    <w:p>
      <w:pPr/>
      <w:r>
        <w:rPr>
          <w:lang w:val="en_US" w:bidi="en_US"/>
        </w:rPr>
      </w:r>
    </w:p>
    <w:p>
      <w:pPr>
        <w:pStyle w:val="Heading2"/>
      </w:pPr>
      <w:r>
        <w:rPr>
          <w:lang w:val="en_US" w:bidi="en_US"/>
        </w:rPr>
        <w:t>Luke 20:33</w:t>
      </w:r>
      <w:r>
        <w:rPr>
          <w:lang w:val="en_US" w:bidi="en_US"/>
        </w:rPr>
      </w:r>
    </w:p>
    <w:p>
      <w:pPr>
        <w:pStyle w:val="Heading4"/>
      </w:pPr>
      <w:r>
        <w:rPr>
          <w:lang w:val="en_US" w:bidi="en_US"/>
        </w:rPr>
        <w:t>Section 20:27–40: Sadducees asked Jesus a trick question about the resurrection</w:t>
      </w:r>
    </w:p>
    <w:p>
      <w:pPr/>
      <w:r>
        <w:rPr>
          <w:lang w:val="en_US" w:bidi="en_US"/>
        </w:rPr>
      </w:r>
      <w:r>
        <w:rPr>
          <w:lang w:val="en_US" w:bidi="en_US"/>
        </w:rP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pPr/>
      <w:r>
        <w:rPr>
          <w:lang w:val="en_US" w:bidi="en_US"/>
        </w:rPr>
      </w:r>
      <w:r>
        <w:rPr>
          <w:lang w:val="en_US" w:bidi="en_US"/>
        </w:rP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rPr>
          <w:lang w:val="en_US" w:bidi="en_US"/>
        </w:rPr>
        <w:t xml:space="preserve">This custom was called </w:t>
      </w:r>
      <w:r>
        <w:rPr>
          <w:u w:val="single"/>
          <w:lang w:val="en_US" w:bidi="en_US"/>
        </w:rPr>
        <w:t>levirate</w:t>
      </w:r>
      <w:r>
        <w:rPr>
          <w:lang w:val="en_US" w:bidi="en_US"/>
        </w:rP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Examples of headings for this section are:</w:t>
      </w:r>
    </w:p>
    <w:p>
      <w:pPr/>
      <w:r>
        <w:rPr>
          <w:lang w:val="en_US" w:bidi="en_US"/>
        </w:rPr>
      </w:r>
      <w:r>
        <w:rPr>
          <w:lang w:val="en_US" w:bidi="en_US"/>
        </w:rPr>
        <w:t>The Question about Rising from Death (GNT)</w:t>
      </w:r>
    </w:p>
    <w:p>
      <w:pPr/>
      <w:r>
        <w:rPr>
          <w:lang w:val="en_US" w:bidi="en_US"/>
        </w:rPr>
      </w:r>
      <w:r>
        <w:rPr>
          <w:lang w:val="en_US" w:bidi="en_US"/>
        </w:rPr>
        <w:t>Do the dead rise again?</w:t>
      </w:r>
    </w:p>
    <w:p>
      <w:pPr/>
      <w:r>
        <w:rPr>
          <w:lang w:val="en_US" w:bidi="en_US"/>
        </w:rPr>
      </w:r>
      <w:r>
        <w:rPr>
          <w:lang w:val="en_US" w:bidi="en_US"/>
        </w:rPr>
        <w:t>The Sadducees challenged Jesus on people rising from death</w:t>
      </w:r>
    </w:p>
    <w:p>
      <w:pPr/>
      <w:r>
        <w:rPr>
          <w:lang w:val="en_US" w:bidi="en_US"/>
        </w:rPr>
      </w:r>
      <w:r>
        <w:rPr>
          <w:lang w:val="en_US" w:bidi="en_US"/>
        </w:rPr>
        <w:t>Parallel passages for this section are found in Matthew 22:23–33 and Mark 12:18–27.</w:t>
      </w:r>
    </w:p>
    <w:p>
      <w:pPr>
        <w:pStyle w:val="Heading5"/>
      </w:pPr>
      <w:r>
        <w:rPr>
          <w:lang w:val="en_US" w:bidi="en_US"/>
        </w:rPr>
        <w:t>20:33a</w:t>
      </w:r>
    </w:p>
    <w:p>
      <w:pPr/>
      <w:r>
        <w:rPr>
          <w:lang w:val="en_US" w:bidi="en_US"/>
        </w:rPr>
      </w:r>
      <w:r>
        <w:rPr>
          <w:b/>
          <w:lang w:val="en_US" w:bidi="en_US"/>
        </w:rPr>
        <w:t>So then, in the resurrection, whose wife will she be?</w:t>
      </w:r>
    </w:p>
    <w:p>
      <w:pPr>
        <w:pStyle w:val="ListBullet"/>
        <w:spacing w:line="240" w:lineRule="auto"/>
        <w:ind w:left="720"/>
      </w:pPr>
      <w:r>
        <w:rPr>
          <w:lang w:val="en_US" w:bidi="en_US"/>
        </w:rPr>
      </w:r>
      <w:r>
        <w:rPr>
          <w:lang w:val="en_US" w:bidi="en_US"/>
        </w:rPr>
        <w:t xml:space="preserve">So </w:t>
      </w:r>
      <w:r>
        <w:rPr>
          <w:lang w:val="en_US" w:bidi="en_US"/>
        </w:rPr>
        <w:t>tell us</w:t>
      </w:r>
      <w:r>
        <w:rPr>
          <w:lang w:val="en_US" w:bidi="en_US"/>
        </w:rPr>
        <w:t xml:space="preserve"> whose wife will she be when they </w:t>
      </w:r>
      <w:r>
        <w:rPr>
          <w:lang w:val="en_US" w:bidi="en_US"/>
        </w:rPr>
        <w:t>all</w:t>
      </w:r>
      <w:r>
        <w:rPr>
          <w:lang w:val="en_US" w:bidi="en_US"/>
        </w:rPr>
        <w:t xml:space="preserve"> live again,</w:t>
      </w:r>
    </w:p>
    <w:p>
      <w:pPr>
        <w:pStyle w:val="ListBullet"/>
        <w:spacing w:line="240" w:lineRule="auto"/>
        <w:ind w:left="720"/>
      </w:pPr>
      <w:r>
        <w:rPr>
          <w:lang w:val="en_US" w:bidi="en_US"/>
        </w:rPr>
      </w:r>
      <w:r>
        <w:rPr>
          <w:lang w:val="en_US" w:bidi="en_US"/>
        </w:rPr>
        <w:t xml:space="preserve">Now </w:t>
      </w:r>
      <w:r>
        <w:rPr>
          <w:lang w:val="en_US" w:bidi="en_US"/>
        </w:rPr>
        <w:t>our question is</w:t>
      </w:r>
      <w:r>
        <w:rPr>
          <w:lang w:val="en_US" w:bidi="en_US"/>
        </w:rPr>
        <w:t xml:space="preserve"> when </w:t>
      </w:r>
      <w:r>
        <w:rPr>
          <w:lang w:val="en_US" w:bidi="en_US"/>
        </w:rPr>
        <w:t>God</w:t>
      </w:r>
      <w:r>
        <w:rPr>
          <w:lang w:val="en_US" w:bidi="en_US"/>
        </w:rPr>
        <w:t xml:space="preserve"> raises them all from death, which brother will be her husband?</w:t>
      </w:r>
    </w:p>
    <w:p>
      <w:pPr/>
      <w:r>
        <w:rPr>
          <w:lang w:val="en_US" w:bidi="en_US"/>
        </w:rPr>
      </w:r>
      <w:r>
        <w:rPr>
          <w:b/>
          <w:lang w:val="en_US" w:bidi="en_US"/>
        </w:rPr>
        <w:t>So then:</w:t>
      </w:r>
      <w:r>
        <w:rPr>
          <w:lang w:val="en_US" w:bidi="en_US"/>
        </w:rPr>
        <w:t xml:space="preserve"> The Greek conjunction that the BSB translates as </w:t>
      </w:r>
      <w:r>
        <w:rPr>
          <w:i/>
          <w:lang w:val="en_US" w:bidi="en_US"/>
        </w:rPr>
        <w:t>So then</w:t>
      </w:r>
      <w:r>
        <w:rPr>
          <w:lang w:val="en_US" w:bidi="en_US"/>
        </w:rPr>
        <w:t xml:space="preserve"> means “therefore/then.” It introduces the question that the Sadducees asked Jesus when they concluded their story. Other ways to introduce 20:33a are:</w:t>
      </w:r>
    </w:p>
    <w:p>
      <w:pPr/>
      <w:r>
        <w:rPr>
          <w:lang w:val="en_US" w:bidi="en_US"/>
        </w:rPr>
      </w:r>
      <w:r>
        <w:rPr>
          <w:lang w:val="en_US" w:bidi="en_US"/>
        </w:rPr>
        <w:t>So tell us (NLT)</w:t>
      </w:r>
    </w:p>
    <w:p>
      <w:pPr/>
      <w:r>
        <w:rPr>
          <w:lang w:val="en_US" w:bidi="en_US"/>
        </w:rPr>
      </w:r>
      <w:r>
        <w:rPr>
          <w:lang w:val="en_US" w:bidi="en_US"/>
        </w:rPr>
        <w:t>As a result, then</w:t>
      </w:r>
    </w:p>
    <w:p>
      <w:pPr/>
      <w:r>
        <w:rPr>
          <w:lang w:val="en_US" w:bidi="en_US"/>
        </w:rPr>
      </w:r>
      <w:r>
        <w:rPr>
          <w:lang w:val="en_US" w:bidi="en_US"/>
        </w:rPr>
        <w:t>And therefore</w:t>
      </w:r>
    </w:p>
    <w:p>
      <w:pPr/>
      <w:r>
        <w:rPr>
          <w:lang w:val="en_US" w:bidi="en_US"/>
        </w:rPr>
      </w:r>
      <w:r>
        <w:rPr>
          <w:lang w:val="en_US" w:bidi="en_US"/>
        </w:rPr>
        <w:t>Introduce the Sadducees’ question in a natural way in your language.</w:t>
      </w:r>
    </w:p>
    <w:p>
      <w:pPr/>
      <w:r>
        <w:rPr>
          <w:lang w:val="en_US" w:bidi="en_US"/>
        </w:rPr>
      </w:r>
      <w:r>
        <w:rPr>
          <w:b/>
          <w:lang w:val="en_US" w:bidi="en_US"/>
        </w:rPr>
        <w:t>in the resurrection, whose wife will she be:</w:t>
      </w:r>
      <w:r>
        <w:rPr>
          <w:lang w:val="en_US" w:bidi="en_US"/>
        </w:rPr>
        <w:t xml:space="preserve"> Here the Sadducees asked Jesus what would happen at the resurrection when the woman and the seven men were alive again. They wanted to know to whom she would be married at that time. Some other ways to translate this question are:</w:t>
      </w:r>
    </w:p>
    <w:p>
      <w:pPr/>
      <w:r>
        <w:rPr>
          <w:lang w:val="en_US" w:bidi="en_US"/>
        </w:rPr>
      </w:r>
      <w:r>
        <w:rPr>
          <w:lang w:val="en_US" w:bidi="en_US"/>
        </w:rPr>
        <w:t>…on the day when the dead rise to life, whose wife will she be? (GNT)</w:t>
      </w:r>
    </w:p>
    <w:p>
      <w:pPr/>
      <w:r>
        <w:rPr>
          <w:lang w:val="en_US" w:bidi="en_US"/>
        </w:rPr>
      </w:r>
      <w:r>
        <w:rPr>
          <w:lang w:val="en_US" w:bidi="en_US"/>
        </w:rPr>
        <w:t>After the resurrection which of these men will be her husband?</w:t>
      </w:r>
    </w:p>
    <w:p>
      <w:pPr/>
      <w:r>
        <w:rPr>
          <w:lang w:val="en_US" w:bidi="en_US"/>
        </w:rPr>
      </w:r>
      <w:r>
        <w:rPr>
          <w:lang w:val="en_US" w:bidi="en_US"/>
        </w:rPr>
        <w:t>The Sadducees thought that there was no good answer to this question. They expected that Jesus could not answer it wisely, and then people would no longer believe him. They would think that it was foolish for him to teach that God will cause dead people to live again.</w:t>
      </w:r>
    </w:p>
    <w:p>
      <w:pPr/>
      <w:r>
        <w:rPr>
          <w:lang w:val="en_US" w:bidi="en_US"/>
        </w:rPr>
      </w:r>
      <w:r>
        <w:rPr>
          <w:b/>
          <w:lang w:val="en_US" w:bidi="en_US"/>
        </w:rPr>
        <w:t>in the resurrection:</w:t>
      </w:r>
      <w:r>
        <w:rPr>
          <w:lang w:val="en_US" w:bidi="en_US"/>
        </w:rPr>
        <w:t xml:space="preserve"> The phrase </w:t>
      </w:r>
      <w:r>
        <w:rPr>
          <w:i/>
          <w:lang w:val="en_US" w:bidi="en_US"/>
        </w:rPr>
        <w:t>in the resurrection</w:t>
      </w:r>
      <w:r>
        <w:rPr>
          <w:lang w:val="en_US" w:bidi="en_US"/>
        </w:rPr>
        <w:t xml:space="preserve"> refers to the time in the future when God will make dead people live again. The Sadducees did not believe that this would ever happen. They referred to it in order to imply that it was ridiculous to believe in it. In some languages it may be helpful to translate in a way that implies this attitude. For example:</w:t>
      </w:r>
    </w:p>
    <w:p>
      <w:pPr/>
      <w:r>
        <w:rPr>
          <w:lang w:val="en_US" w:bidi="en_US"/>
        </w:rPr>
      </w:r>
      <w:r>
        <w:rPr>
          <w:lang w:val="en_US" w:bidi="en_US"/>
        </w:rPr>
        <w:t xml:space="preserve">When God causes them to live again </w:t>
      </w:r>
      <w:r>
        <w:rPr>
          <w:lang w:val="en_US" w:bidi="en_US"/>
        </w:rPr>
        <w:t>as you believe he will</w:t>
      </w:r>
    </w:p>
    <w:p>
      <w:pPr/>
      <w:r>
        <w:rPr>
          <w:lang w:val="en_US" w:bidi="en_US"/>
        </w:rPr>
      </w:r>
      <w:r>
        <w:rPr>
          <w:b/>
          <w:lang w:val="en_US" w:bidi="en_US"/>
        </w:rPr>
        <w:t>resurrection:</w:t>
      </w:r>
      <w:r>
        <w:rPr>
          <w:lang w:val="en_US" w:bidi="en_US"/>
        </w:rPr>
        <w:t xml:space="preserve"> For more help in translating </w:t>
      </w:r>
      <w:r>
        <w:rPr>
          <w:i/>
          <w:lang w:val="en_US" w:bidi="en_US"/>
        </w:rPr>
        <w:t>resurrection</w:t>
      </w:r>
      <w:r>
        <w:rPr>
          <w:lang w:val="en_US" w:bidi="en_US"/>
        </w:rPr>
        <w:t xml:space="preserve"> see the note at 20:27b.</w:t>
      </w:r>
    </w:p>
    <w:p>
      <w:pPr>
        <w:pStyle w:val="Heading5"/>
      </w:pPr>
      <w:r>
        <w:rPr>
          <w:lang w:val="en_US" w:bidi="en_US"/>
        </w:rPr>
        <w:t>20:33b</w:t>
      </w:r>
    </w:p>
    <w:p>
      <w:pPr/>
      <w:r>
        <w:rPr>
          <w:lang w:val="en_US" w:bidi="en_US"/>
        </w:rPr>
      </w:r>
      <w:r>
        <w:rPr>
          <w:b/>
          <w:lang w:val="en_US" w:bidi="en_US"/>
        </w:rPr>
        <w:t>For all seven were married to her.”</w:t>
      </w:r>
    </w:p>
    <w:p>
      <w:pPr>
        <w:pStyle w:val="ListBullet"/>
        <w:spacing w:line="240" w:lineRule="auto"/>
        <w:ind w:left="720"/>
      </w:pPr>
      <w:r>
        <w:rPr>
          <w:lang w:val="en_US" w:bidi="en_US"/>
        </w:rPr>
      </w:r>
      <w:r>
        <w:rPr>
          <w:lang w:val="en_US" w:bidi="en_US"/>
        </w:rPr>
        <w:t>considering that all seven men had married her?”</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ask this</w:t>
      </w:r>
      <w:r>
        <w:rPr>
          <w:lang w:val="en_US" w:bidi="en_US"/>
        </w:rPr>
        <w:t xml:space="preserve"> because she was the wife of all seven men, </w:t>
      </w:r>
      <w:r>
        <w:rPr>
          <w:lang w:val="en_US" w:bidi="en_US"/>
        </w:rPr>
        <w:t>one after the other</w:t>
      </w:r>
      <w:r>
        <w:rPr>
          <w:lang w:val="en_US" w:bidi="en_US"/>
        </w:rPr>
        <w:t>!”</w:t>
      </w:r>
    </w:p>
    <w:p>
      <w:pPr/>
      <w:r>
        <w:rPr>
          <w:lang w:val="en_US" w:bidi="en_US"/>
        </w:rPr>
      </w:r>
      <w:r>
        <w:rPr>
          <w:b/>
          <w:lang w:val="en_US" w:bidi="en_US"/>
        </w:rPr>
        <w:t>For all seven were married to her:</w:t>
      </w:r>
      <w:r>
        <w:rPr>
          <w:lang w:val="en_US" w:bidi="en_US"/>
        </w:rPr>
        <w:t xml:space="preserve"> This clause explains why it was difficult to decide who would be married to the woman after the resurrection. Other ways to translate the clause are:</w:t>
      </w:r>
    </w:p>
    <w:p>
      <w:pPr/>
      <w:r>
        <w:rPr>
          <w:lang w:val="en_US" w:bidi="en_US"/>
        </w:rPr>
      </w:r>
      <w:r>
        <w:rPr>
          <w:lang w:val="en_US" w:bidi="en_US"/>
        </w:rPr>
        <w:t>…whose wife will the woman be? For the seven had her as wife. (RSV)</w:t>
      </w:r>
    </w:p>
    <w:p>
      <w:pPr/>
      <w:r>
        <w:rPr>
          <w:lang w:val="en_US" w:bidi="en_US"/>
        </w:rPr>
      </w:r>
      <w:r>
        <w:rPr>
          <w:lang w:val="en_US" w:bidi="en_US"/>
        </w:rPr>
        <w:t>It is difficult/impossible to decide,</w:t>
      </w:r>
      <w:r>
        <w:rPr>
          <w:lang w:val="en_US" w:bidi="en_US"/>
        </w:rPr>
        <w:t xml:space="preserve"> because each of the seven men had her as wife.</w:t>
      </w:r>
    </w:p>
    <w:p>
      <w:pPr/>
      <w:r>
        <w:rPr>
          <w:lang w:val="en_US" w:bidi="en_US"/>
        </w:rPr>
      </w:r>
      <w:r>
        <w:rPr>
          <w:lang w:val="en_US" w:bidi="en_US"/>
        </w:rPr>
        <w:t>Your translation should not imply that the woman was married to all of the brothers at the same time. She married the brothers one after the other. Consider how to say that clearly in your language.</w:t>
      </w:r>
    </w:p>
    <w:p>
      <w:pPr>
        <w:pStyle w:val="Heading6"/>
      </w:pPr>
      <w:r>
        <w:rPr>
          <w:b/>
          <w:lang w:val="en_US" w:bidi="en_US"/>
        </w:rPr>
        <w:t>General Comment on 20:33a–b</w:t>
      </w:r>
    </w:p>
    <w:p>
      <w:pPr/>
      <w:r>
        <w:rPr>
          <w:lang w:val="en_US" w:bidi="en_US"/>
        </w:rPr>
      </w:r>
      <w:r>
        <w:rPr>
          <w:lang w:val="en_US" w:bidi="en_US"/>
        </w:rPr>
        <w:t>It may be helpful in some languages to change the order of these two clauses. For example:</w:t>
      </w:r>
    </w:p>
    <w:p>
      <w:pPr/>
      <w:r>
        <w:rPr>
          <w:lang w:val="en_US" w:bidi="en_US"/>
        </w:rPr>
      </w:r>
      <w:r>
        <w:rPr>
          <w:vertAlign w:val="superscript"/>
          <w:lang w:val="en_US" w:bidi="en_US"/>
        </w:rPr>
        <w:t>33b</w:t>
      </w:r>
      <w:r>
        <w:rPr>
          <w:lang w:val="en_US" w:bidi="en_US"/>
        </w:rPr>
        <w:t xml:space="preserve">Since the seven brothers were married to her, </w:t>
      </w:r>
      <w:r>
        <w:rPr>
          <w:vertAlign w:val="superscript"/>
          <w:lang w:val="en_US" w:bidi="en_US"/>
        </w:rPr>
        <w:t>33a</w:t>
      </w:r>
      <w:r>
        <w:rPr>
          <w:lang w:val="en_US" w:bidi="en_US"/>
        </w:rPr>
        <w:t>in the resurrection, whose wife will she be?</w:t>
      </w:r>
    </w:p>
    <w:p>
      <w:pPr/>
      <w:r>
        <w:rPr>
          <w:lang w:val="en_US" w:bidi="en_US"/>
        </w:rPr>
      </w:r>
      <w:r>
        <w:rPr>
          <w:vertAlign w:val="superscript"/>
          <w:lang w:val="en_US" w:bidi="en_US"/>
        </w:rPr>
        <w:t>33b</w:t>
      </w:r>
      <w:r>
        <w:rPr>
          <w:lang w:val="en_US" w:bidi="en_US"/>
        </w:rPr>
        <w:t xml:space="preserve">Because all the brothers had her as wife, </w:t>
      </w:r>
      <w:r>
        <w:rPr>
          <w:vertAlign w:val="superscript"/>
          <w:lang w:val="en_US" w:bidi="en_US"/>
        </w:rPr>
        <w:t>33a</w:t>
      </w:r>
      <w:r>
        <w:rPr>
          <w:lang w:val="en_US" w:bidi="en_US"/>
        </w:rPr>
        <w:t xml:space="preserve">which brother will have her </w:t>
      </w:r>
      <w:r>
        <w:rPr>
          <w:lang w:val="en_US" w:bidi="en_US"/>
        </w:rPr>
        <w:t>as his wife</w:t>
      </w:r>
      <w:r>
        <w:rPr>
          <w:lang w:val="en_US" w:bidi="en_US"/>
        </w:rPr>
        <w:t xml:space="preserve"> when all the dead </w:t>
      </w:r>
      <w:r>
        <w:rPr>
          <w:lang w:val="en_US" w:bidi="en_US"/>
        </w:rPr>
        <w:t>people</w:t>
      </w:r>
      <w:r>
        <w:rPr>
          <w:lang w:val="en_US" w:bidi="en_US"/>
        </w:rPr>
        <w:t xml:space="preserve"> live again?</w:t>
      </w:r>
      <w:r>
        <w:rPr>
          <w:lang w:val="en_US" w:bidi="en_US"/>
        </w:rPr>
      </w:r>
      <w:r>
        <w:rPr>
          <w:lang w:val="en_US" w:bidi="en_US"/>
        </w:rPr>
      </w:r>
    </w:p>
    <w:p>
      <w:pPr/>
      <w:r>
        <w:rPr>
          <w:lang w:val="en_US" w:bidi="en_US"/>
        </w:rPr>
      </w:r>
    </w:p>
    <w:p>
      <w:pPr>
        <w:pStyle w:val="Heading2"/>
      </w:pPr>
      <w:r>
        <w:rPr>
          <w:lang w:val="en_US" w:bidi="en_US"/>
        </w:rPr>
        <w:t>Luke 20:34</w:t>
      </w:r>
      <w:r>
        <w:rPr>
          <w:lang w:val="en_US" w:bidi="en_US"/>
        </w:rPr>
      </w:r>
    </w:p>
    <w:p>
      <w:pPr>
        <w:pStyle w:val="Heading4"/>
      </w:pPr>
      <w:r>
        <w:rPr>
          <w:lang w:val="en_US" w:bidi="en_US"/>
        </w:rPr>
        <w:t>Section 20:27–40: Sadducees asked Jesus a trick question about the resurrection</w:t>
      </w:r>
    </w:p>
    <w:p>
      <w:pPr/>
      <w:r>
        <w:rPr>
          <w:lang w:val="en_US" w:bidi="en_US"/>
        </w:rPr>
      </w:r>
      <w:r>
        <w:rPr>
          <w:lang w:val="en_US" w:bidi="en_US"/>
        </w:rP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pPr/>
      <w:r>
        <w:rPr>
          <w:lang w:val="en_US" w:bidi="en_US"/>
        </w:rPr>
      </w:r>
      <w:r>
        <w:rPr>
          <w:lang w:val="en_US" w:bidi="en_US"/>
        </w:rP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rPr>
          <w:lang w:val="en_US" w:bidi="en_US"/>
        </w:rPr>
        <w:t xml:space="preserve">This custom was called </w:t>
      </w:r>
      <w:r>
        <w:rPr>
          <w:u w:val="single"/>
          <w:lang w:val="en_US" w:bidi="en_US"/>
        </w:rPr>
        <w:t>levirate</w:t>
      </w:r>
      <w:r>
        <w:rPr>
          <w:lang w:val="en_US" w:bidi="en_US"/>
        </w:rP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Examples of headings for this section are:</w:t>
      </w:r>
    </w:p>
    <w:p>
      <w:pPr/>
      <w:r>
        <w:rPr>
          <w:lang w:val="en_US" w:bidi="en_US"/>
        </w:rPr>
      </w:r>
      <w:r>
        <w:rPr>
          <w:lang w:val="en_US" w:bidi="en_US"/>
        </w:rPr>
        <w:t>The Question about Rising from Death (GNT)</w:t>
      </w:r>
    </w:p>
    <w:p>
      <w:pPr/>
      <w:r>
        <w:rPr>
          <w:lang w:val="en_US" w:bidi="en_US"/>
        </w:rPr>
      </w:r>
      <w:r>
        <w:rPr>
          <w:lang w:val="en_US" w:bidi="en_US"/>
        </w:rPr>
        <w:t>Do the dead rise again?</w:t>
      </w:r>
    </w:p>
    <w:p>
      <w:pPr/>
      <w:r>
        <w:rPr>
          <w:lang w:val="en_US" w:bidi="en_US"/>
        </w:rPr>
      </w:r>
      <w:r>
        <w:rPr>
          <w:lang w:val="en_US" w:bidi="en_US"/>
        </w:rPr>
        <w:t>The Sadducees challenged Jesus on people rising from death</w:t>
      </w:r>
    </w:p>
    <w:p>
      <w:pPr/>
      <w:r>
        <w:rPr>
          <w:lang w:val="en_US" w:bidi="en_US"/>
        </w:rPr>
      </w:r>
      <w:r>
        <w:rPr>
          <w:lang w:val="en_US" w:bidi="en_US"/>
        </w:rPr>
        <w:t>Parallel passages for this section are found in Matthew 22:23–33 and Mark 12:18–27.</w:t>
      </w:r>
    </w:p>
    <w:p>
      <w:pPr>
        <w:pStyle w:val="Heading4"/>
      </w:pPr>
      <w:r>
        <w:rPr>
          <w:lang w:val="en_US" w:bidi="en_US"/>
        </w:rPr>
        <w:t>Paragraph 20:34–38</w:t>
      </w:r>
    </w:p>
    <w:p>
      <w:pPr/>
      <w:r>
        <w:rPr>
          <w:lang w:val="en_US" w:bidi="en_US"/>
        </w:rPr>
      </w:r>
      <w:r>
        <w:rPr>
          <w:lang w:val="en_US" w:bidi="en_US"/>
        </w:rPr>
        <w:t>In this paragraph Jesus gave the Sadducees an answer that had two parts:</w:t>
      </w:r>
    </w:p>
    <w:p>
      <w:pPr>
        <w:pStyle w:val="ListNumber"/>
        <w:numPr>
          <w:ilvl w:val="0"/>
          <w:numId w:val="333"/>
        </w:numPr>
        <w:spacing w:line="240" w:lineRule="auto"/>
        <w:ind w:left="720"/>
      </w:pPr>
      <w:r>
        <w:rPr>
          <w:lang w:val="en_US" w:bidi="en_US"/>
        </w:rPr>
      </w:r>
      <w:r>
        <w:rPr>
          <w:lang w:val="en_US" w:bidi="en_US"/>
        </w:rPr>
        <w:t>In 20:34–36, he explained that when people die and live again, they will have a new kind of life. They will not marry, just as angels do not marry. (See the notes on 20:36a–b.)</w:t>
      </w:r>
    </w:p>
    <w:p>
      <w:pPr>
        <w:pStyle w:val="ListNumber"/>
        <w:spacing w:line="240" w:lineRule="auto"/>
        <w:ind w:left="720"/>
      </w:pPr>
      <w:r>
        <w:rPr>
          <w:lang w:val="en_US" w:bidi="en_US"/>
        </w:rPr>
      </w:r>
      <w:r>
        <w:rPr>
          <w:lang w:val="en_US" w:bidi="en_US"/>
        </w:rPr>
        <w:t>In 20:37–38, he reminded them what God said in one of the books of Moses. God indicated that the great ancestors of the Jewish people were still alive with him. This showed that God does cause people to live again after they die.</w:t>
      </w:r>
    </w:p>
    <w:p>
      <w:pPr>
        <w:pStyle w:val="Heading5"/>
      </w:pPr>
      <w:r>
        <w:rPr>
          <w:lang w:val="en_US" w:bidi="en_US"/>
        </w:rPr>
        <w:t>20:34–36</w:t>
      </w:r>
    </w:p>
    <w:p>
      <w:pPr/>
      <w:r>
        <w:rPr>
          <w:lang w:val="en_US" w:bidi="en_US"/>
        </w:rPr>
      </w:r>
      <w:r>
        <w:rPr>
          <w:b/>
          <w:lang w:val="en_US" w:bidi="en_US"/>
        </w:rPr>
        <w:t>The sons of this age…sons of the resurrection…sons of God:</w:t>
      </w:r>
      <w:r>
        <w:rPr>
          <w:lang w:val="en_US" w:bidi="en_US"/>
        </w:rPr>
        <w:t xml:space="preserve"> The Greek word that the BSB literally translates as </w:t>
      </w:r>
      <w:r>
        <w:rPr>
          <w:i/>
          <w:lang w:val="en_US" w:bidi="en_US"/>
        </w:rPr>
        <w:t>sons</w:t>
      </w:r>
      <w:r>
        <w:rPr>
          <w:lang w:val="en_US" w:bidi="en_US"/>
        </w:rPr>
        <w:t xml:space="preserve"> in 20:34 is the same word as the word </w:t>
      </w:r>
      <w:r>
        <w:rPr>
          <w:i/>
          <w:lang w:val="en_US" w:bidi="en_US"/>
        </w:rPr>
        <w:t>sons</w:t>
      </w:r>
      <w:r>
        <w:rPr>
          <w:lang w:val="en_US" w:bidi="en_US"/>
        </w:rPr>
        <w:t xml:space="preserve"> in 20:36. The phrases </w:t>
      </w:r>
      <w:r>
        <w:rPr>
          <w:i/>
          <w:lang w:val="en_US" w:bidi="en_US"/>
        </w:rPr>
        <w:t>sons of God</w:t>
      </w:r>
      <w:r>
        <w:rPr>
          <w:lang w:val="en_US" w:bidi="en_US"/>
        </w:rPr>
        <w:t xml:space="preserve"> and </w:t>
      </w:r>
      <w:r>
        <w:rPr>
          <w:i/>
          <w:lang w:val="en_US" w:bidi="en_US"/>
        </w:rPr>
        <w:t>sons of the resurrection</w:t>
      </w:r>
      <w:r>
        <w:rPr>
          <w:lang w:val="en_US" w:bidi="en_US"/>
        </w:rPr>
        <w:t xml:space="preserve"> are two ways to describe the people who will live in the age to come. Jesus contrasted them with </w:t>
      </w:r>
      <w:r>
        <w:rPr>
          <w:i/>
          <w:lang w:val="en_US" w:bidi="en_US"/>
        </w:rPr>
        <w:t>The sons of this age</w:t>
      </w:r>
      <w:r>
        <w:rPr>
          <w:lang w:val="en_US" w:bidi="en_US"/>
        </w:rPr>
        <w:t>. Unlike the people of this age, the people who will live in the age to come will not marry, and they will not die again.</w:t>
      </w:r>
    </w:p>
    <w:p>
      <w:pPr/>
      <w:r>
        <w:rPr>
          <w:lang w:val="en_US" w:bidi="en_US"/>
        </w:rPr>
      </w:r>
      <w:r>
        <w:rPr>
          <w:lang w:val="en_US" w:bidi="en_US"/>
        </w:rPr>
        <w:t>Translate these verses in a way that makes this contrast clear. For example:</w:t>
      </w:r>
    </w:p>
    <w:p>
      <w:pPr/>
      <w:r>
        <w:rPr>
          <w:lang w:val="en_US" w:bidi="en_US"/>
        </w:rPr>
      </w:r>
      <w:r>
        <w:rPr>
          <w:vertAlign w:val="superscript"/>
          <w:lang w:val="en_US" w:bidi="en_US"/>
        </w:rPr>
        <w:t>34</w:t>
      </w:r>
      <w:r>
        <w:rPr>
          <w:lang w:val="en_US" w:bidi="en_US"/>
        </w:rPr>
        <w:t xml:space="preserve">The people of this age marry, </w:t>
      </w:r>
      <w:r>
        <w:rPr>
          <w:vertAlign w:val="superscript"/>
          <w:lang w:val="en_US" w:bidi="en_US"/>
        </w:rPr>
        <w:t>35</w:t>
      </w:r>
      <w:r>
        <w:rPr>
          <w:lang w:val="en_US" w:bidi="en_US"/>
        </w:rPr>
        <w:t xml:space="preserve">but people who are worthy to rise from death and live in the age to come will not marry </w:t>
      </w:r>
      <w:r>
        <w:rPr>
          <w:vertAlign w:val="superscript"/>
          <w:lang w:val="en_US" w:bidi="en_US"/>
        </w:rPr>
        <w:t>36</w:t>
      </w:r>
      <w:r>
        <w:rPr>
          <w:lang w:val="en_US" w:bidi="en_US"/>
        </w:rPr>
        <w:t>and they will not die again. In that way they will be like the angels. They are people of God, and they have already been resurrected.</w:t>
      </w:r>
    </w:p>
    <w:p>
      <w:pPr>
        <w:pStyle w:val="Heading5"/>
      </w:pPr>
      <w:r>
        <w:rPr>
          <w:lang w:val="en_US" w:bidi="en_US"/>
        </w:rPr>
        <w:t>20:34</w:t>
      </w:r>
    </w:p>
    <w:p>
      <w:pPr/>
      <w:r>
        <w:rPr>
          <w:lang w:val="en_US" w:bidi="en_US"/>
        </w:rPr>
      </w:r>
      <w:r>
        <w:rPr>
          <w:b/>
          <w:lang w:val="en_US" w:bidi="en_US"/>
        </w:rPr>
        <w:t>Jesus answered, “The sons of this age marry and are given in marriage.</w:t>
      </w:r>
    </w:p>
    <w:p>
      <w:pPr>
        <w:pStyle w:val="ListBullet"/>
        <w:spacing w:line="240" w:lineRule="auto"/>
        <w:ind w:left="720"/>
      </w:pPr>
      <w:r>
        <w:rPr>
          <w:lang w:val="en_US" w:bidi="en_US"/>
        </w:rPr>
      </w:r>
      <w:r>
        <w:rPr>
          <w:lang w:val="en_US" w:bidi="en_US"/>
        </w:rPr>
        <w:t xml:space="preserve">¶ Jesus answered, “The people in this age marry </w:t>
      </w:r>
      <w:r>
        <w:rPr>
          <w:lang w:val="en_US" w:bidi="en_US"/>
        </w:rPr>
        <w:t>women</w:t>
      </w:r>
      <w:r>
        <w:rPr>
          <w:lang w:val="en_US" w:bidi="en_US"/>
        </w:rPr>
        <w:t xml:space="preserve"> and/or are married </w:t>
      </w:r>
      <w:r>
        <w:rPr>
          <w:lang w:val="en_US" w:bidi="en_US"/>
        </w:rPr>
        <w:t>to men</w:t>
      </w:r>
      <w:r>
        <w:rPr>
          <w:lang w:val="en_US" w:bidi="en_US"/>
        </w:rPr>
        <w:t>.</w:t>
      </w:r>
    </w:p>
    <w:p>
      <w:pPr>
        <w:pStyle w:val="ListBullet"/>
        <w:spacing w:line="240" w:lineRule="auto"/>
        <w:ind w:left="720"/>
      </w:pPr>
      <w:r>
        <w:rPr>
          <w:lang w:val="en_US" w:bidi="en_US"/>
        </w:rPr>
      </w:r>
      <w:r>
        <w:rPr>
          <w:lang w:val="en_US" w:bidi="en_US"/>
        </w:rPr>
        <w:t xml:space="preserve">¶ Jesus said, “In this age/world, it is normal for men and women to marry </w:t>
      </w:r>
      <w:r>
        <w:rPr>
          <w:lang w:val="en_US" w:bidi="en_US"/>
        </w:rPr>
        <w:t>one another</w:t>
      </w:r>
      <w:r>
        <w:rPr>
          <w:lang w:val="en_US" w:bidi="en_US"/>
        </w:rPr>
        <w:t>.</w:t>
      </w:r>
    </w:p>
    <w:p>
      <w:pPr>
        <w:pStyle w:val="ListBullet"/>
        <w:spacing w:line="240" w:lineRule="auto"/>
        <w:ind w:left="720"/>
      </w:pPr>
      <w:r>
        <w:rPr>
          <w:lang w:val="en_US" w:bidi="en_US"/>
        </w:rPr>
      </w:r>
      <w:r>
        <w:rPr>
          <w:lang w:val="en_US" w:bidi="en_US"/>
        </w:rPr>
        <w:t>¶ Jesus replied, “Marriage is for people here on earth. (NLT)</w:t>
      </w:r>
    </w:p>
    <w:p>
      <w:pPr/>
      <w:r>
        <w:rPr>
          <w:lang w:val="en_US" w:bidi="en_US"/>
        </w:rPr>
      </w:r>
      <w:r>
        <w:rPr>
          <w:b/>
          <w:lang w:val="en_US" w:bidi="en_US"/>
        </w:rPr>
        <w:t>The sons of this age:</w:t>
      </w:r>
      <w:r>
        <w:rPr>
          <w:lang w:val="en_US" w:bidi="en_US"/>
        </w:rPr>
        <w:t xml:space="preserve"> The Greek phrase that the BSB translates as </w:t>
      </w:r>
      <w:r>
        <w:rPr>
          <w:i/>
          <w:lang w:val="en_US" w:bidi="en_US"/>
        </w:rPr>
        <w:t>The sons of this age</w:t>
      </w:r>
      <w:r>
        <w:rPr>
          <w:lang w:val="en_US" w:bidi="en_US"/>
        </w:rPr>
        <w:t xml:space="preserve"> refers to all people who live on this earth. It also refers to our life here until the resurrection. It does not refer only to the people who were alive while Jesus was on earth. Another way to translate this is:</w:t>
      </w:r>
    </w:p>
    <w:p>
      <w:pPr/>
      <w:r>
        <w:rPr>
          <w:lang w:val="en_US" w:bidi="en_US"/>
        </w:rPr>
      </w:r>
      <w:r>
        <w:rPr>
          <w:lang w:val="en_US" w:bidi="en_US"/>
        </w:rPr>
        <w:t>The people of this world</w:t>
      </w:r>
    </w:p>
    <w:p>
      <w:pPr/>
      <w:r>
        <w:rPr>
          <w:lang w:val="en_US" w:bidi="en_US"/>
        </w:rPr>
      </w:r>
      <w:r>
        <w:rPr>
          <w:b/>
          <w:lang w:val="en_US" w:bidi="en_US"/>
        </w:rPr>
        <w:t>marry and are given in marriage:</w:t>
      </w:r>
      <w:r>
        <w:rPr>
          <w:lang w:val="en_US" w:bidi="en_US"/>
        </w:rPr>
        <w:t xml:space="preserve"> Here marriage is described in two different ways. Languages have different terms to describe marriage. In some languages different verbs are used for men and women. In other languages the same verb is used for both men and women. Some languages may use idioms to refer to marriage. Use natural terms in your language.</w:t>
      </w:r>
    </w:p>
    <w:p>
      <w:pPr/>
      <w:r>
        <w:rPr>
          <w:lang w:val="en_US" w:bidi="en_US"/>
        </w:rPr>
      </w:r>
      <w:r>
        <w:rPr>
          <w:lang w:val="en_US" w:bidi="en_US"/>
        </w:rPr>
        <w:t>This phrase also occurred in 17:27. See the notes at 17:27b for translation suggestions. Some ways to translate it are:</w:t>
      </w:r>
    </w:p>
    <w:p>
      <w:pPr/>
      <w:r>
        <w:rPr>
          <w:lang w:val="en_US" w:bidi="en_US"/>
        </w:rPr>
      </w:r>
      <w:r>
        <w:rPr>
          <w:lang w:val="en_US" w:bidi="en_US"/>
        </w:rPr>
        <w:t>The children of this world take wives and husbands. (NJB)</w:t>
      </w:r>
    </w:p>
    <w:p>
      <w:pPr/>
      <w:r>
        <w:rPr>
          <w:lang w:val="en_US" w:bidi="en_US"/>
        </w:rPr>
      </w:r>
      <w:r>
        <w:rPr>
          <w:lang w:val="en_US" w:bidi="en_US"/>
        </w:rPr>
        <w:t>The men and women of this age marry….(GNT)</w:t>
      </w:r>
    </w:p>
    <w:p>
      <w:pPr/>
      <w:r>
        <w:rPr>
          <w:lang w:val="en_US" w:bidi="en_US"/>
        </w:rPr>
      </w:r>
      <w:r>
        <w:rPr>
          <w:lang w:val="en_US" w:bidi="en_US"/>
        </w:rPr>
        <w:t>In this world, men marry women, and women are married to men.</w:t>
      </w:r>
    </w:p>
    <w:p>
      <w:pPr/>
      <w:r>
        <w:rPr>
          <w:lang w:val="en_US" w:bidi="en_US"/>
        </w:rPr>
      </w:r>
      <w:r>
        <w:rPr>
          <w:b/>
          <w:lang w:val="en_US" w:bidi="en_US"/>
        </w:rPr>
        <w:t>are given in marriage:</w:t>
      </w:r>
      <w:r>
        <w:rPr>
          <w:lang w:val="en_US" w:bidi="en_US"/>
        </w:rPr>
        <w:t xml:space="preserve"> The Greek verb that the BSB translates as </w:t>
      </w:r>
      <w:r>
        <w:rPr>
          <w:i/>
          <w:lang w:val="en_US" w:bidi="en_US"/>
        </w:rPr>
        <w:t>are given in marriage</w:t>
      </w:r>
      <w:r>
        <w:rPr>
          <w:lang w:val="en_US" w:bidi="en_US"/>
        </w:rPr>
        <w:t xml:space="preserve"> is passive.</w:t>
      </w:r>
      <w:r>
        <w:rPr>
          <w:lang w:val="en_US" w:bidi="en_US"/>
        </w:rPr>
        <w:t>However, Green (p. 721) says, “Although typically represented as passive verbs, the instances of the two verbs translated ‘are given in marriage’ (NRSV) actually appear in the middle voice: ‘to allow oneself to be married.’” He suggests the translation “consent to marriage” (p. 720).</w:t>
      </w:r>
      <w:r>
        <w:rPr>
          <w:lang w:val="en_US" w:bidi="en_US"/>
        </w:rPr>
        <w:t xml:space="preserve"> In some languages it may be necessary to make the meaning more explicit. For example:</w:t>
      </w:r>
    </w:p>
    <w:p>
      <w:pPr/>
      <w:r>
        <w:rPr>
          <w:lang w:val="en_US" w:bidi="en_US"/>
        </w:rPr>
      </w:r>
      <w:r>
        <w:rPr>
          <w:lang w:val="en_US" w:bidi="en_US"/>
        </w:rPr>
        <w:t>others</w:t>
      </w:r>
      <w:r>
        <w:rPr>
          <w:lang w:val="en_US" w:bidi="en_US"/>
        </w:rPr>
        <w:t xml:space="preserve"> arrange/approve marriages </w:t>
      </w:r>
      <w:r>
        <w:rPr>
          <w:lang w:val="en_US" w:bidi="en_US"/>
        </w:rPr>
        <w:t>for their female relatives</w:t>
      </w:r>
    </w:p>
    <w:p>
      <w:pPr/>
      <w:r>
        <w:rPr>
          <w:lang w:val="en_US" w:bidi="en_US"/>
        </w:rPr>
      </w:r>
      <w:r>
        <w:rPr>
          <w:lang w:val="en_US" w:bidi="en_US"/>
        </w:rPr>
        <w:t>Fathers/families</w:t>
      </w:r>
      <w:r>
        <w:rPr>
          <w:lang w:val="en_US" w:bidi="en_US"/>
        </w:rPr>
        <w:t xml:space="preserve"> give their </w:t>
      </w:r>
      <w:r>
        <w:rPr>
          <w:lang w:val="en_US" w:bidi="en_US"/>
        </w:rPr>
        <w:t>daughters/women</w:t>
      </w:r>
      <w:r>
        <w:rPr>
          <w:lang w:val="en_US" w:bidi="en_US"/>
        </w:rPr>
        <w:t xml:space="preserve"> for men to marry</w:t>
      </w:r>
    </w:p>
    <w:p>
      <w:pPr/>
      <w:r>
        <w:rPr>
          <w:lang w:val="en_US" w:bidi="en_US"/>
        </w:rPr>
      </w:r>
      <w:r>
        <w:rPr>
          <w:lang w:val="en_US" w:bidi="en_US"/>
        </w:rPr>
        <w:t>Another form of this verb occurs in 17:27. See how you translated it there.</w:t>
      </w:r>
      <w:r>
        <w:rPr>
          <w:lang w:val="en_US" w:bidi="en_US"/>
        </w:rPr>
      </w:r>
      <w:r>
        <w:rPr>
          <w:lang w:val="en_US" w:bidi="en_US"/>
        </w:rPr>
      </w:r>
    </w:p>
    <w:p>
      <w:pPr/>
      <w:r>
        <w:rPr>
          <w:lang w:val="en_US" w:bidi="en_US"/>
        </w:rPr>
      </w:r>
    </w:p>
    <w:p>
      <w:pPr>
        <w:pStyle w:val="Heading2"/>
      </w:pPr>
      <w:r>
        <w:rPr>
          <w:lang w:val="en_US" w:bidi="en_US"/>
        </w:rPr>
        <w:t>Luke 20:35</w:t>
      </w:r>
      <w:r>
        <w:rPr>
          <w:lang w:val="en_US" w:bidi="en_US"/>
        </w:rPr>
      </w:r>
    </w:p>
    <w:p>
      <w:pPr>
        <w:pStyle w:val="Heading4"/>
      </w:pPr>
      <w:r>
        <w:rPr>
          <w:lang w:val="en_US" w:bidi="en_US"/>
        </w:rPr>
        <w:t>Section 20:27–40: Sadducees asked Jesus a trick question about the resurrection</w:t>
      </w:r>
    </w:p>
    <w:p>
      <w:pPr/>
      <w:r>
        <w:rPr>
          <w:lang w:val="en_US" w:bidi="en_US"/>
        </w:rPr>
      </w:r>
      <w:r>
        <w:rPr>
          <w:lang w:val="en_US" w:bidi="en_US"/>
        </w:rP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pPr/>
      <w:r>
        <w:rPr>
          <w:lang w:val="en_US" w:bidi="en_US"/>
        </w:rPr>
      </w:r>
      <w:r>
        <w:rPr>
          <w:lang w:val="en_US" w:bidi="en_US"/>
        </w:rP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rPr>
          <w:lang w:val="en_US" w:bidi="en_US"/>
        </w:rPr>
        <w:t xml:space="preserve">This custom was called </w:t>
      </w:r>
      <w:r>
        <w:rPr>
          <w:u w:val="single"/>
          <w:lang w:val="en_US" w:bidi="en_US"/>
        </w:rPr>
        <w:t>levirate</w:t>
      </w:r>
      <w:r>
        <w:rPr>
          <w:lang w:val="en_US" w:bidi="en_US"/>
        </w:rP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Examples of headings for this section are:</w:t>
      </w:r>
    </w:p>
    <w:p>
      <w:pPr/>
      <w:r>
        <w:rPr>
          <w:lang w:val="en_US" w:bidi="en_US"/>
        </w:rPr>
      </w:r>
      <w:r>
        <w:rPr>
          <w:lang w:val="en_US" w:bidi="en_US"/>
        </w:rPr>
        <w:t>The Question about Rising from Death (GNT)</w:t>
      </w:r>
    </w:p>
    <w:p>
      <w:pPr/>
      <w:r>
        <w:rPr>
          <w:lang w:val="en_US" w:bidi="en_US"/>
        </w:rPr>
      </w:r>
      <w:r>
        <w:rPr>
          <w:lang w:val="en_US" w:bidi="en_US"/>
        </w:rPr>
        <w:t>Do the dead rise again?</w:t>
      </w:r>
    </w:p>
    <w:p>
      <w:pPr/>
      <w:r>
        <w:rPr>
          <w:lang w:val="en_US" w:bidi="en_US"/>
        </w:rPr>
      </w:r>
      <w:r>
        <w:rPr>
          <w:lang w:val="en_US" w:bidi="en_US"/>
        </w:rPr>
        <w:t>The Sadducees challenged Jesus on people rising from death</w:t>
      </w:r>
    </w:p>
    <w:p>
      <w:pPr/>
      <w:r>
        <w:rPr>
          <w:lang w:val="en_US" w:bidi="en_US"/>
        </w:rPr>
      </w:r>
      <w:r>
        <w:rPr>
          <w:lang w:val="en_US" w:bidi="en_US"/>
        </w:rPr>
        <w:t>Parallel passages for this section are found in Matthew 22:23–33 and Mark 12:18–27.</w:t>
      </w:r>
    </w:p>
    <w:p>
      <w:pPr>
        <w:pStyle w:val="Heading4"/>
      </w:pPr>
      <w:r>
        <w:rPr>
          <w:lang w:val="en_US" w:bidi="en_US"/>
        </w:rPr>
        <w:t>Paragraph 20:34–38</w:t>
      </w:r>
    </w:p>
    <w:p>
      <w:pPr/>
      <w:r>
        <w:rPr>
          <w:lang w:val="en_US" w:bidi="en_US"/>
        </w:rPr>
      </w:r>
      <w:r>
        <w:rPr>
          <w:lang w:val="en_US" w:bidi="en_US"/>
        </w:rPr>
        <w:t>In this paragraph Jesus gave the Sadducees an answer that had two parts:</w:t>
      </w:r>
    </w:p>
    <w:p>
      <w:pPr>
        <w:pStyle w:val="ListNumber"/>
        <w:numPr>
          <w:ilvl w:val="0"/>
          <w:numId w:val="334"/>
        </w:numPr>
        <w:spacing w:line="240" w:lineRule="auto"/>
        <w:ind w:left="720"/>
      </w:pPr>
      <w:r>
        <w:rPr>
          <w:lang w:val="en_US" w:bidi="en_US"/>
        </w:rPr>
      </w:r>
      <w:r>
        <w:rPr>
          <w:lang w:val="en_US" w:bidi="en_US"/>
        </w:rPr>
        <w:t>In 20:34–36, he explained that when people die and live again, they will have a new kind of life. They will not marry, just as angels do not marry. (See the notes on 20:36a–b.)</w:t>
      </w:r>
    </w:p>
    <w:p>
      <w:pPr>
        <w:pStyle w:val="ListNumber"/>
        <w:spacing w:line="240" w:lineRule="auto"/>
        <w:ind w:left="720"/>
      </w:pPr>
      <w:r>
        <w:rPr>
          <w:lang w:val="en_US" w:bidi="en_US"/>
        </w:rPr>
      </w:r>
      <w:r>
        <w:rPr>
          <w:lang w:val="en_US" w:bidi="en_US"/>
        </w:rPr>
        <w:t>In 20:37–38, he reminded them what God said in one of the books of Moses. God indicated that the great ancestors of the Jewish people were still alive with him. This showed that God does cause people to live again after they die.</w:t>
      </w:r>
    </w:p>
    <w:p>
      <w:pPr>
        <w:pStyle w:val="Heading5"/>
      </w:pPr>
      <w:r>
        <w:rPr>
          <w:lang w:val="en_US" w:bidi="en_US"/>
        </w:rPr>
        <w:t>20:35a</w:t>
      </w:r>
    </w:p>
    <w:p>
      <w:pPr/>
      <w:r>
        <w:rPr>
          <w:lang w:val="en_US" w:bidi="en_US"/>
        </w:rPr>
      </w:r>
      <w:r>
        <w:rPr>
          <w:b/>
          <w:lang w:val="en_US" w:bidi="en_US"/>
        </w:rPr>
        <w:t>But those who are considered worthy</w:t>
      </w:r>
    </w:p>
    <w:p>
      <w:pPr>
        <w:pStyle w:val="ListBullet"/>
        <w:spacing w:line="240" w:lineRule="auto"/>
        <w:ind w:left="720"/>
      </w:pPr>
      <w:r>
        <w:rPr>
          <w:lang w:val="en_US" w:bidi="en_US"/>
        </w:rPr>
      </w:r>
      <w:r>
        <w:rPr>
          <w:lang w:val="en_US" w:bidi="en_US"/>
        </w:rPr>
        <w:t>But the people who are judged as worthy</w:t>
      </w:r>
    </w:p>
    <w:p>
      <w:pPr>
        <w:pStyle w:val="ListBullet"/>
        <w:spacing w:line="240" w:lineRule="auto"/>
        <w:ind w:left="720"/>
      </w:pPr>
      <w:r>
        <w:rPr>
          <w:lang w:val="en_US" w:bidi="en_US"/>
        </w:rPr>
      </w:r>
      <w:r>
        <w:rPr>
          <w:lang w:val="en_US" w:bidi="en_US"/>
        </w:rPr>
        <w:t xml:space="preserve">But people whom </w:t>
      </w:r>
      <w:r>
        <w:rPr>
          <w:lang w:val="en_US" w:bidi="en_US"/>
        </w:rPr>
        <w:t>God</w:t>
      </w:r>
      <w:r>
        <w:rPr>
          <w:lang w:val="en_US" w:bidi="en_US"/>
        </w:rPr>
        <w:t xml:space="preserve"> accounts/judges fit</w:t>
      </w:r>
    </w:p>
    <w:p>
      <w:pPr>
        <w:pStyle w:val="ListBullet"/>
        <w:spacing w:line="240" w:lineRule="auto"/>
        <w:ind w:left="720"/>
      </w:pPr>
      <w:r>
        <w:rPr>
          <w:lang w:val="en_US" w:bidi="en_US"/>
        </w:rPr>
      </w:r>
      <w:r>
        <w:rPr>
          <w:lang w:val="en_US" w:bidi="en_US"/>
        </w:rPr>
        <w:t xml:space="preserve">But when </w:t>
      </w:r>
      <w:r>
        <w:rPr>
          <w:lang w:val="en_US" w:bidi="en_US"/>
        </w:rPr>
        <w:t>God</w:t>
      </w:r>
      <w:r>
        <w:rPr>
          <w:lang w:val="en_US" w:bidi="en_US"/>
        </w:rPr>
        <w:t xml:space="preserve"> says that certain people are worthy</w:t>
      </w:r>
    </w:p>
    <w:p>
      <w:pPr>
        <w:pStyle w:val="Heading5"/>
      </w:pPr>
      <w:r>
        <w:rPr>
          <w:lang w:val="en_US" w:bidi="en_US"/>
        </w:rPr>
        <w:t>20:35b</w:t>
      </w:r>
    </w:p>
    <w:p>
      <w:pPr/>
      <w:r>
        <w:rPr>
          <w:lang w:val="en_US" w:bidi="en_US"/>
        </w:rPr>
      </w:r>
      <w:r>
        <w:rPr>
          <w:b/>
          <w:lang w:val="en_US" w:bidi="en_US"/>
        </w:rPr>
        <w:t>to share in the age to come and in the resurrection from the dead</w:t>
      </w:r>
    </w:p>
    <w:p>
      <w:pPr>
        <w:pStyle w:val="ListBullet"/>
        <w:spacing w:line="240" w:lineRule="auto"/>
        <w:ind w:left="720"/>
      </w:pPr>
      <w:r>
        <w:rPr>
          <w:lang w:val="en_US" w:bidi="en_US"/>
        </w:rPr>
      </w:r>
      <w:r>
        <w:rPr>
          <w:lang w:val="en_US" w:bidi="en_US"/>
        </w:rPr>
        <w:t xml:space="preserve">to live in the age/time when </w:t>
      </w:r>
      <w:r>
        <w:rPr>
          <w:lang w:val="en_US" w:bidi="en_US"/>
        </w:rPr>
        <w:t>good/righteous</w:t>
      </w:r>
      <w:r>
        <w:rPr>
          <w:lang w:val="en_US" w:bidi="en_US"/>
        </w:rPr>
        <w:t xml:space="preserve"> people become alive again</w:t>
      </w:r>
    </w:p>
    <w:p>
      <w:pPr>
        <w:pStyle w:val="ListBullet"/>
        <w:spacing w:line="240" w:lineRule="auto"/>
        <w:ind w:left="720"/>
      </w:pPr>
      <w:r>
        <w:rPr>
          <w:lang w:val="en_US" w:bidi="en_US"/>
        </w:rPr>
      </w:r>
      <w:r>
        <w:rPr>
          <w:lang w:val="en_US" w:bidi="en_US"/>
        </w:rPr>
        <w:t xml:space="preserve">to live again after they die and to share/be in the </w:t>
      </w:r>
      <w:r>
        <w:rPr>
          <w:lang w:val="en_US" w:bidi="en_US"/>
        </w:rPr>
        <w:t>future</w:t>
      </w:r>
      <w:r>
        <w:rPr>
          <w:lang w:val="en_US" w:bidi="en_US"/>
        </w:rPr>
        <w:t xml:space="preserve"> age/world</w:t>
      </w:r>
    </w:p>
    <w:p>
      <w:pPr>
        <w:pStyle w:val="ListBullet"/>
        <w:spacing w:line="240" w:lineRule="auto"/>
        <w:ind w:left="720"/>
      </w:pPr>
      <w:r>
        <w:rPr>
          <w:lang w:val="en_US" w:bidi="en_US"/>
        </w:rPr>
      </w:r>
      <w:r>
        <w:rPr>
          <w:lang w:val="en_US" w:bidi="en_US"/>
        </w:rPr>
        <w:t xml:space="preserve">to rise from death and live </w:t>
      </w:r>
      <w:r>
        <w:rPr>
          <w:lang w:val="en_US" w:bidi="en_US"/>
        </w:rPr>
        <w:t>with him</w:t>
      </w:r>
      <w:r>
        <w:rPr>
          <w:lang w:val="en_US" w:bidi="en_US"/>
        </w:rPr>
        <w:t xml:space="preserve"> in heaven,</w:t>
      </w:r>
    </w:p>
    <w:p>
      <w:pPr>
        <w:pStyle w:val="Heading5"/>
      </w:pPr>
      <w:r>
        <w:rPr>
          <w:lang w:val="en_US" w:bidi="en_US"/>
        </w:rPr>
        <w:t>20:35a–b</w:t>
      </w:r>
    </w:p>
    <w:p>
      <w:pPr/>
      <w:r>
        <w:rPr>
          <w:lang w:val="en_US" w:bidi="en_US"/>
        </w:rPr>
      </w:r>
      <w:r>
        <w:rPr>
          <w:b/>
          <w:lang w:val="en_US" w:bidi="en_US"/>
        </w:rPr>
        <w:t>But those who are considered worthy:</w:t>
      </w:r>
      <w:r>
        <w:rPr>
          <w:lang w:val="en_US" w:bidi="en_US"/>
        </w:rPr>
        <w:t xml:space="preserve"> The phrase </w:t>
      </w:r>
      <w:r>
        <w:rPr>
          <w:i/>
          <w:lang w:val="en_US" w:bidi="en_US"/>
        </w:rPr>
        <w:t>those who are considered worthy</w:t>
      </w:r>
      <w:r>
        <w:rPr>
          <w:lang w:val="en_US" w:bidi="en_US"/>
        </w:rPr>
        <w:t xml:space="preserve"> contrasts with the “sons/people of this age” in 20:34. Express the contrast in a natural way in your language. Another way to do this is:</w:t>
      </w:r>
    </w:p>
    <w:p>
      <w:pPr/>
      <w:r>
        <w:rPr>
          <w:lang w:val="en_US" w:bidi="en_US"/>
        </w:rPr>
      </w:r>
      <w:r>
        <w:rPr>
          <w:lang w:val="en_US" w:bidi="en_US"/>
        </w:rPr>
        <w:t>As for those who are considered worthy</w:t>
      </w:r>
    </w:p>
    <w:p>
      <w:pPr/>
      <w:r>
        <w:rPr>
          <w:lang w:val="en_US" w:bidi="en_US"/>
        </w:rPr>
      </w:r>
      <w:r>
        <w:rPr>
          <w:lang w:val="en_US" w:bidi="en_US"/>
        </w:rPr>
        <w:t>This phrase applies in general to anyone and everyone who is considered worthy. Some other ways to translate it are:</w:t>
      </w:r>
    </w:p>
    <w:p>
      <w:pPr/>
      <w:r>
        <w:rPr>
          <w:lang w:val="en_US" w:bidi="en_US"/>
        </w:rPr>
      </w:r>
      <w:r>
        <w:rPr>
          <w:lang w:val="en_US" w:bidi="en_US"/>
        </w:rPr>
        <w:t>Anyone who is considered worthy</w:t>
      </w:r>
    </w:p>
    <w:p>
      <w:pPr/>
      <w:r>
        <w:rPr>
          <w:lang w:val="en_US" w:bidi="en_US"/>
        </w:rPr>
      </w:r>
      <w:r>
        <w:rPr>
          <w:lang w:val="en_US" w:bidi="en_US"/>
        </w:rPr>
        <w:t>If a person is considered worthy</w:t>
      </w:r>
    </w:p>
    <w:p>
      <w:pPr/>
      <w:r>
        <w:rPr>
          <w:lang w:val="en_US" w:bidi="en_US"/>
        </w:rPr>
      </w:r>
      <w:r>
        <w:rPr>
          <w:lang w:val="en_US" w:bidi="en_US"/>
        </w:rPr>
        <w:t>Since this verse tells what such people will not do, the CEV has:</w:t>
      </w:r>
    </w:p>
    <w:p>
      <w:pPr/>
      <w:r>
        <w:rPr>
          <w:lang w:val="en_US" w:bidi="en_US"/>
        </w:rPr>
      </w:r>
      <w:r>
        <w:rPr>
          <w:lang w:val="en_US" w:bidi="en_US"/>
        </w:rPr>
        <w:t>no one who is worthy (CEV)</w:t>
      </w:r>
    </w:p>
    <w:p>
      <w:pPr/>
      <w:r>
        <w:rPr>
          <w:lang w:val="en_US" w:bidi="en_US"/>
        </w:rPr>
      </w:r>
      <w:r>
        <w:rPr>
          <w:lang w:val="en_US" w:bidi="en_US"/>
        </w:rPr>
        <w:t>Translate the phrase in a natural way in your language.</w:t>
      </w:r>
    </w:p>
    <w:p>
      <w:pPr/>
      <w:r>
        <w:rPr>
          <w:lang w:val="en_US" w:bidi="en_US"/>
        </w:rPr>
      </w:r>
      <w:r>
        <w:rPr>
          <w:b/>
          <w:lang w:val="en_US" w:bidi="en_US"/>
        </w:rPr>
        <w:t>those who are considered worthy:</w:t>
      </w:r>
      <w:r>
        <w:rPr>
          <w:lang w:val="en_US" w:bidi="en_US"/>
        </w:rPr>
        <w:t xml:space="preserve"> The phrase </w:t>
      </w:r>
      <w:r>
        <w:rPr>
          <w:i/>
          <w:lang w:val="en_US" w:bidi="en_US"/>
        </w:rPr>
        <w:t>those who are considered worthy</w:t>
      </w:r>
      <w:r>
        <w:rPr>
          <w:lang w:val="en_US" w:bidi="en_US"/>
        </w:rPr>
        <w:t xml:space="preserve"> refers here to people whom God regards as worthy to live in the coming age. They are the people who were righteous during their life on earth.</w:t>
      </w:r>
    </w:p>
    <w:p>
      <w:pPr/>
      <w:r>
        <w:rPr>
          <w:lang w:val="en_US" w:bidi="en_US"/>
        </w:rPr>
      </w:r>
      <w:r>
        <w:rPr>
          <w:lang w:val="en_US" w:bidi="en_US"/>
        </w:rPr>
        <w:t xml:space="preserve">The verb </w:t>
      </w:r>
      <w:r>
        <w:rPr>
          <w:i/>
          <w:lang w:val="en_US" w:bidi="en_US"/>
        </w:rPr>
        <w:t>are considered worthy</w:t>
      </w:r>
      <w:r>
        <w:rPr>
          <w:lang w:val="en_US" w:bidi="en_US"/>
        </w:rPr>
        <w:t xml:space="preserve"> is passive. Some ways to translate it are:</w:t>
      </w:r>
    </w:p>
    <w:p>
      <w:pPr>
        <w:pStyle w:val="ListBullet"/>
        <w:spacing w:line="240" w:lineRule="auto"/>
        <w:ind w:left="720"/>
      </w:pPr>
      <w:r>
        <w:rPr>
          <w:lang w:val="en_US" w:bidi="en_US"/>
        </w:rPr>
      </w:r>
      <w:r>
        <w:rPr>
          <w:lang w:val="en_US" w:bidi="en_US"/>
        </w:rPr>
        <w:t>Use a passive verb. For example:</w:t>
      </w:r>
      <w:r>
        <w:rPr>
          <w:lang w:val="en_US" w:bidi="en_US"/>
        </w:rPr>
        <w:t>those who are regarded as worthy (NET)</w:t>
      </w:r>
    </w:p>
    <w:p>
      <w:pPr>
        <w:pStyle w:val="ListBullet"/>
        <w:spacing w:line="240" w:lineRule="auto"/>
        <w:ind w:left="720"/>
      </w:pPr>
      <w:r>
        <w:rPr>
          <w:lang w:val="en_US" w:bidi="en_US"/>
        </w:rPr>
      </w:r>
      <w:r>
        <w:rPr>
          <w:lang w:val="en_US" w:bidi="en_US"/>
        </w:rPr>
        <w:t>Use an active verb and supply God as the subject. For example:</w:t>
      </w:r>
      <w:r>
        <w:rPr>
          <w:lang w:val="en_US" w:bidi="en_US"/>
        </w:rPr>
        <w:t>those whom God considers worthy</w:t>
      </w:r>
    </w:p>
    <w:p>
      <w:pPr>
        <w:pStyle w:val="ListBullet"/>
        <w:spacing w:line="240" w:lineRule="auto"/>
        <w:ind w:left="720"/>
      </w:pPr>
      <w:r>
        <w:rPr>
          <w:lang w:val="en_US" w:bidi="en_US"/>
        </w:rPr>
      </w:r>
      <w:r>
        <w:rPr>
          <w:lang w:val="en_US" w:bidi="en_US"/>
        </w:rPr>
        <w:t xml:space="preserve">Focus on the meaning </w:t>
      </w:r>
      <w:r>
        <w:rPr>
          <w:i/>
          <w:lang w:val="en_US" w:bidi="en_US"/>
        </w:rPr>
        <w:t>worthy</w:t>
      </w:r>
      <w:r>
        <w:rPr>
          <w:lang w:val="en_US" w:bidi="en_US"/>
        </w:rPr>
        <w:t xml:space="preserve"> and leave the meaning </w:t>
      </w:r>
      <w:r>
        <w:rPr>
          <w:i/>
          <w:lang w:val="en_US" w:bidi="en_US"/>
        </w:rPr>
        <w:t>considered</w:t>
      </w:r>
      <w:r>
        <w:rPr>
          <w:lang w:val="en_US" w:bidi="en_US"/>
        </w:rPr>
        <w:t xml:space="preserve"> implied. For example:</w:t>
      </w:r>
      <w:r>
        <w:rPr>
          <w:lang w:val="en_US" w:bidi="en_US"/>
        </w:rPr>
        <w:t>those who will be worthy (NCV)</w:t>
      </w:r>
    </w:p>
    <w:p>
      <w:pPr/>
      <w:r>
        <w:rPr>
          <w:lang w:val="en_US" w:bidi="en_US"/>
        </w:rPr>
      </w:r>
      <w:r>
        <w:rPr>
          <w:lang w:val="en_US" w:bidi="en_US"/>
        </w:rPr>
        <w:t>Translate the meaning in a natural way in your language.</w:t>
      </w:r>
    </w:p>
    <w:p>
      <w:pPr/>
      <w:r>
        <w:rPr>
          <w:lang w:val="en_US" w:bidi="en_US"/>
        </w:rPr>
      </w:r>
      <w:r>
        <w:rPr>
          <w:b/>
          <w:lang w:val="en_US" w:bidi="en_US"/>
        </w:rPr>
        <w:t>to share in the age to come and in the resurrection from the dead:</w:t>
      </w:r>
      <w:r>
        <w:rPr>
          <w:lang w:val="en_US" w:bidi="en_US"/>
        </w:rPr>
        <w:t xml:space="preserve"> The Greek verb that the BSB translates as </w:t>
      </w:r>
      <w:r>
        <w:rPr>
          <w:i/>
          <w:lang w:val="en_US" w:bidi="en_US"/>
        </w:rPr>
        <w:t>to share</w:t>
      </w:r>
      <w:r>
        <w:rPr>
          <w:lang w:val="en_US" w:bidi="en_US"/>
        </w:rPr>
        <w:t xml:space="preserve"> means “to experience, attain.”</w:t>
      </w:r>
      <w:r>
        <w:rPr>
          <w:lang w:val="en_US" w:bidi="en_US"/>
        </w:rPr>
        <w:t>See BDAG (</w:t>
      </w:r>
      <w:r>
        <w:rPr>
          <w:i/>
          <w:lang w:val="en_US" w:bidi="en_US"/>
        </w:rPr>
        <w:t>tugchanō</w:t>
      </w:r>
      <w:r>
        <w:rPr>
          <w:lang w:val="en_US" w:bidi="en_US"/>
        </w:rPr>
        <w:t>), p. 1018, for more information.</w:t>
      </w:r>
      <w:r>
        <w:rPr>
          <w:lang w:val="en_US" w:bidi="en_US"/>
        </w:rPr>
        <w:t xml:space="preserve"> This is a general meaning that can be translated in different ways in various contexts. The word gets its specific meaning from the context where it occurs. Some ways to translate it here are:</w:t>
      </w:r>
    </w:p>
    <w:p>
      <w:pPr/>
      <w:r>
        <w:rPr>
          <w:lang w:val="en_US" w:bidi="en_US"/>
        </w:rPr>
      </w:r>
      <w:r>
        <w:rPr>
          <w:lang w:val="en_US" w:bidi="en_US"/>
        </w:rPr>
        <w:t>worthy to share in that age and in the resurrection from the dead (NET)</w:t>
      </w:r>
    </w:p>
    <w:p>
      <w:pPr/>
      <w:r>
        <w:rPr>
          <w:lang w:val="en_US" w:bidi="en_US"/>
        </w:rPr>
      </w:r>
      <w:r>
        <w:rPr>
          <w:lang w:val="en_US" w:bidi="en_US"/>
        </w:rPr>
        <w:t>worthy of a place in that age and in the resurrection from the dead</w:t>
      </w:r>
    </w:p>
    <w:p>
      <w:pPr/>
      <w:r>
        <w:rPr>
          <w:lang w:val="en_US" w:bidi="en_US"/>
        </w:rPr>
      </w:r>
      <w:r>
        <w:rPr>
          <w:lang w:val="en_US" w:bidi="en_US"/>
        </w:rPr>
        <w:t xml:space="preserve">In some languages the meaning </w:t>
      </w:r>
      <w:r>
        <w:rPr>
          <w:i/>
          <w:lang w:val="en_US" w:bidi="en_US"/>
        </w:rPr>
        <w:t>to share in</w:t>
      </w:r>
      <w:r>
        <w:rPr>
          <w:lang w:val="en_US" w:bidi="en_US"/>
        </w:rPr>
        <w:t xml:space="preserve"> is implied in the context and does not need to be translated explicitly. For example:</w:t>
      </w:r>
    </w:p>
    <w:p>
      <w:pPr/>
      <w:r>
        <w:rPr>
          <w:lang w:val="en_US" w:bidi="en_US"/>
        </w:rPr>
      </w:r>
      <w:r>
        <w:rPr>
          <w:lang w:val="en_US" w:bidi="en_US"/>
        </w:rPr>
        <w:t>worthy to rise from death and live in the age to come (GNT)</w:t>
      </w:r>
    </w:p>
    <w:p>
      <w:pPr/>
      <w:r>
        <w:rPr>
          <w:lang w:val="en_US" w:bidi="en_US"/>
        </w:rPr>
      </w:r>
      <w:r>
        <w:rPr>
          <w:lang w:val="en_US" w:bidi="en_US"/>
        </w:rPr>
        <w:t>worthy to come back to life and live in the next world (GW)</w:t>
      </w:r>
    </w:p>
    <w:p>
      <w:pPr/>
      <w:r>
        <w:rPr>
          <w:lang w:val="en_US" w:bidi="en_US"/>
        </w:rPr>
      </w:r>
      <w:r>
        <w:rPr>
          <w:b/>
          <w:lang w:val="en_US" w:bidi="en_US"/>
        </w:rPr>
        <w:t>in the age to come and in the resurrection from the dead:</w:t>
      </w:r>
      <w:r>
        <w:rPr>
          <w:lang w:val="en_US" w:bidi="en_US"/>
        </w:rPr>
        <w:t xml:space="preserve"> In this context the phrases </w:t>
      </w:r>
      <w:r>
        <w:rPr>
          <w:i/>
          <w:lang w:val="en_US" w:bidi="en_US"/>
        </w:rPr>
        <w:t>the age to come</w:t>
      </w:r>
      <w:r>
        <w:rPr>
          <w:lang w:val="en_US" w:bidi="en_US"/>
        </w:rPr>
        <w:t xml:space="preserve"> and </w:t>
      </w:r>
      <w:r>
        <w:rPr>
          <w:i/>
          <w:lang w:val="en_US" w:bidi="en_US"/>
        </w:rPr>
        <w:t>the resurrection from the dead</w:t>
      </w:r>
      <w:r>
        <w:rPr>
          <w:lang w:val="en_US" w:bidi="en_US"/>
        </w:rPr>
        <w:t xml:space="preserve"> have a similar meaning. The phrase </w:t>
      </w:r>
      <w:r>
        <w:rPr>
          <w:i/>
          <w:lang w:val="en_US" w:bidi="en_US"/>
        </w:rPr>
        <w:t>the age</w:t>
      </w:r>
      <w:r>
        <w:rPr>
          <w:lang w:val="en_US" w:bidi="en_US"/>
        </w:rPr>
        <w:t xml:space="preserve"> refers to the future time that the Sadducees called “in the resurrection” at 20:33. People will rise from the dead and live in the new age. That new age is sometimes identified as heaven.</w:t>
      </w:r>
    </w:p>
    <w:p>
      <w:pPr/>
      <w:r>
        <w:rPr>
          <w:lang w:val="en_US" w:bidi="en_US"/>
        </w:rPr>
      </w:r>
      <w:r>
        <w:rPr>
          <w:lang w:val="en_US" w:bidi="en_US"/>
        </w:rPr>
        <w:t xml:space="preserve">In some languages it may be helpful to reverse the order of the phrases </w:t>
      </w:r>
      <w:r>
        <w:rPr>
          <w:i/>
          <w:lang w:val="en_US" w:bidi="en_US"/>
        </w:rPr>
        <w:t>the age to come</w:t>
      </w:r>
      <w:r>
        <w:rPr>
          <w:lang w:val="en_US" w:bidi="en_US"/>
        </w:rPr>
        <w:t xml:space="preserve"> and </w:t>
      </w:r>
      <w:r>
        <w:rPr>
          <w:i/>
          <w:lang w:val="en_US" w:bidi="en_US"/>
        </w:rPr>
        <w:t>the resurrection from the dead</w:t>
      </w:r>
      <w:r>
        <w:rPr>
          <w:lang w:val="en_US" w:bidi="en_US"/>
        </w:rPr>
        <w:t>. For example:</w:t>
      </w:r>
    </w:p>
    <w:p>
      <w:pPr/>
      <w:r>
        <w:rPr>
          <w:lang w:val="en_US" w:bidi="en_US"/>
        </w:rPr>
      </w:r>
      <w:r>
        <w:rPr>
          <w:lang w:val="en_US" w:bidi="en_US"/>
        </w:rPr>
        <w:t>worthy to be made alive again from the dead and to live in heaven</w:t>
      </w:r>
      <w:r>
        <w:rPr>
          <w:lang w:val="en_US" w:bidi="en_US"/>
        </w:rPr>
        <w:t>Yakan back translation on TW.</w:t>
      </w:r>
    </w:p>
    <w:p>
      <w:pPr/>
      <w:r>
        <w:rPr>
          <w:lang w:val="en_US" w:bidi="en_US"/>
        </w:rPr>
      </w:r>
      <w:r>
        <w:rPr>
          <w:lang w:val="en_US" w:bidi="en_US"/>
        </w:rPr>
        <w:t>worthy of being raised from the dead and living in heaven</w:t>
      </w:r>
      <w:r>
        <w:rPr>
          <w:lang w:val="en_US" w:bidi="en_US"/>
        </w:rPr>
        <w:t>Western Bukidnon Manobo back translation on TW.</w:t>
      </w:r>
    </w:p>
    <w:p>
      <w:pPr/>
      <w:r>
        <w:rPr>
          <w:lang w:val="en_US" w:bidi="en_US"/>
        </w:rPr>
      </w:r>
      <w:r>
        <w:rPr>
          <w:b/>
          <w:lang w:val="en_US" w:bidi="en_US"/>
        </w:rPr>
        <w:t>the age to come:</w:t>
      </w:r>
      <w:r>
        <w:rPr>
          <w:lang w:val="en_US" w:bidi="en_US"/>
        </w:rPr>
        <w:t xml:space="preserve"> The phrase </w:t>
      </w:r>
      <w:r>
        <w:rPr>
          <w:i/>
          <w:lang w:val="en_US" w:bidi="en_US"/>
        </w:rPr>
        <w:t>the age to come</w:t>
      </w:r>
      <w:r>
        <w:rPr>
          <w:lang w:val="en_US" w:bidi="en_US"/>
        </w:rPr>
        <w:t xml:space="preserve"> is in contrast to “this age,” or this present world, mentioned in 20:34. The same Greek word for </w:t>
      </w:r>
      <w:r>
        <w:rPr>
          <w:i/>
          <w:lang w:val="en_US" w:bidi="en_US"/>
        </w:rPr>
        <w:t>age</w:t>
      </w:r>
      <w:r>
        <w:rPr>
          <w:lang w:val="en_US" w:bidi="en_US"/>
        </w:rPr>
        <w:t xml:space="preserve"> is used in both 20:34 and 20:35. Use a natural way in your language to make the contrast clear.</w:t>
      </w:r>
    </w:p>
    <w:p>
      <w:pPr>
        <w:pStyle w:val="Heading5"/>
      </w:pPr>
      <w:r>
        <w:rPr>
          <w:lang w:val="en_US" w:bidi="en_US"/>
        </w:rPr>
        <w:t>20:35c</w:t>
      </w:r>
    </w:p>
    <w:p>
      <w:pPr/>
      <w:r>
        <w:rPr>
          <w:lang w:val="en_US" w:bidi="en_US"/>
        </w:rPr>
      </w:r>
      <w:r>
        <w:rPr>
          <w:b/>
          <w:lang w:val="en_US" w:bidi="en_US"/>
        </w:rPr>
        <w:t>will neither marry nor be given in marriage.</w:t>
      </w:r>
    </w:p>
    <w:p>
      <w:pPr>
        <w:pStyle w:val="ListBullet"/>
        <w:spacing w:line="240" w:lineRule="auto"/>
        <w:ind w:left="720"/>
      </w:pPr>
      <w:r>
        <w:rPr>
          <w:lang w:val="en_US" w:bidi="en_US"/>
        </w:rPr>
      </w:r>
      <w:r>
        <w:rPr>
          <w:lang w:val="en_US" w:bidi="en_US"/>
        </w:rPr>
        <w:t>will not marry or be married.</w:t>
      </w:r>
    </w:p>
    <w:p>
      <w:pPr>
        <w:pStyle w:val="ListBullet"/>
        <w:spacing w:line="240" w:lineRule="auto"/>
        <w:ind w:left="720"/>
      </w:pPr>
      <w:r>
        <w:rPr>
          <w:lang w:val="en_US" w:bidi="en_US"/>
        </w:rPr>
      </w:r>
      <w:r>
        <w:rPr>
          <w:lang w:val="en_US" w:bidi="en_US"/>
        </w:rPr>
        <w:t xml:space="preserve">will not marry </w:t>
      </w:r>
      <w:r>
        <w:rPr>
          <w:lang w:val="en_US" w:bidi="en_US"/>
        </w:rPr>
        <w:t>one another</w:t>
      </w:r>
      <w:r>
        <w:rPr>
          <w:lang w:val="en_US" w:bidi="en_US"/>
        </w:rPr>
        <w:t>.</w:t>
      </w:r>
    </w:p>
    <w:p>
      <w:pPr>
        <w:pStyle w:val="ListBullet"/>
        <w:spacing w:line="240" w:lineRule="auto"/>
        <w:ind w:left="720"/>
      </w:pPr>
      <w:r>
        <w:rPr>
          <w:lang w:val="en_US" w:bidi="en_US"/>
        </w:rPr>
      </w:r>
      <w:r>
        <w:rPr>
          <w:lang w:val="en_US" w:bidi="en_US"/>
        </w:rPr>
        <w:t xml:space="preserve">those people will not marry or be married </w:t>
      </w:r>
      <w:r>
        <w:rPr>
          <w:lang w:val="en_US" w:bidi="en_US"/>
        </w:rPr>
        <w:t>there</w:t>
      </w:r>
      <w:r>
        <w:rPr>
          <w:lang w:val="en_US" w:bidi="en_US"/>
        </w:rPr>
        <w:t>.</w:t>
      </w:r>
    </w:p>
    <w:p>
      <w:pPr/>
      <w:r>
        <w:rPr>
          <w:lang w:val="en_US" w:bidi="en_US"/>
        </w:rPr>
      </w:r>
      <w:r>
        <w:rPr>
          <w:b/>
          <w:lang w:val="en_US" w:bidi="en_US"/>
        </w:rPr>
        <w:t>will neither marry nor be given in marriage:</w:t>
      </w:r>
      <w:r>
        <w:rPr>
          <w:lang w:val="en_US" w:bidi="en_US"/>
        </w:rPr>
        <w:t xml:space="preserve"> The people, both men and women, whom God causes to live again, will not marry. No one in that age will get married, and no one will continue to be the husband or wife of the person they were married to on this earth. See how you translated the similar phrase “marry and are given in marriage” in 20:34. Some ways to translate this phrase are:</w:t>
      </w:r>
    </w:p>
    <w:p>
      <w:pPr/>
      <w:r>
        <w:rPr>
          <w:lang w:val="en_US" w:bidi="en_US"/>
        </w:rPr>
      </w:r>
      <w:r>
        <w:rPr>
          <w:lang w:val="en_US" w:bidi="en_US"/>
        </w:rPr>
        <w:t>will not then marry (GNT)</w:t>
      </w:r>
    </w:p>
    <w:p>
      <w:pPr/>
      <w:r>
        <w:rPr>
          <w:lang w:val="en_US" w:bidi="en_US"/>
        </w:rPr>
      </w:r>
      <w:r>
        <w:rPr>
          <w:lang w:val="en_US" w:bidi="en_US"/>
        </w:rPr>
        <w:t>do not marry (NJB)</w:t>
      </w:r>
      <w:r>
        <w:rPr>
          <w:lang w:val="en_US" w:bidi="en_US"/>
        </w:rPr>
      </w:r>
      <w:r>
        <w:rPr>
          <w:lang w:val="en_US" w:bidi="en_US"/>
        </w:rPr>
      </w:r>
    </w:p>
    <w:p>
      <w:pPr/>
      <w:r>
        <w:rPr>
          <w:lang w:val="en_US" w:bidi="en_US"/>
        </w:rPr>
      </w:r>
    </w:p>
    <w:p>
      <w:pPr>
        <w:pStyle w:val="Heading2"/>
      </w:pPr>
      <w:r>
        <w:rPr>
          <w:lang w:val="en_US" w:bidi="en_US"/>
        </w:rPr>
        <w:t>Luke 20:36</w:t>
      </w:r>
      <w:r>
        <w:rPr>
          <w:lang w:val="en_US" w:bidi="en_US"/>
        </w:rPr>
      </w:r>
    </w:p>
    <w:p>
      <w:pPr>
        <w:pStyle w:val="Heading4"/>
      </w:pPr>
      <w:r>
        <w:rPr>
          <w:lang w:val="en_US" w:bidi="en_US"/>
        </w:rPr>
        <w:t>Section 20:27–40: Sadducees asked Jesus a trick question about the resurrection</w:t>
      </w:r>
    </w:p>
    <w:p>
      <w:pPr/>
      <w:r>
        <w:rPr>
          <w:lang w:val="en_US" w:bidi="en_US"/>
        </w:rPr>
      </w:r>
      <w:r>
        <w:rPr>
          <w:lang w:val="en_US" w:bidi="en_US"/>
        </w:rP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pPr/>
      <w:r>
        <w:rPr>
          <w:lang w:val="en_US" w:bidi="en_US"/>
        </w:rPr>
      </w:r>
      <w:r>
        <w:rPr>
          <w:lang w:val="en_US" w:bidi="en_US"/>
        </w:rP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rPr>
          <w:lang w:val="en_US" w:bidi="en_US"/>
        </w:rPr>
        <w:t xml:space="preserve">This custom was called </w:t>
      </w:r>
      <w:r>
        <w:rPr>
          <w:u w:val="single"/>
          <w:lang w:val="en_US" w:bidi="en_US"/>
        </w:rPr>
        <w:t>levirate</w:t>
      </w:r>
      <w:r>
        <w:rPr>
          <w:lang w:val="en_US" w:bidi="en_US"/>
        </w:rP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Examples of headings for this section are:</w:t>
      </w:r>
    </w:p>
    <w:p>
      <w:pPr/>
      <w:r>
        <w:rPr>
          <w:lang w:val="en_US" w:bidi="en_US"/>
        </w:rPr>
      </w:r>
      <w:r>
        <w:rPr>
          <w:lang w:val="en_US" w:bidi="en_US"/>
        </w:rPr>
        <w:t>The Question about Rising from Death (GNT)</w:t>
      </w:r>
    </w:p>
    <w:p>
      <w:pPr/>
      <w:r>
        <w:rPr>
          <w:lang w:val="en_US" w:bidi="en_US"/>
        </w:rPr>
      </w:r>
      <w:r>
        <w:rPr>
          <w:lang w:val="en_US" w:bidi="en_US"/>
        </w:rPr>
        <w:t>Do the dead rise again?</w:t>
      </w:r>
    </w:p>
    <w:p>
      <w:pPr/>
      <w:r>
        <w:rPr>
          <w:lang w:val="en_US" w:bidi="en_US"/>
        </w:rPr>
      </w:r>
      <w:r>
        <w:rPr>
          <w:lang w:val="en_US" w:bidi="en_US"/>
        </w:rPr>
        <w:t>The Sadducees challenged Jesus on people rising from death</w:t>
      </w:r>
    </w:p>
    <w:p>
      <w:pPr/>
      <w:r>
        <w:rPr>
          <w:lang w:val="en_US" w:bidi="en_US"/>
        </w:rPr>
      </w:r>
      <w:r>
        <w:rPr>
          <w:lang w:val="en_US" w:bidi="en_US"/>
        </w:rPr>
        <w:t>Parallel passages for this section are found in Matthew 22:23–33 and Mark 12:18–27.</w:t>
      </w:r>
    </w:p>
    <w:p>
      <w:pPr>
        <w:pStyle w:val="Heading4"/>
      </w:pPr>
      <w:r>
        <w:rPr>
          <w:lang w:val="en_US" w:bidi="en_US"/>
        </w:rPr>
        <w:t>Paragraph 20:34–38</w:t>
      </w:r>
    </w:p>
    <w:p>
      <w:pPr/>
      <w:r>
        <w:rPr>
          <w:lang w:val="en_US" w:bidi="en_US"/>
        </w:rPr>
      </w:r>
      <w:r>
        <w:rPr>
          <w:lang w:val="en_US" w:bidi="en_US"/>
        </w:rPr>
        <w:t>In this paragraph Jesus gave the Sadducees an answer that had two parts:</w:t>
      </w:r>
    </w:p>
    <w:p>
      <w:pPr>
        <w:pStyle w:val="ListNumber"/>
        <w:numPr>
          <w:ilvl w:val="0"/>
          <w:numId w:val="335"/>
        </w:numPr>
        <w:spacing w:line="240" w:lineRule="auto"/>
        <w:ind w:left="720"/>
      </w:pPr>
      <w:r>
        <w:rPr>
          <w:lang w:val="en_US" w:bidi="en_US"/>
        </w:rPr>
      </w:r>
      <w:r>
        <w:rPr>
          <w:lang w:val="en_US" w:bidi="en_US"/>
        </w:rPr>
        <w:t>In 20:34–36, he explained that when people die and live again, they will have a new kind of life. They will not marry, just as angels do not marry. (See the notes on 20:36a–b.)</w:t>
      </w:r>
    </w:p>
    <w:p>
      <w:pPr>
        <w:pStyle w:val="ListNumber"/>
        <w:spacing w:line="240" w:lineRule="auto"/>
        <w:ind w:left="720"/>
      </w:pPr>
      <w:r>
        <w:rPr>
          <w:lang w:val="en_US" w:bidi="en_US"/>
        </w:rPr>
      </w:r>
      <w:r>
        <w:rPr>
          <w:lang w:val="en_US" w:bidi="en_US"/>
        </w:rPr>
        <w:t>In 20:37–38, he reminded them what God said in one of the books of Moses. God indicated that the great ancestors of the Jewish people were still alive with him. This showed that God does cause people to live again after they die.</w:t>
      </w:r>
    </w:p>
    <w:p>
      <w:pPr>
        <w:pStyle w:val="Heading5"/>
      </w:pPr>
      <w:r>
        <w:rPr>
          <w:lang w:val="en_US" w:bidi="en_US"/>
        </w:rPr>
        <w:t>20:36</w:t>
      </w:r>
    </w:p>
    <w:p>
      <w:pPr/>
      <w:r>
        <w:rPr>
          <w:lang w:val="en_US" w:bidi="en_US"/>
        </w:rPr>
      </w:r>
      <w:r>
        <w:rPr>
          <w:lang w:val="en_US" w:bidi="en_US"/>
        </w:rPr>
        <w:t>See the General Comment on 20:36a–d following 20:36c–d for ways to reorder the clauses in this verse.</w:t>
      </w:r>
    </w:p>
    <w:p>
      <w:pPr>
        <w:pStyle w:val="Heading5"/>
      </w:pPr>
      <w:r>
        <w:rPr>
          <w:lang w:val="en_US" w:bidi="en_US"/>
        </w:rPr>
        <w:t>20:36a</w:t>
      </w:r>
    </w:p>
    <w:p>
      <w:pPr/>
      <w:r>
        <w:rPr>
          <w:lang w:val="en_US" w:bidi="en_US"/>
        </w:rPr>
      </w:r>
      <w:r>
        <w:rPr>
          <w:b/>
          <w:lang w:val="en_US" w:bidi="en_US"/>
        </w:rPr>
        <w:t>In fact, they can no longer die,</w:t>
      </w:r>
    </w:p>
    <w:p>
      <w:pPr>
        <w:pStyle w:val="ListBullet"/>
        <w:spacing w:line="240" w:lineRule="auto"/>
        <w:ind w:left="720"/>
      </w:pPr>
      <w:r>
        <w:rPr>
          <w:lang w:val="en_US" w:bidi="en_US"/>
        </w:rPr>
      </w:r>
      <w:r>
        <w:rPr>
          <w:lang w:val="en_US" w:bidi="en_US"/>
        </w:rPr>
        <w:t xml:space="preserve">Also </w:t>
      </w:r>
      <w:r>
        <w:rPr>
          <w:lang w:val="en_US" w:bidi="en_US"/>
        </w:rPr>
        <w:t>in that future age</w:t>
      </w:r>
      <w:r>
        <w:rPr>
          <w:lang w:val="en_US" w:bidi="en_US"/>
        </w:rPr>
        <w:t xml:space="preserve"> they can no longer die </w:t>
      </w:r>
      <w:r>
        <w:rPr>
          <w:lang w:val="en_US" w:bidi="en_US"/>
        </w:rPr>
        <w:t>as they do now</w:t>
      </w:r>
      <w:r>
        <w:rPr>
          <w:lang w:val="en_US" w:bidi="en_US"/>
        </w:rPr>
        <w:t>,</w:t>
      </w:r>
    </w:p>
    <w:p>
      <w:pPr>
        <w:pStyle w:val="ListBullet"/>
        <w:spacing w:line="240" w:lineRule="auto"/>
        <w:ind w:left="720"/>
      </w:pPr>
      <w:r>
        <w:rPr>
          <w:lang w:val="en_US" w:bidi="en_US"/>
        </w:rPr>
      </w:r>
      <w:r>
        <w:rPr>
          <w:lang w:val="en_US" w:bidi="en_US"/>
        </w:rPr>
        <w:t>They have no reason to marry</w:t>
      </w:r>
      <w:r>
        <w:rPr>
          <w:lang w:val="en_US" w:bidi="en_US"/>
        </w:rPr>
        <w:t xml:space="preserve"> for they will never die again.</w:t>
      </w:r>
    </w:p>
    <w:p>
      <w:pPr>
        <w:pStyle w:val="Heading5"/>
      </w:pPr>
      <w:r>
        <w:rPr>
          <w:lang w:val="en_US" w:bidi="en_US"/>
        </w:rPr>
        <w:t>20:36b</w:t>
      </w:r>
    </w:p>
    <w:p>
      <w:pPr/>
      <w:r>
        <w:rPr>
          <w:lang w:val="en_US" w:bidi="en_US"/>
        </w:rPr>
      </w:r>
      <w:r>
        <w:rPr>
          <w:b/>
          <w:lang w:val="en_US" w:bidi="en_US"/>
        </w:rPr>
        <w:t>because they are like the angels.</w:t>
      </w:r>
    </w:p>
    <w:p>
      <w:pPr>
        <w:pStyle w:val="ListBullet"/>
        <w:spacing w:line="240" w:lineRule="auto"/>
        <w:ind w:left="720"/>
      </w:pPr>
      <w:r>
        <w:rPr>
          <w:lang w:val="en_US" w:bidi="en_US"/>
        </w:rPr>
      </w:r>
      <w:r>
        <w:rPr>
          <w:lang w:val="en_US" w:bidi="en_US"/>
        </w:rPr>
        <w:t xml:space="preserve">for they will be </w:t>
      </w:r>
      <w:r>
        <w:rPr>
          <w:lang w:val="en_US" w:bidi="en_US"/>
        </w:rPr>
        <w:t>immortal</w:t>
      </w:r>
      <w:r>
        <w:rPr>
          <w:lang w:val="en_US" w:bidi="en_US"/>
        </w:rPr>
        <w:t xml:space="preserve"> like the angels.</w:t>
      </w:r>
    </w:p>
    <w:p>
      <w:pPr>
        <w:pStyle w:val="ListBullet"/>
        <w:spacing w:line="240" w:lineRule="auto"/>
        <w:ind w:left="720"/>
      </w:pPr>
      <w:r>
        <w:rPr>
          <w:lang w:val="en_US" w:bidi="en_US"/>
        </w:rPr>
      </w:r>
      <w:r>
        <w:rPr>
          <w:lang w:val="en_US" w:bidi="en_US"/>
        </w:rPr>
        <w:t xml:space="preserve">They will be like the angels, </w:t>
      </w:r>
      <w:r>
        <w:rPr>
          <w:lang w:val="en_US" w:bidi="en_US"/>
        </w:rPr>
        <w:t>who never die</w:t>
      </w:r>
      <w:r>
        <w:rPr>
          <w:lang w:val="en_US" w:bidi="en_US"/>
        </w:rPr>
        <w:t>.</w:t>
      </w:r>
    </w:p>
    <w:p>
      <w:pPr>
        <w:pStyle w:val="Heading5"/>
      </w:pPr>
      <w:r>
        <w:rPr>
          <w:lang w:val="en_US" w:bidi="en_US"/>
        </w:rPr>
        <w:t>20:36a–b</w:t>
      </w:r>
    </w:p>
    <w:p>
      <w:pPr/>
      <w:r>
        <w:rPr>
          <w:lang w:val="en_US" w:bidi="en_US"/>
        </w:rPr>
      </w:r>
      <w:r>
        <w:rPr>
          <w:b/>
          <w:lang w:val="en_US" w:bidi="en_US"/>
        </w:rPr>
        <w:t>In fact, they can no longer die, because they are like the angels:</w:t>
      </w:r>
      <w:r>
        <w:rPr>
          <w:lang w:val="en_US" w:bidi="en_US"/>
        </w:rPr>
        <w:t xml:space="preserve"> In 20:36a–b Jesus explained why people do not marry in the resurrection (20:35). The reason is that they will live forever like the angels. They will not need to marry and have children to ensure that human beings will continue to exist. The clause </w:t>
      </w:r>
      <w:r>
        <w:rPr>
          <w:i/>
          <w:lang w:val="en_US" w:bidi="en_US"/>
        </w:rPr>
        <w:t>they can no longer die</w:t>
      </w:r>
      <w:r>
        <w:rPr>
          <w:lang w:val="en_US" w:bidi="en_US"/>
        </w:rPr>
        <w:t>Some Greek manuscripts have “going to die.” However, the Notes has followed the reading that the UBS committee recommends (“can…die”). The committee gave this reading a high rating that indicates that the text is almost certain.</w:t>
      </w:r>
      <w:r>
        <w:rPr>
          <w:lang w:val="en_US" w:bidi="en_US"/>
        </w:rPr>
        <w:t xml:space="preserve"> tells the way that people in the resurrection are like the angels. The angels do not die, and they also will not die.</w:t>
      </w:r>
    </w:p>
    <w:p>
      <w:pPr/>
      <w:r>
        <w:rPr>
          <w:lang w:val="en_US" w:bidi="en_US"/>
        </w:rPr>
      </w:r>
      <w:r>
        <w:rPr>
          <w:lang w:val="en_US" w:bidi="en_US"/>
        </w:rPr>
        <w:t>Some other ways to translate 20:36a–b are:</w:t>
      </w:r>
    </w:p>
    <w:p>
      <w:pPr/>
      <w:r>
        <w:rPr>
          <w:lang w:val="en_US" w:bidi="en_US"/>
        </w:rPr>
      </w:r>
      <w:r>
        <w:rPr>
          <w:lang w:val="en_US" w:bidi="en_US"/>
        </w:rPr>
        <w:t>Indeed they cannot die anymore, because they are like angels (NRSV)</w:t>
      </w:r>
    </w:p>
    <w:p>
      <w:pPr/>
      <w:r>
        <w:rPr>
          <w:lang w:val="en_US" w:bidi="en_US"/>
        </w:rPr>
      </w:r>
      <w:r>
        <w:rPr>
          <w:lang w:val="en_US" w:bidi="en_US"/>
        </w:rPr>
        <w:t>And they will never die again. In this respect they will be like angels (NLT)</w:t>
      </w:r>
    </w:p>
    <w:p>
      <w:pPr/>
      <w:r>
        <w:rPr>
          <w:lang w:val="en_US" w:bidi="en_US"/>
        </w:rPr>
      </w:r>
      <w:r>
        <w:rPr>
          <w:lang w:val="en_US" w:bidi="en_US"/>
        </w:rPr>
        <w:t>for they cannot even die anymore, because they are like angels (NASB)</w:t>
      </w:r>
    </w:p>
    <w:p>
      <w:pPr/>
      <w:r>
        <w:rPr>
          <w:lang w:val="en_US" w:bidi="en_US"/>
        </w:rPr>
      </w:r>
      <w:r>
        <w:rPr>
          <w:lang w:val="en_US" w:bidi="en_US"/>
        </w:rPr>
        <w:t>In some languages it may be helpful to change the order of these clauses. For example:</w:t>
      </w:r>
    </w:p>
    <w:p>
      <w:pPr/>
      <w:r>
        <w:rPr>
          <w:lang w:val="en_US" w:bidi="en_US"/>
        </w:rPr>
      </w:r>
      <w:r>
        <w:rPr>
          <w:vertAlign w:val="superscript"/>
          <w:lang w:val="en_US" w:bidi="en_US"/>
        </w:rPr>
        <w:t>36b</w:t>
      </w:r>
      <w:r>
        <w:rPr>
          <w:lang w:val="en_US" w:bidi="en_US"/>
        </w:rPr>
        <w:t xml:space="preserve">In that life they are like angels </w:t>
      </w:r>
      <w:r>
        <w:rPr>
          <w:vertAlign w:val="superscript"/>
          <w:lang w:val="en_US" w:bidi="en_US"/>
        </w:rPr>
        <w:t>36a</w:t>
      </w:r>
      <w:r>
        <w:rPr>
          <w:lang w:val="en_US" w:bidi="en_US"/>
        </w:rPr>
        <w:t>and cannot die. (NCV)</w:t>
      </w:r>
    </w:p>
    <w:p>
      <w:pPr/>
      <w:r>
        <w:rPr>
          <w:lang w:val="en_US" w:bidi="en_US"/>
        </w:rPr>
      </w:r>
      <w:r>
        <w:rPr>
          <w:b/>
          <w:lang w:val="en_US" w:bidi="en_US"/>
        </w:rPr>
        <w:t>In fact…because:</w:t>
      </w:r>
      <w:r>
        <w:rPr>
          <w:lang w:val="en_US" w:bidi="en_US"/>
        </w:rPr>
        <w:t xml:space="preserve"> In the Greek text, 20:36a and 20:36b each begin with the conjunction that is often translated as “for.” The BSB translates these words as </w:t>
      </w:r>
      <w:r>
        <w:rPr>
          <w:i/>
          <w:lang w:val="en_US" w:bidi="en_US"/>
        </w:rPr>
        <w:t>In fact</w:t>
      </w:r>
      <w:r>
        <w:rPr>
          <w:lang w:val="en_US" w:bidi="en_US"/>
        </w:rPr>
        <w:t xml:space="preserve"> and </w:t>
      </w:r>
      <w:r>
        <w:rPr>
          <w:i/>
          <w:lang w:val="en_US" w:bidi="en_US"/>
        </w:rPr>
        <w:t>because</w:t>
      </w:r>
      <w:r>
        <w:rPr>
          <w:lang w:val="en_US" w:bidi="en_US"/>
        </w:rPr>
        <w:t>. The conjunction indicates that Jesus was explaining what he said in 20:35. Many English versions do not use a conjunction like “for” in either 20:36a or 20:36b, because the context already implies that 20:36a–b explains 20:35. Translate the explanation in a natural way in your language. See the examples in the next note.</w:t>
      </w:r>
    </w:p>
    <w:p>
      <w:pPr/>
      <w:r>
        <w:rPr>
          <w:lang w:val="en_US" w:bidi="en_US"/>
        </w:rPr>
      </w:r>
      <w:r>
        <w:rPr>
          <w:b/>
          <w:lang w:val="en_US" w:bidi="en_US"/>
        </w:rPr>
        <w:t>they are like the angels:</w:t>
      </w:r>
      <w:r>
        <w:rPr>
          <w:lang w:val="en_US" w:bidi="en_US"/>
        </w:rPr>
        <w:t xml:space="preserve"> The Greek word that the BSB translates as </w:t>
      </w:r>
      <w:r>
        <w:rPr>
          <w:i/>
          <w:lang w:val="en_US" w:bidi="en_US"/>
        </w:rPr>
        <w:t>like the angels</w:t>
      </w:r>
      <w:r>
        <w:rPr>
          <w:lang w:val="en_US" w:bidi="en_US"/>
        </w:rPr>
        <w:t xml:space="preserve"> means “angel-like” or “equal to angels.”</w:t>
      </w:r>
      <w:r>
        <w:rPr>
          <w:lang w:val="en_US" w:bidi="en_US"/>
        </w:rPr>
        <w:t>This word occurs only here in the NT. English versions that translate the meaning “angel-like” are NIV, GNT, NRSV, CEV, REB, NASB, NCV, NLT. Versions that translate the meaning “equal to angels” are: RSV, ESV, KJV, GW, and NJB.</w:t>
      </w:r>
      <w:r>
        <w:rPr>
          <w:lang w:val="en_US" w:bidi="en_US"/>
        </w:rPr>
        <w:t xml:space="preserve"> In this context the meanings are almost the same. The humans of the next age are like angels or equal to angels because they will not die. There are other ways in which they differ from angels. Be sure that your translation makes clear that the way they are like angels is that they do not die.</w:t>
      </w:r>
    </w:p>
    <w:p>
      <w:pPr/>
      <w:r>
        <w:rPr>
          <w:lang w:val="en_US" w:bidi="en_US"/>
        </w:rPr>
      </w:r>
      <w:r>
        <w:rPr>
          <w:lang w:val="en_US" w:bidi="en_US"/>
        </w:rPr>
        <w:t xml:space="preserve">The word </w:t>
      </w:r>
      <w:r>
        <w:rPr>
          <w:i/>
          <w:lang w:val="en_US" w:bidi="en_US"/>
        </w:rPr>
        <w:t>angels</w:t>
      </w:r>
      <w:r>
        <w:rPr>
          <w:lang w:val="en_US" w:bidi="en_US"/>
        </w:rPr>
        <w:t xml:space="preserve"> occurred in Luke 16:22. See how you translated it there. For more information, see angel, Meaning 1, in the Glossary.</w:t>
      </w:r>
    </w:p>
    <w:p>
      <w:pPr>
        <w:pStyle w:val="Heading5"/>
      </w:pPr>
      <w:r>
        <w:rPr>
          <w:lang w:val="en_US" w:bidi="en_US"/>
        </w:rPr>
        <w:t>20:36c</w:t>
      </w:r>
    </w:p>
    <w:p>
      <w:pPr/>
      <w:r>
        <w:rPr>
          <w:lang w:val="en_US" w:bidi="en_US"/>
        </w:rPr>
      </w:r>
      <w:r>
        <w:rPr>
          <w:b/>
          <w:lang w:val="en_US" w:bidi="en_US"/>
        </w:rPr>
        <w:t>And since they are sons of the resurrection,</w:t>
      </w:r>
    </w:p>
    <w:p>
      <w:pPr>
        <w:pStyle w:val="ListBullet"/>
        <w:spacing w:line="240" w:lineRule="auto"/>
        <w:ind w:left="720"/>
      </w:pPr>
      <w:r>
        <w:rPr>
          <w:lang w:val="en_US" w:bidi="en_US"/>
        </w:rPr>
      </w:r>
      <w:r>
        <w:rPr>
          <w:lang w:val="en_US" w:bidi="en_US"/>
        </w:rPr>
        <w:t xml:space="preserve">Because they have been resurrected to </w:t>
      </w:r>
      <w:r>
        <w:rPr>
          <w:lang w:val="en_US" w:bidi="en_US"/>
        </w:rPr>
        <w:t>a</w:t>
      </w:r>
      <w:r>
        <w:rPr>
          <w:lang w:val="en_US" w:bidi="en_US"/>
        </w:rPr>
        <w:t xml:space="preserve"> </w:t>
      </w:r>
      <w:r>
        <w:rPr>
          <w:lang w:val="en_US" w:bidi="en_US"/>
        </w:rPr>
        <w:t>new</w:t>
      </w:r>
      <w:r>
        <w:rPr>
          <w:lang w:val="en_US" w:bidi="en_US"/>
        </w:rPr>
        <w:t xml:space="preserve"> life,</w:t>
      </w:r>
    </w:p>
    <w:p>
      <w:pPr>
        <w:pStyle w:val="ListBullet"/>
        <w:spacing w:line="240" w:lineRule="auto"/>
        <w:ind w:left="720"/>
      </w:pPr>
      <w:r>
        <w:rPr>
          <w:lang w:val="en_US" w:bidi="en_US"/>
        </w:rPr>
      </w:r>
      <w:r>
        <w:rPr>
          <w:lang w:val="en_US" w:bidi="en_US"/>
        </w:rPr>
        <w:t xml:space="preserve">After they die, </w:t>
      </w:r>
      <w:r>
        <w:rPr>
          <w:lang w:val="en_US" w:bidi="en_US"/>
        </w:rPr>
        <w:t>God</w:t>
      </w:r>
      <w:r>
        <w:rPr>
          <w:lang w:val="en_US" w:bidi="en_US"/>
        </w:rPr>
        <w:t xml:space="preserve"> causes them to live </w:t>
      </w:r>
      <w:r>
        <w:rPr>
          <w:lang w:val="en_US" w:bidi="en_US"/>
        </w:rPr>
        <w:t>again</w:t>
      </w:r>
      <w:r>
        <w:rPr>
          <w:lang w:val="en_US" w:bidi="en_US"/>
        </w:rPr>
        <w:t xml:space="preserve">, and they will live forever </w:t>
      </w:r>
      <w:r>
        <w:rPr>
          <w:lang w:val="en_US" w:bidi="en_US"/>
        </w:rPr>
        <w:t>with him</w:t>
      </w:r>
      <w:r>
        <w:rPr>
          <w:lang w:val="en_US" w:bidi="en_US"/>
        </w:rPr>
        <w:t>.</w:t>
      </w:r>
    </w:p>
    <w:p>
      <w:pPr>
        <w:pStyle w:val="Heading5"/>
      </w:pPr>
      <w:r>
        <w:rPr>
          <w:lang w:val="en_US" w:bidi="en_US"/>
        </w:rPr>
        <w:t>20:36d</w:t>
      </w:r>
    </w:p>
    <w:p>
      <w:pPr/>
      <w:r>
        <w:rPr>
          <w:lang w:val="en_US" w:bidi="en_US"/>
        </w:rPr>
      </w:r>
      <w:r>
        <w:rPr>
          <w:b/>
          <w:lang w:val="en_US" w:bidi="en_US"/>
        </w:rPr>
        <w:t>they are sons of God.</w:t>
      </w:r>
    </w:p>
    <w:p>
      <w:pPr>
        <w:pStyle w:val="ListBullet"/>
        <w:spacing w:line="240" w:lineRule="auto"/>
        <w:ind w:left="720"/>
      </w:pPr>
      <w:r>
        <w:rPr>
          <w:lang w:val="en_US" w:bidi="en_US"/>
        </w:rPr>
      </w:r>
      <w:r>
        <w:rPr>
          <w:lang w:val="en_US" w:bidi="en_US"/>
        </w:rPr>
        <w:t>they are children of God,</w:t>
      </w:r>
    </w:p>
    <w:p>
      <w:pPr>
        <w:pStyle w:val="ListBullet"/>
        <w:spacing w:line="240" w:lineRule="auto"/>
        <w:ind w:left="720"/>
      </w:pPr>
      <w:r>
        <w:rPr>
          <w:lang w:val="en_US" w:bidi="en_US"/>
        </w:rPr>
      </w:r>
      <w:r>
        <w:rPr>
          <w:lang w:val="en_US" w:bidi="en_US"/>
        </w:rPr>
        <w:t>Because of this, they will be children of God,</w:t>
      </w:r>
    </w:p>
    <w:p>
      <w:pPr>
        <w:pStyle w:val="Heading5"/>
      </w:pPr>
      <w:r>
        <w:rPr>
          <w:lang w:val="en_US" w:bidi="en_US"/>
        </w:rPr>
        <w:t>20:36c–d</w:t>
      </w:r>
    </w:p>
    <w:p>
      <w:pPr/>
      <w:r>
        <w:rPr>
          <w:lang w:val="en_US" w:bidi="en_US"/>
        </w:rPr>
      </w:r>
      <w:r>
        <w:rPr>
          <w:b/>
          <w:lang w:val="en_US" w:bidi="en_US"/>
        </w:rPr>
        <w:t>And since they are sons of the resurrection, they are sons of God:</w:t>
      </w:r>
      <w:r>
        <w:rPr>
          <w:lang w:val="en_US" w:bidi="en_US"/>
        </w:rPr>
        <w:t xml:space="preserve"> The phrase </w:t>
      </w:r>
      <w:r>
        <w:rPr>
          <w:i/>
          <w:lang w:val="en_US" w:bidi="en_US"/>
        </w:rPr>
        <w:t>sons of God</w:t>
      </w:r>
      <w:r>
        <w:rPr>
          <w:lang w:val="en_US" w:bidi="en_US"/>
        </w:rPr>
        <w:t xml:space="preserve"> is used in a figurative sense here. In this context it indicates that the people who rise from death are God’s sons because they will live forever with him. Some ways to translate the connection between 20:36c and 20:36d are:</w:t>
      </w:r>
    </w:p>
    <w:p>
      <w:pPr/>
      <w:r>
        <w:rPr>
          <w:lang w:val="en_US" w:bidi="en_US"/>
        </w:rPr>
      </w:r>
      <w:r>
        <w:rPr>
          <w:lang w:val="en_US" w:bidi="en_US"/>
        </w:rPr>
        <w:t>and are sons of God, being sons of the resurrection (NASB)</w:t>
      </w:r>
    </w:p>
    <w:p>
      <w:pPr/>
      <w:r>
        <w:rPr>
          <w:lang w:val="en_US" w:bidi="en_US"/>
        </w:rPr>
      </w:r>
      <w:r>
        <w:rPr>
          <w:lang w:val="en_US" w:bidi="en_US"/>
        </w:rPr>
        <w:t>they are children of God, because they share in the resurrection (REB)</w:t>
      </w:r>
    </w:p>
    <w:p>
      <w:pPr/>
      <w:r>
        <w:rPr>
          <w:lang w:val="en_US" w:bidi="en_US"/>
        </w:rPr>
      </w:r>
      <w:r>
        <w:rPr>
          <w:lang w:val="en_US" w:bidi="en_US"/>
        </w:rPr>
        <w:t>In some languages it may be helpful to change the order of 20:36c and 20:36d. For example:</w:t>
      </w:r>
    </w:p>
    <w:p>
      <w:pPr/>
      <w:r>
        <w:rPr>
          <w:lang w:val="en_US" w:bidi="en_US"/>
        </w:rPr>
      </w:r>
      <w:r>
        <w:rPr>
          <w:vertAlign w:val="superscript"/>
          <w:lang w:val="en_US" w:bidi="en_US"/>
        </w:rPr>
        <w:t>36d</w:t>
      </w:r>
      <w:r>
        <w:rPr>
          <w:lang w:val="en_US" w:bidi="en_US"/>
        </w:rPr>
        <w:t xml:space="preserve">for being children of the resurrection, </w:t>
      </w:r>
      <w:r>
        <w:rPr>
          <w:vertAlign w:val="superscript"/>
          <w:lang w:val="en_US" w:bidi="en_US"/>
        </w:rPr>
        <w:t>36c</w:t>
      </w:r>
      <w:r>
        <w:rPr>
          <w:lang w:val="en_US" w:bidi="en_US"/>
        </w:rPr>
        <w:t>they are the sons of God (JBP)</w:t>
      </w:r>
    </w:p>
    <w:p>
      <w:pPr/>
      <w:r>
        <w:rPr>
          <w:lang w:val="en_US" w:bidi="en_US"/>
        </w:rPr>
      </w:r>
      <w:r>
        <w:rPr>
          <w:b/>
          <w:lang w:val="en_US" w:bidi="en_US"/>
        </w:rPr>
        <w:t>sons…sons:</w:t>
      </w:r>
      <w:r>
        <w:rPr>
          <w:lang w:val="en_US" w:bidi="en_US"/>
        </w:rPr>
        <w:t xml:space="preserve"> The Greek word that the BSB literally translates as </w:t>
      </w:r>
      <w:r>
        <w:rPr>
          <w:i/>
          <w:lang w:val="en_US" w:bidi="en_US"/>
        </w:rPr>
        <w:t>sons</w:t>
      </w:r>
      <w:r>
        <w:rPr>
          <w:lang w:val="en_US" w:bidi="en_US"/>
        </w:rPr>
        <w:t xml:space="preserve"> refers to both men and women.</w:t>
      </w:r>
    </w:p>
    <w:p>
      <w:pPr>
        <w:pStyle w:val="Heading6"/>
      </w:pPr>
      <w:r>
        <w:rPr>
          <w:b/>
          <w:lang w:val="en_US" w:bidi="en_US"/>
        </w:rPr>
        <w:t>General Comment on 20:35–36</w:t>
      </w:r>
    </w:p>
    <w:p>
      <w:pPr/>
      <w:r>
        <w:rPr>
          <w:lang w:val="en_US" w:bidi="en_US"/>
        </w:rPr>
      </w:r>
      <w:r>
        <w:rPr>
          <w:lang w:val="en_US" w:bidi="en_US"/>
        </w:rPr>
        <w:t>In 20:35 the Greek verbs are future forms, as in the BSB. In 20:36 the verbs are present forms. However, Jesus continued to talk about the future time of the resurrection. In some languages it may be more natural to use future verbs in both verses. For example:</w:t>
      </w:r>
    </w:p>
    <w:p>
      <w:pPr/>
      <w:r>
        <w:rPr>
          <w:lang w:val="en_US" w:bidi="en_US"/>
        </w:rPr>
      </w:r>
      <w:r>
        <w:rPr>
          <w:vertAlign w:val="superscript"/>
          <w:lang w:val="en_US" w:bidi="en_US"/>
        </w:rPr>
        <w:t>35</w:t>
      </w:r>
      <w:r>
        <w:rPr>
          <w:lang w:val="en_US" w:bidi="en_US"/>
        </w:rPr>
        <w:t xml:space="preserve">But in the future world no one who is worthy to rise from death will either marry </w:t>
      </w:r>
      <w:r>
        <w:rPr>
          <w:vertAlign w:val="superscript"/>
          <w:lang w:val="en_US" w:bidi="en_US"/>
        </w:rPr>
        <w:t>36</w:t>
      </w:r>
      <w:r>
        <w:rPr>
          <w:lang w:val="en_US" w:bidi="en_US"/>
        </w:rPr>
        <w:t>or die. They will be like the angels and will be God’s children, because they have been raised to life. (CEV)</w:t>
      </w:r>
    </w:p>
    <w:p>
      <w:pPr>
        <w:pStyle w:val="Heading6"/>
      </w:pPr>
      <w:r>
        <w:rPr>
          <w:b/>
          <w:lang w:val="en_US" w:bidi="en_US"/>
        </w:rPr>
        <w:t>General Comment on 20:36a–d</w:t>
      </w:r>
    </w:p>
    <w:p>
      <w:pPr/>
      <w:r>
        <w:rPr>
          <w:lang w:val="en_US" w:bidi="en_US"/>
        </w:rPr>
      </w:r>
      <w:r>
        <w:rPr>
          <w:lang w:val="en_US" w:bidi="en_US"/>
        </w:rPr>
        <w:t>In some languages it may be helpful to change the order of the clauses in this verse. For example:</w:t>
      </w:r>
    </w:p>
    <w:p>
      <w:pPr/>
      <w:r>
        <w:rPr>
          <w:lang w:val="en_US" w:bidi="en_US"/>
        </w:rPr>
      </w:r>
      <w:r>
        <w:rPr>
          <w:vertAlign w:val="superscript"/>
          <w:lang w:val="en_US" w:bidi="en_US"/>
        </w:rPr>
        <w:t>36c</w:t>
      </w:r>
      <w:r>
        <w:rPr>
          <w:lang w:val="en_US" w:bidi="en_US"/>
        </w:rPr>
        <w:t xml:space="preserve">They have </w:t>
      </w:r>
      <w:r>
        <w:rPr>
          <w:lang w:val="en_US" w:bidi="en_US"/>
        </w:rPr>
        <w:t>already</w:t>
      </w:r>
      <w:r>
        <w:rPr>
          <w:lang w:val="en_US" w:bidi="en_US"/>
        </w:rPr>
        <w:t xml:space="preserve"> risen from death </w:t>
      </w:r>
      <w:r>
        <w:rPr>
          <w:vertAlign w:val="superscript"/>
          <w:lang w:val="en_US" w:bidi="en_US"/>
        </w:rPr>
        <w:t>36a</w:t>
      </w:r>
      <w:r>
        <w:rPr>
          <w:lang w:val="en_US" w:bidi="en_US"/>
        </w:rPr>
        <w:t xml:space="preserve">and they cannot die again. </w:t>
      </w:r>
      <w:r>
        <w:rPr>
          <w:vertAlign w:val="superscript"/>
          <w:lang w:val="en_US" w:bidi="en_US"/>
        </w:rPr>
        <w:t>36b</w:t>
      </w:r>
      <w:r>
        <w:rPr>
          <w:lang w:val="en_US" w:bidi="en_US"/>
        </w:rPr>
        <w:t xml:space="preserve">In this way, they are like the angels. </w:t>
      </w:r>
      <w:r>
        <w:rPr>
          <w:vertAlign w:val="superscript"/>
          <w:lang w:val="en_US" w:bidi="en_US"/>
        </w:rPr>
        <w:t>36d</w:t>
      </w:r>
      <w:r>
        <w:rPr>
          <w:lang w:val="en_US" w:bidi="en_US"/>
        </w:rPr>
        <w:t>They are God’s children.</w:t>
      </w:r>
      <w:r>
        <w:rPr>
          <w:lang w:val="en_US" w:bidi="en_US"/>
        </w:rPr>
      </w:r>
      <w:r>
        <w:rPr>
          <w:lang w:val="en_US" w:bidi="en_US"/>
        </w:rPr>
      </w:r>
    </w:p>
    <w:p>
      <w:pPr/>
      <w:r>
        <w:rPr>
          <w:lang w:val="en_US" w:bidi="en_US"/>
        </w:rPr>
      </w:r>
    </w:p>
    <w:p>
      <w:pPr>
        <w:pStyle w:val="Heading2"/>
      </w:pPr>
      <w:r>
        <w:rPr>
          <w:lang w:val="en_US" w:bidi="en_US"/>
        </w:rPr>
        <w:t>Luke 20:37</w:t>
      </w:r>
      <w:r>
        <w:rPr>
          <w:lang w:val="en_US" w:bidi="en_US"/>
        </w:rPr>
      </w:r>
    </w:p>
    <w:p>
      <w:pPr>
        <w:pStyle w:val="Heading4"/>
      </w:pPr>
      <w:r>
        <w:rPr>
          <w:lang w:val="en_US" w:bidi="en_US"/>
        </w:rPr>
        <w:t>Section 20:27–40: Sadducees asked Jesus a trick question about the resurrection</w:t>
      </w:r>
    </w:p>
    <w:p>
      <w:pPr/>
      <w:r>
        <w:rPr>
          <w:lang w:val="en_US" w:bidi="en_US"/>
        </w:rPr>
      </w:r>
      <w:r>
        <w:rPr>
          <w:lang w:val="en_US" w:bidi="en_US"/>
        </w:rP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pPr/>
      <w:r>
        <w:rPr>
          <w:lang w:val="en_US" w:bidi="en_US"/>
        </w:rPr>
      </w:r>
      <w:r>
        <w:rPr>
          <w:lang w:val="en_US" w:bidi="en_US"/>
        </w:rP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rPr>
          <w:lang w:val="en_US" w:bidi="en_US"/>
        </w:rPr>
        <w:t xml:space="preserve">This custom was called </w:t>
      </w:r>
      <w:r>
        <w:rPr>
          <w:u w:val="single"/>
          <w:lang w:val="en_US" w:bidi="en_US"/>
        </w:rPr>
        <w:t>levirate</w:t>
      </w:r>
      <w:r>
        <w:rPr>
          <w:lang w:val="en_US" w:bidi="en_US"/>
        </w:rP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Examples of headings for this section are:</w:t>
      </w:r>
    </w:p>
    <w:p>
      <w:pPr/>
      <w:r>
        <w:rPr>
          <w:lang w:val="en_US" w:bidi="en_US"/>
        </w:rPr>
      </w:r>
      <w:r>
        <w:rPr>
          <w:lang w:val="en_US" w:bidi="en_US"/>
        </w:rPr>
        <w:t>The Question about Rising from Death (GNT)</w:t>
      </w:r>
    </w:p>
    <w:p>
      <w:pPr/>
      <w:r>
        <w:rPr>
          <w:lang w:val="en_US" w:bidi="en_US"/>
        </w:rPr>
      </w:r>
      <w:r>
        <w:rPr>
          <w:lang w:val="en_US" w:bidi="en_US"/>
        </w:rPr>
        <w:t>Do the dead rise again?</w:t>
      </w:r>
    </w:p>
    <w:p>
      <w:pPr/>
      <w:r>
        <w:rPr>
          <w:lang w:val="en_US" w:bidi="en_US"/>
        </w:rPr>
      </w:r>
      <w:r>
        <w:rPr>
          <w:lang w:val="en_US" w:bidi="en_US"/>
        </w:rPr>
        <w:t>The Sadducees challenged Jesus on people rising from death</w:t>
      </w:r>
    </w:p>
    <w:p>
      <w:pPr/>
      <w:r>
        <w:rPr>
          <w:lang w:val="en_US" w:bidi="en_US"/>
        </w:rPr>
      </w:r>
      <w:r>
        <w:rPr>
          <w:lang w:val="en_US" w:bidi="en_US"/>
        </w:rPr>
        <w:t>Parallel passages for this section are found in Matthew 22:23–33 and Mark 12:18–27.</w:t>
      </w:r>
    </w:p>
    <w:p>
      <w:pPr>
        <w:pStyle w:val="Heading4"/>
      </w:pPr>
      <w:r>
        <w:rPr>
          <w:lang w:val="en_US" w:bidi="en_US"/>
        </w:rPr>
        <w:t>Paragraph 20:34–38</w:t>
      </w:r>
    </w:p>
    <w:p>
      <w:pPr/>
      <w:r>
        <w:rPr>
          <w:lang w:val="en_US" w:bidi="en_US"/>
        </w:rPr>
      </w:r>
      <w:r>
        <w:rPr>
          <w:lang w:val="en_US" w:bidi="en_US"/>
        </w:rPr>
        <w:t>In this paragraph Jesus gave the Sadducees an answer that had two parts:</w:t>
      </w:r>
    </w:p>
    <w:p>
      <w:pPr>
        <w:pStyle w:val="ListNumber"/>
        <w:numPr>
          <w:ilvl w:val="0"/>
          <w:numId w:val="336"/>
        </w:numPr>
        <w:spacing w:line="240" w:lineRule="auto"/>
        <w:ind w:left="720"/>
      </w:pPr>
      <w:r>
        <w:rPr>
          <w:lang w:val="en_US" w:bidi="en_US"/>
        </w:rPr>
      </w:r>
      <w:r>
        <w:rPr>
          <w:lang w:val="en_US" w:bidi="en_US"/>
        </w:rPr>
        <w:t>In 20:34–36, he explained that when people die and live again, they will have a new kind of life. They will not marry, just as angels do not marry. (See the notes on 20:36a–b.)</w:t>
      </w:r>
    </w:p>
    <w:p>
      <w:pPr>
        <w:pStyle w:val="ListNumber"/>
        <w:spacing w:line="240" w:lineRule="auto"/>
        <w:ind w:left="720"/>
      </w:pPr>
      <w:r>
        <w:rPr>
          <w:lang w:val="en_US" w:bidi="en_US"/>
        </w:rPr>
      </w:r>
      <w:r>
        <w:rPr>
          <w:lang w:val="en_US" w:bidi="en_US"/>
        </w:rPr>
        <w:t>In 20:37–38, he reminded them what God said in one of the books of Moses. God indicated that the great ancestors of the Jewish people were still alive with him. This showed that God does cause people to live again after they die.</w:t>
      </w:r>
    </w:p>
    <w:p>
      <w:pPr>
        <w:pStyle w:val="Heading5"/>
      </w:pPr>
      <w:r>
        <w:rPr>
          <w:lang w:val="en_US" w:bidi="en_US"/>
        </w:rPr>
        <w:t>20:37a</w:t>
      </w:r>
    </w:p>
    <w:p>
      <w:pPr/>
      <w:r>
        <w:rPr>
          <w:lang w:val="en_US" w:bidi="en_US"/>
        </w:rPr>
      </w:r>
      <w:r>
        <w:rPr>
          <w:b/>
          <w:lang w:val="en_US" w:bidi="en_US"/>
        </w:rPr>
        <w:t>Even Moses demonstrates that the dead are raised, in the passage about the burning bush.</w:t>
      </w:r>
    </w:p>
    <w:p>
      <w:pPr>
        <w:pStyle w:val="ListBullet"/>
        <w:spacing w:line="240" w:lineRule="auto"/>
        <w:ind w:left="720"/>
      </w:pPr>
      <w:r>
        <w:rPr>
          <w:lang w:val="en_US" w:bidi="en_US"/>
        </w:rPr>
      </w:r>
      <w:r>
        <w:rPr>
          <w:lang w:val="en_US" w:bidi="en_US"/>
        </w:rPr>
        <w:t>Now as for dead people being resurrected, Moses himself revealed this in the account of the bush.</w:t>
      </w:r>
    </w:p>
    <w:p>
      <w:pPr>
        <w:pStyle w:val="ListBullet"/>
        <w:spacing w:line="240" w:lineRule="auto"/>
        <w:ind w:left="720"/>
      </w:pPr>
      <w:r>
        <w:rPr>
          <w:lang w:val="en_US" w:bidi="en_US"/>
        </w:rPr>
      </w:r>
      <w:r>
        <w:rPr>
          <w:lang w:val="en_US" w:bidi="en_US"/>
        </w:rPr>
        <w:t xml:space="preserve">And the </w:t>
      </w:r>
      <w:r>
        <w:rPr>
          <w:lang w:val="en_US" w:bidi="en_US"/>
        </w:rPr>
        <w:t>great</w:t>
      </w:r>
      <w:r>
        <w:rPr>
          <w:lang w:val="en_US" w:bidi="en_US"/>
        </w:rPr>
        <w:t xml:space="preserve"> Moses made it known that dead people live again, when he wrote </w:t>
      </w:r>
      <w:r>
        <w:rPr>
          <w:lang w:val="en_US" w:bidi="en_US"/>
        </w:rPr>
        <w:t>what God said to him</w:t>
      </w:r>
      <w:r>
        <w:rPr>
          <w:lang w:val="en_US" w:bidi="en_US"/>
        </w:rPr>
        <w:t xml:space="preserve"> </w:t>
      </w:r>
      <w:r>
        <w:rPr>
          <w:lang w:val="en_US" w:bidi="en_US"/>
        </w:rPr>
        <w:t>from</w:t>
      </w:r>
      <w:r>
        <w:rPr>
          <w:lang w:val="en_US" w:bidi="en_US"/>
        </w:rPr>
        <w:t xml:space="preserve"> the </w:t>
      </w:r>
      <w:r>
        <w:rPr>
          <w:lang w:val="en_US" w:bidi="en_US"/>
        </w:rPr>
        <w:t>burning</w:t>
      </w:r>
      <w:r>
        <w:rPr>
          <w:lang w:val="en_US" w:bidi="en_US"/>
        </w:rPr>
        <w:t xml:space="preserve"> bush.</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are wrong to think that there is no resurrection.</w:t>
      </w:r>
      <w:r>
        <w:rPr>
          <w:lang w:val="en_US" w:bidi="en_US"/>
        </w:rPr>
        <w:t xml:space="preserve"> For in the scripture about the bush, Moses showed that </w:t>
      </w:r>
      <w:r>
        <w:rPr>
          <w:lang w:val="en_US" w:bidi="en_US"/>
        </w:rPr>
        <w:t>God</w:t>
      </w:r>
      <w:r>
        <w:rPr>
          <w:lang w:val="en_US" w:bidi="en_US"/>
        </w:rPr>
        <w:t xml:space="preserve"> </w:t>
      </w:r>
      <w:r>
        <w:rPr>
          <w:lang w:val="en_US" w:bidi="en_US"/>
        </w:rPr>
        <w:t>causes</w:t>
      </w:r>
      <w:r>
        <w:rPr>
          <w:lang w:val="en_US" w:bidi="en_US"/>
        </w:rPr>
        <w:t xml:space="preserve"> dead people to live again.</w:t>
      </w:r>
    </w:p>
    <w:p>
      <w:pPr/>
      <w:r>
        <w:rPr>
          <w:lang w:val="en_US" w:bidi="en_US"/>
        </w:rPr>
      </w:r>
      <w:r>
        <w:rPr>
          <w:b/>
          <w:lang w:val="en_US" w:bidi="en_US"/>
        </w:rPr>
        <w:t>Even Moses demonstrates that the dead are raised:</w:t>
      </w:r>
      <w:r>
        <w:rPr>
          <w:lang w:val="en_US" w:bidi="en_US"/>
        </w:rPr>
        <w:t xml:space="preserve"> In this verse Jesus introduced the second part of his answer to the Sadducees. The topic of this part is that dead people </w:t>
      </w:r>
      <w:r>
        <w:rPr>
          <w:u w:val="single"/>
          <w:lang w:val="en_US" w:bidi="en_US"/>
        </w:rPr>
        <w:t>will</w:t>
      </w:r>
      <w:r>
        <w:rPr>
          <w:lang w:val="en_US" w:bidi="en_US"/>
        </w:rPr>
        <w:t xml:space="preserve"> be raised to life again. The Greek text introduces this topic by putting it first in the sentence.</w:t>
      </w:r>
    </w:p>
    <w:p>
      <w:pPr/>
      <w:r>
        <w:rPr>
          <w:lang w:val="en_US" w:bidi="en_US"/>
        </w:rPr>
      </w:r>
      <w:r>
        <w:rPr>
          <w:lang w:val="en_US" w:bidi="en_US"/>
        </w:rPr>
        <w:t>The Sadducees used their story in 20:28–33 to imply that it is impossible for dead people to live again. Here in 20:37 Jesus implied that he would prove that they were wrong. In some languages it may be helpful to make this explicit. For example:</w:t>
      </w:r>
    </w:p>
    <w:p>
      <w:pPr/>
      <w:r>
        <w:rPr>
          <w:lang w:val="en_US" w:bidi="en_US"/>
        </w:rPr>
      </w:r>
      <w:r>
        <w:rPr>
          <w:lang w:val="en_US" w:bidi="en_US"/>
        </w:rPr>
        <w:t xml:space="preserve">Furthermore </w:t>
      </w:r>
      <w:r>
        <w:rPr>
          <w:lang w:val="en_US" w:bidi="en_US"/>
        </w:rPr>
        <w:t>you</w:t>
      </w:r>
      <w:r>
        <w:rPr>
          <w:vertAlign w:val="superscript"/>
          <w:lang w:val="en_US" w:bidi="en_US"/>
        </w:rPr>
        <w:t>(plur)</w:t>
      </w:r>
      <w:r>
        <w:rPr>
          <w:lang w:val="en_US" w:bidi="en_US"/>
        </w:rPr>
        <w:t xml:space="preserve"> </w:t>
      </w:r>
      <w:r>
        <w:rPr>
          <w:lang w:val="en_US" w:bidi="en_US"/>
        </w:rPr>
        <w:t>are wrong to think that the dead cannot rise again</w:t>
      </w:r>
      <w:r>
        <w:rPr>
          <w:lang w:val="en_US" w:bidi="en_US"/>
        </w:rPr>
        <w:t>. Even Moses showed that the dead rise.</w:t>
      </w:r>
    </w:p>
    <w:p>
      <w:pPr/>
      <w:r>
        <w:rPr>
          <w:lang w:val="en_US" w:bidi="en_US"/>
        </w:rPr>
      </w:r>
      <w:r>
        <w:rPr>
          <w:lang w:val="en_US" w:bidi="en_US"/>
        </w:rPr>
        <w:t>You should introduce this topic in a way that is natural in your language. In some languages it is helpful to change the order of the clauses. See the General Comment on 20:37a for more suggestions.</w:t>
      </w:r>
    </w:p>
    <w:p>
      <w:pPr/>
      <w:r>
        <w:rPr>
          <w:lang w:val="en_US" w:bidi="en_US"/>
        </w:rPr>
      </w:r>
      <w:r>
        <w:rPr>
          <w:b/>
          <w:lang w:val="en_US" w:bidi="en_US"/>
        </w:rPr>
        <w:t>Even Moses:</w:t>
      </w:r>
      <w:r>
        <w:rPr>
          <w:lang w:val="en_US" w:bidi="en_US"/>
        </w:rPr>
        <w:t xml:space="preserve"> In this context the Greek conjunction that the BSB translates as </w:t>
      </w:r>
      <w:r>
        <w:rPr>
          <w:i/>
          <w:lang w:val="en_US" w:bidi="en_US"/>
        </w:rPr>
        <w:t>Even</w:t>
      </w:r>
      <w:r>
        <w:rPr>
          <w:lang w:val="en_US" w:bidi="en_US"/>
        </w:rPr>
        <w:t xml:space="preserve"> emphasizes Moses. He was an authority whom the Sadducees respected greatly. He was the one who received the law from God for the Jewish people. What Moses said was authoritative. Another way to express this emphasis in English is:</w:t>
      </w:r>
    </w:p>
    <w:p>
      <w:pPr/>
      <w:r>
        <w:rPr>
          <w:lang w:val="en_US" w:bidi="en_US"/>
        </w:rPr>
      </w:r>
      <w:r>
        <w:rPr>
          <w:lang w:val="en_US" w:bidi="en_US"/>
        </w:rPr>
        <w:t>Moses himself (NRSV)</w:t>
      </w:r>
    </w:p>
    <w:p>
      <w:pPr/>
      <w:r>
        <w:rPr>
          <w:lang w:val="en_US" w:bidi="en_US"/>
        </w:rPr>
      </w:r>
      <w:r>
        <w:rPr>
          <w:lang w:val="en_US" w:bidi="en_US"/>
        </w:rPr>
        <w:t>In some languages it may be difficult to translate this emphasis. If that is true in your language, it may be possible to add some implied information. For example:</w:t>
      </w:r>
    </w:p>
    <w:p>
      <w:pPr/>
      <w:r>
        <w:rPr>
          <w:lang w:val="en_US" w:bidi="en_US"/>
        </w:rPr>
      </w:r>
      <w:r>
        <w:rPr>
          <w:lang w:val="en_US" w:bidi="en_US"/>
        </w:rPr>
        <w:t xml:space="preserve">it is the </w:t>
      </w:r>
      <w:r>
        <w:rPr>
          <w:u w:val="single"/>
          <w:lang w:val="en_US" w:bidi="en_US"/>
        </w:rPr>
        <w:t>prophet</w:t>
      </w:r>
      <w:r>
        <w:rPr>
          <w:lang w:val="en_US" w:bidi="en_US"/>
        </w:rPr>
        <w:t xml:space="preserve"> Musa himself</w:t>
      </w:r>
      <w:r>
        <w:rPr>
          <w:lang w:val="en_US" w:bidi="en_US"/>
        </w:rPr>
        <w:t>Uma back translation on TW.</w:t>
      </w:r>
    </w:p>
    <w:p>
      <w:pPr/>
      <w:r>
        <w:rPr>
          <w:lang w:val="en_US" w:bidi="en_US"/>
        </w:rPr>
      </w:r>
      <w:r>
        <w:rPr>
          <w:lang w:val="en_US" w:bidi="en_US"/>
        </w:rPr>
        <w:t>our</w:t>
      </w:r>
      <w:r>
        <w:rPr>
          <w:lang w:val="en_US" w:bidi="en_US"/>
        </w:rPr>
        <w:t xml:space="preserve"> </w:t>
      </w:r>
      <w:r>
        <w:rPr>
          <w:lang w:val="en_US" w:bidi="en_US"/>
        </w:rPr>
        <w:t>great</w:t>
      </w:r>
      <w:r>
        <w:rPr>
          <w:lang w:val="en_US" w:bidi="en_US"/>
        </w:rPr>
        <w:t xml:space="preserve"> </w:t>
      </w:r>
      <w:r>
        <w:rPr>
          <w:lang w:val="en_US" w:bidi="en_US"/>
        </w:rPr>
        <w:t>lawgiver/ancestor</w:t>
      </w:r>
      <w:r>
        <w:rPr>
          <w:lang w:val="en_US" w:bidi="en_US"/>
        </w:rPr>
        <w:t xml:space="preserve"> Moses</w:t>
      </w:r>
    </w:p>
    <w:p>
      <w:pPr/>
      <w:r>
        <w:rPr>
          <w:lang w:val="en_US" w:bidi="en_US"/>
        </w:rPr>
      </w:r>
      <w:r>
        <w:rPr>
          <w:b/>
          <w:lang w:val="en_US" w:bidi="en_US"/>
        </w:rPr>
        <w:t>demonstrates that the dead are raised:</w:t>
      </w:r>
      <w:r>
        <w:rPr>
          <w:lang w:val="en_US" w:bidi="en_US"/>
        </w:rPr>
        <w:t xml:space="preserve"> The Greek word that the BSB translates as </w:t>
      </w:r>
      <w:r>
        <w:rPr>
          <w:i/>
          <w:lang w:val="en_US" w:bidi="en_US"/>
        </w:rPr>
        <w:t>demonstrates</w:t>
      </w:r>
      <w:r>
        <w:rPr>
          <w:lang w:val="en_US" w:bidi="en_US"/>
        </w:rPr>
        <w:t xml:space="preserve"> here means “to inform, reveal, make known.” The account of the burning bush by Moses reveals that God can and does cause the dead to live again.</w:t>
      </w:r>
    </w:p>
    <w:p>
      <w:pPr/>
      <w:r>
        <w:rPr>
          <w:lang w:val="en_US" w:bidi="en_US"/>
        </w:rPr>
      </w:r>
      <w:r>
        <w:rPr>
          <w:b/>
          <w:lang w:val="en_US" w:bidi="en_US"/>
        </w:rPr>
        <w:t>the dead are raised:</w:t>
      </w:r>
      <w:r>
        <w:rPr>
          <w:lang w:val="en_US" w:bidi="en_US"/>
        </w:rPr>
        <w:t xml:space="preserve"> The phrase </w:t>
      </w:r>
      <w:r>
        <w:rPr>
          <w:i/>
          <w:lang w:val="en_US" w:bidi="en_US"/>
        </w:rPr>
        <w:t>the dead are raised</w:t>
      </w:r>
      <w:r>
        <w:rPr>
          <w:lang w:val="en_US" w:bidi="en_US"/>
        </w:rPr>
        <w:t xml:space="preserve"> means “dead people live again.” In this context it refers to life with God in the next world. It does not refer to living again on the earth in this age. See the note on “resurrection” at 20:27b–c.</w:t>
      </w:r>
    </w:p>
    <w:p>
      <w:pPr/>
      <w:r>
        <w:rPr>
          <w:lang w:val="en_US" w:bidi="en_US"/>
        </w:rPr>
      </w:r>
      <w:r>
        <w:rPr>
          <w:lang w:val="en_US" w:bidi="en_US"/>
        </w:rPr>
        <w:t>In some languages it may be helpful to make explicit here that God is the one who causes the dead to live again. For example:</w:t>
      </w:r>
    </w:p>
    <w:p>
      <w:pPr/>
      <w:r>
        <w:rPr>
          <w:lang w:val="en_US" w:bidi="en_US"/>
        </w:rPr>
      </w:r>
      <w:r>
        <w:rPr>
          <w:lang w:val="en_US" w:bidi="en_US"/>
        </w:rPr>
        <w:t>God</w:t>
      </w:r>
      <w:r>
        <w:rPr>
          <w:lang w:val="en_US" w:bidi="en_US"/>
        </w:rPr>
        <w:t xml:space="preserve"> will raise people who have died to live again</w:t>
      </w:r>
    </w:p>
    <w:p>
      <w:pPr/>
      <w:r>
        <w:rPr>
          <w:lang w:val="en_US" w:bidi="en_US"/>
        </w:rPr>
      </w:r>
      <w:r>
        <w:rPr>
          <w:b/>
          <w:lang w:val="en_US" w:bidi="en_US"/>
        </w:rPr>
        <w:t>in the passage about the burning bush:</w:t>
      </w:r>
      <w:r>
        <w:rPr>
          <w:lang w:val="en_US" w:bidi="en_US"/>
        </w:rPr>
        <w:t xml:space="preserve"> The phrase </w:t>
      </w:r>
      <w:r>
        <w:rPr>
          <w:i/>
          <w:lang w:val="en_US" w:bidi="en_US"/>
        </w:rPr>
        <w:t>in the passage about the burning bush</w:t>
      </w:r>
      <w:r>
        <w:rPr>
          <w:lang w:val="en_US" w:bidi="en_US"/>
        </w:rPr>
        <w:t xml:space="preserve"> refers to Exodus 3:1–6. In those verses God spoke to Moses from a bush that was flaming but did not burn up.</w:t>
      </w:r>
    </w:p>
    <w:p>
      <w:pPr/>
      <w:r>
        <w:rPr>
          <w:lang w:val="en_US" w:bidi="en_US"/>
        </w:rPr>
      </w:r>
      <w:r>
        <w:rPr>
          <w:lang w:val="en_US" w:bidi="en_US"/>
        </w:rPr>
        <w:t xml:space="preserve">In some languages it may be necessary to indicate that </w:t>
      </w:r>
      <w:r>
        <w:rPr>
          <w:i/>
          <w:lang w:val="en_US" w:bidi="en_US"/>
        </w:rPr>
        <w:t>the passage about the burning bush</w:t>
      </w:r>
      <w:r>
        <w:rPr>
          <w:lang w:val="en_US" w:bidi="en_US"/>
        </w:rPr>
        <w:t xml:space="preserve"> is part of the Scriptures. You may be able to use your usual way to refer to the Scriptures. For example:</w:t>
      </w:r>
    </w:p>
    <w:p>
      <w:pPr/>
      <w:r>
        <w:rPr>
          <w:lang w:val="en_US" w:bidi="en_US"/>
        </w:rPr>
      </w:r>
      <w:r>
        <w:rPr>
          <w:lang w:val="en_US" w:bidi="en_US"/>
        </w:rPr>
        <w:t xml:space="preserve">in the </w:t>
      </w:r>
      <w:r>
        <w:rPr>
          <w:lang w:val="en_US" w:bidi="en_US"/>
        </w:rPr>
        <w:t>Scriptures</w:t>
      </w:r>
      <w:r>
        <w:rPr>
          <w:lang w:val="en_US" w:bidi="en_US"/>
        </w:rPr>
        <w:t xml:space="preserve"> </w:t>
      </w:r>
      <w:r>
        <w:rPr>
          <w:lang w:val="en_US" w:bidi="en_US"/>
        </w:rPr>
        <w:t>that tell what happened</w:t>
      </w:r>
      <w:r>
        <w:rPr>
          <w:lang w:val="en_US" w:bidi="en_US"/>
        </w:rPr>
        <w:t xml:space="preserve"> at the </w:t>
      </w:r>
      <w:r>
        <w:rPr>
          <w:lang w:val="en_US" w:bidi="en_US"/>
        </w:rPr>
        <w:t>burning</w:t>
      </w:r>
      <w:r>
        <w:rPr>
          <w:lang w:val="en_US" w:bidi="en_US"/>
        </w:rPr>
        <w:t xml:space="preserve"> bush, even Moses revealed this</w:t>
      </w:r>
    </w:p>
    <w:p>
      <w:pPr/>
      <w:r>
        <w:rPr>
          <w:lang w:val="en_US" w:bidi="en_US"/>
        </w:rPr>
      </w:r>
      <w:r>
        <w:rPr>
          <w:lang w:val="en_US" w:bidi="en_US"/>
        </w:rPr>
        <w:t xml:space="preserve">in the </w:t>
      </w:r>
      <w:r>
        <w:rPr>
          <w:lang w:val="en_US" w:bidi="en_US"/>
        </w:rPr>
        <w:t>holy book/words</w:t>
      </w:r>
      <w:r>
        <w:rPr>
          <w:lang w:val="en_US" w:bidi="en_US"/>
        </w:rPr>
        <w:t xml:space="preserve"> </w:t>
      </w:r>
      <w:r>
        <w:rPr>
          <w:lang w:val="en_US" w:bidi="en_US"/>
        </w:rPr>
        <w:t>where</w:t>
      </w:r>
      <w:r>
        <w:rPr>
          <w:lang w:val="en_US" w:bidi="en_US"/>
        </w:rPr>
        <w:t xml:space="preserve"> </w:t>
      </w:r>
      <w:r>
        <w:rPr>
          <w:lang w:val="en_US" w:bidi="en_US"/>
        </w:rPr>
        <w:t>they</w:t>
      </w:r>
      <w:r>
        <w:rPr>
          <w:lang w:val="en_US" w:bidi="en_US"/>
        </w:rPr>
        <w:t xml:space="preserve"> wrote about the </w:t>
      </w:r>
      <w:r>
        <w:rPr>
          <w:lang w:val="en_US" w:bidi="en_US"/>
        </w:rPr>
        <w:t>burning</w:t>
      </w:r>
      <w:r>
        <w:rPr>
          <w:lang w:val="en_US" w:bidi="en_US"/>
        </w:rPr>
        <w:t xml:space="preserve"> bush</w:t>
      </w:r>
    </w:p>
    <w:p>
      <w:pPr>
        <w:pStyle w:val="Heading6"/>
      </w:pPr>
      <w:r>
        <w:rPr>
          <w:b/>
          <w:lang w:val="en_US" w:bidi="en_US"/>
        </w:rPr>
        <w:t>General Comment on 20:37a</w:t>
      </w:r>
    </w:p>
    <w:p>
      <w:pPr/>
      <w:r>
        <w:rPr>
          <w:lang w:val="en_US" w:bidi="en_US"/>
        </w:rPr>
      </w:r>
      <w:r>
        <w:rPr>
          <w:lang w:val="en_US" w:bidi="en_US"/>
        </w:rPr>
        <w:t xml:space="preserve">In this statement Jesus introduced the second part of his answer to the Sadducees. The topic of this part is that dead people </w:t>
      </w:r>
      <w:r>
        <w:rPr>
          <w:u w:val="single"/>
          <w:lang w:val="en_US" w:bidi="en_US"/>
        </w:rPr>
        <w:t>will</w:t>
      </w:r>
      <w:r>
        <w:rPr>
          <w:lang w:val="en_US" w:bidi="en_US"/>
        </w:rPr>
        <w:t xml:space="preserve"> be raised to life again. The Greek text introduces this topic by putting it first in the sentence. Some ways to follow this order are:</w:t>
      </w:r>
    </w:p>
    <w:p>
      <w:pPr/>
      <w:r>
        <w:rPr>
          <w:lang w:val="en_US" w:bidi="en_US"/>
        </w:rPr>
      </w:r>
      <w:r>
        <w:rPr>
          <w:lang w:val="en_US" w:bidi="en_US"/>
        </w:rPr>
        <w:t>And the fact that the dead are raised, Moses himself showed, in the story about the bush…. (NRSV)</w:t>
      </w:r>
    </w:p>
    <w:p>
      <w:pPr/>
      <w:r>
        <w:rPr>
          <w:lang w:val="en_US" w:bidi="en_US"/>
        </w:rPr>
      </w:r>
      <w:r>
        <w:rPr>
          <w:lang w:val="en_US" w:bidi="en_US"/>
        </w:rPr>
        <w:t>But now, as to whether the dead will be raised—even Moses proved this when he wrote about the burning bush. (NLT)</w:t>
      </w:r>
    </w:p>
    <w:p>
      <w:pPr/>
      <w:r>
        <w:rPr>
          <w:lang w:val="en_US" w:bidi="en_US"/>
        </w:rPr>
      </w:r>
      <w:r>
        <w:rPr>
          <w:lang w:val="en_US" w:bidi="en_US"/>
        </w:rPr>
        <w:t>Use a natural order in your language.</w:t>
      </w:r>
    </w:p>
    <w:p>
      <w:pPr>
        <w:pStyle w:val="Heading5"/>
      </w:pPr>
      <w:r>
        <w:rPr>
          <w:lang w:val="en_US" w:bidi="en_US"/>
        </w:rPr>
        <w:t>20:37b</w:t>
      </w:r>
    </w:p>
    <w:p>
      <w:pPr/>
      <w:r>
        <w:rPr>
          <w:lang w:val="en_US" w:bidi="en_US"/>
        </w:rPr>
      </w:r>
      <w:r>
        <w:rPr>
          <w:b/>
          <w:lang w:val="en_US" w:bidi="en_US"/>
        </w:rPr>
        <w:t>For he calls the Lord</w:t>
      </w:r>
    </w:p>
    <w:p>
      <w:pPr>
        <w:pStyle w:val="ListBullet"/>
        <w:spacing w:line="240" w:lineRule="auto"/>
        <w:ind w:left="720"/>
      </w:pPr>
      <w:r>
        <w:rPr>
          <w:lang w:val="en_US" w:bidi="en_US"/>
        </w:rPr>
      </w:r>
      <w:r>
        <w:rPr>
          <w:lang w:val="en_US" w:bidi="en_US"/>
        </w:rPr>
        <w:t>For he refers to the Lord as</w:t>
      </w:r>
    </w:p>
    <w:p>
      <w:pPr>
        <w:pStyle w:val="ListBullet"/>
        <w:spacing w:line="240" w:lineRule="auto"/>
        <w:ind w:left="720"/>
      </w:pPr>
      <w:r>
        <w:rPr>
          <w:lang w:val="en_US" w:bidi="en_US"/>
        </w:rPr>
      </w:r>
      <w:r>
        <w:rPr>
          <w:lang w:val="en_US" w:bidi="en_US"/>
        </w:rPr>
        <w:t>In that scripture</w:t>
      </w:r>
      <w:r>
        <w:rPr>
          <w:lang w:val="en_US" w:bidi="en_US"/>
        </w:rPr>
        <w:t xml:space="preserve"> he wrote that the Lord </w:t>
      </w:r>
      <w:r>
        <w:rPr>
          <w:lang w:val="en_US" w:bidi="en_US"/>
        </w:rPr>
        <w:t>called himself</w:t>
      </w:r>
    </w:p>
    <w:p>
      <w:pPr>
        <w:pStyle w:val="Heading5"/>
      </w:pPr>
      <w:r>
        <w:rPr>
          <w:lang w:val="en_US" w:bidi="en_US"/>
        </w:rPr>
        <w:t>20:37c</w:t>
      </w:r>
    </w:p>
    <w:p>
      <w:pPr/>
      <w:r>
        <w:rPr>
          <w:lang w:val="en_US" w:bidi="en_US"/>
        </w:rPr>
      </w:r>
      <w:r>
        <w:rPr>
          <w:b/>
          <w:lang w:val="en_US" w:bidi="en_US"/>
        </w:rPr>
        <w:t>‘the God of Abraham, the God of Isaac, and the God of Jacob.’</w:t>
      </w:r>
    </w:p>
    <w:p>
      <w:pPr>
        <w:pStyle w:val="ListBullet"/>
        <w:spacing w:line="240" w:lineRule="auto"/>
        <w:ind w:left="720"/>
      </w:pPr>
      <w:r>
        <w:rPr>
          <w:lang w:val="en_US" w:bidi="en_US"/>
        </w:rPr>
      </w:r>
      <w:r>
        <w:rPr>
          <w:lang w:val="en_US" w:bidi="en_US"/>
        </w:rPr>
        <w:t>‘the God of Abraham, and the God of Isaac, and the God of Jacob.’</w:t>
      </w:r>
    </w:p>
    <w:p>
      <w:pPr>
        <w:pStyle w:val="ListBullet"/>
        <w:spacing w:line="240" w:lineRule="auto"/>
        <w:ind w:left="720"/>
      </w:pPr>
      <w:r>
        <w:rPr>
          <w:lang w:val="en_US" w:bidi="en_US"/>
        </w:rPr>
      </w:r>
      <w:r>
        <w:rPr>
          <w:lang w:val="en_US" w:bidi="en_US"/>
        </w:rPr>
        <w:t xml:space="preserve">the God </w:t>
      </w:r>
      <w:r>
        <w:rPr>
          <w:lang w:val="en_US" w:bidi="en_US"/>
        </w:rPr>
        <w:t>of our</w:t>
      </w:r>
      <w:r>
        <w:rPr>
          <w:vertAlign w:val="superscript"/>
          <w:lang w:val="en_US" w:bidi="en_US"/>
        </w:rPr>
        <w:t>(incl)</w:t>
      </w:r>
      <w:r>
        <w:rPr>
          <w:lang w:val="en_US" w:bidi="en_US"/>
        </w:rPr>
        <w:t xml:space="preserve"> </w:t>
      </w:r>
      <w:r>
        <w:rPr>
          <w:lang w:val="en_US" w:bidi="en_US"/>
        </w:rPr>
        <w:t>ancestors</w:t>
      </w:r>
      <w:r>
        <w:rPr>
          <w:lang w:val="en_US" w:bidi="en_US"/>
        </w:rPr>
        <w:t xml:space="preserve"> Abraham and Isaac and Jacob.</w:t>
      </w:r>
    </w:p>
    <w:p>
      <w:pPr>
        <w:pStyle w:val="Heading5"/>
      </w:pPr>
      <w:r>
        <w:rPr>
          <w:lang w:val="en_US" w:bidi="en_US"/>
        </w:rPr>
        <w:t>20:37b–c</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evidence or basis for what Jesus said in 20:37a. Other ways to introduce 20:37b are:</w:t>
      </w:r>
    </w:p>
    <w:p>
      <w:pPr/>
      <w:r>
        <w:rPr>
          <w:lang w:val="en_US" w:bidi="en_US"/>
        </w:rPr>
      </w:r>
      <w:r>
        <w:rPr>
          <w:lang w:val="en_US" w:bidi="en_US"/>
        </w:rPr>
        <w:t>where he calls (RSV)</w:t>
      </w:r>
    </w:p>
    <w:p>
      <w:pPr/>
      <w:r>
        <w:rPr>
          <w:lang w:val="en_US" w:bidi="en_US"/>
        </w:rPr>
      </w:r>
      <w:r>
        <w:rPr>
          <w:lang w:val="en_US" w:bidi="en_US"/>
        </w:rPr>
        <w:t>when he calls (REB)</w:t>
      </w:r>
    </w:p>
    <w:p>
      <w:pPr/>
      <w:r>
        <w:rPr>
          <w:lang w:val="en_US" w:bidi="en_US"/>
        </w:rPr>
      </w:r>
      <w:r>
        <w:rPr>
          <w:lang w:val="en_US" w:bidi="en_US"/>
        </w:rPr>
        <w:t>Other English versions begin a new sentence without a conjunction. They simply refer to Moses and say “He says” (GW) or “He said” (CEV). You should introduce 20:37b in a way that is natural in your language.</w:t>
      </w:r>
    </w:p>
    <w:p>
      <w:pPr/>
      <w:r>
        <w:rPr>
          <w:lang w:val="en_US" w:bidi="en_US"/>
        </w:rPr>
      </w:r>
      <w:r>
        <w:rPr>
          <w:b/>
          <w:lang w:val="en_US" w:bidi="en_US"/>
        </w:rPr>
        <w:t>he calls the Lord ‘the God of Abraham, the God of Isaac, and the God of Jacob’:</w:t>
      </w:r>
      <w:r>
        <w:rPr>
          <w:lang w:val="en_US" w:bidi="en_US"/>
        </w:rPr>
        <w:t xml:space="preserve"> Jesus referred here to what Moses wrote in Exodus 3:6. There Moses wrote what he heard the Lord say about himself. In some languages it may be necessary to make this explicit:</w:t>
      </w:r>
    </w:p>
    <w:p>
      <w:pPr/>
      <w:r>
        <w:rPr>
          <w:lang w:val="en_US" w:bidi="en_US"/>
        </w:rPr>
      </w:r>
      <w:r>
        <w:rPr>
          <w:lang w:val="en_US" w:bidi="en_US"/>
        </w:rPr>
        <w:t xml:space="preserve">Moses </w:t>
      </w:r>
      <w:r>
        <w:rPr>
          <w:lang w:val="en_US" w:bidi="en_US"/>
        </w:rPr>
        <w:t>writes</w:t>
      </w:r>
      <w:r>
        <w:rPr>
          <w:lang w:val="en_US" w:bidi="en_US"/>
        </w:rPr>
        <w:t xml:space="preserve"> that the Lord calls </w:t>
      </w:r>
      <w:r>
        <w:rPr>
          <w:lang w:val="en_US" w:bidi="en_US"/>
        </w:rPr>
        <w:t>himself</w:t>
      </w:r>
      <w:r>
        <w:rPr>
          <w:lang w:val="en_US" w:bidi="en_US"/>
        </w:rPr>
        <w:t xml:space="preserve"> the God of Abraham, and the God of Isaac, and the God of Jacob.</w:t>
      </w:r>
    </w:p>
    <w:p>
      <w:pPr/>
      <w:r>
        <w:rPr>
          <w:lang w:val="en_US" w:bidi="en_US"/>
        </w:rPr>
      </w:r>
      <w:r>
        <w:rPr>
          <w:lang w:val="en_US" w:bidi="en_US"/>
        </w:rPr>
        <w:t>This statement indicates that God still referred to himself as the God of Abraham, Isaac, and Jacob long after they had already died. He still called himself their God. Use an appropriate verb form in your language to indicate this. If you have translated the books of Exodus and Acts, consider how you translated this phrase in Exodus 3:6 and Acts 3:13.</w:t>
      </w:r>
    </w:p>
    <w:p>
      <w:pPr/>
      <w:r>
        <w:rPr>
          <w:lang w:val="en_US" w:bidi="en_US"/>
        </w:rPr>
      </w:r>
      <w:r>
        <w:rPr>
          <w:b/>
          <w:lang w:val="en_US" w:bidi="en_US"/>
        </w:rPr>
        <w:t>calls:</w:t>
      </w:r>
      <w:r>
        <w:rPr>
          <w:lang w:val="en_US" w:bidi="en_US"/>
        </w:rPr>
        <w:t xml:space="preserve"> The Greek verb that the BSB translates as </w:t>
      </w:r>
      <w:r>
        <w:rPr>
          <w:i/>
          <w:lang w:val="en_US" w:bidi="en_US"/>
        </w:rPr>
        <w:t>calls</w:t>
      </w:r>
      <w:r>
        <w:rPr>
          <w:lang w:val="en_US" w:bidi="en_US"/>
        </w:rPr>
        <w:t xml:space="preserve"> here is literally “says.” In Greek it is a natural verb to use to refer to what Moses wrote. Use a natural way in your language to refer to Moses’ written words. In some languages it may be more natural to use a form that refers to the past. Some other ways to translate it in English are:</w:t>
      </w:r>
    </w:p>
    <w:p>
      <w:pPr/>
      <w:r>
        <w:rPr>
          <w:lang w:val="en_US" w:bidi="en_US"/>
        </w:rPr>
      </w:r>
      <w:r>
        <w:rPr>
          <w:lang w:val="en_US" w:bidi="en_US"/>
        </w:rPr>
        <w:t>says that (GW)</w:t>
      </w:r>
    </w:p>
    <w:p>
      <w:pPr/>
      <w:r>
        <w:rPr>
          <w:lang w:val="en_US" w:bidi="en_US"/>
        </w:rPr>
      </w:r>
      <w:r>
        <w:rPr>
          <w:lang w:val="en_US" w:bidi="en_US"/>
        </w:rPr>
        <w:t>wrote</w:t>
      </w:r>
    </w:p>
    <w:p>
      <w:pPr/>
      <w:r>
        <w:rPr>
          <w:lang w:val="en_US" w:bidi="en_US"/>
        </w:rPr>
      </w:r>
      <w:r>
        <w:rPr>
          <w:lang w:val="en_US" w:bidi="en_US"/>
        </w:rPr>
        <w:t>speaks of (GNT)</w:t>
      </w:r>
    </w:p>
    <w:p>
      <w:pPr/>
      <w:r>
        <w:rPr>
          <w:lang w:val="en_US" w:bidi="en_US"/>
        </w:rPr>
      </w:r>
      <w:r>
        <w:rPr>
          <w:lang w:val="en_US" w:bidi="en_US"/>
        </w:rPr>
        <w:t>referred to (NLT)</w:t>
      </w:r>
    </w:p>
    <w:p>
      <w:pPr/>
      <w:r>
        <w:rPr>
          <w:lang w:val="en_US" w:bidi="en_US"/>
        </w:rPr>
      </w:r>
      <w:r>
        <w:rPr>
          <w:b/>
          <w:lang w:val="en_US" w:bidi="en_US"/>
        </w:rPr>
        <w:t>the Lord:</w:t>
      </w:r>
      <w:r>
        <w:rPr>
          <w:lang w:val="en_US" w:bidi="en_US"/>
        </w:rPr>
        <w:t xml:space="preserve"> The phrase </w:t>
      </w:r>
      <w:r>
        <w:rPr>
          <w:i/>
          <w:lang w:val="en_US" w:bidi="en_US"/>
        </w:rPr>
        <w:t>the Lord</w:t>
      </w:r>
      <w:r>
        <w:rPr>
          <w:lang w:val="en_US" w:bidi="en_US"/>
        </w:rPr>
        <w:t xml:space="preserve"> refers to God. See Lord, Context 2, in the Glossary.</w:t>
      </w:r>
    </w:p>
    <w:p>
      <w:pPr/>
      <w:r>
        <w:rPr>
          <w:lang w:val="en_US" w:bidi="en_US"/>
        </w:rPr>
      </w:r>
      <w:r>
        <w:rPr>
          <w:b/>
          <w:lang w:val="en_US" w:bidi="en_US"/>
        </w:rPr>
        <w:t>the God of Abraham, the God of Isaac, and the God of Jacob:</w:t>
      </w:r>
      <w:r>
        <w:rPr>
          <w:lang w:val="en_US" w:bidi="en_US"/>
        </w:rPr>
        <w:t xml:space="preserve"> The Lord is the God of Abraham, Isaac, and Jacob because he is the one who cares for them as their God. He is the God whom they worship and serve. God is faithful to them as his people.</w:t>
      </w:r>
    </w:p>
    <w:p>
      <w:pPr/>
      <w:r>
        <w:rPr>
          <w:lang w:val="en_US" w:bidi="en_US"/>
        </w:rPr>
      </w:r>
      <w:r>
        <w:rPr>
          <w:lang w:val="en_US" w:bidi="en_US"/>
        </w:rPr>
        <w:t>In some languages it may be necessary to make explicit in what sense the Lord was the God of Abraham, Isaac, and Jacob. For example:</w:t>
      </w:r>
    </w:p>
    <w:p>
      <w:pPr/>
      <w:r>
        <w:rPr>
          <w:lang w:val="en_US" w:bidi="en_US"/>
        </w:rPr>
      </w:r>
      <w:r>
        <w:rPr>
          <w:lang w:val="en_US" w:bidi="en_US"/>
        </w:rPr>
        <w:t xml:space="preserve">I am the God whom Abraham, Isaac, and Jacob </w:t>
      </w:r>
      <w:r>
        <w:rPr>
          <w:lang w:val="en_US" w:bidi="en_US"/>
        </w:rPr>
        <w:t>worship</w:t>
      </w:r>
      <w:r>
        <w:rPr>
          <w:lang w:val="en_US" w:bidi="en_US"/>
        </w:rPr>
        <w:t>.</w:t>
      </w:r>
    </w:p>
    <w:p>
      <w:pPr/>
      <w:r>
        <w:rPr>
          <w:lang w:val="en_US" w:bidi="en_US"/>
        </w:rPr>
      </w:r>
      <w:r>
        <w:rPr>
          <w:lang w:val="en_US" w:bidi="en_US"/>
        </w:rPr>
        <w:t xml:space="preserve">I am the God who </w:t>
      </w:r>
      <w:r>
        <w:rPr>
          <w:lang w:val="en_US" w:bidi="en_US"/>
        </w:rPr>
        <w:t>cares for</w:t>
      </w:r>
      <w:r>
        <w:rPr>
          <w:lang w:val="en_US" w:bidi="en_US"/>
        </w:rPr>
        <w:t xml:space="preserve"> Abraham, Isaac, and Jacob.</w:t>
      </w:r>
    </w:p>
    <w:p>
      <w:pPr/>
      <w:r>
        <w:rPr>
          <w:lang w:val="en_US" w:bidi="en_US"/>
        </w:rPr>
      </w:r>
      <w:r>
        <w:rPr>
          <w:lang w:val="en_US" w:bidi="en_US"/>
        </w:rPr>
        <w:t>The statement indicates that God was still caring for them as their God, and they were still worshiping him. Use an appropriate verb form in your translation.</w:t>
      </w:r>
    </w:p>
    <w:p>
      <w:pPr/>
      <w:r>
        <w:rPr>
          <w:lang w:val="en_US" w:bidi="en_US"/>
        </w:rPr>
      </w:r>
      <w:r>
        <w:rPr>
          <w:b/>
          <w:lang w:val="en_US" w:bidi="en_US"/>
        </w:rPr>
        <w:t>Abraham…Isaac…Jacob:</w:t>
      </w:r>
      <w:r>
        <w:rPr>
          <w:lang w:val="en_US" w:bidi="en_US"/>
        </w:rPr>
        <w:t xml:space="preserve"> Abraham, Isaac, and Jacob were great ancestors of the Jewish people who died long before Jesus was born. In some languages it may be helpful to make this explicit here. For example:</w:t>
      </w:r>
    </w:p>
    <w:p>
      <w:pPr/>
      <w:r>
        <w:rPr>
          <w:lang w:val="en_US" w:bidi="en_US"/>
        </w:rPr>
      </w:r>
      <w:r>
        <w:rPr>
          <w:lang w:val="en_US" w:bidi="en_US"/>
        </w:rPr>
        <w:t>our</w:t>
      </w:r>
      <w:r>
        <w:rPr>
          <w:vertAlign w:val="superscript"/>
          <w:lang w:val="en_US" w:bidi="en_US"/>
        </w:rPr>
        <w:t>(incl)</w:t>
      </w:r>
      <w:r>
        <w:rPr>
          <w:lang w:val="en_US" w:bidi="en_US"/>
        </w:rPr>
        <w:t xml:space="preserve"> ancestors Abraham, Isaac, and Jacob</w:t>
      </w:r>
      <w:r>
        <w:rPr>
          <w:lang w:val="en_US" w:bidi="en_US"/>
        </w:rPr>
      </w:r>
      <w:r>
        <w:rPr>
          <w:lang w:val="en_US" w:bidi="en_US"/>
        </w:rPr>
      </w:r>
    </w:p>
    <w:p>
      <w:pPr/>
      <w:r>
        <w:rPr>
          <w:lang w:val="en_US" w:bidi="en_US"/>
        </w:rPr>
      </w:r>
    </w:p>
    <w:p>
      <w:pPr>
        <w:pStyle w:val="Heading2"/>
      </w:pPr>
      <w:r>
        <w:rPr>
          <w:lang w:val="en_US" w:bidi="en_US"/>
        </w:rPr>
        <w:t>Luke 20:38</w:t>
      </w:r>
      <w:r>
        <w:rPr>
          <w:lang w:val="en_US" w:bidi="en_US"/>
        </w:rPr>
      </w:r>
    </w:p>
    <w:p>
      <w:pPr>
        <w:pStyle w:val="Heading4"/>
      </w:pPr>
      <w:r>
        <w:rPr>
          <w:lang w:val="en_US" w:bidi="en_US"/>
        </w:rPr>
        <w:t>Section 20:27–40: Sadducees asked Jesus a trick question about the resurrection</w:t>
      </w:r>
    </w:p>
    <w:p>
      <w:pPr/>
      <w:r>
        <w:rPr>
          <w:lang w:val="en_US" w:bidi="en_US"/>
        </w:rPr>
      </w:r>
      <w:r>
        <w:rPr>
          <w:lang w:val="en_US" w:bidi="en_US"/>
        </w:rP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pPr/>
      <w:r>
        <w:rPr>
          <w:lang w:val="en_US" w:bidi="en_US"/>
        </w:rPr>
      </w:r>
      <w:r>
        <w:rPr>
          <w:lang w:val="en_US" w:bidi="en_US"/>
        </w:rP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rPr>
          <w:lang w:val="en_US" w:bidi="en_US"/>
        </w:rPr>
        <w:t xml:space="preserve">This custom was called </w:t>
      </w:r>
      <w:r>
        <w:rPr>
          <w:u w:val="single"/>
          <w:lang w:val="en_US" w:bidi="en_US"/>
        </w:rPr>
        <w:t>levirate</w:t>
      </w:r>
      <w:r>
        <w:rPr>
          <w:lang w:val="en_US" w:bidi="en_US"/>
        </w:rP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Examples of headings for this section are:</w:t>
      </w:r>
    </w:p>
    <w:p>
      <w:pPr/>
      <w:r>
        <w:rPr>
          <w:lang w:val="en_US" w:bidi="en_US"/>
        </w:rPr>
      </w:r>
      <w:r>
        <w:rPr>
          <w:lang w:val="en_US" w:bidi="en_US"/>
        </w:rPr>
        <w:t>The Question about Rising from Death (GNT)</w:t>
      </w:r>
    </w:p>
    <w:p>
      <w:pPr/>
      <w:r>
        <w:rPr>
          <w:lang w:val="en_US" w:bidi="en_US"/>
        </w:rPr>
      </w:r>
      <w:r>
        <w:rPr>
          <w:lang w:val="en_US" w:bidi="en_US"/>
        </w:rPr>
        <w:t>Do the dead rise again?</w:t>
      </w:r>
    </w:p>
    <w:p>
      <w:pPr/>
      <w:r>
        <w:rPr>
          <w:lang w:val="en_US" w:bidi="en_US"/>
        </w:rPr>
      </w:r>
      <w:r>
        <w:rPr>
          <w:lang w:val="en_US" w:bidi="en_US"/>
        </w:rPr>
        <w:t>The Sadducees challenged Jesus on people rising from death</w:t>
      </w:r>
    </w:p>
    <w:p>
      <w:pPr/>
      <w:r>
        <w:rPr>
          <w:lang w:val="en_US" w:bidi="en_US"/>
        </w:rPr>
      </w:r>
      <w:r>
        <w:rPr>
          <w:lang w:val="en_US" w:bidi="en_US"/>
        </w:rPr>
        <w:t>Parallel passages for this section are found in Matthew 22:23–33 and Mark 12:18–27.</w:t>
      </w:r>
    </w:p>
    <w:p>
      <w:pPr>
        <w:pStyle w:val="Heading4"/>
      </w:pPr>
      <w:r>
        <w:rPr>
          <w:lang w:val="en_US" w:bidi="en_US"/>
        </w:rPr>
        <w:t>Paragraph 20:34–38</w:t>
      </w:r>
    </w:p>
    <w:p>
      <w:pPr/>
      <w:r>
        <w:rPr>
          <w:lang w:val="en_US" w:bidi="en_US"/>
        </w:rPr>
      </w:r>
      <w:r>
        <w:rPr>
          <w:lang w:val="en_US" w:bidi="en_US"/>
        </w:rPr>
        <w:t>In this paragraph Jesus gave the Sadducees an answer that had two parts:</w:t>
      </w:r>
    </w:p>
    <w:p>
      <w:pPr>
        <w:pStyle w:val="ListNumber"/>
        <w:numPr>
          <w:ilvl w:val="0"/>
          <w:numId w:val="337"/>
        </w:numPr>
        <w:spacing w:line="240" w:lineRule="auto"/>
        <w:ind w:left="720"/>
      </w:pPr>
      <w:r>
        <w:rPr>
          <w:lang w:val="en_US" w:bidi="en_US"/>
        </w:rPr>
      </w:r>
      <w:r>
        <w:rPr>
          <w:lang w:val="en_US" w:bidi="en_US"/>
        </w:rPr>
        <w:t>In 20:34–36, he explained that when people die and live again, they will have a new kind of life. They will not marry, just as angels do not marry. (See the notes on 20:36a–b.)</w:t>
      </w:r>
    </w:p>
    <w:p>
      <w:pPr>
        <w:pStyle w:val="ListNumber"/>
        <w:spacing w:line="240" w:lineRule="auto"/>
        <w:ind w:left="720"/>
      </w:pPr>
      <w:r>
        <w:rPr>
          <w:lang w:val="en_US" w:bidi="en_US"/>
        </w:rPr>
      </w:r>
      <w:r>
        <w:rPr>
          <w:lang w:val="en_US" w:bidi="en_US"/>
        </w:rPr>
        <w:t>In 20:37–38, he reminded them what God said in one of the books of Moses. God indicated that the great ancestors of the Jewish people were still alive with him. This showed that God does cause people to live again after they die.</w:t>
      </w:r>
    </w:p>
    <w:p>
      <w:pPr>
        <w:pStyle w:val="Heading5"/>
      </w:pPr>
      <w:r>
        <w:rPr>
          <w:lang w:val="en_US" w:bidi="en_US"/>
        </w:rPr>
        <w:t>20:38a</w:t>
      </w:r>
    </w:p>
    <w:p>
      <w:pPr/>
      <w:r>
        <w:rPr>
          <w:lang w:val="en_US" w:bidi="en_US"/>
        </w:rPr>
      </w:r>
      <w:r>
        <w:rPr>
          <w:b/>
          <w:lang w:val="en_US" w:bidi="en_US"/>
        </w:rPr>
        <w:t>He is not the God of the dead, but of the living,</w:t>
      </w:r>
    </w:p>
    <w:p>
      <w:pPr>
        <w:pStyle w:val="ListBullet"/>
        <w:spacing w:line="240" w:lineRule="auto"/>
        <w:ind w:left="720"/>
      </w:pPr>
      <w:r>
        <w:rPr>
          <w:lang w:val="en_US" w:bidi="en_US"/>
        </w:rPr>
      </w:r>
      <w:r>
        <w:rPr>
          <w:lang w:val="en_US" w:bidi="en_US"/>
        </w:rPr>
        <w:t xml:space="preserve">God is not the God of dead </w:t>
      </w:r>
      <w:r>
        <w:rPr>
          <w:lang w:val="en_US" w:bidi="en_US"/>
        </w:rPr>
        <w:t>people</w:t>
      </w:r>
      <w:r>
        <w:rPr>
          <w:lang w:val="en_US" w:bidi="en_US"/>
        </w:rPr>
        <w:t xml:space="preserve">, but of living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He </w:t>
      </w:r>
      <w:r>
        <w:rPr>
          <w:lang w:val="en_US" w:bidi="en_US"/>
        </w:rPr>
        <w:t>calls</w:t>
      </w:r>
      <w:r>
        <w:rPr>
          <w:lang w:val="en_US" w:bidi="en_US"/>
        </w:rPr>
        <w:t xml:space="preserve"> himself the God who </w:t>
      </w:r>
      <w:r>
        <w:rPr>
          <w:lang w:val="en_US" w:bidi="en_US"/>
        </w:rPr>
        <w:t>cares for</w:t>
      </w:r>
      <w:r>
        <w:rPr>
          <w:lang w:val="en_US" w:bidi="en_US"/>
        </w:rPr>
        <w:t xml:space="preserve"> living people; </w:t>
      </w:r>
      <w:r>
        <w:rPr>
          <w:lang w:val="en_US" w:bidi="en_US"/>
        </w:rPr>
        <w:t>he does</w:t>
      </w:r>
      <w:r>
        <w:rPr>
          <w:lang w:val="en_US" w:bidi="en_US"/>
        </w:rPr>
        <w:t xml:space="preserve"> not </w:t>
      </w:r>
      <w:r>
        <w:rPr>
          <w:lang w:val="en_US" w:bidi="en_US"/>
        </w:rPr>
        <w:t>call</w:t>
      </w:r>
      <w:r>
        <w:rPr>
          <w:lang w:val="en_US" w:bidi="en_US"/>
        </w:rPr>
        <w:t xml:space="preserve"> himself the God who </w:t>
      </w:r>
      <w:r>
        <w:rPr>
          <w:lang w:val="en_US" w:bidi="en_US"/>
        </w:rPr>
        <w:t>cares for</w:t>
      </w:r>
      <w:r>
        <w:rPr>
          <w:lang w:val="en_US" w:bidi="en_US"/>
        </w:rPr>
        <w:t xml:space="preserve"> dead bodies.</w:t>
      </w:r>
    </w:p>
    <w:p>
      <w:pPr>
        <w:pStyle w:val="ListBullet"/>
        <w:spacing w:line="240" w:lineRule="auto"/>
        <w:ind w:left="720"/>
      </w:pPr>
      <w:r>
        <w:rPr>
          <w:lang w:val="en_US" w:bidi="en_US"/>
        </w:rPr>
      </w:r>
      <w:r>
        <w:rPr>
          <w:lang w:val="en_US" w:bidi="en_US"/>
        </w:rPr>
        <w:t xml:space="preserve">God says that </w:t>
      </w:r>
      <w:r>
        <w:rPr>
          <w:lang w:val="en_US" w:bidi="en_US"/>
        </w:rPr>
        <w:t>these</w:t>
      </w:r>
      <w:r>
        <w:rPr>
          <w:lang w:val="en_US" w:bidi="en_US"/>
        </w:rPr>
        <w:t xml:space="preserve"> people who have died </w:t>
      </w:r>
      <w:r>
        <w:rPr>
          <w:lang w:val="en_US" w:bidi="en_US"/>
        </w:rPr>
        <w:t>worship</w:t>
      </w:r>
      <w:r>
        <w:rPr>
          <w:lang w:val="en_US" w:bidi="en_US"/>
        </w:rPr>
        <w:t xml:space="preserve"> him as their God, so they </w:t>
      </w:r>
      <w:r>
        <w:rPr>
          <w:lang w:val="en_US" w:bidi="en_US"/>
        </w:rPr>
        <w:t>must still</w:t>
      </w:r>
      <w:r>
        <w:rPr>
          <w:lang w:val="en_US" w:bidi="en_US"/>
        </w:rPr>
        <w:t xml:space="preserve"> be alive.</w:t>
      </w:r>
    </w:p>
    <w:p>
      <w:pPr/>
      <w:r>
        <w:rPr>
          <w:lang w:val="en_US" w:bidi="en_US"/>
        </w:rPr>
      </w:r>
      <w:r>
        <w:rPr>
          <w:b/>
          <w:lang w:val="en_US" w:bidi="en_US"/>
        </w:rPr>
        <w:t>He is not the God of the dead, but of the living:</w:t>
      </w:r>
      <w:r>
        <w:rPr>
          <w:lang w:val="en_US" w:bidi="en_US"/>
        </w:rPr>
        <w:t xml:space="preserve"> This statement is what Jesus concluded from Exodus 3:6. At the time when Moses was writing, Abraham, Isaac, and Jacob had all been dead for hundreds of years. However, only living people can know God and worship him. Moses called the Lord their God, and that implied that they were still alive with God.</w:t>
      </w:r>
      <w:r>
        <w:rPr>
          <w:lang w:val="en_US" w:bidi="en_US"/>
        </w:rPr>
        <w:t>This implies that our spirits also continue to live even after our bodies die.</w:t>
      </w:r>
    </w:p>
    <w:p>
      <w:pPr/>
      <w:r>
        <w:rPr>
          <w:lang w:val="en_US" w:bidi="en_US"/>
        </w:rPr>
      </w:r>
      <w:r>
        <w:rPr>
          <w:lang w:val="en_US" w:bidi="en_US"/>
        </w:rPr>
        <w:t xml:space="preserve">In some languages it may be confusing to translate the clause </w:t>
      </w:r>
      <w:r>
        <w:rPr>
          <w:i/>
          <w:lang w:val="en_US" w:bidi="en_US"/>
        </w:rPr>
        <w:t>He is not the God of the dead</w:t>
      </w:r>
      <w:r>
        <w:rPr>
          <w:lang w:val="en_US" w:bidi="en_US"/>
        </w:rPr>
        <w:t xml:space="preserve"> in a literal way. It may wrongly imply that God no longer cares for people who have died. God does care for people who worshiped him and who have died. They are still alive with him. Another way to translate this is:</w:t>
      </w:r>
    </w:p>
    <w:p>
      <w:pPr/>
      <w:r>
        <w:rPr>
          <w:lang w:val="en_US" w:bidi="en_US"/>
        </w:rPr>
      </w:r>
      <w:r>
        <w:rPr>
          <w:lang w:val="en_US" w:bidi="en_US"/>
        </w:rPr>
        <w:t>He is not the God of people who no longer exist. He is the God of people who still exist.</w:t>
      </w:r>
    </w:p>
    <w:p>
      <w:pPr/>
      <w:r>
        <w:rPr>
          <w:lang w:val="en_US" w:bidi="en_US"/>
        </w:rPr>
      </w:r>
      <w:r>
        <w:rPr>
          <w:b/>
          <w:lang w:val="en_US" w:bidi="en_US"/>
        </w:rPr>
        <w:t>not the God of the dead:</w:t>
      </w:r>
      <w:r>
        <w:rPr>
          <w:lang w:val="en_US" w:bidi="en_US"/>
        </w:rPr>
        <w:t xml:space="preserve"> The Greek word that the BSB translates as </w:t>
      </w:r>
      <w:r>
        <w:rPr>
          <w:i/>
          <w:lang w:val="en_US" w:bidi="en_US"/>
        </w:rPr>
        <w:t>the dead</w:t>
      </w:r>
      <w:r>
        <w:rPr>
          <w:lang w:val="en_US" w:bidi="en_US"/>
        </w:rPr>
        <w:t xml:space="preserve"> here refers to dead bodies. It does not refer to the spirits of people who die. God continues to care for his people who have died. His people who die are not just corpses. They continue to live in God’s presence. Some ways to translate this are:</w:t>
      </w:r>
    </w:p>
    <w:p>
      <w:pPr/>
      <w:r>
        <w:rPr>
          <w:lang w:val="en_US" w:bidi="en_US"/>
        </w:rPr>
      </w:r>
      <w:r>
        <w:rPr>
          <w:lang w:val="en_US" w:bidi="en_US"/>
        </w:rPr>
        <w:t>He is not the God of people who are dead.</w:t>
      </w:r>
    </w:p>
    <w:p>
      <w:pPr/>
      <w:r>
        <w:rPr>
          <w:lang w:val="en_US" w:bidi="en_US"/>
        </w:rPr>
      </w:r>
      <w:r>
        <w:rPr>
          <w:lang w:val="en_US" w:bidi="en_US"/>
        </w:rPr>
        <w:t xml:space="preserve">He does not </w:t>
      </w:r>
      <w:r>
        <w:rPr>
          <w:lang w:val="en_US" w:bidi="en_US"/>
        </w:rPr>
        <w:t>say to</w:t>
      </w:r>
      <w:r>
        <w:rPr>
          <w:lang w:val="en_US" w:bidi="en_US"/>
        </w:rPr>
        <w:t xml:space="preserve"> dead bodies, “I am your God.”</w:t>
      </w:r>
    </w:p>
    <w:p>
      <w:pPr/>
      <w:r>
        <w:rPr>
          <w:lang w:val="en_US" w:bidi="en_US"/>
        </w:rPr>
      </w:r>
      <w:r>
        <w:rPr>
          <w:lang w:val="en_US" w:bidi="en_US"/>
        </w:rPr>
        <w:t>This statement does not imply that Abraham, Isaac, and Jacob did not die. They died, but their spirits continued to live with God. The statement also does not imply that God is only the God of people who have not yet died physically. One way to make that clear in English is:</w:t>
      </w:r>
    </w:p>
    <w:p>
      <w:pPr/>
      <w:r>
        <w:rPr>
          <w:lang w:val="en_US" w:bidi="en_US"/>
        </w:rPr>
      </w:r>
      <w:r>
        <w:rPr>
          <w:lang w:val="en_US" w:bidi="en_US"/>
        </w:rPr>
        <w:t>He is not the God of people who remain/stay dead.</w:t>
      </w:r>
    </w:p>
    <w:p>
      <w:pPr/>
      <w:r>
        <w:rPr>
          <w:lang w:val="en_US" w:bidi="en_US"/>
        </w:rPr>
      </w:r>
      <w:r>
        <w:rPr>
          <w:lang w:val="en_US" w:bidi="en_US"/>
        </w:rPr>
        <w:t>You may also want to explain more about the meaning in a footnote.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indicates here that there is a contrast between being God of dead people and God of living people. Use a natural way in your language to show this contrast. For example:</w:t>
      </w:r>
    </w:p>
    <w:p>
      <w:pPr/>
      <w:r>
        <w:rPr>
          <w:lang w:val="en_US" w:bidi="en_US"/>
        </w:rPr>
      </w:r>
      <w:r>
        <w:rPr>
          <w:lang w:val="en_US" w:bidi="en_US"/>
        </w:rPr>
        <w:t>He is not the God of dead people. Rather, he is the God of living people.</w:t>
      </w:r>
    </w:p>
    <w:p>
      <w:pPr/>
      <w:r>
        <w:rPr>
          <w:lang w:val="en_US" w:bidi="en_US"/>
        </w:rPr>
      </w:r>
      <w:r>
        <w:rPr>
          <w:lang w:val="en_US" w:bidi="en_US"/>
        </w:rPr>
        <w:t xml:space="preserve">He is not the God of people who die and no longer exist. Instead, he is the God of people who are alive </w:t>
      </w:r>
      <w:r>
        <w:rPr>
          <w:lang w:val="en_US" w:bidi="en_US"/>
        </w:rPr>
        <w:t>with him</w:t>
      </w:r>
      <w:r>
        <w:rPr>
          <w:lang w:val="en_US" w:bidi="en_US"/>
        </w:rPr>
        <w:t>.</w:t>
      </w:r>
    </w:p>
    <w:p>
      <w:pPr/>
      <w:r>
        <w:rPr>
          <w:lang w:val="en_US" w:bidi="en_US"/>
        </w:rPr>
      </w:r>
      <w:r>
        <w:rPr>
          <w:b/>
          <w:lang w:val="en_US" w:bidi="en_US"/>
        </w:rPr>
        <w:t>of the living:</w:t>
      </w:r>
      <w:r>
        <w:rPr>
          <w:lang w:val="en_US" w:bidi="en_US"/>
        </w:rPr>
        <w:t xml:space="preserve"> The Greek word that the BSB translates as </w:t>
      </w:r>
      <w:r>
        <w:rPr>
          <w:i/>
          <w:lang w:val="en_US" w:bidi="en_US"/>
        </w:rPr>
        <w:t>living</w:t>
      </w:r>
      <w:r>
        <w:rPr>
          <w:lang w:val="en_US" w:bidi="en_US"/>
        </w:rPr>
        <w:t xml:space="preserve"> is plural. It refers to living people. In some languages it may also be helpful to supply the implied subject and verb here and say:</w:t>
      </w:r>
    </w:p>
    <w:p>
      <w:pPr/>
      <w:r>
        <w:rPr>
          <w:lang w:val="en_US" w:bidi="en_US"/>
        </w:rPr>
      </w:r>
      <w:r>
        <w:rPr>
          <w:lang w:val="en_US" w:bidi="en_US"/>
        </w:rPr>
        <w:t>he is the God</w:t>
      </w:r>
      <w:r>
        <w:rPr>
          <w:lang w:val="en_US" w:bidi="en_US"/>
        </w:rPr>
        <w:t xml:space="preserve"> of living </w:t>
      </w:r>
      <w:r>
        <w:rPr>
          <w:lang w:val="en_US" w:bidi="en_US"/>
        </w:rPr>
        <w:t>people</w:t>
      </w:r>
    </w:p>
    <w:p>
      <w:pPr>
        <w:pStyle w:val="Heading5"/>
      </w:pPr>
      <w:r>
        <w:rPr>
          <w:lang w:val="en_US" w:bidi="en_US"/>
        </w:rPr>
        <w:t>20:38b</w:t>
      </w:r>
    </w:p>
    <w:p>
      <w:pPr/>
      <w:r>
        <w:rPr>
          <w:lang w:val="en_US" w:bidi="en_US"/>
        </w:rPr>
      </w:r>
      <w:r>
        <w:rPr>
          <w:b/>
          <w:lang w:val="en_US" w:bidi="en_US"/>
        </w:rPr>
        <w:t>for to Him all are alive.”</w:t>
      </w:r>
    </w:p>
    <w:p>
      <w:pPr>
        <w:pStyle w:val="ListBullet"/>
        <w:spacing w:line="240" w:lineRule="auto"/>
        <w:ind w:left="720"/>
      </w:pPr>
      <w:r>
        <w:rPr>
          <w:lang w:val="en_US" w:bidi="en_US"/>
        </w:rPr>
      </w:r>
      <w:r>
        <w:rPr>
          <w:lang w:val="en_US" w:bidi="en_US"/>
        </w:rPr>
        <w:t xml:space="preserve">for he sees/considers all </w:t>
      </w:r>
      <w:r>
        <w:rPr>
          <w:lang w:val="en_US" w:bidi="en_US"/>
        </w:rPr>
        <w:t>his children</w:t>
      </w:r>
      <w:r>
        <w:rPr>
          <w:lang w:val="en_US" w:bidi="en_US"/>
        </w:rPr>
        <w:t xml:space="preserve"> as alive/living.”</w:t>
      </w:r>
    </w:p>
    <w:p>
      <w:pPr>
        <w:pStyle w:val="ListBullet"/>
        <w:spacing w:line="240" w:lineRule="auto"/>
        <w:ind w:left="720"/>
      </w:pPr>
      <w:r>
        <w:rPr>
          <w:lang w:val="en_US" w:bidi="en_US"/>
        </w:rPr>
      </w:r>
      <w:r>
        <w:rPr>
          <w:lang w:val="en_US" w:bidi="en_US"/>
        </w:rPr>
        <w:t xml:space="preserve">As far as God is concerned, all </w:t>
      </w:r>
      <w:r>
        <w:rPr>
          <w:lang w:val="en_US" w:bidi="en_US"/>
        </w:rPr>
        <w:t>his people</w:t>
      </w:r>
      <w:r>
        <w:rPr>
          <w:lang w:val="en_US" w:bidi="en_US"/>
        </w:rPr>
        <w:t xml:space="preserve"> are </w:t>
      </w:r>
      <w:r>
        <w:rPr>
          <w:lang w:val="en_US" w:bidi="en_US"/>
        </w:rPr>
        <w:t>still</w:t>
      </w:r>
      <w:r>
        <w:rPr>
          <w:lang w:val="en_US" w:bidi="en_US"/>
        </w:rPr>
        <w:t xml:space="preserve"> living.”</w:t>
      </w:r>
    </w:p>
    <w:p>
      <w:pPr>
        <w:pStyle w:val="ListBullet"/>
        <w:spacing w:line="240" w:lineRule="auto"/>
        <w:ind w:left="720"/>
      </w:pPr>
      <w:r>
        <w:rPr>
          <w:lang w:val="en_US" w:bidi="en_US"/>
        </w:rPr>
      </w:r>
      <w:r>
        <w:rPr>
          <w:lang w:val="en_US" w:bidi="en_US"/>
        </w:rPr>
        <w:t xml:space="preserve">To God, all </w:t>
      </w:r>
      <w:r>
        <w:rPr>
          <w:lang w:val="en_US" w:bidi="en_US"/>
        </w:rPr>
        <w:t>his</w:t>
      </w:r>
      <w:r>
        <w:rPr>
          <w:lang w:val="en_US" w:bidi="en_US"/>
        </w:rPr>
        <w:t xml:space="preserve"> people are </w:t>
      </w:r>
      <w:r>
        <w:rPr>
          <w:lang w:val="en_US" w:bidi="en_US"/>
        </w:rPr>
        <w:t>still</w:t>
      </w:r>
      <w:r>
        <w:rPr>
          <w:lang w:val="en_US" w:bidi="en_US"/>
        </w:rPr>
        <w:t xml:space="preserve"> alive.”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an explanation of 20:38a. God is the God of living people, because to him, everyone who ever trusted him at any time is still alive. Introduce the explanation in a natural way in your language.</w:t>
      </w:r>
    </w:p>
    <w:p>
      <w:pPr/>
      <w:r>
        <w:rPr>
          <w:lang w:val="en_US" w:bidi="en_US"/>
        </w:rPr>
      </w:r>
      <w:r>
        <w:rPr>
          <w:b/>
          <w:lang w:val="en_US" w:bidi="en_US"/>
        </w:rPr>
        <w:t>to Him all are alive:</w:t>
      </w:r>
      <w:r>
        <w:rPr>
          <w:lang w:val="en_US" w:bidi="en_US"/>
        </w:rPr>
        <w:t xml:space="preserve"> The phrase </w:t>
      </w:r>
      <w:r>
        <w:rPr>
          <w:i/>
          <w:lang w:val="en_US" w:bidi="en_US"/>
        </w:rPr>
        <w:t>to Him</w:t>
      </w:r>
      <w:r>
        <w:rPr>
          <w:lang w:val="en_US" w:bidi="en_US"/>
        </w:rPr>
        <w:t xml:space="preserve"> here means “from God’s perspective” or “as He considers/sees.” To human beings, it may seem that people who have died are still dead. But to God, the people whose bodies have died are still alive. He cares for all of them.</w:t>
      </w:r>
    </w:p>
    <w:p>
      <w:pPr/>
      <w:r>
        <w:rPr>
          <w:lang w:val="en_US" w:bidi="en_US"/>
        </w:rPr>
      </w:r>
      <w:r>
        <w:rPr>
          <w:b/>
          <w:lang w:val="en_US" w:bidi="en_US"/>
        </w:rPr>
        <w:t>all:</w:t>
      </w:r>
      <w:r>
        <w:rPr>
          <w:lang w:val="en_US" w:bidi="en_US"/>
        </w:rPr>
        <w:t xml:space="preserve"> There are two ways to interpret the Greek word that the BSB translates as </w:t>
      </w:r>
      <w:r>
        <w:rPr>
          <w:i/>
          <w:lang w:val="en_US" w:bidi="en_US"/>
        </w:rPr>
        <w:t>all</w:t>
      </w:r>
      <w:r>
        <w:rPr>
          <w:lang w:val="en_US" w:bidi="en_US"/>
        </w:rPr>
        <w:t>:</w:t>
      </w:r>
    </w:p>
    <w:p>
      <w:pPr>
        <w:pStyle w:val="ListNumber"/>
        <w:numPr>
          <w:ilvl w:val="0"/>
          <w:numId w:val="338"/>
        </w:numPr>
        <w:spacing w:line="240" w:lineRule="auto"/>
        <w:ind w:left="720"/>
      </w:pPr>
      <w:r>
        <w:rPr>
          <w:lang w:val="en_US" w:bidi="en_US"/>
        </w:rPr>
      </w:r>
      <w:r>
        <w:rPr>
          <w:lang w:val="en_US" w:bidi="en_US"/>
        </w:rPr>
        <w:t>It refers back to “those who are considered worthy of taking part in that age” in 20:35–36, including Abraham, Isaac, and Jacob. For example:</w:t>
      </w:r>
      <w:r>
        <w:rPr>
          <w:lang w:val="en_US" w:bidi="en_US"/>
        </w:rPr>
        <w:t xml:space="preserve">to him all </w:t>
      </w:r>
      <w:r>
        <w:rPr>
          <w:u w:val="single"/>
          <w:lang w:val="en_US" w:bidi="en_US"/>
        </w:rPr>
        <w:t>of them</w:t>
      </w:r>
      <w:r>
        <w:rPr>
          <w:lang w:val="en_US" w:bidi="en_US"/>
        </w:rPr>
        <w:t xml:space="preserve"> are alive (NRSV) </w:t>
      </w:r>
      <w:r>
        <w:rPr>
          <w:i/>
          <w:lang w:val="en_US" w:bidi="en_US"/>
        </w:rPr>
        <w:t>(NRSV)</w:t>
      </w:r>
    </w:p>
    <w:p>
      <w:pPr>
        <w:pStyle w:val="ListNumber"/>
        <w:spacing w:line="240" w:lineRule="auto"/>
        <w:ind w:left="720"/>
      </w:pPr>
      <w:r>
        <w:rPr>
          <w:lang w:val="en_US" w:bidi="en_US"/>
        </w:rPr>
      </w:r>
      <w:r>
        <w:rPr>
          <w:lang w:val="en_US" w:bidi="en_US"/>
        </w:rPr>
        <w:t>It refers to “all people.” For example:</w:t>
      </w:r>
      <w:r>
        <w:rPr>
          <w:lang w:val="en_US" w:bidi="en_US"/>
        </w:rPr>
        <w:t xml:space="preserve">In God’s sight </w:t>
      </w:r>
      <w:r>
        <w:rPr>
          <w:u w:val="single"/>
          <w:lang w:val="en_US" w:bidi="en_US"/>
        </w:rPr>
        <w:t>all people</w:t>
      </w:r>
      <w:r>
        <w:rPr>
          <w:lang w:val="en_US" w:bidi="en_US"/>
        </w:rPr>
        <w:t xml:space="preserve"> are living (CEV) </w:t>
      </w:r>
      <w:r>
        <w:rPr>
          <w:i/>
          <w:lang w:val="en_US" w:bidi="en_US"/>
        </w:rPr>
        <w:t>(CEV, NCV, NJB)</w:t>
      </w:r>
    </w:p>
    <w:p>
      <w:pPr/>
      <w:r>
        <w:rPr>
          <w:lang w:val="en_US" w:bidi="en_US"/>
        </w:rPr>
      </w:r>
      <w:r>
        <w:rPr>
          <w:lang w:val="en_US" w:bidi="en_US"/>
        </w:rPr>
        <w:t>Most English versions are ambiguous here. It is recommended that you follow interpretation (1). Jesus referred here to people who have a relationship with God, as Abraham, Isaac, and Jacob did.</w:t>
      </w:r>
      <w:r>
        <w:rPr>
          <w:lang w:val="en_US" w:bidi="en_US"/>
        </w:rPr>
        <w:t xml:space="preserve">See </w:t>
      </w:r>
      <w:r>
        <w:rPr>
          <w:i/>
          <w:lang w:val="en_US" w:bidi="en_US"/>
        </w:rPr>
        <w:t>Exegetical Summary of Luke 12–24</w:t>
      </w:r>
      <w:r>
        <w:rPr>
          <w:lang w:val="en_US" w:bidi="en_US"/>
        </w:rPr>
        <w:t>, p. 352.</w:t>
      </w:r>
      <w:r>
        <w:rPr>
          <w:lang w:val="en_US" w:bidi="en_US"/>
        </w:rPr>
        <w:t xml:space="preserve"> Some ways to translate it are:</w:t>
      </w:r>
    </w:p>
    <w:p>
      <w:pPr/>
      <w:r>
        <w:rPr>
          <w:lang w:val="en_US" w:bidi="en_US"/>
        </w:rPr>
      </w:r>
      <w:r>
        <w:rPr>
          <w:lang w:val="en_US" w:bidi="en_US"/>
        </w:rPr>
        <w:t xml:space="preserve">all </w:t>
      </w:r>
      <w:r>
        <w:rPr>
          <w:lang w:val="en_US" w:bidi="en_US"/>
        </w:rPr>
        <w:t>his children</w:t>
      </w:r>
    </w:p>
    <w:p>
      <w:pPr/>
      <w:r>
        <w:rPr>
          <w:lang w:val="en_US" w:bidi="en_US"/>
        </w:rPr>
      </w:r>
      <w:r>
        <w:rPr>
          <w:lang w:val="en_US" w:bidi="en_US"/>
        </w:rPr>
        <w:t xml:space="preserve">all </w:t>
      </w:r>
      <w:r>
        <w:rPr>
          <w:lang w:val="en_US" w:bidi="en_US"/>
        </w:rPr>
        <w:t>his people</w:t>
      </w:r>
    </w:p>
    <w:p>
      <w:pPr/>
      <w:r>
        <w:rPr>
          <w:lang w:val="en_US" w:bidi="en_US"/>
        </w:rPr>
      </w:r>
      <w:r>
        <w:rPr>
          <w:lang w:val="en_US" w:bidi="en_US"/>
        </w:rPr>
        <w:t xml:space="preserve">all </w:t>
      </w:r>
      <w:r>
        <w:rPr>
          <w:lang w:val="en_US" w:bidi="en_US"/>
        </w:rPr>
        <w:t>who belong to him</w:t>
      </w:r>
      <w:r>
        <w:rPr>
          <w:lang w:val="en_US" w:bidi="en_US"/>
        </w:rPr>
      </w:r>
      <w:r>
        <w:rPr>
          <w:lang w:val="en_US" w:bidi="en_US"/>
        </w:rPr>
      </w:r>
    </w:p>
    <w:p>
      <w:pPr/>
      <w:r>
        <w:rPr>
          <w:lang w:val="en_US" w:bidi="en_US"/>
        </w:rPr>
      </w:r>
    </w:p>
    <w:p>
      <w:pPr>
        <w:pStyle w:val="Heading2"/>
      </w:pPr>
      <w:r>
        <w:rPr>
          <w:lang w:val="en_US" w:bidi="en_US"/>
        </w:rPr>
        <w:t>Luke 20:39</w:t>
      </w:r>
      <w:r>
        <w:rPr>
          <w:lang w:val="en_US" w:bidi="en_US"/>
        </w:rPr>
      </w:r>
    </w:p>
    <w:p>
      <w:pPr>
        <w:pStyle w:val="Heading4"/>
      </w:pPr>
      <w:r>
        <w:rPr>
          <w:lang w:val="en_US" w:bidi="en_US"/>
        </w:rPr>
        <w:t>Section 20:27–40: Sadducees asked Jesus a trick question about the resurrection</w:t>
      </w:r>
    </w:p>
    <w:p>
      <w:pPr/>
      <w:r>
        <w:rPr>
          <w:lang w:val="en_US" w:bidi="en_US"/>
        </w:rPr>
      </w:r>
      <w:r>
        <w:rPr>
          <w:lang w:val="en_US" w:bidi="en_US"/>
        </w:rP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pPr/>
      <w:r>
        <w:rPr>
          <w:lang w:val="en_US" w:bidi="en_US"/>
        </w:rPr>
      </w:r>
      <w:r>
        <w:rPr>
          <w:lang w:val="en_US" w:bidi="en_US"/>
        </w:rP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rPr>
          <w:lang w:val="en_US" w:bidi="en_US"/>
        </w:rPr>
        <w:t xml:space="preserve">This custom was called </w:t>
      </w:r>
      <w:r>
        <w:rPr>
          <w:u w:val="single"/>
          <w:lang w:val="en_US" w:bidi="en_US"/>
        </w:rPr>
        <w:t>levirate</w:t>
      </w:r>
      <w:r>
        <w:rPr>
          <w:lang w:val="en_US" w:bidi="en_US"/>
        </w:rP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Examples of headings for this section are:</w:t>
      </w:r>
    </w:p>
    <w:p>
      <w:pPr/>
      <w:r>
        <w:rPr>
          <w:lang w:val="en_US" w:bidi="en_US"/>
        </w:rPr>
      </w:r>
      <w:r>
        <w:rPr>
          <w:lang w:val="en_US" w:bidi="en_US"/>
        </w:rPr>
        <w:t>The Question about Rising from Death (GNT)</w:t>
      </w:r>
    </w:p>
    <w:p>
      <w:pPr/>
      <w:r>
        <w:rPr>
          <w:lang w:val="en_US" w:bidi="en_US"/>
        </w:rPr>
      </w:r>
      <w:r>
        <w:rPr>
          <w:lang w:val="en_US" w:bidi="en_US"/>
        </w:rPr>
        <w:t>Do the dead rise again?</w:t>
      </w:r>
    </w:p>
    <w:p>
      <w:pPr/>
      <w:r>
        <w:rPr>
          <w:lang w:val="en_US" w:bidi="en_US"/>
        </w:rPr>
      </w:r>
      <w:r>
        <w:rPr>
          <w:lang w:val="en_US" w:bidi="en_US"/>
        </w:rPr>
        <w:t>The Sadducees challenged Jesus on people rising from death</w:t>
      </w:r>
    </w:p>
    <w:p>
      <w:pPr/>
      <w:r>
        <w:rPr>
          <w:lang w:val="en_US" w:bidi="en_US"/>
        </w:rPr>
      </w:r>
      <w:r>
        <w:rPr>
          <w:lang w:val="en_US" w:bidi="en_US"/>
        </w:rPr>
        <w:t>Parallel passages for this section are found in Matthew 22:23–33 and Mark 12:18–27.</w:t>
      </w:r>
    </w:p>
    <w:p>
      <w:pPr>
        <w:pStyle w:val="Heading5"/>
      </w:pPr>
      <w:r>
        <w:rPr>
          <w:lang w:val="en_US" w:bidi="en_US"/>
        </w:rPr>
        <w:t>20:39a</w:t>
      </w:r>
    </w:p>
    <w:p>
      <w:pPr/>
      <w:r>
        <w:rPr>
          <w:lang w:val="en_US" w:bidi="en_US"/>
        </w:rPr>
      </w:r>
      <w:r>
        <w:rPr>
          <w:b/>
          <w:lang w:val="en_US" w:bidi="en_US"/>
        </w:rPr>
        <w:t>Some of the scribes answered,</w:t>
      </w:r>
    </w:p>
    <w:p>
      <w:pPr>
        <w:pStyle w:val="ListBullet"/>
        <w:spacing w:line="240" w:lineRule="auto"/>
        <w:ind w:left="720"/>
      </w:pPr>
      <w:r>
        <w:rPr>
          <w:lang w:val="en_US" w:bidi="en_US"/>
        </w:rPr>
      </w:r>
      <w:r>
        <w:rPr>
          <w:lang w:val="en_US" w:bidi="en_US"/>
        </w:rPr>
        <w:t xml:space="preserve">¶ Some of the teachers of the law said </w:t>
      </w:r>
      <w:r>
        <w:rPr>
          <w:lang w:val="en_US" w:bidi="en_US"/>
        </w:rPr>
        <w:t>to Jesus</w:t>
      </w:r>
      <w:r>
        <w:rPr>
          <w:lang w:val="en_US" w:bidi="en_US"/>
        </w:rPr>
        <w:t>,</w:t>
      </w:r>
    </w:p>
    <w:p>
      <w:pPr>
        <w:pStyle w:val="ListBullet"/>
        <w:spacing w:line="240" w:lineRule="auto"/>
        <w:ind w:left="720"/>
      </w:pPr>
      <w:r>
        <w:rPr>
          <w:lang w:val="en_US" w:bidi="en_US"/>
        </w:rPr>
      </w:r>
      <w:r>
        <w:rPr>
          <w:lang w:val="en_US" w:bidi="en_US"/>
        </w:rPr>
        <w:t xml:space="preserve">¶ Then some of the experts in the law </w:t>
      </w:r>
      <w:r>
        <w:rPr>
          <w:lang w:val="en_US" w:bidi="en_US"/>
        </w:rPr>
        <w:t>who were there</w:t>
      </w:r>
      <w:r>
        <w:rPr>
          <w:lang w:val="en_US" w:bidi="en_US"/>
        </w:rPr>
        <w:t xml:space="preserve"> replied,</w:t>
      </w:r>
    </w:p>
    <w:p>
      <w:pPr/>
      <w:r>
        <w:rPr>
          <w:lang w:val="en_US" w:bidi="en_US"/>
        </w:rPr>
      </w:r>
      <w:r>
        <w:rPr>
          <w:b/>
          <w:lang w:val="en_US" w:bidi="en_US"/>
        </w:rPr>
        <w:t>Some of the scribes answered:</w:t>
      </w:r>
      <w:r>
        <w:rPr>
          <w:lang w:val="en_US" w:bidi="en_US"/>
        </w:rPr>
        <w:t xml:space="preserve"> This is the first time that </w:t>
      </w:r>
      <w:r>
        <w:rPr>
          <w:i/>
          <w:lang w:val="en_US" w:bidi="en_US"/>
        </w:rPr>
        <w:t>the scribes</w:t>
      </w:r>
      <w:r>
        <w:rPr>
          <w:lang w:val="en_US" w:bidi="en_US"/>
        </w:rPr>
        <w:t xml:space="preserve"> are mentioned in this section. In some languages a word like </w:t>
      </w:r>
      <w:r>
        <w:rPr>
          <w:i/>
          <w:lang w:val="en_US" w:bidi="en_US"/>
        </w:rPr>
        <w:t>answered</w:t>
      </w:r>
      <w:r>
        <w:rPr>
          <w:lang w:val="en_US" w:bidi="en_US"/>
        </w:rPr>
        <w:t xml:space="preserve"> may wrongly imply that the scribes asked the question in this section. However, it was the Sadducees who asked it. The Sadducees and the scribes were members of different groups who had different beliefs.</w:t>
      </w:r>
    </w:p>
    <w:p>
      <w:pPr/>
      <w:r>
        <w:rPr>
          <w:lang w:val="en_US" w:bidi="en_US"/>
        </w:rPr>
      </w:r>
      <w:r>
        <w:rPr>
          <w:lang w:val="en_US" w:bidi="en_US"/>
        </w:rPr>
        <w:t xml:space="preserve">Consider how to mention </w:t>
      </w:r>
      <w:r>
        <w:rPr>
          <w:i/>
          <w:lang w:val="en_US" w:bidi="en_US"/>
        </w:rPr>
        <w:t>the scribes</w:t>
      </w:r>
      <w:r>
        <w:rPr>
          <w:lang w:val="en_US" w:bidi="en_US"/>
        </w:rPr>
        <w:t xml:space="preserve"> in a natural way. You should not imply that the Sadducees and scribes were the same group of people. One way to introduce them here is:</w:t>
      </w:r>
    </w:p>
    <w:p>
      <w:pPr/>
      <w:r>
        <w:rPr>
          <w:lang w:val="en_US" w:bidi="en_US"/>
        </w:rPr>
      </w:r>
      <w:r>
        <w:rPr>
          <w:lang w:val="en_US" w:bidi="en_US"/>
        </w:rPr>
        <w:t xml:space="preserve">Some scribes </w:t>
      </w:r>
      <w:r>
        <w:rPr>
          <w:lang w:val="en_US" w:bidi="en_US"/>
        </w:rPr>
        <w:t>were there listening to Jesus’ answer.</w:t>
      </w:r>
      <w:r>
        <w:rPr>
          <w:lang w:val="en_US" w:bidi="en_US"/>
        </w:rPr>
        <w:t xml:space="preserve"> They said….</w:t>
      </w:r>
    </w:p>
    <w:p>
      <w:pPr/>
      <w:r>
        <w:rPr>
          <w:lang w:val="en_US" w:bidi="en_US"/>
        </w:rPr>
      </w:r>
      <w:r>
        <w:rPr>
          <w:b/>
          <w:lang w:val="en_US" w:bidi="en_US"/>
        </w:rPr>
        <w:t>scribes:</w:t>
      </w:r>
      <w:r>
        <w:rPr>
          <w:lang w:val="en_US" w:bidi="en_US"/>
        </w:rPr>
        <w:t xml:space="preserve"> These </w:t>
      </w:r>
      <w:r>
        <w:rPr>
          <w:i/>
          <w:lang w:val="en_US" w:bidi="en_US"/>
        </w:rPr>
        <w:t>scribes</w:t>
      </w:r>
      <w:r>
        <w:rPr>
          <w:lang w:val="en_US" w:bidi="en_US"/>
        </w:rPr>
        <w:t xml:space="preserve"> were probably Pharisees. Pharisees believed that God does cause people who have died to live again, and they often argued with the Sadducees about this. See the note at 19:47b–d and teacher of the law in the Glossary for more information.</w:t>
      </w:r>
    </w:p>
    <w:p>
      <w:pPr>
        <w:pStyle w:val="Heading5"/>
      </w:pPr>
      <w:r>
        <w:rPr>
          <w:lang w:val="en_US" w:bidi="en_US"/>
        </w:rPr>
        <w:t>20:39b</w:t>
      </w:r>
    </w:p>
    <w:p>
      <w:pPr/>
      <w:r>
        <w:rPr>
          <w:lang w:val="en_US" w:bidi="en_US"/>
        </w:rPr>
      </w:r>
      <w:r>
        <w:rPr>
          <w:b/>
          <w:lang w:val="en_US" w:bidi="en_US"/>
        </w:rPr>
        <w:t>“Teacher, You have spoken well!”</w:t>
      </w:r>
    </w:p>
    <w:p>
      <w:pPr>
        <w:pStyle w:val="ListBullet"/>
        <w:spacing w:line="240" w:lineRule="auto"/>
        <w:ind w:left="720"/>
      </w:pPr>
      <w:r>
        <w:rPr>
          <w:lang w:val="en_US" w:bidi="en_US"/>
        </w:rPr>
      </w:r>
      <w:r>
        <w:rPr>
          <w:lang w:val="en_US" w:bidi="en_US"/>
        </w:rPr>
        <w:t>“Teacher, you</w:t>
      </w:r>
      <w:r>
        <w:rPr>
          <w:vertAlign w:val="superscript"/>
          <w:lang w:val="en_US" w:bidi="en_US"/>
        </w:rPr>
        <w:t>(sing)</w:t>
      </w:r>
      <w:r>
        <w:rPr>
          <w:lang w:val="en_US" w:bidi="en_US"/>
        </w:rPr>
        <w:t xml:space="preserve"> have answered well.”</w:t>
      </w:r>
    </w:p>
    <w:p>
      <w:pPr>
        <w:pStyle w:val="ListBullet"/>
        <w:spacing w:line="240" w:lineRule="auto"/>
        <w:ind w:left="720"/>
      </w:pPr>
      <w:r>
        <w:rPr>
          <w:lang w:val="en_US" w:bidi="en_US"/>
        </w:rPr>
      </w:r>
      <w:r>
        <w:rPr>
          <w:lang w:val="en_US" w:bidi="en_US"/>
        </w:rPr>
        <w:t>“Teacher, your</w:t>
      </w:r>
      <w:r>
        <w:rPr>
          <w:vertAlign w:val="superscript"/>
          <w:lang w:val="en_US" w:bidi="en_US"/>
        </w:rPr>
        <w:t>(sing)</w:t>
      </w:r>
      <w:r>
        <w:rPr>
          <w:lang w:val="en_US" w:bidi="en_US"/>
        </w:rPr>
        <w:t xml:space="preserve"> answer is good.”</w:t>
      </w:r>
    </w:p>
    <w:p>
      <w:pPr/>
      <w:r>
        <w:rPr>
          <w:lang w:val="en_US" w:bidi="en_US"/>
        </w:rPr>
      </w:r>
      <w:r>
        <w:rPr>
          <w:b/>
          <w:lang w:val="en_US" w:bidi="en_US"/>
        </w:rPr>
        <w:t>Teacher, You have spoken well!:</w:t>
      </w:r>
      <w:r>
        <w:rPr>
          <w:lang w:val="en_US" w:bidi="en_US"/>
        </w:rPr>
        <w:t xml:space="preserve"> The scribes used the phrase </w:t>
      </w:r>
      <w:r>
        <w:rPr>
          <w:i/>
          <w:lang w:val="en_US" w:bidi="en_US"/>
        </w:rPr>
        <w:t>You have spoken well</w:t>
      </w:r>
      <w:r>
        <w:rPr>
          <w:lang w:val="en_US" w:bidi="en_US"/>
        </w:rPr>
        <w:t xml:space="preserve"> to show that they agreed with what Jesus said in 20:34–38. They were telling him that he had given a good answer to the Sadducees’ question. They were happy that he had shown the Sadducees to be wrong. Other ways to translate this are:</w:t>
      </w:r>
    </w:p>
    <w:p>
      <w:pPr/>
      <w:r>
        <w:rPr>
          <w:lang w:val="en_US" w:bidi="en_US"/>
        </w:rPr>
      </w:r>
      <w:r>
        <w:rPr>
          <w:lang w:val="en_US" w:bidi="en_US"/>
        </w:rPr>
        <w:t>Teacher, you have given a good answer! (CEV)</w:t>
      </w:r>
    </w:p>
    <w:p>
      <w:pPr/>
      <w:r>
        <w:rPr>
          <w:lang w:val="en_US" w:bidi="en_US"/>
        </w:rPr>
      </w:r>
      <w:r>
        <w:rPr>
          <w:lang w:val="en_US" w:bidi="en_US"/>
        </w:rPr>
        <w:t>Teacher, what you have said is really true/right.</w:t>
      </w:r>
    </w:p>
    <w:p>
      <w:pPr/>
      <w:r>
        <w:rPr>
          <w:lang w:val="en_US" w:bidi="en_US"/>
        </w:rPr>
      </w:r>
      <w:r>
        <w:rPr>
          <w:lang w:val="en_US" w:bidi="en_US"/>
        </w:rPr>
        <w:t xml:space="preserve">For help in translating </w:t>
      </w:r>
      <w:r>
        <w:rPr>
          <w:i/>
          <w:lang w:val="en_US" w:bidi="en_US"/>
        </w:rPr>
        <w:t>Teacher</w:t>
      </w:r>
      <w:r>
        <w:rPr>
          <w:lang w:val="en_US" w:bidi="en_US"/>
        </w:rPr>
        <w:t>, see the note on 20:21a.</w:t>
      </w:r>
      <w:r>
        <w:rPr>
          <w:lang w:val="en_US" w:bidi="en_US"/>
        </w:rPr>
      </w:r>
      <w:r>
        <w:rPr>
          <w:lang w:val="en_US" w:bidi="en_US"/>
        </w:rPr>
      </w:r>
    </w:p>
    <w:p>
      <w:pPr/>
      <w:r>
        <w:rPr>
          <w:lang w:val="en_US" w:bidi="en_US"/>
        </w:rPr>
      </w:r>
    </w:p>
    <w:p>
      <w:pPr>
        <w:pStyle w:val="Heading2"/>
      </w:pPr>
      <w:r>
        <w:rPr>
          <w:lang w:val="en_US" w:bidi="en_US"/>
        </w:rPr>
        <w:t>Luke 20:40</w:t>
      </w:r>
      <w:r>
        <w:rPr>
          <w:lang w:val="en_US" w:bidi="en_US"/>
        </w:rPr>
      </w:r>
    </w:p>
    <w:p>
      <w:pPr>
        <w:pStyle w:val="Heading4"/>
      </w:pPr>
      <w:r>
        <w:rPr>
          <w:lang w:val="en_US" w:bidi="en_US"/>
        </w:rPr>
        <w:t>Section 20:27–40: Sadducees asked Jesus a trick question about the resurrection</w:t>
      </w:r>
    </w:p>
    <w:p>
      <w:pPr/>
      <w:r>
        <w:rPr>
          <w:lang w:val="en_US" w:bidi="en_US"/>
        </w:rPr>
      </w:r>
      <w:r>
        <w:rPr>
          <w:lang w:val="en_US" w:bidi="en_US"/>
        </w:rPr>
        <w:t>The Jewish leaders continued to challenge Jesus’ authority and the things that he was teaching. In this section some Sadducees asked Jesus a question to try to show that his teaching was wrong. Like the Pharisees, the Sadducees were another group of Jewish leaders with certain religious beliefs. Many of the Sadducees were priests. They did not believe that God would cause anyone who had died to live again.</w:t>
      </w:r>
    </w:p>
    <w:p>
      <w:pPr/>
      <w:r>
        <w:rPr>
          <w:lang w:val="en_US" w:bidi="en_US"/>
        </w:rPr>
      </w:r>
      <w:r>
        <w:rPr>
          <w:lang w:val="en_US" w:bidi="en_US"/>
        </w:rPr>
        <w:t>Jesus taught that God does cause people who have died to live again. The Sadducees tried to use this belief to trick Jesus in 20:27–40.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custom that is described in Deuteronomy 25:5–6. This scripture teaches that if an Israelite woman did not have any children by her husband before he died, her husband’s brother should marry her. Their first child would have the name of his dead brother and would be the heir of the dead brother.</w:t>
      </w:r>
      <w:r>
        <w:rPr>
          <w:lang w:val="en_US" w:bidi="en_US"/>
        </w:rPr>
        <w:t xml:space="preserve">This custom was called </w:t>
      </w:r>
      <w:r>
        <w:rPr>
          <w:u w:val="single"/>
          <w:lang w:val="en_US" w:bidi="en_US"/>
        </w:rPr>
        <w:t>levirate</w:t>
      </w:r>
      <w:r>
        <w:rPr>
          <w:lang w:val="en_US" w:bidi="en_US"/>
        </w:rPr>
        <w:t xml:space="preserve"> marriage.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Examples of headings for this section are:</w:t>
      </w:r>
    </w:p>
    <w:p>
      <w:pPr/>
      <w:r>
        <w:rPr>
          <w:lang w:val="en_US" w:bidi="en_US"/>
        </w:rPr>
      </w:r>
      <w:r>
        <w:rPr>
          <w:lang w:val="en_US" w:bidi="en_US"/>
        </w:rPr>
        <w:t>The Question about Rising from Death (GNT)</w:t>
      </w:r>
    </w:p>
    <w:p>
      <w:pPr/>
      <w:r>
        <w:rPr>
          <w:lang w:val="en_US" w:bidi="en_US"/>
        </w:rPr>
      </w:r>
      <w:r>
        <w:rPr>
          <w:lang w:val="en_US" w:bidi="en_US"/>
        </w:rPr>
        <w:t>Do the dead rise again?</w:t>
      </w:r>
    </w:p>
    <w:p>
      <w:pPr/>
      <w:r>
        <w:rPr>
          <w:lang w:val="en_US" w:bidi="en_US"/>
        </w:rPr>
      </w:r>
      <w:r>
        <w:rPr>
          <w:lang w:val="en_US" w:bidi="en_US"/>
        </w:rPr>
        <w:t>The Sadducees challenged Jesus on people rising from death</w:t>
      </w:r>
    </w:p>
    <w:p>
      <w:pPr/>
      <w:r>
        <w:rPr>
          <w:lang w:val="en_US" w:bidi="en_US"/>
        </w:rPr>
      </w:r>
      <w:r>
        <w:rPr>
          <w:lang w:val="en_US" w:bidi="en_US"/>
        </w:rPr>
        <w:t>Parallel passages for this section are found in Matthew 22:23–33 and Mark 12:18–27.</w:t>
      </w:r>
    </w:p>
    <w:p>
      <w:pPr>
        <w:pStyle w:val="Heading5"/>
      </w:pPr>
      <w:r>
        <w:rPr>
          <w:lang w:val="en_US" w:bidi="en_US"/>
        </w:rPr>
        <w:t>20:40</w:t>
      </w:r>
    </w:p>
    <w:p>
      <w:pPr/>
      <w:r>
        <w:rPr>
          <w:lang w:val="en_US" w:bidi="en_US"/>
        </w:rPr>
      </w:r>
      <w:r>
        <w:rPr>
          <w:b/>
          <w:lang w:val="en_US" w:bidi="en_US"/>
        </w:rPr>
        <w:t>And they did not dare to question Him any further.</w:t>
      </w:r>
    </w:p>
    <w:p>
      <w:pPr>
        <w:pStyle w:val="ListBullet"/>
        <w:spacing w:line="240" w:lineRule="auto"/>
        <w:ind w:left="720"/>
      </w:pPr>
      <w:r>
        <w:rPr>
          <w:lang w:val="en_US" w:bidi="en_US"/>
        </w:rPr>
      </w:r>
      <w:r>
        <w:rPr>
          <w:lang w:val="en_US" w:bidi="en_US"/>
        </w:rPr>
        <w:t>For people did not dare ask him any more questions.</w:t>
      </w:r>
    </w:p>
    <w:p>
      <w:pPr>
        <w:pStyle w:val="ListBullet"/>
        <w:spacing w:line="240" w:lineRule="auto"/>
        <w:ind w:left="720"/>
      </w:pPr>
      <w:r>
        <w:rPr>
          <w:lang w:val="en_US" w:bidi="en_US"/>
        </w:rPr>
      </w:r>
      <w:r>
        <w:rPr>
          <w:lang w:val="en_US" w:bidi="en_US"/>
        </w:rPr>
        <w:t xml:space="preserve">And </w:t>
      </w:r>
      <w:r>
        <w:rPr>
          <w:lang w:val="en_US" w:bidi="en_US"/>
        </w:rPr>
        <w:t>after that,</w:t>
      </w:r>
      <w:r>
        <w:rPr>
          <w:lang w:val="en_US" w:bidi="en_US"/>
        </w:rPr>
        <w:t xml:space="preserve"> no one was bold enough to ask Jesus another </w:t>
      </w:r>
      <w:r>
        <w:rPr>
          <w:lang w:val="en_US" w:bidi="en_US"/>
        </w:rPr>
        <w:t>tricky</w:t>
      </w:r>
      <w:r>
        <w:rPr>
          <w:lang w:val="en_US" w:bidi="en_US"/>
        </w:rPr>
        <w:t xml:space="preserve"> question.</w:t>
      </w:r>
    </w:p>
    <w:p>
      <w:pPr/>
      <w:r>
        <w:rPr>
          <w:lang w:val="en_US" w:bidi="en_US"/>
        </w:rPr>
      </w:r>
      <w:r>
        <w:rPr>
          <w:b/>
          <w:lang w:val="en_US" w:bidi="en_US"/>
        </w:rPr>
        <w:t>And they did not dare to question Him any further:</w:t>
      </w:r>
      <w:r>
        <w:rPr>
          <w:lang w:val="en_US" w:bidi="en_US"/>
        </w:rPr>
        <w:t xml:space="preserve"> The Greek conjunction that the BSB translates as </w:t>
      </w:r>
      <w:r>
        <w:rPr>
          <w:i/>
          <w:lang w:val="en_US" w:bidi="en_US"/>
        </w:rPr>
        <w:t>And</w:t>
      </w:r>
      <w:r>
        <w:rPr>
          <w:lang w:val="en_US" w:bidi="en_US"/>
        </w:rPr>
        <w:t xml:space="preserve"> here often introduces a reason or explanation. In this clause it may explain why the scribes did not argue with Jesus in 20:39. They only told Jesus that he had answered well. They did not dare to ask him any more questions. Other ways to translate the connection are:</w:t>
      </w:r>
    </w:p>
    <w:p>
      <w:pPr/>
      <w:r>
        <w:rPr>
          <w:lang w:val="en_US" w:bidi="en_US"/>
        </w:rPr>
      </w:r>
      <w:r>
        <w:rPr>
          <w:u w:val="single"/>
          <w:lang w:val="en_US" w:bidi="en_US"/>
        </w:rPr>
        <w:t>For</w:t>
      </w:r>
      <w:r>
        <w:rPr>
          <w:lang w:val="en_US" w:bidi="en_US"/>
        </w:rPr>
        <w:t xml:space="preserve"> they did not dare ask him any more questions. (GNT)</w:t>
      </w:r>
    </w:p>
    <w:p>
      <w:pPr/>
      <w:r>
        <w:rPr>
          <w:lang w:val="en_US" w:bidi="en_US"/>
        </w:rPr>
      </w:r>
      <w:r>
        <w:rPr>
          <w:u w:val="single"/>
          <w:lang w:val="en_US" w:bidi="en_US"/>
        </w:rPr>
        <w:t>From that time on</w:t>
      </w:r>
      <w:r>
        <w:rPr>
          <w:lang w:val="en_US" w:bidi="en_US"/>
        </w:rPr>
        <w:t>, no one dared to ask him another question. (GW)</w:t>
      </w:r>
    </w:p>
    <w:p>
      <w:pPr/>
      <w:r>
        <w:rPr>
          <w:lang w:val="en_US" w:bidi="en_US"/>
        </w:rPr>
      </w:r>
      <w:r>
        <w:rPr>
          <w:lang w:val="en_US" w:bidi="en_US"/>
        </w:rPr>
        <w:t>In some languages a conjunction is not needed. For example:</w:t>
      </w:r>
    </w:p>
    <w:p>
      <w:pPr/>
      <w:r>
        <w:rPr>
          <w:lang w:val="en_US" w:bidi="en_US"/>
        </w:rPr>
      </w:r>
      <w:r>
        <w:rPr>
          <w:lang w:val="en_US" w:bidi="en_US"/>
        </w:rPr>
        <w:t>No one was brave enough to ask him another question. (NCV)</w:t>
      </w:r>
    </w:p>
    <w:p>
      <w:pPr/>
      <w:r>
        <w:rPr>
          <w:lang w:val="en_US" w:bidi="en_US"/>
        </w:rPr>
      </w:r>
      <w:r>
        <w:rPr>
          <w:lang w:val="en_US" w:bidi="en_US"/>
        </w:rPr>
        <w:t>Translate the connection with 20:39 in a natural way in your language.</w:t>
      </w:r>
    </w:p>
    <w:p>
      <w:pPr/>
      <w:r>
        <w:rPr>
          <w:lang w:val="en_US" w:bidi="en_US"/>
        </w:rPr>
      </w:r>
      <w:r>
        <w:rPr>
          <w:b/>
          <w:lang w:val="en_US" w:bidi="en_US"/>
        </w:rPr>
        <w:t>they did not dare to question Him any further:</w:t>
      </w:r>
      <w:r>
        <w:rPr>
          <w:lang w:val="en_US" w:bidi="en_US"/>
        </w:rPr>
        <w:t xml:space="preserve"> People were afraid to test Jesus with any more hard or tricky questions, because he was very skillful at answering questions wisely.</w:t>
      </w:r>
    </w:p>
    <w:p>
      <w:pPr/>
      <w:r>
        <w:rPr>
          <w:lang w:val="en_US" w:bidi="en_US"/>
        </w:rPr>
      </w:r>
      <w:r>
        <w:rPr>
          <w:b/>
          <w:lang w:val="en_US" w:bidi="en_US"/>
        </w:rPr>
        <w:t>they:</w:t>
      </w:r>
      <w:r>
        <w:rPr>
          <w:lang w:val="en_US" w:bidi="en_US"/>
        </w:rPr>
        <w:t xml:space="preserve"> The BSB literally represents the Greek text here. It probably refers here to people in general. It does not refer only to the scribes. Remember that the Sadducees and the scribes were different groups of people. The Sadducees had asked Jesus the question, and some scribes were there listening. Use a subject in your language that can refer to people in general, including the Sadducees and the scribes.</w:t>
      </w:r>
    </w:p>
    <w:p>
      <w:pPr/>
      <w:r>
        <w:rPr>
          <w:lang w:val="en_US" w:bidi="en_US"/>
        </w:rPr>
      </w:r>
      <w:r>
        <w:rPr>
          <w:b/>
          <w:lang w:val="en_US" w:bidi="en_US"/>
        </w:rPr>
        <w:t>dare:</w:t>
      </w:r>
      <w:r>
        <w:rPr>
          <w:lang w:val="en_US" w:bidi="en_US"/>
        </w:rPr>
        <w:t xml:space="preserve"> The word </w:t>
      </w:r>
      <w:r>
        <w:rPr>
          <w:i/>
          <w:lang w:val="en_US" w:bidi="en_US"/>
        </w:rPr>
        <w:t>dare</w:t>
      </w:r>
      <w:r>
        <w:rPr>
          <w:lang w:val="en_US" w:bidi="en_US"/>
        </w:rPr>
        <w:t xml:space="preserve"> indicates that no one felt bold enough to ask Jesus any more difficult questions. They felt unable to trick him because he had answered every question so wisely.</w:t>
      </w:r>
      <w:r>
        <w:rPr>
          <w:lang w:val="en_US" w:bidi="en_US"/>
        </w:rPr>
      </w:r>
      <w:r>
        <w:rPr>
          <w:lang w:val="en_US" w:bidi="en_US"/>
        </w:rPr>
      </w:r>
    </w:p>
    <w:p>
      <w:pPr/>
      <w:r>
        <w:rPr>
          <w:lang w:val="en_US" w:bidi="en_US"/>
        </w:rPr>
      </w:r>
    </w:p>
    <w:p>
      <w:pPr>
        <w:pStyle w:val="Heading2"/>
      </w:pPr>
      <w:r>
        <w:rPr>
          <w:lang w:val="en_US" w:bidi="en_US"/>
        </w:rPr>
        <w:t>Luke 20:41</w:t>
      </w:r>
      <w:r>
        <w:rPr>
          <w:lang w:val="en_US" w:bidi="en_US"/>
        </w:rPr>
      </w:r>
    </w:p>
    <w:p>
      <w:pPr>
        <w:pStyle w:val="Heading4"/>
      </w:pPr>
      <w:r>
        <w:rPr>
          <w:lang w:val="en_US" w:bidi="en_US"/>
        </w:rPr>
        <w:t>Section 20:41–44: Jesus asked people a difficult question about the Messiah</w:t>
      </w:r>
    </w:p>
    <w:p>
      <w:pPr/>
      <w:r>
        <w:rPr>
          <w:lang w:val="en_US" w:bidi="en_US"/>
        </w:rPr>
      </w:r>
      <w:r>
        <w:rPr>
          <w:lang w:val="en_US" w:bidi="en_US"/>
        </w:rPr>
        <w:t>In this section Jesus was still teaching in the courtyard of the temple. Many people listened to him there. As he taught, he asked them about the Christ (Messiah) and his ancestor King David. Jesus asked them about this because he wanted the people to think about two things that the Scriptures say about the Messiah:</w:t>
      </w:r>
    </w:p>
    <w:p>
      <w:pPr>
        <w:pStyle w:val="ListNumber"/>
        <w:numPr>
          <w:ilvl w:val="0"/>
          <w:numId w:val="339"/>
        </w:numPr>
        <w:spacing w:line="240" w:lineRule="auto"/>
        <w:ind w:left="720"/>
      </w:pPr>
      <w:r>
        <w:rPr>
          <w:lang w:val="en_US" w:bidi="en_US"/>
        </w:rPr>
      </w:r>
      <w:r>
        <w:rPr>
          <w:lang w:val="en_US" w:bidi="en_US"/>
        </w:rPr>
        <w:t>The Scriptures predicted that the Messiah would be a descendant of King David.</w:t>
      </w:r>
    </w:p>
    <w:p>
      <w:pPr>
        <w:pStyle w:val="ListNumber"/>
        <w:spacing w:line="240" w:lineRule="auto"/>
        <w:ind w:left="720"/>
      </w:pPr>
      <w:r>
        <w:rPr>
          <w:lang w:val="en_US" w:bidi="en_US"/>
        </w:rPr>
      </w:r>
      <w:r>
        <w:rPr>
          <w:lang w:val="en_US" w:bidi="en_US"/>
        </w:rPr>
        <w:t>David called the Messiah “Lord,” showing that the Messiah was much greater than David.</w:t>
      </w:r>
    </w:p>
    <w:p>
      <w:pPr/>
      <w:r>
        <w:rPr>
          <w:lang w:val="en_US" w:bidi="en_US"/>
        </w:rPr>
      </w:r>
      <w:r>
        <w:rPr>
          <w:lang w:val="en_US" w:bidi="en_US"/>
        </w:rPr>
        <w:t>To Jewish people, it was difficult to explain how both these facts could be true. They thought that an ancestor must be greater than his descendant. Jesus wanted them to know that the Messiah would be much greater than the earthly ruler that they expected him to be. He would be a descendant of David, but he would be greater than David. He would share the throne of God.</w:t>
      </w:r>
    </w:p>
    <w:p>
      <w:pPr/>
      <w:r>
        <w:rPr>
          <w:lang w:val="en_US" w:bidi="en_US"/>
        </w:rPr>
      </w:r>
      <w:r>
        <w:rPr>
          <w:lang w:val="en_US" w:bidi="en_US"/>
        </w:rPr>
        <w:t>It is good to translate this section before you decide on a heading for it. Examples of other headings for this section are:</w:t>
      </w:r>
    </w:p>
    <w:p>
      <w:pPr/>
      <w:r>
        <w:rPr>
          <w:lang w:val="en_US" w:bidi="en_US"/>
        </w:rPr>
      </w:r>
      <w:r>
        <w:rPr>
          <w:lang w:val="en_US" w:bidi="en_US"/>
        </w:rPr>
        <w:t>The Question about the Messiah (GNT)</w:t>
      </w:r>
    </w:p>
    <w:p>
      <w:pPr/>
      <w:r>
        <w:rPr>
          <w:lang w:val="en_US" w:bidi="en_US"/>
        </w:rPr>
      </w:r>
      <w:r>
        <w:rPr>
          <w:lang w:val="en_US" w:bidi="en_US"/>
        </w:rPr>
        <w:t>Whose Son Is the Christ? (ESV)</w:t>
      </w:r>
    </w:p>
    <w:p>
      <w:pPr/>
      <w:r>
        <w:rPr>
          <w:lang w:val="en_US" w:bidi="en_US"/>
        </w:rPr>
      </w:r>
      <w:r>
        <w:rPr>
          <w:lang w:val="en_US" w:bidi="en_US"/>
        </w:rPr>
        <w:t>There are parallel passages for this section in Matthew 22:41–46 and Mark 12:35–37.</w:t>
      </w:r>
    </w:p>
    <w:p>
      <w:pPr>
        <w:pStyle w:val="Heading5"/>
      </w:pPr>
      <w:r>
        <w:rPr>
          <w:lang w:val="en_US" w:bidi="en_US"/>
        </w:rPr>
        <w:t>20:41a</w:t>
      </w:r>
    </w:p>
    <w:p>
      <w:pPr/>
      <w:r>
        <w:rPr>
          <w:lang w:val="en_US" w:bidi="en_US"/>
        </w:rPr>
      </w:r>
      <w:r>
        <w:rPr>
          <w:b/>
          <w:lang w:val="en_US" w:bidi="en_US"/>
        </w:rPr>
        <w:t>Then Jesus declared,</w:t>
      </w:r>
    </w:p>
    <w:p>
      <w:pPr>
        <w:pStyle w:val="ListBullet"/>
        <w:spacing w:line="240" w:lineRule="auto"/>
        <w:ind w:left="720"/>
      </w:pPr>
      <w:r>
        <w:rPr>
          <w:lang w:val="en_US" w:bidi="en_US"/>
        </w:rPr>
      </w:r>
      <w:r>
        <w:rPr>
          <w:lang w:val="en_US" w:bidi="en_US"/>
        </w:rPr>
        <w:t xml:space="preserve">¶ Then Jesus asked those </w:t>
      </w:r>
      <w:r>
        <w:rPr>
          <w:lang w:val="en_US" w:bidi="en_US"/>
        </w:rPr>
        <w:t>who were listening</w:t>
      </w:r>
      <w:r>
        <w:rPr>
          <w:lang w:val="en_US" w:bidi="en_US"/>
        </w:rPr>
        <w:t xml:space="preserve"> </w:t>
      </w:r>
      <w:r>
        <w:rPr>
          <w:lang w:val="en_US" w:bidi="en_US"/>
        </w:rPr>
        <w:t>to him</w:t>
      </w:r>
      <w:r>
        <w:rPr>
          <w:lang w:val="en_US" w:bidi="en_US"/>
        </w:rPr>
        <w:t>,</w:t>
      </w:r>
    </w:p>
    <w:p>
      <w:pPr>
        <w:pStyle w:val="ListBullet"/>
        <w:spacing w:line="240" w:lineRule="auto"/>
        <w:ind w:left="720"/>
      </w:pPr>
      <w:r>
        <w:rPr>
          <w:lang w:val="en_US" w:bidi="en_US"/>
        </w:rPr>
      </w:r>
      <w:r>
        <w:rPr>
          <w:lang w:val="en_US" w:bidi="en_US"/>
        </w:rPr>
        <w:t>¶ And Jesus said,</w:t>
      </w:r>
    </w:p>
    <w:p>
      <w:pPr/>
      <w:r>
        <w:rPr>
          <w:lang w:val="en_US" w:bidi="en_US"/>
        </w:rPr>
      </w:r>
      <w:r>
        <w:rPr>
          <w:b/>
          <w:lang w:val="en_US" w:bidi="en_US"/>
        </w:rPr>
        <w:t>Then Jesus declared:</w:t>
      </w:r>
      <w:r>
        <w:rPr>
          <w:lang w:val="en_US" w:bidi="en_US"/>
        </w:rPr>
        <w:t xml:space="preserve"> The Greek conjunction that the BSB translates as </w:t>
      </w:r>
      <w:r>
        <w:rPr>
          <w:i/>
          <w:lang w:val="en_US" w:bidi="en_US"/>
        </w:rPr>
        <w:t>Then</w:t>
      </w:r>
      <w:r>
        <w:rPr>
          <w:lang w:val="en_US" w:bidi="en_US"/>
        </w:rPr>
        <w:t xml:space="preserve"> introduces a new topic. Introduce this new topic in a way that is natural in your language.</w:t>
      </w:r>
    </w:p>
    <w:p>
      <w:pPr/>
      <w:r>
        <w:rPr>
          <w:lang w:val="en_US" w:bidi="en_US"/>
        </w:rPr>
      </w:r>
      <w:r>
        <w:rPr>
          <w:lang w:val="en_US" w:bidi="en_US"/>
        </w:rPr>
        <w:t>The Greek is literally “And he said to them.” The words “to them” refer to the people who had been listening to Jesus in 20:27–40. They probably included ordinary people as well as some of the Sadducees, Pharisees, and scribes. The BSB does not translate these words.</w:t>
      </w:r>
    </w:p>
    <w:p>
      <w:pPr>
        <w:pStyle w:val="Heading5"/>
      </w:pPr>
      <w:r>
        <w:rPr>
          <w:lang w:val="en_US" w:bidi="en_US"/>
        </w:rPr>
        <w:t>20:41b</w:t>
      </w:r>
    </w:p>
    <w:p>
      <w:pPr/>
      <w:r>
        <w:rPr>
          <w:lang w:val="en_US" w:bidi="en_US"/>
        </w:rPr>
      </w:r>
      <w:r>
        <w:rPr>
          <w:b/>
          <w:lang w:val="en_US" w:bidi="en_US"/>
        </w:rPr>
        <w:t>“How can it be said that the Christ is the Son of David?</w:t>
      </w:r>
    </w:p>
    <w:p>
      <w:pPr>
        <w:pStyle w:val="ListBullet"/>
        <w:spacing w:line="240" w:lineRule="auto"/>
        <w:ind w:left="720"/>
      </w:pPr>
      <w:r>
        <w:rPr>
          <w:lang w:val="en_US" w:bidi="en_US"/>
        </w:rPr>
      </w:r>
      <w:r>
        <w:rPr>
          <w:lang w:val="en_US" w:bidi="en_US"/>
        </w:rPr>
        <w:t xml:space="preserve">“What do </w:t>
      </w:r>
      <w:r>
        <w:rPr>
          <w:lang w:val="en_US" w:bidi="en_US"/>
        </w:rPr>
        <w:t>your</w:t>
      </w:r>
      <w:r>
        <w:rPr>
          <w:vertAlign w:val="superscript"/>
          <w:lang w:val="en_US" w:bidi="en_US"/>
        </w:rPr>
        <w:t>(plur)</w:t>
      </w:r>
      <w:r>
        <w:rPr>
          <w:lang w:val="en_US" w:bidi="en_US"/>
        </w:rPr>
        <w:t xml:space="preserve"> </w:t>
      </w:r>
      <w:r>
        <w:rPr>
          <w:lang w:val="en_US" w:bidi="en_US"/>
        </w:rPr>
        <w:t>teachers</w:t>
      </w:r>
      <w:r>
        <w:rPr>
          <w:lang w:val="en_US" w:bidi="en_US"/>
        </w:rPr>
        <w:t xml:space="preserve"> mean when they say that the Christ is the Descendant of David?</w:t>
      </w:r>
    </w:p>
    <w:p>
      <w:pPr>
        <w:pStyle w:val="ListBullet"/>
        <w:spacing w:line="240" w:lineRule="auto"/>
        <w:ind w:left="720"/>
      </w:pPr>
      <w:r>
        <w:rPr>
          <w:lang w:val="en_US" w:bidi="en_US"/>
        </w:rPr>
      </w:r>
      <w:r>
        <w:rPr>
          <w:lang w:val="en_US" w:bidi="en_US"/>
        </w:rPr>
        <w:t>“They say that the Messiah is the Son of David. How do you</w:t>
      </w:r>
      <w:r>
        <w:rPr>
          <w:vertAlign w:val="superscript"/>
          <w:lang w:val="en_US" w:bidi="en_US"/>
        </w:rPr>
        <w:t>(plur)</w:t>
      </w:r>
      <w:r>
        <w:rPr>
          <w:lang w:val="en_US" w:bidi="en_US"/>
        </w:rPr>
        <w:t xml:space="preserve"> interpret/understand that?</w:t>
      </w:r>
    </w:p>
    <w:p>
      <w:pPr/>
      <w:r>
        <w:rPr>
          <w:lang w:val="en_US" w:bidi="en_US"/>
        </w:rPr>
      </w:r>
      <w:r>
        <w:rPr>
          <w:b/>
          <w:lang w:val="en_US" w:bidi="en_US"/>
        </w:rPr>
        <w:t>How can it be said that the Christ is the Son of David?:</w:t>
      </w:r>
      <w:r>
        <w:rPr>
          <w:lang w:val="en_US" w:bidi="en_US"/>
        </w:rPr>
        <w:t xml:space="preserve"> Jesus asked this question in order to encourage the people who were listening to him to think carefully about who the Messiah was.</w:t>
      </w:r>
      <w:r>
        <w:rPr>
          <w:lang w:val="en_US" w:bidi="en_US"/>
        </w:rPr>
        <w:t>It was not difficult for any Jew to understand that the Messiah was (or was to be) a descendant of King David. What was difficult was to be able to understand how David could refer to his own descendant as his Lord.</w:t>
      </w:r>
      <w:r>
        <w:rPr>
          <w:lang w:val="en_US" w:bidi="en_US"/>
        </w:rPr>
        <w:t xml:space="preserve"> Jesus did not disagree with what the scribes said about the Christ/Messiah. He agreed that the Messiah is a descendant of David. However, Jesus wanted them to realize that the Messiah was even greater than they thought. Some ways to translate this are:</w:t>
      </w:r>
    </w:p>
    <w:p>
      <w:pPr/>
      <w:r>
        <w:rPr>
          <w:lang w:val="en_US" w:bidi="en_US"/>
        </w:rPr>
      </w:r>
      <w:r>
        <w:rPr>
          <w:lang w:val="en_US" w:bidi="en_US"/>
        </w:rPr>
        <w:t xml:space="preserve">What do the </w:t>
      </w:r>
      <w:r>
        <w:rPr>
          <w:lang w:val="en_US" w:bidi="en_US"/>
        </w:rPr>
        <w:t>scribes</w:t>
      </w:r>
      <w:r>
        <w:rPr>
          <w:lang w:val="en_US" w:bidi="en_US"/>
        </w:rPr>
        <w:t xml:space="preserve"> mean when they say that the Christ/Messiah is a descendant of David?</w:t>
      </w:r>
    </w:p>
    <w:p>
      <w:pPr/>
      <w:r>
        <w:rPr>
          <w:lang w:val="en_US" w:bidi="en_US"/>
        </w:rPr>
      </w:r>
      <w:r>
        <w:rPr>
          <w:lang w:val="en_US" w:bidi="en_US"/>
        </w:rPr>
        <w:t xml:space="preserve">The </w:t>
      </w:r>
      <w:r>
        <w:rPr>
          <w:lang w:val="en_US" w:bidi="en_US"/>
        </w:rPr>
        <w:t>scribes</w:t>
      </w:r>
      <w:r>
        <w:rPr>
          <w:lang w:val="en_US" w:bidi="en_US"/>
        </w:rPr>
        <w:t xml:space="preserve"> say that the Messiah is the Son of David. How do you understand/interpret that?</w:t>
      </w:r>
    </w:p>
    <w:p>
      <w:pPr/>
      <w:r>
        <w:rPr>
          <w:lang w:val="en_US" w:bidi="en_US"/>
        </w:rPr>
      </w:r>
      <w:r>
        <w:rPr>
          <w:b/>
          <w:lang w:val="en_US" w:bidi="en_US"/>
        </w:rPr>
        <w:t>How can it be said:</w:t>
      </w:r>
      <w:r>
        <w:rPr>
          <w:lang w:val="en_US" w:bidi="en_US"/>
        </w:rPr>
        <w:t xml:space="preserve"> The words that the BSB translates as </w:t>
      </w:r>
      <w:r>
        <w:rPr>
          <w:i/>
          <w:lang w:val="en_US" w:bidi="en_US"/>
        </w:rPr>
        <w:t>How can it be said</w:t>
      </w:r>
      <w:r>
        <w:rPr>
          <w:lang w:val="en_US" w:bidi="en_US"/>
        </w:rPr>
        <w:t xml:space="preserve"> are more literally “How can they say.” The word “they” refers to the scribes, some of whom are mentioned in 20:39. This is explicit in the parallel passage in Mark 12:35. Another way to translate this phrase is:</w:t>
      </w:r>
    </w:p>
    <w:p>
      <w:pPr/>
      <w:r>
        <w:rPr>
          <w:lang w:val="en_US" w:bidi="en_US"/>
        </w:rPr>
      </w:r>
      <w:r>
        <w:rPr>
          <w:lang w:val="en_US" w:bidi="en_US"/>
        </w:rPr>
        <w:t>How is it that they say… (NIV)</w:t>
      </w:r>
    </w:p>
    <w:p>
      <w:pPr/>
      <w:r>
        <w:rPr>
          <w:lang w:val="en_US" w:bidi="en_US"/>
        </w:rPr>
      </w:r>
      <w:r>
        <w:rPr>
          <w:b/>
          <w:lang w:val="en_US" w:bidi="en_US"/>
        </w:rPr>
        <w:t>Christ:</w:t>
      </w:r>
      <w:r>
        <w:rPr>
          <w:lang w:val="en_US" w:bidi="en_US"/>
        </w:rPr>
        <w:t xml:space="preserve"> In Luke the word </w:t>
      </w:r>
      <w:r>
        <w:rPr>
          <w:i/>
          <w:lang w:val="en_US" w:bidi="en_US"/>
        </w:rPr>
        <w:t>Christ</w:t>
      </w:r>
      <w:r>
        <w:rPr>
          <w:lang w:val="en_US" w:bidi="en_US"/>
        </w:rPr>
        <w:t xml:space="preserve"> is used as a title. The Jews used this title to refer to the person whom God had appointed and promised to send as king and savior. The title </w:t>
      </w:r>
      <w:r>
        <w:rPr>
          <w:i/>
          <w:lang w:val="en_US" w:bidi="en_US"/>
        </w:rPr>
        <w:t>Christ</w:t>
      </w:r>
      <w:r>
        <w:rPr>
          <w:lang w:val="en_US" w:bidi="en_US"/>
        </w:rPr>
        <w:t xml:space="preserve"> is the Greek translation of the Hebrew word “Messiah,” and the two words have the same meaning.</w:t>
      </w:r>
    </w:p>
    <w:p>
      <w:pPr/>
      <w:r>
        <w:rPr>
          <w:lang w:val="en_US" w:bidi="en_US"/>
        </w:rPr>
      </w:r>
      <w:r>
        <w:rPr>
          <w:lang w:val="en_US" w:bidi="en_US"/>
        </w:rPr>
        <w:t xml:space="preserve">Some ways to translate </w:t>
      </w:r>
      <w:r>
        <w:rPr>
          <w:i/>
          <w:lang w:val="en_US" w:bidi="en_US"/>
        </w:rPr>
        <w:t>Christ</w:t>
      </w:r>
      <w:r>
        <w:rPr>
          <w:lang w:val="en_US" w:bidi="en_US"/>
        </w:rPr>
        <w:t xml:space="preserve"> are:</w:t>
      </w:r>
    </w:p>
    <w:p>
      <w:pPr>
        <w:pStyle w:val="ListBullet"/>
        <w:spacing w:line="240" w:lineRule="auto"/>
        <w:ind w:left="720"/>
      </w:pPr>
      <w:r>
        <w:rPr>
          <w:lang w:val="en_US" w:bidi="en_US"/>
        </w:rPr>
      </w:r>
      <w:r>
        <w:rPr>
          <w:lang w:val="en_US" w:bidi="en_US"/>
        </w:rPr>
        <w:t xml:space="preserve">Use a title or a descriptive phrase in your language that has the same meaning as </w:t>
      </w:r>
      <w:r>
        <w:rPr>
          <w:i/>
          <w:lang w:val="en_US" w:bidi="en_US"/>
        </w:rPr>
        <w:t>Christ</w:t>
      </w:r>
      <w:r>
        <w:rPr>
          <w:lang w:val="en_US" w:bidi="en_US"/>
        </w:rPr>
        <w:t>. For example:</w:t>
      </w:r>
      <w:r>
        <w:rPr>
          <w:lang w:val="en_US" w:bidi="en_US"/>
        </w:rPr>
        <w:t>Messiah</w:t>
      </w:r>
      <w:r>
        <w:rPr>
          <w:lang w:val="en_US" w:bidi="en_US"/>
        </w:rPr>
        <w:t>Promised Deliverer</w:t>
      </w:r>
      <w:r>
        <w:rPr>
          <w:lang w:val="en_US" w:bidi="en_US"/>
        </w:rPr>
        <w:t>the Rescuer-King whom God appointed</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include a phrase that explains the meaning. For example:</w:t>
      </w:r>
      <w:r>
        <w:rPr>
          <w:lang w:val="en_US" w:bidi="en_US"/>
        </w:rPr>
        <w:t>Christ, the appointed one</w:t>
      </w:r>
      <w:r>
        <w:rPr>
          <w:lang w:val="en_US" w:bidi="en_US"/>
        </w:rPr>
        <w:t>Cristo, the Savior whom God promised to send</w:t>
      </w:r>
      <w:r>
        <w:rPr>
          <w:lang w:val="en_US" w:bidi="en_US"/>
        </w:rPr>
        <w:t>the Christ who comes from God</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indicate in some way that it is a title. For example:</w:t>
      </w:r>
      <w:r>
        <w:rPr>
          <w:lang w:val="en_US" w:bidi="en_US"/>
        </w:rPr>
        <w:t>the Christ</w:t>
      </w:r>
      <w:r>
        <w:rPr>
          <w:lang w:val="en_US" w:bidi="en_US"/>
        </w:rPr>
        <w:t>the Kirisita</w:t>
      </w:r>
    </w:p>
    <w:p>
      <w:pPr/>
      <w:r>
        <w:rPr>
          <w:lang w:val="en_US" w:bidi="en_US"/>
        </w:rPr>
      </w:r>
      <w:r>
        <w:rPr>
          <w:lang w:val="en_US" w:bidi="en_US"/>
        </w:rPr>
        <w:t xml:space="preserve">If you do not indicate the meaning of </w:t>
      </w:r>
      <w:r>
        <w:rPr>
          <w:i/>
          <w:lang w:val="en_US" w:bidi="en_US"/>
        </w:rPr>
        <w:t>Christ</w:t>
      </w:r>
      <w:r>
        <w:rPr>
          <w:lang w:val="en_US" w:bidi="en_US"/>
        </w:rPr>
        <w:t xml:space="preserve"> in the text, you may want to include a footnote to explain it. Or you may want to explain the meaning in a glossary. For example:</w:t>
      </w:r>
    </w:p>
    <w:p>
      <w:pPr/>
      <w:r>
        <w:rPr>
          <w:lang w:val="en_US" w:bidi="en_US"/>
        </w:rPr>
      </w:r>
      <w:r>
        <w:rPr>
          <w:lang w:val="en_US" w:bidi="en_US"/>
        </w:rPr>
        <w:t>The word/title “Christ” refers to the king and savior whom God had promised to send.</w:t>
      </w:r>
    </w:p>
    <w:p>
      <w:pPr/>
      <w:r>
        <w:rPr>
          <w:lang w:val="en_US" w:bidi="en_US"/>
        </w:rPr>
      </w:r>
      <w:r>
        <w:rPr>
          <w:lang w:val="en_US" w:bidi="en_US"/>
        </w:rPr>
        <w:t>See also Christ, in the Glossary.</w:t>
      </w:r>
    </w:p>
    <w:p>
      <w:pPr/>
      <w:r>
        <w:rPr>
          <w:lang w:val="en_US" w:bidi="en_US"/>
        </w:rPr>
      </w:r>
      <w:r>
        <w:rPr>
          <w:b/>
          <w:lang w:val="en_US" w:bidi="en_US"/>
        </w:rPr>
        <w:t>Son of David:</w:t>
      </w:r>
      <w:r>
        <w:rPr>
          <w:lang w:val="en_US" w:bidi="en_US"/>
        </w:rPr>
        <w:t xml:space="preserve"> The title </w:t>
      </w:r>
      <w:r>
        <w:rPr>
          <w:i/>
          <w:lang w:val="en_US" w:bidi="en_US"/>
        </w:rPr>
        <w:t>Son of David</w:t>
      </w:r>
      <w:r>
        <w:rPr>
          <w:lang w:val="en_US" w:bidi="en_US"/>
        </w:rPr>
        <w:t xml:space="preserve"> refers to the Messiah as a descendant of King David. David was the king of Israel a thousand years before Christ.</w:t>
      </w:r>
      <w:r>
        <w:rPr>
          <w:lang w:val="en_US" w:bidi="en_US"/>
        </w:rPr>
      </w:r>
      <w:r>
        <w:rPr>
          <w:lang w:val="en_US" w:bidi="en_US"/>
        </w:rPr>
      </w:r>
    </w:p>
    <w:p>
      <w:pPr/>
      <w:r>
        <w:rPr>
          <w:lang w:val="en_US" w:bidi="en_US"/>
        </w:rPr>
      </w:r>
    </w:p>
    <w:p>
      <w:pPr>
        <w:pStyle w:val="Heading2"/>
      </w:pPr>
      <w:r>
        <w:rPr>
          <w:lang w:val="en_US" w:bidi="en_US"/>
        </w:rPr>
        <w:t>Luke 20:42</w:t>
      </w:r>
      <w:r>
        <w:rPr>
          <w:lang w:val="en_US" w:bidi="en_US"/>
        </w:rPr>
      </w:r>
    </w:p>
    <w:p>
      <w:pPr>
        <w:pStyle w:val="Heading4"/>
      </w:pPr>
      <w:r>
        <w:rPr>
          <w:lang w:val="en_US" w:bidi="en_US"/>
        </w:rPr>
        <w:t>Section 20:41–44: Jesus asked people a difficult question about the Messiah</w:t>
      </w:r>
    </w:p>
    <w:p>
      <w:pPr/>
      <w:r>
        <w:rPr>
          <w:lang w:val="en_US" w:bidi="en_US"/>
        </w:rPr>
      </w:r>
      <w:r>
        <w:rPr>
          <w:lang w:val="en_US" w:bidi="en_US"/>
        </w:rPr>
        <w:t>In this section Jesus was still teaching in the courtyard of the temple. Many people listened to him there. As he taught, he asked them about the Christ (Messiah) and his ancestor King David. Jesus asked them about this because he wanted the people to think about two things that the Scriptures say about the Messiah:</w:t>
      </w:r>
    </w:p>
    <w:p>
      <w:pPr>
        <w:pStyle w:val="ListNumber"/>
        <w:numPr>
          <w:ilvl w:val="0"/>
          <w:numId w:val="340"/>
        </w:numPr>
        <w:spacing w:line="240" w:lineRule="auto"/>
        <w:ind w:left="720"/>
      </w:pPr>
      <w:r>
        <w:rPr>
          <w:lang w:val="en_US" w:bidi="en_US"/>
        </w:rPr>
      </w:r>
      <w:r>
        <w:rPr>
          <w:lang w:val="en_US" w:bidi="en_US"/>
        </w:rPr>
        <w:t>The Scriptures predicted that the Messiah would be a descendant of King David.</w:t>
      </w:r>
    </w:p>
    <w:p>
      <w:pPr>
        <w:pStyle w:val="ListNumber"/>
        <w:spacing w:line="240" w:lineRule="auto"/>
        <w:ind w:left="720"/>
      </w:pPr>
      <w:r>
        <w:rPr>
          <w:lang w:val="en_US" w:bidi="en_US"/>
        </w:rPr>
      </w:r>
      <w:r>
        <w:rPr>
          <w:lang w:val="en_US" w:bidi="en_US"/>
        </w:rPr>
        <w:t>David called the Messiah “Lord,” showing that the Messiah was much greater than David.</w:t>
      </w:r>
    </w:p>
    <w:p>
      <w:pPr/>
      <w:r>
        <w:rPr>
          <w:lang w:val="en_US" w:bidi="en_US"/>
        </w:rPr>
      </w:r>
      <w:r>
        <w:rPr>
          <w:lang w:val="en_US" w:bidi="en_US"/>
        </w:rPr>
        <w:t>To Jewish people, it was difficult to explain how both these facts could be true. They thought that an ancestor must be greater than his descendant. Jesus wanted them to know that the Messiah would be much greater than the earthly ruler that they expected him to be. He would be a descendant of David, but he would be greater than David. He would share the throne of God.</w:t>
      </w:r>
    </w:p>
    <w:p>
      <w:pPr/>
      <w:r>
        <w:rPr>
          <w:lang w:val="en_US" w:bidi="en_US"/>
        </w:rPr>
      </w:r>
      <w:r>
        <w:rPr>
          <w:lang w:val="en_US" w:bidi="en_US"/>
        </w:rPr>
        <w:t>It is good to translate this section before you decide on a heading for it. Examples of other headings for this section are:</w:t>
      </w:r>
    </w:p>
    <w:p>
      <w:pPr/>
      <w:r>
        <w:rPr>
          <w:lang w:val="en_US" w:bidi="en_US"/>
        </w:rPr>
      </w:r>
      <w:r>
        <w:rPr>
          <w:lang w:val="en_US" w:bidi="en_US"/>
        </w:rPr>
        <w:t>The Question about the Messiah (GNT)</w:t>
      </w:r>
    </w:p>
    <w:p>
      <w:pPr/>
      <w:r>
        <w:rPr>
          <w:lang w:val="en_US" w:bidi="en_US"/>
        </w:rPr>
      </w:r>
      <w:r>
        <w:rPr>
          <w:lang w:val="en_US" w:bidi="en_US"/>
        </w:rPr>
        <w:t>Whose Son Is the Christ? (ESV)</w:t>
      </w:r>
    </w:p>
    <w:p>
      <w:pPr/>
      <w:r>
        <w:rPr>
          <w:lang w:val="en_US" w:bidi="en_US"/>
        </w:rPr>
      </w:r>
      <w:r>
        <w:rPr>
          <w:lang w:val="en_US" w:bidi="en_US"/>
        </w:rPr>
        <w:t>There are parallel passages for this section in Matthew 22:41–46 and Mark 12:35–37.</w:t>
      </w:r>
    </w:p>
    <w:p>
      <w:pPr>
        <w:pStyle w:val="Heading5"/>
      </w:pPr>
      <w:r>
        <w:rPr>
          <w:lang w:val="en_US" w:bidi="en_US"/>
        </w:rPr>
        <w:t>20:42–43</w:t>
      </w:r>
    </w:p>
    <w:p>
      <w:pPr/>
      <w:r>
        <w:rPr>
          <w:lang w:val="en_US" w:bidi="en_US"/>
        </w:rPr>
      </w:r>
      <w:r>
        <w:rPr>
          <w:lang w:val="en_US" w:bidi="en_US"/>
        </w:rPr>
        <w:t>In these verses Jesus quoted from a psalm that David wrote. In that quotation David told what God said to the Messiah. The words that God said are expressed as a quote within a quote. In English these quotations use three sets of quote marks. In some languages this may be confusing. Translate and print the quotations in these verses so that they are clear in your language.</w:t>
      </w:r>
    </w:p>
    <w:p>
      <w:pPr/>
      <w:r>
        <w:rPr>
          <w:lang w:val="en_US" w:bidi="en_US"/>
        </w:rPr>
      </w:r>
      <w:r>
        <w:rPr>
          <w:lang w:val="en_US" w:bidi="en_US"/>
        </w:rPr>
        <w:t>See the Display for 20:41b–20:44b. The first meaning line of the Display for 20:41a–20:44b uses only two sets of quote marks. The second meaning line is an example of how to use an indirect quotation.</w:t>
      </w:r>
    </w:p>
    <w:p>
      <w:pPr>
        <w:pStyle w:val="Heading5"/>
      </w:pPr>
      <w:r>
        <w:rPr>
          <w:lang w:val="en_US" w:bidi="en_US"/>
        </w:rPr>
        <w:t>20:42a</w:t>
      </w:r>
    </w:p>
    <w:p>
      <w:pPr/>
      <w:r>
        <w:rPr>
          <w:lang w:val="en_US" w:bidi="en_US"/>
        </w:rPr>
      </w:r>
      <w:r>
        <w:rPr>
          <w:b/>
          <w:lang w:val="en_US" w:bidi="en_US"/>
        </w:rPr>
        <w:t>For David himself says in the book of Psalms:</w:t>
      </w:r>
    </w:p>
    <w:p>
      <w:pPr>
        <w:pStyle w:val="ListBullet"/>
        <w:spacing w:line="240" w:lineRule="auto"/>
        <w:ind w:left="720"/>
      </w:pPr>
      <w:r>
        <w:rPr>
          <w:lang w:val="en_US" w:bidi="en_US"/>
        </w:rPr>
      </w:r>
      <w:r>
        <w:rPr>
          <w:lang w:val="en_US" w:bidi="en_US"/>
        </w:rPr>
        <w:t xml:space="preserve">In the Book of Psalms, </w:t>
      </w:r>
      <w:r>
        <w:rPr>
          <w:lang w:val="en_US" w:bidi="en_US"/>
        </w:rPr>
        <w:t>it is written that</w:t>
      </w:r>
      <w:r>
        <w:rPr>
          <w:lang w:val="en_US" w:bidi="en_US"/>
        </w:rPr>
        <w:t xml:space="preserve"> David said,</w:t>
      </w:r>
    </w:p>
    <w:p>
      <w:pPr>
        <w:pStyle w:val="ListBullet"/>
        <w:spacing w:line="240" w:lineRule="auto"/>
        <w:ind w:left="720"/>
      </w:pPr>
      <w:r>
        <w:rPr>
          <w:lang w:val="en_US" w:bidi="en_US"/>
        </w:rPr>
      </w:r>
      <w:r>
        <w:rPr>
          <w:lang w:val="en_US" w:bidi="en_US"/>
        </w:rPr>
        <w:t>For</w:t>
      </w:r>
      <w:r>
        <w:rPr>
          <w:lang w:val="en_US" w:bidi="en_US"/>
        </w:rPr>
        <w:t xml:space="preserve"> </w:t>
      </w:r>
      <w:r>
        <w:rPr>
          <w:lang w:val="en_US" w:bidi="en_US"/>
        </w:rPr>
        <w:t>King</w:t>
      </w:r>
      <w:r>
        <w:rPr>
          <w:lang w:val="en_US" w:bidi="en_US"/>
        </w:rPr>
        <w:t xml:space="preserve"> David himself said </w:t>
      </w:r>
      <w:r>
        <w:rPr>
          <w:lang w:val="en_US" w:bidi="en_US"/>
        </w:rPr>
        <w:t>in the Scriptures</w:t>
      </w:r>
      <w:r>
        <w:rPr>
          <w:lang w:val="en_US" w:bidi="en_US"/>
        </w:rPr>
        <w:t xml:space="preserve"> in the book </w:t>
      </w:r>
      <w:r>
        <w:rPr>
          <w:lang w:val="en_US" w:bidi="en_US"/>
        </w:rPr>
        <w:t>called</w:t>
      </w:r>
      <w:r>
        <w:rPr>
          <w:lang w:val="en_US" w:bidi="en_US"/>
        </w:rPr>
        <w:t xml:space="preserve"> Songs:</w:t>
      </w:r>
    </w:p>
    <w:p>
      <w:pPr/>
      <w:r>
        <w:rPr>
          <w:lang w:val="en_US" w:bidi="en_US"/>
        </w:rPr>
      </w:r>
      <w:r>
        <w:rPr>
          <w:b/>
          <w:lang w:val="en_US" w:bidi="en_US"/>
        </w:rPr>
        <w:t>For David himself says in the book of Psalms:</w:t>
      </w:r>
      <w:r>
        <w:rPr>
          <w:lang w:val="en_US" w:bidi="en_US"/>
        </w:rPr>
        <w:t xml:space="preserve"> The Greek word that the BSB literally translates as </w:t>
      </w:r>
      <w:r>
        <w:rPr>
          <w:i/>
          <w:lang w:val="en_US" w:bidi="en_US"/>
        </w:rPr>
        <w:t>says</w:t>
      </w:r>
      <w:r>
        <w:rPr>
          <w:lang w:val="en_US" w:bidi="en_US"/>
        </w:rPr>
        <w:t xml:space="preserve"> introduces what King David himself wrote in Psalm 110. Jesus quoted from Psalm 110:1 in 20:42b–43. Some other ways to translate this clause are:</w:t>
      </w:r>
    </w:p>
    <w:p>
      <w:pPr/>
      <w:r>
        <w:rPr>
          <w:lang w:val="en_US" w:bidi="en_US"/>
        </w:rPr>
      </w:r>
      <w:r>
        <w:rPr>
          <w:lang w:val="en_US" w:bidi="en_US"/>
        </w:rPr>
        <w:t>David himself said in the Book of Psalms</w:t>
      </w:r>
    </w:p>
    <w:p>
      <w:pPr/>
      <w:r>
        <w:rPr>
          <w:lang w:val="en_US" w:bidi="en_US"/>
        </w:rPr>
      </w:r>
      <w:r>
        <w:rPr>
          <w:lang w:val="en_US" w:bidi="en_US"/>
        </w:rPr>
        <w:t>David himself wrote in the book of Psalms: (NLT)</w:t>
      </w:r>
    </w:p>
    <w:p>
      <w:pPr/>
      <w:r>
        <w:rPr>
          <w:lang w:val="en_US" w:bidi="en_US"/>
        </w:rPr>
      </w:r>
      <w:r>
        <w:rPr>
          <w:b/>
          <w:lang w:val="en_US" w:bidi="en_US"/>
        </w:rPr>
        <w:t>the book of Psalms:</w:t>
      </w:r>
      <w:r>
        <w:rPr>
          <w:lang w:val="en_US" w:bidi="en_US"/>
        </w:rPr>
        <w:t xml:space="preserve"> </w:t>
      </w:r>
      <w:r>
        <w:rPr>
          <w:i/>
          <w:lang w:val="en_US" w:bidi="en_US"/>
        </w:rPr>
        <w:t>the book of Psalms</w:t>
      </w:r>
      <w:r>
        <w:rPr>
          <w:lang w:val="en_US" w:bidi="en_US"/>
        </w:rPr>
        <w:t xml:space="preserve"> refers to a book of the Old Testament. This book includes psalms that were written by different people. The book of Psalms is part of the holy Scriptures. The word </w:t>
      </w:r>
      <w:r>
        <w:rPr>
          <w:i/>
          <w:lang w:val="en_US" w:bidi="en_US"/>
        </w:rPr>
        <w:t>Psalms</w:t>
      </w:r>
      <w:r>
        <w:rPr>
          <w:lang w:val="en_US" w:bidi="en_US"/>
        </w:rPr>
        <w:t xml:space="preserve"> means “songs” or “songs of praise.”</w:t>
      </w:r>
    </w:p>
    <w:p>
      <w:pPr/>
      <w:r>
        <w:rPr>
          <w:lang w:val="en_US" w:bidi="en_US"/>
        </w:rPr>
      </w:r>
      <w:r>
        <w:rPr>
          <w:lang w:val="en_US" w:bidi="en_US"/>
        </w:rPr>
        <w:t xml:space="preserve">Be sure that your translation of </w:t>
      </w:r>
      <w:r>
        <w:rPr>
          <w:i/>
          <w:lang w:val="en_US" w:bidi="en_US"/>
        </w:rPr>
        <w:t>the book of Psalms</w:t>
      </w:r>
      <w:r>
        <w:rPr>
          <w:lang w:val="en_US" w:bidi="en_US"/>
        </w:rPr>
        <w:t xml:space="preserve"> refers to the biblical book, not to any other song book or hymn book. In some languages it may be helpful to make this explicit. For example:</w:t>
      </w:r>
    </w:p>
    <w:p>
      <w:pPr/>
      <w:r>
        <w:rPr>
          <w:lang w:val="en_US" w:bidi="en_US"/>
        </w:rPr>
      </w:r>
      <w:r>
        <w:rPr>
          <w:lang w:val="en_US" w:bidi="en_US"/>
        </w:rPr>
        <w:t xml:space="preserve">The book of Psalms </w:t>
      </w:r>
      <w:r>
        <w:rPr>
          <w:lang w:val="en_US" w:bidi="en_US"/>
        </w:rPr>
        <w:t>in the Scriptures</w:t>
      </w:r>
    </w:p>
    <w:p>
      <w:pPr/>
      <w:r>
        <w:rPr>
          <w:lang w:val="en_US" w:bidi="en_US"/>
        </w:rPr>
      </w:r>
      <w:r>
        <w:rPr>
          <w:lang w:val="en_US" w:bidi="en_US"/>
        </w:rPr>
        <w:t>in the part of God’s word/book,</w:t>
      </w:r>
      <w:r>
        <w:rPr>
          <w:lang w:val="en_US" w:bidi="en_US"/>
        </w:rPr>
        <w:t xml:space="preserve"> The book of Psalms</w:t>
      </w:r>
    </w:p>
    <w:p>
      <w:pPr>
        <w:pStyle w:val="Heading5"/>
      </w:pPr>
      <w:r>
        <w:rPr>
          <w:lang w:val="en_US" w:bidi="en_US"/>
        </w:rPr>
        <w:t>20:42b</w:t>
      </w:r>
    </w:p>
    <w:p>
      <w:pPr/>
      <w:r>
        <w:rPr>
          <w:lang w:val="en_US" w:bidi="en_US"/>
        </w:rPr>
      </w:r>
      <w:r>
        <w:rPr>
          <w:b/>
          <w:lang w:val="en_US" w:bidi="en_US"/>
        </w:rPr>
        <w:t>‘The Lord said to my Lord,</w:t>
      </w:r>
    </w:p>
    <w:p>
      <w:pPr>
        <w:pStyle w:val="ListBullet"/>
        <w:spacing w:line="240" w:lineRule="auto"/>
        <w:ind w:left="720"/>
      </w:pPr>
      <w:r>
        <w:rPr>
          <w:lang w:val="en_US" w:bidi="en_US"/>
        </w:rPr>
      </w:r>
      <w:r>
        <w:rPr>
          <w:lang w:val="en_US" w:bidi="en_US"/>
        </w:rPr>
        <w:t xml:space="preserve">‘The Lord </w:t>
      </w:r>
      <w:r>
        <w:rPr>
          <w:lang w:val="en_US" w:bidi="en_US"/>
        </w:rPr>
        <w:t>God</w:t>
      </w:r>
      <w:r>
        <w:rPr>
          <w:lang w:val="en_US" w:bidi="en_US"/>
        </w:rPr>
        <w:t xml:space="preserve"> said to my Master/Chief,</w:t>
      </w:r>
    </w:p>
    <w:p>
      <w:pPr>
        <w:pStyle w:val="ListBullet"/>
        <w:spacing w:line="240" w:lineRule="auto"/>
        <w:ind w:left="720"/>
      </w:pPr>
      <w:r>
        <w:rPr>
          <w:lang w:val="en_US" w:bidi="en_US"/>
        </w:rPr>
      </w:r>
      <w:r>
        <w:rPr>
          <w:lang w:val="en_US" w:bidi="en_US"/>
        </w:rPr>
        <w:t xml:space="preserve">‘The Lord </w:t>
      </w:r>
      <w:r>
        <w:rPr>
          <w:lang w:val="en_US" w:bidi="en_US"/>
        </w:rPr>
        <w:t>God</w:t>
      </w:r>
      <w:r>
        <w:rPr>
          <w:lang w:val="en_US" w:bidi="en_US"/>
        </w:rPr>
        <w:t xml:space="preserve"> told my Lord </w:t>
      </w:r>
      <w:r>
        <w:rPr>
          <w:lang w:val="en_US" w:bidi="en_US"/>
        </w:rPr>
        <w:t>the Messiah</w:t>
      </w:r>
    </w:p>
    <w:p>
      <w:pPr/>
      <w:r>
        <w:rPr>
          <w:lang w:val="en_US" w:bidi="en_US"/>
        </w:rPr>
      </w:r>
      <w:r>
        <w:rPr>
          <w:b/>
          <w:lang w:val="en_US" w:bidi="en_US"/>
        </w:rPr>
        <w:t>The Lord said to my Lord:</w:t>
      </w:r>
      <w:r>
        <w:rPr>
          <w:lang w:val="en_US" w:bidi="en_US"/>
        </w:rPr>
        <w:t xml:space="preserve"> This clause indicates that God spoke to the Messiah. In some languages it may be necessary to make the meaning more explicit. For example:</w:t>
      </w:r>
    </w:p>
    <w:p>
      <w:pPr/>
      <w:r>
        <w:rPr>
          <w:lang w:val="en_US" w:bidi="en_US"/>
        </w:rPr>
      </w:r>
      <w:r>
        <w:rPr>
          <w:lang w:val="en_US" w:bidi="en_US"/>
        </w:rPr>
        <w:t>The Lord said to my Master</w:t>
      </w:r>
    </w:p>
    <w:p>
      <w:pPr/>
      <w:r>
        <w:rPr>
          <w:lang w:val="en_US" w:bidi="en_US"/>
        </w:rPr>
      </w:r>
      <w:r>
        <w:rPr>
          <w:lang w:val="en_US" w:bidi="en_US"/>
        </w:rPr>
        <w:t>The Lord God said to my Lord</w:t>
      </w:r>
    </w:p>
    <w:p>
      <w:pPr/>
      <w:r>
        <w:rPr>
          <w:lang w:val="en_US" w:bidi="en_US"/>
        </w:rPr>
      </w:r>
      <w:r>
        <w:rPr>
          <w:lang w:val="en_US" w:bidi="en_US"/>
        </w:rPr>
        <w:t>See Lord, Context 2, in the Glossary.</w:t>
      </w:r>
    </w:p>
    <w:p>
      <w:pPr/>
      <w:r>
        <w:rPr>
          <w:lang w:val="en_US" w:bidi="en_US"/>
        </w:rPr>
      </w:r>
      <w:r>
        <w:rPr>
          <w:b/>
          <w:lang w:val="en_US" w:bidi="en_US"/>
        </w:rPr>
        <w:t>The Lord:</w:t>
      </w:r>
      <w:r>
        <w:rPr>
          <w:lang w:val="en_US" w:bidi="en_US"/>
        </w:rPr>
        <w:t xml:space="preserve"> The phrase </w:t>
      </w:r>
      <w:r>
        <w:rPr>
          <w:i/>
          <w:lang w:val="en_US" w:bidi="en_US"/>
        </w:rPr>
        <w:t>The Lord</w:t>
      </w:r>
      <w:r>
        <w:rPr>
          <w:lang w:val="en_US" w:bidi="en_US"/>
        </w:rPr>
        <w:t xml:space="preserve"> refers to God. In the Hebrew text of Psalm 110:1 the word is “Yahweh,” which is God’s personal name. The Greek text uses the word that the BSB translates as </w:t>
      </w:r>
      <w:r>
        <w:rPr>
          <w:i/>
          <w:lang w:val="en_US" w:bidi="en_US"/>
        </w:rPr>
        <w:t>Lord</w:t>
      </w:r>
      <w:r>
        <w:rPr>
          <w:lang w:val="en_US" w:bidi="en_US"/>
        </w:rPr>
        <w:t xml:space="preserve"> to refer to this name. This Greek word literally means “Master, Chief, Ruler,” but the Jews realized that in this context it was substituting for God’s name Yahweh.</w:t>
      </w:r>
    </w:p>
    <w:p>
      <w:pPr/>
      <w:r>
        <w:rPr>
          <w:lang w:val="en_US" w:bidi="en_US"/>
        </w:rPr>
      </w:r>
      <w:r>
        <w:rPr>
          <w:lang w:val="en_US" w:bidi="en_US"/>
        </w:rPr>
        <w:t xml:space="preserve">In some languages people may not naturally use a word that means “master” to refer to God. They may not understand that the word for </w:t>
      </w:r>
      <w:r>
        <w:rPr>
          <w:i/>
          <w:lang w:val="en_US" w:bidi="en_US"/>
        </w:rPr>
        <w:t>Lord</w:t>
      </w:r>
      <w:r>
        <w:rPr>
          <w:lang w:val="en_US" w:bidi="en_US"/>
        </w:rPr>
        <w:t xml:space="preserve"> refers to God here. If that is true in your language, some other ways to translate it are:</w:t>
      </w:r>
    </w:p>
    <w:p>
      <w:pPr>
        <w:pStyle w:val="ListBullet"/>
        <w:spacing w:line="240" w:lineRule="auto"/>
        <w:ind w:left="720"/>
      </w:pPr>
      <w:r>
        <w:rPr>
          <w:lang w:val="en_US" w:bidi="en_US"/>
        </w:rPr>
      </w:r>
      <w:r>
        <w:rPr>
          <w:lang w:val="en_US" w:bidi="en_US"/>
        </w:rPr>
        <w:t>Use your word for God.</w:t>
      </w:r>
    </w:p>
    <w:p>
      <w:pPr>
        <w:pStyle w:val="ListBullet"/>
        <w:spacing w:line="240" w:lineRule="auto"/>
        <w:ind w:left="720"/>
      </w:pPr>
      <w:r>
        <w:rPr>
          <w:lang w:val="en_US" w:bidi="en_US"/>
        </w:rPr>
      </w:r>
      <w:r>
        <w:rPr>
          <w:lang w:val="en_US" w:bidi="en_US"/>
        </w:rPr>
        <w:t>Use your word for God and indicate that he is the Lord. For example:</w:t>
      </w:r>
      <w:r>
        <w:rPr>
          <w:lang w:val="en_US" w:bidi="en_US"/>
        </w:rPr>
        <w:t>God the Lord</w:t>
      </w:r>
      <w:r>
        <w:rPr>
          <w:lang w:val="en_US" w:bidi="en_US"/>
        </w:rPr>
        <w:t>Master God</w:t>
      </w:r>
    </w:p>
    <w:p>
      <w:pPr/>
      <w:r>
        <w:rPr>
          <w:lang w:val="en_US" w:bidi="en_US"/>
        </w:rPr>
      </w:r>
      <w:r>
        <w:rPr>
          <w:lang w:val="en_US" w:bidi="en_US"/>
        </w:rPr>
        <w:t xml:space="preserve">If you include the word for God in your translation of </w:t>
      </w:r>
      <w:r>
        <w:rPr>
          <w:i/>
          <w:lang w:val="en_US" w:bidi="en_US"/>
        </w:rPr>
        <w:t>Lord</w:t>
      </w:r>
      <w:r>
        <w:rPr>
          <w:lang w:val="en_US" w:bidi="en_US"/>
        </w:rPr>
        <w:t>, you may want to include a footnote to give the literal Greek meaning. For example:</w:t>
      </w:r>
    </w:p>
    <w:p>
      <w:pPr/>
      <w:r>
        <w:rPr>
          <w:lang w:val="en_US" w:bidi="en_US"/>
        </w:rPr>
      </w:r>
      <w:r>
        <w:rPr>
          <w:lang w:val="en_US" w:bidi="en_US"/>
        </w:rPr>
        <w:t>Here the Greek text is literally “Lord.”</w:t>
      </w:r>
    </w:p>
    <w:p>
      <w:pPr/>
      <w:r>
        <w:rPr>
          <w:lang w:val="en_US" w:bidi="en_US"/>
        </w:rPr>
      </w:r>
      <w:r>
        <w:rPr>
          <w:b/>
          <w:lang w:val="en_US" w:bidi="en_US"/>
        </w:rPr>
        <w:t>my Lord:</w:t>
      </w:r>
      <w:r>
        <w:rPr>
          <w:lang w:val="en_US" w:bidi="en_US"/>
        </w:rPr>
        <w:t xml:space="preserve"> The phrase that the BSB translates as </w:t>
      </w:r>
      <w:r>
        <w:rPr>
          <w:i/>
          <w:lang w:val="en_US" w:bidi="en_US"/>
        </w:rPr>
        <w:t>my Lord</w:t>
      </w:r>
      <w:r>
        <w:rPr>
          <w:lang w:val="en_US" w:bidi="en_US"/>
        </w:rPr>
        <w:t xml:space="preserve"> means “my lord” or “my master.” In this context </w:t>
      </w:r>
      <w:r>
        <w:rPr>
          <w:i/>
          <w:lang w:val="en_US" w:bidi="en_US"/>
        </w:rPr>
        <w:t>Lord</w:t>
      </w:r>
      <w:r>
        <w:rPr>
          <w:lang w:val="en_US" w:bidi="en_US"/>
        </w:rPr>
        <w:t xml:space="preserve"> refers to the Messiah. Other ways to translate </w:t>
      </w:r>
      <w:r>
        <w:rPr>
          <w:i/>
          <w:lang w:val="en_US" w:bidi="en_US"/>
        </w:rPr>
        <w:t>my Lord</w:t>
      </w:r>
      <w:r>
        <w:rPr>
          <w:lang w:val="en_US" w:bidi="en_US"/>
        </w:rPr>
        <w:t xml:space="preserve"> are:</w:t>
      </w:r>
    </w:p>
    <w:p>
      <w:pPr/>
      <w:r>
        <w:rPr>
          <w:lang w:val="en_US" w:bidi="en_US"/>
        </w:rPr>
      </w:r>
      <w:r>
        <w:rPr>
          <w:lang w:val="en_US" w:bidi="en_US"/>
        </w:rPr>
        <w:t>my chief</w:t>
      </w:r>
    </w:p>
    <w:p>
      <w:pPr/>
      <w:r>
        <w:rPr>
          <w:lang w:val="en_US" w:bidi="en_US"/>
        </w:rPr>
      </w:r>
      <w:r>
        <w:rPr>
          <w:lang w:val="en_US" w:bidi="en_US"/>
        </w:rPr>
        <w:t>my ruler</w:t>
      </w:r>
    </w:p>
    <w:p>
      <w:pPr/>
      <w:r>
        <w:rPr>
          <w:lang w:val="en_US" w:bidi="en_US"/>
        </w:rPr>
      </w:r>
      <w:r>
        <w:rPr>
          <w:lang w:val="en_US" w:bidi="en_US"/>
        </w:rPr>
        <w:t xml:space="preserve">my Lord </w:t>
      </w:r>
      <w:r>
        <w:rPr>
          <w:lang w:val="en_US" w:bidi="en_US"/>
        </w:rPr>
        <w:t>the Messiah/Christ</w:t>
      </w:r>
    </w:p>
    <w:p>
      <w:pPr/>
      <w:r>
        <w:rPr>
          <w:lang w:val="en_US" w:bidi="en_US"/>
        </w:rPr>
      </w:r>
      <w:r>
        <w:rPr>
          <w:lang w:val="en_US" w:bidi="en_US"/>
        </w:rPr>
        <w:t>See Lord, Context 3, in the Glossary.</w:t>
      </w:r>
    </w:p>
    <w:p>
      <w:pPr>
        <w:pStyle w:val="Heading5"/>
      </w:pPr>
      <w:r>
        <w:rPr>
          <w:lang w:val="en_US" w:bidi="en_US"/>
        </w:rPr>
        <w:t>20:42c</w:t>
      </w:r>
    </w:p>
    <w:p>
      <w:pPr/>
      <w:r>
        <w:rPr>
          <w:lang w:val="en_US" w:bidi="en_US"/>
        </w:rPr>
      </w:r>
      <w:r>
        <w:rPr>
          <w:b/>
          <w:lang w:val="en_US" w:bidi="en_US"/>
        </w:rPr>
        <w:t>“Sit at My right hand</w:t>
      </w:r>
    </w:p>
    <w:p>
      <w:pPr>
        <w:pStyle w:val="ListBullet"/>
        <w:spacing w:line="240" w:lineRule="auto"/>
        <w:ind w:left="720"/>
      </w:pPr>
      <w:r>
        <w:rPr>
          <w:lang w:val="en_US" w:bidi="en_US"/>
        </w:rPr>
      </w:r>
      <w:r>
        <w:rPr>
          <w:lang w:val="en_US" w:bidi="en_US"/>
        </w:rPr>
        <w:t>“Sit</w:t>
      </w:r>
      <w:r>
        <w:rPr>
          <w:vertAlign w:val="superscript"/>
          <w:lang w:val="en_US" w:bidi="en_US"/>
        </w:rPr>
        <w:t>(sing)</w:t>
      </w:r>
      <w:r>
        <w:rPr>
          <w:lang w:val="en_US" w:bidi="en_US"/>
        </w:rPr>
        <w:t xml:space="preserve"> by me at my right </w:t>
      </w:r>
      <w:r>
        <w:rPr>
          <w:lang w:val="en_US" w:bidi="en_US"/>
        </w:rPr>
        <w:t>and join me in ruling</w:t>
      </w:r>
      <w:r>
        <w:rPr>
          <w:lang w:val="en_US" w:bidi="en_US"/>
        </w:rPr>
        <w:t>,</w:t>
      </w:r>
    </w:p>
    <w:p>
      <w:pPr>
        <w:pStyle w:val="ListBullet"/>
        <w:spacing w:line="240" w:lineRule="auto"/>
        <w:ind w:left="720"/>
      </w:pPr>
      <w:r>
        <w:rPr>
          <w:lang w:val="en_US" w:bidi="en_US"/>
        </w:rPr>
      </w:r>
      <w:r>
        <w:rPr>
          <w:lang w:val="en_US" w:bidi="en_US"/>
        </w:rPr>
        <w:t>to sit in the place of honor and authority next to him.</w:t>
      </w:r>
    </w:p>
    <w:p>
      <w:pPr/>
      <w:r>
        <w:rPr>
          <w:lang w:val="en_US" w:bidi="en_US"/>
        </w:rPr>
      </w:r>
      <w:r>
        <w:rPr>
          <w:b/>
          <w:lang w:val="en_US" w:bidi="en_US"/>
        </w:rPr>
        <w:t>Sit at My right hand:</w:t>
      </w:r>
      <w:r>
        <w:rPr>
          <w:lang w:val="en_US" w:bidi="en_US"/>
        </w:rPr>
        <w:t xml:space="preserve"> The Lord told the Messiah to sit at his (the Lord’s) right hand/side. In Jewish culture, the seat at a king’s right side was a symbol of honor and authority. It symbolized that the king gave the person seated there authority to rule along with him. In this context, God was telling the Messiah to take this position of honor and to rule along with him (God).</w:t>
      </w:r>
      <w:r>
        <w:rPr>
          <w:lang w:val="en_US" w:bidi="en_US"/>
        </w:rPr>
        <w:t>If a king wanted to greatly honor a person, he would allow that person to sit in the seat at his right side. By doing this, the king was showing everyone that he wanted all the people in the kingdom to honor the person at his right side more than they honored anyone else in the kingdom except the king himself. The king was also showing that he had given the person in the seat at his right side special rights that were more important than the special rights that anyone else in the kingdom had, besides the king himself.</w:t>
      </w:r>
    </w:p>
    <w:p>
      <w:pPr/>
      <w:r>
        <w:rPr>
          <w:lang w:val="en_US" w:bidi="en_US"/>
        </w:rPr>
      </w:r>
      <w:r>
        <w:rPr>
          <w:lang w:val="en_US" w:bidi="en_US"/>
        </w:rPr>
        <w:t>In some languages, it may be necessary to make the meaning more explicit. For example:</w:t>
      </w:r>
    </w:p>
    <w:p>
      <w:pPr/>
      <w:r>
        <w:rPr>
          <w:lang w:val="en_US" w:bidi="en_US"/>
        </w:rPr>
      </w:r>
      <w:r>
        <w:rPr>
          <w:lang w:val="en_US" w:bidi="en_US"/>
        </w:rPr>
        <w:t xml:space="preserve">Sit here </w:t>
      </w:r>
      <w:r>
        <w:rPr>
          <w:lang w:val="en_US" w:bidi="en_US"/>
        </w:rPr>
        <w:t>in the place of honor</w:t>
      </w:r>
      <w:r>
        <w:rPr>
          <w:lang w:val="en_US" w:bidi="en_US"/>
        </w:rPr>
        <w:t xml:space="preserve"> at my right side</w:t>
      </w:r>
    </w:p>
    <w:p>
      <w:pPr/>
      <w:r>
        <w:rPr>
          <w:lang w:val="en_US" w:bidi="en_US"/>
        </w:rPr>
      </w:r>
      <w:r>
        <w:rPr>
          <w:lang w:val="en_US" w:bidi="en_US"/>
        </w:rPr>
        <w:t xml:space="preserve">Sit down here at the right </w:t>
      </w:r>
      <w:r>
        <w:rPr>
          <w:lang w:val="en_US" w:bidi="en_US"/>
        </w:rPr>
        <w:t>to join me in ruling</w:t>
      </w:r>
    </w:p>
    <w:p>
      <w:pPr/>
      <w:r>
        <w:rPr>
          <w:lang w:val="en_US" w:bidi="en_US"/>
        </w:rPr>
      </w:r>
      <w:r>
        <w:rPr>
          <w:lang w:val="en_US" w:bidi="en_US"/>
        </w:rPr>
        <w:t>If you do not make this implied information explicit in the text itself, you may want to add a footnote that explains the meaning.</w:t>
      </w:r>
      <w:r>
        <w:rPr>
          <w:lang w:val="en_US" w:bidi="en_US"/>
        </w:rPr>
      </w:r>
      <w:r>
        <w:rPr>
          <w:lang w:val="en_US" w:bidi="en_US"/>
        </w:rPr>
      </w:r>
    </w:p>
    <w:p>
      <w:pPr/>
      <w:r>
        <w:rPr>
          <w:lang w:val="en_US" w:bidi="en_US"/>
        </w:rPr>
      </w:r>
    </w:p>
    <w:p>
      <w:pPr>
        <w:pStyle w:val="Heading2"/>
      </w:pPr>
      <w:r>
        <w:rPr>
          <w:lang w:val="en_US" w:bidi="en_US"/>
        </w:rPr>
        <w:t>Luke 20:43</w:t>
      </w:r>
      <w:r>
        <w:rPr>
          <w:lang w:val="en_US" w:bidi="en_US"/>
        </w:rPr>
      </w:r>
    </w:p>
    <w:p>
      <w:pPr>
        <w:pStyle w:val="Heading4"/>
      </w:pPr>
      <w:r>
        <w:rPr>
          <w:lang w:val="en_US" w:bidi="en_US"/>
        </w:rPr>
        <w:t>Section 20:41–44: Jesus asked people a difficult question about the Messiah</w:t>
      </w:r>
    </w:p>
    <w:p>
      <w:pPr/>
      <w:r>
        <w:rPr>
          <w:lang w:val="en_US" w:bidi="en_US"/>
        </w:rPr>
      </w:r>
      <w:r>
        <w:rPr>
          <w:lang w:val="en_US" w:bidi="en_US"/>
        </w:rPr>
        <w:t>In this section Jesus was still teaching in the courtyard of the temple. Many people listened to him there. As he taught, he asked them about the Christ (Messiah) and his ancestor King David. Jesus asked them about this because he wanted the people to think about two things that the Scriptures say about the Messiah:</w:t>
      </w:r>
    </w:p>
    <w:p>
      <w:pPr>
        <w:pStyle w:val="ListNumber"/>
        <w:numPr>
          <w:ilvl w:val="0"/>
          <w:numId w:val="341"/>
        </w:numPr>
        <w:spacing w:line="240" w:lineRule="auto"/>
        <w:ind w:left="720"/>
      </w:pPr>
      <w:r>
        <w:rPr>
          <w:lang w:val="en_US" w:bidi="en_US"/>
        </w:rPr>
      </w:r>
      <w:r>
        <w:rPr>
          <w:lang w:val="en_US" w:bidi="en_US"/>
        </w:rPr>
        <w:t>The Scriptures predicted that the Messiah would be a descendant of King David.</w:t>
      </w:r>
    </w:p>
    <w:p>
      <w:pPr>
        <w:pStyle w:val="ListNumber"/>
        <w:spacing w:line="240" w:lineRule="auto"/>
        <w:ind w:left="720"/>
      </w:pPr>
      <w:r>
        <w:rPr>
          <w:lang w:val="en_US" w:bidi="en_US"/>
        </w:rPr>
      </w:r>
      <w:r>
        <w:rPr>
          <w:lang w:val="en_US" w:bidi="en_US"/>
        </w:rPr>
        <w:t>David called the Messiah “Lord,” showing that the Messiah was much greater than David.</w:t>
      </w:r>
    </w:p>
    <w:p>
      <w:pPr/>
      <w:r>
        <w:rPr>
          <w:lang w:val="en_US" w:bidi="en_US"/>
        </w:rPr>
      </w:r>
      <w:r>
        <w:rPr>
          <w:lang w:val="en_US" w:bidi="en_US"/>
        </w:rPr>
        <w:t>To Jewish people, it was difficult to explain how both these facts could be true. They thought that an ancestor must be greater than his descendant. Jesus wanted them to know that the Messiah would be much greater than the earthly ruler that they expected him to be. He would be a descendant of David, but he would be greater than David. He would share the throne of God.</w:t>
      </w:r>
    </w:p>
    <w:p>
      <w:pPr/>
      <w:r>
        <w:rPr>
          <w:lang w:val="en_US" w:bidi="en_US"/>
        </w:rPr>
      </w:r>
      <w:r>
        <w:rPr>
          <w:lang w:val="en_US" w:bidi="en_US"/>
        </w:rPr>
        <w:t>It is good to translate this section before you decide on a heading for it. Examples of other headings for this section are:</w:t>
      </w:r>
    </w:p>
    <w:p>
      <w:pPr/>
      <w:r>
        <w:rPr>
          <w:lang w:val="en_US" w:bidi="en_US"/>
        </w:rPr>
      </w:r>
      <w:r>
        <w:rPr>
          <w:lang w:val="en_US" w:bidi="en_US"/>
        </w:rPr>
        <w:t>The Question about the Messiah (GNT)</w:t>
      </w:r>
    </w:p>
    <w:p>
      <w:pPr/>
      <w:r>
        <w:rPr>
          <w:lang w:val="en_US" w:bidi="en_US"/>
        </w:rPr>
      </w:r>
      <w:r>
        <w:rPr>
          <w:lang w:val="en_US" w:bidi="en_US"/>
        </w:rPr>
        <w:t>Whose Son Is the Christ? (ESV)</w:t>
      </w:r>
    </w:p>
    <w:p>
      <w:pPr/>
      <w:r>
        <w:rPr>
          <w:lang w:val="en_US" w:bidi="en_US"/>
        </w:rPr>
      </w:r>
      <w:r>
        <w:rPr>
          <w:lang w:val="en_US" w:bidi="en_US"/>
        </w:rPr>
        <w:t>There are parallel passages for this section in Matthew 22:41–46 and Mark 12:35–37.</w:t>
      </w:r>
    </w:p>
    <w:p>
      <w:pPr>
        <w:pStyle w:val="Heading5"/>
      </w:pPr>
      <w:r>
        <w:rPr>
          <w:lang w:val="en_US" w:bidi="en_US"/>
        </w:rPr>
        <w:t>20:43</w:t>
      </w:r>
    </w:p>
    <w:p>
      <w:pPr/>
      <w:r>
        <w:rPr>
          <w:lang w:val="en_US" w:bidi="en_US"/>
        </w:rPr>
      </w:r>
      <w:r>
        <w:rPr>
          <w:b/>
          <w:lang w:val="en_US" w:bidi="en_US"/>
        </w:rPr>
        <w:t>until I make Your enemies a footstool for Your feet.”’</w:t>
      </w:r>
    </w:p>
    <w:p>
      <w:pPr>
        <w:pStyle w:val="ListBullet"/>
        <w:spacing w:line="240" w:lineRule="auto"/>
        <w:ind w:left="720"/>
      </w:pPr>
      <w:r>
        <w:rPr>
          <w:lang w:val="en_US" w:bidi="en_US"/>
        </w:rPr>
      </w:r>
      <w:r>
        <w:rPr>
          <w:lang w:val="en_US" w:bidi="en_US"/>
        </w:rPr>
        <w:t>as I completely defeat your</w:t>
      </w:r>
      <w:r>
        <w:rPr>
          <w:vertAlign w:val="superscript"/>
          <w:lang w:val="en_US" w:bidi="en_US"/>
        </w:rPr>
        <w:t>(sing)</w:t>
      </w:r>
      <w:r>
        <w:rPr>
          <w:lang w:val="en_US" w:bidi="en_US"/>
        </w:rPr>
        <w:t xml:space="preserve"> enemies. I will make them like a footstool for you.” ’</w:t>
      </w:r>
    </w:p>
    <w:p>
      <w:pPr>
        <w:pStyle w:val="ListBullet"/>
        <w:spacing w:line="240" w:lineRule="auto"/>
        <w:ind w:left="720"/>
      </w:pPr>
      <w:r>
        <w:rPr>
          <w:lang w:val="en_US" w:bidi="en_US"/>
        </w:rPr>
      </w:r>
      <w:r>
        <w:rPr>
          <w:lang w:val="en_US" w:bidi="en_US"/>
        </w:rPr>
        <w:t>God declared that</w:t>
      </w:r>
      <w:r>
        <w:rPr>
          <w:lang w:val="en_US" w:bidi="en_US"/>
        </w:rPr>
        <w:t xml:space="preserve"> he would make all who hated/opposed the Messiah submit completely to him.’”</w:t>
      </w:r>
    </w:p>
    <w:p>
      <w:pPr/>
      <w:r>
        <w:rPr>
          <w:lang w:val="en_US" w:bidi="en_US"/>
        </w:rPr>
      </w:r>
      <w:r>
        <w:rPr>
          <w:b/>
          <w:lang w:val="en_US" w:bidi="en_US"/>
        </w:rPr>
        <w:t>until I make Your enemies a footstool for Your feet:</w:t>
      </w:r>
      <w:r>
        <w:rPr>
          <w:lang w:val="en_US" w:bidi="en_US"/>
        </w:rPr>
        <w:t xml:space="preserve"> God spoke in a figurative way here. This clause is a promise that God will conquer the Messiah’s enemies and put them completely under the Messiah’s control. He compared the Messiah to a king who sits on his throne and rests his feet on the back or neck of an enemy king. That action shows that he has conquered the enemy king and completely controls him and his people. Some other ways to translate this are:</w:t>
      </w:r>
    </w:p>
    <w:p>
      <w:pPr/>
      <w:r>
        <w:rPr>
          <w:lang w:val="en_US" w:bidi="en_US"/>
        </w:rPr>
      </w:r>
      <w:r>
        <w:rPr>
          <w:lang w:val="en_US" w:bidi="en_US"/>
        </w:rPr>
        <w:t>while I put your enemies completely under your control</w:t>
      </w:r>
    </w:p>
    <w:p>
      <w:pPr/>
      <w:r>
        <w:rPr>
          <w:lang w:val="en_US" w:bidi="en_US"/>
        </w:rPr>
      </w:r>
      <w:r>
        <w:rPr>
          <w:lang w:val="en_US" w:bidi="en_US"/>
        </w:rPr>
        <w:t>while I humble your enemies and</w:t>
      </w:r>
    </w:p>
    <w:p>
      <w:pPr/>
      <w:r>
        <w:rPr>
          <w:lang w:val="en_US" w:bidi="en_US"/>
        </w:rPr>
      </w:r>
      <w:r>
        <w:rPr>
          <w:lang w:val="en_US" w:bidi="en_US"/>
        </w:rPr>
        <w:t>make them like a stool for your feet</w:t>
      </w:r>
    </w:p>
    <w:p>
      <w:pPr/>
      <w:r>
        <w:rPr>
          <w:lang w:val="en_US" w:bidi="en_US"/>
        </w:rPr>
      </w:r>
      <w:r>
        <w:rPr>
          <w:b/>
          <w:lang w:val="en_US" w:bidi="en_US"/>
        </w:rPr>
        <w:t>until:</w:t>
      </w:r>
      <w:r>
        <w:rPr>
          <w:lang w:val="en_US" w:bidi="en_US"/>
        </w:rPr>
        <w:t xml:space="preserve"> The Greek word that the BSB translates as </w:t>
      </w:r>
      <w:r>
        <w:rPr>
          <w:i/>
          <w:lang w:val="en_US" w:bidi="en_US"/>
        </w:rPr>
        <w:t>until</w:t>
      </w:r>
      <w:r>
        <w:rPr>
          <w:lang w:val="en_US" w:bidi="en_US"/>
        </w:rPr>
        <w:t xml:space="preserve"> here means “during the time that” or “while.” The text does not say what the Messiah would do after God had defeated his enemies. But it does not mean that the Messiah would no longer sit at God’s right side after God had defeated the Messiah’s enemies.</w:t>
      </w:r>
    </w:p>
    <w:p>
      <w:pPr/>
      <w:r>
        <w:rPr>
          <w:lang w:val="en_US" w:bidi="en_US"/>
        </w:rPr>
      </w:r>
      <w:r>
        <w:rPr>
          <w:b/>
          <w:lang w:val="en_US" w:bidi="en_US"/>
        </w:rPr>
        <w:t>a footstool for Your feet:</w:t>
      </w:r>
      <w:r>
        <w:rPr>
          <w:lang w:val="en_US" w:bidi="en_US"/>
        </w:rPr>
        <w:t xml:space="preserve"> A </w:t>
      </w:r>
      <w:r>
        <w:rPr>
          <w:i/>
          <w:lang w:val="en_US" w:bidi="en_US"/>
        </w:rPr>
        <w:t>footstool</w:t>
      </w:r>
      <w:r>
        <w:rPr>
          <w:lang w:val="en_US" w:bidi="en_US"/>
        </w:rPr>
        <w:t xml:space="preserve"> was a small table or cushion that a person could rest his feet on while he was sitting. The Lord would make the Messiah’s enemies like a footstool for his feet.</w:t>
      </w:r>
      <w:r>
        <w:rPr>
          <w:lang w:val="en_US" w:bidi="en_US"/>
        </w:rPr>
      </w:r>
      <w:r>
        <w:rPr>
          <w:lang w:val="en_US" w:bidi="en_US"/>
        </w:rPr>
      </w:r>
    </w:p>
    <w:p>
      <w:pPr/>
      <w:r>
        <w:rPr>
          <w:lang w:val="en_US" w:bidi="en_US"/>
        </w:rPr>
      </w:r>
    </w:p>
    <w:p>
      <w:pPr>
        <w:pStyle w:val="Heading2"/>
      </w:pPr>
      <w:r>
        <w:rPr>
          <w:lang w:val="en_US" w:bidi="en_US"/>
        </w:rPr>
        <w:t>Luke 20:44</w:t>
      </w:r>
      <w:r>
        <w:rPr>
          <w:lang w:val="en_US" w:bidi="en_US"/>
        </w:rPr>
      </w:r>
    </w:p>
    <w:p>
      <w:pPr>
        <w:pStyle w:val="Heading4"/>
      </w:pPr>
      <w:r>
        <w:rPr>
          <w:lang w:val="en_US" w:bidi="en_US"/>
        </w:rPr>
        <w:t>Section 20:41–44: Jesus asked people a difficult question about the Messiah</w:t>
      </w:r>
    </w:p>
    <w:p>
      <w:pPr/>
      <w:r>
        <w:rPr>
          <w:lang w:val="en_US" w:bidi="en_US"/>
        </w:rPr>
      </w:r>
      <w:r>
        <w:rPr>
          <w:lang w:val="en_US" w:bidi="en_US"/>
        </w:rPr>
        <w:t>In this section Jesus was still teaching in the courtyard of the temple. Many people listened to him there. As he taught, he asked them about the Christ (Messiah) and his ancestor King David. Jesus asked them about this because he wanted the people to think about two things that the Scriptures say about the Messiah:</w:t>
      </w:r>
    </w:p>
    <w:p>
      <w:pPr>
        <w:pStyle w:val="ListNumber"/>
        <w:numPr>
          <w:ilvl w:val="0"/>
          <w:numId w:val="342"/>
        </w:numPr>
        <w:spacing w:line="240" w:lineRule="auto"/>
        <w:ind w:left="720"/>
      </w:pPr>
      <w:r>
        <w:rPr>
          <w:lang w:val="en_US" w:bidi="en_US"/>
        </w:rPr>
      </w:r>
      <w:r>
        <w:rPr>
          <w:lang w:val="en_US" w:bidi="en_US"/>
        </w:rPr>
        <w:t>The Scriptures predicted that the Messiah would be a descendant of King David.</w:t>
      </w:r>
    </w:p>
    <w:p>
      <w:pPr>
        <w:pStyle w:val="ListNumber"/>
        <w:spacing w:line="240" w:lineRule="auto"/>
        <w:ind w:left="720"/>
      </w:pPr>
      <w:r>
        <w:rPr>
          <w:lang w:val="en_US" w:bidi="en_US"/>
        </w:rPr>
      </w:r>
      <w:r>
        <w:rPr>
          <w:lang w:val="en_US" w:bidi="en_US"/>
        </w:rPr>
        <w:t>David called the Messiah “Lord,” showing that the Messiah was much greater than David.</w:t>
      </w:r>
    </w:p>
    <w:p>
      <w:pPr/>
      <w:r>
        <w:rPr>
          <w:lang w:val="en_US" w:bidi="en_US"/>
        </w:rPr>
      </w:r>
      <w:r>
        <w:rPr>
          <w:lang w:val="en_US" w:bidi="en_US"/>
        </w:rPr>
        <w:t>To Jewish people, it was difficult to explain how both these facts could be true. They thought that an ancestor must be greater than his descendant. Jesus wanted them to know that the Messiah would be much greater than the earthly ruler that they expected him to be. He would be a descendant of David, but he would be greater than David. He would share the throne of God.</w:t>
      </w:r>
    </w:p>
    <w:p>
      <w:pPr/>
      <w:r>
        <w:rPr>
          <w:lang w:val="en_US" w:bidi="en_US"/>
        </w:rPr>
      </w:r>
      <w:r>
        <w:rPr>
          <w:lang w:val="en_US" w:bidi="en_US"/>
        </w:rPr>
        <w:t>It is good to translate this section before you decide on a heading for it. Examples of other headings for this section are:</w:t>
      </w:r>
    </w:p>
    <w:p>
      <w:pPr/>
      <w:r>
        <w:rPr>
          <w:lang w:val="en_US" w:bidi="en_US"/>
        </w:rPr>
      </w:r>
      <w:r>
        <w:rPr>
          <w:lang w:val="en_US" w:bidi="en_US"/>
        </w:rPr>
        <w:t>The Question about the Messiah (GNT)</w:t>
      </w:r>
    </w:p>
    <w:p>
      <w:pPr/>
      <w:r>
        <w:rPr>
          <w:lang w:val="en_US" w:bidi="en_US"/>
        </w:rPr>
      </w:r>
      <w:r>
        <w:rPr>
          <w:lang w:val="en_US" w:bidi="en_US"/>
        </w:rPr>
        <w:t>Whose Son Is the Christ? (ESV)</w:t>
      </w:r>
    </w:p>
    <w:p>
      <w:pPr/>
      <w:r>
        <w:rPr>
          <w:lang w:val="en_US" w:bidi="en_US"/>
        </w:rPr>
      </w:r>
      <w:r>
        <w:rPr>
          <w:lang w:val="en_US" w:bidi="en_US"/>
        </w:rPr>
        <w:t>There are parallel passages for this section in Matthew 22:41–46 and Mark 12:35–37.</w:t>
      </w:r>
    </w:p>
    <w:p>
      <w:pPr>
        <w:pStyle w:val="Heading5"/>
      </w:pPr>
      <w:r>
        <w:rPr>
          <w:lang w:val="en_US" w:bidi="en_US"/>
        </w:rPr>
        <w:t>20:44a</w:t>
      </w:r>
    </w:p>
    <w:p>
      <w:pPr/>
      <w:r>
        <w:rPr>
          <w:lang w:val="en_US" w:bidi="en_US"/>
        </w:rPr>
      </w:r>
      <w:r>
        <w:rPr>
          <w:b/>
          <w:lang w:val="en_US" w:bidi="en_US"/>
        </w:rPr>
        <w:t>Thus David calls Him ‘Lord.’</w:t>
      </w:r>
    </w:p>
    <w:p>
      <w:pPr>
        <w:pStyle w:val="ListBullet"/>
        <w:spacing w:line="240" w:lineRule="auto"/>
        <w:ind w:left="720"/>
      </w:pPr>
      <w:r>
        <w:rPr>
          <w:lang w:val="en_US" w:bidi="en_US"/>
        </w:rPr>
      </w:r>
      <w:r>
        <w:rPr>
          <w:lang w:val="en_US" w:bidi="en_US"/>
        </w:rPr>
        <w:t>King</w:t>
      </w:r>
      <w:r>
        <w:rPr>
          <w:lang w:val="en_US" w:bidi="en_US"/>
        </w:rPr>
        <w:t xml:space="preserve"> David called him ‘Lord,’</w:t>
      </w:r>
    </w:p>
    <w:p>
      <w:pPr>
        <w:pStyle w:val="ListBullet"/>
        <w:spacing w:line="240" w:lineRule="auto"/>
        <w:ind w:left="720"/>
      </w:pPr>
      <w:r>
        <w:rPr>
          <w:lang w:val="en_US" w:bidi="en_US"/>
        </w:rPr>
      </w:r>
      <w:r>
        <w:rPr>
          <w:lang w:val="en_US" w:bidi="en_US"/>
        </w:rPr>
        <w:t>Then Jesus said, “</w:t>
      </w:r>
      <w:r>
        <w:rPr>
          <w:lang w:val="en_US" w:bidi="en_US"/>
        </w:rPr>
        <w:t>In that passage</w:t>
      </w:r>
      <w:r>
        <w:rPr>
          <w:lang w:val="en_US" w:bidi="en_US"/>
        </w:rPr>
        <w:t xml:space="preserve"> </w:t>
      </w:r>
      <w:r>
        <w:rPr>
          <w:lang w:val="en_US" w:bidi="en_US"/>
        </w:rPr>
        <w:t>King</w:t>
      </w:r>
      <w:r>
        <w:rPr>
          <w:lang w:val="en_US" w:bidi="en_US"/>
        </w:rPr>
        <w:t xml:space="preserve"> David referred to </w:t>
      </w:r>
      <w:r>
        <w:rPr>
          <w:lang w:val="en_US" w:bidi="en_US"/>
        </w:rPr>
        <w:t>the Messiah</w:t>
      </w:r>
      <w:r>
        <w:rPr>
          <w:lang w:val="en_US" w:bidi="en_US"/>
        </w:rPr>
        <w:t xml:space="preserve"> as ‘Lord.’</w:t>
      </w:r>
    </w:p>
    <w:p>
      <w:pPr/>
      <w:r>
        <w:rPr>
          <w:lang w:val="en_US" w:bidi="en_US"/>
        </w:rPr>
      </w:r>
      <w:r>
        <w:rPr>
          <w:b/>
          <w:lang w:val="en_US" w:bidi="en_US"/>
        </w:rPr>
        <w:t>Thus David calls Him ‘Lord’:</w:t>
      </w:r>
      <w:r>
        <w:rPr>
          <w:lang w:val="en_US" w:bidi="en_US"/>
        </w:rPr>
        <w:t xml:space="preserve"> David was a great king. Yet he referred to the Messiah as “my Lord.” So Jesus implied that the Messiah must be even greater than King David. In some languages it may be helpful to make it explicit that David was a very important man, a king. For example:</w:t>
      </w:r>
    </w:p>
    <w:p>
      <w:pPr/>
      <w:r>
        <w:rPr>
          <w:lang w:val="en_US" w:bidi="en_US"/>
        </w:rPr>
      </w:r>
      <w:r>
        <w:rPr>
          <w:lang w:val="en_US" w:bidi="en_US"/>
        </w:rPr>
        <w:t>The great King</w:t>
      </w:r>
      <w:r>
        <w:rPr>
          <w:lang w:val="en_US" w:bidi="en_US"/>
        </w:rPr>
        <w:t xml:space="preserve"> David calls him ‘Lord.’</w:t>
      </w:r>
    </w:p>
    <w:p>
      <w:pPr/>
      <w:r>
        <w:rPr>
          <w:lang w:val="en_US" w:bidi="en_US"/>
        </w:rPr>
      </w:r>
      <w:r>
        <w:rPr>
          <w:lang w:val="en_US" w:bidi="en_US"/>
        </w:rPr>
        <w:t xml:space="preserve">In some languages it may be helpful to translate the clause without expressing the word </w:t>
      </w:r>
      <w:r>
        <w:rPr>
          <w:i/>
          <w:lang w:val="en_US" w:bidi="en_US"/>
        </w:rPr>
        <w:t>Lord</w:t>
      </w:r>
      <w:r>
        <w:rPr>
          <w:lang w:val="en_US" w:bidi="en_US"/>
        </w:rPr>
        <w:t xml:space="preserve"> as a quotation. For example:</w:t>
      </w:r>
    </w:p>
    <w:p>
      <w:pPr/>
      <w:r>
        <w:rPr>
          <w:lang w:val="en_US" w:bidi="en_US"/>
        </w:rPr>
      </w:r>
      <w:r>
        <w:rPr>
          <w:lang w:val="en_US" w:bidi="en_US"/>
        </w:rPr>
        <w:t>King</w:t>
      </w:r>
      <w:r>
        <w:rPr>
          <w:lang w:val="en_US" w:bidi="en_US"/>
        </w:rPr>
        <w:t xml:space="preserve"> David says that he is </w:t>
      </w:r>
      <w:r>
        <w:rPr>
          <w:lang w:val="en_US" w:bidi="en_US"/>
        </w:rPr>
        <w:t>his</w:t>
      </w:r>
      <w:r>
        <w:rPr>
          <w:lang w:val="en_US" w:bidi="en_US"/>
        </w:rPr>
        <w:t xml:space="preserve"> Lord.</w:t>
      </w:r>
    </w:p>
    <w:p>
      <w:pPr/>
      <w:r>
        <w:rPr>
          <w:lang w:val="en_US" w:bidi="en_US"/>
        </w:rPr>
      </w:r>
      <w:r>
        <w:rPr>
          <w:lang w:val="en_US" w:bidi="en_US"/>
        </w:rPr>
        <w:t>See Lord, Context 2, in the Glossary.</w:t>
      </w:r>
    </w:p>
    <w:p>
      <w:pPr>
        <w:pStyle w:val="Heading5"/>
      </w:pPr>
      <w:r>
        <w:rPr>
          <w:lang w:val="en_US" w:bidi="en_US"/>
        </w:rPr>
        <w:t>20:44b</w:t>
      </w:r>
    </w:p>
    <w:p>
      <w:pPr/>
      <w:r>
        <w:rPr>
          <w:lang w:val="en_US" w:bidi="en_US"/>
        </w:rPr>
      </w:r>
      <w:r>
        <w:rPr>
          <w:b/>
          <w:lang w:val="en_US" w:bidi="en_US"/>
        </w:rPr>
        <w:t>So how can He be David’s son?”</w:t>
      </w:r>
    </w:p>
    <w:p>
      <w:pPr>
        <w:pStyle w:val="ListBullet"/>
        <w:spacing w:line="240" w:lineRule="auto"/>
        <w:ind w:left="720"/>
      </w:pPr>
      <w:r>
        <w:rPr>
          <w:lang w:val="en_US" w:bidi="en_US"/>
        </w:rPr>
      </w:r>
      <w:r>
        <w:rPr>
          <w:lang w:val="en_US" w:bidi="en_US"/>
        </w:rPr>
        <w:t xml:space="preserve">so how is it that </w:t>
      </w:r>
      <w:r>
        <w:rPr>
          <w:lang w:val="en_US" w:bidi="en_US"/>
        </w:rPr>
        <w:t>the Christ</w:t>
      </w:r>
      <w:r>
        <w:rPr>
          <w:lang w:val="en_US" w:bidi="en_US"/>
        </w:rPr>
        <w:t xml:space="preserve"> is his son/descendant?”</w:t>
      </w:r>
    </w:p>
    <w:p>
      <w:pPr>
        <w:pStyle w:val="ListBullet"/>
        <w:spacing w:line="240" w:lineRule="auto"/>
        <w:ind w:left="720"/>
      </w:pPr>
      <w:r>
        <w:rPr>
          <w:lang w:val="en_US" w:bidi="en_US"/>
        </w:rPr>
      </w:r>
      <w:r>
        <w:rPr>
          <w:lang w:val="en_US" w:bidi="en_US"/>
        </w:rPr>
        <w:t xml:space="preserve">So how can the Messiah be </w:t>
      </w:r>
      <w:r>
        <w:rPr>
          <w:lang w:val="en_US" w:bidi="en_US"/>
        </w:rPr>
        <w:t>merely/also</w:t>
      </w:r>
      <w:r>
        <w:rPr>
          <w:lang w:val="en_US" w:bidi="en_US"/>
        </w:rPr>
        <w:t xml:space="preserve"> his descendant?”</w:t>
      </w:r>
    </w:p>
    <w:p>
      <w:pPr/>
      <w:r>
        <w:rPr>
          <w:lang w:val="en_US" w:bidi="en_US"/>
        </w:rPr>
      </w:r>
      <w:r>
        <w:rPr>
          <w:b/>
          <w:lang w:val="en_US" w:bidi="en_US"/>
        </w:rPr>
        <w:t>So how can He be David’s son?:</w:t>
      </w:r>
      <w:r>
        <w:rPr>
          <w:lang w:val="en_US" w:bidi="en_US"/>
        </w:rPr>
        <w:t xml:space="preserve"> This question is similar to the one that Jesus asked in 20:41. Jesus knew the answer to his own question, but he wanted his listeners to think about who the Messiah was.</w:t>
      </w:r>
    </w:p>
    <w:p>
      <w:pPr/>
      <w:r>
        <w:rPr>
          <w:lang w:val="en_US" w:bidi="en_US"/>
        </w:rPr>
      </w:r>
      <w:r>
        <w:rPr>
          <w:lang w:val="en_US" w:bidi="en_US"/>
        </w:rPr>
        <w:t>The answer to this question is that the Messiah was both a descendant of David and David’s Lord. This suggests that the Messiah must be God as well as man. Jesus did not imply here that the Messiah was not David’s descendant. You may need to include a footnote here to show what Jesus was implying.</w:t>
      </w:r>
    </w:p>
    <w:p>
      <w:pPr/>
      <w:r>
        <w:rPr>
          <w:lang w:val="en_US" w:bidi="en_US"/>
        </w:rPr>
      </w:r>
      <w:r>
        <w:rPr>
          <w:lang w:val="en_US" w:bidi="en_US"/>
        </w:rPr>
        <w:t>Some ways to translate this are:</w:t>
      </w:r>
    </w:p>
    <w:p>
      <w:pPr/>
      <w:r>
        <w:rPr>
          <w:lang w:val="en_US" w:bidi="en_US"/>
        </w:rPr>
      </w:r>
      <w:r>
        <w:rPr>
          <w:lang w:val="en_US" w:bidi="en_US"/>
        </w:rPr>
        <w:t>…how, then, can the Messiah be David’s descendant? (GNT)</w:t>
      </w:r>
    </w:p>
    <w:p>
      <w:pPr/>
      <w:r>
        <w:rPr>
          <w:lang w:val="en_US" w:bidi="en_US"/>
        </w:rPr>
      </w:r>
      <w:r>
        <w:rPr>
          <w:lang w:val="en_US" w:bidi="en_US"/>
        </w:rPr>
        <w:t>Can it be that he is just a descendant of David?</w:t>
      </w:r>
      <w:r>
        <w:rPr>
          <w:lang w:val="en_US" w:bidi="en_US"/>
        </w:rPr>
        <w:t>Western Bukidnon Manobo back translation on TW.</w:t>
      </w:r>
      <w:r>
        <w:rPr>
          <w:lang w:val="en_US" w:bidi="en_US"/>
        </w:rPr>
      </w:r>
      <w:r>
        <w:rPr>
          <w:lang w:val="en_US" w:bidi="en_US"/>
        </w:rPr>
      </w:r>
    </w:p>
    <w:p>
      <w:pPr/>
      <w:r>
        <w:rPr>
          <w:lang w:val="en_US" w:bidi="en_US"/>
        </w:rPr>
      </w:r>
    </w:p>
    <w:p>
      <w:pPr>
        <w:pStyle w:val="Heading2"/>
      </w:pPr>
      <w:r>
        <w:rPr>
          <w:lang w:val="en_US" w:bidi="en_US"/>
        </w:rPr>
        <w:t>Luke 20:45</w:t>
      </w:r>
      <w:r>
        <w:rPr>
          <w:lang w:val="en_US" w:bidi="en_US"/>
        </w:rPr>
      </w:r>
    </w:p>
    <w:p>
      <w:pPr>
        <w:pStyle w:val="Heading4"/>
      </w:pPr>
      <w:r>
        <w:rPr>
          <w:lang w:val="en_US" w:bidi="en_US"/>
        </w:rPr>
        <w:t>Section 20:45–47: Jesus warned his disciples about the scribes</w:t>
      </w:r>
    </w:p>
    <w:p>
      <w:pPr/>
      <w:r>
        <w:rPr>
          <w:lang w:val="en_US" w:bidi="en_US"/>
        </w:rPr>
      </w:r>
      <w:r>
        <w:rPr>
          <w:lang w:val="en_US" w:bidi="en_US"/>
        </w:rPr>
        <w:t>In this section Jesus warned his disciples about the scribes. He told them that the scribes were proud. They wanted people to notice them and to admire and praise them. They were also greedy and took the possessions of poor widows. Jesus warned his disciples not to follow the bad example of these scribes or act the way they acted.</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denounces the scribes</w:t>
      </w:r>
    </w:p>
    <w:p>
      <w:pPr/>
      <w:r>
        <w:rPr>
          <w:lang w:val="en_US" w:bidi="en_US"/>
        </w:rPr>
      </w:r>
      <w:r>
        <w:rPr>
          <w:lang w:val="en_US" w:bidi="en_US"/>
        </w:rPr>
        <w:t>Beware of the Scribes (ESV)</w:t>
      </w:r>
    </w:p>
    <w:p>
      <w:pPr/>
      <w:r>
        <w:rPr>
          <w:lang w:val="en_US" w:bidi="en_US"/>
        </w:rPr>
      </w:r>
      <w:r>
        <w:rPr>
          <w:lang w:val="en_US" w:bidi="en_US"/>
        </w:rPr>
        <w:t>There are parallel passages for this section in Matthew 23:1–8 and Mark 12:38–40.</w:t>
      </w:r>
    </w:p>
    <w:p>
      <w:pPr>
        <w:pStyle w:val="Heading5"/>
      </w:pPr>
      <w:r>
        <w:rPr>
          <w:lang w:val="en_US" w:bidi="en_US"/>
        </w:rPr>
        <w:t>20:45</w:t>
      </w:r>
    </w:p>
    <w:p>
      <w:pPr/>
      <w:r>
        <w:rPr>
          <w:lang w:val="en_US" w:bidi="en_US"/>
        </w:rPr>
      </w:r>
      <w:r>
        <w:rPr>
          <w:b/>
          <w:lang w:val="en_US" w:bidi="en_US"/>
        </w:rPr>
        <w:t>In the hearing of all the people, Jesus said to His disciples,</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spoke to his disciples while everyone else was listening,</w:t>
      </w:r>
    </w:p>
    <w:p>
      <w:pPr>
        <w:pStyle w:val="ListBullet"/>
        <w:spacing w:line="240" w:lineRule="auto"/>
        <w:ind w:left="720"/>
      </w:pPr>
      <w:r>
        <w:rPr>
          <w:lang w:val="en_US" w:bidi="en_US"/>
        </w:rPr>
      </w:r>
      <w:r>
        <w:rPr>
          <w:lang w:val="en_US" w:bidi="en_US"/>
        </w:rPr>
        <w:t>¶ In everyone’s hearing Jesus said to his followers,</w:t>
      </w:r>
    </w:p>
    <w:p>
      <w:pPr/>
      <w:r>
        <w:rPr>
          <w:lang w:val="en_US" w:bidi="en_US"/>
        </w:rPr>
      </w:r>
      <w:r>
        <w:rPr>
          <w:b/>
          <w:lang w:val="en_US" w:bidi="en_US"/>
        </w:rPr>
        <w:t>In the hearing of all the people, Jesus said to His disciples:</w:t>
      </w:r>
      <w:r>
        <w:rPr>
          <w:lang w:val="en_US" w:bidi="en_US"/>
        </w:rPr>
        <w:t xml:space="preserve"> This verse introduces what Jesus said to his disciples about the scribes. The phrase that the BSB translates as </w:t>
      </w:r>
      <w:r>
        <w:rPr>
          <w:i/>
          <w:lang w:val="en_US" w:bidi="en_US"/>
        </w:rPr>
        <w:t>In the hearing of all the people</w:t>
      </w:r>
      <w:r>
        <w:rPr>
          <w:lang w:val="en_US" w:bidi="en_US"/>
        </w:rPr>
        <w:t xml:space="preserve"> indicates that many other people were there and heard what Jesus said to his disciples. Some other ways to translate this verse are:</w:t>
      </w:r>
    </w:p>
    <w:p>
      <w:pPr/>
      <w:r>
        <w:rPr>
          <w:lang w:val="en_US" w:bidi="en_US"/>
        </w:rPr>
      </w:r>
      <w:r>
        <w:rPr>
          <w:lang w:val="en_US" w:bidi="en_US"/>
        </w:rPr>
        <w:t>As all the people listened to him, Jesus said to his disciples (GNT)</w:t>
      </w:r>
    </w:p>
    <w:p>
      <w:pPr/>
      <w:r>
        <w:rPr>
          <w:lang w:val="en_US" w:bidi="en_US"/>
        </w:rPr>
      </w:r>
      <w:r>
        <w:rPr>
          <w:lang w:val="en_US" w:bidi="en_US"/>
        </w:rPr>
        <w:t>In the hearing of all the people he said to the disciples (NRSV)</w:t>
      </w:r>
    </w:p>
    <w:p>
      <w:pPr/>
      <w:r>
        <w:rPr>
          <w:lang w:val="en_US" w:bidi="en_US"/>
        </w:rPr>
      </w:r>
      <w:r>
        <w:rPr>
          <w:lang w:val="en_US" w:bidi="en_US"/>
        </w:rPr>
        <w:t>Then, with the crowds listening, he turned to his disciples and said (NLT)</w:t>
      </w:r>
    </w:p>
    <w:p>
      <w:pPr/>
      <w:r>
        <w:rPr>
          <w:lang w:val="en_US" w:bidi="en_US"/>
        </w:rPr>
      </w:r>
      <w:r>
        <w:rPr>
          <w:b/>
          <w:lang w:val="en_US" w:bidi="en_US"/>
        </w:rPr>
        <w:t>His disciples:</w:t>
      </w:r>
      <w:r>
        <w:rPr>
          <w:lang w:val="en_US" w:bidi="en_US"/>
        </w:rPr>
        <w:t xml:space="preserve"> Here the phrase </w:t>
      </w:r>
      <w:r>
        <w:rPr>
          <w:i/>
          <w:lang w:val="en_US" w:bidi="en_US"/>
        </w:rPr>
        <w:t>His disciples</w:t>
      </w:r>
      <w:r>
        <w:rPr>
          <w:lang w:val="en_US" w:bidi="en_US"/>
        </w:rPr>
        <w:t xml:space="preserve"> refers to the larger group that followed Jesus, not only to the twelve disciples. For help in translating “disciple,” see the note at 17:1a and disciple in the Glossary.</w:t>
      </w:r>
      <w:r>
        <w:rPr>
          <w:lang w:val="en_US" w:bidi="en_US"/>
        </w:rPr>
      </w:r>
      <w:r>
        <w:rPr>
          <w:lang w:val="en_US" w:bidi="en_US"/>
        </w:rPr>
      </w:r>
    </w:p>
    <w:p>
      <w:pPr/>
      <w:r>
        <w:rPr>
          <w:lang w:val="en_US" w:bidi="en_US"/>
        </w:rPr>
      </w:r>
    </w:p>
    <w:p>
      <w:pPr>
        <w:pStyle w:val="Heading2"/>
      </w:pPr>
      <w:r>
        <w:rPr>
          <w:lang w:val="en_US" w:bidi="en_US"/>
        </w:rPr>
        <w:t>Luke 20:46</w:t>
      </w:r>
      <w:r>
        <w:rPr>
          <w:lang w:val="en_US" w:bidi="en_US"/>
        </w:rPr>
      </w:r>
    </w:p>
    <w:p>
      <w:pPr>
        <w:pStyle w:val="Heading4"/>
      </w:pPr>
      <w:r>
        <w:rPr>
          <w:lang w:val="en_US" w:bidi="en_US"/>
        </w:rPr>
        <w:t>Section 20:45–47: Jesus warned his disciples about the scribes</w:t>
      </w:r>
    </w:p>
    <w:p>
      <w:pPr/>
      <w:r>
        <w:rPr>
          <w:lang w:val="en_US" w:bidi="en_US"/>
        </w:rPr>
      </w:r>
      <w:r>
        <w:rPr>
          <w:lang w:val="en_US" w:bidi="en_US"/>
        </w:rPr>
        <w:t>In this section Jesus warned his disciples about the scribes. He told them that the scribes were proud. They wanted people to notice them and to admire and praise them. They were also greedy and took the possessions of poor widows. Jesus warned his disciples not to follow the bad example of these scribes or act the way they acted.</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denounces the scribes</w:t>
      </w:r>
    </w:p>
    <w:p>
      <w:pPr/>
      <w:r>
        <w:rPr>
          <w:lang w:val="en_US" w:bidi="en_US"/>
        </w:rPr>
      </w:r>
      <w:r>
        <w:rPr>
          <w:lang w:val="en_US" w:bidi="en_US"/>
        </w:rPr>
        <w:t>Beware of the Scribes (ESV)</w:t>
      </w:r>
    </w:p>
    <w:p>
      <w:pPr/>
      <w:r>
        <w:rPr>
          <w:lang w:val="en_US" w:bidi="en_US"/>
        </w:rPr>
      </w:r>
      <w:r>
        <w:rPr>
          <w:lang w:val="en_US" w:bidi="en_US"/>
        </w:rPr>
        <w:t>There are parallel passages for this section in Matthew 23:1–8 and Mark 12:38–40.</w:t>
      </w:r>
    </w:p>
    <w:p>
      <w:pPr>
        <w:pStyle w:val="Heading5"/>
      </w:pPr>
      <w:r>
        <w:rPr>
          <w:lang w:val="en_US" w:bidi="en_US"/>
        </w:rPr>
        <w:t>20:46a</w:t>
      </w:r>
    </w:p>
    <w:p>
      <w:pPr/>
      <w:r>
        <w:rPr>
          <w:lang w:val="en_US" w:bidi="en_US"/>
        </w:rPr>
      </w:r>
      <w:r>
        <w:rPr>
          <w:b/>
          <w:lang w:val="en_US" w:bidi="en_US"/>
        </w:rPr>
        <w:t>“Beware of the scribes.</w:t>
      </w:r>
    </w:p>
    <w:p>
      <w:pPr>
        <w:pStyle w:val="ListBullet"/>
        <w:spacing w:line="240" w:lineRule="auto"/>
        <w:ind w:left="720"/>
      </w:pPr>
      <w:r>
        <w:rPr>
          <w:lang w:val="en_US" w:bidi="en_US"/>
        </w:rPr>
      </w:r>
      <w:r>
        <w:rPr>
          <w:lang w:val="en_US" w:bidi="en_US"/>
        </w:rPr>
        <w:t>“Be</w:t>
      </w:r>
      <w:r>
        <w:rPr>
          <w:vertAlign w:val="superscript"/>
          <w:lang w:val="en_US" w:bidi="en_US"/>
        </w:rPr>
        <w:t>(plur)</w:t>
      </w:r>
      <w:r>
        <w:rPr>
          <w:lang w:val="en_US" w:bidi="en_US"/>
        </w:rPr>
        <w:t xml:space="preserve"> wary/careful of the teachers of the law.</w:t>
      </w:r>
    </w:p>
    <w:p>
      <w:pPr>
        <w:pStyle w:val="ListBullet"/>
        <w:spacing w:line="240" w:lineRule="auto"/>
        <w:ind w:left="720"/>
      </w:pPr>
      <w:r>
        <w:rPr>
          <w:lang w:val="en_US" w:bidi="en_US"/>
        </w:rPr>
      </w:r>
      <w:r>
        <w:rPr>
          <w:lang w:val="en_US" w:bidi="en_US"/>
        </w:rPr>
        <w:t xml:space="preserve">“Watch out </w:t>
      </w:r>
      <w:r>
        <w:rPr>
          <w:lang w:val="en_US" w:bidi="en_US"/>
        </w:rPr>
        <w:t>that you</w:t>
      </w:r>
      <w:r>
        <w:rPr>
          <w:vertAlign w:val="superscript"/>
          <w:lang w:val="en_US" w:bidi="en_US"/>
        </w:rPr>
        <w:t>(plur)</w:t>
      </w:r>
      <w:r>
        <w:rPr>
          <w:lang w:val="en_US" w:bidi="en_US"/>
        </w:rPr>
        <w:t xml:space="preserve"> </w:t>
      </w:r>
      <w:r>
        <w:rPr>
          <w:lang w:val="en_US" w:bidi="en_US"/>
        </w:rPr>
        <w:t>do not behave like</w:t>
      </w:r>
      <w:r>
        <w:rPr>
          <w:lang w:val="en_US" w:bidi="en_US"/>
        </w:rPr>
        <w:t xml:space="preserve"> the experts in the law.</w:t>
      </w:r>
    </w:p>
    <w:p>
      <w:pPr/>
      <w:r>
        <w:rPr>
          <w:lang w:val="en_US" w:bidi="en_US"/>
        </w:rPr>
      </w:r>
      <w:r>
        <w:rPr>
          <w:b/>
          <w:lang w:val="en_US" w:bidi="en_US"/>
        </w:rPr>
        <w:t>Beware of the scribes:</w:t>
      </w:r>
      <w:r>
        <w:rPr>
          <w:lang w:val="en_US" w:bidi="en_US"/>
        </w:rPr>
        <w:t xml:space="preserve"> In this context the word </w:t>
      </w:r>
      <w:r>
        <w:rPr>
          <w:i/>
          <w:lang w:val="en_US" w:bidi="en_US"/>
        </w:rPr>
        <w:t>Beware</w:t>
      </w:r>
      <w:r>
        <w:rPr>
          <w:lang w:val="en_US" w:bidi="en_US"/>
        </w:rPr>
        <w:t xml:space="preserve"> is a warning. It implies that the disciples should be careful not to imitate the attitudes and actions of the scribes. Jesus did not want the disciples to follow their example and displease God.</w:t>
      </w:r>
    </w:p>
    <w:p>
      <w:pPr/>
      <w:r>
        <w:rPr>
          <w:lang w:val="en_US" w:bidi="en_US"/>
        </w:rPr>
      </w:r>
      <w:r>
        <w:rPr>
          <w:lang w:val="en_US" w:bidi="en_US"/>
        </w:rPr>
        <w:t>In some languages it is necessary to make the warning more explicit for this context. For example:</w:t>
      </w:r>
    </w:p>
    <w:p>
      <w:pPr/>
      <w:r>
        <w:rPr>
          <w:lang w:val="en_US" w:bidi="en_US"/>
        </w:rPr>
      </w:r>
      <w:r>
        <w:rPr>
          <w:lang w:val="en_US" w:bidi="en_US"/>
        </w:rPr>
        <w:t>Be careful not to act like the scribes.</w:t>
      </w:r>
    </w:p>
    <w:p>
      <w:pPr/>
      <w:r>
        <w:rPr>
          <w:lang w:val="en_US" w:bidi="en_US"/>
        </w:rPr>
      </w:r>
      <w:r>
        <w:rPr>
          <w:lang w:val="en_US" w:bidi="en_US"/>
        </w:rPr>
        <w:t>Do not follow the example of the scribes.</w:t>
      </w:r>
    </w:p>
    <w:p>
      <w:pPr/>
      <w:r>
        <w:rPr>
          <w:lang w:val="en_US" w:bidi="en_US"/>
        </w:rPr>
      </w:r>
      <w:r>
        <w:rPr>
          <w:lang w:val="en_US" w:bidi="en_US"/>
        </w:rPr>
        <w:t>Do not let the scribes deceive you.</w:t>
      </w:r>
    </w:p>
    <w:p>
      <w:pPr/>
      <w:r>
        <w:rPr>
          <w:lang w:val="en_US" w:bidi="en_US"/>
        </w:rPr>
      </w:r>
      <w:r>
        <w:rPr>
          <w:b/>
          <w:lang w:val="en_US" w:bidi="en_US"/>
        </w:rPr>
        <w:t>the scribes:</w:t>
      </w:r>
      <w:r>
        <w:rPr>
          <w:lang w:val="en_US" w:bidi="en_US"/>
        </w:rPr>
        <w:t xml:space="preserve"> The word </w:t>
      </w:r>
      <w:r>
        <w:rPr>
          <w:i/>
          <w:lang w:val="en_US" w:bidi="en_US"/>
        </w:rPr>
        <w:t>scribes</w:t>
      </w:r>
      <w:r>
        <w:rPr>
          <w:lang w:val="en_US" w:bidi="en_US"/>
        </w:rPr>
        <w:t xml:space="preserve"> also occurred in 20:1c and 20:19a. See how you translated it there. For more information, see scribes in the Glossary.</w:t>
      </w:r>
    </w:p>
    <w:p>
      <w:pPr/>
      <w:r>
        <w:rPr>
          <w:lang w:val="en_US" w:bidi="en_US"/>
        </w:rPr>
      </w:r>
      <w:r>
        <w:rPr>
          <w:lang w:val="en_US" w:bidi="en_US"/>
        </w:rPr>
        <w:t>In this context Jesus was not referring to any specific teachers among the scribes. He referred in general to all of them.</w:t>
      </w:r>
    </w:p>
    <w:p>
      <w:pPr>
        <w:pStyle w:val="Heading5"/>
      </w:pPr>
      <w:r>
        <w:rPr>
          <w:lang w:val="en_US" w:bidi="en_US"/>
        </w:rPr>
        <w:t>20:46b</w:t>
      </w:r>
    </w:p>
    <w:p>
      <w:pPr/>
      <w:r>
        <w:rPr>
          <w:lang w:val="en_US" w:bidi="en_US"/>
        </w:rPr>
      </w:r>
      <w:r>
        <w:rPr>
          <w:b/>
          <w:lang w:val="en_US" w:bidi="en_US"/>
        </w:rPr>
        <w:t>They like to walk around in long robes,</w:t>
      </w:r>
    </w:p>
    <w:p>
      <w:pPr>
        <w:pStyle w:val="ListBullet"/>
        <w:spacing w:line="240" w:lineRule="auto"/>
        <w:ind w:left="720"/>
      </w:pPr>
      <w:r>
        <w:rPr>
          <w:lang w:val="en_US" w:bidi="en_US"/>
        </w:rPr>
      </w:r>
      <w:r>
        <w:rPr>
          <w:lang w:val="en_US" w:bidi="en_US"/>
        </w:rPr>
        <w:t xml:space="preserve">They enjoy walking around </w:t>
      </w:r>
      <w:r>
        <w:rPr>
          <w:lang w:val="en_US" w:bidi="en_US"/>
        </w:rPr>
        <w:t>in public</w:t>
      </w:r>
      <w:r>
        <w:rPr>
          <w:lang w:val="en_US" w:bidi="en_US"/>
        </w:rPr>
        <w:t xml:space="preserve"> </w:t>
      </w:r>
      <w:r>
        <w:rPr>
          <w:lang w:val="en_US" w:bidi="en_US"/>
        </w:rPr>
        <w:t>wearing</w:t>
      </w:r>
      <w:r>
        <w:rPr>
          <w:lang w:val="en_US" w:bidi="en_US"/>
        </w:rPr>
        <w:t xml:space="preserve"> long elegant robes,</w:t>
      </w:r>
    </w:p>
    <w:p>
      <w:pPr>
        <w:pStyle w:val="ListBullet"/>
        <w:spacing w:line="240" w:lineRule="auto"/>
        <w:ind w:left="720"/>
      </w:pPr>
      <w:r>
        <w:rPr>
          <w:lang w:val="en_US" w:bidi="en_US"/>
        </w:rPr>
      </w:r>
      <w:r>
        <w:rPr>
          <w:lang w:val="en_US" w:bidi="en_US"/>
        </w:rPr>
        <w:t xml:space="preserve">They like to be seen wearing their expensive </w:t>
      </w:r>
      <w:r>
        <w:rPr>
          <w:lang w:val="en_US" w:bidi="en_US"/>
        </w:rPr>
        <w:t>religious</w:t>
      </w:r>
      <w:r>
        <w:rPr>
          <w:lang w:val="en_US" w:bidi="en_US"/>
        </w:rPr>
        <w:t xml:space="preserve"> robes </w:t>
      </w:r>
      <w:r>
        <w:rPr>
          <w:lang w:val="en_US" w:bidi="en_US"/>
        </w:rPr>
        <w:t>to impress people that they are devout/pious</w:t>
      </w:r>
      <w:r>
        <w:rPr>
          <w:lang w:val="en_US" w:bidi="en_US"/>
        </w:rPr>
        <w:t>.</w:t>
      </w:r>
    </w:p>
    <w:p>
      <w:pPr/>
      <w:r>
        <w:rPr>
          <w:lang w:val="en_US" w:bidi="en_US"/>
        </w:rPr>
      </w:r>
      <w:r>
        <w:rPr>
          <w:b/>
          <w:lang w:val="en_US" w:bidi="en_US"/>
        </w:rPr>
        <w:t>They like to walk around in long robes:</w:t>
      </w:r>
      <w:r>
        <w:rPr>
          <w:lang w:val="en_US" w:bidi="en_US"/>
        </w:rPr>
        <w:t xml:space="preserve"> </w:t>
      </w:r>
      <w:r>
        <w:rPr>
          <w:lang w:val="en_US" w:bidi="en_US"/>
        </w:rPr>
        <w:t>In Greek, this part of the verse does not begin a new sentence. It is literally “the ones desiring to walk about.” This has led to two interpretations: (1) It refers to the teachers of the law as a whole. This interpretation is followed by most versions and commentaries and in the Notes. This interpretation does not imply that there could be no exceptions. A few of the teachers of the law avoided the sins that Jesus mentioned. However, most of the teachers of the law did exhibit those sins. (2) It refers to a particular group of the teachers of the law, specifically, those who liked to walk around in flowing robes, and have the other attitudes and actions described in this section. This interpretation is followed by the NJB. It is also supported by some commentators.</w:t>
      </w:r>
      <w:r>
        <w:rPr>
          <w:lang w:val="en_US" w:bidi="en_US"/>
        </w:rPr>
        <w:t xml:space="preserve"> The Greek word that the BSB translates as </w:t>
      </w:r>
      <w:r>
        <w:rPr>
          <w:i/>
          <w:lang w:val="en_US" w:bidi="en_US"/>
        </w:rPr>
        <w:t>like to</w:t>
      </w:r>
      <w:r>
        <w:rPr>
          <w:lang w:val="en_US" w:bidi="en_US"/>
        </w:rPr>
        <w:t xml:space="preserve"> means “want” or “desire.” It indicates here that the scribes wanted to be noticed by the people. They were delighted when people admired them.</w:t>
      </w:r>
    </w:p>
    <w:p>
      <w:pPr/>
      <w:r>
        <w:rPr>
          <w:lang w:val="en_US" w:bidi="en_US"/>
        </w:rPr>
      </w:r>
      <w:r>
        <w:rPr>
          <w:b/>
          <w:lang w:val="en_US" w:bidi="en_US"/>
        </w:rPr>
        <w:t>to walk around in long robes:</w:t>
      </w:r>
      <w:r>
        <w:rPr>
          <w:lang w:val="en_US" w:bidi="en_US"/>
        </w:rPr>
        <w:t xml:space="preserve"> The Greek word that the BSB translates as </w:t>
      </w:r>
      <w:r>
        <w:rPr>
          <w:i/>
          <w:lang w:val="en_US" w:bidi="en_US"/>
        </w:rPr>
        <w:t>long robes</w:t>
      </w:r>
      <w:r>
        <w:rPr>
          <w:lang w:val="en_US" w:bidi="en_US"/>
        </w:rPr>
        <w:t xml:space="preserve"> refers to long, elegant expensive robes. The scribes liked to wear these robes and walk around in public places to show people how important they were. They wore these robes in order to look pious, religious, or more important than others.</w:t>
      </w:r>
    </w:p>
    <w:p>
      <w:pPr/>
      <w:r>
        <w:rPr>
          <w:lang w:val="en_US" w:bidi="en_US"/>
        </w:rPr>
      </w:r>
      <w:r>
        <w:rPr>
          <w:lang w:val="en_US" w:bidi="en_US"/>
        </w:rPr>
        <w:t>Some other ways to translate this are:</w:t>
      </w:r>
    </w:p>
    <w:p>
      <w:pPr/>
      <w:r>
        <w:rPr>
          <w:lang w:val="en_US" w:bidi="en_US"/>
        </w:rPr>
      </w:r>
      <w:r>
        <w:rPr>
          <w:lang w:val="en_US" w:bidi="en_US"/>
        </w:rPr>
        <w:t>wearing fancy/costly clothes when they walk in public places</w:t>
      </w:r>
    </w:p>
    <w:p>
      <w:pPr/>
      <w:r>
        <w:rPr>
          <w:lang w:val="en_US" w:bidi="en_US"/>
        </w:rPr>
      </w:r>
      <w:r>
        <w:rPr>
          <w:lang w:val="en_US" w:bidi="en_US"/>
        </w:rPr>
        <w:t>to wear their expensive religious clothes and walk around among the people</w:t>
      </w:r>
    </w:p>
    <w:p>
      <w:pPr>
        <w:pStyle w:val="Heading5"/>
      </w:pPr>
      <w:r>
        <w:rPr>
          <w:lang w:val="en_US" w:bidi="en_US"/>
        </w:rPr>
        <w:t>20:46c</w:t>
      </w:r>
    </w:p>
    <w:p>
      <w:pPr/>
      <w:r>
        <w:rPr>
          <w:lang w:val="en_US" w:bidi="en_US"/>
        </w:rPr>
      </w:r>
      <w:r>
        <w:rPr>
          <w:b/>
          <w:lang w:val="en_US" w:bidi="en_US"/>
        </w:rPr>
        <w:t>and they love the greetings in the marketplaces,</w:t>
      </w:r>
    </w:p>
    <w:p>
      <w:pPr>
        <w:pStyle w:val="ListBullet"/>
        <w:spacing w:line="240" w:lineRule="auto"/>
        <w:ind w:left="720"/>
      </w:pPr>
      <w:r>
        <w:rPr>
          <w:lang w:val="en_US" w:bidi="en_US"/>
        </w:rPr>
      </w:r>
      <w:r>
        <w:rPr>
          <w:lang w:val="en_US" w:bidi="en_US"/>
        </w:rPr>
        <w:t xml:space="preserve">and they love for people to greet them </w:t>
      </w:r>
      <w:r>
        <w:rPr>
          <w:lang w:val="en_US" w:bidi="en_US"/>
        </w:rPr>
        <w:t>with respect/deference</w:t>
      </w:r>
      <w:r>
        <w:rPr>
          <w:lang w:val="en_US" w:bidi="en_US"/>
        </w:rPr>
        <w:t xml:space="preserve"> in the markets.</w:t>
      </w:r>
    </w:p>
    <w:p>
      <w:pPr>
        <w:pStyle w:val="ListBullet"/>
        <w:spacing w:line="240" w:lineRule="auto"/>
        <w:ind w:left="720"/>
      </w:pPr>
      <w:r>
        <w:rPr>
          <w:lang w:val="en_US" w:bidi="en_US"/>
        </w:rPr>
      </w:r>
      <w:r>
        <w:rPr>
          <w:lang w:val="en_US" w:bidi="en_US"/>
        </w:rPr>
        <w:t xml:space="preserve">They also like to receive </w:t>
      </w:r>
      <w:r>
        <w:rPr>
          <w:lang w:val="en_US" w:bidi="en_US"/>
        </w:rPr>
        <w:t>special</w:t>
      </w:r>
      <w:r>
        <w:rPr>
          <w:lang w:val="en_US" w:bidi="en_US"/>
        </w:rPr>
        <w:t xml:space="preserve"> greetings/recognition in the places where people buy and sell things.</w:t>
      </w:r>
    </w:p>
    <w:p>
      <w:pPr/>
      <w:r>
        <w:rPr>
          <w:lang w:val="en_US" w:bidi="en_US"/>
        </w:rPr>
      </w:r>
      <w:r>
        <w:rPr>
          <w:b/>
          <w:lang w:val="en_US" w:bidi="en_US"/>
        </w:rPr>
        <w:t>they love the greetings in the marketplaces:</w:t>
      </w:r>
      <w:r>
        <w:rPr>
          <w:lang w:val="en_US" w:bidi="en_US"/>
        </w:rPr>
        <w:t xml:space="preserve"> The scribes liked for people in the marketplaces to notice them. They loved for people to bow to them and greet them with special respect. They enjoyed this because they were proud. They wanted honor and attention in public. It was not because they were very friendly people.</w:t>
      </w:r>
    </w:p>
    <w:p>
      <w:pPr/>
      <w:r>
        <w:rPr>
          <w:lang w:val="en_US" w:bidi="en_US"/>
        </w:rPr>
      </w:r>
      <w:r>
        <w:rPr>
          <w:lang w:val="en_US" w:bidi="en_US"/>
        </w:rPr>
        <w:t>In some languages a literal translation of 20:46c may imply that the scribes were simply being friendly to people. It may seem strange that Jesus criticized them for that. If that is true in your language, you may need to make the meaning clearer. For example:</w:t>
      </w:r>
    </w:p>
    <w:p>
      <w:pPr/>
      <w:r>
        <w:rPr>
          <w:lang w:val="en_US" w:bidi="en_US"/>
        </w:rPr>
      </w:r>
      <w:r>
        <w:rPr>
          <w:lang w:val="en_US" w:bidi="en_US"/>
        </w:rPr>
        <w:t xml:space="preserve">when they go to the marketplaces, they enjoy receiving </w:t>
      </w:r>
      <w:r>
        <w:rPr>
          <w:lang w:val="en_US" w:bidi="en_US"/>
        </w:rPr>
        <w:t>flattering/respectful</w:t>
      </w:r>
      <w:r>
        <w:rPr>
          <w:lang w:val="en_US" w:bidi="en_US"/>
        </w:rPr>
        <w:t xml:space="preserve"> greetings</w:t>
      </w:r>
    </w:p>
    <w:p>
      <w:pPr/>
      <w:r>
        <w:rPr>
          <w:lang w:val="en_US" w:bidi="en_US"/>
        </w:rPr>
      </w:r>
      <w:r>
        <w:rPr>
          <w:b/>
          <w:lang w:val="en_US" w:bidi="en_US"/>
        </w:rPr>
        <w:t>marketplaces:</w:t>
      </w:r>
      <w:r>
        <w:rPr>
          <w:lang w:val="en_US" w:bidi="en_US"/>
        </w:rPr>
        <w:t xml:space="preserve"> The Greek word that the BSB translates as </w:t>
      </w:r>
      <w:r>
        <w:rPr>
          <w:i/>
          <w:lang w:val="en_US" w:bidi="en_US"/>
        </w:rPr>
        <w:t>marketplaces</w:t>
      </w:r>
      <w:r>
        <w:rPr>
          <w:lang w:val="en_US" w:bidi="en_US"/>
        </w:rPr>
        <w:t xml:space="preserve"> refers to large, open areas where many people came to buy and sell things. This word also occurred in 11:43. See how you translated it there.</w:t>
      </w:r>
    </w:p>
    <w:p>
      <w:pPr>
        <w:pStyle w:val="Heading6"/>
      </w:pPr>
      <w:r>
        <w:rPr>
          <w:b/>
          <w:lang w:val="en_US" w:bidi="en_US"/>
        </w:rPr>
        <w:t>General Comment on 20:46b–c</w:t>
      </w:r>
    </w:p>
    <w:p>
      <w:pPr/>
      <w:r>
        <w:rPr>
          <w:lang w:val="en_US" w:bidi="en_US"/>
        </w:rPr>
      </w:r>
      <w:r>
        <w:rPr>
          <w:lang w:val="en_US" w:bidi="en_US"/>
        </w:rPr>
        <w:t>In this context there is no difference in the meaning of “like” in 20:46b and “love” in 20:46c. In some languages it may be natural to combine the clauses in 20:46b–c. For example:</w:t>
      </w:r>
    </w:p>
    <w:p>
      <w:pPr/>
      <w:r>
        <w:rPr>
          <w:lang w:val="en_US" w:bidi="en_US"/>
        </w:rPr>
      </w:r>
      <w:r>
        <w:rPr>
          <w:lang w:val="en_US" w:bidi="en_US"/>
        </w:rPr>
        <w:t>For they love to parade in flowing robes and to have everyone bow to them as they walk in the marketplaces. (NLT96)</w:t>
      </w:r>
    </w:p>
    <w:p>
      <w:pPr>
        <w:pStyle w:val="Heading5"/>
      </w:pPr>
      <w:r>
        <w:rPr>
          <w:lang w:val="en_US" w:bidi="en_US"/>
        </w:rPr>
        <w:t>20:46d</w:t>
      </w:r>
    </w:p>
    <w:p>
      <w:pPr/>
      <w:r>
        <w:rPr>
          <w:lang w:val="en_US" w:bidi="en_US"/>
        </w:rPr>
      </w:r>
      <w:r>
        <w:rPr>
          <w:b/>
          <w:lang w:val="en_US" w:bidi="en_US"/>
        </w:rPr>
        <w:t>the chief seats in the synagogues,</w:t>
      </w:r>
    </w:p>
    <w:p>
      <w:pPr>
        <w:pStyle w:val="ListBullet"/>
        <w:spacing w:line="240" w:lineRule="auto"/>
        <w:ind w:left="720"/>
      </w:pPr>
      <w:r>
        <w:rPr>
          <w:lang w:val="en_US" w:bidi="en_US"/>
        </w:rPr>
      </w:r>
      <w:r>
        <w:rPr>
          <w:lang w:val="en_US" w:bidi="en_US"/>
        </w:rPr>
        <w:t>They like to sit in the places of honor in the synagogue buildings,</w:t>
      </w:r>
    </w:p>
    <w:p>
      <w:pPr>
        <w:pStyle w:val="ListBullet"/>
        <w:spacing w:line="240" w:lineRule="auto"/>
        <w:ind w:left="720"/>
      </w:pPr>
      <w:r>
        <w:rPr>
          <w:lang w:val="en_US" w:bidi="en_US"/>
        </w:rPr>
      </w:r>
      <w:r>
        <w:rPr>
          <w:lang w:val="en_US" w:bidi="en_US"/>
        </w:rPr>
        <w:t>They enjoy sitting where the most important men sit in the meeting places</w:t>
      </w:r>
    </w:p>
    <w:p>
      <w:pPr/>
      <w:r>
        <w:rPr>
          <w:lang w:val="en_US" w:bidi="en_US"/>
        </w:rPr>
      </w:r>
      <w:r>
        <w:rPr>
          <w:b/>
          <w:lang w:val="en_US" w:bidi="en_US"/>
        </w:rPr>
        <w:t>the chief seats in the synagogues:</w:t>
      </w:r>
      <w:r>
        <w:rPr>
          <w:lang w:val="en_US" w:bidi="en_US"/>
        </w:rPr>
        <w:t xml:space="preserve"> This clause tells another way that the scribes loved to be honored. They loved to sit in the places where the most important men sat in the Jewish houses of worship. They were happy when others treated them as important people.</w:t>
      </w:r>
    </w:p>
    <w:p>
      <w:pPr/>
      <w:r>
        <w:rPr>
          <w:lang w:val="en_US" w:bidi="en_US"/>
        </w:rPr>
      </w:r>
      <w:r>
        <w:rPr>
          <w:b/>
          <w:lang w:val="en_US" w:bidi="en_US"/>
        </w:rPr>
        <w:t>the chief seats:</w:t>
      </w:r>
      <w:r>
        <w:rPr>
          <w:lang w:val="en_US" w:bidi="en_US"/>
        </w:rPr>
        <w:t xml:space="preserve"> The Greek word that the BSB translates as </w:t>
      </w:r>
      <w:r>
        <w:rPr>
          <w:i/>
          <w:lang w:val="en_US" w:bidi="en_US"/>
        </w:rPr>
        <w:t>the chief seats</w:t>
      </w:r>
      <w:r>
        <w:rPr>
          <w:lang w:val="en_US" w:bidi="en_US"/>
        </w:rPr>
        <w:t xml:space="preserve"> is literally “the-first-seat.” This word refers to a bench in the front of the synagogue that faced the congregation. The places on this bench were reserved for important people. They were the seats of honor.</w:t>
      </w:r>
    </w:p>
    <w:p>
      <w:pPr/>
      <w:r>
        <w:rPr>
          <w:lang w:val="en_US" w:bidi="en_US"/>
        </w:rPr>
      </w:r>
      <w:r>
        <w:rPr>
          <w:lang w:val="en_US" w:bidi="en_US"/>
        </w:rPr>
        <w:t>Some other ways to translate this phrase are:</w:t>
      </w:r>
    </w:p>
    <w:p>
      <w:pPr/>
      <w:r>
        <w:rPr>
          <w:lang w:val="en_US" w:bidi="en_US"/>
        </w:rPr>
      </w:r>
      <w:r>
        <w:rPr>
          <w:lang w:val="en_US" w:bidi="en_US"/>
        </w:rPr>
        <w:t>the seats of honor</w:t>
      </w:r>
    </w:p>
    <w:p>
      <w:pPr/>
      <w:r>
        <w:rPr>
          <w:lang w:val="en_US" w:bidi="en_US"/>
        </w:rPr>
      </w:r>
      <w:r>
        <w:rPr>
          <w:lang w:val="en_US" w:bidi="en_US"/>
        </w:rPr>
        <w:t>the front seats (GW)</w:t>
      </w:r>
    </w:p>
    <w:p>
      <w:pPr/>
      <w:r>
        <w:rPr>
          <w:lang w:val="en_US" w:bidi="en_US"/>
        </w:rPr>
      </w:r>
      <w:r>
        <w:rPr>
          <w:lang w:val="en_US" w:bidi="en_US"/>
        </w:rPr>
        <w:t>the reserved seats (GNT)</w:t>
      </w:r>
    </w:p>
    <w:p>
      <w:pPr/>
      <w:r>
        <w:rPr>
          <w:lang w:val="en_US" w:bidi="en_US"/>
        </w:rPr>
      </w:r>
      <w:r>
        <w:rPr>
          <w:lang w:val="en_US" w:bidi="en_US"/>
        </w:rPr>
        <w:t>the best seats (NET)</w:t>
      </w:r>
    </w:p>
    <w:p>
      <w:pPr/>
      <w:r>
        <w:rPr>
          <w:lang w:val="en_US" w:bidi="en_US"/>
        </w:rPr>
      </w:r>
      <w:r>
        <w:rPr>
          <w:lang w:val="en_US" w:bidi="en_US"/>
        </w:rPr>
        <w:t>This word also occurred in 11:43. See how you translated it there.</w:t>
      </w:r>
    </w:p>
    <w:p>
      <w:pPr/>
      <w:r>
        <w:rPr>
          <w:lang w:val="en_US" w:bidi="en_US"/>
        </w:rPr>
      </w:r>
      <w:r>
        <w:rPr>
          <w:b/>
          <w:lang w:val="en_US" w:bidi="en_US"/>
        </w:rPr>
        <w:t>synagogues:</w:t>
      </w:r>
      <w:r>
        <w:rPr>
          <w:lang w:val="en_US" w:bidi="en_US"/>
        </w:rPr>
        <w:t xml:space="preserve"> </w:t>
      </w:r>
      <w:r>
        <w:rPr>
          <w:i/>
          <w:lang w:val="en_US" w:bidi="en_US"/>
        </w:rPr>
        <w:t>Synagogues</w:t>
      </w:r>
      <w:r>
        <w:rPr>
          <w:lang w:val="en_US" w:bidi="en_US"/>
        </w:rPr>
        <w:t xml:space="preserve"> were buildings where Jews gathered to pray, read Scripture, teach their beliefs, and worship. The Jews also gathered there for cultural activities. There was only one temple (in Jerusalem), but each Jewish community had a synagogue. Some ways to translate </w:t>
      </w:r>
      <w:r>
        <w:rPr>
          <w:i/>
          <w:lang w:val="en_US" w:bidi="en_US"/>
        </w:rPr>
        <w:t>synagogues</w:t>
      </w:r>
      <w:r>
        <w:rPr>
          <w:lang w:val="en_US" w:bidi="en_US"/>
        </w:rPr>
        <w:t xml:space="preserve"> are:</w:t>
      </w:r>
    </w:p>
    <w:p>
      <w:pPr/>
      <w:r>
        <w:rPr>
          <w:lang w:val="en_US" w:bidi="en_US"/>
        </w:rPr>
      </w:r>
      <w:r>
        <w:rPr>
          <w:lang w:val="en_US" w:bidi="en_US"/>
        </w:rPr>
        <w:t xml:space="preserve">prayer-houses </w:t>
      </w:r>
      <w:r>
        <w:rPr>
          <w:lang w:val="en_US" w:bidi="en_US"/>
        </w:rPr>
        <w:t>of the Jews</w:t>
      </w:r>
    </w:p>
    <w:p>
      <w:pPr/>
      <w:r>
        <w:rPr>
          <w:lang w:val="en_US" w:bidi="en_US"/>
        </w:rPr>
      </w:r>
      <w:r>
        <w:rPr>
          <w:lang w:val="en_US" w:bidi="en_US"/>
        </w:rPr>
        <w:t xml:space="preserve">meeting-places </w:t>
      </w:r>
      <w:r>
        <w:rPr>
          <w:lang w:val="en_US" w:bidi="en_US"/>
        </w:rPr>
        <w:t>of the Jews</w:t>
      </w:r>
    </w:p>
    <w:p>
      <w:pPr/>
      <w:r>
        <w:rPr>
          <w:lang w:val="en_US" w:bidi="en_US"/>
        </w:rPr>
      </w:r>
      <w:r>
        <w:rPr>
          <w:lang w:val="en_US" w:bidi="en_US"/>
        </w:rPr>
        <w:t>worship buildings</w:t>
      </w:r>
    </w:p>
    <w:p>
      <w:pPr/>
      <w:r>
        <w:rPr>
          <w:lang w:val="en_US" w:bidi="en_US"/>
        </w:rPr>
      </w:r>
      <w:r>
        <w:rPr>
          <w:lang w:val="en_US" w:bidi="en_US"/>
        </w:rPr>
        <w:t>houses for gathering together</w:t>
      </w:r>
    </w:p>
    <w:p>
      <w:pPr/>
      <w:r>
        <w:rPr>
          <w:lang w:val="en_US" w:bidi="en_US"/>
        </w:rPr>
      </w:r>
      <w:r>
        <w:rPr>
          <w:lang w:val="en_US" w:bidi="en_US"/>
        </w:rPr>
        <w:t>If you make explicit a phrase such as “of the Jews,” be sure that it does not imply that Jesus was not a Jew.</w:t>
      </w:r>
    </w:p>
    <w:p>
      <w:pPr/>
      <w:r>
        <w:rPr>
          <w:lang w:val="en_US" w:bidi="en_US"/>
        </w:rPr>
      </w:r>
      <w:r>
        <w:rPr>
          <w:lang w:val="en_US" w:bidi="en_US"/>
        </w:rPr>
        <w:t xml:space="preserve">If the word </w:t>
      </w:r>
      <w:r>
        <w:rPr>
          <w:i/>
          <w:lang w:val="en_US" w:bidi="en_US"/>
        </w:rPr>
        <w:t>synagogues</w:t>
      </w:r>
      <w:r>
        <w:rPr>
          <w:lang w:val="en_US" w:bidi="en_US"/>
        </w:rPr>
        <w:t xml:space="preserve"> is already known in your area, you may write it according to the sounds of your language. You may want to include a word or phrase to explain the meaning. For example:</w:t>
      </w:r>
    </w:p>
    <w:p>
      <w:pPr/>
      <w:r>
        <w:rPr>
          <w:lang w:val="en_US" w:bidi="en_US"/>
        </w:rPr>
      </w:r>
      <w:r>
        <w:rPr>
          <w:lang w:val="en_US" w:bidi="en_US"/>
        </w:rPr>
        <w:t>sinagog houses/buildings</w:t>
      </w:r>
    </w:p>
    <w:p>
      <w:pPr/>
      <w:r>
        <w:rPr>
          <w:lang w:val="en_US" w:bidi="en_US"/>
        </w:rPr>
      </w:r>
      <w:r>
        <w:rPr>
          <w:lang w:val="en_US" w:bidi="en_US"/>
        </w:rPr>
        <w:t>Consider using a footnote that contains some of the information above. This word also occurred in 11:43. See how you translated it there. For more information, see synagogue in the Glossary.</w:t>
      </w:r>
    </w:p>
    <w:p>
      <w:pPr>
        <w:pStyle w:val="Heading5"/>
      </w:pPr>
      <w:r>
        <w:rPr>
          <w:lang w:val="en_US" w:bidi="en_US"/>
        </w:rPr>
        <w:t>20:46e</w:t>
      </w:r>
    </w:p>
    <w:p>
      <w:pPr/>
      <w:r>
        <w:rPr>
          <w:lang w:val="en_US" w:bidi="en_US"/>
        </w:rPr>
      </w:r>
      <w:r>
        <w:rPr>
          <w:b/>
          <w:lang w:val="en_US" w:bidi="en_US"/>
        </w:rPr>
        <w:t>and the places of honor at banquets.</w:t>
      </w:r>
    </w:p>
    <w:p>
      <w:pPr>
        <w:pStyle w:val="ListBullet"/>
        <w:spacing w:line="240" w:lineRule="auto"/>
        <w:ind w:left="720"/>
      </w:pPr>
      <w:r>
        <w:rPr>
          <w:lang w:val="en_US" w:bidi="en_US"/>
        </w:rPr>
      </w:r>
      <w:r>
        <w:rPr>
          <w:lang w:val="en_US" w:bidi="en_US"/>
        </w:rPr>
        <w:t>and they love for people to treat them as guests of honor at feasts.</w:t>
      </w:r>
    </w:p>
    <w:p>
      <w:pPr>
        <w:pStyle w:val="ListBullet"/>
        <w:spacing w:line="240" w:lineRule="auto"/>
        <w:ind w:left="720"/>
      </w:pPr>
      <w:r>
        <w:rPr>
          <w:lang w:val="en_US" w:bidi="en_US"/>
        </w:rPr>
      </w:r>
      <w:r>
        <w:rPr>
          <w:lang w:val="en_US" w:bidi="en_US"/>
        </w:rPr>
        <w:t>and at banquets/feasts.</w:t>
      </w:r>
    </w:p>
    <w:p>
      <w:pPr/>
      <w:r>
        <w:rPr>
          <w:lang w:val="en_US" w:bidi="en_US"/>
        </w:rPr>
      </w:r>
      <w:r>
        <w:rPr>
          <w:b/>
          <w:lang w:val="en_US" w:bidi="en_US"/>
        </w:rPr>
        <w:t>and the places of honor at banquets:</w:t>
      </w:r>
      <w:r>
        <w:rPr>
          <w:lang w:val="en_US" w:bidi="en_US"/>
        </w:rPr>
        <w:t xml:space="preserve"> The Greek phrase that the BSB translates as </w:t>
      </w:r>
      <w:r>
        <w:rPr>
          <w:i/>
          <w:lang w:val="en_US" w:bidi="en_US"/>
        </w:rPr>
        <w:t>the places of honor</w:t>
      </w:r>
      <w:r>
        <w:rPr>
          <w:lang w:val="en_US" w:bidi="en_US"/>
        </w:rPr>
        <w:t xml:space="preserve"> refers to the places at the feast where the most important or honored guests sat. Use a natural expression in your language to describe places where important guests sit at a feast. Other ways to translate this phrase are:</w:t>
      </w:r>
    </w:p>
    <w:p>
      <w:pPr/>
      <w:r>
        <w:rPr>
          <w:lang w:val="en_US" w:bidi="en_US"/>
        </w:rPr>
      </w:r>
      <w:r>
        <w:rPr>
          <w:lang w:val="en_US" w:bidi="en_US"/>
        </w:rPr>
        <w:t>the best seats at banquets (CEV)</w:t>
      </w:r>
    </w:p>
    <w:p>
      <w:pPr/>
      <w:r>
        <w:rPr>
          <w:lang w:val="en_US" w:bidi="en_US"/>
        </w:rPr>
      </w:r>
      <w:r>
        <w:rPr>
          <w:lang w:val="en_US" w:bidi="en_US"/>
        </w:rPr>
        <w:t>the places of honor at banquets (NET)</w:t>
      </w:r>
    </w:p>
    <w:p>
      <w:pPr/>
      <w:r>
        <w:rPr>
          <w:lang w:val="en_US" w:bidi="en_US"/>
        </w:rPr>
      </w:r>
      <w:r>
        <w:rPr>
          <w:lang w:val="en_US" w:bidi="en_US"/>
        </w:rPr>
        <w:t>the places where important people sit at feasts</w:t>
      </w:r>
      <w:r>
        <w:rPr>
          <w:lang w:val="en_US" w:bidi="en_US"/>
        </w:rPr>
      </w:r>
      <w:r>
        <w:rPr>
          <w:lang w:val="en_US" w:bidi="en_US"/>
        </w:rPr>
      </w:r>
    </w:p>
    <w:p>
      <w:pPr/>
      <w:r>
        <w:rPr>
          <w:lang w:val="en_US" w:bidi="en_US"/>
        </w:rPr>
      </w:r>
    </w:p>
    <w:p>
      <w:pPr>
        <w:pStyle w:val="Heading2"/>
      </w:pPr>
      <w:r>
        <w:rPr>
          <w:lang w:val="en_US" w:bidi="en_US"/>
        </w:rPr>
        <w:t>Luke 20:47</w:t>
      </w:r>
      <w:r>
        <w:rPr>
          <w:lang w:val="en_US" w:bidi="en_US"/>
        </w:rPr>
      </w:r>
    </w:p>
    <w:p>
      <w:pPr>
        <w:pStyle w:val="Heading4"/>
      </w:pPr>
      <w:r>
        <w:rPr>
          <w:lang w:val="en_US" w:bidi="en_US"/>
        </w:rPr>
        <w:t>Section 20:45–47: Jesus warned his disciples about the scribes</w:t>
      </w:r>
    </w:p>
    <w:p>
      <w:pPr/>
      <w:r>
        <w:rPr>
          <w:lang w:val="en_US" w:bidi="en_US"/>
        </w:rPr>
      </w:r>
      <w:r>
        <w:rPr>
          <w:lang w:val="en_US" w:bidi="en_US"/>
        </w:rPr>
        <w:t>In this section Jesus warned his disciples about the scribes. He told them that the scribes were proud. They wanted people to notice them and to admire and praise them. They were also greedy and took the possessions of poor widows. Jesus warned his disciples not to follow the bad example of these scribes or act the way they acted.</w:t>
      </w:r>
    </w:p>
    <w:p>
      <w:pPr/>
      <w:r>
        <w:rPr>
          <w:lang w:val="en_US" w:bidi="en_US"/>
        </w:rPr>
      </w:r>
      <w:r>
        <w:rPr>
          <w:lang w:val="en_US" w:bidi="en_US"/>
        </w:rPr>
        <w:t>It is good to translate this section before you decide on a heading for it. Some other examples of headings for this section are:</w:t>
      </w:r>
    </w:p>
    <w:p>
      <w:pPr/>
      <w:r>
        <w:rPr>
          <w:lang w:val="en_US" w:bidi="en_US"/>
        </w:rPr>
      </w:r>
      <w:r>
        <w:rPr>
          <w:lang w:val="en_US" w:bidi="en_US"/>
        </w:rPr>
        <w:t>Jesus denounces the scribes</w:t>
      </w:r>
    </w:p>
    <w:p>
      <w:pPr/>
      <w:r>
        <w:rPr>
          <w:lang w:val="en_US" w:bidi="en_US"/>
        </w:rPr>
      </w:r>
      <w:r>
        <w:rPr>
          <w:lang w:val="en_US" w:bidi="en_US"/>
        </w:rPr>
        <w:t>Beware of the Scribes (ESV)</w:t>
      </w:r>
    </w:p>
    <w:p>
      <w:pPr/>
      <w:r>
        <w:rPr>
          <w:lang w:val="en_US" w:bidi="en_US"/>
        </w:rPr>
      </w:r>
      <w:r>
        <w:rPr>
          <w:lang w:val="en_US" w:bidi="en_US"/>
        </w:rPr>
        <w:t>There are parallel passages for this section in Matthew 23:1–8 and Mark 12:38–40.</w:t>
      </w:r>
    </w:p>
    <w:p>
      <w:pPr>
        <w:pStyle w:val="Heading5"/>
      </w:pPr>
      <w:r>
        <w:rPr>
          <w:lang w:val="en_US" w:bidi="en_US"/>
        </w:rPr>
        <w:t>20:47a</w:t>
      </w:r>
    </w:p>
    <w:p>
      <w:pPr/>
      <w:r>
        <w:rPr>
          <w:lang w:val="en_US" w:bidi="en_US"/>
        </w:rPr>
      </w:r>
      <w:r>
        <w:rPr>
          <w:b/>
          <w:lang w:val="en_US" w:bidi="en_US"/>
        </w:rPr>
        <w:t>They defraud widows of their houses,</w:t>
      </w:r>
    </w:p>
    <w:p>
      <w:pPr>
        <w:pStyle w:val="ListBullet"/>
        <w:spacing w:line="240" w:lineRule="auto"/>
        <w:ind w:left="720"/>
      </w:pPr>
      <w:r>
        <w:rPr>
          <w:lang w:val="en_US" w:bidi="en_US"/>
        </w:rPr>
      </w:r>
      <w:r>
        <w:rPr>
          <w:lang w:val="en_US" w:bidi="en_US"/>
        </w:rPr>
        <w:t>They take the property of widows from them,</w:t>
      </w:r>
    </w:p>
    <w:p>
      <w:pPr>
        <w:pStyle w:val="ListBullet"/>
        <w:spacing w:line="240" w:lineRule="auto"/>
        <w:ind w:left="720"/>
      </w:pPr>
      <w:r>
        <w:rPr>
          <w:lang w:val="en_US" w:bidi="en_US"/>
        </w:rPr>
      </w:r>
      <w:r>
        <w:rPr>
          <w:lang w:val="en_US" w:bidi="en_US"/>
        </w:rPr>
        <w:t>They enrich themselves by cheating widows out of their property/money.</w:t>
      </w:r>
    </w:p>
    <w:p>
      <w:pPr/>
      <w:r>
        <w:rPr>
          <w:lang w:val="en_US" w:bidi="en_US"/>
        </w:rPr>
      </w:r>
      <w:r>
        <w:rPr>
          <w:b/>
          <w:lang w:val="en_US" w:bidi="en_US"/>
        </w:rPr>
        <w:t>They defraud widows of their houses:</w:t>
      </w:r>
      <w:r>
        <w:rPr>
          <w:lang w:val="en_US" w:bidi="en_US"/>
        </w:rPr>
        <w:t xml:space="preserve"> The Greek clause that the BSB translates literally as </w:t>
      </w:r>
      <w:r>
        <w:rPr>
          <w:i/>
          <w:lang w:val="en_US" w:bidi="en_US"/>
        </w:rPr>
        <w:t>They defraud widows of their houses</w:t>
      </w:r>
      <w:r>
        <w:rPr>
          <w:lang w:val="en_US" w:bidi="en_US"/>
        </w:rPr>
        <w:t xml:space="preserve"> is literally “who devour/eat the houses of widows.” This phrase an idiom. It indicates that the teachers of the religious law often tried to get as much money as they could from widows. The text does not specify how they did this. They may have persuaded the widows to give them generous gifts. Some other ways to translate this are:</w:t>
      </w:r>
    </w:p>
    <w:p>
      <w:pPr/>
      <w:r>
        <w:rPr>
          <w:lang w:val="en_US" w:bidi="en_US"/>
        </w:rPr>
      </w:r>
      <w:r>
        <w:rPr>
          <w:lang w:val="en_US" w:bidi="en_US"/>
        </w:rPr>
        <w:t>But they shamelessly cheat widows out of their property (NLT96)</w:t>
      </w:r>
    </w:p>
    <w:p>
      <w:pPr/>
      <w:r>
        <w:rPr>
          <w:lang w:val="en_US" w:bidi="en_US"/>
        </w:rPr>
      </w:r>
      <w:r>
        <w:rPr>
          <w:lang w:val="en_US" w:bidi="en_US"/>
        </w:rPr>
        <w:t>They persuade/manipulate widows to give them everything they have</w:t>
      </w:r>
    </w:p>
    <w:p>
      <w:pPr/>
      <w:r>
        <w:rPr>
          <w:lang w:val="en_US" w:bidi="en_US"/>
        </w:rPr>
      </w:r>
      <w:r>
        <w:rPr>
          <w:lang w:val="en_US" w:bidi="en_US"/>
        </w:rPr>
        <w:t>They exploit widows and take their possessions and homes</w:t>
      </w:r>
    </w:p>
    <w:p>
      <w:pPr/>
      <w:r>
        <w:rPr>
          <w:lang w:val="en_US" w:bidi="en_US"/>
        </w:rPr>
      </w:r>
      <w:r>
        <w:rPr>
          <w:lang w:val="en_US" w:bidi="en_US"/>
        </w:rPr>
        <w:t>If you have an idiom or phrase in your language that expresses this meaning, consider using it here. For example:</w:t>
      </w:r>
    </w:p>
    <w:p>
      <w:pPr/>
      <w:r>
        <w:rPr>
          <w:lang w:val="en_US" w:bidi="en_US"/>
        </w:rPr>
      </w:r>
      <w:r>
        <w:rPr>
          <w:lang w:val="en_US" w:bidi="en_US"/>
        </w:rPr>
        <w:t>They fatten themselves by consuming the possessions/money of widows</w:t>
      </w:r>
    </w:p>
    <w:p>
      <w:pPr/>
      <w:r>
        <w:rPr>
          <w:lang w:val="en_US" w:bidi="en_US"/>
        </w:rPr>
      </w:r>
      <w:r>
        <w:rPr>
          <w:b/>
          <w:lang w:val="en_US" w:bidi="en_US"/>
        </w:rPr>
        <w:t>houses:</w:t>
      </w:r>
      <w:r>
        <w:rPr>
          <w:lang w:val="en_US" w:bidi="en_US"/>
        </w:rPr>
        <w:t xml:space="preserve"> The word </w:t>
      </w:r>
      <w:r>
        <w:rPr>
          <w:i/>
          <w:lang w:val="en_US" w:bidi="en_US"/>
        </w:rPr>
        <w:t>houses</w:t>
      </w:r>
      <w:r>
        <w:rPr>
          <w:lang w:val="en_US" w:bidi="en_US"/>
        </w:rPr>
        <w:t xml:space="preserve"> here is a figure of speech. It includes the widows’ money and other possessions, in addition to their homes.</w:t>
      </w:r>
    </w:p>
    <w:p>
      <w:pPr>
        <w:pStyle w:val="Heading5"/>
      </w:pPr>
      <w:r>
        <w:rPr>
          <w:lang w:val="en_US" w:bidi="en_US"/>
        </w:rPr>
        <w:t>20:47b</w:t>
      </w:r>
    </w:p>
    <w:p>
      <w:pPr/>
      <w:r>
        <w:rPr>
          <w:lang w:val="en_US" w:bidi="en_US"/>
        </w:rPr>
      </w:r>
      <w:r>
        <w:rPr>
          <w:b/>
          <w:lang w:val="en_US" w:bidi="en_US"/>
        </w:rPr>
        <w:t>and for a show make lengthy prayers.</w:t>
      </w:r>
    </w:p>
    <w:p>
      <w:pPr>
        <w:pStyle w:val="ListBullet"/>
        <w:spacing w:line="240" w:lineRule="auto"/>
        <w:ind w:left="720"/>
      </w:pPr>
      <w:r>
        <w:rPr>
          <w:lang w:val="en_US" w:bidi="en_US"/>
        </w:rPr>
      </w:r>
      <w:r>
        <w:rPr>
          <w:lang w:val="en_US" w:bidi="en_US"/>
        </w:rPr>
        <w:t xml:space="preserve">and then they pray long prayers to cause </w:t>
      </w:r>
      <w:r>
        <w:rPr>
          <w:lang w:val="en_US" w:bidi="en_US"/>
        </w:rPr>
        <w:t>people</w:t>
      </w:r>
      <w:r>
        <w:rPr>
          <w:lang w:val="en_US" w:bidi="en_US"/>
        </w:rPr>
        <w:t xml:space="preserve"> to think </w:t>
      </w:r>
      <w:r>
        <w:rPr>
          <w:lang w:val="en_US" w:bidi="en_US"/>
        </w:rPr>
        <w:t>that they are devoted to God</w:t>
      </w:r>
      <w:r>
        <w:rPr>
          <w:lang w:val="en_US" w:bidi="en_US"/>
        </w:rPr>
        <w:t>.</w:t>
      </w:r>
    </w:p>
    <w:p>
      <w:pPr>
        <w:pStyle w:val="ListBullet"/>
        <w:spacing w:line="240" w:lineRule="auto"/>
        <w:ind w:left="720"/>
      </w:pPr>
      <w:r>
        <w:rPr>
          <w:lang w:val="en_US" w:bidi="en_US"/>
        </w:rPr>
      </w:r>
      <w:r>
        <w:rPr>
          <w:lang w:val="en_US" w:bidi="en_US"/>
        </w:rPr>
        <w:t>Then they pray prayers with many words so that people will say, ‘They are so good/holy.’</w:t>
      </w:r>
    </w:p>
    <w:p>
      <w:pPr/>
      <w:r>
        <w:rPr>
          <w:lang w:val="en_US" w:bidi="en_US"/>
        </w:rPr>
      </w:r>
      <w:r>
        <w:rPr>
          <w:b/>
          <w:lang w:val="en_US" w:bidi="en_US"/>
        </w:rPr>
        <w:t>and for a show make lengthy prayers:</w:t>
      </w:r>
      <w:r>
        <w:rPr>
          <w:lang w:val="en_US" w:bidi="en_US"/>
        </w:rPr>
        <w:t xml:space="preserve"> This phrase implies that the scribes only pretended to be godly when they prayed. They prayed long prayers in public, wanting people to think that they were close to God. In reality, they were greedy and corrupt. See Matthew 6:5–8. Some other ways to translate this phrase are:</w:t>
      </w:r>
    </w:p>
    <w:p>
      <w:pPr/>
      <w:r>
        <w:rPr>
          <w:lang w:val="en_US" w:bidi="en_US"/>
        </w:rPr>
      </w:r>
      <w:r>
        <w:rPr>
          <w:lang w:val="en_US" w:bidi="en_US"/>
        </w:rPr>
        <w:t>and then say long prayers to make themselves look good (GW)</w:t>
      </w:r>
    </w:p>
    <w:p>
      <w:pPr/>
      <w:r>
        <w:rPr>
          <w:lang w:val="en_US" w:bidi="en_US"/>
        </w:rPr>
      </w:r>
      <w:r>
        <w:rPr>
          <w:lang w:val="en_US" w:bidi="en_US"/>
        </w:rPr>
        <w:t>and then try to make themselves look good by saying long prayers (NCV)</w:t>
      </w:r>
    </w:p>
    <w:p>
      <w:pPr/>
      <w:r>
        <w:rPr>
          <w:lang w:val="en_US" w:bidi="en_US"/>
        </w:rPr>
      </w:r>
      <w:r>
        <w:rPr>
          <w:b/>
          <w:lang w:val="en_US" w:bidi="en_US"/>
        </w:rPr>
        <w:t>for a show make lengthy prayers:</w:t>
      </w:r>
      <w:r>
        <w:rPr>
          <w:lang w:val="en_US" w:bidi="en_US"/>
        </w:rPr>
        <w:t xml:space="preserve"> The Greek phrase that the BSB translates as </w:t>
      </w:r>
      <w:r>
        <w:rPr>
          <w:i/>
          <w:lang w:val="en_US" w:bidi="en_US"/>
        </w:rPr>
        <w:t>for a show</w:t>
      </w:r>
      <w:r>
        <w:rPr>
          <w:lang w:val="en_US" w:bidi="en_US"/>
        </w:rPr>
        <w:t xml:space="preserve"> means “for a pretense.” The scribes prayed long prayers because they wanted to impress people. They wanted people to think that they were righteous, so they prayed long prayers in public where other people could see and hear them. Some ways to translate this are:</w:t>
      </w:r>
    </w:p>
    <w:p>
      <w:pPr/>
      <w:r>
        <w:rPr>
          <w:lang w:val="en_US" w:bidi="en_US"/>
        </w:rPr>
      </w:r>
      <w:r>
        <w:rPr>
          <w:lang w:val="en_US" w:bidi="en_US"/>
        </w:rPr>
        <w:t>say long prayers to make themselves look good (GW)</w:t>
      </w:r>
    </w:p>
    <w:p>
      <w:pPr/>
      <w:r>
        <w:rPr>
          <w:lang w:val="en_US" w:bidi="en_US"/>
        </w:rPr>
      </w:r>
      <w:r>
        <w:rPr>
          <w:lang w:val="en_US" w:bidi="en_US"/>
        </w:rPr>
        <w:t xml:space="preserve">pray long prayers so </w:t>
      </w:r>
      <w:r>
        <w:rPr>
          <w:lang w:val="en_US" w:bidi="en_US"/>
        </w:rPr>
        <w:t>people</w:t>
      </w:r>
      <w:r>
        <w:rPr>
          <w:lang w:val="en_US" w:bidi="en_US"/>
        </w:rPr>
        <w:t xml:space="preserve"> will think they are righteous</w:t>
      </w:r>
    </w:p>
    <w:p>
      <w:pPr/>
      <w:r>
        <w:rPr>
          <w:lang w:val="en_US" w:bidi="en_US"/>
        </w:rPr>
      </w:r>
      <w:r>
        <w:rPr>
          <w:lang w:val="en_US" w:bidi="en_US"/>
        </w:rPr>
        <w:t>and then make a show of saying long prayers (GNT)</w:t>
      </w:r>
    </w:p>
    <w:p>
      <w:pPr/>
      <w:r>
        <w:rPr>
          <w:lang w:val="en_US" w:bidi="en_US"/>
        </w:rPr>
      </w:r>
      <w:r>
        <w:rPr>
          <w:lang w:val="en_US" w:bidi="en_US"/>
        </w:rPr>
        <w:t>In some languages it may be helpful to use indirect speech here to express what the scribes wanted people to think. For example:</w:t>
      </w:r>
    </w:p>
    <w:p>
      <w:pPr/>
      <w:r>
        <w:rPr>
          <w:lang w:val="en_US" w:bidi="en_US"/>
        </w:rPr>
      </w:r>
      <w:r>
        <w:rPr>
          <w:lang w:val="en_US" w:bidi="en_US"/>
        </w:rPr>
        <w:t>They pray long prayers so that people will say, “They are so righteous!”</w:t>
      </w:r>
    </w:p>
    <w:p>
      <w:pPr/>
      <w:r>
        <w:rPr>
          <w:lang w:val="en_US" w:bidi="en_US"/>
        </w:rPr>
      </w:r>
      <w:r>
        <w:rPr>
          <w:b/>
          <w:lang w:val="en_US" w:bidi="en_US"/>
        </w:rPr>
        <w:t>make lengthy prayers:</w:t>
      </w:r>
      <w:r>
        <w:rPr>
          <w:lang w:val="en_US" w:bidi="en_US"/>
        </w:rPr>
        <w:t xml:space="preserve"> The Greek word that the BSB translates as </w:t>
      </w:r>
      <w:r>
        <w:rPr>
          <w:i/>
          <w:lang w:val="en_US" w:bidi="en_US"/>
        </w:rPr>
        <w:t>make…prayers</w:t>
      </w:r>
      <w:r>
        <w:rPr>
          <w:lang w:val="en_US" w:bidi="en_US"/>
        </w:rPr>
        <w:t xml:space="preserve"> is literally “praying.” It refers to speaking to God. In this context it refers to formal prayers that the teachers prayed aloud in public. The phrase </w:t>
      </w:r>
      <w:r>
        <w:rPr>
          <w:i/>
          <w:lang w:val="en_US" w:bidi="en_US"/>
        </w:rPr>
        <w:t>make lengthy prayers</w:t>
      </w:r>
      <w:r>
        <w:rPr>
          <w:lang w:val="en_US" w:bidi="en_US"/>
        </w:rPr>
        <w:t xml:space="preserve"> indicates that when the teachers prayed in public, they prayed for a long time. Some ways to translate this are:</w:t>
      </w:r>
    </w:p>
    <w:p>
      <w:pPr/>
      <w:r>
        <w:rPr>
          <w:lang w:val="en_US" w:bidi="en_US"/>
        </w:rPr>
      </w:r>
      <w:r>
        <w:rPr>
          <w:lang w:val="en_US" w:bidi="en_US"/>
        </w:rPr>
        <w:t>pray for a long time</w:t>
      </w:r>
    </w:p>
    <w:p>
      <w:pPr/>
      <w:r>
        <w:rPr>
          <w:lang w:val="en_US" w:bidi="en_US"/>
        </w:rPr>
      </w:r>
      <w:r>
        <w:rPr>
          <w:lang w:val="en_US" w:bidi="en_US"/>
        </w:rPr>
        <w:t>pray with many words</w:t>
      </w:r>
    </w:p>
    <w:p>
      <w:pPr/>
      <w:r>
        <w:rPr>
          <w:lang w:val="en_US" w:bidi="en_US"/>
        </w:rPr>
      </w:r>
      <w:r>
        <w:rPr>
          <w:lang w:val="en_US" w:bidi="en_US"/>
        </w:rPr>
        <w:t>Some languages may use different words to refer to specific kinds of prayer, such as requests, thanks, or praise. Here you should use a word or phrase that has a general meaning.</w:t>
      </w:r>
    </w:p>
    <w:p>
      <w:pPr>
        <w:pStyle w:val="Heading5"/>
      </w:pPr>
      <w:r>
        <w:rPr>
          <w:lang w:val="en_US" w:bidi="en_US"/>
        </w:rPr>
        <w:t>20:47c</w:t>
      </w:r>
    </w:p>
    <w:p>
      <w:pPr/>
      <w:r>
        <w:rPr>
          <w:lang w:val="en_US" w:bidi="en_US"/>
        </w:rPr>
      </w:r>
      <w:r>
        <w:rPr>
          <w:b/>
          <w:lang w:val="en_US" w:bidi="en_US"/>
        </w:rPr>
        <w:t>These men will receive greater condemnation.”</w:t>
      </w:r>
    </w:p>
    <w:p>
      <w:pPr>
        <w:pStyle w:val="ListBullet"/>
        <w:spacing w:line="240" w:lineRule="auto"/>
        <w:ind w:left="720"/>
      </w:pPr>
      <w:r>
        <w:rPr>
          <w:lang w:val="en_US" w:bidi="en_US"/>
        </w:rPr>
      </w:r>
      <w:r>
        <w:rPr>
          <w:lang w:val="en_US" w:bidi="en_US"/>
        </w:rPr>
        <w:t xml:space="preserve">They will receive much greater punishment </w:t>
      </w:r>
      <w:r>
        <w:rPr>
          <w:lang w:val="en_US" w:bidi="en_US"/>
        </w:rPr>
        <w:t>than other people</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will punish these people more severely </w:t>
      </w:r>
      <w:r>
        <w:rPr>
          <w:lang w:val="en_US" w:bidi="en_US"/>
        </w:rPr>
        <w:t>than he will punish anyone else</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will punish them much more </w:t>
      </w:r>
      <w:r>
        <w:rPr>
          <w:lang w:val="en_US" w:bidi="en_US"/>
        </w:rPr>
        <w:t>than he will punish others</w:t>
      </w:r>
      <w:r>
        <w:rPr>
          <w:lang w:val="en_US" w:bidi="en_US"/>
        </w:rPr>
        <w:t>.”</w:t>
      </w:r>
    </w:p>
    <w:p>
      <w:pPr/>
      <w:r>
        <w:rPr>
          <w:lang w:val="en_US" w:bidi="en_US"/>
        </w:rPr>
      </w:r>
      <w:r>
        <w:rPr>
          <w:b/>
          <w:lang w:val="en_US" w:bidi="en_US"/>
        </w:rPr>
        <w:t>These men will receive greater condemnation:</w:t>
      </w:r>
      <w:r>
        <w:rPr>
          <w:lang w:val="en_US" w:bidi="en_US"/>
        </w:rPr>
        <w:t xml:space="preserve"> The Greek expression that the BSB translates as </w:t>
      </w:r>
      <w:r>
        <w:rPr>
          <w:i/>
          <w:lang w:val="en_US" w:bidi="en_US"/>
        </w:rPr>
        <w:t>These men will receive greater condemnation</w:t>
      </w:r>
      <w:r>
        <w:rPr>
          <w:lang w:val="en_US" w:bidi="en_US"/>
        </w:rPr>
        <w:t xml:space="preserve"> is more literally “They will receive the greater condemnation.” The RSV and several other English versions translate it that way. There is an implied comparison here. The clause implies that the scribes will be punished more than other people will be punished. In some languages it may be necessary to make the comparison explicit:</w:t>
      </w:r>
    </w:p>
    <w:p>
      <w:pPr/>
      <w:r>
        <w:rPr>
          <w:lang w:val="en_US" w:bidi="en_US"/>
        </w:rPr>
      </w:r>
      <w:r>
        <w:rPr>
          <w:lang w:val="en_US" w:bidi="en_US"/>
        </w:rPr>
        <w:t xml:space="preserve">They will be punished more severely </w:t>
      </w:r>
      <w:r>
        <w:rPr>
          <w:lang w:val="en_US" w:bidi="en_US"/>
        </w:rPr>
        <w:t>than other people</w:t>
      </w:r>
      <w:r>
        <w:rPr>
          <w:lang w:val="en_US" w:bidi="en_US"/>
        </w:rPr>
        <w:t>.</w:t>
      </w:r>
    </w:p>
    <w:p>
      <w:pPr/>
      <w:r>
        <w:rPr>
          <w:lang w:val="en_US" w:bidi="en_US"/>
        </w:rPr>
      </w:r>
      <w:r>
        <w:rPr>
          <w:b/>
          <w:lang w:val="en_US" w:bidi="en_US"/>
        </w:rPr>
        <w:t>greater condemnation:</w:t>
      </w:r>
      <w:r>
        <w:rPr>
          <w:lang w:val="en_US" w:bidi="en_US"/>
        </w:rPr>
        <w:t xml:space="preserve"> The Greek word that the BSB translates as </w:t>
      </w:r>
      <w:r>
        <w:rPr>
          <w:i/>
          <w:lang w:val="en_US" w:bidi="en_US"/>
        </w:rPr>
        <w:t>greater</w:t>
      </w:r>
      <w:r>
        <w:rPr>
          <w:lang w:val="en_US" w:bidi="en_US"/>
        </w:rPr>
        <w:t xml:space="preserve"> means “very great, much greater.” For example:</w:t>
      </w:r>
    </w:p>
    <w:p>
      <w:pPr/>
      <w:r>
        <w:rPr>
          <w:lang w:val="en_US" w:bidi="en_US"/>
        </w:rPr>
      </w:r>
      <w:r>
        <w:rPr>
          <w:lang w:val="en_US" w:bidi="en_US"/>
        </w:rPr>
        <w:t>They will receive much more severe punishment</w:t>
      </w:r>
    </w:p>
    <w:p>
      <w:pPr/>
      <w:r>
        <w:rPr>
          <w:lang w:val="en_US" w:bidi="en_US"/>
        </w:rPr>
      </w:r>
      <w:r>
        <w:rPr>
          <w:lang w:val="en_US" w:bidi="en_US"/>
        </w:rPr>
        <w:t>In some languages it may be necessary to indicate who will punish the scribes. If that is true in your language, you should indicate that God will punish them. For example:</w:t>
      </w:r>
    </w:p>
    <w:p>
      <w:pPr/>
      <w:r>
        <w:rPr>
          <w:lang w:val="en_US" w:bidi="en_US"/>
        </w:rPr>
      </w:r>
      <w:r>
        <w:rPr>
          <w:lang w:val="en_US" w:bidi="en_US"/>
        </w:rPr>
        <w:t>God</w:t>
      </w:r>
      <w:r>
        <w:rPr>
          <w:lang w:val="en_US" w:bidi="en_US"/>
        </w:rPr>
        <w:t xml:space="preserve"> will punish them much more severely/greatly </w:t>
      </w:r>
      <w:r>
        <w:rPr>
          <w:lang w:val="en_US" w:bidi="en_US"/>
        </w:rPr>
        <w:t>than he will punish anyone else</w:t>
      </w:r>
      <w:r>
        <w:rPr>
          <w:lang w:val="en_US" w:bidi="en_US"/>
        </w:rPr>
        <w:t>.</w:t>
      </w:r>
      <w:r>
        <w:rPr>
          <w:lang w:val="en_US" w:bidi="en_US"/>
        </w:rPr>
      </w:r>
      <w:r>
        <w:rPr>
          <w:lang w:val="en_US" w:bidi="en_US"/>
        </w:rPr>
      </w:r>
    </w:p>
    <w:p>
      <w:pPr/>
      <w:r>
        <w:rPr>
          <w:lang w:val="en_US" w:bidi="en_US"/>
        </w:rPr>
      </w:r>
    </w:p>
    <w:p>
      <w:pPr>
        <w:pStyle w:val="Heading2"/>
      </w:pPr>
      <w:r>
        <w:rPr>
          <w:lang w:val="en_US" w:bidi="en_US"/>
        </w:rPr>
        <w:t>Luke 21:1</w:t>
      </w:r>
      <w:r>
        <w:rPr>
          <w:lang w:val="en_US" w:bidi="en_US"/>
        </w:rPr>
      </w:r>
    </w:p>
    <w:p>
      <w:pPr>
        <w:pStyle w:val="Heading4"/>
      </w:pPr>
      <w:r>
        <w:rPr>
          <w:lang w:val="en_US" w:bidi="en_US"/>
        </w:rPr>
        <w:t>Section 21:1–4: Jesus praised a widow because she gave all her money to God</w:t>
      </w:r>
    </w:p>
    <w:p>
      <w:pPr/>
      <w:r>
        <w:rPr>
          <w:lang w:val="en_US" w:bidi="en_US"/>
        </w:rPr>
      </w:r>
      <w:r>
        <w:rPr>
          <w:lang w:val="en_US" w:bidi="en_US"/>
        </w:rPr>
        <w:t>In this section, a poor widow gave all the money that she had as an offering to God. Jesus praised her for doing that. He contrasted her gift with the gifts that the rich people gave. They gave greater amounts of money, but the widow gave God all the money that she had.</w:t>
      </w:r>
    </w:p>
    <w:p>
      <w:pPr/>
      <w:r>
        <w:rPr>
          <w:lang w:val="en_US" w:bidi="en_US"/>
        </w:rPr>
      </w:r>
      <w:r>
        <w:rPr>
          <w:lang w:val="en_US" w:bidi="en_US"/>
        </w:rPr>
        <w:t>Jesus praised the widow on the same day that he criticized the scribes in the preceding section. In 20:47 Jesus said that the scribes “devour widow’s houses.” Most of the scribes were rich people. There is a strong contrast between the scribes and the widow. The scribes served God in order to impress other people, but the widow served him sincerely.</w:t>
      </w:r>
    </w:p>
    <w:p>
      <w:pPr/>
      <w:r>
        <w:rPr>
          <w:lang w:val="en_US" w:bidi="en_US"/>
        </w:rPr>
      </w:r>
      <w:r>
        <w:rPr>
          <w:lang w:val="en_US" w:bidi="en_US"/>
        </w:rPr>
        <w:t>It is good to translate this section before you decide on a heading for it. Examples of other headings for this section are:</w:t>
      </w:r>
    </w:p>
    <w:p>
      <w:pPr/>
      <w:r>
        <w:rPr>
          <w:lang w:val="en_US" w:bidi="en_US"/>
        </w:rPr>
      </w:r>
      <w:r>
        <w:rPr>
          <w:lang w:val="en_US" w:bidi="en_US"/>
        </w:rPr>
        <w:t>A poor widow gave a generous gift to/for the temple</w:t>
      </w:r>
    </w:p>
    <w:p>
      <w:pPr/>
      <w:r>
        <w:rPr>
          <w:lang w:val="en_US" w:bidi="en_US"/>
        </w:rPr>
      </w:r>
      <w:r>
        <w:rPr>
          <w:lang w:val="en_US" w:bidi="en_US"/>
        </w:rPr>
        <w:t>Jesus compared the gifts given to God by the rich to the gift given by a poor widow</w:t>
      </w:r>
    </w:p>
    <w:p>
      <w:pPr/>
      <w:r>
        <w:rPr>
          <w:lang w:val="en_US" w:bidi="en_US"/>
        </w:rPr>
      </w:r>
      <w:r>
        <w:rPr>
          <w:lang w:val="en_US" w:bidi="en_US"/>
        </w:rPr>
        <w:t>The widow’s gift/offering</w:t>
      </w:r>
    </w:p>
    <w:p>
      <w:pPr/>
      <w:r>
        <w:rPr>
          <w:lang w:val="en_US" w:bidi="en_US"/>
        </w:rPr>
      </w:r>
      <w:r>
        <w:rPr>
          <w:lang w:val="en_US" w:bidi="en_US"/>
        </w:rPr>
        <w:t>There is a parallel passage for this section in Mark 12:41–44.</w:t>
      </w:r>
    </w:p>
    <w:p>
      <w:pPr>
        <w:pStyle w:val="Heading5"/>
      </w:pPr>
      <w:r>
        <w:rPr>
          <w:lang w:val="en_US" w:bidi="en_US"/>
        </w:rPr>
        <w:t>21:1a</w:t>
      </w:r>
    </w:p>
    <w:p>
      <w:pPr/>
      <w:r>
        <w:rPr>
          <w:lang w:val="en_US" w:bidi="en_US"/>
        </w:rPr>
      </w:r>
      <w:r>
        <w:rPr>
          <w:b/>
          <w:lang w:val="en_US" w:bidi="en_US"/>
        </w:rPr>
        <w:t>Then Jesus looked up and saw the rich</w:t>
      </w:r>
    </w:p>
    <w:p>
      <w:pPr>
        <w:pStyle w:val="ListBullet"/>
        <w:spacing w:line="240" w:lineRule="auto"/>
        <w:ind w:left="720"/>
      </w:pPr>
      <w:r>
        <w:rPr>
          <w:lang w:val="en_US" w:bidi="en_US"/>
        </w:rPr>
      </w:r>
      <w:r>
        <w:rPr>
          <w:lang w:val="en_US" w:bidi="en_US"/>
        </w:rPr>
        <w:t>¶ Jesus looked up, and he saw rich people</w:t>
      </w:r>
    </w:p>
    <w:p>
      <w:pPr>
        <w:pStyle w:val="ListBullet"/>
        <w:spacing w:line="240" w:lineRule="auto"/>
        <w:ind w:left="720"/>
      </w:pPr>
      <w:r>
        <w:rPr>
          <w:lang w:val="en_US" w:bidi="en_US"/>
        </w:rPr>
      </w:r>
      <w:r>
        <w:rPr>
          <w:lang w:val="en_US" w:bidi="en_US"/>
        </w:rPr>
        <w:t xml:space="preserve">¶ As Jesus </w:t>
      </w:r>
      <w:r>
        <w:rPr>
          <w:lang w:val="en_US" w:bidi="en_US"/>
        </w:rPr>
        <w:t>was sitting near the temple treasury</w:t>
      </w:r>
      <w:r>
        <w:rPr>
          <w:lang w:val="en_US" w:bidi="en_US"/>
        </w:rPr>
        <w:t>, he saw rich people</w:t>
      </w:r>
    </w:p>
    <w:p>
      <w:pPr>
        <w:pStyle w:val="ListBullet"/>
        <w:spacing w:line="240" w:lineRule="auto"/>
        <w:ind w:left="720"/>
      </w:pPr>
      <w:r>
        <w:rPr>
          <w:lang w:val="en_US" w:bidi="en_US"/>
        </w:rPr>
      </w:r>
      <w:r>
        <w:rPr>
          <w:lang w:val="en_US" w:bidi="en_US"/>
        </w:rPr>
        <w:t xml:space="preserve">¶ Soon after that, Jesus looked around and noticed </w:t>
      </w:r>
      <w:r>
        <w:rPr>
          <w:lang w:val="en_US" w:bidi="en_US"/>
        </w:rPr>
        <w:t>some</w:t>
      </w:r>
      <w:r>
        <w:rPr>
          <w:lang w:val="en_US" w:bidi="en_US"/>
        </w:rPr>
        <w:t xml:space="preserve"> wealthy people </w:t>
      </w:r>
      <w:r>
        <w:rPr>
          <w:lang w:val="en_US" w:bidi="en_US"/>
        </w:rPr>
        <w:t>coming</w:t>
      </w:r>
    </w:p>
    <w:p>
      <w:pPr>
        <w:pStyle w:val="Heading5"/>
      </w:pPr>
      <w:r>
        <w:rPr>
          <w:lang w:val="en_US" w:bidi="en_US"/>
        </w:rPr>
        <w:t>21:1b</w:t>
      </w:r>
    </w:p>
    <w:p>
      <w:pPr/>
      <w:r>
        <w:rPr>
          <w:lang w:val="en_US" w:bidi="en_US"/>
        </w:rPr>
      </w:r>
      <w:r>
        <w:rPr>
          <w:b/>
          <w:lang w:val="en_US" w:bidi="en_US"/>
        </w:rPr>
        <w:t>putting their gifts into the treasury,</w:t>
      </w:r>
    </w:p>
    <w:p>
      <w:pPr>
        <w:pStyle w:val="ListBullet"/>
        <w:spacing w:line="240" w:lineRule="auto"/>
        <w:ind w:left="720"/>
      </w:pPr>
      <w:r>
        <w:rPr>
          <w:lang w:val="en_US" w:bidi="en_US"/>
        </w:rPr>
      </w:r>
      <w:r>
        <w:rPr>
          <w:lang w:val="en_US" w:bidi="en_US"/>
        </w:rPr>
        <w:t>giving money for the temple fund.</w:t>
      </w:r>
    </w:p>
    <w:p>
      <w:pPr>
        <w:pStyle w:val="ListBullet"/>
        <w:spacing w:line="240" w:lineRule="auto"/>
        <w:ind w:left="720"/>
      </w:pPr>
      <w:r>
        <w:rPr>
          <w:lang w:val="en_US" w:bidi="en_US"/>
        </w:rPr>
      </w:r>
      <w:r>
        <w:rPr>
          <w:lang w:val="en_US" w:bidi="en_US"/>
        </w:rPr>
        <w:t xml:space="preserve">who were giving offerings/money </w:t>
      </w:r>
      <w:r>
        <w:rPr>
          <w:lang w:val="en_US" w:bidi="en_US"/>
        </w:rPr>
        <w:t>to God</w:t>
      </w:r>
      <w:r>
        <w:rPr>
          <w:lang w:val="en_US" w:bidi="en_US"/>
        </w:rPr>
        <w:t xml:space="preserve"> for the temple.</w:t>
      </w:r>
    </w:p>
    <w:p>
      <w:pPr>
        <w:pStyle w:val="ListBullet"/>
        <w:spacing w:line="240" w:lineRule="auto"/>
        <w:ind w:left="720"/>
      </w:pPr>
      <w:r>
        <w:rPr>
          <w:lang w:val="en_US" w:bidi="en_US"/>
        </w:rPr>
      </w:r>
      <w:r>
        <w:rPr>
          <w:lang w:val="en_US" w:bidi="en_US"/>
        </w:rPr>
        <w:t xml:space="preserve">and </w:t>
      </w:r>
      <w:r>
        <w:rPr>
          <w:lang w:val="en_US" w:bidi="en_US"/>
        </w:rPr>
        <w:t>each</w:t>
      </w:r>
      <w:r>
        <w:rPr>
          <w:lang w:val="en_US" w:bidi="en_US"/>
        </w:rPr>
        <w:t xml:space="preserve"> dropping some coins into the temple offering box/container.</w:t>
      </w:r>
    </w:p>
    <w:p>
      <w:pPr>
        <w:pStyle w:val="Heading5"/>
      </w:pPr>
      <w:r>
        <w:rPr>
          <w:lang w:val="en_US" w:bidi="en_US"/>
        </w:rPr>
        <w:t>21:1a–b</w:t>
      </w:r>
    </w:p>
    <w:p>
      <w:pPr/>
      <w:r>
        <w:rPr>
          <w:lang w:val="en_US" w:bidi="en_US"/>
        </w:rPr>
      </w:r>
      <w:r>
        <w:rPr>
          <w:lang w:val="en_US" w:bidi="en_US"/>
        </w:rPr>
        <w:t>The events in this paragraph occurred soon after the events in the previous section. Jesus was still in the temple courtyard with his disciples. The parallel verse in Mark 12:41 makes the context explicit.</w:t>
      </w:r>
    </w:p>
    <w:p>
      <w:pPr/>
      <w:r>
        <w:rPr>
          <w:lang w:val="en_US" w:bidi="en_US"/>
        </w:rPr>
      </w:r>
      <w:r>
        <w:rPr>
          <w:lang w:val="en_US" w:bidi="en_US"/>
        </w:rPr>
        <w:t>In some languages, it may be natural to begin this paragraph with a time word or phrase. For example:</w:t>
      </w:r>
    </w:p>
    <w:p>
      <w:pPr/>
      <w:r>
        <w:rPr>
          <w:lang w:val="en_US" w:bidi="en_US"/>
        </w:rPr>
      </w:r>
      <w:r>
        <w:rPr>
          <w:lang w:val="en_US" w:bidi="en_US"/>
        </w:rPr>
        <w:t>A little later</w:t>
      </w:r>
    </w:p>
    <w:p>
      <w:pPr/>
      <w:r>
        <w:rPr>
          <w:lang w:val="en_US" w:bidi="en_US"/>
        </w:rPr>
      </w:r>
      <w:r>
        <w:rPr>
          <w:lang w:val="en_US" w:bidi="en_US"/>
        </w:rPr>
        <w:t>Soon after that</w:t>
      </w:r>
    </w:p>
    <w:p>
      <w:pPr/>
      <w:r>
        <w:rPr>
          <w:lang w:val="en_US" w:bidi="en_US"/>
        </w:rPr>
      </w:r>
      <w:r>
        <w:rPr>
          <w:lang w:val="en_US" w:bidi="en_US"/>
        </w:rPr>
        <w:t>In other languages it may be natural to begin the paragraph with a statement that makes the context more explicit. For example:</w:t>
      </w:r>
    </w:p>
    <w:p>
      <w:pPr/>
      <w:r>
        <w:rPr>
          <w:lang w:val="en_US" w:bidi="en_US"/>
        </w:rPr>
      </w:r>
      <w:r>
        <w:rPr>
          <w:lang w:val="en_US" w:bidi="en_US"/>
        </w:rPr>
        <w:t>Then while Jesus and His disciples were still in the temple courtyards (TRT)</w:t>
      </w:r>
    </w:p>
    <w:p>
      <w:pPr/>
      <w:r>
        <w:rPr>
          <w:lang w:val="en_US" w:bidi="en_US"/>
        </w:rPr>
      </w:r>
      <w:r>
        <w:rPr>
          <w:b/>
          <w:lang w:val="en_US" w:bidi="en_US"/>
        </w:rPr>
        <w:t>Then Jesus looked up and saw the rich:</w:t>
      </w:r>
      <w:r>
        <w:rPr>
          <w:lang w:val="en_US" w:bidi="en_US"/>
        </w:rPr>
        <w:t xml:space="preserve"> The verb </w:t>
      </w:r>
      <w:r>
        <w:rPr>
          <w:i/>
          <w:lang w:val="en_US" w:bidi="en_US"/>
        </w:rPr>
        <w:t>looked up</w:t>
      </w:r>
      <w:r>
        <w:rPr>
          <w:lang w:val="en_US" w:bidi="en_US"/>
        </w:rPr>
        <w:t xml:space="preserve"> probably indicates that Jesus looked toward the place where people were giving their offerings. It does not imply here that Jesus looked toward the sky. The parallel verse in Mark 12:41 indicates that Jesus was sitting in the temple courtyard.</w:t>
      </w:r>
      <w:r>
        <w:rPr>
          <w:lang w:val="en_US" w:bidi="en_US"/>
        </w:rPr>
        <w:t>Plummer (p. 475) says, “The long discussions had wearied Him, and He had been sitting with downcast or closed eyes.”</w:t>
      </w:r>
      <w:r>
        <w:rPr>
          <w:lang w:val="en_US" w:bidi="en_US"/>
        </w:rPr>
        <w:t xml:space="preserve"> Another way to translate this clause is:</w:t>
      </w:r>
    </w:p>
    <w:p>
      <w:pPr/>
      <w:r>
        <w:rPr>
          <w:lang w:val="en_US" w:bidi="en_US"/>
        </w:rPr>
      </w:r>
      <w:r>
        <w:rPr>
          <w:lang w:val="en_US" w:bidi="en_US"/>
        </w:rPr>
        <w:t>Jesus looked around and saw rich people (GNT)</w:t>
      </w:r>
    </w:p>
    <w:p>
      <w:pPr/>
      <w:r>
        <w:rPr>
          <w:lang w:val="en_US" w:bidi="en_US"/>
        </w:rPr>
      </w:r>
      <w:r>
        <w:rPr>
          <w:lang w:val="en_US" w:bidi="en_US"/>
        </w:rPr>
        <w:t xml:space="preserve">In some languages, it may be more natural to translate the verbs </w:t>
      </w:r>
      <w:r>
        <w:rPr>
          <w:i/>
          <w:lang w:val="en_US" w:bidi="en_US"/>
        </w:rPr>
        <w:t>looked up</w:t>
      </w:r>
      <w:r>
        <w:rPr>
          <w:lang w:val="en_US" w:bidi="en_US"/>
        </w:rPr>
        <w:t xml:space="preserve"> and </w:t>
      </w:r>
      <w:r>
        <w:rPr>
          <w:i/>
          <w:lang w:val="en_US" w:bidi="en_US"/>
        </w:rPr>
        <w:t>saw</w:t>
      </w:r>
      <w:r>
        <w:rPr>
          <w:lang w:val="en_US" w:bidi="en_US"/>
        </w:rPr>
        <w:t xml:space="preserve"> as one action. For example:</w:t>
      </w:r>
    </w:p>
    <w:p>
      <w:pPr/>
      <w:r>
        <w:rPr>
          <w:lang w:val="en_US" w:bidi="en_US"/>
        </w:rPr>
      </w:r>
      <w:r>
        <w:rPr>
          <w:lang w:val="en_US" w:bidi="en_US"/>
        </w:rPr>
        <w:t>While Jesus was in the Temple, he watched the rich people (NLT)</w:t>
      </w:r>
    </w:p>
    <w:p>
      <w:pPr/>
      <w:r>
        <w:rPr>
          <w:lang w:val="en_US" w:bidi="en_US"/>
        </w:rPr>
      </w:r>
      <w:r>
        <w:rPr>
          <w:lang w:val="en_US" w:bidi="en_US"/>
        </w:rPr>
        <w:t>Then Jesus saw some rich people</w:t>
      </w:r>
    </w:p>
    <w:p>
      <w:pPr/>
      <w:r>
        <w:rPr>
          <w:lang w:val="en_US" w:bidi="en_US"/>
        </w:rPr>
      </w:r>
      <w:r>
        <w:rPr>
          <w:b/>
          <w:lang w:val="en_US" w:bidi="en_US"/>
        </w:rPr>
        <w:t>putting their gifts into the treasury:</w:t>
      </w:r>
      <w:r>
        <w:rPr>
          <w:lang w:val="en_US" w:bidi="en_US"/>
        </w:rPr>
        <w:t xml:space="preserve"> The </w:t>
      </w:r>
      <w:r>
        <w:rPr>
          <w:i/>
          <w:lang w:val="en_US" w:bidi="en_US"/>
        </w:rPr>
        <w:t>treasury</w:t>
      </w:r>
      <w:r>
        <w:rPr>
          <w:lang w:val="en_US" w:bidi="en_US"/>
        </w:rPr>
        <w:t xml:space="preserve"> was a place in the temple where money was kept. This money was used to benefit the temple and priests in various ways. This money came from gifts that people gave to God for the temple.</w:t>
      </w:r>
    </w:p>
    <w:p>
      <w:pPr/>
      <w:r>
        <w:rPr>
          <w:lang w:val="en_US" w:bidi="en_US"/>
        </w:rPr>
      </w:r>
      <w:r>
        <w:rPr>
          <w:lang w:val="en_US" w:bidi="en_US"/>
        </w:rPr>
        <w:t>In one part of the temple, there were wooden boxes where the people put their gifts of money. The boxes had an opening at the top, and people dropped coins into them.</w:t>
      </w:r>
    </w:p>
    <w:p>
      <w:pPr/>
      <w:r>
        <w:rPr>
          <w:lang w:val="en_US" w:bidi="en_US"/>
        </w:rPr>
      </w:r>
      <w:r>
        <w:rPr>
          <w:lang w:val="en_US" w:bidi="en_US"/>
        </w:rPr>
        <w:t xml:space="preserve">Some ways to translate </w:t>
      </w:r>
      <w:r>
        <w:rPr>
          <w:i/>
          <w:lang w:val="en_US" w:bidi="en_US"/>
        </w:rPr>
        <w:t>putting their gifts into the treasury</w:t>
      </w:r>
      <w:r>
        <w:rPr>
          <w:lang w:val="en_US" w:bidi="en_US"/>
        </w:rPr>
        <w:t xml:space="preserve"> are:</w:t>
      </w:r>
    </w:p>
    <w:p>
      <w:pPr>
        <w:pStyle w:val="ListBullet"/>
        <w:spacing w:line="240" w:lineRule="auto"/>
        <w:ind w:left="720"/>
      </w:pPr>
      <w:r>
        <w:rPr>
          <w:lang w:val="en_US" w:bidi="en_US"/>
        </w:rPr>
      </w:r>
      <w:r>
        <w:rPr>
          <w:lang w:val="en_US" w:bidi="en_US"/>
        </w:rPr>
        <w:t>Use a general term to refer to money for the temple. For example:</w:t>
      </w:r>
      <w:r>
        <w:rPr>
          <w:lang w:val="en_US" w:bidi="en_US"/>
        </w:rPr>
        <w:t>giving money for the temple</w:t>
      </w:r>
      <w:r>
        <w:rPr>
          <w:lang w:val="en_US" w:bidi="en_US"/>
        </w:rPr>
        <w:t>giving gifts to God for the temple</w:t>
      </w:r>
    </w:p>
    <w:p>
      <w:pPr>
        <w:pStyle w:val="ListBullet"/>
        <w:spacing w:line="240" w:lineRule="auto"/>
        <w:ind w:left="720"/>
      </w:pPr>
      <w:r>
        <w:rPr>
          <w:lang w:val="en_US" w:bidi="en_US"/>
        </w:rPr>
      </w:r>
      <w:r>
        <w:rPr>
          <w:lang w:val="en_US" w:bidi="en_US"/>
        </w:rPr>
        <w:t>Use a specific term to refer to the boxes where people put their gifts. For example:</w:t>
      </w:r>
      <w:r>
        <w:rPr>
          <w:lang w:val="en_US" w:bidi="en_US"/>
        </w:rPr>
        <w:t>dropping their gifts into the temple offering box (GW)</w:t>
      </w:r>
      <w:r>
        <w:rPr>
          <w:lang w:val="en_US" w:bidi="en_US"/>
        </w:rPr>
        <w:t>Putting their offerings into containers where people put/gave money for God</w:t>
      </w:r>
    </w:p>
    <w:p>
      <w:pPr/>
      <w:r>
        <w:rPr>
          <w:lang w:val="en_US" w:bidi="en_US"/>
        </w:rPr>
      </w:r>
      <w:r>
        <w:rPr>
          <w:lang w:val="en_US" w:bidi="en_US"/>
        </w:rPr>
        <w:t>You may want to include a footnote that explains more about this. For example:</w:t>
      </w:r>
    </w:p>
    <w:p>
      <w:pPr/>
      <w:r>
        <w:rPr>
          <w:lang w:val="en_US" w:bidi="en_US"/>
        </w:rPr>
      </w:r>
      <w:r>
        <w:rPr>
          <w:lang w:val="en_US" w:bidi="en_US"/>
        </w:rPr>
        <w:t>In the temple, there were thirteen boxes where people gave coins as gifts to God. There was also a place in the temple where this money was stored. Then it was used as needed to benefit the temple.</w:t>
      </w:r>
    </w:p>
    <w:p>
      <w:pPr/>
      <w:r>
        <w:rPr>
          <w:lang w:val="en_US" w:bidi="en_US"/>
        </w:rPr>
      </w:r>
      <w:r>
        <w:rPr>
          <w:b/>
          <w:lang w:val="en_US" w:bidi="en_US"/>
        </w:rPr>
        <w:t>putting…into:</w:t>
      </w:r>
      <w:r>
        <w:rPr>
          <w:lang w:val="en_US" w:bidi="en_US"/>
        </w:rPr>
        <w:t xml:space="preserve"> The Greek word that the BSB translates here as </w:t>
      </w:r>
      <w:r>
        <w:rPr>
          <w:i/>
          <w:lang w:val="en_US" w:bidi="en_US"/>
        </w:rPr>
        <w:t>putting…into</w:t>
      </w:r>
      <w:r>
        <w:rPr>
          <w:lang w:val="en_US" w:bidi="en_US"/>
        </w:rPr>
        <w:t xml:space="preserve"> refers to the action of “placing” coins into the boxes. Some other ways to translate this word are:</w:t>
      </w:r>
    </w:p>
    <w:p>
      <w:pPr/>
      <w:r>
        <w:rPr>
          <w:lang w:val="en_US" w:bidi="en_US"/>
        </w:rPr>
      </w:r>
      <w:r>
        <w:rPr>
          <w:lang w:val="en_US" w:bidi="en_US"/>
        </w:rPr>
        <w:t>dropping (GNT)</w:t>
      </w:r>
    </w:p>
    <w:p>
      <w:pPr/>
      <w:r>
        <w:rPr>
          <w:lang w:val="en_US" w:bidi="en_US"/>
        </w:rPr>
      </w:r>
      <w:r>
        <w:rPr>
          <w:lang w:val="en_US" w:bidi="en_US"/>
        </w:rPr>
        <w:t>placing</w:t>
      </w:r>
    </w:p>
    <w:p>
      <w:pPr/>
      <w:r>
        <w:rPr>
          <w:lang w:val="en_US" w:bidi="en_US"/>
        </w:rPr>
      </w:r>
      <w:r>
        <w:rPr>
          <w:lang w:val="en_US" w:bidi="en_US"/>
        </w:rPr>
        <w:t>In some languages there may be an idiom to refer to giving gifts to God.</w:t>
      </w:r>
    </w:p>
    <w:p>
      <w:pPr/>
      <w:r>
        <w:rPr>
          <w:lang w:val="en_US" w:bidi="en_US"/>
        </w:rPr>
      </w:r>
      <w:r>
        <w:rPr>
          <w:b/>
          <w:lang w:val="en_US" w:bidi="en_US"/>
        </w:rPr>
        <w:t>gifts:</w:t>
      </w:r>
      <w:r>
        <w:rPr>
          <w:lang w:val="en_US" w:bidi="en_US"/>
        </w:rPr>
        <w:t xml:space="preserve"> The Greek word that the BSB translates as </w:t>
      </w:r>
      <w:r>
        <w:rPr>
          <w:i/>
          <w:lang w:val="en_US" w:bidi="en_US"/>
        </w:rPr>
        <w:t>gifts</w:t>
      </w:r>
      <w:r>
        <w:rPr>
          <w:lang w:val="en_US" w:bidi="en_US"/>
        </w:rPr>
        <w:t xml:space="preserve"> refers here to money. This money was in the form of coins. Some of the coins were very valuable. Other ways to translate </w:t>
      </w:r>
      <w:r>
        <w:rPr>
          <w:i/>
          <w:lang w:val="en_US" w:bidi="en_US"/>
        </w:rPr>
        <w:t>gifts</w:t>
      </w:r>
      <w:r>
        <w:rPr>
          <w:lang w:val="en_US" w:bidi="en_US"/>
        </w:rPr>
        <w:t xml:space="preserve"> are:</w:t>
      </w:r>
    </w:p>
    <w:p>
      <w:pPr/>
      <w:r>
        <w:rPr>
          <w:lang w:val="en_US" w:bidi="en_US"/>
        </w:rPr>
      </w:r>
      <w:r>
        <w:rPr>
          <w:lang w:val="en_US" w:bidi="en_US"/>
        </w:rPr>
        <w:t>money</w:t>
      </w:r>
    </w:p>
    <w:p>
      <w:pPr/>
      <w:r>
        <w:rPr>
          <w:lang w:val="en_US" w:bidi="en_US"/>
        </w:rPr>
      </w:r>
      <w:r>
        <w:rPr>
          <w:lang w:val="en_US" w:bidi="en_US"/>
        </w:rPr>
        <w:t>coins</w:t>
      </w:r>
    </w:p>
    <w:p>
      <w:pPr/>
      <w:r>
        <w:rPr>
          <w:lang w:val="en_US" w:bidi="en_US"/>
        </w:rPr>
      </w:r>
      <w:r>
        <w:rPr>
          <w:lang w:val="en_US" w:bidi="en_US"/>
        </w:rPr>
        <w:t>gift of coins/money</w:t>
      </w:r>
    </w:p>
    <w:p>
      <w:pPr/>
      <w:r>
        <w:rPr>
          <w:lang w:val="en_US" w:bidi="en_US"/>
        </w:rPr>
      </w:r>
      <w:r>
        <w:rPr>
          <w:lang w:val="en_US" w:bidi="en_US"/>
        </w:rPr>
        <w:t>In some languages a word like “coins” may imply that the gifts were not valuable. If that is true in your language, you should use a more general word.</w:t>
      </w:r>
      <w:r>
        <w:rPr>
          <w:lang w:val="en_US" w:bidi="en_US"/>
        </w:rPr>
      </w:r>
      <w:r>
        <w:rPr>
          <w:lang w:val="en_US" w:bidi="en_US"/>
        </w:rPr>
      </w:r>
    </w:p>
    <w:p>
      <w:pPr/>
      <w:r>
        <w:rPr>
          <w:lang w:val="en_US" w:bidi="en_US"/>
        </w:rPr>
      </w:r>
    </w:p>
    <w:p>
      <w:pPr>
        <w:pStyle w:val="Heading2"/>
      </w:pPr>
      <w:r>
        <w:rPr>
          <w:lang w:val="en_US" w:bidi="en_US"/>
        </w:rPr>
        <w:t>Luke 21:2</w:t>
      </w:r>
      <w:r>
        <w:rPr>
          <w:lang w:val="en_US" w:bidi="en_US"/>
        </w:rPr>
      </w:r>
    </w:p>
    <w:p>
      <w:pPr>
        <w:pStyle w:val="Heading4"/>
      </w:pPr>
      <w:r>
        <w:rPr>
          <w:lang w:val="en_US" w:bidi="en_US"/>
        </w:rPr>
        <w:t>Section 21:1–4: Jesus praised a widow because she gave all her money to God</w:t>
      </w:r>
    </w:p>
    <w:p>
      <w:pPr/>
      <w:r>
        <w:rPr>
          <w:lang w:val="en_US" w:bidi="en_US"/>
        </w:rPr>
      </w:r>
      <w:r>
        <w:rPr>
          <w:lang w:val="en_US" w:bidi="en_US"/>
        </w:rPr>
        <w:t>In this section, a poor widow gave all the money that she had as an offering to God. Jesus praised her for doing that. He contrasted her gift with the gifts that the rich people gave. They gave greater amounts of money, but the widow gave God all the money that she had.</w:t>
      </w:r>
    </w:p>
    <w:p>
      <w:pPr/>
      <w:r>
        <w:rPr>
          <w:lang w:val="en_US" w:bidi="en_US"/>
        </w:rPr>
      </w:r>
      <w:r>
        <w:rPr>
          <w:lang w:val="en_US" w:bidi="en_US"/>
        </w:rPr>
        <w:t>Jesus praised the widow on the same day that he criticized the scribes in the preceding section. In 20:47 Jesus said that the scribes “devour widow’s houses.” Most of the scribes were rich people. There is a strong contrast between the scribes and the widow. The scribes served God in order to impress other people, but the widow served him sincerely.</w:t>
      </w:r>
    </w:p>
    <w:p>
      <w:pPr/>
      <w:r>
        <w:rPr>
          <w:lang w:val="en_US" w:bidi="en_US"/>
        </w:rPr>
      </w:r>
      <w:r>
        <w:rPr>
          <w:lang w:val="en_US" w:bidi="en_US"/>
        </w:rPr>
        <w:t>It is good to translate this section before you decide on a heading for it. Examples of other headings for this section are:</w:t>
      </w:r>
    </w:p>
    <w:p>
      <w:pPr/>
      <w:r>
        <w:rPr>
          <w:lang w:val="en_US" w:bidi="en_US"/>
        </w:rPr>
      </w:r>
      <w:r>
        <w:rPr>
          <w:lang w:val="en_US" w:bidi="en_US"/>
        </w:rPr>
        <w:t>A poor widow gave a generous gift to/for the temple</w:t>
      </w:r>
    </w:p>
    <w:p>
      <w:pPr/>
      <w:r>
        <w:rPr>
          <w:lang w:val="en_US" w:bidi="en_US"/>
        </w:rPr>
      </w:r>
      <w:r>
        <w:rPr>
          <w:lang w:val="en_US" w:bidi="en_US"/>
        </w:rPr>
        <w:t>Jesus compared the gifts given to God by the rich to the gift given by a poor widow</w:t>
      </w:r>
    </w:p>
    <w:p>
      <w:pPr/>
      <w:r>
        <w:rPr>
          <w:lang w:val="en_US" w:bidi="en_US"/>
        </w:rPr>
      </w:r>
      <w:r>
        <w:rPr>
          <w:lang w:val="en_US" w:bidi="en_US"/>
        </w:rPr>
        <w:t>The widow’s gift/offering</w:t>
      </w:r>
    </w:p>
    <w:p>
      <w:pPr/>
      <w:r>
        <w:rPr>
          <w:lang w:val="en_US" w:bidi="en_US"/>
        </w:rPr>
      </w:r>
      <w:r>
        <w:rPr>
          <w:lang w:val="en_US" w:bidi="en_US"/>
        </w:rPr>
        <w:t>There is a parallel passage for this section in Mark 12:41–44.</w:t>
      </w:r>
    </w:p>
    <w:p>
      <w:pPr>
        <w:pStyle w:val="Heading5"/>
      </w:pPr>
      <w:r>
        <w:rPr>
          <w:lang w:val="en_US" w:bidi="en_US"/>
        </w:rPr>
        <w:t>21:2</w:t>
      </w:r>
    </w:p>
    <w:p>
      <w:pPr/>
      <w:r>
        <w:rPr>
          <w:lang w:val="en_US" w:bidi="en_US"/>
        </w:rPr>
      </w:r>
      <w:r>
        <w:rPr>
          <w:b/>
          <w:lang w:val="en_US" w:bidi="en_US"/>
        </w:rPr>
        <w:t>and He saw a poor widow put in two small copper coins.</w:t>
      </w:r>
    </w:p>
    <w:p>
      <w:pPr>
        <w:pStyle w:val="ListBullet"/>
        <w:spacing w:line="240" w:lineRule="auto"/>
        <w:ind w:left="720"/>
      </w:pPr>
      <w:r>
        <w:rPr>
          <w:lang w:val="en_US" w:bidi="en_US"/>
        </w:rPr>
      </w:r>
      <w:r>
        <w:rPr>
          <w:lang w:val="en_US" w:bidi="en_US"/>
        </w:rPr>
        <w:t xml:space="preserve">He also saw a very poor widow. She gave two little coins </w:t>
      </w:r>
      <w:r>
        <w:rPr>
          <w:lang w:val="en_US" w:bidi="en_US"/>
        </w:rPr>
        <w:t>that did not have much value</w:t>
      </w:r>
      <w:r>
        <w:rPr>
          <w:lang w:val="en_US" w:bidi="en_US"/>
        </w:rPr>
        <w:t>.</w:t>
      </w:r>
    </w:p>
    <w:p>
      <w:pPr>
        <w:pStyle w:val="ListBullet"/>
        <w:spacing w:line="240" w:lineRule="auto"/>
        <w:ind w:left="720"/>
      </w:pPr>
      <w:r>
        <w:rPr>
          <w:lang w:val="en_US" w:bidi="en_US"/>
        </w:rPr>
      </w:r>
      <w:r>
        <w:rPr>
          <w:lang w:val="en_US" w:bidi="en_US"/>
        </w:rPr>
        <w:t xml:space="preserve">And then a poor woman </w:t>
      </w:r>
      <w:r>
        <w:rPr>
          <w:lang w:val="en_US" w:bidi="en_US"/>
        </w:rPr>
        <w:t>came</w:t>
      </w:r>
      <w:r>
        <w:rPr>
          <w:lang w:val="en_US" w:bidi="en_US"/>
        </w:rPr>
        <w:t xml:space="preserve">. Her husband had died, </w:t>
      </w:r>
      <w:r>
        <w:rPr>
          <w:lang w:val="en_US" w:bidi="en_US"/>
        </w:rPr>
        <w:t>and she was in great need</w:t>
      </w:r>
      <w:r>
        <w:rPr>
          <w:lang w:val="en_US" w:bidi="en_US"/>
        </w:rPr>
        <w:t>. Jesus watched her drop a tiny bit of money into the offering box/container.</w:t>
      </w:r>
    </w:p>
    <w:p>
      <w:pPr/>
      <w:r>
        <w:rPr>
          <w:lang w:val="en_US" w:bidi="en_US"/>
        </w:rPr>
      </w:r>
      <w:r>
        <w:rPr>
          <w:b/>
          <w:lang w:val="en_US" w:bidi="en_US"/>
        </w:rPr>
        <w:t>and He saw a poor widow:</w:t>
      </w:r>
      <w:r>
        <w:rPr>
          <w:lang w:val="en_US" w:bidi="en_US"/>
        </w:rPr>
        <w:t xml:space="preserve"> This clause introduces a woman who contrasts with the rich people in 21:1. She was poor and also a widow. In that culture, widows often did not have enough money to live on, but she was bringing an offering to God. Introduce her in a natural way in your language. For example:</w:t>
      </w:r>
    </w:p>
    <w:p>
      <w:pPr/>
      <w:r>
        <w:rPr>
          <w:lang w:val="en_US" w:bidi="en_US"/>
        </w:rPr>
      </w:r>
      <w:r>
        <w:rPr>
          <w:lang w:val="en_US" w:bidi="en_US"/>
        </w:rPr>
        <w:t>Then he saw a poor woman. She was a widow.</w:t>
      </w:r>
    </w:p>
    <w:p>
      <w:pPr/>
      <w:r>
        <w:rPr>
          <w:lang w:val="en_US" w:bidi="en_US"/>
        </w:rPr>
      </w:r>
      <w:r>
        <w:rPr>
          <w:lang w:val="en_US" w:bidi="en_US"/>
        </w:rPr>
        <w:t>Then he noticed a poor widow coming to give an offering.</w:t>
      </w:r>
    </w:p>
    <w:p>
      <w:pPr/>
      <w:r>
        <w:rPr>
          <w:lang w:val="en_US" w:bidi="en_US"/>
        </w:rPr>
      </w:r>
      <w:r>
        <w:rPr>
          <w:b/>
          <w:lang w:val="en_US" w:bidi="en_US"/>
        </w:rPr>
        <w:t>poor:</w:t>
      </w:r>
      <w:r>
        <w:rPr>
          <w:lang w:val="en_US" w:bidi="en_US"/>
        </w:rPr>
        <w:t xml:space="preserve"> The Greek word that the BSB translates as </w:t>
      </w:r>
      <w:r>
        <w:rPr>
          <w:i/>
          <w:lang w:val="en_US" w:bidi="en_US"/>
        </w:rPr>
        <w:t>poor</w:t>
      </w:r>
      <w:r>
        <w:rPr>
          <w:lang w:val="en_US" w:bidi="en_US"/>
        </w:rPr>
        <w:t xml:space="preserve"> here refers to someone who is in need of basic necessities. The widow’s need is also clear from 21:4. Most English versions translate the word as </w:t>
      </w:r>
      <w:r>
        <w:rPr>
          <w:i/>
          <w:lang w:val="en_US" w:bidi="en_US"/>
        </w:rPr>
        <w:t>poor</w:t>
      </w:r>
      <w:r>
        <w:rPr>
          <w:lang w:val="en_US" w:bidi="en_US"/>
        </w:rPr>
        <w:t xml:space="preserve"> or “very poor.”</w:t>
      </w:r>
    </w:p>
    <w:p>
      <w:pPr/>
      <w:r>
        <w:rPr>
          <w:lang w:val="en_US" w:bidi="en_US"/>
        </w:rPr>
      </w:r>
      <w:r>
        <w:rPr>
          <w:b/>
          <w:lang w:val="en_US" w:bidi="en_US"/>
        </w:rPr>
        <w:t>widow:</w:t>
      </w:r>
      <w:r>
        <w:rPr>
          <w:lang w:val="en_US" w:bidi="en_US"/>
        </w:rPr>
        <w:t xml:space="preserve"> The word </w:t>
      </w:r>
      <w:r>
        <w:rPr>
          <w:i/>
          <w:lang w:val="en_US" w:bidi="en_US"/>
        </w:rPr>
        <w:t>widow</w:t>
      </w:r>
      <w:r>
        <w:rPr>
          <w:lang w:val="en_US" w:bidi="en_US"/>
        </w:rPr>
        <w:t xml:space="preserve"> or “widows” also occurred in 18:3 and 20:47. See how you translated it there.</w:t>
      </w:r>
    </w:p>
    <w:p>
      <w:pPr/>
      <w:r>
        <w:rPr>
          <w:lang w:val="en_US" w:bidi="en_US"/>
        </w:rPr>
      </w:r>
      <w:r>
        <w:rPr>
          <w:b/>
          <w:lang w:val="en_US" w:bidi="en_US"/>
        </w:rPr>
        <w:t>two small copper coins:</w:t>
      </w:r>
      <w:r>
        <w:rPr>
          <w:lang w:val="en_US" w:bidi="en_US"/>
        </w:rPr>
        <w:t xml:space="preserve"> The Greek word that the BSB translates as </w:t>
      </w:r>
      <w:r>
        <w:rPr>
          <w:i/>
          <w:lang w:val="en_US" w:bidi="en_US"/>
        </w:rPr>
        <w:t>small copper coins</w:t>
      </w:r>
      <w:r>
        <w:rPr>
          <w:lang w:val="en_US" w:bidi="en_US"/>
        </w:rPr>
        <w:t xml:space="preserve"> refers to the smallest coin that people used at that time.</w:t>
      </w:r>
      <w:r>
        <w:rPr>
          <w:lang w:val="en_US" w:bidi="en_US"/>
        </w:rPr>
        <w:t xml:space="preserve">The name of this copper coin was </w:t>
      </w:r>
      <w:r>
        <w:rPr>
          <w:u w:val="single"/>
          <w:lang w:val="en_US" w:bidi="en_US"/>
        </w:rPr>
        <w:t>leptos</w:t>
      </w:r>
      <w:r>
        <w:rPr>
          <w:lang w:val="en_US" w:bidi="en_US"/>
        </w:rPr>
        <w:t>. It would take 128 of these coins to pay a laborer to work for one day. It is not clear whether this was a Roman coin or a Jewish coin.</w:t>
      </w:r>
      <w:r>
        <w:rPr>
          <w:lang w:val="en_US" w:bidi="en_US"/>
        </w:rPr>
        <w:t xml:space="preserve"> Some ways to translate it are:</w:t>
      </w:r>
    </w:p>
    <w:p>
      <w:pPr>
        <w:pStyle w:val="ListBullet"/>
        <w:spacing w:line="240" w:lineRule="auto"/>
        <w:ind w:left="720"/>
      </w:pPr>
      <w:r>
        <w:rPr>
          <w:lang w:val="en_US" w:bidi="en_US"/>
        </w:rPr>
      </w:r>
      <w:r>
        <w:rPr>
          <w:lang w:val="en_US" w:bidi="en_US"/>
        </w:rPr>
        <w:t>Use the name of the least valuable coin known in your culture. For example:</w:t>
      </w:r>
      <w:r>
        <w:rPr>
          <w:lang w:val="en_US" w:bidi="en_US"/>
        </w:rPr>
        <w:t>two pennies (CEV)</w:t>
      </w:r>
    </w:p>
    <w:p>
      <w:pPr>
        <w:pStyle w:val="ListBullet"/>
        <w:spacing w:line="240" w:lineRule="auto"/>
        <w:ind w:left="720"/>
      </w:pPr>
      <w:r>
        <w:rPr>
          <w:lang w:val="en_US" w:bidi="en_US"/>
        </w:rPr>
      </w:r>
      <w:r>
        <w:rPr>
          <w:lang w:val="en_US" w:bidi="en_US"/>
        </w:rPr>
        <w:t>Use a descriptive phrase. For example:</w:t>
      </w:r>
      <w:r>
        <w:rPr>
          <w:lang w:val="en_US" w:bidi="en_US"/>
        </w:rPr>
        <w:t>two small/tiny coins</w:t>
      </w:r>
      <w:r>
        <w:rPr>
          <w:lang w:val="en_US" w:bidi="en_US"/>
        </w:rPr>
        <w:t>two coins which had very little/low value</w:t>
      </w:r>
    </w:p>
    <w:p>
      <w:pPr>
        <w:pStyle w:val="ListBullet"/>
        <w:spacing w:line="240" w:lineRule="auto"/>
        <w:ind w:left="720"/>
      </w:pPr>
      <w:r>
        <w:rPr>
          <w:lang w:val="en_US" w:bidi="en_US"/>
        </w:rPr>
      </w:r>
      <w:r>
        <w:rPr>
          <w:lang w:val="en_US" w:bidi="en_US"/>
        </w:rPr>
        <w:t>Use a general term that refers to a very small amount of money. For example:</w:t>
      </w:r>
      <w:r>
        <w:rPr>
          <w:lang w:val="en_US" w:bidi="en_US"/>
        </w:rPr>
        <w:t>a tiny bit of money</w:t>
      </w:r>
      <w:r>
        <w:rPr>
          <w:lang w:val="en_US" w:bidi="en_US"/>
        </w:rPr>
      </w:r>
      <w:r>
        <w:rPr>
          <w:lang w:val="en_US" w:bidi="en_US"/>
        </w:rPr>
      </w:r>
    </w:p>
    <w:p>
      <w:pPr/>
      <w:r>
        <w:rPr>
          <w:lang w:val="en_US" w:bidi="en_US"/>
        </w:rPr>
      </w:r>
    </w:p>
    <w:p>
      <w:pPr>
        <w:pStyle w:val="Heading2"/>
      </w:pPr>
      <w:r>
        <w:rPr>
          <w:lang w:val="en_US" w:bidi="en_US"/>
        </w:rPr>
        <w:t>Luke 21:3</w:t>
      </w:r>
      <w:r>
        <w:rPr>
          <w:lang w:val="en_US" w:bidi="en_US"/>
        </w:rPr>
      </w:r>
    </w:p>
    <w:p>
      <w:pPr>
        <w:pStyle w:val="Heading4"/>
      </w:pPr>
      <w:r>
        <w:rPr>
          <w:lang w:val="en_US" w:bidi="en_US"/>
        </w:rPr>
        <w:t>Section 21:1–4: Jesus praised a widow because she gave all her money to God</w:t>
      </w:r>
    </w:p>
    <w:p>
      <w:pPr/>
      <w:r>
        <w:rPr>
          <w:lang w:val="en_US" w:bidi="en_US"/>
        </w:rPr>
      </w:r>
      <w:r>
        <w:rPr>
          <w:lang w:val="en_US" w:bidi="en_US"/>
        </w:rPr>
        <w:t>In this section, a poor widow gave all the money that she had as an offering to God. Jesus praised her for doing that. He contrasted her gift with the gifts that the rich people gave. They gave greater amounts of money, but the widow gave God all the money that she had.</w:t>
      </w:r>
    </w:p>
    <w:p>
      <w:pPr/>
      <w:r>
        <w:rPr>
          <w:lang w:val="en_US" w:bidi="en_US"/>
        </w:rPr>
      </w:r>
      <w:r>
        <w:rPr>
          <w:lang w:val="en_US" w:bidi="en_US"/>
        </w:rPr>
        <w:t>Jesus praised the widow on the same day that he criticized the scribes in the preceding section. In 20:47 Jesus said that the scribes “devour widow’s houses.” Most of the scribes were rich people. There is a strong contrast between the scribes and the widow. The scribes served God in order to impress other people, but the widow served him sincerely.</w:t>
      </w:r>
    </w:p>
    <w:p>
      <w:pPr/>
      <w:r>
        <w:rPr>
          <w:lang w:val="en_US" w:bidi="en_US"/>
        </w:rPr>
      </w:r>
      <w:r>
        <w:rPr>
          <w:lang w:val="en_US" w:bidi="en_US"/>
        </w:rPr>
        <w:t>It is good to translate this section before you decide on a heading for it. Examples of other headings for this section are:</w:t>
      </w:r>
    </w:p>
    <w:p>
      <w:pPr/>
      <w:r>
        <w:rPr>
          <w:lang w:val="en_US" w:bidi="en_US"/>
        </w:rPr>
      </w:r>
      <w:r>
        <w:rPr>
          <w:lang w:val="en_US" w:bidi="en_US"/>
        </w:rPr>
        <w:t>A poor widow gave a generous gift to/for the temple</w:t>
      </w:r>
    </w:p>
    <w:p>
      <w:pPr/>
      <w:r>
        <w:rPr>
          <w:lang w:val="en_US" w:bidi="en_US"/>
        </w:rPr>
      </w:r>
      <w:r>
        <w:rPr>
          <w:lang w:val="en_US" w:bidi="en_US"/>
        </w:rPr>
        <w:t>Jesus compared the gifts given to God by the rich to the gift given by a poor widow</w:t>
      </w:r>
    </w:p>
    <w:p>
      <w:pPr/>
      <w:r>
        <w:rPr>
          <w:lang w:val="en_US" w:bidi="en_US"/>
        </w:rPr>
      </w:r>
      <w:r>
        <w:rPr>
          <w:lang w:val="en_US" w:bidi="en_US"/>
        </w:rPr>
        <w:t>The widow’s gift/offering</w:t>
      </w:r>
    </w:p>
    <w:p>
      <w:pPr/>
      <w:r>
        <w:rPr>
          <w:lang w:val="en_US" w:bidi="en_US"/>
        </w:rPr>
      </w:r>
      <w:r>
        <w:rPr>
          <w:lang w:val="en_US" w:bidi="en_US"/>
        </w:rPr>
        <w:t>There is a parallel passage for this section in Mark 12:41–44.</w:t>
      </w:r>
    </w:p>
    <w:p>
      <w:pPr>
        <w:pStyle w:val="Heading5"/>
      </w:pPr>
      <w:r>
        <w:rPr>
          <w:lang w:val="en_US" w:bidi="en_US"/>
        </w:rPr>
        <w:t>21:3a</w:t>
      </w:r>
    </w:p>
    <w:p>
      <w:pPr/>
      <w:r>
        <w:rPr>
          <w:lang w:val="en_US" w:bidi="en_US"/>
        </w:rPr>
      </w:r>
      <w:r>
        <w:rPr>
          <w:b/>
          <w:lang w:val="en_US" w:bidi="en_US"/>
        </w:rPr>
        <w:t>“Truly I tell you,” He said,</w:t>
      </w:r>
    </w:p>
    <w:p>
      <w:pPr>
        <w:pStyle w:val="ListBullet"/>
        <w:spacing w:line="240" w:lineRule="auto"/>
        <w:ind w:left="720"/>
      </w:pPr>
      <w:r>
        <w:rPr>
          <w:lang w:val="en_US" w:bidi="en_US"/>
        </w:rPr>
      </w:r>
      <w:r>
        <w:rPr>
          <w:lang w:val="en_US" w:bidi="en_US"/>
        </w:rPr>
        <w:t>He said, “I solemnly/truly assure you</w:t>
      </w:r>
      <w:r>
        <w:rPr>
          <w:vertAlign w:val="superscript"/>
          <w:lang w:val="en_US" w:bidi="en_US"/>
        </w:rPr>
        <w:t>(plur)</w:t>
      </w:r>
      <w:r>
        <w:rPr>
          <w:lang w:val="en_US" w:bidi="en_US"/>
        </w:rPr>
        <w:t xml:space="preserve"> that</w:t>
      </w:r>
    </w:p>
    <w:p>
      <w:pPr>
        <w:pStyle w:val="ListBullet"/>
        <w:spacing w:line="240" w:lineRule="auto"/>
        <w:ind w:left="720"/>
      </w:pPr>
      <w:r>
        <w:rPr>
          <w:lang w:val="en_US" w:bidi="en_US"/>
        </w:rPr>
      </w:r>
      <w:r>
        <w:rPr>
          <w:lang w:val="en_US" w:bidi="en_US"/>
        </w:rPr>
        <w:t>Then</w:t>
      </w:r>
      <w:r>
        <w:rPr>
          <w:lang w:val="en_US" w:bidi="en_US"/>
        </w:rPr>
        <w:t xml:space="preserve"> Jesus said </w:t>
      </w:r>
      <w:r>
        <w:rPr>
          <w:lang w:val="en_US" w:bidi="en_US"/>
        </w:rPr>
        <w:t>to his disciples</w:t>
      </w:r>
      <w:r>
        <w:rPr>
          <w:lang w:val="en_US" w:bidi="en_US"/>
        </w:rPr>
        <w:t>, “Listen</w:t>
      </w:r>
      <w:r>
        <w:rPr>
          <w:vertAlign w:val="superscript"/>
          <w:lang w:val="en_US" w:bidi="en_US"/>
        </w:rPr>
        <w:t>(plur)</w:t>
      </w:r>
      <w:r>
        <w:rPr>
          <w:lang w:val="en_US" w:bidi="en_US"/>
        </w:rPr>
        <w:t xml:space="preserve"> and understand!</w:t>
      </w:r>
    </w:p>
    <w:p>
      <w:pPr>
        <w:pStyle w:val="ListBullet"/>
        <w:spacing w:line="240" w:lineRule="auto"/>
        <w:ind w:left="720"/>
      </w:pPr>
      <w:r>
        <w:rPr>
          <w:lang w:val="en_US" w:bidi="en_US"/>
        </w:rPr>
      </w:r>
      <w:r>
        <w:rPr>
          <w:lang w:val="en_US" w:bidi="en_US"/>
        </w:rPr>
        <w:t>He said, “Listen</w:t>
      </w:r>
      <w:r>
        <w:rPr>
          <w:vertAlign w:val="superscript"/>
          <w:lang w:val="en_US" w:bidi="en_US"/>
        </w:rPr>
        <w:t>(plur)</w:t>
      </w:r>
      <w:r>
        <w:rPr>
          <w:lang w:val="en_US" w:bidi="en_US"/>
        </w:rPr>
        <w:t xml:space="preserve"> and I will tell you what is true!</w:t>
      </w:r>
    </w:p>
    <w:p>
      <w:pPr/>
      <w:r>
        <w:rPr>
          <w:lang w:val="en_US" w:bidi="en_US"/>
        </w:rPr>
      </w:r>
      <w:r>
        <w:rPr>
          <w:b/>
          <w:lang w:val="en_US" w:bidi="en_US"/>
        </w:rPr>
        <w:t>Truly I tell you:</w:t>
      </w:r>
      <w:r>
        <w:rPr>
          <w:lang w:val="en_US" w:bidi="en_US"/>
        </w:rPr>
        <w:t xml:space="preserve"> Jesus often used the phrase that the BSB translates as </w:t>
      </w:r>
      <w:r>
        <w:rPr>
          <w:i/>
          <w:lang w:val="en_US" w:bidi="en_US"/>
        </w:rPr>
        <w:t>Truly I tell you</w:t>
      </w:r>
      <w:r>
        <w:rPr>
          <w:lang w:val="en_US" w:bidi="en_US"/>
        </w:rPr>
        <w:t xml:space="preserve"> to begin a statement that he wanted to emphasize. It indicates that the statement was important and totally reliable. It also indicates that people should listen carefully to it.</w:t>
      </w:r>
    </w:p>
    <w:p>
      <w:pPr/>
      <w:r>
        <w:rPr>
          <w:lang w:val="en_US" w:bidi="en_US"/>
        </w:rPr>
      </w:r>
      <w:r>
        <w:rPr>
          <w:lang w:val="en_US" w:bidi="en_US"/>
        </w:rPr>
        <w:t xml:space="preserve">The word </w:t>
      </w:r>
      <w:r>
        <w:rPr>
          <w:i/>
          <w:lang w:val="en_US" w:bidi="en_US"/>
        </w:rPr>
        <w:t>you</w:t>
      </w:r>
      <w:r>
        <w:rPr>
          <w:lang w:val="en_US" w:bidi="en_US"/>
        </w:rPr>
        <w:t xml:space="preserve"> is plural here. Jesus was about to tell people what he wanted them to learn from the widow’s offering. His statement in 21:3–4 was surprising to most people. He taught them that God valued the small gift of the poor widow more than the large gifts of the rich people.</w:t>
      </w:r>
    </w:p>
    <w:p>
      <w:pPr/>
      <w:r>
        <w:rPr>
          <w:lang w:val="en_US" w:bidi="en_US"/>
        </w:rPr>
      </w:r>
      <w:r>
        <w:rPr>
          <w:lang w:val="en_US" w:bidi="en_US"/>
        </w:rPr>
        <w:t xml:space="preserve">Some other ways to translate </w:t>
      </w:r>
      <w:r>
        <w:rPr>
          <w:i/>
          <w:lang w:val="en_US" w:bidi="en_US"/>
        </w:rPr>
        <w:t>Truly I tell you</w:t>
      </w:r>
      <w:r>
        <w:rPr>
          <w:lang w:val="en_US" w:bidi="en_US"/>
        </w:rPr>
        <w:t xml:space="preserve"> are:</w:t>
      </w:r>
    </w:p>
    <w:p>
      <w:pPr/>
      <w:r>
        <w:rPr>
          <w:lang w:val="en_US" w:bidi="en_US"/>
        </w:rPr>
      </w:r>
      <w:r>
        <w:rPr>
          <w:lang w:val="en_US" w:bidi="en_US"/>
        </w:rPr>
        <w:t>Truly I tell you</w:t>
      </w:r>
    </w:p>
    <w:p>
      <w:pPr/>
      <w:r>
        <w:rPr>
          <w:lang w:val="en_US" w:bidi="en_US"/>
        </w:rPr>
      </w:r>
      <w:r>
        <w:rPr>
          <w:lang w:val="en_US" w:bidi="en_US"/>
        </w:rPr>
        <w:t>I can guarantee this truth (GW)</w:t>
      </w:r>
    </w:p>
    <w:p>
      <w:pPr/>
      <w:r>
        <w:rPr>
          <w:lang w:val="en_US" w:bidi="en_US"/>
        </w:rPr>
      </w:r>
      <w:r>
        <w:rPr>
          <w:lang w:val="en_US" w:bidi="en_US"/>
        </w:rPr>
        <w:t>I solemnly assure you</w:t>
      </w:r>
    </w:p>
    <w:p>
      <w:pPr/>
      <w:r>
        <w:rPr>
          <w:lang w:val="en_US" w:bidi="en_US"/>
        </w:rPr>
      </w:r>
      <w:r>
        <w:rPr>
          <w:lang w:val="en_US" w:bidi="en_US"/>
        </w:rPr>
        <w:t>You may think that this woman has given less than the others. But</w:t>
      </w:r>
      <w:r>
        <w:rPr>
          <w:lang w:val="en_US" w:bidi="en_US"/>
        </w:rPr>
        <w:t xml:space="preserve"> the truth is that…</w:t>
      </w:r>
    </w:p>
    <w:p>
      <w:pPr/>
      <w:r>
        <w:rPr>
          <w:lang w:val="en_US" w:bidi="en_US"/>
        </w:rPr>
      </w:r>
      <w:r>
        <w:rPr>
          <w:b/>
          <w:lang w:val="en_US" w:bidi="en_US"/>
        </w:rPr>
        <w:t>He said:</w:t>
      </w:r>
      <w:r>
        <w:rPr>
          <w:lang w:val="en_US" w:bidi="en_US"/>
        </w:rPr>
        <w:t xml:space="preserve"> Jesus probably spoke to his disciples here. In some languages it may be necessary to make that explicit. For example:</w:t>
      </w:r>
    </w:p>
    <w:p>
      <w:pPr/>
      <w:r>
        <w:rPr>
          <w:lang w:val="en_US" w:bidi="en_US"/>
        </w:rPr>
      </w:r>
      <w:r>
        <w:rPr>
          <w:lang w:val="en_US" w:bidi="en_US"/>
        </w:rPr>
        <w:t xml:space="preserve">he said </w:t>
      </w:r>
      <w:r>
        <w:rPr>
          <w:lang w:val="en_US" w:bidi="en_US"/>
        </w:rPr>
        <w:t>to his disciples</w:t>
      </w:r>
    </w:p>
    <w:p>
      <w:pPr/>
      <w:r>
        <w:rPr>
          <w:lang w:val="en_US" w:bidi="en_US"/>
        </w:rPr>
      </w:r>
      <w:r>
        <w:rPr>
          <w:lang w:val="en_US" w:bidi="en_US"/>
        </w:rPr>
        <w:t xml:space="preserve">The BSB places the words </w:t>
      </w:r>
      <w:r>
        <w:rPr>
          <w:i/>
          <w:lang w:val="en_US" w:bidi="en_US"/>
        </w:rPr>
        <w:t>He said</w:t>
      </w:r>
      <w:r>
        <w:rPr>
          <w:lang w:val="en_US" w:bidi="en_US"/>
        </w:rPr>
        <w:t xml:space="preserve"> after “Truly I tell you.” In Greek, these words occur at the beginning of 21:3. Place the words </w:t>
      </w:r>
      <w:r>
        <w:rPr>
          <w:i/>
          <w:lang w:val="en_US" w:bidi="en_US"/>
        </w:rPr>
        <w:t>He said</w:t>
      </w:r>
      <w:r>
        <w:rPr>
          <w:lang w:val="en_US" w:bidi="en_US"/>
        </w:rPr>
        <w:t xml:space="preserve"> where it is natural in your language.</w:t>
      </w:r>
    </w:p>
    <w:p>
      <w:pPr>
        <w:pStyle w:val="Heading5"/>
      </w:pPr>
      <w:r>
        <w:rPr>
          <w:lang w:val="en_US" w:bidi="en_US"/>
        </w:rPr>
        <w:t>21:3b</w:t>
      </w:r>
    </w:p>
    <w:p>
      <w:pPr/>
      <w:r>
        <w:rPr>
          <w:lang w:val="en_US" w:bidi="en_US"/>
        </w:rPr>
      </w:r>
      <w:r>
        <w:rPr>
          <w:b/>
          <w:lang w:val="en_US" w:bidi="en_US"/>
        </w:rPr>
        <w:t>“this poor widow has put in more than all the others.</w:t>
      </w:r>
    </w:p>
    <w:p>
      <w:pPr>
        <w:pStyle w:val="ListBullet"/>
        <w:spacing w:line="240" w:lineRule="auto"/>
        <w:ind w:left="720"/>
      </w:pPr>
      <w:r>
        <w:rPr>
          <w:lang w:val="en_US" w:bidi="en_US"/>
        </w:rPr>
      </w:r>
      <w:r>
        <w:rPr>
          <w:lang w:val="en_US" w:bidi="en_US"/>
        </w:rPr>
        <w:t>this poor widow has given more than all the others have given.</w:t>
      </w:r>
    </w:p>
    <w:p>
      <w:pPr>
        <w:pStyle w:val="ListBullet"/>
        <w:spacing w:line="240" w:lineRule="auto"/>
        <w:ind w:left="720"/>
      </w:pPr>
      <w:r>
        <w:rPr>
          <w:lang w:val="en_US" w:bidi="en_US"/>
        </w:rPr>
      </w:r>
      <w:r>
        <w:rPr>
          <w:lang w:val="en_US" w:bidi="en_US"/>
        </w:rPr>
        <w:t xml:space="preserve">This poor widow actually put/dropped in more than all the </w:t>
      </w:r>
      <w:r>
        <w:rPr>
          <w:lang w:val="en_US" w:bidi="en_US"/>
        </w:rPr>
        <w:t>rich</w:t>
      </w:r>
      <w:r>
        <w:rPr>
          <w:lang w:val="en_US" w:bidi="en_US"/>
        </w:rPr>
        <w:t xml:space="preserve"> people </w:t>
      </w:r>
      <w:r>
        <w:rPr>
          <w:lang w:val="en_US" w:bidi="en_US"/>
        </w:rPr>
        <w:t>together</w:t>
      </w:r>
      <w:r>
        <w:rPr>
          <w:lang w:val="en_US" w:bidi="en_US"/>
        </w:rPr>
        <w:t xml:space="preserve"> put/dropped in.</w:t>
      </w:r>
    </w:p>
    <w:p>
      <w:pPr>
        <w:pStyle w:val="ListBullet"/>
        <w:spacing w:line="240" w:lineRule="auto"/>
        <w:ind w:left="720"/>
      </w:pPr>
      <w:r>
        <w:rPr>
          <w:lang w:val="en_US" w:bidi="en_US"/>
        </w:rPr>
      </w:r>
      <w:r>
        <w:rPr>
          <w:lang w:val="en_US" w:bidi="en_US"/>
        </w:rPr>
        <w:t xml:space="preserve">The money that this poor widow gave has more value </w:t>
      </w:r>
      <w:r>
        <w:rPr>
          <w:lang w:val="en_US" w:bidi="en_US"/>
        </w:rPr>
        <w:t>to God</w:t>
      </w:r>
      <w:r>
        <w:rPr>
          <w:lang w:val="en_US" w:bidi="en_US"/>
        </w:rPr>
        <w:t xml:space="preserve"> than all the money that the others gave,</w:t>
      </w:r>
    </w:p>
    <w:p>
      <w:pPr/>
      <w:r>
        <w:rPr>
          <w:lang w:val="en_US" w:bidi="en_US"/>
        </w:rPr>
      </w:r>
      <w:r>
        <w:rPr>
          <w:b/>
          <w:lang w:val="en_US" w:bidi="en_US"/>
        </w:rPr>
        <w:t>this poor widow has put in more than all the others:</w:t>
      </w:r>
      <w:r>
        <w:rPr>
          <w:lang w:val="en_US" w:bidi="en_US"/>
        </w:rPr>
        <w:t xml:space="preserve"> Here Jesus used a figurative way to praise the widow and the gift that she had given. She did not literally give more money than the others, but what she gave had more value to God than all the other gifts. Jesus explained the reason for this in 21:4.</w:t>
      </w:r>
    </w:p>
    <w:p>
      <w:pPr/>
      <w:r>
        <w:rPr>
          <w:lang w:val="en_US" w:bidi="en_US"/>
        </w:rPr>
      </w:r>
      <w:r>
        <w:rPr>
          <w:lang w:val="en_US" w:bidi="en_US"/>
        </w:rPr>
        <w:t>In some languages people may not understand this figurative use correctly. If that is true in your language, you may translate the meaning directly. For example:</w:t>
      </w:r>
    </w:p>
    <w:p>
      <w:pPr/>
      <w:r>
        <w:rPr>
          <w:lang w:val="en_US" w:bidi="en_US"/>
        </w:rPr>
      </w:r>
      <w:r>
        <w:rPr>
          <w:lang w:val="en_US" w:bidi="en_US"/>
        </w:rPr>
        <w:t xml:space="preserve">What this poor widow gave has more value </w:t>
      </w:r>
      <w:r>
        <w:rPr>
          <w:lang w:val="en_US" w:bidi="en_US"/>
        </w:rPr>
        <w:t>to God</w:t>
      </w:r>
      <w:r>
        <w:rPr>
          <w:lang w:val="en_US" w:bidi="en_US"/>
        </w:rPr>
        <w:t xml:space="preserve"> than all the money that the others gave.</w:t>
      </w:r>
    </w:p>
    <w:p>
      <w:pPr/>
      <w:r>
        <w:rPr>
          <w:lang w:val="en_US" w:bidi="en_US"/>
        </w:rPr>
      </w:r>
      <w:r>
        <w:rPr>
          <w:b/>
          <w:lang w:val="en_US" w:bidi="en_US"/>
        </w:rPr>
        <w:t>more than all the others:</w:t>
      </w:r>
      <w:r>
        <w:rPr>
          <w:lang w:val="en_US" w:bidi="en_US"/>
        </w:rPr>
        <w:t xml:space="preserve"> The Greek phrase that the BSB translates as </w:t>
      </w:r>
      <w:r>
        <w:rPr>
          <w:i/>
          <w:lang w:val="en_US" w:bidi="en_US"/>
        </w:rPr>
        <w:t>more than all the others</w:t>
      </w:r>
      <w:r>
        <w:rPr>
          <w:lang w:val="en_US" w:bidi="en_US"/>
        </w:rPr>
        <w:t xml:space="preserve"> is literally “more than all.” This phrase has two possible meanings:</w:t>
      </w:r>
    </w:p>
    <w:p>
      <w:pPr>
        <w:pStyle w:val="ListNumber"/>
        <w:numPr>
          <w:ilvl w:val="0"/>
          <w:numId w:val="343"/>
        </w:numPr>
        <w:spacing w:line="240" w:lineRule="auto"/>
        <w:ind w:left="720"/>
      </w:pPr>
      <w:r>
        <w:rPr>
          <w:lang w:val="en_US" w:bidi="en_US"/>
        </w:rPr>
      </w:r>
      <w:r>
        <w:rPr>
          <w:lang w:val="en_US" w:bidi="en_US"/>
        </w:rPr>
        <w:t>She gave more than the combined gifts of all the others. (Her gift had more value to God than all of those other gifts combined.)</w:t>
      </w:r>
    </w:p>
    <w:p>
      <w:pPr>
        <w:pStyle w:val="ListNumber"/>
        <w:spacing w:line="240" w:lineRule="auto"/>
        <w:ind w:left="720"/>
      </w:pPr>
      <w:r>
        <w:rPr>
          <w:lang w:val="en_US" w:bidi="en_US"/>
        </w:rPr>
      </w:r>
      <w:r>
        <w:rPr>
          <w:lang w:val="en_US" w:bidi="en_US"/>
        </w:rPr>
        <w:t>She gave more than any other individual person gave. (Her gift had more value to God than any of the other gifts.)</w:t>
      </w:r>
    </w:p>
    <w:p>
      <w:pPr/>
      <w:r>
        <w:rPr>
          <w:lang w:val="en_US" w:bidi="en_US"/>
        </w:rPr>
      </w:r>
      <w:r>
        <w:rPr>
          <w:lang w:val="en_US" w:bidi="en_US"/>
        </w:rPr>
        <w:t>Since this comparison is figurative, either meaning is acceptable. However, option (a) is more emphatic. Some ways to translate it are:</w:t>
      </w:r>
    </w:p>
    <w:p>
      <w:pPr/>
      <w:r>
        <w:rPr>
          <w:lang w:val="en_US" w:bidi="en_US"/>
        </w:rPr>
      </w:r>
      <w:r>
        <w:rPr>
          <w:lang w:val="en_US" w:bidi="en_US"/>
        </w:rPr>
        <w:t>this poor widow has put in more than all of the others together</w:t>
      </w:r>
    </w:p>
    <w:p>
      <w:pPr/>
      <w:r>
        <w:rPr>
          <w:lang w:val="en_US" w:bidi="en_US"/>
        </w:rPr>
      </w:r>
      <w:r>
        <w:rPr>
          <w:lang w:val="en_US" w:bidi="en_US"/>
        </w:rPr>
        <w:t>this poor widow has put in very much, the others have only put in a little</w:t>
      </w:r>
    </w:p>
    <w:p>
      <w:pPr/>
      <w:r>
        <w:rPr>
          <w:lang w:val="en_US" w:bidi="en_US"/>
        </w:rPr>
      </w:r>
      <w:r>
        <w:rPr>
          <w:lang w:val="en_US" w:bidi="en_US"/>
        </w:rPr>
        <w:t>the gift that the poor widow has put in surpasses/exceeds what the others put in</w:t>
      </w:r>
      <w:r>
        <w:rPr>
          <w:lang w:val="en_US" w:bidi="en_US"/>
        </w:rPr>
      </w:r>
      <w:r>
        <w:rPr>
          <w:lang w:val="en_US" w:bidi="en_US"/>
        </w:rPr>
      </w:r>
    </w:p>
    <w:p>
      <w:pPr/>
      <w:r>
        <w:rPr>
          <w:lang w:val="en_US" w:bidi="en_US"/>
        </w:rPr>
      </w:r>
    </w:p>
    <w:p>
      <w:pPr>
        <w:pStyle w:val="Heading2"/>
      </w:pPr>
      <w:r>
        <w:rPr>
          <w:lang w:val="en_US" w:bidi="en_US"/>
        </w:rPr>
        <w:t>Luke 21:4</w:t>
      </w:r>
      <w:r>
        <w:rPr>
          <w:lang w:val="en_US" w:bidi="en_US"/>
        </w:rPr>
      </w:r>
    </w:p>
    <w:p>
      <w:pPr>
        <w:pStyle w:val="Heading4"/>
      </w:pPr>
      <w:r>
        <w:rPr>
          <w:lang w:val="en_US" w:bidi="en_US"/>
        </w:rPr>
        <w:t>Section 21:1–4: Jesus praised a widow because she gave all her money to God</w:t>
      </w:r>
    </w:p>
    <w:p>
      <w:pPr/>
      <w:r>
        <w:rPr>
          <w:lang w:val="en_US" w:bidi="en_US"/>
        </w:rPr>
      </w:r>
      <w:r>
        <w:rPr>
          <w:lang w:val="en_US" w:bidi="en_US"/>
        </w:rPr>
        <w:t>In this section, a poor widow gave all the money that she had as an offering to God. Jesus praised her for doing that. He contrasted her gift with the gifts that the rich people gave. They gave greater amounts of money, but the widow gave God all the money that she had.</w:t>
      </w:r>
    </w:p>
    <w:p>
      <w:pPr/>
      <w:r>
        <w:rPr>
          <w:lang w:val="en_US" w:bidi="en_US"/>
        </w:rPr>
      </w:r>
      <w:r>
        <w:rPr>
          <w:lang w:val="en_US" w:bidi="en_US"/>
        </w:rPr>
        <w:t>Jesus praised the widow on the same day that he criticized the scribes in the preceding section. In 20:47 Jesus said that the scribes “devour widow’s houses.” Most of the scribes were rich people. There is a strong contrast between the scribes and the widow. The scribes served God in order to impress other people, but the widow served him sincerely.</w:t>
      </w:r>
    </w:p>
    <w:p>
      <w:pPr/>
      <w:r>
        <w:rPr>
          <w:lang w:val="en_US" w:bidi="en_US"/>
        </w:rPr>
      </w:r>
      <w:r>
        <w:rPr>
          <w:lang w:val="en_US" w:bidi="en_US"/>
        </w:rPr>
        <w:t>It is good to translate this section before you decide on a heading for it. Examples of other headings for this section are:</w:t>
      </w:r>
    </w:p>
    <w:p>
      <w:pPr/>
      <w:r>
        <w:rPr>
          <w:lang w:val="en_US" w:bidi="en_US"/>
        </w:rPr>
      </w:r>
      <w:r>
        <w:rPr>
          <w:lang w:val="en_US" w:bidi="en_US"/>
        </w:rPr>
        <w:t>A poor widow gave a generous gift to/for the temple</w:t>
      </w:r>
    </w:p>
    <w:p>
      <w:pPr/>
      <w:r>
        <w:rPr>
          <w:lang w:val="en_US" w:bidi="en_US"/>
        </w:rPr>
      </w:r>
      <w:r>
        <w:rPr>
          <w:lang w:val="en_US" w:bidi="en_US"/>
        </w:rPr>
        <w:t>Jesus compared the gifts given to God by the rich to the gift given by a poor widow</w:t>
      </w:r>
    </w:p>
    <w:p>
      <w:pPr/>
      <w:r>
        <w:rPr>
          <w:lang w:val="en_US" w:bidi="en_US"/>
        </w:rPr>
      </w:r>
      <w:r>
        <w:rPr>
          <w:lang w:val="en_US" w:bidi="en_US"/>
        </w:rPr>
        <w:t>The widow’s gift/offering</w:t>
      </w:r>
    </w:p>
    <w:p>
      <w:pPr/>
      <w:r>
        <w:rPr>
          <w:lang w:val="en_US" w:bidi="en_US"/>
        </w:rPr>
      </w:r>
      <w:r>
        <w:rPr>
          <w:lang w:val="en_US" w:bidi="en_US"/>
        </w:rPr>
        <w:t>There is a parallel passage for this section in Mark 12:41–44.</w:t>
      </w:r>
    </w:p>
    <w:p>
      <w:pPr>
        <w:pStyle w:val="Heading5"/>
      </w:pPr>
      <w:r>
        <w:rPr>
          <w:lang w:val="en_US" w:bidi="en_US"/>
        </w:rPr>
        <w:t>21:4a</w:t>
      </w:r>
    </w:p>
    <w:p>
      <w:pPr/>
      <w:r>
        <w:rPr>
          <w:lang w:val="en_US" w:bidi="en_US"/>
        </w:rPr>
      </w:r>
      <w:r>
        <w:rPr>
          <w:b/>
          <w:lang w:val="en_US" w:bidi="en_US"/>
        </w:rPr>
        <w:t>For they all contributed out of their surplus,</w:t>
      </w:r>
    </w:p>
    <w:p>
      <w:pPr>
        <w:pStyle w:val="ListBullet"/>
        <w:spacing w:line="240" w:lineRule="auto"/>
        <w:ind w:left="720"/>
      </w:pPr>
      <w:r>
        <w:rPr>
          <w:lang w:val="en_US" w:bidi="en_US"/>
        </w:rPr>
      </w:r>
      <w:r>
        <w:rPr>
          <w:lang w:val="en_US" w:bidi="en_US"/>
        </w:rPr>
        <w:t xml:space="preserve">For all these </w:t>
      </w:r>
      <w:r>
        <w:rPr>
          <w:lang w:val="en_US" w:bidi="en_US"/>
        </w:rPr>
        <w:t>rich</w:t>
      </w:r>
      <w:r>
        <w:rPr>
          <w:lang w:val="en_US" w:bidi="en_US"/>
        </w:rPr>
        <w:t xml:space="preserve"> people gave some of their surplus/extra money,</w:t>
      </w:r>
    </w:p>
    <w:p>
      <w:pPr>
        <w:pStyle w:val="ListBullet"/>
        <w:spacing w:line="240" w:lineRule="auto"/>
        <w:ind w:left="720"/>
      </w:pPr>
      <w:r>
        <w:rPr>
          <w:lang w:val="en_US" w:bidi="en_US"/>
        </w:rPr>
      </w:r>
      <w:r>
        <w:rPr>
          <w:lang w:val="en_US" w:bidi="en_US"/>
        </w:rPr>
        <w:t>I say this</w:t>
      </w:r>
      <w:r>
        <w:rPr>
          <w:lang w:val="en_US" w:bidi="en_US"/>
        </w:rPr>
        <w:t xml:space="preserve"> because all these </w:t>
      </w:r>
      <w:r>
        <w:rPr>
          <w:lang w:val="en_US" w:bidi="en_US"/>
        </w:rPr>
        <w:t>other</w:t>
      </w:r>
      <w:r>
        <w:rPr>
          <w:lang w:val="en_US" w:bidi="en_US"/>
        </w:rPr>
        <w:t xml:space="preserve"> people are rich and gave only what they did not need.</w:t>
      </w:r>
    </w:p>
    <w:p>
      <w:pPr>
        <w:pStyle w:val="ListBullet"/>
        <w:spacing w:line="240" w:lineRule="auto"/>
        <w:ind w:left="720"/>
      </w:pPr>
      <w:r>
        <w:rPr>
          <w:lang w:val="en_US" w:bidi="en_US"/>
        </w:rPr>
      </w:r>
      <w:r>
        <w:rPr>
          <w:lang w:val="en_US" w:bidi="en_US"/>
        </w:rPr>
        <w:t>for those others who have given had more than enough, (REB)</w:t>
      </w:r>
    </w:p>
    <w:p>
      <w:pPr/>
      <w:r>
        <w:rPr>
          <w:lang w:val="en_US" w:bidi="en_US"/>
        </w:rPr>
      </w:r>
      <w:r>
        <w:rPr>
          <w:b/>
          <w:lang w:val="en_US" w:bidi="en_US"/>
        </w:rPr>
        <w:t>For:</w:t>
      </w:r>
      <w:r>
        <w:rPr>
          <w:lang w:val="en_US" w:bidi="en_US"/>
        </w:rPr>
        <w:t xml:space="preserve"> This verse explains what Jesus said in 21:3b. In Greek it begins with a conjunction that the BSB translates as </w:t>
      </w:r>
      <w:r>
        <w:rPr>
          <w:i/>
          <w:lang w:val="en_US" w:bidi="en_US"/>
        </w:rPr>
        <w:t>For</w:t>
      </w:r>
      <w:r>
        <w:rPr>
          <w:lang w:val="en_US" w:bidi="en_US"/>
        </w:rPr>
        <w:t>. In some languages this connection may be implied without a conjunction. For example:</w:t>
      </w:r>
    </w:p>
    <w:p>
      <w:pPr/>
      <w:r>
        <w:rPr>
          <w:lang w:val="en_US" w:bidi="en_US"/>
        </w:rPr>
      </w:r>
      <w:r>
        <w:rPr>
          <w:lang w:val="en_US" w:bidi="en_US"/>
        </w:rPr>
        <w:t>All these people… (NIV)</w:t>
      </w:r>
    </w:p>
    <w:p>
      <w:pPr/>
      <w:r>
        <w:rPr>
          <w:lang w:val="en_US" w:bidi="en_US"/>
        </w:rPr>
      </w:r>
      <w:r>
        <w:rPr>
          <w:lang w:val="en_US" w:bidi="en_US"/>
        </w:rPr>
        <w:t>Use a natural way in your language to indicate that 21:4 is an explanation for 21:3.</w:t>
      </w:r>
    </w:p>
    <w:p>
      <w:pPr/>
      <w:r>
        <w:rPr>
          <w:lang w:val="en_US" w:bidi="en_US"/>
        </w:rPr>
      </w:r>
      <w:r>
        <w:rPr>
          <w:b/>
          <w:lang w:val="en_US" w:bidi="en_US"/>
        </w:rPr>
        <w:t>they all:</w:t>
      </w:r>
      <w:r>
        <w:rPr>
          <w:lang w:val="en_US" w:bidi="en_US"/>
        </w:rPr>
        <w:t xml:space="preserve"> The Greek phrase that the BSB translates as </w:t>
      </w:r>
      <w:r>
        <w:rPr>
          <w:i/>
          <w:lang w:val="en_US" w:bidi="en_US"/>
        </w:rPr>
        <w:t>they all</w:t>
      </w:r>
      <w:r>
        <w:rPr>
          <w:lang w:val="en_US" w:bidi="en_US"/>
        </w:rPr>
        <w:t xml:space="preserve"> refers back to “all the others” in 21:3b. These others were the rich people who were giving gifts of money to God. The phrase </w:t>
      </w:r>
      <w:r>
        <w:rPr>
          <w:i/>
          <w:lang w:val="en_US" w:bidi="en_US"/>
        </w:rPr>
        <w:t>they all</w:t>
      </w:r>
      <w:r>
        <w:rPr>
          <w:lang w:val="en_US" w:bidi="en_US"/>
        </w:rPr>
        <w:t xml:space="preserve"> contrasts with the widow in 21:4b. It does not include her. Some other ways to translate the phrase are:</w:t>
      </w:r>
    </w:p>
    <w:p>
      <w:pPr/>
      <w:r>
        <w:rPr>
          <w:lang w:val="en_US" w:bidi="en_US"/>
        </w:rPr>
      </w:r>
      <w:r>
        <w:rPr>
          <w:lang w:val="en_US" w:bidi="en_US"/>
        </w:rPr>
        <w:t>Everyone else (CEV)</w:t>
      </w:r>
    </w:p>
    <w:p>
      <w:pPr/>
      <w:r>
        <w:rPr>
          <w:lang w:val="en_US" w:bidi="en_US"/>
        </w:rPr>
      </w:r>
      <w:r>
        <w:rPr>
          <w:lang w:val="en_US" w:bidi="en_US"/>
        </w:rPr>
        <w:t>All these people (NIV)</w:t>
      </w:r>
    </w:p>
    <w:p>
      <w:pPr/>
      <w:r>
        <w:rPr>
          <w:lang w:val="en_US" w:bidi="en_US"/>
        </w:rPr>
      </w:r>
      <w:r>
        <w:rPr>
          <w:lang w:val="en_US" w:bidi="en_US"/>
        </w:rPr>
        <w:t>Be sure that the contrast with the widow is clear in your translation.</w:t>
      </w:r>
    </w:p>
    <w:p>
      <w:pPr/>
      <w:r>
        <w:rPr>
          <w:lang w:val="en_US" w:bidi="en_US"/>
        </w:rPr>
      </w:r>
      <w:r>
        <w:rPr>
          <w:b/>
          <w:lang w:val="en_US" w:bidi="en_US"/>
        </w:rPr>
        <w:t>contributed out of their surplus:</w:t>
      </w:r>
      <w:r>
        <w:rPr>
          <w:lang w:val="en_US" w:bidi="en_US"/>
        </w:rPr>
        <w:t xml:space="preserve"> The Greek phrase that the BSB translates as </w:t>
      </w:r>
      <w:r>
        <w:rPr>
          <w:i/>
          <w:lang w:val="en_US" w:bidi="en_US"/>
        </w:rPr>
        <w:t>surplus</w:t>
      </w:r>
      <w:r>
        <w:rPr>
          <w:lang w:val="en_US" w:bidi="en_US"/>
        </w:rPr>
        <w:t xml:space="preserve"> means “more than enough.”</w:t>
      </w:r>
      <w:r>
        <w:rPr>
          <w:lang w:val="en_US" w:bidi="en_US"/>
        </w:rPr>
        <w:t xml:space="preserve">See </w:t>
      </w:r>
      <w:r>
        <w:rPr>
          <w:i/>
          <w:lang w:val="en_US" w:bidi="en_US"/>
        </w:rPr>
        <w:t>perisseuō</w:t>
      </w:r>
      <w:r>
        <w:rPr>
          <w:lang w:val="en_US" w:bidi="en_US"/>
        </w:rPr>
        <w:t>, meaning 1a, in BDAG, p. 805.</w:t>
      </w:r>
      <w:r>
        <w:rPr>
          <w:lang w:val="en_US" w:bidi="en_US"/>
        </w:rPr>
        <w:t xml:space="preserve"> It indicates here that the rich people had more than enough money. The clause indicates that after they gave some money to God, they still had plenty of money to use for whatever they wanted. Other ways to say this are:</w:t>
      </w:r>
    </w:p>
    <w:p>
      <w:pPr/>
      <w:r>
        <w:rPr>
          <w:lang w:val="en_US" w:bidi="en_US"/>
        </w:rPr>
      </w:r>
      <w:r>
        <w:rPr>
          <w:lang w:val="en_US" w:bidi="en_US"/>
        </w:rPr>
        <w:t>have given a tiny part of their surplus (NLT)</w:t>
      </w:r>
    </w:p>
    <w:p>
      <w:pPr/>
      <w:r>
        <w:rPr>
          <w:lang w:val="en_US" w:bidi="en_US"/>
        </w:rPr>
      </w:r>
      <w:r>
        <w:rPr>
          <w:lang w:val="en_US" w:bidi="en_US"/>
        </w:rPr>
        <w:t>have given had more than enough (REB)</w:t>
      </w:r>
    </w:p>
    <w:p>
      <w:pPr/>
      <w:r>
        <w:rPr>
          <w:lang w:val="en_US" w:bidi="en_US"/>
        </w:rPr>
      </w:r>
      <w:r>
        <w:rPr>
          <w:b/>
          <w:lang w:val="en_US" w:bidi="en_US"/>
        </w:rPr>
        <w:t>contributed:</w:t>
      </w:r>
      <w:r>
        <w:rPr>
          <w:lang w:val="en_US" w:bidi="en_US"/>
        </w:rPr>
        <w:t xml:space="preserve"> The word </w:t>
      </w:r>
      <w:r>
        <w:rPr>
          <w:i/>
          <w:lang w:val="en_US" w:bidi="en_US"/>
        </w:rPr>
        <w:t>contributed</w:t>
      </w:r>
      <w:r>
        <w:rPr>
          <w:lang w:val="en_US" w:bidi="en_US"/>
        </w:rPr>
        <w:t xml:space="preserve"> refers here to the act of giving the money that the rich people put into the temple treasury as offerings.</w:t>
      </w:r>
      <w:r>
        <w:rPr>
          <w:lang w:val="en_US" w:bidi="en_US"/>
        </w:rPr>
        <w:t>Some Greek manuscripts and the Majority Text include the words “for/to God” after the word “contributed.” The UBS text does not include them. Metzger (2</w:t>
      </w:r>
      <w:r>
        <w:rPr>
          <w:vertAlign w:val="superscript"/>
          <w:lang w:val="en_US" w:bidi="en_US"/>
        </w:rPr>
        <w:t>nd</w:t>
      </w:r>
      <w:r>
        <w:rPr>
          <w:lang w:val="en_US" w:bidi="en_US"/>
        </w:rPr>
        <w:t xml:space="preserve"> edition, p. 146) says that the words “for/to God” “seem to be a scribal explanation appended…for the sake of Gentile readers….” However, the meaning “for/to God” is certainly implied, so it is fine to include it in the translation if it is needed for naturalness or clarity.</w:t>
      </w:r>
      <w:r>
        <w:rPr>
          <w:lang w:val="en_US" w:bidi="en_US"/>
        </w:rPr>
        <w:t xml:space="preserve"> Refer to them in a natural way in your language.</w:t>
      </w:r>
    </w:p>
    <w:p>
      <w:pPr/>
      <w:r>
        <w:rPr>
          <w:lang w:val="en_US" w:bidi="en_US"/>
        </w:rPr>
      </w:r>
      <w:r>
        <w:rPr>
          <w:lang w:val="en_US" w:bidi="en_US"/>
        </w:rPr>
        <w:t>In some languages it may not be necessary to include this phrase, because it is implied in the context. For example:</w:t>
      </w:r>
    </w:p>
    <w:p>
      <w:pPr/>
      <w:r>
        <w:rPr>
          <w:lang w:val="en_US" w:bidi="en_US"/>
        </w:rPr>
      </w:r>
      <w:r>
        <w:rPr>
          <w:lang w:val="en_US" w:bidi="en_US"/>
        </w:rPr>
        <w:t>for those others who have given had more than enough (REB)</w:t>
      </w:r>
    </w:p>
    <w:p>
      <w:pPr>
        <w:pStyle w:val="Heading5"/>
      </w:pPr>
      <w:r>
        <w:rPr>
          <w:lang w:val="en_US" w:bidi="en_US"/>
        </w:rPr>
        <w:t>21:4b</w:t>
      </w:r>
    </w:p>
    <w:p>
      <w:pPr/>
      <w:r>
        <w:rPr>
          <w:lang w:val="en_US" w:bidi="en_US"/>
        </w:rPr>
      </w:r>
      <w:r>
        <w:rPr>
          <w:b/>
          <w:lang w:val="en_US" w:bidi="en_US"/>
        </w:rPr>
        <w:t>but she out of her poverty has put in all she had to live on.”</w:t>
      </w:r>
    </w:p>
    <w:p>
      <w:pPr>
        <w:pStyle w:val="ListBullet"/>
        <w:spacing w:line="240" w:lineRule="auto"/>
        <w:ind w:left="720"/>
      </w:pPr>
      <w:r>
        <w:rPr>
          <w:lang w:val="en_US" w:bidi="en_US"/>
        </w:rPr>
      </w:r>
      <w:r>
        <w:rPr>
          <w:lang w:val="en_US" w:bidi="en_US"/>
        </w:rPr>
        <w:t xml:space="preserve">but she was very needy, yet she gave </w:t>
      </w:r>
      <w:r>
        <w:rPr>
          <w:lang w:val="en_US" w:bidi="en_US"/>
        </w:rPr>
        <w:t>God</w:t>
      </w:r>
      <w:r>
        <w:rPr>
          <w:lang w:val="en_US" w:bidi="en_US"/>
        </w:rPr>
        <w:t xml:space="preserve"> all the money that she needed to survive.”</w:t>
      </w:r>
    </w:p>
    <w:p>
      <w:pPr>
        <w:pStyle w:val="ListBullet"/>
        <w:spacing w:line="240" w:lineRule="auto"/>
        <w:ind w:left="720"/>
      </w:pPr>
      <w:r>
        <w:rPr>
          <w:lang w:val="en_US" w:bidi="en_US"/>
        </w:rPr>
      </w:r>
      <w:r>
        <w:rPr>
          <w:lang w:val="en_US" w:bidi="en_US"/>
        </w:rPr>
        <w:t xml:space="preserve">As for her, she is poor and does not have what she needs. But she gave </w:t>
      </w:r>
      <w:r>
        <w:rPr>
          <w:lang w:val="en_US" w:bidi="en_US"/>
        </w:rPr>
        <w:t>God</w:t>
      </w:r>
      <w:r>
        <w:rPr>
          <w:lang w:val="en_US" w:bidi="en_US"/>
        </w:rPr>
        <w:t xml:space="preserve"> every coin that she had to support herself.”</w:t>
      </w:r>
    </w:p>
    <w:p>
      <w:pPr>
        <w:pStyle w:val="ListBullet"/>
        <w:spacing w:line="240" w:lineRule="auto"/>
        <w:ind w:left="720"/>
      </w:pPr>
      <w:r>
        <w:rPr>
          <w:lang w:val="en_US" w:bidi="en_US"/>
        </w:rPr>
      </w:r>
      <w:r>
        <w:rPr>
          <w:lang w:val="en_US" w:bidi="en_US"/>
        </w:rPr>
        <w:t>but she, with less than enough, has given all she had to live on.” (REB)</w:t>
      </w:r>
    </w:p>
    <w:p>
      <w:pPr/>
      <w:r>
        <w:rPr>
          <w:lang w:val="en_US" w:bidi="en_US"/>
        </w:rPr>
      </w:r>
      <w:r>
        <w:rPr>
          <w:b/>
          <w:lang w:val="en_US" w:bidi="en_US"/>
        </w:rPr>
        <w:t>but she out of her poverty:</w:t>
      </w:r>
      <w:r>
        <w:rPr>
          <w:lang w:val="en_US" w:bidi="en_US"/>
        </w:rPr>
        <w:t xml:space="preserve"> The word </w:t>
      </w:r>
      <w:r>
        <w:rPr>
          <w:i/>
          <w:lang w:val="en_US" w:bidi="en_US"/>
        </w:rPr>
        <w:t>she</w:t>
      </w:r>
      <w:r>
        <w:rPr>
          <w:lang w:val="en_US" w:bidi="en_US"/>
        </w:rPr>
        <w:t xml:space="preserve"> refers to the widow in contrast to the rich people. The phrase </w:t>
      </w:r>
      <w:r>
        <w:rPr>
          <w:i/>
          <w:lang w:val="en_US" w:bidi="en_US"/>
        </w:rPr>
        <w:t>her poverty</w:t>
      </w:r>
      <w:r>
        <w:rPr>
          <w:lang w:val="en_US" w:bidi="en_US"/>
        </w:rPr>
        <w:t xml:space="preserve"> contrasts with the “surplus” of the rich people.</w:t>
      </w:r>
    </w:p>
    <w:p>
      <w:pPr/>
      <w:r>
        <w:rPr>
          <w:lang w:val="en_US" w:bidi="en_US"/>
        </w:rPr>
      </w:r>
      <w:r>
        <w:rPr>
          <w:lang w:val="en_US" w:bidi="en_US"/>
        </w:rPr>
        <w:t xml:space="preserve">The Greek phrase that the BSB translates as </w:t>
      </w:r>
      <w:r>
        <w:rPr>
          <w:i/>
          <w:lang w:val="en_US" w:bidi="en_US"/>
        </w:rPr>
        <w:t>out of her poverty</w:t>
      </w:r>
      <w:r>
        <w:rPr>
          <w:lang w:val="en_US" w:bidi="en_US"/>
        </w:rPr>
        <w:t xml:space="preserve"> is literally “out of her lack.” It indicates that the widow did not have enough money to buy what she really needed. It is good to use a phrase that contrasts with the wealth of the other people who gave.</w:t>
      </w:r>
    </w:p>
    <w:p>
      <w:pPr/>
      <w:r>
        <w:rPr>
          <w:lang w:val="en_US" w:bidi="en_US"/>
        </w:rPr>
      </w:r>
      <w:r>
        <w:rPr>
          <w:lang w:val="en_US" w:bidi="en_US"/>
        </w:rPr>
        <w:t xml:space="preserve">Some other ways to translate </w:t>
      </w:r>
      <w:r>
        <w:rPr>
          <w:i/>
          <w:lang w:val="en_US" w:bidi="en_US"/>
        </w:rPr>
        <w:t>but she out of her poverty</w:t>
      </w:r>
      <w:r>
        <w:rPr>
          <w:lang w:val="en_US" w:bidi="en_US"/>
        </w:rPr>
        <w:t xml:space="preserve"> are:</w:t>
      </w:r>
    </w:p>
    <w:p>
      <w:pPr/>
      <w:r>
        <w:rPr>
          <w:lang w:val="en_US" w:bidi="en_US"/>
        </w:rPr>
      </w:r>
      <w:r>
        <w:rPr>
          <w:lang w:val="en_US" w:bidi="en_US"/>
        </w:rPr>
        <w:t>but although she is so needy, she gave</w:t>
      </w:r>
    </w:p>
    <w:p>
      <w:pPr/>
      <w:r>
        <w:rPr>
          <w:lang w:val="en_US" w:bidi="en_US"/>
        </w:rPr>
      </w:r>
      <w:r>
        <w:rPr>
          <w:lang w:val="en_US" w:bidi="en_US"/>
        </w:rPr>
        <w:t>but she has less than she needs, yet she gave</w:t>
      </w:r>
    </w:p>
    <w:p>
      <w:pPr/>
      <w:r>
        <w:rPr>
          <w:lang w:val="en_US" w:bidi="en_US"/>
        </w:rPr>
      </w:r>
      <w:r>
        <w:rPr>
          <w:lang w:val="en_US" w:bidi="en_US"/>
        </w:rPr>
        <w:t>This woman is very poor, but she gave (NCV)</w:t>
      </w:r>
    </w:p>
    <w:p>
      <w:pPr/>
      <w:r>
        <w:rPr>
          <w:lang w:val="en_US" w:bidi="en_US"/>
        </w:rPr>
      </w:r>
      <w:r>
        <w:rPr>
          <w:b/>
          <w:lang w:val="en_US" w:bidi="en_US"/>
        </w:rPr>
        <w:t>has put in:</w:t>
      </w:r>
      <w:r>
        <w:rPr>
          <w:lang w:val="en_US" w:bidi="en_US"/>
        </w:rPr>
        <w:t xml:space="preserve"> The Greek verb that the BSB translates here as </w:t>
      </w:r>
      <w:r>
        <w:rPr>
          <w:i/>
          <w:lang w:val="en_US" w:bidi="en_US"/>
        </w:rPr>
        <w:t>has put in</w:t>
      </w:r>
      <w:r>
        <w:rPr>
          <w:lang w:val="en_US" w:bidi="en_US"/>
        </w:rPr>
        <w:t xml:space="preserve"> is the same verb that it translated as “contributed” in 21:4a. In this context it refers to giving the offering, specifically to dropping it into the offering box. In some languages it may be helpful to use the same verb in both clauses to make the contrast clear.</w:t>
      </w:r>
    </w:p>
    <w:p>
      <w:pPr/>
      <w:r>
        <w:rPr>
          <w:lang w:val="en_US" w:bidi="en_US"/>
        </w:rPr>
      </w:r>
      <w:r>
        <w:rPr>
          <w:b/>
          <w:lang w:val="en_US" w:bidi="en_US"/>
        </w:rPr>
        <w:t>all she had to live on:</w:t>
      </w:r>
      <w:r>
        <w:rPr>
          <w:lang w:val="en_US" w:bidi="en_US"/>
        </w:rPr>
        <w:t xml:space="preserve"> The Greek phrase that the BSB translates as </w:t>
      </w:r>
      <w:r>
        <w:rPr>
          <w:i/>
          <w:lang w:val="en_US" w:bidi="en_US"/>
        </w:rPr>
        <w:t>all she had to live on</w:t>
      </w:r>
      <w:r>
        <w:rPr>
          <w:lang w:val="en_US" w:bidi="en_US"/>
        </w:rPr>
        <w:t xml:space="preserve"> refers to the money that the widow could have used to buy food. She needed that money to survive, but she gave it all as an offering. She had nothing left to buy the things that she needed. Some other ways to translate this are:</w:t>
      </w:r>
    </w:p>
    <w:p>
      <w:pPr/>
      <w:r>
        <w:rPr>
          <w:lang w:val="en_US" w:bidi="en_US"/>
        </w:rPr>
      </w:r>
      <w:r>
        <w:rPr>
          <w:lang w:val="en_US" w:bidi="en_US"/>
        </w:rPr>
        <w:t>all the money that she had, though she needed it to survive/live</w:t>
      </w:r>
    </w:p>
    <w:p>
      <w:pPr/>
      <w:r>
        <w:rPr>
          <w:lang w:val="en_US" w:bidi="en_US"/>
        </w:rPr>
      </w:r>
      <w:r>
        <w:rPr>
          <w:lang w:val="en_US" w:bidi="en_US"/>
        </w:rPr>
        <w:t>all the living that she had (RSV)</w:t>
      </w:r>
    </w:p>
    <w:p>
      <w:pPr/>
      <w:r>
        <w:rPr>
          <w:lang w:val="en_US" w:bidi="en_US"/>
        </w:rPr>
      </w:r>
      <w:r>
        <w:rPr>
          <w:lang w:val="en_US" w:bidi="en_US"/>
        </w:rPr>
        <w:t>everything she had to live on (GW)</w:t>
      </w:r>
      <w:r>
        <w:rPr>
          <w:lang w:val="en_US" w:bidi="en_US"/>
        </w:rPr>
      </w:r>
      <w:r>
        <w:rPr>
          <w:lang w:val="en_US" w:bidi="en_US"/>
        </w:rPr>
      </w:r>
    </w:p>
    <w:p>
      <w:pPr/>
      <w:r>
        <w:rPr>
          <w:lang w:val="en_US" w:bidi="en_US"/>
        </w:rPr>
      </w:r>
    </w:p>
    <w:p>
      <w:pPr>
        <w:pStyle w:val="Heading2"/>
      </w:pPr>
      <w:r>
        <w:rPr>
          <w:lang w:val="en_US" w:bidi="en_US"/>
        </w:rPr>
        <w:t>Luke 21:5</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4"/>
      </w:pPr>
      <w:r>
        <w:rPr>
          <w:lang w:val="en_US" w:bidi="en_US"/>
        </w:rPr>
        <w:t>Paragraph 21:5–6</w:t>
      </w:r>
    </w:p>
    <w:p>
      <w:pPr/>
      <w:r>
        <w:rPr>
          <w:lang w:val="en_US" w:bidi="en_US"/>
        </w:rPr>
      </w:r>
      <w:r>
        <w:rPr>
          <w:lang w:val="en_US" w:bidi="en_US"/>
        </w:rPr>
        <w:t>This paragraph introduces a new section. The events in this section began sometime after the event in 21:1–4. The Greek text does not indicate how much time passed between these two sections. Matthew 24:1 and Mark 13:1 indicate that Jesus was leaving the temple as the events in this section began.</w:t>
      </w:r>
    </w:p>
    <w:p>
      <w:pPr/>
      <w:r>
        <w:rPr>
          <w:lang w:val="en_US" w:bidi="en_US"/>
        </w:rPr>
      </w:r>
      <w:r>
        <w:rPr>
          <w:lang w:val="en_US" w:bidi="en_US"/>
        </w:rPr>
        <w:t>In some languages, it may be natural to begin this section with a time word or phrase. If that is true in your language, choose an expression that is not too specific. For example:</w:t>
      </w:r>
    </w:p>
    <w:p>
      <w:pPr/>
      <w:r>
        <w:rPr>
          <w:lang w:val="en_US" w:bidi="en_US"/>
        </w:rPr>
      </w:r>
      <w:r>
        <w:rPr>
          <w:lang w:val="en_US" w:bidi="en_US"/>
        </w:rPr>
        <w:t>Then (JBP)</w:t>
      </w:r>
    </w:p>
    <w:p>
      <w:pPr/>
      <w:r>
        <w:rPr>
          <w:lang w:val="en_US" w:bidi="en_US"/>
        </w:rPr>
      </w:r>
      <w:r>
        <w:rPr>
          <w:lang w:val="en_US" w:bidi="en_US"/>
        </w:rPr>
        <w:t>After that</w:t>
      </w:r>
    </w:p>
    <w:p>
      <w:pPr>
        <w:pStyle w:val="Heading5"/>
      </w:pPr>
      <w:r>
        <w:rPr>
          <w:lang w:val="en_US" w:bidi="en_US"/>
        </w:rPr>
        <w:t>21:5a</w:t>
      </w:r>
    </w:p>
    <w:p>
      <w:pPr/>
      <w:r>
        <w:rPr>
          <w:lang w:val="en_US" w:bidi="en_US"/>
        </w:rPr>
      </w:r>
      <w:r>
        <w:rPr>
          <w:b/>
          <w:lang w:val="en_US" w:bidi="en_US"/>
        </w:rPr>
        <w:t>As some of the disciples were remarking</w:t>
      </w:r>
    </w:p>
    <w:p>
      <w:pPr>
        <w:pStyle w:val="ListBullet"/>
        <w:spacing w:line="240" w:lineRule="auto"/>
        <w:ind w:left="720"/>
      </w:pPr>
      <w:r>
        <w:rPr>
          <w:lang w:val="en_US" w:bidi="en_US"/>
        </w:rPr>
      </w:r>
      <w:r>
        <w:rPr>
          <w:lang w:val="en_US" w:bidi="en_US"/>
        </w:rPr>
        <w:t>¶ Then when/as some were talking</w:t>
      </w:r>
    </w:p>
    <w:p>
      <w:pPr>
        <w:pStyle w:val="ListBullet"/>
        <w:spacing w:line="240" w:lineRule="auto"/>
        <w:ind w:left="720"/>
      </w:pPr>
      <w:r>
        <w:rPr>
          <w:lang w:val="en_US" w:bidi="en_US"/>
        </w:rPr>
      </w:r>
      <w:r>
        <w:rPr>
          <w:lang w:val="en_US" w:bidi="en_US"/>
        </w:rPr>
        <w:t>¶ Later some of his disciples began to speak</w:t>
      </w:r>
    </w:p>
    <w:p>
      <w:pPr>
        <w:pStyle w:val="ListBullet"/>
        <w:spacing w:line="240" w:lineRule="auto"/>
        <w:ind w:left="720"/>
      </w:pPr>
      <w:r>
        <w:rPr>
          <w:lang w:val="en_US" w:bidi="en_US"/>
        </w:rPr>
      </w:r>
      <w:r>
        <w:rPr>
          <w:lang w:val="en_US" w:bidi="en_US"/>
        </w:rPr>
        <w:t>¶ After that, some of Jesus’ followers commented/said,</w:t>
      </w:r>
    </w:p>
    <w:p>
      <w:pPr/>
      <w:r>
        <w:rPr>
          <w:lang w:val="en_US" w:bidi="en_US"/>
        </w:rPr>
      </w:r>
      <w:r>
        <w:rPr>
          <w:b/>
          <w:lang w:val="en_US" w:bidi="en_US"/>
        </w:rPr>
        <w:t>As some of the disciples:</w:t>
      </w:r>
      <w:r>
        <w:rPr>
          <w:lang w:val="en_US" w:bidi="en_US"/>
        </w:rPr>
        <w:t xml:space="preserve"> Here the Greek text has only the word </w:t>
      </w:r>
      <w:r>
        <w:rPr>
          <w:i/>
          <w:lang w:val="en_US" w:bidi="en_US"/>
        </w:rPr>
        <w:t>some</w:t>
      </w:r>
      <w:r>
        <w:rPr>
          <w:lang w:val="en_US" w:bidi="en_US"/>
        </w:rPr>
        <w:t xml:space="preserve">. The BSB has supplied the phrase </w:t>
      </w:r>
      <w:r>
        <w:rPr>
          <w:i/>
          <w:lang w:val="en_US" w:bidi="en_US"/>
        </w:rPr>
        <w:t>of the disciples</w:t>
      </w:r>
      <w:r>
        <w:rPr>
          <w:lang w:val="en_US" w:bidi="en_US"/>
        </w:rPr>
        <w:t xml:space="preserve">. There are two ways to interpret the word </w:t>
      </w:r>
      <w:r>
        <w:rPr>
          <w:i/>
          <w:lang w:val="en_US" w:bidi="en_US"/>
        </w:rPr>
        <w:t>some</w:t>
      </w:r>
      <w:r>
        <w:rPr>
          <w:lang w:val="en_US" w:bidi="en_US"/>
        </w:rPr>
        <w:t>:</w:t>
      </w:r>
    </w:p>
    <w:p>
      <w:pPr>
        <w:pStyle w:val="ListNumber"/>
        <w:numPr>
          <w:ilvl w:val="0"/>
          <w:numId w:val="344"/>
        </w:numPr>
        <w:spacing w:line="240" w:lineRule="auto"/>
        <w:ind w:left="720"/>
      </w:pPr>
      <w:r>
        <w:rPr>
          <w:lang w:val="en_US" w:bidi="en_US"/>
        </w:rPr>
      </w:r>
      <w:r>
        <w:rPr>
          <w:lang w:val="en_US" w:bidi="en_US"/>
        </w:rPr>
        <w:t xml:space="preserve">It refers to some of Jesus’ </w:t>
      </w:r>
      <w:r>
        <w:rPr>
          <w:u w:val="single"/>
          <w:lang w:val="en_US" w:bidi="en_US"/>
        </w:rPr>
        <w:t>disciples</w:t>
      </w:r>
      <w:r>
        <w:rPr>
          <w:lang w:val="en_US" w:bidi="en_US"/>
        </w:rPr>
        <w:t>. For example:</w:t>
      </w:r>
      <w:r>
        <w:rPr>
          <w:lang w:val="en_US" w:bidi="en_US"/>
        </w:rPr>
        <w:t xml:space="preserve">Some of the disciples (GNT) </w:t>
      </w:r>
      <w:r>
        <w:rPr>
          <w:i/>
          <w:lang w:val="en_US" w:bidi="en_US"/>
        </w:rPr>
        <w:t>(BSB, NIV, GNT, GW, NLT)</w:t>
      </w:r>
    </w:p>
    <w:p>
      <w:pPr>
        <w:pStyle w:val="ListNumber"/>
        <w:spacing w:line="240" w:lineRule="auto"/>
        <w:ind w:left="720"/>
      </w:pPr>
      <w:r>
        <w:rPr>
          <w:lang w:val="en_US" w:bidi="en_US"/>
        </w:rPr>
      </w:r>
      <w:r>
        <w:rPr>
          <w:lang w:val="en_US" w:bidi="en_US"/>
        </w:rPr>
        <w:t xml:space="preserve">It refers to some </w:t>
      </w:r>
      <w:r>
        <w:rPr>
          <w:u w:val="single"/>
          <w:lang w:val="en_US" w:bidi="en_US"/>
        </w:rPr>
        <w:t>people who were standing there</w:t>
      </w:r>
      <w:r>
        <w:rPr>
          <w:lang w:val="en_US" w:bidi="en_US"/>
        </w:rPr>
        <w:t>. For example:</w:t>
      </w:r>
      <w:r>
        <w:rPr>
          <w:lang w:val="en_US" w:bidi="en_US"/>
        </w:rPr>
        <w:t xml:space="preserve">Some people (CEV) </w:t>
      </w:r>
      <w:r>
        <w:rPr>
          <w:i/>
          <w:lang w:val="en_US" w:bidi="en_US"/>
        </w:rPr>
        <w:t>(REB, CEV, NCV)</w:t>
      </w:r>
    </w:p>
    <w:p>
      <w:pPr/>
      <w:r>
        <w:rPr>
          <w:lang w:val="en_US" w:bidi="en_US"/>
        </w:rPr>
      </w:r>
      <w:r>
        <w:rPr>
          <w:lang w:val="en_US" w:bidi="en_US"/>
        </w:rPr>
        <w:t>Some English versions are ambiguous. It is recommended that you follow interpretation (1). In 20:45, Jesus was talking to his disciples, and no other group is mentioned after that. Interpretation (1) is also supported by the parallel passages in Matthew 24:1 and Mark 13:1.</w:t>
      </w:r>
    </w:p>
    <w:p>
      <w:pPr/>
      <w:r>
        <w:rPr>
          <w:lang w:val="en_US" w:bidi="en_US"/>
        </w:rPr>
      </w:r>
      <w:r>
        <w:rPr>
          <w:b/>
          <w:lang w:val="en_US" w:bidi="en_US"/>
        </w:rPr>
        <w:t>disciples:</w:t>
      </w:r>
      <w:r>
        <w:rPr>
          <w:lang w:val="en_US" w:bidi="en_US"/>
        </w:rPr>
        <w:t xml:space="preserve"> See the note on </w:t>
      </w:r>
      <w:r>
        <w:rPr>
          <w:i/>
          <w:lang w:val="en_US" w:bidi="en_US"/>
        </w:rPr>
        <w:t>disciples</w:t>
      </w:r>
      <w:r>
        <w:rPr>
          <w:lang w:val="en_US" w:bidi="en_US"/>
        </w:rPr>
        <w:t xml:space="preserve"> at 17:1a. Also see disciple in the Glossary for more information.</w:t>
      </w:r>
    </w:p>
    <w:p>
      <w:pPr/>
      <w:r>
        <w:rPr>
          <w:lang w:val="en_US" w:bidi="en_US"/>
        </w:rPr>
      </w:r>
      <w:r>
        <w:rPr>
          <w:b/>
          <w:lang w:val="en_US" w:bidi="en_US"/>
        </w:rPr>
        <w:t>were remarking:</w:t>
      </w:r>
      <w:r>
        <w:rPr>
          <w:lang w:val="en_US" w:bidi="en_US"/>
        </w:rPr>
        <w:t xml:space="preserve"> The Greek verb that the BSB translates as </w:t>
      </w:r>
      <w:r>
        <w:rPr>
          <w:i/>
          <w:lang w:val="en_US" w:bidi="en_US"/>
        </w:rPr>
        <w:t>were remarking</w:t>
      </w:r>
      <w:r>
        <w:rPr>
          <w:lang w:val="en_US" w:bidi="en_US"/>
        </w:rPr>
        <w:t xml:space="preserve"> simply means “speaking/saying.”</w:t>
      </w:r>
      <w:r>
        <w:rPr>
          <w:lang w:val="en_US" w:bidi="en_US"/>
        </w:rPr>
        <w:t>The form is a participle.</w:t>
      </w:r>
      <w:r>
        <w:rPr>
          <w:lang w:val="en_US" w:bidi="en_US"/>
        </w:rPr>
        <w:t xml:space="preserve"> Some other ways to translate this word are:</w:t>
      </w:r>
    </w:p>
    <w:p>
      <w:pPr/>
      <w:r>
        <w:rPr>
          <w:lang w:val="en_US" w:bidi="en_US"/>
        </w:rPr>
      </w:r>
      <w:r>
        <w:rPr>
          <w:lang w:val="en_US" w:bidi="en_US"/>
        </w:rPr>
        <w:t>spoke (RSV)</w:t>
      </w:r>
    </w:p>
    <w:p>
      <w:pPr/>
      <w:r>
        <w:rPr>
          <w:lang w:val="en_US" w:bidi="en_US"/>
        </w:rPr>
      </w:r>
      <w:r>
        <w:rPr>
          <w:lang w:val="en_US" w:bidi="en_US"/>
        </w:rPr>
        <w:t>were talking (GNT)</w:t>
      </w:r>
    </w:p>
    <w:p>
      <w:pPr/>
      <w:r>
        <w:rPr>
          <w:lang w:val="en_US" w:bidi="en_US"/>
        </w:rPr>
      </w:r>
      <w:r>
        <w:rPr>
          <w:lang w:val="en_US" w:bidi="en_US"/>
        </w:rPr>
        <w:t>were commenting</w:t>
      </w:r>
    </w:p>
    <w:p>
      <w:pPr/>
      <w:r>
        <w:rPr>
          <w:lang w:val="en_US" w:bidi="en_US"/>
        </w:rPr>
      </w:r>
      <w:r>
        <w:rPr>
          <w:lang w:val="en_US" w:bidi="en_US"/>
        </w:rPr>
        <w:t>See the General Comment on 21:5a–d at the end of 21:5d for a suggestion about using direct speech in this verse.</w:t>
      </w:r>
    </w:p>
    <w:p>
      <w:pPr>
        <w:pStyle w:val="Heading5"/>
      </w:pPr>
      <w:r>
        <w:rPr>
          <w:lang w:val="en_US" w:bidi="en_US"/>
        </w:rPr>
        <w:t>21:5b</w:t>
      </w:r>
    </w:p>
    <w:p>
      <w:pPr/>
      <w:r>
        <w:rPr>
          <w:lang w:val="en_US" w:bidi="en_US"/>
        </w:rPr>
      </w:r>
      <w:r>
        <w:rPr>
          <w:b/>
          <w:lang w:val="en_US" w:bidi="en_US"/>
        </w:rPr>
        <w:t>how the temple was adorned with beautiful stones</w:t>
      </w:r>
    </w:p>
    <w:p>
      <w:pPr>
        <w:pStyle w:val="ListBullet"/>
        <w:spacing w:line="240" w:lineRule="auto"/>
        <w:ind w:left="720"/>
      </w:pPr>
      <w:r>
        <w:rPr>
          <w:lang w:val="en_US" w:bidi="en_US"/>
        </w:rPr>
      </w:r>
      <w:r>
        <w:rPr>
          <w:lang w:val="en_US" w:bidi="en_US"/>
        </w:rPr>
        <w:t xml:space="preserve">about the temple, they said that it was beautiful with </w:t>
      </w:r>
      <w:r>
        <w:rPr>
          <w:lang w:val="en_US" w:bidi="en_US"/>
        </w:rPr>
        <w:t>its</w:t>
      </w:r>
      <w:r>
        <w:rPr>
          <w:lang w:val="en_US" w:bidi="en_US"/>
        </w:rPr>
        <w:t xml:space="preserve"> fine stones</w:t>
      </w:r>
    </w:p>
    <w:p>
      <w:pPr>
        <w:pStyle w:val="ListBullet"/>
        <w:spacing w:line="240" w:lineRule="auto"/>
        <w:ind w:left="720"/>
      </w:pPr>
      <w:r>
        <w:rPr>
          <w:lang w:val="en_US" w:bidi="en_US"/>
        </w:rPr>
      </w:r>
      <w:r>
        <w:rPr>
          <w:lang w:val="en_US" w:bidi="en_US"/>
        </w:rPr>
        <w:t xml:space="preserve">of the temple. </w:t>
      </w:r>
      <w:r>
        <w:rPr>
          <w:lang w:val="en_US" w:bidi="en_US"/>
        </w:rPr>
        <w:t>They admired</w:t>
      </w:r>
      <w:r>
        <w:rPr>
          <w:lang w:val="en_US" w:bidi="en_US"/>
        </w:rPr>
        <w:t xml:space="preserve"> </w:t>
      </w:r>
      <w:r>
        <w:rPr>
          <w:lang w:val="en_US" w:bidi="en_US"/>
        </w:rPr>
        <w:t>its</w:t>
      </w:r>
      <w:r>
        <w:rPr>
          <w:lang w:val="en_US" w:bidi="en_US"/>
        </w:rPr>
        <w:t xml:space="preserve"> magnificent stones</w:t>
      </w:r>
    </w:p>
    <w:p>
      <w:pPr>
        <w:pStyle w:val="ListBullet"/>
        <w:spacing w:line="240" w:lineRule="auto"/>
        <w:ind w:left="720"/>
      </w:pPr>
      <w:r>
        <w:rPr>
          <w:lang w:val="en_US" w:bidi="en_US"/>
        </w:rPr>
      </w:r>
      <w:r>
        <w:rPr>
          <w:lang w:val="en_US" w:bidi="en_US"/>
        </w:rPr>
        <w:t xml:space="preserve">“The temple is splendid/magnificent! It </w:t>
      </w:r>
      <w:r>
        <w:rPr>
          <w:lang w:val="en_US" w:bidi="en_US"/>
        </w:rPr>
        <w:t>is built</w:t>
      </w:r>
      <w:r>
        <w:rPr>
          <w:lang w:val="en_US" w:bidi="en_US"/>
        </w:rPr>
        <w:t xml:space="preserve"> with such fine stones!</w:t>
      </w:r>
    </w:p>
    <w:p>
      <w:pPr>
        <w:pStyle w:val="Heading5"/>
      </w:pPr>
      <w:r>
        <w:rPr>
          <w:lang w:val="en_US" w:bidi="en_US"/>
        </w:rPr>
        <w:t>21:5c</w:t>
      </w:r>
    </w:p>
    <w:p>
      <w:pPr/>
      <w:r>
        <w:rPr>
          <w:lang w:val="en_US" w:bidi="en_US"/>
        </w:rPr>
      </w:r>
      <w:r>
        <w:rPr>
          <w:b/>
          <w:lang w:val="en_US" w:bidi="en_US"/>
        </w:rPr>
        <w:t>and consecrated gifts,</w:t>
      </w:r>
    </w:p>
    <w:p>
      <w:pPr>
        <w:pStyle w:val="ListBullet"/>
        <w:spacing w:line="240" w:lineRule="auto"/>
        <w:ind w:left="720"/>
      </w:pPr>
      <w:r>
        <w:rPr>
          <w:lang w:val="en_US" w:bidi="en_US"/>
        </w:rPr>
      </w:r>
      <w:r>
        <w:rPr>
          <w:lang w:val="en_US" w:bidi="en_US"/>
        </w:rPr>
        <w:t>and with gifts offered to God.</w:t>
      </w:r>
    </w:p>
    <w:p>
      <w:pPr>
        <w:pStyle w:val="ListBullet"/>
        <w:spacing w:line="240" w:lineRule="auto"/>
        <w:ind w:left="720"/>
      </w:pPr>
      <w:r>
        <w:rPr>
          <w:lang w:val="en_US" w:bidi="en_US"/>
        </w:rPr>
      </w:r>
      <w:r>
        <w:rPr>
          <w:lang w:val="en_US" w:bidi="en_US"/>
        </w:rPr>
        <w:t xml:space="preserve">and the </w:t>
      </w:r>
      <w:r>
        <w:rPr>
          <w:lang w:val="en_US" w:bidi="en_US"/>
        </w:rPr>
        <w:t>beautiful</w:t>
      </w:r>
      <w:r>
        <w:rPr>
          <w:lang w:val="en_US" w:bidi="en_US"/>
        </w:rPr>
        <w:t xml:space="preserve"> sacred offerings that </w:t>
      </w:r>
      <w:r>
        <w:rPr>
          <w:lang w:val="en_US" w:bidi="en_US"/>
        </w:rPr>
        <w:t>people had</w:t>
      </w:r>
      <w:r>
        <w:rPr>
          <w:lang w:val="en_US" w:bidi="en_US"/>
        </w:rPr>
        <w:t xml:space="preserve"> given to decorate it.</w:t>
      </w:r>
    </w:p>
    <w:p>
      <w:pPr>
        <w:pStyle w:val="ListBullet"/>
        <w:spacing w:line="240" w:lineRule="auto"/>
        <w:ind w:left="720"/>
      </w:pPr>
      <w:r>
        <w:rPr>
          <w:lang w:val="en_US" w:bidi="en_US"/>
        </w:rPr>
      </w:r>
      <w:r>
        <w:rPr>
          <w:lang w:val="en_US" w:bidi="en_US"/>
        </w:rPr>
        <w:t xml:space="preserve">It is </w:t>
      </w:r>
      <w:r>
        <w:rPr>
          <w:lang w:val="en_US" w:bidi="en_US"/>
        </w:rPr>
        <w:t>beautifully</w:t>
      </w:r>
      <w:r>
        <w:rPr>
          <w:lang w:val="en_US" w:bidi="en_US"/>
        </w:rPr>
        <w:t xml:space="preserve"> decorated with gifts </w:t>
      </w:r>
      <w:r>
        <w:rPr>
          <w:lang w:val="en_US" w:bidi="en_US"/>
        </w:rPr>
        <w:t>that people</w:t>
      </w:r>
      <w:r>
        <w:rPr>
          <w:lang w:val="en_US" w:bidi="en_US"/>
        </w:rPr>
        <w:t xml:space="preserve"> dedicated to God for it!”</w:t>
      </w:r>
    </w:p>
    <w:p>
      <w:pPr>
        <w:pStyle w:val="Heading5"/>
      </w:pPr>
      <w:r>
        <w:rPr>
          <w:lang w:val="en_US" w:bidi="en_US"/>
        </w:rPr>
        <w:t>21:5b–c</w:t>
      </w:r>
    </w:p>
    <w:p>
      <w:pPr/>
      <w:r>
        <w:rPr>
          <w:lang w:val="en_US" w:bidi="en_US"/>
        </w:rPr>
      </w:r>
      <w:r>
        <w:rPr>
          <w:b/>
          <w:lang w:val="en_US" w:bidi="en_US"/>
        </w:rPr>
        <w:t>how the temple was adorned:</w:t>
      </w:r>
      <w:r>
        <w:rPr>
          <w:lang w:val="en_US" w:bidi="en_US"/>
        </w:rPr>
        <w:t xml:space="preserve"> The Greek phrase that the BSB translates as </w:t>
      </w:r>
      <w:r>
        <w:rPr>
          <w:i/>
          <w:lang w:val="en_US" w:bidi="en_US"/>
        </w:rPr>
        <w:t>how the temple was adorned</w:t>
      </w:r>
      <w:r>
        <w:rPr>
          <w:lang w:val="en_US" w:bidi="en_US"/>
        </w:rPr>
        <w:t xml:space="preserve"> is literally “about the temple that it has been decorated/made beautiful.” Some other ways to translate this phrase are:</w:t>
      </w:r>
    </w:p>
    <w:p>
      <w:pPr/>
      <w:r>
        <w:rPr>
          <w:lang w:val="en_US" w:bidi="en_US"/>
        </w:rPr>
      </w:r>
      <w:r>
        <w:rPr>
          <w:lang w:val="en_US" w:bidi="en_US"/>
        </w:rPr>
        <w:t>about the temple, how it was adorned with beautiful stones (NRSV)</w:t>
      </w:r>
    </w:p>
    <w:p>
      <w:pPr/>
      <w:r>
        <w:rPr>
          <w:lang w:val="en_US" w:bidi="en_US"/>
        </w:rPr>
      </w:r>
      <w:r>
        <w:rPr>
          <w:lang w:val="en_US" w:bidi="en_US"/>
        </w:rPr>
        <w:t>about the temple. They said that it was adorned</w:t>
      </w:r>
    </w:p>
    <w:p>
      <w:pPr/>
      <w:r>
        <w:rPr>
          <w:lang w:val="en_US" w:bidi="en_US"/>
        </w:rPr>
      </w:r>
      <w:r>
        <w:rPr>
          <w:b/>
          <w:lang w:val="en_US" w:bidi="en_US"/>
        </w:rPr>
        <w:t>temple:</w:t>
      </w:r>
      <w:r>
        <w:rPr>
          <w:lang w:val="en_US" w:bidi="en_US"/>
        </w:rPr>
        <w:t xml:space="preserve"> The Greek word that the BSB translates as </w:t>
      </w:r>
      <w:r>
        <w:rPr>
          <w:i/>
          <w:lang w:val="en_US" w:bidi="en_US"/>
        </w:rPr>
        <w:t>temple</w:t>
      </w:r>
      <w:r>
        <w:rPr>
          <w:lang w:val="en_US" w:bidi="en_US"/>
        </w:rPr>
        <w:t xml:space="preserve"> here refers to the temple building and the walls and courtyards that surrounded it. See temple, Meaning 1 in the Glossary for more information about the </w:t>
      </w:r>
      <w:r>
        <w:rPr>
          <w:i/>
          <w:lang w:val="en_US" w:bidi="en_US"/>
        </w:rPr>
        <w:t>temple</w:t>
      </w:r>
      <w:r>
        <w:rPr>
          <w:lang w:val="en_US" w:bidi="en_US"/>
        </w:rPr>
        <w:t xml:space="preserve"> and how to translate it.</w:t>
      </w:r>
    </w:p>
    <w:p>
      <w:pPr/>
      <w:r>
        <w:rPr>
          <w:lang w:val="en_US" w:bidi="en_US"/>
        </w:rPr>
      </w:r>
      <w:r>
        <w:rPr>
          <w:b/>
          <w:lang w:val="en_US" w:bidi="en_US"/>
        </w:rPr>
        <w:t>was adorned with beautiful stones and consecrated gifts:</w:t>
      </w:r>
      <w:r>
        <w:rPr>
          <w:lang w:val="en_US" w:bidi="en_US"/>
        </w:rPr>
        <w:t xml:space="preserve"> The Greek word that the BSB translates as </w:t>
      </w:r>
      <w:r>
        <w:rPr>
          <w:i/>
          <w:lang w:val="en_US" w:bidi="en_US"/>
        </w:rPr>
        <w:t>was adorned</w:t>
      </w:r>
      <w:r>
        <w:rPr>
          <w:lang w:val="en_US" w:bidi="en_US"/>
        </w:rPr>
        <w:t xml:space="preserve"> is literally “has been decorated” or “has been made beautiful.”</w:t>
      </w:r>
      <w:r>
        <w:rPr>
          <w:lang w:val="en_US" w:bidi="en_US"/>
        </w:rPr>
        <w:t>Herod the Great began a program of enlarging and rebuilding the temple in 19 B.C., which continued until 63 or 64 A.D. The rebuilt temple was much more beautiful than the former temple.</w:t>
      </w:r>
      <w:r>
        <w:rPr>
          <w:lang w:val="en_US" w:bidi="en_US"/>
        </w:rPr>
        <w:t xml:space="preserve"> The disciples indicated that the temple was made beautiful by its stones and gifts.</w:t>
      </w:r>
    </w:p>
    <w:p>
      <w:pPr/>
      <w:r>
        <w:rPr>
          <w:lang w:val="en_US" w:bidi="en_US"/>
        </w:rPr>
      </w:r>
      <w:r>
        <w:rPr>
          <w:lang w:val="en_US" w:bidi="en_US"/>
        </w:rPr>
        <w:t>In some languages it may be necessary to use two verbs to describe how the stones and the gifts made the temple beautiful. For example:</w:t>
      </w:r>
    </w:p>
    <w:p>
      <w:pPr/>
      <w:r>
        <w:rPr>
          <w:lang w:val="en_US" w:bidi="en_US"/>
        </w:rPr>
      </w:r>
      <w:r>
        <w:rPr>
          <w:lang w:val="en_US" w:bidi="en_US"/>
        </w:rPr>
        <w:t>it was built with fine stones and decorated with beautiful gifts (GW)</w:t>
      </w:r>
    </w:p>
    <w:p>
      <w:pPr/>
      <w:r>
        <w:rPr>
          <w:lang w:val="en_US" w:bidi="en_US"/>
        </w:rPr>
      </w:r>
      <w:r>
        <w:rPr>
          <w:lang w:val="en_US" w:bidi="en_US"/>
        </w:rPr>
        <w:t>The verbs “was built” and “decorated” are passive. In some languages, it may be more natural to translate the clause without using a passive verb. For example:</w:t>
      </w:r>
    </w:p>
    <w:p>
      <w:pPr/>
      <w:r>
        <w:rPr>
          <w:lang w:val="en_US" w:bidi="en_US"/>
        </w:rPr>
      </w:r>
      <w:r>
        <w:rPr>
          <w:lang w:val="en_US" w:bidi="en_US"/>
        </w:rPr>
        <w:t>some were saying that the temple was beautiful/magnificent with its beautiful stones and sacred gifts</w:t>
      </w:r>
    </w:p>
    <w:p>
      <w:pPr/>
      <w:r>
        <w:rPr>
          <w:lang w:val="en_US" w:bidi="en_US"/>
        </w:rPr>
      </w:r>
      <w:r>
        <w:rPr>
          <w:lang w:val="en_US" w:bidi="en_US"/>
        </w:rPr>
        <w:t>some were talking about the beautiful stones of the temple and the wonderful offerings that decorated/adorned it</w:t>
      </w:r>
    </w:p>
    <w:p>
      <w:pPr/>
      <w:r>
        <w:rPr>
          <w:lang w:val="en_US" w:bidi="en_US"/>
        </w:rPr>
      </w:r>
      <w:r>
        <w:rPr>
          <w:b/>
          <w:lang w:val="en_US" w:bidi="en_US"/>
        </w:rPr>
        <w:t>beautiful stones:</w:t>
      </w:r>
      <w:r>
        <w:rPr>
          <w:lang w:val="en_US" w:bidi="en_US"/>
        </w:rPr>
        <w:t xml:space="preserve"> The phrase </w:t>
      </w:r>
      <w:r>
        <w:rPr>
          <w:i/>
          <w:lang w:val="en_US" w:bidi="en_US"/>
        </w:rPr>
        <w:t>beautiful stones</w:t>
      </w:r>
      <w:r>
        <w:rPr>
          <w:lang w:val="en_US" w:bidi="en_US"/>
        </w:rPr>
        <w:t xml:space="preserve"> refers to the huge stone blocks that were used to build the temple.</w:t>
      </w:r>
      <w:r>
        <w:rPr>
          <w:lang w:val="en_US" w:bidi="en_US"/>
        </w:rPr>
        <w:t xml:space="preserve">Herod used white marble stones that measured up to thirty-seven feet (11:5 meters) in length, twelve feet (3:5 meters) in height, and eighteen feet (5:5 meters) in width (Josephus, </w:t>
      </w:r>
      <w:r>
        <w:rPr>
          <w:i/>
          <w:lang w:val="en_US" w:bidi="en_US"/>
        </w:rPr>
        <w:t>Antiquities</w:t>
      </w:r>
      <w:r>
        <w:rPr>
          <w:lang w:val="en_US" w:bidi="en_US"/>
        </w:rPr>
        <w:t>, 15:11:3 § 392).</w:t>
      </w:r>
      <w:r>
        <w:rPr>
          <w:lang w:val="en_US" w:bidi="en_US"/>
        </w:rPr>
        <w:t xml:space="preserve"> The stones were not jewels. They were not used only for decoration, but they did make the temple more beautiful. Some other ways to translate </w:t>
      </w:r>
      <w:r>
        <w:rPr>
          <w:i/>
          <w:lang w:val="en_US" w:bidi="en_US"/>
        </w:rPr>
        <w:t>beautiful stones</w:t>
      </w:r>
      <w:r>
        <w:rPr>
          <w:lang w:val="en_US" w:bidi="en_US"/>
        </w:rPr>
        <w:t xml:space="preserve"> are:</w:t>
      </w:r>
    </w:p>
    <w:p>
      <w:pPr/>
      <w:r>
        <w:rPr>
          <w:lang w:val="en_US" w:bidi="en_US"/>
        </w:rPr>
      </w:r>
      <w:r>
        <w:rPr>
          <w:lang w:val="en_US" w:bidi="en_US"/>
        </w:rPr>
        <w:t>fine stones (GNT)</w:t>
      </w:r>
    </w:p>
    <w:p>
      <w:pPr/>
      <w:r>
        <w:rPr>
          <w:lang w:val="en_US" w:bidi="en_US"/>
        </w:rPr>
      </w:r>
      <w:r>
        <w:rPr>
          <w:lang w:val="en_US" w:bidi="en_US"/>
        </w:rPr>
        <w:t>that its stones were magnificent</w:t>
      </w:r>
    </w:p>
    <w:p>
      <w:pPr/>
      <w:r>
        <w:rPr>
          <w:lang w:val="en_US" w:bidi="en_US"/>
        </w:rPr>
      </w:r>
      <w:r>
        <w:rPr>
          <w:b/>
          <w:lang w:val="en_US" w:bidi="en_US"/>
        </w:rPr>
        <w:t>consecrated gifts:</w:t>
      </w:r>
      <w:r>
        <w:rPr>
          <w:lang w:val="en_US" w:bidi="en_US"/>
        </w:rPr>
        <w:t xml:space="preserve"> The Greek word that the BSB translates as </w:t>
      </w:r>
      <w:r>
        <w:rPr>
          <w:i/>
          <w:lang w:val="en_US" w:bidi="en_US"/>
        </w:rPr>
        <w:t>consecrated gifts</w:t>
      </w:r>
      <w:r>
        <w:rPr>
          <w:lang w:val="en_US" w:bidi="en_US"/>
        </w:rPr>
        <w:t xml:space="preserve"> refers here to special gifts people gave to decorate the temple. Examples of such gifts were gold and silver used to cover the temple doors, and fine tapestries.</w:t>
      </w:r>
      <w:r>
        <w:rPr>
          <w:lang w:val="en_US" w:bidi="en_US"/>
        </w:rPr>
        <w:t>These gifts included gold and silver that covered the gates and doors of the temple. They also included a huge golden grape vine with clusters of grapes, which was donated by King Herod the Great, and Babylonian tapestries made of fine linen, which hung at the entrance of the temple building.</w:t>
      </w:r>
      <w:r>
        <w:rPr>
          <w:lang w:val="en_US" w:bidi="en_US"/>
        </w:rPr>
        <w:t xml:space="preserve"> The people dedicated the gifts to God to adorn the temple and make it more beautiful. These particular gifts were not offerings of money or animals.</w:t>
      </w:r>
    </w:p>
    <w:p>
      <w:pPr/>
      <w:r>
        <w:rPr>
          <w:lang w:val="en_US" w:bidi="en_US"/>
        </w:rPr>
      </w:r>
      <w:r>
        <w:rPr>
          <w:lang w:val="en_US" w:bidi="en_US"/>
        </w:rPr>
        <w:t>In some languages there is a special term that is used for sacred gifts to a god. Consider whether this term can or should be used to describe gifts to God.</w:t>
      </w:r>
    </w:p>
    <w:p>
      <w:pPr/>
      <w:r>
        <w:rPr>
          <w:lang w:val="en_US" w:bidi="en_US"/>
        </w:rPr>
      </w:r>
      <w:r>
        <w:rPr>
          <w:lang w:val="en_US" w:bidi="en_US"/>
        </w:rPr>
        <w:t xml:space="preserve">Other ways to translate </w:t>
      </w:r>
      <w:r>
        <w:rPr>
          <w:i/>
          <w:lang w:val="en_US" w:bidi="en_US"/>
        </w:rPr>
        <w:t>consecrated gifts</w:t>
      </w:r>
      <w:r>
        <w:rPr>
          <w:lang w:val="en_US" w:bidi="en_US"/>
        </w:rPr>
        <w:t xml:space="preserve"> are:</w:t>
      </w:r>
    </w:p>
    <w:p>
      <w:pPr/>
      <w:r>
        <w:rPr>
          <w:lang w:val="en_US" w:bidi="en_US"/>
        </w:rPr>
      </w:r>
      <w:r>
        <w:rPr>
          <w:lang w:val="en_US" w:bidi="en_US"/>
        </w:rPr>
        <w:t>gifts offered to God (GNT)</w:t>
      </w:r>
    </w:p>
    <w:p>
      <w:pPr/>
      <w:r>
        <w:rPr>
          <w:lang w:val="en_US" w:bidi="en_US"/>
        </w:rPr>
      </w:r>
      <w:r>
        <w:rPr>
          <w:lang w:val="en_US" w:bidi="en_US"/>
        </w:rPr>
        <w:t>wonderful/beautiful offerings</w:t>
      </w:r>
    </w:p>
    <w:p>
      <w:pPr>
        <w:pStyle w:val="Heading5"/>
      </w:pPr>
      <w:r>
        <w:rPr>
          <w:lang w:val="en_US" w:bidi="en_US"/>
        </w:rPr>
        <w:t>21:5d</w:t>
      </w:r>
    </w:p>
    <w:p>
      <w:pPr/>
      <w:r>
        <w:rPr>
          <w:lang w:val="en_US" w:bidi="en_US"/>
        </w:rPr>
      </w:r>
      <w:r>
        <w:rPr>
          <w:b/>
          <w:lang w:val="en_US" w:bidi="en_US"/>
        </w:rPr>
        <w:t>Jesus said,</w:t>
      </w:r>
    </w:p>
    <w:p>
      <w:pPr>
        <w:pStyle w:val="ListBullet"/>
        <w:spacing w:line="240" w:lineRule="auto"/>
        <w:ind w:left="720"/>
      </w:pPr>
      <w:r>
        <w:rPr>
          <w:lang w:val="en_US" w:bidi="en_US"/>
        </w:rPr>
      </w:r>
      <w:r>
        <w:rPr>
          <w:lang w:val="en_US" w:bidi="en_US"/>
        </w:rPr>
        <w:t>And Jesus said,</w:t>
      </w:r>
    </w:p>
    <w:p>
      <w:pPr>
        <w:pStyle w:val="ListBullet"/>
        <w:spacing w:line="240" w:lineRule="auto"/>
        <w:ind w:left="720"/>
      </w:pPr>
      <w:r>
        <w:rPr>
          <w:lang w:val="en_US" w:bidi="en_US"/>
        </w:rPr>
      </w:r>
      <w:r>
        <w:rPr>
          <w:lang w:val="en_US" w:bidi="en_US"/>
        </w:rPr>
        <w:t>Then Jesus replied,</w:t>
      </w:r>
    </w:p>
    <w:p>
      <w:pPr>
        <w:pStyle w:val="ListBullet"/>
        <w:spacing w:line="240" w:lineRule="auto"/>
        <w:ind w:left="720"/>
      </w:pPr>
      <w:r>
        <w:rPr>
          <w:lang w:val="en_US" w:bidi="en_US"/>
        </w:rPr>
      </w:r>
      <w:r>
        <w:rPr>
          <w:lang w:val="en_US" w:bidi="en_US"/>
        </w:rPr>
        <w:t>But Jesus responded,</w:t>
      </w:r>
    </w:p>
    <w:p>
      <w:pPr/>
      <w:r>
        <w:rPr>
          <w:lang w:val="en_US" w:bidi="en_US"/>
        </w:rPr>
      </w:r>
      <w:r>
        <w:rPr>
          <w:b/>
          <w:lang w:val="en_US" w:bidi="en_US"/>
        </w:rPr>
        <w:t>Jesus said:</w:t>
      </w:r>
      <w:r>
        <w:rPr>
          <w:lang w:val="en_US" w:bidi="en_US"/>
        </w:rPr>
        <w:t xml:space="preserve"> The Greek verb that the BSB translates as </w:t>
      </w:r>
      <w:r>
        <w:rPr>
          <w:i/>
          <w:lang w:val="en_US" w:bidi="en_US"/>
        </w:rPr>
        <w:t>Jesus said</w:t>
      </w:r>
      <w:r>
        <w:rPr>
          <w:lang w:val="en_US" w:bidi="en_US"/>
        </w:rPr>
        <w:t xml:space="preserve"> is simply “he said.” It continues the sentence that began in 21:5a, as the BSB models. In some languages it may be more natural to begin a new sentence here. For example:</w:t>
      </w:r>
    </w:p>
    <w:p>
      <w:pPr/>
      <w:r>
        <w:rPr>
          <w:lang w:val="en_US" w:bidi="en_US"/>
        </w:rPr>
      </w:r>
      <w:r>
        <w:rPr>
          <w:lang w:val="en_US" w:bidi="en_US"/>
        </w:rPr>
        <w:t>Some of his disciples were remarking about how the temple was adorned with beautiful stones and with gifts dedicated to God. But Jesus said… (NIV)</w:t>
      </w:r>
    </w:p>
    <w:p>
      <w:pPr/>
      <w:r>
        <w:rPr>
          <w:lang w:val="en_US" w:bidi="en_US"/>
        </w:rPr>
      </w:r>
      <w:r>
        <w:rPr>
          <w:lang w:val="en_US" w:bidi="en_US"/>
        </w:rPr>
        <w:t>As this example shows, the NIV begins the sentence with the conjunction “But” because Jesus replied in a way that the disciples did not expect. Other English versions have “and,” “then,” or “so.” Connect 21:5d to 21:5a–c in a natural way in your language.</w:t>
      </w:r>
    </w:p>
    <w:p>
      <w:pPr>
        <w:pStyle w:val="Heading6"/>
      </w:pPr>
      <w:r>
        <w:rPr>
          <w:b/>
          <w:lang w:val="en_US" w:bidi="en_US"/>
        </w:rPr>
        <w:t>General Comment on 21:5a–d</w:t>
      </w:r>
    </w:p>
    <w:p>
      <w:pPr/>
      <w:r>
        <w:rPr>
          <w:lang w:val="en_US" w:bidi="en_US"/>
        </w:rPr>
      </w:r>
      <w:r>
        <w:rPr>
          <w:lang w:val="en_US" w:bidi="en_US"/>
        </w:rPr>
        <w:t>In some languages it may be more natural use direct speech to translate what the disciples said. For example:</w:t>
      </w:r>
    </w:p>
    <w:p>
      <w:pPr/>
      <w:r>
        <w:rPr>
          <w:lang w:val="en_US" w:bidi="en_US"/>
        </w:rPr>
      </w:r>
      <w:r>
        <w:rPr>
          <w:vertAlign w:val="superscript"/>
          <w:lang w:val="en_US" w:bidi="en_US"/>
        </w:rPr>
        <w:t>5a</w:t>
      </w:r>
      <w:r>
        <w:rPr>
          <w:lang w:val="en_US" w:bidi="en_US"/>
        </w:rPr>
        <w:t xml:space="preserve">Then some of his disciples remarked about the temple, </w:t>
      </w:r>
      <w:r>
        <w:rPr>
          <w:vertAlign w:val="superscript"/>
          <w:lang w:val="en_US" w:bidi="en_US"/>
        </w:rPr>
        <w:t>5b</w:t>
      </w:r>
      <w:r>
        <w:rPr>
          <w:lang w:val="en_US" w:bidi="en_US"/>
        </w:rPr>
        <w:t xml:space="preserve">“How beautiful/magnificent the temple is because of its fine stones </w:t>
      </w:r>
      <w:r>
        <w:rPr>
          <w:vertAlign w:val="superscript"/>
          <w:lang w:val="en_US" w:bidi="en_US"/>
        </w:rPr>
        <w:t>5c</w:t>
      </w:r>
      <w:r>
        <w:rPr>
          <w:lang w:val="en_US" w:bidi="en_US"/>
        </w:rPr>
        <w:t xml:space="preserve">and its </w:t>
      </w:r>
      <w:r>
        <w:rPr>
          <w:lang w:val="en_US" w:bidi="en_US"/>
        </w:rPr>
        <w:t>rich</w:t>
      </w:r>
      <w:r>
        <w:rPr>
          <w:lang w:val="en_US" w:bidi="en_US"/>
        </w:rPr>
        <w:t xml:space="preserve"> ornaments that people have given as gifts to God!” </w:t>
      </w:r>
      <w:r>
        <w:rPr>
          <w:vertAlign w:val="superscript"/>
          <w:lang w:val="en_US" w:bidi="en_US"/>
        </w:rPr>
        <w:t>5d</w:t>
      </w:r>
      <w:r>
        <w:rPr>
          <w:lang w:val="en_US" w:bidi="en_US"/>
        </w:rPr>
        <w:t>But Jesus said….</w:t>
      </w:r>
    </w:p>
    <w:p>
      <w:pPr/>
      <w:r>
        <w:rPr>
          <w:lang w:val="en_US" w:bidi="en_US"/>
        </w:rPr>
      </w:r>
      <w:r>
        <w:rPr>
          <w:vertAlign w:val="superscript"/>
          <w:lang w:val="en_US" w:bidi="en_US"/>
        </w:rPr>
        <w:t>5a</w:t>
      </w:r>
      <w:r>
        <w:rPr>
          <w:lang w:val="en_US" w:bidi="en_US"/>
        </w:rPr>
        <w:t xml:space="preserve">After that some of his disciples began to talk about the temple. They said, </w:t>
      </w:r>
      <w:r>
        <w:rPr>
          <w:vertAlign w:val="superscript"/>
          <w:lang w:val="en_US" w:bidi="en_US"/>
        </w:rPr>
        <w:t>5b</w:t>
      </w:r>
      <w:r>
        <w:rPr>
          <w:lang w:val="en_US" w:bidi="en_US"/>
        </w:rPr>
        <w:t>“</w:t>
      </w:r>
      <w:r>
        <w:rPr>
          <w:lang w:val="en_US" w:bidi="en_US"/>
        </w:rPr>
        <w:t>Look at</w:t>
      </w:r>
      <w:r>
        <w:rPr>
          <w:lang w:val="en_US" w:bidi="en_US"/>
        </w:rPr>
        <w:t xml:space="preserve"> the beautiful stones of the temple! </w:t>
      </w:r>
      <w:r>
        <w:rPr>
          <w:vertAlign w:val="superscript"/>
          <w:lang w:val="en_US" w:bidi="en_US"/>
        </w:rPr>
        <w:t>5c</w:t>
      </w:r>
      <w:r>
        <w:rPr>
          <w:lang w:val="en_US" w:bidi="en_US"/>
        </w:rPr>
        <w:t xml:space="preserve">Also, </w:t>
      </w:r>
      <w:r>
        <w:rPr>
          <w:lang w:val="en_US" w:bidi="en_US"/>
        </w:rPr>
        <w:t>look at</w:t>
      </w:r>
      <w:r>
        <w:rPr>
          <w:lang w:val="en_US" w:bidi="en_US"/>
        </w:rPr>
        <w:t xml:space="preserve"> the </w:t>
      </w:r>
      <w:r>
        <w:rPr>
          <w:lang w:val="en_US" w:bidi="en_US"/>
        </w:rPr>
        <w:t>wonderful</w:t>
      </w:r>
      <w:r>
        <w:rPr>
          <w:lang w:val="en_US" w:bidi="en_US"/>
        </w:rPr>
        <w:t xml:space="preserve"> gifts/ornaments that people have offered to God to adorn/decorate it!” </w:t>
      </w:r>
      <w:r>
        <w:rPr>
          <w:vertAlign w:val="superscript"/>
          <w:lang w:val="en_US" w:bidi="en_US"/>
        </w:rPr>
        <w:t>5d</w:t>
      </w:r>
      <w:r>
        <w:rPr>
          <w:lang w:val="en_US" w:bidi="en_US"/>
        </w:rPr>
        <w:t>But Jesus said….</w:t>
      </w:r>
      <w:r>
        <w:rPr>
          <w:lang w:val="en_US" w:bidi="en_US"/>
        </w:rPr>
      </w:r>
      <w:r>
        <w:rPr>
          <w:lang w:val="en_US" w:bidi="en_US"/>
        </w:rPr>
      </w:r>
    </w:p>
    <w:p>
      <w:pPr/>
      <w:r>
        <w:rPr>
          <w:lang w:val="en_US" w:bidi="en_US"/>
        </w:rPr>
      </w:r>
    </w:p>
    <w:p>
      <w:pPr>
        <w:pStyle w:val="Heading2"/>
      </w:pPr>
      <w:r>
        <w:rPr>
          <w:lang w:val="en_US" w:bidi="en_US"/>
        </w:rPr>
        <w:t>Luke 21:6</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4"/>
      </w:pPr>
      <w:r>
        <w:rPr>
          <w:lang w:val="en_US" w:bidi="en_US"/>
        </w:rPr>
        <w:t>Paragraph 21:5–6</w:t>
      </w:r>
    </w:p>
    <w:p>
      <w:pPr/>
      <w:r>
        <w:rPr>
          <w:lang w:val="en_US" w:bidi="en_US"/>
        </w:rPr>
      </w:r>
      <w:r>
        <w:rPr>
          <w:lang w:val="en_US" w:bidi="en_US"/>
        </w:rPr>
        <w:t>This paragraph introduces a new section. The events in this section began sometime after the event in 21:1–4. The Greek text does not indicate how much time passed between these two sections. Matthew 24:1 and Mark 13:1 indicate that Jesus was leaving the temple as the events in this section began.</w:t>
      </w:r>
    </w:p>
    <w:p>
      <w:pPr/>
      <w:r>
        <w:rPr>
          <w:lang w:val="en_US" w:bidi="en_US"/>
        </w:rPr>
      </w:r>
      <w:r>
        <w:rPr>
          <w:lang w:val="en_US" w:bidi="en_US"/>
        </w:rPr>
        <w:t>In some languages, it may be natural to begin this section with a time word or phrase. If that is true in your language, choose an expression that is not too specific. For example:</w:t>
      </w:r>
    </w:p>
    <w:p>
      <w:pPr/>
      <w:r>
        <w:rPr>
          <w:lang w:val="en_US" w:bidi="en_US"/>
        </w:rPr>
      </w:r>
      <w:r>
        <w:rPr>
          <w:lang w:val="en_US" w:bidi="en_US"/>
        </w:rPr>
        <w:t>Then (JBP)</w:t>
      </w:r>
    </w:p>
    <w:p>
      <w:pPr/>
      <w:r>
        <w:rPr>
          <w:lang w:val="en_US" w:bidi="en_US"/>
        </w:rPr>
      </w:r>
      <w:r>
        <w:rPr>
          <w:lang w:val="en_US" w:bidi="en_US"/>
        </w:rPr>
        <w:t>After that</w:t>
      </w:r>
    </w:p>
    <w:p>
      <w:pPr>
        <w:pStyle w:val="Heading5"/>
      </w:pPr>
      <w:r>
        <w:rPr>
          <w:lang w:val="en_US" w:bidi="en_US"/>
        </w:rPr>
        <w:t>21:6a</w:t>
      </w:r>
    </w:p>
    <w:p>
      <w:pPr/>
      <w:r>
        <w:rPr>
          <w:lang w:val="en_US" w:bidi="en_US"/>
        </w:rPr>
      </w:r>
      <w:r>
        <w:rPr>
          <w:b/>
          <w:lang w:val="en_US" w:bidi="en_US"/>
        </w:rPr>
        <w:t>“As for what you see here, the time will come when</w:t>
      </w:r>
    </w:p>
    <w:p>
      <w:pPr>
        <w:pStyle w:val="ListBullet"/>
        <w:spacing w:line="240" w:lineRule="auto"/>
        <w:ind w:left="720"/>
      </w:pPr>
      <w:r>
        <w:rPr>
          <w:lang w:val="en_US" w:bidi="en_US"/>
        </w:rPr>
      </w:r>
      <w:r>
        <w:rPr>
          <w:lang w:val="en_US" w:bidi="en_US"/>
        </w:rPr>
        <w:t>“Concerning/About these things that you</w:t>
      </w:r>
      <w:r>
        <w:rPr>
          <w:vertAlign w:val="superscript"/>
          <w:lang w:val="en_US" w:bidi="en_US"/>
        </w:rPr>
        <w:t>(plur)</w:t>
      </w:r>
      <w:r>
        <w:rPr>
          <w:lang w:val="en_US" w:bidi="en_US"/>
        </w:rPr>
        <w:t xml:space="preserve"> see, days will come when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looking/gazing at these things </w:t>
      </w:r>
      <w:r>
        <w:rPr>
          <w:lang w:val="en_US" w:bidi="en_US"/>
        </w:rPr>
        <w:t>now</w:t>
      </w:r>
      <w:r>
        <w:rPr>
          <w:lang w:val="en_US" w:bidi="en_US"/>
        </w:rPr>
        <w:t xml:space="preserve">, </w:t>
      </w:r>
      <w:r>
        <w:rPr>
          <w:lang w:val="en_US" w:bidi="en_US"/>
        </w:rPr>
        <w:t>but</w:t>
      </w:r>
      <w:r>
        <w:rPr>
          <w:lang w:val="en_US" w:bidi="en_US"/>
        </w:rPr>
        <w:t xml:space="preserve"> one day in the future</w:t>
      </w:r>
    </w:p>
    <w:p>
      <w:pPr>
        <w:pStyle w:val="ListBullet"/>
        <w:spacing w:line="240" w:lineRule="auto"/>
        <w:ind w:left="720"/>
      </w:pPr>
      <w:r>
        <w:rPr>
          <w:lang w:val="en_US" w:bidi="en_US"/>
        </w:rPr>
      </w:r>
      <w:r>
        <w:rPr>
          <w:lang w:val="en_US" w:bidi="en_US"/>
        </w:rPr>
        <w:t>“What you</w:t>
      </w:r>
      <w:r>
        <w:rPr>
          <w:vertAlign w:val="superscript"/>
          <w:lang w:val="en_US" w:bidi="en_US"/>
        </w:rPr>
        <w:t>(plur)</w:t>
      </w:r>
      <w:r>
        <w:rPr>
          <w:lang w:val="en_US" w:bidi="en_US"/>
        </w:rPr>
        <w:t xml:space="preserve"> see here will not </w:t>
      </w:r>
      <w:r>
        <w:rPr>
          <w:lang w:val="en_US" w:bidi="en_US"/>
        </w:rPr>
        <w:t>stand/remain</w:t>
      </w:r>
      <w:r>
        <w:rPr>
          <w:lang w:val="en_US" w:bidi="en_US"/>
        </w:rPr>
        <w:t xml:space="preserve"> </w:t>
      </w:r>
      <w:r>
        <w:rPr>
          <w:lang w:val="en_US" w:bidi="en_US"/>
        </w:rPr>
        <w:t>forever</w:t>
      </w:r>
      <w:r>
        <w:rPr>
          <w:lang w:val="en_US" w:bidi="en_US"/>
        </w:rPr>
        <w:t>. There will be a time when</w:t>
      </w:r>
    </w:p>
    <w:p>
      <w:pPr/>
      <w:r>
        <w:rPr>
          <w:lang w:val="en_US" w:bidi="en_US"/>
        </w:rPr>
      </w:r>
      <w:r>
        <w:rPr>
          <w:b/>
          <w:lang w:val="en_US" w:bidi="en_US"/>
        </w:rPr>
        <w:t>As for what you see here, the time will come when:</w:t>
      </w:r>
      <w:r>
        <w:rPr>
          <w:lang w:val="en_US" w:bidi="en_US"/>
        </w:rPr>
        <w:t xml:space="preserve"> The Greek phrase that the BSB translates as </w:t>
      </w:r>
      <w:r>
        <w:rPr>
          <w:i/>
          <w:lang w:val="en_US" w:bidi="en_US"/>
        </w:rPr>
        <w:t>As for what you see</w:t>
      </w:r>
      <w:r>
        <w:rPr>
          <w:lang w:val="en_US" w:bidi="en_US"/>
        </w:rPr>
        <w:t xml:space="preserve"> is literally “these things that you see.” It refers here to the temple, including the stones and gifts that his disciples admired in 21:5. Jesus indicated that he was going to tell them what would happen to the temple in the future. Some other ways to translate 21:6a are:</w:t>
      </w:r>
    </w:p>
    <w:p>
      <w:pPr/>
      <w:r>
        <w:rPr>
          <w:lang w:val="en_US" w:bidi="en_US"/>
        </w:rPr>
      </w:r>
      <w:r>
        <w:rPr>
          <w:lang w:val="en_US" w:bidi="en_US"/>
        </w:rPr>
        <w:t>Let me tell you something about/concerning these things that you see. A time will come when….</w:t>
      </w:r>
    </w:p>
    <w:p>
      <w:pPr/>
      <w:r>
        <w:rPr>
          <w:lang w:val="en_US" w:bidi="en_US"/>
        </w:rPr>
      </w:r>
      <w:r>
        <w:rPr>
          <w:lang w:val="en_US" w:bidi="en_US"/>
        </w:rPr>
        <w:t xml:space="preserve">You see these things </w:t>
      </w:r>
      <w:r>
        <w:rPr>
          <w:lang w:val="en_US" w:bidi="en_US"/>
        </w:rPr>
        <w:t>now</w:t>
      </w:r>
      <w:r>
        <w:rPr>
          <w:lang w:val="en_US" w:bidi="en_US"/>
        </w:rPr>
        <w:t>, but the time is coming when….</w:t>
      </w:r>
    </w:p>
    <w:p>
      <w:pPr/>
      <w:r>
        <w:rPr>
          <w:lang w:val="en_US" w:bidi="en_US"/>
        </w:rPr>
      </w:r>
      <w:r>
        <w:rPr>
          <w:lang w:val="en_US" w:bidi="en_US"/>
        </w:rPr>
        <w:t>The time will come when all these stones that you see….</w:t>
      </w:r>
    </w:p>
    <w:p>
      <w:pPr/>
      <w:r>
        <w:rPr>
          <w:lang w:val="en_US" w:bidi="en_US"/>
        </w:rPr>
      </w:r>
      <w:r>
        <w:rPr>
          <w:lang w:val="en_US" w:bidi="en_US"/>
        </w:rPr>
        <w:t>See the General Comment on 21:6b–c below for other ways to connect 21:6a to 21:6b–c.</w:t>
      </w:r>
    </w:p>
    <w:p>
      <w:pPr/>
      <w:r>
        <w:rPr>
          <w:lang w:val="en_US" w:bidi="en_US"/>
        </w:rPr>
      </w:r>
      <w:r>
        <w:rPr>
          <w:b/>
          <w:lang w:val="en_US" w:bidi="en_US"/>
        </w:rPr>
        <w:t>see:</w:t>
      </w:r>
      <w:r>
        <w:rPr>
          <w:lang w:val="en_US" w:bidi="en_US"/>
        </w:rPr>
        <w:t xml:space="preserve"> The Greek verb that the BSB translates as </w:t>
      </w:r>
      <w:r>
        <w:rPr>
          <w:i/>
          <w:lang w:val="en_US" w:bidi="en_US"/>
        </w:rPr>
        <w:t>see</w:t>
      </w:r>
      <w:r>
        <w:rPr>
          <w:lang w:val="en_US" w:bidi="en_US"/>
        </w:rPr>
        <w:t xml:space="preserve"> means to look at something with focused attention. Other ways that you might translate this are:</w:t>
      </w:r>
    </w:p>
    <w:p>
      <w:pPr/>
      <w:r>
        <w:rPr>
          <w:lang w:val="en_US" w:bidi="en_US"/>
        </w:rPr>
      </w:r>
      <w:r>
        <w:rPr>
          <w:lang w:val="en_US" w:bidi="en_US"/>
        </w:rPr>
        <w:t>looking at (NCV)</w:t>
      </w:r>
    </w:p>
    <w:p>
      <w:pPr/>
      <w:r>
        <w:rPr>
          <w:lang w:val="en_US" w:bidi="en_US"/>
        </w:rPr>
      </w:r>
      <w:r>
        <w:rPr>
          <w:lang w:val="en_US" w:bidi="en_US"/>
        </w:rPr>
        <w:t>gazing at (NET)</w:t>
      </w:r>
    </w:p>
    <w:p>
      <w:pPr/>
      <w:r>
        <w:rPr>
          <w:lang w:val="en_US" w:bidi="en_US"/>
        </w:rPr>
      </w:r>
      <w:r>
        <w:rPr>
          <w:b/>
          <w:lang w:val="en_US" w:bidi="en_US"/>
        </w:rPr>
        <w:t>the time will come when:</w:t>
      </w:r>
      <w:r>
        <w:rPr>
          <w:lang w:val="en_US" w:bidi="en_US"/>
        </w:rPr>
        <w:t xml:space="preserve"> The phrase </w:t>
      </w:r>
      <w:r>
        <w:rPr>
          <w:i/>
          <w:lang w:val="en_US" w:bidi="en_US"/>
        </w:rPr>
        <w:t>the time will come when</w:t>
      </w:r>
      <w:r>
        <w:rPr>
          <w:lang w:val="en_US" w:bidi="en_US"/>
        </w:rPr>
        <w:t xml:space="preserve"> is more literally “days will come in which.” This phrase introduces what Jesus predicted about the temple. He told what would happen to it in the future. In this context the word “days” refers in general to a period of time. It does not indicate whether the number of days will be few or many. Other ways to translate the phrase are:</w:t>
      </w:r>
    </w:p>
    <w:p>
      <w:pPr/>
      <w:r>
        <w:rPr>
          <w:lang w:val="en_US" w:bidi="en_US"/>
        </w:rPr>
      </w:r>
      <w:r>
        <w:rPr>
          <w:lang w:val="en_US" w:bidi="en_US"/>
        </w:rPr>
        <w:t>the days will come when (RSV)</w:t>
      </w:r>
    </w:p>
    <w:p>
      <w:pPr/>
      <w:r>
        <w:rPr>
          <w:lang w:val="en_US" w:bidi="en_US"/>
        </w:rPr>
      </w:r>
      <w:r>
        <w:rPr>
          <w:lang w:val="en_US" w:bidi="en_US"/>
        </w:rPr>
        <w:t>there will be a time when</w:t>
      </w:r>
    </w:p>
    <w:p>
      <w:pPr/>
      <w:r>
        <w:rPr>
          <w:lang w:val="en_US" w:bidi="en_US"/>
        </w:rPr>
      </w:r>
      <w:r>
        <w:rPr>
          <w:lang w:val="en_US" w:bidi="en_US"/>
        </w:rPr>
        <w:t>someday in the future</w:t>
      </w:r>
    </w:p>
    <w:p>
      <w:pPr>
        <w:pStyle w:val="Heading5"/>
      </w:pPr>
      <w:r>
        <w:rPr>
          <w:lang w:val="en_US" w:bidi="en_US"/>
        </w:rPr>
        <w:t>21:6b</w:t>
      </w:r>
    </w:p>
    <w:p>
      <w:pPr/>
      <w:r>
        <w:rPr>
          <w:lang w:val="en_US" w:bidi="en_US"/>
        </w:rPr>
      </w:r>
      <w:r>
        <w:rPr>
          <w:b/>
          <w:lang w:val="en_US" w:bidi="en_US"/>
        </w:rPr>
        <w:t>not one stone will be left on another;</w:t>
      </w:r>
    </w:p>
    <w:p>
      <w:pPr>
        <w:pStyle w:val="ListBullet"/>
        <w:spacing w:line="240" w:lineRule="auto"/>
        <w:ind w:left="720"/>
      </w:pPr>
      <w:r>
        <w:rPr>
          <w:lang w:val="en_US" w:bidi="en_US"/>
        </w:rPr>
      </w:r>
      <w:r>
        <w:rPr>
          <w:lang w:val="en_US" w:bidi="en_US"/>
        </w:rPr>
        <w:t xml:space="preserve">not one stone </w:t>
      </w:r>
      <w:r>
        <w:rPr>
          <w:lang w:val="en_US" w:bidi="en_US"/>
        </w:rPr>
        <w:t>of them</w:t>
      </w:r>
      <w:r>
        <w:rPr>
          <w:lang w:val="en_US" w:bidi="en_US"/>
        </w:rPr>
        <w:t xml:space="preserve"> will remain in its place.</w:t>
      </w:r>
    </w:p>
    <w:p>
      <w:pPr>
        <w:pStyle w:val="ListBullet"/>
        <w:spacing w:line="240" w:lineRule="auto"/>
        <w:ind w:left="720"/>
      </w:pPr>
      <w:r>
        <w:rPr>
          <w:lang w:val="en_US" w:bidi="en_US"/>
        </w:rPr>
      </w:r>
      <w:r>
        <w:rPr>
          <w:lang w:val="en_US" w:bidi="en_US"/>
        </w:rPr>
        <w:t>every wall/building will be torn/broken down.</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w:t>
      </w:r>
      <w:r>
        <w:rPr>
          <w:lang w:val="en_US" w:bidi="en_US"/>
        </w:rPr>
        <w:t>enemies</w:t>
      </w:r>
      <w:r>
        <w:rPr>
          <w:lang w:val="en_US" w:bidi="en_US"/>
        </w:rPr>
        <w:t xml:space="preserve"> will totally destroy </w:t>
      </w:r>
      <w:r>
        <w:rPr>
          <w:lang w:val="en_US" w:bidi="en_US"/>
        </w:rPr>
        <w:t>this temple</w:t>
      </w:r>
      <w:r>
        <w:rPr>
          <w:lang w:val="en_US" w:bidi="en_US"/>
        </w:rPr>
        <w:t>.</w:t>
      </w:r>
    </w:p>
    <w:p>
      <w:pPr>
        <w:pStyle w:val="Heading5"/>
      </w:pPr>
      <w:r>
        <w:rPr>
          <w:lang w:val="en_US" w:bidi="en_US"/>
        </w:rPr>
        <w:t>21:6c</w:t>
      </w:r>
    </w:p>
    <w:p>
      <w:pPr/>
      <w:r>
        <w:rPr>
          <w:lang w:val="en_US" w:bidi="en_US"/>
        </w:rPr>
      </w:r>
      <w:r>
        <w:rPr>
          <w:b/>
          <w:lang w:val="en_US" w:bidi="en_US"/>
        </w:rPr>
        <w:t>every one will be thrown down.”</w:t>
      </w:r>
    </w:p>
    <w:p>
      <w:pPr>
        <w:pStyle w:val="ListBullet"/>
        <w:spacing w:line="240" w:lineRule="auto"/>
        <w:ind w:left="720"/>
      </w:pPr>
      <w:r>
        <w:rPr>
          <w:lang w:val="en_US" w:bidi="en_US"/>
        </w:rPr>
      </w:r>
      <w:r>
        <w:rPr>
          <w:lang w:val="en_US" w:bidi="en_US"/>
        </w:rPr>
        <w:t>All the stones will be brought/thrown down.”</w:t>
      </w:r>
    </w:p>
    <w:p>
      <w:pPr>
        <w:pStyle w:val="ListBullet"/>
        <w:spacing w:line="240" w:lineRule="auto"/>
        <w:ind w:left="720"/>
      </w:pPr>
      <w:r>
        <w:rPr>
          <w:lang w:val="en_US" w:bidi="en_US"/>
        </w:rPr>
      </w:r>
      <w:r>
        <w:rPr>
          <w:lang w:val="en_US" w:bidi="en_US"/>
        </w:rPr>
        <w:t>Every one of them will be knocked out of its place.”</w:t>
      </w:r>
    </w:p>
    <w:p>
      <w:pPr>
        <w:pStyle w:val="ListBullet"/>
        <w:spacing w:line="240" w:lineRule="auto"/>
        <w:ind w:left="720"/>
      </w:pPr>
      <w:r>
        <w:rPr>
          <w:lang w:val="en_US" w:bidi="en_US"/>
        </w:rPr>
      </w:r>
      <w:r>
        <w:rPr>
          <w:lang w:val="en_US" w:bidi="en_US"/>
        </w:rPr>
        <w:t>They</w:t>
      </w:r>
      <w:r>
        <w:rPr>
          <w:lang w:val="en_US" w:bidi="en_US"/>
        </w:rPr>
        <w:t xml:space="preserve"> will raze/flatten it </w:t>
      </w:r>
      <w:r>
        <w:rPr>
          <w:lang w:val="en_US" w:bidi="en_US"/>
        </w:rPr>
        <w:t>to the ground</w:t>
      </w:r>
      <w:r>
        <w:rPr>
          <w:lang w:val="en_US" w:bidi="en_US"/>
        </w:rPr>
        <w:t>.”</w:t>
      </w:r>
    </w:p>
    <w:p>
      <w:pPr>
        <w:pStyle w:val="Heading5"/>
      </w:pPr>
      <w:r>
        <w:rPr>
          <w:lang w:val="en_US" w:bidi="en_US"/>
        </w:rPr>
        <w:t>21:6b–c</w:t>
      </w:r>
    </w:p>
    <w:p>
      <w:pPr/>
      <w:r>
        <w:rPr>
          <w:lang w:val="en_US" w:bidi="en_US"/>
        </w:rPr>
      </w:r>
      <w:r>
        <w:rPr>
          <w:b/>
          <w:lang w:val="en_US" w:bidi="en_US"/>
        </w:rPr>
        <w:t>not one stone will be left on another; every one will be thrown down:</w:t>
      </w:r>
      <w:r>
        <w:rPr>
          <w:lang w:val="en_US" w:bidi="en_US"/>
        </w:rPr>
        <w:t xml:space="preserve"> One way to translate this more literally is:</w:t>
      </w:r>
    </w:p>
    <w:p>
      <w:pPr/>
      <w:r>
        <w:rPr>
          <w:lang w:val="en_US" w:bidi="en_US"/>
        </w:rPr>
      </w:r>
      <w:r>
        <w:rPr>
          <w:lang w:val="en_US" w:bidi="en_US"/>
        </w:rPr>
        <w:t>…there will not be left one stone upon another which will not be torn down. (NASB)</w:t>
      </w:r>
    </w:p>
    <w:p>
      <w:pPr/>
      <w:r>
        <w:rPr>
          <w:lang w:val="en_US" w:bidi="en_US"/>
        </w:rPr>
      </w:r>
      <w:r>
        <w:rPr>
          <w:lang w:val="en_US" w:bidi="en_US"/>
        </w:rPr>
        <w:t>This statement is an emphatic way to say that the whole temple will be completely destroyed. This includes the parts that are not made of stone. Other ways to translate this meaning are:</w:t>
      </w:r>
    </w:p>
    <w:p>
      <w:pPr/>
      <w:r>
        <w:rPr>
          <w:lang w:val="en_US" w:bidi="en_US"/>
        </w:rPr>
      </w:r>
      <w:r>
        <w:rPr>
          <w:lang w:val="en_US" w:bidi="en_US"/>
        </w:rPr>
        <w:t>…none of the walls/buildings will be left standing. Every wall will be broken down.</w:t>
      </w:r>
    </w:p>
    <w:p>
      <w:pPr/>
      <w:r>
        <w:rPr>
          <w:lang w:val="en_US" w:bidi="en_US"/>
        </w:rPr>
      </w:r>
      <w:r>
        <w:rPr>
          <w:lang w:val="en_US" w:bidi="en_US"/>
        </w:rPr>
        <w:t xml:space="preserve">…nothing will be left of this </w:t>
      </w:r>
      <w:r>
        <w:rPr>
          <w:lang w:val="en_US" w:bidi="en_US"/>
        </w:rPr>
        <w:t>beautiful</w:t>
      </w:r>
      <w:r>
        <w:rPr>
          <w:lang w:val="en_US" w:bidi="en_US"/>
        </w:rPr>
        <w:t xml:space="preserve"> temple. It will be completely destroyed.</w:t>
      </w:r>
    </w:p>
    <w:p>
      <w:pPr/>
      <w:r>
        <w:rPr>
          <w:lang w:val="en_US" w:bidi="en_US"/>
        </w:rPr>
      </w:r>
      <w:r>
        <w:rPr>
          <w:lang w:val="en_US" w:bidi="en_US"/>
        </w:rPr>
        <w:t>Some languages have an idiom to describe something being totally destroyed. Describe the destruction in a natural way in your language.</w:t>
      </w:r>
    </w:p>
    <w:p>
      <w:pPr/>
      <w:r>
        <w:rPr>
          <w:lang w:val="en_US" w:bidi="en_US"/>
        </w:rPr>
      </w:r>
      <w:r>
        <w:rPr>
          <w:b/>
          <w:lang w:val="en_US" w:bidi="en_US"/>
        </w:rPr>
        <w:t>will be left:</w:t>
      </w:r>
      <w:r>
        <w:rPr>
          <w:lang w:val="en_US" w:bidi="en_US"/>
        </w:rPr>
        <w:t xml:space="preserve"> The verbs </w:t>
      </w:r>
      <w:r>
        <w:rPr>
          <w:i/>
          <w:lang w:val="en_US" w:bidi="en_US"/>
        </w:rPr>
        <w:t>will be left</w:t>
      </w:r>
      <w:r>
        <w:rPr>
          <w:lang w:val="en_US" w:bidi="en_US"/>
        </w:rPr>
        <w:t xml:space="preserve"> is passive. In some languages it may be more natural to translate without a passive verb. For example:</w:t>
      </w:r>
    </w:p>
    <w:p>
      <w:pPr/>
      <w:r>
        <w:rPr>
          <w:lang w:val="en_US" w:bidi="en_US"/>
        </w:rPr>
      </w:r>
      <w:r>
        <w:rPr>
          <w:lang w:val="en_US" w:bidi="en_US"/>
        </w:rPr>
        <w:t>not even a single stone will remain in its place</w:t>
      </w:r>
      <w:r>
        <w:rPr>
          <w:lang w:val="en_US" w:bidi="en_US"/>
        </w:rPr>
        <w:t>Kankanaey back translation on TW.</w:t>
      </w:r>
    </w:p>
    <w:p>
      <w:pPr/>
      <w:r>
        <w:rPr>
          <w:lang w:val="en_US" w:bidi="en_US"/>
        </w:rPr>
      </w:r>
      <w:r>
        <w:rPr>
          <w:lang w:val="en_US" w:bidi="en_US"/>
        </w:rPr>
        <w:t>they</w:t>
      </w:r>
      <w:r>
        <w:rPr>
          <w:lang w:val="en_US" w:bidi="en_US"/>
        </w:rPr>
        <w:t xml:space="preserve"> will not leave even one stone on another one</w:t>
      </w:r>
    </w:p>
    <w:p>
      <w:pPr/>
      <w:r>
        <w:rPr>
          <w:lang w:val="en_US" w:bidi="en_US"/>
        </w:rPr>
      </w:r>
      <w:r>
        <w:rPr>
          <w:lang w:val="en_US" w:bidi="en_US"/>
        </w:rPr>
        <w:t>there will no longer be one stone on top of the other</w:t>
      </w:r>
      <w:r>
        <w:rPr>
          <w:lang w:val="en_US" w:bidi="en_US"/>
        </w:rPr>
        <w:t>Uma back translation on TW.</w:t>
      </w:r>
    </w:p>
    <w:p>
      <w:pPr/>
      <w:r>
        <w:rPr>
          <w:lang w:val="en_US" w:bidi="en_US"/>
        </w:rPr>
      </w:r>
      <w:r>
        <w:rPr>
          <w:b/>
          <w:lang w:val="en_US" w:bidi="en_US"/>
        </w:rPr>
        <w:t>every one will be thrown down:</w:t>
      </w:r>
      <w:r>
        <w:rPr>
          <w:lang w:val="en_US" w:bidi="en_US"/>
        </w:rPr>
        <w:t xml:space="preserve"> The Greek verb that the BSB translates as </w:t>
      </w:r>
      <w:r>
        <w:rPr>
          <w:i/>
          <w:lang w:val="en_US" w:bidi="en_US"/>
        </w:rPr>
        <w:t>will be thrown down</w:t>
      </w:r>
      <w:r>
        <w:rPr>
          <w:lang w:val="en_US" w:bidi="en_US"/>
        </w:rPr>
        <w:t xml:space="preserve"> means to destroy completely by tearing down and dismantling. Other ways to translate this word are:</w:t>
      </w:r>
    </w:p>
    <w:p>
      <w:pPr/>
      <w:r>
        <w:rPr>
          <w:lang w:val="en_US" w:bidi="en_US"/>
        </w:rPr>
      </w:r>
      <w:r>
        <w:rPr>
          <w:lang w:val="en_US" w:bidi="en_US"/>
        </w:rPr>
        <w:t>will be torn down (GW)</w:t>
      </w:r>
    </w:p>
    <w:p>
      <w:pPr/>
      <w:r>
        <w:rPr>
          <w:lang w:val="en_US" w:bidi="en_US"/>
        </w:rPr>
      </w:r>
      <w:r>
        <w:rPr>
          <w:lang w:val="en_US" w:bidi="en_US"/>
        </w:rPr>
        <w:t xml:space="preserve">will be knocked down </w:t>
      </w:r>
      <w:r>
        <w:rPr>
          <w:lang w:val="en_US" w:bidi="en_US"/>
        </w:rPr>
        <w:t>to the ground</w:t>
      </w:r>
    </w:p>
    <w:p>
      <w:pPr/>
      <w:r>
        <w:rPr>
          <w:lang w:val="en_US" w:bidi="en_US"/>
        </w:rPr>
      </w:r>
      <w:r>
        <w:rPr>
          <w:lang w:val="en_US" w:bidi="en_US"/>
        </w:rPr>
        <w:t>This is a passive clause. In some languages it may be necessary to use an active verb and supply a subject. In 19:43–44 Jesus said that the enemies of the Jews would do this. So here you may use a similar subject as you did there. For example:</w:t>
      </w:r>
    </w:p>
    <w:p>
      <w:pPr/>
      <w:r>
        <w:rPr>
          <w:lang w:val="en_US" w:bidi="en_US"/>
        </w:rPr>
      </w:r>
      <w:r>
        <w:rPr>
          <w:lang w:val="en_US" w:bidi="en_US"/>
        </w:rPr>
        <w:t xml:space="preserve">when </w:t>
      </w:r>
      <w:r>
        <w:rPr>
          <w:lang w:val="en_US" w:bidi="en_US"/>
        </w:rPr>
        <w:t>enemy armies</w:t>
      </w:r>
      <w:r>
        <w:rPr>
          <w:lang w:val="en_US" w:bidi="en_US"/>
        </w:rPr>
        <w:t xml:space="preserve"> will not leave one stone upon another…</w:t>
      </w:r>
    </w:p>
    <w:p>
      <w:pPr>
        <w:pStyle w:val="Heading6"/>
      </w:pPr>
      <w:r>
        <w:rPr>
          <w:b/>
          <w:lang w:val="en_US" w:bidi="en_US"/>
        </w:rPr>
        <w:t>General Comment on 21:6b–c</w:t>
      </w:r>
    </w:p>
    <w:p>
      <w:pPr/>
      <w:r>
        <w:rPr>
          <w:lang w:val="en_US" w:bidi="en_US"/>
        </w:rPr>
      </w:r>
      <w:r>
        <w:rPr>
          <w:lang w:val="en_US" w:bidi="en_US"/>
        </w:rPr>
        <w:t>In some languages it may be more natural to change the order of 21:6b and 21:6c. For example:</w:t>
      </w:r>
    </w:p>
    <w:p>
      <w:pPr/>
      <w:r>
        <w:rPr>
          <w:lang w:val="en_US" w:bidi="en_US"/>
        </w:rPr>
      </w:r>
      <w:r>
        <w:rPr>
          <w:vertAlign w:val="superscript"/>
          <w:lang w:val="en_US" w:bidi="en_US"/>
        </w:rPr>
        <w:t>6c</w:t>
      </w:r>
      <w:r>
        <w:rPr>
          <w:lang w:val="en_US" w:bidi="en_US"/>
        </w:rPr>
        <w:t xml:space="preserve">everything </w:t>
      </w:r>
      <w:r>
        <w:rPr>
          <w:lang w:val="en_US" w:bidi="en_US"/>
        </w:rPr>
        <w:t>you see/admire here</w:t>
      </w:r>
      <w:r>
        <w:rPr>
          <w:lang w:val="en_US" w:bidi="en_US"/>
        </w:rPr>
        <w:t xml:space="preserve"> will be destroyed, </w:t>
      </w:r>
      <w:r>
        <w:rPr>
          <w:vertAlign w:val="superscript"/>
          <w:lang w:val="en_US" w:bidi="en_US"/>
        </w:rPr>
        <w:t>6b</w:t>
      </w:r>
      <w:r>
        <w:rPr>
          <w:lang w:val="en_US" w:bidi="en_US"/>
        </w:rPr>
        <w:t>and nothing will be left</w:t>
      </w:r>
    </w:p>
    <w:p>
      <w:pPr/>
      <w:r>
        <w:rPr>
          <w:lang w:val="en_US" w:bidi="en_US"/>
        </w:rPr>
      </w:r>
      <w:r>
        <w:rPr>
          <w:lang w:val="en_US" w:bidi="en_US"/>
        </w:rPr>
        <w:t>In other languages it may be more natural to make one emphatic statement. For example:</w:t>
      </w:r>
    </w:p>
    <w:p>
      <w:pPr/>
      <w:r>
        <w:rPr>
          <w:lang w:val="en_US" w:bidi="en_US"/>
        </w:rPr>
      </w:r>
      <w:r>
        <w:rPr>
          <w:lang w:val="en_US" w:bidi="en_US"/>
        </w:rPr>
        <w:t>this temple will be completely destroyed</w:t>
      </w:r>
      <w:r>
        <w:rPr>
          <w:lang w:val="en_US" w:bidi="en_US"/>
        </w:rPr>
      </w:r>
      <w:r>
        <w:rPr>
          <w:lang w:val="en_US" w:bidi="en_US"/>
        </w:rPr>
      </w:r>
    </w:p>
    <w:p>
      <w:pPr/>
      <w:r>
        <w:rPr>
          <w:lang w:val="en_US" w:bidi="en_US"/>
        </w:rPr>
      </w:r>
    </w:p>
    <w:p>
      <w:pPr>
        <w:pStyle w:val="Heading2"/>
      </w:pPr>
      <w:r>
        <w:rPr>
          <w:lang w:val="en_US" w:bidi="en_US"/>
        </w:rPr>
        <w:t>Luke 21:7</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21:7a</w:t>
      </w:r>
    </w:p>
    <w:p>
      <w:pPr/>
      <w:r>
        <w:rPr>
          <w:lang w:val="en_US" w:bidi="en_US"/>
        </w:rPr>
      </w:r>
      <w:r>
        <w:rPr>
          <w:b/>
          <w:lang w:val="en_US" w:bidi="en_US"/>
        </w:rPr>
        <w:t>“Teacher,” they asked, “when will these things happen?</w:t>
      </w:r>
    </w:p>
    <w:p>
      <w:pPr>
        <w:pStyle w:val="ListBullet"/>
        <w:spacing w:line="240" w:lineRule="auto"/>
        <w:ind w:left="720"/>
      </w:pPr>
      <w:r>
        <w:rPr>
          <w:lang w:val="en_US" w:bidi="en_US"/>
        </w:rPr>
      </w:r>
      <w:r>
        <w:rPr>
          <w:lang w:val="en_US" w:bidi="en_US"/>
        </w:rPr>
        <w:t>¶ They asked him, “Teacher, when will these things happen,</w:t>
      </w:r>
    </w:p>
    <w:p>
      <w:pPr>
        <w:pStyle w:val="ListBullet"/>
        <w:spacing w:line="240" w:lineRule="auto"/>
        <w:ind w:left="720"/>
      </w:pPr>
      <w:r>
        <w:rPr>
          <w:lang w:val="en_US" w:bidi="en_US"/>
        </w:rPr>
      </w:r>
      <w:r>
        <w:rPr>
          <w:lang w:val="en_US" w:bidi="en_US"/>
        </w:rPr>
        <w:t xml:space="preserve">¶ So/And the disciples asked, “Master, when will </w:t>
      </w:r>
      <w:r>
        <w:rPr>
          <w:lang w:val="en_US" w:bidi="en_US"/>
        </w:rPr>
        <w:t>all</w:t>
      </w:r>
      <w:r>
        <w:rPr>
          <w:lang w:val="en_US" w:bidi="en_US"/>
        </w:rPr>
        <w:t xml:space="preserve"> these events happen?</w:t>
      </w:r>
    </w:p>
    <w:p>
      <w:pPr>
        <w:pStyle w:val="ListBullet"/>
        <w:spacing w:line="240" w:lineRule="auto"/>
        <w:ind w:left="720"/>
      </w:pPr>
      <w:r>
        <w:rPr>
          <w:lang w:val="en_US" w:bidi="en_US"/>
        </w:rPr>
      </w:r>
      <w:r>
        <w:rPr>
          <w:lang w:val="en_US" w:bidi="en_US"/>
        </w:rPr>
        <w:t xml:space="preserve">¶ </w:t>
      </w:r>
      <w:r>
        <w:rPr>
          <w:lang w:val="en_US" w:bidi="en_US"/>
        </w:rPr>
        <w:t>The disciples</w:t>
      </w:r>
      <w:r>
        <w:rPr>
          <w:lang w:val="en_US" w:bidi="en_US"/>
        </w:rPr>
        <w:t xml:space="preserve"> asked, “Lord, when will </w:t>
      </w:r>
      <w:r>
        <w:rPr>
          <w:lang w:val="en_US" w:bidi="en_US"/>
        </w:rPr>
        <w:t>they</w:t>
      </w:r>
      <w:r>
        <w:rPr>
          <w:lang w:val="en_US" w:bidi="en_US"/>
        </w:rPr>
        <w:t xml:space="preserve"> do this?</w:t>
      </w:r>
    </w:p>
    <w:p>
      <w:pPr/>
      <w:r>
        <w:rPr>
          <w:lang w:val="en_US" w:bidi="en_US"/>
        </w:rPr>
      </w:r>
      <w:r>
        <w:rPr>
          <w:b/>
          <w:lang w:val="en_US" w:bidi="en_US"/>
        </w:rPr>
        <w:t>“Teacher,” they asked:</w:t>
      </w:r>
      <w:r>
        <w:rPr>
          <w:lang w:val="en_US" w:bidi="en_US"/>
        </w:rPr>
        <w:t xml:space="preserve"> In the Greek text, the phrase that the BSB translates as </w:t>
      </w:r>
      <w:r>
        <w:rPr>
          <w:i/>
          <w:lang w:val="en_US" w:bidi="en_US"/>
        </w:rPr>
        <w:t>they asked</w:t>
      </w:r>
      <w:r>
        <w:rPr>
          <w:lang w:val="en_US" w:bidi="en_US"/>
        </w:rPr>
        <w:t xml:space="preserve"> is literally “and they asked him, saying.” This phrase comes before the word </w:t>
      </w:r>
      <w:r>
        <w:rPr>
          <w:i/>
          <w:lang w:val="en_US" w:bidi="en_US"/>
        </w:rPr>
        <w:t>Teacher</w:t>
      </w:r>
      <w:r>
        <w:rPr>
          <w:lang w:val="en_US" w:bidi="en_US"/>
        </w:rPr>
        <w:t>. Use a natural order in your language, and introduce the quotation in a natural way. Other ways to do this in English are:</w:t>
      </w:r>
    </w:p>
    <w:p>
      <w:pPr/>
      <w:r>
        <w:rPr>
          <w:lang w:val="en_US" w:bidi="en_US"/>
        </w:rPr>
      </w:r>
      <w:r>
        <w:rPr>
          <w:lang w:val="en_US" w:bidi="en_US"/>
        </w:rPr>
        <w:t>So they asked him, “Teacher…” (NET)</w:t>
      </w:r>
    </w:p>
    <w:p>
      <w:pPr/>
      <w:r>
        <w:rPr>
          <w:lang w:val="en_US" w:bidi="en_US"/>
        </w:rPr>
      </w:r>
      <w:r>
        <w:rPr>
          <w:lang w:val="en_US" w:bidi="en_US"/>
        </w:rPr>
        <w:t xml:space="preserve">Then they questioned him </w:t>
      </w:r>
      <w:r>
        <w:rPr>
          <w:lang w:val="en_US" w:bidi="en_US"/>
        </w:rPr>
        <w:t>about that</w:t>
      </w:r>
      <w:r>
        <w:rPr>
          <w:lang w:val="en_US" w:bidi="en_US"/>
        </w:rPr>
        <w:t>, saying, “Teacher…”</w:t>
      </w:r>
    </w:p>
    <w:p>
      <w:pPr/>
      <w:r>
        <w:rPr>
          <w:lang w:val="en_US" w:bidi="en_US"/>
        </w:rPr>
      </w:r>
      <w:r>
        <w:rPr>
          <w:lang w:val="en_US" w:bidi="en_US"/>
        </w:rPr>
        <w:t>And they put to him this question, “Master,” they said (NJB)</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was a polite title for a Jewish religious leader. In this context the disciples addressed Jesus with respect as their teacher and master. Use a natural title in your language for this context. This title was also used in 18:18. For more information, see the note on 18:18a.</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disciples who had been talking about the temple in 21:5. Refer back to them here in a natural way in your language.</w:t>
      </w:r>
    </w:p>
    <w:p>
      <w:pPr/>
      <w:r>
        <w:rPr>
          <w:lang w:val="en_US" w:bidi="en_US"/>
        </w:rPr>
      </w:r>
      <w:r>
        <w:rPr>
          <w:b/>
          <w:lang w:val="en_US" w:bidi="en_US"/>
        </w:rPr>
        <w:t>when will these things happen?:</w:t>
      </w:r>
      <w:r>
        <w:rPr>
          <w:lang w:val="en_US" w:bidi="en_US"/>
        </w:rPr>
        <w:t xml:space="preserve"> The Greek word that the BSB translates as </w:t>
      </w:r>
      <w:r>
        <w:rPr>
          <w:i/>
          <w:lang w:val="en_US" w:bidi="en_US"/>
        </w:rPr>
        <w:t>these things</w:t>
      </w:r>
      <w:r>
        <w:rPr>
          <w:lang w:val="en_US" w:bidi="en_US"/>
        </w:rPr>
        <w:t xml:space="preserve"> refers primarily to the temple being destroyed. It probably also includes the other events that would happen before and after the destruction of the temple. Some ways to translate the disciples’ question are:</w:t>
      </w:r>
    </w:p>
    <w:p>
      <w:pPr/>
      <w:r>
        <w:rPr>
          <w:lang w:val="en_US" w:bidi="en_US"/>
        </w:rPr>
      </w:r>
      <w:r>
        <w:rPr>
          <w:lang w:val="en_US" w:bidi="en_US"/>
        </w:rPr>
        <w:t>when will these events happen/occur?</w:t>
      </w:r>
    </w:p>
    <w:p>
      <w:pPr/>
      <w:r>
        <w:rPr>
          <w:lang w:val="en_US" w:bidi="en_US"/>
        </w:rPr>
      </w:r>
      <w:r>
        <w:rPr>
          <w:lang w:val="en_US" w:bidi="en_US"/>
        </w:rPr>
        <w:t>when will this be? (GNT)</w:t>
      </w:r>
    </w:p>
    <w:p>
      <w:pPr/>
      <w:r>
        <w:rPr>
          <w:lang w:val="en_US" w:bidi="en_US"/>
        </w:rPr>
      </w:r>
      <w:r>
        <w:rPr>
          <w:lang w:val="en_US" w:bidi="en_US"/>
        </w:rPr>
        <w:t>when will all this happen? (NLT)</w:t>
      </w:r>
    </w:p>
    <w:p>
      <w:pPr/>
      <w:r>
        <w:rPr>
          <w:lang w:val="en_US" w:bidi="en_US"/>
        </w:rPr>
      </w:r>
      <w:r>
        <w:rPr>
          <w:lang w:val="en_US" w:bidi="en_US"/>
        </w:rPr>
        <w:t>In Greek, the question begins with a conjunction that the NASB translates as “therefore.” The BSB and other English versions do not translate this conjunction. Do what is natural here in your language.</w:t>
      </w:r>
    </w:p>
    <w:p>
      <w:pPr>
        <w:pStyle w:val="Heading5"/>
      </w:pPr>
      <w:r>
        <w:rPr>
          <w:lang w:val="en_US" w:bidi="en_US"/>
        </w:rPr>
        <w:t>21:7b</w:t>
      </w:r>
    </w:p>
    <w:p>
      <w:pPr/>
      <w:r>
        <w:rPr>
          <w:lang w:val="en_US" w:bidi="en_US"/>
        </w:rPr>
      </w:r>
      <w:r>
        <w:rPr>
          <w:b/>
          <w:lang w:val="en_US" w:bidi="en_US"/>
        </w:rPr>
        <w:t>And what will be the sign that they are about to take place?”</w:t>
      </w:r>
    </w:p>
    <w:p>
      <w:pPr>
        <w:pStyle w:val="ListBullet"/>
        <w:spacing w:line="240" w:lineRule="auto"/>
        <w:ind w:left="720"/>
      </w:pPr>
      <w:r>
        <w:rPr>
          <w:lang w:val="en_US" w:bidi="en_US"/>
        </w:rPr>
      </w:r>
      <w:r>
        <w:rPr>
          <w:lang w:val="en_US" w:bidi="en_US"/>
        </w:rPr>
        <w:t>and what sign will show/indicate that they are about to happen?”</w:t>
      </w:r>
    </w:p>
    <w:p>
      <w:pPr>
        <w:pStyle w:val="ListBullet"/>
        <w:spacing w:line="240" w:lineRule="auto"/>
        <w:ind w:left="720"/>
      </w:pPr>
      <w:r>
        <w:rPr>
          <w:lang w:val="en_US" w:bidi="en_US"/>
        </w:rPr>
      </w:r>
      <w:r>
        <w:rPr>
          <w:lang w:val="en_US" w:bidi="en_US"/>
        </w:rPr>
        <w:t xml:space="preserve">What will cause/help </w:t>
      </w:r>
      <w:r>
        <w:rPr>
          <w:lang w:val="en_US" w:bidi="en_US"/>
        </w:rPr>
        <w:t>us</w:t>
      </w:r>
      <w:r>
        <w:rPr>
          <w:vertAlign w:val="superscript"/>
          <w:lang w:val="en_US" w:bidi="en_US"/>
        </w:rPr>
        <w:t>(excl)</w:t>
      </w:r>
      <w:r>
        <w:rPr>
          <w:lang w:val="en_US" w:bidi="en_US"/>
        </w:rPr>
        <w:t xml:space="preserve"> to know that these events will soon occur?”</w:t>
      </w:r>
    </w:p>
    <w:p>
      <w:pPr>
        <w:pStyle w:val="ListBullet"/>
        <w:spacing w:line="240" w:lineRule="auto"/>
        <w:ind w:left="720"/>
      </w:pPr>
      <w:r>
        <w:rPr>
          <w:lang w:val="en_US" w:bidi="en_US"/>
        </w:rPr>
      </w:r>
      <w:r>
        <w:rPr>
          <w:lang w:val="en_US" w:bidi="en_US"/>
        </w:rPr>
        <w:t xml:space="preserve">What will show </w:t>
      </w:r>
      <w:r>
        <w:rPr>
          <w:lang w:val="en_US" w:bidi="en_US"/>
        </w:rPr>
        <w:t>us</w:t>
      </w:r>
      <w:r>
        <w:rPr>
          <w:vertAlign w:val="superscript"/>
          <w:lang w:val="en_US" w:bidi="en_US"/>
        </w:rPr>
        <w:t>(excl)</w:t>
      </w:r>
      <w:r>
        <w:rPr>
          <w:lang w:val="en_US" w:bidi="en_US"/>
        </w:rPr>
        <w:t xml:space="preserve"> that its time has come/arrived?”</w:t>
      </w:r>
    </w:p>
    <w:p>
      <w:pPr/>
      <w:r>
        <w:rPr>
          <w:lang w:val="en_US" w:bidi="en_US"/>
        </w:rPr>
      </w:r>
      <w:r>
        <w:rPr>
          <w:b/>
          <w:lang w:val="en_US" w:bidi="en_US"/>
        </w:rPr>
        <w:t>what will be the sign that they are about to take place?:</w:t>
      </w:r>
      <w:r>
        <w:rPr>
          <w:lang w:val="en_US" w:bidi="en_US"/>
        </w:rPr>
        <w:t xml:space="preserve"> Here the disciples asked Jesus what sign would indicate that the events are about to happen. The Greek word that the BSB translates as </w:t>
      </w:r>
      <w:r>
        <w:rPr>
          <w:i/>
          <w:lang w:val="en_US" w:bidi="en_US"/>
        </w:rPr>
        <w:t>sign</w:t>
      </w:r>
      <w:r>
        <w:rPr>
          <w:lang w:val="en_US" w:bidi="en_US"/>
        </w:rPr>
        <w:t xml:space="preserve"> refers here to a signal or indication. In this context the </w:t>
      </w:r>
      <w:r>
        <w:rPr>
          <w:i/>
          <w:lang w:val="en_US" w:bidi="en_US"/>
        </w:rPr>
        <w:t>sign</w:t>
      </w:r>
      <w:r>
        <w:rPr>
          <w:lang w:val="en_US" w:bidi="en_US"/>
        </w:rPr>
        <w:t xml:space="preserve"> refers to an event or other indication that will show that the statement in 21:6 will soon happen. Other ways to translate the question are:</w:t>
      </w:r>
    </w:p>
    <w:p>
      <w:pPr/>
      <w:r>
        <w:rPr>
          <w:lang w:val="en_US" w:bidi="en_US"/>
        </w:rPr>
      </w:r>
      <w:r>
        <w:rPr>
          <w:lang w:val="en_US" w:bidi="en_US"/>
        </w:rPr>
        <w:t>…what will happen in order to show that the time has come for it to take place? (GNT)</w:t>
      </w:r>
    </w:p>
    <w:p>
      <w:pPr/>
      <w:r>
        <w:rPr>
          <w:lang w:val="en_US" w:bidi="en_US"/>
        </w:rPr>
      </w:r>
      <w:r>
        <w:rPr>
          <w:lang w:val="en_US" w:bidi="en_US"/>
        </w:rPr>
        <w:t>…what will we see, so that we may know that these things will soon happen?</w:t>
      </w:r>
    </w:p>
    <w:p>
      <w:pPr/>
      <w:r>
        <w:rPr>
          <w:lang w:val="en_US" w:bidi="en_US"/>
        </w:rPr>
      </w:r>
      <w:r>
        <w:rPr>
          <w:lang w:val="en_US" w:bidi="en_US"/>
        </w:rPr>
        <w:t xml:space="preserve">The word </w:t>
      </w:r>
      <w:r>
        <w:rPr>
          <w:i/>
          <w:lang w:val="en_US" w:bidi="en_US"/>
        </w:rPr>
        <w:t>sign</w:t>
      </w:r>
      <w:r>
        <w:rPr>
          <w:lang w:val="en_US" w:bidi="en_US"/>
        </w:rPr>
        <w:t xml:space="preserve"> also occurs in 2:12, 2:34, 11:16, 11:29–30. See how you translated it there. Consider whether you should translate it in the same way here. You may need to translate it differently to fit this context.</w:t>
      </w:r>
    </w:p>
    <w:p>
      <w:pPr/>
      <w:r>
        <w:rPr>
          <w:lang w:val="en_US" w:bidi="en_US"/>
        </w:rPr>
      </w:r>
      <w:r>
        <w:rPr>
          <w:b/>
          <w:lang w:val="en_US" w:bidi="en_US"/>
        </w:rPr>
        <w:t>that they are about to take place?:</w:t>
      </w:r>
      <w:r>
        <w:rPr>
          <w:lang w:val="en_US" w:bidi="en_US"/>
        </w:rPr>
        <w:t xml:space="preserve"> The phrase </w:t>
      </w:r>
      <w:r>
        <w:rPr>
          <w:i/>
          <w:lang w:val="en_US" w:bidi="en_US"/>
        </w:rPr>
        <w:t>they are about to take place</w:t>
      </w:r>
      <w:r>
        <w:rPr>
          <w:lang w:val="en_US" w:bidi="en_US"/>
        </w:rPr>
        <w:t xml:space="preserve"> is literally “they will very-soon be accomplished.” It indicates that these events would soon happen.</w:t>
      </w:r>
      <w:r>
        <w:rPr>
          <w:lang w:val="en_US" w:bidi="en_US"/>
        </w:rPr>
      </w:r>
      <w:r>
        <w:rPr>
          <w:lang w:val="en_US" w:bidi="en_US"/>
        </w:rPr>
      </w:r>
    </w:p>
    <w:p>
      <w:pPr/>
      <w:r>
        <w:rPr>
          <w:lang w:val="en_US" w:bidi="en_US"/>
        </w:rPr>
      </w:r>
    </w:p>
    <w:p>
      <w:pPr>
        <w:pStyle w:val="Heading2"/>
      </w:pPr>
      <w:r>
        <w:rPr>
          <w:lang w:val="en_US" w:bidi="en_US"/>
        </w:rPr>
        <w:t>Luke 21:8</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21:8–11</w:t>
      </w:r>
    </w:p>
    <w:p>
      <w:pPr/>
      <w:r>
        <w:rPr>
          <w:lang w:val="en_US" w:bidi="en_US"/>
        </w:rPr>
      </w:r>
      <w:r>
        <w:rPr>
          <w:lang w:val="en_US" w:bidi="en_US"/>
        </w:rPr>
        <w:t>In these verses, Jesus told his disciples about terrible events that would occur after he left this world and before he will return to it. Jesus said that during that time certain persons would falsely claim to be the Messiah. There would be wars, famines, and earthquakes. Jesus wanted his disciples to understand that it was very important to remain faithful to God during these times of suffering.</w:t>
      </w:r>
    </w:p>
    <w:p>
      <w:pPr/>
      <w:r>
        <w:rPr>
          <w:lang w:val="en_US" w:bidi="en_US"/>
        </w:rPr>
      </w:r>
      <w:r>
        <w:rPr>
          <w:lang w:val="en_US" w:bidi="en_US"/>
        </w:rPr>
        <w:t>The parallel passages for 21:8–11 are Matthew 24:4–8 and Mark 13:5–8.</w:t>
      </w:r>
    </w:p>
    <w:p>
      <w:pPr>
        <w:pStyle w:val="Heading5"/>
      </w:pPr>
      <w:r>
        <w:rPr>
          <w:lang w:val="en_US" w:bidi="en_US"/>
        </w:rPr>
        <w:t>21:8a</w:t>
      </w:r>
    </w:p>
    <w:p>
      <w:pPr/>
      <w:r>
        <w:rPr>
          <w:lang w:val="en_US" w:bidi="en_US"/>
        </w:rPr>
      </w:r>
      <w:r>
        <w:rPr>
          <w:b/>
          <w:lang w:val="en_US" w:bidi="en_US"/>
        </w:rPr>
        <w:t>Jesus answered, “See to it that you are not deceived.</w:t>
      </w:r>
    </w:p>
    <w:p>
      <w:pPr>
        <w:pStyle w:val="ListBullet"/>
        <w:spacing w:line="240" w:lineRule="auto"/>
        <w:ind w:left="720"/>
      </w:pPr>
      <w:r>
        <w:rPr>
          <w:lang w:val="en_US" w:bidi="en_US"/>
        </w:rPr>
      </w:r>
      <w:r>
        <w:rPr>
          <w:lang w:val="en_US" w:bidi="en_US"/>
        </w:rPr>
        <w:t xml:space="preserve">Then/So he said </w:t>
      </w:r>
      <w:r>
        <w:rPr>
          <w:lang w:val="en_US" w:bidi="en_US"/>
        </w:rPr>
        <w:t>to them</w:t>
      </w:r>
      <w:r>
        <w:rPr>
          <w:lang w:val="en_US" w:bidi="en_US"/>
        </w:rPr>
        <w:t xml:space="preserve">, “Be careful that </w:t>
      </w:r>
      <w:r>
        <w:rPr>
          <w:lang w:val="en_US" w:bidi="en_US"/>
        </w:rPr>
        <w:t>no one</w:t>
      </w:r>
      <w:r>
        <w:rPr>
          <w:lang w:val="en_US" w:bidi="en_US"/>
        </w:rPr>
        <w:t xml:space="preserve"> deceives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Jesus</w:t>
      </w:r>
      <w:r>
        <w:rPr>
          <w:lang w:val="en_US" w:bidi="en_US"/>
        </w:rPr>
        <w:t xml:space="preserve"> answered them, “Make sure that you</w:t>
      </w:r>
      <w:r>
        <w:rPr>
          <w:vertAlign w:val="superscript"/>
          <w:lang w:val="en_US" w:bidi="en_US"/>
        </w:rPr>
        <w:t>(plur)</w:t>
      </w:r>
      <w:r>
        <w:rPr>
          <w:lang w:val="en_US" w:bidi="en_US"/>
        </w:rPr>
        <w:t xml:space="preserve"> do not allow </w:t>
      </w:r>
      <w:r>
        <w:rPr>
          <w:lang w:val="en_US" w:bidi="en_US"/>
        </w:rPr>
        <w:t>people</w:t>
      </w:r>
      <w:r>
        <w:rPr>
          <w:lang w:val="en_US" w:bidi="en_US"/>
        </w:rPr>
        <w:t xml:space="preserve"> to fool/trick you</w:t>
      </w:r>
      <w:r>
        <w:rPr>
          <w:vertAlign w:val="superscript"/>
          <w:lang w:val="en_US" w:bidi="en_US"/>
        </w:rPr>
        <w:t>(plur)</w:t>
      </w:r>
      <w:r>
        <w:rPr>
          <w:lang w:val="en_US" w:bidi="en_US"/>
        </w:rPr>
        <w:t xml:space="preserve"> </w:t>
      </w:r>
      <w:r>
        <w:rPr>
          <w:lang w:val="en_US" w:bidi="en_US"/>
        </w:rPr>
        <w:t>with teaching that is not true</w:t>
      </w:r>
      <w:r>
        <w:rPr>
          <w:lang w:val="en_US" w:bidi="en_US"/>
        </w:rPr>
        <w:t>.</w:t>
      </w:r>
    </w:p>
    <w:p>
      <w:pPr/>
      <w:r>
        <w:rPr>
          <w:lang w:val="en_US" w:bidi="en_US"/>
        </w:rPr>
      </w:r>
      <w:r>
        <w:rPr>
          <w:b/>
          <w:lang w:val="en_US" w:bidi="en_US"/>
        </w:rPr>
        <w:t>Jesus answered:</w:t>
      </w:r>
      <w:r>
        <w:rPr>
          <w:lang w:val="en_US" w:bidi="en_US"/>
        </w:rPr>
        <w:t xml:space="preserve"> The Greek phrase that the BSB translates as </w:t>
      </w:r>
      <w:r>
        <w:rPr>
          <w:i/>
          <w:lang w:val="en_US" w:bidi="en_US"/>
        </w:rPr>
        <w:t>Jesus answered</w:t>
      </w:r>
      <w:r>
        <w:rPr>
          <w:lang w:val="en_US" w:bidi="en_US"/>
        </w:rPr>
        <w:t xml:space="preserve"> is literally “And he said.” Here, “he” refers to Jesus. The verb </w:t>
      </w:r>
      <w:r>
        <w:rPr>
          <w:i/>
          <w:lang w:val="en_US" w:bidi="en_US"/>
        </w:rPr>
        <w:t>answered</w:t>
      </w:r>
      <w:r>
        <w:rPr>
          <w:lang w:val="en_US" w:bidi="en_US"/>
        </w:rPr>
        <w:t xml:space="preserve"> introduces Jesus’ reply to the question that the disciples asked him. Introduce it in a natural way in your language.</w:t>
      </w:r>
    </w:p>
    <w:p>
      <w:pPr/>
      <w:r>
        <w:rPr>
          <w:lang w:val="en_US" w:bidi="en_US"/>
        </w:rPr>
      </w:r>
      <w:r>
        <w:rPr>
          <w:b/>
          <w:lang w:val="en_US" w:bidi="en_US"/>
        </w:rPr>
        <w:t>See to it that you are not deceived:</w:t>
      </w:r>
      <w:r>
        <w:rPr>
          <w:lang w:val="en_US" w:bidi="en_US"/>
        </w:rPr>
        <w:t xml:space="preserve"> The Greek verb that the BSB translates as </w:t>
      </w:r>
      <w:r>
        <w:rPr>
          <w:i/>
          <w:lang w:val="en_US" w:bidi="en_US"/>
        </w:rPr>
        <w:t>See to it</w:t>
      </w:r>
      <w:r>
        <w:rPr>
          <w:lang w:val="en_US" w:bidi="en_US"/>
        </w:rPr>
        <w:t xml:space="preserve"> is literally “See.” Here it is a command to the disciples to be watchful and aware of possible danger. This danger is explained later in the verse. People would try to deceive them. They had to be watchful and protect themselves from being deceived. Other ways to translate this command are:</w:t>
      </w:r>
    </w:p>
    <w:p>
      <w:pPr/>
      <w:r>
        <w:rPr>
          <w:lang w:val="en_US" w:bidi="en_US"/>
        </w:rPr>
      </w:r>
      <w:r>
        <w:rPr>
          <w:lang w:val="en_US" w:bidi="en_US"/>
        </w:rPr>
        <w:t>See that you are not led astray (ESV)</w:t>
      </w:r>
    </w:p>
    <w:p>
      <w:pPr/>
      <w:r>
        <w:rPr>
          <w:lang w:val="en_US" w:bidi="en_US"/>
        </w:rPr>
      </w:r>
      <w:r>
        <w:rPr>
          <w:lang w:val="en_US" w:bidi="en_US"/>
        </w:rPr>
        <w:t>Be careful that you are not deceived (GW)</w:t>
      </w:r>
    </w:p>
    <w:p>
      <w:pPr/>
      <w:r>
        <w:rPr>
          <w:lang w:val="en_US" w:bidi="en_US"/>
        </w:rPr>
      </w:r>
      <w:r>
        <w:rPr>
          <w:lang w:val="en_US" w:bidi="en_US"/>
        </w:rPr>
        <w:t>Watch out; don’t be fooled (GNT)</w:t>
      </w:r>
    </w:p>
    <w:p>
      <w:pPr/>
      <w:r>
        <w:rPr>
          <w:lang w:val="en_US" w:bidi="en_US"/>
        </w:rPr>
      </w:r>
      <w:r>
        <w:rPr>
          <w:b/>
          <w:lang w:val="en_US" w:bidi="en_US"/>
        </w:rPr>
        <w:t>that you are not deceived:</w:t>
      </w:r>
      <w:r>
        <w:rPr>
          <w:lang w:val="en_US" w:bidi="en_US"/>
        </w:rPr>
        <w:t xml:space="preserve"> The Greek clause that the BSB translates as </w:t>
      </w:r>
      <w:r>
        <w:rPr>
          <w:i/>
          <w:lang w:val="en_US" w:bidi="en_US"/>
        </w:rPr>
        <w:t>that you are not deceived</w:t>
      </w:r>
      <w:r>
        <w:rPr>
          <w:lang w:val="en_US" w:bidi="en_US"/>
        </w:rPr>
        <w:t xml:space="preserve"> is passive. In this context it indicates that the disciples should not allow anyone or anything to cause them to believe something that is not true. Some ways to translate this clause are:</w:t>
      </w:r>
    </w:p>
    <w:p>
      <w:pPr>
        <w:pStyle w:val="ListBullet"/>
        <w:spacing w:line="240" w:lineRule="auto"/>
        <w:ind w:left="720"/>
      </w:pPr>
      <w:r>
        <w:rPr>
          <w:lang w:val="en_US" w:bidi="en_US"/>
        </w:rPr>
      </w:r>
      <w:r>
        <w:rPr>
          <w:lang w:val="en_US" w:bidi="en_US"/>
        </w:rPr>
        <w:t>As a passive clause. For example:</w:t>
      </w:r>
      <w:r>
        <w:rPr>
          <w:lang w:val="en_US" w:bidi="en_US"/>
        </w:rPr>
        <w:t>don’t be fooled (GNT)</w:t>
      </w:r>
      <w:r>
        <w:rPr>
          <w:lang w:val="en_US" w:bidi="en_US"/>
        </w:rPr>
        <w:t>that you are not misled (REB)</w:t>
      </w:r>
    </w:p>
    <w:p>
      <w:pPr>
        <w:pStyle w:val="ListBullet"/>
        <w:spacing w:line="240" w:lineRule="auto"/>
        <w:ind w:left="720"/>
      </w:pPr>
      <w:r>
        <w:rPr>
          <w:lang w:val="en_US" w:bidi="en_US"/>
        </w:rPr>
      </w:r>
      <w:r>
        <w:rPr>
          <w:lang w:val="en_US" w:bidi="en_US"/>
        </w:rPr>
        <w:t>As an active clause. For example:</w:t>
      </w:r>
      <w:r>
        <w:rPr>
          <w:lang w:val="en_US" w:bidi="en_US"/>
        </w:rPr>
        <w:t>Don’t let anyone mislead you…. (NLT)</w:t>
      </w:r>
      <w:r>
        <w:rPr>
          <w:lang w:val="en_US" w:bidi="en_US"/>
        </w:rPr>
        <w:t xml:space="preserve">Be careful that </w:t>
      </w:r>
      <w:r>
        <w:rPr>
          <w:lang w:val="en_US" w:bidi="en_US"/>
        </w:rPr>
        <w:t>people</w:t>
      </w:r>
      <w:r>
        <w:rPr>
          <w:lang w:val="en_US" w:bidi="en_US"/>
        </w:rPr>
        <w:t xml:space="preserve"> do not deceive/mislead you.</w:t>
      </w:r>
    </w:p>
    <w:p>
      <w:pPr>
        <w:pStyle w:val="Heading5"/>
      </w:pPr>
      <w:r>
        <w:rPr>
          <w:lang w:val="en_US" w:bidi="en_US"/>
        </w:rPr>
        <w:t>21:8b</w:t>
      </w:r>
    </w:p>
    <w:p>
      <w:pPr/>
      <w:r>
        <w:rPr>
          <w:lang w:val="en_US" w:bidi="en_US"/>
        </w:rPr>
      </w:r>
      <w:r>
        <w:rPr>
          <w:b/>
          <w:lang w:val="en_US" w:bidi="en_US"/>
        </w:rPr>
        <w:t>For many will come in My name, claiming,</w:t>
      </w:r>
    </w:p>
    <w:p>
      <w:pPr>
        <w:pStyle w:val="ListBullet"/>
        <w:spacing w:line="240" w:lineRule="auto"/>
        <w:ind w:left="720"/>
      </w:pPr>
      <w:r>
        <w:rPr>
          <w:lang w:val="en_US" w:bidi="en_US"/>
        </w:rPr>
      </w:r>
      <w:r>
        <w:rPr>
          <w:lang w:val="en_US" w:bidi="en_US"/>
        </w:rPr>
        <w:t xml:space="preserve">Many people will come, claiming to </w:t>
      </w:r>
      <w:r>
        <w:rPr>
          <w:lang w:val="en_US" w:bidi="en_US"/>
        </w:rPr>
        <w:t>speak</w:t>
      </w:r>
      <w:r>
        <w:rPr>
          <w:lang w:val="en_US" w:bidi="en_US"/>
        </w:rPr>
        <w:t xml:space="preserve"> in my name. </w:t>
      </w:r>
      <w:r>
        <w:rPr>
          <w:lang w:val="en_US" w:bidi="en_US"/>
        </w:rPr>
        <w:t>Each of them</w:t>
      </w:r>
      <w:r>
        <w:rPr>
          <w:lang w:val="en_US" w:bidi="en_US"/>
        </w:rPr>
        <w:t xml:space="preserve"> will say,</w:t>
      </w:r>
    </w:p>
    <w:p>
      <w:pPr>
        <w:pStyle w:val="ListBullet"/>
        <w:spacing w:line="240" w:lineRule="auto"/>
        <w:ind w:left="720"/>
      </w:pPr>
      <w:r>
        <w:rPr>
          <w:lang w:val="en_US" w:bidi="en_US"/>
        </w:rPr>
      </w:r>
      <w:r>
        <w:rPr>
          <w:lang w:val="en_US" w:bidi="en_US"/>
        </w:rPr>
        <w:t>I say this</w:t>
      </w:r>
      <w:r>
        <w:rPr>
          <w:lang w:val="en_US" w:bidi="en_US"/>
        </w:rPr>
        <w:t xml:space="preserve"> because </w:t>
      </w:r>
      <w:r>
        <w:rPr>
          <w:lang w:val="en_US" w:bidi="en_US"/>
        </w:rPr>
        <w:t>in the future,</w:t>
      </w:r>
      <w:r>
        <w:rPr>
          <w:lang w:val="en_US" w:bidi="en_US"/>
        </w:rPr>
        <w:t xml:space="preserve"> many people will </w:t>
      </w:r>
      <w:r>
        <w:rPr>
          <w:lang w:val="en_US" w:bidi="en_US"/>
        </w:rPr>
        <w:t>falsely</w:t>
      </w:r>
      <w:r>
        <w:rPr>
          <w:lang w:val="en_US" w:bidi="en_US"/>
        </w:rPr>
        <w:t xml:space="preserve"> say that they have my authority. </w:t>
      </w:r>
      <w:r>
        <w:rPr>
          <w:lang w:val="en_US" w:bidi="en_US"/>
        </w:rPr>
        <w:t>They will claim</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for what Jesus told his disciples in 21:8a. Connect this reason to 21:8a in a way that is natural in your language. Another way to do this in English is:</w:t>
      </w:r>
    </w:p>
    <w:p>
      <w:pPr/>
      <w:r>
        <w:rPr>
          <w:lang w:val="en_US" w:bidi="en_US"/>
        </w:rPr>
      </w:r>
      <w:r>
        <w:rPr>
          <w:lang w:val="en_US" w:bidi="en_US"/>
        </w:rPr>
        <w:t>I say this</w:t>
      </w:r>
      <w:r>
        <w:rPr>
          <w:lang w:val="en_US" w:bidi="en_US"/>
        </w:rPr>
        <w:t xml:space="preserve"> because</w:t>
      </w:r>
    </w:p>
    <w:p>
      <w:pPr/>
      <w:r>
        <w:rPr>
          <w:lang w:val="en_US" w:bidi="en_US"/>
        </w:rPr>
      </w:r>
      <w:r>
        <w:rPr>
          <w:b/>
          <w:lang w:val="en_US" w:bidi="en_US"/>
        </w:rPr>
        <w:t>many will come in My name, claiming:</w:t>
      </w:r>
      <w:r>
        <w:rPr>
          <w:lang w:val="en_US" w:bidi="en_US"/>
        </w:rPr>
        <w:t xml:space="preserve"> The words </w:t>
      </w:r>
      <w:r>
        <w:rPr>
          <w:i/>
          <w:lang w:val="en_US" w:bidi="en_US"/>
        </w:rPr>
        <w:t>many will come in My name, claiming</w:t>
      </w:r>
      <w:r>
        <w:rPr>
          <w:lang w:val="en_US" w:bidi="en_US"/>
        </w:rPr>
        <w:t xml:space="preserve"> indicate that many men will say in public that they have Jesus’ authority. In this context the phrase </w:t>
      </w:r>
      <w:r>
        <w:rPr>
          <w:i/>
          <w:lang w:val="en_US" w:bidi="en_US"/>
        </w:rPr>
        <w:t>will come</w:t>
      </w:r>
      <w:r>
        <w:rPr>
          <w:lang w:val="en_US" w:bidi="en_US"/>
        </w:rPr>
        <w:t xml:space="preserve"> introduces these men as people who will do and say things in the future. It does not indicate that they will come to any particular place. Some other ways to translate this clause are:</w:t>
      </w:r>
    </w:p>
    <w:p>
      <w:pPr/>
      <w:r>
        <w:rPr>
          <w:lang w:val="en_US" w:bidi="en_US"/>
        </w:rPr>
      </w:r>
      <w:r>
        <w:rPr>
          <w:lang w:val="en_US" w:bidi="en_US"/>
        </w:rPr>
        <w:t>many will appear, using my name, saying</w:t>
      </w:r>
    </w:p>
    <w:p>
      <w:pPr/>
      <w:r>
        <w:rPr>
          <w:lang w:val="en_US" w:bidi="en_US"/>
        </w:rPr>
      </w:r>
      <w:r>
        <w:rPr>
          <w:lang w:val="en_US" w:bidi="en_US"/>
        </w:rPr>
        <w:t>many men will publicly claim to have my authority. They will say</w:t>
      </w:r>
    </w:p>
    <w:p>
      <w:pPr/>
      <w:r>
        <w:rPr>
          <w:lang w:val="en_US" w:bidi="en_US"/>
        </w:rPr>
      </w:r>
      <w:r>
        <w:rPr>
          <w:b/>
          <w:lang w:val="en_US" w:bidi="en_US"/>
        </w:rPr>
        <w:t>many will come…claiming:</w:t>
      </w:r>
      <w:r>
        <w:rPr>
          <w:lang w:val="en_US" w:bidi="en_US"/>
        </w:rPr>
        <w:t xml:space="preserve"> Here the phrase </w:t>
      </w:r>
      <w:r>
        <w:rPr>
          <w:i/>
          <w:lang w:val="en_US" w:bidi="en_US"/>
        </w:rPr>
        <w:t>many will come</w:t>
      </w:r>
      <w:r>
        <w:rPr>
          <w:lang w:val="en_US" w:bidi="en_US"/>
        </w:rPr>
        <w:t xml:space="preserve"> indicates that many individual men will come at different times. They will not come as a group at the same time. In some languages it may be helpful to make this explicit. For example:</w:t>
      </w:r>
    </w:p>
    <w:p>
      <w:pPr/>
      <w:r>
        <w:rPr>
          <w:lang w:val="en_US" w:bidi="en_US"/>
        </w:rPr>
      </w:r>
      <w:r>
        <w:rPr>
          <w:lang w:val="en_US" w:bidi="en_US"/>
        </w:rPr>
        <w:t>there will be many men who will come…. Each of them will claim…</w:t>
      </w:r>
    </w:p>
    <w:p>
      <w:pPr/>
      <w:r>
        <w:rPr>
          <w:lang w:val="en_US" w:bidi="en_US"/>
        </w:rPr>
      </w:r>
      <w:r>
        <w:rPr>
          <w:b/>
          <w:lang w:val="en_US" w:bidi="en_US"/>
        </w:rPr>
        <w:t>claiming:</w:t>
      </w:r>
      <w:r>
        <w:rPr>
          <w:lang w:val="en_US" w:bidi="en_US"/>
        </w:rPr>
        <w:t xml:space="preserve"> The Greek verb that the BSB translates as </w:t>
      </w:r>
      <w:r>
        <w:rPr>
          <w:i/>
          <w:lang w:val="en_US" w:bidi="en_US"/>
        </w:rPr>
        <w:t>claiming</w:t>
      </w:r>
      <w:r>
        <w:rPr>
          <w:lang w:val="en_US" w:bidi="en_US"/>
        </w:rPr>
        <w:t xml:space="preserve"> is literally “saying.” It introduces the two things that the men will say in 21:8c and 21:8d. Each man will say that he is the Messiah and that the time is near. The BSB uses the word </w:t>
      </w:r>
      <w:r>
        <w:rPr>
          <w:i/>
          <w:lang w:val="en_US" w:bidi="en_US"/>
        </w:rPr>
        <w:t>claiming</w:t>
      </w:r>
      <w:r>
        <w:rPr>
          <w:lang w:val="en_US" w:bidi="en_US"/>
        </w:rPr>
        <w:t xml:space="preserve"> to imply that what they will say is not true. In some languages it may be necessary to indicate that explicitly. For example:</w:t>
      </w:r>
    </w:p>
    <w:p>
      <w:pPr/>
      <w:r>
        <w:rPr>
          <w:lang w:val="en_US" w:bidi="en_US"/>
        </w:rPr>
      </w:r>
      <w:r>
        <w:rPr>
          <w:lang w:val="en_US" w:bidi="en_US"/>
        </w:rPr>
        <w:t>will lie,</w:t>
      </w:r>
      <w:r>
        <w:rPr>
          <w:lang w:val="en_US" w:bidi="en_US"/>
        </w:rPr>
        <w:t xml:space="preserve"> saying</w:t>
      </w:r>
    </w:p>
    <w:p>
      <w:pPr/>
      <w:r>
        <w:rPr>
          <w:lang w:val="en_US" w:bidi="en_US"/>
        </w:rPr>
      </w:r>
      <w:r>
        <w:rPr>
          <w:lang w:val="en_US" w:bidi="en_US"/>
        </w:rPr>
        <w:t xml:space="preserve">will </w:t>
      </w:r>
      <w:r>
        <w:rPr>
          <w:lang w:val="en_US" w:bidi="en_US"/>
        </w:rPr>
        <w:t>falsely</w:t>
      </w:r>
      <w:r>
        <w:rPr>
          <w:lang w:val="en_US" w:bidi="en_US"/>
        </w:rPr>
        <w:t xml:space="preserve"> claim</w:t>
      </w:r>
    </w:p>
    <w:p>
      <w:pPr/>
      <w:r>
        <w:rPr>
          <w:lang w:val="en_US" w:bidi="en_US"/>
        </w:rPr>
      </w:r>
      <w:r>
        <w:rPr>
          <w:lang w:val="en_US" w:bidi="en_US"/>
        </w:rPr>
        <w:t>See the General Comment on 21:8a–e at the end of 21:8e for examples of using indirect speech here.</w:t>
      </w:r>
    </w:p>
    <w:p>
      <w:pPr>
        <w:pStyle w:val="Heading5"/>
      </w:pPr>
      <w:r>
        <w:rPr>
          <w:lang w:val="en_US" w:bidi="en_US"/>
        </w:rPr>
        <w:t>21:8c</w:t>
      </w:r>
    </w:p>
    <w:p>
      <w:pPr/>
      <w:r>
        <w:rPr>
          <w:lang w:val="en_US" w:bidi="en_US"/>
        </w:rPr>
      </w:r>
      <w:r>
        <w:rPr>
          <w:b/>
          <w:lang w:val="en_US" w:bidi="en_US"/>
        </w:rPr>
        <w:t>‘I am He,’</w:t>
      </w:r>
    </w:p>
    <w:p>
      <w:pPr>
        <w:pStyle w:val="ListBullet"/>
        <w:spacing w:line="240" w:lineRule="auto"/>
        <w:ind w:left="720"/>
      </w:pPr>
      <w:r>
        <w:rPr>
          <w:lang w:val="en_US" w:bidi="en_US"/>
        </w:rPr>
      </w:r>
      <w:r>
        <w:rPr>
          <w:lang w:val="en_US" w:bidi="en_US"/>
        </w:rPr>
        <w:t xml:space="preserve">‘I am </w:t>
      </w:r>
      <w:r>
        <w:rPr>
          <w:lang w:val="en_US" w:bidi="en_US"/>
        </w:rPr>
        <w:t>the Christ</w:t>
      </w:r>
      <w:r>
        <w:rPr>
          <w:lang w:val="en_US" w:bidi="en_US"/>
        </w:rPr>
        <w:t>,’</w:t>
      </w:r>
    </w:p>
    <w:p>
      <w:pPr>
        <w:pStyle w:val="ListBullet"/>
        <w:spacing w:line="240" w:lineRule="auto"/>
        <w:ind w:left="720"/>
      </w:pPr>
      <w:r>
        <w:rPr>
          <w:lang w:val="en_US" w:bidi="en_US"/>
        </w:rPr>
      </w:r>
      <w:r>
        <w:rPr>
          <w:lang w:val="en_US" w:bidi="en_US"/>
        </w:rPr>
        <w:t xml:space="preserve">to be </w:t>
      </w:r>
      <w:r>
        <w:rPr>
          <w:lang w:val="en_US" w:bidi="en_US"/>
        </w:rPr>
        <w:t>the Messiah</w:t>
      </w:r>
      <w:r>
        <w:rPr>
          <w:lang w:val="en_US" w:bidi="en_US"/>
        </w:rPr>
        <w:t>.</w:t>
      </w:r>
    </w:p>
    <w:p>
      <w:pPr/>
      <w:r>
        <w:rPr>
          <w:lang w:val="en_US" w:bidi="en_US"/>
        </w:rPr>
      </w:r>
      <w:r>
        <w:rPr>
          <w:b/>
          <w:lang w:val="en_US" w:bidi="en_US"/>
        </w:rPr>
        <w:t>I am He:</w:t>
      </w:r>
      <w:r>
        <w:rPr>
          <w:lang w:val="en_US" w:bidi="en_US"/>
        </w:rPr>
        <w:t xml:space="preserve"> In this context the clause </w:t>
      </w:r>
      <w:r>
        <w:rPr>
          <w:i/>
          <w:lang w:val="en_US" w:bidi="en_US"/>
        </w:rPr>
        <w:t>I am He</w:t>
      </w:r>
      <w:r>
        <w:rPr>
          <w:lang w:val="en_US" w:bidi="en_US"/>
        </w:rPr>
        <w:t xml:space="preserve"> indicates that each man will claim to be the Messiah. The word </w:t>
      </w:r>
      <w:r>
        <w:rPr>
          <w:i/>
          <w:lang w:val="en_US" w:bidi="en_US"/>
        </w:rPr>
        <w:t>I</w:t>
      </w:r>
      <w:r>
        <w:rPr>
          <w:lang w:val="en_US" w:bidi="en_US"/>
        </w:rPr>
        <w:t xml:space="preserve"> is emphatic in Greek. It indicates that each man will say that he is the Messiah, the one whom God promised to send as king and savior. Some ways to translate </w:t>
      </w:r>
      <w:r>
        <w:rPr>
          <w:i/>
          <w:lang w:val="en_US" w:bidi="en_US"/>
        </w:rPr>
        <w:t>I am He</w:t>
      </w:r>
      <w:r>
        <w:rPr>
          <w:lang w:val="en_US" w:bidi="en_US"/>
        </w:rPr>
        <w:t xml:space="preserve"> here are:</w:t>
      </w:r>
    </w:p>
    <w:p>
      <w:pPr>
        <w:pStyle w:val="ListBullet"/>
        <w:spacing w:line="240" w:lineRule="auto"/>
        <w:ind w:left="720"/>
      </w:pPr>
      <w:r>
        <w:rPr>
          <w:lang w:val="en_US" w:bidi="en_US"/>
        </w:rPr>
      </w:r>
      <w:r>
        <w:rPr>
          <w:lang w:val="en_US" w:bidi="en_US"/>
        </w:rPr>
        <w:t>Use the term for “Christ” or “Messiah” in your language. For example:</w:t>
      </w:r>
      <w:r>
        <w:rPr>
          <w:lang w:val="en_US" w:bidi="en_US"/>
        </w:rPr>
        <w:t>I am the Messiah (NLT)</w:t>
      </w:r>
      <w:r>
        <w:rPr>
          <w:lang w:val="en_US" w:bidi="en_US"/>
        </w:rPr>
        <w:t>I am the promised Deliverer-King</w:t>
      </w:r>
      <w:r>
        <w:rPr>
          <w:lang w:val="en_US" w:bidi="en_US"/>
        </w:rPr>
        <w:t>I am Christ (CEV)</w:t>
      </w:r>
    </w:p>
    <w:p>
      <w:pPr>
        <w:pStyle w:val="ListBullet"/>
        <w:spacing w:line="240" w:lineRule="auto"/>
        <w:ind w:left="720"/>
      </w:pPr>
      <w:r>
        <w:rPr>
          <w:lang w:val="en_US" w:bidi="en_US"/>
        </w:rPr>
      </w:r>
      <w:r>
        <w:rPr>
          <w:lang w:val="en_US" w:bidi="en_US"/>
        </w:rPr>
        <w:t>Use a more general term. It is good if this term implies that he is the one whom people were expecting. For example:</w:t>
      </w:r>
      <w:r>
        <w:rPr>
          <w:lang w:val="en_US" w:bidi="en_US"/>
        </w:rPr>
        <w:t>I am the One (NCV)</w:t>
      </w:r>
    </w:p>
    <w:p>
      <w:pPr/>
      <w:r>
        <w:rPr>
          <w:lang w:val="en_US" w:bidi="en_US"/>
        </w:rPr>
      </w:r>
      <w:r>
        <w:rPr>
          <w:lang w:val="en_US" w:bidi="en_US"/>
        </w:rPr>
        <w:t>For help in translating “Christ” or “Messiah,” see the note at 20:41b. There are parallel verses in Matthew 24:5 and Mark 13:6.</w:t>
      </w:r>
    </w:p>
    <w:p>
      <w:pPr>
        <w:pStyle w:val="Heading5"/>
      </w:pPr>
      <w:r>
        <w:rPr>
          <w:lang w:val="en_US" w:bidi="en_US"/>
        </w:rPr>
        <w:t>21:8d</w:t>
      </w:r>
    </w:p>
    <w:p>
      <w:pPr/>
      <w:r>
        <w:rPr>
          <w:lang w:val="en_US" w:bidi="en_US"/>
        </w:rPr>
      </w:r>
      <w:r>
        <w:rPr>
          <w:b/>
          <w:lang w:val="en_US" w:bidi="en_US"/>
        </w:rPr>
        <w:t>and, ‘The time is near.’</w:t>
      </w:r>
    </w:p>
    <w:p>
      <w:pPr>
        <w:pStyle w:val="ListBullet"/>
        <w:spacing w:line="240" w:lineRule="auto"/>
        <w:ind w:left="720"/>
      </w:pPr>
      <w:r>
        <w:rPr>
          <w:lang w:val="en_US" w:bidi="en_US"/>
        </w:rPr>
      </w:r>
      <w:r>
        <w:rPr>
          <w:lang w:val="en_US" w:bidi="en_US"/>
        </w:rPr>
        <w:t>and, ‘The time has come/arrived!’</w:t>
      </w:r>
    </w:p>
    <w:p>
      <w:pPr>
        <w:pStyle w:val="ListBullet"/>
        <w:spacing w:line="240" w:lineRule="auto"/>
        <w:ind w:left="720"/>
      </w:pPr>
      <w:r>
        <w:rPr>
          <w:lang w:val="en_US" w:bidi="en_US"/>
        </w:rPr>
      </w:r>
      <w:r>
        <w:rPr>
          <w:lang w:val="en_US" w:bidi="en_US"/>
        </w:rPr>
        <w:t xml:space="preserve">They will also say, ‘The end </w:t>
      </w:r>
      <w:r>
        <w:rPr>
          <w:lang w:val="en_US" w:bidi="en_US"/>
        </w:rPr>
        <w:t>of this age</w:t>
      </w:r>
      <w:r>
        <w:rPr>
          <w:lang w:val="en_US" w:bidi="en_US"/>
        </w:rPr>
        <w:t xml:space="preserve"> is near/here.’</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introduces another false statement that each man will say. Another way to introduce the statement is:</w:t>
      </w:r>
    </w:p>
    <w:p>
      <w:pPr/>
      <w:r>
        <w:rPr>
          <w:lang w:val="en_US" w:bidi="en_US"/>
        </w:rPr>
      </w:r>
      <w:r>
        <w:rPr>
          <w:lang w:val="en_US" w:bidi="en_US"/>
        </w:rPr>
        <w:t>Each one will also say</w:t>
      </w:r>
    </w:p>
    <w:p>
      <w:pPr/>
      <w:r>
        <w:rPr>
          <w:lang w:val="en_US" w:bidi="en_US"/>
        </w:rPr>
      </w:r>
      <w:r>
        <w:rPr>
          <w:b/>
          <w:lang w:val="en_US" w:bidi="en_US"/>
        </w:rPr>
        <w:t>The time is near:</w:t>
      </w:r>
      <w:r>
        <w:rPr>
          <w:lang w:val="en_US" w:bidi="en_US"/>
        </w:rPr>
        <w:t xml:space="preserve"> The word </w:t>
      </w:r>
      <w:r>
        <w:rPr>
          <w:i/>
          <w:lang w:val="en_US" w:bidi="en_US"/>
        </w:rPr>
        <w:t>time</w:t>
      </w:r>
      <w:r>
        <w:rPr>
          <w:lang w:val="en_US" w:bidi="en_US"/>
        </w:rPr>
        <w:t xml:space="preserve"> refers to the time of the “end” that will be mentioned in 21:9d. This “end” could be the end of the temple or the end of that age (era of time). It may be helpful to refer to it in a similar way here and in 21:9d. Some ways to translate </w:t>
      </w:r>
      <w:r>
        <w:rPr>
          <w:i/>
          <w:lang w:val="en_US" w:bidi="en_US"/>
        </w:rPr>
        <w:t>The time is near</w:t>
      </w:r>
      <w:r>
        <w:rPr>
          <w:lang w:val="en_US" w:bidi="en_US"/>
        </w:rPr>
        <w:t xml:space="preserve"> are:</w:t>
      </w:r>
    </w:p>
    <w:p>
      <w:pPr/>
      <w:r>
        <w:rPr>
          <w:lang w:val="en_US" w:bidi="en_US"/>
        </w:rPr>
      </w:r>
      <w:r>
        <w:rPr>
          <w:lang w:val="en_US" w:bidi="en_US"/>
        </w:rPr>
        <w:t xml:space="preserve">The time </w:t>
      </w:r>
      <w:r>
        <w:rPr>
          <w:lang w:val="en_US" w:bidi="en_US"/>
        </w:rPr>
        <w:t>when this age will end</w:t>
      </w:r>
      <w:r>
        <w:rPr>
          <w:lang w:val="en_US" w:bidi="en_US"/>
        </w:rPr>
        <w:t xml:space="preserve"> has arrived.</w:t>
      </w:r>
    </w:p>
    <w:p>
      <w:pPr/>
      <w:r>
        <w:rPr>
          <w:lang w:val="en_US" w:bidi="en_US"/>
        </w:rPr>
      </w:r>
      <w:r>
        <w:rPr>
          <w:lang w:val="en_US" w:bidi="en_US"/>
        </w:rPr>
        <w:t>The time has come! (GNT)</w:t>
      </w:r>
    </w:p>
    <w:p>
      <w:pPr/>
      <w:r>
        <w:rPr>
          <w:lang w:val="en_US" w:bidi="en_US"/>
        </w:rPr>
      </w:r>
      <w:r>
        <w:rPr>
          <w:lang w:val="en_US" w:bidi="en_US"/>
        </w:rPr>
        <w:t xml:space="preserve">The </w:t>
      </w:r>
      <w:r>
        <w:rPr>
          <w:lang w:val="en_US" w:bidi="en_US"/>
        </w:rPr>
        <w:t>end of this era</w:t>
      </w:r>
      <w:r>
        <w:rPr>
          <w:lang w:val="en_US" w:bidi="en_US"/>
        </w:rPr>
        <w:t xml:space="preserve"> is here.</w:t>
      </w:r>
    </w:p>
    <w:p>
      <w:pPr/>
      <w:r>
        <w:rPr>
          <w:lang w:val="en_US" w:bidi="en_US"/>
        </w:rPr>
      </w:r>
      <w:r>
        <w:rPr>
          <w:lang w:val="en_US" w:bidi="en_US"/>
        </w:rPr>
        <w:t>This period of time/history</w:t>
      </w:r>
      <w:r>
        <w:rPr>
          <w:lang w:val="en_US" w:bidi="en_US"/>
        </w:rPr>
        <w:t xml:space="preserve"> is now ending.</w:t>
      </w:r>
    </w:p>
    <w:p>
      <w:pPr>
        <w:pStyle w:val="Heading5"/>
      </w:pPr>
      <w:r>
        <w:rPr>
          <w:lang w:val="en_US" w:bidi="en_US"/>
        </w:rPr>
        <w:t>21:8e</w:t>
      </w:r>
    </w:p>
    <w:p>
      <w:pPr/>
      <w:r>
        <w:rPr>
          <w:lang w:val="en_US" w:bidi="en_US"/>
        </w:rPr>
      </w:r>
      <w:r>
        <w:rPr>
          <w:b/>
          <w:lang w:val="en_US" w:bidi="en_US"/>
        </w:rPr>
        <w:t>Do not follow them.</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go after them.</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not believe/join them.</w:t>
      </w:r>
    </w:p>
    <w:p>
      <w:pPr/>
      <w:r>
        <w:rPr>
          <w:lang w:val="en_US" w:bidi="en_US"/>
        </w:rPr>
      </w:r>
      <w:r>
        <w:rPr>
          <w:b/>
          <w:lang w:val="en_US" w:bidi="en_US"/>
        </w:rPr>
        <w:t>Do not follow them:</w:t>
      </w:r>
      <w:r>
        <w:rPr>
          <w:lang w:val="en_US" w:bidi="en_US"/>
        </w:rPr>
        <w:t xml:space="preserve"> The Greek clause that the BSB translates as </w:t>
      </w:r>
      <w:r>
        <w:rPr>
          <w:i/>
          <w:lang w:val="en_US" w:bidi="en_US"/>
        </w:rPr>
        <w:t>Do not follow them</w:t>
      </w:r>
      <w:r>
        <w:rPr>
          <w:lang w:val="en_US" w:bidi="en_US"/>
        </w:rPr>
        <w:t xml:space="preserve"> is a command that Jesus gave to his disciples. It is not another thing that the false messiahs will say. In some languages it is helpful to make that explicit. For example:</w:t>
      </w:r>
    </w:p>
    <w:p>
      <w:pPr/>
      <w:r>
        <w:rPr>
          <w:lang w:val="en_US" w:bidi="en_US"/>
        </w:rPr>
      </w:r>
      <w:r>
        <w:rPr>
          <w:lang w:val="en_US" w:bidi="en_US"/>
        </w:rPr>
        <w:t>When they say that, do not follow them.</w:t>
      </w:r>
    </w:p>
    <w:p>
      <w:pPr/>
      <w:r>
        <w:rPr>
          <w:lang w:val="en_US" w:bidi="en_US"/>
        </w:rPr>
      </w:r>
      <w:r>
        <w:rPr>
          <w:lang w:val="en_US" w:bidi="en_US"/>
        </w:rPr>
        <w:t>Then Jesus said, “Do not follow them.”</w:t>
      </w:r>
    </w:p>
    <w:p>
      <w:pPr/>
      <w:r>
        <w:rPr>
          <w:lang w:val="en_US" w:bidi="en_US"/>
        </w:rPr>
      </w:r>
      <w:r>
        <w:rPr>
          <w:b/>
          <w:lang w:val="en_US" w:bidi="en_US"/>
        </w:rPr>
        <w:t>follow them:</w:t>
      </w:r>
      <w:r>
        <w:rPr>
          <w:lang w:val="en_US" w:bidi="en_US"/>
        </w:rPr>
        <w:t xml:space="preserve"> The Greek phrase that the BSB translates as </w:t>
      </w:r>
      <w:r>
        <w:rPr>
          <w:i/>
          <w:lang w:val="en_US" w:bidi="en_US"/>
        </w:rPr>
        <w:t>follow them</w:t>
      </w:r>
      <w:r>
        <w:rPr>
          <w:lang w:val="en_US" w:bidi="en_US"/>
        </w:rPr>
        <w:t xml:space="preserve"> is literally “go after them.” It indicates that the disciples should not believe those people and go with them. They should not become their followers. Some other ways to translate the command are:</w:t>
      </w:r>
    </w:p>
    <w:p>
      <w:pPr/>
      <w:r>
        <w:rPr>
          <w:lang w:val="en_US" w:bidi="en_US"/>
        </w:rPr>
      </w:r>
      <w:r>
        <w:rPr>
          <w:lang w:val="en_US" w:bidi="en_US"/>
        </w:rPr>
        <w:t>Do not believe them.</w:t>
      </w:r>
    </w:p>
    <w:p>
      <w:pPr/>
      <w:r>
        <w:rPr>
          <w:lang w:val="en_US" w:bidi="en_US"/>
        </w:rPr>
      </w:r>
      <w:r>
        <w:rPr>
          <w:lang w:val="en_US" w:bidi="en_US"/>
        </w:rPr>
        <w:t>But you should not join them.</w:t>
      </w:r>
      <w:r>
        <w:rPr>
          <w:lang w:val="en_US" w:bidi="en_US"/>
        </w:rPr>
        <w:t>Kankanaey back translation on TW.</w:t>
      </w:r>
    </w:p>
    <w:p>
      <w:pPr>
        <w:pStyle w:val="Heading6"/>
      </w:pPr>
      <w:r>
        <w:rPr>
          <w:b/>
          <w:lang w:val="en_US" w:bidi="en_US"/>
        </w:rPr>
        <w:t>General Comment on 21:8a–e</w:t>
      </w:r>
    </w:p>
    <w:p>
      <w:pPr/>
      <w:r>
        <w:rPr>
          <w:lang w:val="en_US" w:bidi="en_US"/>
        </w:rPr>
      </w:r>
      <w:r>
        <w:rPr>
          <w:lang w:val="en_US" w:bidi="en_US"/>
        </w:rPr>
        <w:t>In 21:8c and 21:8d Jesus quoted what other people will say. In some languages it will be more natural to use indirect speech for one or both of these statements. It may also be helpful to indicate when the quotes or indirect speech ends. For example:</w:t>
      </w:r>
    </w:p>
    <w:p>
      <w:pPr/>
      <w:r>
        <w:rPr>
          <w:lang w:val="en_US" w:bidi="en_US"/>
        </w:rPr>
      </w:r>
      <w:r>
        <w:rPr>
          <w:vertAlign w:val="superscript"/>
          <w:lang w:val="en_US" w:bidi="en_US"/>
        </w:rPr>
        <w:t>8a</w:t>
      </w:r>
      <w:r>
        <w:rPr>
          <w:lang w:val="en_US" w:bidi="en_US"/>
        </w:rPr>
        <w:t xml:space="preserve">Jesus said, “See to it that you are not deceived, </w:t>
      </w:r>
      <w:r>
        <w:rPr>
          <w:vertAlign w:val="superscript"/>
          <w:lang w:val="en_US" w:bidi="en_US"/>
        </w:rPr>
        <w:t>8b</w:t>
      </w:r>
      <w:r>
        <w:rPr>
          <w:lang w:val="en_US" w:bidi="en_US"/>
        </w:rPr>
        <w:t xml:space="preserve">because many men will come using my name. </w:t>
      </w:r>
      <w:r>
        <w:rPr>
          <w:vertAlign w:val="superscript"/>
          <w:lang w:val="en_US" w:bidi="en_US"/>
        </w:rPr>
        <w:t>8c</w:t>
      </w:r>
      <w:r>
        <w:rPr>
          <w:lang w:val="en_US" w:bidi="en_US"/>
        </w:rPr>
        <w:t xml:space="preserve">Each one will say that he is the Messiah, </w:t>
      </w:r>
      <w:r>
        <w:rPr>
          <w:vertAlign w:val="superscript"/>
          <w:lang w:val="en_US" w:bidi="en_US"/>
        </w:rPr>
        <w:t>8d</w:t>
      </w:r>
      <w:r>
        <w:rPr>
          <w:lang w:val="en_US" w:bidi="en_US"/>
        </w:rPr>
        <w:t xml:space="preserve">and he will say that the time has come. </w:t>
      </w:r>
      <w:r>
        <w:rPr>
          <w:vertAlign w:val="superscript"/>
          <w:lang w:val="en_US" w:bidi="en_US"/>
        </w:rPr>
        <w:t>8e</w:t>
      </w:r>
      <w:r>
        <w:rPr>
          <w:lang w:val="en_US" w:bidi="en_US"/>
        </w:rPr>
        <w:t>Do not follow any of them.”</w:t>
      </w:r>
    </w:p>
    <w:p>
      <w:pPr/>
      <w:r>
        <w:rPr>
          <w:lang w:val="en_US" w:bidi="en_US"/>
        </w:rPr>
      </w:r>
      <w:r>
        <w:rPr>
          <w:lang w:val="en_US" w:bidi="en_US"/>
        </w:rPr>
        <w:t>He replied, “Don’t let anyone mislead you. For many will come in my name, claiming to be the Messiah and saying, ‘The time has come!’ But don’t believe them….” (NLT96)</w:t>
      </w:r>
      <w:r>
        <w:rPr>
          <w:lang w:val="en_US" w:bidi="en_US"/>
        </w:rPr>
      </w:r>
      <w:r>
        <w:rPr>
          <w:lang w:val="en_US" w:bidi="en_US"/>
        </w:rPr>
      </w:r>
    </w:p>
    <w:p>
      <w:pPr/>
      <w:r>
        <w:rPr>
          <w:lang w:val="en_US" w:bidi="en_US"/>
        </w:rPr>
      </w:r>
    </w:p>
    <w:p>
      <w:pPr>
        <w:pStyle w:val="Heading2"/>
      </w:pPr>
      <w:r>
        <w:rPr>
          <w:lang w:val="en_US" w:bidi="en_US"/>
        </w:rPr>
        <w:t>Luke 21:9</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21:9a</w:t>
      </w:r>
    </w:p>
    <w:p>
      <w:pPr/>
      <w:r>
        <w:rPr>
          <w:lang w:val="en_US" w:bidi="en_US"/>
        </w:rPr>
      </w:r>
      <w:r>
        <w:rPr>
          <w:b/>
          <w:lang w:val="en_US" w:bidi="en_US"/>
        </w:rPr>
        <w:t>When you hear of wars and rebellions,</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hear about wars/battles and rebellions,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hear that </w:t>
      </w:r>
      <w:r>
        <w:rPr>
          <w:lang w:val="en_US" w:bidi="en_US"/>
        </w:rPr>
        <w:t>countries/tribes</w:t>
      </w:r>
      <w:r>
        <w:rPr>
          <w:lang w:val="en_US" w:bidi="en_US"/>
        </w:rPr>
        <w:t xml:space="preserve"> are at war and that </w:t>
      </w:r>
      <w:r>
        <w:rPr>
          <w:lang w:val="en_US" w:bidi="en_US"/>
        </w:rPr>
        <w:t>people</w:t>
      </w:r>
      <w:r>
        <w:rPr>
          <w:lang w:val="en_US" w:bidi="en_US"/>
        </w:rPr>
        <w:t xml:space="preserve"> are rebelling </w:t>
      </w:r>
      <w:r>
        <w:rPr>
          <w:lang w:val="en_US" w:bidi="en_US"/>
        </w:rPr>
        <w:t>against their governments</w:t>
      </w:r>
      <w:r>
        <w:rPr>
          <w:lang w:val="en_US" w:bidi="en_US"/>
        </w:rPr>
        <w:t>.</w:t>
      </w:r>
    </w:p>
    <w:p>
      <w:pPr>
        <w:pStyle w:val="ListBullet"/>
        <w:spacing w:line="240" w:lineRule="auto"/>
        <w:ind w:left="720"/>
      </w:pPr>
      <w:r>
        <w:rPr>
          <w:lang w:val="en_US" w:bidi="en_US"/>
        </w:rPr>
      </w:r>
      <w:r>
        <w:rPr>
          <w:lang w:val="en_US" w:bidi="en_US"/>
        </w:rPr>
        <w:t>Whenever you</w:t>
      </w:r>
      <w:r>
        <w:rPr>
          <w:vertAlign w:val="superscript"/>
          <w:lang w:val="en_US" w:bidi="en_US"/>
        </w:rPr>
        <w:t>(plur)</w:t>
      </w:r>
      <w:r>
        <w:rPr>
          <w:lang w:val="en_US" w:bidi="en_US"/>
        </w:rPr>
        <w:t xml:space="preserve"> hear </w:t>
      </w:r>
      <w:r>
        <w:rPr>
          <w:lang w:val="en_US" w:bidi="en_US"/>
        </w:rPr>
        <w:t>reports</w:t>
      </w:r>
      <w:r>
        <w:rPr>
          <w:lang w:val="en_US" w:bidi="en_US"/>
        </w:rPr>
        <w:t xml:space="preserve"> that nations and peoples are fighting each other,</w:t>
      </w:r>
    </w:p>
    <w:p>
      <w:pPr/>
      <w:r>
        <w:rPr>
          <w:lang w:val="en_US" w:bidi="en_US"/>
        </w:rPr>
      </w:r>
      <w:r>
        <w:rPr>
          <w:b/>
          <w:lang w:val="en_US" w:bidi="en_US"/>
        </w:rPr>
        <w:t>When you hear of wars and rebellions:</w:t>
      </w:r>
      <w:r>
        <w:rPr>
          <w:lang w:val="en_US" w:bidi="en_US"/>
        </w:rPr>
        <w:t xml:space="preserve"> The clause </w:t>
      </w:r>
      <w:r>
        <w:rPr>
          <w:i/>
          <w:lang w:val="en_US" w:bidi="en_US"/>
        </w:rPr>
        <w:t>When you hear of wars and rebellions</w:t>
      </w:r>
      <w:r>
        <w:rPr>
          <w:lang w:val="en_US" w:bidi="en_US"/>
        </w:rPr>
        <w:t xml:space="preserve"> implies that people will tell Jesus’ disciples about wars and rebellions that are happening. The disciples will hear reports that nations and people groups are fighting each other. They will also hear that groups of people are rebelling against their governments. Some other ways to translate this are:</w:t>
      </w:r>
    </w:p>
    <w:p>
      <w:pPr/>
      <w:r>
        <w:rPr>
          <w:lang w:val="en_US" w:bidi="en_US"/>
        </w:rPr>
      </w:r>
      <w:r>
        <w:rPr>
          <w:lang w:val="en_US" w:bidi="en_US"/>
        </w:rPr>
        <w:t>When you</w:t>
      </w:r>
      <w:r>
        <w:rPr>
          <w:vertAlign w:val="superscript"/>
          <w:lang w:val="en_US" w:bidi="en_US"/>
        </w:rPr>
        <w:t>(plur)</w:t>
      </w:r>
      <w:r>
        <w:rPr>
          <w:lang w:val="en_US" w:bidi="en_US"/>
        </w:rPr>
        <w:t xml:space="preserve"> hear </w:t>
      </w:r>
      <w:r>
        <w:rPr>
          <w:lang w:val="en_US" w:bidi="en_US"/>
        </w:rPr>
        <w:t>reports</w:t>
      </w:r>
      <w:r>
        <w:rPr>
          <w:lang w:val="en_US" w:bidi="en_US"/>
        </w:rPr>
        <w:t xml:space="preserve"> about wars and revolutions</w:t>
      </w:r>
    </w:p>
    <w:p>
      <w:pPr/>
      <w:r>
        <w:rPr>
          <w:lang w:val="en_US" w:bidi="en_US"/>
        </w:rPr>
      </w:r>
      <w:r>
        <w:rPr>
          <w:lang w:val="en_US" w:bidi="en_US"/>
        </w:rPr>
        <w:t xml:space="preserve">At times you will/may hear news that nations are fighting and that people are rebelling </w:t>
      </w:r>
      <w:r>
        <w:rPr>
          <w:lang w:val="en_US" w:bidi="en_US"/>
        </w:rPr>
        <w:t>against their governments</w:t>
      </w:r>
    </w:p>
    <w:p>
      <w:pPr/>
      <w:r>
        <w:rPr>
          <w:lang w:val="en_US" w:bidi="en_US"/>
        </w:rPr>
      </w:r>
      <w:r>
        <w:rPr>
          <w:lang w:val="en_US" w:bidi="en_US"/>
        </w:rPr>
        <w:t>When you hear about wars and riots (NCV)</w:t>
      </w:r>
    </w:p>
    <w:p>
      <w:pPr/>
      <w:r>
        <w:rPr>
          <w:lang w:val="en_US" w:bidi="en_US"/>
        </w:rPr>
      </w:r>
      <w:r>
        <w:rPr>
          <w:lang w:val="en_US" w:bidi="en_US"/>
        </w:rPr>
        <w:t>This verse implies that the wars and revolutions are really happening. So you should not use a word that refers only to false reports.</w:t>
      </w:r>
    </w:p>
    <w:p>
      <w:pPr/>
      <w:r>
        <w:rPr>
          <w:lang w:val="en_US" w:bidi="en_US"/>
        </w:rPr>
      </w:r>
      <w:r>
        <w:rPr>
          <w:b/>
          <w:lang w:val="en_US" w:bidi="en_US"/>
        </w:rPr>
        <w:t>wars and rebellions:</w:t>
      </w:r>
      <w:r>
        <w:rPr>
          <w:lang w:val="en_US" w:bidi="en_US"/>
        </w:rPr>
        <w:t xml:space="preserve"> The Greek words that the BSB translates as </w:t>
      </w:r>
      <w:r>
        <w:rPr>
          <w:i/>
          <w:lang w:val="en_US" w:bidi="en_US"/>
        </w:rPr>
        <w:t>wars</w:t>
      </w:r>
      <w:r>
        <w:rPr>
          <w:lang w:val="en_US" w:bidi="en_US"/>
        </w:rPr>
        <w:t xml:space="preserve"> and </w:t>
      </w:r>
      <w:r>
        <w:rPr>
          <w:i/>
          <w:lang w:val="en_US" w:bidi="en_US"/>
        </w:rPr>
        <w:t>rebellions</w:t>
      </w:r>
      <w:r>
        <w:rPr>
          <w:lang w:val="en_US" w:bidi="en_US"/>
        </w:rPr>
        <w:t xml:space="preserve"> can refer to different types of conflicts and fighting. The word </w:t>
      </w:r>
      <w:r>
        <w:rPr>
          <w:i/>
          <w:lang w:val="en_US" w:bidi="en_US"/>
        </w:rPr>
        <w:t>wars</w:t>
      </w:r>
      <w:r>
        <w:rPr>
          <w:lang w:val="en_US" w:bidi="en_US"/>
        </w:rPr>
        <w:t xml:space="preserve"> often refers to armed conflict in which different countries fight each other. The word </w:t>
      </w:r>
      <w:r>
        <w:rPr>
          <w:i/>
          <w:lang w:val="en_US" w:bidi="en_US"/>
        </w:rPr>
        <w:t>rebellions</w:t>
      </w:r>
      <w:r>
        <w:rPr>
          <w:lang w:val="en_US" w:bidi="en_US"/>
        </w:rPr>
        <w:t xml:space="preserve"> often refers to civil wars that involve revolting against governments and other authorities. See the note above for translation examples.</w:t>
      </w:r>
    </w:p>
    <w:p>
      <w:pPr>
        <w:pStyle w:val="Heading5"/>
      </w:pPr>
      <w:r>
        <w:rPr>
          <w:lang w:val="en_US" w:bidi="en_US"/>
        </w:rPr>
        <w:t>21:9b</w:t>
      </w:r>
    </w:p>
    <w:p>
      <w:pPr/>
      <w:r>
        <w:rPr>
          <w:lang w:val="en_US" w:bidi="en_US"/>
        </w:rPr>
      </w:r>
      <w:r>
        <w:rPr>
          <w:b/>
          <w:lang w:val="en_US" w:bidi="en_US"/>
        </w:rPr>
        <w:t>do not be alarmed.</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be terrified/alarmed.</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panic,</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not be </w:t>
      </w:r>
      <w:r>
        <w:rPr>
          <w:lang w:val="en_US" w:bidi="en_US"/>
        </w:rPr>
        <w:t>overcome</w:t>
      </w:r>
      <w:r>
        <w:rPr>
          <w:lang w:val="en_US" w:bidi="en_US"/>
        </w:rPr>
        <w:t xml:space="preserve"> by fear,</w:t>
      </w:r>
    </w:p>
    <w:p>
      <w:pPr/>
      <w:r>
        <w:rPr>
          <w:lang w:val="en_US" w:bidi="en_US"/>
        </w:rPr>
      </w:r>
      <w:r>
        <w:rPr>
          <w:b/>
          <w:lang w:val="en_US" w:bidi="en_US"/>
        </w:rPr>
        <w:t>do not be alarmed:</w:t>
      </w:r>
      <w:r>
        <w:rPr>
          <w:lang w:val="en_US" w:bidi="en_US"/>
        </w:rPr>
        <w:t xml:space="preserve"> The Greek word that the BSB translates as </w:t>
      </w:r>
      <w:r>
        <w:rPr>
          <w:i/>
          <w:lang w:val="en_US" w:bidi="en_US"/>
        </w:rPr>
        <w:t>be alarmed</w:t>
      </w:r>
      <w:r>
        <w:rPr>
          <w:lang w:val="en_US" w:bidi="en_US"/>
        </w:rPr>
        <w:t xml:space="preserve"> means “to be terrified or alarmed.” It refers to a feeling of fear or terror. A person is often frightened or terrified by wars and riots. Jesus did not want his disciples to be overwhelmed with fear. Here is another way to translate this:</w:t>
      </w:r>
    </w:p>
    <w:p>
      <w:pPr/>
      <w:r>
        <w:rPr>
          <w:lang w:val="en_US" w:bidi="en_US"/>
        </w:rPr>
      </w:r>
      <w:r>
        <w:rPr>
          <w:lang w:val="en_US" w:bidi="en_US"/>
        </w:rPr>
        <w:t>do not panic (REB)</w:t>
      </w:r>
    </w:p>
    <w:p>
      <w:pPr/>
      <w:r>
        <w:rPr>
          <w:lang w:val="en_US" w:bidi="en_US"/>
        </w:rPr>
      </w:r>
      <w:r>
        <w:rPr>
          <w:lang w:val="en_US" w:bidi="en_US"/>
        </w:rPr>
        <w:t>You may have an idiom in your language that expresses this kind of fear. For example:</w:t>
      </w:r>
    </w:p>
    <w:p>
      <w:pPr/>
      <w:r>
        <w:rPr>
          <w:lang w:val="en_US" w:bidi="en_US"/>
        </w:rPr>
      </w:r>
      <w:r>
        <w:rPr>
          <w:lang w:val="en_US" w:bidi="en_US"/>
        </w:rPr>
        <w:t>Do not give way to terror/fear</w:t>
      </w:r>
    </w:p>
    <w:p>
      <w:pPr/>
      <w:r>
        <w:rPr>
          <w:lang w:val="en_US" w:bidi="en_US"/>
        </w:rPr>
      </w:r>
      <w:r>
        <w:rPr>
          <w:lang w:val="en_US" w:bidi="en_US"/>
        </w:rPr>
        <w:t>Do not let fear fill your heart/liver</w:t>
      </w:r>
    </w:p>
    <w:p>
      <w:pPr>
        <w:pStyle w:val="Heading6"/>
      </w:pPr>
      <w:r>
        <w:rPr>
          <w:b/>
          <w:lang w:val="en_US" w:bidi="en_US"/>
        </w:rPr>
        <w:t>General Comment on 21:9a–b</w:t>
      </w:r>
    </w:p>
    <w:p>
      <w:pPr/>
      <w:r>
        <w:rPr>
          <w:lang w:val="en_US" w:bidi="en_US"/>
        </w:rPr>
      </w:r>
      <w:r>
        <w:rPr>
          <w:lang w:val="en_US" w:bidi="en_US"/>
        </w:rPr>
        <w:t>In some languages it may be more natural to reverse the order of 21:9a and 21:9b. For example:</w:t>
      </w:r>
    </w:p>
    <w:p>
      <w:pPr/>
      <w:r>
        <w:rPr>
          <w:lang w:val="en_US" w:bidi="en_US"/>
        </w:rPr>
      </w:r>
      <w:r>
        <w:rPr>
          <w:vertAlign w:val="superscript"/>
          <w:lang w:val="en_US" w:bidi="en_US"/>
        </w:rPr>
        <w:t>9b</w:t>
      </w:r>
      <w:r>
        <w:rPr>
          <w:lang w:val="en_US" w:bidi="en_US"/>
        </w:rPr>
        <w:t xml:space="preserve">Do not be afraid </w:t>
      </w:r>
      <w:r>
        <w:rPr>
          <w:vertAlign w:val="superscript"/>
          <w:lang w:val="en_US" w:bidi="en_US"/>
        </w:rPr>
        <w:t>9a</w:t>
      </w:r>
      <w:r>
        <w:rPr>
          <w:lang w:val="en_US" w:bidi="en_US"/>
        </w:rPr>
        <w:t>when you</w:t>
      </w:r>
      <w:r>
        <w:rPr>
          <w:vertAlign w:val="superscript"/>
          <w:lang w:val="en_US" w:bidi="en_US"/>
        </w:rPr>
        <w:t>(plur)</w:t>
      </w:r>
      <w:r>
        <w:rPr>
          <w:lang w:val="en_US" w:bidi="en_US"/>
        </w:rPr>
        <w:t xml:space="preserve"> hear of various wars and rebellions.</w:t>
      </w:r>
    </w:p>
    <w:p>
      <w:pPr/>
      <w:r>
        <w:rPr>
          <w:lang w:val="en_US" w:bidi="en_US"/>
        </w:rPr>
      </w:r>
      <w:r>
        <w:rPr>
          <w:vertAlign w:val="superscript"/>
          <w:lang w:val="en_US" w:bidi="en_US"/>
        </w:rPr>
        <w:t>9b</w:t>
      </w:r>
      <w:r>
        <w:rPr>
          <w:lang w:val="en_US" w:bidi="en_US"/>
        </w:rPr>
        <w:t xml:space="preserve">Do not be terrified </w:t>
      </w:r>
      <w:r>
        <w:rPr>
          <w:vertAlign w:val="superscript"/>
          <w:lang w:val="en_US" w:bidi="en_US"/>
        </w:rPr>
        <w:t>9a</w:t>
      </w:r>
      <w:r>
        <w:rPr>
          <w:lang w:val="en_US" w:bidi="en_US"/>
        </w:rPr>
        <w:t>at rumors/reports of wars and insurrections.</w:t>
      </w:r>
    </w:p>
    <w:p>
      <w:pPr>
        <w:pStyle w:val="Heading5"/>
      </w:pPr>
      <w:r>
        <w:rPr>
          <w:lang w:val="en_US" w:bidi="en_US"/>
        </w:rPr>
        <w:t>21:9c</w:t>
      </w:r>
    </w:p>
    <w:p>
      <w:pPr/>
      <w:r>
        <w:rPr>
          <w:lang w:val="en_US" w:bidi="en_US"/>
        </w:rPr>
      </w:r>
      <w:r>
        <w:rPr>
          <w:b/>
          <w:lang w:val="en_US" w:bidi="en_US"/>
        </w:rPr>
        <w:t>These things must happen first,</w:t>
      </w:r>
    </w:p>
    <w:p>
      <w:pPr>
        <w:pStyle w:val="ListBullet"/>
        <w:spacing w:line="240" w:lineRule="auto"/>
        <w:ind w:left="720"/>
      </w:pPr>
      <w:r>
        <w:rPr>
          <w:lang w:val="en_US" w:bidi="en_US"/>
        </w:rPr>
      </w:r>
      <w:r>
        <w:rPr>
          <w:lang w:val="en_US" w:bidi="en_US"/>
        </w:rPr>
        <w:t xml:space="preserve">For it is necessary for these things to occur before </w:t>
      </w:r>
      <w:r>
        <w:rPr>
          <w:lang w:val="en_US" w:bidi="en_US"/>
        </w:rPr>
        <w:t>the end</w:t>
      </w:r>
      <w:r>
        <w:rPr>
          <w:lang w:val="en_US" w:bidi="en_US"/>
        </w:rPr>
        <w:t>,</w:t>
      </w:r>
    </w:p>
    <w:p>
      <w:pPr>
        <w:pStyle w:val="ListBullet"/>
        <w:spacing w:line="240" w:lineRule="auto"/>
        <w:ind w:left="720"/>
      </w:pPr>
      <w:r>
        <w:rPr>
          <w:lang w:val="en_US" w:bidi="en_US"/>
        </w:rPr>
      </w:r>
      <w:r>
        <w:rPr>
          <w:lang w:val="en_US" w:bidi="en_US"/>
        </w:rPr>
        <w:t xml:space="preserve">because </w:t>
      </w:r>
      <w:r>
        <w:rPr>
          <w:lang w:val="en_US" w:bidi="en_US"/>
        </w:rPr>
        <w:t>God</w:t>
      </w:r>
      <w:r>
        <w:rPr>
          <w:lang w:val="en_US" w:bidi="en_US"/>
        </w:rPr>
        <w:t xml:space="preserve"> has determined that these </w:t>
      </w:r>
      <w:r>
        <w:rPr>
          <w:lang w:val="en_US" w:bidi="en_US"/>
        </w:rPr>
        <w:t>wars</w:t>
      </w:r>
      <w:r>
        <w:rPr>
          <w:lang w:val="en_US" w:bidi="en_US"/>
        </w:rPr>
        <w:t xml:space="preserve"> will happen first, before</w:t>
      </w:r>
    </w:p>
    <w:p>
      <w:pPr/>
      <w:r>
        <w:rPr>
          <w:lang w:val="en_US" w:bidi="en_US"/>
        </w:rPr>
      </w:r>
      <w:r>
        <w:rPr>
          <w:lang w:val="en_US" w:bidi="en_US"/>
        </w:rPr>
        <w:t>In Greek 21:9c tells a reason why the disciples should not be afraid that the end of the age has come. Here is another way to translate this:</w:t>
      </w:r>
    </w:p>
    <w:p>
      <w:pPr/>
      <w:r>
        <w:rPr>
          <w:lang w:val="en_US" w:bidi="en_US"/>
        </w:rPr>
      </w:r>
      <w:r>
        <w:rPr>
          <w:u w:val="single"/>
          <w:lang w:val="en_US" w:bidi="en_US"/>
        </w:rPr>
        <w:t>for</w:t>
      </w:r>
      <w:r>
        <w:rPr>
          <w:lang w:val="en_US" w:bidi="en_US"/>
        </w:rPr>
        <w:t xml:space="preserve"> this is something that must happen first (NJB)</w:t>
      </w:r>
    </w:p>
    <w:p>
      <w:pPr/>
      <w:r>
        <w:rPr>
          <w:lang w:val="en_US" w:bidi="en_US"/>
        </w:rPr>
      </w:r>
      <w:r>
        <w:rPr>
          <w:lang w:val="en_US" w:bidi="en_US"/>
        </w:rPr>
        <w:t>Translate the reason in a way that is natural in your language.</w:t>
      </w:r>
    </w:p>
    <w:p>
      <w:pPr/>
      <w:r>
        <w:rPr>
          <w:lang w:val="en_US" w:bidi="en_US"/>
        </w:rPr>
      </w:r>
      <w:r>
        <w:rPr>
          <w:b/>
          <w:lang w:val="en_US" w:bidi="en_US"/>
        </w:rPr>
        <w:t>These things must happen:</w:t>
      </w:r>
      <w:r>
        <w:rPr>
          <w:lang w:val="en_US" w:bidi="en_US"/>
        </w:rPr>
        <w:t xml:space="preserve"> The Greek phrase that the BSB translates as </w:t>
      </w:r>
      <w:r>
        <w:rPr>
          <w:i/>
          <w:lang w:val="en_US" w:bidi="en_US"/>
        </w:rPr>
        <w:t>These things must happen</w:t>
      </w:r>
      <w:r>
        <w:rPr>
          <w:lang w:val="en_US" w:bidi="en_US"/>
        </w:rPr>
        <w:t xml:space="preserve"> is literally “It is necessary for these things to occur.” It implies that it is necessary because God has determined that these wars and rebellions will happen before the age/world ends.</w:t>
      </w:r>
    </w:p>
    <w:p>
      <w:pPr/>
      <w:r>
        <w:rPr>
          <w:lang w:val="en_US" w:bidi="en_US"/>
        </w:rPr>
      </w:r>
      <w:r>
        <w:rPr>
          <w:b/>
          <w:lang w:val="en_US" w:bidi="en_US"/>
        </w:rPr>
        <w:t>These things:</w:t>
      </w:r>
      <w:r>
        <w:rPr>
          <w:lang w:val="en_US" w:bidi="en_US"/>
        </w:rPr>
        <w:t xml:space="preserve"> The phrase </w:t>
      </w:r>
      <w:r>
        <w:rPr>
          <w:i/>
          <w:lang w:val="en_US" w:bidi="en_US"/>
        </w:rPr>
        <w:t>These things</w:t>
      </w:r>
      <w:r>
        <w:rPr>
          <w:lang w:val="en_US" w:bidi="en_US"/>
        </w:rPr>
        <w:t xml:space="preserve"> refers to the “wars and revolutions” mentioned in 21:9a. Other ways to translate it are:</w:t>
      </w:r>
    </w:p>
    <w:p>
      <w:pPr/>
      <w:r>
        <w:rPr>
          <w:lang w:val="en_US" w:bidi="en_US"/>
        </w:rPr>
      </w:r>
      <w:r>
        <w:rPr>
          <w:lang w:val="en_US" w:bidi="en_US"/>
        </w:rPr>
        <w:t>These wars</w:t>
      </w:r>
    </w:p>
    <w:p>
      <w:pPr/>
      <w:r>
        <w:rPr>
          <w:lang w:val="en_US" w:bidi="en_US"/>
        </w:rPr>
      </w:r>
      <w:r>
        <w:rPr>
          <w:lang w:val="en_US" w:bidi="en_US"/>
        </w:rPr>
        <w:t>Such fighting/battles</w:t>
      </w:r>
    </w:p>
    <w:p>
      <w:pPr/>
      <w:r>
        <w:rPr>
          <w:lang w:val="en_US" w:bidi="en_US"/>
        </w:rPr>
      </w:r>
      <w:r>
        <w:rPr>
          <w:b/>
          <w:lang w:val="en_US" w:bidi="en_US"/>
        </w:rPr>
        <w:t>first:</w:t>
      </w:r>
      <w:r>
        <w:rPr>
          <w:lang w:val="en_US" w:bidi="en_US"/>
        </w:rPr>
        <w:t xml:space="preserve"> The word </w:t>
      </w:r>
      <w:r>
        <w:rPr>
          <w:i/>
          <w:lang w:val="en_US" w:bidi="en_US"/>
        </w:rPr>
        <w:t>first</w:t>
      </w:r>
      <w:r>
        <w:rPr>
          <w:lang w:val="en_US" w:bidi="en_US"/>
        </w:rPr>
        <w:t xml:space="preserve"> emphasizes the phrase “the end” in 21:9d. It implies that the wars must happen before the end of the age. In some languages it is more natural to leave the meaning </w:t>
      </w:r>
      <w:r>
        <w:rPr>
          <w:i/>
          <w:lang w:val="en_US" w:bidi="en_US"/>
        </w:rPr>
        <w:t>first</w:t>
      </w:r>
      <w:r>
        <w:rPr>
          <w:lang w:val="en_US" w:bidi="en_US"/>
        </w:rPr>
        <w:t xml:space="preserve"> implied or to translate it in a different way. See the General Comment on 21:9c–d below for translation examples.</w:t>
      </w:r>
    </w:p>
    <w:p>
      <w:pPr>
        <w:pStyle w:val="Heading5"/>
      </w:pPr>
      <w:r>
        <w:rPr>
          <w:lang w:val="en_US" w:bidi="en_US"/>
        </w:rPr>
        <w:t>21:9d</w:t>
      </w:r>
    </w:p>
    <w:p>
      <w:pPr/>
      <w:r>
        <w:rPr>
          <w:lang w:val="en_US" w:bidi="en_US"/>
        </w:rPr>
      </w:r>
      <w:r>
        <w:rPr>
          <w:b/>
          <w:lang w:val="en_US" w:bidi="en_US"/>
        </w:rPr>
        <w:t>but the end is not imminent.”</w:t>
      </w:r>
    </w:p>
    <w:p>
      <w:pPr>
        <w:pStyle w:val="ListBullet"/>
        <w:spacing w:line="240" w:lineRule="auto"/>
        <w:ind w:left="720"/>
      </w:pPr>
      <w:r>
        <w:rPr>
          <w:lang w:val="en_US" w:bidi="en_US"/>
        </w:rPr>
      </w:r>
      <w:r>
        <w:rPr>
          <w:lang w:val="en_US" w:bidi="en_US"/>
        </w:rPr>
        <w:t>but the end will not follow immediately after these things.”</w:t>
      </w:r>
    </w:p>
    <w:p>
      <w:pPr>
        <w:pStyle w:val="ListBullet"/>
        <w:spacing w:line="240" w:lineRule="auto"/>
        <w:ind w:left="720"/>
      </w:pPr>
      <w:r>
        <w:rPr>
          <w:lang w:val="en_US" w:bidi="en_US"/>
        </w:rPr>
      </w:r>
      <w:r>
        <w:rPr>
          <w:lang w:val="en_US" w:bidi="en_US"/>
        </w:rPr>
        <w:t>the age</w:t>
      </w:r>
      <w:r>
        <w:rPr>
          <w:lang w:val="en_US" w:bidi="en_US"/>
        </w:rPr>
        <w:t xml:space="preserve"> ends. But </w:t>
      </w:r>
      <w:r>
        <w:rPr>
          <w:lang w:val="en_US" w:bidi="en_US"/>
        </w:rPr>
        <w:t>these wars do not indicate</w:t>
      </w:r>
      <w:r>
        <w:rPr>
          <w:lang w:val="en_US" w:bidi="en_US"/>
        </w:rPr>
        <w:t xml:space="preserve"> that it will end immediately.”</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statement that contrasts with what people expect. People may expect that wars and revolutions will show that the end of the world/age has come, but that it not true. Translate the contrast in a natural way in your language.</w:t>
      </w:r>
    </w:p>
    <w:p>
      <w:pPr/>
      <w:r>
        <w:rPr>
          <w:lang w:val="en_US" w:bidi="en_US"/>
        </w:rPr>
      </w:r>
      <w:r>
        <w:rPr>
          <w:b/>
          <w:lang w:val="en_US" w:bidi="en_US"/>
        </w:rPr>
        <w:t>the end is not imminent:</w:t>
      </w:r>
      <w:r>
        <w:rPr>
          <w:lang w:val="en_US" w:bidi="en_US"/>
        </w:rPr>
        <w:t xml:space="preserve"> The Greek clause that the BSB translates as </w:t>
      </w:r>
      <w:r>
        <w:rPr>
          <w:i/>
          <w:lang w:val="en_US" w:bidi="en_US"/>
        </w:rPr>
        <w:t>the end is not imminent</w:t>
      </w:r>
      <w:r>
        <w:rPr>
          <w:lang w:val="en_US" w:bidi="en_US"/>
        </w:rPr>
        <w:t xml:space="preserve"> is more literally “not immediately </w:t>
      </w:r>
      <w:r>
        <w:rPr>
          <w:lang w:val="en_US" w:bidi="en_US"/>
        </w:rPr>
        <w:t>is</w:t>
      </w:r>
      <w:r>
        <w:rPr>
          <w:lang w:val="en_US" w:bidi="en_US"/>
        </w:rPr>
        <w:t xml:space="preserve"> the end.” Some ways to translate this are:</w:t>
      </w:r>
    </w:p>
    <w:p>
      <w:pPr/>
      <w:r>
        <w:rPr>
          <w:lang w:val="en_US" w:bidi="en_US"/>
        </w:rPr>
      </w:r>
      <w:r>
        <w:rPr>
          <w:lang w:val="en_US" w:bidi="en_US"/>
        </w:rPr>
        <w:t>this does not show/mean that the world/age</w:t>
      </w:r>
      <w:r>
        <w:rPr>
          <w:lang w:val="en_US" w:bidi="en_US"/>
        </w:rPr>
        <w:t xml:space="preserve"> will end at that time</w:t>
      </w:r>
    </w:p>
    <w:p>
      <w:pPr/>
      <w:r>
        <w:rPr>
          <w:lang w:val="en_US" w:bidi="en_US"/>
        </w:rPr>
      </w:r>
      <w:r>
        <w:rPr>
          <w:lang w:val="en_US" w:bidi="en_US"/>
        </w:rPr>
        <w:t xml:space="preserve">it is not the end </w:t>
      </w:r>
      <w:r>
        <w:rPr>
          <w:lang w:val="en_US" w:bidi="en_US"/>
        </w:rPr>
        <w:t>of the world/age</w:t>
      </w:r>
      <w:r>
        <w:rPr>
          <w:lang w:val="en_US" w:bidi="en_US"/>
        </w:rPr>
        <w:t xml:space="preserve"> yet</w:t>
      </w:r>
    </w:p>
    <w:p>
      <w:pPr/>
      <w:r>
        <w:rPr>
          <w:lang w:val="en_US" w:bidi="en_US"/>
        </w:rPr>
      </w:r>
      <w:r>
        <w:rPr>
          <w:b/>
          <w:lang w:val="en_US" w:bidi="en_US"/>
        </w:rPr>
        <w:t>the end:</w:t>
      </w:r>
      <w:r>
        <w:rPr>
          <w:lang w:val="en_US" w:bidi="en_US"/>
        </w:rPr>
        <w:t xml:space="preserve"> The phrase </w:t>
      </w:r>
      <w:r>
        <w:rPr>
          <w:i/>
          <w:lang w:val="en_US" w:bidi="en_US"/>
        </w:rPr>
        <w:t>the end</w:t>
      </w:r>
      <w:r>
        <w:rPr>
          <w:lang w:val="en_US" w:bidi="en_US"/>
        </w:rPr>
        <w:t xml:space="preserve"> can refer here either to the destruction of the temple or to the end of the world/age. This phrase implies that the people were expecting this end to come. In some languages it may be helpful to indicate that. For example:</w:t>
      </w:r>
    </w:p>
    <w:p>
      <w:pPr/>
      <w:r>
        <w:rPr>
          <w:lang w:val="en_US" w:bidi="en_US"/>
        </w:rPr>
      </w:r>
      <w:r>
        <w:rPr>
          <w:lang w:val="en_US" w:bidi="en_US"/>
        </w:rPr>
        <w:t xml:space="preserve">the end </w:t>
      </w:r>
      <w:r>
        <w:rPr>
          <w:lang w:val="en_US" w:bidi="en_US"/>
        </w:rPr>
        <w:t>that you are expecting</w:t>
      </w:r>
    </w:p>
    <w:p>
      <w:pPr/>
      <w:r>
        <w:rPr>
          <w:lang w:val="en_US" w:bidi="en_US"/>
        </w:rPr>
      </w:r>
      <w:r>
        <w:rPr>
          <w:lang w:val="en_US" w:bidi="en_US"/>
        </w:rPr>
        <w:t xml:space="preserve">The phrase </w:t>
      </w:r>
      <w:r>
        <w:rPr>
          <w:i/>
          <w:lang w:val="en_US" w:bidi="en_US"/>
        </w:rPr>
        <w:t>the end</w:t>
      </w:r>
      <w:r>
        <w:rPr>
          <w:lang w:val="en_US" w:bidi="en_US"/>
        </w:rPr>
        <w:t xml:space="preserve"> occurs in a prophecy. It is common for prophetic phrases to apply to more than one event. Some scholars believe that </w:t>
      </w:r>
      <w:r>
        <w:rPr>
          <w:i/>
          <w:lang w:val="en_US" w:bidi="en_US"/>
        </w:rPr>
        <w:t>the end</w:t>
      </w:r>
      <w:r>
        <w:rPr>
          <w:lang w:val="en_US" w:bidi="en_US"/>
        </w:rPr>
        <w:t xml:space="preserve"> of the temple will show in a small way what the end of the world will be like. In a sense, the end of the temple was the end of an age.</w:t>
      </w:r>
      <w:r>
        <w:rPr>
          <w:lang w:val="en_US" w:bidi="en_US"/>
        </w:rPr>
        <w:t>Geldenhuys (p. 537) says, “Jesus foretold the dreadful fate awaiting the people of Jerusalem in the destruction of their city and temple. It will be so terrible (and actually was so) that the Saviour held it up as a clear foreshadowing of the Last Days and the Final Judgment, as appears from Mark 13….” Bock (p. 1680) indicates that “Jerusalem’s fall in the short term is analogous for the end, as its fate pictures the consequence of unfaithfulness for the world.” Giblin (p. 92) says, “Jerusalem’s fate is a concrete forecast or type of the day of reckoning for nations….it is not only meaningful in itself, but also sheds light on a further, climactic event….”</w:t>
      </w:r>
    </w:p>
    <w:p>
      <w:pPr/>
      <w:r>
        <w:rPr>
          <w:lang w:val="en_US" w:bidi="en_US"/>
        </w:rPr>
      </w:r>
      <w:r>
        <w:rPr>
          <w:lang w:val="en_US" w:bidi="en_US"/>
        </w:rPr>
        <w:t>If you must specify what will end, use a term that can refer either to the end of the world/age or of the temple. However, if you must be specific, you may refer to the end of the world or age. For example:</w:t>
      </w:r>
    </w:p>
    <w:p>
      <w:pPr/>
      <w:r>
        <w:rPr>
          <w:lang w:val="en_US" w:bidi="en_US"/>
        </w:rPr>
      </w:r>
      <w:r>
        <w:rPr>
          <w:lang w:val="en_US" w:bidi="en_US"/>
        </w:rPr>
        <w:t>the age</w:t>
      </w:r>
      <w:r>
        <w:rPr>
          <w:lang w:val="en_US" w:bidi="en_US"/>
        </w:rPr>
        <w:t xml:space="preserve"> will end</w:t>
      </w:r>
    </w:p>
    <w:p>
      <w:pPr/>
      <w:r>
        <w:rPr>
          <w:lang w:val="en_US" w:bidi="en_US"/>
        </w:rPr>
      </w:r>
      <w:r>
        <w:rPr>
          <w:lang w:val="en_US" w:bidi="en_US"/>
        </w:rPr>
        <w:t xml:space="preserve">the end </w:t>
      </w:r>
      <w:r>
        <w:rPr>
          <w:lang w:val="en_US" w:bidi="en_US"/>
        </w:rPr>
        <w:t>of the world</w:t>
      </w:r>
    </w:p>
    <w:p>
      <w:pPr>
        <w:pStyle w:val="Heading6"/>
      </w:pPr>
      <w:r>
        <w:rPr>
          <w:b/>
          <w:lang w:val="en_US" w:bidi="en_US"/>
        </w:rPr>
        <w:t>General Comment on 21:9c–d</w:t>
      </w:r>
    </w:p>
    <w:p>
      <w:pPr/>
      <w:r>
        <w:rPr>
          <w:lang w:val="en_US" w:bidi="en_US"/>
        </w:rPr>
      </w:r>
      <w:r>
        <w:rPr>
          <w:lang w:val="en_US" w:bidi="en_US"/>
        </w:rPr>
        <w:t>In some languages the word “first” in 21:9c may be confusing. Some other ways to translate the meaning in 21:9c–d are:</w:t>
      </w:r>
    </w:p>
    <w:p>
      <w:pPr/>
      <w:r>
        <w:rPr>
          <w:lang w:val="en_US" w:bidi="en_US"/>
        </w:rPr>
      </w:r>
      <w:r>
        <w:rPr>
          <w:lang w:val="en_US" w:bidi="en_US"/>
        </w:rPr>
        <w:t>These things must happen, but the end of the world is not yet.</w:t>
      </w:r>
      <w:r>
        <w:rPr>
          <w:lang w:val="en_US" w:bidi="en_US"/>
        </w:rPr>
        <w:t>Kankanaey back translation on TW.</w:t>
      </w:r>
    </w:p>
    <w:p>
      <w:pPr/>
      <w:r>
        <w:rPr>
          <w:lang w:val="en_US" w:bidi="en_US"/>
        </w:rPr>
      </w:r>
      <w:r>
        <w:rPr>
          <w:lang w:val="en_US" w:bidi="en_US"/>
        </w:rPr>
        <w:t>It is necessary for such things to occur before the world/age ends, but the end will not follow immediately.</w:t>
      </w:r>
      <w:r>
        <w:rPr>
          <w:lang w:val="en_US" w:bidi="en_US"/>
        </w:rPr>
      </w:r>
      <w:r>
        <w:rPr>
          <w:lang w:val="en_US" w:bidi="en_US"/>
        </w:rPr>
      </w:r>
    </w:p>
    <w:p>
      <w:pPr/>
      <w:r>
        <w:rPr>
          <w:lang w:val="en_US" w:bidi="en_US"/>
        </w:rPr>
      </w:r>
    </w:p>
    <w:p>
      <w:pPr>
        <w:pStyle w:val="Heading2"/>
      </w:pPr>
      <w:r>
        <w:rPr>
          <w:lang w:val="en_US" w:bidi="en_US"/>
        </w:rPr>
        <w:t>Luke 21:10</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21:10a–b</w:t>
      </w:r>
    </w:p>
    <w:p>
      <w:pPr/>
      <w:r>
        <w:rPr>
          <w:lang w:val="en_US" w:bidi="en_US"/>
        </w:rPr>
      </w:r>
      <w:r>
        <w:rPr>
          <w:b/>
          <w:lang w:val="en_US" w:bidi="en_US"/>
        </w:rPr>
        <w:t>Then He told them:</w:t>
      </w:r>
      <w:r>
        <w:rPr>
          <w:lang w:val="en_US" w:bidi="en_US"/>
        </w:rPr>
        <w:t xml:space="preserve"> The Greek phrase that the BSB translates as </w:t>
      </w:r>
      <w:r>
        <w:rPr>
          <w:i/>
          <w:lang w:val="en_US" w:bidi="en_US"/>
        </w:rPr>
        <w:t>Then He told them</w:t>
      </w:r>
      <w:r>
        <w:rPr>
          <w:lang w:val="en_US" w:bidi="en_US"/>
        </w:rPr>
        <w:t xml:space="preserve"> is literally “Then he was saying to them.” Luke used this phrase to focus attention on what Jesus would say next. Some other ways to translate this are:</w:t>
      </w:r>
    </w:p>
    <w:p>
      <w:pPr/>
      <w:r>
        <w:rPr>
          <w:lang w:val="en_US" w:bidi="en_US"/>
        </w:rPr>
      </w:r>
      <w:r>
        <w:rPr>
          <w:lang w:val="en_US" w:bidi="en_US"/>
        </w:rPr>
        <w:t>Then Jesus continued (GW)</w:t>
      </w:r>
    </w:p>
    <w:p>
      <w:pPr/>
      <w:r>
        <w:rPr>
          <w:lang w:val="en_US" w:bidi="en_US"/>
        </w:rPr>
      </w:r>
      <w:r>
        <w:rPr>
          <w:lang w:val="en_US" w:bidi="en_US"/>
        </w:rPr>
        <w:t>Then He continued by saying to them (NASB)</w:t>
      </w:r>
    </w:p>
    <w:p>
      <w:pPr/>
      <w:r>
        <w:rPr>
          <w:lang w:val="en_US" w:bidi="en_US"/>
        </w:rPr>
      </w:r>
      <w:r>
        <w:rPr>
          <w:lang w:val="en_US" w:bidi="en_US"/>
        </w:rPr>
        <w:t>Then he added (REB)</w:t>
      </w:r>
    </w:p>
    <w:p>
      <w:pPr/>
      <w:r>
        <w:rPr>
          <w:lang w:val="en_US" w:bidi="en_US"/>
        </w:rPr>
      </w:r>
      <w:r>
        <w:rPr>
          <w:lang w:val="en_US" w:bidi="en_US"/>
        </w:rPr>
        <w:t>In some languages, it is not necessary to include a phrase like this, because the same person is still speaking to the same people. Continue what Jesus said in a way that is natural in your language.</w:t>
      </w:r>
    </w:p>
    <w:p>
      <w:pPr/>
      <w:r>
        <w:rPr>
          <w:lang w:val="en_US" w:bidi="en_US"/>
        </w:rPr>
      </w:r>
      <w:r>
        <w:rPr>
          <w:b/>
          <w:lang w:val="en_US" w:bidi="en_US"/>
        </w:rPr>
        <w:t>Nation will rise against nation, and kingdom against kingdom:</w:t>
      </w:r>
      <w:r>
        <w:rPr>
          <w:lang w:val="en_US" w:bidi="en_US"/>
        </w:rPr>
        <w:t xml:space="preserve"> There is an ellipsis here. The full form is:</w:t>
      </w:r>
    </w:p>
    <w:p>
      <w:pPr/>
      <w:r>
        <w:rPr>
          <w:lang w:val="en_US" w:bidi="en_US"/>
        </w:rPr>
      </w:r>
      <w:r>
        <w:rPr>
          <w:lang w:val="en_US" w:bidi="en_US"/>
        </w:rPr>
        <w:t xml:space="preserve">Nation will rise against nation, and kingdom </w:t>
      </w:r>
      <w:r>
        <w:rPr>
          <w:lang w:val="en_US" w:bidi="en_US"/>
        </w:rPr>
        <w:t>will rise against</w:t>
      </w:r>
      <w:r>
        <w:rPr>
          <w:lang w:val="en_US" w:bidi="en_US"/>
        </w:rPr>
        <w:t xml:space="preserve"> kingdom.</w:t>
      </w:r>
    </w:p>
    <w:p>
      <w:pPr/>
      <w:r>
        <w:rPr>
          <w:lang w:val="en_US" w:bidi="en_US"/>
        </w:rPr>
      </w:r>
      <w:r>
        <w:rPr>
          <w:lang w:val="en_US" w:bidi="en_US"/>
        </w:rPr>
        <w:t xml:space="preserve">The Greek verb that the BSB translates as </w:t>
      </w:r>
      <w:r>
        <w:rPr>
          <w:i/>
          <w:lang w:val="en_US" w:bidi="en_US"/>
        </w:rPr>
        <w:t>will rise against</w:t>
      </w:r>
      <w:r>
        <w:rPr>
          <w:lang w:val="en_US" w:bidi="en_US"/>
        </w:rPr>
        <w:t xml:space="preserve"> is used in a figurative way. Here it means “will attack” or “will fight against.” It indicates that nations and kingdoms will attack and fight each other. Jesus implied that these attacks/wars would happen many times to many nations and kingdoms. Consider whether it is more natural in your language to use singular or plural forms.</w:t>
      </w:r>
    </w:p>
    <w:p>
      <w:pPr/>
      <w:r>
        <w:rPr>
          <w:lang w:val="en_US" w:bidi="en_US"/>
        </w:rPr>
      </w:r>
      <w:r>
        <w:rPr>
          <w:lang w:val="en_US" w:bidi="en_US"/>
        </w:rPr>
        <w:t>Some ways to translate the ellipsis in this verse are:</w:t>
      </w:r>
    </w:p>
    <w:p>
      <w:pPr>
        <w:pStyle w:val="ListBullet"/>
        <w:spacing w:line="240" w:lineRule="auto"/>
        <w:ind w:left="720"/>
      </w:pPr>
      <w:r>
        <w:rPr>
          <w:lang w:val="en_US" w:bidi="en_US"/>
        </w:rPr>
      </w:r>
      <w:r>
        <w:rPr>
          <w:lang w:val="en_US" w:bidi="en_US"/>
        </w:rPr>
        <w:t>Repeat the same verb in both 21:10a and 21:10b. For example:</w:t>
      </w:r>
      <w:r>
        <w:rPr>
          <w:lang w:val="en_US" w:bidi="en_US"/>
        </w:rPr>
        <w:t>One tribe will fight with another tribe, and one kingdom will fight with another kingdom.</w:t>
      </w:r>
      <w:r>
        <w:rPr>
          <w:lang w:val="en_US" w:bidi="en_US"/>
        </w:rPr>
        <w:t>Yakan back translation on TW.</w:t>
      </w:r>
    </w:p>
    <w:p>
      <w:pPr>
        <w:pStyle w:val="ListBullet"/>
        <w:spacing w:line="240" w:lineRule="auto"/>
        <w:ind w:left="720"/>
      </w:pPr>
      <w:r>
        <w:rPr>
          <w:lang w:val="en_US" w:bidi="en_US"/>
        </w:rPr>
      </w:r>
      <w:r>
        <w:rPr>
          <w:lang w:val="en_US" w:bidi="en_US"/>
        </w:rPr>
        <w:t>Use different verbs with similar meanings in 21:10a and 21:10b. For example:</w:t>
      </w:r>
      <w:r>
        <w:rPr>
          <w:lang w:val="en_US" w:bidi="en_US"/>
        </w:rPr>
        <w:t>Countries will fight each other; kingdoms will attack one another. (GNT)</w:t>
      </w:r>
      <w:r>
        <w:rPr>
          <w:lang w:val="en_US" w:bidi="en_US"/>
        </w:rPr>
        <w:t>…many towns will fight-each-other, one king opposing the other king.</w:t>
      </w:r>
      <w:r>
        <w:rPr>
          <w:lang w:val="en_US" w:bidi="en_US"/>
        </w:rPr>
        <w:t>Uma back translation on TW.</w:t>
      </w:r>
    </w:p>
    <w:p>
      <w:pPr>
        <w:pStyle w:val="ListBullet"/>
        <w:spacing w:line="240" w:lineRule="auto"/>
        <w:ind w:left="720"/>
      </w:pPr>
      <w:r>
        <w:rPr>
          <w:lang w:val="en_US" w:bidi="en_US"/>
        </w:rPr>
      </w:r>
      <w:r>
        <w:rPr>
          <w:lang w:val="en_US" w:bidi="en_US"/>
        </w:rPr>
        <w:t>Translate “nations” and “kingdoms” as a compound subject and use one verb. For example:</w:t>
      </w:r>
      <w:r>
        <w:rPr>
          <w:lang w:val="en_US" w:bidi="en_US"/>
        </w:rPr>
        <w:t>Nations and kingdoms will proclaim war against each other. (NLT96)</w:t>
      </w:r>
    </w:p>
    <w:p>
      <w:pPr/>
      <w:r>
        <w:rPr>
          <w:lang w:val="en_US" w:bidi="en_US"/>
        </w:rPr>
      </w:r>
      <w:r>
        <w:rPr>
          <w:lang w:val="en_US" w:bidi="en_US"/>
        </w:rPr>
        <w:t>Translate the ellipsis in a natural way in your language.</w:t>
      </w:r>
    </w:p>
    <w:p>
      <w:pPr/>
      <w:r>
        <w:rPr>
          <w:lang w:val="en_US" w:bidi="en_US"/>
        </w:rPr>
      </w:r>
      <w:r>
        <w:rPr>
          <w:b/>
          <w:lang w:val="en_US" w:bidi="en_US"/>
        </w:rPr>
        <w:t>Nation…kingdom:</w:t>
      </w:r>
      <w:r>
        <w:rPr>
          <w:lang w:val="en_US" w:bidi="en_US"/>
        </w:rPr>
        <w:t xml:space="preserve"> The Greek words that the BSB translates as </w:t>
      </w:r>
      <w:r>
        <w:rPr>
          <w:i/>
          <w:lang w:val="en_US" w:bidi="en_US"/>
        </w:rPr>
        <w:t>Nation</w:t>
      </w:r>
      <w:r>
        <w:rPr>
          <w:lang w:val="en_US" w:bidi="en_US"/>
        </w:rPr>
        <w:t xml:space="preserve"> and </w:t>
      </w:r>
      <w:r>
        <w:rPr>
          <w:i/>
          <w:lang w:val="en_US" w:bidi="en_US"/>
        </w:rPr>
        <w:t>kingdom</w:t>
      </w:r>
      <w:r>
        <w:rPr>
          <w:lang w:val="en_US" w:bidi="en_US"/>
        </w:rPr>
        <w:t xml:space="preserve"> have similar meanings. See the notes on these words in 21:10a and 21:10b. In some languages it is not natural to use two different words to translate this meaning. If that is true in your language, you may use one word or phrase. For example:</w:t>
      </w:r>
    </w:p>
    <w:p>
      <w:pPr/>
      <w:r>
        <w:rPr>
          <w:lang w:val="en_US" w:bidi="en_US"/>
        </w:rPr>
      </w:r>
      <w:r>
        <w:rPr>
          <w:lang w:val="en_US" w:bidi="en_US"/>
        </w:rPr>
        <w:t>People of</w:t>
      </w:r>
      <w:r>
        <w:rPr>
          <w:lang w:val="en_US" w:bidi="en_US"/>
        </w:rPr>
        <w:t xml:space="preserve"> different nations/kingdoms will fight against people of other nations/kingdoms.</w:t>
      </w:r>
    </w:p>
    <w:p>
      <w:pPr>
        <w:pStyle w:val="Heading5"/>
      </w:pPr>
      <w:r>
        <w:rPr>
          <w:lang w:val="en_US" w:bidi="en_US"/>
        </w:rPr>
        <w:t>21:10a</w:t>
      </w:r>
    </w:p>
    <w:p>
      <w:pPr/>
      <w:r>
        <w:rPr>
          <w:lang w:val="en_US" w:bidi="en_US"/>
        </w:rPr>
      </w:r>
      <w:r>
        <w:rPr>
          <w:b/>
          <w:lang w:val="en_US" w:bidi="en_US"/>
        </w:rPr>
        <w:t>Then He told them, “Nation will rise against nation,</w:t>
      </w:r>
    </w:p>
    <w:p>
      <w:pPr>
        <w:pStyle w:val="ListBullet"/>
        <w:spacing w:line="240" w:lineRule="auto"/>
        <w:ind w:left="720"/>
      </w:pPr>
      <w:r>
        <w:rPr>
          <w:lang w:val="en_US" w:bidi="en_US"/>
        </w:rPr>
      </w:r>
      <w:r>
        <w:rPr>
          <w:lang w:val="en_US" w:bidi="en_US"/>
        </w:rPr>
        <w:t>Then Jesus told them, “Many countries will go to war against other countries,</w:t>
      </w:r>
    </w:p>
    <w:p>
      <w:pPr>
        <w:pStyle w:val="ListBullet"/>
        <w:spacing w:line="240" w:lineRule="auto"/>
        <w:ind w:left="720"/>
      </w:pPr>
      <w:r>
        <w:rPr>
          <w:lang w:val="en_US" w:bidi="en_US"/>
        </w:rPr>
      </w:r>
      <w:r>
        <w:rPr>
          <w:lang w:val="en_US" w:bidi="en_US"/>
        </w:rPr>
        <w:t>Then Jesus also said to them, “</w:t>
      </w:r>
      <w:r>
        <w:rPr>
          <w:lang w:val="en_US" w:bidi="en_US"/>
        </w:rPr>
        <w:t>Again and again</w:t>
      </w:r>
      <w:r>
        <w:rPr>
          <w:lang w:val="en_US" w:bidi="en_US"/>
        </w:rPr>
        <w:t xml:space="preserve"> </w:t>
      </w:r>
      <w:r>
        <w:rPr>
          <w:lang w:val="en_US" w:bidi="en_US"/>
        </w:rPr>
        <w:t>the people of</w:t>
      </w:r>
      <w:r>
        <w:rPr>
          <w:lang w:val="en_US" w:bidi="en_US"/>
        </w:rPr>
        <w:t xml:space="preserve"> different nations/tribes will fight </w:t>
      </w:r>
      <w:r>
        <w:rPr>
          <w:lang w:val="en_US" w:bidi="en_US"/>
        </w:rPr>
        <w:t>the people of</w:t>
      </w:r>
      <w:r>
        <w:rPr>
          <w:lang w:val="en_US" w:bidi="en_US"/>
        </w:rPr>
        <w:t xml:space="preserve"> other nations/tribes,</w:t>
      </w:r>
    </w:p>
    <w:p>
      <w:pPr/>
      <w:r>
        <w:rPr>
          <w:lang w:val="en_US" w:bidi="en_US"/>
        </w:rPr>
      </w:r>
      <w:r>
        <w:rPr>
          <w:b/>
          <w:lang w:val="en_US" w:bidi="en_US"/>
        </w:rPr>
        <w:t>Nation:</w:t>
      </w:r>
      <w:r>
        <w:rPr>
          <w:lang w:val="en_US" w:bidi="en_US"/>
        </w:rPr>
        <w:t xml:space="preserve"> The Greek word that the BSB translates as </w:t>
      </w:r>
      <w:r>
        <w:rPr>
          <w:i/>
          <w:lang w:val="en_US" w:bidi="en_US"/>
        </w:rPr>
        <w:t>Nation</w:t>
      </w:r>
      <w:r>
        <w:rPr>
          <w:lang w:val="en_US" w:bidi="en_US"/>
        </w:rPr>
        <w:t xml:space="preserve"> refers to a country, tribe, or ethnic group. It does not refer specifically to the government of a nation. It refers to the people of one nation or tribe. In some languages it may be more natural to mention “people” in the term. For example:</w:t>
      </w:r>
    </w:p>
    <w:p>
      <w:pPr/>
      <w:r>
        <w:rPr>
          <w:lang w:val="en_US" w:bidi="en_US"/>
        </w:rPr>
      </w:r>
      <w:r>
        <w:rPr>
          <w:lang w:val="en_US" w:bidi="en_US"/>
        </w:rPr>
        <w:t>People of different countries/tribes will fight/war against people of other countries/tribes.</w:t>
      </w:r>
    </w:p>
    <w:p>
      <w:pPr>
        <w:pStyle w:val="Heading5"/>
      </w:pPr>
      <w:r>
        <w:rPr>
          <w:lang w:val="en_US" w:bidi="en_US"/>
        </w:rPr>
        <w:t>21:10b</w:t>
      </w:r>
    </w:p>
    <w:p>
      <w:pPr/>
      <w:r>
        <w:rPr>
          <w:lang w:val="en_US" w:bidi="en_US"/>
        </w:rPr>
      </w:r>
      <w:r>
        <w:rPr>
          <w:b/>
          <w:lang w:val="en_US" w:bidi="en_US"/>
        </w:rPr>
        <w:t>and kingdom against kingdom.</w:t>
      </w:r>
    </w:p>
    <w:p>
      <w:pPr>
        <w:pStyle w:val="ListBullet"/>
        <w:spacing w:line="240" w:lineRule="auto"/>
        <w:ind w:left="720"/>
      </w:pPr>
      <w:r>
        <w:rPr>
          <w:lang w:val="en_US" w:bidi="en_US"/>
        </w:rPr>
      </w:r>
      <w:r>
        <w:rPr>
          <w:lang w:val="en_US" w:bidi="en_US"/>
        </w:rPr>
        <w:t xml:space="preserve">and many kingdoms </w:t>
      </w:r>
      <w:r>
        <w:rPr>
          <w:lang w:val="en_US" w:bidi="en_US"/>
        </w:rPr>
        <w:t>will attack</w:t>
      </w:r>
      <w:r>
        <w:rPr>
          <w:lang w:val="en_US" w:bidi="en_US"/>
        </w:rPr>
        <w:t xml:space="preserve"> other kingdoms.</w:t>
      </w:r>
    </w:p>
    <w:p>
      <w:pPr>
        <w:pStyle w:val="ListBullet"/>
        <w:spacing w:line="240" w:lineRule="auto"/>
        <w:ind w:left="720"/>
      </w:pPr>
      <w:r>
        <w:rPr>
          <w:lang w:val="en_US" w:bidi="en_US"/>
        </w:rPr>
      </w:r>
      <w:r>
        <w:rPr>
          <w:lang w:val="en_US" w:bidi="en_US"/>
        </w:rPr>
        <w:t xml:space="preserve">and </w:t>
      </w:r>
      <w:r>
        <w:rPr>
          <w:lang w:val="en_US" w:bidi="en_US"/>
        </w:rPr>
        <w:t>people</w:t>
      </w:r>
      <w:r>
        <w:rPr>
          <w:lang w:val="en_US" w:bidi="en_US"/>
        </w:rPr>
        <w:t xml:space="preserve"> who are ruled by one ruler/chief </w:t>
      </w:r>
      <w:r>
        <w:rPr>
          <w:lang w:val="en_US" w:bidi="en_US"/>
        </w:rPr>
        <w:t>will fight</w:t>
      </w:r>
      <w:r>
        <w:rPr>
          <w:lang w:val="en_US" w:bidi="en_US"/>
        </w:rPr>
        <w:t xml:space="preserve"> against </w:t>
      </w:r>
      <w:r>
        <w:rPr>
          <w:lang w:val="en_US" w:bidi="en_US"/>
        </w:rPr>
        <w:t>people</w:t>
      </w:r>
      <w:r>
        <w:rPr>
          <w:lang w:val="en_US" w:bidi="en_US"/>
        </w:rPr>
        <w:t xml:space="preserve"> ruled by another ruler/chief.</w:t>
      </w:r>
    </w:p>
    <w:p>
      <w:pPr/>
      <w:r>
        <w:rPr>
          <w:lang w:val="en_US" w:bidi="en_US"/>
        </w:rPr>
      </w:r>
      <w:r>
        <w:rPr>
          <w:b/>
          <w:lang w:val="en_US" w:bidi="en_US"/>
        </w:rPr>
        <w:t>and kingdom against kingdom:</w:t>
      </w:r>
      <w:r>
        <w:rPr>
          <w:lang w:val="en_US" w:bidi="en_US"/>
        </w:rPr>
        <w:t xml:space="preserve"> A </w:t>
      </w:r>
      <w:r>
        <w:rPr>
          <w:i/>
          <w:lang w:val="en_US" w:bidi="en_US"/>
        </w:rPr>
        <w:t>kingdom</w:t>
      </w:r>
      <w:r>
        <w:rPr>
          <w:lang w:val="en_US" w:bidi="en_US"/>
        </w:rPr>
        <w:t xml:space="preserve"> is the territory that a king rules. Here it refers to the people who live in the kingdom. Another way to translate 21:10b is:</w:t>
      </w:r>
    </w:p>
    <w:p>
      <w:pPr/>
      <w:r>
        <w:rPr>
          <w:lang w:val="en_US" w:bidi="en_US"/>
        </w:rPr>
      </w:r>
      <w:r>
        <w:rPr>
          <w:lang w:val="en_US" w:bidi="en_US"/>
        </w:rPr>
        <w:t xml:space="preserve">and </w:t>
      </w:r>
      <w:r>
        <w:rPr>
          <w:lang w:val="en_US" w:bidi="en_US"/>
        </w:rPr>
        <w:t>people</w:t>
      </w:r>
      <w:r>
        <w:rPr>
          <w:lang w:val="en_US" w:bidi="en_US"/>
        </w:rPr>
        <w:t xml:space="preserve"> who are ruled by one ruler/chief </w:t>
      </w:r>
      <w:r>
        <w:rPr>
          <w:lang w:val="en_US" w:bidi="en_US"/>
        </w:rPr>
        <w:t>will fight against</w:t>
      </w:r>
      <w:r>
        <w:rPr>
          <w:lang w:val="en_US" w:bidi="en_US"/>
        </w:rPr>
        <w:t xml:space="preserve"> </w:t>
      </w:r>
      <w:r>
        <w:rPr>
          <w:lang w:val="en_US" w:bidi="en_US"/>
        </w:rPr>
        <w:t>people</w:t>
      </w:r>
      <w:r>
        <w:rPr>
          <w:lang w:val="en_US" w:bidi="en_US"/>
        </w:rPr>
        <w:t xml:space="preserve"> who are ruled by another ruler/chief</w:t>
      </w:r>
      <w:r>
        <w:rPr>
          <w:lang w:val="en_US" w:bidi="en_US"/>
        </w:rPr>
      </w:r>
      <w:r>
        <w:rPr>
          <w:lang w:val="en_US" w:bidi="en_US"/>
        </w:rPr>
      </w:r>
    </w:p>
    <w:p>
      <w:pPr/>
      <w:r>
        <w:rPr>
          <w:lang w:val="en_US" w:bidi="en_US"/>
        </w:rPr>
      </w:r>
    </w:p>
    <w:p>
      <w:pPr>
        <w:pStyle w:val="Heading2"/>
      </w:pPr>
      <w:r>
        <w:rPr>
          <w:lang w:val="en_US" w:bidi="en_US"/>
        </w:rPr>
        <w:t>Luke 21:11</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21:11a</w:t>
      </w:r>
    </w:p>
    <w:p>
      <w:pPr/>
      <w:r>
        <w:rPr>
          <w:lang w:val="en_US" w:bidi="en_US"/>
        </w:rPr>
      </w:r>
      <w:r>
        <w:rPr>
          <w:b/>
          <w:lang w:val="en_US" w:bidi="en_US"/>
        </w:rPr>
        <w:t>There will be great earthquakes, famines, and pestilences in various places,</w:t>
      </w:r>
    </w:p>
    <w:p>
      <w:pPr>
        <w:pStyle w:val="ListBullet"/>
        <w:spacing w:line="240" w:lineRule="auto"/>
        <w:ind w:left="720"/>
      </w:pPr>
      <w:r>
        <w:rPr>
          <w:lang w:val="en_US" w:bidi="en_US"/>
        </w:rPr>
      </w:r>
      <w:r>
        <w:rPr>
          <w:lang w:val="en_US" w:bidi="en_US"/>
        </w:rPr>
        <w:t>In many places there will be severe earthquakes, famines, and plagues.</w:t>
      </w:r>
    </w:p>
    <w:p>
      <w:pPr>
        <w:pStyle w:val="ListBullet"/>
        <w:spacing w:line="240" w:lineRule="auto"/>
        <w:ind w:left="720"/>
      </w:pPr>
      <w:r>
        <w:rPr>
          <w:lang w:val="en_US" w:bidi="en_US"/>
        </w:rPr>
      </w:r>
      <w:r>
        <w:rPr>
          <w:lang w:val="en_US" w:bidi="en_US"/>
        </w:rPr>
        <w:t xml:space="preserve">In different places </w:t>
      </w:r>
      <w:r>
        <w:rPr>
          <w:lang w:val="en_US" w:bidi="en_US"/>
        </w:rPr>
        <w:t>in the world</w:t>
      </w:r>
      <w:r>
        <w:rPr>
          <w:lang w:val="en_US" w:bidi="en_US"/>
        </w:rPr>
        <w:t xml:space="preserve">, the earth will shake violently, terrible times of hunger </w:t>
      </w:r>
      <w:r>
        <w:rPr>
          <w:lang w:val="en_US" w:bidi="en_US"/>
        </w:rPr>
        <w:t>will come</w:t>
      </w:r>
      <w:r>
        <w:rPr>
          <w:lang w:val="en_US" w:bidi="en_US"/>
        </w:rPr>
        <w:t xml:space="preserve">, and severe diseases will spread quickly </w:t>
      </w:r>
      <w:r>
        <w:rPr>
          <w:lang w:val="en_US" w:bidi="en_US"/>
        </w:rPr>
        <w:t>to many people</w:t>
      </w:r>
      <w:r>
        <w:rPr>
          <w:lang w:val="en_US" w:bidi="en_US"/>
        </w:rPr>
        <w:t>.</w:t>
      </w:r>
    </w:p>
    <w:p>
      <w:pPr/>
      <w:r>
        <w:rPr>
          <w:lang w:val="en_US" w:bidi="en_US"/>
        </w:rPr>
      </w:r>
      <w:r>
        <w:rPr>
          <w:b/>
          <w:lang w:val="en_US" w:bidi="en_US"/>
        </w:rPr>
        <w:t>There will be great earthquakes, famines, and pestilences in various places:</w:t>
      </w:r>
      <w:r>
        <w:rPr>
          <w:lang w:val="en_US" w:bidi="en_US"/>
        </w:rPr>
        <w:t xml:space="preserve"> In this clause Jesus mentioned three things that will happen before the end. Probably all three of these things will happen in various places.</w:t>
      </w:r>
      <w:r>
        <w:rPr>
          <w:lang w:val="en_US" w:bidi="en_US"/>
        </w:rPr>
        <w:t xml:space="preserve">Some English versions seem to indicate that the phrase “in various places” goes only with “famines” and “pestilences,” rather than also with “earthquakes.” There is a slight difference in word order in some Greek manuscripts that might be interpreted in that way. However, Mark 13:8 specifies that earthquakes will happen in various places. The Notes take the view that the phrase “in various places” goes with all three words. Nolland (p. 992) mentions that the Greek terms for “famines” and “plagues” are </w:t>
      </w:r>
      <w:r>
        <w:rPr>
          <w:i/>
          <w:lang w:val="en_US" w:bidi="en_US"/>
        </w:rPr>
        <w:t>limoi</w:t>
      </w:r>
      <w:r>
        <w:rPr>
          <w:lang w:val="en_US" w:bidi="en_US"/>
        </w:rPr>
        <w:t xml:space="preserve"> and </w:t>
      </w:r>
      <w:r>
        <w:rPr>
          <w:i/>
          <w:lang w:val="en_US" w:bidi="en_US"/>
        </w:rPr>
        <w:t>loimoi</w:t>
      </w:r>
      <w:r>
        <w:rPr>
          <w:lang w:val="en_US" w:bidi="en_US"/>
        </w:rPr>
        <w:t>, which “form a natural literary pair.”</w:t>
      </w:r>
      <w:r>
        <w:rPr>
          <w:lang w:val="en_US" w:bidi="en_US"/>
        </w:rPr>
        <w:t xml:space="preserve"> Some other ways to translate the clause are:</w:t>
      </w:r>
    </w:p>
    <w:p>
      <w:pPr/>
      <w:r>
        <w:rPr>
          <w:lang w:val="en_US" w:bidi="en_US"/>
        </w:rPr>
      </w:r>
      <w:r>
        <w:rPr>
          <w:lang w:val="en_US" w:bidi="en_US"/>
        </w:rPr>
        <w:t>there will be severe earthquakes, famines and plagues in many places… (REB)</w:t>
      </w:r>
    </w:p>
    <w:p>
      <w:pPr/>
      <w:r>
        <w:rPr>
          <w:lang w:val="en_US" w:bidi="en_US"/>
        </w:rPr>
      </w:r>
      <w:r>
        <w:rPr>
          <w:lang w:val="en_US" w:bidi="en_US"/>
        </w:rPr>
        <w:t>In various places there will be great earthquakes, sicknesses, and a lack of food. (NCV)</w:t>
      </w:r>
    </w:p>
    <w:p>
      <w:pPr/>
      <w:r>
        <w:rPr>
          <w:lang w:val="en_US" w:bidi="en_US"/>
        </w:rPr>
      </w:r>
      <w:r>
        <w:rPr>
          <w:lang w:val="en_US" w:bidi="en_US"/>
        </w:rPr>
        <w:t>Terrible earthquakes, famines, and plagues will happen in many lands.</w:t>
      </w:r>
    </w:p>
    <w:p>
      <w:pPr/>
      <w:r>
        <w:rPr>
          <w:lang w:val="en_US" w:bidi="en_US"/>
        </w:rPr>
      </w:r>
      <w:r>
        <w:rPr>
          <w:b/>
          <w:lang w:val="en_US" w:bidi="en_US"/>
        </w:rPr>
        <w:t>great earthquakes:</w:t>
      </w:r>
      <w:r>
        <w:rPr>
          <w:lang w:val="en_US" w:bidi="en_US"/>
        </w:rPr>
        <w:t xml:space="preserve"> The Greek word that the BSB translates as </w:t>
      </w:r>
      <w:r>
        <w:rPr>
          <w:i/>
          <w:lang w:val="en_US" w:bidi="en_US"/>
        </w:rPr>
        <w:t>earthquakes</w:t>
      </w:r>
      <w:r>
        <w:rPr>
          <w:lang w:val="en_US" w:bidi="en_US"/>
        </w:rPr>
        <w:t xml:space="preserve"> refers to sudden and violent movements of the ground. The word </w:t>
      </w:r>
      <w:r>
        <w:rPr>
          <w:i/>
          <w:lang w:val="en_US" w:bidi="en_US"/>
        </w:rPr>
        <w:t>great</w:t>
      </w:r>
      <w:r>
        <w:rPr>
          <w:lang w:val="en_US" w:bidi="en_US"/>
        </w:rPr>
        <w:t xml:space="preserve"> implies that the shaking would be especially violent. When the ground shakes violently, buildings are often destroyed, and many people and animals may be killed.</w:t>
      </w:r>
    </w:p>
    <w:p>
      <w:pPr/>
      <w:r>
        <w:rPr>
          <w:lang w:val="en_US" w:bidi="en_US"/>
        </w:rPr>
      </w:r>
      <w:r>
        <w:rPr>
          <w:lang w:val="en_US" w:bidi="en_US"/>
        </w:rPr>
        <w:t>In some languages it may be more natural to use a phrase or clause to translate this meaning. For example:</w:t>
      </w:r>
    </w:p>
    <w:p>
      <w:pPr/>
      <w:r>
        <w:rPr>
          <w:lang w:val="en_US" w:bidi="en_US"/>
        </w:rPr>
      </w:r>
      <w:r>
        <w:rPr>
          <w:lang w:val="en_US" w:bidi="en_US"/>
        </w:rPr>
        <w:t>The earth will shake violently and cause great destruction.</w:t>
      </w:r>
    </w:p>
    <w:p>
      <w:pPr/>
      <w:r>
        <w:rPr>
          <w:lang w:val="en_US" w:bidi="en_US"/>
        </w:rPr>
      </w:r>
      <w:r>
        <w:rPr>
          <w:b/>
          <w:lang w:val="en_US" w:bidi="en_US"/>
        </w:rPr>
        <w:t>famines:</w:t>
      </w:r>
      <w:r>
        <w:rPr>
          <w:lang w:val="en_US" w:bidi="en_US"/>
        </w:rPr>
        <w:t xml:space="preserve"> The Greek word that the BSB translates as </w:t>
      </w:r>
      <w:r>
        <w:rPr>
          <w:i/>
          <w:lang w:val="en_US" w:bidi="en_US"/>
        </w:rPr>
        <w:t>famines</w:t>
      </w:r>
      <w:r>
        <w:rPr>
          <w:lang w:val="en_US" w:bidi="en_US"/>
        </w:rPr>
        <w:t xml:space="preserve"> refers to long periods of time when people do not have enough food to eat. Famines usually happen when there is no rain for a long time and crops do not grow. People become very hungry, and many people die because they do not have food. The word “famine” does not refer to the time before harvest each year when people are more hungry than usual.</w:t>
      </w:r>
    </w:p>
    <w:p>
      <w:pPr/>
      <w:r>
        <w:rPr>
          <w:lang w:val="en_US" w:bidi="en_US"/>
        </w:rPr>
      </w:r>
      <w:r>
        <w:rPr>
          <w:lang w:val="en_US" w:bidi="en_US"/>
        </w:rPr>
        <w:t xml:space="preserve">Other ways to translate </w:t>
      </w:r>
      <w:r>
        <w:rPr>
          <w:i/>
          <w:lang w:val="en_US" w:bidi="en_US"/>
        </w:rPr>
        <w:t>famines</w:t>
      </w:r>
      <w:r>
        <w:rPr>
          <w:lang w:val="en_US" w:bidi="en_US"/>
        </w:rPr>
        <w:t xml:space="preserve"> are:</w:t>
      </w:r>
    </w:p>
    <w:p>
      <w:pPr/>
      <w:r>
        <w:rPr>
          <w:lang w:val="en_US" w:bidi="en_US"/>
        </w:rPr>
      </w:r>
      <w:r>
        <w:rPr>
          <w:lang w:val="en_US" w:bidi="en_US"/>
        </w:rPr>
        <w:t xml:space="preserve">There will be no food to eat </w:t>
      </w:r>
      <w:r>
        <w:rPr>
          <w:lang w:val="en_US" w:bidi="en_US"/>
        </w:rPr>
        <w:t>and many people will die of hunger</w:t>
      </w:r>
      <w:r>
        <w:rPr>
          <w:lang w:val="en_US" w:bidi="en_US"/>
        </w:rPr>
        <w:t>.</w:t>
      </w:r>
    </w:p>
    <w:p>
      <w:pPr/>
      <w:r>
        <w:rPr>
          <w:lang w:val="en_US" w:bidi="en_US"/>
        </w:rPr>
      </w:r>
      <w:r>
        <w:rPr>
          <w:lang w:val="en_US" w:bidi="en_US"/>
        </w:rPr>
        <w:t>times of great hunger</w:t>
      </w:r>
    </w:p>
    <w:p>
      <w:pPr/>
      <w:r>
        <w:rPr>
          <w:lang w:val="en_US" w:bidi="en_US"/>
        </w:rPr>
      </w:r>
      <w:r>
        <w:rPr>
          <w:b/>
          <w:lang w:val="en_US" w:bidi="en_US"/>
        </w:rPr>
        <w:t>pestilences:</w:t>
      </w:r>
      <w:r>
        <w:rPr>
          <w:lang w:val="en_US" w:bidi="en_US"/>
        </w:rPr>
        <w:t xml:space="preserve"> The Greek word that the BSB translates as </w:t>
      </w:r>
      <w:r>
        <w:rPr>
          <w:i/>
          <w:lang w:val="en_US" w:bidi="en_US"/>
        </w:rPr>
        <w:t>pestilences</w:t>
      </w:r>
      <w:r>
        <w:rPr>
          <w:lang w:val="en_US" w:bidi="en_US"/>
        </w:rPr>
        <w:t xml:space="preserve"> refers to contagious diseases that can spread to many people within a short time. These diseases cause great suffering, and many people die from them. Other ways to translate this are:</w:t>
      </w:r>
    </w:p>
    <w:p>
      <w:pPr/>
      <w:r>
        <w:rPr>
          <w:lang w:val="en_US" w:bidi="en_US"/>
        </w:rPr>
      </w:r>
      <w:r>
        <w:rPr>
          <w:lang w:val="en_US" w:bidi="en_US"/>
        </w:rPr>
        <w:t>widespread contagious diseases</w:t>
      </w:r>
    </w:p>
    <w:p>
      <w:pPr/>
      <w:r>
        <w:rPr>
          <w:lang w:val="en_US" w:bidi="en_US"/>
        </w:rPr>
      </w:r>
      <w:r>
        <w:rPr>
          <w:lang w:val="en_US" w:bidi="en_US"/>
        </w:rPr>
        <w:t>plagues (GNT)</w:t>
      </w:r>
    </w:p>
    <w:p>
      <w:pPr/>
      <w:r>
        <w:rPr>
          <w:lang w:val="en_US" w:bidi="en_US"/>
        </w:rPr>
      </w:r>
      <w:r>
        <w:rPr>
          <w:lang w:val="en_US" w:bidi="en_US"/>
        </w:rPr>
        <w:t>dreadful diseases (GW)</w:t>
      </w:r>
    </w:p>
    <w:p>
      <w:pPr/>
      <w:r>
        <w:rPr>
          <w:lang w:val="en_US" w:bidi="en_US"/>
        </w:rPr>
      </w:r>
      <w:r>
        <w:rPr>
          <w:b/>
          <w:lang w:val="en_US" w:bidi="en_US"/>
        </w:rPr>
        <w:t>in various places:</w:t>
      </w:r>
      <w:r>
        <w:rPr>
          <w:lang w:val="en_US" w:bidi="en_US"/>
        </w:rPr>
        <w:t xml:space="preserve"> The phrase </w:t>
      </w:r>
      <w:r>
        <w:rPr>
          <w:i/>
          <w:lang w:val="en_US" w:bidi="en_US"/>
        </w:rPr>
        <w:t>in various places</w:t>
      </w:r>
      <w:r>
        <w:rPr>
          <w:lang w:val="en_US" w:bidi="en_US"/>
        </w:rPr>
        <w:t xml:space="preserve"> refers to different places in many parts of the world.</w:t>
      </w:r>
    </w:p>
    <w:p>
      <w:pPr>
        <w:pStyle w:val="Heading5"/>
      </w:pPr>
      <w:r>
        <w:rPr>
          <w:lang w:val="en_US" w:bidi="en_US"/>
        </w:rPr>
        <w:t>21:11b</w:t>
      </w:r>
    </w:p>
    <w:p>
      <w:pPr/>
      <w:r>
        <w:rPr>
          <w:lang w:val="en_US" w:bidi="en_US"/>
        </w:rPr>
      </w:r>
      <w:r>
        <w:rPr>
          <w:b/>
          <w:lang w:val="en_US" w:bidi="en_US"/>
        </w:rPr>
        <w:t>along with fearful sights and great signs from heaven.</w:t>
      </w:r>
    </w:p>
    <w:p>
      <w:pPr>
        <w:pStyle w:val="ListBullet"/>
        <w:spacing w:line="240" w:lineRule="auto"/>
        <w:ind w:left="720"/>
      </w:pPr>
      <w:r>
        <w:rPr>
          <w:lang w:val="en_US" w:bidi="en_US"/>
        </w:rPr>
      </w:r>
      <w:r>
        <w:rPr>
          <w:lang w:val="en_US" w:bidi="en_US"/>
        </w:rPr>
        <w:t>In the sky, terrors and amazing signs will appear.</w:t>
      </w:r>
    </w:p>
    <w:p>
      <w:pPr>
        <w:pStyle w:val="ListBullet"/>
        <w:spacing w:line="240" w:lineRule="auto"/>
        <w:ind w:left="720"/>
      </w:pPr>
      <w:r>
        <w:rPr>
          <w:lang w:val="en_US" w:bidi="en_US"/>
        </w:rPr>
      </w:r>
      <w:r>
        <w:rPr>
          <w:lang w:val="en_US" w:bidi="en_US"/>
        </w:rPr>
        <w:t>God will cause</w:t>
      </w:r>
      <w:r>
        <w:rPr>
          <w:lang w:val="en_US" w:bidi="en_US"/>
        </w:rPr>
        <w:t xml:space="preserve"> miraculous events/signs to happen in the sky, and these events will terrify </w:t>
      </w:r>
      <w:r>
        <w:rPr>
          <w:lang w:val="en_US" w:bidi="en_US"/>
        </w:rPr>
        <w:t>people</w:t>
      </w:r>
      <w:r>
        <w:rPr>
          <w:lang w:val="en_US" w:bidi="en_US"/>
        </w:rPr>
        <w:t>.”</w:t>
      </w:r>
    </w:p>
    <w:p>
      <w:pPr/>
      <w:r>
        <w:rPr>
          <w:lang w:val="en_US" w:bidi="en_US"/>
        </w:rPr>
      </w:r>
      <w:r>
        <w:rPr>
          <w:b/>
          <w:lang w:val="en_US" w:bidi="en_US"/>
        </w:rPr>
        <w:t>along with fearful sights and great signs from heaven:</w:t>
      </w:r>
      <w:r>
        <w:rPr>
          <w:lang w:val="en_US" w:bidi="en_US"/>
        </w:rPr>
        <w:t xml:space="preserve"> This part of the verse continues to describe events that will happen before the end.</w:t>
      </w:r>
      <w:r>
        <w:rPr>
          <w:lang w:val="en_US" w:bidi="en_US"/>
        </w:rPr>
        <w:t>There is some variation in word order here in the Greek manuscripts. Fitzmyer (p. 1337) says, “A different order of words is found in various manuscripts, but the sense of the text is not affected thereby.”</w:t>
      </w:r>
      <w:r>
        <w:rPr>
          <w:lang w:val="en_US" w:bidi="en_US"/>
        </w:rPr>
        <w:t xml:space="preserve"> In Greek, it contains the same verb as in 21:11a. Another way to translate it is:</w:t>
      </w:r>
    </w:p>
    <w:p>
      <w:pPr/>
      <w:r>
        <w:rPr>
          <w:lang w:val="en_US" w:bidi="en_US"/>
        </w:rPr>
      </w:r>
      <w:r>
        <w:rPr>
          <w:lang w:val="en_US" w:bidi="en_US"/>
        </w:rPr>
        <w:t>and there will be terrors and great signs from heaven (RSV)</w:t>
      </w:r>
    </w:p>
    <w:p>
      <w:pPr/>
      <w:r>
        <w:rPr>
          <w:lang w:val="en_US" w:bidi="en_US"/>
        </w:rPr>
      </w:r>
      <w:r>
        <w:rPr>
          <w:lang w:val="en_US" w:bidi="en_US"/>
        </w:rPr>
        <w:t xml:space="preserve">The phrase </w:t>
      </w:r>
      <w:r>
        <w:rPr>
          <w:i/>
          <w:lang w:val="en_US" w:bidi="en_US"/>
        </w:rPr>
        <w:t>from heaven</w:t>
      </w:r>
      <w:r>
        <w:rPr>
          <w:lang w:val="en_US" w:bidi="en_US"/>
        </w:rPr>
        <w:t xml:space="preserve"> probably tells where both the </w:t>
      </w:r>
      <w:r>
        <w:rPr>
          <w:i/>
          <w:lang w:val="en_US" w:bidi="en_US"/>
        </w:rPr>
        <w:t>fearful sights</w:t>
      </w:r>
      <w:r>
        <w:rPr>
          <w:lang w:val="en_US" w:bidi="en_US"/>
        </w:rPr>
        <w:t xml:space="preserve"> and </w:t>
      </w:r>
      <w:r>
        <w:rPr>
          <w:i/>
          <w:lang w:val="en_US" w:bidi="en_US"/>
        </w:rPr>
        <w:t>great signs</w:t>
      </w:r>
      <w:r>
        <w:rPr>
          <w:lang w:val="en_US" w:bidi="en_US"/>
        </w:rPr>
        <w:t xml:space="preserve"> will happen. Another way to say this is:</w:t>
      </w:r>
    </w:p>
    <w:p>
      <w:pPr/>
      <w:r>
        <w:rPr>
          <w:lang w:val="en_US" w:bidi="en_US"/>
        </w:rPr>
      </w:r>
      <w:r>
        <w:rPr>
          <w:lang w:val="en_US" w:bidi="en_US"/>
        </w:rPr>
        <w:t xml:space="preserve">in the sky terrors and signs </w:t>
      </w:r>
      <w:r>
        <w:rPr>
          <w:lang w:val="en_US" w:bidi="en_US"/>
        </w:rPr>
        <w:t>will appear</w:t>
      </w:r>
    </w:p>
    <w:p>
      <w:pPr/>
      <w:r>
        <w:rPr>
          <w:lang w:val="en_US" w:bidi="en_US"/>
        </w:rPr>
      </w:r>
      <w:r>
        <w:rPr>
          <w:lang w:val="en_US" w:bidi="en_US"/>
        </w:rPr>
        <w:t xml:space="preserve">It is possible that </w:t>
      </w:r>
      <w:r>
        <w:rPr>
          <w:i/>
          <w:lang w:val="en_US" w:bidi="en_US"/>
        </w:rPr>
        <w:t>fearful sights</w:t>
      </w:r>
      <w:r>
        <w:rPr>
          <w:lang w:val="en_US" w:bidi="en_US"/>
        </w:rPr>
        <w:t xml:space="preserve"> and </w:t>
      </w:r>
      <w:r>
        <w:rPr>
          <w:i/>
          <w:lang w:val="en_US" w:bidi="en_US"/>
        </w:rPr>
        <w:t>great signs</w:t>
      </w:r>
      <w:r>
        <w:rPr>
          <w:lang w:val="en_US" w:bidi="en_US"/>
        </w:rPr>
        <w:t xml:space="preserve"> refer to the same events. The </w:t>
      </w:r>
      <w:r>
        <w:rPr>
          <w:i/>
          <w:lang w:val="en_US" w:bidi="en_US"/>
        </w:rPr>
        <w:t>great signs</w:t>
      </w:r>
      <w:r>
        <w:rPr>
          <w:lang w:val="en_US" w:bidi="en_US"/>
        </w:rPr>
        <w:t xml:space="preserve"> will terrify people. Some ways to translate </w:t>
      </w:r>
      <w:r>
        <w:rPr>
          <w:i/>
          <w:lang w:val="en_US" w:bidi="en_US"/>
        </w:rPr>
        <w:t>fearful sights and great signs from heaven</w:t>
      </w:r>
      <w:r>
        <w:rPr>
          <w:lang w:val="en_US" w:bidi="en_US"/>
        </w:rPr>
        <w:t xml:space="preserve"> are:</w:t>
      </w:r>
    </w:p>
    <w:p>
      <w:pPr>
        <w:pStyle w:val="ListBullet"/>
        <w:spacing w:line="240" w:lineRule="auto"/>
        <w:ind w:left="720"/>
      </w:pPr>
      <w:r>
        <w:rPr>
          <w:lang w:val="en_US" w:bidi="en_US"/>
        </w:rPr>
      </w:r>
      <w:r>
        <w:rPr>
          <w:lang w:val="en_US" w:bidi="en_US"/>
        </w:rPr>
        <w:t>Translate them as two different events or sights. For example:</w:t>
      </w:r>
      <w:r>
        <w:rPr>
          <w:lang w:val="en_US" w:bidi="en_US"/>
        </w:rPr>
        <w:t>terrors and great signs from heaven (NASB)</w:t>
      </w:r>
      <w:r>
        <w:rPr>
          <w:lang w:val="en_US" w:bidi="en_US"/>
        </w:rPr>
        <w:t>terrifying sights/events and miraculous signs in the sky</w:t>
      </w:r>
    </w:p>
    <w:p>
      <w:pPr>
        <w:pStyle w:val="ListBullet"/>
        <w:spacing w:line="240" w:lineRule="auto"/>
        <w:ind w:left="720"/>
      </w:pPr>
      <w:r>
        <w:rPr>
          <w:lang w:val="en_US" w:bidi="en_US"/>
        </w:rPr>
      </w:r>
      <w:r>
        <w:rPr>
          <w:lang w:val="en_US" w:bidi="en_US"/>
        </w:rPr>
        <w:t>Translate them as one event or sight. For example:</w:t>
      </w:r>
      <w:r>
        <w:rPr>
          <w:lang w:val="en_US" w:bidi="en_US"/>
        </w:rPr>
        <w:t>terrifying signs in the sky</w:t>
      </w:r>
    </w:p>
    <w:p>
      <w:pPr/>
      <w:r>
        <w:rPr>
          <w:lang w:val="en_US" w:bidi="en_US"/>
        </w:rPr>
      </w:r>
      <w:r>
        <w:rPr>
          <w:b/>
          <w:lang w:val="en_US" w:bidi="en_US"/>
        </w:rPr>
        <w:t>fearful sights:</w:t>
      </w:r>
      <w:r>
        <w:rPr>
          <w:lang w:val="en_US" w:bidi="en_US"/>
        </w:rPr>
        <w:t xml:space="preserve"> The Greek word that the BSB translates as </w:t>
      </w:r>
      <w:r>
        <w:rPr>
          <w:i/>
          <w:lang w:val="en_US" w:bidi="en_US"/>
        </w:rPr>
        <w:t>fearful sights</w:t>
      </w:r>
      <w:r>
        <w:rPr>
          <w:lang w:val="en_US" w:bidi="en_US"/>
        </w:rPr>
        <w:t xml:space="preserve"> is literally “terrors.” It can refer to any sight or event that causes great fear. Other ways to translate it are:</w:t>
      </w:r>
    </w:p>
    <w:p>
      <w:pPr/>
      <w:r>
        <w:rPr>
          <w:lang w:val="en_US" w:bidi="en_US"/>
        </w:rPr>
      </w:r>
      <w:r>
        <w:rPr>
          <w:lang w:val="en_US" w:bidi="en_US"/>
        </w:rPr>
        <w:t>dreadful sights (JBP)</w:t>
      </w:r>
    </w:p>
    <w:p>
      <w:pPr/>
      <w:r>
        <w:rPr>
          <w:lang w:val="en_US" w:bidi="en_US"/>
        </w:rPr>
      </w:r>
      <w:r>
        <w:rPr>
          <w:lang w:val="en_US" w:bidi="en_US"/>
        </w:rPr>
        <w:t>terrifying things (GNT)</w:t>
      </w:r>
    </w:p>
    <w:p>
      <w:pPr/>
      <w:r>
        <w:rPr>
          <w:lang w:val="en_US" w:bidi="en_US"/>
        </w:rPr>
      </w:r>
      <w:r>
        <w:rPr>
          <w:lang w:val="en_US" w:bidi="en_US"/>
        </w:rPr>
        <w:t>terrors (RSV)</w:t>
      </w:r>
    </w:p>
    <w:p>
      <w:pPr/>
      <w:r>
        <w:rPr>
          <w:lang w:val="en_US" w:bidi="en_US"/>
        </w:rPr>
      </w:r>
      <w:r>
        <w:rPr>
          <w:b/>
          <w:lang w:val="en_US" w:bidi="en_US"/>
        </w:rPr>
        <w:t>great signs:</w:t>
      </w:r>
      <w:r>
        <w:rPr>
          <w:lang w:val="en_US" w:bidi="en_US"/>
        </w:rPr>
        <w:t xml:space="preserve"> The Greek word that the BSB translates as </w:t>
      </w:r>
      <w:r>
        <w:rPr>
          <w:i/>
          <w:lang w:val="en_US" w:bidi="en_US"/>
        </w:rPr>
        <w:t>signs</w:t>
      </w:r>
      <w:r>
        <w:rPr>
          <w:lang w:val="en_US" w:bidi="en_US"/>
        </w:rPr>
        <w:t xml:space="preserve"> refers to events or sights that have a special meaning. In this context, the </w:t>
      </w:r>
      <w:r>
        <w:rPr>
          <w:i/>
          <w:lang w:val="en_US" w:bidi="en_US"/>
        </w:rPr>
        <w:t>signs</w:t>
      </w:r>
      <w:r>
        <w:rPr>
          <w:lang w:val="en_US" w:bidi="en_US"/>
        </w:rPr>
        <w:t xml:space="preserve"> are amazing things that happen or appear in the sky. The text does not make explicit exactly what these signs mean. However, it implies that God causes them to show people on earth that something important or dreadful will soon happen.</w:t>
      </w:r>
    </w:p>
    <w:p>
      <w:pPr/>
      <w:r>
        <w:rPr>
          <w:lang w:val="en_US" w:bidi="en_US"/>
        </w:rPr>
      </w:r>
      <w:r>
        <w:rPr>
          <w:lang w:val="en_US" w:bidi="en_US"/>
        </w:rPr>
        <w:t>Some scholars believe that these signs are the same ones that are mentioned in 21:25–26. However, those signs will happen immediately before Jesus returns to earth. Many scholars believe that these signs in 21:25–26 will happen in the same time period as the events of 21:8–9.</w:t>
      </w:r>
      <w:r>
        <w:rPr>
          <w:lang w:val="en_US" w:bidi="en_US"/>
        </w:rPr>
        <w:t xml:space="preserve">For example, Marshall (pp. 765–766) states, “Such signs were believed to have occurred before the fall of Jerusalem…and Luke may have regarded these sayings as referring to them, in which case there is a parallel between the signs before the fall of Jerusalem and before the End….These ‘signs’ stand under the rubric of verse 9b….The point is that such phenomena are </w:t>
      </w:r>
      <w:r>
        <w:rPr>
          <w:i/>
          <w:lang w:val="en_US" w:bidi="en_US"/>
        </w:rPr>
        <w:t>not</w:t>
      </w:r>
      <w:r>
        <w:rPr>
          <w:lang w:val="en_US" w:bidi="en_US"/>
        </w:rPr>
        <w:t xml:space="preserve"> apocalyptic signs of the End.”</w:t>
      </w:r>
    </w:p>
    <w:p>
      <w:pPr/>
      <w:r>
        <w:rPr>
          <w:lang w:val="en_US" w:bidi="en_US"/>
        </w:rPr>
      </w:r>
      <w:r>
        <w:rPr>
          <w:lang w:val="en_US" w:bidi="en_US"/>
        </w:rPr>
        <w:t xml:space="preserve">See also the notes on 21:7b. Other ways to translate </w:t>
      </w:r>
      <w:r>
        <w:rPr>
          <w:i/>
          <w:lang w:val="en_US" w:bidi="en_US"/>
        </w:rPr>
        <w:t>great signs</w:t>
      </w:r>
      <w:r>
        <w:rPr>
          <w:lang w:val="en_US" w:bidi="en_US"/>
        </w:rPr>
        <w:t xml:space="preserve"> are:</w:t>
      </w:r>
    </w:p>
    <w:p>
      <w:pPr/>
      <w:r>
        <w:rPr>
          <w:lang w:val="en_US" w:bidi="en_US"/>
        </w:rPr>
      </w:r>
      <w:r>
        <w:rPr>
          <w:lang w:val="en_US" w:bidi="en_US"/>
        </w:rPr>
        <w:t>miraculous signs (GW)</w:t>
      </w:r>
    </w:p>
    <w:p>
      <w:pPr/>
      <w:r>
        <w:rPr>
          <w:lang w:val="en_US" w:bidi="en_US"/>
        </w:rPr>
      </w:r>
      <w:r>
        <w:rPr>
          <w:lang w:val="en_US" w:bidi="en_US"/>
        </w:rPr>
        <w:t xml:space="preserve">amazing things/events to warn/show </w:t>
      </w:r>
      <w:r>
        <w:rPr>
          <w:lang w:val="en_US" w:bidi="en_US"/>
        </w:rPr>
        <w:t>people</w:t>
      </w:r>
      <w:r>
        <w:rPr>
          <w:lang w:val="en_US" w:bidi="en_US"/>
        </w:rPr>
        <w:t xml:space="preserve"> </w:t>
      </w:r>
      <w:r>
        <w:rPr>
          <w:lang w:val="en_US" w:bidi="en_US"/>
        </w:rPr>
        <w:t>to expect something crucial/dreadful</w:t>
      </w:r>
    </w:p>
    <w:p>
      <w:pPr/>
      <w:r>
        <w:rPr>
          <w:lang w:val="en_US" w:bidi="en_US"/>
        </w:rPr>
      </w:r>
      <w:r>
        <w:rPr>
          <w:b/>
          <w:lang w:val="en_US" w:bidi="en_US"/>
        </w:rPr>
        <w:t>from heaven:</w:t>
      </w:r>
      <w:r>
        <w:rPr>
          <w:lang w:val="en_US" w:bidi="en_US"/>
        </w:rPr>
        <w:t xml:space="preserve"> The phrase </w:t>
      </w:r>
      <w:r>
        <w:rPr>
          <w:i/>
          <w:lang w:val="en_US" w:bidi="en_US"/>
        </w:rPr>
        <w:t>from heaven</w:t>
      </w:r>
      <w:r>
        <w:rPr>
          <w:lang w:val="en_US" w:bidi="en_US"/>
        </w:rPr>
        <w:t xml:space="preserve"> means “from the sky,” and more specifically, “from” or “in” the clouds or the stars. Jesus probably referred here to strange things that would happen to the sun, moon, and stars. He continued to tell about this in 21:25–26. See heaven, Meaning 1, in the Glossary.</w:t>
      </w:r>
      <w:r>
        <w:rPr>
          <w:lang w:val="en_US" w:bidi="en_US"/>
        </w:rPr>
      </w:r>
      <w:r>
        <w:rPr>
          <w:lang w:val="en_US" w:bidi="en_US"/>
        </w:rPr>
      </w:r>
    </w:p>
    <w:p>
      <w:pPr/>
      <w:r>
        <w:rPr>
          <w:lang w:val="en_US" w:bidi="en_US"/>
        </w:rPr>
      </w:r>
    </w:p>
    <w:p>
      <w:pPr>
        <w:pStyle w:val="Heading2"/>
      </w:pPr>
      <w:r>
        <w:rPr>
          <w:lang w:val="en_US" w:bidi="en_US"/>
        </w:rPr>
        <w:t>Luke 21:12</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21:12a</w:t>
      </w:r>
    </w:p>
    <w:p>
      <w:pPr/>
      <w:r>
        <w:rPr>
          <w:lang w:val="en_US" w:bidi="en_US"/>
        </w:rPr>
      </w:r>
      <w:r>
        <w:rPr>
          <w:b/>
          <w:lang w:val="en_US" w:bidi="en_US"/>
        </w:rPr>
        <w:t>But before all this, they will seize you and persecute you.</w:t>
      </w:r>
    </w:p>
    <w:p>
      <w:pPr>
        <w:pStyle w:val="ListBullet"/>
        <w:spacing w:line="240" w:lineRule="auto"/>
        <w:ind w:left="720"/>
      </w:pPr>
      <w:r>
        <w:rPr>
          <w:lang w:val="en_US" w:bidi="en_US"/>
        </w:rPr>
      </w:r>
      <w:r>
        <w:rPr>
          <w:lang w:val="en_US" w:bidi="en_US"/>
        </w:rPr>
        <w:t>¶ “But before all these things happen, people will arrest you and persecute you.</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“Before all these things happen, </w:t>
      </w:r>
      <w:r>
        <w:rPr>
          <w:lang w:val="en_US" w:bidi="en_US"/>
        </w:rPr>
        <w:t>people</w:t>
      </w:r>
      <w:r>
        <w:rPr>
          <w:lang w:val="en_US" w:bidi="en_US"/>
        </w:rPr>
        <w:t xml:space="preserve"> will seize you</w:t>
      </w:r>
      <w:r>
        <w:rPr>
          <w:vertAlign w:val="superscript"/>
          <w:lang w:val="en_US" w:bidi="en_US"/>
        </w:rPr>
        <w:t>(plur)</w:t>
      </w:r>
      <w:r>
        <w:rPr>
          <w:lang w:val="en_US" w:bidi="en_US"/>
        </w:rPr>
        <w:t xml:space="preserve"> and treat you</w:t>
      </w:r>
      <w:r>
        <w:rPr>
          <w:vertAlign w:val="superscript"/>
          <w:lang w:val="en_US" w:bidi="en_US"/>
        </w:rPr>
        <w:t>(plur)</w:t>
      </w:r>
      <w:r>
        <w:rPr>
          <w:lang w:val="en_US" w:bidi="en_US"/>
        </w:rPr>
        <w:t xml:space="preserve"> badly/cruelly.</w:t>
      </w:r>
    </w:p>
    <w:p>
      <w:pPr/>
      <w:r>
        <w:rPr>
          <w:lang w:val="en_US" w:bidi="en_US"/>
        </w:rPr>
      </w:r>
      <w:r>
        <w:rPr>
          <w:b/>
          <w:lang w:val="en_US" w:bidi="en_US"/>
        </w:rPr>
        <w:t>But before all this:</w:t>
      </w:r>
      <w:r>
        <w:rPr>
          <w:lang w:val="en_US" w:bidi="en_US"/>
        </w:rPr>
        <w:t xml:space="preserve"> The phrase </w:t>
      </w:r>
      <w:r>
        <w:rPr>
          <w:i/>
          <w:lang w:val="en_US" w:bidi="en_US"/>
        </w:rPr>
        <w:t>But before all this</w:t>
      </w:r>
      <w:r>
        <w:rPr>
          <w:lang w:val="en_US" w:bidi="en_US"/>
        </w:rPr>
        <w:t xml:space="preserve"> introduces events that will happen before the events and signs in 21:10–11. Before those terrors and signs occur, people will persecute the disciples.</w:t>
      </w:r>
    </w:p>
    <w:p>
      <w:pPr/>
      <w:r>
        <w:rPr>
          <w:lang w:val="en_US" w:bidi="en_US"/>
        </w:rPr>
      </w:r>
      <w:r>
        <w:rPr>
          <w:lang w:val="en_US" w:bidi="en_US"/>
        </w:rPr>
        <w:t xml:space="preserve">In the Greek text this verse begins with a conjunction that the BSB translates as </w:t>
      </w:r>
      <w:r>
        <w:rPr>
          <w:i/>
          <w:lang w:val="en_US" w:bidi="en_US"/>
        </w:rPr>
        <w:t>But</w:t>
      </w:r>
      <w:r>
        <w:rPr>
          <w:lang w:val="en_US" w:bidi="en_US"/>
        </w:rPr>
        <w:t>. This is one way in English to introduce a transition between events that happened before the events in the preceding paragraph. In some languages a conjunction is not needed. For example:</w:t>
      </w:r>
    </w:p>
    <w:p>
      <w:pPr/>
      <w:r>
        <w:rPr>
          <w:lang w:val="en_US" w:bidi="en_US"/>
        </w:rPr>
      </w:r>
      <w:r>
        <w:rPr>
          <w:lang w:val="en_US" w:bidi="en_US"/>
        </w:rPr>
        <w:t>Before all these things happen (GW)</w:t>
      </w:r>
    </w:p>
    <w:p>
      <w:pPr/>
      <w:r>
        <w:rPr>
          <w:lang w:val="en_US" w:bidi="en_US"/>
        </w:rPr>
      </w:r>
      <w:r>
        <w:rPr>
          <w:lang w:val="en_US" w:bidi="en_US"/>
        </w:rPr>
        <w:t>Translate the sequence of events in a clear and natural way in your language.</w:t>
      </w:r>
    </w:p>
    <w:p>
      <w:pPr/>
      <w:r>
        <w:rPr>
          <w:lang w:val="en_US" w:bidi="en_US"/>
        </w:rPr>
      </w:r>
      <w:r>
        <w:rPr>
          <w:b/>
          <w:lang w:val="en_US" w:bidi="en_US"/>
        </w:rPr>
        <w:t>all this:</w:t>
      </w:r>
      <w:r>
        <w:rPr>
          <w:lang w:val="en_US" w:bidi="en_US"/>
        </w:rPr>
        <w:t xml:space="preserve"> The Greek phrase that the BSB translates as </w:t>
      </w:r>
      <w:r>
        <w:rPr>
          <w:i/>
          <w:lang w:val="en_US" w:bidi="en_US"/>
        </w:rPr>
        <w:t>all this</w:t>
      </w:r>
      <w:r>
        <w:rPr>
          <w:lang w:val="en_US" w:bidi="en_US"/>
        </w:rPr>
        <w:t xml:space="preserve"> is literally “all these things.” This phrase refers in general to the different things that Jesus mentioned in 21:10–11. It does not refer to one specific thing.</w:t>
      </w:r>
    </w:p>
    <w:p>
      <w:pPr/>
      <w:r>
        <w:rPr>
          <w:lang w:val="en_US" w:bidi="en_US"/>
        </w:rPr>
      </w:r>
      <w:r>
        <w:rPr>
          <w:b/>
          <w:lang w:val="en_US" w:bidi="en_US"/>
        </w:rPr>
        <w:t>they will seize you:</w:t>
      </w:r>
      <w:r>
        <w:rPr>
          <w:lang w:val="en_US" w:bidi="en_US"/>
        </w:rPr>
        <w:t xml:space="preserve"> The Greek phrase that the BSB translates as </w:t>
      </w:r>
      <w:r>
        <w:rPr>
          <w:i/>
          <w:lang w:val="en_US" w:bidi="en_US"/>
        </w:rPr>
        <w:t>will seize you</w:t>
      </w:r>
      <w:r>
        <w:rPr>
          <w:lang w:val="en_US" w:bidi="en_US"/>
        </w:rPr>
        <w:t xml:space="preserve"> means to seize or arrest someone. Jesus did not specify who would seize his disciples. The word </w:t>
      </w:r>
      <w:r>
        <w:rPr>
          <w:i/>
          <w:lang w:val="en_US" w:bidi="en_US"/>
        </w:rPr>
        <w:t>they</w:t>
      </w:r>
      <w:r>
        <w:rPr>
          <w:lang w:val="en_US" w:bidi="en_US"/>
        </w:rPr>
        <w:t xml:space="preserve"> in the BSB does not refer to any specific people. Some ways to translate the clause are:</w:t>
      </w:r>
    </w:p>
    <w:p>
      <w:pPr>
        <w:pStyle w:val="ListBullet"/>
        <w:spacing w:line="240" w:lineRule="auto"/>
        <w:ind w:left="720"/>
      </w:pPr>
      <w:r>
        <w:rPr>
          <w:lang w:val="en_US" w:bidi="en_US"/>
        </w:rPr>
      </w:r>
      <w:r>
        <w:rPr>
          <w:lang w:val="en_US" w:bidi="en_US"/>
        </w:rPr>
        <w:t>Use a general subject, such as “people” or “your enemies.” For example:</w:t>
      </w:r>
      <w:r>
        <w:rPr>
          <w:lang w:val="en_US" w:bidi="en_US"/>
        </w:rPr>
        <w:t>people will arrest…you (GW)</w:t>
      </w:r>
    </w:p>
    <w:p>
      <w:pPr>
        <w:pStyle w:val="ListBullet"/>
        <w:spacing w:line="240" w:lineRule="auto"/>
        <w:ind w:left="720"/>
      </w:pPr>
      <w:r>
        <w:rPr>
          <w:lang w:val="en_US" w:bidi="en_US"/>
        </w:rPr>
      </w:r>
      <w:r>
        <w:rPr>
          <w:lang w:val="en_US" w:bidi="en_US"/>
        </w:rPr>
        <w:t>Use a passive clause. For example:</w:t>
      </w:r>
      <w:r>
        <w:rPr>
          <w:lang w:val="en_US" w:bidi="en_US"/>
        </w:rPr>
        <w:t>you will be arrested (GNT)</w:t>
      </w:r>
    </w:p>
    <w:p>
      <w:pPr/>
      <w:r>
        <w:rPr>
          <w:lang w:val="en_US" w:bidi="en_US"/>
        </w:rPr>
      </w:r>
      <w:r>
        <w:rPr>
          <w:b/>
          <w:lang w:val="en_US" w:bidi="en_US"/>
        </w:rPr>
        <w:t>persecute:</w:t>
      </w:r>
      <w:r>
        <w:rPr>
          <w:lang w:val="en_US" w:bidi="en_US"/>
        </w:rPr>
        <w:t xml:space="preserve"> The Greek word that the BSB translates as </w:t>
      </w:r>
      <w:r>
        <w:rPr>
          <w:i/>
          <w:lang w:val="en_US" w:bidi="en_US"/>
        </w:rPr>
        <w:t>persecute</w:t>
      </w:r>
      <w:r>
        <w:rPr>
          <w:lang w:val="en_US" w:bidi="en_US"/>
        </w:rPr>
        <w:t xml:space="preserve"> means to cause trouble for people, to cause them to have pain and to suffer. The disciples would be persecuted in the two ways described in 21:12c–d. Other ways to translate this word are:</w:t>
      </w:r>
    </w:p>
    <w:p>
      <w:pPr/>
      <w:r>
        <w:rPr>
          <w:lang w:val="en_US" w:bidi="en_US"/>
        </w:rPr>
      </w:r>
      <w:r>
        <w:rPr>
          <w:lang w:val="en_US" w:bidi="en_US"/>
        </w:rPr>
        <w:t>harass</w:t>
      </w:r>
    </w:p>
    <w:p>
      <w:pPr/>
      <w:r>
        <w:rPr>
          <w:lang w:val="en_US" w:bidi="en_US"/>
        </w:rPr>
      </w:r>
      <w:r>
        <w:rPr>
          <w:lang w:val="en_US" w:bidi="en_US"/>
        </w:rPr>
        <w:t>treat…cruelly (NCV)</w:t>
      </w:r>
    </w:p>
    <w:p>
      <w:pPr/>
      <w:r>
        <w:rPr>
          <w:lang w:val="en_US" w:bidi="en_US"/>
        </w:rPr>
      </w:r>
      <w:r>
        <w:rPr>
          <w:lang w:val="en_US" w:bidi="en_US"/>
        </w:rPr>
        <w:t>Avoid a term that implies that disciples will be punished because they will do bad things. They will be persecuted because they follow Jesus, as 21:12b indicates.</w:t>
      </w:r>
    </w:p>
    <w:p>
      <w:pPr>
        <w:pStyle w:val="Heading5"/>
      </w:pPr>
      <w:r>
        <w:rPr>
          <w:lang w:val="en_US" w:bidi="en_US"/>
        </w:rPr>
        <w:t>21:12b</w:t>
      </w:r>
    </w:p>
    <w:p>
      <w:pPr/>
      <w:r>
        <w:rPr>
          <w:lang w:val="en_US" w:bidi="en_US"/>
        </w:rPr>
      </w:r>
      <w:r>
        <w:rPr>
          <w:b/>
          <w:lang w:val="en_US" w:bidi="en_US"/>
        </w:rPr>
        <w:t>On account of My name</w:t>
      </w:r>
    </w:p>
    <w:p>
      <w:pPr>
        <w:pStyle w:val="ListBullet"/>
        <w:spacing w:line="240" w:lineRule="auto"/>
        <w:ind w:left="720"/>
      </w:pPr>
      <w:r>
        <w:rPr>
          <w:lang w:val="en_US" w:bidi="en_US"/>
        </w:rPr>
      </w:r>
      <w:r>
        <w:rPr>
          <w:lang w:val="en_US" w:bidi="en_US"/>
        </w:rPr>
        <w:t xml:space="preserve">Because </w:t>
      </w:r>
      <w:r>
        <w:rPr>
          <w:lang w:val="en_US" w:bidi="en_US"/>
        </w:rPr>
        <w:t>you</w:t>
      </w:r>
      <w:r>
        <w:rPr>
          <w:vertAlign w:val="superscript"/>
          <w:lang w:val="en_US" w:bidi="en_US"/>
        </w:rPr>
        <w:t>(plur)</w:t>
      </w:r>
      <w:r>
        <w:rPr>
          <w:lang w:val="en_US" w:bidi="en_US"/>
        </w:rPr>
        <w:t xml:space="preserve"> </w:t>
      </w:r>
      <w:r>
        <w:rPr>
          <w:lang w:val="en_US" w:bidi="en_US"/>
        </w:rPr>
        <w:t>are called by</w:t>
      </w:r>
      <w:r>
        <w:rPr>
          <w:lang w:val="en_US" w:bidi="en_US"/>
        </w:rPr>
        <w:t xml:space="preserve"> my name,</w:t>
      </w:r>
    </w:p>
    <w:p>
      <w:pPr>
        <w:pStyle w:val="ListBullet"/>
        <w:spacing w:line="240" w:lineRule="auto"/>
        <w:ind w:left="720"/>
      </w:pPr>
      <w:r>
        <w:rPr>
          <w:lang w:val="en_US" w:bidi="en_US"/>
        </w:rPr>
      </w:r>
      <w:r>
        <w:rPr>
          <w:lang w:val="en_US" w:bidi="en_US"/>
        </w:rPr>
        <w:t>They will do this to you</w:t>
      </w:r>
      <w:r>
        <w:rPr>
          <w:lang w:val="en_US" w:bidi="en_US"/>
        </w:rPr>
        <w:t xml:space="preserve"> because </w:t>
      </w:r>
      <w:r>
        <w:rPr>
          <w:lang w:val="en_US" w:bidi="en_US"/>
        </w:rPr>
        <w:t>you</w:t>
      </w:r>
      <w:r>
        <w:rPr>
          <w:vertAlign w:val="superscript"/>
          <w:lang w:val="en_US" w:bidi="en_US"/>
        </w:rPr>
        <w:t>(plur)</w:t>
      </w:r>
      <w:r>
        <w:rPr>
          <w:lang w:val="en_US" w:bidi="en_US"/>
        </w:rPr>
        <w:t xml:space="preserve"> </w:t>
      </w:r>
      <w:r>
        <w:rPr>
          <w:lang w:val="en_US" w:bidi="en_US"/>
        </w:rPr>
        <w:t>are</w:t>
      </w:r>
      <w:r>
        <w:rPr>
          <w:lang w:val="en_US" w:bidi="en_US"/>
        </w:rPr>
        <w:t xml:space="preserve"> my </w:t>
      </w:r>
      <w:r>
        <w:rPr>
          <w:lang w:val="en_US" w:bidi="en_US"/>
        </w:rPr>
        <w:t>disciples</w:t>
      </w:r>
    </w:p>
    <w:p>
      <w:pPr/>
      <w:r>
        <w:rPr>
          <w:lang w:val="en_US" w:bidi="en_US"/>
        </w:rPr>
      </w:r>
      <w:r>
        <w:rPr>
          <w:b/>
          <w:lang w:val="en_US" w:bidi="en_US"/>
        </w:rPr>
        <w:t>On account of My name:</w:t>
      </w:r>
      <w:r>
        <w:rPr>
          <w:lang w:val="en_US" w:bidi="en_US"/>
        </w:rPr>
        <w:t xml:space="preserve"> The phrase </w:t>
      </w:r>
      <w:r>
        <w:rPr>
          <w:i/>
          <w:lang w:val="en_US" w:bidi="en_US"/>
        </w:rPr>
        <w:t>On account of My name</w:t>
      </w:r>
      <w:r>
        <w:rPr>
          <w:lang w:val="en_US" w:bidi="en_US"/>
        </w:rPr>
        <w:t xml:space="preserve"> gives the reason that people will persecute the disciples. The people will persecute them because of Jesus, and more specifically, because they were Jesus’ disciples. They believed in Jesus, and they obeyed him. The phrase </w:t>
      </w:r>
      <w:r>
        <w:rPr>
          <w:i/>
          <w:lang w:val="en_US" w:bidi="en_US"/>
        </w:rPr>
        <w:t>My name</w:t>
      </w:r>
      <w:r>
        <w:rPr>
          <w:lang w:val="en_US" w:bidi="en_US"/>
        </w:rPr>
        <w:t xml:space="preserve"> represents Jesus himself. Other ways to translate this phrase are:</w:t>
      </w:r>
    </w:p>
    <w:p>
      <w:pPr/>
      <w:r>
        <w:rPr>
          <w:lang w:val="en_US" w:bidi="en_US"/>
        </w:rPr>
      </w:r>
      <w:r>
        <w:rPr>
          <w:lang w:val="en_US" w:bidi="en_US"/>
        </w:rPr>
        <w:t>This will happen</w:t>
      </w:r>
      <w:r>
        <w:rPr>
          <w:lang w:val="en_US" w:bidi="en_US"/>
        </w:rPr>
        <w:t xml:space="preserve"> because you belong to me.</w:t>
      </w:r>
    </w:p>
    <w:p>
      <w:pPr/>
      <w:r>
        <w:rPr>
          <w:lang w:val="en_US" w:bidi="en_US"/>
        </w:rPr>
      </w:r>
      <w:r>
        <w:rPr>
          <w:lang w:val="en_US" w:bidi="en_US"/>
        </w:rPr>
        <w:t>They will do these things to you</w:t>
      </w:r>
      <w:r>
        <w:rPr>
          <w:lang w:val="en_US" w:bidi="en_US"/>
        </w:rPr>
        <w:t xml:space="preserve"> because you are my disciples.</w:t>
      </w:r>
    </w:p>
    <w:p>
      <w:pPr>
        <w:pStyle w:val="Heading5"/>
      </w:pPr>
      <w:r>
        <w:rPr>
          <w:lang w:val="en_US" w:bidi="en_US"/>
        </w:rPr>
        <w:t>21:12c</w:t>
      </w:r>
    </w:p>
    <w:p>
      <w:pPr/>
      <w:r>
        <w:rPr>
          <w:lang w:val="en_US" w:bidi="en_US"/>
        </w:rPr>
      </w:r>
      <w:r>
        <w:rPr>
          <w:b/>
          <w:lang w:val="en_US" w:bidi="en_US"/>
        </w:rPr>
        <w:t>they will deliver you to the synagogues and prisons,</w:t>
      </w:r>
    </w:p>
    <w:p>
      <w:pPr>
        <w:pStyle w:val="ListBullet"/>
        <w:spacing w:line="240" w:lineRule="auto"/>
        <w:ind w:left="720"/>
      </w:pPr>
      <w:r>
        <w:rPr>
          <w:lang w:val="en_US" w:bidi="en_US"/>
        </w:rPr>
      </w:r>
      <w:r>
        <w:rPr>
          <w:lang w:val="en_US" w:bidi="en_US"/>
        </w:rPr>
        <w:t>they will force you</w:t>
      </w:r>
      <w:r>
        <w:rPr>
          <w:vertAlign w:val="superscript"/>
          <w:lang w:val="en_US" w:bidi="en_US"/>
        </w:rPr>
        <w:t>(plur)</w:t>
      </w:r>
      <w:r>
        <w:rPr>
          <w:lang w:val="en_US" w:bidi="en_US"/>
        </w:rPr>
        <w:t xml:space="preserve"> to go to </w:t>
      </w:r>
      <w:r>
        <w:rPr>
          <w:lang w:val="en_US" w:bidi="en_US"/>
        </w:rPr>
        <w:t>court in</w:t>
      </w:r>
      <w:r>
        <w:rPr>
          <w:lang w:val="en_US" w:bidi="en_US"/>
        </w:rPr>
        <w:t xml:space="preserve"> synagogue buildings, and they will put you in jail/prison.</w:t>
      </w:r>
    </w:p>
    <w:p>
      <w:pPr>
        <w:pStyle w:val="ListBullet"/>
        <w:spacing w:line="240" w:lineRule="auto"/>
        <w:ind w:left="720"/>
      </w:pPr>
      <w:r>
        <w:rPr>
          <w:lang w:val="en_US" w:bidi="en_US"/>
        </w:rPr>
      </w:r>
      <w:r>
        <w:rPr>
          <w:lang w:val="en_US" w:bidi="en_US"/>
        </w:rPr>
        <w:t xml:space="preserve">They will accuse </w:t>
      </w:r>
      <w:r>
        <w:rPr>
          <w:lang w:val="en_US" w:bidi="en_US"/>
        </w:rPr>
        <w:t>some of</w:t>
      </w:r>
      <w:r>
        <w:rPr>
          <w:lang w:val="en_US" w:bidi="en_US"/>
        </w:rPr>
        <w:t xml:space="preserve"> you</w:t>
      </w:r>
      <w:r>
        <w:rPr>
          <w:vertAlign w:val="superscript"/>
          <w:lang w:val="en_US" w:bidi="en_US"/>
        </w:rPr>
        <w:t>(plur)</w:t>
      </w:r>
      <w:r>
        <w:rPr>
          <w:lang w:val="en_US" w:bidi="en_US"/>
        </w:rPr>
        <w:t xml:space="preserve"> in Jewish/religious courts and you</w:t>
      </w:r>
      <w:r>
        <w:rPr>
          <w:vertAlign w:val="superscript"/>
          <w:lang w:val="en_US" w:bidi="en_US"/>
        </w:rPr>
        <w:t>(plur)</w:t>
      </w:r>
      <w:r>
        <w:rPr>
          <w:lang w:val="en_US" w:bidi="en_US"/>
        </w:rPr>
        <w:t xml:space="preserve"> will be imprisoned.</w:t>
      </w:r>
    </w:p>
    <w:p>
      <w:pPr/>
      <w:r>
        <w:rPr>
          <w:lang w:val="en_US" w:bidi="en_US"/>
        </w:rPr>
      </w:r>
      <w:r>
        <w:rPr>
          <w:b/>
          <w:lang w:val="en_US" w:bidi="en_US"/>
        </w:rPr>
        <w:t>they will deliver you to the synagogues and prisons:</w:t>
      </w:r>
      <w:r>
        <w:rPr>
          <w:lang w:val="en_US" w:bidi="en_US"/>
        </w:rPr>
        <w:t xml:space="preserve"> This clause describes one specific way in which the disciples would be persecuted. The Greek verb that the BSB translates as </w:t>
      </w:r>
      <w:r>
        <w:rPr>
          <w:i/>
          <w:lang w:val="en_US" w:bidi="en_US"/>
        </w:rPr>
        <w:t>deliver</w:t>
      </w:r>
      <w:r>
        <w:rPr>
          <w:lang w:val="en_US" w:bidi="en_US"/>
        </w:rPr>
        <w:t xml:space="preserve"> was also used in 18:32 and 20:20. See the note on 18:32a for more information.</w:t>
      </w:r>
    </w:p>
    <w:p>
      <w:pPr/>
      <w:r>
        <w:rPr>
          <w:lang w:val="en_US" w:bidi="en_US"/>
        </w:rPr>
      </w:r>
      <w:r>
        <w:rPr>
          <w:lang w:val="en_US" w:bidi="en_US"/>
        </w:rPr>
        <w:t xml:space="preserve">In this context the verb </w:t>
      </w:r>
      <w:r>
        <w:rPr>
          <w:i/>
          <w:lang w:val="en_US" w:bidi="en_US"/>
        </w:rPr>
        <w:t>deliver</w:t>
      </w:r>
      <w:r>
        <w:rPr>
          <w:lang w:val="en_US" w:bidi="en_US"/>
        </w:rPr>
        <w:t xml:space="preserve"> indicates that people will take the disciples to the synagogues for trial. It implies that the leaders and other people in the synagogues will be hostile to the disciples. They will accuse the disciples of wrongdoing, and they will declare that they are guilty and must be imprisoned.</w:t>
      </w:r>
    </w:p>
    <w:p>
      <w:pPr/>
      <w:r>
        <w:rPr>
          <w:lang w:val="en_US" w:bidi="en_US"/>
        </w:rPr>
      </w:r>
      <w:r>
        <w:rPr>
          <w:lang w:val="en_US" w:bidi="en_US"/>
        </w:rPr>
        <w:t xml:space="preserve">Other ways to translate </w:t>
      </w:r>
      <w:r>
        <w:rPr>
          <w:i/>
          <w:lang w:val="en_US" w:bidi="en_US"/>
        </w:rPr>
        <w:t>they will deliver you to the synagogues and prisons</w:t>
      </w:r>
      <w:r>
        <w:rPr>
          <w:lang w:val="en_US" w:bidi="en_US"/>
        </w:rPr>
        <w:t xml:space="preserve"> are:</w:t>
      </w:r>
    </w:p>
    <w:p>
      <w:pPr/>
      <w:r>
        <w:rPr>
          <w:lang w:val="en_US" w:bidi="en_US"/>
        </w:rPr>
      </w:r>
      <w:r>
        <w:rPr>
          <w:lang w:val="en_US" w:bidi="en_US"/>
        </w:rPr>
        <w:t>They will bring you to their prayer-houses to be judged and they will put you in prison</w:t>
      </w:r>
      <w:r>
        <w:rPr>
          <w:lang w:val="en_US" w:bidi="en_US"/>
        </w:rPr>
        <w:t>Yakan back translation on TW.</w:t>
      </w:r>
    </w:p>
    <w:p>
      <w:pPr/>
      <w:r>
        <w:rPr>
          <w:lang w:val="en_US" w:bidi="en_US"/>
        </w:rPr>
      </w:r>
      <w:r>
        <w:rPr>
          <w:lang w:val="en_US" w:bidi="en_US"/>
        </w:rPr>
        <w:t>They will arrest you and accuse you in the synagogues, and they will take you to prison</w:t>
      </w:r>
    </w:p>
    <w:p>
      <w:pPr/>
      <w:r>
        <w:rPr>
          <w:lang w:val="en_US" w:bidi="en_US"/>
        </w:rPr>
      </w:r>
      <w:r>
        <w:rPr>
          <w:b/>
          <w:lang w:val="en_US" w:bidi="en_US"/>
        </w:rPr>
        <w:t>you:</w:t>
      </w:r>
      <w:r>
        <w:rPr>
          <w:lang w:val="en_US" w:bidi="en_US"/>
        </w:rPr>
        <w:t xml:space="preserve"> The word </w:t>
      </w:r>
      <w:r>
        <w:rPr>
          <w:i/>
          <w:lang w:val="en_US" w:bidi="en_US"/>
        </w:rPr>
        <w:t>you</w:t>
      </w:r>
      <w:r>
        <w:rPr>
          <w:lang w:val="en_US" w:bidi="en_US"/>
        </w:rPr>
        <w:t xml:space="preserve"> is plural. It refers here to some of Jesus’ disciples. In this verse Jesus referred to what would happen to some of his disciples in the future. He gave examples of things that people would do to harm them. These things could happen to any of his disciples, not only to those who were with him as he spoke. In some languages it is helpful to indicate this. For example:</w:t>
      </w:r>
    </w:p>
    <w:p>
      <w:pPr/>
      <w:r>
        <w:rPr>
          <w:lang w:val="en_US" w:bidi="en_US"/>
        </w:rPr>
      </w:r>
      <w:r>
        <w:rPr>
          <w:lang w:val="en_US" w:bidi="en_US"/>
        </w:rPr>
        <w:t>some of</w:t>
      </w:r>
      <w:r>
        <w:rPr>
          <w:lang w:val="en_US" w:bidi="en_US"/>
        </w:rPr>
        <w:t xml:space="preserve"> you</w:t>
      </w:r>
    </w:p>
    <w:p>
      <w:pPr/>
      <w:r>
        <w:rPr>
          <w:lang w:val="en_US" w:bidi="en_US"/>
        </w:rPr>
      </w:r>
      <w:r>
        <w:rPr>
          <w:b/>
          <w:lang w:val="en_US" w:bidi="en_US"/>
        </w:rPr>
        <w:t>synagogues:</w:t>
      </w:r>
      <w:r>
        <w:rPr>
          <w:lang w:val="en_US" w:bidi="en_US"/>
        </w:rPr>
        <w:t xml:space="preserve"> The word </w:t>
      </w:r>
      <w:r>
        <w:rPr>
          <w:i/>
          <w:lang w:val="en_US" w:bidi="en_US"/>
        </w:rPr>
        <w:t>synagogues</w:t>
      </w:r>
      <w:r>
        <w:rPr>
          <w:lang w:val="en_US" w:bidi="en_US"/>
        </w:rPr>
        <w:t xml:space="preserve"> also occurred in 20:46d. See the note there for more information. In this context the focus is on the leaders and other people who met in the synagogues, not just on the synagogue buildings. Be sure that this is clear in your language. In some languages it may be helpful to make this explicit. For example:</w:t>
      </w:r>
    </w:p>
    <w:p>
      <w:pPr/>
      <w:r>
        <w:rPr>
          <w:lang w:val="en_US" w:bidi="en_US"/>
        </w:rPr>
      </w:r>
      <w:r>
        <w:rPr>
          <w:lang w:val="en_US" w:bidi="en_US"/>
        </w:rPr>
        <w:t>people of the</w:t>
      </w:r>
      <w:r>
        <w:rPr>
          <w:lang w:val="en_US" w:bidi="en_US"/>
        </w:rPr>
        <w:t xml:space="preserve"> prayer-houses</w:t>
      </w:r>
    </w:p>
    <w:p>
      <w:pPr/>
      <w:r>
        <w:rPr>
          <w:lang w:val="en_US" w:bidi="en_US"/>
        </w:rPr>
      </w:r>
      <w:r>
        <w:rPr>
          <w:lang w:val="en_US" w:bidi="en_US"/>
        </w:rPr>
        <w:t>leaders of the</w:t>
      </w:r>
      <w:r>
        <w:rPr>
          <w:lang w:val="en_US" w:bidi="en_US"/>
        </w:rPr>
        <w:t xml:space="preserve"> meeting-places</w:t>
      </w:r>
    </w:p>
    <w:p>
      <w:pPr/>
      <w:r>
        <w:rPr>
          <w:lang w:val="en_US" w:bidi="en_US"/>
        </w:rPr>
      </w:r>
      <w:r>
        <w:rPr>
          <w:lang w:val="en_US" w:bidi="en_US"/>
        </w:rPr>
        <w:t>If you make explicit a phrase such as “of the Jews,” be sure that it does not imply that Jesus was not a Jew.</w:t>
      </w:r>
    </w:p>
    <w:p>
      <w:pPr/>
      <w:r>
        <w:rPr>
          <w:lang w:val="en_US" w:bidi="en_US"/>
        </w:rPr>
      </w:r>
      <w:r>
        <w:rPr>
          <w:b/>
          <w:lang w:val="en_US" w:bidi="en_US"/>
        </w:rPr>
        <w:t>prisons:</w:t>
      </w:r>
      <w:r>
        <w:rPr>
          <w:lang w:val="en_US" w:bidi="en_US"/>
        </w:rPr>
        <w:t xml:space="preserve"> The Greek word that the BSB translates as </w:t>
      </w:r>
      <w:r>
        <w:rPr>
          <w:i/>
          <w:lang w:val="en_US" w:bidi="en_US"/>
        </w:rPr>
        <w:t>prisons</w:t>
      </w:r>
      <w:r>
        <w:rPr>
          <w:lang w:val="en_US" w:bidi="en_US"/>
        </w:rPr>
        <w:t xml:space="preserve"> is a general word. It can refer to guarding a person or to the place where people guard them. It indicates that the disciples will be confined in a place and guarded so that they cannot leave it. Use a natural way in your language to describe this. Some other ways to translate it in English are:</w:t>
      </w:r>
    </w:p>
    <w:p>
      <w:pPr/>
      <w:r>
        <w:rPr>
          <w:lang w:val="en_US" w:bidi="en_US"/>
        </w:rPr>
      </w:r>
      <w:r>
        <w:rPr>
          <w:lang w:val="en_US" w:bidi="en_US"/>
        </w:rPr>
        <w:t>put in prison (GNT)</w:t>
      </w:r>
    </w:p>
    <w:p>
      <w:pPr/>
      <w:r>
        <w:rPr>
          <w:lang w:val="en_US" w:bidi="en_US"/>
        </w:rPr>
      </w:r>
      <w:r>
        <w:rPr>
          <w:lang w:val="en_US" w:bidi="en_US"/>
        </w:rPr>
        <w:t>imprisoned/confined</w:t>
      </w:r>
    </w:p>
    <w:p>
      <w:pPr/>
      <w:r>
        <w:rPr>
          <w:lang w:val="en_US" w:bidi="en_US"/>
        </w:rPr>
      </w:r>
      <w:r>
        <w:rPr>
          <w:lang w:val="en_US" w:bidi="en_US"/>
        </w:rPr>
        <w:t>locked/shut in a room and guarded</w:t>
      </w:r>
    </w:p>
    <w:p>
      <w:pPr>
        <w:pStyle w:val="Heading5"/>
      </w:pPr>
      <w:r>
        <w:rPr>
          <w:lang w:val="en_US" w:bidi="en_US"/>
        </w:rPr>
        <w:t>21:12d</w:t>
      </w:r>
    </w:p>
    <w:p>
      <w:pPr/>
      <w:r>
        <w:rPr>
          <w:lang w:val="en_US" w:bidi="en_US"/>
        </w:rPr>
      </w:r>
      <w:r>
        <w:rPr>
          <w:b/>
          <w:lang w:val="en_US" w:bidi="en_US"/>
        </w:rPr>
        <w:t>and they will bring you before kings and governors.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be led to kings and governors to be judged/accused</w:t>
      </w:r>
    </w:p>
    <w:p>
      <w:pPr>
        <w:pStyle w:val="ListBullet"/>
        <w:spacing w:line="240" w:lineRule="auto"/>
        <w:ind w:left="720"/>
      </w:pPr>
      <w:r>
        <w:rPr>
          <w:lang w:val="en_US" w:bidi="en_US"/>
        </w:rPr>
      </w:r>
      <w:r>
        <w:rPr>
          <w:lang w:val="en_US" w:bidi="en_US"/>
        </w:rPr>
        <w:t xml:space="preserve">Also, they will bring/take </w:t>
      </w:r>
      <w:r>
        <w:rPr>
          <w:lang w:val="en_US" w:bidi="en_US"/>
        </w:rPr>
        <w:t>some of</w:t>
      </w:r>
      <w:r>
        <w:rPr>
          <w:lang w:val="en_US" w:bidi="en_US"/>
        </w:rPr>
        <w:t xml:space="preserve"> you</w:t>
      </w:r>
      <w:r>
        <w:rPr>
          <w:vertAlign w:val="superscript"/>
          <w:lang w:val="en_US" w:bidi="en_US"/>
        </w:rPr>
        <w:t>(plur)</w:t>
      </w:r>
      <w:r>
        <w:rPr>
          <w:lang w:val="en_US" w:bidi="en_US"/>
        </w:rPr>
        <w:t xml:space="preserve"> to </w:t>
      </w:r>
      <w:r>
        <w:rPr>
          <w:lang w:val="en_US" w:bidi="en_US"/>
        </w:rPr>
        <w:t>be judged by</w:t>
      </w:r>
      <w:r>
        <w:rPr>
          <w:lang w:val="en_US" w:bidi="en_US"/>
        </w:rPr>
        <w:t xml:space="preserve"> kings or other government leaders.</w:t>
      </w:r>
    </w:p>
    <w:p>
      <w:pPr/>
      <w:r>
        <w:rPr>
          <w:lang w:val="en_US" w:bidi="en_US"/>
        </w:rPr>
      </w:r>
      <w:r>
        <w:rPr>
          <w:b/>
          <w:lang w:val="en_US" w:bidi="en_US"/>
        </w:rPr>
        <w:t>and:</w:t>
      </w:r>
      <w:r>
        <w:rPr>
          <w:lang w:val="en_US" w:bidi="en_US"/>
        </w:rPr>
        <w:t xml:space="preserve"> The BSB has supplied the conjunction </w:t>
      </w:r>
      <w:r>
        <w:rPr>
          <w:i/>
          <w:lang w:val="en_US" w:bidi="en_US"/>
        </w:rPr>
        <w:t>and</w:t>
      </w:r>
      <w:r>
        <w:rPr>
          <w:lang w:val="en_US" w:bidi="en_US"/>
        </w:rPr>
        <w:t xml:space="preserve"> to connect 21:12c with 21:12d in a natural way in English. The Greek text does not have a conjunction. Several English versions start a new sentence here. For example:</w:t>
      </w:r>
    </w:p>
    <w:p>
      <w:pPr/>
      <w:r>
        <w:rPr>
          <w:lang w:val="en_US" w:bidi="en_US"/>
        </w:rPr>
      </w:r>
      <w:r>
        <w:rPr>
          <w:lang w:val="en_US" w:bidi="en_US"/>
        </w:rPr>
        <w:t>They will drag you in front of kings and governors because of my name. (GW)</w:t>
      </w:r>
    </w:p>
    <w:p>
      <w:pPr/>
      <w:r>
        <w:rPr>
          <w:lang w:val="en_US" w:bidi="en_US"/>
        </w:rPr>
      </w:r>
      <w:r>
        <w:rPr>
          <w:lang w:val="en_US" w:bidi="en_US"/>
        </w:rPr>
        <w:t>Begin 21:12d in a natural way in your language.</w:t>
      </w:r>
    </w:p>
    <w:p>
      <w:pPr/>
      <w:r>
        <w:rPr>
          <w:lang w:val="en_US" w:bidi="en_US"/>
        </w:rPr>
      </w:r>
      <w:r>
        <w:rPr>
          <w:b/>
          <w:lang w:val="en_US" w:bidi="en_US"/>
        </w:rPr>
        <w:t>they will bring you before kings and governors:</w:t>
      </w:r>
      <w:r>
        <w:rPr>
          <w:lang w:val="en_US" w:bidi="en_US"/>
        </w:rPr>
        <w:t xml:space="preserve"> The Greek verb that the BSB translates as </w:t>
      </w:r>
      <w:r>
        <w:rPr>
          <w:i/>
          <w:lang w:val="en_US" w:bidi="en_US"/>
        </w:rPr>
        <w:t>bring</w:t>
      </w:r>
      <w:r>
        <w:rPr>
          <w:lang w:val="en_US" w:bidi="en_US"/>
        </w:rPr>
        <w:t xml:space="preserve"> has several meanings. Here it refers to a person being forced to go with his accusers to a king or governor to be judged. The clause indicates that some of the disciples will be taken to kings or governors for trial. Other ways to translate this are:</w:t>
      </w:r>
    </w:p>
    <w:p>
      <w:pPr/>
      <w:r>
        <w:rPr>
          <w:lang w:val="en_US" w:bidi="en_US"/>
        </w:rPr>
      </w:r>
      <w:r>
        <w:rPr>
          <w:lang w:val="en_US" w:bidi="en_US"/>
        </w:rPr>
        <w:t>you will be placed on trial before kings and governors (CEV)</w:t>
      </w:r>
    </w:p>
    <w:p>
      <w:pPr/>
      <w:r>
        <w:rPr>
          <w:lang w:val="en_US" w:bidi="en_US"/>
        </w:rPr>
      </w:r>
      <w:r>
        <w:rPr>
          <w:lang w:val="en_US" w:bidi="en_US"/>
        </w:rPr>
        <w:t>you will be accused before kings and governors (NLT96)</w:t>
      </w:r>
    </w:p>
    <w:p>
      <w:pPr/>
      <w:r>
        <w:rPr>
          <w:lang w:val="en_US" w:bidi="en_US"/>
        </w:rPr>
      </w:r>
      <w:r>
        <w:rPr>
          <w:lang w:val="en_US" w:bidi="en_US"/>
        </w:rPr>
        <w:t>In some languages it may be more natural to use an active verb here. For example:</w:t>
      </w:r>
    </w:p>
    <w:p>
      <w:pPr/>
      <w:r>
        <w:rPr>
          <w:lang w:val="en_US" w:bidi="en_US"/>
        </w:rPr>
      </w:r>
      <w:r>
        <w:rPr>
          <w:lang w:val="en_US" w:bidi="en_US"/>
        </w:rPr>
        <w:t>they will lead/bring you to kings and governors for trial</w:t>
      </w:r>
    </w:p>
    <w:p>
      <w:pPr/>
      <w:r>
        <w:rPr>
          <w:lang w:val="en_US" w:bidi="en_US"/>
        </w:rPr>
      </w:r>
      <w:r>
        <w:rPr>
          <w:lang w:val="en_US" w:bidi="en_US"/>
        </w:rPr>
        <w:t xml:space="preserve">they will take you </w:t>
      </w:r>
      <w:r>
        <w:rPr>
          <w:lang w:val="en_US" w:bidi="en_US"/>
        </w:rPr>
        <w:t>by force</w:t>
      </w:r>
      <w:r>
        <w:rPr>
          <w:lang w:val="en_US" w:bidi="en_US"/>
        </w:rPr>
        <w:t xml:space="preserve"> and accuse you to kings and governors</w:t>
      </w:r>
    </w:p>
    <w:p>
      <w:pPr/>
      <w:r>
        <w:rPr>
          <w:lang w:val="en_US" w:bidi="en_US"/>
        </w:rPr>
      </w:r>
      <w:r>
        <w:rPr>
          <w:b/>
          <w:lang w:val="en_US" w:bidi="en_US"/>
        </w:rPr>
        <w:t>kings:</w:t>
      </w:r>
      <w:r>
        <w:rPr>
          <w:lang w:val="en_US" w:bidi="en_US"/>
        </w:rPr>
        <w:t xml:space="preserve"> A “king” is a man who rules a place as the supreme ruler. This place can be a city or a tribe or a country. He is appointed according to the laws and customs of the place that he rules. He usually became king because he was the son of a king. A “king” was considered more important than a governor was. A governor was usually appointed by a greater ruler and was responsible to him. If you used the word “king” to describe Herod in 3:1c, you should use the same word here, in the plural form.</w:t>
      </w:r>
    </w:p>
    <w:p>
      <w:pPr/>
      <w:r>
        <w:rPr>
          <w:lang w:val="en_US" w:bidi="en_US"/>
        </w:rPr>
      </w:r>
      <w:r>
        <w:rPr>
          <w:lang w:val="en_US" w:bidi="en_US"/>
        </w:rPr>
        <w:t xml:space="preserve">Some ways to translate </w:t>
      </w:r>
      <w:r>
        <w:rPr>
          <w:i/>
          <w:lang w:val="en_US" w:bidi="en_US"/>
        </w:rPr>
        <w:t>kings</w:t>
      </w:r>
      <w:r>
        <w:rPr>
          <w:lang w:val="en_US" w:bidi="en_US"/>
        </w:rPr>
        <w:t xml:space="preserve"> are:</w:t>
      </w:r>
    </w:p>
    <w:p>
      <w:pPr/>
      <w:r>
        <w:rPr>
          <w:lang w:val="en_US" w:bidi="en_US"/>
        </w:rPr>
      </w:r>
      <w:r>
        <w:rPr>
          <w:lang w:val="en_US" w:bidi="en_US"/>
        </w:rPr>
        <w:t>rulers</w:t>
      </w:r>
    </w:p>
    <w:p>
      <w:pPr/>
      <w:r>
        <w:rPr>
          <w:lang w:val="en_US" w:bidi="en_US"/>
        </w:rPr>
      </w:r>
      <w:r>
        <w:rPr>
          <w:lang w:val="en_US" w:bidi="en_US"/>
        </w:rPr>
        <w:t>chiefs</w:t>
      </w:r>
    </w:p>
    <w:p>
      <w:pPr/>
      <w:r>
        <w:rPr>
          <w:lang w:val="en_US" w:bidi="en_US"/>
        </w:rPr>
      </w:r>
      <w:r>
        <w:rPr>
          <w:b/>
          <w:lang w:val="en_US" w:bidi="en_US"/>
        </w:rPr>
        <w:t>governors:</w:t>
      </w:r>
      <w:r>
        <w:rPr>
          <w:lang w:val="en_US" w:bidi="en_US"/>
        </w:rPr>
        <w:t xml:space="preserve"> The word </w:t>
      </w:r>
      <w:r>
        <w:rPr>
          <w:i/>
          <w:lang w:val="en_US" w:bidi="en_US"/>
        </w:rPr>
        <w:t>governors</w:t>
      </w:r>
      <w:r>
        <w:rPr>
          <w:lang w:val="en_US" w:bidi="en_US"/>
        </w:rPr>
        <w:t xml:space="preserve"> refers to men who were appointed by a greater leader to rule a particular country. For example, Pilate was the governor of Judea (Mark 15:1). He was a Roman, appointed by the Roman Emperor to govern the Jews. See how you translated the word “governor” in 2:2. Another way to translate </w:t>
      </w:r>
      <w:r>
        <w:rPr>
          <w:i/>
          <w:lang w:val="en_US" w:bidi="en_US"/>
        </w:rPr>
        <w:t>governors</w:t>
      </w:r>
      <w:r>
        <w:rPr>
          <w:lang w:val="en_US" w:bidi="en_US"/>
        </w:rPr>
        <w:t xml:space="preserve"> is:</w:t>
      </w:r>
    </w:p>
    <w:p>
      <w:pPr/>
      <w:r>
        <w:rPr>
          <w:lang w:val="en_US" w:bidi="en_US"/>
        </w:rPr>
      </w:r>
      <w:r>
        <w:rPr>
          <w:lang w:val="en_US" w:bidi="en_US"/>
        </w:rPr>
        <w:t>leaders</w:t>
      </w:r>
      <w:r>
        <w:rPr>
          <w:lang w:val="en_US" w:bidi="en_US"/>
        </w:rPr>
      </w:r>
      <w:r>
        <w:rPr>
          <w:lang w:val="en_US" w:bidi="en_US"/>
        </w:rPr>
      </w:r>
    </w:p>
    <w:p>
      <w:pPr/>
      <w:r>
        <w:rPr>
          <w:lang w:val="en_US" w:bidi="en_US"/>
        </w:rPr>
      </w:r>
    </w:p>
    <w:p>
      <w:pPr>
        <w:pStyle w:val="Heading2"/>
      </w:pPr>
      <w:r>
        <w:rPr>
          <w:lang w:val="en_US" w:bidi="en_US"/>
        </w:rPr>
        <w:t>Luke 21:13</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21:13</w:t>
      </w:r>
    </w:p>
    <w:p>
      <w:pPr/>
      <w:r>
        <w:rPr>
          <w:lang w:val="en_US" w:bidi="en_US"/>
        </w:rPr>
      </w:r>
      <w:r>
        <w:rPr>
          <w:b/>
          <w:lang w:val="en_US" w:bidi="en_US"/>
        </w:rPr>
        <w:t>This will be your opportunity to serve as witnesses.</w:t>
      </w:r>
    </w:p>
    <w:p>
      <w:pPr>
        <w:pStyle w:val="ListBullet"/>
        <w:spacing w:line="240" w:lineRule="auto"/>
        <w:ind w:left="720"/>
      </w:pPr>
      <w:r>
        <w:rPr>
          <w:lang w:val="en_US" w:bidi="en_US"/>
        </w:rPr>
      </w:r>
      <w:r>
        <w:rPr>
          <w:lang w:val="en_US" w:bidi="en_US"/>
        </w:rPr>
        <w:t>This will give you</w:t>
      </w:r>
      <w:r>
        <w:rPr>
          <w:vertAlign w:val="superscript"/>
          <w:lang w:val="en_US" w:bidi="en_US"/>
        </w:rPr>
        <w:t>(plur)</w:t>
      </w:r>
      <w:r>
        <w:rPr>
          <w:lang w:val="en_US" w:bidi="en_US"/>
        </w:rPr>
        <w:t xml:space="preserve"> an opportunity to testify to them </w:t>
      </w:r>
      <w:r>
        <w:rPr>
          <w:lang w:val="en_US" w:bidi="en_US"/>
        </w:rPr>
        <w:t>about me</w:t>
      </w:r>
      <w:r>
        <w:rPr>
          <w:lang w:val="en_US" w:bidi="en_US"/>
        </w:rPr>
        <w:t>.</w:t>
      </w:r>
    </w:p>
    <w:p>
      <w:pPr>
        <w:pStyle w:val="ListBullet"/>
        <w:spacing w:line="240" w:lineRule="auto"/>
        <w:ind w:left="720"/>
      </w:pPr>
      <w:r>
        <w:rPr>
          <w:lang w:val="en_US" w:bidi="en_US"/>
        </w:rPr>
      </w:r>
      <w:r>
        <w:rPr>
          <w:lang w:val="en_US" w:bidi="en_US"/>
        </w:rPr>
        <w:t>Thus/Then you</w:t>
      </w:r>
      <w:r>
        <w:rPr>
          <w:vertAlign w:val="superscript"/>
          <w:lang w:val="en_US" w:bidi="en_US"/>
        </w:rPr>
        <w:t>(plur)</w:t>
      </w:r>
      <w:r>
        <w:rPr>
          <w:lang w:val="en_US" w:bidi="en_US"/>
        </w:rPr>
        <w:t xml:space="preserve"> will be able to tell them what you know </w:t>
      </w:r>
      <w:r>
        <w:rPr>
          <w:lang w:val="en_US" w:bidi="en_US"/>
        </w:rPr>
        <w:t>about me</w:t>
      </w:r>
      <w:r>
        <w:rPr>
          <w:lang w:val="en_US" w:bidi="en_US"/>
        </w:rPr>
        <w:t>.</w:t>
      </w:r>
    </w:p>
    <w:p>
      <w:pPr>
        <w:pStyle w:val="ListBullet"/>
        <w:spacing w:line="240" w:lineRule="auto"/>
        <w:ind w:left="720"/>
      </w:pPr>
      <w:r>
        <w:rPr>
          <w:lang w:val="en_US" w:bidi="en_US"/>
        </w:rPr>
      </w:r>
      <w:r>
        <w:rPr>
          <w:lang w:val="en_US" w:bidi="en_US"/>
        </w:rPr>
        <w:t>It will provide the way/time for you</w:t>
      </w:r>
      <w:r>
        <w:rPr>
          <w:vertAlign w:val="superscript"/>
          <w:lang w:val="en_US" w:bidi="en_US"/>
        </w:rPr>
        <w:t>(plur)</w:t>
      </w:r>
      <w:r>
        <w:rPr>
          <w:lang w:val="en_US" w:bidi="en_US"/>
        </w:rPr>
        <w:t xml:space="preserve"> to tell them </w:t>
      </w:r>
      <w:r>
        <w:rPr>
          <w:lang w:val="en_US" w:bidi="en_US"/>
        </w:rPr>
        <w:t>about me</w:t>
      </w:r>
      <w:r>
        <w:rPr>
          <w:lang w:val="en_US" w:bidi="en_US"/>
        </w:rPr>
        <w:t>.</w:t>
      </w:r>
    </w:p>
    <w:p>
      <w:pPr/>
      <w:r>
        <w:rPr>
          <w:lang w:val="en_US" w:bidi="en_US"/>
        </w:rPr>
      </w:r>
      <w:r>
        <w:rPr>
          <w:b/>
          <w:lang w:val="en_US" w:bidi="en_US"/>
        </w:rPr>
        <w:t>This will be your opportunity to serve as witnesses:</w:t>
      </w:r>
      <w:r>
        <w:rPr>
          <w:lang w:val="en_US" w:bidi="en_US"/>
        </w:rPr>
        <w:t xml:space="preserve"> The Greek clause that the BSB translates as </w:t>
      </w:r>
      <w:r>
        <w:rPr>
          <w:i/>
          <w:lang w:val="en_US" w:bidi="en_US"/>
        </w:rPr>
        <w:t>This will be your opportunity to serve as witnesses</w:t>
      </w:r>
      <w:r>
        <w:rPr>
          <w:lang w:val="en_US" w:bidi="en_US"/>
        </w:rPr>
        <w:t xml:space="preserve"> is literally, “It-will-result for you in a-testimony/witness.” This clause indicates that when the disciples are taken to kings and other leaders (21:12), they will be able to testify. Another way to say this is:</w:t>
      </w:r>
    </w:p>
    <w:p>
      <w:pPr/>
      <w:r>
        <w:rPr>
          <w:lang w:val="en_US" w:bidi="en_US"/>
        </w:rPr>
      </w:r>
      <w:r>
        <w:rPr>
          <w:lang w:val="en_US" w:bidi="en_US"/>
        </w:rPr>
        <w:t>This will be your opportunity to testify. (REB)</w:t>
      </w:r>
    </w:p>
    <w:p>
      <w:pPr/>
      <w:r>
        <w:rPr>
          <w:lang w:val="en_US" w:bidi="en_US"/>
        </w:rPr>
      </w:r>
      <w:r>
        <w:rPr>
          <w:lang w:val="en_US" w:bidi="en_US"/>
        </w:rPr>
        <w:t>In 21:12b–d, Jesus indicated that the disciples will be taken to the kings and leaders because of him. This implies that the testimony will be about Jesus. They will be able to tell the leaders what they know about him. In many languages it is helpful to make this explicit. For example:</w:t>
      </w:r>
    </w:p>
    <w:p>
      <w:pPr/>
      <w:r>
        <w:rPr>
          <w:lang w:val="en_US" w:bidi="en_US"/>
        </w:rPr>
      </w:r>
      <w:r>
        <w:rPr>
          <w:lang w:val="en_US" w:bidi="en_US"/>
        </w:rPr>
        <w:t>But this will be your opportunity to tell them about me. (NLT)</w:t>
      </w:r>
    </w:p>
    <w:p>
      <w:pPr/>
      <w:r>
        <w:rPr>
          <w:lang w:val="en_US" w:bidi="en_US"/>
        </w:rPr>
      </w:r>
      <w:r>
        <w:rPr>
          <w:lang w:val="en_US" w:bidi="en_US"/>
        </w:rPr>
        <w:t>In some languages it is necessary to have a phrase or clause to connect this verse with 21:12. For example:</w:t>
      </w:r>
    </w:p>
    <w:p>
      <w:pPr/>
      <w:r>
        <w:rPr>
          <w:lang w:val="en_US" w:bidi="en_US"/>
        </w:rPr>
      </w:r>
      <w:r>
        <w:rPr>
          <w:lang w:val="en_US" w:bidi="en_US"/>
        </w:rPr>
        <w:t xml:space="preserve">When that happens, you will be able to tell what you know </w:t>
      </w:r>
      <w:r>
        <w:rPr>
          <w:lang w:val="en_US" w:bidi="en_US"/>
        </w:rPr>
        <w:t>about me</w:t>
      </w:r>
      <w:r>
        <w:rPr>
          <w:lang w:val="en_US" w:bidi="en_US"/>
        </w:rPr>
        <w:t>.</w:t>
      </w:r>
      <w:r>
        <w:rPr>
          <w:lang w:val="en_US" w:bidi="en_US"/>
        </w:rPr>
      </w:r>
      <w:r>
        <w:rPr>
          <w:lang w:val="en_US" w:bidi="en_US"/>
        </w:rPr>
      </w:r>
    </w:p>
    <w:p>
      <w:pPr/>
      <w:r>
        <w:rPr>
          <w:lang w:val="en_US" w:bidi="en_US"/>
        </w:rPr>
      </w:r>
    </w:p>
    <w:p>
      <w:pPr>
        <w:pStyle w:val="Heading2"/>
      </w:pPr>
      <w:r>
        <w:rPr>
          <w:lang w:val="en_US" w:bidi="en_US"/>
        </w:rPr>
        <w:t>Luke 21:14</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21:14a</w:t>
      </w:r>
    </w:p>
    <w:p>
      <w:pPr/>
      <w:r>
        <w:rPr>
          <w:lang w:val="en_US" w:bidi="en_US"/>
        </w:rPr>
      </w:r>
      <w:r>
        <w:rPr>
          <w:b/>
          <w:lang w:val="en_US" w:bidi="en_US"/>
        </w:rPr>
        <w:t>So make up your mind not to worry beforehand</w:t>
      </w:r>
    </w:p>
    <w:p>
      <w:pPr>
        <w:pStyle w:val="ListBullet"/>
        <w:spacing w:line="240" w:lineRule="auto"/>
        <w:ind w:left="720"/>
      </w:pPr>
      <w:r>
        <w:rPr>
          <w:lang w:val="en_US" w:bidi="en_US"/>
        </w:rPr>
      </w:r>
      <w:r>
        <w:rPr>
          <w:lang w:val="en_US" w:bidi="en_US"/>
        </w:rPr>
        <w:t xml:space="preserve">But decide </w:t>
      </w:r>
      <w:r>
        <w:rPr>
          <w:lang w:val="en_US" w:bidi="en_US"/>
        </w:rPr>
        <w:t>now</w:t>
      </w:r>
      <w:r>
        <w:rPr>
          <w:lang w:val="en_US" w:bidi="en_US"/>
        </w:rPr>
        <w:t xml:space="preserve"> that you</w:t>
      </w:r>
      <w:r>
        <w:rPr>
          <w:vertAlign w:val="superscript"/>
          <w:lang w:val="en_US" w:bidi="en_US"/>
        </w:rPr>
        <w:t>(plur)</w:t>
      </w:r>
      <w:r>
        <w:rPr>
          <w:lang w:val="en_US" w:bidi="en_US"/>
        </w:rPr>
        <w:t xml:space="preserve"> will not prepare in advance</w:t>
      </w:r>
    </w:p>
    <w:p>
      <w:pPr>
        <w:pStyle w:val="ListBullet"/>
        <w:spacing w:line="240" w:lineRule="auto"/>
        <w:ind w:left="720"/>
      </w:pPr>
      <w:r>
        <w:rPr>
          <w:lang w:val="en_US" w:bidi="en_US"/>
        </w:rPr>
      </w:r>
      <w:r>
        <w:rPr>
          <w:lang w:val="en_US" w:bidi="en_US"/>
        </w:rPr>
        <w:t>But determine/resolve that you</w:t>
      </w:r>
      <w:r>
        <w:rPr>
          <w:vertAlign w:val="superscript"/>
          <w:lang w:val="en_US" w:bidi="en_US"/>
        </w:rPr>
        <w:t>(plur)</w:t>
      </w:r>
      <w:r>
        <w:rPr>
          <w:lang w:val="en_US" w:bidi="en_US"/>
        </w:rPr>
        <w:t xml:space="preserve"> will not </w:t>
      </w:r>
      <w:r>
        <w:rPr>
          <w:lang w:val="en_US" w:bidi="en_US"/>
        </w:rPr>
        <w:t>anxiously</w:t>
      </w:r>
      <w:r>
        <w:rPr>
          <w:lang w:val="en_US" w:bidi="en_US"/>
        </w:rPr>
        <w:t xml:space="preserve"> practice/plan</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is often translated as “Therefore” (as in the NET). Here it introduces a command or encouragement that is based on what Jesus said in 21:13.</w:t>
      </w:r>
      <w:r>
        <w:rPr>
          <w:lang w:val="en_US" w:bidi="en_US"/>
        </w:rPr>
        <w:t>Marshall (p. 768) says, “Having assured the disciples that they will face court situations, Jesus instructs them in their consequent behaviour.” Bock (p. 1670) says, “Since persecution is used by God as an opportunity for testimony, no anxiety should be present….”</w:t>
      </w:r>
      <w:r>
        <w:rPr>
          <w:lang w:val="en_US" w:bidi="en_US"/>
        </w:rPr>
        <w:t xml:space="preserve"> The context implies that since their trials will be an opportunity to testify about him, they should not worry about how to defend themselves.</w:t>
      </w:r>
    </w:p>
    <w:p>
      <w:pPr/>
      <w:r>
        <w:rPr>
          <w:lang w:val="en_US" w:bidi="en_US"/>
        </w:rPr>
      </w:r>
      <w:r>
        <w:rPr>
          <w:lang w:val="en_US" w:bidi="en_US"/>
        </w:rPr>
        <w:t>Versions such as the GNT and NJB do not translate this conjunction. In some languages, it may not be natural to use a conjunction here. Begin 21:14 in a natural way in your language.</w:t>
      </w:r>
    </w:p>
    <w:p>
      <w:pPr/>
      <w:r>
        <w:rPr>
          <w:lang w:val="en_US" w:bidi="en_US"/>
        </w:rPr>
      </w:r>
      <w:r>
        <w:rPr>
          <w:b/>
          <w:lang w:val="en_US" w:bidi="en_US"/>
        </w:rPr>
        <w:t>make up your mind:</w:t>
      </w:r>
      <w:r>
        <w:rPr>
          <w:lang w:val="en_US" w:bidi="en_US"/>
        </w:rPr>
        <w:t xml:space="preserve"> The Greek phrase that the BSB translates as </w:t>
      </w:r>
      <w:r>
        <w:rPr>
          <w:i/>
          <w:lang w:val="en_US" w:bidi="en_US"/>
        </w:rPr>
        <w:t>make up your mind</w:t>
      </w:r>
      <w:r>
        <w:rPr>
          <w:lang w:val="en_US" w:bidi="en_US"/>
        </w:rPr>
        <w:t xml:space="preserve"> is literally “put/have in your hearts.” This is an idiom that means “decide” or “resolve” (as in the REB). In some languages there is an idiom to express this, as in the BSB. Some other ways to translate this are:</w:t>
      </w:r>
    </w:p>
    <w:p>
      <w:pPr/>
      <w:r>
        <w:rPr>
          <w:lang w:val="en_US" w:bidi="en_US"/>
        </w:rPr>
      </w:r>
      <w:r>
        <w:rPr>
          <w:lang w:val="en_US" w:bidi="en_US"/>
        </w:rPr>
        <w:t>Settle it…in your minds (RSV)</w:t>
      </w:r>
    </w:p>
    <w:p>
      <w:pPr/>
      <w:r>
        <w:rPr>
          <w:lang w:val="en_US" w:bidi="en_US"/>
        </w:rPr>
      </w:r>
      <w:r>
        <w:rPr>
          <w:lang w:val="en_US" w:bidi="en_US"/>
        </w:rPr>
        <w:t>Be firmly resolved</w:t>
      </w:r>
      <w:r>
        <w:rPr>
          <w:lang w:val="en_US" w:bidi="en_US"/>
        </w:rPr>
        <w:t>Kankanaey back translation on TW.</w:t>
      </w:r>
    </w:p>
    <w:p>
      <w:pPr/>
      <w:r>
        <w:rPr>
          <w:lang w:val="en_US" w:bidi="en_US"/>
        </w:rPr>
      </w:r>
      <w:r>
        <w:rPr>
          <w:b/>
          <w:lang w:val="en_US" w:bidi="en_US"/>
        </w:rPr>
        <w:t>not to worry beforehand:</w:t>
      </w:r>
      <w:r>
        <w:rPr>
          <w:lang w:val="en_US" w:bidi="en_US"/>
        </w:rPr>
        <w:t xml:space="preserve"> The Greek phrase that the BSB translates as </w:t>
      </w:r>
      <w:r>
        <w:rPr>
          <w:i/>
          <w:lang w:val="en_US" w:bidi="en_US"/>
        </w:rPr>
        <w:t>not to worry beforehand</w:t>
      </w:r>
      <w:r>
        <w:rPr>
          <w:lang w:val="en_US" w:bidi="en_US"/>
        </w:rPr>
        <w:t xml:space="preserve"> means “not to prepare/plan in advance.” It is sometimes used of practicing a speech. In this context Jesus did not want his disciples to plan what they would say to defend themselves. The parallel passage in Mark 13:11 uses a word that means “worry, be anxious.” Jesus also did not want the disciples to worry about what they would say. Other ways to translate this phrase are:</w:t>
      </w:r>
    </w:p>
    <w:p>
      <w:pPr/>
      <w:r>
        <w:rPr>
          <w:lang w:val="en_US" w:bidi="en_US"/>
        </w:rPr>
      </w:r>
      <w:r>
        <w:rPr>
          <w:lang w:val="en_US" w:bidi="en_US"/>
        </w:rPr>
        <w:t>not to meditate beforehand (RSV)</w:t>
      </w:r>
    </w:p>
    <w:p>
      <w:pPr/>
      <w:r>
        <w:rPr>
          <w:lang w:val="en_US" w:bidi="en_US"/>
        </w:rPr>
      </w:r>
      <w:r>
        <w:rPr>
          <w:lang w:val="en_US" w:bidi="en_US"/>
        </w:rPr>
        <w:t>not to rehearse ahead of time (NET)</w:t>
      </w:r>
    </w:p>
    <w:p>
      <w:pPr/>
      <w:r>
        <w:rPr>
          <w:lang w:val="en_US" w:bidi="en_US"/>
        </w:rPr>
      </w:r>
      <w:r>
        <w:rPr>
          <w:lang w:val="en_US" w:bidi="en_US"/>
        </w:rPr>
        <w:t>don’t worry in advance (NLT)</w:t>
      </w:r>
    </w:p>
    <w:p>
      <w:pPr>
        <w:pStyle w:val="Heading5"/>
      </w:pPr>
      <w:r>
        <w:rPr>
          <w:lang w:val="en_US" w:bidi="en_US"/>
        </w:rPr>
        <w:t>21:14b</w:t>
      </w:r>
    </w:p>
    <w:p>
      <w:pPr/>
      <w:r>
        <w:rPr>
          <w:lang w:val="en_US" w:bidi="en_US"/>
        </w:rPr>
      </w:r>
      <w:r>
        <w:rPr>
          <w:b/>
          <w:lang w:val="en_US" w:bidi="en_US"/>
        </w:rPr>
        <w:t>how to defend yourselves.</w:t>
      </w:r>
    </w:p>
    <w:p>
      <w:pPr>
        <w:pStyle w:val="ListBullet"/>
        <w:spacing w:line="240" w:lineRule="auto"/>
        <w:ind w:left="720"/>
      </w:pPr>
      <w:r>
        <w:rPr>
          <w:lang w:val="en_US" w:bidi="en_US"/>
        </w:rPr>
      </w:r>
      <w:r>
        <w:rPr>
          <w:lang w:val="en_US" w:bidi="en_US"/>
        </w:rPr>
        <w:t>what to say in your</w:t>
      </w:r>
      <w:r>
        <w:rPr>
          <w:vertAlign w:val="superscript"/>
          <w:lang w:val="en_US" w:bidi="en_US"/>
        </w:rPr>
        <w:t>(plur)</w:t>
      </w:r>
      <w:r>
        <w:rPr>
          <w:lang w:val="en_US" w:bidi="en_US"/>
        </w:rPr>
        <w:t xml:space="preserve"> defense.</w:t>
      </w:r>
    </w:p>
    <w:p>
      <w:pPr>
        <w:pStyle w:val="ListBullet"/>
        <w:spacing w:line="240" w:lineRule="auto"/>
        <w:ind w:left="720"/>
      </w:pPr>
      <w:r>
        <w:rPr>
          <w:lang w:val="en_US" w:bidi="en_US"/>
        </w:rPr>
      </w:r>
      <w:r>
        <w:rPr>
          <w:lang w:val="en_US" w:bidi="en_US"/>
        </w:rPr>
        <w:t xml:space="preserve">words to convince them that you are </w:t>
      </w:r>
      <w:r>
        <w:rPr>
          <w:lang w:val="en_US" w:bidi="en_US"/>
        </w:rPr>
        <w:t>innocent</w:t>
      </w:r>
      <w:r>
        <w:rPr>
          <w:lang w:val="en_US" w:bidi="en_US"/>
        </w:rPr>
        <w:t>.</w:t>
      </w:r>
    </w:p>
    <w:p>
      <w:pPr/>
      <w:r>
        <w:rPr>
          <w:lang w:val="en_US" w:bidi="en_US"/>
        </w:rPr>
      </w:r>
      <w:r>
        <w:rPr>
          <w:b/>
          <w:lang w:val="en_US" w:bidi="en_US"/>
        </w:rPr>
        <w:t>how to defend yourselves:</w:t>
      </w:r>
      <w:r>
        <w:rPr>
          <w:lang w:val="en_US" w:bidi="en_US"/>
        </w:rPr>
        <w:t xml:space="preserve"> The Greek word that the BSB translates as </w:t>
      </w:r>
      <w:r>
        <w:rPr>
          <w:i/>
          <w:lang w:val="en_US" w:bidi="en_US"/>
        </w:rPr>
        <w:t>how to defend yourselves</w:t>
      </w:r>
      <w:r>
        <w:rPr>
          <w:lang w:val="en_US" w:bidi="en_US"/>
        </w:rPr>
        <w:t xml:space="preserve"> refers to what the disciples would say that would show that they were not guilty. It does not refer to using force to defend themselves. Other ways to translate this are:</w:t>
      </w:r>
    </w:p>
    <w:p>
      <w:pPr/>
      <w:r>
        <w:rPr>
          <w:lang w:val="en_US" w:bidi="en_US"/>
        </w:rPr>
      </w:r>
      <w:r>
        <w:rPr>
          <w:lang w:val="en_US" w:bidi="en_US"/>
        </w:rPr>
        <w:t>about what you will say (NCV)</w:t>
      </w:r>
    </w:p>
    <w:p>
      <w:pPr/>
      <w:r>
        <w:rPr>
          <w:lang w:val="en_US" w:bidi="en_US"/>
        </w:rPr>
      </w:r>
      <w:r>
        <w:rPr>
          <w:lang w:val="en_US" w:bidi="en_US"/>
        </w:rPr>
        <w:t>about how to answer the charges against you (NLT)</w:t>
      </w:r>
    </w:p>
    <w:p>
      <w:pPr/>
      <w:r>
        <w:rPr>
          <w:lang w:val="en_US" w:bidi="en_US"/>
        </w:rPr>
      </w:r>
      <w:r>
        <w:rPr>
          <w:lang w:val="en_US" w:bidi="en_US"/>
        </w:rPr>
        <w:t>about what you will say to convince those who accuse you that you have not done anything wrong</w:t>
      </w:r>
      <w:r>
        <w:rPr>
          <w:lang w:val="en_US" w:bidi="en_US"/>
        </w:rPr>
      </w:r>
      <w:r>
        <w:rPr>
          <w:lang w:val="en_US" w:bidi="en_US"/>
        </w:rPr>
      </w:r>
    </w:p>
    <w:p>
      <w:pPr/>
      <w:r>
        <w:rPr>
          <w:lang w:val="en_US" w:bidi="en_US"/>
        </w:rPr>
      </w:r>
    </w:p>
    <w:p>
      <w:pPr>
        <w:pStyle w:val="Heading2"/>
      </w:pPr>
      <w:r>
        <w:rPr>
          <w:lang w:val="en_US" w:bidi="en_US"/>
        </w:rPr>
        <w:t>Luke 21:15</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21:15a</w:t>
      </w:r>
    </w:p>
    <w:p>
      <w:pPr/>
      <w:r>
        <w:rPr>
          <w:lang w:val="en_US" w:bidi="en_US"/>
        </w:rPr>
      </w:r>
      <w:r>
        <w:rPr>
          <w:b/>
          <w:lang w:val="en_US" w:bidi="en_US"/>
        </w:rPr>
        <w:t>For I will give you speech and wisdom</w:t>
      </w:r>
    </w:p>
    <w:p>
      <w:pPr>
        <w:pStyle w:val="ListBullet"/>
        <w:spacing w:line="240" w:lineRule="auto"/>
        <w:ind w:left="720"/>
      </w:pPr>
      <w:r>
        <w:rPr>
          <w:lang w:val="en_US" w:bidi="en_US"/>
        </w:rPr>
      </w:r>
      <w:r>
        <w:rPr>
          <w:lang w:val="en_US" w:bidi="en_US"/>
        </w:rPr>
        <w:t>For I myself will give you</w:t>
      </w:r>
      <w:r>
        <w:rPr>
          <w:vertAlign w:val="superscript"/>
          <w:lang w:val="en_US" w:bidi="en_US"/>
        </w:rPr>
        <w:t>(plur)</w:t>
      </w:r>
      <w:r>
        <w:rPr>
          <w:lang w:val="en_US" w:bidi="en_US"/>
        </w:rPr>
        <w:t xml:space="preserve"> words that will be so wise</w:t>
      </w:r>
    </w:p>
    <w:p>
      <w:pPr>
        <w:pStyle w:val="ListBullet"/>
        <w:spacing w:line="240" w:lineRule="auto"/>
        <w:ind w:left="720"/>
      </w:pPr>
      <w:r>
        <w:rPr>
          <w:lang w:val="en_US" w:bidi="en_US"/>
        </w:rPr>
      </w:r>
      <w:r>
        <w:rPr>
          <w:lang w:val="en_US" w:bidi="en_US"/>
        </w:rPr>
        <w:t>I say this</w:t>
      </w:r>
      <w:r>
        <w:rPr>
          <w:lang w:val="en_US" w:bidi="en_US"/>
        </w:rPr>
        <w:t xml:space="preserve"> because I myself will cause you</w:t>
      </w:r>
      <w:r>
        <w:rPr>
          <w:vertAlign w:val="superscript"/>
          <w:lang w:val="en_US" w:bidi="en_US"/>
        </w:rPr>
        <w:t>(plur)</w:t>
      </w:r>
      <w:r>
        <w:rPr>
          <w:lang w:val="en_US" w:bidi="en_US"/>
        </w:rPr>
        <w:t xml:space="preserve"> to speak so wisely</w:t>
      </w:r>
    </w:p>
    <w:p>
      <w:pPr>
        <w:pStyle w:val="ListBullet"/>
        <w:spacing w:line="240" w:lineRule="auto"/>
        <w:ind w:left="720"/>
      </w:pPr>
      <w:r>
        <w:rPr>
          <w:lang w:val="en_US" w:bidi="en_US"/>
        </w:rPr>
      </w:r>
      <w:r>
        <w:rPr>
          <w:lang w:val="en_US" w:bidi="en_US"/>
        </w:rPr>
        <w:t>At that time</w:t>
      </w:r>
      <w:r>
        <w:rPr>
          <w:lang w:val="en_US" w:bidi="en_US"/>
        </w:rPr>
        <w:t xml:space="preserve"> I myself will give you</w:t>
      </w:r>
      <w:r>
        <w:rPr>
          <w:vertAlign w:val="superscript"/>
          <w:lang w:val="en_US" w:bidi="en_US"/>
        </w:rPr>
        <w:t>(plur)</w:t>
      </w:r>
      <w:r>
        <w:rPr>
          <w:lang w:val="en_US" w:bidi="en_US"/>
        </w:rPr>
        <w:t xml:space="preserve"> such wise words</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why the disciples should resolve not to prepare/plan or be anxious about how they should defend themselves. What Jesus said in 21:15 was the reason for what he told his disciples to do in 21:14. Another way to translate this conjunction is “because,” as in the GNT. It may also be natural to begin this verse as a new sentence. For example:</w:t>
      </w:r>
    </w:p>
    <w:p>
      <w:pPr/>
      <w:r>
        <w:rPr>
          <w:lang w:val="en_US" w:bidi="en_US"/>
        </w:rPr>
      </w:r>
      <w:r>
        <w:rPr>
          <w:lang w:val="en_US" w:bidi="en_US"/>
        </w:rPr>
        <w:t>I say this</w:t>
      </w:r>
      <w:r>
        <w:rPr>
          <w:lang w:val="en_US" w:bidi="en_US"/>
        </w:rPr>
        <w:t xml:space="preserve"> because…</w:t>
      </w:r>
    </w:p>
    <w:p>
      <w:pPr/>
      <w:r>
        <w:rPr>
          <w:lang w:val="en_US" w:bidi="en_US"/>
        </w:rPr>
      </w:r>
      <w:r>
        <w:rPr>
          <w:lang w:val="en_US" w:bidi="en_US"/>
        </w:rPr>
        <w:t>In some languages the connection may be implied without a conjunction.</w:t>
      </w:r>
    </w:p>
    <w:p>
      <w:pPr/>
      <w:r>
        <w:rPr>
          <w:lang w:val="en_US" w:bidi="en_US"/>
        </w:rPr>
      </w:r>
      <w:r>
        <w:rPr>
          <w:b/>
          <w:lang w:val="en_US" w:bidi="en_US"/>
        </w:rPr>
        <w:t>I:</w:t>
      </w:r>
      <w:r>
        <w:rPr>
          <w:lang w:val="en_US" w:bidi="en_US"/>
        </w:rPr>
        <w:t xml:space="preserve"> The Greek word that the BSB translates as </w:t>
      </w:r>
      <w:r>
        <w:rPr>
          <w:i/>
          <w:lang w:val="en_US" w:bidi="en_US"/>
        </w:rPr>
        <w:t>I</w:t>
      </w:r>
      <w:r>
        <w:rPr>
          <w:lang w:val="en_US" w:bidi="en_US"/>
        </w:rPr>
        <w:t xml:space="preserve"> is emphatic. Jesus emphasized that he himself would give his disciples words and wisdom. Another way to emphasize this in English is:</w:t>
      </w:r>
    </w:p>
    <w:p>
      <w:pPr/>
      <w:r>
        <w:rPr>
          <w:lang w:val="en_US" w:bidi="en_US"/>
        </w:rPr>
      </w:r>
      <w:r>
        <w:rPr>
          <w:lang w:val="en_US" w:bidi="en_US"/>
        </w:rPr>
        <w:t>I am the one who…</w:t>
      </w:r>
    </w:p>
    <w:p>
      <w:pPr/>
      <w:r>
        <w:rPr>
          <w:lang w:val="en_US" w:bidi="en_US"/>
        </w:rPr>
      </w:r>
      <w:r>
        <w:rPr>
          <w:lang w:val="en_US" w:bidi="en_US"/>
        </w:rPr>
        <w:t>Emphasize it in a natural way in your language.</w:t>
      </w:r>
    </w:p>
    <w:p>
      <w:pPr/>
      <w:r>
        <w:rPr>
          <w:lang w:val="en_US" w:bidi="en_US"/>
        </w:rPr>
      </w:r>
      <w:r>
        <w:rPr>
          <w:b/>
          <w:lang w:val="en_US" w:bidi="en_US"/>
        </w:rPr>
        <w:t>speech and wisdom:</w:t>
      </w:r>
      <w:r>
        <w:rPr>
          <w:lang w:val="en_US" w:bidi="en_US"/>
        </w:rPr>
        <w:t xml:space="preserve"> The Greek text that the BSB translates as </w:t>
      </w:r>
      <w:r>
        <w:rPr>
          <w:i/>
          <w:lang w:val="en_US" w:bidi="en_US"/>
        </w:rPr>
        <w:t>speech and wisdom</w:t>
      </w:r>
      <w:r>
        <w:rPr>
          <w:lang w:val="en_US" w:bidi="en_US"/>
        </w:rPr>
        <w:t xml:space="preserve"> is literally “a mouth and wisdom,” as in the RSV. The word “mouth” is used figuratively for the words that the mouth speaks. In this context the phrase </w:t>
      </w:r>
      <w:r>
        <w:rPr>
          <w:i/>
          <w:lang w:val="en_US" w:bidi="en_US"/>
        </w:rPr>
        <w:t>speech and wisdom</w:t>
      </w:r>
      <w:r>
        <w:rPr>
          <w:lang w:val="en_US" w:bidi="en_US"/>
        </w:rPr>
        <w:t xml:space="preserve"> means “wise words.” It refers to being able to speak wisely and rightly in any situation. Some other ways to translate this are:</w:t>
      </w:r>
    </w:p>
    <w:p>
      <w:pPr/>
      <w:r>
        <w:rPr>
          <w:lang w:val="en_US" w:bidi="en_US"/>
        </w:rPr>
      </w:r>
      <w:r>
        <w:rPr>
          <w:lang w:val="en_US" w:bidi="en_US"/>
        </w:rPr>
        <w:t>the wisdom to know what to say (CEV)</w:t>
      </w:r>
    </w:p>
    <w:p>
      <w:pPr/>
      <w:r>
        <w:rPr>
          <w:lang w:val="en_US" w:bidi="en_US"/>
        </w:rPr>
      </w:r>
      <w:r>
        <w:rPr>
          <w:lang w:val="en_US" w:bidi="en_US"/>
        </w:rPr>
        <w:t>the right words and such wisdom that… (NLT)</w:t>
      </w:r>
    </w:p>
    <w:p>
      <w:pPr/>
      <w:r>
        <w:rPr>
          <w:lang w:val="en_US" w:bidi="en_US"/>
        </w:rPr>
      </w:r>
      <w:r>
        <w:rPr>
          <w:lang w:val="en_US" w:bidi="en_US"/>
        </w:rPr>
        <w:t>eloquence and wisdom (JBP)</w:t>
      </w:r>
      <w:r>
        <w:rPr>
          <w:lang w:val="en_US" w:bidi="en_US"/>
        </w:rPr>
        <w:t>NJB is very similar with “an eloquence and a wisdom.”</w:t>
      </w:r>
    </w:p>
    <w:p>
      <w:pPr>
        <w:pStyle w:val="Heading5"/>
      </w:pPr>
      <w:r>
        <w:rPr>
          <w:lang w:val="en_US" w:bidi="en_US"/>
        </w:rPr>
        <w:t>21:15b</w:t>
      </w:r>
    </w:p>
    <w:p>
      <w:pPr/>
      <w:r>
        <w:rPr>
          <w:lang w:val="en_US" w:bidi="en_US"/>
        </w:rPr>
      </w:r>
      <w:r>
        <w:rPr>
          <w:b/>
          <w:lang w:val="en_US" w:bidi="en_US"/>
        </w:rPr>
        <w:t>that none of your adversaries will be able to resist</w:t>
      </w:r>
    </w:p>
    <w:p>
      <w:pPr>
        <w:pStyle w:val="ListBullet"/>
        <w:spacing w:line="240" w:lineRule="auto"/>
        <w:ind w:left="720"/>
      </w:pPr>
      <w:r>
        <w:rPr>
          <w:lang w:val="en_US" w:bidi="en_US"/>
        </w:rPr>
      </w:r>
      <w:r>
        <w:rPr>
          <w:lang w:val="en_US" w:bidi="en_US"/>
        </w:rPr>
        <w:t>that none of your</w:t>
      </w:r>
      <w:r>
        <w:rPr>
          <w:vertAlign w:val="superscript"/>
          <w:lang w:val="en_US" w:bidi="en_US"/>
        </w:rPr>
        <w:t>(plur)</w:t>
      </w:r>
      <w:r>
        <w:rPr>
          <w:lang w:val="en_US" w:bidi="en_US"/>
        </w:rPr>
        <w:t xml:space="preserve"> enemies can disprove </w:t>
      </w:r>
      <w:r>
        <w:rPr>
          <w:lang w:val="en_US" w:bidi="en_US"/>
        </w:rPr>
        <w:t>what you</w:t>
      </w:r>
      <w:r>
        <w:rPr>
          <w:vertAlign w:val="superscript"/>
          <w:lang w:val="en_US" w:bidi="en_US"/>
        </w:rPr>
        <w:t>(plur)</w:t>
      </w:r>
      <w:r>
        <w:rPr>
          <w:lang w:val="en_US" w:bidi="en_US"/>
        </w:rPr>
        <w:t xml:space="preserve"> </w:t>
      </w:r>
      <w:r>
        <w:rPr>
          <w:lang w:val="en_US" w:bidi="en_US"/>
        </w:rPr>
        <w:t>say</w:t>
      </w:r>
    </w:p>
    <w:p>
      <w:pPr>
        <w:pStyle w:val="ListBullet"/>
        <w:spacing w:line="240" w:lineRule="auto"/>
        <w:ind w:left="720"/>
      </w:pPr>
      <w:r>
        <w:rPr>
          <w:lang w:val="en_US" w:bidi="en_US"/>
        </w:rPr>
      </w:r>
      <w:r>
        <w:rPr>
          <w:lang w:val="en_US" w:bidi="en_US"/>
        </w:rPr>
        <w:t>that none of those who accuse you</w:t>
      </w:r>
      <w:r>
        <w:rPr>
          <w:vertAlign w:val="superscript"/>
          <w:lang w:val="en_US" w:bidi="en_US"/>
        </w:rPr>
        <w:t>(plur)</w:t>
      </w:r>
      <w:r>
        <w:rPr>
          <w:lang w:val="en_US" w:bidi="en_US"/>
        </w:rPr>
        <w:t xml:space="preserve"> will be able to refute </w:t>
      </w:r>
      <w:r>
        <w:rPr>
          <w:lang w:val="en_US" w:bidi="en_US"/>
        </w:rPr>
        <w:t>your arguments</w:t>
      </w:r>
    </w:p>
    <w:p>
      <w:pPr>
        <w:pStyle w:val="Heading5"/>
      </w:pPr>
      <w:r>
        <w:rPr>
          <w:lang w:val="en_US" w:bidi="en_US"/>
        </w:rPr>
        <w:t>21:15c</w:t>
      </w:r>
    </w:p>
    <w:p>
      <w:pPr/>
      <w:r>
        <w:rPr>
          <w:lang w:val="en_US" w:bidi="en_US"/>
        </w:rPr>
      </w:r>
      <w:r>
        <w:rPr>
          <w:b/>
          <w:lang w:val="en_US" w:bidi="en_US"/>
        </w:rPr>
        <w:t>or contradict.</w:t>
      </w:r>
    </w:p>
    <w:p>
      <w:pPr>
        <w:pStyle w:val="ListBullet"/>
        <w:spacing w:line="240" w:lineRule="auto"/>
        <w:ind w:left="720"/>
      </w:pPr>
      <w:r>
        <w:rPr>
          <w:lang w:val="en_US" w:bidi="en_US"/>
        </w:rPr>
      </w:r>
      <w:r>
        <w:rPr>
          <w:lang w:val="en_US" w:bidi="en_US"/>
        </w:rPr>
        <w:t>or deny that it is true.</w:t>
      </w:r>
    </w:p>
    <w:p>
      <w:pPr>
        <w:pStyle w:val="ListBullet"/>
        <w:spacing w:line="240" w:lineRule="auto"/>
        <w:ind w:left="720"/>
      </w:pPr>
      <w:r>
        <w:rPr>
          <w:lang w:val="en_US" w:bidi="en_US"/>
        </w:rPr>
      </w:r>
      <w:r>
        <w:rPr>
          <w:lang w:val="en_US" w:bidi="en_US"/>
        </w:rPr>
        <w:t>or claim that you are not telling the truth.</w:t>
      </w:r>
    </w:p>
    <w:p>
      <w:pPr>
        <w:pStyle w:val="Heading5"/>
      </w:pPr>
      <w:r>
        <w:rPr>
          <w:lang w:val="en_US" w:bidi="en_US"/>
        </w:rPr>
        <w:t>21:15b–c</w:t>
      </w:r>
    </w:p>
    <w:p>
      <w:pPr/>
      <w:r>
        <w:rPr>
          <w:lang w:val="en_US" w:bidi="en_US"/>
        </w:rPr>
      </w:r>
      <w:r>
        <w:rPr>
          <w:b/>
          <w:lang w:val="en_US" w:bidi="en_US"/>
        </w:rPr>
        <w:t>that none of your adversaries will be able to resist or contradict:</w:t>
      </w:r>
      <w:r>
        <w:rPr>
          <w:lang w:val="en_US" w:bidi="en_US"/>
        </w:rPr>
        <w:t xml:space="preserve"> This clause tells the result of the wise words that the disciples will speak (21:15a). They will speak so wisely that their enemies will not know how to disprove what they say.</w:t>
      </w:r>
    </w:p>
    <w:p>
      <w:pPr/>
      <w:r>
        <w:rPr>
          <w:lang w:val="en_US" w:bidi="en_US"/>
        </w:rPr>
      </w:r>
      <w:r>
        <w:rPr>
          <w:lang w:val="en_US" w:bidi="en_US"/>
        </w:rPr>
        <w:t xml:space="preserve">The words </w:t>
      </w:r>
      <w:r>
        <w:rPr>
          <w:i/>
          <w:lang w:val="en_US" w:bidi="en_US"/>
        </w:rPr>
        <w:t>resist</w:t>
      </w:r>
      <w:r>
        <w:rPr>
          <w:lang w:val="en_US" w:bidi="en_US"/>
        </w:rPr>
        <w:t xml:space="preserve"> and </w:t>
      </w:r>
      <w:r>
        <w:rPr>
          <w:i/>
          <w:lang w:val="en_US" w:bidi="en_US"/>
        </w:rPr>
        <w:t>contradict</w:t>
      </w:r>
      <w:r>
        <w:rPr>
          <w:lang w:val="en_US" w:bidi="en_US"/>
        </w:rPr>
        <w:t xml:space="preserve"> have similar meanings here. The word </w:t>
      </w:r>
      <w:r>
        <w:rPr>
          <w:i/>
          <w:lang w:val="en_US" w:bidi="en_US"/>
        </w:rPr>
        <w:t>contradict</w:t>
      </w:r>
      <w:r>
        <w:rPr>
          <w:lang w:val="en_US" w:bidi="en_US"/>
        </w:rPr>
        <w:t xml:space="preserve"> refers specifically to saying that what someone has said is not correct. The word </w:t>
      </w:r>
      <w:r>
        <w:rPr>
          <w:i/>
          <w:lang w:val="en_US" w:bidi="en_US"/>
        </w:rPr>
        <w:t>resist</w:t>
      </w:r>
      <w:r>
        <w:rPr>
          <w:lang w:val="en_US" w:bidi="en_US"/>
        </w:rPr>
        <w:t xml:space="preserve"> can also include other types of opposition. Jesus used both these words to emphasize what he said. Other ways to translate the clause are:</w:t>
      </w:r>
    </w:p>
    <w:p>
      <w:pPr/>
      <w:r>
        <w:rPr>
          <w:lang w:val="en_US" w:bidi="en_US"/>
        </w:rPr>
      </w:r>
      <w:r>
        <w:rPr>
          <w:lang w:val="en_US" w:bidi="en_US"/>
        </w:rPr>
        <w:t>so that your enemies will thus have no way to defeat you and to contradict what you are saying</w:t>
      </w:r>
      <w:r>
        <w:rPr>
          <w:lang w:val="en_US" w:bidi="en_US"/>
        </w:rPr>
        <w:t>Kankanaey back translation on TW.</w:t>
      </w:r>
    </w:p>
    <w:p>
      <w:pPr/>
      <w:r>
        <w:rPr>
          <w:lang w:val="en_US" w:bidi="en_US"/>
        </w:rPr>
      </w:r>
      <w:r>
        <w:rPr>
          <w:lang w:val="en_US" w:bidi="en_US"/>
        </w:rPr>
        <w:t>as for your enemies, they will not be able to answer your reasoning. They will also not be able to say that what you are saying is a lie.</w:t>
      </w:r>
      <w:r>
        <w:rPr>
          <w:lang w:val="en_US" w:bidi="en_US"/>
        </w:rPr>
        <w:t>Western Bukidnon Manobo back translation on TW.</w:t>
      </w:r>
    </w:p>
    <w:p>
      <w:pPr/>
      <w:r>
        <w:rPr>
          <w:lang w:val="en_US" w:bidi="en_US"/>
        </w:rPr>
      </w:r>
      <w:r>
        <w:rPr>
          <w:b/>
          <w:lang w:val="en_US" w:bidi="en_US"/>
        </w:rPr>
        <w:t>adversaries:</w:t>
      </w:r>
      <w:r>
        <w:rPr>
          <w:lang w:val="en_US" w:bidi="en_US"/>
        </w:rPr>
        <w:t xml:space="preserve"> The Greek word that the BSB translates as </w:t>
      </w:r>
      <w:r>
        <w:rPr>
          <w:i/>
          <w:lang w:val="en_US" w:bidi="en_US"/>
        </w:rPr>
        <w:t>adversaries</w:t>
      </w:r>
      <w:r>
        <w:rPr>
          <w:lang w:val="en_US" w:bidi="en_US"/>
        </w:rPr>
        <w:t xml:space="preserve"> means “opponents.” In this context it probably refers to people who would accuse the disciples in court. Another way to translate it is:</w:t>
      </w:r>
    </w:p>
    <w:p>
      <w:pPr/>
      <w:r>
        <w:rPr>
          <w:lang w:val="en_US" w:bidi="en_US"/>
        </w:rPr>
      </w:r>
      <w:r>
        <w:rPr>
          <w:lang w:val="en_US" w:bidi="en_US"/>
        </w:rPr>
        <w:t>those who oppose/accuse you</w:t>
      </w:r>
    </w:p>
    <w:p>
      <w:pPr/>
      <w:r>
        <w:rPr>
          <w:lang w:val="en_US" w:bidi="en_US"/>
        </w:rPr>
      </w:r>
      <w:r>
        <w:rPr>
          <w:lang w:val="en_US" w:bidi="en_US"/>
        </w:rPr>
        <w:t>Some languages express this meaning with an idiom. For example:</w:t>
      </w:r>
    </w:p>
    <w:p>
      <w:pPr/>
      <w:r>
        <w:rPr>
          <w:lang w:val="en_US" w:bidi="en_US"/>
        </w:rPr>
      </w:r>
      <w:r>
        <w:rPr>
          <w:lang w:val="en_US" w:bidi="en_US"/>
        </w:rPr>
        <w:t>those who show a sour face toward you</w:t>
      </w:r>
    </w:p>
    <w:p>
      <w:pPr/>
      <w:r>
        <w:rPr>
          <w:lang w:val="en_US" w:bidi="en_US"/>
        </w:rPr>
      </w:r>
      <w:r>
        <w:rPr>
          <w:lang w:val="en_US" w:bidi="en_US"/>
        </w:rPr>
        <w:t>those who have a mean heart toward you</w:t>
      </w:r>
    </w:p>
    <w:p>
      <w:pPr/>
      <w:r>
        <w:rPr>
          <w:lang w:val="en_US" w:bidi="en_US"/>
        </w:rPr>
      </w:r>
      <w:r>
        <w:rPr>
          <w:b/>
          <w:lang w:val="en_US" w:bidi="en_US"/>
        </w:rPr>
        <w:t>resist:</w:t>
      </w:r>
      <w:r>
        <w:rPr>
          <w:lang w:val="en_US" w:bidi="en_US"/>
        </w:rPr>
        <w:t xml:space="preserve"> The Greek word that the BSB translates as </w:t>
      </w:r>
      <w:r>
        <w:rPr>
          <w:i/>
          <w:lang w:val="en_US" w:bidi="en_US"/>
        </w:rPr>
        <w:t>resist</w:t>
      </w:r>
      <w:r>
        <w:rPr>
          <w:lang w:val="en_US" w:bidi="en_US"/>
        </w:rPr>
        <w:t xml:space="preserve"> means “withstand.” It implies here that the disciples’ enemies will not be able to prove that what the disciples say is wrong. They will not be successful in opposing them.</w:t>
      </w:r>
    </w:p>
    <w:p>
      <w:pPr/>
      <w:r>
        <w:rPr>
          <w:lang w:val="en_US" w:bidi="en_US"/>
        </w:rPr>
      </w:r>
      <w:r>
        <w:rPr>
          <w:b/>
          <w:lang w:val="en_US" w:bidi="en_US"/>
        </w:rPr>
        <w:t>contradict:</w:t>
      </w:r>
      <w:r>
        <w:rPr>
          <w:lang w:val="en_US" w:bidi="en_US"/>
        </w:rPr>
        <w:t xml:space="preserve"> The word </w:t>
      </w:r>
      <w:r>
        <w:rPr>
          <w:i/>
          <w:lang w:val="en_US" w:bidi="en_US"/>
        </w:rPr>
        <w:t>contradict</w:t>
      </w:r>
      <w:r>
        <w:rPr>
          <w:lang w:val="en_US" w:bidi="en_US"/>
        </w:rPr>
        <w:t xml:space="preserve"> means “speak against.” It indicates that no enemy will know what to say against the disciples’ wise words. The enemies will not be able to deny that the disciples are speaking the truth.</w:t>
      </w:r>
      <w:r>
        <w:rPr>
          <w:lang w:val="en_US" w:bidi="en_US"/>
        </w:rPr>
      </w:r>
      <w:r>
        <w:rPr>
          <w:lang w:val="en_US" w:bidi="en_US"/>
        </w:rPr>
      </w:r>
    </w:p>
    <w:p>
      <w:pPr/>
      <w:r>
        <w:rPr>
          <w:lang w:val="en_US" w:bidi="en_US"/>
        </w:rPr>
      </w:r>
    </w:p>
    <w:p>
      <w:pPr>
        <w:pStyle w:val="Heading2"/>
      </w:pPr>
      <w:r>
        <w:rPr>
          <w:lang w:val="en_US" w:bidi="en_US"/>
        </w:rPr>
        <w:t>Luke 21:16</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21:16a</w:t>
      </w:r>
    </w:p>
    <w:p>
      <w:pPr/>
      <w:r>
        <w:rPr>
          <w:lang w:val="en_US" w:bidi="en_US"/>
        </w:rPr>
      </w:r>
      <w:r>
        <w:rPr>
          <w:b/>
          <w:lang w:val="en_US" w:bidi="en_US"/>
        </w:rPr>
        <w:t>You will be betrayed even by parents and brothers and relatives and friends,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be delivered </w:t>
      </w:r>
      <w:r>
        <w:rPr>
          <w:lang w:val="en_US" w:bidi="en_US"/>
        </w:rPr>
        <w:t>to authorities</w:t>
      </w:r>
      <w:r>
        <w:rPr>
          <w:lang w:val="en_US" w:bidi="en_US"/>
        </w:rPr>
        <w:t xml:space="preserve"> even by parents, siblings, relatives, or friends,</w:t>
      </w:r>
    </w:p>
    <w:p>
      <w:pPr>
        <w:pStyle w:val="ListBullet"/>
        <w:spacing w:line="240" w:lineRule="auto"/>
        <w:ind w:left="720"/>
      </w:pPr>
      <w:r>
        <w:rPr>
          <w:lang w:val="en_US" w:bidi="en_US"/>
        </w:rPr>
      </w:r>
      <w:r>
        <w:rPr>
          <w:lang w:val="en_US" w:bidi="en_US"/>
        </w:rPr>
        <w:t>Even your</w:t>
      </w:r>
      <w:r>
        <w:rPr>
          <w:vertAlign w:val="superscript"/>
          <w:lang w:val="en_US" w:bidi="en_US"/>
        </w:rPr>
        <w:t>(plur)</w:t>
      </w:r>
      <w:r>
        <w:rPr>
          <w:lang w:val="en_US" w:bidi="en_US"/>
        </w:rPr>
        <w:t xml:space="preserve"> mothers, fathers, brothers, sisters, relatives, and friends will cause </w:t>
      </w:r>
      <w:r>
        <w:rPr>
          <w:lang w:val="en_US" w:bidi="en_US"/>
        </w:rPr>
        <w:t>people/authorities</w:t>
      </w:r>
      <w:r>
        <w:rPr>
          <w:lang w:val="en_US" w:bidi="en_US"/>
        </w:rPr>
        <w:t xml:space="preserve"> to arrest you,</w:t>
      </w:r>
    </w:p>
    <w:p>
      <w:pPr/>
      <w:r>
        <w:rPr>
          <w:lang w:val="en_US" w:bidi="en_US"/>
        </w:rPr>
      </w:r>
      <w:r>
        <w:rPr>
          <w:b/>
          <w:lang w:val="en_US" w:bidi="en_US"/>
        </w:rPr>
        <w:t>You will be betrayed even by parents and brothers and relatives and friends:</w:t>
      </w:r>
      <w:r>
        <w:rPr>
          <w:lang w:val="en_US" w:bidi="en_US"/>
        </w:rPr>
        <w:t xml:space="preserve"> This is a passive clause, and the subject is explicit. The disciples’ own family and friends will betray them. The Greek verb that the BSB translates as </w:t>
      </w:r>
      <w:r>
        <w:rPr>
          <w:i/>
          <w:lang w:val="en_US" w:bidi="en_US"/>
        </w:rPr>
        <w:t>betrayed</w:t>
      </w:r>
      <w:r>
        <w:rPr>
          <w:lang w:val="en_US" w:bidi="en_US"/>
        </w:rPr>
        <w:t xml:space="preserve"> refers to being delivered/put into the power of enemies.</w:t>
      </w:r>
    </w:p>
    <w:p>
      <w:pPr/>
      <w:r>
        <w:rPr>
          <w:lang w:val="en_US" w:bidi="en_US"/>
        </w:rPr>
      </w:r>
      <w:r>
        <w:rPr>
          <w:lang w:val="en_US" w:bidi="en_US"/>
        </w:rPr>
        <w:t>In 21:12 Jesus had already told the disciples that people would deliver them to the synagogue authorities. Now he told them that even their own family and friends would deliver them to authorities. He implied that it would be especially terrible when people who should have lovede them betrayed them.</w:t>
      </w:r>
    </w:p>
    <w:p>
      <w:pPr/>
      <w:r>
        <w:rPr>
          <w:lang w:val="en_US" w:bidi="en_US"/>
        </w:rPr>
      </w:r>
      <w:r>
        <w:rPr>
          <w:lang w:val="en_US" w:bidi="en_US"/>
        </w:rPr>
        <w:t>In some languages, it may be more natural to use an active clause here. For example:</w:t>
      </w:r>
    </w:p>
    <w:p>
      <w:pPr/>
      <w:r>
        <w:rPr>
          <w:lang w:val="en_US" w:bidi="en_US"/>
        </w:rPr>
      </w:r>
      <w:r>
        <w:rPr>
          <w:lang w:val="en_US" w:bidi="en_US"/>
        </w:rPr>
        <w:t>Even parents, brothers, relatives, and friends will betray you… (GW)</w:t>
      </w:r>
    </w:p>
    <w:p>
      <w:pPr/>
      <w:r>
        <w:rPr>
          <w:lang w:val="en_US" w:bidi="en_US"/>
        </w:rPr>
      </w:r>
      <w:r>
        <w:rPr>
          <w:lang w:val="en_US" w:bidi="en_US"/>
        </w:rPr>
        <w:t>Even those closest to you—your parents, brothers, relatives, and friends—will betray you. (NLT)</w:t>
      </w:r>
    </w:p>
    <w:p>
      <w:pPr/>
      <w:r>
        <w:rPr>
          <w:lang w:val="en_US" w:bidi="en_US"/>
        </w:rPr>
      </w:r>
      <w:r>
        <w:rPr>
          <w:lang w:val="en_US" w:bidi="en_US"/>
        </w:rPr>
        <w:t>See the note on 21:12c for more information. See the General Comment on 21:16a–b below for other examples.</w:t>
      </w:r>
    </w:p>
    <w:p>
      <w:pPr/>
      <w:r>
        <w:rPr>
          <w:lang w:val="en_US" w:bidi="en_US"/>
        </w:rPr>
      </w:r>
      <w:r>
        <w:rPr>
          <w:b/>
          <w:lang w:val="en_US" w:bidi="en_US"/>
        </w:rPr>
        <w:t>parents:</w:t>
      </w:r>
      <w:r>
        <w:rPr>
          <w:lang w:val="en_US" w:bidi="en_US"/>
        </w:rPr>
        <w:t xml:space="preserve"> The word </w:t>
      </w:r>
      <w:r>
        <w:rPr>
          <w:i/>
          <w:lang w:val="en_US" w:bidi="en_US"/>
        </w:rPr>
        <w:t>parents</w:t>
      </w:r>
      <w:r>
        <w:rPr>
          <w:lang w:val="en_US" w:bidi="en_US"/>
        </w:rPr>
        <w:t xml:space="preserve"> refers to a person’s father and mother.</w:t>
      </w:r>
    </w:p>
    <w:p>
      <w:pPr/>
      <w:r>
        <w:rPr>
          <w:lang w:val="en_US" w:bidi="en_US"/>
        </w:rPr>
      </w:r>
      <w:r>
        <w:rPr>
          <w:b/>
          <w:lang w:val="en_US" w:bidi="en_US"/>
        </w:rPr>
        <w:t>brothers:</w:t>
      </w:r>
      <w:r>
        <w:rPr>
          <w:lang w:val="en_US" w:bidi="en_US"/>
        </w:rPr>
        <w:t xml:space="preserve"> The Greek word that the BSB translates as </w:t>
      </w:r>
      <w:r>
        <w:rPr>
          <w:i/>
          <w:lang w:val="en_US" w:bidi="en_US"/>
        </w:rPr>
        <w:t>brothers</w:t>
      </w:r>
      <w:r>
        <w:rPr>
          <w:lang w:val="en_US" w:bidi="en_US"/>
        </w:rPr>
        <w:t xml:space="preserve"> refers here to people who have the same father or mother. It is a general word that includes both brothers and sisters. It refers to a close kinship tie, not to </w:t>
      </w:r>
      <w:r>
        <w:rPr>
          <w:i/>
          <w:lang w:val="en_US" w:bidi="en_US"/>
        </w:rPr>
        <w:t>brothers</w:t>
      </w:r>
      <w:r>
        <w:rPr>
          <w:lang w:val="en_US" w:bidi="en_US"/>
        </w:rPr>
        <w:t xml:space="preserve"> in the sense of fellow believers in Jesus. Disciples will be betrayed by their brothers and sisters who do not believe in Jesus.</w:t>
      </w:r>
    </w:p>
    <w:p>
      <w:pPr/>
      <w:r>
        <w:rPr>
          <w:lang w:val="en_US" w:bidi="en_US"/>
        </w:rPr>
      </w:r>
      <w:r>
        <w:rPr>
          <w:lang w:val="en_US" w:bidi="en_US"/>
        </w:rPr>
        <w:t>Your language may have a word like “sibling” that includes male and female. There may be different words for older and younger siblings. Use appropriate words in your language.</w:t>
      </w:r>
    </w:p>
    <w:p>
      <w:pPr/>
      <w:r>
        <w:rPr>
          <w:lang w:val="en_US" w:bidi="en_US"/>
        </w:rPr>
      </w:r>
      <w:r>
        <w:rPr>
          <w:b/>
          <w:lang w:val="en_US" w:bidi="en_US"/>
        </w:rPr>
        <w:t>relatives:</w:t>
      </w:r>
      <w:r>
        <w:rPr>
          <w:lang w:val="en_US" w:bidi="en_US"/>
        </w:rPr>
        <w:t xml:space="preserve"> The Greek word that the BSB translates as </w:t>
      </w:r>
      <w:r>
        <w:rPr>
          <w:i/>
          <w:lang w:val="en_US" w:bidi="en_US"/>
        </w:rPr>
        <w:t>relatives</w:t>
      </w:r>
      <w:r>
        <w:rPr>
          <w:lang w:val="en_US" w:bidi="en_US"/>
        </w:rPr>
        <w:t xml:space="preserve"> refers to people who belong to the same extended family or clan. This includes both males and females. Such relatives include aunts, uncles, nephews, nieces, cousins, and others in a person’s extended family. Use a word or phrase that is appropriate in your language for this context.</w:t>
      </w:r>
    </w:p>
    <w:p>
      <w:pPr/>
      <w:r>
        <w:rPr>
          <w:lang w:val="en_US" w:bidi="en_US"/>
        </w:rPr>
      </w:r>
      <w:r>
        <w:rPr>
          <w:b/>
          <w:lang w:val="en_US" w:bidi="en_US"/>
        </w:rPr>
        <w:t>and friends:</w:t>
      </w:r>
      <w:r>
        <w:rPr>
          <w:lang w:val="en_US" w:bidi="en_US"/>
        </w:rPr>
        <w:t xml:space="preserve"> The Greek word that the BSB translates as </w:t>
      </w:r>
      <w:r>
        <w:rPr>
          <w:i/>
          <w:lang w:val="en_US" w:bidi="en_US"/>
        </w:rPr>
        <w:t>friends</w:t>
      </w:r>
      <w:r>
        <w:rPr>
          <w:lang w:val="en_US" w:bidi="en_US"/>
        </w:rPr>
        <w:t xml:space="preserve"> refers to people who like to be with each other. They usually trust and help each other. It refers to a different group of people from the term “relatives” in this list.</w:t>
      </w:r>
    </w:p>
    <w:p>
      <w:pPr/>
      <w:r>
        <w:rPr>
          <w:lang w:val="en_US" w:bidi="en_US"/>
        </w:rPr>
      </w:r>
      <w:r>
        <w:rPr>
          <w:lang w:val="en_US" w:bidi="en_US"/>
        </w:rPr>
        <w:t>In some languages there are different terms for different kinds of friends. If you must use a specific term, choose one that refers to a close friend, because in this context Jesus referred to other close relationships. Consider which term for ‘friend’ in your language will fit best in this context.</w:t>
      </w:r>
    </w:p>
    <w:p>
      <w:pPr>
        <w:pStyle w:val="Heading5"/>
      </w:pPr>
      <w:r>
        <w:rPr>
          <w:lang w:val="en_US" w:bidi="en_US"/>
        </w:rPr>
        <w:t>21:16b</w:t>
      </w:r>
    </w:p>
    <w:p>
      <w:pPr/>
      <w:r>
        <w:rPr>
          <w:lang w:val="en_US" w:bidi="en_US"/>
        </w:rPr>
      </w:r>
      <w:r>
        <w:rPr>
          <w:b/>
          <w:lang w:val="en_US" w:bidi="en_US"/>
        </w:rPr>
        <w:t>and some of you will be put to death.</w:t>
      </w:r>
    </w:p>
    <w:p>
      <w:pPr>
        <w:pStyle w:val="ListBullet"/>
        <w:spacing w:line="240" w:lineRule="auto"/>
        <w:ind w:left="720"/>
      </w:pPr>
      <w:r>
        <w:rPr>
          <w:lang w:val="en_US" w:bidi="en_US"/>
        </w:rPr>
      </w:r>
      <w:r>
        <w:rPr>
          <w:lang w:val="en_US" w:bidi="en_US"/>
        </w:rPr>
        <w:t>and some of you</w:t>
      </w:r>
      <w:r>
        <w:rPr>
          <w:vertAlign w:val="superscript"/>
          <w:lang w:val="en_US" w:bidi="en_US"/>
        </w:rPr>
        <w:t>(plur)</w:t>
      </w:r>
      <w:r>
        <w:rPr>
          <w:lang w:val="en_US" w:bidi="en_US"/>
        </w:rPr>
        <w:t xml:space="preserve"> will be put to death.</w:t>
      </w:r>
    </w:p>
    <w:p>
      <w:pPr>
        <w:pStyle w:val="ListBullet"/>
        <w:spacing w:line="240" w:lineRule="auto"/>
        <w:ind w:left="720"/>
      </w:pPr>
      <w:r>
        <w:rPr>
          <w:lang w:val="en_US" w:bidi="en_US"/>
        </w:rPr>
      </w:r>
      <w:r>
        <w:rPr>
          <w:lang w:val="en_US" w:bidi="en_US"/>
        </w:rPr>
        <w:t xml:space="preserve">and the </w:t>
      </w:r>
      <w:r>
        <w:rPr>
          <w:lang w:val="en_US" w:bidi="en_US"/>
        </w:rPr>
        <w:t>people/authorities</w:t>
      </w:r>
      <w:r>
        <w:rPr>
          <w:lang w:val="en_US" w:bidi="en_US"/>
        </w:rPr>
        <w:t xml:space="preserve"> will cause some of you</w:t>
      </w:r>
      <w:r>
        <w:rPr>
          <w:vertAlign w:val="superscript"/>
          <w:lang w:val="en_US" w:bidi="en_US"/>
        </w:rPr>
        <w:t>(plur)</w:t>
      </w:r>
      <w:r>
        <w:rPr>
          <w:lang w:val="en_US" w:bidi="en_US"/>
        </w:rPr>
        <w:t xml:space="preserve"> to be killed/executed.</w:t>
      </w:r>
    </w:p>
    <w:p>
      <w:pPr/>
      <w:r>
        <w:rPr>
          <w:lang w:val="en_US" w:bidi="en_US"/>
        </w:rPr>
      </w:r>
      <w:r>
        <w:rPr>
          <w:b/>
          <w:lang w:val="en_US" w:bidi="en_US"/>
        </w:rPr>
        <w:t>and some of you will be put to death:</w:t>
      </w:r>
      <w:r>
        <w:rPr>
          <w:lang w:val="en_US" w:bidi="en_US"/>
        </w:rPr>
        <w:t xml:space="preserve"> In the Greek, this phrase is more literally “and they will kill/execute some of you.” The word “they” refers to the government authorities who had the right to execute people. It does not refer to the disciples’ family and friends. After their family and friends betray them, the authorities will put some of them to death. Other ways to translate this clause are:</w:t>
      </w:r>
    </w:p>
    <w:p>
      <w:pPr>
        <w:pStyle w:val="Heading6"/>
      </w:pPr>
      <w:r>
        <w:rPr>
          <w:b/>
          <w:lang w:val="en_US" w:bidi="en_US"/>
        </w:rPr>
        <w:t>General Comment on 21:16a–b</w:t>
      </w:r>
    </w:p>
    <w:p>
      <w:pPr>
        <w:pStyle w:val="ListBullet"/>
        <w:spacing w:line="240" w:lineRule="auto"/>
        <w:ind w:left="720"/>
      </w:pPr>
      <w:r>
        <w:rPr>
          <w:lang w:val="en_US" w:bidi="en_US"/>
        </w:rPr>
      </w:r>
      <w:r>
        <w:rPr>
          <w:lang w:val="en_US" w:bidi="en_US"/>
        </w:rPr>
        <w:t>Use a passive clause, as the BSB does.</w:t>
      </w:r>
    </w:p>
    <w:p>
      <w:pPr>
        <w:pStyle w:val="ListBullet"/>
        <w:spacing w:line="240" w:lineRule="auto"/>
        <w:ind w:left="720"/>
      </w:pPr>
      <w:r>
        <w:rPr>
          <w:lang w:val="en_US" w:bidi="en_US"/>
        </w:rPr>
      </w:r>
      <w:r>
        <w:rPr>
          <w:lang w:val="en_US" w:bidi="en_US"/>
        </w:rPr>
        <w:t>Supply a subject that refers to authorities who have the right to execute people. For example:</w:t>
      </w:r>
      <w:r>
        <w:rPr>
          <w:lang w:val="en_US" w:bidi="en_US"/>
        </w:rPr>
        <w:t xml:space="preserve">and </w:t>
      </w:r>
      <w:r>
        <w:rPr>
          <w:lang w:val="en_US" w:bidi="en_US"/>
        </w:rPr>
        <w:t>the authorities</w:t>
      </w:r>
      <w:r>
        <w:rPr>
          <w:lang w:val="en_US" w:bidi="en_US"/>
        </w:rPr>
        <w:t xml:space="preserve"> will kill/execute you</w:t>
      </w:r>
    </w:p>
    <w:p>
      <w:pPr/>
      <w:r>
        <w:rPr>
          <w:lang w:val="en_US" w:bidi="en_US"/>
        </w:rPr>
      </w:r>
      <w:r>
        <w:rPr>
          <w:lang w:val="en_US" w:bidi="en_US"/>
        </w:rPr>
        <w:t>One way to translate 21:16 with active verbs is:</w:t>
      </w:r>
    </w:p>
    <w:p>
      <w:pPr/>
      <w:r>
        <w:rPr>
          <w:lang w:val="en_US" w:bidi="en_US"/>
        </w:rPr>
      </w:r>
      <w:r>
        <w:rPr>
          <w:lang w:val="en_US" w:bidi="en_US"/>
        </w:rPr>
        <w:t xml:space="preserve">Even </w:t>
      </w:r>
      <w:r>
        <w:rPr>
          <w:lang w:val="en_US" w:bidi="en_US"/>
        </w:rPr>
        <w:t>your own</w:t>
      </w:r>
      <w:r>
        <w:rPr>
          <w:lang w:val="en_US" w:bidi="en_US"/>
        </w:rPr>
        <w:t xml:space="preserve"> mothers and fathers and brothers, relatives, and friends will betray you </w:t>
      </w:r>
      <w:r>
        <w:rPr>
          <w:lang w:val="en_US" w:bidi="en_US"/>
        </w:rPr>
        <w:t>to the authorities</w:t>
      </w:r>
      <w:r>
        <w:rPr>
          <w:lang w:val="en_US" w:bidi="en_US"/>
        </w:rPr>
        <w:t xml:space="preserve">; and </w:t>
      </w:r>
      <w:r>
        <w:rPr>
          <w:lang w:val="en_US" w:bidi="en_US"/>
        </w:rPr>
        <w:t>the authorities</w:t>
      </w:r>
      <w:r>
        <w:rPr>
          <w:lang w:val="en_US" w:bidi="en_US"/>
        </w:rPr>
        <w:t xml:space="preserve"> will execute/kill some of you.</w:t>
      </w:r>
    </w:p>
    <w:p>
      <w:pPr/>
      <w:r>
        <w:rPr>
          <w:lang w:val="en_US" w:bidi="en_US"/>
        </w:rPr>
      </w:r>
      <w:r>
        <w:rPr>
          <w:lang w:val="en_US" w:bidi="en_US"/>
        </w:rPr>
        <w:t>One way to translate 21:16 with passive verbs is:</w:t>
      </w:r>
    </w:p>
    <w:p>
      <w:pPr/>
      <w:r>
        <w:rPr>
          <w:lang w:val="en_US" w:bidi="en_US"/>
        </w:rPr>
      </w:r>
      <w:r>
        <w:rPr>
          <w:lang w:val="en_US" w:bidi="en_US"/>
        </w:rPr>
        <w:t xml:space="preserve">You will be delivered </w:t>
      </w:r>
      <w:r>
        <w:rPr>
          <w:lang w:val="en_US" w:bidi="en_US"/>
        </w:rPr>
        <w:t>to the authorities</w:t>
      </w:r>
      <w:r>
        <w:rPr>
          <w:lang w:val="en_US" w:bidi="en_US"/>
        </w:rPr>
        <w:t xml:space="preserve"> even by parents and brothers and relatives and friends, and some of you will be killed/executed.</w:t>
      </w:r>
    </w:p>
    <w:p>
      <w:pPr/>
      <w:r>
        <w:rPr>
          <w:lang w:val="en_US" w:bidi="en_US"/>
        </w:rPr>
      </w:r>
      <w:r>
        <w:rPr>
          <w:lang w:val="en_US" w:bidi="en_US"/>
        </w:rPr>
        <w:t>Translate 21:16 in the way that is most natural in your language.</w:t>
      </w:r>
      <w:r>
        <w:rPr>
          <w:lang w:val="en_US" w:bidi="en_US"/>
        </w:rPr>
      </w:r>
      <w:r>
        <w:rPr>
          <w:lang w:val="en_US" w:bidi="en_US"/>
        </w:rPr>
      </w:r>
    </w:p>
    <w:p>
      <w:pPr/>
      <w:r>
        <w:rPr>
          <w:lang w:val="en_US" w:bidi="en_US"/>
        </w:rPr>
      </w:r>
    </w:p>
    <w:p>
      <w:pPr>
        <w:pStyle w:val="Heading2"/>
      </w:pPr>
      <w:r>
        <w:rPr>
          <w:lang w:val="en_US" w:bidi="en_US"/>
        </w:rPr>
        <w:t>Luke 21:17</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21:17</w:t>
      </w:r>
    </w:p>
    <w:p>
      <w:pPr/>
      <w:r>
        <w:rPr>
          <w:lang w:val="en_US" w:bidi="en_US"/>
        </w:rPr>
      </w:r>
      <w:r>
        <w:rPr>
          <w:b/>
          <w:lang w:val="en_US" w:bidi="en_US"/>
        </w:rPr>
        <w:t>And you will be hated by everyone because of My name.</w:t>
      </w:r>
    </w:p>
    <w:p>
      <w:pPr>
        <w:pStyle w:val="ListBullet"/>
        <w:spacing w:line="240" w:lineRule="auto"/>
        <w:ind w:left="720"/>
      </w:pPr>
      <w:r>
        <w:rPr>
          <w:lang w:val="en_US" w:bidi="en_US"/>
        </w:rPr>
      </w:r>
      <w:r>
        <w:rPr>
          <w:lang w:val="en_US" w:bidi="en_US"/>
        </w:rPr>
        <w:t>All people will hate you</w:t>
      </w:r>
      <w:r>
        <w:rPr>
          <w:vertAlign w:val="superscript"/>
          <w:lang w:val="en_US" w:bidi="en_US"/>
        </w:rPr>
        <w:t>(plur)</w:t>
      </w:r>
      <w:r>
        <w:rPr>
          <w:lang w:val="en_US" w:bidi="en_US"/>
        </w:rPr>
        <w:t xml:space="preserve"> because </w:t>
      </w:r>
      <w:r>
        <w:rPr>
          <w:lang w:val="en_US" w:bidi="en_US"/>
        </w:rPr>
        <w:t>you are</w:t>
      </w:r>
      <w:r>
        <w:rPr>
          <w:lang w:val="en_US" w:bidi="en_US"/>
        </w:rPr>
        <w:t xml:space="preserve"> my </w:t>
      </w:r>
      <w:r>
        <w:rPr>
          <w:lang w:val="en_US" w:bidi="en_US"/>
        </w:rPr>
        <w:t>disciples</w:t>
      </w:r>
      <w:r>
        <w:rPr>
          <w:lang w:val="en_US" w:bidi="en_US"/>
        </w:rPr>
        <w:t>.</w:t>
      </w:r>
    </w:p>
    <w:p>
      <w:pPr>
        <w:pStyle w:val="ListBullet"/>
        <w:spacing w:line="240" w:lineRule="auto"/>
        <w:ind w:left="720"/>
      </w:pPr>
      <w:r>
        <w:rPr>
          <w:lang w:val="en_US" w:bidi="en_US"/>
        </w:rPr>
      </w:r>
      <w:r>
        <w:rPr>
          <w:lang w:val="en_US" w:bidi="en_US"/>
        </w:rPr>
        <w:t xml:space="preserve">All people </w:t>
      </w:r>
      <w:r>
        <w:rPr>
          <w:lang w:val="en_US" w:bidi="en_US"/>
        </w:rPr>
        <w:t>who reject me</w:t>
      </w:r>
      <w:r>
        <w:rPr>
          <w:lang w:val="en_US" w:bidi="en_US"/>
        </w:rPr>
        <w:t xml:space="preserve"> will be against you</w:t>
      </w:r>
      <w:r>
        <w:rPr>
          <w:vertAlign w:val="superscript"/>
          <w:lang w:val="en_US" w:bidi="en_US"/>
        </w:rPr>
        <w:t>(plur)</w:t>
      </w:r>
      <w:r>
        <w:rPr>
          <w:lang w:val="en_US" w:bidi="en_US"/>
        </w:rPr>
        <w:t xml:space="preserve"> because </w:t>
      </w:r>
      <w:r>
        <w:rPr>
          <w:lang w:val="en_US" w:bidi="en_US"/>
        </w:rPr>
        <w:t>you obey/follow</w:t>
      </w:r>
      <w:r>
        <w:rPr>
          <w:lang w:val="en_US" w:bidi="en_US"/>
        </w:rPr>
        <w:t xml:space="preserve"> me.</w:t>
      </w:r>
    </w:p>
    <w:p>
      <w:pPr/>
      <w:r>
        <w:rPr>
          <w:lang w:val="en_US" w:bidi="en_US"/>
        </w:rPr>
      </w:r>
      <w:r>
        <w:rPr>
          <w:b/>
          <w:lang w:val="en_US" w:bidi="en_US"/>
        </w:rPr>
        <w:t>And you will be hated by everyone:</w:t>
      </w:r>
      <w:r>
        <w:rPr>
          <w:lang w:val="en_US" w:bidi="en_US"/>
        </w:rPr>
        <w:t xml:space="preserve"> The Greek phrase that the BSB translates as </w:t>
      </w:r>
      <w:r>
        <w:rPr>
          <w:i/>
          <w:lang w:val="en_US" w:bidi="en_US"/>
        </w:rPr>
        <w:t>you will be hated by everyone</w:t>
      </w:r>
      <w:r>
        <w:rPr>
          <w:lang w:val="en_US" w:bidi="en_US"/>
        </w:rPr>
        <w:t xml:space="preserve"> is passive. It is literally “you will be hated by all,” as in the RSV. You may use a passive form as the BSB does, or an active one. For example:</w:t>
      </w:r>
    </w:p>
    <w:p>
      <w:pPr/>
      <w:r>
        <w:rPr>
          <w:lang w:val="en_US" w:bidi="en_US"/>
        </w:rPr>
      </w:r>
      <w:r>
        <w:rPr>
          <w:lang w:val="en_US" w:bidi="en_US"/>
        </w:rPr>
        <w:t>All men will hate you (NIV)</w:t>
      </w:r>
    </w:p>
    <w:p>
      <w:pPr/>
      <w:r>
        <w:rPr>
          <w:lang w:val="en_US" w:bidi="en_US"/>
        </w:rPr>
      </w:r>
      <w:r>
        <w:rPr>
          <w:lang w:val="en_US" w:bidi="en_US"/>
        </w:rPr>
        <w:t>Use the form that is most natural in your language.</w:t>
      </w:r>
    </w:p>
    <w:p>
      <w:pPr/>
      <w:r>
        <w:rPr>
          <w:lang w:val="en_US" w:bidi="en_US"/>
        </w:rPr>
      </w:r>
      <w:r>
        <w:rPr>
          <w:b/>
          <w:lang w:val="en_US" w:bidi="en_US"/>
        </w:rPr>
        <w:t>will be hated:</w:t>
      </w:r>
      <w:r>
        <w:rPr>
          <w:lang w:val="en_US" w:bidi="en_US"/>
        </w:rPr>
        <w:t xml:space="preserve"> The Greek phrase that the BSB translates as </w:t>
      </w:r>
      <w:r>
        <w:rPr>
          <w:i/>
          <w:lang w:val="en_US" w:bidi="en_US"/>
        </w:rPr>
        <w:t>will be hated</w:t>
      </w:r>
      <w:r>
        <w:rPr>
          <w:lang w:val="en_US" w:bidi="en_US"/>
        </w:rPr>
        <w:t xml:space="preserve"> means “will be detested, will be opposed and be the object of hostility.” Jesus was warning his disciples that many people will oppose them and feel hostile toward them. Some other ways to translate this are:</w:t>
      </w:r>
    </w:p>
    <w:p>
      <w:pPr/>
      <w:r>
        <w:rPr>
          <w:lang w:val="en_US" w:bidi="en_US"/>
        </w:rPr>
      </w:r>
      <w:r>
        <w:rPr>
          <w:lang w:val="en_US" w:bidi="en_US"/>
        </w:rPr>
        <w:t>will oppose you</w:t>
      </w:r>
    </w:p>
    <w:p>
      <w:pPr/>
      <w:r>
        <w:rPr>
          <w:lang w:val="en_US" w:bidi="en_US"/>
        </w:rPr>
      </w:r>
      <w:r>
        <w:rPr>
          <w:lang w:val="en_US" w:bidi="en_US"/>
        </w:rPr>
        <w:t>be against you</w:t>
      </w:r>
    </w:p>
    <w:p>
      <w:pPr/>
      <w:r>
        <w:rPr>
          <w:lang w:val="en_US" w:bidi="en_US"/>
        </w:rPr>
      </w:r>
      <w:r>
        <w:rPr>
          <w:lang w:val="en_US" w:bidi="en_US"/>
        </w:rPr>
        <w:t>reject you</w:t>
      </w:r>
    </w:p>
    <w:p>
      <w:pPr/>
      <w:r>
        <w:rPr>
          <w:lang w:val="en_US" w:bidi="en_US"/>
        </w:rPr>
      </w:r>
      <w:r>
        <w:rPr>
          <w:lang w:val="en_US" w:bidi="en_US"/>
        </w:rPr>
        <w:t xml:space="preserve">In some languages there is an idiom to express the meaning of </w:t>
      </w:r>
      <w:r>
        <w:rPr>
          <w:i/>
          <w:lang w:val="en_US" w:bidi="en_US"/>
        </w:rPr>
        <w:t>be hated</w:t>
      </w:r>
      <w:r>
        <w:rPr>
          <w:lang w:val="en_US" w:bidi="en_US"/>
        </w:rPr>
        <w:t>. For example:</w:t>
      </w:r>
    </w:p>
    <w:p>
      <w:pPr/>
      <w:r>
        <w:rPr>
          <w:lang w:val="en_US" w:bidi="en_US"/>
        </w:rPr>
      </w:r>
      <w:r>
        <w:rPr>
          <w:lang w:val="en_US" w:bidi="en_US"/>
        </w:rPr>
        <w:t xml:space="preserve">kill </w:t>
      </w:r>
      <w:r>
        <w:rPr>
          <w:lang w:val="en_US" w:bidi="en_US"/>
        </w:rPr>
        <w:t>you</w:t>
      </w:r>
      <w:r>
        <w:rPr>
          <w:lang w:val="en_US" w:bidi="en_US"/>
        </w:rPr>
        <w:t xml:space="preserve"> in the heart</w:t>
      </w:r>
    </w:p>
    <w:p>
      <w:pPr/>
      <w:r>
        <w:rPr>
          <w:lang w:val="en_US" w:bidi="en_US"/>
        </w:rPr>
      </w:r>
      <w:r>
        <w:rPr>
          <w:b/>
          <w:lang w:val="en_US" w:bidi="en_US"/>
        </w:rPr>
        <w:t>everyone:</w:t>
      </w:r>
      <w:r>
        <w:rPr>
          <w:lang w:val="en_US" w:bidi="en_US"/>
        </w:rPr>
        <w:t xml:space="preserve"> The word </w:t>
      </w:r>
      <w:r>
        <w:rPr>
          <w:i/>
          <w:lang w:val="en_US" w:bidi="en_US"/>
        </w:rPr>
        <w:t>everyone</w:t>
      </w:r>
      <w:r>
        <w:rPr>
          <w:lang w:val="en_US" w:bidi="en_US"/>
        </w:rPr>
        <w:t xml:space="preserve"> here refers to people in general, including both men and women. The context implies that it refers to people who do not believe in Jesus and follow him. It may imply that all kinds of people will hate Jesus’ disciples, including both young and old people, rich and poor people, people of different cultures and occupations. The word </w:t>
      </w:r>
      <w:r>
        <w:rPr>
          <w:i/>
          <w:lang w:val="en_US" w:bidi="en_US"/>
        </w:rPr>
        <w:t>everyone</w:t>
      </w:r>
      <w:r>
        <w:rPr>
          <w:lang w:val="en_US" w:bidi="en_US"/>
        </w:rPr>
        <w:t xml:space="preserve"> does not literally mean every person in every place.</w:t>
      </w:r>
    </w:p>
    <w:p>
      <w:pPr/>
      <w:r>
        <w:rPr>
          <w:lang w:val="en_US" w:bidi="en_US"/>
        </w:rPr>
      </w:r>
      <w:r>
        <w:rPr>
          <w:b/>
          <w:lang w:val="en_US" w:bidi="en_US"/>
        </w:rPr>
        <w:t>because of My name:</w:t>
      </w:r>
      <w:r>
        <w:rPr>
          <w:lang w:val="en_US" w:bidi="en_US"/>
        </w:rPr>
        <w:t xml:space="preserve"> The Greek phrase that the BSB translates literally as </w:t>
      </w:r>
      <w:r>
        <w:rPr>
          <w:i/>
          <w:lang w:val="en_US" w:bidi="en_US"/>
        </w:rPr>
        <w:t>because of My name</w:t>
      </w:r>
      <w:r>
        <w:rPr>
          <w:lang w:val="en_US" w:bidi="en_US"/>
        </w:rPr>
        <w:t xml:space="preserve"> is very similar to the phrase in 21:12. You should translate it in a similar way here. See the note on 21:12b for translation advice.</w:t>
      </w:r>
      <w:r>
        <w:rPr>
          <w:lang w:val="en_US" w:bidi="en_US"/>
        </w:rPr>
      </w:r>
      <w:r>
        <w:rPr>
          <w:lang w:val="en_US" w:bidi="en_US"/>
        </w:rPr>
      </w:r>
    </w:p>
    <w:p>
      <w:pPr/>
      <w:r>
        <w:rPr>
          <w:lang w:val="en_US" w:bidi="en_US"/>
        </w:rPr>
      </w:r>
    </w:p>
    <w:p>
      <w:pPr>
        <w:pStyle w:val="Heading2"/>
      </w:pPr>
      <w:r>
        <w:rPr>
          <w:lang w:val="en_US" w:bidi="en_US"/>
        </w:rPr>
        <w:t>Luke 21:18</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21:18</w:t>
      </w:r>
    </w:p>
    <w:p>
      <w:pPr/>
      <w:r>
        <w:rPr>
          <w:lang w:val="en_US" w:bidi="en_US"/>
        </w:rPr>
      </w:r>
      <w:r>
        <w:rPr>
          <w:b/>
          <w:lang w:val="en_US" w:bidi="en_US"/>
        </w:rPr>
        <w:t>Yet not even a hair of your head will perish.</w:t>
      </w:r>
    </w:p>
    <w:p>
      <w:pPr>
        <w:pStyle w:val="ListBullet"/>
        <w:spacing w:line="240" w:lineRule="auto"/>
        <w:ind w:left="720"/>
      </w:pPr>
      <w:r>
        <w:rPr>
          <w:lang w:val="en_US" w:bidi="en_US"/>
        </w:rPr>
      </w:r>
      <w:r>
        <w:rPr>
          <w:lang w:val="en_US" w:bidi="en_US"/>
        </w:rPr>
        <w:t xml:space="preserve">But not </w:t>
      </w:r>
      <w:r>
        <w:rPr>
          <w:lang w:val="en_US" w:bidi="en_US"/>
        </w:rPr>
        <w:t>even</w:t>
      </w:r>
      <w:r>
        <w:rPr>
          <w:lang w:val="en_US" w:bidi="en_US"/>
        </w:rPr>
        <w:t xml:space="preserve"> a hair on your</w:t>
      </w:r>
      <w:r>
        <w:rPr>
          <w:vertAlign w:val="superscript"/>
          <w:lang w:val="en_US" w:bidi="en_US"/>
        </w:rPr>
        <w:t>(plur)</w:t>
      </w:r>
      <w:r>
        <w:rPr>
          <w:lang w:val="en_US" w:bidi="en_US"/>
        </w:rPr>
        <w:t xml:space="preserve"> head will be lost/destroyed.</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will suffer no </w:t>
      </w:r>
      <w:r>
        <w:rPr>
          <w:lang w:val="en_US" w:bidi="en_US"/>
        </w:rPr>
        <w:t>permanent</w:t>
      </w:r>
      <w:r>
        <w:rPr>
          <w:lang w:val="en_US" w:bidi="en_US"/>
        </w:rPr>
        <w:t xml:space="preserve"> harm.</w:t>
      </w:r>
    </w:p>
    <w:p>
      <w:pPr>
        <w:pStyle w:val="ListBullet"/>
        <w:spacing w:line="240" w:lineRule="auto"/>
        <w:ind w:left="720"/>
      </w:pPr>
      <w:r>
        <w:rPr>
          <w:lang w:val="en_US" w:bidi="en_US"/>
        </w:rPr>
      </w:r>
      <w:r>
        <w:rPr>
          <w:lang w:val="en_US" w:bidi="en_US"/>
        </w:rPr>
        <w:t xml:space="preserve">But </w:t>
      </w:r>
      <w:r>
        <w:rPr>
          <w:lang w:val="en_US" w:bidi="en_US"/>
        </w:rPr>
        <w:t>God</w:t>
      </w:r>
      <w:r>
        <w:rPr>
          <w:lang w:val="en_US" w:bidi="en_US"/>
        </w:rPr>
        <w:t xml:space="preserve"> will keep you</w:t>
      </w:r>
      <w:r>
        <w:rPr>
          <w:vertAlign w:val="superscript"/>
          <w:lang w:val="en_US" w:bidi="en_US"/>
        </w:rPr>
        <w:t>(plur)</w:t>
      </w:r>
      <w:r>
        <w:rPr>
          <w:lang w:val="en_US" w:bidi="en_US"/>
        </w:rPr>
        <w:t xml:space="preserve"> safe from any </w:t>
      </w:r>
      <w:r>
        <w:rPr>
          <w:lang w:val="en_US" w:bidi="en_US"/>
        </w:rPr>
        <w:t>lasting/eternal</w:t>
      </w:r>
      <w:r>
        <w:rPr>
          <w:lang w:val="en_US" w:bidi="en_US"/>
        </w:rPr>
        <w:t xml:space="preserve"> harm.</w:t>
      </w:r>
    </w:p>
    <w:p>
      <w:pPr/>
      <w:r>
        <w:rPr>
          <w:lang w:val="en_US" w:bidi="en_US"/>
        </w:rPr>
      </w:r>
      <w:r>
        <w:rPr>
          <w:b/>
          <w:lang w:val="en_US" w:bidi="en_US"/>
        </w:rPr>
        <w:t>Yet:</w:t>
      </w:r>
      <w:r>
        <w:rPr>
          <w:lang w:val="en_US" w:bidi="en_US"/>
        </w:rPr>
        <w:t xml:space="preserve"> The Greek conjunction that the BSB translates as </w:t>
      </w:r>
      <w:r>
        <w:rPr>
          <w:i/>
          <w:lang w:val="en_US" w:bidi="en_US"/>
        </w:rPr>
        <w:t>Yet</w:t>
      </w:r>
      <w:r>
        <w:rPr>
          <w:lang w:val="en_US" w:bidi="en_US"/>
        </w:rPr>
        <w:t xml:space="preserve"> is often translated as “and.” Many English versions translate it as </w:t>
      </w:r>
      <w:r>
        <w:rPr>
          <w:i/>
          <w:lang w:val="en_US" w:bidi="en_US"/>
        </w:rPr>
        <w:t>Yet</w:t>
      </w:r>
      <w:r>
        <w:rPr>
          <w:lang w:val="en_US" w:bidi="en_US"/>
        </w:rPr>
        <w:t xml:space="preserve"> or “But” because this verse contrasts strongly with 21:16–17. Jesus wanted his disciples to know that although people would oppose them and even kill them, his disciples would not suffer any permanent harm. Other ways to indicate the contrast are:</w:t>
      </w:r>
    </w:p>
    <w:p>
      <w:pPr/>
      <w:r>
        <w:rPr>
          <w:lang w:val="en_US" w:bidi="en_US"/>
        </w:rPr>
      </w:r>
      <w:r>
        <w:rPr>
          <w:lang w:val="en_US" w:bidi="en_US"/>
        </w:rPr>
        <w:t>Yet (NASB)</w:t>
      </w:r>
    </w:p>
    <w:p>
      <w:pPr/>
      <w:r>
        <w:rPr>
          <w:lang w:val="en_US" w:bidi="en_US"/>
        </w:rPr>
      </w:r>
      <w:r>
        <w:rPr>
          <w:lang w:val="en_US" w:bidi="en_US"/>
        </w:rPr>
        <w:t xml:space="preserve">And even though </w:t>
      </w:r>
      <w:r>
        <w:rPr>
          <w:lang w:val="en_US" w:bidi="en_US"/>
        </w:rPr>
        <w:t>they hate/kill you</w:t>
      </w:r>
    </w:p>
    <w:p>
      <w:pPr/>
      <w:r>
        <w:rPr>
          <w:lang w:val="en_US" w:bidi="en_US"/>
        </w:rPr>
      </w:r>
      <w:r>
        <w:rPr>
          <w:b/>
          <w:lang w:val="en_US" w:bidi="en_US"/>
        </w:rPr>
        <w:t>not even a hair of your head will perish:</w:t>
      </w:r>
      <w:r>
        <w:rPr>
          <w:lang w:val="en_US" w:bidi="en_US"/>
        </w:rPr>
        <w:t xml:space="preserve"> The Greek expression that the BSB translates as </w:t>
      </w:r>
      <w:r>
        <w:rPr>
          <w:i/>
          <w:lang w:val="en_US" w:bidi="en_US"/>
        </w:rPr>
        <w:t>not even a hair of your head will perish</w:t>
      </w:r>
      <w:r>
        <w:rPr>
          <w:lang w:val="en_US" w:bidi="en_US"/>
        </w:rPr>
        <w:t xml:space="preserve"> literally means that even one hair from the disciples’ heads will not be destroyed or lost. It implies that they will not be harmed at all. Other ways to say this are:</w:t>
      </w:r>
    </w:p>
    <w:p>
      <w:pPr/>
      <w:r>
        <w:rPr>
          <w:lang w:val="en_US" w:bidi="en_US"/>
        </w:rPr>
      </w:r>
      <w:r>
        <w:rPr>
          <w:lang w:val="en_US" w:bidi="en_US"/>
        </w:rPr>
        <w:t>even a single one of your hairs will not be lost</w:t>
      </w:r>
      <w:r>
        <w:rPr>
          <w:lang w:val="en_US" w:bidi="en_US"/>
        </w:rPr>
        <w:t>Kankanaey back translation on TW.</w:t>
      </w:r>
    </w:p>
    <w:p>
      <w:pPr/>
      <w:r>
        <w:rPr>
          <w:lang w:val="en_US" w:bidi="en_US"/>
        </w:rPr>
      </w:r>
      <w:r>
        <w:rPr>
          <w:lang w:val="en_US" w:bidi="en_US"/>
        </w:rPr>
        <w:t>nothing will be lost not even one of your hairs</w:t>
      </w:r>
      <w:r>
        <w:rPr>
          <w:lang w:val="en_US" w:bidi="en_US"/>
        </w:rPr>
        <w:t>Yakan back translation on TW.</w:t>
      </w:r>
    </w:p>
    <w:p>
      <w:pPr/>
      <w:r>
        <w:rPr>
          <w:lang w:val="en_US" w:bidi="en_US"/>
        </w:rPr>
      </w:r>
      <w:r>
        <w:rPr>
          <w:lang w:val="en_US" w:bidi="en_US"/>
        </w:rPr>
        <w:t>Jesus used this statement in a figurative way. He spoke about a very small part of a person to imply that the disciples will not suffer any permanent harm at all.</w:t>
      </w:r>
      <w:r>
        <w:rPr>
          <w:lang w:val="en_US" w:bidi="en_US"/>
        </w:rPr>
        <w:t>Some commentators interpret this clause to mean that no physical harm can come to the disciples without God’s permission. This is a true fact, but the context does not mention “God’s permission,” so it does not seem to be in focus here. In favor of the view “no eternal harm,” Jesus spoke in 21:19 of the disciples gaining life (implying eternal life) as the result/end of their loyalty in suffering. The parallel passages in Mark and Matthew speak of “saving your souls.” The view that 21:18 refers to eternal harm has strong support in commentaries, including Marshall and Bock. Other commentators say that 21:18 is a promise that relatively few disciples will be killed (lose their physical lives in the persecution). However, in the immediate context, Jesus spoke of some of the disciples being killed. Historically, thousands of Christians were killed in major persecutions, even in the first century.</w:t>
      </w:r>
    </w:p>
    <w:p>
      <w:pPr/>
      <w:r>
        <w:rPr>
          <w:lang w:val="en_US" w:bidi="en_US"/>
        </w:rPr>
      </w:r>
      <w:r>
        <w:rPr>
          <w:lang w:val="en_US" w:bidi="en_US"/>
        </w:rPr>
        <w:t>In some languages a literal translation may give a wrong meaning. If that is true in your language, some other ways to translate it are:</w:t>
      </w:r>
    </w:p>
    <w:p>
      <w:pPr>
        <w:pStyle w:val="ListBullet"/>
        <w:spacing w:line="240" w:lineRule="auto"/>
        <w:ind w:left="720"/>
      </w:pPr>
      <w:r>
        <w:rPr>
          <w:lang w:val="en_US" w:bidi="en_US"/>
        </w:rPr>
      </w:r>
      <w:r>
        <w:rPr>
          <w:lang w:val="en_US" w:bidi="en_US"/>
        </w:rPr>
        <w:t>Translate the meaning without a figure of speech. For example:</w:t>
      </w:r>
      <w:r>
        <w:rPr>
          <w:lang w:val="en_US" w:bidi="en_US"/>
        </w:rPr>
        <w:t>none of these things can really harm you (NCV)</w:t>
      </w:r>
      <w:r>
        <w:rPr>
          <w:lang w:val="en_US" w:bidi="en_US"/>
        </w:rPr>
        <w:t>no one</w:t>
      </w:r>
      <w:r>
        <w:rPr>
          <w:lang w:val="en_US" w:bidi="en_US"/>
        </w:rPr>
        <w:t xml:space="preserve"> will be able to </w:t>
      </w:r>
      <w:r>
        <w:rPr>
          <w:lang w:val="en_US" w:bidi="en_US"/>
        </w:rPr>
        <w:t>permanently</w:t>
      </w:r>
      <w:r>
        <w:rPr>
          <w:lang w:val="en_US" w:bidi="en_US"/>
        </w:rPr>
        <w:t xml:space="preserve"> hurt/harm you</w:t>
      </w:r>
    </w:p>
    <w:p>
      <w:pPr>
        <w:pStyle w:val="ListBullet"/>
        <w:spacing w:line="240" w:lineRule="auto"/>
        <w:ind w:left="720"/>
      </w:pPr>
      <w:r>
        <w:rPr>
          <w:lang w:val="en_US" w:bidi="en_US"/>
        </w:rPr>
      </w:r>
      <w:r>
        <w:rPr>
          <w:lang w:val="en_US" w:bidi="en_US"/>
        </w:rPr>
        <w:t>Use an idiom or figure of speech that expresses the same meaning.</w:t>
      </w:r>
    </w:p>
    <w:p>
      <w:pPr/>
      <w:r>
        <w:rPr>
          <w:lang w:val="en_US" w:bidi="en_US"/>
        </w:rPr>
      </w:r>
      <w:r>
        <w:rPr>
          <w:lang w:val="en_US" w:bidi="en_US"/>
        </w:rPr>
        <w:t>Translate this expression in a natural way in your language. If you do not choose to translate it literally, then you should put the literal text in a footnote.</w:t>
      </w:r>
    </w:p>
    <w:p>
      <w:pPr/>
      <w:r>
        <w:rPr>
          <w:lang w:val="en_US" w:bidi="en_US"/>
        </w:rPr>
      </w:r>
      <w:r>
        <w:rPr>
          <w:b/>
          <w:lang w:val="en_US" w:bidi="en_US"/>
        </w:rPr>
        <w:t>a hair of your head will perish:</w:t>
      </w:r>
      <w:r>
        <w:rPr>
          <w:lang w:val="en_US" w:bidi="en_US"/>
        </w:rPr>
        <w:t xml:space="preserve"> The Greek word that the BSB translates as </w:t>
      </w:r>
      <w:r>
        <w:rPr>
          <w:i/>
          <w:lang w:val="en_US" w:bidi="en_US"/>
        </w:rPr>
        <w:t>perish</w:t>
      </w:r>
      <w:r>
        <w:rPr>
          <w:lang w:val="en_US" w:bidi="en_US"/>
        </w:rPr>
        <w:t xml:space="preserve"> means “be lost” or “be destroyed.” In some languages people may not speak of a hair being “lost” or “destroyed.” Use a natural verb in your language. In other languages there may be a word that refers specifically to hair of the head. If that is true in your language, the phrase </w:t>
      </w:r>
      <w:r>
        <w:rPr>
          <w:i/>
          <w:lang w:val="en_US" w:bidi="en_US"/>
        </w:rPr>
        <w:t>of your head</w:t>
      </w:r>
      <w:r>
        <w:rPr>
          <w:lang w:val="en_US" w:bidi="en_US"/>
        </w:rPr>
        <w:t xml:space="preserve"> may not be needed.</w:t>
      </w:r>
      <w:r>
        <w:rPr>
          <w:lang w:val="en_US" w:bidi="en_US"/>
        </w:rPr>
      </w:r>
      <w:r>
        <w:rPr>
          <w:lang w:val="en_US" w:bidi="en_US"/>
        </w:rPr>
      </w:r>
    </w:p>
    <w:p>
      <w:pPr/>
      <w:r>
        <w:rPr>
          <w:lang w:val="en_US" w:bidi="en_US"/>
        </w:rPr>
      </w:r>
    </w:p>
    <w:p>
      <w:pPr>
        <w:pStyle w:val="Heading2"/>
      </w:pPr>
      <w:r>
        <w:rPr>
          <w:lang w:val="en_US" w:bidi="en_US"/>
        </w:rPr>
        <w:t>Luke 21:19</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21:19</w:t>
      </w:r>
    </w:p>
    <w:p>
      <w:pPr/>
      <w:r>
        <w:rPr>
          <w:lang w:val="en_US" w:bidi="en_US"/>
        </w:rPr>
      </w:r>
      <w:r>
        <w:rPr>
          <w:b/>
          <w:lang w:val="en_US" w:bidi="en_US"/>
        </w:rPr>
        <w:t>By your patient endurance you will gain your souls.</w:t>
      </w:r>
    </w:p>
    <w:p>
      <w:pPr>
        <w:pStyle w:val="ListBullet"/>
        <w:spacing w:line="240" w:lineRule="auto"/>
        <w:ind w:left="720"/>
      </w:pPr>
      <w:r>
        <w:rPr>
          <w:lang w:val="en_US" w:bidi="en_US"/>
        </w:rPr>
      </w:r>
      <w:r>
        <w:rPr>
          <w:lang w:val="en_US" w:bidi="en_US"/>
        </w:rPr>
        <w:t>By/After your steadfast endurance, you</w:t>
      </w:r>
      <w:r>
        <w:rPr>
          <w:vertAlign w:val="superscript"/>
          <w:lang w:val="en_US" w:bidi="en_US"/>
        </w:rPr>
        <w:t>(plur)</w:t>
      </w:r>
      <w:r>
        <w:rPr>
          <w:lang w:val="en_US" w:bidi="en_US"/>
        </w:rPr>
        <w:t xml:space="preserve"> will gain </w:t>
      </w:r>
      <w:r>
        <w:rPr>
          <w:lang w:val="en_US" w:bidi="en_US"/>
        </w:rPr>
        <w:t>eternal</w:t>
      </w:r>
      <w:r>
        <w:rPr>
          <w:lang w:val="en_US" w:bidi="en_US"/>
        </w:rPr>
        <w:t xml:space="preserve"> life.</w:t>
      </w:r>
    </w:p>
    <w:p>
      <w:pPr>
        <w:pStyle w:val="ListBullet"/>
        <w:spacing w:line="240" w:lineRule="auto"/>
        <w:ind w:left="720"/>
      </w:pPr>
      <w:r>
        <w:rPr>
          <w:lang w:val="en_US" w:bidi="en_US"/>
        </w:rPr>
      </w:r>
      <w:r>
        <w:rPr>
          <w:lang w:val="en_US" w:bidi="en_US"/>
        </w:rPr>
        <w:t xml:space="preserve">By being/remaining faithful </w:t>
      </w:r>
      <w:r>
        <w:rPr>
          <w:lang w:val="en_US" w:bidi="en_US"/>
        </w:rPr>
        <w:t>to me</w:t>
      </w:r>
      <w:r>
        <w:rPr>
          <w:lang w:val="en_US" w:bidi="en_US"/>
        </w:rPr>
        <w:t>, you</w:t>
      </w:r>
      <w:r>
        <w:rPr>
          <w:vertAlign w:val="superscript"/>
          <w:lang w:val="en_US" w:bidi="en_US"/>
        </w:rPr>
        <w:t>(plur)</w:t>
      </w:r>
      <w:r>
        <w:rPr>
          <w:lang w:val="en_US" w:bidi="en_US"/>
        </w:rPr>
        <w:t xml:space="preserve"> will receive life </w:t>
      </w:r>
      <w:r>
        <w:rPr>
          <w:lang w:val="en_US" w:bidi="en_US"/>
        </w:rPr>
        <w:t>with God</w:t>
      </w:r>
      <w:r>
        <w:rPr>
          <w:lang w:val="en_US" w:bidi="en_US"/>
        </w:rPr>
        <w:t>.</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faithfully endure </w:t>
      </w:r>
      <w:r>
        <w:rPr>
          <w:lang w:val="en_US" w:bidi="en_US"/>
        </w:rPr>
        <w:t>the suffering/trials</w:t>
      </w:r>
      <w:r>
        <w:rPr>
          <w:lang w:val="en_US" w:bidi="en_US"/>
        </w:rPr>
        <w:t xml:space="preserve">, you will live </w:t>
      </w:r>
      <w:r>
        <w:rPr>
          <w:lang w:val="en_US" w:bidi="en_US"/>
        </w:rPr>
        <w:t>eternally</w:t>
      </w:r>
      <w:r>
        <w:rPr>
          <w:lang w:val="en_US" w:bidi="en_US"/>
        </w:rPr>
        <w:t>.”</w:t>
      </w:r>
    </w:p>
    <w:p>
      <w:pPr/>
      <w:r>
        <w:rPr>
          <w:lang w:val="en_US" w:bidi="en_US"/>
        </w:rPr>
      </w:r>
      <w:r>
        <w:rPr>
          <w:b/>
          <w:lang w:val="en_US" w:bidi="en_US"/>
        </w:rPr>
        <w:t>By your patient endurance you will gain your souls:</w:t>
      </w:r>
      <w:r>
        <w:rPr>
          <w:lang w:val="en_US" w:bidi="en_US"/>
        </w:rPr>
        <w:t xml:space="preserve"> This clause is a promise.</w:t>
      </w:r>
      <w:r>
        <w:rPr>
          <w:lang w:val="en_US" w:bidi="en_US"/>
        </w:rPr>
        <w:t>There is a textual issue here that concerns the form of the verb that the BSB translates as “you will gain.” Many Greek manuscripts (including those followed here by the UBS and the Majority text) have an imperative form (instead of the future form). Almost all English versions have the future form here. Even with the command form, the meaning is virtually the same in English. The command “By standing firm, gain life,” is also a promise that the patience of the disciples will result in their gaining life.</w:t>
      </w:r>
      <w:r>
        <w:rPr>
          <w:lang w:val="en_US" w:bidi="en_US"/>
        </w:rPr>
        <w:t xml:space="preserve"> It indicates that by remaining firmly loyal to Jesus, his disciples will gain eternal life. The meaning is similar to the parallel verse Mark 13:13b, which says, “but the one who perseveres to the end will be saved.”</w:t>
      </w:r>
    </w:p>
    <w:p>
      <w:pPr/>
      <w:r>
        <w:rPr>
          <w:lang w:val="en_US" w:bidi="en_US"/>
        </w:rPr>
      </w:r>
      <w:r>
        <w:rPr>
          <w:lang w:val="en_US" w:bidi="en_US"/>
        </w:rPr>
        <w:t>In some languages it may be helpful to reverse the order of phrases in this clause. For example:</w:t>
      </w:r>
    </w:p>
    <w:p>
      <w:pPr/>
      <w:r>
        <w:rPr>
          <w:lang w:val="en_US" w:bidi="en_US"/>
        </w:rPr>
      </w:r>
      <w:r>
        <w:rPr>
          <w:lang w:val="en_US" w:bidi="en_US"/>
        </w:rPr>
        <w:t>You will be saved by being faithful to me. (CEV)</w:t>
      </w:r>
    </w:p>
    <w:p>
      <w:pPr/>
      <w:r>
        <w:rPr>
          <w:lang w:val="en_US" w:bidi="en_US"/>
        </w:rPr>
      </w:r>
      <w:r>
        <w:rPr>
          <w:lang w:val="en_US" w:bidi="en_US"/>
        </w:rPr>
        <w:t xml:space="preserve">You will receive eternal life if you remain faithful </w:t>
      </w:r>
      <w:r>
        <w:rPr>
          <w:lang w:val="en_US" w:bidi="en_US"/>
        </w:rPr>
        <w:t>to me</w:t>
      </w:r>
      <w:r>
        <w:rPr>
          <w:lang w:val="en_US" w:bidi="en_US"/>
        </w:rPr>
        <w:t>.</w:t>
      </w:r>
    </w:p>
    <w:p>
      <w:pPr/>
      <w:r>
        <w:rPr>
          <w:lang w:val="en_US" w:bidi="en_US"/>
        </w:rPr>
      </w:r>
      <w:r>
        <w:rPr>
          <w:b/>
          <w:lang w:val="en_US" w:bidi="en_US"/>
        </w:rPr>
        <w:t>By your patient endurance:</w:t>
      </w:r>
      <w:r>
        <w:rPr>
          <w:lang w:val="en_US" w:bidi="en_US"/>
        </w:rPr>
        <w:t xml:space="preserve"> The Greek phrase that the BSB translates as </w:t>
      </w:r>
      <w:r>
        <w:rPr>
          <w:i/>
          <w:lang w:val="en_US" w:bidi="en_US"/>
        </w:rPr>
        <w:t>By your patient endurance</w:t>
      </w:r>
      <w:r>
        <w:rPr>
          <w:lang w:val="en_US" w:bidi="en_US"/>
        </w:rPr>
        <w:t xml:space="preserve"> is literally “in your endurance.” This phrase tells the way that the disciples will gain life. Some other ways to translate this meaning are:</w:t>
      </w:r>
    </w:p>
    <w:p>
      <w:pPr>
        <w:pStyle w:val="ListBullet"/>
        <w:spacing w:line="240" w:lineRule="auto"/>
        <w:ind w:left="720"/>
      </w:pPr>
      <w:r>
        <w:rPr>
          <w:lang w:val="en_US" w:bidi="en_US"/>
        </w:rPr>
      </w:r>
      <w:r>
        <w:rPr>
          <w:lang w:val="en_US" w:bidi="en_US"/>
        </w:rPr>
        <w:t>As a clause that expresses a condition. For example:</w:t>
      </w:r>
      <w:r>
        <w:rPr>
          <w:lang w:val="en_US" w:bidi="en_US"/>
        </w:rPr>
        <w:t>If you stand firm</w:t>
      </w:r>
    </w:p>
    <w:p>
      <w:pPr>
        <w:pStyle w:val="ListBullet"/>
        <w:spacing w:line="240" w:lineRule="auto"/>
        <w:ind w:left="720"/>
      </w:pPr>
      <w:r>
        <w:rPr>
          <w:lang w:val="en_US" w:bidi="en_US"/>
        </w:rPr>
      </w:r>
      <w:r>
        <w:rPr>
          <w:lang w:val="en_US" w:bidi="en_US"/>
        </w:rPr>
        <w:t>As a command. For example:</w:t>
      </w:r>
      <w:r>
        <w:rPr>
          <w:lang w:val="en_US" w:bidi="en_US"/>
        </w:rPr>
        <w:t>Stand firm (GNT)</w:t>
      </w:r>
    </w:p>
    <w:p>
      <w:pPr/>
      <w:r>
        <w:rPr>
          <w:lang w:val="en_US" w:bidi="en_US"/>
        </w:rPr>
      </w:r>
      <w:r>
        <w:rPr>
          <w:lang w:val="en_US" w:bidi="en_US"/>
        </w:rPr>
        <w:t>Translate this meaning in a natural way in your language.</w:t>
      </w:r>
    </w:p>
    <w:p>
      <w:pPr/>
      <w:r>
        <w:rPr>
          <w:lang w:val="en_US" w:bidi="en_US"/>
        </w:rPr>
      </w:r>
      <w:r>
        <w:rPr>
          <w:b/>
          <w:lang w:val="en_US" w:bidi="en_US"/>
        </w:rPr>
        <w:t>patient endurance:</w:t>
      </w:r>
      <w:r>
        <w:rPr>
          <w:lang w:val="en_US" w:bidi="en_US"/>
        </w:rPr>
        <w:t xml:space="preserve"> The Greek phrase that the BSB translates as </w:t>
      </w:r>
      <w:r>
        <w:rPr>
          <w:i/>
          <w:lang w:val="en_US" w:bidi="en_US"/>
        </w:rPr>
        <w:t>patient endurance</w:t>
      </w:r>
      <w:r>
        <w:rPr>
          <w:lang w:val="en_US" w:bidi="en_US"/>
        </w:rPr>
        <w:t xml:space="preserve"> is literally “your endurance.” </w:t>
      </w:r>
      <w:r>
        <w:rPr>
          <w:i/>
          <w:lang w:val="en_US" w:bidi="en_US"/>
        </w:rPr>
        <w:t>endurance</w:t>
      </w:r>
      <w:r>
        <w:rPr>
          <w:lang w:val="en_US" w:bidi="en_US"/>
        </w:rPr>
        <w:t xml:space="preserve"> refers to steadfast perseverance through difficulties and suffering. In this context it refers specifically to the disciples remaining faithful to Jesus even when people persecute them and threaten to kill them because they obey him. In some languages it may be necessary to translate the meaning more explicitly. For example:</w:t>
      </w:r>
    </w:p>
    <w:p>
      <w:pPr/>
      <w:r>
        <w:rPr>
          <w:lang w:val="en_US" w:bidi="en_US"/>
        </w:rPr>
      </w:r>
      <w:r>
        <w:rPr>
          <w:lang w:val="en_US" w:bidi="en_US"/>
        </w:rPr>
        <w:t xml:space="preserve">If you endure </w:t>
      </w:r>
      <w:r>
        <w:rPr>
          <w:lang w:val="en_US" w:bidi="en_US"/>
        </w:rPr>
        <w:t>such times</w:t>
      </w:r>
      <w:r>
        <w:rPr>
          <w:lang w:val="en_US" w:bidi="en_US"/>
        </w:rPr>
        <w:t xml:space="preserve"> </w:t>
      </w:r>
      <w:r>
        <w:rPr>
          <w:lang w:val="en_US" w:bidi="en_US"/>
        </w:rPr>
        <w:t>without giving up your faith in me</w:t>
      </w:r>
    </w:p>
    <w:p>
      <w:pPr/>
      <w:r>
        <w:rPr>
          <w:lang w:val="en_US" w:bidi="en_US"/>
        </w:rPr>
      </w:r>
      <w:r>
        <w:rPr>
          <w:lang w:val="en_US" w:bidi="en_US"/>
        </w:rPr>
        <w:t xml:space="preserve">Stand/Remain firm </w:t>
      </w:r>
      <w:r>
        <w:rPr>
          <w:lang w:val="en_US" w:bidi="en_US"/>
        </w:rPr>
        <w:t>in your faith in me</w:t>
      </w:r>
      <w:r>
        <w:rPr>
          <w:lang w:val="en_US" w:bidi="en_US"/>
        </w:rPr>
        <w:t xml:space="preserve"> </w:t>
      </w:r>
      <w:r>
        <w:rPr>
          <w:lang w:val="en_US" w:bidi="en_US"/>
        </w:rPr>
        <w:t>no matter what happens</w:t>
      </w:r>
    </w:p>
    <w:p>
      <w:pPr/>
      <w:r>
        <w:rPr>
          <w:lang w:val="en_US" w:bidi="en_US"/>
        </w:rPr>
      </w:r>
      <w:r>
        <w:rPr>
          <w:b/>
          <w:lang w:val="en_US" w:bidi="en_US"/>
        </w:rPr>
        <w:t>you will gain your souls:</w:t>
      </w:r>
      <w:r>
        <w:rPr>
          <w:lang w:val="en_US" w:bidi="en_US"/>
        </w:rPr>
        <w:t xml:space="preserve"> The Greek phrase that the BSB literally translates as </w:t>
      </w:r>
      <w:r>
        <w:rPr>
          <w:i/>
          <w:lang w:val="en_US" w:bidi="en_US"/>
        </w:rPr>
        <w:t>you will gain your souls</w:t>
      </w:r>
      <w:r>
        <w:rPr>
          <w:lang w:val="en_US" w:bidi="en_US"/>
        </w:rPr>
        <w:t xml:space="preserve"> clearly implies that the disciples would gain something that they did not yet have, which is eternal life with God. Faithful disciples of Jesus will live eternally with God. Some ways to translate this clause are:</w:t>
      </w:r>
    </w:p>
    <w:p>
      <w:pPr/>
      <w:r>
        <w:rPr>
          <w:lang w:val="en_US" w:bidi="en_US"/>
        </w:rPr>
      </w:r>
      <w:r>
        <w:rPr>
          <w:lang w:val="en_US" w:bidi="en_US"/>
        </w:rPr>
        <w:t>you</w:t>
      </w:r>
      <w:r>
        <w:rPr>
          <w:vertAlign w:val="superscript"/>
          <w:lang w:val="en_US" w:bidi="en_US"/>
        </w:rPr>
        <w:t>(plur)</w:t>
      </w:r>
      <w:r>
        <w:rPr>
          <w:lang w:val="en_US" w:bidi="en_US"/>
        </w:rPr>
        <w:t xml:space="preserve"> will receive eternal life</w:t>
      </w:r>
    </w:p>
    <w:p>
      <w:pPr/>
      <w:r>
        <w:rPr>
          <w:lang w:val="en_US" w:bidi="en_US"/>
        </w:rPr>
      </w:r>
      <w:r>
        <w:rPr>
          <w:lang w:val="en_US" w:bidi="en_US"/>
        </w:rPr>
        <w:t>God</w:t>
      </w:r>
      <w:r>
        <w:rPr>
          <w:lang w:val="en_US" w:bidi="en_US"/>
        </w:rPr>
        <w:t xml:space="preserve"> will give you eternal life</w:t>
      </w:r>
      <w:r>
        <w:rPr>
          <w:lang w:val="en_US" w:bidi="en_US"/>
        </w:rPr>
      </w:r>
      <w:r>
        <w:rPr>
          <w:lang w:val="en_US" w:bidi="en_US"/>
        </w:rPr>
      </w:r>
    </w:p>
    <w:p>
      <w:pPr/>
      <w:r>
        <w:rPr>
          <w:lang w:val="en_US" w:bidi="en_US"/>
        </w:rPr>
      </w:r>
    </w:p>
    <w:p>
      <w:pPr>
        <w:pStyle w:val="Heading2"/>
      </w:pPr>
      <w:r>
        <w:rPr>
          <w:lang w:val="en_US" w:bidi="en_US"/>
        </w:rPr>
        <w:t>Luke 21:20</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4"/>
      </w:pPr>
      <w:r>
        <w:rPr>
          <w:lang w:val="en_US" w:bidi="en_US"/>
        </w:rPr>
        <w:t>Paragraph 21:20–24</w:t>
      </w:r>
    </w:p>
    <w:p>
      <w:pPr/>
      <w:r>
        <w:rPr>
          <w:lang w:val="en_US" w:bidi="en_US"/>
        </w:rPr>
      </w:r>
      <w:r>
        <w:rPr>
          <w:lang w:val="en_US" w:bidi="en_US"/>
        </w:rPr>
        <w:t>In this paragraph Jesus began a new topic. In 21:12–19 he had talked about the persecution that his disciples would endure before the end. In this paragraph Jesus talked about the future time when an army would attack the city of Jerusalem and destroy it.</w:t>
      </w:r>
      <w:r>
        <w:rPr>
          <w:lang w:val="en_US" w:bidi="en_US"/>
        </w:rPr>
        <w:t>It is possible that this passage will have two fulfillments. The first application referred to the time when the Romans destroyed Jerusalem in 70 A.D. This happened about forty years after people had crucified Jesus. Many Christians think that Jerusalem will be attacked again in the last days of this age. This would be a second fulfillment of this prediction.</w:t>
      </w:r>
      <w:r>
        <w:rPr>
          <w:lang w:val="en_US" w:bidi="en_US"/>
        </w:rPr>
        <w:t xml:space="preserve"> Jesus warned his disciples to escape when they saw armies gathering around Jerusalem.</w:t>
      </w:r>
    </w:p>
    <w:p>
      <w:pPr>
        <w:pStyle w:val="Heading5"/>
      </w:pPr>
      <w:r>
        <w:rPr>
          <w:lang w:val="en_US" w:bidi="en_US"/>
        </w:rPr>
        <w:t>21:20</w:t>
      </w:r>
    </w:p>
    <w:p>
      <w:pPr/>
      <w:r>
        <w:rPr>
          <w:lang w:val="en_US" w:bidi="en_US"/>
        </w:rPr>
      </w:r>
      <w:r>
        <w:rPr>
          <w:lang w:val="en_US" w:bidi="en_US"/>
        </w:rPr>
        <w:t>In 21:7 the disciples had asked Jesus what sign would indicate that the temple (in Jerusalem) would soon be destroyed. Here in 21:20 Jesus answered that question by talking about the whole city of Jerusalem being destroyed.</w:t>
      </w:r>
    </w:p>
    <w:p>
      <w:pPr/>
      <w:r>
        <w:rPr>
          <w:lang w:val="en_US" w:bidi="en_US"/>
        </w:rPr>
      </w:r>
      <w:r>
        <w:rPr>
          <w:lang w:val="en_US" w:bidi="en_US"/>
        </w:rPr>
        <w:t>In some languages it may be helpful to begin a new quotation here. For example:</w:t>
      </w:r>
    </w:p>
    <w:p>
      <w:pPr/>
      <w:r>
        <w:rPr>
          <w:lang w:val="en_US" w:bidi="en_US"/>
        </w:rPr>
      </w:r>
      <w:r>
        <w:rPr>
          <w:lang w:val="en_US" w:bidi="en_US"/>
        </w:rPr>
        <w:t>Jesus also said</w:t>
      </w:r>
      <w:r>
        <w:rPr>
          <w:lang w:val="en_US" w:bidi="en_US"/>
        </w:rPr>
        <w:t>Kankanaey back translation on TW.</w:t>
      </w:r>
    </w:p>
    <w:p>
      <w:pPr/>
      <w:r>
        <w:rPr>
          <w:lang w:val="en_US" w:bidi="en_US"/>
        </w:rPr>
      </w:r>
      <w:r>
        <w:rPr>
          <w:lang w:val="en_US" w:bidi="en_US"/>
        </w:rPr>
        <w:t>Then Jesus told them</w:t>
      </w:r>
    </w:p>
    <w:p>
      <w:pPr/>
      <w:r>
        <w:rPr>
          <w:lang w:val="en_US" w:bidi="en_US"/>
        </w:rPr>
      </w:r>
      <w:r>
        <w:rPr>
          <w:lang w:val="en_US" w:bidi="en_US"/>
        </w:rPr>
        <w:t>You should connect this verse with what Jesus said previously in a way that is natural in your language.</w:t>
      </w:r>
    </w:p>
    <w:p>
      <w:pPr>
        <w:pStyle w:val="Heading5"/>
      </w:pPr>
      <w:r>
        <w:rPr>
          <w:lang w:val="en_US" w:bidi="en_US"/>
        </w:rPr>
        <w:t>21:20a</w:t>
      </w:r>
    </w:p>
    <w:p>
      <w:pPr/>
      <w:r>
        <w:rPr>
          <w:lang w:val="en_US" w:bidi="en_US"/>
        </w:rPr>
      </w:r>
      <w:r>
        <w:rPr>
          <w:b/>
          <w:lang w:val="en_US" w:bidi="en_US"/>
        </w:rPr>
        <w:t>But when you see Jerusalem surrounded by armies,</w:t>
      </w:r>
    </w:p>
    <w:p>
      <w:pPr>
        <w:pStyle w:val="ListBullet"/>
        <w:spacing w:line="240" w:lineRule="auto"/>
        <w:ind w:left="720"/>
      </w:pPr>
      <w:r>
        <w:rPr>
          <w:lang w:val="en_US" w:bidi="en_US"/>
        </w:rPr>
      </w:r>
      <w:r>
        <w:rPr>
          <w:lang w:val="en_US" w:bidi="en_US"/>
        </w:rPr>
        <w:t>¶ “But when you</w:t>
      </w:r>
      <w:r>
        <w:rPr>
          <w:vertAlign w:val="superscript"/>
          <w:lang w:val="en_US" w:bidi="en_US"/>
        </w:rPr>
        <w:t>(plur)</w:t>
      </w:r>
      <w:r>
        <w:rPr>
          <w:lang w:val="en_US" w:bidi="en_US"/>
        </w:rPr>
        <w:t xml:space="preserve"> see enemy soldiers beginning to surround Jerusalem,</w:t>
      </w:r>
    </w:p>
    <w:p>
      <w:pPr>
        <w:pStyle w:val="ListBullet"/>
        <w:spacing w:line="240" w:lineRule="auto"/>
        <w:ind w:left="720"/>
      </w:pPr>
      <w:r>
        <w:rPr>
          <w:lang w:val="en_US" w:bidi="en_US"/>
        </w:rPr>
      </w:r>
      <w:r>
        <w:rPr>
          <w:lang w:val="en_US" w:bidi="en_US"/>
        </w:rPr>
        <w:t>¶ “When you</w:t>
      </w:r>
      <w:r>
        <w:rPr>
          <w:vertAlign w:val="superscript"/>
          <w:lang w:val="en_US" w:bidi="en_US"/>
        </w:rPr>
        <w:t>(plur)</w:t>
      </w:r>
      <w:r>
        <w:rPr>
          <w:lang w:val="en_US" w:bidi="en_US"/>
        </w:rPr>
        <w:t xml:space="preserve"> will see </w:t>
      </w:r>
      <w:r>
        <w:rPr>
          <w:lang w:val="en_US" w:bidi="en_US"/>
        </w:rPr>
        <w:t>hostile</w:t>
      </w:r>
      <w:r>
        <w:rPr>
          <w:lang w:val="en_US" w:bidi="en_US"/>
        </w:rPr>
        <w:t xml:space="preserve"> armies gathering around Jerusalem,</w:t>
      </w:r>
    </w:p>
    <w:p>
      <w:pPr>
        <w:pStyle w:val="ListBullet"/>
        <w:spacing w:line="240" w:lineRule="auto"/>
        <w:ind w:left="720"/>
      </w:pPr>
      <w:r>
        <w:rPr>
          <w:lang w:val="en_US" w:bidi="en_US"/>
        </w:rPr>
      </w:r>
      <w:r>
        <w:rPr>
          <w:lang w:val="en_US" w:bidi="en_US"/>
        </w:rPr>
        <w:t>¶ Then Jesus continued/said, “</w:t>
      </w:r>
      <w:r>
        <w:rPr>
          <w:lang w:val="en_US" w:bidi="en_US"/>
        </w:rPr>
        <w:t>As for when the city of Jerusalem will be destroyed,</w:t>
      </w:r>
      <w:r>
        <w:rPr>
          <w:lang w:val="en_US" w:bidi="en_US"/>
        </w:rPr>
        <w:t xml:space="preserve"> you will </w:t>
      </w:r>
      <w:r>
        <w:rPr>
          <w:lang w:val="en_US" w:bidi="en_US"/>
        </w:rPr>
        <w:t>first</w:t>
      </w:r>
      <w:r>
        <w:rPr>
          <w:lang w:val="en_US" w:bidi="en_US"/>
        </w:rPr>
        <w:t xml:space="preserve"> see armies surrounding it.</w:t>
      </w:r>
    </w:p>
    <w:p>
      <w:pPr/>
      <w:r>
        <w:rPr>
          <w:lang w:val="en_US" w:bidi="en_US"/>
        </w:rPr>
      </w:r>
      <w:r>
        <w:rPr>
          <w:b/>
          <w:lang w:val="en_US" w:bidi="en_US"/>
        </w:rPr>
        <w:t>But when you see Jerusalem surrounded by armies:</w:t>
      </w:r>
      <w:r>
        <w:rPr>
          <w:lang w:val="en_US" w:bidi="en_US"/>
        </w:rPr>
        <w:t xml:space="preserve"> In this clause Jesus indicated that his disciples will see enemy soldiers gathering around the city of Jerusalem. These soldiers will surround the city to attack it.</w:t>
      </w:r>
    </w:p>
    <w:p>
      <w:pPr/>
      <w:r>
        <w:rPr>
          <w:lang w:val="en_US" w:bidi="en_US"/>
        </w:rPr>
      </w:r>
      <w:r>
        <w:rPr>
          <w:lang w:val="en_US" w:bidi="en_US"/>
        </w:rPr>
        <w:t xml:space="preserve">The Greek verb that the BSB translates as </w:t>
      </w:r>
      <w:r>
        <w:rPr>
          <w:i/>
          <w:lang w:val="en_US" w:bidi="en_US"/>
        </w:rPr>
        <w:t>surrounded</w:t>
      </w:r>
      <w:r>
        <w:rPr>
          <w:lang w:val="en_US" w:bidi="en_US"/>
        </w:rPr>
        <w:t xml:space="preserve"> is passive. In some languages it may be helpful to translate the clause without using a passive verb. For example:</w:t>
      </w:r>
    </w:p>
    <w:p>
      <w:pPr/>
      <w:r>
        <w:rPr>
          <w:lang w:val="en_US" w:bidi="en_US"/>
        </w:rPr>
      </w:r>
      <w:r>
        <w:rPr>
          <w:lang w:val="en_US" w:bidi="en_US"/>
        </w:rPr>
        <w:t>When you see that armies/soldiers are surrounding Jerusalem</w:t>
      </w:r>
    </w:p>
    <w:p>
      <w:pPr/>
      <w:r>
        <w:rPr>
          <w:lang w:val="en_US" w:bidi="en_US"/>
        </w:rPr>
      </w:r>
      <w:r>
        <w:rPr>
          <w:lang w:val="en_US" w:bidi="en_US"/>
        </w:rPr>
        <w:t>When you see armies all around Jerusalem (NCV)</w:t>
      </w:r>
    </w:p>
    <w:p>
      <w:pPr/>
      <w:r>
        <w:rPr>
          <w:lang w:val="en_US" w:bidi="en_US"/>
        </w:rPr>
      </w:r>
      <w:r>
        <w:rPr>
          <w:lang w:val="en_US" w:bidi="en_US"/>
        </w:rPr>
        <w:t>When you see armies camped around Jerusalem (GW)</w:t>
      </w:r>
    </w:p>
    <w:p>
      <w:pPr>
        <w:pStyle w:val="Heading5"/>
      </w:pPr>
      <w:r>
        <w:rPr>
          <w:lang w:val="en_US" w:bidi="en_US"/>
        </w:rPr>
        <w:t>21:20b</w:t>
      </w:r>
    </w:p>
    <w:p>
      <w:pPr/>
      <w:r>
        <w:rPr>
          <w:lang w:val="en_US" w:bidi="en_US"/>
        </w:rPr>
      </w:r>
      <w:r>
        <w:rPr>
          <w:b/>
          <w:lang w:val="en_US" w:bidi="en_US"/>
        </w:rPr>
        <w:t>you will know that her desolation is near.</w:t>
      </w:r>
    </w:p>
    <w:p>
      <w:pPr>
        <w:pStyle w:val="ListBullet"/>
        <w:spacing w:line="240" w:lineRule="auto"/>
        <w:ind w:left="720"/>
      </w:pPr>
      <w:r>
        <w:rPr>
          <w:lang w:val="en_US" w:bidi="en_US"/>
        </w:rPr>
      </w:r>
      <w:r>
        <w:rPr>
          <w:lang w:val="en_US" w:bidi="en_US"/>
        </w:rPr>
        <w:t>then realize</w:t>
      </w:r>
      <w:r>
        <w:rPr>
          <w:vertAlign w:val="superscript"/>
          <w:lang w:val="en_US" w:bidi="en_US"/>
        </w:rPr>
        <w:t>(plur)</w:t>
      </w:r>
      <w:r>
        <w:rPr>
          <w:lang w:val="en_US" w:bidi="en_US"/>
        </w:rPr>
        <w:t xml:space="preserve"> that it will soon be devastated/destroyed.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know that the time has come for it to be destroyed and abandoned.</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can be sure that they will soon destroy the city.</w:t>
      </w:r>
    </w:p>
    <w:p>
      <w:pPr/>
      <w:r>
        <w:rPr>
          <w:lang w:val="en_US" w:bidi="en_US"/>
        </w:rPr>
      </w:r>
      <w:r>
        <w:rPr>
          <w:lang w:val="en_US" w:bidi="en_US"/>
        </w:rPr>
        <w:t>In Greek 21:20b begins with a conjunction that some English versions translate as “then.” It emphasizes the logical connection between 21:20a and 21:20b. Here is another way to translate this:</w:t>
      </w:r>
    </w:p>
    <w:p>
      <w:pPr/>
      <w:r>
        <w:rPr>
          <w:lang w:val="en_US" w:bidi="en_US"/>
        </w:rPr>
      </w:r>
      <w:r>
        <w:rPr>
          <w:vertAlign w:val="superscript"/>
          <w:lang w:val="en_US" w:bidi="en_US"/>
        </w:rPr>
        <w:t>20a</w:t>
      </w:r>
      <w:r>
        <w:rPr>
          <w:lang w:val="en_US" w:bidi="en_US"/>
        </w:rPr>
        <w:t>When you see…</w:t>
      </w:r>
      <w:r>
        <w:rPr>
          <w:vertAlign w:val="superscript"/>
          <w:lang w:val="en_US" w:bidi="en_US"/>
        </w:rPr>
        <w:t>20b</w:t>
      </w:r>
      <w:r>
        <w:rPr>
          <w:u w:val="single"/>
          <w:lang w:val="en_US" w:bidi="en_US"/>
        </w:rPr>
        <w:t>then you will know</w:t>
      </w:r>
      <w:r>
        <w:rPr>
          <w:lang w:val="en_US" w:bidi="en_US"/>
        </w:rPr>
        <w:t xml:space="preserve"> (GNT)</w:t>
      </w:r>
    </w:p>
    <w:p>
      <w:pPr/>
      <w:r>
        <w:rPr>
          <w:lang w:val="en_US" w:bidi="en_US"/>
        </w:rPr>
      </w:r>
      <w:r>
        <w:rPr>
          <w:lang w:val="en_US" w:bidi="en_US"/>
        </w:rPr>
        <w:t>This conjunction introduces what Jesus wanted his disciples to realize as a result of enemy armies surrounding Jerusalem. In some languages a conjunction is not needed. Connect the clauses in a way that is natural in your language.</w:t>
      </w:r>
    </w:p>
    <w:p>
      <w:pPr/>
      <w:r>
        <w:rPr>
          <w:lang w:val="en_US" w:bidi="en_US"/>
        </w:rPr>
      </w:r>
      <w:r>
        <w:rPr>
          <w:b/>
          <w:lang w:val="en_US" w:bidi="en_US"/>
        </w:rPr>
        <w:t>you will know that her desolation is near:</w:t>
      </w:r>
      <w:r>
        <w:rPr>
          <w:lang w:val="en_US" w:bidi="en_US"/>
        </w:rPr>
        <w:t xml:space="preserve"> The Greek verb that the BSB translates as </w:t>
      </w:r>
      <w:r>
        <w:rPr>
          <w:i/>
          <w:lang w:val="en_US" w:bidi="en_US"/>
        </w:rPr>
        <w:t>you will know</w:t>
      </w:r>
      <w:r>
        <w:rPr>
          <w:lang w:val="en_US" w:bidi="en_US"/>
        </w:rPr>
        <w:t xml:space="preserve"> is a command. Jesus used it to tell his disciples what they should realize when enemy soldiers gather around Jerusalem. They must understand that these armies will soon destroy the city.</w:t>
      </w:r>
      <w:r>
        <w:rPr>
          <w:lang w:val="en_US" w:bidi="en_US"/>
        </w:rPr>
        <w:t>Other armies may later attack Jerusalem at the close of this present age.</w:t>
      </w:r>
      <w:r>
        <w:rPr>
          <w:lang w:val="en_US" w:bidi="en_US"/>
        </w:rPr>
        <w:t xml:space="preserve"> Some other ways to translate the clause are:</w:t>
      </w:r>
    </w:p>
    <w:p>
      <w:pPr/>
      <w:r>
        <w:rPr>
          <w:lang w:val="en_US" w:bidi="en_US"/>
        </w:rPr>
      </w:r>
      <w:r>
        <w:rPr>
          <w:lang w:val="en_US" w:bidi="en_US"/>
        </w:rPr>
        <w:t>realize that the time is near for it to be destroyed (GW)</w:t>
      </w:r>
    </w:p>
    <w:p>
      <w:pPr/>
      <w:r>
        <w:rPr>
          <w:lang w:val="en_US" w:bidi="en_US"/>
        </w:rPr>
      </w:r>
      <w:r>
        <w:rPr>
          <w:lang w:val="en_US" w:bidi="en_US"/>
        </w:rPr>
        <w:t>then you must realise that it will soon be laid desolate (NJB)</w:t>
      </w:r>
    </w:p>
    <w:p>
      <w:pPr/>
      <w:r>
        <w:rPr>
          <w:lang w:val="en_US" w:bidi="en_US"/>
        </w:rPr>
      </w:r>
      <w:r>
        <w:rPr>
          <w:lang w:val="en_US" w:bidi="en_US"/>
        </w:rPr>
        <w:t>then know that its desolation has come near (NET)</w:t>
      </w:r>
    </w:p>
    <w:p>
      <w:pPr/>
      <w:r>
        <w:rPr>
          <w:lang w:val="en_US" w:bidi="en_US"/>
        </w:rPr>
      </w:r>
      <w:r>
        <w:rPr>
          <w:b/>
          <w:lang w:val="en_US" w:bidi="en_US"/>
        </w:rPr>
        <w:t>her desolation is near:</w:t>
      </w:r>
      <w:r>
        <w:rPr>
          <w:lang w:val="en_US" w:bidi="en_US"/>
        </w:rPr>
        <w:t xml:space="preserve"> The Greek clause that the BSB translates as </w:t>
      </w:r>
      <w:r>
        <w:rPr>
          <w:i/>
          <w:lang w:val="en_US" w:bidi="en_US"/>
        </w:rPr>
        <w:t>her desolation is near</w:t>
      </w:r>
      <w:r>
        <w:rPr>
          <w:lang w:val="en_US" w:bidi="en_US"/>
        </w:rPr>
        <w:t xml:space="preserve"> means that Jerusalem will soon be completely destroyed. Many people will be killed, and the other people will leave the city. Then it will be deserted.</w:t>
      </w:r>
      <w:r>
        <w:rPr>
          <w:lang w:val="en_US" w:bidi="en_US"/>
        </w:rPr>
        <w:t>Based on Louw and Nida, p. 233.</w:t>
      </w:r>
      <w:r>
        <w:rPr>
          <w:lang w:val="en_US" w:bidi="en_US"/>
        </w:rPr>
        <w:t xml:space="preserve"> Other ways to translate this meaning are:</w:t>
      </w:r>
    </w:p>
    <w:p>
      <w:pPr>
        <w:pStyle w:val="ListBullet"/>
        <w:spacing w:line="240" w:lineRule="auto"/>
        <w:ind w:left="720"/>
      </w:pPr>
      <w:r>
        <w:rPr>
          <w:lang w:val="en_US" w:bidi="en_US"/>
        </w:rPr>
      </w:r>
      <w:r>
        <w:rPr>
          <w:lang w:val="en_US" w:bidi="en_US"/>
        </w:rPr>
        <w:t>Use a passive clause. For example:</w:t>
      </w:r>
      <w:r>
        <w:rPr>
          <w:lang w:val="en_US" w:bidi="en_US"/>
        </w:rPr>
        <w:t>the city will soon be completely destroyed</w:t>
      </w:r>
    </w:p>
    <w:p>
      <w:pPr>
        <w:pStyle w:val="ListBullet"/>
        <w:spacing w:line="240" w:lineRule="auto"/>
        <w:ind w:left="720"/>
      </w:pPr>
      <w:r>
        <w:rPr>
          <w:lang w:val="en_US" w:bidi="en_US"/>
        </w:rPr>
      </w:r>
      <w:r>
        <w:rPr>
          <w:lang w:val="en_US" w:bidi="en_US"/>
        </w:rPr>
        <w:t>Use an active clause. A subject like “they” can refer back to the armies surrounding Jerusalem in 21:20a. For example:</w:t>
      </w:r>
      <w:r>
        <w:rPr>
          <w:lang w:val="en_US" w:bidi="en_US"/>
        </w:rPr>
        <w:t>they will soon destroy the city and it will be deserted/abandoned</w:t>
      </w:r>
      <w:r>
        <w:rPr>
          <w:lang w:val="en_US" w:bidi="en_US"/>
        </w:rPr>
        <w:t>they are about to utterly destroy the city so that no one will be left there</w:t>
      </w:r>
    </w:p>
    <w:p>
      <w:pPr/>
      <w:r>
        <w:rPr>
          <w:lang w:val="en_US" w:bidi="en_US"/>
        </w:rPr>
      </w:r>
      <w:r>
        <w:rPr>
          <w:lang w:val="en_US" w:bidi="en_US"/>
        </w:rPr>
        <w:t>Translate this meaning in a natural way in your language.</w:t>
      </w:r>
      <w:r>
        <w:rPr>
          <w:lang w:val="en_US" w:bidi="en_US"/>
        </w:rPr>
      </w:r>
      <w:r>
        <w:rPr>
          <w:lang w:val="en_US" w:bidi="en_US"/>
        </w:rPr>
      </w:r>
    </w:p>
    <w:p>
      <w:pPr/>
      <w:r>
        <w:rPr>
          <w:lang w:val="en_US" w:bidi="en_US"/>
        </w:rPr>
      </w:r>
    </w:p>
    <w:p>
      <w:pPr>
        <w:pStyle w:val="Heading2"/>
      </w:pPr>
      <w:r>
        <w:rPr>
          <w:lang w:val="en_US" w:bidi="en_US"/>
        </w:rPr>
        <w:t>Luke 21:21</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4"/>
      </w:pPr>
      <w:r>
        <w:rPr>
          <w:lang w:val="en_US" w:bidi="en_US"/>
        </w:rPr>
        <w:t>Paragraph 21:20–24</w:t>
      </w:r>
    </w:p>
    <w:p>
      <w:pPr/>
      <w:r>
        <w:rPr>
          <w:lang w:val="en_US" w:bidi="en_US"/>
        </w:rPr>
      </w:r>
      <w:r>
        <w:rPr>
          <w:lang w:val="en_US" w:bidi="en_US"/>
        </w:rPr>
        <w:t>In this paragraph Jesus began a new topic. In 21:12–19 he had talked about the persecution that his disciples would endure before the end. In this paragraph Jesus talked about the future time when an army would attack the city of Jerusalem and destroy it.</w:t>
      </w:r>
      <w:r>
        <w:rPr>
          <w:lang w:val="en_US" w:bidi="en_US"/>
        </w:rPr>
        <w:t>It is possible that this passage will have two fulfillments. The first application referred to the time when the Romans destroyed Jerusalem in 70 A.D. This happened about forty years after people had crucified Jesus. Many Christians think that Jerusalem will be attacked again in the last days of this age. This would be a second fulfillment of this prediction.</w:t>
      </w:r>
      <w:r>
        <w:rPr>
          <w:lang w:val="en_US" w:bidi="en_US"/>
        </w:rPr>
        <w:t xml:space="preserve"> Jesus warned his disciples to escape when they saw armies gathering around Jerusalem.</w:t>
      </w:r>
    </w:p>
    <w:p>
      <w:pPr>
        <w:pStyle w:val="Heading5"/>
      </w:pPr>
      <w:r>
        <w:rPr>
          <w:lang w:val="en_US" w:bidi="en_US"/>
        </w:rPr>
        <w:t>21:21a</w:t>
      </w:r>
    </w:p>
    <w:p>
      <w:pPr/>
      <w:r>
        <w:rPr>
          <w:lang w:val="en_US" w:bidi="en_US"/>
        </w:rPr>
      </w:r>
      <w:r>
        <w:rPr>
          <w:b/>
          <w:lang w:val="en_US" w:bidi="en_US"/>
        </w:rPr>
        <w:t>Then let those who are in Judea flee to the mountains,</w:t>
      </w:r>
    </w:p>
    <w:p>
      <w:pPr>
        <w:pStyle w:val="ListBullet"/>
        <w:spacing w:line="240" w:lineRule="auto"/>
        <w:ind w:left="720"/>
      </w:pPr>
      <w:r>
        <w:rPr>
          <w:lang w:val="en_US" w:bidi="en_US"/>
        </w:rPr>
      </w:r>
      <w:r>
        <w:rPr>
          <w:lang w:val="en_US" w:bidi="en_US"/>
        </w:rPr>
        <w:t>The inhabitants of Judea should flee to the hills and mountains,</w:t>
      </w:r>
    </w:p>
    <w:p>
      <w:pPr>
        <w:pStyle w:val="ListBullet"/>
        <w:spacing w:line="240" w:lineRule="auto"/>
        <w:ind w:left="720"/>
      </w:pPr>
      <w:r>
        <w:rPr>
          <w:lang w:val="en_US" w:bidi="en_US"/>
        </w:rPr>
      </w:r>
      <w:r>
        <w:rPr>
          <w:lang w:val="en_US" w:bidi="en_US"/>
        </w:rPr>
        <w:t>At that time</w:t>
      </w:r>
      <w:r>
        <w:rPr>
          <w:lang w:val="en_US" w:bidi="en_US"/>
        </w:rPr>
        <w:t xml:space="preserve"> those </w:t>
      </w:r>
      <w:r>
        <w:rPr>
          <w:lang w:val="en_US" w:bidi="en_US"/>
        </w:rPr>
        <w:t>of you</w:t>
      </w:r>
      <w:r>
        <w:rPr>
          <w:vertAlign w:val="superscript"/>
          <w:lang w:val="en_US" w:bidi="en_US"/>
        </w:rPr>
        <w:t>(plur)</w:t>
      </w:r>
      <w:r>
        <w:rPr>
          <w:lang w:val="en_US" w:bidi="en_US"/>
        </w:rPr>
        <w:t xml:space="preserve"> who live in </w:t>
      </w:r>
      <w:r>
        <w:rPr>
          <w:lang w:val="en_US" w:bidi="en_US"/>
        </w:rPr>
        <w:t>the region of</w:t>
      </w:r>
      <w:r>
        <w:rPr>
          <w:lang w:val="en_US" w:bidi="en_US"/>
        </w:rPr>
        <w:t xml:space="preserve"> Judea must run away to the mountains </w:t>
      </w:r>
      <w:r>
        <w:rPr>
          <w:lang w:val="en_US" w:bidi="en_US"/>
        </w:rPr>
        <w:t>and hide</w:t>
      </w:r>
      <w:r>
        <w:rPr>
          <w:lang w:val="en_US" w:bidi="en_US"/>
        </w:rPr>
        <w:t>.</w:t>
      </w:r>
    </w:p>
    <w:p>
      <w:pPr>
        <w:pStyle w:val="ListBullet"/>
        <w:spacing w:line="240" w:lineRule="auto"/>
        <w:ind w:left="720"/>
      </w:pPr>
      <w:r>
        <w:rPr>
          <w:lang w:val="en_US" w:bidi="en_US"/>
        </w:rPr>
      </w:r>
      <w:r>
        <w:rPr>
          <w:lang w:val="en_US" w:bidi="en_US"/>
        </w:rPr>
        <w:t>Then if you</w:t>
      </w:r>
      <w:r>
        <w:rPr>
          <w:vertAlign w:val="superscript"/>
          <w:lang w:val="en_US" w:bidi="en_US"/>
        </w:rPr>
        <w:t>(plur)</w:t>
      </w:r>
      <w:r>
        <w:rPr>
          <w:lang w:val="en_US" w:bidi="en_US"/>
        </w:rPr>
        <w:t xml:space="preserve"> live in </w:t>
      </w:r>
      <w:r>
        <w:rPr>
          <w:lang w:val="en_US" w:bidi="en_US"/>
        </w:rPr>
        <w:t>the province of</w:t>
      </w:r>
      <w:r>
        <w:rPr>
          <w:lang w:val="en_US" w:bidi="en_US"/>
        </w:rPr>
        <w:t xml:space="preserve"> Judea, escape immediately to the mountainous areas.</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is a time word. It introduces what the people of Israel should do when enemy armies begin to surround Jerusalem. Here is another way to translate this:</w:t>
      </w:r>
    </w:p>
    <w:p>
      <w:pPr/>
      <w:r>
        <w:rPr>
          <w:lang w:val="en_US" w:bidi="en_US"/>
        </w:rPr>
      </w:r>
      <w:r>
        <w:rPr>
          <w:lang w:val="en_US" w:bidi="en_US"/>
        </w:rPr>
        <w:t>At that time (NCV)</w:t>
      </w:r>
    </w:p>
    <w:p>
      <w:pPr/>
      <w:r>
        <w:rPr>
          <w:lang w:val="en_US" w:bidi="en_US"/>
        </w:rPr>
      </w:r>
      <w:r>
        <w:rPr>
          <w:b/>
          <w:lang w:val="en_US" w:bidi="en_US"/>
        </w:rPr>
        <w:t>let those who are in Judea flee to the mountains:</w:t>
      </w:r>
      <w:r>
        <w:rPr>
          <w:lang w:val="en_US" w:bidi="en_US"/>
        </w:rPr>
        <w:t xml:space="preserve"> This clause is a command. It means that any of Jesus’ disciples who are in Judea at that time must run away and hide in the mountains. This was the only way that they could escape the enemy soldiers. Other ways to translate this command are:</w:t>
      </w:r>
    </w:p>
    <w:p>
      <w:pPr/>
      <w:r>
        <w:rPr>
          <w:lang w:val="en_US" w:bidi="en_US"/>
        </w:rPr>
      </w:r>
      <w:r>
        <w:rPr>
          <w:lang w:val="en_US" w:bidi="en_US"/>
        </w:rPr>
        <w:t>You</w:t>
      </w:r>
      <w:r>
        <w:rPr>
          <w:vertAlign w:val="superscript"/>
          <w:lang w:val="en_US" w:bidi="en_US"/>
        </w:rPr>
        <w:t>(plur)</w:t>
      </w:r>
      <w:r>
        <w:rPr>
          <w:lang w:val="en_US" w:bidi="en_US"/>
        </w:rPr>
        <w:t xml:space="preserve"> who are in </w:t>
      </w:r>
      <w:r>
        <w:rPr>
          <w:lang w:val="en_US" w:bidi="en_US"/>
        </w:rPr>
        <w:t>the region of</w:t>
      </w:r>
      <w:r>
        <w:rPr>
          <w:lang w:val="en_US" w:bidi="en_US"/>
        </w:rPr>
        <w:t xml:space="preserve"> Judea must escape to the mountains </w:t>
      </w:r>
      <w:r>
        <w:rPr>
          <w:lang w:val="en_US" w:bidi="en_US"/>
        </w:rPr>
        <w:t>and hide</w:t>
      </w:r>
    </w:p>
    <w:p>
      <w:pPr/>
      <w:r>
        <w:rPr>
          <w:lang w:val="en_US" w:bidi="en_US"/>
        </w:rPr>
      </w:r>
      <w:r>
        <w:rPr>
          <w:lang w:val="en_US" w:bidi="en_US"/>
        </w:rPr>
        <w:t>Then those who are in Judea must run away to the hills (GNT)</w:t>
      </w:r>
    </w:p>
    <w:p>
      <w:pPr/>
      <w:r>
        <w:rPr>
          <w:lang w:val="en_US" w:bidi="en_US"/>
        </w:rPr>
      </w:r>
      <w:r>
        <w:rPr>
          <w:lang w:val="en_US" w:bidi="en_US"/>
        </w:rPr>
        <w:t>If you are in Judea, hurry to the hills and hide</w:t>
      </w:r>
    </w:p>
    <w:p>
      <w:pPr/>
      <w:r>
        <w:rPr>
          <w:lang w:val="en_US" w:bidi="en_US"/>
        </w:rPr>
      </w:r>
      <w:r>
        <w:rPr>
          <w:b/>
          <w:lang w:val="en_US" w:bidi="en_US"/>
        </w:rPr>
        <w:t>Judea:</w:t>
      </w:r>
      <w:r>
        <w:rPr>
          <w:lang w:val="en_US" w:bidi="en_US"/>
        </w:rPr>
        <w:t xml:space="preserve"> </w:t>
      </w:r>
      <w:r>
        <w:rPr>
          <w:i/>
          <w:lang w:val="en_US" w:bidi="en_US"/>
        </w:rPr>
        <w:t>Judea</w:t>
      </w:r>
      <w:r>
        <w:rPr>
          <w:lang w:val="en_US" w:bidi="en_US"/>
        </w:rPr>
        <w:t xml:space="preserve"> was a province in the Roman Empire. It was part of the land that God promised to give Abraham and his descendants, the Jewish people. Many Jews lived in Judea, and the city of Jerusalem was located there. A Roman governor ruled Judea under the authority of the Roman emperor. However, Jewish leaders were allowed some authority to enforce laws for their own people.</w:t>
      </w:r>
    </w:p>
    <w:p>
      <w:pPr/>
      <w:r>
        <w:rPr>
          <w:lang w:val="en_US" w:bidi="en_US"/>
        </w:rPr>
      </w:r>
      <w:r>
        <w:rPr>
          <w:lang w:val="en_US" w:bidi="en_US"/>
        </w:rPr>
        <w:t xml:space="preserve">In some languages it may be necessary or helpful to include a word that tells what the name </w:t>
      </w:r>
      <w:r>
        <w:rPr>
          <w:i/>
          <w:lang w:val="en_US" w:bidi="en_US"/>
        </w:rPr>
        <w:t>Judea</w:t>
      </w:r>
      <w:r>
        <w:rPr>
          <w:lang w:val="en_US" w:bidi="en_US"/>
        </w:rPr>
        <w:t xml:space="preserve"> refers to. If that is true in your language, use an appropriate term to refer to a state, province, or district within a country.</w:t>
      </w:r>
    </w:p>
    <w:p>
      <w:pPr/>
      <w:r>
        <w:rPr>
          <w:lang w:val="en_US" w:bidi="en_US"/>
        </w:rPr>
      </w:r>
      <w:r>
        <w:rPr>
          <w:b/>
          <w:lang w:val="en_US" w:bidi="en_US"/>
        </w:rPr>
        <w:t>mountains:</w:t>
      </w:r>
      <w:r>
        <w:rPr>
          <w:lang w:val="en_US" w:bidi="en_US"/>
        </w:rPr>
        <w:t xml:space="preserve"> Jesus probably referred here to the </w:t>
      </w:r>
      <w:r>
        <w:rPr>
          <w:i/>
          <w:lang w:val="en_US" w:bidi="en_US"/>
        </w:rPr>
        <w:t>mountains</w:t>
      </w:r>
      <w:r>
        <w:rPr>
          <w:lang w:val="en_US" w:bidi="en_US"/>
        </w:rPr>
        <w:t xml:space="preserve"> and hills located in the southern part of Judea surrounding the Dead Sea.</w:t>
      </w:r>
      <w:r>
        <w:rPr>
          <w:lang w:val="en_US" w:bidi="en_US"/>
        </w:rPr>
        <w:t>Since Judea itself is mountainous, the mountains spoken of here probably refer to those located in Transjordan, or in the remoter areas of Judea itself, such as the mountains and caves around the Dead Sea.</w:t>
      </w:r>
    </w:p>
    <w:p>
      <w:pPr>
        <w:pStyle w:val="Heading5"/>
      </w:pPr>
      <w:r>
        <w:rPr>
          <w:lang w:val="en_US" w:bidi="en_US"/>
        </w:rPr>
        <w:t>21:21b</w:t>
      </w:r>
    </w:p>
    <w:p>
      <w:pPr/>
      <w:r>
        <w:rPr>
          <w:lang w:val="en_US" w:bidi="en_US"/>
        </w:rPr>
      </w:r>
      <w:r>
        <w:rPr>
          <w:b/>
          <w:lang w:val="en_US" w:bidi="en_US"/>
        </w:rPr>
        <w:t>let those in the city get out,</w:t>
      </w:r>
    </w:p>
    <w:p>
      <w:pPr>
        <w:pStyle w:val="ListBullet"/>
        <w:spacing w:line="240" w:lineRule="auto"/>
        <w:ind w:left="720"/>
      </w:pPr>
      <w:r>
        <w:rPr>
          <w:lang w:val="en_US" w:bidi="en_US"/>
        </w:rPr>
      </w:r>
      <w:r>
        <w:rPr>
          <w:lang w:val="en_US" w:bidi="en_US"/>
        </w:rPr>
        <w:t>and the people in the city should leave.</w:t>
      </w:r>
    </w:p>
    <w:p>
      <w:pPr>
        <w:pStyle w:val="ListBullet"/>
        <w:spacing w:line="240" w:lineRule="auto"/>
        <w:ind w:left="720"/>
      </w:pPr>
      <w:r>
        <w:rPr>
          <w:lang w:val="en_US" w:bidi="en_US"/>
        </w:rPr>
      </w:r>
      <w:r>
        <w:rPr>
          <w:lang w:val="en_US" w:bidi="en_US"/>
        </w:rPr>
        <w:t>Those of you</w:t>
      </w:r>
      <w:r>
        <w:rPr>
          <w:vertAlign w:val="superscript"/>
          <w:lang w:val="en_US" w:bidi="en_US"/>
        </w:rPr>
        <w:t>(plur)</w:t>
      </w:r>
      <w:r>
        <w:rPr>
          <w:lang w:val="en_US" w:bidi="en_US"/>
        </w:rPr>
        <w:t xml:space="preserve"> who live in the city </w:t>
      </w:r>
      <w:r>
        <w:rPr>
          <w:lang w:val="en_US" w:bidi="en_US"/>
        </w:rPr>
        <w:t>of Jerusalem</w:t>
      </w:r>
      <w:r>
        <w:rPr>
          <w:lang w:val="en_US" w:bidi="en_US"/>
        </w:rPr>
        <w:t xml:space="preserve"> must leave it,</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are in Jerusalem, leave the city immediately.</w:t>
      </w:r>
    </w:p>
    <w:p>
      <w:pPr/>
      <w:r>
        <w:rPr>
          <w:lang w:val="en_US" w:bidi="en_US"/>
        </w:rPr>
      </w:r>
      <w:r>
        <w:rPr>
          <w:b/>
          <w:lang w:val="en_US" w:bidi="en_US"/>
        </w:rPr>
        <w:t>let those in the city get out:</w:t>
      </w:r>
      <w:r>
        <w:rPr>
          <w:lang w:val="en_US" w:bidi="en_US"/>
        </w:rPr>
        <w:t xml:space="preserve"> This clause is another command. It means that people who are in the city of Jerusalem at that future time must leave it. People usually felt safer in a city like Jerusalem because walls surrounded it. However, at this future time, the city of Jerusalem will be destroyed, and many people will be killed. To be saved, people will have to leave the city and run away.</w:t>
      </w:r>
    </w:p>
    <w:p>
      <w:pPr/>
      <w:r>
        <w:rPr>
          <w:lang w:val="en_US" w:bidi="en_US"/>
        </w:rPr>
      </w:r>
      <w:r>
        <w:rPr>
          <w:lang w:val="en_US" w:bidi="en_US"/>
        </w:rPr>
        <w:t>Other ways to translate this command are:</w:t>
      </w:r>
    </w:p>
    <w:p>
      <w:pPr/>
      <w:r>
        <w:rPr>
          <w:lang w:val="en_US" w:bidi="en_US"/>
        </w:rPr>
      </w:r>
      <w:r>
        <w:rPr>
          <w:lang w:val="en_US" w:bidi="en_US"/>
        </w:rPr>
        <w:t>You who are in the city must leave it.</w:t>
      </w:r>
    </w:p>
    <w:p>
      <w:pPr/>
      <w:r>
        <w:rPr>
          <w:lang w:val="en_US" w:bidi="en_US"/>
        </w:rPr>
      </w:r>
      <w:r>
        <w:rPr>
          <w:lang w:val="en_US" w:bidi="en_US"/>
        </w:rPr>
        <w:t>Those of you who are in the city must escape from it.</w:t>
      </w:r>
    </w:p>
    <w:p>
      <w:pPr/>
      <w:r>
        <w:rPr>
          <w:lang w:val="en_US" w:bidi="en_US"/>
        </w:rPr>
      </w:r>
      <w:r>
        <w:rPr>
          <w:lang w:val="en_US" w:bidi="en_US"/>
        </w:rPr>
        <w:t>If you are inside Jerusalem, get out of the city.</w:t>
      </w:r>
    </w:p>
    <w:p>
      <w:pPr>
        <w:pStyle w:val="Heading5"/>
      </w:pPr>
      <w:r>
        <w:rPr>
          <w:lang w:val="en_US" w:bidi="en_US"/>
        </w:rPr>
        <w:t>21:21c</w:t>
      </w:r>
    </w:p>
    <w:p>
      <w:pPr/>
      <w:r>
        <w:rPr>
          <w:lang w:val="en_US" w:bidi="en_US"/>
        </w:rPr>
      </w:r>
      <w:r>
        <w:rPr>
          <w:b/>
          <w:lang w:val="en_US" w:bidi="en_US"/>
        </w:rPr>
        <w:t>and let those in the country stay out of the city.</w:t>
      </w:r>
    </w:p>
    <w:p>
      <w:pPr>
        <w:pStyle w:val="ListBullet"/>
        <w:spacing w:line="240" w:lineRule="auto"/>
        <w:ind w:left="720"/>
      </w:pPr>
      <w:r>
        <w:rPr>
          <w:lang w:val="en_US" w:bidi="en_US"/>
        </w:rPr>
      </w:r>
      <w:r>
        <w:rPr>
          <w:lang w:val="en_US" w:bidi="en_US"/>
        </w:rPr>
        <w:t>The people who are in the countryside should not go into the city.</w:t>
      </w:r>
    </w:p>
    <w:p>
      <w:pPr>
        <w:pStyle w:val="ListBullet"/>
        <w:spacing w:line="240" w:lineRule="auto"/>
        <w:ind w:left="720"/>
      </w:pPr>
      <w:r>
        <w:rPr>
          <w:lang w:val="en_US" w:bidi="en_US"/>
        </w:rPr>
      </w:r>
      <w:r>
        <w:rPr>
          <w:lang w:val="en_US" w:bidi="en_US"/>
        </w:rPr>
        <w:t>and whoever is outside the city must not go into it.</w:t>
      </w:r>
    </w:p>
    <w:p>
      <w:pPr>
        <w:pStyle w:val="ListBullet"/>
        <w:spacing w:line="240" w:lineRule="auto"/>
        <w:ind w:left="720"/>
      </w:pPr>
      <w:r>
        <w:rPr>
          <w:lang w:val="en_US" w:bidi="en_US"/>
        </w:rPr>
      </w:r>
      <w:r>
        <w:rPr>
          <w:lang w:val="en_US" w:bidi="en_US"/>
        </w:rPr>
        <w:t>And if you</w:t>
      </w:r>
      <w:r>
        <w:rPr>
          <w:vertAlign w:val="superscript"/>
          <w:lang w:val="en_US" w:bidi="en_US"/>
        </w:rPr>
        <w:t>(plur)</w:t>
      </w:r>
      <w:r>
        <w:rPr>
          <w:lang w:val="en_US" w:bidi="en_US"/>
        </w:rPr>
        <w:t xml:space="preserve"> are out in the countryside, you should not </w:t>
      </w:r>
      <w:r>
        <w:rPr>
          <w:lang w:val="en_US" w:bidi="en_US"/>
        </w:rPr>
        <w:t>seek refuge</w:t>
      </w:r>
      <w:r>
        <w:rPr>
          <w:lang w:val="en_US" w:bidi="en_US"/>
        </w:rPr>
        <w:t xml:space="preserve"> in Jerusalem.</w:t>
      </w:r>
    </w:p>
    <w:p>
      <w:pPr/>
      <w:r>
        <w:rPr>
          <w:lang w:val="en_US" w:bidi="en_US"/>
        </w:rPr>
      </w:r>
      <w:r>
        <w:rPr>
          <w:b/>
          <w:lang w:val="en_US" w:bidi="en_US"/>
        </w:rPr>
        <w:t>let those in the country stay out of the city:</w:t>
      </w:r>
      <w:r>
        <w:rPr>
          <w:lang w:val="en_US" w:bidi="en_US"/>
        </w:rPr>
        <w:t xml:space="preserve"> This clause is a command that tells people what they must do. It means that anyone who is in the countryside must not come into the city. People who lived in the villages and fields around Jerusalem often tried to get inside the city in a time of danger. But at the future time when armies surround the city, people must not go into it.</w:t>
      </w:r>
    </w:p>
    <w:p>
      <w:pPr/>
      <w:r>
        <w:rPr>
          <w:lang w:val="en_US" w:bidi="en_US"/>
        </w:rPr>
      </w:r>
      <w:r>
        <w:rPr>
          <w:lang w:val="en_US" w:bidi="en_US"/>
        </w:rPr>
        <w:t>Other way to translate this command are:</w:t>
      </w:r>
    </w:p>
    <w:p>
      <w:pPr/>
      <w:r>
        <w:rPr>
          <w:lang w:val="en_US" w:bidi="en_US"/>
        </w:rPr>
      </w:r>
      <w:r>
        <w:rPr>
          <w:lang w:val="en_US" w:bidi="en_US"/>
        </w:rPr>
        <w:t>You who are in the fields must not enter the city.</w:t>
      </w:r>
    </w:p>
    <w:p>
      <w:pPr/>
      <w:r>
        <w:rPr>
          <w:lang w:val="en_US" w:bidi="en_US"/>
        </w:rPr>
      </w:r>
      <w:r>
        <w:rPr>
          <w:lang w:val="en_US" w:bidi="en_US"/>
        </w:rPr>
        <w:t>If you are in the countryside, do not come into Jerusalem.</w:t>
      </w:r>
    </w:p>
    <w:p>
      <w:pPr/>
      <w:r>
        <w:rPr>
          <w:lang w:val="en_US" w:bidi="en_US"/>
        </w:rPr>
      </w:r>
      <w:r>
        <w:rPr>
          <w:lang w:val="en_US" w:bidi="en_US"/>
        </w:rPr>
        <w:t>Those of you in the countryside must not come to the city.</w:t>
      </w:r>
      <w:r>
        <w:rPr>
          <w:lang w:val="en_US" w:bidi="en_US"/>
        </w:rPr>
      </w:r>
      <w:r>
        <w:rPr>
          <w:lang w:val="en_US" w:bidi="en_US"/>
        </w:rPr>
      </w:r>
    </w:p>
    <w:p>
      <w:pPr/>
      <w:r>
        <w:rPr>
          <w:lang w:val="en_US" w:bidi="en_US"/>
        </w:rPr>
      </w:r>
    </w:p>
    <w:p>
      <w:pPr>
        <w:pStyle w:val="Heading2"/>
      </w:pPr>
      <w:r>
        <w:rPr>
          <w:lang w:val="en_US" w:bidi="en_US"/>
        </w:rPr>
        <w:t>Luke 21:22</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4"/>
      </w:pPr>
      <w:r>
        <w:rPr>
          <w:lang w:val="en_US" w:bidi="en_US"/>
        </w:rPr>
        <w:t>Paragraph 21:20–24</w:t>
      </w:r>
    </w:p>
    <w:p>
      <w:pPr/>
      <w:r>
        <w:rPr>
          <w:lang w:val="en_US" w:bidi="en_US"/>
        </w:rPr>
      </w:r>
      <w:r>
        <w:rPr>
          <w:lang w:val="en_US" w:bidi="en_US"/>
        </w:rPr>
        <w:t>In this paragraph Jesus began a new topic. In 21:12–19 he had talked about the persecution that his disciples would endure before the end. In this paragraph Jesus talked about the future time when an army would attack the city of Jerusalem and destroy it.</w:t>
      </w:r>
      <w:r>
        <w:rPr>
          <w:lang w:val="en_US" w:bidi="en_US"/>
        </w:rPr>
        <w:t>It is possible that this passage will have two fulfillments. The first application referred to the time when the Romans destroyed Jerusalem in 70 A.D. This happened about forty years after people had crucified Jesus. Many Christians think that Jerusalem will be attacked again in the last days of this age. This would be a second fulfillment of this prediction.</w:t>
      </w:r>
      <w:r>
        <w:rPr>
          <w:lang w:val="en_US" w:bidi="en_US"/>
        </w:rPr>
        <w:t xml:space="preserve"> Jesus warned his disciples to escape when they saw armies gathering around Jerusalem.</w:t>
      </w:r>
    </w:p>
    <w:p>
      <w:pPr>
        <w:pStyle w:val="Heading5"/>
      </w:pPr>
      <w:r>
        <w:rPr>
          <w:lang w:val="en_US" w:bidi="en_US"/>
        </w:rPr>
        <w:t>21:22a</w:t>
      </w:r>
    </w:p>
    <w:p>
      <w:pPr/>
      <w:r>
        <w:rPr>
          <w:lang w:val="en_US" w:bidi="en_US"/>
        </w:rPr>
      </w:r>
      <w:r>
        <w:rPr>
          <w:b/>
          <w:lang w:val="en_US" w:bidi="en_US"/>
        </w:rPr>
        <w:t>For these are the days of vengeance,</w:t>
      </w:r>
    </w:p>
    <w:p>
      <w:pPr>
        <w:pStyle w:val="ListBullet"/>
        <w:spacing w:line="240" w:lineRule="auto"/>
        <w:ind w:left="720"/>
      </w:pPr>
      <w:r>
        <w:rPr>
          <w:lang w:val="en_US" w:bidi="en_US"/>
        </w:rPr>
      </w:r>
      <w:r>
        <w:rPr>
          <w:lang w:val="en_US" w:bidi="en_US"/>
        </w:rPr>
        <w:t>I say this</w:t>
      </w:r>
      <w:r>
        <w:rPr>
          <w:lang w:val="en_US" w:bidi="en_US"/>
        </w:rPr>
        <w:t xml:space="preserve"> because that will be the time of punishment </w:t>
      </w:r>
      <w:r>
        <w:rPr>
          <w:lang w:val="en_US" w:bidi="en_US"/>
        </w:rPr>
        <w:t>for sins</w:t>
      </w:r>
      <w:r>
        <w:rPr>
          <w:lang w:val="en_US" w:bidi="en_US"/>
        </w:rPr>
        <w:t>.</w:t>
      </w:r>
    </w:p>
    <w:p>
      <w:pPr>
        <w:pStyle w:val="ListBullet"/>
        <w:spacing w:line="240" w:lineRule="auto"/>
        <w:ind w:left="720"/>
      </w:pPr>
      <w:r>
        <w:rPr>
          <w:lang w:val="en_US" w:bidi="en_US"/>
        </w:rPr>
      </w:r>
      <w:r>
        <w:rPr>
          <w:lang w:val="en_US" w:bidi="en_US"/>
        </w:rPr>
        <w:t xml:space="preserve">For at this time </w:t>
      </w:r>
      <w:r>
        <w:rPr>
          <w:lang w:val="en_US" w:bidi="en_US"/>
        </w:rPr>
        <w:t>God</w:t>
      </w:r>
      <w:r>
        <w:rPr>
          <w:lang w:val="en_US" w:bidi="en_US"/>
        </w:rPr>
        <w:t xml:space="preserve"> will punish </w:t>
      </w:r>
      <w:r>
        <w:rPr>
          <w:lang w:val="en_US" w:bidi="en_US"/>
        </w:rPr>
        <w:t>the people of</w:t>
      </w:r>
      <w:r>
        <w:rPr>
          <w:lang w:val="en_US" w:bidi="en_US"/>
        </w:rPr>
        <w:t xml:space="preserve"> </w:t>
      </w:r>
      <w:r>
        <w:rPr>
          <w:lang w:val="en_US" w:bidi="en_US"/>
        </w:rPr>
        <w:t>Jerusalem</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basis or reason for the commands that Jesus gave in 21:21. Other ways to translate this conjunction are:</w:t>
      </w:r>
    </w:p>
    <w:p>
      <w:pPr/>
      <w:r>
        <w:rPr>
          <w:lang w:val="en_US" w:bidi="en_US"/>
        </w:rPr>
      </w:r>
      <w:r>
        <w:rPr>
          <w:lang w:val="en_US" w:bidi="en_US"/>
        </w:rPr>
        <w:t>because (NET)</w:t>
      </w:r>
    </w:p>
    <w:p>
      <w:pPr/>
      <w:r>
        <w:rPr>
          <w:lang w:val="en_US" w:bidi="en_US"/>
        </w:rPr>
      </w:r>
      <w:r>
        <w:rPr>
          <w:lang w:val="en_US" w:bidi="en_US"/>
        </w:rPr>
        <w:t>I say that</w:t>
      </w:r>
      <w:r>
        <w:rPr>
          <w:lang w:val="en_US" w:bidi="en_US"/>
        </w:rPr>
        <w:t xml:space="preserve"> because</w:t>
      </w:r>
    </w:p>
    <w:p>
      <w:pPr/>
      <w:r>
        <w:rPr>
          <w:lang w:val="en_US" w:bidi="en_US"/>
        </w:rPr>
      </w:r>
      <w:r>
        <w:rPr>
          <w:b/>
          <w:lang w:val="en_US" w:bidi="en_US"/>
        </w:rPr>
        <w:t>these are the days of vengeance:</w:t>
      </w:r>
      <w:r>
        <w:rPr>
          <w:lang w:val="en_US" w:bidi="en_US"/>
        </w:rPr>
        <w:t xml:space="preserve"> The Greek phrase that the BSB translates as </w:t>
      </w:r>
      <w:r>
        <w:rPr>
          <w:i/>
          <w:lang w:val="en_US" w:bidi="en_US"/>
        </w:rPr>
        <w:t>these are the days of vengeance</w:t>
      </w:r>
      <w:r>
        <w:rPr>
          <w:lang w:val="en_US" w:bidi="en_US"/>
        </w:rPr>
        <w:t xml:space="preserve"> is literally “days of vengeance these are.” The phrase </w:t>
      </w:r>
      <w:r>
        <w:rPr>
          <w:i/>
          <w:lang w:val="en_US" w:bidi="en_US"/>
        </w:rPr>
        <w:t>days of vengeance</w:t>
      </w:r>
      <w:r>
        <w:rPr>
          <w:lang w:val="en_US" w:bidi="en_US"/>
        </w:rPr>
        <w:t xml:space="preserve"> is emphasized.</w:t>
      </w:r>
    </w:p>
    <w:p>
      <w:pPr/>
      <w:r>
        <w:rPr>
          <w:lang w:val="en_US" w:bidi="en_US"/>
        </w:rPr>
      </w:r>
      <w:r>
        <w:rPr>
          <w:lang w:val="en_US" w:bidi="en_US"/>
        </w:rPr>
        <w:t xml:space="preserve">Prophets who lived during the time of the Old Testament warned that God would punish his people because they disobeyed him and rebelled against him. On some occasions God used the phrase </w:t>
      </w:r>
      <w:r>
        <w:rPr>
          <w:i/>
          <w:lang w:val="en_US" w:bidi="en_US"/>
        </w:rPr>
        <w:t>days of vengeance</w:t>
      </w:r>
      <w:r>
        <w:rPr>
          <w:lang w:val="en_US" w:bidi="en_US"/>
        </w:rPr>
        <w:t xml:space="preserve"> or “the day” to describe the time when He would punish His people. (See Hosea 9:7 and Malachi 4:1.) God would also specifically punish them for rejecting Jesus as the Christ/Messiah whom God had sent to them, as 19:44 indicates.</w:t>
      </w:r>
    </w:p>
    <w:p>
      <w:pPr/>
      <w:r>
        <w:rPr>
          <w:lang w:val="en_US" w:bidi="en_US"/>
        </w:rPr>
      </w:r>
      <w:r>
        <w:rPr>
          <w:lang w:val="en_US" w:bidi="en_US"/>
        </w:rPr>
        <w:t xml:space="preserve">In some languages it may be necessary to translate </w:t>
      </w:r>
      <w:r>
        <w:rPr>
          <w:i/>
          <w:lang w:val="en_US" w:bidi="en_US"/>
        </w:rPr>
        <w:t>vengeance</w:t>
      </w:r>
      <w:r>
        <w:rPr>
          <w:lang w:val="en_US" w:bidi="en_US"/>
        </w:rPr>
        <w:t xml:space="preserve"> as a verb and to make explicit both the subject and the object. For example:</w:t>
      </w:r>
    </w:p>
    <w:p>
      <w:pPr/>
      <w:r>
        <w:rPr>
          <w:lang w:val="en_US" w:bidi="en_US"/>
        </w:rPr>
      </w:r>
      <w:r>
        <w:rPr>
          <w:lang w:val="en_US" w:bidi="en_US"/>
        </w:rPr>
        <w:t xml:space="preserve">this is the time </w:t>
      </w:r>
      <w:r>
        <w:rPr>
          <w:lang w:val="en_US" w:bidi="en_US"/>
        </w:rPr>
        <w:t>when God</w:t>
      </w:r>
      <w:r>
        <w:rPr>
          <w:lang w:val="en_US" w:bidi="en_US"/>
        </w:rPr>
        <w:t xml:space="preserve"> will punish </w:t>
      </w:r>
      <w:r>
        <w:rPr>
          <w:lang w:val="en_US" w:bidi="en_US"/>
        </w:rPr>
        <w:t>the people of Jerusalem</w:t>
      </w:r>
    </w:p>
    <w:p>
      <w:pPr/>
      <w:r>
        <w:rPr>
          <w:lang w:val="en_US" w:bidi="en_US"/>
        </w:rPr>
      </w:r>
      <w:r>
        <w:rPr>
          <w:lang w:val="en_US" w:bidi="en_US"/>
        </w:rPr>
        <w:t xml:space="preserve">At this time </w:t>
      </w:r>
      <w:r>
        <w:rPr>
          <w:lang w:val="en_US" w:bidi="en_US"/>
        </w:rPr>
        <w:t>God</w:t>
      </w:r>
      <w:r>
        <w:rPr>
          <w:lang w:val="en_US" w:bidi="en_US"/>
        </w:rPr>
        <w:t xml:space="preserve"> will punish </w:t>
      </w:r>
      <w:r>
        <w:rPr>
          <w:lang w:val="en_US" w:bidi="en_US"/>
        </w:rPr>
        <w:t>people</w:t>
      </w:r>
    </w:p>
    <w:p>
      <w:pPr>
        <w:pStyle w:val="Heading5"/>
      </w:pPr>
      <w:r>
        <w:rPr>
          <w:lang w:val="en_US" w:bidi="en_US"/>
        </w:rPr>
        <w:t>21:22b</w:t>
      </w:r>
    </w:p>
    <w:p>
      <w:pPr/>
      <w:r>
        <w:rPr>
          <w:lang w:val="en_US" w:bidi="en_US"/>
        </w:rPr>
      </w:r>
      <w:r>
        <w:rPr>
          <w:b/>
          <w:lang w:val="en_US" w:bidi="en_US"/>
        </w:rPr>
        <w:t>to fulfill all that is written.</w:t>
      </w:r>
    </w:p>
    <w:p>
      <w:pPr>
        <w:pStyle w:val="ListBullet"/>
        <w:spacing w:line="240" w:lineRule="auto"/>
        <w:ind w:left="720"/>
      </w:pPr>
      <w:r>
        <w:rPr>
          <w:lang w:val="en_US" w:bidi="en_US"/>
        </w:rPr>
      </w:r>
      <w:r>
        <w:rPr>
          <w:lang w:val="en_US" w:bidi="en_US"/>
        </w:rPr>
        <w:t xml:space="preserve">This </w:t>
      </w:r>
      <w:r>
        <w:rPr>
          <w:lang w:val="en_US" w:bidi="en_US"/>
        </w:rPr>
        <w:t>punishment</w:t>
      </w:r>
      <w:r>
        <w:rPr>
          <w:lang w:val="en_US" w:bidi="en_US"/>
        </w:rPr>
        <w:t xml:space="preserve"> will fulfill all that </w:t>
      </w:r>
      <w:r>
        <w:rPr>
          <w:lang w:val="en_US" w:bidi="en_US"/>
        </w:rPr>
        <w:t>the prophets</w:t>
      </w:r>
      <w:r>
        <w:rPr>
          <w:lang w:val="en_US" w:bidi="en_US"/>
        </w:rPr>
        <w:t xml:space="preserve"> have written </w:t>
      </w:r>
      <w:r>
        <w:rPr>
          <w:lang w:val="en_US" w:bidi="en_US"/>
        </w:rPr>
        <w:t>about it</w:t>
      </w:r>
      <w:r>
        <w:rPr>
          <w:lang w:val="en_US" w:bidi="en_US"/>
        </w:rPr>
        <w:t>.</w:t>
      </w:r>
    </w:p>
    <w:p>
      <w:pPr>
        <w:pStyle w:val="ListBullet"/>
        <w:spacing w:line="240" w:lineRule="auto"/>
        <w:ind w:left="720"/>
      </w:pPr>
      <w:r>
        <w:rPr>
          <w:lang w:val="en_US" w:bidi="en_US"/>
        </w:rPr>
      </w:r>
      <w:r>
        <w:rPr>
          <w:lang w:val="en_US" w:bidi="en_US"/>
        </w:rPr>
        <w:t xml:space="preserve">and all </w:t>
      </w:r>
      <w:r>
        <w:rPr>
          <w:lang w:val="en_US" w:bidi="en_US"/>
        </w:rPr>
        <w:t>the warnings</w:t>
      </w:r>
      <w:r>
        <w:rPr>
          <w:lang w:val="en_US" w:bidi="en_US"/>
        </w:rPr>
        <w:t xml:space="preserve"> written </w:t>
      </w:r>
      <w:r>
        <w:rPr>
          <w:lang w:val="en_US" w:bidi="en_US"/>
        </w:rPr>
        <w:t>in the Scriptures</w:t>
      </w:r>
      <w:r>
        <w:rPr>
          <w:lang w:val="en_US" w:bidi="en_US"/>
        </w:rPr>
        <w:t xml:space="preserve"> will be proved true.</w:t>
      </w:r>
    </w:p>
    <w:p>
      <w:pPr/>
      <w:r>
        <w:rPr>
          <w:lang w:val="en_US" w:bidi="en_US"/>
        </w:rPr>
      </w:r>
      <w:r>
        <w:rPr>
          <w:b/>
          <w:lang w:val="en_US" w:bidi="en_US"/>
        </w:rPr>
        <w:t>to fulfill:</w:t>
      </w:r>
      <w:r>
        <w:rPr>
          <w:lang w:val="en_US" w:bidi="en_US"/>
        </w:rPr>
        <w:t xml:space="preserve"> The Greek verb that the BSB translates as </w:t>
      </w:r>
      <w:r>
        <w:rPr>
          <w:i/>
          <w:lang w:val="en_US" w:bidi="en_US"/>
        </w:rPr>
        <w:t>to fulfill</w:t>
      </w:r>
      <w:r>
        <w:rPr>
          <w:lang w:val="en_US" w:bidi="en_US"/>
        </w:rPr>
        <w:t xml:space="preserve"> is literally “are to be fulfilled.” The verb </w:t>
      </w:r>
      <w:r>
        <w:rPr>
          <w:i/>
          <w:lang w:val="en_US" w:bidi="en_US"/>
        </w:rPr>
        <w:t>fulfill</w:t>
      </w:r>
      <w:r>
        <w:rPr>
          <w:lang w:val="en_US" w:bidi="en_US"/>
        </w:rPr>
        <w:t xml:space="preserve"> means “to make/cause to truly happen.” Here it indicates that what happens during “the time of punishment/vengeance” will </w:t>
      </w:r>
      <w:r>
        <w:rPr>
          <w:u w:val="single"/>
          <w:lang w:val="en_US" w:bidi="en_US"/>
        </w:rPr>
        <w:t>cause</w:t>
      </w:r>
      <w:r>
        <w:rPr>
          <w:lang w:val="en_US" w:bidi="en_US"/>
        </w:rPr>
        <w:t xml:space="preserve"> everything that was written in the Scriptures about it </w:t>
      </w:r>
      <w:r>
        <w:rPr>
          <w:u w:val="single"/>
          <w:lang w:val="en_US" w:bidi="en_US"/>
        </w:rPr>
        <w:t>to happen as</w:t>
      </w:r>
      <w:r>
        <w:rPr>
          <w:lang w:val="en_US" w:bidi="en_US"/>
        </w:rPr>
        <w:t xml:space="preserve"> the Scriptures said. Other ways to translate this word are:</w:t>
      </w:r>
    </w:p>
    <w:p>
      <w:pPr/>
      <w:r>
        <w:rPr>
          <w:lang w:val="en_US" w:bidi="en_US"/>
        </w:rPr>
      </w:r>
      <w:r>
        <w:rPr>
          <w:lang w:val="en_US" w:bidi="en_US"/>
        </w:rPr>
        <w:t>to make come true (GNT)</w:t>
      </w:r>
    </w:p>
    <w:p>
      <w:pPr/>
      <w:r>
        <w:rPr>
          <w:lang w:val="en_US" w:bidi="en_US"/>
        </w:rPr>
      </w:r>
      <w:r>
        <w:rPr>
          <w:lang w:val="en_US" w:bidi="en_US"/>
        </w:rPr>
        <w:t>will come true (GW)</w:t>
      </w:r>
    </w:p>
    <w:p>
      <w:pPr/>
      <w:r>
        <w:rPr>
          <w:lang w:val="en_US" w:bidi="en_US"/>
        </w:rPr>
      </w:r>
      <w:r>
        <w:rPr>
          <w:lang w:val="en_US" w:bidi="en_US"/>
        </w:rPr>
        <w:t xml:space="preserve">so that </w:t>
      </w:r>
      <w:r>
        <w:rPr>
          <w:lang w:val="en_US" w:bidi="en_US"/>
        </w:rPr>
        <w:t>it</w:t>
      </w:r>
      <w:r>
        <w:rPr>
          <w:lang w:val="en_US" w:bidi="en_US"/>
        </w:rPr>
        <w:t xml:space="preserve"> may happen as predicted</w:t>
      </w:r>
    </w:p>
    <w:p>
      <w:pPr/>
      <w:r>
        <w:rPr>
          <w:lang w:val="en_US" w:bidi="en_US"/>
        </w:rPr>
      </w:r>
      <w:r>
        <w:rPr>
          <w:b/>
          <w:lang w:val="en_US" w:bidi="en_US"/>
        </w:rPr>
        <w:t>all that is written:</w:t>
      </w:r>
      <w:r>
        <w:rPr>
          <w:lang w:val="en_US" w:bidi="en_US"/>
        </w:rPr>
        <w:t xml:space="preserve"> The phrase </w:t>
      </w:r>
      <w:r>
        <w:rPr>
          <w:i/>
          <w:lang w:val="en_US" w:bidi="en_US"/>
        </w:rPr>
        <w:t>all that is written</w:t>
      </w:r>
      <w:r>
        <w:rPr>
          <w:lang w:val="en_US" w:bidi="en_US"/>
        </w:rPr>
        <w:t xml:space="preserve"> refers to everything that the prophets wrote in Scripture. It refers specifically here to all the writings about the time when armies would attack and destroy Jerusalem. Another way to translate this is:</w:t>
      </w:r>
    </w:p>
    <w:p>
      <w:pPr/>
      <w:r>
        <w:rPr>
          <w:lang w:val="en_US" w:bidi="en_US"/>
        </w:rPr>
      </w:r>
      <w:r>
        <w:rPr>
          <w:lang w:val="en_US" w:bidi="en_US"/>
        </w:rPr>
        <w:t xml:space="preserve">all that </w:t>
      </w:r>
      <w:r>
        <w:rPr>
          <w:lang w:val="en_US" w:bidi="en_US"/>
        </w:rPr>
        <w:t>the prophets</w:t>
      </w:r>
      <w:r>
        <w:rPr>
          <w:lang w:val="en_US" w:bidi="en_US"/>
        </w:rPr>
        <w:t xml:space="preserve"> wrote </w:t>
      </w:r>
      <w:r>
        <w:rPr>
          <w:lang w:val="en_US" w:bidi="en_US"/>
        </w:rPr>
        <w:t>about this</w:t>
      </w:r>
    </w:p>
    <w:p>
      <w:pPr/>
      <w:r>
        <w:rPr>
          <w:lang w:val="en_US" w:bidi="en_US"/>
        </w:rPr>
      </w:r>
      <w:r>
        <w:rPr>
          <w:lang w:val="en_US" w:bidi="en_US"/>
        </w:rPr>
        <w:t>Jesus may have been referring to passages such as 1 Kings 9:6–9, Daniel 9:26, Hosea 9:7 and Micah 3:12.</w:t>
      </w:r>
      <w:r>
        <w:rPr>
          <w:lang w:val="en_US" w:bidi="en_US"/>
        </w:rPr>
        <w:t>When the Babylonians and other enemies destroyed Jerusalem hundreds of years before Jesus’ time, that destruction partially fulfilled some OT prophecies. But Jesus spoke here about how such prophecies would be fulfilled perhaps in an even greater way when armies would again attack and destroy Jerusalem.</w:t>
      </w:r>
      <w:r>
        <w:rPr>
          <w:lang w:val="en_US" w:bidi="en_US"/>
        </w:rPr>
      </w:r>
      <w:r>
        <w:rPr>
          <w:lang w:val="en_US" w:bidi="en_US"/>
        </w:rPr>
      </w:r>
    </w:p>
    <w:p>
      <w:pPr/>
      <w:r>
        <w:rPr>
          <w:lang w:val="en_US" w:bidi="en_US"/>
        </w:rPr>
      </w:r>
    </w:p>
    <w:p>
      <w:pPr>
        <w:pStyle w:val="Heading2"/>
      </w:pPr>
      <w:r>
        <w:rPr>
          <w:lang w:val="en_US" w:bidi="en_US"/>
        </w:rPr>
        <w:t>Luke 21:23</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4"/>
      </w:pPr>
      <w:r>
        <w:rPr>
          <w:lang w:val="en_US" w:bidi="en_US"/>
        </w:rPr>
        <w:t>Paragraph 21:20–24</w:t>
      </w:r>
    </w:p>
    <w:p>
      <w:pPr/>
      <w:r>
        <w:rPr>
          <w:lang w:val="en_US" w:bidi="en_US"/>
        </w:rPr>
      </w:r>
      <w:r>
        <w:rPr>
          <w:lang w:val="en_US" w:bidi="en_US"/>
        </w:rPr>
        <w:t>In this paragraph Jesus began a new topic. In 21:12–19 he had talked about the persecution that his disciples would endure before the end. In this paragraph Jesus talked about the future time when an army would attack the city of Jerusalem and destroy it.</w:t>
      </w:r>
      <w:r>
        <w:rPr>
          <w:lang w:val="en_US" w:bidi="en_US"/>
        </w:rPr>
        <w:t>It is possible that this passage will have two fulfillments. The first application referred to the time when the Romans destroyed Jerusalem in 70 A.D. This happened about forty years after people had crucified Jesus. Many Christians think that Jerusalem will be attacked again in the last days of this age. This would be a second fulfillment of this prediction.</w:t>
      </w:r>
      <w:r>
        <w:rPr>
          <w:lang w:val="en_US" w:bidi="en_US"/>
        </w:rPr>
        <w:t xml:space="preserve"> Jesus warned his disciples to escape when they saw armies gathering around Jerusalem.</w:t>
      </w:r>
    </w:p>
    <w:p>
      <w:pPr>
        <w:pStyle w:val="Heading5"/>
      </w:pPr>
      <w:r>
        <w:rPr>
          <w:lang w:val="en_US" w:bidi="en_US"/>
        </w:rPr>
        <w:t>21:23a</w:t>
      </w:r>
    </w:p>
    <w:p>
      <w:pPr/>
      <w:r>
        <w:rPr>
          <w:lang w:val="en_US" w:bidi="en_US"/>
        </w:rPr>
      </w:r>
      <w:r>
        <w:rPr>
          <w:b/>
          <w:lang w:val="en_US" w:bidi="en_US"/>
        </w:rPr>
        <w:t>How miserable those days will be for pregnant and nursing mothers!</w:t>
      </w:r>
    </w:p>
    <w:p>
      <w:pPr>
        <w:pStyle w:val="ListBullet"/>
        <w:spacing w:line="240" w:lineRule="auto"/>
        <w:ind w:left="720"/>
      </w:pPr>
      <w:r>
        <w:rPr>
          <w:lang w:val="en_US" w:bidi="en_US"/>
        </w:rPr>
      </w:r>
      <w:r>
        <w:rPr>
          <w:lang w:val="en_US" w:bidi="en_US"/>
        </w:rPr>
        <w:t xml:space="preserve">What a terrible time that will be for women who are pregnant or breast-feeding </w:t>
      </w:r>
      <w:r>
        <w:rPr>
          <w:lang w:val="en_US" w:bidi="en_US"/>
        </w:rPr>
        <w:t>their babies</w:t>
      </w:r>
      <w:r>
        <w:rPr>
          <w:lang w:val="en_US" w:bidi="en_US"/>
        </w:rPr>
        <w:t>!</w:t>
      </w:r>
    </w:p>
    <w:p>
      <w:pPr>
        <w:pStyle w:val="ListBullet"/>
        <w:spacing w:line="240" w:lineRule="auto"/>
        <w:ind w:left="720"/>
      </w:pPr>
      <w:r>
        <w:rPr>
          <w:lang w:val="en_US" w:bidi="en_US"/>
        </w:rPr>
      </w:r>
      <w:r>
        <w:rPr>
          <w:lang w:val="en_US" w:bidi="en_US"/>
        </w:rPr>
        <w:t>Pity women who are expecting babies and mothers caring for infants in those days!</w:t>
      </w:r>
    </w:p>
    <w:p>
      <w:pPr>
        <w:pStyle w:val="ListBullet"/>
        <w:spacing w:line="240" w:lineRule="auto"/>
        <w:ind w:left="720"/>
      </w:pPr>
      <w:r>
        <w:rPr>
          <w:lang w:val="en_US" w:bidi="en_US"/>
        </w:rPr>
      </w:r>
      <w:r>
        <w:rPr>
          <w:lang w:val="en_US" w:bidi="en_US"/>
        </w:rPr>
        <w:t>Oh cry for the pregnant women and nursing mothers! Those days will be very hard for them!</w:t>
      </w:r>
    </w:p>
    <w:p>
      <w:pPr/>
      <w:r>
        <w:rPr>
          <w:lang w:val="en_US" w:bidi="en_US"/>
        </w:rPr>
      </w:r>
      <w:r>
        <w:rPr>
          <w:b/>
          <w:lang w:val="en_US" w:bidi="en_US"/>
        </w:rPr>
        <w:t>How miserable:</w:t>
      </w:r>
      <w:r>
        <w:rPr>
          <w:lang w:val="en_US" w:bidi="en_US"/>
        </w:rPr>
        <w:t xml:space="preserve"> The Greek word that the BSB translates as </w:t>
      </w:r>
      <w:r>
        <w:rPr>
          <w:i/>
          <w:lang w:val="en_US" w:bidi="en_US"/>
        </w:rPr>
        <w:t>How miserable</w:t>
      </w:r>
      <w:r>
        <w:rPr>
          <w:lang w:val="en_US" w:bidi="en_US"/>
        </w:rPr>
        <w:t xml:space="preserve"> is a lament. It is an exclamation of sorrow and pity. Some versions translate this Greek word with the English words “woe” (NRSV) or “alas” (RSV). Jesus lamented that it will be a terrible time for women who are pregnant or nursing babies. They will suffer greatly. Other ways to translate this lament are:</w:t>
      </w:r>
    </w:p>
    <w:p>
      <w:pPr/>
      <w:r>
        <w:rPr>
          <w:lang w:val="en_US" w:bidi="en_US"/>
        </w:rPr>
      </w:r>
      <w:r>
        <w:rPr>
          <w:lang w:val="en_US" w:bidi="en_US"/>
        </w:rPr>
        <w:t>How terrible…! (GNT)</w:t>
      </w:r>
    </w:p>
    <w:p>
      <w:pPr/>
      <w:r>
        <w:rPr>
          <w:lang w:val="en_US" w:bidi="en_US"/>
        </w:rPr>
      </w:r>
      <w:r>
        <w:rPr>
          <w:lang w:val="en_US" w:bidi="en_US"/>
        </w:rPr>
        <w:t>Greatly to be pitied are…</w:t>
      </w:r>
    </w:p>
    <w:p>
      <w:pPr/>
      <w:r>
        <w:rPr>
          <w:lang w:val="en_US" w:bidi="en_US"/>
        </w:rPr>
      </w:r>
      <w:r>
        <w:rPr>
          <w:lang w:val="en_US" w:bidi="en_US"/>
        </w:rPr>
        <w:t>Pity so much…</w:t>
      </w:r>
    </w:p>
    <w:p>
      <w:pPr/>
      <w:r>
        <w:rPr>
          <w:lang w:val="en_US" w:bidi="en_US"/>
        </w:rPr>
      </w:r>
      <w:r>
        <w:rPr>
          <w:lang w:val="en_US" w:bidi="en_US"/>
        </w:rPr>
        <w:t>Alas for…</w:t>
      </w:r>
    </w:p>
    <w:p>
      <w:pPr/>
      <w:r>
        <w:rPr>
          <w:lang w:val="en_US" w:bidi="en_US"/>
        </w:rPr>
      </w:r>
      <w:r>
        <w:rPr>
          <w:lang w:val="en_US" w:bidi="en_US"/>
        </w:rPr>
        <w:t>Languages have different ways to express laments like this. Express it in a natural way in your language.</w:t>
      </w:r>
    </w:p>
    <w:p>
      <w:pPr/>
      <w:r>
        <w:rPr>
          <w:lang w:val="en_US" w:bidi="en_US"/>
        </w:rPr>
      </w:r>
      <w:r>
        <w:rPr>
          <w:b/>
          <w:lang w:val="en_US" w:bidi="en_US"/>
        </w:rPr>
        <w:t>those days:</w:t>
      </w:r>
      <w:r>
        <w:rPr>
          <w:lang w:val="en_US" w:bidi="en_US"/>
        </w:rPr>
        <w:t xml:space="preserve"> The Greek phrase that the BSB translates as </w:t>
      </w:r>
      <w:r>
        <w:rPr>
          <w:i/>
          <w:lang w:val="en_US" w:bidi="en_US"/>
        </w:rPr>
        <w:t>those days</w:t>
      </w:r>
      <w:r>
        <w:rPr>
          <w:lang w:val="en_US" w:bidi="en_US"/>
        </w:rPr>
        <w:t xml:space="preserve"> refers to the time that Jesus spoke of in 21:20a–21:22b. At that time enemy armies will surround Jerusalem in order to attack and destroy it. Then people will have to leave Jerusalem and escape to the hills and mountains of Judea. Another way to translate this phrase is:</w:t>
      </w:r>
    </w:p>
    <w:p>
      <w:pPr/>
      <w:r>
        <w:rPr>
          <w:lang w:val="en_US" w:bidi="en_US"/>
        </w:rPr>
      </w:r>
      <w:r>
        <w:rPr>
          <w:lang w:val="en_US" w:bidi="en_US"/>
        </w:rPr>
        <w:t>at that time</w:t>
      </w:r>
    </w:p>
    <w:p>
      <w:pPr/>
      <w:r>
        <w:rPr>
          <w:lang w:val="en_US" w:bidi="en_US"/>
        </w:rPr>
      </w:r>
      <w:r>
        <w:rPr>
          <w:b/>
          <w:lang w:val="en_US" w:bidi="en_US"/>
        </w:rPr>
        <w:t>for pregnant and nursing mothers:</w:t>
      </w:r>
      <w:r>
        <w:rPr>
          <w:lang w:val="en_US" w:bidi="en_US"/>
        </w:rPr>
        <w:t xml:space="preserve"> It will be a terrible time for women who are expecting babies and for mothers taking care of infants. They will suffer greatly because it will be very hard for them to run away quickly. It will be hard for them to escape the armies that are coming to destroy Jerusalem.</w:t>
      </w:r>
    </w:p>
    <w:p>
      <w:pPr/>
      <w:r>
        <w:rPr>
          <w:lang w:val="en_US" w:bidi="en_US"/>
        </w:rPr>
      </w:r>
      <w:r>
        <w:rPr>
          <w:lang w:val="en_US" w:bidi="en_US"/>
        </w:rPr>
        <w:t xml:space="preserve">In some languages it may be necessary to use indirect expressions to refer to </w:t>
      </w:r>
      <w:r>
        <w:rPr>
          <w:i/>
          <w:lang w:val="en_US" w:bidi="en_US"/>
        </w:rPr>
        <w:t>pregnant</w:t>
      </w:r>
      <w:r>
        <w:rPr>
          <w:lang w:val="en_US" w:bidi="en_US"/>
        </w:rPr>
        <w:t xml:space="preserve"> women and </w:t>
      </w:r>
      <w:r>
        <w:rPr>
          <w:i/>
          <w:lang w:val="en_US" w:bidi="en_US"/>
        </w:rPr>
        <w:t>nursing mothers</w:t>
      </w:r>
      <w:r>
        <w:rPr>
          <w:lang w:val="en_US" w:bidi="en_US"/>
        </w:rPr>
        <w:t>. Use expressions that are suitable for public reading.</w:t>
      </w:r>
    </w:p>
    <w:p>
      <w:pPr/>
      <w:r>
        <w:rPr>
          <w:lang w:val="en_US" w:bidi="en_US"/>
        </w:rPr>
      </w:r>
      <w:r>
        <w:rPr>
          <w:b/>
          <w:lang w:val="en_US" w:bidi="en_US"/>
        </w:rPr>
        <w:t>nursing mothers:</w:t>
      </w:r>
      <w:r>
        <w:rPr>
          <w:lang w:val="en_US" w:bidi="en_US"/>
        </w:rPr>
        <w:t xml:space="preserve"> The Greek phrase that the BSB translates as </w:t>
      </w:r>
      <w:r>
        <w:rPr>
          <w:i/>
          <w:lang w:val="en_US" w:bidi="en_US"/>
        </w:rPr>
        <w:t>nursing mothers</w:t>
      </w:r>
      <w:r>
        <w:rPr>
          <w:lang w:val="en_US" w:bidi="en_US"/>
        </w:rPr>
        <w:t xml:space="preserve"> refers to women whose babies are still at the age when they nurse at the breast. But the important point here is not the act of breast-feeding. It is the fact that these mothers need to take care of an infant while they try to escape the armies. In some languages it may be natural to refer to this fact directly. For example:</w:t>
      </w:r>
    </w:p>
    <w:p>
      <w:pPr/>
      <w:r>
        <w:rPr>
          <w:lang w:val="en_US" w:bidi="en_US"/>
        </w:rPr>
      </w:r>
      <w:r>
        <w:rPr>
          <w:lang w:val="en_US" w:bidi="en_US"/>
        </w:rPr>
        <w:t>mothers with little babies (GNT)</w:t>
      </w:r>
    </w:p>
    <w:p>
      <w:pPr/>
      <w:r>
        <w:rPr>
          <w:lang w:val="en_US" w:bidi="en_US"/>
        </w:rPr>
      </w:r>
      <w:r>
        <w:rPr>
          <w:lang w:val="en_US" w:bidi="en_US"/>
        </w:rPr>
        <w:t>mothers taking care of infants</w:t>
      </w:r>
    </w:p>
    <w:p>
      <w:pPr>
        <w:pStyle w:val="Heading5"/>
      </w:pPr>
      <w:r>
        <w:rPr>
          <w:lang w:val="en_US" w:bidi="en_US"/>
        </w:rPr>
        <w:t>21:23b</w:t>
      </w:r>
    </w:p>
    <w:p>
      <w:pPr/>
      <w:r>
        <w:rPr>
          <w:lang w:val="en_US" w:bidi="en_US"/>
        </w:rPr>
      </w:r>
      <w:r>
        <w:rPr>
          <w:b/>
          <w:lang w:val="en_US" w:bidi="en_US"/>
        </w:rPr>
        <w:t>For there will be great distress upon the land</w:t>
      </w:r>
    </w:p>
    <w:p>
      <w:pPr>
        <w:pStyle w:val="ListBullet"/>
        <w:spacing w:line="240" w:lineRule="auto"/>
        <w:ind w:left="720"/>
      </w:pPr>
      <w:r>
        <w:rPr>
          <w:lang w:val="en_US" w:bidi="en_US"/>
        </w:rPr>
      </w:r>
      <w:r>
        <w:rPr>
          <w:lang w:val="en_US" w:bidi="en_US"/>
        </w:rPr>
        <w:t xml:space="preserve">In </w:t>
      </w:r>
      <w:r>
        <w:rPr>
          <w:lang w:val="en_US" w:bidi="en_US"/>
        </w:rPr>
        <w:t>this/our</w:t>
      </w:r>
      <w:r>
        <w:rPr>
          <w:vertAlign w:val="superscript"/>
          <w:lang w:val="en_US" w:bidi="en_US"/>
        </w:rPr>
        <w:t>(incl)</w:t>
      </w:r>
      <w:r>
        <w:rPr>
          <w:lang w:val="en_US" w:bidi="en_US"/>
        </w:rPr>
        <w:t xml:space="preserve"> land there will be terrible grief/suffering,</w:t>
      </w:r>
    </w:p>
    <w:p>
      <w:pPr>
        <w:pStyle w:val="ListBullet"/>
        <w:spacing w:line="240" w:lineRule="auto"/>
        <w:ind w:left="720"/>
      </w:pPr>
      <w:r>
        <w:rPr>
          <w:lang w:val="en_US" w:bidi="en_US"/>
        </w:rPr>
      </w:r>
      <w:r>
        <w:rPr>
          <w:lang w:val="en_US" w:bidi="en_US"/>
        </w:rPr>
        <w:t>People</w:t>
      </w:r>
      <w:r>
        <w:rPr>
          <w:lang w:val="en_US" w:bidi="en_US"/>
        </w:rPr>
        <w:t xml:space="preserve"> will suffer greatly in the land </w:t>
      </w:r>
      <w:r>
        <w:rPr>
          <w:lang w:val="en_US" w:bidi="en_US"/>
        </w:rPr>
        <w:t>of Judea/Israel</w:t>
      </w:r>
    </w:p>
    <w:p>
      <w:pPr/>
      <w:r>
        <w:rPr>
          <w:lang w:val="en_US" w:bidi="en_US"/>
        </w:rPr>
      </w:r>
      <w:r>
        <w:rPr>
          <w:b/>
          <w:lang w:val="en_US" w:bidi="en_US"/>
        </w:rPr>
        <w:t>For:</w:t>
      </w:r>
      <w:r>
        <w:rPr>
          <w:lang w:val="en_US" w:bidi="en_US"/>
        </w:rPr>
        <w:t xml:space="preserve"> In the Greek text, 21:23b begins with the conjunction that the BSB translates as </w:t>
      </w:r>
      <w:r>
        <w:rPr>
          <w:i/>
          <w:lang w:val="en_US" w:bidi="en_US"/>
        </w:rPr>
        <w:t>For</w:t>
      </w:r>
      <w:r>
        <w:rPr>
          <w:lang w:val="en_US" w:bidi="en_US"/>
        </w:rPr>
        <w:t>. Here it introduces the explanation for Jesus’ lament in 21:23a. Another way to translate this conjunction is:</w:t>
      </w:r>
    </w:p>
    <w:p>
      <w:pPr/>
      <w:r>
        <w:rPr>
          <w:lang w:val="en_US" w:bidi="en_US"/>
        </w:rPr>
      </w:r>
      <w:r>
        <w:rPr>
          <w:lang w:val="en_US" w:bidi="en_US"/>
        </w:rPr>
        <w:t>I say this</w:t>
      </w:r>
      <w:r>
        <w:rPr>
          <w:lang w:val="en_US" w:bidi="en_US"/>
        </w:rPr>
        <w:t xml:space="preserve"> because</w:t>
      </w:r>
    </w:p>
    <w:p>
      <w:pPr/>
      <w:r>
        <w:rPr>
          <w:lang w:val="en_US" w:bidi="en_US"/>
        </w:rPr>
      </w:r>
      <w:r>
        <w:rPr>
          <w:lang w:val="en_US" w:bidi="en_US"/>
        </w:rPr>
        <w:t>Some other English versions do not translate this conjunction. Begin the explanation in a natural way in your language.</w:t>
      </w:r>
    </w:p>
    <w:p>
      <w:pPr/>
      <w:r>
        <w:rPr>
          <w:lang w:val="en_US" w:bidi="en_US"/>
        </w:rPr>
      </w:r>
      <w:r>
        <w:rPr>
          <w:b/>
          <w:lang w:val="en_US" w:bidi="en_US"/>
        </w:rPr>
        <w:t>there will be great distress upon the land:</w:t>
      </w:r>
      <w:r>
        <w:rPr>
          <w:lang w:val="en_US" w:bidi="en_US"/>
        </w:rPr>
        <w:t xml:space="preserve"> This statement means that the people in the land will be greatly distressed. They will suffer terribly during the time when the armies surround Jerusalem and attack it. Another way to translate this clause is:</w:t>
      </w:r>
    </w:p>
    <w:p>
      <w:pPr/>
      <w:r>
        <w:rPr>
          <w:lang w:val="en_US" w:bidi="en_US"/>
        </w:rPr>
      </w:r>
      <w:r>
        <w:rPr>
          <w:lang w:val="en_US" w:bidi="en_US"/>
        </w:rPr>
        <w:t>Everywhere in the land people will suffer horribly (CEV)</w:t>
      </w:r>
    </w:p>
    <w:p>
      <w:pPr/>
      <w:r>
        <w:rPr>
          <w:lang w:val="en_US" w:bidi="en_US"/>
        </w:rPr>
      </w:r>
      <w:r>
        <w:rPr>
          <w:b/>
          <w:lang w:val="en_US" w:bidi="en_US"/>
        </w:rPr>
        <w:t>the land:</w:t>
      </w:r>
      <w:r>
        <w:rPr>
          <w:lang w:val="en_US" w:bidi="en_US"/>
        </w:rPr>
        <w:t xml:space="preserve"> The Greek phrase that the BSB translates as </w:t>
      </w:r>
      <w:r>
        <w:rPr>
          <w:i/>
          <w:lang w:val="en_US" w:bidi="en_US"/>
        </w:rPr>
        <w:t>the land</w:t>
      </w:r>
      <w:r>
        <w:rPr>
          <w:lang w:val="en_US" w:bidi="en_US"/>
        </w:rPr>
        <w:t xml:space="preserve"> refers primarily here to the land of Judea, the province in which the city of Jerusalem was located. Judea was mentioned in 21:21a. However, the suffering would affect the whole land of Israel, where the Jewish people lived.</w:t>
      </w:r>
    </w:p>
    <w:p>
      <w:pPr>
        <w:pStyle w:val="Heading5"/>
      </w:pPr>
      <w:r>
        <w:rPr>
          <w:lang w:val="en_US" w:bidi="en_US"/>
        </w:rPr>
        <w:t>21:23c</w:t>
      </w:r>
    </w:p>
    <w:p>
      <w:pPr/>
      <w:r>
        <w:rPr>
          <w:lang w:val="en_US" w:bidi="en_US"/>
        </w:rPr>
      </w:r>
      <w:r>
        <w:rPr>
          <w:b/>
          <w:lang w:val="en_US" w:bidi="en_US"/>
        </w:rPr>
        <w:t>and wrath against this people.</w:t>
      </w:r>
    </w:p>
    <w:p>
      <w:pPr>
        <w:pStyle w:val="ListBullet"/>
        <w:spacing w:line="240" w:lineRule="auto"/>
        <w:ind w:left="720"/>
      </w:pPr>
      <w:r>
        <w:rPr>
          <w:lang w:val="en_US" w:bidi="en_US"/>
        </w:rPr>
      </w:r>
      <w:r>
        <w:rPr>
          <w:lang w:val="en_US" w:bidi="en_US"/>
        </w:rPr>
        <w:t xml:space="preserve">as </w:t>
      </w:r>
      <w:r>
        <w:rPr>
          <w:lang w:val="en_US" w:bidi="en_US"/>
        </w:rPr>
        <w:t>God’s</w:t>
      </w:r>
      <w:r>
        <w:rPr>
          <w:lang w:val="en_US" w:bidi="en_US"/>
        </w:rPr>
        <w:t xml:space="preserve"> wrath/judgment falls on this people.</w:t>
      </w:r>
    </w:p>
    <w:p>
      <w:pPr>
        <w:pStyle w:val="ListBullet"/>
        <w:spacing w:line="240" w:lineRule="auto"/>
        <w:ind w:left="720"/>
      </w:pPr>
      <w:r>
        <w:rPr>
          <w:lang w:val="en_US" w:bidi="en_US"/>
        </w:rPr>
      </w:r>
      <w:r>
        <w:rPr>
          <w:lang w:val="en_US" w:bidi="en_US"/>
        </w:rPr>
        <w:t>because God</w:t>
      </w:r>
      <w:r>
        <w:rPr>
          <w:lang w:val="en_US" w:bidi="en_US"/>
        </w:rPr>
        <w:t xml:space="preserve"> will punish them.</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the cause of the distress in 21:23b. The people of Israel would experience great distress and suffering because God was angry with them. In some languages it may be more natural to use a different conjunction to connect 21:23b and 21:23c. Use a natural way to express the connection in your language. See the translation examples in the next note.</w:t>
      </w:r>
    </w:p>
    <w:p>
      <w:pPr/>
      <w:r>
        <w:rPr>
          <w:lang w:val="en_US" w:bidi="en_US"/>
        </w:rPr>
      </w:r>
      <w:r>
        <w:rPr>
          <w:b/>
          <w:lang w:val="en_US" w:bidi="en_US"/>
        </w:rPr>
        <w:t>wrath against this people:</w:t>
      </w:r>
      <w:r>
        <w:rPr>
          <w:lang w:val="en_US" w:bidi="en_US"/>
        </w:rPr>
        <w:t xml:space="preserve"> The Greek phrase that the BSB translates as </w:t>
      </w:r>
      <w:r>
        <w:rPr>
          <w:i/>
          <w:lang w:val="en_US" w:bidi="en_US"/>
        </w:rPr>
        <w:t>wrath against this people</w:t>
      </w:r>
      <w:r>
        <w:rPr>
          <w:lang w:val="en_US" w:bidi="en_US"/>
        </w:rPr>
        <w:t xml:space="preserve"> refers to God’s anger toward the Jewish people because of their sins. It also refers to the way he would punish them by allowing the soldiers to attack them and kill many of them. Some other ways to translate this are:</w:t>
      </w:r>
    </w:p>
    <w:p>
      <w:pPr/>
      <w:r>
        <w:rPr>
          <w:lang w:val="en_US" w:bidi="en_US"/>
        </w:rPr>
      </w:r>
      <w:r>
        <w:rPr>
          <w:lang w:val="en_US" w:bidi="en_US"/>
        </w:rPr>
        <w:t xml:space="preserve">and in his anger </w:t>
      </w:r>
      <w:r>
        <w:rPr>
          <w:lang w:val="en_US" w:bidi="en_US"/>
        </w:rPr>
        <w:t>God</w:t>
      </w:r>
      <w:r>
        <w:rPr>
          <w:lang w:val="en_US" w:bidi="en_US"/>
        </w:rPr>
        <w:t xml:space="preserve"> </w:t>
      </w:r>
      <w:r>
        <w:rPr>
          <w:lang w:val="en_US" w:bidi="en_US"/>
        </w:rPr>
        <w:t>will punish</w:t>
      </w:r>
      <w:r>
        <w:rPr>
          <w:lang w:val="en_US" w:bidi="en_US"/>
        </w:rPr>
        <w:t xml:space="preserve"> this people</w:t>
      </w:r>
    </w:p>
    <w:p>
      <w:pPr/>
      <w:r>
        <w:rPr>
          <w:lang w:val="en_US" w:bidi="en_US"/>
        </w:rPr>
      </w:r>
      <w:r>
        <w:rPr>
          <w:lang w:val="en_US" w:bidi="en_US"/>
        </w:rPr>
        <w:t xml:space="preserve">as </w:t>
      </w:r>
      <w:r>
        <w:rPr>
          <w:lang w:val="en_US" w:bidi="en_US"/>
        </w:rPr>
        <w:t>God</w:t>
      </w:r>
      <w:r>
        <w:rPr>
          <w:lang w:val="en_US" w:bidi="en_US"/>
        </w:rPr>
        <w:t xml:space="preserve"> shows his anger against his people</w:t>
      </w:r>
    </w:p>
    <w:p>
      <w:pPr/>
      <w:r>
        <w:rPr>
          <w:lang w:val="en_US" w:bidi="en_US"/>
        </w:rPr>
      </w:r>
      <w:r>
        <w:rPr>
          <w:lang w:val="en_US" w:bidi="en_US"/>
        </w:rPr>
        <w:t>there will be</w:t>
      </w:r>
      <w:r>
        <w:rPr>
          <w:lang w:val="en_US" w:bidi="en_US"/>
        </w:rPr>
        <w:t xml:space="preserve"> wrath against this people</w:t>
      </w:r>
    </w:p>
    <w:p>
      <w:pPr/>
      <w:r>
        <w:rPr>
          <w:lang w:val="en_US" w:bidi="en_US"/>
        </w:rPr>
      </w:r>
      <w:r>
        <w:rPr>
          <w:lang w:val="en_US" w:bidi="en_US"/>
        </w:rPr>
        <w:t>Translate this phrase in a way that is natural in your language.</w:t>
      </w:r>
      <w:r>
        <w:rPr>
          <w:lang w:val="en_US" w:bidi="en_US"/>
        </w:rPr>
      </w:r>
      <w:r>
        <w:rPr>
          <w:lang w:val="en_US" w:bidi="en_US"/>
        </w:rPr>
      </w:r>
    </w:p>
    <w:p>
      <w:pPr/>
      <w:r>
        <w:rPr>
          <w:lang w:val="en_US" w:bidi="en_US"/>
        </w:rPr>
      </w:r>
    </w:p>
    <w:p>
      <w:pPr>
        <w:pStyle w:val="Heading2"/>
      </w:pPr>
      <w:r>
        <w:rPr>
          <w:lang w:val="en_US" w:bidi="en_US"/>
        </w:rPr>
        <w:t>Luke 21:24</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4"/>
      </w:pPr>
      <w:r>
        <w:rPr>
          <w:lang w:val="en_US" w:bidi="en_US"/>
        </w:rPr>
        <w:t>Paragraph 21:20–24</w:t>
      </w:r>
    </w:p>
    <w:p>
      <w:pPr/>
      <w:r>
        <w:rPr>
          <w:lang w:val="en_US" w:bidi="en_US"/>
        </w:rPr>
      </w:r>
      <w:r>
        <w:rPr>
          <w:lang w:val="en_US" w:bidi="en_US"/>
        </w:rPr>
        <w:t>In this paragraph Jesus began a new topic. In 21:12–19 he had talked about the persecution that his disciples would endure before the end. In this paragraph Jesus talked about the future time when an army would attack the city of Jerusalem and destroy it.</w:t>
      </w:r>
      <w:r>
        <w:rPr>
          <w:lang w:val="en_US" w:bidi="en_US"/>
        </w:rPr>
        <w:t>It is possible that this passage will have two fulfillments. The first application referred to the time when the Romans destroyed Jerusalem in 70 A.D. This happened about forty years after people had crucified Jesus. Many Christians think that Jerusalem will be attacked again in the last days of this age. This would be a second fulfillment of this prediction.</w:t>
      </w:r>
      <w:r>
        <w:rPr>
          <w:lang w:val="en_US" w:bidi="en_US"/>
        </w:rPr>
        <w:t xml:space="preserve"> Jesus warned his disciples to escape when they saw armies gathering around Jerusalem.</w:t>
      </w:r>
    </w:p>
    <w:p>
      <w:pPr>
        <w:pStyle w:val="Heading5"/>
      </w:pPr>
      <w:r>
        <w:rPr>
          <w:lang w:val="en_US" w:bidi="en_US"/>
        </w:rPr>
        <w:t>21:24a</w:t>
      </w:r>
    </w:p>
    <w:p>
      <w:pPr/>
      <w:r>
        <w:rPr>
          <w:lang w:val="en_US" w:bidi="en_US"/>
        </w:rPr>
      </w:r>
      <w:r>
        <w:rPr>
          <w:b/>
          <w:lang w:val="en_US" w:bidi="en_US"/>
        </w:rPr>
        <w:t>They will fall by the edge of the sword</w:t>
      </w:r>
    </w:p>
    <w:p>
      <w:pPr>
        <w:pStyle w:val="ListBullet"/>
        <w:spacing w:line="240" w:lineRule="auto"/>
        <w:ind w:left="720"/>
      </w:pPr>
      <w:r>
        <w:rPr>
          <w:lang w:val="en_US" w:bidi="en_US"/>
        </w:rPr>
      </w:r>
      <w:r>
        <w:rPr>
          <w:lang w:val="en_US" w:bidi="en_US"/>
        </w:rPr>
        <w:t>Some of</w:t>
      </w:r>
      <w:r>
        <w:rPr>
          <w:lang w:val="en_US" w:bidi="en_US"/>
        </w:rPr>
        <w:t xml:space="preserve"> them will be killed </w:t>
      </w:r>
      <w:r>
        <w:rPr>
          <w:lang w:val="en_US" w:bidi="en_US"/>
        </w:rPr>
        <w:t>by soldiers</w:t>
      </w:r>
      <w:r>
        <w:rPr>
          <w:lang w:val="en_US" w:bidi="en_US"/>
        </w:rPr>
        <w:t xml:space="preserve"> with swords,</w:t>
      </w:r>
    </w:p>
    <w:p>
      <w:pPr>
        <w:pStyle w:val="ListBullet"/>
        <w:spacing w:line="240" w:lineRule="auto"/>
        <w:ind w:left="720"/>
      </w:pPr>
      <w:r>
        <w:rPr>
          <w:lang w:val="en_US" w:bidi="en_US"/>
        </w:rPr>
      </w:r>
      <w:r>
        <w:rPr>
          <w:lang w:val="en_US" w:bidi="en_US"/>
        </w:rPr>
        <w:t xml:space="preserve">The </w:t>
      </w:r>
      <w:r>
        <w:rPr>
          <w:lang w:val="en_US" w:bidi="en_US"/>
        </w:rPr>
        <w:t>enemy soldiers</w:t>
      </w:r>
      <w:r>
        <w:rPr>
          <w:lang w:val="en_US" w:bidi="en_US"/>
        </w:rPr>
        <w:t xml:space="preserve"> will kill </w:t>
      </w:r>
      <w:r>
        <w:rPr>
          <w:lang w:val="en_US" w:bidi="en_US"/>
        </w:rPr>
        <w:t>many</w:t>
      </w:r>
      <w:r>
        <w:rPr>
          <w:lang w:val="en_US" w:bidi="en_US"/>
        </w:rPr>
        <w:t xml:space="preserve"> of them,</w:t>
      </w:r>
    </w:p>
    <w:p>
      <w:pPr/>
      <w:r>
        <w:rPr>
          <w:lang w:val="en_US" w:bidi="en_US"/>
        </w:rPr>
      </w:r>
      <w:r>
        <w:rPr>
          <w:b/>
          <w:lang w:val="en_US" w:bidi="en_US"/>
        </w:rPr>
        <w:t>They will fall by the edge of the sword:</w:t>
      </w:r>
      <w:r>
        <w:rPr>
          <w:lang w:val="en_US" w:bidi="en_US"/>
        </w:rPr>
        <w:t xml:space="preserve"> The Greek clause that the BSB translates as </w:t>
      </w:r>
      <w:r>
        <w:rPr>
          <w:i/>
          <w:lang w:val="en_US" w:bidi="en_US"/>
        </w:rPr>
        <w:t>They will fall by the edge of the sword</w:t>
      </w:r>
      <w:r>
        <w:rPr>
          <w:lang w:val="en_US" w:bidi="en_US"/>
        </w:rPr>
        <w:t xml:space="preserve"> is literally “and they will fall by the mouth of the sword.” This is a figure of speech that refers to people being killed in battle. Here it indicates that enemy soldiers would attack and kill many Jewish people. In many languages this figure of speech may not have the right meaning. If that is true in your language, some other ways to translate it are:</w:t>
      </w:r>
    </w:p>
    <w:p>
      <w:pPr>
        <w:pStyle w:val="ListBullet"/>
        <w:spacing w:line="240" w:lineRule="auto"/>
        <w:ind w:left="720"/>
      </w:pPr>
      <w:r>
        <w:rPr>
          <w:lang w:val="en_US" w:bidi="en_US"/>
        </w:rPr>
      </w:r>
      <w:r>
        <w:rPr>
          <w:lang w:val="en_US" w:bidi="en_US"/>
        </w:rPr>
        <w:t>Translate the meaning without the figure of speech. You can translate the verb as either active or passive. For example:</w:t>
      </w:r>
      <w:r>
        <w:rPr>
          <w:lang w:val="en_US" w:bidi="en_US"/>
        </w:rPr>
        <w:t>They will be killed by the sword (NCV)</w:t>
      </w:r>
      <w:r>
        <w:rPr>
          <w:lang w:val="en_US" w:bidi="en_US"/>
        </w:rPr>
        <w:t>Soldiers</w:t>
      </w:r>
      <w:r>
        <w:rPr>
          <w:lang w:val="en_US" w:bidi="en_US"/>
        </w:rPr>
        <w:t xml:space="preserve"> will kill them</w:t>
      </w:r>
    </w:p>
    <w:p>
      <w:pPr>
        <w:pStyle w:val="ListBullet"/>
        <w:spacing w:line="240" w:lineRule="auto"/>
        <w:ind w:left="720"/>
      </w:pPr>
      <w:r>
        <w:rPr>
          <w:lang w:val="en_US" w:bidi="en_US"/>
        </w:rPr>
      </w:r>
      <w:r>
        <w:rPr>
          <w:lang w:val="en_US" w:bidi="en_US"/>
        </w:rPr>
        <w:t>Use a different figure of speech with the same meaning. For example:</w:t>
      </w:r>
      <w:r>
        <w:rPr>
          <w:lang w:val="en_US" w:bidi="en_US"/>
        </w:rPr>
        <w:t>Swords will cut them down (GW)</w:t>
      </w:r>
    </w:p>
    <w:p>
      <w:pPr/>
      <w:r>
        <w:rPr>
          <w:lang w:val="en_US" w:bidi="en_US"/>
        </w:rPr>
      </w:r>
      <w:r>
        <w:rPr>
          <w:lang w:val="en_US" w:bidi="en_US"/>
        </w:rPr>
        <w:t>Translate the meaning in a natural way in your language.</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or “them” (CEV) refers here to many, but not all, of the Jewish people. In some languages it is necessary to make this explicit. For example:</w:t>
      </w:r>
    </w:p>
    <w:p>
      <w:pPr/>
      <w:r>
        <w:rPr>
          <w:lang w:val="en_US" w:bidi="en_US"/>
        </w:rPr>
      </w:r>
      <w:r>
        <w:rPr>
          <w:lang w:val="en_US" w:bidi="en_US"/>
        </w:rPr>
        <w:t>Some of them will be killed by swords. (CEV)</w:t>
      </w:r>
    </w:p>
    <w:p>
      <w:pPr/>
      <w:r>
        <w:rPr>
          <w:lang w:val="en_US" w:bidi="en_US"/>
        </w:rPr>
      </w:r>
      <w:r>
        <w:rPr>
          <w:b/>
          <w:lang w:val="en_US" w:bidi="en_US"/>
        </w:rPr>
        <w:t>by the edge of the sword:</w:t>
      </w:r>
      <w:r>
        <w:rPr>
          <w:lang w:val="en_US" w:bidi="en_US"/>
        </w:rPr>
        <w:t xml:space="preserve"> The Greek phrase that the BSB translates as </w:t>
      </w:r>
      <w:r>
        <w:rPr>
          <w:i/>
          <w:lang w:val="en_US" w:bidi="en_US"/>
        </w:rPr>
        <w:t>by the edge of the sword</w:t>
      </w:r>
      <w:r>
        <w:rPr>
          <w:lang w:val="en_US" w:bidi="en_US"/>
        </w:rPr>
        <w:t xml:space="preserve"> is literally “by the mouth of the sword.” This phrase is a figure of speech that refers to the “sharp edge” or “point” of a sword. Enemy soldiers would fight and kill many Jews with swords and other weapons.</w:t>
      </w:r>
    </w:p>
    <w:p>
      <w:pPr/>
      <w:r>
        <w:rPr>
          <w:lang w:val="en_US" w:bidi="en_US"/>
        </w:rPr>
      </w:r>
      <w:r>
        <w:rPr>
          <w:b/>
          <w:lang w:val="en_US" w:bidi="en_US"/>
        </w:rPr>
        <w:t>sword:</w:t>
      </w:r>
      <w:r>
        <w:rPr>
          <w:lang w:val="en_US" w:bidi="en_US"/>
        </w:rPr>
        <w:t xml:space="preserve"> The Greek word that the BSB translates as </w:t>
      </w:r>
      <w:r>
        <w:rPr>
          <w:i/>
          <w:lang w:val="en_US" w:bidi="en_US"/>
        </w:rPr>
        <w:t>sword</w:t>
      </w:r>
      <w:r>
        <w:rPr>
          <w:lang w:val="en_US" w:bidi="en_US"/>
        </w:rPr>
        <w:t xml:space="preserve"> was the main weapon that soldiers used during the first century. Roman swords were large straight metal knives with two sharp edges.</w:t>
      </w:r>
    </w:p>
    <w:p>
      <w:pPr>
        <w:pStyle w:val="Heading5"/>
      </w:pPr>
      <w:r>
        <w:rPr>
          <w:lang w:val="en_US" w:bidi="en_US"/>
        </w:rPr>
        <w:t>21:24b</w:t>
      </w:r>
    </w:p>
    <w:p>
      <w:pPr/>
      <w:r>
        <w:rPr>
          <w:lang w:val="en_US" w:bidi="en_US"/>
        </w:rPr>
      </w:r>
      <w:r>
        <w:rPr>
          <w:b/>
          <w:lang w:val="en_US" w:bidi="en_US"/>
        </w:rPr>
        <w:t>and be led captive into all the nations.</w:t>
      </w:r>
    </w:p>
    <w:p>
      <w:pPr>
        <w:pStyle w:val="ListBullet"/>
        <w:spacing w:line="240" w:lineRule="auto"/>
        <w:ind w:left="720"/>
      </w:pPr>
      <w:r>
        <w:rPr>
          <w:lang w:val="en_US" w:bidi="en_US"/>
        </w:rPr>
      </w:r>
      <w:r>
        <w:rPr>
          <w:lang w:val="en_US" w:bidi="en_US"/>
        </w:rPr>
        <w:t xml:space="preserve">and </w:t>
      </w:r>
      <w:r>
        <w:rPr>
          <w:lang w:val="en_US" w:bidi="en_US"/>
        </w:rPr>
        <w:t>others</w:t>
      </w:r>
      <w:r>
        <w:rPr>
          <w:lang w:val="en_US" w:bidi="en_US"/>
        </w:rPr>
        <w:t xml:space="preserve"> will be captured and taken away to many foreign countries/nations.</w:t>
      </w:r>
    </w:p>
    <w:p>
      <w:pPr>
        <w:pStyle w:val="ListBullet"/>
        <w:spacing w:line="240" w:lineRule="auto"/>
        <w:ind w:left="720"/>
      </w:pPr>
      <w:r>
        <w:rPr>
          <w:lang w:val="en_US" w:bidi="en_US"/>
        </w:rPr>
      </w:r>
      <w:r>
        <w:rPr>
          <w:lang w:val="en_US" w:bidi="en_US"/>
        </w:rPr>
        <w:t xml:space="preserve">and they will take </w:t>
      </w:r>
      <w:r>
        <w:rPr>
          <w:lang w:val="en_US" w:bidi="en_US"/>
        </w:rPr>
        <w:t>others</w:t>
      </w:r>
      <w:r>
        <w:rPr>
          <w:lang w:val="en_US" w:bidi="en_US"/>
        </w:rPr>
        <w:t xml:space="preserve"> as prisoners, </w:t>
      </w:r>
      <w:r>
        <w:rPr>
          <w:lang w:val="en_US" w:bidi="en_US"/>
        </w:rPr>
        <w:t>dispersing them</w:t>
      </w:r>
      <w:r>
        <w:rPr>
          <w:lang w:val="en_US" w:bidi="en_US"/>
        </w:rPr>
        <w:t xml:space="preserve"> throughout the other nations.</w:t>
      </w:r>
    </w:p>
    <w:p>
      <w:pPr/>
      <w:r>
        <w:rPr>
          <w:lang w:val="en_US" w:bidi="en_US"/>
        </w:rPr>
      </w:r>
      <w:r>
        <w:rPr>
          <w:b/>
          <w:lang w:val="en_US" w:bidi="en_US"/>
        </w:rPr>
        <w:t>and be led captive into all the nations:</w:t>
      </w:r>
      <w:r>
        <w:rPr>
          <w:lang w:val="en_US" w:bidi="en_US"/>
        </w:rPr>
        <w:t xml:space="preserve"> This clause tells something that will happen to many other Jews, who will not be killed. In some languages it may be helpful to make this explicit. For example:</w:t>
      </w:r>
    </w:p>
    <w:p>
      <w:pPr/>
      <w:r>
        <w:rPr>
          <w:lang w:val="en_US" w:bidi="en_US"/>
        </w:rPr>
      </w:r>
      <w:r>
        <w:rPr>
          <w:lang w:val="en_US" w:bidi="en_US"/>
        </w:rPr>
        <w:t xml:space="preserve">and </w:t>
      </w:r>
      <w:r>
        <w:rPr>
          <w:lang w:val="en_US" w:bidi="en_US"/>
        </w:rPr>
        <w:t>many others</w:t>
      </w:r>
      <w:r>
        <w:rPr>
          <w:lang w:val="en_US" w:bidi="en_US"/>
        </w:rPr>
        <w:t xml:space="preserve"> will be taken as prisoners to many foreign countries</w:t>
      </w:r>
    </w:p>
    <w:p>
      <w:pPr/>
      <w:r>
        <w:rPr>
          <w:lang w:val="en_US" w:bidi="en_US"/>
        </w:rPr>
      </w:r>
      <w:r>
        <w:rPr>
          <w:lang w:val="en_US" w:bidi="en_US"/>
        </w:rPr>
        <w:t xml:space="preserve">Since 21:24a and 21:24b are alternatives, both events could not happen to the same people. It some languages, it is more natural to use a conjunction like “or” instead of </w:t>
      </w:r>
      <w:r>
        <w:rPr>
          <w:i/>
          <w:lang w:val="en_US" w:bidi="en_US"/>
        </w:rPr>
        <w:t>and</w:t>
      </w:r>
      <w:r>
        <w:rPr>
          <w:lang w:val="en_US" w:bidi="en_US"/>
        </w:rPr>
        <w:t>. For example:</w:t>
      </w:r>
    </w:p>
    <w:p>
      <w:pPr/>
      <w:r>
        <w:rPr>
          <w:lang w:val="en_US" w:bidi="en_US"/>
        </w:rPr>
      </w:r>
      <w:r>
        <w:rPr>
          <w:lang w:val="en_US" w:bidi="en_US"/>
        </w:rPr>
        <w:t>or will be led away captive all over the world</w:t>
      </w:r>
    </w:p>
    <w:p>
      <w:pPr/>
      <w:r>
        <w:rPr>
          <w:lang w:val="en_US" w:bidi="en_US"/>
        </w:rPr>
      </w:r>
      <w:r>
        <w:rPr>
          <w:b/>
          <w:lang w:val="en_US" w:bidi="en_US"/>
        </w:rPr>
        <w:t>be led captive:</w:t>
      </w:r>
      <w:r>
        <w:rPr>
          <w:lang w:val="en_US" w:bidi="en_US"/>
        </w:rPr>
        <w:t xml:space="preserve"> The Greek verb that the BSB translates as </w:t>
      </w:r>
      <w:r>
        <w:rPr>
          <w:i/>
          <w:lang w:val="en_US" w:bidi="en_US"/>
        </w:rPr>
        <w:t>be led captive</w:t>
      </w:r>
      <w:r>
        <w:rPr>
          <w:lang w:val="en_US" w:bidi="en_US"/>
        </w:rPr>
        <w:t xml:space="preserve"> is literally “they will be led captive.” This verb is passive. It implies that many Jews will be captured and taken from their homeland to other places as prisoners.</w:t>
      </w:r>
    </w:p>
    <w:p>
      <w:pPr/>
      <w:r>
        <w:rPr>
          <w:lang w:val="en_US" w:bidi="en_US"/>
        </w:rPr>
      </w:r>
      <w:r>
        <w:rPr>
          <w:lang w:val="en_US" w:bidi="en_US"/>
        </w:rPr>
        <w:t>In some languages it may be more natural to use an active verb and supply a subject. For example:</w:t>
      </w:r>
    </w:p>
    <w:p>
      <w:pPr/>
      <w:r>
        <w:rPr>
          <w:lang w:val="en_US" w:bidi="en_US"/>
        </w:rPr>
      </w:r>
      <w:r>
        <w:rPr>
          <w:lang w:val="en_US" w:bidi="en_US"/>
        </w:rPr>
        <w:t xml:space="preserve">and/or </w:t>
      </w:r>
      <w:r>
        <w:rPr>
          <w:lang w:val="en_US" w:bidi="en_US"/>
        </w:rPr>
        <w:t>the soldiers</w:t>
      </w:r>
      <w:r>
        <w:rPr>
          <w:lang w:val="en_US" w:bidi="en_US"/>
        </w:rPr>
        <w:t xml:space="preserve"> will capture them and lead them to many distant lands</w:t>
      </w:r>
    </w:p>
    <w:p>
      <w:pPr/>
      <w:r>
        <w:rPr>
          <w:lang w:val="en_US" w:bidi="en_US"/>
        </w:rPr>
      </w:r>
      <w:r>
        <w:rPr>
          <w:b/>
          <w:lang w:val="en_US" w:bidi="en_US"/>
        </w:rPr>
        <w:t>all the nations:</w:t>
      </w:r>
      <w:r>
        <w:rPr>
          <w:lang w:val="en_US" w:bidi="en_US"/>
        </w:rPr>
        <w:t xml:space="preserve"> The phrase </w:t>
      </w:r>
      <w:r>
        <w:rPr>
          <w:i/>
          <w:lang w:val="en_US" w:bidi="en_US"/>
        </w:rPr>
        <w:t>all the nations</w:t>
      </w:r>
      <w:r>
        <w:rPr>
          <w:lang w:val="en_US" w:bidi="en_US"/>
        </w:rPr>
        <w:t xml:space="preserve"> refers to many other countries. However, it does not literally refer to every country in the world. In some languages it may be helpful to translate this as:</w:t>
      </w:r>
    </w:p>
    <w:p>
      <w:pPr/>
      <w:r>
        <w:rPr>
          <w:lang w:val="en_US" w:bidi="en_US"/>
        </w:rPr>
      </w:r>
      <w:r>
        <w:rPr>
          <w:lang w:val="en_US" w:bidi="en_US"/>
        </w:rPr>
        <w:t>into many different/foreign countries</w:t>
      </w:r>
    </w:p>
    <w:p>
      <w:pPr>
        <w:pStyle w:val="Heading5"/>
      </w:pPr>
      <w:r>
        <w:rPr>
          <w:lang w:val="en_US" w:bidi="en_US"/>
        </w:rPr>
        <w:t>21:24c</w:t>
      </w:r>
    </w:p>
    <w:p>
      <w:pPr/>
      <w:r>
        <w:rPr>
          <w:lang w:val="en_US" w:bidi="en_US"/>
        </w:rPr>
      </w:r>
      <w:r>
        <w:rPr>
          <w:b/>
          <w:lang w:val="en_US" w:bidi="en_US"/>
        </w:rPr>
        <w:t>And Jerusalem will be trodden down by the Gentiles,</w:t>
      </w:r>
    </w:p>
    <w:p>
      <w:pPr>
        <w:pStyle w:val="ListBullet"/>
        <w:spacing w:line="240" w:lineRule="auto"/>
        <w:ind w:left="720"/>
      </w:pPr>
      <w:r>
        <w:rPr>
          <w:lang w:val="en_US" w:bidi="en_US"/>
        </w:rPr>
      </w:r>
      <w:r>
        <w:rPr>
          <w:lang w:val="en_US" w:bidi="en_US"/>
        </w:rPr>
        <w:t>Gentiles will trample/tread on Jerusalem</w:t>
      </w:r>
    </w:p>
    <w:p>
      <w:pPr>
        <w:pStyle w:val="ListBullet"/>
        <w:spacing w:line="240" w:lineRule="auto"/>
        <w:ind w:left="720"/>
      </w:pPr>
      <w:r>
        <w:rPr>
          <w:lang w:val="en_US" w:bidi="en_US"/>
        </w:rPr>
      </w:r>
      <w:r>
        <w:rPr>
          <w:lang w:val="en_US" w:bidi="en_US"/>
        </w:rPr>
        <w:t xml:space="preserve">The non-Jewish nations/peoples will rampage through </w:t>
      </w:r>
      <w:r>
        <w:rPr>
          <w:lang w:val="en_US" w:bidi="en_US"/>
        </w:rPr>
        <w:t>the city of</w:t>
      </w:r>
      <w:r>
        <w:rPr>
          <w:lang w:val="en_US" w:bidi="en_US"/>
        </w:rPr>
        <w:t xml:space="preserve"> Jerusalem</w:t>
      </w:r>
    </w:p>
    <w:p>
      <w:pPr>
        <w:pStyle w:val="ListBullet"/>
        <w:spacing w:line="240" w:lineRule="auto"/>
        <w:ind w:left="720"/>
      </w:pPr>
      <w:r>
        <w:rPr>
          <w:lang w:val="en_US" w:bidi="en_US"/>
        </w:rPr>
      </w:r>
      <w:r>
        <w:rPr>
          <w:lang w:val="en_US" w:bidi="en_US"/>
        </w:rPr>
        <w:t>The Gentile nations will conquer Jerusalem and oppress its people</w:t>
      </w:r>
    </w:p>
    <w:p>
      <w:pPr/>
      <w:r>
        <w:rPr>
          <w:lang w:val="en_US" w:bidi="en_US"/>
        </w:rPr>
      </w:r>
      <w:r>
        <w:rPr>
          <w:b/>
          <w:lang w:val="en_US" w:bidi="en_US"/>
        </w:rPr>
        <w:t>And Jerusalem will be trodden down by the Gentiles:</w:t>
      </w:r>
      <w:r>
        <w:rPr>
          <w:lang w:val="en_US" w:bidi="en_US"/>
        </w:rPr>
        <w:t xml:space="preserve"> In this context the Greek verb that the BSB translates as </w:t>
      </w:r>
      <w:r>
        <w:rPr>
          <w:i/>
          <w:lang w:val="en_US" w:bidi="en_US"/>
        </w:rPr>
        <w:t>will be trodden down</w:t>
      </w:r>
      <w:r>
        <w:rPr>
          <w:lang w:val="en_US" w:bidi="en_US"/>
        </w:rPr>
        <w:t xml:space="preserve"> refers to “walking or treading heavily with the feet.” It implies an intent to damage what is walked on. Here the phrase is used in a figurative way. It implies that the Gentiles/nations who conquer Jerusalem will walk the streets of the city, treating it and its people with contempt.</w:t>
      </w:r>
    </w:p>
    <w:p>
      <w:pPr/>
      <w:r>
        <w:rPr>
          <w:lang w:val="en_US" w:bidi="en_US"/>
        </w:rPr>
      </w:r>
      <w:r>
        <w:rPr>
          <w:lang w:val="en_US" w:bidi="en_US"/>
        </w:rPr>
        <w:t xml:space="preserve">The clause </w:t>
      </w:r>
      <w:r>
        <w:rPr>
          <w:i/>
          <w:lang w:val="en_US" w:bidi="en_US"/>
        </w:rPr>
        <w:t>Jerusalem will be trodden down by the Gentiles</w:t>
      </w:r>
      <w:r>
        <w:rPr>
          <w:lang w:val="en_US" w:bidi="en_US"/>
        </w:rPr>
        <w:t xml:space="preserve"> is passive. In many languages it may be necessary to translate it as an active clause. For example:</w:t>
      </w:r>
    </w:p>
    <w:p>
      <w:pPr/>
      <w:r>
        <w:rPr>
          <w:lang w:val="en_US" w:bidi="en_US"/>
        </w:rPr>
      </w:r>
      <w:r>
        <w:rPr>
          <w:lang w:val="en_US" w:bidi="en_US"/>
        </w:rPr>
        <w:t>The Gentiles will trample Jerusalem</w:t>
      </w:r>
    </w:p>
    <w:p>
      <w:pPr/>
      <w:r>
        <w:rPr>
          <w:lang w:val="en_US" w:bidi="en_US"/>
        </w:rPr>
      </w:r>
      <w:r>
        <w:rPr>
          <w:lang w:val="en_US" w:bidi="en_US"/>
        </w:rPr>
        <w:t>The Gentile nations will tread/tramp abusively through the city</w:t>
      </w:r>
    </w:p>
    <w:p>
      <w:pPr/>
      <w:r>
        <w:rPr>
          <w:lang w:val="en_US" w:bidi="en_US"/>
        </w:rPr>
      </w:r>
      <w:r>
        <w:rPr>
          <w:b/>
          <w:lang w:val="en_US" w:bidi="en_US"/>
        </w:rPr>
        <w:t>Gentiles:</w:t>
      </w:r>
      <w:r>
        <w:rPr>
          <w:lang w:val="en_US" w:bidi="en_US"/>
        </w:rPr>
        <w:t xml:space="preserve"> The Greek word that the BSB translates as </w:t>
      </w:r>
      <w:r>
        <w:rPr>
          <w:i/>
          <w:lang w:val="en_US" w:bidi="en_US"/>
        </w:rPr>
        <w:t>Gentiles</w:t>
      </w:r>
      <w:r>
        <w:rPr>
          <w:lang w:val="en_US" w:bidi="en_US"/>
        </w:rPr>
        <w:t xml:space="preserve"> means “nations.” Here it obviously refers to other nations that do not include the Jewish nation (Israel). Other ways to translate it are:</w:t>
      </w:r>
    </w:p>
    <w:p>
      <w:pPr/>
      <w:r>
        <w:rPr>
          <w:lang w:val="en_US" w:bidi="en_US"/>
        </w:rPr>
      </w:r>
      <w:r>
        <w:rPr>
          <w:lang w:val="en_US" w:bidi="en_US"/>
        </w:rPr>
        <w:t>Nations (GW)</w:t>
      </w:r>
    </w:p>
    <w:p>
      <w:pPr/>
      <w:r>
        <w:rPr>
          <w:lang w:val="en_US" w:bidi="en_US"/>
        </w:rPr>
      </w:r>
      <w:r>
        <w:rPr>
          <w:lang w:val="en_US" w:bidi="en_US"/>
        </w:rPr>
        <w:t>non-Jewish people (NCV)</w:t>
      </w:r>
    </w:p>
    <w:p>
      <w:pPr>
        <w:pStyle w:val="Heading5"/>
      </w:pPr>
      <w:r>
        <w:rPr>
          <w:lang w:val="en_US" w:bidi="en_US"/>
        </w:rPr>
        <w:t>21:24d</w:t>
      </w:r>
    </w:p>
    <w:p>
      <w:pPr/>
      <w:r>
        <w:rPr>
          <w:lang w:val="en_US" w:bidi="en_US"/>
        </w:rPr>
      </w:r>
      <w:r>
        <w:rPr>
          <w:b/>
          <w:lang w:val="en_US" w:bidi="en_US"/>
        </w:rPr>
        <w:t>until the times of the Gentiles are fulfilled.</w:t>
      </w:r>
    </w:p>
    <w:p>
      <w:pPr>
        <w:pStyle w:val="ListBullet"/>
        <w:spacing w:line="240" w:lineRule="auto"/>
        <w:ind w:left="720"/>
      </w:pPr>
      <w:r>
        <w:rPr>
          <w:lang w:val="en_US" w:bidi="en_US"/>
        </w:rPr>
      </w:r>
      <w:r>
        <w:rPr>
          <w:lang w:val="en_US" w:bidi="en_US"/>
        </w:rPr>
        <w:t>until their times are completed.</w:t>
      </w:r>
    </w:p>
    <w:p>
      <w:pPr>
        <w:pStyle w:val="ListBullet"/>
        <w:spacing w:line="240" w:lineRule="auto"/>
        <w:ind w:left="720"/>
      </w:pPr>
      <w:r>
        <w:rPr>
          <w:lang w:val="en_US" w:bidi="en_US"/>
        </w:rPr>
      </w:r>
      <w:r>
        <w:rPr>
          <w:lang w:val="en_US" w:bidi="en_US"/>
        </w:rPr>
        <w:t xml:space="preserve">until the time </w:t>
      </w:r>
      <w:r>
        <w:rPr>
          <w:lang w:val="en_US" w:bidi="en_US"/>
        </w:rPr>
        <w:t>that God has allotted/given</w:t>
      </w:r>
      <w:r>
        <w:rPr>
          <w:lang w:val="en_US" w:bidi="en_US"/>
        </w:rPr>
        <w:t xml:space="preserve"> to these nations/peoples end.</w:t>
      </w:r>
    </w:p>
    <w:p>
      <w:pPr>
        <w:pStyle w:val="ListBullet"/>
        <w:spacing w:line="240" w:lineRule="auto"/>
        <w:ind w:left="720"/>
      </w:pPr>
      <w:r>
        <w:rPr>
          <w:lang w:val="en_US" w:bidi="en_US"/>
        </w:rPr>
      </w:r>
      <w:r>
        <w:rPr>
          <w:lang w:val="en_US" w:bidi="en_US"/>
        </w:rPr>
        <w:t xml:space="preserve">until the time/age of their </w:t>
      </w:r>
      <w:r>
        <w:rPr>
          <w:lang w:val="en_US" w:bidi="en_US"/>
        </w:rPr>
        <w:t>power/rule</w:t>
      </w:r>
      <w:r>
        <w:rPr>
          <w:lang w:val="en_US" w:bidi="en_US"/>
        </w:rPr>
        <w:t xml:space="preserve"> is completed.</w:t>
      </w:r>
    </w:p>
    <w:p>
      <w:pPr/>
      <w:r>
        <w:rPr>
          <w:lang w:val="en_US" w:bidi="en_US"/>
        </w:rPr>
      </w:r>
      <w:r>
        <w:rPr>
          <w:b/>
          <w:lang w:val="en_US" w:bidi="en_US"/>
        </w:rPr>
        <w:t>until the times of the Gentiles are fulfilled:</w:t>
      </w:r>
      <w:r>
        <w:rPr>
          <w:lang w:val="en_US" w:bidi="en_US"/>
        </w:rPr>
        <w:t xml:space="preserve"> The Greek phrase that the BSB translates as </w:t>
      </w:r>
      <w:r>
        <w:rPr>
          <w:i/>
          <w:lang w:val="en_US" w:bidi="en_US"/>
        </w:rPr>
        <w:t>the times of the Gentiles</w:t>
      </w:r>
      <w:r>
        <w:rPr>
          <w:lang w:val="en_US" w:bidi="en_US"/>
        </w:rPr>
        <w:t xml:space="preserve"> refers to the period of time that God has allotted/given to the Gentile nations. This context probably implies that it is the period of time when God will allow them to control Jerusalem.</w:t>
      </w:r>
      <w:r>
        <w:rPr>
          <w:lang w:val="en_US" w:bidi="en_US"/>
        </w:rPr>
        <w:t>Marshall (p. 773) says, “The period is one of gentile domination of the city, but a limit is set to it, namely the fulfillment of an allotted time, here called the times of the nations.” However, Green (p. 739) believes that a more general domination is in view. He says, “In this case, ‘the times of the Gentiles’ would mark a temporary season in which the Gentiles would occupy center stage in God’s purpose, after which the spotlight would return to Jerusalem.”</w:t>
      </w:r>
      <w:r>
        <w:rPr>
          <w:lang w:val="en_US" w:bidi="en_US"/>
        </w:rPr>
        <w:t xml:space="preserve"> Other ways to translate this are:</w:t>
      </w:r>
    </w:p>
    <w:p>
      <w:pPr/>
      <w:r>
        <w:rPr>
          <w:lang w:val="en_US" w:bidi="en_US"/>
        </w:rPr>
      </w:r>
      <w:r>
        <w:rPr>
          <w:lang w:val="en_US" w:bidi="en_US"/>
        </w:rPr>
        <w:t>until their time is over (NCV)</w:t>
      </w:r>
    </w:p>
    <w:p>
      <w:pPr/>
      <w:r>
        <w:rPr>
          <w:lang w:val="en_US" w:bidi="en_US"/>
        </w:rPr>
      </w:r>
      <w:r>
        <w:rPr>
          <w:lang w:val="en_US" w:bidi="en_US"/>
        </w:rPr>
        <w:t xml:space="preserve">until the times allowed for the nations </w:t>
      </w:r>
      <w:r>
        <w:rPr>
          <w:lang w:val="en_US" w:bidi="en_US"/>
        </w:rPr>
        <w:t>to do this</w:t>
      </w:r>
      <w:r>
        <w:rPr>
          <w:lang w:val="en_US" w:bidi="en_US"/>
        </w:rPr>
        <w:t xml:space="preserve"> are over (GW)</w:t>
      </w:r>
    </w:p>
    <w:p>
      <w:pPr/>
      <w:r>
        <w:rPr>
          <w:lang w:val="en_US" w:bidi="en_US"/>
        </w:rPr>
      </w:r>
      <w:r>
        <w:rPr>
          <w:lang w:val="en_US" w:bidi="en_US"/>
        </w:rPr>
        <w:t xml:space="preserve">until the time that </w:t>
      </w:r>
      <w:r>
        <w:rPr>
          <w:lang w:val="en_US" w:bidi="en_US"/>
        </w:rPr>
        <w:t>God</w:t>
      </w:r>
      <w:r>
        <w:rPr>
          <w:lang w:val="en_US" w:bidi="en_US"/>
        </w:rPr>
        <w:t xml:space="preserve"> </w:t>
      </w:r>
      <w:r>
        <w:rPr>
          <w:lang w:val="en_US" w:bidi="en_US"/>
        </w:rPr>
        <w:t>has given/allotted</w:t>
      </w:r>
      <w:r>
        <w:rPr>
          <w:lang w:val="en_US" w:bidi="en_US"/>
        </w:rPr>
        <w:t xml:space="preserve"> to the nations is completed</w:t>
      </w:r>
    </w:p>
    <w:p>
      <w:pPr/>
      <w:r>
        <w:rPr>
          <w:lang w:val="en_US" w:bidi="en_US"/>
        </w:rPr>
      </w:r>
      <w:r>
        <w:rPr>
          <w:b/>
          <w:lang w:val="en_US" w:bidi="en_US"/>
        </w:rPr>
        <w:t>are fulfilled:</w:t>
      </w:r>
      <w:r>
        <w:rPr>
          <w:lang w:val="en_US" w:bidi="en_US"/>
        </w:rPr>
        <w:t xml:space="preserve"> The Greek word that the BSB translates as </w:t>
      </w:r>
      <w:r>
        <w:rPr>
          <w:i/>
          <w:lang w:val="en_US" w:bidi="en_US"/>
        </w:rPr>
        <w:t>are fulfilled</w:t>
      </w:r>
      <w:r>
        <w:rPr>
          <w:lang w:val="en_US" w:bidi="en_US"/>
        </w:rPr>
        <w:t xml:space="preserve"> means “have come to an end” or “have been completed.” This word implies that some purpose has been fulfilled.</w:t>
      </w:r>
      <w:r>
        <w:rPr>
          <w:lang w:val="en_US" w:bidi="en_US"/>
        </w:rPr>
      </w:r>
      <w:r>
        <w:rPr>
          <w:lang w:val="en_US" w:bidi="en_US"/>
        </w:rPr>
      </w:r>
    </w:p>
    <w:p>
      <w:pPr/>
      <w:r>
        <w:rPr>
          <w:lang w:val="en_US" w:bidi="en_US"/>
        </w:rPr>
      </w:r>
    </w:p>
    <w:p>
      <w:pPr>
        <w:pStyle w:val="Heading2"/>
      </w:pPr>
      <w:r>
        <w:rPr>
          <w:lang w:val="en_US" w:bidi="en_US"/>
        </w:rPr>
        <w:t>Luke 21:25</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21:25a</w:t>
      </w:r>
    </w:p>
    <w:p>
      <w:pPr/>
      <w:r>
        <w:rPr>
          <w:lang w:val="en_US" w:bidi="en_US"/>
        </w:rPr>
      </w:r>
      <w:r>
        <w:rPr>
          <w:b/>
          <w:lang w:val="en_US" w:bidi="en_US"/>
        </w:rPr>
        <w:t>There will be signs in the sun and moon and stars,</w:t>
      </w:r>
    </w:p>
    <w:p>
      <w:pPr>
        <w:pStyle w:val="ListBullet"/>
        <w:spacing w:line="240" w:lineRule="auto"/>
        <w:ind w:left="720"/>
      </w:pPr>
      <w:r>
        <w:rPr>
          <w:lang w:val="en_US" w:bidi="en_US"/>
        </w:rPr>
      </w:r>
      <w:r>
        <w:rPr>
          <w:lang w:val="en_US" w:bidi="en_US"/>
        </w:rPr>
        <w:t>¶ “Signs will appear/happen in the sun, moon, and stars.</w:t>
      </w:r>
    </w:p>
    <w:p>
      <w:pPr>
        <w:pStyle w:val="ListBullet"/>
        <w:spacing w:line="240" w:lineRule="auto"/>
        <w:ind w:left="720"/>
      </w:pPr>
      <w:r>
        <w:rPr>
          <w:lang w:val="en_US" w:bidi="en_US"/>
        </w:rPr>
      </w:r>
      <w:r>
        <w:rPr>
          <w:lang w:val="en_US" w:bidi="en_US"/>
        </w:rPr>
        <w:t xml:space="preserve">¶ “Strange sights in the sun, moon, stars will show </w:t>
      </w:r>
      <w:r>
        <w:rPr>
          <w:lang w:val="en_US" w:bidi="en_US"/>
        </w:rPr>
        <w:t>that something important/terrible is about to happen</w:t>
      </w:r>
      <w:r>
        <w:rPr>
          <w:lang w:val="en_US" w:bidi="en_US"/>
        </w:rPr>
        <w:t>.</w:t>
      </w:r>
    </w:p>
    <w:p>
      <w:pPr>
        <w:pStyle w:val="ListBullet"/>
        <w:spacing w:line="240" w:lineRule="auto"/>
        <w:ind w:left="720"/>
      </w:pPr>
      <w:r>
        <w:rPr>
          <w:lang w:val="en_US" w:bidi="en_US"/>
        </w:rPr>
      </w:r>
      <w:r>
        <w:rPr>
          <w:lang w:val="en_US" w:bidi="en_US"/>
        </w:rPr>
        <w:t xml:space="preserve">¶ “Strange events </w:t>
      </w:r>
      <w:r>
        <w:rPr>
          <w:lang w:val="en_US" w:bidi="en_US"/>
        </w:rPr>
        <w:t>in the heavens</w:t>
      </w:r>
      <w:r>
        <w:rPr>
          <w:lang w:val="en_US" w:bidi="en_US"/>
        </w:rPr>
        <w:t xml:space="preserve"> will affect the sun, moon, and stars, signaling that </w:t>
      </w:r>
      <w:r>
        <w:rPr>
          <w:lang w:val="en_US" w:bidi="en_US"/>
        </w:rPr>
        <w:t>the end is near</w:t>
      </w:r>
      <w:r>
        <w:rPr>
          <w:lang w:val="en_US" w:bidi="en_US"/>
        </w:rPr>
        <w:t>.</w:t>
      </w:r>
    </w:p>
    <w:p>
      <w:pPr/>
      <w:r>
        <w:rPr>
          <w:lang w:val="en_US" w:bidi="en_US"/>
        </w:rPr>
      </w:r>
      <w:r>
        <w:rPr>
          <w:b/>
          <w:lang w:val="en_US" w:bidi="en_US"/>
        </w:rPr>
        <w:t>There will be signs in the sun and moon and stars:</w:t>
      </w:r>
      <w:r>
        <w:rPr>
          <w:lang w:val="en_US" w:bidi="en_US"/>
        </w:rPr>
        <w:t xml:space="preserve"> The word </w:t>
      </w:r>
      <w:r>
        <w:rPr>
          <w:i/>
          <w:lang w:val="en_US" w:bidi="en_US"/>
        </w:rPr>
        <w:t>signs</w:t>
      </w:r>
      <w:r>
        <w:rPr>
          <w:lang w:val="en_US" w:bidi="en_US"/>
        </w:rPr>
        <w:t xml:space="preserve"> here refers to unusual and significant sights or events that will happen to the sun, moon, and stars. These signs will indicate that God will soon do something very important. The text implies that the signs will cause people to be afraid. For more information, see the note on “sign” in 21:7b.</w:t>
      </w:r>
    </w:p>
    <w:p>
      <w:pPr/>
      <w:r>
        <w:rPr>
          <w:lang w:val="en_US" w:bidi="en_US"/>
        </w:rPr>
      </w:r>
      <w:r>
        <w:rPr>
          <w:lang w:val="en_US" w:bidi="en_US"/>
        </w:rPr>
        <w:t>Some other ways to translate this clause are:</w:t>
      </w:r>
    </w:p>
    <w:p>
      <w:pPr/>
      <w:r>
        <w:rPr>
          <w:lang w:val="en_US" w:bidi="en_US"/>
        </w:rPr>
      </w:r>
      <w:r>
        <w:rPr>
          <w:lang w:val="en_US" w:bidi="en_US"/>
        </w:rPr>
        <w:t>Miraculous signs will occur in the sun, moon, and stars. (GW)</w:t>
      </w:r>
    </w:p>
    <w:p>
      <w:pPr/>
      <w:r>
        <w:rPr>
          <w:lang w:val="en_US" w:bidi="en_US"/>
        </w:rPr>
      </w:r>
      <w:r>
        <w:rPr>
          <w:lang w:val="en_US" w:bidi="en_US"/>
        </w:rPr>
        <w:t>Strange things will happen to the sun, moon, and stars. (CEV)</w:t>
      </w:r>
    </w:p>
    <w:p>
      <w:pPr/>
      <w:r>
        <w:rPr>
          <w:lang w:val="en_US" w:bidi="en_US"/>
        </w:rPr>
      </w:r>
      <w:r>
        <w:rPr>
          <w:lang w:val="en_US" w:bidi="en_US"/>
        </w:rPr>
        <w:t>The parallel passages in Matthew 24:29 and Mark 13:24–25 say that the sun and moon will become dark and the stars will fall from the sky. See also Isaiah 34:4 and Joel 2:30–31.</w:t>
      </w:r>
    </w:p>
    <w:p>
      <w:pPr>
        <w:pStyle w:val="Heading5"/>
      </w:pPr>
      <w:r>
        <w:rPr>
          <w:lang w:val="en_US" w:bidi="en_US"/>
        </w:rPr>
        <w:t>21:25b</w:t>
      </w:r>
    </w:p>
    <w:p>
      <w:pPr/>
      <w:r>
        <w:rPr>
          <w:lang w:val="en_US" w:bidi="en_US"/>
        </w:rPr>
      </w:r>
      <w:r>
        <w:rPr>
          <w:b/>
          <w:lang w:val="en_US" w:bidi="en_US"/>
        </w:rPr>
        <w:t>and on the earth dismay among the nations,</w:t>
      </w:r>
    </w:p>
    <w:p>
      <w:pPr>
        <w:pStyle w:val="ListBullet"/>
        <w:spacing w:line="240" w:lineRule="auto"/>
        <w:ind w:left="720"/>
      </w:pPr>
      <w:r>
        <w:rPr>
          <w:lang w:val="en_US" w:bidi="en_US"/>
        </w:rPr>
      </w:r>
      <w:r>
        <w:rPr>
          <w:lang w:val="en_US" w:bidi="en_US"/>
        </w:rPr>
        <w:t xml:space="preserve">On the earth, countries will be in </w:t>
      </w:r>
      <w:r>
        <w:rPr>
          <w:lang w:val="en_US" w:bidi="en_US"/>
        </w:rPr>
        <w:t>great</w:t>
      </w:r>
      <w:r>
        <w:rPr>
          <w:lang w:val="en_US" w:bidi="en_US"/>
        </w:rPr>
        <w:t xml:space="preserve"> distress</w:t>
      </w:r>
    </w:p>
    <w:p>
      <w:pPr>
        <w:pStyle w:val="ListBullet"/>
        <w:spacing w:line="240" w:lineRule="auto"/>
        <w:ind w:left="720"/>
      </w:pPr>
      <w:r>
        <w:rPr>
          <w:lang w:val="en_US" w:bidi="en_US"/>
        </w:rPr>
      </w:r>
      <w:r>
        <w:rPr>
          <w:lang w:val="en_US" w:bidi="en_US"/>
        </w:rPr>
        <w:t>The people of</w:t>
      </w:r>
      <w:r>
        <w:rPr>
          <w:lang w:val="en_US" w:bidi="en_US"/>
        </w:rPr>
        <w:t xml:space="preserve"> countries all around the world will be dismayed</w:t>
      </w:r>
    </w:p>
    <w:p>
      <w:pPr/>
      <w:r>
        <w:rPr>
          <w:lang w:val="en_US" w:bidi="en_US"/>
        </w:rPr>
      </w:r>
      <w:r>
        <w:rPr>
          <w:b/>
          <w:lang w:val="en_US" w:bidi="en_US"/>
        </w:rPr>
        <w:t>and on the earth:</w:t>
      </w:r>
      <w:r>
        <w:rPr>
          <w:lang w:val="en_US" w:bidi="en_US"/>
        </w:rPr>
        <w:t xml:space="preserve"> The phrase </w:t>
      </w:r>
      <w:r>
        <w:rPr>
          <w:i/>
          <w:lang w:val="en_US" w:bidi="en_US"/>
        </w:rPr>
        <w:t>on the earth</w:t>
      </w:r>
      <w:r>
        <w:rPr>
          <w:lang w:val="en_US" w:bidi="en_US"/>
        </w:rPr>
        <w:t xml:space="preserve"> refers to the whole earth, the world in general.</w:t>
      </w:r>
    </w:p>
    <w:p>
      <w:pPr/>
      <w:r>
        <w:rPr>
          <w:lang w:val="en_US" w:bidi="en_US"/>
        </w:rPr>
      </w:r>
      <w:r>
        <w:rPr>
          <w:b/>
          <w:lang w:val="en_US" w:bidi="en_US"/>
        </w:rPr>
        <w:t>dismay among the nations:</w:t>
      </w:r>
      <w:r>
        <w:rPr>
          <w:lang w:val="en_US" w:bidi="en_US"/>
        </w:rPr>
        <w:t xml:space="preserve"> This phrase uses an ellipsis. The words “will be” are implied from 21:25a. For example:</w:t>
      </w:r>
    </w:p>
    <w:p>
      <w:pPr/>
      <w:r>
        <w:rPr>
          <w:lang w:val="en_US" w:bidi="en_US"/>
        </w:rPr>
      </w:r>
      <w:r>
        <w:rPr>
          <w:lang w:val="en_US" w:bidi="en_US"/>
        </w:rPr>
        <w:t xml:space="preserve">and on the earth dismay </w:t>
      </w:r>
      <w:r>
        <w:rPr>
          <w:lang w:val="en_US" w:bidi="en_US"/>
        </w:rPr>
        <w:t>will be</w:t>
      </w:r>
      <w:r>
        <w:rPr>
          <w:lang w:val="en_US" w:bidi="en_US"/>
        </w:rPr>
        <w:t xml:space="preserve"> among the nations…</w:t>
      </w:r>
    </w:p>
    <w:p>
      <w:pPr/>
      <w:r>
        <w:rPr>
          <w:lang w:val="en_US" w:bidi="en_US"/>
        </w:rPr>
      </w:r>
      <w:r>
        <w:rPr>
          <w:lang w:val="en_US" w:bidi="en_US"/>
        </w:rPr>
        <w:t xml:space="preserve">The Greek word that the BSB translates as </w:t>
      </w:r>
      <w:r>
        <w:rPr>
          <w:i/>
          <w:lang w:val="en_US" w:bidi="en_US"/>
        </w:rPr>
        <w:t>nations</w:t>
      </w:r>
      <w:r>
        <w:rPr>
          <w:lang w:val="en_US" w:bidi="en_US"/>
        </w:rPr>
        <w:t xml:space="preserve"> is the same word that it translated as “nations” in 21:24b and “Gentiles” in 21:24c–d. Here it refers to the people in these countries all around the world.</w:t>
      </w:r>
    </w:p>
    <w:p>
      <w:pPr>
        <w:pStyle w:val="Heading5"/>
      </w:pPr>
      <w:r>
        <w:rPr>
          <w:lang w:val="en_US" w:bidi="en_US"/>
        </w:rPr>
        <w:t>21:25c</w:t>
      </w:r>
    </w:p>
    <w:p>
      <w:pPr/>
      <w:r>
        <w:rPr>
          <w:lang w:val="en_US" w:bidi="en_US"/>
        </w:rPr>
      </w:r>
      <w:r>
        <w:rPr>
          <w:b/>
          <w:lang w:val="en_US" w:bidi="en_US"/>
        </w:rPr>
        <w:t>bewildered by the roaring of the sea and the surging of the waves.</w:t>
      </w:r>
    </w:p>
    <w:p>
      <w:pPr>
        <w:pStyle w:val="ListBullet"/>
        <w:spacing w:line="240" w:lineRule="auto"/>
        <w:ind w:left="720"/>
      </w:pPr>
      <w:r>
        <w:rPr>
          <w:lang w:val="en_US" w:bidi="en_US"/>
        </w:rPr>
      </w:r>
      <w:r>
        <w:rPr>
          <w:lang w:val="en_US" w:bidi="en_US"/>
        </w:rPr>
        <w:t>and bewildered/distraught as the sea roars and makes huge waves.</w:t>
      </w:r>
    </w:p>
    <w:p>
      <w:pPr>
        <w:pStyle w:val="ListBullet"/>
        <w:spacing w:line="240" w:lineRule="auto"/>
        <w:ind w:left="720"/>
      </w:pPr>
      <w:r>
        <w:rPr>
          <w:lang w:val="en_US" w:bidi="en_US"/>
        </w:rPr>
      </w:r>
      <w:r>
        <w:rPr>
          <w:lang w:val="en_US" w:bidi="en_US"/>
        </w:rPr>
        <w:t xml:space="preserve">and perplexed/worried because of the </w:t>
      </w:r>
      <w:r>
        <w:rPr>
          <w:lang w:val="en_US" w:bidi="en_US"/>
        </w:rPr>
        <w:t>thunderous</w:t>
      </w:r>
      <w:r>
        <w:rPr>
          <w:lang w:val="en_US" w:bidi="en_US"/>
        </w:rPr>
        <w:t xml:space="preserve"> roar and high, crashing water in the sea.</w:t>
      </w:r>
    </w:p>
    <w:p>
      <w:pPr>
        <w:pStyle w:val="ListBullet"/>
        <w:spacing w:line="240" w:lineRule="auto"/>
        <w:ind w:left="720"/>
      </w:pPr>
      <w:r>
        <w:rPr>
          <w:lang w:val="en_US" w:bidi="en_US"/>
        </w:rPr>
      </w:r>
      <w:r>
        <w:rPr>
          <w:lang w:val="en_US" w:bidi="en_US"/>
        </w:rPr>
        <w:t>being confused and scared by the loud splashing of the waters in the seas.</w:t>
      </w:r>
    </w:p>
    <w:p>
      <w:pPr/>
      <w:r>
        <w:rPr>
          <w:lang w:val="en_US" w:bidi="en_US"/>
        </w:rPr>
      </w:r>
      <w:r>
        <w:rPr>
          <w:b/>
          <w:lang w:val="en_US" w:bidi="en_US"/>
        </w:rPr>
        <w:t>bewildered:</w:t>
      </w:r>
      <w:r>
        <w:rPr>
          <w:lang w:val="en_US" w:bidi="en_US"/>
        </w:rPr>
        <w:t xml:space="preserve"> The Greek words that the BSB translates as </w:t>
      </w:r>
      <w:r>
        <w:rPr>
          <w:i/>
          <w:lang w:val="en_US" w:bidi="en_US"/>
        </w:rPr>
        <w:t>bewildered</w:t>
      </w:r>
      <w:r>
        <w:rPr>
          <w:lang w:val="en_US" w:bidi="en_US"/>
        </w:rPr>
        <w:t xml:space="preserve"> refers to being severely anxious, distressed, and confused. This type of anxiety is often caused when a person does not know how to overcome a situation or danger. In this context people will feel helpless in their anguish and fear because they will not know what to do.</w:t>
      </w:r>
    </w:p>
    <w:p>
      <w:pPr/>
      <w:r>
        <w:rPr>
          <w:lang w:val="en_US" w:bidi="en_US"/>
        </w:rPr>
      </w:r>
      <w:r>
        <w:rPr>
          <w:lang w:val="en_US" w:bidi="en_US"/>
        </w:rPr>
        <w:t xml:space="preserve">Some ways to translate </w:t>
      </w:r>
      <w:r>
        <w:rPr>
          <w:i/>
          <w:lang w:val="en_US" w:bidi="en_US"/>
        </w:rPr>
        <w:t>bewildered</w:t>
      </w:r>
      <w:r>
        <w:rPr>
          <w:lang w:val="en_US" w:bidi="en_US"/>
        </w:rPr>
        <w:t xml:space="preserve"> are:</w:t>
      </w:r>
    </w:p>
    <w:p>
      <w:pPr/>
      <w:r>
        <w:rPr>
          <w:lang w:val="en_US" w:bidi="en_US"/>
        </w:rPr>
      </w:r>
      <w:r>
        <w:rPr>
          <w:lang w:val="en_US" w:bidi="en_US"/>
        </w:rPr>
        <w:t>deeply troubled and confused (GW)</w:t>
      </w:r>
    </w:p>
    <w:p>
      <w:pPr/>
      <w:r>
        <w:rPr>
          <w:lang w:val="en_US" w:bidi="en_US"/>
        </w:rPr>
      </w:r>
      <w:r>
        <w:rPr>
          <w:lang w:val="en_US" w:bidi="en_US"/>
        </w:rPr>
        <w:t>they won’t know what to do (CEV)</w:t>
      </w:r>
    </w:p>
    <w:p>
      <w:pPr/>
      <w:r>
        <w:rPr>
          <w:lang w:val="en_US" w:bidi="en_US"/>
        </w:rPr>
      </w:r>
      <w:r>
        <w:rPr>
          <w:lang w:val="en_US" w:bidi="en_US"/>
        </w:rPr>
        <w:t>perplexed (NLT)</w:t>
      </w:r>
    </w:p>
    <w:p>
      <w:pPr/>
      <w:r>
        <w:rPr>
          <w:lang w:val="en_US" w:bidi="en_US"/>
        </w:rPr>
      </w:r>
      <w:r>
        <w:rPr>
          <w:b/>
          <w:lang w:val="en_US" w:bidi="en_US"/>
        </w:rPr>
        <w:t>by the roaring of the sea and the surging of the waves:</w:t>
      </w:r>
      <w:r>
        <w:rPr>
          <w:lang w:val="en_US" w:bidi="en_US"/>
        </w:rPr>
        <w:t xml:space="preserve"> The Greek phrase that the BSB translates as </w:t>
      </w:r>
      <w:r>
        <w:rPr>
          <w:i/>
          <w:lang w:val="en_US" w:bidi="en_US"/>
        </w:rPr>
        <w:t>by the roaring of the sea and the surging of the waves</w:t>
      </w:r>
      <w:r>
        <w:rPr>
          <w:lang w:val="en_US" w:bidi="en_US"/>
        </w:rPr>
        <w:t xml:space="preserve"> gives the reason why people will be perplexed and anxious. The sea will be making loud noises, and there will be high waves on its surface. Other ways to translate this phrase are:</w:t>
      </w:r>
    </w:p>
    <w:p>
      <w:pPr/>
      <w:r>
        <w:rPr>
          <w:lang w:val="en_US" w:bidi="en_US"/>
        </w:rPr>
      </w:r>
      <w:r>
        <w:rPr>
          <w:lang w:val="en_US" w:bidi="en_US"/>
        </w:rPr>
        <w:t>because of the roaring and tossing of the sea (GW)</w:t>
      </w:r>
    </w:p>
    <w:p>
      <w:pPr/>
      <w:r>
        <w:rPr>
          <w:lang w:val="en_US" w:bidi="en_US"/>
        </w:rPr>
      </w:r>
      <w:r>
        <w:rPr>
          <w:lang w:val="en_US" w:bidi="en_US"/>
        </w:rPr>
        <w:t>over the roaring of the sea and the surging waves (NET)</w:t>
      </w:r>
    </w:p>
    <w:p>
      <w:pPr/>
      <w:r>
        <w:rPr>
          <w:lang w:val="en_US" w:bidi="en_US"/>
        </w:rPr>
      </w:r>
      <w:r>
        <w:rPr>
          <w:lang w:val="en_US" w:bidi="en_US"/>
        </w:rPr>
        <w:t>not knowing which way to turn from the roar and surge of the sea (REB)</w:t>
      </w:r>
    </w:p>
    <w:p>
      <w:pPr/>
      <w:r>
        <w:rPr>
          <w:lang w:val="en_US" w:bidi="en_US"/>
        </w:rPr>
      </w:r>
      <w:r>
        <w:rPr>
          <w:lang w:val="en_US" w:bidi="en_US"/>
        </w:rPr>
        <w:t xml:space="preserve">In some languages it may be necessary to translate </w:t>
      </w:r>
      <w:r>
        <w:rPr>
          <w:i/>
          <w:lang w:val="en_US" w:bidi="en_US"/>
        </w:rPr>
        <w:t>roaring</w:t>
      </w:r>
      <w:r>
        <w:rPr>
          <w:lang w:val="en_US" w:bidi="en_US"/>
        </w:rPr>
        <w:t xml:space="preserve"> and </w:t>
      </w:r>
      <w:r>
        <w:rPr>
          <w:i/>
          <w:lang w:val="en_US" w:bidi="en_US"/>
        </w:rPr>
        <w:t>surging</w:t>
      </w:r>
      <w:r>
        <w:rPr>
          <w:lang w:val="en_US" w:bidi="en_US"/>
        </w:rPr>
        <w:t xml:space="preserve"> as main verbs and say, for example:</w:t>
      </w:r>
    </w:p>
    <w:p>
      <w:pPr/>
      <w:r>
        <w:rPr>
          <w:lang w:val="en_US" w:bidi="en_US"/>
        </w:rPr>
      </w:r>
      <w:r>
        <w:rPr>
          <w:lang w:val="en_US" w:bidi="en_US"/>
        </w:rPr>
        <w:t xml:space="preserve">at the way the sea roars and </w:t>
      </w:r>
      <w:r>
        <w:rPr>
          <w:lang w:val="en_US" w:bidi="en_US"/>
        </w:rPr>
        <w:t>its waves</w:t>
      </w:r>
      <w:r>
        <w:rPr>
          <w:lang w:val="en_US" w:bidi="en_US"/>
        </w:rPr>
        <w:t xml:space="preserve"> toss/crash</w:t>
      </w:r>
    </w:p>
    <w:p>
      <w:pPr/>
      <w:r>
        <w:rPr>
          <w:lang w:val="en_US" w:bidi="en_US"/>
        </w:rPr>
      </w:r>
      <w:r>
        <w:rPr>
          <w:b/>
          <w:lang w:val="en_US" w:bidi="en_US"/>
        </w:rPr>
        <w:t>roaring:</w:t>
      </w:r>
      <w:r>
        <w:rPr>
          <w:lang w:val="en_US" w:bidi="en_US"/>
        </w:rPr>
        <w:t xml:space="preserve"> The Greek word that the BSB translates as </w:t>
      </w:r>
      <w:r>
        <w:rPr>
          <w:i/>
          <w:lang w:val="en_US" w:bidi="en_US"/>
        </w:rPr>
        <w:t>roaring</w:t>
      </w:r>
      <w:r>
        <w:rPr>
          <w:lang w:val="en_US" w:bidi="en_US"/>
        </w:rPr>
        <w:t xml:space="preserve"> refers to the loud sound that the sea makes during a storm. Other ways to translate this word are:</w:t>
      </w:r>
    </w:p>
    <w:p>
      <w:pPr/>
      <w:r>
        <w:rPr>
          <w:lang w:val="en_US" w:bidi="en_US"/>
        </w:rPr>
      </w:r>
      <w:r>
        <w:rPr>
          <w:lang w:val="en_US" w:bidi="en_US"/>
        </w:rPr>
        <w:t>loud noise</w:t>
      </w:r>
    </w:p>
    <w:p>
      <w:pPr/>
      <w:r>
        <w:rPr>
          <w:lang w:val="en_US" w:bidi="en_US"/>
        </w:rPr>
      </w:r>
      <w:r>
        <w:rPr>
          <w:lang w:val="en_US" w:bidi="en_US"/>
        </w:rPr>
        <w:t>thunderous roar</w:t>
      </w:r>
    </w:p>
    <w:p>
      <w:pPr/>
      <w:r>
        <w:rPr>
          <w:lang w:val="en_US" w:bidi="en_US"/>
        </w:rPr>
      </w:r>
      <w:r>
        <w:rPr>
          <w:lang w:val="en_US" w:bidi="en_US"/>
        </w:rPr>
        <w:t>loud crashing sound</w:t>
      </w:r>
    </w:p>
    <w:p>
      <w:pPr/>
      <w:r>
        <w:rPr>
          <w:lang w:val="en_US" w:bidi="en_US"/>
        </w:rPr>
      </w:r>
      <w:r>
        <w:rPr>
          <w:b/>
          <w:lang w:val="en_US" w:bidi="en_US"/>
        </w:rPr>
        <w:t>surging:</w:t>
      </w:r>
      <w:r>
        <w:rPr>
          <w:lang w:val="en_US" w:bidi="en_US"/>
        </w:rPr>
        <w:t xml:space="preserve"> The Greek word that the BSB translates as </w:t>
      </w:r>
      <w:r>
        <w:rPr>
          <w:i/>
          <w:lang w:val="en_US" w:bidi="en_US"/>
        </w:rPr>
        <w:t>surging</w:t>
      </w:r>
      <w:r>
        <w:rPr>
          <w:lang w:val="en_US" w:bidi="en_US"/>
        </w:rPr>
        <w:t xml:space="preserve"> refers to the movement of the sea during a storm. It refers to the waves made by the wind. other ways to translate this word are:</w:t>
      </w:r>
    </w:p>
    <w:p>
      <w:pPr/>
      <w:r>
        <w:rPr>
          <w:lang w:val="en_US" w:bidi="en_US"/>
        </w:rPr>
      </w:r>
      <w:r>
        <w:rPr>
          <w:lang w:val="en_US" w:bidi="en_US"/>
        </w:rPr>
        <w:t xml:space="preserve">big pounding </w:t>
      </w:r>
      <w:r>
        <w:rPr>
          <w:lang w:val="en_US" w:bidi="en_US"/>
        </w:rPr>
        <w:t>waves</w:t>
      </w:r>
    </w:p>
    <w:p>
      <w:pPr/>
      <w:r>
        <w:rPr>
          <w:lang w:val="en_US" w:bidi="en_US"/>
        </w:rPr>
      </w:r>
      <w:r>
        <w:rPr>
          <w:lang w:val="en_US" w:bidi="en_US"/>
        </w:rPr>
        <w:t xml:space="preserve">surging </w:t>
      </w:r>
      <w:r>
        <w:rPr>
          <w:lang w:val="en_US" w:bidi="en_US"/>
        </w:rPr>
        <w:t>waves</w:t>
      </w:r>
    </w:p>
    <w:p>
      <w:pPr/>
      <w:r>
        <w:rPr>
          <w:lang w:val="en_US" w:bidi="en_US"/>
        </w:rPr>
      </w:r>
      <w:r>
        <w:rPr>
          <w:lang w:val="en_US" w:bidi="en_US"/>
        </w:rPr>
        <w:t xml:space="preserve">In some languages it may be necessary to translate the word </w:t>
      </w:r>
      <w:r>
        <w:rPr>
          <w:i/>
          <w:lang w:val="en_US" w:bidi="en_US"/>
        </w:rPr>
        <w:t>surging</w:t>
      </w:r>
      <w:r>
        <w:rPr>
          <w:lang w:val="en_US" w:bidi="en_US"/>
        </w:rPr>
        <w:t xml:space="preserve"> with a phrase such as:</w:t>
      </w:r>
    </w:p>
    <w:p>
      <w:pPr/>
      <w:r>
        <w:rPr>
          <w:lang w:val="en_US" w:bidi="en_US"/>
        </w:rPr>
      </w:r>
      <w:r>
        <w:rPr>
          <w:lang w:val="en_US" w:bidi="en_US"/>
        </w:rPr>
        <w:t>how the sea/water rises and falls</w:t>
      </w:r>
    </w:p>
    <w:p>
      <w:pPr/>
      <w:r>
        <w:rPr>
          <w:lang w:val="en_US" w:bidi="en_US"/>
        </w:rPr>
      </w:r>
      <w:r>
        <w:rPr>
          <w:lang w:val="en_US" w:bidi="en_US"/>
        </w:rPr>
        <w:t>Refer to this action in a natural way in your language. In some languages there may be an idiom to express it.</w:t>
      </w:r>
      <w:r>
        <w:rPr>
          <w:lang w:val="en_US" w:bidi="en_US"/>
        </w:rPr>
      </w:r>
      <w:r>
        <w:rPr>
          <w:lang w:val="en_US" w:bidi="en_US"/>
        </w:rPr>
      </w:r>
    </w:p>
    <w:p>
      <w:pPr/>
      <w:r>
        <w:rPr>
          <w:lang w:val="en_US" w:bidi="en_US"/>
        </w:rPr>
      </w:r>
    </w:p>
    <w:p>
      <w:pPr>
        <w:pStyle w:val="Heading2"/>
      </w:pPr>
      <w:r>
        <w:rPr>
          <w:lang w:val="en_US" w:bidi="en_US"/>
        </w:rPr>
        <w:t>Luke 21:26</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21:26a</w:t>
      </w:r>
    </w:p>
    <w:p>
      <w:pPr/>
      <w:r>
        <w:rPr>
          <w:lang w:val="en_US" w:bidi="en_US"/>
        </w:rPr>
      </w:r>
      <w:r>
        <w:rPr>
          <w:b/>
          <w:lang w:val="en_US" w:bidi="en_US"/>
        </w:rPr>
        <w:t>Men will faint from fear and anxiety</w:t>
      </w:r>
    </w:p>
    <w:p>
      <w:pPr>
        <w:pStyle w:val="ListBullet"/>
        <w:spacing w:line="240" w:lineRule="auto"/>
        <w:ind w:left="720"/>
      </w:pPr>
      <w:r>
        <w:rPr>
          <w:lang w:val="en_US" w:bidi="en_US"/>
        </w:rPr>
      </w:r>
      <w:r>
        <w:rPr>
          <w:lang w:val="en_US" w:bidi="en_US"/>
        </w:rPr>
        <w:t>Many people will be so afraid that they will faint from the expectation</w:t>
      </w:r>
    </w:p>
    <w:p>
      <w:pPr>
        <w:pStyle w:val="ListBullet"/>
        <w:spacing w:line="240" w:lineRule="auto"/>
        <w:ind w:left="720"/>
      </w:pPr>
      <w:r>
        <w:rPr>
          <w:lang w:val="en_US" w:bidi="en_US"/>
        </w:rPr>
      </w:r>
      <w:r>
        <w:rPr>
          <w:lang w:val="en_US" w:bidi="en_US"/>
        </w:rPr>
        <w:t>People will be overcome by fear and will fall down unconscious because they will be so terrified</w:t>
      </w:r>
    </w:p>
    <w:p>
      <w:pPr/>
      <w:r>
        <w:rPr>
          <w:lang w:val="en_US" w:bidi="en_US"/>
        </w:rPr>
      </w:r>
      <w:r>
        <w:rPr>
          <w:b/>
          <w:lang w:val="en_US" w:bidi="en_US"/>
        </w:rPr>
        <w:t>Men will faint from fear and anxiety:</w:t>
      </w:r>
      <w:r>
        <w:rPr>
          <w:lang w:val="en_US" w:bidi="en_US"/>
        </w:rPr>
        <w:t xml:space="preserve"> The clause </w:t>
      </w:r>
      <w:r>
        <w:rPr>
          <w:i/>
          <w:lang w:val="en_US" w:bidi="en_US"/>
        </w:rPr>
        <w:t>Men will faint from fear and anxiety</w:t>
      </w:r>
      <w:r>
        <w:rPr>
          <w:lang w:val="en_US" w:bidi="en_US"/>
        </w:rPr>
        <w:t xml:space="preserve"> means, “People will be so frightened that they will faint.” Many people will be so overcome with fear that they will become unconscious. Some may even die. Other ways to translate this phrase are:</w:t>
      </w:r>
    </w:p>
    <w:p>
      <w:pPr/>
      <w:r>
        <w:rPr>
          <w:lang w:val="en_US" w:bidi="en_US"/>
        </w:rPr>
      </w:r>
      <w:r>
        <w:rPr>
          <w:lang w:val="en_US" w:bidi="en_US"/>
        </w:rPr>
        <w:t>Many people will be so afraid that they will faint</w:t>
      </w:r>
    </w:p>
    <w:p>
      <w:pPr/>
      <w:r>
        <w:rPr>
          <w:lang w:val="en_US" w:bidi="en_US"/>
        </w:rPr>
      </w:r>
      <w:r>
        <w:rPr>
          <w:lang w:val="en_US" w:bidi="en_US"/>
        </w:rPr>
        <w:t>Because of intense fear/dread, many people will fall down unconscious</w:t>
      </w:r>
    </w:p>
    <w:p>
      <w:pPr/>
      <w:r>
        <w:rPr>
          <w:lang w:val="en_US" w:bidi="en_US"/>
        </w:rPr>
      </w:r>
      <w:r>
        <w:rPr>
          <w:b/>
          <w:lang w:val="en_US" w:bidi="en_US"/>
        </w:rPr>
        <w:t>Men:</w:t>
      </w:r>
      <w:r>
        <w:rPr>
          <w:lang w:val="en_US" w:bidi="en_US"/>
        </w:rPr>
        <w:t xml:space="preserve"> The Greek word that the BSB translates as </w:t>
      </w:r>
      <w:r>
        <w:rPr>
          <w:i/>
          <w:lang w:val="en_US" w:bidi="en_US"/>
        </w:rPr>
        <w:t>Men</w:t>
      </w:r>
      <w:r>
        <w:rPr>
          <w:lang w:val="en_US" w:bidi="en_US"/>
        </w:rPr>
        <w:t xml:space="preserve"> refers to people in general, not just to males.</w:t>
      </w:r>
    </w:p>
    <w:p>
      <w:pPr>
        <w:pStyle w:val="Heading5"/>
      </w:pPr>
      <w:r>
        <w:rPr>
          <w:lang w:val="en_US" w:bidi="en_US"/>
        </w:rPr>
        <w:t>21:26b</w:t>
      </w:r>
    </w:p>
    <w:p>
      <w:pPr/>
      <w:r>
        <w:rPr>
          <w:lang w:val="en_US" w:bidi="en_US"/>
        </w:rPr>
      </w:r>
      <w:r>
        <w:rPr>
          <w:b/>
          <w:lang w:val="en_US" w:bidi="en_US"/>
        </w:rPr>
        <w:t>over what is coming upon the earth,</w:t>
      </w:r>
    </w:p>
    <w:p>
      <w:pPr>
        <w:pStyle w:val="ListBullet"/>
        <w:spacing w:line="240" w:lineRule="auto"/>
        <w:ind w:left="720"/>
      </w:pPr>
      <w:r>
        <w:rPr>
          <w:lang w:val="en_US" w:bidi="en_US"/>
        </w:rPr>
      </w:r>
      <w:r>
        <w:rPr>
          <w:lang w:val="en_US" w:bidi="en_US"/>
        </w:rPr>
        <w:t>of evil/frightful things that will happen in the world,</w:t>
      </w:r>
    </w:p>
    <w:p>
      <w:pPr>
        <w:pStyle w:val="ListBullet"/>
        <w:spacing w:line="240" w:lineRule="auto"/>
        <w:ind w:left="720"/>
      </w:pPr>
      <w:r>
        <w:rPr>
          <w:lang w:val="en_US" w:bidi="en_US"/>
        </w:rPr>
      </w:r>
      <w:r>
        <w:rPr>
          <w:lang w:val="en_US" w:bidi="en_US"/>
        </w:rPr>
        <w:t>by the disasters that are beginning to occur on earth.</w:t>
      </w:r>
    </w:p>
    <w:p>
      <w:pPr/>
      <w:r>
        <w:rPr>
          <w:lang w:val="en_US" w:bidi="en_US"/>
        </w:rPr>
      </w:r>
      <w:r>
        <w:rPr>
          <w:b/>
          <w:lang w:val="en_US" w:bidi="en_US"/>
        </w:rPr>
        <w:t>over what is coming upon the earth:</w:t>
      </w:r>
      <w:r>
        <w:rPr>
          <w:lang w:val="en_US" w:bidi="en_US"/>
        </w:rPr>
        <w:t xml:space="preserve"> The phrase </w:t>
      </w:r>
      <w:r>
        <w:rPr>
          <w:i/>
          <w:lang w:val="en_US" w:bidi="en_US"/>
        </w:rPr>
        <w:t>what is coming upon the earth</w:t>
      </w:r>
      <w:r>
        <w:rPr>
          <w:lang w:val="en_US" w:bidi="en_US"/>
        </w:rPr>
        <w:t xml:space="preserve"> refers to what will happen in the immediate future. People will be very afraid because they will wonder what terrible things will happen next. Some other ways to translate 21:26b are:</w:t>
      </w:r>
    </w:p>
    <w:p>
      <w:pPr/>
      <w:r>
        <w:rPr>
          <w:lang w:val="en_US" w:bidi="en_US"/>
        </w:rPr>
      </w:r>
      <w:r>
        <w:rPr>
          <w:lang w:val="en_US" w:bidi="en_US"/>
        </w:rPr>
        <w:t>as they fearfully wait for what will happen to the world (GW)</w:t>
      </w:r>
    </w:p>
    <w:p>
      <w:pPr/>
      <w:r>
        <w:rPr>
          <w:lang w:val="en_US" w:bidi="en_US"/>
        </w:rPr>
      </w:r>
      <w:r>
        <w:rPr>
          <w:lang w:val="en_US" w:bidi="en_US"/>
        </w:rPr>
        <w:t>wondering what is happening to the world (NCV)</w:t>
      </w:r>
    </w:p>
    <w:p>
      <w:pPr/>
      <w:r>
        <w:rPr>
          <w:lang w:val="en_US" w:bidi="en_US"/>
        </w:rPr>
      </w:r>
      <w:r>
        <w:rPr>
          <w:b/>
          <w:lang w:val="en_US" w:bidi="en_US"/>
        </w:rPr>
        <w:t>earth:</w:t>
      </w:r>
      <w:r>
        <w:rPr>
          <w:lang w:val="en_US" w:bidi="en_US"/>
        </w:rPr>
        <w:t xml:space="preserve"> The Greek word</w:t>
      </w:r>
      <w:r>
        <w:rPr>
          <w:i/>
          <w:lang w:val="en_US" w:bidi="en_US"/>
        </w:rPr>
        <w:t>oikoumenē</w:t>
      </w:r>
      <w:r>
        <w:rPr>
          <w:lang w:val="en_US" w:bidi="en_US"/>
        </w:rPr>
        <w:t xml:space="preserve"> that the BSB translates as </w:t>
      </w:r>
      <w:r>
        <w:rPr>
          <w:i/>
          <w:lang w:val="en_US" w:bidi="en_US"/>
        </w:rPr>
        <w:t>earth</w:t>
      </w:r>
      <w:r>
        <w:rPr>
          <w:lang w:val="en_US" w:bidi="en_US"/>
        </w:rPr>
        <w:t xml:space="preserve"> refers to the inhabited world or earth.</w:t>
      </w:r>
    </w:p>
    <w:p>
      <w:pPr>
        <w:pStyle w:val="Heading5"/>
      </w:pPr>
      <w:r>
        <w:rPr>
          <w:lang w:val="en_US" w:bidi="en_US"/>
        </w:rPr>
        <w:t>21:26c</w:t>
      </w:r>
    </w:p>
    <w:p>
      <w:pPr/>
      <w:r>
        <w:rPr>
          <w:lang w:val="en_US" w:bidi="en_US"/>
        </w:rPr>
      </w:r>
      <w:r>
        <w:rPr>
          <w:b/>
          <w:lang w:val="en_US" w:bidi="en_US"/>
        </w:rPr>
        <w:t>for the powers of the heavens will be shaken.</w:t>
      </w:r>
    </w:p>
    <w:p>
      <w:pPr>
        <w:pStyle w:val="ListBullet"/>
        <w:spacing w:line="240" w:lineRule="auto"/>
        <w:ind w:left="720"/>
      </w:pPr>
      <w:r>
        <w:rPr>
          <w:lang w:val="en_US" w:bidi="en_US"/>
        </w:rPr>
      </w:r>
      <w:r>
        <w:rPr>
          <w:lang w:val="en_US" w:bidi="en_US"/>
        </w:rPr>
        <w:t>for the great lights in the sky will be shaken/moved.</w:t>
      </w:r>
    </w:p>
    <w:p>
      <w:pPr>
        <w:pStyle w:val="ListBullet"/>
        <w:spacing w:line="240" w:lineRule="auto"/>
        <w:ind w:left="720"/>
      </w:pPr>
      <w:r>
        <w:rPr>
          <w:lang w:val="en_US" w:bidi="en_US"/>
        </w:rPr>
      </w:r>
      <w:r>
        <w:rPr>
          <w:lang w:val="en_US" w:bidi="en_US"/>
        </w:rPr>
        <w:t>Indeed,</w:t>
      </w:r>
      <w:r>
        <w:rPr>
          <w:lang w:val="en_US" w:bidi="en_US"/>
        </w:rPr>
        <w:t xml:space="preserve"> </w:t>
      </w:r>
      <w:r>
        <w:rPr>
          <w:lang w:val="en_US" w:bidi="en_US"/>
        </w:rPr>
        <w:t>God</w:t>
      </w:r>
      <w:r>
        <w:rPr>
          <w:lang w:val="en_US" w:bidi="en_US"/>
        </w:rPr>
        <w:t xml:space="preserve"> will shake/move the stars and planets </w:t>
      </w:r>
      <w:r>
        <w:rPr>
          <w:lang w:val="en_US" w:bidi="en_US"/>
        </w:rPr>
        <w:t>from their proper places</w:t>
      </w:r>
      <w:r>
        <w:rPr>
          <w:lang w:val="en_US" w:bidi="en_US"/>
        </w:rPr>
        <w:t xml:space="preserve"> in the sky.</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reason or explanation. Jesus explained that people will be apprehensive because the heavenly bodies will be shaken. Another way to introduce 21:26c is:</w:t>
      </w:r>
    </w:p>
    <w:p>
      <w:pPr/>
      <w:r>
        <w:rPr>
          <w:lang w:val="en_US" w:bidi="en_US"/>
        </w:rPr>
      </w:r>
      <w:r>
        <w:rPr>
          <w:lang w:val="en_US" w:bidi="en_US"/>
        </w:rPr>
        <w:t>This will be</w:t>
      </w:r>
      <w:r>
        <w:rPr>
          <w:lang w:val="en_US" w:bidi="en_US"/>
        </w:rPr>
        <w:t xml:space="preserve"> because</w:t>
      </w:r>
    </w:p>
    <w:p>
      <w:pPr/>
      <w:r>
        <w:rPr>
          <w:lang w:val="en_US" w:bidi="en_US"/>
        </w:rPr>
      </w:r>
      <w:r>
        <w:rPr>
          <w:b/>
          <w:lang w:val="en_US" w:bidi="en_US"/>
        </w:rPr>
        <w:t>the powers of the heavens will be shaken:</w:t>
      </w:r>
      <w:r>
        <w:rPr>
          <w:lang w:val="en_US" w:bidi="en_US"/>
        </w:rPr>
        <w:t xml:space="preserve"> The Greek phrase that the BSB literally translates as </w:t>
      </w:r>
      <w:r>
        <w:rPr>
          <w:i/>
          <w:lang w:val="en_US" w:bidi="en_US"/>
        </w:rPr>
        <w:t>the powers of the heavens</w:t>
      </w:r>
      <w:r>
        <w:rPr>
          <w:lang w:val="en_US" w:bidi="en_US"/>
        </w:rPr>
        <w:t xml:space="preserve"> probably refers to the sun, moon, and stars. Here is another way to translate this:</w:t>
      </w:r>
    </w:p>
    <w:p>
      <w:pPr/>
      <w:r>
        <w:rPr>
          <w:lang w:val="en_US" w:bidi="en_US"/>
        </w:rPr>
      </w:r>
      <w:r>
        <w:rPr>
          <w:lang w:val="en_US" w:bidi="en_US"/>
        </w:rPr>
        <w:t>the powers in space will be driven from their courses (GNT)</w:t>
      </w:r>
    </w:p>
    <w:p>
      <w:pPr/>
      <w:r>
        <w:rPr>
          <w:lang w:val="en_US" w:bidi="en_US"/>
        </w:rPr>
      </w:r>
      <w:r>
        <w:rPr>
          <w:lang w:val="en_US" w:bidi="en_US"/>
        </w:rPr>
        <w:t xml:space="preserve">Some scholars believe that in this context the term </w:t>
      </w:r>
      <w:r>
        <w:rPr>
          <w:i/>
          <w:lang w:val="en_US" w:bidi="en_US"/>
        </w:rPr>
        <w:t>powers of the heavens</w:t>
      </w:r>
      <w:r>
        <w:rPr>
          <w:lang w:val="en_US" w:bidi="en_US"/>
        </w:rPr>
        <w:t xml:space="preserve"> refers to spiritual powers.</w:t>
      </w:r>
      <w:r>
        <w:rPr>
          <w:lang w:val="en_US" w:bidi="en_US"/>
        </w:rPr>
        <w:t>Paul used the same Greek word that the RSV translates as “powers” to refer to powers that are against Christ in Romans 8:38 and 1 Corinthians 15:24–26 and possibly also in Ephesians 1:21. Peter may have been referring to such spirits when he used the same word in 1 Peter 3:22. Paul said that spirits who were enemies of Christ inhabited “the heavenly places.” He used a form of the same word that the RSV translates as “heavens” in Ephesians 6:12. Jesus may have been saying here that shortly before he returns to earth, he will begin to shake the power of the evil spirits that falsely claim the right to rule over the earth and the people who live on it. At the present time, evil spirits have great influence over many things that some people do. When Jesus starts to shake the power of these spirits, it will affect the way most people live so much that it will cause them to be very afraid.</w:t>
      </w:r>
      <w:r>
        <w:rPr>
          <w:lang w:val="en_US" w:bidi="en_US"/>
        </w:rPr>
        <w:t xml:space="preserve"> Since the context of 21:25 refers to things in nature, it is more likely that 21:26 refers to the physical sun, moon, stars, and planets. However, it is possible that these physical </w:t>
      </w:r>
      <w:r>
        <w:rPr>
          <w:i/>
          <w:lang w:val="en_US" w:bidi="en_US"/>
        </w:rPr>
        <w:t>powers of the heavens</w:t>
      </w:r>
      <w:r>
        <w:rPr>
          <w:lang w:val="en_US" w:bidi="en_US"/>
        </w:rPr>
        <w:t xml:space="preserve"> may symbolize spiritual powers or be linked to them in some other way. See heaven, Meaning 1, in the Glossary.</w:t>
      </w:r>
    </w:p>
    <w:p>
      <w:pPr/>
      <w:r>
        <w:rPr>
          <w:lang w:val="en_US" w:bidi="en_US"/>
        </w:rPr>
      </w:r>
      <w:r>
        <w:rPr>
          <w:b/>
          <w:lang w:val="en_US" w:bidi="en_US"/>
        </w:rPr>
        <w:t>will be shaken:</w:t>
      </w:r>
      <w:r>
        <w:rPr>
          <w:lang w:val="en_US" w:bidi="en_US"/>
        </w:rPr>
        <w:t xml:space="preserve"> In this context the verb </w:t>
      </w:r>
      <w:r>
        <w:rPr>
          <w:i/>
          <w:lang w:val="en_US" w:bidi="en_US"/>
        </w:rPr>
        <w:t>will be shaken</w:t>
      </w:r>
      <w:r>
        <w:rPr>
          <w:lang w:val="en_US" w:bidi="en_US"/>
        </w:rPr>
        <w:t xml:space="preserve"> means “will be moved from their proper places/courses.” This is a passive verb. In some languages it may be more natural to use an active verb and supply a subject. For example:</w:t>
      </w:r>
    </w:p>
    <w:p>
      <w:pPr/>
      <w:r>
        <w:rPr>
          <w:lang w:val="en_US" w:bidi="en_US"/>
        </w:rPr>
      </w:r>
      <w:r>
        <w:rPr>
          <w:lang w:val="en_US" w:bidi="en_US"/>
        </w:rPr>
        <w:t>God</w:t>
      </w:r>
      <w:r>
        <w:rPr>
          <w:lang w:val="en_US" w:bidi="en_US"/>
        </w:rPr>
        <w:t xml:space="preserve"> will shake</w:t>
      </w:r>
      <w:r>
        <w:rPr>
          <w:lang w:val="en_US" w:bidi="en_US"/>
        </w:rPr>
      </w:r>
      <w:r>
        <w:rPr>
          <w:lang w:val="en_US" w:bidi="en_US"/>
        </w:rPr>
      </w:r>
    </w:p>
    <w:p>
      <w:pPr/>
      <w:r>
        <w:rPr>
          <w:lang w:val="en_US" w:bidi="en_US"/>
        </w:rPr>
      </w:r>
    </w:p>
    <w:p>
      <w:pPr>
        <w:pStyle w:val="Heading2"/>
      </w:pPr>
      <w:r>
        <w:rPr>
          <w:lang w:val="en_US" w:bidi="en_US"/>
        </w:rPr>
        <w:t>Luke 21:27</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21:27a</w:t>
      </w:r>
    </w:p>
    <w:p>
      <w:pPr/>
      <w:r>
        <w:rPr>
          <w:lang w:val="en_US" w:bidi="en_US"/>
        </w:rPr>
      </w:r>
      <w:r>
        <w:rPr>
          <w:b/>
          <w:lang w:val="en_US" w:bidi="en_US"/>
        </w:rPr>
        <w:t>At that time they will see the Son of Man</w:t>
      </w:r>
    </w:p>
    <w:p>
      <w:pPr>
        <w:pStyle w:val="ListBullet"/>
        <w:spacing w:line="240" w:lineRule="auto"/>
        <w:ind w:left="720"/>
      </w:pPr>
      <w:r>
        <w:rPr>
          <w:lang w:val="en_US" w:bidi="en_US"/>
        </w:rPr>
      </w:r>
      <w:r>
        <w:rPr>
          <w:lang w:val="en_US" w:bidi="en_US"/>
        </w:rPr>
        <w:t xml:space="preserve">Then people </w:t>
      </w:r>
      <w:r>
        <w:rPr>
          <w:lang w:val="en_US" w:bidi="en_US"/>
        </w:rPr>
        <w:t>everywhere</w:t>
      </w:r>
      <w:r>
        <w:rPr>
          <w:lang w:val="en_US" w:bidi="en_US"/>
        </w:rPr>
        <w:t xml:space="preserve"> will see the Son of Man,</w:t>
      </w:r>
    </w:p>
    <w:p>
      <w:pPr>
        <w:pStyle w:val="ListBullet"/>
        <w:spacing w:line="240" w:lineRule="auto"/>
        <w:ind w:left="720"/>
      </w:pPr>
      <w:r>
        <w:rPr>
          <w:lang w:val="en_US" w:bidi="en_US"/>
        </w:rPr>
      </w:r>
      <w:r>
        <w:rPr>
          <w:lang w:val="en_US" w:bidi="en_US"/>
        </w:rPr>
        <w:t xml:space="preserve">At that time people </w:t>
      </w:r>
      <w:r>
        <w:rPr>
          <w:lang w:val="en_US" w:bidi="en_US"/>
        </w:rPr>
        <w:t>everywhere</w:t>
      </w:r>
      <w:r>
        <w:rPr>
          <w:lang w:val="en_US" w:bidi="en_US"/>
        </w:rPr>
        <w:t xml:space="preserve"> will see me, the Son of Man.</w:t>
      </w:r>
    </w:p>
    <w:p>
      <w:pPr>
        <w:pStyle w:val="ListBullet"/>
        <w:spacing w:line="240" w:lineRule="auto"/>
        <w:ind w:left="720"/>
      </w:pPr>
      <w:r>
        <w:rPr>
          <w:lang w:val="en_US" w:bidi="en_US"/>
        </w:rPr>
      </w:r>
      <w:r>
        <w:rPr>
          <w:lang w:val="en_US" w:bidi="en_US"/>
        </w:rPr>
        <w:t xml:space="preserve">At that time </w:t>
      </w:r>
      <w:r>
        <w:rPr>
          <w:lang w:val="en_US" w:bidi="en_US"/>
        </w:rPr>
        <w:t>I,</w:t>
      </w:r>
      <w:r>
        <w:rPr>
          <w:lang w:val="en_US" w:bidi="en_US"/>
        </w:rPr>
        <w:t xml:space="preserve"> the Son of Man, will appear </w:t>
      </w:r>
      <w:r>
        <w:rPr>
          <w:lang w:val="en_US" w:bidi="en_US"/>
        </w:rPr>
        <w:t>to all people</w:t>
      </w:r>
      <w:r>
        <w:rPr>
          <w:lang w:val="en_US" w:bidi="en_US"/>
        </w:rPr>
        <w:t>,</w:t>
      </w:r>
    </w:p>
    <w:p>
      <w:pPr/>
      <w:r>
        <w:rPr>
          <w:lang w:val="en_US" w:bidi="en_US"/>
        </w:rPr>
      </w:r>
      <w:r>
        <w:rPr>
          <w:b/>
          <w:lang w:val="en_US" w:bidi="en_US"/>
        </w:rPr>
        <w:t>At that time:</w:t>
      </w:r>
      <w:r>
        <w:rPr>
          <w:lang w:val="en_US" w:bidi="en_US"/>
        </w:rPr>
        <w:t xml:space="preserve"> The Greek phrase that the BSB translates as </w:t>
      </w:r>
      <w:r>
        <w:rPr>
          <w:i/>
          <w:lang w:val="en_US" w:bidi="en_US"/>
        </w:rPr>
        <w:t>At that time</w:t>
      </w:r>
      <w:r>
        <w:rPr>
          <w:lang w:val="en_US" w:bidi="en_US"/>
        </w:rPr>
        <w:t xml:space="preserve"> is literally “And then,” as in the RSV. This phrase introduces a very important event in Jesus’ prophecy: the Son of Man will appear in power and glory. Introduce this event in a natural way in your language.</w:t>
      </w:r>
    </w:p>
    <w:p>
      <w:pPr/>
      <w:r>
        <w:rPr>
          <w:lang w:val="en_US" w:bidi="en_US"/>
        </w:rPr>
      </w:r>
      <w:r>
        <w:rPr>
          <w:b/>
          <w:lang w:val="en_US" w:bidi="en_US"/>
        </w:rPr>
        <w:t>they will see the Son of Man:</w:t>
      </w:r>
      <w:r>
        <w:rPr>
          <w:lang w:val="en_US" w:bidi="en_US"/>
        </w:rPr>
        <w:t xml:space="preserve"> The pronoun </w:t>
      </w:r>
      <w:r>
        <w:rPr>
          <w:i/>
          <w:lang w:val="en_US" w:bidi="en_US"/>
        </w:rPr>
        <w:t>they</w:t>
      </w:r>
      <w:r>
        <w:rPr>
          <w:lang w:val="en_US" w:bidi="en_US"/>
        </w:rPr>
        <w:t xml:space="preserve"> refers to people in general. It also implies that people everywhere will see him. Some other ways to translate this are:</w:t>
      </w:r>
    </w:p>
    <w:p>
      <w:pPr>
        <w:pStyle w:val="ListBullet"/>
        <w:spacing w:line="240" w:lineRule="auto"/>
        <w:ind w:left="720"/>
      </w:pPr>
      <w:r>
        <w:rPr>
          <w:lang w:val="en_US" w:bidi="en_US"/>
        </w:rPr>
      </w:r>
      <w:r>
        <w:rPr>
          <w:lang w:val="en_US" w:bidi="en_US"/>
        </w:rPr>
        <w:t>Use a subject that will clearly refer to everyone. For example:</w:t>
      </w:r>
      <w:r>
        <w:rPr>
          <w:lang w:val="en_US" w:bidi="en_US"/>
        </w:rPr>
        <w:t>people</w:t>
      </w:r>
      <w:r>
        <w:rPr>
          <w:lang w:val="en_US" w:bidi="en_US"/>
        </w:rPr>
        <w:t xml:space="preserve"> </w:t>
      </w:r>
      <w:r>
        <w:rPr>
          <w:lang w:val="en_US" w:bidi="en_US"/>
        </w:rPr>
        <w:t>everywhere</w:t>
      </w:r>
      <w:r>
        <w:rPr>
          <w:lang w:val="en_US" w:bidi="en_US"/>
        </w:rPr>
        <w:t xml:space="preserve"> will see the Son of Man</w:t>
      </w:r>
      <w:r>
        <w:rPr>
          <w:lang w:val="en_US" w:bidi="en_US"/>
        </w:rPr>
        <w:t>everyone</w:t>
      </w:r>
      <w:r>
        <w:rPr>
          <w:lang w:val="en_US" w:bidi="en_US"/>
        </w:rPr>
        <w:t xml:space="preserve"> will see the Son of Man</w:t>
      </w:r>
    </w:p>
    <w:p>
      <w:pPr>
        <w:pStyle w:val="ListBullet"/>
        <w:spacing w:line="240" w:lineRule="auto"/>
        <w:ind w:left="720"/>
      </w:pPr>
      <w:r>
        <w:rPr>
          <w:lang w:val="en_US" w:bidi="en_US"/>
        </w:rPr>
      </w:r>
      <w:r>
        <w:rPr>
          <w:lang w:val="en_US" w:bidi="en_US"/>
        </w:rPr>
        <w:t>Use a passive clause. For example:</w:t>
      </w:r>
      <w:r>
        <w:rPr>
          <w:lang w:val="en_US" w:bidi="en_US"/>
        </w:rPr>
        <w:t>the Son of Man will be seen (CEV)</w:t>
      </w:r>
      <w:r>
        <w:rPr>
          <w:lang w:val="en_US" w:bidi="en_US"/>
        </w:rPr>
        <w:t>the Son of Man will appear (GNT)</w:t>
      </w:r>
    </w:p>
    <w:p>
      <w:pPr/>
      <w:r>
        <w:rPr>
          <w:lang w:val="en_US" w:bidi="en_US"/>
        </w:rPr>
      </w:r>
      <w:r>
        <w:rPr>
          <w:b/>
          <w:lang w:val="en_US" w:bidi="en_US"/>
        </w:rPr>
        <w:t>the Son of Man:</w:t>
      </w:r>
      <w:r>
        <w:rPr>
          <w:lang w:val="en_US" w:bidi="en_US"/>
        </w:rPr>
        <w:t xml:space="preserve"> The phrase </w:t>
      </w:r>
      <w:r>
        <w:rPr>
          <w:i/>
          <w:lang w:val="en_US" w:bidi="en_US"/>
        </w:rPr>
        <w:t>the Son of Man</w:t>
      </w:r>
      <w:r>
        <w:rPr>
          <w:lang w:val="en_US" w:bidi="en_US"/>
        </w:rPr>
        <w:t xml:space="preserve"> was a title that Jesus often used to refer to himself. See the note on 17:22a–b for translation suggestions. For more information, see also “Son of Man” in KBT.</w:t>
      </w:r>
    </w:p>
    <w:p>
      <w:pPr>
        <w:pStyle w:val="Heading5"/>
      </w:pPr>
      <w:r>
        <w:rPr>
          <w:lang w:val="en_US" w:bidi="en_US"/>
        </w:rPr>
        <w:t>21:27b</w:t>
      </w:r>
    </w:p>
    <w:p>
      <w:pPr/>
      <w:r>
        <w:rPr>
          <w:lang w:val="en_US" w:bidi="en_US"/>
        </w:rPr>
      </w:r>
      <w:r>
        <w:rPr>
          <w:b/>
          <w:lang w:val="en_US" w:bidi="en_US"/>
        </w:rPr>
        <w:t>coming in a cloud with power and great glory.</w:t>
      </w:r>
    </w:p>
    <w:p>
      <w:pPr>
        <w:pStyle w:val="ListBullet"/>
        <w:spacing w:line="240" w:lineRule="auto"/>
        <w:ind w:left="720"/>
      </w:pPr>
      <w:r>
        <w:rPr>
          <w:lang w:val="en_US" w:bidi="en_US"/>
        </w:rPr>
      </w:r>
      <w:r>
        <w:rPr>
          <w:lang w:val="en_US" w:bidi="en_US"/>
        </w:rPr>
        <w:t xml:space="preserve">coming </w:t>
      </w:r>
      <w:r>
        <w:rPr>
          <w:lang w:val="en_US" w:bidi="en_US"/>
        </w:rPr>
        <w:t>to earth</w:t>
      </w:r>
      <w:r>
        <w:rPr>
          <w:lang w:val="en_US" w:bidi="en_US"/>
        </w:rPr>
        <w:t xml:space="preserve"> on/in a cloud with power and great glory.</w:t>
      </w:r>
    </w:p>
    <w:p>
      <w:pPr>
        <w:pStyle w:val="ListBullet"/>
        <w:spacing w:line="240" w:lineRule="auto"/>
        <w:ind w:left="720"/>
      </w:pPr>
      <w:r>
        <w:rPr>
          <w:lang w:val="en_US" w:bidi="en_US"/>
        </w:rPr>
      </w:r>
      <w:r>
        <w:rPr>
          <w:lang w:val="en_US" w:bidi="en_US"/>
        </w:rPr>
        <w:t xml:space="preserve">I will come </w:t>
      </w:r>
      <w:r>
        <w:rPr>
          <w:lang w:val="en_US" w:bidi="en_US"/>
        </w:rPr>
        <w:t>to earth</w:t>
      </w:r>
      <w:r>
        <w:rPr>
          <w:lang w:val="en_US" w:bidi="en_US"/>
        </w:rPr>
        <w:t xml:space="preserve"> surrounded by clouds, </w:t>
      </w:r>
      <w:r>
        <w:rPr>
          <w:lang w:val="en_US" w:bidi="en_US"/>
        </w:rPr>
        <w:t>showing</w:t>
      </w:r>
      <w:r>
        <w:rPr>
          <w:lang w:val="en_US" w:bidi="en_US"/>
        </w:rPr>
        <w:t xml:space="preserve"> great power and radiant/brilliant splendor.</w:t>
      </w:r>
    </w:p>
    <w:p>
      <w:pPr>
        <w:pStyle w:val="ListBullet"/>
        <w:spacing w:line="240" w:lineRule="auto"/>
        <w:ind w:left="720"/>
      </w:pPr>
      <w:r>
        <w:rPr>
          <w:lang w:val="en_US" w:bidi="en_US"/>
        </w:rPr>
      </w:r>
      <w:r>
        <w:rPr>
          <w:lang w:val="en_US" w:bidi="en_US"/>
        </w:rPr>
        <w:t xml:space="preserve">and </w:t>
      </w:r>
      <w:r>
        <w:rPr>
          <w:lang w:val="en_US" w:bidi="en_US"/>
        </w:rPr>
        <w:t>I</w:t>
      </w:r>
      <w:r>
        <w:rPr>
          <w:lang w:val="en_US" w:bidi="en_US"/>
        </w:rPr>
        <w:t xml:space="preserve"> will come in a cloud, with/possessing divine majesty and </w:t>
      </w:r>
      <w:r>
        <w:rPr>
          <w:lang w:val="en_US" w:bidi="en_US"/>
        </w:rPr>
        <w:t>the</w:t>
      </w:r>
      <w:r>
        <w:rPr>
          <w:lang w:val="en_US" w:bidi="en_US"/>
        </w:rPr>
        <w:t xml:space="preserve"> authority </w:t>
      </w:r>
      <w:r>
        <w:rPr>
          <w:lang w:val="en_US" w:bidi="en_US"/>
        </w:rPr>
        <w:t>to rule everyone</w:t>
      </w:r>
      <w:r>
        <w:rPr>
          <w:lang w:val="en_US" w:bidi="en_US"/>
        </w:rPr>
        <w:t>.</w:t>
      </w:r>
    </w:p>
    <w:p>
      <w:pPr/>
      <w:r>
        <w:rPr>
          <w:lang w:val="en_US" w:bidi="en_US"/>
        </w:rPr>
      </w:r>
      <w:r>
        <w:rPr>
          <w:b/>
          <w:lang w:val="en_US" w:bidi="en_US"/>
        </w:rPr>
        <w:t>coming in a cloud:</w:t>
      </w:r>
      <w:r>
        <w:rPr>
          <w:lang w:val="en_US" w:bidi="en_US"/>
        </w:rPr>
        <w:t xml:space="preserve"> In the Old Testament </w:t>
      </w:r>
      <w:r>
        <w:rPr>
          <w:i/>
          <w:lang w:val="en_US" w:bidi="en_US"/>
        </w:rPr>
        <w:t>a cloud</w:t>
      </w:r>
      <w:r>
        <w:rPr>
          <w:lang w:val="en_US" w:bidi="en_US"/>
        </w:rPr>
        <w:t xml:space="preserve"> often symbolized God’s presence, power, and glory. In the parallel verse in Mark 13:26, the plural form “clouds” is used. Mark 14:62 also indicates that Jesus will come on clouds of heaven. The plural form occurs in a similar context in Daniel 7:13, which indicates that the clouds were near the throne of God. Other ways to translate </w:t>
      </w:r>
      <w:r>
        <w:rPr>
          <w:i/>
          <w:lang w:val="en_US" w:bidi="en_US"/>
        </w:rPr>
        <w:t>in a cloud</w:t>
      </w:r>
      <w:r>
        <w:rPr>
          <w:lang w:val="en_US" w:bidi="en_US"/>
        </w:rPr>
        <w:t xml:space="preserve"> are:</w:t>
      </w:r>
    </w:p>
    <w:p>
      <w:pPr/>
      <w:r>
        <w:rPr>
          <w:lang w:val="en_US" w:bidi="en_US"/>
        </w:rPr>
      </w:r>
      <w:r>
        <w:rPr>
          <w:lang w:val="en_US" w:bidi="en_US"/>
        </w:rPr>
        <w:t>surrounded by a cloud</w:t>
      </w:r>
    </w:p>
    <w:p>
      <w:pPr/>
      <w:r>
        <w:rPr>
          <w:lang w:val="en_US" w:bidi="en_US"/>
        </w:rPr>
      </w:r>
      <w:r>
        <w:rPr>
          <w:lang w:val="en_US" w:bidi="en_US"/>
        </w:rPr>
        <w:t>with a cloud</w:t>
      </w:r>
    </w:p>
    <w:p>
      <w:pPr/>
      <w:r>
        <w:rPr>
          <w:lang w:val="en_US" w:bidi="en_US"/>
        </w:rPr>
      </w:r>
      <w:r>
        <w:rPr>
          <w:lang w:val="en_US" w:bidi="en_US"/>
        </w:rPr>
        <w:t>coming being-accompanied-by the clouds</w:t>
      </w:r>
      <w:r>
        <w:rPr>
          <w:lang w:val="en_US" w:bidi="en_US"/>
        </w:rPr>
        <w:t>Kankanaey back translation on TW.</w:t>
      </w:r>
    </w:p>
    <w:p>
      <w:pPr/>
      <w:r>
        <w:rPr>
          <w:lang w:val="en_US" w:bidi="en_US"/>
        </w:rPr>
      </w:r>
      <w:r>
        <w:rPr>
          <w:b/>
          <w:lang w:val="en_US" w:bidi="en_US"/>
        </w:rPr>
        <w:t>coming:</w:t>
      </w:r>
      <w:r>
        <w:rPr>
          <w:lang w:val="en_US" w:bidi="en_US"/>
        </w:rPr>
        <w:t xml:space="preserve"> The word </w:t>
      </w:r>
      <w:r>
        <w:rPr>
          <w:i/>
          <w:lang w:val="en_US" w:bidi="en_US"/>
        </w:rPr>
        <w:t>coming</w:t>
      </w:r>
      <w:r>
        <w:rPr>
          <w:lang w:val="en_US" w:bidi="en_US"/>
        </w:rPr>
        <w:t xml:space="preserve"> can also be translated as “arriving” or “approaching.”</w:t>
      </w:r>
    </w:p>
    <w:p>
      <w:pPr/>
      <w:r>
        <w:rPr>
          <w:lang w:val="en_US" w:bidi="en_US"/>
        </w:rPr>
      </w:r>
      <w:r>
        <w:rPr>
          <w:lang w:val="en_US" w:bidi="en_US"/>
        </w:rPr>
        <w:t xml:space="preserve">If you need to supply a destination for the verb </w:t>
      </w:r>
      <w:r>
        <w:rPr>
          <w:i/>
          <w:lang w:val="en_US" w:bidi="en_US"/>
        </w:rPr>
        <w:t>coming</w:t>
      </w:r>
      <w:r>
        <w:rPr>
          <w:lang w:val="en_US" w:bidi="en_US"/>
        </w:rPr>
        <w:t>, you may use “toward the earth” or “downward” or a similar expression. For example:</w:t>
      </w:r>
    </w:p>
    <w:p>
      <w:pPr/>
      <w:r>
        <w:rPr>
          <w:lang w:val="en_US" w:bidi="en_US"/>
        </w:rPr>
      </w:r>
      <w:r>
        <w:rPr>
          <w:lang w:val="en_US" w:bidi="en_US"/>
        </w:rPr>
        <w:t xml:space="preserve">coming </w:t>
      </w:r>
      <w:r>
        <w:rPr>
          <w:lang w:val="en_US" w:bidi="en_US"/>
        </w:rPr>
        <w:t>downward</w:t>
      </w:r>
      <w:r>
        <w:rPr>
          <w:lang w:val="en_US" w:bidi="en_US"/>
        </w:rPr>
        <w:t xml:space="preserve"> in a cloud</w:t>
      </w:r>
    </w:p>
    <w:p>
      <w:pPr/>
      <w:r>
        <w:rPr>
          <w:lang w:val="en_US" w:bidi="en_US"/>
        </w:rPr>
      </w:r>
      <w:r>
        <w:rPr>
          <w:lang w:val="en_US" w:bidi="en_US"/>
        </w:rPr>
        <w:t xml:space="preserve">coming </w:t>
      </w:r>
      <w:r>
        <w:rPr>
          <w:lang w:val="en_US" w:bidi="en_US"/>
        </w:rPr>
        <w:t>toward the earth</w:t>
      </w:r>
    </w:p>
    <w:p>
      <w:pPr/>
      <w:r>
        <w:rPr>
          <w:lang w:val="en_US" w:bidi="en_US"/>
        </w:rPr>
      </w:r>
      <w:r>
        <w:rPr>
          <w:b/>
          <w:lang w:val="en_US" w:bidi="en_US"/>
        </w:rPr>
        <w:t>with power and great glory:</w:t>
      </w:r>
      <w:r>
        <w:rPr>
          <w:lang w:val="en_US" w:bidi="en_US"/>
        </w:rPr>
        <w:t xml:space="preserve"> In this context </w:t>
      </w:r>
      <w:r>
        <w:rPr>
          <w:i/>
          <w:lang w:val="en_US" w:bidi="en_US"/>
        </w:rPr>
        <w:t>power</w:t>
      </w:r>
      <w:r>
        <w:rPr>
          <w:lang w:val="en_US" w:bidi="en_US"/>
        </w:rPr>
        <w:t xml:space="preserve"> refers to both the right and the ability to judge and to rule over all people.</w:t>
      </w:r>
    </w:p>
    <w:p>
      <w:pPr/>
      <w:r>
        <w:rPr>
          <w:lang w:val="en_US" w:bidi="en_US"/>
        </w:rPr>
      </w:r>
      <w:r>
        <w:rPr>
          <w:lang w:val="en_US" w:bidi="en_US"/>
        </w:rPr>
        <w:t xml:space="preserve">The Greek word that the BSB translates as </w:t>
      </w:r>
      <w:r>
        <w:rPr>
          <w:i/>
          <w:lang w:val="en_US" w:bidi="en_US"/>
        </w:rPr>
        <w:t>great glory</w:t>
      </w:r>
      <w:r>
        <w:rPr>
          <w:lang w:val="en_US" w:bidi="en_US"/>
        </w:rPr>
        <w:t xml:space="preserve"> here refers to the shining radiance that in the OT often displayed God’s greatness (for example, see Exodus 16:10, 40:34; 2 Chronicles 7:1). The brightness with which the Son of Man will come to earth will show that he is great, even as God himself is great.</w:t>
      </w:r>
    </w:p>
    <w:p>
      <w:pPr/>
      <w:r>
        <w:rPr>
          <w:lang w:val="en_US" w:bidi="en_US"/>
        </w:rPr>
      </w:r>
      <w:r>
        <w:rPr>
          <w:lang w:val="en_US" w:bidi="en_US"/>
        </w:rPr>
        <w:t xml:space="preserve">Another way to translate </w:t>
      </w:r>
      <w:r>
        <w:rPr>
          <w:i/>
          <w:lang w:val="en_US" w:bidi="en_US"/>
        </w:rPr>
        <w:t>with power and great glory</w:t>
      </w:r>
      <w:r>
        <w:rPr>
          <w:lang w:val="en_US" w:bidi="en_US"/>
        </w:rPr>
        <w:t xml:space="preserve"> is:</w:t>
      </w:r>
    </w:p>
    <w:p>
      <w:pPr/>
      <w:r>
        <w:rPr>
          <w:lang w:val="en_US" w:bidi="en_US"/>
        </w:rPr>
      </w:r>
      <w:r>
        <w:rPr>
          <w:lang w:val="en_US" w:bidi="en_US"/>
        </w:rPr>
        <w:t>He will be powerful and very glorious/majestic.</w:t>
      </w:r>
      <w:r>
        <w:rPr>
          <w:lang w:val="en_US" w:bidi="en_US"/>
        </w:rPr>
      </w:r>
      <w:r>
        <w:rPr>
          <w:lang w:val="en_US" w:bidi="en_US"/>
        </w:rPr>
      </w:r>
    </w:p>
    <w:p>
      <w:pPr/>
      <w:r>
        <w:rPr>
          <w:lang w:val="en_US" w:bidi="en_US"/>
        </w:rPr>
      </w:r>
    </w:p>
    <w:p>
      <w:pPr>
        <w:pStyle w:val="Heading2"/>
      </w:pPr>
      <w:r>
        <w:rPr>
          <w:lang w:val="en_US" w:bidi="en_US"/>
        </w:rPr>
        <w:t>Luke 21:28</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21:28a</w:t>
      </w:r>
    </w:p>
    <w:p>
      <w:pPr/>
      <w:r>
        <w:rPr>
          <w:lang w:val="en_US" w:bidi="en_US"/>
        </w:rPr>
      </w:r>
      <w:r>
        <w:rPr>
          <w:b/>
          <w:lang w:val="en_US" w:bidi="en_US"/>
        </w:rPr>
        <w:t>When these things begin to happen,</w:t>
      </w:r>
    </w:p>
    <w:p>
      <w:pPr>
        <w:pStyle w:val="ListBullet"/>
        <w:spacing w:line="240" w:lineRule="auto"/>
        <w:ind w:left="720"/>
      </w:pPr>
      <w:r>
        <w:rPr>
          <w:lang w:val="en_US" w:bidi="en_US"/>
        </w:rPr>
      </w:r>
      <w:r>
        <w:rPr>
          <w:lang w:val="en_US" w:bidi="en_US"/>
        </w:rPr>
        <w:t>When all this starts to happen,</w:t>
      </w:r>
    </w:p>
    <w:p>
      <w:pPr>
        <w:pStyle w:val="ListBullet"/>
        <w:spacing w:line="240" w:lineRule="auto"/>
        <w:ind w:left="720"/>
      </w:pPr>
      <w:r>
        <w:rPr>
          <w:lang w:val="en_US" w:bidi="en_US"/>
        </w:rPr>
      </w:r>
      <w:r>
        <w:rPr>
          <w:lang w:val="en_US" w:bidi="en_US"/>
        </w:rPr>
        <w:t xml:space="preserve">When the </w:t>
      </w:r>
      <w:r>
        <w:rPr>
          <w:lang w:val="en_US" w:bidi="en_US"/>
        </w:rPr>
        <w:t>terrifying/dreadful</w:t>
      </w:r>
      <w:r>
        <w:rPr>
          <w:lang w:val="en_US" w:bidi="en_US"/>
        </w:rPr>
        <w:t xml:space="preserve"> events begin to happen,</w:t>
      </w:r>
    </w:p>
    <w:p>
      <w:pPr/>
      <w:r>
        <w:rPr>
          <w:lang w:val="en_US" w:bidi="en_US"/>
        </w:rPr>
      </w:r>
      <w:r>
        <w:rPr>
          <w:b/>
          <w:lang w:val="en_US" w:bidi="en_US"/>
        </w:rPr>
        <w:t>When these things begin to happen:</w:t>
      </w:r>
      <w:r>
        <w:rPr>
          <w:lang w:val="en_US" w:bidi="en_US"/>
        </w:rPr>
        <w:t xml:space="preserve"> The phrase </w:t>
      </w:r>
      <w:r>
        <w:rPr>
          <w:i/>
          <w:lang w:val="en_US" w:bidi="en_US"/>
        </w:rPr>
        <w:t>these things</w:t>
      </w:r>
      <w:r>
        <w:rPr>
          <w:lang w:val="en_US" w:bidi="en_US"/>
        </w:rPr>
        <w:t xml:space="preserve"> probably refers to the signs of the coming of the Son of Man described in 21:25–26. It may also include some of the other things that Jesus mentioned in 21:10–24. Some other ways to translate 21:28a are:</w:t>
      </w:r>
    </w:p>
    <w:p>
      <w:pPr/>
      <w:r>
        <w:rPr>
          <w:lang w:val="en_US" w:bidi="en_US"/>
        </w:rPr>
      </w:r>
      <w:r>
        <w:rPr>
          <w:lang w:val="en_US" w:bidi="en_US"/>
        </w:rPr>
        <w:t>When all this begins to happen</w:t>
      </w:r>
    </w:p>
    <w:p>
      <w:pPr/>
      <w:r>
        <w:rPr>
          <w:lang w:val="en_US" w:bidi="en_US"/>
        </w:rPr>
      </w:r>
      <w:r>
        <w:rPr>
          <w:lang w:val="en_US" w:bidi="en_US"/>
        </w:rPr>
        <w:t>When these signs/events begin to occur</w:t>
      </w:r>
    </w:p>
    <w:p>
      <w:pPr>
        <w:pStyle w:val="Heading5"/>
      </w:pPr>
      <w:r>
        <w:rPr>
          <w:lang w:val="en_US" w:bidi="en_US"/>
        </w:rPr>
        <w:t>21:28b</w:t>
      </w:r>
    </w:p>
    <w:p>
      <w:pPr/>
      <w:r>
        <w:rPr>
          <w:lang w:val="en_US" w:bidi="en_US"/>
        </w:rPr>
      </w:r>
      <w:r>
        <w:rPr>
          <w:b/>
          <w:lang w:val="en_US" w:bidi="en_US"/>
        </w:rPr>
        <w:t>stand up and lift up your heads,</w:t>
      </w:r>
    </w:p>
    <w:p>
      <w:pPr>
        <w:pStyle w:val="ListBullet"/>
        <w:spacing w:line="240" w:lineRule="auto"/>
        <w:ind w:left="720"/>
      </w:pPr>
      <w:r>
        <w:rPr>
          <w:lang w:val="en_US" w:bidi="en_US"/>
        </w:rPr>
      </w:r>
      <w:r>
        <w:rPr>
          <w:lang w:val="en_US" w:bidi="en_US"/>
        </w:rPr>
        <w:t>stand erect/straight and lift your</w:t>
      </w:r>
      <w:r>
        <w:rPr>
          <w:vertAlign w:val="superscript"/>
          <w:lang w:val="en_US" w:bidi="en_US"/>
        </w:rPr>
        <w:t>(plur)</w:t>
      </w:r>
      <w:r>
        <w:rPr>
          <w:lang w:val="en_US" w:bidi="en_US"/>
        </w:rPr>
        <w:t xml:space="preserve"> heads,</w:t>
      </w:r>
    </w:p>
    <w:p>
      <w:pPr>
        <w:pStyle w:val="ListBullet"/>
        <w:spacing w:line="240" w:lineRule="auto"/>
        <w:ind w:left="720"/>
      </w:pPr>
      <w:r>
        <w:rPr>
          <w:lang w:val="en_US" w:bidi="en_US"/>
        </w:rPr>
      </w:r>
      <w:r>
        <w:rPr>
          <w:lang w:val="en_US" w:bidi="en_US"/>
        </w:rPr>
        <w:t>as for you,</w:t>
      </w:r>
      <w:r>
        <w:rPr>
          <w:vertAlign w:val="superscript"/>
          <w:lang w:val="en_US" w:bidi="en_US"/>
        </w:rPr>
        <w:t>(plur)</w:t>
      </w:r>
      <w:r>
        <w:rPr>
          <w:lang w:val="en_US" w:bidi="en_US"/>
        </w:rPr>
        <w:t xml:space="preserve"> </w:t>
      </w:r>
      <w:r>
        <w:rPr>
          <w:lang w:val="en_US" w:bidi="en_US"/>
        </w:rPr>
        <w:t>my disciples,</w:t>
      </w:r>
      <w:r>
        <w:rPr>
          <w:lang w:val="en_US" w:bidi="en_US"/>
        </w:rPr>
        <w:t xml:space="preserve"> stand </w:t>
      </w:r>
      <w:r>
        <w:rPr>
          <w:lang w:val="en_US" w:bidi="en_US"/>
        </w:rPr>
        <w:t>bravely</w:t>
      </w:r>
      <w:r>
        <w:rPr>
          <w:lang w:val="en_US" w:bidi="en_US"/>
        </w:rPr>
        <w:t xml:space="preserve"> and look up </w:t>
      </w:r>
      <w:r>
        <w:rPr>
          <w:lang w:val="en_US" w:bidi="en_US"/>
        </w:rPr>
        <w:t>with confidence</w:t>
      </w:r>
      <w:r>
        <w:rPr>
          <w:lang w:val="en_US" w:bidi="en_US"/>
        </w:rPr>
        <w:t>,</w:t>
      </w:r>
    </w:p>
    <w:p>
      <w:pPr>
        <w:pStyle w:val="ListBullet"/>
        <w:spacing w:line="240" w:lineRule="auto"/>
        <w:ind w:left="720"/>
      </w:pPr>
      <w:r>
        <w:rPr>
          <w:lang w:val="en_US" w:bidi="en_US"/>
        </w:rPr>
      </w:r>
      <w:r>
        <w:rPr>
          <w:lang w:val="en_US" w:bidi="en_US"/>
        </w:rPr>
        <w:t>be</w:t>
      </w:r>
      <w:r>
        <w:rPr>
          <w:vertAlign w:val="superscript"/>
          <w:lang w:val="en_US" w:bidi="en_US"/>
        </w:rPr>
        <w:t>(plur)</w:t>
      </w:r>
      <w:r>
        <w:rPr>
          <w:lang w:val="en_US" w:bidi="en_US"/>
        </w:rPr>
        <w:t xml:space="preserve"> encouraged and </w:t>
      </w:r>
      <w:r>
        <w:rPr>
          <w:lang w:val="en_US" w:bidi="en_US"/>
        </w:rPr>
        <w:t>joyfully</w:t>
      </w:r>
      <w:r>
        <w:rPr>
          <w:lang w:val="en_US" w:bidi="en_US"/>
        </w:rPr>
        <w:t xml:space="preserve"> look forward to what will soon happen,</w:t>
      </w:r>
    </w:p>
    <w:p>
      <w:pPr/>
      <w:r>
        <w:rPr>
          <w:lang w:val="en_US" w:bidi="en_US"/>
        </w:rPr>
      </w:r>
      <w:r>
        <w:rPr>
          <w:b/>
          <w:lang w:val="en_US" w:bidi="en_US"/>
        </w:rPr>
        <w:t>stand up and lift up your heads:</w:t>
      </w:r>
      <w:r>
        <w:rPr>
          <w:lang w:val="en_US" w:bidi="en_US"/>
        </w:rPr>
        <w:t xml:space="preserve"> Here Jesus told his disciples what they should do when the signs in 21:25–26 begin to happen. These instructions are especially for all of Jesus’ followers who will be alive on earth at that time, both men and women.</w:t>
      </w:r>
      <w:r>
        <w:rPr>
          <w:lang w:val="en_US" w:bidi="en_US"/>
        </w:rPr>
        <w:t>Plummer (p. 485) says, “The disciples present are regarded as representatives of believers generally. Only those who witness the signs can actually fulfill this injunction.”</w:t>
      </w:r>
    </w:p>
    <w:p>
      <w:pPr/>
      <w:r>
        <w:rPr>
          <w:lang w:val="en_US" w:bidi="en_US"/>
        </w:rPr>
      </w:r>
      <w:r>
        <w:rPr>
          <w:lang w:val="en_US" w:bidi="en_US"/>
        </w:rPr>
        <w:t xml:space="preserve">The phrases </w:t>
      </w:r>
      <w:r>
        <w:rPr>
          <w:i/>
          <w:lang w:val="en_US" w:bidi="en_US"/>
        </w:rPr>
        <w:t>stand up</w:t>
      </w:r>
      <w:r>
        <w:rPr>
          <w:lang w:val="en_US" w:bidi="en_US"/>
        </w:rPr>
        <w:t xml:space="preserve"> and </w:t>
      </w:r>
      <w:r>
        <w:rPr>
          <w:i/>
          <w:lang w:val="en_US" w:bidi="en_US"/>
        </w:rPr>
        <w:t>lift up your heads</w:t>
      </w:r>
      <w:r>
        <w:rPr>
          <w:lang w:val="en_US" w:bidi="en_US"/>
        </w:rPr>
        <w:t xml:space="preserve"> are symbolic actions. They symbolize courage and confident expectation. In this context Jesus implied that when his disciples see the signs, they should be courageous and confident. The signs will show that he will return to earth soon.</w:t>
      </w:r>
    </w:p>
    <w:p>
      <w:pPr/>
      <w:r>
        <w:rPr>
          <w:lang w:val="en_US" w:bidi="en_US"/>
        </w:rPr>
      </w:r>
      <w:r>
        <w:rPr>
          <w:lang w:val="en_US" w:bidi="en_US"/>
        </w:rPr>
        <w:t>Some other ways to translate these symbolic actions are:</w:t>
      </w:r>
    </w:p>
    <w:p>
      <w:pPr>
        <w:pStyle w:val="ListBullet"/>
        <w:spacing w:line="240" w:lineRule="auto"/>
        <w:ind w:left="720"/>
      </w:pPr>
      <w:r>
        <w:rPr>
          <w:lang w:val="en_US" w:bidi="en_US"/>
        </w:rPr>
      </w:r>
      <w:r>
        <w:rPr>
          <w:lang w:val="en_US" w:bidi="en_US"/>
        </w:rPr>
        <w:t>Translate the actions and indicate the meaning. For example:</w:t>
      </w:r>
      <w:r>
        <w:rPr>
          <w:lang w:val="en_US" w:bidi="en_US"/>
        </w:rPr>
        <w:t xml:space="preserve">Stand </w:t>
      </w:r>
      <w:r>
        <w:rPr>
          <w:lang w:val="en_US" w:bidi="en_US"/>
        </w:rPr>
        <w:t>courageously</w:t>
      </w:r>
      <w:r>
        <w:rPr>
          <w:lang w:val="en_US" w:bidi="en_US"/>
        </w:rPr>
        <w:t xml:space="preserve"> and lift your heads </w:t>
      </w:r>
      <w:r>
        <w:rPr>
          <w:lang w:val="en_US" w:bidi="en_US"/>
        </w:rPr>
        <w:t>with confidence</w:t>
      </w:r>
      <w:r>
        <w:rPr>
          <w:lang w:val="en_US" w:bidi="en_US"/>
        </w:rPr>
        <w:t>.</w:t>
      </w:r>
    </w:p>
    <w:p>
      <w:pPr>
        <w:pStyle w:val="ListBullet"/>
        <w:spacing w:line="240" w:lineRule="auto"/>
        <w:ind w:left="720"/>
      </w:pPr>
      <w:r>
        <w:rPr>
          <w:lang w:val="en_US" w:bidi="en_US"/>
        </w:rPr>
      </w:r>
      <w:r>
        <w:rPr>
          <w:lang w:val="en_US" w:bidi="en_US"/>
        </w:rPr>
        <w:t>Use similar actions or idioms in your culture that express this same meaning. For example:</w:t>
      </w:r>
      <w:r>
        <w:rPr>
          <w:lang w:val="en_US" w:bidi="en_US"/>
        </w:rPr>
        <w:t>make strong your hearts and look-up</w:t>
      </w:r>
      <w:r>
        <w:rPr>
          <w:lang w:val="en_US" w:bidi="en_US"/>
        </w:rPr>
        <w:t>Uma back translation on TW.</w:t>
      </w:r>
      <w:r>
        <w:rPr>
          <w:lang w:val="en_US" w:bidi="en_US"/>
        </w:rPr>
        <w:t>strengthen and make-happy your minds</w:t>
      </w:r>
      <w:r>
        <w:rPr>
          <w:lang w:val="en_US" w:bidi="en_US"/>
        </w:rPr>
        <w:t>Kankanaey back translation on TW.</w:t>
      </w:r>
    </w:p>
    <w:p>
      <w:pPr>
        <w:pStyle w:val="ListBullet"/>
        <w:spacing w:line="240" w:lineRule="auto"/>
        <w:ind w:left="720"/>
      </w:pPr>
      <w:r>
        <w:rPr>
          <w:lang w:val="en_US" w:bidi="en_US"/>
        </w:rPr>
      </w:r>
      <w:r>
        <w:rPr>
          <w:lang w:val="en_US" w:bidi="en_US"/>
        </w:rPr>
        <w:t>Use only one action to express the meaning. For example:</w:t>
      </w:r>
      <w:r>
        <w:rPr>
          <w:lang w:val="en_US" w:bidi="en_US"/>
        </w:rPr>
        <w:t>stand with confidence (GW)</w:t>
      </w:r>
    </w:p>
    <w:p>
      <w:pPr>
        <w:pStyle w:val="ListBullet"/>
        <w:spacing w:line="240" w:lineRule="auto"/>
        <w:ind w:left="720"/>
      </w:pPr>
      <w:r>
        <w:rPr>
          <w:lang w:val="en_US" w:bidi="en_US"/>
        </w:rPr>
      </w:r>
      <w:r>
        <w:rPr>
          <w:lang w:val="en_US" w:bidi="en_US"/>
        </w:rPr>
        <w:t>Translate the meaning without the actions. For example:</w:t>
      </w:r>
      <w:r>
        <w:rPr>
          <w:lang w:val="en_US" w:bidi="en_US"/>
        </w:rPr>
        <w:t>be courageous and confident</w:t>
      </w:r>
    </w:p>
    <w:p>
      <w:pPr/>
      <w:r>
        <w:rPr>
          <w:lang w:val="en_US" w:bidi="en_US"/>
        </w:rPr>
      </w:r>
      <w:r>
        <w:rPr>
          <w:lang w:val="en_US" w:bidi="en_US"/>
        </w:rPr>
        <w:t>Translate the meaning in a natural way in your language.</w:t>
      </w:r>
    </w:p>
    <w:p>
      <w:pPr/>
      <w:r>
        <w:rPr>
          <w:lang w:val="en_US" w:bidi="en_US"/>
        </w:rPr>
      </w:r>
      <w:r>
        <w:rPr>
          <w:b/>
          <w:lang w:val="en_US" w:bidi="en_US"/>
        </w:rPr>
        <w:t>stand up:</w:t>
      </w:r>
      <w:r>
        <w:rPr>
          <w:lang w:val="en_US" w:bidi="en_US"/>
        </w:rPr>
        <w:t xml:space="preserve"> Scholars interpret the Greek word that the BSB translates as </w:t>
      </w:r>
      <w:r>
        <w:rPr>
          <w:i/>
          <w:lang w:val="en_US" w:bidi="en_US"/>
        </w:rPr>
        <w:t>stand up</w:t>
      </w:r>
      <w:r>
        <w:rPr>
          <w:lang w:val="en_US" w:bidi="en_US"/>
        </w:rPr>
        <w:t xml:space="preserve"> in two ways:</w:t>
      </w:r>
    </w:p>
    <w:p>
      <w:pPr>
        <w:pStyle w:val="ListNumber"/>
        <w:numPr>
          <w:ilvl w:val="0"/>
          <w:numId w:val="345"/>
        </w:numPr>
        <w:spacing w:line="240" w:lineRule="auto"/>
        <w:ind w:left="720"/>
      </w:pPr>
      <w:r>
        <w:rPr>
          <w:lang w:val="en_US" w:bidi="en_US"/>
        </w:rPr>
      </w:r>
      <w:r>
        <w:rPr>
          <w:lang w:val="en_US" w:bidi="en_US"/>
        </w:rPr>
        <w:t xml:space="preserve">It means </w:t>
      </w:r>
      <w:r>
        <w:rPr>
          <w:u w:val="single"/>
          <w:lang w:val="en_US" w:bidi="en_US"/>
        </w:rPr>
        <w:t>stand up</w:t>
      </w:r>
      <w:r>
        <w:rPr>
          <w:lang w:val="en_US" w:bidi="en_US"/>
        </w:rPr>
        <w:t>. Here is another way to translate this:</w:t>
      </w:r>
      <w:r>
        <w:rPr>
          <w:lang w:val="en_US" w:bidi="en_US"/>
        </w:rPr>
        <w:t xml:space="preserve">stand erect (NJB) </w:t>
      </w:r>
      <w:r>
        <w:rPr>
          <w:i/>
          <w:lang w:val="en_US" w:bidi="en_US"/>
        </w:rPr>
        <w:t>(BSB, NJB, NIV, GNT, NASB, NRSV, REB, NET, NLT, GW, CEV, ESV)</w:t>
      </w:r>
    </w:p>
    <w:p>
      <w:pPr>
        <w:pStyle w:val="ListNumber"/>
        <w:spacing w:line="240" w:lineRule="auto"/>
        <w:ind w:left="720"/>
      </w:pPr>
      <w:r>
        <w:rPr>
          <w:lang w:val="en_US" w:bidi="en_US"/>
        </w:rPr>
      </w:r>
      <w:r>
        <w:rPr>
          <w:lang w:val="en_US" w:bidi="en_US"/>
        </w:rPr>
        <w:t xml:space="preserve">It means </w:t>
      </w:r>
      <w:r>
        <w:rPr>
          <w:u w:val="single"/>
          <w:lang w:val="en_US" w:bidi="en_US"/>
        </w:rPr>
        <w:t>look up</w:t>
      </w:r>
      <w:r>
        <w:rPr>
          <w:lang w:val="en_US" w:bidi="en_US"/>
        </w:rPr>
        <w:t>. Here is another way to translate this:</w:t>
      </w:r>
      <w:r>
        <w:rPr>
          <w:lang w:val="en_US" w:bidi="en_US"/>
        </w:rPr>
        <w:t xml:space="preserve">look up (RSV) </w:t>
      </w:r>
      <w:r>
        <w:rPr>
          <w:i/>
          <w:lang w:val="en_US" w:bidi="en_US"/>
        </w:rPr>
        <w:t>(RSV, KJV, NCV, JBP)</w:t>
      </w:r>
    </w:p>
    <w:p>
      <w:pPr/>
      <w:r>
        <w:rPr>
          <w:lang w:val="en_US" w:bidi="en_US"/>
        </w:rPr>
      </w:r>
      <w:r>
        <w:rPr>
          <w:lang w:val="en_US" w:bidi="en_US"/>
        </w:rPr>
        <w:t>It is recommended that you follow interpretation (1).</w:t>
      </w:r>
    </w:p>
    <w:p>
      <w:pPr/>
      <w:r>
        <w:rPr>
          <w:lang w:val="en_US" w:bidi="en_US"/>
        </w:rPr>
      </w:r>
      <w:r>
        <w:rPr>
          <w:b/>
          <w:lang w:val="en_US" w:bidi="en_US"/>
        </w:rPr>
        <w:t>lift up your heads:</w:t>
      </w:r>
      <w:r>
        <w:rPr>
          <w:lang w:val="en_US" w:bidi="en_US"/>
        </w:rPr>
        <w:t xml:space="preserve"> The Greek phrase that the BSB translates as </w:t>
      </w:r>
      <w:r>
        <w:rPr>
          <w:i/>
          <w:lang w:val="en_US" w:bidi="en_US"/>
        </w:rPr>
        <w:t>lift up your heads</w:t>
      </w:r>
      <w:r>
        <w:rPr>
          <w:lang w:val="en_US" w:bidi="en_US"/>
        </w:rPr>
        <w:t xml:space="preserve"> means to hold your head upright as a sign of courage. In some languages a literal translation may imply a wrong meaning (like having pride rather than courage). If this is true in your language, translate the meaning in a different way. See the suggestions in the note on “stand up and lift up your heads” earlier in 21:28b.</w:t>
      </w:r>
    </w:p>
    <w:p>
      <w:pPr>
        <w:pStyle w:val="Heading5"/>
      </w:pPr>
      <w:r>
        <w:rPr>
          <w:lang w:val="en_US" w:bidi="en_US"/>
        </w:rPr>
        <w:t>21:28c</w:t>
      </w:r>
    </w:p>
    <w:p>
      <w:pPr/>
      <w:r>
        <w:rPr>
          <w:lang w:val="en_US" w:bidi="en_US"/>
        </w:rPr>
      </w:r>
      <w:r>
        <w:rPr>
          <w:b/>
          <w:lang w:val="en_US" w:bidi="en_US"/>
        </w:rPr>
        <w:t>because your redemption is drawing near.”</w:t>
      </w:r>
    </w:p>
    <w:p>
      <w:pPr>
        <w:pStyle w:val="ListBullet"/>
        <w:spacing w:line="240" w:lineRule="auto"/>
        <w:ind w:left="720"/>
      </w:pPr>
      <w:r>
        <w:rPr>
          <w:lang w:val="en_US" w:bidi="en_US"/>
        </w:rPr>
      </w:r>
      <w:r>
        <w:rPr>
          <w:lang w:val="en_US" w:bidi="en_US"/>
        </w:rPr>
        <w:t>realizing that you</w:t>
      </w:r>
      <w:r>
        <w:rPr>
          <w:vertAlign w:val="superscript"/>
          <w:lang w:val="en_US" w:bidi="en_US"/>
        </w:rPr>
        <w:t>(plur)</w:t>
      </w:r>
      <w:r>
        <w:rPr>
          <w:lang w:val="en_US" w:bidi="en_US"/>
        </w:rPr>
        <w:t xml:space="preserve"> will soon be redeemed/liberated.”</w:t>
      </w:r>
    </w:p>
    <w:p>
      <w:pPr>
        <w:pStyle w:val="ListBullet"/>
        <w:spacing w:line="240" w:lineRule="auto"/>
        <w:ind w:left="720"/>
      </w:pPr>
      <w:r>
        <w:rPr>
          <w:lang w:val="en_US" w:bidi="en_US"/>
        </w:rPr>
      </w:r>
      <w:r>
        <w:rPr>
          <w:lang w:val="en_US" w:bidi="en_US"/>
        </w:rPr>
        <w:t xml:space="preserve">because </w:t>
      </w:r>
      <w:r>
        <w:rPr>
          <w:lang w:val="en_US" w:bidi="en_US"/>
        </w:rPr>
        <w:t>these things show/mean that</w:t>
      </w:r>
      <w:r>
        <w:rPr>
          <w:lang w:val="en_US" w:bidi="en_US"/>
        </w:rPr>
        <w:t xml:space="preserve"> </w:t>
      </w:r>
      <w:r>
        <w:rPr>
          <w:lang w:val="en_US" w:bidi="en_US"/>
        </w:rPr>
        <w:t>God</w:t>
      </w:r>
      <w:r>
        <w:rPr>
          <w:lang w:val="en_US" w:bidi="en_US"/>
        </w:rPr>
        <w:t xml:space="preserve"> will soon save you</w:t>
      </w:r>
      <w:r>
        <w:rPr>
          <w:vertAlign w:val="superscript"/>
          <w:lang w:val="en_US" w:bidi="en_US"/>
        </w:rPr>
        <w:t>(plur)</w:t>
      </w:r>
      <w:r>
        <w:rPr>
          <w:lang w:val="en_US" w:bidi="en_US"/>
        </w:rPr>
        <w:t xml:space="preserve"> </w:t>
      </w:r>
      <w:r>
        <w:rPr>
          <w:lang w:val="en_US" w:bidi="en_US"/>
        </w:rPr>
        <w:t>from suffering/evils</w:t>
      </w:r>
      <w:r>
        <w:rPr>
          <w:lang w:val="en_US" w:bidi="en_US"/>
        </w:rPr>
        <w:t>.”</w:t>
      </w:r>
    </w:p>
    <w:p>
      <w:pPr/>
      <w:r>
        <w:rPr>
          <w:lang w:val="en_US" w:bidi="en_US"/>
        </w:rPr>
      </w:r>
      <w:r>
        <w:rPr>
          <w:b/>
          <w:lang w:val="en_US" w:bidi="en_US"/>
        </w:rPr>
        <w:t>because your redemption is drawing near:</w:t>
      </w:r>
      <w:r>
        <w:rPr>
          <w:lang w:val="en_US" w:bidi="en_US"/>
        </w:rPr>
        <w:t xml:space="preserve"> This clause gives the reason that the disciples should gain new courage. The signs that they will see indicate that they will soon be redeemed.</w:t>
      </w:r>
    </w:p>
    <w:p>
      <w:pPr/>
      <w:r>
        <w:rPr>
          <w:lang w:val="en_US" w:bidi="en_US"/>
        </w:rPr>
      </w:r>
      <w:r>
        <w:rPr>
          <w:lang w:val="en_US" w:bidi="en_US"/>
        </w:rPr>
        <w:t xml:space="preserve">In some languages it is necessary to translate </w:t>
      </w:r>
      <w:r>
        <w:rPr>
          <w:i/>
          <w:lang w:val="en_US" w:bidi="en_US"/>
        </w:rPr>
        <w:t>redemption</w:t>
      </w:r>
      <w:r>
        <w:rPr>
          <w:lang w:val="en_US" w:bidi="en_US"/>
        </w:rPr>
        <w:t xml:space="preserve"> as a verb. Some ways to do this are:</w:t>
      </w:r>
    </w:p>
    <w:p>
      <w:pPr>
        <w:pStyle w:val="ListBullet"/>
        <w:spacing w:line="240" w:lineRule="auto"/>
        <w:ind w:left="720"/>
      </w:pPr>
      <w:r>
        <w:rPr>
          <w:lang w:val="en_US" w:bidi="en_US"/>
        </w:rPr>
      </w:r>
      <w:r>
        <w:rPr>
          <w:lang w:val="en_US" w:bidi="en_US"/>
        </w:rPr>
        <w:t>Use a passive verb. For example:</w:t>
      </w:r>
      <w:r>
        <w:rPr>
          <w:lang w:val="en_US" w:bidi="en_US"/>
        </w:rPr>
        <w:t>the time when you will be redeemed is drawing near</w:t>
      </w:r>
      <w:r>
        <w:rPr>
          <w:lang w:val="en_US" w:bidi="en_US"/>
        </w:rPr>
        <w:t>you will soon be redeemed</w:t>
      </w:r>
    </w:p>
    <w:p>
      <w:pPr>
        <w:pStyle w:val="ListBullet"/>
        <w:spacing w:line="240" w:lineRule="auto"/>
        <w:ind w:left="720"/>
      </w:pPr>
      <w:r>
        <w:rPr>
          <w:lang w:val="en_US" w:bidi="en_US"/>
        </w:rPr>
      </w:r>
      <w:r>
        <w:rPr>
          <w:lang w:val="en_US" w:bidi="en_US"/>
        </w:rPr>
        <w:t>Use an active verb and supply God as the subject. For example:</w:t>
      </w:r>
      <w:r>
        <w:rPr>
          <w:lang w:val="en_US" w:bidi="en_US"/>
        </w:rPr>
        <w:t>God</w:t>
      </w:r>
      <w:r>
        <w:rPr>
          <w:lang w:val="en_US" w:bidi="en_US"/>
        </w:rPr>
        <w:t xml:space="preserve"> is about to redeem you.</w:t>
      </w:r>
    </w:p>
    <w:p>
      <w:pPr/>
      <w:r>
        <w:rPr>
          <w:lang w:val="en_US" w:bidi="en_US"/>
        </w:rPr>
      </w:r>
      <w:r>
        <w:rPr>
          <w:b/>
          <w:lang w:val="en_US" w:bidi="en_US"/>
        </w:rPr>
        <w:t>redemption:</w:t>
      </w:r>
      <w:r>
        <w:rPr>
          <w:lang w:val="en_US" w:bidi="en_US"/>
        </w:rPr>
        <w:t xml:space="preserve"> The Greek word that the BSB translates as </w:t>
      </w:r>
      <w:r>
        <w:rPr>
          <w:i/>
          <w:lang w:val="en_US" w:bidi="en_US"/>
        </w:rPr>
        <w:t>redemption</w:t>
      </w:r>
      <w:r>
        <w:rPr>
          <w:lang w:val="en_US" w:bidi="en_US"/>
        </w:rPr>
        <w:t xml:space="preserve"> refers to freeing or rescuing someone. In this case it refers to God freeing his people from evil and from the suffering that evil people and powers have caused them. Some ways to translate </w:t>
      </w:r>
      <w:r>
        <w:rPr>
          <w:i/>
          <w:lang w:val="en_US" w:bidi="en_US"/>
        </w:rPr>
        <w:t>redemption</w:t>
      </w:r>
      <w:r>
        <w:rPr>
          <w:lang w:val="en_US" w:bidi="en_US"/>
        </w:rPr>
        <w:t xml:space="preserve"> are:</w:t>
      </w:r>
    </w:p>
    <w:p>
      <w:pPr/>
      <w:r>
        <w:rPr>
          <w:lang w:val="en_US" w:bidi="en_US"/>
        </w:rPr>
      </w:r>
      <w:r>
        <w:rPr>
          <w:lang w:val="en_US" w:bidi="en_US"/>
        </w:rPr>
        <w:t>the time when God will free you (NCV)</w:t>
      </w:r>
    </w:p>
    <w:p>
      <w:pPr/>
      <w:r>
        <w:rPr>
          <w:lang w:val="en_US" w:bidi="en_US"/>
        </w:rPr>
      </w:r>
      <w:r>
        <w:rPr>
          <w:lang w:val="en_US" w:bidi="en_US"/>
        </w:rPr>
        <w:t>your salvation/deliverance</w:t>
      </w:r>
    </w:p>
    <w:p>
      <w:pPr/>
      <w:r>
        <w:rPr>
          <w:lang w:val="en_US" w:bidi="en_US"/>
        </w:rPr>
      </w:r>
      <w:r>
        <w:rPr>
          <w:lang w:val="en_US" w:bidi="en_US"/>
        </w:rPr>
        <w:t>You will soon be set free (CEV)</w:t>
      </w:r>
    </w:p>
    <w:p>
      <w:pPr/>
      <w:r>
        <w:rPr>
          <w:lang w:val="en_US" w:bidi="en_US"/>
        </w:rPr>
      </w:r>
      <w:r>
        <w:rPr>
          <w:lang w:val="en_US" w:bidi="en_US"/>
        </w:rPr>
        <w:t>If you must say what the people will be freed from, use a general term like “your sufferings/troubles.” For example:</w:t>
      </w:r>
    </w:p>
    <w:p>
      <w:pPr/>
      <w:r>
        <w:rPr>
          <w:lang w:val="en_US" w:bidi="en_US"/>
        </w:rPr>
      </w:r>
      <w:r>
        <w:rPr>
          <w:lang w:val="en_US" w:bidi="en_US"/>
        </w:rPr>
        <w:t>you will be freed from your suffering.</w:t>
      </w:r>
      <w:r>
        <w:rPr>
          <w:lang w:val="en_US" w:bidi="en_US"/>
        </w:rPr>
        <w:t>Uma back translation on TW.</w:t>
      </w:r>
    </w:p>
    <w:p>
      <w:pPr/>
      <w:r>
        <w:rPr>
          <w:lang w:val="en_US" w:bidi="en_US"/>
        </w:rPr>
      </w:r>
      <w:r>
        <w:rPr>
          <w:lang w:val="en_US" w:bidi="en_US"/>
        </w:rPr>
        <w:t>See “redeem,” sense B1(b), in KBT.</w:t>
      </w:r>
      <w:r>
        <w:rPr>
          <w:lang w:val="en_US" w:bidi="en_US"/>
        </w:rPr>
      </w:r>
      <w:r>
        <w:rPr>
          <w:lang w:val="en_US" w:bidi="en_US"/>
        </w:rPr>
      </w:r>
    </w:p>
    <w:p>
      <w:pPr/>
      <w:r>
        <w:rPr>
          <w:lang w:val="en_US" w:bidi="en_US"/>
        </w:rPr>
      </w:r>
    </w:p>
    <w:p>
      <w:pPr>
        <w:pStyle w:val="Heading2"/>
      </w:pPr>
      <w:r>
        <w:rPr>
          <w:lang w:val="en_US" w:bidi="en_US"/>
        </w:rPr>
        <w:t>Luke 21:29</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21:29a</w:t>
      </w:r>
    </w:p>
    <w:p>
      <w:pPr/>
      <w:r>
        <w:rPr>
          <w:lang w:val="en_US" w:bidi="en_US"/>
        </w:rPr>
      </w:r>
      <w:r>
        <w:rPr>
          <w:b/>
          <w:lang w:val="en_US" w:bidi="en_US"/>
        </w:rPr>
        <w:t>Then Jesus told them a parable:</w:t>
      </w:r>
    </w:p>
    <w:p>
      <w:pPr>
        <w:pStyle w:val="ListBullet"/>
        <w:spacing w:line="240" w:lineRule="auto"/>
        <w:ind w:left="720"/>
      </w:pPr>
      <w:r>
        <w:rPr>
          <w:lang w:val="en_US" w:bidi="en_US"/>
        </w:rPr>
      </w:r>
      <w:r>
        <w:rPr>
          <w:lang w:val="en_US" w:bidi="en_US"/>
        </w:rPr>
        <w:t xml:space="preserve">¶ Then he gave them a comparison </w:t>
      </w:r>
      <w:r>
        <w:rPr>
          <w:lang w:val="en_US" w:bidi="en_US"/>
        </w:rPr>
        <w:t>He said,</w:t>
      </w:r>
    </w:p>
    <w:p>
      <w:pPr>
        <w:pStyle w:val="ListBullet"/>
        <w:spacing w:line="240" w:lineRule="auto"/>
        <w:ind w:left="720"/>
      </w:pPr>
      <w:r>
        <w:rPr>
          <w:lang w:val="en_US" w:bidi="en_US"/>
        </w:rPr>
      </w:r>
      <w:r>
        <w:rPr>
          <w:lang w:val="en_US" w:bidi="en_US"/>
        </w:rPr>
        <w:t>¶ Then Jesus told his disciples a parable/illustration, saying,</w:t>
      </w:r>
    </w:p>
    <w:p>
      <w:pPr/>
      <w:r>
        <w:rPr>
          <w:lang w:val="en_US" w:bidi="en_US"/>
        </w:rPr>
      </w:r>
      <w:r>
        <w:rPr>
          <w:b/>
          <w:lang w:val="en_US" w:bidi="en_US"/>
        </w:rPr>
        <w:t>Then Jesus told them a parable:</w:t>
      </w:r>
      <w:r>
        <w:rPr>
          <w:lang w:val="en_US" w:bidi="en_US"/>
        </w:rPr>
        <w:t xml:space="preserve"> This clause begins a new paragraph. In this paragraph Jesus gave an illustration to help his disciples understand more clearly what he had been teaching them. In Greek the paragraph begins with a conjunction. Some ways to translate the clause are:</w:t>
      </w:r>
    </w:p>
    <w:p>
      <w:pPr/>
      <w:r>
        <w:rPr>
          <w:lang w:val="en_US" w:bidi="en_US"/>
        </w:rPr>
      </w:r>
      <w:r>
        <w:rPr>
          <w:lang w:val="en_US" w:bidi="en_US"/>
        </w:rPr>
        <w:t>Then Jesus told them this parable: (GNT)</w:t>
      </w:r>
    </w:p>
    <w:p>
      <w:pPr/>
      <w:r>
        <w:rPr>
          <w:lang w:val="en_US" w:bidi="en_US"/>
        </w:rPr>
      </w:r>
      <w:r>
        <w:rPr>
          <w:lang w:val="en_US" w:bidi="en_US"/>
        </w:rPr>
        <w:t>Then he gave them this illustration (NLT)</w:t>
      </w:r>
    </w:p>
    <w:p>
      <w:pPr/>
      <w:r>
        <w:rPr>
          <w:lang w:val="en_US" w:bidi="en_US"/>
        </w:rPr>
      </w:r>
      <w:r>
        <w:rPr>
          <w:lang w:val="en_US" w:bidi="en_US"/>
        </w:rPr>
        <w:t xml:space="preserve">Then Jesus compared what he meant </w:t>
      </w:r>
      <w:r>
        <w:rPr>
          <w:lang w:val="en_US" w:bidi="en_US"/>
        </w:rPr>
        <w:t>to a fig tree</w:t>
      </w:r>
      <w:r>
        <w:rPr>
          <w:lang w:val="en_US" w:bidi="en_US"/>
        </w:rPr>
        <w:t>:</w:t>
      </w:r>
    </w:p>
    <w:p>
      <w:pPr/>
      <w:r>
        <w:rPr>
          <w:lang w:val="en_US" w:bidi="en_US"/>
        </w:rPr>
      </w:r>
      <w:r>
        <w:rPr>
          <w:lang w:val="en_US" w:bidi="en_US"/>
        </w:rPr>
        <w:t>He further advised/instructed them, saying</w:t>
      </w:r>
    </w:p>
    <w:p>
      <w:pPr/>
      <w:r>
        <w:rPr>
          <w:lang w:val="en_US" w:bidi="en_US"/>
        </w:rPr>
      </w:r>
      <w:r>
        <w:rPr>
          <w:b/>
          <w:lang w:val="en_US" w:bidi="en_US"/>
        </w:rPr>
        <w:t>a parable:</w:t>
      </w:r>
      <w:r>
        <w:rPr>
          <w:lang w:val="en_US" w:bidi="en_US"/>
        </w:rPr>
        <w:t xml:space="preserve"> The Greek word that the BSB translates as </w:t>
      </w:r>
      <w:r>
        <w:rPr>
          <w:i/>
          <w:lang w:val="en_US" w:bidi="en_US"/>
        </w:rPr>
        <w:t>parable</w:t>
      </w:r>
      <w:r>
        <w:rPr>
          <w:lang w:val="en_US" w:bidi="en_US"/>
        </w:rPr>
        <w:t xml:space="preserve"> refers to a comparison or illustration. A parable teaches people a truth or lesson by showing how it is like something that they already know about.</w:t>
      </w:r>
    </w:p>
    <w:p>
      <w:pPr/>
      <w:r>
        <w:rPr>
          <w:lang w:val="en_US" w:bidi="en_US"/>
        </w:rPr>
      </w:r>
      <w:r>
        <w:rPr>
          <w:lang w:val="en_US" w:bidi="en_US"/>
        </w:rPr>
        <w:t>In this parable Jesus compared the signs of his coming to new leaves growing on trees. Just as new leaves show that summer is near, so the signs will show that Jesus’ return is near.</w:t>
      </w:r>
    </w:p>
    <w:p>
      <w:pPr/>
      <w:r>
        <w:rPr>
          <w:lang w:val="en_US" w:bidi="en_US"/>
        </w:rPr>
      </w:r>
      <w:r>
        <w:rPr>
          <w:lang w:val="en_US" w:bidi="en_US"/>
        </w:rPr>
        <w:t xml:space="preserve">Use an appropriate word in your language for an illustration like this. If the word that you normally use to translate </w:t>
      </w:r>
      <w:r>
        <w:rPr>
          <w:i/>
          <w:lang w:val="en_US" w:bidi="en_US"/>
        </w:rPr>
        <w:t>parable</w:t>
      </w:r>
      <w:r>
        <w:rPr>
          <w:lang w:val="en_US" w:bidi="en_US"/>
        </w:rPr>
        <w:t xml:space="preserve"> refers to a different type of illustration or story, you may need to use a different word here. Some ways to translate </w:t>
      </w:r>
      <w:r>
        <w:rPr>
          <w:i/>
          <w:lang w:val="en_US" w:bidi="en_US"/>
        </w:rPr>
        <w:t>parable</w:t>
      </w:r>
      <w:r>
        <w:rPr>
          <w:lang w:val="en_US" w:bidi="en_US"/>
        </w:rPr>
        <w:t xml:space="preserve"> here are:</w:t>
      </w:r>
    </w:p>
    <w:p>
      <w:pPr/>
      <w:r>
        <w:rPr>
          <w:lang w:val="en_US" w:bidi="en_US"/>
        </w:rPr>
      </w:r>
      <w:r>
        <w:rPr>
          <w:lang w:val="en_US" w:bidi="en_US"/>
        </w:rPr>
        <w:t>comparison</w:t>
      </w:r>
    </w:p>
    <w:p>
      <w:pPr/>
      <w:r>
        <w:rPr>
          <w:lang w:val="en_US" w:bidi="en_US"/>
        </w:rPr>
      </w:r>
      <w:r>
        <w:rPr>
          <w:lang w:val="en_US" w:bidi="en_US"/>
        </w:rPr>
        <w:t>illustration</w:t>
      </w:r>
    </w:p>
    <w:p>
      <w:pPr/>
      <w:r>
        <w:rPr>
          <w:lang w:val="en_US" w:bidi="en_US"/>
        </w:rPr>
      </w:r>
      <w:r>
        <w:rPr>
          <w:lang w:val="en_US" w:bidi="en_US"/>
        </w:rPr>
        <w:t>See also parable, Type 2, in the Glossary.</w:t>
      </w:r>
    </w:p>
    <w:p>
      <w:pPr>
        <w:pStyle w:val="Heading5"/>
      </w:pPr>
      <w:r>
        <w:rPr>
          <w:lang w:val="en_US" w:bidi="en_US"/>
        </w:rPr>
        <w:t>21:29b</w:t>
      </w:r>
    </w:p>
    <w:p>
      <w:pPr/>
      <w:r>
        <w:rPr>
          <w:lang w:val="en_US" w:bidi="en_US"/>
        </w:rPr>
      </w:r>
      <w:r>
        <w:rPr>
          <w:b/>
          <w:lang w:val="en_US" w:bidi="en_US"/>
        </w:rPr>
        <w:t>“Look at the fig tree and all the trees.</w:t>
      </w:r>
    </w:p>
    <w:p>
      <w:pPr>
        <w:pStyle w:val="ListBullet"/>
        <w:spacing w:line="240" w:lineRule="auto"/>
        <w:ind w:left="720"/>
      </w:pPr>
      <w:r>
        <w:rPr>
          <w:lang w:val="en_US" w:bidi="en_US"/>
        </w:rPr>
      </w:r>
      <w:r>
        <w:rPr>
          <w:lang w:val="en_US" w:bidi="en_US"/>
        </w:rPr>
        <w:t>“Think</w:t>
      </w:r>
      <w:r>
        <w:rPr>
          <w:vertAlign w:val="superscript"/>
          <w:lang w:val="en_US" w:bidi="en_US"/>
        </w:rPr>
        <w:t>(plur)</w:t>
      </w:r>
      <w:r>
        <w:rPr>
          <w:lang w:val="en_US" w:bidi="en_US"/>
        </w:rPr>
        <w:t xml:space="preserve"> about the fig tree or any other tree.</w:t>
      </w:r>
    </w:p>
    <w:p>
      <w:pPr>
        <w:pStyle w:val="ListBullet"/>
        <w:spacing w:line="240" w:lineRule="auto"/>
        <w:ind w:left="720"/>
      </w:pPr>
      <w:r>
        <w:rPr>
          <w:lang w:val="en_US" w:bidi="en_US"/>
        </w:rPr>
      </w:r>
      <w:r>
        <w:rPr>
          <w:lang w:val="en_US" w:bidi="en_US"/>
        </w:rPr>
        <w:t xml:space="preserve">“Everyone knows what happens to fig trees and to </w:t>
      </w:r>
      <w:r>
        <w:rPr>
          <w:lang w:val="en_US" w:bidi="en_US"/>
        </w:rPr>
        <w:t>most</w:t>
      </w:r>
      <w:r>
        <w:rPr>
          <w:lang w:val="en_US" w:bidi="en_US"/>
        </w:rPr>
        <w:t xml:space="preserve"> other trees.</w:t>
      </w:r>
    </w:p>
    <w:p>
      <w:pPr/>
      <w:r>
        <w:rPr>
          <w:lang w:val="en_US" w:bidi="en_US"/>
        </w:rPr>
      </w:r>
      <w:r>
        <w:rPr>
          <w:b/>
          <w:lang w:val="en_US" w:bidi="en_US"/>
        </w:rPr>
        <w:t>Look at the fig tree:</w:t>
      </w:r>
      <w:r>
        <w:rPr>
          <w:lang w:val="en_US" w:bidi="en_US"/>
        </w:rPr>
        <w:t xml:space="preserve"> Here the clause </w:t>
      </w:r>
      <w:r>
        <w:rPr>
          <w:i/>
          <w:lang w:val="en_US" w:bidi="en_US"/>
        </w:rPr>
        <w:t>Look at the fig tree</w:t>
      </w:r>
      <w:r>
        <w:rPr>
          <w:lang w:val="en_US" w:bidi="en_US"/>
        </w:rPr>
        <w:t xml:space="preserve"> indicates that Jesus wanted his disciples to notice or remember what happens to fig trees. He may not have been pointing to a particular fig tree at that time. Some other ways to translate this clause are:</w:t>
      </w:r>
    </w:p>
    <w:p>
      <w:pPr/>
      <w:r>
        <w:rPr>
          <w:lang w:val="en_US" w:bidi="en_US"/>
        </w:rPr>
      </w:r>
      <w:r>
        <w:rPr>
          <w:lang w:val="en_US" w:bidi="en_US"/>
        </w:rPr>
        <w:t xml:space="preserve">Think about </w:t>
      </w:r>
      <w:r>
        <w:rPr>
          <w:lang w:val="en_US" w:bidi="en_US"/>
        </w:rPr>
        <w:t>what happens to</w:t>
      </w:r>
      <w:r>
        <w:rPr>
          <w:lang w:val="en_US" w:bidi="en_US"/>
        </w:rPr>
        <w:t xml:space="preserve"> a fig tree.</w:t>
      </w:r>
    </w:p>
    <w:p>
      <w:pPr/>
      <w:r>
        <w:rPr>
          <w:lang w:val="en_US" w:bidi="en_US"/>
        </w:rPr>
      </w:r>
      <w:r>
        <w:rPr>
          <w:lang w:val="en_US" w:bidi="en_US"/>
        </w:rPr>
        <w:t>When you see a fig tree… (CEV)</w:t>
      </w:r>
    </w:p>
    <w:p>
      <w:pPr/>
      <w:r>
        <w:rPr>
          <w:lang w:val="en_US" w:bidi="en_US"/>
        </w:rPr>
      </w:r>
      <w:r>
        <w:rPr>
          <w:lang w:val="en_US" w:bidi="en_US"/>
        </w:rPr>
        <w:t>Notice the fig tree… (NLT)</w:t>
      </w:r>
    </w:p>
    <w:p>
      <w:pPr/>
      <w:r>
        <w:rPr>
          <w:lang w:val="en_US" w:bidi="en_US"/>
        </w:rPr>
      </w:r>
      <w:r>
        <w:rPr>
          <w:b/>
          <w:lang w:val="en_US" w:bidi="en_US"/>
        </w:rPr>
        <w:t>the fig tree:</w:t>
      </w:r>
      <w:r>
        <w:rPr>
          <w:lang w:val="en_US" w:bidi="en_US"/>
        </w:rPr>
        <w:t xml:space="preserve"> A </w:t>
      </w:r>
      <w:r>
        <w:rPr>
          <w:i/>
          <w:lang w:val="en_US" w:bidi="en_US"/>
        </w:rPr>
        <w:t>fig tree</w:t>
      </w:r>
      <w:r>
        <w:rPr>
          <w:lang w:val="en_US" w:bidi="en_US"/>
        </w:rPr>
        <w:t xml:space="preserve"> is a type of fruit tree that is common in Israel. It was mentioned in 13:6. Its branches are bare in winter. Then in the spring it sprouts buds and leaves. Fig trees normally produce small, edible fruit called figs.</w:t>
      </w:r>
    </w:p>
    <w:p>
      <w:pPr/>
      <w:r>
        <w:rPr>
          <w:lang w:val="en_US" w:bidi="en_US"/>
        </w:rPr>
      </w:r>
      <w:r>
        <w:rPr>
          <w:lang w:val="en_US" w:bidi="en_US"/>
        </w:rPr>
        <w:t xml:space="preserve">Figs, fig leaves, and fig trees are mentioned frequently in the Bible. Some examples are Genesis 3:7, Psalm 105:33, Isaiah 34:4, and Matthew 21:19. Often the fig tree represents the nation of Israel. For this reason you may want to keep </w:t>
      </w:r>
      <w:r>
        <w:rPr>
          <w:i/>
          <w:lang w:val="en_US" w:bidi="en_US"/>
        </w:rPr>
        <w:t>fig tree</w:t>
      </w:r>
      <w:r>
        <w:rPr>
          <w:lang w:val="en_US" w:bidi="en_US"/>
        </w:rPr>
        <w:t xml:space="preserve"> here in your translation.</w:t>
      </w:r>
    </w:p>
    <w:p>
      <w:pPr/>
      <w:r>
        <w:rPr>
          <w:lang w:val="en_US" w:bidi="en_US"/>
        </w:rPr>
      </w:r>
      <w:r>
        <w:rPr>
          <w:b/>
          <w:lang w:val="en_US" w:bidi="en_US"/>
        </w:rPr>
        <w:t>and all the trees:</w:t>
      </w:r>
      <w:r>
        <w:rPr>
          <w:lang w:val="en_US" w:bidi="en_US"/>
        </w:rPr>
        <w:t xml:space="preserve"> What happens to fig trees happens to many trees. When the winter ends, they begin to grow new leaves.</w:t>
      </w:r>
      <w:r>
        <w:rPr>
          <w:lang w:val="en_US" w:bidi="en_US"/>
        </w:rPr>
        <w:t>What Jesus said here does not literally apply to evergreen trees and to trees in warm climates that grow new leaves all year. He was making a general statement about trees that grew not only in Israel but in other countries of the Middle East as well.</w:t>
      </w:r>
      <w:r>
        <w:rPr>
          <w:lang w:val="en_US" w:bidi="en_US"/>
        </w:rPr>
        <w:t xml:space="preserve"> Since no one can look at </w:t>
      </w:r>
      <w:r>
        <w:rPr>
          <w:i/>
          <w:lang w:val="en_US" w:bidi="en_US"/>
        </w:rPr>
        <w:t>all the trees</w:t>
      </w:r>
      <w:r>
        <w:rPr>
          <w:lang w:val="en_US" w:bidi="en_US"/>
        </w:rPr>
        <w:t xml:space="preserve"> at once, in some languages it may be more natural to use a singular form. For example:</w:t>
      </w:r>
    </w:p>
    <w:p>
      <w:pPr/>
      <w:r>
        <w:rPr>
          <w:lang w:val="en_US" w:bidi="en_US"/>
        </w:rPr>
      </w:r>
      <w:r>
        <w:rPr>
          <w:lang w:val="en_US" w:bidi="en_US"/>
        </w:rPr>
        <w:t>or at any other tree (REB)</w:t>
      </w:r>
      <w:r>
        <w:rPr>
          <w:lang w:val="en_US" w:bidi="en_US"/>
        </w:rPr>
      </w:r>
      <w:r>
        <w:rPr>
          <w:lang w:val="en_US" w:bidi="en_US"/>
        </w:rPr>
      </w:r>
    </w:p>
    <w:p>
      <w:pPr/>
      <w:r>
        <w:rPr>
          <w:lang w:val="en_US" w:bidi="en_US"/>
        </w:rPr>
      </w:r>
    </w:p>
    <w:p>
      <w:pPr>
        <w:pStyle w:val="Heading2"/>
      </w:pPr>
      <w:r>
        <w:rPr>
          <w:lang w:val="en_US" w:bidi="en_US"/>
        </w:rPr>
        <w:t>Luke 21:30</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21:30a</w:t>
      </w:r>
    </w:p>
    <w:p>
      <w:pPr/>
      <w:r>
        <w:rPr>
          <w:lang w:val="en_US" w:bidi="en_US"/>
        </w:rPr>
      </w:r>
      <w:r>
        <w:rPr>
          <w:b/>
          <w:lang w:val="en_US" w:bidi="en_US"/>
        </w:rPr>
        <w:t>When they sprout leaves,</w:t>
      </w:r>
    </w:p>
    <w:p>
      <w:pPr>
        <w:pStyle w:val="ListBullet"/>
        <w:spacing w:line="240" w:lineRule="auto"/>
        <w:ind w:left="720"/>
      </w:pPr>
      <w:r>
        <w:rPr>
          <w:lang w:val="en_US" w:bidi="en_US"/>
        </w:rPr>
      </w:r>
      <w:r>
        <w:rPr>
          <w:lang w:val="en_US" w:bidi="en_US"/>
        </w:rPr>
        <w:t>When its new leaves begin to grow,</w:t>
      </w:r>
    </w:p>
    <w:p>
      <w:pPr>
        <w:pStyle w:val="ListBullet"/>
        <w:spacing w:line="240" w:lineRule="auto"/>
        <w:ind w:left="720"/>
      </w:pPr>
      <w:r>
        <w:rPr>
          <w:lang w:val="en_US" w:bidi="en_US"/>
        </w:rPr>
      </w:r>
      <w:r>
        <w:rPr>
          <w:lang w:val="en_US" w:bidi="en_US"/>
        </w:rPr>
        <w:t>When their new leaves appear,</w:t>
      </w:r>
    </w:p>
    <w:p>
      <w:pPr>
        <w:pStyle w:val="Heading5"/>
      </w:pPr>
      <w:r>
        <w:rPr>
          <w:lang w:val="en_US" w:bidi="en_US"/>
        </w:rPr>
        <w:t>21:30b</w:t>
      </w:r>
    </w:p>
    <w:p>
      <w:pPr/>
      <w:r>
        <w:rPr>
          <w:lang w:val="en_US" w:bidi="en_US"/>
        </w:rPr>
      </w:r>
      <w:r>
        <w:rPr>
          <w:b/>
          <w:lang w:val="en_US" w:bidi="en_US"/>
        </w:rPr>
        <w:t>you can see for yourselves and know that summer is near.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see </w:t>
      </w:r>
      <w:r>
        <w:rPr>
          <w:lang w:val="en_US" w:bidi="en_US"/>
        </w:rPr>
        <w:t>them</w:t>
      </w:r>
      <w:r>
        <w:rPr>
          <w:lang w:val="en_US" w:bidi="en_US"/>
        </w:rPr>
        <w:t xml:space="preserve"> and know for yourselves that soon the hot/growing season will come.</w:t>
      </w:r>
    </w:p>
    <w:p>
      <w:pPr>
        <w:pStyle w:val="ListBullet"/>
        <w:spacing w:line="240" w:lineRule="auto"/>
        <w:ind w:left="720"/>
      </w:pPr>
      <w:r>
        <w:rPr>
          <w:lang w:val="en_US" w:bidi="en_US"/>
        </w:rPr>
      </w:r>
      <w:r>
        <w:rPr>
          <w:lang w:val="en_US" w:bidi="en_US"/>
        </w:rPr>
        <w:t xml:space="preserve">people see </w:t>
      </w:r>
      <w:r>
        <w:rPr>
          <w:lang w:val="en_US" w:bidi="en_US"/>
        </w:rPr>
        <w:t>what is happening</w:t>
      </w:r>
      <w:r>
        <w:rPr>
          <w:lang w:val="en_US" w:bidi="en_US"/>
        </w:rPr>
        <w:t xml:space="preserve"> and they realize that soon the weather will be hot/rainy.</w:t>
      </w:r>
    </w:p>
    <w:p>
      <w:pPr>
        <w:pStyle w:val="Heading5"/>
      </w:pPr>
      <w:r>
        <w:rPr>
          <w:lang w:val="en_US" w:bidi="en_US"/>
        </w:rPr>
        <w:t>21:30a–b</w:t>
      </w:r>
    </w:p>
    <w:p>
      <w:pPr/>
      <w:r>
        <w:rPr>
          <w:lang w:val="en_US" w:bidi="en_US"/>
        </w:rPr>
      </w:r>
      <w:r>
        <w:rPr>
          <w:b/>
          <w:lang w:val="en_US" w:bidi="en_US"/>
        </w:rPr>
        <w:t>When they sprout leaves, you can see for yourselves and know that summer is near:</w:t>
      </w:r>
      <w:r>
        <w:rPr>
          <w:lang w:val="en_US" w:bidi="en_US"/>
        </w:rPr>
        <w:t xml:space="preserve"> In the Greek text it is not clear if </w:t>
      </w:r>
      <w:r>
        <w:rPr>
          <w:i/>
          <w:lang w:val="en_US" w:bidi="en_US"/>
        </w:rPr>
        <w:t>for yourselves</w:t>
      </w:r>
      <w:r>
        <w:rPr>
          <w:lang w:val="en_US" w:bidi="en_US"/>
        </w:rPr>
        <w:t xml:space="preserve"> goes with </w:t>
      </w:r>
      <w:r>
        <w:rPr>
          <w:i/>
          <w:lang w:val="en_US" w:bidi="en_US"/>
        </w:rPr>
        <w:t>see</w:t>
      </w:r>
      <w:r>
        <w:rPr>
          <w:lang w:val="en_US" w:bidi="en_US"/>
        </w:rPr>
        <w:t xml:space="preserve"> or with </w:t>
      </w:r>
      <w:r>
        <w:rPr>
          <w:i/>
          <w:lang w:val="en_US" w:bidi="en_US"/>
        </w:rPr>
        <w:t>know</w:t>
      </w:r>
      <w:r>
        <w:rPr>
          <w:lang w:val="en_US" w:bidi="en_US"/>
        </w:rPr>
        <w:t>. However, with either choice the statement has the same meaning. It indicates that when fig trees sprout leaves, people know that summer is near. No one has to tell them, because they see the new leaves for themselves. Other ways to translate the statement are:</w:t>
      </w:r>
    </w:p>
    <w:p>
      <w:pPr/>
      <w:r>
        <w:rPr>
          <w:lang w:val="en_US" w:bidi="en_US"/>
        </w:rPr>
      </w:r>
      <w:r>
        <w:rPr>
          <w:lang w:val="en_US" w:bidi="en_US"/>
        </w:rPr>
        <w:t>When you see their leaves beginning to appear, you know that summer is near. (GNT)</w:t>
      </w:r>
    </w:p>
    <w:p>
      <w:pPr/>
      <w:r>
        <w:rPr>
          <w:lang w:val="en_US" w:bidi="en_US"/>
        </w:rPr>
      </w:r>
      <w:r>
        <w:rPr>
          <w:lang w:val="en_US" w:bidi="en_US"/>
        </w:rPr>
        <w:t>As soon as leaves grow on them, you know without being told that summer is near. (GW)</w:t>
      </w:r>
    </w:p>
    <w:p>
      <w:pPr/>
      <w:r>
        <w:rPr>
          <w:lang w:val="en_US" w:bidi="en_US"/>
        </w:rPr>
      </w:r>
      <w:r>
        <w:rPr>
          <w:lang w:val="en_US" w:bidi="en_US"/>
        </w:rPr>
        <w:t>As soon as it buds, you can see for yourselves that summer is near. (REB)</w:t>
      </w:r>
    </w:p>
    <w:p>
      <w:pPr/>
      <w:r>
        <w:rPr>
          <w:lang w:val="en_US" w:bidi="en_US"/>
        </w:rPr>
      </w:r>
      <w:r>
        <w:rPr>
          <w:b/>
          <w:lang w:val="en_US" w:bidi="en_US"/>
        </w:rPr>
        <w:t>When they sprout leaves:</w:t>
      </w:r>
      <w:r>
        <w:rPr>
          <w:lang w:val="en_US" w:bidi="en_US"/>
        </w:rPr>
        <w:t xml:space="preserve"> This clause means “when the leaves of the fig trees begin to grow/bud.” If you used a singular form of “fig tree” in 21:29b, you will probably need to use the singular form here also. For example:</w:t>
      </w:r>
    </w:p>
    <w:p>
      <w:pPr/>
      <w:r>
        <w:rPr>
          <w:lang w:val="en_US" w:bidi="en_US"/>
        </w:rPr>
      </w:r>
      <w:r>
        <w:rPr>
          <w:lang w:val="en_US" w:bidi="en_US"/>
        </w:rPr>
        <w:t>When it sprouts leaves</w:t>
      </w:r>
    </w:p>
    <w:p>
      <w:pPr/>
      <w:r>
        <w:rPr>
          <w:lang w:val="en_US" w:bidi="en_US"/>
        </w:rPr>
      </w:r>
      <w:r>
        <w:rPr>
          <w:b/>
          <w:lang w:val="en_US" w:bidi="en_US"/>
        </w:rPr>
        <w:t>you can see for yourselves and know that:</w:t>
      </w:r>
      <w:r>
        <w:rPr>
          <w:lang w:val="en_US" w:bidi="en_US"/>
        </w:rPr>
        <w:t xml:space="preserve"> The word </w:t>
      </w:r>
      <w:r>
        <w:rPr>
          <w:i/>
          <w:lang w:val="en_US" w:bidi="en_US"/>
        </w:rPr>
        <w:t>you</w:t>
      </w:r>
      <w:r>
        <w:rPr>
          <w:lang w:val="en_US" w:bidi="en_US"/>
        </w:rPr>
        <w:t xml:space="preserve"> refers here to anyone and everyone. Everyone in Israel knew what new leaves on the trees meant. When people saw those new leaves, they understood that the summer season would soon arrive. Other ways to translate this phrase are:</w:t>
      </w:r>
    </w:p>
    <w:p>
      <w:pPr/>
      <w:r>
        <w:rPr>
          <w:lang w:val="en_US" w:bidi="en_US"/>
        </w:rPr>
      </w:r>
      <w:r>
        <w:rPr>
          <w:lang w:val="en_US" w:bidi="en_US"/>
        </w:rPr>
        <w:t>we know that…</w:t>
      </w:r>
      <w:r>
        <w:rPr>
          <w:lang w:val="en_US" w:bidi="en_US"/>
        </w:rPr>
        <w:t>Western Bukidnon Manobo back translation on TW.</w:t>
      </w:r>
    </w:p>
    <w:p>
      <w:pPr/>
      <w:r>
        <w:rPr>
          <w:lang w:val="en_US" w:bidi="en_US"/>
        </w:rPr>
      </w:r>
      <w:r>
        <w:rPr>
          <w:lang w:val="en_US" w:bidi="en_US"/>
        </w:rPr>
        <w:t>everyone sees it and knows that…</w:t>
      </w:r>
    </w:p>
    <w:p>
      <w:pPr/>
      <w:r>
        <w:rPr>
          <w:lang w:val="en_US" w:bidi="en_US"/>
        </w:rPr>
      </w:r>
      <w:r>
        <w:rPr>
          <w:b/>
          <w:lang w:val="en_US" w:bidi="en_US"/>
        </w:rPr>
        <w:t>summer is near:</w:t>
      </w:r>
      <w:r>
        <w:rPr>
          <w:lang w:val="en_US" w:bidi="en_US"/>
        </w:rPr>
        <w:t xml:space="preserve"> The new leaves show that warm weather will come soon.</w:t>
      </w:r>
    </w:p>
    <w:p>
      <w:pPr/>
      <w:r>
        <w:rPr>
          <w:lang w:val="en_US" w:bidi="en_US"/>
        </w:rPr>
      </w:r>
      <w:r>
        <w:rPr>
          <w:lang w:val="en_US" w:bidi="en_US"/>
        </w:rPr>
        <w:t>It is important that you translate this verse in a way that fits your culture. For example, in tropical areas the weather is warm or hot in every season. There is no winter, and new leaves may be replacing old ones all year. If this is true in your area, it may be more helpful to refer to something else that sprouting leaves show. For example, the leaves may show that the tree will soon bear fruit, or that the rainy season or growing season will soon begin.</w:t>
      </w:r>
      <w:r>
        <w:rPr>
          <w:lang w:val="en_US" w:bidi="en_US"/>
        </w:rPr>
      </w:r>
      <w:r>
        <w:rPr>
          <w:lang w:val="en_US" w:bidi="en_US"/>
        </w:rPr>
      </w:r>
    </w:p>
    <w:p>
      <w:pPr/>
      <w:r>
        <w:rPr>
          <w:lang w:val="en_US" w:bidi="en_US"/>
        </w:rPr>
      </w:r>
    </w:p>
    <w:p>
      <w:pPr>
        <w:pStyle w:val="Heading2"/>
      </w:pPr>
      <w:r>
        <w:rPr>
          <w:lang w:val="en_US" w:bidi="en_US"/>
        </w:rPr>
        <w:t>Luke 21:31</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21:31a</w:t>
      </w:r>
    </w:p>
    <w:p>
      <w:pPr/>
      <w:r>
        <w:rPr>
          <w:lang w:val="en_US" w:bidi="en_US"/>
        </w:rPr>
      </w:r>
      <w:r>
        <w:rPr>
          <w:b/>
          <w:lang w:val="en_US" w:bidi="en_US"/>
        </w:rPr>
        <w:t>So also, when you see these things happening,</w:t>
      </w:r>
    </w:p>
    <w:p>
      <w:pPr>
        <w:pStyle w:val="ListBullet"/>
        <w:spacing w:line="240" w:lineRule="auto"/>
        <w:ind w:left="720"/>
      </w:pPr>
      <w:r>
        <w:rPr>
          <w:lang w:val="en_US" w:bidi="en_US"/>
        </w:rPr>
      </w:r>
      <w:r>
        <w:rPr>
          <w:lang w:val="en_US" w:bidi="en_US"/>
        </w:rPr>
        <w:t>In the same way, when you</w:t>
      </w:r>
      <w:r>
        <w:rPr>
          <w:vertAlign w:val="superscript"/>
          <w:lang w:val="en_US" w:bidi="en_US"/>
        </w:rPr>
        <w:t>(plur)</w:t>
      </w:r>
      <w:r>
        <w:rPr>
          <w:lang w:val="en_US" w:bidi="en_US"/>
        </w:rPr>
        <w:t xml:space="preserve"> see that these things are happening,</w:t>
      </w:r>
    </w:p>
    <w:p>
      <w:pPr>
        <w:pStyle w:val="ListBullet"/>
        <w:spacing w:line="240" w:lineRule="auto"/>
        <w:ind w:left="720"/>
      </w:pPr>
      <w:r>
        <w:rPr>
          <w:lang w:val="en_US" w:bidi="en_US"/>
        </w:rPr>
      </w:r>
      <w:r>
        <w:rPr>
          <w:lang w:val="en_US" w:bidi="en_US"/>
        </w:rPr>
        <w:t>Likewise, when you</w:t>
      </w:r>
      <w:r>
        <w:rPr>
          <w:vertAlign w:val="superscript"/>
          <w:lang w:val="en_US" w:bidi="en_US"/>
        </w:rPr>
        <w:t>(plur)</w:t>
      </w:r>
      <w:r>
        <w:rPr>
          <w:lang w:val="en_US" w:bidi="en_US"/>
        </w:rPr>
        <w:t xml:space="preserve"> also see that these </w:t>
      </w:r>
      <w:r>
        <w:rPr>
          <w:lang w:val="en_US" w:bidi="en_US"/>
        </w:rPr>
        <w:t>terrible</w:t>
      </w:r>
      <w:r>
        <w:rPr>
          <w:lang w:val="en_US" w:bidi="en_US"/>
        </w:rPr>
        <w:t xml:space="preserve"> events/signs are happening,</w:t>
      </w:r>
    </w:p>
    <w:p>
      <w:pPr/>
      <w:r>
        <w:rPr>
          <w:lang w:val="en_US" w:bidi="en_US"/>
        </w:rPr>
      </w:r>
      <w:r>
        <w:rPr>
          <w:b/>
          <w:lang w:val="en_US" w:bidi="en_US"/>
        </w:rPr>
        <w:t>So also, when you see these things happening:</w:t>
      </w:r>
      <w:r>
        <w:rPr>
          <w:lang w:val="en_US" w:bidi="en_US"/>
        </w:rPr>
        <w:t xml:space="preserve"> The Greek phrase that the BSB translates as </w:t>
      </w:r>
      <w:r>
        <w:rPr>
          <w:i/>
          <w:lang w:val="en_US" w:bidi="en_US"/>
        </w:rPr>
        <w:t>So also</w:t>
      </w:r>
      <w:r>
        <w:rPr>
          <w:lang w:val="en_US" w:bidi="en_US"/>
        </w:rPr>
        <w:t xml:space="preserve"> means “in the same way, likewise.” It introduces a comparison. People look at new leaves and know that summer will soon come. In the same way, Jesus’ disciples will see the signs that Jesus told them, and they will know that the kingdom of God is near. Another way to translate 21:31a is:</w:t>
      </w:r>
    </w:p>
    <w:p>
      <w:pPr/>
      <w:r>
        <w:rPr>
          <w:lang w:val="en_US" w:bidi="en_US"/>
        </w:rPr>
      </w:r>
      <w:r>
        <w:rPr>
          <w:lang w:val="en_US" w:bidi="en_US"/>
        </w:rPr>
        <w:t>Thus also when you see those happenings [mentioned] earlier</w:t>
      </w:r>
      <w:r>
        <w:rPr>
          <w:lang w:val="en_US" w:bidi="en_US"/>
        </w:rPr>
        <w:t>Uma back translation on TW.</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refers here to Jesus’ disciples who will be alive when he returns to earth. Since Jesus has not yet returned, it refers to everyone who will be trusting and following him at that time. It does not refer only to his first disciples.</w:t>
      </w:r>
    </w:p>
    <w:p>
      <w:pPr/>
      <w:r>
        <w:rPr>
          <w:lang w:val="en_US" w:bidi="en_US"/>
        </w:rPr>
      </w:r>
      <w:r>
        <w:rPr>
          <w:b/>
          <w:lang w:val="en_US" w:bidi="en_US"/>
        </w:rPr>
        <w:t>these things:</w:t>
      </w:r>
      <w:r>
        <w:rPr>
          <w:lang w:val="en_US" w:bidi="en_US"/>
        </w:rPr>
        <w:t xml:space="preserve"> The phrase </w:t>
      </w:r>
      <w:r>
        <w:rPr>
          <w:i/>
          <w:lang w:val="en_US" w:bidi="en_US"/>
        </w:rPr>
        <w:t>these things</w:t>
      </w:r>
      <w:r>
        <w:rPr>
          <w:lang w:val="en_US" w:bidi="en_US"/>
        </w:rPr>
        <w:t xml:space="preserve"> refers to the signs that Jesus mentioned in 21:25–26. Other ways to refer to them here are:</w:t>
      </w:r>
    </w:p>
    <w:p>
      <w:pPr/>
      <w:r>
        <w:rPr>
          <w:lang w:val="en_US" w:bidi="en_US"/>
        </w:rPr>
      </w:r>
      <w:r>
        <w:rPr>
          <w:lang w:val="en_US" w:bidi="en_US"/>
        </w:rPr>
        <w:t>the signs that I have told you about</w:t>
      </w:r>
    </w:p>
    <w:p>
      <w:pPr/>
      <w:r>
        <w:rPr>
          <w:lang w:val="en_US" w:bidi="en_US"/>
        </w:rPr>
      </w:r>
      <w:r>
        <w:rPr>
          <w:lang w:val="en_US" w:bidi="en_US"/>
        </w:rPr>
        <w:t xml:space="preserve">these </w:t>
      </w:r>
      <w:r>
        <w:rPr>
          <w:lang w:val="en_US" w:bidi="en_US"/>
        </w:rPr>
        <w:t>terrible</w:t>
      </w:r>
      <w:r>
        <w:rPr>
          <w:lang w:val="en_US" w:bidi="en_US"/>
        </w:rPr>
        <w:t xml:space="preserve"> events</w:t>
      </w:r>
    </w:p>
    <w:p>
      <w:pPr/>
      <w:r>
        <w:rPr>
          <w:lang w:val="en_US" w:bidi="en_US"/>
        </w:rPr>
      </w:r>
      <w:r>
        <w:rPr>
          <w:lang w:val="en_US" w:bidi="en_US"/>
        </w:rPr>
        <w:t>Refer back to them in a natural way in your language.</w:t>
      </w:r>
    </w:p>
    <w:p>
      <w:pPr>
        <w:pStyle w:val="Heading5"/>
      </w:pPr>
      <w:r>
        <w:rPr>
          <w:lang w:val="en_US" w:bidi="en_US"/>
        </w:rPr>
        <w:t>21:31b</w:t>
      </w:r>
    </w:p>
    <w:p>
      <w:pPr/>
      <w:r>
        <w:rPr>
          <w:lang w:val="en_US" w:bidi="en_US"/>
        </w:rPr>
      </w:r>
      <w:r>
        <w:rPr>
          <w:b/>
          <w:lang w:val="en_US" w:bidi="en_US"/>
        </w:rPr>
        <w:t>know that the kingdom of God is near.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can be certain that God’s rule/reign will soon begin.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can be sure that the time for God to rule </w:t>
      </w:r>
      <w:r>
        <w:rPr>
          <w:lang w:val="en_US" w:bidi="en_US"/>
        </w:rPr>
        <w:t>all people</w:t>
      </w:r>
      <w:r>
        <w:rPr>
          <w:lang w:val="en_US" w:bidi="en_US"/>
        </w:rPr>
        <w:t xml:space="preserve"> will soon follow.</w:t>
      </w:r>
    </w:p>
    <w:p>
      <w:pPr/>
      <w:r>
        <w:rPr>
          <w:lang w:val="en_US" w:bidi="en_US"/>
        </w:rPr>
      </w:r>
      <w:r>
        <w:rPr>
          <w:b/>
          <w:lang w:val="en_US" w:bidi="en_US"/>
        </w:rPr>
        <w:t>know:</w:t>
      </w:r>
      <w:r>
        <w:rPr>
          <w:lang w:val="en_US" w:bidi="en_US"/>
        </w:rPr>
        <w:t xml:space="preserve"> There are two ways to interpret the Greek verb that the BSB translates as </w:t>
      </w:r>
      <w:r>
        <w:rPr>
          <w:i/>
          <w:lang w:val="en_US" w:bidi="en_US"/>
        </w:rPr>
        <w:t>know</w:t>
      </w:r>
      <w:r>
        <w:rPr>
          <w:lang w:val="en_US" w:bidi="en_US"/>
        </w:rPr>
        <w:t xml:space="preserve"> in this context:</w:t>
      </w:r>
    </w:p>
    <w:p>
      <w:pPr>
        <w:pStyle w:val="ListNumber"/>
        <w:numPr>
          <w:ilvl w:val="0"/>
          <w:numId w:val="346"/>
        </w:numPr>
        <w:spacing w:line="240" w:lineRule="auto"/>
        <w:ind w:left="720"/>
      </w:pPr>
      <w:r>
        <w:rPr>
          <w:lang w:val="en_US" w:bidi="en_US"/>
        </w:rPr>
      </w:r>
      <w:r>
        <w:rPr>
          <w:lang w:val="en_US" w:bidi="en_US"/>
        </w:rPr>
        <w:t xml:space="preserve">It is a </w:t>
      </w:r>
      <w:r>
        <w:rPr>
          <w:u w:val="single"/>
          <w:lang w:val="en_US" w:bidi="en_US"/>
        </w:rPr>
        <w:t>statement</w:t>
      </w:r>
      <w:r>
        <w:rPr>
          <w:lang w:val="en_US" w:bidi="en_US"/>
        </w:rPr>
        <w:t>. The signs will make the disciples able to know that the kingdom is near. For example:</w:t>
      </w:r>
      <w:r>
        <w:rPr>
          <w:lang w:val="en_US" w:bidi="en_US"/>
        </w:rPr>
        <w:t>you can be equally sure (JBP)</w:t>
      </w:r>
      <w:r>
        <w:rPr>
          <w:lang w:val="en_US" w:bidi="en_US"/>
        </w:rPr>
        <w:t xml:space="preserve">you will know (GNT) </w:t>
      </w:r>
      <w:r>
        <w:rPr>
          <w:i/>
          <w:lang w:val="en_US" w:bidi="en_US"/>
        </w:rPr>
        <w:t>(NIV, RSV, GW, GNT, CEV, NCV, REB, ESV, NLT, JBP)</w:t>
      </w:r>
    </w:p>
    <w:p>
      <w:pPr>
        <w:pStyle w:val="ListNumber"/>
        <w:spacing w:line="240" w:lineRule="auto"/>
        <w:ind w:left="720"/>
      </w:pPr>
      <w:r>
        <w:rPr>
          <w:lang w:val="en_US" w:bidi="en_US"/>
        </w:rPr>
      </w:r>
      <w:r>
        <w:rPr>
          <w:lang w:val="en_US" w:bidi="en_US"/>
        </w:rPr>
        <w:t xml:space="preserve">It is a </w:t>
      </w:r>
      <w:r>
        <w:rPr>
          <w:u w:val="single"/>
          <w:lang w:val="en_US" w:bidi="en_US"/>
        </w:rPr>
        <w:t>command</w:t>
      </w:r>
      <w:r>
        <w:rPr>
          <w:lang w:val="en_US" w:bidi="en_US"/>
        </w:rPr>
        <w:t>. When the disciples see the signs, they should realize or understand that the kingdom is near. Here is another way to translate this:</w:t>
      </w:r>
      <w:r>
        <w:rPr>
          <w:lang w:val="en_US" w:bidi="en_US"/>
        </w:rPr>
        <w:t xml:space="preserve">recognize (NASB) </w:t>
      </w:r>
      <w:r>
        <w:rPr>
          <w:i/>
          <w:lang w:val="en_US" w:bidi="en_US"/>
        </w:rPr>
        <w:t>(BSB, NASB, KJV, NJB, NET)</w:t>
      </w:r>
    </w:p>
    <w:p>
      <w:pPr/>
      <w:r>
        <w:rPr>
          <w:lang w:val="en_US" w:bidi="en_US"/>
        </w:rPr>
      </w:r>
      <w:r>
        <w:rPr>
          <w:lang w:val="en_US" w:bidi="en_US"/>
        </w:rPr>
        <w:t>It is recommended that you follow interpretation (1).</w:t>
      </w:r>
    </w:p>
    <w:p>
      <w:pPr/>
      <w:r>
        <w:rPr>
          <w:lang w:val="en_US" w:bidi="en_US"/>
        </w:rPr>
      </w:r>
      <w:r>
        <w:rPr>
          <w:b/>
          <w:lang w:val="en_US" w:bidi="en_US"/>
        </w:rPr>
        <w:t>the kingdom of God is near:</w:t>
      </w:r>
      <w:r>
        <w:rPr>
          <w:lang w:val="en_US" w:bidi="en_US"/>
        </w:rPr>
        <w:t xml:space="preserve"> This clause means that the kingdom of God will soon appear or begin. God will soon begin to rule his people.</w:t>
      </w:r>
    </w:p>
    <w:p>
      <w:pPr/>
      <w:r>
        <w:rPr>
          <w:lang w:val="en_US" w:bidi="en_US"/>
        </w:rPr>
      </w:r>
      <w:r>
        <w:rPr>
          <w:lang w:val="en_US" w:bidi="en_US"/>
        </w:rPr>
        <w:t xml:space="preserve">The phrase </w:t>
      </w:r>
      <w:r>
        <w:rPr>
          <w:i/>
          <w:lang w:val="en_US" w:bidi="en_US"/>
        </w:rPr>
        <w:t>kingdom of God</w:t>
      </w:r>
      <w:r>
        <w:rPr>
          <w:lang w:val="en_US" w:bidi="en_US"/>
        </w:rP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pPr/>
      <w:r>
        <w:rPr>
          <w:lang w:val="en_US" w:bidi="en_US"/>
        </w:rPr>
      </w:r>
      <w:r>
        <w:rPr>
          <w:lang w:val="en_US" w:bidi="en_US"/>
        </w:rPr>
        <w:t>Some ways to translate this clause are:</w:t>
      </w:r>
    </w:p>
    <w:p>
      <w:pPr/>
      <w:r>
        <w:rPr>
          <w:lang w:val="en_US" w:bidi="en_US"/>
        </w:rPr>
      </w:r>
      <w:r>
        <w:rPr>
          <w:lang w:val="en_US" w:bidi="en_US"/>
        </w:rPr>
        <w:t>God’s rule/reign will soon begin</w:t>
      </w:r>
    </w:p>
    <w:p>
      <w:pPr/>
      <w:r>
        <w:rPr>
          <w:lang w:val="en_US" w:bidi="en_US"/>
        </w:rPr>
      </w:r>
      <w:r>
        <w:rPr>
          <w:lang w:val="en_US" w:bidi="en_US"/>
        </w:rPr>
        <w:t xml:space="preserve">it will not be much longer before God rules </w:t>
      </w:r>
      <w:r>
        <w:rPr>
          <w:lang w:val="en_US" w:bidi="en_US"/>
        </w:rPr>
        <w:t>all people</w:t>
      </w:r>
      <w:r>
        <w:rPr>
          <w:lang w:val="en_US" w:bidi="en_US"/>
        </w:rPr>
        <w:t xml:space="preserve"> as king</w:t>
      </w:r>
    </w:p>
    <w:p>
      <w:pPr/>
      <w:r>
        <w:rPr>
          <w:lang w:val="en_US" w:bidi="en_US"/>
        </w:rPr>
      </w:r>
      <w:r>
        <w:rPr>
          <w:lang w:val="en_US" w:bidi="en_US"/>
        </w:rPr>
        <w:t xml:space="preserve">the time when God will </w:t>
      </w:r>
      <w:r>
        <w:rPr>
          <w:lang w:val="en_US" w:bidi="en_US"/>
        </w:rPr>
        <w:t>care for his people as</w:t>
      </w:r>
      <w:r>
        <w:rPr>
          <w:lang w:val="en_US" w:bidi="en_US"/>
        </w:rPr>
        <w:t xml:space="preserve"> king is near</w:t>
      </w:r>
    </w:p>
    <w:p>
      <w:pPr/>
      <w:r>
        <w:rPr>
          <w:lang w:val="en_US" w:bidi="en_US"/>
        </w:rPr>
      </w:r>
      <w:r>
        <w:rPr>
          <w:lang w:val="en_US" w:bidi="en_US"/>
        </w:rPr>
        <w:t>See how you translated this in 17:20. See also kingdom of God in the Glossary.</w:t>
      </w:r>
      <w:r>
        <w:rPr>
          <w:lang w:val="en_US" w:bidi="en_US"/>
        </w:rPr>
      </w:r>
      <w:r>
        <w:rPr>
          <w:lang w:val="en_US" w:bidi="en_US"/>
        </w:rPr>
      </w:r>
    </w:p>
    <w:p>
      <w:pPr/>
      <w:r>
        <w:rPr>
          <w:lang w:val="en_US" w:bidi="en_US"/>
        </w:rPr>
      </w:r>
    </w:p>
    <w:p>
      <w:pPr>
        <w:pStyle w:val="Heading2"/>
      </w:pPr>
      <w:r>
        <w:rPr>
          <w:lang w:val="en_US" w:bidi="en_US"/>
        </w:rPr>
        <w:t>Luke 21:32</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21:32a</w:t>
      </w:r>
    </w:p>
    <w:p>
      <w:pPr/>
      <w:r>
        <w:rPr>
          <w:lang w:val="en_US" w:bidi="en_US"/>
        </w:rPr>
      </w:r>
      <w:r>
        <w:rPr>
          <w:b/>
          <w:lang w:val="en_US" w:bidi="en_US"/>
        </w:rPr>
        <w:t>Truly I tell you,</w:t>
      </w:r>
    </w:p>
    <w:p>
      <w:pPr>
        <w:pStyle w:val="ListBullet"/>
        <w:spacing w:line="240" w:lineRule="auto"/>
        <w:ind w:left="720"/>
      </w:pPr>
      <w:r>
        <w:rPr>
          <w:lang w:val="en_US" w:bidi="en_US"/>
        </w:rPr>
      </w:r>
      <w:r>
        <w:rPr>
          <w:lang w:val="en_US" w:bidi="en_US"/>
        </w:rPr>
        <w:t>¶ “Truly/Solemnly, I declare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“I assure you</w:t>
      </w:r>
      <w:r>
        <w:rPr>
          <w:vertAlign w:val="superscript"/>
          <w:lang w:val="en_US" w:bidi="en_US"/>
        </w:rPr>
        <w:t>(plur)</w:t>
      </w:r>
      <w:r>
        <w:rPr>
          <w:lang w:val="en_US" w:bidi="en_US"/>
        </w:rPr>
        <w:t xml:space="preserve"> that</w:t>
      </w:r>
    </w:p>
    <w:p>
      <w:pPr>
        <w:pStyle w:val="ListBullet"/>
        <w:spacing w:line="240" w:lineRule="auto"/>
        <w:ind w:left="720"/>
      </w:pPr>
      <w:r>
        <w:rPr>
          <w:lang w:val="en_US" w:bidi="en_US"/>
        </w:rPr>
      </w:r>
      <w:r>
        <w:rPr>
          <w:lang w:val="en_US" w:bidi="en_US"/>
        </w:rPr>
        <w:t>¶ “Listen</w:t>
      </w:r>
      <w:r>
        <w:rPr>
          <w:vertAlign w:val="superscript"/>
          <w:lang w:val="en_US" w:bidi="en_US"/>
        </w:rPr>
        <w:t>(plur)</w:t>
      </w:r>
      <w:r>
        <w:rPr>
          <w:lang w:val="en_US" w:bidi="en_US"/>
        </w:rPr>
        <w:t xml:space="preserve"> carefully, because this is important:</w:t>
      </w:r>
    </w:p>
    <w:p>
      <w:pPr/>
      <w:r>
        <w:rPr>
          <w:lang w:val="en_US" w:bidi="en_US"/>
        </w:rPr>
      </w:r>
      <w:r>
        <w:rPr>
          <w:b/>
          <w:lang w:val="en_US" w:bidi="en_US"/>
        </w:rPr>
        <w:t>Truly I tell you:</w:t>
      </w:r>
      <w:r>
        <w:rPr>
          <w:lang w:val="en_US" w:bidi="en_US"/>
        </w:rPr>
        <w:t xml:space="preserve"> The Greek clause that the BSB translates as </w:t>
      </w:r>
      <w:r>
        <w:rPr>
          <w:i/>
          <w:lang w:val="en_US" w:bidi="en_US"/>
        </w:rPr>
        <w:t>Truly I tell you</w:t>
      </w:r>
      <w:r>
        <w:rPr>
          <w:lang w:val="en_US" w:bidi="en_US"/>
        </w:rPr>
        <w:t xml:space="preserve"> is literally “Amen I tell you.” Jesus used it to introduce a statement that he wanted to emphasize.</w:t>
      </w:r>
      <w:r>
        <w:rPr>
          <w:lang w:val="en_US" w:bidi="en_US"/>
        </w:rPr>
        <w:t>A similar clause occurs three other times in Luke. It uses the word “truly” instead of “amen,” but the meaning is the same. In 9:27 one of these clauses introduces a statement that is similar to the one in 21:32b–c.</w:t>
      </w:r>
      <w:r>
        <w:rPr>
          <w:lang w:val="en_US" w:bidi="en_US"/>
        </w:rPr>
        <w:t xml:space="preserve"> It indicates that the statement is important and reliable, and people should listen carefully to it. For more information and translation examples, see the note on 18:17a.</w:t>
      </w:r>
    </w:p>
    <w:p>
      <w:pPr>
        <w:pStyle w:val="Heading5"/>
      </w:pPr>
      <w:r>
        <w:rPr>
          <w:lang w:val="en_US" w:bidi="en_US"/>
        </w:rPr>
        <w:t>21:32b</w:t>
      </w:r>
    </w:p>
    <w:p>
      <w:pPr/>
      <w:r>
        <w:rPr>
          <w:lang w:val="en_US" w:bidi="en_US"/>
        </w:rPr>
      </w:r>
      <w:r>
        <w:rPr>
          <w:b/>
          <w:lang w:val="en_US" w:bidi="en_US"/>
        </w:rPr>
        <w:t>this generation will not pass away</w:t>
      </w:r>
    </w:p>
    <w:p>
      <w:pPr>
        <w:pStyle w:val="ListBullet"/>
        <w:spacing w:line="240" w:lineRule="auto"/>
        <w:ind w:left="720"/>
      </w:pPr>
      <w:r>
        <w:rPr>
          <w:lang w:val="en_US" w:bidi="en_US"/>
        </w:rPr>
      </w:r>
      <w:r>
        <w:rPr>
          <w:lang w:val="en_US" w:bidi="en_US"/>
        </w:rPr>
        <w:t xml:space="preserve">this generation/group </w:t>
      </w:r>
      <w:r>
        <w:rPr>
          <w:lang w:val="en_US" w:bidi="en_US"/>
        </w:rPr>
        <w:t>of people</w:t>
      </w:r>
      <w:r>
        <w:rPr>
          <w:lang w:val="en_US" w:bidi="en_US"/>
        </w:rPr>
        <w:t xml:space="preserve"> will certainly not all die</w:t>
      </w:r>
    </w:p>
    <w:p>
      <w:pPr>
        <w:pStyle w:val="ListBullet"/>
        <w:spacing w:line="240" w:lineRule="auto"/>
        <w:ind w:left="720"/>
      </w:pPr>
      <w:r>
        <w:rPr>
          <w:lang w:val="en_US" w:bidi="en_US"/>
        </w:rPr>
      </w:r>
      <w:r>
        <w:rPr>
          <w:lang w:val="en_US" w:bidi="en_US"/>
        </w:rPr>
        <w:t>some of the people of this time will definitely still be alive</w:t>
      </w:r>
    </w:p>
    <w:p>
      <w:pPr>
        <w:pStyle w:val="Heading5"/>
      </w:pPr>
      <w:r>
        <w:rPr>
          <w:lang w:val="en_US" w:bidi="en_US"/>
        </w:rPr>
        <w:t>21:32c</w:t>
      </w:r>
    </w:p>
    <w:p>
      <w:pPr/>
      <w:r>
        <w:rPr>
          <w:lang w:val="en_US" w:bidi="en_US"/>
        </w:rPr>
      </w:r>
      <w:r>
        <w:rPr>
          <w:b/>
          <w:lang w:val="en_US" w:bidi="en_US"/>
        </w:rPr>
        <w:t>until all these things have happened.</w:t>
      </w:r>
    </w:p>
    <w:p>
      <w:pPr>
        <w:pStyle w:val="ListBullet"/>
        <w:spacing w:line="240" w:lineRule="auto"/>
        <w:ind w:left="720"/>
      </w:pPr>
      <w:r>
        <w:rPr>
          <w:lang w:val="en_US" w:bidi="en_US"/>
        </w:rPr>
      </w:r>
      <w:r>
        <w:rPr>
          <w:lang w:val="en_US" w:bidi="en_US"/>
        </w:rPr>
        <w:t>before all this happens.</w:t>
      </w:r>
    </w:p>
    <w:p>
      <w:pPr>
        <w:pStyle w:val="ListBullet"/>
        <w:spacing w:line="240" w:lineRule="auto"/>
        <w:ind w:left="720"/>
      </w:pPr>
      <w:r>
        <w:rPr>
          <w:lang w:val="en_US" w:bidi="en_US"/>
        </w:rPr>
      </w:r>
      <w:r>
        <w:rPr>
          <w:lang w:val="en_US" w:bidi="en_US"/>
        </w:rPr>
        <w:t>when all these events occur.</w:t>
      </w:r>
    </w:p>
    <w:p>
      <w:pPr>
        <w:pStyle w:val="Heading5"/>
      </w:pPr>
      <w:r>
        <w:rPr>
          <w:lang w:val="en_US" w:bidi="en_US"/>
        </w:rPr>
        <w:t>21:32b–c</w:t>
      </w:r>
    </w:p>
    <w:p>
      <w:pPr/>
      <w:r>
        <w:rPr>
          <w:lang w:val="en_US" w:bidi="en_US"/>
        </w:rPr>
      </w:r>
      <w:r>
        <w:rPr>
          <w:b/>
          <w:lang w:val="en_US" w:bidi="en_US"/>
        </w:rPr>
        <w:t>this generation will not pass away until all these things have happened:</w:t>
      </w:r>
      <w:r>
        <w:rPr>
          <w:lang w:val="en_US" w:bidi="en_US"/>
        </w:rPr>
        <w:t xml:space="preserve"> There are many different ways to interpret this clause and the words and phrases it contains. Here are the three most likely interpretations:</w:t>
      </w:r>
    </w:p>
    <w:p>
      <w:pPr>
        <w:pStyle w:val="ListNumber"/>
        <w:numPr>
          <w:ilvl w:val="0"/>
          <w:numId w:val="347"/>
        </w:numPr>
        <w:spacing w:line="240" w:lineRule="auto"/>
        <w:ind w:left="720"/>
      </w:pPr>
      <w:r>
        <w:rPr>
          <w:lang w:val="en_US" w:bidi="en_US"/>
        </w:rPr>
      </w:r>
      <w:r>
        <w:rPr>
          <w:lang w:val="en_US" w:bidi="en_US"/>
        </w:rPr>
        <w:t>It refers to the people who were alive in Jesus’ lifetime.</w:t>
      </w:r>
      <w:r>
        <w:rPr>
          <w:lang w:val="en_US" w:bidi="en_US"/>
        </w:rPr>
        <w:t>Most English versions translate the phrase “this generation” literally. The commentaries that follow this interpretation are: Godet, Plummer, Geldenhuys, Robertson, Summers, Bratcher, and Reiling.</w:t>
      </w:r>
      <w:r>
        <w:rPr>
          <w:lang w:val="en_US" w:bidi="en_US"/>
        </w:rPr>
        <w:t xml:space="preserve"> It indicates that they will not all die until the things that Jesus mentioned have happened. For example:</w:t>
      </w:r>
      <w:r>
        <w:rPr>
          <w:lang w:val="en_US" w:bidi="en_US"/>
        </w:rPr>
        <w:t xml:space="preserve">the present generation will live to see it all (REB) </w:t>
      </w:r>
      <w:r>
        <w:rPr>
          <w:i/>
          <w:lang w:val="en_US" w:bidi="en_US"/>
        </w:rPr>
        <w:t>(BSB, REB, GNT, NCV, CEV)</w:t>
      </w:r>
    </w:p>
    <w:p>
      <w:pPr>
        <w:pStyle w:val="ListNumber"/>
        <w:spacing w:line="240" w:lineRule="auto"/>
        <w:ind w:left="720"/>
      </w:pPr>
      <w:r>
        <w:rPr>
          <w:lang w:val="en_US" w:bidi="en_US"/>
        </w:rPr>
      </w:r>
      <w:r>
        <w:rPr>
          <w:lang w:val="en_US" w:bidi="en_US"/>
        </w:rPr>
        <w:t>It refers to the people who will be alive at the time when the signs in 21:25–26 begin to happen.</w:t>
      </w:r>
      <w:r>
        <w:rPr>
          <w:lang w:val="en_US" w:bidi="en_US"/>
        </w:rPr>
        <w:t>This view is supported by Liefeld, Ellis, and Bock, for example.</w:t>
      </w:r>
      <w:r>
        <w:rPr>
          <w:lang w:val="en_US" w:bidi="en_US"/>
        </w:rPr>
        <w:t xml:space="preserve"> For example:</w:t>
      </w:r>
      <w:r>
        <w:rPr>
          <w:lang w:val="en_US" w:bidi="en_US"/>
        </w:rPr>
        <w:t>The people living at that time will certainly not all die before those things happen.</w:t>
      </w:r>
    </w:p>
    <w:p>
      <w:pPr>
        <w:pStyle w:val="ListNumber"/>
        <w:spacing w:line="240" w:lineRule="auto"/>
        <w:ind w:left="720"/>
      </w:pPr>
      <w:r>
        <w:rPr>
          <w:lang w:val="en_US" w:bidi="en_US"/>
        </w:rPr>
      </w:r>
      <w:r>
        <w:rPr>
          <w:lang w:val="en_US" w:bidi="en_US"/>
        </w:rPr>
        <w:t>It is used more generally to refer to the Jews as a race or specifically to Jewish people who refused to believe in Jesus. For example:</w:t>
      </w:r>
      <w:r>
        <w:rPr>
          <w:lang w:val="en_US" w:bidi="en_US"/>
        </w:rPr>
        <w:t xml:space="preserve">Some of this race/type </w:t>
      </w:r>
      <w:r>
        <w:rPr>
          <w:lang w:val="en_US" w:bidi="en_US"/>
        </w:rPr>
        <w:t>of people</w:t>
      </w:r>
      <w:r>
        <w:rPr>
          <w:lang w:val="en_US" w:bidi="en_US"/>
        </w:rPr>
        <w:t xml:space="preserve"> will still be alive/existing when these things happen.</w:t>
      </w:r>
    </w:p>
    <w:p>
      <w:pPr/>
      <w:r>
        <w:rPr>
          <w:lang w:val="en_US" w:bidi="en_US"/>
        </w:rPr>
      </w:r>
      <w:r>
        <w:rPr>
          <w:lang w:val="en_US" w:bidi="en_US"/>
        </w:rPr>
        <w:t xml:space="preserve">Most English versions translate the phrase literally as </w:t>
      </w:r>
      <w:r>
        <w:rPr>
          <w:i/>
          <w:lang w:val="en_US" w:bidi="en_US"/>
        </w:rPr>
        <w:t>this generation</w:t>
      </w:r>
      <w:r>
        <w:rPr>
          <w:lang w:val="en_US" w:bidi="en_US"/>
        </w:rPr>
        <w:t>, as the BSB does, or as “the people of this time.”</w:t>
      </w:r>
      <w:r>
        <w:rPr>
          <w:lang w:val="en_US" w:bidi="en_US"/>
        </w:rPr>
        <w:t>These versions are KJV, NASB, RSV, NJB, NET, GW, NLT, CEV, NCV.</w:t>
      </w:r>
      <w:r>
        <w:rPr>
          <w:lang w:val="en_US" w:bidi="en_US"/>
        </w:rPr>
        <w:t xml:space="preserve"> It is good to translate the phrase so that people can interpret it in different ways. If you must make one of the interpretations explicit, it is recommended that you follow interpretation (1).</w:t>
      </w:r>
      <w:r>
        <w:rPr>
          <w:lang w:val="en_US" w:bidi="en_US"/>
        </w:rPr>
        <w:t xml:space="preserve">In his discussion of the parallel passage in Matthew 24:34, Hendriksen (p. 943) favors the view that the phrase “this generation” refers to the Jewish people. Here is a summary of the reasons why he follows this view: (a) Several times in the NT the Greek term </w:t>
      </w:r>
      <w:r>
        <w:rPr>
          <w:i/>
          <w:lang w:val="en_US" w:bidi="en_US"/>
        </w:rPr>
        <w:t>genea</w:t>
      </w:r>
      <w:r>
        <w:rPr>
          <w:lang w:val="en_US" w:bidi="en_US"/>
        </w:rPr>
        <w:t xml:space="preserve"> “generation” is used to mean “a kind of people or race.” In this context, the race/people referred to are the Jews. (b) In the preceding verses Jesus talked about all the things that would happen from the destruction of Jerusalem to his second coming. (c) In the following verses, Jesus talked about “that day” as the time he would return to earth. For these reasons, Hendriksen believes that the phrase “this generation” in Matthew 24:34 and in Luke 21:32 refers to the Jewish people and not to the people who were living when Jesus was on earth.</w:t>
      </w:r>
    </w:p>
    <w:p>
      <w:pPr/>
      <w:r>
        <w:rPr>
          <w:lang w:val="en_US" w:bidi="en_US"/>
        </w:rPr>
      </w:r>
      <w:r>
        <w:rPr>
          <w:b/>
          <w:lang w:val="en_US" w:bidi="en_US"/>
        </w:rPr>
        <w:t>all these things:</w:t>
      </w:r>
      <w:r>
        <w:rPr>
          <w:lang w:val="en_US" w:bidi="en_US"/>
        </w:rPr>
        <w:t xml:space="preserve"> The Greek word that the BSB translates with the phrase </w:t>
      </w:r>
      <w:r>
        <w:rPr>
          <w:i/>
          <w:lang w:val="en_US" w:bidi="en_US"/>
        </w:rPr>
        <w:t>all these things</w:t>
      </w:r>
      <w:r>
        <w:rPr>
          <w:lang w:val="en_US" w:bidi="en_US"/>
        </w:rPr>
        <w:t xml:space="preserve"> literally means “all </w:t>
      </w:r>
      <w:r>
        <w:rPr>
          <w:lang w:val="en_US" w:bidi="en_US"/>
        </w:rPr>
        <w:t>things</w:t>
      </w:r>
      <w:r>
        <w:rPr>
          <w:lang w:val="en_US" w:bidi="en_US"/>
        </w:rPr>
        <w:t>.” There are different ways to interpret the phrase in this context. Two of the major interpretations are:</w:t>
      </w:r>
    </w:p>
    <w:p>
      <w:pPr>
        <w:pStyle w:val="ListNumber"/>
        <w:numPr>
          <w:ilvl w:val="0"/>
          <w:numId w:val="348"/>
        </w:numPr>
        <w:spacing w:line="240" w:lineRule="auto"/>
        <w:ind w:left="720"/>
      </w:pPr>
      <w:r>
        <w:rPr>
          <w:lang w:val="en_US" w:bidi="en_US"/>
        </w:rPr>
      </w:r>
      <w:r>
        <w:rPr>
          <w:lang w:val="en_US" w:bidi="en_US"/>
        </w:rPr>
        <w:t>It refers to signs that happened at the time when Jerusalem was destroyed.</w:t>
      </w:r>
      <w:r>
        <w:rPr>
          <w:lang w:val="en_US" w:bidi="en_US"/>
        </w:rPr>
        <w:t>Some scholars believe that these signs include only the ones that Jesus mentioned before 21:25. They believe that the signs in 21:26 that involve the heavenly bodies will happen before his final return.</w:t>
      </w:r>
    </w:p>
    <w:p>
      <w:pPr>
        <w:pStyle w:val="ListNumber"/>
        <w:spacing w:line="240" w:lineRule="auto"/>
        <w:ind w:left="720"/>
      </w:pPr>
      <w:r>
        <w:rPr>
          <w:lang w:val="en_US" w:bidi="en_US"/>
        </w:rPr>
      </w:r>
      <w:r>
        <w:rPr>
          <w:lang w:val="en_US" w:bidi="en_US"/>
        </w:rPr>
        <w:t>It refers to all the signs and even includes his return.</w:t>
      </w:r>
      <w:r>
        <w:rPr>
          <w:lang w:val="en_US" w:bidi="en_US"/>
        </w:rPr>
        <w:t>Scholars who follow this view generally explain that it is common in prophetic discourses to speak of the beginning of an event as including the whole event. This would indicate that since that generation was alive when the signs began and when Jerusalem was destroyed, it was as if they had already seen the end and the culmination of everything at Jesus’ return.</w:t>
      </w:r>
    </w:p>
    <w:p>
      <w:pPr/>
      <w:r>
        <w:rPr>
          <w:lang w:val="en_US" w:bidi="en_US"/>
        </w:rPr>
      </w:r>
      <w:r>
        <w:rPr>
          <w:lang w:val="en_US" w:bidi="en_US"/>
        </w:rPr>
        <w:t>It is recommended that you follow interpretation (1). This fits with the interpretation that the Notes recommend for “this generation.” Many people who were listening to Jesus were still alive when Jerusalem was destroyed. However, it is good not to be too explicit in your translation, since there are many ways to interpret this verse.</w:t>
      </w:r>
      <w:r>
        <w:rPr>
          <w:lang w:val="en_US" w:bidi="en_US"/>
        </w:rPr>
      </w:r>
      <w:r>
        <w:rPr>
          <w:lang w:val="en_US" w:bidi="en_US"/>
        </w:rPr>
      </w:r>
    </w:p>
    <w:p>
      <w:pPr/>
      <w:r>
        <w:rPr>
          <w:lang w:val="en_US" w:bidi="en_US"/>
        </w:rPr>
      </w:r>
    </w:p>
    <w:p>
      <w:pPr>
        <w:pStyle w:val="Heading2"/>
      </w:pPr>
      <w:r>
        <w:rPr>
          <w:lang w:val="en_US" w:bidi="en_US"/>
        </w:rPr>
        <w:t>Luke 21:33</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21:33</w:t>
      </w:r>
    </w:p>
    <w:p>
      <w:pPr/>
      <w:r>
        <w:rPr>
          <w:lang w:val="en_US" w:bidi="en_US"/>
        </w:rPr>
      </w:r>
      <w:r>
        <w:rPr>
          <w:lang w:val="en_US" w:bidi="en_US"/>
        </w:rPr>
        <w:t>In 21:33 Jesus compared two things that are very reliable:</w:t>
      </w:r>
    </w:p>
    <w:p>
      <w:pPr>
        <w:pStyle w:val="ListNumber"/>
        <w:numPr>
          <w:ilvl w:val="0"/>
          <w:numId w:val="349"/>
        </w:numPr>
        <w:spacing w:line="240" w:lineRule="auto"/>
        <w:ind w:left="720"/>
      </w:pPr>
      <w:r>
        <w:rPr>
          <w:lang w:val="en_US" w:bidi="en_US"/>
        </w:rPr>
      </w:r>
      <w:r>
        <w:rPr>
          <w:lang w:val="en_US" w:bidi="en_US"/>
        </w:rPr>
        <w:t>Heaven and earth were reliable. They were likely to exist for a long time. In the Old Testament “heaven and earth” were often spoken of as enduring and firm. (See Isaiah 51:6 and Jeremiah 31:35–36.)</w:t>
      </w:r>
    </w:p>
    <w:p>
      <w:pPr>
        <w:pStyle w:val="ListNumber"/>
        <w:spacing w:line="240" w:lineRule="auto"/>
        <w:ind w:left="720"/>
      </w:pPr>
      <w:r>
        <w:rPr>
          <w:lang w:val="en_US" w:bidi="en_US"/>
        </w:rPr>
      </w:r>
      <w:r>
        <w:rPr>
          <w:lang w:val="en_US" w:bidi="en_US"/>
        </w:rPr>
        <w:t>The words of Jesus were more reliable than heaven and earth. When he told his disciples what would happen in the future, they could be sure that those things would happen just as he said.</w:t>
      </w:r>
    </w:p>
    <w:p>
      <w:pPr/>
      <w:r>
        <w:rPr>
          <w:lang w:val="en_US" w:bidi="en_US"/>
        </w:rPr>
      </w:r>
      <w:r>
        <w:rPr>
          <w:lang w:val="en_US" w:bidi="en_US"/>
        </w:rPr>
        <w:t>In some languages a literal translation of this verse may not make the comparison clear. If that is true in your language, you may need to make the comparison more explicit. For example, the TRT suggests:</w:t>
      </w:r>
    </w:p>
    <w:p>
      <w:pPr/>
      <w:r>
        <w:rPr>
          <w:lang w:val="en_US" w:bidi="en_US"/>
        </w:rPr>
      </w:r>
      <w:r>
        <w:rPr>
          <w:lang w:val="en_US" w:bidi="en_US"/>
        </w:rPr>
        <w:t>You can be sure that heaven and earth will pass away, but you can be even more sure the things I’m telling you about will happen. (TRT)</w:t>
      </w:r>
    </w:p>
    <w:p>
      <w:pPr>
        <w:pStyle w:val="Heading5"/>
      </w:pPr>
      <w:r>
        <w:rPr>
          <w:lang w:val="en_US" w:bidi="en_US"/>
        </w:rPr>
        <w:t>21:33a</w:t>
      </w:r>
    </w:p>
    <w:p>
      <w:pPr/>
      <w:r>
        <w:rPr>
          <w:lang w:val="en_US" w:bidi="en_US"/>
        </w:rPr>
      </w:r>
      <w:r>
        <w:rPr>
          <w:b/>
          <w:lang w:val="en_US" w:bidi="en_US"/>
        </w:rPr>
        <w:t>Heaven and earth will pass away,</w:t>
      </w:r>
    </w:p>
    <w:p>
      <w:pPr>
        <w:pStyle w:val="ListBullet"/>
        <w:spacing w:line="240" w:lineRule="auto"/>
        <w:ind w:left="720"/>
      </w:pPr>
      <w:r>
        <w:rPr>
          <w:lang w:val="en_US" w:bidi="en_US"/>
        </w:rPr>
      </w:r>
      <w:r>
        <w:rPr>
          <w:lang w:val="en_US" w:bidi="en_US"/>
        </w:rPr>
        <w:t>Even</w:t>
      </w:r>
      <w:r>
        <w:rPr>
          <w:lang w:val="en_US" w:bidi="en_US"/>
        </w:rPr>
        <w:t xml:space="preserve"> the sky and the earth will end/disappear.</w:t>
      </w:r>
    </w:p>
    <w:p>
      <w:pPr>
        <w:pStyle w:val="ListBullet"/>
        <w:spacing w:line="240" w:lineRule="auto"/>
        <w:ind w:left="720"/>
      </w:pPr>
      <w:r>
        <w:rPr>
          <w:lang w:val="en_US" w:bidi="en_US"/>
        </w:rPr>
      </w:r>
      <w:r>
        <w:rPr>
          <w:lang w:val="en_US" w:bidi="en_US"/>
        </w:rPr>
        <w:t xml:space="preserve">The earth and the sky will </w:t>
      </w:r>
      <w:r>
        <w:rPr>
          <w:lang w:val="en_US" w:bidi="en_US"/>
        </w:rPr>
        <w:t>someday</w:t>
      </w:r>
      <w:r>
        <w:rPr>
          <w:lang w:val="en_US" w:bidi="en_US"/>
        </w:rPr>
        <w:t xml:space="preserve"> not exist.</w:t>
      </w:r>
    </w:p>
    <w:p>
      <w:pPr/>
      <w:r>
        <w:rPr>
          <w:lang w:val="en_US" w:bidi="en_US"/>
        </w:rPr>
      </w:r>
      <w:r>
        <w:rPr>
          <w:b/>
          <w:lang w:val="en_US" w:bidi="en_US"/>
        </w:rPr>
        <w:t>Heaven and earth:</w:t>
      </w:r>
      <w:r>
        <w:rPr>
          <w:lang w:val="en_US" w:bidi="en_US"/>
        </w:rPr>
        <w:t xml:space="preserve"> The words </w:t>
      </w:r>
      <w:r>
        <w:rPr>
          <w:i/>
          <w:lang w:val="en_US" w:bidi="en_US"/>
        </w:rPr>
        <w:t>Heaven</w:t>
      </w:r>
      <w:r>
        <w:rPr>
          <w:lang w:val="en_US" w:bidi="en_US"/>
        </w:rPr>
        <w:t xml:space="preserve"> and </w:t>
      </w:r>
      <w:r>
        <w:rPr>
          <w:i/>
          <w:lang w:val="en_US" w:bidi="en_US"/>
        </w:rPr>
        <w:t>earth</w:t>
      </w:r>
      <w:r>
        <w:rPr>
          <w:lang w:val="en_US" w:bidi="en_US"/>
        </w:rPr>
        <w:t xml:space="preserve"> refer to the sky and the earth. For example:</w:t>
      </w:r>
    </w:p>
    <w:p>
      <w:pPr/>
      <w:r>
        <w:rPr>
          <w:lang w:val="en_US" w:bidi="en_US"/>
        </w:rPr>
      </w:r>
      <w:r>
        <w:rPr>
          <w:lang w:val="en_US" w:bidi="en_US"/>
        </w:rPr>
        <w:t>The sky and the earth (CEV)</w:t>
      </w:r>
    </w:p>
    <w:p>
      <w:pPr/>
      <w:r>
        <w:rPr>
          <w:lang w:val="en_US" w:bidi="en_US"/>
        </w:rPr>
      </w:r>
      <w:r>
        <w:rPr>
          <w:lang w:val="en_US" w:bidi="en_US"/>
        </w:rPr>
        <w:t>Earth and sky (NCV)</w:t>
      </w:r>
    </w:p>
    <w:p>
      <w:pPr/>
      <w:r>
        <w:rPr>
          <w:lang w:val="en_US" w:bidi="en_US"/>
        </w:rPr>
      </w:r>
      <w:r>
        <w:rPr>
          <w:lang w:val="en_US" w:bidi="en_US"/>
        </w:rPr>
        <w:t xml:space="preserve">Together, the two words </w:t>
      </w:r>
      <w:r>
        <w:rPr>
          <w:i/>
          <w:lang w:val="en_US" w:bidi="en_US"/>
        </w:rPr>
        <w:t>Heaven</w:t>
      </w:r>
      <w:r>
        <w:rPr>
          <w:lang w:val="en_US" w:bidi="en_US"/>
        </w:rPr>
        <w:t xml:space="preserve"> and </w:t>
      </w:r>
      <w:r>
        <w:rPr>
          <w:i/>
          <w:lang w:val="en_US" w:bidi="en_US"/>
        </w:rPr>
        <w:t>earth</w:t>
      </w:r>
      <w:r>
        <w:rPr>
          <w:lang w:val="en_US" w:bidi="en_US"/>
        </w:rPr>
        <w:t xml:space="preserve"> refer to the entire physical universe, which includes all the material things that God created. In this context </w:t>
      </w:r>
      <w:r>
        <w:rPr>
          <w:i/>
          <w:lang w:val="en_US" w:bidi="en_US"/>
        </w:rPr>
        <w:t>Heaven</w:t>
      </w:r>
      <w:r>
        <w:rPr>
          <w:lang w:val="en_US" w:bidi="en_US"/>
        </w:rPr>
        <w:t xml:space="preserve"> does not refer to the place where God lives. See heaven, Meaning 1, in the Glossary.</w:t>
      </w:r>
    </w:p>
    <w:p>
      <w:pPr/>
      <w:r>
        <w:rPr>
          <w:lang w:val="en_US" w:bidi="en_US"/>
        </w:rPr>
      </w:r>
      <w:r>
        <w:rPr>
          <w:b/>
          <w:lang w:val="en_US" w:bidi="en_US"/>
        </w:rPr>
        <w:t>will pass away:</w:t>
      </w:r>
      <w:r>
        <w:rPr>
          <w:lang w:val="en_US" w:bidi="en_US"/>
        </w:rPr>
        <w:t xml:space="preserve"> The Greek verb that the BSB translates as </w:t>
      </w:r>
      <w:r>
        <w:rPr>
          <w:i/>
          <w:lang w:val="en_US" w:bidi="en_US"/>
        </w:rPr>
        <w:t>will pass away</w:t>
      </w:r>
      <w:r>
        <w:rPr>
          <w:lang w:val="en_US" w:bidi="en_US"/>
        </w:rPr>
        <w:t xml:space="preserve"> means “will come to an end” or “will cease to exist.” Other ways to translate this verb are:</w:t>
      </w:r>
    </w:p>
    <w:p>
      <w:pPr/>
      <w:r>
        <w:rPr>
          <w:lang w:val="en_US" w:bidi="en_US"/>
        </w:rPr>
      </w:r>
      <w:r>
        <w:rPr>
          <w:lang w:val="en_US" w:bidi="en_US"/>
        </w:rPr>
        <w:t>will be destroyed (NCV)</w:t>
      </w:r>
    </w:p>
    <w:p>
      <w:pPr/>
      <w:r>
        <w:rPr>
          <w:lang w:val="en_US" w:bidi="en_US"/>
        </w:rPr>
      </w:r>
      <w:r>
        <w:rPr>
          <w:lang w:val="en_US" w:bidi="en_US"/>
        </w:rPr>
        <w:t>will cease to exist</w:t>
      </w:r>
    </w:p>
    <w:p>
      <w:pPr/>
      <w:r>
        <w:rPr>
          <w:lang w:val="en_US" w:bidi="en_US"/>
        </w:rPr>
      </w:r>
      <w:r>
        <w:rPr>
          <w:lang w:val="en_US" w:bidi="en_US"/>
        </w:rPr>
        <w:t>In some languages it may be more natural to use a negative phrase. For example:</w:t>
      </w:r>
    </w:p>
    <w:p>
      <w:pPr/>
      <w:r>
        <w:rPr>
          <w:lang w:val="en_US" w:bidi="en_US"/>
        </w:rPr>
      </w:r>
      <w:r>
        <w:rPr>
          <w:lang w:val="en_US" w:bidi="en_US"/>
        </w:rPr>
        <w:t>won’t last forever (CEV)</w:t>
      </w:r>
    </w:p>
    <w:p>
      <w:pPr>
        <w:pStyle w:val="Heading5"/>
      </w:pPr>
      <w:r>
        <w:rPr>
          <w:lang w:val="en_US" w:bidi="en_US"/>
        </w:rPr>
        <w:t>21:33b</w:t>
      </w:r>
    </w:p>
    <w:p>
      <w:pPr/>
      <w:r>
        <w:rPr>
          <w:lang w:val="en_US" w:bidi="en_US"/>
        </w:rPr>
      </w:r>
      <w:r>
        <w:rPr>
          <w:b/>
          <w:lang w:val="en_US" w:bidi="en_US"/>
        </w:rPr>
        <w:t>but My words will never pass away.</w:t>
      </w:r>
    </w:p>
    <w:p>
      <w:pPr>
        <w:pStyle w:val="ListBullet"/>
        <w:spacing w:line="240" w:lineRule="auto"/>
        <w:ind w:left="720"/>
      </w:pPr>
      <w:r>
        <w:rPr>
          <w:lang w:val="en_US" w:bidi="en_US"/>
        </w:rPr>
      </w:r>
      <w:r>
        <w:rPr>
          <w:lang w:val="en_US" w:bidi="en_US"/>
        </w:rPr>
        <w:t>But the words that I have spoken continue to be true forever.</w:t>
      </w:r>
    </w:p>
    <w:p>
      <w:pPr>
        <w:pStyle w:val="ListBullet"/>
        <w:spacing w:line="240" w:lineRule="auto"/>
        <w:ind w:left="720"/>
      </w:pPr>
      <w:r>
        <w:rPr>
          <w:lang w:val="en_US" w:bidi="en_US"/>
        </w:rPr>
      </w:r>
      <w:r>
        <w:rPr>
          <w:lang w:val="en_US" w:bidi="en_US"/>
        </w:rPr>
        <w:t xml:space="preserve">But what I tell you will never fail </w:t>
      </w:r>
      <w:r>
        <w:rPr>
          <w:lang w:val="en_US" w:bidi="en_US"/>
        </w:rPr>
        <w:t>to happen/exist</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contrast with 21:33a.</w:t>
      </w:r>
    </w:p>
    <w:p>
      <w:pPr/>
      <w:r>
        <w:rPr>
          <w:lang w:val="en_US" w:bidi="en_US"/>
        </w:rPr>
      </w:r>
      <w:r>
        <w:rPr>
          <w:b/>
          <w:lang w:val="en_US" w:bidi="en_US"/>
        </w:rPr>
        <w:t>My words will never pass away:</w:t>
      </w:r>
      <w:r>
        <w:rPr>
          <w:lang w:val="en_US" w:bidi="en_US"/>
        </w:rPr>
        <w:t xml:space="preserve"> This clause indicates that the things that Jesus spoke will never be forgotten and will never be proved false. They will certainly happen, just as he said. Another way to translate this is to use a positive expression. For example:</w:t>
      </w:r>
    </w:p>
    <w:p>
      <w:pPr/>
      <w:r>
        <w:rPr>
          <w:lang w:val="en_US" w:bidi="en_US"/>
        </w:rPr>
      </w:r>
      <w:r>
        <w:rPr>
          <w:lang w:val="en_US" w:bidi="en_US"/>
        </w:rPr>
        <w:t>my words will remain forever (NLT96)</w:t>
      </w:r>
    </w:p>
    <w:p>
      <w:pPr/>
      <w:r>
        <w:rPr>
          <w:lang w:val="en_US" w:bidi="en_US"/>
        </w:rPr>
      </w:r>
      <w:r>
        <w:rPr>
          <w:lang w:val="en_US" w:bidi="en_US"/>
        </w:rPr>
        <w:t xml:space="preserve">In some languages it is not natural to say that words </w:t>
      </w:r>
      <w:r>
        <w:rPr>
          <w:i/>
          <w:lang w:val="en_US" w:bidi="en_US"/>
        </w:rPr>
        <w:t>pass away</w:t>
      </w:r>
      <w:r>
        <w:rPr>
          <w:lang w:val="en_US" w:bidi="en_US"/>
        </w:rPr>
        <w:t xml:space="preserve"> or “remain forever.” Use a natural way in your language to indicate that what Jesus said is completely reliable and certain to happen. For example:</w:t>
      </w:r>
    </w:p>
    <w:p>
      <w:pPr/>
      <w:r>
        <w:rPr>
          <w:lang w:val="en_US" w:bidi="en_US"/>
        </w:rPr>
      </w:r>
      <w:r>
        <w:rPr>
          <w:lang w:val="en_US" w:bidi="en_US"/>
        </w:rPr>
        <w:t>what I say will certainly not fail to happen</w:t>
      </w:r>
    </w:p>
    <w:p>
      <w:pPr/>
      <w:r>
        <w:rPr>
          <w:lang w:val="en_US" w:bidi="en_US"/>
        </w:rPr>
      </w:r>
      <w:r>
        <w:rPr>
          <w:lang w:val="en_US" w:bidi="en_US"/>
        </w:rPr>
        <w:t>what I tell you is completely reliable/trustworthy</w:t>
      </w:r>
    </w:p>
    <w:p>
      <w:pPr/>
      <w:r>
        <w:rPr>
          <w:lang w:val="en_US" w:bidi="en_US"/>
        </w:rPr>
      </w:r>
      <w:r>
        <w:rPr>
          <w:b/>
          <w:lang w:val="en_US" w:bidi="en_US"/>
        </w:rPr>
        <w:t>My words:</w:t>
      </w:r>
      <w:r>
        <w:rPr>
          <w:lang w:val="en_US" w:bidi="en_US"/>
        </w:rPr>
        <w:t xml:space="preserve"> The phrase </w:t>
      </w:r>
      <w:r>
        <w:rPr>
          <w:i/>
          <w:lang w:val="en_US" w:bidi="en_US"/>
        </w:rPr>
        <w:t>My words</w:t>
      </w:r>
      <w:r>
        <w:rPr>
          <w:lang w:val="en_US" w:bidi="en_US"/>
        </w:rPr>
        <w:t xml:space="preserve"> refers to all that Jesus ever spoke, including what he had just said about what would happen in the future.</w:t>
      </w:r>
      <w:r>
        <w:rPr>
          <w:lang w:val="en_US" w:bidi="en_US"/>
        </w:rPr>
      </w:r>
      <w:r>
        <w:rPr>
          <w:lang w:val="en_US" w:bidi="en_US"/>
        </w:rPr>
      </w:r>
    </w:p>
    <w:p>
      <w:pPr/>
      <w:r>
        <w:rPr>
          <w:lang w:val="en_US" w:bidi="en_US"/>
        </w:rPr>
      </w:r>
    </w:p>
    <w:p>
      <w:pPr>
        <w:pStyle w:val="Heading2"/>
      </w:pPr>
      <w:r>
        <w:rPr>
          <w:lang w:val="en_US" w:bidi="en_US"/>
        </w:rPr>
        <w:t>Luke 21:34</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21:34a</w:t>
      </w:r>
    </w:p>
    <w:p>
      <w:pPr/>
      <w:r>
        <w:rPr>
          <w:lang w:val="en_US" w:bidi="en_US"/>
        </w:rPr>
      </w:r>
      <w:r>
        <w:rPr>
          <w:b/>
          <w:lang w:val="en_US" w:bidi="en_US"/>
        </w:rPr>
        <w:t>But watch yourselves,</w:t>
      </w:r>
    </w:p>
    <w:p>
      <w:pPr>
        <w:pStyle w:val="ListBullet"/>
        <w:spacing w:line="240" w:lineRule="auto"/>
        <w:ind w:left="720"/>
      </w:pPr>
      <w:r>
        <w:rPr>
          <w:lang w:val="en_US" w:bidi="en_US"/>
        </w:rPr>
      </w:r>
      <w:r>
        <w:rPr>
          <w:lang w:val="en_US" w:bidi="en_US"/>
        </w:rPr>
        <w:t>¶ “Be watchful/alert,</w:t>
      </w:r>
    </w:p>
    <w:p>
      <w:pPr>
        <w:pStyle w:val="ListBullet"/>
        <w:spacing w:line="240" w:lineRule="auto"/>
        <w:ind w:left="720"/>
      </w:pPr>
      <w:r>
        <w:rPr>
          <w:lang w:val="en_US" w:bidi="en_US"/>
        </w:rPr>
      </w:r>
      <w:r>
        <w:rPr>
          <w:lang w:val="en_US" w:bidi="en_US"/>
        </w:rPr>
        <w:t>¶ “Make sure that</w:t>
      </w:r>
    </w:p>
    <w:p>
      <w:pPr>
        <w:pStyle w:val="ListBullet"/>
        <w:spacing w:line="240" w:lineRule="auto"/>
        <w:ind w:left="720"/>
      </w:pPr>
      <w:r>
        <w:rPr>
          <w:lang w:val="en_US" w:bidi="en_US"/>
        </w:rPr>
      </w:r>
      <w:r>
        <w:rPr>
          <w:lang w:val="en_US" w:bidi="en_US"/>
        </w:rPr>
        <w:t xml:space="preserve">¶ “Guard </w:t>
      </w:r>
      <w:r>
        <w:rPr>
          <w:lang w:val="en_US" w:bidi="en_US"/>
        </w:rPr>
        <w:t>yourselves</w:t>
      </w:r>
      <w:r>
        <w:rPr>
          <w:lang w:val="en_US" w:bidi="en_US"/>
        </w:rPr>
        <w:t xml:space="preserve"> carefully</w:t>
      </w:r>
    </w:p>
    <w:p>
      <w:pPr/>
      <w:r>
        <w:rPr>
          <w:lang w:val="en_US" w:bidi="en_US"/>
        </w:rPr>
      </w:r>
      <w:r>
        <w:rPr>
          <w:b/>
          <w:lang w:val="en_US" w:bidi="en_US"/>
        </w:rPr>
        <w:t>watch yourselves:</w:t>
      </w:r>
      <w:r>
        <w:rPr>
          <w:lang w:val="en_US" w:bidi="en_US"/>
        </w:rPr>
        <w:t xml:space="preserve"> The Greek phrase that the BSB translates literally as </w:t>
      </w:r>
      <w:r>
        <w:rPr>
          <w:i/>
          <w:lang w:val="en_US" w:bidi="en_US"/>
        </w:rPr>
        <w:t>watch yourselves</w:t>
      </w:r>
      <w:r>
        <w:rPr>
          <w:lang w:val="en_US" w:bidi="en_US"/>
        </w:rPr>
        <w:t xml:space="preserve"> means “be alert, concerned, and watchful.” Here Jesus used the word to introduce a warning. He warned his disciples to be alert and careful to avoid anything that would prevent them from being faithful to the Lord. They must be ready always for him to return. Some other ways to translate this are:</w:t>
      </w:r>
    </w:p>
    <w:p>
      <w:pPr/>
      <w:r>
        <w:rPr>
          <w:lang w:val="en_US" w:bidi="en_US"/>
        </w:rPr>
      </w:r>
      <w:r>
        <w:rPr>
          <w:lang w:val="en_US" w:bidi="en_US"/>
        </w:rPr>
        <w:t>Watch out (NLT)</w:t>
      </w:r>
    </w:p>
    <w:p>
      <w:pPr/>
      <w:r>
        <w:rPr>
          <w:lang w:val="en_US" w:bidi="en_US"/>
        </w:rPr>
      </w:r>
      <w:r>
        <w:rPr>
          <w:lang w:val="en_US" w:bidi="en_US"/>
        </w:rPr>
        <w:t>Be on guard (NRSV)</w:t>
      </w:r>
    </w:p>
    <w:p>
      <w:pPr/>
      <w:r>
        <w:rPr>
          <w:lang w:val="en_US" w:bidi="en_US"/>
        </w:rPr>
      </w:r>
      <w:r>
        <w:rPr>
          <w:lang w:val="en_US" w:bidi="en_US"/>
        </w:rPr>
        <w:t>watch yourselves (ESV)</w:t>
      </w:r>
    </w:p>
    <w:p>
      <w:pPr/>
      <w:r>
        <w:rPr>
          <w:lang w:val="en_US" w:bidi="en_US"/>
        </w:rPr>
      </w:r>
      <w:r>
        <w:rPr>
          <w:lang w:val="en_US" w:bidi="en_US"/>
        </w:rPr>
        <w:t>Make sure that (GW)</w:t>
      </w:r>
    </w:p>
    <w:p>
      <w:pPr/>
      <w:r>
        <w:rPr>
          <w:lang w:val="en_US" w:bidi="en_US"/>
        </w:rPr>
      </w:r>
      <w:r>
        <w:rPr>
          <w:lang w:val="en_US" w:bidi="en_US"/>
        </w:rPr>
        <w:t>In some languages there may be an idiom to express this warning. Translate it in a natural way in your language.</w:t>
      </w:r>
    </w:p>
    <w:p>
      <w:pPr>
        <w:pStyle w:val="Heading5"/>
      </w:pPr>
      <w:r>
        <w:rPr>
          <w:lang w:val="en_US" w:bidi="en_US"/>
        </w:rPr>
        <w:t>21:34b–d</w:t>
      </w:r>
    </w:p>
    <w:p>
      <w:pPr/>
      <w:r>
        <w:rPr>
          <w:lang w:val="en_US" w:bidi="en_US"/>
        </w:rPr>
      </w:r>
      <w:r>
        <w:rPr>
          <w:b/>
          <w:lang w:val="en_US" w:bidi="en_US"/>
        </w:rPr>
        <w:t>or your hearts will be weighed down…and that day will spring upon you suddenly:</w:t>
      </w:r>
      <w:r>
        <w:rPr>
          <w:lang w:val="en_US" w:bidi="en_US"/>
        </w:rPr>
        <w:t xml:space="preserve"> The Greek word that the BSB translates as </w:t>
      </w:r>
      <w:r>
        <w:rPr>
          <w:i/>
          <w:lang w:val="en_US" w:bidi="en_US"/>
        </w:rPr>
        <w:t>or</w:t>
      </w:r>
      <w:r>
        <w:rPr>
          <w:lang w:val="en_US" w:bidi="en_US"/>
        </w:rPr>
        <w:t xml:space="preserve"> here introduces what would happen if the disciples were not careful. It introduces the purpose for the warning in 21:34a. This purpose has two related parts:</w:t>
      </w:r>
    </w:p>
    <w:p>
      <w:pPr>
        <w:pStyle w:val="ListNumber"/>
        <w:numPr>
          <w:ilvl w:val="0"/>
          <w:numId w:val="350"/>
        </w:numPr>
        <w:spacing w:line="240" w:lineRule="auto"/>
        <w:ind w:left="720"/>
      </w:pPr>
      <w:r>
        <w:rPr>
          <w:lang w:val="en_US" w:bidi="en_US"/>
        </w:rPr>
      </w:r>
      <w:r>
        <w:rPr>
          <w:lang w:val="en_US" w:bidi="en_US"/>
        </w:rPr>
        <w:t>so that their hearts will not be weighed down:</w:t>
      </w:r>
    </w:p>
    <w:p>
      <w:pPr>
        <w:pStyle w:val="ListNumber"/>
        <w:spacing w:line="240" w:lineRule="auto"/>
        <w:ind w:left="720"/>
      </w:pPr>
      <w:r>
        <w:rPr>
          <w:lang w:val="en_US" w:bidi="en_US"/>
        </w:rPr>
      </w:r>
      <w:r>
        <w:rPr>
          <w:lang w:val="en_US" w:bidi="en_US"/>
        </w:rPr>
        <w:t>so that the day does not close on them unexpectedly.</w:t>
      </w:r>
    </w:p>
    <w:p>
      <w:pPr/>
      <w:r>
        <w:rPr>
          <w:lang w:val="en_US" w:bidi="en_US"/>
        </w:rPr>
      </w:r>
      <w:r>
        <w:rPr>
          <w:lang w:val="en_US" w:bidi="en_US"/>
        </w:rPr>
        <w:t>Some other ways to translate this connection are:</w:t>
      </w:r>
    </w:p>
    <w:p>
      <w:pPr/>
      <w:r>
        <w:rPr>
          <w:lang w:val="en_US" w:bidi="en_US"/>
        </w:rPr>
      </w:r>
      <w:r>
        <w:rPr>
          <w:lang w:val="en_US" w:bidi="en_US"/>
        </w:rPr>
        <w:t>so that your hearts are not weighed down…and that day catch you unexpectedly (NRSV)</w:t>
      </w:r>
    </w:p>
    <w:p>
      <w:pPr/>
      <w:r>
        <w:rPr>
          <w:lang w:val="en_US" w:bidi="en_US"/>
        </w:rPr>
      </w:r>
      <w:r>
        <w:rPr>
          <w:lang w:val="en_US" w:bidi="en_US"/>
        </w:rPr>
        <w:t>do not let your minds be dulled…so that the great day catches you suddenly (REB)</w:t>
      </w:r>
    </w:p>
    <w:p>
      <w:pPr/>
      <w:r>
        <w:rPr>
          <w:lang w:val="en_US" w:bidi="en_US"/>
        </w:rPr>
      </w:r>
      <w:r>
        <w:rPr>
          <w:lang w:val="en_US" w:bidi="en_US"/>
        </w:rPr>
        <w:t>Some English versions begin a new sentence at 21:34b. Be sure that this connection with 21:34a is clear and natural in your language.</w:t>
      </w:r>
    </w:p>
    <w:p>
      <w:pPr>
        <w:pStyle w:val="Heading5"/>
      </w:pPr>
      <w:r>
        <w:rPr>
          <w:lang w:val="en_US" w:bidi="en_US"/>
        </w:rPr>
        <w:t>21:34b</w:t>
      </w:r>
    </w:p>
    <w:p>
      <w:pPr/>
      <w:r>
        <w:rPr>
          <w:lang w:val="en_US" w:bidi="en_US"/>
        </w:rPr>
      </w:r>
      <w:r>
        <w:rPr>
          <w:b/>
          <w:lang w:val="en_US" w:bidi="en_US"/>
        </w:rPr>
        <w:t>or your hearts will be weighed down</w:t>
      </w:r>
    </w:p>
    <w:p>
      <w:pPr>
        <w:pStyle w:val="ListBullet"/>
        <w:spacing w:line="240" w:lineRule="auto"/>
        <w:ind w:left="720"/>
      </w:pPr>
      <w:r>
        <w:rPr>
          <w:lang w:val="en_US" w:bidi="en_US"/>
        </w:rPr>
      </w:r>
      <w:r>
        <w:rPr>
          <w:lang w:val="en_US" w:bidi="en_US"/>
        </w:rPr>
        <w:t>so that your</w:t>
      </w:r>
      <w:r>
        <w:rPr>
          <w:vertAlign w:val="superscript"/>
          <w:lang w:val="en_US" w:bidi="en_US"/>
        </w:rPr>
        <w:t>(plur)</w:t>
      </w:r>
      <w:r>
        <w:rPr>
          <w:lang w:val="en_US" w:bidi="en_US"/>
        </w:rPr>
        <w:t xml:space="preserve"> spirits/minds do not become burdened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occupy/busy yourselves</w:t>
      </w:r>
    </w:p>
    <w:p>
      <w:pPr>
        <w:pStyle w:val="ListBullet"/>
        <w:spacing w:line="240" w:lineRule="auto"/>
        <w:ind w:left="720"/>
      </w:pPr>
      <w:r>
        <w:rPr>
          <w:lang w:val="en_US" w:bidi="en_US"/>
        </w:rPr>
      </w:r>
      <w:r>
        <w:rPr>
          <w:lang w:val="en_US" w:bidi="en_US"/>
        </w:rPr>
        <w:t xml:space="preserve">from things that would distract/divert you from </w:t>
      </w:r>
      <w:r>
        <w:rPr>
          <w:lang w:val="en_US" w:bidi="en_US"/>
        </w:rPr>
        <w:t>faithfully following me</w:t>
      </w:r>
      <w:r>
        <w:rPr>
          <w:lang w:val="en_US" w:bidi="en_US"/>
        </w:rPr>
        <w:t>.</w:t>
      </w:r>
    </w:p>
    <w:p>
      <w:pPr/>
      <w:r>
        <w:rPr>
          <w:lang w:val="en_US" w:bidi="en_US"/>
        </w:rPr>
      </w:r>
      <w:r>
        <w:rPr>
          <w:b/>
          <w:lang w:val="en_US" w:bidi="en_US"/>
        </w:rPr>
        <w:t>your hearts will be weighed down:</w:t>
      </w:r>
      <w:r>
        <w:rPr>
          <w:lang w:val="en_US" w:bidi="en_US"/>
        </w:rPr>
        <w:t xml:space="preserve"> The clause </w:t>
      </w:r>
      <w:r>
        <w:rPr>
          <w:i/>
          <w:lang w:val="en_US" w:bidi="en_US"/>
        </w:rPr>
        <w:t>your hearts will be weighed down</w:t>
      </w:r>
      <w:r>
        <w:rPr>
          <w:lang w:val="en_US" w:bidi="en_US"/>
        </w:rPr>
        <w:t xml:space="preserve"> is more literally “your hearts will be burdened.” This is a figure of speech. It implies that the disciples should not become like people who are carrying a heavy load and cannot do anything else. The disciples must not become too busy with other things. If they are too busy, they will not have the strength to pray and be faithful to Jesus. Then they will not be ready when he returns.</w:t>
      </w:r>
    </w:p>
    <w:p>
      <w:pPr/>
      <w:r>
        <w:rPr>
          <w:lang w:val="en_US" w:bidi="en_US"/>
        </w:rPr>
      </w:r>
      <w:r>
        <w:rPr>
          <w:lang w:val="en_US" w:bidi="en_US"/>
        </w:rPr>
        <w:t>In some languages a literal translation of the figure of speech may give a wrong meaning. Some other ways to translate it are:</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become occupied with too much (GNT)</w:t>
      </w:r>
      <w:r>
        <w:rPr>
          <w:lang w:val="en_US" w:bidi="en_US"/>
        </w:rPr>
        <w:t>always thinking about</w:t>
      </w:r>
      <w:r>
        <w:rPr>
          <w:lang w:val="en_US" w:bidi="en_US"/>
        </w:rPr>
        <w:t>Yakan back translation on TW.</w:t>
      </w:r>
    </w:p>
    <w:p>
      <w:pPr>
        <w:pStyle w:val="ListBullet"/>
        <w:spacing w:line="240" w:lineRule="auto"/>
        <w:ind w:left="720"/>
      </w:pPr>
      <w:r>
        <w:rPr>
          <w:lang w:val="en_US" w:bidi="en_US"/>
        </w:rPr>
      </w:r>
      <w:r>
        <w:rPr>
          <w:lang w:val="en_US" w:bidi="en_US"/>
        </w:rPr>
        <w:t>Use a different figure of speech that expresses the meaning in your language. For example:</w:t>
      </w:r>
      <w:r>
        <w:rPr>
          <w:lang w:val="en_US" w:bidi="en_US"/>
        </w:rPr>
        <w:t>consumed with/by</w:t>
      </w:r>
      <w:r>
        <w:rPr>
          <w:lang w:val="en_US" w:bidi="en_US"/>
        </w:rPr>
        <w:t>get-sidetracked by</w:t>
      </w:r>
      <w:r>
        <w:rPr>
          <w:lang w:val="en_US" w:bidi="en_US"/>
        </w:rPr>
        <w:t>Kankanaey back translation on TW.</w:t>
      </w:r>
    </w:p>
    <w:p>
      <w:pPr/>
      <w:r>
        <w:rPr>
          <w:lang w:val="en_US" w:bidi="en_US"/>
        </w:rPr>
      </w:r>
      <w:r>
        <w:rPr>
          <w:lang w:val="en_US" w:bidi="en_US"/>
        </w:rPr>
        <w:t>Translate the meaning in a natural way in your language.</w:t>
      </w:r>
    </w:p>
    <w:p>
      <w:pPr>
        <w:pStyle w:val="Heading5"/>
      </w:pPr>
      <w:r>
        <w:rPr>
          <w:lang w:val="en_US" w:bidi="en_US"/>
        </w:rPr>
        <w:t>21:34c</w:t>
      </w:r>
    </w:p>
    <w:p>
      <w:pPr/>
      <w:r>
        <w:rPr>
          <w:lang w:val="en_US" w:bidi="en_US"/>
        </w:rPr>
      </w:r>
      <w:r>
        <w:rPr>
          <w:b/>
          <w:lang w:val="en_US" w:bidi="en_US"/>
        </w:rPr>
        <w:t>by dissipation, drunkenness, and the worries of life—</w:t>
      </w:r>
    </w:p>
    <w:p>
      <w:pPr>
        <w:pStyle w:val="ListBullet"/>
        <w:spacing w:line="240" w:lineRule="auto"/>
        <w:ind w:left="720"/>
      </w:pPr>
      <w:r>
        <w:rPr>
          <w:lang w:val="en_US" w:bidi="en_US"/>
        </w:rPr>
      </w:r>
      <w:r>
        <w:rPr>
          <w:lang w:val="en_US" w:bidi="en_US"/>
        </w:rPr>
        <w:t>by carousing/partying and getting drunk, and worrying about worldly things.</w:t>
      </w:r>
    </w:p>
    <w:p>
      <w:pPr>
        <w:pStyle w:val="ListBullet"/>
        <w:spacing w:line="240" w:lineRule="auto"/>
        <w:ind w:left="720"/>
      </w:pPr>
      <w:r>
        <w:rPr>
          <w:lang w:val="en_US" w:bidi="en_US"/>
        </w:rPr>
      </w:r>
      <w:r>
        <w:rPr>
          <w:lang w:val="en_US" w:bidi="en_US"/>
        </w:rPr>
        <w:t xml:space="preserve">with parties/feasting, drinking too much, or being anxious about things that </w:t>
      </w:r>
      <w:r>
        <w:rPr>
          <w:lang w:val="en_US" w:bidi="en_US"/>
        </w:rPr>
        <w:t>you need</w:t>
      </w:r>
      <w:r>
        <w:rPr>
          <w:lang w:val="en_US" w:bidi="en_US"/>
        </w:rPr>
        <w:t xml:space="preserve"> here on earth.</w:t>
      </w:r>
    </w:p>
    <w:p>
      <w:pPr>
        <w:pStyle w:val="ListBullet"/>
        <w:spacing w:line="240" w:lineRule="auto"/>
        <w:ind w:left="720"/>
      </w:pPr>
      <w:r>
        <w:rPr>
          <w:lang w:val="en_US" w:bidi="en_US"/>
        </w:rPr>
      </w:r>
      <w:r>
        <w:rPr>
          <w:lang w:val="en_US" w:bidi="en_US"/>
        </w:rPr>
        <w:t>Avoid</w:t>
      </w:r>
      <w:r>
        <w:rPr>
          <w:vertAlign w:val="superscript"/>
          <w:lang w:val="en_US" w:bidi="en_US"/>
        </w:rPr>
        <w:t>(plur)</w:t>
      </w:r>
      <w:r>
        <w:rPr>
          <w:lang w:val="en_US" w:bidi="en_US"/>
        </w:rPr>
        <w:t xml:space="preserve"> drunkenness and self-indulgence/debauchery, and being troubled over matters of this life.</w:t>
      </w:r>
    </w:p>
    <w:p>
      <w:pPr/>
      <w:r>
        <w:rPr>
          <w:lang w:val="en_US" w:bidi="en_US"/>
        </w:rPr>
      </w:r>
      <w:r>
        <w:rPr>
          <w:b/>
          <w:lang w:val="en_US" w:bidi="en_US"/>
        </w:rPr>
        <w:t>by dissipation, drunkenness, and the worries of life:</w:t>
      </w:r>
      <w:r>
        <w:rPr>
          <w:lang w:val="en_US" w:bidi="en_US"/>
        </w:rPr>
        <w:t xml:space="preserve"> Here Jesus mentioned three things that can “weigh down people’s hearts” so that they are not faithful in following the Lord.</w:t>
      </w:r>
    </w:p>
    <w:p>
      <w:pPr/>
      <w:r>
        <w:rPr>
          <w:lang w:val="en_US" w:bidi="en_US"/>
        </w:rPr>
      </w:r>
      <w:r>
        <w:rPr>
          <w:b/>
          <w:lang w:val="en_US" w:bidi="en_US"/>
        </w:rPr>
        <w:t>dissipation:</w:t>
      </w:r>
      <w:r>
        <w:rPr>
          <w:lang w:val="en_US" w:bidi="en_US"/>
        </w:rPr>
        <w:t xml:space="preserve"> The Greek word that the BSB translates as </w:t>
      </w:r>
      <w:r>
        <w:rPr>
          <w:i/>
          <w:lang w:val="en_US" w:bidi="en_US"/>
        </w:rPr>
        <w:t>dissipation</w:t>
      </w:r>
      <w:r>
        <w:rPr>
          <w:lang w:val="en_US" w:bidi="en_US"/>
        </w:rPr>
        <w:t xml:space="preserve"> refers literally to going to parties, getting drunk, and not behaving with self-control. In this context </w:t>
      </w:r>
      <w:r>
        <w:rPr>
          <w:i/>
          <w:lang w:val="en_US" w:bidi="en_US"/>
        </w:rPr>
        <w:t>dissipation</w:t>
      </w:r>
      <w:r>
        <w:rPr>
          <w:lang w:val="en_US" w:bidi="en_US"/>
        </w:rPr>
        <w:t xml:space="preserve"> also refers figuratively to any kind of self-indulgence that makes a person less interested in God and his ways.</w:t>
      </w:r>
    </w:p>
    <w:p>
      <w:pPr/>
      <w:r>
        <w:rPr>
          <w:lang w:val="en_US" w:bidi="en_US"/>
        </w:rPr>
      </w:r>
      <w:r>
        <w:rPr>
          <w:lang w:val="en_US" w:bidi="en_US"/>
        </w:rPr>
        <w:t>Some other ways to translate this word are:</w:t>
      </w:r>
    </w:p>
    <w:p>
      <w:pPr/>
      <w:r>
        <w:rPr>
          <w:lang w:val="en_US" w:bidi="en_US"/>
        </w:rPr>
      </w:r>
      <w:r>
        <w:rPr>
          <w:lang w:val="en_US" w:bidi="en_US"/>
        </w:rPr>
        <w:t>too much feasting (GNT)</w:t>
      </w:r>
    </w:p>
    <w:p>
      <w:pPr/>
      <w:r>
        <w:rPr>
          <w:lang w:val="en_US" w:bidi="en_US"/>
        </w:rPr>
      </w:r>
      <w:r>
        <w:rPr>
          <w:lang w:val="en_US" w:bidi="en_US"/>
        </w:rPr>
        <w:t>carousing (NLT)</w:t>
      </w:r>
    </w:p>
    <w:p>
      <w:pPr/>
      <w:r>
        <w:rPr>
          <w:lang w:val="en_US" w:bidi="en_US"/>
        </w:rPr>
      </w:r>
      <w:r>
        <w:rPr>
          <w:lang w:val="en_US" w:bidi="en_US"/>
        </w:rPr>
        <w:t>entertaining yourselves with pleasure (TRT)</w:t>
      </w:r>
    </w:p>
    <w:p>
      <w:pPr/>
      <w:r>
        <w:rPr>
          <w:lang w:val="en_US" w:bidi="en_US"/>
        </w:rPr>
      </w:r>
      <w:r>
        <w:rPr>
          <w:lang w:val="en_US" w:bidi="en_US"/>
        </w:rPr>
        <w:t>In some languages there may be an idiom to describe this.</w:t>
      </w:r>
    </w:p>
    <w:p>
      <w:pPr/>
      <w:r>
        <w:rPr>
          <w:lang w:val="en_US" w:bidi="en_US"/>
        </w:rPr>
      </w:r>
      <w:r>
        <w:rPr>
          <w:b/>
          <w:lang w:val="en_US" w:bidi="en_US"/>
        </w:rPr>
        <w:t>drunkenness:</w:t>
      </w:r>
      <w:r>
        <w:rPr>
          <w:lang w:val="en_US" w:bidi="en_US"/>
        </w:rPr>
        <w:t xml:space="preserve"> The word </w:t>
      </w:r>
      <w:r>
        <w:rPr>
          <w:i/>
          <w:lang w:val="en_US" w:bidi="en_US"/>
        </w:rPr>
        <w:t>drunkenness</w:t>
      </w:r>
      <w:r>
        <w:rPr>
          <w:lang w:val="en_US" w:bidi="en_US"/>
        </w:rPr>
        <w:t xml:space="preserve"> refers to being intoxicated (drunk) and also to the foolish way people act when they are drunk. Describe this in a natural way in your language. Another way to translate it is:</w:t>
      </w:r>
    </w:p>
    <w:p>
      <w:pPr/>
      <w:r>
        <w:rPr>
          <w:lang w:val="en_US" w:bidi="en_US"/>
        </w:rPr>
      </w:r>
      <w:r>
        <w:rPr>
          <w:lang w:val="en_US" w:bidi="en_US"/>
        </w:rPr>
        <w:t>do not</w:t>
      </w:r>
      <w:r>
        <w:rPr>
          <w:lang w:val="en_US" w:bidi="en_US"/>
        </w:rPr>
        <w:t xml:space="preserve"> drink too much </w:t>
      </w:r>
      <w:r>
        <w:rPr>
          <w:lang w:val="en_US" w:bidi="en_US"/>
        </w:rPr>
        <w:t>wine/liquor</w:t>
      </w:r>
      <w:r>
        <w:rPr>
          <w:lang w:val="en_US" w:bidi="en_US"/>
        </w:rPr>
        <w:t xml:space="preserve"> and behave foolishly</w:t>
      </w:r>
    </w:p>
    <w:p>
      <w:pPr/>
      <w:r>
        <w:rPr>
          <w:lang w:val="en_US" w:bidi="en_US"/>
        </w:rPr>
      </w:r>
      <w:r>
        <w:rPr>
          <w:b/>
          <w:lang w:val="en_US" w:bidi="en_US"/>
        </w:rPr>
        <w:t>the worries of life:</w:t>
      </w:r>
      <w:r>
        <w:rPr>
          <w:lang w:val="en_US" w:bidi="en_US"/>
        </w:rPr>
        <w:t xml:space="preserve"> The word </w:t>
      </w:r>
      <w:r>
        <w:rPr>
          <w:i/>
          <w:lang w:val="en_US" w:bidi="en_US"/>
        </w:rPr>
        <w:t>worries</w:t>
      </w:r>
      <w:r>
        <w:rPr>
          <w:lang w:val="en_US" w:bidi="en_US"/>
        </w:rPr>
        <w:t xml:space="preserve"> means “anxieties, cares.” Jesus referred to any worries that people have in their lives here on earth. The word </w:t>
      </w:r>
      <w:r>
        <w:rPr>
          <w:i/>
          <w:lang w:val="en_US" w:bidi="en_US"/>
        </w:rPr>
        <w:t>the</w:t>
      </w:r>
      <w:r>
        <w:rPr>
          <w:lang w:val="en_US" w:bidi="en_US"/>
        </w:rPr>
        <w:t xml:space="preserve"> does not imply that Jesus referred to certain specific anxieties. The Greek text does not have the article here. Other ways to translate </w:t>
      </w:r>
      <w:r>
        <w:rPr>
          <w:i/>
          <w:lang w:val="en_US" w:bidi="en_US"/>
        </w:rPr>
        <w:t>the worries of life</w:t>
      </w:r>
      <w:r>
        <w:rPr>
          <w:lang w:val="en_US" w:bidi="en_US"/>
        </w:rPr>
        <w:t xml:space="preserve"> are:</w:t>
      </w:r>
    </w:p>
    <w:p>
      <w:pPr/>
      <w:r>
        <w:rPr>
          <w:lang w:val="en_US" w:bidi="en_US"/>
        </w:rPr>
      </w:r>
      <w:r>
        <w:rPr>
          <w:lang w:val="en_US" w:bidi="en_US"/>
        </w:rPr>
        <w:t>troubles about your livelihood</w:t>
      </w:r>
      <w:r>
        <w:rPr>
          <w:lang w:val="en_US" w:bidi="en_US"/>
        </w:rPr>
        <w:t>Yakan back translation on TW.</w:t>
      </w:r>
    </w:p>
    <w:p>
      <w:pPr/>
      <w:r>
        <w:rPr>
          <w:lang w:val="en_US" w:bidi="en_US"/>
        </w:rPr>
      </w:r>
      <w:r>
        <w:rPr>
          <w:lang w:val="en_US" w:bidi="en_US"/>
        </w:rPr>
        <w:t>the worries of this life (GNT)</w:t>
      </w:r>
    </w:p>
    <w:p>
      <w:pPr/>
      <w:r>
        <w:rPr>
          <w:lang w:val="en_US" w:bidi="en_US"/>
        </w:rPr>
      </w:r>
      <w:r>
        <w:rPr>
          <w:lang w:val="en_US" w:bidi="en_US"/>
        </w:rPr>
        <w:t>worrying about worldly things (NCV)</w:t>
      </w:r>
    </w:p>
    <w:p>
      <w:pPr/>
      <w:r>
        <w:rPr>
          <w:lang w:val="en_US" w:bidi="en_US"/>
        </w:rPr>
      </w:r>
      <w:r>
        <w:rPr>
          <w:b/>
          <w:lang w:val="en_US" w:bidi="en_US"/>
        </w:rPr>
        <w:t>life:</w:t>
      </w:r>
      <w:r>
        <w:rPr>
          <w:lang w:val="en_US" w:bidi="en_US"/>
        </w:rPr>
        <w:t xml:space="preserve"> The Greek word that the BSB translates as </w:t>
      </w:r>
      <w:r>
        <w:rPr>
          <w:i/>
          <w:lang w:val="en_US" w:bidi="en_US"/>
        </w:rPr>
        <w:t>life</w:t>
      </w:r>
      <w:r>
        <w:rPr>
          <w:lang w:val="en_US" w:bidi="en_US"/>
        </w:rPr>
        <w:t xml:space="preserve"> refers specifically to physical life and the normal activities that people do as they live. It often refers to worries about how to sustain life. For example, people worry about how they will get enough food and clothes or about where they will live.</w:t>
      </w:r>
    </w:p>
    <w:p>
      <w:pPr/>
      <w:r>
        <w:rPr>
          <w:lang w:val="en_US" w:bidi="en_US"/>
        </w:rPr>
      </w:r>
      <w:r>
        <w:rPr>
          <w:lang w:val="en_US" w:bidi="en_US"/>
        </w:rPr>
        <w:t xml:space="preserve">A similar word for </w:t>
      </w:r>
      <w:r>
        <w:rPr>
          <w:i/>
          <w:lang w:val="en_US" w:bidi="en_US"/>
        </w:rPr>
        <w:t>life</w:t>
      </w:r>
      <w:r>
        <w:rPr>
          <w:lang w:val="en_US" w:bidi="en_US"/>
        </w:rPr>
        <w:t xml:space="preserve"> was used in 8:14, where some people let the worries, riches, and pleasures of </w:t>
      </w:r>
      <w:r>
        <w:rPr>
          <w:i/>
          <w:lang w:val="en_US" w:bidi="en_US"/>
        </w:rPr>
        <w:t>life</w:t>
      </w:r>
      <w:r>
        <w:rPr>
          <w:lang w:val="en_US" w:bidi="en_US"/>
        </w:rPr>
        <w:t xml:space="preserve"> choke the word. See the translation suggestions in the preceding note.</w:t>
      </w:r>
    </w:p>
    <w:p>
      <w:pPr>
        <w:pStyle w:val="Heading5"/>
      </w:pPr>
      <w:r>
        <w:rPr>
          <w:lang w:val="en_US" w:bidi="en_US"/>
        </w:rPr>
        <w:t>21:34d</w:t>
      </w:r>
    </w:p>
    <w:p>
      <w:pPr/>
      <w:r>
        <w:rPr>
          <w:lang w:val="en_US" w:bidi="en_US"/>
        </w:rPr>
      </w:r>
      <w:r>
        <w:rPr>
          <w:b/>
          <w:lang w:val="en_US" w:bidi="en_US"/>
        </w:rPr>
        <w:t>and that day will spring upon you suddenly like a snare.</w:t>
      </w:r>
    </w:p>
    <w:p>
      <w:pPr>
        <w:pStyle w:val="ListBullet"/>
        <w:spacing w:line="240" w:lineRule="auto"/>
        <w:ind w:left="720"/>
      </w:pPr>
      <w:r>
        <w:rPr>
          <w:lang w:val="en_US" w:bidi="en_US"/>
        </w:rPr>
      </w:r>
      <w:r>
        <w:rPr>
          <w:lang w:val="en_US" w:bidi="en_US"/>
        </w:rPr>
        <w:t>Otherwise, that day will catch you suddenly like a trap.</w:t>
      </w:r>
    </w:p>
    <w:p>
      <w:pPr>
        <w:pStyle w:val="ListBullet"/>
        <w:spacing w:line="240" w:lineRule="auto"/>
        <w:ind w:left="720"/>
      </w:pPr>
      <w:r>
        <w:rPr>
          <w:lang w:val="en_US" w:bidi="en_US"/>
        </w:rPr>
      </w:r>
      <w:r>
        <w:rPr>
          <w:lang w:val="en_US" w:bidi="en_US"/>
        </w:rPr>
        <w:t>If you do</w:t>
      </w:r>
      <w:r>
        <w:rPr>
          <w:lang w:val="en_US" w:bidi="en_US"/>
        </w:rPr>
        <w:t xml:space="preserve">, the </w:t>
      </w:r>
      <w:r>
        <w:rPr>
          <w:lang w:val="en_US" w:bidi="en_US"/>
        </w:rPr>
        <w:t>final/last</w:t>
      </w:r>
      <w:r>
        <w:rPr>
          <w:lang w:val="en_US" w:bidi="en_US"/>
        </w:rPr>
        <w:t xml:space="preserve"> day will surprise you</w:t>
      </w:r>
      <w:r>
        <w:rPr>
          <w:vertAlign w:val="superscript"/>
          <w:lang w:val="en_US" w:bidi="en_US"/>
        </w:rPr>
        <w:t>(plur)</w:t>
      </w:r>
      <w:r>
        <w:rPr>
          <w:lang w:val="en_US" w:bidi="en_US"/>
        </w:rPr>
        <w:t xml:space="preserve">, and you will be like </w:t>
      </w:r>
      <w:r>
        <w:rPr>
          <w:lang w:val="en_US" w:bidi="en_US"/>
        </w:rPr>
        <w:t>an animal</w:t>
      </w:r>
      <w:r>
        <w:rPr>
          <w:lang w:val="en_US" w:bidi="en_US"/>
        </w:rPr>
        <w:t xml:space="preserve"> suddenly </w:t>
      </w:r>
      <w:r>
        <w:rPr>
          <w:lang w:val="en_US" w:bidi="en_US"/>
        </w:rPr>
        <w:t>caught</w:t>
      </w:r>
      <w:r>
        <w:rPr>
          <w:lang w:val="en_US" w:bidi="en_US"/>
        </w:rPr>
        <w:t xml:space="preserve"> in a snare/net.</w:t>
      </w:r>
    </w:p>
    <w:p>
      <w:pPr>
        <w:pStyle w:val="ListBullet"/>
        <w:spacing w:line="240" w:lineRule="auto"/>
        <w:ind w:left="720"/>
      </w:pPr>
      <w:r>
        <w:rPr>
          <w:lang w:val="en_US" w:bidi="en_US"/>
        </w:rPr>
      </w:r>
      <w:r>
        <w:rPr>
          <w:lang w:val="en_US" w:bidi="en_US"/>
        </w:rPr>
        <w:t>If you occupy yourselves with those things</w:t>
      </w:r>
      <w:r>
        <w:rPr>
          <w:lang w:val="en_US" w:bidi="en_US"/>
        </w:rPr>
        <w:t xml:space="preserve">, </w:t>
      </w:r>
      <w:r>
        <w:rPr>
          <w:lang w:val="en_US" w:bidi="en_US"/>
        </w:rPr>
        <w:t>you will not be ready for</w:t>
      </w:r>
      <w:r>
        <w:rPr>
          <w:lang w:val="en_US" w:bidi="en_US"/>
        </w:rPr>
        <w:t xml:space="preserve"> my return. It will be as unexpected as a trap </w:t>
      </w:r>
      <w:r>
        <w:rPr>
          <w:lang w:val="en_US" w:bidi="en_US"/>
        </w:rPr>
        <w:t>that closes/shuts on an animal</w:t>
      </w:r>
      <w:r>
        <w:rPr>
          <w:lang w:val="en_US" w:bidi="en_US"/>
        </w:rPr>
        <w: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the second part of the purpose or reason why the disciples should be careful (21:34a). See the note on 21:34b, for more information.</w:t>
      </w:r>
    </w:p>
    <w:p>
      <w:pPr/>
      <w:r>
        <w:rPr>
          <w:lang w:val="en_US" w:bidi="en_US"/>
        </w:rPr>
      </w:r>
      <w:r>
        <w:rPr>
          <w:lang w:val="en_US" w:bidi="en_US"/>
        </w:rPr>
        <w:t xml:space="preserve">The clause here in 21:34d also tells the result of 21:34b–c. It tells what will happen if the disciples allow their hearts to be weighed down by dissipation, drunkenness, or worry. In some languages it may not be natural to translate the connection with a simple conjunction like </w:t>
      </w:r>
      <w:r>
        <w:rPr>
          <w:i/>
          <w:lang w:val="en_US" w:bidi="en_US"/>
        </w:rPr>
        <w:t>and</w:t>
      </w:r>
      <w:r>
        <w:rPr>
          <w:lang w:val="en_US" w:bidi="en_US"/>
        </w:rPr>
        <w:t>. Some other ways to translate it are:</w:t>
      </w:r>
    </w:p>
    <w:p>
      <w:pPr/>
      <w:r>
        <w:rPr>
          <w:lang w:val="en_US" w:bidi="en_US"/>
        </w:rPr>
      </w:r>
      <w:r>
        <w:rPr>
          <w:u w:val="single"/>
          <w:lang w:val="en_US" w:bidi="en_US"/>
        </w:rPr>
        <w:t>If you do</w:t>
      </w:r>
      <w:r>
        <w:rPr>
          <w:lang w:val="en_US" w:bidi="en_US"/>
        </w:rPr>
        <w:t>, the final day will suddenly catch you (CEV)</w:t>
      </w:r>
    </w:p>
    <w:p>
      <w:pPr/>
      <w:r>
        <w:rPr>
          <w:lang w:val="en_US" w:bidi="en_US"/>
        </w:rPr>
      </w:r>
      <w:r>
        <w:rPr>
          <w:u w:val="single"/>
          <w:lang w:val="en_US" w:bidi="en_US"/>
        </w:rPr>
        <w:t>Don’t let</w:t>
      </w:r>
      <w:r>
        <w:rPr>
          <w:lang w:val="en_US" w:bidi="en_US"/>
        </w:rPr>
        <w:t xml:space="preserve"> that day catch you unaware (NLT)</w:t>
      </w:r>
    </w:p>
    <w:p>
      <w:pPr/>
      <w:r>
        <w:rPr>
          <w:lang w:val="en_US" w:bidi="en_US"/>
        </w:rPr>
      </w:r>
      <w:r>
        <w:rPr>
          <w:u w:val="single"/>
          <w:lang w:val="en_US" w:bidi="en_US"/>
        </w:rPr>
        <w:t>so that</w:t>
      </w:r>
      <w:r>
        <w:rPr>
          <w:lang w:val="en_US" w:bidi="en_US"/>
        </w:rPr>
        <w:t xml:space="preserve"> the day will </w:t>
      </w:r>
      <w:r>
        <w:rPr>
          <w:u w:val="single"/>
          <w:lang w:val="en_US" w:bidi="en_US"/>
        </w:rPr>
        <w:t>not</w:t>
      </w:r>
      <w:r>
        <w:rPr>
          <w:lang w:val="en_US" w:bidi="en_US"/>
        </w:rPr>
        <w:t xml:space="preserve"> catch you by surprise</w:t>
      </w:r>
    </w:p>
    <w:p>
      <w:pPr/>
      <w:r>
        <w:rPr>
          <w:lang w:val="en_US" w:bidi="en_US"/>
        </w:rPr>
      </w:r>
      <w:r>
        <w:rPr>
          <w:lang w:val="en_US" w:bidi="en_US"/>
        </w:rPr>
        <w:t>Translate the connection in a natural way in your language.</w:t>
      </w:r>
    </w:p>
    <w:p>
      <w:pPr/>
      <w:r>
        <w:rPr>
          <w:lang w:val="en_US" w:bidi="en_US"/>
        </w:rPr>
      </w:r>
      <w:r>
        <w:rPr>
          <w:b/>
          <w:lang w:val="en_US" w:bidi="en_US"/>
        </w:rPr>
        <w:t>that day will spring upon you suddenly like a snare:</w:t>
      </w:r>
      <w:r>
        <w:rPr>
          <w:lang w:val="en_US" w:bidi="en_US"/>
        </w:rPr>
        <w:t xml:space="preserve"> In this clause Jesus used a simile to describe what will happen if his followers do not stay alert (21:34a). They will not be ready on the day when he returns. They will not expect Jesus to come on that day, just as a bird or animal does not expect the trap that catches it.</w:t>
      </w:r>
    </w:p>
    <w:p>
      <w:pPr/>
      <w:r>
        <w:rPr>
          <w:lang w:val="en_US" w:bidi="en_US"/>
        </w:rPr>
      </w:r>
      <w:r>
        <w:rPr>
          <w:lang w:val="en_US" w:bidi="en_US"/>
        </w:rPr>
        <w:t>Some other ways to translate this simile are:</w:t>
      </w:r>
    </w:p>
    <w:p>
      <w:pPr/>
      <w:r>
        <w:rPr>
          <w:lang w:val="en_US" w:bidi="en_US"/>
        </w:rPr>
      </w:r>
      <w:r>
        <w:rPr>
          <w:lang w:val="en_US" w:bidi="en_US"/>
        </w:rPr>
        <w:t>you will not be ready for that day, and it will surprise you like a snare catching an animal/bird</w:t>
      </w:r>
    </w:p>
    <w:p>
      <w:pPr/>
      <w:r>
        <w:rPr>
          <w:lang w:val="en_US" w:bidi="en_US"/>
        </w:rPr>
      </w:r>
      <w:r>
        <w:rPr>
          <w:lang w:val="en_US" w:bidi="en_US"/>
        </w:rPr>
        <w:t>that day will come when you do not expect it, just as a bird does not expect the snare that catches it</w:t>
      </w:r>
    </w:p>
    <w:p>
      <w:pPr/>
      <w:r>
        <w:rPr>
          <w:lang w:val="en_US" w:bidi="en_US"/>
        </w:rPr>
      </w:r>
      <w:r>
        <w:rPr>
          <w:lang w:val="en_US" w:bidi="en_US"/>
        </w:rPr>
        <w:t>that day will arrive suddenly like a snare suddenly seizes an animal</w:t>
      </w:r>
    </w:p>
    <w:p>
      <w:pPr/>
      <w:r>
        <w:rPr>
          <w:lang w:val="en_US" w:bidi="en_US"/>
        </w:rPr>
      </w:r>
      <w:r>
        <w:rPr>
          <w:b/>
          <w:lang w:val="en_US" w:bidi="en_US"/>
        </w:rPr>
        <w:t>that day:</w:t>
      </w:r>
      <w:r>
        <w:rPr>
          <w:lang w:val="en_US" w:bidi="en_US"/>
        </w:rPr>
        <w:t xml:space="preserve"> The phrase </w:t>
      </w:r>
      <w:r>
        <w:rPr>
          <w:i/>
          <w:lang w:val="en_US" w:bidi="en_US"/>
        </w:rPr>
        <w:t>that day</w:t>
      </w:r>
      <w:r>
        <w:rPr>
          <w:lang w:val="en_US" w:bidi="en_US"/>
        </w:rPr>
        <w:t xml:space="preserve"> refers to the day of the Lord, the day when Jesus will return (21:27) and redeem his people (21:28c) and the kingdom of God will begin (21:31b). If you need to use a more specific expression, you may refer to the day when Jesus returns or to the last day/time. For example:</w:t>
      </w:r>
    </w:p>
    <w:p>
      <w:pPr/>
      <w:r>
        <w:rPr>
          <w:lang w:val="en_US" w:bidi="en_US"/>
        </w:rPr>
      </w:r>
      <w:r>
        <w:rPr>
          <w:lang w:val="en_US" w:bidi="en_US"/>
        </w:rPr>
        <w:t xml:space="preserve">the day </w:t>
      </w:r>
      <w:r>
        <w:rPr>
          <w:lang w:val="en_US" w:bidi="en_US"/>
        </w:rPr>
        <w:t>when I return</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refers to the disciples who will be alive at the time Jesus returns. See the first note on 21:28b.</w:t>
      </w:r>
    </w:p>
    <w:p>
      <w:pPr/>
      <w:r>
        <w:rPr>
          <w:lang w:val="en_US" w:bidi="en_US"/>
        </w:rPr>
      </w:r>
      <w:r>
        <w:rPr>
          <w:b/>
          <w:lang w:val="en_US" w:bidi="en_US"/>
        </w:rPr>
        <w:t>like a snare:</w:t>
      </w:r>
      <w:r>
        <w:rPr>
          <w:lang w:val="en_US" w:bidi="en_US"/>
        </w:rPr>
        <w:t xml:space="preserve"> In some English versions the phrase </w:t>
      </w:r>
      <w:r>
        <w:rPr>
          <w:i/>
          <w:lang w:val="en_US" w:bidi="en_US"/>
        </w:rPr>
        <w:t>like a snare</w:t>
      </w:r>
      <w:r>
        <w:rPr>
          <w:lang w:val="en_US" w:bidi="en_US"/>
        </w:rPr>
        <w:t xml:space="preserve"> is translated as part of 21:35, instead of 21:34d. For example:</w:t>
      </w:r>
    </w:p>
    <w:p>
      <w:pPr/>
      <w:r>
        <w:rPr>
          <w:lang w:val="en_US" w:bidi="en_US"/>
        </w:rPr>
      </w:r>
      <w:r>
        <w:rPr>
          <w:lang w:val="en_US" w:bidi="en_US"/>
        </w:rPr>
        <w:t xml:space="preserve">and that day catch you unexpectedly, </w:t>
      </w:r>
      <w:r>
        <w:rPr>
          <w:vertAlign w:val="superscript"/>
          <w:lang w:val="en_US" w:bidi="en_US"/>
        </w:rPr>
        <w:t>35</w:t>
      </w:r>
      <w:r>
        <w:rPr>
          <w:lang w:val="en_US" w:bidi="en_US"/>
        </w:rPr>
        <w:t>like a trap (NRSV)</w:t>
      </w:r>
    </w:p>
    <w:p>
      <w:pPr/>
      <w:r>
        <w:rPr>
          <w:lang w:val="en_US" w:bidi="en_US"/>
        </w:rPr>
      </w:r>
      <w:r>
        <w:rPr>
          <w:lang w:val="en_US" w:bidi="en_US"/>
        </w:rPr>
        <w:t>This difference does not change the meaning, and either division of the verses is fine. You may want to follow the decision of the major language version in your area.</w:t>
      </w:r>
    </w:p>
    <w:p>
      <w:pPr/>
      <w:r>
        <w:rPr>
          <w:lang w:val="en_US" w:bidi="en_US"/>
        </w:rPr>
      </w:r>
      <w:r>
        <w:rPr>
          <w:b/>
          <w:lang w:val="en_US" w:bidi="en_US"/>
        </w:rPr>
        <w:t>snare:</w:t>
      </w:r>
      <w:r>
        <w:rPr>
          <w:lang w:val="en_US" w:bidi="en_US"/>
        </w:rPr>
        <w:t xml:space="preserve"> The word </w:t>
      </w:r>
      <w:r>
        <w:rPr>
          <w:i/>
          <w:lang w:val="en_US" w:bidi="en_US"/>
        </w:rPr>
        <w:t>snare</w:t>
      </w:r>
      <w:r>
        <w:rPr>
          <w:lang w:val="en_US" w:bidi="en_US"/>
        </w:rPr>
        <w:t xml:space="preserve"> refers to a device that people use to catch an animal or bird.</w:t>
      </w:r>
      <w:r>
        <w:rPr>
          <w:lang w:val="en_US" w:bidi="en_US"/>
        </w:rPr>
        <w:t>See BDAG, p. 747.</w:t>
      </w:r>
      <w:r>
        <w:rPr>
          <w:lang w:val="en_US" w:bidi="en_US"/>
        </w:rPr>
        <w:t xml:space="preserve"> Some ways to translate it are:</w:t>
      </w:r>
    </w:p>
    <w:p>
      <w:pPr>
        <w:pStyle w:val="ListBullet"/>
        <w:spacing w:line="240" w:lineRule="auto"/>
        <w:ind w:left="720"/>
      </w:pPr>
      <w:r>
        <w:rPr>
          <w:lang w:val="en_US" w:bidi="en_US"/>
        </w:rPr>
      </w:r>
      <w:r>
        <w:rPr>
          <w:lang w:val="en_US" w:bidi="en_US"/>
        </w:rPr>
        <w:t>Use a general word or phrase that can describe any type of snare. For example:</w:t>
      </w:r>
      <w:r>
        <w:rPr>
          <w:lang w:val="en_US" w:bidi="en_US"/>
        </w:rPr>
        <w:t>trap</w:t>
      </w:r>
    </w:p>
    <w:p>
      <w:pPr>
        <w:pStyle w:val="ListBullet"/>
        <w:spacing w:line="240" w:lineRule="auto"/>
        <w:ind w:left="720"/>
      </w:pPr>
      <w:r>
        <w:rPr>
          <w:lang w:val="en_US" w:bidi="en_US"/>
        </w:rPr>
      </w:r>
      <w:r>
        <w:rPr>
          <w:lang w:val="en_US" w:bidi="en_US"/>
        </w:rPr>
        <w:t>Use a word that refers to a specific kind of snare. For example:</w:t>
      </w:r>
      <w:r>
        <w:rPr>
          <w:lang w:val="en_US" w:bidi="en_US"/>
        </w:rPr>
        <w:t>net</w:t>
      </w:r>
      <w:r>
        <w:rPr>
          <w:lang w:val="en_US" w:bidi="en_US"/>
        </w:rPr>
        <w:t>noose</w:t>
      </w:r>
    </w:p>
    <w:p>
      <w:pPr>
        <w:pStyle w:val="ListBullet"/>
        <w:spacing w:line="240" w:lineRule="auto"/>
        <w:ind w:left="720"/>
      </w:pPr>
      <w:r>
        <w:rPr>
          <w:lang w:val="en_US" w:bidi="en_US"/>
        </w:rPr>
      </w:r>
      <w:r>
        <w:rPr>
          <w:lang w:val="en_US" w:bidi="en_US"/>
        </w:rPr>
        <w:t xml:space="preserve">Translate </w:t>
      </w:r>
      <w:r>
        <w:rPr>
          <w:i/>
          <w:lang w:val="en_US" w:bidi="en_US"/>
        </w:rPr>
        <w:t>snare</w:t>
      </w:r>
      <w:r>
        <w:rPr>
          <w:lang w:val="en_US" w:bidi="en_US"/>
        </w:rPr>
        <w:t xml:space="preserve"> as a phrase and specify an object that the trap catches. You may use a general or a specific object. For example:</w:t>
      </w:r>
      <w:r>
        <w:rPr>
          <w:lang w:val="en_US" w:bidi="en_US"/>
        </w:rPr>
        <w:t>the way a snare shuts on an animal/bird</w:t>
      </w:r>
      <w:r>
        <w:rPr>
          <w:lang w:val="en_US" w:bidi="en_US"/>
        </w:rPr>
        <w:t>as a snare catches a rat</w:t>
      </w:r>
    </w:p>
    <w:p>
      <w:pPr/>
      <w:r>
        <w:rPr>
          <w:lang w:val="en_US" w:bidi="en_US"/>
        </w:rPr>
      </w:r>
      <w:r>
        <w:rPr>
          <w:lang w:val="en_US" w:bidi="en_US"/>
        </w:rPr>
        <w:t>Translate the simile in an appropriate way in your language.</w:t>
      </w:r>
      <w:r>
        <w:rPr>
          <w:lang w:val="en_US" w:bidi="en_US"/>
        </w:rPr>
      </w:r>
      <w:r>
        <w:rPr>
          <w:lang w:val="en_US" w:bidi="en_US"/>
        </w:rPr>
      </w:r>
    </w:p>
    <w:p>
      <w:pPr/>
      <w:r>
        <w:rPr>
          <w:lang w:val="en_US" w:bidi="en_US"/>
        </w:rPr>
      </w:r>
    </w:p>
    <w:p>
      <w:pPr>
        <w:pStyle w:val="Heading2"/>
      </w:pPr>
      <w:r>
        <w:rPr>
          <w:lang w:val="en_US" w:bidi="en_US"/>
        </w:rPr>
        <w:t>Luke 21:35</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21:35</w:t>
      </w:r>
    </w:p>
    <w:p>
      <w:pPr/>
      <w:r>
        <w:rPr>
          <w:lang w:val="en_US" w:bidi="en_US"/>
        </w:rPr>
      </w:r>
      <w:r>
        <w:rPr>
          <w:b/>
          <w:lang w:val="en_US" w:bidi="en_US"/>
        </w:rPr>
        <w:t>For it will come upon all who dwell on the face of all the earth.</w:t>
      </w:r>
    </w:p>
    <w:p>
      <w:pPr>
        <w:pStyle w:val="ListBullet"/>
        <w:spacing w:line="240" w:lineRule="auto"/>
        <w:ind w:left="720"/>
      </w:pPr>
      <w:r>
        <w:rPr>
          <w:lang w:val="en_US" w:bidi="en_US"/>
        </w:rPr>
      </w:r>
      <w:r>
        <w:rPr>
          <w:lang w:val="en_US" w:bidi="en_US"/>
        </w:rPr>
        <w:t>For that day will come upon all people living throughout the world.</w:t>
      </w:r>
    </w:p>
    <w:p>
      <w:pPr>
        <w:pStyle w:val="ListBullet"/>
        <w:spacing w:line="240" w:lineRule="auto"/>
        <w:ind w:left="720"/>
      </w:pPr>
      <w:r>
        <w:rPr>
          <w:lang w:val="en_US" w:bidi="en_US"/>
        </w:rPr>
      </w:r>
      <w:r>
        <w:rPr>
          <w:lang w:val="en_US" w:bidi="en_US"/>
        </w:rPr>
        <w:t>That day will affect all the people in the world.</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w:t>
      </w:r>
      <w:r>
        <w:rPr>
          <w:lang w:val="en_US" w:bidi="en_US"/>
        </w:rPr>
        <w:t>not think that it will not affect you,</w:t>
      </w:r>
      <w:r>
        <w:rPr>
          <w:lang w:val="en_US" w:bidi="en_US"/>
        </w:rPr>
        <w:t xml:space="preserve"> because </w:t>
      </w:r>
      <w:r>
        <w:rPr>
          <w:lang w:val="en_US" w:bidi="en_US"/>
        </w:rPr>
        <w:t>the things that happen on</w:t>
      </w:r>
      <w:r>
        <w:rPr>
          <w:lang w:val="en_US" w:bidi="en_US"/>
        </w:rPr>
        <w:t xml:space="preserve"> that day will impact everyone everywhere.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There is a textual issue regarding the placement of the Greek conjunction </w:t>
      </w:r>
      <w:r>
        <w:rPr>
          <w:i/>
          <w:lang w:val="en_US" w:bidi="en_US"/>
        </w:rPr>
        <w:t>gar</w:t>
      </w:r>
      <w:r>
        <w:rPr>
          <w:lang w:val="en_US" w:bidi="en_US"/>
        </w:rPr>
        <w:t xml:space="preserve"> that the BSB translates as “For.” Some Greek manuscripts have </w:t>
      </w:r>
      <w:r>
        <w:rPr>
          <w:i/>
          <w:lang w:val="en_US" w:bidi="en_US"/>
        </w:rPr>
        <w:t>hōs pagis epeiseleusetai gar</w:t>
      </w:r>
      <w:r>
        <w:rPr>
          <w:lang w:val="en_US" w:bidi="en_US"/>
        </w:rPr>
        <w:t xml:space="preserve"> “as a snare; for it will come upon,” and others have </w:t>
      </w:r>
      <w:r>
        <w:rPr>
          <w:i/>
          <w:lang w:val="en_US" w:bidi="en_US"/>
        </w:rPr>
        <w:t>hōs pagis gar epeiseleusetai</w:t>
      </w:r>
      <w:r>
        <w:rPr>
          <w:lang w:val="en_US" w:bidi="en_US"/>
        </w:rPr>
        <w:t xml:space="preserve"> “for as a snare it will come upon.” Metzger (p. 173) gives the former a B rating, indicating that the text is almost certain, and almost all English versions follow this text.</w:t>
      </w:r>
      <w:r>
        <w:rPr>
          <w:lang w:val="en_US" w:bidi="en_US"/>
        </w:rPr>
        <w:t xml:space="preserve"> introduces an explanation or reason for the warning that Jesus gave in 21:34d. Connect this verse with 21:34 in a natural way in your language. In some languages a conjunction may not be needed.</w:t>
      </w:r>
    </w:p>
    <w:p>
      <w:pPr/>
      <w:r>
        <w:rPr>
          <w:lang w:val="en_US" w:bidi="en_US"/>
        </w:rPr>
      </w:r>
      <w:r>
        <w:rPr>
          <w:b/>
          <w:lang w:val="en_US" w:bidi="en_US"/>
        </w:rPr>
        <w:t>it will come upon all who dwell on the face of all the earth:</w:t>
      </w:r>
      <w:r>
        <w:rPr>
          <w:lang w:val="en_US" w:bidi="en_US"/>
        </w:rPr>
        <w:t xml:space="preserve"> This clause refers back to the “day” mentioned in 21:34d. The clause indicates that the events that happen on that day will affect everyone in this world. No one should think that the day will affect only certain people. Every human being will be affected.</w:t>
      </w:r>
    </w:p>
    <w:p>
      <w:pPr/>
      <w:r>
        <w:rPr>
          <w:lang w:val="en_US" w:bidi="en_US"/>
        </w:rPr>
      </w:r>
      <w:r>
        <w:rPr>
          <w:lang w:val="en_US" w:bidi="en_US"/>
        </w:rPr>
        <w:t>In some languages it is not natural to speak of a day as “coming upon” people. Some other ways to translate the clause are:</w:t>
      </w:r>
    </w:p>
    <w:p>
      <w:pPr>
        <w:pStyle w:val="ListBullet"/>
        <w:spacing w:line="240" w:lineRule="auto"/>
        <w:ind w:left="720"/>
      </w:pPr>
      <w:r>
        <w:rPr>
          <w:lang w:val="en_US" w:bidi="en_US"/>
        </w:rPr>
      </w:r>
      <w:r>
        <w:rPr>
          <w:lang w:val="en_US" w:bidi="en_US"/>
        </w:rPr>
        <w:t>Translate the meaning without this idiom. For example:</w:t>
      </w:r>
      <w:r>
        <w:rPr>
          <w:lang w:val="en_US" w:bidi="en_US"/>
        </w:rPr>
        <w:t>All people all over the world will be affected by that day.</w:t>
      </w:r>
      <w:r>
        <w:rPr>
          <w:lang w:val="en_US" w:bidi="en_US"/>
        </w:rPr>
        <w:t>What happens on</w:t>
      </w:r>
      <w:r>
        <w:rPr>
          <w:lang w:val="en_US" w:bidi="en_US"/>
        </w:rPr>
        <w:t xml:space="preserve"> that day will impact everyone all over the earth.</w:t>
      </w:r>
    </w:p>
    <w:p>
      <w:pPr>
        <w:pStyle w:val="ListBullet"/>
        <w:spacing w:line="240" w:lineRule="auto"/>
        <w:ind w:left="720"/>
      </w:pPr>
      <w:r>
        <w:rPr>
          <w:lang w:val="en_US" w:bidi="en_US"/>
        </w:rPr>
      </w:r>
      <w:r>
        <w:rPr>
          <w:lang w:val="en_US" w:bidi="en_US"/>
        </w:rPr>
        <w:t>Use a different idiom to express this meaning. For example:</w:t>
      </w:r>
      <w:r>
        <w:rPr>
          <w:lang w:val="en_US" w:bidi="en_US"/>
        </w:rPr>
        <w:t>That day will catch all the people dwelling on earth.</w:t>
      </w:r>
    </w:p>
    <w:p>
      <w:pPr/>
      <w:r>
        <w:rPr>
          <w:lang w:val="en_US" w:bidi="en_US"/>
        </w:rPr>
      </w:r>
      <w:r>
        <w:rPr>
          <w:lang w:val="en_US" w:bidi="en_US"/>
        </w:rPr>
        <w:t>Translate the clause in a natural way in your language.</w:t>
      </w:r>
    </w:p>
    <w:p>
      <w:pPr/>
      <w:r>
        <w:rPr>
          <w:lang w:val="en_US" w:bidi="en_US"/>
        </w:rPr>
      </w:r>
      <w:r>
        <w:rPr>
          <w:b/>
          <w:lang w:val="en_US" w:bidi="en_US"/>
        </w:rPr>
        <w:t>the face of all the earth:</w:t>
      </w:r>
      <w:r>
        <w:rPr>
          <w:lang w:val="en_US" w:bidi="en_US"/>
        </w:rPr>
        <w:t xml:space="preserve"> The phrase </w:t>
      </w:r>
      <w:r>
        <w:rPr>
          <w:i/>
          <w:lang w:val="en_US" w:bidi="en_US"/>
        </w:rPr>
        <w:t>the face of all the earth</w:t>
      </w:r>
      <w:r>
        <w:rPr>
          <w:lang w:val="en_US" w:bidi="en_US"/>
        </w:rPr>
        <w:t xml:space="preserve"> refers to the surface of the ground all over the world. This is a figurative way to refer to the whole earth. In some languages it may not be natural to mention </w:t>
      </w:r>
      <w:r>
        <w:rPr>
          <w:i/>
          <w:lang w:val="en_US" w:bidi="en_US"/>
        </w:rPr>
        <w:t>the face</w:t>
      </w:r>
      <w:r>
        <w:rPr>
          <w:lang w:val="en_US" w:bidi="en_US"/>
        </w:rPr>
        <w:t xml:space="preserve"> or surface of the world. If that is true in your language, you may translate the phrase without the figure of speech. For example:</w:t>
      </w:r>
    </w:p>
    <w:p>
      <w:pPr/>
      <w:r>
        <w:rPr>
          <w:lang w:val="en_US" w:bidi="en_US"/>
        </w:rPr>
      </w:r>
      <w:r>
        <w:rPr>
          <w:lang w:val="en_US" w:bidi="en_US"/>
        </w:rPr>
        <w:t>on the earth (NLT)</w:t>
      </w:r>
      <w:r>
        <w:rPr>
          <w:lang w:val="en_US" w:bidi="en_US"/>
        </w:rPr>
      </w:r>
      <w:r>
        <w:rPr>
          <w:lang w:val="en_US" w:bidi="en_US"/>
        </w:rPr>
      </w:r>
    </w:p>
    <w:p>
      <w:pPr/>
      <w:r>
        <w:rPr>
          <w:lang w:val="en_US" w:bidi="en_US"/>
        </w:rPr>
      </w:r>
    </w:p>
    <w:p>
      <w:pPr>
        <w:pStyle w:val="Heading2"/>
      </w:pPr>
      <w:r>
        <w:rPr>
          <w:lang w:val="en_US" w:bidi="en_US"/>
        </w:rPr>
        <w:t>Luke 21:36</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5"/>
      </w:pPr>
      <w:r>
        <w:rPr>
          <w:lang w:val="en_US" w:bidi="en_US"/>
        </w:rPr>
        <w:t>21:36a–b</w:t>
      </w:r>
    </w:p>
    <w:p>
      <w:pPr/>
      <w:r>
        <w:rPr>
          <w:lang w:val="en_US" w:bidi="en_US"/>
        </w:rPr>
      </w:r>
      <w:r>
        <w:rPr>
          <w:b/>
          <w:lang w:val="en_US" w:bidi="en_US"/>
        </w:rPr>
        <w:t>So:</w:t>
      </w:r>
      <w:r>
        <w:rPr>
          <w:lang w:val="en_US" w:bidi="en_US"/>
        </w:rPr>
        <w:t xml:space="preserve"> In Greek 21:36 begins with a common conjunction that is often translated as “But.” The BSB translates this word as </w:t>
      </w:r>
      <w:r>
        <w:rPr>
          <w:i/>
          <w:lang w:val="en_US" w:bidi="en_US"/>
        </w:rPr>
        <w:t>So</w:t>
      </w:r>
      <w:r>
        <w:rPr>
          <w:lang w:val="en_US" w:bidi="en_US"/>
        </w:rPr>
        <w:t>. In this verse Jesus told his disciples to “keep watch.” This command is similar to 21:34, where he said “watch yourselves.” A few English versions use “But” here. However, in some languages a contrast conjunction like “but” may imply a wrong contrast. Most English versions do not translate the conjunction. Connect this verse to 21:35 in a natural way in your language.</w:t>
      </w:r>
    </w:p>
    <w:p>
      <w:pPr/>
      <w:r>
        <w:rPr>
          <w:lang w:val="en_US" w:bidi="en_US"/>
        </w:rPr>
      </w:r>
      <w:r>
        <w:rPr>
          <w:b/>
          <w:lang w:val="en_US" w:bidi="en_US"/>
        </w:rPr>
        <w:t>keep watch at all times, and pray:</w:t>
      </w:r>
      <w:r>
        <w:rPr>
          <w:lang w:val="en_US" w:bidi="en_US"/>
        </w:rPr>
        <w:t xml:space="preserve"> The Greek phrase that the BSB translates as </w:t>
      </w:r>
      <w:r>
        <w:rPr>
          <w:i/>
          <w:lang w:val="en_US" w:bidi="en_US"/>
        </w:rPr>
        <w:t>keep watch at all times, and pray</w:t>
      </w:r>
      <w:r>
        <w:rPr>
          <w:lang w:val="en_US" w:bidi="en_US"/>
        </w:rPr>
        <w:t xml:space="preserve"> is more literally “be alert at every time praying.” The phrase “at every time” may go with “be alert” or with “pray” or with both:</w:t>
      </w:r>
    </w:p>
    <w:p>
      <w:pPr>
        <w:pStyle w:val="ListNumber"/>
        <w:numPr>
          <w:ilvl w:val="0"/>
          <w:numId w:val="351"/>
        </w:numPr>
        <w:spacing w:line="240" w:lineRule="auto"/>
        <w:ind w:left="720"/>
      </w:pPr>
      <w:r>
        <w:rPr>
          <w:lang w:val="en_US" w:bidi="en_US"/>
        </w:rPr>
      </w:r>
      <w:r>
        <w:rPr>
          <w:lang w:val="en_US" w:bidi="en_US"/>
        </w:rPr>
        <w:t xml:space="preserve">It goes with both </w:t>
      </w:r>
      <w:r>
        <w:rPr>
          <w:i/>
          <w:lang w:val="en_US" w:bidi="en_US"/>
        </w:rPr>
        <w:t>keep watch</w:t>
      </w:r>
      <w:r>
        <w:rPr>
          <w:lang w:val="en_US" w:bidi="en_US"/>
        </w:rPr>
        <w:t xml:space="preserve"> and with </w:t>
      </w:r>
      <w:r>
        <w:rPr>
          <w:i/>
          <w:lang w:val="en_US" w:bidi="en_US"/>
        </w:rPr>
        <w:t>pray</w:t>
      </w:r>
      <w:r>
        <w:rPr>
          <w:lang w:val="en_US" w:bidi="en_US"/>
        </w:rPr>
        <w:t>. For example:</w:t>
      </w:r>
      <w:r>
        <w:rPr>
          <w:lang w:val="en_US" w:bidi="en_US"/>
        </w:rPr>
        <w:t xml:space="preserve">But keep on the alert at all times, praying (NASB) </w:t>
      </w:r>
      <w:r>
        <w:rPr>
          <w:i/>
          <w:lang w:val="en_US" w:bidi="en_US"/>
        </w:rPr>
        <w:t>(NASB, NRSV, NET, ESV, JBP)</w:t>
      </w:r>
    </w:p>
    <w:p>
      <w:pPr>
        <w:pStyle w:val="ListNumber"/>
        <w:spacing w:line="240" w:lineRule="auto"/>
        <w:ind w:left="720"/>
      </w:pPr>
      <w:r>
        <w:rPr>
          <w:lang w:val="en_US" w:bidi="en_US"/>
        </w:rPr>
      </w:r>
      <w:r>
        <w:rPr>
          <w:lang w:val="en_US" w:bidi="en_US"/>
        </w:rPr>
        <w:t xml:space="preserve">It goes with </w:t>
      </w:r>
      <w:r>
        <w:rPr>
          <w:i/>
          <w:lang w:val="en_US" w:bidi="en_US"/>
        </w:rPr>
        <w:t>keep watch</w:t>
      </w:r>
      <w:r>
        <w:rPr>
          <w:lang w:val="en_US" w:bidi="en_US"/>
        </w:rPr>
        <w:t>. For example:</w:t>
      </w:r>
      <w:r>
        <w:rPr>
          <w:lang w:val="en_US" w:bidi="en_US"/>
        </w:rPr>
        <w:t xml:space="preserve">Be alert at all times. Pray… (GW) </w:t>
      </w:r>
      <w:r>
        <w:rPr>
          <w:i/>
          <w:lang w:val="en_US" w:bidi="en_US"/>
        </w:rPr>
        <w:t>(BSB, NIV, GW, NLT, NCV, NASB)</w:t>
      </w:r>
    </w:p>
    <w:p>
      <w:pPr>
        <w:pStyle w:val="ListNumber"/>
        <w:spacing w:line="240" w:lineRule="auto"/>
        <w:ind w:left="720"/>
      </w:pPr>
      <w:r>
        <w:rPr>
          <w:lang w:val="en_US" w:bidi="en_US"/>
        </w:rPr>
      </w:r>
      <w:r>
        <w:rPr>
          <w:lang w:val="en_US" w:bidi="en_US"/>
        </w:rPr>
        <w:t xml:space="preserve">It goes with </w:t>
      </w:r>
      <w:r>
        <w:rPr>
          <w:i/>
          <w:lang w:val="en_US" w:bidi="en_US"/>
        </w:rPr>
        <w:t>pray</w:t>
      </w:r>
      <w:r>
        <w:rPr>
          <w:lang w:val="en_US" w:bidi="en_US"/>
        </w:rPr>
        <w:t>. For example:</w:t>
      </w:r>
      <w:r>
        <w:rPr>
          <w:lang w:val="en_US" w:bidi="en_US"/>
        </w:rPr>
        <w:t xml:space="preserve">Be on watch and pray always (GNT) </w:t>
      </w:r>
      <w:r>
        <w:rPr>
          <w:i/>
          <w:lang w:val="en_US" w:bidi="en_US"/>
        </w:rPr>
        <w:t>(GNT, REB, NJB, CEV, KJV)</w:t>
      </w:r>
    </w:p>
    <w:p>
      <w:pPr/>
      <w:r>
        <w:rPr>
          <w:lang w:val="en_US" w:bidi="en_US"/>
        </w:rPr>
      </w:r>
      <w:r>
        <w:rPr>
          <w:lang w:val="en_US" w:bidi="en_US"/>
        </w:rPr>
        <w:t>The meaning of all three options is almost the same, and any of the options is acceptable. However, it is most likely that Jesus implied that his disciples must always be alert and also that they must always pray.</w:t>
      </w:r>
    </w:p>
    <w:p>
      <w:pPr/>
      <w:r>
        <w:rPr>
          <w:lang w:val="en_US" w:bidi="en_US"/>
        </w:rPr>
      </w:r>
      <w:r>
        <w:rPr>
          <w:lang w:val="en_US" w:bidi="en_US"/>
        </w:rPr>
        <w:t>This sentence may imply that praying is the way his disciples can stay alert,</w:t>
      </w:r>
      <w:r>
        <w:rPr>
          <w:lang w:val="en_US" w:bidi="en_US"/>
        </w:rPr>
        <w:t xml:space="preserve">Stein (p. 530) says, “This injunction probably is best understood as an instrumental participle revealing the means by which one can be watchful: </w:t>
      </w:r>
      <w:r>
        <w:rPr>
          <w:i/>
          <w:lang w:val="en_US" w:bidi="en_US"/>
        </w:rPr>
        <w:t>Be always watchful by praying</w:t>
      </w:r>
      <w:r>
        <w:rPr>
          <w:lang w:val="en_US" w:bidi="en_US"/>
        </w:rPr>
        <w:t>.”</w:t>
      </w:r>
      <w:r>
        <w:rPr>
          <w:lang w:val="en_US" w:bidi="en_US"/>
        </w:rPr>
        <w:t xml:space="preserve"> or that praying is what they must do while they always stay alert. Some ways to translate this are:</w:t>
      </w:r>
    </w:p>
    <w:p>
      <w:pPr/>
      <w:r>
        <w:rPr>
          <w:lang w:val="en_US" w:bidi="en_US"/>
        </w:rPr>
      </w:r>
      <w:r>
        <w:rPr>
          <w:lang w:val="en_US" w:bidi="en_US"/>
        </w:rPr>
        <w:t>keep on the alert at all times, praying… (NASB)</w:t>
      </w:r>
    </w:p>
    <w:p>
      <w:pPr/>
      <w:r>
        <w:rPr>
          <w:lang w:val="en_US" w:bidi="en_US"/>
        </w:rPr>
      </w:r>
      <w:r>
        <w:rPr>
          <w:lang w:val="en_US" w:bidi="en_US"/>
        </w:rPr>
        <w:t>Be always watching and praying that…</w:t>
      </w:r>
    </w:p>
    <w:p>
      <w:pPr/>
      <w:r>
        <w:rPr>
          <w:lang w:val="en_US" w:bidi="en_US"/>
        </w:rPr>
      </w:r>
      <w:r>
        <w:rPr>
          <w:lang w:val="en_US" w:bidi="en_US"/>
        </w:rPr>
        <w:t>you should always be on your guard and you should always pray</w:t>
      </w:r>
      <w:r>
        <w:rPr>
          <w:lang w:val="en_US" w:bidi="en_US"/>
        </w:rPr>
        <w:t>Western Bukidnon Manobo back translation on TW.</w:t>
      </w:r>
    </w:p>
    <w:p>
      <w:pPr>
        <w:pStyle w:val="Heading5"/>
      </w:pPr>
      <w:r>
        <w:rPr>
          <w:lang w:val="en_US" w:bidi="en_US"/>
        </w:rPr>
        <w:t>21:36a</w:t>
      </w:r>
    </w:p>
    <w:p>
      <w:pPr/>
      <w:r>
        <w:rPr>
          <w:lang w:val="en_US" w:bidi="en_US"/>
        </w:rPr>
      </w:r>
      <w:r>
        <w:rPr>
          <w:b/>
          <w:lang w:val="en_US" w:bidi="en_US"/>
        </w:rPr>
        <w:t>So keep watch at all times,</w:t>
      </w:r>
    </w:p>
    <w:p>
      <w:pPr>
        <w:pStyle w:val="ListBullet"/>
        <w:spacing w:line="240" w:lineRule="auto"/>
        <w:ind w:left="720"/>
      </w:pPr>
      <w:r>
        <w:rPr>
          <w:lang w:val="en_US" w:bidi="en_US"/>
        </w:rPr>
      </w:r>
      <w:r>
        <w:rPr>
          <w:lang w:val="en_US" w:bidi="en_US"/>
        </w:rPr>
        <w:t>Remain</w:t>
      </w:r>
      <w:r>
        <w:rPr>
          <w:vertAlign w:val="superscript"/>
          <w:lang w:val="en_US" w:bidi="en_US"/>
        </w:rPr>
        <w:t>(plur)</w:t>
      </w:r>
      <w:r>
        <w:rPr>
          <w:lang w:val="en_US" w:bidi="en_US"/>
        </w:rPr>
        <w:t xml:space="preserve"> constantly watchful,</w:t>
      </w:r>
    </w:p>
    <w:p>
      <w:pPr>
        <w:pStyle w:val="ListBullet"/>
        <w:spacing w:line="240" w:lineRule="auto"/>
        <w:ind w:left="720"/>
      </w:pPr>
      <w:r>
        <w:rPr>
          <w:lang w:val="en_US" w:bidi="en_US"/>
        </w:rPr>
      </w:r>
      <w:r>
        <w:rPr>
          <w:lang w:val="en_US" w:bidi="en_US"/>
        </w:rPr>
        <w:t>Be</w:t>
      </w:r>
      <w:r>
        <w:rPr>
          <w:vertAlign w:val="superscript"/>
          <w:lang w:val="en_US" w:bidi="en_US"/>
        </w:rPr>
        <w:t>(plur)</w:t>
      </w:r>
      <w:r>
        <w:rPr>
          <w:lang w:val="en_US" w:bidi="en_US"/>
        </w:rPr>
        <w:t xml:space="preserve"> alert at all times,</w:t>
      </w:r>
    </w:p>
    <w:p>
      <w:pPr>
        <w:pStyle w:val="ListBullet"/>
        <w:spacing w:line="240" w:lineRule="auto"/>
        <w:ind w:left="720"/>
      </w:pPr>
      <w:r>
        <w:rPr>
          <w:lang w:val="en_US" w:bidi="en_US"/>
        </w:rPr>
      </w:r>
      <w:r>
        <w:rPr>
          <w:lang w:val="en_US" w:bidi="en_US"/>
        </w:rPr>
        <w:t>Continually be watchful.</w:t>
      </w:r>
    </w:p>
    <w:p>
      <w:pPr/>
      <w:r>
        <w:rPr>
          <w:lang w:val="en_US" w:bidi="en_US"/>
        </w:rPr>
      </w:r>
      <w:r>
        <w:rPr>
          <w:b/>
          <w:lang w:val="en_US" w:bidi="en_US"/>
        </w:rPr>
        <w:t>So keep watch at all times:</w:t>
      </w:r>
      <w:r>
        <w:rPr>
          <w:lang w:val="en_US" w:bidi="en_US"/>
        </w:rPr>
        <w:t xml:space="preserve"> The Greek command that the BSB translates as </w:t>
      </w:r>
      <w:r>
        <w:rPr>
          <w:i/>
          <w:lang w:val="en_US" w:bidi="en_US"/>
        </w:rPr>
        <w:t>keep watch at all times</w:t>
      </w:r>
      <w:r>
        <w:rPr>
          <w:lang w:val="en_US" w:bidi="en_US"/>
        </w:rPr>
        <w:t xml:space="preserve"> means “Always be alert.” In this context the command implies that Jesus’ disciples should expect him to return at any moment. They must be careful to avoid doing evil so that they will be always ready for his return. Some other ways to translate this are:</w:t>
      </w:r>
    </w:p>
    <w:p>
      <w:pPr/>
      <w:r>
        <w:rPr>
          <w:lang w:val="en_US" w:bidi="en_US"/>
        </w:rPr>
      </w:r>
      <w:r>
        <w:rPr>
          <w:lang w:val="en_US" w:bidi="en_US"/>
        </w:rPr>
        <w:t>Keep alert at all times. (NLT)</w:t>
      </w:r>
    </w:p>
    <w:p>
      <w:pPr/>
      <w:r>
        <w:rPr>
          <w:lang w:val="en_US" w:bidi="en_US"/>
        </w:rPr>
      </w:r>
      <w:r>
        <w:rPr>
          <w:lang w:val="en_US" w:bidi="en_US"/>
        </w:rPr>
        <w:t>Be always watchful.</w:t>
      </w:r>
    </w:p>
    <w:p>
      <w:pPr/>
      <w:r>
        <w:rPr>
          <w:lang w:val="en_US" w:bidi="en_US"/>
        </w:rPr>
      </w:r>
      <w:r>
        <w:rPr>
          <w:lang w:val="en_US" w:bidi="en_US"/>
        </w:rPr>
        <w:t>Be prepared continually.</w:t>
      </w:r>
      <w:r>
        <w:rPr>
          <w:lang w:val="en_US" w:bidi="en_US"/>
        </w:rPr>
        <w:t>Kankanaey back translation on TW.</w:t>
      </w:r>
    </w:p>
    <w:p>
      <w:pPr/>
      <w:r>
        <w:rPr>
          <w:lang w:val="en_US" w:bidi="en_US"/>
        </w:rPr>
      </w:r>
      <w:r>
        <w:rPr>
          <w:b/>
          <w:lang w:val="en_US" w:bidi="en_US"/>
        </w:rPr>
        <w:t>at all times:</w:t>
      </w:r>
      <w:r>
        <w:rPr>
          <w:lang w:val="en_US" w:bidi="en_US"/>
        </w:rPr>
        <w:t xml:space="preserve"> The Greek phrase that the BSB translates as </w:t>
      </w:r>
      <w:r>
        <w:rPr>
          <w:i/>
          <w:lang w:val="en_US" w:bidi="en_US"/>
        </w:rPr>
        <w:t>at all times</w:t>
      </w:r>
      <w:r>
        <w:rPr>
          <w:lang w:val="en_US" w:bidi="en_US"/>
        </w:rPr>
        <w:t xml:space="preserve"> is more literally “at every time.” It refers to each moment.</w:t>
      </w:r>
    </w:p>
    <w:p>
      <w:pPr>
        <w:pStyle w:val="Heading5"/>
      </w:pPr>
      <w:r>
        <w:rPr>
          <w:lang w:val="en_US" w:bidi="en_US"/>
        </w:rPr>
        <w:t>21:36b–c</w:t>
      </w:r>
    </w:p>
    <w:p>
      <w:pPr/>
      <w:r>
        <w:rPr>
          <w:lang w:val="en_US" w:bidi="en_US"/>
        </w:rPr>
      </w:r>
      <w:r>
        <w:rPr>
          <w:b/>
          <w:lang w:val="en_US" w:bidi="en_US"/>
        </w:rPr>
        <w:t>and pray that you may have the strength to escape all that is about to happen and to stand before the Son of Man:</w:t>
      </w:r>
      <w:r>
        <w:rPr>
          <w:lang w:val="en_US" w:bidi="en_US"/>
        </w:rPr>
        <w:t xml:space="preserve"> The Greek verb that the BSB translates as </w:t>
      </w:r>
      <w:r>
        <w:rPr>
          <w:i/>
          <w:lang w:val="en_US" w:bidi="en_US"/>
        </w:rPr>
        <w:t>may have the strength</w:t>
      </w:r>
      <w:r>
        <w:rPr>
          <w:lang w:val="en_US" w:bidi="en_US"/>
        </w:rPr>
        <w:t xml:space="preserve"> occurs only once in this verse. Most English versions follow the Greek text and do not repeat this verb before the words </w:t>
      </w:r>
      <w:r>
        <w:rPr>
          <w:i/>
          <w:lang w:val="en_US" w:bidi="en_US"/>
        </w:rPr>
        <w:t>to stand</w:t>
      </w:r>
      <w:r>
        <w:rPr>
          <w:lang w:val="en_US" w:bidi="en_US"/>
        </w:rPr>
        <w:t>. For example:</w:t>
      </w:r>
    </w:p>
    <w:p>
      <w:pPr/>
      <w:r>
        <w:rPr>
          <w:lang w:val="en_US" w:bidi="en_US"/>
        </w:rPr>
      </w:r>
      <w:r>
        <w:rPr>
          <w:lang w:val="en_US" w:bidi="en_US"/>
        </w:rPr>
        <w:t>praying that you may have strength to escape…and to stand (NET)</w:t>
      </w:r>
    </w:p>
    <w:p>
      <w:pPr/>
      <w:r>
        <w:rPr>
          <w:lang w:val="en_US" w:bidi="en_US"/>
        </w:rPr>
      </w:r>
      <w:r>
        <w:rPr>
          <w:lang w:val="en_US" w:bidi="en_US"/>
        </w:rPr>
        <w:t xml:space="preserve">The context implies that the clause that begins with </w:t>
      </w:r>
      <w:r>
        <w:rPr>
          <w:i/>
          <w:lang w:val="en_US" w:bidi="en_US"/>
        </w:rPr>
        <w:t>and to stand</w:t>
      </w:r>
      <w:r>
        <w:rPr>
          <w:lang w:val="en_US" w:bidi="en_US"/>
        </w:rPr>
        <w:t xml:space="preserve"> is a result of having </w:t>
      </w:r>
      <w:r>
        <w:rPr>
          <w:i/>
          <w:lang w:val="en_US" w:bidi="en_US"/>
        </w:rPr>
        <w:t>the strength to escape</w:t>
      </w:r>
      <w:r>
        <w:rPr>
          <w:lang w:val="en_US" w:bidi="en_US"/>
        </w:rPr>
        <w:t xml:space="preserve"> in the previous clause. In some languages it may be necessary to make this connection explicit. For example:</w:t>
      </w:r>
    </w:p>
    <w:p>
      <w:pPr/>
      <w:r>
        <w:rPr>
          <w:lang w:val="en_US" w:bidi="en_US"/>
        </w:rPr>
      </w:r>
      <w:r>
        <w:rPr>
          <w:lang w:val="en_US" w:bidi="en_US"/>
        </w:rPr>
        <w:t xml:space="preserve">praying that you will have strength to endure all that will happen </w:t>
      </w:r>
      <w:r>
        <w:rPr>
          <w:u w:val="single"/>
          <w:lang w:val="en_US" w:bidi="en_US"/>
        </w:rPr>
        <w:t>so that</w:t>
      </w:r>
      <w:r>
        <w:rPr>
          <w:lang w:val="en_US" w:bidi="en_US"/>
        </w:rPr>
        <w:t xml:space="preserve"> you can stand before the Son of Man</w:t>
      </w:r>
    </w:p>
    <w:p>
      <w:pPr/>
      <w:r>
        <w:rPr>
          <w:lang w:val="en_US" w:bidi="en_US"/>
        </w:rPr>
      </w:r>
      <w:r>
        <w:rPr>
          <w:lang w:val="en_US" w:bidi="en_US"/>
        </w:rPr>
        <w:t>In other languages it may be more natural to translate 21:36c as a separate sentence. For example:</w:t>
      </w:r>
    </w:p>
    <w:p>
      <w:pPr/>
      <w:r>
        <w:rPr>
          <w:lang w:val="en_US" w:bidi="en_US"/>
        </w:rPr>
      </w:r>
      <w:r>
        <w:rPr>
          <w:lang w:val="en_US" w:bidi="en_US"/>
        </w:rPr>
        <w:t>…praying that you will be strong to escape all that will happen. Pray that you may be able to stand in the presence of the Son of Man.</w:t>
      </w:r>
    </w:p>
    <w:p>
      <w:pPr/>
      <w:r>
        <w:rPr>
          <w:lang w:val="en_US" w:bidi="en_US"/>
        </w:rPr>
      </w:r>
      <w:r>
        <w:rPr>
          <w:lang w:val="en_US" w:bidi="en_US"/>
        </w:rPr>
        <w:t>Translate 21:36b–c in a natural way in your language.</w:t>
      </w:r>
    </w:p>
    <w:p>
      <w:pPr>
        <w:pStyle w:val="Heading5"/>
      </w:pPr>
      <w:r>
        <w:rPr>
          <w:lang w:val="en_US" w:bidi="en_US"/>
        </w:rPr>
        <w:t>21:36b</w:t>
      </w:r>
    </w:p>
    <w:p>
      <w:pPr/>
      <w:r>
        <w:rPr>
          <w:lang w:val="en_US" w:bidi="en_US"/>
        </w:rPr>
      </w:r>
      <w:r>
        <w:rPr>
          <w:b/>
          <w:lang w:val="en_US" w:bidi="en_US"/>
        </w:rPr>
        <w:t>and pray that you may have the strength to escape all that is about to happen</w:t>
      </w:r>
    </w:p>
    <w:p>
      <w:pPr>
        <w:pStyle w:val="ListBullet"/>
        <w:spacing w:line="240" w:lineRule="auto"/>
        <w:ind w:left="720"/>
      </w:pPr>
      <w:r>
        <w:rPr>
          <w:lang w:val="en_US" w:bidi="en_US"/>
        </w:rPr>
      </w:r>
      <w:r>
        <w:rPr>
          <w:lang w:val="en_US" w:bidi="en_US"/>
        </w:rPr>
        <w:t>praying that you</w:t>
      </w:r>
      <w:r>
        <w:rPr>
          <w:vertAlign w:val="superscript"/>
          <w:lang w:val="en_US" w:bidi="en_US"/>
        </w:rPr>
        <w:t>(plur)</w:t>
      </w:r>
      <w:r>
        <w:rPr>
          <w:lang w:val="en_US" w:bidi="en_US"/>
        </w:rPr>
        <w:t xml:space="preserve"> may have the strength to live through all that will soon happen</w:t>
      </w:r>
    </w:p>
    <w:p>
      <w:pPr>
        <w:pStyle w:val="ListBullet"/>
        <w:spacing w:line="240" w:lineRule="auto"/>
        <w:ind w:left="720"/>
      </w:pPr>
      <w:r>
        <w:rPr>
          <w:lang w:val="en_US" w:bidi="en_US"/>
        </w:rPr>
      </w:r>
      <w:r>
        <w:rPr>
          <w:lang w:val="en_US" w:bidi="en_US"/>
        </w:rPr>
        <w:t xml:space="preserve">and continually ask </w:t>
      </w:r>
      <w:r>
        <w:rPr>
          <w:lang w:val="en_US" w:bidi="en_US"/>
        </w:rPr>
        <w:t>God</w:t>
      </w:r>
      <w:r>
        <w:rPr>
          <w:lang w:val="en_US" w:bidi="en_US"/>
        </w:rPr>
        <w:t xml:space="preserve"> for endurance/courage to </w:t>
      </w:r>
      <w:r>
        <w:rPr>
          <w:lang w:val="en_US" w:bidi="en_US"/>
        </w:rPr>
        <w:t>be faithful throughout</w:t>
      </w:r>
      <w:r>
        <w:rPr>
          <w:lang w:val="en_US" w:bidi="en_US"/>
        </w:rPr>
        <w:t xml:space="preserve"> everything that will occur</w:t>
      </w:r>
    </w:p>
    <w:p>
      <w:pPr>
        <w:pStyle w:val="ListBullet"/>
        <w:spacing w:line="240" w:lineRule="auto"/>
        <w:ind w:left="720"/>
      </w:pPr>
      <w:r>
        <w:rPr>
          <w:lang w:val="en_US" w:bidi="en_US"/>
        </w:rPr>
      </w:r>
      <w:r>
        <w:rPr>
          <w:lang w:val="en_US" w:bidi="en_US"/>
        </w:rPr>
        <w:t xml:space="preserve">Pray always that </w:t>
      </w:r>
      <w:r>
        <w:rPr>
          <w:lang w:val="en_US" w:bidi="en_US"/>
        </w:rPr>
        <w:t>God will help</w:t>
      </w:r>
      <w:r>
        <w:rPr>
          <w:lang w:val="en_US" w:bidi="en_US"/>
        </w:rPr>
        <w:t xml:space="preserve"> you</w:t>
      </w:r>
      <w:r>
        <w:rPr>
          <w:vertAlign w:val="superscript"/>
          <w:lang w:val="en_US" w:bidi="en_US"/>
        </w:rPr>
        <w:t>(plur)</w:t>
      </w:r>
      <w:r>
        <w:rPr>
          <w:lang w:val="en_US" w:bidi="en_US"/>
        </w:rPr>
        <w:t xml:space="preserve"> to pass/go safely through the </w:t>
      </w:r>
      <w:r>
        <w:rPr>
          <w:lang w:val="en_US" w:bidi="en_US"/>
        </w:rPr>
        <w:t>terrible</w:t>
      </w:r>
      <w:r>
        <w:rPr>
          <w:lang w:val="en_US" w:bidi="en_US"/>
        </w:rPr>
        <w:t xml:space="preserve"> things that will soon happen</w:t>
      </w:r>
    </w:p>
    <w:p>
      <w:pPr/>
      <w:r>
        <w:rPr>
          <w:lang w:val="en_US" w:bidi="en_US"/>
        </w:rPr>
      </w:r>
      <w:r>
        <w:rPr>
          <w:b/>
          <w:lang w:val="en_US" w:bidi="en_US"/>
        </w:rPr>
        <w:t>and pray that you may have the strength to escape all that is about to happen:</w:t>
      </w:r>
      <w:r>
        <w:rPr>
          <w:lang w:val="en_US" w:bidi="en_US"/>
        </w:rPr>
        <w:t xml:space="preserve"> The Greek word that the BSB translates as </w:t>
      </w:r>
      <w:r>
        <w:rPr>
          <w:i/>
          <w:lang w:val="en_US" w:bidi="en_US"/>
        </w:rPr>
        <w:t>you may have the strength</w:t>
      </w:r>
      <w:r>
        <w:rPr>
          <w:lang w:val="en_US" w:bidi="en_US"/>
        </w:rPr>
        <w:t xml:space="preserve"> means to have strength or ability for a certain purpose.</w:t>
      </w:r>
      <w:r>
        <w:rPr>
          <w:lang w:val="en_US" w:bidi="en_US"/>
        </w:rPr>
        <w:t xml:space="preserve">The Greek verb </w:t>
      </w:r>
      <w:r>
        <w:rPr>
          <w:i/>
          <w:lang w:val="en_US" w:bidi="en_US"/>
        </w:rPr>
        <w:t>katisxuō</w:t>
      </w:r>
      <w:r>
        <w:rPr>
          <w:lang w:val="en_US" w:bidi="en_US"/>
        </w:rPr>
        <w:t xml:space="preserve"> means “to have the strength or capability to obtain an advantage, </w:t>
      </w:r>
      <w:r>
        <w:rPr>
          <w:i/>
          <w:lang w:val="en_US" w:bidi="en_US"/>
        </w:rPr>
        <w:t>be dominant, prevail</w:t>
      </w:r>
      <w:r>
        <w:rPr>
          <w:lang w:val="en_US" w:bidi="en_US"/>
        </w:rPr>
        <w:t xml:space="preserve">” (BDAG, p. 534). Some Greek manuscripts have </w:t>
      </w:r>
      <w:r>
        <w:rPr>
          <w:i/>
          <w:lang w:val="en_US" w:bidi="en_US"/>
        </w:rPr>
        <w:t>kataxiōthēte</w:t>
      </w:r>
      <w:r>
        <w:rPr>
          <w:lang w:val="en_US" w:bidi="en_US"/>
        </w:rPr>
        <w:t xml:space="preserve">, which means “[that] you may be counted worthy.” The KJV is the only English version on TW that follows this option. It is recommended that you translate the other option with </w:t>
      </w:r>
      <w:r>
        <w:rPr>
          <w:i/>
          <w:lang w:val="en_US" w:bidi="en_US"/>
        </w:rPr>
        <w:t>katisxuō</w:t>
      </w:r>
      <w:r>
        <w:rPr>
          <w:lang w:val="en_US" w:bidi="en_US"/>
        </w:rPr>
        <w:t>.</w:t>
      </w:r>
      <w:r>
        <w:rPr>
          <w:lang w:val="en_US" w:bidi="en_US"/>
        </w:rPr>
        <w:t xml:space="preserve"> Here Jesus told his followers to pray that they would have strength to escape the terrible things that would soon happen.</w:t>
      </w:r>
    </w:p>
    <w:p>
      <w:pPr/>
      <w:r>
        <w:rPr>
          <w:lang w:val="en_US" w:bidi="en_US"/>
        </w:rPr>
      </w:r>
      <w:r>
        <w:rPr>
          <w:lang w:val="en_US" w:bidi="en_US"/>
        </w:rPr>
        <w:t xml:space="preserve">In this context </w:t>
      </w:r>
      <w:r>
        <w:rPr>
          <w:i/>
          <w:lang w:val="en_US" w:bidi="en_US"/>
        </w:rPr>
        <w:t>escape</w:t>
      </w:r>
      <w:r>
        <w:rPr>
          <w:lang w:val="en_US" w:bidi="en_US"/>
        </w:rPr>
        <w:t xml:space="preserve"> probably refers to going safely through danger. The following clause implies that Jesus’ followers will be in danger of doing things that will make them ashamed to stand in his presence. They should pray to remain faithful throughout the time before he comes.</w:t>
      </w:r>
    </w:p>
    <w:p>
      <w:pPr/>
      <w:r>
        <w:rPr>
          <w:lang w:val="en_US" w:bidi="en_US"/>
        </w:rPr>
      </w:r>
      <w:r>
        <w:rPr>
          <w:lang w:val="en_US" w:bidi="en_US"/>
        </w:rPr>
        <w:t>Some other ways to translate this clause are:</w:t>
      </w:r>
    </w:p>
    <w:p>
      <w:pPr/>
      <w:r>
        <w:rPr>
          <w:lang w:val="en_US" w:bidi="en_US"/>
        </w:rPr>
      </w:r>
      <w:r>
        <w:rPr>
          <w:lang w:val="en_US" w:bidi="en_US"/>
        </w:rPr>
        <w:t>pray…that you will have the strength to go safely through all those things that will happen (GNT)</w:t>
      </w:r>
    </w:p>
    <w:p>
      <w:pPr/>
      <w:r>
        <w:rPr>
          <w:lang w:val="en_US" w:bidi="en_US"/>
        </w:rPr>
      </w:r>
      <w:r>
        <w:rPr>
          <w:lang w:val="en_US" w:bidi="en_US"/>
        </w:rPr>
        <w:t xml:space="preserve">ask God to give you strength to be </w:t>
      </w:r>
      <w:r>
        <w:rPr>
          <w:lang w:val="en_US" w:bidi="en_US"/>
        </w:rPr>
        <w:t>faithful</w:t>
      </w:r>
      <w:r>
        <w:rPr>
          <w:lang w:val="en_US" w:bidi="en_US"/>
        </w:rPr>
        <w:t xml:space="preserve"> through all that will happen</w:t>
      </w:r>
    </w:p>
    <w:p>
      <w:pPr/>
      <w:r>
        <w:rPr>
          <w:lang w:val="en_US" w:bidi="en_US"/>
        </w:rPr>
      </w:r>
      <w:r>
        <w:rPr>
          <w:lang w:val="en_US" w:bidi="en_US"/>
        </w:rPr>
        <w:t>keep calling-out to the Lord God, so that you will be strong to endure all the sufferings that are about to happen</w:t>
      </w:r>
      <w:r>
        <w:rPr>
          <w:lang w:val="en_US" w:bidi="en_US"/>
        </w:rPr>
        <w:t>Uma back translation on TW.</w:t>
      </w:r>
    </w:p>
    <w:p>
      <w:pPr>
        <w:pStyle w:val="Heading5"/>
      </w:pPr>
      <w:r>
        <w:rPr>
          <w:lang w:val="en_US" w:bidi="en_US"/>
        </w:rPr>
        <w:t>21:36c</w:t>
      </w:r>
    </w:p>
    <w:p>
      <w:pPr/>
      <w:r>
        <w:rPr>
          <w:lang w:val="en_US" w:bidi="en_US"/>
        </w:rPr>
      </w:r>
      <w:r>
        <w:rPr>
          <w:b/>
          <w:lang w:val="en_US" w:bidi="en_US"/>
        </w:rPr>
        <w:t>and to stand before the Son of Man.”</w:t>
      </w:r>
    </w:p>
    <w:p>
      <w:pPr>
        <w:pStyle w:val="ListBullet"/>
        <w:spacing w:line="240" w:lineRule="auto"/>
        <w:ind w:left="720"/>
      </w:pPr>
      <w:r>
        <w:rPr>
          <w:lang w:val="en_US" w:bidi="en_US"/>
        </w:rPr>
      </w:r>
      <w:r>
        <w:rPr>
          <w:lang w:val="en_US" w:bidi="en_US"/>
        </w:rPr>
        <w:t>and then to stand in the presence of the Son of Man.”</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can stand </w:t>
      </w:r>
      <w:r>
        <w:rPr>
          <w:lang w:val="en_US" w:bidi="en_US"/>
        </w:rPr>
        <w:t>without shame</w:t>
      </w:r>
      <w:r>
        <w:rPr>
          <w:lang w:val="en_US" w:bidi="en_US"/>
        </w:rPr>
        <w:t xml:space="preserve"> before </w:t>
      </w:r>
      <w:r>
        <w:rPr>
          <w:lang w:val="en_US" w:bidi="en_US"/>
        </w:rPr>
        <w:t>me</w:t>
      </w:r>
      <w:r>
        <w:rPr>
          <w:lang w:val="en_US" w:bidi="en_US"/>
        </w:rPr>
        <w:t>, the Son of Man.”</w:t>
      </w:r>
    </w:p>
    <w:p>
      <w:pPr>
        <w:pStyle w:val="ListBullet"/>
        <w:spacing w:line="240" w:lineRule="auto"/>
        <w:ind w:left="720"/>
      </w:pPr>
      <w:r>
        <w:rPr>
          <w:lang w:val="en_US" w:bidi="en_US"/>
        </w:rPr>
      </w:r>
      <w:r>
        <w:rPr>
          <w:lang w:val="en_US" w:bidi="en_US"/>
        </w:rPr>
        <w:t xml:space="preserve">and afterward to appear/come </w:t>
      </w:r>
      <w:r>
        <w:rPr>
          <w:lang w:val="en_US" w:bidi="en_US"/>
        </w:rPr>
        <w:t>joyfully</w:t>
      </w:r>
      <w:r>
        <w:rPr>
          <w:lang w:val="en_US" w:bidi="en_US"/>
        </w:rPr>
        <w:t xml:space="preserve"> before me, the Son of Man.”</w:t>
      </w:r>
    </w:p>
    <w:p>
      <w:pPr/>
      <w:r>
        <w:rPr>
          <w:lang w:val="en_US" w:bidi="en_US"/>
        </w:rPr>
      </w:r>
      <w:r>
        <w:rPr>
          <w:lang w:val="en_US" w:bidi="en_US"/>
        </w:rPr>
        <w:t>You may want to refer again to the note on 21:36b–c as you translate 21:36c.</w:t>
      </w:r>
    </w:p>
    <w:p>
      <w:pPr/>
      <w:r>
        <w:rPr>
          <w:lang w:val="en_US" w:bidi="en_US"/>
        </w:rPr>
      </w:r>
      <w:r>
        <w:rPr>
          <w:b/>
          <w:lang w:val="en_US" w:bidi="en_US"/>
        </w:rPr>
        <w:t>and to stand before the Son of Man:</w:t>
      </w:r>
      <w:r>
        <w:rPr>
          <w:lang w:val="en_US" w:bidi="en_US"/>
        </w:rPr>
        <w:t xml:space="preserve"> The action </w:t>
      </w:r>
      <w:r>
        <w:rPr>
          <w:i/>
          <w:lang w:val="en_US" w:bidi="en_US"/>
        </w:rPr>
        <w:t>to stand before the Son of Man</w:t>
      </w:r>
      <w:r>
        <w:rPr>
          <w:lang w:val="en_US" w:bidi="en_US"/>
        </w:rPr>
        <w:t xml:space="preserve"> will happen after Jesus returns to earth and after the preceding times of suffering have ended. Then all his disciples who have been faithful to him during those times will stand before him.</w:t>
      </w:r>
    </w:p>
    <w:p>
      <w:pPr/>
      <w:r>
        <w:rPr>
          <w:lang w:val="en_US" w:bidi="en_US"/>
        </w:rPr>
      </w:r>
      <w:r>
        <w:rPr>
          <w:lang w:val="en_US" w:bidi="en_US"/>
        </w:rPr>
        <w:t>Some scholars suggest that Jesus will judge his followers at that time.</w:t>
      </w:r>
      <w:r>
        <w:rPr>
          <w:lang w:val="en_US" w:bidi="en_US"/>
        </w:rPr>
        <w:t>Some scholars suggest that the clause refers to a judgment scene. For example, Reiling and Swellengrebel (p. 678) say, “The picture is probably that of standing before a judge.” Fitzmyer (p. 1356) mentions that they will stand before him “to face his judgment and come through with flying colors.” Certainly, if this context does refer to judgment, the text would imply “a favourable verdict” (Marshall, p. 783). However, the Notes take the view that in this context Jesus was probably not referring to judgment but to joyfully appearing before him when he returns. The idea in this clause is similar to that of 21:28, where Jesus told his disciples to “stand up and lift up your heads, for your redemption is drawing near.” As Morris (p. 329) says, “To stand before the Son of Man is to possess the ultimate salvation.” Johnson (also p. 329) says, “The stance of ‘standing up…before the Son of Man’ fits the body language commanded in 21:28.” Nolland (p. 1013) says that it indicates “the safe arrival at the place of abiding security (standing before the Son of Man is an image of deliverance, not an image of standing in a judicial dock…).”</w:t>
      </w:r>
      <w:r>
        <w:rPr>
          <w:lang w:val="en_US" w:bidi="en_US"/>
        </w:rPr>
        <w:t xml:space="preserve"> However, the text does not mention judgment, and no English version makes it explicit. It is recommended that you use a general expression that does not refer specifically to being judged.</w:t>
      </w:r>
    </w:p>
    <w:p>
      <w:pPr/>
      <w:r>
        <w:rPr>
          <w:lang w:val="en_US" w:bidi="en_US"/>
        </w:rPr>
      </w:r>
      <w:r>
        <w:rPr>
          <w:lang w:val="en_US" w:bidi="en_US"/>
        </w:rPr>
        <w:t>In this context the text implies that Jesus’ followers will stand joyfully and without shame in his presence. In some languages it may be necessary to make this explicit:</w:t>
      </w:r>
    </w:p>
    <w:p>
      <w:pPr/>
      <w:r>
        <w:rPr>
          <w:lang w:val="en_US" w:bidi="en_US"/>
        </w:rPr>
      </w:r>
      <w:r>
        <w:rPr>
          <w:lang w:val="en_US" w:bidi="en_US"/>
        </w:rPr>
        <w:t xml:space="preserve">and to stand </w:t>
      </w:r>
      <w:r>
        <w:rPr>
          <w:lang w:val="en_US" w:bidi="en_US"/>
        </w:rPr>
        <w:t>with joy/confidence</w:t>
      </w:r>
      <w:r>
        <w:rPr>
          <w:lang w:val="en_US" w:bidi="en_US"/>
        </w:rPr>
        <w:t xml:space="preserve"> before the Son of Man</w:t>
      </w:r>
    </w:p>
    <w:p>
      <w:pPr/>
      <w:r>
        <w:rPr>
          <w:lang w:val="en_US" w:bidi="en_US"/>
        </w:rPr>
      </w:r>
      <w:r>
        <w:rPr>
          <w:lang w:val="en_US" w:bidi="en_US"/>
        </w:rPr>
        <w:t>And then you will not be ashamed when you come before me</w:t>
      </w:r>
      <w:r>
        <w:rPr>
          <w:lang w:val="en_US" w:bidi="en_US"/>
        </w:rPr>
        <w:t>Western Bukidnon Manobo back translation on TW.</w:t>
      </w:r>
    </w:p>
    <w:p>
      <w:pPr/>
      <w:r>
        <w:rPr>
          <w:lang w:val="en_US" w:bidi="en_US"/>
        </w:rPr>
      </w:r>
      <w:r>
        <w:rPr>
          <w:lang w:val="en_US" w:bidi="en_US"/>
        </w:rPr>
        <w:t>Pray that there may be nothing that shames you when you stand in my presence</w:t>
      </w:r>
      <w:r>
        <w:rPr>
          <w:lang w:val="en_US" w:bidi="en_US"/>
        </w:rPr>
        <w:t>Yakan back translation on TW.</w:t>
      </w:r>
    </w:p>
    <w:p>
      <w:pPr/>
      <w:r>
        <w:rPr>
          <w:lang w:val="en_US" w:bidi="en_US"/>
        </w:rPr>
      </w:r>
      <w:r>
        <w:rPr>
          <w:b/>
          <w:lang w:val="en_US" w:bidi="en_US"/>
        </w:rPr>
        <w:t>stand before:</w:t>
      </w:r>
      <w:r>
        <w:rPr>
          <w:lang w:val="en_US" w:bidi="en_US"/>
        </w:rPr>
        <w:t xml:space="preserve"> In this context the phrase </w:t>
      </w:r>
      <w:r>
        <w:rPr>
          <w:i/>
          <w:lang w:val="en_US" w:bidi="en_US"/>
        </w:rPr>
        <w:t>stand before</w:t>
      </w:r>
      <w:r>
        <w:rPr>
          <w:lang w:val="en_US" w:bidi="en_US"/>
        </w:rPr>
        <w:t xml:space="preserve"> implies a formal coming into the presence of Jesus after he returns as the victorious king. In some languages there may be a special way to describe coming to a king, chief, or other important person to meet with him. Use a natural expression in your language.</w:t>
      </w:r>
    </w:p>
    <w:p>
      <w:pPr/>
      <w:r>
        <w:rPr>
          <w:lang w:val="en_US" w:bidi="en_US"/>
        </w:rPr>
      </w:r>
      <w:r>
        <w:rPr>
          <w:b/>
          <w:lang w:val="en_US" w:bidi="en_US"/>
        </w:rPr>
        <w:t>the Son of Man:</w:t>
      </w:r>
      <w:r>
        <w:rPr>
          <w:lang w:val="en_US" w:bidi="en_US"/>
        </w:rPr>
        <w:t xml:space="preserve"> The phrase </w:t>
      </w:r>
      <w:r>
        <w:rPr>
          <w:i/>
          <w:lang w:val="en_US" w:bidi="en_US"/>
        </w:rPr>
        <w:t>the Son of Man</w:t>
      </w:r>
      <w:r>
        <w:rPr>
          <w:lang w:val="en_US" w:bidi="en_US"/>
        </w:rPr>
        <w:t xml:space="preserve"> was a title that Jesus often used to refer to himself. The term occurred earlier in this chapter at 21:27. See the note on 17:22a–b for translation suggestions. This term first occurs in Luke at 5:24a. See also “Son of Man” in KBT.</w:t>
      </w:r>
      <w:r>
        <w:rPr>
          <w:lang w:val="en_US" w:bidi="en_US"/>
        </w:rPr>
      </w:r>
      <w:r>
        <w:rPr>
          <w:lang w:val="en_US" w:bidi="en_US"/>
        </w:rPr>
      </w:r>
    </w:p>
    <w:p>
      <w:pPr/>
      <w:r>
        <w:rPr>
          <w:lang w:val="en_US" w:bidi="en_US"/>
        </w:rPr>
      </w:r>
    </w:p>
    <w:p>
      <w:pPr>
        <w:pStyle w:val="Heading2"/>
      </w:pPr>
      <w:r>
        <w:rPr>
          <w:lang w:val="en_US" w:bidi="en_US"/>
        </w:rPr>
        <w:t>Luke 21:37</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4"/>
      </w:pPr>
      <w:r>
        <w:rPr>
          <w:lang w:val="en_US" w:bidi="en_US"/>
        </w:rPr>
        <w:t>Paragraph 21:37–38</w:t>
      </w:r>
    </w:p>
    <w:p>
      <w:pPr/>
      <w:r>
        <w:rPr>
          <w:lang w:val="en_US" w:bidi="en_US"/>
        </w:rPr>
      </w:r>
      <w:r>
        <w:rPr>
          <w:lang w:val="en_US" w:bidi="en_US"/>
        </w:rPr>
        <w:t>This paragraph is a summary and conclusion to Division 19:28–21:38, “Jesus ministered in Jerusalem.” In some languages there may be a special way to introduce a conclusion such as this. In Greek the paragraph begins with a common conjunction. Some English versions have a conjunction like “Now” or “So.”</w:t>
      </w:r>
      <w:r>
        <w:rPr>
          <w:lang w:val="en_US" w:bidi="en_US"/>
        </w:rPr>
        <w:t xml:space="preserve">The NET has “So” with the following note: “Here </w:t>
      </w:r>
      <w:r>
        <w:rPr>
          <w:i/>
          <w:lang w:val="en_US" w:bidi="en_US"/>
        </w:rPr>
        <w:t>δέ</w:t>
      </w:r>
      <w:r>
        <w:rPr>
          <w:lang w:val="en_US" w:bidi="en_US"/>
        </w:rPr>
        <w:t>…has been translated as “so” since vv. 37–38 serve as something of a summary or transition from the discourse preceding to the passion narrative that follows.” The NASB has “Now,” which is often used in English to introduce background information. In this context it does introduce information that does not tell the next event but summarizes actions over a period of time.</w:t>
      </w:r>
      <w:r>
        <w:rPr>
          <w:lang w:val="en_US" w:bidi="en_US"/>
        </w:rPr>
        <w:t xml:space="preserve"> Introduce the paragraph in a natural way in your language.</w:t>
      </w:r>
    </w:p>
    <w:p>
      <w:pPr>
        <w:pStyle w:val="Heading5"/>
      </w:pPr>
      <w:r>
        <w:rPr>
          <w:lang w:val="en_US" w:bidi="en_US"/>
        </w:rPr>
        <w:t>21:37a</w:t>
      </w:r>
    </w:p>
    <w:p>
      <w:pPr/>
      <w:r>
        <w:rPr>
          <w:lang w:val="en_US" w:bidi="en_US"/>
        </w:rPr>
      </w:r>
      <w:r>
        <w:rPr>
          <w:b/>
          <w:lang w:val="en_US" w:bidi="en_US"/>
        </w:rPr>
        <w:t>Every day Jesus taught at the temple,</w:t>
      </w:r>
    </w:p>
    <w:p>
      <w:pPr>
        <w:pStyle w:val="ListBullet"/>
        <w:spacing w:line="240" w:lineRule="auto"/>
        <w:ind w:left="720"/>
      </w:pPr>
      <w:r>
        <w:rPr>
          <w:lang w:val="en_US" w:bidi="en_US"/>
        </w:rPr>
      </w:r>
      <w:r>
        <w:rPr>
          <w:lang w:val="en_US" w:bidi="en_US"/>
        </w:rPr>
        <w:t>¶ Every day Jesus was teaching in the temple</w:t>
      </w:r>
    </w:p>
    <w:p>
      <w:pPr>
        <w:pStyle w:val="ListBullet"/>
        <w:spacing w:line="240" w:lineRule="auto"/>
        <w:ind w:left="720"/>
      </w:pPr>
      <w:r>
        <w:rPr>
          <w:lang w:val="en_US" w:bidi="en_US"/>
        </w:rPr>
      </w:r>
      <w:r>
        <w:rPr>
          <w:lang w:val="en_US" w:bidi="en_US"/>
        </w:rPr>
        <w:t xml:space="preserve">¶ Each day Jesus taught people/crowds in the temple </w:t>
      </w:r>
      <w:r>
        <w:rPr>
          <w:lang w:val="en_US" w:bidi="en_US"/>
        </w:rPr>
        <w:t>area</w:t>
      </w:r>
      <w:r>
        <w:rPr>
          <w:lang w:val="en_US" w:bidi="en_US"/>
        </w:rPr>
        <w:t>,</w:t>
      </w:r>
    </w:p>
    <w:p>
      <w:pPr/>
      <w:r>
        <w:rPr>
          <w:lang w:val="en_US" w:bidi="en_US"/>
        </w:rPr>
      </w:r>
      <w:r>
        <w:rPr>
          <w:b/>
          <w:lang w:val="en_US" w:bidi="en_US"/>
        </w:rPr>
        <w:t>Every day Jesus taught at the temple:</w:t>
      </w:r>
      <w:r>
        <w:rPr>
          <w:lang w:val="en_US" w:bidi="en_US"/>
        </w:rPr>
        <w:t xml:space="preserve"> This sentence describes what Jesus did every day of the first part of the last week before he died. He came each day to teach at the temple all day. Use a natural way in your language to refer to actions that a person repeats each day.</w:t>
      </w:r>
    </w:p>
    <w:p>
      <w:pPr/>
      <w:r>
        <w:rPr>
          <w:lang w:val="en_US" w:bidi="en_US"/>
        </w:rPr>
      </w:r>
      <w:r>
        <w:rPr>
          <w:lang w:val="en_US" w:bidi="en_US"/>
        </w:rPr>
        <w:t>Some other ways to translate this clause are:</w:t>
      </w:r>
    </w:p>
    <w:p>
      <w:pPr/>
      <w:r>
        <w:rPr>
          <w:lang w:val="en_US" w:bidi="en_US"/>
        </w:rPr>
      </w:r>
      <w:r>
        <w:rPr>
          <w:lang w:val="en_US" w:bidi="en_US"/>
        </w:rPr>
        <w:t>During the day Jesus would teach in the temple courtyard. (GW)</w:t>
      </w:r>
    </w:p>
    <w:p>
      <w:pPr/>
      <w:r>
        <w:rPr>
          <w:lang w:val="en_US" w:bidi="en_US"/>
        </w:rPr>
      </w:r>
      <w:r>
        <w:rPr>
          <w:lang w:val="en_US" w:bidi="en_US"/>
        </w:rPr>
        <w:t>Every day Jesus went to the Temple to teach… (NLT)</w:t>
      </w:r>
    </w:p>
    <w:p>
      <w:pPr/>
      <w:r>
        <w:rPr>
          <w:lang w:val="en_US" w:bidi="en_US"/>
        </w:rPr>
      </w:r>
      <w:r>
        <w:rPr>
          <w:b/>
          <w:lang w:val="en_US" w:bidi="en_US"/>
        </w:rPr>
        <w:t>at the temple:</w:t>
      </w:r>
      <w:r>
        <w:rPr>
          <w:lang w:val="en_US" w:bidi="en_US"/>
        </w:rPr>
        <w:t xml:space="preserve"> The Greek word that the BSB translates as </w:t>
      </w:r>
      <w:r>
        <w:rPr>
          <w:i/>
          <w:lang w:val="en_US" w:bidi="en_US"/>
        </w:rPr>
        <w:t>temple</w:t>
      </w:r>
      <w:r>
        <w:rPr>
          <w:lang w:val="en_US" w:bidi="en_US"/>
        </w:rPr>
        <w:t xml:space="preserve"> refers to the temple building and the walls and courtyards that surrounded it. The </w:t>
      </w:r>
      <w:r>
        <w:rPr>
          <w:i/>
          <w:lang w:val="en_US" w:bidi="en_US"/>
        </w:rPr>
        <w:t>temple</w:t>
      </w:r>
      <w:r>
        <w:rPr>
          <w:lang w:val="en_US" w:bidi="en_US"/>
        </w:rPr>
        <w:t xml:space="preserve"> was in Jerusalem and was the most important place where Jews worshiped God. For more information and translation suggestions, see the note on 18:10a.</w:t>
      </w:r>
    </w:p>
    <w:p>
      <w:pPr/>
      <w:r>
        <w:rPr>
          <w:lang w:val="en_US" w:bidi="en_US"/>
        </w:rPr>
      </w:r>
      <w:r>
        <w:rPr>
          <w:lang w:val="en_US" w:bidi="en_US"/>
        </w:rPr>
        <w:t>In this context Jesus was teaching in the courtyard of the temple, not inside the building. In some languages it may be helpful to specify this. For example:</w:t>
      </w:r>
    </w:p>
    <w:p>
      <w:pPr/>
      <w:r>
        <w:rPr>
          <w:lang w:val="en_US" w:bidi="en_US"/>
        </w:rPr>
      </w:r>
      <w:r>
        <w:rPr>
          <w:lang w:val="en_US" w:bidi="en_US"/>
        </w:rPr>
        <w:t>the temple courtyard</w:t>
      </w:r>
    </w:p>
    <w:p>
      <w:pPr>
        <w:pStyle w:val="Heading5"/>
      </w:pPr>
      <w:r>
        <w:rPr>
          <w:lang w:val="en_US" w:bidi="en_US"/>
        </w:rPr>
        <w:t>21:37b</w:t>
      </w:r>
    </w:p>
    <w:p>
      <w:pPr/>
      <w:r>
        <w:rPr>
          <w:lang w:val="en_US" w:bidi="en_US"/>
        </w:rPr>
      </w:r>
      <w:r>
        <w:rPr>
          <w:b/>
          <w:lang w:val="en_US" w:bidi="en_US"/>
        </w:rPr>
        <w:t>but every evening He went out</w:t>
      </w:r>
    </w:p>
    <w:p>
      <w:pPr>
        <w:pStyle w:val="ListBullet"/>
        <w:spacing w:line="240" w:lineRule="auto"/>
        <w:ind w:left="720"/>
      </w:pPr>
      <w:r>
        <w:rPr>
          <w:lang w:val="en_US" w:bidi="en_US"/>
        </w:rPr>
      </w:r>
      <w:r>
        <w:rPr>
          <w:lang w:val="en_US" w:bidi="en_US"/>
        </w:rPr>
        <w:t>and every night he left and went</w:t>
      </w:r>
    </w:p>
    <w:p>
      <w:pPr>
        <w:pStyle w:val="ListBullet"/>
        <w:spacing w:line="240" w:lineRule="auto"/>
        <w:ind w:left="720"/>
      </w:pPr>
      <w:r>
        <w:rPr>
          <w:lang w:val="en_US" w:bidi="en_US"/>
        </w:rPr>
      </w:r>
      <w:r>
        <w:rPr>
          <w:lang w:val="en_US" w:bidi="en_US"/>
        </w:rPr>
        <w:t xml:space="preserve">and when evening came, he went out </w:t>
      </w:r>
      <w:r>
        <w:rPr>
          <w:lang w:val="en_US" w:bidi="en_US"/>
        </w:rPr>
        <w:t>of the city</w:t>
      </w:r>
    </w:p>
    <w:p>
      <w:pPr>
        <w:pStyle w:val="Heading5"/>
      </w:pPr>
      <w:r>
        <w:rPr>
          <w:lang w:val="en_US" w:bidi="en_US"/>
        </w:rPr>
        <w:t>21:37c</w:t>
      </w:r>
    </w:p>
    <w:p>
      <w:pPr/>
      <w:r>
        <w:rPr>
          <w:lang w:val="en_US" w:bidi="en_US"/>
        </w:rPr>
      </w:r>
      <w:r>
        <w:rPr>
          <w:b/>
          <w:lang w:val="en_US" w:bidi="en_US"/>
        </w:rPr>
        <w:t>to spend the night on the Mount of Olives.</w:t>
      </w:r>
    </w:p>
    <w:p>
      <w:pPr>
        <w:pStyle w:val="ListBullet"/>
        <w:spacing w:line="240" w:lineRule="auto"/>
        <w:ind w:left="720"/>
      </w:pPr>
      <w:r>
        <w:rPr>
          <w:lang w:val="en_US" w:bidi="en_US"/>
        </w:rPr>
      </w:r>
      <w:r>
        <w:rPr>
          <w:lang w:val="en_US" w:bidi="en_US"/>
        </w:rPr>
        <w:t xml:space="preserve">to sleep at Olive </w:t>
      </w:r>
      <w:r>
        <w:rPr>
          <w:lang w:val="en_US" w:bidi="en_US"/>
        </w:rPr>
        <w:t>Tree</w:t>
      </w:r>
      <w:r>
        <w:rPr>
          <w:lang w:val="en_US" w:bidi="en_US"/>
        </w:rPr>
        <w:t xml:space="preserve"> Mountain.</w:t>
      </w:r>
    </w:p>
    <w:p>
      <w:pPr>
        <w:pStyle w:val="ListBullet"/>
        <w:spacing w:line="240" w:lineRule="auto"/>
        <w:ind w:left="720"/>
      </w:pPr>
      <w:r>
        <w:rPr>
          <w:lang w:val="en_US" w:bidi="en_US"/>
        </w:rPr>
      </w:r>
      <w:r>
        <w:rPr>
          <w:lang w:val="en_US" w:bidi="en_US"/>
        </w:rPr>
        <w:t xml:space="preserve">to sleep on the hill </w:t>
      </w:r>
      <w:r>
        <w:rPr>
          <w:lang w:val="en_US" w:bidi="en_US"/>
        </w:rPr>
        <w:t>called</w:t>
      </w:r>
      <w:r>
        <w:rPr>
          <w:lang w:val="en_US" w:bidi="en_US"/>
        </w:rPr>
        <w:t xml:space="preserve"> “Olive Hill.”</w:t>
      </w:r>
    </w:p>
    <w:p>
      <w:pPr>
        <w:pStyle w:val="Heading5"/>
      </w:pPr>
      <w:r>
        <w:rPr>
          <w:lang w:val="en_US" w:bidi="en_US"/>
        </w:rPr>
        <w:t>21:37b–c</w:t>
      </w:r>
    </w:p>
    <w:p>
      <w:pPr/>
      <w:r>
        <w:rPr>
          <w:lang w:val="en_US" w:bidi="en_US"/>
        </w:rPr>
      </w:r>
      <w:r>
        <w:rPr>
          <w:b/>
          <w:lang w:val="en_US" w:bidi="en_US"/>
        </w:rPr>
        <w:t>but every evening He went out to spend the night on the Mount of Olives:</w:t>
      </w:r>
      <w:r>
        <w:rPr>
          <w:lang w:val="en_US" w:bidi="en_US"/>
        </w:rPr>
        <w:t xml:space="preserve"> This clause tells what Jesus did every evening and night during the first days of the week before he died. It is similar to 21:37a.</w:t>
      </w:r>
    </w:p>
    <w:p>
      <w:pPr/>
      <w:r>
        <w:rPr>
          <w:lang w:val="en_US" w:bidi="en_US"/>
        </w:rPr>
      </w:r>
      <w:r>
        <w:rPr>
          <w:lang w:val="en_US" w:bidi="en_US"/>
        </w:rPr>
        <w:t>Some other ways to translate it are:</w:t>
      </w:r>
    </w:p>
    <w:p>
      <w:pPr/>
      <w:r>
        <w:rPr>
          <w:lang w:val="en_US" w:bidi="en_US"/>
        </w:rPr>
      </w:r>
      <w:r>
        <w:rPr>
          <w:lang w:val="en_US" w:bidi="en_US"/>
        </w:rPr>
        <w:t>and every evening he went off and spent the night on the hill which is called the Mount of Olives (JBP)</w:t>
      </w:r>
    </w:p>
    <w:p>
      <w:pPr/>
      <w:r>
        <w:rPr>
          <w:lang w:val="en_US" w:bidi="en_US"/>
        </w:rPr>
      </w:r>
      <w:r>
        <w:rPr>
          <w:lang w:val="en_US" w:bidi="en_US"/>
        </w:rPr>
        <w:t>and each evening he returned to spend the night on the Mount of Olives (NLT)</w:t>
      </w:r>
    </w:p>
    <w:p>
      <w:pPr/>
      <w:r>
        <w:rPr>
          <w:lang w:val="en_US" w:bidi="en_US"/>
        </w:rPr>
      </w:r>
      <w:r>
        <w:rPr>
          <w:lang w:val="en_US" w:bidi="en_US"/>
        </w:rPr>
        <w:t>Translate the clause in a natural way in your language.</w:t>
      </w:r>
    </w:p>
    <w:p>
      <w:pPr/>
      <w:r>
        <w:rPr>
          <w:lang w:val="en_US" w:bidi="en_US"/>
        </w:rPr>
      </w:r>
      <w:r>
        <w:rPr>
          <w:b/>
          <w:lang w:val="en_US" w:bidi="en_US"/>
        </w:rPr>
        <w:t>He went out:</w:t>
      </w:r>
      <w:r>
        <w:rPr>
          <w:lang w:val="en_US" w:bidi="en_US"/>
        </w:rPr>
        <w:t xml:space="preserve"> The phrase </w:t>
      </w:r>
      <w:r>
        <w:rPr>
          <w:i/>
          <w:lang w:val="en_US" w:bidi="en_US"/>
        </w:rPr>
        <w:t>He went out</w:t>
      </w:r>
      <w:r>
        <w:rPr>
          <w:lang w:val="en_US" w:bidi="en_US"/>
        </w:rPr>
        <w:t xml:space="preserve"> indicates that Jesus left the city of Jerusalem. In some languages it is necessary to make that explicit. For example:</w:t>
      </w:r>
    </w:p>
    <w:p>
      <w:pPr/>
      <w:r>
        <w:rPr>
          <w:lang w:val="en_US" w:bidi="en_US"/>
        </w:rPr>
      </w:r>
      <w:r>
        <w:rPr>
          <w:lang w:val="en_US" w:bidi="en_US"/>
        </w:rPr>
        <w:t>he would leave the city (REB)</w:t>
      </w:r>
    </w:p>
    <w:p>
      <w:pPr/>
      <w:r>
        <w:rPr>
          <w:lang w:val="en_US" w:bidi="en_US"/>
        </w:rPr>
      </w:r>
      <w:r>
        <w:rPr>
          <w:b/>
          <w:lang w:val="en_US" w:bidi="en_US"/>
        </w:rPr>
        <w:t>the Mount of Olives:</w:t>
      </w:r>
      <w:r>
        <w:rPr>
          <w:lang w:val="en_US" w:bidi="en_US"/>
        </w:rPr>
        <w:t xml:space="preserve"> This hill was called the </w:t>
      </w:r>
      <w:r>
        <w:rPr>
          <w:i/>
          <w:lang w:val="en_US" w:bidi="en_US"/>
        </w:rPr>
        <w:t>Mount of Olives</w:t>
      </w:r>
      <w:r>
        <w:rPr>
          <w:lang w:val="en_US" w:bidi="en_US"/>
        </w:rPr>
        <w:t xml:space="preserve"> because it had olive trees growing on it. See the note on 19:29b.</w:t>
      </w:r>
      <w:r>
        <w:rPr>
          <w:lang w:val="en_US" w:bidi="en_US"/>
        </w:rPr>
      </w:r>
      <w:r>
        <w:rPr>
          <w:lang w:val="en_US" w:bidi="en_US"/>
        </w:rPr>
      </w:r>
    </w:p>
    <w:p>
      <w:pPr/>
      <w:r>
        <w:rPr>
          <w:lang w:val="en_US" w:bidi="en_US"/>
        </w:rPr>
      </w:r>
    </w:p>
    <w:p>
      <w:pPr>
        <w:pStyle w:val="Heading2"/>
      </w:pPr>
      <w:r>
        <w:rPr>
          <w:lang w:val="en_US" w:bidi="en_US"/>
        </w:rPr>
        <w:t>Luke 21:38</w:t>
      </w:r>
      <w:r>
        <w:rPr>
          <w:lang w:val="en_US" w:bidi="en_US"/>
        </w:rPr>
      </w:r>
    </w:p>
    <w:p>
      <w:pPr>
        <w:pStyle w:val="Heading4"/>
      </w:pPr>
      <w:r>
        <w:rPr>
          <w:lang w:val="en_US" w:bidi="en_US"/>
        </w:rPr>
        <w:t>Section 21:5–38: Jesus taught about what would happen in the future</w:t>
      </w:r>
    </w:p>
    <w:p>
      <w:pPr/>
      <w:r>
        <w:rPr>
          <w:lang w:val="en_US" w:bidi="en_US"/>
        </w:rPr>
      </w:r>
      <w:r>
        <w:rPr>
          <w:lang w:val="en_US" w:bidi="en_US"/>
        </w:rPr>
        <w:t>After the events of the preceding section, some of Jesus’ disciples were admiring the beautiful stones and gifts that people used to adorn the Temple. Jesus told them that one day the Temple would be completely destroyed. Enemies would attack Jerusalem and destroy the Temple.</w:t>
      </w:r>
      <w:r>
        <w:rPr>
          <w:lang w:val="en_US" w:bidi="en_US"/>
        </w:rPr>
        <w:t>In A.D. 70, the Jews rebelled against the Romans, and the Roman destroyed the temple.</w:t>
      </w:r>
      <w:r>
        <w:rPr>
          <w:lang w:val="en_US" w:bidi="en_US"/>
        </w:rPr>
        <w:t xml:space="preserve"> Jesus also told them about other things that would happen in the future. He told them that after these things happened, he would return to earth in power and great glory. He warned his disciples to pray so that they would be able to endure the future troubles and be ready to meet him when he comes again.</w:t>
      </w:r>
    </w:p>
    <w:p>
      <w:pPr/>
      <w:r>
        <w:rPr>
          <w:lang w:val="en_US" w:bidi="en_US"/>
        </w:rPr>
      </w:r>
      <w:r>
        <w:rPr>
          <w:lang w:val="en_US" w:bidi="en_US"/>
        </w:rPr>
        <w:t>It is good to translate this section before you decide on a heading for it. Some examples of other headings are:</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24:1–35 and Mark 13:1–31.</w:t>
      </w:r>
    </w:p>
    <w:p>
      <w:pPr>
        <w:pStyle w:val="Heading4"/>
      </w:pPr>
      <w:r>
        <w:rPr>
          <w:lang w:val="en_US" w:bidi="en_US"/>
        </w:rPr>
        <w:t>Paragraph 21:37–38</w:t>
      </w:r>
    </w:p>
    <w:p>
      <w:pPr/>
      <w:r>
        <w:rPr>
          <w:lang w:val="en_US" w:bidi="en_US"/>
        </w:rPr>
      </w:r>
      <w:r>
        <w:rPr>
          <w:lang w:val="en_US" w:bidi="en_US"/>
        </w:rPr>
        <w:t>This paragraph is a summary and conclusion to Division 19:28–21:38, “Jesus ministered in Jerusalem.” In some languages there may be a special way to introduce a conclusion such as this. In Greek the paragraph begins with a common conjunction. Some English versions have a conjunction like “Now” or “So.”</w:t>
      </w:r>
      <w:r>
        <w:rPr>
          <w:lang w:val="en_US" w:bidi="en_US"/>
        </w:rPr>
        <w:t xml:space="preserve">The NET has “So” with the following note: “Here </w:t>
      </w:r>
      <w:r>
        <w:rPr>
          <w:i/>
          <w:lang w:val="en_US" w:bidi="en_US"/>
        </w:rPr>
        <w:t>δέ</w:t>
      </w:r>
      <w:r>
        <w:rPr>
          <w:lang w:val="en_US" w:bidi="en_US"/>
        </w:rPr>
        <w:t>…has been translated as “so” since vv. 37–38 serve as something of a summary or transition from the discourse preceding to the passion narrative that follows.” The NASB has “Now,” which is often used in English to introduce background information. In this context it does introduce information that does not tell the next event but summarizes actions over a period of time.</w:t>
      </w:r>
      <w:r>
        <w:rPr>
          <w:lang w:val="en_US" w:bidi="en_US"/>
        </w:rPr>
        <w:t xml:space="preserve"> Introduce the paragraph in a natural way in your language.</w:t>
      </w:r>
    </w:p>
    <w:p>
      <w:pPr>
        <w:pStyle w:val="Heading5"/>
      </w:pPr>
      <w:r>
        <w:rPr>
          <w:lang w:val="en_US" w:bidi="en_US"/>
        </w:rPr>
        <w:t>21:38</w:t>
      </w:r>
    </w:p>
    <w:p>
      <w:pPr/>
      <w:r>
        <w:rPr>
          <w:lang w:val="en_US" w:bidi="en_US"/>
        </w:rPr>
      </w:r>
      <w:r>
        <w:rPr>
          <w:b/>
          <w:lang w:val="en_US" w:bidi="en_US"/>
        </w:rPr>
        <w:t>And early in the morning all the people would come to hear Him at the temple.</w:t>
      </w:r>
    </w:p>
    <w:p>
      <w:pPr>
        <w:pStyle w:val="ListBullet"/>
        <w:spacing w:line="240" w:lineRule="auto"/>
        <w:ind w:left="720"/>
      </w:pPr>
      <w:r>
        <w:rPr>
          <w:lang w:val="en_US" w:bidi="en_US"/>
        </w:rPr>
      </w:r>
      <w:r>
        <w:rPr>
          <w:lang w:val="en_US" w:bidi="en_US"/>
        </w:rPr>
        <w:t xml:space="preserve">In the morning people came early to the temple to hear him </w:t>
      </w:r>
      <w:r>
        <w:rPr>
          <w:lang w:val="en_US" w:bidi="en_US"/>
        </w:rPr>
        <w:t>teach</w:t>
      </w:r>
      <w:r>
        <w:rPr>
          <w:lang w:val="en_US" w:bidi="en_US"/>
        </w:rPr>
        <w:t>.</w:t>
      </w:r>
    </w:p>
    <w:p>
      <w:pPr>
        <w:pStyle w:val="ListBullet"/>
        <w:spacing w:line="240" w:lineRule="auto"/>
        <w:ind w:left="720"/>
      </w:pPr>
      <w:r>
        <w:rPr>
          <w:lang w:val="en_US" w:bidi="en_US"/>
        </w:rPr>
      </w:r>
      <w:r>
        <w:rPr>
          <w:lang w:val="en_US" w:bidi="en_US"/>
        </w:rPr>
        <w:t xml:space="preserve">Early every morning the people </w:t>
      </w:r>
      <w:r>
        <w:rPr>
          <w:lang w:val="en_US" w:bidi="en_US"/>
        </w:rPr>
        <w:t>who had been listening to his teaching</w:t>
      </w:r>
      <w:r>
        <w:rPr>
          <w:lang w:val="en_US" w:bidi="en_US"/>
        </w:rPr>
        <w:t xml:space="preserve"> returned to the temple </w:t>
      </w:r>
      <w:r>
        <w:rPr>
          <w:lang w:val="en_US" w:bidi="en_US"/>
        </w:rPr>
        <w:t>area</w:t>
      </w:r>
      <w:r>
        <w:rPr>
          <w:lang w:val="en_US" w:bidi="en_US"/>
        </w:rPr>
        <w:t xml:space="preserve"> to hear him teach.</w:t>
      </w:r>
    </w:p>
    <w:p>
      <w:pPr/>
      <w:r>
        <w:rPr>
          <w:lang w:val="en_US" w:bidi="en_US"/>
        </w:rPr>
      </w:r>
      <w:r>
        <w:rPr>
          <w:b/>
          <w:lang w:val="en_US" w:bidi="en_US"/>
        </w:rPr>
        <w:t>And early in the morning all the people would come to hear Him at the temple:</w:t>
      </w:r>
      <w:r>
        <w:rPr>
          <w:lang w:val="en_US" w:bidi="en_US"/>
        </w:rPr>
        <w:t xml:space="preserve"> As in 21:37, this verse refers to an action that was repeated each morning in the last days before Jesus died. The people came to the temple early every morning to hear Jesus teach them. Some other ways to translate this are:</w:t>
      </w:r>
    </w:p>
    <w:p>
      <w:pPr/>
      <w:r>
        <w:rPr>
          <w:lang w:val="en_US" w:bidi="en_US"/>
        </w:rPr>
      </w:r>
      <w:r>
        <w:rPr>
          <w:lang w:val="en_US" w:bidi="en_US"/>
        </w:rPr>
        <w:t>Early each morning all the people went to the Temple to listen to him. (GNT)</w:t>
      </w:r>
    </w:p>
    <w:p>
      <w:pPr/>
      <w:r>
        <w:rPr>
          <w:lang w:val="en_US" w:bidi="en_US"/>
        </w:rPr>
      </w:r>
      <w:r>
        <w:rPr>
          <w:lang w:val="en_US" w:bidi="en_US"/>
        </w:rPr>
        <w:t>Every morning all the people got up early to go to the Temple to listen to him. (NCV)</w:t>
      </w:r>
    </w:p>
    <w:p>
      <w:pPr/>
      <w:r>
        <w:rPr>
          <w:lang w:val="en_US" w:bidi="en_US"/>
        </w:rPr>
      </w:r>
      <w:r>
        <w:rPr>
          <w:lang w:val="en_US" w:bidi="en_US"/>
        </w:rPr>
        <w:t>Translate this repeated action in a natural way in your language.</w:t>
      </w:r>
    </w:p>
    <w:p>
      <w:pPr/>
      <w:r>
        <w:rPr>
          <w:lang w:val="en_US" w:bidi="en_US"/>
        </w:rPr>
      </w:r>
      <w:r>
        <w:rPr>
          <w:b/>
          <w:lang w:val="en_US" w:bidi="en_US"/>
        </w:rPr>
        <w:t>early in the morning:</w:t>
      </w:r>
      <w:r>
        <w:rPr>
          <w:lang w:val="en_US" w:bidi="en_US"/>
        </w:rPr>
        <w:t xml:space="preserve"> The phrase early in the morning probably refers here to daybreak, as soon as it was light enough to see. Use an appropriate word or phrase in your language.</w:t>
      </w:r>
    </w:p>
    <w:p>
      <w:pPr/>
      <w:r>
        <w:rPr>
          <w:lang w:val="en_US" w:bidi="en_US"/>
        </w:rPr>
      </w:r>
      <w:r>
        <w:rPr>
          <w:b/>
          <w:lang w:val="en_US" w:bidi="en_US"/>
        </w:rPr>
        <w:t>all the people:</w:t>
      </w:r>
      <w:r>
        <w:rPr>
          <w:lang w:val="en_US" w:bidi="en_US"/>
        </w:rPr>
        <w:t xml:space="preserve"> </w:t>
      </w:r>
      <w:r>
        <w:rPr>
          <w:i/>
          <w:lang w:val="en_US" w:bidi="en_US"/>
        </w:rPr>
        <w:t>all the people</w:t>
      </w:r>
      <w:r>
        <w:rPr>
          <w:lang w:val="en_US" w:bidi="en_US"/>
        </w:rPr>
        <w:t xml:space="preserve"> refers to all the many people who had been listening to Jesus teaching at the temple. It does not include every person in Jerusalem.</w:t>
      </w:r>
    </w:p>
    <w:p>
      <w:pPr/>
      <w:r>
        <w:rPr>
          <w:lang w:val="en_US" w:bidi="en_US"/>
        </w:rPr>
      </w:r>
      <w:r>
        <w:rPr>
          <w:b/>
          <w:lang w:val="en_US" w:bidi="en_US"/>
        </w:rPr>
        <w:t>temple:</w:t>
      </w:r>
      <w:r>
        <w:rPr>
          <w:lang w:val="en_US" w:bidi="en_US"/>
        </w:rPr>
        <w:t xml:space="preserve"> The word </w:t>
      </w:r>
      <w:r>
        <w:rPr>
          <w:i/>
          <w:lang w:val="en_US" w:bidi="en_US"/>
        </w:rPr>
        <w:t>temple</w:t>
      </w:r>
      <w:r>
        <w:rPr>
          <w:lang w:val="en_US" w:bidi="en_US"/>
        </w:rPr>
        <w:t xml:space="preserve"> occurred in 21:37. Refer back to it here in a natural way in your language.</w:t>
      </w:r>
    </w:p>
    <w:p>
      <w:pPr/>
      <w:r>
        <w:rPr>
          <w:lang w:val="en_US" w:bidi="en_US"/>
        </w:rPr>
      </w:r>
    </w:p>
    <w:p>
      <w:pPr/>
      <w:r>
        <w:rPr>
          <w:lang w:val="en_US" w:bidi="en_US"/>
        </w:rPr>
      </w:r>
      <w:r>
        <w:rPr>
          <w:lang w:val="en_US" w:bidi="en_US"/>
        </w:rPr>
        <w:t>This division in the Gospel of Luke tells what happened during the last few days that Jesus lived on earth before he rose from the dead. During that time he ate his last meal with his disciples, he was arrested, and the Jewish and Roman leaders tried him in court. Then the Roman soldiers crucified him, he died on the cross, and his disciples buried him.</w:t>
      </w:r>
    </w:p>
    <w:p>
      <w:pPr/>
      <w:r>
        <w:rPr>
          <w:lang w:val="en_US" w:bidi="en_US"/>
        </w:rPr>
      </w:r>
      <w:r>
        <w:rPr>
          <w:lang w:val="en_US" w:bidi="en_US"/>
        </w:rPr>
        <w:t>There are different ways to divide this division into sections. The Notes divides the division into sixteen sections. The section breaks are the same as those of the GNT, except that the GNT makes two additional breaks (at 22:4 and 22:35). The Notes have these sections: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22:1–6</w:t>
            </w:r>
          </w:p>
        </w:tc>
        <w:tc>
          <w:tcPr>
            <w:tcW w:type="dxa" w:w="4680"/>
          </w:tcPr>
          <w:p>
            <w:pPr/>
            <w:r>
              <w:rPr>
                <w:lang w:val="en_US" w:bidi="en_US"/>
              </w:rPr>
            </w:r>
            <w:r>
              <w:rPr>
                <w:lang w:val="en_US" w:bidi="en_US"/>
              </w:rPr>
              <w:t>Judas told the Jewish leaders that he would betray Jesus to them</w:t>
            </w:r>
          </w:p>
        </w:tc>
      </w:tr>
      <w:tr>
        <w:tc>
          <w:tcPr>
            <w:tcW w:type="dxa" w:w="4680"/>
          </w:tcPr>
          <w:p>
            <w:pPr/>
            <w:r>
              <w:rPr>
                <w:lang w:val="en_US" w:bidi="en_US"/>
              </w:rPr>
            </w:r>
            <w:r>
              <w:rPr>
                <w:lang w:val="en_US" w:bidi="en_US"/>
              </w:rPr>
              <w:t>22:7–13</w:t>
            </w:r>
          </w:p>
        </w:tc>
        <w:tc>
          <w:tcPr>
            <w:tcW w:type="dxa" w:w="4680"/>
          </w:tcPr>
          <w:p>
            <w:pPr/>
            <w:r>
              <w:rPr>
                <w:lang w:val="en_US" w:bidi="en_US"/>
              </w:rPr>
            </w:r>
            <w:r>
              <w:rPr>
                <w:lang w:val="en_US" w:bidi="en_US"/>
              </w:rPr>
              <w:t>Jesus sent two disciples to prepare for the Passover celebration</w:t>
            </w:r>
          </w:p>
        </w:tc>
      </w:tr>
      <w:tr>
        <w:tc>
          <w:tcPr>
            <w:tcW w:type="dxa" w:w="4680"/>
          </w:tcPr>
          <w:p>
            <w:pPr/>
            <w:r>
              <w:rPr>
                <w:lang w:val="en_US" w:bidi="en_US"/>
              </w:rPr>
            </w:r>
            <w:r>
              <w:rPr>
                <w:lang w:val="en_US" w:bidi="en_US"/>
              </w:rPr>
              <w:t>22:14–23</w:t>
            </w:r>
          </w:p>
        </w:tc>
        <w:tc>
          <w:tcPr>
            <w:tcW w:type="dxa" w:w="4680"/>
          </w:tcPr>
          <w:p>
            <w:pPr/>
            <w:r>
              <w:rPr>
                <w:lang w:val="en_US" w:bidi="en_US"/>
              </w:rPr>
            </w:r>
            <w:r>
              <w:rPr>
                <w:lang w:val="en_US" w:bidi="en_US"/>
              </w:rPr>
              <w:t>Jesus gave his disciples bread and wine with a special meaning</w:t>
            </w:r>
          </w:p>
        </w:tc>
      </w:tr>
      <w:tr>
        <w:tc>
          <w:tcPr>
            <w:tcW w:type="dxa" w:w="4680"/>
          </w:tcPr>
          <w:p>
            <w:pPr/>
            <w:r>
              <w:rPr>
                <w:lang w:val="en_US" w:bidi="en_US"/>
              </w:rPr>
            </w:r>
            <w:r>
              <w:rPr>
                <w:lang w:val="en_US" w:bidi="en_US"/>
              </w:rPr>
              <w:t>22:24–30</w:t>
            </w:r>
          </w:p>
        </w:tc>
        <w:tc>
          <w:tcPr>
            <w:tcW w:type="dxa" w:w="4680"/>
          </w:tcPr>
          <w:p>
            <w:pPr/>
            <w:r>
              <w:rPr>
                <w:lang w:val="en_US" w:bidi="en_US"/>
              </w:rPr>
            </w:r>
            <w:r>
              <w:rPr>
                <w:lang w:val="en_US" w:bidi="en_US"/>
              </w:rPr>
              <w:t>Jesus taught his apostles about greatness</w:t>
            </w:r>
          </w:p>
        </w:tc>
      </w:tr>
      <w:tr>
        <w:tc>
          <w:tcPr>
            <w:tcW w:type="dxa" w:w="4680"/>
          </w:tcPr>
          <w:p>
            <w:pPr/>
            <w:r>
              <w:rPr>
                <w:lang w:val="en_US" w:bidi="en_US"/>
              </w:rPr>
            </w:r>
            <w:r>
              <w:rPr>
                <w:lang w:val="en_US" w:bidi="en_US"/>
              </w:rPr>
              <w:t>22:31–38</w:t>
            </w:r>
          </w:p>
        </w:tc>
        <w:tc>
          <w:tcPr>
            <w:tcW w:type="dxa" w:w="4680"/>
          </w:tcPr>
          <w:p>
            <w:pPr/>
            <w:r>
              <w:rPr>
                <w:lang w:val="en_US" w:bidi="en_US"/>
              </w:rPr>
            </w:r>
            <w:r>
              <w:rPr>
                <w:lang w:val="en_US" w:bidi="en_US"/>
              </w:rPr>
              <w:t>Jesus predicted that Peter would deny him</w:t>
            </w:r>
          </w:p>
        </w:tc>
      </w:tr>
      <w:tr>
        <w:tc>
          <w:tcPr>
            <w:tcW w:type="dxa" w:w="4680"/>
          </w:tcPr>
          <w:p>
            <w:pPr/>
            <w:r>
              <w:rPr>
                <w:lang w:val="en_US" w:bidi="en_US"/>
              </w:rPr>
            </w:r>
            <w:r>
              <w:rPr>
                <w:lang w:val="en_US" w:bidi="en_US"/>
              </w:rPr>
              <w:t>22:39–46</w:t>
            </w:r>
          </w:p>
        </w:tc>
        <w:tc>
          <w:tcPr>
            <w:tcW w:type="dxa" w:w="4680"/>
          </w:tcPr>
          <w:p>
            <w:pPr/>
            <w:r>
              <w:rPr>
                <w:lang w:val="en_US" w:bidi="en_US"/>
              </w:rPr>
            </w:r>
            <w:r>
              <w:rPr>
                <w:lang w:val="en_US" w:bidi="en_US"/>
              </w:rPr>
              <w:t>Jesus prayed in a garden called Gethsemane</w:t>
            </w:r>
          </w:p>
        </w:tc>
      </w:tr>
      <w:tr>
        <w:tc>
          <w:tcPr>
            <w:tcW w:type="dxa" w:w="4680"/>
          </w:tcPr>
          <w:p>
            <w:pPr/>
            <w:r>
              <w:rPr>
                <w:lang w:val="en_US" w:bidi="en_US"/>
              </w:rPr>
            </w:r>
            <w:r>
              <w:rPr>
                <w:lang w:val="en_US" w:bidi="en_US"/>
              </w:rPr>
              <w:t>22:47–53</w:t>
            </w:r>
          </w:p>
        </w:tc>
        <w:tc>
          <w:tcPr>
            <w:tcW w:type="dxa" w:w="4680"/>
          </w:tcPr>
          <w:p>
            <w:pPr/>
            <w:r>
              <w:rPr>
                <w:lang w:val="en_US" w:bidi="en_US"/>
              </w:rPr>
            </w:r>
            <w:r>
              <w:rPr>
                <w:lang w:val="en_US" w:bidi="en_US"/>
              </w:rPr>
              <w:t>Judas helped Jesus’ enemies to find him and arrest him</w:t>
            </w:r>
          </w:p>
        </w:tc>
      </w:tr>
      <w:tr>
        <w:tc>
          <w:tcPr>
            <w:tcW w:type="dxa" w:w="4680"/>
          </w:tcPr>
          <w:p>
            <w:pPr/>
            <w:r>
              <w:rPr>
                <w:lang w:val="en_US" w:bidi="en_US"/>
              </w:rPr>
            </w:r>
            <w:r>
              <w:rPr>
                <w:lang w:val="en_US" w:bidi="en_US"/>
              </w:rPr>
              <w:t>22:54–62</w:t>
            </w:r>
          </w:p>
        </w:tc>
        <w:tc>
          <w:tcPr>
            <w:tcW w:type="dxa" w:w="4680"/>
          </w:tcPr>
          <w:p>
            <w:pPr/>
            <w:r>
              <w:rPr>
                <w:lang w:val="en_US" w:bidi="en_US"/>
              </w:rPr>
            </w:r>
            <w:r>
              <w:rPr>
                <w:lang w:val="en_US" w:bidi="en_US"/>
              </w:rPr>
              <w:t>Jesus’ enemies arrested him, and Peter denied him</w:t>
            </w:r>
          </w:p>
        </w:tc>
      </w:tr>
      <w:tr>
        <w:tc>
          <w:tcPr>
            <w:tcW w:type="dxa" w:w="4680"/>
          </w:tcPr>
          <w:p>
            <w:pPr/>
            <w:r>
              <w:rPr>
                <w:lang w:val="en_US" w:bidi="en_US"/>
              </w:rPr>
            </w:r>
            <w:r>
              <w:rPr>
                <w:lang w:val="en_US" w:bidi="en_US"/>
              </w:rPr>
              <w:t>22:63–65</w:t>
            </w:r>
          </w:p>
        </w:tc>
        <w:tc>
          <w:tcPr>
            <w:tcW w:type="dxa" w:w="4680"/>
          </w:tcPr>
          <w:p>
            <w:pPr/>
            <w:r>
              <w:rPr>
                <w:lang w:val="en_US" w:bidi="en_US"/>
              </w:rPr>
            </w:r>
            <w:r>
              <w:rPr>
                <w:lang w:val="en_US" w:bidi="en_US"/>
              </w:rPr>
              <w:t>The guards mocked Jesus</w:t>
            </w:r>
          </w:p>
        </w:tc>
      </w:tr>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leaders questioned Jesus</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The Jewish leaders accused Jesus to Governor 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Pilate sent Jesus to Ruler 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Jesus was sentenced to death</w:t>
            </w:r>
          </w:p>
        </w:tc>
      </w:tr>
      <w:tr>
        <w:tc>
          <w:tcPr>
            <w:tcW w:type="dxa" w:w="4680"/>
          </w:tcPr>
          <w:p>
            <w:pPr/>
            <w:r>
              <w:rPr>
                <w:lang w:val="en_US" w:bidi="en_US"/>
              </w:rPr>
            </w:r>
            <w:r>
              <w:rPr>
                <w:lang w:val="en_US" w:bidi="en_US"/>
              </w:rPr>
              <w:t>23:26–43</w:t>
            </w:r>
          </w:p>
        </w:tc>
        <w:tc>
          <w:tcPr>
            <w:tcW w:type="dxa" w:w="4680"/>
          </w:tcPr>
          <w:p>
            <w:pPr/>
            <w:r>
              <w:rPr>
                <w:lang w:val="en_US" w:bidi="en_US"/>
              </w:rPr>
            </w:r>
            <w:r>
              <w:rPr>
                <w:lang w:val="en_US" w:bidi="en_US"/>
              </w:rPr>
              <w:t>Soldiers nailed Jesus to a cross</w:t>
            </w:r>
          </w:p>
        </w:tc>
      </w:tr>
      <w:tr>
        <w:tc>
          <w:tcPr>
            <w:tcW w:type="dxa" w:w="4680"/>
          </w:tcPr>
          <w:p>
            <w:pPr/>
            <w:r>
              <w:rPr>
                <w:lang w:val="en_US" w:bidi="en_US"/>
              </w:rPr>
            </w:r>
            <w:r>
              <w:rPr>
                <w:lang w:val="en_US" w:bidi="en_US"/>
              </w:rPr>
              <w:t>23:44–49</w:t>
            </w:r>
          </w:p>
        </w:tc>
        <w:tc>
          <w:tcPr>
            <w:tcW w:type="dxa" w:w="4680"/>
          </w:tcPr>
          <w:p>
            <w:pPr/>
            <w:r>
              <w:rPr>
                <w:lang w:val="en_US" w:bidi="en_US"/>
              </w:rPr>
            </w:r>
            <w:r>
              <w:rPr>
                <w:lang w:val="en_US" w:bidi="en_US"/>
              </w:rPr>
              <w:t>Jesus died</w:t>
            </w:r>
          </w:p>
        </w:tc>
      </w:tr>
      <w:tr>
        <w:tc>
          <w:tcPr>
            <w:tcW w:type="dxa" w:w="4680"/>
          </w:tcPr>
          <w:p>
            <w:pPr/>
            <w:r>
              <w:rPr>
                <w:lang w:val="en_US" w:bidi="en_US"/>
              </w:rPr>
            </w:r>
            <w:r>
              <w:rPr>
                <w:lang w:val="en_US" w:bidi="en_US"/>
              </w:rPr>
              <w:t>23:50–56</w:t>
            </w:r>
          </w:p>
        </w:tc>
        <w:tc>
          <w:tcPr>
            <w:tcW w:type="dxa" w:w="4680"/>
          </w:tcPr>
          <w:p>
            <w:pPr/>
            <w:r>
              <w:rPr>
                <w:lang w:val="en_US" w:bidi="en_US"/>
              </w:rPr>
            </w:r>
            <w:r>
              <w:rPr>
                <w:lang w:val="en_US" w:bidi="en_US"/>
              </w:rPr>
              <w:t>Jesus was buried</w:t>
            </w:r>
          </w:p>
        </w:tc>
      </w:tr>
    </w:tbl>
    <w:p>
      <w:pPr/>
      <w:r>
        <w:rPr>
          <w:lang w:val="en_US" w:bidi="en_US"/>
        </w:rPr>
      </w:r>
      <w:r>
        <w:rPr>
          <w:lang w:val="en_US" w:bidi="en_US"/>
        </w:rPr>
        <w:t>The NIV has longer sections. It has the following section headings: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22:1–6</w:t>
            </w:r>
          </w:p>
        </w:tc>
        <w:tc>
          <w:tcPr>
            <w:tcW w:type="dxa" w:w="4680"/>
          </w:tcPr>
          <w:p>
            <w:pPr/>
            <w:r>
              <w:rPr>
                <w:lang w:val="en_US" w:bidi="en_US"/>
              </w:rPr>
            </w:r>
            <w:r>
              <w:rPr>
                <w:lang w:val="en_US" w:bidi="en_US"/>
              </w:rPr>
              <w:t>Judas Agrees to Betray Jesus</w:t>
            </w:r>
          </w:p>
        </w:tc>
      </w:tr>
      <w:tr>
        <w:tc>
          <w:tcPr>
            <w:tcW w:type="dxa" w:w="4680"/>
          </w:tcPr>
          <w:p>
            <w:pPr/>
            <w:r>
              <w:rPr>
                <w:lang w:val="en_US" w:bidi="en_US"/>
              </w:rPr>
            </w:r>
            <w:r>
              <w:rPr>
                <w:lang w:val="en_US" w:bidi="en_US"/>
              </w:rPr>
              <w:t>22:7–38</w:t>
            </w:r>
          </w:p>
        </w:tc>
        <w:tc>
          <w:tcPr>
            <w:tcW w:type="dxa" w:w="4680"/>
          </w:tcPr>
          <w:p>
            <w:pPr/>
            <w:r>
              <w:rPr>
                <w:lang w:val="en_US" w:bidi="en_US"/>
              </w:rPr>
            </w:r>
            <w:r>
              <w:rPr>
                <w:lang w:val="en_US" w:bidi="en_US"/>
              </w:rPr>
              <w:t>The Last Supper</w:t>
            </w:r>
          </w:p>
        </w:tc>
      </w:tr>
      <w:tr>
        <w:tc>
          <w:tcPr>
            <w:tcW w:type="dxa" w:w="4680"/>
          </w:tcPr>
          <w:p>
            <w:pPr/>
            <w:r>
              <w:rPr>
                <w:lang w:val="en_US" w:bidi="en_US"/>
              </w:rPr>
            </w:r>
            <w:r>
              <w:rPr>
                <w:lang w:val="en_US" w:bidi="en_US"/>
              </w:rPr>
              <w:t>22:39–46</w:t>
            </w:r>
          </w:p>
        </w:tc>
        <w:tc>
          <w:tcPr>
            <w:tcW w:type="dxa" w:w="4680"/>
          </w:tcPr>
          <w:p>
            <w:pPr/>
            <w:r>
              <w:rPr>
                <w:lang w:val="en_US" w:bidi="en_US"/>
              </w:rPr>
            </w:r>
            <w:r>
              <w:rPr>
                <w:lang w:val="en_US" w:bidi="en_US"/>
              </w:rPr>
              <w:t>Jesus Prays on the Mount of Olives</w:t>
            </w:r>
          </w:p>
        </w:tc>
      </w:tr>
      <w:tr>
        <w:tc>
          <w:tcPr>
            <w:tcW w:type="dxa" w:w="4680"/>
          </w:tcPr>
          <w:p>
            <w:pPr/>
            <w:r>
              <w:rPr>
                <w:lang w:val="en_US" w:bidi="en_US"/>
              </w:rPr>
            </w:r>
            <w:r>
              <w:rPr>
                <w:lang w:val="en_US" w:bidi="en_US"/>
              </w:rPr>
              <w:t>22:47–53</w:t>
            </w:r>
          </w:p>
        </w:tc>
        <w:tc>
          <w:tcPr>
            <w:tcW w:type="dxa" w:w="4680"/>
          </w:tcPr>
          <w:p>
            <w:pPr/>
            <w:r>
              <w:rPr>
                <w:lang w:val="en_US" w:bidi="en_US"/>
              </w:rPr>
            </w:r>
            <w:r>
              <w:rPr>
                <w:lang w:val="en_US" w:bidi="en_US"/>
              </w:rPr>
              <w:t>Jesus Arrested</w:t>
            </w:r>
          </w:p>
        </w:tc>
      </w:tr>
      <w:tr>
        <w:tc>
          <w:tcPr>
            <w:tcW w:type="dxa" w:w="4680"/>
          </w:tcPr>
          <w:p>
            <w:pPr/>
            <w:r>
              <w:rPr>
                <w:lang w:val="en_US" w:bidi="en_US"/>
              </w:rPr>
            </w:r>
            <w:r>
              <w:rPr>
                <w:lang w:val="en_US" w:bidi="en_US"/>
              </w:rPr>
              <w:t>22:54–62</w:t>
            </w:r>
          </w:p>
        </w:tc>
        <w:tc>
          <w:tcPr>
            <w:tcW w:type="dxa" w:w="4680"/>
          </w:tcPr>
          <w:p>
            <w:pPr/>
            <w:r>
              <w:rPr>
                <w:lang w:val="en_US" w:bidi="en_US"/>
              </w:rPr>
            </w:r>
            <w:r>
              <w:rPr>
                <w:lang w:val="en_US" w:bidi="en_US"/>
              </w:rPr>
              <w:t>Peter Disowns Jesus</w:t>
            </w:r>
          </w:p>
        </w:tc>
      </w:tr>
      <w:tr>
        <w:tc>
          <w:tcPr>
            <w:tcW w:type="dxa" w:w="4680"/>
          </w:tcPr>
          <w:p>
            <w:pPr/>
            <w:r>
              <w:rPr>
                <w:lang w:val="en_US" w:bidi="en_US"/>
              </w:rPr>
            </w:r>
            <w:r>
              <w:rPr>
                <w:lang w:val="en_US" w:bidi="en_US"/>
              </w:rPr>
              <w:t>22:63–65</w:t>
            </w:r>
          </w:p>
        </w:tc>
        <w:tc>
          <w:tcPr>
            <w:tcW w:type="dxa" w:w="4680"/>
          </w:tcPr>
          <w:p>
            <w:pPr/>
            <w:r>
              <w:rPr>
                <w:lang w:val="en_US" w:bidi="en_US"/>
              </w:rPr>
            </w:r>
            <w:r>
              <w:rPr>
                <w:lang w:val="en_US" w:bidi="en_US"/>
              </w:rPr>
              <w:t>The Guards Mock Jesus</w:t>
            </w:r>
          </w:p>
        </w:tc>
      </w:tr>
      <w:tr>
        <w:tc>
          <w:tcPr>
            <w:tcW w:type="dxa" w:w="4680"/>
          </w:tcPr>
          <w:p>
            <w:pPr/>
            <w:r>
              <w:rPr>
                <w:lang w:val="en_US" w:bidi="en_US"/>
              </w:rPr>
            </w:r>
            <w:r>
              <w:rPr>
                <w:lang w:val="en_US" w:bidi="en_US"/>
              </w:rPr>
              <w:t>22:66–23:25</w:t>
            </w:r>
          </w:p>
        </w:tc>
        <w:tc>
          <w:tcPr>
            <w:tcW w:type="dxa" w:w="4680"/>
          </w:tcPr>
          <w:p>
            <w:pPr/>
            <w:r>
              <w:rPr>
                <w:lang w:val="en_US" w:bidi="en_US"/>
              </w:rPr>
            </w:r>
            <w:r>
              <w:rPr>
                <w:lang w:val="en_US" w:bidi="en_US"/>
              </w:rPr>
              <w:t>Jesus Before Pilate and Herod</w:t>
            </w:r>
          </w:p>
        </w:tc>
      </w:tr>
      <w:tr>
        <w:tc>
          <w:tcPr>
            <w:tcW w:type="dxa" w:w="4680"/>
          </w:tcPr>
          <w:p>
            <w:pPr/>
            <w:r>
              <w:rPr>
                <w:lang w:val="en_US" w:bidi="en_US"/>
              </w:rPr>
            </w:r>
            <w:r>
              <w:rPr>
                <w:lang w:val="en_US" w:bidi="en_US"/>
              </w:rPr>
              <w:t>23:26–43</w:t>
            </w:r>
          </w:p>
        </w:tc>
        <w:tc>
          <w:tcPr>
            <w:tcW w:type="dxa" w:w="4680"/>
          </w:tcPr>
          <w:p>
            <w:pPr/>
            <w:r>
              <w:rPr>
                <w:lang w:val="en_US" w:bidi="en_US"/>
              </w:rPr>
            </w:r>
            <w:r>
              <w:rPr>
                <w:lang w:val="en_US" w:bidi="en_US"/>
              </w:rPr>
              <w:t>The Crucifixion</w:t>
            </w:r>
          </w:p>
        </w:tc>
      </w:tr>
      <w:tr>
        <w:tc>
          <w:tcPr>
            <w:tcW w:type="dxa" w:w="4680"/>
          </w:tcPr>
          <w:p>
            <w:pPr/>
            <w:r>
              <w:rPr>
                <w:lang w:val="en_US" w:bidi="en_US"/>
              </w:rPr>
            </w:r>
            <w:r>
              <w:rPr>
                <w:lang w:val="en_US" w:bidi="en_US"/>
              </w:rPr>
              <w:t>23:44–49</w:t>
            </w:r>
          </w:p>
        </w:tc>
        <w:tc>
          <w:tcPr>
            <w:tcW w:type="dxa" w:w="4680"/>
          </w:tcPr>
          <w:p>
            <w:pPr/>
            <w:r>
              <w:rPr>
                <w:lang w:val="en_US" w:bidi="en_US"/>
              </w:rPr>
            </w:r>
            <w:r>
              <w:rPr>
                <w:lang w:val="en_US" w:bidi="en_US"/>
              </w:rPr>
              <w:t>Jesus’ Death</w:t>
            </w:r>
          </w:p>
        </w:tc>
      </w:tr>
      <w:tr>
        <w:tc>
          <w:tcPr>
            <w:tcW w:type="dxa" w:w="4680"/>
          </w:tcPr>
          <w:p>
            <w:pPr/>
            <w:r>
              <w:rPr>
                <w:lang w:val="en_US" w:bidi="en_US"/>
              </w:rPr>
            </w:r>
            <w:r>
              <w:rPr>
                <w:lang w:val="en_US" w:bidi="en_US"/>
              </w:rPr>
              <w:t>23:50–56</w:t>
            </w:r>
          </w:p>
        </w:tc>
        <w:tc>
          <w:tcPr>
            <w:tcW w:type="dxa" w:w="4680"/>
          </w:tcPr>
          <w:p>
            <w:pPr/>
            <w:r>
              <w:rPr>
                <w:lang w:val="en_US" w:bidi="en_US"/>
              </w:rPr>
            </w:r>
            <w:r>
              <w:rPr>
                <w:lang w:val="en_US" w:bidi="en_US"/>
              </w:rPr>
              <w:t>Jesus’ Burial</w:t>
            </w:r>
          </w:p>
        </w:tc>
      </w:tr>
    </w:tbl>
    <w:p>
      <w:pPr/>
      <w:r>
        <w:rPr>
          <w:lang w:val="en_US" w:bidi="en_US"/>
        </w:rPr>
      </w:r>
      <w:r>
        <w:rPr>
          <w:lang w:val="en_US" w:bidi="en_US"/>
        </w:rPr>
        <w:t>Consider how to divide this division into sections in the most helpful way for your language.</w:t>
      </w:r>
      <w:r>
        <w:rPr>
          <w:lang w:val="en_US" w:bidi="en_US"/>
        </w:rPr>
      </w:r>
      <w:r>
        <w:rPr>
          <w:lang w:val="en_US" w:bidi="en_US"/>
        </w:rPr>
      </w:r>
    </w:p>
    <w:p>
      <w:pPr/>
      <w:r>
        <w:rPr>
          <w:lang w:val="en_US" w:bidi="en_US"/>
        </w:rPr>
      </w:r>
    </w:p>
    <w:p>
      <w:pPr>
        <w:pStyle w:val="Heading2"/>
      </w:pPr>
      <w:r>
        <w:rPr>
          <w:lang w:val="en_US" w:bidi="en_US"/>
        </w:rPr>
        <w:t>Luke 22:1</w:t>
      </w:r>
      <w:r>
        <w:rPr>
          <w:lang w:val="en_US" w:bidi="en_US"/>
        </w:rPr>
      </w:r>
    </w:p>
    <w:p>
      <w:pPr>
        <w:pStyle w:val="Heading4"/>
      </w:pPr>
      <w:r>
        <w:rPr>
          <w:lang w:val="en_US" w:bidi="en_US"/>
        </w:rPr>
        <w:t>Section 22:1–6: Judas told the Jewish leaders that he would betray Jesus to them</w:t>
      </w:r>
    </w:p>
    <w:p>
      <w:pPr/>
      <w:r>
        <w:rPr>
          <w:lang w:val="en_US" w:bidi="en_US"/>
        </w:rPr>
      </w:r>
      <w:r>
        <w:rPr>
          <w:lang w:val="en_US" w:bidi="en_US"/>
        </w:rPr>
        <w:t>The Jewish leaders wanted to get rid of Jesus in a private way so that the crowds would not oppose them. Before Passover began, they learned that Judas was willing to help them. Judas offered to lead them to Jesus at a time when the crowds were not with him so they could arrest him without causing trouble for themselves.</w:t>
      </w:r>
    </w:p>
    <w:p>
      <w:pPr/>
      <w:r>
        <w:rPr>
          <w:lang w:val="en_US" w:bidi="en_US"/>
        </w:rPr>
      </w:r>
      <w:r>
        <w:rPr>
          <w:lang w:val="en_US" w:bidi="en_US"/>
        </w:rPr>
        <w:t>The first verse of this section mentions the terms “Feast of Unleavened Bread” and “Passover.” These terms are names for a festival that the Jews celebrated each year. At one time, these terms referred to two different festivals. The festival of Passover lasted one day, and on the next day, the Feast of Unleavened Bread began and was celebrated for seven days. However, in Jesus’ lifetime, the two festivals were often considered to be one eight-day festival. Either term could be used for both festivals. See the notes at 22:1a–b for more information. During the festival time the Jews remembered how God delivered their ancestors from slavery in Egypt. See the notes on the “Passover” in 22:1a–b and 22:7a–b for more details.</w:t>
      </w:r>
    </w:p>
    <w:p>
      <w:pPr/>
      <w:r>
        <w:rPr>
          <w:lang w:val="en_US" w:bidi="en_US"/>
        </w:rPr>
      </w:r>
      <w:r>
        <w:rPr>
          <w:lang w:val="en_US" w:bidi="en_US"/>
        </w:rPr>
        <w:t>It is good to translate this section before you decide on a heading for it. Other examples of headings for this section are:</w:t>
      </w:r>
    </w:p>
    <w:p>
      <w:pPr/>
      <w:r>
        <w:rPr>
          <w:lang w:val="en_US" w:bidi="en_US"/>
        </w:rPr>
      </w:r>
      <w:r>
        <w:rPr>
          <w:lang w:val="en_US" w:bidi="en_US"/>
        </w:rPr>
        <w:t>The Plot to Kill Jesus (NRSV)</w:t>
      </w:r>
    </w:p>
    <w:p>
      <w:pPr/>
      <w:r>
        <w:rPr>
          <w:lang w:val="en_US" w:bidi="en_US"/>
        </w:rPr>
      </w:r>
      <w:r>
        <w:rPr>
          <w:lang w:val="en_US" w:bidi="en_US"/>
        </w:rPr>
        <w:t>Judas Agrees to Betray Jesus (NLT)</w:t>
      </w:r>
    </w:p>
    <w:p>
      <w:pPr/>
      <w:r>
        <w:rPr>
          <w:lang w:val="en_US" w:bidi="en_US"/>
        </w:rPr>
      </w:r>
      <w:r>
        <w:rPr>
          <w:lang w:val="en_US" w:bidi="en_US"/>
        </w:rPr>
        <w:t>There are parallel passages for this section in Matthew 26:1–5, Mark 14:1–2, and John 11:45–53.</w:t>
      </w:r>
    </w:p>
    <w:p>
      <w:pPr>
        <w:pStyle w:val="Heading5"/>
      </w:pPr>
      <w:r>
        <w:rPr>
          <w:lang w:val="en_US" w:bidi="en_US"/>
        </w:rPr>
        <w:t>22:1a</w:t>
      </w:r>
    </w:p>
    <w:p>
      <w:pPr/>
      <w:r>
        <w:rPr>
          <w:lang w:val="en_US" w:bidi="en_US"/>
        </w:rPr>
      </w:r>
      <w:r>
        <w:rPr>
          <w:b/>
          <w:lang w:val="en_US" w:bidi="en_US"/>
        </w:rPr>
        <w:t>Now the Feast of Unleavened Bread,</w:t>
      </w:r>
    </w:p>
    <w:p>
      <w:pPr>
        <w:pStyle w:val="ListBullet"/>
        <w:spacing w:line="240" w:lineRule="auto"/>
        <w:ind w:left="720"/>
      </w:pPr>
      <w:r>
        <w:rPr>
          <w:lang w:val="en_US" w:bidi="en_US"/>
        </w:rPr>
      </w:r>
      <w:r>
        <w:rPr>
          <w:lang w:val="en_US" w:bidi="en_US"/>
        </w:rPr>
        <w:t>¶ The Festival of Bread without Yeast</w:t>
      </w:r>
    </w:p>
    <w:p>
      <w:pPr>
        <w:pStyle w:val="ListBullet"/>
        <w:spacing w:line="240" w:lineRule="auto"/>
        <w:ind w:left="720"/>
      </w:pPr>
      <w:r>
        <w:rPr>
          <w:lang w:val="en_US" w:bidi="en_US"/>
        </w:rPr>
      </w:r>
      <w:r>
        <w:rPr>
          <w:lang w:val="en_US" w:bidi="en_US"/>
        </w:rPr>
        <w:t xml:space="preserve">¶ At that time, </w:t>
      </w:r>
      <w:r>
        <w:rPr>
          <w:lang w:val="en_US" w:bidi="en_US"/>
        </w:rPr>
        <w:t>Jewish people</w:t>
      </w:r>
      <w:r>
        <w:rPr>
          <w:lang w:val="en_US" w:bidi="en_US"/>
        </w:rPr>
        <w:t xml:space="preserve"> </w:t>
      </w:r>
      <w:r>
        <w:rPr>
          <w:lang w:val="en_US" w:bidi="en_US"/>
        </w:rPr>
        <w:t>were about to celebrate</w:t>
      </w:r>
      <w:r>
        <w:rPr>
          <w:lang w:val="en_US" w:bidi="en_US"/>
        </w:rPr>
        <w:t xml:space="preserve"> the </w:t>
      </w:r>
      <w:r>
        <w:rPr>
          <w:lang w:val="en_US" w:bidi="en_US"/>
        </w:rPr>
        <w:t>yearly festival</w:t>
      </w:r>
      <w:r>
        <w:rPr>
          <w:lang w:val="en_US" w:bidi="en_US"/>
        </w:rPr>
        <w:t xml:space="preserve"> </w:t>
      </w:r>
      <w:r>
        <w:rPr>
          <w:lang w:val="en_US" w:bidi="en_US"/>
        </w:rPr>
        <w:t>called</w:t>
      </w:r>
      <w:r>
        <w:rPr>
          <w:lang w:val="en_US" w:bidi="en_US"/>
        </w:rPr>
        <w:t xml:space="preserve"> “Flat Bread Festival.”</w:t>
      </w:r>
    </w:p>
    <w:p>
      <w:pPr>
        <w:pStyle w:val="Heading5"/>
      </w:pPr>
      <w:r>
        <w:rPr>
          <w:lang w:val="en_US" w:bidi="en_US"/>
        </w:rPr>
        <w:t>22:1b</w:t>
      </w:r>
    </w:p>
    <w:p>
      <w:pPr/>
      <w:r>
        <w:rPr>
          <w:lang w:val="en_US" w:bidi="en_US"/>
        </w:rPr>
      </w:r>
      <w:r>
        <w:rPr>
          <w:b/>
          <w:lang w:val="en_US" w:bidi="en_US"/>
        </w:rPr>
        <w:t>called the Passover, was approaching,</w:t>
      </w:r>
    </w:p>
    <w:p>
      <w:pPr>
        <w:pStyle w:val="ListBullet"/>
        <w:spacing w:line="240" w:lineRule="auto"/>
        <w:ind w:left="720"/>
      </w:pPr>
      <w:r>
        <w:rPr>
          <w:lang w:val="en_US" w:bidi="en_US"/>
        </w:rPr>
      </w:r>
      <w:r>
        <w:rPr>
          <w:lang w:val="en_US" w:bidi="en_US"/>
        </w:rPr>
        <w:t xml:space="preserve">had almost come/arrived. </w:t>
      </w:r>
      <w:r>
        <w:rPr>
          <w:lang w:val="en_US" w:bidi="en_US"/>
        </w:rPr>
        <w:t>People also</w:t>
      </w:r>
      <w:r>
        <w:rPr>
          <w:lang w:val="en_US" w:bidi="en_US"/>
        </w:rPr>
        <w:t xml:space="preserve"> called </w:t>
      </w:r>
      <w:r>
        <w:rPr>
          <w:lang w:val="en_US" w:bidi="en_US"/>
        </w:rPr>
        <w:t>this festival</w:t>
      </w:r>
      <w:r>
        <w:rPr>
          <w:lang w:val="en_US" w:bidi="en_US"/>
        </w:rPr>
        <w:t xml:space="preserve"> “the Passover.”</w:t>
      </w:r>
    </w:p>
    <w:p>
      <w:pPr>
        <w:pStyle w:val="ListBullet"/>
        <w:spacing w:line="240" w:lineRule="auto"/>
        <w:ind w:left="720"/>
      </w:pPr>
      <w:r>
        <w:rPr>
          <w:lang w:val="en_US" w:bidi="en_US"/>
        </w:rPr>
      </w:r>
      <w:r>
        <w:rPr>
          <w:lang w:val="en_US" w:bidi="en_US"/>
        </w:rPr>
        <w:t>They also call this festival “</w:t>
      </w:r>
      <w:r>
        <w:rPr>
          <w:lang w:val="en_US" w:bidi="en_US"/>
        </w:rPr>
        <w:t>Death</w:t>
      </w:r>
      <w:r>
        <w:rPr>
          <w:lang w:val="en_US" w:bidi="en_US"/>
        </w:rPr>
        <w:t xml:space="preserve"> Passed </w:t>
      </w:r>
      <w:r>
        <w:rPr>
          <w:lang w:val="en_US" w:bidi="en_US"/>
        </w:rPr>
        <w:t>Us</w:t>
      </w:r>
      <w:r>
        <w:rPr>
          <w:vertAlign w:val="superscript"/>
          <w:lang w:val="en_US" w:bidi="en_US"/>
        </w:rPr>
        <w:t>(incl)</w:t>
      </w:r>
      <w:r>
        <w:rPr>
          <w:lang w:val="en_US" w:bidi="en_US"/>
        </w:rPr>
        <w:t xml:space="preserve"> By </w:t>
      </w:r>
      <w:r>
        <w:rPr>
          <w:lang w:val="en_US" w:bidi="en_US"/>
        </w:rPr>
        <w:t>Feast</w:t>
      </w:r>
      <w:r>
        <w:rPr>
          <w:lang w:val="en_US" w:bidi="en_US"/>
        </w:rPr>
        <w:t xml:space="preserve">.” As </w:t>
      </w:r>
      <w:r>
        <w:rPr>
          <w:lang w:val="en_US" w:bidi="en_US"/>
        </w:rPr>
        <w:t>the day/time of</w:t>
      </w:r>
      <w:r>
        <w:rPr>
          <w:lang w:val="en_US" w:bidi="en_US"/>
        </w:rPr>
        <w:t xml:space="preserve"> the feast approached,</w:t>
      </w:r>
    </w:p>
    <w:p>
      <w:pPr>
        <w:pStyle w:val="Heading5"/>
      </w:pPr>
      <w:r>
        <w:rPr>
          <w:lang w:val="en_US" w:bidi="en_US"/>
        </w:rPr>
        <w:t>22:1a–b</w:t>
      </w:r>
    </w:p>
    <w:p>
      <w:pPr/>
      <w:r>
        <w:rPr>
          <w:lang w:val="en_US" w:bidi="en_US"/>
        </w:rPr>
      </w:r>
      <w:r>
        <w:rPr>
          <w:b/>
          <w:lang w:val="en_US" w:bidi="en_US"/>
        </w:rPr>
        <w:t>Now the Feast of Unleavened Bread…was approaching:</w:t>
      </w:r>
      <w:r>
        <w:rPr>
          <w:lang w:val="en_US" w:bidi="en_US"/>
        </w:rPr>
        <w:t xml:space="preserve"> This clause is background information for the events that will happen in this section. It indicates that people would soon celebrate the Feast of Unleavened Bread. In Greek the clause is introduced by a common conjunction that the BSB translates as </w:t>
      </w:r>
      <w:r>
        <w:rPr>
          <w:i/>
          <w:lang w:val="en_US" w:bidi="en_US"/>
        </w:rPr>
        <w:t>Now</w:t>
      </w:r>
      <w:r>
        <w:rPr>
          <w:lang w:val="en_US" w:bidi="en_US"/>
        </w:rPr>
        <w:t>. This conjunction does not function as a time word here, and many English versions do not translate it.</w:t>
      </w:r>
    </w:p>
    <w:p>
      <w:pPr/>
      <w:r>
        <w:rPr>
          <w:lang w:val="en_US" w:bidi="en_US"/>
        </w:rPr>
      </w:r>
      <w:r>
        <w:rPr>
          <w:lang w:val="en_US" w:bidi="en_US"/>
        </w:rPr>
        <w:t>Translate the background information in a natural way in your language. Some other ways to translate it in English are:</w:t>
      </w:r>
    </w:p>
    <w:p>
      <w:pPr/>
      <w:r>
        <w:rPr>
          <w:lang w:val="en_US" w:bidi="en_US"/>
        </w:rPr>
      </w:r>
      <w:r>
        <w:rPr>
          <w:lang w:val="en_US" w:bidi="en_US"/>
        </w:rPr>
        <w:t>As the Feast of Unleavened Bread came near</w:t>
      </w:r>
    </w:p>
    <w:p>
      <w:pPr/>
      <w:r>
        <w:rPr>
          <w:lang w:val="en_US" w:bidi="en_US"/>
        </w:rPr>
      </w:r>
      <w:r>
        <w:rPr>
          <w:lang w:val="en_US" w:bidi="en_US"/>
        </w:rPr>
        <w:t>It was almost time for the feast of unleavened bread</w:t>
      </w:r>
    </w:p>
    <w:p>
      <w:pPr/>
      <w:r>
        <w:rPr>
          <w:lang w:val="en_US" w:bidi="en_US"/>
        </w:rPr>
      </w:r>
      <w:r>
        <w:rPr>
          <w:lang w:val="en_US" w:bidi="en_US"/>
        </w:rPr>
        <w:t>At that time, it was not long before the Feast of Unleavened Bread would happen</w:t>
      </w:r>
    </w:p>
    <w:p>
      <w:pPr/>
      <w:r>
        <w:rPr>
          <w:lang w:val="en_US" w:bidi="en_US"/>
        </w:rPr>
      </w:r>
      <w:r>
        <w:rPr>
          <w:b/>
          <w:lang w:val="en_US" w:bidi="en_US"/>
        </w:rPr>
        <w:t>the Feast of Unleavened Bread:</w:t>
      </w:r>
      <w:r>
        <w:rPr>
          <w:lang w:val="en_US" w:bidi="en_US"/>
        </w:rPr>
        <w:t xml:space="preserve"> The phrase </w:t>
      </w:r>
      <w:r>
        <w:rPr>
          <w:i/>
          <w:lang w:val="en_US" w:bidi="en_US"/>
        </w:rPr>
        <w:t>the Feast of Unleavened Bread</w:t>
      </w:r>
      <w:r>
        <w:rPr>
          <w:lang w:val="en_US" w:bidi="en_US"/>
        </w:rPr>
        <w:t xml:space="preserve"> refers to a festival that the Jewish people celebrated each year for seven days. During those days they did not eat any bread made with yeast.</w:t>
      </w:r>
    </w:p>
    <w:p>
      <w:pPr/>
      <w:r>
        <w:rPr>
          <w:lang w:val="en_US" w:bidi="en_US"/>
        </w:rPr>
      </w:r>
      <w:r>
        <w:rPr>
          <w:lang w:val="en_US" w:bidi="en_US"/>
        </w:rPr>
        <w:t>The purpose of the festival was to remind them of the time when God had delivered their ancestors from slavery in Egypt. At that time they ate unleavened bread because they needed to eat quickly before they left on their journey out of Egypt. They did not have time to wait for their bread dough to rise before they baked it.</w:t>
      </w:r>
    </w:p>
    <w:p>
      <w:pPr/>
      <w:r>
        <w:rPr>
          <w:lang w:val="en_US" w:bidi="en_US"/>
        </w:rPr>
      </w:r>
      <w:r>
        <w:rPr>
          <w:b/>
          <w:lang w:val="en_US" w:bidi="en_US"/>
        </w:rPr>
        <w:t>Feast:</w:t>
      </w:r>
      <w:r>
        <w:rPr>
          <w:lang w:val="en_US" w:bidi="en_US"/>
        </w:rPr>
        <w:t xml:space="preserve"> The Greek word that the BSB translates as </w:t>
      </w:r>
      <w:r>
        <w:rPr>
          <w:i/>
          <w:lang w:val="en_US" w:bidi="en_US"/>
        </w:rPr>
        <w:t>Feast</w:t>
      </w:r>
      <w:r>
        <w:rPr>
          <w:lang w:val="en_US" w:bidi="en_US"/>
        </w:rPr>
        <w:t xml:space="preserve"> means “festival, celebration.” It refers to a special time when people celebrate and follow special customs or rituals. During the festival of Unleavened Bread, people ate a special meal, so some versions, such as the NIV, translate the word as “feast.” Use a natural way in your language to refer to it.</w:t>
      </w:r>
    </w:p>
    <w:p>
      <w:pPr/>
      <w:r>
        <w:rPr>
          <w:lang w:val="en_US" w:bidi="en_US"/>
        </w:rPr>
      </w:r>
      <w:r>
        <w:rPr>
          <w:b/>
          <w:lang w:val="en_US" w:bidi="en_US"/>
        </w:rPr>
        <w:t>Unleavened Bread:</w:t>
      </w:r>
      <w:r>
        <w:rPr>
          <w:lang w:val="en_US" w:bidi="en_US"/>
        </w:rPr>
        <w:t xml:space="preserve"> The phrase </w:t>
      </w:r>
      <w:r>
        <w:rPr>
          <w:i/>
          <w:lang w:val="en_US" w:bidi="en_US"/>
        </w:rPr>
        <w:t>Unleavened Bread</w:t>
      </w:r>
      <w:r>
        <w:rPr>
          <w:lang w:val="en_US" w:bidi="en_US"/>
        </w:rPr>
        <w:t xml:space="preserve"> refers to bread cooked without yeast. This bread was thin and flat because it contained nothing to “leaven” it (make it rise). In some areas people do not use yeast and there is no word for it. If this is true in your language, you may be able to use a descriptive phrase for this type of bread. For example:</w:t>
      </w:r>
    </w:p>
    <w:p>
      <w:pPr/>
      <w:r>
        <w:rPr>
          <w:lang w:val="en_US" w:bidi="en_US"/>
        </w:rPr>
      </w:r>
      <w:r>
        <w:rPr>
          <w:lang w:val="en_US" w:bidi="en_US"/>
        </w:rPr>
        <w:t>Thin Bread (CEV)</w:t>
      </w:r>
    </w:p>
    <w:p>
      <w:pPr/>
      <w:r>
        <w:rPr>
          <w:lang w:val="en_US" w:bidi="en_US"/>
        </w:rPr>
      </w:r>
      <w:r>
        <w:rPr>
          <w:lang w:val="en_US" w:bidi="en_US"/>
        </w:rPr>
        <w:t>bread without the thing that makes it rise/swell</w:t>
      </w:r>
    </w:p>
    <w:p>
      <w:pPr/>
      <w:r>
        <w:rPr>
          <w:lang w:val="en_US" w:bidi="en_US"/>
        </w:rPr>
      </w:r>
      <w:r>
        <w:rPr>
          <w:lang w:val="en_US" w:bidi="en_US"/>
        </w:rPr>
        <w:t xml:space="preserve">bread that </w:t>
      </w:r>
      <w:r>
        <w:rPr>
          <w:lang w:val="en_US" w:bidi="en_US"/>
        </w:rPr>
        <w:t>people</w:t>
      </w:r>
      <w:r>
        <w:rPr>
          <w:lang w:val="en_US" w:bidi="en_US"/>
        </w:rPr>
        <w:t xml:space="preserve"> </w:t>
      </w:r>
      <w:r>
        <w:rPr>
          <w:lang w:val="en_US" w:bidi="en_US"/>
        </w:rPr>
        <w:t>make</w:t>
      </w:r>
      <w:r>
        <w:rPr>
          <w:lang w:val="en_US" w:bidi="en_US"/>
        </w:rPr>
        <w:t xml:space="preserve"> without any rising/swelling substance</w:t>
      </w:r>
    </w:p>
    <w:p>
      <w:pPr/>
      <w:r>
        <w:rPr>
          <w:lang w:val="en_US" w:bidi="en_US"/>
        </w:rPr>
      </w:r>
      <w:r>
        <w:rPr>
          <w:b/>
          <w:lang w:val="en_US" w:bidi="en_US"/>
        </w:rPr>
        <w:t>called the Passover:</w:t>
      </w:r>
      <w:r>
        <w:rPr>
          <w:lang w:val="en_US" w:bidi="en_US"/>
        </w:rPr>
        <w:t xml:space="preserve"> The word </w:t>
      </w:r>
      <w:r>
        <w:rPr>
          <w:i/>
          <w:lang w:val="en_US" w:bidi="en_US"/>
        </w:rPr>
        <w:t>Passover</w:t>
      </w:r>
      <w:r>
        <w:rPr>
          <w:lang w:val="en_US" w:bidi="en_US"/>
        </w:rPr>
        <w:t xml:space="preserve"> refers to a festival that the Jews celebrated each year on the day before the Feast of Unleavened Bread began. The word </w:t>
      </w:r>
      <w:r>
        <w:rPr>
          <w:i/>
          <w:lang w:val="en_US" w:bidi="en_US"/>
        </w:rPr>
        <w:t>Passover</w:t>
      </w:r>
      <w:r>
        <w:rPr>
          <w:lang w:val="en_US" w:bidi="en_US"/>
        </w:rPr>
        <w:t xml:space="preserve"> was often used to refer to the whole eight days that included the day of Passover and the seven days of the Feast of Unleavened Bread. People ate only unleavened bread on the day of Passover, as well as during the Feast of Unleavened Bread.</w:t>
      </w:r>
    </w:p>
    <w:p>
      <w:pPr/>
      <w:r>
        <w:rPr>
          <w:lang w:val="en_US" w:bidi="en_US"/>
        </w:rPr>
      </w:r>
      <w:r>
        <w:rPr>
          <w:lang w:val="en_US" w:bidi="en_US"/>
        </w:rPr>
        <w:t xml:space="preserve">In some languages it may be helpful to translate the phrase </w:t>
      </w:r>
      <w:r>
        <w:rPr>
          <w:i/>
          <w:lang w:val="en_US" w:bidi="en_US"/>
        </w:rPr>
        <w:t>called the Passover</w:t>
      </w:r>
      <w:r>
        <w:rPr>
          <w:lang w:val="en_US" w:bidi="en_US"/>
        </w:rPr>
        <w:t xml:space="preserve"> as a separate sentence. For example:</w:t>
      </w:r>
    </w:p>
    <w:p>
      <w:pPr/>
      <w:r>
        <w:rPr>
          <w:lang w:val="en_US" w:bidi="en_US"/>
        </w:rPr>
      </w:r>
      <w:r>
        <w:rPr>
          <w:lang w:val="en_US" w:bidi="en_US"/>
        </w:rPr>
        <w:t>This was the feast that people also call the Passover.</w:t>
      </w:r>
    </w:p>
    <w:p>
      <w:pPr/>
      <w:r>
        <w:rPr>
          <w:lang w:val="en_US" w:bidi="en_US"/>
        </w:rPr>
      </w:r>
      <w:r>
        <w:rPr>
          <w:lang w:val="en_US" w:bidi="en_US"/>
        </w:rPr>
        <w:t>You may want to include a footnote and cross reference about the feasts/festivals of Unleavened Bread and Passover. For example:</w:t>
      </w:r>
    </w:p>
    <w:p>
      <w:pPr/>
      <w:r>
        <w:rPr>
          <w:lang w:val="en_US" w:bidi="en_US"/>
        </w:rPr>
      </w:r>
      <w:r>
        <w:rPr>
          <w:lang w:val="en_US" w:bidi="en_US"/>
        </w:rPr>
        <w:t>During the time period that Luke wrote about, the festivals of Unleavened Bread and Passover were often considered to be one festival. These festivals reminded the Jews of the time when God freed their ancestors from slavery in Egypt. See Exodus 12:1–27.</w:t>
      </w:r>
    </w:p>
    <w:p>
      <w:pPr/>
      <w:r>
        <w:rPr>
          <w:lang w:val="en_US" w:bidi="en_US"/>
        </w:rPr>
      </w:r>
      <w:r>
        <w:rPr>
          <w:b/>
          <w:lang w:val="en_US" w:bidi="en_US"/>
        </w:rPr>
        <w:t>Passover:</w:t>
      </w:r>
      <w:r>
        <w:rPr>
          <w:lang w:val="en_US" w:bidi="en_US"/>
        </w:rPr>
        <w:t xml:space="preserve"> The Greek word that the BSB translates as </w:t>
      </w:r>
      <w:r>
        <w:rPr>
          <w:i/>
          <w:lang w:val="en_US" w:bidi="en_US"/>
        </w:rPr>
        <w:t>Passover</w:t>
      </w:r>
      <w:r>
        <w:rPr>
          <w:lang w:val="en_US" w:bidi="en_US"/>
        </w:rPr>
        <w:t xml:space="preserve"> means “pass by” or “pass over.”</w:t>
      </w:r>
      <w:r>
        <w:rPr>
          <w:lang w:val="en_US" w:bidi="en_US"/>
        </w:rPr>
        <w:t>The Greek word is actually a transliteration of an Aramaic word that means “to pass by” or “to pass over.”</w:t>
      </w:r>
      <w:r>
        <w:rPr>
          <w:lang w:val="en_US" w:bidi="en_US"/>
        </w:rPr>
        <w:t xml:space="preserve"> During the Passover festival the people of Israel remember how the angel of the Lord “passed over” the houses of their ancestors. (This account is found in Exodus 12:1–27.) The term “pass over” implies that he showed mercy to them and did not kill them.</w:t>
      </w:r>
    </w:p>
    <w:p>
      <w:pPr/>
      <w:r>
        <w:rPr>
          <w:lang w:val="en_US" w:bidi="en_US"/>
        </w:rPr>
      </w:r>
      <w:r>
        <w:rPr>
          <w:lang w:val="en_US" w:bidi="en_US"/>
        </w:rPr>
        <w:t>However, the angel killed the firstborn sons of the Egyptians. He did this to force the Egyptian king to free the Jews from slavery and allow them to leave Egypt. The angel passed over the Jewish houses because they did what the Lord told them to do. Each family sacrificed a lamb and put some of its blood over their doors. When the angel saw the blood, he passed by their houses without harming them.</w:t>
      </w:r>
    </w:p>
    <w:p>
      <w:pPr/>
      <w:r>
        <w:rPr>
          <w:lang w:val="en_US" w:bidi="en_US"/>
        </w:rPr>
      </w:r>
      <w:r>
        <w:rPr>
          <w:lang w:val="en_US" w:bidi="en_US"/>
        </w:rPr>
        <w:t xml:space="preserve">Some ways to translate </w:t>
      </w:r>
      <w:r>
        <w:rPr>
          <w:i/>
          <w:lang w:val="en_US" w:bidi="en_US"/>
        </w:rPr>
        <w:t>Passover</w:t>
      </w:r>
      <w:r>
        <w:rPr>
          <w:lang w:val="en_US" w:bidi="en_US"/>
        </w:rPr>
        <w:t xml:space="preserve"> are:</w:t>
      </w:r>
    </w:p>
    <w:p>
      <w:pPr>
        <w:pStyle w:val="ListBullet"/>
        <w:spacing w:line="240" w:lineRule="auto"/>
        <w:ind w:left="720"/>
      </w:pPr>
      <w:r>
        <w:rPr>
          <w:lang w:val="en_US" w:bidi="en_US"/>
        </w:rPr>
      </w:r>
      <w:r>
        <w:rPr>
          <w:lang w:val="en_US" w:bidi="en_US"/>
        </w:rPr>
        <w:t xml:space="preserve">Translate the </w:t>
      </w:r>
      <w:r>
        <w:rPr>
          <w:u w:val="single"/>
          <w:lang w:val="en_US" w:bidi="en_US"/>
        </w:rPr>
        <w:t>meaning</w:t>
      </w:r>
      <w:r>
        <w:rPr>
          <w:lang w:val="en_US" w:bidi="en_US"/>
        </w:rPr>
        <w:t xml:space="preserve"> of the phrase “pass over.” For example:</w:t>
      </w:r>
      <w:r>
        <w:rPr>
          <w:lang w:val="en_US" w:bidi="en_US"/>
        </w:rPr>
        <w:t>“</w:t>
      </w:r>
      <w:r>
        <w:rPr>
          <w:lang w:val="en_US" w:bidi="en_US"/>
        </w:rPr>
        <w:t>Death</w:t>
      </w:r>
      <w:r>
        <w:rPr>
          <w:lang w:val="en_US" w:bidi="en_US"/>
        </w:rPr>
        <w:t xml:space="preserve"> passed us by” Festival</w:t>
      </w:r>
      <w:r>
        <w:rPr>
          <w:lang w:val="en_US" w:bidi="en_US"/>
        </w:rPr>
        <w:t>“</w:t>
      </w:r>
      <w:r>
        <w:rPr>
          <w:lang w:val="en_US" w:bidi="en_US"/>
        </w:rPr>
        <w:t>Death</w:t>
      </w:r>
      <w:r>
        <w:rPr>
          <w:lang w:val="en_US" w:bidi="en_US"/>
        </w:rPr>
        <w:t xml:space="preserve"> did not harm us” Feast</w:t>
      </w:r>
      <w:r>
        <w:rPr>
          <w:lang w:val="en_US" w:bidi="en_US"/>
        </w:rPr>
        <w:t>Passed-by/Mercy Feast</w:t>
      </w:r>
    </w:p>
    <w:p>
      <w:pPr>
        <w:pStyle w:val="ListBullet"/>
        <w:spacing w:line="240" w:lineRule="auto"/>
        <w:ind w:left="720"/>
      </w:pPr>
      <w:r>
        <w:rPr>
          <w:lang w:val="en_US" w:bidi="en_US"/>
        </w:rPr>
      </w:r>
      <w:r>
        <w:rPr>
          <w:lang w:val="en_US" w:bidi="en_US"/>
        </w:rPr>
        <w:t xml:space="preserve">Focus on the </w:t>
      </w:r>
      <w:r>
        <w:rPr>
          <w:u w:val="single"/>
          <w:lang w:val="en_US" w:bidi="en_US"/>
        </w:rPr>
        <w:t>result</w:t>
      </w:r>
      <w:r>
        <w:rPr>
          <w:lang w:val="en_US" w:bidi="en_US"/>
        </w:rPr>
        <w:t xml:space="preserve"> of the angel “passing over”: the Jews were delivered from slavery and became free. For example:</w:t>
      </w:r>
      <w:r>
        <w:rPr>
          <w:lang w:val="en_US" w:bidi="en_US"/>
        </w:rPr>
        <w:t>the Festival of Freedom</w:t>
      </w:r>
      <w:r>
        <w:rPr>
          <w:lang w:val="en_US" w:bidi="en_US"/>
        </w:rPr>
        <w:t>Deliverance Day/Feast</w:t>
      </w:r>
    </w:p>
    <w:p>
      <w:pPr/>
      <w:r>
        <w:rPr>
          <w:lang w:val="en_US" w:bidi="en_US"/>
        </w:rPr>
      </w:r>
      <w:r>
        <w:rPr>
          <w:lang w:val="en_US" w:bidi="en_US"/>
        </w:rPr>
        <w:t xml:space="preserve">The term </w:t>
      </w:r>
      <w:r>
        <w:rPr>
          <w:i/>
          <w:lang w:val="en_US" w:bidi="en_US"/>
        </w:rPr>
        <w:t>Passover</w:t>
      </w:r>
      <w:r>
        <w:rPr>
          <w:lang w:val="en_US" w:bidi="en_US"/>
        </w:rPr>
        <w:t xml:space="preserve"> also occurred in 2:41. See how you translated it there.</w:t>
      </w:r>
      <w:r>
        <w:rPr>
          <w:lang w:val="en_US" w:bidi="en_US"/>
        </w:rPr>
      </w:r>
      <w:r>
        <w:rPr>
          <w:lang w:val="en_US" w:bidi="en_US"/>
        </w:rPr>
      </w:r>
    </w:p>
    <w:p>
      <w:pPr/>
      <w:r>
        <w:rPr>
          <w:lang w:val="en_US" w:bidi="en_US"/>
        </w:rPr>
      </w:r>
    </w:p>
    <w:p>
      <w:pPr>
        <w:pStyle w:val="Heading2"/>
      </w:pPr>
      <w:r>
        <w:rPr>
          <w:lang w:val="en_US" w:bidi="en_US"/>
        </w:rPr>
        <w:t>Luke 22:2</w:t>
      </w:r>
      <w:r>
        <w:rPr>
          <w:lang w:val="en_US" w:bidi="en_US"/>
        </w:rPr>
      </w:r>
    </w:p>
    <w:p>
      <w:pPr>
        <w:pStyle w:val="Heading4"/>
      </w:pPr>
      <w:r>
        <w:rPr>
          <w:lang w:val="en_US" w:bidi="en_US"/>
        </w:rPr>
        <w:t>Section 22:1–6: Judas told the Jewish leaders that he would betray Jesus to them</w:t>
      </w:r>
    </w:p>
    <w:p>
      <w:pPr/>
      <w:r>
        <w:rPr>
          <w:lang w:val="en_US" w:bidi="en_US"/>
        </w:rPr>
      </w:r>
      <w:r>
        <w:rPr>
          <w:lang w:val="en_US" w:bidi="en_US"/>
        </w:rPr>
        <w:t>The Jewish leaders wanted to get rid of Jesus in a private way so that the crowds would not oppose them. Before Passover began, they learned that Judas was willing to help them. Judas offered to lead them to Jesus at a time when the crowds were not with him so they could arrest him without causing trouble for themselves.</w:t>
      </w:r>
    </w:p>
    <w:p>
      <w:pPr/>
      <w:r>
        <w:rPr>
          <w:lang w:val="en_US" w:bidi="en_US"/>
        </w:rPr>
      </w:r>
      <w:r>
        <w:rPr>
          <w:lang w:val="en_US" w:bidi="en_US"/>
        </w:rPr>
        <w:t>The first verse of this section mentions the terms “Feast of Unleavened Bread” and “Passover.” These terms are names for a festival that the Jews celebrated each year. At one time, these terms referred to two different festivals. The festival of Passover lasted one day, and on the next day, the Feast of Unleavened Bread began and was celebrated for seven days. However, in Jesus’ lifetime, the two festivals were often considered to be one eight-day festival. Either term could be used for both festivals. See the notes at 22:1a–b for more information. During the festival time the Jews remembered how God delivered their ancestors from slavery in Egypt. See the notes on the “Passover” in 22:1a–b and 22:7a–b for more details.</w:t>
      </w:r>
    </w:p>
    <w:p>
      <w:pPr/>
      <w:r>
        <w:rPr>
          <w:lang w:val="en_US" w:bidi="en_US"/>
        </w:rPr>
      </w:r>
      <w:r>
        <w:rPr>
          <w:lang w:val="en_US" w:bidi="en_US"/>
        </w:rPr>
        <w:t>It is good to translate this section before you decide on a heading for it. Other examples of headings for this section are:</w:t>
      </w:r>
    </w:p>
    <w:p>
      <w:pPr/>
      <w:r>
        <w:rPr>
          <w:lang w:val="en_US" w:bidi="en_US"/>
        </w:rPr>
      </w:r>
      <w:r>
        <w:rPr>
          <w:lang w:val="en_US" w:bidi="en_US"/>
        </w:rPr>
        <w:t>The Plot to Kill Jesus (NRSV)</w:t>
      </w:r>
    </w:p>
    <w:p>
      <w:pPr/>
      <w:r>
        <w:rPr>
          <w:lang w:val="en_US" w:bidi="en_US"/>
        </w:rPr>
      </w:r>
      <w:r>
        <w:rPr>
          <w:lang w:val="en_US" w:bidi="en_US"/>
        </w:rPr>
        <w:t>Judas Agrees to Betray Jesus (NLT)</w:t>
      </w:r>
    </w:p>
    <w:p>
      <w:pPr/>
      <w:r>
        <w:rPr>
          <w:lang w:val="en_US" w:bidi="en_US"/>
        </w:rPr>
      </w:r>
      <w:r>
        <w:rPr>
          <w:lang w:val="en_US" w:bidi="en_US"/>
        </w:rPr>
        <w:t>There are parallel passages for this section in Matthew 26:1–5, Mark 14:1–2, and John 11:45–53.</w:t>
      </w:r>
    </w:p>
    <w:p>
      <w:pPr>
        <w:pStyle w:val="Heading5"/>
      </w:pPr>
      <w:r>
        <w:rPr>
          <w:lang w:val="en_US" w:bidi="en_US"/>
        </w:rPr>
        <w:t>22:2a–c</w:t>
      </w:r>
    </w:p>
    <w:p>
      <w:pPr/>
      <w:r>
        <w:rPr>
          <w:lang w:val="en_US" w:bidi="en_US"/>
        </w:rPr>
      </w:r>
      <w:r>
        <w:rPr>
          <w:lang w:val="en_US" w:bidi="en_US"/>
        </w:rPr>
        <w:t>In this verse, the clause in 22:2c is the reason for 22:2a–b. In some language it may be more natural to reverse the order of clauses so that the reason comes before the resulting action. See the General Comment on 22:2a–c at the end of 22:2c for examples.</w:t>
      </w:r>
    </w:p>
    <w:p>
      <w:pPr>
        <w:pStyle w:val="Heading5"/>
      </w:pPr>
      <w:r>
        <w:rPr>
          <w:lang w:val="en_US" w:bidi="en_US"/>
        </w:rPr>
        <w:t>22:2a</w:t>
      </w:r>
    </w:p>
    <w:p>
      <w:pPr/>
      <w:r>
        <w:rPr>
          <w:lang w:val="en_US" w:bidi="en_US"/>
        </w:rPr>
      </w:r>
      <w:r>
        <w:rPr>
          <w:b/>
          <w:lang w:val="en_US" w:bidi="en_US"/>
        </w:rPr>
        <w:t>and the chief priests and scribes</w:t>
      </w:r>
    </w:p>
    <w:p>
      <w:pPr>
        <w:pStyle w:val="ListBullet"/>
        <w:spacing w:line="240" w:lineRule="auto"/>
        <w:ind w:left="720"/>
      </w:pPr>
      <w:r>
        <w:rPr>
          <w:lang w:val="en_US" w:bidi="en_US"/>
        </w:rPr>
      </w:r>
      <w:r>
        <w:rPr>
          <w:lang w:val="en_US" w:bidi="en_US"/>
        </w:rPr>
        <w:t>The leaders of the priests and the teachers of the law</w:t>
      </w:r>
    </w:p>
    <w:p>
      <w:pPr>
        <w:pStyle w:val="ListBullet"/>
        <w:spacing w:line="240" w:lineRule="auto"/>
        <w:ind w:left="720"/>
      </w:pPr>
      <w:r>
        <w:rPr>
          <w:lang w:val="en_US" w:bidi="en_US"/>
        </w:rPr>
      </w:r>
      <w:r>
        <w:rPr>
          <w:lang w:val="en_US" w:bidi="en_US"/>
        </w:rPr>
        <w:t>the leading priests and the experts in the law</w:t>
      </w:r>
    </w:p>
    <w:p>
      <w:pPr/>
      <w:r>
        <w:rPr>
          <w:lang w:val="en_US" w:bidi="en_US"/>
        </w:rPr>
      </w:r>
      <w:r>
        <w:rPr>
          <w:b/>
          <w:lang w:val="en_US" w:bidi="en_US"/>
        </w:rPr>
        <w:t>the chief priests and scribes:</w:t>
      </w:r>
      <w:r>
        <w:rPr>
          <w:lang w:val="en_US" w:bidi="en_US"/>
        </w:rPr>
        <w:t xml:space="preserve"> The terms </w:t>
      </w:r>
      <w:r>
        <w:rPr>
          <w:i/>
          <w:lang w:val="en_US" w:bidi="en_US"/>
        </w:rPr>
        <w:t>chief priests</w:t>
      </w:r>
      <w:r>
        <w:rPr>
          <w:lang w:val="en_US" w:bidi="en_US"/>
        </w:rPr>
        <w:t xml:space="preserve"> and </w:t>
      </w:r>
      <w:r>
        <w:rPr>
          <w:i/>
          <w:lang w:val="en_US" w:bidi="en_US"/>
        </w:rPr>
        <w:t>scribes</w:t>
      </w:r>
      <w:r>
        <w:rPr>
          <w:lang w:val="en_US" w:bidi="en_US"/>
        </w:rPr>
        <w:t xml:space="preserve"> refer to the Jewish religious leaders who were mentioned in 9:22, 19:47, 20:1, and 20:19. Translate the terms in the same way here. See the notes on </w:t>
      </w:r>
      <w:r>
        <w:rPr>
          <w:i/>
          <w:lang w:val="en_US" w:bidi="en_US"/>
        </w:rPr>
        <w:t>chief priests</w:t>
      </w:r>
      <w:r>
        <w:rPr>
          <w:lang w:val="en_US" w:bidi="en_US"/>
        </w:rPr>
        <w:t xml:space="preserve"> and </w:t>
      </w:r>
      <w:r>
        <w:rPr>
          <w:i/>
          <w:lang w:val="en_US" w:bidi="en_US"/>
        </w:rPr>
        <w:t>scribes</w:t>
      </w:r>
      <w:r>
        <w:rPr>
          <w:lang w:val="en_US" w:bidi="en_US"/>
        </w:rPr>
        <w:t xml:space="preserve"> at 19:47b–d for translation advice. See also priest and teacher of the law in the Glossary for more information.</w:t>
      </w:r>
    </w:p>
    <w:p>
      <w:pPr>
        <w:pStyle w:val="Heading5"/>
      </w:pPr>
      <w:r>
        <w:rPr>
          <w:lang w:val="en_US" w:bidi="en_US"/>
        </w:rPr>
        <w:t>22:2b</w:t>
      </w:r>
    </w:p>
    <w:p>
      <w:pPr/>
      <w:r>
        <w:rPr>
          <w:lang w:val="en_US" w:bidi="en_US"/>
        </w:rPr>
      </w:r>
      <w:r>
        <w:rPr>
          <w:b/>
          <w:lang w:val="en_US" w:bidi="en_US"/>
        </w:rPr>
        <w:t>were looking for a way to put Jesus to death;</w:t>
      </w:r>
    </w:p>
    <w:p>
      <w:pPr>
        <w:pStyle w:val="ListBullet"/>
        <w:spacing w:line="240" w:lineRule="auto"/>
        <w:ind w:left="720"/>
      </w:pPr>
      <w:r>
        <w:rPr>
          <w:lang w:val="en_US" w:bidi="en_US"/>
        </w:rPr>
      </w:r>
      <w:r>
        <w:rPr>
          <w:lang w:val="en_US" w:bidi="en_US"/>
        </w:rPr>
        <w:t xml:space="preserve">were trying to find a way to cause Jesus to be killed </w:t>
      </w:r>
      <w:r>
        <w:rPr>
          <w:lang w:val="en_US" w:bidi="en_US"/>
        </w:rPr>
        <w:t>privately/secretly</w:t>
      </w:r>
    </w:p>
    <w:p>
      <w:pPr>
        <w:pStyle w:val="ListBullet"/>
        <w:spacing w:line="240" w:lineRule="auto"/>
        <w:ind w:left="720"/>
      </w:pPr>
      <w:r>
        <w:rPr>
          <w:lang w:val="en_US" w:bidi="en_US"/>
        </w:rPr>
      </w:r>
      <w:r>
        <w:rPr>
          <w:lang w:val="en_US" w:bidi="en_US"/>
        </w:rPr>
        <w:t>wanted to discover a way to have Jesus killed/executed.</w:t>
      </w:r>
    </w:p>
    <w:p>
      <w:pPr>
        <w:pStyle w:val="ListBullet"/>
        <w:spacing w:line="240" w:lineRule="auto"/>
        <w:ind w:left="720"/>
      </w:pPr>
      <w:r>
        <w:rPr>
          <w:lang w:val="en_US" w:bidi="en_US"/>
        </w:rPr>
      </w:r>
      <w:r>
        <w:rPr>
          <w:lang w:val="en_US" w:bidi="en_US"/>
        </w:rPr>
        <w:t xml:space="preserve">searched for some way </w:t>
      </w:r>
      <w:r>
        <w:rPr>
          <w:lang w:val="en_US" w:bidi="en_US"/>
        </w:rPr>
        <w:t>to cause</w:t>
      </w:r>
      <w:r>
        <w:rPr>
          <w:lang w:val="en_US" w:bidi="en_US"/>
        </w:rPr>
        <w:t xml:space="preserve"> </w:t>
      </w:r>
      <w:r>
        <w:rPr>
          <w:lang w:val="en_US" w:bidi="en_US"/>
        </w:rPr>
        <w:t>the rulers/authorities</w:t>
      </w:r>
      <w:r>
        <w:rPr>
          <w:lang w:val="en_US" w:bidi="en_US"/>
        </w:rPr>
        <w:t xml:space="preserve"> to execute Jesus.</w:t>
      </w:r>
    </w:p>
    <w:p>
      <w:pPr/>
      <w:r>
        <w:rPr>
          <w:lang w:val="en_US" w:bidi="en_US"/>
        </w:rPr>
      </w:r>
      <w:r>
        <w:rPr>
          <w:b/>
          <w:lang w:val="en_US" w:bidi="en_US"/>
        </w:rPr>
        <w:t>were looking for a way to put Jesus to death:</w:t>
      </w:r>
      <w:r>
        <w:rPr>
          <w:lang w:val="en_US" w:bidi="en_US"/>
        </w:rPr>
        <w:t xml:space="preserve"> The Greek phrase that the BSB translates as </w:t>
      </w:r>
      <w:r>
        <w:rPr>
          <w:i/>
          <w:lang w:val="en_US" w:bidi="en_US"/>
        </w:rPr>
        <w:t>were looking for a way to put Jesus to death</w:t>
      </w:r>
      <w:r>
        <w:rPr>
          <w:lang w:val="en_US" w:bidi="en_US"/>
        </w:rPr>
        <w:t xml:space="preserve"> is more literally “were seeking how they could destroy/kill him.” It implies that they wanted to cause Jesus to be arrested and executed. Other ways to translate this are:</w:t>
      </w:r>
    </w:p>
    <w:p>
      <w:pPr/>
      <w:r>
        <w:rPr>
          <w:lang w:val="en_US" w:bidi="en_US"/>
        </w:rPr>
      </w:r>
      <w:r>
        <w:rPr>
          <w:lang w:val="en_US" w:bidi="en_US"/>
        </w:rPr>
        <w:t>were seeking how they might put Him to death (NASB)</w:t>
      </w:r>
    </w:p>
    <w:p>
      <w:pPr/>
      <w:r>
        <w:rPr>
          <w:lang w:val="en_US" w:bidi="en_US"/>
        </w:rPr>
      </w:r>
      <w:r>
        <w:rPr>
          <w:lang w:val="en_US" w:bidi="en_US"/>
        </w:rPr>
        <w:t>were trying to find some way to execute Jesus (NET)</w:t>
      </w:r>
    </w:p>
    <w:p>
      <w:pPr/>
      <w:r>
        <w:rPr>
          <w:lang w:val="en_US" w:bidi="en_US"/>
        </w:rPr>
      </w:r>
      <w:r>
        <w:rPr>
          <w:lang w:val="en_US" w:bidi="en_US"/>
        </w:rPr>
        <w:t>The next clause (22:2c) implies that they wanted to get rid of Jesus privately and secretly without causing trouble for themselves. The Jewish leaders could not execute Jesus, but they wanted to cause the Roman authorities to do that. In some languages it may be necessary to add this implied information here in 22:2b. For example:</w:t>
      </w:r>
    </w:p>
    <w:p>
      <w:pPr/>
      <w:r>
        <w:rPr>
          <w:lang w:val="en_US" w:bidi="en_US"/>
        </w:rPr>
      </w:r>
      <w:r>
        <w:rPr>
          <w:lang w:val="en_US" w:bidi="en_US"/>
        </w:rPr>
        <w:t xml:space="preserve">were looking for a </w:t>
      </w:r>
      <w:r>
        <w:rPr>
          <w:lang w:val="en_US" w:bidi="en_US"/>
        </w:rPr>
        <w:t>private</w:t>
      </w:r>
      <w:r>
        <w:rPr>
          <w:lang w:val="en_US" w:bidi="en_US"/>
        </w:rPr>
        <w:t xml:space="preserve"> way to cause Jesus to be executed</w:t>
      </w:r>
    </w:p>
    <w:p>
      <w:pPr/>
      <w:r>
        <w:rPr>
          <w:lang w:val="en_US" w:bidi="en_US"/>
        </w:rPr>
      </w:r>
      <w:r>
        <w:rPr>
          <w:lang w:val="en_US" w:bidi="en_US"/>
        </w:rPr>
        <w:t>were trying to find a way of putting Jesus to death secretly (GNT)</w:t>
      </w:r>
    </w:p>
    <w:p>
      <w:pPr/>
      <w:r>
        <w:rPr>
          <w:lang w:val="en_US" w:bidi="en_US"/>
        </w:rPr>
      </w:r>
      <w:r>
        <w:rPr>
          <w:lang w:val="en_US" w:bidi="en_US"/>
        </w:rPr>
        <w:t xml:space="preserve">wanted to discover how to cause </w:t>
      </w:r>
      <w:r>
        <w:rPr>
          <w:lang w:val="en_US" w:bidi="en_US"/>
        </w:rPr>
        <w:t>the rulers</w:t>
      </w:r>
      <w:r>
        <w:rPr>
          <w:lang w:val="en_US" w:bidi="en_US"/>
        </w:rPr>
        <w:t xml:space="preserve"> to execute Jesus</w:t>
      </w:r>
    </w:p>
    <w:p>
      <w:pPr/>
      <w:r>
        <w:rPr>
          <w:lang w:val="en_US" w:bidi="en_US"/>
        </w:rPr>
      </w:r>
      <w:r>
        <w:rPr>
          <w:lang w:val="en_US" w:bidi="en_US"/>
        </w:rPr>
        <w:t>It may be helpful to refer to the notes on the similar phrases “were intent on killing him” and “killing him” in 19:47b–d.</w:t>
      </w:r>
    </w:p>
    <w:p>
      <w:pPr>
        <w:pStyle w:val="Heading5"/>
      </w:pPr>
      <w:r>
        <w:rPr>
          <w:lang w:val="en_US" w:bidi="en_US"/>
        </w:rPr>
        <w:t>22:2c</w:t>
      </w:r>
    </w:p>
    <w:p>
      <w:pPr/>
      <w:r>
        <w:rPr>
          <w:lang w:val="en_US" w:bidi="en_US"/>
        </w:rPr>
      </w:r>
      <w:r>
        <w:rPr>
          <w:b/>
          <w:lang w:val="en_US" w:bidi="en_US"/>
        </w:rPr>
        <w:t>for they feared the people.</w:t>
      </w:r>
    </w:p>
    <w:p>
      <w:pPr>
        <w:pStyle w:val="ListBullet"/>
        <w:spacing w:line="240" w:lineRule="auto"/>
        <w:ind w:left="720"/>
      </w:pPr>
      <w:r>
        <w:rPr>
          <w:lang w:val="en_US" w:bidi="en_US"/>
        </w:rPr>
      </w:r>
      <w:r>
        <w:rPr>
          <w:lang w:val="en_US" w:bidi="en_US"/>
        </w:rPr>
        <w:t xml:space="preserve">because they feared the crowd/people </w:t>
      </w:r>
      <w:r>
        <w:rPr>
          <w:lang w:val="en_US" w:bidi="en_US"/>
        </w:rPr>
        <w:t>who listened to Jesus</w:t>
      </w:r>
      <w:r>
        <w:rPr>
          <w:lang w:val="en_US" w:bidi="en_US"/>
        </w:rPr>
        <w:t>.</w:t>
      </w:r>
    </w:p>
    <w:p>
      <w:pPr>
        <w:pStyle w:val="ListBullet"/>
        <w:spacing w:line="240" w:lineRule="auto"/>
        <w:ind w:left="720"/>
      </w:pPr>
      <w:r>
        <w:rPr>
          <w:lang w:val="en_US" w:bidi="en_US"/>
        </w:rPr>
      </w:r>
      <w:r>
        <w:rPr>
          <w:lang w:val="en_US" w:bidi="en_US"/>
        </w:rPr>
        <w:t>They did not want to arrest him in public</w:t>
      </w:r>
      <w:r>
        <w:rPr>
          <w:lang w:val="en_US" w:bidi="en_US"/>
        </w:rPr>
        <w:t xml:space="preserve"> because they were afraid that the crowd </w:t>
      </w:r>
      <w:r>
        <w:rPr>
          <w:lang w:val="en_US" w:bidi="en_US"/>
        </w:rPr>
        <w:t>of Jesus’ supporters</w:t>
      </w:r>
      <w:r>
        <w:rPr>
          <w:lang w:val="en_US" w:bidi="en_US"/>
        </w:rPr>
        <w:t xml:space="preserve"> </w:t>
      </w:r>
      <w:r>
        <w:rPr>
          <w:lang w:val="en_US" w:bidi="en_US"/>
        </w:rPr>
        <w:t>would riot and hurt/kill them</w:t>
      </w:r>
      <w:r>
        <w:rPr>
          <w:lang w:val="en_US" w:bidi="en_US"/>
        </w:rPr>
        <w:t>.</w:t>
      </w:r>
    </w:p>
    <w:p>
      <w:pPr/>
      <w:r>
        <w:rPr>
          <w:lang w:val="en_US" w:bidi="en_US"/>
        </w:rPr>
      </w:r>
      <w:r>
        <w:rPr>
          <w:b/>
          <w:lang w:val="en_US" w:bidi="en_US"/>
        </w:rPr>
        <w:t>for they feared the people:</w:t>
      </w:r>
      <w:r>
        <w:rPr>
          <w:lang w:val="en_US" w:bidi="en_US"/>
        </w:rPr>
        <w:t xml:space="preserve"> The Greek conjunction that the BSB translates as </w:t>
      </w:r>
      <w:r>
        <w:rPr>
          <w:i/>
          <w:lang w:val="en_US" w:bidi="en_US"/>
        </w:rPr>
        <w:t>for</w:t>
      </w:r>
      <w:r>
        <w:rPr>
          <w:lang w:val="en_US" w:bidi="en_US"/>
        </w:rPr>
        <w:t xml:space="preserve"> introduces the reason that the Jewish leaders tried to find a private way to kill Jesus. They feared that the people who usually listened to him might fight for him if they knew that he was in danger.</w:t>
      </w:r>
    </w:p>
    <w:p>
      <w:pPr/>
      <w:r>
        <w:rPr>
          <w:lang w:val="en_US" w:bidi="en_US"/>
        </w:rPr>
      </w:r>
      <w:r>
        <w:rPr>
          <w:lang w:val="en_US" w:bidi="en_US"/>
        </w:rPr>
        <w:t>In some languages it may be necessary to make the connection with 22:2a–b more explicit. For example:</w:t>
      </w:r>
    </w:p>
    <w:p>
      <w:pPr/>
      <w:r>
        <w:rPr>
          <w:lang w:val="en_US" w:bidi="en_US"/>
        </w:rPr>
      </w:r>
      <w:r>
        <w:rPr>
          <w:lang w:val="en_US" w:bidi="en_US"/>
        </w:rPr>
        <w:t>They did not want to arrest him publicly,</w:t>
      </w:r>
      <w:r>
        <w:rPr>
          <w:lang w:val="en_US" w:bidi="en_US"/>
        </w:rPr>
        <w:t xml:space="preserve"> for they were afraid of what the people would do to them.</w:t>
      </w:r>
    </w:p>
    <w:p>
      <w:pPr/>
      <w:r>
        <w:rPr>
          <w:lang w:val="en_US" w:bidi="en_US"/>
        </w:rPr>
      </w:r>
      <w:r>
        <w:rPr>
          <w:lang w:val="en_US" w:bidi="en_US"/>
        </w:rPr>
        <w:t>Here is a different way to make the connection explicit:</w:t>
      </w:r>
    </w:p>
    <w:p>
      <w:pPr/>
      <w:r>
        <w:rPr>
          <w:lang w:val="en_US" w:bidi="en_US"/>
        </w:rPr>
      </w:r>
      <w:r>
        <w:rPr>
          <w:lang w:val="en_US" w:bidi="en_US"/>
        </w:rPr>
        <w:t>…they wanted to kill him without starting a riot, a possibility they greatly feared. (NLT96)</w:t>
      </w:r>
    </w:p>
    <w:p>
      <w:pPr/>
      <w:r>
        <w:rPr>
          <w:lang w:val="en_US" w:bidi="en_US"/>
        </w:rPr>
      </w:r>
      <w:r>
        <w:rPr>
          <w:lang w:val="en_US" w:bidi="en_US"/>
        </w:rPr>
        <w:t>See the note on 20:19d for a similar example.</w:t>
      </w:r>
    </w:p>
    <w:p>
      <w:pPr>
        <w:pStyle w:val="Heading6"/>
      </w:pPr>
      <w:r>
        <w:rPr>
          <w:b/>
          <w:lang w:val="en_US" w:bidi="en_US"/>
        </w:rPr>
        <w:t>General Comment on 22:2a–c</w:t>
      </w:r>
    </w:p>
    <w:p>
      <w:pPr/>
      <w:r>
        <w:rPr>
          <w:lang w:val="en_US" w:bidi="en_US"/>
        </w:rPr>
      </w:r>
      <w:r>
        <w:rPr>
          <w:lang w:val="en_US" w:bidi="en_US"/>
        </w:rPr>
        <w:t>In some languages it may be necessary to change the order of clauses in this verse and place the reason before the result. For example:</w:t>
      </w:r>
    </w:p>
    <w:p>
      <w:pPr/>
      <w:r>
        <w:rPr>
          <w:lang w:val="en_US" w:bidi="en_US"/>
        </w:rPr>
      </w:r>
      <w:r>
        <w:rPr>
          <w:vertAlign w:val="superscript"/>
          <w:lang w:val="en_US" w:bidi="en_US"/>
        </w:rPr>
        <w:t>2a</w:t>
      </w:r>
      <w:r>
        <w:rPr>
          <w:lang w:val="en_US" w:bidi="en_US"/>
        </w:rPr>
        <w:t xml:space="preserve">The chief priests and the scribes </w:t>
      </w:r>
      <w:r>
        <w:rPr>
          <w:vertAlign w:val="superscript"/>
          <w:lang w:val="en_US" w:bidi="en_US"/>
        </w:rPr>
        <w:t>2c</w:t>
      </w:r>
      <w:r>
        <w:rPr>
          <w:lang w:val="en_US" w:bidi="en_US"/>
        </w:rPr>
        <w:t xml:space="preserve">were afraid of the people, </w:t>
      </w:r>
      <w:r>
        <w:rPr>
          <w:vertAlign w:val="superscript"/>
          <w:lang w:val="en_US" w:bidi="en_US"/>
        </w:rPr>
        <w:t>2b</w:t>
      </w:r>
      <w:r>
        <w:rPr>
          <w:lang w:val="en_US" w:bidi="en_US"/>
        </w:rPr>
        <w:t>and so they were trying to find a way of putting Jesus to death secretly. (GNT)</w:t>
      </w:r>
    </w:p>
    <w:p>
      <w:pPr/>
      <w:r>
        <w:rPr>
          <w:lang w:val="en_US" w:bidi="en_US"/>
        </w:rPr>
      </w:r>
      <w:r>
        <w:rPr>
          <w:lang w:val="en_US" w:bidi="en_US"/>
        </w:rPr>
        <w:t xml:space="preserve">Because </w:t>
      </w:r>
      <w:r>
        <w:rPr>
          <w:vertAlign w:val="superscript"/>
          <w:lang w:val="en_US" w:bidi="en_US"/>
        </w:rPr>
        <w:t>2a</w:t>
      </w:r>
      <w:r>
        <w:rPr>
          <w:lang w:val="en_US" w:bidi="en_US"/>
        </w:rPr>
        <w:t xml:space="preserve">the chief priests and the scribes </w:t>
      </w:r>
      <w:r>
        <w:rPr>
          <w:vertAlign w:val="superscript"/>
          <w:lang w:val="en_US" w:bidi="en_US"/>
        </w:rPr>
        <w:t>2c</w:t>
      </w:r>
      <w:r>
        <w:rPr>
          <w:lang w:val="en_US" w:bidi="en_US"/>
        </w:rPr>
        <w:t xml:space="preserve">feared the people </w:t>
      </w:r>
      <w:r>
        <w:rPr>
          <w:lang w:val="en_US" w:bidi="en_US"/>
        </w:rPr>
        <w:t>would attack them if they arrested Jesus in public</w:t>
      </w:r>
      <w:r>
        <w:rPr>
          <w:lang w:val="en_US" w:bidi="en_US"/>
        </w:rPr>
        <w:t xml:space="preserve">, </w:t>
      </w:r>
      <w:r>
        <w:rPr>
          <w:vertAlign w:val="superscript"/>
          <w:lang w:val="en_US" w:bidi="en_US"/>
        </w:rPr>
        <w:t>2b</w:t>
      </w:r>
      <w:r>
        <w:rPr>
          <w:lang w:val="en_US" w:bidi="en_US"/>
        </w:rPr>
        <w:t xml:space="preserve">they looked for a </w:t>
      </w:r>
      <w:r>
        <w:rPr>
          <w:lang w:val="en_US" w:bidi="en_US"/>
        </w:rPr>
        <w:t>secret</w:t>
      </w:r>
      <w:r>
        <w:rPr>
          <w:lang w:val="en_US" w:bidi="en_US"/>
        </w:rPr>
        <w:t xml:space="preserve"> way to kill Jesus.</w:t>
      </w:r>
      <w:r>
        <w:rPr>
          <w:lang w:val="en_US" w:bidi="en_US"/>
        </w:rPr>
      </w:r>
      <w:r>
        <w:rPr>
          <w:lang w:val="en_US" w:bidi="en_US"/>
        </w:rPr>
      </w:r>
    </w:p>
    <w:p>
      <w:pPr/>
      <w:r>
        <w:rPr>
          <w:lang w:val="en_US" w:bidi="en_US"/>
        </w:rPr>
      </w:r>
    </w:p>
    <w:p>
      <w:pPr>
        <w:pStyle w:val="Heading2"/>
      </w:pPr>
      <w:r>
        <w:rPr>
          <w:lang w:val="en_US" w:bidi="en_US"/>
        </w:rPr>
        <w:t>Luke 22:3</w:t>
      </w:r>
      <w:r>
        <w:rPr>
          <w:lang w:val="en_US" w:bidi="en_US"/>
        </w:rPr>
      </w:r>
    </w:p>
    <w:p>
      <w:pPr>
        <w:pStyle w:val="Heading4"/>
      </w:pPr>
      <w:r>
        <w:rPr>
          <w:lang w:val="en_US" w:bidi="en_US"/>
        </w:rPr>
        <w:t>Section 22:1–6: Judas told the Jewish leaders that he would betray Jesus to them</w:t>
      </w:r>
    </w:p>
    <w:p>
      <w:pPr/>
      <w:r>
        <w:rPr>
          <w:lang w:val="en_US" w:bidi="en_US"/>
        </w:rPr>
      </w:r>
      <w:r>
        <w:rPr>
          <w:lang w:val="en_US" w:bidi="en_US"/>
        </w:rPr>
        <w:t>The Jewish leaders wanted to get rid of Jesus in a private way so that the crowds would not oppose them. Before Passover began, they learned that Judas was willing to help them. Judas offered to lead them to Jesus at a time when the crowds were not with him so they could arrest him without causing trouble for themselves.</w:t>
      </w:r>
    </w:p>
    <w:p>
      <w:pPr/>
      <w:r>
        <w:rPr>
          <w:lang w:val="en_US" w:bidi="en_US"/>
        </w:rPr>
      </w:r>
      <w:r>
        <w:rPr>
          <w:lang w:val="en_US" w:bidi="en_US"/>
        </w:rPr>
        <w:t>The first verse of this section mentions the terms “Feast of Unleavened Bread” and “Passover.” These terms are names for a festival that the Jews celebrated each year. At one time, these terms referred to two different festivals. The festival of Passover lasted one day, and on the next day, the Feast of Unleavened Bread began and was celebrated for seven days. However, in Jesus’ lifetime, the two festivals were often considered to be one eight-day festival. Either term could be used for both festivals. See the notes at 22:1a–b for more information. During the festival time the Jews remembered how God delivered their ancestors from slavery in Egypt. See the notes on the “Passover” in 22:1a–b and 22:7a–b for more details.</w:t>
      </w:r>
    </w:p>
    <w:p>
      <w:pPr/>
      <w:r>
        <w:rPr>
          <w:lang w:val="en_US" w:bidi="en_US"/>
        </w:rPr>
      </w:r>
      <w:r>
        <w:rPr>
          <w:lang w:val="en_US" w:bidi="en_US"/>
        </w:rPr>
        <w:t>It is good to translate this section before you decide on a heading for it. Other examples of headings for this section are:</w:t>
      </w:r>
    </w:p>
    <w:p>
      <w:pPr/>
      <w:r>
        <w:rPr>
          <w:lang w:val="en_US" w:bidi="en_US"/>
        </w:rPr>
      </w:r>
      <w:r>
        <w:rPr>
          <w:lang w:val="en_US" w:bidi="en_US"/>
        </w:rPr>
        <w:t>The Plot to Kill Jesus (NRSV)</w:t>
      </w:r>
    </w:p>
    <w:p>
      <w:pPr/>
      <w:r>
        <w:rPr>
          <w:lang w:val="en_US" w:bidi="en_US"/>
        </w:rPr>
      </w:r>
      <w:r>
        <w:rPr>
          <w:lang w:val="en_US" w:bidi="en_US"/>
        </w:rPr>
        <w:t>Judas Agrees to Betray Jesus (NLT)</w:t>
      </w:r>
    </w:p>
    <w:p>
      <w:pPr/>
      <w:r>
        <w:rPr>
          <w:lang w:val="en_US" w:bidi="en_US"/>
        </w:rPr>
      </w:r>
      <w:r>
        <w:rPr>
          <w:lang w:val="en_US" w:bidi="en_US"/>
        </w:rPr>
        <w:t>There are parallel passages for this section in Matthew 26:1–5, Mark 14:1–2, and John 11:45–53.</w:t>
      </w:r>
    </w:p>
    <w:p>
      <w:pPr>
        <w:pStyle w:val="Heading5"/>
      </w:pPr>
      <w:r>
        <w:rPr>
          <w:lang w:val="en_US" w:bidi="en_US"/>
        </w:rPr>
        <w:t>22:3a</w:t>
      </w:r>
    </w:p>
    <w:p>
      <w:pPr/>
      <w:r>
        <w:rPr>
          <w:lang w:val="en_US" w:bidi="en_US"/>
        </w:rPr>
      </w:r>
      <w:r>
        <w:rPr>
          <w:b/>
          <w:lang w:val="en_US" w:bidi="en_US"/>
        </w:rPr>
        <w:t>Then Satan entered Judas Iscariot,</w:t>
      </w:r>
    </w:p>
    <w:p>
      <w:pPr>
        <w:pStyle w:val="ListBullet"/>
        <w:spacing w:line="240" w:lineRule="auto"/>
        <w:ind w:left="720"/>
      </w:pPr>
      <w:r>
        <w:rPr>
          <w:lang w:val="en_US" w:bidi="en_US"/>
        </w:rPr>
      </w:r>
      <w:r>
        <w:rPr>
          <w:lang w:val="en_US" w:bidi="en_US"/>
        </w:rPr>
        <w:t xml:space="preserve">¶ Then Satan entered </w:t>
      </w:r>
      <w:r>
        <w:rPr>
          <w:lang w:val="en_US" w:bidi="en_US"/>
        </w:rPr>
        <w:t>the heart/mind of</w:t>
      </w:r>
      <w:r>
        <w:rPr>
          <w:lang w:val="en_US" w:bidi="en_US"/>
        </w:rPr>
        <w:t xml:space="preserve"> Judas Iscariot,</w:t>
      </w:r>
    </w:p>
    <w:p>
      <w:pPr>
        <w:pStyle w:val="ListBullet"/>
        <w:spacing w:line="240" w:lineRule="auto"/>
        <w:ind w:left="720"/>
      </w:pPr>
      <w:r>
        <w:rPr>
          <w:lang w:val="en_US" w:bidi="en_US"/>
        </w:rPr>
      </w:r>
      <w:r>
        <w:rPr>
          <w:lang w:val="en_US" w:bidi="en_US"/>
        </w:rPr>
        <w:t xml:space="preserve">¶ At that time Satan began to control Judas, </w:t>
      </w:r>
      <w:r>
        <w:rPr>
          <w:lang w:val="en_US" w:bidi="en_US"/>
        </w:rPr>
        <w:t>whom people</w:t>
      </w:r>
      <w:r>
        <w:rPr>
          <w:lang w:val="en_US" w:bidi="en_US"/>
        </w:rPr>
        <w:t xml:space="preserve"> called “Iscariot.”</w:t>
      </w:r>
    </w:p>
    <w:p>
      <w:pPr/>
      <w:r>
        <w:rPr>
          <w:lang w:val="en_US" w:bidi="en_US"/>
        </w:rPr>
      </w:r>
      <w:r>
        <w:rPr>
          <w:b/>
          <w:lang w:val="en_US" w:bidi="en_US"/>
        </w:rPr>
        <w:t>Satan entered Judas Iscariot:</w:t>
      </w:r>
      <w:r>
        <w:rPr>
          <w:lang w:val="en_US" w:bidi="en_US"/>
        </w:rPr>
        <w:t xml:space="preserve"> The clause </w:t>
      </w:r>
      <w:r>
        <w:rPr>
          <w:i/>
          <w:lang w:val="en_US" w:bidi="en_US"/>
        </w:rPr>
        <w:t>Satan entered Judas Iscariot</w:t>
      </w:r>
      <w:r>
        <w:rPr>
          <w:lang w:val="en_US" w:bidi="en_US"/>
        </w:rPr>
        <w:t xml:space="preserve"> means that Satan began to control Judas by influencing his mind and heart. In this context the phrase probably does not describe the type of control that a person cannot resist, as in demon possession. Judas allowed Satan to influence and control him. Other ways to translate this are:</w:t>
      </w:r>
    </w:p>
    <w:p>
      <w:pPr/>
      <w:r>
        <w:rPr>
          <w:lang w:val="en_US" w:bidi="en_US"/>
        </w:rPr>
      </w:r>
      <w:r>
        <w:rPr>
          <w:lang w:val="en_US" w:bidi="en_US"/>
        </w:rPr>
        <w:t>Satan began to control him</w:t>
      </w:r>
      <w:r>
        <w:rPr>
          <w:lang w:val="en_US" w:bidi="en_US"/>
        </w:rPr>
        <w:t>Western Bukidnon Manobo back translation on TW.</w:t>
      </w:r>
    </w:p>
    <w:p>
      <w:pPr/>
      <w:r>
        <w:rPr>
          <w:lang w:val="en_US" w:bidi="en_US"/>
        </w:rPr>
      </w:r>
      <w:r>
        <w:rPr>
          <w:lang w:val="en_US" w:bidi="en_US"/>
        </w:rPr>
        <w:t>Satan entered the heart/mind of Judas Iscariot</w:t>
      </w:r>
    </w:p>
    <w:p>
      <w:pPr/>
      <w:r>
        <w:rPr>
          <w:lang w:val="en_US" w:bidi="en_US"/>
        </w:rPr>
      </w:r>
      <w:r>
        <w:rPr>
          <w:lang w:val="en_US" w:bidi="en_US"/>
        </w:rPr>
        <w:t>Satan began to use Judas Iscariot</w:t>
      </w:r>
    </w:p>
    <w:p>
      <w:pPr/>
      <w:r>
        <w:rPr>
          <w:lang w:val="en_US" w:bidi="en_US"/>
        </w:rPr>
      </w:r>
      <w:r>
        <w:rPr>
          <w:lang w:val="en_US" w:bidi="en_US"/>
        </w:rPr>
        <w:t>In some languages there is an idiom to describe this type of control. Translate the phrase in a natural way in your language.</w:t>
      </w:r>
    </w:p>
    <w:p>
      <w:pPr/>
      <w:r>
        <w:rPr>
          <w:lang w:val="en_US" w:bidi="en_US"/>
        </w:rPr>
      </w:r>
      <w:r>
        <w:rPr>
          <w:b/>
          <w:lang w:val="en_US" w:bidi="en_US"/>
        </w:rPr>
        <w:t>Satan:</w:t>
      </w:r>
      <w:r>
        <w:rPr>
          <w:lang w:val="en_US" w:bidi="en_US"/>
        </w:rPr>
        <w:t xml:space="preserve"> The word </w:t>
      </w:r>
      <w:r>
        <w:rPr>
          <w:i/>
          <w:lang w:val="en_US" w:bidi="en_US"/>
        </w:rPr>
        <w:t>Satan</w:t>
      </w:r>
      <w:r>
        <w:rPr>
          <w:lang w:val="en_US" w:bidi="en_US"/>
        </w:rPr>
        <w:t xml:space="preserve"> is the Hebrew name of the chief or leader of all the evil spirits. In Hebrew his name means “enemy.” He is the enemy of God and God’s people. Here are some ways to translate </w:t>
      </w:r>
      <w:r>
        <w:rPr>
          <w:i/>
          <w:lang w:val="en_US" w:bidi="en_US"/>
        </w:rPr>
        <w:t>Satan</w:t>
      </w:r>
      <w:r>
        <w:rPr>
          <w:lang w:val="en_US" w:bidi="en_US"/>
        </w:rPr>
        <w:t>:</w:t>
      </w:r>
    </w:p>
    <w:p>
      <w:pPr>
        <w:pStyle w:val="ListBullet"/>
        <w:spacing w:line="240" w:lineRule="auto"/>
        <w:ind w:left="720"/>
      </w:pPr>
      <w:r>
        <w:rPr>
          <w:lang w:val="en_US" w:bidi="en_US"/>
        </w:rPr>
      </w:r>
      <w:r>
        <w:rPr>
          <w:lang w:val="en_US" w:bidi="en_US"/>
        </w:rPr>
        <w:t>Use a local name or idiom that refers to the chief of all demons. For example:</w:t>
      </w:r>
      <w:r>
        <w:rPr>
          <w:lang w:val="en_US" w:bidi="en_US"/>
        </w:rPr>
        <w:t>the left-handed one</w:t>
      </w:r>
      <w:r>
        <w:rPr>
          <w:lang w:val="en_US" w:bidi="en_US"/>
        </w:rPr>
        <w:t>the barking one</w:t>
      </w:r>
    </w:p>
    <w:p>
      <w:pPr>
        <w:pStyle w:val="ListBullet"/>
        <w:spacing w:line="240" w:lineRule="auto"/>
        <w:ind w:left="720"/>
      </w:pPr>
      <w:r>
        <w:rPr>
          <w:lang w:val="en_US" w:bidi="en_US"/>
        </w:rPr>
      </w:r>
      <w:r>
        <w:rPr>
          <w:lang w:val="en_US" w:bidi="en_US"/>
        </w:rPr>
        <w:t>Use a descriptive phrase such as:</w:t>
      </w:r>
      <w:r>
        <w:rPr>
          <w:lang w:val="en_US" w:bidi="en_US"/>
        </w:rPr>
        <w:t>the chief/leader of the evil spirits</w:t>
      </w:r>
      <w:r>
        <w:rPr>
          <w:lang w:val="en_US" w:bidi="en_US"/>
        </w:rPr>
        <w:t>the spirit enemy of God</w:t>
      </w:r>
    </w:p>
    <w:p>
      <w:pPr>
        <w:pStyle w:val="ListBullet"/>
        <w:spacing w:line="240" w:lineRule="auto"/>
        <w:ind w:left="720"/>
      </w:pPr>
      <w:r>
        <w:rPr>
          <w:lang w:val="en_US" w:bidi="en_US"/>
        </w:rPr>
      </w:r>
      <w:r>
        <w:rPr>
          <w:lang w:val="en_US" w:bidi="en_US"/>
        </w:rPr>
        <w:t xml:space="preserve">Transliterate the name </w:t>
      </w:r>
      <w:r>
        <w:rPr>
          <w:i/>
          <w:lang w:val="en_US" w:bidi="en_US"/>
        </w:rPr>
        <w:t>Satan</w:t>
      </w:r>
      <w:r>
        <w:rPr>
          <w:lang w:val="en_US" w:bidi="en_US"/>
        </w:rPr>
        <w:t xml:space="preserve"> or borrow a word from another language. If this word is not already known in your area, you may also want to add a descriptive phrase. For example:</w:t>
      </w:r>
      <w:r>
        <w:rPr>
          <w:lang w:val="en_US" w:bidi="en_US"/>
        </w:rPr>
        <w:t>Satanas, the ruler of demons</w:t>
      </w:r>
      <w:r>
        <w:rPr>
          <w:lang w:val="en_US" w:bidi="en_US"/>
        </w:rPr>
        <w:t>Shaitan</w:t>
      </w:r>
    </w:p>
    <w:p>
      <w:pPr/>
      <w:r>
        <w:rPr>
          <w:lang w:val="en_US" w:bidi="en_US"/>
        </w:rPr>
      </w:r>
      <w:r>
        <w:rPr>
          <w:lang w:val="en_US" w:bidi="en_US"/>
        </w:rPr>
        <w:t xml:space="preserve">If you transliterate </w:t>
      </w:r>
      <w:r>
        <w:rPr>
          <w:i/>
          <w:lang w:val="en_US" w:bidi="en_US"/>
        </w:rPr>
        <w:t>Satan</w:t>
      </w:r>
      <w:r>
        <w:rPr>
          <w:lang w:val="en_US" w:bidi="en_US"/>
        </w:rPr>
        <w:t xml:space="preserve"> or borrow a word from another language, be sure that it communicates the biblical meaning to people in your culture. It is important to check this in each biblical context.</w:t>
      </w:r>
    </w:p>
    <w:p>
      <w:pPr/>
      <w:r>
        <w:rPr>
          <w:lang w:val="en_US" w:bidi="en_US"/>
        </w:rPr>
      </w:r>
      <w:r>
        <w:rPr>
          <w:lang w:val="en_US" w:bidi="en_US"/>
        </w:rPr>
        <w:t>Use a term that will be acceptable to churches in the area. It is suggested that you also add a footnote or glossary entry that further explains who Satan is. For example:</w:t>
      </w:r>
    </w:p>
    <w:p>
      <w:pPr/>
      <w:r>
        <w:rPr>
          <w:lang w:val="en_US" w:bidi="en_US"/>
        </w:rPr>
      </w:r>
      <w:r>
        <w:rPr>
          <w:lang w:val="en_US" w:bidi="en_US"/>
        </w:rPr>
        <w:t>Satan is the leader of all the evil spirits or demons. Once he was an angel in heaven, but he rebelled against God. God expelled him from heaven, and now he tempts people on earth. Other names for him are “Beelzebul,” “the Devil,” “the Evil One,” “the Enemy,” and “the Tempter.”</w:t>
      </w:r>
    </w:p>
    <w:p>
      <w:pPr/>
      <w:r>
        <w:rPr>
          <w:lang w:val="en_US" w:bidi="en_US"/>
        </w:rPr>
      </w:r>
      <w:r>
        <w:rPr>
          <w:lang w:val="en_US" w:bidi="en_US"/>
        </w:rPr>
        <w:t>See “Satan” in KBT for more information.</w:t>
      </w:r>
    </w:p>
    <w:p>
      <w:pPr/>
      <w:r>
        <w:rPr>
          <w:lang w:val="en_US" w:bidi="en_US"/>
        </w:rPr>
      </w:r>
      <w:r>
        <w:rPr>
          <w:b/>
          <w:lang w:val="en_US" w:bidi="en_US"/>
        </w:rPr>
        <w:t>Judas Iscariot:</w:t>
      </w:r>
      <w:r>
        <w:rPr>
          <w:lang w:val="en_US" w:bidi="en_US"/>
        </w:rPr>
        <w:t xml:space="preserve"> In Greek, this phrase is literally “Judas, the one called Iscariot.” People probably called Judas </w:t>
      </w:r>
      <w:r>
        <w:rPr>
          <w:i/>
          <w:lang w:val="en_US" w:bidi="en_US"/>
        </w:rPr>
        <w:t>Iscariot</w:t>
      </w:r>
      <w:r>
        <w:rPr>
          <w:lang w:val="en_US" w:bidi="en_US"/>
        </w:rPr>
        <w:t xml:space="preserve"> because he was from the town of Kerioth. A slight variation of this name was used in 6:16.</w:t>
      </w:r>
      <w:r>
        <w:rPr>
          <w:lang w:val="en_US" w:bidi="en_US"/>
        </w:rPr>
        <w:t>Bock (p. 1704, note 7) mentions that the name “occurs here in its Grecized form,” rather than its Semitic form, as in 6:16. For more discussion of the origin and meaning of the name see Bock, pp. 546–47.)</w:t>
      </w:r>
      <w:r>
        <w:rPr>
          <w:lang w:val="en_US" w:bidi="en_US"/>
        </w:rPr>
        <w:t xml:space="preserve"> You may use the same form of the name here.</w:t>
      </w:r>
    </w:p>
    <w:p>
      <w:pPr>
        <w:pStyle w:val="Heading5"/>
      </w:pPr>
      <w:r>
        <w:rPr>
          <w:lang w:val="en_US" w:bidi="en_US"/>
        </w:rPr>
        <w:t>22:3b</w:t>
      </w:r>
    </w:p>
    <w:p>
      <w:pPr/>
      <w:r>
        <w:rPr>
          <w:lang w:val="en_US" w:bidi="en_US"/>
        </w:rPr>
      </w:r>
      <w:r>
        <w:rPr>
          <w:b/>
          <w:lang w:val="en_US" w:bidi="en_US"/>
        </w:rPr>
        <w:t>who was one of the Twelve.</w:t>
      </w:r>
    </w:p>
    <w:p>
      <w:pPr>
        <w:pStyle w:val="ListBullet"/>
        <w:spacing w:line="240" w:lineRule="auto"/>
        <w:ind w:left="720"/>
      </w:pPr>
      <w:r>
        <w:rPr>
          <w:lang w:val="en_US" w:bidi="en_US"/>
        </w:rPr>
      </w:r>
      <w:r>
        <w:rPr>
          <w:lang w:val="en_US" w:bidi="en_US"/>
        </w:rPr>
        <w:t xml:space="preserve">who was one of the twelve </w:t>
      </w:r>
      <w:r>
        <w:rPr>
          <w:lang w:val="en_US" w:bidi="en_US"/>
        </w:rPr>
        <w:t>apostles</w:t>
      </w:r>
      <w:r>
        <w:rPr>
          <w:lang w:val="en_US" w:bidi="en_US"/>
        </w:rPr>
        <w:t>.</w:t>
      </w:r>
    </w:p>
    <w:p>
      <w:pPr>
        <w:pStyle w:val="ListBullet"/>
        <w:spacing w:line="240" w:lineRule="auto"/>
        <w:ind w:left="720"/>
      </w:pPr>
      <w:r>
        <w:rPr>
          <w:lang w:val="en_US" w:bidi="en_US"/>
        </w:rPr>
      </w:r>
      <w:r>
        <w:rPr>
          <w:lang w:val="en_US" w:bidi="en_US"/>
        </w:rPr>
        <w:t xml:space="preserve">Judas was one of Jesus’ twelve </w:t>
      </w:r>
      <w:r>
        <w:rPr>
          <w:lang w:val="en_US" w:bidi="en_US"/>
        </w:rPr>
        <w:t>apostles</w:t>
      </w:r>
      <w:r>
        <w:rPr>
          <w:lang w:val="en_US" w:bidi="en_US"/>
        </w:rPr>
        <w:t>.</w:t>
      </w:r>
    </w:p>
    <w:p>
      <w:pPr/>
      <w:r>
        <w:rPr>
          <w:lang w:val="en_US" w:bidi="en_US"/>
        </w:rPr>
      </w:r>
      <w:r>
        <w:rPr>
          <w:b/>
          <w:lang w:val="en_US" w:bidi="en_US"/>
        </w:rPr>
        <w:t>who was one of the Twelve:</w:t>
      </w:r>
      <w:r>
        <w:rPr>
          <w:lang w:val="en_US" w:bidi="en_US"/>
        </w:rPr>
        <w:t xml:space="preserve"> The Greek phrase that the BSB translates as </w:t>
      </w:r>
      <w:r>
        <w:rPr>
          <w:i/>
          <w:lang w:val="en_US" w:bidi="en_US"/>
        </w:rPr>
        <w:t>who was one of the Twelve</w:t>
      </w:r>
      <w:r>
        <w:rPr>
          <w:lang w:val="en_US" w:bidi="en_US"/>
        </w:rPr>
        <w:t xml:space="preserve"> is more literally “who was of the number of the twelve,” as in the RSV. The phrase indicates that Judas belonged to the group of Jesus’ twelve special disciples, whom he called “apostles” (6:16). In some languages it may be helpful to include the word “apostles” here. For example:</w:t>
      </w:r>
    </w:p>
    <w:p>
      <w:pPr/>
      <w:r>
        <w:rPr>
          <w:lang w:val="en_US" w:bidi="en_US"/>
        </w:rPr>
      </w:r>
      <w:r>
        <w:rPr>
          <w:lang w:val="en_US" w:bidi="en_US"/>
        </w:rPr>
        <w:t>one of the twelve apostles (CEV)</w:t>
      </w:r>
      <w:r>
        <w:rPr>
          <w:lang w:val="en_US" w:bidi="en_US"/>
        </w:rPr>
      </w:r>
      <w:r>
        <w:rPr>
          <w:lang w:val="en_US" w:bidi="en_US"/>
        </w:rPr>
      </w:r>
    </w:p>
    <w:p>
      <w:pPr/>
      <w:r>
        <w:rPr>
          <w:lang w:val="en_US" w:bidi="en_US"/>
        </w:rPr>
      </w:r>
    </w:p>
    <w:p>
      <w:pPr>
        <w:pStyle w:val="Heading2"/>
      </w:pPr>
      <w:r>
        <w:rPr>
          <w:lang w:val="en_US" w:bidi="en_US"/>
        </w:rPr>
        <w:t>Luke 22:4</w:t>
      </w:r>
      <w:r>
        <w:rPr>
          <w:lang w:val="en_US" w:bidi="en_US"/>
        </w:rPr>
      </w:r>
    </w:p>
    <w:p>
      <w:pPr>
        <w:pStyle w:val="Heading4"/>
      </w:pPr>
      <w:r>
        <w:rPr>
          <w:lang w:val="en_US" w:bidi="en_US"/>
        </w:rPr>
        <w:t>Section 22:1–6: Judas told the Jewish leaders that he would betray Jesus to them</w:t>
      </w:r>
    </w:p>
    <w:p>
      <w:pPr/>
      <w:r>
        <w:rPr>
          <w:lang w:val="en_US" w:bidi="en_US"/>
        </w:rPr>
      </w:r>
      <w:r>
        <w:rPr>
          <w:lang w:val="en_US" w:bidi="en_US"/>
        </w:rPr>
        <w:t>The Jewish leaders wanted to get rid of Jesus in a private way so that the crowds would not oppose them. Before Passover began, they learned that Judas was willing to help them. Judas offered to lead them to Jesus at a time when the crowds were not with him so they could arrest him without causing trouble for themselves.</w:t>
      </w:r>
    </w:p>
    <w:p>
      <w:pPr/>
      <w:r>
        <w:rPr>
          <w:lang w:val="en_US" w:bidi="en_US"/>
        </w:rPr>
      </w:r>
      <w:r>
        <w:rPr>
          <w:lang w:val="en_US" w:bidi="en_US"/>
        </w:rPr>
        <w:t>The first verse of this section mentions the terms “Feast of Unleavened Bread” and “Passover.” These terms are names for a festival that the Jews celebrated each year. At one time, these terms referred to two different festivals. The festival of Passover lasted one day, and on the next day, the Feast of Unleavened Bread began and was celebrated for seven days. However, in Jesus’ lifetime, the two festivals were often considered to be one eight-day festival. Either term could be used for both festivals. See the notes at 22:1a–b for more information. During the festival time the Jews remembered how God delivered their ancestors from slavery in Egypt. See the notes on the “Passover” in 22:1a–b and 22:7a–b for more details.</w:t>
      </w:r>
    </w:p>
    <w:p>
      <w:pPr/>
      <w:r>
        <w:rPr>
          <w:lang w:val="en_US" w:bidi="en_US"/>
        </w:rPr>
      </w:r>
      <w:r>
        <w:rPr>
          <w:lang w:val="en_US" w:bidi="en_US"/>
        </w:rPr>
        <w:t>It is good to translate this section before you decide on a heading for it. Other examples of headings for this section are:</w:t>
      </w:r>
    </w:p>
    <w:p>
      <w:pPr/>
      <w:r>
        <w:rPr>
          <w:lang w:val="en_US" w:bidi="en_US"/>
        </w:rPr>
      </w:r>
      <w:r>
        <w:rPr>
          <w:lang w:val="en_US" w:bidi="en_US"/>
        </w:rPr>
        <w:t>The Plot to Kill Jesus (NRSV)</w:t>
      </w:r>
    </w:p>
    <w:p>
      <w:pPr/>
      <w:r>
        <w:rPr>
          <w:lang w:val="en_US" w:bidi="en_US"/>
        </w:rPr>
      </w:r>
      <w:r>
        <w:rPr>
          <w:lang w:val="en_US" w:bidi="en_US"/>
        </w:rPr>
        <w:t>Judas Agrees to Betray Jesus (NLT)</w:t>
      </w:r>
    </w:p>
    <w:p>
      <w:pPr/>
      <w:r>
        <w:rPr>
          <w:lang w:val="en_US" w:bidi="en_US"/>
        </w:rPr>
      </w:r>
      <w:r>
        <w:rPr>
          <w:lang w:val="en_US" w:bidi="en_US"/>
        </w:rPr>
        <w:t>There are parallel passages for this section in Matthew 26:1–5, Mark 14:1–2, and John 11:45–53.</w:t>
      </w:r>
    </w:p>
    <w:p>
      <w:pPr>
        <w:pStyle w:val="Heading5"/>
      </w:pPr>
      <w:r>
        <w:rPr>
          <w:lang w:val="en_US" w:bidi="en_US"/>
        </w:rPr>
        <w:t>22:4a</w:t>
      </w:r>
    </w:p>
    <w:p>
      <w:pPr/>
      <w:r>
        <w:rPr>
          <w:lang w:val="en_US" w:bidi="en_US"/>
        </w:rPr>
      </w:r>
      <w:r>
        <w:rPr>
          <w:b/>
          <w:lang w:val="en_US" w:bidi="en_US"/>
        </w:rPr>
        <w:t>And Judas went to discuss with the chief priests</w:t>
      </w:r>
    </w:p>
    <w:p>
      <w:pPr>
        <w:pStyle w:val="ListBullet"/>
        <w:spacing w:line="240" w:lineRule="auto"/>
        <w:ind w:left="720"/>
      </w:pPr>
      <w:r>
        <w:rPr>
          <w:lang w:val="en_US" w:bidi="en_US"/>
        </w:rPr>
      </w:r>
      <w:r>
        <w:rPr>
          <w:lang w:val="en_US" w:bidi="en_US"/>
        </w:rPr>
        <w:t>Then Judas went to the leaders of the priests</w:t>
      </w:r>
    </w:p>
    <w:p>
      <w:pPr>
        <w:pStyle w:val="ListBullet"/>
        <w:spacing w:line="240" w:lineRule="auto"/>
        <w:ind w:left="720"/>
      </w:pPr>
      <w:r>
        <w:rPr>
          <w:lang w:val="en_US" w:bidi="en_US"/>
        </w:rPr>
      </w:r>
      <w:r>
        <w:rPr>
          <w:lang w:val="en_US" w:bidi="en_US"/>
        </w:rPr>
        <w:t xml:space="preserve">He went to </w:t>
      </w:r>
      <w:r>
        <w:rPr>
          <w:lang w:val="en_US" w:bidi="en_US"/>
        </w:rPr>
        <w:t>talk with</w:t>
      </w:r>
      <w:r>
        <w:rPr>
          <w:lang w:val="en_US" w:bidi="en_US"/>
        </w:rPr>
        <w:t xml:space="preserve"> the leading priests</w:t>
      </w:r>
    </w:p>
    <w:p>
      <w:pPr>
        <w:pStyle w:val="Heading5"/>
      </w:pPr>
      <w:r>
        <w:rPr>
          <w:lang w:val="en_US" w:bidi="en_US"/>
        </w:rPr>
        <w:t>22:4a–c</w:t>
      </w:r>
    </w:p>
    <w:p>
      <w:pPr/>
      <w:r>
        <w:rPr>
          <w:lang w:val="en_US" w:bidi="en_US"/>
        </w:rPr>
      </w:r>
      <w:r>
        <w:rPr>
          <w:b/>
          <w:lang w:val="en_US" w:bidi="en_US"/>
        </w:rPr>
        <w:t>And Judas went to discuss with the chief priests…how he might betray Jesus to them:</w:t>
      </w:r>
      <w:r>
        <w:rPr>
          <w:lang w:val="en_US" w:bidi="en_US"/>
        </w:rPr>
        <w:t xml:space="preserve"> This verse tells what Judas did when Satan entered him. Judas went</w:t>
      </w:r>
      <w:r>
        <w:rPr>
          <w:lang w:val="en_US" w:bidi="en_US"/>
        </w:rPr>
        <w:t>The Greek word that the BSB translates as “went” is more literally “went out/away.” However, this context does not specify any place that Judas went out of. Many languages will have to specify that he went “to” the priests and officers. It is fine to translate it simply with “went.”</w:t>
      </w:r>
      <w:r>
        <w:rPr>
          <w:lang w:val="en_US" w:bidi="en_US"/>
        </w:rPr>
        <w:t xml:space="preserve"> to the chief priests to talk with them about betraying Jesus to them. Express the connection with 22:3 in a natural way in your language. In some languages a conjunction is not needed.</w:t>
      </w:r>
    </w:p>
    <w:p>
      <w:pPr/>
      <w:r>
        <w:rPr>
          <w:lang w:val="en_US" w:bidi="en_US"/>
        </w:rPr>
      </w:r>
      <w:r>
        <w:rPr>
          <w:lang w:val="en_US" w:bidi="en_US"/>
        </w:rPr>
        <w:t>Some other ways to translate the clause are:</w:t>
      </w:r>
    </w:p>
    <w:p>
      <w:pPr/>
      <w:r>
        <w:rPr>
          <w:lang w:val="en_US" w:bidi="en_US"/>
        </w:rPr>
      </w:r>
      <w:r>
        <w:rPr>
          <w:lang w:val="en_US" w:bidi="en_US"/>
        </w:rPr>
        <w:t>So Judas went off and spoke with the chief priests…about how he could betray Jesus to them. (GNT)</w:t>
      </w:r>
    </w:p>
    <w:p>
      <w:pPr/>
      <w:r>
        <w:rPr>
          <w:lang w:val="en_US" w:bidi="en_US"/>
        </w:rPr>
      </w:r>
      <w:r>
        <w:rPr>
          <w:lang w:val="en_US" w:bidi="en_US"/>
        </w:rPr>
        <w:t>Judas went to the chief priests…and discussed with them how he could betray Jesus. (GW)</w:t>
      </w:r>
    </w:p>
    <w:p>
      <w:pPr/>
      <w:r>
        <w:rPr>
          <w:lang w:val="en_US" w:bidi="en_US"/>
        </w:rPr>
      </w:r>
      <w:r>
        <w:rPr>
          <w:lang w:val="en_US" w:bidi="en_US"/>
        </w:rPr>
        <w:t>And he went to the leading priests…to discuss the best way to betray Jesus to them. (NLT)</w:t>
      </w:r>
    </w:p>
    <w:p>
      <w:pPr/>
      <w:r>
        <w:rPr>
          <w:lang w:val="en_US" w:bidi="en_US"/>
        </w:rPr>
      </w:r>
      <w:r>
        <w:rPr>
          <w:b/>
          <w:lang w:val="en_US" w:bidi="en_US"/>
        </w:rPr>
        <w:t>chief priests:</w:t>
      </w:r>
      <w:r>
        <w:rPr>
          <w:lang w:val="en_US" w:bidi="en_US"/>
        </w:rPr>
        <w:t xml:space="preserve"> The term </w:t>
      </w:r>
      <w:r>
        <w:rPr>
          <w:i/>
          <w:lang w:val="en_US" w:bidi="en_US"/>
        </w:rPr>
        <w:t>chief priests</w:t>
      </w:r>
      <w:r>
        <w:rPr>
          <w:lang w:val="en_US" w:bidi="en_US"/>
        </w:rPr>
        <w:t xml:space="preserve"> occurred in 22:2a and 19:47b–d. See the note there for more information.</w:t>
      </w:r>
    </w:p>
    <w:p>
      <w:pPr>
        <w:pStyle w:val="Heading5"/>
      </w:pPr>
      <w:r>
        <w:rPr>
          <w:lang w:val="en_US" w:bidi="en_US"/>
        </w:rPr>
        <w:t>22:4b</w:t>
      </w:r>
    </w:p>
    <w:p>
      <w:pPr/>
      <w:r>
        <w:rPr>
          <w:lang w:val="en_US" w:bidi="en_US"/>
        </w:rPr>
      </w:r>
      <w:r>
        <w:rPr>
          <w:b/>
          <w:lang w:val="en_US" w:bidi="en_US"/>
        </w:rPr>
        <w:t>and temple officers</w:t>
      </w:r>
    </w:p>
    <w:p>
      <w:pPr>
        <w:pStyle w:val="ListBullet"/>
        <w:spacing w:line="240" w:lineRule="auto"/>
        <w:ind w:left="720"/>
      </w:pPr>
      <w:r>
        <w:rPr>
          <w:lang w:val="en_US" w:bidi="en_US"/>
        </w:rPr>
      </w:r>
      <w:r>
        <w:rPr>
          <w:lang w:val="en_US" w:bidi="en_US"/>
        </w:rPr>
        <w:t>and the captains of the temple guards</w:t>
      </w:r>
    </w:p>
    <w:p>
      <w:pPr>
        <w:pStyle w:val="ListBullet"/>
        <w:spacing w:line="240" w:lineRule="auto"/>
        <w:ind w:left="720"/>
      </w:pPr>
      <w:r>
        <w:rPr>
          <w:lang w:val="en_US" w:bidi="en_US"/>
        </w:rPr>
      </w:r>
      <w:r>
        <w:rPr>
          <w:lang w:val="en_US" w:bidi="en_US"/>
        </w:rPr>
        <w:t xml:space="preserve">and the leaders </w:t>
      </w:r>
      <w:r>
        <w:rPr>
          <w:lang w:val="en_US" w:bidi="en_US"/>
        </w:rPr>
        <w:t>among the Levites</w:t>
      </w:r>
      <w:r>
        <w:rPr>
          <w:lang w:val="en_US" w:bidi="en_US"/>
        </w:rPr>
        <w:t xml:space="preserve"> who kept order in the temple </w:t>
      </w:r>
      <w:r>
        <w:rPr>
          <w:lang w:val="en_US" w:bidi="en_US"/>
        </w:rPr>
        <w:t>area</w:t>
      </w:r>
      <w:r>
        <w:rPr>
          <w:lang w:val="en_US" w:bidi="en_US"/>
        </w:rPr>
        <w:t>.</w:t>
      </w:r>
    </w:p>
    <w:p>
      <w:pPr/>
      <w:r>
        <w:rPr>
          <w:lang w:val="en_US" w:bidi="en_US"/>
        </w:rPr>
      </w:r>
      <w:r>
        <w:rPr>
          <w:b/>
          <w:lang w:val="en_US" w:bidi="en_US"/>
        </w:rPr>
        <w:t>temple officers:</w:t>
      </w:r>
      <w:r>
        <w:rPr>
          <w:lang w:val="en_US" w:bidi="en_US"/>
        </w:rPr>
        <w:t xml:space="preserve"> The Greek word that the BSB translates as </w:t>
      </w:r>
      <w:r>
        <w:rPr>
          <w:i/>
          <w:lang w:val="en_US" w:bidi="en_US"/>
        </w:rPr>
        <w:t>temple officers</w:t>
      </w:r>
      <w:r>
        <w:rPr>
          <w:lang w:val="en_US" w:bidi="en_US"/>
        </w:rPr>
        <w:t xml:space="preserve"> is more literally “captains” or “officers.” It refers here to officers who were responsible for keeping order in the temple area. These officers were Jews from the tribe of Levi. They supervised the other Levites who guarded the temple and the area around it. Here is another way to translate this:</w:t>
      </w:r>
    </w:p>
    <w:p>
      <w:pPr/>
      <w:r>
        <w:rPr>
          <w:lang w:val="en_US" w:bidi="en_US"/>
        </w:rPr>
      </w:r>
      <w:r>
        <w:rPr>
          <w:lang w:val="en_US" w:bidi="en_US"/>
        </w:rPr>
        <w:t>captains of the Temple guard (NLT96)</w:t>
      </w:r>
    </w:p>
    <w:p>
      <w:pPr>
        <w:pStyle w:val="Heading5"/>
      </w:pPr>
      <w:r>
        <w:rPr>
          <w:lang w:val="en_US" w:bidi="en_US"/>
        </w:rPr>
        <w:t>22:4c</w:t>
      </w:r>
    </w:p>
    <w:p>
      <w:pPr/>
      <w:r>
        <w:rPr>
          <w:lang w:val="en_US" w:bidi="en_US"/>
        </w:rPr>
      </w:r>
      <w:r>
        <w:rPr>
          <w:b/>
          <w:lang w:val="en_US" w:bidi="en_US"/>
        </w:rPr>
        <w:t>how he might betray Jesus to them.</w:t>
      </w:r>
    </w:p>
    <w:p>
      <w:pPr>
        <w:pStyle w:val="ListBullet"/>
        <w:spacing w:line="240" w:lineRule="auto"/>
        <w:ind w:left="720"/>
      </w:pPr>
      <w:r>
        <w:rPr>
          <w:lang w:val="en_US" w:bidi="en_US"/>
        </w:rPr>
      </w:r>
      <w:r>
        <w:rPr>
          <w:lang w:val="en_US" w:bidi="en_US"/>
        </w:rPr>
        <w:t>and discussed with them how he could deliver Jesus into their power/hands.</w:t>
      </w:r>
    </w:p>
    <w:p>
      <w:pPr>
        <w:pStyle w:val="ListBullet"/>
        <w:spacing w:line="240" w:lineRule="auto"/>
        <w:ind w:left="720"/>
      </w:pPr>
      <w:r>
        <w:rPr>
          <w:lang w:val="en_US" w:bidi="en_US"/>
        </w:rPr>
      </w:r>
      <w:r>
        <w:rPr>
          <w:lang w:val="en_US" w:bidi="en_US"/>
        </w:rPr>
        <w:t>He talked with them about how he could help them to arrest Jesus.</w:t>
      </w:r>
    </w:p>
    <w:p>
      <w:pPr/>
      <w:r>
        <w:rPr>
          <w:lang w:val="en_US" w:bidi="en_US"/>
        </w:rPr>
      </w:r>
      <w:r>
        <w:rPr>
          <w:b/>
          <w:lang w:val="en_US" w:bidi="en_US"/>
        </w:rPr>
        <w:t>how he might betray Jesus to them:</w:t>
      </w:r>
      <w:r>
        <w:rPr>
          <w:lang w:val="en_US" w:bidi="en_US"/>
        </w:rPr>
        <w:t xml:space="preserve"> Judas talked with the chief priests and the officers about how and when he could betray Jesus so that they could arrest him secretly. Some other ways to translate this are:</w:t>
      </w:r>
    </w:p>
    <w:p>
      <w:pPr/>
      <w:r>
        <w:rPr>
          <w:lang w:val="en_US" w:bidi="en_US"/>
        </w:rPr>
      </w:r>
      <w:r>
        <w:rPr>
          <w:lang w:val="en_US" w:bidi="en_US"/>
        </w:rPr>
        <w:t>to arrange-with them how he would hand-over Jesus to them</w:t>
      </w:r>
      <w:r>
        <w:rPr>
          <w:lang w:val="en_US" w:bidi="en_US"/>
        </w:rPr>
        <w:t>Kankanaey back translation on TW.</w:t>
      </w:r>
    </w:p>
    <w:p>
      <w:pPr/>
      <w:r>
        <w:rPr>
          <w:lang w:val="en_US" w:bidi="en_US"/>
        </w:rPr>
      </w:r>
      <w:r>
        <w:rPr>
          <w:lang w:val="en_US" w:bidi="en_US"/>
        </w:rPr>
        <w:t>to tell them that he was willing to betray Jesus to them and discuss how to do that</w:t>
      </w:r>
    </w:p>
    <w:p>
      <w:pPr/>
      <w:r>
        <w:rPr>
          <w:lang w:val="en_US" w:bidi="en_US"/>
        </w:rPr>
      </w:r>
      <w:r>
        <w:rPr>
          <w:b/>
          <w:lang w:val="en_US" w:bidi="en_US"/>
        </w:rPr>
        <w:t>betray:</w:t>
      </w:r>
      <w:r>
        <w:rPr>
          <w:lang w:val="en_US" w:bidi="en_US"/>
        </w:rPr>
        <w:t xml:space="preserve"> The Greek word that the BSB translates as </w:t>
      </w:r>
      <w:r>
        <w:rPr>
          <w:i/>
          <w:lang w:val="en_US" w:bidi="en_US"/>
        </w:rPr>
        <w:t>betray</w:t>
      </w:r>
      <w:r>
        <w:rPr>
          <w:lang w:val="en_US" w:bidi="en_US"/>
        </w:rPr>
        <w:t xml:space="preserve"> refers to putting someone into the power of his enemies. In this account, Judas planned to betray Jesus by showing the Jewish leaders where to find him and pointing him out to them. The account of the betrayal is in 22:47–48. The word </w:t>
      </w:r>
      <w:r>
        <w:rPr>
          <w:i/>
          <w:lang w:val="en_US" w:bidi="en_US"/>
        </w:rPr>
        <w:t>betray</w:t>
      </w:r>
      <w:r>
        <w:rPr>
          <w:lang w:val="en_US" w:bidi="en_US"/>
        </w:rPr>
        <w:t xml:space="preserve"> does not imply that Jesus had done something bad that the betrayer would expose. Jesus was an innocent person.</w:t>
      </w:r>
    </w:p>
    <w:p>
      <w:pPr/>
      <w:r>
        <w:rPr>
          <w:lang w:val="en_US" w:bidi="en_US"/>
        </w:rPr>
      </w:r>
      <w:r>
        <w:rPr>
          <w:lang w:val="en_US" w:bidi="en_US"/>
        </w:rPr>
        <w:t>Use a natural way in your language to refer to betrayal. Do not imply that Judas would use spiritual power to cause Jesus’ enemies to gain control of him.</w:t>
      </w:r>
    </w:p>
    <w:p>
      <w:pPr/>
      <w:r>
        <w:rPr>
          <w:lang w:val="en_US" w:bidi="en_US"/>
        </w:rPr>
      </w:r>
      <w:r>
        <w:rPr>
          <w:lang w:val="en_US" w:bidi="en_US"/>
        </w:rPr>
        <w:t>Another form of this word is translated as “delivered over” in 18:32a. See the note there for more information.</w:t>
      </w:r>
      <w:r>
        <w:rPr>
          <w:lang w:val="en_US" w:bidi="en_US"/>
        </w:rPr>
      </w:r>
      <w:r>
        <w:rPr>
          <w:lang w:val="en_US" w:bidi="en_US"/>
        </w:rPr>
      </w:r>
    </w:p>
    <w:p>
      <w:pPr/>
      <w:r>
        <w:rPr>
          <w:lang w:val="en_US" w:bidi="en_US"/>
        </w:rPr>
      </w:r>
    </w:p>
    <w:p>
      <w:pPr>
        <w:pStyle w:val="Heading2"/>
      </w:pPr>
      <w:r>
        <w:rPr>
          <w:lang w:val="en_US" w:bidi="en_US"/>
        </w:rPr>
        <w:t>Luke 22:5</w:t>
      </w:r>
      <w:r>
        <w:rPr>
          <w:lang w:val="en_US" w:bidi="en_US"/>
        </w:rPr>
      </w:r>
    </w:p>
    <w:p>
      <w:pPr>
        <w:pStyle w:val="Heading4"/>
      </w:pPr>
      <w:r>
        <w:rPr>
          <w:lang w:val="en_US" w:bidi="en_US"/>
        </w:rPr>
        <w:t>Section 22:1–6: Judas told the Jewish leaders that he would betray Jesus to them</w:t>
      </w:r>
    </w:p>
    <w:p>
      <w:pPr/>
      <w:r>
        <w:rPr>
          <w:lang w:val="en_US" w:bidi="en_US"/>
        </w:rPr>
      </w:r>
      <w:r>
        <w:rPr>
          <w:lang w:val="en_US" w:bidi="en_US"/>
        </w:rPr>
        <w:t>The Jewish leaders wanted to get rid of Jesus in a private way so that the crowds would not oppose them. Before Passover began, they learned that Judas was willing to help them. Judas offered to lead them to Jesus at a time when the crowds were not with him so they could arrest him without causing trouble for themselves.</w:t>
      </w:r>
    </w:p>
    <w:p>
      <w:pPr/>
      <w:r>
        <w:rPr>
          <w:lang w:val="en_US" w:bidi="en_US"/>
        </w:rPr>
      </w:r>
      <w:r>
        <w:rPr>
          <w:lang w:val="en_US" w:bidi="en_US"/>
        </w:rPr>
        <w:t>The first verse of this section mentions the terms “Feast of Unleavened Bread” and “Passover.” These terms are names for a festival that the Jews celebrated each year. At one time, these terms referred to two different festivals. The festival of Passover lasted one day, and on the next day, the Feast of Unleavened Bread began and was celebrated for seven days. However, in Jesus’ lifetime, the two festivals were often considered to be one eight-day festival. Either term could be used for both festivals. See the notes at 22:1a–b for more information. During the festival time the Jews remembered how God delivered their ancestors from slavery in Egypt. See the notes on the “Passover” in 22:1a–b and 22:7a–b for more details.</w:t>
      </w:r>
    </w:p>
    <w:p>
      <w:pPr/>
      <w:r>
        <w:rPr>
          <w:lang w:val="en_US" w:bidi="en_US"/>
        </w:rPr>
      </w:r>
      <w:r>
        <w:rPr>
          <w:lang w:val="en_US" w:bidi="en_US"/>
        </w:rPr>
        <w:t>It is good to translate this section before you decide on a heading for it. Other examples of headings for this section are:</w:t>
      </w:r>
    </w:p>
    <w:p>
      <w:pPr/>
      <w:r>
        <w:rPr>
          <w:lang w:val="en_US" w:bidi="en_US"/>
        </w:rPr>
      </w:r>
      <w:r>
        <w:rPr>
          <w:lang w:val="en_US" w:bidi="en_US"/>
        </w:rPr>
        <w:t>The Plot to Kill Jesus (NRSV)</w:t>
      </w:r>
    </w:p>
    <w:p>
      <w:pPr/>
      <w:r>
        <w:rPr>
          <w:lang w:val="en_US" w:bidi="en_US"/>
        </w:rPr>
      </w:r>
      <w:r>
        <w:rPr>
          <w:lang w:val="en_US" w:bidi="en_US"/>
        </w:rPr>
        <w:t>Judas Agrees to Betray Jesus (NLT)</w:t>
      </w:r>
    </w:p>
    <w:p>
      <w:pPr/>
      <w:r>
        <w:rPr>
          <w:lang w:val="en_US" w:bidi="en_US"/>
        </w:rPr>
      </w:r>
      <w:r>
        <w:rPr>
          <w:lang w:val="en_US" w:bidi="en_US"/>
        </w:rPr>
        <w:t>There are parallel passages for this section in Matthew 26:1–5, Mark 14:1–2, and John 11:45–53.</w:t>
      </w:r>
    </w:p>
    <w:p>
      <w:pPr>
        <w:pStyle w:val="Heading5"/>
      </w:pPr>
      <w:r>
        <w:rPr>
          <w:lang w:val="en_US" w:bidi="en_US"/>
        </w:rPr>
        <w:t>22:5a</w:t>
      </w:r>
    </w:p>
    <w:p>
      <w:pPr/>
      <w:r>
        <w:rPr>
          <w:lang w:val="en_US" w:bidi="en_US"/>
        </w:rPr>
      </w:r>
      <w:r>
        <w:rPr>
          <w:b/>
          <w:lang w:val="en_US" w:bidi="en_US"/>
        </w:rPr>
        <w:t>They were delighted</w:t>
      </w:r>
    </w:p>
    <w:p>
      <w:pPr>
        <w:pStyle w:val="ListBullet"/>
        <w:spacing w:line="240" w:lineRule="auto"/>
        <w:ind w:left="720"/>
      </w:pPr>
      <w:r>
        <w:rPr>
          <w:lang w:val="en_US" w:bidi="en_US"/>
        </w:rPr>
      </w:r>
      <w:r>
        <w:rPr>
          <w:lang w:val="en_US" w:bidi="en_US"/>
        </w:rPr>
        <w:t>They were very pleased</w:t>
      </w:r>
    </w:p>
    <w:p>
      <w:pPr>
        <w:pStyle w:val="ListBullet"/>
        <w:spacing w:line="240" w:lineRule="auto"/>
        <w:ind w:left="720"/>
      </w:pPr>
      <w:r>
        <w:rPr>
          <w:lang w:val="en_US" w:bidi="en_US"/>
        </w:rPr>
      </w:r>
      <w:r>
        <w:rPr>
          <w:lang w:val="en_US" w:bidi="en_US"/>
        </w:rPr>
        <w:t>This made them very happy,</w:t>
      </w:r>
    </w:p>
    <w:p>
      <w:pPr/>
      <w:r>
        <w:rPr>
          <w:lang w:val="en_US" w:bidi="en_US"/>
        </w:rPr>
      </w:r>
      <w:r>
        <w:rPr>
          <w:lang w:val="en_US" w:bidi="en_US"/>
        </w:rPr>
        <w:t>The clause in 22:5a tells how the Jewish leaders responded when Judas offered to betray Jesus. They were very happy. In the Greek text the verse begins with a conjunction that versions such as the RSV translate as “and.” In some languages it may be necessary to use a different way to connect 22:4 and 22:5. For example:</w:t>
      </w:r>
    </w:p>
    <w:p>
      <w:pPr/>
      <w:r>
        <w:rPr>
          <w:lang w:val="en_US" w:bidi="en_US"/>
        </w:rPr>
      </w:r>
      <w:r>
        <w:rPr>
          <w:lang w:val="en_US" w:bidi="en_US"/>
        </w:rPr>
        <w:t>When he said that</w:t>
      </w:r>
    </w:p>
    <w:p>
      <w:pPr/>
      <w:r>
        <w:rPr>
          <w:lang w:val="en_US" w:bidi="en_US"/>
        </w:rPr>
      </w:r>
      <w:r>
        <w:rPr>
          <w:lang w:val="en_US" w:bidi="en_US"/>
        </w:rPr>
        <w:t>Then</w:t>
      </w:r>
    </w:p>
    <w:p>
      <w:pPr/>
      <w:r>
        <w:rPr>
          <w:lang w:val="en_US" w:bidi="en_US"/>
        </w:rPr>
      </w:r>
      <w:r>
        <w:rPr>
          <w:b/>
          <w:lang w:val="en_US" w:bidi="en_US"/>
        </w:rPr>
        <w:t>They were delighted:</w:t>
      </w:r>
      <w:r>
        <w:rPr>
          <w:lang w:val="en_US" w:bidi="en_US"/>
        </w:rPr>
        <w:t xml:space="preserve"> The phrase </w:t>
      </w:r>
      <w:r>
        <w:rPr>
          <w:i/>
          <w:lang w:val="en_US" w:bidi="en_US"/>
        </w:rPr>
        <w:t>They were delighted</w:t>
      </w:r>
      <w:r>
        <w:rPr>
          <w:lang w:val="en_US" w:bidi="en_US"/>
        </w:rPr>
        <w:t xml:space="preserve"> indicates that the Jewish leaders were very happy that Judas was willing to betray Jesus to them. In some languages it may be necessary to make the reason for their delight explicit. For example:</w:t>
      </w:r>
    </w:p>
    <w:p>
      <w:pPr/>
      <w:r>
        <w:rPr>
          <w:lang w:val="en_US" w:bidi="en_US"/>
        </w:rPr>
      </w:r>
      <w:r>
        <w:rPr>
          <w:lang w:val="en_US" w:bidi="en_US"/>
        </w:rPr>
        <w:t>They were delighted that he was ready to help them (NLT96)</w:t>
      </w:r>
    </w:p>
    <w:p>
      <w:pPr/>
      <w:r>
        <w:rPr>
          <w:lang w:val="en_US" w:bidi="en_US"/>
        </w:rPr>
      </w:r>
      <w:r>
        <w:rPr>
          <w:lang w:val="en_US" w:bidi="en_US"/>
        </w:rPr>
        <w:t xml:space="preserve">They were </w:t>
      </w:r>
      <w:r>
        <w:rPr>
          <w:lang w:val="en_US" w:bidi="en_US"/>
        </w:rPr>
        <w:t>very</w:t>
      </w:r>
      <w:r>
        <w:rPr>
          <w:lang w:val="en_US" w:bidi="en_US"/>
        </w:rPr>
        <w:t xml:space="preserve"> happy/glad </w:t>
      </w:r>
      <w:r>
        <w:rPr>
          <w:lang w:val="en_US" w:bidi="en_US"/>
        </w:rPr>
        <w:t>that he was willing to betray Jesus</w:t>
      </w:r>
    </w:p>
    <w:p>
      <w:pPr>
        <w:pStyle w:val="Heading5"/>
      </w:pPr>
      <w:r>
        <w:rPr>
          <w:lang w:val="en_US" w:bidi="en_US"/>
        </w:rPr>
        <w:t>22:5b</w:t>
      </w:r>
    </w:p>
    <w:p>
      <w:pPr/>
      <w:r>
        <w:rPr>
          <w:lang w:val="en_US" w:bidi="en_US"/>
        </w:rPr>
      </w:r>
      <w:r>
        <w:rPr>
          <w:b/>
          <w:lang w:val="en_US" w:bidi="en_US"/>
        </w:rPr>
        <w:t>and agreed to give him money.</w:t>
      </w:r>
    </w:p>
    <w:p>
      <w:pPr>
        <w:pStyle w:val="ListBullet"/>
        <w:spacing w:line="240" w:lineRule="auto"/>
        <w:ind w:left="720"/>
      </w:pPr>
      <w:r>
        <w:rPr>
          <w:lang w:val="en_US" w:bidi="en_US"/>
        </w:rPr>
      </w:r>
      <w:r>
        <w:rPr>
          <w:lang w:val="en_US" w:bidi="en_US"/>
        </w:rPr>
        <w:t xml:space="preserve">and promised/offered to pay him </w:t>
      </w:r>
      <w:r>
        <w:rPr>
          <w:lang w:val="en_US" w:bidi="en_US"/>
        </w:rPr>
        <w:t>a certain amount</w:t>
      </w:r>
      <w:r>
        <w:rPr>
          <w:lang w:val="en_US" w:bidi="en_US"/>
        </w:rPr>
        <w:t xml:space="preserve"> of money.</w:t>
      </w:r>
    </w:p>
    <w:p>
      <w:pPr>
        <w:pStyle w:val="ListBullet"/>
        <w:spacing w:line="240" w:lineRule="auto"/>
        <w:ind w:left="720"/>
      </w:pPr>
      <w:r>
        <w:rPr>
          <w:lang w:val="en_US" w:bidi="en_US"/>
        </w:rPr>
      </w:r>
      <w:r>
        <w:rPr>
          <w:lang w:val="en_US" w:bidi="en_US"/>
        </w:rPr>
        <w:t xml:space="preserve">and they told Judas how much they would pay </w:t>
      </w:r>
      <w:r>
        <w:rPr>
          <w:lang w:val="en_US" w:bidi="en_US"/>
        </w:rPr>
        <w:t>him</w:t>
      </w:r>
      <w:r>
        <w:rPr>
          <w:lang w:val="en_US" w:bidi="en_US"/>
        </w:rPr>
        <w:t xml:space="preserve"> </w:t>
      </w:r>
      <w:r>
        <w:rPr>
          <w:lang w:val="en_US" w:bidi="en_US"/>
        </w:rPr>
        <w:t>to do that</w:t>
      </w:r>
      <w:r>
        <w:rPr>
          <w:lang w:val="en_US" w:bidi="en_US"/>
        </w:rPr>
        <w:t>.</w:t>
      </w:r>
    </w:p>
    <w:p>
      <w:pPr/>
      <w:r>
        <w:rPr>
          <w:lang w:val="en_US" w:bidi="en_US"/>
        </w:rPr>
      </w:r>
      <w:r>
        <w:rPr>
          <w:b/>
          <w:lang w:val="en_US" w:bidi="en_US"/>
        </w:rPr>
        <w:t>and agreed to give him money:</w:t>
      </w:r>
      <w:r>
        <w:rPr>
          <w:lang w:val="en_US" w:bidi="en_US"/>
        </w:rPr>
        <w:t xml:space="preserve"> The verb </w:t>
      </w:r>
      <w:r>
        <w:rPr>
          <w:i/>
          <w:lang w:val="en_US" w:bidi="en_US"/>
        </w:rPr>
        <w:t>agreed</w:t>
      </w:r>
      <w:r>
        <w:rPr>
          <w:lang w:val="en_US" w:bidi="en_US"/>
        </w:rPr>
        <w:t xml:space="preserve"> indicates here that they made an agreement with Judas. The Jewish leaders told Judas how much money they would give him for betraying Jesus. Other ways to translate this are:</w:t>
      </w:r>
    </w:p>
    <w:p>
      <w:pPr/>
      <w:r>
        <w:rPr>
          <w:lang w:val="en_US" w:bidi="en_US"/>
        </w:rPr>
      </w:r>
      <w:r>
        <w:rPr>
          <w:lang w:val="en_US" w:bidi="en_US"/>
        </w:rPr>
        <w:t>and offered to pay him money (GNT)</w:t>
      </w:r>
    </w:p>
    <w:p>
      <w:pPr/>
      <w:r>
        <w:rPr>
          <w:lang w:val="en_US" w:bidi="en_US"/>
        </w:rPr>
      </w:r>
      <w:r>
        <w:rPr>
          <w:lang w:val="en_US" w:bidi="en_US"/>
        </w:rPr>
        <w:t>and they promised him a reward (NLT96)</w:t>
      </w:r>
    </w:p>
    <w:p>
      <w:pPr/>
      <w:r>
        <w:rPr>
          <w:lang w:val="en_US" w:bidi="en_US"/>
        </w:rPr>
      </w:r>
      <w:r>
        <w:rPr>
          <w:lang w:val="en_US" w:bidi="en_US"/>
        </w:rPr>
        <w:t>and arranged to pay him for it (JBP)</w:t>
      </w:r>
    </w:p>
    <w:p>
      <w:pPr/>
      <w:r>
        <w:rPr>
          <w:lang w:val="en_US" w:bidi="en_US"/>
        </w:rPr>
      </w:r>
      <w:r>
        <w:rPr>
          <w:lang w:val="en_US" w:bidi="en_US"/>
        </w:rPr>
        <w:t>More information about this is given in Matthew 26:15–16, where the amount of money is mentioned as thirty silver coins.</w:t>
      </w:r>
      <w:r>
        <w:rPr>
          <w:lang w:val="en_US" w:bidi="en_US"/>
        </w:rPr>
      </w:r>
      <w:r>
        <w:rPr>
          <w:lang w:val="en_US" w:bidi="en_US"/>
        </w:rPr>
      </w:r>
    </w:p>
    <w:p>
      <w:pPr/>
      <w:r>
        <w:rPr>
          <w:lang w:val="en_US" w:bidi="en_US"/>
        </w:rPr>
      </w:r>
    </w:p>
    <w:p>
      <w:pPr>
        <w:pStyle w:val="Heading2"/>
      </w:pPr>
      <w:r>
        <w:rPr>
          <w:lang w:val="en_US" w:bidi="en_US"/>
        </w:rPr>
        <w:t>Luke 22:6</w:t>
      </w:r>
      <w:r>
        <w:rPr>
          <w:lang w:val="en_US" w:bidi="en_US"/>
        </w:rPr>
      </w:r>
    </w:p>
    <w:p>
      <w:pPr>
        <w:pStyle w:val="Heading4"/>
      </w:pPr>
      <w:r>
        <w:rPr>
          <w:lang w:val="en_US" w:bidi="en_US"/>
        </w:rPr>
        <w:t>Section 22:1–6: Judas told the Jewish leaders that he would betray Jesus to them</w:t>
      </w:r>
    </w:p>
    <w:p>
      <w:pPr/>
      <w:r>
        <w:rPr>
          <w:lang w:val="en_US" w:bidi="en_US"/>
        </w:rPr>
      </w:r>
      <w:r>
        <w:rPr>
          <w:lang w:val="en_US" w:bidi="en_US"/>
        </w:rPr>
        <w:t>The Jewish leaders wanted to get rid of Jesus in a private way so that the crowds would not oppose them. Before Passover began, they learned that Judas was willing to help them. Judas offered to lead them to Jesus at a time when the crowds were not with him so they could arrest him without causing trouble for themselves.</w:t>
      </w:r>
    </w:p>
    <w:p>
      <w:pPr/>
      <w:r>
        <w:rPr>
          <w:lang w:val="en_US" w:bidi="en_US"/>
        </w:rPr>
      </w:r>
      <w:r>
        <w:rPr>
          <w:lang w:val="en_US" w:bidi="en_US"/>
        </w:rPr>
        <w:t>The first verse of this section mentions the terms “Feast of Unleavened Bread” and “Passover.” These terms are names for a festival that the Jews celebrated each year. At one time, these terms referred to two different festivals. The festival of Passover lasted one day, and on the next day, the Feast of Unleavened Bread began and was celebrated for seven days. However, in Jesus’ lifetime, the two festivals were often considered to be one eight-day festival. Either term could be used for both festivals. See the notes at 22:1a–b for more information. During the festival time the Jews remembered how God delivered their ancestors from slavery in Egypt. See the notes on the “Passover” in 22:1a–b and 22:7a–b for more details.</w:t>
      </w:r>
    </w:p>
    <w:p>
      <w:pPr/>
      <w:r>
        <w:rPr>
          <w:lang w:val="en_US" w:bidi="en_US"/>
        </w:rPr>
      </w:r>
      <w:r>
        <w:rPr>
          <w:lang w:val="en_US" w:bidi="en_US"/>
        </w:rPr>
        <w:t>It is good to translate this section before you decide on a heading for it. Other examples of headings for this section are:</w:t>
      </w:r>
    </w:p>
    <w:p>
      <w:pPr/>
      <w:r>
        <w:rPr>
          <w:lang w:val="en_US" w:bidi="en_US"/>
        </w:rPr>
      </w:r>
      <w:r>
        <w:rPr>
          <w:lang w:val="en_US" w:bidi="en_US"/>
        </w:rPr>
        <w:t>The Plot to Kill Jesus (NRSV)</w:t>
      </w:r>
    </w:p>
    <w:p>
      <w:pPr/>
      <w:r>
        <w:rPr>
          <w:lang w:val="en_US" w:bidi="en_US"/>
        </w:rPr>
      </w:r>
      <w:r>
        <w:rPr>
          <w:lang w:val="en_US" w:bidi="en_US"/>
        </w:rPr>
        <w:t>Judas Agrees to Betray Jesus (NLT)</w:t>
      </w:r>
    </w:p>
    <w:p>
      <w:pPr/>
      <w:r>
        <w:rPr>
          <w:lang w:val="en_US" w:bidi="en_US"/>
        </w:rPr>
      </w:r>
      <w:r>
        <w:rPr>
          <w:lang w:val="en_US" w:bidi="en_US"/>
        </w:rPr>
        <w:t>There are parallel passages for this section in Matthew 26:1–5, Mark 14:1–2, and John 11:45–53.</w:t>
      </w:r>
    </w:p>
    <w:p>
      <w:pPr>
        <w:pStyle w:val="Heading5"/>
      </w:pPr>
      <w:r>
        <w:rPr>
          <w:lang w:val="en_US" w:bidi="en_US"/>
        </w:rPr>
        <w:t>22:6a</w:t>
      </w:r>
    </w:p>
    <w:p>
      <w:pPr/>
      <w:r>
        <w:rPr>
          <w:lang w:val="en_US" w:bidi="en_US"/>
        </w:rPr>
      </w:r>
      <w:r>
        <w:rPr>
          <w:b/>
          <w:lang w:val="en_US" w:bidi="en_US"/>
        </w:rPr>
        <w:t>Judas consented, and began to look for an opportunity to betray Jesus to them</w:t>
      </w:r>
    </w:p>
    <w:p>
      <w:pPr>
        <w:pStyle w:val="ListBullet"/>
        <w:spacing w:line="240" w:lineRule="auto"/>
        <w:ind w:left="720"/>
      </w:pPr>
      <w:r>
        <w:rPr>
          <w:lang w:val="en_US" w:bidi="en_US"/>
        </w:rPr>
      </w:r>
      <w:r>
        <w:rPr>
          <w:lang w:val="en_US" w:bidi="en_US"/>
        </w:rPr>
        <w:t xml:space="preserve">He agreed, and he </w:t>
      </w:r>
      <w:r>
        <w:rPr>
          <w:lang w:val="en_US" w:bidi="en_US"/>
        </w:rPr>
        <w:t>started</w:t>
      </w:r>
      <w:r>
        <w:rPr>
          <w:lang w:val="en_US" w:bidi="en_US"/>
        </w:rPr>
        <w:t xml:space="preserve"> looking for a way to betray Jesus to them</w:t>
      </w:r>
    </w:p>
    <w:p>
      <w:pPr>
        <w:pStyle w:val="ListBullet"/>
        <w:spacing w:line="240" w:lineRule="auto"/>
        <w:ind w:left="720"/>
      </w:pPr>
      <w:r>
        <w:rPr>
          <w:lang w:val="en_US" w:bidi="en_US"/>
        </w:rPr>
      </w:r>
      <w:r>
        <w:rPr>
          <w:lang w:val="en_US" w:bidi="en_US"/>
        </w:rPr>
        <w:t xml:space="preserve">Judas accepted their offer. Then he </w:t>
      </w:r>
      <w:r>
        <w:rPr>
          <w:lang w:val="en_US" w:bidi="en_US"/>
        </w:rPr>
        <w:t>left</w:t>
      </w:r>
      <w:r>
        <w:rPr>
          <w:lang w:val="en_US" w:bidi="en_US"/>
        </w:rPr>
        <w:t xml:space="preserve"> and began to watch for a way to help them arrest Jesus</w:t>
      </w:r>
    </w:p>
    <w:p>
      <w:pPr/>
      <w:r>
        <w:rPr>
          <w:lang w:val="en_US" w:bidi="en_US"/>
        </w:rPr>
      </w:r>
      <w:r>
        <w:rPr>
          <w:lang w:val="en_US" w:bidi="en_US"/>
        </w:rPr>
        <w:t>This verse tells how Judas responded when the Jewish leaders offered him money to betray Jesus. He agreed to their offer. In Greek this verse begins with the common conjunction that is often translated as “and.” Some English versions have “so” here because the verse tells the result of the discussion between Judas and the leaders. Connect this verse to the preceding one in a natural way in your language.</w:t>
      </w:r>
    </w:p>
    <w:p>
      <w:pPr/>
      <w:r>
        <w:rPr>
          <w:lang w:val="en_US" w:bidi="en_US"/>
        </w:rPr>
      </w:r>
      <w:r>
        <w:rPr>
          <w:b/>
          <w:lang w:val="en_US" w:bidi="en_US"/>
        </w:rPr>
        <w:t>Judas consented:</w:t>
      </w:r>
      <w:r>
        <w:rPr>
          <w:lang w:val="en_US" w:bidi="en_US"/>
        </w:rPr>
        <w:t xml:space="preserve"> The phrase </w:t>
      </w:r>
      <w:r>
        <w:rPr>
          <w:i/>
          <w:lang w:val="en_US" w:bidi="en_US"/>
        </w:rPr>
        <w:t>Judas consented</w:t>
      </w:r>
      <w:r>
        <w:rPr>
          <w:lang w:val="en_US" w:bidi="en_US"/>
        </w:rPr>
        <w:t xml:space="preserve"> indicates that Judas accepted their offer. He said that he was willing to betray Jesus for the amount of money that the leaders offered him. Some other ways to translate the phrase are:</w:t>
      </w:r>
    </w:p>
    <w:p>
      <w:pPr/>
      <w:r>
        <w:rPr>
          <w:lang w:val="en_US" w:bidi="en_US"/>
        </w:rPr>
      </w:r>
      <w:r>
        <w:rPr>
          <w:lang w:val="en_US" w:bidi="en_US"/>
        </w:rPr>
        <w:t>He agreed… (REB)</w:t>
      </w:r>
    </w:p>
    <w:p>
      <w:pPr/>
      <w:r>
        <w:rPr>
          <w:lang w:val="en_US" w:bidi="en_US"/>
        </w:rPr>
      </w:r>
      <w:r>
        <w:rPr>
          <w:lang w:val="en_US" w:bidi="en_US"/>
        </w:rPr>
        <w:t>So Judas promised to do it. (GW)</w:t>
      </w:r>
    </w:p>
    <w:p>
      <w:pPr/>
      <w:r>
        <w:rPr>
          <w:lang w:val="en_US" w:bidi="en_US"/>
        </w:rPr>
      </w:r>
      <w:r>
        <w:rPr>
          <w:b/>
          <w:lang w:val="en_US" w:bidi="en_US"/>
        </w:rPr>
        <w:t>and began to look for an opportunity:</w:t>
      </w:r>
      <w:r>
        <w:rPr>
          <w:lang w:val="en_US" w:bidi="en_US"/>
        </w:rPr>
        <w:t xml:space="preserve"> The phrase </w:t>
      </w:r>
      <w:r>
        <w:rPr>
          <w:i/>
          <w:lang w:val="en_US" w:bidi="en_US"/>
        </w:rPr>
        <w:t>and began to look for an opportunity</w:t>
      </w:r>
      <w:r>
        <w:rPr>
          <w:lang w:val="en_US" w:bidi="en_US"/>
        </w:rPr>
        <w:t xml:space="preserve"> means that Judas began to look for the right time and way to betray Jesus to the leaders, as he promised them. Other ways to translate this are:</w:t>
      </w:r>
    </w:p>
    <w:p>
      <w:pPr/>
      <w:r>
        <w:rPr>
          <w:lang w:val="en_US" w:bidi="en_US"/>
        </w:rPr>
      </w:r>
      <w:r>
        <w:rPr>
          <w:lang w:val="en_US" w:bidi="en_US"/>
        </w:rPr>
        <w:t>and watched for the best time</w:t>
      </w:r>
    </w:p>
    <w:p>
      <w:pPr/>
      <w:r>
        <w:rPr>
          <w:lang w:val="en_US" w:bidi="en_US"/>
        </w:rPr>
      </w:r>
      <w:r>
        <w:rPr>
          <w:lang w:val="en_US" w:bidi="en_US"/>
        </w:rPr>
        <w:t>and looked for a good/appropriate way</w:t>
      </w:r>
    </w:p>
    <w:p>
      <w:pPr/>
      <w:r>
        <w:rPr>
          <w:lang w:val="en_US" w:bidi="en_US"/>
        </w:rPr>
      </w:r>
      <w:r>
        <w:rPr>
          <w:lang w:val="en_US" w:bidi="en_US"/>
        </w:rPr>
        <w:t>The context implies that Judas left the place where he met with the leaders, and from that time on, he watched for an opportunity. In some languages it may be necessary to include this implied information. For example:</w:t>
      </w:r>
    </w:p>
    <w:p>
      <w:pPr/>
      <w:r>
        <w:rPr>
          <w:lang w:val="en_US" w:bidi="en_US"/>
        </w:rPr>
      </w:r>
      <w:r>
        <w:rPr>
          <w:lang w:val="en_US" w:bidi="en_US"/>
        </w:rPr>
        <w:t xml:space="preserve">Then </w:t>
      </w:r>
      <w:r>
        <w:rPr>
          <w:lang w:val="en_US" w:bidi="en_US"/>
        </w:rPr>
        <w:t>he left, and</w:t>
      </w:r>
      <w:r>
        <w:rPr>
          <w:lang w:val="en_US" w:bidi="en_US"/>
        </w:rPr>
        <w:t xml:space="preserve"> began to watch for an opportunity</w:t>
      </w:r>
    </w:p>
    <w:p>
      <w:pPr/>
      <w:r>
        <w:rPr>
          <w:lang w:val="en_US" w:bidi="en_US"/>
        </w:rPr>
      </w:r>
      <w:r>
        <w:rPr>
          <w:lang w:val="en_US" w:bidi="en_US"/>
        </w:rPr>
        <w:t>and from that time, he searched for a good opportunity</w:t>
      </w:r>
      <w:r>
        <w:rPr>
          <w:lang w:val="en_US" w:bidi="en_US"/>
        </w:rPr>
        <w:t>Uma back translation on TW.</w:t>
      </w:r>
    </w:p>
    <w:p>
      <w:pPr/>
      <w:r>
        <w:rPr>
          <w:lang w:val="en_US" w:bidi="en_US"/>
        </w:rPr>
      </w:r>
      <w:r>
        <w:rPr>
          <w:b/>
          <w:lang w:val="en_US" w:bidi="en_US"/>
        </w:rPr>
        <w:t>to betray Jesus to them:</w:t>
      </w:r>
      <w:r>
        <w:rPr>
          <w:lang w:val="en_US" w:bidi="en_US"/>
        </w:rPr>
        <w:t xml:space="preserve"> The Greek verb that the BSB translates as </w:t>
      </w:r>
      <w:r>
        <w:rPr>
          <w:i/>
          <w:lang w:val="en_US" w:bidi="en_US"/>
        </w:rPr>
        <w:t>to betray Jesus to them</w:t>
      </w:r>
      <w:r>
        <w:rPr>
          <w:lang w:val="en_US" w:bidi="en_US"/>
        </w:rPr>
        <w:t xml:space="preserve"> is the same verb that is translated as “betray” in 22:4c. Consider whether in your language it would be more natural to use the same word or a different word with a similar meaning.</w:t>
      </w:r>
    </w:p>
    <w:p>
      <w:pPr>
        <w:pStyle w:val="Heading5"/>
      </w:pPr>
      <w:r>
        <w:rPr>
          <w:lang w:val="en_US" w:bidi="en_US"/>
        </w:rPr>
        <w:t>22:6b</w:t>
      </w:r>
    </w:p>
    <w:p>
      <w:pPr/>
      <w:r>
        <w:rPr>
          <w:lang w:val="en_US" w:bidi="en_US"/>
        </w:rPr>
      </w:r>
      <w:r>
        <w:rPr>
          <w:b/>
          <w:lang w:val="en_US" w:bidi="en_US"/>
        </w:rPr>
        <w:t>in the absence of a crowd.</w:t>
      </w:r>
    </w:p>
    <w:p>
      <w:pPr>
        <w:pStyle w:val="ListBullet"/>
        <w:spacing w:line="240" w:lineRule="auto"/>
        <w:ind w:left="720"/>
      </w:pPr>
      <w:r>
        <w:rPr>
          <w:lang w:val="en_US" w:bidi="en_US"/>
        </w:rPr>
      </w:r>
      <w:r>
        <w:rPr>
          <w:lang w:val="en_US" w:bidi="en_US"/>
        </w:rPr>
        <w:t>at a time when Jesus was away from the crowd/people.</w:t>
      </w:r>
    </w:p>
    <w:p>
      <w:pPr>
        <w:pStyle w:val="ListBullet"/>
        <w:spacing w:line="240" w:lineRule="auto"/>
        <w:ind w:left="720"/>
      </w:pPr>
      <w:r>
        <w:rPr>
          <w:lang w:val="en_US" w:bidi="en_US"/>
        </w:rPr>
      </w:r>
      <w:r>
        <w:rPr>
          <w:lang w:val="en_US" w:bidi="en_US"/>
        </w:rPr>
        <w:t>privately</w:t>
      </w:r>
      <w:r>
        <w:rPr>
          <w:lang w:val="en_US" w:bidi="en_US"/>
        </w:rPr>
        <w:t xml:space="preserve"> when only a few people were with him.</w:t>
      </w:r>
    </w:p>
    <w:p>
      <w:pPr>
        <w:pStyle w:val="ListBullet"/>
        <w:spacing w:line="240" w:lineRule="auto"/>
        <w:ind w:left="720"/>
      </w:pPr>
      <w:r>
        <w:rPr>
          <w:lang w:val="en_US" w:bidi="en_US"/>
        </w:rPr>
      </w:r>
      <w:r>
        <w:rPr>
          <w:lang w:val="en_US" w:bidi="en_US"/>
        </w:rPr>
        <w:t xml:space="preserve">when people were not there </w:t>
      </w:r>
      <w:r>
        <w:rPr>
          <w:lang w:val="en_US" w:bidi="en_US"/>
        </w:rPr>
        <w:t>to see them arrest him</w:t>
      </w:r>
      <w:r>
        <w:rPr>
          <w:lang w:val="en_US" w:bidi="en_US"/>
        </w:rPr>
        <w:t>.</w:t>
      </w:r>
    </w:p>
    <w:p>
      <w:pPr/>
      <w:r>
        <w:rPr>
          <w:lang w:val="en_US" w:bidi="en_US"/>
        </w:rPr>
      </w:r>
      <w:r>
        <w:rPr>
          <w:b/>
          <w:lang w:val="en_US" w:bidi="en_US"/>
        </w:rPr>
        <w:t>in the absence of a crowd:</w:t>
      </w:r>
      <w:r>
        <w:rPr>
          <w:lang w:val="en_US" w:bidi="en_US"/>
        </w:rPr>
        <w:t xml:space="preserve"> The Greek phrase that the BSB translates as </w:t>
      </w:r>
      <w:r>
        <w:rPr>
          <w:i/>
          <w:lang w:val="en_US" w:bidi="en_US"/>
        </w:rPr>
        <w:t>in the absence of a crowd</w:t>
      </w:r>
      <w:r>
        <w:rPr>
          <w:lang w:val="en_US" w:bidi="en_US"/>
        </w:rPr>
        <w:t xml:space="preserve"> refers to a time when Jesus was not surrounded by many people. If Jesus was alone or with only a few disciples, the temple guards could arrest him easily. The people who usually listened to Jesus would not know that the guards had arrested him. Some other ways to translate this are:</w:t>
      </w:r>
    </w:p>
    <w:p>
      <w:pPr/>
      <w:r>
        <w:rPr>
          <w:lang w:val="en_US" w:bidi="en_US"/>
        </w:rPr>
      </w:r>
      <w:r>
        <w:rPr>
          <w:lang w:val="en_US" w:bidi="en_US"/>
        </w:rPr>
        <w:t>when he was away from the crowds/people</w:t>
      </w:r>
    </w:p>
    <w:p>
      <w:pPr/>
      <w:r>
        <w:rPr>
          <w:lang w:val="en_US" w:bidi="en_US"/>
        </w:rPr>
      </w:r>
      <w:r>
        <w:rPr>
          <w:lang w:val="en_US" w:bidi="en_US"/>
        </w:rPr>
        <w:t>when he was not surrounded by many people</w:t>
      </w:r>
    </w:p>
    <w:p>
      <w:pPr/>
      <w:r>
        <w:rPr>
          <w:lang w:val="en_US" w:bidi="en_US"/>
        </w:rPr>
      </w:r>
      <w:r>
        <w:rPr>
          <w:lang w:val="en_US" w:bidi="en_US"/>
        </w:rPr>
        <w:t>when only a few people were with him</w:t>
      </w:r>
      <w:r>
        <w:rPr>
          <w:lang w:val="en_US" w:bidi="en_US"/>
        </w:rPr>
      </w:r>
      <w:r>
        <w:rPr>
          <w:lang w:val="en_US" w:bidi="en_US"/>
        </w:rPr>
      </w:r>
    </w:p>
    <w:p>
      <w:pPr/>
      <w:r>
        <w:rPr>
          <w:lang w:val="en_US" w:bidi="en_US"/>
        </w:rPr>
      </w:r>
    </w:p>
    <w:p>
      <w:pPr>
        <w:pStyle w:val="Heading2"/>
      </w:pPr>
      <w:r>
        <w:rPr>
          <w:lang w:val="en_US" w:bidi="en_US"/>
        </w:rPr>
        <w:t>Luke 22:7</w:t>
      </w:r>
      <w:r>
        <w:rPr>
          <w:lang w:val="en_US" w:bidi="en_US"/>
        </w:rPr>
      </w:r>
    </w:p>
    <w:p>
      <w:pPr>
        <w:pStyle w:val="Heading4"/>
      </w:pPr>
      <w:r>
        <w:rPr>
          <w:lang w:val="en_US" w:bidi="en_US"/>
        </w:rPr>
        <w:t>Section 22:7–13: Jesus sent two disciples to prepare for the Passover celebration</w:t>
      </w:r>
    </w:p>
    <w:p>
      <w:pPr/>
      <w:r>
        <w:rPr>
          <w:lang w:val="en_US" w:bidi="en_US"/>
        </w:rPr>
      </w:r>
      <w:r>
        <w:rPr>
          <w:lang w:val="en_US" w:bidi="en_US"/>
        </w:rPr>
        <w:t>This section begins on “the Day of Unleavened Bread.” On that day the Jewish people had to remove from their houses all “leaven” (yeast) and any bread or other food that was made with yeast. Also on that day, each family had to sacrifice a lamb for the Passover meal. In the context of sacrifice, people could refer to any of these lambs as “the Passover” without adding the word “lamb.” For example, see Exodus 12:21 and Deuteronomy 16:2. This is similar to its use in 1 Corinthians 5:7: “Christ our Passover is sacrificed for us.”</w:t>
      </w:r>
    </w:p>
    <w:p>
      <w:pPr/>
      <w:r>
        <w:rPr>
          <w:lang w:val="en_US" w:bidi="en_US"/>
        </w:rPr>
      </w:r>
      <w:r>
        <w:rPr>
          <w:lang w:val="en_US" w:bidi="en_US"/>
        </w:rPr>
        <w:t>Luke, Paul, and other New Testament writers implied that the lamb that was sacrificed on Passover symbolized the fact that Jesus offered himself as a sacrifice to save people from slavery to sin. Jesus knew that during the time of the festival, he himself would become a sacrifice. He would become the “Lamb of God who takes away the sin of the world” (John 1:29).</w:t>
      </w:r>
    </w:p>
    <w:p>
      <w:pPr/>
      <w:r>
        <w:rPr>
          <w:lang w:val="en_US" w:bidi="en_US"/>
        </w:rPr>
      </w:r>
      <w:r>
        <w:rPr>
          <w:lang w:val="en_US" w:bidi="en_US"/>
        </w:rPr>
        <w:t>In this section, Jesus sent two disciples to make preparations for the Passover celebration.</w:t>
      </w:r>
    </w:p>
    <w:p>
      <w:pPr/>
      <w:r>
        <w:rPr>
          <w:lang w:val="en_US" w:bidi="en_US"/>
        </w:rPr>
      </w:r>
      <w:r>
        <w:rPr>
          <w:lang w:val="en_US" w:bidi="en_US"/>
        </w:rPr>
        <w:t>There are parallel passages for this section in Matthew 26:17–25, Mark 14:12–21, and John 13:21–30. Examples of other headings for this section are:</w:t>
      </w:r>
    </w:p>
    <w:p>
      <w:pPr/>
      <w:r>
        <w:rPr>
          <w:lang w:val="en_US" w:bidi="en_US"/>
        </w:rPr>
      </w:r>
      <w:r>
        <w:rPr>
          <w:lang w:val="en_US" w:bidi="en_US"/>
        </w:rPr>
        <w:t>The Preparation of the Passover (NRSV)</w:t>
      </w:r>
    </w:p>
    <w:p>
      <w:pPr/>
      <w:r>
        <w:rPr>
          <w:lang w:val="en_US" w:bidi="en_US"/>
        </w:rPr>
      </w:r>
      <w:r>
        <w:rPr>
          <w:lang w:val="en_US" w:bidi="en_US"/>
        </w:rPr>
        <w:t>Jesus makes arrangements for his last Passover with his disciples (JBP)</w:t>
      </w:r>
    </w:p>
    <w:p>
      <w:pPr>
        <w:pStyle w:val="Heading5"/>
      </w:pPr>
      <w:r>
        <w:rPr>
          <w:lang w:val="en_US" w:bidi="en_US"/>
        </w:rPr>
        <w:t>22:7a</w:t>
      </w:r>
    </w:p>
    <w:p>
      <w:pPr/>
      <w:r>
        <w:rPr>
          <w:lang w:val="en_US" w:bidi="en_US"/>
        </w:rPr>
      </w:r>
      <w:r>
        <w:rPr>
          <w:b/>
          <w:lang w:val="en_US" w:bidi="en_US"/>
        </w:rPr>
        <w:t>Then came the day of Unleavened Bread</w:t>
      </w:r>
    </w:p>
    <w:p>
      <w:pPr>
        <w:pStyle w:val="ListBullet"/>
        <w:spacing w:line="240" w:lineRule="auto"/>
        <w:ind w:left="720"/>
      </w:pPr>
      <w:r>
        <w:rPr>
          <w:lang w:val="en_US" w:bidi="en_US"/>
        </w:rPr>
      </w:r>
      <w:r>
        <w:rPr>
          <w:lang w:val="en_US" w:bidi="en_US"/>
        </w:rPr>
        <w:t xml:space="preserve">¶ The day came for the </w:t>
      </w:r>
      <w:r>
        <w:rPr>
          <w:lang w:val="en_US" w:bidi="en_US"/>
        </w:rPr>
        <w:t>Festival</w:t>
      </w:r>
      <w:r>
        <w:rPr>
          <w:lang w:val="en_US" w:bidi="en_US"/>
        </w:rPr>
        <w:t xml:space="preserve"> of Bread without Yeast</w:t>
      </w:r>
    </w:p>
    <w:p>
      <w:pPr>
        <w:pStyle w:val="ListBullet"/>
        <w:spacing w:line="240" w:lineRule="auto"/>
        <w:ind w:left="720"/>
      </w:pPr>
      <w:r>
        <w:rPr>
          <w:lang w:val="en_US" w:bidi="en_US"/>
        </w:rPr>
      </w:r>
      <w:r>
        <w:rPr>
          <w:lang w:val="en_US" w:bidi="en_US"/>
        </w:rPr>
        <w:t xml:space="preserve">¶ Then it was the day </w:t>
      </w:r>
      <w:r>
        <w:rPr>
          <w:lang w:val="en_US" w:bidi="en_US"/>
        </w:rPr>
        <w:t>when people prepared</w:t>
      </w:r>
      <w:r>
        <w:rPr>
          <w:lang w:val="en_US" w:bidi="en_US"/>
        </w:rPr>
        <w:t xml:space="preserve"> for the Flat Bread </w:t>
      </w:r>
      <w:r>
        <w:rPr>
          <w:lang w:val="en_US" w:bidi="en_US"/>
        </w:rPr>
        <w:t>Festival</w:t>
      </w:r>
      <w:r>
        <w:rPr>
          <w:lang w:val="en_US" w:bidi="en_US"/>
        </w:rPr>
        <w:t>.</w:t>
      </w:r>
    </w:p>
    <w:p>
      <w:pPr>
        <w:pStyle w:val="Heading5"/>
      </w:pPr>
      <w:r>
        <w:rPr>
          <w:lang w:val="en_US" w:bidi="en_US"/>
        </w:rPr>
        <w:t>22:7b</w:t>
      </w:r>
    </w:p>
    <w:p>
      <w:pPr/>
      <w:r>
        <w:rPr>
          <w:lang w:val="en_US" w:bidi="en_US"/>
        </w:rPr>
      </w:r>
      <w:r>
        <w:rPr>
          <w:b/>
          <w:lang w:val="en_US" w:bidi="en_US"/>
        </w:rPr>
        <w:t>on which the Passover lamb was to be sacrificed.</w:t>
      </w:r>
    </w:p>
    <w:p>
      <w:pPr>
        <w:pStyle w:val="ListBullet"/>
        <w:spacing w:line="240" w:lineRule="auto"/>
        <w:ind w:left="720"/>
      </w:pPr>
      <w:r>
        <w:rPr>
          <w:lang w:val="en_US" w:bidi="en_US"/>
        </w:rPr>
      </w:r>
      <w:r>
        <w:rPr>
          <w:lang w:val="en_US" w:bidi="en_US"/>
        </w:rPr>
        <w:t>when it was necessary to sacrifice the Passover lamb.</w:t>
      </w:r>
    </w:p>
    <w:p>
      <w:pPr>
        <w:pStyle w:val="ListBullet"/>
        <w:spacing w:line="240" w:lineRule="auto"/>
        <w:ind w:left="720"/>
      </w:pPr>
      <w:r>
        <w:rPr>
          <w:lang w:val="en_US" w:bidi="en_US"/>
        </w:rPr>
      </w:r>
      <w:r>
        <w:rPr>
          <w:lang w:val="en_US" w:bidi="en_US"/>
        </w:rPr>
        <w:t>On that day each family had to kill/sacrifice a young sheep for the “</w:t>
      </w:r>
      <w:r>
        <w:rPr>
          <w:lang w:val="en_US" w:bidi="en_US"/>
        </w:rPr>
        <w:t>Death</w:t>
      </w:r>
      <w:r>
        <w:rPr>
          <w:lang w:val="en_US" w:bidi="en_US"/>
        </w:rPr>
        <w:t xml:space="preserve"> Passed </w:t>
      </w:r>
      <w:r>
        <w:rPr>
          <w:lang w:val="en_US" w:bidi="en_US"/>
        </w:rPr>
        <w:t>Us</w:t>
      </w:r>
      <w:r>
        <w:rPr>
          <w:lang w:val="en_US" w:bidi="en_US"/>
        </w:rPr>
        <w:t xml:space="preserve"> By </w:t>
      </w:r>
      <w:r>
        <w:rPr>
          <w:lang w:val="en_US" w:bidi="en_US"/>
        </w:rPr>
        <w:t>Feast/Celebration</w:t>
      </w:r>
      <w:r>
        <w:rPr>
          <w:lang w:val="en_US" w:bidi="en_US"/>
        </w:rPr>
        <w:t>.”</w:t>
      </w:r>
    </w:p>
    <w:p>
      <w:pPr>
        <w:pStyle w:val="Heading5"/>
      </w:pPr>
      <w:r>
        <w:rPr>
          <w:lang w:val="en_US" w:bidi="en_US"/>
        </w:rPr>
        <w:t>22:7a–b</w:t>
      </w:r>
    </w:p>
    <w:p>
      <w:pPr/>
      <w:r>
        <w:rPr>
          <w:lang w:val="en_US" w:bidi="en_US"/>
        </w:rPr>
      </w:r>
      <w:r>
        <w:rPr>
          <w:b/>
          <w:lang w:val="en_US" w:bidi="en_US"/>
        </w:rPr>
        <w:t>Then came the day of Unleavened Bread on which the Passover lamb was to be sacrificed:</w:t>
      </w:r>
      <w:r>
        <w:rPr>
          <w:lang w:val="en_US" w:bidi="en_US"/>
        </w:rPr>
        <w:t xml:space="preserve"> This sentence identifies the day on which the events in this section occurred. The </w:t>
      </w:r>
      <w:r>
        <w:rPr>
          <w:i/>
          <w:lang w:val="en_US" w:bidi="en_US"/>
        </w:rPr>
        <w:t>day of Unleavened Bread</w:t>
      </w:r>
      <w:r>
        <w:rPr>
          <w:lang w:val="en_US" w:bidi="en_US"/>
        </w:rPr>
        <w:t xml:space="preserve"> refers to the day when people removed all yeast from their houses. They also sacrificed a lamb in preparation for the Passover meal in the evening.</w:t>
      </w:r>
      <w:r>
        <w:rPr>
          <w:lang w:val="en_US" w:bidi="en_US"/>
        </w:rPr>
        <w:t>Jewish people considered a day to begin at sunset. Before sunset on the day of Passover, people removed the yeast from their houses and took their lambs to the Temple to be killed. After sunset, they ate the Passover meal.</w:t>
      </w:r>
      <w:r>
        <w:rPr>
          <w:lang w:val="en_US" w:bidi="en_US"/>
        </w:rPr>
        <w:t xml:space="preserve"> Luke spoke of the Passover and the Feast of Unleavened Bread as one eight-day feast.</w:t>
      </w:r>
    </w:p>
    <w:p>
      <w:pPr/>
      <w:r>
        <w:rPr>
          <w:lang w:val="en_US" w:bidi="en_US"/>
        </w:rPr>
      </w:r>
      <w:r>
        <w:rPr>
          <w:lang w:val="en_US" w:bidi="en_US"/>
        </w:rPr>
        <w:t>Some other ways to translate this verse are:</w:t>
      </w:r>
    </w:p>
    <w:p>
      <w:pPr/>
      <w:r>
        <w:rPr>
          <w:lang w:val="en_US" w:bidi="en_US"/>
        </w:rPr>
      </w:r>
      <w:r>
        <w:rPr>
          <w:lang w:val="en_US" w:bidi="en_US"/>
        </w:rPr>
        <w:t>The day had come for the Festival of Thin Bread, and it was time to kill the Passover lambs. (CEV)</w:t>
      </w:r>
    </w:p>
    <w:p>
      <w:pPr/>
      <w:r>
        <w:rPr>
          <w:lang w:val="en_US" w:bidi="en_US"/>
        </w:rPr>
      </w:r>
      <w:r>
        <w:rPr>
          <w:lang w:val="en_US" w:bidi="en_US"/>
        </w:rPr>
        <w:t xml:space="preserve">On the day </w:t>
      </w:r>
      <w:r>
        <w:rPr>
          <w:lang w:val="en_US" w:bidi="en_US"/>
        </w:rPr>
        <w:t>when people began to celebrate</w:t>
      </w:r>
      <w:r>
        <w:rPr>
          <w:lang w:val="en_US" w:bidi="en_US"/>
        </w:rPr>
        <w:t xml:space="preserve"> </w:t>
      </w:r>
      <w:r>
        <w:rPr>
          <w:lang w:val="en_US" w:bidi="en_US"/>
        </w:rPr>
        <w:t>the Feast of</w:t>
      </w:r>
      <w:r>
        <w:rPr>
          <w:lang w:val="en_US" w:bidi="en_US"/>
        </w:rPr>
        <w:t xml:space="preserve"> Unleavened Bread, </w:t>
      </w:r>
      <w:r>
        <w:rPr>
          <w:lang w:val="en_US" w:bidi="en_US"/>
        </w:rPr>
        <w:t>the lamb for</w:t>
      </w:r>
      <w:r>
        <w:rPr>
          <w:lang w:val="en_US" w:bidi="en_US"/>
        </w:rPr>
        <w:t xml:space="preserve"> the Passover </w:t>
      </w:r>
      <w:r>
        <w:rPr>
          <w:lang w:val="en_US" w:bidi="en_US"/>
        </w:rPr>
        <w:t>meal</w:t>
      </w:r>
      <w:r>
        <w:rPr>
          <w:lang w:val="en_US" w:bidi="en_US"/>
        </w:rPr>
        <w:t xml:space="preserve"> had to be sacrificed.</w:t>
      </w:r>
    </w:p>
    <w:p>
      <w:pPr/>
      <w:r>
        <w:rPr>
          <w:lang w:val="en_US" w:bidi="en_US"/>
        </w:rPr>
      </w:r>
      <w:r>
        <w:rPr>
          <w:lang w:val="en_US" w:bidi="en_US"/>
        </w:rPr>
        <w:t>Then came the first day of Unleavened Bread on which the Passover lamb had to be sacrificed. (NASB)</w:t>
      </w:r>
    </w:p>
    <w:p>
      <w:pPr/>
      <w:r>
        <w:rPr>
          <w:lang w:val="en_US" w:bidi="en_US"/>
        </w:rPr>
      </w:r>
      <w:r>
        <w:rPr>
          <w:b/>
          <w:lang w:val="en_US" w:bidi="en_US"/>
        </w:rPr>
        <w:t>Unleavened Bread:</w:t>
      </w:r>
      <w:r>
        <w:rPr>
          <w:lang w:val="en_US" w:bidi="en_US"/>
        </w:rPr>
        <w:t xml:space="preserve"> The term </w:t>
      </w:r>
      <w:r>
        <w:rPr>
          <w:i/>
          <w:lang w:val="en_US" w:bidi="en_US"/>
        </w:rPr>
        <w:t>Unleavened Bread</w:t>
      </w:r>
      <w:r>
        <w:rPr>
          <w:lang w:val="en_US" w:bidi="en_US"/>
        </w:rPr>
        <w:t xml:space="preserve"> refers to bread that is flat or thin because people have prepared it without yeast. See the note on 22:1a–b for translation advice and examples.</w:t>
      </w:r>
    </w:p>
    <w:p>
      <w:pPr/>
      <w:r>
        <w:rPr>
          <w:lang w:val="en_US" w:bidi="en_US"/>
        </w:rPr>
      </w:r>
      <w:r>
        <w:rPr>
          <w:b/>
          <w:lang w:val="en_US" w:bidi="en_US"/>
        </w:rPr>
        <w:t>the Passover lamb was to be sacrificed:</w:t>
      </w:r>
      <w:r>
        <w:rPr>
          <w:lang w:val="en_US" w:bidi="en_US"/>
        </w:rPr>
        <w:t xml:space="preserve"> The Greek clause that the BSB translates as </w:t>
      </w:r>
      <w:r>
        <w:rPr>
          <w:i/>
          <w:lang w:val="en_US" w:bidi="en_US"/>
        </w:rPr>
        <w:t>the Passover lamb was to be sacrificed</w:t>
      </w:r>
      <w:r>
        <w:rPr>
          <w:lang w:val="en_US" w:bidi="en_US"/>
        </w:rPr>
        <w:t xml:space="preserve"> is more literally “it was necessary for the Passover to be sacrificed.” This verb </w:t>
      </w:r>
      <w:r>
        <w:rPr>
          <w:i/>
          <w:lang w:val="en_US" w:bidi="en_US"/>
        </w:rPr>
        <w:t>to be sacrificed</w:t>
      </w:r>
      <w:r>
        <w:rPr>
          <w:lang w:val="en_US" w:bidi="en_US"/>
        </w:rPr>
        <w:t xml:space="preserve"> is passive. It does not specify who must sacrifice the lamb. However, the instructions in Exodus</w:t>
      </w:r>
      <w:r>
        <w:rPr>
          <w:lang w:val="en_US" w:bidi="en_US"/>
        </w:rPr>
        <w:t>See, for example, Exodus 12:6.</w:t>
      </w:r>
      <w:r>
        <w:rPr>
          <w:lang w:val="en_US" w:bidi="en_US"/>
        </w:rPr>
        <w:t xml:space="preserve"> indicate that each family must sacrifice a lamb. It was necessary to sacrifice the lambs because God commanded them to do it.</w:t>
      </w:r>
    </w:p>
    <w:p>
      <w:pPr/>
      <w:r>
        <w:rPr>
          <w:lang w:val="en_US" w:bidi="en_US"/>
        </w:rPr>
      </w:r>
      <w:r>
        <w:rPr>
          <w:lang w:val="en_US" w:bidi="en_US"/>
        </w:rPr>
        <w:t>Some other ways to translate this clause are:</w:t>
      </w:r>
    </w:p>
    <w:p>
      <w:pPr/>
      <w:r>
        <w:rPr>
          <w:lang w:val="en_US" w:bidi="en_US"/>
        </w:rPr>
      </w:r>
      <w:r>
        <w:rPr>
          <w:lang w:val="en_US" w:bidi="en_US"/>
        </w:rPr>
        <w:t xml:space="preserve">when </w:t>
      </w:r>
      <w:r>
        <w:rPr>
          <w:lang w:val="en_US" w:bidi="en_US"/>
        </w:rPr>
        <w:t>each family</w:t>
      </w:r>
      <w:r>
        <w:rPr>
          <w:lang w:val="en_US" w:bidi="en_US"/>
        </w:rPr>
        <w:t xml:space="preserve"> had to sacrifice a lamb for the Passover </w:t>
      </w:r>
      <w:r>
        <w:rPr>
          <w:lang w:val="en_US" w:bidi="en_US"/>
        </w:rPr>
        <w:t>festival</w:t>
      </w:r>
    </w:p>
    <w:p>
      <w:pPr/>
      <w:r>
        <w:rPr>
          <w:lang w:val="en_US" w:bidi="en_US"/>
        </w:rPr>
      </w:r>
      <w:r>
        <w:rPr>
          <w:lang w:val="en_US" w:bidi="en_US"/>
        </w:rPr>
        <w:t xml:space="preserve">when </w:t>
      </w:r>
      <w:r>
        <w:rPr>
          <w:lang w:val="en_US" w:bidi="en_US"/>
        </w:rPr>
        <w:t>people</w:t>
      </w:r>
      <w:r>
        <w:rPr>
          <w:lang w:val="en_US" w:bidi="en_US"/>
        </w:rPr>
        <w:t xml:space="preserve"> must sacrifice </w:t>
      </w:r>
      <w:r>
        <w:rPr>
          <w:lang w:val="en_US" w:bidi="en_US"/>
        </w:rPr>
        <w:t>sheep/lambs</w:t>
      </w:r>
      <w:r>
        <w:rPr>
          <w:lang w:val="en_US" w:bidi="en_US"/>
        </w:rPr>
        <w:t xml:space="preserve"> for Passover, </w:t>
      </w:r>
      <w:r>
        <w:rPr>
          <w:lang w:val="en_US" w:bidi="en_US"/>
        </w:rPr>
        <w:t>as God commanded</w:t>
      </w:r>
    </w:p>
    <w:p>
      <w:pPr/>
      <w:r>
        <w:rPr>
          <w:lang w:val="en_US" w:bidi="en_US"/>
        </w:rPr>
      </w:r>
      <w:r>
        <w:rPr>
          <w:b/>
          <w:lang w:val="en_US" w:bidi="en_US"/>
        </w:rPr>
        <w:t>the Passover lamb:</w:t>
      </w:r>
      <w:r>
        <w:rPr>
          <w:lang w:val="en_US" w:bidi="en_US"/>
        </w:rPr>
        <w:t xml:space="preserve"> The word </w:t>
      </w:r>
      <w:r>
        <w:rPr>
          <w:i/>
          <w:lang w:val="en_US" w:bidi="en_US"/>
        </w:rPr>
        <w:t>Passover</w:t>
      </w:r>
      <w:r>
        <w:rPr>
          <w:lang w:val="en_US" w:bidi="en_US"/>
        </w:rPr>
        <w:t xml:space="preserve"> refers here to the lamb that must be sacrificed, so the BSB supplies the word </w:t>
      </w:r>
      <w:r>
        <w:rPr>
          <w:i/>
          <w:lang w:val="en_US" w:bidi="en_US"/>
        </w:rPr>
        <w:t>lamb</w:t>
      </w:r>
      <w:r>
        <w:rPr>
          <w:lang w:val="en_US" w:bidi="en_US"/>
        </w:rPr>
        <w:t xml:space="preserve">. The </w:t>
      </w:r>
      <w:r>
        <w:rPr>
          <w:i/>
          <w:lang w:val="en_US" w:bidi="en_US"/>
        </w:rPr>
        <w:t>Passover lamb</w:t>
      </w:r>
      <w:r>
        <w:rPr>
          <w:lang w:val="en_US" w:bidi="en_US"/>
        </w:rPr>
        <w:t xml:space="preserve"> is more specifically described in Exodus 12:5, which says, “The animals you choose must be year-old males without defect, and you may take them from the sheep or the goats.”</w:t>
      </w:r>
    </w:p>
    <w:p>
      <w:pPr/>
      <w:r>
        <w:rPr>
          <w:lang w:val="en_US" w:bidi="en_US"/>
        </w:rPr>
      </w:r>
      <w:r>
        <w:rPr>
          <w:lang w:val="en_US" w:bidi="en_US"/>
        </w:rPr>
        <w:t>Use an appropriate word in your language to refer to a sheep or goat that is a year old. The text does not refer to a baby animal. A year-old animal would be large enough to feed a whole family for the feast.</w:t>
      </w:r>
    </w:p>
    <w:p>
      <w:pPr/>
      <w:r>
        <w:rPr>
          <w:lang w:val="en_US" w:bidi="en_US"/>
        </w:rPr>
      </w:r>
      <w:r>
        <w:rPr>
          <w:b/>
          <w:lang w:val="en_US" w:bidi="en_US"/>
        </w:rPr>
        <w:t>to be sacrificed:</w:t>
      </w:r>
      <w:r>
        <w:rPr>
          <w:lang w:val="en_US" w:bidi="en_US"/>
        </w:rPr>
        <w:t xml:space="preserve"> The Greek verb that the BSB translates as </w:t>
      </w:r>
      <w:r>
        <w:rPr>
          <w:i/>
          <w:lang w:val="en_US" w:bidi="en_US"/>
        </w:rPr>
        <w:t>to be sacrificed</w:t>
      </w:r>
      <w:r>
        <w:rPr>
          <w:lang w:val="en_US" w:bidi="en_US"/>
        </w:rPr>
        <w:t xml:space="preserve"> may refer either to offering an animal as a sacrifice or more generally to killing it. People took their Passover lamb to the temple of God to kill it. Then a priest poured the lamb’s blood on the altar and took part of its meat. The family ate the rest of the meat at the Passover meal in the evening.</w:t>
      </w:r>
    </w:p>
    <w:p>
      <w:pPr/>
      <w:r>
        <w:rPr>
          <w:lang w:val="en_US" w:bidi="en_US"/>
        </w:rPr>
      </w:r>
      <w:r>
        <w:rPr>
          <w:lang w:val="en_US" w:bidi="en_US"/>
        </w:rPr>
        <w:t xml:space="preserve">In some languages a verb like </w:t>
      </w:r>
      <w:r>
        <w:rPr>
          <w:i/>
          <w:lang w:val="en_US" w:bidi="en_US"/>
        </w:rPr>
        <w:t>sacrificed</w:t>
      </w:r>
      <w:r>
        <w:rPr>
          <w:lang w:val="en_US" w:bidi="en_US"/>
        </w:rPr>
        <w:t xml:space="preserve"> implies that the entire lamb is burned or that all the meat is given to the priest. If that is true in your language, you may need to use a more general word. For example:</w:t>
      </w:r>
    </w:p>
    <w:p>
      <w:pPr/>
      <w:r>
        <w:rPr>
          <w:lang w:val="en_US" w:bidi="en_US"/>
        </w:rPr>
      </w:r>
      <w:r>
        <w:rPr>
          <w:lang w:val="en_US" w:bidi="en_US"/>
        </w:rPr>
        <w:t>to be killed (GNT)</w:t>
      </w:r>
      <w:r>
        <w:rPr>
          <w:lang w:val="en_US" w:bidi="en_US"/>
        </w:rPr>
      </w:r>
      <w:r>
        <w:rPr>
          <w:lang w:val="en_US" w:bidi="en_US"/>
        </w:rPr>
      </w:r>
    </w:p>
    <w:p>
      <w:pPr/>
      <w:r>
        <w:rPr>
          <w:lang w:val="en_US" w:bidi="en_US"/>
        </w:rPr>
      </w:r>
    </w:p>
    <w:p>
      <w:pPr>
        <w:pStyle w:val="Heading2"/>
      </w:pPr>
      <w:r>
        <w:rPr>
          <w:lang w:val="en_US" w:bidi="en_US"/>
        </w:rPr>
        <w:t>Luke 22:8</w:t>
      </w:r>
      <w:r>
        <w:rPr>
          <w:lang w:val="en_US" w:bidi="en_US"/>
        </w:rPr>
      </w:r>
    </w:p>
    <w:p>
      <w:pPr>
        <w:pStyle w:val="Heading4"/>
      </w:pPr>
      <w:r>
        <w:rPr>
          <w:lang w:val="en_US" w:bidi="en_US"/>
        </w:rPr>
        <w:t>Section 22:7–13: Jesus sent two disciples to prepare for the Passover celebration</w:t>
      </w:r>
    </w:p>
    <w:p>
      <w:pPr/>
      <w:r>
        <w:rPr>
          <w:lang w:val="en_US" w:bidi="en_US"/>
        </w:rPr>
      </w:r>
      <w:r>
        <w:rPr>
          <w:lang w:val="en_US" w:bidi="en_US"/>
        </w:rPr>
        <w:t>This section begins on “the Day of Unleavened Bread.” On that day the Jewish people had to remove from their houses all “leaven” (yeast) and any bread or other food that was made with yeast. Also on that day, each family had to sacrifice a lamb for the Passover meal. In the context of sacrifice, people could refer to any of these lambs as “the Passover” without adding the word “lamb.” For example, see Exodus 12:21 and Deuteronomy 16:2. This is similar to its use in 1 Corinthians 5:7: “Christ our Passover is sacrificed for us.”</w:t>
      </w:r>
    </w:p>
    <w:p>
      <w:pPr/>
      <w:r>
        <w:rPr>
          <w:lang w:val="en_US" w:bidi="en_US"/>
        </w:rPr>
      </w:r>
      <w:r>
        <w:rPr>
          <w:lang w:val="en_US" w:bidi="en_US"/>
        </w:rPr>
        <w:t>Luke, Paul, and other New Testament writers implied that the lamb that was sacrificed on Passover symbolized the fact that Jesus offered himself as a sacrifice to save people from slavery to sin. Jesus knew that during the time of the festival, he himself would become a sacrifice. He would become the “Lamb of God who takes away the sin of the world” (John 1:29).</w:t>
      </w:r>
    </w:p>
    <w:p>
      <w:pPr/>
      <w:r>
        <w:rPr>
          <w:lang w:val="en_US" w:bidi="en_US"/>
        </w:rPr>
      </w:r>
      <w:r>
        <w:rPr>
          <w:lang w:val="en_US" w:bidi="en_US"/>
        </w:rPr>
        <w:t>In this section, Jesus sent two disciples to make preparations for the Passover celebration.</w:t>
      </w:r>
    </w:p>
    <w:p>
      <w:pPr/>
      <w:r>
        <w:rPr>
          <w:lang w:val="en_US" w:bidi="en_US"/>
        </w:rPr>
      </w:r>
      <w:r>
        <w:rPr>
          <w:lang w:val="en_US" w:bidi="en_US"/>
        </w:rPr>
        <w:t>There are parallel passages for this section in Matthew 26:17–25, Mark 14:12–21, and John 13:21–30. Examples of other headings for this section are:</w:t>
      </w:r>
    </w:p>
    <w:p>
      <w:pPr/>
      <w:r>
        <w:rPr>
          <w:lang w:val="en_US" w:bidi="en_US"/>
        </w:rPr>
      </w:r>
      <w:r>
        <w:rPr>
          <w:lang w:val="en_US" w:bidi="en_US"/>
        </w:rPr>
        <w:t>The Preparation of the Passover (NRSV)</w:t>
      </w:r>
    </w:p>
    <w:p>
      <w:pPr/>
      <w:r>
        <w:rPr>
          <w:lang w:val="en_US" w:bidi="en_US"/>
        </w:rPr>
      </w:r>
      <w:r>
        <w:rPr>
          <w:lang w:val="en_US" w:bidi="en_US"/>
        </w:rPr>
        <w:t>Jesus makes arrangements for his last Passover with his disciples (JBP)</w:t>
      </w:r>
    </w:p>
    <w:p>
      <w:pPr>
        <w:pStyle w:val="Heading5"/>
      </w:pPr>
      <w:r>
        <w:rPr>
          <w:lang w:val="en_US" w:bidi="en_US"/>
        </w:rPr>
        <w:t>22:8a</w:t>
      </w:r>
    </w:p>
    <w:p>
      <w:pPr/>
      <w:r>
        <w:rPr>
          <w:lang w:val="en_US" w:bidi="en_US"/>
        </w:rPr>
      </w:r>
      <w:r>
        <w:rPr>
          <w:b/>
          <w:lang w:val="en_US" w:bidi="en_US"/>
        </w:rPr>
        <w:t>Jesus sent Peter and John, saying,</w:t>
      </w:r>
    </w:p>
    <w:p>
      <w:pPr>
        <w:pStyle w:val="ListBullet"/>
        <w:spacing w:line="240" w:lineRule="auto"/>
        <w:ind w:left="720"/>
      </w:pPr>
      <w:r>
        <w:rPr>
          <w:lang w:val="en_US" w:bidi="en_US"/>
        </w:rPr>
      </w:r>
      <w:r>
        <w:rPr>
          <w:lang w:val="en_US" w:bidi="en_US"/>
        </w:rPr>
        <w:t>And Jesus gave instructions to Peter and John, saying,</w:t>
      </w:r>
    </w:p>
    <w:p>
      <w:pPr>
        <w:pStyle w:val="ListBullet"/>
        <w:spacing w:line="240" w:lineRule="auto"/>
        <w:ind w:left="720"/>
      </w:pPr>
      <w:r>
        <w:rPr>
          <w:lang w:val="en_US" w:bidi="en_US"/>
        </w:rPr>
      </w:r>
      <w:r>
        <w:rPr>
          <w:lang w:val="en_US" w:bidi="en_US"/>
        </w:rPr>
        <w:t xml:space="preserve">So Jesus told Peter and John to go </w:t>
      </w:r>
      <w:r>
        <w:rPr>
          <w:lang w:val="en_US" w:bidi="en_US"/>
        </w:rPr>
        <w:t>ahead of him</w:t>
      </w:r>
      <w:r>
        <w:rPr>
          <w:lang w:val="en_US" w:bidi="en_US"/>
        </w:rPr>
        <w:t xml:space="preserve"> and do certain things. He said to them,</w:t>
      </w:r>
    </w:p>
    <w:p>
      <w:pPr>
        <w:pStyle w:val="Heading5"/>
      </w:pPr>
      <w:r>
        <w:rPr>
          <w:lang w:val="en_US" w:bidi="en_US"/>
        </w:rPr>
        <w:t>22:8a–c</w:t>
      </w:r>
    </w:p>
    <w:p>
      <w:pPr/>
      <w:r>
        <w:rPr>
          <w:lang w:val="en_US" w:bidi="en_US"/>
        </w:rPr>
      </w:r>
      <w:r>
        <w:rPr>
          <w:lang w:val="en_US" w:bidi="en_US"/>
        </w:rPr>
        <w:t>This verse tells what Jesus did because the Passover time was arriving. In Greek it begins with a common conjunction that is often translated as “and.” Several versions, such as the RSV, begin the verse with “So.” Connect this verse to 22:7 in a natural way in your language.</w:t>
      </w:r>
    </w:p>
    <w:p>
      <w:pPr/>
      <w:r>
        <w:rPr>
          <w:lang w:val="en_US" w:bidi="en_US"/>
        </w:rPr>
      </w:r>
      <w:r>
        <w:rPr>
          <w:b/>
          <w:lang w:val="en_US" w:bidi="en_US"/>
        </w:rPr>
        <w:t>Jesus sent Peter and John, saying, “Go and prepare for us to eat the Passover.”:</w:t>
      </w:r>
      <w:r>
        <w:rPr>
          <w:lang w:val="en_US" w:bidi="en_US"/>
        </w:rPr>
        <w:t xml:space="preserve"> Here Jesus told Peter and John to go and prepare for him and the apostles to eat the Passover meal together. The location for the meal is not stated until 22:10, where Jesus told them to go into the city of Jerusalem.</w:t>
      </w:r>
    </w:p>
    <w:p>
      <w:pPr/>
      <w:r>
        <w:rPr>
          <w:lang w:val="en_US" w:bidi="en_US"/>
        </w:rPr>
      </w:r>
      <w:r>
        <w:rPr>
          <w:lang w:val="en_US" w:bidi="en_US"/>
        </w:rPr>
        <w:t>In some languages it may be necessary to specify the location here in this verse. For example:</w:t>
      </w:r>
    </w:p>
    <w:p>
      <w:pPr/>
      <w:r>
        <w:rPr>
          <w:lang w:val="en_US" w:bidi="en_US"/>
        </w:rPr>
      </w:r>
      <w:r>
        <w:rPr>
          <w:lang w:val="en_US" w:bidi="en_US"/>
        </w:rPr>
        <w:t xml:space="preserve">So Jesus sent Peter and John </w:t>
      </w:r>
      <w:r>
        <w:rPr>
          <w:lang w:val="en_US" w:bidi="en_US"/>
        </w:rPr>
        <w:t>into Jerusalem</w:t>
      </w:r>
      <w:r>
        <w:rPr>
          <w:lang w:val="en_US" w:bidi="en_US"/>
        </w:rPr>
        <w:t>, saying, “Go make preparations for us to eat the Passover.”</w:t>
      </w:r>
    </w:p>
    <w:p>
      <w:pPr/>
      <w:r>
        <w:rPr>
          <w:lang w:val="en_US" w:bidi="en_US"/>
        </w:rPr>
      </w:r>
      <w:r>
        <w:rPr>
          <w:lang w:val="en_US" w:bidi="en_US"/>
        </w:rPr>
        <w:t xml:space="preserve">Jesus gave Peter and John these instructions: “Go </w:t>
      </w:r>
      <w:r>
        <w:rPr>
          <w:lang w:val="en_US" w:bidi="en_US"/>
        </w:rPr>
        <w:t>into the city</w:t>
      </w:r>
      <w:r>
        <w:rPr>
          <w:lang w:val="en_US" w:bidi="en_US"/>
        </w:rPr>
        <w:t xml:space="preserve"> and prepare for our Passover meal.”</w:t>
      </w:r>
    </w:p>
    <w:p>
      <w:pPr/>
      <w:r>
        <w:rPr>
          <w:lang w:val="en_US" w:bidi="en_US"/>
        </w:rPr>
      </w:r>
      <w:r>
        <w:rPr>
          <w:lang w:val="en_US" w:bidi="en_US"/>
        </w:rPr>
        <w:t>In some languages it may be more natural to use indirect speech for the instructions. See the General Comment on 22:8a–c for an example.</w:t>
      </w:r>
    </w:p>
    <w:p>
      <w:pPr>
        <w:pStyle w:val="Heading5"/>
      </w:pPr>
      <w:r>
        <w:rPr>
          <w:lang w:val="en_US" w:bidi="en_US"/>
        </w:rPr>
        <w:t>22:8b</w:t>
      </w:r>
    </w:p>
    <w:p>
      <w:pPr/>
      <w:r>
        <w:rPr>
          <w:lang w:val="en_US" w:bidi="en_US"/>
        </w:rPr>
      </w:r>
      <w:r>
        <w:rPr>
          <w:b/>
          <w:lang w:val="en_US" w:bidi="en_US"/>
        </w:rPr>
        <w:t>“Go and prepare</w:t>
      </w:r>
    </w:p>
    <w:p>
      <w:pPr>
        <w:pStyle w:val="ListBullet"/>
        <w:spacing w:line="240" w:lineRule="auto"/>
        <w:ind w:left="720"/>
      </w:pPr>
      <w:r>
        <w:rPr>
          <w:lang w:val="en_US" w:bidi="en_US"/>
        </w:rPr>
      </w:r>
      <w:r>
        <w:rPr>
          <w:lang w:val="en_US" w:bidi="en_US"/>
        </w:rPr>
        <w:t>“Go</w:t>
      </w:r>
      <w:r>
        <w:rPr>
          <w:vertAlign w:val="superscript"/>
          <w:lang w:val="en_US" w:bidi="en_US"/>
        </w:rPr>
        <w:t>(plur)</w:t>
      </w:r>
      <w:r>
        <w:rPr>
          <w:lang w:val="en_US" w:bidi="en_US"/>
        </w:rPr>
        <w:t xml:space="preserve"> prepare </w:t>
      </w:r>
      <w:r>
        <w:rPr>
          <w:lang w:val="en_US" w:bidi="en_US"/>
        </w:rPr>
        <w:t>what is necessary</w:t>
      </w:r>
    </w:p>
    <w:p>
      <w:pPr>
        <w:pStyle w:val="ListBullet"/>
        <w:spacing w:line="240" w:lineRule="auto"/>
        <w:ind w:left="720"/>
      </w:pPr>
      <w:r>
        <w:rPr>
          <w:lang w:val="en_US" w:bidi="en_US"/>
        </w:rPr>
      </w:r>
      <w:r>
        <w:rPr>
          <w:lang w:val="en_US" w:bidi="en_US"/>
        </w:rPr>
        <w:t>“Go</w:t>
      </w:r>
      <w:r>
        <w:rPr>
          <w:vertAlign w:val="superscript"/>
          <w:lang w:val="en_US" w:bidi="en_US"/>
        </w:rPr>
        <w:t>(dual)</w:t>
      </w:r>
      <w:r>
        <w:rPr>
          <w:lang w:val="en_US" w:bidi="en_US"/>
        </w:rPr>
        <w:t xml:space="preserve"> </w:t>
      </w:r>
      <w:r>
        <w:rPr>
          <w:lang w:val="en_US" w:bidi="en_US"/>
        </w:rPr>
        <w:t>into the city</w:t>
      </w:r>
      <w:r>
        <w:rPr>
          <w:lang w:val="en_US" w:bidi="en_US"/>
        </w:rPr>
        <w:t xml:space="preserve"> and get </w:t>
      </w:r>
      <w:r>
        <w:rPr>
          <w:lang w:val="en_US" w:bidi="en_US"/>
        </w:rPr>
        <w:t>everything</w:t>
      </w:r>
      <w:r>
        <w:rPr>
          <w:lang w:val="en_US" w:bidi="en_US"/>
        </w:rPr>
        <w:t xml:space="preserve"> ready</w:t>
      </w:r>
    </w:p>
    <w:p>
      <w:pPr>
        <w:pStyle w:val="Heading5"/>
      </w:pPr>
      <w:r>
        <w:rPr>
          <w:lang w:val="en_US" w:bidi="en_US"/>
        </w:rPr>
        <w:t>22:8c</w:t>
      </w:r>
    </w:p>
    <w:p>
      <w:pPr/>
      <w:r>
        <w:rPr>
          <w:lang w:val="en_US" w:bidi="en_US"/>
        </w:rPr>
      </w:r>
      <w:r>
        <w:rPr>
          <w:b/>
          <w:lang w:val="en_US" w:bidi="en_US"/>
        </w:rPr>
        <w:t>for us to eat the Passover.”</w:t>
      </w:r>
    </w:p>
    <w:p>
      <w:pPr>
        <w:pStyle w:val="ListBullet"/>
        <w:spacing w:line="240" w:lineRule="auto"/>
        <w:ind w:left="720"/>
      </w:pPr>
      <w:r>
        <w:rPr>
          <w:lang w:val="en_US" w:bidi="en_US"/>
        </w:rPr>
      </w:r>
      <w:r>
        <w:rPr>
          <w:lang w:val="en_US" w:bidi="en_US"/>
        </w:rPr>
        <w:t>for us</w:t>
      </w:r>
      <w:r>
        <w:rPr>
          <w:vertAlign w:val="superscript"/>
          <w:lang w:val="en_US" w:bidi="en_US"/>
        </w:rPr>
        <w:t>(incl)</w:t>
      </w:r>
      <w:r>
        <w:rPr>
          <w:lang w:val="en_US" w:bidi="en_US"/>
        </w:rPr>
        <w:t xml:space="preserve"> to eat the Passover </w:t>
      </w:r>
      <w:r>
        <w:rPr>
          <w:lang w:val="en_US" w:bidi="en_US"/>
        </w:rPr>
        <w:t>feast</w:t>
      </w:r>
      <w:r>
        <w:rPr>
          <w:lang w:val="en_US" w:bidi="en_US"/>
        </w:rPr>
        <w:t>.”</w:t>
      </w:r>
    </w:p>
    <w:p>
      <w:pPr>
        <w:pStyle w:val="ListBullet"/>
        <w:spacing w:line="240" w:lineRule="auto"/>
        <w:ind w:left="720"/>
      </w:pPr>
      <w:r>
        <w:rPr>
          <w:lang w:val="en_US" w:bidi="en_US"/>
        </w:rPr>
      </w:r>
      <w:r>
        <w:rPr>
          <w:lang w:val="en_US" w:bidi="en_US"/>
        </w:rPr>
        <w:t>so that we</w:t>
      </w:r>
      <w:r>
        <w:rPr>
          <w:vertAlign w:val="superscript"/>
          <w:lang w:val="en_US" w:bidi="en_US"/>
        </w:rPr>
        <w:t>(incl)</w:t>
      </w:r>
      <w:r>
        <w:rPr>
          <w:lang w:val="en_US" w:bidi="en_US"/>
        </w:rPr>
        <w:t xml:space="preserve"> can eat the ‘</w:t>
      </w:r>
      <w:r>
        <w:rPr>
          <w:lang w:val="en_US" w:bidi="en_US"/>
        </w:rPr>
        <w:t>Death</w:t>
      </w:r>
      <w:r>
        <w:rPr>
          <w:lang w:val="en_US" w:bidi="en_US"/>
        </w:rPr>
        <w:t xml:space="preserve"> Passed </w:t>
      </w:r>
      <w:r>
        <w:rPr>
          <w:lang w:val="en_US" w:bidi="en_US"/>
        </w:rPr>
        <w:t>Us</w:t>
      </w:r>
      <w:r>
        <w:rPr>
          <w:lang w:val="en_US" w:bidi="en_US"/>
        </w:rPr>
        <w:t xml:space="preserve"> By’ </w:t>
      </w:r>
      <w:r>
        <w:rPr>
          <w:lang w:val="en_US" w:bidi="en_US"/>
        </w:rPr>
        <w:t>supper/meal</w:t>
      </w:r>
      <w:r>
        <w:rPr>
          <w:lang w:val="en_US" w:bidi="en_US"/>
        </w:rPr>
        <w:t>.”</w:t>
      </w:r>
    </w:p>
    <w:p>
      <w:pPr>
        <w:pStyle w:val="Heading5"/>
      </w:pPr>
      <w:r>
        <w:rPr>
          <w:lang w:val="en_US" w:bidi="en_US"/>
        </w:rPr>
        <w:t>22:8b–c</w:t>
      </w:r>
    </w:p>
    <w:p>
      <w:pPr/>
      <w:r>
        <w:rPr>
          <w:lang w:val="en_US" w:bidi="en_US"/>
        </w:rPr>
      </w:r>
      <w:r>
        <w:rPr>
          <w:b/>
          <w:lang w:val="en_US" w:bidi="en_US"/>
        </w:rPr>
        <w:t>Go and prepare for us to eat the Passover:</w:t>
      </w:r>
      <w:r>
        <w:rPr>
          <w:lang w:val="en_US" w:bidi="en_US"/>
        </w:rPr>
        <w:t xml:space="preserve"> In the Greek text, this instruction is more literally “prepare for us the Passover that we may eat.” To </w:t>
      </w:r>
      <w:r>
        <w:rPr>
          <w:i/>
          <w:lang w:val="en_US" w:bidi="en_US"/>
        </w:rPr>
        <w:t>prepare for us to eat the Passover</w:t>
      </w:r>
      <w:r>
        <w:rPr>
          <w:lang w:val="en_US" w:bidi="en_US"/>
        </w:rPr>
        <w:t xml:space="preserve"> probably included all the tasks that were necessary to prepare for the feast.</w:t>
      </w:r>
      <w:r>
        <w:rPr>
          <w:lang w:val="en_US" w:bidi="en_US"/>
        </w:rPr>
        <w:t>Marshall (p. 791) says, “The task of preparation for the Passover (</w:t>
      </w:r>
      <w:r>
        <w:rPr>
          <w:i/>
          <w:lang w:val="en_US" w:bidi="en_US"/>
        </w:rPr>
        <w:t>pásca</w:t>
      </w:r>
      <w:r>
        <w:rPr>
          <w:lang w:val="en_US" w:bidi="en_US"/>
        </w:rPr>
        <w:t xml:space="preserve"> here means the meal as a whole) included making ready the room, providing the lamb, the unleavened bread and other food, and cooking the meal or arranging for helpers to do this. Since Jerusalem was crowded at the Passover season, and the meal had to be eaten within the confines of the city, the obtaining of a room was a matter of importance.”</w:t>
      </w:r>
      <w:r>
        <w:rPr>
          <w:lang w:val="en_US" w:bidi="en_US"/>
        </w:rPr>
        <w:t xml:space="preserve"> For example, Peter and John must obtain a suitable room. They must get a lamb and take it to the temple to be sacrificed. They must buy other food and cook the meal or get someone to cook it.</w:t>
      </w:r>
    </w:p>
    <w:p>
      <w:pPr/>
      <w:r>
        <w:rPr>
          <w:lang w:val="en_US" w:bidi="en_US"/>
        </w:rPr>
      </w:r>
      <w:r>
        <w:rPr>
          <w:lang w:val="en_US" w:bidi="en_US"/>
        </w:rPr>
        <w:t>It is good to translate in a general way that can refer to different types of preparations. For example:</w:t>
      </w:r>
    </w:p>
    <w:p>
      <w:pPr/>
      <w:r>
        <w:rPr>
          <w:lang w:val="en_US" w:bidi="en_US"/>
        </w:rPr>
      </w:r>
      <w:r>
        <w:rPr>
          <w:lang w:val="en_US" w:bidi="en_US"/>
        </w:rPr>
        <w:t>prepare the Passover for us, so that we may eat it (NASB)</w:t>
      </w:r>
    </w:p>
    <w:p>
      <w:pPr/>
      <w:r>
        <w:rPr>
          <w:lang w:val="en_US" w:bidi="en_US"/>
        </w:rPr>
      </w:r>
      <w:r>
        <w:rPr>
          <w:lang w:val="en_US" w:bidi="en_US"/>
        </w:rPr>
        <w:t xml:space="preserve">The instructions </w:t>
      </w:r>
      <w:r>
        <w:rPr>
          <w:i/>
          <w:lang w:val="en_US" w:bidi="en_US"/>
        </w:rPr>
        <w:t>Go</w:t>
      </w:r>
      <w:r>
        <w:rPr>
          <w:lang w:val="en_US" w:bidi="en_US"/>
        </w:rPr>
        <w:t xml:space="preserve"> and </w:t>
      </w:r>
      <w:r>
        <w:rPr>
          <w:i/>
          <w:lang w:val="en_US" w:bidi="en_US"/>
        </w:rPr>
        <w:t>prepare for us</w:t>
      </w:r>
      <w:r>
        <w:rPr>
          <w:lang w:val="en_US" w:bidi="en_US"/>
        </w:rPr>
        <w:t xml:space="preserve"> are given to the two disciples Peter and John. However, the word </w:t>
      </w:r>
      <w:r>
        <w:rPr>
          <w:i/>
          <w:lang w:val="en_US" w:bidi="en_US"/>
        </w:rPr>
        <w:t>us</w:t>
      </w:r>
      <w:r>
        <w:rPr>
          <w:lang w:val="en_US" w:bidi="en_US"/>
        </w:rPr>
        <w:t xml:space="preserve"> includes Jesus, Peter, John, and Jesus’ other disciples. They would all eat the Passover together. If your language has different forms for dual and plural, be sure to use the appropriate forms here.</w:t>
      </w:r>
    </w:p>
    <w:p>
      <w:pPr/>
      <w:r>
        <w:rPr>
          <w:lang w:val="en_US" w:bidi="en_US"/>
        </w:rPr>
      </w:r>
      <w:r>
        <w:rPr>
          <w:b/>
          <w:lang w:val="en_US" w:bidi="en_US"/>
        </w:rPr>
        <w:t>to eat the Passover:</w:t>
      </w:r>
      <w:r>
        <w:rPr>
          <w:lang w:val="en_US" w:bidi="en_US"/>
        </w:rPr>
        <w:t xml:space="preserve"> In 22:7 the word </w:t>
      </w:r>
      <w:r>
        <w:rPr>
          <w:i/>
          <w:lang w:val="en_US" w:bidi="en_US"/>
        </w:rPr>
        <w:t>Passover</w:t>
      </w:r>
      <w:r>
        <w:rPr>
          <w:lang w:val="en_US" w:bidi="en_US"/>
        </w:rPr>
        <w:t xml:space="preserve"> referred to the Passover lamb to be sacrificed. Here in 22:8 it refers to the Passover meal that the disciples would eat together.</w:t>
      </w:r>
      <w:r>
        <w:rPr>
          <w:lang w:val="en_US" w:bidi="en_US"/>
        </w:rPr>
        <w:t>The Greek word for “eat” here refers specifically to partaking of food or drink. It is not used in the more general sense of “celebrate.”</w:t>
      </w:r>
      <w:r>
        <w:rPr>
          <w:lang w:val="en_US" w:bidi="en_US"/>
        </w:rPr>
        <w:t xml:space="preserve"> In some languages it may be helpful to make this explicit. For example:</w:t>
      </w:r>
    </w:p>
    <w:p>
      <w:pPr/>
      <w:r>
        <w:rPr>
          <w:lang w:val="en_US" w:bidi="en_US"/>
        </w:rPr>
      </w:r>
      <w:r>
        <w:rPr>
          <w:lang w:val="en_US" w:bidi="en_US"/>
        </w:rPr>
        <w:t>the Passover meal (NLT)</w:t>
      </w:r>
    </w:p>
    <w:p>
      <w:pPr/>
      <w:r>
        <w:rPr>
          <w:lang w:val="en_US" w:bidi="en_US"/>
        </w:rPr>
      </w:r>
      <w:r>
        <w:rPr>
          <w:lang w:val="en_US" w:bidi="en_US"/>
        </w:rPr>
        <w:t>the Passover supper</w:t>
      </w:r>
    </w:p>
    <w:p>
      <w:pPr>
        <w:pStyle w:val="Heading6"/>
      </w:pPr>
      <w:r>
        <w:rPr>
          <w:b/>
          <w:lang w:val="en_US" w:bidi="en_US"/>
        </w:rPr>
        <w:t>General Comment on 22:8a–c</w:t>
      </w:r>
    </w:p>
    <w:p>
      <w:pPr/>
      <w:r>
        <w:rPr>
          <w:lang w:val="en_US" w:bidi="en_US"/>
        </w:rPr>
      </w:r>
      <w:r>
        <w:rPr>
          <w:lang w:val="en_US" w:bidi="en_US"/>
        </w:rPr>
        <w:t>In some languages it may be more natural to use indirect speech for Jesus’ instructions in this verse. For example:</w:t>
      </w:r>
    </w:p>
    <w:p>
      <w:pPr/>
      <w:r>
        <w:rPr>
          <w:lang w:val="en_US" w:bidi="en_US"/>
        </w:rPr>
      </w:r>
      <w:r>
        <w:rPr>
          <w:lang w:val="en_US" w:bidi="en_US"/>
        </w:rPr>
        <w:t>Jesus ordered/told Peter and John to go and make preparations for them to eat the Passover meal.</w:t>
      </w:r>
      <w:r>
        <w:rPr>
          <w:lang w:val="en_US" w:bidi="en_US"/>
        </w:rPr>
      </w:r>
      <w:r>
        <w:rPr>
          <w:lang w:val="en_US" w:bidi="en_US"/>
        </w:rPr>
      </w:r>
    </w:p>
    <w:p>
      <w:pPr/>
      <w:r>
        <w:rPr>
          <w:lang w:val="en_US" w:bidi="en_US"/>
        </w:rPr>
      </w:r>
    </w:p>
    <w:p>
      <w:pPr>
        <w:pStyle w:val="Heading2"/>
      </w:pPr>
      <w:r>
        <w:rPr>
          <w:lang w:val="en_US" w:bidi="en_US"/>
        </w:rPr>
        <w:t>Luke 22:9</w:t>
      </w:r>
      <w:r>
        <w:rPr>
          <w:lang w:val="en_US" w:bidi="en_US"/>
        </w:rPr>
      </w:r>
    </w:p>
    <w:p>
      <w:pPr>
        <w:pStyle w:val="Heading4"/>
      </w:pPr>
      <w:r>
        <w:rPr>
          <w:lang w:val="en_US" w:bidi="en_US"/>
        </w:rPr>
        <w:t>Section 22:7–13: Jesus sent two disciples to prepare for the Passover celebration</w:t>
      </w:r>
    </w:p>
    <w:p>
      <w:pPr/>
      <w:r>
        <w:rPr>
          <w:lang w:val="en_US" w:bidi="en_US"/>
        </w:rPr>
      </w:r>
      <w:r>
        <w:rPr>
          <w:lang w:val="en_US" w:bidi="en_US"/>
        </w:rPr>
        <w:t>This section begins on “the Day of Unleavened Bread.” On that day the Jewish people had to remove from their houses all “leaven” (yeast) and any bread or other food that was made with yeast. Also on that day, each family had to sacrifice a lamb for the Passover meal. In the context of sacrifice, people could refer to any of these lambs as “the Passover” without adding the word “lamb.” For example, see Exodus 12:21 and Deuteronomy 16:2. This is similar to its use in 1 Corinthians 5:7: “Christ our Passover is sacrificed for us.”</w:t>
      </w:r>
    </w:p>
    <w:p>
      <w:pPr/>
      <w:r>
        <w:rPr>
          <w:lang w:val="en_US" w:bidi="en_US"/>
        </w:rPr>
      </w:r>
      <w:r>
        <w:rPr>
          <w:lang w:val="en_US" w:bidi="en_US"/>
        </w:rPr>
        <w:t>Luke, Paul, and other New Testament writers implied that the lamb that was sacrificed on Passover symbolized the fact that Jesus offered himself as a sacrifice to save people from slavery to sin. Jesus knew that during the time of the festival, he himself would become a sacrifice. He would become the “Lamb of God who takes away the sin of the world” (John 1:29).</w:t>
      </w:r>
    </w:p>
    <w:p>
      <w:pPr/>
      <w:r>
        <w:rPr>
          <w:lang w:val="en_US" w:bidi="en_US"/>
        </w:rPr>
      </w:r>
      <w:r>
        <w:rPr>
          <w:lang w:val="en_US" w:bidi="en_US"/>
        </w:rPr>
        <w:t>In this section, Jesus sent two disciples to make preparations for the Passover celebration.</w:t>
      </w:r>
    </w:p>
    <w:p>
      <w:pPr/>
      <w:r>
        <w:rPr>
          <w:lang w:val="en_US" w:bidi="en_US"/>
        </w:rPr>
      </w:r>
      <w:r>
        <w:rPr>
          <w:lang w:val="en_US" w:bidi="en_US"/>
        </w:rPr>
        <w:t>There are parallel passages for this section in Matthew 26:17–25, Mark 14:12–21, and John 13:21–30. Examples of other headings for this section are:</w:t>
      </w:r>
    </w:p>
    <w:p>
      <w:pPr/>
      <w:r>
        <w:rPr>
          <w:lang w:val="en_US" w:bidi="en_US"/>
        </w:rPr>
      </w:r>
      <w:r>
        <w:rPr>
          <w:lang w:val="en_US" w:bidi="en_US"/>
        </w:rPr>
        <w:t>The Preparation of the Passover (NRSV)</w:t>
      </w:r>
    </w:p>
    <w:p>
      <w:pPr/>
      <w:r>
        <w:rPr>
          <w:lang w:val="en_US" w:bidi="en_US"/>
        </w:rPr>
      </w:r>
      <w:r>
        <w:rPr>
          <w:lang w:val="en_US" w:bidi="en_US"/>
        </w:rPr>
        <w:t>Jesus makes arrangements for his last Passover with his disciples (JBP)</w:t>
      </w:r>
    </w:p>
    <w:p>
      <w:pPr>
        <w:pStyle w:val="Heading5"/>
      </w:pPr>
      <w:r>
        <w:rPr>
          <w:lang w:val="en_US" w:bidi="en_US"/>
        </w:rPr>
        <w:t>22:9</w:t>
      </w:r>
    </w:p>
    <w:p>
      <w:pPr/>
      <w:r>
        <w:rPr>
          <w:lang w:val="en_US" w:bidi="en_US"/>
        </w:rPr>
      </w:r>
      <w:r>
        <w:rPr>
          <w:b/>
          <w:lang w:val="en_US" w:bidi="en_US"/>
        </w:rPr>
        <w:t>“Where do You want us to prepare it?” they asked.</w:t>
      </w:r>
    </w:p>
    <w:p>
      <w:pPr>
        <w:pStyle w:val="ListBullet"/>
        <w:spacing w:line="240" w:lineRule="auto"/>
        <w:ind w:left="720"/>
      </w:pPr>
      <w:r>
        <w:rPr>
          <w:lang w:val="en_US" w:bidi="en_US"/>
        </w:rPr>
      </w:r>
      <w:r>
        <w:rPr>
          <w:lang w:val="en_US" w:bidi="en_US"/>
        </w:rPr>
        <w:t>¶ They</w:t>
      </w:r>
      <w:r>
        <w:rPr>
          <w:vertAlign w:val="superscript"/>
          <w:lang w:val="en_US" w:bidi="en_US"/>
        </w:rPr>
        <w:t>(dual)</w:t>
      </w:r>
      <w:r>
        <w:rPr>
          <w:lang w:val="en_US" w:bidi="en_US"/>
        </w:rPr>
        <w:t xml:space="preserve"> asked him, “Where do you want us</w:t>
      </w:r>
      <w:r>
        <w:rPr>
          <w:vertAlign w:val="superscript"/>
          <w:lang w:val="en_US" w:bidi="en_US"/>
        </w:rPr>
        <w:t>(dual/excl)</w:t>
      </w:r>
      <w:r>
        <w:rPr>
          <w:lang w:val="en_US" w:bidi="en_US"/>
        </w:rPr>
        <w:t xml:space="preserve"> to prepare?”</w:t>
      </w:r>
    </w:p>
    <w:p>
      <w:pPr>
        <w:pStyle w:val="ListBullet"/>
        <w:spacing w:line="240" w:lineRule="auto"/>
        <w:ind w:left="720"/>
      </w:pPr>
      <w:r>
        <w:rPr>
          <w:lang w:val="en_US" w:bidi="en_US"/>
        </w:rPr>
      </w:r>
      <w:r>
        <w:rPr>
          <w:lang w:val="en_US" w:bidi="en_US"/>
        </w:rPr>
        <w:t>¶ They replied, “Lord, please tell us</w:t>
      </w:r>
      <w:r>
        <w:rPr>
          <w:vertAlign w:val="superscript"/>
          <w:lang w:val="en_US" w:bidi="en_US"/>
        </w:rPr>
        <w:t>(dual/excl)</w:t>
      </w:r>
      <w:r>
        <w:rPr>
          <w:lang w:val="en_US" w:bidi="en_US"/>
        </w:rPr>
        <w:t xml:space="preserve"> where you</w:t>
      </w:r>
      <w:r>
        <w:rPr>
          <w:vertAlign w:val="superscript"/>
          <w:lang w:val="en_US" w:bidi="en_US"/>
        </w:rPr>
        <w:t>(sing)</w:t>
      </w:r>
      <w:r>
        <w:rPr>
          <w:lang w:val="en_US" w:bidi="en_US"/>
        </w:rPr>
        <w:t xml:space="preserve"> would like us to get </w:t>
      </w:r>
      <w:r>
        <w:rPr>
          <w:lang w:val="en_US" w:bidi="en_US"/>
        </w:rPr>
        <w:t>things</w:t>
      </w:r>
      <w:r>
        <w:rPr>
          <w:lang w:val="en_US" w:bidi="en_US"/>
        </w:rPr>
        <w:t xml:space="preserve"> ready for it.”</w:t>
      </w:r>
    </w:p>
    <w:p>
      <w:pPr>
        <w:pStyle w:val="ListBullet"/>
        <w:spacing w:line="240" w:lineRule="auto"/>
        <w:ind w:left="720"/>
      </w:pPr>
      <w:r>
        <w:rPr>
          <w:lang w:val="en_US" w:bidi="en_US"/>
        </w:rPr>
      </w:r>
      <w:r>
        <w:rPr>
          <w:lang w:val="en_US" w:bidi="en_US"/>
        </w:rPr>
        <w:t>¶ Then they</w:t>
      </w:r>
      <w:r>
        <w:rPr>
          <w:vertAlign w:val="superscript"/>
          <w:lang w:val="en_US" w:bidi="en_US"/>
        </w:rPr>
        <w:t>(dual)</w:t>
      </w:r>
      <w:r>
        <w:rPr>
          <w:lang w:val="en_US" w:bidi="en_US"/>
        </w:rPr>
        <w:t xml:space="preserve"> asked where he wanted them to make the preparations.</w:t>
      </w:r>
    </w:p>
    <w:p>
      <w:pPr/>
      <w:r>
        <w:rPr>
          <w:lang w:val="en_US" w:bidi="en_US"/>
        </w:rPr>
      </w:r>
      <w:r>
        <w:rPr>
          <w:b/>
          <w:lang w:val="en_US" w:bidi="en_US"/>
        </w:rPr>
        <w:t>Where do You want us to prepare it?:</w:t>
      </w:r>
      <w:r>
        <w:rPr>
          <w:lang w:val="en_US" w:bidi="en_US"/>
        </w:rPr>
        <w:t xml:space="preserve"> Here Peter and John answered Jesus with a polite question. The question implies that they will obey him and prepare for the meal. They were asking where he wanted them to prepare for it.</w:t>
      </w:r>
    </w:p>
    <w:p>
      <w:pPr/>
      <w:r>
        <w:rPr>
          <w:lang w:val="en_US" w:bidi="en_US"/>
        </w:rPr>
      </w:r>
      <w:r>
        <w:rPr>
          <w:lang w:val="en_US" w:bidi="en_US"/>
        </w:rPr>
        <w:t>Express their answer in a polite way in your language. In some languages it may be necessary to indicate explicitly that they will do what he said. It may also be natural to include a respectful form of address like “Lord” or “sir.” For example:</w:t>
      </w:r>
    </w:p>
    <w:p>
      <w:pPr/>
      <w:r>
        <w:rPr>
          <w:lang w:val="en_US" w:bidi="en_US"/>
        </w:rPr>
      </w:r>
      <w:r>
        <w:rPr>
          <w:lang w:val="en_US" w:bidi="en_US"/>
        </w:rPr>
        <w:t>Yes, Lord, we will.</w:t>
      </w:r>
      <w:r>
        <w:rPr>
          <w:lang w:val="en_US" w:bidi="en_US"/>
        </w:rPr>
        <w:t xml:space="preserve"> Where would you like us to prepare for it?</w:t>
      </w:r>
    </w:p>
    <w:p>
      <w:pPr/>
      <w:r>
        <w:rPr>
          <w:lang w:val="en_US" w:bidi="en_US"/>
        </w:rPr>
      </w:r>
      <w:r>
        <w:rPr>
          <w:lang w:val="en_US" w:bidi="en_US"/>
        </w:rPr>
        <w:t>Yes, Sir.</w:t>
      </w:r>
      <w:r>
        <w:rPr>
          <w:lang w:val="en_US" w:bidi="en_US"/>
        </w:rPr>
        <w:t xml:space="preserve"> Please tell us where you want us to prepare for it.</w:t>
      </w:r>
    </w:p>
    <w:p>
      <w:pPr/>
      <w:r>
        <w:rPr>
          <w:lang w:val="en_US" w:bidi="en_US"/>
        </w:rPr>
      </w:r>
      <w:r>
        <w:rPr>
          <w:lang w:val="en_US" w:bidi="en_US"/>
        </w:rPr>
        <w:t xml:space="preserve">The word </w:t>
      </w:r>
      <w:r>
        <w:rPr>
          <w:i/>
          <w:lang w:val="en_US" w:bidi="en_US"/>
        </w:rPr>
        <w:t>it</w:t>
      </w:r>
      <w:r>
        <w:rPr>
          <w:lang w:val="en_US" w:bidi="en_US"/>
        </w:rPr>
        <w:t xml:space="preserve"> refers back to the Passover meal (22:8). The word is not explicit in the Greek text. Another way to translate the clause is:</w:t>
      </w:r>
    </w:p>
    <w:p>
      <w:pPr/>
      <w:r>
        <w:rPr>
          <w:lang w:val="en_US" w:bidi="en_US"/>
        </w:rPr>
      </w:r>
      <w:r>
        <w:rPr>
          <w:lang w:val="en_US" w:bidi="en_US"/>
        </w:rPr>
        <w:t>Where would you like us to make the preparations?</w:t>
      </w:r>
    </w:p>
    <w:p>
      <w:pPr/>
      <w:r>
        <w:rPr>
          <w:lang w:val="en_US" w:bidi="en_US"/>
        </w:rPr>
      </w:r>
      <w:r>
        <w:rPr>
          <w:b/>
          <w:lang w:val="en_US" w:bidi="en_US"/>
        </w:rPr>
        <w:t>they asked:</w:t>
      </w:r>
      <w:r>
        <w:rPr>
          <w:lang w:val="en_US" w:bidi="en_US"/>
        </w:rPr>
        <w:t xml:space="preserve"> In Greek the phrase that the BSB translates as </w:t>
      </w:r>
      <w:r>
        <w:rPr>
          <w:i/>
          <w:lang w:val="en_US" w:bidi="en_US"/>
        </w:rPr>
        <w:t>they asked</w:t>
      </w:r>
      <w:r>
        <w:rPr>
          <w:lang w:val="en_US" w:bidi="en_US"/>
        </w:rPr>
        <w:t xml:space="preserve"> is literally “they said to him.” It occurs at the beginning of this verse, and it begins with a common conjunction. Place this phrase where it is natural in your language.</w:t>
      </w:r>
    </w:p>
    <w:p>
      <w:pPr/>
      <w:r>
        <w:rPr>
          <w:lang w:val="en_US" w:bidi="en_US"/>
        </w:rPr>
      </w:r>
      <w:r>
        <w:rPr>
          <w:b/>
          <w:lang w:val="en_US" w:bidi="en_US"/>
        </w:rPr>
        <w:t>they:</w:t>
      </w:r>
      <w:r>
        <w:rPr>
          <w:lang w:val="en_US" w:bidi="en_US"/>
        </w:rPr>
        <w:t xml:space="preserve"> The word </w:t>
      </w:r>
      <w:r>
        <w:rPr>
          <w:i/>
          <w:lang w:val="en_US" w:bidi="en_US"/>
        </w:rPr>
        <w:t>they</w:t>
      </w:r>
      <w:r>
        <w:rPr>
          <w:lang w:val="en_US" w:bidi="en_US"/>
        </w:rPr>
        <w:t xml:space="preserve"> refers to Peter and John.</w:t>
      </w:r>
    </w:p>
    <w:p>
      <w:pPr>
        <w:pStyle w:val="Heading6"/>
      </w:pPr>
      <w:r>
        <w:rPr>
          <w:b/>
          <w:lang w:val="en_US" w:bidi="en_US"/>
        </w:rPr>
        <w:t>General Comment on 22:9</w:t>
      </w:r>
    </w:p>
    <w:p>
      <w:pPr/>
      <w:r>
        <w:rPr>
          <w:lang w:val="en_US" w:bidi="en_US"/>
        </w:rPr>
      </w:r>
      <w:r>
        <w:rPr>
          <w:lang w:val="en_US" w:bidi="en_US"/>
        </w:rPr>
        <w:t>In some languages it may be more natural to use indirect speech in this verse. For example:</w:t>
      </w:r>
    </w:p>
    <w:p>
      <w:pPr/>
      <w:r>
        <w:rPr>
          <w:lang w:val="en_US" w:bidi="en_US"/>
        </w:rPr>
      </w:r>
      <w:r>
        <w:rPr>
          <w:lang w:val="en_US" w:bidi="en_US"/>
        </w:rPr>
        <w:t>They asked him where he wanted them to prepare for the meal.</w:t>
      </w:r>
      <w:r>
        <w:rPr>
          <w:lang w:val="en_US" w:bidi="en_US"/>
        </w:rPr>
      </w:r>
      <w:r>
        <w:rPr>
          <w:lang w:val="en_US" w:bidi="en_US"/>
        </w:rPr>
      </w:r>
    </w:p>
    <w:p>
      <w:pPr/>
      <w:r>
        <w:rPr>
          <w:lang w:val="en_US" w:bidi="en_US"/>
        </w:rPr>
      </w:r>
    </w:p>
    <w:p>
      <w:pPr>
        <w:pStyle w:val="Heading2"/>
      </w:pPr>
      <w:r>
        <w:rPr>
          <w:lang w:val="en_US" w:bidi="en_US"/>
        </w:rPr>
        <w:t>Luke 22:10</w:t>
      </w:r>
      <w:r>
        <w:rPr>
          <w:lang w:val="en_US" w:bidi="en_US"/>
        </w:rPr>
      </w:r>
    </w:p>
    <w:p>
      <w:pPr>
        <w:pStyle w:val="Heading4"/>
      </w:pPr>
      <w:r>
        <w:rPr>
          <w:lang w:val="en_US" w:bidi="en_US"/>
        </w:rPr>
        <w:t>Section 22:7–13: Jesus sent two disciples to prepare for the Passover celebration</w:t>
      </w:r>
    </w:p>
    <w:p>
      <w:pPr/>
      <w:r>
        <w:rPr>
          <w:lang w:val="en_US" w:bidi="en_US"/>
        </w:rPr>
      </w:r>
      <w:r>
        <w:rPr>
          <w:lang w:val="en_US" w:bidi="en_US"/>
        </w:rPr>
        <w:t>This section begins on “the Day of Unleavened Bread.” On that day the Jewish people had to remove from their houses all “leaven” (yeast) and any bread or other food that was made with yeast. Also on that day, each family had to sacrifice a lamb for the Passover meal. In the context of sacrifice, people could refer to any of these lambs as “the Passover” without adding the word “lamb.” For example, see Exodus 12:21 and Deuteronomy 16:2. This is similar to its use in 1 Corinthians 5:7: “Christ our Passover is sacrificed for us.”</w:t>
      </w:r>
    </w:p>
    <w:p>
      <w:pPr/>
      <w:r>
        <w:rPr>
          <w:lang w:val="en_US" w:bidi="en_US"/>
        </w:rPr>
      </w:r>
      <w:r>
        <w:rPr>
          <w:lang w:val="en_US" w:bidi="en_US"/>
        </w:rPr>
        <w:t>Luke, Paul, and other New Testament writers implied that the lamb that was sacrificed on Passover symbolized the fact that Jesus offered himself as a sacrifice to save people from slavery to sin. Jesus knew that during the time of the festival, he himself would become a sacrifice. He would become the “Lamb of God who takes away the sin of the world” (John 1:29).</w:t>
      </w:r>
    </w:p>
    <w:p>
      <w:pPr/>
      <w:r>
        <w:rPr>
          <w:lang w:val="en_US" w:bidi="en_US"/>
        </w:rPr>
      </w:r>
      <w:r>
        <w:rPr>
          <w:lang w:val="en_US" w:bidi="en_US"/>
        </w:rPr>
        <w:t>In this section, Jesus sent two disciples to make preparations for the Passover celebration.</w:t>
      </w:r>
    </w:p>
    <w:p>
      <w:pPr/>
      <w:r>
        <w:rPr>
          <w:lang w:val="en_US" w:bidi="en_US"/>
        </w:rPr>
      </w:r>
      <w:r>
        <w:rPr>
          <w:lang w:val="en_US" w:bidi="en_US"/>
        </w:rPr>
        <w:t>There are parallel passages for this section in Matthew 26:17–25, Mark 14:12–21, and John 13:21–30. Examples of other headings for this section are:</w:t>
      </w:r>
    </w:p>
    <w:p>
      <w:pPr/>
      <w:r>
        <w:rPr>
          <w:lang w:val="en_US" w:bidi="en_US"/>
        </w:rPr>
      </w:r>
      <w:r>
        <w:rPr>
          <w:lang w:val="en_US" w:bidi="en_US"/>
        </w:rPr>
        <w:t>The Preparation of the Passover (NRSV)</w:t>
      </w:r>
    </w:p>
    <w:p>
      <w:pPr/>
      <w:r>
        <w:rPr>
          <w:lang w:val="en_US" w:bidi="en_US"/>
        </w:rPr>
      </w:r>
      <w:r>
        <w:rPr>
          <w:lang w:val="en_US" w:bidi="en_US"/>
        </w:rPr>
        <w:t>Jesus makes arrangements for his last Passover with his disciples (JBP)</w:t>
      </w:r>
    </w:p>
    <w:p>
      <w:pPr>
        <w:pStyle w:val="Heading5"/>
      </w:pPr>
      <w:r>
        <w:rPr>
          <w:lang w:val="en_US" w:bidi="en_US"/>
        </w:rPr>
        <w:t>22:10a</w:t>
      </w:r>
    </w:p>
    <w:p>
      <w:pPr/>
      <w:r>
        <w:rPr>
          <w:lang w:val="en_US" w:bidi="en_US"/>
        </w:rPr>
      </w:r>
      <w:r>
        <w:rPr>
          <w:b/>
          <w:lang w:val="en_US" w:bidi="en_US"/>
        </w:rPr>
        <w:t>He answered, “When you enter the city,</w:t>
      </w:r>
    </w:p>
    <w:p>
      <w:pPr>
        <w:pStyle w:val="ListBullet"/>
        <w:spacing w:line="240" w:lineRule="auto"/>
        <w:ind w:left="720"/>
      </w:pPr>
      <w:r>
        <w:rPr>
          <w:lang w:val="en_US" w:bidi="en_US"/>
        </w:rPr>
      </w:r>
      <w:r>
        <w:rPr>
          <w:lang w:val="en_US" w:bidi="en_US"/>
        </w:rPr>
        <w:t>He said to them, “Listen, when you</w:t>
      </w:r>
      <w:r>
        <w:rPr>
          <w:vertAlign w:val="superscript"/>
          <w:lang w:val="en_US" w:bidi="en_US"/>
        </w:rPr>
        <w:t>(dual)</w:t>
      </w:r>
      <w:r>
        <w:rPr>
          <w:lang w:val="en_US" w:bidi="en_US"/>
        </w:rPr>
        <w:t xml:space="preserve"> go into the city</w:t>
      </w:r>
    </w:p>
    <w:p>
      <w:pPr>
        <w:pStyle w:val="ListBullet"/>
        <w:spacing w:line="240" w:lineRule="auto"/>
        <w:ind w:left="720"/>
      </w:pPr>
      <w:r>
        <w:rPr>
          <w:lang w:val="en_US" w:bidi="en_US"/>
        </w:rPr>
      </w:r>
      <w:r>
        <w:rPr>
          <w:lang w:val="en_US" w:bidi="en_US"/>
        </w:rPr>
        <w:t xml:space="preserve">He answered them, “Listen </w:t>
      </w:r>
      <w:r>
        <w:rPr>
          <w:lang w:val="en_US" w:bidi="en_US"/>
        </w:rPr>
        <w:t>carefully</w:t>
      </w:r>
      <w:r>
        <w:rPr>
          <w:lang w:val="en_US" w:bidi="en_US"/>
        </w:rPr>
        <w:t xml:space="preserve"> </w:t>
      </w:r>
      <w:r>
        <w:rPr>
          <w:lang w:val="en_US" w:bidi="en_US"/>
        </w:rPr>
        <w:t>to this</w:t>
      </w:r>
      <w:r>
        <w:rPr>
          <w:lang w:val="en_US" w:bidi="en_US"/>
        </w:rPr>
        <w:t>: Go into Jerusalem and</w:t>
      </w:r>
    </w:p>
    <w:p>
      <w:pPr/>
      <w:r>
        <w:rPr>
          <w:lang w:val="en_US" w:bidi="en_US"/>
        </w:rPr>
      </w:r>
      <w:r>
        <w:rPr>
          <w:b/>
          <w:lang w:val="en_US" w:bidi="en_US"/>
        </w:rPr>
        <w:t>He answered:</w:t>
      </w:r>
      <w:r>
        <w:rPr>
          <w:lang w:val="en_US" w:bidi="en_US"/>
        </w:rPr>
        <w:t xml:space="preserve"> The Greek phrase that the BSB translates as </w:t>
      </w:r>
      <w:r>
        <w:rPr>
          <w:i/>
          <w:lang w:val="en_US" w:bidi="en_US"/>
        </w:rPr>
        <w:t>He answered</w:t>
      </w:r>
      <w:r>
        <w:rPr>
          <w:lang w:val="en_US" w:bidi="en_US"/>
        </w:rPr>
        <w:t xml:space="preserve"> is more literally, “And he said to them.” Use a natural phrase in your language to introduce this verse.</w:t>
      </w:r>
    </w:p>
    <w:p>
      <w:pPr/>
      <w:r>
        <w:rPr>
          <w:lang w:val="en_US" w:bidi="en_US"/>
        </w:rPr>
      </w:r>
      <w:r>
        <w:rPr>
          <w:b/>
          <w:lang w:val="en_US" w:bidi="en_US"/>
        </w:rPr>
        <w:t>When you enter the city:</w:t>
      </w:r>
      <w:r>
        <w:rPr>
          <w:lang w:val="en_US" w:bidi="en_US"/>
        </w:rPr>
        <w:t xml:space="preserve"> At that time Jesus, Peter, and John were near the city of Jerusalem. Jesus indicated that Peter and John should go into the city itself.</w:t>
      </w:r>
    </w:p>
    <w:p>
      <w:pPr/>
      <w:r>
        <w:rPr>
          <w:lang w:val="en_US" w:bidi="en_US"/>
        </w:rPr>
      </w:r>
      <w:r>
        <w:rPr>
          <w:lang w:val="en_US" w:bidi="en_US"/>
        </w:rPr>
        <w:t>In Greek this clause begins with a word that the versions such as the RSV translate as “Behold.” It indicates that Jesus wanted Peter and John to listen carefully to what he said. It implies that something important will happen as Peter and John come into the city. Some other ways to translate the clause are:</w:t>
      </w:r>
    </w:p>
    <w:p>
      <w:pPr/>
      <w:r>
        <w:rPr>
          <w:lang w:val="en_US" w:bidi="en_US"/>
        </w:rPr>
      </w:r>
      <w:r>
        <w:rPr>
          <w:lang w:val="en_US" w:bidi="en_US"/>
        </w:rPr>
        <w:t>Listen, when you have entered the city (NET)</w:t>
      </w:r>
    </w:p>
    <w:p>
      <w:pPr/>
      <w:r>
        <w:rPr>
          <w:lang w:val="en_US" w:bidi="en_US"/>
        </w:rPr>
      </w:r>
      <w:r>
        <w:rPr>
          <w:lang w:val="en_US" w:bidi="en_US"/>
        </w:rPr>
        <w:t>Go into the city, and you will… (GW)</w:t>
      </w:r>
    </w:p>
    <w:p>
      <w:pPr/>
      <w:r>
        <w:rPr>
          <w:lang w:val="en_US" w:bidi="en_US"/>
        </w:rPr>
      </w:r>
      <w:r>
        <w:rPr>
          <w:b/>
          <w:lang w:val="en_US" w:bidi="en_US"/>
        </w:rPr>
        <w:t>the city:</w:t>
      </w:r>
      <w:r>
        <w:rPr>
          <w:lang w:val="en_US" w:bidi="en_US"/>
        </w:rPr>
        <w:t xml:space="preserve"> The phrase </w:t>
      </w:r>
      <w:r>
        <w:rPr>
          <w:i/>
          <w:lang w:val="en_US" w:bidi="en_US"/>
        </w:rPr>
        <w:t>the city</w:t>
      </w:r>
      <w:r>
        <w:rPr>
          <w:lang w:val="en_US" w:bidi="en_US"/>
        </w:rPr>
        <w:t xml:space="preserve"> refers to Jerusalem. The city of Jerusalem has not been referred to before in this section. So in some languages it may be more natural to refer to it by name here. For example:</w:t>
      </w:r>
    </w:p>
    <w:p>
      <w:pPr/>
      <w:r>
        <w:rPr>
          <w:lang w:val="en_US" w:bidi="en_US"/>
        </w:rPr>
      </w:r>
      <w:r>
        <w:rPr>
          <w:lang w:val="en_US" w:bidi="en_US"/>
        </w:rPr>
        <w:t>As soon as you enter Jerusalem (NLT)</w:t>
      </w:r>
    </w:p>
    <w:p>
      <w:pPr>
        <w:pStyle w:val="Heading5"/>
      </w:pPr>
      <w:r>
        <w:rPr>
          <w:lang w:val="en_US" w:bidi="en_US"/>
        </w:rPr>
        <w:t>22:10b</w:t>
      </w:r>
    </w:p>
    <w:p>
      <w:pPr/>
      <w:r>
        <w:rPr>
          <w:lang w:val="en_US" w:bidi="en_US"/>
        </w:rPr>
      </w:r>
      <w:r>
        <w:rPr>
          <w:b/>
          <w:lang w:val="en_US" w:bidi="en_US"/>
        </w:rPr>
        <w:t>a man carrying a jug of water will meet you.</w:t>
      </w:r>
    </w:p>
    <w:p>
      <w:pPr>
        <w:pStyle w:val="ListBullet"/>
        <w:spacing w:line="240" w:lineRule="auto"/>
        <w:ind w:left="720"/>
      </w:pPr>
      <w:r>
        <w:rPr>
          <w:lang w:val="en_US" w:bidi="en_US"/>
        </w:rPr>
      </w:r>
      <w:r>
        <w:rPr>
          <w:lang w:val="en_US" w:bidi="en_US"/>
        </w:rPr>
        <w:t>a man will meet you. He will be carrying a jar/pitcher of water.</w:t>
      </w:r>
    </w:p>
    <w:p>
      <w:pPr>
        <w:pStyle w:val="ListBullet"/>
        <w:spacing w:line="240" w:lineRule="auto"/>
        <w:ind w:left="720"/>
      </w:pPr>
      <w:r>
        <w:rPr>
          <w:lang w:val="en_US" w:bidi="en_US"/>
        </w:rPr>
      </w:r>
      <w:r>
        <w:rPr>
          <w:lang w:val="en_US" w:bidi="en_US"/>
        </w:rPr>
        <w:t xml:space="preserve">you will see a man carrying water in a </w:t>
      </w:r>
      <w:r>
        <w:rPr>
          <w:lang w:val="en_US" w:bidi="en_US"/>
        </w:rPr>
        <w:t>large</w:t>
      </w:r>
      <w:r>
        <w:rPr>
          <w:lang w:val="en_US" w:bidi="en_US"/>
        </w:rPr>
        <w:t xml:space="preserve"> jar/jug. When he comes toward you,</w:t>
      </w:r>
    </w:p>
    <w:p>
      <w:pPr/>
      <w:r>
        <w:rPr>
          <w:lang w:val="en_US" w:bidi="en_US"/>
        </w:rPr>
      </w:r>
      <w:r>
        <w:rPr>
          <w:b/>
          <w:lang w:val="en_US" w:bidi="en_US"/>
        </w:rPr>
        <w:t>a man carrying a jug of water will meet you:</w:t>
      </w:r>
      <w:r>
        <w:rPr>
          <w:lang w:val="en_US" w:bidi="en_US"/>
        </w:rPr>
        <w:t xml:space="preserve"> In the Jewish culture at that time it was unusual for a man to carry a water jar. Normally only women carried them.</w:t>
      </w:r>
      <w:r>
        <w:rPr>
          <w:lang w:val="en_US" w:bidi="en_US"/>
        </w:rPr>
        <w:t>Keener (p. 149) says, “Water jars (as opposed to leather wineskins) were almost always carried by women; thus a man carrying one would be a noticeable sign.”</w:t>
      </w:r>
      <w:r>
        <w:rPr>
          <w:lang w:val="en_US" w:bidi="en_US"/>
        </w:rPr>
        <w:t xml:space="preserve"> Jesus knew that this unusual action would show Peter and John which man he wanted them to follow.</w:t>
      </w:r>
    </w:p>
    <w:p>
      <w:pPr/>
      <w:r>
        <w:rPr>
          <w:lang w:val="en_US" w:bidi="en_US"/>
        </w:rPr>
      </w:r>
      <w:r>
        <w:rPr>
          <w:lang w:val="en_US" w:bidi="en_US"/>
        </w:rPr>
        <w:t xml:space="preserve">The word </w:t>
      </w:r>
      <w:r>
        <w:rPr>
          <w:i/>
          <w:lang w:val="en_US" w:bidi="en_US"/>
        </w:rPr>
        <w:t>meet</w:t>
      </w:r>
      <w:r>
        <w:rPr>
          <w:lang w:val="en_US" w:bidi="en_US"/>
        </w:rPr>
        <w:t xml:space="preserve"> does not by itself imply that there was a plan for the man to meet Peter and John. However, many scholars believe that Jesus had already arranged such a plan with the owner of the house.</w:t>
      </w:r>
      <w:r>
        <w:rPr>
          <w:lang w:val="en_US" w:bidi="en_US"/>
        </w:rPr>
        <w:t>Such commentators include Bratcher, Caird, Geldenhuys, Hendriksen, Marshall, Morris, Nolland, Summers, Tinsley, and Tolbert.</w:t>
      </w:r>
      <w:r>
        <w:rPr>
          <w:lang w:val="en_US" w:bidi="en_US"/>
        </w:rPr>
        <w:t xml:space="preserve"> It is probably good to leave this ambiguous.</w:t>
      </w:r>
    </w:p>
    <w:p>
      <w:pPr/>
      <w:r>
        <w:rPr>
          <w:lang w:val="en_US" w:bidi="en_US"/>
        </w:rPr>
      </w:r>
      <w:r>
        <w:rPr>
          <w:lang w:val="en_US" w:bidi="en_US"/>
        </w:rPr>
        <w:t>Some other ways to translate this clause are:</w:t>
      </w:r>
    </w:p>
    <w:p>
      <w:pPr/>
      <w:r>
        <w:rPr>
          <w:lang w:val="en_US" w:bidi="en_US"/>
        </w:rPr>
      </w:r>
      <w:r>
        <w:rPr>
          <w:lang w:val="en_US" w:bidi="en_US"/>
        </w:rPr>
        <w:t>a man carrying a jar of water will come toward you</w:t>
      </w:r>
    </w:p>
    <w:p>
      <w:pPr/>
      <w:r>
        <w:rPr>
          <w:lang w:val="en_US" w:bidi="en_US"/>
        </w:rPr>
      </w:r>
      <w:r>
        <w:rPr>
          <w:lang w:val="en_US" w:bidi="en_US"/>
        </w:rPr>
        <w:t>you will meet a man carrying a jar of water (CEV)</w:t>
      </w:r>
    </w:p>
    <w:p>
      <w:pPr/>
      <w:r>
        <w:rPr>
          <w:lang w:val="en_US" w:bidi="en_US"/>
        </w:rPr>
      </w:r>
      <w:r>
        <w:rPr>
          <w:lang w:val="en_US" w:bidi="en_US"/>
        </w:rPr>
        <w:t>you and a certain man will meet each other. He will be carrying a jar of water.</w:t>
      </w:r>
    </w:p>
    <w:p>
      <w:pPr/>
      <w:r>
        <w:rPr>
          <w:lang w:val="en_US" w:bidi="en_US"/>
        </w:rPr>
      </w:r>
      <w:r>
        <w:rPr>
          <w:b/>
          <w:lang w:val="en_US" w:bidi="en_US"/>
        </w:rPr>
        <w:t>carrying a jug of water:</w:t>
      </w:r>
      <w:r>
        <w:rPr>
          <w:lang w:val="en_US" w:bidi="en_US"/>
        </w:rPr>
        <w:t xml:space="preserve"> Cultures have different ways to carry water. In the Jewish culture it would probably be most common for a man to carry a jug full of water on his shoulder. However, if people in your culture normally carry water on their heads or in some other way, you may use the normal expression for this.</w:t>
      </w:r>
    </w:p>
    <w:p>
      <w:pPr/>
      <w:r>
        <w:rPr>
          <w:lang w:val="en_US" w:bidi="en_US"/>
        </w:rPr>
      </w:r>
      <w:r>
        <w:rPr>
          <w:b/>
          <w:lang w:val="en_US" w:bidi="en_US"/>
        </w:rPr>
        <w:t>jug of water:</w:t>
      </w:r>
      <w:r>
        <w:rPr>
          <w:lang w:val="en_US" w:bidi="en_US"/>
        </w:rPr>
        <w:t xml:space="preserve"> In that culture water jugs were made of baked clay. The phrase </w:t>
      </w:r>
      <w:r>
        <w:rPr>
          <w:i/>
          <w:lang w:val="en_US" w:bidi="en_US"/>
        </w:rPr>
        <w:t>jug of water</w:t>
      </w:r>
      <w:r>
        <w:rPr>
          <w:lang w:val="en_US" w:bidi="en_US"/>
        </w:rPr>
        <w:t xml:space="preserve"> refers to a jug that contained water.</w:t>
      </w:r>
    </w:p>
    <w:p>
      <w:pPr>
        <w:pStyle w:val="Heading5"/>
      </w:pPr>
      <w:r>
        <w:rPr>
          <w:lang w:val="en_US" w:bidi="en_US"/>
        </w:rPr>
        <w:t>22:10c</w:t>
      </w:r>
    </w:p>
    <w:p>
      <w:pPr/>
      <w:r>
        <w:rPr>
          <w:lang w:val="en_US" w:bidi="en_US"/>
        </w:rPr>
      </w:r>
      <w:r>
        <w:rPr>
          <w:b/>
          <w:lang w:val="en_US" w:bidi="en_US"/>
        </w:rPr>
        <w:t>Follow him to the house he enters,</w:t>
      </w:r>
    </w:p>
    <w:p>
      <w:pPr>
        <w:pStyle w:val="ListBullet"/>
        <w:spacing w:line="240" w:lineRule="auto"/>
        <w:ind w:left="720"/>
      </w:pPr>
      <w:r>
        <w:rPr>
          <w:lang w:val="en_US" w:bidi="en_US"/>
        </w:rPr>
      </w:r>
      <w:r>
        <w:rPr>
          <w:lang w:val="en_US" w:bidi="en_US"/>
        </w:rPr>
        <w:t>Follow</w:t>
      </w:r>
      <w:r>
        <w:rPr>
          <w:vertAlign w:val="superscript"/>
          <w:lang w:val="en_US" w:bidi="en_US"/>
        </w:rPr>
        <w:t>(dual)</w:t>
      </w:r>
      <w:r>
        <w:rPr>
          <w:lang w:val="en_US" w:bidi="en_US"/>
        </w:rPr>
        <w:t xml:space="preserve"> him, and go into the house that he enters.</w:t>
      </w:r>
    </w:p>
    <w:p>
      <w:pPr>
        <w:pStyle w:val="ListBullet"/>
        <w:spacing w:line="240" w:lineRule="auto"/>
        <w:ind w:left="720"/>
      </w:pPr>
      <w:r>
        <w:rPr>
          <w:lang w:val="en_US" w:bidi="en_US"/>
        </w:rPr>
      </w:r>
      <w:r>
        <w:rPr>
          <w:lang w:val="en_US" w:bidi="en_US"/>
        </w:rPr>
        <w:t>you must go with him. When he enters a house, you also go into it.</w:t>
      </w:r>
    </w:p>
    <w:p>
      <w:pPr/>
      <w:r>
        <w:rPr>
          <w:lang w:val="en_US" w:bidi="en_US"/>
        </w:rPr>
      </w:r>
      <w:r>
        <w:rPr>
          <w:b/>
          <w:lang w:val="en_US" w:bidi="en_US"/>
        </w:rPr>
        <w:t>Follow him to the house he enters:</w:t>
      </w:r>
      <w:r>
        <w:rPr>
          <w:lang w:val="en_US" w:bidi="en_US"/>
        </w:rPr>
        <w:t xml:space="preserve"> Most English versions indicate that Peter and John should go into the house, following the man. For example:</w:t>
      </w:r>
    </w:p>
    <w:p>
      <w:pPr/>
      <w:r>
        <w:rPr>
          <w:lang w:val="en_US" w:bidi="en_US"/>
        </w:rPr>
      </w:r>
      <w:r>
        <w:rPr>
          <w:lang w:val="en_US" w:bidi="en_US"/>
        </w:rPr>
        <w:t xml:space="preserve">Follow him </w:t>
      </w:r>
      <w:r>
        <w:rPr>
          <w:u w:val="single"/>
          <w:lang w:val="en_US" w:bidi="en_US"/>
        </w:rPr>
        <w:t>into</w:t>
      </w:r>
      <w:r>
        <w:rPr>
          <w:lang w:val="en_US" w:bidi="en_US"/>
        </w:rPr>
        <w:t xml:space="preserve"> the house that he enters (GNT)</w:t>
      </w:r>
    </w:p>
    <w:p>
      <w:pPr/>
      <w:r>
        <w:rPr>
          <w:lang w:val="en_US" w:bidi="en_US"/>
        </w:rPr>
      </w:r>
      <w:r>
        <w:rPr>
          <w:lang w:val="en_US" w:bidi="en_US"/>
        </w:rPr>
        <w:t xml:space="preserve">In this context the phrase </w:t>
      </w:r>
      <w:r>
        <w:rPr>
          <w:i/>
          <w:lang w:val="en_US" w:bidi="en_US"/>
        </w:rPr>
        <w:t>Follow him</w:t>
      </w:r>
      <w:r>
        <w:rPr>
          <w:lang w:val="en_US" w:bidi="en_US"/>
        </w:rPr>
        <w:t xml:space="preserve"> indicates that Peter and John should walk with the man or close behind him. It does not indicate that they should follow him at a distance without his knowledge. If a word like </w:t>
      </w:r>
      <w:r>
        <w:rPr>
          <w:i/>
          <w:lang w:val="en_US" w:bidi="en_US"/>
        </w:rPr>
        <w:t>Follow</w:t>
      </w:r>
      <w:r>
        <w:rPr>
          <w:lang w:val="en_US" w:bidi="en_US"/>
        </w:rPr>
        <w:t xml:space="preserve"> would imply this in your language, you may need to use a different verb. For example:</w:t>
      </w:r>
    </w:p>
    <w:p>
      <w:pPr/>
      <w:r>
        <w:rPr>
          <w:lang w:val="en_US" w:bidi="en_US"/>
        </w:rPr>
      </w:r>
      <w:r>
        <w:rPr>
          <w:lang w:val="en_US" w:bidi="en_US"/>
        </w:rPr>
        <w:t>Go with him and enter the house that he enters</w:t>
      </w:r>
    </w:p>
    <w:p>
      <w:pPr/>
      <w:r>
        <w:rPr>
          <w:lang w:val="en_US" w:bidi="en_US"/>
        </w:rPr>
      </w:r>
      <w:r>
        <w:rPr>
          <w:lang w:val="en_US" w:bidi="en_US"/>
        </w:rPr>
        <w:t>Take the same path that he takes. When he enters a house, you also enter it</w:t>
      </w:r>
      <w:r>
        <w:rPr>
          <w:lang w:val="en_US" w:bidi="en_US"/>
        </w:rPr>
      </w:r>
      <w:r>
        <w:rPr>
          <w:lang w:val="en_US" w:bidi="en_US"/>
        </w:rPr>
      </w:r>
    </w:p>
    <w:p>
      <w:pPr/>
      <w:r>
        <w:rPr>
          <w:lang w:val="en_US" w:bidi="en_US"/>
        </w:rPr>
      </w:r>
    </w:p>
    <w:p>
      <w:pPr>
        <w:pStyle w:val="Heading2"/>
      </w:pPr>
      <w:r>
        <w:rPr>
          <w:lang w:val="en_US" w:bidi="en_US"/>
        </w:rPr>
        <w:t>Luke 22:11</w:t>
      </w:r>
      <w:r>
        <w:rPr>
          <w:lang w:val="en_US" w:bidi="en_US"/>
        </w:rPr>
      </w:r>
    </w:p>
    <w:p>
      <w:pPr>
        <w:pStyle w:val="Heading4"/>
      </w:pPr>
      <w:r>
        <w:rPr>
          <w:lang w:val="en_US" w:bidi="en_US"/>
        </w:rPr>
        <w:t>Section 22:7–13: Jesus sent two disciples to prepare for the Passover celebration</w:t>
      </w:r>
    </w:p>
    <w:p>
      <w:pPr/>
      <w:r>
        <w:rPr>
          <w:lang w:val="en_US" w:bidi="en_US"/>
        </w:rPr>
      </w:r>
      <w:r>
        <w:rPr>
          <w:lang w:val="en_US" w:bidi="en_US"/>
        </w:rPr>
        <w:t>This section begins on “the Day of Unleavened Bread.” On that day the Jewish people had to remove from their houses all “leaven” (yeast) and any bread or other food that was made with yeast. Also on that day, each family had to sacrifice a lamb for the Passover meal. In the context of sacrifice, people could refer to any of these lambs as “the Passover” without adding the word “lamb.” For example, see Exodus 12:21 and Deuteronomy 16:2. This is similar to its use in 1 Corinthians 5:7: “Christ our Passover is sacrificed for us.”</w:t>
      </w:r>
    </w:p>
    <w:p>
      <w:pPr/>
      <w:r>
        <w:rPr>
          <w:lang w:val="en_US" w:bidi="en_US"/>
        </w:rPr>
      </w:r>
      <w:r>
        <w:rPr>
          <w:lang w:val="en_US" w:bidi="en_US"/>
        </w:rPr>
        <w:t>Luke, Paul, and other New Testament writers implied that the lamb that was sacrificed on Passover symbolized the fact that Jesus offered himself as a sacrifice to save people from slavery to sin. Jesus knew that during the time of the festival, he himself would become a sacrifice. He would become the “Lamb of God who takes away the sin of the world” (John 1:29).</w:t>
      </w:r>
    </w:p>
    <w:p>
      <w:pPr/>
      <w:r>
        <w:rPr>
          <w:lang w:val="en_US" w:bidi="en_US"/>
        </w:rPr>
      </w:r>
      <w:r>
        <w:rPr>
          <w:lang w:val="en_US" w:bidi="en_US"/>
        </w:rPr>
        <w:t>In this section, Jesus sent two disciples to make preparations for the Passover celebration.</w:t>
      </w:r>
    </w:p>
    <w:p>
      <w:pPr/>
      <w:r>
        <w:rPr>
          <w:lang w:val="en_US" w:bidi="en_US"/>
        </w:rPr>
      </w:r>
      <w:r>
        <w:rPr>
          <w:lang w:val="en_US" w:bidi="en_US"/>
        </w:rPr>
        <w:t>There are parallel passages for this section in Matthew 26:17–25, Mark 14:12–21, and John 13:21–30. Examples of other headings for this section are:</w:t>
      </w:r>
    </w:p>
    <w:p>
      <w:pPr/>
      <w:r>
        <w:rPr>
          <w:lang w:val="en_US" w:bidi="en_US"/>
        </w:rPr>
      </w:r>
      <w:r>
        <w:rPr>
          <w:lang w:val="en_US" w:bidi="en_US"/>
        </w:rPr>
        <w:t>The Preparation of the Passover (NRSV)</w:t>
      </w:r>
    </w:p>
    <w:p>
      <w:pPr/>
      <w:r>
        <w:rPr>
          <w:lang w:val="en_US" w:bidi="en_US"/>
        </w:rPr>
      </w:r>
      <w:r>
        <w:rPr>
          <w:lang w:val="en_US" w:bidi="en_US"/>
        </w:rPr>
        <w:t>Jesus makes arrangements for his last Passover with his disciples (JBP)</w:t>
      </w:r>
    </w:p>
    <w:p>
      <w:pPr>
        <w:pStyle w:val="Heading5"/>
      </w:pPr>
      <w:r>
        <w:rPr>
          <w:lang w:val="en_US" w:bidi="en_US"/>
        </w:rPr>
        <w:t>22:11</w:t>
      </w:r>
    </w:p>
    <w:p>
      <w:pPr/>
      <w:r>
        <w:rPr>
          <w:lang w:val="en_US" w:bidi="en_US"/>
        </w:rPr>
      </w:r>
      <w:r>
        <w:rPr>
          <w:lang w:val="en_US" w:bidi="en_US"/>
        </w:rPr>
        <w:t>In this verse Jesus told Peter and John to ask the owner of the house a question. Jesus told them the words of the question as a direct quote. In some languages it may be more natural to use indirect speech. See the General Comment on 22:11a–d at the end of 22:11c–d for examples.</w:t>
      </w:r>
    </w:p>
    <w:p>
      <w:pPr>
        <w:pStyle w:val="Heading5"/>
      </w:pPr>
      <w:r>
        <w:rPr>
          <w:lang w:val="en_US" w:bidi="en_US"/>
        </w:rPr>
        <w:t>22:11a</w:t>
      </w:r>
    </w:p>
    <w:p>
      <w:pPr/>
      <w:r>
        <w:rPr>
          <w:lang w:val="en_US" w:bidi="en_US"/>
        </w:rPr>
      </w:r>
      <w:r>
        <w:rPr>
          <w:b/>
          <w:lang w:val="en_US" w:bidi="en_US"/>
        </w:rPr>
        <w:t>and say to the owner of that house,</w:t>
      </w:r>
    </w:p>
    <w:p>
      <w:pPr>
        <w:pStyle w:val="ListBullet"/>
        <w:spacing w:line="240" w:lineRule="auto"/>
        <w:ind w:left="720"/>
      </w:pPr>
      <w:r>
        <w:rPr>
          <w:lang w:val="en_US" w:bidi="en_US"/>
        </w:rPr>
      </w:r>
      <w:r>
        <w:rPr>
          <w:lang w:val="en_US" w:bidi="en_US"/>
        </w:rPr>
        <w:t xml:space="preserve">Then say this to the </w:t>
      </w:r>
      <w:r>
        <w:rPr>
          <w:lang w:val="en_US" w:bidi="en_US"/>
        </w:rPr>
        <w:t>person</w:t>
      </w:r>
      <w:r>
        <w:rPr>
          <w:lang w:val="en_US" w:bidi="en_US"/>
        </w:rPr>
        <w:t xml:space="preserve"> who owns the house:</w:t>
      </w:r>
    </w:p>
    <w:p>
      <w:pPr>
        <w:pStyle w:val="ListBullet"/>
        <w:spacing w:line="240" w:lineRule="auto"/>
        <w:ind w:left="720"/>
      </w:pPr>
      <w:r>
        <w:rPr>
          <w:lang w:val="en_US" w:bidi="en_US"/>
        </w:rPr>
      </w:r>
      <w:r>
        <w:rPr>
          <w:lang w:val="en_US" w:bidi="en_US"/>
        </w:rPr>
        <w:t xml:space="preserve">Give the owner of </w:t>
      </w:r>
      <w:r>
        <w:rPr>
          <w:lang w:val="en_US" w:bidi="en_US"/>
        </w:rPr>
        <w:t>the</w:t>
      </w:r>
      <w:r>
        <w:rPr>
          <w:lang w:val="en_US" w:bidi="en_US"/>
        </w:rPr>
        <w:t xml:space="preserve"> house this message </w:t>
      </w:r>
      <w:r>
        <w:rPr>
          <w:lang w:val="en_US" w:bidi="en_US"/>
        </w:rPr>
        <w:t>from me</w:t>
      </w:r>
      <w:r>
        <w:rPr>
          <w:lang w:val="en_US" w:bidi="en_US"/>
        </w:rPr>
        <w:t>:</w:t>
      </w:r>
    </w:p>
    <w:p>
      <w:pPr>
        <w:pStyle w:val="ListBullet"/>
        <w:spacing w:line="240" w:lineRule="auto"/>
        <w:ind w:left="720"/>
      </w:pPr>
      <w:r>
        <w:rPr>
          <w:lang w:val="en_US" w:bidi="en_US"/>
        </w:rPr>
      </w:r>
      <w:r>
        <w:rPr>
          <w:lang w:val="en_US" w:bidi="en_US"/>
        </w:rPr>
        <w:t>Speak to the owner of the house and tell him that</w:t>
      </w:r>
    </w:p>
    <w:p>
      <w:pPr/>
      <w:r>
        <w:rPr>
          <w:lang w:val="en_US" w:bidi="en_US"/>
        </w:rPr>
      </w:r>
      <w:r>
        <w:rPr>
          <w:b/>
          <w:lang w:val="en_US" w:bidi="en_US"/>
        </w:rPr>
        <w:t>say to the owner of that house:</w:t>
      </w:r>
      <w:r>
        <w:rPr>
          <w:lang w:val="en_US" w:bidi="en_US"/>
        </w:rPr>
        <w:t xml:space="preserve"> Here Jesus told Peter and John to say something to the owner of the house. The </w:t>
      </w:r>
      <w:r>
        <w:rPr>
          <w:i/>
          <w:lang w:val="en_US" w:bidi="en_US"/>
        </w:rPr>
        <w:t>owner of that house</w:t>
      </w:r>
      <w:r>
        <w:rPr>
          <w:lang w:val="en_US" w:bidi="en_US"/>
        </w:rPr>
        <w:t xml:space="preserve"> is a different person from the man whom they would follow.</w:t>
      </w:r>
    </w:p>
    <w:p>
      <w:pPr/>
      <w:r>
        <w:rPr>
          <w:lang w:val="en_US" w:bidi="en_US"/>
        </w:rPr>
      </w:r>
      <w:r>
        <w:rPr>
          <w:lang w:val="en_US" w:bidi="en_US"/>
        </w:rPr>
        <w:t>Some other ways to translate this part of the verse are:</w:t>
      </w:r>
    </w:p>
    <w:p>
      <w:pPr/>
      <w:r>
        <w:rPr>
          <w:lang w:val="en_US" w:bidi="en_US"/>
        </w:rPr>
      </w:r>
      <w:r>
        <w:rPr>
          <w:lang w:val="en_US" w:bidi="en_US"/>
        </w:rPr>
        <w:t>Go/Speak to the person who owns that house. Say to him</w:t>
      </w:r>
    </w:p>
    <w:p>
      <w:pPr/>
      <w:r>
        <w:rPr>
          <w:lang w:val="en_US" w:bidi="en_US"/>
        </w:rPr>
      </w:r>
      <w:r>
        <w:rPr>
          <w:lang w:val="en_US" w:bidi="en_US"/>
        </w:rPr>
        <w:t>and tell the owner of the house (NCV)</w:t>
      </w:r>
    </w:p>
    <w:p>
      <w:pPr/>
      <w:r>
        <w:rPr>
          <w:lang w:val="en_US" w:bidi="en_US"/>
        </w:rPr>
      </w:r>
      <w:r>
        <w:rPr>
          <w:lang w:val="en_US" w:bidi="en_US"/>
        </w:rPr>
        <w:t>and say to the owner (GNT)</w:t>
      </w:r>
    </w:p>
    <w:p>
      <w:pPr>
        <w:pStyle w:val="Heading5"/>
      </w:pPr>
      <w:r>
        <w:rPr>
          <w:lang w:val="en_US" w:bidi="en_US"/>
        </w:rPr>
        <w:t>22:11b</w:t>
      </w:r>
    </w:p>
    <w:p>
      <w:pPr/>
      <w:r>
        <w:rPr>
          <w:lang w:val="en_US" w:bidi="en_US"/>
        </w:rPr>
      </w:r>
      <w:r>
        <w:rPr>
          <w:b/>
          <w:lang w:val="en_US" w:bidi="en_US"/>
        </w:rPr>
        <w:t>‘The Teacher asks:</w:t>
      </w:r>
    </w:p>
    <w:p>
      <w:pPr>
        <w:pStyle w:val="ListBullet"/>
        <w:spacing w:line="240" w:lineRule="auto"/>
        <w:ind w:left="720"/>
      </w:pPr>
      <w:r>
        <w:rPr>
          <w:lang w:val="en_US" w:bidi="en_US"/>
        </w:rPr>
      </w:r>
      <w:r>
        <w:rPr>
          <w:lang w:val="en_US" w:bidi="en_US"/>
        </w:rPr>
        <w:t>‘The Teacher says,</w:t>
      </w:r>
    </w:p>
    <w:p>
      <w:pPr>
        <w:pStyle w:val="ListBullet"/>
        <w:spacing w:line="240" w:lineRule="auto"/>
        <w:ind w:left="720"/>
      </w:pPr>
      <w:r>
        <w:rPr>
          <w:lang w:val="en_US" w:bidi="en_US"/>
        </w:rPr>
      </w:r>
      <w:r>
        <w:rPr>
          <w:lang w:val="en_US" w:bidi="en_US"/>
        </w:rPr>
        <w:t>‘</w:t>
      </w:r>
      <w:r>
        <w:rPr>
          <w:lang w:val="en_US" w:bidi="en_US"/>
        </w:rPr>
        <w:t>Our</w:t>
      </w:r>
      <w:r>
        <w:rPr>
          <w:lang w:val="en_US" w:bidi="en_US"/>
        </w:rPr>
        <w:t xml:space="preserve"> Teacher gave </w:t>
      </w:r>
      <w:r>
        <w:rPr>
          <w:lang w:val="en_US" w:bidi="en_US"/>
        </w:rPr>
        <w:t>us</w:t>
      </w:r>
      <w:r>
        <w:rPr>
          <w:vertAlign w:val="superscript"/>
          <w:lang w:val="en_US" w:bidi="en_US"/>
        </w:rPr>
        <w:t>(dual/excl)</w:t>
      </w:r>
      <w:r>
        <w:rPr>
          <w:lang w:val="en_US" w:bidi="en_US"/>
        </w:rPr>
        <w:t xml:space="preserve"> a message </w:t>
      </w:r>
      <w:r>
        <w:rPr>
          <w:lang w:val="en_US" w:bidi="en_US"/>
        </w:rPr>
        <w:t>for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I, the Teacher, request</w:t>
      </w:r>
    </w:p>
    <w:p>
      <w:pPr/>
      <w:r>
        <w:rPr>
          <w:lang w:val="en_US" w:bidi="en_US"/>
        </w:rPr>
      </w:r>
      <w:r>
        <w:rPr>
          <w:b/>
          <w:lang w:val="en_US" w:bidi="en_US"/>
        </w:rPr>
        <w:t>The Teacher asks:</w:t>
      </w:r>
      <w:r>
        <w:rPr>
          <w:lang w:val="en_US" w:bidi="en_US"/>
        </w:rPr>
        <w:t xml:space="preserve"> The Greek phrase that the BSB translates as </w:t>
      </w:r>
      <w:r>
        <w:rPr>
          <w:i/>
          <w:lang w:val="en_US" w:bidi="en_US"/>
        </w:rPr>
        <w:t>The Teacher asks</w:t>
      </w:r>
      <w:r>
        <w:rPr>
          <w:lang w:val="en_US" w:bidi="en_US"/>
        </w:rPr>
        <w:t xml:space="preserve"> is more literally “The Teacher says.” Jesus was telling Peter and John how to introduce his request to the owner. He implied that the owner already knew him as “the Teacher.” The context also implies that the owner would not be surprised by the request. Introduce the request in a natural way in your language. Some other ways to do this are:</w:t>
      </w:r>
    </w:p>
    <w:p>
      <w:pPr/>
      <w:r>
        <w:rPr>
          <w:lang w:val="en_US" w:bidi="en_US"/>
        </w:rPr>
      </w:r>
      <w:r>
        <w:rPr>
          <w:lang w:val="en_US" w:bidi="en_US"/>
        </w:rPr>
        <w:t>I,</w:t>
      </w:r>
      <w:r>
        <w:rPr>
          <w:lang w:val="en_US" w:bidi="en_US"/>
        </w:rPr>
        <w:t xml:space="preserve"> the Teacher ask/request you to…</w:t>
      </w:r>
    </w:p>
    <w:p>
      <w:pPr/>
      <w:r>
        <w:rPr>
          <w:lang w:val="en_US" w:bidi="en_US"/>
        </w:rPr>
      </w:r>
      <w:r>
        <w:rPr>
          <w:lang w:val="en_US" w:bidi="en_US"/>
        </w:rPr>
        <w:t>Our teacher gave us this message for you:</w:t>
      </w:r>
    </w:p>
    <w:p>
      <w:pPr/>
      <w:r>
        <w:rPr>
          <w:lang w:val="en_US" w:bidi="en_US"/>
        </w:rPr>
      </w:r>
      <w:r>
        <w:rPr>
          <w:lang w:val="en_US" w:bidi="en_US"/>
        </w:rPr>
        <w:t>The Teacher would like to know</w:t>
      </w:r>
    </w:p>
    <w:p>
      <w:pPr/>
      <w:r>
        <w:rPr>
          <w:lang w:val="en_US" w:bidi="en_US"/>
        </w:rPr>
      </w:r>
      <w:r>
        <w:rPr>
          <w:b/>
          <w:lang w:val="en_US" w:bidi="en_US"/>
        </w:rPr>
        <w:t>The Teacher:</w:t>
      </w:r>
      <w:r>
        <w:rPr>
          <w:lang w:val="en_US" w:bidi="en_US"/>
        </w:rPr>
        <w:t xml:space="preserve"> The Greek word that the BSB translates as </w:t>
      </w:r>
      <w:r>
        <w:rPr>
          <w:i/>
          <w:lang w:val="en_US" w:bidi="en_US"/>
        </w:rPr>
        <w:t>Teacher</w:t>
      </w:r>
      <w:r>
        <w:rPr>
          <w:lang w:val="en_US" w:bidi="en_US"/>
        </w:rPr>
        <w:t xml:space="preserve"> was a polite title for a Jewish religious leader. When the two disciples used the title </w:t>
      </w:r>
      <w:r>
        <w:rPr>
          <w:i/>
          <w:lang w:val="en_US" w:bidi="en_US"/>
        </w:rPr>
        <w:t>The Teacher</w:t>
      </w:r>
      <w:r>
        <w:rPr>
          <w:lang w:val="en_US" w:bidi="en_US"/>
        </w:rPr>
        <w:t xml:space="preserve"> here, the owner of the house knew that they were referring to Jesus. For more help in translating this term, see the note on 18:18a.</w:t>
      </w:r>
    </w:p>
    <w:p>
      <w:pPr>
        <w:pStyle w:val="Heading5"/>
      </w:pPr>
      <w:r>
        <w:rPr>
          <w:lang w:val="en_US" w:bidi="en_US"/>
        </w:rPr>
        <w:t>22:11c</w:t>
      </w:r>
    </w:p>
    <w:p>
      <w:pPr/>
      <w:r>
        <w:rPr>
          <w:lang w:val="en_US" w:bidi="en_US"/>
        </w:rPr>
      </w:r>
      <w:r>
        <w:rPr>
          <w:b/>
          <w:lang w:val="en_US" w:bidi="en_US"/>
        </w:rPr>
        <w:t>Where is the guest room,</w:t>
      </w:r>
    </w:p>
    <w:p>
      <w:pPr>
        <w:pStyle w:val="ListBullet"/>
        <w:spacing w:line="240" w:lineRule="auto"/>
        <w:ind w:left="720"/>
      </w:pPr>
      <w:r>
        <w:rPr>
          <w:lang w:val="en_US" w:bidi="en_US"/>
        </w:rPr>
      </w:r>
      <w:r>
        <w:rPr>
          <w:lang w:val="en_US" w:bidi="en_US"/>
        </w:rPr>
        <w:t>‘Where is the room</w:t>
      </w:r>
    </w:p>
    <w:p>
      <w:pPr>
        <w:pStyle w:val="ListBullet"/>
        <w:spacing w:line="240" w:lineRule="auto"/>
        <w:ind w:left="720"/>
      </w:pPr>
      <w:r>
        <w:rPr>
          <w:lang w:val="en_US" w:bidi="en_US"/>
        </w:rPr>
      </w:r>
      <w:r>
        <w:rPr>
          <w:lang w:val="en_US" w:bidi="en_US"/>
        </w:rPr>
        <w:t xml:space="preserve">He would like you to show </w:t>
      </w:r>
      <w:r>
        <w:rPr>
          <w:lang w:val="en_US" w:bidi="en_US"/>
        </w:rPr>
        <w:t>us</w:t>
      </w:r>
      <w:r>
        <w:rPr>
          <w:vertAlign w:val="superscript"/>
          <w:lang w:val="en_US" w:bidi="en_US"/>
        </w:rPr>
        <w:t>(dual/excl)</w:t>
      </w:r>
      <w:r>
        <w:rPr>
          <w:lang w:val="en_US" w:bidi="en_US"/>
        </w:rPr>
        <w:t xml:space="preserve"> your</w:t>
      </w:r>
      <w:r>
        <w:rPr>
          <w:vertAlign w:val="superscript"/>
          <w:lang w:val="en_US" w:bidi="en_US"/>
        </w:rPr>
        <w:t>(sing)</w:t>
      </w:r>
      <w:r>
        <w:rPr>
          <w:lang w:val="en_US" w:bidi="en_US"/>
        </w:rPr>
        <w:t xml:space="preserve"> guest room</w:t>
      </w:r>
    </w:p>
    <w:p>
      <w:pPr>
        <w:pStyle w:val="ListBullet"/>
        <w:spacing w:line="240" w:lineRule="auto"/>
        <w:ind w:left="720"/>
      </w:pPr>
      <w:r>
        <w:rPr>
          <w:lang w:val="en_US" w:bidi="en_US"/>
        </w:rPr>
      </w:r>
      <w:r>
        <w:rPr>
          <w:lang w:val="en_US" w:bidi="en_US"/>
        </w:rPr>
        <w:t>that he show you</w:t>
      </w:r>
      <w:r>
        <w:rPr>
          <w:vertAlign w:val="superscript"/>
          <w:lang w:val="en_US" w:bidi="en_US"/>
        </w:rPr>
        <w:t>(dual)</w:t>
      </w:r>
      <w:r>
        <w:rPr>
          <w:lang w:val="en_US" w:bidi="en_US"/>
        </w:rPr>
        <w:t xml:space="preserve"> the room for visitors</w:t>
      </w:r>
    </w:p>
    <w:p>
      <w:pPr>
        <w:pStyle w:val="Heading5"/>
      </w:pPr>
      <w:r>
        <w:rPr>
          <w:lang w:val="en_US" w:bidi="en_US"/>
        </w:rPr>
        <w:t>22:11d</w:t>
      </w:r>
    </w:p>
    <w:p>
      <w:pPr/>
      <w:r>
        <w:rPr>
          <w:lang w:val="en_US" w:bidi="en_US"/>
        </w:rPr>
      </w:r>
      <w:r>
        <w:rPr>
          <w:b/>
          <w:lang w:val="en_US" w:bidi="en_US"/>
        </w:rPr>
        <w:t>where I may eat the Passover with My disciples?’</w:t>
      </w:r>
    </w:p>
    <w:p>
      <w:pPr>
        <w:pStyle w:val="ListBullet"/>
        <w:spacing w:line="240" w:lineRule="auto"/>
        <w:ind w:left="720"/>
      </w:pPr>
      <w:r>
        <w:rPr>
          <w:lang w:val="en_US" w:bidi="en_US"/>
        </w:rPr>
      </w:r>
      <w:r>
        <w:rPr>
          <w:lang w:val="en_US" w:bidi="en_US"/>
        </w:rPr>
        <w:t xml:space="preserve">where my disciples and I may/will eat the Passover </w:t>
      </w:r>
      <w:r>
        <w:rPr>
          <w:lang w:val="en_US" w:bidi="en_US"/>
        </w:rPr>
        <w:t>feast</w:t>
      </w:r>
      <w:r>
        <w:rPr>
          <w:lang w:val="en_US" w:bidi="en_US"/>
        </w:rPr>
        <w:t>?’</w:t>
      </w:r>
    </w:p>
    <w:p>
      <w:pPr>
        <w:pStyle w:val="ListBullet"/>
        <w:spacing w:line="240" w:lineRule="auto"/>
        <w:ind w:left="720"/>
      </w:pPr>
      <w:r>
        <w:rPr>
          <w:lang w:val="en_US" w:bidi="en_US"/>
        </w:rPr>
      </w:r>
      <w:r>
        <w:rPr>
          <w:lang w:val="en_US" w:bidi="en_US"/>
        </w:rPr>
        <w:t xml:space="preserve">so that </w:t>
      </w:r>
      <w:r>
        <w:rPr>
          <w:lang w:val="en_US" w:bidi="en_US"/>
        </w:rPr>
        <w:t>we</w:t>
      </w:r>
      <w:r>
        <w:rPr>
          <w:vertAlign w:val="superscript"/>
          <w:lang w:val="en_US" w:bidi="en_US"/>
        </w:rPr>
        <w:t>(dual/excl)</w:t>
      </w:r>
      <w:r>
        <w:rPr>
          <w:lang w:val="en_US" w:bidi="en_US"/>
        </w:rPr>
        <w:t xml:space="preserve"> </w:t>
      </w:r>
      <w:r>
        <w:rPr>
          <w:lang w:val="en_US" w:bidi="en_US"/>
        </w:rPr>
        <w:t>can prepare it</w:t>
      </w:r>
      <w:r>
        <w:rPr>
          <w:lang w:val="en_US" w:bidi="en_US"/>
        </w:rPr>
        <w:t xml:space="preserve"> for him to eat the </w:t>
      </w:r>
      <w:r>
        <w:rPr>
          <w:lang w:val="en_US" w:bidi="en_US"/>
        </w:rPr>
        <w:t>meal for the</w:t>
      </w:r>
      <w:r>
        <w:rPr>
          <w:lang w:val="en_US" w:bidi="en_US"/>
        </w:rPr>
        <w:t xml:space="preserve"> </w:t>
      </w:r>
      <w:r>
        <w:rPr>
          <w:lang w:val="en_US" w:bidi="en_US"/>
        </w:rPr>
        <w:t>Death</w:t>
      </w:r>
      <w:r>
        <w:rPr>
          <w:lang w:val="en_US" w:bidi="en_US"/>
        </w:rPr>
        <w:t xml:space="preserve"> Passed </w:t>
      </w:r>
      <w:r>
        <w:rPr>
          <w:lang w:val="en_US" w:bidi="en_US"/>
        </w:rPr>
        <w:t>Us</w:t>
      </w:r>
      <w:r>
        <w:rPr>
          <w:lang w:val="en_US" w:bidi="en_US"/>
        </w:rPr>
        <w:t xml:space="preserve"> By Feast there with his followers.’</w:t>
      </w:r>
    </w:p>
    <w:p>
      <w:pPr>
        <w:pStyle w:val="ListBullet"/>
        <w:spacing w:line="240" w:lineRule="auto"/>
        <w:ind w:left="720"/>
      </w:pPr>
      <w:r>
        <w:rPr>
          <w:lang w:val="en_US" w:bidi="en_US"/>
        </w:rPr>
      </w:r>
      <w:r>
        <w:rPr>
          <w:lang w:val="en_US" w:bidi="en_US"/>
        </w:rPr>
        <w:t>in which you</w:t>
      </w:r>
      <w:r>
        <w:rPr>
          <w:vertAlign w:val="superscript"/>
          <w:lang w:val="en_US" w:bidi="en_US"/>
        </w:rPr>
        <w:t>(dual)</w:t>
      </w:r>
      <w:r>
        <w:rPr>
          <w:lang w:val="en_US" w:bidi="en_US"/>
        </w:rPr>
        <w:t xml:space="preserve"> and I and my </w:t>
      </w:r>
      <w:r>
        <w:rPr>
          <w:lang w:val="en_US" w:bidi="en_US"/>
        </w:rPr>
        <w:t>other</w:t>
      </w:r>
      <w:r>
        <w:rPr>
          <w:lang w:val="en_US" w:bidi="en_US"/>
        </w:rPr>
        <w:t xml:space="preserve"> disciples may eat the Passover </w:t>
      </w:r>
      <w:r>
        <w:rPr>
          <w:lang w:val="en_US" w:bidi="en_US"/>
        </w:rPr>
        <w:t>meal</w:t>
      </w:r>
      <w:r>
        <w:rPr>
          <w:lang w:val="en_US" w:bidi="en_US"/>
        </w:rPr>
        <w:t xml:space="preserve"> together.</w:t>
      </w:r>
    </w:p>
    <w:p>
      <w:pPr>
        <w:pStyle w:val="Heading5"/>
      </w:pPr>
      <w:r>
        <w:rPr>
          <w:lang w:val="en_US" w:bidi="en_US"/>
        </w:rPr>
        <w:t>22:11c–d</w:t>
      </w:r>
    </w:p>
    <w:p>
      <w:pPr/>
      <w:r>
        <w:rPr>
          <w:lang w:val="en_US" w:bidi="en_US"/>
        </w:rPr>
      </w:r>
      <w:r>
        <w:rPr>
          <w:b/>
          <w:lang w:val="en_US" w:bidi="en_US"/>
        </w:rPr>
        <w:t>Where is the guest room, where I may eat the Passover with My disciples?:</w:t>
      </w:r>
      <w:r>
        <w:rPr>
          <w:lang w:val="en_US" w:bidi="en_US"/>
        </w:rPr>
        <w:t xml:space="preserve"> This is a rhetorical question. Jesus used it to make a request. He wanted the owner of the house to show Peter and John the room where he and his disciples would eat the Passover. It was a polite way to ask to see the room so that they could prepare for the Passover meal there. Some ways to translate this request are:</w:t>
      </w:r>
    </w:p>
    <w:p>
      <w:pPr>
        <w:pStyle w:val="ListBullet"/>
        <w:spacing w:line="240" w:lineRule="auto"/>
        <w:ind w:left="720"/>
      </w:pPr>
      <w:r>
        <w:rPr>
          <w:lang w:val="en_US" w:bidi="en_US"/>
        </w:rPr>
      </w:r>
      <w:r>
        <w:rPr>
          <w:lang w:val="en_US" w:bidi="en_US"/>
        </w:rPr>
        <w:t>As a rhetorical question. For example:</w:t>
      </w:r>
      <w:r>
        <w:rPr>
          <w:lang w:val="en_US" w:bidi="en_US"/>
        </w:rPr>
        <w:t>Would you show us the room where my disciples and I will eat the Passover?</w:t>
      </w:r>
    </w:p>
    <w:p>
      <w:pPr>
        <w:pStyle w:val="ListBullet"/>
        <w:spacing w:line="240" w:lineRule="auto"/>
        <w:ind w:left="720"/>
      </w:pPr>
      <w:r>
        <w:rPr>
          <w:lang w:val="en_US" w:bidi="en_US"/>
        </w:rPr>
      </w:r>
      <w:r>
        <w:rPr>
          <w:lang w:val="en_US" w:bidi="en_US"/>
        </w:rPr>
        <w:t>As a request or polite command. For example:</w:t>
      </w:r>
      <w:r>
        <w:rPr>
          <w:lang w:val="en_US" w:bidi="en_US"/>
        </w:rPr>
        <w:t>Please show us the guest room where my disciples and I may eat the Passover meal.</w:t>
      </w:r>
      <w:r>
        <w:rPr>
          <w:lang w:val="en_US" w:bidi="en_US"/>
        </w:rPr>
        <w:t>Take my messengers to the guest room where I will eat the Passover meal with my disciples.</w:t>
      </w:r>
    </w:p>
    <w:p>
      <w:pPr/>
      <w:r>
        <w:rPr>
          <w:lang w:val="en_US" w:bidi="en_US"/>
        </w:rPr>
      </w:r>
      <w:r>
        <w:rPr>
          <w:lang w:val="en_US" w:bidi="en_US"/>
        </w:rPr>
        <w:t>Use an appropriate way to translate this request in your language.</w:t>
      </w:r>
    </w:p>
    <w:p>
      <w:pPr/>
      <w:r>
        <w:rPr>
          <w:lang w:val="en_US" w:bidi="en_US"/>
        </w:rPr>
      </w:r>
      <w:r>
        <w:rPr>
          <w:b/>
          <w:lang w:val="en_US" w:bidi="en_US"/>
        </w:rPr>
        <w:t>guest room:</w:t>
      </w:r>
      <w:r>
        <w:rPr>
          <w:lang w:val="en_US" w:bidi="en_US"/>
        </w:rPr>
        <w:t xml:space="preserve"> The Greek word that the BSB translates as </w:t>
      </w:r>
      <w:r>
        <w:rPr>
          <w:i/>
          <w:lang w:val="en_US" w:bidi="en_US"/>
        </w:rPr>
        <w:t>guest room</w:t>
      </w:r>
      <w:r>
        <w:rPr>
          <w:lang w:val="en_US" w:bidi="en_US"/>
        </w:rPr>
        <w:t xml:space="preserve"> is a general word that can refer to different types of rooms for guests. Jesus may have arranged with this man ahead of time to have the Passover meal with his disciples in this guest room. They were planning to eat in the room but not to sleep there. In 22:12 the room is described in more detail as large and furnished. Here in 22:11 it may be more natural in many languages to use a general term. For example:</w:t>
      </w:r>
    </w:p>
    <w:p>
      <w:pPr/>
      <w:r>
        <w:rPr>
          <w:lang w:val="en_US" w:bidi="en_US"/>
        </w:rPr>
      </w:r>
      <w:r>
        <w:rPr>
          <w:lang w:val="en_US" w:bidi="en_US"/>
        </w:rPr>
        <w:t>room (GNT)</w:t>
      </w:r>
    </w:p>
    <w:p>
      <w:pPr/>
      <w:r>
        <w:rPr>
          <w:lang w:val="en_US" w:bidi="en_US"/>
        </w:rPr>
      </w:r>
      <w:r>
        <w:rPr>
          <w:lang w:val="en_US" w:bidi="en_US"/>
        </w:rPr>
        <w:t>place</w:t>
      </w:r>
    </w:p>
    <w:p>
      <w:pPr/>
      <w:r>
        <w:rPr>
          <w:lang w:val="en_US" w:bidi="en_US"/>
        </w:rPr>
      </w:r>
      <w:r>
        <w:rPr>
          <w:b/>
          <w:lang w:val="en_US" w:bidi="en_US"/>
        </w:rPr>
        <w:t>eat the Passover:</w:t>
      </w:r>
      <w:r>
        <w:rPr>
          <w:lang w:val="en_US" w:bidi="en_US"/>
        </w:rPr>
        <w:t xml:space="preserve"> A similar phrase “to eat the Passover” occurred in 22:8. See how you translated it there.</w:t>
      </w:r>
    </w:p>
    <w:p>
      <w:pPr/>
      <w:r>
        <w:rPr>
          <w:lang w:val="en_US" w:bidi="en_US"/>
        </w:rPr>
      </w:r>
      <w:r>
        <w:rPr>
          <w:b/>
          <w:lang w:val="en_US" w:bidi="en_US"/>
        </w:rPr>
        <w:t>with My disciples:</w:t>
      </w:r>
      <w:r>
        <w:rPr>
          <w:lang w:val="en_US" w:bidi="en_US"/>
        </w:rPr>
        <w:t xml:space="preserve"> Here the phrase </w:t>
      </w:r>
      <w:r>
        <w:rPr>
          <w:i/>
          <w:lang w:val="en_US" w:bidi="en_US"/>
        </w:rPr>
        <w:t>My disciples</w:t>
      </w:r>
      <w:r>
        <w:rPr>
          <w:lang w:val="en_US" w:bidi="en_US"/>
        </w:rPr>
        <w:t xml:space="preserve"> refers to Jesus’ twelve closest disciples, who were also called apostles. It does not refer only to Peter and John.</w:t>
      </w:r>
    </w:p>
    <w:p>
      <w:pPr>
        <w:pStyle w:val="Heading6"/>
      </w:pPr>
      <w:r>
        <w:rPr>
          <w:b/>
          <w:lang w:val="en_US" w:bidi="en_US"/>
        </w:rPr>
        <w:t>General Comment on 22:11a–d</w:t>
      </w:r>
    </w:p>
    <w:p>
      <w:pPr/>
      <w:r>
        <w:rPr>
          <w:lang w:val="en_US" w:bidi="en_US"/>
        </w:rPr>
      </w:r>
      <w:r>
        <w:rPr>
          <w:lang w:val="en_US" w:bidi="en_US"/>
        </w:rPr>
        <w:t>In this verse Luke was quoting what Jesus said to his disciples. Jesus quoted the question that he wanted them to ask the house owner in direct speech. This results in a complex embedding of quotes. Consider how you would communicate a message like this in your language. Some other ways to translate it are:</w:t>
      </w:r>
    </w:p>
    <w:p>
      <w:pPr/>
      <w:r>
        <w:rPr>
          <w:lang w:val="en_US" w:bidi="en_US"/>
        </w:rPr>
      </w:r>
      <w:r>
        <w:rPr>
          <w:lang w:val="en_US" w:bidi="en_US"/>
        </w:rPr>
        <w:t>Then say to the man who owns the house, “The Teacher wants to know where he can eat the Passover meal with his disciples.”</w:t>
      </w:r>
    </w:p>
    <w:p>
      <w:pPr/>
      <w:r>
        <w:rPr>
          <w:lang w:val="en_US" w:bidi="en_US"/>
        </w:rPr>
      </w:r>
      <w:r>
        <w:rPr>
          <w:lang w:val="en_US" w:bidi="en_US"/>
        </w:rPr>
        <w:t>Then tell the man who owns the house that I, the Teacher, am asking where I can eat the Passover meal with my disciples.</w:t>
      </w:r>
    </w:p>
    <w:p>
      <w:pPr/>
      <w:r>
        <w:rPr>
          <w:lang w:val="en_US" w:bidi="en_US"/>
        </w:rPr>
      </w:r>
      <w:r>
        <w:rPr>
          <w:lang w:val="en_US" w:bidi="en_US"/>
        </w:rPr>
        <w:t>Use a clear and natural way in your language to repeat the message that Jesus gave Peter and John for the house owner.</w:t>
      </w:r>
      <w:r>
        <w:rPr>
          <w:lang w:val="en_US" w:bidi="en_US"/>
        </w:rPr>
      </w:r>
      <w:r>
        <w:rPr>
          <w:lang w:val="en_US" w:bidi="en_US"/>
        </w:rPr>
      </w:r>
    </w:p>
    <w:p>
      <w:pPr/>
      <w:r>
        <w:rPr>
          <w:lang w:val="en_US" w:bidi="en_US"/>
        </w:rPr>
      </w:r>
    </w:p>
    <w:p>
      <w:pPr>
        <w:pStyle w:val="Heading2"/>
      </w:pPr>
      <w:r>
        <w:rPr>
          <w:lang w:val="en_US" w:bidi="en_US"/>
        </w:rPr>
        <w:t>Luke 22:12</w:t>
      </w:r>
      <w:r>
        <w:rPr>
          <w:lang w:val="en_US" w:bidi="en_US"/>
        </w:rPr>
      </w:r>
    </w:p>
    <w:p>
      <w:pPr>
        <w:pStyle w:val="Heading4"/>
      </w:pPr>
      <w:r>
        <w:rPr>
          <w:lang w:val="en_US" w:bidi="en_US"/>
        </w:rPr>
        <w:t>Section 22:7–13: Jesus sent two disciples to prepare for the Passover celebration</w:t>
      </w:r>
    </w:p>
    <w:p>
      <w:pPr/>
      <w:r>
        <w:rPr>
          <w:lang w:val="en_US" w:bidi="en_US"/>
        </w:rPr>
      </w:r>
      <w:r>
        <w:rPr>
          <w:lang w:val="en_US" w:bidi="en_US"/>
        </w:rPr>
        <w:t>This section begins on “the Day of Unleavened Bread.” On that day the Jewish people had to remove from their houses all “leaven” (yeast) and any bread or other food that was made with yeast. Also on that day, each family had to sacrifice a lamb for the Passover meal. In the context of sacrifice, people could refer to any of these lambs as “the Passover” without adding the word “lamb.” For example, see Exodus 12:21 and Deuteronomy 16:2. This is similar to its use in 1 Corinthians 5:7: “Christ our Passover is sacrificed for us.”</w:t>
      </w:r>
    </w:p>
    <w:p>
      <w:pPr/>
      <w:r>
        <w:rPr>
          <w:lang w:val="en_US" w:bidi="en_US"/>
        </w:rPr>
      </w:r>
      <w:r>
        <w:rPr>
          <w:lang w:val="en_US" w:bidi="en_US"/>
        </w:rPr>
        <w:t>Luke, Paul, and other New Testament writers implied that the lamb that was sacrificed on Passover symbolized the fact that Jesus offered himself as a sacrifice to save people from slavery to sin. Jesus knew that during the time of the festival, he himself would become a sacrifice. He would become the “Lamb of God who takes away the sin of the world” (John 1:29).</w:t>
      </w:r>
    </w:p>
    <w:p>
      <w:pPr/>
      <w:r>
        <w:rPr>
          <w:lang w:val="en_US" w:bidi="en_US"/>
        </w:rPr>
      </w:r>
      <w:r>
        <w:rPr>
          <w:lang w:val="en_US" w:bidi="en_US"/>
        </w:rPr>
        <w:t>In this section, Jesus sent two disciples to make preparations for the Passover celebration.</w:t>
      </w:r>
    </w:p>
    <w:p>
      <w:pPr/>
      <w:r>
        <w:rPr>
          <w:lang w:val="en_US" w:bidi="en_US"/>
        </w:rPr>
      </w:r>
      <w:r>
        <w:rPr>
          <w:lang w:val="en_US" w:bidi="en_US"/>
        </w:rPr>
        <w:t>There are parallel passages for this section in Matthew 26:17–25, Mark 14:12–21, and John 13:21–30. Examples of other headings for this section are:</w:t>
      </w:r>
    </w:p>
    <w:p>
      <w:pPr/>
      <w:r>
        <w:rPr>
          <w:lang w:val="en_US" w:bidi="en_US"/>
        </w:rPr>
      </w:r>
      <w:r>
        <w:rPr>
          <w:lang w:val="en_US" w:bidi="en_US"/>
        </w:rPr>
        <w:t>The Preparation of the Passover (NRSV)</w:t>
      </w:r>
    </w:p>
    <w:p>
      <w:pPr/>
      <w:r>
        <w:rPr>
          <w:lang w:val="en_US" w:bidi="en_US"/>
        </w:rPr>
      </w:r>
      <w:r>
        <w:rPr>
          <w:lang w:val="en_US" w:bidi="en_US"/>
        </w:rPr>
        <w:t>Jesus makes arrangements for his last Passover with his disciples (JBP)</w:t>
      </w:r>
    </w:p>
    <w:p>
      <w:pPr>
        <w:pStyle w:val="Heading5"/>
      </w:pPr>
      <w:r>
        <w:rPr>
          <w:lang w:val="en_US" w:bidi="en_US"/>
        </w:rPr>
        <w:t>22:12a</w:t>
      </w:r>
    </w:p>
    <w:p>
      <w:pPr/>
      <w:r>
        <w:rPr>
          <w:lang w:val="en_US" w:bidi="en_US"/>
        </w:rPr>
      </w:r>
      <w:r>
        <w:rPr>
          <w:b/>
          <w:lang w:val="en_US" w:bidi="en_US"/>
        </w:rPr>
        <w:t>And he will show you a large upper room, already furnished.</w:t>
      </w:r>
    </w:p>
    <w:p>
      <w:pPr>
        <w:pStyle w:val="ListBullet"/>
        <w:spacing w:line="240" w:lineRule="auto"/>
        <w:ind w:left="720"/>
      </w:pPr>
      <w:r>
        <w:rPr>
          <w:lang w:val="en_US" w:bidi="en_US"/>
        </w:rPr>
      </w:r>
      <w:r>
        <w:rPr>
          <w:lang w:val="en_US" w:bidi="en_US"/>
        </w:rPr>
        <w:t>Then he will show you</w:t>
      </w:r>
      <w:r>
        <w:rPr>
          <w:vertAlign w:val="superscript"/>
          <w:lang w:val="en_US" w:bidi="en_US"/>
        </w:rPr>
        <w:t>(plur)</w:t>
      </w:r>
      <w:r>
        <w:rPr>
          <w:lang w:val="en_US" w:bidi="en_US"/>
        </w:rPr>
        <w:t xml:space="preserve"> a big furnished room upstairs.</w:t>
      </w:r>
    </w:p>
    <w:p>
      <w:pPr>
        <w:pStyle w:val="ListBullet"/>
        <w:spacing w:line="240" w:lineRule="auto"/>
        <w:ind w:left="720"/>
      </w:pPr>
      <w:r>
        <w:rPr>
          <w:lang w:val="en_US" w:bidi="en_US"/>
        </w:rPr>
      </w:r>
      <w:r>
        <w:rPr>
          <w:lang w:val="en_US" w:bidi="en_US"/>
        </w:rPr>
        <w:t>He will lead you</w:t>
      </w:r>
      <w:r>
        <w:rPr>
          <w:vertAlign w:val="superscript"/>
          <w:lang w:val="en_US" w:bidi="en_US"/>
        </w:rPr>
        <w:t>(dual)</w:t>
      </w:r>
      <w:r>
        <w:rPr>
          <w:lang w:val="en_US" w:bidi="en_US"/>
        </w:rPr>
        <w:t xml:space="preserve"> to the top of the house where there is a large room </w:t>
      </w:r>
      <w:r>
        <w:rPr>
          <w:lang w:val="en_US" w:bidi="en_US"/>
        </w:rPr>
        <w:t>equipped</w:t>
      </w:r>
      <w:r>
        <w:rPr>
          <w:lang w:val="en_US" w:bidi="en_US"/>
        </w:rPr>
        <w:t xml:space="preserve"> with furniture.</w:t>
      </w:r>
    </w:p>
    <w:p>
      <w:pPr>
        <w:pStyle w:val="ListBullet"/>
        <w:spacing w:line="240" w:lineRule="auto"/>
        <w:ind w:left="720"/>
      </w:pPr>
      <w:r>
        <w:rPr>
          <w:lang w:val="en_US" w:bidi="en_US"/>
        </w:rPr>
      </w:r>
      <w:r>
        <w:rPr>
          <w:lang w:val="en_US" w:bidi="en_US"/>
        </w:rPr>
        <w:t>He will take you</w:t>
      </w:r>
      <w:r>
        <w:rPr>
          <w:vertAlign w:val="superscript"/>
          <w:lang w:val="en_US" w:bidi="en_US"/>
        </w:rPr>
        <w:t>(dual)</w:t>
      </w:r>
      <w:r>
        <w:rPr>
          <w:lang w:val="en_US" w:bidi="en_US"/>
        </w:rPr>
        <w:t xml:space="preserve"> to a large room with table and sitting places.</w:t>
      </w:r>
    </w:p>
    <w:p>
      <w:pPr/>
      <w:r>
        <w:rPr>
          <w:lang w:val="en_US" w:bidi="en_US"/>
        </w:rPr>
      </w:r>
      <w:r>
        <w:rPr>
          <w:b/>
          <w:lang w:val="en_US" w:bidi="en_US"/>
        </w:rPr>
        <w:t>And he will show you a large upper room:</w:t>
      </w:r>
      <w:r>
        <w:rPr>
          <w:lang w:val="en_US" w:bidi="en_US"/>
        </w:rPr>
        <w:t xml:space="preserve"> The clause </w:t>
      </w:r>
      <w:r>
        <w:rPr>
          <w:i/>
          <w:lang w:val="en_US" w:bidi="en_US"/>
        </w:rPr>
        <w:t>he will show you</w:t>
      </w:r>
      <w:r>
        <w:rPr>
          <w:lang w:val="en_US" w:bidi="en_US"/>
        </w:rPr>
        <w:t xml:space="preserve"> indicates that the owner of the house will lead the two disciples to the room. Other ways to translate this are:</w:t>
      </w:r>
    </w:p>
    <w:p>
      <w:pPr/>
      <w:r>
        <w:rPr>
          <w:lang w:val="en_US" w:bidi="en_US"/>
        </w:rPr>
      </w:r>
      <w:r>
        <w:rPr>
          <w:lang w:val="en_US" w:bidi="en_US"/>
        </w:rPr>
        <w:t>He will lead you to a large room upstairs</w:t>
      </w:r>
    </w:p>
    <w:p>
      <w:pPr/>
      <w:r>
        <w:rPr>
          <w:lang w:val="en_US" w:bidi="en_US"/>
        </w:rPr>
      </w:r>
      <w:r>
        <w:rPr>
          <w:lang w:val="en_US" w:bidi="en_US"/>
        </w:rPr>
        <w:t>The owner will take you upstairs and show you a large room (CEV)</w:t>
      </w:r>
    </w:p>
    <w:p>
      <w:pPr/>
      <w:r>
        <w:rPr>
          <w:lang w:val="en_US" w:bidi="en_US"/>
        </w:rPr>
      </w:r>
      <w:r>
        <w:rPr>
          <w:b/>
          <w:lang w:val="en_US" w:bidi="en_US"/>
        </w:rPr>
        <w:t>a large upper room:</w:t>
      </w:r>
      <w:r>
        <w:rPr>
          <w:lang w:val="en_US" w:bidi="en_US"/>
        </w:rPr>
        <w:t xml:space="preserve"> The phrase </w:t>
      </w:r>
      <w:r>
        <w:rPr>
          <w:i/>
          <w:lang w:val="en_US" w:bidi="en_US"/>
        </w:rPr>
        <w:t>a large upper room</w:t>
      </w:r>
      <w:r>
        <w:rPr>
          <w:lang w:val="en_US" w:bidi="en_US"/>
        </w:rPr>
        <w:t xml:space="preserve"> implies that the house had a large room built on top of the main part of the building. Often such a room had its own staircase on the outside of the house. In some cultures upper rooms may be unknown. If that is true in your culture, you may:</w:t>
      </w:r>
    </w:p>
    <w:p>
      <w:pPr>
        <w:pStyle w:val="ListBullet"/>
        <w:spacing w:line="240" w:lineRule="auto"/>
        <w:ind w:left="720"/>
      </w:pPr>
      <w:r>
        <w:rPr>
          <w:lang w:val="en_US" w:bidi="en_US"/>
        </w:rPr>
      </w:r>
      <w:r>
        <w:rPr>
          <w:lang w:val="en_US" w:bidi="en_US"/>
        </w:rPr>
        <w:t>Use a descriptive phrase. For example:</w:t>
      </w:r>
      <w:r>
        <w:rPr>
          <w:lang w:val="en_US" w:bidi="en_US"/>
        </w:rPr>
        <w:t>a large room built on top of the main part of the house</w:t>
      </w:r>
    </w:p>
    <w:p>
      <w:pPr>
        <w:pStyle w:val="ListBullet"/>
        <w:spacing w:line="240" w:lineRule="auto"/>
        <w:ind w:left="720"/>
      </w:pPr>
      <w:r>
        <w:rPr>
          <w:lang w:val="en_US" w:bidi="en_US"/>
        </w:rPr>
      </w:r>
      <w:r>
        <w:rPr>
          <w:lang w:val="en_US" w:bidi="en_US"/>
        </w:rPr>
        <w:t>Refer to it in a more general way. For example:</w:t>
      </w:r>
      <w:r>
        <w:rPr>
          <w:lang w:val="en_US" w:bidi="en_US"/>
        </w:rPr>
        <w:t>a large room</w:t>
      </w:r>
    </w:p>
    <w:p>
      <w:pPr/>
      <w:r>
        <w:rPr>
          <w:lang w:val="en_US" w:bidi="en_US"/>
        </w:rPr>
      </w:r>
      <w:r>
        <w:rPr>
          <w:lang w:val="en_US" w:bidi="en_US"/>
        </w:rPr>
        <w:t>If you translate in a general way, you may want to include a footnote or a picture in your translation. For example, the TRT suggests this footnote:</w:t>
      </w:r>
    </w:p>
    <w:p>
      <w:pPr/>
      <w:r>
        <w:rPr>
          <w:lang w:val="en_US" w:bidi="en_US"/>
        </w:rPr>
      </w:r>
      <w:r>
        <w:rPr>
          <w:lang w:val="en_US" w:bidi="en_US"/>
        </w:rPr>
        <w:t>Jews built houses that had flat roofs. Wealthier families often built a large room on the flat roof. (TRT)</w:t>
      </w:r>
    </w:p>
    <w:p>
      <w:pPr/>
      <w:r>
        <w:rPr>
          <w:lang w:val="en_US" w:bidi="en_US"/>
        </w:rPr>
      </w:r>
      <w:r>
        <w:rPr>
          <w:b/>
          <w:lang w:val="en_US" w:bidi="en_US"/>
        </w:rPr>
        <w:t>already furnished:</w:t>
      </w:r>
      <w:r>
        <w:rPr>
          <w:lang w:val="en_US" w:bidi="en_US"/>
        </w:rPr>
        <w:t xml:space="preserve"> The Greek word that the BSB translates as </w:t>
      </w:r>
      <w:r>
        <w:rPr>
          <w:i/>
          <w:lang w:val="en_US" w:bidi="en_US"/>
        </w:rPr>
        <w:t>already furnished</w:t>
      </w:r>
      <w:r>
        <w:rPr>
          <w:lang w:val="en_US" w:bidi="en_US"/>
        </w:rPr>
        <w:t xml:space="preserve"> indicates that the room already had furniture. This furniture included cushions or couches, and it may have included a table and other items. Other ways to translate this word are:</w:t>
      </w:r>
    </w:p>
    <w:p>
      <w:pPr/>
      <w:r>
        <w:rPr>
          <w:lang w:val="en_US" w:bidi="en_US"/>
        </w:rPr>
      </w:r>
      <w:r>
        <w:rPr>
          <w:lang w:val="en_US" w:bidi="en_US"/>
        </w:rPr>
        <w:t>already made ready</w:t>
      </w:r>
      <w:r>
        <w:rPr>
          <w:lang w:val="en_US" w:bidi="en_US"/>
        </w:rPr>
        <w:t>Yakan back translation on TW.</w:t>
      </w:r>
    </w:p>
    <w:p>
      <w:pPr/>
      <w:r>
        <w:rPr>
          <w:lang w:val="en_US" w:bidi="en_US"/>
        </w:rPr>
      </w:r>
      <w:r>
        <w:rPr>
          <w:lang w:val="en_US" w:bidi="en_US"/>
        </w:rPr>
        <w:t>furnished (NCV)</w:t>
      </w:r>
    </w:p>
    <w:p>
      <w:pPr/>
      <w:r>
        <w:rPr>
          <w:lang w:val="en_US" w:bidi="en_US"/>
        </w:rPr>
      </w:r>
      <w:r>
        <w:rPr>
          <w:lang w:val="en_US" w:bidi="en_US"/>
        </w:rPr>
        <w:t>with furniture</w:t>
      </w:r>
    </w:p>
    <w:p>
      <w:pPr>
        <w:pStyle w:val="Heading5"/>
      </w:pPr>
      <w:r>
        <w:rPr>
          <w:lang w:val="en_US" w:bidi="en_US"/>
        </w:rPr>
        <w:t>22:12b</w:t>
      </w:r>
    </w:p>
    <w:p>
      <w:pPr/>
      <w:r>
        <w:rPr>
          <w:lang w:val="en_US" w:bidi="en_US"/>
        </w:rPr>
      </w:r>
      <w:r>
        <w:rPr>
          <w:b/>
          <w:lang w:val="en_US" w:bidi="en_US"/>
        </w:rPr>
        <w:t>Make preparations there.”</w:t>
      </w:r>
    </w:p>
    <w:p>
      <w:pPr>
        <w:pStyle w:val="ListBullet"/>
        <w:spacing w:line="240" w:lineRule="auto"/>
        <w:ind w:left="720"/>
      </w:pPr>
      <w:r>
        <w:rPr>
          <w:lang w:val="en_US" w:bidi="en_US"/>
        </w:rPr>
      </w:r>
      <w:r>
        <w:rPr>
          <w:lang w:val="en_US" w:bidi="en_US"/>
        </w:rPr>
        <w:t>Prepare</w:t>
      </w:r>
      <w:r>
        <w:rPr>
          <w:vertAlign w:val="superscript"/>
          <w:lang w:val="en_US" w:bidi="en_US"/>
        </w:rPr>
        <w:t>(plur)</w:t>
      </w:r>
      <w:r>
        <w:rPr>
          <w:lang w:val="en_US" w:bidi="en_US"/>
        </w:rPr>
        <w:t xml:space="preserve"> </w:t>
      </w:r>
      <w:r>
        <w:rPr>
          <w:lang w:val="en_US" w:bidi="en_US"/>
        </w:rPr>
        <w:t>for the feast</w:t>
      </w:r>
      <w:r>
        <w:rPr>
          <w:lang w:val="en_US" w:bidi="en_US"/>
        </w:rPr>
        <w:t xml:space="preserve"> there.”</w:t>
      </w:r>
    </w:p>
    <w:p>
      <w:pPr>
        <w:pStyle w:val="ListBullet"/>
        <w:spacing w:line="240" w:lineRule="auto"/>
        <w:ind w:left="720"/>
      </w:pPr>
      <w:r>
        <w:rPr>
          <w:lang w:val="en_US" w:bidi="en_US"/>
        </w:rPr>
      </w:r>
      <w:r>
        <w:rPr>
          <w:lang w:val="en_US" w:bidi="en_US"/>
        </w:rPr>
        <w:t>That is where you</w:t>
      </w:r>
      <w:r>
        <w:rPr>
          <w:vertAlign w:val="superscript"/>
          <w:lang w:val="en_US" w:bidi="en_US"/>
        </w:rPr>
        <w:t>(dual)</w:t>
      </w:r>
      <w:r>
        <w:rPr>
          <w:lang w:val="en_US" w:bidi="en_US"/>
        </w:rPr>
        <w:t xml:space="preserve"> should make the preparations.”</w:t>
      </w:r>
    </w:p>
    <w:p>
      <w:pPr>
        <w:pStyle w:val="ListBullet"/>
        <w:spacing w:line="240" w:lineRule="auto"/>
        <w:ind w:left="720"/>
      </w:pPr>
      <w:r>
        <w:rPr>
          <w:lang w:val="en_US" w:bidi="en_US"/>
        </w:rPr>
      </w:r>
      <w:r>
        <w:rPr>
          <w:lang w:val="en_US" w:bidi="en_US"/>
        </w:rPr>
        <w:t>In that room you</w:t>
      </w:r>
      <w:r>
        <w:rPr>
          <w:vertAlign w:val="superscript"/>
          <w:lang w:val="en_US" w:bidi="en_US"/>
        </w:rPr>
        <w:t>(dual)</w:t>
      </w:r>
      <w:r>
        <w:rPr>
          <w:lang w:val="en_US" w:bidi="en_US"/>
        </w:rPr>
        <w:t xml:space="preserve"> may get </w:t>
      </w:r>
      <w:r>
        <w:rPr>
          <w:lang w:val="en_US" w:bidi="en_US"/>
        </w:rPr>
        <w:t>everything</w:t>
      </w:r>
      <w:r>
        <w:rPr>
          <w:lang w:val="en_US" w:bidi="en_US"/>
        </w:rPr>
        <w:t xml:space="preserve"> ready </w:t>
      </w:r>
      <w:r>
        <w:rPr>
          <w:lang w:val="en_US" w:bidi="en_US"/>
        </w:rPr>
        <w:t>for the Passover meal</w:t>
      </w:r>
      <w:r>
        <w:rPr>
          <w:lang w:val="en_US" w:bidi="en_US"/>
        </w:rPr>
        <w:t>.”</w:t>
      </w:r>
    </w:p>
    <w:p>
      <w:pPr/>
      <w:r>
        <w:rPr>
          <w:lang w:val="en_US" w:bidi="en_US"/>
        </w:rPr>
      </w:r>
      <w:r>
        <w:rPr>
          <w:b/>
          <w:lang w:val="en_US" w:bidi="en_US"/>
        </w:rPr>
        <w:t>Make preparations there:</w:t>
      </w:r>
      <w:r>
        <w:rPr>
          <w:lang w:val="en_US" w:bidi="en_US"/>
        </w:rPr>
        <w:t xml:space="preserve"> The Greek clause that the BSB translates as </w:t>
      </w:r>
      <w:r>
        <w:rPr>
          <w:i/>
          <w:lang w:val="en_US" w:bidi="en_US"/>
        </w:rPr>
        <w:t>Make preparations there</w:t>
      </w:r>
      <w:r>
        <w:rPr>
          <w:lang w:val="en_US" w:bidi="en_US"/>
        </w:rPr>
        <w:t xml:space="preserve"> is literally “There prepare.” It answers the disciples’ question in 22:9 about where they should prepare. The phrase </w:t>
      </w:r>
      <w:r>
        <w:rPr>
          <w:i/>
          <w:lang w:val="en_US" w:bidi="en_US"/>
        </w:rPr>
        <w:t>Make preparations</w:t>
      </w:r>
      <w:r>
        <w:rPr>
          <w:lang w:val="en_US" w:bidi="en_US"/>
        </w:rPr>
        <w:t xml:space="preserve"> refers to preparing for the Passover meal, as Jesus ordered in 22:8. Refer back to that order in a natural way in your language. For example:</w:t>
      </w:r>
    </w:p>
    <w:p>
      <w:pPr/>
      <w:r>
        <w:rPr>
          <w:lang w:val="en_US" w:bidi="en_US"/>
        </w:rPr>
      </w:r>
      <w:r>
        <w:rPr>
          <w:lang w:val="en_US" w:bidi="en_US"/>
        </w:rPr>
        <w:t>Prepare the Passover meal there. (NCV)</w:t>
      </w:r>
    </w:p>
    <w:p>
      <w:pPr/>
      <w:r>
        <w:rPr>
          <w:lang w:val="en_US" w:bidi="en_US"/>
        </w:rPr>
      </w:r>
      <w:r>
        <w:rPr>
          <w:lang w:val="en_US" w:bidi="en_US"/>
        </w:rPr>
        <w:t>That is where you should prepare our meal. (NLT)</w:t>
      </w:r>
    </w:p>
    <w:p>
      <w:pPr/>
      <w:r>
        <w:rPr>
          <w:lang w:val="en_US" w:bidi="en_US"/>
        </w:rPr>
      </w:r>
      <w:r>
        <w:rPr>
          <w:lang w:val="en_US" w:bidi="en_US"/>
        </w:rPr>
        <w:t>For more information and translation advice, see the notes on 22:8b–c.</w:t>
      </w:r>
      <w:r>
        <w:rPr>
          <w:lang w:val="en_US" w:bidi="en_US"/>
        </w:rPr>
      </w:r>
      <w:r>
        <w:rPr>
          <w:lang w:val="en_US" w:bidi="en_US"/>
        </w:rPr>
      </w:r>
    </w:p>
    <w:p>
      <w:pPr/>
      <w:r>
        <w:rPr>
          <w:lang w:val="en_US" w:bidi="en_US"/>
        </w:rPr>
      </w:r>
    </w:p>
    <w:p>
      <w:pPr>
        <w:pStyle w:val="Heading2"/>
      </w:pPr>
      <w:r>
        <w:rPr>
          <w:lang w:val="en_US" w:bidi="en_US"/>
        </w:rPr>
        <w:t>Luke 22:13</w:t>
      </w:r>
      <w:r>
        <w:rPr>
          <w:lang w:val="en_US" w:bidi="en_US"/>
        </w:rPr>
      </w:r>
    </w:p>
    <w:p>
      <w:pPr>
        <w:pStyle w:val="Heading4"/>
      </w:pPr>
      <w:r>
        <w:rPr>
          <w:lang w:val="en_US" w:bidi="en_US"/>
        </w:rPr>
        <w:t>Section 22:7–13: Jesus sent two disciples to prepare for the Passover celebration</w:t>
      </w:r>
    </w:p>
    <w:p>
      <w:pPr/>
      <w:r>
        <w:rPr>
          <w:lang w:val="en_US" w:bidi="en_US"/>
        </w:rPr>
      </w:r>
      <w:r>
        <w:rPr>
          <w:lang w:val="en_US" w:bidi="en_US"/>
        </w:rPr>
        <w:t>This section begins on “the Day of Unleavened Bread.” On that day the Jewish people had to remove from their houses all “leaven” (yeast) and any bread or other food that was made with yeast. Also on that day, each family had to sacrifice a lamb for the Passover meal. In the context of sacrifice, people could refer to any of these lambs as “the Passover” without adding the word “lamb.” For example, see Exodus 12:21 and Deuteronomy 16:2. This is similar to its use in 1 Corinthians 5:7: “Christ our Passover is sacrificed for us.”</w:t>
      </w:r>
    </w:p>
    <w:p>
      <w:pPr/>
      <w:r>
        <w:rPr>
          <w:lang w:val="en_US" w:bidi="en_US"/>
        </w:rPr>
      </w:r>
      <w:r>
        <w:rPr>
          <w:lang w:val="en_US" w:bidi="en_US"/>
        </w:rPr>
        <w:t>Luke, Paul, and other New Testament writers implied that the lamb that was sacrificed on Passover symbolized the fact that Jesus offered himself as a sacrifice to save people from slavery to sin. Jesus knew that during the time of the festival, he himself would become a sacrifice. He would become the “Lamb of God who takes away the sin of the world” (John 1:29).</w:t>
      </w:r>
    </w:p>
    <w:p>
      <w:pPr/>
      <w:r>
        <w:rPr>
          <w:lang w:val="en_US" w:bidi="en_US"/>
        </w:rPr>
      </w:r>
      <w:r>
        <w:rPr>
          <w:lang w:val="en_US" w:bidi="en_US"/>
        </w:rPr>
        <w:t>In this section, Jesus sent two disciples to make preparations for the Passover celebration.</w:t>
      </w:r>
    </w:p>
    <w:p>
      <w:pPr/>
      <w:r>
        <w:rPr>
          <w:lang w:val="en_US" w:bidi="en_US"/>
        </w:rPr>
      </w:r>
      <w:r>
        <w:rPr>
          <w:lang w:val="en_US" w:bidi="en_US"/>
        </w:rPr>
        <w:t>There are parallel passages for this section in Matthew 26:17–25, Mark 14:12–21, and John 13:21–30. Examples of other headings for this section are:</w:t>
      </w:r>
    </w:p>
    <w:p>
      <w:pPr/>
      <w:r>
        <w:rPr>
          <w:lang w:val="en_US" w:bidi="en_US"/>
        </w:rPr>
      </w:r>
      <w:r>
        <w:rPr>
          <w:lang w:val="en_US" w:bidi="en_US"/>
        </w:rPr>
        <w:t>The Preparation of the Passover (NRSV)</w:t>
      </w:r>
    </w:p>
    <w:p>
      <w:pPr/>
      <w:r>
        <w:rPr>
          <w:lang w:val="en_US" w:bidi="en_US"/>
        </w:rPr>
      </w:r>
      <w:r>
        <w:rPr>
          <w:lang w:val="en_US" w:bidi="en_US"/>
        </w:rPr>
        <w:t>Jesus makes arrangements for his last Passover with his disciples (JBP)</w:t>
      </w:r>
    </w:p>
    <w:p>
      <w:pPr>
        <w:pStyle w:val="Heading5"/>
      </w:pPr>
      <w:r>
        <w:rPr>
          <w:lang w:val="en_US" w:bidi="en_US"/>
        </w:rPr>
        <w:t>22:13a</w:t>
      </w:r>
    </w:p>
    <w:p>
      <w:pPr/>
      <w:r>
        <w:rPr>
          <w:lang w:val="en_US" w:bidi="en_US"/>
        </w:rPr>
      </w:r>
      <w:r>
        <w:rPr>
          <w:b/>
          <w:lang w:val="en_US" w:bidi="en_US"/>
        </w:rPr>
        <w:t>So they went</w:t>
      </w:r>
    </w:p>
    <w:p>
      <w:pPr>
        <w:pStyle w:val="ListBullet"/>
        <w:spacing w:line="240" w:lineRule="auto"/>
        <w:ind w:left="720"/>
      </w:pPr>
      <w:r>
        <w:rPr>
          <w:lang w:val="en_US" w:bidi="en_US"/>
        </w:rPr>
      </w:r>
      <w:r>
        <w:rPr>
          <w:lang w:val="en_US" w:bidi="en_US"/>
        </w:rPr>
        <w:t xml:space="preserve">¶ Then/So they </w:t>
      </w:r>
      <w:r>
        <w:rPr>
          <w:lang w:val="en_US" w:bidi="en_US"/>
        </w:rPr>
        <w:t>two</w:t>
      </w:r>
      <w:r>
        <w:rPr>
          <w:lang w:val="en_US" w:bidi="en_US"/>
        </w:rPr>
        <w:t xml:space="preserve"> went </w:t>
      </w:r>
      <w:r>
        <w:rPr>
          <w:lang w:val="en_US" w:bidi="en_US"/>
        </w:rPr>
        <w:t>to the city</w:t>
      </w:r>
    </w:p>
    <w:p>
      <w:pPr>
        <w:pStyle w:val="ListBullet"/>
        <w:spacing w:line="240" w:lineRule="auto"/>
        <w:ind w:left="720"/>
      </w:pPr>
      <w:r>
        <w:rPr>
          <w:lang w:val="en_US" w:bidi="en_US"/>
        </w:rPr>
      </w:r>
      <w:r>
        <w:rPr>
          <w:lang w:val="en_US" w:bidi="en_US"/>
        </w:rPr>
        <w:t xml:space="preserve">¶ </w:t>
      </w:r>
      <w:r>
        <w:rPr>
          <w:lang w:val="en_US" w:bidi="en_US"/>
        </w:rPr>
        <w:t>When Jesus finished telling them</w:t>
      </w:r>
      <w:r>
        <w:rPr>
          <w:vertAlign w:val="superscript"/>
          <w:lang w:val="en_US" w:bidi="en_US"/>
        </w:rPr>
        <w:t>(dual)</w:t>
      </w:r>
      <w:r>
        <w:rPr>
          <w:lang w:val="en_US" w:bidi="en_US"/>
        </w:rPr>
        <w:t xml:space="preserve"> </w:t>
      </w:r>
      <w:r>
        <w:rPr>
          <w:lang w:val="en_US" w:bidi="en_US"/>
        </w:rPr>
        <w:t>what to do,</w:t>
      </w:r>
      <w:r>
        <w:rPr>
          <w:lang w:val="en_US" w:bidi="en_US"/>
        </w:rPr>
        <w:t xml:space="preserve"> Peter and John set out </w:t>
      </w:r>
      <w:r>
        <w:rPr>
          <w:lang w:val="en_US" w:bidi="en_US"/>
        </w:rPr>
        <w:t>for Jerusalem</w:t>
      </w:r>
      <w:r>
        <w:rPr>
          <w:lang w:val="en_US" w:bidi="en_US"/>
        </w:rPr>
        <w:t>.</w:t>
      </w:r>
    </w:p>
    <w:p>
      <w:pPr/>
      <w:r>
        <w:rPr>
          <w:lang w:val="en_US" w:bidi="en_US"/>
        </w:rPr>
      </w:r>
      <w:r>
        <w:rPr>
          <w:b/>
          <w:lang w:val="en_US" w:bidi="en_US"/>
        </w:rPr>
        <w:t>So:</w:t>
      </w:r>
      <w:r>
        <w:rPr>
          <w:lang w:val="en_US" w:bidi="en_US"/>
        </w:rPr>
        <w:t xml:space="preserve"> In Greek this verse begins with a common conjunction. The BSB translates this word as </w:t>
      </w:r>
      <w:r>
        <w:rPr>
          <w:i/>
          <w:lang w:val="en_US" w:bidi="en_US"/>
        </w:rPr>
        <w:t>So</w:t>
      </w:r>
      <w:r>
        <w:rPr>
          <w:lang w:val="en_US" w:bidi="en_US"/>
        </w:rPr>
        <w:t>. It introduces what the two disciples did as a result of Jesus’ instructions to them in 22:8–12. Some English versions introduce the verse with “And.” In some languages it may be natural to introduce it with a clause. For example:</w:t>
      </w:r>
    </w:p>
    <w:p>
      <w:pPr/>
      <w:r>
        <w:rPr>
          <w:lang w:val="en_US" w:bidi="en_US"/>
        </w:rPr>
      </w:r>
      <w:r>
        <w:rPr>
          <w:lang w:val="en_US" w:bidi="en_US"/>
        </w:rPr>
        <w:t>When Jesus finished giving them these instructions</w:t>
      </w:r>
    </w:p>
    <w:p>
      <w:pPr/>
      <w:r>
        <w:rPr>
          <w:lang w:val="en_US" w:bidi="en_US"/>
        </w:rPr>
      </w:r>
      <w:r>
        <w:rPr>
          <w:lang w:val="en_US" w:bidi="en_US"/>
        </w:rPr>
        <w:t>Connect this verse to 22:8–12 in a natural way in your language.</w:t>
      </w:r>
    </w:p>
    <w:p>
      <w:pPr/>
      <w:r>
        <w:rPr>
          <w:lang w:val="en_US" w:bidi="en_US"/>
        </w:rPr>
      </w:r>
      <w:r>
        <w:rPr>
          <w:b/>
          <w:lang w:val="en_US" w:bidi="en_US"/>
        </w:rPr>
        <w:t>they:</w:t>
      </w:r>
      <w:r>
        <w:rPr>
          <w:lang w:val="en_US" w:bidi="en_US"/>
        </w:rPr>
        <w:t xml:space="preserve"> The word </w:t>
      </w:r>
      <w:r>
        <w:rPr>
          <w:i/>
          <w:lang w:val="en_US" w:bidi="en_US"/>
        </w:rPr>
        <w:t>they</w:t>
      </w:r>
      <w:r>
        <w:rPr>
          <w:lang w:val="en_US" w:bidi="en_US"/>
        </w:rPr>
        <w:t xml:space="preserve"> refers to Peter and John, the disciples whom Jesus sent to prepare for the Passover meal. In some languages it may be helpful to refer back to them more explicitly. For example:</w:t>
      </w:r>
    </w:p>
    <w:p>
      <w:pPr/>
      <w:r>
        <w:rPr>
          <w:lang w:val="en_US" w:bidi="en_US"/>
        </w:rPr>
      </w:r>
      <w:r>
        <w:rPr>
          <w:lang w:val="en_US" w:bidi="en_US"/>
        </w:rPr>
        <w:t>Peter and John (CEV)</w:t>
      </w:r>
    </w:p>
    <w:p>
      <w:pPr/>
      <w:r>
        <w:rPr>
          <w:lang w:val="en_US" w:bidi="en_US"/>
        </w:rPr>
      </w:r>
      <w:r>
        <w:rPr>
          <w:b/>
          <w:lang w:val="en_US" w:bidi="en_US"/>
        </w:rPr>
        <w:t>went:</w:t>
      </w:r>
      <w:r>
        <w:rPr>
          <w:lang w:val="en_US" w:bidi="en_US"/>
        </w:rPr>
        <w:t xml:space="preserve"> In this context the verb </w:t>
      </w:r>
      <w:r>
        <w:rPr>
          <w:i/>
          <w:lang w:val="en_US" w:bidi="en_US"/>
        </w:rPr>
        <w:t>went</w:t>
      </w:r>
      <w:r>
        <w:rPr>
          <w:lang w:val="en_US" w:bidi="en_US"/>
        </w:rPr>
        <w:t xml:space="preserve"> implies that Peter and John left Jesus to go to Jerusalem to do what he told them to do. In some languages it may be helpful to include a location with the verb. For example:</w:t>
      </w:r>
    </w:p>
    <w:p>
      <w:pPr/>
      <w:r>
        <w:rPr>
          <w:lang w:val="en_US" w:bidi="en_US"/>
        </w:rPr>
      </w:r>
      <w:r>
        <w:rPr>
          <w:lang w:val="en_US" w:bidi="en_US"/>
        </w:rPr>
        <w:t xml:space="preserve">left </w:t>
      </w:r>
      <w:r>
        <w:rPr>
          <w:lang w:val="en_US" w:bidi="en_US"/>
        </w:rPr>
        <w:t>for Jerusalem</w:t>
      </w:r>
    </w:p>
    <w:p>
      <w:pPr/>
      <w:r>
        <w:rPr>
          <w:lang w:val="en_US" w:bidi="en_US"/>
        </w:rPr>
      </w:r>
      <w:r>
        <w:rPr>
          <w:lang w:val="en_US" w:bidi="en_US"/>
        </w:rPr>
        <w:t xml:space="preserve">set out </w:t>
      </w:r>
      <w:r>
        <w:rPr>
          <w:lang w:val="en_US" w:bidi="en_US"/>
        </w:rPr>
        <w:t>for the city</w:t>
      </w:r>
    </w:p>
    <w:p>
      <w:pPr>
        <w:pStyle w:val="Heading5"/>
      </w:pPr>
      <w:r>
        <w:rPr>
          <w:lang w:val="en_US" w:bidi="en_US"/>
        </w:rPr>
        <w:t>22:13b</w:t>
      </w:r>
    </w:p>
    <w:p>
      <w:pPr/>
      <w:r>
        <w:rPr>
          <w:lang w:val="en_US" w:bidi="en_US"/>
        </w:rPr>
      </w:r>
      <w:r>
        <w:rPr>
          <w:b/>
          <w:lang w:val="en_US" w:bidi="en_US"/>
        </w:rPr>
        <w:t>and found it just as Jesus had told them.</w:t>
      </w:r>
    </w:p>
    <w:p>
      <w:pPr>
        <w:pStyle w:val="ListBullet"/>
        <w:spacing w:line="240" w:lineRule="auto"/>
        <w:ind w:left="720"/>
      </w:pPr>
      <w:r>
        <w:rPr>
          <w:lang w:val="en_US" w:bidi="en_US"/>
        </w:rPr>
      </w:r>
      <w:r>
        <w:rPr>
          <w:lang w:val="en_US" w:bidi="en_US"/>
        </w:rPr>
        <w:t xml:space="preserve">and found that everything was exactly as Jesus said </w:t>
      </w:r>
      <w:r>
        <w:rPr>
          <w:lang w:val="en_US" w:bidi="en_US"/>
        </w:rPr>
        <w:t>it would be</w:t>
      </w:r>
      <w:r>
        <w:rPr>
          <w:lang w:val="en_US" w:bidi="en_US"/>
        </w:rPr>
        <w:t>.</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saw that everything </w:t>
      </w:r>
      <w:r>
        <w:rPr>
          <w:lang w:val="en_US" w:bidi="en_US"/>
        </w:rPr>
        <w:t>happened</w:t>
      </w:r>
      <w:r>
        <w:rPr>
          <w:lang w:val="en_US" w:bidi="en_US"/>
        </w:rPr>
        <w:t xml:space="preserve"> just as Jesus told them,</w:t>
      </w:r>
    </w:p>
    <w:p>
      <w:pPr/>
      <w:r>
        <w:rPr>
          <w:lang w:val="en_US" w:bidi="en_US"/>
        </w:rPr>
      </w:r>
      <w:r>
        <w:rPr>
          <w:b/>
          <w:lang w:val="en_US" w:bidi="en_US"/>
        </w:rPr>
        <w:t>and found it just as Jesus had told them:</w:t>
      </w:r>
      <w:r>
        <w:rPr>
          <w:lang w:val="en_US" w:bidi="en_US"/>
        </w:rPr>
        <w:t xml:space="preserve"> In Greek the verb </w:t>
      </w:r>
      <w:r>
        <w:rPr>
          <w:i/>
          <w:lang w:val="en_US" w:bidi="en_US"/>
        </w:rPr>
        <w:t>found</w:t>
      </w:r>
      <w:r>
        <w:rPr>
          <w:lang w:val="en_US" w:bidi="en_US"/>
        </w:rPr>
        <w:t xml:space="preserve"> has no object here. The BSB supplies the word </w:t>
      </w:r>
      <w:r>
        <w:rPr>
          <w:i/>
          <w:lang w:val="en_US" w:bidi="en_US"/>
        </w:rPr>
        <w:t>it</w:t>
      </w:r>
      <w:r>
        <w:rPr>
          <w:lang w:val="en_US" w:bidi="en_US"/>
        </w:rPr>
        <w:t xml:space="preserve"> because an object is needed in English. In this context the phrase </w:t>
      </w:r>
      <w:r>
        <w:rPr>
          <w:i/>
          <w:lang w:val="en_US" w:bidi="en_US"/>
        </w:rPr>
        <w:t>found…just as</w:t>
      </w:r>
      <w:r>
        <w:rPr>
          <w:lang w:val="en_US" w:bidi="en_US"/>
        </w:rPr>
        <w:t xml:space="preserve"> is used in a special way. It indicates that the disciples saw that everything happened exactly as Jesus told them before they went.</w:t>
      </w:r>
    </w:p>
    <w:p>
      <w:pPr/>
      <w:r>
        <w:rPr>
          <w:lang w:val="en_US" w:bidi="en_US"/>
        </w:rPr>
      </w:r>
      <w:r>
        <w:rPr>
          <w:lang w:val="en_US" w:bidi="en_US"/>
        </w:rPr>
        <w:t xml:space="preserve">This same phrase </w:t>
      </w:r>
      <w:r>
        <w:rPr>
          <w:i/>
          <w:lang w:val="en_US" w:bidi="en_US"/>
        </w:rPr>
        <w:t>found…just as</w:t>
      </w:r>
      <w:r>
        <w:rPr>
          <w:lang w:val="en_US" w:bidi="en_US"/>
        </w:rPr>
        <w:t xml:space="preserve"> was used in 19:32. In that context Jesus told his disciples where to find a colt for him to ride into Jerusalem. In that situation also, everything happened exactly as Jesus said it would. You may be able to translate in a similar way here in 22:13. See the note on 19:32b for more information.</w:t>
      </w:r>
    </w:p>
    <w:p>
      <w:pPr/>
      <w:r>
        <w:rPr>
          <w:lang w:val="en_US" w:bidi="en_US"/>
        </w:rPr>
      </w:r>
      <w:r>
        <w:rPr>
          <w:lang w:val="en_US" w:bidi="en_US"/>
        </w:rPr>
        <w:t>Some other ways to translate the clause are:</w:t>
      </w:r>
    </w:p>
    <w:p>
      <w:pPr/>
      <w:r>
        <w:rPr>
          <w:lang w:val="en_US" w:bidi="en_US"/>
        </w:rPr>
      </w:r>
      <w:r>
        <w:rPr>
          <w:lang w:val="en_US" w:bidi="en_US"/>
        </w:rPr>
        <w:t>They found everything as Jesus had told them (GW)</w:t>
      </w:r>
    </w:p>
    <w:p>
      <w:pPr/>
      <w:r>
        <w:rPr>
          <w:lang w:val="en_US" w:bidi="en_US"/>
        </w:rPr>
      </w:r>
      <w:r>
        <w:rPr>
          <w:lang w:val="en_US" w:bidi="en_US"/>
        </w:rPr>
        <w:t>and they saw/realized that everything happened exactly as Jesus said it would</w:t>
      </w:r>
    </w:p>
    <w:p>
      <w:pPr/>
      <w:r>
        <w:rPr>
          <w:lang w:val="en_US" w:bidi="en_US"/>
        </w:rPr>
      </w:r>
      <w:r>
        <w:rPr>
          <w:lang w:val="en_US" w:bidi="en_US"/>
        </w:rPr>
        <w:t>and all that Jesus had told them came-true</w:t>
      </w:r>
      <w:r>
        <w:rPr>
          <w:lang w:val="en_US" w:bidi="en_US"/>
        </w:rPr>
        <w:t>Kankanaey back translation on TW.</w:t>
      </w:r>
    </w:p>
    <w:p>
      <w:pPr>
        <w:pStyle w:val="Heading5"/>
      </w:pPr>
      <w:r>
        <w:rPr>
          <w:lang w:val="en_US" w:bidi="en_US"/>
        </w:rPr>
        <w:t>22:13c</w:t>
      </w:r>
    </w:p>
    <w:p>
      <w:pPr/>
      <w:r>
        <w:rPr>
          <w:lang w:val="en_US" w:bidi="en_US"/>
        </w:rPr>
      </w:r>
      <w:r>
        <w:rPr>
          <w:b/>
          <w:lang w:val="en_US" w:bidi="en_US"/>
        </w:rPr>
        <w:t>And they prepared the Passover.</w:t>
      </w:r>
    </w:p>
    <w:p>
      <w:pPr>
        <w:pStyle w:val="ListBullet"/>
        <w:spacing w:line="240" w:lineRule="auto"/>
        <w:ind w:left="720"/>
      </w:pPr>
      <w:r>
        <w:rPr>
          <w:lang w:val="en_US" w:bidi="en_US"/>
        </w:rPr>
      </w:r>
      <w:r>
        <w:rPr>
          <w:lang w:val="en_US" w:bidi="en_US"/>
        </w:rPr>
        <w:t xml:space="preserve">Then/So they prepared for the Passover </w:t>
      </w:r>
      <w:r>
        <w:rPr>
          <w:lang w:val="en_US" w:bidi="en_US"/>
        </w:rPr>
        <w:t>feast</w:t>
      </w:r>
      <w:r>
        <w:rPr>
          <w:lang w:val="en_US" w:bidi="en_US"/>
        </w:rPr>
        <w:t>.</w:t>
      </w:r>
    </w:p>
    <w:p>
      <w:pPr>
        <w:pStyle w:val="ListBullet"/>
        <w:spacing w:line="240" w:lineRule="auto"/>
        <w:ind w:left="720"/>
      </w:pPr>
      <w:r>
        <w:rPr>
          <w:lang w:val="en_US" w:bidi="en_US"/>
        </w:rPr>
      </w:r>
      <w:r>
        <w:rPr>
          <w:lang w:val="en_US" w:bidi="en_US"/>
        </w:rPr>
        <w:t>and they</w:t>
      </w:r>
      <w:r>
        <w:rPr>
          <w:vertAlign w:val="superscript"/>
          <w:lang w:val="en_US" w:bidi="en_US"/>
        </w:rPr>
        <w:t>(dual)</w:t>
      </w:r>
      <w:r>
        <w:rPr>
          <w:lang w:val="en_US" w:bidi="en_US"/>
        </w:rPr>
        <w:t xml:space="preserve"> got </w:t>
      </w:r>
      <w:r>
        <w:rPr>
          <w:lang w:val="en_US" w:bidi="en_US"/>
        </w:rPr>
        <w:t>things</w:t>
      </w:r>
      <w:r>
        <w:rPr>
          <w:lang w:val="en_US" w:bidi="en_US"/>
        </w:rPr>
        <w:t xml:space="preserve"> ready for the “</w:t>
      </w:r>
      <w:r>
        <w:rPr>
          <w:lang w:val="en_US" w:bidi="en_US"/>
        </w:rPr>
        <w:t>Death</w:t>
      </w:r>
      <w:r>
        <w:rPr>
          <w:lang w:val="en_US" w:bidi="en_US"/>
        </w:rPr>
        <w:t xml:space="preserve"> Passed </w:t>
      </w:r>
      <w:r>
        <w:rPr>
          <w:lang w:val="en_US" w:bidi="en_US"/>
        </w:rPr>
        <w:t>Us</w:t>
      </w:r>
      <w:r>
        <w:rPr>
          <w:lang w:val="en_US" w:bidi="en_US"/>
        </w:rPr>
        <w:t xml:space="preserve"> By” </w:t>
      </w:r>
      <w:r>
        <w:rPr>
          <w:lang w:val="en_US" w:bidi="en_US"/>
        </w:rPr>
        <w:t>meal</w:t>
      </w:r>
      <w:r>
        <w:rPr>
          <w:lang w:val="en_US" w:bidi="en_US"/>
        </w:rPr>
        <w: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what the disciples did next. Connect this part of the verse to 22:13b in a way that is natural in your language.</w:t>
      </w:r>
    </w:p>
    <w:p>
      <w:pPr/>
      <w:r>
        <w:rPr>
          <w:lang w:val="en_US" w:bidi="en_US"/>
        </w:rPr>
      </w:r>
      <w:r>
        <w:rPr>
          <w:b/>
          <w:lang w:val="en_US" w:bidi="en_US"/>
        </w:rPr>
        <w:t>they prepared the Passover:</w:t>
      </w:r>
      <w:r>
        <w:rPr>
          <w:lang w:val="en_US" w:bidi="en_US"/>
        </w:rPr>
        <w:t xml:space="preserve"> The clause </w:t>
      </w:r>
      <w:r>
        <w:rPr>
          <w:i/>
          <w:lang w:val="en_US" w:bidi="en_US"/>
        </w:rPr>
        <w:t>they prepared the Passover</w:t>
      </w:r>
      <w:r>
        <w:rPr>
          <w:lang w:val="en_US" w:bidi="en_US"/>
        </w:rPr>
        <w:t xml:space="preserve"> indicates that Peter and John made the preparations for Passover that were mentioned in 22:8. You may translate in a similar but briefer way here. Your translation should fit with 22:8 so that readers will understand that Peter and John followed Jesus’ instructions. See the note on 22:8b–c.</w:t>
      </w:r>
      <w:r>
        <w:rPr>
          <w:lang w:val="en_US" w:bidi="en_US"/>
        </w:rPr>
      </w:r>
      <w:r>
        <w:rPr>
          <w:lang w:val="en_US" w:bidi="en_US"/>
        </w:rPr>
      </w:r>
    </w:p>
    <w:p>
      <w:pPr/>
      <w:r>
        <w:rPr>
          <w:lang w:val="en_US" w:bidi="en_US"/>
        </w:rPr>
      </w:r>
    </w:p>
    <w:p>
      <w:pPr>
        <w:pStyle w:val="Heading2"/>
      </w:pPr>
      <w:r>
        <w:rPr>
          <w:lang w:val="en_US" w:bidi="en_US"/>
        </w:rPr>
        <w:t>Luke 22:14</w:t>
      </w:r>
      <w:r>
        <w:rPr>
          <w:lang w:val="en_US" w:bidi="en_US"/>
        </w:rPr>
      </w:r>
    </w:p>
    <w:p>
      <w:pPr>
        <w:pStyle w:val="Heading4"/>
      </w:pPr>
      <w:r>
        <w:rPr>
          <w:lang w:val="en_US" w:bidi="en_US"/>
        </w:rPr>
        <w:t>Section 22:14–23: Jesus gave his disciples bread and wine with a special meaning</w:t>
      </w:r>
    </w:p>
    <w:p>
      <w:pPr/>
      <w:r>
        <w:rPr>
          <w:lang w:val="en_US" w:bidi="en_US"/>
        </w:rPr>
      </w:r>
      <w:r>
        <w:rPr>
          <w:lang w:val="en_US" w:bidi="en_US"/>
        </w:rPr>
        <w:t>In this section Jesus ate his last meal with his twelve disciples before he died. During this Passover meal, Jesus told them about the new covenant that he was making with them. He took bread and gave thanks to God. Then he divided the bread into pieces and gave it to his disciples to share. He said to them, “This is my body, given for you.” After the main meal, he gave his disciples a cup of wine to drink from. He said, “This cup is the new covenant in my blood, which is poured out for you.” When Jesus said these things, he indicated that he would sacrifice himself by dying as a substitute for his disciples to save them from slavery to sin. By doing this, he would fulfill the real meaning of Passover. As God saved the people of Israel who put the blood of the Passover lamb on their doors, he will save the people who trust in Jesus’ sacrifice for them.</w:t>
      </w:r>
    </w:p>
    <w:p>
      <w:pPr/>
      <w:r>
        <w:rPr>
          <w:lang w:val="en_US" w:bidi="en_US"/>
        </w:rPr>
      </w:r>
      <w:r>
        <w:rPr>
          <w:lang w:val="en_US" w:bidi="en_US"/>
        </w:rPr>
        <w:t>Jesus told his disciples to continue to remember him by taking bread and wine as his body and blood given for them. This thanksgiving service is now called the Eucharist, from the Greek word that means “thanksgiving.” It is also called the Lord’s Supper and Holy Communion.</w:t>
      </w:r>
    </w:p>
    <w:p>
      <w:pPr/>
      <w:r>
        <w:rPr>
          <w:lang w:val="en_US" w:bidi="en_US"/>
        </w:rPr>
      </w:r>
      <w:r>
        <w:rPr>
          <w:lang w:val="en_US" w:bidi="en_US"/>
        </w:rPr>
        <w:t>Some other examples of headings for this section are:</w:t>
      </w:r>
    </w:p>
    <w:p>
      <w:pPr/>
      <w:r>
        <w:rPr>
          <w:lang w:val="en_US" w:bidi="en_US"/>
        </w:rPr>
      </w:r>
      <w:r>
        <w:rPr>
          <w:lang w:val="en_US" w:bidi="en_US"/>
        </w:rPr>
        <w:t>The Lord’s Supper (NET)</w:t>
      </w:r>
    </w:p>
    <w:p>
      <w:pPr/>
      <w:r>
        <w:rPr>
          <w:lang w:val="en_US" w:bidi="en_US"/>
        </w:rPr>
      </w:r>
      <w:r>
        <w:rPr>
          <w:lang w:val="en_US" w:bidi="en_US"/>
        </w:rPr>
        <w:t>Jesus established the Thanksgiving/Eucharist celebration</w:t>
      </w:r>
    </w:p>
    <w:p>
      <w:pPr/>
      <w:r>
        <w:rPr>
          <w:lang w:val="en_US" w:bidi="en_US"/>
        </w:rPr>
      </w:r>
      <w:r>
        <w:rPr>
          <w:lang w:val="en_US" w:bidi="en_US"/>
        </w:rPr>
        <w:t>Jesus sacrifices his body and blood to save his disciples</w:t>
      </w:r>
    </w:p>
    <w:p>
      <w:pPr/>
      <w:r>
        <w:rPr>
          <w:lang w:val="en_US" w:bidi="en_US"/>
        </w:rPr>
      </w:r>
      <w:r>
        <w:rPr>
          <w:lang w:val="en_US" w:bidi="en_US"/>
        </w:rPr>
        <w:t>Jesus makes a new covenant with his disciples</w:t>
      </w:r>
    </w:p>
    <w:p>
      <w:pPr/>
      <w:r>
        <w:rPr>
          <w:lang w:val="en_US" w:bidi="en_US"/>
        </w:rPr>
      </w:r>
      <w:r>
        <w:rPr>
          <w:lang w:val="en_US" w:bidi="en_US"/>
        </w:rPr>
        <w:t>There are parallel passages for this section in Matthew 26:26–30, Mark 14:22–26, and 1 Corinthians 11:23–25.</w:t>
      </w:r>
    </w:p>
    <w:p>
      <w:pPr>
        <w:pStyle w:val="Heading5"/>
      </w:pPr>
      <w:r>
        <w:rPr>
          <w:lang w:val="en_US" w:bidi="en_US"/>
        </w:rPr>
        <w:t>22:14a</w:t>
      </w:r>
    </w:p>
    <w:p>
      <w:pPr/>
      <w:r>
        <w:rPr>
          <w:lang w:val="en_US" w:bidi="en_US"/>
        </w:rPr>
      </w:r>
      <w:r>
        <w:rPr>
          <w:b/>
          <w:lang w:val="en_US" w:bidi="en_US"/>
        </w:rPr>
        <w:t>When the hour had come,</w:t>
      </w:r>
    </w:p>
    <w:p>
      <w:pPr>
        <w:pStyle w:val="ListBullet"/>
        <w:spacing w:line="240" w:lineRule="auto"/>
        <w:ind w:left="720"/>
      </w:pPr>
      <w:r>
        <w:rPr>
          <w:lang w:val="en_US" w:bidi="en_US"/>
        </w:rPr>
      </w:r>
      <w:r>
        <w:rPr>
          <w:lang w:val="en_US" w:bidi="en_US"/>
        </w:rPr>
        <w:t>¶ When the time came,</w:t>
      </w:r>
    </w:p>
    <w:p>
      <w:pPr>
        <w:pStyle w:val="ListBullet"/>
        <w:spacing w:line="240" w:lineRule="auto"/>
        <w:ind w:left="720"/>
      </w:pPr>
      <w:r>
        <w:rPr>
          <w:lang w:val="en_US" w:bidi="en_US"/>
        </w:rPr>
      </w:r>
      <w:r>
        <w:rPr>
          <w:lang w:val="en_US" w:bidi="en_US"/>
        </w:rPr>
        <w:t xml:space="preserve">¶ When it was the </w:t>
      </w:r>
      <w:r>
        <w:rPr>
          <w:lang w:val="en_US" w:bidi="en_US"/>
        </w:rPr>
        <w:t>right</w:t>
      </w:r>
      <w:r>
        <w:rPr>
          <w:lang w:val="en_US" w:bidi="en_US"/>
        </w:rPr>
        <w:t xml:space="preserve"> time </w:t>
      </w:r>
      <w:r>
        <w:rPr>
          <w:lang w:val="en_US" w:bidi="en_US"/>
        </w:rPr>
        <w:t>for the meal</w:t>
      </w:r>
      <w:r>
        <w:rPr>
          <w:lang w:val="en_US" w:bidi="en_US"/>
        </w:rPr>
        <w:t>,</w:t>
      </w:r>
    </w:p>
    <w:p>
      <w:pPr/>
      <w:r>
        <w:rPr>
          <w:lang w:val="en_US" w:bidi="en_US"/>
        </w:rPr>
      </w:r>
      <w:r>
        <w:rPr>
          <w:b/>
          <w:lang w:val="en_US" w:bidi="en_US"/>
        </w:rPr>
        <w:t>When the hour had come:</w:t>
      </w:r>
      <w:r>
        <w:rPr>
          <w:lang w:val="en_US" w:bidi="en_US"/>
        </w:rPr>
        <w:t xml:space="preserve"> The clause </w:t>
      </w:r>
      <w:r>
        <w:rPr>
          <w:i/>
          <w:lang w:val="en_US" w:bidi="en_US"/>
        </w:rPr>
        <w:t>When the hour had come</w:t>
      </w:r>
      <w:r>
        <w:rPr>
          <w:lang w:val="en_US" w:bidi="en_US"/>
        </w:rPr>
        <w:t xml:space="preserve"> refers to the time of day when people ate the Passover meal. It was the custom of the Jews to eat it at night. They usually began the meal immediately after sunset. In Jewish thinking, this was the beginning of a new day. Some other ways to translate the clause are:</w:t>
      </w:r>
    </w:p>
    <w:p>
      <w:pPr/>
      <w:r>
        <w:rPr>
          <w:lang w:val="en_US" w:bidi="en_US"/>
        </w:rPr>
      </w:r>
      <w:r>
        <w:rPr>
          <w:lang w:val="en_US" w:bidi="en_US"/>
        </w:rPr>
        <w:t>Then at the proper time (NLT96)</w:t>
      </w:r>
    </w:p>
    <w:p>
      <w:pPr/>
      <w:r>
        <w:rPr>
          <w:lang w:val="en_US" w:bidi="en_US"/>
        </w:rPr>
      </w:r>
      <w:r>
        <w:rPr>
          <w:lang w:val="en_US" w:bidi="en_US"/>
        </w:rPr>
        <w:t>When it was time to eat the Passover meal (GW)</w:t>
      </w:r>
    </w:p>
    <w:p>
      <w:pPr>
        <w:pStyle w:val="Heading5"/>
      </w:pPr>
      <w:r>
        <w:rPr>
          <w:lang w:val="en_US" w:bidi="en_US"/>
        </w:rPr>
        <w:t>22:14b</w:t>
      </w:r>
    </w:p>
    <w:p>
      <w:pPr/>
      <w:r>
        <w:rPr>
          <w:lang w:val="en_US" w:bidi="en_US"/>
        </w:rPr>
      </w:r>
      <w:r>
        <w:rPr>
          <w:b/>
          <w:lang w:val="en_US" w:bidi="en_US"/>
        </w:rPr>
        <w:t>Jesus reclined at the table with His apostles.</w:t>
      </w:r>
    </w:p>
    <w:p>
      <w:pPr>
        <w:pStyle w:val="ListBullet"/>
        <w:spacing w:line="240" w:lineRule="auto"/>
        <w:ind w:left="720"/>
      </w:pPr>
      <w:r>
        <w:rPr>
          <w:lang w:val="en_US" w:bidi="en_US"/>
        </w:rPr>
      </w:r>
      <w:r>
        <w:rPr>
          <w:lang w:val="en_US" w:bidi="en_US"/>
        </w:rPr>
        <w:t xml:space="preserve">Jesus, together with his apostles, </w:t>
      </w:r>
      <w:r>
        <w:rPr>
          <w:lang w:val="en_US" w:bidi="en_US"/>
        </w:rPr>
        <w:t>went to the room and</w:t>
      </w:r>
      <w:r>
        <w:rPr>
          <w:lang w:val="en_US" w:bidi="en_US"/>
        </w:rPr>
        <w:t xml:space="preserve"> sat down at the table.</w:t>
      </w:r>
    </w:p>
    <w:p>
      <w:pPr>
        <w:pStyle w:val="ListBullet"/>
        <w:spacing w:line="240" w:lineRule="auto"/>
        <w:ind w:left="720"/>
      </w:pPr>
      <w:r>
        <w:rPr>
          <w:lang w:val="en_US" w:bidi="en_US"/>
        </w:rPr>
      </w:r>
      <w:r>
        <w:rPr>
          <w:lang w:val="en_US" w:bidi="en_US"/>
        </w:rPr>
        <w:t xml:space="preserve">Jesus and the apostles gathered around the table </w:t>
      </w:r>
      <w:r>
        <w:rPr>
          <w:lang w:val="en_US" w:bidi="en_US"/>
        </w:rPr>
        <w:t>to eat</w:t>
      </w:r>
      <w:r>
        <w:rPr>
          <w:lang w:val="en_US" w:bidi="en_US"/>
        </w:rPr>
        <w:t>.</w:t>
      </w:r>
    </w:p>
    <w:p>
      <w:pPr/>
      <w:r>
        <w:rPr>
          <w:lang w:val="en_US" w:bidi="en_US"/>
        </w:rPr>
      </w:r>
      <w:r>
        <w:rPr>
          <w:b/>
          <w:lang w:val="en_US" w:bidi="en_US"/>
        </w:rPr>
        <w:t>Jesus reclined at the table with His apostles:</w:t>
      </w:r>
      <w:r>
        <w:rPr>
          <w:lang w:val="en_US" w:bidi="en_US"/>
        </w:rPr>
        <w:t xml:space="preserve"> In Greek this clause is more literally “he reclined and the apostles with him.” The Greek clause puts more focus on Jesus. Other ways to translate this focus are:</w:t>
      </w:r>
    </w:p>
    <w:p>
      <w:pPr/>
      <w:r>
        <w:rPr>
          <w:lang w:val="en_US" w:bidi="en_US"/>
        </w:rPr>
      </w:r>
      <w:r>
        <w:rPr>
          <w:lang w:val="en_US" w:bidi="en_US"/>
        </w:rPr>
        <w:t>Jesus took his place at the table and the apostles joined him (NET)</w:t>
      </w:r>
    </w:p>
    <w:p>
      <w:pPr/>
      <w:r>
        <w:rPr>
          <w:lang w:val="en_US" w:bidi="en_US"/>
        </w:rPr>
      </w:r>
      <w:r>
        <w:rPr>
          <w:lang w:val="en_US" w:bidi="en_US"/>
        </w:rPr>
        <w:t xml:space="preserve">he sat down to eat, and the apostles </w:t>
      </w:r>
      <w:r>
        <w:rPr>
          <w:lang w:val="en_US" w:bidi="en_US"/>
        </w:rPr>
        <w:t>sat down</w:t>
      </w:r>
      <w:r>
        <w:rPr>
          <w:lang w:val="en_US" w:bidi="en_US"/>
        </w:rPr>
        <w:t xml:space="preserve"> with him</w:t>
      </w:r>
    </w:p>
    <w:p>
      <w:pPr/>
      <w:r>
        <w:rPr>
          <w:lang w:val="en_US" w:bidi="en_US"/>
        </w:rPr>
      </w:r>
      <w:r>
        <w:rPr>
          <w:lang w:val="en_US" w:bidi="en_US"/>
        </w:rPr>
        <w:t>he took his seat at table with the apostles (JBP)</w:t>
      </w:r>
    </w:p>
    <w:p>
      <w:pPr/>
      <w:r>
        <w:rPr>
          <w:lang w:val="en_US" w:bidi="en_US"/>
        </w:rPr>
      </w:r>
      <w:r>
        <w:rPr>
          <w:b/>
          <w:lang w:val="en_US" w:bidi="en_US"/>
        </w:rPr>
        <w:t>reclined at the table:</w:t>
      </w:r>
      <w:r>
        <w:rPr>
          <w:lang w:val="en_US" w:bidi="en_US"/>
        </w:rPr>
        <w:t xml:space="preserve"> The verb </w:t>
      </w:r>
      <w:r>
        <w:rPr>
          <w:i/>
          <w:lang w:val="en_US" w:bidi="en_US"/>
        </w:rPr>
        <w:t>reclined</w:t>
      </w:r>
      <w:r>
        <w:rPr>
          <w:lang w:val="en_US" w:bidi="en_US"/>
        </w:rPr>
        <w:t xml:space="preserve"> implies that Jesus and the apostles lay on couches or cushions beside a low table. This was common in that culture for formal meals. The BSB has supplied the phrase </w:t>
      </w:r>
      <w:r>
        <w:rPr>
          <w:i/>
          <w:lang w:val="en_US" w:bidi="en_US"/>
        </w:rPr>
        <w:t>at the table</w:t>
      </w:r>
      <w:r>
        <w:rPr>
          <w:lang w:val="en_US" w:bidi="en_US"/>
        </w:rPr>
        <w:t>, which is not in the Greek text, to make the context clear.</w:t>
      </w:r>
    </w:p>
    <w:p>
      <w:pPr/>
      <w:r>
        <w:rPr>
          <w:lang w:val="en_US" w:bidi="en_US"/>
        </w:rPr>
      </w:r>
      <w:r>
        <w:rPr>
          <w:lang w:val="en_US" w:bidi="en_US"/>
        </w:rPr>
        <w:t>If reclining on couches would seem strange in your culture, you may:</w:t>
      </w:r>
    </w:p>
    <w:p>
      <w:pPr>
        <w:pStyle w:val="ListBullet"/>
        <w:spacing w:line="240" w:lineRule="auto"/>
        <w:ind w:left="720"/>
      </w:pPr>
      <w:r>
        <w:rPr>
          <w:lang w:val="en_US" w:bidi="en_US"/>
        </w:rPr>
      </w:r>
      <w:r>
        <w:rPr>
          <w:lang w:val="en_US" w:bidi="en_US"/>
        </w:rPr>
        <w:t>Use the normal position for eating in your culture. For example:</w:t>
      </w:r>
      <w:r>
        <w:rPr>
          <w:lang w:val="en_US" w:bidi="en_US"/>
        </w:rPr>
        <w:t>sat at table (RSV)</w:t>
      </w:r>
    </w:p>
    <w:p>
      <w:pPr>
        <w:pStyle w:val="ListBullet"/>
        <w:spacing w:line="240" w:lineRule="auto"/>
        <w:ind w:left="720"/>
      </w:pPr>
      <w:r>
        <w:rPr>
          <w:lang w:val="en_US" w:bidi="en_US"/>
        </w:rPr>
      </w:r>
      <w:r>
        <w:rPr>
          <w:lang w:val="en_US" w:bidi="en_US"/>
        </w:rPr>
        <w:t>Use a general expression that does not specify a particular position. For example:</w:t>
      </w:r>
      <w:r>
        <w:rPr>
          <w:lang w:val="en_US" w:bidi="en_US"/>
        </w:rPr>
        <w:t>took his place at the table (GNT)</w:t>
      </w:r>
    </w:p>
    <w:p>
      <w:pPr/>
      <w:r>
        <w:rPr>
          <w:lang w:val="en_US" w:bidi="en_US"/>
        </w:rPr>
      </w:r>
      <w:r>
        <w:rPr>
          <w:lang w:val="en_US" w:bidi="en_US"/>
        </w:rPr>
        <w:t xml:space="preserve">The verb </w:t>
      </w:r>
      <w:r>
        <w:rPr>
          <w:i/>
          <w:lang w:val="en_US" w:bidi="en_US"/>
        </w:rPr>
        <w:t>reclined</w:t>
      </w:r>
      <w:r>
        <w:rPr>
          <w:lang w:val="en_US" w:bidi="en_US"/>
        </w:rPr>
        <w:t xml:space="preserve"> also occurred in 11:37. See how you translated it there.</w:t>
      </w:r>
    </w:p>
    <w:p>
      <w:pPr/>
      <w:r>
        <w:rPr>
          <w:lang w:val="en_US" w:bidi="en_US"/>
        </w:rPr>
      </w:r>
      <w:r>
        <w:rPr>
          <w:b/>
          <w:lang w:val="en_US" w:bidi="en_US"/>
        </w:rPr>
        <w:t>His apostles:</w:t>
      </w:r>
      <w:r>
        <w:rPr>
          <w:lang w:val="en_US" w:bidi="en_US"/>
        </w:rPr>
        <w:t xml:space="preserve"> The phrase </w:t>
      </w:r>
      <w:r>
        <w:rPr>
          <w:i/>
          <w:lang w:val="en_US" w:bidi="en_US"/>
        </w:rPr>
        <w:t>His apostles</w:t>
      </w:r>
      <w:r>
        <w:rPr>
          <w:lang w:val="en_US" w:bidi="en_US"/>
        </w:rPr>
        <w:t xml:space="preserve"> is literally “the apostles.” It refers to the twelve disciples whom Jesus chose as his closest followers, as mentioned in 6:13. You should translate the word here as you did there.</w:t>
      </w:r>
    </w:p>
    <w:p>
      <w:pPr/>
      <w:r>
        <w:rPr>
          <w:lang w:val="en_US" w:bidi="en_US"/>
        </w:rPr>
      </w:r>
      <w:r>
        <w:rPr>
          <w:lang w:val="en_US" w:bidi="en_US"/>
        </w:rPr>
        <w:t>For more information and translation suggestions, see the notes at 17:5. See also apostle in the Glossary.</w:t>
      </w:r>
      <w:r>
        <w:rPr>
          <w:lang w:val="en_US" w:bidi="en_US"/>
        </w:rPr>
      </w:r>
      <w:r>
        <w:rPr>
          <w:lang w:val="en_US" w:bidi="en_US"/>
        </w:rPr>
      </w:r>
    </w:p>
    <w:p>
      <w:pPr/>
      <w:r>
        <w:rPr>
          <w:lang w:val="en_US" w:bidi="en_US"/>
        </w:rPr>
      </w:r>
    </w:p>
    <w:p>
      <w:pPr>
        <w:pStyle w:val="Heading2"/>
      </w:pPr>
      <w:r>
        <w:rPr>
          <w:lang w:val="en_US" w:bidi="en_US"/>
        </w:rPr>
        <w:t>Luke 22:15</w:t>
      </w:r>
      <w:r>
        <w:rPr>
          <w:lang w:val="en_US" w:bidi="en_US"/>
        </w:rPr>
      </w:r>
    </w:p>
    <w:p>
      <w:pPr>
        <w:pStyle w:val="Heading4"/>
      </w:pPr>
      <w:r>
        <w:rPr>
          <w:lang w:val="en_US" w:bidi="en_US"/>
        </w:rPr>
        <w:t>Section 22:14–23: Jesus gave his disciples bread and wine with a special meaning</w:t>
      </w:r>
    </w:p>
    <w:p>
      <w:pPr/>
      <w:r>
        <w:rPr>
          <w:lang w:val="en_US" w:bidi="en_US"/>
        </w:rPr>
      </w:r>
      <w:r>
        <w:rPr>
          <w:lang w:val="en_US" w:bidi="en_US"/>
        </w:rPr>
        <w:t>In this section Jesus ate his last meal with his twelve disciples before he died. During this Passover meal, Jesus told them about the new covenant that he was making with them. He took bread and gave thanks to God. Then he divided the bread into pieces and gave it to his disciples to share. He said to them, “This is my body, given for you.” After the main meal, he gave his disciples a cup of wine to drink from. He said, “This cup is the new covenant in my blood, which is poured out for you.” When Jesus said these things, he indicated that he would sacrifice himself by dying as a substitute for his disciples to save them from slavery to sin. By doing this, he would fulfill the real meaning of Passover. As God saved the people of Israel who put the blood of the Passover lamb on their doors, he will save the people who trust in Jesus’ sacrifice for them.</w:t>
      </w:r>
    </w:p>
    <w:p>
      <w:pPr/>
      <w:r>
        <w:rPr>
          <w:lang w:val="en_US" w:bidi="en_US"/>
        </w:rPr>
      </w:r>
      <w:r>
        <w:rPr>
          <w:lang w:val="en_US" w:bidi="en_US"/>
        </w:rPr>
        <w:t>Jesus told his disciples to continue to remember him by taking bread and wine as his body and blood given for them. This thanksgiving service is now called the Eucharist, from the Greek word that means “thanksgiving.” It is also called the Lord’s Supper and Holy Communion.</w:t>
      </w:r>
    </w:p>
    <w:p>
      <w:pPr/>
      <w:r>
        <w:rPr>
          <w:lang w:val="en_US" w:bidi="en_US"/>
        </w:rPr>
      </w:r>
      <w:r>
        <w:rPr>
          <w:lang w:val="en_US" w:bidi="en_US"/>
        </w:rPr>
        <w:t>Some other examples of headings for this section are:</w:t>
      </w:r>
    </w:p>
    <w:p>
      <w:pPr/>
      <w:r>
        <w:rPr>
          <w:lang w:val="en_US" w:bidi="en_US"/>
        </w:rPr>
      </w:r>
      <w:r>
        <w:rPr>
          <w:lang w:val="en_US" w:bidi="en_US"/>
        </w:rPr>
        <w:t>The Lord’s Supper (NET)</w:t>
      </w:r>
    </w:p>
    <w:p>
      <w:pPr/>
      <w:r>
        <w:rPr>
          <w:lang w:val="en_US" w:bidi="en_US"/>
        </w:rPr>
      </w:r>
      <w:r>
        <w:rPr>
          <w:lang w:val="en_US" w:bidi="en_US"/>
        </w:rPr>
        <w:t>Jesus established the Thanksgiving/Eucharist celebration</w:t>
      </w:r>
    </w:p>
    <w:p>
      <w:pPr/>
      <w:r>
        <w:rPr>
          <w:lang w:val="en_US" w:bidi="en_US"/>
        </w:rPr>
      </w:r>
      <w:r>
        <w:rPr>
          <w:lang w:val="en_US" w:bidi="en_US"/>
        </w:rPr>
        <w:t>Jesus sacrifices his body and blood to save his disciples</w:t>
      </w:r>
    </w:p>
    <w:p>
      <w:pPr/>
      <w:r>
        <w:rPr>
          <w:lang w:val="en_US" w:bidi="en_US"/>
        </w:rPr>
      </w:r>
      <w:r>
        <w:rPr>
          <w:lang w:val="en_US" w:bidi="en_US"/>
        </w:rPr>
        <w:t>Jesus makes a new covenant with his disciples</w:t>
      </w:r>
    </w:p>
    <w:p>
      <w:pPr/>
      <w:r>
        <w:rPr>
          <w:lang w:val="en_US" w:bidi="en_US"/>
        </w:rPr>
      </w:r>
      <w:r>
        <w:rPr>
          <w:lang w:val="en_US" w:bidi="en_US"/>
        </w:rPr>
        <w:t>There are parallel passages for this section in Matthew 26:26–30, Mark 14:22–26, and 1 Corinthians 11:23–25.</w:t>
      </w:r>
    </w:p>
    <w:p>
      <w:pPr>
        <w:pStyle w:val="Heading5"/>
      </w:pPr>
      <w:r>
        <w:rPr>
          <w:lang w:val="en_US" w:bidi="en_US"/>
        </w:rPr>
        <w:t>22:15a</w:t>
      </w:r>
    </w:p>
    <w:p>
      <w:pPr/>
      <w:r>
        <w:rPr>
          <w:lang w:val="en_US" w:bidi="en_US"/>
        </w:rPr>
      </w:r>
      <w:r>
        <w:rPr>
          <w:b/>
          <w:lang w:val="en_US" w:bidi="en_US"/>
        </w:rPr>
        <w:t>And He said to them, “I have eagerly desired</w:t>
      </w:r>
    </w:p>
    <w:p>
      <w:pPr>
        <w:pStyle w:val="ListBullet"/>
        <w:spacing w:line="240" w:lineRule="auto"/>
        <w:ind w:left="720"/>
      </w:pPr>
      <w:r>
        <w:rPr>
          <w:lang w:val="en_US" w:bidi="en_US"/>
        </w:rPr>
      </w:r>
      <w:r>
        <w:rPr>
          <w:lang w:val="en_US" w:bidi="en_US"/>
        </w:rPr>
        <w:t>And he said to them, “Fervently I have desired/wanted</w:t>
      </w:r>
    </w:p>
    <w:p>
      <w:pPr>
        <w:pStyle w:val="ListBullet"/>
        <w:spacing w:line="240" w:lineRule="auto"/>
        <w:ind w:left="720"/>
      </w:pPr>
      <w:r>
        <w:rPr>
          <w:lang w:val="en_US" w:bidi="en_US"/>
        </w:rPr>
      </w:r>
      <w:r>
        <w:rPr>
          <w:lang w:val="en_US" w:bidi="en_US"/>
        </w:rPr>
        <w:t>And he said to them, “I have longed for this time when</w:t>
      </w:r>
    </w:p>
    <w:p>
      <w:pPr/>
      <w:r>
        <w:rPr>
          <w:lang w:val="en_US" w:bidi="en_US"/>
        </w:rPr>
      </w:r>
      <w:r>
        <w:rPr>
          <w:b/>
          <w:lang w:val="en_US" w:bidi="en_US"/>
        </w:rPr>
        <w:t>I have eagerly desired:</w:t>
      </w:r>
      <w:r>
        <w:rPr>
          <w:lang w:val="en_US" w:bidi="en_US"/>
        </w:rPr>
        <w:t xml:space="preserve"> The Greek expression that the BSB translates as </w:t>
      </w:r>
      <w:r>
        <w:rPr>
          <w:i/>
          <w:lang w:val="en_US" w:bidi="en_US"/>
        </w:rPr>
        <w:t>I have eagerly desired</w:t>
      </w:r>
      <w:r>
        <w:rPr>
          <w:lang w:val="en_US" w:bidi="en_US"/>
        </w:rPr>
        <w:t xml:space="preserve"> is more literally “With desire I have desired,” as in the KJV. This idiom emphasizes how intensely Jesus had desired to eat this Passover meal with his apostles.</w:t>
      </w:r>
    </w:p>
    <w:p>
      <w:pPr/>
      <w:r>
        <w:rPr>
          <w:lang w:val="en_US" w:bidi="en_US"/>
        </w:rPr>
      </w:r>
      <w:r>
        <w:rPr>
          <w:lang w:val="en_US" w:bidi="en_US"/>
        </w:rPr>
        <w:t>Some other ways to translate the emphasis are:</w:t>
      </w:r>
    </w:p>
    <w:p>
      <w:pPr>
        <w:pStyle w:val="ListBullet"/>
        <w:spacing w:line="240" w:lineRule="auto"/>
        <w:ind w:left="720"/>
      </w:pPr>
      <w:r>
        <w:rPr>
          <w:lang w:val="en_US" w:bidi="en_US"/>
        </w:rPr>
      </w:r>
      <w:r>
        <w:rPr>
          <w:lang w:val="en_US" w:bidi="en_US"/>
        </w:rPr>
        <w:t>Use a different idiom in your language that has the same meaning. For example:</w:t>
      </w:r>
      <w:r>
        <w:rPr>
          <w:lang w:val="en_US" w:bidi="en_US"/>
        </w:rPr>
        <w:t>With all my heart I have longed (JBP)</w:t>
      </w:r>
      <w:r>
        <w:rPr>
          <w:lang w:val="en_US" w:bidi="en_US"/>
        </w:rPr>
        <w:t>Another example of an idiomatic translation of this verse is: “It is very big in my breath, this our being together to eat the Feast of this Passover before I die.” (Western Budiknon Manobo back translation on TW)</w:t>
      </w:r>
    </w:p>
    <w:p>
      <w:pPr>
        <w:pStyle w:val="ListBullet"/>
        <w:spacing w:line="240" w:lineRule="auto"/>
        <w:ind w:left="720"/>
      </w:pPr>
      <w:r>
        <w:rPr>
          <w:lang w:val="en_US" w:bidi="en_US"/>
        </w:rPr>
      </w:r>
      <w:r>
        <w:rPr>
          <w:lang w:val="en_US" w:bidi="en_US"/>
        </w:rPr>
        <w:t>Use a different way to express the emphasis in your language. For example:</w:t>
      </w:r>
      <w:r>
        <w:rPr>
          <w:lang w:val="en_US" w:bidi="en_US"/>
        </w:rPr>
        <w:t>How earnestly I have desired</w:t>
      </w:r>
      <w:r>
        <w:rPr>
          <w:lang w:val="en_US" w:bidi="en_US"/>
        </w:rPr>
        <w:t>I have looked forward to this hour with deep longing (NLT96)</w:t>
      </w:r>
    </w:p>
    <w:p>
      <w:pPr/>
      <w:r>
        <w:rPr>
          <w:lang w:val="en_US" w:bidi="en_US"/>
        </w:rPr>
      </w:r>
      <w:r>
        <w:rPr>
          <w:lang w:val="en_US" w:bidi="en_US"/>
        </w:rPr>
        <w:t>Translate this idiom in a natural and emphatic way in your language.</w:t>
      </w:r>
    </w:p>
    <w:p>
      <w:pPr>
        <w:pStyle w:val="Heading5"/>
      </w:pPr>
      <w:r>
        <w:rPr>
          <w:lang w:val="en_US" w:bidi="en_US"/>
        </w:rPr>
        <w:t>22:15b</w:t>
      </w:r>
    </w:p>
    <w:p>
      <w:pPr/>
      <w:r>
        <w:rPr>
          <w:lang w:val="en_US" w:bidi="en_US"/>
        </w:rPr>
      </w:r>
      <w:r>
        <w:rPr>
          <w:b/>
          <w:lang w:val="en_US" w:bidi="en_US"/>
        </w:rPr>
        <w:t>to eat this Passover with you before My suffering.</w:t>
      </w:r>
    </w:p>
    <w:p>
      <w:pPr>
        <w:pStyle w:val="ListBullet"/>
        <w:spacing w:line="240" w:lineRule="auto"/>
        <w:ind w:left="720"/>
      </w:pPr>
      <w:r>
        <w:rPr>
          <w:lang w:val="en_US" w:bidi="en_US"/>
        </w:rPr>
      </w:r>
      <w:r>
        <w:rPr>
          <w:lang w:val="en_US" w:bidi="en_US"/>
        </w:rPr>
        <w:t>to eat this Passover with you</w:t>
      </w:r>
      <w:r>
        <w:rPr>
          <w:vertAlign w:val="superscript"/>
          <w:lang w:val="en_US" w:bidi="en_US"/>
        </w:rPr>
        <w:t>(plur)</w:t>
      </w:r>
      <w:r>
        <w:rPr>
          <w:lang w:val="en_US" w:bidi="en_US"/>
        </w:rPr>
        <w:t xml:space="preserve"> before my suffering/agony,</w:t>
      </w:r>
    </w:p>
    <w:p>
      <w:pPr>
        <w:pStyle w:val="ListBullet"/>
        <w:spacing w:line="240" w:lineRule="auto"/>
        <w:ind w:left="720"/>
      </w:pPr>
      <w:r>
        <w:rPr>
          <w:lang w:val="en_US" w:bidi="en_US"/>
        </w:rPr>
      </w:r>
      <w:r>
        <w:rPr>
          <w:lang w:val="en_US" w:bidi="en_US"/>
        </w:rPr>
        <w:t>we would eat this “</w:t>
      </w:r>
      <w:r>
        <w:rPr>
          <w:lang w:val="en_US" w:bidi="en_US"/>
        </w:rPr>
        <w:t>Death</w:t>
      </w:r>
      <w:r>
        <w:rPr>
          <w:lang w:val="en_US" w:bidi="en_US"/>
        </w:rPr>
        <w:t xml:space="preserve"> Passed </w:t>
      </w:r>
      <w:r>
        <w:rPr>
          <w:lang w:val="en_US" w:bidi="en_US"/>
        </w:rPr>
        <w:t>Us</w:t>
      </w:r>
      <w:r>
        <w:rPr>
          <w:lang w:val="en_US" w:bidi="en_US"/>
        </w:rPr>
        <w:t xml:space="preserve"> By” </w:t>
      </w:r>
      <w:r>
        <w:rPr>
          <w:lang w:val="en_US" w:bidi="en_US"/>
        </w:rPr>
        <w:t>meal</w:t>
      </w:r>
      <w:r>
        <w:rPr>
          <w:lang w:val="en_US" w:bidi="en_US"/>
        </w:rPr>
        <w:t xml:space="preserve"> together before I suffer </w:t>
      </w:r>
      <w:r>
        <w:rPr>
          <w:lang w:val="en_US" w:bidi="en_US"/>
        </w:rPr>
        <w:t>and die</w:t>
      </w:r>
      <w:r>
        <w:rPr>
          <w:lang w:val="en_US" w:bidi="en_US"/>
        </w:rPr>
        <w:t>.</w:t>
      </w:r>
    </w:p>
    <w:p>
      <w:pPr/>
      <w:r>
        <w:rPr>
          <w:lang w:val="en_US" w:bidi="en_US"/>
        </w:rPr>
      </w:r>
      <w:r>
        <w:rPr>
          <w:b/>
          <w:lang w:val="en_US" w:bidi="en_US"/>
        </w:rPr>
        <w:t>to eat this Passover with you:</w:t>
      </w:r>
      <w:r>
        <w:rPr>
          <w:lang w:val="en_US" w:bidi="en_US"/>
        </w:rPr>
        <w:t xml:space="preserve"> In Greek this phrase is more literally “this Passover to eat with you.” Jesus was eager to eat this Passover meal with his apostles. Another way to translate it is:</w:t>
      </w:r>
    </w:p>
    <w:p>
      <w:pPr/>
      <w:r>
        <w:rPr>
          <w:lang w:val="en_US" w:bidi="en_US"/>
        </w:rPr>
      </w:r>
      <w:r>
        <w:rPr>
          <w:lang w:val="en_US" w:bidi="en_US"/>
        </w:rPr>
        <w:t>that we</w:t>
      </w:r>
      <w:r>
        <w:rPr>
          <w:vertAlign w:val="superscript"/>
          <w:lang w:val="en_US" w:bidi="en_US"/>
        </w:rPr>
        <w:t>(incl)</w:t>
      </w:r>
      <w:r>
        <w:rPr>
          <w:lang w:val="en_US" w:bidi="en_US"/>
        </w:rPr>
        <w:t xml:space="preserve"> should eat this Passover </w:t>
      </w:r>
      <w:r>
        <w:rPr>
          <w:lang w:val="en_US" w:bidi="en_US"/>
        </w:rPr>
        <w:t>meal</w:t>
      </w:r>
      <w:r>
        <w:rPr>
          <w:lang w:val="en_US" w:bidi="en_US"/>
        </w:rPr>
        <w:t xml:space="preserve"> together</w:t>
      </w:r>
    </w:p>
    <w:p>
      <w:pPr/>
      <w:r>
        <w:rPr>
          <w:lang w:val="en_US" w:bidi="en_US"/>
        </w:rPr>
      </w:r>
      <w:r>
        <w:rPr>
          <w:b/>
          <w:lang w:val="en_US" w:bidi="en_US"/>
        </w:rPr>
        <w:t>before My suffering:</w:t>
      </w:r>
      <w:r>
        <w:rPr>
          <w:lang w:val="en_US" w:bidi="en_US"/>
        </w:rPr>
        <w:t xml:space="preserve"> In this context the phrase </w:t>
      </w:r>
      <w:r>
        <w:rPr>
          <w:i/>
          <w:lang w:val="en_US" w:bidi="en_US"/>
        </w:rPr>
        <w:t>before My suffering</w:t>
      </w:r>
      <w:r>
        <w:rPr>
          <w:lang w:val="en_US" w:bidi="en_US"/>
        </w:rPr>
        <w:t xml:space="preserve"> refers to Jesus’ death and to all the sufferings that he would endure before and during it.</w:t>
      </w:r>
      <w:r>
        <w:rPr>
          <w:lang w:val="en_US" w:bidi="en_US"/>
        </w:rPr>
        <w:t>Fitzmyer (p. 1395) mentions other passages where Jesus’ death on the cross is spoken of in terms of suffering, including Hebrews 9:26, 13:12; 1 Peter 2:21–23, 3:18.</w:t>
      </w:r>
      <w:r>
        <w:rPr>
          <w:lang w:val="en_US" w:bidi="en_US"/>
        </w:rPr>
        <w:t xml:space="preserve"> It is good to translate the phrase in a way that can refer to various types of suffering and also refer to death. For example:</w:t>
      </w:r>
    </w:p>
    <w:p>
      <w:pPr/>
      <w:r>
        <w:rPr>
          <w:lang w:val="en_US" w:bidi="en_US"/>
        </w:rPr>
      </w:r>
      <w:r>
        <w:rPr>
          <w:lang w:val="en_US" w:bidi="en_US"/>
        </w:rPr>
        <w:t xml:space="preserve">before the agony that I </w:t>
      </w:r>
      <w:r>
        <w:rPr>
          <w:lang w:val="en_US" w:bidi="en_US"/>
        </w:rPr>
        <w:t>must endure</w:t>
      </w:r>
    </w:p>
    <w:p>
      <w:pPr/>
      <w:r>
        <w:rPr>
          <w:lang w:val="en_US" w:bidi="en_US"/>
        </w:rPr>
      </w:r>
      <w:r>
        <w:rPr>
          <w:lang w:val="en_US" w:bidi="en_US"/>
        </w:rPr>
        <w:t>after that, I will suffer.</w:t>
      </w:r>
      <w:r>
        <w:rPr>
          <w:lang w:val="en_US" w:bidi="en_US"/>
        </w:rPr>
        <w:t>Kankanaey back translation on TW.</w:t>
      </w:r>
    </w:p>
    <w:p>
      <w:pPr/>
      <w:r>
        <w:rPr>
          <w:lang w:val="en_US" w:bidi="en_US"/>
        </w:rPr>
      </w:r>
      <w:r>
        <w:rPr>
          <w:lang w:val="en_US" w:bidi="en_US"/>
        </w:rPr>
        <w:t xml:space="preserve">before I suffer </w:t>
      </w:r>
      <w:r>
        <w:rPr>
          <w:lang w:val="en_US" w:bidi="en_US"/>
        </w:rPr>
        <w:t>and die</w:t>
      </w:r>
      <w:r>
        <w:rPr>
          <w:lang w:val="en_US" w:bidi="en_US"/>
        </w:rPr>
        <w:t xml:space="preserve"> (TRT)</w:t>
      </w:r>
    </w:p>
    <w:p>
      <w:pPr/>
      <w:r>
        <w:rPr>
          <w:lang w:val="en_US" w:bidi="en_US"/>
        </w:rPr>
      </w:r>
      <w:r>
        <w:rPr>
          <w:lang w:val="en_US" w:bidi="en_US"/>
        </w:rPr>
        <w:t xml:space="preserve">The verb </w:t>
      </w:r>
      <w:r>
        <w:rPr>
          <w:i/>
          <w:lang w:val="en_US" w:bidi="en_US"/>
        </w:rPr>
        <w:t>suffering</w:t>
      </w:r>
      <w:r>
        <w:rPr>
          <w:lang w:val="en_US" w:bidi="en_US"/>
        </w:rPr>
        <w:t xml:space="preserve"> also occurred in 9:22. See how you translated it there.</w:t>
      </w:r>
      <w:r>
        <w:rPr>
          <w:lang w:val="en_US" w:bidi="en_US"/>
        </w:rPr>
      </w:r>
      <w:r>
        <w:rPr>
          <w:lang w:val="en_US" w:bidi="en_US"/>
        </w:rPr>
      </w:r>
    </w:p>
    <w:p>
      <w:pPr/>
      <w:r>
        <w:rPr>
          <w:lang w:val="en_US" w:bidi="en_US"/>
        </w:rPr>
      </w:r>
    </w:p>
    <w:p>
      <w:pPr>
        <w:pStyle w:val="Heading2"/>
      </w:pPr>
      <w:r>
        <w:rPr>
          <w:lang w:val="en_US" w:bidi="en_US"/>
        </w:rPr>
        <w:t>Luke 22:16</w:t>
      </w:r>
      <w:r>
        <w:rPr>
          <w:lang w:val="en_US" w:bidi="en_US"/>
        </w:rPr>
      </w:r>
    </w:p>
    <w:p>
      <w:pPr>
        <w:pStyle w:val="Heading4"/>
      </w:pPr>
      <w:r>
        <w:rPr>
          <w:lang w:val="en_US" w:bidi="en_US"/>
        </w:rPr>
        <w:t>Section 22:14–23: Jesus gave his disciples bread and wine with a special meaning</w:t>
      </w:r>
    </w:p>
    <w:p>
      <w:pPr/>
      <w:r>
        <w:rPr>
          <w:lang w:val="en_US" w:bidi="en_US"/>
        </w:rPr>
      </w:r>
      <w:r>
        <w:rPr>
          <w:lang w:val="en_US" w:bidi="en_US"/>
        </w:rPr>
        <w:t>In this section Jesus ate his last meal with his twelve disciples before he died. During this Passover meal, Jesus told them about the new covenant that he was making with them. He took bread and gave thanks to God. Then he divided the bread into pieces and gave it to his disciples to share. He said to them, “This is my body, given for you.” After the main meal, he gave his disciples a cup of wine to drink from. He said, “This cup is the new covenant in my blood, which is poured out for you.” When Jesus said these things, he indicated that he would sacrifice himself by dying as a substitute for his disciples to save them from slavery to sin. By doing this, he would fulfill the real meaning of Passover. As God saved the people of Israel who put the blood of the Passover lamb on their doors, he will save the people who trust in Jesus’ sacrifice for them.</w:t>
      </w:r>
    </w:p>
    <w:p>
      <w:pPr/>
      <w:r>
        <w:rPr>
          <w:lang w:val="en_US" w:bidi="en_US"/>
        </w:rPr>
      </w:r>
      <w:r>
        <w:rPr>
          <w:lang w:val="en_US" w:bidi="en_US"/>
        </w:rPr>
        <w:t>Jesus told his disciples to continue to remember him by taking bread and wine as his body and blood given for them. This thanksgiving service is now called the Eucharist, from the Greek word that means “thanksgiving.” It is also called the Lord’s Supper and Holy Communion.</w:t>
      </w:r>
    </w:p>
    <w:p>
      <w:pPr/>
      <w:r>
        <w:rPr>
          <w:lang w:val="en_US" w:bidi="en_US"/>
        </w:rPr>
      </w:r>
      <w:r>
        <w:rPr>
          <w:lang w:val="en_US" w:bidi="en_US"/>
        </w:rPr>
        <w:t>Some other examples of headings for this section are:</w:t>
      </w:r>
    </w:p>
    <w:p>
      <w:pPr/>
      <w:r>
        <w:rPr>
          <w:lang w:val="en_US" w:bidi="en_US"/>
        </w:rPr>
      </w:r>
      <w:r>
        <w:rPr>
          <w:lang w:val="en_US" w:bidi="en_US"/>
        </w:rPr>
        <w:t>The Lord’s Supper (NET)</w:t>
      </w:r>
    </w:p>
    <w:p>
      <w:pPr/>
      <w:r>
        <w:rPr>
          <w:lang w:val="en_US" w:bidi="en_US"/>
        </w:rPr>
      </w:r>
      <w:r>
        <w:rPr>
          <w:lang w:val="en_US" w:bidi="en_US"/>
        </w:rPr>
        <w:t>Jesus established the Thanksgiving/Eucharist celebration</w:t>
      </w:r>
    </w:p>
    <w:p>
      <w:pPr/>
      <w:r>
        <w:rPr>
          <w:lang w:val="en_US" w:bidi="en_US"/>
        </w:rPr>
      </w:r>
      <w:r>
        <w:rPr>
          <w:lang w:val="en_US" w:bidi="en_US"/>
        </w:rPr>
        <w:t>Jesus sacrifices his body and blood to save his disciples</w:t>
      </w:r>
    </w:p>
    <w:p>
      <w:pPr/>
      <w:r>
        <w:rPr>
          <w:lang w:val="en_US" w:bidi="en_US"/>
        </w:rPr>
      </w:r>
      <w:r>
        <w:rPr>
          <w:lang w:val="en_US" w:bidi="en_US"/>
        </w:rPr>
        <w:t>Jesus makes a new covenant with his disciples</w:t>
      </w:r>
    </w:p>
    <w:p>
      <w:pPr/>
      <w:r>
        <w:rPr>
          <w:lang w:val="en_US" w:bidi="en_US"/>
        </w:rPr>
      </w:r>
      <w:r>
        <w:rPr>
          <w:lang w:val="en_US" w:bidi="en_US"/>
        </w:rPr>
        <w:t>There are parallel passages for this section in Matthew 26:26–30, Mark 14:22–26, and 1 Corinthians 11:23–25.</w:t>
      </w:r>
    </w:p>
    <w:p>
      <w:pPr>
        <w:pStyle w:val="Heading5"/>
      </w:pPr>
      <w:r>
        <w:rPr>
          <w:lang w:val="en_US" w:bidi="en_US"/>
        </w:rPr>
        <w:t>22:16a</w:t>
      </w:r>
    </w:p>
    <w:p>
      <w:pPr/>
      <w:r>
        <w:rPr>
          <w:lang w:val="en_US" w:bidi="en_US"/>
        </w:rPr>
      </w:r>
      <w:r>
        <w:rPr>
          <w:b/>
          <w:lang w:val="en_US" w:bidi="en_US"/>
        </w:rPr>
        <w:t>For I tell you that</w:t>
      </w:r>
    </w:p>
    <w:p>
      <w:pPr>
        <w:pStyle w:val="ListBullet"/>
        <w:spacing w:line="240" w:lineRule="auto"/>
        <w:ind w:left="720"/>
      </w:pPr>
      <w:r>
        <w:rPr>
          <w:lang w:val="en_US" w:bidi="en_US"/>
        </w:rPr>
      </w:r>
      <w:r>
        <w:rPr>
          <w:lang w:val="en_US" w:bidi="en_US"/>
        </w:rPr>
        <w:t>for I tell you this:</w:t>
      </w:r>
    </w:p>
    <w:p>
      <w:pPr>
        <w:pStyle w:val="ListBullet"/>
        <w:spacing w:line="240" w:lineRule="auto"/>
        <w:ind w:left="720"/>
      </w:pPr>
      <w:r>
        <w:rPr>
          <w:lang w:val="en_US" w:bidi="en_US"/>
        </w:rPr>
      </w:r>
      <w:r>
        <w:rPr>
          <w:lang w:val="en_US" w:bidi="en_US"/>
        </w:rPr>
        <w:t>I assure you that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often introduces a reason or an explanation. In this verse Jesus explained more about his eagerness to eat that Passover meal with his apostles. This explanation begins in 22:16b. Jesus says that he will not eat the Passover meal again until its meaning is fulfilled in the kingdom of God.</w:t>
      </w:r>
      <w:r>
        <w:rPr>
          <w:lang w:val="en_US" w:bidi="en_US"/>
        </w:rPr>
        <w:t>When Jesus instituted the Eucharist at this Passover, he showed his apostles that he was about to suffer for them, redeem them, and open the kingdom of God for them and other believers. Jesus was eager for this redemption to be accomplished. Lenski (p. 1040) says, “The last phrase ‘before I suffer” explains this strong desire….The nearer the hour of suffering and death came for Jesus the more he longed for it to come in order that the great work might be done and redemption be actually wrought.” Johnson (p. 337) says, “For Jesus’ ‘eagerness’ for everything to be accomplished, compare the saying in 12:50.”</w:t>
      </w:r>
    </w:p>
    <w:p>
      <w:pPr/>
      <w:r>
        <w:rPr>
          <w:lang w:val="en_US" w:bidi="en_US"/>
        </w:rPr>
      </w:r>
      <w:r>
        <w:rPr>
          <w:lang w:val="en_US" w:bidi="en_US"/>
        </w:rPr>
        <w:t>Introduce his explanation in a natural way in your language. In some languages a conjunction may not be needed, as in several English versions.</w:t>
      </w:r>
    </w:p>
    <w:p>
      <w:pPr/>
      <w:r>
        <w:rPr>
          <w:lang w:val="en_US" w:bidi="en_US"/>
        </w:rPr>
      </w:r>
      <w:r>
        <w:rPr>
          <w:b/>
          <w:lang w:val="en_US" w:bidi="en_US"/>
        </w:rPr>
        <w:t>I tell you:</w:t>
      </w:r>
      <w:r>
        <w:rPr>
          <w:lang w:val="en_US" w:bidi="en_US"/>
        </w:rPr>
        <w:t xml:space="preserve"> Jesus often used the phrase </w:t>
      </w:r>
      <w:r>
        <w:rPr>
          <w:i/>
          <w:lang w:val="en_US" w:bidi="en_US"/>
        </w:rPr>
        <w:t>I tell you</w:t>
      </w:r>
      <w:r>
        <w:rPr>
          <w:lang w:val="en_US" w:bidi="en_US"/>
        </w:rPr>
        <w:t xml:space="preserve"> to introduce a statement that he wanted to emphasize. See the note on 17:34a for more information and translation suggestions.</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here. It refers to Jesus’ apostles.</w:t>
      </w:r>
    </w:p>
    <w:p>
      <w:pPr>
        <w:pStyle w:val="Heading5"/>
      </w:pPr>
      <w:r>
        <w:rPr>
          <w:lang w:val="en_US" w:bidi="en_US"/>
        </w:rPr>
        <w:t>22:16b</w:t>
      </w:r>
    </w:p>
    <w:p>
      <w:pPr/>
      <w:r>
        <w:rPr>
          <w:lang w:val="en_US" w:bidi="en_US"/>
        </w:rPr>
      </w:r>
      <w:r>
        <w:rPr>
          <w:b/>
          <w:lang w:val="en_US" w:bidi="en_US"/>
        </w:rPr>
        <w:t>I will not eat it again</w:t>
      </w:r>
    </w:p>
    <w:p>
      <w:pPr>
        <w:pStyle w:val="ListBullet"/>
        <w:spacing w:line="240" w:lineRule="auto"/>
        <w:ind w:left="720"/>
      </w:pPr>
      <w:r>
        <w:rPr>
          <w:lang w:val="en_US" w:bidi="en_US"/>
        </w:rPr>
      </w:r>
      <w:r>
        <w:rPr>
          <w:lang w:val="en_US" w:bidi="en_US"/>
        </w:rPr>
        <w:t xml:space="preserve">I will not eat </w:t>
      </w:r>
      <w:r>
        <w:rPr>
          <w:lang w:val="en_US" w:bidi="en_US"/>
        </w:rPr>
        <w:t>a Passover meal</w:t>
      </w:r>
      <w:r>
        <w:rPr>
          <w:lang w:val="en_US" w:bidi="en_US"/>
        </w:rPr>
        <w:t xml:space="preserve"> again</w:t>
      </w:r>
    </w:p>
    <w:p>
      <w:pPr>
        <w:pStyle w:val="ListBullet"/>
        <w:spacing w:line="240" w:lineRule="auto"/>
        <w:ind w:left="720"/>
      </w:pPr>
      <w:r>
        <w:rPr>
          <w:lang w:val="en_US" w:bidi="en_US"/>
        </w:rPr>
      </w:r>
      <w:r>
        <w:rPr>
          <w:lang w:val="en_US" w:bidi="en_US"/>
        </w:rPr>
        <w:t xml:space="preserve">I will not eat another </w:t>
      </w:r>
      <w:r>
        <w:rPr>
          <w:lang w:val="en_US" w:bidi="en_US"/>
        </w:rPr>
        <w:t>“Death Passed Us By” meal</w:t>
      </w:r>
    </w:p>
    <w:p>
      <w:pPr>
        <w:pStyle w:val="Heading5"/>
      </w:pPr>
      <w:r>
        <w:rPr>
          <w:lang w:val="en_US" w:bidi="en_US"/>
        </w:rPr>
        <w:t>22:16c</w:t>
      </w:r>
    </w:p>
    <w:p>
      <w:pPr/>
      <w:r>
        <w:rPr>
          <w:lang w:val="en_US" w:bidi="en_US"/>
        </w:rPr>
      </w:r>
      <w:r>
        <w:rPr>
          <w:b/>
          <w:lang w:val="en_US" w:bidi="en_US"/>
        </w:rPr>
        <w:t>until it is fulfilled in the kingdom of God.”</w:t>
      </w:r>
    </w:p>
    <w:p>
      <w:pPr>
        <w:pStyle w:val="ListBullet"/>
        <w:spacing w:line="240" w:lineRule="auto"/>
        <w:ind w:left="720"/>
      </w:pPr>
      <w:r>
        <w:rPr>
          <w:lang w:val="en_US" w:bidi="en_US"/>
        </w:rPr>
      </w:r>
      <w:r>
        <w:rPr>
          <w:lang w:val="en_US" w:bidi="en_US"/>
        </w:rPr>
        <w:t xml:space="preserve">until </w:t>
      </w:r>
      <w:r>
        <w:rPr>
          <w:lang w:val="en_US" w:bidi="en_US"/>
        </w:rPr>
        <w:t>its true meaning</w:t>
      </w:r>
      <w:r>
        <w:rPr>
          <w:lang w:val="en_US" w:bidi="en_US"/>
        </w:rPr>
        <w:t xml:space="preserve"> is fulfilled in God’s kingdom.”</w:t>
      </w:r>
    </w:p>
    <w:p>
      <w:pPr>
        <w:pStyle w:val="ListBullet"/>
        <w:spacing w:line="240" w:lineRule="auto"/>
        <w:ind w:left="720"/>
      </w:pPr>
      <w:r>
        <w:rPr>
          <w:lang w:val="en_US" w:bidi="en_US"/>
        </w:rPr>
      </w:r>
      <w:r>
        <w:rPr>
          <w:lang w:val="en_US" w:bidi="en_US"/>
        </w:rPr>
        <w:t>before the time when God reigns/rules and makes all that it represents happen.”</w:t>
      </w:r>
    </w:p>
    <w:p>
      <w:pPr>
        <w:pStyle w:val="Heading5"/>
      </w:pPr>
      <w:r>
        <w:rPr>
          <w:lang w:val="en_US" w:bidi="en_US"/>
        </w:rPr>
        <w:t>22:16b–c</w:t>
      </w:r>
    </w:p>
    <w:p>
      <w:pPr/>
      <w:r>
        <w:rPr>
          <w:lang w:val="en_US" w:bidi="en_US"/>
        </w:rPr>
      </w:r>
      <w:r>
        <w:rPr>
          <w:b/>
          <w:lang w:val="en_US" w:bidi="en_US"/>
        </w:rPr>
        <w:t>I will not eat it again until it is fulfilled:</w:t>
      </w:r>
      <w:r>
        <w:rPr>
          <w:lang w:val="en_US" w:bidi="en_US"/>
        </w:rPr>
        <w:t xml:space="preserve"> There are two ways to interpret the statement </w:t>
      </w:r>
      <w:r>
        <w:rPr>
          <w:i/>
          <w:lang w:val="en_US" w:bidi="en_US"/>
        </w:rPr>
        <w:t>I will not eat it again until it is fulfilled</w:t>
      </w:r>
      <w:r>
        <w:rPr>
          <w:lang w:val="en_US" w:bidi="en_US"/>
        </w:rPr>
        <w:t>:</w:t>
      </w:r>
    </w:p>
    <w:p>
      <w:pPr>
        <w:pStyle w:val="ListNumber"/>
        <w:numPr>
          <w:ilvl w:val="0"/>
          <w:numId w:val="352"/>
        </w:numPr>
        <w:spacing w:line="240" w:lineRule="auto"/>
        <w:ind w:left="720"/>
      </w:pPr>
      <w:r>
        <w:rPr>
          <w:lang w:val="en_US" w:bidi="en_US"/>
        </w:rPr>
      </w:r>
      <w:r>
        <w:rPr>
          <w:lang w:val="en_US" w:bidi="en_US"/>
        </w:rPr>
        <w:t>It indicates that after Jesus ate that Passover meal with his disciples, he would not eat another Passover meal until its meaning was fulfilled. For example:</w:t>
      </w:r>
      <w:r>
        <w:rPr>
          <w:lang w:val="en_US" w:bidi="en_US"/>
        </w:rPr>
        <w:t xml:space="preserve">I will not eat another Passover meal until it is given its true meaning (NCV) </w:t>
      </w:r>
      <w:r>
        <w:rPr>
          <w:i/>
          <w:lang w:val="en_US" w:bidi="en_US"/>
        </w:rPr>
        <w:t>(BSB, NCV, NIV, KJV, NASB, REB, GW, NLT, CEV, NET, JBP)</w:t>
      </w:r>
    </w:p>
    <w:p>
      <w:pPr>
        <w:pStyle w:val="ListNumber"/>
        <w:spacing w:line="240" w:lineRule="auto"/>
        <w:ind w:left="720"/>
      </w:pPr>
      <w:r>
        <w:rPr>
          <w:lang w:val="en_US" w:bidi="en_US"/>
        </w:rPr>
      </w:r>
      <w:r>
        <w:rPr>
          <w:lang w:val="en_US" w:bidi="en_US"/>
        </w:rPr>
        <w:t>It indicates that Jesus would not eat another Passover meal, including the one that night with his disciples, until its meaning was fulfilled. Here is another way to translate this:</w:t>
      </w:r>
      <w:r>
        <w:rPr>
          <w:lang w:val="en_US" w:bidi="en_US"/>
        </w:rPr>
        <w:t xml:space="preserve">I shall not eat it until it is fulfilled (RSV) </w:t>
      </w:r>
      <w:r>
        <w:rPr>
          <w:i/>
          <w:lang w:val="en_US" w:bidi="en_US"/>
        </w:rPr>
        <w:t>(RSV, NJB, GNT, ESV)</w:t>
      </w:r>
    </w:p>
    <w:p>
      <w:pPr/>
      <w:r>
        <w:rPr>
          <w:lang w:val="en_US" w:bidi="en_US"/>
        </w:rPr>
      </w:r>
      <w:r>
        <w:rPr>
          <w:lang w:val="en_US" w:bidi="en_US"/>
        </w:rPr>
        <w:t>It is recommended that you follow interpretation (1).</w:t>
      </w:r>
      <w:r>
        <w:rPr>
          <w:lang w:val="en_US" w:bidi="en_US"/>
        </w:rPr>
        <w:t>There is a textual issue concerning the word “again.” It is not included in some of the best Greek manuscripts. Metzger (1971, p. 173) gives the decision not to include it a C rating, indicating uncertainty about the decision. The Notes consider this issue more of a translation decision than a strictly textual matter. Along with most Bible scholars, it favors translating in a way that refers to future Passover meals, not this final one that he ate with his disciples. Scholars who follow interpretation (1) include Bock, Bratcher, Creed, Godet, Green, Fitzmyer, Hendriksen, Lenski, Marshall, Morris, Nolland, Plummer, Reiling and Swellengrebel, Stein, and Summers.</w:t>
      </w:r>
      <w:r>
        <w:rPr>
          <w:lang w:val="en_US" w:bidi="en_US"/>
        </w:rPr>
        <w:t xml:space="preserve"> The whole context, especially 22:15, strongly implies that Jesus did eat the Passover meal with his disciples. (See also 22:21.) Although the word </w:t>
      </w:r>
      <w:r>
        <w:rPr>
          <w:i/>
          <w:lang w:val="en_US" w:bidi="en_US"/>
        </w:rPr>
        <w:t>again</w:t>
      </w:r>
      <w:r>
        <w:rPr>
          <w:lang w:val="en_US" w:bidi="en_US"/>
        </w:rPr>
        <w:t xml:space="preserve"> is not included in some Greek manuscripts, it is necessary in English to express the right meaning.</w:t>
      </w:r>
    </w:p>
    <w:p>
      <w:pPr/>
      <w:r>
        <w:rPr>
          <w:lang w:val="en_US" w:bidi="en_US"/>
        </w:rPr>
      </w:r>
      <w:r>
        <w:rPr>
          <w:b/>
          <w:lang w:val="en_US" w:bidi="en_US"/>
        </w:rPr>
        <w:t>until it is fulfilled:</w:t>
      </w:r>
      <w:r>
        <w:rPr>
          <w:lang w:val="en_US" w:bidi="en_US"/>
        </w:rPr>
        <w:t xml:space="preserve"> The Greek phrase that the BSB literally translates as </w:t>
      </w:r>
      <w:r>
        <w:rPr>
          <w:i/>
          <w:lang w:val="en_US" w:bidi="en_US"/>
        </w:rPr>
        <w:t>until it is fulfilled</w:t>
      </w:r>
      <w:r>
        <w:rPr>
          <w:lang w:val="en_US" w:bidi="en_US"/>
        </w:rPr>
        <w:t xml:space="preserve"> refers to the time when the meaning that the Passover meal symbolizes will be completely fulfilled.</w:t>
      </w:r>
    </w:p>
    <w:p>
      <w:pPr/>
      <w:r>
        <w:rPr>
          <w:lang w:val="en_US" w:bidi="en_US"/>
        </w:rPr>
      </w:r>
      <w:r>
        <w:rPr>
          <w:lang w:val="en_US" w:bidi="en_US"/>
        </w:rPr>
        <w:t>The Passover symbolizes God redeeming his people. He redeemed the Jewish people when he saved them from death and slavery in Egypt at the time of the first Passover. God redeemed his people from eternal death and slavery to sin through Jesus’ death as a substitute for them. The Passover lamb symbolizes Jesus.</w:t>
      </w:r>
    </w:p>
    <w:p>
      <w:pPr/>
      <w:r>
        <w:rPr>
          <w:lang w:val="en_US" w:bidi="en_US"/>
        </w:rPr>
      </w:r>
      <w:r>
        <w:rPr>
          <w:lang w:val="en_US" w:bidi="en_US"/>
        </w:rPr>
        <w:t>Some other ways to translate this phrase are:</w:t>
      </w:r>
    </w:p>
    <w:p>
      <w:pPr/>
      <w:r>
        <w:rPr>
          <w:lang w:val="en_US" w:bidi="en_US"/>
        </w:rPr>
      </w:r>
      <w:r>
        <w:rPr>
          <w:lang w:val="en_US" w:bidi="en_US"/>
        </w:rPr>
        <w:t>until its meaning is fulfilled (NLT)</w:t>
      </w:r>
    </w:p>
    <w:p>
      <w:pPr/>
      <w:r>
        <w:rPr>
          <w:lang w:val="en_US" w:bidi="en_US"/>
        </w:rPr>
      </w:r>
      <w:r>
        <w:rPr>
          <w:lang w:val="en_US" w:bidi="en_US"/>
        </w:rPr>
        <w:t>until it is given its full meaning (GNT)</w:t>
      </w:r>
    </w:p>
    <w:p>
      <w:pPr/>
      <w:r>
        <w:rPr>
          <w:lang w:val="en_US" w:bidi="en_US"/>
        </w:rPr>
      </w:r>
      <w:r>
        <w:rPr>
          <w:lang w:val="en_US" w:bidi="en_US"/>
        </w:rPr>
        <w:t>until what it symbolizes is accomplished</w:t>
      </w:r>
    </w:p>
    <w:p>
      <w:pPr/>
      <w:r>
        <w:rPr>
          <w:lang w:val="en_US" w:bidi="en_US"/>
        </w:rPr>
      </w:r>
      <w:r>
        <w:rPr>
          <w:lang w:val="en_US" w:bidi="en_US"/>
        </w:rPr>
        <w:t xml:space="preserve">The verb </w:t>
      </w:r>
      <w:r>
        <w:rPr>
          <w:i/>
          <w:lang w:val="en_US" w:bidi="en_US"/>
        </w:rPr>
        <w:t>is fulfilled</w:t>
      </w:r>
      <w:r>
        <w:rPr>
          <w:lang w:val="en_US" w:bidi="en_US"/>
        </w:rPr>
        <w:t xml:space="preserve"> is passive. In some languages it may be necessary to translate it as active. If that is true in your language, you may supply “God” as the subject.</w:t>
      </w:r>
      <w:r>
        <w:rPr>
          <w:lang w:val="en_US" w:bidi="en_US"/>
        </w:rPr>
        <w:t>Marshall (p. 796) says, “The passive is probably a circumlocution for an active verb with God as subject.”</w:t>
      </w:r>
      <w:r>
        <w:rPr>
          <w:lang w:val="en_US" w:bidi="en_US"/>
        </w:rPr>
        <w:t xml:space="preserve"> For example:</w:t>
      </w:r>
    </w:p>
    <w:p>
      <w:pPr/>
      <w:r>
        <w:rPr>
          <w:lang w:val="en_US" w:bidi="en_US"/>
        </w:rPr>
      </w:r>
      <w:r>
        <w:rPr>
          <w:lang w:val="en_US" w:bidi="en_US"/>
        </w:rPr>
        <w:t xml:space="preserve">until </w:t>
      </w:r>
      <w:r>
        <w:rPr>
          <w:lang w:val="en_US" w:bidi="en_US"/>
        </w:rPr>
        <w:t>God</w:t>
      </w:r>
      <w:r>
        <w:rPr>
          <w:lang w:val="en_US" w:bidi="en_US"/>
        </w:rPr>
        <w:t xml:space="preserve"> fulfills the purpose/meaning of the Passover meal</w:t>
      </w:r>
    </w:p>
    <w:p>
      <w:pPr/>
      <w:r>
        <w:rPr>
          <w:lang w:val="en_US" w:bidi="en_US"/>
        </w:rPr>
      </w:r>
      <w:r>
        <w:rPr>
          <w:lang w:val="en_US" w:bidi="en_US"/>
        </w:rPr>
        <w:t xml:space="preserve">until </w:t>
      </w:r>
      <w:r>
        <w:rPr>
          <w:lang w:val="en_US" w:bidi="en_US"/>
        </w:rPr>
        <w:t>God</w:t>
      </w:r>
      <w:r>
        <w:rPr>
          <w:lang w:val="en_US" w:bidi="en_US"/>
        </w:rPr>
        <w:t xml:space="preserve"> causes what the Passover meal represents to happen</w:t>
      </w:r>
    </w:p>
    <w:p>
      <w:pPr/>
      <w:r>
        <w:rPr>
          <w:lang w:val="en_US" w:bidi="en_US"/>
        </w:rPr>
      </w:r>
      <w:r>
        <w:rPr>
          <w:b/>
          <w:lang w:val="en_US" w:bidi="en_US"/>
        </w:rPr>
        <w:t>in the kingdom of God:</w:t>
      </w:r>
      <w:r>
        <w:rPr>
          <w:lang w:val="en_US" w:bidi="en_US"/>
        </w:rPr>
        <w:t xml:space="preserve"> In this context the phrase </w:t>
      </w:r>
      <w:r>
        <w:rPr>
          <w:i/>
          <w:lang w:val="en_US" w:bidi="en_US"/>
        </w:rPr>
        <w:t>in the kingdom of God</w:t>
      </w:r>
      <w:r>
        <w:rPr>
          <w:lang w:val="en_US" w:bidi="en_US"/>
        </w:rPr>
        <w:t xml:space="preserve"> refers to the time when God will reign over everyone as king. At that time Jesus will reign with God, and God will give his people the complete freedom that Passover symbolizes. Because Jesus atoned for his people’s sin by his death for them, God will free them completely from sin and death. At that time there will be a great feast, and God’s people will celebrate with Jesus forever.</w:t>
      </w:r>
    </w:p>
    <w:p>
      <w:pPr/>
      <w:r>
        <w:rPr>
          <w:lang w:val="en_US" w:bidi="en_US"/>
        </w:rPr>
      </w:r>
      <w:r>
        <w:rPr>
          <w:lang w:val="en_US" w:bidi="en_US"/>
        </w:rPr>
        <w:t xml:space="preserve">Some ways to translate </w:t>
      </w:r>
      <w:r>
        <w:rPr>
          <w:i/>
          <w:lang w:val="en_US" w:bidi="en_US"/>
        </w:rPr>
        <w:t>in the kingdom of God</w:t>
      </w:r>
      <w:r>
        <w:rPr>
          <w:lang w:val="en_US" w:bidi="en_US"/>
        </w:rPr>
        <w:t xml:space="preserve"> here are:</w:t>
      </w:r>
    </w:p>
    <w:p>
      <w:pPr/>
      <w:r>
        <w:rPr>
          <w:lang w:val="en_US" w:bidi="en_US"/>
        </w:rPr>
      </w:r>
      <w:r>
        <w:rPr>
          <w:lang w:val="en_US" w:bidi="en_US"/>
        </w:rPr>
        <w:t>when God rules his people as king</w:t>
      </w:r>
    </w:p>
    <w:p>
      <w:pPr/>
      <w:r>
        <w:rPr>
          <w:lang w:val="en_US" w:bidi="en_US"/>
        </w:rPr>
      </w:r>
      <w:r>
        <w:rPr>
          <w:lang w:val="en_US" w:bidi="en_US"/>
        </w:rPr>
        <w:t>when God becomes King in the world</w:t>
      </w:r>
      <w:r>
        <w:rPr>
          <w:lang w:val="en_US" w:bidi="en_US"/>
        </w:rPr>
        <w:t>Uma back translation on TW.</w:t>
      </w:r>
    </w:p>
    <w:p>
      <w:pPr/>
      <w:r>
        <w:rPr>
          <w:lang w:val="en_US" w:bidi="en_US"/>
        </w:rPr>
      </w:r>
      <w:r>
        <w:rPr>
          <w:lang w:val="en_US" w:bidi="en_US"/>
        </w:rPr>
        <w:t xml:space="preserve">in God’s </w:t>
      </w:r>
      <w:r>
        <w:rPr>
          <w:lang w:val="en_US" w:bidi="en_US"/>
        </w:rPr>
        <w:t>glorious</w:t>
      </w:r>
      <w:r>
        <w:rPr>
          <w:lang w:val="en_US" w:bidi="en_US"/>
        </w:rPr>
        <w:t xml:space="preserve"> reign/chieftaincy</w:t>
      </w:r>
    </w:p>
    <w:p>
      <w:pPr/>
      <w:r>
        <w:rPr>
          <w:lang w:val="en_US" w:bidi="en_US"/>
        </w:rPr>
      </w:r>
      <w:r>
        <w:rPr>
          <w:b/>
          <w:lang w:val="en_US" w:bidi="en_US"/>
        </w:rPr>
        <w:t>kingdom of God:</w:t>
      </w:r>
      <w:r>
        <w:rPr>
          <w:lang w:val="en_US" w:bidi="en_US"/>
        </w:rPr>
        <w:t xml:space="preserve"> The phrase </w:t>
      </w:r>
      <w:r>
        <w:rPr>
          <w:i/>
          <w:lang w:val="en_US" w:bidi="en_US"/>
        </w:rPr>
        <w:t>kingdom of God</w:t>
      </w:r>
      <w:r>
        <w:rPr>
          <w:lang w:val="en_US" w:bidi="en_US"/>
        </w:rPr>
        <w:t xml:space="preserve"> refers to God’s activity of ruling and caring for his people as their king. It does not refer here to a land or country that he rules over. For more information and translation suggestions, see the note on </w:t>
      </w:r>
      <w:r>
        <w:rPr>
          <w:i/>
          <w:lang w:val="en_US" w:bidi="en_US"/>
        </w:rPr>
        <w:t>kingdom of God</w:t>
      </w:r>
      <w:r>
        <w:rPr>
          <w:lang w:val="en_US" w:bidi="en_US"/>
        </w:rPr>
        <w:t xml:space="preserve"> at 17:20a–b. See also kingdom of God in the Glossary.</w:t>
      </w:r>
      <w:r>
        <w:rPr>
          <w:lang w:val="en_US" w:bidi="en_US"/>
        </w:rPr>
      </w:r>
      <w:r>
        <w:rPr>
          <w:lang w:val="en_US" w:bidi="en_US"/>
        </w:rPr>
      </w:r>
    </w:p>
    <w:p>
      <w:pPr/>
      <w:r>
        <w:rPr>
          <w:lang w:val="en_US" w:bidi="en_US"/>
        </w:rPr>
      </w:r>
    </w:p>
    <w:p>
      <w:pPr>
        <w:pStyle w:val="Heading2"/>
      </w:pPr>
      <w:r>
        <w:rPr>
          <w:lang w:val="en_US" w:bidi="en_US"/>
        </w:rPr>
        <w:t>Luke 22:17</w:t>
      </w:r>
      <w:r>
        <w:rPr>
          <w:lang w:val="en_US" w:bidi="en_US"/>
        </w:rPr>
      </w:r>
    </w:p>
    <w:p>
      <w:pPr>
        <w:pStyle w:val="Heading4"/>
      </w:pPr>
      <w:r>
        <w:rPr>
          <w:lang w:val="en_US" w:bidi="en_US"/>
        </w:rPr>
        <w:t>Section 22:14–23: Jesus gave his disciples bread and wine with a special meaning</w:t>
      </w:r>
    </w:p>
    <w:p>
      <w:pPr/>
      <w:r>
        <w:rPr>
          <w:lang w:val="en_US" w:bidi="en_US"/>
        </w:rPr>
      </w:r>
      <w:r>
        <w:rPr>
          <w:lang w:val="en_US" w:bidi="en_US"/>
        </w:rPr>
        <w:t>In this section Jesus ate his last meal with his twelve disciples before he died. During this Passover meal, Jesus told them about the new covenant that he was making with them. He took bread and gave thanks to God. Then he divided the bread into pieces and gave it to his disciples to share. He said to them, “This is my body, given for you.” After the main meal, he gave his disciples a cup of wine to drink from. He said, “This cup is the new covenant in my blood, which is poured out for you.” When Jesus said these things, he indicated that he would sacrifice himself by dying as a substitute for his disciples to save them from slavery to sin. By doing this, he would fulfill the real meaning of Passover. As God saved the people of Israel who put the blood of the Passover lamb on their doors, he will save the people who trust in Jesus’ sacrifice for them.</w:t>
      </w:r>
    </w:p>
    <w:p>
      <w:pPr/>
      <w:r>
        <w:rPr>
          <w:lang w:val="en_US" w:bidi="en_US"/>
        </w:rPr>
      </w:r>
      <w:r>
        <w:rPr>
          <w:lang w:val="en_US" w:bidi="en_US"/>
        </w:rPr>
        <w:t>Jesus told his disciples to continue to remember him by taking bread and wine as his body and blood given for them. This thanksgiving service is now called the Eucharist, from the Greek word that means “thanksgiving.” It is also called the Lord’s Supper and Holy Communion.</w:t>
      </w:r>
    </w:p>
    <w:p>
      <w:pPr/>
      <w:r>
        <w:rPr>
          <w:lang w:val="en_US" w:bidi="en_US"/>
        </w:rPr>
      </w:r>
      <w:r>
        <w:rPr>
          <w:lang w:val="en_US" w:bidi="en_US"/>
        </w:rPr>
        <w:t>Some other examples of headings for this section are:</w:t>
      </w:r>
    </w:p>
    <w:p>
      <w:pPr/>
      <w:r>
        <w:rPr>
          <w:lang w:val="en_US" w:bidi="en_US"/>
        </w:rPr>
      </w:r>
      <w:r>
        <w:rPr>
          <w:lang w:val="en_US" w:bidi="en_US"/>
        </w:rPr>
        <w:t>The Lord’s Supper (NET)</w:t>
      </w:r>
    </w:p>
    <w:p>
      <w:pPr/>
      <w:r>
        <w:rPr>
          <w:lang w:val="en_US" w:bidi="en_US"/>
        </w:rPr>
      </w:r>
      <w:r>
        <w:rPr>
          <w:lang w:val="en_US" w:bidi="en_US"/>
        </w:rPr>
        <w:t>Jesus established the Thanksgiving/Eucharist celebration</w:t>
      </w:r>
    </w:p>
    <w:p>
      <w:pPr/>
      <w:r>
        <w:rPr>
          <w:lang w:val="en_US" w:bidi="en_US"/>
        </w:rPr>
      </w:r>
      <w:r>
        <w:rPr>
          <w:lang w:val="en_US" w:bidi="en_US"/>
        </w:rPr>
        <w:t>Jesus sacrifices his body and blood to save his disciples</w:t>
      </w:r>
    </w:p>
    <w:p>
      <w:pPr/>
      <w:r>
        <w:rPr>
          <w:lang w:val="en_US" w:bidi="en_US"/>
        </w:rPr>
      </w:r>
      <w:r>
        <w:rPr>
          <w:lang w:val="en_US" w:bidi="en_US"/>
        </w:rPr>
        <w:t>Jesus makes a new covenant with his disciples</w:t>
      </w:r>
    </w:p>
    <w:p>
      <w:pPr/>
      <w:r>
        <w:rPr>
          <w:lang w:val="en_US" w:bidi="en_US"/>
        </w:rPr>
      </w:r>
      <w:r>
        <w:rPr>
          <w:lang w:val="en_US" w:bidi="en_US"/>
        </w:rPr>
        <w:t>There are parallel passages for this section in Matthew 26:26–30, Mark 14:22–26, and 1 Corinthians 11:23–25.</w:t>
      </w:r>
    </w:p>
    <w:p>
      <w:pPr>
        <w:pStyle w:val="Heading5"/>
      </w:pPr>
      <w:r>
        <w:rPr>
          <w:lang w:val="en_US" w:bidi="en_US"/>
        </w:rPr>
        <w:t>22:17a</w:t>
      </w:r>
    </w:p>
    <w:p>
      <w:pPr/>
      <w:r>
        <w:rPr>
          <w:lang w:val="en_US" w:bidi="en_US"/>
        </w:rPr>
      </w:r>
      <w:r>
        <w:rPr>
          <w:b/>
          <w:lang w:val="en_US" w:bidi="en_US"/>
        </w:rPr>
        <w:t>After taking the cup,</w:t>
      </w:r>
    </w:p>
    <w:p>
      <w:pPr>
        <w:pStyle w:val="ListBullet"/>
        <w:spacing w:line="240" w:lineRule="auto"/>
        <w:ind w:left="720"/>
      </w:pPr>
      <w:r>
        <w:rPr>
          <w:lang w:val="en_US" w:bidi="en_US"/>
        </w:rPr>
      </w:r>
      <w:r>
        <w:rPr>
          <w:lang w:val="en_US" w:bidi="en_US"/>
        </w:rPr>
        <w:t xml:space="preserve">¶ Jesus took a cup </w:t>
      </w:r>
      <w:r>
        <w:rPr>
          <w:lang w:val="en_US" w:bidi="en_US"/>
        </w:rPr>
        <w:t>of wine</w:t>
      </w:r>
      <w:r>
        <w:rPr>
          <w:lang w:val="en_US" w:bidi="en_US"/>
        </w:rPr>
        <w:t xml:space="preserve"> </w:t>
      </w:r>
      <w:r>
        <w:rPr>
          <w:lang w:val="en_US" w:bidi="en_US"/>
        </w:rPr>
        <w:t>in his hands</w:t>
      </w:r>
    </w:p>
    <w:p>
      <w:pPr>
        <w:pStyle w:val="ListBullet"/>
        <w:spacing w:line="240" w:lineRule="auto"/>
        <w:ind w:left="720"/>
      </w:pPr>
      <w:r>
        <w:rPr>
          <w:lang w:val="en_US" w:bidi="en_US"/>
        </w:rPr>
      </w:r>
      <w:r>
        <w:rPr>
          <w:lang w:val="en_US" w:bidi="en_US"/>
        </w:rPr>
        <w:t xml:space="preserve">¶ Then Jesus took a cup </w:t>
      </w:r>
      <w:r>
        <w:rPr>
          <w:lang w:val="en_US" w:bidi="en_US"/>
        </w:rPr>
        <w:t>containing wine</w:t>
      </w:r>
      <w:r>
        <w:rPr>
          <w:lang w:val="en_US" w:bidi="en_US"/>
        </w:rPr>
        <w:t xml:space="preserve"> </w:t>
      </w:r>
      <w:r>
        <w:rPr>
          <w:lang w:val="en_US" w:bidi="en_US"/>
        </w:rPr>
        <w:t>from the table</w:t>
      </w:r>
      <w:r>
        <w:rPr>
          <w:lang w:val="en_US" w:bidi="en_US"/>
        </w:rPr>
        <w:t>.</w:t>
      </w:r>
    </w:p>
    <w:p>
      <w:pPr/>
      <w:r>
        <w:rPr>
          <w:lang w:val="en_US" w:bidi="en_US"/>
        </w:rPr>
      </w:r>
      <w:r>
        <w:rPr>
          <w:b/>
          <w:lang w:val="en_US" w:bidi="en_US"/>
        </w:rPr>
        <w:t>After taking the cup:</w:t>
      </w:r>
      <w:r>
        <w:rPr>
          <w:lang w:val="en_US" w:bidi="en_US"/>
        </w:rPr>
        <w:t xml:space="preserve"> The Greek phrase that the BSB translates as </w:t>
      </w:r>
      <w:r>
        <w:rPr>
          <w:i/>
          <w:lang w:val="en_US" w:bidi="en_US"/>
        </w:rPr>
        <w:t>After taking the cup</w:t>
      </w:r>
      <w:r>
        <w:rPr>
          <w:lang w:val="en_US" w:bidi="en_US"/>
        </w:rPr>
        <w:t xml:space="preserve"> is literally “and having taken a cup.” This cup was full of wine.</w:t>
      </w:r>
      <w:r>
        <w:rPr>
          <w:lang w:val="en_US" w:bidi="en_US"/>
        </w:rPr>
        <w:t>This wine reminded the Jews of the lamb’s blood that their ancestors put over their doors so that their firstborn sons would be saved from death. It was the Jewish tradition to drink several cups of wine during the Passover meal. To make wine, the Jews allowed some grape juice to ferment, but other grape juice, they did not allow to ferment; in both cases, they called the product “wine.”</w:t>
      </w:r>
      <w:r>
        <w:rPr>
          <w:lang w:val="en_US" w:bidi="en_US"/>
        </w:rPr>
        <w:t xml:space="preserve"> In some languages it may be necessary to make this explicit. For example:</w:t>
      </w:r>
    </w:p>
    <w:p>
      <w:pPr/>
      <w:r>
        <w:rPr>
          <w:lang w:val="en_US" w:bidi="en_US"/>
        </w:rPr>
      </w:r>
      <w:r>
        <w:rPr>
          <w:lang w:val="en_US" w:bidi="en_US"/>
        </w:rPr>
        <w:t>Then he took a cup of wine (NLT)</w:t>
      </w:r>
    </w:p>
    <w:p>
      <w:pPr/>
      <w:r>
        <w:rPr>
          <w:lang w:val="en_US" w:bidi="en_US"/>
        </w:rPr>
      </w:r>
      <w:r>
        <w:rPr>
          <w:lang w:val="en_US" w:bidi="en_US"/>
        </w:rPr>
        <w:t>And then Jesus got a cup filled with wine</w:t>
      </w:r>
      <w:r>
        <w:rPr>
          <w:lang w:val="en_US" w:bidi="en_US"/>
        </w:rPr>
        <w:t>Western Bukidnon Manobo back translation on TW.</w:t>
      </w:r>
    </w:p>
    <w:p>
      <w:pPr/>
      <w:r>
        <w:rPr>
          <w:lang w:val="en_US" w:bidi="en_US"/>
        </w:rPr>
      </w:r>
      <w:r>
        <w:rPr>
          <w:lang w:val="en_US" w:bidi="en_US"/>
        </w:rPr>
        <w:t>Then Jesus took a cup in which was put grape juice</w:t>
      </w:r>
      <w:r>
        <w:rPr>
          <w:lang w:val="en_US" w:bidi="en_US"/>
        </w:rPr>
        <w:t>Kankanaey back translation on TW.</w:t>
      </w:r>
    </w:p>
    <w:p>
      <w:pPr/>
      <w:r>
        <w:rPr>
          <w:lang w:val="en_US" w:bidi="en_US"/>
        </w:rPr>
      </w:r>
      <w:r>
        <w:rPr>
          <w:b/>
          <w:lang w:val="en_US" w:bidi="en_US"/>
        </w:rPr>
        <w:t>taking:</w:t>
      </w:r>
      <w:r>
        <w:rPr>
          <w:lang w:val="en_US" w:bidi="en_US"/>
        </w:rPr>
        <w:t xml:space="preserve"> The Greek verb that the BSB translates as </w:t>
      </w:r>
      <w:r>
        <w:rPr>
          <w:i/>
          <w:lang w:val="en_US" w:bidi="en_US"/>
        </w:rPr>
        <w:t>taking</w:t>
      </w:r>
      <w:r>
        <w:rPr>
          <w:lang w:val="en_US" w:bidi="en_US"/>
        </w:rPr>
        <w:t xml:space="preserve"> indicates here that Jesus took the cup in his hands. He probably lifted the cup from the table, rather than receiving it from someone. In some languages it may be helpful to make this explicit. For example:</w:t>
      </w:r>
    </w:p>
    <w:p>
      <w:pPr/>
      <w:r>
        <w:rPr>
          <w:lang w:val="en_US" w:bidi="en_US"/>
        </w:rPr>
      </w:r>
      <w:r>
        <w:rPr>
          <w:lang w:val="en_US" w:bidi="en_US"/>
        </w:rPr>
        <w:t>Jesus took a cup of wine in his hands (CEV)</w:t>
      </w:r>
    </w:p>
    <w:p>
      <w:pPr/>
      <w:r>
        <w:rPr>
          <w:lang w:val="en_US" w:bidi="en_US"/>
        </w:rPr>
      </w:r>
      <w:r>
        <w:rPr>
          <w:lang w:val="en_US" w:bidi="en_US"/>
        </w:rPr>
        <w:t xml:space="preserve">Jesus took a cup of wine </w:t>
      </w:r>
      <w:r>
        <w:rPr>
          <w:lang w:val="en_US" w:bidi="en_US"/>
        </w:rPr>
        <w:t>from the table</w:t>
      </w:r>
    </w:p>
    <w:p>
      <w:pPr/>
      <w:r>
        <w:rPr>
          <w:lang w:val="en_US" w:bidi="en_US"/>
        </w:rPr>
      </w:r>
      <w:r>
        <w:rPr>
          <w:b/>
          <w:lang w:val="en_US" w:bidi="en_US"/>
        </w:rPr>
        <w:t>cup:</w:t>
      </w:r>
      <w:r>
        <w:rPr>
          <w:lang w:val="en_US" w:bidi="en_US"/>
        </w:rPr>
        <w:t xml:space="preserve"> The word </w:t>
      </w:r>
      <w:r>
        <w:rPr>
          <w:i/>
          <w:lang w:val="en_US" w:bidi="en_US"/>
        </w:rPr>
        <w:t>cup</w:t>
      </w:r>
      <w:r>
        <w:rPr>
          <w:lang w:val="en_US" w:bidi="en_US"/>
        </w:rPr>
        <w:t xml:space="preserve"> refers here to a cup or bowl probably made from clay. In your translation you may use the name of a container that people normally drink from.</w:t>
      </w:r>
    </w:p>
    <w:p>
      <w:pPr/>
      <w:r>
        <w:rPr>
          <w:lang w:val="en_US" w:bidi="en_US"/>
        </w:rPr>
      </w:r>
      <w:r>
        <w:rPr>
          <w:lang w:val="en_US" w:bidi="en_US"/>
        </w:rPr>
        <w:t xml:space="preserve">In this context the word </w:t>
      </w:r>
      <w:r>
        <w:rPr>
          <w:i/>
          <w:lang w:val="en_US" w:bidi="en_US"/>
        </w:rPr>
        <w:t>cup</w:t>
      </w:r>
      <w:r>
        <w:rPr>
          <w:lang w:val="en_US" w:bidi="en_US"/>
        </w:rPr>
        <w:t xml:space="preserve"> includes what was in the cup. As mentioned above, the cup contained wine. Wine is an alcoholic drink. It is made from the juice of a fruit called grapes. When grape juice ferments, it becomes wine.</w:t>
      </w:r>
    </w:p>
    <w:p>
      <w:pPr/>
      <w:r>
        <w:rPr>
          <w:lang w:val="en_US" w:bidi="en_US"/>
        </w:rPr>
      </w:r>
      <w:r>
        <w:rPr>
          <w:lang w:val="en_US" w:bidi="en_US"/>
        </w:rPr>
        <w:t>In some areas, people may not be familiar with wine. If that is true in your language, some other ways to translate “wine” are:</w:t>
      </w:r>
    </w:p>
    <w:p>
      <w:pPr>
        <w:pStyle w:val="ListBullet"/>
        <w:spacing w:line="240" w:lineRule="auto"/>
        <w:ind w:left="720"/>
      </w:pPr>
      <w:r>
        <w:rPr>
          <w:lang w:val="en_US" w:bidi="en_US"/>
        </w:rPr>
      </w:r>
      <w:r>
        <w:rPr>
          <w:lang w:val="en_US" w:bidi="en_US"/>
        </w:rPr>
        <w:t>Use a general term for an alcoholic drink.</w:t>
      </w:r>
    </w:p>
    <w:p>
      <w:pPr>
        <w:pStyle w:val="ListBullet"/>
        <w:spacing w:line="240" w:lineRule="auto"/>
        <w:ind w:left="720"/>
      </w:pPr>
      <w:r>
        <w:rPr>
          <w:lang w:val="en_US" w:bidi="en_US"/>
        </w:rPr>
      </w:r>
      <w:r>
        <w:rPr>
          <w:lang w:val="en_US" w:bidi="en_US"/>
        </w:rPr>
        <w:t>Use a more specific term that can also be used to refer to alcoholic drinks in general.</w:t>
      </w:r>
    </w:p>
    <w:p>
      <w:pPr>
        <w:pStyle w:val="ListBullet"/>
        <w:spacing w:line="240" w:lineRule="auto"/>
        <w:ind w:left="720"/>
      </w:pPr>
      <w:r>
        <w:rPr>
          <w:lang w:val="en_US" w:bidi="en_US"/>
        </w:rPr>
      </w:r>
      <w:r>
        <w:rPr>
          <w:lang w:val="en_US" w:bidi="en_US"/>
        </w:rPr>
        <w:t>Use a descriptive phrase. For example:</w:t>
      </w:r>
      <w:r>
        <w:rPr>
          <w:lang w:val="en_US" w:bidi="en_US"/>
        </w:rPr>
        <w:t>fruit juice/water</w:t>
      </w:r>
      <w:r>
        <w:rPr>
          <w:lang w:val="en_US" w:bidi="en_US"/>
        </w:rPr>
        <w:t>grape juice</w:t>
      </w:r>
      <w:r>
        <w:rPr>
          <w:lang w:val="en_US" w:bidi="en_US"/>
        </w:rPr>
        <w:t>fermented grape juice</w:t>
      </w:r>
    </w:p>
    <w:p>
      <w:pPr/>
      <w:r>
        <w:rPr>
          <w:lang w:val="en_US" w:bidi="en_US"/>
        </w:rPr>
      </w:r>
      <w:r>
        <w:rPr>
          <w:lang w:val="en_US" w:bidi="en_US"/>
        </w:rPr>
        <w:t>Jesus also gave wine to his apostles in 22:20, when he established Communion. Consider how the churches in your area refer to the drink that is used for Communion. The word “wine” occurs in 1:15, 5:37–39, 7:33, and 10:34. See how you translated it there, and consider whether you should use the same word here. Use an appropriate option for your language.</w:t>
      </w:r>
    </w:p>
    <w:p>
      <w:pPr>
        <w:pStyle w:val="Heading5"/>
      </w:pPr>
      <w:r>
        <w:rPr>
          <w:lang w:val="en_US" w:bidi="en_US"/>
        </w:rPr>
        <w:t>22:17b</w:t>
      </w:r>
    </w:p>
    <w:p>
      <w:pPr/>
      <w:r>
        <w:rPr>
          <w:lang w:val="en_US" w:bidi="en_US"/>
        </w:rPr>
      </w:r>
      <w:r>
        <w:rPr>
          <w:b/>
          <w:lang w:val="en_US" w:bidi="en_US"/>
        </w:rPr>
        <w:t>He gave thanks and said,</w:t>
      </w:r>
    </w:p>
    <w:p>
      <w:pPr>
        <w:pStyle w:val="ListBullet"/>
        <w:spacing w:line="240" w:lineRule="auto"/>
        <w:ind w:left="720"/>
      </w:pPr>
      <w:r>
        <w:rPr>
          <w:lang w:val="en_US" w:bidi="en_US"/>
        </w:rPr>
      </w:r>
      <w:r>
        <w:rPr>
          <w:lang w:val="en_US" w:bidi="en_US"/>
        </w:rPr>
        <w:t xml:space="preserve">and thanked </w:t>
      </w:r>
      <w:r>
        <w:rPr>
          <w:lang w:val="en_US" w:bidi="en_US"/>
        </w:rPr>
        <w:t>God</w:t>
      </w:r>
      <w:r>
        <w:rPr>
          <w:lang w:val="en_US" w:bidi="en_US"/>
        </w:rPr>
        <w:t xml:space="preserve">. Then he said </w:t>
      </w:r>
      <w:r>
        <w:rPr>
          <w:lang w:val="en_US" w:bidi="en_US"/>
        </w:rPr>
        <w:t>to them</w:t>
      </w:r>
      <w:r>
        <w:rPr>
          <w:lang w:val="en_US" w:bidi="en_US"/>
        </w:rPr>
        <w:t>,</w:t>
      </w:r>
    </w:p>
    <w:p>
      <w:pPr>
        <w:pStyle w:val="ListBullet"/>
        <w:spacing w:line="240" w:lineRule="auto"/>
        <w:ind w:left="720"/>
      </w:pPr>
      <w:r>
        <w:rPr>
          <w:lang w:val="en_US" w:bidi="en_US"/>
        </w:rPr>
      </w:r>
      <w:r>
        <w:rPr>
          <w:lang w:val="en_US" w:bidi="en_US"/>
        </w:rPr>
        <w:t xml:space="preserve">After thanking </w:t>
      </w:r>
      <w:r>
        <w:rPr>
          <w:lang w:val="en_US" w:bidi="en_US"/>
        </w:rPr>
        <w:t>God</w:t>
      </w:r>
      <w:r>
        <w:rPr>
          <w:lang w:val="en_US" w:bidi="en_US"/>
        </w:rPr>
        <w:t xml:space="preserve"> </w:t>
      </w:r>
      <w:r>
        <w:rPr>
          <w:lang w:val="en_US" w:bidi="en_US"/>
        </w:rPr>
        <w:t>for it</w:t>
      </w:r>
      <w:r>
        <w:rPr>
          <w:lang w:val="en_US" w:bidi="en_US"/>
        </w:rPr>
        <w:t xml:space="preserve">, he said </w:t>
      </w:r>
      <w:r>
        <w:rPr>
          <w:lang w:val="en_US" w:bidi="en_US"/>
        </w:rPr>
        <w:t>to his disciples</w:t>
      </w:r>
      <w:r>
        <w:rPr>
          <w:lang w:val="en_US" w:bidi="en_US"/>
        </w:rPr>
        <w:t>,</w:t>
      </w:r>
    </w:p>
    <w:p>
      <w:pPr/>
      <w:r>
        <w:rPr>
          <w:lang w:val="en_US" w:bidi="en_US"/>
        </w:rPr>
      </w:r>
      <w:r>
        <w:rPr>
          <w:b/>
          <w:lang w:val="en_US" w:bidi="en_US"/>
        </w:rPr>
        <w:t>He gave thanks and said:</w:t>
      </w:r>
      <w:r>
        <w:rPr>
          <w:lang w:val="en_US" w:bidi="en_US"/>
        </w:rPr>
        <w:t xml:space="preserve"> The phrase </w:t>
      </w:r>
      <w:r>
        <w:rPr>
          <w:i/>
          <w:lang w:val="en_US" w:bidi="en_US"/>
        </w:rPr>
        <w:t>He gave thanks</w:t>
      </w:r>
      <w:r>
        <w:rPr>
          <w:lang w:val="en_US" w:bidi="en_US"/>
        </w:rPr>
        <w:t xml:space="preserve"> indicates that Jesus thanked God for the wine. After he thanked God, he spoke to the apostles, saying the words in 22:17c. Be sure that this is clear in your translation. Some other ways to translate </w:t>
      </w:r>
      <w:r>
        <w:rPr>
          <w:i/>
          <w:lang w:val="en_US" w:bidi="en_US"/>
        </w:rPr>
        <w:t>He gave thanks and said</w:t>
      </w:r>
      <w:r>
        <w:rPr>
          <w:lang w:val="en_US" w:bidi="en_US"/>
        </w:rPr>
        <w:t xml:space="preserve"> are:</w:t>
      </w:r>
    </w:p>
    <w:p>
      <w:pPr/>
      <w:r>
        <w:rPr>
          <w:lang w:val="en_US" w:bidi="en_US"/>
        </w:rPr>
      </w:r>
      <w:r>
        <w:rPr>
          <w:lang w:val="en_US" w:bidi="en_US"/>
        </w:rPr>
        <w:t>after giving thanks to God for it, he said to the apostles</w:t>
      </w:r>
    </w:p>
    <w:p>
      <w:pPr/>
      <w:r>
        <w:rPr>
          <w:lang w:val="en_US" w:bidi="en_US"/>
        </w:rPr>
      </w:r>
      <w:r>
        <w:rPr>
          <w:lang w:val="en_US" w:bidi="en_US"/>
        </w:rPr>
        <w:t>he said thank you to God, and he said to his disciples</w:t>
      </w:r>
      <w:r>
        <w:rPr>
          <w:lang w:val="en_US" w:bidi="en_US"/>
        </w:rPr>
        <w:t>Uma back translation on TW.</w:t>
      </w:r>
    </w:p>
    <w:p>
      <w:pPr>
        <w:pStyle w:val="Heading5"/>
      </w:pPr>
      <w:r>
        <w:rPr>
          <w:lang w:val="en_US" w:bidi="en_US"/>
        </w:rPr>
        <w:t>22:17c</w:t>
      </w:r>
    </w:p>
    <w:p>
      <w:pPr/>
      <w:r>
        <w:rPr>
          <w:lang w:val="en_US" w:bidi="en_US"/>
        </w:rPr>
      </w:r>
      <w:r>
        <w:rPr>
          <w:b/>
          <w:lang w:val="en_US" w:bidi="en_US"/>
        </w:rPr>
        <w:t>“Take this and divide it among yourselves.</w:t>
      </w:r>
    </w:p>
    <w:p>
      <w:pPr>
        <w:pStyle w:val="ListBullet"/>
        <w:spacing w:line="240" w:lineRule="auto"/>
        <w:ind w:left="720"/>
      </w:pPr>
      <w:r>
        <w:rPr>
          <w:lang w:val="en_US" w:bidi="en_US"/>
        </w:rPr>
      </w:r>
      <w:r>
        <w:rPr>
          <w:lang w:val="en_US" w:bidi="en_US"/>
        </w:rPr>
        <w:t>“Take</w:t>
      </w:r>
      <w:r>
        <w:rPr>
          <w:vertAlign w:val="superscript"/>
          <w:lang w:val="en_US" w:bidi="en_US"/>
        </w:rPr>
        <w:t>(plur)</w:t>
      </w:r>
      <w:r>
        <w:rPr>
          <w:lang w:val="en_US" w:bidi="en_US"/>
        </w:rPr>
        <w:t xml:space="preserve"> this </w:t>
      </w:r>
      <w:r>
        <w:rPr>
          <w:lang w:val="en_US" w:bidi="en_US"/>
        </w:rPr>
        <w:t>cup of wine</w:t>
      </w:r>
      <w:r>
        <w:rPr>
          <w:lang w:val="en_US" w:bidi="en_US"/>
        </w:rPr>
        <w:t xml:space="preserve"> and share it among yourselves.</w:t>
      </w:r>
    </w:p>
    <w:p>
      <w:pPr>
        <w:pStyle w:val="ListBullet"/>
        <w:spacing w:line="240" w:lineRule="auto"/>
        <w:ind w:left="720"/>
      </w:pPr>
      <w:r>
        <w:rPr>
          <w:lang w:val="en_US" w:bidi="en_US"/>
        </w:rPr>
      </w:r>
      <w:r>
        <w:rPr>
          <w:lang w:val="en_US" w:bidi="en_US"/>
        </w:rPr>
        <w:t>“</w:t>
      </w:r>
      <w:r>
        <w:rPr>
          <w:lang w:val="en_US" w:bidi="en_US"/>
        </w:rPr>
        <w:t>Each of</w:t>
      </w:r>
      <w:r>
        <w:rPr>
          <w:lang w:val="en_US" w:bidi="en_US"/>
        </w:rPr>
        <w:t xml:space="preserve"> you</w:t>
      </w:r>
      <w:r>
        <w:rPr>
          <w:vertAlign w:val="superscript"/>
          <w:lang w:val="en_US" w:bidi="en_US"/>
        </w:rPr>
        <w:t>(plur)</w:t>
      </w:r>
      <w:r>
        <w:rPr>
          <w:lang w:val="en_US" w:bidi="en_US"/>
        </w:rPr>
        <w:t xml:space="preserve"> receive this </w:t>
      </w:r>
      <w:r>
        <w:rPr>
          <w:lang w:val="en_US" w:bidi="en_US"/>
        </w:rPr>
        <w:t>cup of wine</w:t>
      </w:r>
      <w:r>
        <w:rPr>
          <w:lang w:val="en_US" w:bidi="en_US"/>
        </w:rPr>
        <w:t xml:space="preserve"> and drink </w:t>
      </w:r>
      <w:r>
        <w:rPr>
          <w:lang w:val="en_US" w:bidi="en_US"/>
        </w:rPr>
        <w:t>in turn</w:t>
      </w:r>
      <w:r>
        <w:rPr>
          <w:lang w:val="en_US" w:bidi="en_US"/>
        </w:rPr>
        <w:t xml:space="preserve"> from it.</w:t>
      </w:r>
    </w:p>
    <w:p>
      <w:pPr>
        <w:pStyle w:val="ListBullet"/>
        <w:spacing w:line="240" w:lineRule="auto"/>
        <w:ind w:left="720"/>
      </w:pPr>
      <w:r>
        <w:rPr>
          <w:lang w:val="en_US" w:bidi="en_US"/>
        </w:rPr>
      </w:r>
      <w:r>
        <w:rPr>
          <w:lang w:val="en_US" w:bidi="en_US"/>
        </w:rPr>
        <w:t>“Pass</w:t>
      </w:r>
      <w:r>
        <w:rPr>
          <w:vertAlign w:val="superscript"/>
          <w:lang w:val="en_US" w:bidi="en_US"/>
        </w:rPr>
        <w:t>(plur)</w:t>
      </w:r>
      <w:r>
        <w:rPr>
          <w:lang w:val="en_US" w:bidi="en_US"/>
        </w:rPr>
        <w:t xml:space="preserve"> this </w:t>
      </w:r>
      <w:r>
        <w:rPr>
          <w:lang w:val="en_US" w:bidi="en_US"/>
        </w:rPr>
        <w:t>cup</w:t>
      </w:r>
      <w:r>
        <w:rPr>
          <w:lang w:val="en_US" w:bidi="en_US"/>
        </w:rPr>
        <w:t xml:space="preserve"> around and share </w:t>
      </w:r>
      <w:r>
        <w:rPr>
          <w:lang w:val="en_US" w:bidi="en_US"/>
        </w:rPr>
        <w:t>the wine</w:t>
      </w:r>
      <w:r>
        <w:rPr>
          <w:lang w:val="en_US" w:bidi="en_US"/>
        </w:rPr>
        <w:t xml:space="preserve"> together.</w:t>
      </w:r>
    </w:p>
    <w:p>
      <w:pPr/>
      <w:r>
        <w:rPr>
          <w:lang w:val="en_US" w:bidi="en_US"/>
        </w:rPr>
      </w:r>
      <w:r>
        <w:rPr>
          <w:b/>
          <w:lang w:val="en_US" w:bidi="en_US"/>
        </w:rPr>
        <w:t>Take this and divide it among yourselves:</w:t>
      </w:r>
      <w:r>
        <w:rPr>
          <w:lang w:val="en_US" w:bidi="en_US"/>
        </w:rPr>
        <w:t xml:space="preserve"> Jesus handed the cup to one of his apostles, but he was giving it to all of them. He wanted his apostles to pass the cup from one apostle to another. Each apostle would then either drink from the same cup or pour some of the wine into his own cup. Consider whether in your own language both commands should be plural, as they are in the Greek text. Other ways to translate it are:</w:t>
      </w:r>
    </w:p>
    <w:p>
      <w:pPr/>
      <w:r>
        <w:rPr>
          <w:lang w:val="en_US" w:bidi="en_US"/>
        </w:rPr>
      </w:r>
      <w:r>
        <w:rPr>
          <w:lang w:val="en_US" w:bidi="en_US"/>
        </w:rPr>
        <w:t xml:space="preserve">Take this </w:t>
      </w:r>
      <w:r>
        <w:rPr>
          <w:lang w:val="en_US" w:bidi="en_US"/>
        </w:rPr>
        <w:t>wine</w:t>
      </w:r>
      <w:r>
        <w:rPr>
          <w:lang w:val="en_US" w:bidi="en_US"/>
        </w:rPr>
        <w:t xml:space="preserve"> and share it among yourselves.</w:t>
      </w:r>
    </w:p>
    <w:p>
      <w:pPr/>
      <w:r>
        <w:rPr>
          <w:lang w:val="en_US" w:bidi="en_US"/>
        </w:rPr>
      </w:r>
      <w:r>
        <w:rPr>
          <w:lang w:val="en_US" w:bidi="en_US"/>
        </w:rPr>
        <w:t>Each of you drink from this cup.</w:t>
      </w:r>
    </w:p>
    <w:p>
      <w:pPr/>
      <w:r>
        <w:rPr>
          <w:lang w:val="en_US" w:bidi="en_US"/>
        </w:rPr>
      </w:r>
      <w:r>
        <w:rPr>
          <w:lang w:val="en_US" w:bidi="en_US"/>
        </w:rPr>
        <w:t>All of you, drink some of this.</w:t>
      </w:r>
      <w:r>
        <w:rPr>
          <w:lang w:val="en_US" w:bidi="en_US"/>
        </w:rPr>
        <w:t>Western Bukidnon Manobo back translation on TW.</w:t>
      </w:r>
    </w:p>
    <w:p>
      <w:pPr/>
      <w:r>
        <w:rPr>
          <w:lang w:val="en_US" w:bidi="en_US"/>
        </w:rPr>
      </w:r>
      <w:r>
        <w:rPr>
          <w:b/>
          <w:lang w:val="en_US" w:bidi="en_US"/>
        </w:rPr>
        <w:t>divide it:</w:t>
      </w:r>
      <w:r>
        <w:rPr>
          <w:lang w:val="en_US" w:bidi="en_US"/>
        </w:rPr>
        <w:t xml:space="preserve"> The Greek verb that the BSB translates literally as </w:t>
      </w:r>
      <w:r>
        <w:rPr>
          <w:i/>
          <w:lang w:val="en_US" w:bidi="en_US"/>
        </w:rPr>
        <w:t>divide</w:t>
      </w:r>
      <w:r>
        <w:rPr>
          <w:lang w:val="en_US" w:bidi="en_US"/>
        </w:rPr>
        <w:t xml:space="preserve"> means “to distribute.” Here it refers to sharing the wine that was in the cup. Refer to this action in a natural way in your language. In some languages a separate word for </w:t>
      </w:r>
      <w:r>
        <w:rPr>
          <w:i/>
          <w:lang w:val="en_US" w:bidi="en_US"/>
        </w:rPr>
        <w:t>divide</w:t>
      </w:r>
      <w:r>
        <w:rPr>
          <w:lang w:val="en_US" w:bidi="en_US"/>
        </w:rPr>
        <w:t xml:space="preserve"> may not be necessary. See the final two examples in the preceding note.</w:t>
      </w:r>
      <w:r>
        <w:rPr>
          <w:lang w:val="en_US" w:bidi="en_US"/>
        </w:rPr>
      </w:r>
      <w:r>
        <w:rPr>
          <w:lang w:val="en_US" w:bidi="en_US"/>
        </w:rPr>
      </w:r>
    </w:p>
    <w:p>
      <w:pPr/>
      <w:r>
        <w:rPr>
          <w:lang w:val="en_US" w:bidi="en_US"/>
        </w:rPr>
      </w:r>
    </w:p>
    <w:p>
      <w:pPr>
        <w:pStyle w:val="Heading2"/>
      </w:pPr>
      <w:r>
        <w:rPr>
          <w:lang w:val="en_US" w:bidi="en_US"/>
        </w:rPr>
        <w:t>Luke 22:18</w:t>
      </w:r>
      <w:r>
        <w:rPr>
          <w:lang w:val="en_US" w:bidi="en_US"/>
        </w:rPr>
      </w:r>
    </w:p>
    <w:p>
      <w:pPr>
        <w:pStyle w:val="Heading4"/>
      </w:pPr>
      <w:r>
        <w:rPr>
          <w:lang w:val="en_US" w:bidi="en_US"/>
        </w:rPr>
        <w:t>Section 22:14–23: Jesus gave his disciples bread and wine with a special meaning</w:t>
      </w:r>
    </w:p>
    <w:p>
      <w:pPr/>
      <w:r>
        <w:rPr>
          <w:lang w:val="en_US" w:bidi="en_US"/>
        </w:rPr>
      </w:r>
      <w:r>
        <w:rPr>
          <w:lang w:val="en_US" w:bidi="en_US"/>
        </w:rPr>
        <w:t>In this section Jesus ate his last meal with his twelve disciples before he died. During this Passover meal, Jesus told them about the new covenant that he was making with them. He took bread and gave thanks to God. Then he divided the bread into pieces and gave it to his disciples to share. He said to them, “This is my body, given for you.” After the main meal, he gave his disciples a cup of wine to drink from. He said, “This cup is the new covenant in my blood, which is poured out for you.” When Jesus said these things, he indicated that he would sacrifice himself by dying as a substitute for his disciples to save them from slavery to sin. By doing this, he would fulfill the real meaning of Passover. As God saved the people of Israel who put the blood of the Passover lamb on their doors, he will save the people who trust in Jesus’ sacrifice for them.</w:t>
      </w:r>
    </w:p>
    <w:p>
      <w:pPr/>
      <w:r>
        <w:rPr>
          <w:lang w:val="en_US" w:bidi="en_US"/>
        </w:rPr>
      </w:r>
      <w:r>
        <w:rPr>
          <w:lang w:val="en_US" w:bidi="en_US"/>
        </w:rPr>
        <w:t>Jesus told his disciples to continue to remember him by taking bread and wine as his body and blood given for them. This thanksgiving service is now called the Eucharist, from the Greek word that means “thanksgiving.” It is also called the Lord’s Supper and Holy Communion.</w:t>
      </w:r>
    </w:p>
    <w:p>
      <w:pPr/>
      <w:r>
        <w:rPr>
          <w:lang w:val="en_US" w:bidi="en_US"/>
        </w:rPr>
      </w:r>
      <w:r>
        <w:rPr>
          <w:lang w:val="en_US" w:bidi="en_US"/>
        </w:rPr>
        <w:t>Some other examples of headings for this section are:</w:t>
      </w:r>
    </w:p>
    <w:p>
      <w:pPr/>
      <w:r>
        <w:rPr>
          <w:lang w:val="en_US" w:bidi="en_US"/>
        </w:rPr>
      </w:r>
      <w:r>
        <w:rPr>
          <w:lang w:val="en_US" w:bidi="en_US"/>
        </w:rPr>
        <w:t>The Lord’s Supper (NET)</w:t>
      </w:r>
    </w:p>
    <w:p>
      <w:pPr/>
      <w:r>
        <w:rPr>
          <w:lang w:val="en_US" w:bidi="en_US"/>
        </w:rPr>
      </w:r>
      <w:r>
        <w:rPr>
          <w:lang w:val="en_US" w:bidi="en_US"/>
        </w:rPr>
        <w:t>Jesus established the Thanksgiving/Eucharist celebration</w:t>
      </w:r>
    </w:p>
    <w:p>
      <w:pPr/>
      <w:r>
        <w:rPr>
          <w:lang w:val="en_US" w:bidi="en_US"/>
        </w:rPr>
      </w:r>
      <w:r>
        <w:rPr>
          <w:lang w:val="en_US" w:bidi="en_US"/>
        </w:rPr>
        <w:t>Jesus sacrifices his body and blood to save his disciples</w:t>
      </w:r>
    </w:p>
    <w:p>
      <w:pPr/>
      <w:r>
        <w:rPr>
          <w:lang w:val="en_US" w:bidi="en_US"/>
        </w:rPr>
      </w:r>
      <w:r>
        <w:rPr>
          <w:lang w:val="en_US" w:bidi="en_US"/>
        </w:rPr>
        <w:t>Jesus makes a new covenant with his disciples</w:t>
      </w:r>
    </w:p>
    <w:p>
      <w:pPr/>
      <w:r>
        <w:rPr>
          <w:lang w:val="en_US" w:bidi="en_US"/>
        </w:rPr>
      </w:r>
      <w:r>
        <w:rPr>
          <w:lang w:val="en_US" w:bidi="en_US"/>
        </w:rPr>
        <w:t>There are parallel passages for this section in Matthew 26:26–30, Mark 14:22–26, and 1 Corinthians 11:23–25.</w:t>
      </w:r>
    </w:p>
    <w:p>
      <w:pPr>
        <w:pStyle w:val="Heading5"/>
      </w:pPr>
      <w:r>
        <w:rPr>
          <w:lang w:val="en_US" w:bidi="en_US"/>
        </w:rPr>
        <w:t>22:18</w:t>
      </w:r>
    </w:p>
    <w:p>
      <w:pPr/>
      <w:r>
        <w:rPr>
          <w:lang w:val="en_US" w:bidi="en_US"/>
        </w:rPr>
      </w:r>
      <w:r>
        <w:rPr>
          <w:lang w:val="en_US" w:bidi="en_US"/>
        </w:rPr>
        <w:t>This verse is very similar to 22:16. In that verse Jesus told his apostles that he would not celebrate the Passover with them again until the kingdom of God comes. In this verse he told them that he would not drink wine again until the kingdom of God comes. Translate this verse in a similar way as you translated 22:16.</w:t>
      </w:r>
    </w:p>
    <w:p>
      <w:pPr>
        <w:pStyle w:val="Heading5"/>
      </w:pPr>
      <w:r>
        <w:rPr>
          <w:lang w:val="en_US" w:bidi="en_US"/>
        </w:rPr>
        <w:t>22:18a</w:t>
      </w:r>
    </w:p>
    <w:p>
      <w:pPr/>
      <w:r>
        <w:rPr>
          <w:lang w:val="en_US" w:bidi="en_US"/>
        </w:rPr>
      </w:r>
      <w:r>
        <w:rPr>
          <w:b/>
          <w:lang w:val="en_US" w:bidi="en_US"/>
        </w:rPr>
        <w:t>For I tell you that</w:t>
      </w:r>
    </w:p>
    <w:p>
      <w:pPr>
        <w:pStyle w:val="ListBullet"/>
        <w:spacing w:line="240" w:lineRule="auto"/>
        <w:ind w:left="720"/>
      </w:pPr>
      <w:r>
        <w:rPr>
          <w:lang w:val="en_US" w:bidi="en_US"/>
        </w:rPr>
      </w:r>
      <w:r>
        <w:rPr>
          <w:lang w:val="en_US" w:bidi="en_US"/>
        </w:rPr>
        <w:t>For I tell you</w:t>
      </w:r>
      <w:r>
        <w:rPr>
          <w:vertAlign w:val="superscript"/>
          <w:lang w:val="en_US" w:bidi="en_US"/>
        </w:rPr>
        <w:t>(plur)</w:t>
      </w:r>
      <w:r>
        <w:rPr>
          <w:lang w:val="en_US" w:bidi="en_US"/>
        </w:rPr>
        <w:t xml:space="preserve"> this:</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xml:space="preserve"> that</w:t>
      </w:r>
    </w:p>
    <w:p>
      <w:pPr/>
      <w:r>
        <w:rPr>
          <w:lang w:val="en_US" w:bidi="en_US"/>
        </w:rPr>
      </w:r>
      <w:r>
        <w:rPr>
          <w:b/>
          <w:lang w:val="en_US" w:bidi="en_US"/>
        </w:rPr>
        <w:t>For I tell you:</w:t>
      </w:r>
      <w:r>
        <w:rPr>
          <w:lang w:val="en_US" w:bidi="en_US"/>
        </w:rPr>
        <w:t xml:space="preserve"> The Greek phrase that the BSB translates as </w:t>
      </w:r>
      <w:r>
        <w:rPr>
          <w:i/>
          <w:lang w:val="en_US" w:bidi="en_US"/>
        </w:rPr>
        <w:t>For I tell you</w:t>
      </w:r>
      <w:r>
        <w:rPr>
          <w:lang w:val="en_US" w:bidi="en_US"/>
        </w:rPr>
        <w:t xml:space="preserve"> is exactly the same as the phrase that introduces 22:16. You may translate it in the same way here.</w:t>
      </w:r>
    </w:p>
    <w:p>
      <w:pPr>
        <w:pStyle w:val="Heading5"/>
      </w:pPr>
      <w:r>
        <w:rPr>
          <w:lang w:val="en_US" w:bidi="en_US"/>
        </w:rPr>
        <w:t>22:18b</w:t>
      </w:r>
    </w:p>
    <w:p>
      <w:pPr/>
      <w:r>
        <w:rPr>
          <w:lang w:val="en_US" w:bidi="en_US"/>
        </w:rPr>
      </w:r>
      <w:r>
        <w:rPr>
          <w:b/>
          <w:lang w:val="en_US" w:bidi="en_US"/>
        </w:rPr>
        <w:t>that I will not drink of the fruit of the vine from now on</w:t>
      </w:r>
    </w:p>
    <w:p>
      <w:pPr>
        <w:pStyle w:val="ListBullet"/>
        <w:spacing w:line="240" w:lineRule="auto"/>
        <w:ind w:left="720"/>
      </w:pPr>
      <w:r>
        <w:rPr>
          <w:lang w:val="en_US" w:bidi="en_US"/>
        </w:rPr>
      </w:r>
      <w:r>
        <w:rPr>
          <w:lang w:val="en_US" w:bidi="en_US"/>
        </w:rPr>
        <w:t>I will not drink wine again</w:t>
      </w:r>
    </w:p>
    <w:p>
      <w:pPr>
        <w:pStyle w:val="ListBullet"/>
        <w:spacing w:line="240" w:lineRule="auto"/>
        <w:ind w:left="720"/>
      </w:pPr>
      <w:r>
        <w:rPr>
          <w:lang w:val="en_US" w:bidi="en_US"/>
        </w:rPr>
      </w:r>
      <w:r>
        <w:rPr>
          <w:lang w:val="en_US" w:bidi="en_US"/>
        </w:rPr>
        <w:t>this is the last occasion when I will drink juice/wine made from grapes</w:t>
      </w:r>
    </w:p>
    <w:p>
      <w:pPr/>
      <w:r>
        <w:rPr>
          <w:lang w:val="en_US" w:bidi="en_US"/>
        </w:rPr>
      </w:r>
      <w:r>
        <w:rPr>
          <w:b/>
          <w:lang w:val="en_US" w:bidi="en_US"/>
        </w:rPr>
        <w:t>I will not drink of the fruit of the vine from now on:</w:t>
      </w:r>
      <w:r>
        <w:rPr>
          <w:lang w:val="en_US" w:bidi="en_US"/>
        </w:rPr>
        <w:t xml:space="preserve"> This statement indicates that after that Passover meal, Jesus would not drink wine again with his apostles (until the kingdom of God came). Jesus referred here to the whole Passover meal as the last occasion on which he would share wine with his apostles before his death. He may have drunk more wine later in that same meal.</w:t>
      </w:r>
    </w:p>
    <w:p>
      <w:pPr/>
      <w:r>
        <w:rPr>
          <w:lang w:val="en_US" w:bidi="en_US"/>
        </w:rPr>
      </w:r>
      <w:r>
        <w:rPr>
          <w:b/>
          <w:lang w:val="en_US" w:bidi="en_US"/>
        </w:rPr>
        <w:t>the fruit of the vine:</w:t>
      </w:r>
      <w:r>
        <w:rPr>
          <w:lang w:val="en_US" w:bidi="en_US"/>
        </w:rPr>
        <w:t xml:space="preserve"> The phrase </w:t>
      </w:r>
      <w:r>
        <w:rPr>
          <w:i/>
          <w:lang w:val="en_US" w:bidi="en_US"/>
        </w:rPr>
        <w:t>the fruit of the vine</w:t>
      </w:r>
      <w:r>
        <w:rPr>
          <w:lang w:val="en_US" w:bidi="en_US"/>
        </w:rPr>
        <w:t xml:space="preserve"> is another way to refer to wine. Wine is a drink that is made from the fruit called “grapes,” which grow on a grape vine. Grapes, vines, and grapevines are often used as symbols in the Bible. When Jesus referred to </w:t>
      </w:r>
      <w:r>
        <w:rPr>
          <w:i/>
          <w:lang w:val="en_US" w:bidi="en_US"/>
        </w:rPr>
        <w:t>the fruit of the vine</w:t>
      </w:r>
      <w:r>
        <w:rPr>
          <w:lang w:val="en_US" w:bidi="en_US"/>
        </w:rPr>
        <w:t xml:space="preserve"> his disciples knew that he referred to wine.</w:t>
      </w:r>
    </w:p>
    <w:p>
      <w:pPr/>
      <w:r>
        <w:rPr>
          <w:lang w:val="en_US" w:bidi="en_US"/>
        </w:rPr>
      </w:r>
      <w:r>
        <w:rPr>
          <w:lang w:val="en_US" w:bidi="en_US"/>
        </w:rPr>
        <w:t xml:space="preserve">In some languages it may be confusing to refer to wine as </w:t>
      </w:r>
      <w:r>
        <w:rPr>
          <w:i/>
          <w:lang w:val="en_US" w:bidi="en_US"/>
        </w:rPr>
        <w:t>the fruit of the vine</w:t>
      </w:r>
      <w:r>
        <w:rPr>
          <w:lang w:val="en_US" w:bidi="en_US"/>
        </w:rPr>
        <w:t>. If this is true in your language, you may want to use your word for “wine” here. See the note on “cup” in 22:17a for more information and translation suggestions.</w:t>
      </w:r>
    </w:p>
    <w:p>
      <w:pPr>
        <w:pStyle w:val="Heading5"/>
      </w:pPr>
      <w:r>
        <w:rPr>
          <w:lang w:val="en_US" w:bidi="en_US"/>
        </w:rPr>
        <w:t>22:18c</w:t>
      </w:r>
    </w:p>
    <w:p>
      <w:pPr/>
      <w:r>
        <w:rPr>
          <w:lang w:val="en_US" w:bidi="en_US"/>
        </w:rPr>
      </w:r>
      <w:r>
        <w:rPr>
          <w:b/>
          <w:lang w:val="en_US" w:bidi="en_US"/>
        </w:rPr>
        <w:t>until the kingdom of God comes.”</w:t>
      </w:r>
    </w:p>
    <w:p>
      <w:pPr>
        <w:pStyle w:val="ListBullet"/>
        <w:spacing w:line="240" w:lineRule="auto"/>
        <w:ind w:left="720"/>
      </w:pPr>
      <w:r>
        <w:rPr>
          <w:lang w:val="en_US" w:bidi="en_US"/>
        </w:rPr>
      </w:r>
      <w:r>
        <w:rPr>
          <w:lang w:val="en_US" w:bidi="en_US"/>
        </w:rPr>
        <w:t>until God’s kingdom/reign begins.”</w:t>
      </w:r>
    </w:p>
    <w:p>
      <w:pPr>
        <w:pStyle w:val="ListBullet"/>
        <w:spacing w:line="240" w:lineRule="auto"/>
        <w:ind w:left="720"/>
      </w:pPr>
      <w:r>
        <w:rPr>
          <w:lang w:val="en_US" w:bidi="en_US"/>
        </w:rPr>
      </w:r>
      <w:r>
        <w:rPr>
          <w:lang w:val="en_US" w:bidi="en_US"/>
        </w:rPr>
        <w:t xml:space="preserve">before God rules </w:t>
      </w:r>
      <w:r>
        <w:rPr>
          <w:lang w:val="en_US" w:bidi="en_US"/>
        </w:rPr>
        <w:t>everyone/everywhere</w:t>
      </w:r>
      <w:r>
        <w:rPr>
          <w:lang w:val="en_US" w:bidi="en_US"/>
        </w:rPr>
        <w:t xml:space="preserve"> as king.”</w:t>
      </w:r>
    </w:p>
    <w:p>
      <w:pPr/>
      <w:r>
        <w:rPr>
          <w:lang w:val="en_US" w:bidi="en_US"/>
        </w:rPr>
      </w:r>
      <w:r>
        <w:rPr>
          <w:b/>
          <w:lang w:val="en_US" w:bidi="en_US"/>
        </w:rPr>
        <w:t>until the kingdom of God comes:</w:t>
      </w:r>
      <w:r>
        <w:rPr>
          <w:lang w:val="en_US" w:bidi="en_US"/>
        </w:rPr>
        <w:t xml:space="preserve"> The clause </w:t>
      </w:r>
      <w:r>
        <w:rPr>
          <w:i/>
          <w:lang w:val="en_US" w:bidi="en_US"/>
        </w:rPr>
        <w:t>until the kingdom of God comes</w:t>
      </w:r>
      <w:r>
        <w:rPr>
          <w:lang w:val="en_US" w:bidi="en_US"/>
        </w:rPr>
        <w:t xml:space="preserve"> refers to the time when God will reign over everyone as king. At that time Jesus will reign with God. He will establish justice and give his people complete freedom from sin and slavery.</w:t>
      </w:r>
    </w:p>
    <w:p>
      <w:pPr/>
      <w:r>
        <w:rPr>
          <w:lang w:val="en_US" w:bidi="en_US"/>
        </w:rPr>
      </w:r>
      <w:r>
        <w:rPr>
          <w:lang w:val="en_US" w:bidi="en_US"/>
        </w:rPr>
        <w:t xml:space="preserve">In this context the clause </w:t>
      </w:r>
      <w:r>
        <w:rPr>
          <w:i/>
          <w:lang w:val="en_US" w:bidi="en_US"/>
        </w:rPr>
        <w:t>until the kingdom of God comes</w:t>
      </w:r>
      <w:r>
        <w:rPr>
          <w:lang w:val="en_US" w:bidi="en_US"/>
        </w:rPr>
        <w:t xml:space="preserve"> is very similar to what Jesus said in 22:16 “until it is fulfilled in the kingdom of God.” You may want to translate it in the same way as you translated the phrase “in the kingdom of God” in that verse. See the note on 22:16b–c for examples.</w:t>
      </w:r>
      <w:r>
        <w:rPr>
          <w:lang w:val="en_US" w:bidi="en_US"/>
        </w:rPr>
      </w:r>
      <w:r>
        <w:rPr>
          <w:lang w:val="en_US" w:bidi="en_US"/>
        </w:rPr>
      </w:r>
    </w:p>
    <w:p>
      <w:pPr/>
      <w:r>
        <w:rPr>
          <w:lang w:val="en_US" w:bidi="en_US"/>
        </w:rPr>
      </w:r>
    </w:p>
    <w:p>
      <w:pPr>
        <w:pStyle w:val="Heading2"/>
      </w:pPr>
      <w:r>
        <w:rPr>
          <w:lang w:val="en_US" w:bidi="en_US"/>
        </w:rPr>
        <w:t>Luke 22:19</w:t>
      </w:r>
      <w:r>
        <w:rPr>
          <w:lang w:val="en_US" w:bidi="en_US"/>
        </w:rPr>
      </w:r>
    </w:p>
    <w:p>
      <w:pPr>
        <w:pStyle w:val="Heading4"/>
      </w:pPr>
      <w:r>
        <w:rPr>
          <w:lang w:val="en_US" w:bidi="en_US"/>
        </w:rPr>
        <w:t>Section 22:14–23: Jesus gave his disciples bread and wine with a special meaning</w:t>
      </w:r>
    </w:p>
    <w:p>
      <w:pPr/>
      <w:r>
        <w:rPr>
          <w:lang w:val="en_US" w:bidi="en_US"/>
        </w:rPr>
      </w:r>
      <w:r>
        <w:rPr>
          <w:lang w:val="en_US" w:bidi="en_US"/>
        </w:rPr>
        <w:t>In this section Jesus ate his last meal with his twelve disciples before he died. During this Passover meal, Jesus told them about the new covenant that he was making with them. He took bread and gave thanks to God. Then he divided the bread into pieces and gave it to his disciples to share. He said to them, “This is my body, given for you.” After the main meal, he gave his disciples a cup of wine to drink from. He said, “This cup is the new covenant in my blood, which is poured out for you.” When Jesus said these things, he indicated that he would sacrifice himself by dying as a substitute for his disciples to save them from slavery to sin. By doing this, he would fulfill the real meaning of Passover. As God saved the people of Israel who put the blood of the Passover lamb on their doors, he will save the people who trust in Jesus’ sacrifice for them.</w:t>
      </w:r>
    </w:p>
    <w:p>
      <w:pPr/>
      <w:r>
        <w:rPr>
          <w:lang w:val="en_US" w:bidi="en_US"/>
        </w:rPr>
      </w:r>
      <w:r>
        <w:rPr>
          <w:lang w:val="en_US" w:bidi="en_US"/>
        </w:rPr>
        <w:t>Jesus told his disciples to continue to remember him by taking bread and wine as his body and blood given for them. This thanksgiving service is now called the Eucharist, from the Greek word that means “thanksgiving.” It is also called the Lord’s Supper and Holy Communion.</w:t>
      </w:r>
    </w:p>
    <w:p>
      <w:pPr/>
      <w:r>
        <w:rPr>
          <w:lang w:val="en_US" w:bidi="en_US"/>
        </w:rPr>
      </w:r>
      <w:r>
        <w:rPr>
          <w:lang w:val="en_US" w:bidi="en_US"/>
        </w:rPr>
        <w:t>Some other examples of headings for this section are:</w:t>
      </w:r>
    </w:p>
    <w:p>
      <w:pPr/>
      <w:r>
        <w:rPr>
          <w:lang w:val="en_US" w:bidi="en_US"/>
        </w:rPr>
      </w:r>
      <w:r>
        <w:rPr>
          <w:lang w:val="en_US" w:bidi="en_US"/>
        </w:rPr>
        <w:t>The Lord’s Supper (NET)</w:t>
      </w:r>
    </w:p>
    <w:p>
      <w:pPr/>
      <w:r>
        <w:rPr>
          <w:lang w:val="en_US" w:bidi="en_US"/>
        </w:rPr>
      </w:r>
      <w:r>
        <w:rPr>
          <w:lang w:val="en_US" w:bidi="en_US"/>
        </w:rPr>
        <w:t>Jesus established the Thanksgiving/Eucharist celebration</w:t>
      </w:r>
    </w:p>
    <w:p>
      <w:pPr/>
      <w:r>
        <w:rPr>
          <w:lang w:val="en_US" w:bidi="en_US"/>
        </w:rPr>
      </w:r>
      <w:r>
        <w:rPr>
          <w:lang w:val="en_US" w:bidi="en_US"/>
        </w:rPr>
        <w:t>Jesus sacrifices his body and blood to save his disciples</w:t>
      </w:r>
    </w:p>
    <w:p>
      <w:pPr/>
      <w:r>
        <w:rPr>
          <w:lang w:val="en_US" w:bidi="en_US"/>
        </w:rPr>
      </w:r>
      <w:r>
        <w:rPr>
          <w:lang w:val="en_US" w:bidi="en_US"/>
        </w:rPr>
        <w:t>Jesus makes a new covenant with his disciples</w:t>
      </w:r>
    </w:p>
    <w:p>
      <w:pPr/>
      <w:r>
        <w:rPr>
          <w:lang w:val="en_US" w:bidi="en_US"/>
        </w:rPr>
      </w:r>
      <w:r>
        <w:rPr>
          <w:lang w:val="en_US" w:bidi="en_US"/>
        </w:rPr>
        <w:t>There are parallel passages for this section in Matthew 26:26–30, Mark 14:22–26, and 1 Corinthians 11:23–25.</w:t>
      </w:r>
    </w:p>
    <w:p>
      <w:pPr>
        <w:pStyle w:val="Heading4"/>
      </w:pPr>
      <w:r>
        <w:rPr>
          <w:lang w:val="en_US" w:bidi="en_US"/>
        </w:rPr>
        <w:t>Paragraph 22:19–20</w:t>
      </w:r>
    </w:p>
    <w:p>
      <w:pPr/>
      <w:r>
        <w:rPr>
          <w:lang w:val="en_US" w:bidi="en_US"/>
        </w:rPr>
      </w:r>
      <w:r>
        <w:rPr>
          <w:lang w:val="en_US" w:bidi="en_US"/>
        </w:rPr>
        <w:t>In these verses Jesus gave bread and wine from the Passover meal a new meaning. He revealed to his disciples that he would soon sacrifice himself for them and for all the people of the world. This meal began the Christian custom of observing the Lord’s supper regularly.</w:t>
      </w:r>
      <w:r>
        <w:rPr>
          <w:lang w:val="en_US" w:bidi="en_US"/>
        </w:rPr>
        <w:t>There is a textual issue in 22:19–20. One ancient Greek manuscript and some ancient versions omit the part of 22:19 beginning with the words “given for you” and all of 22:20. However, the vast majority of Bible scholars and all English versions on TW except the REB include these words.</w:t>
      </w:r>
    </w:p>
    <w:p>
      <w:pPr>
        <w:pStyle w:val="Heading5"/>
      </w:pPr>
      <w:r>
        <w:rPr>
          <w:lang w:val="en_US" w:bidi="en_US"/>
        </w:rPr>
        <w:t>22:19a</w:t>
      </w:r>
    </w:p>
    <w:p>
      <w:pPr/>
      <w:r>
        <w:rPr>
          <w:lang w:val="en_US" w:bidi="en_US"/>
        </w:rPr>
      </w:r>
      <w:r>
        <w:rPr>
          <w:b/>
          <w:lang w:val="en_US" w:bidi="en_US"/>
        </w:rPr>
        <w:t>And He took the bread,</w:t>
      </w:r>
    </w:p>
    <w:p>
      <w:pPr>
        <w:pStyle w:val="ListBullet"/>
        <w:spacing w:line="240" w:lineRule="auto"/>
        <w:ind w:left="720"/>
      </w:pPr>
      <w:r>
        <w:rPr>
          <w:lang w:val="en_US" w:bidi="en_US"/>
        </w:rPr>
      </w:r>
      <w:r>
        <w:rPr>
          <w:lang w:val="en_US" w:bidi="en_US"/>
        </w:rPr>
        <w:t xml:space="preserve">¶ Then </w:t>
      </w:r>
      <w:r>
        <w:rPr>
          <w:lang w:val="en_US" w:bidi="en_US"/>
        </w:rPr>
        <w:t>Jesus</w:t>
      </w:r>
      <w:r>
        <w:rPr>
          <w:lang w:val="en_US" w:bidi="en_US"/>
        </w:rPr>
        <w:t xml:space="preserve"> took </w:t>
      </w:r>
      <w:r>
        <w:rPr>
          <w:lang w:val="en_US" w:bidi="en_US"/>
        </w:rPr>
        <w:t>some</w:t>
      </w:r>
      <w:r>
        <w:rPr>
          <w:lang w:val="en_US" w:bidi="en_US"/>
        </w:rPr>
        <w:t xml:space="preserve"> </w:t>
      </w:r>
      <w:r>
        <w:rPr>
          <w:lang w:val="en_US" w:bidi="en_US"/>
        </w:rPr>
        <w:t>flat</w:t>
      </w:r>
      <w:r>
        <w:rPr>
          <w:lang w:val="en_US" w:bidi="en_US"/>
        </w:rPr>
        <w:t xml:space="preserve"> bread </w:t>
      </w:r>
      <w:r>
        <w:rPr>
          <w:lang w:val="en_US" w:bidi="en_US"/>
        </w:rPr>
        <w:t>in his hands</w:t>
      </w:r>
    </w:p>
    <w:p>
      <w:pPr>
        <w:pStyle w:val="ListBullet"/>
        <w:spacing w:line="240" w:lineRule="auto"/>
        <w:ind w:left="720"/>
      </w:pPr>
      <w:r>
        <w:rPr>
          <w:lang w:val="en_US" w:bidi="en_US"/>
        </w:rPr>
      </w:r>
      <w:r>
        <w:rPr>
          <w:lang w:val="en_US" w:bidi="en_US"/>
        </w:rPr>
        <w:t xml:space="preserve">¶ Then </w:t>
      </w:r>
      <w:r>
        <w:rPr>
          <w:lang w:val="en_US" w:bidi="en_US"/>
        </w:rPr>
        <w:t>Jesus</w:t>
      </w:r>
      <w:r>
        <w:rPr>
          <w:lang w:val="en_US" w:bidi="en_US"/>
        </w:rPr>
        <w:t xml:space="preserve"> took </w:t>
      </w:r>
      <w:r>
        <w:rPr>
          <w:lang w:val="en_US" w:bidi="en_US"/>
        </w:rPr>
        <w:t>a round/loaf of</w:t>
      </w:r>
      <w:r>
        <w:rPr>
          <w:lang w:val="en_US" w:bidi="en_US"/>
        </w:rPr>
        <w:t xml:space="preserve"> bread </w:t>
      </w:r>
      <w:r>
        <w:rPr>
          <w:lang w:val="en_US" w:bidi="en_US"/>
        </w:rPr>
        <w:t>in his hands</w:t>
      </w:r>
      <w:r>
        <w:rPr>
          <w:lang w:val="en_US" w:bidi="en_US"/>
        </w:rPr>
        <w:t>.</w:t>
      </w:r>
    </w:p>
    <w:p>
      <w:pPr/>
      <w:r>
        <w:rPr>
          <w:lang w:val="en_US" w:bidi="en_US"/>
        </w:rPr>
      </w:r>
      <w:r>
        <w:rPr>
          <w:b/>
          <w:lang w:val="en_US" w:bidi="en_US"/>
        </w:rPr>
        <w:t>And He took the bread:</w:t>
      </w:r>
      <w:r>
        <w:rPr>
          <w:lang w:val="en_US" w:bidi="en_US"/>
        </w:rPr>
        <w:t xml:space="preserve"> The clause </w:t>
      </w:r>
      <w:r>
        <w:rPr>
          <w:i/>
          <w:lang w:val="en_US" w:bidi="en_US"/>
        </w:rPr>
        <w:t>And He took the bread</w:t>
      </w:r>
      <w:r>
        <w:rPr>
          <w:lang w:val="en_US" w:bidi="en_US"/>
        </w:rPr>
        <w:t xml:space="preserve"> indicates that Jesus took bread from the table. The verb </w:t>
      </w:r>
      <w:r>
        <w:rPr>
          <w:i/>
          <w:lang w:val="en_US" w:bidi="en_US"/>
        </w:rPr>
        <w:t>took</w:t>
      </w:r>
      <w:r>
        <w:rPr>
          <w:lang w:val="en_US" w:bidi="en_US"/>
        </w:rPr>
        <w:t xml:space="preserve"> was also used in 22:17 of taking the wine. It probably implies that he lifted the bread from the table instead of receiving it from someone. Translate it in a similar way as you translated 22:17a. For example:</w:t>
      </w:r>
    </w:p>
    <w:p>
      <w:pPr/>
      <w:r>
        <w:rPr>
          <w:lang w:val="en_US" w:bidi="en_US"/>
        </w:rPr>
      </w:r>
      <w:r>
        <w:rPr>
          <w:lang w:val="en_US" w:bidi="en_US"/>
        </w:rPr>
        <w:t>Jesus took some bread in his hands (CEV)</w:t>
      </w:r>
    </w:p>
    <w:p>
      <w:pPr/>
      <w:r>
        <w:rPr>
          <w:lang w:val="en_US" w:bidi="en_US"/>
        </w:rPr>
      </w:r>
      <w:r>
        <w:rPr>
          <w:lang w:val="en_US" w:bidi="en_US"/>
        </w:rPr>
        <w:t xml:space="preserve">Jesus took bread </w:t>
      </w:r>
      <w:r>
        <w:rPr>
          <w:lang w:val="en_US" w:bidi="en_US"/>
        </w:rPr>
        <w:t>from the table</w:t>
      </w:r>
    </w:p>
    <w:p>
      <w:pPr/>
      <w:r>
        <w:rPr>
          <w:lang w:val="en_US" w:bidi="en_US"/>
        </w:rPr>
      </w:r>
      <w:r>
        <w:rPr>
          <w:b/>
          <w:lang w:val="en_US" w:bidi="en_US"/>
        </w:rPr>
        <w:t>the bread:</w:t>
      </w:r>
      <w:r>
        <w:rPr>
          <w:lang w:val="en_US" w:bidi="en_US"/>
        </w:rPr>
        <w:t xml:space="preserve"> In this context </w:t>
      </w:r>
      <w:r>
        <w:rPr>
          <w:i/>
          <w:lang w:val="en_US" w:bidi="en_US"/>
        </w:rPr>
        <w:t>the bread</w:t>
      </w:r>
      <w:r>
        <w:rPr>
          <w:lang w:val="en_US" w:bidi="en_US"/>
        </w:rPr>
        <w:t xml:space="preserve"> was made without yeast, since that was customary at Passover meals. It was flat and round. In some languages it may be necessary to include a word that refers in general to a quantity of bread. For example:</w:t>
      </w:r>
    </w:p>
    <w:p>
      <w:pPr/>
      <w:r>
        <w:rPr>
          <w:lang w:val="en_US" w:bidi="en_US"/>
        </w:rPr>
      </w:r>
      <w:r>
        <w:rPr>
          <w:lang w:val="en_US" w:bidi="en_US"/>
        </w:rPr>
        <w:t>some bread (NCV)</w:t>
      </w:r>
    </w:p>
    <w:p>
      <w:pPr/>
      <w:r>
        <w:rPr>
          <w:lang w:val="en_US" w:bidi="en_US"/>
        </w:rPr>
      </w:r>
      <w:r>
        <w:rPr>
          <w:lang w:val="en_US" w:bidi="en_US"/>
        </w:rPr>
        <w:t>a loaf of bread (NRSV)</w:t>
      </w:r>
    </w:p>
    <w:p>
      <w:pPr>
        <w:pStyle w:val="Heading5"/>
      </w:pPr>
      <w:r>
        <w:rPr>
          <w:lang w:val="en_US" w:bidi="en_US"/>
        </w:rPr>
        <w:t>22:19b</w:t>
      </w:r>
    </w:p>
    <w:p>
      <w:pPr/>
      <w:r>
        <w:rPr>
          <w:lang w:val="en_US" w:bidi="en_US"/>
        </w:rPr>
      </w:r>
      <w:r>
        <w:rPr>
          <w:b/>
          <w:lang w:val="en_US" w:bidi="en_US"/>
        </w:rPr>
        <w:t>gave thanks</w:t>
      </w:r>
    </w:p>
    <w:p>
      <w:pPr>
        <w:pStyle w:val="ListBullet"/>
        <w:spacing w:line="240" w:lineRule="auto"/>
        <w:ind w:left="720"/>
      </w:pPr>
      <w:r>
        <w:rPr>
          <w:lang w:val="en_US" w:bidi="en_US"/>
        </w:rPr>
      </w:r>
      <w:r>
        <w:rPr>
          <w:lang w:val="en_US" w:bidi="en_US"/>
        </w:rPr>
        <w:t xml:space="preserve">and thanked </w:t>
      </w:r>
      <w:r>
        <w:rPr>
          <w:lang w:val="en_US" w:bidi="en_US"/>
        </w:rPr>
        <w:t>God</w:t>
      </w:r>
      <w:r>
        <w:rPr>
          <w:lang w:val="en_US" w:bidi="en_US"/>
        </w:rPr>
        <w:t>.</w:t>
      </w:r>
    </w:p>
    <w:p>
      <w:pPr>
        <w:pStyle w:val="ListBullet"/>
        <w:spacing w:line="240" w:lineRule="auto"/>
        <w:ind w:left="720"/>
      </w:pPr>
      <w:r>
        <w:rPr>
          <w:lang w:val="en_US" w:bidi="en_US"/>
        </w:rPr>
      </w:r>
      <w:r>
        <w:rPr>
          <w:lang w:val="en_US" w:bidi="en_US"/>
        </w:rPr>
        <w:t xml:space="preserve">After thanking </w:t>
      </w:r>
      <w:r>
        <w:rPr>
          <w:lang w:val="en_US" w:bidi="en_US"/>
        </w:rPr>
        <w:t>God</w:t>
      </w:r>
      <w:r>
        <w:rPr>
          <w:lang w:val="en_US" w:bidi="en_US"/>
        </w:rPr>
        <w:t xml:space="preserve"> </w:t>
      </w:r>
      <w:r>
        <w:rPr>
          <w:lang w:val="en_US" w:bidi="en_US"/>
        </w:rPr>
        <w:t>for it</w:t>
      </w:r>
      <w:r>
        <w:rPr>
          <w:lang w:val="en_US" w:bidi="en_US"/>
        </w:rPr>
        <w:t>,</w:t>
      </w:r>
    </w:p>
    <w:p>
      <w:pPr/>
      <w:r>
        <w:rPr>
          <w:lang w:val="en_US" w:bidi="en_US"/>
        </w:rPr>
      </w:r>
      <w:r>
        <w:rPr>
          <w:b/>
          <w:lang w:val="en_US" w:bidi="en_US"/>
        </w:rPr>
        <w:t>gave thanks:</w:t>
      </w:r>
      <w:r>
        <w:rPr>
          <w:lang w:val="en_US" w:bidi="en_US"/>
        </w:rPr>
        <w:t xml:space="preserve"> The Greek word that the BSB translates as </w:t>
      </w:r>
      <w:r>
        <w:rPr>
          <w:i/>
          <w:lang w:val="en_US" w:bidi="en_US"/>
        </w:rPr>
        <w:t>gave thanks</w:t>
      </w:r>
      <w:r>
        <w:rPr>
          <w:lang w:val="en_US" w:bidi="en_US"/>
        </w:rPr>
        <w:t xml:space="preserve"> is literally “having given thanks.” Here it indicates that Jesus thanked God for the bread. In some languages it may be necessary to make this explicit. For example:</w:t>
      </w:r>
    </w:p>
    <w:p>
      <w:pPr/>
      <w:r>
        <w:rPr>
          <w:lang w:val="en_US" w:bidi="en_US"/>
        </w:rPr>
      </w:r>
      <w:r>
        <w:rPr>
          <w:lang w:val="en_US" w:bidi="en_US"/>
        </w:rPr>
        <w:t>gave thanks to God (GNT)</w:t>
      </w:r>
    </w:p>
    <w:p>
      <w:pPr/>
      <w:r>
        <w:rPr>
          <w:lang w:val="en_US" w:bidi="en_US"/>
        </w:rPr>
      </w:r>
      <w:r>
        <w:rPr>
          <w:lang w:val="en_US" w:bidi="en_US"/>
        </w:rPr>
        <w:t>when he had thanked God for it (NLT96)</w:t>
      </w:r>
    </w:p>
    <w:p>
      <w:pPr>
        <w:pStyle w:val="Heading5"/>
      </w:pPr>
      <w:r>
        <w:rPr>
          <w:lang w:val="en_US" w:bidi="en_US"/>
        </w:rPr>
        <w:t>22:19c</w:t>
      </w:r>
    </w:p>
    <w:p>
      <w:pPr/>
      <w:r>
        <w:rPr>
          <w:lang w:val="en_US" w:bidi="en_US"/>
        </w:rPr>
      </w:r>
      <w:r>
        <w:rPr>
          <w:b/>
          <w:lang w:val="en_US" w:bidi="en_US"/>
        </w:rPr>
        <w:t>and broke it, and gave it to them,</w:t>
      </w:r>
    </w:p>
    <w:p>
      <w:pPr>
        <w:pStyle w:val="ListBullet"/>
        <w:spacing w:line="240" w:lineRule="auto"/>
        <w:ind w:left="720"/>
      </w:pPr>
      <w:r>
        <w:rPr>
          <w:lang w:val="en_US" w:bidi="en_US"/>
        </w:rPr>
      </w:r>
      <w:r>
        <w:rPr>
          <w:lang w:val="en_US" w:bidi="en_US"/>
        </w:rPr>
        <w:t>He broke/tore it and gave it to them,</w:t>
      </w:r>
    </w:p>
    <w:p>
      <w:pPr>
        <w:pStyle w:val="ListBullet"/>
        <w:spacing w:line="240" w:lineRule="auto"/>
        <w:ind w:left="720"/>
      </w:pPr>
      <w:r>
        <w:rPr>
          <w:lang w:val="en_US" w:bidi="en_US"/>
        </w:rPr>
      </w:r>
      <w:r>
        <w:rPr>
          <w:lang w:val="en_US" w:bidi="en_US"/>
        </w:rPr>
        <w:t xml:space="preserve">he broke the </w:t>
      </w:r>
      <w:r>
        <w:rPr>
          <w:lang w:val="en_US" w:bidi="en_US"/>
        </w:rPr>
        <w:t>loaf of</w:t>
      </w:r>
      <w:r>
        <w:rPr>
          <w:lang w:val="en_US" w:bidi="en_US"/>
        </w:rPr>
        <w:t xml:space="preserve"> bread and gave </w:t>
      </w:r>
      <w:r>
        <w:rPr>
          <w:lang w:val="en_US" w:bidi="en_US"/>
        </w:rPr>
        <w:t>the pieces</w:t>
      </w:r>
      <w:r>
        <w:rPr>
          <w:lang w:val="en_US" w:bidi="en_US"/>
        </w:rPr>
        <w:t xml:space="preserve"> to his disciples.</w:t>
      </w:r>
    </w:p>
    <w:p>
      <w:pPr/>
      <w:r>
        <w:rPr>
          <w:lang w:val="en_US" w:bidi="en_US"/>
        </w:rPr>
      </w:r>
      <w:r>
        <w:rPr>
          <w:b/>
          <w:lang w:val="en_US" w:bidi="en_US"/>
        </w:rPr>
        <w:t>broke it:</w:t>
      </w:r>
      <w:r>
        <w:rPr>
          <w:lang w:val="en_US" w:bidi="en_US"/>
        </w:rPr>
        <w:t xml:space="preserve"> The Greek verb that the BSB translates as </w:t>
      </w:r>
      <w:r>
        <w:rPr>
          <w:i/>
          <w:lang w:val="en_US" w:bidi="en_US"/>
        </w:rPr>
        <w:t>broke</w:t>
      </w:r>
      <w:r>
        <w:rPr>
          <w:lang w:val="en_US" w:bidi="en_US"/>
        </w:rPr>
        <w:t xml:space="preserve"> refers to dividing or tearing bread into two or more parts. Jesus used his hands to break the bread, rather than a knife. The text does not say whether Jesus broke the flat bread into two parts or into many parts.</w:t>
      </w:r>
    </w:p>
    <w:p>
      <w:pPr/>
      <w:r>
        <w:rPr>
          <w:lang w:val="en_US" w:bidi="en_US"/>
        </w:rPr>
      </w:r>
      <w:r>
        <w:rPr>
          <w:b/>
          <w:lang w:val="en_US" w:bidi="en_US"/>
        </w:rPr>
        <w:t>gave it to them:</w:t>
      </w:r>
      <w:r>
        <w:rPr>
          <w:lang w:val="en_US" w:bidi="en_US"/>
        </w:rPr>
        <w:t xml:space="preserve"> After Jesus broke the bread, he distributed it among the disciples</w:t>
      </w:r>
      <w:r>
        <w:rPr>
          <w:lang w:val="en_US" w:bidi="en_US"/>
        </w:rPr>
        <w:t>Jesus may have broken the bread in half and given the two halves to two disciples, who then broke them in pieces for the other disciples. Or, he may have given one small piece to each disciple.</w:t>
      </w:r>
      <w:r>
        <w:rPr>
          <w:lang w:val="en_US" w:bidi="en_US"/>
        </w:rPr>
        <w:t xml:space="preserve"> so that each of them could eat part of it. In some languages it may be necessary to specify that he gave it to them to eat. For example:</w:t>
      </w:r>
    </w:p>
    <w:p>
      <w:pPr/>
      <w:r>
        <w:rPr>
          <w:lang w:val="en_US" w:bidi="en_US"/>
        </w:rPr>
      </w:r>
      <w:r>
        <w:rPr>
          <w:lang w:val="en_US" w:bidi="en_US"/>
        </w:rPr>
        <w:t>He gave/passed/handed it…to them…</w:t>
      </w:r>
      <w:r>
        <w:rPr>
          <w:lang w:val="en_US" w:bidi="en_US"/>
        </w:rPr>
        <w:t>to eat</w:t>
      </w:r>
      <w:r>
        <w:rPr>
          <w:lang w:val="en_US" w:bidi="en_US"/>
        </w:rPr>
        <w:t xml:space="preserve"> (TRT)</w:t>
      </w:r>
    </w:p>
    <w:p>
      <w:pPr>
        <w:pStyle w:val="Heading5"/>
      </w:pPr>
      <w:r>
        <w:rPr>
          <w:lang w:val="en_US" w:bidi="en_US"/>
        </w:rPr>
        <w:t>22:19d</w:t>
      </w:r>
    </w:p>
    <w:p>
      <w:pPr/>
      <w:r>
        <w:rPr>
          <w:lang w:val="en_US" w:bidi="en_US"/>
        </w:rPr>
      </w:r>
      <w:r>
        <w:rPr>
          <w:b/>
          <w:lang w:val="en_US" w:bidi="en_US"/>
        </w:rPr>
        <w:t>saying, “This is My body, given for you;</w:t>
      </w:r>
    </w:p>
    <w:p>
      <w:pPr>
        <w:pStyle w:val="ListBullet"/>
        <w:spacing w:line="240" w:lineRule="auto"/>
        <w:ind w:left="720"/>
      </w:pPr>
      <w:r>
        <w:rPr>
          <w:lang w:val="en_US" w:bidi="en_US"/>
        </w:rPr>
      </w:r>
      <w:r>
        <w:rPr>
          <w:lang w:val="en_US" w:bidi="en_US"/>
        </w:rPr>
        <w:t xml:space="preserve">saying, “This </w:t>
      </w:r>
      <w:r>
        <w:rPr>
          <w:lang w:val="en_US" w:bidi="en_US"/>
        </w:rPr>
        <w:t>bread</w:t>
      </w:r>
      <w:r>
        <w:rPr>
          <w:lang w:val="en_US" w:bidi="en_US"/>
        </w:rPr>
        <w:t xml:space="preserve"> is my body that I give for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He told </w:t>
      </w:r>
      <w:r>
        <w:rPr>
          <w:lang w:val="en_US" w:bidi="en_US"/>
        </w:rPr>
        <w:t>them</w:t>
      </w:r>
      <w:r>
        <w:rPr>
          <w:lang w:val="en_US" w:bidi="en_US"/>
        </w:rPr>
        <w:t xml:space="preserve">, “Here is my body. I </w:t>
      </w:r>
      <w:r>
        <w:rPr>
          <w:lang w:val="en_US" w:bidi="en_US"/>
        </w:rPr>
        <w:t>will</w:t>
      </w:r>
      <w:r>
        <w:rPr>
          <w:lang w:val="en_US" w:bidi="en_US"/>
        </w:rPr>
        <w:t xml:space="preserve"> sacrifice it to </w:t>
      </w:r>
      <w:r>
        <w:rPr>
          <w:lang w:val="en_US" w:bidi="en_US"/>
        </w:rPr>
        <w:t>redeem/save</w:t>
      </w:r>
      <w:r>
        <w:rPr>
          <w:lang w:val="en_US" w:bidi="en_US"/>
        </w:rPr>
        <w:t xml:space="preserve"> you</w:t>
      </w:r>
      <w:r>
        <w:rPr>
          <w:vertAlign w:val="superscript"/>
          <w:lang w:val="en_US" w:bidi="en_US"/>
        </w:rPr>
        <w:t>(plur)</w:t>
      </w:r>
      <w:r>
        <w:rPr>
          <w:lang w:val="en_US" w:bidi="en_US"/>
        </w:rPr>
        <w:t>.</w:t>
      </w:r>
    </w:p>
    <w:p>
      <w:pPr/>
      <w:r>
        <w:rPr>
          <w:lang w:val="en_US" w:bidi="en_US"/>
        </w:rPr>
      </w:r>
      <w:r>
        <w:rPr>
          <w:b/>
          <w:lang w:val="en_US" w:bidi="en_US"/>
        </w:rPr>
        <w:t>saying:</w:t>
      </w:r>
      <w:r>
        <w:rPr>
          <w:lang w:val="en_US" w:bidi="en_US"/>
        </w:rPr>
        <w:t xml:space="preserve"> In some languages it may be necessary to make explicit that Jesus was speaking to the disciples. It may also be more natural to start a new sentence here. For example:</w:t>
      </w:r>
    </w:p>
    <w:p>
      <w:pPr/>
      <w:r>
        <w:rPr>
          <w:lang w:val="en_US" w:bidi="en_US"/>
        </w:rPr>
      </w:r>
      <w:r>
        <w:rPr>
          <w:lang w:val="en_US" w:bidi="en_US"/>
        </w:rPr>
        <w:t>He said to them</w:t>
      </w:r>
    </w:p>
    <w:p>
      <w:pPr/>
      <w:r>
        <w:rPr>
          <w:lang w:val="en_US" w:bidi="en_US"/>
        </w:rPr>
      </w:r>
      <w:r>
        <w:rPr>
          <w:b/>
          <w:lang w:val="en_US" w:bidi="en_US"/>
        </w:rPr>
        <w:t>This is My body:</w:t>
      </w:r>
      <w:r>
        <w:rPr>
          <w:lang w:val="en_US" w:bidi="en_US"/>
        </w:rPr>
        <w:t xml:space="preserve"> The word </w:t>
      </w:r>
      <w:r>
        <w:rPr>
          <w:i/>
          <w:lang w:val="en_US" w:bidi="en_US"/>
        </w:rPr>
        <w:t>This</w:t>
      </w:r>
      <w:r>
        <w:rPr>
          <w:lang w:val="en_US" w:bidi="en_US"/>
        </w:rPr>
        <w:t xml:space="preserve"> refers to the bread that Jesus gave to his disciples. Here is another way to translate this:</w:t>
      </w:r>
    </w:p>
    <w:p>
      <w:pPr/>
      <w:r>
        <w:rPr>
          <w:lang w:val="en_US" w:bidi="en_US"/>
        </w:rPr>
      </w:r>
      <w:r>
        <w:rPr>
          <w:lang w:val="en_US" w:bidi="en_US"/>
        </w:rPr>
        <w:t xml:space="preserve">This </w:t>
      </w:r>
      <w:r>
        <w:rPr>
          <w:lang w:val="en_US" w:bidi="en_US"/>
        </w:rPr>
        <w:t>bread</w:t>
      </w:r>
      <w:r>
        <w:rPr>
          <w:lang w:val="en_US" w:bidi="en_US"/>
        </w:rPr>
        <w:t xml:space="preserve"> is My body (TRT)</w:t>
      </w:r>
    </w:p>
    <w:p>
      <w:pPr/>
      <w:r>
        <w:rPr>
          <w:lang w:val="en_US" w:bidi="en_US"/>
        </w:rPr>
      </w:r>
      <w:r>
        <w:rPr>
          <w:lang w:val="en_US" w:bidi="en_US"/>
        </w:rPr>
        <w:t xml:space="preserve">Churches have different views about exactly what the words </w:t>
      </w:r>
      <w:r>
        <w:rPr>
          <w:i/>
          <w:lang w:val="en_US" w:bidi="en_US"/>
        </w:rPr>
        <w:t>This is My body</w:t>
      </w:r>
      <w:r>
        <w:rPr>
          <w:lang w:val="en_US" w:bidi="en_US"/>
        </w:rPr>
        <w:t xml:space="preserve"> imply. Because of this, it is probably best to translate in a literal way.</w:t>
      </w:r>
    </w:p>
    <w:p>
      <w:pPr/>
      <w:r>
        <w:rPr>
          <w:lang w:val="en_US" w:bidi="en_US"/>
        </w:rPr>
      </w:r>
      <w:r>
        <w:rPr>
          <w:b/>
          <w:lang w:val="en_US" w:bidi="en_US"/>
        </w:rPr>
        <w:t>My body, given for you:</w:t>
      </w:r>
      <w:r>
        <w:rPr>
          <w:lang w:val="en_US" w:bidi="en_US"/>
        </w:rPr>
        <w:t xml:space="preserve"> In this context the term </w:t>
      </w:r>
      <w:r>
        <w:rPr>
          <w:i/>
          <w:lang w:val="en_US" w:bidi="en_US"/>
        </w:rPr>
        <w:t>My body</w:t>
      </w:r>
      <w:r>
        <w:rPr>
          <w:lang w:val="en_US" w:bidi="en_US"/>
        </w:rPr>
        <w:t xml:space="preserve"> refers to Jesus’ living body. It does not refer to his dead body or corpse. The phrase </w:t>
      </w:r>
      <w:r>
        <w:rPr>
          <w:i/>
          <w:lang w:val="en_US" w:bidi="en_US"/>
        </w:rPr>
        <w:t>given for you</w:t>
      </w:r>
      <w:r>
        <w:rPr>
          <w:lang w:val="en_US" w:bidi="en_US"/>
        </w:rPr>
        <w:t xml:space="preserve"> implies that Jesus will sacrifice his life for them by dying for them. In this context of Passover, it implies that Jesus will die so that they can be saved. In some languages there may be a special idiom to use when a person says that he will die a sacrificial death for someone.</w:t>
      </w:r>
    </w:p>
    <w:p>
      <w:pPr/>
      <w:r>
        <w:rPr>
          <w:lang w:val="en_US" w:bidi="en_US"/>
        </w:rPr>
      </w:r>
      <w:r>
        <w:rPr>
          <w:lang w:val="en_US" w:bidi="en_US"/>
        </w:rPr>
        <w:t xml:space="preserve">Some other ways to translate </w:t>
      </w:r>
      <w:r>
        <w:rPr>
          <w:i/>
          <w:lang w:val="en_US" w:bidi="en_US"/>
        </w:rPr>
        <w:t>My body, given for you</w:t>
      </w:r>
      <w:r>
        <w:rPr>
          <w:lang w:val="en_US" w:bidi="en_US"/>
        </w:rPr>
        <w:t xml:space="preserve"> are:</w:t>
      </w:r>
    </w:p>
    <w:p>
      <w:pPr/>
      <w:r>
        <w:rPr>
          <w:lang w:val="en_US" w:bidi="en_US"/>
        </w:rPr>
      </w:r>
      <w:r>
        <w:rPr>
          <w:lang w:val="en_US" w:bidi="en_US"/>
        </w:rPr>
        <w:t>my body, which is/will-be-offered for you</w:t>
      </w:r>
      <w:r>
        <w:rPr>
          <w:lang w:val="en_US" w:bidi="en_US"/>
        </w:rPr>
        <w:t>Kankanaey back translation on TW.</w:t>
      </w:r>
    </w:p>
    <w:p>
      <w:pPr/>
      <w:r>
        <w:rPr>
          <w:lang w:val="en_US" w:bidi="en_US"/>
        </w:rPr>
      </w:r>
      <w:r>
        <w:rPr>
          <w:lang w:val="en_US" w:bidi="en_US"/>
        </w:rPr>
        <w:t>My body which will be sacrificed for you (TRT)</w:t>
      </w:r>
    </w:p>
    <w:p>
      <w:pPr/>
      <w:r>
        <w:rPr>
          <w:lang w:val="en_US" w:bidi="en_US"/>
        </w:rPr>
      </w:r>
      <w:r>
        <w:rPr>
          <w:lang w:val="en_US" w:bidi="en_US"/>
        </w:rPr>
        <w:t xml:space="preserve">The verb </w:t>
      </w:r>
      <w:r>
        <w:rPr>
          <w:i/>
          <w:lang w:val="en_US" w:bidi="en_US"/>
        </w:rPr>
        <w:t>given</w:t>
      </w:r>
      <w:r>
        <w:rPr>
          <w:lang w:val="en_US" w:bidi="en_US"/>
        </w:rPr>
        <w:t xml:space="preserve"> is passive. In some languages it is necessary to translate the phrase with an active verb. For example:</w:t>
      </w:r>
    </w:p>
    <w:p>
      <w:pPr/>
      <w:r>
        <w:rPr>
          <w:lang w:val="en_US" w:bidi="en_US"/>
        </w:rPr>
      </w:r>
      <w:r>
        <w:rPr>
          <w:lang w:val="en_US" w:bidi="en_US"/>
        </w:rPr>
        <w:t>my body, which I offer as a sacrifice on your behalf</w:t>
      </w:r>
    </w:p>
    <w:p>
      <w:pPr/>
      <w:r>
        <w:rPr>
          <w:lang w:val="en_US" w:bidi="en_US"/>
        </w:rPr>
      </w:r>
      <w:r>
        <w:rPr>
          <w:lang w:val="en_US" w:bidi="en_US"/>
        </w:rPr>
        <w:t>my body, which I will give for your sakes</w:t>
      </w:r>
    </w:p>
    <w:p>
      <w:pPr/>
      <w:r>
        <w:rPr>
          <w:lang w:val="en_US" w:bidi="en_US"/>
        </w:rPr>
      </w:r>
      <w:r>
        <w:rPr>
          <w:lang w:val="en_US" w:bidi="en_US"/>
        </w:rPr>
        <w:t>This bread that I offer to you, this is my body that I offer to redeem you.</w:t>
      </w:r>
      <w:r>
        <w:rPr>
          <w:lang w:val="en_US" w:bidi="en_US"/>
        </w:rPr>
        <w:t>Uma back translation on TW.</w:t>
      </w:r>
    </w:p>
    <w:p>
      <w:pPr/>
      <w:r>
        <w:rPr>
          <w:lang w:val="en_US" w:bidi="en_US"/>
        </w:rPr>
      </w:r>
      <w:r>
        <w:rPr>
          <w:b/>
          <w:lang w:val="en_US" w:bidi="en_US"/>
        </w:rPr>
        <w:t>for you:</w:t>
      </w:r>
      <w:r>
        <w:rPr>
          <w:lang w:val="en_US" w:bidi="en_US"/>
        </w:rPr>
        <w:t xml:space="preserve"> The phrase </w:t>
      </w:r>
      <w:r>
        <w:rPr>
          <w:i/>
          <w:lang w:val="en_US" w:bidi="en_US"/>
        </w:rPr>
        <w:t>for you</w:t>
      </w:r>
      <w:r>
        <w:rPr>
          <w:lang w:val="en_US" w:bidi="en_US"/>
        </w:rPr>
        <w:t xml:space="preserve"> means “for your benefit” or “on your behalf.” In this context it has the special meaning “as a sacrifice for you” or “to save/redeem you.” The phrase </w:t>
      </w:r>
      <w:r>
        <w:rPr>
          <w:i/>
          <w:lang w:val="en_US" w:bidi="en_US"/>
        </w:rPr>
        <w:t>for you</w:t>
      </w:r>
      <w:r>
        <w:rPr>
          <w:lang w:val="en_US" w:bidi="en_US"/>
        </w:rPr>
        <w:t xml:space="preserve"> also occurs in 22:20 about Jesus’ blood poured out for them. See the translation examples in the note above.</w:t>
      </w:r>
    </w:p>
    <w:p>
      <w:pPr/>
      <w:r>
        <w:rPr>
          <w:lang w:val="en_US" w:bidi="en_US"/>
        </w:rPr>
      </w:r>
      <w:r>
        <w:rPr>
          <w:b/>
          <w:lang w:val="en_US" w:bidi="en_US"/>
        </w:rPr>
        <w:t>you:</w:t>
      </w:r>
      <w:r>
        <w:rPr>
          <w:lang w:val="en_US" w:bidi="en_US"/>
        </w:rPr>
        <w:t xml:space="preserve"> The word </w:t>
      </w:r>
      <w:r>
        <w:rPr>
          <w:i/>
          <w:lang w:val="en_US" w:bidi="en_US"/>
        </w:rPr>
        <w:t>you</w:t>
      </w:r>
      <w:r>
        <w:rPr>
          <w:lang w:val="en_US" w:bidi="en_US"/>
        </w:rPr>
        <w:t xml:space="preserve"> refers to the apostles and also to all people who will trust in Jesus. The apostles represent all of God’s people.</w:t>
      </w:r>
    </w:p>
    <w:p>
      <w:pPr>
        <w:pStyle w:val="Heading5"/>
      </w:pPr>
      <w:r>
        <w:rPr>
          <w:lang w:val="en_US" w:bidi="en_US"/>
        </w:rPr>
        <w:t>22:19e</w:t>
      </w:r>
    </w:p>
    <w:p>
      <w:pPr/>
      <w:r>
        <w:rPr>
          <w:lang w:val="en_US" w:bidi="en_US"/>
        </w:rPr>
      </w:r>
      <w:r>
        <w:rPr>
          <w:b/>
          <w:lang w:val="en_US" w:bidi="en_US"/>
        </w:rPr>
        <w:t>do this in remembrance of Me.”</w:t>
      </w:r>
    </w:p>
    <w:p>
      <w:pPr>
        <w:pStyle w:val="ListBullet"/>
        <w:spacing w:line="240" w:lineRule="auto"/>
        <w:ind w:left="720"/>
      </w:pPr>
      <w:r>
        <w:rPr>
          <w:lang w:val="en_US" w:bidi="en_US"/>
        </w:rPr>
      </w:r>
      <w:r>
        <w:rPr>
          <w:lang w:val="en_US" w:bidi="en_US"/>
        </w:rPr>
        <w:t>Continue</w:t>
      </w:r>
      <w:r>
        <w:rPr>
          <w:vertAlign w:val="superscript"/>
          <w:lang w:val="en_US" w:bidi="en_US"/>
        </w:rPr>
        <w:t>(plur)</w:t>
      </w:r>
      <w:r>
        <w:rPr>
          <w:lang w:val="en_US" w:bidi="en_US"/>
        </w:rPr>
        <w:t xml:space="preserve"> to do this in memory of me.”</w:t>
      </w:r>
    </w:p>
    <w:p>
      <w:pPr>
        <w:pStyle w:val="ListBullet"/>
        <w:spacing w:line="240" w:lineRule="auto"/>
        <w:ind w:left="720"/>
      </w:pPr>
      <w:r>
        <w:rPr>
          <w:lang w:val="en_US" w:bidi="en_US"/>
        </w:rPr>
      </w:r>
      <w:r>
        <w:rPr>
          <w:lang w:val="en_US" w:bidi="en_US"/>
        </w:rPr>
        <w:t>Eat/Share</w:t>
      </w:r>
      <w:r>
        <w:rPr>
          <w:vertAlign w:val="superscript"/>
          <w:lang w:val="en_US" w:bidi="en_US"/>
        </w:rPr>
        <w:t>(plur)</w:t>
      </w:r>
      <w:r>
        <w:rPr>
          <w:lang w:val="en_US" w:bidi="en_US"/>
        </w:rPr>
        <w:t xml:space="preserve"> </w:t>
      </w:r>
      <w:r>
        <w:rPr>
          <w:lang w:val="en_US" w:bidi="en_US"/>
        </w:rPr>
        <w:t>it</w:t>
      </w:r>
      <w:r>
        <w:rPr>
          <w:lang w:val="en_US" w:bidi="en_US"/>
        </w:rPr>
        <w:t xml:space="preserve"> like this </w:t>
      </w:r>
      <w:r>
        <w:rPr>
          <w:lang w:val="en_US" w:bidi="en_US"/>
        </w:rPr>
        <w:t>as a custom</w:t>
      </w:r>
      <w:r>
        <w:rPr>
          <w:lang w:val="en_US" w:bidi="en_US"/>
        </w:rPr>
        <w:t xml:space="preserve"> to remember me.”</w:t>
      </w:r>
    </w:p>
    <w:p>
      <w:pPr/>
      <w:r>
        <w:rPr>
          <w:lang w:val="en_US" w:bidi="en_US"/>
        </w:rPr>
      </w:r>
      <w:r>
        <w:rPr>
          <w:b/>
          <w:lang w:val="en_US" w:bidi="en_US"/>
        </w:rPr>
        <w:t>do this in remembrance of Me:</w:t>
      </w:r>
      <w:r>
        <w:rPr>
          <w:lang w:val="en_US" w:bidi="en_US"/>
        </w:rPr>
        <w:t xml:space="preserve"> In this context Jesus used the phrase </w:t>
      </w:r>
      <w:r>
        <w:rPr>
          <w:i/>
          <w:lang w:val="en_US" w:bidi="en_US"/>
        </w:rPr>
        <w:t>do this</w:t>
      </w:r>
      <w:r>
        <w:rPr>
          <w:lang w:val="en_US" w:bidi="en_US"/>
        </w:rPr>
        <w:t xml:space="preserve"> to indicate that his disciples should establish the action in this verse as a custom. They should eat unleavened bread together in a special ceremony to remember Jesus with honor and gratitude. They would especially remember the sacrifice that he made to save them.</w:t>
      </w:r>
    </w:p>
    <w:p>
      <w:pPr/>
      <w:r>
        <w:rPr>
          <w:lang w:val="en_US" w:bidi="en_US"/>
        </w:rPr>
      </w:r>
      <w:r>
        <w:rPr>
          <w:lang w:val="en_US" w:bidi="en_US"/>
        </w:rPr>
        <w:t>Some other ways to translate Jesus’ instruction here are:</w:t>
      </w:r>
    </w:p>
    <w:p>
      <w:pPr/>
      <w:r>
        <w:rPr>
          <w:lang w:val="en_US" w:bidi="en_US"/>
        </w:rPr>
      </w:r>
      <w:r>
        <w:rPr>
          <w:lang w:val="en_US" w:bidi="en_US"/>
        </w:rPr>
        <w:t>Do this to remember me. (GW)</w:t>
      </w:r>
    </w:p>
    <w:p>
      <w:pPr/>
      <w:r>
        <w:rPr>
          <w:lang w:val="en_US" w:bidi="en_US"/>
        </w:rPr>
      </w:r>
      <w:r>
        <w:rPr>
          <w:lang w:val="en_US" w:bidi="en_US"/>
        </w:rPr>
        <w:t>Do this custom in order to remember me.</w:t>
      </w:r>
      <w:r>
        <w:rPr>
          <w:lang w:val="en_US" w:bidi="en_US"/>
        </w:rPr>
        <w:t>Uma back translation on TW.</w:t>
      </w:r>
      <w:r>
        <w:rPr>
          <w:lang w:val="en_US" w:bidi="en_US"/>
        </w:rPr>
      </w:r>
      <w:r>
        <w:rPr>
          <w:lang w:val="en_US" w:bidi="en_US"/>
        </w:rPr>
      </w:r>
    </w:p>
    <w:p>
      <w:pPr/>
      <w:r>
        <w:rPr>
          <w:lang w:val="en_US" w:bidi="en_US"/>
        </w:rPr>
      </w:r>
    </w:p>
    <w:p>
      <w:pPr>
        <w:pStyle w:val="Heading2"/>
      </w:pPr>
      <w:r>
        <w:rPr>
          <w:lang w:val="en_US" w:bidi="en_US"/>
        </w:rPr>
        <w:t>Luke 22:20</w:t>
      </w:r>
      <w:r>
        <w:rPr>
          <w:lang w:val="en_US" w:bidi="en_US"/>
        </w:rPr>
      </w:r>
    </w:p>
    <w:p>
      <w:pPr>
        <w:pStyle w:val="Heading4"/>
      </w:pPr>
      <w:r>
        <w:rPr>
          <w:lang w:val="en_US" w:bidi="en_US"/>
        </w:rPr>
        <w:t>Section 22:14–23: Jesus gave his disciples bread and wine with a special meaning</w:t>
      </w:r>
    </w:p>
    <w:p>
      <w:pPr/>
      <w:r>
        <w:rPr>
          <w:lang w:val="en_US" w:bidi="en_US"/>
        </w:rPr>
      </w:r>
      <w:r>
        <w:rPr>
          <w:lang w:val="en_US" w:bidi="en_US"/>
        </w:rPr>
        <w:t>In this section Jesus ate his last meal with his twelve disciples before he died. During this Passover meal, Jesus told them about the new covenant that he was making with them. He took bread and gave thanks to God. Then he divided the bread into pieces and gave it to his disciples to share. He said to them, “This is my body, given for you.” After the main meal, he gave his disciples a cup of wine to drink from. He said, “This cup is the new covenant in my blood, which is poured out for you.” When Jesus said these things, he indicated that he would sacrifice himself by dying as a substitute for his disciples to save them from slavery to sin. By doing this, he would fulfill the real meaning of Passover. As God saved the people of Israel who put the blood of the Passover lamb on their doors, he will save the people who trust in Jesus’ sacrifice for them.</w:t>
      </w:r>
    </w:p>
    <w:p>
      <w:pPr/>
      <w:r>
        <w:rPr>
          <w:lang w:val="en_US" w:bidi="en_US"/>
        </w:rPr>
      </w:r>
      <w:r>
        <w:rPr>
          <w:lang w:val="en_US" w:bidi="en_US"/>
        </w:rPr>
        <w:t>Jesus told his disciples to continue to remember him by taking bread and wine as his body and blood given for them. This thanksgiving service is now called the Eucharist, from the Greek word that means “thanksgiving.” It is also called the Lord’s Supper and Holy Communion.</w:t>
      </w:r>
    </w:p>
    <w:p>
      <w:pPr/>
      <w:r>
        <w:rPr>
          <w:lang w:val="en_US" w:bidi="en_US"/>
        </w:rPr>
      </w:r>
      <w:r>
        <w:rPr>
          <w:lang w:val="en_US" w:bidi="en_US"/>
        </w:rPr>
        <w:t>Some other examples of headings for this section are:</w:t>
      </w:r>
    </w:p>
    <w:p>
      <w:pPr/>
      <w:r>
        <w:rPr>
          <w:lang w:val="en_US" w:bidi="en_US"/>
        </w:rPr>
      </w:r>
      <w:r>
        <w:rPr>
          <w:lang w:val="en_US" w:bidi="en_US"/>
        </w:rPr>
        <w:t>The Lord’s Supper (NET)</w:t>
      </w:r>
    </w:p>
    <w:p>
      <w:pPr/>
      <w:r>
        <w:rPr>
          <w:lang w:val="en_US" w:bidi="en_US"/>
        </w:rPr>
      </w:r>
      <w:r>
        <w:rPr>
          <w:lang w:val="en_US" w:bidi="en_US"/>
        </w:rPr>
        <w:t>Jesus established the Thanksgiving/Eucharist celebration</w:t>
      </w:r>
    </w:p>
    <w:p>
      <w:pPr/>
      <w:r>
        <w:rPr>
          <w:lang w:val="en_US" w:bidi="en_US"/>
        </w:rPr>
      </w:r>
      <w:r>
        <w:rPr>
          <w:lang w:val="en_US" w:bidi="en_US"/>
        </w:rPr>
        <w:t>Jesus sacrifices his body and blood to save his disciples</w:t>
      </w:r>
    </w:p>
    <w:p>
      <w:pPr/>
      <w:r>
        <w:rPr>
          <w:lang w:val="en_US" w:bidi="en_US"/>
        </w:rPr>
      </w:r>
      <w:r>
        <w:rPr>
          <w:lang w:val="en_US" w:bidi="en_US"/>
        </w:rPr>
        <w:t>Jesus makes a new covenant with his disciples</w:t>
      </w:r>
    </w:p>
    <w:p>
      <w:pPr/>
      <w:r>
        <w:rPr>
          <w:lang w:val="en_US" w:bidi="en_US"/>
        </w:rPr>
      </w:r>
      <w:r>
        <w:rPr>
          <w:lang w:val="en_US" w:bidi="en_US"/>
        </w:rPr>
        <w:t>There are parallel passages for this section in Matthew 26:26–30, Mark 14:22–26, and 1 Corinthians 11:23–25.</w:t>
      </w:r>
    </w:p>
    <w:p>
      <w:pPr>
        <w:pStyle w:val="Heading4"/>
      </w:pPr>
      <w:r>
        <w:rPr>
          <w:lang w:val="en_US" w:bidi="en_US"/>
        </w:rPr>
        <w:t>Paragraph 22:19–20</w:t>
      </w:r>
    </w:p>
    <w:p>
      <w:pPr/>
      <w:r>
        <w:rPr>
          <w:lang w:val="en_US" w:bidi="en_US"/>
        </w:rPr>
      </w:r>
      <w:r>
        <w:rPr>
          <w:lang w:val="en_US" w:bidi="en_US"/>
        </w:rPr>
        <w:t>In these verses Jesus gave bread and wine from the Passover meal a new meaning. He revealed to his disciples that he would soon sacrifice himself for them and for all the people of the world. This meal began the Christian custom of observing the Lord’s supper regularly.</w:t>
      </w:r>
      <w:r>
        <w:rPr>
          <w:lang w:val="en_US" w:bidi="en_US"/>
        </w:rPr>
        <w:t>There is a textual issue in 22:19–20. One ancient Greek manuscript and some ancient versions omit the part of 22:19 beginning with the words “given for you” and all of 22:20. However, the vast majority of Bible scholars and all English versions on TW except the REB include these words.</w:t>
      </w:r>
    </w:p>
    <w:p>
      <w:pPr>
        <w:pStyle w:val="Heading5"/>
      </w:pPr>
      <w:r>
        <w:rPr>
          <w:lang w:val="en_US" w:bidi="en_US"/>
        </w:rPr>
        <w:t>22:20a</w:t>
      </w:r>
    </w:p>
    <w:p>
      <w:pPr/>
      <w:r>
        <w:rPr>
          <w:lang w:val="en_US" w:bidi="en_US"/>
        </w:rPr>
      </w:r>
      <w:r>
        <w:rPr>
          <w:b/>
          <w:lang w:val="en_US" w:bidi="en_US"/>
        </w:rPr>
        <w:t>In the same way, after supper He took the cup,</w:t>
      </w:r>
    </w:p>
    <w:p>
      <w:pPr>
        <w:pStyle w:val="ListBullet"/>
        <w:spacing w:line="240" w:lineRule="auto"/>
        <w:ind w:left="720"/>
      </w:pPr>
      <w:r>
        <w:rPr>
          <w:lang w:val="en_US" w:bidi="en_US"/>
        </w:rPr>
      </w:r>
      <w:r>
        <w:rPr>
          <w:lang w:val="en_US" w:bidi="en_US"/>
        </w:rPr>
        <w:t xml:space="preserve">Similarly, after supper, Jesus took the cup </w:t>
      </w:r>
      <w:r>
        <w:rPr>
          <w:lang w:val="en_US" w:bidi="en_US"/>
        </w:rPr>
        <w:t>filled with wine</w:t>
      </w:r>
      <w:r>
        <w:rPr>
          <w:lang w:val="en_US" w:bidi="en_US"/>
        </w:rPr>
        <w:t xml:space="preserve"> </w:t>
      </w:r>
      <w:r>
        <w:rPr>
          <w:lang w:val="en_US" w:bidi="en_US"/>
        </w:rPr>
        <w:t>in his hands</w:t>
      </w:r>
    </w:p>
    <w:p>
      <w:pPr>
        <w:pStyle w:val="ListBullet"/>
        <w:spacing w:line="240" w:lineRule="auto"/>
        <w:ind w:left="720"/>
      </w:pPr>
      <w:r>
        <w:rPr>
          <w:lang w:val="en_US" w:bidi="en_US"/>
        </w:rPr>
      </w:r>
      <w:r>
        <w:rPr>
          <w:lang w:val="en_US" w:bidi="en_US"/>
        </w:rPr>
        <w:t xml:space="preserve">He did the same thing with the cup </w:t>
      </w:r>
      <w:r>
        <w:rPr>
          <w:lang w:val="en_US" w:bidi="en_US"/>
        </w:rPr>
        <w:t>of wine</w:t>
      </w:r>
      <w:r>
        <w:rPr>
          <w:lang w:val="en_US" w:bidi="en_US"/>
        </w:rPr>
        <w:t xml:space="preserve"> when they finished their meal. </w:t>
      </w:r>
      <w:r>
        <w:rPr>
          <w:lang w:val="en_US" w:bidi="en_US"/>
        </w:rPr>
        <w:t>He thanked God and gave it to them to share</w:t>
      </w:r>
    </w:p>
    <w:p>
      <w:pPr/>
      <w:r>
        <w:rPr>
          <w:lang w:val="en_US" w:bidi="en_US"/>
        </w:rPr>
      </w:r>
      <w:r>
        <w:rPr>
          <w:lang w:val="en_US" w:bidi="en_US"/>
        </w:rPr>
        <w:t>A parallel verse for 22:20 is found in 1 Corinthians 11:25.</w:t>
      </w:r>
    </w:p>
    <w:p>
      <w:pPr/>
      <w:r>
        <w:rPr>
          <w:lang w:val="en_US" w:bidi="en_US"/>
        </w:rPr>
      </w:r>
      <w:r>
        <w:rPr>
          <w:b/>
          <w:lang w:val="en_US" w:bidi="en_US"/>
        </w:rPr>
        <w:t>In the same way, after supper He took the cup:</w:t>
      </w:r>
      <w:r>
        <w:rPr>
          <w:lang w:val="en_US" w:bidi="en_US"/>
        </w:rPr>
        <w:t xml:space="preserve"> In Greek this part of the verse is more literally “and the cup similarly after the eating.” It tells what Jesus did after he and his disciples ate supper. He did the same thing that he did with the bread in 22:19. This implies that he took a cup of wine in his hands, thanked God for it, and gave it to his disciples to share. Probably each disciple drank some of the wine and passed the cup to the next disciple. This is similar to the way that they shared the bread in 22:19.</w:t>
      </w:r>
    </w:p>
    <w:p>
      <w:pPr/>
      <w:r>
        <w:rPr>
          <w:lang w:val="en_US" w:bidi="en_US"/>
        </w:rPr>
      </w:r>
      <w:r>
        <w:rPr>
          <w:lang w:val="en_US" w:bidi="en_US"/>
        </w:rPr>
        <w:t>Some other ways to translate this part of the verse are:</w:t>
      </w:r>
    </w:p>
    <w:p>
      <w:pPr>
        <w:pStyle w:val="ListBullet"/>
        <w:spacing w:line="240" w:lineRule="auto"/>
        <w:ind w:left="720"/>
      </w:pPr>
      <w:r>
        <w:rPr>
          <w:lang w:val="en_US" w:bidi="en_US"/>
        </w:rPr>
      </w:r>
      <w:r>
        <w:rPr>
          <w:lang w:val="en_US" w:bidi="en_US"/>
        </w:rPr>
        <w:t>Translate it as a general summary statement. For example:</w:t>
      </w:r>
      <w:r>
        <w:rPr>
          <w:lang w:val="en_US" w:bidi="en_US"/>
        </w:rPr>
        <w:t>And he did the same with the cup after supper (NRSV)</w:t>
      </w:r>
      <w:r>
        <w:rPr>
          <w:lang w:val="en_US" w:bidi="en_US"/>
        </w:rPr>
        <w:t>When they had eaten, like that indeed also is what he did with the cup which he took</w:t>
      </w:r>
      <w:r>
        <w:rPr>
          <w:lang w:val="en_US" w:bidi="en_US"/>
        </w:rPr>
        <w:t>Kankanaey back translation on TW.</w:t>
      </w:r>
    </w:p>
    <w:p>
      <w:pPr>
        <w:pStyle w:val="ListBullet"/>
        <w:spacing w:line="240" w:lineRule="auto"/>
        <w:ind w:left="720"/>
      </w:pPr>
      <w:r>
        <w:rPr>
          <w:lang w:val="en_US" w:bidi="en_US"/>
        </w:rPr>
      </w:r>
      <w:r>
        <w:rPr>
          <w:lang w:val="en_US" w:bidi="en_US"/>
        </w:rPr>
        <w:t>Mention the specific actions again, as in 22:19. For example:</w:t>
      </w:r>
      <w:r>
        <w:rPr>
          <w:lang w:val="en_US" w:bidi="en_US"/>
        </w:rPr>
        <w:t xml:space="preserve">Similarly, after supper Jesus took the cup. </w:t>
      </w:r>
      <w:r>
        <w:rPr>
          <w:lang w:val="en_US" w:bidi="en_US"/>
        </w:rPr>
        <w:t>After giving thanks, he gave it to them</w:t>
      </w:r>
      <w:r>
        <w:rPr>
          <w:lang w:val="en_US" w:bidi="en_US"/>
        </w:rPr>
        <w:t xml:space="preserve"> </w:t>
      </w:r>
      <w:r>
        <w:rPr>
          <w:lang w:val="en_US" w:bidi="en_US"/>
        </w:rPr>
        <w:t>to share</w:t>
      </w:r>
    </w:p>
    <w:p>
      <w:pPr/>
      <w:r>
        <w:rPr>
          <w:lang w:val="en_US" w:bidi="en_US"/>
        </w:rPr>
      </w:r>
      <w:r>
        <w:rPr>
          <w:lang w:val="en_US" w:bidi="en_US"/>
        </w:rPr>
        <w:t>Notice the different order of words in these examples. Use a natural order in your language.</w:t>
      </w:r>
    </w:p>
    <w:p>
      <w:pPr/>
      <w:r>
        <w:rPr>
          <w:lang w:val="en_US" w:bidi="en_US"/>
        </w:rPr>
      </w:r>
      <w:r>
        <w:rPr>
          <w:b/>
          <w:lang w:val="en_US" w:bidi="en_US"/>
        </w:rPr>
        <w:t>after supper:</w:t>
      </w:r>
      <w:r>
        <w:rPr>
          <w:lang w:val="en_US" w:bidi="en_US"/>
        </w:rPr>
        <w:t xml:space="preserve"> The phrase </w:t>
      </w:r>
      <w:r>
        <w:rPr>
          <w:i/>
          <w:lang w:val="en_US" w:bidi="en_US"/>
        </w:rPr>
        <w:t>after supper</w:t>
      </w:r>
      <w:r>
        <w:rPr>
          <w:lang w:val="en_US" w:bidi="en_US"/>
        </w:rPr>
        <w:t xml:space="preserve"> tells when Jesus did the action in this verse. The </w:t>
      </w:r>
      <w:r>
        <w:rPr>
          <w:i/>
          <w:lang w:val="en_US" w:bidi="en_US"/>
        </w:rPr>
        <w:t>supper</w:t>
      </w:r>
      <w:r>
        <w:rPr>
          <w:lang w:val="en_US" w:bidi="en_US"/>
        </w:rPr>
        <w:t xml:space="preserve"> here refers to the main part of the Passover meal when they ate the lamb. Some other ways to translate </w:t>
      </w:r>
      <w:r>
        <w:rPr>
          <w:i/>
          <w:lang w:val="en_US" w:bidi="en_US"/>
        </w:rPr>
        <w:t>after supper</w:t>
      </w:r>
      <w:r>
        <w:rPr>
          <w:lang w:val="en_US" w:bidi="en_US"/>
        </w:rPr>
        <w:t xml:space="preserve"> are:</w:t>
      </w:r>
    </w:p>
    <w:p>
      <w:pPr/>
      <w:r>
        <w:rPr>
          <w:lang w:val="en_US" w:bidi="en_US"/>
        </w:rPr>
      </w:r>
      <w:r>
        <w:rPr>
          <w:lang w:val="en_US" w:bidi="en_US"/>
        </w:rPr>
        <w:t>after they had finished eating the supper</w:t>
      </w:r>
    </w:p>
    <w:p>
      <w:pPr/>
      <w:r>
        <w:rPr>
          <w:lang w:val="en_US" w:bidi="en_US"/>
        </w:rPr>
      </w:r>
      <w:r>
        <w:rPr>
          <w:lang w:val="en_US" w:bidi="en_US"/>
        </w:rPr>
        <w:t>After the meal (CEV)</w:t>
      </w:r>
    </w:p>
    <w:p>
      <w:pPr/>
      <w:r>
        <w:rPr>
          <w:lang w:val="en_US" w:bidi="en_US"/>
        </w:rPr>
      </w:r>
      <w:r>
        <w:rPr>
          <w:b/>
          <w:lang w:val="en_US" w:bidi="en_US"/>
        </w:rPr>
        <w:t>the cup:</w:t>
      </w:r>
      <w:r>
        <w:rPr>
          <w:lang w:val="en_US" w:bidi="en_US"/>
        </w:rPr>
        <w:t xml:space="preserve"> The phrase </w:t>
      </w:r>
      <w:r>
        <w:rPr>
          <w:i/>
          <w:lang w:val="en_US" w:bidi="en_US"/>
        </w:rPr>
        <w:t>the cup</w:t>
      </w:r>
      <w:r>
        <w:rPr>
          <w:lang w:val="en_US" w:bidi="en_US"/>
        </w:rPr>
        <w:t xml:space="preserve"> refers to the cup and the wine inside the cup. Another way to translate the phrase is:</w:t>
      </w:r>
    </w:p>
    <w:p>
      <w:pPr/>
      <w:r>
        <w:rPr>
          <w:lang w:val="en_US" w:bidi="en_US"/>
        </w:rPr>
      </w:r>
      <w:r>
        <w:rPr>
          <w:lang w:val="en_US" w:bidi="en_US"/>
        </w:rPr>
        <w:t>the cup filled with wine</w:t>
      </w:r>
      <w:r>
        <w:rPr>
          <w:lang w:val="en_US" w:bidi="en_US"/>
        </w:rPr>
        <w:t>Uma back translation on TW. Some scholars feel that this cup may have been a different cup from the cup in 22:17, or it may have been the same cup that someone had filled again with wine. The NLT and CEV specify “another cup of wine.” Whether or not Jesus used the same cup in both 22:17 and 22:20 is not an important detail. However, since the definite article occurs in Greek, it seems likely that the same cup was used.</w:t>
      </w:r>
    </w:p>
    <w:p>
      <w:pPr>
        <w:pStyle w:val="Heading5"/>
      </w:pPr>
      <w:r>
        <w:rPr>
          <w:lang w:val="en_US" w:bidi="en_US"/>
        </w:rPr>
        <w:t>22:20b</w:t>
      </w:r>
    </w:p>
    <w:p>
      <w:pPr/>
      <w:r>
        <w:rPr>
          <w:lang w:val="en_US" w:bidi="en_US"/>
        </w:rPr>
      </w:r>
      <w:r>
        <w:rPr>
          <w:b/>
          <w:lang w:val="en_US" w:bidi="en_US"/>
        </w:rPr>
        <w:t>saying, “This cup is the new covenant</w:t>
      </w:r>
    </w:p>
    <w:p>
      <w:pPr>
        <w:pStyle w:val="ListBullet"/>
        <w:spacing w:line="240" w:lineRule="auto"/>
        <w:ind w:left="720"/>
      </w:pPr>
      <w:r>
        <w:rPr>
          <w:lang w:val="en_US" w:bidi="en_US"/>
        </w:rPr>
      </w:r>
      <w:r>
        <w:rPr>
          <w:lang w:val="en_US" w:bidi="en_US"/>
        </w:rPr>
        <w:t>and said, “This cup is/represents the new covenant.</w:t>
      </w:r>
    </w:p>
    <w:p>
      <w:pPr>
        <w:pStyle w:val="ListBullet"/>
        <w:spacing w:line="240" w:lineRule="auto"/>
        <w:ind w:left="720"/>
      </w:pPr>
      <w:r>
        <w:rPr>
          <w:lang w:val="en_US" w:bidi="en_US"/>
        </w:rPr>
      </w:r>
      <w:r>
        <w:rPr>
          <w:lang w:val="en_US" w:bidi="en_US"/>
        </w:rPr>
        <w:t xml:space="preserve">saying, “This cup </w:t>
      </w:r>
      <w:r>
        <w:rPr>
          <w:lang w:val="en_US" w:bidi="en_US"/>
        </w:rPr>
        <w:t>of wine</w:t>
      </w:r>
      <w:r>
        <w:rPr>
          <w:lang w:val="en_US" w:bidi="en_US"/>
        </w:rPr>
        <w:t xml:space="preserve"> </w:t>
      </w:r>
      <w:r>
        <w:rPr>
          <w:lang w:val="en_US" w:bidi="en_US"/>
        </w:rPr>
        <w:t>symbolizes</w:t>
      </w:r>
      <w:r>
        <w:rPr>
          <w:lang w:val="en_US" w:bidi="en_US"/>
        </w:rPr>
        <w:t xml:space="preserve"> the new agreement </w:t>
      </w:r>
      <w:r>
        <w:rPr>
          <w:lang w:val="en_US" w:bidi="en_US"/>
        </w:rPr>
        <w:t>between God and his people</w:t>
      </w:r>
      <w:r>
        <w:rPr>
          <w:lang w:val="en_US" w:bidi="en_US"/>
        </w:rPr>
        <w:t>.</w:t>
      </w:r>
    </w:p>
    <w:p>
      <w:pPr>
        <w:pStyle w:val="Heading5"/>
      </w:pPr>
      <w:r>
        <w:rPr>
          <w:lang w:val="en_US" w:bidi="en_US"/>
        </w:rPr>
        <w:t>22:20c</w:t>
      </w:r>
    </w:p>
    <w:p>
      <w:pPr/>
      <w:r>
        <w:rPr>
          <w:lang w:val="en_US" w:bidi="en_US"/>
        </w:rPr>
      </w:r>
      <w:r>
        <w:rPr>
          <w:b/>
          <w:lang w:val="en_US" w:bidi="en_US"/>
        </w:rPr>
        <w:t>in My blood,</w:t>
      </w:r>
    </w:p>
    <w:p>
      <w:pPr>
        <w:pStyle w:val="ListBullet"/>
        <w:spacing w:line="240" w:lineRule="auto"/>
        <w:ind w:left="720"/>
      </w:pPr>
      <w:r>
        <w:rPr>
          <w:lang w:val="en_US" w:bidi="en_US"/>
        </w:rPr>
      </w:r>
      <w:r>
        <w:rPr>
          <w:lang w:val="en_US" w:bidi="en_US"/>
        </w:rPr>
        <w:t>It will be confirmed by my blood,</w:t>
      </w:r>
    </w:p>
    <w:p>
      <w:pPr>
        <w:pStyle w:val="ListBullet"/>
        <w:spacing w:line="240" w:lineRule="auto"/>
        <w:ind w:left="720"/>
      </w:pPr>
      <w:r>
        <w:rPr>
          <w:lang w:val="en_US" w:bidi="en_US"/>
        </w:rPr>
      </w:r>
      <w:r>
        <w:rPr>
          <w:lang w:val="en_US" w:bidi="en_US"/>
        </w:rPr>
        <w:t>My blood will ratify/confirm it</w:t>
      </w:r>
    </w:p>
    <w:p>
      <w:pPr>
        <w:pStyle w:val="Heading5"/>
      </w:pPr>
      <w:r>
        <w:rPr>
          <w:lang w:val="en_US" w:bidi="en_US"/>
        </w:rPr>
        <w:t>22:20b–c</w:t>
      </w:r>
    </w:p>
    <w:p>
      <w:pPr/>
      <w:r>
        <w:rPr>
          <w:lang w:val="en_US" w:bidi="en_US"/>
        </w:rPr>
      </w:r>
      <w:r>
        <w:rPr>
          <w:b/>
          <w:lang w:val="en_US" w:bidi="en_US"/>
        </w:rPr>
        <w:t>saying, “This cup is the new covenant in My blood…”:</w:t>
      </w:r>
      <w:r>
        <w:rPr>
          <w:lang w:val="en_US" w:bidi="en_US"/>
        </w:rPr>
        <w:t xml:space="preserve"> In this statement Jesus invited his disciples to share in the new covenant through drinking from the cup of wine. In some languages it may be necessary to make this explicit. For example:</w:t>
      </w:r>
    </w:p>
    <w:p>
      <w:pPr/>
      <w:r>
        <w:rPr>
          <w:lang w:val="en_US" w:bidi="en_US"/>
        </w:rPr>
      </w:r>
      <w:r>
        <w:rPr>
          <w:lang w:val="en_US" w:bidi="en_US"/>
        </w:rPr>
        <w:t xml:space="preserve">and told them </w:t>
      </w:r>
      <w:r>
        <w:rPr>
          <w:lang w:val="en_US" w:bidi="en_US"/>
        </w:rPr>
        <w:t>to share the wine</w:t>
      </w:r>
      <w:r>
        <w:rPr>
          <w:lang w:val="en_US" w:bidi="en_US"/>
        </w:rPr>
        <w:t xml:space="preserve">. He said, “This cup </w:t>
      </w:r>
      <w:r>
        <w:rPr>
          <w:lang w:val="en_US" w:bidi="en_US"/>
        </w:rPr>
        <w:t>of wine</w:t>
      </w:r>
      <w:r>
        <w:rPr>
          <w:lang w:val="en_US" w:bidi="en_US"/>
        </w:rPr>
        <w:t xml:space="preserve"> is the new covenant….”</w:t>
      </w:r>
    </w:p>
    <w:p>
      <w:pPr/>
      <w:r>
        <w:rPr>
          <w:lang w:val="en_US" w:bidi="en_US"/>
        </w:rPr>
      </w:r>
      <w:r>
        <w:rPr>
          <w:b/>
          <w:lang w:val="en_US" w:bidi="en_US"/>
        </w:rPr>
        <w:t>This cup is the new covenant in My blood:</w:t>
      </w:r>
      <w:r>
        <w:rPr>
          <w:lang w:val="en_US" w:bidi="en_US"/>
        </w:rPr>
        <w:t xml:space="preserve"> Jesus used the cup of wine in his hands to represent the </w:t>
      </w:r>
      <w:r>
        <w:rPr>
          <w:i/>
          <w:lang w:val="en_US" w:bidi="en_US"/>
        </w:rPr>
        <w:t>new covenant</w:t>
      </w:r>
      <w:r>
        <w:rPr>
          <w:lang w:val="en_US" w:bidi="en_US"/>
        </w:rPr>
        <w:t xml:space="preserve"> that God would make with people through Jesus’ blood. It was different from the covenants that God made with his people in the Old Testament. In those covenants God required people to sacrifice animals. The covenant was confirmed by the animals’ blood. In the new covenant, Jesus himself would die as a sacrifice, and his blood would confirm the covenant.</w:t>
      </w:r>
    </w:p>
    <w:p>
      <w:pPr/>
      <w:r>
        <w:rPr>
          <w:lang w:val="en_US" w:bidi="en_US"/>
        </w:rPr>
      </w:r>
      <w:r>
        <w:rPr>
          <w:lang w:val="en_US" w:bidi="en_US"/>
        </w:rPr>
        <w:t>Some ways to translate the statement are:</w:t>
      </w:r>
    </w:p>
    <w:p>
      <w:pPr/>
      <w:r>
        <w:rPr>
          <w:lang w:val="en_US" w:bidi="en_US"/>
        </w:rPr>
      </w:r>
      <w:r>
        <w:rPr>
          <w:lang w:val="en_US" w:bidi="en_US"/>
        </w:rPr>
        <w:t xml:space="preserve">This cup </w:t>
      </w:r>
      <w:r>
        <w:rPr>
          <w:lang w:val="en_US" w:bidi="en_US"/>
        </w:rPr>
        <w:t>of wine</w:t>
      </w:r>
      <w:r>
        <w:rPr>
          <w:lang w:val="en_US" w:bidi="en_US"/>
        </w:rPr>
        <w:t xml:space="preserve"> is the new covenant. It is confirmed by my blood</w:t>
      </w:r>
    </w:p>
    <w:p>
      <w:pPr/>
      <w:r>
        <w:rPr>
          <w:lang w:val="en_US" w:bidi="en_US"/>
        </w:rPr>
      </w:r>
      <w:r>
        <w:rPr>
          <w:lang w:val="en_US" w:bidi="en_US"/>
        </w:rPr>
        <w:t>This cup, it is God’s new agreement which will be ratified…by my blood</w:t>
      </w:r>
      <w:r>
        <w:rPr>
          <w:lang w:val="en_US" w:bidi="en_US"/>
        </w:rPr>
        <w:t>Kankanaey back translation on TW.</w:t>
      </w:r>
    </w:p>
    <w:p>
      <w:pPr/>
      <w:r>
        <w:rPr>
          <w:lang w:val="en_US" w:bidi="en_US"/>
        </w:rPr>
      </w:r>
      <w:r>
        <w:rPr>
          <w:b/>
          <w:lang w:val="en_US" w:bidi="en_US"/>
        </w:rPr>
        <w:t>This cup:</w:t>
      </w:r>
      <w:r>
        <w:rPr>
          <w:lang w:val="en_US" w:bidi="en_US"/>
        </w:rPr>
        <w:t xml:space="preserve"> The phrase </w:t>
      </w:r>
      <w:r>
        <w:rPr>
          <w:i/>
          <w:lang w:val="en_US" w:bidi="en_US"/>
        </w:rPr>
        <w:t>This cup</w:t>
      </w:r>
      <w:r>
        <w:rPr>
          <w:lang w:val="en_US" w:bidi="en_US"/>
        </w:rPr>
        <w:t xml:space="preserve"> refers especially to the wine that was in the cup.</w:t>
      </w:r>
    </w:p>
    <w:p>
      <w:pPr/>
      <w:r>
        <w:rPr>
          <w:lang w:val="en_US" w:bidi="en_US"/>
        </w:rPr>
      </w:r>
      <w:r>
        <w:rPr>
          <w:b/>
          <w:lang w:val="en_US" w:bidi="en_US"/>
        </w:rPr>
        <w:t>the new covenant in My blood:</w:t>
      </w:r>
      <w:r>
        <w:rPr>
          <w:lang w:val="en_US" w:bidi="en_US"/>
        </w:rPr>
        <w:t xml:space="preserve"> In this context the phrase </w:t>
      </w:r>
      <w:r>
        <w:rPr>
          <w:i/>
          <w:lang w:val="en_US" w:bidi="en_US"/>
        </w:rPr>
        <w:t>in My blood</w:t>
      </w:r>
      <w:r>
        <w:rPr>
          <w:lang w:val="en_US" w:bidi="en_US"/>
        </w:rPr>
        <w:t xml:space="preserve"> means “by/through my blood.” It indicates that Jesus’ blood would ratify/confirm the covenant. It would cause the covenant to come into effect. Here is another way to translate this:</w:t>
      </w:r>
    </w:p>
    <w:p>
      <w:pPr/>
      <w:r>
        <w:rPr>
          <w:lang w:val="en_US" w:bidi="en_US"/>
        </w:rPr>
      </w:r>
      <w:r>
        <w:rPr>
          <w:lang w:val="en_US" w:bidi="en_US"/>
        </w:rPr>
        <w:t>This new agreement begins with my blood (NCV)</w:t>
      </w:r>
    </w:p>
    <w:p>
      <w:pPr/>
      <w:r>
        <w:rPr>
          <w:lang w:val="en_US" w:bidi="en_US"/>
        </w:rPr>
      </w:r>
      <w:r>
        <w:rPr>
          <w:lang w:val="en_US" w:bidi="en_US"/>
        </w:rPr>
        <w:t>Translate this phrase in a natural way in your language. See also the translation examples in the preceding note.</w:t>
      </w:r>
    </w:p>
    <w:p>
      <w:pPr/>
      <w:r>
        <w:rPr>
          <w:lang w:val="en_US" w:bidi="en_US"/>
        </w:rPr>
      </w:r>
      <w:r>
        <w:rPr>
          <w:b/>
          <w:lang w:val="en_US" w:bidi="en_US"/>
        </w:rPr>
        <w:t>covenant:</w:t>
      </w:r>
      <w:r>
        <w:rPr>
          <w:lang w:val="en_US" w:bidi="en_US"/>
        </w:rPr>
        <w:t xml:space="preserve"> A </w:t>
      </w:r>
      <w:r>
        <w:rPr>
          <w:i/>
          <w:lang w:val="en_US" w:bidi="en_US"/>
        </w:rPr>
        <w:t>covenant</w:t>
      </w:r>
      <w:r>
        <w:rPr>
          <w:lang w:val="en_US" w:bidi="en_US"/>
        </w:rPr>
        <w:t xml:space="preserve"> is a binding agreement made between two persons or groups. It establishes a relationship of peace or loyalty between them. They promise to be faithful to this agreement.</w:t>
      </w:r>
    </w:p>
    <w:p>
      <w:pPr/>
      <w:r>
        <w:rPr>
          <w:lang w:val="en_US" w:bidi="en_US"/>
        </w:rPr>
      </w:r>
      <w:r>
        <w:rPr>
          <w:lang w:val="en_US" w:bidi="en_US"/>
        </w:rPr>
        <w:t>In some languages it may be necessary to indicate that God makes the covenant with his people. For example:</w:t>
      </w:r>
    </w:p>
    <w:p>
      <w:pPr/>
      <w:r>
        <w:rPr>
          <w:lang w:val="en_US" w:bidi="en_US"/>
        </w:rPr>
      </w:r>
      <w:r>
        <w:rPr>
          <w:lang w:val="en_US" w:bidi="en_US"/>
        </w:rPr>
        <w:t>the new agreement that God makes with his people (NCV)</w:t>
      </w:r>
    </w:p>
    <w:p>
      <w:pPr/>
      <w:r>
        <w:rPr>
          <w:lang w:val="en_US" w:bidi="en_US"/>
        </w:rPr>
      </w:r>
      <w:r>
        <w:rPr>
          <w:lang w:val="en_US" w:bidi="en_US"/>
        </w:rPr>
        <w:t xml:space="preserve">The word </w:t>
      </w:r>
      <w:r>
        <w:rPr>
          <w:i/>
          <w:lang w:val="en_US" w:bidi="en_US"/>
        </w:rPr>
        <w:t>covenant</w:t>
      </w:r>
      <w:r>
        <w:rPr>
          <w:lang w:val="en_US" w:bidi="en_US"/>
        </w:rPr>
        <w:t xml:space="preserve"> occurs one other time in Luke at 1:72. For more information, see covenant in the Glossary.</w:t>
      </w:r>
    </w:p>
    <w:p>
      <w:pPr>
        <w:pStyle w:val="Heading5"/>
      </w:pPr>
      <w:r>
        <w:rPr>
          <w:lang w:val="en_US" w:bidi="en_US"/>
        </w:rPr>
        <w:t>22:20d</w:t>
      </w:r>
    </w:p>
    <w:p>
      <w:pPr/>
      <w:r>
        <w:rPr>
          <w:lang w:val="en_US" w:bidi="en_US"/>
        </w:rPr>
      </w:r>
      <w:r>
        <w:rPr>
          <w:b/>
          <w:lang w:val="en_US" w:bidi="en_US"/>
        </w:rPr>
        <w:t>which is poured out for you.</w:t>
      </w:r>
    </w:p>
    <w:p>
      <w:pPr>
        <w:pStyle w:val="ListBullet"/>
        <w:spacing w:line="240" w:lineRule="auto"/>
        <w:ind w:left="720"/>
      </w:pPr>
      <w:r>
        <w:rPr>
          <w:lang w:val="en_US" w:bidi="en_US"/>
        </w:rPr>
      </w:r>
      <w:r>
        <w:rPr>
          <w:lang w:val="en_US" w:bidi="en_US"/>
        </w:rPr>
        <w:t>which will be spilled/given for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when </w:t>
      </w:r>
      <w:r>
        <w:rPr>
          <w:lang w:val="en_US" w:bidi="en_US"/>
        </w:rPr>
        <w:t>I</w:t>
      </w:r>
      <w:r>
        <w:rPr>
          <w:lang w:val="en_US" w:bidi="en_US"/>
        </w:rPr>
        <w:t xml:space="preserve"> shed/give it for your</w:t>
      </w:r>
      <w:r>
        <w:rPr>
          <w:vertAlign w:val="superscript"/>
          <w:lang w:val="en_US" w:bidi="en_US"/>
        </w:rPr>
        <w:t>(plur)</w:t>
      </w:r>
      <w:r>
        <w:rPr>
          <w:lang w:val="en_US" w:bidi="en_US"/>
        </w:rPr>
        <w:t xml:space="preserve"> sakes.</w:t>
      </w:r>
    </w:p>
    <w:p>
      <w:pPr>
        <w:pStyle w:val="ListBullet"/>
        <w:spacing w:line="240" w:lineRule="auto"/>
        <w:ind w:left="720"/>
      </w:pPr>
      <w:r>
        <w:rPr>
          <w:lang w:val="en_US" w:bidi="en_US"/>
        </w:rPr>
      </w:r>
      <w:r>
        <w:rPr>
          <w:lang w:val="en_US" w:bidi="en_US"/>
        </w:rPr>
        <w:t xml:space="preserve">when </w:t>
      </w:r>
      <w:r>
        <w:rPr>
          <w:lang w:val="en_US" w:bidi="en_US"/>
        </w:rPr>
        <w:t>I die</w:t>
      </w:r>
      <w:r>
        <w:rPr>
          <w:lang w:val="en_US" w:bidi="en_US"/>
        </w:rPr>
        <w:t xml:space="preserve"> as a sacrifice for you</w:t>
      </w:r>
      <w:r>
        <w:rPr>
          <w:vertAlign w:val="superscript"/>
          <w:lang w:val="en_US" w:bidi="en_US"/>
        </w:rPr>
        <w:t>(plur)</w:t>
      </w:r>
      <w:r>
        <w:rPr>
          <w:lang w:val="en_US" w:bidi="en_US"/>
        </w:rPr>
        <w:t>.”</w:t>
      </w:r>
    </w:p>
    <w:p>
      <w:pPr/>
      <w:r>
        <w:rPr>
          <w:lang w:val="en_US" w:bidi="en_US"/>
        </w:rPr>
      </w:r>
      <w:r>
        <w:rPr>
          <w:b/>
          <w:lang w:val="en_US" w:bidi="en_US"/>
        </w:rPr>
        <w:t>which is poured out for you:</w:t>
      </w:r>
      <w:r>
        <w:rPr>
          <w:lang w:val="en_US" w:bidi="en_US"/>
        </w:rPr>
        <w:t xml:space="preserve"> There are two ways to interpret the phrase </w:t>
      </w:r>
      <w:r>
        <w:rPr>
          <w:i/>
          <w:lang w:val="en_US" w:bidi="en_US"/>
        </w:rPr>
        <w:t>which is poured out for you</w:t>
      </w:r>
      <w:r>
        <w:rPr>
          <w:lang w:val="en_US" w:bidi="en_US"/>
        </w:rPr>
        <w:t>:</w:t>
      </w:r>
    </w:p>
    <w:p>
      <w:pPr>
        <w:pStyle w:val="ListNumber"/>
        <w:numPr>
          <w:ilvl w:val="0"/>
          <w:numId w:val="353"/>
        </w:numPr>
        <w:spacing w:line="240" w:lineRule="auto"/>
        <w:ind w:left="720"/>
      </w:pPr>
      <w:r>
        <w:rPr>
          <w:lang w:val="en_US" w:bidi="en_US"/>
        </w:rPr>
      </w:r>
      <w:r>
        <w:rPr>
          <w:lang w:val="en_US" w:bidi="en_US"/>
        </w:rPr>
        <w:t>It refers to Jesus’ blood, which would be poured out for them when he died. For example:</w:t>
      </w:r>
      <w:r>
        <w:rPr>
          <w:lang w:val="en_US" w:bidi="en_US"/>
        </w:rPr>
        <w:t xml:space="preserve">my blood, which is poured out as a sacrifice for you (NLT) </w:t>
      </w:r>
      <w:r>
        <w:rPr>
          <w:i/>
          <w:lang w:val="en_US" w:bidi="en_US"/>
        </w:rPr>
        <w:t>(BSB, NIV, GNT, NJB, CEV, NLT, NCV, JBP)</w:t>
      </w:r>
    </w:p>
    <w:p>
      <w:pPr>
        <w:pStyle w:val="ListNumber"/>
        <w:spacing w:line="240" w:lineRule="auto"/>
        <w:ind w:left="720"/>
      </w:pPr>
      <w:r>
        <w:rPr>
          <w:lang w:val="en_US" w:bidi="en_US"/>
        </w:rPr>
      </w:r>
      <w:r>
        <w:rPr>
          <w:lang w:val="en_US" w:bidi="en_US"/>
        </w:rPr>
        <w:t>It refers to the cup that was poured out for them at the supper. For example:</w:t>
      </w:r>
      <w:r>
        <w:rPr>
          <w:lang w:val="en_US" w:bidi="en_US"/>
        </w:rPr>
        <w:t xml:space="preserve">This cup which is poured out for you (RSV) </w:t>
      </w:r>
      <w:r>
        <w:rPr>
          <w:i/>
          <w:lang w:val="en_US" w:bidi="en_US"/>
        </w:rPr>
        <w:t>(RSV, ESV, GW, NASB, NET)</w:t>
      </w:r>
    </w:p>
    <w:p>
      <w:pPr/>
      <w:r>
        <w:rPr>
          <w:lang w:val="en_US" w:bidi="en_US"/>
        </w:rPr>
      </w:r>
      <w:r>
        <w:rPr>
          <w:lang w:val="en_US" w:bidi="en_US"/>
        </w:rPr>
        <w:t>It is recommended that you follow interpretation (1), along with most Bible scholars. This interpretation fits the meaning in this context, and it agrees with the parallel verses in Matthew 26:28 and Mark 14:24.</w:t>
      </w:r>
    </w:p>
    <w:p>
      <w:pPr/>
      <w:r>
        <w:rPr>
          <w:lang w:val="en_US" w:bidi="en_US"/>
        </w:rPr>
      </w:r>
      <w:r>
        <w:rPr>
          <w:lang w:val="en_US" w:bidi="en_US"/>
        </w:rPr>
        <w:t>Another way to translate this interpretation in this verse is:</w:t>
      </w:r>
    </w:p>
    <w:p>
      <w:pPr/>
      <w:r>
        <w:rPr>
          <w:lang w:val="en_US" w:bidi="en_US"/>
        </w:rPr>
      </w:r>
      <w:r>
        <w:rPr>
          <w:lang w:val="en_US" w:bidi="en_US"/>
        </w:rPr>
        <w:t>This drink is the sign of God’s new covenant with you. This covenant of God is sure/confirmed because my blood is poured out for you.</w:t>
      </w:r>
      <w:r>
        <w:rPr>
          <w:lang w:val="en_US" w:bidi="en_US"/>
        </w:rPr>
        <w:t>Yakan back translation on TW.</w:t>
      </w:r>
    </w:p>
    <w:p>
      <w:pPr/>
      <w:r>
        <w:rPr>
          <w:lang w:val="en_US" w:bidi="en_US"/>
        </w:rPr>
      </w:r>
      <w:r>
        <w:rPr>
          <w:b/>
          <w:lang w:val="en_US" w:bidi="en_US"/>
        </w:rPr>
        <w:t>poured out:</w:t>
      </w:r>
      <w:r>
        <w:rPr>
          <w:lang w:val="en_US" w:bidi="en_US"/>
        </w:rPr>
        <w:t xml:space="preserve"> The Greek verb that the BSB translates as </w:t>
      </w:r>
      <w:r>
        <w:rPr>
          <w:i/>
          <w:lang w:val="en_US" w:bidi="en_US"/>
        </w:rPr>
        <w:t>poured out</w:t>
      </w:r>
      <w:r>
        <w:rPr>
          <w:lang w:val="en_US" w:bidi="en_US"/>
        </w:rPr>
        <w:t xml:space="preserve"> refers to emitting a large amount of liquid. It can be used of both blood and wine. In some languages different verbs are used to refer to the flowing of blood and the pouring of wine. If that is true in your language, use a verb that is appropriate for referring to blood flowing.</w:t>
      </w:r>
    </w:p>
    <w:p>
      <w:pPr/>
      <w:r>
        <w:rPr>
          <w:lang w:val="en_US" w:bidi="en_US"/>
        </w:rPr>
      </w:r>
      <w:r>
        <w:rPr>
          <w:b/>
          <w:lang w:val="en_US" w:bidi="en_US"/>
        </w:rPr>
        <w:t>for you:</w:t>
      </w:r>
      <w:r>
        <w:rPr>
          <w:lang w:val="en_US" w:bidi="en_US"/>
        </w:rPr>
        <w:t xml:space="preserve"> The Greek phrase that the BSB translates as </w:t>
      </w:r>
      <w:r>
        <w:rPr>
          <w:i/>
          <w:lang w:val="en_US" w:bidi="en_US"/>
        </w:rPr>
        <w:t>for you</w:t>
      </w:r>
      <w:r>
        <w:rPr>
          <w:lang w:val="en_US" w:bidi="en_US"/>
        </w:rPr>
        <w:t xml:space="preserve"> was also used in 22:19d to refer to Jesus’ body “given for you.” See the note there.</w:t>
      </w:r>
    </w:p>
    <w:p>
      <w:pPr/>
      <w:r>
        <w:rPr>
          <w:lang w:val="en_US" w:bidi="en_US"/>
        </w:rPr>
      </w:r>
      <w:r>
        <w:rPr>
          <w:b/>
          <w:lang w:val="en_US" w:bidi="en_US"/>
        </w:rPr>
        <w:t>you:</w:t>
      </w:r>
      <w:r>
        <w:rPr>
          <w:lang w:val="en_US" w:bidi="en_US"/>
        </w:rPr>
        <w:t xml:space="preserve"> The word </w:t>
      </w:r>
      <w:r>
        <w:rPr>
          <w:i/>
          <w:lang w:val="en_US" w:bidi="en_US"/>
        </w:rPr>
        <w:t>you</w:t>
      </w:r>
      <w:r>
        <w:rPr>
          <w:lang w:val="en_US" w:bidi="en_US"/>
        </w:rPr>
        <w:t xml:space="preserve"> refers to the apostles and also to all people who will trust in Jesus. They are God’s people with whom he makes the new covenant.</w:t>
      </w:r>
      <w:r>
        <w:rPr>
          <w:lang w:val="en_US" w:bidi="en_US"/>
        </w:rPr>
      </w:r>
      <w:r>
        <w:rPr>
          <w:lang w:val="en_US" w:bidi="en_US"/>
        </w:rPr>
      </w:r>
    </w:p>
    <w:p>
      <w:pPr/>
      <w:r>
        <w:rPr>
          <w:lang w:val="en_US" w:bidi="en_US"/>
        </w:rPr>
      </w:r>
    </w:p>
    <w:p>
      <w:pPr>
        <w:pStyle w:val="Heading2"/>
      </w:pPr>
      <w:r>
        <w:rPr>
          <w:lang w:val="en_US" w:bidi="en_US"/>
        </w:rPr>
        <w:t>Luke 22:21</w:t>
      </w:r>
      <w:r>
        <w:rPr>
          <w:lang w:val="en_US" w:bidi="en_US"/>
        </w:rPr>
      </w:r>
    </w:p>
    <w:p>
      <w:pPr>
        <w:pStyle w:val="Heading4"/>
      </w:pPr>
      <w:r>
        <w:rPr>
          <w:lang w:val="en_US" w:bidi="en_US"/>
        </w:rPr>
        <w:t>Section 22:14–23: Jesus gave his disciples bread and wine with a special meaning</w:t>
      </w:r>
    </w:p>
    <w:p>
      <w:pPr/>
      <w:r>
        <w:rPr>
          <w:lang w:val="en_US" w:bidi="en_US"/>
        </w:rPr>
      </w:r>
      <w:r>
        <w:rPr>
          <w:lang w:val="en_US" w:bidi="en_US"/>
        </w:rPr>
        <w:t>In this section Jesus ate his last meal with his twelve disciples before he died. During this Passover meal, Jesus told them about the new covenant that he was making with them. He took bread and gave thanks to God. Then he divided the bread into pieces and gave it to his disciples to share. He said to them, “This is my body, given for you.” After the main meal, he gave his disciples a cup of wine to drink from. He said, “This cup is the new covenant in my blood, which is poured out for you.” When Jesus said these things, he indicated that he would sacrifice himself by dying as a substitute for his disciples to save them from slavery to sin. By doing this, he would fulfill the real meaning of Passover. As God saved the people of Israel who put the blood of the Passover lamb on their doors, he will save the people who trust in Jesus’ sacrifice for them.</w:t>
      </w:r>
    </w:p>
    <w:p>
      <w:pPr/>
      <w:r>
        <w:rPr>
          <w:lang w:val="en_US" w:bidi="en_US"/>
        </w:rPr>
      </w:r>
      <w:r>
        <w:rPr>
          <w:lang w:val="en_US" w:bidi="en_US"/>
        </w:rPr>
        <w:t>Jesus told his disciples to continue to remember him by taking bread and wine as his body and blood given for them. This thanksgiving service is now called the Eucharist, from the Greek word that means “thanksgiving.” It is also called the Lord’s Supper and Holy Communion.</w:t>
      </w:r>
    </w:p>
    <w:p>
      <w:pPr/>
      <w:r>
        <w:rPr>
          <w:lang w:val="en_US" w:bidi="en_US"/>
        </w:rPr>
      </w:r>
      <w:r>
        <w:rPr>
          <w:lang w:val="en_US" w:bidi="en_US"/>
        </w:rPr>
        <w:t>Some other examples of headings for this section are:</w:t>
      </w:r>
    </w:p>
    <w:p>
      <w:pPr/>
      <w:r>
        <w:rPr>
          <w:lang w:val="en_US" w:bidi="en_US"/>
        </w:rPr>
      </w:r>
      <w:r>
        <w:rPr>
          <w:lang w:val="en_US" w:bidi="en_US"/>
        </w:rPr>
        <w:t>The Lord’s Supper (NET)</w:t>
      </w:r>
    </w:p>
    <w:p>
      <w:pPr/>
      <w:r>
        <w:rPr>
          <w:lang w:val="en_US" w:bidi="en_US"/>
        </w:rPr>
      </w:r>
      <w:r>
        <w:rPr>
          <w:lang w:val="en_US" w:bidi="en_US"/>
        </w:rPr>
        <w:t>Jesus established the Thanksgiving/Eucharist celebration</w:t>
      </w:r>
    </w:p>
    <w:p>
      <w:pPr/>
      <w:r>
        <w:rPr>
          <w:lang w:val="en_US" w:bidi="en_US"/>
        </w:rPr>
      </w:r>
      <w:r>
        <w:rPr>
          <w:lang w:val="en_US" w:bidi="en_US"/>
        </w:rPr>
        <w:t>Jesus sacrifices his body and blood to save his disciples</w:t>
      </w:r>
    </w:p>
    <w:p>
      <w:pPr/>
      <w:r>
        <w:rPr>
          <w:lang w:val="en_US" w:bidi="en_US"/>
        </w:rPr>
      </w:r>
      <w:r>
        <w:rPr>
          <w:lang w:val="en_US" w:bidi="en_US"/>
        </w:rPr>
        <w:t>Jesus makes a new covenant with his disciples</w:t>
      </w:r>
    </w:p>
    <w:p>
      <w:pPr/>
      <w:r>
        <w:rPr>
          <w:lang w:val="en_US" w:bidi="en_US"/>
        </w:rPr>
      </w:r>
      <w:r>
        <w:rPr>
          <w:lang w:val="en_US" w:bidi="en_US"/>
        </w:rPr>
        <w:t>There are parallel passages for this section in Matthew 26:26–30, Mark 14:22–26, and 1 Corinthians 11:23–25.</w:t>
      </w:r>
    </w:p>
    <w:p>
      <w:pPr>
        <w:pStyle w:val="Heading5"/>
      </w:pPr>
      <w:r>
        <w:rPr>
          <w:lang w:val="en_US" w:bidi="en_US"/>
        </w:rPr>
        <w:t>22:21a</w:t>
      </w:r>
    </w:p>
    <w:p>
      <w:pPr/>
      <w:r>
        <w:rPr>
          <w:lang w:val="en_US" w:bidi="en_US"/>
        </w:rPr>
      </w:r>
      <w:r>
        <w:rPr>
          <w:b/>
          <w:lang w:val="en_US" w:bidi="en_US"/>
        </w:rPr>
        <w:t>Look! The hand of My betrayer</w:t>
      </w:r>
    </w:p>
    <w:p>
      <w:pPr>
        <w:pStyle w:val="ListBullet"/>
        <w:spacing w:line="240" w:lineRule="auto"/>
        <w:ind w:left="720"/>
      </w:pPr>
      <w:r>
        <w:rPr>
          <w:lang w:val="en_US" w:bidi="en_US"/>
        </w:rPr>
      </w:r>
      <w:r>
        <w:rPr>
          <w:lang w:val="en_US" w:bidi="en_US"/>
        </w:rPr>
        <w:t>¶ “But listen! The person who is about to betray/deliver me to my enemies</w:t>
      </w:r>
    </w:p>
    <w:p>
      <w:pPr>
        <w:pStyle w:val="ListBullet"/>
        <w:spacing w:line="240" w:lineRule="auto"/>
        <w:ind w:left="720"/>
      </w:pPr>
      <w:r>
        <w:rPr>
          <w:lang w:val="en_US" w:bidi="en_US"/>
        </w:rPr>
      </w:r>
      <w:r>
        <w:rPr>
          <w:lang w:val="en_US" w:bidi="en_US"/>
        </w:rPr>
        <w:t xml:space="preserve">¶ </w:t>
      </w:r>
      <w:r>
        <w:rPr>
          <w:lang w:val="en_US" w:bidi="en_US"/>
        </w:rPr>
        <w:t>Then Jesus said,</w:t>
      </w:r>
      <w:r>
        <w:rPr>
          <w:lang w:val="en_US" w:bidi="en_US"/>
        </w:rPr>
        <w:t xml:space="preserve"> “But the man who will </w:t>
      </w:r>
      <w:r>
        <w:rPr>
          <w:lang w:val="en_US" w:bidi="en_US"/>
        </w:rPr>
        <w:t>soon</w:t>
      </w:r>
      <w:r>
        <w:rPr>
          <w:lang w:val="en_US" w:bidi="en_US"/>
        </w:rPr>
        <w:t xml:space="preserve"> help my enemies arrest me</w:t>
      </w:r>
    </w:p>
    <w:p>
      <w:pPr>
        <w:pStyle w:val="Heading5"/>
      </w:pPr>
      <w:r>
        <w:rPr>
          <w:lang w:val="en_US" w:bidi="en_US"/>
        </w:rPr>
        <w:t>22:21b</w:t>
      </w:r>
    </w:p>
    <w:p>
      <w:pPr/>
      <w:r>
        <w:rPr>
          <w:lang w:val="en_US" w:bidi="en_US"/>
        </w:rPr>
      </w:r>
      <w:r>
        <w:rPr>
          <w:b/>
          <w:lang w:val="en_US" w:bidi="en_US"/>
        </w:rPr>
        <w:t>is with Mine on the table.</w:t>
      </w:r>
    </w:p>
    <w:p>
      <w:pPr>
        <w:pStyle w:val="ListBullet"/>
        <w:spacing w:line="240" w:lineRule="auto"/>
        <w:ind w:left="720"/>
      </w:pPr>
      <w:r>
        <w:rPr>
          <w:lang w:val="en_US" w:bidi="en_US"/>
        </w:rPr>
      </w:r>
      <w:r>
        <w:rPr>
          <w:lang w:val="en_US" w:bidi="en_US"/>
        </w:rPr>
        <w:t>is eating at this table with me.</w:t>
      </w:r>
    </w:p>
    <w:p>
      <w:pPr>
        <w:pStyle w:val="ListBullet"/>
        <w:spacing w:line="240" w:lineRule="auto"/>
        <w:ind w:left="720"/>
      </w:pPr>
      <w:r>
        <w:rPr>
          <w:lang w:val="en_US" w:bidi="en_US"/>
        </w:rPr>
      </w:r>
      <w:r>
        <w:rPr>
          <w:lang w:val="en_US" w:bidi="en_US"/>
        </w:rPr>
        <w:t>is here eating this meal with me.</w:t>
      </w:r>
    </w:p>
    <w:p>
      <w:pPr>
        <w:pStyle w:val="Heading5"/>
      </w:pPr>
      <w:r>
        <w:rPr>
          <w:lang w:val="en_US" w:bidi="en_US"/>
        </w:rPr>
        <w:t>22:21a–b</w:t>
      </w:r>
    </w:p>
    <w:p>
      <w:pPr/>
      <w:r>
        <w:rPr>
          <w:lang w:val="en_US" w:bidi="en_US"/>
        </w:rPr>
      </w:r>
      <w:r>
        <w:rPr>
          <w:b/>
          <w:lang w:val="en_US" w:bidi="en_US"/>
        </w:rPr>
        <w:t>Look!:</w:t>
      </w:r>
      <w:r>
        <w:rPr>
          <w:lang w:val="en_US" w:bidi="en_US"/>
        </w:rPr>
        <w:t xml:space="preserve"> In the Greek, 22:21a begins with a conjunction that is often translated as “only,” “except,” or “nevertheless.” The NIV translates this word as “But,” but the BSB omits this conjunction. It here expresses a strong contrast with 22:19–20. In those verses Jesus said that he would die to redeem them. In this verse he said that one of them will betray him. In the Greek text the conjunction is followed by a word that the BSB translates as </w:t>
      </w:r>
      <w:r>
        <w:rPr>
          <w:i/>
          <w:lang w:val="en_US" w:bidi="en_US"/>
        </w:rPr>
        <w:t>Look!</w:t>
      </w:r>
      <w:r>
        <w:rPr>
          <w:lang w:val="en_US" w:bidi="en_US"/>
        </w:rPr>
        <w:t>. In this context it emphasizes that the next statement is shocking.</w:t>
      </w:r>
    </w:p>
    <w:p>
      <w:pPr/>
      <w:r>
        <w:rPr>
          <w:lang w:val="en_US" w:bidi="en_US"/>
        </w:rPr>
      </w:r>
      <w:r>
        <w:rPr>
          <w:lang w:val="en_US" w:bidi="en_US"/>
        </w:rPr>
        <w:t>Languages have different ways to emphasize a shocking contrast like this. Some ways to introduce the contrast in English are:</w:t>
      </w:r>
    </w:p>
    <w:p>
      <w:pPr/>
      <w:r>
        <w:rPr>
          <w:lang w:val="en_US" w:bidi="en_US"/>
        </w:rPr>
      </w:r>
      <w:r>
        <w:rPr>
          <w:lang w:val="en_US" w:bidi="en_US"/>
        </w:rPr>
        <w:t>But listen!</w:t>
      </w:r>
    </w:p>
    <w:p>
      <w:pPr/>
      <w:r>
        <w:rPr>
          <w:lang w:val="en_US" w:bidi="en_US"/>
        </w:rPr>
      </w:r>
      <w:r>
        <w:rPr>
          <w:lang w:val="en_US" w:bidi="en_US"/>
        </w:rPr>
        <w:t>Even now (REB)</w:t>
      </w:r>
    </w:p>
    <w:p>
      <w:pPr/>
      <w:r>
        <w:rPr>
          <w:lang w:val="en_US" w:bidi="en_US"/>
        </w:rPr>
      </w:r>
      <w:r>
        <w:rPr>
          <w:lang w:val="en_US" w:bidi="en_US"/>
        </w:rPr>
        <w:t>But look (NJB)</w:t>
      </w:r>
    </w:p>
    <w:p>
      <w:pPr/>
      <w:r>
        <w:rPr>
          <w:lang w:val="en_US" w:bidi="en_US"/>
        </w:rPr>
      </w:r>
      <w:r>
        <w:rPr>
          <w:lang w:val="en_US" w:bidi="en_US"/>
        </w:rPr>
        <w:t>In some languages it may be helpful to begin a new quotation here. For example:</w:t>
      </w:r>
    </w:p>
    <w:p>
      <w:pPr/>
      <w:r>
        <w:rPr>
          <w:lang w:val="en_US" w:bidi="en_US"/>
        </w:rPr>
      </w:r>
      <w:r>
        <w:rPr>
          <w:lang w:val="en_US" w:bidi="en_US"/>
        </w:rPr>
        <w:t>Then Jesus said, “But see/know this:…”</w:t>
      </w:r>
    </w:p>
    <w:p>
      <w:pPr/>
      <w:r>
        <w:rPr>
          <w:lang w:val="en_US" w:bidi="en_US"/>
        </w:rPr>
      </w:r>
      <w:r>
        <w:rPr>
          <w:lang w:val="en_US" w:bidi="en_US"/>
        </w:rPr>
        <w:t>Translate the emphasis in this verse in a natural way in your language. Some versions change the word order. See the following note for examples.</w:t>
      </w:r>
    </w:p>
    <w:p>
      <w:pPr/>
      <w:r>
        <w:rPr>
          <w:lang w:val="en_US" w:bidi="en_US"/>
        </w:rPr>
      </w:r>
      <w:r>
        <w:rPr>
          <w:b/>
          <w:lang w:val="en_US" w:bidi="en_US"/>
        </w:rPr>
        <w:t>The hand of My betrayer is with Mine on the table:</w:t>
      </w:r>
      <w:r>
        <w:rPr>
          <w:lang w:val="en_US" w:bidi="en_US"/>
        </w:rPr>
        <w:t xml:space="preserve"> In this statement Jesus told his apostles that one of them will betray him. His betrayer was at that moment eating with him at the same table. In Jewish culture when people ate together, they implied that they were loyal to each other. It was terrible for a disciple to eat the Passover meal with his master and then to betray him.</w:t>
      </w:r>
    </w:p>
    <w:p>
      <w:pPr/>
      <w:r>
        <w:rPr>
          <w:lang w:val="en_US" w:bidi="en_US"/>
        </w:rPr>
      </w:r>
      <w:r>
        <w:rPr>
          <w:lang w:val="en_US" w:bidi="en_US"/>
        </w:rPr>
        <w:t>Translate this statement in an emphatic way in your language to help people understand that the betrayer was doing an evil thing. Some other ways to translate it in English are:</w:t>
      </w:r>
    </w:p>
    <w:p>
      <w:pPr/>
      <w:r>
        <w:rPr>
          <w:lang w:val="en_US" w:bidi="en_US"/>
        </w:rPr>
      </w:r>
      <w:r>
        <w:rPr>
          <w:lang w:val="en_US" w:bidi="en_US"/>
        </w:rPr>
        <w:t>one of you will turn against me, and his hand is with mine on the table (NCV)</w:t>
      </w:r>
    </w:p>
    <w:p>
      <w:pPr/>
      <w:r>
        <w:rPr>
          <w:lang w:val="en_US" w:bidi="en_US"/>
        </w:rPr>
      </w:r>
      <w:r>
        <w:rPr>
          <w:lang w:val="en_US" w:bidi="en_US"/>
        </w:rPr>
        <w:t>here with me on the table is the hand of the man who is betraying me (NJB)</w:t>
      </w:r>
    </w:p>
    <w:p>
      <w:pPr/>
      <w:r>
        <w:rPr>
          <w:lang w:val="en_US" w:bidi="en_US"/>
        </w:rPr>
      </w:r>
      <w:r>
        <w:rPr>
          <w:lang w:val="en_US" w:bidi="en_US"/>
        </w:rPr>
        <w:t>here at this table, sitting among us as a friend, is the man who will betray me (NLT)</w:t>
      </w:r>
    </w:p>
    <w:p>
      <w:pPr/>
      <w:r>
        <w:rPr>
          <w:lang w:val="en_US" w:bidi="en_US"/>
        </w:rPr>
      </w:r>
      <w:r>
        <w:rPr>
          <w:b/>
          <w:lang w:val="en_US" w:bidi="en_US"/>
        </w:rPr>
        <w:t>The hand…is with Mine on the table:</w:t>
      </w:r>
      <w:r>
        <w:rPr>
          <w:lang w:val="en_US" w:bidi="en_US"/>
        </w:rPr>
        <w:t xml:space="preserve"> Here Jesus said that Judas’ hand was on the same table as his own hand. That is a figurative way to say that he and Judas were eating a meal together.</w:t>
      </w:r>
    </w:p>
    <w:p>
      <w:pPr/>
      <w:r>
        <w:rPr>
          <w:lang w:val="en_US" w:bidi="en_US"/>
        </w:rPr>
      </w:r>
      <w:r>
        <w:rPr>
          <w:lang w:val="en_US" w:bidi="en_US"/>
        </w:rPr>
        <w:t>In some languages it may be more natural to translate the meaning directly. For example:</w:t>
      </w:r>
    </w:p>
    <w:p>
      <w:pPr/>
      <w:r>
        <w:rPr>
          <w:lang w:val="en_US" w:bidi="en_US"/>
        </w:rPr>
      </w:r>
      <w:r>
        <w:rPr>
          <w:lang w:val="en_US" w:bidi="en_US"/>
        </w:rPr>
        <w:t xml:space="preserve">The very person…is </w:t>
      </w:r>
      <w:r>
        <w:rPr>
          <w:lang w:val="en_US" w:bidi="en_US"/>
        </w:rPr>
        <w:t>eating</w:t>
      </w:r>
      <w:r>
        <w:rPr>
          <w:lang w:val="en_US" w:bidi="en_US"/>
        </w:rPr>
        <w:t xml:space="preserve"> with me at this table.</w:t>
      </w:r>
    </w:p>
    <w:p>
      <w:pPr/>
      <w:r>
        <w:rPr>
          <w:lang w:val="en_US" w:bidi="en_US"/>
        </w:rPr>
      </w:r>
      <w:r>
        <w:rPr>
          <w:lang w:val="en_US" w:bidi="en_US"/>
        </w:rPr>
        <w:t>The one…is here at the table with me! (CEV)</w:t>
      </w:r>
    </w:p>
    <w:p>
      <w:pPr/>
      <w:r>
        <w:rPr>
          <w:lang w:val="en_US" w:bidi="en_US"/>
        </w:rPr>
      </w:r>
      <w:r>
        <w:rPr>
          <w:b/>
          <w:lang w:val="en_US" w:bidi="en_US"/>
        </w:rPr>
        <w:t>My betrayer:</w:t>
      </w:r>
      <w:r>
        <w:rPr>
          <w:lang w:val="en_US" w:bidi="en_US"/>
        </w:rPr>
        <w:t xml:space="preserve"> The Greek phrase that the BSB translates as </w:t>
      </w:r>
      <w:r>
        <w:rPr>
          <w:i/>
          <w:lang w:val="en_US" w:bidi="en_US"/>
        </w:rPr>
        <w:t>My betrayer</w:t>
      </w:r>
      <w:r>
        <w:rPr>
          <w:lang w:val="en_US" w:bidi="en_US"/>
        </w:rPr>
        <w:t xml:space="preserve"> is more literally “the one betraying me.” The </w:t>
      </w:r>
      <w:r>
        <w:rPr>
          <w:i/>
          <w:lang w:val="en_US" w:bidi="en_US"/>
        </w:rPr>
        <w:t>betrayer</w:t>
      </w:r>
      <w:r>
        <w:rPr>
          <w:lang w:val="en_US" w:bidi="en_US"/>
        </w:rPr>
        <w:t xml:space="preserve"> would deliver Jesus into the power of his enemies.</w:t>
      </w:r>
    </w:p>
    <w:p>
      <w:pPr/>
      <w:r>
        <w:rPr>
          <w:lang w:val="en_US" w:bidi="en_US"/>
        </w:rPr>
      </w:r>
      <w:r>
        <w:rPr>
          <w:lang w:val="en_US" w:bidi="en_US"/>
        </w:rPr>
        <w:t>Other ways to translate this are:</w:t>
      </w:r>
    </w:p>
    <w:p>
      <w:pPr/>
      <w:r>
        <w:rPr>
          <w:lang w:val="en_US" w:bidi="en_US"/>
        </w:rPr>
      </w:r>
      <w:r>
        <w:rPr>
          <w:lang w:val="en_US" w:bidi="en_US"/>
        </w:rPr>
        <w:t>my betrayer (REB)</w:t>
      </w:r>
    </w:p>
    <w:p>
      <w:pPr/>
      <w:r>
        <w:rPr>
          <w:lang w:val="en_US" w:bidi="en_US"/>
        </w:rPr>
      </w:r>
      <w:r>
        <w:rPr>
          <w:lang w:val="en_US" w:bidi="en_US"/>
        </w:rPr>
        <w:t>the one who turns me over to my enemies</w:t>
      </w:r>
      <w:r>
        <w:rPr>
          <w:lang w:val="en_US" w:bidi="en_US"/>
        </w:rPr>
        <w:t>Western Bukidnon Manobo back translation on TW.</w:t>
      </w:r>
    </w:p>
    <w:p>
      <w:pPr/>
      <w:r>
        <w:rPr>
          <w:lang w:val="en_US" w:bidi="en_US"/>
        </w:rPr>
      </w:r>
      <w:r>
        <w:rPr>
          <w:lang w:val="en_US" w:bidi="en_US"/>
        </w:rPr>
        <w:t>The word “betray” occurred in 22:4, where Judas agreed to help the Jewish leaders arrest Jesus. You should translate in a similar way here. See the note on 22:4c for more information.</w:t>
      </w:r>
      <w:r>
        <w:rPr>
          <w:lang w:val="en_US" w:bidi="en_US"/>
        </w:rPr>
      </w:r>
      <w:r>
        <w:rPr>
          <w:lang w:val="en_US" w:bidi="en_US"/>
        </w:rPr>
      </w:r>
    </w:p>
    <w:p>
      <w:pPr/>
      <w:r>
        <w:rPr>
          <w:lang w:val="en_US" w:bidi="en_US"/>
        </w:rPr>
      </w:r>
    </w:p>
    <w:p>
      <w:pPr>
        <w:pStyle w:val="Heading2"/>
      </w:pPr>
      <w:r>
        <w:rPr>
          <w:lang w:val="en_US" w:bidi="en_US"/>
        </w:rPr>
        <w:t>Luke 22:22</w:t>
      </w:r>
      <w:r>
        <w:rPr>
          <w:lang w:val="en_US" w:bidi="en_US"/>
        </w:rPr>
      </w:r>
    </w:p>
    <w:p>
      <w:pPr>
        <w:pStyle w:val="Heading4"/>
      </w:pPr>
      <w:r>
        <w:rPr>
          <w:lang w:val="en_US" w:bidi="en_US"/>
        </w:rPr>
        <w:t>Section 22:14–23: Jesus gave his disciples bread and wine with a special meaning</w:t>
      </w:r>
    </w:p>
    <w:p>
      <w:pPr/>
      <w:r>
        <w:rPr>
          <w:lang w:val="en_US" w:bidi="en_US"/>
        </w:rPr>
      </w:r>
      <w:r>
        <w:rPr>
          <w:lang w:val="en_US" w:bidi="en_US"/>
        </w:rPr>
        <w:t>In this section Jesus ate his last meal with his twelve disciples before he died. During this Passover meal, Jesus told them about the new covenant that he was making with them. He took bread and gave thanks to God. Then he divided the bread into pieces and gave it to his disciples to share. He said to them, “This is my body, given for you.” After the main meal, he gave his disciples a cup of wine to drink from. He said, “This cup is the new covenant in my blood, which is poured out for you.” When Jesus said these things, he indicated that he would sacrifice himself by dying as a substitute for his disciples to save them from slavery to sin. By doing this, he would fulfill the real meaning of Passover. As God saved the people of Israel who put the blood of the Passover lamb on their doors, he will save the people who trust in Jesus’ sacrifice for them.</w:t>
      </w:r>
    </w:p>
    <w:p>
      <w:pPr/>
      <w:r>
        <w:rPr>
          <w:lang w:val="en_US" w:bidi="en_US"/>
        </w:rPr>
      </w:r>
      <w:r>
        <w:rPr>
          <w:lang w:val="en_US" w:bidi="en_US"/>
        </w:rPr>
        <w:t>Jesus told his disciples to continue to remember him by taking bread and wine as his body and blood given for them. This thanksgiving service is now called the Eucharist, from the Greek word that means “thanksgiving.” It is also called the Lord’s Supper and Holy Communion.</w:t>
      </w:r>
    </w:p>
    <w:p>
      <w:pPr/>
      <w:r>
        <w:rPr>
          <w:lang w:val="en_US" w:bidi="en_US"/>
        </w:rPr>
      </w:r>
      <w:r>
        <w:rPr>
          <w:lang w:val="en_US" w:bidi="en_US"/>
        </w:rPr>
        <w:t>Some other examples of headings for this section are:</w:t>
      </w:r>
    </w:p>
    <w:p>
      <w:pPr/>
      <w:r>
        <w:rPr>
          <w:lang w:val="en_US" w:bidi="en_US"/>
        </w:rPr>
      </w:r>
      <w:r>
        <w:rPr>
          <w:lang w:val="en_US" w:bidi="en_US"/>
        </w:rPr>
        <w:t>The Lord’s Supper (NET)</w:t>
      </w:r>
    </w:p>
    <w:p>
      <w:pPr/>
      <w:r>
        <w:rPr>
          <w:lang w:val="en_US" w:bidi="en_US"/>
        </w:rPr>
      </w:r>
      <w:r>
        <w:rPr>
          <w:lang w:val="en_US" w:bidi="en_US"/>
        </w:rPr>
        <w:t>Jesus established the Thanksgiving/Eucharist celebration</w:t>
      </w:r>
    </w:p>
    <w:p>
      <w:pPr/>
      <w:r>
        <w:rPr>
          <w:lang w:val="en_US" w:bidi="en_US"/>
        </w:rPr>
      </w:r>
      <w:r>
        <w:rPr>
          <w:lang w:val="en_US" w:bidi="en_US"/>
        </w:rPr>
        <w:t>Jesus sacrifices his body and blood to save his disciples</w:t>
      </w:r>
    </w:p>
    <w:p>
      <w:pPr/>
      <w:r>
        <w:rPr>
          <w:lang w:val="en_US" w:bidi="en_US"/>
        </w:rPr>
      </w:r>
      <w:r>
        <w:rPr>
          <w:lang w:val="en_US" w:bidi="en_US"/>
        </w:rPr>
        <w:t>Jesus makes a new covenant with his disciples</w:t>
      </w:r>
    </w:p>
    <w:p>
      <w:pPr/>
      <w:r>
        <w:rPr>
          <w:lang w:val="en_US" w:bidi="en_US"/>
        </w:rPr>
      </w:r>
      <w:r>
        <w:rPr>
          <w:lang w:val="en_US" w:bidi="en_US"/>
        </w:rPr>
        <w:t>There are parallel passages for this section in Matthew 26:26–30, Mark 14:22–26, and 1 Corinthians 11:23–25.</w:t>
      </w:r>
    </w:p>
    <w:p>
      <w:pPr>
        <w:pStyle w:val="Heading5"/>
      </w:pPr>
      <w:r>
        <w:rPr>
          <w:lang w:val="en_US" w:bidi="en_US"/>
        </w:rPr>
        <w:t>22:22a</w:t>
      </w:r>
    </w:p>
    <w:p>
      <w:pPr/>
      <w:r>
        <w:rPr>
          <w:lang w:val="en_US" w:bidi="en_US"/>
        </w:rPr>
      </w:r>
      <w:r>
        <w:rPr>
          <w:b/>
          <w:lang w:val="en_US" w:bidi="en_US"/>
        </w:rPr>
        <w:t>Indeed, the Son of Man will go as it has been determined,</w:t>
      </w:r>
    </w:p>
    <w:p>
      <w:pPr>
        <w:pStyle w:val="ListBullet"/>
        <w:spacing w:line="240" w:lineRule="auto"/>
        <w:ind w:left="720"/>
      </w:pPr>
      <w:r>
        <w:rPr>
          <w:lang w:val="en_US" w:bidi="en_US"/>
        </w:rPr>
      </w:r>
      <w:r>
        <w:rPr>
          <w:lang w:val="en_US" w:bidi="en_US"/>
        </w:rPr>
        <w:t xml:space="preserve">The Son of Man will die, as </w:t>
      </w:r>
      <w:r>
        <w:rPr>
          <w:lang w:val="en_US" w:bidi="en_US"/>
        </w:rPr>
        <w:t>God</w:t>
      </w:r>
      <w:r>
        <w:rPr>
          <w:lang w:val="en_US" w:bidi="en_US"/>
        </w:rPr>
        <w:t xml:space="preserve"> has determined/decided.</w:t>
      </w:r>
    </w:p>
    <w:p>
      <w:pPr>
        <w:pStyle w:val="ListBullet"/>
        <w:spacing w:line="240" w:lineRule="auto"/>
        <w:ind w:left="720"/>
      </w:pPr>
      <w:r>
        <w:rPr>
          <w:lang w:val="en_US" w:bidi="en_US"/>
        </w:rPr>
      </w:r>
      <w:r>
        <w:rPr>
          <w:lang w:val="en_US" w:bidi="en_US"/>
        </w:rPr>
        <w:t>This happens</w:t>
      </w:r>
      <w:r>
        <w:rPr>
          <w:lang w:val="en_US" w:bidi="en_US"/>
        </w:rPr>
        <w:t xml:space="preserve"> because </w:t>
      </w:r>
      <w:r>
        <w:rPr>
          <w:lang w:val="en_US" w:bidi="en_US"/>
        </w:rPr>
        <w:t>God</w:t>
      </w:r>
      <w:r>
        <w:rPr>
          <w:lang w:val="en_US" w:bidi="en_US"/>
        </w:rPr>
        <w:t xml:space="preserve"> planned </w:t>
      </w:r>
      <w:r>
        <w:rPr>
          <w:lang w:val="en_US" w:bidi="en_US"/>
        </w:rPr>
        <w:t>long ago</w:t>
      </w:r>
      <w:r>
        <w:rPr>
          <w:lang w:val="en_US" w:bidi="en_US"/>
        </w:rPr>
        <w:t xml:space="preserve"> that </w:t>
      </w:r>
      <w:r>
        <w:rPr>
          <w:lang w:val="en_US" w:bidi="en_US"/>
        </w:rPr>
        <w:t>I,</w:t>
      </w:r>
      <w:r>
        <w:rPr>
          <w:lang w:val="en_US" w:bidi="en_US"/>
        </w:rPr>
        <w:t xml:space="preserve"> the Son of Man, must die.</w:t>
      </w:r>
    </w:p>
    <w:p>
      <w:pPr/>
      <w:r>
        <w:rPr>
          <w:lang w:val="en_US" w:bidi="en_US"/>
        </w:rPr>
      </w:r>
      <w:r>
        <w:rPr>
          <w:b/>
          <w:lang w:val="en_US" w:bidi="en_US"/>
        </w:rPr>
        <w:t>Indeed:</w:t>
      </w:r>
      <w:r>
        <w:rPr>
          <w:lang w:val="en_US" w:bidi="en_US"/>
        </w:rPr>
        <w:t xml:space="preserve"> In the Greek text 22:22a begins with a conjunction that is often translated as “because” or “for.” The BSB translates this word as </w:t>
      </w:r>
      <w:r>
        <w:rPr>
          <w:i/>
          <w:lang w:val="en_US" w:bidi="en_US"/>
        </w:rPr>
        <w:t>Indeed</w:t>
      </w:r>
      <w:r>
        <w:rPr>
          <w:lang w:val="en_US" w:bidi="en_US"/>
        </w:rPr>
        <w:t>. In this context it introduces an explanation. Verse 22 explains why the betrayer was with them: God had decreed that Jesus must die. However, the verse does not imply that Judas had any good reason or excuse for betraying Jesus (22:21).</w:t>
      </w:r>
      <w:r>
        <w:rPr>
          <w:lang w:val="en_US" w:bidi="en_US"/>
        </w:rPr>
        <w:t xml:space="preserve">Some commentators say that the connecting word at the beginning of 22:22a indicates a logical connection between the presence of Jesus’ betrayer and the fact that God had decreed that Jesus will leave them by dying. See, for example, Marshall, p. 809, and Arndt, p. 441, note on </w:t>
      </w:r>
      <w:r>
        <w:rPr>
          <w:i/>
          <w:lang w:val="en_US" w:bidi="en_US"/>
        </w:rPr>
        <w:t>hoti</w:t>
      </w:r>
      <w:r>
        <w:rPr>
          <w:lang w:val="en_US" w:bidi="en_US"/>
        </w:rPr>
        <w:t>. When Judas betrayed Jesus, God used Judas’ evil action to prepare the way for Jesus to die to redeem his people, as God had planned before sending Jesus into the world.</w:t>
      </w:r>
      <w:r>
        <w:rPr>
          <w:lang w:val="en_US" w:bidi="en_US"/>
        </w:rPr>
        <w:t xml:space="preserve"> Some other English versions do not translate this conjunction. Connect the verse to 22:21 in a natural way in your language.</w:t>
      </w:r>
    </w:p>
    <w:p>
      <w:pPr/>
      <w:r>
        <w:rPr>
          <w:lang w:val="en_US" w:bidi="en_US"/>
        </w:rPr>
      </w:r>
      <w:r>
        <w:rPr>
          <w:b/>
          <w:lang w:val="en_US" w:bidi="en_US"/>
        </w:rPr>
        <w:t>the Son of Man will go:</w:t>
      </w:r>
      <w:r>
        <w:rPr>
          <w:lang w:val="en_US" w:bidi="en_US"/>
        </w:rPr>
        <w:t xml:space="preserve"> In this context the clause </w:t>
      </w:r>
      <w:r>
        <w:rPr>
          <w:i/>
          <w:lang w:val="en_US" w:bidi="en_US"/>
        </w:rPr>
        <w:t>the Son of Man will go</w:t>
      </w:r>
      <w:r>
        <w:rPr>
          <w:lang w:val="en_US" w:bidi="en_US"/>
        </w:rPr>
        <w:t xml:space="preserve"> is a figurative way to imply that he will die. In some languages it is necessary to make this explicit, as many English versions do. For example:</w:t>
      </w:r>
    </w:p>
    <w:p>
      <w:pPr/>
      <w:r>
        <w:rPr>
          <w:lang w:val="en_US" w:bidi="en_US"/>
        </w:rPr>
      </w:r>
      <w:r>
        <w:rPr>
          <w:lang w:val="en_US" w:bidi="en_US"/>
        </w:rPr>
        <w:t>The Son of Man will die (GNT)</w:t>
      </w:r>
    </w:p>
    <w:p>
      <w:pPr/>
      <w:r>
        <w:rPr>
          <w:lang w:val="en_US" w:bidi="en_US"/>
        </w:rPr>
      </w:r>
      <w:r>
        <w:rPr>
          <w:lang w:val="en_US" w:bidi="en_US"/>
        </w:rPr>
        <w:t>I, the Son of Man, must die (NLT96)</w:t>
      </w:r>
    </w:p>
    <w:p>
      <w:pPr/>
      <w:r>
        <w:rPr>
          <w:lang w:val="en_US" w:bidi="en_US"/>
        </w:rPr>
      </w:r>
      <w:r>
        <w:rPr>
          <w:lang w:val="en_US" w:bidi="en_US"/>
        </w:rPr>
        <w:t>In some languages it may be possible to use a different figurative way or an indirect way to say that Jesus will die. Translate it in a natural way in your language.</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literally “the Son of the human/person.” See the note on 17:24a–b for more information and translation advice. Here Jesus used the title </w:t>
      </w:r>
      <w:r>
        <w:rPr>
          <w:i/>
          <w:lang w:val="en_US" w:bidi="en_US"/>
        </w:rPr>
        <w:t>the Son of Man</w:t>
      </w:r>
      <w:r>
        <w:rPr>
          <w:lang w:val="en_US" w:bidi="en_US"/>
        </w:rPr>
        <w:t xml:space="preserve"> to refer to himself. In many languages it is necessary to make this explicit. See the second example in the preceding note.</w:t>
      </w:r>
    </w:p>
    <w:p>
      <w:pPr/>
      <w:r>
        <w:rPr>
          <w:lang w:val="en_US" w:bidi="en_US"/>
        </w:rPr>
      </w:r>
      <w:r>
        <w:rPr>
          <w:b/>
          <w:lang w:val="en_US" w:bidi="en_US"/>
        </w:rPr>
        <w:t>as it has been determined:</w:t>
      </w:r>
      <w:r>
        <w:rPr>
          <w:lang w:val="en_US" w:bidi="en_US"/>
        </w:rPr>
        <w:t xml:space="preserve"> The clause </w:t>
      </w:r>
      <w:r>
        <w:rPr>
          <w:i/>
          <w:lang w:val="en_US" w:bidi="en_US"/>
        </w:rPr>
        <w:t>as it has been determined</w:t>
      </w:r>
      <w:r>
        <w:rPr>
          <w:lang w:val="en_US" w:bidi="en_US"/>
        </w:rPr>
        <w:t xml:space="preserve"> means “as it has been decided or planned.” It indicates that God had already planned that Jesus must die. The verb </w:t>
      </w:r>
      <w:r>
        <w:rPr>
          <w:i/>
          <w:lang w:val="en_US" w:bidi="en_US"/>
        </w:rPr>
        <w:t>has been determined</w:t>
      </w:r>
      <w:r>
        <w:rPr>
          <w:lang w:val="en_US" w:bidi="en_US"/>
        </w:rPr>
        <w:t xml:space="preserve"> is passive. The Jews often showed respect for God by using a passive form instead of referring to him directly. The verb does not imply here that Jesus’ enemies decreed his death.</w:t>
      </w:r>
    </w:p>
    <w:p>
      <w:pPr/>
      <w:r>
        <w:rPr>
          <w:lang w:val="en_US" w:bidi="en_US"/>
        </w:rPr>
      </w:r>
      <w:r>
        <w:rPr>
          <w:lang w:val="en_US" w:bidi="en_US"/>
        </w:rPr>
        <w:t>In many languages it is necessary to refer to God explicitly here. For example:</w:t>
      </w:r>
    </w:p>
    <w:p>
      <w:pPr/>
      <w:r>
        <w:rPr>
          <w:lang w:val="en_US" w:bidi="en_US"/>
        </w:rPr>
      </w:r>
      <w:r>
        <w:rPr>
          <w:lang w:val="en_US" w:bidi="en_US"/>
        </w:rPr>
        <w:t>as God has decided (GNT)</w:t>
      </w:r>
    </w:p>
    <w:p>
      <w:pPr/>
      <w:r>
        <w:rPr>
          <w:lang w:val="en_US" w:bidi="en_US"/>
        </w:rPr>
      </w:r>
      <w:r>
        <w:rPr>
          <w:lang w:val="en_US" w:bidi="en_US"/>
        </w:rPr>
        <w:t>since it is part of God’s plan (NLT96)</w:t>
      </w:r>
    </w:p>
    <w:p>
      <w:pPr/>
      <w:r>
        <w:rPr>
          <w:lang w:val="en_US" w:bidi="en_US"/>
        </w:rPr>
      </w:r>
      <w:r>
        <w:rPr>
          <w:lang w:val="en_US" w:bidi="en_US"/>
        </w:rPr>
        <w:t>according to what is determined for me by God</w:t>
      </w:r>
      <w:r>
        <w:rPr>
          <w:lang w:val="en_US" w:bidi="en_US"/>
        </w:rPr>
        <w:t>Western Bukidnon Manobo back translation on TW.</w:t>
      </w:r>
    </w:p>
    <w:p>
      <w:pPr>
        <w:pStyle w:val="Heading6"/>
      </w:pPr>
      <w:r>
        <w:rPr>
          <w:b/>
          <w:lang w:val="en_US" w:bidi="en_US"/>
        </w:rPr>
        <w:t>General Comment on 22:22a</w:t>
      </w:r>
    </w:p>
    <w:p>
      <w:pPr/>
      <w:r>
        <w:rPr>
          <w:lang w:val="en_US" w:bidi="en_US"/>
        </w:rPr>
      </w:r>
      <w:r>
        <w:rPr>
          <w:lang w:val="en_US" w:bidi="en_US"/>
        </w:rPr>
        <w:t>The statement in 22:22a implies that God had planned that Jesus had to die many years before it was going to happen. In some languages it may be more natural to mention God’s plan before saying that it must happen. For example:</w:t>
      </w:r>
    </w:p>
    <w:p>
      <w:pPr/>
      <w:r>
        <w:rPr>
          <w:lang w:val="en_US" w:bidi="en_US"/>
        </w:rPr>
      </w:r>
      <w:r>
        <w:rPr>
          <w:lang w:val="en_US" w:bidi="en_US"/>
        </w:rPr>
        <w:t>What God has planned for the Son of Man will happen (NCV)</w:t>
      </w:r>
    </w:p>
    <w:p>
      <w:pPr/>
      <w:r>
        <w:rPr>
          <w:lang w:val="en_US" w:bidi="en_US"/>
        </w:rPr>
      </w:r>
      <w:r>
        <w:rPr>
          <w:lang w:val="en_US" w:bidi="en_US"/>
        </w:rPr>
        <w:t>Use a natural order in your language.</w:t>
      </w:r>
    </w:p>
    <w:p>
      <w:pPr>
        <w:pStyle w:val="Heading5"/>
      </w:pPr>
      <w:r>
        <w:rPr>
          <w:lang w:val="en_US" w:bidi="en_US"/>
        </w:rPr>
        <w:t>22:22b</w:t>
      </w:r>
    </w:p>
    <w:p>
      <w:pPr/>
      <w:r>
        <w:rPr>
          <w:lang w:val="en_US" w:bidi="en_US"/>
        </w:rPr>
      </w:r>
      <w:r>
        <w:rPr>
          <w:b/>
          <w:lang w:val="en_US" w:bidi="en_US"/>
        </w:rPr>
        <w:t>but woe to that man who betrays Him.”</w:t>
      </w:r>
    </w:p>
    <w:p>
      <w:pPr>
        <w:pStyle w:val="ListBullet"/>
        <w:spacing w:line="240" w:lineRule="auto"/>
        <w:ind w:left="720"/>
      </w:pPr>
      <w:r>
        <w:rPr>
          <w:lang w:val="en_US" w:bidi="en_US"/>
        </w:rPr>
      </w:r>
      <w:r>
        <w:rPr>
          <w:lang w:val="en_US" w:bidi="en_US"/>
        </w:rPr>
        <w:t>But how terrible it will be for the person who betrays him!”</w:t>
      </w:r>
    </w:p>
    <w:p>
      <w:pPr>
        <w:pStyle w:val="ListBullet"/>
        <w:spacing w:line="240" w:lineRule="auto"/>
        <w:ind w:left="720"/>
      </w:pPr>
      <w:r>
        <w:rPr>
          <w:lang w:val="en_US" w:bidi="en_US"/>
        </w:rPr>
      </w:r>
      <w:r>
        <w:rPr>
          <w:lang w:val="en_US" w:bidi="en_US"/>
        </w:rPr>
        <w:t xml:space="preserve">But God will severely punish that man who will deliver me </w:t>
      </w:r>
      <w:r>
        <w:rPr>
          <w:lang w:val="en_US" w:bidi="en_US"/>
        </w:rPr>
        <w:t>to my enemies</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between 22:22a and 22:22b. Although Jesus must die, the person who betrays him will endure a terrible future. Most English versions use </w:t>
      </w:r>
      <w:r>
        <w:rPr>
          <w:i/>
          <w:lang w:val="en_US" w:bidi="en_US"/>
        </w:rPr>
        <w:t>but</w:t>
      </w:r>
      <w:r>
        <w:rPr>
          <w:lang w:val="en_US" w:bidi="en_US"/>
        </w:rPr>
        <w:t xml:space="preserve"> to introduce the contrast. Translate the contrast in a natural way in your language.</w:t>
      </w:r>
    </w:p>
    <w:p>
      <w:pPr/>
      <w:r>
        <w:rPr>
          <w:lang w:val="en_US" w:bidi="en_US"/>
        </w:rPr>
      </w:r>
      <w:r>
        <w:rPr>
          <w:b/>
          <w:lang w:val="en_US" w:bidi="en_US"/>
        </w:rPr>
        <w:t>woe to that man who betrays Him:</w:t>
      </w:r>
      <w:r>
        <w:rPr>
          <w:lang w:val="en_US" w:bidi="en_US"/>
        </w:rPr>
        <w:t xml:space="preserve"> The Greek clause that the BSB translates as </w:t>
      </w:r>
      <w:r>
        <w:rPr>
          <w:i/>
          <w:lang w:val="en_US" w:bidi="en_US"/>
        </w:rPr>
        <w:t>woe to that man who betrays Him</w:t>
      </w:r>
      <w:r>
        <w:rPr>
          <w:lang w:val="en_US" w:bidi="en_US"/>
        </w:rPr>
        <w:t xml:space="preserve"> means that something terrible will happen to the person who will betray Jesus. In this context, it implies that God will punish that person severely. The word </w:t>
      </w:r>
      <w:r>
        <w:rPr>
          <w:i/>
          <w:lang w:val="en_US" w:bidi="en_US"/>
        </w:rPr>
        <w:t>woe</w:t>
      </w:r>
      <w:r>
        <w:rPr>
          <w:lang w:val="en_US" w:bidi="en_US"/>
        </w:rPr>
        <w:t xml:space="preserve"> is not a curse. Jesus was not asking God to curse this person.</w:t>
      </w:r>
    </w:p>
    <w:p>
      <w:pPr/>
      <w:r>
        <w:rPr>
          <w:lang w:val="en_US" w:bidi="en_US"/>
        </w:rPr>
      </w:r>
      <w:r>
        <w:rPr>
          <w:lang w:val="en_US" w:bidi="en_US"/>
        </w:rPr>
        <w:t>Some other ways to translate this clause are:</w:t>
      </w:r>
    </w:p>
    <w:p>
      <w:pPr/>
      <w:r>
        <w:rPr>
          <w:lang w:val="en_US" w:bidi="en_US"/>
        </w:rPr>
      </w:r>
      <w:r>
        <w:rPr>
          <w:lang w:val="en_US" w:bidi="en_US"/>
        </w:rPr>
        <w:t>it will be terrible for the one who betrays him (CEV)</w:t>
      </w:r>
    </w:p>
    <w:p>
      <w:pPr/>
      <w:r>
        <w:rPr>
          <w:lang w:val="en_US" w:bidi="en_US"/>
        </w:rPr>
      </w:r>
      <w:r>
        <w:rPr>
          <w:lang w:val="en_US" w:bidi="en_US"/>
        </w:rPr>
        <w:t>the person who is betraying me is really to be pitied</w:t>
      </w:r>
      <w:r>
        <w:rPr>
          <w:lang w:val="en_US" w:bidi="en_US"/>
        </w:rPr>
        <w:t>Yakan back translation on TW.</w:t>
      </w:r>
    </w:p>
    <w:p>
      <w:pPr/>
      <w:r>
        <w:rPr>
          <w:lang w:val="en_US" w:bidi="en_US"/>
        </w:rPr>
      </w:r>
      <w:r>
        <w:rPr>
          <w:lang w:val="en_US" w:bidi="en_US"/>
        </w:rPr>
        <w:t>the person who betrays me to my enemies will have a terrible punishment</w:t>
      </w:r>
    </w:p>
    <w:p>
      <w:pPr/>
      <w:r>
        <w:rPr>
          <w:lang w:val="en_US" w:bidi="en_US"/>
        </w:rPr>
      </w:r>
      <w:r>
        <w:rPr>
          <w:lang w:val="en_US" w:bidi="en_US"/>
        </w:rPr>
        <w:t>God</w:t>
      </w:r>
      <w:r>
        <w:rPr>
          <w:lang w:val="en_US" w:bidi="en_US"/>
        </w:rPr>
        <w:t xml:space="preserve"> will severely punish the person who betrays me.</w:t>
      </w:r>
    </w:p>
    <w:p>
      <w:pPr/>
      <w:r>
        <w:rPr>
          <w:lang w:val="en_US" w:bidi="en_US"/>
        </w:rPr>
      </w:r>
      <w:r>
        <w:rPr>
          <w:lang w:val="en_US" w:bidi="en_US"/>
        </w:rPr>
        <w:t xml:space="preserve">The phrase “woe to the one” occurs also in 17:1. See how you translated it there. The word </w:t>
      </w:r>
      <w:r>
        <w:rPr>
          <w:i/>
          <w:lang w:val="en_US" w:bidi="en_US"/>
        </w:rPr>
        <w:t>woe</w:t>
      </w:r>
      <w:r>
        <w:rPr>
          <w:lang w:val="en_US" w:bidi="en_US"/>
        </w:rPr>
        <w:t xml:space="preserve"> also occurs in 6:24–26. For help in translating the word </w:t>
      </w:r>
      <w:r>
        <w:rPr>
          <w:i/>
          <w:lang w:val="en_US" w:bidi="en_US"/>
        </w:rPr>
        <w:t>betrays</w:t>
      </w:r>
      <w:r>
        <w:rPr>
          <w:lang w:val="en_US" w:bidi="en_US"/>
        </w:rPr>
        <w:t>, see the notes on 22:21a–b.</w:t>
      </w:r>
      <w:r>
        <w:rPr>
          <w:lang w:val="en_US" w:bidi="en_US"/>
        </w:rPr>
      </w:r>
      <w:r>
        <w:rPr>
          <w:lang w:val="en_US" w:bidi="en_US"/>
        </w:rPr>
      </w:r>
    </w:p>
    <w:p>
      <w:pPr/>
      <w:r>
        <w:rPr>
          <w:lang w:val="en_US" w:bidi="en_US"/>
        </w:rPr>
      </w:r>
    </w:p>
    <w:p>
      <w:pPr>
        <w:pStyle w:val="Heading2"/>
      </w:pPr>
      <w:r>
        <w:rPr>
          <w:lang w:val="en_US" w:bidi="en_US"/>
        </w:rPr>
        <w:t>Luke 22:23</w:t>
      </w:r>
      <w:r>
        <w:rPr>
          <w:lang w:val="en_US" w:bidi="en_US"/>
        </w:rPr>
      </w:r>
    </w:p>
    <w:p>
      <w:pPr>
        <w:pStyle w:val="Heading4"/>
      </w:pPr>
      <w:r>
        <w:rPr>
          <w:lang w:val="en_US" w:bidi="en_US"/>
        </w:rPr>
        <w:t>Section 22:14–23: Jesus gave his disciples bread and wine with a special meaning</w:t>
      </w:r>
    </w:p>
    <w:p>
      <w:pPr/>
      <w:r>
        <w:rPr>
          <w:lang w:val="en_US" w:bidi="en_US"/>
        </w:rPr>
      </w:r>
      <w:r>
        <w:rPr>
          <w:lang w:val="en_US" w:bidi="en_US"/>
        </w:rPr>
        <w:t>In this section Jesus ate his last meal with his twelve disciples before he died. During this Passover meal, Jesus told them about the new covenant that he was making with them. He took bread and gave thanks to God. Then he divided the bread into pieces and gave it to his disciples to share. He said to them, “This is my body, given for you.” After the main meal, he gave his disciples a cup of wine to drink from. He said, “This cup is the new covenant in my blood, which is poured out for you.” When Jesus said these things, he indicated that he would sacrifice himself by dying as a substitute for his disciples to save them from slavery to sin. By doing this, he would fulfill the real meaning of Passover. As God saved the people of Israel who put the blood of the Passover lamb on their doors, he will save the people who trust in Jesus’ sacrifice for them.</w:t>
      </w:r>
    </w:p>
    <w:p>
      <w:pPr/>
      <w:r>
        <w:rPr>
          <w:lang w:val="en_US" w:bidi="en_US"/>
        </w:rPr>
      </w:r>
      <w:r>
        <w:rPr>
          <w:lang w:val="en_US" w:bidi="en_US"/>
        </w:rPr>
        <w:t>Jesus told his disciples to continue to remember him by taking bread and wine as his body and blood given for them. This thanksgiving service is now called the Eucharist, from the Greek word that means “thanksgiving.” It is also called the Lord’s Supper and Holy Communion.</w:t>
      </w:r>
    </w:p>
    <w:p>
      <w:pPr/>
      <w:r>
        <w:rPr>
          <w:lang w:val="en_US" w:bidi="en_US"/>
        </w:rPr>
      </w:r>
      <w:r>
        <w:rPr>
          <w:lang w:val="en_US" w:bidi="en_US"/>
        </w:rPr>
        <w:t>Some other examples of headings for this section are:</w:t>
      </w:r>
    </w:p>
    <w:p>
      <w:pPr/>
      <w:r>
        <w:rPr>
          <w:lang w:val="en_US" w:bidi="en_US"/>
        </w:rPr>
      </w:r>
      <w:r>
        <w:rPr>
          <w:lang w:val="en_US" w:bidi="en_US"/>
        </w:rPr>
        <w:t>The Lord’s Supper (NET)</w:t>
      </w:r>
    </w:p>
    <w:p>
      <w:pPr/>
      <w:r>
        <w:rPr>
          <w:lang w:val="en_US" w:bidi="en_US"/>
        </w:rPr>
      </w:r>
      <w:r>
        <w:rPr>
          <w:lang w:val="en_US" w:bidi="en_US"/>
        </w:rPr>
        <w:t>Jesus established the Thanksgiving/Eucharist celebration</w:t>
      </w:r>
    </w:p>
    <w:p>
      <w:pPr/>
      <w:r>
        <w:rPr>
          <w:lang w:val="en_US" w:bidi="en_US"/>
        </w:rPr>
      </w:r>
      <w:r>
        <w:rPr>
          <w:lang w:val="en_US" w:bidi="en_US"/>
        </w:rPr>
        <w:t>Jesus sacrifices his body and blood to save his disciples</w:t>
      </w:r>
    </w:p>
    <w:p>
      <w:pPr/>
      <w:r>
        <w:rPr>
          <w:lang w:val="en_US" w:bidi="en_US"/>
        </w:rPr>
      </w:r>
      <w:r>
        <w:rPr>
          <w:lang w:val="en_US" w:bidi="en_US"/>
        </w:rPr>
        <w:t>Jesus makes a new covenant with his disciples</w:t>
      </w:r>
    </w:p>
    <w:p>
      <w:pPr/>
      <w:r>
        <w:rPr>
          <w:lang w:val="en_US" w:bidi="en_US"/>
        </w:rPr>
      </w:r>
      <w:r>
        <w:rPr>
          <w:lang w:val="en_US" w:bidi="en_US"/>
        </w:rPr>
        <w:t>There are parallel passages for this section in Matthew 26:26–30, Mark 14:22–26, and 1 Corinthians 11:23–25.</w:t>
      </w:r>
    </w:p>
    <w:p>
      <w:pPr>
        <w:pStyle w:val="Heading5"/>
      </w:pPr>
      <w:r>
        <w:rPr>
          <w:lang w:val="en_US" w:bidi="en_US"/>
        </w:rPr>
        <w:t>22:23a</w:t>
      </w:r>
    </w:p>
    <w:p>
      <w:pPr/>
      <w:r>
        <w:rPr>
          <w:lang w:val="en_US" w:bidi="en_US"/>
        </w:rPr>
      </w:r>
      <w:r>
        <w:rPr>
          <w:b/>
          <w:lang w:val="en_US" w:bidi="en_US"/>
        </w:rPr>
        <w:t>Then they began to question among themselves</w:t>
      </w:r>
    </w:p>
    <w:p>
      <w:pPr>
        <w:pStyle w:val="ListBullet"/>
        <w:spacing w:line="240" w:lineRule="auto"/>
        <w:ind w:left="720"/>
      </w:pPr>
      <w:r>
        <w:rPr>
          <w:lang w:val="en_US" w:bidi="en_US"/>
        </w:rPr>
      </w:r>
      <w:r>
        <w:rPr>
          <w:lang w:val="en_US" w:bidi="en_US"/>
        </w:rPr>
        <w:t>The apostles began to ask one another</w:t>
      </w:r>
    </w:p>
    <w:p>
      <w:pPr>
        <w:pStyle w:val="ListBullet"/>
        <w:spacing w:line="240" w:lineRule="auto"/>
        <w:ind w:left="720"/>
      </w:pPr>
      <w:r>
        <w:rPr>
          <w:lang w:val="en_US" w:bidi="en_US"/>
        </w:rPr>
      </w:r>
      <w:r>
        <w:rPr>
          <w:lang w:val="en_US" w:bidi="en_US"/>
        </w:rPr>
        <w:t>The disciples began to ask each other:</w:t>
      </w:r>
    </w:p>
    <w:p>
      <w:pPr>
        <w:pStyle w:val="Heading5"/>
      </w:pPr>
      <w:r>
        <w:rPr>
          <w:lang w:val="en_US" w:bidi="en_US"/>
        </w:rPr>
        <w:t>22:23b</w:t>
      </w:r>
    </w:p>
    <w:p>
      <w:pPr/>
      <w:r>
        <w:rPr>
          <w:lang w:val="en_US" w:bidi="en_US"/>
        </w:rPr>
      </w:r>
      <w:r>
        <w:rPr>
          <w:b/>
          <w:lang w:val="en_US" w:bidi="en_US"/>
        </w:rPr>
        <w:t>which of them was going to do this.</w:t>
      </w:r>
    </w:p>
    <w:p>
      <w:pPr>
        <w:pStyle w:val="ListBullet"/>
        <w:spacing w:line="240" w:lineRule="auto"/>
        <w:ind w:left="720"/>
      </w:pPr>
      <w:r>
        <w:rPr>
          <w:lang w:val="en_US" w:bidi="en_US"/>
        </w:rPr>
      </w:r>
      <w:r>
        <w:rPr>
          <w:lang w:val="en_US" w:bidi="en_US"/>
        </w:rPr>
        <w:t xml:space="preserve">who among them would do such an </w:t>
      </w:r>
      <w:r>
        <w:rPr>
          <w:lang w:val="en_US" w:bidi="en_US"/>
        </w:rPr>
        <w:t>evil</w:t>
      </w:r>
      <w:r>
        <w:rPr>
          <w:lang w:val="en_US" w:bidi="en_US"/>
        </w:rPr>
        <w:t xml:space="preserve"> thing.</w:t>
      </w:r>
    </w:p>
    <w:p>
      <w:pPr>
        <w:pStyle w:val="ListBullet"/>
        <w:spacing w:line="240" w:lineRule="auto"/>
        <w:ind w:left="720"/>
      </w:pPr>
      <w:r>
        <w:rPr>
          <w:lang w:val="en_US" w:bidi="en_US"/>
        </w:rPr>
      </w:r>
      <w:r>
        <w:rPr>
          <w:lang w:val="en_US" w:bidi="en_US"/>
        </w:rPr>
        <w:t>“Which of us</w:t>
      </w:r>
      <w:r>
        <w:rPr>
          <w:vertAlign w:val="superscript"/>
          <w:lang w:val="en_US" w:bidi="en_US"/>
        </w:rPr>
        <w:t>(incl)</w:t>
      </w:r>
      <w:r>
        <w:rPr>
          <w:lang w:val="en_US" w:bidi="en_US"/>
        </w:rPr>
        <w:t xml:space="preserve"> would ever </w:t>
      </w:r>
      <w:r>
        <w:rPr>
          <w:lang w:val="en_US" w:bidi="en_US"/>
        </w:rPr>
        <w:t>give/betray Jesus to his enemies</w:t>
      </w:r>
      <w:r>
        <w:rPr>
          <w:lang w:val="en_US" w:bidi="en_US"/>
        </w:rPr>
        <w:t>?”</w:t>
      </w:r>
    </w:p>
    <w:p>
      <w:pPr>
        <w:pStyle w:val="Heading5"/>
      </w:pPr>
      <w:r>
        <w:rPr>
          <w:lang w:val="en_US" w:bidi="en_US"/>
        </w:rPr>
        <w:t>22:23a–b</w:t>
      </w:r>
    </w:p>
    <w:p>
      <w:pPr/>
      <w:r>
        <w:rPr>
          <w:lang w:val="en_US" w:bidi="en_US"/>
        </w:rPr>
      </w:r>
      <w:r>
        <w:rPr>
          <w:b/>
          <w:lang w:val="en_US" w:bidi="en_US"/>
        </w:rPr>
        <w:t>Then:</w:t>
      </w:r>
      <w:r>
        <w:rPr>
          <w:lang w:val="en_US" w:bidi="en_US"/>
        </w:rPr>
        <w:t xml:space="preserve"> In Greek this verse begins with the common conjunction that is often translated as “and.” It introduces the reaction of the apostles when Jesus said that one of them would betray him (22:21). The BSB and some other English versions translate this word as </w:t>
      </w:r>
      <w:r>
        <w:rPr>
          <w:i/>
          <w:lang w:val="en_US" w:bidi="en_US"/>
        </w:rPr>
        <w:t>Then</w:t>
      </w:r>
      <w:r>
        <w:rPr>
          <w:lang w:val="en_US" w:bidi="en_US"/>
        </w:rPr>
        <w:t>. In some languages it may be natural to begin it with an introductory phrase or clause. For example:</w:t>
      </w:r>
    </w:p>
    <w:p>
      <w:pPr/>
      <w:r>
        <w:rPr>
          <w:lang w:val="en_US" w:bidi="en_US"/>
        </w:rPr>
      </w:r>
      <w:r>
        <w:rPr>
          <w:lang w:val="en_US" w:bidi="en_US"/>
        </w:rPr>
        <w:t>When his disciples heard that</w:t>
      </w:r>
      <w:r>
        <w:rPr>
          <w:lang w:val="en_US" w:bidi="en_US"/>
        </w:rPr>
        <w:t>Uma back translation on TW.</w:t>
      </w:r>
    </w:p>
    <w:p>
      <w:pPr/>
      <w:r>
        <w:rPr>
          <w:lang w:val="en_US" w:bidi="en_US"/>
        </w:rPr>
      </w:r>
      <w:r>
        <w:rPr>
          <w:lang w:val="en_US" w:bidi="en_US"/>
        </w:rPr>
        <w:t>Begin the verse in a natural way in your language.</w:t>
      </w:r>
    </w:p>
    <w:p>
      <w:pPr/>
      <w:r>
        <w:rPr>
          <w:lang w:val="en_US" w:bidi="en_US"/>
        </w:rPr>
      </w:r>
      <w:r>
        <w:rPr>
          <w:b/>
          <w:lang w:val="en_US" w:bidi="en_US"/>
        </w:rPr>
        <w:t>they began to question among themselves which of them was going to do this:</w:t>
      </w:r>
      <w:r>
        <w:rPr>
          <w:lang w:val="en_US" w:bidi="en_US"/>
        </w:rPr>
        <w:t xml:space="preserve"> The Greek phrase that the BSB translates as </w:t>
      </w:r>
      <w:r>
        <w:rPr>
          <w:i/>
          <w:lang w:val="en_US" w:bidi="en_US"/>
        </w:rPr>
        <w:t>they began to question</w:t>
      </w:r>
      <w:r>
        <w:rPr>
          <w:lang w:val="en_US" w:bidi="en_US"/>
        </w:rPr>
        <w:t xml:space="preserve"> indicates that the apostles started discussing which of them would betray Jesus.</w:t>
      </w:r>
    </w:p>
    <w:p>
      <w:pPr/>
      <w:r>
        <w:rPr>
          <w:lang w:val="en_US" w:bidi="en_US"/>
        </w:rPr>
      </w:r>
      <w:r>
        <w:rPr>
          <w:lang w:val="en_US" w:bidi="en_US"/>
        </w:rPr>
        <w:t xml:space="preserve">The Greek phrase </w:t>
      </w:r>
      <w:r>
        <w:rPr>
          <w:i/>
          <w:lang w:val="en_US" w:bidi="en_US"/>
        </w:rPr>
        <w:t>which of them was going to do this</w:t>
      </w:r>
      <w:r>
        <w:rPr>
          <w:lang w:val="en_US" w:bidi="en_US"/>
        </w:rPr>
        <w:t xml:space="preserve"> is emphatic. In this context it implies that betraying Jesus was a terrible action. It was hard for them to imagine that one of them would do that. Try to express this feeling in a natural way in your language. Some ways to translate it in English are:</w:t>
      </w:r>
    </w:p>
    <w:p>
      <w:pPr/>
      <w:r>
        <w:rPr>
          <w:lang w:val="en_US" w:bidi="en_US"/>
        </w:rPr>
      </w:r>
      <w:r>
        <w:rPr>
          <w:lang w:val="en_US" w:bidi="en_US"/>
        </w:rPr>
        <w:t>they began to discuss with each other who could do such a thing (GW)</w:t>
      </w:r>
    </w:p>
    <w:p>
      <w:pPr/>
      <w:r>
        <w:rPr>
          <w:lang w:val="en_US" w:bidi="en_US"/>
        </w:rPr>
      </w:r>
      <w:r>
        <w:rPr>
          <w:lang w:val="en_US" w:bidi="en_US"/>
        </w:rPr>
        <w:t>they began to question one another as to which of them it could possibly be who would do this (NET)</w:t>
      </w:r>
    </w:p>
    <w:p>
      <w:pPr/>
      <w:r>
        <w:rPr>
          <w:lang w:val="en_US" w:bidi="en_US"/>
        </w:rPr>
      </w:r>
      <w:r>
        <w:rPr>
          <w:lang w:val="en_US" w:bidi="en_US"/>
        </w:rPr>
        <w:t>In some languages it may be more natural to translate this verse as a direct quote. For example:</w:t>
      </w:r>
    </w:p>
    <w:p>
      <w:pPr/>
      <w:r>
        <w:rPr>
          <w:lang w:val="en_US" w:bidi="en_US"/>
        </w:rPr>
      </w:r>
      <w:r>
        <w:rPr>
          <w:lang w:val="en_US" w:bidi="en_US"/>
        </w:rPr>
        <w:t>They started to ask one another, “Which of us could be the one who will do this?”</w:t>
      </w:r>
    </w:p>
    <w:p>
      <w:pPr/>
      <w:r>
        <w:rPr>
          <w:lang w:val="en_US" w:bidi="en_US"/>
        </w:rPr>
      </w:r>
      <w:r>
        <w:rPr>
          <w:b/>
          <w:lang w:val="en_US" w:bidi="en_US"/>
        </w:rPr>
        <w:t>question:</w:t>
      </w:r>
      <w:r>
        <w:rPr>
          <w:lang w:val="en_US" w:bidi="en_US"/>
        </w:rPr>
        <w:t xml:space="preserve"> The Greek verb that the BSB translates as </w:t>
      </w:r>
      <w:r>
        <w:rPr>
          <w:i/>
          <w:lang w:val="en_US" w:bidi="en_US"/>
        </w:rPr>
        <w:t>question</w:t>
      </w:r>
      <w:r>
        <w:rPr>
          <w:lang w:val="en_US" w:bidi="en_US"/>
        </w:rPr>
        <w:t xml:space="preserve"> means “to talk with,” “to speak with,” or “to converse” about something.</w:t>
      </w:r>
      <w:r>
        <w:rPr>
          <w:lang w:val="en_US" w:bidi="en_US"/>
        </w:rPr>
      </w:r>
      <w:r>
        <w:rPr>
          <w:lang w:val="en_US" w:bidi="en_US"/>
        </w:rPr>
      </w:r>
    </w:p>
    <w:p>
      <w:pPr/>
      <w:r>
        <w:rPr>
          <w:lang w:val="en_US" w:bidi="en_US"/>
        </w:rPr>
      </w:r>
    </w:p>
    <w:p>
      <w:pPr>
        <w:pStyle w:val="Heading2"/>
      </w:pPr>
      <w:r>
        <w:rPr>
          <w:lang w:val="en_US" w:bidi="en_US"/>
        </w:rPr>
        <w:t>Luke 22:24</w:t>
      </w:r>
      <w:r>
        <w:rPr>
          <w:lang w:val="en_US" w:bidi="en_US"/>
        </w:rPr>
      </w:r>
    </w:p>
    <w:p>
      <w:pPr>
        <w:pStyle w:val="Heading4"/>
      </w:pPr>
      <w:r>
        <w:rPr>
          <w:lang w:val="en_US" w:bidi="en_US"/>
        </w:rPr>
        <w:t>Section 22:24–30: Jesus taught his apostles about greatness</w:t>
      </w:r>
    </w:p>
    <w:p>
      <w:pPr/>
      <w:r>
        <w:rPr>
          <w:lang w:val="en_US" w:bidi="en_US"/>
        </w:rPr>
      </w:r>
      <w:r>
        <w:rPr>
          <w:lang w:val="en_US" w:bidi="en_US"/>
        </w:rPr>
        <w:t>In this section Jesus’ apostles began to argue about which of them was the greatest. Because of this argument, Jesus taught them that leaders among his disciples should be different from other leaders who are not his disciples. His disciples should be servants and not harsh, arrogant leaders. This instruction applies not only to Jesus’ twelve apostles but to everyone who becomes a leader among Jesus’ other followers.</w:t>
      </w:r>
    </w:p>
    <w:p>
      <w:pPr/>
      <w:r>
        <w:rPr>
          <w:lang w:val="en_US" w:bidi="en_US"/>
        </w:rPr>
      </w:r>
      <w:r>
        <w:rPr>
          <w:lang w:val="en_US" w:bidi="en_US"/>
        </w:rPr>
        <w:t>The apostles had a similar argument in 9:46 and Mark 9:34. In 9:46 this argument occurred just after Jesus had predicted in 9:44 that he would be betrayed. The similar argument here in Section 22:24–30 is also mentioned immediately after Jesus said that he would be betrayed.</w:t>
      </w:r>
    </w:p>
    <w:p>
      <w:pPr/>
      <w:r>
        <w:rPr>
          <w:lang w:val="en_US" w:bidi="en_US"/>
        </w:rPr>
      </w:r>
      <w:r>
        <w:rPr>
          <w:lang w:val="en_US" w:bidi="en_US"/>
        </w:rPr>
        <w:t>Some examples of heading for this section are:</w:t>
      </w:r>
    </w:p>
    <w:p>
      <w:pPr/>
      <w:r>
        <w:rPr>
          <w:lang w:val="en_US" w:bidi="en_US"/>
        </w:rPr>
      </w:r>
      <w:r>
        <w:rPr>
          <w:lang w:val="en_US" w:bidi="en_US"/>
        </w:rPr>
        <w:t>Jesus again teaches humility (JBP)</w:t>
      </w:r>
    </w:p>
    <w:p>
      <w:pPr/>
      <w:r>
        <w:rPr>
          <w:lang w:val="en_US" w:bidi="en_US"/>
        </w:rPr>
      </w:r>
      <w:r>
        <w:rPr>
          <w:lang w:val="en_US" w:bidi="en_US"/>
        </w:rPr>
        <w:t>The Argument about Greatness (GNT)</w:t>
      </w:r>
    </w:p>
    <w:p>
      <w:pPr/>
      <w:r>
        <w:rPr>
          <w:lang w:val="en_US" w:bidi="en_US"/>
        </w:rPr>
      </w:r>
      <w:r>
        <w:rPr>
          <w:lang w:val="en_US" w:bidi="en_US"/>
        </w:rPr>
        <w:t>Jesus taught that the one who serves others is the greatest among them</w:t>
      </w:r>
    </w:p>
    <w:p>
      <w:pPr/>
      <w:r>
        <w:rPr>
          <w:lang w:val="en_US" w:bidi="en_US"/>
        </w:rPr>
      </w:r>
      <w:r>
        <w:rPr>
          <w:lang w:val="en_US" w:bidi="en_US"/>
        </w:rPr>
        <w:t>Some English versions, such as the NIV, do not have a section heading here. You may divide the sections in the way that is most helpful for the people in your area.</w:t>
      </w:r>
    </w:p>
    <w:p>
      <w:pPr>
        <w:pStyle w:val="Heading5"/>
      </w:pPr>
      <w:r>
        <w:rPr>
          <w:lang w:val="en_US" w:bidi="en_US"/>
        </w:rPr>
        <w:t>22:24a</w:t>
      </w:r>
    </w:p>
    <w:p>
      <w:pPr/>
      <w:r>
        <w:rPr>
          <w:lang w:val="en_US" w:bidi="en_US"/>
        </w:rPr>
      </w:r>
      <w:r>
        <w:rPr>
          <w:b/>
          <w:lang w:val="en_US" w:bidi="en_US"/>
        </w:rPr>
        <w:t>A dispute also arose among the disciples</w:t>
      </w:r>
    </w:p>
    <w:p>
      <w:pPr>
        <w:pStyle w:val="ListBullet"/>
        <w:spacing w:line="240" w:lineRule="auto"/>
        <w:ind w:left="720"/>
      </w:pPr>
      <w:r>
        <w:rPr>
          <w:lang w:val="en_US" w:bidi="en_US"/>
        </w:rPr>
      </w:r>
      <w:r>
        <w:rPr>
          <w:lang w:val="en_US" w:bidi="en_US"/>
        </w:rPr>
        <w:t>¶ It also happened that the apostles began to argue</w:t>
      </w:r>
    </w:p>
    <w:p>
      <w:pPr>
        <w:pStyle w:val="ListBullet"/>
        <w:spacing w:line="240" w:lineRule="auto"/>
        <w:ind w:left="720"/>
      </w:pPr>
      <w:r>
        <w:rPr>
          <w:lang w:val="en_US" w:bidi="en_US"/>
        </w:rPr>
      </w:r>
      <w:r>
        <w:rPr>
          <w:lang w:val="en_US" w:bidi="en_US"/>
        </w:rPr>
        <w:t xml:space="preserve">¶ There was also an argument among the </w:t>
      </w:r>
      <w:r>
        <w:rPr>
          <w:lang w:val="en_US" w:bidi="en_US"/>
        </w:rPr>
        <w:t>twelve</w:t>
      </w:r>
      <w:r>
        <w:rPr>
          <w:lang w:val="en_US" w:bidi="en_US"/>
        </w:rPr>
        <w:t xml:space="preserve"> apostles</w:t>
      </w:r>
    </w:p>
    <w:p>
      <w:pPr>
        <w:pStyle w:val="ListBullet"/>
        <w:spacing w:line="240" w:lineRule="auto"/>
        <w:ind w:left="720"/>
      </w:pPr>
      <w:r>
        <w:rPr>
          <w:lang w:val="en_US" w:bidi="en_US"/>
        </w:rPr>
      </w:r>
      <w:r>
        <w:rPr>
          <w:lang w:val="en_US" w:bidi="en_US"/>
        </w:rPr>
        <w:t>¶ And the disciples also quarreled, asking each other,</w:t>
      </w:r>
    </w:p>
    <w:p>
      <w:pPr/>
      <w:r>
        <w:rPr>
          <w:lang w:val="en_US" w:bidi="en_US"/>
        </w:rPr>
      </w:r>
      <w:r>
        <w:rPr>
          <w:b/>
          <w:lang w:val="en_US" w:bidi="en_US"/>
        </w:rPr>
        <w:t>A dispute also arose among the disciples:</w:t>
      </w:r>
      <w:r>
        <w:rPr>
          <w:lang w:val="en_US" w:bidi="en_US"/>
        </w:rPr>
        <w:t xml:space="preserve"> The Greek phrase that the BSB translates as </w:t>
      </w:r>
      <w:r>
        <w:rPr>
          <w:i/>
          <w:lang w:val="en_US" w:bidi="en_US"/>
        </w:rPr>
        <w:t>A dispute also arose</w:t>
      </w:r>
      <w:r>
        <w:rPr>
          <w:lang w:val="en_US" w:bidi="en_US"/>
        </w:rPr>
        <w:t xml:space="preserve"> is more literally “And a dispute also happened.” In this context it introduces a topic that the apostles argued about. The phrase does not necessarily indicate that this argument happened immediately after their discussion in 22:23.</w:t>
      </w:r>
      <w:r>
        <w:rPr>
          <w:lang w:val="en_US" w:bidi="en_US"/>
        </w:rPr>
        <w:t>Arndt (p. 442) indicates that Luke’s wording “lets the point of time when the scene occurred remain altogether indefinite.” He also says (pp. 441–442) that Luke “may not follow the actual sequence of events in this report. One is inclined to think that this unworthy quarrel arose at the very beginning, when seats had to be chosen at the supper, and there apparently was an endeavor on the part of some or all to obtain the most honorable places, that is, those next to Jesus. The foot washing which Jesus undertook to teach the lesson of humility…and which apparently fell early at the supper would confirm this construction of the situation.” However, Luke probably placed this argument immediately after the heart-rending prediction of betrayal to show that the apostles were still very far from understanding him and the sacrificial death he was about to die for them.</w:t>
      </w:r>
      <w:r>
        <w:rPr>
          <w:lang w:val="en_US" w:bidi="en_US"/>
        </w:rPr>
        <w:t xml:space="preserve"> Other ways to introduce this argument are:</w:t>
      </w:r>
    </w:p>
    <w:p>
      <w:pPr/>
      <w:r>
        <w:rPr>
          <w:lang w:val="en_US" w:bidi="en_US"/>
        </w:rPr>
      </w:r>
      <w:r>
        <w:rPr>
          <w:lang w:val="en_US" w:bidi="en_US"/>
        </w:rPr>
        <w:t>The apostles also began to argue (NCV)</w:t>
      </w:r>
    </w:p>
    <w:p>
      <w:pPr/>
      <w:r>
        <w:rPr>
          <w:lang w:val="en_US" w:bidi="en_US"/>
        </w:rPr>
      </w:r>
      <w:r>
        <w:rPr>
          <w:lang w:val="en_US" w:bidi="en_US"/>
        </w:rPr>
        <w:t>And there was also a strife among them (KJV)</w:t>
      </w:r>
    </w:p>
    <w:p>
      <w:pPr/>
      <w:r>
        <w:rPr>
          <w:lang w:val="en_US" w:bidi="en_US"/>
        </w:rPr>
      </w:r>
      <w:r>
        <w:rPr>
          <w:lang w:val="en_US" w:bidi="en_US"/>
        </w:rPr>
        <w:t>A dispute also started among them (NET)</w:t>
      </w:r>
    </w:p>
    <w:p>
      <w:pPr/>
      <w:r>
        <w:rPr>
          <w:lang w:val="en_US" w:bidi="en_US"/>
        </w:rPr>
      </w:r>
      <w:r>
        <w:rPr>
          <w:lang w:val="en_US" w:bidi="en_US"/>
        </w:rPr>
        <w:t xml:space="preserve">Some English versions do not translate the word </w:t>
      </w:r>
      <w:r>
        <w:rPr>
          <w:i/>
          <w:lang w:val="en_US" w:bidi="en_US"/>
        </w:rPr>
        <w:t>also</w:t>
      </w:r>
      <w:r>
        <w:rPr>
          <w:lang w:val="en_US" w:bidi="en_US"/>
        </w:rPr>
        <w:t>. For example:</w:t>
      </w:r>
    </w:p>
    <w:p>
      <w:pPr/>
      <w:r>
        <w:rPr>
          <w:lang w:val="en_US" w:bidi="en_US"/>
        </w:rPr>
      </w:r>
      <w:r>
        <w:rPr>
          <w:lang w:val="en_US" w:bidi="en_US"/>
        </w:rPr>
        <w:t>An argument broke out among the disciples (GNT)</w:t>
      </w:r>
    </w:p>
    <w:p>
      <w:pPr/>
      <w:r>
        <w:rPr>
          <w:lang w:val="en_US" w:bidi="en_US"/>
        </w:rPr>
      </w:r>
      <w:r>
        <w:rPr>
          <w:lang w:val="en_US" w:bidi="en_US"/>
        </w:rPr>
        <w:t>Introduce the argument in a natural way in your language.</w:t>
      </w:r>
    </w:p>
    <w:p>
      <w:pPr>
        <w:pStyle w:val="Heading5"/>
      </w:pPr>
      <w:r>
        <w:rPr>
          <w:lang w:val="en_US" w:bidi="en_US"/>
        </w:rPr>
        <w:t>22:24b</w:t>
      </w:r>
    </w:p>
    <w:p>
      <w:pPr/>
      <w:r>
        <w:rPr>
          <w:lang w:val="en_US" w:bidi="en_US"/>
        </w:rPr>
      </w:r>
      <w:r>
        <w:rPr>
          <w:b/>
          <w:lang w:val="en_US" w:bidi="en_US"/>
        </w:rPr>
        <w:t>as to which of them would be considered the greatest.</w:t>
      </w:r>
    </w:p>
    <w:p>
      <w:pPr>
        <w:pStyle w:val="ListBullet"/>
        <w:spacing w:line="240" w:lineRule="auto"/>
        <w:ind w:left="720"/>
      </w:pPr>
      <w:r>
        <w:rPr>
          <w:lang w:val="en_US" w:bidi="en_US"/>
        </w:rPr>
      </w:r>
      <w:r>
        <w:rPr>
          <w:lang w:val="en_US" w:bidi="en_US"/>
        </w:rPr>
        <w:t>about which of them should be considered the greatest.</w:t>
      </w:r>
    </w:p>
    <w:p>
      <w:pPr>
        <w:pStyle w:val="ListBullet"/>
        <w:spacing w:line="240" w:lineRule="auto"/>
        <w:ind w:left="720"/>
      </w:pPr>
      <w:r>
        <w:rPr>
          <w:lang w:val="en_US" w:bidi="en_US"/>
        </w:rPr>
      </w:r>
      <w:r>
        <w:rPr>
          <w:lang w:val="en_US" w:bidi="en_US"/>
        </w:rPr>
        <w:t>about which of them had greater status/rank than all the others.</w:t>
      </w:r>
    </w:p>
    <w:p>
      <w:pPr>
        <w:pStyle w:val="ListBullet"/>
        <w:spacing w:line="240" w:lineRule="auto"/>
        <w:ind w:left="720"/>
      </w:pPr>
      <w:r>
        <w:rPr>
          <w:lang w:val="en_US" w:bidi="en_US"/>
        </w:rPr>
      </w:r>
      <w:r>
        <w:rPr>
          <w:lang w:val="en_US" w:bidi="en_US"/>
        </w:rPr>
        <w:t>“Who among us deserves the place/position of honor?”</w:t>
      </w:r>
    </w:p>
    <w:p>
      <w:pPr/>
      <w:r>
        <w:rPr>
          <w:lang w:val="en_US" w:bidi="en_US"/>
        </w:rPr>
      </w:r>
      <w:r>
        <w:rPr>
          <w:b/>
          <w:lang w:val="en_US" w:bidi="en_US"/>
        </w:rPr>
        <w:t>as to which of them would be considered the greatest:</w:t>
      </w:r>
      <w:r>
        <w:rPr>
          <w:lang w:val="en_US" w:bidi="en_US"/>
        </w:rPr>
        <w:t xml:space="preserve"> In Greek, this phrase is more literally “[about] who of them seems to be greatest.” It indicates that the apostles argued about which of them seemed to be greater than all the rest of the apostles. Another way to translate this is:</w:t>
      </w:r>
    </w:p>
    <w:p>
      <w:pPr/>
      <w:r>
        <w:rPr>
          <w:lang w:val="en_US" w:bidi="en_US"/>
        </w:rPr>
      </w:r>
      <w:r>
        <w:rPr>
          <w:lang w:val="en_US" w:bidi="en_US"/>
        </w:rPr>
        <w:t>concerning which of them seemed to be greater than the others</w:t>
      </w:r>
    </w:p>
    <w:p>
      <w:pPr/>
      <w:r>
        <w:rPr>
          <w:lang w:val="en_US" w:bidi="en_US"/>
        </w:rPr>
      </w:r>
      <w:r>
        <w:rPr>
          <w:lang w:val="en_US" w:bidi="en_US"/>
        </w:rPr>
        <w:t>In some languages it may be necessary to make this argument into a direct quotation. For example:</w:t>
      </w:r>
    </w:p>
    <w:p>
      <w:pPr/>
      <w:r>
        <w:rPr>
          <w:lang w:val="en_US" w:bidi="en_US"/>
        </w:rPr>
      </w:r>
      <w:r>
        <w:rPr>
          <w:lang w:val="en_US" w:bidi="en_US"/>
        </w:rPr>
        <w:t>about the question, “Who among us should be considered the greatest?”</w:t>
      </w:r>
    </w:p>
    <w:p>
      <w:pPr/>
      <w:r>
        <w:rPr>
          <w:lang w:val="en_US" w:bidi="en_US"/>
        </w:rPr>
      </w:r>
      <w:r>
        <w:rPr>
          <w:b/>
          <w:lang w:val="en_US" w:bidi="en_US"/>
        </w:rPr>
        <w:t>would be considered the greatest:</w:t>
      </w:r>
      <w:r>
        <w:rPr>
          <w:lang w:val="en_US" w:bidi="en_US"/>
        </w:rPr>
        <w:t xml:space="preserve"> The Greek verb that the BSB translates as </w:t>
      </w:r>
      <w:r>
        <w:rPr>
          <w:i/>
          <w:lang w:val="en_US" w:bidi="en_US"/>
        </w:rPr>
        <w:t>would be considered</w:t>
      </w:r>
      <w:r>
        <w:rPr>
          <w:lang w:val="en_US" w:bidi="en_US"/>
        </w:rPr>
        <w:t xml:space="preserve"> is active. It means “seems” or “thinks,” and it refers to opinions or thoughts about the apostles. The text does not specify who have those opinions, so many versions translate the verb as passive, as in the BSB. Some ways to translate </w:t>
      </w:r>
      <w:r>
        <w:rPr>
          <w:i/>
          <w:lang w:val="en_US" w:bidi="en_US"/>
        </w:rPr>
        <w:t>would be considered the greatest</w:t>
      </w:r>
      <w:r>
        <w:rPr>
          <w:lang w:val="en_US" w:bidi="en_US"/>
        </w:rPr>
        <w:t xml:space="preserve"> are:</w:t>
      </w:r>
    </w:p>
    <w:p>
      <w:pPr/>
      <w:r>
        <w:rPr>
          <w:lang w:val="en_US" w:bidi="en_US"/>
        </w:rPr>
      </w:r>
      <w:r>
        <w:rPr>
          <w:lang w:val="en_US" w:bidi="en_US"/>
        </w:rPr>
        <w:t>should be thought of as the greatest (GNT)</w:t>
      </w:r>
    </w:p>
    <w:p>
      <w:pPr/>
      <w:r>
        <w:rPr>
          <w:lang w:val="en_US" w:bidi="en_US"/>
        </w:rPr>
      </w:r>
      <w:r>
        <w:rPr>
          <w:lang w:val="en_US" w:bidi="en_US"/>
        </w:rPr>
        <w:t>was to be regarded as the greatest (NRSV)</w:t>
      </w:r>
    </w:p>
    <w:p>
      <w:pPr/>
      <w:r>
        <w:rPr>
          <w:lang w:val="en_US" w:bidi="en_US"/>
        </w:rPr>
      </w:r>
      <w:r>
        <w:rPr>
          <w:lang w:val="en_US" w:bidi="en_US"/>
        </w:rPr>
        <w:t>should have the most honorable position</w:t>
      </w:r>
    </w:p>
    <w:p>
      <w:pPr/>
      <w:r>
        <w:rPr>
          <w:lang w:val="en_US" w:bidi="en_US"/>
        </w:rPr>
      </w:r>
      <w:r>
        <w:rPr>
          <w:b/>
          <w:lang w:val="en_US" w:bidi="en_US"/>
        </w:rPr>
        <w:t>greatest:</w:t>
      </w:r>
      <w:r>
        <w:rPr>
          <w:lang w:val="en_US" w:bidi="en_US"/>
        </w:rPr>
        <w:t xml:space="preserve"> The Greek word that the BSB translates as </w:t>
      </w:r>
      <w:r>
        <w:rPr>
          <w:i/>
          <w:lang w:val="en_US" w:bidi="en_US"/>
        </w:rPr>
        <w:t>greatest</w:t>
      </w:r>
      <w:r>
        <w:rPr>
          <w:lang w:val="en_US" w:bidi="en_US"/>
        </w:rPr>
        <w:t xml:space="preserve"> refers here to being superior to other people in importance, rank, or quality.</w:t>
      </w:r>
    </w:p>
    <w:p>
      <w:pPr/>
      <w:r>
        <w:rPr>
          <w:lang w:val="en_US" w:bidi="en_US"/>
        </w:rPr>
      </w:r>
      <w:r>
        <w:rPr>
          <w:lang w:val="en_US" w:bidi="en_US"/>
        </w:rPr>
        <w:t xml:space="preserve">Some other ways to translate the word </w:t>
      </w:r>
      <w:r>
        <w:rPr>
          <w:i/>
          <w:lang w:val="en_US" w:bidi="en_US"/>
        </w:rPr>
        <w:t>greatest</w:t>
      </w:r>
      <w:r>
        <w:rPr>
          <w:lang w:val="en_US" w:bidi="en_US"/>
        </w:rPr>
        <w:t xml:space="preserve"> are:</w:t>
      </w:r>
    </w:p>
    <w:p>
      <w:pPr/>
      <w:r>
        <w:rPr>
          <w:lang w:val="en_US" w:bidi="en_US"/>
        </w:rPr>
      </w:r>
      <w:r>
        <w:rPr>
          <w:lang w:val="en_US" w:bidi="en_US"/>
        </w:rPr>
        <w:t>the most important (NCV)</w:t>
      </w:r>
    </w:p>
    <w:p>
      <w:pPr/>
      <w:r>
        <w:rPr>
          <w:lang w:val="en_US" w:bidi="en_US"/>
        </w:rPr>
      </w:r>
      <w:r>
        <w:rPr>
          <w:lang w:val="en_US" w:bidi="en_US"/>
        </w:rPr>
        <w:t>highest in rank</w:t>
      </w:r>
    </w:p>
    <w:p>
      <w:pPr>
        <w:pStyle w:val="Heading6"/>
      </w:pPr>
      <w:r>
        <w:rPr>
          <w:b/>
          <w:lang w:val="en_US" w:bidi="en_US"/>
        </w:rPr>
        <w:t>General Comment on 22:24a–b</w:t>
      </w:r>
    </w:p>
    <w:p>
      <w:pPr/>
      <w:r>
        <w:rPr>
          <w:lang w:val="en_US" w:bidi="en_US"/>
        </w:rPr>
      </w:r>
      <w:r>
        <w:rPr>
          <w:lang w:val="en_US" w:bidi="en_US"/>
        </w:rPr>
        <w:t>In some languages it may be helpful to translate this verse as two sentences. For example:</w:t>
      </w:r>
    </w:p>
    <w:p>
      <w:pPr/>
      <w:r>
        <w:rPr>
          <w:lang w:val="en_US" w:bidi="en_US"/>
        </w:rPr>
      </w:r>
      <w:r>
        <w:rPr>
          <w:lang w:val="en_US" w:bidi="en_US"/>
        </w:rPr>
        <w:t>Then a quarrel broke out among the disciples. They argued about who should be considered the greatest. (GW)</w:t>
      </w:r>
    </w:p>
    <w:p>
      <w:pPr/>
      <w:r>
        <w:rPr>
          <w:lang w:val="en_US" w:bidi="en_US"/>
        </w:rPr>
      </w:r>
      <w:r>
        <w:rPr>
          <w:lang w:val="en_US" w:bidi="en_US"/>
        </w:rPr>
        <w:t>And they began to argue with each other. They asked each other, “Which of us seems to be the greatest?”</w:t>
      </w:r>
      <w:r>
        <w:rPr>
          <w:lang w:val="en_US" w:bidi="en_US"/>
        </w:rPr>
      </w:r>
      <w:r>
        <w:rPr>
          <w:lang w:val="en_US" w:bidi="en_US"/>
        </w:rPr>
      </w:r>
    </w:p>
    <w:p>
      <w:pPr/>
      <w:r>
        <w:rPr>
          <w:lang w:val="en_US" w:bidi="en_US"/>
        </w:rPr>
      </w:r>
    </w:p>
    <w:p>
      <w:pPr>
        <w:pStyle w:val="Heading2"/>
      </w:pPr>
      <w:r>
        <w:rPr>
          <w:lang w:val="en_US" w:bidi="en_US"/>
        </w:rPr>
        <w:t>Luke 22:25</w:t>
      </w:r>
      <w:r>
        <w:rPr>
          <w:lang w:val="en_US" w:bidi="en_US"/>
        </w:rPr>
      </w:r>
    </w:p>
    <w:p>
      <w:pPr>
        <w:pStyle w:val="Heading4"/>
      </w:pPr>
      <w:r>
        <w:rPr>
          <w:lang w:val="en_US" w:bidi="en_US"/>
        </w:rPr>
        <w:t>Section 22:24–30: Jesus taught his apostles about greatness</w:t>
      </w:r>
    </w:p>
    <w:p>
      <w:pPr/>
      <w:r>
        <w:rPr>
          <w:lang w:val="en_US" w:bidi="en_US"/>
        </w:rPr>
      </w:r>
      <w:r>
        <w:rPr>
          <w:lang w:val="en_US" w:bidi="en_US"/>
        </w:rPr>
        <w:t>In this section Jesus’ apostles began to argue about which of them was the greatest. Because of this argument, Jesus taught them that leaders among his disciples should be different from other leaders who are not his disciples. His disciples should be servants and not harsh, arrogant leaders. This instruction applies not only to Jesus’ twelve apostles but to everyone who becomes a leader among Jesus’ other followers.</w:t>
      </w:r>
    </w:p>
    <w:p>
      <w:pPr/>
      <w:r>
        <w:rPr>
          <w:lang w:val="en_US" w:bidi="en_US"/>
        </w:rPr>
      </w:r>
      <w:r>
        <w:rPr>
          <w:lang w:val="en_US" w:bidi="en_US"/>
        </w:rPr>
        <w:t>The apostles had a similar argument in 9:46 and Mark 9:34. In 9:46 this argument occurred just after Jesus had predicted in 9:44 that he would be betrayed. The similar argument here in Section 22:24–30 is also mentioned immediately after Jesus said that he would be betrayed.</w:t>
      </w:r>
    </w:p>
    <w:p>
      <w:pPr/>
      <w:r>
        <w:rPr>
          <w:lang w:val="en_US" w:bidi="en_US"/>
        </w:rPr>
      </w:r>
      <w:r>
        <w:rPr>
          <w:lang w:val="en_US" w:bidi="en_US"/>
        </w:rPr>
        <w:t>Some examples of heading for this section are:</w:t>
      </w:r>
    </w:p>
    <w:p>
      <w:pPr/>
      <w:r>
        <w:rPr>
          <w:lang w:val="en_US" w:bidi="en_US"/>
        </w:rPr>
      </w:r>
      <w:r>
        <w:rPr>
          <w:lang w:val="en_US" w:bidi="en_US"/>
        </w:rPr>
        <w:t>Jesus again teaches humility (JBP)</w:t>
      </w:r>
    </w:p>
    <w:p>
      <w:pPr/>
      <w:r>
        <w:rPr>
          <w:lang w:val="en_US" w:bidi="en_US"/>
        </w:rPr>
      </w:r>
      <w:r>
        <w:rPr>
          <w:lang w:val="en_US" w:bidi="en_US"/>
        </w:rPr>
        <w:t>The Argument about Greatness (GNT)</w:t>
      </w:r>
    </w:p>
    <w:p>
      <w:pPr/>
      <w:r>
        <w:rPr>
          <w:lang w:val="en_US" w:bidi="en_US"/>
        </w:rPr>
      </w:r>
      <w:r>
        <w:rPr>
          <w:lang w:val="en_US" w:bidi="en_US"/>
        </w:rPr>
        <w:t>Jesus taught that the one who serves others is the greatest among them</w:t>
      </w:r>
    </w:p>
    <w:p>
      <w:pPr/>
      <w:r>
        <w:rPr>
          <w:lang w:val="en_US" w:bidi="en_US"/>
        </w:rPr>
      </w:r>
      <w:r>
        <w:rPr>
          <w:lang w:val="en_US" w:bidi="en_US"/>
        </w:rPr>
        <w:t>Some English versions, such as the NIV, do not have a section heading here. You may divide the sections in the way that is most helpful for the people in your area.</w:t>
      </w:r>
    </w:p>
    <w:p>
      <w:pPr>
        <w:pStyle w:val="Heading5"/>
      </w:pPr>
      <w:r>
        <w:rPr>
          <w:lang w:val="en_US" w:bidi="en_US"/>
        </w:rPr>
        <w:t>22:25a–b</w:t>
      </w:r>
    </w:p>
    <w:p>
      <w:pPr/>
      <w:r>
        <w:rPr>
          <w:lang w:val="en_US" w:bidi="en_US"/>
        </w:rPr>
      </w:r>
      <w:r>
        <w:rPr>
          <w:lang w:val="en_US" w:bidi="en_US"/>
        </w:rPr>
        <w:t>In this verse Jesus spoke about kings and other people in authority among the Gentiles. He made two parallel statements that have almost the same meaning. What Jesus said about kings in 22:25a applies also to others in authority. What he said in 22:25b about the authorities also applies to kings. One way to make this clear is to connect kings and those in authority as a compound subject. For example:</w:t>
      </w:r>
    </w:p>
    <w:p>
      <w:pPr/>
      <w:r>
        <w:rPr>
          <w:lang w:val="en_US" w:bidi="en_US"/>
        </w:rPr>
      </w:r>
      <w:r>
        <w:rPr>
          <w:lang w:val="en_US" w:bidi="en_US"/>
        </w:rPr>
        <w:t>Jesus told them, “In this world the kings and great men lord it over their people, yet they are called ‘friends of the people.’” (NLT)</w:t>
      </w:r>
    </w:p>
    <w:p>
      <w:pPr/>
      <w:r>
        <w:rPr>
          <w:lang w:val="en_US" w:bidi="en_US"/>
        </w:rPr>
      </w:r>
      <w:r>
        <w:rPr>
          <w:lang w:val="en_US" w:bidi="en_US"/>
        </w:rPr>
        <w:t>Jesus said to them, “The kings and others who rule on the earth, they force what they want from those they are ruling and they also want/like to be nicknamed Merciful.”</w:t>
      </w:r>
      <w:r>
        <w:rPr>
          <w:lang w:val="en_US" w:bidi="en_US"/>
        </w:rPr>
        <w:t>Kankanaey back translation on TW.</w:t>
      </w:r>
    </w:p>
    <w:p>
      <w:pPr/>
      <w:r>
        <w:rPr>
          <w:lang w:val="en_US" w:bidi="en_US"/>
        </w:rPr>
      </w:r>
      <w:r>
        <w:rPr>
          <w:lang w:val="en_US" w:bidi="en_US"/>
        </w:rPr>
        <w:t>Translate the parallel statements in a clear way in your language.</w:t>
      </w:r>
    </w:p>
    <w:p>
      <w:pPr>
        <w:pStyle w:val="Heading5"/>
      </w:pPr>
      <w:r>
        <w:rPr>
          <w:lang w:val="en_US" w:bidi="en_US"/>
        </w:rPr>
        <w:t>22:25a</w:t>
      </w:r>
    </w:p>
    <w:p>
      <w:pPr/>
      <w:r>
        <w:rPr>
          <w:lang w:val="en_US" w:bidi="en_US"/>
        </w:rPr>
      </w:r>
      <w:r>
        <w:rPr>
          <w:b/>
          <w:lang w:val="en_US" w:bidi="en_US"/>
        </w:rPr>
        <w:t>So Jesus declared, “The kings of the Gentiles lord it over them,</w:t>
      </w:r>
    </w:p>
    <w:p>
      <w:pPr>
        <w:pStyle w:val="ListBullet"/>
        <w:spacing w:line="240" w:lineRule="auto"/>
        <w:ind w:left="720"/>
      </w:pPr>
      <w:r>
        <w:rPr>
          <w:lang w:val="en_US" w:bidi="en_US"/>
        </w:rPr>
      </w:r>
      <w:r>
        <w:rPr>
          <w:lang w:val="en_US" w:bidi="en_US"/>
        </w:rPr>
        <w:t>But Jesus told them: “Among the Gentiles, kings rule/dominate their people as lords.</w:t>
      </w:r>
    </w:p>
    <w:p>
      <w:pPr>
        <w:pStyle w:val="ListBullet"/>
        <w:spacing w:line="240" w:lineRule="auto"/>
        <w:ind w:left="720"/>
      </w:pPr>
      <w:r>
        <w:rPr>
          <w:lang w:val="en_US" w:bidi="en_US"/>
        </w:rPr>
      </w:r>
      <w:r>
        <w:rPr>
          <w:lang w:val="en_US" w:bidi="en_US"/>
        </w:rPr>
        <w:t>Jesus replied, “Pagan/Non-Jewish rulers want complete authority over their people,</w:t>
      </w:r>
    </w:p>
    <w:p>
      <w:pPr>
        <w:pStyle w:val="ListBullet"/>
        <w:spacing w:line="240" w:lineRule="auto"/>
        <w:ind w:left="720"/>
      </w:pPr>
      <w:r>
        <w:rPr>
          <w:lang w:val="en_US" w:bidi="en_US"/>
        </w:rPr>
      </w:r>
      <w:r>
        <w:rPr>
          <w:lang w:val="en_US" w:bidi="en_US"/>
        </w:rPr>
        <w:t>Then Jesus answered, “The kings/chiefs of people who are not Jews rule them strictly</w:t>
      </w:r>
    </w:p>
    <w:p>
      <w:pPr/>
      <w:r>
        <w:rPr>
          <w:lang w:val="en_US" w:bidi="en_US"/>
        </w:rPr>
      </w:r>
      <w:r>
        <w:rPr>
          <w:b/>
          <w:lang w:val="en_US" w:bidi="en_US"/>
        </w:rPr>
        <w:t>So:</w:t>
      </w:r>
      <w:r>
        <w:rPr>
          <w:lang w:val="en_US" w:bidi="en_US"/>
        </w:rPr>
        <w:t xml:space="preserve"> In Greek, this verse begins with a conjunction that is often translated as “and” or “but.” It introduces what Jesus said to the apostles about their argument. What he said contrasted with their desire to be great. The BSB translates this conjunction as </w:t>
      </w:r>
      <w:r>
        <w:rPr>
          <w:i/>
          <w:lang w:val="en_US" w:bidi="en_US"/>
        </w:rPr>
        <w:t>So</w:t>
      </w:r>
      <w:r>
        <w:rPr>
          <w:lang w:val="en_US" w:bidi="en_US"/>
        </w:rPr>
        <w:t xml:space="preserve"> here, but other English versions use “But,” “Then,” “And,” or do not use a conjunction. Introduce Jesus’ response in a natural way in your language.</w:t>
      </w:r>
    </w:p>
    <w:p>
      <w:pPr/>
      <w:r>
        <w:rPr>
          <w:lang w:val="en_US" w:bidi="en_US"/>
        </w:rPr>
      </w:r>
      <w:r>
        <w:rPr>
          <w:b/>
          <w:lang w:val="en_US" w:bidi="en_US"/>
        </w:rPr>
        <w:t>The kings of the Gentiles lord it over them:</w:t>
      </w:r>
      <w:r>
        <w:rPr>
          <w:lang w:val="en_US" w:bidi="en_US"/>
        </w:rPr>
        <w:t xml:space="preserve"> The Greek verb that the BSB translates as </w:t>
      </w:r>
      <w:r>
        <w:rPr>
          <w:i/>
          <w:lang w:val="en_US" w:bidi="en_US"/>
        </w:rPr>
        <w:t>lord it over</w:t>
      </w:r>
      <w:r>
        <w:rPr>
          <w:lang w:val="en_US" w:bidi="en_US"/>
        </w:rPr>
        <w:t xml:space="preserve"> indicates here that the Gentile kings rule their people as lords. They use their authority to control the people and demand obedience. Like the Greek verb, the English phrase </w:t>
      </w:r>
      <w:r>
        <w:rPr>
          <w:i/>
          <w:lang w:val="en_US" w:bidi="en_US"/>
        </w:rPr>
        <w:t>lord it over them</w:t>
      </w:r>
      <w:r>
        <w:rPr>
          <w:lang w:val="en_US" w:bidi="en_US"/>
        </w:rPr>
        <w:t xml:space="preserve"> implies that they rule the people too strictly and want too much honor. Some other ways to translate this part of the verse are:</w:t>
      </w:r>
    </w:p>
    <w:p>
      <w:pPr/>
      <w:r>
        <w:rPr>
          <w:lang w:val="en_US" w:bidi="en_US"/>
        </w:rPr>
      </w:r>
      <w:r>
        <w:rPr>
          <w:lang w:val="en_US" w:bidi="en_US"/>
        </w:rPr>
        <w:t>The kings of the pagans have power over their people (GNT)</w:t>
      </w:r>
    </w:p>
    <w:p>
      <w:pPr/>
      <w:r>
        <w:rPr>
          <w:lang w:val="en_US" w:bidi="en_US"/>
        </w:rPr>
      </w:r>
      <w:r>
        <w:rPr>
          <w:lang w:val="en_US" w:bidi="en_US"/>
        </w:rPr>
        <w:t>Among the Gentiles, their kings dominate them</w:t>
      </w:r>
    </w:p>
    <w:p>
      <w:pPr/>
      <w:r>
        <w:rPr>
          <w:lang w:val="en_US" w:bidi="en_US"/>
        </w:rPr>
      </w:r>
      <w:r>
        <w:rPr>
          <w:lang w:val="en_US" w:bidi="en_US"/>
        </w:rPr>
        <w:t>The kings of the Gentiles exercise lordship over them (RSV)</w:t>
      </w:r>
    </w:p>
    <w:p>
      <w:pPr/>
      <w:r>
        <w:rPr>
          <w:lang w:val="en_US" w:bidi="en_US"/>
        </w:rPr>
      </w:r>
      <w:r>
        <w:rPr>
          <w:lang w:val="en_US" w:bidi="en_US"/>
        </w:rPr>
        <w:t>In some languages there may be an idiom to describe this type of ruling. Translate it in a natural way in your language. This word also occurred in Mark 10:42. See how you translated it there.</w:t>
      </w:r>
    </w:p>
    <w:p>
      <w:pPr/>
      <w:r>
        <w:rPr>
          <w:lang w:val="en_US" w:bidi="en_US"/>
        </w:rPr>
      </w:r>
      <w:r>
        <w:rPr>
          <w:b/>
          <w:lang w:val="en_US" w:bidi="en_US"/>
        </w:rPr>
        <w:t>the Gentiles:</w:t>
      </w:r>
      <w:r>
        <w:rPr>
          <w:lang w:val="en_US" w:bidi="en_US"/>
        </w:rPr>
        <w:t xml:space="preserve"> The Greek word that the BSB translates as </w:t>
      </w:r>
      <w:r>
        <w:rPr>
          <w:i/>
          <w:lang w:val="en_US" w:bidi="en_US"/>
        </w:rPr>
        <w:t>the Gentiles</w:t>
      </w:r>
      <w:r>
        <w:rPr>
          <w:lang w:val="en_US" w:bidi="en_US"/>
        </w:rPr>
        <w:t xml:space="preserve"> literally means “the peoples.” The Jews used this term to refer to the other people (and nations) of the world. Here Jesus used it to refer to the peoples or nations who do not follow God. He was not focusing on the contrast between Jews and Gentiles. Some ways to translate </w:t>
      </w:r>
      <w:r>
        <w:rPr>
          <w:i/>
          <w:lang w:val="en_US" w:bidi="en_US"/>
        </w:rPr>
        <w:t>the Gentiles</w:t>
      </w:r>
      <w:r>
        <w:rPr>
          <w:lang w:val="en_US" w:bidi="en_US"/>
        </w:rPr>
        <w:t xml:space="preserve"> in this context are:</w:t>
      </w:r>
    </w:p>
    <w:p>
      <w:pPr/>
      <w:r>
        <w:rPr>
          <w:lang w:val="en_US" w:bidi="en_US"/>
        </w:rPr>
      </w:r>
      <w:r>
        <w:rPr>
          <w:lang w:val="en_US" w:bidi="en_US"/>
        </w:rPr>
        <w:t>The kings of nations (GW)</w:t>
      </w:r>
    </w:p>
    <w:p>
      <w:pPr/>
      <w:r>
        <w:rPr>
          <w:lang w:val="en_US" w:bidi="en_US"/>
        </w:rPr>
      </w:r>
      <w:r>
        <w:rPr>
          <w:lang w:val="en_US" w:bidi="en_US"/>
        </w:rPr>
        <w:t>Foreign kings (CEV)</w:t>
      </w:r>
    </w:p>
    <w:p>
      <w:pPr/>
      <w:r>
        <w:rPr>
          <w:lang w:val="en_US" w:bidi="en_US"/>
        </w:rPr>
      </w:r>
      <w:r>
        <w:rPr>
          <w:lang w:val="en_US" w:bidi="en_US"/>
        </w:rPr>
        <w:t>The kings of the pagans (GNT)</w:t>
      </w:r>
    </w:p>
    <w:p>
      <w:pPr/>
      <w:r>
        <w:rPr>
          <w:lang w:val="en_US" w:bidi="en_US"/>
        </w:rPr>
      </w:r>
      <w:r>
        <w:rPr>
          <w:lang w:val="en_US" w:bidi="en_US"/>
        </w:rPr>
        <w:t>In this world the kings (NLT)</w:t>
      </w:r>
    </w:p>
    <w:p>
      <w:pPr>
        <w:pStyle w:val="Heading5"/>
      </w:pPr>
      <w:r>
        <w:rPr>
          <w:lang w:val="en_US" w:bidi="en_US"/>
        </w:rPr>
        <w:t>22:25b</w:t>
      </w:r>
    </w:p>
    <w:p>
      <w:pPr/>
      <w:r>
        <w:rPr>
          <w:lang w:val="en_US" w:bidi="en_US"/>
        </w:rPr>
      </w:r>
      <w:r>
        <w:rPr>
          <w:b/>
          <w:lang w:val="en_US" w:bidi="en_US"/>
        </w:rPr>
        <w:t>and those in authority over them call themselves benefactors.</w:t>
      </w:r>
    </w:p>
    <w:p>
      <w:pPr>
        <w:pStyle w:val="ListBullet"/>
        <w:spacing w:line="240" w:lineRule="auto"/>
        <w:ind w:left="720"/>
      </w:pPr>
      <w:r>
        <w:rPr>
          <w:lang w:val="en_US" w:bidi="en_US"/>
        </w:rPr>
      </w:r>
      <w:r>
        <w:rPr>
          <w:lang w:val="en_US" w:bidi="en_US"/>
        </w:rPr>
        <w:t>Leaders enforce their authority, and then want to be called ‘Helpers of the People.’</w:t>
      </w:r>
    </w:p>
    <w:p>
      <w:pPr>
        <w:pStyle w:val="ListBullet"/>
        <w:spacing w:line="240" w:lineRule="auto"/>
        <w:ind w:left="720"/>
      </w:pPr>
      <w:r>
        <w:rPr>
          <w:lang w:val="en_US" w:bidi="en_US"/>
        </w:rPr>
      </w:r>
      <w:r>
        <w:rPr>
          <w:lang w:val="en_US" w:bidi="en_US"/>
        </w:rPr>
        <w:t>and like to be known as benevolent/generous leaders.</w:t>
      </w:r>
    </w:p>
    <w:p>
      <w:pPr>
        <w:pStyle w:val="ListBullet"/>
        <w:spacing w:line="240" w:lineRule="auto"/>
        <w:ind w:left="720"/>
      </w:pPr>
      <w:r>
        <w:rPr>
          <w:lang w:val="en_US" w:bidi="en_US"/>
        </w:rPr>
      </w:r>
      <w:r>
        <w:rPr>
          <w:lang w:val="en_US" w:bidi="en_US"/>
        </w:rPr>
        <w:t xml:space="preserve">and dominate them. Then the kings/chiefs want </w:t>
      </w:r>
      <w:r>
        <w:rPr>
          <w:lang w:val="en_US" w:bidi="en_US"/>
        </w:rPr>
        <w:t>the people</w:t>
      </w:r>
      <w:r>
        <w:rPr>
          <w:lang w:val="en_US" w:bidi="en_US"/>
        </w:rPr>
        <w:t xml:space="preserve"> to </w:t>
      </w:r>
      <w:r>
        <w:rPr>
          <w:lang w:val="en_US" w:bidi="en_US"/>
        </w:rPr>
        <w:t>praise</w:t>
      </w:r>
      <w:r>
        <w:rPr>
          <w:lang w:val="en_US" w:bidi="en_US"/>
        </w:rPr>
        <w:t xml:space="preserve"> them as kind/generous.</w:t>
      </w:r>
    </w:p>
    <w:p>
      <w:pPr/>
      <w:r>
        <w:rPr>
          <w:lang w:val="en_US" w:bidi="en_US"/>
        </w:rPr>
      </w:r>
      <w:r>
        <w:rPr>
          <w:b/>
          <w:lang w:val="en_US" w:bidi="en_US"/>
        </w:rPr>
        <w:t>and:</w:t>
      </w:r>
      <w:r>
        <w:rPr>
          <w:lang w:val="en_US" w:bidi="en_US"/>
        </w:rPr>
        <w:t xml:space="preserve"> In Greek this verse begins with the common conjunction that the BSB translates as </w:t>
      </w:r>
      <w:r>
        <w:rPr>
          <w:i/>
          <w:lang w:val="en_US" w:bidi="en_US"/>
        </w:rPr>
        <w:t>and</w:t>
      </w:r>
      <w:r>
        <w:rPr>
          <w:lang w:val="en_US" w:bidi="en_US"/>
        </w:rPr>
        <w:t>. It introduces a statement that is very similar to 22:25a. Use a natural way in your language to introduce a parallel statement like this. You may want to refer again to the note on 22:25a–b.</w:t>
      </w:r>
    </w:p>
    <w:p>
      <w:pPr/>
      <w:r>
        <w:rPr>
          <w:lang w:val="en_US" w:bidi="en_US"/>
        </w:rPr>
      </w:r>
      <w:r>
        <w:rPr>
          <w:b/>
          <w:lang w:val="en_US" w:bidi="en_US"/>
        </w:rPr>
        <w:t>those in authority over them:</w:t>
      </w:r>
      <w:r>
        <w:rPr>
          <w:lang w:val="en_US" w:bidi="en_US"/>
        </w:rPr>
        <w:t xml:space="preserve"> The phrase </w:t>
      </w:r>
      <w:r>
        <w:rPr>
          <w:i/>
          <w:lang w:val="en_US" w:bidi="en_US"/>
        </w:rPr>
        <w:t>those in authority over them</w:t>
      </w:r>
      <w:r>
        <w:rPr>
          <w:lang w:val="en_US" w:bidi="en_US"/>
        </w:rPr>
        <w:t xml:space="preserve"> has almost the same meaning as the phrase “lord it over them.” It refers here to leaders who have authority over people and use it to control them. It often implies the idea of ruling them harshly or oppressing them. Other ways to translate this phrase are:</w:t>
      </w:r>
    </w:p>
    <w:p>
      <w:pPr/>
      <w:r>
        <w:rPr>
          <w:lang w:val="en_US" w:bidi="en_US"/>
        </w:rPr>
      </w:r>
      <w:r>
        <w:rPr>
          <w:lang w:val="en_US" w:bidi="en_US"/>
        </w:rPr>
        <w:t>enforce their authority over people</w:t>
      </w:r>
    </w:p>
    <w:p>
      <w:pPr/>
      <w:r>
        <w:rPr>
          <w:lang w:val="en_US" w:bidi="en_US"/>
        </w:rPr>
      </w:r>
      <w:r>
        <w:rPr>
          <w:lang w:val="en_US" w:bidi="en_US"/>
        </w:rPr>
        <w:t>use their authority to make people obey them</w:t>
      </w:r>
    </w:p>
    <w:p>
      <w:pPr/>
      <w:r>
        <w:rPr>
          <w:lang w:val="en_US" w:bidi="en_US"/>
        </w:rPr>
      </w:r>
      <w:r>
        <w:rPr>
          <w:b/>
          <w:lang w:val="en_US" w:bidi="en_US"/>
        </w:rPr>
        <w:t>call themselves benefactors:</w:t>
      </w:r>
      <w:r>
        <w:rPr>
          <w:lang w:val="en_US" w:bidi="en_US"/>
        </w:rPr>
        <w:t xml:space="preserve"> There are two ways to interpret the Greek verb that the BSB translates as </w:t>
      </w:r>
      <w:r>
        <w:rPr>
          <w:i/>
          <w:lang w:val="en_US" w:bidi="en_US"/>
        </w:rPr>
        <w:t>call themselves</w:t>
      </w:r>
      <w:r>
        <w:rPr>
          <w:lang w:val="en_US" w:bidi="en_US"/>
        </w:rPr>
        <w:t xml:space="preserve"> in this context:</w:t>
      </w:r>
    </w:p>
    <w:p>
      <w:pPr>
        <w:pStyle w:val="ListNumber"/>
        <w:numPr>
          <w:ilvl w:val="0"/>
          <w:numId w:val="354"/>
        </w:numPr>
        <w:spacing w:line="240" w:lineRule="auto"/>
        <w:ind w:left="720"/>
      </w:pPr>
      <w:r>
        <w:rPr>
          <w:lang w:val="en_US" w:bidi="en_US"/>
        </w:rPr>
      </w:r>
      <w:r>
        <w:rPr>
          <w:lang w:val="en_US" w:bidi="en_US"/>
        </w:rPr>
        <w:t xml:space="preserve">It indicates that </w:t>
      </w:r>
      <w:r>
        <w:rPr>
          <w:u w:val="single"/>
          <w:lang w:val="en_US" w:bidi="en_US"/>
        </w:rPr>
        <w:t>other people</w:t>
      </w:r>
      <w:r>
        <w:rPr>
          <w:lang w:val="en_US" w:bidi="en_US"/>
        </w:rPr>
        <w:t xml:space="preserve"> call them </w:t>
      </w:r>
      <w:r>
        <w:rPr>
          <w:i/>
          <w:lang w:val="en_US" w:bidi="en_US"/>
        </w:rPr>
        <w:t>benefactors</w:t>
      </w:r>
      <w:r>
        <w:rPr>
          <w:lang w:val="en_US" w:bidi="en_US"/>
        </w:rPr>
        <w:t>. For example:</w:t>
      </w:r>
      <w:r>
        <w:rPr>
          <w:lang w:val="en_US" w:bidi="en_US"/>
        </w:rPr>
        <w:t>are called benefactors (RSV)</w:t>
      </w:r>
      <w:r>
        <w:rPr>
          <w:lang w:val="en_US" w:bidi="en_US"/>
        </w:rPr>
        <w:t xml:space="preserve">are given the title Benefactor (REB) </w:t>
      </w:r>
      <w:r>
        <w:rPr>
          <w:i/>
          <w:lang w:val="en_US" w:bidi="en_US"/>
        </w:rPr>
        <w:t>(RSV, REB, NLT, NET, NJB, KJV, NASB, ESV, JBP)</w:t>
      </w:r>
    </w:p>
    <w:p>
      <w:pPr>
        <w:pStyle w:val="ListNumber"/>
        <w:spacing w:line="240" w:lineRule="auto"/>
        <w:ind w:left="720"/>
      </w:pPr>
      <w:r>
        <w:rPr>
          <w:lang w:val="en_US" w:bidi="en_US"/>
        </w:rPr>
      </w:r>
      <w:r>
        <w:rPr>
          <w:lang w:val="en_US" w:bidi="en_US"/>
        </w:rPr>
        <w:t xml:space="preserve">It indicates that the </w:t>
      </w:r>
      <w:r>
        <w:rPr>
          <w:u w:val="single"/>
          <w:lang w:val="en_US" w:bidi="en_US"/>
        </w:rPr>
        <w:t>rulers call themselves</w:t>
      </w:r>
      <w:r>
        <w:rPr>
          <w:lang w:val="en_US" w:bidi="en_US"/>
        </w:rPr>
        <w:t xml:space="preserve"> </w:t>
      </w:r>
      <w:r>
        <w:rPr>
          <w:i/>
          <w:lang w:val="en_US" w:bidi="en_US"/>
        </w:rPr>
        <w:t>benefactors</w:t>
      </w:r>
      <w:r>
        <w:rPr>
          <w:lang w:val="en_US" w:bidi="en_US"/>
        </w:rPr>
        <w:t>. For example:</w:t>
      </w:r>
      <w:r>
        <w:rPr>
          <w:lang w:val="en_US" w:bidi="en_US"/>
        </w:rPr>
        <w:t xml:space="preserve">those in authority call themselves friends of the people (GW) </w:t>
      </w:r>
      <w:r>
        <w:rPr>
          <w:i/>
          <w:lang w:val="en_US" w:bidi="en_US"/>
        </w:rPr>
        <w:t>(BSB, GW, NIV, CEV)</w:t>
      </w:r>
    </w:p>
    <w:p>
      <w:pPr/>
      <w:r>
        <w:rPr>
          <w:lang w:val="en_US" w:bidi="en_US"/>
        </w:rPr>
      </w:r>
      <w:r>
        <w:rPr>
          <w:lang w:val="en_US" w:bidi="en_US"/>
        </w:rPr>
        <w:t xml:space="preserve">The GNT is ambiguous. If you have to choose between the two interpretations, it is recommended that you follow interpretation (1). The Gentile rulers encouraged or required their subjects to call them </w:t>
      </w:r>
      <w:r>
        <w:rPr>
          <w:i/>
          <w:lang w:val="en_US" w:bidi="en_US"/>
        </w:rPr>
        <w:t>benefactors</w:t>
      </w:r>
      <w:r>
        <w:rPr>
          <w:lang w:val="en_US" w:bidi="en_US"/>
        </w:rPr>
        <w:t>. The NCV makes this explicit:</w:t>
      </w:r>
    </w:p>
    <w:p>
      <w:pPr/>
      <w:r>
        <w:rPr>
          <w:lang w:val="en_US" w:bidi="en_US"/>
        </w:rPr>
      </w:r>
      <w:r>
        <w:rPr>
          <w:lang w:val="en_US" w:bidi="en_US"/>
        </w:rPr>
        <w:t>and those who have authority over others like to be called “friends of the people” (NCV)</w:t>
      </w:r>
    </w:p>
    <w:p>
      <w:pPr/>
      <w:r>
        <w:rPr>
          <w:lang w:val="en_US" w:bidi="en_US"/>
        </w:rPr>
      </w:r>
      <w:r>
        <w:rPr>
          <w:b/>
          <w:lang w:val="en_US" w:bidi="en_US"/>
        </w:rPr>
        <w:t>benefactors:</w:t>
      </w:r>
      <w:r>
        <w:rPr>
          <w:lang w:val="en_US" w:bidi="en_US"/>
        </w:rPr>
        <w:t xml:space="preserve"> The title </w:t>
      </w:r>
      <w:r>
        <w:rPr>
          <w:i/>
          <w:lang w:val="en_US" w:bidi="en_US"/>
        </w:rPr>
        <w:t>benefactors</w:t>
      </w:r>
      <w:r>
        <w:rPr>
          <w:lang w:val="en_US" w:bidi="en_US"/>
        </w:rPr>
        <w:t xml:space="preserve"> means “Doers of Good.” It implies that the leaders wanted people to praise them. They wanted people to say that they were generous and helped their people. Other ways to translate </w:t>
      </w:r>
      <w:r>
        <w:rPr>
          <w:i/>
          <w:lang w:val="en_US" w:bidi="en_US"/>
        </w:rPr>
        <w:t>benefactors</w:t>
      </w:r>
      <w:r>
        <w:rPr>
          <w:lang w:val="en_US" w:bidi="en_US"/>
        </w:rPr>
        <w:t xml:space="preserve"> are:</w:t>
      </w:r>
    </w:p>
    <w:p>
      <w:pPr/>
      <w:r>
        <w:rPr>
          <w:lang w:val="en_US" w:bidi="en_US"/>
        </w:rPr>
      </w:r>
      <w:r>
        <w:rPr>
          <w:lang w:val="en_US" w:bidi="en_US"/>
        </w:rPr>
        <w:t>Friends of the People (GNT)</w:t>
      </w:r>
    </w:p>
    <w:p>
      <w:pPr/>
      <w:r>
        <w:rPr>
          <w:lang w:val="en_US" w:bidi="en_US"/>
        </w:rPr>
      </w:r>
      <w:r>
        <w:rPr>
          <w:lang w:val="en_US" w:bidi="en_US"/>
        </w:rPr>
        <w:t>those who help the people</w:t>
      </w:r>
      <w:r>
        <w:rPr>
          <w:lang w:val="en_US" w:bidi="en_US"/>
        </w:rPr>
        <w:t>Western Bukidnon Manobo back translation on TW.</w:t>
      </w:r>
    </w:p>
    <w:p>
      <w:pPr/>
      <w:r>
        <w:rPr>
          <w:lang w:val="en_US" w:bidi="en_US"/>
        </w:rPr>
      </w:r>
      <w:r>
        <w:rPr>
          <w:lang w:val="en_US" w:bidi="en_US"/>
        </w:rPr>
        <w:t>Merciful</w:t>
      </w:r>
      <w:r>
        <w:rPr>
          <w:lang w:val="en_US" w:bidi="en_US"/>
        </w:rPr>
        <w:t>Kankanaey back translation on TW.</w:t>
      </w:r>
      <w:r>
        <w:rPr>
          <w:lang w:val="en_US" w:bidi="en_US"/>
        </w:rPr>
      </w:r>
      <w:r>
        <w:rPr>
          <w:lang w:val="en_US" w:bidi="en_US"/>
        </w:rPr>
      </w:r>
    </w:p>
    <w:p>
      <w:pPr/>
      <w:r>
        <w:rPr>
          <w:lang w:val="en_US" w:bidi="en_US"/>
        </w:rPr>
      </w:r>
    </w:p>
    <w:p>
      <w:pPr>
        <w:pStyle w:val="Heading2"/>
      </w:pPr>
      <w:r>
        <w:rPr>
          <w:lang w:val="en_US" w:bidi="en_US"/>
        </w:rPr>
        <w:t>Luke 22:26</w:t>
      </w:r>
      <w:r>
        <w:rPr>
          <w:lang w:val="en_US" w:bidi="en_US"/>
        </w:rPr>
      </w:r>
    </w:p>
    <w:p>
      <w:pPr>
        <w:pStyle w:val="Heading4"/>
      </w:pPr>
      <w:r>
        <w:rPr>
          <w:lang w:val="en_US" w:bidi="en_US"/>
        </w:rPr>
        <w:t>Section 22:24–30: Jesus taught his apostles about greatness</w:t>
      </w:r>
    </w:p>
    <w:p>
      <w:pPr/>
      <w:r>
        <w:rPr>
          <w:lang w:val="en_US" w:bidi="en_US"/>
        </w:rPr>
      </w:r>
      <w:r>
        <w:rPr>
          <w:lang w:val="en_US" w:bidi="en_US"/>
        </w:rPr>
        <w:t>In this section Jesus’ apostles began to argue about which of them was the greatest. Because of this argument, Jesus taught them that leaders among his disciples should be different from other leaders who are not his disciples. His disciples should be servants and not harsh, arrogant leaders. This instruction applies not only to Jesus’ twelve apostles but to everyone who becomes a leader among Jesus’ other followers.</w:t>
      </w:r>
    </w:p>
    <w:p>
      <w:pPr/>
      <w:r>
        <w:rPr>
          <w:lang w:val="en_US" w:bidi="en_US"/>
        </w:rPr>
      </w:r>
      <w:r>
        <w:rPr>
          <w:lang w:val="en_US" w:bidi="en_US"/>
        </w:rPr>
        <w:t>The apostles had a similar argument in 9:46 and Mark 9:34. In 9:46 this argument occurred just after Jesus had predicted in 9:44 that he would be betrayed. The similar argument here in Section 22:24–30 is also mentioned immediately after Jesus said that he would be betrayed.</w:t>
      </w:r>
    </w:p>
    <w:p>
      <w:pPr/>
      <w:r>
        <w:rPr>
          <w:lang w:val="en_US" w:bidi="en_US"/>
        </w:rPr>
      </w:r>
      <w:r>
        <w:rPr>
          <w:lang w:val="en_US" w:bidi="en_US"/>
        </w:rPr>
        <w:t>Some examples of heading for this section are:</w:t>
      </w:r>
    </w:p>
    <w:p>
      <w:pPr/>
      <w:r>
        <w:rPr>
          <w:lang w:val="en_US" w:bidi="en_US"/>
        </w:rPr>
      </w:r>
      <w:r>
        <w:rPr>
          <w:lang w:val="en_US" w:bidi="en_US"/>
        </w:rPr>
        <w:t>Jesus again teaches humility (JBP)</w:t>
      </w:r>
    </w:p>
    <w:p>
      <w:pPr/>
      <w:r>
        <w:rPr>
          <w:lang w:val="en_US" w:bidi="en_US"/>
        </w:rPr>
      </w:r>
      <w:r>
        <w:rPr>
          <w:lang w:val="en_US" w:bidi="en_US"/>
        </w:rPr>
        <w:t>The Argument about Greatness (GNT)</w:t>
      </w:r>
    </w:p>
    <w:p>
      <w:pPr/>
      <w:r>
        <w:rPr>
          <w:lang w:val="en_US" w:bidi="en_US"/>
        </w:rPr>
      </w:r>
      <w:r>
        <w:rPr>
          <w:lang w:val="en_US" w:bidi="en_US"/>
        </w:rPr>
        <w:t>Jesus taught that the one who serves others is the greatest among them</w:t>
      </w:r>
    </w:p>
    <w:p>
      <w:pPr/>
      <w:r>
        <w:rPr>
          <w:lang w:val="en_US" w:bidi="en_US"/>
        </w:rPr>
      </w:r>
      <w:r>
        <w:rPr>
          <w:lang w:val="en_US" w:bidi="en_US"/>
        </w:rPr>
        <w:t>Some English versions, such as the NIV, do not have a section heading here. You may divide the sections in the way that is most helpful for the people in your area.</w:t>
      </w:r>
    </w:p>
    <w:p>
      <w:pPr>
        <w:pStyle w:val="Heading5"/>
      </w:pPr>
      <w:r>
        <w:rPr>
          <w:lang w:val="en_US" w:bidi="en_US"/>
        </w:rPr>
        <w:t>22:26a</w:t>
      </w:r>
    </w:p>
    <w:p>
      <w:pPr/>
      <w:r>
        <w:rPr>
          <w:lang w:val="en_US" w:bidi="en_US"/>
        </w:rPr>
      </w:r>
      <w:r>
        <w:rPr>
          <w:b/>
          <w:lang w:val="en_US" w:bidi="en_US"/>
        </w:rPr>
        <w:t>But you shall not be like them.</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must not act that way.</w:t>
      </w:r>
    </w:p>
    <w:p>
      <w:pPr>
        <w:pStyle w:val="ListBullet"/>
        <w:spacing w:line="240" w:lineRule="auto"/>
        <w:ind w:left="720"/>
      </w:pPr>
      <w:r>
        <w:rPr>
          <w:lang w:val="en_US" w:bidi="en_US"/>
        </w:rPr>
      </w:r>
      <w:r>
        <w:rPr>
          <w:lang w:val="en_US" w:bidi="en_US"/>
        </w:rPr>
        <w:t>But among you</w:t>
      </w:r>
      <w:r>
        <w:rPr>
          <w:vertAlign w:val="superscript"/>
          <w:lang w:val="en_US" w:bidi="en_US"/>
        </w:rPr>
        <w:t>(plur)</w:t>
      </w:r>
      <w:r>
        <w:rPr>
          <w:lang w:val="en_US" w:bidi="en_US"/>
        </w:rPr>
        <w:t>, that is not the way it will/should be.</w:t>
      </w:r>
    </w:p>
    <w:p>
      <w:pPr/>
      <w:r>
        <w:rPr>
          <w:lang w:val="en_US" w:bidi="en_US"/>
        </w:rPr>
      </w:r>
      <w:r>
        <w:rPr>
          <w:b/>
          <w:lang w:val="en_US" w:bidi="en_US"/>
        </w:rPr>
        <w:t>But you shall not be like them:</w:t>
      </w:r>
      <w:r>
        <w:rPr>
          <w:lang w:val="en_US" w:bidi="en_US"/>
        </w:rPr>
        <w:t xml:space="preserve"> In Greek this clause is more literally, “But you, not so.” This is an ellipsis. Some information is left out of the clause. It introduces an emphatic contrast between Jesus’ disciples and the rulers of the Gentiles. Jesus’ disciples will be different from those rulers. They must not be like the rulers who do not serve God. Some other ways to translate this ellipsis are:</w:t>
      </w:r>
    </w:p>
    <w:p>
      <w:pPr/>
      <w:r>
        <w:rPr>
          <w:lang w:val="en_US" w:bidi="en_US"/>
        </w:rPr>
      </w:r>
      <w:r>
        <w:rPr>
          <w:lang w:val="en_US" w:bidi="en_US"/>
        </w:rPr>
        <w:t>But among you it will be different (NLT)</w:t>
      </w:r>
    </w:p>
    <w:p>
      <w:pPr/>
      <w:r>
        <w:rPr>
          <w:lang w:val="en_US" w:bidi="en_US"/>
        </w:rPr>
      </w:r>
      <w:r>
        <w:rPr>
          <w:lang w:val="en_US" w:bidi="en_US"/>
        </w:rPr>
        <w:t>Not so with you (NET)</w:t>
      </w:r>
    </w:p>
    <w:p>
      <w:pPr/>
      <w:r>
        <w:rPr>
          <w:lang w:val="en_US" w:bidi="en_US"/>
        </w:rPr>
      </w:r>
      <w:r>
        <w:rPr>
          <w:lang w:val="en_US" w:bidi="en_US"/>
        </w:rPr>
        <w:t>But it is not this way with you (NASB)</w:t>
      </w:r>
    </w:p>
    <w:p>
      <w:pPr/>
      <w:r>
        <w:rPr>
          <w:lang w:val="en_US" w:bidi="en_US"/>
        </w:rPr>
      </w:r>
      <w:r>
        <w:rPr>
          <w:lang w:val="en_US" w:bidi="en_US"/>
        </w:rPr>
        <w:t>But you must not be like that (NCV)</w:t>
      </w:r>
    </w:p>
    <w:p>
      <w:pPr/>
      <w:r>
        <w:rPr>
          <w:lang w:val="en_US" w:bidi="en_US"/>
        </w:rPr>
      </w:r>
      <w:r>
        <w:rPr>
          <w:lang w:val="en_US" w:bidi="en_US"/>
        </w:rPr>
        <w:t>Translate the ellipsis in a natural way in your language.</w:t>
      </w:r>
    </w:p>
    <w:p>
      <w:pPr>
        <w:pStyle w:val="Heading5"/>
      </w:pPr>
      <w:r>
        <w:rPr>
          <w:lang w:val="en_US" w:bidi="en_US"/>
        </w:rPr>
        <w:t>22:26b</w:t>
      </w:r>
    </w:p>
    <w:p>
      <w:pPr/>
      <w:r>
        <w:rPr>
          <w:lang w:val="en_US" w:bidi="en_US"/>
        </w:rPr>
      </w:r>
      <w:r>
        <w:rPr>
          <w:b/>
          <w:lang w:val="en_US" w:bidi="en_US"/>
        </w:rPr>
        <w:t>Instead, the greatest among you should be like the youngest,</w:t>
      </w:r>
    </w:p>
    <w:p>
      <w:pPr>
        <w:pStyle w:val="ListBullet"/>
        <w:spacing w:line="240" w:lineRule="auto"/>
        <w:ind w:left="720"/>
      </w:pPr>
      <w:r>
        <w:rPr>
          <w:lang w:val="en_US" w:bidi="en_US"/>
        </w:rPr>
      </w:r>
      <w:r>
        <w:rPr>
          <w:lang w:val="en_US" w:bidi="en_US"/>
        </w:rPr>
        <w:t>Instead, the person who has the greatest rank/status among you</w:t>
      </w:r>
      <w:r>
        <w:rPr>
          <w:vertAlign w:val="superscript"/>
          <w:lang w:val="en_US" w:bidi="en_US"/>
        </w:rPr>
        <w:t>(plur)</w:t>
      </w:r>
      <w:r>
        <w:rPr>
          <w:lang w:val="en_US" w:bidi="en_US"/>
        </w:rPr>
        <w:t xml:space="preserve"> must </w:t>
      </w:r>
      <w:r>
        <w:rPr>
          <w:lang w:val="en_US" w:bidi="en_US"/>
        </w:rPr>
        <w:t>behave</w:t>
      </w:r>
      <w:r>
        <w:rPr>
          <w:lang w:val="en_US" w:bidi="en_US"/>
        </w:rPr>
        <w:t xml:space="preserve"> like a young man </w:t>
      </w:r>
      <w:r>
        <w:rPr>
          <w:lang w:val="en_US" w:bidi="en_US"/>
        </w:rPr>
        <w:t>should</w:t>
      </w:r>
      <w:r>
        <w:rPr>
          <w:lang w:val="en_US" w:bidi="en_US"/>
        </w:rPr>
        <w:t>.</w:t>
      </w:r>
    </w:p>
    <w:p>
      <w:pPr>
        <w:pStyle w:val="ListBullet"/>
        <w:spacing w:line="240" w:lineRule="auto"/>
        <w:ind w:left="720"/>
      </w:pPr>
      <w:r>
        <w:rPr>
          <w:lang w:val="en_US" w:bidi="en_US"/>
        </w:rPr>
      </w:r>
      <w:r>
        <w:rPr>
          <w:lang w:val="en_US" w:bidi="en_US"/>
        </w:rPr>
        <w:t>Rather, the person of highest rank/status among you</w:t>
      </w:r>
      <w:r>
        <w:rPr>
          <w:vertAlign w:val="superscript"/>
          <w:lang w:val="en_US" w:bidi="en_US"/>
        </w:rPr>
        <w:t>(plur)</w:t>
      </w:r>
      <w:r>
        <w:rPr>
          <w:lang w:val="en_US" w:bidi="en_US"/>
        </w:rPr>
        <w:t xml:space="preserve"> should become as </w:t>
      </w:r>
      <w:r>
        <w:rPr>
          <w:lang w:val="en_US" w:bidi="en_US"/>
        </w:rPr>
        <w:t>humble as</w:t>
      </w:r>
      <w:r>
        <w:rPr>
          <w:lang w:val="en_US" w:bidi="en_US"/>
        </w:rPr>
        <w:t xml:space="preserve"> the one with the lowest rank/status.</w:t>
      </w:r>
    </w:p>
    <w:p>
      <w:pPr>
        <w:pStyle w:val="Heading5"/>
      </w:pPr>
      <w:r>
        <w:rPr>
          <w:lang w:val="en_US" w:bidi="en_US"/>
        </w:rPr>
        <w:t>22:26b–c</w:t>
      </w:r>
    </w:p>
    <w:p>
      <w:pPr/>
      <w:r>
        <w:rPr>
          <w:lang w:val="en_US" w:bidi="en_US"/>
        </w:rPr>
      </w:r>
      <w:r>
        <w:rPr>
          <w:lang w:val="en_US" w:bidi="en_US"/>
        </w:rPr>
        <w:t>In 22:26b–c Jesus described the humble attitude that he wanted his apostles and other leaders to have. He made two parallel statements that have almost the same meaning. He used these parallel statements to emphasize the meaning.</w:t>
      </w:r>
    </w:p>
    <w:p>
      <w:pPr/>
      <w:r>
        <w:rPr>
          <w:lang w:val="en_US" w:bidi="en_US"/>
        </w:rPr>
      </w:r>
      <w:r>
        <w:rPr>
          <w:lang w:val="en_US" w:bidi="en_US"/>
        </w:rPr>
        <w:t>These statements contrast with the two parallel statements in 22:25 about the attitude of Gentile leaders. Consider how to emphasize this contrast in a natural way in your language.</w:t>
      </w:r>
    </w:p>
    <w:p>
      <w:pPr/>
      <w:r>
        <w:rPr>
          <w:lang w:val="en_US" w:bidi="en_US"/>
        </w:rPr>
      </w:r>
      <w:r>
        <w:rPr>
          <w:b/>
          <w:lang w:val="en_US" w:bidi="en_US"/>
        </w:rPr>
        <w:t>Instead:</w:t>
      </w:r>
      <w:r>
        <w:rPr>
          <w:lang w:val="en_US" w:bidi="en_US"/>
        </w:rPr>
        <w:t xml:space="preserve"> The Greek conjunction that the BSB translates as </w:t>
      </w:r>
      <w:r>
        <w:rPr>
          <w:i/>
          <w:lang w:val="en_US" w:bidi="en_US"/>
        </w:rPr>
        <w:t>Instead</w:t>
      </w:r>
      <w:r>
        <w:rPr>
          <w:lang w:val="en_US" w:bidi="en_US"/>
        </w:rPr>
        <w:t xml:space="preserve"> introduces a statement that contrasts with 22:25. In that statement Jesus told his apostles to have a totally different attitude from the rulers in 22:25. In 22:26a Jesus already indicated that his apostles must not be like those rulers, so in some languages a conjunction may not be needed here. Some other ways to introduce this statement are:</w:t>
      </w:r>
    </w:p>
    <w:p>
      <w:pPr/>
      <w:r>
        <w:rPr>
          <w:lang w:val="en_US" w:bidi="en_US"/>
        </w:rPr>
      </w:r>
      <w:r>
        <w:rPr>
          <w:lang w:val="en_US" w:bidi="en_US"/>
        </w:rPr>
        <w:t>But (NLT)</w:t>
      </w:r>
    </w:p>
    <w:p>
      <w:pPr/>
      <w:r>
        <w:rPr>
          <w:lang w:val="en_US" w:bidi="en_US"/>
        </w:rPr>
      </w:r>
      <w:r>
        <w:rPr>
          <w:lang w:val="en_US" w:bidi="en_US"/>
        </w:rPr>
        <w:t>Rather (GW)</w:t>
      </w:r>
    </w:p>
    <w:p>
      <w:pPr/>
      <w:r>
        <w:rPr>
          <w:lang w:val="en_US" w:bidi="en_US"/>
        </w:rPr>
      </w:r>
      <w:r>
        <w:rPr>
          <w:lang w:val="en_US" w:bidi="en_US"/>
        </w:rPr>
        <w:t>Not so with you: on the contrary… (REB)</w:t>
      </w:r>
    </w:p>
    <w:p>
      <w:pPr/>
      <w:r>
        <w:rPr>
          <w:lang w:val="en_US" w:bidi="en_US"/>
        </w:rPr>
      </w:r>
      <w:r>
        <w:rPr>
          <w:lang w:val="en_US" w:bidi="en_US"/>
        </w:rPr>
        <w:t>Begin 22:26b in a natural way in your language.</w:t>
      </w:r>
    </w:p>
    <w:p>
      <w:pPr/>
      <w:r>
        <w:rPr>
          <w:lang w:val="en_US" w:bidi="en_US"/>
        </w:rPr>
      </w:r>
      <w:r>
        <w:rPr>
          <w:b/>
          <w:lang w:val="en_US" w:bidi="en_US"/>
        </w:rPr>
        <w:t>the greatest among you should be like the youngest:</w:t>
      </w:r>
      <w:r>
        <w:rPr>
          <w:lang w:val="en_US" w:bidi="en_US"/>
        </w:rPr>
        <w:t xml:space="preserve"> This clause indicates that the apostle who is greater than all the others should behave very humbly. He should treat the others as humbly as if he had the lowest status among them. In Jewish culture the youngest people in a group had the lowest status. Some other ways to translate this are:</w:t>
      </w:r>
    </w:p>
    <w:p>
      <w:pPr/>
      <w:r>
        <w:rPr>
          <w:lang w:val="en_US" w:bidi="en_US"/>
        </w:rPr>
      </w:r>
      <w:r>
        <w:rPr>
          <w:lang w:val="en_US" w:bidi="en_US"/>
        </w:rPr>
        <w:t>The greatest person among you must be like the lowliest</w:t>
      </w:r>
    </w:p>
    <w:p>
      <w:pPr/>
      <w:r>
        <w:rPr>
          <w:lang w:val="en_US" w:bidi="en_US"/>
        </w:rPr>
      </w:r>
      <w:r>
        <w:rPr>
          <w:lang w:val="en_US" w:bidi="en_US"/>
        </w:rPr>
        <w:t>The most important one of you should be like the least important (CEV)</w:t>
      </w:r>
    </w:p>
    <w:p>
      <w:pPr/>
      <w:r>
        <w:rPr>
          <w:lang w:val="en_US" w:bidi="en_US"/>
        </w:rPr>
      </w:r>
      <w:r>
        <w:rPr>
          <w:lang w:val="en_US" w:bidi="en_US"/>
        </w:rPr>
        <w:t xml:space="preserve">Your greatest person must </w:t>
      </w:r>
      <w:r>
        <w:rPr>
          <w:lang w:val="en_US" w:bidi="en_US"/>
        </w:rPr>
        <w:t>behave as humbly</w:t>
      </w:r>
      <w:r>
        <w:rPr>
          <w:lang w:val="en_US" w:bidi="en_US"/>
        </w:rPr>
        <w:t xml:space="preserve"> as the youngest person</w:t>
      </w:r>
    </w:p>
    <w:p>
      <w:pPr/>
      <w:r>
        <w:rPr>
          <w:lang w:val="en_US" w:bidi="en_US"/>
        </w:rPr>
      </w:r>
      <w:r>
        <w:rPr>
          <w:b/>
          <w:lang w:val="en_US" w:bidi="en_US"/>
        </w:rPr>
        <w:t>the greatest…the youngest:</w:t>
      </w:r>
      <w:r>
        <w:rPr>
          <w:lang w:val="en_US" w:bidi="en_US"/>
        </w:rPr>
        <w:t xml:space="preserve"> The Greek text uses singular forms for </w:t>
      </w:r>
      <w:r>
        <w:rPr>
          <w:i/>
          <w:lang w:val="en_US" w:bidi="en_US"/>
        </w:rPr>
        <w:t>the greatest</w:t>
      </w:r>
      <w:r>
        <w:rPr>
          <w:lang w:val="en_US" w:bidi="en_US"/>
        </w:rPr>
        <w:t xml:space="preserve"> and </w:t>
      </w:r>
      <w:r>
        <w:rPr>
          <w:i/>
          <w:lang w:val="en_US" w:bidi="en_US"/>
        </w:rPr>
        <w:t>the youngest</w:t>
      </w:r>
      <w:r>
        <w:rPr>
          <w:lang w:val="en_US" w:bidi="en_US"/>
        </w:rPr>
        <w:t>. However, in this context Jesus referred to any and all of the leaders among his followers. In many languages it may be more natural to use plural forms. For example:</w:t>
      </w:r>
    </w:p>
    <w:p>
      <w:pPr/>
      <w:r>
        <w:rPr>
          <w:lang w:val="en_US" w:bidi="en_US"/>
        </w:rPr>
      </w:r>
      <w:r>
        <w:rPr>
          <w:lang w:val="en_US" w:bidi="en_US"/>
        </w:rPr>
        <w:t>Those who are the greatest among you should take the lowest rank (NLT)</w:t>
      </w:r>
    </w:p>
    <w:p>
      <w:pPr/>
      <w:r>
        <w:rPr>
          <w:lang w:val="en_US" w:bidi="en_US"/>
        </w:rPr>
      </w:r>
      <w:r>
        <w:rPr>
          <w:b/>
          <w:lang w:val="en_US" w:bidi="en_US"/>
        </w:rPr>
        <w:t>the greatest:</w:t>
      </w:r>
      <w:r>
        <w:rPr>
          <w:lang w:val="en_US" w:bidi="en_US"/>
        </w:rPr>
        <w:t xml:space="preserve"> The phrase </w:t>
      </w:r>
      <w:r>
        <w:rPr>
          <w:i/>
          <w:lang w:val="en_US" w:bidi="en_US"/>
        </w:rPr>
        <w:t>the greatest</w:t>
      </w:r>
      <w:r>
        <w:rPr>
          <w:lang w:val="en_US" w:bidi="en_US"/>
        </w:rPr>
        <w:t xml:space="preserve"> occurred in 22:24b. You should translate in a similar way here.</w:t>
      </w:r>
    </w:p>
    <w:p>
      <w:pPr/>
      <w:r>
        <w:rPr>
          <w:lang w:val="en_US" w:bidi="en_US"/>
        </w:rPr>
      </w:r>
      <w:r>
        <w:rPr>
          <w:b/>
          <w:lang w:val="en_US" w:bidi="en_US"/>
        </w:rPr>
        <w:t>should be like the youngest:</w:t>
      </w:r>
      <w:r>
        <w:rPr>
          <w:lang w:val="en_US" w:bidi="en_US"/>
        </w:rPr>
        <w:t xml:space="preserve"> The Greek word that the BSB translates as </w:t>
      </w:r>
      <w:r>
        <w:rPr>
          <w:i/>
          <w:lang w:val="en_US" w:bidi="en_US"/>
        </w:rPr>
        <w:t>youngest</w:t>
      </w:r>
      <w:r>
        <w:rPr>
          <w:lang w:val="en_US" w:bidi="en_US"/>
        </w:rPr>
        <w:t xml:space="preserve"> usually refers to being young in age. But in this context, it refers to having low status. In Jewish culture, the youngest people in the group should serve all the others. They should do the hard work that the others did not want to do, and they should not expect others to honor them.</w:t>
      </w:r>
    </w:p>
    <w:p>
      <w:pPr/>
      <w:r>
        <w:rPr>
          <w:lang w:val="en_US" w:bidi="en_US"/>
        </w:rPr>
      </w:r>
      <w:r>
        <w:rPr>
          <w:lang w:val="en_US" w:bidi="en_US"/>
        </w:rPr>
        <w:t>In this context Jesus compared this attitude to the humble attitude that he wants his apostles and other followers to have. In some languages you may need to make the meaning more explicit. Some ways to translate it are:</w:t>
      </w:r>
    </w:p>
    <w:p>
      <w:pPr/>
      <w:r>
        <w:rPr>
          <w:lang w:val="en_US" w:bidi="en_US"/>
        </w:rPr>
      </w:r>
      <w:r>
        <w:rPr>
          <w:lang w:val="en_US" w:bidi="en_US"/>
        </w:rPr>
        <w:t>must regard himself as the least of all.</w:t>
      </w:r>
      <w:r>
        <w:rPr>
          <w:lang w:val="en_US" w:bidi="en_US"/>
        </w:rPr>
        <w:t>Western Bukidnon Manobo back translation on TW.</w:t>
      </w:r>
    </w:p>
    <w:p>
      <w:pPr/>
      <w:r>
        <w:rPr>
          <w:lang w:val="en_US" w:bidi="en_US"/>
        </w:rPr>
      </w:r>
      <w:r>
        <w:rPr>
          <w:lang w:val="en_US" w:bidi="en_US"/>
        </w:rPr>
        <w:t>he must consider himself as if he is the youngest</w:t>
      </w:r>
    </w:p>
    <w:p>
      <w:pPr>
        <w:pStyle w:val="Heading5"/>
      </w:pPr>
      <w:r>
        <w:rPr>
          <w:lang w:val="en_US" w:bidi="en_US"/>
        </w:rPr>
        <w:t>22:26c</w:t>
      </w:r>
    </w:p>
    <w:p>
      <w:pPr/>
      <w:r>
        <w:rPr>
          <w:lang w:val="en_US" w:bidi="en_US"/>
        </w:rPr>
      </w:r>
      <w:r>
        <w:rPr>
          <w:b/>
          <w:lang w:val="en_US" w:bidi="en_US"/>
        </w:rPr>
        <w:t>and the one who leads like the one who serves.</w:t>
      </w:r>
    </w:p>
    <w:p>
      <w:pPr>
        <w:pStyle w:val="ListBullet"/>
        <w:spacing w:line="240" w:lineRule="auto"/>
        <w:ind w:left="720"/>
      </w:pPr>
      <w:r>
        <w:rPr>
          <w:lang w:val="en_US" w:bidi="en_US"/>
        </w:rPr>
      </w:r>
      <w:r>
        <w:rPr>
          <w:lang w:val="en_US" w:bidi="en_US"/>
        </w:rPr>
        <w:t xml:space="preserve">That person who rules </w:t>
      </w:r>
      <w:r>
        <w:rPr>
          <w:lang w:val="en_US" w:bidi="en_US"/>
        </w:rPr>
        <w:t>you,</w:t>
      </w:r>
      <w:r>
        <w:rPr>
          <w:vertAlign w:val="superscript"/>
          <w:lang w:val="en_US" w:bidi="en_US"/>
        </w:rPr>
        <w:t>(plur)</w:t>
      </w:r>
      <w:r>
        <w:rPr>
          <w:lang w:val="en_US" w:bidi="en_US"/>
        </w:rPr>
        <w:t xml:space="preserve"> should </w:t>
      </w:r>
      <w:r>
        <w:rPr>
          <w:lang w:val="en_US" w:bidi="en_US"/>
        </w:rPr>
        <w:t>behave</w:t>
      </w:r>
      <w:r>
        <w:rPr>
          <w:lang w:val="en_US" w:bidi="en_US"/>
        </w:rPr>
        <w:t xml:space="preserve"> like a person serving </w:t>
      </w:r>
      <w:r>
        <w:rPr>
          <w:lang w:val="en_US" w:bidi="en_US"/>
        </w:rPr>
        <w:t>you</w:t>
      </w:r>
      <w:r>
        <w:rPr>
          <w:lang w:val="en_US" w:bidi="en_US"/>
        </w:rPr>
        <w:t>.</w:t>
      </w:r>
    </w:p>
    <w:p>
      <w:pPr>
        <w:pStyle w:val="ListBullet"/>
        <w:spacing w:line="240" w:lineRule="auto"/>
        <w:ind w:left="720"/>
      </w:pPr>
      <w:r>
        <w:rPr>
          <w:lang w:val="en_US" w:bidi="en_US"/>
        </w:rPr>
      </w:r>
      <w:r>
        <w:rPr>
          <w:lang w:val="en_US" w:bidi="en_US"/>
        </w:rPr>
        <w:t xml:space="preserve">Indeed, as he leads/rules </w:t>
      </w:r>
      <w:r>
        <w:rPr>
          <w:lang w:val="en_US" w:bidi="en_US"/>
        </w:rPr>
        <w:t>you,</w:t>
      </w:r>
      <w:r>
        <w:rPr>
          <w:vertAlign w:val="superscript"/>
          <w:lang w:val="en_US" w:bidi="en_US"/>
        </w:rPr>
        <w:t>(plur)</w:t>
      </w:r>
      <w:r>
        <w:rPr>
          <w:lang w:val="en_US" w:bidi="en_US"/>
        </w:rPr>
        <w:t xml:space="preserve"> he must become like your servant </w:t>
      </w:r>
      <w:r>
        <w:rPr>
          <w:lang w:val="en_US" w:bidi="en_US"/>
        </w:rPr>
        <w:t>to benefit you</w:t>
      </w:r>
      <w:r>
        <w:rPr>
          <w:lang w:val="en_US" w:bidi="en_US"/>
        </w:rPr>
        <w:t>.</w:t>
      </w:r>
    </w:p>
    <w:p>
      <w:pPr/>
      <w:r>
        <w:rPr>
          <w:lang w:val="en_US" w:bidi="en_US"/>
        </w:rPr>
      </w:r>
      <w:r>
        <w:rPr>
          <w:b/>
          <w:lang w:val="en_US" w:bidi="en_US"/>
        </w:rPr>
        <w:t>and:</w:t>
      </w:r>
      <w:r>
        <w:rPr>
          <w:lang w:val="en_US" w:bidi="en_US"/>
        </w:rPr>
        <w:t xml:space="preserve"> In most English versions, the parallel clauses in 22:26b and 22:26c are joined with the word </w:t>
      </w:r>
      <w:r>
        <w:rPr>
          <w:i/>
          <w:lang w:val="en_US" w:bidi="en_US"/>
        </w:rPr>
        <w:t>and</w:t>
      </w:r>
      <w:r>
        <w:rPr>
          <w:lang w:val="en_US" w:bidi="en_US"/>
        </w:rPr>
        <w:t xml:space="preserve">. In some languages a word like </w:t>
      </w:r>
      <w:r>
        <w:rPr>
          <w:i/>
          <w:lang w:val="en_US" w:bidi="en_US"/>
        </w:rPr>
        <w:t>and</w:t>
      </w:r>
      <w:r>
        <w:rPr>
          <w:lang w:val="en_US" w:bidi="en_US"/>
        </w:rPr>
        <w:t xml:space="preserve"> may not be appropriate to join two statements with very similar meanings. Some other ways to connect them in English are:</w:t>
      </w:r>
    </w:p>
    <w:p>
      <w:pPr/>
      <w:r>
        <w:rPr>
          <w:lang w:val="en_US" w:bidi="en_US"/>
        </w:rPr>
      </w:r>
      <w:r>
        <w:rPr>
          <w:lang w:val="en_US" w:bidi="en_US"/>
        </w:rPr>
        <w:t>yes</w:t>
      </w:r>
    </w:p>
    <w:p>
      <w:pPr/>
      <w:r>
        <w:rPr>
          <w:lang w:val="en_US" w:bidi="en_US"/>
        </w:rPr>
      </w:r>
      <w:r>
        <w:rPr>
          <w:lang w:val="en_US" w:bidi="en_US"/>
        </w:rPr>
        <w:t>indeed</w:t>
      </w:r>
    </w:p>
    <w:p>
      <w:pPr/>
      <w:r>
        <w:rPr>
          <w:lang w:val="en_US" w:bidi="en_US"/>
        </w:rPr>
      </w:r>
      <w:r>
        <w:rPr>
          <w:lang w:val="en_US" w:bidi="en_US"/>
        </w:rPr>
        <w:t>Connect these statements in a natural way in your language. In some languages a connecting word or phrase may not be needed.</w:t>
      </w:r>
    </w:p>
    <w:p>
      <w:pPr/>
      <w:r>
        <w:rPr>
          <w:lang w:val="en_US" w:bidi="en_US"/>
        </w:rPr>
      </w:r>
      <w:r>
        <w:rPr>
          <w:b/>
          <w:lang w:val="en_US" w:bidi="en_US"/>
        </w:rPr>
        <w:t>the one who leads like the one who serves:</w:t>
      </w:r>
      <w:r>
        <w:rPr>
          <w:lang w:val="en_US" w:bidi="en_US"/>
        </w:rPr>
        <w:t xml:space="preserve"> This statement is an ellipsis. The full form is:</w:t>
      </w:r>
    </w:p>
    <w:p>
      <w:pPr/>
      <w:r>
        <w:rPr>
          <w:lang w:val="en_US" w:bidi="en_US"/>
        </w:rPr>
      </w:r>
      <w:r>
        <w:rPr>
          <w:lang w:val="en_US" w:bidi="en_US"/>
        </w:rPr>
        <w:t xml:space="preserve">the one who leads </w:t>
      </w:r>
      <w:r>
        <w:rPr>
          <w:lang w:val="en_US" w:bidi="en_US"/>
        </w:rPr>
        <w:t>should be</w:t>
      </w:r>
      <w:r>
        <w:rPr>
          <w:lang w:val="en_US" w:bidi="en_US"/>
        </w:rPr>
        <w:t xml:space="preserve"> like the one who serves</w:t>
      </w:r>
    </w:p>
    <w:p>
      <w:pPr/>
      <w:r>
        <w:rPr>
          <w:lang w:val="en_US" w:bidi="en_US"/>
        </w:rPr>
      </w:r>
      <w:r>
        <w:rPr>
          <w:lang w:val="en_US" w:bidi="en_US"/>
        </w:rPr>
        <w:t xml:space="preserve">This statement has a similar meaning as the one in 22:26b. The phrase </w:t>
      </w:r>
      <w:r>
        <w:rPr>
          <w:i/>
          <w:lang w:val="en_US" w:bidi="en_US"/>
        </w:rPr>
        <w:t>the one who leads</w:t>
      </w:r>
      <w:r>
        <w:rPr>
          <w:lang w:val="en_US" w:bidi="en_US"/>
        </w:rPr>
        <w:t xml:space="preserve"> refers to the same person as “the greatest among you” in 22:26b. Other ways to make this clear in English are:</w:t>
      </w:r>
    </w:p>
    <w:p>
      <w:pPr/>
      <w:r>
        <w:rPr>
          <w:lang w:val="en_US" w:bidi="en_US"/>
        </w:rPr>
      </w:r>
      <w:r>
        <w:rPr>
          <w:lang w:val="en_US" w:bidi="en_US"/>
        </w:rPr>
        <w:t>Yes,</w:t>
      </w:r>
      <w:r>
        <w:rPr>
          <w:lang w:val="en_US" w:bidi="en_US"/>
        </w:rPr>
        <w:t xml:space="preserve"> as he rules </w:t>
      </w:r>
      <w:r>
        <w:rPr>
          <w:lang w:val="en_US" w:bidi="en_US"/>
        </w:rPr>
        <w:t>them</w:t>
      </w:r>
      <w:r>
        <w:rPr>
          <w:lang w:val="en_US" w:bidi="en_US"/>
        </w:rPr>
        <w:t>, he should behave like a person who serves.</w:t>
      </w:r>
    </w:p>
    <w:p>
      <w:pPr/>
      <w:r>
        <w:rPr>
          <w:lang w:val="en_US" w:bidi="en_US"/>
        </w:rPr>
      </w:r>
      <w:r>
        <w:rPr>
          <w:lang w:val="en_US" w:bidi="en_US"/>
        </w:rPr>
        <w:t xml:space="preserve">when he leads </w:t>
      </w:r>
      <w:r>
        <w:rPr>
          <w:lang w:val="en_US" w:bidi="en_US"/>
        </w:rPr>
        <w:t>others</w:t>
      </w:r>
      <w:r>
        <w:rPr>
          <w:lang w:val="en_US" w:bidi="en_US"/>
        </w:rPr>
        <w:t xml:space="preserve">, he must consider himself </w:t>
      </w:r>
      <w:r>
        <w:rPr>
          <w:lang w:val="en_US" w:bidi="en_US"/>
        </w:rPr>
        <w:t>their</w:t>
      </w:r>
      <w:r>
        <w:rPr>
          <w:lang w:val="en_US" w:bidi="en_US"/>
        </w:rPr>
        <w:t xml:space="preserve"> servant</w:t>
      </w:r>
    </w:p>
    <w:p>
      <w:pPr/>
      <w:r>
        <w:rPr>
          <w:lang w:val="en_US" w:bidi="en_US"/>
        </w:rPr>
      </w:r>
      <w:r>
        <w:rPr>
          <w:lang w:val="en_US" w:bidi="en_US"/>
        </w:rPr>
        <w:t>As in 22:26b, Jesus referred here to every disciple of his who rules or leads other disciples. Each leader should have the humble attitude of a servant. He should look for ways to help and serve others. In some languages it may be more natural to use plural forms. For example:</w:t>
      </w:r>
    </w:p>
    <w:p>
      <w:pPr/>
      <w:r>
        <w:rPr>
          <w:lang w:val="en_US" w:bidi="en_US"/>
        </w:rPr>
      </w:r>
      <w:r>
        <w:rPr>
          <w:lang w:val="en_US" w:bidi="en_US"/>
        </w:rPr>
        <w:t xml:space="preserve">people who rule </w:t>
      </w:r>
      <w:r>
        <w:rPr>
          <w:lang w:val="en_US" w:bidi="en_US"/>
        </w:rPr>
        <w:t>others</w:t>
      </w:r>
      <w:r>
        <w:rPr>
          <w:lang w:val="en_US" w:bidi="en_US"/>
        </w:rPr>
        <w:t xml:space="preserve"> should serve </w:t>
      </w:r>
      <w:r>
        <w:rPr>
          <w:lang w:val="en_US" w:bidi="en_US"/>
        </w:rPr>
        <w:t>them</w:t>
      </w:r>
    </w:p>
    <w:p>
      <w:pPr/>
      <w:r>
        <w:rPr>
          <w:lang w:val="en_US" w:bidi="en_US"/>
        </w:rPr>
      </w:r>
      <w:r>
        <w:rPr>
          <w:b/>
          <w:lang w:val="en_US" w:bidi="en_US"/>
        </w:rPr>
        <w:t>the one who serves:</w:t>
      </w:r>
      <w:r>
        <w:rPr>
          <w:lang w:val="en_US" w:bidi="en_US"/>
        </w:rPr>
        <w:t xml:space="preserve"> The Greek phrase that the BSB translates as </w:t>
      </w:r>
      <w:r>
        <w:rPr>
          <w:i/>
          <w:lang w:val="en_US" w:bidi="en_US"/>
        </w:rPr>
        <w:t>the one who serves</w:t>
      </w:r>
      <w:r>
        <w:rPr>
          <w:lang w:val="en_US" w:bidi="en_US"/>
        </w:rPr>
        <w:t xml:space="preserve"> refers to someone who helps, serves, or works for another person. Another way to translate it is:</w:t>
      </w:r>
    </w:p>
    <w:p>
      <w:pPr/>
      <w:r>
        <w:rPr>
          <w:lang w:val="en_US" w:bidi="en_US"/>
        </w:rPr>
      </w:r>
      <w:r>
        <w:rPr>
          <w:lang w:val="en_US" w:bidi="en_US"/>
        </w:rPr>
        <w:t>a servant (CEV)</w:t>
      </w:r>
      <w:r>
        <w:rPr>
          <w:lang w:val="en_US" w:bidi="en_US"/>
        </w:rPr>
      </w:r>
      <w:r>
        <w:rPr>
          <w:lang w:val="en_US" w:bidi="en_US"/>
        </w:rPr>
      </w:r>
    </w:p>
    <w:p>
      <w:pPr/>
      <w:r>
        <w:rPr>
          <w:lang w:val="en_US" w:bidi="en_US"/>
        </w:rPr>
      </w:r>
    </w:p>
    <w:p>
      <w:pPr>
        <w:pStyle w:val="Heading2"/>
      </w:pPr>
      <w:r>
        <w:rPr>
          <w:lang w:val="en_US" w:bidi="en_US"/>
        </w:rPr>
        <w:t>Luke 22:27</w:t>
      </w:r>
      <w:r>
        <w:rPr>
          <w:lang w:val="en_US" w:bidi="en_US"/>
        </w:rPr>
      </w:r>
    </w:p>
    <w:p>
      <w:pPr>
        <w:pStyle w:val="Heading4"/>
      </w:pPr>
      <w:r>
        <w:rPr>
          <w:lang w:val="en_US" w:bidi="en_US"/>
        </w:rPr>
        <w:t>Section 22:24–30: Jesus taught his apostles about greatness</w:t>
      </w:r>
    </w:p>
    <w:p>
      <w:pPr/>
      <w:r>
        <w:rPr>
          <w:lang w:val="en_US" w:bidi="en_US"/>
        </w:rPr>
      </w:r>
      <w:r>
        <w:rPr>
          <w:lang w:val="en_US" w:bidi="en_US"/>
        </w:rPr>
        <w:t>In this section Jesus’ apostles began to argue about which of them was the greatest. Because of this argument, Jesus taught them that leaders among his disciples should be different from other leaders who are not his disciples. His disciples should be servants and not harsh, arrogant leaders. This instruction applies not only to Jesus’ twelve apostles but to everyone who becomes a leader among Jesus’ other followers.</w:t>
      </w:r>
    </w:p>
    <w:p>
      <w:pPr/>
      <w:r>
        <w:rPr>
          <w:lang w:val="en_US" w:bidi="en_US"/>
        </w:rPr>
      </w:r>
      <w:r>
        <w:rPr>
          <w:lang w:val="en_US" w:bidi="en_US"/>
        </w:rPr>
        <w:t>The apostles had a similar argument in 9:46 and Mark 9:34. In 9:46 this argument occurred just after Jesus had predicted in 9:44 that he would be betrayed. The similar argument here in Section 22:24–30 is also mentioned immediately after Jesus said that he would be betrayed.</w:t>
      </w:r>
    </w:p>
    <w:p>
      <w:pPr/>
      <w:r>
        <w:rPr>
          <w:lang w:val="en_US" w:bidi="en_US"/>
        </w:rPr>
      </w:r>
      <w:r>
        <w:rPr>
          <w:lang w:val="en_US" w:bidi="en_US"/>
        </w:rPr>
        <w:t>Some examples of heading for this section are:</w:t>
      </w:r>
    </w:p>
    <w:p>
      <w:pPr/>
      <w:r>
        <w:rPr>
          <w:lang w:val="en_US" w:bidi="en_US"/>
        </w:rPr>
      </w:r>
      <w:r>
        <w:rPr>
          <w:lang w:val="en_US" w:bidi="en_US"/>
        </w:rPr>
        <w:t>Jesus again teaches humility (JBP)</w:t>
      </w:r>
    </w:p>
    <w:p>
      <w:pPr/>
      <w:r>
        <w:rPr>
          <w:lang w:val="en_US" w:bidi="en_US"/>
        </w:rPr>
      </w:r>
      <w:r>
        <w:rPr>
          <w:lang w:val="en_US" w:bidi="en_US"/>
        </w:rPr>
        <w:t>The Argument about Greatness (GNT)</w:t>
      </w:r>
    </w:p>
    <w:p>
      <w:pPr/>
      <w:r>
        <w:rPr>
          <w:lang w:val="en_US" w:bidi="en_US"/>
        </w:rPr>
      </w:r>
      <w:r>
        <w:rPr>
          <w:lang w:val="en_US" w:bidi="en_US"/>
        </w:rPr>
        <w:t>Jesus taught that the one who serves others is the greatest among them</w:t>
      </w:r>
    </w:p>
    <w:p>
      <w:pPr/>
      <w:r>
        <w:rPr>
          <w:lang w:val="en_US" w:bidi="en_US"/>
        </w:rPr>
      </w:r>
      <w:r>
        <w:rPr>
          <w:lang w:val="en_US" w:bidi="en_US"/>
        </w:rPr>
        <w:t>Some English versions, such as the NIV, do not have a section heading here. You may divide the sections in the way that is most helpful for the people in your area.</w:t>
      </w:r>
    </w:p>
    <w:p>
      <w:pPr>
        <w:pStyle w:val="Heading5"/>
      </w:pPr>
      <w:r>
        <w:rPr>
          <w:lang w:val="en_US" w:bidi="en_US"/>
        </w:rPr>
        <w:t>22:27a</w:t>
      </w:r>
    </w:p>
    <w:p>
      <w:pPr/>
      <w:r>
        <w:rPr>
          <w:lang w:val="en_US" w:bidi="en_US"/>
        </w:rPr>
      </w:r>
      <w:r>
        <w:rPr>
          <w:b/>
          <w:lang w:val="en_US" w:bidi="en_US"/>
        </w:rPr>
        <w:t>For who is greater, the one who reclines at the table or the one who serves?</w:t>
      </w:r>
    </w:p>
    <w:p>
      <w:pPr>
        <w:pStyle w:val="ListBullet"/>
        <w:spacing w:line="240" w:lineRule="auto"/>
        <w:ind w:left="720"/>
      </w:pPr>
      <w:r>
        <w:rPr>
          <w:lang w:val="en_US" w:bidi="en_US"/>
        </w:rPr>
      </w:r>
      <w:r>
        <w:rPr>
          <w:lang w:val="en_US" w:bidi="en_US"/>
        </w:rPr>
        <w:t xml:space="preserve">For when a person sits to eat and another serves </w:t>
      </w:r>
      <w:r>
        <w:rPr>
          <w:lang w:val="en_US" w:bidi="en_US"/>
        </w:rPr>
        <w:t>the food</w:t>
      </w:r>
      <w:r>
        <w:rPr>
          <w:lang w:val="en_US" w:bidi="en_US"/>
        </w:rPr>
        <w:t xml:space="preserve"> </w:t>
      </w:r>
      <w:r>
        <w:rPr>
          <w:lang w:val="en_US" w:bidi="en_US"/>
        </w:rPr>
        <w:t>to him</w:t>
      </w:r>
      <w:r>
        <w:rPr>
          <w:lang w:val="en_US" w:bidi="en_US"/>
        </w:rPr>
        <w:t>, which person is more important?</w:t>
      </w:r>
    </w:p>
    <w:p>
      <w:pPr>
        <w:pStyle w:val="ListBullet"/>
        <w:spacing w:line="240" w:lineRule="auto"/>
        <w:ind w:left="720"/>
      </w:pPr>
      <w:r>
        <w:rPr>
          <w:lang w:val="en_US" w:bidi="en_US"/>
        </w:rPr>
      </w:r>
      <w:r>
        <w:rPr>
          <w:lang w:val="en_US" w:bidi="en_US"/>
        </w:rPr>
        <w:t xml:space="preserve">Suppose one person relaxes and another person brings him food and serves him as he eats. </w:t>
      </w:r>
      <w:r>
        <w:rPr>
          <w:lang w:val="en_US" w:bidi="en_US"/>
        </w:rPr>
        <w:t>Think</w:t>
      </w:r>
      <w:r>
        <w:rPr>
          <w:vertAlign w:val="superscript"/>
          <w:lang w:val="en_US" w:bidi="en_US"/>
        </w:rPr>
        <w:t>(plur)</w:t>
      </w:r>
      <w:r>
        <w:rPr>
          <w:lang w:val="en_US" w:bidi="en_US"/>
        </w:rPr>
        <w:t xml:space="preserve"> </w:t>
      </w:r>
      <w:r>
        <w:rPr>
          <w:lang w:val="en_US" w:bidi="en_US"/>
        </w:rPr>
        <w:t>about</w:t>
      </w:r>
      <w:r>
        <w:rPr>
          <w:lang w:val="en_US" w:bidi="en_US"/>
        </w:rPr>
        <w:t xml:space="preserve"> which person is greater.</w:t>
      </w:r>
    </w:p>
    <w:p>
      <w:pPr>
        <w:pStyle w:val="Heading5"/>
      </w:pPr>
      <w:r>
        <w:rPr>
          <w:lang w:val="en_US" w:bidi="en_US"/>
        </w:rPr>
        <w:t>22:27b</w:t>
      </w:r>
    </w:p>
    <w:p>
      <w:pPr/>
      <w:r>
        <w:rPr>
          <w:lang w:val="en_US" w:bidi="en_US"/>
        </w:rPr>
      </w:r>
      <w:r>
        <w:rPr>
          <w:b/>
          <w:lang w:val="en_US" w:bidi="en_US"/>
        </w:rPr>
        <w:t>Is it not the one who reclines?</w:t>
      </w:r>
    </w:p>
    <w:p>
      <w:pPr>
        <w:pStyle w:val="ListBullet"/>
        <w:spacing w:line="240" w:lineRule="auto"/>
        <w:ind w:left="720"/>
      </w:pPr>
      <w:r>
        <w:rPr>
          <w:lang w:val="en_US" w:bidi="en_US"/>
        </w:rPr>
      </w:r>
      <w:r>
        <w:rPr>
          <w:lang w:val="en_US" w:bidi="en_US"/>
        </w:rPr>
        <w:t>It is the one who sits and eats, of course.</w:t>
      </w:r>
    </w:p>
    <w:p>
      <w:pPr>
        <w:pStyle w:val="ListBullet"/>
        <w:spacing w:line="240" w:lineRule="auto"/>
        <w:ind w:left="720"/>
      </w:pPr>
      <w:r>
        <w:rPr>
          <w:lang w:val="en_US" w:bidi="en_US"/>
        </w:rPr>
      </w:r>
      <w:r>
        <w:rPr>
          <w:lang w:val="en_US" w:bidi="en_US"/>
        </w:rPr>
        <w:t>Everyone knows that</w:t>
      </w:r>
      <w:r>
        <w:rPr>
          <w:lang w:val="en_US" w:bidi="en_US"/>
        </w:rPr>
        <w:t xml:space="preserve"> the person who eats the meal/food </w:t>
      </w:r>
      <w:r>
        <w:rPr>
          <w:lang w:val="en_US" w:bidi="en_US"/>
        </w:rPr>
        <w:t>is greater than the one who serves him</w:t>
      </w:r>
      <w:r>
        <w:rPr>
          <w:lang w:val="en_US" w:bidi="en_US"/>
        </w:rPr>
        <w:t>.</w:t>
      </w:r>
    </w:p>
    <w:p>
      <w:pPr>
        <w:pStyle w:val="Heading5"/>
      </w:pPr>
      <w:r>
        <w:rPr>
          <w:lang w:val="en_US" w:bidi="en_US"/>
        </w:rPr>
        <w:t>22:27a–b</w:t>
      </w:r>
    </w:p>
    <w:p>
      <w:pPr/>
      <w:r>
        <w:rPr>
          <w:lang w:val="en_US" w:bidi="en_US"/>
        </w:rPr>
      </w:r>
      <w:r>
        <w:rPr>
          <w:lang w:val="en_US" w:bidi="en_US"/>
        </w:rPr>
        <w:t>In this verse Jesus again emphasized that his disciples must be great in a different way from worldly rulers. Those rulers seek greatness by demanding honor and obedience. Jesus’ disciples must follow his example and lead people by serving them.</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two rhetorical questions and a statement that contrasts with it. What Jesus said in this verse supports what he said in 22:25–26. Many English versions also translate the conjunction as “For” or do not have a conjunction. Translate the verse so that it supports 22:25–26 in a natural way in your language.</w:t>
      </w:r>
    </w:p>
    <w:p>
      <w:pPr/>
      <w:r>
        <w:rPr>
          <w:lang w:val="en_US" w:bidi="en_US"/>
        </w:rPr>
      </w:r>
      <w:r>
        <w:rPr>
          <w:b/>
          <w:lang w:val="en_US" w:bidi="en_US"/>
        </w:rPr>
        <w:t>who is greater, the one who reclines at the table or the one who serves? Is it not the one who reclines?:</w:t>
      </w:r>
      <w:r>
        <w:rPr>
          <w:lang w:val="en_US" w:bidi="en_US"/>
        </w:rPr>
        <w:t xml:space="preserve"> The two questions in this verse are rhetorical questions. Jesus used these questions to help his disciples to think carefully about what he was teaching. The second question gives the answer to the first question.</w:t>
      </w:r>
    </w:p>
    <w:p>
      <w:pPr/>
      <w:r>
        <w:rPr>
          <w:lang w:val="en_US" w:bidi="en_US"/>
        </w:rPr>
      </w:r>
      <w:r>
        <w:rPr>
          <w:lang w:val="en_US" w:bidi="en_US"/>
        </w:rPr>
        <w:t>Some ways to translate these questions are:</w:t>
      </w:r>
    </w:p>
    <w:p>
      <w:pPr>
        <w:pStyle w:val="ListBullet"/>
        <w:spacing w:line="240" w:lineRule="auto"/>
        <w:ind w:left="720"/>
      </w:pPr>
      <w:r>
        <w:rPr>
          <w:lang w:val="en_US" w:bidi="en_US"/>
        </w:rPr>
      </w:r>
      <w:r>
        <w:rPr>
          <w:lang w:val="en_US" w:bidi="en_US"/>
        </w:rPr>
        <w:t>As two rhetorical questions. For example:</w:t>
      </w:r>
      <w:r>
        <w:rPr>
          <w:lang w:val="en_US" w:bidi="en_US"/>
        </w:rPr>
        <w:t>For who is the greater: the one at table or the one who serves? The one at table, surely? (NJB)</w:t>
      </w:r>
    </w:p>
    <w:p>
      <w:pPr>
        <w:pStyle w:val="ListBullet"/>
        <w:spacing w:line="240" w:lineRule="auto"/>
        <w:ind w:left="720"/>
      </w:pPr>
      <w:r>
        <w:rPr>
          <w:lang w:val="en_US" w:bidi="en_US"/>
        </w:rPr>
      </w:r>
      <w:r>
        <w:rPr>
          <w:lang w:val="en_US" w:bidi="en_US"/>
        </w:rPr>
        <w:t>As a combination of questions, statements, or requests. For example:</w:t>
      </w:r>
      <w:r>
        <w:rPr>
          <w:lang w:val="en_US" w:bidi="en_US"/>
        </w:rPr>
        <w:t>Now…who is the greatest? Is it the one who sits down to eat or is it the servant who serves him? Well certainly the one who is greatest is the one who sits down.</w:t>
      </w:r>
      <w:r>
        <w:rPr>
          <w:lang w:val="en_US" w:bidi="en_US"/>
        </w:rPr>
        <w:t>Western Bukidnon Manobo back translation on TW.</w:t>
      </w:r>
      <w:r>
        <w:rPr>
          <w:lang w:val="en_US" w:bidi="en_US"/>
        </w:rPr>
        <w:t>Think about</w:t>
      </w:r>
      <w:r>
        <w:rPr>
          <w:lang w:val="en_US" w:bidi="en_US"/>
        </w:rPr>
        <w:t xml:space="preserve"> who is greater, the person sitting at the table or the one who serves </w:t>
      </w:r>
      <w:r>
        <w:rPr>
          <w:lang w:val="en_US" w:bidi="en_US"/>
        </w:rPr>
        <w:t>him</w:t>
      </w:r>
      <w:r>
        <w:rPr>
          <w:lang w:val="en_US" w:bidi="en_US"/>
        </w:rPr>
        <w:t>. The person sitting at the table is greater.</w:t>
      </w:r>
    </w:p>
    <w:p>
      <w:pPr/>
      <w:r>
        <w:rPr>
          <w:lang w:val="en_US" w:bidi="en_US"/>
        </w:rPr>
      </w:r>
      <w:r>
        <w:rPr>
          <w:lang w:val="en_US" w:bidi="en_US"/>
        </w:rPr>
        <w:t>Jesus indicated here that it is natural to think that great people are the ones whom other people serve. He used rhetorical questions to prepare his disciples for what he wanted to tell them in 22:27c: He himself was an example of a different kind of greatness. He showed his greatness by serving others.</w:t>
      </w:r>
    </w:p>
    <w:p>
      <w:pPr/>
      <w:r>
        <w:rPr>
          <w:lang w:val="en_US" w:bidi="en_US"/>
        </w:rPr>
      </w:r>
      <w:r>
        <w:rPr>
          <w:b/>
          <w:lang w:val="en_US" w:bidi="en_US"/>
        </w:rPr>
        <w:t>the one who reclines at the table:</w:t>
      </w:r>
      <w:r>
        <w:rPr>
          <w:lang w:val="en_US" w:bidi="en_US"/>
        </w:rPr>
        <w:t xml:space="preserve"> The Greek phrase that the BSB translates as </w:t>
      </w:r>
      <w:r>
        <w:rPr>
          <w:i/>
          <w:lang w:val="en_US" w:bidi="en_US"/>
        </w:rPr>
        <w:t>the one who reclines at the table</w:t>
      </w:r>
      <w:r>
        <w:rPr>
          <w:lang w:val="en_US" w:bidi="en_US"/>
        </w:rPr>
        <w:t xml:space="preserve"> is literally “the one who is reclining.” It refers to a person who is eating/dining. The Greek text does not mention a </w:t>
      </w:r>
      <w:r>
        <w:rPr>
          <w:i/>
          <w:lang w:val="en_US" w:bidi="en_US"/>
        </w:rPr>
        <w:t>table</w:t>
      </w:r>
      <w:r>
        <w:rPr>
          <w:lang w:val="en_US" w:bidi="en_US"/>
        </w:rPr>
        <w:t xml:space="preserve"> explicitly. The BSB supplied this word because it is common for many people in Western cultures to sit at tables to eat. Use a natural way in your language to refer to a person who is eating a meal. Other ways to translate the phrase are:</w:t>
      </w:r>
    </w:p>
    <w:p>
      <w:pPr/>
      <w:r>
        <w:rPr>
          <w:lang w:val="en_US" w:bidi="en_US"/>
        </w:rPr>
      </w:r>
      <w:r>
        <w:rPr>
          <w:lang w:val="en_US" w:bidi="en_US"/>
        </w:rPr>
        <w:t>the one who sits down to eat (GNT)</w:t>
      </w:r>
    </w:p>
    <w:p>
      <w:pPr/>
      <w:r>
        <w:rPr>
          <w:lang w:val="en_US" w:bidi="en_US"/>
        </w:rPr>
      </w:r>
      <w:r>
        <w:rPr>
          <w:lang w:val="en_US" w:bidi="en_US"/>
        </w:rPr>
        <w:t>the one who is at the table (NRSV)</w:t>
      </w:r>
    </w:p>
    <w:p>
      <w:pPr/>
      <w:r>
        <w:rPr>
          <w:lang w:val="en_US" w:bidi="en_US"/>
        </w:rPr>
      </w:r>
      <w:r>
        <w:rPr>
          <w:lang w:val="en_US" w:bidi="en_US"/>
        </w:rPr>
        <w:t xml:space="preserve">the person relaxing as </w:t>
      </w:r>
      <w:r>
        <w:rPr>
          <w:lang w:val="en_US" w:bidi="en_US"/>
        </w:rPr>
        <w:t>a servant brings</w:t>
      </w:r>
      <w:r>
        <w:rPr>
          <w:lang w:val="en_US" w:bidi="en_US"/>
        </w:rPr>
        <w:t xml:space="preserve"> his dinner</w:t>
      </w:r>
    </w:p>
    <w:p>
      <w:pPr/>
      <w:r>
        <w:rPr>
          <w:lang w:val="en_US" w:bidi="en_US"/>
        </w:rPr>
      </w:r>
      <w:r>
        <w:rPr>
          <w:lang w:val="en_US" w:bidi="en_US"/>
        </w:rPr>
        <w:t>For more information, see the note on “reclined at the table” at 22:14b.</w:t>
      </w:r>
    </w:p>
    <w:p>
      <w:pPr/>
      <w:r>
        <w:rPr>
          <w:lang w:val="en_US" w:bidi="en_US"/>
        </w:rPr>
      </w:r>
      <w:r>
        <w:rPr>
          <w:b/>
          <w:lang w:val="en_US" w:bidi="en_US"/>
        </w:rPr>
        <w:t>the one who serves:</w:t>
      </w:r>
      <w:r>
        <w:rPr>
          <w:lang w:val="en_US" w:bidi="en_US"/>
        </w:rPr>
        <w:t xml:space="preserve"> The phrase </w:t>
      </w:r>
      <w:r>
        <w:rPr>
          <w:i/>
          <w:lang w:val="en_US" w:bidi="en_US"/>
        </w:rPr>
        <w:t>the one who serves</w:t>
      </w:r>
      <w:r>
        <w:rPr>
          <w:lang w:val="en_US" w:bidi="en_US"/>
        </w:rPr>
        <w:t xml:space="preserve"> refers to a person who serves a meal. He brings the food to the people at the table. In that culture this task was usually done by a servant. In some cultures it is always the host or hostess who brings the food to the others. If that is true in your culture, you may need to make it explicit that Jesus was referring to a servant. For example:</w:t>
      </w:r>
    </w:p>
    <w:p>
      <w:pPr/>
      <w:r>
        <w:rPr>
          <w:lang w:val="en_US" w:bidi="en_US"/>
        </w:rPr>
      </w:r>
      <w:r>
        <w:rPr>
          <w:lang w:val="en_US" w:bidi="en_US"/>
        </w:rPr>
        <w:t xml:space="preserve">the servant </w:t>
      </w:r>
      <w:r>
        <w:rPr>
          <w:lang w:val="en_US" w:bidi="en_US"/>
        </w:rPr>
        <w:t>who brings him his food</w:t>
      </w:r>
    </w:p>
    <w:p>
      <w:pPr>
        <w:pStyle w:val="Heading5"/>
      </w:pPr>
      <w:r>
        <w:rPr>
          <w:lang w:val="en_US" w:bidi="en_US"/>
        </w:rPr>
        <w:t>22:27c</w:t>
      </w:r>
    </w:p>
    <w:p>
      <w:pPr/>
      <w:r>
        <w:rPr>
          <w:lang w:val="en_US" w:bidi="en_US"/>
        </w:rPr>
      </w:r>
      <w:r>
        <w:rPr>
          <w:b/>
          <w:lang w:val="en_US" w:bidi="en_US"/>
        </w:rPr>
        <w:t>But I am among you as one who serves.</w:t>
      </w:r>
    </w:p>
    <w:p>
      <w:pPr>
        <w:pStyle w:val="ListBullet"/>
        <w:spacing w:line="240" w:lineRule="auto"/>
        <w:ind w:left="720"/>
      </w:pPr>
      <w:r>
        <w:rPr>
          <w:lang w:val="en_US" w:bidi="en_US"/>
        </w:rPr>
      </w:r>
      <w:r>
        <w:rPr>
          <w:lang w:val="en_US" w:bidi="en_US"/>
        </w:rPr>
        <w:t>But I live among you</w:t>
      </w:r>
      <w:r>
        <w:rPr>
          <w:vertAlign w:val="superscript"/>
          <w:lang w:val="en_US" w:bidi="en_US"/>
        </w:rPr>
        <w:t>(plur)</w:t>
      </w:r>
      <w:r>
        <w:rPr>
          <w:lang w:val="en_US" w:bidi="en_US"/>
        </w:rPr>
        <w:t xml:space="preserve"> as someone who serves </w:t>
      </w:r>
      <w:r>
        <w:rPr>
          <w:lang w:val="en_US" w:bidi="en_US"/>
        </w:rPr>
        <w:t>you</w:t>
      </w:r>
      <w:r>
        <w:rPr>
          <w:lang w:val="en_US" w:bidi="en_US"/>
        </w:rPr>
        <w:t>.</w:t>
      </w:r>
    </w:p>
    <w:p>
      <w:pPr>
        <w:pStyle w:val="ListBullet"/>
        <w:spacing w:line="240" w:lineRule="auto"/>
        <w:ind w:left="720"/>
      </w:pPr>
      <w:r>
        <w:rPr>
          <w:lang w:val="en_US" w:bidi="en_US"/>
        </w:rPr>
      </w:r>
      <w:r>
        <w:rPr>
          <w:lang w:val="en_US" w:bidi="en_US"/>
        </w:rPr>
        <w:t>But I have become like a servant to/among you</w:t>
      </w:r>
      <w:r>
        <w:rPr>
          <w:vertAlign w:val="superscript"/>
          <w:lang w:val="en_US" w:bidi="en_US"/>
        </w:rPr>
        <w:t>(plur)</w:t>
      </w:r>
      <w:r>
        <w:rPr>
          <w:lang w:val="en_US" w:bidi="en_US"/>
        </w:rPr>
        <w:t>.</w:t>
      </w:r>
    </w:p>
    <w:p>
      <w:pPr/>
      <w:r>
        <w:rPr>
          <w:lang w:val="en_US" w:bidi="en_US"/>
        </w:rPr>
      </w:r>
      <w:r>
        <w:rPr>
          <w:b/>
          <w:lang w:val="en_US" w:bidi="en_US"/>
        </w:rPr>
        <w:t>But I am among you as one who serves:</w:t>
      </w:r>
      <w:r>
        <w:rPr>
          <w:lang w:val="en_US" w:bidi="en_US"/>
        </w:rPr>
        <w:t xml:space="preserve"> Here the phrase </w:t>
      </w:r>
      <w:r>
        <w:rPr>
          <w:i/>
          <w:lang w:val="en_US" w:bidi="en_US"/>
        </w:rPr>
        <w:t>But I</w:t>
      </w:r>
      <w:r>
        <w:rPr>
          <w:lang w:val="en_US" w:bidi="en_US"/>
        </w:rPr>
        <w:t xml:space="preserve"> is emphatic. It introduces a contrast with the rulers in 22:25. Jesus contrasted the way he led his disciples with the way that Gentile rulers led people. Jesus led his disciples by serving and helping them. He did not have the attitude of the Gentile leaders, who lorded it over their people.</w:t>
      </w:r>
    </w:p>
    <w:p>
      <w:pPr/>
      <w:r>
        <w:rPr>
          <w:lang w:val="en_US" w:bidi="en_US"/>
        </w:rPr>
      </w:r>
      <w:r>
        <w:rPr>
          <w:lang w:val="en_US" w:bidi="en_US"/>
        </w:rPr>
        <w:t>In some languages it may be necessary to supply some implied information to make the contrast clear. For example:</w:t>
      </w:r>
    </w:p>
    <w:p>
      <w:pPr/>
      <w:r>
        <w:rPr>
          <w:lang w:val="en_US" w:bidi="en_US"/>
        </w:rPr>
      </w:r>
      <w:r>
        <w:rPr>
          <w:lang w:val="en_US" w:bidi="en_US"/>
        </w:rPr>
        <w:t xml:space="preserve">But </w:t>
      </w:r>
      <w:r>
        <w:rPr>
          <w:lang w:val="en_US" w:bidi="en_US"/>
        </w:rPr>
        <w:t>although I am your leader</w:t>
      </w:r>
      <w:r>
        <w:rPr>
          <w:lang w:val="en_US" w:bidi="en_US"/>
        </w:rPr>
        <w:t>, I am like a servant among you.</w:t>
      </w:r>
    </w:p>
    <w:p>
      <w:pPr/>
      <w:r>
        <w:rPr>
          <w:lang w:val="en_US" w:bidi="en_US"/>
        </w:rPr>
      </w:r>
      <w:r>
        <w:rPr>
          <w:lang w:val="en_US" w:bidi="en_US"/>
        </w:rPr>
        <w:t>but in spite of that, I your master, I am like a person who serves you.</w:t>
      </w:r>
      <w:r>
        <w:rPr>
          <w:lang w:val="en_US" w:bidi="en_US"/>
        </w:rPr>
        <w:t>Western Bukidnon Manobo back translation on TW.</w:t>
      </w:r>
      <w:r>
        <w:rPr>
          <w:lang w:val="en_US" w:bidi="en_US"/>
        </w:rPr>
      </w:r>
      <w:r>
        <w:rPr>
          <w:lang w:val="en_US" w:bidi="en_US"/>
        </w:rPr>
      </w:r>
    </w:p>
    <w:p>
      <w:pPr/>
      <w:r>
        <w:rPr>
          <w:lang w:val="en_US" w:bidi="en_US"/>
        </w:rPr>
      </w:r>
    </w:p>
    <w:p>
      <w:pPr>
        <w:pStyle w:val="Heading2"/>
      </w:pPr>
      <w:r>
        <w:rPr>
          <w:lang w:val="en_US" w:bidi="en_US"/>
        </w:rPr>
        <w:t>Luke 22:28</w:t>
      </w:r>
      <w:r>
        <w:rPr>
          <w:lang w:val="en_US" w:bidi="en_US"/>
        </w:rPr>
      </w:r>
    </w:p>
    <w:p>
      <w:pPr>
        <w:pStyle w:val="Heading4"/>
      </w:pPr>
      <w:r>
        <w:rPr>
          <w:lang w:val="en_US" w:bidi="en_US"/>
        </w:rPr>
        <w:t>Section 22:24–30: Jesus taught his apostles about greatness</w:t>
      </w:r>
    </w:p>
    <w:p>
      <w:pPr/>
      <w:r>
        <w:rPr>
          <w:lang w:val="en_US" w:bidi="en_US"/>
        </w:rPr>
      </w:r>
      <w:r>
        <w:rPr>
          <w:lang w:val="en_US" w:bidi="en_US"/>
        </w:rPr>
        <w:t>In this section Jesus’ apostles began to argue about which of them was the greatest. Because of this argument, Jesus taught them that leaders among his disciples should be different from other leaders who are not his disciples. His disciples should be servants and not harsh, arrogant leaders. This instruction applies not only to Jesus’ twelve apostles but to everyone who becomes a leader among Jesus’ other followers.</w:t>
      </w:r>
    </w:p>
    <w:p>
      <w:pPr/>
      <w:r>
        <w:rPr>
          <w:lang w:val="en_US" w:bidi="en_US"/>
        </w:rPr>
      </w:r>
      <w:r>
        <w:rPr>
          <w:lang w:val="en_US" w:bidi="en_US"/>
        </w:rPr>
        <w:t>The apostles had a similar argument in 9:46 and Mark 9:34. In 9:46 this argument occurred just after Jesus had predicted in 9:44 that he would be betrayed. The similar argument here in Section 22:24–30 is also mentioned immediately after Jesus said that he would be betrayed.</w:t>
      </w:r>
    </w:p>
    <w:p>
      <w:pPr/>
      <w:r>
        <w:rPr>
          <w:lang w:val="en_US" w:bidi="en_US"/>
        </w:rPr>
      </w:r>
      <w:r>
        <w:rPr>
          <w:lang w:val="en_US" w:bidi="en_US"/>
        </w:rPr>
        <w:t>Some examples of heading for this section are:</w:t>
      </w:r>
    </w:p>
    <w:p>
      <w:pPr/>
      <w:r>
        <w:rPr>
          <w:lang w:val="en_US" w:bidi="en_US"/>
        </w:rPr>
      </w:r>
      <w:r>
        <w:rPr>
          <w:lang w:val="en_US" w:bidi="en_US"/>
        </w:rPr>
        <w:t>Jesus again teaches humility (JBP)</w:t>
      </w:r>
    </w:p>
    <w:p>
      <w:pPr/>
      <w:r>
        <w:rPr>
          <w:lang w:val="en_US" w:bidi="en_US"/>
        </w:rPr>
      </w:r>
      <w:r>
        <w:rPr>
          <w:lang w:val="en_US" w:bidi="en_US"/>
        </w:rPr>
        <w:t>The Argument about Greatness (GNT)</w:t>
      </w:r>
    </w:p>
    <w:p>
      <w:pPr/>
      <w:r>
        <w:rPr>
          <w:lang w:val="en_US" w:bidi="en_US"/>
        </w:rPr>
      </w:r>
      <w:r>
        <w:rPr>
          <w:lang w:val="en_US" w:bidi="en_US"/>
        </w:rPr>
        <w:t>Jesus taught that the one who serves others is the greatest among them</w:t>
      </w:r>
    </w:p>
    <w:p>
      <w:pPr/>
      <w:r>
        <w:rPr>
          <w:lang w:val="en_US" w:bidi="en_US"/>
        </w:rPr>
      </w:r>
      <w:r>
        <w:rPr>
          <w:lang w:val="en_US" w:bidi="en_US"/>
        </w:rPr>
        <w:t>Some English versions, such as the NIV, do not have a section heading here. You may divide the sections in the way that is most helpful for the people in your area.</w:t>
      </w:r>
    </w:p>
    <w:p>
      <w:pPr>
        <w:pStyle w:val="Heading5"/>
      </w:pPr>
      <w:r>
        <w:rPr>
          <w:lang w:val="en_US" w:bidi="en_US"/>
        </w:rPr>
        <w:t>22:28</w:t>
      </w:r>
    </w:p>
    <w:p>
      <w:pPr/>
      <w:r>
        <w:rPr>
          <w:lang w:val="en_US" w:bidi="en_US"/>
        </w:rPr>
      </w:r>
      <w:r>
        <w:rPr>
          <w:b/>
          <w:lang w:val="en_US" w:bidi="en_US"/>
        </w:rPr>
        <w:t>You are the ones who have stood by Me in My trials.</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are the ones/people who have stayed with me during my trials.</w:t>
      </w:r>
    </w:p>
    <w:p>
      <w:pPr>
        <w:pStyle w:val="ListBullet"/>
        <w:spacing w:line="240" w:lineRule="auto"/>
        <w:ind w:left="720"/>
      </w:pPr>
      <w:r>
        <w:rPr>
          <w:lang w:val="en_US" w:bidi="en_US"/>
        </w:rPr>
      </w:r>
      <w:r>
        <w:rPr>
          <w:lang w:val="en_US" w:bidi="en_US"/>
        </w:rPr>
        <w:t>¶ “And as for you</w:t>
      </w:r>
      <w:r>
        <w:rPr>
          <w:vertAlign w:val="superscript"/>
          <w:lang w:val="en_US" w:bidi="en_US"/>
        </w:rPr>
        <w:t>(plur)</w:t>
      </w:r>
      <w:r>
        <w:rPr>
          <w:lang w:val="en_US" w:bidi="en_US"/>
        </w:rPr>
        <w:t xml:space="preserve">, you </w:t>
      </w:r>
      <w:r>
        <w:rPr>
          <w:lang w:val="en_US" w:bidi="en_US"/>
        </w:rPr>
        <w:t>also</w:t>
      </w:r>
      <w:r>
        <w:rPr>
          <w:lang w:val="en_US" w:bidi="en_US"/>
        </w:rPr>
        <w:t xml:space="preserve"> have remained </w:t>
      </w:r>
      <w:r>
        <w:rPr>
          <w:lang w:val="en_US" w:bidi="en_US"/>
        </w:rPr>
        <w:t>faithful to</w:t>
      </w:r>
      <w:r>
        <w:rPr>
          <w:lang w:val="en_US" w:bidi="en_US"/>
        </w:rPr>
        <w:t xml:space="preserve"> me throughout the struggles/troubles that I have </w:t>
      </w:r>
      <w:r>
        <w:rPr>
          <w:lang w:val="en_US" w:bidi="en_US"/>
        </w:rPr>
        <w:t>faced</w:t>
      </w:r>
      <w:r>
        <w:rPr>
          <w:lang w:val="en_US" w:bidi="en_US"/>
        </w:rPr>
        <w:t>.</w:t>
      </w:r>
    </w:p>
    <w:p>
      <w:pPr/>
      <w:r>
        <w:rPr>
          <w:lang w:val="en_US" w:bidi="en_US"/>
        </w:rPr>
      </w:r>
      <w:r>
        <w:rPr>
          <w:b/>
          <w:lang w:val="en_US" w:bidi="en_US"/>
        </w:rPr>
        <w:t>You are the ones who have stood by Me in My trials:</w:t>
      </w:r>
      <w:r>
        <w:rPr>
          <w:lang w:val="en_US" w:bidi="en_US"/>
        </w:rPr>
        <w:t xml:space="preserve"> The Greek phrase that the BSB translates as </w:t>
      </w:r>
      <w:r>
        <w:rPr>
          <w:i/>
          <w:lang w:val="en_US" w:bidi="en_US"/>
        </w:rPr>
        <w:t>stood by Me</w:t>
      </w:r>
      <w:r>
        <w:rPr>
          <w:lang w:val="en_US" w:bidi="en_US"/>
        </w:rPr>
        <w:t xml:space="preserve"> is more literally “remained with me.” It indicates that the apostles had been faithful to him even during his most difficult times. Some other ways to translate this verse are:</w:t>
      </w:r>
    </w:p>
    <w:p>
      <w:pPr/>
      <w:r>
        <w:rPr>
          <w:lang w:val="en_US" w:bidi="en_US"/>
        </w:rPr>
      </w:r>
      <w:r>
        <w:rPr>
          <w:lang w:val="en_US" w:bidi="en_US"/>
        </w:rPr>
        <w:t>You have stayed with me all through my trials (GNT)</w:t>
      </w:r>
    </w:p>
    <w:p>
      <w:pPr/>
      <w:r>
        <w:rPr>
          <w:lang w:val="en_US" w:bidi="en_US"/>
        </w:rPr>
      </w:r>
      <w:r>
        <w:rPr>
          <w:lang w:val="en_US" w:bidi="en_US"/>
        </w:rPr>
        <w:t>You are the men who have stood by me faithfully in my trials (NJB)</w:t>
      </w:r>
    </w:p>
    <w:p>
      <w:pPr/>
      <w:r>
        <w:rPr>
          <w:lang w:val="en_US" w:bidi="en_US"/>
        </w:rPr>
      </w:r>
      <w:r>
        <w:rPr>
          <w:b/>
          <w:lang w:val="en_US" w:bidi="en_US"/>
        </w:rPr>
        <w:t>You:</w:t>
      </w:r>
      <w:r>
        <w:rPr>
          <w:lang w:val="en_US" w:bidi="en_US"/>
        </w:rPr>
        <w:t xml:space="preserve"> In Greek the pronoun </w:t>
      </w:r>
      <w:r>
        <w:rPr>
          <w:i/>
          <w:lang w:val="en_US" w:bidi="en_US"/>
        </w:rPr>
        <w:t>You</w:t>
      </w:r>
      <w:r>
        <w:rPr>
          <w:lang w:val="en_US" w:bidi="en_US"/>
        </w:rPr>
        <w:t xml:space="preserve"> is emphatic here. It implies that the twelve apostles were the men who had faithfully stayed with Jesus and shared all his hard times. Translate the emphasis in a natural way in your language. See the examples in the preceding note.</w:t>
      </w:r>
    </w:p>
    <w:p>
      <w:pPr/>
      <w:r>
        <w:rPr>
          <w:lang w:val="en_US" w:bidi="en_US"/>
        </w:rPr>
      </w:r>
      <w:r>
        <w:rPr>
          <w:b/>
          <w:lang w:val="en_US" w:bidi="en_US"/>
        </w:rPr>
        <w:t>My trials:</w:t>
      </w:r>
      <w:r>
        <w:rPr>
          <w:lang w:val="en_US" w:bidi="en_US"/>
        </w:rPr>
        <w:t xml:space="preserve"> In this context the phrase </w:t>
      </w:r>
      <w:r>
        <w:rPr>
          <w:i/>
          <w:lang w:val="en_US" w:bidi="en_US"/>
        </w:rPr>
        <w:t>My trials</w:t>
      </w:r>
      <w:r>
        <w:rPr>
          <w:lang w:val="en_US" w:bidi="en_US"/>
        </w:rPr>
        <w:t xml:space="preserve"> probably refers to the various troubles and difficulties that Jesus suffered during the years of his ministry. Other ways to translate the phrase are:</w:t>
      </w:r>
    </w:p>
    <w:p>
      <w:pPr/>
      <w:r>
        <w:rPr>
          <w:lang w:val="en_US" w:bidi="en_US"/>
        </w:rPr>
      </w:r>
      <w:r>
        <w:rPr>
          <w:lang w:val="en_US" w:bidi="en_US"/>
        </w:rPr>
        <w:t>all my troubles (CEV)</w:t>
      </w:r>
    </w:p>
    <w:p>
      <w:pPr/>
      <w:r>
        <w:rPr>
          <w:lang w:val="en_US" w:bidi="en_US"/>
        </w:rPr>
      </w:r>
      <w:r>
        <w:rPr>
          <w:lang w:val="en_US" w:bidi="en_US"/>
        </w:rPr>
        <w:t>the troubles that have tested me (GW)</w:t>
      </w:r>
    </w:p>
    <w:p>
      <w:pPr/>
      <w:r>
        <w:rPr>
          <w:lang w:val="en_US" w:bidi="en_US"/>
        </w:rPr>
      </w:r>
      <w:r>
        <w:rPr>
          <w:lang w:val="en_US" w:bidi="en_US"/>
        </w:rPr>
        <w:t>In some languages there may be an idiom to express this idea. For example:</w:t>
      </w:r>
    </w:p>
    <w:p>
      <w:pPr/>
      <w:r>
        <w:rPr>
          <w:lang w:val="en_US" w:bidi="en_US"/>
        </w:rPr>
      </w:r>
      <w:r>
        <w:rPr>
          <w:lang w:val="en_US" w:bidi="en_US"/>
        </w:rPr>
        <w:t>all that I have gone through (JBP)</w:t>
      </w:r>
      <w:r>
        <w:rPr>
          <w:lang w:val="en_US" w:bidi="en_US"/>
        </w:rPr>
      </w:r>
      <w:r>
        <w:rPr>
          <w:lang w:val="en_US" w:bidi="en_US"/>
        </w:rPr>
      </w:r>
    </w:p>
    <w:p>
      <w:pPr/>
      <w:r>
        <w:rPr>
          <w:lang w:val="en_US" w:bidi="en_US"/>
        </w:rPr>
      </w:r>
    </w:p>
    <w:p>
      <w:pPr>
        <w:pStyle w:val="Heading2"/>
      </w:pPr>
      <w:r>
        <w:rPr>
          <w:lang w:val="en_US" w:bidi="en_US"/>
        </w:rPr>
        <w:t>Luke 22:29</w:t>
      </w:r>
      <w:r>
        <w:rPr>
          <w:lang w:val="en_US" w:bidi="en_US"/>
        </w:rPr>
      </w:r>
    </w:p>
    <w:p>
      <w:pPr>
        <w:pStyle w:val="Heading4"/>
      </w:pPr>
      <w:r>
        <w:rPr>
          <w:lang w:val="en_US" w:bidi="en_US"/>
        </w:rPr>
        <w:t>Section 22:24–30: Jesus taught his apostles about greatness</w:t>
      </w:r>
    </w:p>
    <w:p>
      <w:pPr/>
      <w:r>
        <w:rPr>
          <w:lang w:val="en_US" w:bidi="en_US"/>
        </w:rPr>
      </w:r>
      <w:r>
        <w:rPr>
          <w:lang w:val="en_US" w:bidi="en_US"/>
        </w:rPr>
        <w:t>In this section Jesus’ apostles began to argue about which of them was the greatest. Because of this argument, Jesus taught them that leaders among his disciples should be different from other leaders who are not his disciples. His disciples should be servants and not harsh, arrogant leaders. This instruction applies not only to Jesus’ twelve apostles but to everyone who becomes a leader among Jesus’ other followers.</w:t>
      </w:r>
    </w:p>
    <w:p>
      <w:pPr/>
      <w:r>
        <w:rPr>
          <w:lang w:val="en_US" w:bidi="en_US"/>
        </w:rPr>
      </w:r>
      <w:r>
        <w:rPr>
          <w:lang w:val="en_US" w:bidi="en_US"/>
        </w:rPr>
        <w:t>The apostles had a similar argument in 9:46 and Mark 9:34. In 9:46 this argument occurred just after Jesus had predicted in 9:44 that he would be betrayed. The similar argument here in Section 22:24–30 is also mentioned immediately after Jesus said that he would be betrayed.</w:t>
      </w:r>
    </w:p>
    <w:p>
      <w:pPr/>
      <w:r>
        <w:rPr>
          <w:lang w:val="en_US" w:bidi="en_US"/>
        </w:rPr>
      </w:r>
      <w:r>
        <w:rPr>
          <w:lang w:val="en_US" w:bidi="en_US"/>
        </w:rPr>
        <w:t>Some examples of heading for this section are:</w:t>
      </w:r>
    </w:p>
    <w:p>
      <w:pPr/>
      <w:r>
        <w:rPr>
          <w:lang w:val="en_US" w:bidi="en_US"/>
        </w:rPr>
      </w:r>
      <w:r>
        <w:rPr>
          <w:lang w:val="en_US" w:bidi="en_US"/>
        </w:rPr>
        <w:t>Jesus again teaches humility (JBP)</w:t>
      </w:r>
    </w:p>
    <w:p>
      <w:pPr/>
      <w:r>
        <w:rPr>
          <w:lang w:val="en_US" w:bidi="en_US"/>
        </w:rPr>
      </w:r>
      <w:r>
        <w:rPr>
          <w:lang w:val="en_US" w:bidi="en_US"/>
        </w:rPr>
        <w:t>The Argument about Greatness (GNT)</w:t>
      </w:r>
    </w:p>
    <w:p>
      <w:pPr/>
      <w:r>
        <w:rPr>
          <w:lang w:val="en_US" w:bidi="en_US"/>
        </w:rPr>
      </w:r>
      <w:r>
        <w:rPr>
          <w:lang w:val="en_US" w:bidi="en_US"/>
        </w:rPr>
        <w:t>Jesus taught that the one who serves others is the greatest among them</w:t>
      </w:r>
    </w:p>
    <w:p>
      <w:pPr/>
      <w:r>
        <w:rPr>
          <w:lang w:val="en_US" w:bidi="en_US"/>
        </w:rPr>
      </w:r>
      <w:r>
        <w:rPr>
          <w:lang w:val="en_US" w:bidi="en_US"/>
        </w:rPr>
        <w:t>Some English versions, such as the NIV, do not have a section heading here. You may divide the sections in the way that is most helpful for the people in your area.</w:t>
      </w:r>
    </w:p>
    <w:p>
      <w:pPr>
        <w:pStyle w:val="Heading5"/>
      </w:pPr>
      <w:r>
        <w:rPr>
          <w:lang w:val="en_US" w:bidi="en_US"/>
        </w:rPr>
        <w:t>22:29a</w:t>
      </w:r>
    </w:p>
    <w:p>
      <w:pPr/>
      <w:r>
        <w:rPr>
          <w:lang w:val="en_US" w:bidi="en_US"/>
        </w:rPr>
      </w:r>
      <w:r>
        <w:rPr>
          <w:b/>
          <w:lang w:val="en_US" w:bidi="en_US"/>
        </w:rPr>
        <w:t>And I bestow on you</w:t>
      </w:r>
    </w:p>
    <w:p>
      <w:pPr>
        <w:pStyle w:val="ListBullet"/>
        <w:spacing w:line="240" w:lineRule="auto"/>
        <w:ind w:left="720"/>
      </w:pPr>
      <w:r>
        <w:rPr>
          <w:lang w:val="en_US" w:bidi="en_US"/>
        </w:rPr>
      </w:r>
      <w:r>
        <w:rPr>
          <w:lang w:val="en_US" w:bidi="en_US"/>
        </w:rPr>
        <w:t xml:space="preserve">And </w:t>
      </w:r>
      <w:r>
        <w:rPr>
          <w:lang w:val="en_US" w:bidi="en_US"/>
        </w:rPr>
        <w:t>so</w:t>
      </w:r>
      <w:r>
        <w:rPr>
          <w:lang w:val="en_US" w:bidi="en_US"/>
        </w:rPr>
        <w:t xml:space="preserve"> I give you</w:t>
      </w:r>
      <w:r>
        <w:rPr>
          <w:vertAlign w:val="superscript"/>
          <w:lang w:val="en_US" w:bidi="en_US"/>
        </w:rPr>
        <w:t>(plur)</w:t>
      </w:r>
    </w:p>
    <w:p>
      <w:pPr>
        <w:pStyle w:val="ListBullet"/>
        <w:spacing w:line="240" w:lineRule="auto"/>
        <w:ind w:left="720"/>
      </w:pPr>
      <w:r>
        <w:rPr>
          <w:lang w:val="en_US" w:bidi="en_US"/>
        </w:rPr>
      </w:r>
      <w:r>
        <w:rPr>
          <w:lang w:val="en_US" w:bidi="en_US"/>
        </w:rPr>
        <w:t xml:space="preserve">And I </w:t>
      </w:r>
      <w:r>
        <w:rPr>
          <w:lang w:val="en_US" w:bidi="en_US"/>
        </w:rPr>
        <w:t>in turn</w:t>
      </w:r>
      <w:r>
        <w:rPr>
          <w:lang w:val="en_US" w:bidi="en_US"/>
        </w:rPr>
        <w:t xml:space="preserve"> will appoint/cause you</w:t>
      </w:r>
      <w:r>
        <w:rPr>
          <w:vertAlign w:val="superscript"/>
          <w:lang w:val="en_US" w:bidi="en_US"/>
        </w:rPr>
        <w:t>(plur)</w:t>
      </w:r>
    </w:p>
    <w:p>
      <w:pPr>
        <w:pStyle w:val="Heading5"/>
      </w:pPr>
      <w:r>
        <w:rPr>
          <w:lang w:val="en_US" w:bidi="en_US"/>
        </w:rPr>
        <w:t>22:29b</w:t>
      </w:r>
    </w:p>
    <w:p>
      <w:pPr/>
      <w:r>
        <w:rPr>
          <w:lang w:val="en_US" w:bidi="en_US"/>
        </w:rPr>
      </w:r>
      <w:r>
        <w:rPr>
          <w:b/>
          <w:lang w:val="en_US" w:bidi="en_US"/>
        </w:rPr>
        <w:t>a kingdom, just as My Father has bestowed one on Me,</w:t>
      </w:r>
    </w:p>
    <w:p>
      <w:pPr>
        <w:pStyle w:val="ListBullet"/>
        <w:spacing w:line="240" w:lineRule="auto"/>
        <w:ind w:left="720"/>
      </w:pPr>
      <w:r>
        <w:rPr>
          <w:lang w:val="en_US" w:bidi="en_US"/>
        </w:rPr>
      </w:r>
      <w:r>
        <w:rPr>
          <w:lang w:val="en_US" w:bidi="en_US"/>
        </w:rPr>
        <w:t xml:space="preserve">authority to rule </w:t>
      </w:r>
      <w:r>
        <w:rPr>
          <w:lang w:val="en_US" w:bidi="en_US"/>
        </w:rPr>
        <w:t>people</w:t>
      </w:r>
      <w:r>
        <w:rPr>
          <w:lang w:val="en_US" w:bidi="en_US"/>
        </w:rPr>
        <w:t xml:space="preserve">, just as my Father </w:t>
      </w:r>
      <w:r>
        <w:rPr>
          <w:lang w:val="en_US" w:bidi="en_US"/>
        </w:rPr>
        <w:t>God</w:t>
      </w:r>
      <w:r>
        <w:rPr>
          <w:lang w:val="en_US" w:bidi="en_US"/>
        </w:rPr>
        <w:t xml:space="preserve"> gave me that authority.</w:t>
      </w:r>
    </w:p>
    <w:p>
      <w:pPr>
        <w:pStyle w:val="ListBullet"/>
        <w:spacing w:line="240" w:lineRule="auto"/>
        <w:ind w:left="720"/>
      </w:pPr>
      <w:r>
        <w:rPr>
          <w:lang w:val="en_US" w:bidi="en_US"/>
        </w:rPr>
      </w:r>
      <w:r>
        <w:rPr>
          <w:lang w:val="en_US" w:bidi="en_US"/>
        </w:rPr>
        <w:t xml:space="preserve">to rule </w:t>
      </w:r>
      <w:r>
        <w:rPr>
          <w:lang w:val="en_US" w:bidi="en_US"/>
        </w:rPr>
        <w:t>with me</w:t>
      </w:r>
      <w:r>
        <w:rPr>
          <w:lang w:val="en_US" w:bidi="en_US"/>
        </w:rPr>
        <w:t xml:space="preserve"> </w:t>
      </w:r>
      <w:r>
        <w:rPr>
          <w:lang w:val="en_US" w:bidi="en_US"/>
        </w:rPr>
        <w:t>in my/God’s kingdom</w:t>
      </w:r>
      <w:r>
        <w:rPr>
          <w:lang w:val="en_US" w:bidi="en_US"/>
        </w:rPr>
        <w:t xml:space="preserve">, as/since </w:t>
      </w:r>
      <w:r>
        <w:rPr>
          <w:lang w:val="en_US" w:bidi="en_US"/>
        </w:rPr>
        <w:t>God</w:t>
      </w:r>
      <w:r>
        <w:rPr>
          <w:lang w:val="en_US" w:bidi="en_US"/>
        </w:rPr>
        <w:t xml:space="preserve"> my Father appointed/caused me to rule.</w:t>
      </w:r>
    </w:p>
    <w:p>
      <w:pPr>
        <w:pStyle w:val="Heading5"/>
      </w:pPr>
      <w:r>
        <w:rPr>
          <w:lang w:val="en_US" w:bidi="en_US"/>
        </w:rPr>
        <w:t>22:29a–b</w:t>
      </w:r>
    </w:p>
    <w:p>
      <w:pPr/>
      <w:r>
        <w:rPr>
          <w:lang w:val="en_US" w:bidi="en_US"/>
        </w:rPr>
      </w:r>
      <w:r>
        <w:rPr>
          <w:lang w:val="en_US" w:bidi="en_US"/>
        </w:rPr>
        <w:t>In Greek the order of words in this verse is more literally “And I confer on you, just as my Father conferred on me, a kingdom.” The Father conferred a kingdom on Jesus, and then Jesus conferred one on his disciples. In some languages it may be more natural to change the order of words in this verse. See the General Comment on 22:29a–b below for an example.</w:t>
      </w:r>
    </w:p>
    <w:p>
      <w:pPr/>
      <w:r>
        <w:rPr>
          <w:lang w:val="en_US" w:bidi="en_US"/>
        </w:rPr>
      </w:r>
      <w:r>
        <w:rPr>
          <w:b/>
          <w:lang w:val="en_US" w:bidi="en_US"/>
        </w:rPr>
        <w:t>And I:</w:t>
      </w:r>
      <w:r>
        <w:rPr>
          <w:lang w:val="en_US" w:bidi="en_US"/>
        </w:rPr>
        <w:t xml:space="preserve"> The Greek word that the BSB translates as </w:t>
      </w:r>
      <w:r>
        <w:rPr>
          <w:i/>
          <w:lang w:val="en_US" w:bidi="en_US"/>
        </w:rPr>
        <w:t>And I</w:t>
      </w:r>
      <w:r>
        <w:rPr>
          <w:lang w:val="en_US" w:bidi="en_US"/>
        </w:rPr>
        <w:t xml:space="preserve"> introduces what </w:t>
      </w:r>
      <w:r>
        <w:rPr>
          <w:u w:val="single"/>
          <w:lang w:val="en_US" w:bidi="en_US"/>
        </w:rPr>
        <w:t>Jesus</w:t>
      </w:r>
      <w:r>
        <w:rPr>
          <w:lang w:val="en_US" w:bidi="en_US"/>
        </w:rPr>
        <w:t xml:space="preserve"> will do for his apostles because </w:t>
      </w:r>
      <w:r>
        <w:rPr>
          <w:u w:val="single"/>
          <w:lang w:val="en_US" w:bidi="en_US"/>
        </w:rPr>
        <w:t>they</w:t>
      </w:r>
      <w:r>
        <w:rPr>
          <w:lang w:val="en_US" w:bidi="en_US"/>
        </w:rPr>
        <w:t xml:space="preserve"> have been faithful to him through his trials (22:28). Some other ways to introduce his statement in English are:</w:t>
      </w:r>
    </w:p>
    <w:p>
      <w:pPr/>
      <w:r>
        <w:rPr>
          <w:lang w:val="en_US" w:bidi="en_US"/>
        </w:rPr>
      </w:r>
      <w:r>
        <w:rPr>
          <w:lang w:val="en_US" w:bidi="en_US"/>
        </w:rPr>
        <w:t>So (CEV)</w:t>
      </w:r>
    </w:p>
    <w:p>
      <w:pPr/>
      <w:r>
        <w:rPr>
          <w:lang w:val="en_US" w:bidi="en_US"/>
        </w:rPr>
      </w:r>
      <w:r>
        <w:rPr>
          <w:lang w:val="en_US" w:bidi="en_US"/>
        </w:rPr>
        <w:t>And I, in turn/response</w:t>
      </w:r>
    </w:p>
    <w:p>
      <w:pPr/>
      <w:r>
        <w:rPr>
          <w:lang w:val="en_US" w:bidi="en_US"/>
        </w:rPr>
      </w:r>
      <w:r>
        <w:rPr>
          <w:lang w:val="en_US" w:bidi="en_US"/>
        </w:rPr>
        <w:t>Introduce this statement in a natural way in your language. In some languages a conjunction is not necessary.</w:t>
      </w:r>
    </w:p>
    <w:p>
      <w:pPr/>
      <w:r>
        <w:rPr>
          <w:lang w:val="en_US" w:bidi="en_US"/>
        </w:rPr>
      </w:r>
      <w:r>
        <w:rPr>
          <w:b/>
          <w:lang w:val="en_US" w:bidi="en_US"/>
        </w:rPr>
        <w:t>I bestow on you a kingdom:</w:t>
      </w:r>
      <w:r>
        <w:rPr>
          <w:lang w:val="en_US" w:bidi="en_US"/>
        </w:rPr>
        <w:t xml:space="preserve"> The clause </w:t>
      </w:r>
      <w:r>
        <w:rPr>
          <w:i/>
          <w:lang w:val="en_US" w:bidi="en_US"/>
        </w:rPr>
        <w:t>I bestow on you a kingdom</w:t>
      </w:r>
      <w:r>
        <w:rPr>
          <w:lang w:val="en_US" w:bidi="en_US"/>
        </w:rPr>
        <w:t xml:space="preserve"> indicates here that Jesus was giving his apostles authority to rule people. The context in 22:30 shows that his apostles will sit at his table, and they will rule the twelve tribes of Israel. They will use their authority in the kingdom that God has given to Jesus. Jesus did not imply that he was giving the apostles a different kingdom from the one that the Father had given him.</w:t>
      </w:r>
    </w:p>
    <w:p>
      <w:pPr/>
      <w:r>
        <w:rPr>
          <w:lang w:val="en_US" w:bidi="en_US"/>
        </w:rPr>
      </w:r>
      <w:r>
        <w:rPr>
          <w:lang w:val="en_US" w:bidi="en_US"/>
        </w:rPr>
        <w:t>Some ways to translate this are:</w:t>
      </w:r>
    </w:p>
    <w:p>
      <w:pPr/>
      <w:r>
        <w:rPr>
          <w:lang w:val="en_US" w:bidi="en_US"/>
        </w:rPr>
      </w:r>
      <w:r>
        <w:rPr>
          <w:lang w:val="en_US" w:bidi="en_US"/>
        </w:rPr>
        <w:t>I will give you the right to rule as kings (CEV)</w:t>
      </w:r>
    </w:p>
    <w:p>
      <w:pPr/>
      <w:r>
        <w:rPr>
          <w:lang w:val="en_US" w:bidi="en_US"/>
        </w:rPr>
      </w:r>
      <w:r>
        <w:rPr>
          <w:lang w:val="en_US" w:bidi="en_US"/>
        </w:rPr>
        <w:t xml:space="preserve">I appoint/assign you to rule </w:t>
      </w:r>
      <w:r>
        <w:rPr>
          <w:lang w:val="en_US" w:bidi="en_US"/>
        </w:rPr>
        <w:t>over people</w:t>
      </w:r>
    </w:p>
    <w:p>
      <w:pPr/>
      <w:r>
        <w:rPr>
          <w:lang w:val="en_US" w:bidi="en_US"/>
        </w:rPr>
      </w:r>
      <w:r>
        <w:rPr>
          <w:lang w:val="en_US" w:bidi="en_US"/>
        </w:rPr>
        <w:t>I give you power/authority to rule</w:t>
      </w:r>
    </w:p>
    <w:p>
      <w:pPr/>
      <w:r>
        <w:rPr>
          <w:lang w:val="en_US" w:bidi="en_US"/>
        </w:rPr>
      </w:r>
      <w:r>
        <w:rPr>
          <w:b/>
          <w:lang w:val="en_US" w:bidi="en_US"/>
        </w:rPr>
        <w:t>bestow:</w:t>
      </w:r>
      <w:r>
        <w:rPr>
          <w:lang w:val="en_US" w:bidi="en_US"/>
        </w:rPr>
        <w:t xml:space="preserve"> The Greek word that the BSB translates as </w:t>
      </w:r>
      <w:r>
        <w:rPr>
          <w:i/>
          <w:lang w:val="en_US" w:bidi="en_US"/>
        </w:rPr>
        <w:t>bestow</w:t>
      </w:r>
      <w:r>
        <w:rPr>
          <w:lang w:val="en_US" w:bidi="en_US"/>
        </w:rPr>
        <w:t xml:space="preserve"> means “to give [someone] a right or authority.” This word is often used when someone makes a covenant/agreement with another person. Jesus implied here that he was officially giving his apostles authority. See the preceding note for translation examples.</w:t>
      </w:r>
    </w:p>
    <w:p>
      <w:pPr/>
      <w:r>
        <w:rPr>
          <w:lang w:val="en_US" w:bidi="en_US"/>
        </w:rPr>
      </w:r>
      <w:r>
        <w:rPr>
          <w:b/>
          <w:lang w:val="en_US" w:bidi="en_US"/>
        </w:rPr>
        <w:t>kingdom:</w:t>
      </w:r>
      <w:r>
        <w:rPr>
          <w:lang w:val="en_US" w:bidi="en_US"/>
        </w:rPr>
        <w:t xml:space="preserve"> The Greek word that the BSB translates as </w:t>
      </w:r>
      <w:r>
        <w:rPr>
          <w:i/>
          <w:lang w:val="en_US" w:bidi="en_US"/>
        </w:rPr>
        <w:t>kingdom</w:t>
      </w:r>
      <w:r>
        <w:rPr>
          <w:lang w:val="en_US" w:bidi="en_US"/>
        </w:rPr>
        <w:t xml:space="preserve"> refers here to the authority to rule people. Some ways to translate this are:</w:t>
      </w:r>
    </w:p>
    <w:p>
      <w:pPr/>
      <w:r>
        <w:rPr>
          <w:lang w:val="en_US" w:bidi="en_US"/>
        </w:rPr>
      </w:r>
      <w:r>
        <w:rPr>
          <w:lang w:val="en_US" w:bidi="en_US"/>
        </w:rPr>
        <w:t>kingly authority</w:t>
      </w:r>
    </w:p>
    <w:p>
      <w:pPr/>
      <w:r>
        <w:rPr>
          <w:lang w:val="en_US" w:bidi="en_US"/>
        </w:rPr>
      </w:r>
      <w:r>
        <w:rPr>
          <w:lang w:val="en_US" w:bidi="en_US"/>
        </w:rPr>
        <w:t xml:space="preserve">the authority to rule </w:t>
      </w:r>
      <w:r>
        <w:rPr>
          <w:lang w:val="en_US" w:bidi="en_US"/>
        </w:rPr>
        <w:t>people</w:t>
      </w:r>
    </w:p>
    <w:p>
      <w:pPr/>
      <w:r>
        <w:rPr>
          <w:lang w:val="en_US" w:bidi="en_US"/>
        </w:rPr>
      </w:r>
      <w:r>
        <w:rPr>
          <w:b/>
          <w:lang w:val="en_US" w:bidi="en_US"/>
        </w:rPr>
        <w:t>just as:</w:t>
      </w:r>
      <w:r>
        <w:rPr>
          <w:lang w:val="en_US" w:bidi="en_US"/>
        </w:rPr>
        <w:t xml:space="preserve"> The Greek conjunction that the BSB translates as </w:t>
      </w:r>
      <w:r>
        <w:rPr>
          <w:i/>
          <w:lang w:val="en_US" w:bidi="en_US"/>
        </w:rPr>
        <w:t>just as</w:t>
      </w:r>
      <w:r>
        <w:rPr>
          <w:lang w:val="en_US" w:bidi="en_US"/>
        </w:rPr>
        <w:t xml:space="preserve"> connects what Jesus was doing for the apostles to what his Father had done for him. It implies that Jesus and his Father God acted in a similar way in 22:29a–b. God gave Jesus authority to rule, and then Jesus also gave his apostles authority to rule. In this context the conjunction focuses on the similar action that God and Jesus did. It does not focus especially on the manner or way of doing this action.</w:t>
      </w:r>
    </w:p>
    <w:p>
      <w:pPr/>
      <w:r>
        <w:rPr>
          <w:lang w:val="en_US" w:bidi="en_US"/>
        </w:rPr>
      </w:r>
      <w:r>
        <w:rPr>
          <w:lang w:val="en_US" w:bidi="en_US"/>
        </w:rPr>
        <w:t>Some other ways to translate this connection are:</w:t>
      </w:r>
    </w:p>
    <w:p>
      <w:pPr/>
      <w:r>
        <w:rPr>
          <w:lang w:val="en_US" w:bidi="en_US"/>
        </w:rPr>
      </w:r>
      <w:r>
        <w:rPr>
          <w:lang w:val="en_US" w:bidi="en_US"/>
        </w:rPr>
        <w:t>like…so also</w:t>
      </w:r>
      <w:r>
        <w:rPr>
          <w:lang w:val="en_US" w:bidi="en_US"/>
        </w:rPr>
        <w:t>Uma back translation on TW.</w:t>
      </w:r>
    </w:p>
    <w:p>
      <w:pPr/>
      <w:r>
        <w:rPr>
          <w:lang w:val="en_US" w:bidi="en_US"/>
        </w:rPr>
      </w:r>
      <w:r>
        <w:rPr>
          <w:lang w:val="en_US" w:bidi="en_US"/>
        </w:rPr>
        <w:t>as (RSV)</w:t>
      </w:r>
    </w:p>
    <w:p>
      <w:pPr/>
      <w:r>
        <w:rPr>
          <w:lang w:val="en_US" w:bidi="en_US"/>
        </w:rPr>
      </w:r>
      <w:r>
        <w:rPr>
          <w:lang w:val="en_US" w:bidi="en_US"/>
        </w:rPr>
        <w:t>since</w:t>
      </w:r>
    </w:p>
    <w:p>
      <w:pPr/>
      <w:r>
        <w:rPr>
          <w:lang w:val="en_US" w:bidi="en_US"/>
        </w:rPr>
      </w:r>
      <w:r>
        <w:rPr>
          <w:lang w:val="en_US" w:bidi="en_US"/>
        </w:rPr>
        <w:t>See also the examples in the General Comment on 22:29a–b below. Translate the connection in a natural way in your language.</w:t>
      </w:r>
    </w:p>
    <w:p>
      <w:pPr/>
      <w:r>
        <w:rPr>
          <w:lang w:val="en_US" w:bidi="en_US"/>
        </w:rPr>
      </w:r>
      <w:r>
        <w:rPr>
          <w:b/>
          <w:lang w:val="en_US" w:bidi="en_US"/>
        </w:rPr>
        <w:t>My Father has bestowed one on Me:</w:t>
      </w:r>
      <w:r>
        <w:rPr>
          <w:lang w:val="en_US" w:bidi="en_US"/>
        </w:rPr>
        <w:t xml:space="preserve"> The word </w:t>
      </w:r>
      <w:r>
        <w:rPr>
          <w:i/>
          <w:lang w:val="en_US" w:bidi="en_US"/>
        </w:rPr>
        <w:t>one</w:t>
      </w:r>
      <w:r>
        <w:rPr>
          <w:lang w:val="en_US" w:bidi="en_US"/>
        </w:rPr>
        <w:t xml:space="preserve"> refers back to the phrase “a kingdom.” As earlier in 22:29b, it refers to authority. Here, Jesus indicated that God had given him authority to rule. Jesus was not referring to two different kingdoms in this verse. He was referring to the authority that God gave him and that he will share with his disciples.</w:t>
      </w:r>
    </w:p>
    <w:p>
      <w:pPr/>
      <w:r>
        <w:rPr>
          <w:lang w:val="en_US" w:bidi="en_US"/>
        </w:rPr>
      </w:r>
      <w:r>
        <w:rPr>
          <w:b/>
          <w:lang w:val="en_US" w:bidi="en_US"/>
        </w:rPr>
        <w:t>My Father:</w:t>
      </w:r>
      <w:r>
        <w:rPr>
          <w:lang w:val="en_US" w:bidi="en_US"/>
        </w:rPr>
        <w:t xml:space="preserve"> Here Jesus referred to God as his Father. In some languages it may be necessary to make this explicit. For example:</w:t>
      </w:r>
    </w:p>
    <w:p>
      <w:pPr/>
      <w:r>
        <w:rPr>
          <w:lang w:val="en_US" w:bidi="en_US"/>
        </w:rPr>
      </w:r>
      <w:r>
        <w:rPr>
          <w:lang w:val="en_US" w:bidi="en_US"/>
        </w:rPr>
        <w:t>My Father God</w:t>
      </w:r>
    </w:p>
    <w:p>
      <w:pPr>
        <w:pStyle w:val="Heading6"/>
      </w:pPr>
      <w:r>
        <w:rPr>
          <w:b/>
          <w:lang w:val="en_US" w:bidi="en_US"/>
        </w:rPr>
        <w:t>General Comment on 22:29a–b</w:t>
      </w:r>
    </w:p>
    <w:p>
      <w:pPr/>
      <w:r>
        <w:rPr>
          <w:lang w:val="en_US" w:bidi="en_US"/>
        </w:rPr>
      </w:r>
      <w:r>
        <w:rPr>
          <w:lang w:val="en_US" w:bidi="en_US"/>
        </w:rPr>
        <w:t>In some languages it may be helpful to reverse the order of words in this verse. For example:</w:t>
      </w:r>
    </w:p>
    <w:p>
      <w:pPr/>
      <w:r>
        <w:rPr>
          <w:lang w:val="en_US" w:bidi="en_US"/>
        </w:rPr>
      </w:r>
      <w:r>
        <w:rPr>
          <w:vertAlign w:val="superscript"/>
          <w:lang w:val="en_US" w:bidi="en_US"/>
        </w:rPr>
        <w:t>29b</w:t>
      </w:r>
      <w:r>
        <w:rPr>
          <w:lang w:val="en_US" w:bidi="en_US"/>
        </w:rPr>
        <w:t xml:space="preserve">and just as my Father has given me the right to rule, </w:t>
      </w:r>
      <w:r>
        <w:rPr>
          <w:vertAlign w:val="superscript"/>
          <w:lang w:val="en_US" w:bidi="en_US"/>
        </w:rPr>
        <w:t>29a</w:t>
      </w:r>
      <w:r>
        <w:rPr>
          <w:lang w:val="en_US" w:bidi="en_US"/>
        </w:rPr>
        <w:t xml:space="preserve">so I will give you </w:t>
      </w:r>
      <w:r>
        <w:rPr>
          <w:vertAlign w:val="superscript"/>
          <w:lang w:val="en_US" w:bidi="en_US"/>
        </w:rPr>
        <w:t>29b</w:t>
      </w:r>
      <w:r>
        <w:rPr>
          <w:lang w:val="en_US" w:bidi="en_US"/>
        </w:rPr>
        <w:t>the same right. (GNT)</w:t>
      </w:r>
    </w:p>
    <w:p>
      <w:pPr/>
      <w:r>
        <w:rPr>
          <w:lang w:val="en_US" w:bidi="en_US"/>
        </w:rPr>
      </w:r>
      <w:r>
        <w:rPr>
          <w:vertAlign w:val="superscript"/>
          <w:lang w:val="en_US" w:bidi="en_US"/>
        </w:rPr>
        <w:t>29b</w:t>
      </w:r>
      <w:r>
        <w:rPr>
          <w:lang w:val="en_US" w:bidi="en_US"/>
        </w:rPr>
        <w:t xml:space="preserve">God my Father gave me authority to rule. </w:t>
      </w:r>
      <w:r>
        <w:rPr>
          <w:vertAlign w:val="superscript"/>
          <w:lang w:val="en_US" w:bidi="en_US"/>
        </w:rPr>
        <w:t>29a</w:t>
      </w:r>
      <w:r>
        <w:rPr>
          <w:lang w:val="en_US" w:bidi="en_US"/>
        </w:rPr>
        <w:t xml:space="preserve">Now I also give you </w:t>
      </w:r>
      <w:r>
        <w:rPr>
          <w:vertAlign w:val="superscript"/>
          <w:lang w:val="en_US" w:bidi="en_US"/>
        </w:rPr>
        <w:t>29b</w:t>
      </w:r>
      <w:r>
        <w:rPr>
          <w:lang w:val="en_US" w:bidi="en_US"/>
        </w:rPr>
        <w:t>authority to rule.</w:t>
      </w:r>
      <w:r>
        <w:rPr>
          <w:lang w:val="en_US" w:bidi="en_US"/>
        </w:rPr>
      </w:r>
      <w:r>
        <w:rPr>
          <w:lang w:val="en_US" w:bidi="en_US"/>
        </w:rPr>
      </w:r>
    </w:p>
    <w:p>
      <w:pPr/>
      <w:r>
        <w:rPr>
          <w:lang w:val="en_US" w:bidi="en_US"/>
        </w:rPr>
      </w:r>
    </w:p>
    <w:p>
      <w:pPr>
        <w:pStyle w:val="Heading2"/>
      </w:pPr>
      <w:r>
        <w:rPr>
          <w:lang w:val="en_US" w:bidi="en_US"/>
        </w:rPr>
        <w:t>Luke 22:30</w:t>
      </w:r>
      <w:r>
        <w:rPr>
          <w:lang w:val="en_US" w:bidi="en_US"/>
        </w:rPr>
      </w:r>
    </w:p>
    <w:p>
      <w:pPr>
        <w:pStyle w:val="Heading4"/>
      </w:pPr>
      <w:r>
        <w:rPr>
          <w:lang w:val="en_US" w:bidi="en_US"/>
        </w:rPr>
        <w:t>Section 22:24–30: Jesus taught his apostles about greatness</w:t>
      </w:r>
    </w:p>
    <w:p>
      <w:pPr/>
      <w:r>
        <w:rPr>
          <w:lang w:val="en_US" w:bidi="en_US"/>
        </w:rPr>
      </w:r>
      <w:r>
        <w:rPr>
          <w:lang w:val="en_US" w:bidi="en_US"/>
        </w:rPr>
        <w:t>In this section Jesus’ apostles began to argue about which of them was the greatest. Because of this argument, Jesus taught them that leaders among his disciples should be different from other leaders who are not his disciples. His disciples should be servants and not harsh, arrogant leaders. This instruction applies not only to Jesus’ twelve apostles but to everyone who becomes a leader among Jesus’ other followers.</w:t>
      </w:r>
    </w:p>
    <w:p>
      <w:pPr/>
      <w:r>
        <w:rPr>
          <w:lang w:val="en_US" w:bidi="en_US"/>
        </w:rPr>
      </w:r>
      <w:r>
        <w:rPr>
          <w:lang w:val="en_US" w:bidi="en_US"/>
        </w:rPr>
        <w:t>The apostles had a similar argument in 9:46 and Mark 9:34. In 9:46 this argument occurred just after Jesus had predicted in 9:44 that he would be betrayed. The similar argument here in Section 22:24–30 is also mentioned immediately after Jesus said that he would be betrayed.</w:t>
      </w:r>
    </w:p>
    <w:p>
      <w:pPr/>
      <w:r>
        <w:rPr>
          <w:lang w:val="en_US" w:bidi="en_US"/>
        </w:rPr>
      </w:r>
      <w:r>
        <w:rPr>
          <w:lang w:val="en_US" w:bidi="en_US"/>
        </w:rPr>
        <w:t>Some examples of heading for this section are:</w:t>
      </w:r>
    </w:p>
    <w:p>
      <w:pPr/>
      <w:r>
        <w:rPr>
          <w:lang w:val="en_US" w:bidi="en_US"/>
        </w:rPr>
      </w:r>
      <w:r>
        <w:rPr>
          <w:lang w:val="en_US" w:bidi="en_US"/>
        </w:rPr>
        <w:t>Jesus again teaches humility (JBP)</w:t>
      </w:r>
    </w:p>
    <w:p>
      <w:pPr/>
      <w:r>
        <w:rPr>
          <w:lang w:val="en_US" w:bidi="en_US"/>
        </w:rPr>
      </w:r>
      <w:r>
        <w:rPr>
          <w:lang w:val="en_US" w:bidi="en_US"/>
        </w:rPr>
        <w:t>The Argument about Greatness (GNT)</w:t>
      </w:r>
    </w:p>
    <w:p>
      <w:pPr/>
      <w:r>
        <w:rPr>
          <w:lang w:val="en_US" w:bidi="en_US"/>
        </w:rPr>
      </w:r>
      <w:r>
        <w:rPr>
          <w:lang w:val="en_US" w:bidi="en_US"/>
        </w:rPr>
        <w:t>Jesus taught that the one who serves others is the greatest among them</w:t>
      </w:r>
    </w:p>
    <w:p>
      <w:pPr/>
      <w:r>
        <w:rPr>
          <w:lang w:val="en_US" w:bidi="en_US"/>
        </w:rPr>
      </w:r>
      <w:r>
        <w:rPr>
          <w:lang w:val="en_US" w:bidi="en_US"/>
        </w:rPr>
        <w:t>Some English versions, such as the NIV, do not have a section heading here. You may divide the sections in the way that is most helpful for the people in your area.</w:t>
      </w:r>
    </w:p>
    <w:p>
      <w:pPr>
        <w:pStyle w:val="Heading5"/>
      </w:pPr>
      <w:r>
        <w:rPr>
          <w:lang w:val="en_US" w:bidi="en_US"/>
        </w:rPr>
        <w:t>22:30a–b</w:t>
      </w:r>
    </w:p>
    <w:p>
      <w:pPr/>
      <w:r>
        <w:rPr>
          <w:lang w:val="en_US" w:bidi="en_US"/>
        </w:rPr>
      </w:r>
      <w:r>
        <w:rPr>
          <w:b/>
          <w:lang w:val="en_US" w:bidi="en_US"/>
        </w:rPr>
        <w:t>so that…and:</w:t>
      </w:r>
      <w:r>
        <w:rPr>
          <w:lang w:val="en_US" w:bidi="en_US"/>
        </w:rPr>
        <w:t xml:space="preserve"> In this context the Greek word that the BSB translates as </w:t>
      </w:r>
      <w:r>
        <w:rPr>
          <w:i/>
          <w:lang w:val="en_US" w:bidi="en_US"/>
        </w:rPr>
        <w:t>so that</w:t>
      </w:r>
      <w:r>
        <w:rPr>
          <w:lang w:val="en_US" w:bidi="en_US"/>
        </w:rPr>
        <w:t xml:space="preserve"> indicates that 22:30a is a result.</w:t>
      </w:r>
      <w:r>
        <w:rPr>
          <w:lang w:val="en_US" w:bidi="en_US"/>
        </w:rPr>
        <w:t>Some commentaries and versions interpret this word to indicate purpose here, implying that Jesus’ purpose for conferring a kingdom on his disciples was to cause them to eat and drink and his table in the kingdom. The interpretations of purpose and intended result are very close when Jesus is the person who intends that result because he is sure to make it happen. More of the exegetical resources consulted list this as result, and it fits the context very well here.</w:t>
      </w:r>
      <w:r>
        <w:rPr>
          <w:lang w:val="en_US" w:bidi="en_US"/>
        </w:rPr>
        <w:t xml:space="preserve"> Jesus gave his apostles authority, and as a result, he and they will eat joyfully together in his kingdom. The clause that begins with </w:t>
      </w:r>
      <w:r>
        <w:rPr>
          <w:i/>
          <w:lang w:val="en_US" w:bidi="en_US"/>
        </w:rPr>
        <w:t>and</w:t>
      </w:r>
      <w:r>
        <w:rPr>
          <w:lang w:val="en_US" w:bidi="en_US"/>
        </w:rPr>
        <w:t xml:space="preserve"> (22:30b) also expresses result. Jesus gave the apostles authority, and as a result, they will judge the twelve tribes of Israel. See the General Comment on 22:29–30 at the end of 22:30b for examples of ways to translate these results.</w:t>
      </w:r>
    </w:p>
    <w:p>
      <w:pPr>
        <w:pStyle w:val="Heading5"/>
      </w:pPr>
      <w:r>
        <w:rPr>
          <w:lang w:val="en_US" w:bidi="en_US"/>
        </w:rPr>
        <w:t>22:30a</w:t>
      </w:r>
    </w:p>
    <w:p>
      <w:pPr/>
      <w:r>
        <w:rPr>
          <w:lang w:val="en_US" w:bidi="en_US"/>
        </w:rPr>
      </w:r>
      <w:r>
        <w:rPr>
          <w:b/>
          <w:lang w:val="en_US" w:bidi="en_US"/>
        </w:rPr>
        <w:t>so that you may eat and drink at My table in My kingdom,</w:t>
      </w:r>
    </w:p>
    <w:p>
      <w:pPr>
        <w:pStyle w:val="ListBullet"/>
        <w:spacing w:line="240" w:lineRule="auto"/>
        <w:ind w:left="720"/>
      </w:pPr>
      <w:r>
        <w:rPr>
          <w:lang w:val="en_US" w:bidi="en_US"/>
        </w:rPr>
      </w:r>
      <w:r>
        <w:rPr>
          <w:lang w:val="en_US" w:bidi="en_US"/>
        </w:rPr>
        <w:t xml:space="preserve">As a result, in my </w:t>
      </w:r>
      <w:r>
        <w:rPr>
          <w:lang w:val="en_US" w:bidi="en_US"/>
        </w:rPr>
        <w:t>future</w:t>
      </w:r>
      <w:r>
        <w:rPr>
          <w:lang w:val="en_US" w:bidi="en_US"/>
        </w:rPr>
        <w:t xml:space="preserve"> kingdom you</w:t>
      </w:r>
      <w:r>
        <w:rPr>
          <w:vertAlign w:val="superscript"/>
          <w:lang w:val="en_US" w:bidi="en_US"/>
        </w:rPr>
        <w:t>(plur)</w:t>
      </w:r>
      <w:r>
        <w:rPr>
          <w:lang w:val="en_US" w:bidi="en_US"/>
        </w:rPr>
        <w:t xml:space="preserve"> will eat and drink with me at my table,</w:t>
      </w:r>
    </w:p>
    <w:p>
      <w:pPr>
        <w:pStyle w:val="ListBullet"/>
        <w:spacing w:line="240" w:lineRule="auto"/>
        <w:ind w:left="720"/>
      </w:pPr>
      <w:r>
        <w:rPr>
          <w:lang w:val="en_US" w:bidi="en_US"/>
        </w:rPr>
      </w:r>
      <w:r>
        <w:rPr>
          <w:lang w:val="en_US" w:bidi="en_US"/>
        </w:rPr>
        <w:t>And so when I rule as king, you</w:t>
      </w:r>
      <w:r>
        <w:rPr>
          <w:vertAlign w:val="superscript"/>
          <w:lang w:val="en_US" w:bidi="en_US"/>
        </w:rPr>
        <w:t>(plur)</w:t>
      </w:r>
      <w:r>
        <w:rPr>
          <w:lang w:val="en_US" w:bidi="en_US"/>
        </w:rPr>
        <w:t xml:space="preserve"> will </w:t>
      </w:r>
      <w:r>
        <w:rPr>
          <w:lang w:val="en_US" w:bidi="en_US"/>
        </w:rPr>
        <w:t>have an honored place/seat</w:t>
      </w:r>
      <w:r>
        <w:rPr>
          <w:lang w:val="en_US" w:bidi="en_US"/>
        </w:rPr>
        <w:t xml:space="preserve"> near me, as we</w:t>
      </w:r>
      <w:r>
        <w:rPr>
          <w:vertAlign w:val="superscript"/>
          <w:lang w:val="en_US" w:bidi="en_US"/>
        </w:rPr>
        <w:t>(incl)</w:t>
      </w:r>
      <w:r>
        <w:rPr>
          <w:lang w:val="en_US" w:bidi="en_US"/>
        </w:rPr>
        <w:t xml:space="preserve"> feast/celebrate together.</w:t>
      </w:r>
    </w:p>
    <w:p>
      <w:pPr/>
      <w:r>
        <w:rPr>
          <w:lang w:val="en_US" w:bidi="en_US"/>
        </w:rPr>
      </w:r>
      <w:r>
        <w:rPr>
          <w:b/>
          <w:lang w:val="en_US" w:bidi="en_US"/>
        </w:rPr>
        <w:t>you may eat and drink at My table in My kingdom:</w:t>
      </w:r>
      <w:r>
        <w:rPr>
          <w:lang w:val="en_US" w:bidi="en_US"/>
        </w:rPr>
        <w:t xml:space="preserve"> In many cultures it is a custom for the king to invite important officials and elders to eat with him. It is a great honor to eat with the king. Jesus indicated here that when he rules as king, he will give his apostles the honor and the right to eat with him.</w:t>
      </w:r>
    </w:p>
    <w:p>
      <w:pPr/>
      <w:r>
        <w:rPr>
          <w:lang w:val="en_US" w:bidi="en_US"/>
        </w:rPr>
      </w:r>
      <w:r>
        <w:rPr>
          <w:lang w:val="en_US" w:bidi="en_US"/>
        </w:rPr>
        <w:t>In some cultures people do not eat at tables. You should use a natural way in your language to describe eating with Jesus. Some other ways to translate this meaning are:</w:t>
      </w:r>
    </w:p>
    <w:p>
      <w:pPr/>
      <w:r>
        <w:rPr>
          <w:lang w:val="en_US" w:bidi="en_US"/>
        </w:rPr>
      </w:r>
      <w:r>
        <w:rPr>
          <w:lang w:val="en_US" w:bidi="en_US"/>
        </w:rPr>
        <w:t>you will thus eat-with me in my ruling</w:t>
      </w:r>
      <w:r>
        <w:rPr>
          <w:lang w:val="en_US" w:bidi="en_US"/>
        </w:rPr>
        <w:t>Kankanaey back translation on TW.</w:t>
      </w:r>
    </w:p>
    <w:p>
      <w:pPr/>
      <w:r>
        <w:rPr>
          <w:lang w:val="en_US" w:bidi="en_US"/>
        </w:rPr>
      </w:r>
      <w:r>
        <w:rPr>
          <w:lang w:val="en_US" w:bidi="en_US"/>
        </w:rPr>
        <w:t>We will feast together there in my kingdom.</w:t>
      </w:r>
      <w:r>
        <w:rPr>
          <w:lang w:val="en_US" w:bidi="en_US"/>
        </w:rPr>
        <w:t>Uma back translation on TW.</w:t>
      </w:r>
    </w:p>
    <w:p>
      <w:pPr/>
      <w:r>
        <w:rPr>
          <w:lang w:val="en_US" w:bidi="en_US"/>
        </w:rPr>
      </w:r>
      <w:r>
        <w:rPr>
          <w:b/>
          <w:lang w:val="en_US" w:bidi="en_US"/>
        </w:rPr>
        <w:t>eat and drink:</w:t>
      </w:r>
      <w:r>
        <w:rPr>
          <w:lang w:val="en_US" w:bidi="en_US"/>
        </w:rPr>
        <w:t xml:space="preserve"> The phrase </w:t>
      </w:r>
      <w:r>
        <w:rPr>
          <w:i/>
          <w:lang w:val="en_US" w:bidi="en_US"/>
        </w:rPr>
        <w:t>eat and drink</w:t>
      </w:r>
      <w:r>
        <w:rPr>
          <w:lang w:val="en_US" w:bidi="en_US"/>
        </w:rPr>
        <w:t xml:space="preserve"> was a common way in that culture to refer to having a meal. See how you translated this phrase in 17:8.</w:t>
      </w:r>
    </w:p>
    <w:p>
      <w:pPr/>
      <w:r>
        <w:rPr>
          <w:lang w:val="en_US" w:bidi="en_US"/>
        </w:rPr>
      </w:r>
      <w:r>
        <w:rPr>
          <w:b/>
          <w:lang w:val="en_US" w:bidi="en_US"/>
        </w:rPr>
        <w:t>in My kingdom:</w:t>
      </w:r>
      <w:r>
        <w:rPr>
          <w:lang w:val="en_US" w:bidi="en_US"/>
        </w:rPr>
        <w:t xml:space="preserve"> The phrase </w:t>
      </w:r>
      <w:r>
        <w:rPr>
          <w:i/>
          <w:lang w:val="en_US" w:bidi="en_US"/>
        </w:rPr>
        <w:t>in My kingdom</w:t>
      </w:r>
      <w:r>
        <w:rPr>
          <w:lang w:val="en_US" w:bidi="en_US"/>
        </w:rPr>
        <w:t xml:space="preserve"> refers to the future time when Jesus will reign over everything. In some languages it may be more natural to translate this phrase as a clause with a subject and verb. For example:</w:t>
      </w:r>
    </w:p>
    <w:p>
      <w:pPr/>
      <w:r>
        <w:rPr>
          <w:lang w:val="en_US" w:bidi="en_US"/>
        </w:rPr>
      </w:r>
      <w:r>
        <w:rPr>
          <w:lang w:val="en_US" w:bidi="en_US"/>
        </w:rPr>
        <w:t xml:space="preserve">when I will rule </w:t>
      </w:r>
      <w:r>
        <w:rPr>
          <w:lang w:val="en_US" w:bidi="en_US"/>
        </w:rPr>
        <w:t>the people</w:t>
      </w:r>
      <w:r>
        <w:rPr>
          <w:lang w:val="en_US" w:bidi="en_US"/>
        </w:rPr>
        <w:t xml:space="preserve"> as king</w:t>
      </w:r>
    </w:p>
    <w:p>
      <w:pPr/>
      <w:r>
        <w:rPr>
          <w:lang w:val="en_US" w:bidi="en_US"/>
        </w:rPr>
      </w:r>
      <w:r>
        <w:rPr>
          <w:lang w:val="en_US" w:bidi="en_US"/>
        </w:rPr>
        <w:t>in the future when I rule</w:t>
      </w:r>
      <w:r>
        <w:rPr>
          <w:lang w:val="en_US" w:bidi="en_US"/>
        </w:rPr>
        <w:t>Western Bukidnon Manobo back translation on TW.</w:t>
      </w:r>
    </w:p>
    <w:p>
      <w:pPr>
        <w:pStyle w:val="Heading5"/>
      </w:pPr>
      <w:r>
        <w:rPr>
          <w:lang w:val="en_US" w:bidi="en_US"/>
        </w:rPr>
        <w:t>22:30b</w:t>
      </w:r>
    </w:p>
    <w:p>
      <w:pPr/>
      <w:r>
        <w:rPr>
          <w:lang w:val="en_US" w:bidi="en_US"/>
        </w:rPr>
      </w:r>
      <w:r>
        <w:rPr>
          <w:b/>
          <w:lang w:val="en_US" w:bidi="en_US"/>
        </w:rPr>
        <w:t>and sit on thrones, judging the twelve tribes of Israel.</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will also sit in royal seats to govern the twelve tribes of Israel.</w:t>
      </w:r>
    </w:p>
    <w:p>
      <w:pPr>
        <w:pStyle w:val="ListBullet"/>
        <w:spacing w:line="240" w:lineRule="auto"/>
        <w:ind w:left="720"/>
      </w:pPr>
      <w:r>
        <w:rPr>
          <w:lang w:val="en_US" w:bidi="en_US"/>
        </w:rPr>
      </w:r>
      <w:r>
        <w:rPr>
          <w:lang w:val="en_US" w:bidi="en_US"/>
        </w:rPr>
        <w:t>And so also, you</w:t>
      </w:r>
      <w:r>
        <w:rPr>
          <w:vertAlign w:val="superscript"/>
          <w:lang w:val="en_US" w:bidi="en_US"/>
        </w:rPr>
        <w:t>(plur)</w:t>
      </w:r>
      <w:r>
        <w:rPr>
          <w:lang w:val="en_US" w:bidi="en_US"/>
        </w:rPr>
        <w:t xml:space="preserve"> will rule the twelve clans of </w:t>
      </w:r>
      <w:r>
        <w:rPr>
          <w:lang w:val="en_US" w:bidi="en_US"/>
        </w:rPr>
        <w:t>the people/descendants of</w:t>
      </w:r>
      <w:r>
        <w:rPr>
          <w:lang w:val="en_US" w:bidi="en_US"/>
        </w:rPr>
        <w:t xml:space="preserve"> Israel.”</w:t>
      </w:r>
    </w:p>
    <w:p>
      <w:pPr/>
      <w:r>
        <w:rPr>
          <w:lang w:val="en_US" w:bidi="en_US"/>
        </w:rPr>
      </w:r>
      <w:r>
        <w:rPr>
          <w:b/>
          <w:lang w:val="en_US" w:bidi="en_US"/>
        </w:rPr>
        <w:t>sit on thrones, judging the twelve tribes of Israel:</w:t>
      </w:r>
      <w:r>
        <w:rPr>
          <w:lang w:val="en_US" w:bidi="en_US"/>
        </w:rPr>
        <w:t xml:space="preserve"> This clause tells a second action that the apostles will do as a result of 22:29. In some languages it may be more natural to begin a new sentence or clause here. For example:</w:t>
      </w:r>
    </w:p>
    <w:p>
      <w:pPr/>
      <w:r>
        <w:rPr>
          <w:lang w:val="en_US" w:bidi="en_US"/>
        </w:rPr>
      </w:r>
      <w:r>
        <w:rPr>
          <w:lang w:val="en_US" w:bidi="en_US"/>
        </w:rPr>
        <w:t>And you will sit on thrones, judging the twelve tribes of Israel. (NCV)</w:t>
      </w:r>
    </w:p>
    <w:p>
      <w:pPr/>
      <w:r>
        <w:rPr>
          <w:lang w:val="en_US" w:bidi="en_US"/>
        </w:rPr>
      </w:r>
      <w:r>
        <w:rPr>
          <w:lang w:val="en_US" w:bidi="en_US"/>
        </w:rPr>
        <w:t>This clause indicates that when the apostles sit on their thrones, their work will be to lead and rule people. Some other ways to translate this clause are:</w:t>
      </w:r>
    </w:p>
    <w:p>
      <w:pPr/>
      <w:r>
        <w:rPr>
          <w:lang w:val="en_US" w:bidi="en_US"/>
        </w:rPr>
      </w:r>
      <w:r>
        <w:rPr>
          <w:lang w:val="en_US" w:bidi="en_US"/>
        </w:rPr>
        <w:t>…and you will sit on thrones to rule over the twelve tribes of Israel. (GNT)</w:t>
      </w:r>
    </w:p>
    <w:p>
      <w:pPr/>
      <w:r>
        <w:rPr>
          <w:lang w:val="en_US" w:bidi="en_US"/>
        </w:rPr>
      </w:r>
      <w:r>
        <w:rPr>
          <w:lang w:val="en_US" w:bidi="en_US"/>
        </w:rPr>
        <w:t>…and sit on thrones as judges of the twelve tribes of Israel. (REB)</w:t>
      </w:r>
    </w:p>
    <w:p>
      <w:pPr/>
      <w:r>
        <w:rPr>
          <w:lang w:val="en_US" w:bidi="en_US"/>
        </w:rPr>
      </w:r>
      <w:r>
        <w:rPr>
          <w:lang w:val="en_US" w:bidi="en_US"/>
        </w:rPr>
        <w:t>You will also sit on thrones and judge the twelve tribes of Israel. (GW)</w:t>
      </w:r>
    </w:p>
    <w:p>
      <w:pPr/>
      <w:r>
        <w:rPr>
          <w:lang w:val="en_US" w:bidi="en_US"/>
        </w:rPr>
      </w:r>
      <w:r>
        <w:rPr>
          <w:b/>
          <w:lang w:val="en_US" w:bidi="en_US"/>
        </w:rPr>
        <w:t>sit on thrones:</w:t>
      </w:r>
      <w:r>
        <w:rPr>
          <w:lang w:val="en_US" w:bidi="en_US"/>
        </w:rPr>
        <w:t xml:space="preserve"> The word </w:t>
      </w:r>
      <w:r>
        <w:rPr>
          <w:i/>
          <w:lang w:val="en_US" w:bidi="en_US"/>
        </w:rPr>
        <w:t>thrones</w:t>
      </w:r>
      <w:r>
        <w:rPr>
          <w:lang w:val="en_US" w:bidi="en_US"/>
        </w:rPr>
        <w:t xml:space="preserve"> refers to special seats that are used by kings. A king often sits on his throne when he speaks to his people as their leader. In this context the phrase </w:t>
      </w:r>
      <w:r>
        <w:rPr>
          <w:i/>
          <w:lang w:val="en_US" w:bidi="en_US"/>
        </w:rPr>
        <w:t>sit on thrones</w:t>
      </w:r>
      <w:r>
        <w:rPr>
          <w:lang w:val="en_US" w:bidi="en_US"/>
        </w:rPr>
        <w:t xml:space="preserve"> is a figure of speech. It indicates that the apostles will rule people with authority, as kings rule.</w:t>
      </w:r>
    </w:p>
    <w:p>
      <w:pPr/>
      <w:r>
        <w:rPr>
          <w:lang w:val="en_US" w:bidi="en_US"/>
        </w:rPr>
      </w:r>
      <w:r>
        <w:rPr>
          <w:lang w:val="en_US" w:bidi="en_US"/>
        </w:rPr>
        <w:t>Some ways to translate this figure of speech are:</w:t>
      </w:r>
    </w:p>
    <w:p>
      <w:pPr>
        <w:pStyle w:val="ListBullet"/>
        <w:spacing w:line="240" w:lineRule="auto"/>
        <w:ind w:left="720"/>
      </w:pPr>
      <w:r>
        <w:rPr>
          <w:lang w:val="en_US" w:bidi="en_US"/>
        </w:rPr>
      </w:r>
      <w:r>
        <w:rPr>
          <w:lang w:val="en_US" w:bidi="en_US"/>
        </w:rPr>
        <w:t>Translate the figure of speech by referring in some way to a seat or to sitting. For example:</w:t>
      </w:r>
      <w:r>
        <w:rPr>
          <w:lang w:val="en_US" w:bidi="en_US"/>
        </w:rPr>
        <w:t>sit on king’s chairs</w:t>
      </w:r>
      <w:r>
        <w:rPr>
          <w:lang w:val="en_US" w:bidi="en_US"/>
        </w:rPr>
        <w:t>sit in places/seats of honor</w:t>
      </w:r>
    </w:p>
    <w:p>
      <w:pPr>
        <w:pStyle w:val="ListBullet"/>
        <w:spacing w:line="240" w:lineRule="auto"/>
        <w:ind w:left="720"/>
      </w:pPr>
      <w:r>
        <w:rPr>
          <w:lang w:val="en_US" w:bidi="en_US"/>
        </w:rPr>
      </w:r>
      <w:r>
        <w:rPr>
          <w:lang w:val="en_US" w:bidi="en_US"/>
        </w:rPr>
        <w:t>Translate the meaning without the figure of speech:</w:t>
      </w:r>
      <w:r>
        <w:rPr>
          <w:lang w:val="en_US" w:bidi="en_US"/>
        </w:rPr>
        <w:t>rule as kings</w:t>
      </w:r>
      <w:r>
        <w:rPr>
          <w:lang w:val="en_US" w:bidi="en_US"/>
        </w:rPr>
        <w:t>be honored rulers/leaders</w:t>
      </w:r>
    </w:p>
    <w:p>
      <w:pPr/>
      <w:r>
        <w:rPr>
          <w:lang w:val="en_US" w:bidi="en_US"/>
        </w:rPr>
      </w:r>
      <w:r>
        <w:rPr>
          <w:b/>
          <w:lang w:val="en_US" w:bidi="en_US"/>
        </w:rPr>
        <w:t>judging the twelve tribes of Israel:</w:t>
      </w:r>
      <w:r>
        <w:rPr>
          <w:lang w:val="en_US" w:bidi="en_US"/>
        </w:rPr>
        <w:t xml:space="preserve"> The Greek word that the BSB translates as </w:t>
      </w:r>
      <w:r>
        <w:rPr>
          <w:i/>
          <w:lang w:val="en_US" w:bidi="en_US"/>
        </w:rPr>
        <w:t>judging</w:t>
      </w:r>
      <w:r>
        <w:rPr>
          <w:lang w:val="en_US" w:bidi="en_US"/>
        </w:rPr>
        <w:t xml:space="preserve"> is used in different ways. It can refer to deciding whether people are guilty or innocent, and deciding how the guilty people must be punished. It can also refer more generally to whatever rulers do as they govern a group of people. These activities include judging and many other actions.</w:t>
      </w:r>
    </w:p>
    <w:p>
      <w:pPr/>
      <w:r>
        <w:rPr>
          <w:lang w:val="en_US" w:bidi="en_US"/>
        </w:rPr>
      </w:r>
      <w:r>
        <w:rPr>
          <w:lang w:val="en_US" w:bidi="en_US"/>
        </w:rPr>
        <w:t>It this context it is good to translate in a general way. This agrees with 22:29, where Jesus indicated that he was giving his apostles authority to rule. Jesus probably implied here that the apostles would have general responsibility to govern the tribes of Israel.</w:t>
      </w:r>
      <w:r>
        <w:rPr>
          <w:lang w:val="en_US" w:bidi="en_US"/>
        </w:rPr>
        <w:t>As Nolland (p. 1067) says, “In Luke…a wider sense, though certainly not without a judicial component, seems to be altogether more likely, since in this case the activity takes place as part of ‘royal rule.’ We may want to think in terms of the judicial function of OT kings (e.g., 2 Samuel 15:1–6; 1 Kings 3:16–28) or of the broad sense of judging associated with the judges raised up by God (e.g., Judges 3:9, 3:15; 6:11–18).” Green (p. 770) says that “although the verb Luke uses may suggest a judiciary function for the apostles, the notion of ‘regal authority’ (verse 29) and the presence in Israel’s past of ‘judges’ whose role was actually ‘ruling’ encourages Jesus’ identification of the apostles as empowered leaders. Indeed, it is again here that we see the significance of Luke’s identification of Jesus’ followers at the table as ‘apostles,’ whose appointment is an anticipation of the restoration of Israel as God’s people and who, therefore, are commissioned to govern the renewed people of God.”</w:t>
      </w:r>
    </w:p>
    <w:p>
      <w:pPr/>
      <w:r>
        <w:rPr>
          <w:lang w:val="en_US" w:bidi="en_US"/>
        </w:rPr>
      </w:r>
      <w:r>
        <w:rPr>
          <w:lang w:val="en_US" w:bidi="en_US"/>
        </w:rPr>
        <w:t xml:space="preserve">Some other ways to translate </w:t>
      </w:r>
      <w:r>
        <w:rPr>
          <w:i/>
          <w:lang w:val="en_US" w:bidi="en_US"/>
        </w:rPr>
        <w:t>judging the twelve tribes of Israel</w:t>
      </w:r>
      <w:r>
        <w:rPr>
          <w:lang w:val="en_US" w:bidi="en_US"/>
        </w:rPr>
        <w:t xml:space="preserve"> are:</w:t>
      </w:r>
    </w:p>
    <w:p>
      <w:pPr/>
      <w:r>
        <w:rPr>
          <w:lang w:val="en_US" w:bidi="en_US"/>
        </w:rPr>
      </w:r>
      <w:r>
        <w:rPr>
          <w:lang w:val="en_US" w:bidi="en_US"/>
        </w:rPr>
        <w:t>to rule over the twelve tribes of Israel (GNT)</w:t>
      </w:r>
    </w:p>
    <w:p>
      <w:pPr/>
      <w:r>
        <w:rPr>
          <w:lang w:val="en_US" w:bidi="en_US"/>
        </w:rPr>
      </w:r>
      <w:r>
        <w:rPr>
          <w:lang w:val="en_US" w:bidi="en_US"/>
        </w:rPr>
        <w:t>governing the twelve tribes of Israel</w:t>
      </w:r>
    </w:p>
    <w:p>
      <w:pPr/>
      <w:r>
        <w:rPr>
          <w:lang w:val="en_US" w:bidi="en_US"/>
        </w:rPr>
      </w:r>
      <w:r>
        <w:rPr>
          <w:b/>
          <w:lang w:val="en_US" w:bidi="en_US"/>
        </w:rPr>
        <w:t>the twelve tribes of Israel:</w:t>
      </w:r>
      <w:r>
        <w:rPr>
          <w:lang w:val="en_US" w:bidi="en_US"/>
        </w:rPr>
        <w:t xml:space="preserve"> The phrase </w:t>
      </w:r>
      <w:r>
        <w:rPr>
          <w:i/>
          <w:lang w:val="en_US" w:bidi="en_US"/>
        </w:rPr>
        <w:t>the twelve tribes of Israel</w:t>
      </w:r>
      <w:r>
        <w:rPr>
          <w:lang w:val="en_US" w:bidi="en_US"/>
        </w:rPr>
        <w:t xml:space="preserve"> refers to the descendants of the twelve sons of Israel. Each of his sons had many descendants, and these descendants became large groups. Languages have different terms to describe such groups of descendants, such as “clans” or “tribes.” These tribes together formed the nation called Israel.</w:t>
      </w:r>
    </w:p>
    <w:p>
      <w:pPr/>
      <w:r>
        <w:rPr>
          <w:lang w:val="en_US" w:bidi="en_US"/>
        </w:rPr>
      </w:r>
      <w:r>
        <w:rPr>
          <w:lang w:val="en_US" w:bidi="en_US"/>
        </w:rPr>
        <w:t>Some other ways to translate this phrase are:</w:t>
      </w:r>
    </w:p>
    <w:p>
      <w:pPr/>
      <w:r>
        <w:rPr>
          <w:lang w:val="en_US" w:bidi="en_US"/>
        </w:rPr>
      </w:r>
      <w:r>
        <w:rPr>
          <w:lang w:val="en_US" w:bidi="en_US"/>
        </w:rPr>
        <w:t>the descendants of the twelve sons of Israel</w:t>
      </w:r>
      <w:r>
        <w:rPr>
          <w:lang w:val="en_US" w:bidi="en_US"/>
        </w:rPr>
        <w:t>Western Bukidnon Manobo back translation on TW.</w:t>
      </w:r>
    </w:p>
    <w:p>
      <w:pPr/>
      <w:r>
        <w:rPr>
          <w:lang w:val="en_US" w:bidi="en_US"/>
        </w:rPr>
      </w:r>
      <w:r>
        <w:rPr>
          <w:lang w:val="en_US" w:bidi="en_US"/>
        </w:rPr>
        <w:t>the twelve clans/groups among the Israel people</w:t>
      </w:r>
    </w:p>
    <w:p>
      <w:pPr/>
      <w:r>
        <w:rPr>
          <w:lang w:val="en_US" w:bidi="en_US"/>
        </w:rPr>
      </w:r>
      <w:r>
        <w:rPr>
          <w:lang w:val="en_US" w:bidi="en_US"/>
        </w:rPr>
        <w:t>Use a natural term in your language.</w:t>
      </w:r>
    </w:p>
    <w:p>
      <w:pPr>
        <w:pStyle w:val="Heading6"/>
      </w:pPr>
      <w:r>
        <w:rPr>
          <w:b/>
          <w:lang w:val="en_US" w:bidi="en_US"/>
        </w:rPr>
        <w:t>General Comment on 22:29–30</w:t>
      </w:r>
    </w:p>
    <w:p>
      <w:pPr/>
      <w:r>
        <w:rPr>
          <w:lang w:val="en_US" w:bidi="en_US"/>
        </w:rPr>
      </w:r>
      <w:r>
        <w:rPr>
          <w:lang w:val="en_US" w:bidi="en_US"/>
        </w:rPr>
        <w:t>The clauses in 22:30 tell the result of the statement in 22:29. In some languages the context will make it clear that 22:30 is the result of 22:29. In those languages a conjunction may not be needed. In other languages it will be necessary to use a special conjunction or other way to make the connection clear. Some ways to translate these verses in English are:</w:t>
      </w:r>
    </w:p>
    <w:p>
      <w:pPr/>
      <w:r>
        <w:rPr>
          <w:lang w:val="en_US" w:bidi="en_US"/>
        </w:rPr>
      </w:r>
      <w:r>
        <w:rPr>
          <w:vertAlign w:val="superscript"/>
          <w:lang w:val="en_US" w:bidi="en_US"/>
        </w:rPr>
        <w:t>29</w:t>
      </w:r>
      <w:r>
        <w:rPr>
          <w:lang w:val="en_US" w:bidi="en_US"/>
        </w:rPr>
        <w:t xml:space="preserve">and just as my Father has given me the right to rule, so I will give you the same right. </w:t>
      </w:r>
      <w:r>
        <w:rPr>
          <w:vertAlign w:val="superscript"/>
          <w:lang w:val="en_US" w:bidi="en_US"/>
        </w:rPr>
        <w:t>30a</w:t>
      </w:r>
      <w:r>
        <w:rPr>
          <w:lang w:val="en_US" w:bidi="en_US"/>
        </w:rPr>
        <w:t>You will eat and drink at my table in my Kingdom, and you will sit on thrones to rule over the twelve tribes of Israel. (GNT)</w:t>
      </w:r>
    </w:p>
    <w:p>
      <w:pPr/>
      <w:r>
        <w:rPr>
          <w:lang w:val="en_US" w:bidi="en_US"/>
        </w:rPr>
      </w:r>
      <w:r>
        <w:rPr>
          <w:vertAlign w:val="superscript"/>
          <w:lang w:val="en_US" w:bidi="en_US"/>
        </w:rPr>
        <w:t>29</w:t>
      </w:r>
      <w:r>
        <w:rPr>
          <w:lang w:val="en_US" w:bidi="en_US"/>
        </w:rPr>
        <w:t xml:space="preserve">Now I give you authority to rule </w:t>
      </w:r>
      <w:r>
        <w:rPr>
          <w:lang w:val="en_US" w:bidi="en_US"/>
        </w:rPr>
        <w:t>people</w:t>
      </w:r>
      <w:r>
        <w:rPr>
          <w:lang w:val="en_US" w:bidi="en_US"/>
        </w:rPr>
        <w:t xml:space="preserve">, just as my Father gave me authority. </w:t>
      </w:r>
      <w:r>
        <w:rPr>
          <w:vertAlign w:val="superscript"/>
          <w:lang w:val="en_US" w:bidi="en_US"/>
        </w:rPr>
        <w:t>30</w:t>
      </w:r>
      <w:r>
        <w:rPr>
          <w:lang w:val="en_US" w:bidi="en_US"/>
        </w:rPr>
        <w:t>So when I come to rule, you will eat with me at my table, and you will also rule over the twelve tribes of Israel.</w:t>
      </w:r>
    </w:p>
    <w:p>
      <w:pPr/>
      <w:r>
        <w:rPr>
          <w:lang w:val="en_US" w:bidi="en_US"/>
        </w:rPr>
      </w:r>
      <w:r>
        <w:rPr>
          <w:lang w:val="en_US" w:bidi="en_US"/>
        </w:rPr>
        <w:t>Use a natural way in your language to show that 22:30 is the result of 22:29.</w:t>
      </w:r>
      <w:r>
        <w:rPr>
          <w:lang w:val="en_US" w:bidi="en_US"/>
        </w:rPr>
      </w:r>
      <w:r>
        <w:rPr>
          <w:lang w:val="en_US" w:bidi="en_US"/>
        </w:rPr>
      </w:r>
    </w:p>
    <w:p>
      <w:pPr/>
      <w:r>
        <w:rPr>
          <w:lang w:val="en_US" w:bidi="en_US"/>
        </w:rPr>
      </w:r>
    </w:p>
    <w:p>
      <w:pPr>
        <w:pStyle w:val="Heading2"/>
      </w:pPr>
      <w:r>
        <w:rPr>
          <w:lang w:val="en_US" w:bidi="en_US"/>
        </w:rPr>
        <w:t>Luke 22:31</w:t>
      </w:r>
      <w:r>
        <w:rPr>
          <w:lang w:val="en_US" w:bidi="en_US"/>
        </w:rPr>
      </w:r>
    </w:p>
    <w:p>
      <w:pPr>
        <w:pStyle w:val="Heading4"/>
      </w:pPr>
      <w:r>
        <w:rPr>
          <w:lang w:val="en_US" w:bidi="en_US"/>
        </w:rPr>
        <w:t>Section 22:31–38: Jesus predicted that Peter would deny him</w:t>
      </w:r>
    </w:p>
    <w:p>
      <w:pPr/>
      <w:r>
        <w:rPr>
          <w:lang w:val="en_US" w:bidi="en_US"/>
        </w:rPr>
      </w:r>
      <w:r>
        <w:rPr>
          <w:lang w:val="en_US" w:bidi="en_US"/>
        </w:rPr>
        <w:t>In this section Jesus warned Peter that Satan wanted to test the disciples severely. Peter told Jesus that he would always be faithful to him, but Jesus said to him, “This same night you (Peter) will say three times that you do not know me.”</w:t>
      </w:r>
    </w:p>
    <w:p>
      <w:pPr/>
      <w:r>
        <w:rPr>
          <w:lang w:val="en_US" w:bidi="en_US"/>
        </w:rPr>
      </w:r>
      <w:r>
        <w:rPr>
          <w:lang w:val="en_US" w:bidi="en_US"/>
        </w:rPr>
        <w:t>In the second part of the section, Jesus reminded his apostles of the time that he sent them out to preach and heal (chapters 9–10). At that time, they did not need to take anything with them. People welcomed them and took care of them as they preached about Jesus. But now, people would say that Jesus was an evil doer, just as the prophets had written in the Scriptures. So Jesus warned his apostles to prepare for this time of difficulty and danger.</w:t>
      </w:r>
    </w:p>
    <w:p>
      <w:pPr/>
      <w:r>
        <w:rPr>
          <w:lang w:val="en_US" w:bidi="en_US"/>
        </w:rPr>
      </w:r>
      <w:r>
        <w:rPr>
          <w:lang w:val="en_US" w:bidi="en_US"/>
        </w:rPr>
        <w:t>Some other examples of headings for this section are:</w:t>
      </w:r>
    </w:p>
    <w:p>
      <w:pPr/>
      <w:r>
        <w:rPr>
          <w:lang w:val="en_US" w:bidi="en_US"/>
        </w:rPr>
      </w:r>
      <w:r>
        <w:rPr>
          <w:lang w:val="en_US" w:bidi="en_US"/>
        </w:rPr>
        <w:t>Jesus Predicts Peter’s Denial (GNT)</w:t>
      </w:r>
    </w:p>
    <w:p>
      <w:pPr/>
      <w:r>
        <w:rPr>
          <w:lang w:val="en_US" w:bidi="en_US"/>
        </w:rPr>
      </w:r>
      <w:r>
        <w:rPr>
          <w:lang w:val="en_US" w:bidi="en_US"/>
        </w:rPr>
        <w:t>Jesus’ Disciples Will Be Tested (CEV)</w:t>
      </w:r>
    </w:p>
    <w:p>
      <w:pPr/>
      <w:r>
        <w:rPr>
          <w:lang w:val="en_US" w:bidi="en_US"/>
        </w:rPr>
      </w:r>
      <w:r>
        <w:rPr>
          <w:lang w:val="en_US" w:bidi="en_US"/>
        </w:rPr>
        <w:t>There are parallel passages for this section in Matthew 26:31–35, Mark 14:27–31, and John 13:36–38.</w:t>
      </w:r>
    </w:p>
    <w:p>
      <w:pPr>
        <w:pStyle w:val="Heading5"/>
      </w:pPr>
      <w:r>
        <w:rPr>
          <w:lang w:val="en_US" w:bidi="en_US"/>
        </w:rPr>
        <w:t>22:31a</w:t>
      </w:r>
    </w:p>
    <w:p>
      <w:pPr/>
      <w:r>
        <w:rPr>
          <w:lang w:val="en_US" w:bidi="en_US"/>
        </w:rPr>
      </w:r>
      <w:r>
        <w:rPr>
          <w:b/>
          <w:lang w:val="en_US" w:bidi="en_US"/>
        </w:rPr>
        <w:t>Simon, Simon,</w:t>
      </w:r>
    </w:p>
    <w:p>
      <w:pPr>
        <w:pStyle w:val="ListBullet"/>
        <w:spacing w:line="240" w:lineRule="auto"/>
        <w:ind w:left="720"/>
      </w:pPr>
      <w:r>
        <w:rPr>
          <w:lang w:val="en_US" w:bidi="en_US"/>
        </w:rPr>
      </w:r>
      <w:r>
        <w:rPr>
          <w:lang w:val="en_US" w:bidi="en_US"/>
        </w:rPr>
        <w:t>¶ “Listen carefully, Simon.</w:t>
      </w:r>
    </w:p>
    <w:p>
      <w:pPr>
        <w:pStyle w:val="ListBullet"/>
        <w:spacing w:line="240" w:lineRule="auto"/>
        <w:ind w:left="720"/>
      </w:pPr>
      <w:r>
        <w:rPr>
          <w:lang w:val="en_US" w:bidi="en_US"/>
        </w:rPr>
      </w:r>
      <w:r>
        <w:rPr>
          <w:lang w:val="en_US" w:bidi="en_US"/>
        </w:rPr>
        <w:t xml:space="preserve">¶ </w:t>
      </w:r>
      <w:r>
        <w:rPr>
          <w:lang w:val="en_US" w:bidi="en_US"/>
        </w:rPr>
        <w:t>Then Jesus said to Simon Peter,</w:t>
      </w:r>
      <w:r>
        <w:rPr>
          <w:lang w:val="en_US" w:bidi="en_US"/>
        </w:rPr>
        <w:t xml:space="preserve"> “Simon, I have something important to tell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Then Jesus spoke to</w:t>
      </w:r>
      <w:r>
        <w:rPr>
          <w:lang w:val="en_US" w:bidi="en_US"/>
        </w:rPr>
        <w:t xml:space="preserve"> </w:t>
      </w:r>
      <w:r>
        <w:rPr>
          <w:lang w:val="en_US" w:bidi="en_US"/>
        </w:rPr>
        <w:t>Peter, whose original name was</w:t>
      </w:r>
      <w:r>
        <w:rPr>
          <w:lang w:val="en_US" w:bidi="en_US"/>
        </w:rPr>
        <w:t xml:space="preserve"> Simon, saying, “Listen!</w:t>
      </w:r>
    </w:p>
    <w:p>
      <w:pPr/>
      <w:r>
        <w:rPr>
          <w:lang w:val="en_US" w:bidi="en_US"/>
        </w:rPr>
      </w:r>
      <w:r>
        <w:rPr>
          <w:lang w:val="en_US" w:bidi="en_US"/>
        </w:rPr>
        <w:t>At the end of the preceding section, Jesus was speaking to all the apostles. Here in 22:31 he spoke to Peter. In many languages it may be helpful to introduce his words to Peter with a short phrase.</w:t>
      </w:r>
      <w:r>
        <w:rPr>
          <w:lang w:val="en_US" w:bidi="en_US"/>
        </w:rPr>
        <w:t>Some Greek manuscripts include the phrase “and the Lord said.” Of English versions, the GW, KJV, and CEV follow these manuscripts. Metzger (1994, p. 150) indicates with a B decision that it is not likely that these words were included in the original text. However, in many languages it is helpful or even necessary to include a phrase like this for clarity.</w:t>
      </w:r>
      <w:r>
        <w:rPr>
          <w:lang w:val="en_US" w:bidi="en_US"/>
        </w:rPr>
        <w:t xml:space="preserve"> For example:</w:t>
      </w:r>
    </w:p>
    <w:p>
      <w:pPr/>
      <w:r>
        <w:rPr>
          <w:lang w:val="en_US" w:bidi="en_US"/>
        </w:rPr>
      </w:r>
      <w:r>
        <w:rPr>
          <w:lang w:val="en_US" w:bidi="en_US"/>
        </w:rPr>
        <w:t>Then Jesus said to Peter</w:t>
      </w:r>
    </w:p>
    <w:p>
      <w:pPr/>
      <w:r>
        <w:rPr>
          <w:lang w:val="en_US" w:bidi="en_US"/>
        </w:rPr>
      </w:r>
      <w:r>
        <w:rPr>
          <w:lang w:val="en_US" w:bidi="en_US"/>
        </w:rPr>
        <w:t>When Jesus spoke to Peter in this verse, he used his original name “Simon.” In some languages it is helpful to include the name Simon in the introductory phrase. For example:</w:t>
      </w:r>
    </w:p>
    <w:p>
      <w:pPr/>
      <w:r>
        <w:rPr>
          <w:lang w:val="en_US" w:bidi="en_US"/>
        </w:rPr>
      </w:r>
      <w:r>
        <w:rPr>
          <w:lang w:val="en_US" w:bidi="en_US"/>
        </w:rPr>
        <w:t>And Jesus said to Simon Peter</w:t>
      </w:r>
      <w:r>
        <w:rPr>
          <w:lang w:val="en_US" w:bidi="en_US"/>
        </w:rPr>
        <w:t>Western Bukidnon Manobo back translation on TW.</w:t>
      </w:r>
    </w:p>
    <w:p>
      <w:pPr/>
      <w:r>
        <w:rPr>
          <w:lang w:val="en_US" w:bidi="en_US"/>
        </w:rPr>
      </w:r>
      <w:r>
        <w:rPr>
          <w:b/>
          <w:lang w:val="en_US" w:bidi="en_US"/>
        </w:rPr>
        <w:t>Simon, Simon:</w:t>
      </w:r>
      <w:r>
        <w:rPr>
          <w:lang w:val="en_US" w:bidi="en_US"/>
        </w:rPr>
        <w:t xml:space="preserve"> </w:t>
      </w:r>
      <w:r>
        <w:rPr>
          <w:i/>
          <w:lang w:val="en_US" w:bidi="en_US"/>
        </w:rPr>
        <w:t>Simon</w:t>
      </w:r>
      <w:r>
        <w:rPr>
          <w:lang w:val="en_US" w:bidi="en_US"/>
        </w:rPr>
        <w:t xml:space="preserve"> was Peter’s original name. In 6:14 Luke mentioned that Jesus gave Simon the name Peter. After that verse, he is usually called “Simon Peter” in Luke. However, you should not add the name “Peter” to Jesus’ words here. The name Peter means “rock,” and it implies strength and courage. Jesus predicted in this section that Satan was about to sift Simon and the other disciples like wheat.</w:t>
      </w:r>
    </w:p>
    <w:p>
      <w:pPr/>
      <w:r>
        <w:rPr>
          <w:lang w:val="en_US" w:bidi="en_US"/>
        </w:rPr>
      </w:r>
      <w:r>
        <w:rPr>
          <w:lang w:val="en_US" w:bidi="en_US"/>
        </w:rPr>
        <w:t>Jesus said Simon’s name twice to emphasize what he was about to tell Simon. After Simon’s name, the Greek text has a word that versions such as the RSV translate as “behold.” This word emphasizes that Jesus wanted Simon to pay special attention to what he was about to say. It does not imply that Simon had not been listening to Jesus before.</w:t>
      </w:r>
    </w:p>
    <w:p>
      <w:pPr/>
      <w:r>
        <w:rPr>
          <w:lang w:val="en_US" w:bidi="en_US"/>
        </w:rPr>
      </w:r>
      <w:r>
        <w:rPr>
          <w:lang w:val="en_US" w:bidi="en_US"/>
        </w:rPr>
        <w:t>Here Jesus was about to warn Simon about a great danger. Languages have different ways to introduce such warnings and to emphasize them. In some languages, it may not be natural to repeat Simon’s name in this context. Be sure to translate the warning in a natural and emphatic way in your language.</w:t>
      </w:r>
    </w:p>
    <w:p>
      <w:pPr/>
      <w:r>
        <w:rPr>
          <w:lang w:val="en_US" w:bidi="en_US"/>
        </w:rPr>
      </w:r>
      <w:r>
        <w:rPr>
          <w:lang w:val="en_US" w:bidi="en_US"/>
        </w:rPr>
        <w:t>Some other ways to do that are:</w:t>
      </w:r>
    </w:p>
    <w:p>
      <w:pPr/>
      <w:r>
        <w:rPr>
          <w:lang w:val="en_US" w:bidi="en_US"/>
        </w:rPr>
      </w:r>
      <w:r>
        <w:rPr>
          <w:lang w:val="en_US" w:bidi="en_US"/>
        </w:rPr>
        <w:t>Simon, listen to me! (CEV)</w:t>
      </w:r>
    </w:p>
    <w:p>
      <w:pPr/>
      <w:r>
        <w:rPr>
          <w:lang w:val="en_US" w:bidi="en_US"/>
        </w:rPr>
      </w:r>
      <w:r>
        <w:rPr>
          <w:lang w:val="en_US" w:bidi="en_US"/>
        </w:rPr>
        <w:t>Hey Simon, I have something to say to you.</w:t>
      </w:r>
      <w:r>
        <w:rPr>
          <w:lang w:val="en_US" w:bidi="en_US"/>
        </w:rPr>
        <w:t>Western Bukidnon Manobo back translation on TW.</w:t>
      </w:r>
    </w:p>
    <w:p>
      <w:pPr/>
      <w:r>
        <w:rPr>
          <w:lang w:val="en_US" w:bidi="en_US"/>
        </w:rPr>
      </w:r>
      <w:r>
        <w:rPr>
          <w:lang w:val="en_US" w:bidi="en_US"/>
        </w:rPr>
        <w:t>Oh Simon, I must warn/tell you about this:</w:t>
      </w:r>
    </w:p>
    <w:p>
      <w:pPr/>
      <w:r>
        <w:rPr>
          <w:lang w:val="en_US" w:bidi="en_US"/>
        </w:rPr>
      </w:r>
      <w:r>
        <w:rPr>
          <w:lang w:val="en_US" w:bidi="en_US"/>
        </w:rPr>
        <w:t xml:space="preserve">Listen well, Simon, </w:t>
      </w:r>
      <w:r>
        <w:rPr>
          <w:lang w:val="en_US" w:bidi="en_US"/>
        </w:rPr>
        <w:t>and remember this</w:t>
      </w:r>
      <w:r>
        <w:rPr>
          <w:lang w:val="en_US" w:bidi="en_US"/>
        </w:rPr>
        <w:t>:</w:t>
      </w:r>
    </w:p>
    <w:p>
      <w:pPr>
        <w:pStyle w:val="Heading5"/>
      </w:pPr>
      <w:r>
        <w:rPr>
          <w:lang w:val="en_US" w:bidi="en_US"/>
        </w:rPr>
        <w:t>22:31b</w:t>
      </w:r>
    </w:p>
    <w:p>
      <w:pPr/>
      <w:r>
        <w:rPr>
          <w:lang w:val="en_US" w:bidi="en_US"/>
        </w:rPr>
      </w:r>
      <w:r>
        <w:rPr>
          <w:b/>
          <w:lang w:val="en_US" w:bidi="en_US"/>
        </w:rPr>
        <w:t>Satan has asked to</w:t>
      </w:r>
    </w:p>
    <w:p>
      <w:pPr>
        <w:pStyle w:val="ListBullet"/>
        <w:spacing w:line="240" w:lineRule="auto"/>
        <w:ind w:left="720"/>
      </w:pPr>
      <w:r>
        <w:rPr>
          <w:lang w:val="en_US" w:bidi="en_US"/>
        </w:rPr>
      </w:r>
      <w:r>
        <w:rPr>
          <w:lang w:val="en_US" w:bidi="en_US"/>
        </w:rPr>
        <w:t xml:space="preserve">Satan has demanded </w:t>
      </w:r>
      <w:r>
        <w:rPr>
          <w:lang w:val="en_US" w:bidi="en_US"/>
        </w:rPr>
        <w:t>the right/opportunity</w:t>
      </w:r>
      <w:r>
        <w:rPr>
          <w:lang w:val="en_US" w:bidi="en_US"/>
        </w:rPr>
        <w:t xml:space="preserve"> to</w:t>
      </w:r>
    </w:p>
    <w:p>
      <w:pPr>
        <w:pStyle w:val="ListBullet"/>
        <w:spacing w:line="240" w:lineRule="auto"/>
        <w:ind w:left="720"/>
      </w:pPr>
      <w:r>
        <w:rPr>
          <w:lang w:val="en_US" w:bidi="en_US"/>
        </w:rPr>
      </w:r>
      <w:r>
        <w:rPr>
          <w:lang w:val="en_US" w:bidi="en_US"/>
        </w:rPr>
        <w:t xml:space="preserve">Satan asked </w:t>
      </w:r>
      <w:r>
        <w:rPr>
          <w:lang w:val="en_US" w:bidi="en_US"/>
        </w:rPr>
        <w:t>God</w:t>
      </w:r>
      <w:r>
        <w:rPr>
          <w:lang w:val="en_US" w:bidi="en_US"/>
        </w:rPr>
        <w:t xml:space="preserve"> </w:t>
      </w:r>
      <w:r>
        <w:rPr>
          <w:lang w:val="en_US" w:bidi="en_US"/>
        </w:rPr>
        <w:t>for permission</w:t>
      </w:r>
      <w:r>
        <w:rPr>
          <w:lang w:val="en_US" w:bidi="en_US"/>
        </w:rPr>
        <w:t xml:space="preserve"> to</w:t>
      </w:r>
    </w:p>
    <w:p>
      <w:pPr/>
      <w:r>
        <w:rPr>
          <w:lang w:val="en_US" w:bidi="en_US"/>
        </w:rPr>
      </w:r>
      <w:r>
        <w:rPr>
          <w:lang w:val="en_US" w:bidi="en_US"/>
        </w:rPr>
        <w:t>Satan’s request in this clause is similar to what he requested to do to Job in Job 1:6–12 and 2:1–6.</w:t>
      </w:r>
    </w:p>
    <w:p>
      <w:pPr/>
      <w:r>
        <w:rPr>
          <w:lang w:val="en_US" w:bidi="en_US"/>
        </w:rPr>
      </w:r>
      <w:r>
        <w:rPr>
          <w:b/>
          <w:lang w:val="en_US" w:bidi="en_US"/>
        </w:rPr>
        <w:t>Satan has asked to:</w:t>
      </w:r>
      <w:r>
        <w:rPr>
          <w:lang w:val="en_US" w:bidi="en_US"/>
        </w:rPr>
        <w:t xml:space="preserve"> The Greek verb that the BSB translates as </w:t>
      </w:r>
      <w:r>
        <w:rPr>
          <w:i/>
          <w:lang w:val="en_US" w:bidi="en_US"/>
        </w:rPr>
        <w:t>has asked to</w:t>
      </w:r>
      <w:r>
        <w:rPr>
          <w:lang w:val="en_US" w:bidi="en_US"/>
        </w:rPr>
        <w:t xml:space="preserve"> means “to request or demand.” Here it indicates that Satan requested or demanded to be allowed to do something. It does not imply that he asked a question. Some other ways to translate this are:</w:t>
      </w:r>
    </w:p>
    <w:p>
      <w:pPr/>
      <w:r>
        <w:rPr>
          <w:lang w:val="en_US" w:bidi="en_US"/>
        </w:rPr>
      </w:r>
      <w:r>
        <w:rPr>
          <w:lang w:val="en_US" w:bidi="en_US"/>
        </w:rPr>
        <w:t>Satan has demanded to (NRSV)</w:t>
      </w:r>
    </w:p>
    <w:p>
      <w:pPr/>
      <w:r>
        <w:rPr>
          <w:lang w:val="en_US" w:bidi="en_US"/>
        </w:rPr>
      </w:r>
      <w:r>
        <w:rPr>
          <w:lang w:val="en_US" w:bidi="en_US"/>
        </w:rPr>
        <w:t>Satan has demanded the right to (CEV)</w:t>
      </w:r>
    </w:p>
    <w:p>
      <w:pPr/>
      <w:r>
        <w:rPr>
          <w:lang w:val="en_US" w:bidi="en_US"/>
        </w:rPr>
      </w:r>
      <w:r>
        <w:rPr>
          <w:lang w:val="en_US" w:bidi="en_US"/>
        </w:rPr>
        <w:t xml:space="preserve">Satan has requested </w:t>
      </w:r>
      <w:r>
        <w:rPr>
          <w:lang w:val="en_US" w:bidi="en_US"/>
        </w:rPr>
        <w:t>opportunity</w:t>
      </w:r>
      <w:r>
        <w:rPr>
          <w:lang w:val="en_US" w:bidi="en_US"/>
        </w:rPr>
        <w:t xml:space="preserve"> to</w:t>
      </w:r>
    </w:p>
    <w:p>
      <w:pPr/>
      <w:r>
        <w:rPr>
          <w:lang w:val="en_US" w:bidi="en_US"/>
        </w:rPr>
      </w:r>
      <w:r>
        <w:rPr>
          <w:lang w:val="en_US" w:bidi="en_US"/>
        </w:rPr>
        <w:t>In this context God was the one whom Satan asked for permission. In some languages it may be necessary to make this explicit. For example:</w:t>
      </w:r>
    </w:p>
    <w:p>
      <w:pPr/>
      <w:r>
        <w:rPr>
          <w:lang w:val="en_US" w:bidi="en_US"/>
        </w:rPr>
      </w:r>
      <w:r>
        <w:rPr>
          <w:lang w:val="en_US" w:bidi="en_US"/>
        </w:rPr>
        <w:t xml:space="preserve">Satan has demanded </w:t>
      </w:r>
      <w:r>
        <w:rPr>
          <w:lang w:val="en_US" w:bidi="en_US"/>
        </w:rPr>
        <w:t>permission</w:t>
      </w:r>
      <w:r>
        <w:rPr>
          <w:lang w:val="en_US" w:bidi="en_US"/>
        </w:rPr>
        <w:t xml:space="preserve"> </w:t>
      </w:r>
      <w:r>
        <w:rPr>
          <w:lang w:val="en_US" w:bidi="en_US"/>
        </w:rPr>
        <w:t>from God</w:t>
      </w:r>
    </w:p>
    <w:p>
      <w:pPr/>
      <w:r>
        <w:rPr>
          <w:lang w:val="en_US" w:bidi="en_US"/>
        </w:rPr>
      </w:r>
      <w:r>
        <w:rPr>
          <w:lang w:val="en_US" w:bidi="en_US"/>
        </w:rPr>
        <w:t xml:space="preserve">The verb </w:t>
      </w:r>
      <w:r>
        <w:rPr>
          <w:i/>
          <w:lang w:val="en_US" w:bidi="en_US"/>
        </w:rPr>
        <w:t>has asked to</w:t>
      </w:r>
      <w:r>
        <w:rPr>
          <w:lang w:val="en_US" w:bidi="en_US"/>
        </w:rPr>
        <w:t xml:space="preserve"> implies that God had agreed to Satan’s request: God agreed that Satan could sift the apostles. In some languages it may be helpful to make God’s agreement explicit. For example:</w:t>
      </w:r>
    </w:p>
    <w:p>
      <w:pPr/>
      <w:r>
        <w:rPr>
          <w:lang w:val="en_US" w:bidi="en_US"/>
        </w:rPr>
      </w:r>
      <w:r>
        <w:rPr>
          <w:lang w:val="en_US" w:bidi="en_US"/>
        </w:rPr>
        <w:t>Satan has received permission (GNT)</w:t>
      </w:r>
    </w:p>
    <w:p>
      <w:pPr/>
      <w:r>
        <w:rPr>
          <w:lang w:val="en_US" w:bidi="en_US"/>
        </w:rPr>
      </w:r>
      <w:r>
        <w:rPr>
          <w:lang w:val="en_US" w:bidi="en_US"/>
        </w:rPr>
        <w:t xml:space="preserve">God has given Satan </w:t>
      </w:r>
      <w:r>
        <w:rPr>
          <w:lang w:val="en_US" w:bidi="en_US"/>
        </w:rPr>
        <w:t>permission</w:t>
      </w:r>
    </w:p>
    <w:p>
      <w:pPr>
        <w:pStyle w:val="Heading5"/>
      </w:pPr>
      <w:r>
        <w:rPr>
          <w:lang w:val="en_US" w:bidi="en_US"/>
        </w:rPr>
        <w:t>22:31c</w:t>
      </w:r>
    </w:p>
    <w:p>
      <w:pPr/>
      <w:r>
        <w:rPr>
          <w:lang w:val="en_US" w:bidi="en_US"/>
        </w:rPr>
      </w:r>
      <w:r>
        <w:rPr>
          <w:b/>
          <w:lang w:val="en_US" w:bidi="en_US"/>
        </w:rPr>
        <w:t>sift each of you like wheat.</w:t>
      </w:r>
    </w:p>
    <w:p>
      <w:pPr>
        <w:pStyle w:val="ListBullet"/>
        <w:spacing w:line="240" w:lineRule="auto"/>
        <w:ind w:left="720"/>
      </w:pPr>
      <w:r>
        <w:rPr>
          <w:lang w:val="en_US" w:bidi="en_US"/>
        </w:rPr>
      </w:r>
      <w:r>
        <w:rPr>
          <w:lang w:val="en_US" w:bidi="en_US"/>
        </w:rPr>
        <w:t>test</w:t>
      </w:r>
      <w:r>
        <w:rPr>
          <w:lang w:val="en_US" w:bidi="en_US"/>
        </w:rPr>
        <w:t xml:space="preserve"> you</w:t>
      </w:r>
      <w:r>
        <w:rPr>
          <w:vertAlign w:val="superscript"/>
          <w:lang w:val="en_US" w:bidi="en_US"/>
        </w:rPr>
        <w:t>(plur)</w:t>
      </w:r>
      <w:r>
        <w:rPr>
          <w:lang w:val="en_US" w:bidi="en_US"/>
        </w:rPr>
        <w:t xml:space="preserve"> like </w:t>
      </w:r>
      <w:r>
        <w:rPr>
          <w:lang w:val="en_US" w:bidi="en_US"/>
        </w:rPr>
        <w:t>a farmer</w:t>
      </w:r>
      <w:r>
        <w:rPr>
          <w:lang w:val="en_US" w:bidi="en_US"/>
        </w:rPr>
        <w:t xml:space="preserve"> sifts wheat.</w:t>
      </w:r>
    </w:p>
    <w:p>
      <w:pPr>
        <w:pStyle w:val="ListBullet"/>
        <w:spacing w:line="240" w:lineRule="auto"/>
        <w:ind w:left="720"/>
      </w:pPr>
      <w:r>
        <w:rPr>
          <w:lang w:val="en_US" w:bidi="en_US"/>
        </w:rPr>
      </w:r>
      <w:r>
        <w:rPr>
          <w:lang w:val="en_US" w:bidi="en_US"/>
        </w:rPr>
        <w:t>tempt</w:t>
      </w:r>
      <w:r>
        <w:rPr>
          <w:lang w:val="en_US" w:bidi="en_US"/>
        </w:rPr>
        <w:t xml:space="preserve"> you</w:t>
      </w:r>
      <w:r>
        <w:rPr>
          <w:vertAlign w:val="superscript"/>
          <w:lang w:val="en_US" w:bidi="en_US"/>
        </w:rPr>
        <w:t>(plur)</w:t>
      </w:r>
      <w:r>
        <w:rPr>
          <w:lang w:val="en_US" w:bidi="en_US"/>
        </w:rPr>
        <w:t xml:space="preserve"> </w:t>
      </w:r>
      <w:r>
        <w:rPr>
          <w:lang w:val="en_US" w:bidi="en_US"/>
        </w:rPr>
        <w:t>apostles</w:t>
      </w:r>
      <w:r>
        <w:rPr>
          <w:lang w:val="en_US" w:bidi="en_US"/>
        </w:rPr>
        <w:t xml:space="preserve"> </w:t>
      </w:r>
      <w:r>
        <w:rPr>
          <w:lang w:val="en_US" w:bidi="en_US"/>
        </w:rPr>
        <w:t>to stop trusting me</w:t>
      </w:r>
      <w:r>
        <w:rPr>
          <w:lang w:val="en_US" w:bidi="en_US"/>
        </w:rPr>
        <w:t xml:space="preserve">. This tempting will be </w:t>
      </w:r>
      <w:r>
        <w:rPr>
          <w:lang w:val="en_US" w:bidi="en_US"/>
        </w:rPr>
        <w:t>severe</w:t>
      </w:r>
      <w:r>
        <w:rPr>
          <w:lang w:val="en_US" w:bidi="en_US"/>
        </w:rPr>
        <w:t xml:space="preserve">, like </w:t>
      </w:r>
      <w:r>
        <w:rPr>
          <w:lang w:val="en_US" w:bidi="en_US"/>
        </w:rPr>
        <w:t>a farmer</w:t>
      </w:r>
      <w:r>
        <w:rPr>
          <w:lang w:val="en_US" w:bidi="en_US"/>
        </w:rPr>
        <w:t xml:space="preserve"> shakes wheat to separate grain seeds </w:t>
      </w:r>
      <w:r>
        <w:rPr>
          <w:lang w:val="en_US" w:bidi="en_US"/>
        </w:rPr>
        <w:t>from husks/chaff</w:t>
      </w:r>
      <w:r>
        <w:rPr>
          <w:lang w:val="en_US" w:bidi="en_US"/>
        </w:rPr>
        <w:t>.</w:t>
      </w:r>
    </w:p>
    <w:p>
      <w:pPr/>
      <w:r>
        <w:rPr>
          <w:lang w:val="en_US" w:bidi="en_US"/>
        </w:rPr>
      </w:r>
      <w:r>
        <w:rPr>
          <w:b/>
          <w:lang w:val="en_US" w:bidi="en_US"/>
        </w:rPr>
        <w:t>sift each of you like wheat:</w:t>
      </w:r>
      <w:r>
        <w:rPr>
          <w:lang w:val="en_US" w:bidi="en_US"/>
        </w:rPr>
        <w:t xml:space="preserve"> The phrase </w:t>
      </w:r>
      <w:r>
        <w:rPr>
          <w:i/>
          <w:lang w:val="en_US" w:bidi="en_US"/>
        </w:rPr>
        <w:t>sift each of you like wheat</w:t>
      </w:r>
      <w:r>
        <w:rPr>
          <w:lang w:val="en_US" w:bidi="en_US"/>
        </w:rPr>
        <w:t xml:space="preserve"> is a metaphor. Jesus compared what Satan wanted to do to the apostles with what a farmer does to wheat. A farmer sifts the wheat to separate the good grain from the worthless husks, straw, and other parts of the plant. Satan wanted to cause the apostles to be like the husks and straw. He wanted to cause all the apostles to leave Jesus and stop trusting him.</w:t>
      </w:r>
    </w:p>
    <w:p>
      <w:pPr/>
      <w:r>
        <w:rPr>
          <w:lang w:val="en_US" w:bidi="en_US"/>
        </w:rPr>
      </w:r>
      <w:r>
        <w:rPr>
          <w:lang w:val="en_US" w:bidi="en_US"/>
        </w:rPr>
        <w:t>In some languages people may not understand this metaphor. If that is true in your language, some other ways to translate it are:</w:t>
      </w:r>
    </w:p>
    <w:p>
      <w:pPr>
        <w:pStyle w:val="ListBullet"/>
        <w:spacing w:line="240" w:lineRule="auto"/>
        <w:ind w:left="720"/>
      </w:pPr>
      <w:r>
        <w:rPr>
          <w:lang w:val="en_US" w:bidi="en_US"/>
        </w:rPr>
      </w:r>
      <w:r>
        <w:rPr>
          <w:lang w:val="en_US" w:bidi="en_US"/>
        </w:rPr>
        <w:t>Use a simile that indicates the meaning. For example:</w:t>
      </w:r>
      <w:r>
        <w:rPr>
          <w:lang w:val="en_US" w:bidi="en_US"/>
        </w:rPr>
        <w:t>He wants to separate you from me as a farmer separates wheat from husks. (GW)</w:t>
      </w:r>
      <w:r>
        <w:rPr>
          <w:lang w:val="en_US" w:bidi="en_US"/>
        </w:rPr>
        <w:t>Like rice that is winnowed, like that also will be the severity of the temptation that strikes you.</w:t>
      </w:r>
      <w:r>
        <w:rPr>
          <w:lang w:val="en_US" w:bidi="en_US"/>
        </w:rPr>
        <w:t>Uma back translation on TW.</w:t>
      </w:r>
    </w:p>
    <w:p>
      <w:pPr>
        <w:pStyle w:val="ListBullet"/>
        <w:spacing w:line="240" w:lineRule="auto"/>
        <w:ind w:left="720"/>
      </w:pPr>
      <w:r>
        <w:rPr>
          <w:lang w:val="en_US" w:bidi="en_US"/>
        </w:rPr>
      </w:r>
      <w:r>
        <w:rPr>
          <w:lang w:val="en_US" w:bidi="en_US"/>
        </w:rPr>
        <w:t>Use a metaphor that has the same meaning in your language. For example:</w:t>
      </w:r>
      <w:r>
        <w:rPr>
          <w:lang w:val="en_US" w:bidi="en_US"/>
        </w:rPr>
        <w:t>to shake you away from me</w:t>
      </w:r>
    </w:p>
    <w:p>
      <w:pPr>
        <w:pStyle w:val="ListBullet"/>
        <w:spacing w:line="240" w:lineRule="auto"/>
        <w:ind w:left="720"/>
      </w:pPr>
      <w:r>
        <w:rPr>
          <w:lang w:val="en_US" w:bidi="en_US"/>
        </w:rPr>
      </w:r>
      <w:r>
        <w:rPr>
          <w:lang w:val="en_US" w:bidi="en_US"/>
        </w:rPr>
        <w:t>Translate the meaning without a figure of speech. For example:</w:t>
      </w:r>
      <w:r>
        <w:rPr>
          <w:lang w:val="en_US" w:bidi="en_US"/>
        </w:rPr>
        <w:t>to test you to see if he can cause you to stop trusting/following me</w:t>
      </w:r>
      <w:r>
        <w:rPr>
          <w:lang w:val="en_US" w:bidi="en_US"/>
        </w:rPr>
        <w:t>to try to make you be unfaithful to me</w:t>
      </w:r>
    </w:p>
    <w:p>
      <w:pPr/>
      <w:r>
        <w:rPr>
          <w:lang w:val="en_US" w:bidi="en_US"/>
        </w:rPr>
      </w:r>
      <w:r>
        <w:rPr>
          <w:lang w:val="en_US" w:bidi="en_US"/>
        </w:rPr>
        <w:t>Translate the metaphor in a natural way in your language. It is used in a similar way in Amos 9:9.</w:t>
      </w:r>
    </w:p>
    <w:p>
      <w:pPr/>
      <w:r>
        <w:rPr>
          <w:lang w:val="en_US" w:bidi="en_US"/>
        </w:rPr>
      </w:r>
      <w:r>
        <w:rPr>
          <w:b/>
          <w:lang w:val="en_US" w:bidi="en_US"/>
        </w:rPr>
        <w:t>sift:</w:t>
      </w:r>
      <w:r>
        <w:rPr>
          <w:lang w:val="en_US" w:bidi="en_US"/>
        </w:rPr>
        <w:t xml:space="preserve"> The Greek word that the BSB translates as </w:t>
      </w:r>
      <w:r>
        <w:rPr>
          <w:i/>
          <w:lang w:val="en_US" w:bidi="en_US"/>
        </w:rPr>
        <w:t>sift</w:t>
      </w:r>
      <w:r>
        <w:rPr>
          <w:lang w:val="en_US" w:bidi="en_US"/>
        </w:rPr>
        <w:t xml:space="preserve"> means: “to shake in a sieve.” This word occurs only once in the New Testament. Scholars are not sure exactly how the sifting was done or what type of sieve was used. The farmer may have shaken the wheat violently in the sieve to make the husks and straw blow away in the wind. If you keep the metaphor, use appropriate terms in your culture to describe the sifting.</w:t>
      </w:r>
    </w:p>
    <w:p>
      <w:pPr/>
      <w:r>
        <w:rPr>
          <w:lang w:val="en_US" w:bidi="en_US"/>
        </w:rPr>
      </w:r>
      <w:r>
        <w:rPr>
          <w:b/>
          <w:lang w:val="en_US" w:bidi="en_US"/>
        </w:rPr>
        <w:t>each of you:</w:t>
      </w:r>
      <w:r>
        <w:rPr>
          <w:lang w:val="en_US" w:bidi="en_US"/>
        </w:rPr>
        <w:t xml:space="preserve"> The pronoun </w:t>
      </w:r>
      <w:r>
        <w:rPr>
          <w:i/>
          <w:lang w:val="en_US" w:bidi="en_US"/>
        </w:rPr>
        <w:t>you</w:t>
      </w:r>
      <w:r>
        <w:rPr>
          <w:lang w:val="en_US" w:bidi="en_US"/>
        </w:rPr>
        <w:t xml:space="preserve"> is plural here. Jesus referred to all the apostles, not only to Peter. If the pronoun in your language does not make this clear, you can indicate it in another way. For example:</w:t>
      </w:r>
    </w:p>
    <w:p>
      <w:pPr/>
      <w:r>
        <w:rPr>
          <w:lang w:val="en_US" w:bidi="en_US"/>
        </w:rPr>
      </w:r>
      <w:r>
        <w:rPr>
          <w:lang w:val="en_US" w:bidi="en_US"/>
        </w:rPr>
        <w:t>you apostles (GW)</w:t>
      </w:r>
    </w:p>
    <w:p>
      <w:pPr/>
      <w:r>
        <w:rPr>
          <w:lang w:val="en_US" w:bidi="en_US"/>
        </w:rPr>
      </w:r>
      <w:r>
        <w:rPr>
          <w:lang w:val="en_US" w:bidi="en_US"/>
        </w:rPr>
        <w:t>all of you (REB)</w:t>
      </w:r>
    </w:p>
    <w:p>
      <w:pPr/>
      <w:r>
        <w:rPr>
          <w:lang w:val="en_US" w:bidi="en_US"/>
        </w:rPr>
      </w:r>
      <w:r>
        <w:rPr>
          <w:lang w:val="en_US" w:bidi="en_US"/>
        </w:rPr>
        <w:t>each of you (NLT)</w:t>
      </w:r>
    </w:p>
    <w:p>
      <w:pPr/>
      <w:r>
        <w:rPr>
          <w:lang w:val="en_US" w:bidi="en_US"/>
        </w:rPr>
      </w:r>
      <w:r>
        <w:rPr>
          <w:b/>
          <w:lang w:val="en_US" w:bidi="en_US"/>
        </w:rPr>
        <w:t>wheat:</w:t>
      </w:r>
      <w:r>
        <w:rPr>
          <w:lang w:val="en_US" w:bidi="en_US"/>
        </w:rPr>
        <w:t xml:space="preserve"> The word </w:t>
      </w:r>
      <w:r>
        <w:rPr>
          <w:i/>
          <w:lang w:val="en_US" w:bidi="en_US"/>
        </w:rPr>
        <w:t>wheat</w:t>
      </w:r>
      <w:r>
        <w:rPr>
          <w:lang w:val="en_US" w:bidi="en_US"/>
        </w:rPr>
        <w:t xml:space="preserve"> refers to a certain type of grain plant and to the grain that the plant produces. Wheat plants have a stalk. On top of the stalk there are clusters of seeds, which are the wheat grains.</w:t>
      </w:r>
    </w:p>
    <w:p>
      <w:pPr/>
      <w:r>
        <w:rPr>
          <w:lang w:val="en_US" w:bidi="en_US"/>
        </w:rPr>
      </w:r>
      <w:r>
        <w:rPr>
          <w:lang w:val="en_US" w:bidi="en_US"/>
        </w:rPr>
        <w:t>In some areas wheat may not be known. If that is true in your area, other ways to translate it are:</w:t>
      </w:r>
    </w:p>
    <w:p>
      <w:pPr>
        <w:pStyle w:val="ListBullet"/>
        <w:spacing w:line="240" w:lineRule="auto"/>
        <w:ind w:left="720"/>
      </w:pPr>
      <w:r>
        <w:rPr>
          <w:lang w:val="en_US" w:bidi="en_US"/>
        </w:rPr>
      </w:r>
      <w:r>
        <w:rPr>
          <w:lang w:val="en_US" w:bidi="en_US"/>
        </w:rPr>
        <w:t>Use a more general term. For example:</w:t>
      </w:r>
      <w:r>
        <w:rPr>
          <w:lang w:val="en_US" w:bidi="en_US"/>
        </w:rPr>
        <w:t>grain</w:t>
      </w:r>
    </w:p>
    <w:p>
      <w:pPr>
        <w:pStyle w:val="ListBullet"/>
        <w:spacing w:line="240" w:lineRule="auto"/>
        <w:ind w:left="720"/>
      </w:pPr>
      <w:r>
        <w:rPr>
          <w:lang w:val="en_US" w:bidi="en_US"/>
        </w:rPr>
      </w:r>
      <w:r>
        <w:rPr>
          <w:lang w:val="en_US" w:bidi="en_US"/>
        </w:rPr>
        <w:t>Use a different type of grain that is grown in your area and is similar to wheat. For example:</w:t>
      </w:r>
      <w:r>
        <w:rPr>
          <w:lang w:val="en_US" w:bidi="en_US"/>
        </w:rPr>
        <w:t>barley</w:t>
      </w:r>
      <w:r>
        <w:rPr>
          <w:lang w:val="en_US" w:bidi="en_US"/>
        </w:rPr>
        <w:t>rice</w:t>
      </w:r>
    </w:p>
    <w:p>
      <w:pPr/>
      <w:r>
        <w:rPr>
          <w:lang w:val="en_US" w:bidi="en_US"/>
        </w:rPr>
      </w:r>
      <w:r>
        <w:rPr>
          <w:lang w:val="en_US" w:bidi="en_US"/>
        </w:rPr>
        <w:t>This word also occurs in 3:17 and 16:7. See how you translated it there.</w:t>
      </w:r>
      <w:r>
        <w:rPr>
          <w:lang w:val="en_US" w:bidi="en_US"/>
        </w:rPr>
      </w:r>
      <w:r>
        <w:rPr>
          <w:lang w:val="en_US" w:bidi="en_US"/>
        </w:rPr>
      </w:r>
    </w:p>
    <w:p>
      <w:pPr/>
      <w:r>
        <w:rPr>
          <w:lang w:val="en_US" w:bidi="en_US"/>
        </w:rPr>
      </w:r>
    </w:p>
    <w:p>
      <w:pPr>
        <w:pStyle w:val="Heading2"/>
      </w:pPr>
      <w:r>
        <w:rPr>
          <w:lang w:val="en_US" w:bidi="en_US"/>
        </w:rPr>
        <w:t>Luke 22:32</w:t>
      </w:r>
      <w:r>
        <w:rPr>
          <w:lang w:val="en_US" w:bidi="en_US"/>
        </w:rPr>
      </w:r>
    </w:p>
    <w:p>
      <w:pPr>
        <w:pStyle w:val="Heading4"/>
      </w:pPr>
      <w:r>
        <w:rPr>
          <w:lang w:val="en_US" w:bidi="en_US"/>
        </w:rPr>
        <w:t>Section 22:31–38: Jesus predicted that Peter would deny him</w:t>
      </w:r>
    </w:p>
    <w:p>
      <w:pPr/>
      <w:r>
        <w:rPr>
          <w:lang w:val="en_US" w:bidi="en_US"/>
        </w:rPr>
      </w:r>
      <w:r>
        <w:rPr>
          <w:lang w:val="en_US" w:bidi="en_US"/>
        </w:rPr>
        <w:t>In this section Jesus warned Peter that Satan wanted to test the disciples severely. Peter told Jesus that he would always be faithful to him, but Jesus said to him, “This same night you (Peter) will say three times that you do not know me.”</w:t>
      </w:r>
    </w:p>
    <w:p>
      <w:pPr/>
      <w:r>
        <w:rPr>
          <w:lang w:val="en_US" w:bidi="en_US"/>
        </w:rPr>
      </w:r>
      <w:r>
        <w:rPr>
          <w:lang w:val="en_US" w:bidi="en_US"/>
        </w:rPr>
        <w:t>In the second part of the section, Jesus reminded his apostles of the time that he sent them out to preach and heal (chapters 9–10). At that time, they did not need to take anything with them. People welcomed them and took care of them as they preached about Jesus. But now, people would say that Jesus was an evil doer, just as the prophets had written in the Scriptures. So Jesus warned his apostles to prepare for this time of difficulty and danger.</w:t>
      </w:r>
    </w:p>
    <w:p>
      <w:pPr/>
      <w:r>
        <w:rPr>
          <w:lang w:val="en_US" w:bidi="en_US"/>
        </w:rPr>
      </w:r>
      <w:r>
        <w:rPr>
          <w:lang w:val="en_US" w:bidi="en_US"/>
        </w:rPr>
        <w:t>Some other examples of headings for this section are:</w:t>
      </w:r>
    </w:p>
    <w:p>
      <w:pPr/>
      <w:r>
        <w:rPr>
          <w:lang w:val="en_US" w:bidi="en_US"/>
        </w:rPr>
      </w:r>
      <w:r>
        <w:rPr>
          <w:lang w:val="en_US" w:bidi="en_US"/>
        </w:rPr>
        <w:t>Jesus Predicts Peter’s Denial (GNT)</w:t>
      </w:r>
    </w:p>
    <w:p>
      <w:pPr/>
      <w:r>
        <w:rPr>
          <w:lang w:val="en_US" w:bidi="en_US"/>
        </w:rPr>
      </w:r>
      <w:r>
        <w:rPr>
          <w:lang w:val="en_US" w:bidi="en_US"/>
        </w:rPr>
        <w:t>Jesus’ Disciples Will Be Tested (CEV)</w:t>
      </w:r>
    </w:p>
    <w:p>
      <w:pPr/>
      <w:r>
        <w:rPr>
          <w:lang w:val="en_US" w:bidi="en_US"/>
        </w:rPr>
      </w:r>
      <w:r>
        <w:rPr>
          <w:lang w:val="en_US" w:bidi="en_US"/>
        </w:rPr>
        <w:t>There are parallel passages for this section in Matthew 26:31–35, Mark 14:27–31, and John 13:36–38.</w:t>
      </w:r>
    </w:p>
    <w:p>
      <w:pPr>
        <w:pStyle w:val="Heading5"/>
      </w:pPr>
      <w:r>
        <w:rPr>
          <w:lang w:val="en_US" w:bidi="en_US"/>
        </w:rPr>
        <w:t>22:32a</w:t>
      </w:r>
    </w:p>
    <w:p>
      <w:pPr/>
      <w:r>
        <w:rPr>
          <w:lang w:val="en_US" w:bidi="en_US"/>
        </w:rPr>
      </w:r>
      <w:r>
        <w:rPr>
          <w:b/>
          <w:lang w:val="en_US" w:bidi="en_US"/>
        </w:rPr>
        <w:t>But I have prayed for you, Simon,</w:t>
      </w:r>
    </w:p>
    <w:p>
      <w:pPr>
        <w:pStyle w:val="ListBullet"/>
        <w:spacing w:line="240" w:lineRule="auto"/>
        <w:ind w:left="720"/>
      </w:pPr>
      <w:r>
        <w:rPr>
          <w:lang w:val="en_US" w:bidi="en_US"/>
        </w:rPr>
      </w:r>
      <w:r>
        <w:rPr>
          <w:lang w:val="en_US" w:bidi="en_US"/>
        </w:rPr>
        <w:t>But Simon, I have prayed for you</w:t>
      </w:r>
      <w:r>
        <w:rPr>
          <w:vertAlign w:val="superscript"/>
          <w:lang w:val="en_US" w:bidi="en_US"/>
        </w:rPr>
        <w:t>(sing)</w:t>
      </w:r>
      <w:r>
        <w:rPr>
          <w:lang w:val="en_US" w:bidi="en_US"/>
        </w:rPr>
        <w:t xml:space="preserve">, </w:t>
      </w:r>
      <w:r>
        <w:rPr>
          <w:lang w:val="en_US" w:bidi="en_US"/>
        </w:rPr>
        <w:t>asking God</w:t>
      </w:r>
    </w:p>
    <w:p>
      <w:pPr>
        <w:pStyle w:val="ListBullet"/>
        <w:spacing w:line="240" w:lineRule="auto"/>
        <w:ind w:left="720"/>
      </w:pPr>
      <w:r>
        <w:rPr>
          <w:lang w:val="en_US" w:bidi="en_US"/>
        </w:rPr>
      </w:r>
      <w:r>
        <w:rPr>
          <w:lang w:val="en_US" w:bidi="en_US"/>
        </w:rPr>
        <w:t>But I have prayed for you</w:t>
      </w:r>
      <w:r>
        <w:rPr>
          <w:vertAlign w:val="superscript"/>
          <w:lang w:val="en_US" w:bidi="en_US"/>
        </w:rPr>
        <w:t>(sing)</w:t>
      </w:r>
    </w:p>
    <w:p>
      <w:pPr>
        <w:pStyle w:val="ListBullet"/>
        <w:spacing w:line="240" w:lineRule="auto"/>
        <w:ind w:left="720"/>
      </w:pPr>
      <w:r>
        <w:rPr>
          <w:lang w:val="en_US" w:bidi="en_US"/>
        </w:rPr>
      </w:r>
      <w:r>
        <w:rPr>
          <w:lang w:val="en_US" w:bidi="en_US"/>
        </w:rPr>
        <w:t xml:space="preserve">In contrast, I have asked </w:t>
      </w:r>
      <w:r>
        <w:rPr>
          <w:lang w:val="en_US" w:bidi="en_US"/>
        </w:rPr>
        <w:t>God</w:t>
      </w:r>
      <w:r>
        <w:rPr>
          <w:lang w:val="en_US" w:bidi="en_US"/>
        </w:rPr>
        <w:t xml:space="preserve"> to help you</w:t>
      </w:r>
      <w:r>
        <w:rPr>
          <w:vertAlign w:val="superscript"/>
          <w:lang w:val="en_US" w:bidi="en_US"/>
        </w:rPr>
        <w:t>(sing)</w:t>
      </w:r>
    </w:p>
    <w:p>
      <w:pPr/>
      <w:r>
        <w:rPr>
          <w:lang w:val="en_US" w:bidi="en_US"/>
        </w:rPr>
      </w:r>
      <w:r>
        <w:rPr>
          <w:b/>
          <w:lang w:val="en_US" w:bidi="en_US"/>
        </w:rPr>
        <w:t>But I:</w:t>
      </w:r>
      <w:r>
        <w:rPr>
          <w:lang w:val="en_US" w:bidi="en_US"/>
        </w:rPr>
        <w:t xml:space="preserve"> The phrase </w:t>
      </w:r>
      <w:r>
        <w:rPr>
          <w:i/>
          <w:lang w:val="en_US" w:bidi="en_US"/>
        </w:rPr>
        <w:t>But I</w:t>
      </w:r>
      <w:r>
        <w:rPr>
          <w:lang w:val="en_US" w:bidi="en_US"/>
        </w:rPr>
        <w:t xml:space="preserve"> indicates a strong contrast. Satan asked God for permission to tempt the apostles severely, but Jesus prayed for Simon that his faith would not fail. Translate the contrast in a natural way in your language.</w:t>
      </w:r>
    </w:p>
    <w:p>
      <w:pPr/>
      <w:r>
        <w:rPr>
          <w:lang w:val="en_US" w:bidi="en_US"/>
        </w:rPr>
      </w:r>
      <w:r>
        <w:rPr>
          <w:b/>
          <w:lang w:val="en_US" w:bidi="en_US"/>
        </w:rPr>
        <w:t>I have prayed for you, Simon:</w:t>
      </w:r>
      <w:r>
        <w:rPr>
          <w:lang w:val="en_US" w:bidi="en_US"/>
        </w:rPr>
        <w:t xml:space="preserve"> The pronoun </w:t>
      </w:r>
      <w:r>
        <w:rPr>
          <w:i/>
          <w:lang w:val="en_US" w:bidi="en_US"/>
        </w:rPr>
        <w:t>you</w:t>
      </w:r>
      <w:r>
        <w:rPr>
          <w:lang w:val="en_US" w:bidi="en_US"/>
        </w:rPr>
        <w:t xml:space="preserve"> in this sentence is singular. Jesus spoke specifically to Simon. Jesus had already addressed Simon by name in the preceding verse. In some languages it may not be natural to repeat Simon’s name here again. In other languages it may be more natural to put Simon’s name in a different place in the sentence. For example:</w:t>
      </w:r>
    </w:p>
    <w:p>
      <w:pPr/>
      <w:r>
        <w:rPr>
          <w:lang w:val="en_US" w:bidi="en_US"/>
        </w:rPr>
      </w:r>
      <w:r>
        <w:rPr>
          <w:lang w:val="en_US" w:bidi="en_US"/>
        </w:rPr>
        <w:t>But Simon, I have prayed for you</w:t>
      </w:r>
    </w:p>
    <w:p>
      <w:pPr/>
      <w:r>
        <w:rPr>
          <w:lang w:val="en_US" w:bidi="en_US"/>
        </w:rPr>
      </w:r>
      <w:r>
        <w:rPr>
          <w:b/>
          <w:lang w:val="en_US" w:bidi="en_US"/>
        </w:rPr>
        <w:t>I have prayed for you:</w:t>
      </w:r>
      <w:r>
        <w:rPr>
          <w:lang w:val="en_US" w:bidi="en_US"/>
        </w:rPr>
        <w:t xml:space="preserve"> The verb </w:t>
      </w:r>
      <w:r>
        <w:rPr>
          <w:i/>
          <w:lang w:val="en_US" w:bidi="en_US"/>
        </w:rPr>
        <w:t>have prayed</w:t>
      </w:r>
      <w:r>
        <w:rPr>
          <w:lang w:val="en_US" w:bidi="en_US"/>
        </w:rPr>
        <w:t xml:space="preserve"> indicates that Jesus had already prayed to God for Simon. The phrase </w:t>
      </w:r>
      <w:r>
        <w:rPr>
          <w:i/>
          <w:lang w:val="en_US" w:bidi="en_US"/>
        </w:rPr>
        <w:t>for you</w:t>
      </w:r>
      <w:r>
        <w:rPr>
          <w:lang w:val="en_US" w:bidi="en_US"/>
        </w:rPr>
        <w:t xml:space="preserve"> indicates in a general way that Jesus asked God to help Simon. The clause in 22:32b tells the specific help that Jesus prayed for.</w:t>
      </w:r>
    </w:p>
    <w:p>
      <w:pPr/>
      <w:r>
        <w:rPr>
          <w:lang w:val="en_US" w:bidi="en_US"/>
        </w:rPr>
      </w:r>
      <w:r>
        <w:rPr>
          <w:lang w:val="en_US" w:bidi="en_US"/>
        </w:rPr>
        <w:t>Other ways to translate “But I have prayed for you” are:</w:t>
      </w:r>
    </w:p>
    <w:p>
      <w:pPr/>
      <w:r>
        <w:rPr>
          <w:lang w:val="en_US" w:bidi="en_US"/>
        </w:rPr>
      </w:r>
      <w:r>
        <w:rPr>
          <w:lang w:val="en_US" w:bidi="en_US"/>
        </w:rPr>
        <w:t>But I have prayed for you ahead of time</w:t>
      </w:r>
    </w:p>
    <w:p>
      <w:pPr/>
      <w:r>
        <w:rPr>
          <w:lang w:val="en_US" w:bidi="en_US"/>
        </w:rPr>
      </w:r>
      <w:r>
        <w:rPr>
          <w:lang w:val="en_US" w:bidi="en_US"/>
        </w:rPr>
        <w:t>However, I have already prayed to God for you</w:t>
      </w:r>
    </w:p>
    <w:p>
      <w:pPr/>
      <w:r>
        <w:rPr>
          <w:lang w:val="en_US" w:bidi="en_US"/>
        </w:rPr>
      </w:r>
      <w:r>
        <w:rPr>
          <w:lang w:val="en_US" w:bidi="en_US"/>
        </w:rPr>
        <w:t>I, in contrast, have already asked God to help you</w:t>
      </w:r>
    </w:p>
    <w:p>
      <w:pPr/>
      <w:r>
        <w:rPr>
          <w:lang w:val="en_US" w:bidi="en_US"/>
        </w:rPr>
      </w:r>
      <w:r>
        <w:rPr>
          <w:lang w:val="en_US" w:bidi="en_US"/>
        </w:rPr>
        <w:t>The verb “pray” also occurred in 21:36. See how you translated it there.</w:t>
      </w:r>
    </w:p>
    <w:p>
      <w:pPr>
        <w:pStyle w:val="Heading5"/>
      </w:pPr>
      <w:r>
        <w:rPr>
          <w:lang w:val="en_US" w:bidi="en_US"/>
        </w:rPr>
        <w:t>22:32b</w:t>
      </w:r>
    </w:p>
    <w:p>
      <w:pPr/>
      <w:r>
        <w:rPr>
          <w:lang w:val="en_US" w:bidi="en_US"/>
        </w:rPr>
      </w:r>
      <w:r>
        <w:rPr>
          <w:b/>
          <w:lang w:val="en_US" w:bidi="en_US"/>
        </w:rPr>
        <w:t>that your faith will not fail.</w:t>
      </w:r>
    </w:p>
    <w:p>
      <w:pPr>
        <w:pStyle w:val="ListBullet"/>
        <w:spacing w:line="240" w:lineRule="auto"/>
        <w:ind w:left="720"/>
      </w:pPr>
      <w:r>
        <w:rPr>
          <w:lang w:val="en_US" w:bidi="en_US"/>
        </w:rPr>
      </w:r>
      <w:r>
        <w:rPr>
          <w:lang w:val="en_US" w:bidi="en_US"/>
        </w:rPr>
        <w:t>that your faith will not end/die.</w:t>
      </w:r>
    </w:p>
    <w:p>
      <w:pPr>
        <w:pStyle w:val="ListBullet"/>
        <w:spacing w:line="240" w:lineRule="auto"/>
        <w:ind w:left="720"/>
      </w:pPr>
      <w:r>
        <w:rPr>
          <w:lang w:val="en_US" w:bidi="en_US"/>
        </w:rPr>
      </w:r>
      <w:r>
        <w:rPr>
          <w:lang w:val="en_US" w:bidi="en_US"/>
        </w:rPr>
        <w:t>that you</w:t>
      </w:r>
      <w:r>
        <w:rPr>
          <w:vertAlign w:val="superscript"/>
          <w:lang w:val="en_US" w:bidi="en_US"/>
        </w:rPr>
        <w:t>(sing)</w:t>
      </w:r>
      <w:r>
        <w:rPr>
          <w:lang w:val="en_US" w:bidi="en_US"/>
        </w:rPr>
        <w:t xml:space="preserve"> will not </w:t>
      </w:r>
      <w:r>
        <w:rPr>
          <w:lang w:val="en_US" w:bidi="en_US"/>
        </w:rPr>
        <w:t>completely</w:t>
      </w:r>
      <w:r>
        <w:rPr>
          <w:lang w:val="en_US" w:bidi="en_US"/>
        </w:rPr>
        <w:t xml:space="preserve"> cease to trust </w:t>
      </w:r>
      <w:r>
        <w:rPr>
          <w:lang w:val="en_US" w:bidi="en_US"/>
        </w:rPr>
        <w:t>in me</w:t>
      </w:r>
      <w:r>
        <w:rPr>
          <w:lang w:val="en_US" w:bidi="en_US"/>
        </w:rPr>
        <w:t>.</w:t>
      </w:r>
    </w:p>
    <w:p>
      <w:pPr>
        <w:pStyle w:val="ListBullet"/>
        <w:spacing w:line="240" w:lineRule="auto"/>
        <w:ind w:left="720"/>
      </w:pPr>
      <w:r>
        <w:rPr>
          <w:lang w:val="en_US" w:bidi="en_US"/>
        </w:rPr>
      </w:r>
      <w:r>
        <w:rPr>
          <w:lang w:val="en_US" w:bidi="en_US"/>
        </w:rPr>
        <w:t xml:space="preserve">to persevere/persist in trusting </w:t>
      </w:r>
      <w:r>
        <w:rPr>
          <w:lang w:val="en_US" w:bidi="en_US"/>
        </w:rPr>
        <w:t>me</w:t>
      </w:r>
      <w:r>
        <w:rPr>
          <w:lang w:val="en_US" w:bidi="en_US"/>
        </w:rPr>
        <w:t>.</w:t>
      </w:r>
    </w:p>
    <w:p>
      <w:pPr/>
      <w:r>
        <w:rPr>
          <w:lang w:val="en_US" w:bidi="en_US"/>
        </w:rPr>
      </w:r>
      <w:r>
        <w:rPr>
          <w:b/>
          <w:lang w:val="en_US" w:bidi="en_US"/>
        </w:rPr>
        <w:t>that your faith will not fail:</w:t>
      </w:r>
      <w:r>
        <w:rPr>
          <w:lang w:val="en_US" w:bidi="en_US"/>
        </w:rPr>
        <w:t xml:space="preserve"> The clause </w:t>
      </w:r>
      <w:r>
        <w:rPr>
          <w:i/>
          <w:lang w:val="en_US" w:bidi="en_US"/>
        </w:rPr>
        <w:t>that your faith will not fail</w:t>
      </w:r>
      <w:r>
        <w:rPr>
          <w:lang w:val="en_US" w:bidi="en_US"/>
        </w:rPr>
        <w:t xml:space="preserve"> tells the content of Jesus’ prayer and also its intended result. Jesus prayed that Simon would continue to have faith in him, even though Satan would test Simon.</w:t>
      </w:r>
    </w:p>
    <w:p>
      <w:pPr/>
      <w:r>
        <w:rPr>
          <w:lang w:val="en_US" w:bidi="en_US"/>
        </w:rPr>
      </w:r>
      <w:r>
        <w:rPr>
          <w:lang w:val="en_US" w:bidi="en_US"/>
        </w:rPr>
        <w:t xml:space="preserve">The Greek word that the BSB translates as </w:t>
      </w:r>
      <w:r>
        <w:rPr>
          <w:i/>
          <w:lang w:val="en_US" w:bidi="en_US"/>
        </w:rPr>
        <w:t>faith</w:t>
      </w:r>
      <w:r>
        <w:rPr>
          <w:lang w:val="en_US" w:bidi="en_US"/>
        </w:rPr>
        <w:t xml:space="preserve"> can refer to either trust or faithfulness or both. Some other ways to translate the clause are:</w:t>
      </w:r>
    </w:p>
    <w:p>
      <w:pPr/>
      <w:r>
        <w:rPr>
          <w:lang w:val="en_US" w:bidi="en_US"/>
        </w:rPr>
      </w:r>
      <w:r>
        <w:rPr>
          <w:lang w:val="en_US" w:bidi="en_US"/>
        </w:rPr>
        <w:t xml:space="preserve">that you will not stop trusting </w:t>
      </w:r>
      <w:r>
        <w:rPr>
          <w:lang w:val="en_US" w:bidi="en_US"/>
        </w:rPr>
        <w:t>me</w:t>
      </w:r>
    </w:p>
    <w:p>
      <w:pPr/>
      <w:r>
        <w:rPr>
          <w:lang w:val="en_US" w:bidi="en_US"/>
        </w:rPr>
      </w:r>
      <w:r>
        <w:rPr>
          <w:lang w:val="en_US" w:bidi="en_US"/>
        </w:rPr>
        <w:t>that you will not be unfaithful to me</w:t>
      </w:r>
    </w:p>
    <w:p>
      <w:pPr/>
      <w:r>
        <w:rPr>
          <w:lang w:val="en_US" w:bidi="en_US"/>
        </w:rPr>
      </w:r>
      <w:r>
        <w:rPr>
          <w:lang w:val="en_US" w:bidi="en_US"/>
        </w:rPr>
        <w:t>that your faith will not become weak</w:t>
      </w:r>
    </w:p>
    <w:p>
      <w:pPr/>
      <w:r>
        <w:rPr>
          <w:lang w:val="en_US" w:bidi="en_US"/>
        </w:rPr>
      </w:r>
      <w:r>
        <w:rPr>
          <w:lang w:val="en_US" w:bidi="en_US"/>
        </w:rPr>
        <w:t>In some languages it may be better to use a positive expression. For example:</w:t>
      </w:r>
    </w:p>
    <w:p>
      <w:pPr/>
      <w:r>
        <w:rPr>
          <w:lang w:val="en_US" w:bidi="en_US"/>
        </w:rPr>
      </w:r>
      <w:r>
        <w:rPr>
          <w:lang w:val="en_US" w:bidi="en_US"/>
        </w:rPr>
        <w:t xml:space="preserve">that you will continue to have confidence in </w:t>
      </w:r>
      <w:r>
        <w:rPr>
          <w:lang w:val="en_US" w:bidi="en_US"/>
        </w:rPr>
        <w:t>me</w:t>
      </w:r>
    </w:p>
    <w:p>
      <w:pPr/>
      <w:r>
        <w:rPr>
          <w:lang w:val="en_US" w:bidi="en_US"/>
        </w:rPr>
      </w:r>
      <w:r>
        <w:rPr>
          <w:lang w:val="en_US" w:bidi="en_US"/>
        </w:rPr>
        <w:t>See believe, Meaning 2, in the Glossary.</w:t>
      </w:r>
    </w:p>
    <w:p>
      <w:pPr>
        <w:pStyle w:val="Heading5"/>
      </w:pPr>
      <w:r>
        <w:rPr>
          <w:lang w:val="en_US" w:bidi="en_US"/>
        </w:rPr>
        <w:t>22:32c</w:t>
      </w:r>
    </w:p>
    <w:p>
      <w:pPr/>
      <w:r>
        <w:rPr>
          <w:lang w:val="en_US" w:bidi="en_US"/>
        </w:rPr>
      </w:r>
      <w:r>
        <w:rPr>
          <w:b/>
          <w:lang w:val="en_US" w:bidi="en_US"/>
        </w:rPr>
        <w:t>And when you have turned back,</w:t>
      </w:r>
    </w:p>
    <w:p>
      <w:pPr>
        <w:pStyle w:val="ListBullet"/>
        <w:spacing w:line="240" w:lineRule="auto"/>
        <w:ind w:left="720"/>
      </w:pPr>
      <w:r>
        <w:rPr>
          <w:lang w:val="en_US" w:bidi="en_US"/>
        </w:rPr>
      </w:r>
      <w:r>
        <w:rPr>
          <w:lang w:val="en_US" w:bidi="en_US"/>
        </w:rPr>
        <w:t>And after you</w:t>
      </w:r>
      <w:r>
        <w:rPr>
          <w:vertAlign w:val="superscript"/>
          <w:lang w:val="en_US" w:bidi="en_US"/>
        </w:rPr>
        <w:t>(sing)</w:t>
      </w:r>
      <w:r>
        <w:rPr>
          <w:lang w:val="en_US" w:bidi="en_US"/>
        </w:rPr>
        <w:t xml:space="preserve"> return </w:t>
      </w:r>
      <w:r>
        <w:rPr>
          <w:lang w:val="en_US" w:bidi="en_US"/>
        </w:rPr>
        <w:t>to me</w:t>
      </w:r>
      <w:r>
        <w:rPr>
          <w:lang w:val="en_US" w:bidi="en_US"/>
        </w:rPr>
        <w:t>,</w:t>
      </w:r>
    </w:p>
    <w:p>
      <w:pPr>
        <w:pStyle w:val="ListBullet"/>
        <w:spacing w:line="240" w:lineRule="auto"/>
        <w:ind w:left="720"/>
      </w:pPr>
      <w:r>
        <w:rPr>
          <w:lang w:val="en_US" w:bidi="en_US"/>
        </w:rPr>
      </w:r>
      <w:r>
        <w:rPr>
          <w:lang w:val="en_US" w:bidi="en_US"/>
        </w:rPr>
        <w:t xml:space="preserve">And after you repent </w:t>
      </w:r>
      <w:r>
        <w:rPr>
          <w:lang w:val="en_US" w:bidi="en_US"/>
        </w:rPr>
        <w:t>and trust me faithfully again</w:t>
      </w:r>
      <w:r>
        <w:rPr>
          <w:lang w:val="en_US" w:bidi="en_US"/>
        </w:rPr>
        <w:t>,</w:t>
      </w:r>
    </w:p>
    <w:p>
      <w:pPr/>
      <w:r>
        <w:rPr>
          <w:lang w:val="en_US" w:bidi="en_US"/>
        </w:rPr>
      </w:r>
      <w:r>
        <w:rPr>
          <w:b/>
          <w:lang w:val="en_US" w:bidi="en_US"/>
        </w:rPr>
        <w:t>when you have turned back:</w:t>
      </w:r>
      <w:r>
        <w:rPr>
          <w:lang w:val="en_US" w:bidi="en_US"/>
        </w:rPr>
        <w:t xml:space="preserve"> In this context Jesus implied that Simon will turn away from him in some way, but then Simon will turn back to Jesus. The verb </w:t>
      </w:r>
      <w:r>
        <w:rPr>
          <w:i/>
          <w:lang w:val="en_US" w:bidi="en_US"/>
        </w:rPr>
        <w:t>turned back</w:t>
      </w:r>
      <w:r>
        <w:rPr>
          <w:lang w:val="en_US" w:bidi="en_US"/>
        </w:rPr>
        <w:t xml:space="preserve"> is a figure of speech here. It implies that Simon will fail in some way to trust Jesus, but then he will repent. He will be sorry for his failure, and trust Jesus again.</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Translate the figure of speech. For example:</w:t>
      </w:r>
      <w:r>
        <w:rPr>
          <w:lang w:val="en_US" w:bidi="en_US"/>
        </w:rPr>
        <w:t>when you have come back to me (CEV)</w:t>
      </w:r>
      <w:r>
        <w:rPr>
          <w:lang w:val="en_US" w:bidi="en_US"/>
        </w:rPr>
        <w:t>when you turn to me again</w:t>
      </w:r>
    </w:p>
    <w:p>
      <w:pPr>
        <w:pStyle w:val="ListBullet"/>
        <w:spacing w:line="240" w:lineRule="auto"/>
        <w:ind w:left="720"/>
      </w:pPr>
      <w:r>
        <w:rPr>
          <w:lang w:val="en_US" w:bidi="en_US"/>
        </w:rPr>
      </w:r>
      <w:r>
        <w:rPr>
          <w:lang w:val="en_US" w:bidi="en_US"/>
        </w:rPr>
        <w:t>Translate the figure of speech and indicate the meaning. For example:</w:t>
      </w:r>
      <w:r>
        <w:rPr>
          <w:lang w:val="en_US" w:bidi="en_US"/>
        </w:rPr>
        <w:t>when you have repented and turned to me again (NLT)</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when you have repented</w:t>
      </w:r>
    </w:p>
    <w:p>
      <w:pPr>
        <w:pStyle w:val="ListBullet"/>
        <w:spacing w:line="240" w:lineRule="auto"/>
        <w:ind w:left="720"/>
      </w:pPr>
      <w:r>
        <w:rPr>
          <w:lang w:val="en_US" w:bidi="en_US"/>
        </w:rPr>
      </w:r>
      <w:r>
        <w:rPr>
          <w:lang w:val="en_US" w:bidi="en_US"/>
        </w:rPr>
        <w:t>Use a figure of speech in your language that has the same meaning.</w:t>
      </w:r>
    </w:p>
    <w:p>
      <w:pPr>
        <w:pStyle w:val="ListBullet"/>
        <w:spacing w:line="240" w:lineRule="auto"/>
        <w:ind w:left="720"/>
      </w:pPr>
      <w:r>
        <w:rPr>
          <w:lang w:val="en_US" w:bidi="en_US"/>
        </w:rPr>
      </w:r>
      <w:r>
        <w:rPr>
          <w:lang w:val="en_US" w:bidi="en_US"/>
        </w:rPr>
        <w:t>Translate the meaning in a natural way in your language.</w:t>
      </w:r>
    </w:p>
    <w:p>
      <w:pPr>
        <w:pStyle w:val="Heading5"/>
      </w:pPr>
      <w:r>
        <w:rPr>
          <w:lang w:val="en_US" w:bidi="en_US"/>
        </w:rPr>
        <w:t>22:32d</w:t>
      </w:r>
    </w:p>
    <w:p>
      <w:pPr/>
      <w:r>
        <w:rPr>
          <w:lang w:val="en_US" w:bidi="en_US"/>
        </w:rPr>
      </w:r>
      <w:r>
        <w:rPr>
          <w:b/>
          <w:lang w:val="en_US" w:bidi="en_US"/>
        </w:rPr>
        <w:t>strengthen your brothers.”</w:t>
      </w:r>
    </w:p>
    <w:p>
      <w:pPr>
        <w:pStyle w:val="ListBullet"/>
        <w:spacing w:line="240" w:lineRule="auto"/>
        <w:ind w:left="720"/>
      </w:pPr>
      <w:r>
        <w:rPr>
          <w:lang w:val="en_US" w:bidi="en_US"/>
        </w:rPr>
      </w:r>
      <w:r>
        <w:rPr>
          <w:lang w:val="en_US" w:bidi="en_US"/>
        </w:rPr>
        <w:t xml:space="preserve">encourage </w:t>
      </w:r>
      <w:r>
        <w:rPr>
          <w:lang w:val="en_US" w:bidi="en_US"/>
        </w:rPr>
        <w:t>these</w:t>
      </w:r>
      <w:r>
        <w:rPr>
          <w:lang w:val="en_US" w:bidi="en_US"/>
        </w:rPr>
        <w:t xml:space="preserve"> your brothers.”</w:t>
      </w:r>
    </w:p>
    <w:p>
      <w:pPr>
        <w:pStyle w:val="ListBullet"/>
        <w:spacing w:line="240" w:lineRule="auto"/>
        <w:ind w:left="720"/>
      </w:pPr>
      <w:r>
        <w:rPr>
          <w:lang w:val="en_US" w:bidi="en_US"/>
        </w:rPr>
      </w:r>
      <w:r>
        <w:rPr>
          <w:lang w:val="en_US" w:bidi="en_US"/>
        </w:rPr>
        <w:t>help your</w:t>
      </w:r>
      <w:r>
        <w:rPr>
          <w:vertAlign w:val="superscript"/>
          <w:lang w:val="en_US" w:bidi="en_US"/>
        </w:rPr>
        <w:t>(sing)</w:t>
      </w:r>
      <w:r>
        <w:rPr>
          <w:lang w:val="en_US" w:bidi="en_US"/>
        </w:rPr>
        <w:t xml:space="preserve"> fellow disciples </w:t>
      </w:r>
      <w:r>
        <w:rPr>
          <w:lang w:val="en_US" w:bidi="en_US"/>
        </w:rPr>
        <w:t>to trust me</w:t>
      </w:r>
      <w:r>
        <w:rPr>
          <w:lang w:val="en_US" w:bidi="en_US"/>
        </w:rPr>
        <w:t xml:space="preserve"> faithfully also.”</w:t>
      </w:r>
    </w:p>
    <w:p>
      <w:pPr/>
      <w:r>
        <w:rPr>
          <w:lang w:val="en_US" w:bidi="en_US"/>
        </w:rPr>
      </w:r>
      <w:r>
        <w:rPr>
          <w:b/>
          <w:lang w:val="en_US" w:bidi="en_US"/>
        </w:rPr>
        <w:t>strengthen your brothers:</w:t>
      </w:r>
      <w:r>
        <w:rPr>
          <w:lang w:val="en_US" w:bidi="en_US"/>
        </w:rPr>
        <w:t xml:space="preserve"> The command </w:t>
      </w:r>
      <w:r>
        <w:rPr>
          <w:i/>
          <w:lang w:val="en_US" w:bidi="en_US"/>
        </w:rPr>
        <w:t>strengthen your brothers</w:t>
      </w:r>
      <w:r>
        <w:rPr>
          <w:lang w:val="en_US" w:bidi="en_US"/>
        </w:rPr>
        <w:t xml:space="preserve"> indicates that Simon should encourage his fellow disciples. He should help them to continue to trust Jesus and be faithful to him. Jesus was about to suffer and die. During that time, Satan would tempt all the apostles to become discouraged. The command to </w:t>
      </w:r>
      <w:r>
        <w:rPr>
          <w:i/>
          <w:lang w:val="en_US" w:bidi="en_US"/>
        </w:rPr>
        <w:t>strengthen</w:t>
      </w:r>
      <w:r>
        <w:rPr>
          <w:lang w:val="en_US" w:bidi="en_US"/>
        </w:rPr>
        <w:t xml:space="preserve"> them indicates that Simon Peter should encourage them to faithfully trust Jesus.</w:t>
      </w:r>
    </w:p>
    <w:p>
      <w:pPr/>
      <w:r>
        <w:rPr>
          <w:lang w:val="en_US" w:bidi="en_US"/>
        </w:rPr>
      </w:r>
      <w:r>
        <w:rPr>
          <w:lang w:val="en_US" w:bidi="en_US"/>
        </w:rPr>
        <w:t>Other ways to translate this command are:</w:t>
      </w:r>
    </w:p>
    <w:p>
      <w:pPr/>
      <w:r>
        <w:rPr>
          <w:lang w:val="en_US" w:bidi="en_US"/>
        </w:rPr>
      </w:r>
      <w:r>
        <w:rPr>
          <w:lang w:val="en_US" w:bidi="en_US"/>
        </w:rPr>
        <w:t>encourage your companions</w:t>
      </w:r>
    </w:p>
    <w:p>
      <w:pPr/>
      <w:r>
        <w:rPr>
          <w:lang w:val="en_US" w:bidi="en_US"/>
        </w:rPr>
      </w:r>
      <w:r>
        <w:rPr>
          <w:lang w:val="en_US" w:bidi="en_US"/>
        </w:rPr>
        <w:t xml:space="preserve">help your fellow apostles </w:t>
      </w:r>
      <w:r>
        <w:rPr>
          <w:lang w:val="en_US" w:bidi="en_US"/>
        </w:rPr>
        <w:t>to faithfully trust me</w:t>
      </w:r>
    </w:p>
    <w:p>
      <w:pPr/>
      <w:r>
        <w:rPr>
          <w:lang w:val="en_US" w:bidi="en_US"/>
        </w:rPr>
      </w:r>
      <w:r>
        <w:rPr>
          <w:b/>
          <w:lang w:val="en_US" w:bidi="en_US"/>
        </w:rPr>
        <w:t>your brothers:</w:t>
      </w:r>
      <w:r>
        <w:rPr>
          <w:lang w:val="en_US" w:bidi="en_US"/>
        </w:rPr>
        <w:t xml:space="preserve"> Here Jesus referred to the other apostles. He may also have referred to all the other people who followed him. Jesus used the word </w:t>
      </w:r>
      <w:r>
        <w:rPr>
          <w:i/>
          <w:lang w:val="en_US" w:bidi="en_US"/>
        </w:rPr>
        <w:t>brothers</w:t>
      </w:r>
      <w:r>
        <w:rPr>
          <w:lang w:val="en_US" w:bidi="en_US"/>
        </w:rPr>
        <w:t xml:space="preserve"> in a figurative way here. Most of the other apostles were not Peter’s relatives in a physical sense. They shared a spiritual kinship by being children of God and followers of Jesus.</w:t>
      </w:r>
    </w:p>
    <w:p>
      <w:pPr/>
      <w:r>
        <w:rPr>
          <w:lang w:val="en_US" w:bidi="en_US"/>
        </w:rPr>
      </w:r>
      <w:r>
        <w:rPr>
          <w:lang w:val="en_US" w:bidi="en_US"/>
        </w:rPr>
        <w:t>In some languages, it is helpful to make the meaning more explicit. For example:</w:t>
      </w:r>
    </w:p>
    <w:p>
      <w:pPr/>
      <w:r>
        <w:rPr>
          <w:lang w:val="en_US" w:bidi="en_US"/>
        </w:rPr>
      </w:r>
      <w:r>
        <w:rPr>
          <w:lang w:val="en_US" w:bidi="en_US"/>
        </w:rPr>
        <w:t>your</w:t>
      </w:r>
      <w:r>
        <w:rPr>
          <w:vertAlign w:val="superscript"/>
          <w:lang w:val="en_US" w:bidi="en_US"/>
        </w:rPr>
        <w:t>(sing)</w:t>
      </w:r>
      <w:r>
        <w:rPr>
          <w:lang w:val="en_US" w:bidi="en_US"/>
        </w:rPr>
        <w:t xml:space="preserve"> fellow apostles/disciples</w:t>
      </w:r>
    </w:p>
    <w:p>
      <w:pPr/>
      <w:r>
        <w:rPr>
          <w:lang w:val="en_US" w:bidi="en_US"/>
        </w:rPr>
      </w:r>
      <w:r>
        <w:rPr>
          <w:lang w:val="en_US" w:bidi="en_US"/>
        </w:rPr>
        <w:t xml:space="preserve">your companions </w:t>
      </w:r>
      <w:r>
        <w:rPr>
          <w:lang w:val="en_US" w:bidi="en_US"/>
        </w:rPr>
        <w:t>who follow me</w:t>
      </w:r>
      <w:r>
        <w:rPr>
          <w:lang w:val="en_US" w:bidi="en_US"/>
        </w:rPr>
      </w:r>
      <w:r>
        <w:rPr>
          <w:lang w:val="en_US" w:bidi="en_US"/>
        </w:rPr>
      </w:r>
    </w:p>
    <w:p>
      <w:pPr/>
      <w:r>
        <w:rPr>
          <w:lang w:val="en_US" w:bidi="en_US"/>
        </w:rPr>
      </w:r>
    </w:p>
    <w:p>
      <w:pPr>
        <w:pStyle w:val="Heading2"/>
      </w:pPr>
      <w:r>
        <w:rPr>
          <w:lang w:val="en_US" w:bidi="en_US"/>
        </w:rPr>
        <w:t>Luke 22:33</w:t>
      </w:r>
      <w:r>
        <w:rPr>
          <w:lang w:val="en_US" w:bidi="en_US"/>
        </w:rPr>
      </w:r>
    </w:p>
    <w:p>
      <w:pPr>
        <w:pStyle w:val="Heading4"/>
      </w:pPr>
      <w:r>
        <w:rPr>
          <w:lang w:val="en_US" w:bidi="en_US"/>
        </w:rPr>
        <w:t>Section 22:31–38: Jesus predicted that Peter would deny him</w:t>
      </w:r>
    </w:p>
    <w:p>
      <w:pPr/>
      <w:r>
        <w:rPr>
          <w:lang w:val="en_US" w:bidi="en_US"/>
        </w:rPr>
      </w:r>
      <w:r>
        <w:rPr>
          <w:lang w:val="en_US" w:bidi="en_US"/>
        </w:rPr>
        <w:t>In this section Jesus warned Peter that Satan wanted to test the disciples severely. Peter told Jesus that he would always be faithful to him, but Jesus said to him, “This same night you (Peter) will say three times that you do not know me.”</w:t>
      </w:r>
    </w:p>
    <w:p>
      <w:pPr/>
      <w:r>
        <w:rPr>
          <w:lang w:val="en_US" w:bidi="en_US"/>
        </w:rPr>
      </w:r>
      <w:r>
        <w:rPr>
          <w:lang w:val="en_US" w:bidi="en_US"/>
        </w:rPr>
        <w:t>In the second part of the section, Jesus reminded his apostles of the time that he sent them out to preach and heal (chapters 9–10). At that time, they did not need to take anything with them. People welcomed them and took care of them as they preached about Jesus. But now, people would say that Jesus was an evil doer, just as the prophets had written in the Scriptures. So Jesus warned his apostles to prepare for this time of difficulty and danger.</w:t>
      </w:r>
    </w:p>
    <w:p>
      <w:pPr/>
      <w:r>
        <w:rPr>
          <w:lang w:val="en_US" w:bidi="en_US"/>
        </w:rPr>
      </w:r>
      <w:r>
        <w:rPr>
          <w:lang w:val="en_US" w:bidi="en_US"/>
        </w:rPr>
        <w:t>Some other examples of headings for this section are:</w:t>
      </w:r>
    </w:p>
    <w:p>
      <w:pPr/>
      <w:r>
        <w:rPr>
          <w:lang w:val="en_US" w:bidi="en_US"/>
        </w:rPr>
      </w:r>
      <w:r>
        <w:rPr>
          <w:lang w:val="en_US" w:bidi="en_US"/>
        </w:rPr>
        <w:t>Jesus Predicts Peter’s Denial (GNT)</w:t>
      </w:r>
    </w:p>
    <w:p>
      <w:pPr/>
      <w:r>
        <w:rPr>
          <w:lang w:val="en_US" w:bidi="en_US"/>
        </w:rPr>
      </w:r>
      <w:r>
        <w:rPr>
          <w:lang w:val="en_US" w:bidi="en_US"/>
        </w:rPr>
        <w:t>Jesus’ Disciples Will Be Tested (CEV)</w:t>
      </w:r>
    </w:p>
    <w:p>
      <w:pPr/>
      <w:r>
        <w:rPr>
          <w:lang w:val="en_US" w:bidi="en_US"/>
        </w:rPr>
      </w:r>
      <w:r>
        <w:rPr>
          <w:lang w:val="en_US" w:bidi="en_US"/>
        </w:rPr>
        <w:t>There are parallel passages for this section in Matthew 26:31–35, Mark 14:27–31, and John 13:36–38.</w:t>
      </w:r>
    </w:p>
    <w:p>
      <w:pPr>
        <w:pStyle w:val="Heading5"/>
      </w:pPr>
      <w:r>
        <w:rPr>
          <w:lang w:val="en_US" w:bidi="en_US"/>
        </w:rPr>
        <w:t>22:33</w:t>
      </w:r>
    </w:p>
    <w:p>
      <w:pPr/>
      <w:r>
        <w:rPr>
          <w:lang w:val="en_US" w:bidi="en_US"/>
        </w:rPr>
      </w:r>
      <w:r>
        <w:rPr>
          <w:lang w:val="en_US" w:bidi="en_US"/>
        </w:rPr>
        <w:t>In the Greek, 22:33a begins with a conjunction that several versions, such as the NASB, NET, and NIV, translate as “but.” It is a common conjunction that can also be translated as “and.” The same conjunction was used in 22:32, and the BSB and many other English versions do not translate it here. Introduce Peter’s reply in a natural way in your language.</w:t>
      </w:r>
    </w:p>
    <w:p>
      <w:pPr>
        <w:pStyle w:val="Heading5"/>
      </w:pPr>
      <w:r>
        <w:rPr>
          <w:lang w:val="en_US" w:bidi="en_US"/>
        </w:rPr>
        <w:t>22:33a</w:t>
      </w:r>
    </w:p>
    <w:p>
      <w:pPr/>
      <w:r>
        <w:rPr>
          <w:lang w:val="en_US" w:bidi="en_US"/>
        </w:rPr>
      </w:r>
      <w:r>
        <w:rPr>
          <w:b/>
          <w:lang w:val="en_US" w:bidi="en_US"/>
        </w:rPr>
        <w:t>“Lord,” said Peter, “I am ready to go with You even to prison</w:t>
      </w:r>
    </w:p>
    <w:p>
      <w:pPr>
        <w:pStyle w:val="ListBullet"/>
        <w:spacing w:line="240" w:lineRule="auto"/>
        <w:ind w:left="720"/>
      </w:pPr>
      <w:r>
        <w:rPr>
          <w:lang w:val="en_US" w:bidi="en_US"/>
        </w:rPr>
      </w:r>
      <w:r>
        <w:rPr>
          <w:lang w:val="en_US" w:bidi="en_US"/>
        </w:rPr>
        <w:t>But Simon Peter said, “Lord, I am ready/prepared to be a prisoner with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Then he replied/protested, “</w:t>
      </w:r>
      <w:r>
        <w:rPr>
          <w:lang w:val="en_US" w:bidi="en_US"/>
        </w:rPr>
        <w:t>You</w:t>
      </w:r>
      <w:r>
        <w:rPr>
          <w:vertAlign w:val="superscript"/>
          <w:lang w:val="en_US" w:bidi="en_US"/>
        </w:rPr>
        <w:t>(sing)</w:t>
      </w:r>
      <w:r>
        <w:rPr>
          <w:lang w:val="en_US" w:bidi="en_US"/>
        </w:rPr>
        <w:t xml:space="preserve"> </w:t>
      </w:r>
      <w:r>
        <w:rPr>
          <w:lang w:val="en_US" w:bidi="en_US"/>
        </w:rPr>
        <w:t>are my</w:t>
      </w:r>
      <w:r>
        <w:rPr>
          <w:lang w:val="en_US" w:bidi="en_US"/>
        </w:rPr>
        <w:t xml:space="preserve"> Lord. </w:t>
      </w:r>
      <w:r>
        <w:rPr>
          <w:lang w:val="en_US" w:bidi="en_US"/>
        </w:rPr>
        <w:t>I will be faithful to you</w:t>
      </w:r>
      <w:r>
        <w:rPr>
          <w:lang w:val="en_US" w:bidi="en_US"/>
        </w:rPr>
        <w:t>, even if I must go to prison with you</w:t>
      </w:r>
    </w:p>
    <w:p>
      <w:pPr>
        <w:pStyle w:val="Heading5"/>
      </w:pPr>
      <w:r>
        <w:rPr>
          <w:lang w:val="en_US" w:bidi="en_US"/>
        </w:rPr>
        <w:t>22:33b</w:t>
      </w:r>
    </w:p>
    <w:p>
      <w:pPr/>
      <w:r>
        <w:rPr>
          <w:lang w:val="en_US" w:bidi="en_US"/>
        </w:rPr>
      </w:r>
      <w:r>
        <w:rPr>
          <w:b/>
          <w:lang w:val="en_US" w:bidi="en_US"/>
        </w:rPr>
        <w:t>and to death.”</w:t>
      </w:r>
    </w:p>
    <w:p>
      <w:pPr>
        <w:pStyle w:val="ListBullet"/>
        <w:spacing w:line="240" w:lineRule="auto"/>
        <w:ind w:left="720"/>
      </w:pPr>
      <w:r>
        <w:rPr>
          <w:lang w:val="en_US" w:bidi="en_US"/>
        </w:rPr>
      </w:r>
      <w:r>
        <w:rPr>
          <w:lang w:val="en_US" w:bidi="en_US"/>
        </w:rPr>
        <w:t xml:space="preserve">I am </w:t>
      </w:r>
      <w:r>
        <w:rPr>
          <w:lang w:val="en_US" w:bidi="en_US"/>
        </w:rPr>
        <w:t>even/also</w:t>
      </w:r>
      <w:r>
        <w:rPr>
          <w:lang w:val="en_US" w:bidi="en_US"/>
        </w:rPr>
        <w:t xml:space="preserve"> ready to die with you.”</w:t>
      </w:r>
    </w:p>
    <w:p>
      <w:pPr>
        <w:pStyle w:val="ListBullet"/>
        <w:spacing w:line="240" w:lineRule="auto"/>
        <w:ind w:left="720"/>
      </w:pPr>
      <w:r>
        <w:rPr>
          <w:lang w:val="en_US" w:bidi="en_US"/>
        </w:rPr>
      </w:r>
      <w:r>
        <w:rPr>
          <w:lang w:val="en_US" w:bidi="en_US"/>
        </w:rPr>
        <w:t>or die with you.”</w:t>
      </w:r>
    </w:p>
    <w:p>
      <w:pPr>
        <w:pStyle w:val="Heading5"/>
      </w:pPr>
      <w:r>
        <w:rPr>
          <w:lang w:val="en_US" w:bidi="en_US"/>
        </w:rPr>
        <w:t>22:33a–b</w:t>
      </w:r>
    </w:p>
    <w:p>
      <w:pPr/>
      <w:r>
        <w:rPr>
          <w:lang w:val="en_US" w:bidi="en_US"/>
        </w:rPr>
      </w:r>
      <w:r>
        <w:rPr>
          <w:b/>
          <w:lang w:val="en_US" w:bidi="en_US"/>
        </w:rPr>
        <w:t>“Lord,” said Peter:</w:t>
      </w:r>
      <w:r>
        <w:rPr>
          <w:lang w:val="en_US" w:bidi="en_US"/>
        </w:rPr>
        <w:t xml:space="preserve"> The clause </w:t>
      </w:r>
      <w:r>
        <w:rPr>
          <w:i/>
          <w:lang w:val="en_US" w:bidi="en_US"/>
        </w:rPr>
        <w:t>“Lord,” said Peter</w:t>
      </w:r>
      <w:r>
        <w:rPr>
          <w:lang w:val="en_US" w:bidi="en_US"/>
        </w:rPr>
        <w:t xml:space="preserve"> is literally “and he said to him, ‘Lord.’” The BSB places the words </w:t>
      </w:r>
      <w:r>
        <w:rPr>
          <w:i/>
          <w:lang w:val="en_US" w:bidi="en_US"/>
        </w:rPr>
        <w:t>said Peter</w:t>
      </w:r>
      <w:r>
        <w:rPr>
          <w:lang w:val="en_US" w:bidi="en_US"/>
        </w:rPr>
        <w:t xml:space="preserve"> in the middle of what Peter said to Jesus. In some languages, it may be necessary to place these words at the beginning of 22:33a, as they are in Greek. For example:</w:t>
      </w:r>
    </w:p>
    <w:p>
      <w:pPr/>
      <w:r>
        <w:rPr>
          <w:lang w:val="en_US" w:bidi="en_US"/>
        </w:rPr>
      </w:r>
      <w:r>
        <w:rPr>
          <w:lang w:val="en_US" w:bidi="en_US"/>
        </w:rPr>
        <w:t>But he replied, “Lord…” (NIV)</w:t>
      </w:r>
    </w:p>
    <w:p>
      <w:pPr/>
      <w:r>
        <w:rPr>
          <w:lang w:val="en_US" w:bidi="en_US"/>
        </w:rPr>
      </w:r>
      <w:r>
        <w:rPr>
          <w:lang w:val="en_US" w:bidi="en_US"/>
        </w:rPr>
        <w:t>In some languages you may need to use names to indicate who replied to whom. Notice that in 22:34 Jesus addressed Simon Peter as “Peter,” instead of “Simon,” as in 22:31–32. In some languages it may be helpful to use both of his names in the introductory clause. For example:</w:t>
      </w:r>
    </w:p>
    <w:p>
      <w:pPr/>
      <w:r>
        <w:rPr>
          <w:lang w:val="en_US" w:bidi="en_US"/>
        </w:rPr>
      </w:r>
      <w:r>
        <w:rPr>
          <w:lang w:val="en_US" w:bidi="en_US"/>
        </w:rPr>
        <w:t>Simon Peter said to Jesus</w:t>
      </w:r>
    </w:p>
    <w:p>
      <w:pPr/>
      <w:r>
        <w:rPr>
          <w:lang w:val="en_US" w:bidi="en_US"/>
        </w:rPr>
      </w:r>
      <w:r>
        <w:rPr>
          <w:lang w:val="en_US" w:bidi="en_US"/>
        </w:rPr>
        <w:t>Simon Peter replied</w:t>
      </w:r>
    </w:p>
    <w:p>
      <w:pPr/>
      <w:r>
        <w:rPr>
          <w:lang w:val="en_US" w:bidi="en_US"/>
        </w:rPr>
      </w:r>
      <w:r>
        <w:rPr>
          <w:b/>
          <w:lang w:val="en_US" w:bidi="en_US"/>
        </w:rPr>
        <w:t>Lord:</w:t>
      </w:r>
      <w:r>
        <w:rPr>
          <w:lang w:val="en_US" w:bidi="en_US"/>
        </w:rPr>
        <w:t xml:space="preserve"> Peter addressed Jesus as </w:t>
      </w:r>
      <w:r>
        <w:rPr>
          <w:i/>
          <w:lang w:val="en_US" w:bidi="en_US"/>
        </w:rPr>
        <w:t>Lord</w:t>
      </w:r>
      <w:r>
        <w:rPr>
          <w:lang w:val="en_US" w:bidi="en_US"/>
        </w:rPr>
        <w:t xml:space="preserve"> to show great respect for him. See the notes on 17:5 and 17:37a for more information. See also how you translated Lord in 17:37.</w:t>
      </w:r>
    </w:p>
    <w:p>
      <w:pPr/>
      <w:r>
        <w:rPr>
          <w:lang w:val="en_US" w:bidi="en_US"/>
        </w:rPr>
      </w:r>
      <w:r>
        <w:rPr>
          <w:b/>
          <w:lang w:val="en_US" w:bidi="en_US"/>
        </w:rPr>
        <w:t>I am ready to go with You even to prison and to death:</w:t>
      </w:r>
      <w:r>
        <w:rPr>
          <w:lang w:val="en_US" w:bidi="en_US"/>
        </w:rPr>
        <w:t xml:space="preserve"> In the Greek, this clause is more literally, “With you I am prepared even to prison and to death to go.” Peter emphasized that he would stay faithful to Jesus, even if he had to go to prison with him or die with him. If Jesus’ enemies put him in jail with Jesus or even killed him, Peter would continue to trust him.</w:t>
      </w:r>
    </w:p>
    <w:p>
      <w:pPr/>
      <w:r>
        <w:rPr>
          <w:lang w:val="en_US" w:bidi="en_US"/>
        </w:rPr>
      </w:r>
      <w:r>
        <w:rPr>
          <w:lang w:val="en_US" w:bidi="en_US"/>
        </w:rPr>
        <w:t>Some other ways to translate this clause are:</w:t>
      </w:r>
    </w:p>
    <w:p>
      <w:pPr/>
      <w:r>
        <w:rPr>
          <w:lang w:val="en_US" w:bidi="en_US"/>
        </w:rPr>
      </w:r>
      <w:r>
        <w:rPr>
          <w:lang w:val="en_US" w:bidi="en_US"/>
        </w:rPr>
        <w:t>I am prepared to be imprisoned with you and also to be killed with you.</w:t>
      </w:r>
    </w:p>
    <w:p>
      <w:pPr/>
      <w:r>
        <w:rPr>
          <w:lang w:val="en_US" w:bidi="en_US"/>
        </w:rPr>
      </w:r>
      <w:r>
        <w:rPr>
          <w:lang w:val="en_US" w:bidi="en_US"/>
        </w:rPr>
        <w:t>I will be faithful to you, whatever happens.</w:t>
      </w:r>
      <w:r>
        <w:rPr>
          <w:lang w:val="en_US" w:bidi="en_US"/>
        </w:rPr>
        <w:t xml:space="preserve"> I will go with you even to prison and be killed with you.</w:t>
      </w:r>
    </w:p>
    <w:p>
      <w:pPr/>
      <w:r>
        <w:rPr>
          <w:lang w:val="en_US" w:bidi="en_US"/>
        </w:rPr>
      </w:r>
      <w:r>
        <w:rPr>
          <w:b/>
          <w:lang w:val="en_US" w:bidi="en_US"/>
        </w:rPr>
        <w:t>and to death:</w:t>
      </w:r>
      <w:r>
        <w:rPr>
          <w:lang w:val="en_US" w:bidi="en_US"/>
        </w:rPr>
        <w:t xml:space="preserve"> Peter indicated here that he was so faithful to Jesus that he was ready to allow people to kill him rather than to stop following him. In some languages it may be more natural to translate this as a separate clause. For example:</w:t>
      </w:r>
    </w:p>
    <w:p>
      <w:pPr/>
      <w:r>
        <w:rPr>
          <w:lang w:val="en_US" w:bidi="en_US"/>
        </w:rPr>
      </w:r>
      <w:r>
        <w:rPr>
          <w:lang w:val="en_US" w:bidi="en_US"/>
        </w:rPr>
        <w:t>I am ready/willing to die with you.</w:t>
      </w:r>
      <w:r>
        <w:rPr>
          <w:lang w:val="en_US" w:bidi="en_US"/>
        </w:rPr>
      </w:r>
      <w:r>
        <w:rPr>
          <w:lang w:val="en_US" w:bidi="en_US"/>
        </w:rPr>
      </w:r>
    </w:p>
    <w:p>
      <w:pPr/>
      <w:r>
        <w:rPr>
          <w:lang w:val="en_US" w:bidi="en_US"/>
        </w:rPr>
      </w:r>
    </w:p>
    <w:p>
      <w:pPr>
        <w:pStyle w:val="Heading2"/>
      </w:pPr>
      <w:r>
        <w:rPr>
          <w:lang w:val="en_US" w:bidi="en_US"/>
        </w:rPr>
        <w:t>Luke 22:34</w:t>
      </w:r>
      <w:r>
        <w:rPr>
          <w:lang w:val="en_US" w:bidi="en_US"/>
        </w:rPr>
      </w:r>
    </w:p>
    <w:p>
      <w:pPr>
        <w:pStyle w:val="Heading4"/>
      </w:pPr>
      <w:r>
        <w:rPr>
          <w:lang w:val="en_US" w:bidi="en_US"/>
        </w:rPr>
        <w:t>Section 22:31–38: Jesus predicted that Peter would deny him</w:t>
      </w:r>
    </w:p>
    <w:p>
      <w:pPr/>
      <w:r>
        <w:rPr>
          <w:lang w:val="en_US" w:bidi="en_US"/>
        </w:rPr>
      </w:r>
      <w:r>
        <w:rPr>
          <w:lang w:val="en_US" w:bidi="en_US"/>
        </w:rPr>
        <w:t>In this section Jesus warned Peter that Satan wanted to test the disciples severely. Peter told Jesus that he would always be faithful to him, but Jesus said to him, “This same night you (Peter) will say three times that you do not know me.”</w:t>
      </w:r>
    </w:p>
    <w:p>
      <w:pPr/>
      <w:r>
        <w:rPr>
          <w:lang w:val="en_US" w:bidi="en_US"/>
        </w:rPr>
      </w:r>
      <w:r>
        <w:rPr>
          <w:lang w:val="en_US" w:bidi="en_US"/>
        </w:rPr>
        <w:t>In the second part of the section, Jesus reminded his apostles of the time that he sent them out to preach and heal (chapters 9–10). At that time, they did not need to take anything with them. People welcomed them and took care of them as they preached about Jesus. But now, people would say that Jesus was an evil doer, just as the prophets had written in the Scriptures. So Jesus warned his apostles to prepare for this time of difficulty and danger.</w:t>
      </w:r>
    </w:p>
    <w:p>
      <w:pPr/>
      <w:r>
        <w:rPr>
          <w:lang w:val="en_US" w:bidi="en_US"/>
        </w:rPr>
      </w:r>
      <w:r>
        <w:rPr>
          <w:lang w:val="en_US" w:bidi="en_US"/>
        </w:rPr>
        <w:t>Some other examples of headings for this section are:</w:t>
      </w:r>
    </w:p>
    <w:p>
      <w:pPr/>
      <w:r>
        <w:rPr>
          <w:lang w:val="en_US" w:bidi="en_US"/>
        </w:rPr>
      </w:r>
      <w:r>
        <w:rPr>
          <w:lang w:val="en_US" w:bidi="en_US"/>
        </w:rPr>
        <w:t>Jesus Predicts Peter’s Denial (GNT)</w:t>
      </w:r>
    </w:p>
    <w:p>
      <w:pPr/>
      <w:r>
        <w:rPr>
          <w:lang w:val="en_US" w:bidi="en_US"/>
        </w:rPr>
      </w:r>
      <w:r>
        <w:rPr>
          <w:lang w:val="en_US" w:bidi="en_US"/>
        </w:rPr>
        <w:t>Jesus’ Disciples Will Be Tested (CEV)</w:t>
      </w:r>
    </w:p>
    <w:p>
      <w:pPr/>
      <w:r>
        <w:rPr>
          <w:lang w:val="en_US" w:bidi="en_US"/>
        </w:rPr>
      </w:r>
      <w:r>
        <w:rPr>
          <w:lang w:val="en_US" w:bidi="en_US"/>
        </w:rPr>
        <w:t>There are parallel passages for this section in Matthew 26:31–35, Mark 14:27–31, and John 13:36–38.</w:t>
      </w:r>
    </w:p>
    <w:p>
      <w:pPr>
        <w:pStyle w:val="Heading5"/>
      </w:pPr>
      <w:r>
        <w:rPr>
          <w:lang w:val="en_US" w:bidi="en_US"/>
        </w:rPr>
        <w:t>22:34a</w:t>
      </w:r>
    </w:p>
    <w:p>
      <w:pPr/>
      <w:r>
        <w:rPr>
          <w:lang w:val="en_US" w:bidi="en_US"/>
        </w:rPr>
      </w:r>
      <w:r>
        <w:rPr>
          <w:b/>
          <w:lang w:val="en_US" w:bidi="en_US"/>
        </w:rPr>
        <w:t>But Jesus replied, “I tell you, Peter,</w:t>
      </w:r>
    </w:p>
    <w:p>
      <w:pPr>
        <w:pStyle w:val="ListBullet"/>
        <w:spacing w:line="240" w:lineRule="auto"/>
        <w:ind w:left="720"/>
      </w:pPr>
      <w:r>
        <w:rPr>
          <w:lang w:val="en_US" w:bidi="en_US"/>
        </w:rPr>
      </w:r>
      <w:r>
        <w:rPr>
          <w:lang w:val="en_US" w:bidi="en_US"/>
        </w:rPr>
        <w:t>But</w:t>
      </w:r>
      <w:r>
        <w:rPr>
          <w:lang w:val="en_US" w:bidi="en_US"/>
        </w:rPr>
        <w:t xml:space="preserve"> Jesus said, “Peter, I tell you</w:t>
      </w:r>
      <w:r>
        <w:rPr>
          <w:vertAlign w:val="superscript"/>
          <w:lang w:val="en_US" w:bidi="en_US"/>
        </w:rPr>
        <w:t>(sing)</w:t>
      </w:r>
      <w:r>
        <w:rPr>
          <w:lang w:val="en_US" w:bidi="en_US"/>
        </w:rPr>
        <w:t xml:space="preserve"> this.</w:t>
      </w:r>
    </w:p>
    <w:p>
      <w:pPr>
        <w:pStyle w:val="ListBullet"/>
        <w:spacing w:line="240" w:lineRule="auto"/>
        <w:ind w:left="720"/>
      </w:pPr>
      <w:r>
        <w:rPr>
          <w:lang w:val="en_US" w:bidi="en_US"/>
        </w:rPr>
      </w:r>
      <w:r>
        <w:rPr>
          <w:lang w:val="en_US" w:bidi="en_US"/>
        </w:rPr>
        <w:t xml:space="preserve">Jesus </w:t>
      </w:r>
      <w:r>
        <w:rPr>
          <w:lang w:val="en_US" w:bidi="en_US"/>
        </w:rPr>
        <w:t>solemnly</w:t>
      </w:r>
      <w:r>
        <w:rPr>
          <w:lang w:val="en_US" w:bidi="en_US"/>
        </w:rPr>
        <w:t xml:space="preserve"> answered, “Peter, you</w:t>
      </w:r>
      <w:r>
        <w:rPr>
          <w:vertAlign w:val="superscript"/>
          <w:lang w:val="en_US" w:bidi="en_US"/>
        </w:rPr>
        <w:t>(sing)</w:t>
      </w:r>
      <w:r>
        <w:rPr>
          <w:lang w:val="en_US" w:bidi="en_US"/>
        </w:rPr>
        <w:t xml:space="preserve"> can be sure of this.</w:t>
      </w:r>
    </w:p>
    <w:p>
      <w:pPr/>
      <w:r>
        <w:rPr>
          <w:lang w:val="en_US" w:bidi="en_US"/>
        </w:rPr>
      </w:r>
      <w:r>
        <w:rPr>
          <w:b/>
          <w:lang w:val="en_US" w:bidi="en_US"/>
        </w:rPr>
        <w:t>I tell you, Peter:</w:t>
      </w:r>
      <w:r>
        <w:rPr>
          <w:lang w:val="en_US" w:bidi="en_US"/>
        </w:rPr>
        <w:t xml:space="preserve"> Jesus used the phrase </w:t>
      </w:r>
      <w:r>
        <w:rPr>
          <w:i/>
          <w:lang w:val="en_US" w:bidi="en_US"/>
        </w:rPr>
        <w:t>I tell you</w:t>
      </w:r>
      <w:r>
        <w:rPr>
          <w:lang w:val="en_US" w:bidi="en_US"/>
        </w:rPr>
        <w:t xml:space="preserve"> here as a solemn introduction to what he was about to say to Peter. Jesus often used the words </w:t>
      </w:r>
      <w:r>
        <w:rPr>
          <w:i/>
          <w:lang w:val="en_US" w:bidi="en_US"/>
        </w:rPr>
        <w:t>I tell you</w:t>
      </w:r>
      <w:r>
        <w:rPr>
          <w:lang w:val="en_US" w:bidi="en_US"/>
        </w:rPr>
        <w:t xml:space="preserve"> to introduce a statement that he wanted to emphasize. Here it indicates that the statement was important and that Peter should listen carefully to it. Some other ways to show this emphasis are:</w:t>
      </w:r>
    </w:p>
    <w:p>
      <w:pPr/>
      <w:r>
        <w:rPr>
          <w:lang w:val="en_US" w:bidi="en_US"/>
        </w:rPr>
      </w:r>
      <w:r>
        <w:rPr>
          <w:lang w:val="en_US" w:bidi="en_US"/>
        </w:rPr>
        <w:t>Peter, let me tell you this</w:t>
      </w:r>
    </w:p>
    <w:p>
      <w:pPr/>
      <w:r>
        <w:rPr>
          <w:lang w:val="en_US" w:bidi="en_US"/>
        </w:rPr>
      </w:r>
      <w:r>
        <w:rPr>
          <w:lang w:val="en_US" w:bidi="en_US"/>
        </w:rPr>
        <w:t>Listen carefully to this, Peter:</w:t>
      </w:r>
    </w:p>
    <w:p>
      <w:pPr/>
      <w:r>
        <w:rPr>
          <w:lang w:val="en_US" w:bidi="en_US"/>
        </w:rPr>
      </w:r>
      <w:r>
        <w:rPr>
          <w:lang w:val="en_US" w:bidi="en_US"/>
        </w:rPr>
        <w:t>I assure you, Peter</w:t>
      </w:r>
    </w:p>
    <w:p>
      <w:pPr/>
      <w:r>
        <w:rPr>
          <w:lang w:val="en_US" w:bidi="en_US"/>
        </w:rPr>
      </w:r>
      <w:r>
        <w:rPr>
          <w:lang w:val="en_US" w:bidi="en_US"/>
        </w:rPr>
        <w:t>If you have another way in your language to emphasize a statement or to alert people to listen with special attention, consider using it here.</w:t>
      </w:r>
    </w:p>
    <w:p>
      <w:pPr>
        <w:pStyle w:val="Heading5"/>
      </w:pPr>
      <w:r>
        <w:rPr>
          <w:lang w:val="en_US" w:bidi="en_US"/>
        </w:rPr>
        <w:t>22:34b</w:t>
      </w:r>
    </w:p>
    <w:p>
      <w:pPr/>
      <w:r>
        <w:rPr>
          <w:lang w:val="en_US" w:bidi="en_US"/>
        </w:rPr>
      </w:r>
      <w:r>
        <w:rPr>
          <w:b/>
          <w:lang w:val="en_US" w:bidi="en_US"/>
        </w:rPr>
        <w:t>the rooster will not crow today until</w:t>
      </w:r>
    </w:p>
    <w:p>
      <w:pPr>
        <w:pStyle w:val="ListBullet"/>
        <w:spacing w:line="240" w:lineRule="auto"/>
        <w:ind w:left="720"/>
      </w:pPr>
      <w:r>
        <w:rPr>
          <w:lang w:val="en_US" w:bidi="en_US"/>
        </w:rPr>
      </w:r>
      <w:r>
        <w:rPr>
          <w:lang w:val="en_US" w:bidi="en_US"/>
        </w:rPr>
        <w:t>Today before a rooster crows,</w:t>
      </w:r>
    </w:p>
    <w:p>
      <w:pPr>
        <w:pStyle w:val="ListBullet"/>
        <w:spacing w:line="240" w:lineRule="auto"/>
        <w:ind w:left="720"/>
      </w:pPr>
      <w:r>
        <w:rPr>
          <w:lang w:val="en_US" w:bidi="en_US"/>
        </w:rPr>
      </w:r>
      <w:r>
        <w:rPr>
          <w:lang w:val="en_US" w:bidi="en_US"/>
        </w:rPr>
        <w:t xml:space="preserve">Even this very night, before a cock crows/cries </w:t>
      </w:r>
      <w:r>
        <w:rPr>
          <w:lang w:val="en_US" w:bidi="en_US"/>
        </w:rPr>
        <w:t>at dawn</w:t>
      </w:r>
      <w:r>
        <w:rPr>
          <w:lang w:val="en_US" w:bidi="en_US"/>
        </w:rPr>
        <w:t>,</w:t>
      </w:r>
    </w:p>
    <w:p>
      <w:pPr/>
      <w:r>
        <w:rPr>
          <w:lang w:val="en_US" w:bidi="en_US"/>
        </w:rPr>
      </w:r>
      <w:r>
        <w:rPr>
          <w:b/>
          <w:lang w:val="en_US" w:bidi="en_US"/>
        </w:rPr>
        <w:t>the rooster will not crow today until:</w:t>
      </w:r>
      <w:r>
        <w:rPr>
          <w:lang w:val="en_US" w:bidi="en_US"/>
        </w:rPr>
        <w:t xml:space="preserve"> The clause </w:t>
      </w:r>
      <w:r>
        <w:rPr>
          <w:i/>
          <w:lang w:val="en_US" w:bidi="en_US"/>
        </w:rPr>
        <w:t>the rooster will not crow today until</w:t>
      </w:r>
      <w:r>
        <w:rPr>
          <w:lang w:val="en_US" w:bidi="en_US"/>
        </w:rPr>
        <w:t xml:space="preserve"> refers to a time later that same night. The Jewish day begins at sundown. Jesus said this sometime during the evening. Roosters crow early in the morning before sunrise. So Jesus indicated that Peter would deny him that night before sunrise. Refer to this time in a natural way in your language. Other ways to translate the clause are:</w:t>
      </w:r>
    </w:p>
    <w:p>
      <w:pPr/>
      <w:r>
        <w:rPr>
          <w:lang w:val="en_US" w:bidi="en_US"/>
        </w:rPr>
      </w:r>
      <w:r>
        <w:rPr>
          <w:lang w:val="en_US" w:bidi="en_US"/>
        </w:rPr>
        <w:t>before a rooster crows tomorrow morning (CEV)</w:t>
      </w:r>
    </w:p>
    <w:p>
      <w:pPr/>
      <w:r>
        <w:rPr>
          <w:lang w:val="en_US" w:bidi="en_US"/>
        </w:rPr>
      </w:r>
      <w:r>
        <w:rPr>
          <w:lang w:val="en_US" w:bidi="en_US"/>
        </w:rPr>
        <w:t>the rooster will not crow today until (NET)</w:t>
      </w:r>
    </w:p>
    <w:p>
      <w:pPr/>
      <w:r>
        <w:rPr>
          <w:lang w:val="en_US" w:bidi="en_US"/>
        </w:rPr>
      </w:r>
      <w:r>
        <w:rPr>
          <w:lang w:val="en_US" w:bidi="en_US"/>
        </w:rPr>
        <w:t>tonight before the rooster crows at dawn</w:t>
      </w:r>
    </w:p>
    <w:p>
      <w:pPr/>
      <w:r>
        <w:rPr>
          <w:lang w:val="en_US" w:bidi="en_US"/>
        </w:rPr>
      </w:r>
      <w:r>
        <w:rPr>
          <w:b/>
          <w:lang w:val="en_US" w:bidi="en_US"/>
        </w:rPr>
        <w:t>the rooster:</w:t>
      </w:r>
      <w:r>
        <w:rPr>
          <w:lang w:val="en_US" w:bidi="en_US"/>
        </w:rPr>
        <w:t xml:space="preserve"> The phrase </w:t>
      </w:r>
      <w:r>
        <w:rPr>
          <w:i/>
          <w:lang w:val="en_US" w:bidi="en_US"/>
        </w:rPr>
        <w:t>the rooster</w:t>
      </w:r>
      <w:r>
        <w:rPr>
          <w:lang w:val="en_US" w:bidi="en_US"/>
        </w:rPr>
        <w:t xml:space="preserve"> refers to a male cock. The phrase does not indicate that Jesus was thinking of any particular rooster. Some ways to translate this are:</w:t>
      </w:r>
    </w:p>
    <w:p>
      <w:pPr/>
      <w:r>
        <w:rPr>
          <w:lang w:val="en_US" w:bidi="en_US"/>
        </w:rPr>
      </w:r>
      <w:r>
        <w:rPr>
          <w:lang w:val="en_US" w:bidi="en_US"/>
        </w:rPr>
        <w:t>a rooster crows (CEV)</w:t>
      </w:r>
    </w:p>
    <w:p>
      <w:pPr/>
      <w:r>
        <w:rPr>
          <w:lang w:val="en_US" w:bidi="en_US"/>
        </w:rPr>
      </w:r>
      <w:r>
        <w:rPr>
          <w:lang w:val="en_US" w:bidi="en_US"/>
        </w:rPr>
        <w:t>a cock crows</w:t>
      </w:r>
    </w:p>
    <w:p>
      <w:pPr/>
      <w:r>
        <w:rPr>
          <w:lang w:val="en_US" w:bidi="en_US"/>
        </w:rPr>
      </w:r>
      <w:r>
        <w:rPr>
          <w:b/>
          <w:lang w:val="en_US" w:bidi="en_US"/>
        </w:rPr>
        <w:t>crow:</w:t>
      </w:r>
      <w:r>
        <w:rPr>
          <w:lang w:val="en_US" w:bidi="en_US"/>
        </w:rPr>
        <w:t xml:space="preserve"> The word </w:t>
      </w:r>
      <w:r>
        <w:rPr>
          <w:i/>
          <w:lang w:val="en_US" w:bidi="en_US"/>
        </w:rPr>
        <w:t>crow</w:t>
      </w:r>
      <w:r>
        <w:rPr>
          <w:lang w:val="en_US" w:bidi="en_US"/>
        </w:rPr>
        <w:t xml:space="preserve"> refers to the loud sound a rooster makes before dawn each day. Languages have different ways to describe this sound. For example:</w:t>
      </w:r>
    </w:p>
    <w:p>
      <w:pPr/>
      <w:r>
        <w:rPr>
          <w:lang w:val="en_US" w:bidi="en_US"/>
        </w:rPr>
      </w:r>
      <w:r>
        <w:rPr>
          <w:lang w:val="en_US" w:bidi="en_US"/>
        </w:rPr>
        <w:t>sings</w:t>
      </w:r>
    </w:p>
    <w:p>
      <w:pPr/>
      <w:r>
        <w:rPr>
          <w:lang w:val="en_US" w:bidi="en_US"/>
        </w:rPr>
      </w:r>
      <w:r>
        <w:rPr>
          <w:lang w:val="en_US" w:bidi="en_US"/>
        </w:rPr>
        <w:t>cries</w:t>
      </w:r>
    </w:p>
    <w:p>
      <w:pPr/>
      <w:r>
        <w:rPr>
          <w:lang w:val="en_US" w:bidi="en_US"/>
        </w:rPr>
      </w:r>
      <w:r>
        <w:rPr>
          <w:lang w:val="en_US" w:bidi="en_US"/>
        </w:rPr>
        <w:t>Use the natural way in your language to describe this sound that a rooster makes.</w:t>
      </w:r>
    </w:p>
    <w:p>
      <w:pPr>
        <w:pStyle w:val="Heading5"/>
      </w:pPr>
      <w:r>
        <w:rPr>
          <w:lang w:val="en_US" w:bidi="en_US"/>
        </w:rPr>
        <w:t>22:34c</w:t>
      </w:r>
    </w:p>
    <w:p>
      <w:pPr/>
      <w:r>
        <w:rPr>
          <w:lang w:val="en_US" w:bidi="en_US"/>
        </w:rPr>
      </w:r>
      <w:r>
        <w:rPr>
          <w:b/>
          <w:lang w:val="en_US" w:bidi="en_US"/>
        </w:rPr>
        <w:t>you have denied three times that you know Me.”</w:t>
      </w:r>
    </w:p>
    <w:p>
      <w:pPr>
        <w:pStyle w:val="ListBullet"/>
        <w:spacing w:line="240" w:lineRule="auto"/>
        <w:ind w:left="720"/>
      </w:pPr>
      <w:r>
        <w:rPr>
          <w:lang w:val="en_US" w:bidi="en_US"/>
        </w:rPr>
      </w:r>
      <w:r>
        <w:rPr>
          <w:lang w:val="en_US" w:bidi="en_US"/>
        </w:rPr>
        <w:t>three times you</w:t>
      </w:r>
      <w:r>
        <w:rPr>
          <w:vertAlign w:val="superscript"/>
          <w:lang w:val="en_US" w:bidi="en_US"/>
        </w:rPr>
        <w:t>(sing)</w:t>
      </w:r>
      <w:r>
        <w:rPr>
          <w:lang w:val="en_US" w:bidi="en_US"/>
        </w:rPr>
        <w:t xml:space="preserve"> will say that you do not know me.”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tell </w:t>
      </w:r>
      <w:r>
        <w:rPr>
          <w:lang w:val="en_US" w:bidi="en_US"/>
        </w:rPr>
        <w:t>people</w:t>
      </w:r>
      <w:r>
        <w:rPr>
          <w:lang w:val="en_US" w:bidi="en_US"/>
        </w:rPr>
        <w:t xml:space="preserve"> three times, ‘I do not know that man/Jesus.’”</w:t>
      </w:r>
    </w:p>
    <w:p>
      <w:pPr/>
      <w:r>
        <w:rPr>
          <w:lang w:val="en_US" w:bidi="en_US"/>
        </w:rPr>
      </w:r>
      <w:r>
        <w:rPr>
          <w:b/>
          <w:lang w:val="en_US" w:bidi="en_US"/>
        </w:rPr>
        <w:t>you have denied three times that you know Me:</w:t>
      </w:r>
      <w:r>
        <w:rPr>
          <w:lang w:val="en_US" w:bidi="en_US"/>
        </w:rPr>
        <w:t xml:space="preserve"> This clause indicates that Peter would say three times that he did not know Jesus. In some languages it may be more natural to translate this clause as direct speech. For example:</w:t>
      </w:r>
    </w:p>
    <w:p>
      <w:pPr/>
      <w:r>
        <w:rPr>
          <w:lang w:val="en_US" w:bidi="en_US"/>
        </w:rPr>
      </w:r>
      <w:r>
        <w:rPr>
          <w:lang w:val="en_US" w:bidi="en_US"/>
        </w:rPr>
        <w:t>three times you will say, “I do not know him/Jesus”</w:t>
      </w:r>
    </w:p>
    <w:p>
      <w:pPr>
        <w:pStyle w:val="Heading6"/>
      </w:pPr>
      <w:r>
        <w:rPr>
          <w:b/>
          <w:lang w:val="en_US" w:bidi="en_US"/>
        </w:rPr>
        <w:t>General Comment on 22:34b–c</w:t>
      </w:r>
    </w:p>
    <w:p>
      <w:pPr/>
      <w:r>
        <w:rPr>
          <w:lang w:val="en_US" w:bidi="en_US"/>
        </w:rPr>
      </w:r>
      <w:r>
        <w:rPr>
          <w:lang w:val="en_US" w:bidi="en_US"/>
        </w:rPr>
        <w:t>In some languages it may be more natural to reverse the order of 22:34b and 22:34c. For example:</w:t>
      </w:r>
    </w:p>
    <w:p>
      <w:pPr/>
      <w:r>
        <w:rPr>
          <w:lang w:val="en_US" w:bidi="en_US"/>
        </w:rPr>
      </w:r>
      <w:r>
        <w:rPr>
          <w:vertAlign w:val="superscript"/>
          <w:lang w:val="en_US" w:bidi="en_US"/>
        </w:rPr>
        <w:t>34c</w:t>
      </w:r>
      <w:r>
        <w:rPr>
          <w:lang w:val="en_US" w:bidi="en_US"/>
        </w:rPr>
        <w:t xml:space="preserve">you will deny three times that you know me </w:t>
      </w:r>
      <w:r>
        <w:rPr>
          <w:vertAlign w:val="superscript"/>
          <w:lang w:val="en_US" w:bidi="en_US"/>
        </w:rPr>
        <w:t>34b</w:t>
      </w:r>
      <w:r>
        <w:rPr>
          <w:lang w:val="en_US" w:bidi="en_US"/>
        </w:rPr>
        <w:t>before the rooster crows tonight.</w:t>
      </w:r>
      <w:r>
        <w:rPr>
          <w:lang w:val="en_US" w:bidi="en_US"/>
        </w:rPr>
      </w:r>
      <w:r>
        <w:rPr>
          <w:lang w:val="en_US" w:bidi="en_US"/>
        </w:rPr>
      </w:r>
    </w:p>
    <w:p>
      <w:pPr/>
      <w:r>
        <w:rPr>
          <w:lang w:val="en_US" w:bidi="en_US"/>
        </w:rPr>
      </w:r>
    </w:p>
    <w:p>
      <w:pPr>
        <w:pStyle w:val="Heading2"/>
      </w:pPr>
      <w:r>
        <w:rPr>
          <w:lang w:val="en_US" w:bidi="en_US"/>
        </w:rPr>
        <w:t>Luke 22:35</w:t>
      </w:r>
      <w:r>
        <w:rPr>
          <w:lang w:val="en_US" w:bidi="en_US"/>
        </w:rPr>
      </w:r>
    </w:p>
    <w:p>
      <w:pPr>
        <w:pStyle w:val="Heading4"/>
      </w:pPr>
      <w:r>
        <w:rPr>
          <w:lang w:val="en_US" w:bidi="en_US"/>
        </w:rPr>
        <w:t>Section 22:31–38: Jesus predicted that Peter would deny him</w:t>
      </w:r>
    </w:p>
    <w:p>
      <w:pPr/>
      <w:r>
        <w:rPr>
          <w:lang w:val="en_US" w:bidi="en_US"/>
        </w:rPr>
      </w:r>
      <w:r>
        <w:rPr>
          <w:lang w:val="en_US" w:bidi="en_US"/>
        </w:rPr>
        <w:t>In this section Jesus warned Peter that Satan wanted to test the disciples severely. Peter told Jesus that he would always be faithful to him, but Jesus said to him, “This same night you (Peter) will say three times that you do not know me.”</w:t>
      </w:r>
    </w:p>
    <w:p>
      <w:pPr/>
      <w:r>
        <w:rPr>
          <w:lang w:val="en_US" w:bidi="en_US"/>
        </w:rPr>
      </w:r>
      <w:r>
        <w:rPr>
          <w:lang w:val="en_US" w:bidi="en_US"/>
        </w:rPr>
        <w:t>In the second part of the section, Jesus reminded his apostles of the time that he sent them out to preach and heal (chapters 9–10). At that time, they did not need to take anything with them. People welcomed them and took care of them as they preached about Jesus. But now, people would say that Jesus was an evil doer, just as the prophets had written in the Scriptures. So Jesus warned his apostles to prepare for this time of difficulty and danger.</w:t>
      </w:r>
    </w:p>
    <w:p>
      <w:pPr/>
      <w:r>
        <w:rPr>
          <w:lang w:val="en_US" w:bidi="en_US"/>
        </w:rPr>
      </w:r>
      <w:r>
        <w:rPr>
          <w:lang w:val="en_US" w:bidi="en_US"/>
        </w:rPr>
        <w:t>Some other examples of headings for this section are:</w:t>
      </w:r>
    </w:p>
    <w:p>
      <w:pPr/>
      <w:r>
        <w:rPr>
          <w:lang w:val="en_US" w:bidi="en_US"/>
        </w:rPr>
      </w:r>
      <w:r>
        <w:rPr>
          <w:lang w:val="en_US" w:bidi="en_US"/>
        </w:rPr>
        <w:t>Jesus Predicts Peter’s Denial (GNT)</w:t>
      </w:r>
    </w:p>
    <w:p>
      <w:pPr/>
      <w:r>
        <w:rPr>
          <w:lang w:val="en_US" w:bidi="en_US"/>
        </w:rPr>
      </w:r>
      <w:r>
        <w:rPr>
          <w:lang w:val="en_US" w:bidi="en_US"/>
        </w:rPr>
        <w:t>Jesus’ Disciples Will Be Tested (CEV)</w:t>
      </w:r>
    </w:p>
    <w:p>
      <w:pPr/>
      <w:r>
        <w:rPr>
          <w:lang w:val="en_US" w:bidi="en_US"/>
        </w:rPr>
      </w:r>
      <w:r>
        <w:rPr>
          <w:lang w:val="en_US" w:bidi="en_US"/>
        </w:rPr>
        <w:t>There are parallel passages for this section in Matthew 26:31–35, Mark 14:27–31, and John 13:36–38.</w:t>
      </w:r>
    </w:p>
    <w:p>
      <w:pPr>
        <w:pStyle w:val="Heading5"/>
      </w:pPr>
      <w:r>
        <w:rPr>
          <w:lang w:val="en_US" w:bidi="en_US"/>
        </w:rPr>
        <w:t>22:35a</w:t>
      </w:r>
    </w:p>
    <w:p>
      <w:pPr/>
      <w:r>
        <w:rPr>
          <w:lang w:val="en_US" w:bidi="en_US"/>
        </w:rPr>
      </w:r>
      <w:r>
        <w:rPr>
          <w:b/>
          <w:lang w:val="en_US" w:bidi="en_US"/>
        </w:rPr>
        <w:t>Then Jesus asked them, “When I sent you out</w:t>
      </w:r>
    </w:p>
    <w:p>
      <w:pPr>
        <w:pStyle w:val="ListBullet"/>
        <w:spacing w:line="240" w:lineRule="auto"/>
        <w:ind w:left="720"/>
      </w:pPr>
      <w:r>
        <w:rPr>
          <w:lang w:val="en_US" w:bidi="en_US"/>
        </w:rPr>
      </w:r>
      <w:r>
        <w:rPr>
          <w:lang w:val="en_US" w:bidi="en_US"/>
        </w:rPr>
        <w:t>¶ Then Jesus asked his disciples, “When I sent you</w:t>
      </w:r>
      <w:r>
        <w:rPr>
          <w:vertAlign w:val="superscript"/>
          <w:lang w:val="en_US" w:bidi="en_US"/>
        </w:rPr>
        <w:t>(plur)</w:t>
      </w:r>
      <w:r>
        <w:rPr>
          <w:lang w:val="en_US" w:bidi="en_US"/>
        </w:rPr>
        <w:t xml:space="preserve"> </w:t>
      </w:r>
      <w:r>
        <w:rPr>
          <w:lang w:val="en_US" w:bidi="en_US"/>
        </w:rPr>
        <w:t>to different towns</w:t>
      </w:r>
    </w:p>
    <w:p>
      <w:pPr>
        <w:pStyle w:val="ListBullet"/>
        <w:spacing w:line="240" w:lineRule="auto"/>
        <w:ind w:left="720"/>
      </w:pPr>
      <w:r>
        <w:rPr>
          <w:lang w:val="en_US" w:bidi="en_US"/>
        </w:rPr>
      </w:r>
      <w:r>
        <w:rPr>
          <w:lang w:val="en_US" w:bidi="en_US"/>
        </w:rPr>
        <w:t>¶ After this, Jesus said to the apostles, “</w:t>
      </w:r>
      <w:r>
        <w:rPr>
          <w:lang w:val="en_US" w:bidi="en_US"/>
        </w:rPr>
        <w:t>Do you remember</w:t>
      </w:r>
      <w:r>
        <w:rPr>
          <w:lang w:val="en_US" w:bidi="en_US"/>
        </w:rPr>
        <w:t xml:space="preserve"> when I told you</w:t>
      </w:r>
      <w:r>
        <w:rPr>
          <w:vertAlign w:val="superscript"/>
          <w:lang w:val="en_US" w:bidi="en_US"/>
        </w:rPr>
        <w:t>(plur)</w:t>
      </w:r>
      <w:r>
        <w:rPr>
          <w:lang w:val="en_US" w:bidi="en_US"/>
        </w:rPr>
        <w:t xml:space="preserve"> to travel </w:t>
      </w:r>
      <w:r>
        <w:rPr>
          <w:lang w:val="en_US" w:bidi="en_US"/>
        </w:rPr>
        <w:t>and preach</w:t>
      </w:r>
      <w:r>
        <w:rPr>
          <w:lang w:val="en_US" w:bidi="en_US"/>
        </w:rPr>
        <w:t xml:space="preserve"> </w:t>
      </w:r>
      <w:r>
        <w:rPr>
          <w:lang w:val="en_US" w:bidi="en_US"/>
        </w:rPr>
        <w:t>in different towns and villages</w:t>
      </w:r>
      <w:r>
        <w:rPr>
          <w:lang w:val="en_US" w:bidi="en_US"/>
        </w:rPr>
        <w:t>?</w:t>
      </w:r>
    </w:p>
    <w:p>
      <w:pPr>
        <w:pStyle w:val="Heading5"/>
      </w:pPr>
      <w:r>
        <w:rPr>
          <w:lang w:val="en_US" w:bidi="en_US"/>
        </w:rPr>
        <w:t>22:35b</w:t>
      </w:r>
    </w:p>
    <w:p>
      <w:pPr/>
      <w:r>
        <w:rPr>
          <w:lang w:val="en_US" w:bidi="en_US"/>
        </w:rPr>
      </w:r>
      <w:r>
        <w:rPr>
          <w:b/>
          <w:lang w:val="en_US" w:bidi="en_US"/>
        </w:rPr>
        <w:t>without purse or bag or sandals,</w:t>
      </w:r>
    </w:p>
    <w:p>
      <w:pPr>
        <w:pStyle w:val="ListBullet"/>
        <w:spacing w:line="240" w:lineRule="auto"/>
        <w:ind w:left="720"/>
      </w:pPr>
      <w:r>
        <w:rPr>
          <w:lang w:val="en_US" w:bidi="en_US"/>
        </w:rPr>
      </w:r>
      <w:r>
        <w:rPr>
          <w:lang w:val="en_US" w:bidi="en_US"/>
        </w:rPr>
        <w:t xml:space="preserve">without a wallet/purse or a </w:t>
      </w:r>
      <w:r>
        <w:rPr>
          <w:lang w:val="en_US" w:bidi="en_US"/>
        </w:rPr>
        <w:t>traveling</w:t>
      </w:r>
      <w:r>
        <w:rPr>
          <w:lang w:val="en_US" w:bidi="en_US"/>
        </w:rPr>
        <w:t xml:space="preserve"> bag or </w:t>
      </w:r>
      <w:r>
        <w:rPr>
          <w:lang w:val="en_US" w:bidi="en_US"/>
        </w:rPr>
        <w:t>extra</w:t>
      </w:r>
      <w:r>
        <w:rPr>
          <w:lang w:val="en_US" w:bidi="en_US"/>
        </w:rPr>
        <w:t xml:space="preserve"> shoes,</w:t>
      </w:r>
    </w:p>
    <w:p>
      <w:pPr>
        <w:pStyle w:val="ListBullet"/>
        <w:spacing w:line="240" w:lineRule="auto"/>
        <w:ind w:left="720"/>
      </w:pPr>
      <w:r>
        <w:rPr>
          <w:lang w:val="en_US" w:bidi="en_US"/>
        </w:rPr>
      </w:r>
      <w:r>
        <w:rPr>
          <w:lang w:val="en_US" w:bidi="en_US"/>
        </w:rPr>
        <w:t>I told you</w:t>
      </w:r>
      <w:r>
        <w:rPr>
          <w:vertAlign w:val="superscript"/>
          <w:lang w:val="en_US" w:bidi="en_US"/>
        </w:rPr>
        <w:t>(plur)</w:t>
      </w:r>
      <w:r>
        <w:rPr>
          <w:lang w:val="en_US" w:bidi="en_US"/>
        </w:rPr>
        <w:t xml:space="preserve"> not to take money, </w:t>
      </w:r>
      <w:r>
        <w:rPr>
          <w:lang w:val="en_US" w:bidi="en_US"/>
        </w:rPr>
        <w:t>extra</w:t>
      </w:r>
      <w:r>
        <w:rPr>
          <w:lang w:val="en_US" w:bidi="en_US"/>
        </w:rPr>
        <w:t xml:space="preserve"> sandals, or a bag </w:t>
      </w:r>
      <w:r>
        <w:rPr>
          <w:lang w:val="en_US" w:bidi="en_US"/>
        </w:rPr>
        <w:t>with other things that you might need</w:t>
      </w:r>
      <w:r>
        <w:rPr>
          <w:lang w:val="en_US" w:bidi="en_US"/>
        </w:rPr>
        <w:t>.</w:t>
      </w:r>
    </w:p>
    <w:p>
      <w:pPr>
        <w:pStyle w:val="Heading5"/>
      </w:pPr>
      <w:r>
        <w:rPr>
          <w:lang w:val="en_US" w:bidi="en_US"/>
        </w:rPr>
        <w:t>22:35a–b</w:t>
      </w:r>
    </w:p>
    <w:p>
      <w:pPr/>
      <w:r>
        <w:rPr>
          <w:lang w:val="en_US" w:bidi="en_US"/>
        </w:rPr>
      </w:r>
      <w:r>
        <w:rPr>
          <w:b/>
          <w:lang w:val="en_US" w:bidi="en_US"/>
        </w:rPr>
        <w:t>Then Jesus asked them:</w:t>
      </w:r>
      <w:r>
        <w:rPr>
          <w:lang w:val="en_US" w:bidi="en_US"/>
        </w:rPr>
        <w:t xml:space="preserve"> The Greek clause that the BSB translates as </w:t>
      </w:r>
      <w:r>
        <w:rPr>
          <w:i/>
          <w:lang w:val="en_US" w:bidi="en_US"/>
        </w:rPr>
        <w:t>Then Jesus asked them</w:t>
      </w:r>
      <w:r>
        <w:rPr>
          <w:lang w:val="en_US" w:bidi="en_US"/>
        </w:rPr>
        <w:t xml:space="preserve"> is more literally, “And he said to them,” as in the RSV. It introduces another topic that Jesus wanted his apostles to think about. Translate it in a natural way in your language.</w:t>
      </w:r>
    </w:p>
    <w:p>
      <w:pPr/>
      <w:r>
        <w:rPr>
          <w:lang w:val="en_US" w:bidi="en_US"/>
        </w:rPr>
      </w:r>
      <w:r>
        <w:rPr>
          <w:b/>
          <w:lang w:val="en_US" w:bidi="en_US"/>
        </w:rPr>
        <w:t>When I sent you out without purse or bag or sandals:</w:t>
      </w:r>
      <w:r>
        <w:rPr>
          <w:lang w:val="en_US" w:bidi="en_US"/>
        </w:rPr>
        <w:t xml:space="preserve"> In this clause Jesus reminded his apostles of a past time when he sent them to visit different towns and villages. This happened in 9:1–6, and he sent out a larger group of disciples in 10:1–16. Before Jesus sent them, he gave them instructions about what they should not take with them.</w:t>
      </w:r>
    </w:p>
    <w:p>
      <w:pPr/>
      <w:r>
        <w:rPr>
          <w:lang w:val="en_US" w:bidi="en_US"/>
        </w:rPr>
      </w:r>
      <w:r>
        <w:rPr>
          <w:lang w:val="en_US" w:bidi="en_US"/>
        </w:rPr>
        <w:t>Languages have different ways to introduce instructions. You should introduce the instructions here in a natural way in your language. Some other ways to translate this clause are:</w:t>
      </w:r>
    </w:p>
    <w:p>
      <w:pPr/>
      <w:r>
        <w:rPr>
          <w:lang w:val="en_US" w:bidi="en_US"/>
        </w:rPr>
      </w:r>
      <w:r>
        <w:rPr>
          <w:lang w:val="en_US" w:bidi="en_US"/>
        </w:rPr>
        <w:t>You remember how I sent you out without purse, bag, or sandals.</w:t>
      </w:r>
    </w:p>
    <w:p>
      <w:pPr/>
      <w:r>
        <w:rPr>
          <w:lang w:val="en_US" w:bidi="en_US"/>
        </w:rPr>
      </w:r>
      <w:r>
        <w:rPr>
          <w:lang w:val="en_US" w:bidi="en_US"/>
        </w:rPr>
        <w:t xml:space="preserve">At one time, I said to you, “Go </w:t>
      </w:r>
      <w:r>
        <w:rPr>
          <w:lang w:val="en_US" w:bidi="en_US"/>
        </w:rPr>
        <w:t>preach</w:t>
      </w:r>
      <w:r>
        <w:rPr>
          <w:lang w:val="en_US" w:bidi="en_US"/>
        </w:rPr>
        <w:t xml:space="preserve"> but do not take a purse, a bag, or sandals.”</w:t>
      </w:r>
    </w:p>
    <w:p>
      <w:pPr/>
      <w:r>
        <w:rPr>
          <w:lang w:val="en_US" w:bidi="en_US"/>
        </w:rPr>
      </w:r>
      <w:r>
        <w:rPr>
          <w:lang w:val="en_US" w:bidi="en_US"/>
        </w:rPr>
        <w:t xml:space="preserve">Do you remember when I sent you </w:t>
      </w:r>
      <w:r>
        <w:rPr>
          <w:lang w:val="en_US" w:bidi="en_US"/>
        </w:rPr>
        <w:t>to different towns and villages</w:t>
      </w:r>
      <w:r>
        <w:rPr>
          <w:lang w:val="en_US" w:bidi="en_US"/>
        </w:rPr>
        <w:t>? I told you not to take a purse, bag, or sandals.</w:t>
      </w:r>
    </w:p>
    <w:p>
      <w:pPr/>
      <w:r>
        <w:rPr>
          <w:lang w:val="en_US" w:bidi="en_US"/>
        </w:rPr>
      </w:r>
      <w:r>
        <w:rPr>
          <w:b/>
          <w:lang w:val="en_US" w:bidi="en_US"/>
        </w:rPr>
        <w:t>When I sent you out:</w:t>
      </w:r>
      <w:r>
        <w:rPr>
          <w:lang w:val="en_US" w:bidi="en_US"/>
        </w:rPr>
        <w:t xml:space="preserve"> Jesus referred here to the times when he sent his disciples out to preach about the kingdom of God and to heal people. He told them to travel through different towns and villages. In some languages it may be necessary to make the meaning of </w:t>
      </w:r>
      <w:r>
        <w:rPr>
          <w:i/>
          <w:lang w:val="en_US" w:bidi="en_US"/>
        </w:rPr>
        <w:t>sent</w:t>
      </w:r>
      <w:r>
        <w:rPr>
          <w:lang w:val="en_US" w:bidi="en_US"/>
        </w:rPr>
        <w:t xml:space="preserve"> more explicit. For example:</w:t>
      </w:r>
    </w:p>
    <w:p>
      <w:pPr/>
      <w:r>
        <w:rPr>
          <w:lang w:val="en_US" w:bidi="en_US"/>
        </w:rPr>
      </w:r>
      <w:r>
        <w:rPr>
          <w:lang w:val="en_US" w:bidi="en_US"/>
        </w:rPr>
        <w:t xml:space="preserve">When I sent you out </w:t>
      </w:r>
      <w:r>
        <w:rPr>
          <w:lang w:val="en_US" w:bidi="en_US"/>
        </w:rPr>
        <w:t>to preach</w:t>
      </w:r>
    </w:p>
    <w:p>
      <w:pPr/>
      <w:r>
        <w:rPr>
          <w:lang w:val="en_US" w:bidi="en_US"/>
        </w:rPr>
      </w:r>
      <w:r>
        <w:rPr>
          <w:lang w:val="en_US" w:bidi="en_US"/>
        </w:rPr>
        <w:t xml:space="preserve">When I told you to </w:t>
      </w:r>
      <w:r>
        <w:rPr>
          <w:lang w:val="en_US" w:bidi="en_US"/>
        </w:rPr>
        <w:t>travel to different towns and villages</w:t>
      </w:r>
    </w:p>
    <w:p>
      <w:pPr/>
      <w:r>
        <w:rPr>
          <w:lang w:val="en_US" w:bidi="en_US"/>
        </w:rPr>
      </w:r>
      <w:r>
        <w:rPr>
          <w:b/>
          <w:lang w:val="en_US" w:bidi="en_US"/>
        </w:rPr>
        <w:t>without purse or bag or sandals:</w:t>
      </w:r>
      <w:r>
        <w:rPr>
          <w:lang w:val="en_US" w:bidi="en_US"/>
        </w:rPr>
        <w:t xml:space="preserve"> The phrase </w:t>
      </w:r>
      <w:r>
        <w:rPr>
          <w:i/>
          <w:lang w:val="en_US" w:bidi="en_US"/>
        </w:rPr>
        <w:t>without purse or bag or sandals</w:t>
      </w:r>
      <w:r>
        <w:rPr>
          <w:lang w:val="en_US" w:bidi="en_US"/>
        </w:rPr>
        <w:t xml:space="preserve"> indicates that Jesus told his disciples not to take any of these things with them. Another way to translate this is:</w:t>
      </w:r>
    </w:p>
    <w:p>
      <w:pPr/>
      <w:r>
        <w:rPr>
          <w:lang w:val="en_US" w:bidi="en_US"/>
        </w:rPr>
      </w:r>
      <w:r>
        <w:rPr>
          <w:lang w:val="en_US" w:bidi="en_US"/>
        </w:rPr>
        <w:t>I told you not to take a purse or a bag or sandals.</w:t>
      </w:r>
    </w:p>
    <w:p>
      <w:pPr/>
      <w:r>
        <w:rPr>
          <w:lang w:val="en_US" w:bidi="en_US"/>
        </w:rPr>
      </w:r>
      <w:r>
        <w:rPr>
          <w:b/>
          <w:lang w:val="en_US" w:bidi="en_US"/>
        </w:rPr>
        <w:t>purse:</w:t>
      </w:r>
      <w:r>
        <w:rPr>
          <w:lang w:val="en_US" w:bidi="en_US"/>
        </w:rPr>
        <w:t xml:space="preserve"> The Greek word that the BSB translates as </w:t>
      </w:r>
      <w:r>
        <w:rPr>
          <w:i/>
          <w:lang w:val="en_US" w:bidi="en_US"/>
        </w:rPr>
        <w:t>purse</w:t>
      </w:r>
      <w:r>
        <w:rPr>
          <w:lang w:val="en_US" w:bidi="en_US"/>
        </w:rPr>
        <w:t xml:space="preserve"> refers to a small bag that people used for carrying money with them. It was probably made from leather. This word was also used in 10:4. Translate it in the same way in both these verses.</w:t>
      </w:r>
    </w:p>
    <w:p>
      <w:pPr/>
      <w:r>
        <w:rPr>
          <w:lang w:val="en_US" w:bidi="en_US"/>
        </w:rPr>
      </w:r>
      <w:r>
        <w:rPr>
          <w:lang w:val="en_US" w:bidi="en_US"/>
        </w:rPr>
        <w:t>In some cultures men do not carry money in purses or bags. If that is true in your culture, you may mention the money itself. For example:</w:t>
      </w:r>
    </w:p>
    <w:p>
      <w:pPr/>
      <w:r>
        <w:rPr>
          <w:lang w:val="en_US" w:bidi="en_US"/>
        </w:rPr>
      </w:r>
      <w:r>
        <w:rPr>
          <w:lang w:val="en_US" w:bidi="en_US"/>
        </w:rPr>
        <w:t xml:space="preserve">When I sent you out to preach the Good News and you did not have </w:t>
      </w:r>
      <w:r>
        <w:rPr>
          <w:u w:val="single"/>
          <w:lang w:val="en_US" w:bidi="en_US"/>
        </w:rPr>
        <w:t>money</w:t>
      </w:r>
      <w:r>
        <w:rPr>
          <w:lang w:val="en_US" w:bidi="en_US"/>
        </w:rPr>
        <w:t xml:space="preserve"> (NLT)</w:t>
      </w:r>
    </w:p>
    <w:p>
      <w:pPr/>
      <w:r>
        <w:rPr>
          <w:lang w:val="en_US" w:bidi="en_US"/>
        </w:rPr>
      </w:r>
      <w:r>
        <w:rPr>
          <w:b/>
          <w:lang w:val="en_US" w:bidi="en_US"/>
        </w:rPr>
        <w:t>bag:</w:t>
      </w:r>
      <w:r>
        <w:rPr>
          <w:lang w:val="en_US" w:bidi="en_US"/>
        </w:rPr>
        <w:t xml:space="preserve"> The Greek word that the BSB translates as </w:t>
      </w:r>
      <w:r>
        <w:rPr>
          <w:i/>
          <w:lang w:val="en_US" w:bidi="en_US"/>
        </w:rPr>
        <w:t>bag</w:t>
      </w:r>
      <w:r>
        <w:rPr>
          <w:lang w:val="en_US" w:bidi="en_US"/>
        </w:rPr>
        <w:t xml:space="preserve"> refers to another type of bag. It is different from a purse that people used to carry money. This </w:t>
      </w:r>
      <w:r>
        <w:rPr>
          <w:i/>
          <w:lang w:val="en_US" w:bidi="en_US"/>
        </w:rPr>
        <w:t>bag</w:t>
      </w:r>
      <w:r>
        <w:rPr>
          <w:lang w:val="en_US" w:bidi="en_US"/>
        </w:rPr>
        <w:t xml:space="preserve"> was probably used for carrying extra clothes, food, or other items that might be needed during a journey. You should use a natural word for this in your language. For example:</w:t>
      </w:r>
    </w:p>
    <w:p>
      <w:pPr/>
      <w:r>
        <w:rPr>
          <w:lang w:val="en_US" w:bidi="en_US"/>
        </w:rPr>
      </w:r>
      <w:r>
        <w:rPr>
          <w:lang w:val="en_US" w:bidi="en_US"/>
        </w:rPr>
        <w:t>traveler’s bag (NET)</w:t>
      </w:r>
    </w:p>
    <w:p>
      <w:pPr/>
      <w:r>
        <w:rPr>
          <w:lang w:val="en_US" w:bidi="en_US"/>
        </w:rPr>
      </w:r>
      <w:r>
        <w:rPr>
          <w:lang w:val="en_US" w:bidi="en_US"/>
        </w:rPr>
        <w:t>pack (REB)</w:t>
      </w:r>
    </w:p>
    <w:p>
      <w:pPr/>
      <w:r>
        <w:rPr>
          <w:lang w:val="en_US" w:bidi="en_US"/>
        </w:rPr>
      </w:r>
      <w:r>
        <w:rPr>
          <w:lang w:val="en_US" w:bidi="en_US"/>
        </w:rPr>
        <w:t>load</w:t>
      </w:r>
    </w:p>
    <w:p>
      <w:pPr/>
      <w:r>
        <w:rPr>
          <w:lang w:val="en_US" w:bidi="en_US"/>
        </w:rPr>
      </w:r>
      <w:r>
        <w:rPr>
          <w:lang w:val="en_US" w:bidi="en_US"/>
        </w:rPr>
        <w:t>The same word was used in 9:3 and 10:4. Translate it in the same way in all these verses.</w:t>
      </w:r>
    </w:p>
    <w:p>
      <w:pPr/>
      <w:r>
        <w:rPr>
          <w:lang w:val="en_US" w:bidi="en_US"/>
        </w:rPr>
      </w:r>
      <w:r>
        <w:rPr>
          <w:b/>
          <w:lang w:val="en_US" w:bidi="en_US"/>
        </w:rPr>
        <w:t>sandals:</w:t>
      </w:r>
      <w:r>
        <w:rPr>
          <w:lang w:val="en_US" w:bidi="en_US"/>
        </w:rPr>
        <w:t xml:space="preserve"> The word </w:t>
      </w:r>
      <w:r>
        <w:rPr>
          <w:i/>
          <w:lang w:val="en_US" w:bidi="en_US"/>
        </w:rPr>
        <w:t>sandals</w:t>
      </w:r>
      <w:r>
        <w:rPr>
          <w:lang w:val="en_US" w:bidi="en_US"/>
        </w:rPr>
        <w:t xml:space="preserve"> refers to open shoes that were tied to a person’s feet with straps. Jesus referred here to taking an extra pair of sandals. The disciples wore one pair of sandals, and Jesus told them not to carry another pair with them. In some languages it may be helpful to make this explicit. For example:</w:t>
      </w:r>
    </w:p>
    <w:p>
      <w:pPr/>
      <w:r>
        <w:rPr>
          <w:lang w:val="en_US" w:bidi="en_US"/>
        </w:rPr>
      </w:r>
      <w:r>
        <w:rPr>
          <w:lang w:val="en_US" w:bidi="en_US"/>
        </w:rPr>
        <w:t>extra/spare</w:t>
      </w:r>
      <w:r>
        <w:rPr>
          <w:lang w:val="en_US" w:bidi="en_US"/>
        </w:rPr>
        <w:t xml:space="preserve"> sandals</w:t>
      </w:r>
    </w:p>
    <w:p>
      <w:pPr/>
      <w:r>
        <w:rPr>
          <w:lang w:val="en_US" w:bidi="en_US"/>
        </w:rPr>
      </w:r>
      <w:r>
        <w:rPr>
          <w:lang w:val="en_US" w:bidi="en_US"/>
        </w:rPr>
        <w:t>If people in your area are not familiar with sandals, you may use a general term for footwear or the term for a similar type of local footwear. For example:</w:t>
      </w:r>
    </w:p>
    <w:p>
      <w:pPr/>
      <w:r>
        <w:rPr>
          <w:lang w:val="en_US" w:bidi="en_US"/>
        </w:rPr>
      </w:r>
      <w:r>
        <w:rPr>
          <w:lang w:val="en_US" w:bidi="en_US"/>
        </w:rPr>
        <w:t>shoes (GNT)</w:t>
      </w:r>
    </w:p>
    <w:p>
      <w:pPr/>
      <w:r>
        <w:rPr>
          <w:lang w:val="en_US" w:bidi="en_US"/>
        </w:rPr>
      </w:r>
      <w:r>
        <w:rPr>
          <w:lang w:val="en_US" w:bidi="en_US"/>
        </w:rPr>
        <w:t>thongs/flip-flops</w:t>
      </w:r>
    </w:p>
    <w:p>
      <w:pPr/>
      <w:r>
        <w:rPr>
          <w:lang w:val="en_US" w:bidi="en_US"/>
        </w:rPr>
      </w:r>
      <w:r>
        <w:rPr>
          <w:lang w:val="en_US" w:bidi="en_US"/>
        </w:rPr>
        <w:t xml:space="preserve">The word </w:t>
      </w:r>
      <w:r>
        <w:rPr>
          <w:i/>
          <w:lang w:val="en_US" w:bidi="en_US"/>
        </w:rPr>
        <w:t>sandals</w:t>
      </w:r>
      <w:r>
        <w:rPr>
          <w:lang w:val="en_US" w:bidi="en_US"/>
        </w:rPr>
        <w:t xml:space="preserve"> was also used in 10:4. Translate it in the same way in both verses.</w:t>
      </w:r>
    </w:p>
    <w:p>
      <w:pPr>
        <w:pStyle w:val="Heading5"/>
      </w:pPr>
      <w:r>
        <w:rPr>
          <w:lang w:val="en_US" w:bidi="en_US"/>
        </w:rPr>
        <w:t>22:35c</w:t>
      </w:r>
    </w:p>
    <w:p>
      <w:pPr/>
      <w:r>
        <w:rPr>
          <w:lang w:val="en_US" w:bidi="en_US"/>
        </w:rPr>
      </w:r>
      <w:r>
        <w:rPr>
          <w:b/>
          <w:lang w:val="en_US" w:bidi="en_US"/>
        </w:rPr>
        <w:t>did you lack anything?”</w:t>
      </w:r>
    </w:p>
    <w:p>
      <w:pPr>
        <w:pStyle w:val="ListBullet"/>
        <w:spacing w:line="240" w:lineRule="auto"/>
        <w:ind w:left="720"/>
      </w:pPr>
      <w:r>
        <w:rPr>
          <w:lang w:val="en_US" w:bidi="en_US"/>
        </w:rPr>
      </w:r>
      <w:r>
        <w:rPr>
          <w:lang w:val="en_US" w:bidi="en_US"/>
        </w:rPr>
        <w:t>were you</w:t>
      </w:r>
      <w:r>
        <w:rPr>
          <w:vertAlign w:val="superscript"/>
          <w:lang w:val="en_US" w:bidi="en_US"/>
        </w:rPr>
        <w:t>(plur)</w:t>
      </w:r>
      <w:r>
        <w:rPr>
          <w:lang w:val="en_US" w:bidi="en_US"/>
        </w:rPr>
        <w:t xml:space="preserve"> in need of something/anything?”</w:t>
      </w:r>
    </w:p>
    <w:p>
      <w:pPr>
        <w:pStyle w:val="ListBullet"/>
        <w:spacing w:line="240" w:lineRule="auto"/>
        <w:ind w:left="720"/>
      </w:pPr>
      <w:r>
        <w:rPr>
          <w:lang w:val="en_US" w:bidi="en_US"/>
        </w:rPr>
      </w:r>
      <w:r>
        <w:rPr>
          <w:lang w:val="en_US" w:bidi="en_US"/>
        </w:rPr>
        <w:t>So</w:t>
      </w:r>
      <w:r>
        <w:rPr>
          <w:lang w:val="en_US" w:bidi="en_US"/>
        </w:rPr>
        <w:t xml:space="preserve"> did you</w:t>
      </w:r>
      <w:r>
        <w:rPr>
          <w:vertAlign w:val="superscript"/>
          <w:lang w:val="en_US" w:bidi="en_US"/>
        </w:rPr>
        <w:t>(plur)</w:t>
      </w:r>
      <w:r>
        <w:rPr>
          <w:lang w:val="en_US" w:bidi="en_US"/>
        </w:rPr>
        <w:t xml:space="preserve"> have/receive everything that you needed?”</w:t>
      </w:r>
    </w:p>
    <w:p>
      <w:pPr/>
      <w:r>
        <w:rPr>
          <w:lang w:val="en_US" w:bidi="en_US"/>
        </w:rPr>
      </w:r>
      <w:r>
        <w:rPr>
          <w:b/>
          <w:lang w:val="en_US" w:bidi="en_US"/>
        </w:rPr>
        <w:t>did you lack anything?:</w:t>
      </w:r>
      <w:r>
        <w:rPr>
          <w:lang w:val="en_US" w:bidi="en_US"/>
        </w:rPr>
        <w:t xml:space="preserve"> The Greek word that the BSB translates as </w:t>
      </w:r>
      <w:r>
        <w:rPr>
          <w:i/>
          <w:lang w:val="en_US" w:bidi="en_US"/>
        </w:rPr>
        <w:t>lack</w:t>
      </w:r>
      <w:r>
        <w:rPr>
          <w:lang w:val="en_US" w:bidi="en_US"/>
        </w:rPr>
        <w:t xml:space="preserve"> means “to be in need.” Jesus knew the answer to this question. So in this context the question reminded the disciples that they had everything they needed on their journey. Even though they took no money with them, people took care of them as they traveled. They trusted and obeyed Jesus, and they had enough food and other things that they needed.</w:t>
      </w:r>
    </w:p>
    <w:p>
      <w:pPr/>
      <w:r>
        <w:rPr>
          <w:lang w:val="en_US" w:bidi="en_US"/>
        </w:rPr>
      </w:r>
      <w:r>
        <w:rPr>
          <w:lang w:val="en_US" w:bidi="en_US"/>
        </w:rPr>
        <w:t>Some other ways to translate this question are:</w:t>
      </w:r>
    </w:p>
    <w:p>
      <w:pPr/>
      <w:r>
        <w:rPr>
          <w:lang w:val="en_US" w:bidi="en_US"/>
        </w:rPr>
      </w:r>
      <w:r>
        <w:rPr>
          <w:lang w:val="en_US" w:bidi="en_US"/>
        </w:rPr>
        <w:t>…were you in need?</w:t>
      </w:r>
    </w:p>
    <w:p>
      <w:pPr/>
      <w:r>
        <w:rPr>
          <w:lang w:val="en_US" w:bidi="en_US"/>
        </w:rPr>
      </w:r>
      <w:r>
        <w:rPr>
          <w:lang w:val="en_US" w:bidi="en_US"/>
        </w:rPr>
        <w:t xml:space="preserve">…did you ever lack anything </w:t>
      </w:r>
      <w:r>
        <w:rPr>
          <w:lang w:val="en_US" w:bidi="en_US"/>
        </w:rPr>
        <w:t>that you needed</w:t>
      </w:r>
      <w:r>
        <w:rPr>
          <w:lang w:val="en_US" w:bidi="en_US"/>
        </w:rPr>
        <w:t>?</w:t>
      </w:r>
    </w:p>
    <w:p>
      <w:pPr/>
      <w:r>
        <w:rPr>
          <w:lang w:val="en_US" w:bidi="en_US"/>
        </w:rPr>
      </w:r>
      <w:r>
        <w:rPr>
          <w:lang w:val="en_US" w:bidi="en_US"/>
        </w:rPr>
        <w:t>…you did not lack anything, did you? (NASB)</w:t>
      </w:r>
    </w:p>
    <w:p>
      <w:pPr>
        <w:pStyle w:val="Heading5"/>
      </w:pPr>
      <w:r>
        <w:rPr>
          <w:lang w:val="en_US" w:bidi="en_US"/>
        </w:rPr>
        <w:t>22:35d</w:t>
      </w:r>
    </w:p>
    <w:p>
      <w:pPr/>
      <w:r>
        <w:rPr>
          <w:lang w:val="en_US" w:bidi="en_US"/>
        </w:rPr>
      </w:r>
      <w:r>
        <w:rPr>
          <w:b/>
          <w:lang w:val="en_US" w:bidi="en_US"/>
        </w:rPr>
        <w:t>“Nothing,” they answered.</w:t>
      </w:r>
    </w:p>
    <w:p>
      <w:pPr>
        <w:pStyle w:val="ListBullet"/>
        <w:spacing w:line="240" w:lineRule="auto"/>
        <w:ind w:left="720"/>
      </w:pPr>
      <w:r>
        <w:rPr>
          <w:lang w:val="en_US" w:bidi="en_US"/>
        </w:rPr>
      </w:r>
      <w:r>
        <w:rPr>
          <w:lang w:val="en_US" w:bidi="en_US"/>
        </w:rPr>
        <w:t xml:space="preserve">And they said, “No, </w:t>
      </w:r>
      <w:r>
        <w:rPr>
          <w:lang w:val="en_US" w:bidi="en_US"/>
        </w:rPr>
        <w:t>we</w:t>
      </w:r>
      <w:r>
        <w:rPr>
          <w:vertAlign w:val="superscript"/>
          <w:lang w:val="en_US" w:bidi="en_US"/>
        </w:rPr>
        <w:t>(excl)</w:t>
      </w:r>
      <w:r>
        <w:rPr>
          <w:lang w:val="en_US" w:bidi="en_US"/>
        </w:rPr>
        <w:t xml:space="preserve"> </w:t>
      </w:r>
      <w:r>
        <w:rPr>
          <w:lang w:val="en_US" w:bidi="en_US"/>
        </w:rPr>
        <w:t>did not need/lack anything</w:t>
      </w:r>
      <w:r>
        <w:rPr>
          <w:lang w:val="en_US" w:bidi="en_US"/>
        </w:rPr>
        <w:t>.”</w:t>
      </w:r>
    </w:p>
    <w:p>
      <w:pPr>
        <w:pStyle w:val="ListBullet"/>
        <w:spacing w:line="240" w:lineRule="auto"/>
        <w:ind w:left="720"/>
      </w:pPr>
      <w:r>
        <w:rPr>
          <w:lang w:val="en_US" w:bidi="en_US"/>
        </w:rPr>
      </w:r>
      <w:r>
        <w:rPr>
          <w:lang w:val="en_US" w:bidi="en_US"/>
        </w:rPr>
        <w:t xml:space="preserve">And the apostles answered </w:t>
      </w:r>
      <w:r>
        <w:rPr>
          <w:lang w:val="en_US" w:bidi="en_US"/>
        </w:rPr>
        <w:t>him</w:t>
      </w:r>
      <w:r>
        <w:rPr>
          <w:lang w:val="en_US" w:bidi="en_US"/>
        </w:rPr>
        <w:t xml:space="preserve">, “Yes, </w:t>
      </w:r>
      <w:r>
        <w:rPr>
          <w:lang w:val="en_US" w:bidi="en_US"/>
        </w:rPr>
        <w:t>we</w:t>
      </w:r>
      <w:r>
        <w:rPr>
          <w:vertAlign w:val="superscript"/>
          <w:lang w:val="en_US" w:bidi="en_US"/>
        </w:rPr>
        <w:t>(excl)</w:t>
      </w:r>
      <w:r>
        <w:rPr>
          <w:lang w:val="en_US" w:bidi="en_US"/>
        </w:rPr>
        <w:t xml:space="preserve"> </w:t>
      </w:r>
      <w:r>
        <w:rPr>
          <w:lang w:val="en_US" w:bidi="en_US"/>
        </w:rPr>
        <w:t>had/received everything that we needed</w:t>
      </w:r>
      <w:r>
        <w:rPr>
          <w:lang w:val="en_US" w:bidi="en_US"/>
        </w:rPr>
        <w:t>.”</w:t>
      </w:r>
    </w:p>
    <w:p>
      <w:pPr/>
      <w:r>
        <w:rPr>
          <w:lang w:val="en_US" w:bidi="en_US"/>
        </w:rPr>
      </w:r>
      <w:r>
        <w:rPr>
          <w:b/>
          <w:lang w:val="en_US" w:bidi="en_US"/>
        </w:rPr>
        <w:t>Nothing:</w:t>
      </w:r>
      <w:r>
        <w:rPr>
          <w:lang w:val="en_US" w:bidi="en_US"/>
        </w:rPr>
        <w:t xml:space="preserve"> Here the apostles agreed with what Jesus implied. They agreed that they never lacked anything on their journey. They had what they needed. Some other ways to translate the answer in English are:</w:t>
      </w:r>
    </w:p>
    <w:p>
      <w:pPr/>
      <w:r>
        <w:rPr>
          <w:lang w:val="en_US" w:bidi="en_US"/>
        </w:rPr>
      </w:r>
      <w:r>
        <w:rPr>
          <w:lang w:val="en_US" w:bidi="en_US"/>
        </w:rPr>
        <w:t xml:space="preserve">No, </w:t>
      </w:r>
      <w:r>
        <w:rPr>
          <w:lang w:val="en_US" w:bidi="en_US"/>
        </w:rPr>
        <w:t>we had everything we needed</w:t>
      </w:r>
      <w:r>
        <w:rPr>
          <w:lang w:val="en_US" w:bidi="en_US"/>
        </w:rPr>
        <w:t>.</w:t>
      </w:r>
    </w:p>
    <w:p>
      <w:pPr/>
      <w:r>
        <w:rPr>
          <w:lang w:val="en_US" w:bidi="en_US"/>
        </w:rPr>
      </w:r>
      <w:r>
        <w:rPr>
          <w:lang w:val="en_US" w:bidi="en_US"/>
        </w:rPr>
        <w:t xml:space="preserve">No, </w:t>
      </w:r>
      <w:r>
        <w:rPr>
          <w:lang w:val="en_US" w:bidi="en_US"/>
        </w:rPr>
        <w:t>we never lacked anything</w:t>
      </w:r>
      <w:r>
        <w:rPr>
          <w:lang w:val="en_US" w:bidi="en_US"/>
        </w:rPr>
        <w:t>.</w:t>
      </w:r>
    </w:p>
    <w:p>
      <w:pPr/>
      <w:r>
        <w:rPr>
          <w:lang w:val="en_US" w:bidi="en_US"/>
        </w:rPr>
      </w:r>
      <w:r>
        <w:rPr>
          <w:lang w:val="en_US" w:bidi="en_US"/>
        </w:rPr>
        <w:t>Translate this answer in a natural way in your language. In some languages it may be more natural to phrase the question in a way that has a positive answer. See the General Comment on 22:35c–d for an example.</w:t>
      </w:r>
    </w:p>
    <w:p>
      <w:pPr/>
      <w:r>
        <w:rPr>
          <w:lang w:val="en_US" w:bidi="en_US"/>
        </w:rPr>
      </w:r>
      <w:r>
        <w:rPr>
          <w:lang w:val="en_US" w:bidi="en_US"/>
        </w:rPr>
        <w:t xml:space="preserve">The situation implies that </w:t>
      </w:r>
      <w:r>
        <w:rPr>
          <w:u w:val="single"/>
          <w:lang w:val="en_US" w:bidi="en_US"/>
        </w:rPr>
        <w:t>people</w:t>
      </w:r>
      <w:r>
        <w:rPr>
          <w:lang w:val="en_US" w:bidi="en_US"/>
        </w:rPr>
        <w:t xml:space="preserve"> gave the apostles what they needed. In some languages it may be necessary to make explicit that people provided what the apostles needed. For example:</w:t>
      </w:r>
    </w:p>
    <w:p>
      <w:pPr/>
      <w:r>
        <w:rPr>
          <w:lang w:val="en_US" w:bidi="en_US"/>
        </w:rPr>
      </w:r>
      <w:r>
        <w:rPr>
          <w:lang w:val="en_US" w:bidi="en_US"/>
        </w:rPr>
        <w:t xml:space="preserve">No, </w:t>
      </w:r>
      <w:r>
        <w:rPr>
          <w:lang w:val="en_US" w:bidi="en_US"/>
        </w:rPr>
        <w:t>people gave us</w:t>
      </w:r>
      <w:r>
        <w:rPr>
          <w:lang w:val="en_US" w:bidi="en_US"/>
        </w:rPr>
        <w:t xml:space="preserve"> everything that we needed.</w:t>
      </w:r>
    </w:p>
    <w:p>
      <w:pPr/>
      <w:r>
        <w:rPr>
          <w:lang w:val="en_US" w:bidi="en_US"/>
        </w:rPr>
      </w:r>
      <w:r>
        <w:rPr>
          <w:b/>
          <w:lang w:val="en_US" w:bidi="en_US"/>
        </w:rPr>
        <w:t>they answered:</w:t>
      </w:r>
      <w:r>
        <w:rPr>
          <w:lang w:val="en_US" w:bidi="en_US"/>
        </w:rPr>
        <w:t xml:space="preserve"> In the Greek text, the phrase that the BSB translates as </w:t>
      </w:r>
      <w:r>
        <w:rPr>
          <w:i/>
          <w:lang w:val="en_US" w:bidi="en_US"/>
        </w:rPr>
        <w:t>they answered</w:t>
      </w:r>
      <w:r>
        <w:rPr>
          <w:lang w:val="en_US" w:bidi="en_US"/>
        </w:rPr>
        <w:t xml:space="preserve"> occurs before the disciples’ answer. Place this phrase where it is most natural in your language. The Greek word the BSB translates as </w:t>
      </w:r>
      <w:r>
        <w:rPr>
          <w:i/>
          <w:lang w:val="en_US" w:bidi="en_US"/>
        </w:rPr>
        <w:t>answered</w:t>
      </w:r>
      <w:r>
        <w:rPr>
          <w:lang w:val="en_US" w:bidi="en_US"/>
        </w:rPr>
        <w:t xml:space="preserve"> is the common verb that means “said.” The BSB has translated this as </w:t>
      </w:r>
      <w:r>
        <w:rPr>
          <w:i/>
          <w:lang w:val="en_US" w:bidi="en_US"/>
        </w:rPr>
        <w:t>answered</w:t>
      </w:r>
      <w:r>
        <w:rPr>
          <w:lang w:val="en_US" w:bidi="en_US"/>
        </w:rPr>
        <w:t xml:space="preserve"> because of the context. Use the verb that is most natural in your language.</w:t>
      </w:r>
    </w:p>
    <w:p>
      <w:pPr>
        <w:pStyle w:val="Heading6"/>
      </w:pPr>
      <w:r>
        <w:rPr>
          <w:b/>
          <w:lang w:val="en_US" w:bidi="en_US"/>
        </w:rPr>
        <w:t>General Comment on 22:35c–d</w:t>
      </w:r>
    </w:p>
    <w:p>
      <w:pPr/>
      <w:r>
        <w:rPr>
          <w:lang w:val="en_US" w:bidi="en_US"/>
        </w:rPr>
      </w:r>
      <w:r>
        <w:rPr>
          <w:lang w:val="en_US" w:bidi="en_US"/>
        </w:rPr>
        <w:t>In some languages it may be more natural to phrase the question and answer in 22:35c–d in a positive way. For example:</w:t>
      </w:r>
    </w:p>
    <w:p>
      <w:pPr/>
      <w:r>
        <w:rPr>
          <w:lang w:val="en_US" w:bidi="en_US"/>
        </w:rPr>
      </w:r>
      <w:r>
        <w:rPr>
          <w:vertAlign w:val="superscript"/>
          <w:lang w:val="en_US" w:bidi="en_US"/>
        </w:rPr>
        <w:t>35c</w:t>
      </w:r>
      <w:r>
        <w:rPr>
          <w:lang w:val="en_US" w:bidi="en_US"/>
        </w:rPr>
        <w:t xml:space="preserve">“Did you have everything that you needed?” </w:t>
      </w:r>
      <w:r>
        <w:rPr>
          <w:vertAlign w:val="superscript"/>
          <w:lang w:val="en_US" w:bidi="en_US"/>
        </w:rPr>
        <w:t>35d</w:t>
      </w:r>
      <w:r>
        <w:rPr>
          <w:lang w:val="en_US" w:bidi="en_US"/>
        </w:rPr>
        <w:t>They answered, “Yes, we had all that we needed.”</w:t>
      </w:r>
      <w:r>
        <w:rPr>
          <w:lang w:val="en_US" w:bidi="en_US"/>
        </w:rPr>
      </w:r>
      <w:r>
        <w:rPr>
          <w:lang w:val="en_US" w:bidi="en_US"/>
        </w:rPr>
      </w:r>
    </w:p>
    <w:p>
      <w:pPr/>
      <w:r>
        <w:rPr>
          <w:lang w:val="en_US" w:bidi="en_US"/>
        </w:rPr>
      </w:r>
    </w:p>
    <w:p>
      <w:pPr>
        <w:pStyle w:val="Heading2"/>
      </w:pPr>
      <w:r>
        <w:rPr>
          <w:lang w:val="en_US" w:bidi="en_US"/>
        </w:rPr>
        <w:t>Luke 22:36</w:t>
      </w:r>
      <w:r>
        <w:rPr>
          <w:lang w:val="en_US" w:bidi="en_US"/>
        </w:rPr>
      </w:r>
    </w:p>
    <w:p>
      <w:pPr>
        <w:pStyle w:val="Heading4"/>
      </w:pPr>
      <w:r>
        <w:rPr>
          <w:lang w:val="en_US" w:bidi="en_US"/>
        </w:rPr>
        <w:t>Section 22:31–38: Jesus predicted that Peter would deny him</w:t>
      </w:r>
    </w:p>
    <w:p>
      <w:pPr/>
      <w:r>
        <w:rPr>
          <w:lang w:val="en_US" w:bidi="en_US"/>
        </w:rPr>
      </w:r>
      <w:r>
        <w:rPr>
          <w:lang w:val="en_US" w:bidi="en_US"/>
        </w:rPr>
        <w:t>In this section Jesus warned Peter that Satan wanted to test the disciples severely. Peter told Jesus that he would always be faithful to him, but Jesus said to him, “This same night you (Peter) will say three times that you do not know me.”</w:t>
      </w:r>
    </w:p>
    <w:p>
      <w:pPr/>
      <w:r>
        <w:rPr>
          <w:lang w:val="en_US" w:bidi="en_US"/>
        </w:rPr>
      </w:r>
      <w:r>
        <w:rPr>
          <w:lang w:val="en_US" w:bidi="en_US"/>
        </w:rPr>
        <w:t>In the second part of the section, Jesus reminded his apostles of the time that he sent them out to preach and heal (chapters 9–10). At that time, they did not need to take anything with them. People welcomed them and took care of them as they preached about Jesus. But now, people would say that Jesus was an evil doer, just as the prophets had written in the Scriptures. So Jesus warned his apostles to prepare for this time of difficulty and danger.</w:t>
      </w:r>
    </w:p>
    <w:p>
      <w:pPr/>
      <w:r>
        <w:rPr>
          <w:lang w:val="en_US" w:bidi="en_US"/>
        </w:rPr>
      </w:r>
      <w:r>
        <w:rPr>
          <w:lang w:val="en_US" w:bidi="en_US"/>
        </w:rPr>
        <w:t>Some other examples of headings for this section are:</w:t>
      </w:r>
    </w:p>
    <w:p>
      <w:pPr/>
      <w:r>
        <w:rPr>
          <w:lang w:val="en_US" w:bidi="en_US"/>
        </w:rPr>
      </w:r>
      <w:r>
        <w:rPr>
          <w:lang w:val="en_US" w:bidi="en_US"/>
        </w:rPr>
        <w:t>Jesus Predicts Peter’s Denial (GNT)</w:t>
      </w:r>
    </w:p>
    <w:p>
      <w:pPr/>
      <w:r>
        <w:rPr>
          <w:lang w:val="en_US" w:bidi="en_US"/>
        </w:rPr>
      </w:r>
      <w:r>
        <w:rPr>
          <w:lang w:val="en_US" w:bidi="en_US"/>
        </w:rPr>
        <w:t>Jesus’ Disciples Will Be Tested (CEV)</w:t>
      </w:r>
    </w:p>
    <w:p>
      <w:pPr/>
      <w:r>
        <w:rPr>
          <w:lang w:val="en_US" w:bidi="en_US"/>
        </w:rPr>
      </w:r>
      <w:r>
        <w:rPr>
          <w:lang w:val="en_US" w:bidi="en_US"/>
        </w:rPr>
        <w:t>There are parallel passages for this section in Matthew 26:31–35, Mark 14:27–31, and John 13:36–38.</w:t>
      </w:r>
    </w:p>
    <w:p>
      <w:pPr>
        <w:pStyle w:val="Heading5"/>
      </w:pPr>
      <w:r>
        <w:rPr>
          <w:lang w:val="en_US" w:bidi="en_US"/>
        </w:rPr>
        <w:t>22:36a</w:t>
      </w:r>
    </w:p>
    <w:p>
      <w:pPr/>
      <w:r>
        <w:rPr>
          <w:lang w:val="en_US" w:bidi="en_US"/>
        </w:rPr>
      </w:r>
      <w:r>
        <w:rPr>
          <w:b/>
          <w:lang w:val="en_US" w:bidi="en_US"/>
        </w:rPr>
        <w:t>“Now, however,” He told them,</w:t>
      </w:r>
    </w:p>
    <w:p>
      <w:pPr>
        <w:pStyle w:val="ListBullet"/>
        <w:spacing w:line="240" w:lineRule="auto"/>
        <w:ind w:left="720"/>
      </w:pPr>
      <w:r>
        <w:rPr>
          <w:lang w:val="en_US" w:bidi="en_US"/>
        </w:rPr>
      </w:r>
      <w:r>
        <w:rPr>
          <w:lang w:val="en_US" w:bidi="en_US"/>
        </w:rPr>
        <w:t>Then he said to them,</w:t>
      </w:r>
    </w:p>
    <w:p>
      <w:pPr>
        <w:pStyle w:val="ListBullet"/>
        <w:spacing w:line="240" w:lineRule="auto"/>
        <w:ind w:left="720"/>
      </w:pPr>
      <w:r>
        <w:rPr>
          <w:lang w:val="en_US" w:bidi="en_US"/>
        </w:rPr>
      </w:r>
      <w:r>
        <w:rPr>
          <w:lang w:val="en_US" w:bidi="en_US"/>
        </w:rPr>
        <w:t>Then he/Jesus replied,</w:t>
      </w:r>
    </w:p>
    <w:p>
      <w:pPr/>
      <w:r>
        <w:rPr>
          <w:lang w:val="en_US" w:bidi="en_US"/>
        </w:rPr>
      </w:r>
      <w:r>
        <w:rPr>
          <w:b/>
          <w:lang w:val="en_US" w:bidi="en_US"/>
        </w:rPr>
        <w:t>“Now, however,” He told them:</w:t>
      </w:r>
      <w:r>
        <w:rPr>
          <w:lang w:val="en_US" w:bidi="en_US"/>
        </w:rPr>
        <w:t xml:space="preserve"> In the Greek text, the phrase that the BSB translates as </w:t>
      </w:r>
      <w:r>
        <w:rPr>
          <w:i/>
          <w:lang w:val="en_US" w:bidi="en_US"/>
        </w:rPr>
        <w:t>He told them</w:t>
      </w:r>
      <w:r>
        <w:rPr>
          <w:lang w:val="en_US" w:bidi="en_US"/>
        </w:rPr>
        <w:t xml:space="preserve"> occurs before the words that Jesus spoke to the disciples. In some languages, it may be necessary to place these words at the beginning of 22:36a. For example:</w:t>
      </w:r>
    </w:p>
    <w:p>
      <w:pPr/>
      <w:r>
        <w:rPr>
          <w:lang w:val="en_US" w:bidi="en_US"/>
        </w:rPr>
      </w:r>
      <w:r>
        <w:rPr>
          <w:lang w:val="en_US" w:bidi="en_US"/>
        </w:rPr>
        <w:t>He said to them, “But now…” (NIV)</w:t>
      </w:r>
    </w:p>
    <w:p>
      <w:pPr/>
      <w:r>
        <w:rPr>
          <w:lang w:val="en_US" w:bidi="en_US"/>
        </w:rPr>
      </w:r>
      <w:r>
        <w:rPr>
          <w:lang w:val="en_US" w:bidi="en_US"/>
        </w:rPr>
        <w:t xml:space="preserve">Place this phrase where it is most natural in your language. See the note below on the phrase </w:t>
      </w:r>
      <w:r>
        <w:rPr>
          <w:i/>
          <w:lang w:val="en_US" w:bidi="en_US"/>
        </w:rPr>
        <w:t>He told them</w:t>
      </w:r>
      <w:r>
        <w:rPr>
          <w:lang w:val="en_US" w:bidi="en_US"/>
        </w:rPr>
        <w:t xml:space="preserve"> for more guidance.</w:t>
      </w:r>
    </w:p>
    <w:p>
      <w:pPr/>
      <w:r>
        <w:rPr>
          <w:lang w:val="en_US" w:bidi="en_US"/>
        </w:rPr>
      </w:r>
      <w:r>
        <w:rPr>
          <w:b/>
          <w:lang w:val="en_US" w:bidi="en_US"/>
        </w:rPr>
        <w:t>Now, however:</w:t>
      </w:r>
      <w:r>
        <w:rPr>
          <w:lang w:val="en_US" w:bidi="en_US"/>
        </w:rPr>
        <w:t xml:space="preserve"> The Greek phrase that the BSB translates as </w:t>
      </w:r>
      <w:r>
        <w:rPr>
          <w:i/>
          <w:lang w:val="en_US" w:bidi="en_US"/>
        </w:rPr>
        <w:t>Now, however</w:t>
      </w:r>
      <w:r>
        <w:rPr>
          <w:lang w:val="en_US" w:bidi="en_US"/>
        </w:rPr>
        <w:t xml:space="preserve"> introduces a contrast to 22:35. During the time that began that night, the situation would be different. So Jesus gave different instructions in 22:36.</w:t>
      </w:r>
    </w:p>
    <w:p>
      <w:pPr/>
      <w:r>
        <w:rPr>
          <w:lang w:val="en_US" w:bidi="en_US"/>
        </w:rPr>
      </w:r>
      <w:r>
        <w:rPr>
          <w:lang w:val="en_US" w:bidi="en_US"/>
        </w:rPr>
        <w:t>There is implied information here. Verse 35 implied that people took care of the apostles when they preached about Jesus. At that time they welcomed the message about Jesus. However, in 22:37 Jesus explained that people will now treat him as a criminal. He implied that they will also treat the apostles as criminals and persecute them.</w:t>
      </w:r>
    </w:p>
    <w:p>
      <w:pPr/>
      <w:r>
        <w:rPr>
          <w:lang w:val="en_US" w:bidi="en_US"/>
        </w:rPr>
      </w:r>
      <w:r>
        <w:rPr>
          <w:lang w:val="en_US" w:bidi="en_US"/>
        </w:rPr>
        <w:t>In some languages it may be necessary to make some of this information explicit. For example:</w:t>
      </w:r>
    </w:p>
    <w:p>
      <w:pPr/>
      <w:r>
        <w:rPr>
          <w:lang w:val="en_US" w:bidi="en_US"/>
        </w:rPr>
      </w:r>
      <w:r>
        <w:rPr>
          <w:lang w:val="en_US" w:bidi="en_US"/>
        </w:rPr>
        <w:t xml:space="preserve">But now </w:t>
      </w:r>
      <w:r>
        <w:rPr>
          <w:lang w:val="en_US" w:bidi="en_US"/>
        </w:rPr>
        <w:t>people will not help you. So</w:t>
      </w:r>
    </w:p>
    <w:p>
      <w:pPr/>
      <w:r>
        <w:rPr>
          <w:lang w:val="en_US" w:bidi="en_US"/>
        </w:rPr>
      </w:r>
      <w:r>
        <w:rPr>
          <w:lang w:val="en_US" w:bidi="en_US"/>
        </w:rPr>
        <w:t xml:space="preserve">However, starting now, </w:t>
      </w:r>
      <w:r>
        <w:rPr>
          <w:lang w:val="en_US" w:bidi="en_US"/>
        </w:rPr>
        <w:t>people are against us</w:t>
      </w:r>
      <w:r>
        <w:rPr>
          <w:vertAlign w:val="superscript"/>
          <w:lang w:val="en_US" w:bidi="en_US"/>
        </w:rPr>
        <w:t>(excl)</w:t>
      </w:r>
      <w:r>
        <w:rPr>
          <w:lang w:val="en_US" w:bidi="en_US"/>
        </w:rPr>
        <w:t>.</w:t>
      </w:r>
    </w:p>
    <w:p>
      <w:pPr/>
      <w:r>
        <w:rPr>
          <w:lang w:val="en_US" w:bidi="en_US"/>
        </w:rPr>
      </w:r>
      <w:r>
        <w:rPr>
          <w:lang w:val="en_US" w:bidi="en_US"/>
        </w:rPr>
        <w:t>You may want to include some of the information in a footnote. For example:</w:t>
      </w:r>
    </w:p>
    <w:p>
      <w:pPr/>
      <w:r>
        <w:rPr>
          <w:lang w:val="en_US" w:bidi="en_US"/>
        </w:rPr>
      </w:r>
      <w:r>
        <w:rPr>
          <w:lang w:val="en_US" w:bidi="en_US"/>
        </w:rPr>
        <w:t>When Jesus sent the disciples out before (9:1–6, 10:1–16), people welcomed them into their homes and listened to their message about Jesus. Now they would treat Jesus like a criminal, and they would also mistreat his disciples.</w:t>
      </w:r>
    </w:p>
    <w:p>
      <w:pPr/>
      <w:r>
        <w:rPr>
          <w:lang w:val="en_US" w:bidi="en_US"/>
        </w:rPr>
      </w:r>
      <w:r>
        <w:rPr>
          <w:b/>
          <w:lang w:val="en_US" w:bidi="en_US"/>
        </w:rPr>
        <w:t>He told them:</w:t>
      </w:r>
      <w:r>
        <w:rPr>
          <w:lang w:val="en_US" w:bidi="en_US"/>
        </w:rPr>
        <w:t xml:space="preserve"> In Greek the clause </w:t>
      </w:r>
      <w:r>
        <w:rPr>
          <w:i/>
          <w:lang w:val="en_US" w:bidi="en_US"/>
        </w:rPr>
        <w:t>He told them</w:t>
      </w:r>
      <w:r>
        <w:rPr>
          <w:lang w:val="en_US" w:bidi="en_US"/>
        </w:rPr>
        <w:t xml:space="preserve"> introduces Jesus’ response to the apostles after they answered his question. It includes a conjunction that some English versions translate as “Then.” Introduce Jesus’ response in a natural way in your language.</w:t>
      </w:r>
    </w:p>
    <w:p>
      <w:pPr>
        <w:pStyle w:val="Heading5"/>
      </w:pPr>
      <w:r>
        <w:rPr>
          <w:lang w:val="en_US" w:bidi="en_US"/>
        </w:rPr>
        <w:t>22:36b</w:t>
      </w:r>
    </w:p>
    <w:p>
      <w:pPr/>
      <w:r>
        <w:rPr>
          <w:lang w:val="en_US" w:bidi="en_US"/>
        </w:rPr>
      </w:r>
      <w:r>
        <w:rPr>
          <w:b/>
          <w:lang w:val="en_US" w:bidi="en_US"/>
        </w:rPr>
        <w:t>“the one with a purse should take it, and likewise a bag;</w:t>
      </w:r>
    </w:p>
    <w:p>
      <w:pPr>
        <w:pStyle w:val="ListBullet"/>
        <w:spacing w:line="240" w:lineRule="auto"/>
        <w:ind w:left="720"/>
      </w:pPr>
      <w:r>
        <w:rPr>
          <w:lang w:val="en_US" w:bidi="en_US"/>
        </w:rPr>
      </w:r>
      <w:r>
        <w:rPr>
          <w:lang w:val="en_US" w:bidi="en_US"/>
        </w:rPr>
        <w:t>“But now, whoever has a wallet and a traveling bag should take it/them along,</w:t>
      </w:r>
    </w:p>
    <w:p>
      <w:pPr>
        <w:pStyle w:val="ListBullet"/>
        <w:spacing w:line="240" w:lineRule="auto"/>
        <w:ind w:left="720"/>
      </w:pPr>
      <w:r>
        <w:rPr>
          <w:lang w:val="en_US" w:bidi="en_US"/>
        </w:rPr>
      </w:r>
      <w:r>
        <w:rPr>
          <w:lang w:val="en_US" w:bidi="en_US"/>
        </w:rPr>
        <w:t xml:space="preserve">“But now </w:t>
      </w:r>
      <w:r>
        <w:rPr>
          <w:lang w:val="en_US" w:bidi="en_US"/>
        </w:rPr>
        <w:t>it is different</w:t>
      </w:r>
      <w:r>
        <w:rPr>
          <w:lang w:val="en_US" w:bidi="en_US"/>
        </w:rPr>
        <w:t xml:space="preserve">. </w:t>
      </w:r>
      <w:r>
        <w:rPr>
          <w:lang w:val="en_US" w:bidi="en_US"/>
        </w:rPr>
        <w:t>When you</w:t>
      </w:r>
      <w:r>
        <w:rPr>
          <w:vertAlign w:val="superscript"/>
          <w:lang w:val="en_US" w:bidi="en_US"/>
        </w:rPr>
        <w:t>(plur)</w:t>
      </w:r>
      <w:r>
        <w:rPr>
          <w:lang w:val="en_US" w:bidi="en_US"/>
        </w:rPr>
        <w:t xml:space="preserve"> </w:t>
      </w:r>
      <w:r>
        <w:rPr>
          <w:lang w:val="en_US" w:bidi="en_US"/>
        </w:rPr>
        <w:t>travel,</w:t>
      </w:r>
      <w:r>
        <w:rPr>
          <w:lang w:val="en_US" w:bidi="en_US"/>
        </w:rPr>
        <w:t xml:space="preserve"> take/bring money and a bag/pack </w:t>
      </w:r>
      <w:r>
        <w:rPr>
          <w:lang w:val="en_US" w:bidi="en_US"/>
        </w:rPr>
        <w:t>filled with other things that you may need</w:t>
      </w:r>
      <w:r>
        <w:rPr>
          <w:lang w:val="en_US" w:bidi="en_US"/>
        </w:rPr>
        <w:t>.</w:t>
      </w:r>
    </w:p>
    <w:p>
      <w:pPr/>
      <w:r>
        <w:rPr>
          <w:lang w:val="en_US" w:bidi="en_US"/>
        </w:rPr>
      </w:r>
      <w:r>
        <w:rPr>
          <w:b/>
          <w:lang w:val="en_US" w:bidi="en_US"/>
        </w:rPr>
        <w:t>the one with a purse should take it, and likewise a bag:</w:t>
      </w:r>
      <w:r>
        <w:rPr>
          <w:lang w:val="en_US" w:bidi="en_US"/>
        </w:rPr>
        <w:t xml:space="preserve"> Here Jesus told the disciples to take a purse and a bag with them when they travel.</w:t>
      </w:r>
    </w:p>
    <w:p>
      <w:pPr/>
      <w:r>
        <w:rPr>
          <w:lang w:val="en_US" w:bidi="en_US"/>
        </w:rPr>
      </w:r>
      <w:r>
        <w:rPr>
          <w:lang w:val="en_US" w:bidi="en_US"/>
        </w:rPr>
        <w:t>Some other ways to translate these instructions are:</w:t>
      </w:r>
    </w:p>
    <w:p>
      <w:pPr/>
      <w:r>
        <w:rPr>
          <w:lang w:val="en_US" w:bidi="en_US"/>
        </w:rPr>
      </w:r>
      <w:r>
        <w:rPr>
          <w:lang w:val="en_US" w:bidi="en_US"/>
        </w:rPr>
        <w:t>the person who has a wallet and a traveling bag should take them along (GW)</w:t>
      </w:r>
    </w:p>
    <w:p>
      <w:pPr/>
      <w:r>
        <w:rPr>
          <w:lang w:val="en_US" w:bidi="en_US"/>
        </w:rPr>
      </w:r>
      <w:r>
        <w:rPr>
          <w:lang w:val="en_US" w:bidi="en_US"/>
        </w:rPr>
        <w:t>take your money and a traveler’s bag (NLT)</w:t>
      </w:r>
    </w:p>
    <w:p>
      <w:pPr/>
      <w:r>
        <w:rPr>
          <w:lang w:val="en_US" w:bidi="en_US"/>
        </w:rPr>
      </w:r>
      <w:r>
        <w:rPr>
          <w:lang w:val="en_US" w:bidi="en_US"/>
        </w:rPr>
        <w:t>whoever has a purse had better take it with him, and his pack too (REB)</w:t>
      </w:r>
    </w:p>
    <w:p>
      <w:pPr/>
      <w:r>
        <w:rPr>
          <w:lang w:val="en_US" w:bidi="en_US"/>
        </w:rPr>
      </w:r>
      <w:r>
        <w:rPr>
          <w:b/>
          <w:lang w:val="en_US" w:bidi="en_US"/>
        </w:rPr>
        <w:t>purse:</w:t>
      </w:r>
      <w:r>
        <w:rPr>
          <w:lang w:val="en_US" w:bidi="en_US"/>
        </w:rPr>
        <w:t xml:space="preserve"> Jesus implied that the </w:t>
      </w:r>
      <w:r>
        <w:rPr>
          <w:i/>
          <w:lang w:val="en_US" w:bidi="en_US"/>
        </w:rPr>
        <w:t>purse</w:t>
      </w:r>
      <w:r>
        <w:rPr>
          <w:lang w:val="en_US" w:bidi="en_US"/>
        </w:rPr>
        <w:t xml:space="preserve"> was for money and that it contained money. For example:</w:t>
      </w:r>
    </w:p>
    <w:p>
      <w:pPr/>
      <w:r>
        <w:rPr>
          <w:lang w:val="en_US" w:bidi="en_US"/>
        </w:rPr>
      </w:r>
      <w:r>
        <w:rPr>
          <w:lang w:val="en_US" w:bidi="en_US"/>
        </w:rPr>
        <w:t>the one who has a money bag must take it (NET)</w:t>
      </w:r>
    </w:p>
    <w:p>
      <w:pPr/>
      <w:r>
        <w:rPr>
          <w:lang w:val="en_US" w:bidi="en_US"/>
        </w:rPr>
      </w:r>
      <w:r>
        <w:rPr>
          <w:lang w:val="en_US" w:bidi="en_US"/>
        </w:rPr>
        <w:t xml:space="preserve">If you translated </w:t>
      </w:r>
      <w:r>
        <w:rPr>
          <w:i/>
          <w:lang w:val="en_US" w:bidi="en_US"/>
        </w:rPr>
        <w:t>purse</w:t>
      </w:r>
      <w:r>
        <w:rPr>
          <w:lang w:val="en_US" w:bidi="en_US"/>
        </w:rPr>
        <w:t xml:space="preserve"> as “money” in 22:35a–b, you should do so again here. For example:</w:t>
      </w:r>
    </w:p>
    <w:p>
      <w:pPr/>
      <w:r>
        <w:rPr>
          <w:lang w:val="en_US" w:bidi="en_US"/>
        </w:rPr>
      </w:r>
      <w:r>
        <w:rPr>
          <w:lang w:val="en_US" w:bidi="en_US"/>
        </w:rPr>
        <w:t>take money with you</w:t>
      </w:r>
    </w:p>
    <w:p>
      <w:pPr/>
      <w:r>
        <w:rPr>
          <w:lang w:val="en_US" w:bidi="en_US"/>
        </w:rPr>
      </w:r>
      <w:r>
        <w:rPr>
          <w:b/>
          <w:lang w:val="en_US" w:bidi="en_US"/>
        </w:rPr>
        <w:t>a bag:</w:t>
      </w:r>
      <w:r>
        <w:rPr>
          <w:lang w:val="en_US" w:bidi="en_US"/>
        </w:rPr>
        <w:t xml:space="preserve"> The phrase </w:t>
      </w:r>
      <w:r>
        <w:rPr>
          <w:i/>
          <w:lang w:val="en_US" w:bidi="en_US"/>
        </w:rPr>
        <w:t>a bag</w:t>
      </w:r>
      <w:r>
        <w:rPr>
          <w:lang w:val="en_US" w:bidi="en_US"/>
        </w:rPr>
        <w:t xml:space="preserve"> implies here that each apostle will fill a traveling bag or pack with things that he will need, such as extra clothes. Use the same word here as you used in 22:35b.</w:t>
      </w:r>
    </w:p>
    <w:p>
      <w:pPr>
        <w:pStyle w:val="Heading5"/>
      </w:pPr>
      <w:r>
        <w:rPr>
          <w:lang w:val="en_US" w:bidi="en_US"/>
        </w:rPr>
        <w:t>22:36c</w:t>
      </w:r>
    </w:p>
    <w:p>
      <w:pPr/>
      <w:r>
        <w:rPr>
          <w:lang w:val="en_US" w:bidi="en_US"/>
        </w:rPr>
      </w:r>
      <w:r>
        <w:rPr>
          <w:b/>
          <w:lang w:val="en_US" w:bidi="en_US"/>
        </w:rPr>
        <w:t>and the one without a sword should</w:t>
      </w:r>
    </w:p>
    <w:p>
      <w:pPr>
        <w:pStyle w:val="ListBullet"/>
        <w:spacing w:line="240" w:lineRule="auto"/>
        <w:ind w:left="720"/>
      </w:pPr>
      <w:r>
        <w:rPr>
          <w:lang w:val="en_US" w:bidi="en_US"/>
        </w:rPr>
      </w:r>
      <w:r>
        <w:rPr>
          <w:lang w:val="en_US" w:bidi="en_US"/>
        </w:rPr>
        <w:t>and whoever does not have a sword</w:t>
      </w:r>
    </w:p>
    <w:p>
      <w:pPr>
        <w:pStyle w:val="ListBullet"/>
        <w:spacing w:line="240" w:lineRule="auto"/>
        <w:ind w:left="720"/>
      </w:pPr>
      <w:r>
        <w:rPr>
          <w:lang w:val="en_US" w:bidi="en_US"/>
        </w:rPr>
      </w:r>
      <w:r>
        <w:rPr>
          <w:lang w:val="en_US" w:bidi="en_US"/>
        </w:rPr>
        <w:t>And if one of you</w:t>
      </w:r>
      <w:r>
        <w:rPr>
          <w:vertAlign w:val="superscript"/>
          <w:lang w:val="en_US" w:bidi="en_US"/>
        </w:rPr>
        <w:t>(plur)</w:t>
      </w:r>
      <w:r>
        <w:rPr>
          <w:lang w:val="en_US" w:bidi="en_US"/>
        </w:rPr>
        <w:t xml:space="preserve"> does not have a sword </w:t>
      </w:r>
      <w:r>
        <w:rPr>
          <w:lang w:val="en_US" w:bidi="en_US"/>
        </w:rPr>
        <w:t>and does not have the money to buy one</w:t>
      </w:r>
      <w:r>
        <w:rPr>
          <w:lang w:val="en_US" w:bidi="en_US"/>
        </w:rPr>
        <w:t>,</w:t>
      </w:r>
    </w:p>
    <w:p>
      <w:pPr>
        <w:pStyle w:val="Heading5"/>
      </w:pPr>
      <w:r>
        <w:rPr>
          <w:lang w:val="en_US" w:bidi="en_US"/>
        </w:rPr>
        <w:t>22:36d</w:t>
      </w:r>
    </w:p>
    <w:p>
      <w:pPr/>
      <w:r>
        <w:rPr>
          <w:lang w:val="en_US" w:bidi="en_US"/>
        </w:rPr>
      </w:r>
      <w:r>
        <w:rPr>
          <w:b/>
          <w:lang w:val="en_US" w:bidi="en_US"/>
        </w:rPr>
        <w:t>sell his cloak and buy one.</w:t>
      </w:r>
    </w:p>
    <w:p>
      <w:pPr>
        <w:pStyle w:val="ListBullet"/>
        <w:spacing w:line="240" w:lineRule="auto"/>
        <w:ind w:left="720"/>
      </w:pPr>
      <w:r>
        <w:rPr>
          <w:lang w:val="en_US" w:bidi="en_US"/>
        </w:rPr>
      </w:r>
      <w:r>
        <w:rPr>
          <w:lang w:val="en_US" w:bidi="en_US"/>
        </w:rPr>
        <w:t>should sell his coat and buy one.</w:t>
      </w:r>
    </w:p>
    <w:p>
      <w:pPr>
        <w:pStyle w:val="ListBullet"/>
        <w:spacing w:line="240" w:lineRule="auto"/>
        <w:ind w:left="720"/>
      </w:pPr>
      <w:r>
        <w:rPr>
          <w:lang w:val="en_US" w:bidi="en_US"/>
        </w:rPr>
      </w:r>
      <w:r>
        <w:rPr>
          <w:lang w:val="en_US" w:bidi="en_US"/>
        </w:rPr>
        <w:t>sell your</w:t>
      </w:r>
      <w:r>
        <w:rPr>
          <w:vertAlign w:val="superscript"/>
          <w:lang w:val="en_US" w:bidi="en_US"/>
        </w:rPr>
        <w:t>(plur)</w:t>
      </w:r>
      <w:r>
        <w:rPr>
          <w:lang w:val="en_US" w:bidi="en_US"/>
        </w:rPr>
        <w:t xml:space="preserve"> coat/robe and </w:t>
      </w:r>
      <w:r>
        <w:rPr>
          <w:lang w:val="en_US" w:bidi="en_US"/>
        </w:rPr>
        <w:t>use the money to</w:t>
      </w:r>
      <w:r>
        <w:rPr>
          <w:lang w:val="en_US" w:bidi="en_US"/>
        </w:rPr>
        <w:t xml:space="preserve"> buy </w:t>
      </w:r>
      <w:r>
        <w:rPr>
          <w:lang w:val="en_US" w:bidi="en_US"/>
        </w:rPr>
        <w:t>a sword</w:t>
      </w:r>
      <w:r>
        <w:rPr>
          <w:lang w:val="en_US" w:bidi="en_US"/>
        </w:rPr>
        <w:t>.</w:t>
      </w:r>
    </w:p>
    <w:p>
      <w:pPr>
        <w:pStyle w:val="Heading5"/>
      </w:pPr>
      <w:r>
        <w:rPr>
          <w:lang w:val="en_US" w:bidi="en_US"/>
        </w:rPr>
        <w:t>22:36c–d</w:t>
      </w:r>
    </w:p>
    <w:p>
      <w:pPr/>
      <w:r>
        <w:rPr>
          <w:lang w:val="en_US" w:bidi="en_US"/>
        </w:rPr>
      </w:r>
      <w:r>
        <w:rPr>
          <w:b/>
          <w:lang w:val="en_US" w:bidi="en_US"/>
        </w:rPr>
        <w:t>the one without a sword should sell his cloak and buy one:</w:t>
      </w:r>
      <w:r>
        <w:rPr>
          <w:lang w:val="en_US" w:bidi="en_US"/>
        </w:rPr>
        <w:t xml:space="preserve"> This command is more literally “the one not having should sell his outer-garment and buy a sword.” It refers to a disciple who does not have a sword and also does not have enough money to buy one. Then he should sell his cloak and take the money to buy a sword.</w:t>
      </w:r>
    </w:p>
    <w:p>
      <w:pPr/>
      <w:r>
        <w:rPr>
          <w:lang w:val="en_US" w:bidi="en_US"/>
        </w:rPr>
      </w:r>
      <w:r>
        <w:rPr>
          <w:lang w:val="en_US" w:bidi="en_US"/>
        </w:rPr>
        <w:t>Some other ways to translate this command are:</w:t>
      </w:r>
    </w:p>
    <w:p>
      <w:pPr/>
      <w:r>
        <w:rPr>
          <w:lang w:val="en_US" w:bidi="en_US"/>
        </w:rPr>
      </w:r>
      <w:r>
        <w:rPr>
          <w:lang w:val="en_US" w:bidi="en_US"/>
        </w:rPr>
        <w:t>he who has no sword should sell his shirt and buy one</w:t>
      </w:r>
      <w:r>
        <w:rPr>
          <w:lang w:val="en_US" w:bidi="en_US"/>
        </w:rPr>
        <w:t>Western Bukidnon Manobo back translation on TW.</w:t>
      </w:r>
    </w:p>
    <w:p>
      <w:pPr/>
      <w:r>
        <w:rPr>
          <w:lang w:val="en_US" w:bidi="en_US"/>
        </w:rPr>
      </w:r>
      <w:r>
        <w:rPr>
          <w:lang w:val="en_US" w:bidi="en_US"/>
        </w:rPr>
        <w:t>the one who has no sword, he must go buy, even if it is necessary for him to sell his outer garment so that he will have something-to-pay-with</w:t>
      </w:r>
      <w:r>
        <w:rPr>
          <w:lang w:val="en_US" w:bidi="en_US"/>
        </w:rPr>
        <w:t>Kankanaey back translation on TW.</w:t>
      </w:r>
    </w:p>
    <w:p>
      <w:pPr/>
      <w:r>
        <w:rPr>
          <w:lang w:val="en_US" w:bidi="en_US"/>
        </w:rPr>
      </w:r>
      <w:r>
        <w:rPr>
          <w:lang w:val="en_US" w:bidi="en_US"/>
        </w:rPr>
        <w:t>Here Jesus implied that his disciples will soon be in serious danger. They will need protection even more than they will need a cloak. This is an emphatic way to tell his disciples to be ready for hardship and persecution.</w:t>
      </w:r>
    </w:p>
    <w:p>
      <w:pPr/>
      <w:r>
        <w:rPr>
          <w:lang w:val="en_US" w:bidi="en_US"/>
        </w:rPr>
      </w:r>
      <w:r>
        <w:rPr>
          <w:lang w:val="en_US" w:bidi="en_US"/>
        </w:rPr>
        <w:t>Many Bible scholars believe that Jesus spoke figuratively here.</w:t>
      </w:r>
      <w:r>
        <w:rPr>
          <w:lang w:val="en_US" w:bidi="en_US"/>
        </w:rPr>
        <w:t>For example, Green (p. 774) says, “In times to come, the apostles can no longer depend on a warm welcome, but must prepare themselves for hostility, even of a violent sort. Mention of the need to purchase a sword adds to this picture a metaphorical reference to the coming reality. The possibility that Jesus’ followers are literally to respond to hostility with a sword—that is, with violence—is negated in 22:49–51….”</w:t>
      </w:r>
      <w:r>
        <w:rPr>
          <w:lang w:val="en_US" w:bidi="en_US"/>
        </w:rPr>
        <w:t xml:space="preserve"> He may not have referred to a literal sword but to being prepared for danger. This view fits with 22:49–51. You may want to include a footnote in your translation about this. For example:</w:t>
      </w:r>
    </w:p>
    <w:p>
      <w:pPr/>
      <w:r>
        <w:rPr>
          <w:lang w:val="en_US" w:bidi="en_US"/>
        </w:rPr>
      </w:r>
      <w:r>
        <w:rPr>
          <w:lang w:val="en_US" w:bidi="en_US"/>
        </w:rPr>
        <w:t>Jesus may have used a figure of speech here. He may not have wanted his disciples to buy real swords. (See 22:49–51.) Instead, he wanted them to prepare for a dangerous time when people will persecute them. His disciples thought that he referred to real swords. (See 22:38.)</w:t>
      </w:r>
    </w:p>
    <w:p>
      <w:pPr/>
      <w:r>
        <w:rPr>
          <w:lang w:val="en_US" w:bidi="en_US"/>
        </w:rPr>
      </w:r>
      <w:r>
        <w:rPr>
          <w:b/>
          <w:lang w:val="en_US" w:bidi="en_US"/>
        </w:rPr>
        <w:t>sword:</w:t>
      </w:r>
      <w:r>
        <w:rPr>
          <w:lang w:val="en_US" w:bidi="en_US"/>
        </w:rPr>
        <w:t xml:space="preserve"> The word </w:t>
      </w:r>
      <w:r>
        <w:rPr>
          <w:i/>
          <w:lang w:val="en_US" w:bidi="en_US"/>
        </w:rPr>
        <w:t>sword</w:t>
      </w:r>
      <w:r>
        <w:rPr>
          <w:lang w:val="en_US" w:bidi="en_US"/>
        </w:rPr>
        <w:t xml:space="preserve"> also occurred in 21:24. See how you translated it there.</w:t>
      </w:r>
    </w:p>
    <w:p>
      <w:pPr/>
      <w:r>
        <w:rPr>
          <w:lang w:val="en_US" w:bidi="en_US"/>
        </w:rPr>
      </w:r>
      <w:r>
        <w:rPr>
          <w:b/>
          <w:lang w:val="en_US" w:bidi="en_US"/>
        </w:rPr>
        <w:t>cloak:</w:t>
      </w:r>
      <w:r>
        <w:rPr>
          <w:lang w:val="en_US" w:bidi="en_US"/>
        </w:rPr>
        <w:t xml:space="preserve"> A </w:t>
      </w:r>
      <w:r>
        <w:rPr>
          <w:i/>
          <w:lang w:val="en_US" w:bidi="en_US"/>
        </w:rPr>
        <w:t>cloak</w:t>
      </w:r>
      <w:r>
        <w:rPr>
          <w:lang w:val="en_US" w:bidi="en_US"/>
        </w:rPr>
        <w:t xml:space="preserve"> is a long coat or robe that people use to keep warm. It was an important item of clothing that people needed during the cold time of the year.</w:t>
      </w:r>
    </w:p>
    <w:p>
      <w:pPr/>
      <w:r>
        <w:rPr>
          <w:lang w:val="en_US" w:bidi="en_US"/>
        </w:rPr>
      </w:r>
      <w:r>
        <w:rPr>
          <w:lang w:val="en_US" w:bidi="en_US"/>
        </w:rPr>
        <w:t>In some areas people may not wear cloaks. If that is true in your area, some other ways to translate it are:</w:t>
      </w:r>
    </w:p>
    <w:p>
      <w:pPr>
        <w:pStyle w:val="ListBullet"/>
        <w:spacing w:line="240" w:lineRule="auto"/>
        <w:ind w:left="720"/>
      </w:pPr>
      <w:r>
        <w:rPr>
          <w:lang w:val="en_US" w:bidi="en_US"/>
        </w:rPr>
      </w:r>
      <w:r>
        <w:rPr>
          <w:lang w:val="en_US" w:bidi="en_US"/>
        </w:rPr>
        <w:t>Use a more general expression. For example:</w:t>
      </w:r>
      <w:r>
        <w:rPr>
          <w:lang w:val="en_US" w:bidi="en_US"/>
        </w:rPr>
        <w:t>outer garment</w:t>
      </w:r>
    </w:p>
    <w:p>
      <w:pPr>
        <w:pStyle w:val="ListBullet"/>
        <w:spacing w:line="240" w:lineRule="auto"/>
        <w:ind w:left="720"/>
      </w:pPr>
      <w:r>
        <w:rPr>
          <w:lang w:val="en_US" w:bidi="en_US"/>
        </w:rPr>
      </w:r>
      <w:r>
        <w:rPr>
          <w:lang w:val="en_US" w:bidi="en_US"/>
        </w:rPr>
        <w:t>Use an item of clothing that is common in your culture. For example:</w:t>
      </w:r>
      <w:r>
        <w:rPr>
          <w:lang w:val="en_US" w:bidi="en_US"/>
        </w:rPr>
        <w:t>shirt</w:t>
      </w:r>
      <w:r>
        <w:rPr>
          <w:lang w:val="en_US" w:bidi="en_US"/>
        </w:rPr>
      </w:r>
      <w:r>
        <w:rPr>
          <w:lang w:val="en_US" w:bidi="en_US"/>
        </w:rPr>
      </w:r>
    </w:p>
    <w:p>
      <w:pPr/>
      <w:r>
        <w:rPr>
          <w:lang w:val="en_US" w:bidi="en_US"/>
        </w:rPr>
      </w:r>
    </w:p>
    <w:p>
      <w:pPr>
        <w:pStyle w:val="Heading2"/>
      </w:pPr>
      <w:r>
        <w:rPr>
          <w:lang w:val="en_US" w:bidi="en_US"/>
        </w:rPr>
        <w:t>Luke 22:37</w:t>
      </w:r>
      <w:r>
        <w:rPr>
          <w:lang w:val="en_US" w:bidi="en_US"/>
        </w:rPr>
      </w:r>
    </w:p>
    <w:p>
      <w:pPr>
        <w:pStyle w:val="Heading4"/>
      </w:pPr>
      <w:r>
        <w:rPr>
          <w:lang w:val="en_US" w:bidi="en_US"/>
        </w:rPr>
        <w:t>Section 22:31–38: Jesus predicted that Peter would deny him</w:t>
      </w:r>
    </w:p>
    <w:p>
      <w:pPr/>
      <w:r>
        <w:rPr>
          <w:lang w:val="en_US" w:bidi="en_US"/>
        </w:rPr>
      </w:r>
      <w:r>
        <w:rPr>
          <w:lang w:val="en_US" w:bidi="en_US"/>
        </w:rPr>
        <w:t>In this section Jesus warned Peter that Satan wanted to test the disciples severely. Peter told Jesus that he would always be faithful to him, but Jesus said to him, “This same night you (Peter) will say three times that you do not know me.”</w:t>
      </w:r>
    </w:p>
    <w:p>
      <w:pPr/>
      <w:r>
        <w:rPr>
          <w:lang w:val="en_US" w:bidi="en_US"/>
        </w:rPr>
      </w:r>
      <w:r>
        <w:rPr>
          <w:lang w:val="en_US" w:bidi="en_US"/>
        </w:rPr>
        <w:t>In the second part of the section, Jesus reminded his apostles of the time that he sent them out to preach and heal (chapters 9–10). At that time, they did not need to take anything with them. People welcomed them and took care of them as they preached about Jesus. But now, people would say that Jesus was an evil doer, just as the prophets had written in the Scriptures. So Jesus warned his apostles to prepare for this time of difficulty and danger.</w:t>
      </w:r>
    </w:p>
    <w:p>
      <w:pPr/>
      <w:r>
        <w:rPr>
          <w:lang w:val="en_US" w:bidi="en_US"/>
        </w:rPr>
      </w:r>
      <w:r>
        <w:rPr>
          <w:lang w:val="en_US" w:bidi="en_US"/>
        </w:rPr>
        <w:t>Some other examples of headings for this section are:</w:t>
      </w:r>
    </w:p>
    <w:p>
      <w:pPr/>
      <w:r>
        <w:rPr>
          <w:lang w:val="en_US" w:bidi="en_US"/>
        </w:rPr>
      </w:r>
      <w:r>
        <w:rPr>
          <w:lang w:val="en_US" w:bidi="en_US"/>
        </w:rPr>
        <w:t>Jesus Predicts Peter’s Denial (GNT)</w:t>
      </w:r>
    </w:p>
    <w:p>
      <w:pPr/>
      <w:r>
        <w:rPr>
          <w:lang w:val="en_US" w:bidi="en_US"/>
        </w:rPr>
      </w:r>
      <w:r>
        <w:rPr>
          <w:lang w:val="en_US" w:bidi="en_US"/>
        </w:rPr>
        <w:t>Jesus’ Disciples Will Be Tested (CEV)</w:t>
      </w:r>
    </w:p>
    <w:p>
      <w:pPr/>
      <w:r>
        <w:rPr>
          <w:lang w:val="en_US" w:bidi="en_US"/>
        </w:rPr>
      </w:r>
      <w:r>
        <w:rPr>
          <w:lang w:val="en_US" w:bidi="en_US"/>
        </w:rPr>
        <w:t>There are parallel passages for this section in Matthew 26:31–35, Mark 14:27–31, and John 13:36–38.</w:t>
      </w:r>
    </w:p>
    <w:p>
      <w:pPr>
        <w:pStyle w:val="Heading5"/>
      </w:pPr>
      <w:r>
        <w:rPr>
          <w:lang w:val="en_US" w:bidi="en_US"/>
        </w:rPr>
        <w:t>22:37a</w:t>
      </w:r>
    </w:p>
    <w:p>
      <w:pPr/>
      <w:r>
        <w:rPr>
          <w:lang w:val="en_US" w:bidi="en_US"/>
        </w:rPr>
      </w:r>
      <w:r>
        <w:rPr>
          <w:b/>
          <w:lang w:val="en_US" w:bidi="en_US"/>
        </w:rPr>
        <w:t>For I tell you that</w:t>
      </w:r>
    </w:p>
    <w:p>
      <w:pPr>
        <w:pStyle w:val="ListBullet"/>
        <w:spacing w:line="240" w:lineRule="auto"/>
        <w:ind w:left="720"/>
      </w:pPr>
      <w:r>
        <w:rPr>
          <w:lang w:val="en_US" w:bidi="en_US"/>
        </w:rPr>
      </w:r>
      <w:r>
        <w:rPr>
          <w:lang w:val="en_US" w:bidi="en_US"/>
        </w:rPr>
        <w:t>I tell/assure you</w:t>
      </w:r>
      <w:r>
        <w:rPr>
          <w:vertAlign w:val="superscript"/>
          <w:lang w:val="en_US" w:bidi="en_US"/>
        </w:rPr>
        <w:t>(plur)</w:t>
      </w:r>
      <w:r>
        <w:rPr>
          <w:lang w:val="en_US" w:bidi="en_US"/>
        </w:rPr>
        <w:t xml:space="preserve"> that</w:t>
      </w:r>
    </w:p>
    <w:p>
      <w:pPr>
        <w:pStyle w:val="ListBullet"/>
        <w:spacing w:line="240" w:lineRule="auto"/>
        <w:ind w:left="720"/>
      </w:pPr>
      <w:r>
        <w:rPr>
          <w:lang w:val="en_US" w:bidi="en_US"/>
        </w:rPr>
      </w:r>
      <w:r>
        <w:rPr>
          <w:lang w:val="en_US" w:bidi="en_US"/>
        </w:rPr>
        <w:t>Listen</w:t>
      </w:r>
      <w:r>
        <w:rPr>
          <w:vertAlign w:val="superscript"/>
          <w:lang w:val="en_US" w:bidi="en_US"/>
        </w:rPr>
        <w:t>(plur)</w:t>
      </w:r>
      <w:r>
        <w:rPr>
          <w:lang w:val="en_US" w:bidi="en_US"/>
        </w:rPr>
        <w:t xml:space="preserve"> carefully</w:t>
      </w:r>
    </w:p>
    <w:p>
      <w:pPr/>
      <w:r>
        <w:rPr>
          <w:lang w:val="en_US" w:bidi="en_US"/>
        </w:rPr>
      </w:r>
      <w:r>
        <w:rPr>
          <w:b/>
          <w:lang w:val="en_US" w:bidi="en_US"/>
        </w:rPr>
        <w:t>For I tell you that:</w:t>
      </w:r>
      <w:r>
        <w:rPr>
          <w:lang w:val="en_US" w:bidi="en_US"/>
        </w:rPr>
        <w:t xml:space="preserve"> The conjunction </w:t>
      </w:r>
      <w:r>
        <w:rPr>
          <w:i/>
          <w:lang w:val="en_US" w:bidi="en_US"/>
        </w:rPr>
        <w:t>For</w:t>
      </w:r>
      <w:r>
        <w:rPr>
          <w:lang w:val="en_US" w:bidi="en_US"/>
        </w:rPr>
        <w:t xml:space="preserve"> introduces an explanation. In this verse Jesus explained why he told the apostles to take the items in 22:36a–d with them. The phrase </w:t>
      </w:r>
      <w:r>
        <w:rPr>
          <w:i/>
          <w:lang w:val="en_US" w:bidi="en_US"/>
        </w:rPr>
        <w:t>I tell you that</w:t>
      </w:r>
      <w:r>
        <w:rPr>
          <w:lang w:val="en_US" w:bidi="en_US"/>
        </w:rPr>
        <w:t xml:space="preserve"> indicates that his explanation is important, and the apostles should listen carefully to it.</w:t>
      </w:r>
    </w:p>
    <w:p>
      <w:pPr/>
      <w:r>
        <w:rPr>
          <w:lang w:val="en_US" w:bidi="en_US"/>
        </w:rPr>
      </w:r>
      <w:r>
        <w:rPr>
          <w:lang w:val="en_US" w:bidi="en_US"/>
        </w:rPr>
        <w:t>Some ways to translate it in this context are:</w:t>
      </w:r>
    </w:p>
    <w:p>
      <w:pPr/>
      <w:r>
        <w:rPr>
          <w:lang w:val="en_US" w:bidi="en_US"/>
        </w:rPr>
      </w:r>
      <w:r>
        <w:rPr>
          <w:lang w:val="en_US" w:bidi="en_US"/>
        </w:rPr>
        <w:t>For I tell/warn you solemnly that</w:t>
      </w:r>
    </w:p>
    <w:p>
      <w:pPr/>
      <w:r>
        <w:rPr>
          <w:lang w:val="en_US" w:bidi="en_US"/>
        </w:rPr>
      </w:r>
      <w:r>
        <w:rPr>
          <w:lang w:val="en_US" w:bidi="en_US"/>
        </w:rPr>
        <w:t>Do this because (CEV)</w:t>
      </w:r>
    </w:p>
    <w:p>
      <w:pPr/>
      <w:r>
        <w:rPr>
          <w:lang w:val="en_US" w:bidi="en_US"/>
        </w:rPr>
      </w:r>
      <w:r>
        <w:rPr>
          <w:lang w:val="en_US" w:bidi="en_US"/>
        </w:rPr>
        <w:t>This is important because</w:t>
      </w:r>
    </w:p>
    <w:p>
      <w:pPr/>
      <w:r>
        <w:rPr>
          <w:lang w:val="en_US" w:bidi="en_US"/>
        </w:rPr>
      </w:r>
      <w:r>
        <w:rPr>
          <w:lang w:val="en_US" w:bidi="en_US"/>
        </w:rPr>
        <w:t>Jesus used this exact expression (</w:t>
      </w:r>
      <w:r>
        <w:rPr>
          <w:i/>
          <w:lang w:val="en_US" w:bidi="en_US"/>
        </w:rPr>
        <w:t>For I tell you that</w:t>
      </w:r>
      <w:r>
        <w:rPr>
          <w:lang w:val="en_US" w:bidi="en_US"/>
        </w:rPr>
        <w:t xml:space="preserve">) in 22:16 and 22:18. See the notes on 22:16a. You may also want to refer to the note on “I tell you” in 17:34a. You may be able to translate </w:t>
      </w:r>
      <w:r>
        <w:rPr>
          <w:i/>
          <w:lang w:val="en_US" w:bidi="en_US"/>
        </w:rPr>
        <w:t>For I tell you</w:t>
      </w:r>
      <w:r>
        <w:rPr>
          <w:lang w:val="en_US" w:bidi="en_US"/>
        </w:rPr>
        <w:t xml:space="preserve"> in the same way here, or you may need to translate it differently in this context, as in the examples above. Translate it in a natural way in your language.</w:t>
      </w:r>
    </w:p>
    <w:p>
      <w:pPr>
        <w:pStyle w:val="Heading5"/>
      </w:pPr>
      <w:r>
        <w:rPr>
          <w:lang w:val="en_US" w:bidi="en_US"/>
        </w:rPr>
        <w:t>22:37b</w:t>
      </w:r>
    </w:p>
    <w:p>
      <w:pPr/>
      <w:r>
        <w:rPr>
          <w:lang w:val="en_US" w:bidi="en_US"/>
        </w:rPr>
      </w:r>
      <w:r>
        <w:rPr>
          <w:b/>
          <w:lang w:val="en_US" w:bidi="en_US"/>
        </w:rPr>
        <w:t>this Scripture must be fulfilled in Me:</w:t>
      </w:r>
    </w:p>
    <w:p>
      <w:pPr>
        <w:pStyle w:val="ListBullet"/>
        <w:spacing w:line="240" w:lineRule="auto"/>
        <w:ind w:left="720"/>
      </w:pPr>
      <w:r>
        <w:rPr>
          <w:lang w:val="en_US" w:bidi="en_US"/>
        </w:rPr>
      </w:r>
      <w:r>
        <w:rPr>
          <w:lang w:val="en_US" w:bidi="en_US"/>
        </w:rPr>
        <w:t xml:space="preserve">what is written in the Scripture will certainly be fulfilled in/by </w:t>
      </w:r>
      <w:r>
        <w:rPr>
          <w:lang w:val="en_US" w:bidi="en_US"/>
        </w:rPr>
        <w:t>what happens to</w:t>
      </w:r>
      <w:r>
        <w:rPr>
          <w:lang w:val="en_US" w:bidi="en_US"/>
        </w:rPr>
        <w:t xml:space="preserve"> me.</w:t>
      </w:r>
    </w:p>
    <w:p>
      <w:pPr>
        <w:pStyle w:val="ListBullet"/>
        <w:spacing w:line="240" w:lineRule="auto"/>
        <w:ind w:left="720"/>
      </w:pPr>
      <w:r>
        <w:rPr>
          <w:lang w:val="en_US" w:bidi="en_US"/>
        </w:rPr>
      </w:r>
      <w:r>
        <w:rPr>
          <w:lang w:val="en_US" w:bidi="en_US"/>
        </w:rPr>
        <w:t xml:space="preserve">to what </w:t>
      </w:r>
      <w:r>
        <w:rPr>
          <w:lang w:val="en_US" w:bidi="en_US"/>
        </w:rPr>
        <w:t>the prophet</w:t>
      </w:r>
      <w:r>
        <w:rPr>
          <w:lang w:val="en_US" w:bidi="en_US"/>
        </w:rPr>
        <w:t xml:space="preserve"> wrote in God’s word/book, because it will certainly happen to me.</w:t>
      </w:r>
    </w:p>
    <w:p>
      <w:pPr/>
      <w:r>
        <w:rPr>
          <w:lang w:val="en_US" w:bidi="en_US"/>
        </w:rPr>
      </w:r>
      <w:r>
        <w:rPr>
          <w:b/>
          <w:lang w:val="en_US" w:bidi="en_US"/>
        </w:rPr>
        <w:t>this Scripture must be fulfilled in Me:</w:t>
      </w:r>
      <w:r>
        <w:rPr>
          <w:lang w:val="en_US" w:bidi="en_US"/>
        </w:rPr>
        <w:t xml:space="preserve"> This clause indicates that Jesus was about to quote a scripture to his apostles. The clause implies that this scripture was a prophecy about Jesus. It also implies that what that scripture predicted must happen. God himself would cause it to happen to Jesus, just as the prophet wrote long ago in the scripture. Some other ways to translate this clause are:</w:t>
      </w:r>
    </w:p>
    <w:p>
      <w:pPr/>
      <w:r>
        <w:rPr>
          <w:lang w:val="en_US" w:bidi="en_US"/>
        </w:rPr>
      </w:r>
      <w:r>
        <w:rPr>
          <w:lang w:val="en_US" w:bidi="en_US"/>
        </w:rPr>
        <w:t>It is necessary for this scripture to come true concerning me:</w:t>
      </w:r>
    </w:p>
    <w:p>
      <w:pPr/>
      <w:r>
        <w:rPr>
          <w:lang w:val="en_US" w:bidi="en_US"/>
        </w:rPr>
      </w:r>
      <w:r>
        <w:rPr>
          <w:lang w:val="en_US" w:bidi="en_US"/>
        </w:rPr>
        <w:t>What the prophet wrote in the holy book must happen to me. He wrote that….</w:t>
      </w:r>
    </w:p>
    <w:p>
      <w:pPr/>
      <w:r>
        <w:rPr>
          <w:lang w:val="en_US" w:bidi="en_US"/>
        </w:rPr>
      </w:r>
      <w:r>
        <w:rPr>
          <w:b/>
          <w:lang w:val="en_US" w:bidi="en_US"/>
        </w:rPr>
        <w:t>this Scripture:</w:t>
      </w:r>
      <w:r>
        <w:rPr>
          <w:lang w:val="en_US" w:bidi="en_US"/>
        </w:rPr>
        <w:t xml:space="preserve"> The phrase </w:t>
      </w:r>
      <w:r>
        <w:rPr>
          <w:i/>
          <w:lang w:val="en_US" w:bidi="en_US"/>
        </w:rPr>
        <w:t>this Scripture</w:t>
      </w:r>
      <w:r>
        <w:rPr>
          <w:lang w:val="en_US" w:bidi="en_US"/>
        </w:rPr>
        <w:t xml:space="preserve"> refers to the scripture that Jesus was about to tell his apostles. This scripture was a specific sentence that Isaiah had written (Isaiah 53:12). It was a prophecy that is now part of the Old Testament.</w:t>
      </w:r>
    </w:p>
    <w:p>
      <w:pPr/>
      <w:r>
        <w:rPr>
          <w:lang w:val="en_US" w:bidi="en_US"/>
        </w:rPr>
      </w:r>
      <w:r>
        <w:rPr>
          <w:lang w:val="en_US" w:bidi="en_US"/>
        </w:rPr>
        <w:t xml:space="preserve">Some ways to translate </w:t>
      </w:r>
      <w:r>
        <w:rPr>
          <w:i/>
          <w:lang w:val="en_US" w:bidi="en_US"/>
        </w:rPr>
        <w:t>this Scripture</w:t>
      </w:r>
      <w:r>
        <w:rPr>
          <w:lang w:val="en_US" w:bidi="en_US"/>
        </w:rPr>
        <w:t xml:space="preserve"> here are:</w:t>
      </w:r>
    </w:p>
    <w:p>
      <w:pPr/>
      <w:r>
        <w:rPr>
          <w:lang w:val="en_US" w:bidi="en_US"/>
        </w:rPr>
      </w:r>
      <w:r>
        <w:rPr>
          <w:lang w:val="en_US" w:bidi="en_US"/>
        </w:rPr>
        <w:t xml:space="preserve">this </w:t>
      </w:r>
      <w:r>
        <w:rPr>
          <w:lang w:val="en_US" w:bidi="en_US"/>
        </w:rPr>
        <w:t>statement/prophecy</w:t>
      </w:r>
      <w:r>
        <w:rPr>
          <w:lang w:val="en_US" w:bidi="en_US"/>
        </w:rPr>
        <w:t xml:space="preserve"> that God caused someone to write</w:t>
      </w:r>
    </w:p>
    <w:p>
      <w:pPr/>
      <w:r>
        <w:rPr>
          <w:lang w:val="en_US" w:bidi="en_US"/>
        </w:rPr>
      </w:r>
      <w:r>
        <w:rPr>
          <w:lang w:val="en_US" w:bidi="en_US"/>
        </w:rPr>
        <w:t>this word from God’s book/writing</w:t>
      </w:r>
    </w:p>
    <w:p>
      <w:pPr/>
      <w:r>
        <w:rPr>
          <w:lang w:val="en_US" w:bidi="en_US"/>
        </w:rPr>
      </w:r>
      <w:r>
        <w:rPr>
          <w:lang w:val="en_US" w:bidi="en_US"/>
        </w:rPr>
        <w:t>this writing/word from the Holy/Sacred Book</w:t>
      </w:r>
    </w:p>
    <w:p>
      <w:pPr/>
      <w:r>
        <w:rPr>
          <w:lang w:val="en_US" w:bidi="en_US"/>
        </w:rPr>
      </w:r>
      <w:r>
        <w:rPr>
          <w:lang w:val="en_US" w:bidi="en_US"/>
        </w:rPr>
        <w:t>See the note on “It is written” in 19:46a for more information. Refer also to how you translated that phrase in 19:46. You may also want to include a cross reference to Isaiah 53:12 here.</w:t>
      </w:r>
    </w:p>
    <w:p>
      <w:pPr>
        <w:pStyle w:val="Heading5"/>
      </w:pPr>
      <w:r>
        <w:rPr>
          <w:lang w:val="en_US" w:bidi="en_US"/>
        </w:rPr>
        <w:t>22:37c</w:t>
      </w:r>
    </w:p>
    <w:p>
      <w:pPr/>
      <w:r>
        <w:rPr>
          <w:lang w:val="en_US" w:bidi="en_US"/>
        </w:rPr>
      </w:r>
      <w:r>
        <w:rPr>
          <w:b/>
          <w:lang w:val="en_US" w:bidi="en_US"/>
        </w:rPr>
        <w:t>‘And He was numbered with the transgressors.’</w:t>
      </w:r>
    </w:p>
    <w:p>
      <w:pPr>
        <w:pStyle w:val="ListBullet"/>
        <w:spacing w:line="240" w:lineRule="auto"/>
        <w:ind w:left="720"/>
      </w:pPr>
      <w:r>
        <w:rPr>
          <w:lang w:val="en_US" w:bidi="en_US"/>
        </w:rPr>
      </w:r>
      <w:r>
        <w:rPr>
          <w:lang w:val="en_US" w:bidi="en_US"/>
        </w:rPr>
        <w:t>It says,</w:t>
      </w:r>
      <w:r>
        <w:rPr>
          <w:lang w:val="en_US" w:bidi="en_US"/>
        </w:rPr>
        <w:t xml:space="preserve"> ‘And he was considered/treated like a criminal.’</w:t>
      </w:r>
    </w:p>
    <w:p>
      <w:pPr>
        <w:pStyle w:val="ListBullet"/>
        <w:spacing w:line="240" w:lineRule="auto"/>
        <w:ind w:left="720"/>
      </w:pPr>
      <w:r>
        <w:rPr>
          <w:lang w:val="en_US" w:bidi="en_US"/>
        </w:rPr>
      </w:r>
      <w:r>
        <w:rPr>
          <w:lang w:val="en_US" w:bidi="en_US"/>
        </w:rPr>
        <w:t>He wrote,</w:t>
      </w:r>
      <w:r>
        <w:rPr>
          <w:lang w:val="en_US" w:bidi="en_US"/>
        </w:rPr>
        <w:t xml:space="preserve"> ‘They included him among those who disobey the law.’</w:t>
      </w:r>
    </w:p>
    <w:p>
      <w:pPr/>
      <w:r>
        <w:rPr>
          <w:lang w:val="en_US" w:bidi="en_US"/>
        </w:rPr>
      </w:r>
      <w:r>
        <w:rPr>
          <w:b/>
          <w:lang w:val="en_US" w:bidi="en_US"/>
        </w:rPr>
        <w:t>And he was numbered with the transgressors:</w:t>
      </w:r>
      <w:r>
        <w:rPr>
          <w:lang w:val="en_US" w:bidi="en_US"/>
        </w:rPr>
        <w:t xml:space="preserve"> In this context Jesus quoted the clause </w:t>
      </w:r>
      <w:r>
        <w:rPr>
          <w:i/>
          <w:lang w:val="en_US" w:bidi="en_US"/>
        </w:rPr>
        <w:t>And he was numbered with the transgressors</w:t>
      </w:r>
      <w:r>
        <w:rPr>
          <w:lang w:val="en_US" w:bidi="en_US"/>
        </w:rPr>
        <w:t xml:space="preserve"> as a prophecy about himself. He is the one who would soon be reckoned with transgressors.</w:t>
      </w:r>
    </w:p>
    <w:p>
      <w:pPr/>
      <w:r>
        <w:rPr>
          <w:lang w:val="en_US" w:bidi="en_US"/>
        </w:rPr>
      </w:r>
      <w:r>
        <w:rPr>
          <w:lang w:val="en_US" w:bidi="en_US"/>
        </w:rPr>
        <w:t>This clause is passive. Some ways to translate it are:</w:t>
      </w:r>
    </w:p>
    <w:p>
      <w:pPr>
        <w:pStyle w:val="ListBullet"/>
        <w:spacing w:line="240" w:lineRule="auto"/>
        <w:ind w:left="720"/>
      </w:pPr>
      <w:r>
        <w:rPr>
          <w:lang w:val="en_US" w:bidi="en_US"/>
        </w:rPr>
      </w:r>
      <w:r>
        <w:rPr>
          <w:lang w:val="en_US" w:bidi="en_US"/>
        </w:rPr>
        <w:t>Translate it as a passive clause. For example:</w:t>
      </w:r>
      <w:r>
        <w:rPr>
          <w:lang w:val="en_US" w:bidi="en_US"/>
        </w:rPr>
        <w:t>He was considered a criminal. (CEV)</w:t>
      </w:r>
      <w:r>
        <w:rPr>
          <w:lang w:val="en_US" w:bidi="en_US"/>
        </w:rPr>
        <w:t>He was counted among the rebels. (NLT)</w:t>
      </w:r>
    </w:p>
    <w:p>
      <w:pPr>
        <w:pStyle w:val="ListBullet"/>
        <w:spacing w:line="240" w:lineRule="auto"/>
        <w:ind w:left="720"/>
      </w:pPr>
      <w:r>
        <w:rPr>
          <w:lang w:val="en_US" w:bidi="en_US"/>
        </w:rPr>
      </w:r>
      <w:r>
        <w:rPr>
          <w:lang w:val="en_US" w:bidi="en_US"/>
        </w:rPr>
        <w:t>Translate it as an active clause and supply a general subject. For example:</w:t>
      </w:r>
      <w:r>
        <w:rPr>
          <w:lang w:val="en_US" w:bidi="en_US"/>
        </w:rPr>
        <w:t>People</w:t>
      </w:r>
      <w:r>
        <w:rPr>
          <w:lang w:val="en_US" w:bidi="en_US"/>
        </w:rPr>
        <w:t xml:space="preserve"> treated him as a transgressor.</w:t>
      </w:r>
      <w:r>
        <w:rPr>
          <w:lang w:val="en_US" w:bidi="en_US"/>
        </w:rPr>
        <w:t>They</w:t>
      </w:r>
      <w:r>
        <w:rPr>
          <w:lang w:val="en_US" w:bidi="en_US"/>
        </w:rPr>
        <w:t xml:space="preserve"> regarded him as a criminal.</w:t>
      </w:r>
    </w:p>
    <w:p>
      <w:pPr>
        <w:pStyle w:val="ListBullet"/>
        <w:spacing w:line="240" w:lineRule="auto"/>
        <w:ind w:left="720"/>
      </w:pPr>
      <w:r>
        <w:rPr>
          <w:lang w:val="en_US" w:bidi="en_US"/>
        </w:rPr>
      </w:r>
      <w:r>
        <w:rPr>
          <w:lang w:val="en_US" w:bidi="en_US"/>
        </w:rPr>
        <w:t xml:space="preserve">Use a different active verb and keep </w:t>
      </w:r>
      <w:r>
        <w:rPr>
          <w:i/>
          <w:lang w:val="en_US" w:bidi="en_US"/>
        </w:rPr>
        <w:t>he</w:t>
      </w:r>
      <w:r>
        <w:rPr>
          <w:lang w:val="en_US" w:bidi="en_US"/>
        </w:rPr>
        <w:t xml:space="preserve"> as the subject. For example:</w:t>
      </w:r>
      <w:r>
        <w:rPr>
          <w:lang w:val="en_US" w:bidi="en_US"/>
        </w:rPr>
        <w:t>He shared the fate of criminals (GNT)</w:t>
      </w:r>
      <w:r>
        <w:rPr>
          <w:lang w:val="en_US" w:bidi="en_US"/>
        </w:rPr>
        <w:t>He received the same treatment as evildoers.</w:t>
      </w:r>
    </w:p>
    <w:p>
      <w:pPr/>
      <w:r>
        <w:rPr>
          <w:lang w:val="en_US" w:bidi="en_US"/>
        </w:rPr>
      </w:r>
      <w:r>
        <w:rPr>
          <w:lang w:val="en_US" w:bidi="en_US"/>
        </w:rPr>
        <w:t>Translate this clause in a natural way in your language.</w:t>
      </w:r>
    </w:p>
    <w:p>
      <w:pPr/>
      <w:r>
        <w:rPr>
          <w:lang w:val="en_US" w:bidi="en_US"/>
        </w:rPr>
      </w:r>
      <w:r>
        <w:rPr>
          <w:lang w:val="en_US" w:bidi="en_US"/>
        </w:rPr>
        <w:t xml:space="preserve">In Isaiah 53:12 </w:t>
      </w:r>
      <w:r>
        <w:rPr>
          <w:i/>
          <w:lang w:val="en_US" w:bidi="en_US"/>
        </w:rPr>
        <w:t>he</w:t>
      </w:r>
      <w:r>
        <w:rPr>
          <w:lang w:val="en_US" w:bidi="en_US"/>
        </w:rPr>
        <w:t xml:space="preserve"> refers back to the servant of the Lord in Isaiah 52:13. Jesus identified this servant as a prophecy about himself.</w:t>
      </w:r>
    </w:p>
    <w:p>
      <w:pPr/>
      <w:r>
        <w:rPr>
          <w:lang w:val="en_US" w:bidi="en_US"/>
        </w:rPr>
      </w:r>
      <w:r>
        <w:rPr>
          <w:b/>
          <w:lang w:val="en_US" w:bidi="en_US"/>
        </w:rPr>
        <w:t>was numbered with the transgressors:</w:t>
      </w:r>
      <w:r>
        <w:rPr>
          <w:lang w:val="en_US" w:bidi="en_US"/>
        </w:rPr>
        <w:t xml:space="preserve"> The Greek word that the BSB translates as </w:t>
      </w:r>
      <w:r>
        <w:rPr>
          <w:i/>
          <w:lang w:val="en_US" w:bidi="en_US"/>
        </w:rPr>
        <w:t>numbered</w:t>
      </w:r>
      <w:r>
        <w:rPr>
          <w:lang w:val="en_US" w:bidi="en_US"/>
        </w:rPr>
        <w:t xml:space="preserve"> has several meanings. In this context it means “to evaluate,” “to consider.”</w:t>
      </w:r>
      <w:r>
        <w:rPr>
          <w:lang w:val="en_US" w:bidi="en_US"/>
        </w:rPr>
        <w:t xml:space="preserve">See sense 1b of </w:t>
      </w:r>
      <w:r>
        <w:rPr>
          <w:i/>
          <w:lang w:val="en_US" w:bidi="en_US"/>
        </w:rPr>
        <w:t>logizomai</w:t>
      </w:r>
      <w:r>
        <w:rPr>
          <w:lang w:val="en_US" w:bidi="en_US"/>
        </w:rPr>
        <w:t xml:space="preserve"> in BDAG, p. 597.</w:t>
      </w:r>
      <w:r>
        <w:rPr>
          <w:lang w:val="en_US" w:bidi="en_US"/>
        </w:rPr>
        <w:t xml:space="preserve"> The phrase </w:t>
      </w:r>
      <w:r>
        <w:rPr>
          <w:i/>
          <w:lang w:val="en_US" w:bidi="en_US"/>
        </w:rPr>
        <w:t>numbered with the transgressors</w:t>
      </w:r>
      <w:r>
        <w:rPr>
          <w:lang w:val="en_US" w:bidi="en_US"/>
        </w:rPr>
        <w:t xml:space="preserve"> indicates that people will consider Jesus to be a transgressor. It also implies that they will then treat him like a transgressor and punish him. See the examples in the preceding note. BSB translates as </w:t>
      </w:r>
      <w:r>
        <w:rPr>
          <w:i/>
          <w:lang w:val="en_US" w:bidi="en_US"/>
        </w:rPr>
        <w:t>transgressors</w:t>
      </w:r>
      <w:r>
        <w:rPr>
          <w:lang w:val="en_US" w:bidi="en_US"/>
        </w:rPr>
        <w:t xml:space="preserve"> is more literally “lawless.” It refers to people who disobey God’s law or the laws of men and governments. Other ways to translate </w:t>
      </w:r>
      <w:r>
        <w:rPr>
          <w:i/>
          <w:lang w:val="en_US" w:bidi="en_US"/>
        </w:rPr>
        <w:t>transgressors</w:t>
      </w:r>
      <w:r>
        <w:rPr>
          <w:lang w:val="en_US" w:bidi="en_US"/>
        </w:rPr>
        <w:t xml:space="preserve"> are:</w:t>
      </w:r>
    </w:p>
    <w:p>
      <w:pPr/>
      <w:r>
        <w:rPr>
          <w:lang w:val="en_US" w:bidi="en_US"/>
        </w:rPr>
      </w:r>
      <w:r>
        <w:rPr>
          <w:lang w:val="en_US" w:bidi="en_US"/>
        </w:rPr>
        <w:t>criminals (GNT)</w:t>
      </w:r>
    </w:p>
    <w:p>
      <w:pPr/>
      <w:r>
        <w:rPr>
          <w:lang w:val="en_US" w:bidi="en_US"/>
        </w:rPr>
      </w:r>
      <w:r>
        <w:rPr>
          <w:lang w:val="en_US" w:bidi="en_US"/>
        </w:rPr>
        <w:t>rebels (NLT)</w:t>
      </w:r>
    </w:p>
    <w:p>
      <w:pPr/>
      <w:r>
        <w:rPr>
          <w:lang w:val="en_US" w:bidi="en_US"/>
        </w:rPr>
      </w:r>
      <w:r>
        <w:rPr>
          <w:lang w:val="en_US" w:bidi="en_US"/>
        </w:rPr>
        <w:t>lawless (NRSV)</w:t>
      </w:r>
    </w:p>
    <w:p>
      <w:pPr/>
      <w:r>
        <w:rPr>
          <w:lang w:val="en_US" w:bidi="en_US"/>
        </w:rPr>
      </w:r>
      <w:r>
        <w:rPr>
          <w:lang w:val="en_US" w:bidi="en_US"/>
        </w:rPr>
        <w:t xml:space="preserve">In the Greek text the word </w:t>
      </w:r>
      <w:r>
        <w:rPr>
          <w:i/>
          <w:lang w:val="en_US" w:bidi="en_US"/>
        </w:rPr>
        <w:t>transgressors</w:t>
      </w:r>
      <w:r>
        <w:rPr>
          <w:lang w:val="en_US" w:bidi="en_US"/>
        </w:rPr>
        <w:t xml:space="preserve"> is plural. However, in some languages it may be more natural to use a singular form in this context. Use a form that is natural in your language.</w:t>
      </w:r>
    </w:p>
    <w:p>
      <w:pPr>
        <w:pStyle w:val="Heading5"/>
      </w:pPr>
      <w:r>
        <w:rPr>
          <w:lang w:val="en_US" w:bidi="en_US"/>
        </w:rPr>
        <w:t>22:37d</w:t>
      </w:r>
    </w:p>
    <w:p>
      <w:pPr/>
      <w:r>
        <w:rPr>
          <w:lang w:val="en_US" w:bidi="en_US"/>
        </w:rPr>
      </w:r>
      <w:r>
        <w:rPr>
          <w:b/>
          <w:lang w:val="en_US" w:bidi="en_US"/>
        </w:rPr>
        <w:t>For what is written about Me is reaching its fulfillment.”</w:t>
      </w:r>
    </w:p>
    <w:p>
      <w:pPr>
        <w:pStyle w:val="ListBullet"/>
        <w:spacing w:line="240" w:lineRule="auto"/>
        <w:ind w:left="720"/>
      </w:pPr>
      <w:r>
        <w:rPr>
          <w:lang w:val="en_US" w:bidi="en_US"/>
        </w:rPr>
      </w:r>
      <w:r>
        <w:rPr>
          <w:lang w:val="en_US" w:bidi="en_US"/>
        </w:rPr>
        <w:t>Indeed, the holy writings concerning me will soon be fulfilled.”</w:t>
      </w:r>
    </w:p>
    <w:p>
      <w:pPr>
        <w:pStyle w:val="ListBullet"/>
        <w:spacing w:line="240" w:lineRule="auto"/>
        <w:ind w:left="720"/>
      </w:pPr>
      <w:r>
        <w:rPr>
          <w:lang w:val="en_US" w:bidi="en_US"/>
        </w:rPr>
      </w:r>
      <w:r>
        <w:rPr>
          <w:lang w:val="en_US" w:bidi="en_US"/>
        </w:rPr>
        <w:t xml:space="preserve">Truly, the things that </w:t>
      </w:r>
      <w:r>
        <w:rPr>
          <w:lang w:val="en_US" w:bidi="en_US"/>
        </w:rPr>
        <w:t>the prophets</w:t>
      </w:r>
      <w:r>
        <w:rPr>
          <w:lang w:val="en_US" w:bidi="en_US"/>
        </w:rPr>
        <w:t xml:space="preserve"> wrote about me will soon happen.”</w:t>
      </w:r>
    </w:p>
    <w:p>
      <w:pPr/>
      <w:r>
        <w:rPr>
          <w:lang w:val="en_US" w:bidi="en_US"/>
        </w:rPr>
      </w:r>
      <w:r>
        <w:rPr>
          <w:b/>
          <w:lang w:val="en_US" w:bidi="en_US"/>
        </w:rPr>
        <w:t>For:</w:t>
      </w:r>
      <w:r>
        <w:rPr>
          <w:lang w:val="en_US" w:bidi="en_US"/>
        </w:rPr>
        <w:t xml:space="preserve"> The Greek phrase</w:t>
      </w:r>
      <w:r>
        <w:rPr>
          <w:i/>
          <w:lang w:val="en_US" w:bidi="en_US"/>
        </w:rPr>
        <w:t>kai gar</w:t>
      </w:r>
      <w:r>
        <w:rPr>
          <w:lang w:val="en_US" w:bidi="en_US"/>
        </w:rPr>
        <w:t xml:space="preserve"> that the BSB translates as </w:t>
      </w:r>
      <w:r>
        <w:rPr>
          <w:i/>
          <w:lang w:val="en_US" w:bidi="en_US"/>
        </w:rPr>
        <w:t>For</w:t>
      </w:r>
      <w:r>
        <w:rPr>
          <w:lang w:val="en_US" w:bidi="en_US"/>
        </w:rPr>
        <w:t xml:space="preserve"> here introduces a statement that supports or explains 22:37a–c. It is very similar to the statement in 22:37b, but it is more general. (See the next note.) Some ways to translate this phrase are:</w:t>
      </w:r>
    </w:p>
    <w:p>
      <w:pPr/>
      <w:r>
        <w:rPr>
          <w:lang w:val="en_US" w:bidi="en_US"/>
        </w:rPr>
      </w:r>
      <w:r>
        <w:rPr>
          <w:lang w:val="en_US" w:bidi="en_US"/>
        </w:rPr>
        <w:t>and indeed (NRSV)</w:t>
      </w:r>
    </w:p>
    <w:p>
      <w:pPr/>
      <w:r>
        <w:rPr>
          <w:lang w:val="en_US" w:bidi="en_US"/>
        </w:rPr>
      </w:r>
      <w:r>
        <w:rPr>
          <w:lang w:val="en_US" w:bidi="en_US"/>
        </w:rPr>
        <w:t>Yes (NIV)</w:t>
      </w:r>
    </w:p>
    <w:p>
      <w:pPr/>
      <w:r>
        <w:rPr>
          <w:lang w:val="en_US" w:bidi="en_US"/>
        </w:rPr>
      </w:r>
      <w:r>
        <w:rPr>
          <w:lang w:val="en_US" w:bidi="en_US"/>
        </w:rPr>
        <w:t>In fact</w:t>
      </w:r>
    </w:p>
    <w:p>
      <w:pPr/>
      <w:r>
        <w:rPr>
          <w:lang w:val="en_US" w:bidi="en_US"/>
        </w:rPr>
      </w:r>
      <w:r>
        <w:rPr>
          <w:b/>
          <w:lang w:val="en_US" w:bidi="en_US"/>
        </w:rPr>
        <w:t>what is written about Me is reaching its fulfillment:</w:t>
      </w:r>
      <w:r>
        <w:rPr>
          <w:lang w:val="en_US" w:bidi="en_US"/>
        </w:rPr>
        <w:t xml:space="preserve"> The Greek clause that the BSB translates as </w:t>
      </w:r>
      <w:r>
        <w:rPr>
          <w:i/>
          <w:lang w:val="en_US" w:bidi="en_US"/>
        </w:rPr>
        <w:t>what is written about Me is reaching its fulfillment</w:t>
      </w:r>
      <w:r>
        <w:rPr>
          <w:lang w:val="en_US" w:bidi="en_US"/>
        </w:rPr>
        <w:t xml:space="preserve"> indicates that what was written about Jesus would soon happen. Long before Jesus was born, prophets had written about the events that would happen to the Messiah. Those events would soon happen to Jesus, just as the prophets had predicted.</w:t>
      </w:r>
    </w:p>
    <w:p>
      <w:pPr/>
      <w:r>
        <w:rPr>
          <w:lang w:val="en_US" w:bidi="en_US"/>
        </w:rPr>
      </w:r>
      <w:r>
        <w:rPr>
          <w:lang w:val="en_US" w:bidi="en_US"/>
        </w:rPr>
        <w:t>Some other ways to translate the clause are:</w:t>
      </w:r>
    </w:p>
    <w:p>
      <w:pPr/>
      <w:r>
        <w:rPr>
          <w:lang w:val="en_US" w:bidi="en_US"/>
        </w:rPr>
      </w:r>
      <w:r>
        <w:rPr>
          <w:lang w:val="en_US" w:bidi="en_US"/>
        </w:rPr>
        <w:t>what was written about me is now happening as predicted</w:t>
      </w:r>
    </w:p>
    <w:p>
      <w:pPr/>
      <w:r>
        <w:rPr>
          <w:lang w:val="en_US" w:bidi="en_US"/>
        </w:rPr>
      </w:r>
      <w:r>
        <w:rPr>
          <w:lang w:val="en_US" w:bidi="en_US"/>
        </w:rPr>
        <w:t>the things that were written about me will now be fulfilled</w:t>
      </w:r>
    </w:p>
    <w:p>
      <w:pPr/>
      <w:r>
        <w:rPr>
          <w:lang w:val="en_US" w:bidi="en_US"/>
        </w:rPr>
      </w:r>
      <w:r>
        <w:rPr>
          <w:lang w:val="en_US" w:bidi="en_US"/>
        </w:rPr>
        <w:t>Some languages have special terms to describe events that happen exactly as a person or prophet predicted. The English phrase “come true” has that meaning. For example:</w:t>
      </w:r>
    </w:p>
    <w:p>
      <w:pPr/>
      <w:r>
        <w:rPr>
          <w:lang w:val="en_US" w:bidi="en_US"/>
        </w:rPr>
      </w:r>
      <w:r>
        <w:rPr>
          <w:lang w:val="en_US" w:bidi="en_US"/>
        </w:rPr>
        <w:t>what was written about me is coming true (GNT)</w:t>
      </w:r>
    </w:p>
    <w:p>
      <w:pPr/>
      <w:r>
        <w:rPr>
          <w:lang w:val="en_US" w:bidi="en_US"/>
        </w:rPr>
      </w:r>
      <w:r>
        <w:rPr>
          <w:lang w:val="en_US" w:bidi="en_US"/>
        </w:rPr>
        <w:t>Use a natural way in your language to describe this.</w:t>
      </w:r>
    </w:p>
    <w:p>
      <w:pPr/>
      <w:r>
        <w:rPr>
          <w:lang w:val="en_US" w:bidi="en_US"/>
        </w:rPr>
      </w:r>
      <w:r>
        <w:rPr>
          <w:b/>
          <w:lang w:val="en_US" w:bidi="en_US"/>
        </w:rPr>
        <w:t>what is written about Me:</w:t>
      </w:r>
      <w:r>
        <w:rPr>
          <w:lang w:val="en_US" w:bidi="en_US"/>
        </w:rPr>
        <w:t xml:space="preserve"> There are two ways to interpret the phrase </w:t>
      </w:r>
      <w:r>
        <w:rPr>
          <w:i/>
          <w:lang w:val="en_US" w:bidi="en_US"/>
        </w:rPr>
        <w:t>what is written</w:t>
      </w:r>
      <w:r>
        <w:rPr>
          <w:lang w:val="en_US" w:bidi="en_US"/>
        </w:rPr>
        <w:t>:</w:t>
      </w:r>
    </w:p>
    <w:p>
      <w:pPr>
        <w:pStyle w:val="ListNumber"/>
        <w:numPr>
          <w:ilvl w:val="0"/>
          <w:numId w:val="355"/>
        </w:numPr>
        <w:spacing w:line="240" w:lineRule="auto"/>
        <w:ind w:left="720"/>
      </w:pPr>
      <w:r>
        <w:rPr>
          <w:lang w:val="en_US" w:bidi="en_US"/>
        </w:rPr>
      </w:r>
      <w:r>
        <w:rPr>
          <w:lang w:val="en_US" w:bidi="en_US"/>
        </w:rPr>
        <w:t>Jesus referred to the prophecy in Isaiah 53:12 and also to the other things that the prophets had written about him. Here is another way to translate this:</w:t>
      </w:r>
      <w:r>
        <w:rPr>
          <w:lang w:val="en_US" w:bidi="en_US"/>
        </w:rPr>
        <w:t xml:space="preserve">whatever is written about me (GW) </w:t>
      </w:r>
      <w:r>
        <w:rPr>
          <w:i/>
          <w:lang w:val="en_US" w:bidi="en_US"/>
        </w:rPr>
        <w:t>(BSB, GW, NLT, REB; probably NASB, NET, RSV, GNT, NIV, KJV, ESV)</w:t>
      </w:r>
    </w:p>
    <w:p>
      <w:pPr>
        <w:pStyle w:val="ListNumber"/>
        <w:spacing w:line="240" w:lineRule="auto"/>
        <w:ind w:left="720"/>
      </w:pPr>
      <w:r>
        <w:rPr>
          <w:lang w:val="en_US" w:bidi="en_US"/>
        </w:rPr>
      </w:r>
      <w:r>
        <w:rPr>
          <w:lang w:val="en_US" w:bidi="en_US"/>
        </w:rPr>
        <w:t>Jesus referred only to the prophecy in Isaiah 53:12. Here is another way to translate this:</w:t>
      </w:r>
      <w:r>
        <w:rPr>
          <w:lang w:val="en_US" w:bidi="en_US"/>
        </w:rPr>
        <w:t xml:space="preserve">This was written about me (CEV) </w:t>
      </w:r>
      <w:r>
        <w:rPr>
          <w:i/>
          <w:lang w:val="en_US" w:bidi="en_US"/>
        </w:rPr>
        <w:t>(CEV, NCV, NJB)</w:t>
      </w:r>
    </w:p>
    <w:p>
      <w:pPr/>
      <w:r>
        <w:rPr>
          <w:lang w:val="en_US" w:bidi="en_US"/>
        </w:rPr>
      </w:r>
      <w:r>
        <w:rPr>
          <w:lang w:val="en_US" w:bidi="en_US"/>
        </w:rPr>
        <w:t>It is recommended that you follow interpretation (1). In 22:37b–c, Jesus quoted a certain scripture about himself. Here in 22:37d Jesus made a more general statement that included other scriptures:</w:t>
      </w:r>
    </w:p>
    <w:p>
      <w:pPr/>
      <w:r>
        <w:rPr>
          <w:lang w:val="en_US" w:bidi="en_US"/>
        </w:rPr>
      </w:r>
      <w:r>
        <w:rPr>
          <w:b/>
          <w:lang w:val="en_US" w:bidi="en_US"/>
        </w:rPr>
        <w:t>what is written:</w:t>
      </w:r>
      <w:r>
        <w:rPr>
          <w:lang w:val="en_US" w:bidi="en_US"/>
        </w:rPr>
        <w:t xml:space="preserve"> The phrase </w:t>
      </w:r>
      <w:r>
        <w:rPr>
          <w:i/>
          <w:lang w:val="en_US" w:bidi="en_US"/>
        </w:rPr>
        <w:t>what is written</w:t>
      </w:r>
      <w:r>
        <w:rPr>
          <w:lang w:val="en_US" w:bidi="en_US"/>
        </w:rPr>
        <w:t xml:space="preserve"> is passive. Some other ways to translate it are:</w:t>
      </w:r>
    </w:p>
    <w:p>
      <w:pPr/>
      <w:r>
        <w:rPr>
          <w:lang w:val="en_US" w:bidi="en_US"/>
        </w:rPr>
      </w:r>
      <w:r>
        <w:rPr>
          <w:lang w:val="en_US" w:bidi="en_US"/>
        </w:rPr>
        <w:t>the written word of God</w:t>
      </w:r>
      <w:r>
        <w:rPr>
          <w:lang w:val="en_US" w:bidi="en_US"/>
        </w:rPr>
        <w:t>Western Bukidnon Manobo back translation on TW.</w:t>
      </w:r>
    </w:p>
    <w:p>
      <w:pPr/>
      <w:r>
        <w:rPr>
          <w:lang w:val="en_US" w:bidi="en_US"/>
        </w:rPr>
      </w:r>
      <w:r>
        <w:rPr>
          <w:lang w:val="en_US" w:bidi="en_US"/>
        </w:rPr>
        <w:t xml:space="preserve">what </w:t>
      </w:r>
      <w:r>
        <w:rPr>
          <w:lang w:val="en_US" w:bidi="en_US"/>
        </w:rPr>
        <w:t>the prophets</w:t>
      </w:r>
      <w:r>
        <w:rPr>
          <w:lang w:val="en_US" w:bidi="en_US"/>
        </w:rPr>
        <w:t xml:space="preserve"> wrote</w:t>
      </w:r>
    </w:p>
    <w:p>
      <w:pPr/>
      <w:r>
        <w:rPr>
          <w:lang w:val="en_US" w:bidi="en_US"/>
        </w:rPr>
      </w:r>
      <w:r>
        <w:rPr>
          <w:lang w:val="en_US" w:bidi="en_US"/>
        </w:rPr>
        <w:t>what is written in the holy book</w:t>
      </w:r>
      <w:r>
        <w:rPr>
          <w:lang w:val="en_US" w:bidi="en_US"/>
        </w:rPr>
        <w:t>Yakan back translation on TW.</w:t>
      </w:r>
    </w:p>
    <w:p>
      <w:pPr>
        <w:pStyle w:val="Heading6"/>
      </w:pPr>
      <w:r>
        <w:rPr>
          <w:b/>
          <w:lang w:val="en_US" w:bidi="en_US"/>
        </w:rPr>
        <w:t>General Comment on 22:37a–d</w:t>
      </w:r>
    </w:p>
    <w:p>
      <w:pPr/>
      <w:r>
        <w:rPr>
          <w:lang w:val="en_US" w:bidi="en_US"/>
        </w:rPr>
      </w:r>
      <w:r>
        <w:rPr>
          <w:lang w:val="en_US" w:bidi="en_US"/>
        </w:rPr>
        <w:t>In some languages it may be more natural to change the order of clauses in this verse. One way to do this is to begin with the specific scripture in 22:37c and then talk about its fulfillment. It may also be helpful to place the two clauses about fulfillment together. For example:</w:t>
      </w:r>
    </w:p>
    <w:p>
      <w:pPr/>
      <w:r>
        <w:rPr>
          <w:lang w:val="en_US" w:bidi="en_US"/>
        </w:rPr>
      </w:r>
      <w:r>
        <w:rPr>
          <w:vertAlign w:val="superscript"/>
          <w:lang w:val="en_US" w:bidi="en_US"/>
        </w:rPr>
        <w:t>37b</w:t>
      </w:r>
      <w:r>
        <w:rPr>
          <w:lang w:val="en_US" w:bidi="en_US"/>
        </w:rPr>
        <w:t xml:space="preserve">It is written: </w:t>
      </w:r>
      <w:r>
        <w:rPr>
          <w:vertAlign w:val="superscript"/>
          <w:lang w:val="en_US" w:bidi="en_US"/>
        </w:rPr>
        <w:t>37c</w:t>
      </w:r>
      <w:r>
        <w:rPr>
          <w:lang w:val="en_US" w:bidi="en_US"/>
        </w:rPr>
        <w:t xml:space="preserve">“And he was numbered with the transgressors”; </w:t>
      </w:r>
      <w:r>
        <w:rPr>
          <w:vertAlign w:val="superscript"/>
          <w:lang w:val="en_US" w:bidi="en_US"/>
        </w:rPr>
        <w:t>37a</w:t>
      </w:r>
      <w:r>
        <w:rPr>
          <w:lang w:val="en_US" w:bidi="en_US"/>
        </w:rPr>
        <w:t xml:space="preserve">and I tell you that </w:t>
      </w:r>
      <w:r>
        <w:rPr>
          <w:vertAlign w:val="superscript"/>
          <w:lang w:val="en_US" w:bidi="en_US"/>
        </w:rPr>
        <w:t>37b</w:t>
      </w:r>
      <w:r>
        <w:rPr>
          <w:lang w:val="en_US" w:bidi="en_US"/>
        </w:rPr>
        <w:t xml:space="preserve">this must be fulfilled in me. </w:t>
      </w:r>
      <w:r>
        <w:rPr>
          <w:vertAlign w:val="superscript"/>
          <w:lang w:val="en_US" w:bidi="en_US"/>
        </w:rPr>
        <w:t>37d</w:t>
      </w:r>
      <w:r>
        <w:rPr>
          <w:lang w:val="en_US" w:bidi="en_US"/>
        </w:rPr>
        <w:t>Yes, what is written about me is reaching its fulfillment. (NIV)</w:t>
      </w:r>
    </w:p>
    <w:p>
      <w:pPr/>
      <w:r>
        <w:rPr>
          <w:lang w:val="en_US" w:bidi="en_US"/>
        </w:rPr>
      </w:r>
      <w:r>
        <w:rPr>
          <w:lang w:val="en_US" w:bidi="en_US"/>
        </w:rPr>
        <w:t>Use a natural order in your language.</w:t>
      </w:r>
      <w:r>
        <w:rPr>
          <w:lang w:val="en_US" w:bidi="en_US"/>
        </w:rPr>
      </w:r>
      <w:r>
        <w:rPr>
          <w:lang w:val="en_US" w:bidi="en_US"/>
        </w:rPr>
      </w:r>
    </w:p>
    <w:p>
      <w:pPr/>
      <w:r>
        <w:rPr>
          <w:lang w:val="en_US" w:bidi="en_US"/>
        </w:rPr>
      </w:r>
    </w:p>
    <w:p>
      <w:pPr>
        <w:pStyle w:val="Heading2"/>
      </w:pPr>
      <w:r>
        <w:rPr>
          <w:lang w:val="en_US" w:bidi="en_US"/>
        </w:rPr>
        <w:t>Luke 22:38</w:t>
      </w:r>
      <w:r>
        <w:rPr>
          <w:lang w:val="en_US" w:bidi="en_US"/>
        </w:rPr>
      </w:r>
    </w:p>
    <w:p>
      <w:pPr>
        <w:pStyle w:val="Heading4"/>
      </w:pPr>
      <w:r>
        <w:rPr>
          <w:lang w:val="en_US" w:bidi="en_US"/>
        </w:rPr>
        <w:t>Section 22:31–38: Jesus predicted that Peter would deny him</w:t>
      </w:r>
    </w:p>
    <w:p>
      <w:pPr/>
      <w:r>
        <w:rPr>
          <w:lang w:val="en_US" w:bidi="en_US"/>
        </w:rPr>
      </w:r>
      <w:r>
        <w:rPr>
          <w:lang w:val="en_US" w:bidi="en_US"/>
        </w:rPr>
        <w:t>In this section Jesus warned Peter that Satan wanted to test the disciples severely. Peter told Jesus that he would always be faithful to him, but Jesus said to him, “This same night you (Peter) will say three times that you do not know me.”</w:t>
      </w:r>
    </w:p>
    <w:p>
      <w:pPr/>
      <w:r>
        <w:rPr>
          <w:lang w:val="en_US" w:bidi="en_US"/>
        </w:rPr>
      </w:r>
      <w:r>
        <w:rPr>
          <w:lang w:val="en_US" w:bidi="en_US"/>
        </w:rPr>
        <w:t>In the second part of the section, Jesus reminded his apostles of the time that he sent them out to preach and heal (chapters 9–10). At that time, they did not need to take anything with them. People welcomed them and took care of them as they preached about Jesus. But now, people would say that Jesus was an evil doer, just as the prophets had written in the Scriptures. So Jesus warned his apostles to prepare for this time of difficulty and danger.</w:t>
      </w:r>
    </w:p>
    <w:p>
      <w:pPr/>
      <w:r>
        <w:rPr>
          <w:lang w:val="en_US" w:bidi="en_US"/>
        </w:rPr>
      </w:r>
      <w:r>
        <w:rPr>
          <w:lang w:val="en_US" w:bidi="en_US"/>
        </w:rPr>
        <w:t>Some other examples of headings for this section are:</w:t>
      </w:r>
    </w:p>
    <w:p>
      <w:pPr/>
      <w:r>
        <w:rPr>
          <w:lang w:val="en_US" w:bidi="en_US"/>
        </w:rPr>
      </w:r>
      <w:r>
        <w:rPr>
          <w:lang w:val="en_US" w:bidi="en_US"/>
        </w:rPr>
        <w:t>Jesus Predicts Peter’s Denial (GNT)</w:t>
      </w:r>
    </w:p>
    <w:p>
      <w:pPr/>
      <w:r>
        <w:rPr>
          <w:lang w:val="en_US" w:bidi="en_US"/>
        </w:rPr>
      </w:r>
      <w:r>
        <w:rPr>
          <w:lang w:val="en_US" w:bidi="en_US"/>
        </w:rPr>
        <w:t>Jesus’ Disciples Will Be Tested (CEV)</w:t>
      </w:r>
    </w:p>
    <w:p>
      <w:pPr/>
      <w:r>
        <w:rPr>
          <w:lang w:val="en_US" w:bidi="en_US"/>
        </w:rPr>
      </w:r>
      <w:r>
        <w:rPr>
          <w:lang w:val="en_US" w:bidi="en_US"/>
        </w:rPr>
        <w:t>There are parallel passages for this section in Matthew 26:31–35, Mark 14:27–31, and John 13:36–38.</w:t>
      </w:r>
    </w:p>
    <w:p>
      <w:pPr>
        <w:pStyle w:val="Heading5"/>
      </w:pPr>
      <w:r>
        <w:rPr>
          <w:lang w:val="en_US" w:bidi="en_US"/>
        </w:rPr>
        <w:t>22:38a</w:t>
      </w:r>
    </w:p>
    <w:p>
      <w:pPr/>
      <w:r>
        <w:rPr>
          <w:lang w:val="en_US" w:bidi="en_US"/>
        </w:rPr>
      </w:r>
      <w:r>
        <w:rPr>
          <w:b/>
          <w:lang w:val="en_US" w:bidi="en_US"/>
        </w:rPr>
        <w:t>So they said, “Look, Lord, here are two swords.”</w:t>
      </w:r>
    </w:p>
    <w:p>
      <w:pPr>
        <w:pStyle w:val="ListBullet"/>
        <w:spacing w:line="240" w:lineRule="auto"/>
        <w:ind w:left="720"/>
      </w:pPr>
      <w:r>
        <w:rPr>
          <w:lang w:val="en_US" w:bidi="en_US"/>
        </w:rPr>
      </w:r>
      <w:r>
        <w:rPr>
          <w:lang w:val="en_US" w:bidi="en_US"/>
        </w:rPr>
        <w:t>They replied, “Look, Lord, we</w:t>
      </w:r>
      <w:r>
        <w:rPr>
          <w:vertAlign w:val="superscript"/>
          <w:lang w:val="en_US" w:bidi="en_US"/>
        </w:rPr>
        <w:t>(incl)</w:t>
      </w:r>
      <w:r>
        <w:rPr>
          <w:lang w:val="en_US" w:bidi="en_US"/>
        </w:rPr>
        <w:t xml:space="preserve"> have two swords.”</w:t>
      </w:r>
    </w:p>
    <w:p>
      <w:pPr>
        <w:pStyle w:val="ListBullet"/>
        <w:spacing w:line="240" w:lineRule="auto"/>
        <w:ind w:left="720"/>
      </w:pPr>
      <w:r>
        <w:rPr>
          <w:lang w:val="en_US" w:bidi="en_US"/>
        </w:rPr>
      </w:r>
      <w:r>
        <w:rPr>
          <w:lang w:val="en_US" w:bidi="en_US"/>
        </w:rPr>
        <w:t xml:space="preserve">Then the apostles </w:t>
      </w:r>
      <w:r>
        <w:rPr>
          <w:lang w:val="en_US" w:bidi="en_US"/>
        </w:rPr>
        <w:t>showed him two swords that they had with them</w:t>
      </w:r>
      <w:r>
        <w:rPr>
          <w:lang w:val="en_US" w:bidi="en_US"/>
        </w:rPr>
        <w:t xml:space="preserve">. They said to </w:t>
      </w:r>
      <w:r>
        <w:rPr>
          <w:lang w:val="en_US" w:bidi="en_US"/>
        </w:rPr>
        <w:t>him</w:t>
      </w:r>
      <w:r>
        <w:rPr>
          <w:lang w:val="en_US" w:bidi="en_US"/>
        </w:rPr>
        <w:t>, “Master, here are two swords.”</w:t>
      </w:r>
    </w:p>
    <w:p>
      <w:pPr/>
      <w:r>
        <w:rPr>
          <w:lang w:val="en_US" w:bidi="en_US"/>
        </w:rPr>
      </w:r>
      <w:r>
        <w:rPr>
          <w:b/>
          <w:lang w:val="en_US" w:bidi="en_US"/>
        </w:rPr>
        <w:t>So they said, “Look, Lord, here are two swords.”:</w:t>
      </w:r>
      <w:r>
        <w:rPr>
          <w:lang w:val="en_US" w:bidi="en_US"/>
        </w:rPr>
        <w:t xml:space="preserve"> This statement implies that two of the disciples had swords with them. Because Jesus mentioned buying a sword in 22:36, they took these two swords and showed them to Jesus. In some languages you may need to include some of this implied information. For example:</w:t>
      </w:r>
    </w:p>
    <w:p>
      <w:pPr/>
      <w:r>
        <w:rPr>
          <w:lang w:val="en_US" w:bidi="en_US"/>
        </w:rPr>
      </w:r>
      <w:r>
        <w:rPr>
          <w:lang w:val="en_US" w:bidi="en_US"/>
        </w:rPr>
        <w:t xml:space="preserve">The disciples </w:t>
      </w:r>
      <w:r>
        <w:rPr>
          <w:lang w:val="en_US" w:bidi="en_US"/>
        </w:rPr>
        <w:t>showed him</w:t>
      </w:r>
      <w:r>
        <w:rPr>
          <w:lang w:val="en_US" w:bidi="en_US"/>
        </w:rPr>
        <w:t xml:space="preserve"> two swords </w:t>
      </w:r>
      <w:r>
        <w:rPr>
          <w:lang w:val="en_US" w:bidi="en_US"/>
        </w:rPr>
        <w:t>that they had with them</w:t>
      </w:r>
      <w:r>
        <w:rPr>
          <w:lang w:val="en_US" w:bidi="en_US"/>
        </w:rPr>
        <w:t>. “See, Lord, we have these,” they said.</w:t>
      </w:r>
    </w:p>
    <w:p>
      <w:pPr/>
      <w:r>
        <w:rPr>
          <w:lang w:val="en_US" w:bidi="en_US"/>
        </w:rPr>
      </w:r>
      <w:r>
        <w:rPr>
          <w:b/>
          <w:lang w:val="en_US" w:bidi="en_US"/>
        </w:rPr>
        <w:t>So they said:</w:t>
      </w:r>
      <w:r>
        <w:rPr>
          <w:lang w:val="en_US" w:bidi="en_US"/>
        </w:rPr>
        <w:t xml:space="preserve"> The Greek phrase that the BSB translates as </w:t>
      </w:r>
      <w:r>
        <w:rPr>
          <w:i/>
          <w:lang w:val="en_US" w:bidi="en_US"/>
        </w:rPr>
        <w:t>So they said</w:t>
      </w:r>
      <w:r>
        <w:rPr>
          <w:lang w:val="en_US" w:bidi="en_US"/>
        </w:rPr>
        <w:t xml:space="preserve"> is more literally “and they said.” It continues to refer to the apostles with whom Jesus had eaten the Passover. Refer back to them here in a natural way in your language. After you have translated this chapter, be sure to read it through in your language to see if the references to them are clear and natural.</w:t>
      </w:r>
    </w:p>
    <w:p>
      <w:pPr>
        <w:pStyle w:val="Heading5"/>
      </w:pPr>
      <w:r>
        <w:rPr>
          <w:lang w:val="en_US" w:bidi="en_US"/>
        </w:rPr>
        <w:t>22:38b</w:t>
      </w:r>
    </w:p>
    <w:p>
      <w:pPr/>
      <w:r>
        <w:rPr>
          <w:lang w:val="en_US" w:bidi="en_US"/>
        </w:rPr>
      </w:r>
      <w:r>
        <w:rPr>
          <w:b/>
          <w:lang w:val="en_US" w:bidi="en_US"/>
        </w:rPr>
        <w:t>“That is enough,” He answered.</w:t>
      </w:r>
    </w:p>
    <w:p>
      <w:pPr>
        <w:pStyle w:val="ListBullet"/>
        <w:spacing w:line="240" w:lineRule="auto"/>
        <w:ind w:left="720"/>
      </w:pPr>
      <w:r>
        <w:rPr>
          <w:lang w:val="en_US" w:bidi="en_US"/>
        </w:rPr>
      </w:r>
      <w:r>
        <w:rPr>
          <w:lang w:val="en_US" w:bidi="en_US"/>
        </w:rPr>
        <w:t xml:space="preserve">Then Jesus said, “Enough </w:t>
      </w:r>
      <w:r>
        <w:rPr>
          <w:lang w:val="en_US" w:bidi="en_US"/>
        </w:rPr>
        <w:t>of this</w:t>
      </w:r>
      <w:r>
        <w:rPr>
          <w:lang w:val="en_US" w:bidi="en_US"/>
        </w:rPr>
        <w:t>.”</w:t>
      </w:r>
    </w:p>
    <w:p>
      <w:pPr>
        <w:pStyle w:val="ListBullet"/>
        <w:spacing w:line="240" w:lineRule="auto"/>
        <w:ind w:left="720"/>
      </w:pPr>
      <w:r>
        <w:rPr>
          <w:lang w:val="en_US" w:bidi="en_US"/>
        </w:rPr>
      </w:r>
      <w:r>
        <w:rPr>
          <w:lang w:val="en_US" w:bidi="en_US"/>
        </w:rPr>
        <w:t xml:space="preserve">And Jesus said to them, “Do not </w:t>
      </w:r>
      <w:r>
        <w:rPr>
          <w:lang w:val="en_US" w:bidi="en_US"/>
        </w:rPr>
        <w:t>talk about swords</w:t>
      </w:r>
      <w:r>
        <w:rPr>
          <w:lang w:val="en_US" w:bidi="en_US"/>
        </w:rPr>
        <w:t xml:space="preserve"> anymore.”</w:t>
      </w:r>
    </w:p>
    <w:p>
      <w:pPr/>
      <w:r>
        <w:rPr>
          <w:lang w:val="en_US" w:bidi="en_US"/>
        </w:rPr>
      </w:r>
      <w:r>
        <w:rPr>
          <w:b/>
          <w:lang w:val="en_US" w:bidi="en_US"/>
        </w:rPr>
        <w:t>That is enough:</w:t>
      </w:r>
      <w:r>
        <w:rPr>
          <w:lang w:val="en_US" w:bidi="en_US"/>
        </w:rPr>
        <w:t xml:space="preserve"> The Greek phrase that the BSB translates as </w:t>
      </w:r>
      <w:r>
        <w:rPr>
          <w:i/>
          <w:lang w:val="en_US" w:bidi="en_US"/>
        </w:rPr>
        <w:t>That is enough</w:t>
      </w:r>
      <w:r>
        <w:rPr>
          <w:lang w:val="en_US" w:bidi="en_US"/>
        </w:rPr>
        <w:t xml:space="preserve"> is more literally “Enough it-is.” There are three ways to interpret this phrase:</w:t>
      </w:r>
    </w:p>
    <w:p>
      <w:pPr>
        <w:pStyle w:val="ListNumber"/>
        <w:numPr>
          <w:ilvl w:val="0"/>
          <w:numId w:val="356"/>
        </w:numPr>
        <w:spacing w:line="240" w:lineRule="auto"/>
        <w:ind w:left="720"/>
      </w:pPr>
      <w:r>
        <w:rPr>
          <w:lang w:val="en_US" w:bidi="en_US"/>
        </w:rPr>
      </w:r>
      <w:r>
        <w:rPr>
          <w:lang w:val="en_US" w:bidi="en_US"/>
        </w:rPr>
        <w:t>It means, “That is enough talking about this.” It was an idiom used to bring the topic of conversation to an end. Here is another way to translate this:</w:t>
      </w:r>
      <w:r>
        <w:rPr>
          <w:lang w:val="en_US" w:bidi="en_US"/>
        </w:rPr>
        <w:t xml:space="preserve">Enough of that! (CEV) </w:t>
      </w:r>
      <w:r>
        <w:rPr>
          <w:i/>
          <w:lang w:val="en_US" w:bidi="en_US"/>
        </w:rPr>
        <w:t>(CEV, NET, GNT note, probably REB, BSB)</w:t>
      </w:r>
    </w:p>
    <w:p>
      <w:pPr>
        <w:pStyle w:val="ListNumber"/>
        <w:spacing w:line="240" w:lineRule="auto"/>
        <w:ind w:left="720"/>
      </w:pPr>
      <w:r>
        <w:rPr>
          <w:lang w:val="en_US" w:bidi="en_US"/>
        </w:rPr>
      </w:r>
      <w:r>
        <w:rPr>
          <w:lang w:val="en_US" w:bidi="en_US"/>
        </w:rPr>
        <w:t xml:space="preserve">It means, “Two swords are enough </w:t>
      </w:r>
      <w:r>
        <w:rPr>
          <w:lang w:val="en_US" w:bidi="en_US"/>
        </w:rPr>
        <w:t>for our needs</w:t>
      </w:r>
      <w:r>
        <w:rPr>
          <w:lang w:val="en_US" w:bidi="en_US"/>
        </w:rPr>
        <w:t>.”</w:t>
      </w:r>
      <w:r>
        <w:rPr>
          <w:lang w:val="en_US" w:bidi="en_US"/>
        </w:rPr>
        <w:t xml:space="preserve">Some commentators suggest that this statement is irony. It implies that the two swords are enough, because Jesus did not intend for them to fight. See Godet, </w:t>
      </w:r>
      <w:r>
        <w:rPr>
          <w:i/>
          <w:lang w:val="en_US" w:bidi="en_US"/>
        </w:rPr>
        <w:t>Expositor’s Greek Testament</w:t>
      </w:r>
      <w:r>
        <w:rPr>
          <w:lang w:val="en_US" w:bidi="en_US"/>
        </w:rPr>
        <w:t xml:space="preserve">, and the </w:t>
      </w:r>
      <w:r>
        <w:rPr>
          <w:i/>
          <w:lang w:val="en_US" w:bidi="en_US"/>
        </w:rPr>
        <w:t>New International Version Study Bible</w:t>
      </w:r>
      <w:r>
        <w:rPr>
          <w:lang w:val="en_US" w:bidi="en_US"/>
        </w:rPr>
        <w:t>.</w:t>
      </w:r>
      <w:r>
        <w:rPr>
          <w:lang w:val="en_US" w:bidi="en_US"/>
        </w:rPr>
        <w:t xml:space="preserve"> For example:</w:t>
      </w:r>
      <w:r>
        <w:rPr>
          <w:lang w:val="en_US" w:bidi="en_US"/>
        </w:rPr>
        <w:t xml:space="preserve">That will be enough </w:t>
      </w:r>
      <w:r>
        <w:rPr>
          <w:lang w:val="en_US" w:bidi="en_US"/>
        </w:rPr>
        <w:t>for us</w:t>
      </w:r>
      <w:r>
        <w:rPr>
          <w:lang w:val="en_US" w:bidi="en_US"/>
        </w:rPr>
        <w:t xml:space="preserve">. </w:t>
      </w:r>
      <w:r>
        <w:rPr>
          <w:i/>
          <w:lang w:val="en_US" w:bidi="en_US"/>
        </w:rPr>
        <w:t>(possibly RSV, NCV, NASB, KJV, NIV, NJB, ESV)</w:t>
      </w:r>
    </w:p>
    <w:p>
      <w:pPr>
        <w:pStyle w:val="ListNumber"/>
        <w:spacing w:line="240" w:lineRule="auto"/>
        <w:ind w:left="720"/>
      </w:pPr>
      <w:r>
        <w:rPr>
          <w:lang w:val="en_US" w:bidi="en_US"/>
        </w:rPr>
      </w:r>
      <w:r>
        <w:rPr>
          <w:lang w:val="en_US" w:bidi="en_US"/>
        </w:rPr>
        <w:t xml:space="preserve">It means “Two swords are plenty </w:t>
      </w:r>
      <w:r>
        <w:rPr>
          <w:lang w:val="en_US" w:bidi="en_US"/>
        </w:rPr>
        <w:t>since we will not fight</w:t>
      </w:r>
      <w:r>
        <w:rPr>
          <w:lang w:val="en_US" w:bidi="en_US"/>
        </w:rPr>
        <w:t>.” This is an ironic statement.</w:t>
      </w:r>
    </w:p>
    <w:p>
      <w:pPr/>
      <w:r>
        <w:rPr>
          <w:lang w:val="en_US" w:bidi="en_US"/>
        </w:rPr>
      </w:r>
      <w:r>
        <w:rPr>
          <w:lang w:val="en_US" w:bidi="en_US"/>
        </w:rPr>
        <w:t>For many English versions, it is not possible to be certain which interpretation is being followed.</w:t>
      </w:r>
      <w:r>
        <w:rPr>
          <w:lang w:val="en_US" w:bidi="en_US"/>
        </w:rPr>
        <w:t>The English idiom “That is enough” can have either of these two meanings. The literal translation “It is enough,” followed by RSV, NASB, KJV, ESV, and NJB, is also ambiguous, though it may slightly favor interpretation (2). However, it is difficult to know whether the versions actually favor that interpretation.</w:t>
      </w:r>
      <w:r>
        <w:rPr>
          <w:lang w:val="en_US" w:bidi="en_US"/>
        </w:rPr>
        <w:t xml:space="preserve"> It is recommended that you follow interpretation (1). Jesus did not want his disciples to talk any more about swords. Many commentators support this interpretation.</w:t>
      </w:r>
      <w:r>
        <w:rPr>
          <w:lang w:val="en_US" w:bidi="en_US"/>
        </w:rPr>
        <w:t xml:space="preserve">The </w:t>
      </w:r>
      <w:r>
        <w:rPr>
          <w:i/>
          <w:lang w:val="en_US" w:bidi="en_US"/>
        </w:rPr>
        <w:t>Exegetical Summary of Luke 12–24</w:t>
      </w:r>
      <w:r>
        <w:rPr>
          <w:lang w:val="en_US" w:bidi="en_US"/>
        </w:rPr>
        <w:t xml:space="preserve"> (p. 445) lists Fitzmyer, Alford, Arndt, Bock, Plummer, Lenski. Pate, Stein, Evans, Marshall, Hendriksen, Robertson, Summers, Reiling and Swellengrebel, Morris, Nolland, CEV, HCSB, and REB in support of this view.</w:t>
      </w:r>
      <w:r>
        <w:rPr>
          <w:lang w:val="en_US" w:bidi="en_US"/>
        </w:rPr>
        <w:t xml:space="preserve"> It also fits with what Jesus said in 22:51, after Peter used his sword to try to defend Jesus.</w:t>
      </w:r>
      <w:r>
        <w:rPr>
          <w:lang w:val="en_US" w:bidi="en_US"/>
        </w:rPr>
        <w:t>The phrase “It is enough” may have been a Hebrew idiom used to change the topic of their conversation.</w:t>
      </w:r>
      <w:r>
        <w:rPr>
          <w:lang w:val="en_US" w:bidi="en_US"/>
        </w:rPr>
      </w:r>
      <w:r>
        <w:rPr>
          <w:lang w:val="en_US" w:bidi="en_US"/>
        </w:rPr>
      </w:r>
    </w:p>
    <w:p>
      <w:pPr/>
      <w:r>
        <w:rPr>
          <w:lang w:val="en_US" w:bidi="en_US"/>
        </w:rPr>
      </w:r>
    </w:p>
    <w:p>
      <w:pPr>
        <w:pStyle w:val="Heading2"/>
      </w:pPr>
      <w:r>
        <w:rPr>
          <w:lang w:val="en_US" w:bidi="en_US"/>
        </w:rPr>
        <w:t>Luke 22:39</w:t>
      </w:r>
      <w:r>
        <w:rPr>
          <w:lang w:val="en_US" w:bidi="en_US"/>
        </w:rPr>
      </w:r>
    </w:p>
    <w:p>
      <w:pPr>
        <w:pStyle w:val="Heading4"/>
      </w:pPr>
      <w:r>
        <w:rPr>
          <w:lang w:val="en_US" w:bidi="en_US"/>
        </w:rPr>
        <w:t>Section 22:39–46: Jesus prayed in a garden called Gethsemane</w:t>
      </w:r>
    </w:p>
    <w:p>
      <w:pPr/>
      <w:r>
        <w:rPr>
          <w:lang w:val="en_US" w:bidi="en_US"/>
        </w:rPr>
      </w:r>
      <w:r>
        <w:rPr>
          <w:lang w:val="en_US" w:bidi="en_US"/>
        </w:rPr>
        <w:t>Jesus then went out to the Mount of Olives with his disciples. There he prayed to God about his coming suffering, and there his enemies, whom Judas was leading, arrested him.</w:t>
      </w:r>
    </w:p>
    <w:p>
      <w:pPr/>
      <w:r>
        <w:rPr>
          <w:lang w:val="en_US" w:bidi="en_US"/>
        </w:rPr>
      </w:r>
      <w:r>
        <w:rPr>
          <w:lang w:val="en_US" w:bidi="en_US"/>
        </w:rPr>
        <w:t>Jesus knew that his enemies would soon arrest him. So during this last time that he had with his disciples, he prayed to God and encouraged them to pray to God. He told his disciples to pray that they would not be overcome by temptation. Jesus also prayed that he himself would do what his heavenly Father wanted rather than what he himself wanted.</w:t>
      </w:r>
    </w:p>
    <w:p>
      <w:pPr/>
      <w:r>
        <w:rPr>
          <w:lang w:val="en_US" w:bidi="en_US"/>
        </w:rPr>
      </w:r>
      <w:r>
        <w:rPr>
          <w:lang w:val="en_US" w:bidi="en_US"/>
        </w:rPr>
        <w:t>Other examples of headings for this section are:</w:t>
      </w:r>
    </w:p>
    <w:p>
      <w:pPr/>
      <w:r>
        <w:rPr>
          <w:lang w:val="en_US" w:bidi="en_US"/>
        </w:rPr>
      </w:r>
      <w:r>
        <w:rPr>
          <w:lang w:val="en_US" w:bidi="en_US"/>
        </w:rPr>
        <w:t>Jesus Prays on the Mount of Olives (GNT)</w:t>
      </w:r>
    </w:p>
    <w:p>
      <w:pPr/>
      <w:r>
        <w:rPr>
          <w:lang w:val="en_US" w:bidi="en_US"/>
        </w:rPr>
      </w:r>
      <w:r>
        <w:rPr>
          <w:lang w:val="en_US" w:bidi="en_US"/>
        </w:rPr>
        <w:t>Jesus Prays Alone (NCV)</w:t>
      </w:r>
    </w:p>
    <w:p>
      <w:pPr/>
      <w:r>
        <w:rPr>
          <w:lang w:val="en_US" w:bidi="en_US"/>
        </w:rPr>
      </w:r>
      <w:r>
        <w:rPr>
          <w:lang w:val="en_US" w:bidi="en_US"/>
        </w:rPr>
        <w:t>The Garden of Gethsemane</w:t>
      </w:r>
    </w:p>
    <w:p>
      <w:pPr/>
      <w:r>
        <w:rPr>
          <w:lang w:val="en_US" w:bidi="en_US"/>
        </w:rPr>
      </w:r>
      <w:r>
        <w:rPr>
          <w:lang w:val="en_US" w:bidi="en_US"/>
        </w:rPr>
        <w:t>There are parallel passages for this section in Matthew 26:36–46 and Mark 14:32–42.</w:t>
      </w:r>
    </w:p>
    <w:p>
      <w:pPr>
        <w:pStyle w:val="Heading5"/>
      </w:pPr>
      <w:r>
        <w:rPr>
          <w:lang w:val="en_US" w:bidi="en_US"/>
        </w:rPr>
        <w:t>22:39a</w:t>
      </w:r>
    </w:p>
    <w:p>
      <w:pPr/>
      <w:r>
        <w:rPr>
          <w:lang w:val="en_US" w:bidi="en_US"/>
        </w:rPr>
      </w:r>
      <w:r>
        <w:rPr>
          <w:b/>
          <w:lang w:val="en_US" w:bidi="en_US"/>
        </w:rPr>
        <w:t>Jesus went out as usual to the Mount of Olives,</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went to Olive </w:t>
      </w:r>
      <w:r>
        <w:rPr>
          <w:lang w:val="en_US" w:bidi="en_US"/>
        </w:rPr>
        <w:t>Tree</w:t>
      </w:r>
      <w:r>
        <w:rPr>
          <w:lang w:val="en_US" w:bidi="en_US"/>
        </w:rPr>
        <w:t xml:space="preserve"> Mountain, as his habit was.</w:t>
      </w:r>
    </w:p>
    <w:p>
      <w:pPr>
        <w:pStyle w:val="ListBullet"/>
        <w:spacing w:line="240" w:lineRule="auto"/>
        <w:ind w:left="720"/>
      </w:pPr>
      <w:r>
        <w:rPr>
          <w:lang w:val="en_US" w:bidi="en_US"/>
        </w:rPr>
      </w:r>
      <w:r>
        <w:rPr>
          <w:lang w:val="en_US" w:bidi="en_US"/>
        </w:rPr>
        <w:t xml:space="preserve">¶ Jesus left </w:t>
      </w:r>
      <w:r>
        <w:rPr>
          <w:lang w:val="en_US" w:bidi="en_US"/>
        </w:rPr>
        <w:t>Jerusalem</w:t>
      </w:r>
      <w:r>
        <w:rPr>
          <w:lang w:val="en_US" w:bidi="en_US"/>
        </w:rPr>
        <w:t xml:space="preserve"> and went to the Hill of Olive </w:t>
      </w:r>
      <w:r>
        <w:rPr>
          <w:lang w:val="en_US" w:bidi="en_US"/>
        </w:rPr>
        <w:t>Trees</w:t>
      </w:r>
      <w:r>
        <w:rPr>
          <w:lang w:val="en_US" w:bidi="en_US"/>
        </w:rPr>
        <w:t>, as he usually did,</w:t>
      </w:r>
    </w:p>
    <w:p>
      <w:pPr/>
      <w:r>
        <w:rPr>
          <w:lang w:val="en_US" w:bidi="en_US"/>
        </w:rPr>
      </w:r>
      <w:r>
        <w:rPr>
          <w:b/>
          <w:lang w:val="en_US" w:bidi="en_US"/>
        </w:rPr>
        <w:t>Jesus went out:</w:t>
      </w:r>
      <w:r>
        <w:rPr>
          <w:lang w:val="en_US" w:bidi="en_US"/>
        </w:rPr>
        <w:t xml:space="preserve"> The Greek phrase that the BSB translates as </w:t>
      </w:r>
      <w:r>
        <w:rPr>
          <w:i/>
          <w:lang w:val="en_US" w:bidi="en_US"/>
        </w:rPr>
        <w:t>Jesus went out</w:t>
      </w:r>
      <w:r>
        <w:rPr>
          <w:lang w:val="en_US" w:bidi="en_US"/>
        </w:rPr>
        <w:t xml:space="preserve"> is more literally “And he came out, and went,” as in the RSV. The context shows that Jesus and his disciples left the room where they ate the Passover and went out of the city of Jerusalem. They walked to a place outside the city. Some other ways to translate it are:</w:t>
      </w:r>
    </w:p>
    <w:p>
      <w:pPr/>
      <w:r>
        <w:rPr>
          <w:lang w:val="en_US" w:bidi="en_US"/>
        </w:rPr>
      </w:r>
      <w:r>
        <w:rPr>
          <w:lang w:val="en_US" w:bidi="en_US"/>
        </w:rPr>
        <w:t>Jesus left the city and went (GNT)</w:t>
      </w:r>
    </w:p>
    <w:p>
      <w:pPr/>
      <w:r>
        <w:rPr>
          <w:lang w:val="en_US" w:bidi="en_US"/>
        </w:rPr>
      </w:r>
      <w:r>
        <w:rPr>
          <w:lang w:val="en_US" w:bidi="en_US"/>
        </w:rPr>
        <w:t>Jesus went out of the city to (GW)</w:t>
      </w:r>
    </w:p>
    <w:p>
      <w:pPr/>
      <w:r>
        <w:rPr>
          <w:lang w:val="en_US" w:bidi="en_US"/>
        </w:rPr>
      </w:r>
      <w:r>
        <w:rPr>
          <w:lang w:val="en_US" w:bidi="en_US"/>
        </w:rPr>
        <w:t xml:space="preserve">Jesus left </w:t>
      </w:r>
      <w:r>
        <w:rPr>
          <w:lang w:val="en_US" w:bidi="en_US"/>
        </w:rPr>
        <w:t>the house/room</w:t>
      </w:r>
      <w:r>
        <w:rPr>
          <w:lang w:val="en_US" w:bidi="en_US"/>
        </w:rPr>
        <w:t xml:space="preserve"> and went</w:t>
      </w:r>
    </w:p>
    <w:p>
      <w:pPr/>
      <w:r>
        <w:rPr>
          <w:lang w:val="en_US" w:bidi="en_US"/>
        </w:rPr>
      </w:r>
      <w:r>
        <w:rPr>
          <w:lang w:val="en_US" w:bidi="en_US"/>
        </w:rPr>
        <w:t>In 22:39b the text indicates that Jesus’ disciples went with him. In some languages it may be more natural to mention the disciples along with Jesus at the beginning of the verse. See the General Comment on 22:39a–b below for translation suggestions.</w:t>
      </w:r>
    </w:p>
    <w:p>
      <w:pPr/>
      <w:r>
        <w:rPr>
          <w:lang w:val="en_US" w:bidi="en_US"/>
        </w:rPr>
      </w:r>
      <w:r>
        <w:rPr>
          <w:b/>
          <w:lang w:val="en_US" w:bidi="en_US"/>
        </w:rPr>
        <w:t>as usual:</w:t>
      </w:r>
      <w:r>
        <w:rPr>
          <w:lang w:val="en_US" w:bidi="en_US"/>
        </w:rPr>
        <w:t xml:space="preserve"> The Greek phrase that the BSB translates as </w:t>
      </w:r>
      <w:r>
        <w:rPr>
          <w:i/>
          <w:lang w:val="en_US" w:bidi="en_US"/>
        </w:rPr>
        <w:t>as usual</w:t>
      </w:r>
      <w:r>
        <w:rPr>
          <w:lang w:val="en_US" w:bidi="en_US"/>
        </w:rPr>
        <w:t xml:space="preserve"> is more literally “according to the custom/habit.” Jesus often went to this place with his disciples. In 21:37 the text indicates that Jesus and his disciples had slept there each night during the days after they arrived in Jerusalem.</w:t>
      </w:r>
    </w:p>
    <w:p>
      <w:pPr/>
      <w:r>
        <w:rPr>
          <w:lang w:val="en_US" w:bidi="en_US"/>
        </w:rPr>
      </w:r>
      <w:r>
        <w:rPr>
          <w:lang w:val="en_US" w:bidi="en_US"/>
        </w:rPr>
        <w:t>Some other ways to translate this phrase are:</w:t>
      </w:r>
    </w:p>
    <w:p>
      <w:pPr/>
      <w:r>
        <w:rPr>
          <w:lang w:val="en_US" w:bidi="en_US"/>
        </w:rPr>
      </w:r>
      <w:r>
        <w:rPr>
          <w:lang w:val="en_US" w:bidi="en_US"/>
        </w:rPr>
        <w:t>as he usually did (GNT)</w:t>
      </w:r>
    </w:p>
    <w:p>
      <w:pPr/>
      <w:r>
        <w:rPr>
          <w:lang w:val="en_US" w:bidi="en_US"/>
        </w:rPr>
      </w:r>
      <w:r>
        <w:rPr>
          <w:lang w:val="en_US" w:bidi="en_US"/>
        </w:rPr>
        <w:t>as was his custom (RSV)</w:t>
      </w:r>
    </w:p>
    <w:p>
      <w:pPr/>
      <w:r>
        <w:rPr>
          <w:lang w:val="en_US" w:bidi="en_US"/>
        </w:rPr>
      </w:r>
      <w:r>
        <w:rPr>
          <w:lang w:val="en_US" w:bidi="en_US"/>
        </w:rPr>
        <w:t>because they always slept there</w:t>
      </w:r>
      <w:r>
        <w:rPr>
          <w:lang w:val="en_US" w:bidi="en_US"/>
        </w:rPr>
        <w:t>Western Bukidnon Manobo back translation on TW.</w:t>
      </w:r>
    </w:p>
    <w:p>
      <w:pPr/>
      <w:r>
        <w:rPr>
          <w:lang w:val="en_US" w:bidi="en_US"/>
        </w:rPr>
      </w:r>
      <w:r>
        <w:rPr>
          <w:b/>
          <w:lang w:val="en_US" w:bidi="en_US"/>
        </w:rPr>
        <w:t>to the Mount of Olives:</w:t>
      </w:r>
      <w:r>
        <w:rPr>
          <w:lang w:val="en_US" w:bidi="en_US"/>
        </w:rPr>
        <w:t xml:space="preserve"> The </w:t>
      </w:r>
      <w:r>
        <w:rPr>
          <w:i/>
          <w:lang w:val="en_US" w:bidi="en_US"/>
        </w:rPr>
        <w:t>Mount of Olives</w:t>
      </w:r>
      <w:r>
        <w:rPr>
          <w:lang w:val="en_US" w:bidi="en_US"/>
        </w:rPr>
        <w:t xml:space="preserve"> was a hill/mountain on the east side of Jerusalem. Many olive trees grew there. The Mount of Olives was mentioned in 19:29. See the notes on “Mount of Olives” and “Olives” at 19:29b for more information and translation examples.</w:t>
      </w:r>
    </w:p>
    <w:p>
      <w:pPr>
        <w:pStyle w:val="Heading5"/>
      </w:pPr>
      <w:r>
        <w:rPr>
          <w:lang w:val="en_US" w:bidi="en_US"/>
        </w:rPr>
        <w:t>22:39b</w:t>
      </w:r>
    </w:p>
    <w:p>
      <w:pPr/>
      <w:r>
        <w:rPr>
          <w:lang w:val="en_US" w:bidi="en_US"/>
        </w:rPr>
      </w:r>
      <w:r>
        <w:rPr>
          <w:b/>
          <w:lang w:val="en_US" w:bidi="en_US"/>
        </w:rPr>
        <w:t>and the disciples followed Him.</w:t>
      </w:r>
    </w:p>
    <w:p>
      <w:pPr>
        <w:pStyle w:val="ListBullet"/>
        <w:spacing w:line="240" w:lineRule="auto"/>
        <w:ind w:left="720"/>
      </w:pPr>
      <w:r>
        <w:rPr>
          <w:lang w:val="en_US" w:bidi="en_US"/>
        </w:rPr>
      </w:r>
      <w:r>
        <w:rPr>
          <w:lang w:val="en_US" w:bidi="en_US"/>
        </w:rPr>
        <w:t>His disciples followed along with him.</w:t>
      </w:r>
    </w:p>
    <w:p>
      <w:pPr>
        <w:pStyle w:val="ListBullet"/>
        <w:spacing w:line="240" w:lineRule="auto"/>
        <w:ind w:left="720"/>
      </w:pPr>
      <w:r>
        <w:rPr>
          <w:lang w:val="en_US" w:bidi="en_US"/>
        </w:rPr>
      </w:r>
      <w:r>
        <w:rPr>
          <w:lang w:val="en_US" w:bidi="en_US"/>
        </w:rPr>
        <w:t>and his disciples went with/behind him.</w:t>
      </w:r>
    </w:p>
    <w:p>
      <w:pPr/>
      <w:r>
        <w:rPr>
          <w:lang w:val="en_US" w:bidi="en_US"/>
        </w:rPr>
      </w:r>
      <w:r>
        <w:rPr>
          <w:b/>
          <w:lang w:val="en_US" w:bidi="en_US"/>
        </w:rPr>
        <w:t>and the disciples followed Him:</w:t>
      </w:r>
      <w:r>
        <w:rPr>
          <w:lang w:val="en_US" w:bidi="en_US"/>
        </w:rPr>
        <w:t xml:space="preserve"> In this context the phrase </w:t>
      </w:r>
      <w:r>
        <w:rPr>
          <w:i/>
          <w:lang w:val="en_US" w:bidi="en_US"/>
        </w:rPr>
        <w:t>followed Him</w:t>
      </w:r>
      <w:r>
        <w:rPr>
          <w:lang w:val="en_US" w:bidi="en_US"/>
        </w:rPr>
        <w:t xml:space="preserve"> indicates that the disciples went with Jesus. They accompanied him to the Mount of Olives. Another way to translate this is:</w:t>
      </w:r>
    </w:p>
    <w:p>
      <w:pPr/>
      <w:r>
        <w:rPr>
          <w:lang w:val="en_US" w:bidi="en_US"/>
        </w:rPr>
      </w:r>
      <w:r>
        <w:rPr>
          <w:lang w:val="en_US" w:bidi="en_US"/>
        </w:rPr>
        <w:t>the disciples went with him (GNT)</w:t>
      </w:r>
    </w:p>
    <w:p>
      <w:pPr/>
      <w:r>
        <w:rPr>
          <w:lang w:val="en_US" w:bidi="en_US"/>
        </w:rPr>
      </w:r>
      <w:r>
        <w:rPr>
          <w:b/>
          <w:lang w:val="en_US" w:bidi="en_US"/>
        </w:rPr>
        <w:t>disciples:</w:t>
      </w:r>
      <w:r>
        <w:rPr>
          <w:lang w:val="en_US" w:bidi="en_US"/>
        </w:rPr>
        <w:t xml:space="preserve"> Here the term </w:t>
      </w:r>
      <w:r>
        <w:rPr>
          <w:i/>
          <w:lang w:val="en_US" w:bidi="en_US"/>
        </w:rPr>
        <w:t>disciples</w:t>
      </w:r>
      <w:r>
        <w:rPr>
          <w:lang w:val="en_US" w:bidi="en_US"/>
        </w:rPr>
        <w:t xml:space="preserve"> refers to the apostles who had been with him for the Passover celebration. However, it does not include Judas, who had left them during the supper. Refer back to the disciples in a natural way in your language.</w:t>
      </w:r>
    </w:p>
    <w:p>
      <w:pPr>
        <w:pStyle w:val="Heading6"/>
      </w:pPr>
      <w:r>
        <w:rPr>
          <w:b/>
          <w:lang w:val="en_US" w:bidi="en_US"/>
        </w:rPr>
        <w:t>General Comment on 22:39a–b</w:t>
      </w:r>
    </w:p>
    <w:p>
      <w:pPr/>
      <w:r>
        <w:rPr>
          <w:lang w:val="en_US" w:bidi="en_US"/>
        </w:rPr>
      </w:r>
      <w:r>
        <w:rPr>
          <w:lang w:val="en_US" w:bidi="en_US"/>
        </w:rPr>
        <w:t>In some languages it may be more natural to change the order of some phrases in this verse. For example:</w:t>
      </w:r>
    </w:p>
    <w:p>
      <w:pPr/>
      <w:r>
        <w:rPr>
          <w:lang w:val="en_US" w:bidi="en_US"/>
        </w:rPr>
      </w:r>
      <w:r>
        <w:rPr>
          <w:vertAlign w:val="superscript"/>
          <w:lang w:val="en_US" w:bidi="en_US"/>
        </w:rPr>
        <w:t>39b</w:t>
      </w:r>
      <w:r>
        <w:rPr>
          <w:lang w:val="en_US" w:bidi="en_US"/>
        </w:rPr>
        <w:t xml:space="preserve">Then, accompanied by the disciples, </w:t>
      </w:r>
      <w:r>
        <w:rPr>
          <w:vertAlign w:val="superscript"/>
          <w:lang w:val="en_US" w:bidi="en_US"/>
        </w:rPr>
        <w:t>39a</w:t>
      </w:r>
      <w:r>
        <w:rPr>
          <w:lang w:val="en_US" w:bidi="en_US"/>
        </w:rPr>
        <w:t>Jesus left the upstairs room and went as usual to the Mount of Olives. (NLT)</w:t>
      </w:r>
      <w:r>
        <w:rPr>
          <w:lang w:val="en_US" w:bidi="en_US"/>
        </w:rPr>
      </w:r>
      <w:r>
        <w:rPr>
          <w:lang w:val="en_US" w:bidi="en_US"/>
        </w:rPr>
      </w:r>
    </w:p>
    <w:p>
      <w:pPr/>
      <w:r>
        <w:rPr>
          <w:lang w:val="en_US" w:bidi="en_US"/>
        </w:rPr>
      </w:r>
    </w:p>
    <w:p>
      <w:pPr>
        <w:pStyle w:val="Heading2"/>
      </w:pPr>
      <w:r>
        <w:rPr>
          <w:lang w:val="en_US" w:bidi="en_US"/>
        </w:rPr>
        <w:t>Luke 22:40</w:t>
      </w:r>
      <w:r>
        <w:rPr>
          <w:lang w:val="en_US" w:bidi="en_US"/>
        </w:rPr>
      </w:r>
    </w:p>
    <w:p>
      <w:pPr>
        <w:pStyle w:val="Heading4"/>
      </w:pPr>
      <w:r>
        <w:rPr>
          <w:lang w:val="en_US" w:bidi="en_US"/>
        </w:rPr>
        <w:t>Section 22:39–46: Jesus prayed in a garden called Gethsemane</w:t>
      </w:r>
    </w:p>
    <w:p>
      <w:pPr/>
      <w:r>
        <w:rPr>
          <w:lang w:val="en_US" w:bidi="en_US"/>
        </w:rPr>
      </w:r>
      <w:r>
        <w:rPr>
          <w:lang w:val="en_US" w:bidi="en_US"/>
        </w:rPr>
        <w:t>Jesus then went out to the Mount of Olives with his disciples. There he prayed to God about his coming suffering, and there his enemies, whom Judas was leading, arrested him.</w:t>
      </w:r>
    </w:p>
    <w:p>
      <w:pPr/>
      <w:r>
        <w:rPr>
          <w:lang w:val="en_US" w:bidi="en_US"/>
        </w:rPr>
      </w:r>
      <w:r>
        <w:rPr>
          <w:lang w:val="en_US" w:bidi="en_US"/>
        </w:rPr>
        <w:t>Jesus knew that his enemies would soon arrest him. So during this last time that he had with his disciples, he prayed to God and encouraged them to pray to God. He told his disciples to pray that they would not be overcome by temptation. Jesus also prayed that he himself would do what his heavenly Father wanted rather than what he himself wanted.</w:t>
      </w:r>
    </w:p>
    <w:p>
      <w:pPr/>
      <w:r>
        <w:rPr>
          <w:lang w:val="en_US" w:bidi="en_US"/>
        </w:rPr>
      </w:r>
      <w:r>
        <w:rPr>
          <w:lang w:val="en_US" w:bidi="en_US"/>
        </w:rPr>
        <w:t>Other examples of headings for this section are:</w:t>
      </w:r>
    </w:p>
    <w:p>
      <w:pPr/>
      <w:r>
        <w:rPr>
          <w:lang w:val="en_US" w:bidi="en_US"/>
        </w:rPr>
      </w:r>
      <w:r>
        <w:rPr>
          <w:lang w:val="en_US" w:bidi="en_US"/>
        </w:rPr>
        <w:t>Jesus Prays on the Mount of Olives (GNT)</w:t>
      </w:r>
    </w:p>
    <w:p>
      <w:pPr/>
      <w:r>
        <w:rPr>
          <w:lang w:val="en_US" w:bidi="en_US"/>
        </w:rPr>
      </w:r>
      <w:r>
        <w:rPr>
          <w:lang w:val="en_US" w:bidi="en_US"/>
        </w:rPr>
        <w:t>Jesus Prays Alone (NCV)</w:t>
      </w:r>
    </w:p>
    <w:p>
      <w:pPr/>
      <w:r>
        <w:rPr>
          <w:lang w:val="en_US" w:bidi="en_US"/>
        </w:rPr>
      </w:r>
      <w:r>
        <w:rPr>
          <w:lang w:val="en_US" w:bidi="en_US"/>
        </w:rPr>
        <w:t>The Garden of Gethsemane</w:t>
      </w:r>
    </w:p>
    <w:p>
      <w:pPr/>
      <w:r>
        <w:rPr>
          <w:lang w:val="en_US" w:bidi="en_US"/>
        </w:rPr>
      </w:r>
      <w:r>
        <w:rPr>
          <w:lang w:val="en_US" w:bidi="en_US"/>
        </w:rPr>
        <w:t>There are parallel passages for this section in Matthew 26:36–46 and Mark 14:32–42.</w:t>
      </w:r>
    </w:p>
    <w:p>
      <w:pPr>
        <w:pStyle w:val="Heading5"/>
      </w:pPr>
      <w:r>
        <w:rPr>
          <w:lang w:val="en_US" w:bidi="en_US"/>
        </w:rPr>
        <w:t>22:40a</w:t>
      </w:r>
    </w:p>
    <w:p>
      <w:pPr/>
      <w:r>
        <w:rPr>
          <w:lang w:val="en_US" w:bidi="en_US"/>
        </w:rPr>
      </w:r>
      <w:r>
        <w:rPr>
          <w:b/>
          <w:lang w:val="en_US" w:bidi="en_US"/>
        </w:rPr>
        <w:t>When He came to the place, He told them,</w:t>
      </w:r>
    </w:p>
    <w:p>
      <w:pPr>
        <w:pStyle w:val="ListBullet"/>
        <w:spacing w:line="240" w:lineRule="auto"/>
        <w:ind w:left="720"/>
      </w:pPr>
      <w:r>
        <w:rPr>
          <w:lang w:val="en_US" w:bidi="en_US"/>
        </w:rPr>
      </w:r>
      <w:r>
        <w:rPr>
          <w:lang w:val="en_US" w:bidi="en_US"/>
        </w:rPr>
        <w:t>When they arrived there, he told them,</w:t>
      </w:r>
    </w:p>
    <w:p>
      <w:pPr>
        <w:pStyle w:val="ListBullet"/>
        <w:spacing w:line="240" w:lineRule="auto"/>
        <w:ind w:left="720"/>
      </w:pPr>
      <w:r>
        <w:rPr>
          <w:lang w:val="en_US" w:bidi="en_US"/>
        </w:rPr>
      </w:r>
      <w:r>
        <w:rPr>
          <w:lang w:val="en_US" w:bidi="en_US"/>
        </w:rPr>
        <w:t xml:space="preserve">When they arrived at the place </w:t>
      </w:r>
      <w:r>
        <w:rPr>
          <w:lang w:val="en_US" w:bidi="en_US"/>
        </w:rPr>
        <w:t>that they usually went to</w:t>
      </w:r>
      <w:r>
        <w:rPr>
          <w:lang w:val="en_US" w:bidi="en_US"/>
        </w:rPr>
        <w:t>, Jesus said to them,</w:t>
      </w:r>
    </w:p>
    <w:p>
      <w:pPr/>
      <w:r>
        <w:rPr>
          <w:lang w:val="en_US" w:bidi="en_US"/>
        </w:rPr>
      </w:r>
      <w:r>
        <w:rPr>
          <w:b/>
          <w:lang w:val="en_US" w:bidi="en_US"/>
        </w:rPr>
        <w:t>When He came to the place:</w:t>
      </w:r>
      <w:r>
        <w:rPr>
          <w:lang w:val="en_US" w:bidi="en_US"/>
        </w:rPr>
        <w:t xml:space="preserve"> </w:t>
      </w:r>
      <w:r>
        <w:rPr>
          <w:i/>
          <w:lang w:val="en_US" w:bidi="en_US"/>
        </w:rPr>
        <w:t>the place</w:t>
      </w:r>
      <w:r>
        <w:rPr>
          <w:lang w:val="en_US" w:bidi="en_US"/>
        </w:rPr>
        <w:t xml:space="preserve"> probably refers to the place on the Mount of Olives where Jesus and his disciples slept at night on the days before the Passover feast. Judas knew where to find him because Jesus usually went to that place. Some other ways to translate </w:t>
      </w:r>
      <w:r>
        <w:rPr>
          <w:i/>
          <w:lang w:val="en_US" w:bidi="en_US"/>
        </w:rPr>
        <w:t>When He came to the place</w:t>
      </w:r>
      <w:r>
        <w:rPr>
          <w:lang w:val="en_US" w:bidi="en_US"/>
        </w:rPr>
        <w:t xml:space="preserve"> are:</w:t>
      </w:r>
    </w:p>
    <w:p>
      <w:pPr/>
      <w:r>
        <w:rPr>
          <w:lang w:val="en_US" w:bidi="en_US"/>
        </w:rPr>
      </w:r>
      <w:r>
        <w:rPr>
          <w:lang w:val="en_US" w:bidi="en_US"/>
        </w:rPr>
        <w:t>On reaching the place (NIV)</w:t>
      </w:r>
    </w:p>
    <w:p>
      <w:pPr/>
      <w:r>
        <w:rPr>
          <w:lang w:val="en_US" w:bidi="en_US"/>
        </w:rPr>
      </w:r>
      <w:r>
        <w:rPr>
          <w:lang w:val="en_US" w:bidi="en_US"/>
        </w:rPr>
        <w:t>There (NLT)</w:t>
      </w:r>
    </w:p>
    <w:p>
      <w:pPr/>
      <w:r>
        <w:rPr>
          <w:lang w:val="en_US" w:bidi="en_US"/>
        </w:rPr>
      </w:r>
      <w:r>
        <w:rPr>
          <w:lang w:val="en_US" w:bidi="en_US"/>
        </w:rPr>
        <w:t>And when they arrived there</w:t>
      </w:r>
      <w:r>
        <w:rPr>
          <w:lang w:val="en_US" w:bidi="en_US"/>
        </w:rPr>
        <w:t>Western Bukidnon Manobo back translation on TW.</w:t>
      </w:r>
    </w:p>
    <w:p>
      <w:pPr/>
      <w:r>
        <w:rPr>
          <w:lang w:val="en_US" w:bidi="en_US"/>
        </w:rPr>
      </w:r>
      <w:r>
        <w:rPr>
          <w:b/>
          <w:lang w:val="en_US" w:bidi="en_US"/>
        </w:rPr>
        <w:t>He told them:</w:t>
      </w:r>
      <w:r>
        <w:rPr>
          <w:lang w:val="en_US" w:bidi="en_US"/>
        </w:rPr>
        <w:t xml:space="preserve"> This phrase introduces what Jesus said to his disciples.</w:t>
      </w:r>
    </w:p>
    <w:p>
      <w:pPr>
        <w:pStyle w:val="Heading5"/>
      </w:pPr>
      <w:r>
        <w:rPr>
          <w:lang w:val="en_US" w:bidi="en_US"/>
        </w:rPr>
        <w:t>22:40b</w:t>
      </w:r>
    </w:p>
    <w:p>
      <w:pPr/>
      <w:r>
        <w:rPr>
          <w:lang w:val="en_US" w:bidi="en_US"/>
        </w:rPr>
      </w:r>
      <w:r>
        <w:rPr>
          <w:b/>
          <w:lang w:val="en_US" w:bidi="en_US"/>
        </w:rPr>
        <w:t>“Pray that you will not enter into temptation.”</w:t>
      </w:r>
    </w:p>
    <w:p>
      <w:pPr>
        <w:pStyle w:val="ListBullet"/>
        <w:spacing w:line="240" w:lineRule="auto"/>
        <w:ind w:left="720"/>
      </w:pPr>
      <w:r>
        <w:rPr>
          <w:lang w:val="en_US" w:bidi="en_US"/>
        </w:rPr>
      </w:r>
      <w:r>
        <w:rPr>
          <w:lang w:val="en_US" w:bidi="en_US"/>
        </w:rPr>
        <w:t>“Pray that when you</w:t>
      </w:r>
      <w:r>
        <w:rPr>
          <w:vertAlign w:val="superscript"/>
          <w:lang w:val="en_US" w:bidi="en_US"/>
        </w:rPr>
        <w:t>(plur)</w:t>
      </w:r>
      <w:r>
        <w:rPr>
          <w:lang w:val="en_US" w:bidi="en_US"/>
        </w:rPr>
        <w:t xml:space="preserve"> are tempted, you will not yield/sin.”</w:t>
      </w:r>
    </w:p>
    <w:p>
      <w:pPr>
        <w:pStyle w:val="ListBullet"/>
        <w:spacing w:line="240" w:lineRule="auto"/>
        <w:ind w:left="720"/>
      </w:pPr>
      <w:r>
        <w:rPr>
          <w:lang w:val="en_US" w:bidi="en_US"/>
        </w:rPr>
      </w:r>
      <w:r>
        <w:rPr>
          <w:lang w:val="en_US" w:bidi="en_US"/>
        </w:rPr>
        <w:t xml:space="preserve">“Ask/Beg </w:t>
      </w:r>
      <w:r>
        <w:rPr>
          <w:lang w:val="en_US" w:bidi="en_US"/>
        </w:rPr>
        <w:t>God</w:t>
      </w:r>
      <w:r>
        <w:rPr>
          <w:lang w:val="en_US" w:bidi="en_US"/>
        </w:rPr>
        <w:t xml:space="preserve"> that </w:t>
      </w:r>
      <w:r>
        <w:rPr>
          <w:lang w:val="en_US" w:bidi="en_US"/>
        </w:rPr>
        <w:t>he will help</w:t>
      </w:r>
      <w:r>
        <w:rPr>
          <w:lang w:val="en_US" w:bidi="en_US"/>
        </w:rPr>
        <w:t xml:space="preserve"> you</w:t>
      </w:r>
      <w:r>
        <w:rPr>
          <w:vertAlign w:val="superscript"/>
          <w:lang w:val="en_US" w:bidi="en_US"/>
        </w:rPr>
        <w:t>(plur)</w:t>
      </w:r>
      <w:r>
        <w:rPr>
          <w:lang w:val="en_US" w:bidi="en_US"/>
        </w:rPr>
        <w:t xml:space="preserve"> overcome/refuse the temptation </w:t>
      </w:r>
      <w:r>
        <w:rPr>
          <w:lang w:val="en_US" w:bidi="en_US"/>
        </w:rPr>
        <w:t>to stop trusting me</w:t>
      </w:r>
      <w:r>
        <w:rPr>
          <w:lang w:val="en_US" w:bidi="en_US"/>
        </w:rPr>
        <w:t>.”</w:t>
      </w:r>
    </w:p>
    <w:p>
      <w:pPr>
        <w:pStyle w:val="ListBullet"/>
        <w:spacing w:line="240" w:lineRule="auto"/>
        <w:ind w:left="720"/>
      </w:pPr>
      <w:r>
        <w:rPr>
          <w:lang w:val="en_US" w:bidi="en_US"/>
        </w:rPr>
      </w:r>
      <w:r>
        <w:rPr>
          <w:lang w:val="en_US" w:bidi="en_US"/>
        </w:rPr>
        <w:t xml:space="preserve">“Pray that when </w:t>
      </w:r>
      <w:r>
        <w:rPr>
          <w:lang w:val="en_US" w:bidi="en_US"/>
        </w:rPr>
        <w:t>Satan</w:t>
      </w:r>
      <w:r>
        <w:rPr>
          <w:lang w:val="en_US" w:bidi="en_US"/>
        </w:rPr>
        <w:t xml:space="preserve"> tempts you</w:t>
      </w:r>
      <w:r>
        <w:rPr>
          <w:vertAlign w:val="superscript"/>
          <w:lang w:val="en_US" w:bidi="en_US"/>
        </w:rPr>
        <w:t>(plur)</w:t>
      </w:r>
      <w:r>
        <w:rPr>
          <w:lang w:val="en_US" w:bidi="en_US"/>
        </w:rPr>
        <w:t xml:space="preserve"> </w:t>
      </w:r>
      <w:r>
        <w:rPr>
          <w:lang w:val="en_US" w:bidi="en_US"/>
        </w:rPr>
        <w:t>to give up your faith in me</w:t>
      </w:r>
      <w:r>
        <w:rPr>
          <w:lang w:val="en_US" w:bidi="en_US"/>
        </w:rPr>
        <w:t>, you will not agree.”</w:t>
      </w:r>
    </w:p>
    <w:p>
      <w:pPr/>
      <w:r>
        <w:rPr>
          <w:lang w:val="en_US" w:bidi="en_US"/>
        </w:rPr>
      </w:r>
      <w:r>
        <w:rPr>
          <w:b/>
          <w:lang w:val="en_US" w:bidi="en_US"/>
        </w:rPr>
        <w:t>Pray:</w:t>
      </w:r>
      <w:r>
        <w:rPr>
          <w:lang w:val="en_US" w:bidi="en_US"/>
        </w:rPr>
        <w:t xml:space="preserve"> In Greek the verb </w:t>
      </w:r>
      <w:r>
        <w:rPr>
          <w:i/>
          <w:lang w:val="en_US" w:bidi="en_US"/>
        </w:rPr>
        <w:t>Pray</w:t>
      </w:r>
      <w:r>
        <w:rPr>
          <w:lang w:val="en_US" w:bidi="en_US"/>
        </w:rPr>
        <w:t xml:space="preserve"> probably implies the meaning “be praying” or “pray continuously.” It does not imply here that the disciples should pray only once. For more information and translation advice, see the notes on 18:1b–c. The context there also emphasizes persistent prayer, so it may be helpful to read all the notes on that verse.</w:t>
      </w:r>
    </w:p>
    <w:p>
      <w:pPr/>
      <w:r>
        <w:rPr>
          <w:lang w:val="en_US" w:bidi="en_US"/>
        </w:rPr>
      </w:r>
      <w:r>
        <w:rPr>
          <w:b/>
          <w:lang w:val="en_US" w:bidi="en_US"/>
        </w:rPr>
        <w:t>that you will not enter into temptation:</w:t>
      </w:r>
      <w:r>
        <w:rPr>
          <w:lang w:val="en_US" w:bidi="en_US"/>
        </w:rPr>
        <w:t xml:space="preserve"> The Greek phrase that the BSB translates as </w:t>
      </w:r>
      <w:r>
        <w:rPr>
          <w:i/>
          <w:lang w:val="en_US" w:bidi="en_US"/>
        </w:rPr>
        <w:t>enter into temptation</w:t>
      </w:r>
      <w:r>
        <w:rPr>
          <w:lang w:val="en_US" w:bidi="en_US"/>
        </w:rPr>
        <w:t xml:space="preserve"> is literally “come into temptation.” The phrase is a figure of speech. It means “yield to temptation.” It implies here that the disciples will be enticed to do something wrong or sinful. They should pray that they will not agree to do what they are tempted to do. Some other ways to say this are:</w:t>
      </w:r>
    </w:p>
    <w:p>
      <w:pPr/>
      <w:r>
        <w:rPr>
          <w:lang w:val="en_US" w:bidi="en_US"/>
        </w:rPr>
      </w:r>
      <w:r>
        <w:rPr>
          <w:lang w:val="en_US" w:bidi="en_US"/>
        </w:rPr>
        <w:t>so that you do not agree/yield when you are tempted</w:t>
      </w:r>
    </w:p>
    <w:p>
      <w:pPr/>
      <w:r>
        <w:rPr>
          <w:lang w:val="en_US" w:bidi="en_US"/>
        </w:rPr>
      </w:r>
      <w:r>
        <w:rPr>
          <w:lang w:val="en_US" w:bidi="en_US"/>
        </w:rPr>
        <w:t>so that you will be able to resist temptation</w:t>
      </w:r>
    </w:p>
    <w:p>
      <w:pPr/>
      <w:r>
        <w:rPr>
          <w:lang w:val="en_US" w:bidi="en_US"/>
        </w:rPr>
      </w:r>
      <w:r>
        <w:rPr>
          <w:lang w:val="en_US" w:bidi="en_US"/>
        </w:rPr>
        <w:t>In some languages it may be necessary to use an active verb and make the subject explicit. There are many things, situations, people, spirits, and attitudes that tempt people. In 22:31 Jesus had already mentioned that Satan would tempt them. If it is necessary to supply a subject here in your language, you may supply “Satan” as the subject (as in 22:31) or use a more indefinite subject. For example:</w:t>
      </w:r>
    </w:p>
    <w:p>
      <w:pPr/>
      <w:r>
        <w:rPr>
          <w:lang w:val="en_US" w:bidi="en_US"/>
        </w:rPr>
      </w:r>
      <w:r>
        <w:rPr>
          <w:lang w:val="en_US" w:bidi="en_US"/>
        </w:rPr>
        <w:t xml:space="preserve">so that when </w:t>
      </w:r>
      <w:r>
        <w:rPr>
          <w:lang w:val="en_US" w:bidi="en_US"/>
        </w:rPr>
        <w:t>Satan</w:t>
      </w:r>
      <w:r>
        <w:rPr>
          <w:lang w:val="en_US" w:bidi="en_US"/>
        </w:rPr>
        <w:t xml:space="preserve"> tempts you, you will not agree/sin</w:t>
      </w:r>
    </w:p>
    <w:p>
      <w:pPr/>
      <w:r>
        <w:rPr>
          <w:lang w:val="en_US" w:bidi="en_US"/>
        </w:rPr>
      </w:r>
      <w:r>
        <w:rPr>
          <w:lang w:val="en_US" w:bidi="en_US"/>
        </w:rPr>
        <w:t xml:space="preserve">so that you will not agree to sin, when </w:t>
      </w:r>
      <w:r>
        <w:rPr>
          <w:lang w:val="en_US" w:bidi="en_US"/>
        </w:rPr>
        <w:t>anything/anyone</w:t>
      </w:r>
      <w:r>
        <w:rPr>
          <w:lang w:val="en_US" w:bidi="en_US"/>
        </w:rPr>
        <w:t xml:space="preserve"> entices you to do wrong</w:t>
      </w:r>
    </w:p>
    <w:p>
      <w:pPr/>
      <w:r>
        <w:rPr>
          <w:lang w:val="en_US" w:bidi="en_US"/>
        </w:rPr>
      </w:r>
      <w:r>
        <w:rPr>
          <w:lang w:val="en_US" w:bidi="en_US"/>
        </w:rPr>
        <w:t xml:space="preserve">so that you will refuse when </w:t>
      </w:r>
      <w:r>
        <w:rPr>
          <w:lang w:val="en_US" w:bidi="en_US"/>
        </w:rPr>
        <w:t>anything/anyone</w:t>
      </w:r>
      <w:r>
        <w:rPr>
          <w:lang w:val="en_US" w:bidi="en_US"/>
        </w:rPr>
        <w:t xml:space="preserve"> tries to deceive/lure you into sinning</w:t>
      </w:r>
    </w:p>
    <w:p>
      <w:pPr/>
      <w:r>
        <w:rPr>
          <w:lang w:val="en_US" w:bidi="en_US"/>
        </w:rPr>
      </w:r>
      <w:r>
        <w:rPr>
          <w:b/>
          <w:lang w:val="en_US" w:bidi="en_US"/>
        </w:rPr>
        <w:t>temptation:</w:t>
      </w:r>
      <w:r>
        <w:rPr>
          <w:lang w:val="en_US" w:bidi="en_US"/>
        </w:rPr>
        <w:t xml:space="preserve"> The Greek word that the BSB translates as </w:t>
      </w:r>
      <w:r>
        <w:rPr>
          <w:i/>
          <w:lang w:val="en_US" w:bidi="en_US"/>
        </w:rPr>
        <w:t>temptation</w:t>
      </w:r>
      <w:r>
        <w:rPr>
          <w:lang w:val="en_US" w:bidi="en_US"/>
        </w:rPr>
        <w:t xml:space="preserve"> refers to something that causes a person to want to sin or do wrong. In this context Jesus referred specifically to temptations to be unfaithful to Jesus. Jesus knew that the disciples would soon be in danger and afraid. Terrible things would happen that they did not expect. They would feel anguish and sorrow. Any of these things could influence (tempt) the disciples to stop trusting Jesus. Jesus also knew that Satan would try to influence them to stop trusting him.</w:t>
      </w:r>
    </w:p>
    <w:p>
      <w:pPr/>
      <w:r>
        <w:rPr>
          <w:lang w:val="en_US" w:bidi="en_US"/>
        </w:rPr>
      </w:r>
      <w:r>
        <w:rPr>
          <w:lang w:val="en_US" w:bidi="en_US"/>
        </w:rPr>
        <w:t>In some languages it is necessary to say what the disciples would be tempted to do. If that is true in your language, you should supply a phrase that fits with how you translated 22:31–32. For example:</w:t>
      </w:r>
    </w:p>
    <w:p>
      <w:pPr/>
      <w:r>
        <w:rPr>
          <w:lang w:val="en_US" w:bidi="en_US"/>
        </w:rPr>
      </w:r>
      <w:r>
        <w:rPr>
          <w:lang w:val="en_US" w:bidi="en_US"/>
        </w:rPr>
        <w:t xml:space="preserve">when you are tempted </w:t>
      </w:r>
      <w:r>
        <w:rPr>
          <w:lang w:val="en_US" w:bidi="en_US"/>
        </w:rPr>
        <w:t>to be unfaithful</w:t>
      </w:r>
    </w:p>
    <w:p>
      <w:pPr/>
      <w:r>
        <w:rPr>
          <w:lang w:val="en_US" w:bidi="en_US"/>
        </w:rPr>
      </w:r>
      <w:r>
        <w:rPr>
          <w:lang w:val="en_US" w:bidi="en_US"/>
        </w:rPr>
        <w:t xml:space="preserve">when </w:t>
      </w:r>
      <w:r>
        <w:rPr>
          <w:lang w:val="en_US" w:bidi="en_US"/>
        </w:rPr>
        <w:t>anything/Satan</w:t>
      </w:r>
      <w:r>
        <w:rPr>
          <w:lang w:val="en_US" w:bidi="en_US"/>
        </w:rPr>
        <w:t xml:space="preserve"> tries to influence/trick you </w:t>
      </w:r>
      <w:r>
        <w:rPr>
          <w:lang w:val="en_US" w:bidi="en_US"/>
        </w:rPr>
        <w:t>to stop trusting me</w:t>
      </w:r>
    </w:p>
    <w:p>
      <w:pPr/>
      <w:r>
        <w:rPr>
          <w:lang w:val="en_US" w:bidi="en_US"/>
        </w:rPr>
      </w:r>
      <w:r>
        <w:rPr>
          <w:lang w:val="en_US" w:bidi="en_US"/>
        </w:rPr>
        <w:t xml:space="preserve">The word </w:t>
      </w:r>
      <w:r>
        <w:rPr>
          <w:i/>
          <w:lang w:val="en_US" w:bidi="en_US"/>
        </w:rPr>
        <w:t>temptation</w:t>
      </w:r>
      <w:r>
        <w:rPr>
          <w:lang w:val="en_US" w:bidi="en_US"/>
        </w:rPr>
        <w:t xml:space="preserve"> also occurred in 4:13 and 11:4. See how you translated it there. You may also want to refer to the parallel verse in Mark 14:38.</w:t>
      </w:r>
      <w:r>
        <w:rPr>
          <w:lang w:val="en_US" w:bidi="en_US"/>
        </w:rPr>
      </w:r>
      <w:r>
        <w:rPr>
          <w:lang w:val="en_US" w:bidi="en_US"/>
        </w:rPr>
      </w:r>
    </w:p>
    <w:p>
      <w:pPr/>
      <w:r>
        <w:rPr>
          <w:lang w:val="en_US" w:bidi="en_US"/>
        </w:rPr>
      </w:r>
    </w:p>
    <w:p>
      <w:pPr>
        <w:pStyle w:val="Heading2"/>
      </w:pPr>
      <w:r>
        <w:rPr>
          <w:lang w:val="en_US" w:bidi="en_US"/>
        </w:rPr>
        <w:t>Luke 22:41</w:t>
      </w:r>
      <w:r>
        <w:rPr>
          <w:lang w:val="en_US" w:bidi="en_US"/>
        </w:rPr>
      </w:r>
    </w:p>
    <w:p>
      <w:pPr>
        <w:pStyle w:val="Heading4"/>
      </w:pPr>
      <w:r>
        <w:rPr>
          <w:lang w:val="en_US" w:bidi="en_US"/>
        </w:rPr>
        <w:t>Section 22:39–46: Jesus prayed in a garden called Gethsemane</w:t>
      </w:r>
    </w:p>
    <w:p>
      <w:pPr/>
      <w:r>
        <w:rPr>
          <w:lang w:val="en_US" w:bidi="en_US"/>
        </w:rPr>
      </w:r>
      <w:r>
        <w:rPr>
          <w:lang w:val="en_US" w:bidi="en_US"/>
        </w:rPr>
        <w:t>Jesus then went out to the Mount of Olives with his disciples. There he prayed to God about his coming suffering, and there his enemies, whom Judas was leading, arrested him.</w:t>
      </w:r>
    </w:p>
    <w:p>
      <w:pPr/>
      <w:r>
        <w:rPr>
          <w:lang w:val="en_US" w:bidi="en_US"/>
        </w:rPr>
      </w:r>
      <w:r>
        <w:rPr>
          <w:lang w:val="en_US" w:bidi="en_US"/>
        </w:rPr>
        <w:t>Jesus knew that his enemies would soon arrest him. So during this last time that he had with his disciples, he prayed to God and encouraged them to pray to God. He told his disciples to pray that they would not be overcome by temptation. Jesus also prayed that he himself would do what his heavenly Father wanted rather than what he himself wanted.</w:t>
      </w:r>
    </w:p>
    <w:p>
      <w:pPr/>
      <w:r>
        <w:rPr>
          <w:lang w:val="en_US" w:bidi="en_US"/>
        </w:rPr>
      </w:r>
      <w:r>
        <w:rPr>
          <w:lang w:val="en_US" w:bidi="en_US"/>
        </w:rPr>
        <w:t>Other examples of headings for this section are:</w:t>
      </w:r>
    </w:p>
    <w:p>
      <w:pPr/>
      <w:r>
        <w:rPr>
          <w:lang w:val="en_US" w:bidi="en_US"/>
        </w:rPr>
      </w:r>
      <w:r>
        <w:rPr>
          <w:lang w:val="en_US" w:bidi="en_US"/>
        </w:rPr>
        <w:t>Jesus Prays on the Mount of Olives (GNT)</w:t>
      </w:r>
    </w:p>
    <w:p>
      <w:pPr/>
      <w:r>
        <w:rPr>
          <w:lang w:val="en_US" w:bidi="en_US"/>
        </w:rPr>
      </w:r>
      <w:r>
        <w:rPr>
          <w:lang w:val="en_US" w:bidi="en_US"/>
        </w:rPr>
        <w:t>Jesus Prays Alone (NCV)</w:t>
      </w:r>
    </w:p>
    <w:p>
      <w:pPr/>
      <w:r>
        <w:rPr>
          <w:lang w:val="en_US" w:bidi="en_US"/>
        </w:rPr>
      </w:r>
      <w:r>
        <w:rPr>
          <w:lang w:val="en_US" w:bidi="en_US"/>
        </w:rPr>
        <w:t>The Garden of Gethsemane</w:t>
      </w:r>
    </w:p>
    <w:p>
      <w:pPr/>
      <w:r>
        <w:rPr>
          <w:lang w:val="en_US" w:bidi="en_US"/>
        </w:rPr>
      </w:r>
      <w:r>
        <w:rPr>
          <w:lang w:val="en_US" w:bidi="en_US"/>
        </w:rPr>
        <w:t>There are parallel passages for this section in Matthew 26:36–46 and Mark 14:32–42.</w:t>
      </w:r>
    </w:p>
    <w:p>
      <w:pPr>
        <w:pStyle w:val="Heading5"/>
      </w:pPr>
      <w:r>
        <w:rPr>
          <w:lang w:val="en_US" w:bidi="en_US"/>
        </w:rPr>
        <w:t>22:41a</w:t>
      </w:r>
    </w:p>
    <w:p>
      <w:pPr/>
      <w:r>
        <w:rPr>
          <w:lang w:val="en_US" w:bidi="en_US"/>
        </w:rPr>
      </w:r>
      <w:r>
        <w:rPr>
          <w:b/>
          <w:lang w:val="en_US" w:bidi="en_US"/>
        </w:rPr>
        <w:t>And He withdrew about a stone’s throw beyond them,</w:t>
      </w:r>
    </w:p>
    <w:p>
      <w:pPr>
        <w:pStyle w:val="ListBullet"/>
        <w:spacing w:line="240" w:lineRule="auto"/>
        <w:ind w:left="720"/>
      </w:pPr>
      <w:r>
        <w:rPr>
          <w:lang w:val="en_US" w:bidi="en_US"/>
        </w:rPr>
      </w:r>
      <w:r>
        <w:rPr>
          <w:lang w:val="en_US" w:bidi="en_US"/>
        </w:rPr>
        <w:t>¶ Jesus went away from them about as far as someone could throw a rock.</w:t>
      </w:r>
    </w:p>
    <w:p>
      <w:pPr>
        <w:pStyle w:val="ListBullet"/>
        <w:spacing w:line="240" w:lineRule="auto"/>
        <w:ind w:left="720"/>
      </w:pPr>
      <w:r>
        <w:rPr>
          <w:lang w:val="en_US" w:bidi="en_US"/>
        </w:rPr>
      </w:r>
      <w:r>
        <w:rPr>
          <w:lang w:val="en_US" w:bidi="en_US"/>
        </w:rPr>
        <w:t>¶ Jesus went a short distance away from them.</w:t>
      </w:r>
    </w:p>
    <w:p>
      <w:pPr/>
      <w:r>
        <w:rPr>
          <w:lang w:val="en_US" w:bidi="en_US"/>
        </w:rPr>
      </w:r>
      <w:r>
        <w:rPr>
          <w:b/>
          <w:lang w:val="en_US" w:bidi="en_US"/>
        </w:rPr>
        <w:t>And He withdrew about a stone’s throw beyond them:</w:t>
      </w:r>
      <w:r>
        <w:rPr>
          <w:lang w:val="en_US" w:bidi="en_US"/>
        </w:rPr>
        <w:t xml:space="preserve"> This statement indicates that Jesus went a short distance away from his disciples.</w:t>
      </w:r>
    </w:p>
    <w:p>
      <w:pPr/>
      <w:r>
        <w:rPr>
          <w:lang w:val="en_US" w:bidi="en_US"/>
        </w:rPr>
      </w:r>
      <w:r>
        <w:rPr>
          <w:b/>
          <w:lang w:val="en_US" w:bidi="en_US"/>
        </w:rPr>
        <w:t>about a stone’s throw:</w:t>
      </w:r>
      <w:r>
        <w:rPr>
          <w:lang w:val="en_US" w:bidi="en_US"/>
        </w:rPr>
        <w:t xml:space="preserve"> The Greek idiom that the BSB translates literally as </w:t>
      </w:r>
      <w:r>
        <w:rPr>
          <w:i/>
          <w:lang w:val="en_US" w:bidi="en_US"/>
        </w:rPr>
        <w:t>about a stone’s throw</w:t>
      </w:r>
      <w:r>
        <w:rPr>
          <w:lang w:val="en_US" w:bidi="en_US"/>
        </w:rPr>
        <w:t xml:space="preserve"> means “about as far as a man can throw a stone.” This idiom was used here to describe about how far Jesus went from the disciples. It does not imply that someone actually threw a stone.</w:t>
      </w:r>
    </w:p>
    <w:p>
      <w:pPr/>
      <w:r>
        <w:rPr>
          <w:lang w:val="en_US" w:bidi="en_US"/>
        </w:rPr>
      </w:r>
      <w:r>
        <w:rPr>
          <w:lang w:val="en_US" w:bidi="en_US"/>
        </w:rPr>
        <w:t>In some languages a literal translation of this phrase will not be natural. If that is true in your language, use a different phrase to refer to a short distance.</w:t>
      </w:r>
    </w:p>
    <w:p>
      <w:pPr>
        <w:pStyle w:val="Heading5"/>
      </w:pPr>
      <w:r>
        <w:rPr>
          <w:lang w:val="en_US" w:bidi="en_US"/>
        </w:rPr>
        <w:t>22:41b</w:t>
      </w:r>
    </w:p>
    <w:p>
      <w:pPr/>
      <w:r>
        <w:rPr>
          <w:lang w:val="en_US" w:bidi="en_US"/>
        </w:rPr>
      </w:r>
      <w:r>
        <w:rPr>
          <w:b/>
          <w:lang w:val="en_US" w:bidi="en_US"/>
        </w:rPr>
        <w:t>where He knelt down and prayed,</w:t>
      </w:r>
    </w:p>
    <w:p>
      <w:pPr>
        <w:pStyle w:val="ListBullet"/>
        <w:spacing w:line="240" w:lineRule="auto"/>
        <w:ind w:left="720"/>
      </w:pPr>
      <w:r>
        <w:rPr>
          <w:lang w:val="en_US" w:bidi="en_US"/>
        </w:rPr>
      </w:r>
      <w:r>
        <w:rPr>
          <w:lang w:val="en_US" w:bidi="en_US"/>
        </w:rPr>
        <w:t>He kneeled/knelt and prayed, saying,</w:t>
      </w:r>
    </w:p>
    <w:p>
      <w:pPr>
        <w:pStyle w:val="ListBullet"/>
        <w:spacing w:line="240" w:lineRule="auto"/>
        <w:ind w:left="720"/>
      </w:pPr>
      <w:r>
        <w:rPr>
          <w:lang w:val="en_US" w:bidi="en_US"/>
        </w:rPr>
      </w:r>
      <w:r>
        <w:rPr>
          <w:lang w:val="en_US" w:bidi="en_US"/>
        </w:rPr>
        <w:t xml:space="preserve">Then he knelt down and </w:t>
      </w:r>
      <w:r>
        <w:rPr>
          <w:lang w:val="en_US" w:bidi="en_US"/>
        </w:rPr>
        <w:t>humbly</w:t>
      </w:r>
      <w:r>
        <w:rPr>
          <w:lang w:val="en_US" w:bidi="en_US"/>
        </w:rPr>
        <w:t xml:space="preserve"> prayed </w:t>
      </w:r>
      <w:r>
        <w:rPr>
          <w:lang w:val="en_US" w:bidi="en_US"/>
        </w:rPr>
        <w:t>this prayer</w:t>
      </w:r>
      <w:r>
        <w:rPr>
          <w:lang w:val="en_US" w:bidi="en_US"/>
        </w:rPr>
        <w:t xml:space="preserve"> </w:t>
      </w:r>
      <w:r>
        <w:rPr>
          <w:lang w:val="en_US" w:bidi="en_US"/>
        </w:rPr>
        <w:t>to God</w:t>
      </w:r>
      <w:r>
        <w:rPr>
          <w:lang w:val="en_US" w:bidi="en_US"/>
        </w:rPr>
        <w:t>:</w:t>
      </w:r>
    </w:p>
    <w:p>
      <w:pPr/>
      <w:r>
        <w:rPr>
          <w:lang w:val="en_US" w:bidi="en_US"/>
        </w:rPr>
      </w:r>
      <w:r>
        <w:rPr>
          <w:b/>
          <w:lang w:val="en_US" w:bidi="en_US"/>
        </w:rPr>
        <w:t>He knelt down and prayed:</w:t>
      </w:r>
      <w:r>
        <w:rPr>
          <w:lang w:val="en_US" w:bidi="en_US"/>
        </w:rPr>
        <w:t xml:space="preserve"> This clause introduces Jesus’ prayer in 22:42. Other ways to introduce it are:</w:t>
      </w:r>
    </w:p>
    <w:p>
      <w:pPr/>
      <w:r>
        <w:rPr>
          <w:lang w:val="en_US" w:bidi="en_US"/>
        </w:rPr>
      </w:r>
      <w:r>
        <w:rPr>
          <w:lang w:val="en_US" w:bidi="en_US"/>
        </w:rPr>
        <w:t xml:space="preserve">knelt to pray. He said </w:t>
      </w:r>
      <w:r>
        <w:rPr>
          <w:lang w:val="en_US" w:bidi="en_US"/>
        </w:rPr>
        <w:t>to God</w:t>
      </w:r>
      <w:r>
        <w:rPr>
          <w:lang w:val="en_US" w:bidi="en_US"/>
        </w:rPr>
        <w:t>,</w:t>
      </w:r>
    </w:p>
    <w:p>
      <w:pPr/>
      <w:r>
        <w:rPr>
          <w:lang w:val="en_US" w:bidi="en_US"/>
        </w:rPr>
      </w:r>
      <w:r>
        <w:rPr>
          <w:lang w:val="en_US" w:bidi="en_US"/>
        </w:rPr>
        <w:t xml:space="preserve">knelt and prayed </w:t>
      </w:r>
      <w:r>
        <w:rPr>
          <w:lang w:val="en_US" w:bidi="en_US"/>
        </w:rPr>
        <w:t>this prayer</w:t>
      </w:r>
      <w:r>
        <w:rPr>
          <w:lang w:val="en_US" w:bidi="en_US"/>
        </w:rPr>
        <w:t xml:space="preserve"> </w:t>
      </w:r>
      <w:r>
        <w:rPr>
          <w:lang w:val="en_US" w:bidi="en_US"/>
        </w:rPr>
        <w:t>to God</w:t>
      </w:r>
      <w:r>
        <w:rPr>
          <w:lang w:val="en_US" w:bidi="en_US"/>
        </w:rPr>
        <w:t>:</w:t>
      </w:r>
    </w:p>
    <w:p>
      <w:pPr/>
      <w:r>
        <w:rPr>
          <w:lang w:val="en_US" w:bidi="en_US"/>
        </w:rPr>
      </w:r>
      <w:r>
        <w:rPr>
          <w:b/>
          <w:lang w:val="en_US" w:bidi="en_US"/>
        </w:rPr>
        <w:t>He knelt down:</w:t>
      </w:r>
      <w:r>
        <w:rPr>
          <w:lang w:val="en_US" w:bidi="en_US"/>
        </w:rPr>
        <w:t xml:space="preserve"> The Greek phrase that the BSB translates as </w:t>
      </w:r>
      <w:r>
        <w:rPr>
          <w:i/>
          <w:lang w:val="en_US" w:bidi="en_US"/>
        </w:rPr>
        <w:t>He knelt down</w:t>
      </w:r>
      <w:r>
        <w:rPr>
          <w:lang w:val="en_US" w:bidi="en_US"/>
        </w:rPr>
        <w:t xml:space="preserve"> is literally “having placed the knees.” Jesus placed his knees on the ground with his weight on them, and he stayed in that position to pray. Some other ways to translate this are:</w:t>
      </w:r>
    </w:p>
    <w:p>
      <w:pPr/>
      <w:r>
        <w:rPr>
          <w:lang w:val="en_US" w:bidi="en_US"/>
        </w:rPr>
      </w:r>
      <w:r>
        <w:rPr>
          <w:lang w:val="en_US" w:bidi="en_US"/>
        </w:rPr>
        <w:t>kneeled</w:t>
      </w:r>
    </w:p>
    <w:p>
      <w:pPr/>
      <w:r>
        <w:rPr>
          <w:lang w:val="en_US" w:bidi="en_US"/>
        </w:rPr>
      </w:r>
      <w:r>
        <w:rPr>
          <w:lang w:val="en_US" w:bidi="en_US"/>
        </w:rPr>
        <w:t>stood on his knees</w:t>
      </w:r>
      <w:r>
        <w:rPr>
          <w:lang w:val="en_US" w:bidi="en_US"/>
        </w:rPr>
        <w:t>Yakan back translation on TW.</w:t>
      </w:r>
    </w:p>
    <w:p>
      <w:pPr/>
      <w:r>
        <w:rPr>
          <w:lang w:val="en_US" w:bidi="en_US"/>
        </w:rPr>
      </w:r>
      <w:r>
        <w:rPr>
          <w:lang w:val="en_US" w:bidi="en_US"/>
        </w:rPr>
        <w:t xml:space="preserve">It was common for Jewish men to stand when they prayed. Jesus </w:t>
      </w:r>
      <w:r>
        <w:rPr>
          <w:i/>
          <w:lang w:val="en_US" w:bidi="en_US"/>
        </w:rPr>
        <w:t>knelt</w:t>
      </w:r>
      <w:r>
        <w:rPr>
          <w:lang w:val="en_US" w:bidi="en_US"/>
        </w:rPr>
        <w:t>. Kneeling was a way for a person to humble himself. When Jesus knelt, it implied that he was humbling himself before God. It also implies here that the prayer was very serious.</w:t>
      </w:r>
    </w:p>
    <w:p>
      <w:pPr/>
      <w:r>
        <w:rPr>
          <w:lang w:val="en_US" w:bidi="en_US"/>
        </w:rPr>
      </w:r>
      <w:r>
        <w:rPr>
          <w:lang w:val="en_US" w:bidi="en_US"/>
        </w:rPr>
        <w:t>In some languages kneeling may not imply this meaning. If that is true in your language, you may use a different word or phrase that expresses humility in prayer. For example:</w:t>
      </w:r>
    </w:p>
    <w:p>
      <w:pPr/>
      <w:r>
        <w:rPr>
          <w:lang w:val="en_US" w:bidi="en_US"/>
        </w:rPr>
      </w:r>
      <w:r>
        <w:rPr>
          <w:lang w:val="en_US" w:bidi="en_US"/>
        </w:rPr>
        <w:t>bowed down</w:t>
      </w:r>
    </w:p>
    <w:p>
      <w:pPr/>
      <w:r>
        <w:rPr>
          <w:lang w:val="en_US" w:bidi="en_US"/>
        </w:rPr>
      </w:r>
      <w:r>
        <w:rPr>
          <w:lang w:val="en_US" w:bidi="en_US"/>
        </w:rPr>
        <w:t>humbled himself before God</w:t>
      </w:r>
      <w:r>
        <w:rPr>
          <w:lang w:val="en_US" w:bidi="en_US"/>
        </w:rPr>
      </w:r>
      <w:r>
        <w:rPr>
          <w:lang w:val="en_US" w:bidi="en_US"/>
        </w:rPr>
      </w:r>
    </w:p>
    <w:p>
      <w:pPr/>
      <w:r>
        <w:rPr>
          <w:lang w:val="en_US" w:bidi="en_US"/>
        </w:rPr>
      </w:r>
    </w:p>
    <w:p>
      <w:pPr>
        <w:pStyle w:val="Heading2"/>
      </w:pPr>
      <w:r>
        <w:rPr>
          <w:lang w:val="en_US" w:bidi="en_US"/>
        </w:rPr>
        <w:t>Luke 22:42</w:t>
      </w:r>
      <w:r>
        <w:rPr>
          <w:lang w:val="en_US" w:bidi="en_US"/>
        </w:rPr>
      </w:r>
    </w:p>
    <w:p>
      <w:pPr>
        <w:pStyle w:val="Heading4"/>
      </w:pPr>
      <w:r>
        <w:rPr>
          <w:lang w:val="en_US" w:bidi="en_US"/>
        </w:rPr>
        <w:t>Section 22:39–46: Jesus prayed in a garden called Gethsemane</w:t>
      </w:r>
    </w:p>
    <w:p>
      <w:pPr/>
      <w:r>
        <w:rPr>
          <w:lang w:val="en_US" w:bidi="en_US"/>
        </w:rPr>
      </w:r>
      <w:r>
        <w:rPr>
          <w:lang w:val="en_US" w:bidi="en_US"/>
        </w:rPr>
        <w:t>Jesus then went out to the Mount of Olives with his disciples. There he prayed to God about his coming suffering, and there his enemies, whom Judas was leading, arrested him.</w:t>
      </w:r>
    </w:p>
    <w:p>
      <w:pPr/>
      <w:r>
        <w:rPr>
          <w:lang w:val="en_US" w:bidi="en_US"/>
        </w:rPr>
      </w:r>
      <w:r>
        <w:rPr>
          <w:lang w:val="en_US" w:bidi="en_US"/>
        </w:rPr>
        <w:t>Jesus knew that his enemies would soon arrest him. So during this last time that he had with his disciples, he prayed to God and encouraged them to pray to God. He told his disciples to pray that they would not be overcome by temptation. Jesus also prayed that he himself would do what his heavenly Father wanted rather than what he himself wanted.</w:t>
      </w:r>
    </w:p>
    <w:p>
      <w:pPr/>
      <w:r>
        <w:rPr>
          <w:lang w:val="en_US" w:bidi="en_US"/>
        </w:rPr>
      </w:r>
      <w:r>
        <w:rPr>
          <w:lang w:val="en_US" w:bidi="en_US"/>
        </w:rPr>
        <w:t>Other examples of headings for this section are:</w:t>
      </w:r>
    </w:p>
    <w:p>
      <w:pPr/>
      <w:r>
        <w:rPr>
          <w:lang w:val="en_US" w:bidi="en_US"/>
        </w:rPr>
      </w:r>
      <w:r>
        <w:rPr>
          <w:lang w:val="en_US" w:bidi="en_US"/>
        </w:rPr>
        <w:t>Jesus Prays on the Mount of Olives (GNT)</w:t>
      </w:r>
    </w:p>
    <w:p>
      <w:pPr/>
      <w:r>
        <w:rPr>
          <w:lang w:val="en_US" w:bidi="en_US"/>
        </w:rPr>
      </w:r>
      <w:r>
        <w:rPr>
          <w:lang w:val="en_US" w:bidi="en_US"/>
        </w:rPr>
        <w:t>Jesus Prays Alone (NCV)</w:t>
      </w:r>
    </w:p>
    <w:p>
      <w:pPr/>
      <w:r>
        <w:rPr>
          <w:lang w:val="en_US" w:bidi="en_US"/>
        </w:rPr>
      </w:r>
      <w:r>
        <w:rPr>
          <w:lang w:val="en_US" w:bidi="en_US"/>
        </w:rPr>
        <w:t>The Garden of Gethsemane</w:t>
      </w:r>
    </w:p>
    <w:p>
      <w:pPr/>
      <w:r>
        <w:rPr>
          <w:lang w:val="en_US" w:bidi="en_US"/>
        </w:rPr>
      </w:r>
      <w:r>
        <w:rPr>
          <w:lang w:val="en_US" w:bidi="en_US"/>
        </w:rPr>
        <w:t>There are parallel passages for this section in Matthew 26:36–46 and Mark 14:32–42.</w:t>
      </w:r>
    </w:p>
    <w:p>
      <w:pPr>
        <w:pStyle w:val="Heading5"/>
      </w:pPr>
      <w:r>
        <w:rPr>
          <w:lang w:val="en_US" w:bidi="en_US"/>
        </w:rPr>
        <w:t>22:42a</w:t>
      </w:r>
    </w:p>
    <w:p>
      <w:pPr/>
      <w:r>
        <w:rPr>
          <w:lang w:val="en_US" w:bidi="en_US"/>
        </w:rPr>
      </w:r>
      <w:r>
        <w:rPr>
          <w:b/>
          <w:lang w:val="en_US" w:bidi="en_US"/>
        </w:rPr>
        <w:t>“Father, if You are willing,</w:t>
      </w:r>
    </w:p>
    <w:p>
      <w:pPr>
        <w:pStyle w:val="ListBullet"/>
        <w:spacing w:line="240" w:lineRule="auto"/>
        <w:ind w:left="720"/>
      </w:pPr>
      <w:r>
        <w:rPr>
          <w:lang w:val="en_US" w:bidi="en_US"/>
        </w:rPr>
      </w:r>
      <w:r>
        <w:rPr>
          <w:lang w:val="en_US" w:bidi="en_US"/>
        </w:rPr>
        <w:t>“Father, if it is your</w:t>
      </w:r>
      <w:r>
        <w:rPr>
          <w:vertAlign w:val="superscript"/>
          <w:lang w:val="en_US" w:bidi="en_US"/>
        </w:rPr>
        <w:t>(sing)</w:t>
      </w:r>
      <w:r>
        <w:rPr>
          <w:lang w:val="en_US" w:bidi="en_US"/>
        </w:rPr>
        <w:t xml:space="preserve"> will,</w:t>
      </w:r>
    </w:p>
    <w:p>
      <w:pPr>
        <w:pStyle w:val="ListBullet"/>
        <w:spacing w:line="240" w:lineRule="auto"/>
        <w:ind w:left="720"/>
      </w:pPr>
      <w:r>
        <w:rPr>
          <w:lang w:val="en_US" w:bidi="en_US"/>
        </w:rPr>
      </w:r>
      <w:r>
        <w:rPr>
          <w:lang w:val="en_US" w:bidi="en_US"/>
        </w:rPr>
        <w:t>“</w:t>
      </w:r>
      <w:r>
        <w:rPr>
          <w:lang w:val="en_US" w:bidi="en_US"/>
        </w:rPr>
        <w:t>My</w:t>
      </w:r>
      <w:r>
        <w:rPr>
          <w:lang w:val="en_US" w:bidi="en_US"/>
        </w:rPr>
        <w:t xml:space="preserve"> Father, if you</w:t>
      </w:r>
      <w:r>
        <w:rPr>
          <w:vertAlign w:val="superscript"/>
          <w:lang w:val="en_US" w:bidi="en_US"/>
        </w:rPr>
        <w:t>(sing)</w:t>
      </w:r>
      <w:r>
        <w:rPr>
          <w:lang w:val="en_US" w:bidi="en_US"/>
        </w:rPr>
        <w:t xml:space="preserve"> decide </w:t>
      </w:r>
      <w:r>
        <w:rPr>
          <w:lang w:val="en_US" w:bidi="en_US"/>
        </w:rPr>
        <w:t>that it is good/right</w:t>
      </w:r>
      <w:r>
        <w:rPr>
          <w:lang w:val="en_US" w:bidi="en_US"/>
        </w:rPr>
        <w:t>,</w:t>
      </w:r>
    </w:p>
    <w:p>
      <w:pPr/>
      <w:r>
        <w:rPr>
          <w:lang w:val="en_US" w:bidi="en_US"/>
        </w:rPr>
      </w:r>
      <w:r>
        <w:rPr>
          <w:lang w:val="en_US" w:bidi="en_US"/>
        </w:rPr>
        <w:t>In Greek this verse begins with another verb of speech that versions such as the NASB translate as “saying.” It introduces the words of Jesus’ prayer. In some languages a verb of speech is not necessary here. Introduce the prayer in a natural way in your language.</w:t>
      </w:r>
    </w:p>
    <w:p>
      <w:pPr/>
      <w:r>
        <w:rPr>
          <w:lang w:val="en_US" w:bidi="en_US"/>
        </w:rPr>
      </w:r>
      <w:r>
        <w:rPr>
          <w:b/>
          <w:lang w:val="en_US" w:bidi="en_US"/>
        </w:rPr>
        <w:t>Father:</w:t>
      </w:r>
      <w:r>
        <w:rPr>
          <w:lang w:val="en_US" w:bidi="en_US"/>
        </w:rPr>
        <w:t xml:space="preserve"> Jesus addressed God as his father at the beginning of his prayer. In some languages there may be a special form of address that is used to introduce a prayer. For example:</w:t>
      </w:r>
    </w:p>
    <w:p>
      <w:pPr/>
      <w:r>
        <w:rPr>
          <w:lang w:val="en_US" w:bidi="en_US"/>
        </w:rPr>
      </w:r>
      <w:r>
        <w:rPr>
          <w:lang w:val="en_US" w:bidi="en_US"/>
        </w:rPr>
        <w:t>O Father</w:t>
      </w:r>
    </w:p>
    <w:p>
      <w:pPr/>
      <w:r>
        <w:rPr>
          <w:lang w:val="en_US" w:bidi="en_US"/>
        </w:rPr>
      </w:r>
      <w:r>
        <w:rPr>
          <w:lang w:val="en_US" w:bidi="en_US"/>
        </w:rPr>
        <w:t>In some languages a word like “father” must specify whose father is referred to. For example:</w:t>
      </w:r>
    </w:p>
    <w:p>
      <w:pPr/>
      <w:r>
        <w:rPr>
          <w:lang w:val="en_US" w:bidi="en_US"/>
        </w:rPr>
      </w:r>
      <w:r>
        <w:rPr>
          <w:lang w:val="en_US" w:bidi="en_US"/>
        </w:rPr>
        <w:t>My Father</w:t>
      </w:r>
    </w:p>
    <w:p>
      <w:pPr/>
      <w:r>
        <w:rPr>
          <w:lang w:val="en_US" w:bidi="en_US"/>
        </w:rPr>
      </w:r>
      <w:r>
        <w:rPr>
          <w:lang w:val="en_US" w:bidi="en_US"/>
        </w:rPr>
        <w:t xml:space="preserve">Jesus also addressed God as </w:t>
      </w:r>
      <w:r>
        <w:rPr>
          <w:i/>
          <w:lang w:val="en_US" w:bidi="en_US"/>
        </w:rPr>
        <w:t>Father</w:t>
      </w:r>
      <w:r>
        <w:rPr>
          <w:lang w:val="en_US" w:bidi="en_US"/>
        </w:rPr>
        <w:t xml:space="preserve"> in the prayer in 10:21. Refer to how you translated that prayer.</w:t>
      </w:r>
    </w:p>
    <w:p>
      <w:pPr/>
      <w:r>
        <w:rPr>
          <w:lang w:val="en_US" w:bidi="en_US"/>
        </w:rPr>
      </w:r>
      <w:r>
        <w:rPr>
          <w:b/>
          <w:lang w:val="en_US" w:bidi="en_US"/>
        </w:rPr>
        <w:t>if You are willing:</w:t>
      </w:r>
      <w:r>
        <w:rPr>
          <w:lang w:val="en_US" w:bidi="en_US"/>
        </w:rPr>
        <w:t xml:space="preserve"> The Greek clause that the BSB translates as </w:t>
      </w:r>
      <w:r>
        <w:rPr>
          <w:i/>
          <w:lang w:val="en_US" w:bidi="en_US"/>
        </w:rPr>
        <w:t>if You are willing</w:t>
      </w:r>
      <w:r>
        <w:rPr>
          <w:lang w:val="en_US" w:bidi="en_US"/>
        </w:rPr>
        <w:t xml:space="preserve"> is a limit or condition for Jesus’ prayer. It implies that Jesus will accept whatever God decides. It also implies that God decides what should happen. Other Scriptures indicate that God had already decided that Jesus must suffer and die to save the world from sin. Jesus was about to pray that he would escape that suffering and death.</w:t>
      </w:r>
    </w:p>
    <w:p>
      <w:pPr/>
      <w:r>
        <w:rPr>
          <w:lang w:val="en_US" w:bidi="en_US"/>
        </w:rPr>
      </w:r>
      <w:r>
        <w:rPr>
          <w:lang w:val="en_US" w:bidi="en_US"/>
        </w:rPr>
        <w:t xml:space="preserve">Some other ways to translate </w:t>
      </w:r>
      <w:r>
        <w:rPr>
          <w:i/>
          <w:lang w:val="en_US" w:bidi="en_US"/>
        </w:rPr>
        <w:t>if You are willing</w:t>
      </w:r>
      <w:r>
        <w:rPr>
          <w:lang w:val="en_US" w:bidi="en_US"/>
        </w:rPr>
        <w:t xml:space="preserve"> are:</w:t>
      </w:r>
    </w:p>
    <w:p>
      <w:pPr/>
      <w:r>
        <w:rPr>
          <w:lang w:val="en_US" w:bidi="en_US"/>
        </w:rPr>
      </w:r>
      <w:r>
        <w:rPr>
          <w:lang w:val="en_US" w:bidi="en_US"/>
        </w:rPr>
        <w:t>if you agree/approve</w:t>
      </w:r>
    </w:p>
    <w:p>
      <w:pPr/>
      <w:r>
        <w:rPr>
          <w:lang w:val="en_US" w:bidi="en_US"/>
        </w:rPr>
      </w:r>
      <w:r>
        <w:rPr>
          <w:lang w:val="en_US" w:bidi="en_US"/>
        </w:rPr>
        <w:t>if it is your will (GW)</w:t>
      </w:r>
    </w:p>
    <w:p>
      <w:pPr/>
      <w:r>
        <w:rPr>
          <w:lang w:val="en_US" w:bidi="en_US"/>
        </w:rPr>
      </w:r>
      <w:r>
        <w:rPr>
          <w:lang w:val="en_US" w:bidi="en_US"/>
        </w:rPr>
        <w:t>if it agrees with your purpose/decision</w:t>
      </w:r>
    </w:p>
    <w:p>
      <w:pPr/>
      <w:r>
        <w:rPr>
          <w:lang w:val="en_US" w:bidi="en_US"/>
        </w:rPr>
      </w:r>
      <w:r>
        <w:rPr>
          <w:lang w:val="en_US" w:bidi="en_US"/>
        </w:rPr>
        <w:t xml:space="preserve">if you decide </w:t>
      </w:r>
      <w:r>
        <w:rPr>
          <w:lang w:val="en_US" w:bidi="en_US"/>
        </w:rPr>
        <w:t>that it is good/right</w:t>
      </w:r>
    </w:p>
    <w:p>
      <w:pPr>
        <w:pStyle w:val="Heading5"/>
      </w:pPr>
      <w:r>
        <w:rPr>
          <w:lang w:val="en_US" w:bidi="en_US"/>
        </w:rPr>
        <w:t>22:42b</w:t>
      </w:r>
    </w:p>
    <w:p>
      <w:pPr/>
      <w:r>
        <w:rPr>
          <w:lang w:val="en_US" w:bidi="en_US"/>
        </w:rPr>
      </w:r>
      <w:r>
        <w:rPr>
          <w:b/>
          <w:lang w:val="en_US" w:bidi="en_US"/>
        </w:rPr>
        <w:t>take this cup from Me.</w:t>
      </w:r>
    </w:p>
    <w:p>
      <w:pPr>
        <w:pStyle w:val="ListBullet"/>
        <w:spacing w:line="240" w:lineRule="auto"/>
        <w:ind w:left="720"/>
      </w:pPr>
      <w:r>
        <w:rPr>
          <w:lang w:val="en_US" w:bidi="en_US"/>
        </w:rPr>
      </w:r>
      <w:r>
        <w:rPr>
          <w:lang w:val="en_US" w:bidi="en_US"/>
        </w:rPr>
        <w:t xml:space="preserve">take away from me this cup </w:t>
      </w:r>
      <w:r>
        <w:rPr>
          <w:lang w:val="en_US" w:bidi="en_US"/>
        </w:rPr>
        <w:t>of suffering</w:t>
      </w:r>
      <w:r>
        <w:rPr>
          <w:lang w:val="en_US" w:bidi="en_US"/>
        </w:rPr>
        <w:t>.</w:t>
      </w:r>
    </w:p>
    <w:p>
      <w:pPr>
        <w:pStyle w:val="ListBullet"/>
        <w:spacing w:line="240" w:lineRule="auto"/>
        <w:ind w:left="720"/>
      </w:pPr>
      <w:r>
        <w:rPr>
          <w:lang w:val="en_US" w:bidi="en_US"/>
        </w:rPr>
      </w:r>
      <w:r>
        <w:rPr>
          <w:lang w:val="en_US" w:bidi="en_US"/>
        </w:rPr>
        <w:t>please</w:t>
      </w:r>
      <w:r>
        <w:rPr>
          <w:lang w:val="en_US" w:bidi="en_US"/>
        </w:rPr>
        <w:t xml:space="preserve"> save me from the torment that </w:t>
      </w:r>
      <w:r>
        <w:rPr>
          <w:lang w:val="en_US" w:bidi="en_US"/>
        </w:rPr>
        <w:t>otherwise</w:t>
      </w:r>
      <w:r>
        <w:rPr>
          <w:lang w:val="en_US" w:bidi="en_US"/>
        </w:rPr>
        <w:t xml:space="preserve"> </w:t>
      </w:r>
      <w:r>
        <w:rPr>
          <w:lang w:val="en_US" w:bidi="en_US"/>
        </w:rPr>
        <w:t>I will endure</w:t>
      </w:r>
      <w:r>
        <w:rPr>
          <w:lang w:val="en_US" w:bidi="en_US"/>
        </w:rPr>
        <w:t>.</w:t>
      </w:r>
    </w:p>
    <w:p>
      <w:pPr/>
      <w:r>
        <w:rPr>
          <w:lang w:val="en_US" w:bidi="en_US"/>
        </w:rPr>
      </w:r>
      <w:r>
        <w:rPr>
          <w:b/>
          <w:lang w:val="en_US" w:bidi="en_US"/>
        </w:rPr>
        <w:t>take this cup from Me:</w:t>
      </w:r>
      <w:r>
        <w:rPr>
          <w:lang w:val="en_US" w:bidi="en_US"/>
        </w:rPr>
        <w:t xml:space="preserve"> The Greek word that the BSB translates literally as </w:t>
      </w:r>
      <w:r>
        <w:rPr>
          <w:i/>
          <w:lang w:val="en_US" w:bidi="en_US"/>
        </w:rPr>
        <w:t>cup</w:t>
      </w:r>
      <w:r>
        <w:rPr>
          <w:lang w:val="en_US" w:bidi="en_US"/>
        </w:rPr>
        <w:t xml:space="preserve"> is a figure of speech. It refers to the suffering that Jesus was about to endure, especially as he died on the cross. Jesus was asking God to rescue him from that suffering. If your readers would not understand this, some other ways to translate it are:</w:t>
      </w:r>
    </w:p>
    <w:p>
      <w:pPr>
        <w:pStyle w:val="ListBullet"/>
        <w:spacing w:line="240" w:lineRule="auto"/>
        <w:ind w:left="720"/>
      </w:pPr>
      <w:r>
        <w:rPr>
          <w:lang w:val="en_US" w:bidi="en_US"/>
        </w:rPr>
      </w:r>
      <w:r>
        <w:rPr>
          <w:lang w:val="en_US" w:bidi="en_US"/>
        </w:rPr>
        <w:t>Translate the figure of speech and indicate that it refers to suffering. For example:</w:t>
      </w:r>
      <w:r>
        <w:rPr>
          <w:lang w:val="en_US" w:bidi="en_US"/>
        </w:rPr>
        <w:t>please take this cup of suffering away from me (NLT)</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save/spare me from the suffering that otherwise I will suffer</w:t>
      </w:r>
      <w:r>
        <w:rPr>
          <w:lang w:val="en_US" w:bidi="en_US"/>
        </w:rPr>
        <w:t>allow me to escape/avoid the torment that I must soon endure</w:t>
      </w:r>
    </w:p>
    <w:p>
      <w:pPr>
        <w:pStyle w:val="ListBullet"/>
        <w:spacing w:line="240" w:lineRule="auto"/>
        <w:ind w:left="720"/>
      </w:pPr>
      <w:r>
        <w:rPr>
          <w:lang w:val="en_US" w:bidi="en_US"/>
        </w:rPr>
      </w:r>
      <w:r>
        <w:rPr>
          <w:lang w:val="en_US" w:bidi="en_US"/>
        </w:rPr>
        <w:t>Use a different figure of speech that has the same meaning in your language. For example:</w:t>
      </w:r>
      <w:r>
        <w:rPr>
          <w:lang w:val="en_US" w:bidi="en_US"/>
        </w:rPr>
        <w:t>please remove from my path this suffering that is almost striking me</w:t>
      </w:r>
      <w:r>
        <w:rPr>
          <w:lang w:val="en_US" w:bidi="en_US"/>
        </w:rPr>
        <w:t>Uma back translation on TW.</w:t>
      </w:r>
    </w:p>
    <w:p>
      <w:pPr/>
      <w:r>
        <w:rPr>
          <w:lang w:val="en_US" w:bidi="en_US"/>
        </w:rPr>
      </w:r>
      <w:r>
        <w:rPr>
          <w:lang w:val="en_US" w:bidi="en_US"/>
        </w:rPr>
        <w:t>Translate this prayer in a meaningful way in your language. Since it is a humble prayer, express it in a respectful way in your language.</w:t>
      </w:r>
    </w:p>
    <w:p>
      <w:pPr>
        <w:pStyle w:val="Heading5"/>
      </w:pPr>
      <w:r>
        <w:rPr>
          <w:lang w:val="en_US" w:bidi="en_US"/>
        </w:rPr>
        <w:t>22:42c</w:t>
      </w:r>
    </w:p>
    <w:p>
      <w:pPr/>
      <w:r>
        <w:rPr>
          <w:lang w:val="en_US" w:bidi="en_US"/>
        </w:rPr>
      </w:r>
      <w:r>
        <w:rPr>
          <w:b/>
          <w:lang w:val="en_US" w:bidi="en_US"/>
        </w:rPr>
        <w:t>Yet not My will, but Yours be done.”</w:t>
      </w:r>
    </w:p>
    <w:p>
      <w:pPr>
        <w:pStyle w:val="ListBullet"/>
        <w:spacing w:line="240" w:lineRule="auto"/>
        <w:ind w:left="720"/>
      </w:pPr>
      <w:r>
        <w:rPr>
          <w:lang w:val="en_US" w:bidi="en_US"/>
        </w:rPr>
      </w:r>
      <w:r>
        <w:rPr>
          <w:lang w:val="en_US" w:bidi="en_US"/>
        </w:rPr>
        <w:t>But please do</w:t>
      </w:r>
      <w:r>
        <w:rPr>
          <w:vertAlign w:val="superscript"/>
          <w:lang w:val="en_US" w:bidi="en_US"/>
        </w:rPr>
        <w:t>(sing)</w:t>
      </w:r>
      <w:r>
        <w:rPr>
          <w:lang w:val="en_US" w:bidi="en_US"/>
        </w:rPr>
        <w:t xml:space="preserve"> not do what I want/desire. Do what you want/desire.”</w:t>
      </w:r>
    </w:p>
    <w:p>
      <w:pPr>
        <w:pStyle w:val="ListBullet"/>
        <w:spacing w:line="240" w:lineRule="auto"/>
        <w:ind w:left="720"/>
      </w:pPr>
      <w:r>
        <w:rPr>
          <w:lang w:val="en_US" w:bidi="en_US"/>
        </w:rPr>
      </w:r>
      <w:r>
        <w:rPr>
          <w:lang w:val="en_US" w:bidi="en_US"/>
        </w:rPr>
        <w:t>However, do</w:t>
      </w:r>
      <w:r>
        <w:rPr>
          <w:vertAlign w:val="superscript"/>
          <w:lang w:val="en_US" w:bidi="en_US"/>
        </w:rPr>
        <w:t>(sing)</w:t>
      </w:r>
      <w:r>
        <w:rPr>
          <w:lang w:val="en_US" w:bidi="en_US"/>
        </w:rPr>
        <w:t xml:space="preserve"> what you want </w:t>
      </w:r>
      <w:r>
        <w:rPr>
          <w:lang w:val="en_US" w:bidi="en_US"/>
        </w:rPr>
        <w:t>to do about this</w:t>
      </w:r>
      <w:r>
        <w:rPr>
          <w:lang w:val="en_US" w:bidi="en_US"/>
        </w:rPr>
        <w:t xml:space="preserve">. </w:t>
      </w:r>
      <w:r>
        <w:rPr>
          <w:lang w:val="en_US" w:bidi="en_US"/>
        </w:rPr>
        <w:t>If you do not want to do</w:t>
      </w:r>
      <w:r>
        <w:rPr>
          <w:lang w:val="en_US" w:bidi="en_US"/>
        </w:rPr>
        <w:t xml:space="preserve"> what I requested, do not do it.”</w:t>
      </w:r>
    </w:p>
    <w:p>
      <w:pPr/>
      <w:r>
        <w:rPr>
          <w:lang w:val="en_US" w:bidi="en_US"/>
        </w:rPr>
      </w:r>
      <w:r>
        <w:rPr>
          <w:b/>
          <w:lang w:val="en_US" w:bidi="en_US"/>
        </w:rPr>
        <w:t>Yet:</w:t>
      </w:r>
      <w:r>
        <w:rPr>
          <w:lang w:val="en_US" w:bidi="en_US"/>
        </w:rPr>
        <w:t xml:space="preserve"> The Greek conjunction that the BSB translates as </w:t>
      </w:r>
      <w:r>
        <w:rPr>
          <w:i/>
          <w:lang w:val="en_US" w:bidi="en_US"/>
        </w:rPr>
        <w:t>Yet</w:t>
      </w:r>
      <w:r>
        <w:rPr>
          <w:lang w:val="en_US" w:bidi="en_US"/>
        </w:rPr>
        <w:t xml:space="preserve"> introduces a limit or condition that Jesus added to his request. It is very similar to the limiting condition in 22:42a. Jesus asked in 22:42b to be saved from suffering, but he did not want God to save him from it if that was not God’s will.</w:t>
      </w:r>
    </w:p>
    <w:p>
      <w:pPr/>
      <w:r>
        <w:rPr>
          <w:lang w:val="en_US" w:bidi="en_US"/>
        </w:rPr>
      </w:r>
      <w:r>
        <w:rPr>
          <w:lang w:val="en_US" w:bidi="en_US"/>
        </w:rPr>
        <w:t>Some other ways to introduce this limit to his prayer are:</w:t>
      </w:r>
    </w:p>
    <w:p>
      <w:pPr/>
      <w:r>
        <w:rPr>
          <w:lang w:val="en_US" w:bidi="en_US"/>
        </w:rPr>
      </w:r>
      <w:r>
        <w:rPr>
          <w:lang w:val="en_US" w:bidi="en_US"/>
        </w:rPr>
        <w:t>but if what I ask is not what you want/plan</w:t>
      </w:r>
    </w:p>
    <w:p>
      <w:pPr/>
      <w:r>
        <w:rPr>
          <w:lang w:val="en_US" w:bidi="en_US"/>
        </w:rPr>
      </w:r>
      <w:r>
        <w:rPr>
          <w:lang w:val="en_US" w:bidi="en_US"/>
        </w:rPr>
        <w:t>even though I have prayed this</w:t>
      </w:r>
    </w:p>
    <w:p>
      <w:pPr/>
      <w:r>
        <w:rPr>
          <w:lang w:val="en_US" w:bidi="en_US"/>
        </w:rPr>
      </w:r>
      <w:r>
        <w:rPr>
          <w:lang w:val="en_US" w:bidi="en_US"/>
        </w:rPr>
        <w:t>However (GW)</w:t>
      </w:r>
    </w:p>
    <w:p>
      <w:pPr/>
      <w:r>
        <w:rPr>
          <w:lang w:val="en_US" w:bidi="en_US"/>
        </w:rPr>
      </w:r>
      <w:r>
        <w:rPr>
          <w:lang w:val="en_US" w:bidi="en_US"/>
        </w:rPr>
        <w:t>But if You want Me to go through it (TRT)</w:t>
      </w:r>
    </w:p>
    <w:p>
      <w:pPr/>
      <w:r>
        <w:rPr>
          <w:lang w:val="en_US" w:bidi="en_US"/>
        </w:rPr>
      </w:r>
      <w:r>
        <w:rPr>
          <w:b/>
          <w:lang w:val="en_US" w:bidi="en_US"/>
        </w:rPr>
        <w:t>not My will, but Yours be done:</w:t>
      </w:r>
      <w:r>
        <w:rPr>
          <w:lang w:val="en_US" w:bidi="en_US"/>
        </w:rPr>
        <w:t xml:space="preserve"> This clause means “</w:t>
      </w:r>
      <w:r>
        <w:rPr>
          <w:lang w:val="en_US" w:bidi="en_US"/>
        </w:rPr>
        <w:t>It is</w:t>
      </w:r>
      <w:r>
        <w:rPr>
          <w:lang w:val="en_US" w:bidi="en_US"/>
        </w:rPr>
        <w:t xml:space="preserve"> not My will </w:t>
      </w:r>
      <w:r>
        <w:rPr>
          <w:lang w:val="en_US" w:bidi="en_US"/>
        </w:rPr>
        <w:t>that should happen</w:t>
      </w:r>
      <w:r>
        <w:rPr>
          <w:lang w:val="en_US" w:bidi="en_US"/>
        </w:rPr>
        <w:t xml:space="preserve">, but Your </w:t>
      </w:r>
      <w:r>
        <w:rPr>
          <w:lang w:val="en_US" w:bidi="en_US"/>
        </w:rPr>
        <w:t>will</w:t>
      </w:r>
      <w:r>
        <w:rPr>
          <w:lang w:val="en_US" w:bidi="en_US"/>
        </w:rPr>
        <w:t xml:space="preserve"> should happen.” It indicates that Jesus accepted whatever his Father wanted to happen to him. Another way to translate the clause is:</w:t>
      </w:r>
    </w:p>
    <w:p>
      <w:pPr/>
      <w:r>
        <w:rPr>
          <w:lang w:val="en_US" w:bidi="en_US"/>
        </w:rPr>
      </w:r>
      <w:r>
        <w:rPr>
          <w:lang w:val="en_US" w:bidi="en_US"/>
        </w:rPr>
        <w:t>what I want should not be followed but what You want</w:t>
      </w:r>
      <w:r>
        <w:rPr>
          <w:lang w:val="en_US" w:bidi="en_US"/>
        </w:rPr>
        <w:t>Western Bukidnon Manobo back translation on TW.</w:t>
      </w:r>
    </w:p>
    <w:p>
      <w:pPr/>
      <w:r>
        <w:rPr>
          <w:lang w:val="en_US" w:bidi="en_US"/>
        </w:rPr>
      </w:r>
      <w:r>
        <w:rPr>
          <w:lang w:val="en_US" w:bidi="en_US"/>
        </w:rPr>
        <w:t>In some languages it may be more natural to change the order of phrases in this clause so that God’s will is mentioned first. For example:</w:t>
      </w:r>
    </w:p>
    <w:p>
      <w:pPr/>
      <w:r>
        <w:rPr>
          <w:lang w:val="en_US" w:bidi="en_US"/>
        </w:rPr>
      </w:r>
      <w:r>
        <w:rPr>
          <w:lang w:val="en_US" w:bidi="en_US"/>
        </w:rPr>
        <w:t>…your will must be done, not mine. (GW)</w:t>
      </w:r>
    </w:p>
    <w:p>
      <w:pPr/>
      <w:r>
        <w:rPr>
          <w:lang w:val="en_US" w:bidi="en_US"/>
        </w:rPr>
      </w:r>
      <w:r>
        <w:rPr>
          <w:lang w:val="en_US" w:bidi="en_US"/>
        </w:rPr>
        <w:t>I want your will, not mine.</w:t>
      </w:r>
    </w:p>
    <w:p>
      <w:pPr/>
      <w:r>
        <w:rPr>
          <w:lang w:val="en_US" w:bidi="en_US"/>
        </w:rPr>
      </w:r>
      <w:r>
        <w:rPr>
          <w:lang w:val="en_US" w:bidi="en_US"/>
        </w:rPr>
        <w:t>In some languages it may be more natural to translate the clause without using a passive verb. For example:</w:t>
      </w:r>
    </w:p>
    <w:p>
      <w:pPr/>
      <w:r>
        <w:rPr>
          <w:lang w:val="en_US" w:bidi="en_US"/>
        </w:rPr>
      </w:r>
      <w:r>
        <w:rPr>
          <w:lang w:val="en_US" w:bidi="en_US"/>
        </w:rPr>
        <w:t>do what you want, and not what I want (CEV)</w:t>
      </w:r>
    </w:p>
    <w:p>
      <w:pPr/>
      <w:r>
        <w:rPr>
          <w:lang w:val="en_US" w:bidi="en_US"/>
        </w:rPr>
      </w:r>
      <w:r>
        <w:rPr>
          <w:b/>
          <w:lang w:val="en_US" w:bidi="en_US"/>
        </w:rPr>
        <w:t>My will:</w:t>
      </w:r>
      <w:r>
        <w:rPr>
          <w:lang w:val="en_US" w:bidi="en_US"/>
        </w:rPr>
        <w:t xml:space="preserve"> The Greek word that the BSB translates as </w:t>
      </w:r>
      <w:r>
        <w:rPr>
          <w:i/>
          <w:lang w:val="en_US" w:bidi="en_US"/>
        </w:rPr>
        <w:t>will</w:t>
      </w:r>
      <w:r>
        <w:rPr>
          <w:lang w:val="en_US" w:bidi="en_US"/>
        </w:rPr>
        <w:t xml:space="preserve"> here refers to what someone wants to happen. It is based on a different verb from the word that the BSB translates as “willing” in 22:42a. The phrase </w:t>
      </w:r>
      <w:r>
        <w:rPr>
          <w:i/>
          <w:lang w:val="en_US" w:bidi="en_US"/>
        </w:rPr>
        <w:t>My will</w:t>
      </w:r>
      <w:r>
        <w:rPr>
          <w:lang w:val="en_US" w:bidi="en_US"/>
        </w:rPr>
        <w:t xml:space="preserve"> refers to what Jesus wanted to happen in the situation that he prayed about.</w:t>
      </w:r>
    </w:p>
    <w:p>
      <w:pPr/>
      <w:r>
        <w:rPr>
          <w:lang w:val="en_US" w:bidi="en_US"/>
        </w:rPr>
      </w:r>
      <w:r>
        <w:rPr>
          <w:b/>
          <w:lang w:val="en_US" w:bidi="en_US"/>
        </w:rPr>
        <w:t>but Yours:</w:t>
      </w:r>
      <w:r>
        <w:rPr>
          <w:lang w:val="en_US" w:bidi="en_US"/>
        </w:rPr>
        <w:t xml:space="preserve"> The Greek conjunction that the BSB translates as </w:t>
      </w:r>
      <w:r>
        <w:rPr>
          <w:i/>
          <w:lang w:val="en_US" w:bidi="en_US"/>
        </w:rPr>
        <w:t>but</w:t>
      </w:r>
      <w:r>
        <w:rPr>
          <w:lang w:val="en_US" w:bidi="en_US"/>
        </w:rPr>
        <w:t xml:space="preserve"> indicates a contrast between two choices. In this context Jesus had to choose either what he wanted to happen or what God wanted to happen. The word </w:t>
      </w:r>
      <w:r>
        <w:rPr>
          <w:i/>
          <w:lang w:val="en_US" w:bidi="en_US"/>
        </w:rPr>
        <w:t>Yours</w:t>
      </w:r>
      <w:r>
        <w:rPr>
          <w:lang w:val="en_US" w:bidi="en_US"/>
        </w:rPr>
        <w:t xml:space="preserve"> refers to what God wanted to happen, and that is what Jesus chose.</w:t>
      </w:r>
      <w:r>
        <w:rPr>
          <w:lang w:val="en_US" w:bidi="en_US"/>
        </w:rPr>
      </w:r>
      <w:r>
        <w:rPr>
          <w:lang w:val="en_US" w:bidi="en_US"/>
        </w:rPr>
      </w:r>
    </w:p>
    <w:p>
      <w:pPr/>
      <w:r>
        <w:rPr>
          <w:lang w:val="en_US" w:bidi="en_US"/>
        </w:rPr>
      </w:r>
    </w:p>
    <w:p>
      <w:pPr>
        <w:pStyle w:val="Heading2"/>
      </w:pPr>
      <w:r>
        <w:rPr>
          <w:lang w:val="en_US" w:bidi="en_US"/>
        </w:rPr>
        <w:t>Luke 22:43</w:t>
      </w:r>
      <w:r>
        <w:rPr>
          <w:lang w:val="en_US" w:bidi="en_US"/>
        </w:rPr>
      </w:r>
    </w:p>
    <w:p>
      <w:pPr>
        <w:pStyle w:val="Heading4"/>
      </w:pPr>
      <w:r>
        <w:rPr>
          <w:lang w:val="en_US" w:bidi="en_US"/>
        </w:rPr>
        <w:t>Section 22:39–46: Jesus prayed in a garden called Gethsemane</w:t>
      </w:r>
    </w:p>
    <w:p>
      <w:pPr/>
      <w:r>
        <w:rPr>
          <w:lang w:val="en_US" w:bidi="en_US"/>
        </w:rPr>
      </w:r>
      <w:r>
        <w:rPr>
          <w:lang w:val="en_US" w:bidi="en_US"/>
        </w:rPr>
        <w:t>Jesus then went out to the Mount of Olives with his disciples. There he prayed to God about his coming suffering, and there his enemies, whom Judas was leading, arrested him.</w:t>
      </w:r>
    </w:p>
    <w:p>
      <w:pPr/>
      <w:r>
        <w:rPr>
          <w:lang w:val="en_US" w:bidi="en_US"/>
        </w:rPr>
      </w:r>
      <w:r>
        <w:rPr>
          <w:lang w:val="en_US" w:bidi="en_US"/>
        </w:rPr>
        <w:t>Jesus knew that his enemies would soon arrest him. So during this last time that he had with his disciples, he prayed to God and encouraged them to pray to God. He told his disciples to pray that they would not be overcome by temptation. Jesus also prayed that he himself would do what his heavenly Father wanted rather than what he himself wanted.</w:t>
      </w:r>
    </w:p>
    <w:p>
      <w:pPr/>
      <w:r>
        <w:rPr>
          <w:lang w:val="en_US" w:bidi="en_US"/>
        </w:rPr>
      </w:r>
      <w:r>
        <w:rPr>
          <w:lang w:val="en_US" w:bidi="en_US"/>
        </w:rPr>
        <w:t>Other examples of headings for this section are:</w:t>
      </w:r>
    </w:p>
    <w:p>
      <w:pPr/>
      <w:r>
        <w:rPr>
          <w:lang w:val="en_US" w:bidi="en_US"/>
        </w:rPr>
      </w:r>
      <w:r>
        <w:rPr>
          <w:lang w:val="en_US" w:bidi="en_US"/>
        </w:rPr>
        <w:t>Jesus Prays on the Mount of Olives (GNT)</w:t>
      </w:r>
    </w:p>
    <w:p>
      <w:pPr/>
      <w:r>
        <w:rPr>
          <w:lang w:val="en_US" w:bidi="en_US"/>
        </w:rPr>
      </w:r>
      <w:r>
        <w:rPr>
          <w:lang w:val="en_US" w:bidi="en_US"/>
        </w:rPr>
        <w:t>Jesus Prays Alone (NCV)</w:t>
      </w:r>
    </w:p>
    <w:p>
      <w:pPr/>
      <w:r>
        <w:rPr>
          <w:lang w:val="en_US" w:bidi="en_US"/>
        </w:rPr>
      </w:r>
      <w:r>
        <w:rPr>
          <w:lang w:val="en_US" w:bidi="en_US"/>
        </w:rPr>
        <w:t>The Garden of Gethsemane</w:t>
      </w:r>
    </w:p>
    <w:p>
      <w:pPr/>
      <w:r>
        <w:rPr>
          <w:lang w:val="en_US" w:bidi="en_US"/>
        </w:rPr>
      </w:r>
      <w:r>
        <w:rPr>
          <w:lang w:val="en_US" w:bidi="en_US"/>
        </w:rPr>
        <w:t>There are parallel passages for this section in Matthew 26:36–46 and Mark 14:32–42.</w:t>
      </w:r>
    </w:p>
    <w:p>
      <w:pPr>
        <w:pStyle w:val="Heading5"/>
      </w:pPr>
      <w:r>
        <w:rPr>
          <w:lang w:val="en_US" w:bidi="en_US"/>
        </w:rPr>
        <w:t>22:43–44</w:t>
      </w:r>
    </w:p>
    <w:p>
      <w:pPr/>
      <w:r>
        <w:rPr>
          <w:lang w:val="en_US" w:bidi="en_US"/>
        </w:rPr>
      </w:r>
      <w:r>
        <w:rPr>
          <w:lang w:val="en_US" w:bidi="en_US"/>
        </w:rPr>
        <w:t>There is a textual issue here. Some early Greek manuscripts do not include the words in 22:43–44. Scholars disagree about whether they should be included in a translation:</w:t>
      </w:r>
    </w:p>
    <w:p>
      <w:pPr>
        <w:pStyle w:val="ListNumber"/>
        <w:numPr>
          <w:ilvl w:val="0"/>
          <w:numId w:val="357"/>
        </w:numPr>
        <w:spacing w:line="240" w:lineRule="auto"/>
        <w:ind w:left="720"/>
      </w:pPr>
      <w:r>
        <w:rPr>
          <w:lang w:val="en_US" w:bidi="en_US"/>
        </w:rPr>
      </w:r>
      <w:r>
        <w:rPr>
          <w:lang w:val="en_US" w:bidi="en_US"/>
        </w:rPr>
        <w:t xml:space="preserve">These verses were in the original text and should be included. </w:t>
      </w:r>
      <w:r>
        <w:rPr>
          <w:i/>
          <w:lang w:val="en_US" w:bidi="en_US"/>
        </w:rPr>
        <w:t>(BSB, NIV, KJV, NASB, NJB, REB, GW, GNT, NLT, NCV, CEV, ESV, JBP. The NET and NRSV include them in square brackets.)</w:t>
      </w:r>
    </w:p>
    <w:p>
      <w:pPr>
        <w:pStyle w:val="ListNumber"/>
        <w:spacing w:line="240" w:lineRule="auto"/>
        <w:ind w:left="720"/>
      </w:pPr>
      <w:r>
        <w:rPr>
          <w:lang w:val="en_US" w:bidi="en_US"/>
        </w:rPr>
      </w:r>
      <w:r>
        <w:rPr>
          <w:lang w:val="en_US" w:bidi="en_US"/>
        </w:rPr>
        <w:t xml:space="preserve">These verses were not in the original text and should not be included. </w:t>
      </w:r>
      <w:r>
        <w:rPr>
          <w:i/>
          <w:lang w:val="en_US" w:bidi="en_US"/>
        </w:rPr>
        <w:t>(RSV)</w:t>
      </w:r>
    </w:p>
    <w:p>
      <w:pPr/>
      <w:r>
        <w:rPr>
          <w:lang w:val="en_US" w:bidi="en_US"/>
        </w:rPr>
      </w:r>
      <w:r>
        <w:rPr>
          <w:lang w:val="en_US" w:bidi="en_US"/>
        </w:rPr>
        <w:t>It is recommended that you follow option (1), as most English versions do.</w:t>
      </w:r>
      <w:r>
        <w:rPr>
          <w:lang w:val="en_US" w:bidi="en_US"/>
        </w:rPr>
        <w:t>For more information on this issue, see Marshall, pp. 831–832, and Arndt, pp. 448–449.</w:t>
      </w:r>
    </w:p>
    <w:p>
      <w:pPr>
        <w:pStyle w:val="Heading5"/>
      </w:pPr>
      <w:r>
        <w:rPr>
          <w:lang w:val="en_US" w:bidi="en_US"/>
        </w:rPr>
        <w:t>22:43a</w:t>
      </w:r>
    </w:p>
    <w:p>
      <w:pPr/>
      <w:r>
        <w:rPr>
          <w:lang w:val="en_US" w:bidi="en_US"/>
        </w:rPr>
      </w:r>
      <w:r>
        <w:rPr>
          <w:b/>
          <w:lang w:val="en_US" w:bidi="en_US"/>
        </w:rPr>
        <w:t>Then an angel from heaven appeared to Him</w:t>
      </w:r>
    </w:p>
    <w:p>
      <w:pPr>
        <w:pStyle w:val="ListBullet"/>
        <w:spacing w:line="240" w:lineRule="auto"/>
        <w:ind w:left="720"/>
      </w:pPr>
      <w:r>
        <w:rPr>
          <w:lang w:val="en_US" w:bidi="en_US"/>
        </w:rPr>
      </w:r>
      <w:r>
        <w:rPr>
          <w:lang w:val="en_US" w:bidi="en_US"/>
        </w:rPr>
        <w:t>Then an angel from God appeared to Jesus</w:t>
      </w:r>
    </w:p>
    <w:p>
      <w:pPr>
        <w:pStyle w:val="ListBullet"/>
        <w:spacing w:line="240" w:lineRule="auto"/>
        <w:ind w:left="720"/>
      </w:pPr>
      <w:r>
        <w:rPr>
          <w:lang w:val="en_US" w:bidi="en_US"/>
        </w:rPr>
      </w:r>
      <w:r>
        <w:rPr>
          <w:lang w:val="en_US" w:bidi="en_US"/>
        </w:rPr>
        <w:t xml:space="preserve">As </w:t>
      </w:r>
      <w:r>
        <w:rPr>
          <w:lang w:val="en_US" w:bidi="en_US"/>
        </w:rPr>
        <w:t>Jesus prayed</w:t>
      </w:r>
      <w:r>
        <w:rPr>
          <w:lang w:val="en_US" w:bidi="en_US"/>
        </w:rPr>
        <w:t>, one of God’s angels/messengers came to him</w:t>
      </w:r>
    </w:p>
    <w:p>
      <w:pPr/>
      <w:r>
        <w:rPr>
          <w:lang w:val="en_US" w:bidi="en_US"/>
        </w:rPr>
      </w:r>
      <w:r>
        <w:rPr>
          <w:b/>
          <w:lang w:val="en_US" w:bidi="en_US"/>
        </w:rPr>
        <w:t>Then:</w:t>
      </w:r>
      <w:r>
        <w:rPr>
          <w:lang w:val="en_US" w:bidi="en_US"/>
        </w:rPr>
        <w:t xml:space="preserve"> This verse begins with a common Greek conjunction that the BSB translates as </w:t>
      </w:r>
      <w:r>
        <w:rPr>
          <w:i/>
          <w:lang w:val="en_US" w:bidi="en_US"/>
        </w:rPr>
        <w:t>Then</w:t>
      </w:r>
      <w:r>
        <w:rPr>
          <w:lang w:val="en_US" w:bidi="en_US"/>
        </w:rPr>
        <w:t>. It introduces something that happened as Jesus was praying. Introduce the verse in a natural way in your language. Some ways to introduce it in English are:</w:t>
      </w:r>
    </w:p>
    <w:p>
      <w:pPr/>
      <w:r>
        <w:rPr>
          <w:lang w:val="en_US" w:bidi="en_US"/>
        </w:rPr>
      </w:r>
      <w:r>
        <w:rPr>
          <w:lang w:val="en_US" w:bidi="en_US"/>
        </w:rPr>
        <w:t>As Jesus prayed</w:t>
      </w:r>
    </w:p>
    <w:p>
      <w:pPr/>
      <w:r>
        <w:rPr>
          <w:lang w:val="en_US" w:bidi="en_US"/>
        </w:rPr>
      </w:r>
      <w:r>
        <w:rPr>
          <w:lang w:val="en_US" w:bidi="en_US"/>
        </w:rPr>
        <w:t>After he finished speaking</w:t>
      </w:r>
    </w:p>
    <w:p>
      <w:pPr/>
      <w:r>
        <w:rPr>
          <w:lang w:val="en_US" w:bidi="en_US"/>
        </w:rPr>
      </w:r>
      <w:r>
        <w:rPr>
          <w:b/>
          <w:lang w:val="en_US" w:bidi="en_US"/>
        </w:rPr>
        <w:t>an angel from heaven:</w:t>
      </w:r>
      <w:r>
        <w:rPr>
          <w:lang w:val="en_US" w:bidi="en_US"/>
        </w:rPr>
        <w:t xml:space="preserve"> The Greek phrase that the BSB translates as </w:t>
      </w:r>
      <w:r>
        <w:rPr>
          <w:i/>
          <w:lang w:val="en_US" w:bidi="en_US"/>
        </w:rPr>
        <w:t>an angel from heaven</w:t>
      </w:r>
      <w:r>
        <w:rPr>
          <w:lang w:val="en_US" w:bidi="en_US"/>
        </w:rPr>
        <w:t xml:space="preserve"> refers to an angel from God. The Jews often used the word </w:t>
      </w:r>
      <w:r>
        <w:rPr>
          <w:i/>
          <w:lang w:val="en_US" w:bidi="en_US"/>
        </w:rPr>
        <w:t>heaven</w:t>
      </w:r>
      <w:r>
        <w:rPr>
          <w:lang w:val="en_US" w:bidi="en_US"/>
        </w:rPr>
        <w:t xml:space="preserve"> to refer indirectly to God. They did that to show their great respect for his name. In some languages it may be necessary to refer directly to God. For example:</w:t>
      </w:r>
    </w:p>
    <w:p>
      <w:pPr/>
      <w:r>
        <w:rPr>
          <w:lang w:val="en_US" w:bidi="en_US"/>
        </w:rPr>
      </w:r>
      <w:r>
        <w:rPr>
          <w:lang w:val="en_US" w:bidi="en_US"/>
        </w:rPr>
        <w:t xml:space="preserve">an angel from </w:t>
      </w:r>
      <w:r>
        <w:rPr>
          <w:lang w:val="en_US" w:bidi="en_US"/>
        </w:rPr>
        <w:t>God in</w:t>
      </w:r>
      <w:r>
        <w:rPr>
          <w:lang w:val="en_US" w:bidi="en_US"/>
        </w:rPr>
        <w:t xml:space="preserve"> heaven</w:t>
      </w:r>
    </w:p>
    <w:p>
      <w:pPr/>
      <w:r>
        <w:rPr>
          <w:lang w:val="en_US" w:bidi="en_US"/>
        </w:rPr>
      </w:r>
      <w:r>
        <w:rPr>
          <w:lang w:val="en_US" w:bidi="en_US"/>
        </w:rPr>
        <w:t>God</w:t>
      </w:r>
      <w:r>
        <w:rPr>
          <w:lang w:val="en_US" w:bidi="en_US"/>
        </w:rPr>
        <w:t xml:space="preserve"> sent an angel</w:t>
      </w:r>
    </w:p>
    <w:p>
      <w:pPr/>
      <w:r>
        <w:rPr>
          <w:lang w:val="en_US" w:bidi="en_US"/>
        </w:rPr>
      </w:r>
      <w:r>
        <w:rPr>
          <w:lang w:val="en_US" w:bidi="en_US"/>
        </w:rPr>
        <w:t xml:space="preserve">one of </w:t>
      </w:r>
      <w:r>
        <w:rPr>
          <w:lang w:val="en_US" w:bidi="en_US"/>
        </w:rPr>
        <w:t>God’s</w:t>
      </w:r>
      <w:r>
        <w:rPr>
          <w:lang w:val="en_US" w:bidi="en_US"/>
        </w:rPr>
        <w:t xml:space="preserve"> angels</w:t>
      </w:r>
    </w:p>
    <w:p>
      <w:pPr/>
      <w:r>
        <w:rPr>
          <w:lang w:val="en_US" w:bidi="en_US"/>
        </w:rPr>
      </w:r>
      <w:r>
        <w:rPr>
          <w:b/>
          <w:lang w:val="en_US" w:bidi="en_US"/>
        </w:rPr>
        <w:t>angel:</w:t>
      </w:r>
      <w:r>
        <w:rPr>
          <w:lang w:val="en_US" w:bidi="en_US"/>
        </w:rPr>
        <w:t xml:space="preserve"> The Greek word that the BSB translates as </w:t>
      </w:r>
      <w:r>
        <w:rPr>
          <w:i/>
          <w:lang w:val="en_US" w:bidi="en_US"/>
        </w:rPr>
        <w:t>angel</w:t>
      </w:r>
      <w:r>
        <w:rPr>
          <w:lang w:val="en_US" w:bidi="en_US"/>
        </w:rPr>
        <w:t xml:space="preserve"> means “messenger.” It refers here to a spirit being who serves God.</w:t>
      </w:r>
    </w:p>
    <w:p>
      <w:pPr/>
      <w:r>
        <w:rPr>
          <w:lang w:val="en_US" w:bidi="en_US"/>
        </w:rPr>
      </w:r>
      <w:r>
        <w:rPr>
          <w:lang w:val="en_US" w:bidi="en_US"/>
        </w:rPr>
        <w:t>Some ways to translate this term are:</w:t>
      </w:r>
    </w:p>
    <w:p>
      <w:pPr>
        <w:pStyle w:val="ListBullet"/>
        <w:spacing w:line="240" w:lineRule="auto"/>
        <w:ind w:left="720"/>
      </w:pPr>
      <w:r>
        <w:rPr>
          <w:lang w:val="en_US" w:bidi="en_US"/>
        </w:rPr>
      </w:r>
      <w:r>
        <w:rPr>
          <w:lang w:val="en_US" w:bidi="en_US"/>
        </w:rPr>
        <w:t>Use a descriptive word or phrase. For example:</w:t>
      </w:r>
      <w:r>
        <w:rPr>
          <w:lang w:val="en_US" w:bidi="en_US"/>
        </w:rPr>
        <w:t xml:space="preserve">messenger </w:t>
      </w:r>
      <w:r>
        <w:rPr>
          <w:lang w:val="en_US" w:bidi="en_US"/>
        </w:rPr>
        <w:t>from God/heaven</w:t>
      </w:r>
      <w:r>
        <w:rPr>
          <w:lang w:val="en_US" w:bidi="en_US"/>
        </w:rPr>
        <w:t>holy</w:t>
      </w:r>
      <w:r>
        <w:rPr>
          <w:lang w:val="en_US" w:bidi="en_US"/>
        </w:rPr>
        <w:t xml:space="preserve"> spirit-being</w:t>
      </w:r>
    </w:p>
    <w:p>
      <w:pPr>
        <w:pStyle w:val="ListBullet"/>
        <w:spacing w:line="240" w:lineRule="auto"/>
        <w:ind w:left="720"/>
      </w:pPr>
      <w:r>
        <w:rPr>
          <w:lang w:val="en_US" w:bidi="en_US"/>
        </w:rPr>
      </w:r>
      <w:r>
        <w:rPr>
          <w:lang w:val="en_US" w:bidi="en_US"/>
        </w:rPr>
        <w:t>Use a local term that fits the biblical meaning.</w:t>
      </w:r>
    </w:p>
    <w:p>
      <w:pPr>
        <w:pStyle w:val="ListBullet"/>
        <w:spacing w:line="240" w:lineRule="auto"/>
        <w:ind w:left="720"/>
      </w:pPr>
      <w:r>
        <w:rPr>
          <w:lang w:val="en_US" w:bidi="en_US"/>
        </w:rPr>
      </w:r>
      <w:r>
        <w:rPr>
          <w:lang w:val="en_US" w:bidi="en_US"/>
        </w:rPr>
        <w:t>In some areas the churches may already be using a borrowed term or a transliterated word for “angel.” Be sure that this term fits the biblical meaning. If some people do not understand the right meaning from this term, you may need to indicate the meaning in some way. For example:</w:t>
      </w:r>
      <w:r>
        <w:rPr>
          <w:lang w:val="en_US" w:bidi="en_US"/>
        </w:rPr>
        <w:t xml:space="preserve">an </w:t>
      </w:r>
      <w:r>
        <w:rPr>
          <w:u w:val="single"/>
          <w:lang w:val="en_US" w:bidi="en_US"/>
        </w:rPr>
        <w:t>angelos</w:t>
      </w:r>
      <w:r>
        <w:rPr>
          <w:lang w:val="en_US" w:bidi="en_US"/>
        </w:rPr>
        <w:t xml:space="preserve"> messenger </w:t>
      </w:r>
      <w:r>
        <w:rPr>
          <w:lang w:val="en_US" w:bidi="en_US"/>
        </w:rPr>
        <w:t>from God</w:t>
      </w:r>
      <w:r>
        <w:rPr>
          <w:lang w:val="en_US" w:bidi="en_US"/>
        </w:rPr>
        <w:t xml:space="preserve">a sacred </w:t>
      </w:r>
      <w:r>
        <w:rPr>
          <w:u w:val="single"/>
          <w:lang w:val="en_US" w:bidi="en_US"/>
        </w:rPr>
        <w:t>angelos</w:t>
      </w:r>
      <w:r>
        <w:rPr>
          <w:lang w:val="en_US" w:bidi="en_US"/>
        </w:rPr>
        <w:t xml:space="preserve"> spirit</w:t>
      </w:r>
    </w:p>
    <w:p>
      <w:pPr/>
      <w:r>
        <w:rPr>
          <w:lang w:val="en_US" w:bidi="en_US"/>
        </w:rPr>
      </w:r>
      <w:r>
        <w:rPr>
          <w:lang w:val="en_US" w:bidi="en_US"/>
        </w:rPr>
        <w:t>Be sure that your term for “angel” is different from your terms for “prophet” and “apostle.” See angel in the Glossary for a chart that shows the differences in these three terms.</w:t>
      </w:r>
    </w:p>
    <w:p>
      <w:pPr/>
      <w:r>
        <w:rPr>
          <w:lang w:val="en_US" w:bidi="en_US"/>
        </w:rPr>
      </w:r>
      <w:r>
        <w:rPr>
          <w:lang w:val="en_US" w:bidi="en_US"/>
        </w:rPr>
        <w:t>This term also occurred in 1:11. See how you translated it there.</w:t>
      </w:r>
    </w:p>
    <w:p>
      <w:pPr/>
      <w:r>
        <w:rPr>
          <w:lang w:val="en_US" w:bidi="en_US"/>
        </w:rPr>
      </w:r>
      <w:r>
        <w:rPr>
          <w:b/>
          <w:lang w:val="en_US" w:bidi="en_US"/>
        </w:rPr>
        <w:t>from heaven:</w:t>
      </w:r>
      <w:r>
        <w:rPr>
          <w:lang w:val="en_US" w:bidi="en_US"/>
        </w:rPr>
        <w:t xml:space="preserve"> In this context the phrase </w:t>
      </w:r>
      <w:r>
        <w:rPr>
          <w:i/>
          <w:lang w:val="en_US" w:bidi="en_US"/>
        </w:rPr>
        <w:t>from heaven</w:t>
      </w:r>
      <w:r>
        <w:rPr>
          <w:lang w:val="en_US" w:bidi="en_US"/>
        </w:rPr>
        <w:t xml:space="preserve"> describes the angel. It indicates that he was an angel who served God. It does not imply that the angel was in heaven when Jesus saw him. It also does not necessarily indicate that he had come directly from heaven to Jesus. See the examples in the note on “angel from heaven.”</w:t>
      </w:r>
    </w:p>
    <w:p>
      <w:pPr/>
      <w:r>
        <w:rPr>
          <w:lang w:val="en_US" w:bidi="en_US"/>
        </w:rPr>
      </w:r>
      <w:r>
        <w:rPr>
          <w:b/>
          <w:lang w:val="en_US" w:bidi="en_US"/>
        </w:rPr>
        <w:t>appeared to Him:</w:t>
      </w:r>
      <w:r>
        <w:rPr>
          <w:lang w:val="en_US" w:bidi="en_US"/>
        </w:rPr>
        <w:t xml:space="preserve"> The phrase </w:t>
      </w:r>
      <w:r>
        <w:rPr>
          <w:i/>
          <w:lang w:val="en_US" w:bidi="en_US"/>
        </w:rPr>
        <w:t>appeared to Him</w:t>
      </w:r>
      <w:r>
        <w:rPr>
          <w:lang w:val="en_US" w:bidi="en_US"/>
        </w:rPr>
        <w:t xml:space="preserve"> indicates here that the angel came to Jesus, and Jesus could see him. This phrase is often used in the Bible when spirit beings come to people in visible form.</w:t>
      </w:r>
    </w:p>
    <w:p>
      <w:pPr/>
      <w:r>
        <w:rPr>
          <w:lang w:val="en_US" w:bidi="en_US"/>
        </w:rPr>
      </w:r>
      <w:r>
        <w:rPr>
          <w:lang w:val="en_US" w:bidi="en_US"/>
        </w:rPr>
        <w:t>In some languages the context may already imply that Jesus could see the angel. If that is true in your language, it may be more natural to focus only on the angel’s arrival. For example:</w:t>
      </w:r>
    </w:p>
    <w:p>
      <w:pPr/>
      <w:r>
        <w:rPr>
          <w:lang w:val="en_US" w:bidi="en_US"/>
        </w:rPr>
      </w:r>
      <w:r>
        <w:rPr>
          <w:lang w:val="en_US" w:bidi="en_US"/>
        </w:rPr>
        <w:t>came to him</w:t>
      </w:r>
    </w:p>
    <w:p>
      <w:pPr>
        <w:pStyle w:val="Heading5"/>
      </w:pPr>
      <w:r>
        <w:rPr>
          <w:lang w:val="en_US" w:bidi="en_US"/>
        </w:rPr>
        <w:t>22:43b</w:t>
      </w:r>
    </w:p>
    <w:p>
      <w:pPr/>
      <w:r>
        <w:rPr>
          <w:lang w:val="en_US" w:bidi="en_US"/>
        </w:rPr>
      </w:r>
      <w:r>
        <w:rPr>
          <w:b/>
          <w:lang w:val="en_US" w:bidi="en_US"/>
        </w:rPr>
        <w:t>and strengthened Him.</w:t>
      </w:r>
    </w:p>
    <w:p>
      <w:pPr>
        <w:pStyle w:val="ListBullet"/>
        <w:spacing w:line="240" w:lineRule="auto"/>
        <w:ind w:left="720"/>
      </w:pPr>
      <w:r>
        <w:rPr>
          <w:lang w:val="en_US" w:bidi="en_US"/>
        </w:rPr>
      </w:r>
      <w:r>
        <w:rPr>
          <w:lang w:val="en_US" w:bidi="en_US"/>
        </w:rPr>
        <w:t>and gave him more strength/endurance.</w:t>
      </w:r>
    </w:p>
    <w:p>
      <w:pPr>
        <w:pStyle w:val="ListBullet"/>
        <w:spacing w:line="240" w:lineRule="auto"/>
        <w:ind w:left="720"/>
      </w:pPr>
      <w:r>
        <w:rPr>
          <w:lang w:val="en_US" w:bidi="en_US"/>
        </w:rPr>
      </w:r>
      <w:r>
        <w:rPr>
          <w:lang w:val="en_US" w:bidi="en_US"/>
        </w:rPr>
        <w:t>and caused/helped him to be strong.</w:t>
      </w:r>
    </w:p>
    <w:p>
      <w:pPr/>
      <w:r>
        <w:rPr>
          <w:lang w:val="en_US" w:bidi="en_US"/>
        </w:rPr>
      </w:r>
      <w:r>
        <w:rPr>
          <w:b/>
          <w:lang w:val="en_US" w:bidi="en_US"/>
        </w:rPr>
        <w:t>strengthened Him:</w:t>
      </w:r>
      <w:r>
        <w:rPr>
          <w:lang w:val="en_US" w:bidi="en_US"/>
        </w:rPr>
        <w:t xml:space="preserve"> The Greek word that the BSB translates as </w:t>
      </w:r>
      <w:r>
        <w:rPr>
          <w:i/>
          <w:lang w:val="en_US" w:bidi="en_US"/>
        </w:rPr>
        <w:t>strengthened</w:t>
      </w:r>
      <w:r>
        <w:rPr>
          <w:lang w:val="en_US" w:bidi="en_US"/>
        </w:rPr>
        <w:t xml:space="preserve"> can refer to strength of body and also to strength of spirit. It is different from the word that the BSB translated as “strengthen” in 22:32d. The strength that the angel gave Jesus here probably affected both his body and his spirit. The angel helped Jesus so that he was able to endure the anguish that he felt. He was then able to pray even more earnestly (22:44).</w:t>
      </w:r>
      <w:r>
        <w:rPr>
          <w:lang w:val="en_US" w:bidi="en_US"/>
        </w:rPr>
        <w:t>Some scholars believe that Jesus felt such severe anguish that it could have caused his death.</w:t>
      </w:r>
    </w:p>
    <w:p>
      <w:pPr/>
      <w:r>
        <w:rPr>
          <w:lang w:val="en_US" w:bidi="en_US"/>
        </w:rPr>
      </w:r>
      <w:r>
        <w:rPr>
          <w:lang w:val="en_US" w:bidi="en_US"/>
        </w:rPr>
        <w:t xml:space="preserve">Some other ways to translate </w:t>
      </w:r>
      <w:r>
        <w:rPr>
          <w:i/>
          <w:lang w:val="en_US" w:bidi="en_US"/>
        </w:rPr>
        <w:t>strengthened</w:t>
      </w:r>
      <w:r>
        <w:rPr>
          <w:lang w:val="en_US" w:bidi="en_US"/>
        </w:rPr>
        <w:t xml:space="preserve"> in this context are:</w:t>
      </w:r>
    </w:p>
    <w:p>
      <w:pPr/>
      <w:r>
        <w:rPr>
          <w:lang w:val="en_US" w:bidi="en_US"/>
        </w:rPr>
      </w:r>
      <w:r>
        <w:rPr>
          <w:lang w:val="en_US" w:bidi="en_US"/>
        </w:rPr>
        <w:t>helped him</w:t>
      </w:r>
    </w:p>
    <w:p>
      <w:pPr/>
      <w:r>
        <w:rPr>
          <w:lang w:val="en_US" w:bidi="en_US"/>
        </w:rPr>
      </w:r>
      <w:r>
        <w:rPr>
          <w:lang w:val="en_US" w:bidi="en_US"/>
        </w:rPr>
        <w:t>gave him strength</w:t>
      </w:r>
    </w:p>
    <w:p>
      <w:pPr/>
      <w:r>
        <w:rPr>
          <w:lang w:val="en_US" w:bidi="en_US"/>
        </w:rPr>
      </w:r>
      <w:r>
        <w:rPr>
          <w:lang w:val="en_US" w:bidi="en_US"/>
        </w:rPr>
        <w:t>In some languages there may be an idiom to translate this.</w:t>
      </w:r>
      <w:r>
        <w:rPr>
          <w:lang w:val="en_US" w:bidi="en_US"/>
        </w:rPr>
      </w:r>
      <w:r>
        <w:rPr>
          <w:lang w:val="en_US" w:bidi="en_US"/>
        </w:rPr>
      </w:r>
    </w:p>
    <w:p>
      <w:pPr/>
      <w:r>
        <w:rPr>
          <w:lang w:val="en_US" w:bidi="en_US"/>
        </w:rPr>
      </w:r>
    </w:p>
    <w:p>
      <w:pPr>
        <w:pStyle w:val="Heading2"/>
      </w:pPr>
      <w:r>
        <w:rPr>
          <w:lang w:val="en_US" w:bidi="en_US"/>
        </w:rPr>
        <w:t>Luke 22:44</w:t>
      </w:r>
      <w:r>
        <w:rPr>
          <w:lang w:val="en_US" w:bidi="en_US"/>
        </w:rPr>
      </w:r>
    </w:p>
    <w:p>
      <w:pPr>
        <w:pStyle w:val="Heading4"/>
      </w:pPr>
      <w:r>
        <w:rPr>
          <w:lang w:val="en_US" w:bidi="en_US"/>
        </w:rPr>
        <w:t>Section 22:39–46: Jesus prayed in a garden called Gethsemane</w:t>
      </w:r>
    </w:p>
    <w:p>
      <w:pPr/>
      <w:r>
        <w:rPr>
          <w:lang w:val="en_US" w:bidi="en_US"/>
        </w:rPr>
      </w:r>
      <w:r>
        <w:rPr>
          <w:lang w:val="en_US" w:bidi="en_US"/>
        </w:rPr>
        <w:t>Jesus then went out to the Mount of Olives with his disciples. There he prayed to God about his coming suffering, and there his enemies, whom Judas was leading, arrested him.</w:t>
      </w:r>
    </w:p>
    <w:p>
      <w:pPr/>
      <w:r>
        <w:rPr>
          <w:lang w:val="en_US" w:bidi="en_US"/>
        </w:rPr>
      </w:r>
      <w:r>
        <w:rPr>
          <w:lang w:val="en_US" w:bidi="en_US"/>
        </w:rPr>
        <w:t>Jesus knew that his enemies would soon arrest him. So during this last time that he had with his disciples, he prayed to God and encouraged them to pray to God. He told his disciples to pray that they would not be overcome by temptation. Jesus also prayed that he himself would do what his heavenly Father wanted rather than what he himself wanted.</w:t>
      </w:r>
    </w:p>
    <w:p>
      <w:pPr/>
      <w:r>
        <w:rPr>
          <w:lang w:val="en_US" w:bidi="en_US"/>
        </w:rPr>
      </w:r>
      <w:r>
        <w:rPr>
          <w:lang w:val="en_US" w:bidi="en_US"/>
        </w:rPr>
        <w:t>Other examples of headings for this section are:</w:t>
      </w:r>
    </w:p>
    <w:p>
      <w:pPr/>
      <w:r>
        <w:rPr>
          <w:lang w:val="en_US" w:bidi="en_US"/>
        </w:rPr>
      </w:r>
      <w:r>
        <w:rPr>
          <w:lang w:val="en_US" w:bidi="en_US"/>
        </w:rPr>
        <w:t>Jesus Prays on the Mount of Olives (GNT)</w:t>
      </w:r>
    </w:p>
    <w:p>
      <w:pPr/>
      <w:r>
        <w:rPr>
          <w:lang w:val="en_US" w:bidi="en_US"/>
        </w:rPr>
      </w:r>
      <w:r>
        <w:rPr>
          <w:lang w:val="en_US" w:bidi="en_US"/>
        </w:rPr>
        <w:t>Jesus Prays Alone (NCV)</w:t>
      </w:r>
    </w:p>
    <w:p>
      <w:pPr/>
      <w:r>
        <w:rPr>
          <w:lang w:val="en_US" w:bidi="en_US"/>
        </w:rPr>
      </w:r>
      <w:r>
        <w:rPr>
          <w:lang w:val="en_US" w:bidi="en_US"/>
        </w:rPr>
        <w:t>The Garden of Gethsemane</w:t>
      </w:r>
    </w:p>
    <w:p>
      <w:pPr/>
      <w:r>
        <w:rPr>
          <w:lang w:val="en_US" w:bidi="en_US"/>
        </w:rPr>
      </w:r>
      <w:r>
        <w:rPr>
          <w:lang w:val="en_US" w:bidi="en_US"/>
        </w:rPr>
        <w:t>There are parallel passages for this section in Matthew 26:36–46 and Mark 14:32–42.</w:t>
      </w:r>
    </w:p>
    <w:p>
      <w:pPr>
        <w:pStyle w:val="Heading5"/>
      </w:pPr>
      <w:r>
        <w:rPr>
          <w:lang w:val="en_US" w:bidi="en_US"/>
        </w:rPr>
        <w:t>22:44a</w:t>
      </w:r>
    </w:p>
    <w:p>
      <w:pPr/>
      <w:r>
        <w:rPr>
          <w:lang w:val="en_US" w:bidi="en_US"/>
        </w:rPr>
      </w:r>
      <w:r>
        <w:rPr>
          <w:b/>
          <w:lang w:val="en_US" w:bidi="en_US"/>
        </w:rPr>
        <w:t>And in His anguish,</w:t>
      </w:r>
    </w:p>
    <w:p>
      <w:pPr>
        <w:pStyle w:val="ListBullet"/>
        <w:spacing w:line="240" w:lineRule="auto"/>
        <w:ind w:left="720"/>
      </w:pPr>
      <w:r>
        <w:rPr>
          <w:lang w:val="en_US" w:bidi="en_US"/>
        </w:rPr>
      </w:r>
      <w:r>
        <w:rPr>
          <w:lang w:val="en_US" w:bidi="en_US"/>
        </w:rPr>
        <w:t>He/Jesus was in great distress/agony,</w:t>
      </w:r>
    </w:p>
    <w:p>
      <w:pPr>
        <w:pStyle w:val="ListBullet"/>
        <w:spacing w:line="240" w:lineRule="auto"/>
        <w:ind w:left="720"/>
      </w:pPr>
      <w:r>
        <w:rPr>
          <w:lang w:val="en_US" w:bidi="en_US"/>
        </w:rPr>
      </w:r>
      <w:r>
        <w:rPr>
          <w:lang w:val="en_US" w:bidi="en_US"/>
        </w:rPr>
        <w:t>Then as Jesus agonized/grieved intensely,</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is a common conjunction that is often translated as “and,” “but,” or “then.” In some languages it may be natural to indicate a contrast here. Even though the angel gave Jesus strength in 22:43, Jesus was still in great distress. In some languages a conjunction will not be needed. Connect 22:43 and 22:44 in a natural way in your language.</w:t>
      </w:r>
    </w:p>
    <w:p>
      <w:pPr/>
      <w:r>
        <w:rPr>
          <w:lang w:val="en_US" w:bidi="en_US"/>
        </w:rPr>
      </w:r>
      <w:r>
        <w:rPr>
          <w:b/>
          <w:lang w:val="en_US" w:bidi="en_US"/>
        </w:rPr>
        <w:t>in His anguish:</w:t>
      </w:r>
      <w:r>
        <w:rPr>
          <w:lang w:val="en_US" w:bidi="en_US"/>
        </w:rPr>
        <w:t xml:space="preserve"> The Greek word that the BSB translates as </w:t>
      </w:r>
      <w:r>
        <w:rPr>
          <w:i/>
          <w:lang w:val="en_US" w:bidi="en_US"/>
        </w:rPr>
        <w:t>anguish</w:t>
      </w:r>
      <w:r>
        <w:rPr>
          <w:lang w:val="en_US" w:bidi="en_US"/>
        </w:rPr>
        <w:t xml:space="preserve"> refers here to the agony that Jesus felt as he thought about the terrible torment that he must endure.</w:t>
      </w:r>
      <w:r>
        <w:rPr>
          <w:lang w:val="en_US" w:bidi="en_US"/>
        </w:rPr>
        <w:t>This word is used only here in the NT. However, a very similar word is used in Hebrews 12:1, where the BSB translates it as “race.” To understand this passage better, it is also helpful to read Hebrews 5:7–10 and 6:20.The word that the BSB translates as “anguish” is used in other literature, and scholars indicate that it often refers to a feeling of agony that occurs before a person faces a very difficult experience. See Fitzmyer, p. 1444. In 2 Maccabees 3:16–17 the high priest felt this type of agony, and it caused him to tremble physically. This agony affects a person physically, as well as emotionally and mentally.</w:t>
      </w:r>
      <w:r>
        <w:rPr>
          <w:lang w:val="en_US" w:bidi="en_US"/>
        </w:rPr>
        <w:t xml:space="preserve"> He knew that he would be punished for the sins of mankind. These thoughts caused him overwhelming grief. The suffering that he felt caused both mental and physical pain.</w:t>
      </w:r>
    </w:p>
    <w:p>
      <w:pPr/>
      <w:r>
        <w:rPr>
          <w:lang w:val="en_US" w:bidi="en_US"/>
        </w:rPr>
      </w:r>
      <w:r>
        <w:rPr>
          <w:lang w:val="en_US" w:bidi="en_US"/>
        </w:rPr>
        <w:t xml:space="preserve">Some other ways to translate the phrase </w:t>
      </w:r>
      <w:r>
        <w:rPr>
          <w:i/>
          <w:lang w:val="en_US" w:bidi="en_US"/>
        </w:rPr>
        <w:t>in His anguish</w:t>
      </w:r>
      <w:r>
        <w:rPr>
          <w:lang w:val="en_US" w:bidi="en_US"/>
        </w:rPr>
        <w:t xml:space="preserve"> are:</w:t>
      </w:r>
    </w:p>
    <w:p>
      <w:pPr/>
      <w:r>
        <w:rPr>
          <w:lang w:val="en_US" w:bidi="en_US"/>
        </w:rPr>
      </w:r>
      <w:r>
        <w:rPr>
          <w:lang w:val="en_US" w:bidi="en_US"/>
        </w:rPr>
        <w:t>he felt great suffering/agony</w:t>
      </w:r>
    </w:p>
    <w:p>
      <w:pPr/>
      <w:r>
        <w:rPr>
          <w:lang w:val="en_US" w:bidi="en_US"/>
        </w:rPr>
      </w:r>
      <w:r>
        <w:rPr>
          <w:lang w:val="en_US" w:bidi="en_US"/>
        </w:rPr>
        <w:t>in this exceeding hardship of his</w:t>
      </w:r>
      <w:r>
        <w:rPr>
          <w:lang w:val="en_US" w:bidi="en_US"/>
        </w:rPr>
        <w:t>Kankanaey back translation on TW.</w:t>
      </w:r>
    </w:p>
    <w:p>
      <w:pPr/>
      <w:r>
        <w:rPr>
          <w:lang w:val="en_US" w:bidi="en_US"/>
        </w:rPr>
      </w:r>
      <w:r>
        <w:rPr>
          <w:lang w:val="en_US" w:bidi="en_US"/>
        </w:rPr>
        <w:t>In some languages there may be an idiom to describe this. For example:</w:t>
      </w:r>
    </w:p>
    <w:p>
      <w:pPr/>
      <w:r>
        <w:rPr>
          <w:lang w:val="en_US" w:bidi="en_US"/>
        </w:rPr>
      </w:r>
      <w:r>
        <w:rPr>
          <w:lang w:val="en_US" w:bidi="en_US"/>
        </w:rPr>
        <w:t>his liver was very grieved</w:t>
      </w:r>
      <w:r>
        <w:rPr>
          <w:lang w:val="en_US" w:bidi="en_US"/>
        </w:rPr>
        <w:t>Yakan back translation on TW.</w:t>
      </w:r>
    </w:p>
    <w:p>
      <w:pPr/>
      <w:r>
        <w:rPr>
          <w:lang w:val="en_US" w:bidi="en_US"/>
        </w:rPr>
      </w:r>
      <w:r>
        <w:rPr>
          <w:lang w:val="en_US" w:bidi="en_US"/>
        </w:rPr>
        <w:t>he was filled with anguish/grief</w:t>
      </w:r>
    </w:p>
    <w:p>
      <w:pPr>
        <w:pStyle w:val="Heading5"/>
      </w:pPr>
      <w:r>
        <w:rPr>
          <w:lang w:val="en_US" w:bidi="en_US"/>
        </w:rPr>
        <w:t>22:44b</w:t>
      </w:r>
    </w:p>
    <w:p>
      <w:pPr/>
      <w:r>
        <w:rPr>
          <w:lang w:val="en_US" w:bidi="en_US"/>
        </w:rPr>
      </w:r>
      <w:r>
        <w:rPr>
          <w:b/>
          <w:lang w:val="en_US" w:bidi="en_US"/>
        </w:rPr>
        <w:t>He prayed more earnestly,</w:t>
      </w:r>
    </w:p>
    <w:p>
      <w:pPr>
        <w:pStyle w:val="ListBullet"/>
        <w:spacing w:line="240" w:lineRule="auto"/>
        <w:ind w:left="720"/>
      </w:pPr>
      <w:r>
        <w:rPr>
          <w:lang w:val="en_US" w:bidi="en_US"/>
        </w:rPr>
      </w:r>
      <w:r>
        <w:rPr>
          <w:lang w:val="en_US" w:bidi="en_US"/>
        </w:rPr>
        <w:t xml:space="preserve">and he prayed more fervently </w:t>
      </w:r>
      <w:r>
        <w:rPr>
          <w:lang w:val="en_US" w:bidi="en_US"/>
        </w:rPr>
        <w:t>than before</w:t>
      </w:r>
      <w:r>
        <w:rPr>
          <w:lang w:val="en_US" w:bidi="en_US"/>
        </w:rPr>
        <w:t>.</w:t>
      </w:r>
    </w:p>
    <w:p>
      <w:pPr>
        <w:pStyle w:val="ListBullet"/>
        <w:spacing w:line="240" w:lineRule="auto"/>
        <w:ind w:left="720"/>
      </w:pPr>
      <w:r>
        <w:rPr>
          <w:lang w:val="en_US" w:bidi="en_US"/>
        </w:rPr>
      </w:r>
      <w:r>
        <w:rPr>
          <w:lang w:val="en_US" w:bidi="en_US"/>
        </w:rPr>
        <w:t>he spoke to God with such intense feeling</w:t>
      </w:r>
    </w:p>
    <w:p>
      <w:pPr/>
      <w:r>
        <w:rPr>
          <w:lang w:val="en_US" w:bidi="en_US"/>
        </w:rPr>
      </w:r>
      <w:r>
        <w:rPr>
          <w:b/>
          <w:lang w:val="en_US" w:bidi="en_US"/>
        </w:rPr>
        <w:t>He prayed more earnestly:</w:t>
      </w:r>
      <w:r>
        <w:rPr>
          <w:lang w:val="en_US" w:bidi="en_US"/>
        </w:rPr>
        <w:t xml:space="preserve"> This clause is a comparison. Jesus was already praying in 23:41–42. After the angel strengthened him in 22:43, he prayed more fervently and urgently. He put much strength, effort, and longing into his prayer. Some other ways to translate this clause are:</w:t>
      </w:r>
    </w:p>
    <w:p>
      <w:pPr/>
      <w:r>
        <w:rPr>
          <w:lang w:val="en_US" w:bidi="en_US"/>
        </w:rPr>
      </w:r>
      <w:r>
        <w:rPr>
          <w:lang w:val="en_US" w:bidi="en_US"/>
        </w:rPr>
        <w:t>Jesus prayed even harder (NCV)</w:t>
      </w:r>
    </w:p>
    <w:p>
      <w:pPr/>
      <w:r>
        <w:rPr>
          <w:lang w:val="en_US" w:bidi="en_US"/>
        </w:rPr>
      </w:r>
      <w:r>
        <w:rPr>
          <w:lang w:val="en_US" w:bidi="en_US"/>
        </w:rPr>
        <w:t>he prayed more intensely/fervently</w:t>
      </w:r>
    </w:p>
    <w:p>
      <w:pPr/>
      <w:r>
        <w:rPr>
          <w:lang w:val="en_US" w:bidi="en_US"/>
        </w:rPr>
      </w:r>
      <w:r>
        <w:rPr>
          <w:lang w:val="en_US" w:bidi="en_US"/>
        </w:rPr>
        <w:t>In some languages it may be more natural to translate without using a comparison. For example:</w:t>
      </w:r>
    </w:p>
    <w:p>
      <w:pPr/>
      <w:r>
        <w:rPr>
          <w:lang w:val="en_US" w:bidi="en_US"/>
        </w:rPr>
      </w:r>
      <w:r>
        <w:rPr>
          <w:lang w:val="en_US" w:bidi="en_US"/>
        </w:rPr>
        <w:t>He was praying very fervently (NASB)</w:t>
      </w:r>
    </w:p>
    <w:p>
      <w:pPr/>
      <w:r>
        <w:rPr>
          <w:lang w:val="en_US" w:bidi="en_US"/>
        </w:rPr>
      </w:r>
      <w:r>
        <w:rPr>
          <w:lang w:val="en_US" w:bidi="en_US"/>
        </w:rPr>
        <w:t>He prayed so urgently that</w:t>
      </w:r>
    </w:p>
    <w:p>
      <w:pPr/>
      <w:r>
        <w:rPr>
          <w:lang w:val="en_US" w:bidi="en_US"/>
        </w:rPr>
      </w:r>
      <w:r>
        <w:rPr>
          <w:lang w:val="en_US" w:bidi="en_US"/>
        </w:rPr>
        <w:t>In some languages there may be an idiom to express this. For example:</w:t>
      </w:r>
    </w:p>
    <w:p>
      <w:pPr/>
      <w:r>
        <w:rPr>
          <w:lang w:val="en_US" w:bidi="en_US"/>
        </w:rPr>
      </w:r>
      <w:r>
        <w:rPr>
          <w:lang w:val="en_US" w:bidi="en_US"/>
        </w:rPr>
        <w:t>He poured out his soul in prayer</w:t>
      </w:r>
    </w:p>
    <w:p>
      <w:pPr/>
      <w:r>
        <w:rPr>
          <w:lang w:val="en_US" w:bidi="en_US"/>
        </w:rPr>
      </w:r>
      <w:r>
        <w:rPr>
          <w:b/>
          <w:lang w:val="en_US" w:bidi="en_US"/>
        </w:rPr>
        <w:t>prayed more earnestly:</w:t>
      </w:r>
      <w:r>
        <w:rPr>
          <w:lang w:val="en_US" w:bidi="en_US"/>
        </w:rPr>
        <w:t xml:space="preserve"> As 22:42 indicates, Jesus prayed to God, his Father. In some languages it is necessary to make this clear. For example:</w:t>
      </w:r>
    </w:p>
    <w:p>
      <w:pPr/>
      <w:r>
        <w:rPr>
          <w:lang w:val="en_US" w:bidi="en_US"/>
        </w:rPr>
      </w:r>
      <w:r>
        <w:rPr>
          <w:lang w:val="en_US" w:bidi="en_US"/>
        </w:rPr>
        <w:t xml:space="preserve">spoke more earnestly </w:t>
      </w:r>
      <w:r>
        <w:rPr>
          <w:lang w:val="en_US" w:bidi="en_US"/>
        </w:rPr>
        <w:t>to God</w:t>
      </w:r>
    </w:p>
    <w:p>
      <w:pPr/>
      <w:r>
        <w:rPr>
          <w:lang w:val="en_US" w:bidi="en_US"/>
        </w:rPr>
      </w:r>
      <w:r>
        <w:rPr>
          <w:lang w:val="en_US" w:bidi="en_US"/>
        </w:rPr>
        <w:t xml:space="preserve">begged </w:t>
      </w:r>
      <w:r>
        <w:rPr>
          <w:lang w:val="en_US" w:bidi="en_US"/>
        </w:rPr>
        <w:t>his father God</w:t>
      </w:r>
      <w:r>
        <w:rPr>
          <w:lang w:val="en_US" w:bidi="en_US"/>
        </w:rPr>
        <w:t xml:space="preserve"> more urgently</w:t>
      </w:r>
    </w:p>
    <w:p>
      <w:pPr/>
      <w:r>
        <w:rPr>
          <w:lang w:val="en_US" w:bidi="en_US"/>
        </w:rPr>
      </w:r>
      <w:r>
        <w:rPr>
          <w:lang w:val="en_US" w:bidi="en_US"/>
        </w:rPr>
        <w:t>he prayed all the harder to God</w:t>
      </w:r>
      <w:r>
        <w:rPr>
          <w:lang w:val="en_US" w:bidi="en_US"/>
        </w:rPr>
        <w:t>Western Bukidnon Manobo back translation on TW.</w:t>
      </w:r>
    </w:p>
    <w:p>
      <w:pPr>
        <w:pStyle w:val="Heading5"/>
      </w:pPr>
      <w:r>
        <w:rPr>
          <w:lang w:val="en_US" w:bidi="en_US"/>
        </w:rPr>
        <w:t>22:44c</w:t>
      </w:r>
    </w:p>
    <w:p>
      <w:pPr/>
      <w:r>
        <w:rPr>
          <w:lang w:val="en_US" w:bidi="en_US"/>
        </w:rPr>
      </w:r>
      <w:r>
        <w:rPr>
          <w:b/>
          <w:lang w:val="en_US" w:bidi="en_US"/>
        </w:rPr>
        <w:t>and His sweat became like drops of blood falling to the ground.</w:t>
      </w:r>
    </w:p>
    <w:p>
      <w:pPr>
        <w:pStyle w:val="ListBullet"/>
        <w:spacing w:line="240" w:lineRule="auto"/>
        <w:ind w:left="720"/>
      </w:pPr>
      <w:r>
        <w:rPr>
          <w:lang w:val="en_US" w:bidi="en_US"/>
        </w:rPr>
      </w:r>
      <w:r>
        <w:rPr>
          <w:lang w:val="en_US" w:bidi="en_US"/>
        </w:rPr>
        <w:t>His sweat was like clots of blood falling to the ground.</w:t>
      </w:r>
    </w:p>
    <w:p>
      <w:pPr>
        <w:pStyle w:val="ListBullet"/>
        <w:spacing w:line="240" w:lineRule="auto"/>
        <w:ind w:left="720"/>
      </w:pPr>
      <w:r>
        <w:rPr>
          <w:lang w:val="en_US" w:bidi="en_US"/>
        </w:rPr>
      </w:r>
      <w:r>
        <w:rPr>
          <w:lang w:val="en_US" w:bidi="en_US"/>
        </w:rPr>
        <w:t>that sweat fell from him like blood dripping on the ground.</w:t>
      </w:r>
    </w:p>
    <w:p>
      <w:pPr/>
      <w:r>
        <w:rPr>
          <w:lang w:val="en_US" w:bidi="en_US"/>
        </w:rPr>
      </w:r>
      <w:r>
        <w:rPr>
          <w:b/>
          <w:lang w:val="en_US" w:bidi="en_US"/>
        </w:rPr>
        <w:t>His sweat became like drops of blood falling to the ground:</w:t>
      </w:r>
      <w:r>
        <w:rPr>
          <w:lang w:val="en_US" w:bidi="en_US"/>
        </w:rPr>
        <w:t xml:space="preserve"> This clause is a simile. There are two ways to interpret it:</w:t>
      </w:r>
    </w:p>
    <w:p>
      <w:pPr>
        <w:pStyle w:val="ListNumber"/>
        <w:numPr>
          <w:ilvl w:val="0"/>
          <w:numId w:val="358"/>
        </w:numPr>
        <w:spacing w:line="240" w:lineRule="auto"/>
        <w:ind w:left="720"/>
      </w:pPr>
      <w:r>
        <w:rPr>
          <w:lang w:val="en_US" w:bidi="en_US"/>
        </w:rPr>
      </w:r>
      <w:r>
        <w:rPr>
          <w:lang w:val="en_US" w:bidi="en_US"/>
        </w:rPr>
        <w:t xml:space="preserve">It indicates that Jesus’ sweat was </w:t>
      </w:r>
      <w:r>
        <w:rPr>
          <w:u w:val="single"/>
          <w:lang w:val="en_US" w:bidi="en_US"/>
        </w:rPr>
        <w:t>like</w:t>
      </w:r>
      <w:r>
        <w:rPr>
          <w:lang w:val="en_US" w:bidi="en_US"/>
        </w:rPr>
        <w:t xml:space="preserve"> blood falling to the ground. It implies that he was sweating so much that drops of sweat fell to the ground as blood does when a person is bleeding. For example:</w:t>
      </w:r>
      <w:r>
        <w:rPr>
          <w:lang w:val="en_US" w:bidi="en_US"/>
        </w:rPr>
        <w:t xml:space="preserve">…his sweat fell to the ground like great drops of blood. (NLT) </w:t>
      </w:r>
      <w:r>
        <w:rPr>
          <w:i/>
          <w:lang w:val="en_US" w:bidi="en_US"/>
        </w:rPr>
        <w:t>(BSB, NLT, CEV, NJB)</w:t>
      </w:r>
    </w:p>
    <w:p>
      <w:pPr>
        <w:pStyle w:val="ListNumber"/>
        <w:spacing w:line="240" w:lineRule="auto"/>
        <w:ind w:left="720"/>
      </w:pPr>
      <w:r>
        <w:rPr>
          <w:lang w:val="en_US" w:bidi="en_US"/>
        </w:rPr>
      </w:r>
      <w:r>
        <w:rPr>
          <w:lang w:val="en_US" w:bidi="en_US"/>
        </w:rPr>
        <w:t xml:space="preserve">It indicates that Jesus’ sweat </w:t>
      </w:r>
      <w:r>
        <w:rPr>
          <w:u w:val="single"/>
          <w:lang w:val="en_US" w:bidi="en_US"/>
        </w:rPr>
        <w:t>became</w:t>
      </w:r>
      <w:r>
        <w:rPr>
          <w:lang w:val="en_US" w:bidi="en_US"/>
        </w:rPr>
        <w:t xml:space="preserve"> bloody. Some scholars believe that Jesus began to bleed and that blood mixed with his sweat and fell to the ground. For example:</w:t>
      </w:r>
      <w:r>
        <w:rPr>
          <w:lang w:val="en_US" w:bidi="en_US"/>
        </w:rPr>
        <w:t xml:space="preserve">…His sweat became like drops of blood, falling down upon the ground. (NASB) </w:t>
      </w:r>
      <w:r>
        <w:rPr>
          <w:i/>
          <w:lang w:val="en_US" w:bidi="en_US"/>
        </w:rPr>
        <w:t>(NASB)</w:t>
      </w:r>
    </w:p>
    <w:p>
      <w:pPr/>
      <w:r>
        <w:rPr>
          <w:lang w:val="en_US" w:bidi="en_US"/>
        </w:rPr>
      </w:r>
      <w:r>
        <w:rPr>
          <w:lang w:val="en_US" w:bidi="en_US"/>
        </w:rPr>
        <w:t>Most English versions are ambiguous.</w:t>
      </w:r>
      <w:r>
        <w:rPr>
          <w:lang w:val="en_US" w:bidi="en_US"/>
        </w:rPr>
        <w:t>Even the English versions that are listed here under the interpretations are actually somewhat ambiguous. The wording of the NASB is similar to other versions like the NRSV, but the comma after the word “blood” seems to imply that the modifier “falling upon the ground” is more purely descriptive, thus seeming to imply that the sweat became like actual blood, rather than referring to the manner of it falling to the ground.</w:t>
      </w:r>
      <w:r>
        <w:rPr>
          <w:lang w:val="en_US" w:bidi="en_US"/>
        </w:rPr>
        <w:t xml:space="preserve"> If it is natural in your language, you can translate it so that either interpretation may be understood. If you need to be specific, it is recommended that you follow interpretation (1).</w:t>
      </w:r>
    </w:p>
    <w:p>
      <w:pPr/>
      <w:r>
        <w:rPr>
          <w:lang w:val="en_US" w:bidi="en_US"/>
        </w:rPr>
      </w:r>
      <w:r>
        <w:rPr>
          <w:b/>
          <w:lang w:val="en_US" w:bidi="en_US"/>
        </w:rPr>
        <w:t>drops of blood:</w:t>
      </w:r>
      <w:r>
        <w:rPr>
          <w:lang w:val="en_US" w:bidi="en_US"/>
        </w:rPr>
        <w:t xml:space="preserve"> The Greek word that the BSB translates as </w:t>
      </w:r>
      <w:r>
        <w:rPr>
          <w:i/>
          <w:lang w:val="en_US" w:bidi="en_US"/>
        </w:rPr>
        <w:t>drops</w:t>
      </w:r>
      <w:r>
        <w:rPr>
          <w:lang w:val="en_US" w:bidi="en_US"/>
        </w:rPr>
        <w:t xml:space="preserve"> occurs only here in the New Testament. It refers to very small amounts of a liquid. Blood or sweat often form </w:t>
      </w:r>
      <w:r>
        <w:rPr>
          <w:i/>
          <w:lang w:val="en_US" w:bidi="en_US"/>
        </w:rPr>
        <w:t>drops</w:t>
      </w:r>
      <w:r>
        <w:rPr>
          <w:lang w:val="en_US" w:bidi="en_US"/>
        </w:rPr>
        <w:t xml:space="preserve"> and sit on the skin like little separate bits of liquid. In English these bits are called </w:t>
      </w:r>
      <w:r>
        <w:rPr>
          <w:i/>
          <w:lang w:val="en_US" w:bidi="en_US"/>
        </w:rPr>
        <w:t>drops</w:t>
      </w:r>
      <w:r>
        <w:rPr>
          <w:lang w:val="en_US" w:bidi="en_US"/>
        </w:rPr>
        <w:t xml:space="preserve"> or “beads” (“beads of sweat”). Languages have different words to describe very small amounts of blood. Use a natural word in your language to describe this.</w:t>
      </w:r>
      <w:r>
        <w:rPr>
          <w:lang w:val="en_US" w:bidi="en_US"/>
        </w:rPr>
      </w:r>
      <w:r>
        <w:rPr>
          <w:lang w:val="en_US" w:bidi="en_US"/>
        </w:rPr>
      </w:r>
    </w:p>
    <w:p>
      <w:pPr/>
      <w:r>
        <w:rPr>
          <w:lang w:val="en_US" w:bidi="en_US"/>
        </w:rPr>
      </w:r>
    </w:p>
    <w:p>
      <w:pPr>
        <w:pStyle w:val="Heading2"/>
      </w:pPr>
      <w:r>
        <w:rPr>
          <w:lang w:val="en_US" w:bidi="en_US"/>
        </w:rPr>
        <w:t>Luke 22:45</w:t>
      </w:r>
      <w:r>
        <w:rPr>
          <w:lang w:val="en_US" w:bidi="en_US"/>
        </w:rPr>
      </w:r>
    </w:p>
    <w:p>
      <w:pPr>
        <w:pStyle w:val="Heading4"/>
      </w:pPr>
      <w:r>
        <w:rPr>
          <w:lang w:val="en_US" w:bidi="en_US"/>
        </w:rPr>
        <w:t>Section 22:39–46: Jesus prayed in a garden called Gethsemane</w:t>
      </w:r>
    </w:p>
    <w:p>
      <w:pPr/>
      <w:r>
        <w:rPr>
          <w:lang w:val="en_US" w:bidi="en_US"/>
        </w:rPr>
      </w:r>
      <w:r>
        <w:rPr>
          <w:lang w:val="en_US" w:bidi="en_US"/>
        </w:rPr>
        <w:t>Jesus then went out to the Mount of Olives with his disciples. There he prayed to God about his coming suffering, and there his enemies, whom Judas was leading, arrested him.</w:t>
      </w:r>
    </w:p>
    <w:p>
      <w:pPr/>
      <w:r>
        <w:rPr>
          <w:lang w:val="en_US" w:bidi="en_US"/>
        </w:rPr>
      </w:r>
      <w:r>
        <w:rPr>
          <w:lang w:val="en_US" w:bidi="en_US"/>
        </w:rPr>
        <w:t>Jesus knew that his enemies would soon arrest him. So during this last time that he had with his disciples, he prayed to God and encouraged them to pray to God. He told his disciples to pray that they would not be overcome by temptation. Jesus also prayed that he himself would do what his heavenly Father wanted rather than what he himself wanted.</w:t>
      </w:r>
    </w:p>
    <w:p>
      <w:pPr/>
      <w:r>
        <w:rPr>
          <w:lang w:val="en_US" w:bidi="en_US"/>
        </w:rPr>
      </w:r>
      <w:r>
        <w:rPr>
          <w:lang w:val="en_US" w:bidi="en_US"/>
        </w:rPr>
        <w:t>Other examples of headings for this section are:</w:t>
      </w:r>
    </w:p>
    <w:p>
      <w:pPr/>
      <w:r>
        <w:rPr>
          <w:lang w:val="en_US" w:bidi="en_US"/>
        </w:rPr>
      </w:r>
      <w:r>
        <w:rPr>
          <w:lang w:val="en_US" w:bidi="en_US"/>
        </w:rPr>
        <w:t>Jesus Prays on the Mount of Olives (GNT)</w:t>
      </w:r>
    </w:p>
    <w:p>
      <w:pPr/>
      <w:r>
        <w:rPr>
          <w:lang w:val="en_US" w:bidi="en_US"/>
        </w:rPr>
      </w:r>
      <w:r>
        <w:rPr>
          <w:lang w:val="en_US" w:bidi="en_US"/>
        </w:rPr>
        <w:t>Jesus Prays Alone (NCV)</w:t>
      </w:r>
    </w:p>
    <w:p>
      <w:pPr/>
      <w:r>
        <w:rPr>
          <w:lang w:val="en_US" w:bidi="en_US"/>
        </w:rPr>
      </w:r>
      <w:r>
        <w:rPr>
          <w:lang w:val="en_US" w:bidi="en_US"/>
        </w:rPr>
        <w:t>The Garden of Gethsemane</w:t>
      </w:r>
    </w:p>
    <w:p>
      <w:pPr/>
      <w:r>
        <w:rPr>
          <w:lang w:val="en_US" w:bidi="en_US"/>
        </w:rPr>
      </w:r>
      <w:r>
        <w:rPr>
          <w:lang w:val="en_US" w:bidi="en_US"/>
        </w:rPr>
        <w:t>There are parallel passages for this section in Matthew 26:36–46 and Mark 14:32–42.</w:t>
      </w:r>
    </w:p>
    <w:p>
      <w:pPr>
        <w:pStyle w:val="Heading5"/>
      </w:pPr>
      <w:r>
        <w:rPr>
          <w:lang w:val="en_US" w:bidi="en_US"/>
        </w:rPr>
        <w:t>22:45a</w:t>
      </w:r>
    </w:p>
    <w:p>
      <w:pPr/>
      <w:r>
        <w:rPr>
          <w:lang w:val="en_US" w:bidi="en_US"/>
        </w:rPr>
      </w:r>
      <w:r>
        <w:rPr>
          <w:b/>
          <w:lang w:val="en_US" w:bidi="en_US"/>
        </w:rPr>
        <w:t>When Jesus rose from prayer and returned to the disciples,</w:t>
      </w:r>
    </w:p>
    <w:p>
      <w:pPr>
        <w:pStyle w:val="ListBullet"/>
        <w:spacing w:line="240" w:lineRule="auto"/>
        <w:ind w:left="720"/>
      </w:pPr>
      <w:r>
        <w:rPr>
          <w:lang w:val="en_US" w:bidi="en_US"/>
        </w:rPr>
      </w:r>
      <w:r>
        <w:rPr>
          <w:lang w:val="en_US" w:bidi="en_US"/>
        </w:rPr>
        <w:t>¶ When he finished praying and returned to the disciples,</w:t>
      </w:r>
    </w:p>
    <w:p>
      <w:pPr>
        <w:pStyle w:val="ListBullet"/>
        <w:spacing w:line="240" w:lineRule="auto"/>
        <w:ind w:left="720"/>
      </w:pPr>
      <w:r>
        <w:rPr>
          <w:lang w:val="en_US" w:bidi="en_US"/>
        </w:rPr>
      </w:r>
      <w:r>
        <w:rPr>
          <w:lang w:val="en_US" w:bidi="en_US"/>
        </w:rPr>
        <w:t xml:space="preserve">¶ After his prayer, he rose </w:t>
      </w:r>
      <w:r>
        <w:rPr>
          <w:lang w:val="en_US" w:bidi="en_US"/>
        </w:rPr>
        <w:t>from his knees</w:t>
      </w:r>
      <w:r>
        <w:rPr>
          <w:lang w:val="en_US" w:bidi="en_US"/>
        </w:rPr>
        <w:t xml:space="preserve"> to go back to his disciples.</w:t>
      </w:r>
    </w:p>
    <w:p>
      <w:pPr>
        <w:pStyle w:val="ListBullet"/>
        <w:spacing w:line="240" w:lineRule="auto"/>
        <w:ind w:left="720"/>
      </w:pPr>
      <w:r>
        <w:rPr>
          <w:lang w:val="en_US" w:bidi="en_US"/>
        </w:rPr>
      </w:r>
      <w:r>
        <w:rPr>
          <w:lang w:val="en_US" w:bidi="en_US"/>
        </w:rPr>
        <w:t xml:space="preserve">¶ After </w:t>
      </w:r>
      <w:r>
        <w:rPr>
          <w:lang w:val="en_US" w:bidi="en_US"/>
        </w:rPr>
        <w:t>some time</w:t>
      </w:r>
      <w:r>
        <w:rPr>
          <w:lang w:val="en_US" w:bidi="en_US"/>
        </w:rPr>
        <w:t>, Jesus ended his prayer and went back to his disciples.</w:t>
      </w:r>
    </w:p>
    <w:p>
      <w:pPr/>
      <w:r>
        <w:rPr>
          <w:lang w:val="en_US" w:bidi="en_US"/>
        </w:rPr>
      </w:r>
      <w:r>
        <w:rPr>
          <w:b/>
          <w:lang w:val="en_US" w:bidi="en_US"/>
        </w:rPr>
        <w:t>When Jesus rose from prayer and returned to the disciples:</w:t>
      </w:r>
      <w:r>
        <w:rPr>
          <w:lang w:val="en_US" w:bidi="en_US"/>
        </w:rPr>
        <w:t xml:space="preserve"> The phrase </w:t>
      </w:r>
      <w:r>
        <w:rPr>
          <w:i/>
          <w:lang w:val="en_US" w:bidi="en_US"/>
        </w:rPr>
        <w:t>Jesus rose from prayer</w:t>
      </w:r>
      <w:r>
        <w:rPr>
          <w:lang w:val="en_US" w:bidi="en_US"/>
        </w:rPr>
        <w:t xml:space="preserve"> indicates that Jesus finished praying and stood up. He had been kneeling as he prayed. Then he returned to where his disciples were. They were waiting where he left them in 22:41. Some other ways to translate this are:</w:t>
      </w:r>
    </w:p>
    <w:p>
      <w:pPr/>
      <w:r>
        <w:rPr>
          <w:lang w:val="en_US" w:bidi="en_US"/>
        </w:rPr>
      </w:r>
      <w:r>
        <w:rPr>
          <w:lang w:val="en_US" w:bidi="en_US"/>
        </w:rPr>
        <w:t>When Jesus ended his prayer, he got up and went to the disciples. (GW)</w:t>
      </w:r>
    </w:p>
    <w:p>
      <w:pPr/>
      <w:r>
        <w:rPr>
          <w:lang w:val="en_US" w:bidi="en_US"/>
        </w:rPr>
      </w:r>
      <w:r>
        <w:rPr>
          <w:lang w:val="en_US" w:bidi="en_US"/>
        </w:rPr>
        <w:t xml:space="preserve">After he had spoken to God </w:t>
      </w:r>
      <w:r>
        <w:rPr>
          <w:lang w:val="en_US" w:bidi="en_US"/>
        </w:rPr>
        <w:t>like this</w:t>
      </w:r>
      <w:r>
        <w:rPr>
          <w:lang w:val="en_US" w:bidi="en_US"/>
        </w:rPr>
        <w:t>, Jesus stood up and came to his disciples.</w:t>
      </w:r>
    </w:p>
    <w:p>
      <w:pPr/>
      <w:r>
        <w:rPr>
          <w:lang w:val="en_US" w:bidi="en_US"/>
        </w:rPr>
      </w:r>
      <w:r>
        <w:rPr>
          <w:lang w:val="en_US" w:bidi="en_US"/>
        </w:rPr>
        <w:t>Jesus got up from praying and went over to his disciples.</w:t>
      </w:r>
    </w:p>
    <w:p>
      <w:pPr/>
      <w:r>
        <w:rPr>
          <w:lang w:val="en_US" w:bidi="en_US"/>
        </w:rPr>
      </w:r>
      <w:r>
        <w:rPr>
          <w:lang w:val="en_US" w:bidi="en_US"/>
        </w:rPr>
        <w:t>In some languages it may not be natural to mention that Jesus stood up. If that is true in your language, you may leave it implied. For example:</w:t>
      </w:r>
    </w:p>
    <w:p>
      <w:pPr/>
      <w:r>
        <w:rPr>
          <w:lang w:val="en_US" w:bidi="en_US"/>
        </w:rPr>
      </w:r>
      <w:r>
        <w:rPr>
          <w:lang w:val="en_US" w:bidi="en_US"/>
        </w:rPr>
        <w:t>When he finished praying, he went to his followers (NCV)</w:t>
      </w:r>
    </w:p>
    <w:p>
      <w:pPr>
        <w:pStyle w:val="Heading5"/>
      </w:pPr>
      <w:r>
        <w:rPr>
          <w:lang w:val="en_US" w:bidi="en_US"/>
        </w:rPr>
        <w:t>22:45b</w:t>
      </w:r>
    </w:p>
    <w:p>
      <w:pPr/>
      <w:r>
        <w:rPr>
          <w:lang w:val="en_US" w:bidi="en_US"/>
        </w:rPr>
      </w:r>
      <w:r>
        <w:rPr>
          <w:b/>
          <w:lang w:val="en_US" w:bidi="en_US"/>
        </w:rPr>
        <w:t>He found them asleep,</w:t>
      </w:r>
    </w:p>
    <w:p>
      <w:pPr>
        <w:pStyle w:val="ListBullet"/>
        <w:spacing w:line="240" w:lineRule="auto"/>
        <w:ind w:left="720"/>
      </w:pPr>
      <w:r>
        <w:rPr>
          <w:lang w:val="en_US" w:bidi="en_US"/>
        </w:rPr>
      </w:r>
      <w:r>
        <w:rPr>
          <w:lang w:val="en_US" w:bidi="en_US"/>
        </w:rPr>
        <w:t>he saw that they were asleep</w:t>
      </w:r>
    </w:p>
    <w:p>
      <w:pPr>
        <w:pStyle w:val="ListBullet"/>
        <w:spacing w:line="240" w:lineRule="auto"/>
        <w:ind w:left="720"/>
      </w:pPr>
      <w:r>
        <w:rPr>
          <w:lang w:val="en_US" w:bidi="en_US"/>
        </w:rPr>
      </w:r>
      <w:r>
        <w:rPr>
          <w:lang w:val="en_US" w:bidi="en_US"/>
        </w:rPr>
        <w:t>When he came to them, they were sleeping.</w:t>
      </w:r>
    </w:p>
    <w:p>
      <w:pPr/>
      <w:r>
        <w:rPr>
          <w:lang w:val="en_US" w:bidi="en_US"/>
        </w:rPr>
      </w:r>
      <w:r>
        <w:rPr>
          <w:b/>
          <w:lang w:val="en_US" w:bidi="en_US"/>
        </w:rPr>
        <w:t>He found them asleep:</w:t>
      </w:r>
      <w:r>
        <w:rPr>
          <w:lang w:val="en_US" w:bidi="en_US"/>
        </w:rPr>
        <w:t xml:space="preserve"> The clause </w:t>
      </w:r>
      <w:r>
        <w:rPr>
          <w:i/>
          <w:lang w:val="en_US" w:bidi="en_US"/>
        </w:rPr>
        <w:t>He found them asleep</w:t>
      </w:r>
      <w:r>
        <w:rPr>
          <w:lang w:val="en_US" w:bidi="en_US"/>
        </w:rPr>
        <w:t xml:space="preserve"> indicates that when Jesus came to his disciples, he saw that they were sleeping. It does not imply that Jesus did not know where they were and had to search for them. Another way to translate this clause is:</w:t>
      </w:r>
    </w:p>
    <w:p>
      <w:pPr/>
      <w:r>
        <w:rPr>
          <w:lang w:val="en_US" w:bidi="en_US"/>
        </w:rPr>
      </w:r>
      <w:r>
        <w:rPr>
          <w:lang w:val="en_US" w:bidi="en_US"/>
        </w:rPr>
        <w:t>he saw that they were asleep</w:t>
      </w:r>
    </w:p>
    <w:p>
      <w:pPr/>
      <w:r>
        <w:rPr>
          <w:lang w:val="en_US" w:bidi="en_US"/>
        </w:rPr>
      </w:r>
      <w:r>
        <w:rPr>
          <w:lang w:val="en_US" w:bidi="en_US"/>
        </w:rPr>
        <w:t xml:space="preserve">In some languages it is clear from the context that Jesus saw them, and a verb like </w:t>
      </w:r>
      <w:r>
        <w:rPr>
          <w:i/>
          <w:lang w:val="en_US" w:bidi="en_US"/>
        </w:rPr>
        <w:t>found</w:t>
      </w:r>
      <w:r>
        <w:rPr>
          <w:lang w:val="en_US" w:bidi="en_US"/>
        </w:rPr>
        <w:t xml:space="preserve"> or “saw” may seem unnecessary. If that is true in your language, you may leave it implied. For example:</w:t>
      </w:r>
    </w:p>
    <w:p>
      <w:pPr/>
      <w:r>
        <w:rPr>
          <w:lang w:val="en_US" w:bidi="en_US"/>
        </w:rPr>
      </w:r>
      <w:r>
        <w:rPr>
          <w:lang w:val="en_US" w:bidi="en_US"/>
        </w:rPr>
        <w:t>they were sleeping</w:t>
      </w:r>
    </w:p>
    <w:p>
      <w:pPr>
        <w:pStyle w:val="Heading5"/>
      </w:pPr>
      <w:r>
        <w:rPr>
          <w:lang w:val="en_US" w:bidi="en_US"/>
        </w:rPr>
        <w:t>22:45c</w:t>
      </w:r>
    </w:p>
    <w:p>
      <w:pPr/>
      <w:r>
        <w:rPr>
          <w:lang w:val="en_US" w:bidi="en_US"/>
        </w:rPr>
      </w:r>
      <w:r>
        <w:rPr>
          <w:b/>
          <w:lang w:val="en_US" w:bidi="en_US"/>
        </w:rPr>
        <w:t>exhausted from sorrow.</w:t>
      </w:r>
    </w:p>
    <w:p>
      <w:pPr>
        <w:pStyle w:val="ListBullet"/>
        <w:spacing w:line="240" w:lineRule="auto"/>
        <w:ind w:left="720"/>
      </w:pPr>
      <w:r>
        <w:rPr>
          <w:lang w:val="en_US" w:bidi="en_US"/>
        </w:rPr>
      </w:r>
      <w:r>
        <w:rPr>
          <w:lang w:val="en_US" w:bidi="en_US"/>
        </w:rPr>
        <w:t>because of grief.</w:t>
      </w:r>
    </w:p>
    <w:p>
      <w:pPr>
        <w:pStyle w:val="ListBullet"/>
        <w:spacing w:line="240" w:lineRule="auto"/>
        <w:ind w:left="720"/>
      </w:pPr>
      <w:r>
        <w:rPr>
          <w:lang w:val="en_US" w:bidi="en_US"/>
        </w:rPr>
      </w:r>
      <w:r>
        <w:rPr>
          <w:lang w:val="en_US" w:bidi="en_US"/>
        </w:rPr>
        <w:t>Their sorrow/distress had made them very weary/tired.</w:t>
      </w:r>
    </w:p>
    <w:p>
      <w:pPr>
        <w:pStyle w:val="ListBullet"/>
        <w:spacing w:line="240" w:lineRule="auto"/>
        <w:ind w:left="720"/>
      </w:pPr>
      <w:r>
        <w:rPr>
          <w:lang w:val="en_US" w:bidi="en_US"/>
        </w:rPr>
      </w:r>
      <w:r>
        <w:rPr>
          <w:lang w:val="en_US" w:bidi="en_US"/>
        </w:rPr>
        <w:t>They had been so distressed that they felt exhausted.</w:t>
      </w:r>
    </w:p>
    <w:p>
      <w:pPr/>
      <w:r>
        <w:rPr>
          <w:lang w:val="en_US" w:bidi="en_US"/>
        </w:rPr>
      </w:r>
      <w:r>
        <w:rPr>
          <w:b/>
          <w:lang w:val="en_US" w:bidi="en_US"/>
        </w:rPr>
        <w:t>exhausted from sorrow:</w:t>
      </w:r>
      <w:r>
        <w:rPr>
          <w:lang w:val="en_US" w:bidi="en_US"/>
        </w:rPr>
        <w:t xml:space="preserve"> The Greek phrase that the BSB translates as </w:t>
      </w:r>
      <w:r>
        <w:rPr>
          <w:i/>
          <w:lang w:val="en_US" w:bidi="en_US"/>
        </w:rPr>
        <w:t>exhausted from sorrow</w:t>
      </w:r>
      <w:r>
        <w:rPr>
          <w:lang w:val="en_US" w:bidi="en_US"/>
        </w:rPr>
        <w:t xml:space="preserve"> is more literally “from the grief.” The BSB supplied the word </w:t>
      </w:r>
      <w:r>
        <w:rPr>
          <w:i/>
          <w:lang w:val="en_US" w:bidi="en_US"/>
        </w:rPr>
        <w:t>exhausted</w:t>
      </w:r>
      <w:r>
        <w:rPr>
          <w:lang w:val="en_US" w:bidi="en_US"/>
        </w:rPr>
        <w:t xml:space="preserve"> to make the meaning clearer in English.</w:t>
      </w:r>
    </w:p>
    <w:p>
      <w:pPr/>
      <w:r>
        <w:rPr>
          <w:lang w:val="en_US" w:bidi="en_US"/>
        </w:rPr>
      </w:r>
      <w:r>
        <w:rPr>
          <w:lang w:val="en_US" w:bidi="en_US"/>
        </w:rPr>
        <w:t xml:space="preserve">The phrase </w:t>
      </w:r>
      <w:r>
        <w:rPr>
          <w:i/>
          <w:lang w:val="en_US" w:bidi="en_US"/>
        </w:rPr>
        <w:t>exhausted from sorrow</w:t>
      </w:r>
      <w:r>
        <w:rPr>
          <w:lang w:val="en_US" w:bidi="en_US"/>
        </w:rPr>
        <w:t xml:space="preserve"> tells the reason that the disciples were sleeping. They were sleeping because of their sorrow. They felt tired and weak because of all the grief that they had felt that night, so they slept. It was hard for them to think anymore about the suffering that Jesus was about to endure.</w:t>
      </w:r>
    </w:p>
    <w:p>
      <w:pPr/>
      <w:r>
        <w:rPr>
          <w:lang w:val="en_US" w:bidi="en_US"/>
        </w:rPr>
      </w:r>
      <w:r>
        <w:rPr>
          <w:lang w:val="en_US" w:bidi="en_US"/>
        </w:rPr>
        <w:t>Some other ways to make the connection clear are:</w:t>
      </w:r>
    </w:p>
    <w:p>
      <w:pPr/>
      <w:r>
        <w:rPr>
          <w:lang w:val="en_US" w:bidi="en_US"/>
        </w:rPr>
      </w:r>
      <w:r>
        <w:rPr>
          <w:lang w:val="en_US" w:bidi="en_US"/>
        </w:rPr>
        <w:t>because of grief</w:t>
      </w:r>
    </w:p>
    <w:p>
      <w:pPr/>
      <w:r>
        <w:rPr>
          <w:lang w:val="en_US" w:bidi="en_US"/>
        </w:rPr>
      </w:r>
      <w:r>
        <w:rPr>
          <w:lang w:val="en_US" w:bidi="en_US"/>
        </w:rPr>
        <w:t>They slept</w:t>
      </w:r>
      <w:r>
        <w:rPr>
          <w:lang w:val="en_US" w:bidi="en_US"/>
        </w:rPr>
        <w:t xml:space="preserve"> because they were exhausted by all the grief/sadness they felt.</w:t>
      </w:r>
    </w:p>
    <w:p>
      <w:pPr/>
      <w:r>
        <w:rPr>
          <w:lang w:val="en_US" w:bidi="en_US"/>
        </w:rPr>
      </w:r>
      <w:r>
        <w:rPr>
          <w:lang w:val="en_US" w:bidi="en_US"/>
        </w:rPr>
        <w:t>they were so weak because of their grief.</w:t>
      </w:r>
      <w:r>
        <w:rPr>
          <w:lang w:val="en_US" w:bidi="en_US"/>
        </w:rPr>
        <w:t>Western Bukidnon Manobo back translation on TW.</w:t>
      </w:r>
    </w:p>
    <w:p>
      <w:pPr/>
      <w:r>
        <w:rPr>
          <w:lang w:val="en_US" w:bidi="en_US"/>
        </w:rPr>
      </w:r>
      <w:r>
        <w:rPr>
          <w:lang w:val="en_US" w:bidi="en_US"/>
        </w:rPr>
        <w:t>In some languages there is an idiom to express this. For example:</w:t>
      </w:r>
    </w:p>
    <w:p>
      <w:pPr/>
      <w:r>
        <w:rPr>
          <w:lang w:val="en_US" w:bidi="en_US"/>
        </w:rPr>
      </w:r>
      <w:r>
        <w:rPr>
          <w:lang w:val="en_US" w:bidi="en_US"/>
        </w:rPr>
        <w:t>because their hearts were so heavy</w:t>
      </w:r>
    </w:p>
    <w:p>
      <w:pPr/>
      <w:r>
        <w:rPr>
          <w:lang w:val="en_US" w:bidi="en_US"/>
        </w:rPr>
      </w:r>
      <w:r>
        <w:rPr>
          <w:lang w:val="en_US" w:bidi="en_US"/>
        </w:rPr>
        <w:t>worn out from being so sad (CEV)</w:t>
      </w:r>
    </w:p>
    <w:p>
      <w:pPr/>
      <w:r>
        <w:rPr>
          <w:lang w:val="en_US" w:bidi="en_US"/>
        </w:rPr>
      </w:r>
      <w:r>
        <w:rPr>
          <w:b/>
          <w:lang w:val="en_US" w:bidi="en_US"/>
        </w:rPr>
        <w:t>sorrow:</w:t>
      </w:r>
      <w:r>
        <w:rPr>
          <w:lang w:val="en_US" w:bidi="en_US"/>
        </w:rPr>
        <w:t xml:space="preserve"> Here the word </w:t>
      </w:r>
      <w:r>
        <w:rPr>
          <w:i/>
          <w:lang w:val="en_US" w:bidi="en_US"/>
        </w:rPr>
        <w:t>sorrow</w:t>
      </w:r>
      <w:r>
        <w:rPr>
          <w:lang w:val="en_US" w:bidi="en_US"/>
        </w:rPr>
        <w:t xml:space="preserve"> refers to the distress and anxiety that the disciples felt when Jesus talked about what would happen to him. They were troubled that he said that they would all forsake him. They were also grieved when he talked about how he would suffer and die. Use a natural word in your language to describe this feeling.</w:t>
      </w:r>
      <w:r>
        <w:rPr>
          <w:lang w:val="en_US" w:bidi="en_US"/>
        </w:rPr>
      </w:r>
      <w:r>
        <w:rPr>
          <w:lang w:val="en_US" w:bidi="en_US"/>
        </w:rPr>
      </w:r>
    </w:p>
    <w:p>
      <w:pPr/>
      <w:r>
        <w:rPr>
          <w:lang w:val="en_US" w:bidi="en_US"/>
        </w:rPr>
      </w:r>
    </w:p>
    <w:p>
      <w:pPr>
        <w:pStyle w:val="Heading2"/>
      </w:pPr>
      <w:r>
        <w:rPr>
          <w:lang w:val="en_US" w:bidi="en_US"/>
        </w:rPr>
        <w:t>Luke 22:46</w:t>
      </w:r>
      <w:r>
        <w:rPr>
          <w:lang w:val="en_US" w:bidi="en_US"/>
        </w:rPr>
      </w:r>
    </w:p>
    <w:p>
      <w:pPr>
        <w:pStyle w:val="Heading4"/>
      </w:pPr>
      <w:r>
        <w:rPr>
          <w:lang w:val="en_US" w:bidi="en_US"/>
        </w:rPr>
        <w:t>Section 22:39–46: Jesus prayed in a garden called Gethsemane</w:t>
      </w:r>
    </w:p>
    <w:p>
      <w:pPr/>
      <w:r>
        <w:rPr>
          <w:lang w:val="en_US" w:bidi="en_US"/>
        </w:rPr>
      </w:r>
      <w:r>
        <w:rPr>
          <w:lang w:val="en_US" w:bidi="en_US"/>
        </w:rPr>
        <w:t>Jesus then went out to the Mount of Olives with his disciples. There he prayed to God about his coming suffering, and there his enemies, whom Judas was leading, arrested him.</w:t>
      </w:r>
    </w:p>
    <w:p>
      <w:pPr/>
      <w:r>
        <w:rPr>
          <w:lang w:val="en_US" w:bidi="en_US"/>
        </w:rPr>
      </w:r>
      <w:r>
        <w:rPr>
          <w:lang w:val="en_US" w:bidi="en_US"/>
        </w:rPr>
        <w:t>Jesus knew that his enemies would soon arrest him. So during this last time that he had with his disciples, he prayed to God and encouraged them to pray to God. He told his disciples to pray that they would not be overcome by temptation. Jesus also prayed that he himself would do what his heavenly Father wanted rather than what he himself wanted.</w:t>
      </w:r>
    </w:p>
    <w:p>
      <w:pPr/>
      <w:r>
        <w:rPr>
          <w:lang w:val="en_US" w:bidi="en_US"/>
        </w:rPr>
      </w:r>
      <w:r>
        <w:rPr>
          <w:lang w:val="en_US" w:bidi="en_US"/>
        </w:rPr>
        <w:t>Other examples of headings for this section are:</w:t>
      </w:r>
    </w:p>
    <w:p>
      <w:pPr/>
      <w:r>
        <w:rPr>
          <w:lang w:val="en_US" w:bidi="en_US"/>
        </w:rPr>
      </w:r>
      <w:r>
        <w:rPr>
          <w:lang w:val="en_US" w:bidi="en_US"/>
        </w:rPr>
        <w:t>Jesus Prays on the Mount of Olives (GNT)</w:t>
      </w:r>
    </w:p>
    <w:p>
      <w:pPr/>
      <w:r>
        <w:rPr>
          <w:lang w:val="en_US" w:bidi="en_US"/>
        </w:rPr>
      </w:r>
      <w:r>
        <w:rPr>
          <w:lang w:val="en_US" w:bidi="en_US"/>
        </w:rPr>
        <w:t>Jesus Prays Alone (NCV)</w:t>
      </w:r>
    </w:p>
    <w:p>
      <w:pPr/>
      <w:r>
        <w:rPr>
          <w:lang w:val="en_US" w:bidi="en_US"/>
        </w:rPr>
      </w:r>
      <w:r>
        <w:rPr>
          <w:lang w:val="en_US" w:bidi="en_US"/>
        </w:rPr>
        <w:t>The Garden of Gethsemane</w:t>
      </w:r>
    </w:p>
    <w:p>
      <w:pPr/>
      <w:r>
        <w:rPr>
          <w:lang w:val="en_US" w:bidi="en_US"/>
        </w:rPr>
      </w:r>
      <w:r>
        <w:rPr>
          <w:lang w:val="en_US" w:bidi="en_US"/>
        </w:rPr>
        <w:t>There are parallel passages for this section in Matthew 26:36–46 and Mark 14:32–42.</w:t>
      </w:r>
    </w:p>
    <w:p>
      <w:pPr>
        <w:pStyle w:val="Heading5"/>
      </w:pPr>
      <w:r>
        <w:rPr>
          <w:lang w:val="en_US" w:bidi="en_US"/>
        </w:rPr>
        <w:t>22:46a</w:t>
      </w:r>
    </w:p>
    <w:p>
      <w:pPr/>
      <w:r>
        <w:rPr>
          <w:lang w:val="en_US" w:bidi="en_US"/>
        </w:rPr>
      </w:r>
      <w:r>
        <w:rPr>
          <w:b/>
          <w:lang w:val="en_US" w:bidi="en_US"/>
        </w:rPr>
        <w:t>“Why are you sleeping?” He asked.</w:t>
      </w:r>
    </w:p>
    <w:p>
      <w:pPr>
        <w:pStyle w:val="ListBullet"/>
        <w:spacing w:line="240" w:lineRule="auto"/>
        <w:ind w:left="720"/>
      </w:pPr>
      <w:r>
        <w:rPr>
          <w:lang w:val="en_US" w:bidi="en_US"/>
        </w:rPr>
      </w:r>
      <w:r>
        <w:rPr>
          <w:lang w:val="en_US" w:bidi="en_US"/>
        </w:rPr>
        <w:t>And he said to them, “Why should you</w:t>
      </w:r>
      <w:r>
        <w:rPr>
          <w:vertAlign w:val="superscript"/>
          <w:lang w:val="en_US" w:bidi="en_US"/>
        </w:rPr>
        <w:t>(plur)</w:t>
      </w:r>
      <w:r>
        <w:rPr>
          <w:lang w:val="en_US" w:bidi="en_US"/>
        </w:rPr>
        <w:t xml:space="preserve"> be sleeping?</w:t>
      </w:r>
    </w:p>
    <w:p>
      <w:pPr>
        <w:pStyle w:val="ListBullet"/>
        <w:spacing w:line="240" w:lineRule="auto"/>
        <w:ind w:left="720"/>
      </w:pPr>
      <w:r>
        <w:rPr>
          <w:lang w:val="en_US" w:bidi="en_US"/>
        </w:rPr>
      </w:r>
      <w:r>
        <w:rPr>
          <w:lang w:val="en_US" w:bidi="en_US"/>
        </w:rPr>
        <w:t>Then Jesus asked them, “Should you</w:t>
      </w:r>
      <w:r>
        <w:rPr>
          <w:vertAlign w:val="superscript"/>
          <w:lang w:val="en_US" w:bidi="en_US"/>
        </w:rPr>
        <w:t>(plur)</w:t>
      </w:r>
      <w:r>
        <w:rPr>
          <w:lang w:val="en_US" w:bidi="en_US"/>
        </w:rPr>
        <w:t xml:space="preserve"> </w:t>
      </w:r>
      <w:r>
        <w:rPr>
          <w:lang w:val="en_US" w:bidi="en_US"/>
        </w:rPr>
        <w:t>lie there</w:t>
      </w:r>
      <w:r>
        <w:rPr>
          <w:lang w:val="en_US" w:bidi="en_US"/>
        </w:rPr>
        <w:t xml:space="preserve"> asleep </w:t>
      </w:r>
      <w:r>
        <w:rPr>
          <w:lang w:val="en_US" w:bidi="en_US"/>
        </w:rPr>
        <w:t>in this time of temptation</w:t>
      </w:r>
      <w:r>
        <w:rPr>
          <w:lang w:val="en_US" w:bidi="en_US"/>
        </w:rPr>
        <w:t>?</w:t>
      </w:r>
    </w:p>
    <w:p>
      <w:pPr>
        <w:pStyle w:val="ListBullet"/>
        <w:spacing w:line="240" w:lineRule="auto"/>
        <w:ind w:left="720"/>
      </w:pPr>
      <w:r>
        <w:rPr>
          <w:lang w:val="en_US" w:bidi="en_US"/>
        </w:rPr>
      </w:r>
      <w:r>
        <w:rPr>
          <w:lang w:val="en_US" w:bidi="en_US"/>
        </w:rPr>
        <w:t>Jesus told them, “</w:t>
      </w:r>
      <w:r>
        <w:rPr>
          <w:lang w:val="en_US" w:bidi="en_US"/>
        </w:rPr>
        <w:t>It is not good for</w:t>
      </w:r>
      <w:r>
        <w:rPr>
          <w:lang w:val="en_US" w:bidi="en_US"/>
        </w:rPr>
        <w:t xml:space="preserve"> you to sleep now </w:t>
      </w:r>
      <w:r>
        <w:rPr>
          <w:lang w:val="en_US" w:bidi="en_US"/>
        </w:rPr>
        <w:t>when Satan wants to tempt you</w:t>
      </w:r>
      <w:r>
        <w:rPr>
          <w:lang w:val="en_US" w:bidi="en_US"/>
        </w:rPr>
        <w:t>.</w:t>
      </w:r>
    </w:p>
    <w:p>
      <w:pPr/>
      <w:r>
        <w:rPr>
          <w:lang w:val="en_US" w:bidi="en_US"/>
        </w:rPr>
      </w:r>
      <w:r>
        <w:rPr>
          <w:b/>
          <w:lang w:val="en_US" w:bidi="en_US"/>
        </w:rPr>
        <w:t>Why are you sleeping?:</w:t>
      </w:r>
      <w:r>
        <w:rPr>
          <w:lang w:val="en_US" w:bidi="en_US"/>
        </w:rPr>
        <w:t xml:space="preserve"> This is a rhetorical question. Jesus rebuked his disciples for sleeping after he told them to pray in 22:40. In 22:31 Jesus had told them that Satan wanted to tempt them. It was not right for them to sleep at that time when they needed to pray. In 22:46b Jesus again told them to pray.</w:t>
      </w:r>
    </w:p>
    <w:p>
      <w:pPr/>
      <w:r>
        <w:rPr>
          <w:lang w:val="en_US" w:bidi="en_US"/>
        </w:rPr>
      </w:r>
      <w:r>
        <w:rPr>
          <w:lang w:val="en_US" w:bidi="en_US"/>
        </w:rPr>
        <w:t>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Why are you asleep? (CEV)</w:t>
      </w:r>
    </w:p>
    <w:p>
      <w:pPr>
        <w:pStyle w:val="ListBullet"/>
        <w:spacing w:line="240" w:lineRule="auto"/>
        <w:ind w:left="720"/>
      </w:pPr>
      <w:r>
        <w:rPr>
          <w:lang w:val="en_US" w:bidi="en_US"/>
        </w:rPr>
      </w:r>
      <w:r>
        <w:rPr>
          <w:lang w:val="en_US" w:bidi="en_US"/>
        </w:rPr>
        <w:t>As a statement. For example:</w:t>
      </w:r>
      <w:r>
        <w:rPr>
          <w:lang w:val="en_US" w:bidi="en_US"/>
        </w:rPr>
        <w:t xml:space="preserve">It is not good that you are sleeping </w:t>
      </w:r>
      <w:r>
        <w:rPr>
          <w:lang w:val="en_US" w:bidi="en_US"/>
        </w:rPr>
        <w:t>now</w:t>
      </w:r>
      <w:r>
        <w:rPr>
          <w:lang w:val="en_US" w:bidi="en_US"/>
        </w:rPr>
        <w:t>.</w:t>
      </w:r>
    </w:p>
    <w:p>
      <w:pPr/>
      <w:r>
        <w:rPr>
          <w:lang w:val="en_US" w:bidi="en_US"/>
        </w:rPr>
      </w:r>
      <w:r>
        <w:rPr>
          <w:lang w:val="en_US" w:bidi="en_US"/>
        </w:rPr>
        <w:t>In some languages it may not be clear why Jesus rebuked his disciples. If that is true in your language, it may be necessary to include implied information here. For example:</w:t>
      </w:r>
    </w:p>
    <w:p>
      <w:pPr/>
      <w:r>
        <w:rPr>
          <w:lang w:val="en_US" w:bidi="en_US"/>
        </w:rPr>
      </w:r>
      <w:r>
        <w:rPr>
          <w:lang w:val="en_US" w:bidi="en_US"/>
        </w:rPr>
        <w:t xml:space="preserve">Is it good that you are sleeping </w:t>
      </w:r>
      <w:r>
        <w:rPr>
          <w:lang w:val="en_US" w:bidi="en_US"/>
        </w:rPr>
        <w:t>in this time of temptation</w:t>
      </w:r>
      <w:r>
        <w:rPr>
          <w:lang w:val="en_US" w:bidi="en_US"/>
        </w:rPr>
        <w:t>?</w:t>
      </w:r>
    </w:p>
    <w:p>
      <w:pPr/>
      <w:r>
        <w:rPr>
          <w:lang w:val="en_US" w:bidi="en_US"/>
        </w:rPr>
      </w:r>
      <w:r>
        <w:rPr>
          <w:lang w:val="en_US" w:bidi="en_US"/>
        </w:rPr>
        <w:t xml:space="preserve">Why are you sleeping? </w:t>
      </w:r>
      <w:r>
        <w:rPr>
          <w:lang w:val="en_US" w:bidi="en_US"/>
        </w:rPr>
        <w:t>You should be praying.</w:t>
      </w:r>
    </w:p>
    <w:p>
      <w:pPr/>
      <w:r>
        <w:rPr>
          <w:lang w:val="en_US" w:bidi="en_US"/>
        </w:rPr>
      </w:r>
      <w:r>
        <w:rPr>
          <w:b/>
          <w:lang w:val="en_US" w:bidi="en_US"/>
        </w:rPr>
        <w:t>He asked:</w:t>
      </w:r>
      <w:r>
        <w:rPr>
          <w:lang w:val="en_US" w:bidi="en_US"/>
        </w:rPr>
        <w:t xml:space="preserve"> In the Greek text, this clause occurs at the beginning of this verse. It is more literally, “and he said to them.” The BSB has placed the clause after the rhetorical question. Place it where it is natural in your language. If you translate the question as a statement, use an appropriate verb of speech in your language.</w:t>
      </w:r>
    </w:p>
    <w:p>
      <w:pPr/>
      <w:r>
        <w:rPr>
          <w:lang w:val="en_US" w:bidi="en_US"/>
        </w:rPr>
      </w:r>
      <w:r>
        <w:rPr>
          <w:lang w:val="en_US" w:bidi="en_US"/>
        </w:rPr>
        <w:t>The context implies that Jesus woke the disciples. The disciples may have awakened when Jesus returned, or Jesus may have awakened them by the question or in another way. In some languages it may be necessary to include implied information that shows that the disciples awakened and heard the question. For example:</w:t>
      </w:r>
    </w:p>
    <w:p>
      <w:pPr/>
      <w:r>
        <w:rPr>
          <w:lang w:val="en_US" w:bidi="en_US"/>
        </w:rPr>
      </w:r>
      <w:r>
        <w:rPr>
          <w:lang w:val="en_US" w:bidi="en_US"/>
        </w:rPr>
        <w:t>awakened them and</w:t>
      </w:r>
      <w:r>
        <w:rPr>
          <w:lang w:val="en_US" w:bidi="en_US"/>
        </w:rPr>
        <w:t xml:space="preserve"> said</w:t>
      </w:r>
    </w:p>
    <w:p>
      <w:pPr>
        <w:pStyle w:val="Heading5"/>
      </w:pPr>
      <w:r>
        <w:rPr>
          <w:lang w:val="en_US" w:bidi="en_US"/>
        </w:rPr>
        <w:t>22:46b</w:t>
      </w:r>
    </w:p>
    <w:p>
      <w:pPr/>
      <w:r>
        <w:rPr>
          <w:lang w:val="en_US" w:bidi="en_US"/>
        </w:rPr>
      </w:r>
      <w:r>
        <w:rPr>
          <w:b/>
          <w:lang w:val="en_US" w:bidi="en_US"/>
        </w:rPr>
        <w:t>“Get up and pray so that you will not enter into temptation.”</w:t>
      </w:r>
    </w:p>
    <w:p>
      <w:pPr>
        <w:pStyle w:val="ListBullet"/>
        <w:spacing w:line="240" w:lineRule="auto"/>
        <w:ind w:left="720"/>
      </w:pPr>
      <w:r>
        <w:rPr>
          <w:lang w:val="en_US" w:bidi="en_US"/>
        </w:rPr>
      </w:r>
      <w:r>
        <w:rPr>
          <w:lang w:val="en_US" w:bidi="en_US"/>
        </w:rPr>
        <w:t>Rise and pray so that when you</w:t>
      </w:r>
      <w:r>
        <w:rPr>
          <w:vertAlign w:val="superscript"/>
          <w:lang w:val="en_US" w:bidi="en_US"/>
        </w:rPr>
        <w:t>(plur)</w:t>
      </w:r>
      <w:r>
        <w:rPr>
          <w:lang w:val="en_US" w:bidi="en_US"/>
        </w:rPr>
        <w:t xml:space="preserve"> are tempted, you will not yield/sin.”</w:t>
      </w:r>
    </w:p>
    <w:p>
      <w:pPr>
        <w:pStyle w:val="ListBullet"/>
        <w:spacing w:line="240" w:lineRule="auto"/>
        <w:ind w:left="720"/>
      </w:pPr>
      <w:r>
        <w:rPr>
          <w:lang w:val="en_US" w:bidi="en_US"/>
        </w:rPr>
      </w:r>
      <w:r>
        <w:rPr>
          <w:lang w:val="en_US" w:bidi="en_US"/>
        </w:rPr>
        <w:t xml:space="preserve">Wake up and ask/beg </w:t>
      </w:r>
      <w:r>
        <w:rPr>
          <w:lang w:val="en_US" w:bidi="en_US"/>
        </w:rPr>
        <w:t>God</w:t>
      </w:r>
      <w:r>
        <w:rPr>
          <w:lang w:val="en_US" w:bidi="en_US"/>
        </w:rPr>
        <w:t xml:space="preserve"> that </w:t>
      </w:r>
      <w:r>
        <w:rPr>
          <w:lang w:val="en_US" w:bidi="en_US"/>
        </w:rPr>
        <w:t>he will help</w:t>
      </w:r>
      <w:r>
        <w:rPr>
          <w:lang w:val="en_US" w:bidi="en_US"/>
        </w:rPr>
        <w:t xml:space="preserve"> you</w:t>
      </w:r>
      <w:r>
        <w:rPr>
          <w:vertAlign w:val="superscript"/>
          <w:lang w:val="en_US" w:bidi="en_US"/>
        </w:rPr>
        <w:t>(plur)</w:t>
      </w:r>
      <w:r>
        <w:rPr>
          <w:lang w:val="en_US" w:bidi="en_US"/>
        </w:rPr>
        <w:t xml:space="preserve"> to overcome/refuse the temptation </w:t>
      </w:r>
      <w:r>
        <w:rPr>
          <w:lang w:val="en_US" w:bidi="en_US"/>
        </w:rPr>
        <w:t>to stop trusting me</w:t>
      </w:r>
      <w:r>
        <w:rPr>
          <w:lang w:val="en_US" w:bidi="en_US"/>
        </w:rPr>
        <w:t>.”</w:t>
      </w:r>
    </w:p>
    <w:p>
      <w:pPr>
        <w:pStyle w:val="ListBullet"/>
        <w:spacing w:line="240" w:lineRule="auto"/>
        <w:ind w:left="720"/>
      </w:pPr>
      <w:r>
        <w:rPr>
          <w:lang w:val="en_US" w:bidi="en_US"/>
        </w:rPr>
      </w:r>
      <w:r>
        <w:rPr>
          <w:lang w:val="en_US" w:bidi="en_US"/>
        </w:rPr>
        <w:t xml:space="preserve">Stand up and pray that when </w:t>
      </w:r>
      <w:r>
        <w:rPr>
          <w:lang w:val="en_US" w:bidi="en_US"/>
        </w:rPr>
        <w:t>Satan</w:t>
      </w:r>
      <w:r>
        <w:rPr>
          <w:lang w:val="en_US" w:bidi="en_US"/>
        </w:rPr>
        <w:t xml:space="preserve"> tempts you</w:t>
      </w:r>
      <w:r>
        <w:rPr>
          <w:vertAlign w:val="superscript"/>
          <w:lang w:val="en_US" w:bidi="en_US"/>
        </w:rPr>
        <w:t>(plur)</w:t>
      </w:r>
      <w:r>
        <w:rPr>
          <w:lang w:val="en_US" w:bidi="en_US"/>
        </w:rPr>
        <w:t xml:space="preserve"> </w:t>
      </w:r>
      <w:r>
        <w:rPr>
          <w:lang w:val="en_US" w:bidi="en_US"/>
        </w:rPr>
        <w:t>to give up your faith in me</w:t>
      </w:r>
      <w:r>
        <w:rPr>
          <w:lang w:val="en_US" w:bidi="en_US"/>
        </w:rPr>
        <w:t>, you will not agree.”</w:t>
      </w:r>
    </w:p>
    <w:p>
      <w:pPr/>
      <w:r>
        <w:rPr>
          <w:lang w:val="en_US" w:bidi="en_US"/>
        </w:rPr>
      </w:r>
      <w:r>
        <w:rPr>
          <w:b/>
          <w:lang w:val="en_US" w:bidi="en_US"/>
        </w:rPr>
        <w:t>Get up and pray:</w:t>
      </w:r>
      <w:r>
        <w:rPr>
          <w:lang w:val="en_US" w:bidi="en_US"/>
        </w:rPr>
        <w:t xml:space="preserve"> The Greek word that the BSB translates as </w:t>
      </w:r>
      <w:r>
        <w:rPr>
          <w:i/>
          <w:lang w:val="en_US" w:bidi="en_US"/>
        </w:rPr>
        <w:t>Get up</w:t>
      </w:r>
      <w:r>
        <w:rPr>
          <w:lang w:val="en_US" w:bidi="en_US"/>
        </w:rPr>
        <w:t xml:space="preserve"> may refer here to waking from sleep or to getting up from the ground. The disciples had been lying on the ground asleep.</w:t>
      </w:r>
    </w:p>
    <w:p>
      <w:pPr/>
      <w:r>
        <w:rPr>
          <w:lang w:val="en_US" w:bidi="en_US"/>
        </w:rPr>
      </w:r>
      <w:r>
        <w:rPr>
          <w:lang w:val="en_US" w:bidi="en_US"/>
        </w:rPr>
        <w:t xml:space="preserve">The commands </w:t>
      </w:r>
      <w:r>
        <w:rPr>
          <w:i/>
          <w:lang w:val="en_US" w:bidi="en_US"/>
        </w:rPr>
        <w:t>Get up and pray</w:t>
      </w:r>
      <w:r>
        <w:rPr>
          <w:lang w:val="en_US" w:bidi="en_US"/>
        </w:rPr>
        <w:t xml:space="preserve"> indicate that Jesus wanted them to rise from sleeping on the ground and pray. Jewish men often prayed standing up. Some ways to translate these commands are:</w:t>
      </w:r>
    </w:p>
    <w:p>
      <w:pPr/>
      <w:r>
        <w:rPr>
          <w:lang w:val="en_US" w:bidi="en_US"/>
        </w:rPr>
      </w:r>
      <w:r>
        <w:rPr>
          <w:lang w:val="en_US" w:bidi="en_US"/>
        </w:rPr>
        <w:t>Rise and pray (RSV)</w:t>
      </w:r>
    </w:p>
    <w:p>
      <w:pPr/>
      <w:r>
        <w:rPr>
          <w:lang w:val="en_US" w:bidi="en_US"/>
        </w:rPr>
      </w:r>
      <w:r>
        <w:rPr>
          <w:lang w:val="en_US" w:bidi="en_US"/>
        </w:rPr>
        <w:t>Wake up and pray (CEV)</w:t>
      </w:r>
    </w:p>
    <w:p>
      <w:pPr/>
      <w:r>
        <w:rPr>
          <w:lang w:val="en_US" w:bidi="en_US"/>
        </w:rPr>
      </w:r>
      <w:r>
        <w:rPr>
          <w:lang w:val="en_US" w:bidi="en_US"/>
        </w:rPr>
        <w:t>Stand up and pray</w:t>
      </w:r>
    </w:p>
    <w:p>
      <w:pPr/>
      <w:r>
        <w:rPr>
          <w:lang w:val="en_US" w:bidi="en_US"/>
        </w:rPr>
      </w:r>
      <w:r>
        <w:rPr>
          <w:b/>
          <w:lang w:val="en_US" w:bidi="en_US"/>
        </w:rPr>
        <w:t>pray so that you will not enter into temptation:</w:t>
      </w:r>
      <w:r>
        <w:rPr>
          <w:lang w:val="en_US" w:bidi="en_US"/>
        </w:rPr>
        <w:t xml:space="preserve"> Here Jesus repeated the command that he gave his disciples in 22:40. See the notes at 22:40b for translation suggestions.</w:t>
      </w:r>
      <w:r>
        <w:rPr>
          <w:lang w:val="en_US" w:bidi="en_US"/>
        </w:rPr>
      </w:r>
      <w:r>
        <w:rPr>
          <w:lang w:val="en_US" w:bidi="en_US"/>
        </w:rPr>
      </w:r>
    </w:p>
    <w:p>
      <w:pPr/>
      <w:r>
        <w:rPr>
          <w:lang w:val="en_US" w:bidi="en_US"/>
        </w:rPr>
      </w:r>
    </w:p>
    <w:p>
      <w:pPr>
        <w:pStyle w:val="Heading2"/>
      </w:pPr>
      <w:r>
        <w:rPr>
          <w:lang w:val="en_US" w:bidi="en_US"/>
        </w:rPr>
        <w:t>Luke 22:47</w:t>
      </w:r>
      <w:r>
        <w:rPr>
          <w:lang w:val="en_US" w:bidi="en_US"/>
        </w:rPr>
      </w:r>
    </w:p>
    <w:p>
      <w:pPr>
        <w:pStyle w:val="Heading4"/>
      </w:pPr>
      <w:r>
        <w:rPr>
          <w:lang w:val="en_US" w:bidi="en_US"/>
        </w:rPr>
        <w:t>Section 22:47–53: Judas helped Jesus’ enemies to find him and arrest him</w:t>
      </w:r>
    </w:p>
    <w:p>
      <w:pPr/>
      <w:r>
        <w:rPr>
          <w:lang w:val="en_US" w:bidi="en_US"/>
        </w:rPr>
      </w:r>
      <w:r>
        <w:rPr>
          <w:lang w:val="en_US" w:bidi="en_US"/>
        </w:rPr>
        <w:t>In this section Judas arrived at the place where Jesus and his disciples were talking. Judas was leading a crowd of men who had come to arrest Jesus and take him to the Jewish leaders for trial. Many of these men were probably temple guards. Judas had agreed to greet Jesus with a kiss so that they would know which person to arrest.</w:t>
      </w:r>
    </w:p>
    <w:p>
      <w:pPr/>
      <w:r>
        <w:rPr>
          <w:lang w:val="en_US" w:bidi="en_US"/>
        </w:rPr>
      </w:r>
      <w:r>
        <w:rPr>
          <w:lang w:val="en_US" w:bidi="en_US"/>
        </w:rPr>
        <w:t>The disciples saw what was about to happen, and they asked Jesus if they should fight to prevent his arrest. Peter cut off one man’s ear, but Jesus healed the man and told his disciples not to fight against his arrest. The temple guards arrested Jesus, and he did not resist them.</w:t>
      </w:r>
    </w:p>
    <w:p>
      <w:pPr/>
      <w:r>
        <w:rPr>
          <w:lang w:val="en_US" w:bidi="en_US"/>
        </w:rPr>
      </w:r>
      <w:r>
        <w:rPr>
          <w:lang w:val="en_US" w:bidi="en_US"/>
        </w:rPr>
        <w:t>Some other examples of headings for this section are:</w:t>
      </w:r>
    </w:p>
    <w:p>
      <w:pPr/>
      <w:r>
        <w:rPr>
          <w:lang w:val="en_US" w:bidi="en_US"/>
        </w:rPr>
      </w:r>
      <w:r>
        <w:rPr>
          <w:lang w:val="en_US" w:bidi="en_US"/>
        </w:rPr>
        <w:t>Jesus Is Arrested (GW)</w:t>
      </w:r>
    </w:p>
    <w:p>
      <w:pPr/>
      <w:r>
        <w:rPr>
          <w:lang w:val="en_US" w:bidi="en_US"/>
        </w:rPr>
      </w:r>
      <w:r>
        <w:rPr>
          <w:lang w:val="en_US" w:bidi="en_US"/>
        </w:rPr>
        <w:t>The Betrayal and Arrest of Jesus (NRSV)</w:t>
      </w:r>
    </w:p>
    <w:p>
      <w:pPr/>
      <w:r>
        <w:rPr>
          <w:lang w:val="en_US" w:bidi="en_US"/>
        </w:rPr>
      </w:r>
      <w:r>
        <w:rPr>
          <w:lang w:val="en_US" w:bidi="en_US"/>
        </w:rPr>
        <w:t>There are parallel passages for this section in Matthew 26:47–56, Mark 14:43–50, and John 18:3–11.</w:t>
      </w:r>
    </w:p>
    <w:p>
      <w:pPr>
        <w:pStyle w:val="Heading5"/>
      </w:pPr>
      <w:r>
        <w:rPr>
          <w:lang w:val="en_US" w:bidi="en_US"/>
        </w:rPr>
        <w:t>22:47a</w:t>
      </w:r>
    </w:p>
    <w:p>
      <w:pPr/>
      <w:r>
        <w:rPr>
          <w:lang w:val="en_US" w:bidi="en_US"/>
        </w:rPr>
      </w:r>
      <w:r>
        <w:rPr>
          <w:b/>
          <w:lang w:val="en_US" w:bidi="en_US"/>
        </w:rPr>
        <w:t>While He was still speaking, a crowd arrived,</w:t>
      </w:r>
    </w:p>
    <w:p>
      <w:pPr>
        <w:pStyle w:val="ListBullet"/>
        <w:spacing w:line="240" w:lineRule="auto"/>
        <w:ind w:left="720"/>
      </w:pPr>
      <w:r>
        <w:rPr>
          <w:lang w:val="en_US" w:bidi="en_US"/>
        </w:rPr>
      </w:r>
      <w:r>
        <w:rPr>
          <w:lang w:val="en_US" w:bidi="en_US"/>
        </w:rPr>
        <w:t>¶ As Jesus was still speaking, look/listen</w:t>
      </w:r>
      <w:r>
        <w:rPr>
          <w:vertAlign w:val="superscript"/>
          <w:lang w:val="en_US" w:bidi="en_US"/>
        </w:rPr>
        <w:t>(plur)</w:t>
      </w:r>
      <w:r>
        <w:rPr>
          <w:lang w:val="en_US" w:bidi="en_US"/>
        </w:rPr>
        <w:t xml:space="preserve">! </w:t>
      </w:r>
      <w:r>
        <w:rPr>
          <w:lang w:val="en_US" w:bidi="en_US"/>
        </w:rPr>
        <w:t>There was</w:t>
      </w:r>
      <w:r>
        <w:rPr>
          <w:lang w:val="en_US" w:bidi="en_US"/>
        </w:rPr>
        <w:t xml:space="preserve"> a crowd!</w:t>
      </w:r>
    </w:p>
    <w:p>
      <w:pPr>
        <w:pStyle w:val="ListBullet"/>
        <w:spacing w:line="240" w:lineRule="auto"/>
        <w:ind w:left="720"/>
      </w:pPr>
      <w:r>
        <w:rPr>
          <w:lang w:val="en_US" w:bidi="en_US"/>
        </w:rPr>
      </w:r>
      <w:r>
        <w:rPr>
          <w:lang w:val="en_US" w:bidi="en_US"/>
        </w:rPr>
        <w:t xml:space="preserve">¶ Jesus was still saying </w:t>
      </w:r>
      <w:r>
        <w:rPr>
          <w:lang w:val="en_US" w:bidi="en_US"/>
        </w:rPr>
        <w:t>this</w:t>
      </w:r>
      <w:r>
        <w:rPr>
          <w:lang w:val="en_US" w:bidi="en_US"/>
        </w:rPr>
        <w:t xml:space="preserve"> when </w:t>
      </w:r>
      <w:r>
        <w:rPr>
          <w:lang w:val="en_US" w:bidi="en_US"/>
        </w:rPr>
        <w:t>suddenly</w:t>
      </w:r>
      <w:r>
        <w:rPr>
          <w:lang w:val="en_US" w:bidi="en_US"/>
        </w:rPr>
        <w:t xml:space="preserve"> many people were coming toward </w:t>
      </w:r>
      <w:r>
        <w:rPr>
          <w:lang w:val="en_US" w:bidi="en_US"/>
        </w:rPr>
        <w:t>him and the disciples</w:t>
      </w:r>
      <w:r>
        <w:rPr>
          <w:lang w:val="en_US" w:bidi="en_US"/>
        </w:rPr>
        <w:t>.</w:t>
      </w:r>
    </w:p>
    <w:p>
      <w:pPr>
        <w:pStyle w:val="ListBullet"/>
        <w:spacing w:line="240" w:lineRule="auto"/>
        <w:ind w:left="720"/>
      </w:pPr>
      <w:r>
        <w:rPr>
          <w:lang w:val="en_US" w:bidi="en_US"/>
        </w:rPr>
      </w:r>
      <w:r>
        <w:rPr>
          <w:lang w:val="en_US" w:bidi="en_US"/>
        </w:rPr>
        <w:t xml:space="preserve">¶ Then a large group </w:t>
      </w:r>
      <w:r>
        <w:rPr>
          <w:lang w:val="en_US" w:bidi="en_US"/>
        </w:rPr>
        <w:t>of men</w:t>
      </w:r>
      <w:r>
        <w:rPr>
          <w:lang w:val="en_US" w:bidi="en_US"/>
        </w:rPr>
        <w:t xml:space="preserve"> arrived/approached while Jesus was still talking </w:t>
      </w:r>
      <w:r>
        <w:rPr>
          <w:lang w:val="en_US" w:bidi="en_US"/>
        </w:rPr>
        <w:t>to his disciples</w:t>
      </w:r>
      <w:r>
        <w:rPr>
          <w:lang w:val="en_US" w:bidi="en_US"/>
        </w:rPr>
        <w:t>.</w:t>
      </w:r>
    </w:p>
    <w:p>
      <w:pPr/>
      <w:r>
        <w:rPr>
          <w:lang w:val="en_US" w:bidi="en_US"/>
        </w:rPr>
      </w:r>
      <w:r>
        <w:rPr>
          <w:b/>
          <w:lang w:val="en_US" w:bidi="en_US"/>
        </w:rPr>
        <w:t>While He was still speaking, a crowd arrived:</w:t>
      </w:r>
      <w:r>
        <w:rPr>
          <w:lang w:val="en_US" w:bidi="en_US"/>
        </w:rPr>
        <w:t xml:space="preserve"> In the Greek text, 22:47a is more literally “in his speaking, look, a crowd!” It indicates that Jesus was still talking to his disciples when a crowd arrived. The word “look” indicates here that the coming of the crowd is an important event, and readers should pay special attention to it. It also may imply that the event happened suddenly.</w:t>
      </w:r>
    </w:p>
    <w:p>
      <w:pPr/>
      <w:r>
        <w:rPr>
          <w:lang w:val="en_US" w:bidi="en_US"/>
        </w:rPr>
      </w:r>
      <w:r>
        <w:rPr>
          <w:lang w:val="en_US" w:bidi="en_US"/>
        </w:rPr>
        <w:t>Some other ways to translate this part of the verse are:</w:t>
      </w:r>
    </w:p>
    <w:p>
      <w:pPr/>
      <w:r>
        <w:rPr>
          <w:lang w:val="en_US" w:bidi="en_US"/>
        </w:rPr>
      </w:r>
      <w:r>
        <w:rPr>
          <w:lang w:val="en_US" w:bidi="en_US"/>
        </w:rPr>
        <w:t>Jesus was still speaking when a crowd arrived… (GNT)</w:t>
      </w:r>
    </w:p>
    <w:p>
      <w:pPr/>
      <w:r>
        <w:rPr>
          <w:lang w:val="en_US" w:bidi="en_US"/>
        </w:rPr>
      </w:r>
      <w:r>
        <w:rPr>
          <w:lang w:val="en_US" w:bidi="en_US"/>
        </w:rPr>
        <w:t xml:space="preserve">Jesus had not finished saying that to his disciples when </w:t>
      </w:r>
      <w:r>
        <w:rPr>
          <w:lang w:val="en_US" w:bidi="en_US"/>
        </w:rPr>
        <w:t>suddenly</w:t>
      </w:r>
      <w:r>
        <w:rPr>
          <w:lang w:val="en_US" w:bidi="en_US"/>
        </w:rPr>
        <w:t xml:space="preserve"> </w:t>
      </w:r>
      <w:r>
        <w:rPr>
          <w:lang w:val="en_US" w:bidi="en_US"/>
        </w:rPr>
        <w:t>they saw that</w:t>
      </w:r>
      <w:r>
        <w:rPr>
          <w:lang w:val="en_US" w:bidi="en_US"/>
        </w:rPr>
        <w:t xml:space="preserve"> a big group of people had come.</w:t>
      </w:r>
    </w:p>
    <w:p>
      <w:pPr/>
      <w:r>
        <w:rPr>
          <w:lang w:val="en_US" w:bidi="en_US"/>
        </w:rPr>
      </w:r>
      <w:r>
        <w:rPr>
          <w:lang w:val="en_US" w:bidi="en_US"/>
        </w:rPr>
        <w:t>Judas led this crowd to Jesus and his disciples. In some languages it may be more natural to mention him first. See the General Comment on 22:47a–c at the end of 22:47c for an example.</w:t>
      </w:r>
    </w:p>
    <w:p>
      <w:pPr/>
      <w:r>
        <w:rPr>
          <w:lang w:val="en_US" w:bidi="en_US"/>
        </w:rPr>
      </w:r>
      <w:r>
        <w:rPr>
          <w:b/>
          <w:lang w:val="en_US" w:bidi="en_US"/>
        </w:rPr>
        <w:t>a crowd:</w:t>
      </w:r>
      <w:r>
        <w:rPr>
          <w:lang w:val="en_US" w:bidi="en_US"/>
        </w:rPr>
        <w:t xml:space="preserve"> The word </w:t>
      </w:r>
      <w:r>
        <w:rPr>
          <w:i/>
          <w:lang w:val="en_US" w:bidi="en_US"/>
        </w:rPr>
        <w:t>crowd</w:t>
      </w:r>
      <w:r>
        <w:rPr>
          <w:lang w:val="en_US" w:bidi="en_US"/>
        </w:rPr>
        <w:t xml:space="preserve"> refers in general to the large group of people who came to arrest Jesus. In 22:52 the text describes them more specifically. It indicates that the crowd included “chief priests,” “temple officers,” and “elders.” These people were probably all men. In 22:52 Jesus indicated that they were carrying swords and clubs.</w:t>
      </w:r>
    </w:p>
    <w:p>
      <w:pPr/>
      <w:r>
        <w:rPr>
          <w:lang w:val="en_US" w:bidi="en_US"/>
        </w:rPr>
      </w:r>
      <w:r>
        <w:rPr>
          <w:lang w:val="en_US" w:bidi="en_US"/>
        </w:rPr>
        <w:t>In some languages it may be necessary to mention some of this information here when the crowd is first introduced. If this is true in your language, introduce them in a natural way in your language. Some other ways to do that in English are:</w:t>
      </w:r>
    </w:p>
    <w:p>
      <w:pPr/>
      <w:r>
        <w:rPr>
          <w:lang w:val="en_US" w:bidi="en_US"/>
        </w:rPr>
      </w:r>
      <w:r>
        <w:rPr>
          <w:lang w:val="en_US" w:bidi="en_US"/>
        </w:rPr>
        <w:t xml:space="preserve">a big group of </w:t>
      </w:r>
      <w:r>
        <w:rPr>
          <w:lang w:val="en_US" w:bidi="en_US"/>
        </w:rPr>
        <w:t>armed</w:t>
      </w:r>
      <w:r>
        <w:rPr>
          <w:lang w:val="en_US" w:bidi="en_US"/>
        </w:rPr>
        <w:t xml:space="preserve"> men</w:t>
      </w:r>
    </w:p>
    <w:p>
      <w:pPr/>
      <w:r>
        <w:rPr>
          <w:lang w:val="en_US" w:bidi="en_US"/>
        </w:rPr>
      </w:r>
      <w:r>
        <w:rPr>
          <w:lang w:val="en_US" w:bidi="en_US"/>
        </w:rPr>
        <w:t xml:space="preserve">many </w:t>
      </w:r>
      <w:r>
        <w:rPr>
          <w:lang w:val="en_US" w:bidi="en_US"/>
        </w:rPr>
        <w:t>hostile</w:t>
      </w:r>
      <w:r>
        <w:rPr>
          <w:lang w:val="en_US" w:bidi="en_US"/>
        </w:rPr>
        <w:t xml:space="preserve"> people</w:t>
      </w:r>
    </w:p>
    <w:p>
      <w:pPr>
        <w:pStyle w:val="Heading5"/>
      </w:pPr>
      <w:r>
        <w:rPr>
          <w:lang w:val="en_US" w:bidi="en_US"/>
        </w:rPr>
        <w:t>22:47b</w:t>
      </w:r>
    </w:p>
    <w:p>
      <w:pPr/>
      <w:r>
        <w:rPr>
          <w:lang w:val="en_US" w:bidi="en_US"/>
        </w:rPr>
      </w:r>
      <w:r>
        <w:rPr>
          <w:b/>
          <w:lang w:val="en_US" w:bidi="en_US"/>
        </w:rPr>
        <w:t>led by the man called Judas, one of the Twelve.</w:t>
      </w:r>
    </w:p>
    <w:p>
      <w:pPr>
        <w:pStyle w:val="ListBullet"/>
        <w:spacing w:line="240" w:lineRule="auto"/>
        <w:ind w:left="720"/>
      </w:pPr>
      <w:r>
        <w:rPr>
          <w:lang w:val="en_US" w:bidi="en_US"/>
        </w:rPr>
      </w:r>
      <w:r>
        <w:rPr>
          <w:lang w:val="en_US" w:bidi="en_US"/>
        </w:rPr>
        <w:t xml:space="preserve">The man who was leading/guiding them was Judas, </w:t>
      </w:r>
      <w:r>
        <w:rPr>
          <w:lang w:val="en_US" w:bidi="en_US"/>
        </w:rPr>
        <w:t>who was</w:t>
      </w:r>
      <w:r>
        <w:rPr>
          <w:lang w:val="en_US" w:bidi="en_US"/>
        </w:rPr>
        <w:t xml:space="preserve"> one of the Twelve.</w:t>
      </w:r>
    </w:p>
    <w:p>
      <w:pPr>
        <w:pStyle w:val="ListBullet"/>
        <w:spacing w:line="240" w:lineRule="auto"/>
        <w:ind w:left="720"/>
      </w:pPr>
      <w:r>
        <w:rPr>
          <w:lang w:val="en_US" w:bidi="en_US"/>
        </w:rPr>
      </w:r>
      <w:r>
        <w:rPr>
          <w:lang w:val="en_US" w:bidi="en_US"/>
        </w:rPr>
        <w:t xml:space="preserve">Judas, one of the twelve </w:t>
      </w:r>
      <w:r>
        <w:rPr>
          <w:lang w:val="en_US" w:bidi="en_US"/>
        </w:rPr>
        <w:t>apostles</w:t>
      </w:r>
      <w:r>
        <w:rPr>
          <w:lang w:val="en_US" w:bidi="en_US"/>
        </w:rPr>
        <w:t>, was showing them the way.</w:t>
      </w:r>
    </w:p>
    <w:p>
      <w:pPr>
        <w:pStyle w:val="ListBullet"/>
        <w:spacing w:line="240" w:lineRule="auto"/>
        <w:ind w:left="720"/>
      </w:pPr>
      <w:r>
        <w:rPr>
          <w:lang w:val="en_US" w:bidi="en_US"/>
        </w:rPr>
      </w:r>
      <w:r>
        <w:rPr>
          <w:lang w:val="en_US" w:bidi="en_US"/>
        </w:rPr>
        <w:t xml:space="preserve">Their guide was a man named Judas. He was one of Jesus’ twelve </w:t>
      </w:r>
      <w:r>
        <w:rPr>
          <w:lang w:val="en_US" w:bidi="en_US"/>
        </w:rPr>
        <w:t>disciples</w:t>
      </w:r>
      <w:r>
        <w:rPr>
          <w:lang w:val="en_US" w:bidi="en_US"/>
        </w:rPr>
        <w:t>.</w:t>
      </w:r>
    </w:p>
    <w:p>
      <w:pPr/>
      <w:r>
        <w:rPr>
          <w:lang w:val="en_US" w:bidi="en_US"/>
        </w:rPr>
      </w:r>
      <w:r>
        <w:rPr>
          <w:b/>
          <w:lang w:val="en_US" w:bidi="en_US"/>
        </w:rPr>
        <w:t>led by the man called Judas, one of the Twelve:</w:t>
      </w:r>
      <w:r>
        <w:rPr>
          <w:lang w:val="en_US" w:bidi="en_US"/>
        </w:rPr>
        <w:t xml:space="preserve"> In this context the Greek word that the BSB translates as </w:t>
      </w:r>
      <w:r>
        <w:rPr>
          <w:i/>
          <w:lang w:val="en_US" w:bidi="en_US"/>
        </w:rPr>
        <w:t>led by</w:t>
      </w:r>
      <w:r>
        <w:rPr>
          <w:lang w:val="en_US" w:bidi="en_US"/>
        </w:rPr>
        <w:t xml:space="preserve"> means that Judas was walking in front of the crowd to lead them to Jesus. He was showing them where Jesus was. Judas was their guide, but not their leader in any other way. Other ways to translate </w:t>
      </w:r>
      <w:r>
        <w:rPr>
          <w:i/>
          <w:lang w:val="en_US" w:bidi="en_US"/>
        </w:rPr>
        <w:t>led by</w:t>
      </w:r>
      <w:r>
        <w:rPr>
          <w:lang w:val="en_US" w:bidi="en_US"/>
        </w:rPr>
        <w:t xml:space="preserve"> is:</w:t>
      </w:r>
    </w:p>
    <w:p>
      <w:pPr/>
      <w:r>
        <w:rPr>
          <w:lang w:val="en_US" w:bidi="en_US"/>
        </w:rPr>
      </w:r>
      <w:r>
        <w:rPr>
          <w:lang w:val="en_US" w:bidi="en_US"/>
        </w:rPr>
        <w:t>the one called Judas, one of the twelve, was leading the way (NASB)</w:t>
      </w:r>
    </w:p>
    <w:p>
      <w:pPr/>
      <w:r>
        <w:rPr>
          <w:lang w:val="en_US" w:bidi="en_US"/>
        </w:rPr>
      </w:r>
      <w:r>
        <w:rPr>
          <w:lang w:val="en_US" w:bidi="en_US"/>
        </w:rPr>
        <w:t>the person named Judas, one of the twelve, was going ahead of them</w:t>
      </w:r>
    </w:p>
    <w:p>
      <w:pPr/>
      <w:r>
        <w:rPr>
          <w:lang w:val="en_US" w:bidi="en_US"/>
        </w:rPr>
      </w:r>
      <w:r>
        <w:rPr>
          <w:b/>
          <w:lang w:val="en_US" w:bidi="en_US"/>
        </w:rPr>
        <w:t>the man called Judas, one of the Twelve:</w:t>
      </w:r>
      <w:r>
        <w:rPr>
          <w:lang w:val="en_US" w:bidi="en_US"/>
        </w:rPr>
        <w:t xml:space="preserve"> The Greek phrase that the BSB translates as </w:t>
      </w:r>
      <w:r>
        <w:rPr>
          <w:i/>
          <w:lang w:val="en_US" w:bidi="en_US"/>
        </w:rPr>
        <w:t>the man called Judas, one of the Twelve</w:t>
      </w:r>
      <w:r>
        <w:rPr>
          <w:lang w:val="en_US" w:bidi="en_US"/>
        </w:rPr>
        <w:t xml:space="preserve"> introduces Judas as an important person in this section. The phrase </w:t>
      </w:r>
      <w:r>
        <w:rPr>
          <w:i/>
          <w:lang w:val="en_US" w:bidi="en_US"/>
        </w:rPr>
        <w:t>the man called Judas</w:t>
      </w:r>
      <w:r>
        <w:rPr>
          <w:lang w:val="en_US" w:bidi="en_US"/>
        </w:rPr>
        <w:t xml:space="preserve"> tells Judas’ name. Here is another way to translate this:</w:t>
      </w:r>
    </w:p>
    <w:p>
      <w:pPr/>
      <w:r>
        <w:rPr>
          <w:lang w:val="en_US" w:bidi="en_US"/>
        </w:rPr>
      </w:r>
      <w:r>
        <w:rPr>
          <w:lang w:val="en_US" w:bidi="en_US"/>
        </w:rPr>
        <w:t>the man named Judas, one of the twelve (NET)</w:t>
      </w:r>
    </w:p>
    <w:p>
      <w:pPr/>
      <w:r>
        <w:rPr>
          <w:lang w:val="en_US" w:bidi="en_US"/>
        </w:rPr>
      </w:r>
      <w:r>
        <w:rPr>
          <w:lang w:val="en_US" w:bidi="en_US"/>
        </w:rPr>
        <w:t>In some languages a phrase like “who was called” is not necessary. For example, the NCV simply says:</w:t>
      </w:r>
    </w:p>
    <w:p>
      <w:pPr/>
      <w:r>
        <w:rPr>
          <w:lang w:val="en_US" w:bidi="en_US"/>
        </w:rPr>
      </w:r>
      <w:r>
        <w:rPr>
          <w:lang w:val="en_US" w:bidi="en_US"/>
        </w:rPr>
        <w:t>Judas, one of the twelve apostles (NCV)</w:t>
      </w:r>
    </w:p>
    <w:p>
      <w:pPr/>
      <w:r>
        <w:rPr>
          <w:lang w:val="en_US" w:bidi="en_US"/>
        </w:rPr>
      </w:r>
      <w:r>
        <w:rPr>
          <w:lang w:val="en_US" w:bidi="en_US"/>
        </w:rPr>
        <w:t>Introduce Judas here in a natural way in your language.</w:t>
      </w:r>
    </w:p>
    <w:p>
      <w:pPr>
        <w:pStyle w:val="Heading5"/>
      </w:pPr>
      <w:r>
        <w:rPr>
          <w:lang w:val="en_US" w:bidi="en_US"/>
        </w:rPr>
        <w:t>22:47c</w:t>
      </w:r>
    </w:p>
    <w:p>
      <w:pPr/>
      <w:r>
        <w:rPr>
          <w:lang w:val="en_US" w:bidi="en_US"/>
        </w:rPr>
      </w:r>
      <w:r>
        <w:rPr>
          <w:b/>
          <w:lang w:val="en_US" w:bidi="en_US"/>
        </w:rPr>
        <w:t>He approached Jesus to kiss Him.</w:t>
      </w:r>
    </w:p>
    <w:p>
      <w:pPr>
        <w:pStyle w:val="ListBullet"/>
        <w:spacing w:line="240" w:lineRule="auto"/>
        <w:ind w:left="720"/>
      </w:pPr>
      <w:r>
        <w:rPr>
          <w:lang w:val="en_US" w:bidi="en_US"/>
        </w:rPr>
      </w:r>
      <w:r>
        <w:rPr>
          <w:lang w:val="en_US" w:bidi="en_US"/>
        </w:rPr>
        <w:t>He came near Jesus to kiss/embrace him.</w:t>
      </w:r>
    </w:p>
    <w:p>
      <w:pPr>
        <w:pStyle w:val="ListBullet"/>
        <w:spacing w:line="240" w:lineRule="auto"/>
        <w:ind w:left="720"/>
      </w:pPr>
      <w:r>
        <w:rPr>
          <w:lang w:val="en_US" w:bidi="en_US"/>
        </w:rPr>
      </w:r>
      <w:r>
        <w:rPr>
          <w:lang w:val="en_US" w:bidi="en_US"/>
        </w:rPr>
        <w:t xml:space="preserve">He went to Jesus and </w:t>
      </w:r>
      <w:r>
        <w:rPr>
          <w:lang w:val="en_US" w:bidi="en_US"/>
        </w:rPr>
        <w:t>greeted</w:t>
      </w:r>
      <w:r>
        <w:rPr>
          <w:lang w:val="en_US" w:bidi="en_US"/>
        </w:rPr>
        <w:t xml:space="preserve"> him with a hug/embrace.</w:t>
      </w:r>
    </w:p>
    <w:p>
      <w:pPr>
        <w:pStyle w:val="ListBullet"/>
        <w:spacing w:line="240" w:lineRule="auto"/>
        <w:ind w:left="720"/>
      </w:pPr>
      <w:r>
        <w:rPr>
          <w:lang w:val="en_US" w:bidi="en_US"/>
        </w:rPr>
      </w:r>
      <w:r>
        <w:rPr>
          <w:lang w:val="en_US" w:bidi="en_US"/>
        </w:rPr>
        <w:t>He came close to Jesus and gave him a friendly/affectionate greeting.</w:t>
      </w:r>
    </w:p>
    <w:p>
      <w:pPr/>
      <w:r>
        <w:rPr>
          <w:lang w:val="en_US" w:bidi="en_US"/>
        </w:rPr>
      </w:r>
      <w:r>
        <w:rPr>
          <w:b/>
          <w:lang w:val="en_US" w:bidi="en_US"/>
        </w:rPr>
        <w:t>He approached Jesus to kiss Him:</w:t>
      </w:r>
      <w:r>
        <w:rPr>
          <w:lang w:val="en_US" w:bidi="en_US"/>
        </w:rPr>
        <w:t xml:space="preserve"> This clause indicates that Judas went close to Jesus in order to greet him in the usual way, with a kiss. Luke did not say explicitly that Judas actually kissed Jesus, but it is implied by 22:48b. See also Mark 14:45.</w:t>
      </w:r>
    </w:p>
    <w:p>
      <w:pPr/>
      <w:r>
        <w:rPr>
          <w:lang w:val="en_US" w:bidi="en_US"/>
        </w:rPr>
      </w:r>
      <w:r>
        <w:rPr>
          <w:b/>
          <w:lang w:val="en_US" w:bidi="en_US"/>
        </w:rPr>
        <w:t>kiss:</w:t>
      </w:r>
      <w:r>
        <w:rPr>
          <w:lang w:val="en_US" w:bidi="en_US"/>
        </w:rPr>
        <w:t xml:space="preserve"> The </w:t>
      </w:r>
      <w:r>
        <w:rPr>
          <w:i/>
          <w:lang w:val="en_US" w:bidi="en_US"/>
        </w:rPr>
        <w:t>kiss</w:t>
      </w:r>
      <w:r>
        <w:rPr>
          <w:lang w:val="en_US" w:bidi="en_US"/>
        </w:rPr>
        <w:t xml:space="preserve"> of greeting that Judas was coming to give Jesus was probably a light touch of his lips on Jesus’ cheek or maybe on both cheeks. In some cultures it is unusual or inappropriate for a man to kiss another man. If that is true in your culture, here are some options to consider:</w:t>
      </w:r>
    </w:p>
    <w:p>
      <w:pPr>
        <w:pStyle w:val="Heading6"/>
      </w:pPr>
      <w:r>
        <w:rPr>
          <w:b/>
          <w:lang w:val="en_US" w:bidi="en_US"/>
        </w:rPr>
        <w:t>General Comment on 22:47a–c</w:t>
      </w:r>
    </w:p>
    <w:p>
      <w:pPr>
        <w:pStyle w:val="ListBullet"/>
        <w:spacing w:line="240" w:lineRule="auto"/>
        <w:ind w:left="720"/>
      </w:pPr>
      <w:r>
        <w:rPr>
          <w:lang w:val="en_US" w:bidi="en_US"/>
        </w:rPr>
      </w:r>
      <w:r>
        <w:rPr>
          <w:lang w:val="en_US" w:bidi="en_US"/>
        </w:rPr>
        <w:t xml:space="preserve">Use an appropriate term for </w:t>
      </w:r>
      <w:r>
        <w:rPr>
          <w:i/>
          <w:lang w:val="en_US" w:bidi="en_US"/>
        </w:rPr>
        <w:t>kiss</w:t>
      </w:r>
      <w:r>
        <w:rPr>
          <w:lang w:val="en_US" w:bidi="en_US"/>
        </w:rPr>
        <w:t xml:space="preserve"> and indicate the purpose of the kiss. For example:</w:t>
      </w:r>
      <w:r>
        <w:rPr>
          <w:lang w:val="en_US" w:bidi="en_US"/>
        </w:rPr>
        <w:t>greet according to custom</w:t>
      </w:r>
      <w:r>
        <w:rPr>
          <w:lang w:val="en_US" w:bidi="en_US"/>
        </w:rPr>
        <w:t xml:space="preserve"> with a kiss</w:t>
      </w:r>
      <w:r>
        <w:rPr>
          <w:lang w:val="en_US" w:bidi="en_US"/>
        </w:rPr>
        <w:t>greet by</w:t>
      </w:r>
      <w:r>
        <w:rPr>
          <w:lang w:val="en_US" w:bidi="en_US"/>
        </w:rPr>
        <w:t xml:space="preserve"> touching </w:t>
      </w:r>
      <w:r>
        <w:rPr>
          <w:lang w:val="en_US" w:bidi="en_US"/>
        </w:rPr>
        <w:t>his cheek</w:t>
      </w:r>
      <w:r>
        <w:rPr>
          <w:lang w:val="en_US" w:bidi="en_US"/>
        </w:rPr>
        <w:t xml:space="preserve"> with his lips</w:t>
      </w:r>
    </w:p>
    <w:p>
      <w:pPr>
        <w:pStyle w:val="ListBullet"/>
        <w:spacing w:line="240" w:lineRule="auto"/>
        <w:ind w:left="720"/>
      </w:pPr>
      <w:r>
        <w:rPr>
          <w:lang w:val="en_US" w:bidi="en_US"/>
        </w:rPr>
      </w:r>
      <w:r>
        <w:rPr>
          <w:lang w:val="en_US" w:bidi="en_US"/>
        </w:rPr>
        <w:t>Use a more general expression for an appropriate greeting. For example:</w:t>
      </w:r>
      <w:r>
        <w:rPr>
          <w:lang w:val="en_US" w:bidi="en_US"/>
        </w:rPr>
        <w:t xml:space="preserve">to give him a </w:t>
      </w:r>
      <w:r>
        <w:rPr>
          <w:lang w:val="en_US" w:bidi="en_US"/>
        </w:rPr>
        <w:t>friendly</w:t>
      </w:r>
      <w:r>
        <w:rPr>
          <w:lang w:val="en_US" w:bidi="en_US"/>
        </w:rPr>
        <w:t xml:space="preserve"> greeting</w:t>
      </w:r>
      <w:r>
        <w:rPr>
          <w:lang w:val="en_US" w:bidi="en_US"/>
        </w:rPr>
        <w:t xml:space="preserve">to greet </w:t>
      </w:r>
      <w:r>
        <w:rPr>
          <w:lang w:val="en_US" w:bidi="en_US"/>
        </w:rPr>
        <w:t>as his rabbi</w:t>
      </w:r>
      <w:r>
        <w:rPr>
          <w:lang w:val="en_US" w:bidi="en_US"/>
        </w:rPr>
        <w:t xml:space="preserve">to embrace </w:t>
      </w:r>
      <w:r>
        <w:rPr>
          <w:lang w:val="en_US" w:bidi="en_US"/>
        </w:rPr>
        <w:t>respectfully</w:t>
      </w:r>
    </w:p>
    <w:p>
      <w:pPr/>
      <w:r>
        <w:rPr>
          <w:lang w:val="en_US" w:bidi="en_US"/>
        </w:rPr>
      </w:r>
      <w:r>
        <w:rPr>
          <w:lang w:val="en_US" w:bidi="en_US"/>
        </w:rPr>
        <w:t>In some languages it may be more natural to mention the arrival of Judas before mentioning the crowd. For example:</w:t>
      </w:r>
    </w:p>
    <w:p>
      <w:pPr/>
      <w:r>
        <w:rPr>
          <w:lang w:val="en_US" w:bidi="en_US"/>
        </w:rPr>
      </w:r>
      <w:r>
        <w:rPr>
          <w:vertAlign w:val="superscript"/>
          <w:lang w:val="en_US" w:bidi="en_US"/>
        </w:rPr>
        <w:t>47a</w:t>
      </w:r>
      <w:r>
        <w:rPr>
          <w:lang w:val="en_US" w:bidi="en_US"/>
        </w:rPr>
        <w:t xml:space="preserve">And while Jesus was still speaking, </w:t>
      </w:r>
      <w:r>
        <w:rPr>
          <w:vertAlign w:val="superscript"/>
          <w:lang w:val="en_US" w:bidi="en_US"/>
        </w:rPr>
        <w:t>47b</w:t>
      </w:r>
      <w:r>
        <w:rPr>
          <w:lang w:val="en_US" w:bidi="en_US"/>
        </w:rPr>
        <w:t xml:space="preserve">Judas, who was one of his twelve disciples, arrived. He was guiding </w:t>
      </w:r>
      <w:r>
        <w:rPr>
          <w:vertAlign w:val="superscript"/>
          <w:lang w:val="en_US" w:bidi="en_US"/>
        </w:rPr>
        <w:t>47a</w:t>
      </w:r>
      <w:r>
        <w:rPr>
          <w:lang w:val="en_US" w:bidi="en_US"/>
        </w:rPr>
        <w:t xml:space="preserve">a large crowd toward them. </w:t>
      </w:r>
      <w:r>
        <w:rPr>
          <w:vertAlign w:val="superscript"/>
          <w:lang w:val="en_US" w:bidi="en_US"/>
        </w:rPr>
        <w:t>47c</w:t>
      </w:r>
      <w:r>
        <w:rPr>
          <w:lang w:val="en_US" w:bidi="en_US"/>
        </w:rPr>
        <w:t xml:space="preserve">And he came to Jesus to </w:t>
      </w:r>
      <w:r>
        <w:rPr>
          <w:lang w:val="en_US" w:bidi="en_US"/>
        </w:rPr>
        <w:t>greet</w:t>
      </w:r>
      <w:r>
        <w:rPr>
          <w:lang w:val="en_US" w:bidi="en_US"/>
        </w:rPr>
        <w:t xml:space="preserve"> him with a kiss.</w:t>
      </w:r>
      <w:r>
        <w:rPr>
          <w:lang w:val="en_US" w:bidi="en_US"/>
        </w:rPr>
      </w:r>
      <w:r>
        <w:rPr>
          <w:lang w:val="en_US" w:bidi="en_US"/>
        </w:rPr>
      </w:r>
    </w:p>
    <w:p>
      <w:pPr/>
      <w:r>
        <w:rPr>
          <w:lang w:val="en_US" w:bidi="en_US"/>
        </w:rPr>
      </w:r>
    </w:p>
    <w:p>
      <w:pPr>
        <w:pStyle w:val="Heading2"/>
      </w:pPr>
      <w:r>
        <w:rPr>
          <w:lang w:val="en_US" w:bidi="en_US"/>
        </w:rPr>
        <w:t>Luke 22:48</w:t>
      </w:r>
      <w:r>
        <w:rPr>
          <w:lang w:val="en_US" w:bidi="en_US"/>
        </w:rPr>
      </w:r>
    </w:p>
    <w:p>
      <w:pPr>
        <w:pStyle w:val="Heading4"/>
      </w:pPr>
      <w:r>
        <w:rPr>
          <w:lang w:val="en_US" w:bidi="en_US"/>
        </w:rPr>
        <w:t>Section 22:47–53: Judas helped Jesus’ enemies to find him and arrest him</w:t>
      </w:r>
    </w:p>
    <w:p>
      <w:pPr/>
      <w:r>
        <w:rPr>
          <w:lang w:val="en_US" w:bidi="en_US"/>
        </w:rPr>
      </w:r>
      <w:r>
        <w:rPr>
          <w:lang w:val="en_US" w:bidi="en_US"/>
        </w:rPr>
        <w:t>In this section Judas arrived at the place where Jesus and his disciples were talking. Judas was leading a crowd of men who had come to arrest Jesus and take him to the Jewish leaders for trial. Many of these men were probably temple guards. Judas had agreed to greet Jesus with a kiss so that they would know which person to arrest.</w:t>
      </w:r>
    </w:p>
    <w:p>
      <w:pPr/>
      <w:r>
        <w:rPr>
          <w:lang w:val="en_US" w:bidi="en_US"/>
        </w:rPr>
      </w:r>
      <w:r>
        <w:rPr>
          <w:lang w:val="en_US" w:bidi="en_US"/>
        </w:rPr>
        <w:t>The disciples saw what was about to happen, and they asked Jesus if they should fight to prevent his arrest. Peter cut off one man’s ear, but Jesus healed the man and told his disciples not to fight against his arrest. The temple guards arrested Jesus, and he did not resist them.</w:t>
      </w:r>
    </w:p>
    <w:p>
      <w:pPr/>
      <w:r>
        <w:rPr>
          <w:lang w:val="en_US" w:bidi="en_US"/>
        </w:rPr>
      </w:r>
      <w:r>
        <w:rPr>
          <w:lang w:val="en_US" w:bidi="en_US"/>
        </w:rPr>
        <w:t>Some other examples of headings for this section are:</w:t>
      </w:r>
    </w:p>
    <w:p>
      <w:pPr/>
      <w:r>
        <w:rPr>
          <w:lang w:val="en_US" w:bidi="en_US"/>
        </w:rPr>
      </w:r>
      <w:r>
        <w:rPr>
          <w:lang w:val="en_US" w:bidi="en_US"/>
        </w:rPr>
        <w:t>Jesus Is Arrested (GW)</w:t>
      </w:r>
    </w:p>
    <w:p>
      <w:pPr/>
      <w:r>
        <w:rPr>
          <w:lang w:val="en_US" w:bidi="en_US"/>
        </w:rPr>
      </w:r>
      <w:r>
        <w:rPr>
          <w:lang w:val="en_US" w:bidi="en_US"/>
        </w:rPr>
        <w:t>The Betrayal and Arrest of Jesus (NRSV)</w:t>
      </w:r>
    </w:p>
    <w:p>
      <w:pPr/>
      <w:r>
        <w:rPr>
          <w:lang w:val="en_US" w:bidi="en_US"/>
        </w:rPr>
      </w:r>
      <w:r>
        <w:rPr>
          <w:lang w:val="en_US" w:bidi="en_US"/>
        </w:rPr>
        <w:t>There are parallel passages for this section in Matthew 26:47–56, Mark 14:43–50, and John 18:3–11.</w:t>
      </w:r>
    </w:p>
    <w:p>
      <w:pPr>
        <w:pStyle w:val="Heading5"/>
      </w:pPr>
      <w:r>
        <w:rPr>
          <w:lang w:val="en_US" w:bidi="en_US"/>
        </w:rPr>
        <w:t>22:48a</w:t>
      </w:r>
    </w:p>
    <w:p>
      <w:pPr/>
      <w:r>
        <w:rPr>
          <w:lang w:val="en_US" w:bidi="en_US"/>
        </w:rPr>
      </w:r>
      <w:r>
        <w:rPr>
          <w:b/>
          <w:lang w:val="en_US" w:bidi="en_US"/>
        </w:rPr>
        <w:t>But Jesus asked him,</w:t>
      </w:r>
    </w:p>
    <w:p>
      <w:pPr>
        <w:pStyle w:val="ListBullet"/>
        <w:spacing w:line="240" w:lineRule="auto"/>
        <w:ind w:left="720"/>
      </w:pPr>
      <w:r>
        <w:rPr>
          <w:lang w:val="en_US" w:bidi="en_US"/>
        </w:rPr>
      </w:r>
      <w:r>
        <w:rPr>
          <w:lang w:val="en_US" w:bidi="en_US"/>
        </w:rPr>
        <w:t>But/Then Jesus asked him:</w:t>
      </w:r>
    </w:p>
    <w:p>
      <w:pPr>
        <w:pStyle w:val="ListBullet"/>
        <w:spacing w:line="240" w:lineRule="auto"/>
        <w:ind w:left="720"/>
      </w:pPr>
      <w:r>
        <w:rPr>
          <w:lang w:val="en_US" w:bidi="en_US"/>
        </w:rPr>
      </w:r>
      <w:r>
        <w:rPr>
          <w:lang w:val="en_US" w:bidi="en_US"/>
        </w:rPr>
        <w:t>Then Jesus said to him,</w:t>
      </w:r>
    </w:p>
    <w:p>
      <w:pPr/>
      <w:r>
        <w:rPr>
          <w:lang w:val="en_US" w:bidi="en_US"/>
        </w:rPr>
      </w:r>
      <w:r>
        <w:rPr>
          <w:b/>
          <w:lang w:val="en_US" w:bidi="en_US"/>
        </w:rPr>
        <w:t>But Jesus asked him:</w:t>
      </w:r>
      <w:r>
        <w:rPr>
          <w:lang w:val="en_US" w:bidi="en_US"/>
        </w:rPr>
        <w:t xml:space="preserve"> The Greek word that the BSB translates as </w:t>
      </w:r>
      <w:r>
        <w:rPr>
          <w:i/>
          <w:lang w:val="en_US" w:bidi="en_US"/>
        </w:rPr>
        <w:t>But</w:t>
      </w:r>
      <w:r>
        <w:rPr>
          <w:lang w:val="en_US" w:bidi="en_US"/>
        </w:rPr>
        <w:t xml:space="preserve"> is a common conjunction that can be translated in different ways. Here it introduces Jesus’ response after Judas greeted him with a kiss. Some English versions translate it as “but” here, probably because Jesus did not respond in the usual way that people respond to such greetings. The conjunction can also be translated as “then” or “and then.”</w:t>
      </w:r>
    </w:p>
    <w:p>
      <w:pPr/>
      <w:r>
        <w:rPr>
          <w:lang w:val="en_US" w:bidi="en_US"/>
        </w:rPr>
      </w:r>
      <w:r>
        <w:rPr>
          <w:lang w:val="en_US" w:bidi="en_US"/>
        </w:rPr>
        <w:t>You should translate it in a natural way in your language for this context. In some languages a conjunction is not needed, as in several English versions.</w:t>
      </w:r>
    </w:p>
    <w:p>
      <w:pPr>
        <w:pStyle w:val="Heading5"/>
      </w:pPr>
      <w:r>
        <w:rPr>
          <w:lang w:val="en_US" w:bidi="en_US"/>
        </w:rPr>
        <w:t>22:48b</w:t>
      </w:r>
    </w:p>
    <w:p>
      <w:pPr/>
      <w:r>
        <w:rPr>
          <w:lang w:val="en_US" w:bidi="en_US"/>
        </w:rPr>
      </w:r>
      <w:r>
        <w:rPr>
          <w:b/>
          <w:lang w:val="en_US" w:bidi="en_US"/>
        </w:rPr>
        <w:t>“Judas, are you betraying the Son of Man with a kiss?”</w:t>
      </w:r>
    </w:p>
    <w:p>
      <w:pPr>
        <w:pStyle w:val="ListBullet"/>
        <w:spacing w:line="240" w:lineRule="auto"/>
        <w:ind w:left="720"/>
      </w:pPr>
      <w:r>
        <w:rPr>
          <w:lang w:val="en_US" w:bidi="en_US"/>
        </w:rPr>
      </w:r>
      <w:r>
        <w:rPr>
          <w:lang w:val="en_US" w:bidi="en_US"/>
        </w:rPr>
        <w:t>“Judas, are you</w:t>
      </w:r>
      <w:r>
        <w:rPr>
          <w:vertAlign w:val="superscript"/>
          <w:lang w:val="en_US" w:bidi="en_US"/>
        </w:rPr>
        <w:t>(sing)</w:t>
      </w:r>
      <w:r>
        <w:rPr>
          <w:lang w:val="en_US" w:bidi="en_US"/>
        </w:rPr>
        <w:t xml:space="preserve"> using a kiss/embrace to give the Son of Man to his enemies?”</w:t>
      </w:r>
    </w:p>
    <w:p>
      <w:pPr>
        <w:pStyle w:val="ListBullet"/>
        <w:spacing w:line="240" w:lineRule="auto"/>
        <w:ind w:left="720"/>
      </w:pPr>
      <w:r>
        <w:rPr>
          <w:lang w:val="en_US" w:bidi="en_US"/>
        </w:rPr>
      </w:r>
      <w:r>
        <w:rPr>
          <w:lang w:val="en_US" w:bidi="en_US"/>
        </w:rPr>
        <w:t>“Why do you betray me, the Son of Man, with an embrace, Judas?”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greet me </w:t>
      </w:r>
      <w:r>
        <w:rPr>
          <w:lang w:val="en_US" w:bidi="en_US"/>
        </w:rPr>
        <w:t>as though you love me</w:t>
      </w:r>
      <w:r>
        <w:rPr>
          <w:lang w:val="en_US" w:bidi="en_US"/>
        </w:rPr>
        <w:t>, Judas, but you greet me to give me, the Son of Man, to my enemies!”</w:t>
      </w:r>
    </w:p>
    <w:p>
      <w:pPr/>
      <w:r>
        <w:rPr>
          <w:lang w:val="en_US" w:bidi="en_US"/>
        </w:rPr>
      </w:r>
      <w:r>
        <w:rPr>
          <w:b/>
          <w:lang w:val="en_US" w:bidi="en_US"/>
        </w:rPr>
        <w:t>Judas:</w:t>
      </w:r>
      <w:r>
        <w:rPr>
          <w:lang w:val="en_US" w:bidi="en_US"/>
        </w:rPr>
        <w:t xml:space="preserve"> Here Jesus addressed Judas directly by name. In some languages it is more natural to put this direct address in a different part of the sentence. See 22:48b in the Display for an example.</w:t>
      </w:r>
    </w:p>
    <w:p>
      <w:pPr/>
      <w:r>
        <w:rPr>
          <w:lang w:val="en_US" w:bidi="en_US"/>
        </w:rPr>
      </w:r>
      <w:r>
        <w:rPr>
          <w:b/>
          <w:lang w:val="en_US" w:bidi="en_US"/>
        </w:rPr>
        <w:t>are you betraying the Son of Man with a kiss:</w:t>
      </w:r>
      <w:r>
        <w:rPr>
          <w:lang w:val="en_US" w:bidi="en_US"/>
        </w:rPr>
        <w:t xml:space="preserve"> This is a rhetorical question. It expresses the surprise and sorrow that Jesus felt when Judas used a kiss to betray him. It was terrible for a friend to betray him, but it was even more terrible for the friend to betray him with a kiss of greeting.</w:t>
      </w:r>
    </w:p>
    <w:p>
      <w:pPr/>
      <w:r>
        <w:rPr>
          <w:lang w:val="en_US" w:bidi="en_US"/>
        </w:rPr>
      </w:r>
      <w:r>
        <w:rPr>
          <w:lang w:val="en_US" w:bidi="en_US"/>
        </w:rPr>
        <w:t>Some ways to translate this surprise and sorrow are:</w:t>
      </w:r>
    </w:p>
    <w:p>
      <w:pPr>
        <w:pStyle w:val="ListBullet"/>
        <w:spacing w:line="240" w:lineRule="auto"/>
        <w:ind w:left="720"/>
      </w:pPr>
      <w:r>
        <w:rPr>
          <w:lang w:val="en_US" w:bidi="en_US"/>
        </w:rPr>
      </w:r>
      <w:r>
        <w:rPr>
          <w:lang w:val="en_US" w:bidi="en_US"/>
        </w:rPr>
        <w:t>As a rhetorical question. For example:</w:t>
      </w:r>
      <w:r>
        <w:rPr>
          <w:lang w:val="en_US" w:bidi="en_US"/>
        </w:rPr>
        <w:t>So is it a kiss that you use to betray me, the Son of Man?</w:t>
      </w:r>
      <w:r>
        <w:rPr>
          <w:lang w:val="en_US" w:bidi="en_US"/>
        </w:rPr>
        <w:t>Why did you choose a friendly greeting to betray me, the Son of Man?</w:t>
      </w:r>
      <w:r>
        <w:rPr>
          <w:lang w:val="en_US" w:bidi="en_US"/>
        </w:rPr>
        <w:t>How can you betray me, the Son of Man, with a kiss?</w:t>
      </w:r>
      <w:r>
        <w:rPr>
          <w:lang w:val="en_US" w:bidi="en_US"/>
        </w:rPr>
        <w:t>Like this, Judas, you betray the Son of Mankind?</w:t>
      </w:r>
      <w:r>
        <w:rPr>
          <w:lang w:val="en_US" w:bidi="en_US"/>
        </w:rPr>
        <w:t>Yakan back translation on TW.</w:t>
      </w:r>
    </w:p>
    <w:p>
      <w:pPr>
        <w:pStyle w:val="ListBullet"/>
        <w:spacing w:line="240" w:lineRule="auto"/>
        <w:ind w:left="720"/>
      </w:pPr>
      <w:r>
        <w:rPr>
          <w:lang w:val="en_US" w:bidi="en_US"/>
        </w:rPr>
      </w:r>
      <w:r>
        <w:rPr>
          <w:lang w:val="en_US" w:bidi="en_US"/>
        </w:rPr>
        <w:t>As a statement or exclamation. For example:</w:t>
      </w:r>
      <w:r>
        <w:rPr>
          <w:lang w:val="en_US" w:bidi="en_US"/>
        </w:rPr>
        <w:t>So you take the kiss of a friend to give me, the Son of Man, to my enemies!</w:t>
      </w:r>
    </w:p>
    <w:p>
      <w:pPr/>
      <w:r>
        <w:rPr>
          <w:lang w:val="en_US" w:bidi="en_US"/>
        </w:rPr>
      </w:r>
      <w:r>
        <w:rPr>
          <w:lang w:val="en_US" w:bidi="en_US"/>
        </w:rPr>
        <w:t>Use a natural way to express this surprise and sorrow in your language.</w:t>
      </w:r>
    </w:p>
    <w:p>
      <w:pPr/>
      <w:r>
        <w:rPr>
          <w:lang w:val="en_US" w:bidi="en_US"/>
        </w:rPr>
      </w:r>
      <w:r>
        <w:rPr>
          <w:b/>
          <w:lang w:val="en_US" w:bidi="en_US"/>
        </w:rPr>
        <w:t>betraying:</w:t>
      </w:r>
      <w:r>
        <w:rPr>
          <w:lang w:val="en_US" w:bidi="en_US"/>
        </w:rPr>
        <w:t xml:space="preserve"> The word </w:t>
      </w:r>
      <w:r>
        <w:rPr>
          <w:i/>
          <w:lang w:val="en_US" w:bidi="en_US"/>
        </w:rPr>
        <w:t>betraying</w:t>
      </w:r>
      <w:r>
        <w:rPr>
          <w:lang w:val="en_US" w:bidi="en_US"/>
        </w:rPr>
        <w:t xml:space="preserve"> refers here to handing Jesus over to his enemies. This word also occurred in 22:4. In some languages it is necessary to specify the people to whom Judas was </w:t>
      </w:r>
      <w:r>
        <w:rPr>
          <w:i/>
          <w:lang w:val="en_US" w:bidi="en_US"/>
        </w:rPr>
        <w:t>betraying</w:t>
      </w:r>
      <w:r>
        <w:rPr>
          <w:lang w:val="en_US" w:bidi="en_US"/>
        </w:rPr>
        <w:t xml:space="preserve"> Jesus. If that is true in your language, you can use a general term like “enemies.” See the note on 22:4c.</w:t>
      </w:r>
    </w:p>
    <w:p>
      <w:pPr/>
      <w:r>
        <w:rPr>
          <w:lang w:val="en_US" w:bidi="en_US"/>
        </w:rPr>
      </w:r>
      <w:r>
        <w:rPr>
          <w:b/>
          <w:lang w:val="en_US" w:bidi="en_US"/>
        </w:rPr>
        <w:t>Son of Man:</w:t>
      </w:r>
      <w:r>
        <w:rPr>
          <w:lang w:val="en_US" w:bidi="en_US"/>
        </w:rPr>
        <w:t xml:space="preserve"> Here Jesus referred to himself as the </w:t>
      </w:r>
      <w:r>
        <w:rPr>
          <w:i/>
          <w:lang w:val="en_US" w:bidi="en_US"/>
        </w:rPr>
        <w:t>Son of Man</w:t>
      </w:r>
      <w:r>
        <w:rPr>
          <w:lang w:val="en_US" w:bidi="en_US"/>
        </w:rPr>
        <w:t>. He also referred to himself in that way in 22:22. See how you translated it there.</w:t>
      </w:r>
    </w:p>
    <w:p>
      <w:pPr/>
      <w:r>
        <w:rPr>
          <w:lang w:val="en_US" w:bidi="en_US"/>
        </w:rPr>
      </w:r>
      <w:r>
        <w:rPr>
          <w:b/>
          <w:lang w:val="en_US" w:bidi="en_US"/>
        </w:rPr>
        <w:t>kiss:</w:t>
      </w:r>
      <w:r>
        <w:rPr>
          <w:lang w:val="en_US" w:bidi="en_US"/>
        </w:rPr>
        <w:t xml:space="preserve"> See the note in 22:47c for information and translation suggestions.</w:t>
      </w:r>
      <w:r>
        <w:rPr>
          <w:lang w:val="en_US" w:bidi="en_US"/>
        </w:rPr>
      </w:r>
      <w:r>
        <w:rPr>
          <w:lang w:val="en_US" w:bidi="en_US"/>
        </w:rPr>
      </w:r>
    </w:p>
    <w:p>
      <w:pPr/>
      <w:r>
        <w:rPr>
          <w:lang w:val="en_US" w:bidi="en_US"/>
        </w:rPr>
      </w:r>
    </w:p>
    <w:p>
      <w:pPr>
        <w:pStyle w:val="Heading2"/>
      </w:pPr>
      <w:r>
        <w:rPr>
          <w:lang w:val="en_US" w:bidi="en_US"/>
        </w:rPr>
        <w:t>Luke 22:49</w:t>
      </w:r>
      <w:r>
        <w:rPr>
          <w:lang w:val="en_US" w:bidi="en_US"/>
        </w:rPr>
      </w:r>
    </w:p>
    <w:p>
      <w:pPr>
        <w:pStyle w:val="Heading4"/>
      </w:pPr>
      <w:r>
        <w:rPr>
          <w:lang w:val="en_US" w:bidi="en_US"/>
        </w:rPr>
        <w:t>Section 22:47–53: Judas helped Jesus’ enemies to find him and arrest him</w:t>
      </w:r>
    </w:p>
    <w:p>
      <w:pPr/>
      <w:r>
        <w:rPr>
          <w:lang w:val="en_US" w:bidi="en_US"/>
        </w:rPr>
      </w:r>
      <w:r>
        <w:rPr>
          <w:lang w:val="en_US" w:bidi="en_US"/>
        </w:rPr>
        <w:t>In this section Judas arrived at the place where Jesus and his disciples were talking. Judas was leading a crowd of men who had come to arrest Jesus and take him to the Jewish leaders for trial. Many of these men were probably temple guards. Judas had agreed to greet Jesus with a kiss so that they would know which person to arrest.</w:t>
      </w:r>
    </w:p>
    <w:p>
      <w:pPr/>
      <w:r>
        <w:rPr>
          <w:lang w:val="en_US" w:bidi="en_US"/>
        </w:rPr>
      </w:r>
      <w:r>
        <w:rPr>
          <w:lang w:val="en_US" w:bidi="en_US"/>
        </w:rPr>
        <w:t>The disciples saw what was about to happen, and they asked Jesus if they should fight to prevent his arrest. Peter cut off one man’s ear, but Jesus healed the man and told his disciples not to fight against his arrest. The temple guards arrested Jesus, and he did not resist them.</w:t>
      </w:r>
    </w:p>
    <w:p>
      <w:pPr/>
      <w:r>
        <w:rPr>
          <w:lang w:val="en_US" w:bidi="en_US"/>
        </w:rPr>
      </w:r>
      <w:r>
        <w:rPr>
          <w:lang w:val="en_US" w:bidi="en_US"/>
        </w:rPr>
        <w:t>Some other examples of headings for this section are:</w:t>
      </w:r>
    </w:p>
    <w:p>
      <w:pPr/>
      <w:r>
        <w:rPr>
          <w:lang w:val="en_US" w:bidi="en_US"/>
        </w:rPr>
      </w:r>
      <w:r>
        <w:rPr>
          <w:lang w:val="en_US" w:bidi="en_US"/>
        </w:rPr>
        <w:t>Jesus Is Arrested (GW)</w:t>
      </w:r>
    </w:p>
    <w:p>
      <w:pPr/>
      <w:r>
        <w:rPr>
          <w:lang w:val="en_US" w:bidi="en_US"/>
        </w:rPr>
      </w:r>
      <w:r>
        <w:rPr>
          <w:lang w:val="en_US" w:bidi="en_US"/>
        </w:rPr>
        <w:t>The Betrayal and Arrest of Jesus (NRSV)</w:t>
      </w:r>
    </w:p>
    <w:p>
      <w:pPr/>
      <w:r>
        <w:rPr>
          <w:lang w:val="en_US" w:bidi="en_US"/>
        </w:rPr>
      </w:r>
      <w:r>
        <w:rPr>
          <w:lang w:val="en_US" w:bidi="en_US"/>
        </w:rPr>
        <w:t>There are parallel passages for this section in Matthew 26:47–56, Mark 14:43–50, and John 18:3–11.</w:t>
      </w:r>
    </w:p>
    <w:p>
      <w:pPr>
        <w:pStyle w:val="Heading5"/>
      </w:pPr>
      <w:r>
        <w:rPr>
          <w:lang w:val="en_US" w:bidi="en_US"/>
        </w:rPr>
        <w:t>22:49a</w:t>
      </w:r>
    </w:p>
    <w:p>
      <w:pPr/>
      <w:r>
        <w:rPr>
          <w:lang w:val="en_US" w:bidi="en_US"/>
        </w:rPr>
      </w:r>
      <w:r>
        <w:rPr>
          <w:b/>
          <w:lang w:val="en_US" w:bidi="en_US"/>
        </w:rPr>
        <w:t>Those around Jesus saw what was about to happen</w:t>
      </w:r>
    </w:p>
    <w:p>
      <w:pPr>
        <w:pStyle w:val="ListBullet"/>
        <w:spacing w:line="240" w:lineRule="auto"/>
        <w:ind w:left="720"/>
      </w:pPr>
      <w:r>
        <w:rPr>
          <w:lang w:val="en_US" w:bidi="en_US"/>
        </w:rPr>
      </w:r>
      <w:r>
        <w:rPr>
          <w:lang w:val="en_US" w:bidi="en_US"/>
        </w:rPr>
        <w:t xml:space="preserve">¶ When the men </w:t>
      </w:r>
      <w:r>
        <w:rPr>
          <w:lang w:val="en_US" w:bidi="en_US"/>
        </w:rPr>
        <w:t>standing</w:t>
      </w:r>
      <w:r>
        <w:rPr>
          <w:lang w:val="en_US" w:bidi="en_US"/>
        </w:rPr>
        <w:t xml:space="preserve"> around Jesus perceived/understood what was about to happen </w:t>
      </w:r>
      <w:r>
        <w:rPr>
          <w:lang w:val="en_US" w:bidi="en_US"/>
        </w:rPr>
        <w:t>to Jesus</w:t>
      </w:r>
      <w:r>
        <w:rPr>
          <w:lang w:val="en_US" w:bidi="en_US"/>
        </w:rPr>
        <w:t>,</w:t>
      </w:r>
    </w:p>
    <w:p>
      <w:pPr>
        <w:pStyle w:val="ListBullet"/>
        <w:spacing w:line="240" w:lineRule="auto"/>
        <w:ind w:left="720"/>
      </w:pPr>
      <w:r>
        <w:rPr>
          <w:lang w:val="en_US" w:bidi="en_US"/>
        </w:rPr>
      </w:r>
      <w:r>
        <w:rPr>
          <w:lang w:val="en_US" w:bidi="en_US"/>
        </w:rPr>
        <w:t xml:space="preserve">¶ Then Jesus’ disciples realized </w:t>
      </w:r>
      <w:r>
        <w:rPr>
          <w:lang w:val="en_US" w:bidi="en_US"/>
        </w:rPr>
        <w:t>that the crowd had come to arrest Jesus</w:t>
      </w:r>
      <w:r>
        <w:rPr>
          <w:lang w:val="en_US" w:bidi="en_US"/>
        </w:rPr>
        <w:t>.</w:t>
      </w:r>
    </w:p>
    <w:p>
      <w:pPr/>
      <w:r>
        <w:rPr>
          <w:lang w:val="en_US" w:bidi="en_US"/>
        </w:rPr>
      </w:r>
      <w:r>
        <w:rPr>
          <w:b/>
          <w:lang w:val="en_US" w:bidi="en_US"/>
        </w:rPr>
        <w:t>Those around Jesus saw what was about to happen:</w:t>
      </w:r>
      <w:r>
        <w:rPr>
          <w:lang w:val="en_US" w:bidi="en_US"/>
        </w:rPr>
        <w:t xml:space="preserve"> This clause indicates that Jesus’ disciples realized what was about to happen. Judas had betrayed Jesus, and people in the crowd had come to arrest him. In some languages it may be natural to translate this clause as a separate sentence:</w:t>
      </w:r>
    </w:p>
    <w:p>
      <w:pPr/>
      <w:r>
        <w:rPr>
          <w:lang w:val="en_US" w:bidi="en_US"/>
        </w:rPr>
      </w:r>
      <w:r>
        <w:rPr>
          <w:lang w:val="en_US" w:bidi="en_US"/>
        </w:rPr>
        <w:t>Then Jesus’ followers realized what was about to happen. So…</w:t>
      </w:r>
    </w:p>
    <w:p>
      <w:pPr/>
      <w:r>
        <w:rPr>
          <w:lang w:val="en_US" w:bidi="en_US"/>
        </w:rPr>
      </w:r>
      <w:r>
        <w:rPr>
          <w:b/>
          <w:lang w:val="en_US" w:bidi="en_US"/>
        </w:rPr>
        <w:t>Those around Jesus:</w:t>
      </w:r>
      <w:r>
        <w:rPr>
          <w:lang w:val="en_US" w:bidi="en_US"/>
        </w:rPr>
        <w:t xml:space="preserve"> The Greek expression that the BSB translates as </w:t>
      </w:r>
      <w:r>
        <w:rPr>
          <w:i/>
          <w:lang w:val="en_US" w:bidi="en_US"/>
        </w:rPr>
        <w:t>Those around Jesus</w:t>
      </w:r>
      <w:r>
        <w:rPr>
          <w:lang w:val="en_US" w:bidi="en_US"/>
        </w:rPr>
        <w:t xml:space="preserve"> is more literally “those around him.” Here it refers to the disciples. Another way to translate it is:</w:t>
      </w:r>
    </w:p>
    <w:p>
      <w:pPr/>
      <w:r>
        <w:rPr>
          <w:lang w:val="en_US" w:bidi="en_US"/>
        </w:rPr>
      </w:r>
      <w:r>
        <w:rPr>
          <w:lang w:val="en_US" w:bidi="en_US"/>
        </w:rPr>
        <w:t>Jesus’ disciples who were standing around him</w:t>
      </w:r>
    </w:p>
    <w:p>
      <w:pPr/>
      <w:r>
        <w:rPr>
          <w:lang w:val="en_US" w:bidi="en_US"/>
        </w:rPr>
      </w:r>
      <w:r>
        <w:rPr>
          <w:b/>
          <w:lang w:val="en_US" w:bidi="en_US"/>
        </w:rPr>
        <w:t>saw:</w:t>
      </w:r>
      <w:r>
        <w:rPr>
          <w:lang w:val="en_US" w:bidi="en_US"/>
        </w:rPr>
        <w:t xml:space="preserve"> In this context </w:t>
      </w:r>
      <w:r>
        <w:rPr>
          <w:i/>
          <w:lang w:val="en_US" w:bidi="en_US"/>
        </w:rPr>
        <w:t>saw</w:t>
      </w:r>
      <w:r>
        <w:rPr>
          <w:lang w:val="en_US" w:bidi="en_US"/>
        </w:rPr>
        <w:t xml:space="preserve"> means “understood” or “realized.”</w:t>
      </w:r>
    </w:p>
    <w:p>
      <w:pPr/>
      <w:r>
        <w:rPr>
          <w:lang w:val="en_US" w:bidi="en_US"/>
        </w:rPr>
      </w:r>
      <w:r>
        <w:rPr>
          <w:b/>
          <w:lang w:val="en_US" w:bidi="en_US"/>
        </w:rPr>
        <w:t>what was about to happen:</w:t>
      </w:r>
      <w:r>
        <w:rPr>
          <w:lang w:val="en_US" w:bidi="en_US"/>
        </w:rPr>
        <w:t xml:space="preserve"> The phrase </w:t>
      </w:r>
      <w:r>
        <w:rPr>
          <w:i/>
          <w:lang w:val="en_US" w:bidi="en_US"/>
        </w:rPr>
        <w:t>what was about to happen</w:t>
      </w:r>
      <w:r>
        <w:rPr>
          <w:lang w:val="en_US" w:bidi="en_US"/>
        </w:rPr>
        <w:t xml:space="preserve"> refers to the fact that the crowd was about to arrest Jesus. In some languages it may be helpful or necessary to make this explicit. For example:</w:t>
      </w:r>
    </w:p>
    <w:p>
      <w:pPr/>
      <w:r>
        <w:rPr>
          <w:lang w:val="en_US" w:bidi="en_US"/>
        </w:rPr>
      </w:r>
      <w:r>
        <w:rPr>
          <w:lang w:val="en_US" w:bidi="en_US"/>
        </w:rPr>
        <w:t>that the crowd had come to arrest Jesus</w:t>
      </w:r>
    </w:p>
    <w:p>
      <w:pPr>
        <w:pStyle w:val="Heading5"/>
      </w:pPr>
      <w:r>
        <w:rPr>
          <w:lang w:val="en_US" w:bidi="en_US"/>
        </w:rPr>
        <w:t>22:49b</w:t>
      </w:r>
    </w:p>
    <w:p>
      <w:pPr/>
      <w:r>
        <w:rPr>
          <w:lang w:val="en_US" w:bidi="en_US"/>
        </w:rPr>
      </w:r>
      <w:r>
        <w:rPr>
          <w:b/>
          <w:lang w:val="en_US" w:bidi="en_US"/>
        </w:rPr>
        <w:t>and said, “Lord, should we strike with our swords?”</w:t>
      </w:r>
    </w:p>
    <w:p>
      <w:pPr>
        <w:pStyle w:val="ListBullet"/>
        <w:spacing w:line="240" w:lineRule="auto"/>
        <w:ind w:left="720"/>
      </w:pPr>
      <w:r>
        <w:rPr>
          <w:lang w:val="en_US" w:bidi="en_US"/>
        </w:rPr>
      </w:r>
      <w:r>
        <w:rPr>
          <w:lang w:val="en_US" w:bidi="en_US"/>
        </w:rPr>
        <w:t>they said, “Lord, should we</w:t>
      </w:r>
      <w:r>
        <w:rPr>
          <w:vertAlign w:val="superscript"/>
          <w:lang w:val="en_US" w:bidi="en_US"/>
        </w:rPr>
        <w:t>(excl)</w:t>
      </w:r>
      <w:r>
        <w:rPr>
          <w:lang w:val="en_US" w:bidi="en_US"/>
        </w:rPr>
        <w:t xml:space="preserve"> fight/attack them with our</w:t>
      </w:r>
      <w:r>
        <w:rPr>
          <w:vertAlign w:val="superscript"/>
          <w:lang w:val="en_US" w:bidi="en_US"/>
        </w:rPr>
        <w:t>(excl)</w:t>
      </w:r>
      <w:r>
        <w:rPr>
          <w:lang w:val="en_US" w:bidi="en_US"/>
        </w:rPr>
        <w:t xml:space="preserve"> swords?”</w:t>
      </w:r>
    </w:p>
    <w:p>
      <w:pPr>
        <w:pStyle w:val="ListBullet"/>
        <w:spacing w:line="240" w:lineRule="auto"/>
        <w:ind w:left="720"/>
      </w:pPr>
      <w:r>
        <w:rPr>
          <w:lang w:val="en_US" w:bidi="en_US"/>
        </w:rPr>
      </w:r>
      <w:r>
        <w:rPr>
          <w:lang w:val="en_US" w:bidi="en_US"/>
        </w:rPr>
        <w:t xml:space="preserve">So they asked </w:t>
      </w:r>
      <w:r>
        <w:rPr>
          <w:lang w:val="en_US" w:bidi="en_US"/>
        </w:rPr>
        <w:t>Jesus</w:t>
      </w:r>
      <w:r>
        <w:rPr>
          <w:lang w:val="en_US" w:bidi="en_US"/>
        </w:rPr>
        <w:t>, “Lord, shall we</w:t>
      </w:r>
      <w:r>
        <w:rPr>
          <w:vertAlign w:val="superscript"/>
          <w:lang w:val="en_US" w:bidi="en_US"/>
        </w:rPr>
        <w:t>(excl)</w:t>
      </w:r>
      <w:r>
        <w:rPr>
          <w:lang w:val="en_US" w:bidi="en_US"/>
        </w:rPr>
        <w:t xml:space="preserve"> use our</w:t>
      </w:r>
      <w:r>
        <w:rPr>
          <w:vertAlign w:val="superscript"/>
          <w:lang w:val="en_US" w:bidi="en_US"/>
        </w:rPr>
        <w:t>(excl)</w:t>
      </w:r>
      <w:r>
        <w:rPr>
          <w:lang w:val="en_US" w:bidi="en_US"/>
        </w:rPr>
        <w:t xml:space="preserve"> swords to resist them?”</w:t>
      </w:r>
    </w:p>
    <w:p>
      <w:pPr/>
      <w:r>
        <w:rPr>
          <w:lang w:val="en_US" w:bidi="en_US"/>
        </w:rPr>
      </w:r>
      <w:r>
        <w:rPr>
          <w:b/>
          <w:lang w:val="en_US" w:bidi="en_US"/>
        </w:rPr>
        <w:t>and said:</w:t>
      </w:r>
      <w:r>
        <w:rPr>
          <w:lang w:val="en_US" w:bidi="en_US"/>
        </w:rPr>
        <w:t xml:space="preserve"> The phrase </w:t>
      </w:r>
      <w:r>
        <w:rPr>
          <w:i/>
          <w:lang w:val="en_US" w:bidi="en_US"/>
        </w:rPr>
        <w:t>and said</w:t>
      </w:r>
      <w:r>
        <w:rPr>
          <w:lang w:val="en_US" w:bidi="en_US"/>
        </w:rPr>
        <w:t xml:space="preserve"> introduces what the disciples asked Jesus. Probably one of the disciples spoke for the group. Some other ways to introduce the question are:</w:t>
      </w:r>
    </w:p>
    <w:p>
      <w:pPr/>
      <w:r>
        <w:rPr>
          <w:lang w:val="en_US" w:bidi="en_US"/>
        </w:rPr>
      </w:r>
      <w:r>
        <w:rPr>
          <w:lang w:val="en_US" w:bidi="en_US"/>
        </w:rPr>
        <w:t>they asked Jesus</w:t>
      </w:r>
    </w:p>
    <w:p>
      <w:pPr/>
      <w:r>
        <w:rPr>
          <w:lang w:val="en_US" w:bidi="en_US"/>
        </w:rPr>
      </w:r>
      <w:r>
        <w:rPr>
          <w:lang w:val="en_US" w:bidi="en_US"/>
        </w:rPr>
        <w:t>they said to Jesus</w:t>
      </w:r>
    </w:p>
    <w:p>
      <w:pPr/>
      <w:r>
        <w:rPr>
          <w:lang w:val="en_US" w:bidi="en_US"/>
        </w:rPr>
      </w:r>
      <w:r>
        <w:rPr>
          <w:b/>
          <w:lang w:val="en_US" w:bidi="en_US"/>
        </w:rPr>
        <w:t>Lord, should we strike with our swords?:</w:t>
      </w:r>
      <w:r>
        <w:rPr>
          <w:lang w:val="en_US" w:bidi="en_US"/>
        </w:rPr>
        <w:t xml:space="preserve"> Here the disciples asked Jesus if he wanted them to use their swords to fight against the crowd. They wanted to defend Jesus. It is clear from 22:50 that one of the disciples did not wait for Jesus to reply. Some other ways to translate this are:</w:t>
      </w:r>
    </w:p>
    <w:p>
      <w:pPr/>
      <w:r>
        <w:rPr>
          <w:lang w:val="en_US" w:bidi="en_US"/>
        </w:rPr>
      </w:r>
      <w:r>
        <w:rPr>
          <w:lang w:val="en_US" w:bidi="en_US"/>
        </w:rPr>
        <w:t xml:space="preserve">Lord, </w:t>
      </w:r>
      <w:r>
        <w:rPr>
          <w:lang w:val="en_US" w:bidi="en_US"/>
        </w:rPr>
        <w:t>do you want</w:t>
      </w:r>
      <w:r>
        <w:rPr>
          <w:lang w:val="en_US" w:bidi="en_US"/>
        </w:rPr>
        <w:t xml:space="preserve"> us</w:t>
      </w:r>
      <w:r>
        <w:rPr>
          <w:vertAlign w:val="superscript"/>
          <w:lang w:val="en_US" w:bidi="en_US"/>
        </w:rPr>
        <w:t>(excl)</w:t>
      </w:r>
      <w:r>
        <w:rPr>
          <w:lang w:val="en_US" w:bidi="en_US"/>
        </w:rPr>
        <w:t xml:space="preserve"> to fight/attack them with our swords?</w:t>
      </w:r>
    </w:p>
    <w:p>
      <w:pPr/>
      <w:r>
        <w:rPr>
          <w:lang w:val="en_US" w:bidi="en_US"/>
        </w:rPr>
      </w:r>
      <w:r>
        <w:rPr>
          <w:lang w:val="en_US" w:bidi="en_US"/>
        </w:rPr>
        <w:t>Lord, shall we</w:t>
      </w:r>
      <w:r>
        <w:rPr>
          <w:vertAlign w:val="superscript"/>
          <w:lang w:val="en_US" w:bidi="en_US"/>
        </w:rPr>
        <w:t>(excl)</w:t>
      </w:r>
      <w:r>
        <w:rPr>
          <w:lang w:val="en_US" w:bidi="en_US"/>
        </w:rPr>
        <w:t xml:space="preserve"> fight them? We brought our swords!</w:t>
      </w:r>
    </w:p>
    <w:p>
      <w:pPr/>
      <w:r>
        <w:rPr>
          <w:lang w:val="en_US" w:bidi="en_US"/>
        </w:rPr>
      </w:r>
      <w:r>
        <w:rPr>
          <w:lang w:val="en_US" w:bidi="en_US"/>
        </w:rPr>
        <w:t>Lord, should we use our swords to fight? (GW)</w:t>
      </w:r>
    </w:p>
    <w:p>
      <w:pPr/>
      <w:r>
        <w:rPr>
          <w:lang w:val="en_US" w:bidi="en_US"/>
        </w:rPr>
      </w:r>
      <w:r>
        <w:rPr>
          <w:b/>
          <w:lang w:val="en_US" w:bidi="en_US"/>
        </w:rPr>
        <w:t>we:</w:t>
      </w:r>
      <w:r>
        <w:rPr>
          <w:lang w:val="en_US" w:bidi="en_US"/>
        </w:rPr>
        <w:t xml:space="preserve"> The word </w:t>
      </w:r>
      <w:r>
        <w:rPr>
          <w:i/>
          <w:lang w:val="en_US" w:bidi="en_US"/>
        </w:rPr>
        <w:t>we</w:t>
      </w:r>
      <w:r>
        <w:rPr>
          <w:lang w:val="en_US" w:bidi="en_US"/>
        </w:rPr>
        <w:t xml:space="preserve"> here does not include Jesus. The disciples offered to fight for him.</w:t>
      </w:r>
    </w:p>
    <w:p>
      <w:pPr/>
      <w:r>
        <w:rPr>
          <w:lang w:val="en_US" w:bidi="en_US"/>
        </w:rPr>
      </w:r>
      <w:r>
        <w:rPr>
          <w:b/>
          <w:lang w:val="en_US" w:bidi="en_US"/>
        </w:rPr>
        <w:t>our swords:</w:t>
      </w:r>
      <w:r>
        <w:rPr>
          <w:lang w:val="en_US" w:bidi="en_US"/>
        </w:rPr>
        <w:t xml:space="preserve"> The phrase </w:t>
      </w:r>
      <w:r>
        <w:rPr>
          <w:i/>
          <w:lang w:val="en_US" w:bidi="en_US"/>
        </w:rPr>
        <w:t>our swords</w:t>
      </w:r>
      <w:r>
        <w:rPr>
          <w:lang w:val="en_US" w:bidi="en_US"/>
        </w:rPr>
        <w:t xml:space="preserve"> probably refers back to the two swords mentioned in 22:38. See the note at 22:38a.</w:t>
      </w:r>
      <w:r>
        <w:rPr>
          <w:lang w:val="en_US" w:bidi="en_US"/>
        </w:rPr>
      </w:r>
      <w:r>
        <w:rPr>
          <w:lang w:val="en_US" w:bidi="en_US"/>
        </w:rPr>
      </w:r>
    </w:p>
    <w:p>
      <w:pPr/>
      <w:r>
        <w:rPr>
          <w:lang w:val="en_US" w:bidi="en_US"/>
        </w:rPr>
      </w:r>
    </w:p>
    <w:p>
      <w:pPr>
        <w:pStyle w:val="Heading2"/>
      </w:pPr>
      <w:r>
        <w:rPr>
          <w:lang w:val="en_US" w:bidi="en_US"/>
        </w:rPr>
        <w:t>Luke 22:50</w:t>
      </w:r>
      <w:r>
        <w:rPr>
          <w:lang w:val="en_US" w:bidi="en_US"/>
        </w:rPr>
      </w:r>
    </w:p>
    <w:p>
      <w:pPr>
        <w:pStyle w:val="Heading4"/>
      </w:pPr>
      <w:r>
        <w:rPr>
          <w:lang w:val="en_US" w:bidi="en_US"/>
        </w:rPr>
        <w:t>Section 22:47–53: Judas helped Jesus’ enemies to find him and arrest him</w:t>
      </w:r>
    </w:p>
    <w:p>
      <w:pPr/>
      <w:r>
        <w:rPr>
          <w:lang w:val="en_US" w:bidi="en_US"/>
        </w:rPr>
      </w:r>
      <w:r>
        <w:rPr>
          <w:lang w:val="en_US" w:bidi="en_US"/>
        </w:rPr>
        <w:t>In this section Judas arrived at the place where Jesus and his disciples were talking. Judas was leading a crowd of men who had come to arrest Jesus and take him to the Jewish leaders for trial. Many of these men were probably temple guards. Judas had agreed to greet Jesus with a kiss so that they would know which person to arrest.</w:t>
      </w:r>
    </w:p>
    <w:p>
      <w:pPr/>
      <w:r>
        <w:rPr>
          <w:lang w:val="en_US" w:bidi="en_US"/>
        </w:rPr>
      </w:r>
      <w:r>
        <w:rPr>
          <w:lang w:val="en_US" w:bidi="en_US"/>
        </w:rPr>
        <w:t>The disciples saw what was about to happen, and they asked Jesus if they should fight to prevent his arrest. Peter cut off one man’s ear, but Jesus healed the man and told his disciples not to fight against his arrest. The temple guards arrested Jesus, and he did not resist them.</w:t>
      </w:r>
    </w:p>
    <w:p>
      <w:pPr/>
      <w:r>
        <w:rPr>
          <w:lang w:val="en_US" w:bidi="en_US"/>
        </w:rPr>
      </w:r>
      <w:r>
        <w:rPr>
          <w:lang w:val="en_US" w:bidi="en_US"/>
        </w:rPr>
        <w:t>Some other examples of headings for this section are:</w:t>
      </w:r>
    </w:p>
    <w:p>
      <w:pPr/>
      <w:r>
        <w:rPr>
          <w:lang w:val="en_US" w:bidi="en_US"/>
        </w:rPr>
      </w:r>
      <w:r>
        <w:rPr>
          <w:lang w:val="en_US" w:bidi="en_US"/>
        </w:rPr>
        <w:t>Jesus Is Arrested (GW)</w:t>
      </w:r>
    </w:p>
    <w:p>
      <w:pPr/>
      <w:r>
        <w:rPr>
          <w:lang w:val="en_US" w:bidi="en_US"/>
        </w:rPr>
      </w:r>
      <w:r>
        <w:rPr>
          <w:lang w:val="en_US" w:bidi="en_US"/>
        </w:rPr>
        <w:t>The Betrayal and Arrest of Jesus (NRSV)</w:t>
      </w:r>
    </w:p>
    <w:p>
      <w:pPr/>
      <w:r>
        <w:rPr>
          <w:lang w:val="en_US" w:bidi="en_US"/>
        </w:rPr>
      </w:r>
      <w:r>
        <w:rPr>
          <w:lang w:val="en_US" w:bidi="en_US"/>
        </w:rPr>
        <w:t>There are parallel passages for this section in Matthew 26:47–56, Mark 14:43–50, and John 18:3–11.</w:t>
      </w:r>
    </w:p>
    <w:p>
      <w:pPr>
        <w:pStyle w:val="Heading5"/>
      </w:pPr>
      <w:r>
        <w:rPr>
          <w:lang w:val="en_US" w:bidi="en_US"/>
        </w:rPr>
        <w:t>22:50</w:t>
      </w:r>
    </w:p>
    <w:p>
      <w:pPr/>
      <w:r>
        <w:rPr>
          <w:lang w:val="en_US" w:bidi="en_US"/>
        </w:rPr>
      </w:r>
      <w:r>
        <w:rPr>
          <w:b/>
          <w:lang w:val="en_US" w:bidi="en_US"/>
        </w:rPr>
        <w:t>And one of them struck the servant of the high priest, cutting off his right ear.</w:t>
      </w:r>
    </w:p>
    <w:p>
      <w:pPr>
        <w:pStyle w:val="ListBullet"/>
        <w:spacing w:line="240" w:lineRule="auto"/>
        <w:ind w:left="720"/>
      </w:pPr>
      <w:r>
        <w:rPr>
          <w:lang w:val="en_US" w:bidi="en_US"/>
        </w:rPr>
      </w:r>
      <w:r>
        <w:rPr>
          <w:lang w:val="en_US" w:bidi="en_US"/>
        </w:rPr>
        <w:t>Then one of them hit the high priest’s servant with a sword and cut off his right ear.</w:t>
      </w:r>
    </w:p>
    <w:p>
      <w:pPr>
        <w:pStyle w:val="ListBullet"/>
        <w:spacing w:line="240" w:lineRule="auto"/>
        <w:ind w:left="720"/>
      </w:pPr>
      <w:r>
        <w:rPr>
          <w:lang w:val="en_US" w:bidi="en_US"/>
        </w:rPr>
      </w:r>
      <w:r>
        <w:rPr>
          <w:lang w:val="en_US" w:bidi="en_US"/>
        </w:rPr>
        <w:t xml:space="preserve">Then one disciple </w:t>
      </w:r>
      <w:r>
        <w:rPr>
          <w:lang w:val="en_US" w:bidi="en_US"/>
        </w:rPr>
        <w:t>took/drew</w:t>
      </w:r>
      <w:r>
        <w:rPr>
          <w:lang w:val="en_US" w:bidi="en_US"/>
        </w:rPr>
        <w:t xml:space="preserve"> his sword and attacked the slave who </w:t>
      </w:r>
      <w:r>
        <w:rPr>
          <w:lang w:val="en_US" w:bidi="en_US"/>
        </w:rPr>
        <w:t>represented</w:t>
      </w:r>
      <w:r>
        <w:rPr>
          <w:lang w:val="en_US" w:bidi="en_US"/>
        </w:rPr>
        <w:t xml:space="preserve"> the chief/leading priest. The sword slashed off the slave’s right ear.</w:t>
      </w:r>
    </w:p>
    <w:p>
      <w:pPr/>
      <w:r>
        <w:rPr>
          <w:lang w:val="en_US" w:bidi="en_US"/>
        </w:rPr>
      </w:r>
      <w:r>
        <w:rPr>
          <w:b/>
          <w:lang w:val="en_US" w:bidi="en_US"/>
        </w:rPr>
        <w:t>And one of them struck the servant of the high priest, cutting off his right ear:</w:t>
      </w:r>
      <w:r>
        <w:rPr>
          <w:lang w:val="en_US" w:bidi="en_US"/>
        </w:rPr>
        <w:t xml:space="preserve"> This clause indicates that one of the disciples took a sword and used it to hit the servant of the high priest. When the disciple hit the servant, the sword slashed off the servant’s ear on the right side of his head.</w:t>
      </w:r>
    </w:p>
    <w:p>
      <w:pPr/>
      <w:r>
        <w:rPr>
          <w:lang w:val="en_US" w:bidi="en_US"/>
        </w:rPr>
      </w:r>
      <w:r>
        <w:rPr>
          <w:lang w:val="en_US" w:bidi="en_US"/>
        </w:rPr>
        <w:t>Some other ways to translate this clause are:</w:t>
      </w:r>
    </w:p>
    <w:p>
      <w:pPr/>
      <w:r>
        <w:rPr>
          <w:lang w:val="en_US" w:bidi="en_US"/>
        </w:rPr>
      </w:r>
      <w:r>
        <w:rPr>
          <w:lang w:val="en_US" w:bidi="en_US"/>
        </w:rPr>
        <w:t>One of the disciples cut off the right ear of the chief priest’s servant. (GW)</w:t>
      </w:r>
    </w:p>
    <w:p>
      <w:pPr/>
      <w:r>
        <w:rPr>
          <w:lang w:val="en_US" w:bidi="en_US"/>
        </w:rPr>
      </w:r>
      <w:r>
        <w:rPr>
          <w:lang w:val="en_US" w:bidi="en_US"/>
        </w:rPr>
        <w:t>Then one of them hit at the high priest’s servant with a sword, slicing off his right ear.</w:t>
      </w:r>
    </w:p>
    <w:p>
      <w:pPr/>
      <w:r>
        <w:rPr>
          <w:lang w:val="en_US" w:bidi="en_US"/>
        </w:rPr>
      </w:r>
      <w:r>
        <w:rPr>
          <w:b/>
          <w:lang w:val="en_US" w:bidi="en_US"/>
        </w:rPr>
        <w:t>one of them:</w:t>
      </w:r>
      <w:r>
        <w:rPr>
          <w:lang w:val="en_US" w:bidi="en_US"/>
        </w:rPr>
        <w:t xml:space="preserve"> The phrase </w:t>
      </w:r>
      <w:r>
        <w:rPr>
          <w:i/>
          <w:lang w:val="en_US" w:bidi="en_US"/>
        </w:rPr>
        <w:t>one of them</w:t>
      </w:r>
      <w:r>
        <w:rPr>
          <w:lang w:val="en_US" w:bidi="en_US"/>
        </w:rPr>
        <w:t xml:space="preserve"> refers to one of the eleven disciples/apostles who were standing around Jesus. They were referred to in 22:49a.</w:t>
      </w:r>
    </w:p>
    <w:p>
      <w:pPr/>
      <w:r>
        <w:rPr>
          <w:lang w:val="en_US" w:bidi="en_US"/>
        </w:rPr>
      </w:r>
      <w:r>
        <w:rPr>
          <w:b/>
          <w:lang w:val="en_US" w:bidi="en_US"/>
        </w:rPr>
        <w:t>the servant of the high priest:</w:t>
      </w:r>
      <w:r>
        <w:rPr>
          <w:lang w:val="en_US" w:bidi="en_US"/>
        </w:rPr>
        <w:t xml:space="preserve"> The phrase </w:t>
      </w:r>
      <w:r>
        <w:rPr>
          <w:i/>
          <w:lang w:val="en_US" w:bidi="en_US"/>
        </w:rPr>
        <w:t>the servant of the high priest</w:t>
      </w:r>
      <w:r>
        <w:rPr>
          <w:lang w:val="en_US" w:bidi="en_US"/>
        </w:rPr>
        <w:t xml:space="preserve"> probably implies here that the high priest sent his slave to represent him that night. The word </w:t>
      </w:r>
      <w:r>
        <w:rPr>
          <w:i/>
          <w:lang w:val="en_US" w:bidi="en_US"/>
        </w:rPr>
        <w:t>the</w:t>
      </w:r>
      <w:r>
        <w:rPr>
          <w:lang w:val="en_US" w:bidi="en_US"/>
        </w:rPr>
        <w:t xml:space="preserve"> implies that no other slave had the same status. The high priest probably also had other slaves and servants.</w:t>
      </w:r>
    </w:p>
    <w:p>
      <w:pPr/>
      <w:r>
        <w:rPr>
          <w:lang w:val="en_US" w:bidi="en_US"/>
        </w:rPr>
      </w:r>
      <w:r>
        <w:rPr>
          <w:lang w:val="en_US" w:bidi="en_US"/>
        </w:rPr>
        <w:t>Use a natural way in your language to imply that this slave was sent by the high priest and so had an important position or status. Some ways to do this are:</w:t>
      </w:r>
    </w:p>
    <w:p>
      <w:pPr/>
      <w:r>
        <w:rPr>
          <w:lang w:val="en_US" w:bidi="en_US"/>
        </w:rPr>
      </w:r>
      <w:r>
        <w:rPr>
          <w:lang w:val="en_US" w:bidi="en_US"/>
        </w:rPr>
        <w:t>the slave whom the high priest sent</w:t>
      </w:r>
    </w:p>
    <w:p>
      <w:pPr/>
      <w:r>
        <w:rPr>
          <w:lang w:val="en_US" w:bidi="en_US"/>
        </w:rPr>
      </w:r>
      <w:r>
        <w:rPr>
          <w:lang w:val="en_US" w:bidi="en_US"/>
        </w:rPr>
        <w:t>the servant/slave who was representing the high priest</w:t>
      </w:r>
    </w:p>
    <w:p>
      <w:pPr/>
      <w:r>
        <w:rPr>
          <w:lang w:val="en_US" w:bidi="en_US"/>
        </w:rPr>
      </w:r>
      <w:r>
        <w:rPr>
          <w:b/>
          <w:lang w:val="en_US" w:bidi="en_US"/>
        </w:rPr>
        <w:t>servant:</w:t>
      </w:r>
      <w:r>
        <w:rPr>
          <w:lang w:val="en_US" w:bidi="en_US"/>
        </w:rPr>
        <w:t xml:space="preserve"> The Greek word that the BSB translates as </w:t>
      </w:r>
      <w:r>
        <w:rPr>
          <w:i/>
          <w:lang w:val="en_US" w:bidi="en_US"/>
        </w:rPr>
        <w:t>servant</w:t>
      </w:r>
      <w:r>
        <w:rPr>
          <w:lang w:val="en_US" w:bidi="en_US"/>
        </w:rPr>
        <w:t xml:space="preserve"> literally means “slave” (as in the RSV). This Greek word refers to someone who was owned by another person. He worked for his owner/master without receiving pay. This word occurred in 17:7. See how you translated it there. For more information, see the note on “servant” at 17:7a.</w:t>
      </w:r>
    </w:p>
    <w:p>
      <w:pPr/>
      <w:r>
        <w:rPr>
          <w:lang w:val="en_US" w:bidi="en_US"/>
        </w:rPr>
      </w:r>
      <w:r>
        <w:rPr>
          <w:b/>
          <w:lang w:val="en_US" w:bidi="en_US"/>
        </w:rPr>
        <w:t>high priest:</w:t>
      </w:r>
      <w:r>
        <w:rPr>
          <w:lang w:val="en_US" w:bidi="en_US"/>
        </w:rPr>
        <w:t xml:space="preserve"> The </w:t>
      </w:r>
      <w:r>
        <w:rPr>
          <w:i/>
          <w:lang w:val="en_US" w:bidi="en_US"/>
        </w:rPr>
        <w:t>high priest</w:t>
      </w:r>
      <w:r>
        <w:rPr>
          <w:lang w:val="en_US" w:bidi="en_US"/>
        </w:rPr>
        <w:t xml:space="preserve"> was the leader of all the Jewish priests. All Jewish priests offered sacrifices on behalf of the people, but the high priest offered certain special sacrifices that no other priest could offer. In a special way, he represented the Jewish people to God. Some ways to translate </w:t>
      </w:r>
      <w:r>
        <w:rPr>
          <w:i/>
          <w:lang w:val="en_US" w:bidi="en_US"/>
        </w:rPr>
        <w:t>high priest</w:t>
      </w:r>
      <w:r>
        <w:rPr>
          <w:lang w:val="en_US" w:bidi="en_US"/>
        </w:rPr>
        <w:t xml:space="preserve"> are:</w:t>
      </w:r>
    </w:p>
    <w:p>
      <w:pPr/>
      <w:r>
        <w:rPr>
          <w:lang w:val="en_US" w:bidi="en_US"/>
        </w:rPr>
      </w:r>
      <w:r>
        <w:rPr>
          <w:lang w:val="en_US" w:bidi="en_US"/>
        </w:rPr>
        <w:t>the chief/leader of all the priests</w:t>
      </w:r>
    </w:p>
    <w:p>
      <w:pPr/>
      <w:r>
        <w:rPr>
          <w:lang w:val="en_US" w:bidi="en_US"/>
        </w:rPr>
      </w:r>
      <w:r>
        <w:rPr>
          <w:lang w:val="en_US" w:bidi="en_US"/>
        </w:rPr>
        <w:t>the Main/Principal Priest</w:t>
      </w:r>
    </w:p>
    <w:p>
      <w:pPr/>
      <w:r>
        <w:rPr>
          <w:lang w:val="en_US" w:bidi="en_US"/>
        </w:rPr>
      </w:r>
      <w:r>
        <w:rPr>
          <w:lang w:val="en_US" w:bidi="en_US"/>
        </w:rPr>
        <w:t>the highest/leading priest</w:t>
      </w:r>
    </w:p>
    <w:p>
      <w:pPr/>
      <w:r>
        <w:rPr>
          <w:lang w:val="en_US" w:bidi="en_US"/>
        </w:rPr>
      </w:r>
      <w:r>
        <w:rPr>
          <w:lang w:val="en_US" w:bidi="en_US"/>
        </w:rPr>
        <w:t>For more information, see priest in the Glossary.</w:t>
      </w:r>
      <w:r>
        <w:rPr>
          <w:lang w:val="en_US" w:bidi="en_US"/>
        </w:rPr>
      </w:r>
      <w:r>
        <w:rPr>
          <w:lang w:val="en_US" w:bidi="en_US"/>
        </w:rPr>
      </w:r>
    </w:p>
    <w:p>
      <w:pPr/>
      <w:r>
        <w:rPr>
          <w:lang w:val="en_US" w:bidi="en_US"/>
        </w:rPr>
      </w:r>
    </w:p>
    <w:p>
      <w:pPr>
        <w:pStyle w:val="Heading2"/>
      </w:pPr>
      <w:r>
        <w:rPr>
          <w:lang w:val="en_US" w:bidi="en_US"/>
        </w:rPr>
        <w:t>Luke 22:51</w:t>
      </w:r>
      <w:r>
        <w:rPr>
          <w:lang w:val="en_US" w:bidi="en_US"/>
        </w:rPr>
      </w:r>
    </w:p>
    <w:p>
      <w:pPr>
        <w:pStyle w:val="Heading4"/>
      </w:pPr>
      <w:r>
        <w:rPr>
          <w:lang w:val="en_US" w:bidi="en_US"/>
        </w:rPr>
        <w:t>Section 22:47–53: Judas helped Jesus’ enemies to find him and arrest him</w:t>
      </w:r>
    </w:p>
    <w:p>
      <w:pPr/>
      <w:r>
        <w:rPr>
          <w:lang w:val="en_US" w:bidi="en_US"/>
        </w:rPr>
      </w:r>
      <w:r>
        <w:rPr>
          <w:lang w:val="en_US" w:bidi="en_US"/>
        </w:rPr>
        <w:t>In this section Judas arrived at the place where Jesus and his disciples were talking. Judas was leading a crowd of men who had come to arrest Jesus and take him to the Jewish leaders for trial. Many of these men were probably temple guards. Judas had agreed to greet Jesus with a kiss so that they would know which person to arrest.</w:t>
      </w:r>
    </w:p>
    <w:p>
      <w:pPr/>
      <w:r>
        <w:rPr>
          <w:lang w:val="en_US" w:bidi="en_US"/>
        </w:rPr>
      </w:r>
      <w:r>
        <w:rPr>
          <w:lang w:val="en_US" w:bidi="en_US"/>
        </w:rPr>
        <w:t>The disciples saw what was about to happen, and they asked Jesus if they should fight to prevent his arrest. Peter cut off one man’s ear, but Jesus healed the man and told his disciples not to fight against his arrest. The temple guards arrested Jesus, and he did not resist them.</w:t>
      </w:r>
    </w:p>
    <w:p>
      <w:pPr/>
      <w:r>
        <w:rPr>
          <w:lang w:val="en_US" w:bidi="en_US"/>
        </w:rPr>
      </w:r>
      <w:r>
        <w:rPr>
          <w:lang w:val="en_US" w:bidi="en_US"/>
        </w:rPr>
        <w:t>Some other examples of headings for this section are:</w:t>
      </w:r>
    </w:p>
    <w:p>
      <w:pPr/>
      <w:r>
        <w:rPr>
          <w:lang w:val="en_US" w:bidi="en_US"/>
        </w:rPr>
      </w:r>
      <w:r>
        <w:rPr>
          <w:lang w:val="en_US" w:bidi="en_US"/>
        </w:rPr>
        <w:t>Jesus Is Arrested (GW)</w:t>
      </w:r>
    </w:p>
    <w:p>
      <w:pPr/>
      <w:r>
        <w:rPr>
          <w:lang w:val="en_US" w:bidi="en_US"/>
        </w:rPr>
      </w:r>
      <w:r>
        <w:rPr>
          <w:lang w:val="en_US" w:bidi="en_US"/>
        </w:rPr>
        <w:t>The Betrayal and Arrest of Jesus (NRSV)</w:t>
      </w:r>
    </w:p>
    <w:p>
      <w:pPr/>
      <w:r>
        <w:rPr>
          <w:lang w:val="en_US" w:bidi="en_US"/>
        </w:rPr>
      </w:r>
      <w:r>
        <w:rPr>
          <w:lang w:val="en_US" w:bidi="en_US"/>
        </w:rPr>
        <w:t>There are parallel passages for this section in Matthew 26:47–56, Mark 14:43–50, and John 18:3–11.</w:t>
      </w:r>
    </w:p>
    <w:p>
      <w:pPr>
        <w:pStyle w:val="Heading5"/>
      </w:pPr>
      <w:r>
        <w:rPr>
          <w:lang w:val="en_US" w:bidi="en_US"/>
        </w:rPr>
        <w:t>22:51a</w:t>
      </w:r>
    </w:p>
    <w:p>
      <w:pPr/>
      <w:r>
        <w:rPr>
          <w:lang w:val="en_US" w:bidi="en_US"/>
        </w:rPr>
      </w:r>
      <w:r>
        <w:rPr>
          <w:b/>
          <w:lang w:val="en_US" w:bidi="en_US"/>
        </w:rPr>
        <w:t>But Jesus answered, “No more of this!”</w:t>
      </w:r>
    </w:p>
    <w:p>
      <w:pPr>
        <w:pStyle w:val="ListBullet"/>
        <w:spacing w:line="240" w:lineRule="auto"/>
        <w:ind w:left="720"/>
      </w:pPr>
      <w:r>
        <w:rPr>
          <w:lang w:val="en_US" w:bidi="en_US"/>
        </w:rPr>
      </w:r>
      <w:r>
        <w:rPr>
          <w:lang w:val="en_US" w:bidi="en_US"/>
        </w:rPr>
        <w:t xml:space="preserve">But Jesus said </w:t>
      </w:r>
      <w:r>
        <w:rPr>
          <w:lang w:val="en_US" w:bidi="en_US"/>
        </w:rPr>
        <w:t>to his disciples</w:t>
      </w:r>
      <w:r>
        <w:rPr>
          <w:lang w:val="en_US" w:bidi="en_US"/>
        </w:rPr>
        <w:t xml:space="preserve">, “Enough of this </w:t>
      </w:r>
      <w:r>
        <w:rPr>
          <w:lang w:val="en_US" w:bidi="en_US"/>
        </w:rPr>
        <w:t>fighting</w:t>
      </w:r>
      <w:r>
        <w:rPr>
          <w:lang w:val="en_US" w:bidi="en_US"/>
        </w:rPr>
        <w:t>!”</w:t>
      </w:r>
    </w:p>
    <w:p>
      <w:pPr>
        <w:pStyle w:val="ListBullet"/>
        <w:spacing w:line="240" w:lineRule="auto"/>
        <w:ind w:left="720"/>
      </w:pPr>
      <w:r>
        <w:rPr>
          <w:lang w:val="en_US" w:bidi="en_US"/>
        </w:rPr>
      </w:r>
      <w:r>
        <w:rPr>
          <w:lang w:val="en_US" w:bidi="en_US"/>
        </w:rPr>
        <w:t>But Jesus responded, “Stop</w:t>
      </w:r>
      <w:r>
        <w:rPr>
          <w:vertAlign w:val="superscript"/>
          <w:lang w:val="en_US" w:bidi="en_US"/>
        </w:rPr>
        <w:t>(plur)</w:t>
      </w:r>
      <w:r>
        <w:rPr>
          <w:lang w:val="en_US" w:bidi="en_US"/>
        </w:rPr>
        <w:t xml:space="preserve"> </w:t>
      </w:r>
      <w:r>
        <w:rPr>
          <w:lang w:val="en_US" w:bidi="en_US"/>
        </w:rPr>
        <w:t>fighting/resisting</w:t>
      </w:r>
      <w:r>
        <w:rPr>
          <w:lang w:val="en_US" w:bidi="en_US"/>
        </w:rPr>
        <w:t>!”</w:t>
      </w:r>
    </w:p>
    <w:p>
      <w:pPr/>
      <w:r>
        <w:rPr>
          <w:lang w:val="en_US" w:bidi="en_US"/>
        </w:rPr>
      </w:r>
      <w:r>
        <w:rPr>
          <w:b/>
          <w:lang w:val="en_US" w:bidi="en_US"/>
        </w:rPr>
        <w:t>But:</w:t>
      </w:r>
      <w:r>
        <w:rPr>
          <w:lang w:val="en_US" w:bidi="en_US"/>
        </w:rPr>
        <w:t xml:space="preserve"> This verse begins with a common Greek conjunction that the BSB translates as </w:t>
      </w:r>
      <w:r>
        <w:rPr>
          <w:i/>
          <w:lang w:val="en_US" w:bidi="en_US"/>
        </w:rPr>
        <w:t>But</w:t>
      </w:r>
      <w:r>
        <w:rPr>
          <w:lang w:val="en_US" w:bidi="en_US"/>
        </w:rPr>
        <w:t>. Jesus responded to the action in 22:50 in an unexpected way. Several versions do not introduce the verse with a conjunction. Introduce it in a natural way in your language.</w:t>
      </w:r>
    </w:p>
    <w:p>
      <w:pPr/>
      <w:r>
        <w:rPr>
          <w:lang w:val="en_US" w:bidi="en_US"/>
        </w:rPr>
      </w:r>
      <w:r>
        <w:rPr>
          <w:b/>
          <w:lang w:val="en_US" w:bidi="en_US"/>
        </w:rPr>
        <w:t>Jesus answered:</w:t>
      </w:r>
      <w:r>
        <w:rPr>
          <w:lang w:val="en_US" w:bidi="en_US"/>
        </w:rPr>
        <w:t xml:space="preserve"> In this context the Greek verb that the BSB translates as </w:t>
      </w:r>
      <w:r>
        <w:rPr>
          <w:i/>
          <w:lang w:val="en_US" w:bidi="en_US"/>
        </w:rPr>
        <w:t>answered</w:t>
      </w:r>
      <w:r>
        <w:rPr>
          <w:lang w:val="en_US" w:bidi="en_US"/>
        </w:rPr>
        <w:t xml:space="preserve"> means “responded.” Jesus responded to what one of his disciples had done. He was not answering the question that they asked in 22:49b. Use an appropriate verb in your language. For example:</w:t>
      </w:r>
    </w:p>
    <w:p>
      <w:pPr/>
      <w:r>
        <w:rPr>
          <w:lang w:val="en_US" w:bidi="en_US"/>
        </w:rPr>
      </w:r>
      <w:r>
        <w:rPr>
          <w:lang w:val="en_US" w:bidi="en_US"/>
        </w:rPr>
        <w:t>Jesus said</w:t>
      </w:r>
    </w:p>
    <w:p>
      <w:pPr/>
      <w:r>
        <w:rPr>
          <w:lang w:val="en_US" w:bidi="en_US"/>
        </w:rPr>
      </w:r>
      <w:r>
        <w:rPr>
          <w:lang w:val="en_US" w:bidi="en_US"/>
        </w:rPr>
        <w:t>Jesus responded</w:t>
      </w:r>
    </w:p>
    <w:p>
      <w:pPr/>
      <w:r>
        <w:rPr>
          <w:lang w:val="en_US" w:bidi="en_US"/>
        </w:rPr>
      </w:r>
      <w:r>
        <w:rPr>
          <w:b/>
          <w:lang w:val="en_US" w:bidi="en_US"/>
        </w:rPr>
        <w:t>No more of this!:</w:t>
      </w:r>
      <w:r>
        <w:rPr>
          <w:lang w:val="en_US" w:bidi="en_US"/>
        </w:rPr>
        <w:t xml:space="preserve"> The Greek idiom that the BSB translates as </w:t>
      </w:r>
      <w:r>
        <w:rPr>
          <w:i/>
          <w:lang w:val="en_US" w:bidi="en_US"/>
        </w:rPr>
        <w:t>No more of this!</w:t>
      </w:r>
      <w:r>
        <w:rPr>
          <w:lang w:val="en_US" w:bidi="en_US"/>
        </w:rPr>
        <w:t xml:space="preserve"> is more literally “allow/stop until this.” The verb “allow/stop” is a plural command to the disciples standing there. But the meaning of the command is uncertain.</w:t>
      </w:r>
      <w:r>
        <w:rPr>
          <w:lang w:val="en_US" w:bidi="en_US"/>
        </w:rPr>
        <w:t xml:space="preserve">Nolland (p. 1088) says, “The sense of </w:t>
      </w:r>
      <w:r>
        <w:rPr>
          <w:i/>
          <w:lang w:val="en_US" w:bidi="en_US"/>
        </w:rPr>
        <w:t>eate eōs toutou</w:t>
      </w:r>
      <w:r>
        <w:rPr>
          <w:lang w:val="en_US" w:bidi="en_US"/>
        </w:rPr>
        <w:t xml:space="preserve"> (lit. [you plural] let [him/it be] up to/as far as/until this’) remains uncertain. Is ‘this’ the sword stroke, the imminent arrest, or the whole ‘disaster’ befalling the ministry of Jesus, beginning with the prospect of arrest? Perhaps the last, with the implication that this whole development is to be accepted as the will of God.” Marshall (p. 837) suggests three main views, preferring the second: “1. This gives the sense ‘Leave alone; thus far (and no further)’; i.e. ‘Stop; go only as far as this and no further’….2. Others supply </w:t>
      </w:r>
      <w:r>
        <w:rPr>
          <w:i/>
          <w:lang w:val="en_US" w:bidi="en_US"/>
        </w:rPr>
        <w:t>autous</w:t>
      </w:r>
      <w:r>
        <w:rPr>
          <w:lang w:val="en_US" w:bidi="en_US"/>
        </w:rPr>
        <w:t xml:space="preserve"> as the implied object: ‘Let them (sc. the police) have their way’…i.e. ‘let them go even as far as arresting me’). Similarly, Creed, 274: ‘Let events take their course—even to my arrest’. 3. An older view…regards the words as addressed to the police: ‘Permit me, thus far (i.e. to touch the ear of the wounded man)’. The second view is perhaps to be preferred.” The first two views are not very different in the context, since commanding them to stop fighting and to let him be arrested are, in effect, the same command expressed with a different focus. Arndt (p. 451) says: “The words of Jesus cannot be addressed to the police and their assistants, because verse 52 introduces His remarks to them. He evidently speaks to the disciples. The view I hold is that </w:t>
      </w:r>
      <w:r>
        <w:rPr>
          <w:i/>
          <w:lang w:val="en_US" w:bidi="en_US"/>
        </w:rPr>
        <w:t>eate</w:t>
      </w:r>
      <w:r>
        <w:rPr>
          <w:lang w:val="en_US" w:bidi="en_US"/>
        </w:rPr>
        <w:t xml:space="preserve"> forms a sentence by itself, signifying: ‘Let them do their work; do not hinder them,’ and that </w:t>
      </w:r>
      <w:r>
        <w:rPr>
          <w:i/>
          <w:lang w:val="en_US" w:bidi="en_US"/>
        </w:rPr>
        <w:t>eōs toutou</w:t>
      </w:r>
      <w:r>
        <w:rPr>
          <w:lang w:val="en_US" w:bidi="en_US"/>
        </w:rPr>
        <w:t xml:space="preserve"> is an exclamation with the force of an imperative, saying in effect, ‘So far and no farther!’ ‘No more of this!’ That is, Jesus wants no more resistance.”</w:t>
      </w:r>
      <w:r>
        <w:rPr>
          <w:lang w:val="en_US" w:bidi="en_US"/>
        </w:rPr>
        <w:t xml:space="preserve"> Almost all English versions interpret it as the BSB does: Jesus was telling his disciples to stop fighting or to let the crowd arrest him. Translate this meaning in a natural way in your language. Some other ways to translate it in English are:</w:t>
      </w:r>
    </w:p>
    <w:p>
      <w:pPr/>
      <w:r>
        <w:rPr>
          <w:lang w:val="en_US" w:bidi="en_US"/>
        </w:rPr>
      </w:r>
      <w:r>
        <w:rPr>
          <w:lang w:val="en_US" w:bidi="en_US"/>
        </w:rPr>
        <w:t>Enough of this! (GNT)</w:t>
      </w:r>
    </w:p>
    <w:p>
      <w:pPr/>
      <w:r>
        <w:rPr>
          <w:lang w:val="en_US" w:bidi="en_US"/>
        </w:rPr>
      </w:r>
      <w:r>
        <w:rPr>
          <w:lang w:val="en_US" w:bidi="en_US"/>
        </w:rPr>
        <w:t>…Don’t resist anymore. (NLT96)</w:t>
      </w:r>
    </w:p>
    <w:p>
      <w:pPr/>
      <w:r>
        <w:rPr>
          <w:lang w:val="en_US" w:bidi="en_US"/>
        </w:rPr>
      </w:r>
      <w:r>
        <w:rPr>
          <w:lang w:val="en_US" w:bidi="en_US"/>
        </w:rPr>
        <w:t xml:space="preserve">Stop! Do not </w:t>
      </w:r>
      <w:r>
        <w:rPr>
          <w:lang w:val="en_US" w:bidi="en_US"/>
        </w:rPr>
        <w:t>fight</w:t>
      </w:r>
      <w:r>
        <w:rPr>
          <w:lang w:val="en_US" w:bidi="en_US"/>
        </w:rPr>
        <w:t xml:space="preserve"> anymore!</w:t>
      </w:r>
    </w:p>
    <w:p>
      <w:pPr>
        <w:pStyle w:val="Heading5"/>
      </w:pPr>
      <w:r>
        <w:rPr>
          <w:lang w:val="en_US" w:bidi="en_US"/>
        </w:rPr>
        <w:t>22:51b</w:t>
      </w:r>
    </w:p>
    <w:p>
      <w:pPr/>
      <w:r>
        <w:rPr>
          <w:lang w:val="en_US" w:bidi="en_US"/>
        </w:rPr>
      </w:r>
      <w:r>
        <w:rPr>
          <w:b/>
          <w:lang w:val="en_US" w:bidi="en_US"/>
        </w:rPr>
        <w:t>And He touched the man’s ear and healed him.</w:t>
      </w:r>
    </w:p>
    <w:p>
      <w:pPr>
        <w:pStyle w:val="ListBullet"/>
        <w:spacing w:line="240" w:lineRule="auto"/>
        <w:ind w:left="720"/>
      </w:pPr>
      <w:r>
        <w:rPr>
          <w:lang w:val="en_US" w:bidi="en_US"/>
        </w:rPr>
      </w:r>
      <w:r>
        <w:rPr>
          <w:lang w:val="en_US" w:bidi="en_US"/>
        </w:rPr>
        <w:t>Then he touched the man’s ear and healed him/it.</w:t>
      </w:r>
    </w:p>
    <w:p>
      <w:pPr>
        <w:pStyle w:val="ListBullet"/>
        <w:spacing w:line="240" w:lineRule="auto"/>
        <w:ind w:left="720"/>
      </w:pPr>
      <w:r>
        <w:rPr>
          <w:lang w:val="en_US" w:bidi="en_US"/>
        </w:rPr>
      </w:r>
      <w:r>
        <w:rPr>
          <w:lang w:val="en_US" w:bidi="en_US"/>
        </w:rPr>
        <w:t xml:space="preserve">and Jesus put his hand on the slave’s ear and caused it to be just as it was </w:t>
      </w:r>
      <w:r>
        <w:rPr>
          <w:lang w:val="en_US" w:bidi="en_US"/>
        </w:rPr>
        <w:t>before it was slashed off</w:t>
      </w:r>
      <w:r>
        <w:rPr>
          <w:lang w:val="en_US" w:bidi="en_US"/>
        </w:rPr>
        <w:t>.</w:t>
      </w:r>
    </w:p>
    <w:p>
      <w:pPr/>
      <w:r>
        <w:rPr>
          <w:lang w:val="en_US" w:bidi="en_US"/>
        </w:rPr>
      </w:r>
      <w:r>
        <w:rPr>
          <w:b/>
          <w:lang w:val="en_US" w:bidi="en_US"/>
        </w:rPr>
        <w:t>And He touched the man’s ear and healed him:</w:t>
      </w:r>
      <w:r>
        <w:rPr>
          <w:lang w:val="en_US" w:bidi="en_US"/>
        </w:rPr>
        <w:t xml:space="preserve"> This clause does not indicate exactly how Jesus healed the man’s ear. It also does not indicate which part of the ear Jesus touched. Translate the clause in a natural way to indicate clearly that Jesus healed the man so that his ear was normal again.</w:t>
      </w:r>
      <w:r>
        <w:rPr>
          <w:lang w:val="en_US" w:bidi="en_US"/>
        </w:rPr>
      </w:r>
      <w:r>
        <w:rPr>
          <w:lang w:val="en_US" w:bidi="en_US"/>
        </w:rPr>
      </w:r>
    </w:p>
    <w:p>
      <w:pPr/>
      <w:r>
        <w:rPr>
          <w:lang w:val="en_US" w:bidi="en_US"/>
        </w:rPr>
      </w:r>
    </w:p>
    <w:p>
      <w:pPr>
        <w:pStyle w:val="Heading2"/>
      </w:pPr>
      <w:r>
        <w:rPr>
          <w:lang w:val="en_US" w:bidi="en_US"/>
        </w:rPr>
        <w:t>Luke 22:52</w:t>
      </w:r>
      <w:r>
        <w:rPr>
          <w:lang w:val="en_US" w:bidi="en_US"/>
        </w:rPr>
      </w:r>
    </w:p>
    <w:p>
      <w:pPr>
        <w:pStyle w:val="Heading4"/>
      </w:pPr>
      <w:r>
        <w:rPr>
          <w:lang w:val="en_US" w:bidi="en_US"/>
        </w:rPr>
        <w:t>Section 22:47–53: Judas helped Jesus’ enemies to find him and arrest him</w:t>
      </w:r>
    </w:p>
    <w:p>
      <w:pPr/>
      <w:r>
        <w:rPr>
          <w:lang w:val="en_US" w:bidi="en_US"/>
        </w:rPr>
      </w:r>
      <w:r>
        <w:rPr>
          <w:lang w:val="en_US" w:bidi="en_US"/>
        </w:rPr>
        <w:t>In this section Judas arrived at the place where Jesus and his disciples were talking. Judas was leading a crowd of men who had come to arrest Jesus and take him to the Jewish leaders for trial. Many of these men were probably temple guards. Judas had agreed to greet Jesus with a kiss so that they would know which person to arrest.</w:t>
      </w:r>
    </w:p>
    <w:p>
      <w:pPr/>
      <w:r>
        <w:rPr>
          <w:lang w:val="en_US" w:bidi="en_US"/>
        </w:rPr>
      </w:r>
      <w:r>
        <w:rPr>
          <w:lang w:val="en_US" w:bidi="en_US"/>
        </w:rPr>
        <w:t>The disciples saw what was about to happen, and they asked Jesus if they should fight to prevent his arrest. Peter cut off one man’s ear, but Jesus healed the man and told his disciples not to fight against his arrest. The temple guards arrested Jesus, and he did not resist them.</w:t>
      </w:r>
    </w:p>
    <w:p>
      <w:pPr/>
      <w:r>
        <w:rPr>
          <w:lang w:val="en_US" w:bidi="en_US"/>
        </w:rPr>
      </w:r>
      <w:r>
        <w:rPr>
          <w:lang w:val="en_US" w:bidi="en_US"/>
        </w:rPr>
        <w:t>Some other examples of headings for this section are:</w:t>
      </w:r>
    </w:p>
    <w:p>
      <w:pPr/>
      <w:r>
        <w:rPr>
          <w:lang w:val="en_US" w:bidi="en_US"/>
        </w:rPr>
      </w:r>
      <w:r>
        <w:rPr>
          <w:lang w:val="en_US" w:bidi="en_US"/>
        </w:rPr>
        <w:t>Jesus Is Arrested (GW)</w:t>
      </w:r>
    </w:p>
    <w:p>
      <w:pPr/>
      <w:r>
        <w:rPr>
          <w:lang w:val="en_US" w:bidi="en_US"/>
        </w:rPr>
      </w:r>
      <w:r>
        <w:rPr>
          <w:lang w:val="en_US" w:bidi="en_US"/>
        </w:rPr>
        <w:t>The Betrayal and Arrest of Jesus (NRSV)</w:t>
      </w:r>
    </w:p>
    <w:p>
      <w:pPr/>
      <w:r>
        <w:rPr>
          <w:lang w:val="en_US" w:bidi="en_US"/>
        </w:rPr>
      </w:r>
      <w:r>
        <w:rPr>
          <w:lang w:val="en_US" w:bidi="en_US"/>
        </w:rPr>
        <w:t>There are parallel passages for this section in Matthew 26:47–56, Mark 14:43–50, and John 18:3–11.</w:t>
      </w:r>
    </w:p>
    <w:p>
      <w:pPr>
        <w:pStyle w:val="Heading5"/>
      </w:pPr>
      <w:r>
        <w:rPr>
          <w:lang w:val="en_US" w:bidi="en_US"/>
        </w:rPr>
        <w:t>22:52a</w:t>
      </w:r>
    </w:p>
    <w:p>
      <w:pPr/>
      <w:r>
        <w:rPr>
          <w:lang w:val="en_US" w:bidi="en_US"/>
        </w:rPr>
      </w:r>
      <w:r>
        <w:rPr>
          <w:b/>
          <w:lang w:val="en_US" w:bidi="en_US"/>
        </w:rPr>
        <w:t>Then Jesus said to the chief priests,</w:t>
      </w:r>
    </w:p>
    <w:p>
      <w:pPr>
        <w:pStyle w:val="ListBullet"/>
        <w:spacing w:line="240" w:lineRule="auto"/>
        <w:ind w:left="720"/>
      </w:pPr>
      <w:r>
        <w:rPr>
          <w:lang w:val="en_US" w:bidi="en_US"/>
        </w:rPr>
      </w:r>
      <w:r>
        <w:rPr>
          <w:lang w:val="en_US" w:bidi="en_US"/>
        </w:rPr>
        <w:t>¶ Then Jesus spoke to the leaders of the priests,</w:t>
      </w:r>
    </w:p>
    <w:p>
      <w:pPr>
        <w:pStyle w:val="ListBullet"/>
        <w:spacing w:line="240" w:lineRule="auto"/>
        <w:ind w:left="720"/>
      </w:pPr>
      <w:r>
        <w:rPr>
          <w:lang w:val="en_US" w:bidi="en_US"/>
        </w:rPr>
      </w:r>
      <w:r>
        <w:rPr>
          <w:lang w:val="en_US" w:bidi="en_US"/>
        </w:rPr>
        <w:t xml:space="preserve">¶ Then Jesus spoke to the </w:t>
      </w:r>
      <w:r>
        <w:rPr>
          <w:lang w:val="en_US" w:bidi="en_US"/>
        </w:rPr>
        <w:t>crowd who had come to arrest him. In the crowd, there were</w:t>
      </w:r>
      <w:r>
        <w:rPr>
          <w:lang w:val="en_US" w:bidi="en_US"/>
        </w:rPr>
        <w:t xml:space="preserve"> leading priests,</w:t>
      </w:r>
    </w:p>
    <w:p>
      <w:pPr>
        <w:pStyle w:val="Heading5"/>
      </w:pPr>
      <w:r>
        <w:rPr>
          <w:lang w:val="en_US" w:bidi="en_US"/>
        </w:rPr>
        <w:t>22:52b</w:t>
      </w:r>
    </w:p>
    <w:p>
      <w:pPr/>
      <w:r>
        <w:rPr>
          <w:lang w:val="en_US" w:bidi="en_US"/>
        </w:rPr>
      </w:r>
      <w:r>
        <w:rPr>
          <w:b/>
          <w:lang w:val="en_US" w:bidi="en_US"/>
        </w:rPr>
        <w:t>temple officers,</w:t>
      </w:r>
    </w:p>
    <w:p>
      <w:pPr>
        <w:pStyle w:val="ListBullet"/>
        <w:spacing w:line="240" w:lineRule="auto"/>
        <w:ind w:left="720"/>
      </w:pPr>
      <w:r>
        <w:rPr>
          <w:lang w:val="en_US" w:bidi="en_US"/>
        </w:rPr>
      </w:r>
      <w:r>
        <w:rPr>
          <w:lang w:val="en_US" w:bidi="en_US"/>
        </w:rPr>
        <w:t>and the captains of the temple guards</w:t>
      </w:r>
    </w:p>
    <w:p>
      <w:pPr>
        <w:pStyle w:val="ListBullet"/>
        <w:spacing w:line="240" w:lineRule="auto"/>
        <w:ind w:left="720"/>
      </w:pPr>
      <w:r>
        <w:rPr>
          <w:lang w:val="en_US" w:bidi="en_US"/>
        </w:rPr>
      </w:r>
      <w:r>
        <w:rPr>
          <w:lang w:val="en_US" w:bidi="en_US"/>
        </w:rPr>
        <w:t xml:space="preserve">and the leaders </w:t>
      </w:r>
      <w:r>
        <w:rPr>
          <w:lang w:val="en_US" w:bidi="en_US"/>
        </w:rPr>
        <w:t>among the soldiers/police</w:t>
      </w:r>
      <w:r>
        <w:rPr>
          <w:lang w:val="en_US" w:bidi="en_US"/>
        </w:rPr>
        <w:t xml:space="preserve"> who guarded the temple,</w:t>
      </w:r>
    </w:p>
    <w:p>
      <w:pPr>
        <w:pStyle w:val="ListBullet"/>
        <w:spacing w:line="240" w:lineRule="auto"/>
        <w:ind w:left="720"/>
      </w:pPr>
      <w:r>
        <w:rPr>
          <w:lang w:val="en_US" w:bidi="en_US"/>
        </w:rPr>
      </w:r>
      <w:r>
        <w:rPr>
          <w:lang w:val="en_US" w:bidi="en_US"/>
        </w:rPr>
        <w:t>the leaders/officers of the temple police,</w:t>
      </w:r>
    </w:p>
    <w:p>
      <w:pPr>
        <w:pStyle w:val="Heading5"/>
      </w:pPr>
      <w:r>
        <w:rPr>
          <w:lang w:val="en_US" w:bidi="en_US"/>
        </w:rPr>
        <w:t>22:52c</w:t>
      </w:r>
    </w:p>
    <w:p>
      <w:pPr/>
      <w:r>
        <w:rPr>
          <w:lang w:val="en_US" w:bidi="en_US"/>
        </w:rPr>
      </w:r>
      <w:r>
        <w:rPr>
          <w:b/>
          <w:lang w:val="en_US" w:bidi="en_US"/>
        </w:rPr>
        <w:t>and elders</w:t>
      </w:r>
    </w:p>
    <w:p>
      <w:pPr>
        <w:pStyle w:val="ListBullet"/>
        <w:spacing w:line="240" w:lineRule="auto"/>
        <w:ind w:left="720"/>
      </w:pPr>
      <w:r>
        <w:rPr>
          <w:lang w:val="en_US" w:bidi="en_US"/>
        </w:rPr>
      </w:r>
      <w:r>
        <w:rPr>
          <w:lang w:val="en_US" w:bidi="en_US"/>
        </w:rPr>
        <w:t xml:space="preserve">and the elders/leaders </w:t>
      </w:r>
      <w:r>
        <w:rPr>
          <w:lang w:val="en_US" w:bidi="en_US"/>
        </w:rPr>
        <w:t>of the people</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other</w:t>
      </w:r>
      <w:r>
        <w:rPr>
          <w:lang w:val="en_US" w:bidi="en_US"/>
        </w:rPr>
        <w:t xml:space="preserve"> leaders </w:t>
      </w:r>
      <w:r>
        <w:rPr>
          <w:lang w:val="en_US" w:bidi="en_US"/>
        </w:rPr>
        <w:t>among the people</w:t>
      </w:r>
      <w:r>
        <w:rPr>
          <w:lang w:val="en_US" w:bidi="en_US"/>
        </w:rPr>
        <w:t>.</w:t>
      </w:r>
    </w:p>
    <w:p>
      <w:pPr>
        <w:pStyle w:val="Heading5"/>
      </w:pPr>
      <w:r>
        <w:rPr>
          <w:lang w:val="en_US" w:bidi="en_US"/>
        </w:rPr>
        <w:t>22:52d</w:t>
      </w:r>
    </w:p>
    <w:p>
      <w:pPr/>
      <w:r>
        <w:rPr>
          <w:lang w:val="en_US" w:bidi="en_US"/>
        </w:rPr>
      </w:r>
      <w:r>
        <w:rPr>
          <w:b/>
          <w:lang w:val="en_US" w:bidi="en_US"/>
        </w:rPr>
        <w:t>who had come for Him,</w:t>
      </w:r>
    </w:p>
    <w:p>
      <w:pPr>
        <w:pStyle w:val="ListBullet"/>
        <w:spacing w:line="240" w:lineRule="auto"/>
        <w:ind w:left="720"/>
      </w:pPr>
      <w:r>
        <w:rPr>
          <w:lang w:val="en_US" w:bidi="en_US"/>
        </w:rPr>
      </w:r>
      <w:r>
        <w:rPr>
          <w:lang w:val="en_US" w:bidi="en_US"/>
        </w:rPr>
        <w:t xml:space="preserve">who had </w:t>
      </w:r>
      <w:r>
        <w:rPr>
          <w:lang w:val="en_US" w:bidi="en_US"/>
        </w:rPr>
        <w:t>all</w:t>
      </w:r>
      <w:r>
        <w:rPr>
          <w:lang w:val="en_US" w:bidi="en_US"/>
        </w:rPr>
        <w:t xml:space="preserve"> come </w:t>
      </w:r>
      <w:r>
        <w:rPr>
          <w:lang w:val="en_US" w:bidi="en_US"/>
        </w:rPr>
        <w:t>to arrest</w:t>
      </w:r>
      <w:r>
        <w:rPr>
          <w:lang w:val="en_US" w:bidi="en_US"/>
        </w:rPr>
        <w:t xml:space="preserve"> him. </w:t>
      </w:r>
      <w:r>
        <w:rPr>
          <w:lang w:val="en_US" w:bidi="en_US"/>
        </w:rPr>
        <w:t>He asked them,</w:t>
      </w:r>
    </w:p>
    <w:p>
      <w:pPr>
        <w:pStyle w:val="ListBullet"/>
        <w:spacing w:line="240" w:lineRule="auto"/>
        <w:ind w:left="720"/>
      </w:pPr>
      <w:r>
        <w:rPr>
          <w:lang w:val="en_US" w:bidi="en_US"/>
        </w:rPr>
      </w:r>
      <w:r>
        <w:rPr>
          <w:lang w:val="en_US" w:bidi="en_US"/>
        </w:rPr>
        <w:t xml:space="preserve">All these leaders had come there to take him away </w:t>
      </w:r>
      <w:r>
        <w:rPr>
          <w:lang w:val="en_US" w:bidi="en_US"/>
        </w:rPr>
        <w:t>for trial</w:t>
      </w:r>
      <w:r>
        <w:rPr>
          <w:lang w:val="en_US" w:bidi="en_US"/>
        </w:rPr>
        <w:t xml:space="preserve">. </w:t>
      </w:r>
      <w:r>
        <w:rPr>
          <w:lang w:val="en_US" w:bidi="en_US"/>
        </w:rPr>
        <w:t>He said to them,</w:t>
      </w:r>
    </w:p>
    <w:p>
      <w:pPr>
        <w:pStyle w:val="Heading5"/>
      </w:pPr>
      <w:r>
        <w:rPr>
          <w:lang w:val="en_US" w:bidi="en_US"/>
        </w:rPr>
        <w:t>22:52a–d</w:t>
      </w:r>
    </w:p>
    <w:p>
      <w:pPr/>
      <w:r>
        <w:rPr>
          <w:lang w:val="en_US" w:bidi="en_US"/>
        </w:rPr>
      </w:r>
      <w:r>
        <w:rPr>
          <w:b/>
          <w:lang w:val="en_US" w:bidi="en_US"/>
        </w:rPr>
        <w:t>Then Jesus said to the chief priests, temple officers, and elders who had come for Him:</w:t>
      </w:r>
      <w:r>
        <w:rPr>
          <w:lang w:val="en_US" w:bidi="en_US"/>
        </w:rPr>
        <w:t xml:space="preserve"> In this verse Jesus spoke to the three groups of people who had come to arrest him. These groups were </w:t>
      </w:r>
      <w:r>
        <w:rPr>
          <w:i/>
          <w:lang w:val="en_US" w:bidi="en_US"/>
        </w:rPr>
        <w:t>chief priests</w:t>
      </w:r>
      <w:r>
        <w:rPr>
          <w:lang w:val="en_US" w:bidi="en_US"/>
        </w:rPr>
        <w:t xml:space="preserve">, </w:t>
      </w:r>
      <w:r>
        <w:rPr>
          <w:i/>
          <w:lang w:val="en_US" w:bidi="en_US"/>
        </w:rPr>
        <w:t>temple officers</w:t>
      </w:r>
      <w:r>
        <w:rPr>
          <w:lang w:val="en_US" w:bidi="en_US"/>
        </w:rPr>
        <w:t xml:space="preserve">, and Jewish </w:t>
      </w:r>
      <w:r>
        <w:rPr>
          <w:i/>
          <w:lang w:val="en_US" w:bidi="en_US"/>
        </w:rPr>
        <w:t>elders</w:t>
      </w:r>
      <w:r>
        <w:rPr>
          <w:lang w:val="en_US" w:bidi="en_US"/>
        </w:rPr>
        <w:t>. This is the first time that these three groups have been mentioned in this section. They came in the “crowd” that was introduced in 22:47a.</w:t>
      </w:r>
    </w:p>
    <w:p>
      <w:pPr/>
      <w:r>
        <w:rPr>
          <w:lang w:val="en_US" w:bidi="en_US"/>
        </w:rPr>
      </w:r>
      <w:r>
        <w:rPr>
          <w:lang w:val="en_US" w:bidi="en_US"/>
        </w:rPr>
        <w:t>In some languages it is necessary to introduce these groups before introducing what Jesus said to them. For example:</w:t>
      </w:r>
    </w:p>
    <w:p>
      <w:pPr/>
      <w:r>
        <w:rPr>
          <w:lang w:val="en_US" w:bidi="en_US"/>
        </w:rPr>
      </w:r>
      <w:r>
        <w:rPr>
          <w:lang w:val="en_US" w:bidi="en_US"/>
        </w:rPr>
        <w:t>And among those also who came to arrest Jesus were the chief priests, the captains of those who guarded in the temple, and the elders of the Jews. Jesus said to them</w:t>
      </w:r>
    </w:p>
    <w:p>
      <w:pPr/>
      <w:r>
        <w:rPr>
          <w:lang w:val="en_US" w:bidi="en_US"/>
        </w:rPr>
      </w:r>
      <w:r>
        <w:rPr>
          <w:lang w:val="en_US" w:bidi="en_US"/>
        </w:rPr>
        <w:t>The other people who had come to seize Isa were the leading priests and the captains of the temple guard and the elders of the Yahudi. Isa said to them</w:t>
      </w:r>
      <w:r>
        <w:rPr>
          <w:lang w:val="en_US" w:bidi="en_US"/>
        </w:rPr>
        <w:t>Yakan back translation on TW.</w:t>
      </w:r>
    </w:p>
    <w:p>
      <w:pPr/>
      <w:r>
        <w:rPr>
          <w:lang w:val="en_US" w:bidi="en_US"/>
        </w:rPr>
      </w:r>
      <w:r>
        <w:rPr>
          <w:lang w:val="en_US" w:bidi="en_US"/>
        </w:rPr>
        <w:t>In the crowd that came to arrest Jesus there were chief priests, temple police, and elders of the Jews. Jesus said to them</w:t>
      </w:r>
    </w:p>
    <w:p>
      <w:pPr/>
      <w:r>
        <w:rPr>
          <w:lang w:val="en_US" w:bidi="en_US"/>
        </w:rPr>
      </w:r>
      <w:r>
        <w:rPr>
          <w:lang w:val="en_US" w:bidi="en_US"/>
        </w:rPr>
        <w:t>Introduce them in a natural way in your language.</w:t>
      </w:r>
    </w:p>
    <w:p>
      <w:pPr/>
      <w:r>
        <w:rPr>
          <w:lang w:val="en_US" w:bidi="en_US"/>
        </w:rPr>
      </w:r>
      <w:r>
        <w:rPr>
          <w:b/>
          <w:lang w:val="en_US" w:bidi="en_US"/>
        </w:rPr>
        <w:t>chief priests:</w:t>
      </w:r>
      <w:r>
        <w:rPr>
          <w:lang w:val="en_US" w:bidi="en_US"/>
        </w:rPr>
        <w:t xml:space="preserve"> The term </w:t>
      </w:r>
      <w:r>
        <w:rPr>
          <w:i/>
          <w:lang w:val="en_US" w:bidi="en_US"/>
        </w:rPr>
        <w:t>chief priests</w:t>
      </w:r>
      <w:r>
        <w:rPr>
          <w:lang w:val="en_US" w:bidi="en_US"/>
        </w:rPr>
        <w:t xml:space="preserve"> occurred in 19:47. See how you translated the term there. For more information, see priest in the Glossary.</w:t>
      </w:r>
    </w:p>
    <w:p>
      <w:pPr/>
      <w:r>
        <w:rPr>
          <w:lang w:val="en_US" w:bidi="en_US"/>
        </w:rPr>
      </w:r>
      <w:r>
        <w:rPr>
          <w:b/>
          <w:lang w:val="en_US" w:bidi="en_US"/>
        </w:rPr>
        <w:t>temple officers:</w:t>
      </w:r>
      <w:r>
        <w:rPr>
          <w:lang w:val="en_US" w:bidi="en_US"/>
        </w:rPr>
        <w:t xml:space="preserve"> This phrase refers to the same </w:t>
      </w:r>
      <w:r>
        <w:rPr>
          <w:i/>
          <w:lang w:val="en_US" w:bidi="en_US"/>
        </w:rPr>
        <w:t>temple officers</w:t>
      </w:r>
      <w:r>
        <w:rPr>
          <w:lang w:val="en_US" w:bidi="en_US"/>
        </w:rPr>
        <w:t xml:space="preserve"> or captains of the temple guard who were mentioned in 22:4b. They were in charge of the Levites who guarded the temple area. Translate it as you did in 22:4.</w:t>
      </w:r>
    </w:p>
    <w:p>
      <w:pPr/>
      <w:r>
        <w:rPr>
          <w:lang w:val="en_US" w:bidi="en_US"/>
        </w:rPr>
      </w:r>
      <w:r>
        <w:rPr>
          <w:b/>
          <w:lang w:val="en_US" w:bidi="en_US"/>
        </w:rPr>
        <w:t>elders:</w:t>
      </w:r>
      <w:r>
        <w:rPr>
          <w:lang w:val="en_US" w:bidi="en_US"/>
        </w:rPr>
        <w:t xml:space="preserve"> The term </w:t>
      </w:r>
      <w:r>
        <w:rPr>
          <w:i/>
          <w:lang w:val="en_US" w:bidi="en_US"/>
        </w:rPr>
        <w:t>elders</w:t>
      </w:r>
      <w:r>
        <w:rPr>
          <w:lang w:val="en_US" w:bidi="en_US"/>
        </w:rPr>
        <w:t xml:space="preserve"> refers to respected leaders in the community. They were probably members of the Jewish high court (the Sanhedrin) who were not chief priests or scribes. This term also occurred in 20:1. See how you translated it there.</w:t>
      </w:r>
    </w:p>
    <w:p>
      <w:pPr/>
      <w:r>
        <w:rPr>
          <w:lang w:val="en_US" w:bidi="en_US"/>
        </w:rPr>
      </w:r>
      <w:r>
        <w:rPr>
          <w:b/>
          <w:lang w:val="en_US" w:bidi="en_US"/>
        </w:rPr>
        <w:t>who had come for Him:</w:t>
      </w:r>
      <w:r>
        <w:rPr>
          <w:lang w:val="en_US" w:bidi="en_US"/>
        </w:rPr>
        <w:t xml:space="preserve"> The clause </w:t>
      </w:r>
      <w:r>
        <w:rPr>
          <w:i/>
          <w:lang w:val="en_US" w:bidi="en_US"/>
        </w:rPr>
        <w:t>who had come for Him</w:t>
      </w:r>
      <w:r>
        <w:rPr>
          <w:lang w:val="en_US" w:bidi="en_US"/>
        </w:rPr>
        <w:t xml:space="preserve"> indicates that the three groups in 22:52a–c had come to arrest Jesus. In your translation, make it clear that all three groups of men </w:t>
      </w:r>
      <w:r>
        <w:rPr>
          <w:i/>
          <w:lang w:val="en_US" w:bidi="en_US"/>
        </w:rPr>
        <w:t>had come for</w:t>
      </w:r>
      <w:r>
        <w:rPr>
          <w:lang w:val="en_US" w:bidi="en_US"/>
        </w:rPr>
        <w:t xml:space="preserve"> Jesus.</w:t>
      </w:r>
    </w:p>
    <w:p>
      <w:pPr/>
      <w:r>
        <w:rPr>
          <w:lang w:val="en_US" w:bidi="en_US"/>
        </w:rPr>
      </w:r>
      <w:r>
        <w:rPr>
          <w:lang w:val="en_US" w:bidi="en_US"/>
        </w:rPr>
        <w:t>Some other ways to translate this clause are:</w:t>
      </w:r>
    </w:p>
    <w:p>
      <w:pPr/>
      <w:r>
        <w:rPr>
          <w:lang w:val="en_US" w:bidi="en_US"/>
        </w:rPr>
      </w:r>
      <w:r>
        <w:rPr>
          <w:lang w:val="en_US" w:bidi="en_US"/>
        </w:rPr>
        <w:t>who had come out to get him (NET)</w:t>
      </w:r>
    </w:p>
    <w:p>
      <w:pPr/>
      <w:r>
        <w:rPr>
          <w:lang w:val="en_US" w:bidi="en_US"/>
        </w:rPr>
      </w:r>
      <w:r>
        <w:rPr>
          <w:lang w:val="en_US" w:bidi="en_US"/>
        </w:rPr>
        <w:t>who were there to arrest him (JBP)</w:t>
      </w:r>
    </w:p>
    <w:p>
      <w:pPr/>
      <w:r>
        <w:rPr>
          <w:lang w:val="en_US" w:bidi="en_US"/>
        </w:rPr>
      </w:r>
      <w:r>
        <w:rPr>
          <w:lang w:val="en_US" w:bidi="en_US"/>
        </w:rPr>
        <w:t>Those who came to arrest Jesus were (NCV)</w:t>
      </w:r>
    </w:p>
    <w:p>
      <w:pPr>
        <w:pStyle w:val="Heading6"/>
      </w:pPr>
      <w:r>
        <w:rPr>
          <w:b/>
          <w:lang w:val="en_US" w:bidi="en_US"/>
        </w:rPr>
        <w:t>General Comment on 22:52a–b</w:t>
      </w:r>
    </w:p>
    <w:p>
      <w:pPr/>
      <w:r>
        <w:rPr>
          <w:lang w:val="en_US" w:bidi="en_US"/>
        </w:rPr>
      </w:r>
      <w:r>
        <w:rPr>
          <w:lang w:val="en_US" w:bidi="en_US"/>
        </w:rPr>
        <w:t>In some languages it may be helpful to follow the original order of the Greek text and reverse the order of clauses in 22:52a–d. For example:</w:t>
      </w:r>
    </w:p>
    <w:p>
      <w:pPr/>
      <w:r>
        <w:rPr>
          <w:lang w:val="en_US" w:bidi="en_US"/>
        </w:rPr>
      </w:r>
      <w:r>
        <w:rPr>
          <w:vertAlign w:val="superscript"/>
          <w:lang w:val="en_US" w:bidi="en_US"/>
        </w:rPr>
        <w:t>52a</w:t>
      </w:r>
      <w:r>
        <w:rPr>
          <w:lang w:val="en_US" w:bidi="en_US"/>
        </w:rPr>
        <w:t xml:space="preserve">Then Jesus spoke to </w:t>
      </w:r>
      <w:r>
        <w:rPr>
          <w:vertAlign w:val="superscript"/>
          <w:lang w:val="en_US" w:bidi="en_US"/>
        </w:rPr>
        <w:t>52d</w:t>
      </w:r>
      <w:r>
        <w:rPr>
          <w:lang w:val="en_US" w:bidi="en_US"/>
        </w:rPr>
        <w:t>the men who had come for him—</w:t>
      </w:r>
      <w:r>
        <w:rPr>
          <w:vertAlign w:val="superscript"/>
          <w:lang w:val="en_US" w:bidi="en_US"/>
        </w:rPr>
        <w:t>52a</w:t>
      </w:r>
      <w:r>
        <w:rPr>
          <w:lang w:val="en_US" w:bidi="en_US"/>
        </w:rPr>
        <w:t xml:space="preserve">the chief priests, </w:t>
      </w:r>
      <w:r>
        <w:rPr>
          <w:vertAlign w:val="superscript"/>
          <w:lang w:val="en_US" w:bidi="en_US"/>
        </w:rPr>
        <w:t>52b</w:t>
      </w:r>
      <w:r>
        <w:rPr>
          <w:lang w:val="en_US" w:bidi="en_US"/>
        </w:rPr>
        <w:t xml:space="preserve">the officers of the temple guard, </w:t>
      </w:r>
      <w:r>
        <w:rPr>
          <w:vertAlign w:val="superscript"/>
          <w:lang w:val="en_US" w:bidi="en_US"/>
        </w:rPr>
        <w:t>52c</w:t>
      </w:r>
      <w:r>
        <w:rPr>
          <w:lang w:val="en_US" w:bidi="en_US"/>
        </w:rPr>
        <w:t>and the elders</w:t>
      </w:r>
    </w:p>
    <w:p>
      <w:pPr/>
      <w:r>
        <w:rPr>
          <w:lang w:val="en_US" w:bidi="en_US"/>
        </w:rPr>
      </w:r>
      <w:r>
        <w:rPr>
          <w:lang w:val="en_US" w:bidi="en_US"/>
        </w:rPr>
        <w:t>Use a natural order in your language.</w:t>
      </w:r>
    </w:p>
    <w:p>
      <w:pPr>
        <w:pStyle w:val="Heading5"/>
      </w:pPr>
      <w:r>
        <w:rPr>
          <w:lang w:val="en_US" w:bidi="en_US"/>
        </w:rPr>
        <w:t>22:52e</w:t>
      </w:r>
    </w:p>
    <w:p>
      <w:pPr/>
      <w:r>
        <w:rPr>
          <w:lang w:val="en_US" w:bidi="en_US"/>
        </w:rPr>
      </w:r>
      <w:r>
        <w:rPr>
          <w:b/>
          <w:lang w:val="en_US" w:bidi="en_US"/>
        </w:rPr>
        <w:t>“Have you come out with swords and clubs as you would against an outlaw?</w:t>
      </w:r>
    </w:p>
    <w:p>
      <w:pPr>
        <w:pStyle w:val="ListBullet"/>
        <w:spacing w:line="240" w:lineRule="auto"/>
        <w:ind w:left="720"/>
      </w:pPr>
      <w:r>
        <w:rPr>
          <w:lang w:val="en_US" w:bidi="en_US"/>
        </w:rPr>
      </w:r>
      <w:r>
        <w:rPr>
          <w:lang w:val="en_US" w:bidi="en_US"/>
        </w:rPr>
        <w:t>“Why have you</w:t>
      </w:r>
      <w:r>
        <w:rPr>
          <w:vertAlign w:val="superscript"/>
          <w:lang w:val="en_US" w:bidi="en_US"/>
        </w:rPr>
        <w:t>(plur)</w:t>
      </w:r>
      <w:r>
        <w:rPr>
          <w:lang w:val="en_US" w:bidi="en_US"/>
        </w:rPr>
        <w:t xml:space="preserve"> come </w:t>
      </w:r>
      <w:r>
        <w:rPr>
          <w:lang w:val="en_US" w:bidi="en_US"/>
        </w:rPr>
        <w:t>here</w:t>
      </w:r>
      <w:r>
        <w:rPr>
          <w:lang w:val="en_US" w:bidi="en_US"/>
        </w:rPr>
        <w:t xml:space="preserve"> with swords and clubs? Do you think I am a criminal/robber?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know</w:t>
      </w:r>
      <w:r>
        <w:rPr>
          <w:lang w:val="en_US" w:bidi="en_US"/>
        </w:rPr>
        <w:t xml:space="preserve"> that I am not a bandit/outlaw. You do not need to come with swords and clubs </w:t>
      </w:r>
      <w:r>
        <w:rPr>
          <w:lang w:val="en_US" w:bidi="en_US"/>
        </w:rPr>
        <w:t>to arrest me</w:t>
      </w:r>
      <w:r>
        <w:rPr>
          <w:lang w:val="en_US" w:bidi="en_US"/>
        </w:rPr>
        <w:t>.</w:t>
      </w:r>
    </w:p>
    <w:p>
      <w:pPr/>
      <w:r>
        <w:rPr>
          <w:lang w:val="en_US" w:bidi="en_US"/>
        </w:rPr>
      </w:r>
      <w:r>
        <w:rPr>
          <w:b/>
          <w:lang w:val="en_US" w:bidi="en_US"/>
        </w:rPr>
        <w:t>Have you come out with swords and clubs as you would against an outlaw?:</w:t>
      </w:r>
      <w:r>
        <w:rPr>
          <w:lang w:val="en_US" w:bidi="en_US"/>
        </w:rPr>
        <w:t xml:space="preserve"> This is a rhetorical question. Jesus asked this question to rebuke the men who had come to arrest him. He rebuked them because they came to capture him with swords and clubs as if he were a dangerous criminal. The question implies that they know that he is not a criminal, so there is no good reason for them to come against him like that.</w:t>
      </w:r>
    </w:p>
    <w:p>
      <w:pPr/>
      <w:r>
        <w:rPr>
          <w:lang w:val="en_US" w:bidi="en_US"/>
        </w:rPr>
      </w:r>
      <w:r>
        <w:rPr>
          <w:lang w:val="en_US" w:bidi="en_US"/>
        </w:rPr>
        <w:t>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Why do you come out with swords and clubs and treat me like a criminal? (CEV)</w:t>
      </w:r>
      <w:r>
        <w:rPr>
          <w:lang w:val="en_US" w:bidi="en_US"/>
        </w:rPr>
        <w:t xml:space="preserve">Do you </w:t>
      </w:r>
      <w:r>
        <w:rPr>
          <w:lang w:val="en_US" w:bidi="en_US"/>
        </w:rPr>
        <w:t>wrongly</w:t>
      </w:r>
      <w:r>
        <w:rPr>
          <w:lang w:val="en_US" w:bidi="en_US"/>
        </w:rPr>
        <w:t xml:space="preserve"> think that I am a bandit/robber? Is that why you have come against me armed with swords and clubs?</w:t>
      </w:r>
    </w:p>
    <w:p>
      <w:pPr>
        <w:pStyle w:val="ListBullet"/>
        <w:spacing w:line="240" w:lineRule="auto"/>
        <w:ind w:left="720"/>
      </w:pPr>
      <w:r>
        <w:rPr>
          <w:lang w:val="en_US" w:bidi="en_US"/>
        </w:rPr>
      </w:r>
      <w:r>
        <w:rPr>
          <w:lang w:val="en_US" w:bidi="en_US"/>
        </w:rPr>
        <w:t>As a statement. For example:</w:t>
      </w:r>
      <w:r>
        <w:rPr>
          <w:lang w:val="en_US" w:bidi="en_US"/>
        </w:rPr>
        <w:t>You came out here with swords and clubs as though I were a criminal. (NCV)</w:t>
      </w:r>
      <w:r>
        <w:rPr>
          <w:lang w:val="en_US" w:bidi="en_US"/>
        </w:rPr>
        <w:t>It is not right/necessary for you to treat me as a criminal and come with swords and clubs to seize me.</w:t>
      </w:r>
    </w:p>
    <w:p>
      <w:pPr/>
      <w:r>
        <w:rPr>
          <w:lang w:val="en_US" w:bidi="en_US"/>
        </w:rPr>
      </w:r>
      <w:r>
        <w:rPr>
          <w:lang w:val="en_US" w:bidi="en_US"/>
        </w:rPr>
        <w:t>Translate this rebuke in a way that is natural in your language. It may also be helpful to refer to the notes at 22:46a. See how you translated that rebuke.</w:t>
      </w:r>
    </w:p>
    <w:p>
      <w:pPr/>
      <w:r>
        <w:rPr>
          <w:lang w:val="en_US" w:bidi="en_US"/>
        </w:rPr>
      </w:r>
      <w:r>
        <w:rPr>
          <w:b/>
          <w:lang w:val="en_US" w:bidi="en_US"/>
        </w:rPr>
        <w:t>Have you come out:</w:t>
      </w:r>
      <w:r>
        <w:rPr>
          <w:lang w:val="en_US" w:bidi="en_US"/>
        </w:rPr>
        <w:t xml:space="preserve"> The clause </w:t>
      </w:r>
      <w:r>
        <w:rPr>
          <w:i/>
          <w:lang w:val="en_US" w:bidi="en_US"/>
        </w:rPr>
        <w:t>Have you come out</w:t>
      </w:r>
      <w:r>
        <w:rPr>
          <w:lang w:val="en_US" w:bidi="en_US"/>
        </w:rPr>
        <w:t xml:space="preserve"> refers to coming to arrest Jesus. In some languages it may be natural to make that more explicit. For example:</w:t>
      </w:r>
    </w:p>
    <w:p>
      <w:pPr/>
      <w:r>
        <w:rPr>
          <w:lang w:val="en_US" w:bidi="en_US"/>
        </w:rPr>
      </w:r>
      <w:r>
        <w:rPr>
          <w:lang w:val="en_US" w:bidi="en_US"/>
        </w:rPr>
        <w:t>that you have come…to arrest me (NLT)</w:t>
      </w:r>
    </w:p>
    <w:p>
      <w:pPr/>
      <w:r>
        <w:rPr>
          <w:lang w:val="en_US" w:bidi="en_US"/>
        </w:rPr>
      </w:r>
      <w:r>
        <w:rPr>
          <w:b/>
          <w:lang w:val="en_US" w:bidi="en_US"/>
        </w:rPr>
        <w:t>swords:</w:t>
      </w:r>
      <w:r>
        <w:rPr>
          <w:lang w:val="en_US" w:bidi="en_US"/>
        </w:rPr>
        <w:t xml:space="preserve"> The word “sword” occurred in 21:24 and 22:36. See how you translated it there.</w:t>
      </w:r>
    </w:p>
    <w:p>
      <w:pPr/>
      <w:r>
        <w:rPr>
          <w:lang w:val="en_US" w:bidi="en_US"/>
        </w:rPr>
      </w:r>
      <w:r>
        <w:rPr>
          <w:b/>
          <w:lang w:val="en_US" w:bidi="en_US"/>
        </w:rPr>
        <w:t>clubs:</w:t>
      </w:r>
      <w:r>
        <w:rPr>
          <w:lang w:val="en_US" w:bidi="en_US"/>
        </w:rPr>
        <w:t xml:space="preserve"> The word </w:t>
      </w:r>
      <w:r>
        <w:rPr>
          <w:i/>
          <w:lang w:val="en_US" w:bidi="en_US"/>
        </w:rPr>
        <w:t>clubs</w:t>
      </w:r>
      <w:r>
        <w:rPr>
          <w:lang w:val="en_US" w:bidi="en_US"/>
        </w:rPr>
        <w:t xml:space="preserve"> refers to heavy pieces of wood that men used for fighting.</w:t>
      </w:r>
    </w:p>
    <w:p>
      <w:pPr/>
      <w:r>
        <w:rPr>
          <w:lang w:val="en_US" w:bidi="en_US"/>
        </w:rPr>
      </w:r>
      <w:r>
        <w:rPr>
          <w:b/>
          <w:lang w:val="en_US" w:bidi="en_US"/>
        </w:rPr>
        <w:t>against an outlaw:</w:t>
      </w:r>
      <w:r>
        <w:rPr>
          <w:lang w:val="en_US" w:bidi="en_US"/>
        </w:rPr>
        <w:t xml:space="preserve"> There are two ways to interpret the Greek word that the BSB translates as </w:t>
      </w:r>
      <w:r>
        <w:rPr>
          <w:i/>
          <w:lang w:val="en_US" w:bidi="en_US"/>
        </w:rPr>
        <w:t>against an outlaw</w:t>
      </w:r>
      <w:r>
        <w:rPr>
          <w:lang w:val="en_US" w:bidi="en_US"/>
        </w:rPr>
        <w:t>:</w:t>
      </w:r>
    </w:p>
    <w:p>
      <w:pPr>
        <w:pStyle w:val="ListNumber"/>
        <w:numPr>
          <w:ilvl w:val="0"/>
          <w:numId w:val="359"/>
        </w:numPr>
        <w:spacing w:line="240" w:lineRule="auto"/>
        <w:ind w:left="720"/>
      </w:pPr>
      <w:r>
        <w:rPr>
          <w:lang w:val="en_US" w:bidi="en_US"/>
        </w:rPr>
      </w:r>
      <w:r>
        <w:rPr>
          <w:lang w:val="en_US" w:bidi="en_US"/>
        </w:rPr>
        <w:t>It refers to a robber, bandit, or outlaw. Here is another way to translate this:</w:t>
      </w:r>
      <w:r>
        <w:rPr>
          <w:lang w:val="en_US" w:bidi="en_US"/>
        </w:rPr>
        <w:t xml:space="preserve">Am I some dangerous criminal…? (NLT96) </w:t>
      </w:r>
      <w:r>
        <w:rPr>
          <w:i/>
          <w:lang w:val="en_US" w:bidi="en_US"/>
        </w:rPr>
        <w:t>(BSB, NLT96, GNT, RSV, NASB, KJV, REB, NET, GW, CEV, NCV, NJB, ESV, JBP)</w:t>
      </w:r>
    </w:p>
    <w:p>
      <w:pPr>
        <w:pStyle w:val="ListNumber"/>
        <w:spacing w:line="240" w:lineRule="auto"/>
        <w:ind w:left="720"/>
      </w:pPr>
      <w:r>
        <w:rPr>
          <w:lang w:val="en_US" w:bidi="en_US"/>
        </w:rPr>
      </w:r>
      <w:r>
        <w:rPr>
          <w:lang w:val="en_US" w:bidi="en_US"/>
        </w:rPr>
        <w:t>It refers to a rebel or revolutionary, someone who fights against the rulers of his country. Here is another way to translate this:</w:t>
      </w:r>
      <w:r>
        <w:rPr>
          <w:lang w:val="en_US" w:bidi="en_US"/>
        </w:rPr>
        <w:t xml:space="preserve">Am I leading a rebellion…? (NIV) </w:t>
      </w:r>
      <w:r>
        <w:rPr>
          <w:i/>
          <w:lang w:val="en_US" w:bidi="en_US"/>
        </w:rPr>
        <w:t>(NIV, NLT)</w:t>
      </w:r>
    </w:p>
    <w:p>
      <w:pPr/>
      <w:r>
        <w:rPr>
          <w:lang w:val="en_US" w:bidi="en_US"/>
        </w:rPr>
      </w:r>
      <w:r>
        <w:rPr>
          <w:lang w:val="en_US" w:bidi="en_US"/>
        </w:rPr>
        <w:t>It is recommended that you follow interpretation (1), along with many Bible scholars and most English versions.</w:t>
      </w:r>
      <w:r>
        <w:rPr>
          <w:lang w:val="en_US" w:bidi="en_US"/>
        </w:rPr>
        <w:t>The NET note says, “This term can refer to one who stirs up rebellion….However, this usage generally postdates Jesus’ time. It does refer to a figure of violence. Luke uses the same term for the highwaymen who attack the traveler in the parable of the good Samaritan (10:30).” Several scholars also mention that the question is ironic. Green (p. 784) says, “Jesus’ reference to ‘bandits’ is ironic. By contrasting the violence done by his apostles, he has proven that he is not a person of violence. They, on the other hand, have come with weapons, ready for violence, proving the appropriateness of Jesus’ earlier characterization of the Jewish leadership as ‘brigands’ who withdraw into the temple in order to camouflage their violent deeds.” Fitzmyer (p. 1449) says, “With irony he queries the Jerusalem authorities whether they have come out to seize him as if he were a robber or an insurrectionist; he asks this, who shortly before in the Lucan story had predicted that he was to be classed with outlaws (22:37).”*</w:t>
      </w:r>
      <w:r>
        <w:rPr>
          <w:lang w:val="en_US" w:bidi="en_US"/>
        </w:rPr>
      </w:r>
      <w:r>
        <w:rPr>
          <w:lang w:val="en_US" w:bidi="en_US"/>
        </w:rPr>
      </w:r>
    </w:p>
    <w:p>
      <w:pPr/>
      <w:r>
        <w:rPr>
          <w:lang w:val="en_US" w:bidi="en_US"/>
        </w:rPr>
      </w:r>
    </w:p>
    <w:p>
      <w:pPr>
        <w:pStyle w:val="Heading2"/>
      </w:pPr>
      <w:r>
        <w:rPr>
          <w:lang w:val="en_US" w:bidi="en_US"/>
        </w:rPr>
        <w:t>Luke 22:53</w:t>
      </w:r>
      <w:r>
        <w:rPr>
          <w:lang w:val="en_US" w:bidi="en_US"/>
        </w:rPr>
      </w:r>
    </w:p>
    <w:p>
      <w:pPr>
        <w:pStyle w:val="Heading4"/>
      </w:pPr>
      <w:r>
        <w:rPr>
          <w:lang w:val="en_US" w:bidi="en_US"/>
        </w:rPr>
        <w:t>Section 22:47–53: Judas helped Jesus’ enemies to find him and arrest him</w:t>
      </w:r>
    </w:p>
    <w:p>
      <w:pPr/>
      <w:r>
        <w:rPr>
          <w:lang w:val="en_US" w:bidi="en_US"/>
        </w:rPr>
      </w:r>
      <w:r>
        <w:rPr>
          <w:lang w:val="en_US" w:bidi="en_US"/>
        </w:rPr>
        <w:t>In this section Judas arrived at the place where Jesus and his disciples were talking. Judas was leading a crowd of men who had come to arrest Jesus and take him to the Jewish leaders for trial. Many of these men were probably temple guards. Judas had agreed to greet Jesus with a kiss so that they would know which person to arrest.</w:t>
      </w:r>
    </w:p>
    <w:p>
      <w:pPr/>
      <w:r>
        <w:rPr>
          <w:lang w:val="en_US" w:bidi="en_US"/>
        </w:rPr>
      </w:r>
      <w:r>
        <w:rPr>
          <w:lang w:val="en_US" w:bidi="en_US"/>
        </w:rPr>
        <w:t>The disciples saw what was about to happen, and they asked Jesus if they should fight to prevent his arrest. Peter cut off one man’s ear, but Jesus healed the man and told his disciples not to fight against his arrest. The temple guards arrested Jesus, and he did not resist them.</w:t>
      </w:r>
    </w:p>
    <w:p>
      <w:pPr/>
      <w:r>
        <w:rPr>
          <w:lang w:val="en_US" w:bidi="en_US"/>
        </w:rPr>
      </w:r>
      <w:r>
        <w:rPr>
          <w:lang w:val="en_US" w:bidi="en_US"/>
        </w:rPr>
        <w:t>Some other examples of headings for this section are:</w:t>
      </w:r>
    </w:p>
    <w:p>
      <w:pPr/>
      <w:r>
        <w:rPr>
          <w:lang w:val="en_US" w:bidi="en_US"/>
        </w:rPr>
      </w:r>
      <w:r>
        <w:rPr>
          <w:lang w:val="en_US" w:bidi="en_US"/>
        </w:rPr>
        <w:t>Jesus Is Arrested (GW)</w:t>
      </w:r>
    </w:p>
    <w:p>
      <w:pPr/>
      <w:r>
        <w:rPr>
          <w:lang w:val="en_US" w:bidi="en_US"/>
        </w:rPr>
      </w:r>
      <w:r>
        <w:rPr>
          <w:lang w:val="en_US" w:bidi="en_US"/>
        </w:rPr>
        <w:t>The Betrayal and Arrest of Jesus (NRSV)</w:t>
      </w:r>
    </w:p>
    <w:p>
      <w:pPr/>
      <w:r>
        <w:rPr>
          <w:lang w:val="en_US" w:bidi="en_US"/>
        </w:rPr>
      </w:r>
      <w:r>
        <w:rPr>
          <w:lang w:val="en_US" w:bidi="en_US"/>
        </w:rPr>
        <w:t>There are parallel passages for this section in Matthew 26:47–56, Mark 14:43–50, and John 18:3–11.</w:t>
      </w:r>
    </w:p>
    <w:p>
      <w:pPr>
        <w:pStyle w:val="Heading5"/>
      </w:pPr>
      <w:r>
        <w:rPr>
          <w:lang w:val="en_US" w:bidi="en_US"/>
        </w:rPr>
        <w:t>22:53a</w:t>
      </w:r>
    </w:p>
    <w:p>
      <w:pPr/>
      <w:r>
        <w:rPr>
          <w:lang w:val="en_US" w:bidi="en_US"/>
        </w:rPr>
      </w:r>
      <w:r>
        <w:rPr>
          <w:b/>
          <w:lang w:val="en_US" w:bidi="en_US"/>
        </w:rPr>
        <w:t>Every day I was with you in the temple courts,</w:t>
      </w:r>
    </w:p>
    <w:p>
      <w:pPr>
        <w:pStyle w:val="ListBullet"/>
        <w:spacing w:line="240" w:lineRule="auto"/>
        <w:ind w:left="720"/>
      </w:pPr>
      <w:r>
        <w:rPr>
          <w:lang w:val="en_US" w:bidi="en_US"/>
        </w:rPr>
      </w:r>
      <w:r>
        <w:rPr>
          <w:lang w:val="en_US" w:bidi="en_US"/>
        </w:rPr>
        <w:t>As I have been with/near you every day in the temple area,</w:t>
      </w:r>
    </w:p>
    <w:p>
      <w:pPr>
        <w:pStyle w:val="ListBullet"/>
        <w:spacing w:line="240" w:lineRule="auto"/>
        <w:ind w:left="720"/>
      </w:pPr>
      <w:r>
        <w:rPr>
          <w:lang w:val="en_US" w:bidi="en_US"/>
        </w:rPr>
      </w:r>
      <w:r>
        <w:rPr>
          <w:lang w:val="en_US" w:bidi="en_US"/>
        </w:rPr>
        <w:t xml:space="preserve">I have been </w:t>
      </w:r>
      <w:r>
        <w:rPr>
          <w:lang w:val="en_US" w:bidi="en_US"/>
        </w:rPr>
        <w:t>teaching people</w:t>
      </w:r>
      <w:r>
        <w:rPr>
          <w:lang w:val="en_US" w:bidi="en_US"/>
        </w:rPr>
        <w:t xml:space="preserve"> daily while you were there in the temple courts,</w:t>
      </w:r>
    </w:p>
    <w:p>
      <w:pPr>
        <w:pStyle w:val="ListBullet"/>
        <w:spacing w:line="240" w:lineRule="auto"/>
        <w:ind w:left="720"/>
      </w:pPr>
      <w:r>
        <w:rPr>
          <w:lang w:val="en_US" w:bidi="en_US"/>
        </w:rPr>
      </w:r>
      <w:r>
        <w:rPr>
          <w:lang w:val="en_US" w:bidi="en_US"/>
        </w:rPr>
        <w:t>When I was near you</w:t>
      </w:r>
      <w:r>
        <w:rPr>
          <w:vertAlign w:val="superscript"/>
          <w:lang w:val="en_US" w:bidi="en_US"/>
        </w:rPr>
        <w:t>(plur)</w:t>
      </w:r>
      <w:r>
        <w:rPr>
          <w:lang w:val="en_US" w:bidi="en_US"/>
        </w:rPr>
        <w:t xml:space="preserve"> day by day in the temple area,</w:t>
      </w:r>
    </w:p>
    <w:p>
      <w:pPr/>
      <w:r>
        <w:rPr>
          <w:lang w:val="en_US" w:bidi="en_US"/>
        </w:rPr>
      </w:r>
      <w:r>
        <w:rPr>
          <w:b/>
          <w:lang w:val="en_US" w:bidi="en_US"/>
        </w:rPr>
        <w:t>Every day:</w:t>
      </w:r>
      <w:r>
        <w:rPr>
          <w:lang w:val="en_US" w:bidi="en_US"/>
        </w:rPr>
        <w:t xml:space="preserve"> The Greek phrase that the BSB translates as </w:t>
      </w:r>
      <w:r>
        <w:rPr>
          <w:i/>
          <w:lang w:val="en_US" w:bidi="en_US"/>
        </w:rPr>
        <w:t>Every day</w:t>
      </w:r>
      <w:r>
        <w:rPr>
          <w:lang w:val="en_US" w:bidi="en_US"/>
        </w:rPr>
        <w:t xml:space="preserve"> means “day by day, regularly, for many days.” Jesus probably referred especially to each day in the week that had just passed. Other ways to translate it are:</w:t>
      </w:r>
    </w:p>
    <w:p>
      <w:pPr/>
      <w:r>
        <w:rPr>
          <w:lang w:val="en_US" w:bidi="en_US"/>
        </w:rPr>
      </w:r>
      <w:r>
        <w:rPr>
          <w:lang w:val="en_US" w:bidi="en_US"/>
        </w:rPr>
        <w:t>Day after day (REB)</w:t>
      </w:r>
    </w:p>
    <w:p>
      <w:pPr/>
      <w:r>
        <w:rPr>
          <w:lang w:val="en_US" w:bidi="en_US"/>
        </w:rPr>
      </w:r>
      <w:r>
        <w:rPr>
          <w:lang w:val="en_US" w:bidi="en_US"/>
        </w:rPr>
        <w:t>daily (NASB)</w:t>
      </w:r>
    </w:p>
    <w:p>
      <w:pPr/>
      <w:r>
        <w:rPr>
          <w:lang w:val="en_US" w:bidi="en_US"/>
        </w:rPr>
      </w:r>
      <w:r>
        <w:rPr>
          <w:b/>
          <w:lang w:val="en_US" w:bidi="en_US"/>
        </w:rPr>
        <w:t>I was with you in the temple courts:</w:t>
      </w:r>
      <w:r>
        <w:rPr>
          <w:lang w:val="en_US" w:bidi="en_US"/>
        </w:rPr>
        <w:t xml:space="preserve"> Here Jesus was still speaking to the men who came to arrest him. He reminded them that they had seen him every day in the temple courts. He had taught there publicly each day of that week. Many of them had heard what he said. Other ways to translate this clause are:</w:t>
      </w:r>
    </w:p>
    <w:p>
      <w:pPr/>
      <w:r>
        <w:rPr>
          <w:lang w:val="en_US" w:bidi="en_US"/>
        </w:rPr>
      </w:r>
      <w:r>
        <w:rPr>
          <w:lang w:val="en_US" w:bidi="en_US"/>
        </w:rPr>
        <w:t>I have been there with you in the temple</w:t>
      </w:r>
      <w:r>
        <w:rPr>
          <w:lang w:val="en_US" w:bidi="en_US"/>
        </w:rPr>
        <w:t>Yakan back translation on TW.</w:t>
      </w:r>
    </w:p>
    <w:p>
      <w:pPr/>
      <w:r>
        <w:rPr>
          <w:lang w:val="en_US" w:bidi="en_US"/>
        </w:rPr>
      </w:r>
      <w:r>
        <w:rPr>
          <w:lang w:val="en_US" w:bidi="en_US"/>
        </w:rPr>
        <w:t xml:space="preserve">You were with me </w:t>
      </w:r>
      <w:r>
        <w:rPr>
          <w:lang w:val="en_US" w:bidi="en_US"/>
        </w:rPr>
        <w:t>as I taught</w:t>
      </w:r>
      <w:r>
        <w:rPr>
          <w:lang w:val="en_US" w:bidi="en_US"/>
        </w:rPr>
        <w:t xml:space="preserve"> in the temple courts.</w:t>
      </w:r>
    </w:p>
    <w:p>
      <w:pPr/>
      <w:r>
        <w:rPr>
          <w:lang w:val="en_US" w:bidi="en_US"/>
        </w:rPr>
      </w:r>
      <w:r>
        <w:rPr>
          <w:b/>
          <w:lang w:val="en_US" w:bidi="en_US"/>
        </w:rPr>
        <w:t>temple courts:</w:t>
      </w:r>
      <w:r>
        <w:rPr>
          <w:lang w:val="en_US" w:bidi="en_US"/>
        </w:rPr>
        <w:t xml:space="preserve"> The Greek word that the BSB translates as </w:t>
      </w:r>
      <w:r>
        <w:rPr>
          <w:i/>
          <w:lang w:val="en_US" w:bidi="en_US"/>
        </w:rPr>
        <w:t>temple courts</w:t>
      </w:r>
      <w:r>
        <w:rPr>
          <w:lang w:val="en_US" w:bidi="en_US"/>
        </w:rPr>
        <w:t xml:space="preserve"> is literally “temple.” Here it refers to the public area around the temple building, not to the building itself. For more information, see the notes on 21:37a. See also temple, Meaning 1, in the Glossary.</w:t>
      </w:r>
    </w:p>
    <w:p>
      <w:pPr>
        <w:pStyle w:val="Heading5"/>
      </w:pPr>
      <w:r>
        <w:rPr>
          <w:lang w:val="en_US" w:bidi="en_US"/>
        </w:rPr>
        <w:t>22:53b</w:t>
      </w:r>
    </w:p>
    <w:p>
      <w:pPr/>
      <w:r>
        <w:rPr>
          <w:lang w:val="en_US" w:bidi="en_US"/>
        </w:rPr>
      </w:r>
      <w:r>
        <w:rPr>
          <w:b/>
          <w:lang w:val="en_US" w:bidi="en_US"/>
        </w:rPr>
        <w:t>and you did not lay a hand on 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did not try to arrest me.</w:t>
      </w:r>
    </w:p>
    <w:p>
      <w:pPr>
        <w:pStyle w:val="ListBullet"/>
        <w:spacing w:line="240" w:lineRule="auto"/>
        <w:ind w:left="720"/>
      </w:pPr>
      <w:r>
        <w:rPr>
          <w:lang w:val="en_US" w:bidi="en_US"/>
        </w:rPr>
      </w:r>
      <w:r>
        <w:rPr>
          <w:lang w:val="en_US" w:bidi="en_US"/>
        </w:rPr>
        <w:t>but/and you</w:t>
      </w:r>
      <w:r>
        <w:rPr>
          <w:vertAlign w:val="superscript"/>
          <w:lang w:val="en_US" w:bidi="en_US"/>
        </w:rPr>
        <w:t>(plur)</w:t>
      </w:r>
      <w:r>
        <w:rPr>
          <w:lang w:val="en_US" w:bidi="en_US"/>
        </w:rPr>
        <w:t xml:space="preserve"> did not </w:t>
      </w:r>
      <w:r>
        <w:rPr>
          <w:lang w:val="en_US" w:bidi="en_US"/>
        </w:rPr>
        <w:t>dare</w:t>
      </w:r>
      <w:r>
        <w:rPr>
          <w:lang w:val="en_US" w:bidi="en_US"/>
        </w:rPr>
        <w:t xml:space="preserve"> to arrest 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did not attempt to seize/capture me there.</w:t>
      </w:r>
    </w:p>
    <w:p>
      <w:pPr/>
      <w:r>
        <w:rPr>
          <w:lang w:val="en_US" w:bidi="en_US"/>
        </w:rPr>
      </w:r>
      <w:r>
        <w:rPr>
          <w:b/>
          <w:lang w:val="en_US" w:bidi="en_US"/>
        </w:rPr>
        <w:t>you did not lay a hand on Me:</w:t>
      </w:r>
      <w:r>
        <w:rPr>
          <w:lang w:val="en_US" w:bidi="en_US"/>
        </w:rPr>
        <w:t xml:space="preserve"> The Greek clause that the BSB translates literally as </w:t>
      </w:r>
      <w:r>
        <w:rPr>
          <w:i/>
          <w:lang w:val="en_US" w:bidi="en_US"/>
        </w:rPr>
        <w:t>you did not lay a hand on Me</w:t>
      </w:r>
      <w:r>
        <w:rPr>
          <w:lang w:val="en_US" w:bidi="en_US"/>
        </w:rPr>
        <w:t xml:space="preserve"> is an idiom. In this context it implies the meaning “you did nothing to arrest/capture me.” Here is another way to translate this:</w:t>
      </w:r>
    </w:p>
    <w:p>
      <w:pPr/>
      <w:r>
        <w:rPr>
          <w:lang w:val="en_US" w:bidi="en_US"/>
        </w:rPr>
      </w:r>
      <w:r>
        <w:rPr>
          <w:lang w:val="en_US" w:bidi="en_US"/>
        </w:rPr>
        <w:t>you did not try to arrest me (GNT)</w:t>
      </w:r>
    </w:p>
    <w:p>
      <w:pPr/>
      <w:r>
        <w:rPr>
          <w:lang w:val="en_US" w:bidi="en_US"/>
        </w:rPr>
      </w:r>
      <w:r>
        <w:rPr>
          <w:lang w:val="en_US" w:bidi="en_US"/>
        </w:rPr>
        <w:t>Jesus implied here that if he had really done anything wrong, the authorities would have arrested him openly. They did not arrest him in public because they were afraid that the people might harm them for arresting an innocent man.</w:t>
      </w:r>
    </w:p>
    <w:p>
      <w:pPr>
        <w:pStyle w:val="Heading5"/>
      </w:pPr>
      <w:r>
        <w:rPr>
          <w:lang w:val="en_US" w:bidi="en_US"/>
        </w:rPr>
        <w:t>22:53c</w:t>
      </w:r>
    </w:p>
    <w:p>
      <w:pPr/>
      <w:r>
        <w:rPr>
          <w:lang w:val="en_US" w:bidi="en_US"/>
        </w:rPr>
      </w:r>
      <w:r>
        <w:rPr>
          <w:b/>
          <w:lang w:val="en_US" w:bidi="en_US"/>
        </w:rPr>
        <w:t>But this hour belongs to you</w:t>
      </w:r>
    </w:p>
    <w:p>
      <w:pPr>
        <w:pStyle w:val="ListBullet"/>
        <w:spacing w:line="240" w:lineRule="auto"/>
        <w:ind w:left="720"/>
      </w:pPr>
      <w:r>
        <w:rPr>
          <w:lang w:val="en_US" w:bidi="en_US"/>
        </w:rPr>
      </w:r>
      <w:r>
        <w:rPr>
          <w:lang w:val="en_US" w:bidi="en_US"/>
        </w:rPr>
        <w:t>But this is your</w:t>
      </w:r>
      <w:r>
        <w:rPr>
          <w:vertAlign w:val="superscript"/>
          <w:lang w:val="en_US" w:bidi="en_US"/>
        </w:rPr>
        <w:t>(plur)</w:t>
      </w:r>
      <w:r>
        <w:rPr>
          <w:lang w:val="en_US" w:bidi="en_US"/>
        </w:rPr>
        <w:t xml:space="preserve"> time/opportunity,</w:t>
      </w:r>
    </w:p>
    <w:p>
      <w:pPr>
        <w:pStyle w:val="ListBullet"/>
        <w:spacing w:line="240" w:lineRule="auto"/>
        <w:ind w:left="720"/>
      </w:pPr>
      <w:r>
        <w:rPr>
          <w:lang w:val="en_US" w:bidi="en_US"/>
        </w:rPr>
      </w:r>
      <w:r>
        <w:rPr>
          <w:lang w:val="en_US" w:bidi="en_US"/>
        </w:rPr>
        <w:t xml:space="preserve">But this is the time </w:t>
      </w:r>
      <w:r>
        <w:rPr>
          <w:lang w:val="en_US" w:bidi="en_US"/>
        </w:rPr>
        <w:t>that God has allowed you</w:t>
      </w:r>
      <w:r>
        <w:rPr>
          <w:vertAlign w:val="superscript"/>
          <w:lang w:val="en_US" w:bidi="en_US"/>
        </w:rPr>
        <w:t>(plur)</w:t>
      </w:r>
      <w:r>
        <w:rPr>
          <w:lang w:val="en_US" w:bidi="en_US"/>
        </w:rPr>
        <w:t xml:space="preserve"> </w:t>
      </w:r>
      <w:r>
        <w:rPr>
          <w:lang w:val="en_US" w:bidi="en_US"/>
        </w:rPr>
        <w:t>to have power over me</w:t>
      </w:r>
    </w:p>
    <w:p>
      <w:pPr/>
      <w:r>
        <w:rPr>
          <w:lang w:val="en_US" w:bidi="en_US"/>
        </w:rPr>
      </w:r>
      <w:r>
        <w:rPr>
          <w:b/>
          <w:lang w:val="en_US" w:bidi="en_US"/>
        </w:rPr>
        <w:t>But this hour belongs to you:</w:t>
      </w:r>
      <w:r>
        <w:rPr>
          <w:lang w:val="en_US" w:bidi="en_US"/>
        </w:rPr>
        <w:t xml:space="preserve"> In this context </w:t>
      </w:r>
      <w:r>
        <w:rPr>
          <w:i/>
          <w:lang w:val="en_US" w:bidi="en_US"/>
        </w:rPr>
        <w:t>hour</w:t>
      </w:r>
      <w:r>
        <w:rPr>
          <w:lang w:val="en_US" w:bidi="en_US"/>
        </w:rPr>
        <w:t xml:space="preserve"> refers to a particular short period of time. Here it has the meaning “opportunity.” The clause </w:t>
      </w:r>
      <w:r>
        <w:rPr>
          <w:i/>
          <w:lang w:val="en_US" w:bidi="en_US"/>
        </w:rPr>
        <w:t>this hour belongs to you</w:t>
      </w:r>
      <w:r>
        <w:rPr>
          <w:lang w:val="en_US" w:bidi="en_US"/>
        </w:rPr>
        <w:t xml:space="preserve"> indicates that on that particular night, in the dark, they had the opportunity to arrest Jesus and to harm him. It also implies that God had allowed them to have that brief opportunity. It was only a short time that they would have to harm him.</w:t>
      </w:r>
    </w:p>
    <w:p>
      <w:pPr/>
      <w:r>
        <w:rPr>
          <w:lang w:val="en_US" w:bidi="en_US"/>
        </w:rPr>
      </w:r>
      <w:r>
        <w:rPr>
          <w:lang w:val="en_US" w:bidi="en_US"/>
        </w:rPr>
        <w:t>Some other ways to translate the clause are:</w:t>
      </w:r>
    </w:p>
    <w:p>
      <w:pPr/>
      <w:r>
        <w:rPr>
          <w:lang w:val="en_US" w:bidi="en_US"/>
        </w:rPr>
      </w:r>
      <w:r>
        <w:rPr>
          <w:lang w:val="en_US" w:bidi="en_US"/>
        </w:rPr>
        <w:t>This is your time</w:t>
      </w:r>
    </w:p>
    <w:p>
      <w:pPr/>
      <w:r>
        <w:rPr>
          <w:lang w:val="en_US" w:bidi="en_US"/>
        </w:rPr>
      </w:r>
      <w:r>
        <w:rPr>
          <w:lang w:val="en_US" w:bidi="en_US"/>
        </w:rPr>
        <w:t>This opportunity has been given to you</w:t>
      </w:r>
    </w:p>
    <w:p>
      <w:pPr/>
      <w:r>
        <w:rPr>
          <w:lang w:val="en_US" w:bidi="en_US"/>
        </w:rPr>
      </w:r>
      <w:r>
        <w:rPr>
          <w:lang w:val="en_US" w:bidi="en_US"/>
        </w:rPr>
        <w:t xml:space="preserve">You have </w:t>
      </w:r>
      <w:r>
        <w:rPr>
          <w:lang w:val="en_US" w:bidi="en_US"/>
        </w:rPr>
        <w:t>been allowed</w:t>
      </w:r>
      <w:r>
        <w:rPr>
          <w:lang w:val="en_US" w:bidi="en_US"/>
        </w:rPr>
        <w:t xml:space="preserve"> this time</w:t>
      </w:r>
    </w:p>
    <w:p>
      <w:pPr/>
      <w:r>
        <w:rPr>
          <w:lang w:val="en_US" w:bidi="en_US"/>
        </w:rPr>
      </w:r>
      <w:r>
        <w:rPr>
          <w:lang w:val="en_US" w:bidi="en_US"/>
        </w:rPr>
        <w:t>God</w:t>
      </w:r>
      <w:r>
        <w:rPr>
          <w:lang w:val="en_US" w:bidi="en_US"/>
        </w:rPr>
        <w:t xml:space="preserve"> </w:t>
      </w:r>
      <w:r>
        <w:rPr>
          <w:lang w:val="en_US" w:bidi="en_US"/>
        </w:rPr>
        <w:t>has allowed</w:t>
      </w:r>
      <w:r>
        <w:rPr>
          <w:lang w:val="en_US" w:bidi="en_US"/>
        </w:rPr>
        <w:t xml:space="preserve"> you to have this brief time</w:t>
      </w:r>
    </w:p>
    <w:p>
      <w:pPr/>
      <w:r>
        <w:rPr>
          <w:lang w:val="en_US" w:bidi="en_US"/>
        </w:rPr>
      </w:r>
      <w:r>
        <w:rPr>
          <w:lang w:val="en_US" w:bidi="en_US"/>
        </w:rPr>
        <w:t xml:space="preserve">In some languages it may be necessary to make clear the purpose of the </w:t>
      </w:r>
      <w:r>
        <w:rPr>
          <w:i/>
          <w:lang w:val="en_US" w:bidi="en_US"/>
        </w:rPr>
        <w:t>hour</w:t>
      </w:r>
      <w:r>
        <w:rPr>
          <w:lang w:val="en_US" w:bidi="en_US"/>
        </w:rPr>
        <w:t>. For example:</w:t>
      </w:r>
    </w:p>
    <w:p>
      <w:pPr/>
      <w:r>
        <w:rPr>
          <w:lang w:val="en_US" w:bidi="en_US"/>
        </w:rPr>
      </w:r>
      <w:r>
        <w:rPr>
          <w:lang w:val="en_US" w:bidi="en_US"/>
        </w:rPr>
        <w:t>this is your hour to act (GNT)</w:t>
      </w:r>
    </w:p>
    <w:p>
      <w:pPr/>
      <w:r>
        <w:rPr>
          <w:lang w:val="en_US" w:bidi="en_US"/>
        </w:rPr>
      </w:r>
      <w:r>
        <w:rPr>
          <w:lang w:val="en_US" w:bidi="en_US"/>
        </w:rPr>
        <w:t>this is the time that belongs to you…so that you can seize me</w:t>
      </w:r>
      <w:r>
        <w:rPr>
          <w:lang w:val="en_US" w:bidi="en_US"/>
        </w:rPr>
        <w:t>Yakan back translation on TW.</w:t>
      </w:r>
    </w:p>
    <w:p>
      <w:pPr>
        <w:pStyle w:val="Heading5"/>
      </w:pPr>
      <w:r>
        <w:rPr>
          <w:lang w:val="en_US" w:bidi="en_US"/>
        </w:rPr>
        <w:t>22:53d</w:t>
      </w:r>
    </w:p>
    <w:p>
      <w:pPr/>
      <w:r>
        <w:rPr>
          <w:lang w:val="en_US" w:bidi="en_US"/>
        </w:rPr>
      </w:r>
      <w:r>
        <w:rPr>
          <w:b/>
          <w:lang w:val="en_US" w:bidi="en_US"/>
        </w:rPr>
        <w:t>and to the power of darkness.”</w:t>
      </w:r>
    </w:p>
    <w:p>
      <w:pPr>
        <w:pStyle w:val="ListBullet"/>
        <w:spacing w:line="240" w:lineRule="auto"/>
        <w:ind w:left="720"/>
      </w:pPr>
      <w:r>
        <w:rPr>
          <w:lang w:val="en_US" w:bidi="en_US"/>
        </w:rPr>
      </w:r>
      <w:r>
        <w:rPr>
          <w:lang w:val="en_US" w:bidi="en_US"/>
        </w:rPr>
        <w:t>and the power of darkness is working/ruling.”</w:t>
      </w:r>
    </w:p>
    <w:p>
      <w:pPr>
        <w:pStyle w:val="ListBullet"/>
        <w:spacing w:line="240" w:lineRule="auto"/>
        <w:ind w:left="720"/>
      </w:pPr>
      <w:r>
        <w:rPr>
          <w:lang w:val="en_US" w:bidi="en_US"/>
        </w:rPr>
      </w:r>
      <w:r>
        <w:rPr>
          <w:lang w:val="en_US" w:bidi="en_US"/>
        </w:rPr>
        <w:t xml:space="preserve">and </w:t>
      </w:r>
      <w:r>
        <w:rPr>
          <w:lang w:val="en_US" w:bidi="en_US"/>
        </w:rPr>
        <w:t>Satan</w:t>
      </w:r>
      <w:r>
        <w:rPr>
          <w:lang w:val="en_US" w:bidi="en_US"/>
        </w:rPr>
        <w:t xml:space="preserve"> </w:t>
      </w:r>
      <w:r>
        <w:rPr>
          <w:lang w:val="en_US" w:bidi="en_US"/>
        </w:rPr>
        <w:t>is allowed</w:t>
      </w:r>
      <w:r>
        <w:rPr>
          <w:lang w:val="en_US" w:bidi="en_US"/>
        </w:rPr>
        <w:t xml:space="preserve"> to do his dark/</w:t>
      </w:r>
      <w:r>
        <w:rPr>
          <w:lang w:val="en_US" w:bidi="en_US"/>
        </w:rPr>
        <w:t>evil</w:t>
      </w:r>
      <w:r>
        <w:rPr>
          <w:lang w:val="en_US" w:bidi="en_US"/>
        </w:rPr>
        <w:t xml:space="preserve"> work.”</w:t>
      </w:r>
    </w:p>
    <w:p>
      <w:pPr>
        <w:pStyle w:val="ListBullet"/>
        <w:spacing w:line="240" w:lineRule="auto"/>
        <w:ind w:left="720"/>
      </w:pPr>
      <w:r>
        <w:rPr>
          <w:lang w:val="en_US" w:bidi="en_US"/>
        </w:rPr>
      </w:r>
      <w:r>
        <w:rPr>
          <w:lang w:val="en_US" w:bidi="en_US"/>
        </w:rPr>
        <w:t xml:space="preserve">and the </w:t>
      </w:r>
      <w:r>
        <w:rPr>
          <w:lang w:val="en_US" w:bidi="en_US"/>
        </w:rPr>
        <w:t>evil</w:t>
      </w:r>
      <w:r>
        <w:rPr>
          <w:lang w:val="en_US" w:bidi="en_US"/>
        </w:rPr>
        <w:t xml:space="preserve"> that darkness </w:t>
      </w:r>
      <w:r>
        <w:rPr>
          <w:lang w:val="en_US" w:bidi="en_US"/>
        </w:rPr>
        <w:t>represents</w:t>
      </w:r>
      <w:r>
        <w:rPr>
          <w:lang w:val="en_US" w:bidi="en_US"/>
        </w:rPr>
        <w:t xml:space="preserve"> is free to work.”</w:t>
      </w:r>
    </w:p>
    <w:p>
      <w:pPr/>
      <w:r>
        <w:rPr>
          <w:lang w:val="en_US" w:bidi="en_US"/>
        </w:rPr>
      </w:r>
      <w:r>
        <w:rPr>
          <w:b/>
          <w:lang w:val="en_US" w:bidi="en_US"/>
        </w:rPr>
        <w:t>and to the power of darkness:</w:t>
      </w:r>
      <w:r>
        <w:rPr>
          <w:lang w:val="en_US" w:bidi="en_US"/>
        </w:rPr>
        <w:t xml:space="preserve"> The Greek phrase that the BSB translates as </w:t>
      </w:r>
      <w:r>
        <w:rPr>
          <w:i/>
          <w:lang w:val="en_US" w:bidi="en_US"/>
        </w:rPr>
        <w:t>and to the power of darkness</w:t>
      </w:r>
      <w:r>
        <w:rPr>
          <w:lang w:val="en_US" w:bidi="en_US"/>
        </w:rPr>
        <w:t xml:space="preserve"> is more literally “and the power/authority of darkness.” It was nighttime, and dark, when the crowd of men came to arrest Jesus. The </w:t>
      </w:r>
      <w:r>
        <w:rPr>
          <w:i/>
          <w:lang w:val="en_US" w:bidi="en_US"/>
        </w:rPr>
        <w:t>darkness</w:t>
      </w:r>
      <w:r>
        <w:rPr>
          <w:lang w:val="en_US" w:bidi="en_US"/>
        </w:rPr>
        <w:t xml:space="preserve"> symbolizes Satan and his evil power, including the power of the evil spirits that he rules. The phrase </w:t>
      </w:r>
      <w:r>
        <w:rPr>
          <w:i/>
          <w:lang w:val="en_US" w:bidi="en_US"/>
        </w:rPr>
        <w:t>the power of darkness</w:t>
      </w:r>
      <w:r>
        <w:rPr>
          <w:lang w:val="en_US" w:bidi="en_US"/>
        </w:rPr>
        <w:t xml:space="preserve"> implies here that Satan was influencing the people who arrested Jesus.</w:t>
      </w:r>
    </w:p>
    <w:p>
      <w:pPr/>
      <w:r>
        <w:rPr>
          <w:lang w:val="en_US" w:bidi="en_US"/>
        </w:rPr>
      </w:r>
      <w:r>
        <w:rPr>
          <w:lang w:val="en_US" w:bidi="en_US"/>
        </w:rPr>
        <w:t xml:space="preserve">In some languages it may be necessary to make explicit that </w:t>
      </w:r>
      <w:r>
        <w:rPr>
          <w:i/>
          <w:lang w:val="en_US" w:bidi="en_US"/>
        </w:rPr>
        <w:t>darkness</w:t>
      </w:r>
      <w:r>
        <w:rPr>
          <w:lang w:val="en_US" w:bidi="en_US"/>
        </w:rPr>
        <w:t xml:space="preserve"> refers here to evil or to Satan. For example:</w:t>
      </w:r>
    </w:p>
    <w:p>
      <w:pPr/>
      <w:r>
        <w:rPr>
          <w:lang w:val="en_US" w:bidi="en_US"/>
        </w:rPr>
      </w:r>
      <w:r>
        <w:rPr>
          <w:lang w:val="en_US" w:bidi="en_US"/>
        </w:rPr>
        <w:t>when in the darkness Satan does what he wants to do</w:t>
      </w:r>
    </w:p>
    <w:p>
      <w:pPr/>
      <w:r>
        <w:rPr>
          <w:lang w:val="en_US" w:bidi="en_US"/>
        </w:rPr>
      </w:r>
      <w:r>
        <w:rPr>
          <w:lang w:val="en_US" w:bidi="en_US"/>
        </w:rPr>
        <w:t>evil power rules/works now in the dark</w:t>
      </w:r>
    </w:p>
    <w:p>
      <w:pPr/>
      <w:r>
        <w:rPr>
          <w:lang w:val="en_US" w:bidi="en_US"/>
        </w:rPr>
      </w:r>
      <w:r>
        <w:rPr>
          <w:lang w:val="en_US" w:bidi="en_US"/>
        </w:rPr>
        <w:t>when Satan uses his dark/evil power</w:t>
      </w:r>
      <w:r>
        <w:rPr>
          <w:lang w:val="en_US" w:bidi="en_US"/>
        </w:rPr>
      </w:r>
      <w:r>
        <w:rPr>
          <w:lang w:val="en_US" w:bidi="en_US"/>
        </w:rPr>
      </w:r>
    </w:p>
    <w:p>
      <w:pPr/>
      <w:r>
        <w:rPr>
          <w:lang w:val="en_US" w:bidi="en_US"/>
        </w:rPr>
      </w:r>
    </w:p>
    <w:p>
      <w:pPr>
        <w:pStyle w:val="Heading2"/>
      </w:pPr>
      <w:r>
        <w:rPr>
          <w:lang w:val="en_US" w:bidi="en_US"/>
        </w:rPr>
        <w:t>Luke 22:54</w:t>
      </w:r>
      <w:r>
        <w:rPr>
          <w:lang w:val="en_US" w:bidi="en_US"/>
        </w:rPr>
      </w:r>
    </w:p>
    <w:p>
      <w:pPr>
        <w:pStyle w:val="Heading4"/>
      </w:pPr>
      <w:r>
        <w:rPr>
          <w:lang w:val="en_US" w:bidi="en_US"/>
        </w:rPr>
        <w:t>Section 22:54–62: Jesus’ enemies arrested him, and Peter denied him</w:t>
      </w:r>
    </w:p>
    <w:p>
      <w:pPr/>
      <w:r>
        <w:rPr>
          <w:lang w:val="en_US" w:bidi="en_US"/>
        </w:rPr>
      </w:r>
      <w:r>
        <w:rPr>
          <w:lang w:val="en_US" w:bidi="en_US"/>
        </w:rPr>
        <w:t>In 22:33 Peter said that he would never leave Jesus or be unfaithful to him. But in 22:34 Jesus predicted that actually Peter would say three times that he did not know Jesus. After Jesus was arrested, Peter followed Jesus to the house of the high priest and waited in the courtyard. Three different people said that Peter had been with Jesus, and three times Peter said he did not know Jesus. But then a rooster crowed, and Peter suddenly remembered what Jesus had said. Peter wept with great sorrow because he had denied that he knew Jesus his Lord.</w:t>
      </w:r>
    </w:p>
    <w:p>
      <w:pPr/>
      <w:r>
        <w:rPr>
          <w:lang w:val="en_US" w:bidi="en_US"/>
        </w:rPr>
      </w:r>
      <w:r>
        <w:rPr>
          <w:lang w:val="en_US" w:bidi="en_US"/>
        </w:rPr>
        <w:t>Some other examples of headings for this section are:</w:t>
      </w:r>
    </w:p>
    <w:p>
      <w:pPr/>
      <w:r>
        <w:rPr>
          <w:lang w:val="en_US" w:bidi="en_US"/>
        </w:rPr>
      </w:r>
      <w:r>
        <w:rPr>
          <w:lang w:val="en_US" w:bidi="en_US"/>
        </w:rPr>
        <w:t>Peter Denies Jesus (NRSV)</w:t>
      </w:r>
    </w:p>
    <w:p>
      <w:pPr/>
      <w:r>
        <w:rPr>
          <w:lang w:val="en_US" w:bidi="en_US"/>
        </w:rPr>
      </w:r>
      <w:r>
        <w:rPr>
          <w:lang w:val="en_US" w:bidi="en_US"/>
        </w:rPr>
        <w:t>Jesus’ Condemnation and Peter’s Denials (NET)</w:t>
      </w:r>
    </w:p>
    <w:p>
      <w:pPr/>
      <w:r>
        <w:rPr>
          <w:lang w:val="en_US" w:bidi="en_US"/>
        </w:rPr>
      </w:r>
      <w:r>
        <w:rPr>
          <w:lang w:val="en_US" w:bidi="en_US"/>
        </w:rPr>
        <w:t>Peter Says He Doesn’t Know Jesus (NCV)</w:t>
      </w:r>
    </w:p>
    <w:p>
      <w:pPr/>
      <w:r>
        <w:rPr>
          <w:lang w:val="en_US" w:bidi="en_US"/>
        </w:rPr>
      </w:r>
      <w:r>
        <w:rPr>
          <w:lang w:val="en_US" w:bidi="en_US"/>
        </w:rPr>
        <w:t>There are parallel passages for this section in Matthew 26:57–58, 26:69–75, Mark 14:53–54, 14:66–72, and John 18:12–18, 18:25–27.</w:t>
      </w:r>
    </w:p>
    <w:p>
      <w:pPr>
        <w:pStyle w:val="Heading5"/>
      </w:pPr>
      <w:r>
        <w:rPr>
          <w:lang w:val="en_US" w:bidi="en_US"/>
        </w:rPr>
        <w:t>22:54a</w:t>
      </w:r>
    </w:p>
    <w:p>
      <w:pPr/>
      <w:r>
        <w:rPr>
          <w:lang w:val="en_US" w:bidi="en_US"/>
        </w:rPr>
      </w:r>
      <w:r>
        <w:rPr>
          <w:b/>
          <w:lang w:val="en_US" w:bidi="en_US"/>
        </w:rPr>
        <w:t>Then they seized Jesus,</w:t>
      </w:r>
    </w:p>
    <w:p>
      <w:pPr>
        <w:pStyle w:val="ListBullet"/>
        <w:spacing w:line="240" w:lineRule="auto"/>
        <w:ind w:left="720"/>
      </w:pPr>
      <w:r>
        <w:rPr>
          <w:lang w:val="en_US" w:bidi="en_US"/>
        </w:rPr>
      </w:r>
      <w:r>
        <w:rPr>
          <w:lang w:val="en_US" w:bidi="en_US"/>
        </w:rPr>
        <w:t xml:space="preserve">¶ Then </w:t>
      </w:r>
      <w:r>
        <w:rPr>
          <w:lang w:val="en_US" w:bidi="en_US"/>
        </w:rPr>
        <w:t>the temple guard</w:t>
      </w:r>
      <w:r>
        <w:rPr>
          <w:lang w:val="en_US" w:bidi="en_US"/>
        </w:rPr>
        <w:t xml:space="preserve"> arrested/grasped Jesus</w:t>
      </w:r>
    </w:p>
    <w:p>
      <w:pPr>
        <w:pStyle w:val="ListBullet"/>
        <w:spacing w:line="240" w:lineRule="auto"/>
        <w:ind w:left="720"/>
      </w:pPr>
      <w:r>
        <w:rPr>
          <w:lang w:val="en_US" w:bidi="en_US"/>
        </w:rPr>
      </w:r>
      <w:r>
        <w:rPr>
          <w:lang w:val="en_US" w:bidi="en_US"/>
        </w:rPr>
        <w:t xml:space="preserve">¶ At that, </w:t>
      </w:r>
      <w:r>
        <w:rPr>
          <w:lang w:val="en_US" w:bidi="en_US"/>
        </w:rPr>
        <w:t>the captains of the temple guard</w:t>
      </w:r>
      <w:r>
        <w:rPr>
          <w:lang w:val="en_US" w:bidi="en_US"/>
        </w:rPr>
        <w:t xml:space="preserve"> grabbed/took Jesus</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is a common conjunction that can be translated in different ways. Here it introduces what happened after Jesus spoke to the crowd. Many English versions introduce this next event with </w:t>
      </w:r>
      <w:r>
        <w:rPr>
          <w:i/>
          <w:lang w:val="en_US" w:bidi="en_US"/>
        </w:rPr>
        <w:t>Then</w:t>
      </w:r>
      <w:r>
        <w:rPr>
          <w:lang w:val="en_US" w:bidi="en_US"/>
        </w:rPr>
        <w:t xml:space="preserve"> or “So.” Other versions do not have a conjunction. Introduce this event in a natural way in your language.</w:t>
      </w:r>
    </w:p>
    <w:p>
      <w:pPr/>
      <w:r>
        <w:rPr>
          <w:lang w:val="en_US" w:bidi="en_US"/>
        </w:rPr>
      </w:r>
      <w:r>
        <w:rPr>
          <w:b/>
          <w:lang w:val="en_US" w:bidi="en_US"/>
        </w:rPr>
        <w:t>they seized Jesus:</w:t>
      </w:r>
      <w:r>
        <w:rPr>
          <w:lang w:val="en_US" w:bidi="en_US"/>
        </w:rPr>
        <w:t xml:space="preserve"> The phrase </w:t>
      </w:r>
      <w:r>
        <w:rPr>
          <w:i/>
          <w:lang w:val="en_US" w:bidi="en_US"/>
        </w:rPr>
        <w:t>they seized Jesus</w:t>
      </w:r>
      <w:r>
        <w:rPr>
          <w:lang w:val="en_US" w:bidi="en_US"/>
        </w:rPr>
        <w:t xml:space="preserve"> indicates that the temple guards (police) held Jesus firmly in their hands so that he could not leave. They arrested him and made him their prisoner.</w:t>
      </w:r>
    </w:p>
    <w:p>
      <w:pPr/>
      <w:r>
        <w:rPr>
          <w:lang w:val="en_US" w:bidi="en_US"/>
        </w:rPr>
      </w:r>
      <w:r>
        <w:rPr>
          <w:lang w:val="en_US" w:bidi="en_US"/>
        </w:rPr>
        <w:t>In many languages it may be necessary to make clear who arrested Jesus. The people who actually took hold of him were the officers of the temple guard, who were mentioned in 22:52b. Refer back to them in a natural way in your language.</w:t>
      </w:r>
    </w:p>
    <w:p>
      <w:pPr/>
      <w:r>
        <w:rPr>
          <w:lang w:val="en_US" w:bidi="en_US"/>
        </w:rPr>
      </w:r>
      <w:r>
        <w:rPr>
          <w:lang w:val="en_US" w:bidi="en_US"/>
        </w:rPr>
        <w:t xml:space="preserve">Here are some other ways to translate the clause </w:t>
      </w:r>
      <w:r>
        <w:rPr>
          <w:i/>
          <w:lang w:val="en_US" w:bidi="en_US"/>
        </w:rPr>
        <w:t>they seized Jesus</w:t>
      </w:r>
      <w:r>
        <w:rPr>
          <w:lang w:val="en_US" w:bidi="en_US"/>
        </w:rPr>
        <w:t>:</w:t>
      </w:r>
    </w:p>
    <w:p>
      <w:pPr>
        <w:pStyle w:val="ListBullet"/>
        <w:spacing w:line="240" w:lineRule="auto"/>
        <w:ind w:left="720"/>
      </w:pPr>
      <w:r>
        <w:rPr>
          <w:lang w:val="en_US" w:bidi="en_US"/>
        </w:rPr>
      </w:r>
      <w:r>
        <w:rPr>
          <w:lang w:val="en_US" w:bidi="en_US"/>
        </w:rPr>
        <w:t>Use an active clause with subject and object. For example:</w:t>
      </w:r>
      <w:r>
        <w:rPr>
          <w:lang w:val="en_US" w:bidi="en_US"/>
        </w:rPr>
        <w:t>the captains of the temple guard seized/grabbed Jesus</w:t>
      </w:r>
      <w:r>
        <w:rPr>
          <w:lang w:val="en_US" w:bidi="en_US"/>
        </w:rPr>
        <w:t>the temple guards/police arrested Jesus</w:t>
      </w:r>
    </w:p>
    <w:p>
      <w:pPr>
        <w:pStyle w:val="ListBullet"/>
        <w:spacing w:line="240" w:lineRule="auto"/>
        <w:ind w:left="720"/>
      </w:pPr>
      <w:r>
        <w:rPr>
          <w:lang w:val="en_US" w:bidi="en_US"/>
        </w:rPr>
      </w:r>
      <w:r>
        <w:rPr>
          <w:lang w:val="en_US" w:bidi="en_US"/>
        </w:rPr>
        <w:t>Use a passive verb. For example:</w:t>
      </w:r>
      <w:r>
        <w:rPr>
          <w:lang w:val="en_US" w:bidi="en_US"/>
        </w:rPr>
        <w:t>Jesus was arrested (CEV)</w:t>
      </w:r>
    </w:p>
    <w:p>
      <w:pPr/>
      <w:r>
        <w:rPr>
          <w:lang w:val="en_US" w:bidi="en_US"/>
        </w:rPr>
      </w:r>
      <w:r>
        <w:rPr>
          <w:lang w:val="en_US" w:bidi="en_US"/>
        </w:rPr>
        <w:t>Translate the clause in a natural way in your language.</w:t>
      </w:r>
    </w:p>
    <w:p>
      <w:pPr>
        <w:pStyle w:val="Heading5"/>
      </w:pPr>
      <w:r>
        <w:rPr>
          <w:lang w:val="en_US" w:bidi="en_US"/>
        </w:rPr>
        <w:t>22:54b</w:t>
      </w:r>
    </w:p>
    <w:p>
      <w:pPr/>
      <w:r>
        <w:rPr>
          <w:lang w:val="en_US" w:bidi="en_US"/>
        </w:rPr>
      </w:r>
      <w:r>
        <w:rPr>
          <w:b/>
          <w:lang w:val="en_US" w:bidi="en_US"/>
        </w:rPr>
        <w:t>led Him away, and took Him into the house of the high priest.</w:t>
      </w:r>
    </w:p>
    <w:p>
      <w:pPr>
        <w:pStyle w:val="ListBullet"/>
        <w:spacing w:line="240" w:lineRule="auto"/>
        <w:ind w:left="720"/>
      </w:pPr>
      <w:r>
        <w:rPr>
          <w:lang w:val="en_US" w:bidi="en_US"/>
        </w:rPr>
      </w:r>
      <w:r>
        <w:rPr>
          <w:lang w:val="en_US" w:bidi="en_US"/>
        </w:rPr>
        <w:t>and took him from there to the high priest’s house.</w:t>
      </w:r>
    </w:p>
    <w:p>
      <w:pPr>
        <w:pStyle w:val="ListBullet"/>
        <w:spacing w:line="240" w:lineRule="auto"/>
        <w:ind w:left="720"/>
      </w:pPr>
      <w:r>
        <w:rPr>
          <w:lang w:val="en_US" w:bidi="en_US"/>
        </w:rPr>
      </w:r>
      <w:r>
        <w:rPr>
          <w:lang w:val="en_US" w:bidi="en_US"/>
        </w:rPr>
        <w:t xml:space="preserve">and led him out </w:t>
      </w:r>
      <w:r>
        <w:rPr>
          <w:lang w:val="en_US" w:bidi="en_US"/>
        </w:rPr>
        <w:t>of the garden</w:t>
      </w:r>
      <w:r>
        <w:rPr>
          <w:lang w:val="en_US" w:bidi="en_US"/>
        </w:rPr>
        <w:t>. They brought him into the house of the chief/leader of all the priests.</w:t>
      </w:r>
    </w:p>
    <w:p>
      <w:pPr>
        <w:pStyle w:val="Heading5"/>
      </w:pPr>
      <w:r>
        <w:rPr>
          <w:lang w:val="en_US" w:bidi="en_US"/>
        </w:rPr>
        <w:t>22:54b–c</w:t>
      </w:r>
    </w:p>
    <w:p>
      <w:pPr/>
      <w:r>
        <w:rPr>
          <w:lang w:val="en_US" w:bidi="en_US"/>
        </w:rPr>
      </w:r>
      <w:r>
        <w:rPr>
          <w:b/>
          <w:lang w:val="en_US" w:bidi="en_US"/>
        </w:rPr>
        <w:t>led Him away, and took Him into the house of the high priest:</w:t>
      </w:r>
      <w:r>
        <w:rPr>
          <w:lang w:val="en_US" w:bidi="en_US"/>
        </w:rPr>
        <w:t xml:space="preserve"> This clause has the two verbs </w:t>
      </w:r>
      <w:r>
        <w:rPr>
          <w:i/>
          <w:lang w:val="en_US" w:bidi="en_US"/>
        </w:rPr>
        <w:t>led</w:t>
      </w:r>
      <w:r>
        <w:rPr>
          <w:lang w:val="en_US" w:bidi="en_US"/>
        </w:rPr>
        <w:t xml:space="preserve"> and </w:t>
      </w:r>
      <w:r>
        <w:rPr>
          <w:i/>
          <w:lang w:val="en_US" w:bidi="en_US"/>
        </w:rPr>
        <w:t>took</w:t>
      </w:r>
      <w:r>
        <w:rPr>
          <w:lang w:val="en_US" w:bidi="en_US"/>
        </w:rPr>
        <w:t>. The first verb refers to leading Jesus out of the garden. The second verb refers to taking him to the high priest’s house. Some versions put the second verb in a separate sentence. For example:</w:t>
      </w:r>
    </w:p>
    <w:p>
      <w:pPr/>
      <w:r>
        <w:rPr>
          <w:lang w:val="en_US" w:bidi="en_US"/>
        </w:rPr>
      </w:r>
      <w:r>
        <w:rPr>
          <w:lang w:val="en_US" w:bidi="en_US"/>
        </w:rPr>
        <w:t>…led him away. They brought him to the high priest’s house (REB)</w:t>
      </w:r>
    </w:p>
    <w:p>
      <w:pPr/>
      <w:r>
        <w:rPr>
          <w:lang w:val="en_US" w:bidi="en_US"/>
        </w:rPr>
      </w:r>
      <w:r>
        <w:rPr>
          <w:lang w:val="en_US" w:bidi="en_US"/>
        </w:rPr>
        <w:t>These verbs do not imply that the guards took Jesus violently. They forced Jesus to go with them, but he did not resist them.</w:t>
      </w:r>
    </w:p>
    <w:p>
      <w:pPr/>
      <w:r>
        <w:rPr>
          <w:lang w:val="en_US" w:bidi="en_US"/>
        </w:rPr>
      </w:r>
      <w:r>
        <w:rPr>
          <w:lang w:val="en_US" w:bidi="en_US"/>
        </w:rPr>
        <w:t>In some languages it may be more natural to use only one verb to describe the actions. For example:</w:t>
      </w:r>
    </w:p>
    <w:p>
      <w:pPr/>
      <w:r>
        <w:rPr>
          <w:lang w:val="en_US" w:bidi="en_US"/>
        </w:rPr>
      </w:r>
      <w:r>
        <w:rPr>
          <w:lang w:val="en_US" w:bidi="en_US"/>
        </w:rPr>
        <w:t>and led him away to the chief priest’s house (GW)</w:t>
      </w:r>
    </w:p>
    <w:p>
      <w:pPr/>
      <w:r>
        <w:rPr>
          <w:lang w:val="en_US" w:bidi="en_US"/>
        </w:rPr>
      </w:r>
      <w:r>
        <w:rPr>
          <w:lang w:val="en_US" w:bidi="en_US"/>
        </w:rPr>
        <w:t>and they took him to the house of the High Priest</w:t>
      </w:r>
      <w:r>
        <w:rPr>
          <w:lang w:val="en_US" w:bidi="en_US"/>
        </w:rPr>
        <w:t>Uma back translation on TW.</w:t>
      </w:r>
    </w:p>
    <w:p>
      <w:pPr/>
      <w:r>
        <w:rPr>
          <w:lang w:val="en_US" w:bidi="en_US"/>
        </w:rPr>
      </w:r>
      <w:r>
        <w:rPr>
          <w:lang w:val="en_US" w:bidi="en_US"/>
        </w:rPr>
        <w:t>Translate the actions in a natural way in your language.</w:t>
      </w:r>
    </w:p>
    <w:p>
      <w:pPr/>
      <w:r>
        <w:rPr>
          <w:lang w:val="en_US" w:bidi="en_US"/>
        </w:rPr>
      </w:r>
      <w:r>
        <w:rPr>
          <w:b/>
          <w:lang w:val="en_US" w:bidi="en_US"/>
        </w:rPr>
        <w:t>into the house of the high priest:</w:t>
      </w:r>
      <w:r>
        <w:rPr>
          <w:lang w:val="en_US" w:bidi="en_US"/>
        </w:rPr>
        <w:t xml:space="preserve"> This </w:t>
      </w:r>
      <w:r>
        <w:rPr>
          <w:i/>
          <w:lang w:val="en_US" w:bidi="en_US"/>
        </w:rPr>
        <w:t>house</w:t>
      </w:r>
      <w:r>
        <w:rPr>
          <w:lang w:val="en_US" w:bidi="en_US"/>
        </w:rPr>
        <w:t>, where the high priest lived, was probably large. It is likely that it had an open courtyard with rooms around it.</w:t>
      </w:r>
    </w:p>
    <w:p>
      <w:pPr/>
      <w:r>
        <w:rPr>
          <w:lang w:val="en_US" w:bidi="en_US"/>
        </w:rPr>
      </w:r>
      <w:r>
        <w:rPr>
          <w:b/>
          <w:lang w:val="en_US" w:bidi="en_US"/>
        </w:rPr>
        <w:t>the high priest:</w:t>
      </w:r>
      <w:r>
        <w:rPr>
          <w:lang w:val="en_US" w:bidi="en_US"/>
        </w:rPr>
        <w:t xml:space="preserve"> The term </w:t>
      </w:r>
      <w:r>
        <w:rPr>
          <w:i/>
          <w:lang w:val="en_US" w:bidi="en_US"/>
        </w:rPr>
        <w:t>high priest</w:t>
      </w:r>
      <w:r>
        <w:rPr>
          <w:lang w:val="en_US" w:bidi="en_US"/>
        </w:rPr>
        <w:t xml:space="preserve"> occurred in 22:50. You should translate it in the same way here. See the note at 22:50 for more information.</w:t>
      </w:r>
    </w:p>
    <w:p>
      <w:pPr>
        <w:pStyle w:val="Heading5"/>
      </w:pPr>
      <w:r>
        <w:rPr>
          <w:lang w:val="en_US" w:bidi="en_US"/>
        </w:rPr>
        <w:t>22:54c</w:t>
      </w:r>
    </w:p>
    <w:p>
      <w:pPr/>
      <w:r>
        <w:rPr>
          <w:lang w:val="en_US" w:bidi="en_US"/>
        </w:rPr>
      </w:r>
      <w:r>
        <w:rPr>
          <w:b/>
          <w:lang w:val="en_US" w:bidi="en_US"/>
        </w:rPr>
        <w:t>And Peter followed at a distance.</w:t>
      </w:r>
    </w:p>
    <w:p>
      <w:pPr>
        <w:pStyle w:val="ListBullet"/>
        <w:spacing w:line="240" w:lineRule="auto"/>
        <w:ind w:left="720"/>
      </w:pPr>
      <w:r>
        <w:rPr>
          <w:lang w:val="en_US" w:bidi="en_US"/>
        </w:rPr>
      </w:r>
      <w:r>
        <w:rPr>
          <w:lang w:val="en_US" w:bidi="en_US"/>
        </w:rPr>
        <w:t>Peter followed them, but he did not come near them.</w:t>
      </w:r>
    </w:p>
    <w:p>
      <w:pPr>
        <w:pStyle w:val="ListBullet"/>
        <w:spacing w:line="240" w:lineRule="auto"/>
        <w:ind w:left="720"/>
      </w:pPr>
      <w:r>
        <w:rPr>
          <w:lang w:val="en_US" w:bidi="en_US"/>
        </w:rPr>
      </w:r>
      <w:r>
        <w:rPr>
          <w:lang w:val="en_US" w:bidi="en_US"/>
        </w:rPr>
        <w:t>As they took Jesus there,</w:t>
      </w:r>
      <w:r>
        <w:rPr>
          <w:lang w:val="en_US" w:bidi="en_US"/>
        </w:rPr>
        <w:t xml:space="preserve"> Peter was following some distance behind them.</w:t>
      </w:r>
    </w:p>
    <w:p>
      <w:pPr/>
      <w:r>
        <w:rPr>
          <w:lang w:val="en_US" w:bidi="en_US"/>
        </w:rPr>
      </w:r>
      <w:r>
        <w:rPr>
          <w:b/>
          <w:lang w:val="en_US" w:bidi="en_US"/>
        </w:rPr>
        <w:t>And Peter followed at a distance:</w:t>
      </w:r>
      <w:r>
        <w:rPr>
          <w:lang w:val="en_US" w:bidi="en_US"/>
        </w:rPr>
        <w:t xml:space="preserve"> The clause </w:t>
      </w:r>
      <w:r>
        <w:rPr>
          <w:i/>
          <w:lang w:val="en_US" w:bidi="en_US"/>
        </w:rPr>
        <w:t>And Peter followed at a distance</w:t>
      </w:r>
      <w:r>
        <w:rPr>
          <w:lang w:val="en_US" w:bidi="en_US"/>
        </w:rPr>
        <w:t xml:space="preserve"> indicates that Peter walked behind the people who were taking Jesus to the high priest’s house. Peter did not get close to them as he walked. He stayed far enough from them so that they would not notice him. Some other ways to translate this clause are:</w:t>
      </w:r>
    </w:p>
    <w:p>
      <w:pPr/>
      <w:r>
        <w:rPr>
          <w:lang w:val="en_US" w:bidi="en_US"/>
        </w:rPr>
      </w:r>
      <w:r>
        <w:rPr>
          <w:lang w:val="en_US" w:bidi="en_US"/>
        </w:rPr>
        <w:t>Peter followed but not very close</w:t>
      </w:r>
    </w:p>
    <w:p>
      <w:pPr/>
      <w:r>
        <w:rPr>
          <w:lang w:val="en_US" w:bidi="en_US"/>
        </w:rPr>
      </w:r>
      <w:r>
        <w:rPr>
          <w:lang w:val="en_US" w:bidi="en_US"/>
        </w:rPr>
        <w:t xml:space="preserve">Peter followed </w:t>
      </w:r>
      <w:r>
        <w:rPr>
          <w:lang w:val="en_US" w:bidi="en_US"/>
        </w:rPr>
        <w:t>them</w:t>
      </w:r>
      <w:r>
        <w:rPr>
          <w:lang w:val="en_US" w:bidi="en_US"/>
        </w:rPr>
        <w:t xml:space="preserve"> from a </w:t>
      </w:r>
      <w:r>
        <w:rPr>
          <w:lang w:val="en_US" w:bidi="en_US"/>
        </w:rPr>
        <w:t>safe</w:t>
      </w:r>
      <w:r>
        <w:rPr>
          <w:lang w:val="en_US" w:bidi="en_US"/>
        </w:rPr>
        <w:t xml:space="preserve"> distance</w:t>
      </w:r>
    </w:p>
    <w:p>
      <w:pPr/>
      <w:r>
        <w:rPr>
          <w:lang w:val="en_US" w:bidi="en_US"/>
        </w:rPr>
      </w:r>
      <w:r>
        <w:rPr>
          <w:lang w:val="en_US" w:bidi="en_US"/>
        </w:rPr>
        <w:t xml:space="preserve">Peter went along behind </w:t>
      </w:r>
      <w:r>
        <w:rPr>
          <w:lang w:val="en_US" w:bidi="en_US"/>
        </w:rPr>
        <w:t>Jesus and his captors</w:t>
      </w:r>
      <w:r>
        <w:rPr>
          <w:lang w:val="en_US" w:bidi="en_US"/>
        </w:rPr>
        <w:t>, but he did not come near them</w:t>
      </w:r>
      <w:r>
        <w:rPr>
          <w:lang w:val="en_US" w:bidi="en_US"/>
        </w:rPr>
      </w:r>
      <w:r>
        <w:rPr>
          <w:lang w:val="en_US" w:bidi="en_US"/>
        </w:rPr>
      </w:r>
    </w:p>
    <w:p>
      <w:pPr/>
      <w:r>
        <w:rPr>
          <w:lang w:val="en_US" w:bidi="en_US"/>
        </w:rPr>
      </w:r>
    </w:p>
    <w:p>
      <w:pPr>
        <w:pStyle w:val="Heading2"/>
      </w:pPr>
      <w:r>
        <w:rPr>
          <w:lang w:val="en_US" w:bidi="en_US"/>
        </w:rPr>
        <w:t>Luke 22:55</w:t>
      </w:r>
      <w:r>
        <w:rPr>
          <w:lang w:val="en_US" w:bidi="en_US"/>
        </w:rPr>
      </w:r>
    </w:p>
    <w:p>
      <w:pPr>
        <w:pStyle w:val="Heading4"/>
      </w:pPr>
      <w:r>
        <w:rPr>
          <w:lang w:val="en_US" w:bidi="en_US"/>
        </w:rPr>
        <w:t>Section 22:54–62: Jesus’ enemies arrested him, and Peter denied him</w:t>
      </w:r>
    </w:p>
    <w:p>
      <w:pPr/>
      <w:r>
        <w:rPr>
          <w:lang w:val="en_US" w:bidi="en_US"/>
        </w:rPr>
      </w:r>
      <w:r>
        <w:rPr>
          <w:lang w:val="en_US" w:bidi="en_US"/>
        </w:rPr>
        <w:t>In 22:33 Peter said that he would never leave Jesus or be unfaithful to him. But in 22:34 Jesus predicted that actually Peter would say three times that he did not know Jesus. After Jesus was arrested, Peter followed Jesus to the house of the high priest and waited in the courtyard. Three different people said that Peter had been with Jesus, and three times Peter said he did not know Jesus. But then a rooster crowed, and Peter suddenly remembered what Jesus had said. Peter wept with great sorrow because he had denied that he knew Jesus his Lord.</w:t>
      </w:r>
    </w:p>
    <w:p>
      <w:pPr/>
      <w:r>
        <w:rPr>
          <w:lang w:val="en_US" w:bidi="en_US"/>
        </w:rPr>
      </w:r>
      <w:r>
        <w:rPr>
          <w:lang w:val="en_US" w:bidi="en_US"/>
        </w:rPr>
        <w:t>Some other examples of headings for this section are:</w:t>
      </w:r>
    </w:p>
    <w:p>
      <w:pPr/>
      <w:r>
        <w:rPr>
          <w:lang w:val="en_US" w:bidi="en_US"/>
        </w:rPr>
      </w:r>
      <w:r>
        <w:rPr>
          <w:lang w:val="en_US" w:bidi="en_US"/>
        </w:rPr>
        <w:t>Peter Denies Jesus (NRSV)</w:t>
      </w:r>
    </w:p>
    <w:p>
      <w:pPr/>
      <w:r>
        <w:rPr>
          <w:lang w:val="en_US" w:bidi="en_US"/>
        </w:rPr>
      </w:r>
      <w:r>
        <w:rPr>
          <w:lang w:val="en_US" w:bidi="en_US"/>
        </w:rPr>
        <w:t>Jesus’ Condemnation and Peter’s Denials (NET)</w:t>
      </w:r>
    </w:p>
    <w:p>
      <w:pPr/>
      <w:r>
        <w:rPr>
          <w:lang w:val="en_US" w:bidi="en_US"/>
        </w:rPr>
      </w:r>
      <w:r>
        <w:rPr>
          <w:lang w:val="en_US" w:bidi="en_US"/>
        </w:rPr>
        <w:t>Peter Says He Doesn’t Know Jesus (NCV)</w:t>
      </w:r>
    </w:p>
    <w:p>
      <w:pPr/>
      <w:r>
        <w:rPr>
          <w:lang w:val="en_US" w:bidi="en_US"/>
        </w:rPr>
      </w:r>
      <w:r>
        <w:rPr>
          <w:lang w:val="en_US" w:bidi="en_US"/>
        </w:rPr>
        <w:t>There are parallel passages for this section in Matthew 26:57–58, 26:69–75, Mark 14:53–54, 14:66–72, and John 18:12–18, 18:25–27.</w:t>
      </w:r>
    </w:p>
    <w:p>
      <w:pPr>
        <w:pStyle w:val="Heading5"/>
      </w:pPr>
      <w:r>
        <w:rPr>
          <w:lang w:val="en_US" w:bidi="en_US"/>
        </w:rPr>
        <w:t>22:55a</w:t>
      </w:r>
    </w:p>
    <w:p>
      <w:pPr/>
      <w:r>
        <w:rPr>
          <w:lang w:val="en_US" w:bidi="en_US"/>
        </w:rPr>
      </w:r>
      <w:r>
        <w:rPr>
          <w:b/>
          <w:lang w:val="en_US" w:bidi="en_US"/>
        </w:rPr>
        <w:t>When those present had kindled a fire in the middle of the courtyard</w:t>
      </w:r>
    </w:p>
    <w:p>
      <w:pPr>
        <w:pStyle w:val="ListBullet"/>
        <w:spacing w:line="240" w:lineRule="auto"/>
        <w:ind w:left="720"/>
      </w:pPr>
      <w:r>
        <w:rPr>
          <w:lang w:val="en_US" w:bidi="en_US"/>
        </w:rPr>
      </w:r>
      <w:r>
        <w:rPr>
          <w:lang w:val="en_US" w:bidi="en_US"/>
        </w:rPr>
        <w:t>After they arrived,</w:t>
      </w:r>
      <w:r>
        <w:rPr>
          <w:lang w:val="en_US" w:bidi="en_US"/>
        </w:rPr>
        <w:t xml:space="preserve"> they made a fire in the middle of the compound.</w:t>
      </w:r>
    </w:p>
    <w:p>
      <w:pPr>
        <w:pStyle w:val="ListBullet"/>
        <w:spacing w:line="240" w:lineRule="auto"/>
        <w:ind w:left="720"/>
      </w:pPr>
      <w:r>
        <w:rPr>
          <w:lang w:val="en_US" w:bidi="en_US"/>
        </w:rPr>
      </w:r>
      <w:r>
        <w:rPr>
          <w:lang w:val="en_US" w:bidi="en_US"/>
        </w:rPr>
        <w:t xml:space="preserve">When they brought Jesus to the house, </w:t>
      </w:r>
      <w:r>
        <w:rPr>
          <w:lang w:val="en_US" w:bidi="en_US"/>
        </w:rPr>
        <w:t>some people</w:t>
      </w:r>
      <w:r>
        <w:rPr>
          <w:lang w:val="en_US" w:bidi="en_US"/>
        </w:rPr>
        <w:t xml:space="preserve"> lit a fire in the open area/yard </w:t>
      </w:r>
      <w:r>
        <w:rPr>
          <w:lang w:val="en_US" w:bidi="en_US"/>
        </w:rPr>
        <w:t>to warm themselves</w:t>
      </w:r>
      <w:r>
        <w:rPr>
          <w:lang w:val="en_US" w:bidi="en_US"/>
        </w:rPr>
        <w:t>,</w:t>
      </w:r>
    </w:p>
    <w:p>
      <w:pPr>
        <w:pStyle w:val="Heading5"/>
      </w:pPr>
      <w:r>
        <w:rPr>
          <w:lang w:val="en_US" w:bidi="en_US"/>
        </w:rPr>
        <w:t>22:55a–b</w:t>
      </w:r>
    </w:p>
    <w:p>
      <w:pPr/>
      <w:r>
        <w:rPr>
          <w:lang w:val="en_US" w:bidi="en_US"/>
        </w:rPr>
      </w:r>
      <w:r>
        <w:rPr>
          <w:lang w:val="en_US" w:bidi="en_US"/>
        </w:rPr>
        <w:t>In Greek, 22:55a begins with a common conjunction that can be translated as “and” or “then.” The NIV translated this word as “But” (the NIV11 says “And”). Many English versions, including the BSB, do not translate it. Connect the verse to 22:54 in a natural way in your language.</w:t>
      </w:r>
    </w:p>
    <w:p>
      <w:pPr/>
      <w:r>
        <w:rPr>
          <w:lang w:val="en_US" w:bidi="en_US"/>
        </w:rPr>
      </w:r>
      <w:r>
        <w:rPr>
          <w:lang w:val="en_US" w:bidi="en_US"/>
        </w:rPr>
        <w:t>This verse indicates that the crowd that arrested Jesus arrived with him at the high priest’s house. In some languages it is necessary to make this information explicit. For example:</w:t>
      </w:r>
    </w:p>
    <w:p>
      <w:pPr/>
      <w:r>
        <w:rPr>
          <w:lang w:val="en_US" w:bidi="en_US"/>
        </w:rPr>
      </w:r>
      <w:r>
        <w:rPr>
          <w:lang w:val="en_US" w:bidi="en_US"/>
        </w:rPr>
        <w:t xml:space="preserve">But </w:t>
      </w:r>
      <w:r>
        <w:rPr>
          <w:lang w:val="en_US" w:bidi="en_US"/>
        </w:rPr>
        <w:t>when they arrived</w:t>
      </w:r>
    </w:p>
    <w:p>
      <w:pPr/>
      <w:r>
        <w:rPr>
          <w:lang w:val="en_US" w:bidi="en_US"/>
        </w:rPr>
      </w:r>
      <w:r>
        <w:rPr>
          <w:b/>
          <w:lang w:val="en_US" w:bidi="en_US"/>
        </w:rPr>
        <w:t>When those present had kindled a fire:</w:t>
      </w:r>
      <w:r>
        <w:rPr>
          <w:lang w:val="en_US" w:bidi="en_US"/>
        </w:rPr>
        <w:t xml:space="preserve"> The Greek phrase that the BSB translates as </w:t>
      </w:r>
      <w:r>
        <w:rPr>
          <w:i/>
          <w:lang w:val="en_US" w:bidi="en_US"/>
        </w:rPr>
        <w:t>those present had kindled a fire</w:t>
      </w:r>
      <w:r>
        <w:rPr>
          <w:lang w:val="en_US" w:bidi="en_US"/>
        </w:rPr>
        <w:t xml:space="preserve"> is literally “and kindling a fire.” It refers to a small fire that people could sit around and warm themselves. (The parallel passage in Mark 14:54 makes this clear.) Probably some of the people in the crowd who arrested Jesus made the fire. However, in Greek, the text does not make that explicit. Some ways to translate the action are:</w:t>
      </w:r>
    </w:p>
    <w:p>
      <w:pPr/>
      <w:r>
        <w:rPr>
          <w:lang w:val="en_US" w:bidi="en_US"/>
        </w:rPr>
      </w:r>
      <w:r>
        <w:rPr>
          <w:lang w:val="en_US" w:bidi="en_US"/>
        </w:rPr>
        <w:t>A fire had been lit (GNT)</w:t>
      </w:r>
    </w:p>
    <w:p>
      <w:pPr/>
      <w:r>
        <w:rPr>
          <w:lang w:val="en_US" w:bidi="en_US"/>
        </w:rPr>
      </w:r>
      <w:r>
        <w:rPr>
          <w:lang w:val="en_US" w:bidi="en_US"/>
        </w:rPr>
        <w:t>Some men had lit a fire (GW)</w:t>
      </w:r>
    </w:p>
    <w:p>
      <w:pPr/>
      <w:r>
        <w:rPr>
          <w:lang w:val="en_US" w:bidi="en_US"/>
        </w:rPr>
      </w:r>
      <w:r>
        <w:rPr>
          <w:lang w:val="en_US" w:bidi="en_US"/>
        </w:rPr>
        <w:t>The guards lit a fire (NLT)</w:t>
      </w:r>
    </w:p>
    <w:p>
      <w:pPr/>
      <w:r>
        <w:rPr>
          <w:lang w:val="en_US" w:bidi="en_US"/>
        </w:rPr>
      </w:r>
      <w:r>
        <w:rPr>
          <w:lang w:val="en_US" w:bidi="en_US"/>
        </w:rPr>
        <w:t>The reason why they lit a fire was so that people could warm themselves. It was April and the nights were cold. In some languages people may think of a different reason. If this is true in your language, it may be helpful to indicate the implied reason. For example:</w:t>
      </w:r>
    </w:p>
    <w:p>
      <w:pPr/>
      <w:r>
        <w:rPr>
          <w:lang w:val="en_US" w:bidi="en_US"/>
        </w:rPr>
      </w:r>
      <w:r>
        <w:rPr>
          <w:lang w:val="en_US" w:bidi="en_US"/>
        </w:rPr>
        <w:t xml:space="preserve">they had kindled a fire </w:t>
      </w:r>
      <w:r>
        <w:rPr>
          <w:lang w:val="en_US" w:bidi="en_US"/>
        </w:rPr>
        <w:t>for warmth</w:t>
      </w:r>
    </w:p>
    <w:p>
      <w:pPr/>
      <w:r>
        <w:rPr>
          <w:lang w:val="en_US" w:bidi="en_US"/>
        </w:rPr>
      </w:r>
      <w:r>
        <w:rPr>
          <w:b/>
          <w:lang w:val="en_US" w:bidi="en_US"/>
        </w:rPr>
        <w:t>in the middle of the courtyard:</w:t>
      </w:r>
      <w:r>
        <w:rPr>
          <w:lang w:val="en_US" w:bidi="en_US"/>
        </w:rPr>
        <w:t xml:space="preserve"> A </w:t>
      </w:r>
      <w:r>
        <w:rPr>
          <w:i/>
          <w:lang w:val="en_US" w:bidi="en_US"/>
        </w:rPr>
        <w:t>courtyard</w:t>
      </w:r>
      <w:r>
        <w:rPr>
          <w:lang w:val="en_US" w:bidi="en_US"/>
        </w:rPr>
        <w:t xml:space="preserve"> is an open area that is surrounded by rooms or high walls. In this context the courtyard was part of the high priest’s house. It had walls around it but no roof. The phrase </w:t>
      </w:r>
      <w:r>
        <w:rPr>
          <w:i/>
          <w:lang w:val="en_US" w:bidi="en_US"/>
        </w:rPr>
        <w:t>middle of the courtyard</w:t>
      </w:r>
      <w:r>
        <w:rPr>
          <w:lang w:val="en_US" w:bidi="en_US"/>
        </w:rPr>
        <w:t xml:space="preserve"> refers to the central part of the open area. Other ways to translate this phrase are:</w:t>
      </w:r>
    </w:p>
    <w:p>
      <w:pPr/>
      <w:r>
        <w:rPr>
          <w:lang w:val="en_US" w:bidi="en_US"/>
        </w:rPr>
      </w:r>
      <w:r>
        <w:rPr>
          <w:lang w:val="en_US" w:bidi="en_US"/>
        </w:rPr>
        <w:t>in the center of the courtyard (GNT)</w:t>
      </w:r>
    </w:p>
    <w:p>
      <w:pPr/>
      <w:r>
        <w:rPr>
          <w:lang w:val="en_US" w:bidi="en_US"/>
        </w:rPr>
      </w:r>
      <w:r>
        <w:rPr>
          <w:lang w:val="en_US" w:bidi="en_US"/>
        </w:rPr>
        <w:t>in the middle of the yard</w:t>
      </w:r>
      <w:r>
        <w:rPr>
          <w:lang w:val="en_US" w:bidi="en_US"/>
        </w:rPr>
        <w:t>Kankanaey back translation on TW.</w:t>
      </w:r>
    </w:p>
    <w:p>
      <w:pPr/>
      <w:r>
        <w:rPr>
          <w:lang w:val="en_US" w:bidi="en_US"/>
        </w:rPr>
      </w:r>
      <w:r>
        <w:rPr>
          <w:lang w:val="en_US" w:bidi="en_US"/>
        </w:rPr>
        <w:t xml:space="preserve">In some languages it may not be necessary to specify that the fire was in the </w:t>
      </w:r>
      <w:r>
        <w:rPr>
          <w:i/>
          <w:lang w:val="en_US" w:bidi="en_US"/>
        </w:rPr>
        <w:t>middle</w:t>
      </w:r>
      <w:r>
        <w:rPr>
          <w:lang w:val="en_US" w:bidi="en_US"/>
        </w:rPr>
        <w:t xml:space="preserve"> part of the courtyard. This information may already be implied. For example:</w:t>
      </w:r>
    </w:p>
    <w:p>
      <w:pPr/>
      <w:r>
        <w:rPr>
          <w:lang w:val="en_US" w:bidi="en_US"/>
        </w:rPr>
      </w:r>
      <w:r>
        <w:rPr>
          <w:lang w:val="en_US" w:bidi="en_US"/>
        </w:rPr>
        <w:t>in the open area of the compound</w:t>
      </w:r>
    </w:p>
    <w:p>
      <w:pPr/>
      <w:r>
        <w:rPr>
          <w:lang w:val="en_US" w:bidi="en_US"/>
        </w:rPr>
      </w:r>
      <w:r>
        <w:rPr>
          <w:lang w:val="en_US" w:bidi="en_US"/>
        </w:rPr>
        <w:t>in the yard of the house</w:t>
      </w:r>
      <w:r>
        <w:rPr>
          <w:lang w:val="en_US" w:bidi="en_US"/>
        </w:rPr>
        <w:t>Western Bukidnon Manobo back translation on TW.</w:t>
      </w:r>
    </w:p>
    <w:p>
      <w:pPr>
        <w:pStyle w:val="Heading5"/>
      </w:pPr>
      <w:r>
        <w:rPr>
          <w:lang w:val="en_US" w:bidi="en_US"/>
        </w:rPr>
        <w:t>22:55b</w:t>
      </w:r>
    </w:p>
    <w:p>
      <w:pPr/>
      <w:r>
        <w:rPr>
          <w:lang w:val="en_US" w:bidi="en_US"/>
        </w:rPr>
      </w:r>
      <w:r>
        <w:rPr>
          <w:b/>
          <w:lang w:val="en_US" w:bidi="en_US"/>
        </w:rPr>
        <w:t>and sat down together,</w:t>
      </w:r>
    </w:p>
    <w:p>
      <w:pPr>
        <w:pStyle w:val="ListBullet"/>
        <w:spacing w:line="240" w:lineRule="auto"/>
        <w:ind w:left="720"/>
      </w:pPr>
      <w:r>
        <w:rPr>
          <w:lang w:val="en_US" w:bidi="en_US"/>
        </w:rPr>
      </w:r>
      <w:r>
        <w:rPr>
          <w:lang w:val="en_US" w:bidi="en_US"/>
        </w:rPr>
        <w:t xml:space="preserve">Then they sat down together </w:t>
      </w:r>
      <w:r>
        <w:rPr>
          <w:lang w:val="en_US" w:bidi="en_US"/>
        </w:rPr>
        <w:t>near the fire</w:t>
      </w:r>
      <w:r>
        <w:rPr>
          <w:lang w:val="en_US" w:bidi="en_US"/>
        </w:rPr>
        <w:t>,</w:t>
      </w:r>
    </w:p>
    <w:p>
      <w:pPr>
        <w:pStyle w:val="ListBullet"/>
        <w:spacing w:line="240" w:lineRule="auto"/>
        <w:ind w:left="720"/>
      </w:pPr>
      <w:r>
        <w:rPr>
          <w:lang w:val="en_US" w:bidi="en_US"/>
        </w:rPr>
      </w:r>
      <w:r>
        <w:rPr>
          <w:lang w:val="en_US" w:bidi="en_US"/>
        </w:rPr>
        <w:t xml:space="preserve">and they sat </w:t>
      </w:r>
      <w:r>
        <w:rPr>
          <w:lang w:val="en_US" w:bidi="en_US"/>
        </w:rPr>
        <w:t>around/near the fire</w:t>
      </w:r>
      <w:r>
        <w:rPr>
          <w:lang w:val="en_US" w:bidi="en_US"/>
        </w:rPr>
        <w:t xml:space="preserve"> together.</w:t>
      </w:r>
    </w:p>
    <w:p>
      <w:pPr/>
      <w:r>
        <w:rPr>
          <w:lang w:val="en_US" w:bidi="en_US"/>
        </w:rPr>
      </w:r>
      <w:r>
        <w:rPr>
          <w:b/>
          <w:lang w:val="en_US" w:bidi="en_US"/>
        </w:rPr>
        <w:t>and sat down together:</w:t>
      </w:r>
      <w:r>
        <w:rPr>
          <w:lang w:val="en_US" w:bidi="en_US"/>
        </w:rPr>
        <w:t xml:space="preserve"> The people who had come from arresting Jesus sat with each other around the fire. Some ways to translate this action are:</w:t>
      </w:r>
    </w:p>
    <w:p>
      <w:pPr/>
      <w:r>
        <w:rPr>
          <w:lang w:val="en_US" w:bidi="en_US"/>
        </w:rPr>
      </w:r>
      <w:r>
        <w:rPr>
          <w:lang w:val="en_US" w:bidi="en_US"/>
        </w:rPr>
        <w:t>As they sat together (GW)</w:t>
      </w:r>
    </w:p>
    <w:p>
      <w:pPr/>
      <w:r>
        <w:rPr>
          <w:lang w:val="en_US" w:bidi="en_US"/>
        </w:rPr>
      </w:r>
      <w:r>
        <w:rPr>
          <w:lang w:val="en_US" w:bidi="en_US"/>
        </w:rPr>
        <w:t>and were sitting around it (CEV)</w:t>
      </w:r>
    </w:p>
    <w:p>
      <w:pPr>
        <w:pStyle w:val="Heading5"/>
      </w:pPr>
      <w:r>
        <w:rPr>
          <w:lang w:val="en_US" w:bidi="en_US"/>
        </w:rPr>
        <w:t>22:55c</w:t>
      </w:r>
    </w:p>
    <w:p>
      <w:pPr/>
      <w:r>
        <w:rPr>
          <w:lang w:val="en_US" w:bidi="en_US"/>
        </w:rPr>
      </w:r>
      <w:r>
        <w:rPr>
          <w:b/>
          <w:lang w:val="en_US" w:bidi="en_US"/>
        </w:rPr>
        <w:t>Peter sat down among them.</w:t>
      </w:r>
    </w:p>
    <w:p>
      <w:pPr>
        <w:pStyle w:val="ListBullet"/>
        <w:spacing w:line="240" w:lineRule="auto"/>
        <w:ind w:left="720"/>
      </w:pPr>
      <w:r>
        <w:rPr>
          <w:lang w:val="en_US" w:bidi="en_US"/>
        </w:rPr>
      </w:r>
      <w:r>
        <w:rPr>
          <w:lang w:val="en_US" w:bidi="en_US"/>
        </w:rPr>
        <w:t>and Peter sat with them.</w:t>
      </w:r>
    </w:p>
    <w:p>
      <w:pPr>
        <w:pStyle w:val="ListBullet"/>
        <w:spacing w:line="240" w:lineRule="auto"/>
        <w:ind w:left="720"/>
      </w:pPr>
      <w:r>
        <w:rPr>
          <w:lang w:val="en_US" w:bidi="en_US"/>
        </w:rPr>
      </w:r>
      <w:r>
        <w:rPr>
          <w:lang w:val="en_US" w:bidi="en_US"/>
        </w:rPr>
        <w:t xml:space="preserve">Peter also </w:t>
      </w:r>
      <w:r>
        <w:rPr>
          <w:lang w:val="en_US" w:bidi="en_US"/>
        </w:rPr>
        <w:t>came and</w:t>
      </w:r>
      <w:r>
        <w:rPr>
          <w:lang w:val="en_US" w:bidi="en_US"/>
        </w:rPr>
        <w:t xml:space="preserve"> sat there among them.</w:t>
      </w:r>
    </w:p>
    <w:p>
      <w:pPr/>
      <w:r>
        <w:rPr>
          <w:lang w:val="en_US" w:bidi="en_US"/>
        </w:rPr>
      </w:r>
      <w:r>
        <w:rPr>
          <w:b/>
          <w:lang w:val="en_US" w:bidi="en_US"/>
        </w:rPr>
        <w:t>Peter sat down among them:</w:t>
      </w:r>
      <w:r>
        <w:rPr>
          <w:lang w:val="en_US" w:bidi="en_US"/>
        </w:rPr>
        <w:t xml:space="preserve"> Peter sat with the other people near the fire so that he too could warm himself. Some other ways to translate this are:</w:t>
      </w:r>
    </w:p>
    <w:p>
      <w:pPr/>
      <w:r>
        <w:rPr>
          <w:lang w:val="en_US" w:bidi="en_US"/>
        </w:rPr>
      </w:r>
      <w:r>
        <w:rPr>
          <w:lang w:val="en_US" w:bidi="en_US"/>
        </w:rPr>
        <w:t>Peter sat there with them (CEV)</w:t>
      </w:r>
    </w:p>
    <w:p>
      <w:pPr/>
      <w:r>
        <w:rPr>
          <w:lang w:val="en_US" w:bidi="en_US"/>
        </w:rPr>
      </w:r>
      <w:r>
        <w:rPr>
          <w:lang w:val="en_US" w:bidi="en_US"/>
        </w:rPr>
        <w:t>Peter sat among them (REB)</w:t>
      </w:r>
    </w:p>
    <w:p>
      <w:pPr/>
      <w:r>
        <w:rPr>
          <w:lang w:val="en_US" w:bidi="en_US"/>
        </w:rPr>
      </w:r>
      <w:r>
        <w:rPr>
          <w:lang w:val="en_US" w:bidi="en_US"/>
        </w:rPr>
        <w:t>Peter joined them there (NLT)</w:t>
      </w:r>
    </w:p>
    <w:p>
      <w:pPr>
        <w:pStyle w:val="Heading6"/>
      </w:pPr>
      <w:r>
        <w:rPr>
          <w:b/>
          <w:lang w:val="en_US" w:bidi="en_US"/>
        </w:rPr>
        <w:t>General Comment on 22:55a–c</w:t>
      </w:r>
    </w:p>
    <w:p>
      <w:pPr/>
      <w:r>
        <w:rPr>
          <w:lang w:val="en_US" w:bidi="en_US"/>
        </w:rPr>
      </w:r>
      <w:r>
        <w:rPr>
          <w:lang w:val="en_US" w:bidi="en_US"/>
        </w:rPr>
        <w:t>In some languages it may be more natural to change the order of clauses in this verse. For example:</w:t>
      </w:r>
    </w:p>
    <w:p>
      <w:pPr/>
      <w:r>
        <w:rPr>
          <w:lang w:val="en_US" w:bidi="en_US"/>
        </w:rPr>
      </w:r>
      <w:r>
        <w:rPr>
          <w:vertAlign w:val="superscript"/>
          <w:lang w:val="en_US" w:bidi="en_US"/>
        </w:rPr>
        <w:t>55a</w:t>
      </w:r>
      <w:r>
        <w:rPr>
          <w:lang w:val="en_US" w:bidi="en_US"/>
        </w:rPr>
        <w:t xml:space="preserve">A fire had been lit in the center of the courtyard, </w:t>
      </w:r>
      <w:r>
        <w:rPr>
          <w:vertAlign w:val="superscript"/>
          <w:lang w:val="en_US" w:bidi="en_US"/>
        </w:rPr>
        <w:t>55c</w:t>
      </w:r>
      <w:r>
        <w:rPr>
          <w:lang w:val="en_US" w:bidi="en_US"/>
        </w:rPr>
        <w:t xml:space="preserve">and Peter joined </w:t>
      </w:r>
      <w:r>
        <w:rPr>
          <w:vertAlign w:val="superscript"/>
          <w:lang w:val="en_US" w:bidi="en_US"/>
        </w:rPr>
        <w:t>55b</w:t>
      </w:r>
      <w:r>
        <w:rPr>
          <w:lang w:val="en_US" w:bidi="en_US"/>
        </w:rPr>
        <w:t>those who were sitting around it. (GNT)</w:t>
      </w:r>
    </w:p>
    <w:p>
      <w:pPr/>
      <w:r>
        <w:rPr>
          <w:lang w:val="en_US" w:bidi="en_US"/>
        </w:rPr>
      </w:r>
      <w:r>
        <w:rPr>
          <w:lang w:val="en_US" w:bidi="en_US"/>
        </w:rPr>
        <w:t>Notice that the GNT uses a passive verb in the first clause. This is a good way to put the focus on making the fire, rather than on who made it.</w:t>
      </w:r>
      <w:r>
        <w:rPr>
          <w:lang w:val="en_US" w:bidi="en_US"/>
        </w:rPr>
      </w:r>
      <w:r>
        <w:rPr>
          <w:lang w:val="en_US" w:bidi="en_US"/>
        </w:rPr>
      </w:r>
    </w:p>
    <w:p>
      <w:pPr/>
      <w:r>
        <w:rPr>
          <w:lang w:val="en_US" w:bidi="en_US"/>
        </w:rPr>
      </w:r>
    </w:p>
    <w:p>
      <w:pPr>
        <w:pStyle w:val="Heading2"/>
      </w:pPr>
      <w:r>
        <w:rPr>
          <w:lang w:val="en_US" w:bidi="en_US"/>
        </w:rPr>
        <w:t>Luke 22:56</w:t>
      </w:r>
      <w:r>
        <w:rPr>
          <w:lang w:val="en_US" w:bidi="en_US"/>
        </w:rPr>
      </w:r>
    </w:p>
    <w:p>
      <w:pPr>
        <w:pStyle w:val="Heading4"/>
      </w:pPr>
      <w:r>
        <w:rPr>
          <w:lang w:val="en_US" w:bidi="en_US"/>
        </w:rPr>
        <w:t>Section 22:54–62: Jesus’ enemies arrested him, and Peter denied him</w:t>
      </w:r>
    </w:p>
    <w:p>
      <w:pPr/>
      <w:r>
        <w:rPr>
          <w:lang w:val="en_US" w:bidi="en_US"/>
        </w:rPr>
      </w:r>
      <w:r>
        <w:rPr>
          <w:lang w:val="en_US" w:bidi="en_US"/>
        </w:rPr>
        <w:t>In 22:33 Peter said that he would never leave Jesus or be unfaithful to him. But in 22:34 Jesus predicted that actually Peter would say three times that he did not know Jesus. After Jesus was arrested, Peter followed Jesus to the house of the high priest and waited in the courtyard. Three different people said that Peter had been with Jesus, and three times Peter said he did not know Jesus. But then a rooster crowed, and Peter suddenly remembered what Jesus had said. Peter wept with great sorrow because he had denied that he knew Jesus his Lord.</w:t>
      </w:r>
    </w:p>
    <w:p>
      <w:pPr/>
      <w:r>
        <w:rPr>
          <w:lang w:val="en_US" w:bidi="en_US"/>
        </w:rPr>
      </w:r>
      <w:r>
        <w:rPr>
          <w:lang w:val="en_US" w:bidi="en_US"/>
        </w:rPr>
        <w:t>Some other examples of headings for this section are:</w:t>
      </w:r>
    </w:p>
    <w:p>
      <w:pPr/>
      <w:r>
        <w:rPr>
          <w:lang w:val="en_US" w:bidi="en_US"/>
        </w:rPr>
      </w:r>
      <w:r>
        <w:rPr>
          <w:lang w:val="en_US" w:bidi="en_US"/>
        </w:rPr>
        <w:t>Peter Denies Jesus (NRSV)</w:t>
      </w:r>
    </w:p>
    <w:p>
      <w:pPr/>
      <w:r>
        <w:rPr>
          <w:lang w:val="en_US" w:bidi="en_US"/>
        </w:rPr>
      </w:r>
      <w:r>
        <w:rPr>
          <w:lang w:val="en_US" w:bidi="en_US"/>
        </w:rPr>
        <w:t>Jesus’ Condemnation and Peter’s Denials (NET)</w:t>
      </w:r>
    </w:p>
    <w:p>
      <w:pPr/>
      <w:r>
        <w:rPr>
          <w:lang w:val="en_US" w:bidi="en_US"/>
        </w:rPr>
      </w:r>
      <w:r>
        <w:rPr>
          <w:lang w:val="en_US" w:bidi="en_US"/>
        </w:rPr>
        <w:t>Peter Says He Doesn’t Know Jesus (NCV)</w:t>
      </w:r>
    </w:p>
    <w:p>
      <w:pPr/>
      <w:r>
        <w:rPr>
          <w:lang w:val="en_US" w:bidi="en_US"/>
        </w:rPr>
      </w:r>
      <w:r>
        <w:rPr>
          <w:lang w:val="en_US" w:bidi="en_US"/>
        </w:rPr>
        <w:t>There are parallel passages for this section in Matthew 26:57–58, 26:69–75, Mark 14:53–54, 14:66–72, and John 18:12–18, 18:25–27.</w:t>
      </w:r>
    </w:p>
    <w:p>
      <w:pPr>
        <w:pStyle w:val="Heading5"/>
      </w:pPr>
      <w:r>
        <w:rPr>
          <w:lang w:val="en_US" w:bidi="en_US"/>
        </w:rPr>
        <w:t>22:56a</w:t>
      </w:r>
    </w:p>
    <w:p>
      <w:pPr/>
      <w:r>
        <w:rPr>
          <w:lang w:val="en_US" w:bidi="en_US"/>
        </w:rPr>
      </w:r>
      <w:r>
        <w:rPr>
          <w:b/>
          <w:lang w:val="en_US" w:bidi="en_US"/>
        </w:rPr>
        <w:t>A servant girl saw him seated in the firelight</w:t>
      </w:r>
    </w:p>
    <w:p>
      <w:pPr>
        <w:pStyle w:val="ListBullet"/>
        <w:spacing w:line="240" w:lineRule="auto"/>
        <w:ind w:left="720"/>
      </w:pPr>
      <w:r>
        <w:rPr>
          <w:lang w:val="en_US" w:bidi="en_US"/>
        </w:rPr>
      </w:r>
      <w:r>
        <w:rPr>
          <w:lang w:val="en_US" w:bidi="en_US"/>
        </w:rPr>
        <w:t>A female servant saw him sitting in the light of the fire.</w:t>
      </w:r>
    </w:p>
    <w:p>
      <w:pPr>
        <w:pStyle w:val="ListBullet"/>
        <w:spacing w:line="240" w:lineRule="auto"/>
        <w:ind w:left="720"/>
      </w:pPr>
      <w:r>
        <w:rPr>
          <w:lang w:val="en_US" w:bidi="en_US"/>
        </w:rPr>
      </w:r>
      <w:r>
        <w:rPr>
          <w:lang w:val="en_US" w:bidi="en_US"/>
        </w:rPr>
        <w:t xml:space="preserve">After this, a woman who worked </w:t>
      </w:r>
      <w:r>
        <w:rPr>
          <w:lang w:val="en_US" w:bidi="en_US"/>
        </w:rPr>
        <w:t>for the high priest</w:t>
      </w:r>
      <w:r>
        <w:rPr>
          <w:lang w:val="en_US" w:bidi="en_US"/>
        </w:rPr>
        <w:t xml:space="preserve"> saw Peter there. </w:t>
      </w:r>
      <w:r>
        <w:rPr>
          <w:lang w:val="en_US" w:bidi="en_US"/>
        </w:rPr>
        <w:t>She could see his face</w:t>
      </w:r>
      <w:r>
        <w:rPr>
          <w:lang w:val="en_US" w:bidi="en_US"/>
        </w:rPr>
        <w:t xml:space="preserve"> by the light/glow of the fire.</w:t>
      </w:r>
    </w:p>
    <w:p>
      <w:pPr/>
      <w:r>
        <w:rPr>
          <w:lang w:val="en_US" w:bidi="en_US"/>
        </w:rPr>
      </w:r>
      <w:r>
        <w:rPr>
          <w:b/>
          <w:lang w:val="en_US" w:bidi="en_US"/>
        </w:rPr>
        <w:t>A servant girl saw him seated in the firelight:</w:t>
      </w:r>
      <w:r>
        <w:rPr>
          <w:lang w:val="en_US" w:bidi="en_US"/>
        </w:rPr>
        <w:t xml:space="preserve"> This clause indicates that the servant woman saw Peter as he sat by the fire. She could see him because of the light from the fire. The Greek word that the BSB translates as </w:t>
      </w:r>
      <w:r>
        <w:rPr>
          <w:i/>
          <w:lang w:val="en_US" w:bidi="en_US"/>
        </w:rPr>
        <w:t>firelight</w:t>
      </w:r>
      <w:r>
        <w:rPr>
          <w:lang w:val="en_US" w:bidi="en_US"/>
        </w:rPr>
        <w:t xml:space="preserve"> is literally “light,” as in the RSV. The BSB translates it as </w:t>
      </w:r>
      <w:r>
        <w:rPr>
          <w:i/>
          <w:lang w:val="en_US" w:bidi="en_US"/>
        </w:rPr>
        <w:t>firelight</w:t>
      </w:r>
      <w:r>
        <w:rPr>
          <w:lang w:val="en_US" w:bidi="en_US"/>
        </w:rPr>
        <w:t xml:space="preserve"> to indicate that the light was coming from the fire.</w:t>
      </w:r>
    </w:p>
    <w:p>
      <w:pPr/>
      <w:r>
        <w:rPr>
          <w:lang w:val="en_US" w:bidi="en_US"/>
        </w:rPr>
      </w:r>
      <w:r>
        <w:rPr>
          <w:lang w:val="en_US" w:bidi="en_US"/>
        </w:rPr>
        <w:t>Some other ways to translate the phrase are:</w:t>
      </w:r>
    </w:p>
    <w:p>
      <w:pPr/>
      <w:r>
        <w:rPr>
          <w:lang w:val="en_US" w:bidi="en_US"/>
        </w:rPr>
      </w:r>
      <w:r>
        <w:rPr>
          <w:lang w:val="en_US" w:bidi="en_US"/>
        </w:rPr>
        <w:t>Then a maid, seeing him as he sat in the light (RSV)</w:t>
      </w:r>
    </w:p>
    <w:p>
      <w:pPr/>
      <w:r>
        <w:rPr>
          <w:lang w:val="en_US" w:bidi="en_US"/>
        </w:rPr>
      </w:r>
      <w:r>
        <w:rPr>
          <w:lang w:val="en_US" w:bidi="en_US"/>
        </w:rPr>
        <w:t>A servant girl noticed him in the firelight (NLT)</w:t>
      </w:r>
    </w:p>
    <w:p>
      <w:pPr/>
      <w:r>
        <w:rPr>
          <w:lang w:val="en_US" w:bidi="en_US"/>
        </w:rPr>
      </w:r>
      <w:r>
        <w:rPr>
          <w:b/>
          <w:lang w:val="en_US" w:bidi="en_US"/>
        </w:rPr>
        <w:t>A servant girl:</w:t>
      </w:r>
      <w:r>
        <w:rPr>
          <w:lang w:val="en_US" w:bidi="en_US"/>
        </w:rPr>
        <w:t xml:space="preserve"> The </w:t>
      </w:r>
      <w:r>
        <w:rPr>
          <w:i/>
          <w:lang w:val="en_US" w:bidi="en_US"/>
        </w:rPr>
        <w:t>servant girl</w:t>
      </w:r>
      <w:r>
        <w:rPr>
          <w:lang w:val="en_US" w:bidi="en_US"/>
        </w:rPr>
        <w:t xml:space="preserve"> was probably a mature woman. Peter called her “woman” in 22:57. The text does not specify how old she was. Other ways to translate this are:</w:t>
      </w:r>
    </w:p>
    <w:p>
      <w:pPr/>
      <w:r>
        <w:rPr>
          <w:lang w:val="en_US" w:bidi="en_US"/>
        </w:rPr>
      </w:r>
      <w:r>
        <w:rPr>
          <w:lang w:val="en_US" w:bidi="en_US"/>
        </w:rPr>
        <w:t>one of the servant women (GNT)</w:t>
      </w:r>
    </w:p>
    <w:p>
      <w:pPr/>
      <w:r>
        <w:rPr>
          <w:lang w:val="en_US" w:bidi="en_US"/>
        </w:rPr>
      </w:r>
      <w:r>
        <w:rPr>
          <w:lang w:val="en_US" w:bidi="en_US"/>
        </w:rPr>
        <w:t>A female servant (GW)</w:t>
      </w:r>
    </w:p>
    <w:p>
      <w:pPr>
        <w:pStyle w:val="Heading5"/>
      </w:pPr>
      <w:r>
        <w:rPr>
          <w:lang w:val="en_US" w:bidi="en_US"/>
        </w:rPr>
        <w:t>22:56b</w:t>
      </w:r>
    </w:p>
    <w:p>
      <w:pPr/>
      <w:r>
        <w:rPr>
          <w:lang w:val="en_US" w:bidi="en_US"/>
        </w:rPr>
      </w:r>
      <w:r>
        <w:rPr>
          <w:b/>
          <w:lang w:val="en_US" w:bidi="en_US"/>
        </w:rPr>
        <w:t>and looked intently at him.</w:t>
      </w:r>
    </w:p>
    <w:p>
      <w:pPr>
        <w:pStyle w:val="ListBullet"/>
        <w:spacing w:line="240" w:lineRule="auto"/>
        <w:ind w:left="720"/>
      </w:pPr>
      <w:r>
        <w:rPr>
          <w:lang w:val="en_US" w:bidi="en_US"/>
        </w:rPr>
      </w:r>
      <w:r>
        <w:rPr>
          <w:lang w:val="en_US" w:bidi="en_US"/>
        </w:rPr>
        <w:t>She looked at him carefully</w:t>
      </w:r>
    </w:p>
    <w:p>
      <w:pPr>
        <w:pStyle w:val="ListBullet"/>
        <w:spacing w:line="240" w:lineRule="auto"/>
        <w:ind w:left="720"/>
      </w:pPr>
      <w:r>
        <w:rPr>
          <w:lang w:val="en_US" w:bidi="en_US"/>
        </w:rPr>
      </w:r>
      <w:r>
        <w:rPr>
          <w:lang w:val="en_US" w:bidi="en_US"/>
        </w:rPr>
        <w:t>She stared/gazed intently at him.</w:t>
      </w:r>
    </w:p>
    <w:p>
      <w:pPr>
        <w:pStyle w:val="Heading5"/>
      </w:pPr>
      <w:r>
        <w:rPr>
          <w:lang w:val="en_US" w:bidi="en_US"/>
        </w:rPr>
        <w:t>22:56c</w:t>
      </w:r>
    </w:p>
    <w:p>
      <w:pPr/>
      <w:r>
        <w:rPr>
          <w:lang w:val="en_US" w:bidi="en_US"/>
        </w:rPr>
      </w:r>
      <w:r>
        <w:rPr>
          <w:b/>
          <w:lang w:val="en_US" w:bidi="en_US"/>
        </w:rPr>
        <w:t>“This man also was with Him,” she said.</w:t>
      </w:r>
    </w:p>
    <w:p>
      <w:pPr>
        <w:pStyle w:val="ListBullet"/>
        <w:spacing w:line="240" w:lineRule="auto"/>
        <w:ind w:left="720"/>
      </w:pPr>
      <w:r>
        <w:rPr>
          <w:lang w:val="en_US" w:bidi="en_US"/>
        </w:rPr>
      </w:r>
      <w:r>
        <w:rPr>
          <w:lang w:val="en_US" w:bidi="en_US"/>
        </w:rPr>
        <w:t>and then said, “This man also/certainly was with Jesus!”</w:t>
      </w:r>
    </w:p>
    <w:p>
      <w:pPr>
        <w:pStyle w:val="ListBullet"/>
        <w:spacing w:line="240" w:lineRule="auto"/>
        <w:ind w:left="720"/>
      </w:pPr>
      <w:r>
        <w:rPr>
          <w:lang w:val="en_US" w:bidi="en_US"/>
        </w:rPr>
      </w:r>
      <w:r>
        <w:rPr>
          <w:lang w:val="en_US" w:bidi="en_US"/>
        </w:rPr>
        <w:t xml:space="preserve">Then she said </w:t>
      </w:r>
      <w:r>
        <w:rPr>
          <w:lang w:val="en_US" w:bidi="en_US"/>
        </w:rPr>
        <w:t>to the other people</w:t>
      </w:r>
      <w:r>
        <w:rPr>
          <w:lang w:val="en_US" w:bidi="en_US"/>
        </w:rPr>
        <w:t>, “This man followed Jesus.”</w:t>
      </w:r>
    </w:p>
    <w:p>
      <w:pPr>
        <w:pStyle w:val="Heading5"/>
      </w:pPr>
      <w:r>
        <w:rPr>
          <w:lang w:val="en_US" w:bidi="en_US"/>
        </w:rPr>
        <w:t>22:56b–c</w:t>
      </w:r>
    </w:p>
    <w:p>
      <w:pPr/>
      <w:r>
        <w:rPr>
          <w:lang w:val="en_US" w:bidi="en_US"/>
        </w:rPr>
      </w:r>
      <w:r>
        <w:rPr>
          <w:b/>
          <w:lang w:val="en_US" w:bidi="en_US"/>
        </w:rPr>
        <w:t>and looked intently at him…she said:</w:t>
      </w:r>
      <w:r>
        <w:rPr>
          <w:lang w:val="en_US" w:bidi="en_US"/>
        </w:rPr>
        <w:t xml:space="preserve"> This phrase is literally “and looking intently at him, she said.” The BSB places the words </w:t>
      </w:r>
      <w:r>
        <w:rPr>
          <w:i/>
          <w:lang w:val="en_US" w:bidi="en_US"/>
        </w:rPr>
        <w:t>she said</w:t>
      </w:r>
      <w:r>
        <w:rPr>
          <w:lang w:val="en_US" w:bidi="en_US"/>
        </w:rPr>
        <w:t xml:space="preserve"> after what the woman said in 22:56c. However, in some languages, it may be necessary to place these words where it is in the Greek, at the end of 22:56b. For example:</w:t>
      </w:r>
    </w:p>
    <w:p>
      <w:pPr/>
      <w:r>
        <w:rPr>
          <w:lang w:val="en_US" w:bidi="en_US"/>
        </w:rPr>
      </w:r>
      <w:r>
        <w:rPr>
          <w:lang w:val="en_US" w:bidi="en_US"/>
        </w:rPr>
        <w:t>She looked closely at him and said… (NIV)</w:t>
      </w:r>
    </w:p>
    <w:p>
      <w:pPr/>
      <w:r>
        <w:rPr>
          <w:lang w:val="en_US" w:bidi="en_US"/>
        </w:rPr>
      </w:r>
      <w:r>
        <w:rPr>
          <w:b/>
          <w:lang w:val="en_US" w:bidi="en_US"/>
        </w:rPr>
        <w:t>and looked intently at him:</w:t>
      </w:r>
      <w:r>
        <w:rPr>
          <w:lang w:val="en_US" w:bidi="en_US"/>
        </w:rPr>
        <w:t xml:space="preserve"> The Greek phrase that the BSB translates as </w:t>
      </w:r>
      <w:r>
        <w:rPr>
          <w:i/>
          <w:lang w:val="en_US" w:bidi="en_US"/>
        </w:rPr>
        <w:t>and looked intently at him</w:t>
      </w:r>
      <w:r>
        <w:rPr>
          <w:lang w:val="en_US" w:bidi="en_US"/>
        </w:rPr>
        <w:t xml:space="preserve"> indicates that the female servant looked at him carefully. The context implies that she wanted to be sure that she recognized him as a person who had been with Jesus in the garden. Some other ways to translate the phrase are:</w:t>
      </w:r>
    </w:p>
    <w:p>
      <w:pPr/>
      <w:r>
        <w:rPr>
          <w:lang w:val="en_US" w:bidi="en_US"/>
        </w:rPr>
      </w:r>
      <w:r>
        <w:rPr>
          <w:lang w:val="en_US" w:bidi="en_US"/>
        </w:rPr>
        <w:t>Then after she had looked at him carefully (CEV)</w:t>
      </w:r>
    </w:p>
    <w:p>
      <w:pPr/>
      <w:r>
        <w:rPr>
          <w:lang w:val="en_US" w:bidi="en_US"/>
        </w:rPr>
      </w:r>
      <w:r>
        <w:rPr>
          <w:lang w:val="en_US" w:bidi="en_US"/>
        </w:rPr>
        <w:t>looking intently at him (NASB)</w:t>
      </w:r>
    </w:p>
    <w:p>
      <w:pPr/>
      <w:r>
        <w:rPr>
          <w:lang w:val="en_US" w:bidi="en_US"/>
        </w:rPr>
      </w:r>
      <w:r>
        <w:rPr>
          <w:lang w:val="en_US" w:bidi="en_US"/>
        </w:rPr>
        <w:t>She stared at him (GW)</w:t>
      </w:r>
    </w:p>
    <w:p>
      <w:pPr/>
      <w:r>
        <w:rPr>
          <w:lang w:val="en_US" w:bidi="en_US"/>
        </w:rPr>
      </w:r>
      <w:r>
        <w:rPr>
          <w:b/>
          <w:lang w:val="en_US" w:bidi="en_US"/>
        </w:rPr>
        <w:t>she said:</w:t>
      </w:r>
      <w:r>
        <w:rPr>
          <w:lang w:val="en_US" w:bidi="en_US"/>
        </w:rPr>
        <w:t xml:space="preserve"> Notice that the servant girl was speaking to the other people around the fire. She was talking about Peter, rather than to him. In some languages it may be necessary to make this clear. For example:</w:t>
      </w:r>
    </w:p>
    <w:p>
      <w:pPr/>
      <w:r>
        <w:rPr>
          <w:lang w:val="en_US" w:bidi="en_US"/>
        </w:rPr>
      </w:r>
      <w:r>
        <w:rPr>
          <w:lang w:val="en_US" w:bidi="en_US"/>
        </w:rPr>
        <w:t xml:space="preserve">she said </w:t>
      </w:r>
      <w:r>
        <w:rPr>
          <w:lang w:val="en_US" w:bidi="en_US"/>
        </w:rPr>
        <w:t>to the people sitting there</w:t>
      </w:r>
    </w:p>
    <w:p>
      <w:pPr/>
      <w:r>
        <w:rPr>
          <w:lang w:val="en_US" w:bidi="en_US"/>
        </w:rPr>
      </w:r>
      <w:r>
        <w:rPr>
          <w:lang w:val="en_US" w:bidi="en_US"/>
        </w:rPr>
        <w:t xml:space="preserve">she said </w:t>
      </w:r>
      <w:r>
        <w:rPr>
          <w:lang w:val="en_US" w:bidi="en_US"/>
        </w:rPr>
        <w:t>about Peter</w:t>
      </w:r>
    </w:p>
    <w:p>
      <w:pPr/>
      <w:r>
        <w:rPr>
          <w:lang w:val="en_US" w:bidi="en_US"/>
        </w:rPr>
      </w:r>
      <w:r>
        <w:rPr>
          <w:b/>
          <w:lang w:val="en_US" w:bidi="en_US"/>
        </w:rPr>
        <w:t>This man also was with Him:</w:t>
      </w:r>
      <w:r>
        <w:rPr>
          <w:lang w:val="en_US" w:bidi="en_US"/>
        </w:rPr>
        <w:t xml:space="preserve"> The Greek clause that the BSB translates as </w:t>
      </w:r>
      <w:r>
        <w:rPr>
          <w:i/>
          <w:lang w:val="en_US" w:bidi="en_US"/>
        </w:rPr>
        <w:t>This man also was with Him</w:t>
      </w:r>
      <w:r>
        <w:rPr>
          <w:lang w:val="en_US" w:bidi="en_US"/>
        </w:rPr>
        <w:t xml:space="preserve"> includes a word that means </w:t>
      </w:r>
      <w:r>
        <w:rPr>
          <w:i/>
          <w:lang w:val="en_US" w:bidi="en_US"/>
        </w:rPr>
        <w:t>also</w:t>
      </w:r>
      <w:r>
        <w:rPr>
          <w:lang w:val="en_US" w:bidi="en_US"/>
        </w:rPr>
        <w:t xml:space="preserve"> or “indeed, certainly.”</w:t>
      </w:r>
      <w:r>
        <w:rPr>
          <w:lang w:val="en_US" w:bidi="en_US"/>
        </w:rPr>
        <w:t>For the meaning “surely, certainly” see Nolland, p. 1095.</w:t>
      </w:r>
      <w:r>
        <w:rPr>
          <w:lang w:val="en_US" w:bidi="en_US"/>
        </w:rPr>
        <w:t xml:space="preserve"> In this context the word may imply that the servant girl had seen one or more other disciples with Jesus in addition to Peter. She may have seen the apostle John, since he went to the high priest’s house with Peter, as John 18:15 says. The woman’s statement was probably an emphatic exclamation.</w:t>
      </w:r>
    </w:p>
    <w:p>
      <w:pPr/>
      <w:r>
        <w:rPr>
          <w:lang w:val="en_US" w:bidi="en_US"/>
        </w:rPr>
      </w:r>
      <w:r>
        <w:rPr>
          <w:lang w:val="en_US" w:bidi="en_US"/>
        </w:rPr>
        <w:t>Some ways to translate the clause are:</w:t>
      </w:r>
    </w:p>
    <w:p>
      <w:pPr/>
      <w:r>
        <w:rPr>
          <w:lang w:val="en_US" w:bidi="en_US"/>
        </w:rPr>
      </w:r>
      <w:r>
        <w:rPr>
          <w:lang w:val="en_US" w:bidi="en_US"/>
        </w:rPr>
        <w:t>This man too was with Jesus! (GNT)</w:t>
      </w:r>
    </w:p>
    <w:p>
      <w:pPr/>
      <w:r>
        <w:rPr>
          <w:lang w:val="en_US" w:bidi="en_US"/>
        </w:rPr>
      </w:r>
      <w:r>
        <w:rPr>
          <w:lang w:val="en_US" w:bidi="en_US"/>
        </w:rPr>
        <w:t>That man was certainly one of Jesus’ followers!</w:t>
      </w:r>
    </w:p>
    <w:p>
      <w:pPr/>
      <w:r>
        <w:rPr>
          <w:lang w:val="en_US" w:bidi="en_US"/>
        </w:rPr>
      </w:r>
      <w:r>
        <w:rPr>
          <w:lang w:val="en_US" w:bidi="en_US"/>
        </w:rPr>
        <w:t>This man, he was definitely one of his companions.</w:t>
      </w:r>
      <w:r>
        <w:rPr>
          <w:lang w:val="en_US" w:bidi="en_US"/>
        </w:rPr>
        <w:t>Kankanaey back translation on TW.</w:t>
      </w:r>
    </w:p>
    <w:p>
      <w:pPr/>
      <w:r>
        <w:rPr>
          <w:lang w:val="en_US" w:bidi="en_US"/>
        </w:rPr>
      </w:r>
      <w:r>
        <w:rPr>
          <w:lang w:val="en_US" w:bidi="en_US"/>
        </w:rPr>
        <w:t xml:space="preserve">In some languages a word like </w:t>
      </w:r>
      <w:r>
        <w:rPr>
          <w:i/>
          <w:lang w:val="en_US" w:bidi="en_US"/>
        </w:rPr>
        <w:t>also</w:t>
      </w:r>
      <w:r>
        <w:rPr>
          <w:lang w:val="en_US" w:bidi="en_US"/>
        </w:rPr>
        <w:t xml:space="preserve"> may be confusing here, since no one else is mentioned in the context. If that is true in your language, you may omit it. For example:</w:t>
      </w:r>
    </w:p>
    <w:p>
      <w:pPr/>
      <w:r>
        <w:rPr>
          <w:lang w:val="en_US" w:bidi="en_US"/>
        </w:rPr>
      </w:r>
      <w:r>
        <w:rPr>
          <w:lang w:val="en_US" w:bidi="en_US"/>
        </w:rPr>
        <w:t>This man was with Jesus. (GW)</w:t>
      </w:r>
      <w:r>
        <w:rPr>
          <w:lang w:val="en_US" w:bidi="en_US"/>
        </w:rPr>
      </w:r>
      <w:r>
        <w:rPr>
          <w:lang w:val="en_US" w:bidi="en_US"/>
        </w:rPr>
      </w:r>
    </w:p>
    <w:p>
      <w:pPr/>
      <w:r>
        <w:rPr>
          <w:lang w:val="en_US" w:bidi="en_US"/>
        </w:rPr>
      </w:r>
    </w:p>
    <w:p>
      <w:pPr>
        <w:pStyle w:val="Heading2"/>
      </w:pPr>
      <w:r>
        <w:rPr>
          <w:lang w:val="en_US" w:bidi="en_US"/>
        </w:rPr>
        <w:t>Luke 22:57</w:t>
      </w:r>
      <w:r>
        <w:rPr>
          <w:lang w:val="en_US" w:bidi="en_US"/>
        </w:rPr>
      </w:r>
    </w:p>
    <w:p>
      <w:pPr>
        <w:pStyle w:val="Heading4"/>
      </w:pPr>
      <w:r>
        <w:rPr>
          <w:lang w:val="en_US" w:bidi="en_US"/>
        </w:rPr>
        <w:t>Section 22:54–62: Jesus’ enemies arrested him, and Peter denied him</w:t>
      </w:r>
    </w:p>
    <w:p>
      <w:pPr/>
      <w:r>
        <w:rPr>
          <w:lang w:val="en_US" w:bidi="en_US"/>
        </w:rPr>
      </w:r>
      <w:r>
        <w:rPr>
          <w:lang w:val="en_US" w:bidi="en_US"/>
        </w:rPr>
        <w:t>In 22:33 Peter said that he would never leave Jesus or be unfaithful to him. But in 22:34 Jesus predicted that actually Peter would say three times that he did not know Jesus. After Jesus was arrested, Peter followed Jesus to the house of the high priest and waited in the courtyard. Three different people said that Peter had been with Jesus, and three times Peter said he did not know Jesus. But then a rooster crowed, and Peter suddenly remembered what Jesus had said. Peter wept with great sorrow because he had denied that he knew Jesus his Lord.</w:t>
      </w:r>
    </w:p>
    <w:p>
      <w:pPr/>
      <w:r>
        <w:rPr>
          <w:lang w:val="en_US" w:bidi="en_US"/>
        </w:rPr>
      </w:r>
      <w:r>
        <w:rPr>
          <w:lang w:val="en_US" w:bidi="en_US"/>
        </w:rPr>
        <w:t>Some other examples of headings for this section are:</w:t>
      </w:r>
    </w:p>
    <w:p>
      <w:pPr/>
      <w:r>
        <w:rPr>
          <w:lang w:val="en_US" w:bidi="en_US"/>
        </w:rPr>
      </w:r>
      <w:r>
        <w:rPr>
          <w:lang w:val="en_US" w:bidi="en_US"/>
        </w:rPr>
        <w:t>Peter Denies Jesus (NRSV)</w:t>
      </w:r>
    </w:p>
    <w:p>
      <w:pPr/>
      <w:r>
        <w:rPr>
          <w:lang w:val="en_US" w:bidi="en_US"/>
        </w:rPr>
      </w:r>
      <w:r>
        <w:rPr>
          <w:lang w:val="en_US" w:bidi="en_US"/>
        </w:rPr>
        <w:t>Jesus’ Condemnation and Peter’s Denials (NET)</w:t>
      </w:r>
    </w:p>
    <w:p>
      <w:pPr/>
      <w:r>
        <w:rPr>
          <w:lang w:val="en_US" w:bidi="en_US"/>
        </w:rPr>
      </w:r>
      <w:r>
        <w:rPr>
          <w:lang w:val="en_US" w:bidi="en_US"/>
        </w:rPr>
        <w:t>Peter Says He Doesn’t Know Jesus (NCV)</w:t>
      </w:r>
    </w:p>
    <w:p>
      <w:pPr/>
      <w:r>
        <w:rPr>
          <w:lang w:val="en_US" w:bidi="en_US"/>
        </w:rPr>
      </w:r>
      <w:r>
        <w:rPr>
          <w:lang w:val="en_US" w:bidi="en_US"/>
        </w:rPr>
        <w:t>There are parallel passages for this section in Matthew 26:57–58, 26:69–75, Mark 14:53–54, 14:66–72, and John 18:12–18, 18:25–27.</w:t>
      </w:r>
    </w:p>
    <w:p>
      <w:pPr>
        <w:pStyle w:val="Heading5"/>
      </w:pPr>
      <w:r>
        <w:rPr>
          <w:lang w:val="en_US" w:bidi="en_US"/>
        </w:rPr>
        <w:t>22:57a</w:t>
      </w:r>
    </w:p>
    <w:p>
      <w:pPr/>
      <w:r>
        <w:rPr>
          <w:lang w:val="en_US" w:bidi="en_US"/>
        </w:rPr>
      </w:r>
      <w:r>
        <w:rPr>
          <w:b/>
          <w:lang w:val="en_US" w:bidi="en_US"/>
        </w:rPr>
        <w:t>But Peter denied it.</w:t>
      </w:r>
    </w:p>
    <w:p>
      <w:pPr>
        <w:pStyle w:val="ListBullet"/>
        <w:spacing w:line="240" w:lineRule="auto"/>
        <w:ind w:left="720"/>
      </w:pPr>
      <w:r>
        <w:rPr>
          <w:lang w:val="en_US" w:bidi="en_US"/>
        </w:rPr>
      </w:r>
      <w:r>
        <w:rPr>
          <w:lang w:val="en_US" w:bidi="en_US"/>
        </w:rPr>
        <w:t xml:space="preserve">But Peter denied/rejected </w:t>
      </w:r>
      <w:r>
        <w:rPr>
          <w:lang w:val="en_US" w:bidi="en_US"/>
        </w:rPr>
        <w:t>what she said</w:t>
      </w:r>
      <w:r>
        <w:rPr>
          <w:lang w:val="en_US" w:bidi="en_US"/>
        </w:rPr>
        <w:t>.</w:t>
      </w:r>
    </w:p>
    <w:p>
      <w:pPr>
        <w:pStyle w:val="ListBullet"/>
        <w:spacing w:line="240" w:lineRule="auto"/>
        <w:ind w:left="720"/>
      </w:pPr>
      <w:r>
        <w:rPr>
          <w:lang w:val="en_US" w:bidi="en_US"/>
        </w:rPr>
      </w:r>
      <w:r>
        <w:rPr>
          <w:lang w:val="en_US" w:bidi="en_US"/>
        </w:rPr>
        <w:t xml:space="preserve">Then Peter </w:t>
      </w:r>
      <w:r>
        <w:rPr>
          <w:lang w:val="en_US" w:bidi="en_US"/>
        </w:rPr>
        <w:t>falsely</w:t>
      </w:r>
      <w:r>
        <w:rPr>
          <w:lang w:val="en_US" w:bidi="en_US"/>
        </w:rPr>
        <w:t xml:space="preserve"> said</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is a common conjunction that can be translated in different ways. Here it introduces Peter’s response to the servant girl. This response did not agree with what she said, so the word “but” is a natural way to introduce it in English. Some English versions do not use a conjunction here. Connect Peter’s response to 22:56c in a natural way in your language.</w:t>
      </w:r>
    </w:p>
    <w:p>
      <w:pPr/>
      <w:r>
        <w:rPr>
          <w:lang w:val="en_US" w:bidi="en_US"/>
        </w:rPr>
      </w:r>
      <w:r>
        <w:rPr>
          <w:b/>
          <w:lang w:val="en_US" w:bidi="en_US"/>
        </w:rPr>
        <w:t>Peter denied it:</w:t>
      </w:r>
      <w:r>
        <w:rPr>
          <w:lang w:val="en_US" w:bidi="en_US"/>
        </w:rPr>
        <w:t xml:space="preserve"> The Greek phrase that the BSB translates as </w:t>
      </w:r>
      <w:r>
        <w:rPr>
          <w:i/>
          <w:lang w:val="en_US" w:bidi="en_US"/>
        </w:rPr>
        <w:t>Peter denied it</w:t>
      </w:r>
      <w:r>
        <w:rPr>
          <w:lang w:val="en_US" w:bidi="en_US"/>
        </w:rPr>
        <w:t xml:space="preserve"> is more literally “he denied, saying.” It introduces the words, “I do not know him” in 22:57b. Peter’s statement was not true. You should use a natural way in your language to introduce this statement of denial. For example:</w:t>
      </w:r>
    </w:p>
    <w:p>
      <w:pPr/>
      <w:r>
        <w:rPr>
          <w:lang w:val="en_US" w:bidi="en_US"/>
        </w:rPr>
      </w:r>
      <w:r>
        <w:rPr>
          <w:lang w:val="en_US" w:bidi="en_US"/>
        </w:rPr>
        <w:t>Peter denied it by saying (GW)</w:t>
      </w:r>
    </w:p>
    <w:p>
      <w:pPr/>
      <w:r>
        <w:rPr>
          <w:lang w:val="en_US" w:bidi="en_US"/>
        </w:rPr>
      </w:r>
      <w:r>
        <w:rPr>
          <w:lang w:val="en_US" w:bidi="en_US"/>
        </w:rPr>
        <w:t xml:space="preserve">Peter declared/replied </w:t>
      </w:r>
      <w:r>
        <w:rPr>
          <w:lang w:val="en_US" w:bidi="en_US"/>
        </w:rPr>
        <w:t>falsely</w:t>
      </w:r>
    </w:p>
    <w:p>
      <w:pPr/>
      <w:r>
        <w:rPr>
          <w:lang w:val="en_US" w:bidi="en_US"/>
        </w:rPr>
      </w:r>
      <w:r>
        <w:rPr>
          <w:lang w:val="en_US" w:bidi="en_US"/>
        </w:rPr>
        <w:t>Peter said (CEV)</w:t>
      </w:r>
    </w:p>
    <w:p>
      <w:pPr/>
      <w:r>
        <w:rPr>
          <w:lang w:val="en_US" w:bidi="en_US"/>
        </w:rPr>
      </w:r>
      <w:r>
        <w:rPr>
          <w:lang w:val="en_US" w:bidi="en_US"/>
        </w:rPr>
        <w:t>Peter told the woman</w:t>
      </w:r>
    </w:p>
    <w:p>
      <w:pPr>
        <w:pStyle w:val="Heading5"/>
      </w:pPr>
      <w:r>
        <w:rPr>
          <w:lang w:val="en_US" w:bidi="en_US"/>
        </w:rPr>
        <w:t>22:57b</w:t>
      </w:r>
    </w:p>
    <w:p>
      <w:pPr/>
      <w:r>
        <w:rPr>
          <w:lang w:val="en_US" w:bidi="en_US"/>
        </w:rPr>
      </w:r>
      <w:r>
        <w:rPr>
          <w:b/>
          <w:lang w:val="en_US" w:bidi="en_US"/>
        </w:rPr>
        <w:t>“Woman, I do not know Him,” he said.</w:t>
      </w:r>
    </w:p>
    <w:p>
      <w:pPr>
        <w:pStyle w:val="ListBullet"/>
        <w:spacing w:line="240" w:lineRule="auto"/>
        <w:ind w:left="720"/>
      </w:pPr>
      <w:r>
        <w:rPr>
          <w:lang w:val="en_US" w:bidi="en_US"/>
        </w:rPr>
      </w:r>
      <w:r>
        <w:rPr>
          <w:lang w:val="en_US" w:bidi="en_US"/>
        </w:rPr>
        <w:t>He said, “Woman/Madam, I do not know him.”</w:t>
      </w:r>
    </w:p>
    <w:p>
      <w:pPr>
        <w:pStyle w:val="ListBullet"/>
        <w:spacing w:line="240" w:lineRule="auto"/>
        <w:ind w:left="720"/>
      </w:pPr>
      <w:r>
        <w:rPr>
          <w:lang w:val="en_US" w:bidi="en_US"/>
        </w:rPr>
      </w:r>
      <w:r>
        <w:rPr>
          <w:lang w:val="en_US" w:bidi="en_US"/>
        </w:rPr>
        <w:t>to the woman/maid, “I do not know him.”</w:t>
      </w:r>
    </w:p>
    <w:p>
      <w:pPr/>
      <w:r>
        <w:rPr>
          <w:lang w:val="en_US" w:bidi="en_US"/>
        </w:rPr>
      </w:r>
      <w:r>
        <w:rPr>
          <w:b/>
          <w:lang w:val="en_US" w:bidi="en_US"/>
        </w:rPr>
        <w:t>Woman:</w:t>
      </w:r>
      <w:r>
        <w:rPr>
          <w:lang w:val="en_US" w:bidi="en_US"/>
        </w:rPr>
        <w:t xml:space="preserve"> Here Peter addressed the female servant as </w:t>
      </w:r>
      <w:r>
        <w:rPr>
          <w:i/>
          <w:lang w:val="en_US" w:bidi="en_US"/>
        </w:rPr>
        <w:t>Woman</w:t>
      </w:r>
      <w:r>
        <w:rPr>
          <w:lang w:val="en_US" w:bidi="en_US"/>
        </w:rPr>
        <w:t>. This was a common way for a Jewish man to address a woman. It was not an insult, and it was not harsh. If it is unnatural or unkind in your culture to address a woman this way, you may:</w:t>
      </w:r>
    </w:p>
    <w:p>
      <w:pPr>
        <w:pStyle w:val="ListBullet"/>
        <w:spacing w:line="240" w:lineRule="auto"/>
        <w:ind w:left="720"/>
      </w:pPr>
      <w:r>
        <w:rPr>
          <w:lang w:val="en_US" w:bidi="en_US"/>
        </w:rPr>
      </w:r>
      <w:r>
        <w:rPr>
          <w:lang w:val="en_US" w:bidi="en_US"/>
        </w:rPr>
        <w:t>Omit the direct address, but make it clear in 22:57a that Peter was speaking to the woman. See the examples in that note.</w:t>
      </w:r>
    </w:p>
    <w:p>
      <w:pPr>
        <w:pStyle w:val="ListBullet"/>
        <w:spacing w:line="240" w:lineRule="auto"/>
        <w:ind w:left="720"/>
      </w:pPr>
      <w:r>
        <w:rPr>
          <w:lang w:val="en_US" w:bidi="en_US"/>
        </w:rPr>
      </w:r>
      <w:r>
        <w:rPr>
          <w:lang w:val="en_US" w:bidi="en_US"/>
        </w:rPr>
        <w:t>Use a different form of address that will be more natural or polite in your language. For example:</w:t>
      </w:r>
      <w:r>
        <w:rPr>
          <w:lang w:val="en_US" w:bidi="en_US"/>
        </w:rPr>
        <w:t>Madam</w:t>
      </w:r>
      <w:r>
        <w:rPr>
          <w:lang w:val="en_US" w:bidi="en_US"/>
        </w:rPr>
        <w:t>Sister</w:t>
      </w:r>
    </w:p>
    <w:p>
      <w:pPr/>
      <w:r>
        <w:rPr>
          <w:lang w:val="en_US" w:bidi="en_US"/>
        </w:rPr>
      </w:r>
      <w:r>
        <w:rPr>
          <w:lang w:val="en_US" w:bidi="en_US"/>
        </w:rPr>
        <w:t>In 13:12 Jesus addressed a woman in this way. Refer to how you translated it there.</w:t>
      </w:r>
    </w:p>
    <w:p>
      <w:pPr/>
      <w:r>
        <w:rPr>
          <w:lang w:val="en_US" w:bidi="en_US"/>
        </w:rPr>
      </w:r>
      <w:r>
        <w:rPr>
          <w:lang w:val="en_US" w:bidi="en_US"/>
        </w:rPr>
        <w:t xml:space="preserve">In Greek, the word </w:t>
      </w:r>
      <w:r>
        <w:rPr>
          <w:i/>
          <w:lang w:val="en_US" w:bidi="en_US"/>
        </w:rPr>
        <w:t>Woman</w:t>
      </w:r>
      <w:r>
        <w:rPr>
          <w:lang w:val="en_US" w:bidi="en_US"/>
        </w:rPr>
        <w:t xml:space="preserve"> comes at the end of Peter’s denial:</w:t>
      </w:r>
    </w:p>
    <w:p>
      <w:pPr/>
      <w:r>
        <w:rPr>
          <w:lang w:val="en_US" w:bidi="en_US"/>
        </w:rPr>
      </w:r>
      <w:r>
        <w:rPr>
          <w:lang w:val="en_US" w:bidi="en_US"/>
        </w:rPr>
        <w:t>I do not know him, Woman!</w:t>
      </w:r>
    </w:p>
    <w:p>
      <w:pPr/>
      <w:r>
        <w:rPr>
          <w:lang w:val="en_US" w:bidi="en_US"/>
        </w:rPr>
      </w:r>
      <w:r>
        <w:rPr>
          <w:lang w:val="en_US" w:bidi="en_US"/>
        </w:rPr>
        <w:t>Place the direct address where it is natural in your language.</w:t>
      </w:r>
    </w:p>
    <w:p>
      <w:pPr/>
      <w:r>
        <w:rPr>
          <w:lang w:val="en_US" w:bidi="en_US"/>
        </w:rPr>
      </w:r>
      <w:r>
        <w:rPr>
          <w:b/>
          <w:lang w:val="en_US" w:bidi="en_US"/>
        </w:rPr>
        <w:t>I do not know Him:</w:t>
      </w:r>
      <w:r>
        <w:rPr>
          <w:lang w:val="en_US" w:bidi="en_US"/>
        </w:rPr>
        <w:t xml:space="preserve"> Here Peter told the woman that he did not personally know Jesus. Peter’s statement was a lie. Of course, he knew Jesus, but he was afraid to admit it. He probably thought that the guards might arrest him also. Some other ways to translate this are:</w:t>
      </w:r>
    </w:p>
    <w:p>
      <w:pPr/>
      <w:r>
        <w:rPr>
          <w:lang w:val="en_US" w:bidi="en_US"/>
        </w:rPr>
      </w:r>
      <w:r>
        <w:rPr>
          <w:lang w:val="en_US" w:bidi="en_US"/>
        </w:rPr>
        <w:t>I don’t even know him! (GNT)</w:t>
      </w:r>
    </w:p>
    <w:p>
      <w:pPr/>
      <w:r>
        <w:rPr>
          <w:lang w:val="en_US" w:bidi="en_US"/>
        </w:rPr>
      </w:r>
      <w:r>
        <w:rPr>
          <w:lang w:val="en_US" w:bidi="en_US"/>
        </w:rPr>
        <w:t>I do not know that man.</w:t>
      </w:r>
    </w:p>
    <w:p>
      <w:pPr/>
      <w:r>
        <w:rPr>
          <w:lang w:val="en_US" w:bidi="en_US"/>
        </w:rPr>
      </w:r>
      <w:r>
        <w:rPr>
          <w:b/>
          <w:lang w:val="en_US" w:bidi="en_US"/>
        </w:rPr>
        <w:t>he said:</w:t>
      </w:r>
      <w:r>
        <w:rPr>
          <w:lang w:val="en_US" w:bidi="en_US"/>
        </w:rPr>
        <w:t xml:space="preserve"> The phrase </w:t>
      </w:r>
      <w:r>
        <w:rPr>
          <w:i/>
          <w:lang w:val="en_US" w:bidi="en_US"/>
        </w:rPr>
        <w:t>he said</w:t>
      </w:r>
      <w:r>
        <w:rPr>
          <w:lang w:val="en_US" w:bidi="en_US"/>
        </w:rPr>
        <w:t xml:space="preserve"> is a translation of the verb “saying” from 22:57a. (Refer to the note there for more information.) Place this verb where it is natural in your language.</w:t>
      </w:r>
      <w:r>
        <w:rPr>
          <w:lang w:val="en_US" w:bidi="en_US"/>
        </w:rPr>
      </w:r>
      <w:r>
        <w:rPr>
          <w:lang w:val="en_US" w:bidi="en_US"/>
        </w:rPr>
      </w:r>
    </w:p>
    <w:p>
      <w:pPr/>
      <w:r>
        <w:rPr>
          <w:lang w:val="en_US" w:bidi="en_US"/>
        </w:rPr>
      </w:r>
    </w:p>
    <w:p>
      <w:pPr>
        <w:pStyle w:val="Heading2"/>
      </w:pPr>
      <w:r>
        <w:rPr>
          <w:lang w:val="en_US" w:bidi="en_US"/>
        </w:rPr>
        <w:t>Luke 22:58</w:t>
      </w:r>
      <w:r>
        <w:rPr>
          <w:lang w:val="en_US" w:bidi="en_US"/>
        </w:rPr>
      </w:r>
    </w:p>
    <w:p>
      <w:pPr>
        <w:pStyle w:val="Heading4"/>
      </w:pPr>
      <w:r>
        <w:rPr>
          <w:lang w:val="en_US" w:bidi="en_US"/>
        </w:rPr>
        <w:t>Section 22:54–62: Jesus’ enemies arrested him, and Peter denied him</w:t>
      </w:r>
    </w:p>
    <w:p>
      <w:pPr/>
      <w:r>
        <w:rPr>
          <w:lang w:val="en_US" w:bidi="en_US"/>
        </w:rPr>
      </w:r>
      <w:r>
        <w:rPr>
          <w:lang w:val="en_US" w:bidi="en_US"/>
        </w:rPr>
        <w:t>In 22:33 Peter said that he would never leave Jesus or be unfaithful to him. But in 22:34 Jesus predicted that actually Peter would say three times that he did not know Jesus. After Jesus was arrested, Peter followed Jesus to the house of the high priest and waited in the courtyard. Three different people said that Peter had been with Jesus, and three times Peter said he did not know Jesus. But then a rooster crowed, and Peter suddenly remembered what Jesus had said. Peter wept with great sorrow because he had denied that he knew Jesus his Lord.</w:t>
      </w:r>
    </w:p>
    <w:p>
      <w:pPr/>
      <w:r>
        <w:rPr>
          <w:lang w:val="en_US" w:bidi="en_US"/>
        </w:rPr>
      </w:r>
      <w:r>
        <w:rPr>
          <w:lang w:val="en_US" w:bidi="en_US"/>
        </w:rPr>
        <w:t>Some other examples of headings for this section are:</w:t>
      </w:r>
    </w:p>
    <w:p>
      <w:pPr/>
      <w:r>
        <w:rPr>
          <w:lang w:val="en_US" w:bidi="en_US"/>
        </w:rPr>
      </w:r>
      <w:r>
        <w:rPr>
          <w:lang w:val="en_US" w:bidi="en_US"/>
        </w:rPr>
        <w:t>Peter Denies Jesus (NRSV)</w:t>
      </w:r>
    </w:p>
    <w:p>
      <w:pPr/>
      <w:r>
        <w:rPr>
          <w:lang w:val="en_US" w:bidi="en_US"/>
        </w:rPr>
      </w:r>
      <w:r>
        <w:rPr>
          <w:lang w:val="en_US" w:bidi="en_US"/>
        </w:rPr>
        <w:t>Jesus’ Condemnation and Peter’s Denials (NET)</w:t>
      </w:r>
    </w:p>
    <w:p>
      <w:pPr/>
      <w:r>
        <w:rPr>
          <w:lang w:val="en_US" w:bidi="en_US"/>
        </w:rPr>
      </w:r>
      <w:r>
        <w:rPr>
          <w:lang w:val="en_US" w:bidi="en_US"/>
        </w:rPr>
        <w:t>Peter Says He Doesn’t Know Jesus (NCV)</w:t>
      </w:r>
    </w:p>
    <w:p>
      <w:pPr/>
      <w:r>
        <w:rPr>
          <w:lang w:val="en_US" w:bidi="en_US"/>
        </w:rPr>
      </w:r>
      <w:r>
        <w:rPr>
          <w:lang w:val="en_US" w:bidi="en_US"/>
        </w:rPr>
        <w:t>There are parallel passages for this section in Matthew 26:57–58, 26:69–75, Mark 14:53–54, 14:66–72, and John 18:12–18, 18:25–27.</w:t>
      </w:r>
    </w:p>
    <w:p>
      <w:pPr>
        <w:pStyle w:val="Heading5"/>
      </w:pPr>
      <w:r>
        <w:rPr>
          <w:lang w:val="en_US" w:bidi="en_US"/>
        </w:rPr>
        <w:t>22:58a</w:t>
      </w:r>
    </w:p>
    <w:p>
      <w:pPr/>
      <w:r>
        <w:rPr>
          <w:lang w:val="en_US" w:bidi="en_US"/>
        </w:rPr>
      </w:r>
      <w:r>
        <w:rPr>
          <w:b/>
          <w:lang w:val="en_US" w:bidi="en_US"/>
        </w:rPr>
        <w:t>A short time later, someone else saw him and said,</w:t>
      </w:r>
    </w:p>
    <w:p>
      <w:pPr>
        <w:pStyle w:val="ListBullet"/>
        <w:spacing w:line="240" w:lineRule="auto"/>
        <w:ind w:left="720"/>
      </w:pPr>
      <w:r>
        <w:rPr>
          <w:lang w:val="en_US" w:bidi="en_US"/>
        </w:rPr>
      </w:r>
      <w:r>
        <w:rPr>
          <w:lang w:val="en_US" w:bidi="en_US"/>
        </w:rPr>
        <w:t>¶ A short time later another person noticed Peter and said,</w:t>
      </w:r>
    </w:p>
    <w:p>
      <w:pPr>
        <w:pStyle w:val="ListBullet"/>
        <w:spacing w:line="240" w:lineRule="auto"/>
        <w:ind w:left="720"/>
      </w:pPr>
      <w:r>
        <w:rPr>
          <w:lang w:val="en_US" w:bidi="en_US"/>
        </w:rPr>
      </w:r>
      <w:r>
        <w:rPr>
          <w:lang w:val="en_US" w:bidi="en_US"/>
        </w:rPr>
        <w:t xml:space="preserve">¶ Then after a little while, a different person looked at Peter and said </w:t>
      </w:r>
      <w:r>
        <w:rPr>
          <w:lang w:val="en_US" w:bidi="en_US"/>
        </w:rPr>
        <w:t>to him</w:t>
      </w:r>
      <w:r>
        <w:rPr>
          <w:lang w:val="en_US" w:bidi="en_US"/>
        </w:rPr>
        <w:t>,</w:t>
      </w:r>
    </w:p>
    <w:p>
      <w:pPr/>
      <w:r>
        <w:rPr>
          <w:lang w:val="en_US" w:bidi="en_US"/>
        </w:rPr>
      </w:r>
      <w:r>
        <w:rPr>
          <w:b/>
          <w:lang w:val="en_US" w:bidi="en_US"/>
        </w:rPr>
        <w:t>A short time later:</w:t>
      </w:r>
      <w:r>
        <w:rPr>
          <w:lang w:val="en_US" w:bidi="en_US"/>
        </w:rPr>
        <w:t xml:space="preserve"> The phrase </w:t>
      </w:r>
      <w:r>
        <w:rPr>
          <w:i/>
          <w:lang w:val="en_US" w:bidi="en_US"/>
        </w:rPr>
        <w:t>A short time later</w:t>
      </w:r>
      <w:r>
        <w:rPr>
          <w:lang w:val="en_US" w:bidi="en_US"/>
        </w:rPr>
        <w:t xml:space="preserve"> refers to a short time later that same night. By that time it would have been early in the morning but still dark. Some other ways to translate the phrase are:</w:t>
      </w:r>
    </w:p>
    <w:p>
      <w:pPr/>
      <w:r>
        <w:rPr>
          <w:lang w:val="en_US" w:bidi="en_US"/>
        </w:rPr>
      </w:r>
      <w:r>
        <w:rPr>
          <w:lang w:val="en_US" w:bidi="en_US"/>
        </w:rPr>
        <w:t>After a while (NLT)</w:t>
      </w:r>
    </w:p>
    <w:p>
      <w:pPr/>
      <w:r>
        <w:rPr>
          <w:lang w:val="en_US" w:bidi="en_US"/>
        </w:rPr>
      </w:r>
      <w:r>
        <w:rPr>
          <w:lang w:val="en_US" w:bidi="en_US"/>
        </w:rPr>
        <w:t>A little later (NIV)</w:t>
      </w:r>
    </w:p>
    <w:p>
      <w:pPr/>
      <w:r>
        <w:rPr>
          <w:lang w:val="en_US" w:bidi="en_US"/>
        </w:rPr>
      </w:r>
      <w:r>
        <w:rPr>
          <w:b/>
          <w:lang w:val="en_US" w:bidi="en_US"/>
        </w:rPr>
        <w:t>someone else saw him:</w:t>
      </w:r>
      <w:r>
        <w:rPr>
          <w:lang w:val="en_US" w:bidi="en_US"/>
        </w:rPr>
        <w:t xml:space="preserve"> The context implies that this person who saw him also realized that he had seen Peter before. Other ways to translate </w:t>
      </w:r>
      <w:r>
        <w:rPr>
          <w:i/>
          <w:lang w:val="en_US" w:bidi="en_US"/>
        </w:rPr>
        <w:t>someone else saw him</w:t>
      </w:r>
      <w:r>
        <w:rPr>
          <w:lang w:val="en_US" w:bidi="en_US"/>
        </w:rPr>
        <w:t xml:space="preserve"> are:</w:t>
      </w:r>
    </w:p>
    <w:p>
      <w:pPr/>
      <w:r>
        <w:rPr>
          <w:lang w:val="en_US" w:bidi="en_US"/>
        </w:rPr>
      </w:r>
      <w:r>
        <w:rPr>
          <w:lang w:val="en_US" w:bidi="en_US"/>
        </w:rPr>
        <w:t>another person saw Peter (NCV)</w:t>
      </w:r>
    </w:p>
    <w:p>
      <w:pPr/>
      <w:r>
        <w:rPr>
          <w:lang w:val="en_US" w:bidi="en_US"/>
        </w:rPr>
      </w:r>
      <w:r>
        <w:rPr>
          <w:lang w:val="en_US" w:bidi="en_US"/>
        </w:rPr>
        <w:t>a different person noticed him</w:t>
      </w:r>
    </w:p>
    <w:p>
      <w:pPr/>
      <w:r>
        <w:rPr>
          <w:lang w:val="en_US" w:bidi="en_US"/>
        </w:rPr>
      </w:r>
      <w:r>
        <w:rPr>
          <w:lang w:val="en_US" w:bidi="en_US"/>
        </w:rPr>
        <w:t>one of the other people there looked at him</w:t>
      </w:r>
    </w:p>
    <w:p>
      <w:pPr/>
      <w:r>
        <w:rPr>
          <w:lang w:val="en_US" w:bidi="en_US"/>
        </w:rPr>
      </w:r>
      <w:r>
        <w:rPr>
          <w:b/>
          <w:lang w:val="en_US" w:bidi="en_US"/>
        </w:rPr>
        <w:t>someone else:</w:t>
      </w:r>
      <w:r>
        <w:rPr>
          <w:lang w:val="en_US" w:bidi="en_US"/>
        </w:rPr>
        <w:t xml:space="preserve"> The phrase </w:t>
      </w:r>
      <w:r>
        <w:rPr>
          <w:i/>
          <w:lang w:val="en_US" w:bidi="en_US"/>
        </w:rPr>
        <w:t>someone else</w:t>
      </w:r>
      <w:r>
        <w:rPr>
          <w:lang w:val="en_US" w:bidi="en_US"/>
        </w:rPr>
        <w:t xml:space="preserve"> refers to one of the other people in the high priest’s courtyard. It does not imply that the person was a servant, so it is good to translate the phrase in a general way. See the examples in the note above.</w:t>
      </w:r>
    </w:p>
    <w:p>
      <w:pPr>
        <w:pStyle w:val="Heading5"/>
      </w:pPr>
      <w:r>
        <w:rPr>
          <w:lang w:val="en_US" w:bidi="en_US"/>
        </w:rPr>
        <w:t>22:58b</w:t>
      </w:r>
    </w:p>
    <w:p>
      <w:pPr/>
      <w:r>
        <w:rPr>
          <w:lang w:val="en_US" w:bidi="en_US"/>
        </w:rPr>
      </w:r>
      <w:r>
        <w:rPr>
          <w:b/>
          <w:lang w:val="en_US" w:bidi="en_US"/>
        </w:rPr>
        <w:t>“You also are one of them.”</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too are one of </w:t>
      </w:r>
      <w:r>
        <w:rPr>
          <w:lang w:val="en_US" w:bidi="en_US"/>
        </w:rPr>
        <w:t>his companions</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also among the </w:t>
      </w:r>
      <w:r>
        <w:rPr>
          <w:lang w:val="en_US" w:bidi="en_US"/>
        </w:rPr>
        <w:t>followers of Jesus</w:t>
      </w:r>
      <w:r>
        <w:rPr>
          <w:lang w:val="en_US" w:bidi="en_US"/>
        </w:rPr>
        <w:t>!”</w:t>
      </w:r>
    </w:p>
    <w:p>
      <w:pPr/>
      <w:r>
        <w:rPr>
          <w:lang w:val="en_US" w:bidi="en_US"/>
        </w:rPr>
      </w:r>
      <w:r>
        <w:rPr>
          <w:b/>
          <w:lang w:val="en_US" w:bidi="en_US"/>
        </w:rPr>
        <w:t>You also are one of them:</w:t>
      </w:r>
      <w:r>
        <w:rPr>
          <w:lang w:val="en_US" w:bidi="en_US"/>
        </w:rPr>
        <w:t xml:space="preserve"> In Greek this statement is emphatic. The man emphasized that Peter surely was one of Jesus’ companions. As in 22:56c, the word </w:t>
      </w:r>
      <w:r>
        <w:rPr>
          <w:i/>
          <w:lang w:val="en_US" w:bidi="en_US"/>
        </w:rPr>
        <w:t>also</w:t>
      </w:r>
      <w:r>
        <w:rPr>
          <w:lang w:val="en_US" w:bidi="en_US"/>
        </w:rPr>
        <w:t xml:space="preserve"> means either “too” or “indeed, certainly.” See the note on 22:56c.</w:t>
      </w:r>
    </w:p>
    <w:p>
      <w:pPr/>
      <w:r>
        <w:rPr>
          <w:lang w:val="en_US" w:bidi="en_US"/>
        </w:rPr>
      </w:r>
      <w:r>
        <w:rPr>
          <w:lang w:val="en_US" w:bidi="en_US"/>
        </w:rPr>
        <w:t>Some ways to translate the statement are:</w:t>
      </w:r>
    </w:p>
    <w:p>
      <w:pPr/>
      <w:r>
        <w:rPr>
          <w:lang w:val="en_US" w:bidi="en_US"/>
        </w:rPr>
      </w:r>
      <w:r>
        <w:rPr>
          <w:lang w:val="en_US" w:bidi="en_US"/>
        </w:rPr>
        <w:t>You are one of them, too! (GNT)</w:t>
      </w:r>
    </w:p>
    <w:p>
      <w:pPr/>
      <w:r>
        <w:rPr>
          <w:lang w:val="en_US" w:bidi="en_US"/>
        </w:rPr>
      </w:r>
      <w:r>
        <w:rPr>
          <w:lang w:val="en_US" w:bidi="en_US"/>
        </w:rPr>
        <w:t>You are certainly one of them!</w:t>
      </w:r>
    </w:p>
    <w:p>
      <w:pPr/>
      <w:r>
        <w:rPr>
          <w:lang w:val="en_US" w:bidi="en_US"/>
        </w:rPr>
      </w:r>
      <w:r>
        <w:rPr>
          <w:b/>
          <w:lang w:val="en_US" w:bidi="en_US"/>
        </w:rPr>
        <w:t>are one of them:</w:t>
      </w:r>
      <w:r>
        <w:rPr>
          <w:lang w:val="en_US" w:bidi="en_US"/>
        </w:rPr>
        <w:t xml:space="preserve"> The phrase </w:t>
      </w:r>
      <w:r>
        <w:rPr>
          <w:i/>
          <w:lang w:val="en_US" w:bidi="en_US"/>
        </w:rPr>
        <w:t>are one of them</w:t>
      </w:r>
      <w:r>
        <w:rPr>
          <w:lang w:val="en_US" w:bidi="en_US"/>
        </w:rPr>
        <w:t xml:space="preserve"> may refer to being one of Jesus’ disciples or being one of the companions who were with him in the Garden of Gethsemane. In some languages it may be necessary to translate </w:t>
      </w:r>
      <w:r>
        <w:rPr>
          <w:i/>
          <w:lang w:val="en_US" w:bidi="en_US"/>
        </w:rPr>
        <w:t>are one of them</w:t>
      </w:r>
      <w:r>
        <w:rPr>
          <w:lang w:val="en_US" w:bidi="en_US"/>
        </w:rPr>
        <w:t xml:space="preserve"> with a more specific phrase. For example:</w:t>
      </w:r>
    </w:p>
    <w:p>
      <w:pPr/>
      <w:r>
        <w:rPr>
          <w:lang w:val="en_US" w:bidi="en_US"/>
        </w:rPr>
      </w:r>
      <w:r>
        <w:rPr>
          <w:lang w:val="en_US" w:bidi="en_US"/>
        </w:rPr>
        <w:t>are one of his companions</w:t>
      </w:r>
    </w:p>
    <w:p>
      <w:pPr>
        <w:pStyle w:val="Heading5"/>
      </w:pPr>
      <w:r>
        <w:rPr>
          <w:lang w:val="en_US" w:bidi="en_US"/>
        </w:rPr>
        <w:t>22:58c</w:t>
      </w:r>
    </w:p>
    <w:p>
      <w:pPr/>
      <w:r>
        <w:rPr>
          <w:lang w:val="en_US" w:bidi="en_US"/>
        </w:rPr>
      </w:r>
      <w:r>
        <w:rPr>
          <w:b/>
          <w:lang w:val="en_US" w:bidi="en_US"/>
        </w:rPr>
        <w:t>But Peter said, “Man, I am not.”</w:t>
      </w:r>
    </w:p>
    <w:p>
      <w:pPr>
        <w:pStyle w:val="ListBullet"/>
        <w:spacing w:line="240" w:lineRule="auto"/>
        <w:ind w:left="720"/>
      </w:pPr>
      <w:r>
        <w:rPr>
          <w:lang w:val="en_US" w:bidi="en_US"/>
        </w:rPr>
      </w:r>
      <w:r>
        <w:rPr>
          <w:lang w:val="en_US" w:bidi="en_US"/>
        </w:rPr>
        <w:t xml:space="preserve">And Peter said, “Man/Sir, I am not </w:t>
      </w:r>
      <w:r>
        <w:rPr>
          <w:lang w:val="en_US" w:bidi="en_US"/>
        </w:rPr>
        <w:t>one of them</w:t>
      </w:r>
      <w:r>
        <w:rPr>
          <w:lang w:val="en_US" w:bidi="en_US"/>
        </w:rPr>
        <w:t>!”</w:t>
      </w:r>
    </w:p>
    <w:p>
      <w:pPr>
        <w:pStyle w:val="ListBullet"/>
        <w:spacing w:line="240" w:lineRule="auto"/>
        <w:ind w:left="720"/>
      </w:pPr>
      <w:r>
        <w:rPr>
          <w:lang w:val="en_US" w:bidi="en_US"/>
        </w:rPr>
      </w:r>
      <w:r>
        <w:rPr>
          <w:lang w:val="en_US" w:bidi="en_US"/>
        </w:rPr>
        <w:t xml:space="preserve">Peter replied, “No, I am </w:t>
      </w:r>
      <w:r>
        <w:rPr>
          <w:lang w:val="en_US" w:bidi="en_US"/>
        </w:rPr>
        <w:t>certainly</w:t>
      </w:r>
      <w:r>
        <w:rPr>
          <w:lang w:val="en_US" w:bidi="en_US"/>
        </w:rPr>
        <w:t xml:space="preserve"> not </w:t>
      </w:r>
      <w:r>
        <w:rPr>
          <w:lang w:val="en_US" w:bidi="en_US"/>
        </w:rPr>
        <w:t>one of his followers</w:t>
      </w:r>
      <w:r>
        <w:rPr>
          <w:lang w:val="en_US" w:bidi="en_US"/>
        </w:rPr>
        <w:t>!”</w:t>
      </w:r>
    </w:p>
    <w:p>
      <w:pPr>
        <w:pStyle w:val="ListBullet"/>
        <w:spacing w:line="240" w:lineRule="auto"/>
        <w:ind w:left="720"/>
      </w:pPr>
      <w:r>
        <w:rPr>
          <w:lang w:val="en_US" w:bidi="en_US"/>
        </w:rPr>
      </w:r>
      <w:r>
        <w:rPr>
          <w:lang w:val="en_US" w:bidi="en_US"/>
        </w:rPr>
        <w:t xml:space="preserve">And Peter denied it </w:t>
      </w:r>
      <w:r>
        <w:rPr>
          <w:lang w:val="en_US" w:bidi="en_US"/>
        </w:rPr>
        <w:t>again</w:t>
      </w:r>
      <w:r>
        <w:rPr>
          <w:lang w:val="en_US" w:bidi="en_US"/>
        </w:rPr>
        <w:t>, saying: “My Friend/Brother, you</w:t>
      </w:r>
      <w:r>
        <w:rPr>
          <w:vertAlign w:val="superscript"/>
          <w:lang w:val="en_US" w:bidi="en_US"/>
        </w:rPr>
        <w:t>(sing)</w:t>
      </w:r>
      <w:r>
        <w:rPr>
          <w:lang w:val="en_US" w:bidi="en_US"/>
        </w:rPr>
        <w:t xml:space="preserve"> are wrong!”</w:t>
      </w:r>
    </w:p>
    <w:p>
      <w:pPr/>
      <w:r>
        <w:rPr>
          <w:lang w:val="en_US" w:bidi="en_US"/>
        </w:rPr>
      </w:r>
      <w:r>
        <w:rPr>
          <w:b/>
          <w:lang w:val="en_US" w:bidi="en_US"/>
        </w:rPr>
        <w:t>Man:</w:t>
      </w:r>
      <w:r>
        <w:rPr>
          <w:lang w:val="en_US" w:bidi="en_US"/>
        </w:rPr>
        <w:t xml:space="preserve"> Here Peter addressed the person who spoke to him as </w:t>
      </w:r>
      <w:r>
        <w:rPr>
          <w:i/>
          <w:lang w:val="en_US" w:bidi="en_US"/>
        </w:rPr>
        <w:t>Man</w:t>
      </w:r>
      <w:r>
        <w:rPr>
          <w:lang w:val="en_US" w:bidi="en_US"/>
        </w:rPr>
        <w:t xml:space="preserve">. The Greek word that the BSB translates as </w:t>
      </w:r>
      <w:r>
        <w:rPr>
          <w:i/>
          <w:lang w:val="en_US" w:bidi="en_US"/>
        </w:rPr>
        <w:t>Man</w:t>
      </w:r>
      <w:r>
        <w:rPr>
          <w:lang w:val="en_US" w:bidi="en_US"/>
        </w:rPr>
        <w:t xml:space="preserve"> means “person.” It was a common way for a Jewish man to address a person whom he did not know. Peter was not being rude or insulting the man. If it is unnatural or impolite in your culture to address a man in this way, you may:</w:t>
      </w:r>
    </w:p>
    <w:p>
      <w:pPr>
        <w:pStyle w:val="ListBullet"/>
        <w:spacing w:line="240" w:lineRule="auto"/>
        <w:ind w:left="720"/>
      </w:pPr>
      <w:r>
        <w:rPr>
          <w:lang w:val="en_US" w:bidi="en_US"/>
        </w:rPr>
      </w:r>
      <w:r>
        <w:rPr>
          <w:lang w:val="en_US" w:bidi="en_US"/>
        </w:rPr>
        <w:t>Omit the direct address, but make it clear that Peter was replying to the man.</w:t>
      </w:r>
    </w:p>
    <w:p>
      <w:pPr>
        <w:pStyle w:val="ListBullet"/>
        <w:spacing w:line="240" w:lineRule="auto"/>
        <w:ind w:left="720"/>
      </w:pPr>
      <w:r>
        <w:rPr>
          <w:lang w:val="en_US" w:bidi="en_US"/>
        </w:rPr>
      </w:r>
      <w:r>
        <w:rPr>
          <w:lang w:val="en_US" w:bidi="en_US"/>
        </w:rPr>
        <w:t>Use a different form of address in your language that is more natural or polite for this situation. For example:</w:t>
      </w:r>
      <w:r>
        <w:rPr>
          <w:lang w:val="en_US" w:bidi="en_US"/>
        </w:rPr>
        <w:t>Sir</w:t>
      </w:r>
      <w:r>
        <w:rPr>
          <w:lang w:val="en_US" w:bidi="en_US"/>
        </w:rPr>
        <w:t>My friend</w:t>
      </w:r>
    </w:p>
    <w:p>
      <w:pPr/>
      <w:r>
        <w:rPr>
          <w:lang w:val="en_US" w:bidi="en_US"/>
        </w:rPr>
      </w:r>
      <w:r>
        <w:rPr>
          <w:lang w:val="en_US" w:bidi="en_US"/>
        </w:rPr>
        <w:t>Use a common way in your culture to address a man whom you do not personally know.</w:t>
      </w:r>
    </w:p>
    <w:p>
      <w:pPr/>
      <w:r>
        <w:rPr>
          <w:lang w:val="en_US" w:bidi="en_US"/>
        </w:rPr>
      </w:r>
      <w:r>
        <w:rPr>
          <w:b/>
          <w:lang w:val="en_US" w:bidi="en_US"/>
        </w:rPr>
        <w:t>I am not:</w:t>
      </w:r>
      <w:r>
        <w:rPr>
          <w:lang w:val="en_US" w:bidi="en_US"/>
        </w:rPr>
        <w:t xml:space="preserve"> Here Peter falsely declared that he was not one of Jesus’ companions. This statement is similar in meaning to his denial in 22:57. Some ways to translate it are:</w:t>
      </w:r>
    </w:p>
    <w:p>
      <w:pPr/>
      <w:r>
        <w:rPr>
          <w:lang w:val="en_US" w:bidi="en_US"/>
        </w:rPr>
      </w:r>
      <w:r>
        <w:rPr>
          <w:lang w:val="en_US" w:bidi="en_US"/>
        </w:rPr>
        <w:t>Definitely not.</w:t>
      </w:r>
      <w:r>
        <w:rPr>
          <w:lang w:val="en_US" w:bidi="en_US"/>
        </w:rPr>
        <w:t>Kankanaey back translation on TW</w:t>
      </w:r>
    </w:p>
    <w:p>
      <w:pPr/>
      <w:r>
        <w:rPr>
          <w:lang w:val="en_US" w:bidi="en_US"/>
        </w:rPr>
      </w:r>
      <w:r>
        <w:rPr>
          <w:lang w:val="en_US" w:bidi="en_US"/>
        </w:rPr>
        <w:t>I am not his companion.</w:t>
      </w:r>
      <w:r>
        <w:rPr>
          <w:lang w:val="en_US" w:bidi="en_US"/>
        </w:rPr>
        <w:t>Western Bukidnon Manobo back translation on TW.</w:t>
      </w:r>
    </w:p>
    <w:p>
      <w:pPr/>
      <w:r>
        <w:rPr>
          <w:lang w:val="en_US" w:bidi="en_US"/>
        </w:rPr>
      </w:r>
      <w:r>
        <w:rPr>
          <w:lang w:val="en_US" w:bidi="en_US"/>
        </w:rPr>
        <w:t>That is not true!</w:t>
      </w:r>
    </w:p>
    <w:p>
      <w:pPr/>
      <w:r>
        <w:rPr>
          <w:lang w:val="en_US" w:bidi="en_US"/>
        </w:rPr>
      </w:r>
      <w:r>
        <w:rPr>
          <w:lang w:val="en_US" w:bidi="en_US"/>
        </w:rPr>
        <w:t>Translate the denial in a way that is natural in your language.</w:t>
      </w:r>
      <w:r>
        <w:rPr>
          <w:lang w:val="en_US" w:bidi="en_US"/>
        </w:rPr>
      </w:r>
      <w:r>
        <w:rPr>
          <w:lang w:val="en_US" w:bidi="en_US"/>
        </w:rPr>
      </w:r>
    </w:p>
    <w:p>
      <w:pPr/>
      <w:r>
        <w:rPr>
          <w:lang w:val="en_US" w:bidi="en_US"/>
        </w:rPr>
      </w:r>
    </w:p>
    <w:p>
      <w:pPr>
        <w:pStyle w:val="Heading2"/>
      </w:pPr>
      <w:r>
        <w:rPr>
          <w:lang w:val="en_US" w:bidi="en_US"/>
        </w:rPr>
        <w:t>Luke 22:59</w:t>
      </w:r>
      <w:r>
        <w:rPr>
          <w:lang w:val="en_US" w:bidi="en_US"/>
        </w:rPr>
      </w:r>
    </w:p>
    <w:p>
      <w:pPr>
        <w:pStyle w:val="Heading4"/>
      </w:pPr>
      <w:r>
        <w:rPr>
          <w:lang w:val="en_US" w:bidi="en_US"/>
        </w:rPr>
        <w:t>Section 22:54–62: Jesus’ enemies arrested him, and Peter denied him</w:t>
      </w:r>
    </w:p>
    <w:p>
      <w:pPr/>
      <w:r>
        <w:rPr>
          <w:lang w:val="en_US" w:bidi="en_US"/>
        </w:rPr>
      </w:r>
      <w:r>
        <w:rPr>
          <w:lang w:val="en_US" w:bidi="en_US"/>
        </w:rPr>
        <w:t>In 22:33 Peter said that he would never leave Jesus or be unfaithful to him. But in 22:34 Jesus predicted that actually Peter would say three times that he did not know Jesus. After Jesus was arrested, Peter followed Jesus to the house of the high priest and waited in the courtyard. Three different people said that Peter had been with Jesus, and three times Peter said he did not know Jesus. But then a rooster crowed, and Peter suddenly remembered what Jesus had said. Peter wept with great sorrow because he had denied that he knew Jesus his Lord.</w:t>
      </w:r>
    </w:p>
    <w:p>
      <w:pPr/>
      <w:r>
        <w:rPr>
          <w:lang w:val="en_US" w:bidi="en_US"/>
        </w:rPr>
      </w:r>
      <w:r>
        <w:rPr>
          <w:lang w:val="en_US" w:bidi="en_US"/>
        </w:rPr>
        <w:t>Some other examples of headings for this section are:</w:t>
      </w:r>
    </w:p>
    <w:p>
      <w:pPr/>
      <w:r>
        <w:rPr>
          <w:lang w:val="en_US" w:bidi="en_US"/>
        </w:rPr>
      </w:r>
      <w:r>
        <w:rPr>
          <w:lang w:val="en_US" w:bidi="en_US"/>
        </w:rPr>
        <w:t>Peter Denies Jesus (NRSV)</w:t>
      </w:r>
    </w:p>
    <w:p>
      <w:pPr/>
      <w:r>
        <w:rPr>
          <w:lang w:val="en_US" w:bidi="en_US"/>
        </w:rPr>
      </w:r>
      <w:r>
        <w:rPr>
          <w:lang w:val="en_US" w:bidi="en_US"/>
        </w:rPr>
        <w:t>Jesus’ Condemnation and Peter’s Denials (NET)</w:t>
      </w:r>
    </w:p>
    <w:p>
      <w:pPr/>
      <w:r>
        <w:rPr>
          <w:lang w:val="en_US" w:bidi="en_US"/>
        </w:rPr>
      </w:r>
      <w:r>
        <w:rPr>
          <w:lang w:val="en_US" w:bidi="en_US"/>
        </w:rPr>
        <w:t>Peter Says He Doesn’t Know Jesus (NCV)</w:t>
      </w:r>
    </w:p>
    <w:p>
      <w:pPr/>
      <w:r>
        <w:rPr>
          <w:lang w:val="en_US" w:bidi="en_US"/>
        </w:rPr>
      </w:r>
      <w:r>
        <w:rPr>
          <w:lang w:val="en_US" w:bidi="en_US"/>
        </w:rPr>
        <w:t>There are parallel passages for this section in Matthew 26:57–58, 26:69–75, Mark 14:53–54, 14:66–72, and John 18:12–18, 18:25–27.</w:t>
      </w:r>
    </w:p>
    <w:p>
      <w:pPr>
        <w:pStyle w:val="Heading5"/>
      </w:pPr>
      <w:r>
        <w:rPr>
          <w:lang w:val="en_US" w:bidi="en_US"/>
        </w:rPr>
        <w:t>22:59a</w:t>
      </w:r>
    </w:p>
    <w:p>
      <w:pPr/>
      <w:r>
        <w:rPr>
          <w:lang w:val="en_US" w:bidi="en_US"/>
        </w:rPr>
      </w:r>
      <w:r>
        <w:rPr>
          <w:b/>
          <w:lang w:val="en_US" w:bidi="en_US"/>
        </w:rPr>
        <w:t>About an hour later, another man insisted,</w:t>
      </w:r>
    </w:p>
    <w:p>
      <w:pPr>
        <w:pStyle w:val="ListBullet"/>
        <w:spacing w:line="240" w:lineRule="auto"/>
        <w:ind w:left="720"/>
      </w:pPr>
      <w:r>
        <w:rPr>
          <w:lang w:val="en_US" w:bidi="en_US"/>
        </w:rPr>
      </w:r>
      <w:r>
        <w:rPr>
          <w:lang w:val="en_US" w:bidi="en_US"/>
        </w:rPr>
        <w:t>¶ About an hour after that, someone else insisted, saying,</w:t>
      </w:r>
    </w:p>
    <w:p>
      <w:pPr>
        <w:pStyle w:val="ListBullet"/>
        <w:spacing w:line="240" w:lineRule="auto"/>
        <w:ind w:left="720"/>
      </w:pPr>
      <w:r>
        <w:rPr>
          <w:lang w:val="en_US" w:bidi="en_US"/>
        </w:rPr>
      </w:r>
      <w:r>
        <w:rPr>
          <w:lang w:val="en_US" w:bidi="en_US"/>
        </w:rPr>
        <w:t>¶ An hour or so later, a different man began to insist,</w:t>
      </w:r>
    </w:p>
    <w:p>
      <w:pPr/>
      <w:r>
        <w:rPr>
          <w:lang w:val="en_US" w:bidi="en_US"/>
        </w:rPr>
      </w:r>
      <w:r>
        <w:rPr>
          <w:b/>
          <w:lang w:val="en_US" w:bidi="en_US"/>
        </w:rPr>
        <w:t>About an hour later:</w:t>
      </w:r>
      <w:r>
        <w:rPr>
          <w:lang w:val="en_US" w:bidi="en_US"/>
        </w:rPr>
        <w:t xml:space="preserve"> The phrase </w:t>
      </w:r>
      <w:r>
        <w:rPr>
          <w:i/>
          <w:lang w:val="en_US" w:bidi="en_US"/>
        </w:rPr>
        <w:t>About an hour later</w:t>
      </w:r>
      <w:r>
        <w:rPr>
          <w:lang w:val="en_US" w:bidi="en_US"/>
        </w:rPr>
        <w:t xml:space="preserve"> refers to the time after the second person recognized him. Other ways to translate it are:</w:t>
      </w:r>
    </w:p>
    <w:p>
      <w:pPr/>
      <w:r>
        <w:rPr>
          <w:lang w:val="en_US" w:bidi="en_US"/>
        </w:rPr>
      </w:r>
      <w:r>
        <w:rPr>
          <w:lang w:val="en_US" w:bidi="en_US"/>
        </w:rPr>
        <w:t>When another hour had passed</w:t>
      </w:r>
    </w:p>
    <w:p>
      <w:pPr/>
      <w:r>
        <w:rPr>
          <w:lang w:val="en_US" w:bidi="en_US"/>
        </w:rPr>
      </w:r>
      <w:r>
        <w:rPr>
          <w:lang w:val="en_US" w:bidi="en_US"/>
        </w:rPr>
        <w:t xml:space="preserve">About an hour after </w:t>
      </w:r>
      <w:r>
        <w:rPr>
          <w:lang w:val="en_US" w:bidi="en_US"/>
        </w:rPr>
        <w:t>he said this</w:t>
      </w:r>
    </w:p>
    <w:p>
      <w:pPr/>
      <w:r>
        <w:rPr>
          <w:lang w:val="en_US" w:bidi="en_US"/>
        </w:rPr>
      </w:r>
      <w:r>
        <w:rPr>
          <w:lang w:val="en_US" w:bidi="en_US"/>
        </w:rPr>
        <w:t>In some languages it may be appropriate to use a more general way to refer to the time. For example:</w:t>
      </w:r>
    </w:p>
    <w:p>
      <w:pPr/>
      <w:r>
        <w:rPr>
          <w:lang w:val="en_US" w:bidi="en_US"/>
        </w:rPr>
      </w:r>
      <w:r>
        <w:rPr>
          <w:lang w:val="en_US" w:bidi="en_US"/>
        </w:rPr>
        <w:t>Then a while later</w:t>
      </w:r>
    </w:p>
    <w:p>
      <w:pPr/>
      <w:r>
        <w:rPr>
          <w:lang w:val="en_US" w:bidi="en_US"/>
        </w:rPr>
      </w:r>
      <w:r>
        <w:rPr>
          <w:lang w:val="en_US" w:bidi="en_US"/>
        </w:rPr>
        <w:t>Use a natural phrase in your language.</w:t>
      </w:r>
    </w:p>
    <w:p>
      <w:pPr/>
      <w:r>
        <w:rPr>
          <w:lang w:val="en_US" w:bidi="en_US"/>
        </w:rPr>
      </w:r>
      <w:r>
        <w:rPr>
          <w:b/>
          <w:lang w:val="en_US" w:bidi="en_US"/>
        </w:rPr>
        <w:t>another man:</w:t>
      </w:r>
      <w:r>
        <w:rPr>
          <w:lang w:val="en_US" w:bidi="en_US"/>
        </w:rPr>
        <w:t xml:space="preserve"> The Greek phrase that the BSB translates as </w:t>
      </w:r>
      <w:r>
        <w:rPr>
          <w:i/>
          <w:lang w:val="en_US" w:bidi="en_US"/>
        </w:rPr>
        <w:t>another</w:t>
      </w:r>
      <w:r>
        <w:rPr>
          <w:lang w:val="en_US" w:bidi="en_US"/>
        </w:rPr>
        <w:t xml:space="preserve"> refers to someone else, probably to another man. Some other ways to translate it are:</w:t>
      </w:r>
    </w:p>
    <w:p>
      <w:pPr/>
      <w:r>
        <w:rPr>
          <w:lang w:val="en_US" w:bidi="en_US"/>
        </w:rPr>
      </w:r>
      <w:r>
        <w:rPr>
          <w:lang w:val="en_US" w:bidi="en_US"/>
        </w:rPr>
        <w:t>another person</w:t>
      </w:r>
    </w:p>
    <w:p>
      <w:pPr/>
      <w:r>
        <w:rPr>
          <w:lang w:val="en_US" w:bidi="en_US"/>
        </w:rPr>
      </w:r>
      <w:r>
        <w:rPr>
          <w:lang w:val="en_US" w:bidi="en_US"/>
        </w:rPr>
        <w:t>someone else (REB)</w:t>
      </w:r>
    </w:p>
    <w:p>
      <w:pPr/>
      <w:r>
        <w:rPr>
          <w:lang w:val="en_US" w:bidi="en_US"/>
        </w:rPr>
      </w:r>
      <w:r>
        <w:rPr>
          <w:b/>
          <w:lang w:val="en_US" w:bidi="en_US"/>
        </w:rPr>
        <w:t>insisted:</w:t>
      </w:r>
      <w:r>
        <w:rPr>
          <w:lang w:val="en_US" w:bidi="en_US"/>
        </w:rPr>
        <w:t xml:space="preserve"> The Greek word that the BSB translates as </w:t>
      </w:r>
      <w:r>
        <w:rPr>
          <w:i/>
          <w:lang w:val="en_US" w:bidi="en_US"/>
        </w:rPr>
        <w:t>insisted</w:t>
      </w:r>
      <w:r>
        <w:rPr>
          <w:lang w:val="en_US" w:bidi="en_US"/>
        </w:rPr>
        <w:t xml:space="preserve"> means “to declare firmly, to assert.” It indicates here that this third person was certain that his statement about Peter was true: Peter was with Jesus. Here is another way to translate this:</w:t>
      </w:r>
    </w:p>
    <w:p>
      <w:pPr/>
      <w:r>
        <w:rPr>
          <w:lang w:val="en_US" w:bidi="en_US"/>
        </w:rPr>
      </w:r>
      <w:r>
        <w:rPr>
          <w:lang w:val="en_US" w:bidi="en_US"/>
        </w:rPr>
        <w:t>asserted (NIV)</w:t>
      </w:r>
    </w:p>
    <w:p>
      <w:pPr>
        <w:pStyle w:val="Heading5"/>
      </w:pPr>
      <w:r>
        <w:rPr>
          <w:lang w:val="en_US" w:bidi="en_US"/>
        </w:rPr>
        <w:t>22:59b</w:t>
      </w:r>
    </w:p>
    <w:p>
      <w:pPr/>
      <w:r>
        <w:rPr>
          <w:lang w:val="en_US" w:bidi="en_US"/>
        </w:rPr>
      </w:r>
      <w:r>
        <w:rPr>
          <w:b/>
          <w:lang w:val="en_US" w:bidi="en_US"/>
        </w:rPr>
        <w:t>“Certainly this man was with Him,</w:t>
      </w:r>
    </w:p>
    <w:p>
      <w:pPr>
        <w:pStyle w:val="ListBullet"/>
        <w:spacing w:line="240" w:lineRule="auto"/>
        <w:ind w:left="720"/>
      </w:pPr>
      <w:r>
        <w:rPr>
          <w:lang w:val="en_US" w:bidi="en_US"/>
        </w:rPr>
      </w:r>
      <w:r>
        <w:rPr>
          <w:lang w:val="en_US" w:bidi="en_US"/>
        </w:rPr>
        <w:t>“This man was definitely/surely with Jesus,</w:t>
      </w:r>
    </w:p>
    <w:p>
      <w:pPr>
        <w:pStyle w:val="ListBullet"/>
        <w:spacing w:line="240" w:lineRule="auto"/>
        <w:ind w:left="720"/>
      </w:pPr>
      <w:r>
        <w:rPr>
          <w:lang w:val="en_US" w:bidi="en_US"/>
        </w:rPr>
      </w:r>
      <w:r>
        <w:rPr>
          <w:lang w:val="en_US" w:bidi="en_US"/>
        </w:rPr>
        <w:t>“This man must have been with Jesus,</w:t>
      </w:r>
    </w:p>
    <w:p>
      <w:pPr/>
      <w:r>
        <w:rPr>
          <w:lang w:val="en_US" w:bidi="en_US"/>
        </w:rPr>
      </w:r>
      <w:r>
        <w:rPr>
          <w:b/>
          <w:lang w:val="en_US" w:bidi="en_US"/>
        </w:rPr>
        <w:t>Certainly:</w:t>
      </w:r>
      <w:r>
        <w:rPr>
          <w:lang w:val="en_US" w:bidi="en_US"/>
        </w:rPr>
        <w:t xml:space="preserve"> The Greek expression that the BSB translates as </w:t>
      </w:r>
      <w:r>
        <w:rPr>
          <w:i/>
          <w:lang w:val="en_US" w:bidi="en_US"/>
        </w:rPr>
        <w:t>Certainly</w:t>
      </w:r>
      <w:r>
        <w:rPr>
          <w:lang w:val="en_US" w:bidi="en_US"/>
        </w:rPr>
        <w:t xml:space="preserve"> is literally “of a truth.” Translate in a way that indicates that a person is sure about what he saying. For example:</w:t>
      </w:r>
    </w:p>
    <w:p>
      <w:pPr/>
      <w:r>
        <w:rPr>
          <w:lang w:val="en_US" w:bidi="en_US"/>
        </w:rPr>
      </w:r>
      <w:r>
        <w:rPr>
          <w:lang w:val="en_US" w:bidi="en_US"/>
        </w:rPr>
        <w:t>There isn’t any doubt (GNT)</w:t>
      </w:r>
    </w:p>
    <w:p>
      <w:pPr/>
      <w:r>
        <w:rPr>
          <w:lang w:val="en_US" w:bidi="en_US"/>
        </w:rPr>
      </w:r>
      <w:r>
        <w:rPr>
          <w:lang w:val="en_US" w:bidi="en_US"/>
        </w:rPr>
        <w:t>It’s obvious (GW)</w:t>
      </w:r>
    </w:p>
    <w:p>
      <w:pPr/>
      <w:r>
        <w:rPr>
          <w:lang w:val="en_US" w:bidi="en_US"/>
        </w:rPr>
      </w:r>
      <w:r>
        <w:rPr>
          <w:lang w:val="en_US" w:bidi="en_US"/>
        </w:rPr>
        <w:t>Of course (REB)</w:t>
      </w:r>
    </w:p>
    <w:p>
      <w:pPr/>
      <w:r>
        <w:rPr>
          <w:lang w:val="en_US" w:bidi="en_US"/>
        </w:rPr>
      </w:r>
      <w:r>
        <w:rPr>
          <w:b/>
          <w:lang w:val="en_US" w:bidi="en_US"/>
        </w:rPr>
        <w:t>this man was with Him:</w:t>
      </w:r>
      <w:r>
        <w:rPr>
          <w:lang w:val="en_US" w:bidi="en_US"/>
        </w:rPr>
        <w:t xml:space="preserve"> Here the speaker spoke to the other people there. He did not speak directly to Peter. He was talking about Peter and Jesus. Here is another way to translate this:</w:t>
      </w:r>
    </w:p>
    <w:p>
      <w:pPr/>
      <w:r>
        <w:rPr>
          <w:lang w:val="en_US" w:bidi="en_US"/>
        </w:rPr>
      </w:r>
      <w:r>
        <w:rPr>
          <w:lang w:val="en_US" w:bidi="en_US"/>
        </w:rPr>
        <w:t>this man was with Jesus (GNT)</w:t>
      </w:r>
    </w:p>
    <w:p>
      <w:pPr>
        <w:pStyle w:val="Heading5"/>
      </w:pPr>
      <w:r>
        <w:rPr>
          <w:lang w:val="en_US" w:bidi="en_US"/>
        </w:rPr>
        <w:t>22:59c</w:t>
      </w:r>
    </w:p>
    <w:p>
      <w:pPr/>
      <w:r>
        <w:rPr>
          <w:lang w:val="en_US" w:bidi="en_US"/>
        </w:rPr>
      </w:r>
      <w:r>
        <w:rPr>
          <w:b/>
          <w:lang w:val="en_US" w:bidi="en_US"/>
        </w:rPr>
        <w:t>for he too is a Galilean.”</w:t>
      </w:r>
    </w:p>
    <w:p>
      <w:pPr>
        <w:pStyle w:val="ListBullet"/>
        <w:spacing w:line="240" w:lineRule="auto"/>
        <w:ind w:left="720"/>
      </w:pPr>
      <w:r>
        <w:rPr>
          <w:lang w:val="en_US" w:bidi="en_US"/>
        </w:rPr>
      </w:r>
      <w:r>
        <w:rPr>
          <w:lang w:val="en_US" w:bidi="en_US"/>
        </w:rPr>
        <w:t xml:space="preserve">because he </w:t>
      </w:r>
      <w:r>
        <w:rPr>
          <w:lang w:val="en_US" w:bidi="en_US"/>
        </w:rPr>
        <w:t>too</w:t>
      </w:r>
      <w:r>
        <w:rPr>
          <w:lang w:val="en_US" w:bidi="en_US"/>
        </w:rPr>
        <w:t xml:space="preserve"> is from Galilee.”</w:t>
      </w:r>
    </w:p>
    <w:p>
      <w:pPr>
        <w:pStyle w:val="ListBullet"/>
        <w:spacing w:line="240" w:lineRule="auto"/>
        <w:ind w:left="720"/>
      </w:pPr>
      <w:r>
        <w:rPr>
          <w:lang w:val="en_US" w:bidi="en_US"/>
        </w:rPr>
      </w:r>
      <w:r>
        <w:rPr>
          <w:lang w:val="en_US" w:bidi="en_US"/>
        </w:rPr>
        <w:t xml:space="preserve">because he </w:t>
      </w:r>
      <w:r>
        <w:rPr>
          <w:lang w:val="en_US" w:bidi="en_US"/>
        </w:rPr>
        <w:t>also</w:t>
      </w:r>
      <w:r>
        <w:rPr>
          <w:lang w:val="en_US" w:bidi="en_US"/>
        </w:rPr>
        <w:t xml:space="preserve"> comes from </w:t>
      </w:r>
      <w:r>
        <w:rPr>
          <w:lang w:val="en_US" w:bidi="en_US"/>
        </w:rPr>
        <w:t>the district/province of</w:t>
      </w:r>
      <w:r>
        <w:rPr>
          <w:lang w:val="en_US" w:bidi="en_US"/>
        </w:rPr>
        <w:t xml:space="preserve"> Galilee.”</w:t>
      </w:r>
    </w:p>
    <w:p>
      <w:pPr/>
      <w:r>
        <w:rPr>
          <w:lang w:val="en_US" w:bidi="en_US"/>
        </w:rPr>
      </w:r>
      <w:r>
        <w:rPr>
          <w:b/>
          <w:lang w:val="en_US" w:bidi="en_US"/>
        </w:rPr>
        <w:t>for he too is a Galilean:</w:t>
      </w:r>
      <w:r>
        <w:rPr>
          <w:lang w:val="en_US" w:bidi="en_US"/>
        </w:rPr>
        <w:t xml:space="preserve"> This clause gives the reason why the speaker was so confident that Peter was with Jesus. He was sure of this, because Peter and Jesus both came from Galilee District. The speaker probably knew this because Peter and Jesus spoke with a Galilean accent, which was different from the way the people of Judea spoke. Matthew 26:73 makes this explicit.</w:t>
      </w:r>
    </w:p>
    <w:p>
      <w:pPr/>
      <w:r>
        <w:rPr>
          <w:lang w:val="en_US" w:bidi="en_US"/>
        </w:rPr>
      </w:r>
      <w:r>
        <w:rPr>
          <w:lang w:val="en_US" w:bidi="en_US"/>
        </w:rPr>
        <w:t xml:space="preserve">In Greek the clause </w:t>
      </w:r>
      <w:r>
        <w:rPr>
          <w:i/>
          <w:lang w:val="en_US" w:bidi="en_US"/>
        </w:rPr>
        <w:t>for he too is a Galilean</w:t>
      </w:r>
      <w:r>
        <w:rPr>
          <w:lang w:val="en_US" w:bidi="en_US"/>
        </w:rPr>
        <w:t xml:space="preserve"> includes a word meaning </w:t>
      </w:r>
      <w:r>
        <w:rPr>
          <w:i/>
          <w:lang w:val="en_US" w:bidi="en_US"/>
        </w:rPr>
        <w:t>too</w:t>
      </w:r>
      <w:r>
        <w:rPr>
          <w:lang w:val="en_US" w:bidi="en_US"/>
        </w:rPr>
        <w:t xml:space="preserve"> or “also,” as in 22:56c and 22:58b. Some other ways to translate the clause are:</w:t>
      </w:r>
    </w:p>
    <w:p>
      <w:pPr/>
      <w:r>
        <w:rPr>
          <w:lang w:val="en_US" w:bidi="en_US"/>
        </w:rPr>
      </w:r>
      <w:r>
        <w:rPr>
          <w:lang w:val="en_US" w:bidi="en_US"/>
        </w:rPr>
        <w:t>…because he also is a Galilean! (GNT)</w:t>
      </w:r>
    </w:p>
    <w:p>
      <w:pPr/>
      <w:r>
        <w:rPr>
          <w:lang w:val="en_US" w:bidi="en_US"/>
        </w:rPr>
      </w:r>
      <w:r>
        <w:rPr>
          <w:lang w:val="en_US" w:bidi="en_US"/>
        </w:rPr>
        <w:t>They both come from Galilee. (CEV)</w:t>
      </w:r>
      <w:r>
        <w:rPr>
          <w:lang w:val="en_US" w:bidi="en_US"/>
        </w:rPr>
      </w:r>
      <w:r>
        <w:rPr>
          <w:lang w:val="en_US" w:bidi="en_US"/>
        </w:rPr>
      </w:r>
    </w:p>
    <w:p>
      <w:pPr/>
      <w:r>
        <w:rPr>
          <w:lang w:val="en_US" w:bidi="en_US"/>
        </w:rPr>
      </w:r>
    </w:p>
    <w:p>
      <w:pPr>
        <w:pStyle w:val="Heading2"/>
      </w:pPr>
      <w:r>
        <w:rPr>
          <w:lang w:val="en_US" w:bidi="en_US"/>
        </w:rPr>
        <w:t>Luke 22:60</w:t>
      </w:r>
      <w:r>
        <w:rPr>
          <w:lang w:val="en_US" w:bidi="en_US"/>
        </w:rPr>
      </w:r>
    </w:p>
    <w:p>
      <w:pPr>
        <w:pStyle w:val="Heading4"/>
      </w:pPr>
      <w:r>
        <w:rPr>
          <w:lang w:val="en_US" w:bidi="en_US"/>
        </w:rPr>
        <w:t>Section 22:54–62: Jesus’ enemies arrested him, and Peter denied him</w:t>
      </w:r>
    </w:p>
    <w:p>
      <w:pPr/>
      <w:r>
        <w:rPr>
          <w:lang w:val="en_US" w:bidi="en_US"/>
        </w:rPr>
      </w:r>
      <w:r>
        <w:rPr>
          <w:lang w:val="en_US" w:bidi="en_US"/>
        </w:rPr>
        <w:t>In 22:33 Peter said that he would never leave Jesus or be unfaithful to him. But in 22:34 Jesus predicted that actually Peter would say three times that he did not know Jesus. After Jesus was arrested, Peter followed Jesus to the house of the high priest and waited in the courtyard. Three different people said that Peter had been with Jesus, and three times Peter said he did not know Jesus. But then a rooster crowed, and Peter suddenly remembered what Jesus had said. Peter wept with great sorrow because he had denied that he knew Jesus his Lord.</w:t>
      </w:r>
    </w:p>
    <w:p>
      <w:pPr/>
      <w:r>
        <w:rPr>
          <w:lang w:val="en_US" w:bidi="en_US"/>
        </w:rPr>
      </w:r>
      <w:r>
        <w:rPr>
          <w:lang w:val="en_US" w:bidi="en_US"/>
        </w:rPr>
        <w:t>Some other examples of headings for this section are:</w:t>
      </w:r>
    </w:p>
    <w:p>
      <w:pPr/>
      <w:r>
        <w:rPr>
          <w:lang w:val="en_US" w:bidi="en_US"/>
        </w:rPr>
      </w:r>
      <w:r>
        <w:rPr>
          <w:lang w:val="en_US" w:bidi="en_US"/>
        </w:rPr>
        <w:t>Peter Denies Jesus (NRSV)</w:t>
      </w:r>
    </w:p>
    <w:p>
      <w:pPr/>
      <w:r>
        <w:rPr>
          <w:lang w:val="en_US" w:bidi="en_US"/>
        </w:rPr>
      </w:r>
      <w:r>
        <w:rPr>
          <w:lang w:val="en_US" w:bidi="en_US"/>
        </w:rPr>
        <w:t>Jesus’ Condemnation and Peter’s Denials (NET)</w:t>
      </w:r>
    </w:p>
    <w:p>
      <w:pPr/>
      <w:r>
        <w:rPr>
          <w:lang w:val="en_US" w:bidi="en_US"/>
        </w:rPr>
      </w:r>
      <w:r>
        <w:rPr>
          <w:lang w:val="en_US" w:bidi="en_US"/>
        </w:rPr>
        <w:t>Peter Says He Doesn’t Know Jesus (NCV)</w:t>
      </w:r>
    </w:p>
    <w:p>
      <w:pPr/>
      <w:r>
        <w:rPr>
          <w:lang w:val="en_US" w:bidi="en_US"/>
        </w:rPr>
      </w:r>
      <w:r>
        <w:rPr>
          <w:lang w:val="en_US" w:bidi="en_US"/>
        </w:rPr>
        <w:t>There are parallel passages for this section in Matthew 26:57–58, 26:69–75, Mark 14:53–54, 14:66–72, and John 18:12–18, 18:25–27.</w:t>
      </w:r>
    </w:p>
    <w:p>
      <w:pPr>
        <w:pStyle w:val="Heading5"/>
      </w:pPr>
      <w:r>
        <w:rPr>
          <w:lang w:val="en_US" w:bidi="en_US"/>
        </w:rPr>
        <w:t>22:60a</w:t>
      </w:r>
    </w:p>
    <w:p>
      <w:pPr/>
      <w:r>
        <w:rPr>
          <w:lang w:val="en_US" w:bidi="en_US"/>
        </w:rPr>
      </w:r>
      <w:r>
        <w:rPr>
          <w:b/>
          <w:lang w:val="en_US" w:bidi="en_US"/>
        </w:rPr>
        <w:t>“Man, I do not know what you are talking about,” Peter replied.</w:t>
      </w:r>
    </w:p>
    <w:p>
      <w:pPr>
        <w:pStyle w:val="ListBullet"/>
        <w:spacing w:line="240" w:lineRule="auto"/>
        <w:ind w:left="720"/>
      </w:pPr>
      <w:r>
        <w:rPr>
          <w:lang w:val="en_US" w:bidi="en_US"/>
        </w:rPr>
      </w:r>
      <w:r>
        <w:rPr>
          <w:lang w:val="en_US" w:bidi="en_US"/>
        </w:rPr>
        <w:t>And Peter said to him, “Man/Sir, I have no idea what you mean!”</w:t>
      </w:r>
    </w:p>
    <w:p>
      <w:pPr>
        <w:pStyle w:val="ListBullet"/>
        <w:spacing w:line="240" w:lineRule="auto"/>
        <w:ind w:left="720"/>
      </w:pPr>
      <w:r>
        <w:rPr>
          <w:lang w:val="en_US" w:bidi="en_US"/>
        </w:rPr>
      </w:r>
      <w:r>
        <w:rPr>
          <w:lang w:val="en_US" w:bidi="en_US"/>
        </w:rPr>
        <w:t xml:space="preserve">Then Peter told him, “Friend, I do not know why you are saying what </w:t>
      </w:r>
      <w:r>
        <w:rPr>
          <w:lang w:val="en_US" w:bidi="en_US"/>
        </w:rPr>
        <w:t>is not true</w:t>
      </w:r>
      <w:r>
        <w:rPr>
          <w:lang w:val="en_US" w:bidi="en_US"/>
        </w:rPr>
        <w:t xml:space="preserve"> like that!”</w:t>
      </w:r>
    </w:p>
    <w:p>
      <w:pPr>
        <w:pStyle w:val="ListBullet"/>
        <w:spacing w:line="240" w:lineRule="auto"/>
        <w:ind w:left="720"/>
      </w:pPr>
      <w:r>
        <w:rPr>
          <w:lang w:val="en_US" w:bidi="en_US"/>
        </w:rPr>
      </w:r>
      <w:r>
        <w:rPr>
          <w:lang w:val="en_US" w:bidi="en_US"/>
        </w:rPr>
        <w:t xml:space="preserve">But Peter said, “My Brother, why are you saying </w:t>
      </w:r>
      <w:r>
        <w:rPr>
          <w:lang w:val="en_US" w:bidi="en_US"/>
        </w:rPr>
        <w:t>what is false/wrong</w:t>
      </w:r>
      <w:r>
        <w:rPr>
          <w:lang w:val="en_US" w:bidi="en_US"/>
        </w:rPr>
        <w:t xml:space="preserve"> ?!”</w:t>
      </w:r>
    </w:p>
    <w:p>
      <w:pPr/>
      <w:r>
        <w:rPr>
          <w:lang w:val="en_US" w:bidi="en_US"/>
        </w:rPr>
      </w:r>
      <w:r>
        <w:rPr>
          <w:b/>
          <w:lang w:val="en_US" w:bidi="en_US"/>
        </w:rPr>
        <w:t>“Man, I do not know what you are talking about,” Peter replied:</w:t>
      </w:r>
      <w:r>
        <w:rPr>
          <w:lang w:val="en_US" w:bidi="en_US"/>
        </w:rPr>
        <w:t xml:space="preserve"> The Greek words that the BSB translates as </w:t>
      </w:r>
      <w:r>
        <w:rPr>
          <w:i/>
          <w:lang w:val="en_US" w:bidi="en_US"/>
        </w:rPr>
        <w:t>Peter replied</w:t>
      </w:r>
      <w:r>
        <w:rPr>
          <w:lang w:val="en_US" w:bidi="en_US"/>
        </w:rPr>
        <w:t xml:space="preserve"> are literally “and/but Peter said.” The BSB places these words at the end of what Peter said. This is good English style. However, in some languages, it may be necessary to put these words where they are in the Greek, at the beginning of 22:60a. For example:</w:t>
      </w:r>
    </w:p>
    <w:p>
      <w:pPr/>
      <w:r>
        <w:rPr>
          <w:lang w:val="en_US" w:bidi="en_US"/>
        </w:rPr>
      </w:r>
      <w:r>
        <w:rPr>
          <w:lang w:val="en_US" w:bidi="en_US"/>
        </w:rPr>
        <w:t>Peter replied, “Man, I don’t know what you're talking about!” (NIV)</w:t>
      </w:r>
    </w:p>
    <w:p>
      <w:pPr/>
      <w:r>
        <w:rPr>
          <w:lang w:val="en_US" w:bidi="en_US"/>
        </w:rPr>
      </w:r>
      <w:r>
        <w:rPr>
          <w:lang w:val="en_US" w:bidi="en_US"/>
        </w:rPr>
        <w:t>Peter addressed this other person in the same way as he addressed the man in 22:58. You may translate in the same way here. See the note on 22:58c.</w:t>
      </w:r>
    </w:p>
    <w:p>
      <w:pPr/>
      <w:r>
        <w:rPr>
          <w:lang w:val="en_US" w:bidi="en_US"/>
        </w:rPr>
      </w:r>
      <w:r>
        <w:rPr>
          <w:b/>
          <w:lang w:val="en_US" w:bidi="en_US"/>
        </w:rPr>
        <w:t>I do not know what you are talking about:</w:t>
      </w:r>
      <w:r>
        <w:rPr>
          <w:lang w:val="en_US" w:bidi="en_US"/>
        </w:rPr>
        <w:t xml:space="preserve"> The statement </w:t>
      </w:r>
      <w:r>
        <w:rPr>
          <w:i/>
          <w:lang w:val="en_US" w:bidi="en_US"/>
        </w:rPr>
        <w:t>I do not know what you are talking about</w:t>
      </w:r>
      <w:r>
        <w:rPr>
          <w:lang w:val="en_US" w:bidi="en_US"/>
        </w:rPr>
        <w:t xml:space="preserve"> is an emphatic way to deny what someone says. Here Peter emphasized that what the man said was not true. He implied that he did not know why the man said that. Other ways to translate Peter’s statement are:</w:t>
      </w:r>
    </w:p>
    <w:p>
      <w:pPr/>
      <w:r>
        <w:rPr>
          <w:lang w:val="en_US" w:bidi="en_US"/>
        </w:rPr>
      </w:r>
      <w:r>
        <w:rPr>
          <w:lang w:val="en_US" w:bidi="en_US"/>
        </w:rPr>
        <w:t>I have no idea what you mean.</w:t>
      </w:r>
    </w:p>
    <w:p>
      <w:pPr/>
      <w:r>
        <w:rPr>
          <w:lang w:val="en_US" w:bidi="en_US"/>
        </w:rPr>
      </w:r>
      <w:r>
        <w:rPr>
          <w:lang w:val="en_US" w:bidi="en_US"/>
        </w:rPr>
        <w:t>I don’t know what you are saying there.</w:t>
      </w:r>
      <w:r>
        <w:rPr>
          <w:lang w:val="en_US" w:bidi="en_US"/>
        </w:rPr>
        <w:t>Yakan back translation on TW.</w:t>
      </w:r>
    </w:p>
    <w:p>
      <w:pPr/>
      <w:r>
        <w:rPr>
          <w:lang w:val="en_US" w:bidi="en_US"/>
        </w:rPr>
      </w:r>
      <w:r>
        <w:rPr>
          <w:lang w:val="en_US" w:bidi="en_US"/>
        </w:rPr>
        <w:t>In some languages a literal translation communicates a wrong meaning. If that is true in your language, emphasize Peter’s denial in a different and more direct way. For example:</w:t>
      </w:r>
    </w:p>
    <w:p>
      <w:pPr/>
      <w:r>
        <w:rPr>
          <w:lang w:val="en_US" w:bidi="en_US"/>
        </w:rPr>
      </w:r>
      <w:r>
        <w:rPr>
          <w:lang w:val="en_US" w:bidi="en_US"/>
        </w:rPr>
        <w:t>What you say is definitely not true!</w:t>
      </w:r>
    </w:p>
    <w:p>
      <w:pPr/>
      <w:r>
        <w:rPr>
          <w:lang w:val="en_US" w:bidi="en_US"/>
        </w:rPr>
      </w:r>
      <w:r>
        <w:rPr>
          <w:lang w:val="en_US" w:bidi="en_US"/>
        </w:rPr>
        <w:t>I do not know why you would say that!</w:t>
      </w:r>
    </w:p>
    <w:p>
      <w:pPr/>
      <w:r>
        <w:rPr>
          <w:lang w:val="en_US" w:bidi="en_US"/>
        </w:rPr>
      </w:r>
      <w:r>
        <w:rPr>
          <w:lang w:val="en_US" w:bidi="en_US"/>
        </w:rPr>
        <w:t xml:space="preserve">Why do you say that </w:t>
      </w:r>
      <w:r>
        <w:rPr>
          <w:lang w:val="en_US" w:bidi="en_US"/>
        </w:rPr>
        <w:t>wrong</w:t>
      </w:r>
      <w:r>
        <w:rPr>
          <w:lang w:val="en_US" w:bidi="en_US"/>
        </w:rPr>
        <w:t xml:space="preserve"> thing?!</w:t>
      </w:r>
    </w:p>
    <w:p>
      <w:pPr/>
      <w:r>
        <w:rPr>
          <w:lang w:val="en_US" w:bidi="en_US"/>
        </w:rPr>
      </w:r>
      <w:r>
        <w:rPr>
          <w:lang w:val="en_US" w:bidi="en_US"/>
        </w:rPr>
        <w:t>Use a natural way in your culture to emphatically deny what someone has said. Be sure that your translation of this whole section indicates clearly that Peter was the person who was not telling the truth when he denied Jesus. He spoke falsely like that because he was afraid.</w:t>
      </w:r>
    </w:p>
    <w:p>
      <w:pPr>
        <w:pStyle w:val="Heading5"/>
      </w:pPr>
      <w:r>
        <w:rPr>
          <w:lang w:val="en_US" w:bidi="en_US"/>
        </w:rPr>
        <w:t>22:60b</w:t>
      </w:r>
    </w:p>
    <w:p>
      <w:pPr/>
      <w:r>
        <w:rPr>
          <w:lang w:val="en_US" w:bidi="en_US"/>
        </w:rPr>
      </w:r>
      <w:r>
        <w:rPr>
          <w:b/>
          <w:lang w:val="en_US" w:bidi="en_US"/>
        </w:rPr>
        <w:t>While he was still speaking, the rooster crowed.</w:t>
      </w:r>
    </w:p>
    <w:p>
      <w:pPr>
        <w:pStyle w:val="ListBullet"/>
        <w:spacing w:line="240" w:lineRule="auto"/>
        <w:ind w:left="720"/>
      </w:pPr>
      <w:r>
        <w:rPr>
          <w:lang w:val="en_US" w:bidi="en_US"/>
        </w:rPr>
      </w:r>
      <w:r>
        <w:rPr>
          <w:lang w:val="en_US" w:bidi="en_US"/>
        </w:rPr>
        <w:t>Immediately, while Peter was still saying this, a rooster crowed.</w:t>
      </w:r>
    </w:p>
    <w:p>
      <w:pPr>
        <w:pStyle w:val="ListBullet"/>
        <w:spacing w:line="240" w:lineRule="auto"/>
        <w:ind w:left="720"/>
      </w:pPr>
      <w:r>
        <w:rPr>
          <w:lang w:val="en_US" w:bidi="en_US"/>
        </w:rPr>
      </w:r>
      <w:r>
        <w:rPr>
          <w:lang w:val="en_US" w:bidi="en_US"/>
        </w:rPr>
        <w:t>Peter was still talking when he heard a cock cry.</w:t>
      </w:r>
    </w:p>
    <w:p>
      <w:pPr/>
      <w:r>
        <w:rPr>
          <w:lang w:val="en_US" w:bidi="en_US"/>
        </w:rPr>
      </w:r>
      <w:r>
        <w:rPr>
          <w:b/>
          <w:lang w:val="en_US" w:bidi="en_US"/>
        </w:rPr>
        <w:t>While he was still speaking, the rooster crowed:</w:t>
      </w:r>
      <w:r>
        <w:rPr>
          <w:lang w:val="en_US" w:bidi="en_US"/>
        </w:rPr>
        <w:t xml:space="preserve"> While Peter was denying the Lord the third time, he heard a rooster crow. This statement emphasizes that the rooster crowed even while Peter was still speaking. Some other ways to translate this are:</w:t>
      </w:r>
    </w:p>
    <w:p>
      <w:pPr/>
      <w:r>
        <w:rPr>
          <w:lang w:val="en_US" w:bidi="en_US"/>
        </w:rPr>
      </w:r>
      <w:r>
        <w:rPr>
          <w:lang w:val="en_US" w:bidi="en_US"/>
        </w:rPr>
        <w:t>And immediately, while he was still speaking (RSV)</w:t>
      </w:r>
    </w:p>
    <w:p>
      <w:pPr/>
      <w:r>
        <w:rPr>
          <w:lang w:val="en_US" w:bidi="en_US"/>
        </w:rPr>
      </w:r>
      <w:r>
        <w:rPr>
          <w:lang w:val="en_US" w:bidi="en_US"/>
        </w:rPr>
        <w:t>At that moment, as he was saying that</w:t>
      </w:r>
    </w:p>
    <w:p>
      <w:pPr/>
      <w:r>
        <w:rPr>
          <w:lang w:val="en_US" w:bidi="en_US"/>
        </w:rPr>
      </w:r>
      <w:r>
        <w:rPr>
          <w:b/>
          <w:lang w:val="en_US" w:bidi="en_US"/>
        </w:rPr>
        <w:t>the rooster crowed:</w:t>
      </w:r>
      <w:r>
        <w:rPr>
          <w:lang w:val="en_US" w:bidi="en_US"/>
        </w:rPr>
        <w:t xml:space="preserve"> Roosters usually crowed early in the morning, while it was still dark. (See the note on 22:34b.) Luke was referring to a rooster that was nearby so that Peter could clearly hear it.</w:t>
      </w:r>
    </w:p>
    <w:p>
      <w:pPr/>
      <w:r>
        <w:rPr>
          <w:lang w:val="en_US" w:bidi="en_US"/>
        </w:rPr>
      </w:r>
      <w:r>
        <w:rPr>
          <w:lang w:val="en_US" w:bidi="en_US"/>
        </w:rPr>
        <w:t xml:space="preserve">For help in translating </w:t>
      </w:r>
      <w:r>
        <w:rPr>
          <w:i/>
          <w:lang w:val="en_US" w:bidi="en_US"/>
        </w:rPr>
        <w:t>rooster</w:t>
      </w:r>
      <w:r>
        <w:rPr>
          <w:lang w:val="en_US" w:bidi="en_US"/>
        </w:rPr>
        <w:t xml:space="preserve"> and </w:t>
      </w:r>
      <w:r>
        <w:rPr>
          <w:i/>
          <w:lang w:val="en_US" w:bidi="en_US"/>
        </w:rPr>
        <w:t>crowed</w:t>
      </w:r>
      <w:r>
        <w:rPr>
          <w:lang w:val="en_US" w:bidi="en_US"/>
        </w:rPr>
        <w:t>, see the notes on 22:34b.</w:t>
      </w:r>
      <w:r>
        <w:rPr>
          <w:lang w:val="en_US" w:bidi="en_US"/>
        </w:rPr>
      </w:r>
      <w:r>
        <w:rPr>
          <w:lang w:val="en_US" w:bidi="en_US"/>
        </w:rPr>
      </w:r>
    </w:p>
    <w:p>
      <w:pPr/>
      <w:r>
        <w:rPr>
          <w:lang w:val="en_US" w:bidi="en_US"/>
        </w:rPr>
      </w:r>
    </w:p>
    <w:p>
      <w:pPr>
        <w:pStyle w:val="Heading2"/>
      </w:pPr>
      <w:r>
        <w:rPr>
          <w:lang w:val="en_US" w:bidi="en_US"/>
        </w:rPr>
        <w:t>Luke 22:61</w:t>
      </w:r>
      <w:r>
        <w:rPr>
          <w:lang w:val="en_US" w:bidi="en_US"/>
        </w:rPr>
      </w:r>
    </w:p>
    <w:p>
      <w:pPr>
        <w:pStyle w:val="Heading4"/>
      </w:pPr>
      <w:r>
        <w:rPr>
          <w:lang w:val="en_US" w:bidi="en_US"/>
        </w:rPr>
        <w:t>Section 22:54–62: Jesus’ enemies arrested him, and Peter denied him</w:t>
      </w:r>
    </w:p>
    <w:p>
      <w:pPr/>
      <w:r>
        <w:rPr>
          <w:lang w:val="en_US" w:bidi="en_US"/>
        </w:rPr>
      </w:r>
      <w:r>
        <w:rPr>
          <w:lang w:val="en_US" w:bidi="en_US"/>
        </w:rPr>
        <w:t>In 22:33 Peter said that he would never leave Jesus or be unfaithful to him. But in 22:34 Jesus predicted that actually Peter would say three times that he did not know Jesus. After Jesus was arrested, Peter followed Jesus to the house of the high priest and waited in the courtyard. Three different people said that Peter had been with Jesus, and three times Peter said he did not know Jesus. But then a rooster crowed, and Peter suddenly remembered what Jesus had said. Peter wept with great sorrow because he had denied that he knew Jesus his Lord.</w:t>
      </w:r>
    </w:p>
    <w:p>
      <w:pPr/>
      <w:r>
        <w:rPr>
          <w:lang w:val="en_US" w:bidi="en_US"/>
        </w:rPr>
      </w:r>
      <w:r>
        <w:rPr>
          <w:lang w:val="en_US" w:bidi="en_US"/>
        </w:rPr>
        <w:t>Some other examples of headings for this section are:</w:t>
      </w:r>
    </w:p>
    <w:p>
      <w:pPr/>
      <w:r>
        <w:rPr>
          <w:lang w:val="en_US" w:bidi="en_US"/>
        </w:rPr>
      </w:r>
      <w:r>
        <w:rPr>
          <w:lang w:val="en_US" w:bidi="en_US"/>
        </w:rPr>
        <w:t>Peter Denies Jesus (NRSV)</w:t>
      </w:r>
    </w:p>
    <w:p>
      <w:pPr/>
      <w:r>
        <w:rPr>
          <w:lang w:val="en_US" w:bidi="en_US"/>
        </w:rPr>
      </w:r>
      <w:r>
        <w:rPr>
          <w:lang w:val="en_US" w:bidi="en_US"/>
        </w:rPr>
        <w:t>Jesus’ Condemnation and Peter’s Denials (NET)</w:t>
      </w:r>
    </w:p>
    <w:p>
      <w:pPr/>
      <w:r>
        <w:rPr>
          <w:lang w:val="en_US" w:bidi="en_US"/>
        </w:rPr>
      </w:r>
      <w:r>
        <w:rPr>
          <w:lang w:val="en_US" w:bidi="en_US"/>
        </w:rPr>
        <w:t>Peter Says He Doesn’t Know Jesus (NCV)</w:t>
      </w:r>
    </w:p>
    <w:p>
      <w:pPr/>
      <w:r>
        <w:rPr>
          <w:lang w:val="en_US" w:bidi="en_US"/>
        </w:rPr>
      </w:r>
      <w:r>
        <w:rPr>
          <w:lang w:val="en_US" w:bidi="en_US"/>
        </w:rPr>
        <w:t>There are parallel passages for this section in Matthew 26:57–58, 26:69–75, Mark 14:53–54, 14:66–72, and John 18:12–18, 18:25–27.</w:t>
      </w:r>
    </w:p>
    <w:p>
      <w:pPr>
        <w:pStyle w:val="Heading5"/>
      </w:pPr>
      <w:r>
        <w:rPr>
          <w:lang w:val="en_US" w:bidi="en_US"/>
        </w:rPr>
        <w:t>22:61a</w:t>
      </w:r>
    </w:p>
    <w:p>
      <w:pPr/>
      <w:r>
        <w:rPr>
          <w:lang w:val="en_US" w:bidi="en_US"/>
        </w:rPr>
      </w:r>
      <w:r>
        <w:rPr>
          <w:b/>
          <w:lang w:val="en_US" w:bidi="en_US"/>
        </w:rPr>
        <w:t>And the Lord turned and looked at Peter.</w:t>
      </w:r>
    </w:p>
    <w:p>
      <w:pPr>
        <w:pStyle w:val="ListBullet"/>
        <w:spacing w:line="240" w:lineRule="auto"/>
        <w:ind w:left="720"/>
      </w:pPr>
      <w:r>
        <w:rPr>
          <w:lang w:val="en_US" w:bidi="en_US"/>
        </w:rPr>
      </w:r>
      <w:r>
        <w:rPr>
          <w:lang w:val="en_US" w:bidi="en_US"/>
        </w:rPr>
        <w:t>Then</w:t>
      </w:r>
      <w:r>
        <w:rPr>
          <w:lang w:val="en_US" w:bidi="en_US"/>
        </w:rPr>
        <w:t xml:space="preserve"> the Lord turned </w:t>
      </w:r>
      <w:r>
        <w:rPr>
          <w:lang w:val="en_US" w:bidi="en_US"/>
        </w:rPr>
        <w:t>around</w:t>
      </w:r>
      <w:r>
        <w:rPr>
          <w:lang w:val="en_US" w:bidi="en_US"/>
        </w:rPr>
        <w:t xml:space="preserve"> and looked directly at him,</w:t>
      </w:r>
    </w:p>
    <w:p>
      <w:pPr>
        <w:pStyle w:val="ListBullet"/>
        <w:spacing w:line="240" w:lineRule="auto"/>
        <w:ind w:left="720"/>
      </w:pPr>
      <w:r>
        <w:rPr>
          <w:lang w:val="en_US" w:bidi="en_US"/>
        </w:rPr>
      </w:r>
      <w:r>
        <w:rPr>
          <w:lang w:val="en_US" w:bidi="en_US"/>
        </w:rPr>
        <w:t xml:space="preserve">Immediately, the Lord </w:t>
      </w:r>
      <w:r>
        <w:rPr>
          <w:lang w:val="en_US" w:bidi="en_US"/>
        </w:rPr>
        <w:t>Jesus</w:t>
      </w:r>
      <w:r>
        <w:rPr>
          <w:lang w:val="en_US" w:bidi="en_US"/>
        </w:rPr>
        <w:t xml:space="preserve"> turned </w:t>
      </w:r>
      <w:r>
        <w:rPr>
          <w:lang w:val="en_US" w:bidi="en_US"/>
        </w:rPr>
        <w:t>toward Peter</w:t>
      </w:r>
      <w:r>
        <w:rPr>
          <w:lang w:val="en_US" w:bidi="en_US"/>
        </w:rPr>
        <w:t xml:space="preserve"> and looked at him.</w:t>
      </w:r>
    </w:p>
    <w:p>
      <w:pPr/>
      <w:r>
        <w:rPr>
          <w:lang w:val="en_US" w:bidi="en_US"/>
        </w:rPr>
      </w:r>
      <w:r>
        <w:rPr>
          <w:b/>
          <w:lang w:val="en_US" w:bidi="en_US"/>
        </w:rPr>
        <w:t>And:</w:t>
      </w:r>
      <w:r>
        <w:rPr>
          <w:lang w:val="en_US" w:bidi="en_US"/>
        </w:rPr>
        <w:t xml:space="preserve"> In Greek, this verse begins with a common conjunction that the BSB translates as </w:t>
      </w:r>
      <w:r>
        <w:rPr>
          <w:i/>
          <w:lang w:val="en_US" w:bidi="en_US"/>
        </w:rPr>
        <w:t>And</w:t>
      </w:r>
      <w:r>
        <w:rPr>
          <w:lang w:val="en_US" w:bidi="en_US"/>
        </w:rPr>
        <w:t>. Some ways to translate it here are:</w:t>
      </w:r>
    </w:p>
    <w:p>
      <w:pPr/>
      <w:r>
        <w:rPr>
          <w:lang w:val="en_US" w:bidi="en_US"/>
        </w:rPr>
      </w:r>
      <w:r>
        <w:rPr>
          <w:lang w:val="en_US" w:bidi="en_US"/>
        </w:rPr>
        <w:t>Then (NET)</w:t>
      </w:r>
    </w:p>
    <w:p>
      <w:pPr/>
      <w:r>
        <w:rPr>
          <w:lang w:val="en_US" w:bidi="en_US"/>
        </w:rPr>
      </w:r>
      <w:r>
        <w:rPr>
          <w:lang w:val="en_US" w:bidi="en_US"/>
        </w:rPr>
        <w:t>At that moment (NLT)</w:t>
      </w:r>
    </w:p>
    <w:p>
      <w:pPr/>
      <w:r>
        <w:rPr>
          <w:lang w:val="en_US" w:bidi="en_US"/>
        </w:rPr>
      </w:r>
      <w:r>
        <w:rPr>
          <w:b/>
          <w:lang w:val="en_US" w:bidi="en_US"/>
        </w:rPr>
        <w:t>the Lord turned and looked at Peter:</w:t>
      </w:r>
      <w:r>
        <w:rPr>
          <w:lang w:val="en_US" w:bidi="en_US"/>
        </w:rPr>
        <w:t xml:space="preserve"> The Lord Jesus was in a place where he could see Peter by turning toward him. Jesus may have been in the courtyard itself at that moment, or he may have been in an open room or gallery near the courtyard. As the rooster crowed, Jesus turned and looked at Peter. The context shows that Peter also saw Jesus looking at him.</w:t>
      </w:r>
    </w:p>
    <w:p>
      <w:pPr/>
      <w:r>
        <w:rPr>
          <w:lang w:val="en_US" w:bidi="en_US"/>
        </w:rPr>
      </w:r>
      <w:r>
        <w:rPr>
          <w:lang w:val="en_US" w:bidi="en_US"/>
        </w:rPr>
        <w:t>Some other ways to translate this statement are:</w:t>
      </w:r>
    </w:p>
    <w:p>
      <w:pPr/>
      <w:r>
        <w:rPr>
          <w:lang w:val="en_US" w:bidi="en_US"/>
        </w:rPr>
      </w:r>
      <w:r>
        <w:rPr>
          <w:lang w:val="en_US" w:bidi="en_US"/>
        </w:rPr>
        <w:t>The Lord turned toward Peter and looked directly at him</w:t>
      </w:r>
    </w:p>
    <w:p>
      <w:pPr/>
      <w:r>
        <w:rPr>
          <w:lang w:val="en_US" w:bidi="en_US"/>
        </w:rPr>
      </w:r>
      <w:r>
        <w:rPr>
          <w:lang w:val="en_US" w:bidi="en_US"/>
        </w:rPr>
        <w:t>Peter saw</w:t>
      </w:r>
      <w:r>
        <w:rPr>
          <w:lang w:val="en_US" w:bidi="en_US"/>
        </w:rPr>
        <w:t xml:space="preserve"> the Lord turn and look at him</w:t>
      </w:r>
    </w:p>
    <w:p>
      <w:pPr/>
      <w:r>
        <w:rPr>
          <w:lang w:val="en_US" w:bidi="en_US"/>
        </w:rPr>
      </w:r>
      <w:r>
        <w:rPr>
          <w:b/>
          <w:lang w:val="en_US" w:bidi="en_US"/>
        </w:rPr>
        <w:t>the Lord:</w:t>
      </w:r>
      <w:r>
        <w:rPr>
          <w:lang w:val="en_US" w:bidi="en_US"/>
        </w:rPr>
        <w:t xml:space="preserve"> The phrase </w:t>
      </w:r>
      <w:r>
        <w:rPr>
          <w:i/>
          <w:lang w:val="en_US" w:bidi="en_US"/>
        </w:rPr>
        <w:t>the Lord</w:t>
      </w:r>
      <w:r>
        <w:rPr>
          <w:lang w:val="en_US" w:bidi="en_US"/>
        </w:rPr>
        <w:t xml:space="preserve"> refers here to Jesus. In some languages it may be necessary to make this explicit. For example:</w:t>
      </w:r>
    </w:p>
    <w:p>
      <w:pPr/>
      <w:r>
        <w:rPr>
          <w:lang w:val="en_US" w:bidi="en_US"/>
        </w:rPr>
      </w:r>
      <w:r>
        <w:rPr>
          <w:lang w:val="en_US" w:bidi="en_US"/>
        </w:rPr>
        <w:t xml:space="preserve">the Lord </w:t>
      </w:r>
      <w:r>
        <w:rPr>
          <w:lang w:val="en_US" w:bidi="en_US"/>
        </w:rPr>
        <w:t>Jesus</w:t>
      </w:r>
    </w:p>
    <w:p>
      <w:pPr>
        <w:pStyle w:val="Heading5"/>
      </w:pPr>
      <w:r>
        <w:rPr>
          <w:lang w:val="en_US" w:bidi="en_US"/>
        </w:rPr>
        <w:t>22:61b</w:t>
      </w:r>
    </w:p>
    <w:p>
      <w:pPr/>
      <w:r>
        <w:rPr>
          <w:lang w:val="en_US" w:bidi="en_US"/>
        </w:rPr>
      </w:r>
      <w:r>
        <w:rPr>
          <w:b/>
          <w:lang w:val="en_US" w:bidi="en_US"/>
        </w:rPr>
        <w:t>Then Peter remembered the word that the Lord had spoken to him:</w:t>
      </w:r>
    </w:p>
    <w:p>
      <w:pPr>
        <w:pStyle w:val="ListBullet"/>
        <w:spacing w:line="240" w:lineRule="auto"/>
        <w:ind w:left="720"/>
      </w:pPr>
      <w:r>
        <w:rPr>
          <w:lang w:val="en_US" w:bidi="en_US"/>
        </w:rPr>
      </w:r>
      <w:r>
        <w:rPr>
          <w:lang w:val="en_US" w:bidi="en_US"/>
        </w:rPr>
        <w:t>and Peter remembered the words that the Lord had said to him. The Lord said,</w:t>
      </w:r>
    </w:p>
    <w:p>
      <w:pPr>
        <w:pStyle w:val="ListBullet"/>
        <w:spacing w:line="240" w:lineRule="auto"/>
        <w:ind w:left="720"/>
      </w:pPr>
      <w:r>
        <w:rPr>
          <w:lang w:val="en_US" w:bidi="en_US"/>
        </w:rPr>
      </w:r>
      <w:r>
        <w:rPr>
          <w:lang w:val="en_US" w:bidi="en_US"/>
        </w:rPr>
        <w:t xml:space="preserve">At that moment, Peter thought of what </w:t>
      </w:r>
      <w:r>
        <w:rPr>
          <w:lang w:val="en_US" w:bidi="en_US"/>
        </w:rPr>
        <w:t>the Lord</w:t>
      </w:r>
      <w:r>
        <w:rPr>
          <w:lang w:val="en_US" w:bidi="en_US"/>
        </w:rPr>
        <w:t xml:space="preserve"> Jesus had told him </w:t>
      </w:r>
      <w:r>
        <w:rPr>
          <w:lang w:val="en_US" w:bidi="en_US"/>
        </w:rPr>
        <w:t>earlier that night</w:t>
      </w:r>
      <w:r>
        <w:rPr>
          <w:lang w:val="en_US" w:bidi="en_US"/>
        </w:rPr>
        <w:t>:</w:t>
      </w:r>
    </w:p>
    <w:p>
      <w:pPr/>
      <w:r>
        <w:rPr>
          <w:lang w:val="en_US" w:bidi="en_US"/>
        </w:rPr>
      </w:r>
      <w:r>
        <w:rPr>
          <w:b/>
          <w:lang w:val="en_US" w:bidi="en_US"/>
        </w:rPr>
        <w:t>Then Peter remembered the word that the Lord had spoken to him:</w:t>
      </w:r>
      <w:r>
        <w:rPr>
          <w:lang w:val="en_US" w:bidi="en_US"/>
        </w:rPr>
        <w:t xml:space="preserve"> In Greek this clause is literally, “And Peter remembered the word of the Lord, as he said to him…” This </w:t>
      </w:r>
      <w:r>
        <w:rPr>
          <w:i/>
          <w:lang w:val="en_US" w:bidi="en_US"/>
        </w:rPr>
        <w:t>word</w:t>
      </w:r>
      <w:r>
        <w:rPr>
          <w:lang w:val="en_US" w:bidi="en_US"/>
        </w:rPr>
        <w:t xml:space="preserve"> refers to what Jesus said to Peter in 22:34. The text repeats this statement in 22:61c. Some other ways to translate this are:</w:t>
      </w:r>
    </w:p>
    <w:p>
      <w:pPr/>
      <w:r>
        <w:rPr>
          <w:lang w:val="en_US" w:bidi="en_US"/>
        </w:rPr>
      </w:r>
      <w:r>
        <w:rPr>
          <w:lang w:val="en_US" w:bidi="en_US"/>
        </w:rPr>
        <w:t>Then Peter remembered what the Lord had said to him</w:t>
      </w:r>
    </w:p>
    <w:p>
      <w:pPr/>
      <w:r>
        <w:rPr>
          <w:lang w:val="en_US" w:bidi="en_US"/>
        </w:rPr>
      </w:r>
      <w:r>
        <w:rPr>
          <w:lang w:val="en_US" w:bidi="en_US"/>
        </w:rPr>
        <w:t>And Peter remembered that the Lord had said (CEV)</w:t>
      </w:r>
    </w:p>
    <w:p>
      <w:pPr>
        <w:pStyle w:val="Heading5"/>
      </w:pPr>
      <w:r>
        <w:rPr>
          <w:lang w:val="en_US" w:bidi="en_US"/>
        </w:rPr>
        <w:t>22:61c</w:t>
      </w:r>
    </w:p>
    <w:p>
      <w:pPr/>
      <w:r>
        <w:rPr>
          <w:lang w:val="en_US" w:bidi="en_US"/>
        </w:rPr>
      </w:r>
      <w:r>
        <w:rPr>
          <w:b/>
          <w:lang w:val="en_US" w:bidi="en_US"/>
        </w:rPr>
        <w:t>“Before the rooster crows today,</w:t>
      </w:r>
    </w:p>
    <w:p>
      <w:pPr>
        <w:pStyle w:val="ListBullet"/>
        <w:spacing w:line="240" w:lineRule="auto"/>
        <w:ind w:left="720"/>
      </w:pPr>
      <w:r>
        <w:rPr>
          <w:lang w:val="en_US" w:bidi="en_US"/>
        </w:rPr>
      </w:r>
      <w:r>
        <w:rPr>
          <w:lang w:val="en_US" w:bidi="en_US"/>
        </w:rPr>
        <w:t>“Today before a rooster crows,</w:t>
      </w:r>
    </w:p>
    <w:p>
      <w:pPr>
        <w:pStyle w:val="ListBullet"/>
        <w:spacing w:line="240" w:lineRule="auto"/>
        <w:ind w:left="720"/>
      </w:pPr>
      <w:r>
        <w:rPr>
          <w:lang w:val="en_US" w:bidi="en_US"/>
        </w:rPr>
      </w:r>
      <w:r>
        <w:rPr>
          <w:lang w:val="en_US" w:bidi="en_US"/>
        </w:rPr>
        <w:t xml:space="preserve">“Even this very night, before a cock crows/cries </w:t>
      </w:r>
      <w:r>
        <w:rPr>
          <w:lang w:val="en_US" w:bidi="en_US"/>
        </w:rPr>
        <w:t>at dawn</w:t>
      </w:r>
      <w:r>
        <w:rPr>
          <w:lang w:val="en_US" w:bidi="en_US"/>
        </w:rPr>
        <w:t>,</w:t>
      </w:r>
    </w:p>
    <w:p>
      <w:pPr>
        <w:pStyle w:val="Heading5"/>
      </w:pPr>
      <w:r>
        <w:rPr>
          <w:lang w:val="en_US" w:bidi="en_US"/>
        </w:rPr>
        <w:t>22:61d</w:t>
      </w:r>
    </w:p>
    <w:p>
      <w:pPr/>
      <w:r>
        <w:rPr>
          <w:lang w:val="en_US" w:bidi="en_US"/>
        </w:rPr>
      </w:r>
      <w:r>
        <w:rPr>
          <w:b/>
          <w:lang w:val="en_US" w:bidi="en_US"/>
        </w:rPr>
        <w:t>you will deny Me three times.”</w:t>
      </w:r>
    </w:p>
    <w:p>
      <w:pPr>
        <w:pStyle w:val="ListBullet"/>
        <w:spacing w:line="240" w:lineRule="auto"/>
        <w:ind w:left="720"/>
      </w:pPr>
      <w:r>
        <w:rPr>
          <w:lang w:val="en_US" w:bidi="en_US"/>
        </w:rPr>
      </w:r>
      <w:r>
        <w:rPr>
          <w:lang w:val="en_US" w:bidi="en_US"/>
        </w:rPr>
        <w:t>three times you</w:t>
      </w:r>
      <w:r>
        <w:rPr>
          <w:vertAlign w:val="superscript"/>
          <w:lang w:val="en_US" w:bidi="en_US"/>
        </w:rPr>
        <w:t>(sing)</w:t>
      </w:r>
      <w:r>
        <w:rPr>
          <w:lang w:val="en_US" w:bidi="en_US"/>
        </w:rPr>
        <w:t xml:space="preserve"> will say that you do not know me.”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tell </w:t>
      </w:r>
      <w:r>
        <w:rPr>
          <w:lang w:val="en_US" w:bidi="en_US"/>
        </w:rPr>
        <w:t>people</w:t>
      </w:r>
      <w:r>
        <w:rPr>
          <w:lang w:val="en_US" w:bidi="en_US"/>
        </w:rPr>
        <w:t xml:space="preserve"> three times, ‘I do not know that man/Jesus.’”</w:t>
      </w:r>
    </w:p>
    <w:p>
      <w:pPr>
        <w:pStyle w:val="Heading5"/>
      </w:pPr>
      <w:r>
        <w:rPr>
          <w:lang w:val="en_US" w:bidi="en_US"/>
        </w:rPr>
        <w:t>22:61c–d</w:t>
      </w:r>
    </w:p>
    <w:p>
      <w:pPr/>
      <w:r>
        <w:rPr>
          <w:lang w:val="en_US" w:bidi="en_US"/>
        </w:rPr>
      </w:r>
      <w:r>
        <w:rPr>
          <w:b/>
          <w:lang w:val="en_US" w:bidi="en_US"/>
        </w:rPr>
        <w:t>Before the rooster crows today, you will deny Me three times:</w:t>
      </w:r>
      <w:r>
        <w:rPr>
          <w:lang w:val="en_US" w:bidi="en_US"/>
        </w:rPr>
        <w:t xml:space="preserve"> This statement is quoted from 22:34. See the notes at 22:34b and 22:34c. You should translate this statement in the same way as you did there.</w:t>
      </w:r>
      <w:r>
        <w:rPr>
          <w:lang w:val="en_US" w:bidi="en_US"/>
        </w:rPr>
      </w:r>
      <w:r>
        <w:rPr>
          <w:lang w:val="en_US" w:bidi="en_US"/>
        </w:rPr>
      </w:r>
    </w:p>
    <w:p>
      <w:pPr/>
      <w:r>
        <w:rPr>
          <w:lang w:val="en_US" w:bidi="en_US"/>
        </w:rPr>
      </w:r>
    </w:p>
    <w:p>
      <w:pPr>
        <w:pStyle w:val="Heading2"/>
      </w:pPr>
      <w:r>
        <w:rPr>
          <w:lang w:val="en_US" w:bidi="en_US"/>
        </w:rPr>
        <w:t>Luke 22:62</w:t>
      </w:r>
      <w:r>
        <w:rPr>
          <w:lang w:val="en_US" w:bidi="en_US"/>
        </w:rPr>
      </w:r>
    </w:p>
    <w:p>
      <w:pPr>
        <w:pStyle w:val="Heading4"/>
      </w:pPr>
      <w:r>
        <w:rPr>
          <w:lang w:val="en_US" w:bidi="en_US"/>
        </w:rPr>
        <w:t>Section 22:54–62: Jesus’ enemies arrested him, and Peter denied him</w:t>
      </w:r>
    </w:p>
    <w:p>
      <w:pPr/>
      <w:r>
        <w:rPr>
          <w:lang w:val="en_US" w:bidi="en_US"/>
        </w:rPr>
      </w:r>
      <w:r>
        <w:rPr>
          <w:lang w:val="en_US" w:bidi="en_US"/>
        </w:rPr>
        <w:t>In 22:33 Peter said that he would never leave Jesus or be unfaithful to him. But in 22:34 Jesus predicted that actually Peter would say three times that he did not know Jesus. After Jesus was arrested, Peter followed Jesus to the house of the high priest and waited in the courtyard. Three different people said that Peter had been with Jesus, and three times Peter said he did not know Jesus. But then a rooster crowed, and Peter suddenly remembered what Jesus had said. Peter wept with great sorrow because he had denied that he knew Jesus his Lord.</w:t>
      </w:r>
    </w:p>
    <w:p>
      <w:pPr/>
      <w:r>
        <w:rPr>
          <w:lang w:val="en_US" w:bidi="en_US"/>
        </w:rPr>
      </w:r>
      <w:r>
        <w:rPr>
          <w:lang w:val="en_US" w:bidi="en_US"/>
        </w:rPr>
        <w:t>Some other examples of headings for this section are:</w:t>
      </w:r>
    </w:p>
    <w:p>
      <w:pPr/>
      <w:r>
        <w:rPr>
          <w:lang w:val="en_US" w:bidi="en_US"/>
        </w:rPr>
      </w:r>
      <w:r>
        <w:rPr>
          <w:lang w:val="en_US" w:bidi="en_US"/>
        </w:rPr>
        <w:t>Peter Denies Jesus (NRSV)</w:t>
      </w:r>
    </w:p>
    <w:p>
      <w:pPr/>
      <w:r>
        <w:rPr>
          <w:lang w:val="en_US" w:bidi="en_US"/>
        </w:rPr>
      </w:r>
      <w:r>
        <w:rPr>
          <w:lang w:val="en_US" w:bidi="en_US"/>
        </w:rPr>
        <w:t>Jesus’ Condemnation and Peter’s Denials (NET)</w:t>
      </w:r>
    </w:p>
    <w:p>
      <w:pPr/>
      <w:r>
        <w:rPr>
          <w:lang w:val="en_US" w:bidi="en_US"/>
        </w:rPr>
      </w:r>
      <w:r>
        <w:rPr>
          <w:lang w:val="en_US" w:bidi="en_US"/>
        </w:rPr>
        <w:t>Peter Says He Doesn’t Know Jesus (NCV)</w:t>
      </w:r>
    </w:p>
    <w:p>
      <w:pPr/>
      <w:r>
        <w:rPr>
          <w:lang w:val="en_US" w:bidi="en_US"/>
        </w:rPr>
      </w:r>
      <w:r>
        <w:rPr>
          <w:lang w:val="en_US" w:bidi="en_US"/>
        </w:rPr>
        <w:t>There are parallel passages for this section in Matthew 26:57–58, 26:69–75, Mark 14:53–54, 14:66–72, and John 18:12–18, 18:25–27.</w:t>
      </w:r>
    </w:p>
    <w:p>
      <w:pPr>
        <w:pStyle w:val="Heading5"/>
      </w:pPr>
      <w:r>
        <w:rPr>
          <w:lang w:val="en_US" w:bidi="en_US"/>
        </w:rPr>
        <w:t>22:62</w:t>
      </w:r>
    </w:p>
    <w:p>
      <w:pPr/>
      <w:r>
        <w:rPr>
          <w:lang w:val="en_US" w:bidi="en_US"/>
        </w:rPr>
      </w:r>
      <w:r>
        <w:rPr>
          <w:b/>
          <w:lang w:val="en_US" w:bidi="en_US"/>
        </w:rPr>
        <w:t>And he went outside and wept bitterly.</w:t>
      </w:r>
    </w:p>
    <w:p>
      <w:pPr>
        <w:pStyle w:val="ListBullet"/>
        <w:spacing w:line="240" w:lineRule="auto"/>
        <w:ind w:left="720"/>
      </w:pPr>
      <w:r>
        <w:rPr>
          <w:lang w:val="en_US" w:bidi="en_US"/>
        </w:rPr>
      </w:r>
      <w:r>
        <w:rPr>
          <w:lang w:val="en_US" w:bidi="en_US"/>
        </w:rPr>
        <w:t xml:space="preserve">Then Peter went out and wept/sobbed with bitter </w:t>
      </w:r>
      <w:r>
        <w:rPr>
          <w:lang w:val="en_US" w:bidi="en_US"/>
        </w:rPr>
        <w:t>regret</w:t>
      </w:r>
      <w:r>
        <w:rPr>
          <w:lang w:val="en_US" w:bidi="en_US"/>
        </w:rPr>
        <w:t>.</w:t>
      </w:r>
    </w:p>
    <w:p>
      <w:pPr>
        <w:pStyle w:val="ListBullet"/>
        <w:spacing w:line="240" w:lineRule="auto"/>
        <w:ind w:left="720"/>
      </w:pPr>
      <w:r>
        <w:rPr>
          <w:lang w:val="en_US" w:bidi="en_US"/>
        </w:rPr>
      </w:r>
      <w:r>
        <w:rPr>
          <w:lang w:val="en_US" w:bidi="en_US"/>
        </w:rPr>
        <w:t>When Peter remembered that,</w:t>
      </w:r>
      <w:r>
        <w:rPr>
          <w:lang w:val="en_US" w:bidi="en_US"/>
        </w:rPr>
        <w:t xml:space="preserve"> he left </w:t>
      </w:r>
      <w:r>
        <w:rPr>
          <w:lang w:val="en_US" w:bidi="en_US"/>
        </w:rPr>
        <w:t>the courtyard</w:t>
      </w:r>
      <w:r>
        <w:rPr>
          <w:lang w:val="en_US" w:bidi="en_US"/>
        </w:rPr>
        <w:t xml:space="preserve"> and cried remorsefully/sorrowfully.</w:t>
      </w:r>
    </w:p>
    <w:p>
      <w:pPr/>
      <w:r>
        <w:rPr>
          <w:lang w:val="en_US" w:bidi="en_US"/>
        </w:rPr>
      </w:r>
      <w:r>
        <w:rPr>
          <w:b/>
          <w:lang w:val="en_US" w:bidi="en_US"/>
        </w:rPr>
        <w:t>he went outside:</w:t>
      </w:r>
      <w:r>
        <w:rPr>
          <w:lang w:val="en_US" w:bidi="en_US"/>
        </w:rPr>
        <w:t xml:space="preserve"> The phrase </w:t>
      </w:r>
      <w:r>
        <w:rPr>
          <w:i/>
          <w:lang w:val="en_US" w:bidi="en_US"/>
        </w:rPr>
        <w:t>he went outside</w:t>
      </w:r>
      <w:r>
        <w:rPr>
          <w:lang w:val="en_US" w:bidi="en_US"/>
        </w:rPr>
        <w:t xml:space="preserve"> indicates that Peter left the courtyard of the high priest’s house. Here is another way to translate this:</w:t>
      </w:r>
    </w:p>
    <w:p>
      <w:pPr/>
      <w:r>
        <w:rPr>
          <w:lang w:val="en_US" w:bidi="en_US"/>
        </w:rPr>
      </w:r>
      <w:r>
        <w:rPr>
          <w:lang w:val="en_US" w:bidi="en_US"/>
        </w:rPr>
        <w:t>And Peter left the courtyard (NLT)</w:t>
      </w:r>
    </w:p>
    <w:p>
      <w:pPr/>
      <w:r>
        <w:rPr>
          <w:lang w:val="en_US" w:bidi="en_US"/>
        </w:rPr>
      </w:r>
      <w:r>
        <w:rPr>
          <w:b/>
          <w:lang w:val="en_US" w:bidi="en_US"/>
        </w:rPr>
        <w:t>wept bitterly:</w:t>
      </w:r>
      <w:r>
        <w:rPr>
          <w:lang w:val="en_US" w:bidi="en_US"/>
        </w:rPr>
        <w:t xml:space="preserve"> The word </w:t>
      </w:r>
      <w:r>
        <w:rPr>
          <w:i/>
          <w:lang w:val="en_US" w:bidi="en_US"/>
        </w:rPr>
        <w:t>wept</w:t>
      </w:r>
      <w:r>
        <w:rPr>
          <w:lang w:val="en_US" w:bidi="en_US"/>
        </w:rPr>
        <w:t xml:space="preserve"> refers to loud weeping and sobbing. The word </w:t>
      </w:r>
      <w:r>
        <w:rPr>
          <w:i/>
          <w:lang w:val="en_US" w:bidi="en_US"/>
        </w:rPr>
        <w:t>bitterly</w:t>
      </w:r>
      <w:r>
        <w:rPr>
          <w:lang w:val="en_US" w:bidi="en_US"/>
        </w:rPr>
        <w:t xml:space="preserve"> refers to the intense sorrow and regret that Peter felt. It indicates that Peter regretted that he had denied Jesus. He was very sorry about what he had done. Use a natural phrase in your language.</w:t>
      </w:r>
      <w:r>
        <w:rPr>
          <w:lang w:val="en_US" w:bidi="en_US"/>
        </w:rPr>
      </w:r>
      <w:r>
        <w:rPr>
          <w:lang w:val="en_US" w:bidi="en_US"/>
        </w:rPr>
      </w:r>
    </w:p>
    <w:p>
      <w:pPr/>
      <w:r>
        <w:rPr>
          <w:lang w:val="en_US" w:bidi="en_US"/>
        </w:rPr>
      </w:r>
    </w:p>
    <w:p>
      <w:pPr>
        <w:pStyle w:val="Heading2"/>
      </w:pPr>
      <w:r>
        <w:rPr>
          <w:lang w:val="en_US" w:bidi="en_US"/>
        </w:rPr>
        <w:t>Luke 22:63</w:t>
      </w:r>
      <w:r>
        <w:rPr>
          <w:lang w:val="en_US" w:bidi="en_US"/>
        </w:rPr>
      </w:r>
    </w:p>
    <w:p>
      <w:pPr>
        <w:pStyle w:val="Heading4"/>
      </w:pPr>
      <w:r>
        <w:rPr>
          <w:lang w:val="en_US" w:bidi="en_US"/>
        </w:rPr>
        <w:t>Section 22:63–65: The guards mocked Jesus</w:t>
      </w:r>
    </w:p>
    <w:p>
      <w:pPr/>
      <w:r>
        <w:rPr>
          <w:lang w:val="en_US" w:bidi="en_US"/>
        </w:rPr>
      </w:r>
      <w:r>
        <w:rPr>
          <w:lang w:val="en_US" w:bidi="en_US"/>
        </w:rPr>
        <w:t>In this section the guards mocked and mistreated Jesus. Some other examples of headings for this section are:</w:t>
      </w:r>
    </w:p>
    <w:p>
      <w:pPr/>
      <w:r>
        <w:rPr>
          <w:lang w:val="en_US" w:bidi="en_US"/>
        </w:rPr>
      </w:r>
      <w:r>
        <w:rPr>
          <w:lang w:val="en_US" w:bidi="en_US"/>
        </w:rPr>
        <w:t>Jesus Is Mocked and Beaten (GNT)</w:t>
      </w:r>
    </w:p>
    <w:p>
      <w:pPr/>
      <w:r>
        <w:rPr>
          <w:lang w:val="en_US" w:bidi="en_US"/>
        </w:rPr>
      </w:r>
      <w:r>
        <w:rPr>
          <w:lang w:val="en_US" w:bidi="en_US"/>
        </w:rPr>
        <w:t>The Mocking and Beating of Jesus (NRSV)</w:t>
      </w:r>
    </w:p>
    <w:p>
      <w:pPr/>
      <w:r>
        <w:rPr>
          <w:lang w:val="en_US" w:bidi="en_US"/>
        </w:rPr>
      </w:r>
      <w:r>
        <w:rPr>
          <w:lang w:val="en_US" w:bidi="en_US"/>
        </w:rPr>
        <w:t>There are parallel passages for this section in Matthew 26:67–68 and Mark 14:65.</w:t>
      </w:r>
    </w:p>
    <w:p>
      <w:pPr>
        <w:pStyle w:val="Heading5"/>
      </w:pPr>
      <w:r>
        <w:rPr>
          <w:lang w:val="en_US" w:bidi="en_US"/>
        </w:rPr>
        <w:t>22:63a</w:t>
      </w:r>
    </w:p>
    <w:p>
      <w:pPr/>
      <w:r>
        <w:rPr>
          <w:lang w:val="en_US" w:bidi="en_US"/>
        </w:rPr>
      </w:r>
      <w:r>
        <w:rPr>
          <w:b/>
          <w:lang w:val="en_US" w:bidi="en_US"/>
        </w:rPr>
        <w:t>The men who were holding Jesus</w:t>
      </w:r>
    </w:p>
    <w:p>
      <w:pPr>
        <w:pStyle w:val="ListBullet"/>
        <w:spacing w:line="240" w:lineRule="auto"/>
        <w:ind w:left="720"/>
      </w:pPr>
      <w:r>
        <w:rPr>
          <w:lang w:val="en_US" w:bidi="en_US"/>
        </w:rPr>
      </w:r>
      <w:r>
        <w:rPr>
          <w:lang w:val="en_US" w:bidi="en_US"/>
        </w:rPr>
        <w:t xml:space="preserve">¶ Then the </w:t>
      </w:r>
      <w:r>
        <w:rPr>
          <w:lang w:val="en_US" w:bidi="en_US"/>
        </w:rPr>
        <w:t>temple police</w:t>
      </w:r>
      <w:r>
        <w:rPr>
          <w:lang w:val="en_US" w:bidi="en_US"/>
        </w:rPr>
        <w:t xml:space="preserve"> who guarded/held Jesus</w:t>
      </w:r>
    </w:p>
    <w:p>
      <w:pPr>
        <w:pStyle w:val="ListBullet"/>
        <w:spacing w:line="240" w:lineRule="auto"/>
        <w:ind w:left="720"/>
      </w:pPr>
      <w:r>
        <w:rPr>
          <w:lang w:val="en_US" w:bidi="en_US"/>
        </w:rPr>
      </w:r>
      <w:r>
        <w:rPr>
          <w:lang w:val="en_US" w:bidi="en_US"/>
        </w:rPr>
        <w:t>¶ Meanwhile the guards/soldiers who were watching Jesus</w:t>
      </w:r>
    </w:p>
    <w:p>
      <w:pPr/>
      <w:r>
        <w:rPr>
          <w:lang w:val="en_US" w:bidi="en_US"/>
        </w:rPr>
      </w:r>
      <w:r>
        <w:rPr>
          <w:lang w:val="en_US" w:bidi="en_US"/>
        </w:rPr>
        <w:t>In this verse there is a change of focus. The focus on Peter ended in 22:62. In this verse Luke began to focus again on what happened to Jesus. Some English versions use the word “Now” to indicate this. In some languages there is a special way to indicate such a change in focus or topic. If that is true in your language, you may use it here.</w:t>
      </w:r>
    </w:p>
    <w:p>
      <w:pPr/>
      <w:r>
        <w:rPr>
          <w:lang w:val="en_US" w:bidi="en_US"/>
        </w:rPr>
      </w:r>
      <w:r>
        <w:rPr>
          <w:b/>
          <w:lang w:val="en_US" w:bidi="en_US"/>
        </w:rPr>
        <w:t>The men who were holding Jesus:</w:t>
      </w:r>
      <w:r>
        <w:rPr>
          <w:lang w:val="en_US" w:bidi="en_US"/>
        </w:rPr>
        <w:t xml:space="preserve"> Here, he word </w:t>
      </w:r>
      <w:r>
        <w:rPr>
          <w:i/>
          <w:lang w:val="en_US" w:bidi="en_US"/>
        </w:rPr>
        <w:t>holding</w:t>
      </w:r>
      <w:r>
        <w:rPr>
          <w:lang w:val="en_US" w:bidi="en_US"/>
        </w:rPr>
        <w:t xml:space="preserve"> means “to keep in custody.” These men were in charge of making sure that Jesus did not leave the place in which he was being kept. The men who guarded Jesus were probably members of the temple guard mentioned in 22:52a–d. The Jewish leaders appointed them to watch Jesus and make sure that he did not escape. Here is another way to translate this:</w:t>
      </w:r>
    </w:p>
    <w:p>
      <w:pPr/>
      <w:r>
        <w:rPr>
          <w:lang w:val="en_US" w:bidi="en_US"/>
        </w:rPr>
      </w:r>
      <w:r>
        <w:rPr>
          <w:lang w:val="en_US" w:bidi="en_US"/>
        </w:rPr>
        <w:t>The guards in charge of Jesus (NLT)</w:t>
      </w:r>
    </w:p>
    <w:p>
      <w:pPr>
        <w:pStyle w:val="Heading5"/>
      </w:pPr>
      <w:r>
        <w:rPr>
          <w:lang w:val="en_US" w:bidi="en_US"/>
        </w:rPr>
        <w:t>22:63b</w:t>
      </w:r>
    </w:p>
    <w:p>
      <w:pPr/>
      <w:r>
        <w:rPr>
          <w:lang w:val="en_US" w:bidi="en_US"/>
        </w:rPr>
      </w:r>
      <w:r>
        <w:rPr>
          <w:b/>
          <w:lang w:val="en_US" w:bidi="en_US"/>
        </w:rPr>
        <w:t>began to mock Him and beat Him.</w:t>
      </w:r>
    </w:p>
    <w:p>
      <w:pPr>
        <w:pStyle w:val="ListBullet"/>
        <w:spacing w:line="240" w:lineRule="auto"/>
        <w:ind w:left="720"/>
      </w:pPr>
      <w:r>
        <w:rPr>
          <w:lang w:val="en_US" w:bidi="en_US"/>
        </w:rPr>
      </w:r>
      <w:r>
        <w:rPr>
          <w:lang w:val="en_US" w:bidi="en_US"/>
        </w:rPr>
        <w:t>started taunting/mocking him and beating him.</w:t>
      </w:r>
    </w:p>
    <w:p>
      <w:pPr>
        <w:pStyle w:val="ListBullet"/>
        <w:spacing w:line="240" w:lineRule="auto"/>
        <w:ind w:left="720"/>
      </w:pPr>
      <w:r>
        <w:rPr>
          <w:lang w:val="en_US" w:bidi="en_US"/>
        </w:rPr>
      </w:r>
      <w:r>
        <w:rPr>
          <w:lang w:val="en_US" w:bidi="en_US"/>
        </w:rPr>
        <w:t>ridiculed him and kept hitting/striking him.</w:t>
      </w:r>
    </w:p>
    <w:p>
      <w:pPr/>
      <w:r>
        <w:rPr>
          <w:lang w:val="en_US" w:bidi="en_US"/>
        </w:rPr>
      </w:r>
      <w:r>
        <w:rPr>
          <w:b/>
          <w:lang w:val="en_US" w:bidi="en_US"/>
        </w:rPr>
        <w:t>began to mock Him and beat Him:</w:t>
      </w:r>
      <w:r>
        <w:rPr>
          <w:lang w:val="en_US" w:bidi="en_US"/>
        </w:rPr>
        <w:t xml:space="preserve"> The Greek phrase that the BSB translates as </w:t>
      </w:r>
      <w:r>
        <w:rPr>
          <w:i/>
          <w:lang w:val="en_US" w:bidi="en_US"/>
        </w:rPr>
        <w:t>began to mock Him and beat Him</w:t>
      </w:r>
      <w:r>
        <w:rPr>
          <w:lang w:val="en_US" w:bidi="en_US"/>
        </w:rPr>
        <w:t xml:space="preserve"> indicates that the guards continued to ridicule and beat Jesus for some time. The BSB implies this by using the word </w:t>
      </w:r>
      <w:r>
        <w:rPr>
          <w:i/>
          <w:lang w:val="en_US" w:bidi="en_US"/>
        </w:rPr>
        <w:t>began</w:t>
      </w:r>
      <w:r>
        <w:rPr>
          <w:lang w:val="en_US" w:bidi="en_US"/>
        </w:rPr>
        <w:t>. Indicate the continuing action in a natural way in your language. In some languages a simple past form implies this, as well. For example:</w:t>
      </w:r>
    </w:p>
    <w:p>
      <w:pPr/>
      <w:r>
        <w:rPr>
          <w:lang w:val="en_US" w:bidi="en_US"/>
        </w:rPr>
      </w:r>
      <w:r>
        <w:rPr>
          <w:lang w:val="en_US" w:bidi="en_US"/>
        </w:rPr>
        <w:t>made fun of him and beat him (GNT)</w:t>
      </w:r>
    </w:p>
    <w:p>
      <w:pPr/>
      <w:r>
        <w:rPr>
          <w:lang w:val="en_US" w:bidi="en_US"/>
        </w:rPr>
      </w:r>
      <w:r>
        <w:rPr>
          <w:b/>
          <w:lang w:val="en_US" w:bidi="en_US"/>
        </w:rPr>
        <w:t>mock:</w:t>
      </w:r>
      <w:r>
        <w:rPr>
          <w:lang w:val="en_US" w:bidi="en_US"/>
        </w:rPr>
        <w:t xml:space="preserve"> The word </w:t>
      </w:r>
      <w:r>
        <w:rPr>
          <w:i/>
          <w:lang w:val="en_US" w:bidi="en_US"/>
        </w:rPr>
        <w:t>mock</w:t>
      </w:r>
      <w:r>
        <w:rPr>
          <w:lang w:val="en_US" w:bidi="en_US"/>
        </w:rPr>
        <w:t xml:space="preserve"> indicates that the guards ridiculed Jesus. They insulted him with both words and actions. Some other ways to translate it are:</w:t>
      </w:r>
    </w:p>
    <w:p>
      <w:pPr/>
      <w:r>
        <w:rPr>
          <w:lang w:val="en_US" w:bidi="en_US"/>
        </w:rPr>
      </w:r>
      <w:r>
        <w:rPr>
          <w:lang w:val="en_US" w:bidi="en_US"/>
        </w:rPr>
        <w:t>ridiculed him</w:t>
      </w:r>
    </w:p>
    <w:p>
      <w:pPr/>
      <w:r>
        <w:rPr>
          <w:lang w:val="en_US" w:bidi="en_US"/>
        </w:rPr>
      </w:r>
      <w:r>
        <w:rPr>
          <w:lang w:val="en_US" w:bidi="en_US"/>
        </w:rPr>
        <w:t>treated him shamefully</w:t>
      </w:r>
      <w:r>
        <w:rPr>
          <w:lang w:val="en_US" w:bidi="en_US"/>
        </w:rPr>
        <w:t>Western Bukidnon Manobo back translation on TW.</w:t>
      </w:r>
    </w:p>
    <w:p>
      <w:pPr/>
      <w:r>
        <w:rPr>
          <w:lang w:val="en_US" w:bidi="en_US"/>
        </w:rPr>
      </w:r>
      <w:r>
        <w:rPr>
          <w:lang w:val="en_US" w:bidi="en_US"/>
        </w:rPr>
        <w:t>made fun of him (GNT)</w:t>
      </w:r>
    </w:p>
    <w:p>
      <w:pPr/>
      <w:r>
        <w:rPr>
          <w:lang w:val="en_US" w:bidi="en_US"/>
        </w:rPr>
      </w:r>
      <w:r>
        <w:rPr>
          <w:b/>
          <w:lang w:val="en_US" w:bidi="en_US"/>
        </w:rPr>
        <w:t>beat:</w:t>
      </w:r>
      <w:r>
        <w:rPr>
          <w:lang w:val="en_US" w:bidi="en_US"/>
        </w:rPr>
        <w:t xml:space="preserve"> The Greek word that the BSB translates as </w:t>
      </w:r>
      <w:r>
        <w:rPr>
          <w:i/>
          <w:lang w:val="en_US" w:bidi="en_US"/>
        </w:rPr>
        <w:t>beat</w:t>
      </w:r>
      <w:r>
        <w:rPr>
          <w:lang w:val="en_US" w:bidi="en_US"/>
        </w:rPr>
        <w:t xml:space="preserve"> probably refers here to hitting someone repeatedly with the hand or fist. Such beating often causes bruises and other injuries. It is the same word that was used in 20:10d.</w:t>
      </w:r>
      <w:r>
        <w:rPr>
          <w:lang w:val="en_US" w:bidi="en_US"/>
        </w:rPr>
      </w:r>
      <w:r>
        <w:rPr>
          <w:lang w:val="en_US" w:bidi="en_US"/>
        </w:rPr>
      </w:r>
    </w:p>
    <w:p>
      <w:pPr/>
      <w:r>
        <w:rPr>
          <w:lang w:val="en_US" w:bidi="en_US"/>
        </w:rPr>
      </w:r>
    </w:p>
    <w:p>
      <w:pPr>
        <w:pStyle w:val="Heading2"/>
      </w:pPr>
      <w:r>
        <w:rPr>
          <w:lang w:val="en_US" w:bidi="en_US"/>
        </w:rPr>
        <w:t>Luke 22:64</w:t>
      </w:r>
      <w:r>
        <w:rPr>
          <w:lang w:val="en_US" w:bidi="en_US"/>
        </w:rPr>
      </w:r>
    </w:p>
    <w:p>
      <w:pPr>
        <w:pStyle w:val="Heading4"/>
      </w:pPr>
      <w:r>
        <w:rPr>
          <w:lang w:val="en_US" w:bidi="en_US"/>
        </w:rPr>
        <w:t>Section 22:63–65: The guards mocked Jesus</w:t>
      </w:r>
    </w:p>
    <w:p>
      <w:pPr/>
      <w:r>
        <w:rPr>
          <w:lang w:val="en_US" w:bidi="en_US"/>
        </w:rPr>
      </w:r>
      <w:r>
        <w:rPr>
          <w:lang w:val="en_US" w:bidi="en_US"/>
        </w:rPr>
        <w:t>In this section the guards mocked and mistreated Jesus. Some other examples of headings for this section are:</w:t>
      </w:r>
    </w:p>
    <w:p>
      <w:pPr/>
      <w:r>
        <w:rPr>
          <w:lang w:val="en_US" w:bidi="en_US"/>
        </w:rPr>
      </w:r>
      <w:r>
        <w:rPr>
          <w:lang w:val="en_US" w:bidi="en_US"/>
        </w:rPr>
        <w:t>Jesus Is Mocked and Beaten (GNT)</w:t>
      </w:r>
    </w:p>
    <w:p>
      <w:pPr/>
      <w:r>
        <w:rPr>
          <w:lang w:val="en_US" w:bidi="en_US"/>
        </w:rPr>
      </w:r>
      <w:r>
        <w:rPr>
          <w:lang w:val="en_US" w:bidi="en_US"/>
        </w:rPr>
        <w:t>The Mocking and Beating of Jesus (NRSV)</w:t>
      </w:r>
    </w:p>
    <w:p>
      <w:pPr/>
      <w:r>
        <w:rPr>
          <w:lang w:val="en_US" w:bidi="en_US"/>
        </w:rPr>
      </w:r>
      <w:r>
        <w:rPr>
          <w:lang w:val="en_US" w:bidi="en_US"/>
        </w:rPr>
        <w:t>There are parallel passages for this section in Matthew 26:67–68 and Mark 14:65.</w:t>
      </w:r>
    </w:p>
    <w:p>
      <w:pPr>
        <w:pStyle w:val="Heading5"/>
      </w:pPr>
      <w:r>
        <w:rPr>
          <w:lang w:val="en_US" w:bidi="en_US"/>
        </w:rPr>
        <w:t>22:64a</w:t>
      </w:r>
    </w:p>
    <w:p>
      <w:pPr/>
      <w:r>
        <w:rPr>
          <w:lang w:val="en_US" w:bidi="en_US"/>
        </w:rPr>
      </w:r>
      <w:r>
        <w:rPr>
          <w:b/>
          <w:lang w:val="en_US" w:bidi="en_US"/>
        </w:rPr>
        <w:t>They blindfolded Him</w:t>
      </w:r>
    </w:p>
    <w:p>
      <w:pPr>
        <w:pStyle w:val="ListBullet"/>
        <w:spacing w:line="240" w:lineRule="auto"/>
        <w:ind w:left="720"/>
      </w:pPr>
      <w:r>
        <w:rPr>
          <w:lang w:val="en_US" w:bidi="en_US"/>
        </w:rPr>
      </w:r>
      <w:r>
        <w:rPr>
          <w:lang w:val="en_US" w:bidi="en_US"/>
        </w:rPr>
        <w:t>They put a cloth/blindfold over his eyes</w:t>
      </w:r>
    </w:p>
    <w:p>
      <w:pPr>
        <w:pStyle w:val="ListBullet"/>
        <w:spacing w:line="240" w:lineRule="auto"/>
        <w:ind w:left="720"/>
      </w:pPr>
      <w:r>
        <w:rPr>
          <w:lang w:val="en_US" w:bidi="en_US"/>
        </w:rPr>
      </w:r>
      <w:r>
        <w:rPr>
          <w:lang w:val="en_US" w:bidi="en_US"/>
        </w:rPr>
        <w:t xml:space="preserve">They covered his face so he could not see </w:t>
      </w:r>
      <w:r>
        <w:rPr>
          <w:lang w:val="en_US" w:bidi="en_US"/>
        </w:rPr>
        <w:t>and they continued hitting him</w:t>
      </w:r>
      <w:r>
        <w:rPr>
          <w:lang w:val="en_US" w:bidi="en_US"/>
        </w:rPr>
        <w:t>,</w:t>
      </w:r>
    </w:p>
    <w:p>
      <w:pPr/>
      <w:r>
        <w:rPr>
          <w:lang w:val="en_US" w:bidi="en_US"/>
        </w:rPr>
      </w:r>
      <w:r>
        <w:rPr>
          <w:b/>
          <w:lang w:val="en_US" w:bidi="en_US"/>
        </w:rPr>
        <w:t>They blindfolded Him:</w:t>
      </w:r>
      <w:r>
        <w:rPr>
          <w:lang w:val="en_US" w:bidi="en_US"/>
        </w:rPr>
        <w:t xml:space="preserve"> The clause </w:t>
      </w:r>
      <w:r>
        <w:rPr>
          <w:i/>
          <w:lang w:val="en_US" w:bidi="en_US"/>
        </w:rPr>
        <w:t>They blindfolded Him</w:t>
      </w:r>
      <w:r>
        <w:rPr>
          <w:lang w:val="en_US" w:bidi="en_US"/>
        </w:rPr>
        <w:t xml:space="preserve"> indicates that the guards covered Jesus’ face or eyes so that he could not see. They may have thrown something over his head or tied a cloth around his head to cover his eyes. The text is not specific about the type of blindfold that was used. Other ways to translate the clause are:</w:t>
      </w:r>
    </w:p>
    <w:p>
      <w:pPr/>
      <w:r>
        <w:rPr>
          <w:lang w:val="en_US" w:bidi="en_US"/>
        </w:rPr>
      </w:r>
      <w:r>
        <w:rPr>
          <w:lang w:val="en_US" w:bidi="en_US"/>
        </w:rPr>
        <w:t>They put a cloth over Jesus’ eyes</w:t>
      </w:r>
    </w:p>
    <w:p>
      <w:pPr/>
      <w:r>
        <w:rPr>
          <w:lang w:val="en_US" w:bidi="en_US"/>
        </w:rPr>
      </w:r>
      <w:r>
        <w:rPr>
          <w:lang w:val="en_US" w:bidi="en_US"/>
        </w:rPr>
        <w:t>They wrapped/covered his face so that he could not see</w:t>
      </w:r>
      <w:r>
        <w:rPr>
          <w:lang w:val="en_US" w:bidi="en_US"/>
        </w:rPr>
        <w:t>Uma back translation on TW.</w:t>
      </w:r>
    </w:p>
    <w:p>
      <w:pPr/>
      <w:r>
        <w:rPr>
          <w:lang w:val="en_US" w:bidi="en_US"/>
        </w:rPr>
      </w:r>
      <w:r>
        <w:rPr>
          <w:lang w:val="en_US" w:bidi="en_US"/>
        </w:rPr>
        <w:t>Describe the action in a natural way in your language.</w:t>
      </w:r>
    </w:p>
    <w:p>
      <w:pPr>
        <w:pStyle w:val="Heading5"/>
      </w:pPr>
      <w:r>
        <w:rPr>
          <w:lang w:val="en_US" w:bidi="en_US"/>
        </w:rPr>
        <w:t>22:64b</w:t>
      </w:r>
    </w:p>
    <w:p>
      <w:pPr/>
      <w:r>
        <w:rPr>
          <w:lang w:val="en_US" w:bidi="en_US"/>
        </w:rPr>
      </w:r>
      <w:r>
        <w:rPr>
          <w:b/>
          <w:lang w:val="en_US" w:bidi="en_US"/>
        </w:rPr>
        <w:t>and kept demanding,</w:t>
      </w:r>
    </w:p>
    <w:p>
      <w:pPr>
        <w:pStyle w:val="ListBullet"/>
        <w:spacing w:line="240" w:lineRule="auto"/>
        <w:ind w:left="720"/>
      </w:pPr>
      <w:r>
        <w:rPr>
          <w:lang w:val="en_US" w:bidi="en_US"/>
        </w:rPr>
      </w:r>
      <w:r>
        <w:rPr>
          <w:lang w:val="en_US" w:bidi="en_US"/>
        </w:rPr>
        <w:t>and demanded again and again,</w:t>
      </w:r>
    </w:p>
    <w:p>
      <w:pPr>
        <w:pStyle w:val="ListBullet"/>
        <w:spacing w:line="240" w:lineRule="auto"/>
        <w:ind w:left="720"/>
      </w:pPr>
      <w:r>
        <w:rPr>
          <w:lang w:val="en_US" w:bidi="en_US"/>
        </w:rPr>
      </w:r>
      <w:r>
        <w:rPr>
          <w:lang w:val="en_US" w:bidi="en_US"/>
        </w:rPr>
        <w:t>repeatedly</w:t>
      </w:r>
      <w:r>
        <w:rPr>
          <w:lang w:val="en_US" w:bidi="en_US"/>
        </w:rPr>
        <w:t xml:space="preserve"> saying,</w:t>
      </w:r>
    </w:p>
    <w:p>
      <w:pPr/>
      <w:r>
        <w:rPr>
          <w:lang w:val="en_US" w:bidi="en_US"/>
        </w:rPr>
      </w:r>
      <w:r>
        <w:rPr>
          <w:b/>
          <w:lang w:val="en_US" w:bidi="en_US"/>
        </w:rPr>
        <w:t>kept demanding:</w:t>
      </w:r>
      <w:r>
        <w:rPr>
          <w:lang w:val="en_US" w:bidi="en_US"/>
        </w:rPr>
        <w:t xml:space="preserve"> The Greek phrase that the BSB translates as </w:t>
      </w:r>
      <w:r>
        <w:rPr>
          <w:i/>
          <w:lang w:val="en_US" w:bidi="en_US"/>
        </w:rPr>
        <w:t>kept demanding</w:t>
      </w:r>
      <w:r>
        <w:rPr>
          <w:lang w:val="en_US" w:bidi="en_US"/>
        </w:rPr>
        <w:t xml:space="preserve"> is literally “were asking, saying.” This phrase probably implies that the men asked Jesus repeatedly, probably many times. They were using force as they asked him, so the BSB translation </w:t>
      </w:r>
      <w:r>
        <w:rPr>
          <w:i/>
          <w:lang w:val="en_US" w:bidi="en_US"/>
        </w:rPr>
        <w:t>kept demanding</w:t>
      </w:r>
      <w:r>
        <w:rPr>
          <w:lang w:val="en_US" w:bidi="en_US"/>
        </w:rPr>
        <w:t xml:space="preserve"> fits this context well.</w:t>
      </w:r>
    </w:p>
    <w:p>
      <w:pPr>
        <w:pStyle w:val="Heading5"/>
      </w:pPr>
      <w:r>
        <w:rPr>
          <w:lang w:val="en_US" w:bidi="en_US"/>
        </w:rPr>
        <w:t>22:64c</w:t>
      </w:r>
    </w:p>
    <w:p>
      <w:pPr/>
      <w:r>
        <w:rPr>
          <w:lang w:val="en_US" w:bidi="en_US"/>
        </w:rPr>
      </w:r>
      <w:r>
        <w:rPr>
          <w:b/>
          <w:lang w:val="en_US" w:bidi="en_US"/>
        </w:rPr>
        <w:t>“Prophesy! Who hit You?”</w:t>
      </w:r>
    </w:p>
    <w:p>
      <w:pPr>
        <w:pStyle w:val="ListBullet"/>
        <w:spacing w:line="240" w:lineRule="auto"/>
        <w:ind w:left="720"/>
      </w:pPr>
      <w:r>
        <w:rPr>
          <w:lang w:val="en_US" w:bidi="en_US"/>
        </w:rPr>
      </w:r>
      <w:r>
        <w:rPr>
          <w:lang w:val="en_US" w:bidi="en_US"/>
        </w:rPr>
        <w:t xml:space="preserve">“Prove that you are a prophet! </w:t>
      </w:r>
      <w:r>
        <w:rPr>
          <w:lang w:val="en_US" w:bidi="en_US"/>
        </w:rPr>
        <w:t>Tell us</w:t>
      </w:r>
      <w:r>
        <w:rPr>
          <w:vertAlign w:val="superscript"/>
          <w:lang w:val="en_US" w:bidi="en_US"/>
        </w:rPr>
        <w:t>(excl)</w:t>
      </w:r>
      <w:r>
        <w:rPr>
          <w:lang w:val="en_US" w:bidi="en_US"/>
        </w:rPr>
        <w:t xml:space="preserve"> who hit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“Who hit you</w:t>
      </w:r>
      <w:r>
        <w:rPr>
          <w:vertAlign w:val="superscript"/>
          <w:lang w:val="en_US" w:bidi="en_US"/>
        </w:rPr>
        <w:t>(sing)</w:t>
      </w:r>
      <w:r>
        <w:rPr>
          <w:lang w:val="en_US" w:bidi="en_US"/>
        </w:rPr>
        <w:t xml:space="preserve"> </w:t>
      </w:r>
      <w:r>
        <w:rPr>
          <w:lang w:val="en_US" w:bidi="en_US"/>
        </w:rPr>
        <w:t>that time</w:t>
      </w:r>
      <w:r>
        <w:rPr>
          <w:lang w:val="en_US" w:bidi="en_US"/>
        </w:rPr>
        <w:t>? Guess, you prophet!”</w:t>
      </w:r>
    </w:p>
    <w:p>
      <w:pPr>
        <w:pStyle w:val="ListBullet"/>
        <w:spacing w:line="240" w:lineRule="auto"/>
        <w:ind w:left="720"/>
      </w:pPr>
      <w:r>
        <w:rPr>
          <w:lang w:val="en_US" w:bidi="en_US"/>
        </w:rPr>
      </w:r>
      <w:r>
        <w:rPr>
          <w:lang w:val="en_US" w:bidi="en_US"/>
        </w:rPr>
        <w:t>“Hey prophet, tell us</w:t>
      </w:r>
      <w:r>
        <w:rPr>
          <w:vertAlign w:val="superscript"/>
          <w:lang w:val="en_US" w:bidi="en_US"/>
        </w:rPr>
        <w:t>(excl)</w:t>
      </w:r>
      <w:r>
        <w:rPr>
          <w:lang w:val="en_US" w:bidi="en_US"/>
        </w:rPr>
        <w:t xml:space="preserve"> who hit you</w:t>
      </w:r>
      <w:r>
        <w:rPr>
          <w:vertAlign w:val="superscript"/>
          <w:lang w:val="en_US" w:bidi="en_US"/>
        </w:rPr>
        <w:t>(sing)</w:t>
      </w:r>
      <w:r>
        <w:rPr>
          <w:lang w:val="en_US" w:bidi="en_US"/>
        </w:rPr>
        <w:t>!”</w:t>
      </w:r>
    </w:p>
    <w:p>
      <w:pPr/>
      <w:r>
        <w:rPr>
          <w:lang w:val="en_US" w:bidi="en_US"/>
        </w:rPr>
      </w:r>
      <w:r>
        <w:rPr>
          <w:b/>
          <w:lang w:val="en_US" w:bidi="en_US"/>
        </w:rPr>
        <w:t>Prophesy! Who hit You?:</w:t>
      </w:r>
      <w:r>
        <w:rPr>
          <w:lang w:val="en_US" w:bidi="en_US"/>
        </w:rPr>
        <w:t xml:space="preserve"> Here the guards were mocking Jesus. They knew that Jesus said that he was from God, and that many people believed that he was a prophet. The guards did not believe that he was a prophet, so they were mocking him. They implied that if he were a prophet, he would be able to say which people hit him, even though he did not see them.</w:t>
      </w:r>
    </w:p>
    <w:p>
      <w:pPr/>
      <w:r>
        <w:rPr>
          <w:lang w:val="en_US" w:bidi="en_US"/>
        </w:rPr>
      </w:r>
      <w:r>
        <w:rPr>
          <w:lang w:val="en_US" w:bidi="en_US"/>
        </w:rPr>
        <w:t>Some ways to translate this mockery are:</w:t>
      </w:r>
    </w:p>
    <w:p>
      <w:pPr/>
      <w:r>
        <w:rPr>
          <w:lang w:val="en_US" w:bidi="en_US"/>
        </w:rPr>
      </w:r>
      <w:r>
        <w:rPr>
          <w:lang w:val="en_US" w:bidi="en_US"/>
        </w:rPr>
        <w:t>If you are a prophet, tell us who hit you. (REB)</w:t>
      </w:r>
    </w:p>
    <w:p>
      <w:pPr/>
      <w:r>
        <w:rPr>
          <w:lang w:val="en_US" w:bidi="en_US"/>
        </w:rPr>
      </w:r>
      <w:r>
        <w:rPr>
          <w:lang w:val="en_US" w:bidi="en_US"/>
        </w:rPr>
        <w:t xml:space="preserve">Who hit you? Tell us, since </w:t>
      </w:r>
      <w:r>
        <w:rPr>
          <w:lang w:val="en_US" w:bidi="en_US"/>
        </w:rPr>
        <w:t>you say</w:t>
      </w:r>
      <w:r>
        <w:rPr>
          <w:lang w:val="en_US" w:bidi="en_US"/>
        </w:rPr>
        <w:t xml:space="preserve"> you can speak messages from God!</w:t>
      </w:r>
    </w:p>
    <w:p>
      <w:pPr/>
      <w:r>
        <w:rPr>
          <w:lang w:val="en_US" w:bidi="en_US"/>
        </w:rPr>
      </w:r>
      <w:r>
        <w:rPr>
          <w:lang w:val="en_US" w:bidi="en_US"/>
        </w:rPr>
        <w:t>Prove that you are a prophet, and tell us who hit you. (NCV)</w:t>
      </w:r>
    </w:p>
    <w:p>
      <w:pPr/>
      <w:r>
        <w:rPr>
          <w:lang w:val="en_US" w:bidi="en_US"/>
        </w:rPr>
      </w:r>
      <w:r>
        <w:rPr>
          <w:lang w:val="en_US" w:bidi="en_US"/>
        </w:rPr>
        <w:t xml:space="preserve">In some languages it may be difficult to use the usual term for </w:t>
      </w:r>
      <w:r>
        <w:rPr>
          <w:i/>
          <w:lang w:val="en_US" w:bidi="en_US"/>
        </w:rPr>
        <w:t>Prophesy</w:t>
      </w:r>
      <w:r>
        <w:rPr>
          <w:lang w:val="en_US" w:bidi="en_US"/>
        </w:rPr>
        <w:t xml:space="preserve"> here. That term may imply speaking God’s messages to people, and that meaning does not fit exactly in this context. If that is true in your language, you may need to use a substitute that fits this context. For example:</w:t>
      </w:r>
    </w:p>
    <w:p>
      <w:pPr/>
      <w:r>
        <w:rPr>
          <w:lang w:val="en_US" w:bidi="en_US"/>
        </w:rPr>
      </w:r>
      <w:r>
        <w:rPr>
          <w:lang w:val="en_US" w:bidi="en_US"/>
        </w:rPr>
        <w:t>Who hit you? Guess! (GNT)</w:t>
      </w:r>
    </w:p>
    <w:p>
      <w:pPr/>
      <w:r>
        <w:rPr>
          <w:lang w:val="en_US" w:bidi="en_US"/>
        </w:rPr>
      </w:r>
      <w:r>
        <w:rPr>
          <w:b/>
          <w:lang w:val="en_US" w:bidi="en_US"/>
        </w:rPr>
        <w:t>Who hit You?:</w:t>
      </w:r>
      <w:r>
        <w:rPr>
          <w:lang w:val="en_US" w:bidi="en_US"/>
        </w:rPr>
        <w:t xml:space="preserve"> The word </w:t>
      </w:r>
      <w:r>
        <w:rPr>
          <w:i/>
          <w:lang w:val="en_US" w:bidi="en_US"/>
        </w:rPr>
        <w:t>hit</w:t>
      </w:r>
      <w:r>
        <w:rPr>
          <w:lang w:val="en_US" w:bidi="en_US"/>
        </w:rPr>
        <w:t xml:space="preserve"> means to strike someone one or more times. It is not the same as the word translated as “beat” in 22:63, but it refers to the same action. There was a group of guards, and different guards hit Jesus. They did this repeatedly, and they continued to challenge him to say which of them had hit him that time. Translate this situation in a natural way in your language. Here is another way to translate this:</w:t>
      </w:r>
    </w:p>
    <w:p>
      <w:pPr/>
      <w:r>
        <w:rPr>
          <w:lang w:val="en_US" w:bidi="en_US"/>
        </w:rPr>
      </w:r>
      <w:r>
        <w:rPr>
          <w:lang w:val="en_US" w:bidi="en_US"/>
        </w:rPr>
        <w:t>Who hit you that time? (NLT)</w:t>
      </w:r>
      <w:r>
        <w:rPr>
          <w:lang w:val="en_US" w:bidi="en_US"/>
        </w:rPr>
      </w:r>
      <w:r>
        <w:rPr>
          <w:lang w:val="en_US" w:bidi="en_US"/>
        </w:rPr>
      </w:r>
    </w:p>
    <w:p>
      <w:pPr/>
      <w:r>
        <w:rPr>
          <w:lang w:val="en_US" w:bidi="en_US"/>
        </w:rPr>
      </w:r>
    </w:p>
    <w:p>
      <w:pPr>
        <w:pStyle w:val="Heading2"/>
      </w:pPr>
      <w:r>
        <w:rPr>
          <w:lang w:val="en_US" w:bidi="en_US"/>
        </w:rPr>
        <w:t>Luke 22:65</w:t>
      </w:r>
      <w:r>
        <w:rPr>
          <w:lang w:val="en_US" w:bidi="en_US"/>
        </w:rPr>
      </w:r>
    </w:p>
    <w:p>
      <w:pPr>
        <w:pStyle w:val="Heading4"/>
      </w:pPr>
      <w:r>
        <w:rPr>
          <w:lang w:val="en_US" w:bidi="en_US"/>
        </w:rPr>
        <w:t>Section 22:63–65: The guards mocked Jesus</w:t>
      </w:r>
    </w:p>
    <w:p>
      <w:pPr/>
      <w:r>
        <w:rPr>
          <w:lang w:val="en_US" w:bidi="en_US"/>
        </w:rPr>
      </w:r>
      <w:r>
        <w:rPr>
          <w:lang w:val="en_US" w:bidi="en_US"/>
        </w:rPr>
        <w:t>In this section the guards mocked and mistreated Jesus. Some other examples of headings for this section are:</w:t>
      </w:r>
    </w:p>
    <w:p>
      <w:pPr/>
      <w:r>
        <w:rPr>
          <w:lang w:val="en_US" w:bidi="en_US"/>
        </w:rPr>
      </w:r>
      <w:r>
        <w:rPr>
          <w:lang w:val="en_US" w:bidi="en_US"/>
        </w:rPr>
        <w:t>Jesus Is Mocked and Beaten (GNT)</w:t>
      </w:r>
    </w:p>
    <w:p>
      <w:pPr/>
      <w:r>
        <w:rPr>
          <w:lang w:val="en_US" w:bidi="en_US"/>
        </w:rPr>
      </w:r>
      <w:r>
        <w:rPr>
          <w:lang w:val="en_US" w:bidi="en_US"/>
        </w:rPr>
        <w:t>The Mocking and Beating of Jesus (NRSV)</w:t>
      </w:r>
    </w:p>
    <w:p>
      <w:pPr/>
      <w:r>
        <w:rPr>
          <w:lang w:val="en_US" w:bidi="en_US"/>
        </w:rPr>
      </w:r>
      <w:r>
        <w:rPr>
          <w:lang w:val="en_US" w:bidi="en_US"/>
        </w:rPr>
        <w:t>There are parallel passages for this section in Matthew 26:67–68 and Mark 14:65.</w:t>
      </w:r>
    </w:p>
    <w:p>
      <w:pPr>
        <w:pStyle w:val="Heading5"/>
      </w:pPr>
      <w:r>
        <w:rPr>
          <w:lang w:val="en_US" w:bidi="en_US"/>
        </w:rPr>
        <w:t>22:65</w:t>
      </w:r>
    </w:p>
    <w:p>
      <w:pPr/>
      <w:r>
        <w:rPr>
          <w:lang w:val="en_US" w:bidi="en_US"/>
        </w:rPr>
      </w:r>
      <w:r>
        <w:rPr>
          <w:b/>
          <w:lang w:val="en_US" w:bidi="en_US"/>
        </w:rPr>
        <w:t>And they said many other blasphemous things against Him.</w:t>
      </w:r>
    </w:p>
    <w:p>
      <w:pPr>
        <w:pStyle w:val="ListBullet"/>
        <w:spacing w:line="240" w:lineRule="auto"/>
        <w:ind w:left="720"/>
      </w:pPr>
      <w:r>
        <w:rPr>
          <w:lang w:val="en_US" w:bidi="en_US"/>
        </w:rPr>
      </w:r>
      <w:r>
        <w:rPr>
          <w:lang w:val="en_US" w:bidi="en_US"/>
        </w:rPr>
        <w:t>And they blasphemed/abused him with many other insults.</w:t>
      </w:r>
    </w:p>
    <w:p>
      <w:pPr>
        <w:pStyle w:val="ListBullet"/>
        <w:spacing w:line="240" w:lineRule="auto"/>
        <w:ind w:left="720"/>
      </w:pPr>
      <w:r>
        <w:rPr>
          <w:lang w:val="en_US" w:bidi="en_US"/>
        </w:rPr>
      </w:r>
      <w:r>
        <w:rPr>
          <w:lang w:val="en_US" w:bidi="en_US"/>
        </w:rPr>
        <w:t>And they continued to revile/insult him in many other ways.</w:t>
      </w:r>
    </w:p>
    <w:p>
      <w:pPr/>
      <w:r>
        <w:rPr>
          <w:lang w:val="en_US" w:bidi="en_US"/>
        </w:rPr>
      </w:r>
      <w:r>
        <w:rPr>
          <w:b/>
          <w:lang w:val="en_US" w:bidi="en_US"/>
        </w:rPr>
        <w:t>And they said many other blasphemous things against Him:</w:t>
      </w:r>
      <w:r>
        <w:rPr>
          <w:lang w:val="en_US" w:bidi="en_US"/>
        </w:rPr>
        <w:t xml:space="preserve"> In Greek this clause is more literally “And they said many other things against him, blaspheming him” (ESV). The form of the verb </w:t>
      </w:r>
      <w:r>
        <w:rPr>
          <w:i/>
          <w:lang w:val="en_US" w:bidi="en_US"/>
        </w:rPr>
        <w:t>said</w:t>
      </w:r>
      <w:r>
        <w:rPr>
          <w:lang w:val="en_US" w:bidi="en_US"/>
        </w:rPr>
        <w:t xml:space="preserve"> shows that the guards continued to insult and mock Jesus for some time. Some other ways to translate the clause are:</w:t>
      </w:r>
    </w:p>
    <w:p>
      <w:pPr/>
      <w:r>
        <w:rPr>
          <w:lang w:val="en_US" w:bidi="en_US"/>
        </w:rPr>
      </w:r>
      <w:r>
        <w:rPr>
          <w:lang w:val="en_US" w:bidi="en_US"/>
        </w:rPr>
        <w:t>They kept on insulting Jesus in many other ways. (CEV)</w:t>
      </w:r>
    </w:p>
    <w:p>
      <w:pPr/>
      <w:r>
        <w:rPr>
          <w:lang w:val="en_US" w:bidi="en_US"/>
        </w:rPr>
      </w:r>
      <w:r>
        <w:rPr>
          <w:lang w:val="en_US" w:bidi="en_US"/>
        </w:rPr>
        <w:t>And they said many other things to mock him and laugh at him.</w:t>
      </w:r>
      <w:r>
        <w:rPr>
          <w:lang w:val="en_US" w:bidi="en_US"/>
        </w:rPr>
        <w:t>Kankanaey back translation on TW.</w:t>
      </w:r>
    </w:p>
    <w:p>
      <w:pPr/>
      <w:r>
        <w:rPr>
          <w:lang w:val="en_US" w:bidi="en_US"/>
        </w:rPr>
      </w:r>
      <w:r>
        <w:rPr>
          <w:lang w:val="en_US" w:bidi="en_US"/>
        </w:rPr>
        <w:t>In some languages there may be idioms to describe this type of ongoing mockery. For example:</w:t>
      </w:r>
    </w:p>
    <w:p>
      <w:pPr/>
      <w:r>
        <w:rPr>
          <w:lang w:val="en_US" w:bidi="en_US"/>
        </w:rPr>
      </w:r>
      <w:r>
        <w:rPr>
          <w:lang w:val="en_US" w:bidi="en_US"/>
        </w:rPr>
        <w:t>And they hurled all sorts of terrible insults at him.</w:t>
      </w:r>
    </w:p>
    <w:p>
      <w:pPr/>
      <w:r>
        <w:rPr>
          <w:lang w:val="en_US" w:bidi="en_US"/>
        </w:rPr>
      </w:r>
      <w:r>
        <w:rPr>
          <w:lang w:val="en_US" w:bidi="en_US"/>
        </w:rPr>
        <w:t>And so they went on heaping insults upon him. (REB)</w:t>
      </w:r>
    </w:p>
    <w:p>
      <w:pPr/>
      <w:r>
        <w:rPr>
          <w:lang w:val="en_US" w:bidi="en_US"/>
        </w:rPr>
      </w:r>
      <w:r>
        <w:rPr>
          <w:b/>
          <w:lang w:val="en_US" w:bidi="en_US"/>
        </w:rPr>
        <w:t>blasphemous:</w:t>
      </w:r>
      <w:r>
        <w:rPr>
          <w:lang w:val="en_US" w:bidi="en_US"/>
        </w:rPr>
        <w:t xml:space="preserve"> The Greek word that the BSB literally translates as </w:t>
      </w:r>
      <w:r>
        <w:rPr>
          <w:i/>
          <w:lang w:val="en_US" w:bidi="en_US"/>
        </w:rPr>
        <w:t>blasphemous</w:t>
      </w:r>
      <w:r>
        <w:rPr>
          <w:lang w:val="en_US" w:bidi="en_US"/>
        </w:rPr>
        <w:t xml:space="preserve"> is the same word that is used for blaspheming God. Luke may have implied that by insulting Jesus in those ways, they were insulting God himself. If you have a word that is used for insulting both God and human beings, it may fit here. Otherwise, you may use a word that refers to insulting human beings. Here is another way to translate this:</w:t>
      </w:r>
    </w:p>
    <w:p>
      <w:pPr/>
      <w:r>
        <w:rPr>
          <w:lang w:val="en_US" w:bidi="en_US"/>
        </w:rPr>
      </w:r>
      <w:r>
        <w:rPr>
          <w:lang w:val="en_US" w:bidi="en_US"/>
        </w:rPr>
        <w:t>And they threw all sorts of terrible insults at him. (NLT96)</w:t>
      </w:r>
      <w:r>
        <w:rPr>
          <w:lang w:val="en_US" w:bidi="en_US"/>
        </w:rPr>
      </w:r>
      <w:r>
        <w:rPr>
          <w:lang w:val="en_US" w:bidi="en_US"/>
        </w:rPr>
      </w:r>
    </w:p>
    <w:p>
      <w:pPr/>
      <w:r>
        <w:rPr>
          <w:lang w:val="en_US" w:bidi="en_US"/>
        </w:rPr>
      </w:r>
    </w:p>
    <w:p>
      <w:pPr>
        <w:pStyle w:val="Heading2"/>
      </w:pPr>
      <w:r>
        <w:rPr>
          <w:lang w:val="en_US" w:bidi="en_US"/>
        </w:rPr>
        <w:t>Luke 22:66</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22:66a</w:t>
      </w:r>
    </w:p>
    <w:p>
      <w:pPr/>
      <w:r>
        <w:rPr>
          <w:lang w:val="en_US" w:bidi="en_US"/>
        </w:rPr>
      </w:r>
      <w:r>
        <w:rPr>
          <w:b/>
          <w:lang w:val="en_US" w:bidi="en_US"/>
        </w:rPr>
        <w:t>At daybreak the council of the elders of the people,</w:t>
      </w:r>
    </w:p>
    <w:p>
      <w:pPr>
        <w:pStyle w:val="ListBullet"/>
        <w:spacing w:line="240" w:lineRule="auto"/>
        <w:ind w:left="720"/>
      </w:pPr>
      <w:r>
        <w:rPr>
          <w:lang w:val="en_US" w:bidi="en_US"/>
        </w:rPr>
      </w:r>
      <w:r>
        <w:rPr>
          <w:lang w:val="en_US" w:bidi="en_US"/>
        </w:rPr>
        <w:t xml:space="preserve">¶ At sunrise/dawn, the high court of the </w:t>
      </w:r>
      <w:r>
        <w:rPr>
          <w:lang w:val="en_US" w:bidi="en_US"/>
        </w:rPr>
        <w:t>Jewish</w:t>
      </w:r>
      <w:r>
        <w:rPr>
          <w:lang w:val="en_US" w:bidi="en_US"/>
        </w:rPr>
        <w:t xml:space="preserve"> people</w:t>
      </w:r>
    </w:p>
    <w:p>
      <w:pPr>
        <w:pStyle w:val="ListBullet"/>
        <w:spacing w:line="240" w:lineRule="auto"/>
        <w:ind w:left="720"/>
      </w:pPr>
      <w:r>
        <w:rPr>
          <w:lang w:val="en_US" w:bidi="en_US"/>
        </w:rPr>
      </w:r>
      <w:r>
        <w:rPr>
          <w:lang w:val="en_US" w:bidi="en_US"/>
        </w:rPr>
        <w:t xml:space="preserve">¶ When the sun rose, the elders/leaders of the </w:t>
      </w:r>
      <w:r>
        <w:rPr>
          <w:lang w:val="en_US" w:bidi="en_US"/>
        </w:rPr>
        <w:t>Jewish</w:t>
      </w:r>
      <w:r>
        <w:rPr>
          <w:lang w:val="en_US" w:bidi="en_US"/>
        </w:rPr>
        <w:t xml:space="preserve"> people</w:t>
      </w:r>
    </w:p>
    <w:p>
      <w:pPr>
        <w:pStyle w:val="Heading5"/>
      </w:pPr>
      <w:r>
        <w:rPr>
          <w:lang w:val="en_US" w:bidi="en_US"/>
        </w:rPr>
        <w:t>22:66b</w:t>
      </w:r>
    </w:p>
    <w:p>
      <w:pPr/>
      <w:r>
        <w:rPr>
          <w:lang w:val="en_US" w:bidi="en_US"/>
        </w:rPr>
      </w:r>
      <w:r>
        <w:rPr>
          <w:b/>
          <w:lang w:val="en_US" w:bidi="en_US"/>
        </w:rPr>
        <w:t>both the chief priests and scribes, met together.</w:t>
      </w:r>
    </w:p>
    <w:p>
      <w:pPr>
        <w:pStyle w:val="ListBullet"/>
        <w:spacing w:line="240" w:lineRule="auto"/>
        <w:ind w:left="720"/>
      </w:pPr>
      <w:r>
        <w:rPr>
          <w:lang w:val="en_US" w:bidi="en_US"/>
        </w:rPr>
      </w:r>
      <w:r>
        <w:rPr>
          <w:lang w:val="en_US" w:bidi="en_US"/>
        </w:rPr>
        <w:t>met. This court included the chief priests and the teachers of the law.</w:t>
      </w:r>
    </w:p>
    <w:p>
      <w:pPr>
        <w:pStyle w:val="ListBullet"/>
        <w:spacing w:line="240" w:lineRule="auto"/>
        <w:ind w:left="720"/>
      </w:pPr>
      <w:r>
        <w:rPr>
          <w:lang w:val="en_US" w:bidi="en_US"/>
        </w:rPr>
      </w:r>
      <w:r>
        <w:rPr>
          <w:lang w:val="en_US" w:bidi="en_US"/>
        </w:rPr>
        <w:t>gathered for a meeting. The leading priests and experts in the law were there.</w:t>
      </w:r>
    </w:p>
    <w:p>
      <w:pPr>
        <w:pStyle w:val="Heading5"/>
      </w:pPr>
      <w:r>
        <w:rPr>
          <w:lang w:val="en_US" w:bidi="en_US"/>
        </w:rPr>
        <w:t>22:66a–b</w:t>
      </w:r>
    </w:p>
    <w:p>
      <w:pPr/>
      <w:r>
        <w:rPr>
          <w:lang w:val="en_US" w:bidi="en_US"/>
        </w:rPr>
      </w:r>
      <w:r>
        <w:rPr>
          <w:b/>
          <w:lang w:val="en_US" w:bidi="en_US"/>
        </w:rPr>
        <w:t>At daybreak:</w:t>
      </w:r>
      <w:r>
        <w:rPr>
          <w:lang w:val="en_US" w:bidi="en_US"/>
        </w:rPr>
        <w:t xml:space="preserve"> The phrase </w:t>
      </w:r>
      <w:r>
        <w:rPr>
          <w:i/>
          <w:lang w:val="en_US" w:bidi="en_US"/>
        </w:rPr>
        <w:t>At daybreak</w:t>
      </w:r>
      <w:r>
        <w:rPr>
          <w:lang w:val="en_US" w:bidi="en_US"/>
        </w:rPr>
        <w:t xml:space="preserve"> refers to dawn when daylight came. A Jewish council could only make legal decisions during the daytime. So they waited until after sunrise to have this meeting. Some other ways to translate the phrase are:</w:t>
      </w:r>
    </w:p>
    <w:p>
      <w:pPr/>
      <w:r>
        <w:rPr>
          <w:lang w:val="en_US" w:bidi="en_US"/>
        </w:rPr>
      </w:r>
      <w:r>
        <w:rPr>
          <w:lang w:val="en_US" w:bidi="en_US"/>
        </w:rPr>
        <w:t>At dawn</w:t>
      </w:r>
    </w:p>
    <w:p>
      <w:pPr/>
      <w:r>
        <w:rPr>
          <w:lang w:val="en_US" w:bidi="en_US"/>
        </w:rPr>
      </w:r>
      <w:r>
        <w:rPr>
          <w:lang w:val="en_US" w:bidi="en_US"/>
        </w:rPr>
        <w:t>When the sun rose</w:t>
      </w:r>
    </w:p>
    <w:p>
      <w:pPr/>
      <w:r>
        <w:rPr>
          <w:lang w:val="en_US" w:bidi="en_US"/>
        </w:rPr>
      </w:r>
      <w:r>
        <w:rPr>
          <w:b/>
          <w:lang w:val="en_US" w:bidi="en_US"/>
        </w:rPr>
        <w:t>the council of the elders of the people, both the chief priests and scribes, met together:</w:t>
      </w:r>
      <w:r>
        <w:rPr>
          <w:lang w:val="en_US" w:bidi="en_US"/>
        </w:rPr>
        <w:t xml:space="preserve"> Scholars differ about whether the meeting at dawn included two groups or three groups:</w:t>
      </w:r>
    </w:p>
    <w:p>
      <w:pPr>
        <w:pStyle w:val="ListNumber"/>
        <w:numPr>
          <w:ilvl w:val="0"/>
          <w:numId w:val="360"/>
        </w:numPr>
        <w:spacing w:line="240" w:lineRule="auto"/>
        <w:ind w:left="720"/>
      </w:pPr>
      <w:r>
        <w:rPr>
          <w:lang w:val="en_US" w:bidi="en_US"/>
        </w:rPr>
      </w:r>
      <w:r>
        <w:rPr>
          <w:lang w:val="en_US" w:bidi="en_US"/>
        </w:rPr>
        <w:t xml:space="preserve">The meeting included two groups: the chief priests and the scribes. These two groups together were described as </w:t>
      </w:r>
      <w:r>
        <w:rPr>
          <w:i/>
          <w:lang w:val="en_US" w:bidi="en_US"/>
        </w:rPr>
        <w:t>the council of the elders</w:t>
      </w:r>
      <w:r>
        <w:rPr>
          <w:lang w:val="en_US" w:bidi="en_US"/>
        </w:rPr>
        <w:t>. Here is another way to translate this:</w:t>
      </w:r>
      <w:r>
        <w:rPr>
          <w:lang w:val="en_US" w:bidi="en_US"/>
        </w:rPr>
        <w:t xml:space="preserve">all the elders of the people assembled, including the leading priests and the teachers of religious law (NLT) </w:t>
      </w:r>
      <w:r>
        <w:rPr>
          <w:i/>
          <w:lang w:val="en_US" w:bidi="en_US"/>
        </w:rPr>
        <w:t>(BSB, NLT, RSV, NASB, NIV, NET, NCV, ESV, JBP)</w:t>
      </w:r>
    </w:p>
    <w:p>
      <w:pPr>
        <w:pStyle w:val="ListNumber"/>
        <w:spacing w:line="240" w:lineRule="auto"/>
        <w:ind w:left="720"/>
      </w:pPr>
      <w:r>
        <w:rPr>
          <w:lang w:val="en_US" w:bidi="en_US"/>
        </w:rPr>
      </w:r>
      <w:r>
        <w:rPr>
          <w:lang w:val="en_US" w:bidi="en_US"/>
        </w:rPr>
        <w:t>The meeting included three groups: the elders of the people, the chief priests, and the scribes. Here is another way to translate this:</w:t>
      </w:r>
      <w:r>
        <w:rPr>
          <w:lang w:val="en_US" w:bidi="en_US"/>
        </w:rPr>
        <w:t xml:space="preserve">the elders, the chief priests, and the teachers of the Law met together (GNT) </w:t>
      </w:r>
      <w:r>
        <w:rPr>
          <w:i/>
          <w:lang w:val="en_US" w:bidi="en_US"/>
        </w:rPr>
        <w:t>(GNT, KJV, REB, CEV, GW, NJB)</w:t>
      </w:r>
    </w:p>
    <w:p>
      <w:pPr/>
      <w:r>
        <w:rPr>
          <w:lang w:val="en_US" w:bidi="en_US"/>
        </w:rPr>
      </w:r>
      <w:r>
        <w:rPr>
          <w:lang w:val="en_US" w:bidi="en_US"/>
        </w:rPr>
        <w:t xml:space="preserve">It is recommended that you follow interpretation (1). This interpretation is supported by the construction of the Greek sentence. It is true that the Jewish high court, the Sanhedrin, included more than two groups. However, here Luke mentioned just two of the groups and referred to the Sanhedrin itself as </w:t>
      </w:r>
      <w:r>
        <w:rPr>
          <w:i/>
          <w:lang w:val="en_US" w:bidi="en_US"/>
        </w:rPr>
        <w:t>the council of the elders</w:t>
      </w:r>
      <w:r>
        <w:rPr>
          <w:lang w:val="en_US" w:bidi="en_US"/>
        </w:rPr>
        <w:t>.</w:t>
      </w:r>
    </w:p>
    <w:p>
      <w:pPr/>
      <w:r>
        <w:rPr>
          <w:lang w:val="en_US" w:bidi="en_US"/>
        </w:rPr>
      </w:r>
      <w:r>
        <w:rPr>
          <w:lang w:val="en_US" w:bidi="en_US"/>
        </w:rPr>
        <w:t>Another way to translate this interpretation is:</w:t>
      </w:r>
    </w:p>
    <w:p>
      <w:pPr/>
      <w:r>
        <w:rPr>
          <w:lang w:val="en_US" w:bidi="en_US"/>
        </w:rPr>
      </w:r>
      <w:r>
        <w:rPr>
          <w:lang w:val="en_US" w:bidi="en_US"/>
        </w:rPr>
        <w:t>the council of the elders of the people gathered together. These elders were the leading priests and the experts in the law.</w:t>
      </w:r>
    </w:p>
    <w:p>
      <w:pPr/>
      <w:r>
        <w:rPr>
          <w:lang w:val="en_US" w:bidi="en_US"/>
        </w:rPr>
      </w:r>
      <w:r>
        <w:rPr>
          <w:b/>
          <w:lang w:val="en_US" w:bidi="en_US"/>
        </w:rPr>
        <w:t>the council of the elders of the people:</w:t>
      </w:r>
      <w:r>
        <w:rPr>
          <w:lang w:val="en_US" w:bidi="en_US"/>
        </w:rPr>
        <w:t xml:space="preserve"> The Greek word that the BSB translates as </w:t>
      </w:r>
      <w:r>
        <w:rPr>
          <w:i/>
          <w:lang w:val="en_US" w:bidi="en_US"/>
        </w:rPr>
        <w:t>council of the elders</w:t>
      </w:r>
      <w:r>
        <w:rPr>
          <w:lang w:val="en_US" w:bidi="en_US"/>
        </w:rPr>
        <w:t xml:space="preserve"> refers to the assembly of the main leaders of the people. Here the phrase </w:t>
      </w:r>
      <w:r>
        <w:rPr>
          <w:i/>
          <w:lang w:val="en_US" w:bidi="en_US"/>
        </w:rPr>
        <w:t>of the people</w:t>
      </w:r>
      <w:r>
        <w:rPr>
          <w:lang w:val="en_US" w:bidi="en_US"/>
        </w:rPr>
        <w:t xml:space="preserve"> refers to the Jewish people/nation. At the council the groups that led the Jewish people met and made decisions. Some other ways to translate </w:t>
      </w:r>
      <w:r>
        <w:rPr>
          <w:i/>
          <w:lang w:val="en_US" w:bidi="en_US"/>
        </w:rPr>
        <w:t>the council of the elders of the people</w:t>
      </w:r>
      <w:r>
        <w:rPr>
          <w:lang w:val="en_US" w:bidi="en_US"/>
        </w:rPr>
        <w:t xml:space="preserve"> are:</w:t>
      </w:r>
    </w:p>
    <w:p>
      <w:pPr/>
      <w:r>
        <w:rPr>
          <w:lang w:val="en_US" w:bidi="en_US"/>
        </w:rPr>
      </w:r>
      <w:r>
        <w:rPr>
          <w:lang w:val="en_US" w:bidi="en_US"/>
        </w:rPr>
        <w:t>the nation’s leaders (CEV)</w:t>
      </w:r>
    </w:p>
    <w:p>
      <w:pPr/>
      <w:r>
        <w:rPr>
          <w:lang w:val="en_US" w:bidi="en_US"/>
        </w:rPr>
      </w:r>
      <w:r>
        <w:rPr>
          <w:lang w:val="en_US" w:bidi="en_US"/>
        </w:rPr>
        <w:t>the assembly of the elders of the people (NRSV)</w:t>
      </w:r>
    </w:p>
    <w:p>
      <w:pPr/>
      <w:r>
        <w:rPr>
          <w:lang w:val="en_US" w:bidi="en_US"/>
        </w:rPr>
      </w:r>
      <w:r>
        <w:rPr>
          <w:b/>
          <w:lang w:val="en_US" w:bidi="en_US"/>
        </w:rPr>
        <w:t>chief priests and scribes:</w:t>
      </w:r>
      <w:r>
        <w:rPr>
          <w:lang w:val="en_US" w:bidi="en_US"/>
        </w:rPr>
        <w:t xml:space="preserve"> For translation suggestions, see the notes at 19:47b–d. See also priest and scribe in the Glossary for more information. These terms also occurred in 22:2a. See how you translated them there.</w:t>
      </w:r>
    </w:p>
    <w:p>
      <w:pPr/>
      <w:r>
        <w:rPr>
          <w:lang w:val="en_US" w:bidi="en_US"/>
        </w:rPr>
      </w:r>
      <w:r>
        <w:rPr>
          <w:b/>
          <w:lang w:val="en_US" w:bidi="en_US"/>
        </w:rPr>
        <w:t>met together:</w:t>
      </w:r>
      <w:r>
        <w:rPr>
          <w:lang w:val="en_US" w:bidi="en_US"/>
        </w:rPr>
        <w:t xml:space="preserve"> The phrase </w:t>
      </w:r>
      <w:r>
        <w:rPr>
          <w:i/>
          <w:lang w:val="en_US" w:bidi="en_US"/>
        </w:rPr>
        <w:t>met together</w:t>
      </w:r>
      <w:r>
        <w:rPr>
          <w:lang w:val="en_US" w:bidi="en_US"/>
        </w:rPr>
        <w:t xml:space="preserve"> indicates that the council gathered for a specific purpose. In this context they gathered to make a judgment about Jesus. Other ways to translate the phrase are:</w:t>
      </w:r>
    </w:p>
    <w:p>
      <w:pPr/>
      <w:r>
        <w:rPr>
          <w:lang w:val="en_US" w:bidi="en_US"/>
        </w:rPr>
      </w:r>
      <w:r>
        <w:rPr>
          <w:lang w:val="en_US" w:bidi="en_US"/>
        </w:rPr>
        <w:t>assembled (REB)</w:t>
      </w:r>
    </w:p>
    <w:p>
      <w:pPr/>
      <w:r>
        <w:rPr>
          <w:lang w:val="en_US" w:bidi="en_US"/>
        </w:rPr>
      </w:r>
      <w:r>
        <w:rPr>
          <w:lang w:val="en_US" w:bidi="en_US"/>
        </w:rPr>
        <w:t>gathered together (NET)</w:t>
      </w:r>
    </w:p>
    <w:p>
      <w:pPr>
        <w:pStyle w:val="Heading5"/>
      </w:pPr>
      <w:r>
        <w:rPr>
          <w:lang w:val="en_US" w:bidi="en_US"/>
        </w:rPr>
        <w:t>22:66c</w:t>
      </w:r>
    </w:p>
    <w:p>
      <w:pPr/>
      <w:r>
        <w:rPr>
          <w:lang w:val="en_US" w:bidi="en_US"/>
        </w:rPr>
      </w:r>
      <w:r>
        <w:rPr>
          <w:b/>
          <w:lang w:val="en_US" w:bidi="en_US"/>
        </w:rPr>
        <w:t>They led Jesus into their Sanhedrin and said,</w:t>
      </w:r>
    </w:p>
    <w:p>
      <w:pPr>
        <w:pStyle w:val="ListBullet"/>
        <w:spacing w:line="240" w:lineRule="auto"/>
        <w:ind w:left="720"/>
      </w:pPr>
      <w:r>
        <w:rPr>
          <w:lang w:val="en_US" w:bidi="en_US"/>
        </w:rPr>
      </w:r>
      <w:r>
        <w:rPr>
          <w:lang w:val="en_US" w:bidi="en_US"/>
        </w:rPr>
        <w:t>Then Jesus was brought to the court.</w:t>
      </w:r>
    </w:p>
    <w:p>
      <w:pPr>
        <w:pStyle w:val="ListBullet"/>
        <w:spacing w:line="240" w:lineRule="auto"/>
        <w:ind w:left="720"/>
      </w:pPr>
      <w:r>
        <w:rPr>
          <w:lang w:val="en_US" w:bidi="en_US"/>
        </w:rPr>
      </w:r>
      <w:r>
        <w:rPr>
          <w:lang w:val="en_US" w:bidi="en_US"/>
        </w:rPr>
        <w:t>After they had gathered,</w:t>
      </w:r>
      <w:r>
        <w:rPr>
          <w:lang w:val="en_US" w:bidi="en_US"/>
        </w:rPr>
        <w:t xml:space="preserve"> </w:t>
      </w:r>
      <w:r>
        <w:rPr>
          <w:lang w:val="en_US" w:bidi="en_US"/>
        </w:rPr>
        <w:t>they caused/told</w:t>
      </w:r>
      <w:r>
        <w:rPr>
          <w:lang w:val="en_US" w:bidi="en_US"/>
        </w:rPr>
        <w:t xml:space="preserve"> </w:t>
      </w:r>
      <w:r>
        <w:rPr>
          <w:lang w:val="en_US" w:bidi="en_US"/>
        </w:rPr>
        <w:t>the guards</w:t>
      </w:r>
      <w:r>
        <w:rPr>
          <w:lang w:val="en_US" w:bidi="en_US"/>
        </w:rPr>
        <w:t xml:space="preserve"> to bring Jesus into the meeting.</w:t>
      </w:r>
    </w:p>
    <w:p>
      <w:pPr>
        <w:pStyle w:val="ListBullet"/>
        <w:spacing w:line="240" w:lineRule="auto"/>
        <w:ind w:left="720"/>
      </w:pPr>
      <w:r>
        <w:rPr>
          <w:lang w:val="en_US" w:bidi="en_US"/>
        </w:rPr>
      </w:r>
      <w:r>
        <w:rPr>
          <w:lang w:val="en_US" w:bidi="en_US"/>
        </w:rPr>
        <w:t xml:space="preserve">Then </w:t>
      </w:r>
      <w:r>
        <w:rPr>
          <w:lang w:val="en_US" w:bidi="en_US"/>
        </w:rPr>
        <w:t>guards</w:t>
      </w:r>
      <w:r>
        <w:rPr>
          <w:lang w:val="en_US" w:bidi="en_US"/>
        </w:rPr>
        <w:t xml:space="preserve"> brought Jesus in </w:t>
      </w:r>
      <w:r>
        <w:rPr>
          <w:lang w:val="en_US" w:bidi="en_US"/>
        </w:rPr>
        <w:t>and made him stand</w:t>
      </w:r>
      <w:r>
        <w:rPr>
          <w:lang w:val="en_US" w:bidi="en_US"/>
        </w:rPr>
        <w:t xml:space="preserve"> facing the elders/leaders.</w:t>
      </w:r>
    </w:p>
    <w:p>
      <w:pPr/>
      <w:r>
        <w:rPr>
          <w:lang w:val="en_US" w:bidi="en_US"/>
        </w:rPr>
      </w:r>
      <w:r>
        <w:rPr>
          <w:b/>
          <w:lang w:val="en_US" w:bidi="en_US"/>
        </w:rPr>
        <w:t>They led Jesus into their Sanhedrin:</w:t>
      </w:r>
      <w:r>
        <w:rPr>
          <w:lang w:val="en_US" w:bidi="en_US"/>
        </w:rPr>
        <w:t xml:space="preserve"> Some ways to translate this clause are:</w:t>
      </w:r>
    </w:p>
    <w:p>
      <w:pPr>
        <w:pStyle w:val="ListBullet"/>
        <w:spacing w:line="240" w:lineRule="auto"/>
        <w:ind w:left="720"/>
      </w:pPr>
      <w:r>
        <w:rPr>
          <w:lang w:val="en_US" w:bidi="en_US"/>
        </w:rPr>
      </w:r>
      <w:r>
        <w:rPr>
          <w:lang w:val="en_US" w:bidi="en_US"/>
        </w:rPr>
        <w:t>Use a passive clause. For example:</w:t>
      </w:r>
      <w:r>
        <w:rPr>
          <w:lang w:val="en_US" w:bidi="en_US"/>
        </w:rPr>
        <w:t>Jesus was led before them (NIV)</w:t>
      </w:r>
    </w:p>
    <w:p>
      <w:pPr>
        <w:pStyle w:val="ListBullet"/>
        <w:spacing w:line="240" w:lineRule="auto"/>
        <w:ind w:left="720"/>
      </w:pPr>
      <w:r>
        <w:rPr>
          <w:lang w:val="en_US" w:bidi="en_US"/>
        </w:rPr>
      </w:r>
      <w:r>
        <w:rPr>
          <w:lang w:val="en_US" w:bidi="en_US"/>
        </w:rPr>
        <w:t>Use a causative. For example:</w:t>
      </w:r>
      <w:r>
        <w:rPr>
          <w:lang w:val="en_US" w:bidi="en_US"/>
        </w:rPr>
        <w:t>They caused Jesus to be led into their meeting</w:t>
      </w:r>
    </w:p>
    <w:p>
      <w:pPr>
        <w:pStyle w:val="ListBullet"/>
        <w:spacing w:line="240" w:lineRule="auto"/>
        <w:ind w:left="720"/>
      </w:pPr>
      <w:r>
        <w:rPr>
          <w:lang w:val="en_US" w:bidi="en_US"/>
        </w:rPr>
      </w:r>
      <w:r>
        <w:rPr>
          <w:lang w:val="en_US" w:bidi="en_US"/>
        </w:rPr>
        <w:t>Use an active clause and supply a subject, as the BSB does. If you need to be more specific, you may refer to men who guarded Jesus. For example:</w:t>
      </w:r>
      <w:r>
        <w:rPr>
          <w:lang w:val="en_US" w:bidi="en_US"/>
        </w:rPr>
        <w:t>they brought Jesus before them</w:t>
      </w:r>
      <w:r>
        <w:rPr>
          <w:lang w:val="en_US" w:bidi="en_US"/>
        </w:rPr>
        <w:t>the guards</w:t>
      </w:r>
      <w:r>
        <w:rPr>
          <w:lang w:val="en_US" w:bidi="en_US"/>
        </w:rPr>
        <w:t xml:space="preserve"> led Jesus before them</w:t>
      </w:r>
    </w:p>
    <w:p>
      <w:pPr/>
      <w:r>
        <w:rPr>
          <w:lang w:val="en_US" w:bidi="en_US"/>
        </w:rPr>
      </w:r>
      <w:r>
        <w:rPr>
          <w:b/>
          <w:lang w:val="en_US" w:bidi="en_US"/>
        </w:rPr>
        <w:t>into their Sanhedrin:</w:t>
      </w:r>
      <w:r>
        <w:rPr>
          <w:lang w:val="en_US" w:bidi="en_US"/>
        </w:rPr>
        <w:t xml:space="preserve"> The Greek phrase that the BSB translates as </w:t>
      </w:r>
      <w:r>
        <w:rPr>
          <w:i/>
          <w:lang w:val="en_US" w:bidi="en_US"/>
        </w:rPr>
        <w:t>into their Sanhedrin</w:t>
      </w:r>
      <w:r>
        <w:rPr>
          <w:lang w:val="en_US" w:bidi="en_US"/>
        </w:rPr>
        <w:t xml:space="preserve"> is literally “into their council.” The context implies that he was brought there for trial. Some English versions use the word “before” to imply this. For example:</w:t>
      </w:r>
    </w:p>
    <w:p>
      <w:pPr/>
      <w:r>
        <w:rPr>
          <w:lang w:val="en_US" w:bidi="en_US"/>
        </w:rPr>
      </w:r>
      <w:r>
        <w:rPr>
          <w:lang w:val="en_US" w:bidi="en_US"/>
        </w:rPr>
        <w:t>before them (NIV)</w:t>
      </w:r>
    </w:p>
    <w:p>
      <w:pPr/>
      <w:r>
        <w:rPr>
          <w:lang w:val="en_US" w:bidi="en_US"/>
        </w:rPr>
      </w:r>
      <w:r>
        <w:rPr>
          <w:lang w:val="en_US" w:bidi="en_US"/>
        </w:rPr>
        <w:t>If there is a special idiom to imply this in your language, you may be able to use it here. Other ways to translate this are:</w:t>
      </w:r>
    </w:p>
    <w:p>
      <w:pPr/>
      <w:r>
        <w:rPr>
          <w:lang w:val="en_US" w:bidi="en_US"/>
        </w:rPr>
      </w:r>
      <w:r>
        <w:rPr>
          <w:lang w:val="en_US" w:bidi="en_US"/>
        </w:rPr>
        <w:t>to their meeting</w:t>
      </w:r>
    </w:p>
    <w:p>
      <w:pPr/>
      <w:r>
        <w:rPr>
          <w:lang w:val="en_US" w:bidi="en_US"/>
        </w:rPr>
      </w:r>
      <w:r>
        <w:rPr>
          <w:lang w:val="en_US" w:bidi="en_US"/>
        </w:rPr>
        <w:t>into their gathering</w:t>
      </w:r>
    </w:p>
    <w:p>
      <w:pPr/>
      <w:r>
        <w:rPr>
          <w:lang w:val="en_US" w:bidi="en_US"/>
        </w:rPr>
      </w:r>
      <w:r>
        <w:rPr>
          <w:b/>
          <w:lang w:val="en_US" w:bidi="en_US"/>
        </w:rPr>
        <w:t>and said:</w:t>
      </w:r>
      <w:r>
        <w:rPr>
          <w:lang w:val="en_US" w:bidi="en_US"/>
        </w:rPr>
        <w:t xml:space="preserve"> The Greek word that the BSB translates as </w:t>
      </w:r>
      <w:r>
        <w:rPr>
          <w:i/>
          <w:lang w:val="en_US" w:bidi="en_US"/>
        </w:rPr>
        <w:t>and said</w:t>
      </w:r>
      <w:r>
        <w:rPr>
          <w:lang w:val="en_US" w:bidi="en_US"/>
        </w:rPr>
        <w:t xml:space="preserve"> is literally “saying.” In the Greek text, these words are at the beginning of 22:67a, but the BSB places them here. Place them where it is natural in your language. If you translate the council’s demand as a question, you may want to use a verb like “asked.” Translate in a natural way in your language.</w:t>
      </w:r>
      <w:r>
        <w:rPr>
          <w:lang w:val="en_US" w:bidi="en_US"/>
        </w:rPr>
      </w:r>
      <w:r>
        <w:rPr>
          <w:lang w:val="en_US" w:bidi="en_US"/>
        </w:rPr>
      </w:r>
    </w:p>
    <w:p>
      <w:pPr/>
      <w:r>
        <w:rPr>
          <w:lang w:val="en_US" w:bidi="en_US"/>
        </w:rPr>
      </w:r>
    </w:p>
    <w:p>
      <w:pPr>
        <w:pStyle w:val="Heading2"/>
      </w:pPr>
      <w:r>
        <w:rPr>
          <w:lang w:val="en_US" w:bidi="en_US"/>
        </w:rPr>
        <w:t>Luke 22:67</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22:67a</w:t>
      </w:r>
    </w:p>
    <w:p>
      <w:pPr/>
      <w:r>
        <w:rPr>
          <w:lang w:val="en_US" w:bidi="en_US"/>
        </w:rPr>
      </w:r>
      <w:r>
        <w:rPr>
          <w:b/>
          <w:lang w:val="en_US" w:bidi="en_US"/>
        </w:rPr>
        <w:t>“If You are the Christ, tell us.”</w:t>
      </w:r>
    </w:p>
    <w:p>
      <w:pPr>
        <w:pStyle w:val="ListBullet"/>
        <w:spacing w:line="240" w:lineRule="auto"/>
        <w:ind w:left="720"/>
      </w:pPr>
      <w:r>
        <w:rPr>
          <w:lang w:val="en_US" w:bidi="en_US"/>
        </w:rPr>
      </w:r>
      <w:r>
        <w:rPr>
          <w:lang w:val="en_US" w:bidi="en_US"/>
        </w:rPr>
        <w:t xml:space="preserve">Then </w:t>
      </w:r>
      <w:r>
        <w:rPr>
          <w:lang w:val="en_US" w:bidi="en_US"/>
        </w:rPr>
        <w:t>the court members</w:t>
      </w:r>
      <w:r>
        <w:rPr>
          <w:lang w:val="en_US" w:bidi="en_US"/>
        </w:rPr>
        <w:t xml:space="preserve"> said to Jesus, “Tell us</w:t>
      </w:r>
      <w:r>
        <w:rPr>
          <w:vertAlign w:val="superscript"/>
          <w:lang w:val="en_US" w:bidi="en_US"/>
        </w:rPr>
        <w:t>(excl)</w:t>
      </w:r>
      <w:r>
        <w:rPr>
          <w:lang w:val="en_US" w:bidi="en_US"/>
        </w:rPr>
        <w:t xml:space="preserve"> if you</w:t>
      </w:r>
      <w:r>
        <w:rPr>
          <w:vertAlign w:val="superscript"/>
          <w:lang w:val="en_US" w:bidi="en_US"/>
        </w:rPr>
        <w:t>(sing)</w:t>
      </w:r>
      <w:r>
        <w:rPr>
          <w:lang w:val="en_US" w:bidi="en_US"/>
        </w:rPr>
        <w:t xml:space="preserve"> are the Messiah.”</w:t>
      </w:r>
    </w:p>
    <w:p>
      <w:pPr>
        <w:pStyle w:val="ListBullet"/>
        <w:spacing w:line="240" w:lineRule="auto"/>
        <w:ind w:left="720"/>
      </w:pPr>
      <w:r>
        <w:rPr>
          <w:lang w:val="en_US" w:bidi="en_US"/>
        </w:rPr>
      </w:r>
      <w:r>
        <w:rPr>
          <w:lang w:val="en_US" w:bidi="en_US"/>
        </w:rPr>
        <w:t xml:space="preserve">Then the elders asked </w:t>
      </w:r>
      <w:r>
        <w:rPr>
          <w:lang w:val="en_US" w:bidi="en_US"/>
        </w:rPr>
        <w:t>him</w:t>
      </w:r>
      <w:r>
        <w:rPr>
          <w:lang w:val="en_US" w:bidi="en_US"/>
        </w:rPr>
        <w:t>, “Are you</w:t>
      </w:r>
      <w:r>
        <w:rPr>
          <w:vertAlign w:val="superscript"/>
          <w:lang w:val="en_US" w:bidi="en_US"/>
        </w:rPr>
        <w:t>(sing)</w:t>
      </w:r>
      <w:r>
        <w:rPr>
          <w:lang w:val="en_US" w:bidi="en_US"/>
        </w:rPr>
        <w:t xml:space="preserve"> the Messiah/Christ?”</w:t>
      </w:r>
    </w:p>
    <w:p>
      <w:pPr/>
      <w:r>
        <w:rPr>
          <w:lang w:val="en_US" w:bidi="en_US"/>
        </w:rPr>
      </w:r>
      <w:r>
        <w:rPr>
          <w:b/>
          <w:lang w:val="en_US" w:bidi="en_US"/>
        </w:rPr>
        <w:t>If You are the Christ, tell us:</w:t>
      </w:r>
      <w:r>
        <w:rPr>
          <w:lang w:val="en_US" w:bidi="en_US"/>
        </w:rPr>
        <w:t xml:space="preserve"> The members of the council demanded that Jesus say whether he was the Messiah/Christ. This demand can also be translated as a question. Mark 14:55 makes it clear that the high priest spoke to Jesus for the whole council. Some other ways to translate their demand are:</w:t>
      </w:r>
    </w:p>
    <w:p>
      <w:pPr/>
      <w:r>
        <w:rPr>
          <w:lang w:val="en_US" w:bidi="en_US"/>
        </w:rPr>
      </w:r>
      <w:r>
        <w:rPr>
          <w:lang w:val="en_US" w:bidi="en_US"/>
        </w:rPr>
        <w:t>Tell us, are you the Messiah? (GW)</w:t>
      </w:r>
    </w:p>
    <w:p>
      <w:pPr/>
      <w:r>
        <w:rPr>
          <w:lang w:val="en_US" w:bidi="en_US"/>
        </w:rPr>
      </w:r>
      <w:r>
        <w:rPr>
          <w:lang w:val="en_US" w:bidi="en_US"/>
        </w:rPr>
        <w:t>Tell us whether you are the Messiah.</w:t>
      </w:r>
    </w:p>
    <w:p>
      <w:pPr/>
      <w:r>
        <w:rPr>
          <w:lang w:val="en_US" w:bidi="en_US"/>
        </w:rPr>
      </w:r>
      <w:r>
        <w:rPr>
          <w:b/>
          <w:lang w:val="en_US" w:bidi="en_US"/>
        </w:rPr>
        <w:t>the Christ:</w:t>
      </w:r>
      <w:r>
        <w:rPr>
          <w:lang w:val="en_US" w:bidi="en_US"/>
        </w:rPr>
        <w:t xml:space="preserve"> Here the word </w:t>
      </w:r>
      <w:r>
        <w:rPr>
          <w:i/>
          <w:lang w:val="en_US" w:bidi="en_US"/>
        </w:rPr>
        <w:t>Christ</w:t>
      </w:r>
      <w:r>
        <w:rPr>
          <w:lang w:val="en_US" w:bidi="en_US"/>
        </w:rPr>
        <w:t xml:space="preserve"> is used as a title. The Jews used this title to refer to the person whom God had appointed and promised to send as king and savior. The title </w:t>
      </w:r>
      <w:r>
        <w:rPr>
          <w:i/>
          <w:lang w:val="en_US" w:bidi="en_US"/>
        </w:rPr>
        <w:t>Christ</w:t>
      </w:r>
      <w:r>
        <w:rPr>
          <w:lang w:val="en_US" w:bidi="en_US"/>
        </w:rPr>
        <w:t xml:space="preserve"> is the Greek translation of the Hebrew word “Messiah,” and the two words have the same meaning.</w:t>
      </w:r>
    </w:p>
    <w:p>
      <w:pPr/>
      <w:r>
        <w:rPr>
          <w:lang w:val="en_US" w:bidi="en_US"/>
        </w:rPr>
      </w:r>
      <w:r>
        <w:rPr>
          <w:lang w:val="en_US" w:bidi="en_US"/>
        </w:rPr>
        <w:t>For translation suggestions, see the note at 20:41b. For more information, see Christ in the Glossary.</w:t>
      </w:r>
    </w:p>
    <w:p>
      <w:pPr>
        <w:pStyle w:val="Heading5"/>
      </w:pPr>
      <w:r>
        <w:rPr>
          <w:lang w:val="en_US" w:bidi="en_US"/>
        </w:rPr>
        <w:t>22:67b</w:t>
      </w:r>
    </w:p>
    <w:p>
      <w:pPr/>
      <w:r>
        <w:rPr>
          <w:lang w:val="en_US" w:bidi="en_US"/>
        </w:rPr>
      </w:r>
      <w:r>
        <w:rPr>
          <w:b/>
          <w:lang w:val="en_US" w:bidi="en_US"/>
        </w:rPr>
        <w:t>Jesus answered, “If I tell you,</w:t>
      </w:r>
    </w:p>
    <w:p>
      <w:pPr>
        <w:pStyle w:val="ListBullet"/>
        <w:spacing w:line="240" w:lineRule="auto"/>
        <w:ind w:left="720"/>
      </w:pPr>
      <w:r>
        <w:rPr>
          <w:lang w:val="en_US" w:bidi="en_US"/>
        </w:rPr>
      </w:r>
      <w:r>
        <w:rPr>
          <w:lang w:val="en_US" w:bidi="en_US"/>
        </w:rPr>
        <w:t>Jesus said to them, “If I tell you</w:t>
      </w:r>
      <w:r>
        <w:rPr>
          <w:vertAlign w:val="superscript"/>
          <w:lang w:val="en_US" w:bidi="en_US"/>
        </w:rPr>
        <w:t>(plur)</w:t>
      </w:r>
      <w:r>
        <w:rPr>
          <w:lang w:val="en_US" w:bidi="en_US"/>
        </w:rPr>
        <w:t xml:space="preserve"> </w:t>
      </w:r>
      <w:r>
        <w:rPr>
          <w:lang w:val="en_US" w:bidi="en_US"/>
        </w:rPr>
        <w:t>that I am the Messiah</w:t>
      </w:r>
      <w:r>
        <w:rPr>
          <w:lang w:val="en_US" w:bidi="en_US"/>
        </w:rPr>
        <w:t>,</w:t>
      </w:r>
    </w:p>
    <w:p>
      <w:pPr>
        <w:pStyle w:val="ListBullet"/>
        <w:spacing w:line="240" w:lineRule="auto"/>
        <w:ind w:left="720"/>
      </w:pPr>
      <w:r>
        <w:rPr>
          <w:lang w:val="en_US" w:bidi="en_US"/>
        </w:rPr>
      </w:r>
      <w:r>
        <w:rPr>
          <w:lang w:val="en_US" w:bidi="en_US"/>
        </w:rPr>
        <w:t>Jesus replied, “If I say ‘yes, I am the Messiah/Christ,’</w:t>
      </w:r>
    </w:p>
    <w:p>
      <w:pPr>
        <w:pStyle w:val="Heading5"/>
      </w:pPr>
      <w:r>
        <w:rPr>
          <w:lang w:val="en_US" w:bidi="en_US"/>
        </w:rPr>
        <w:t>22:67c</w:t>
      </w:r>
    </w:p>
    <w:p>
      <w:pPr/>
      <w:r>
        <w:rPr>
          <w:lang w:val="en_US" w:bidi="en_US"/>
        </w:rPr>
      </w:r>
      <w:r>
        <w:rPr>
          <w:b/>
          <w:lang w:val="en_US" w:bidi="en_US"/>
        </w:rPr>
        <w:t>you will not believe.</w:t>
      </w:r>
    </w:p>
    <w:p>
      <w:pPr>
        <w:pStyle w:val="ListBullet"/>
        <w:spacing w:line="240" w:lineRule="auto"/>
        <w:ind w:left="720"/>
      </w:pPr>
      <w:r>
        <w:rPr>
          <w:lang w:val="en_US" w:bidi="en_US"/>
        </w:rPr>
      </w:r>
      <w:r>
        <w:rPr>
          <w:lang w:val="en_US" w:bidi="en_US"/>
        </w:rPr>
        <w:t>you certainly will not believe me.</w:t>
      </w:r>
    </w:p>
    <w:p>
      <w:pPr>
        <w:pStyle w:val="ListBullet"/>
        <w:spacing w:line="240" w:lineRule="auto"/>
        <w:ind w:left="720"/>
      </w:pPr>
      <w:r>
        <w:rPr>
          <w:lang w:val="en_US" w:bidi="en_US"/>
        </w:rPr>
      </w:r>
      <w:r>
        <w:rPr>
          <w:lang w:val="en_US" w:bidi="en_US"/>
        </w:rPr>
        <w:t>you will not believe it.</w:t>
      </w:r>
    </w:p>
    <w:p>
      <w:pPr>
        <w:pStyle w:val="Heading5"/>
      </w:pPr>
      <w:r>
        <w:rPr>
          <w:lang w:val="en_US" w:bidi="en_US"/>
        </w:rPr>
        <w:t>22:67b–c</w:t>
      </w:r>
    </w:p>
    <w:p>
      <w:pPr/>
      <w:r>
        <w:rPr>
          <w:lang w:val="en_US" w:bidi="en_US"/>
        </w:rPr>
      </w:r>
      <w:r>
        <w:rPr>
          <w:b/>
          <w:lang w:val="en_US" w:bidi="en_US"/>
        </w:rPr>
        <w:t>Jesus answered, “If I tell you, you will not believe…”:</w:t>
      </w:r>
      <w:r>
        <w:rPr>
          <w:lang w:val="en_US" w:bidi="en_US"/>
        </w:rPr>
        <w:t xml:space="preserve"> Jesus did not give a yes or no answer to the council. He showed by his answer that he knew that they would not believe the truth about him. If he said, “Yes, I am the Messiah,” they would refuse to believe him. In Greek the clause </w:t>
      </w:r>
      <w:r>
        <w:rPr>
          <w:i/>
          <w:lang w:val="en_US" w:bidi="en_US"/>
        </w:rPr>
        <w:t>you will not believe</w:t>
      </w:r>
      <w:r>
        <w:rPr>
          <w:lang w:val="en_US" w:bidi="en_US"/>
        </w:rPr>
        <w:t xml:space="preserve"> is emphatic.</w:t>
      </w:r>
      <w:r>
        <w:rPr>
          <w:lang w:val="en_US" w:bidi="en_US"/>
        </w:rPr>
        <w:t>Green (p. 795) points out, “Jesus’ response takes the grammatical form of a future-more-vivid conditional sentence, indicating his conviction that the Jewish leadership will almost certainly not believe him or answer his questions. That they will not answer Jesus has already been indicated in earlier dialogue in the temple (chapter 20). In particular, when Jesus asks concerning the legitimacy of John’s baptism, they refused to answer him in a straightforward way (20:1–8). Added to this now is Jesus’ expectation that, even if faced with direct evidence of Jesus’ messiahship, the Jewish leaders would be incapable of belief (cf. Acts 13:40–41).”</w:t>
      </w:r>
      <w:r>
        <w:rPr>
          <w:lang w:val="en_US" w:bidi="en_US"/>
        </w:rPr>
        <w:t xml:space="preserve"> They would certainly not believe what he said.</w:t>
      </w:r>
    </w:p>
    <w:p>
      <w:pPr/>
      <w:r>
        <w:rPr>
          <w:lang w:val="en_US" w:bidi="en_US"/>
        </w:rPr>
      </w:r>
      <w:r>
        <w:rPr>
          <w:lang w:val="en_US" w:bidi="en_US"/>
        </w:rPr>
        <w:t>Some ways to translate Jesus’ answer are:</w:t>
      </w:r>
    </w:p>
    <w:p>
      <w:pPr/>
      <w:r>
        <w:rPr>
          <w:lang w:val="en_US" w:bidi="en_US"/>
        </w:rPr>
      </w:r>
      <w:r>
        <w:rPr>
          <w:lang w:val="en_US" w:bidi="en_US"/>
        </w:rPr>
        <w:t>Jesus said to them, “If I tell you, you won’t believe me…” (GW)</w:t>
      </w:r>
    </w:p>
    <w:p>
      <w:pPr/>
      <w:r>
        <w:rPr>
          <w:lang w:val="en_US" w:bidi="en_US"/>
        </w:rPr>
      </w:r>
      <w:r>
        <w:rPr>
          <w:lang w:val="en_US" w:bidi="en_US"/>
        </w:rPr>
        <w:t>And Jesus answered, “Even if I say that I am, you will not believe what I say.”</w:t>
      </w:r>
      <w:r>
        <w:rPr>
          <w:lang w:val="en_US" w:bidi="en_US"/>
        </w:rPr>
        <w:t>Western Bukidnon Manobo back translation on TW.</w:t>
      </w:r>
    </w:p>
    <w:p>
      <w:pPr/>
      <w:r>
        <w:rPr>
          <w:lang w:val="en_US" w:bidi="en_US"/>
        </w:rPr>
      </w:r>
      <w:r>
        <w:rPr>
          <w:b/>
          <w:lang w:val="en_US" w:bidi="en_US"/>
        </w:rPr>
        <w:t>believe:</w:t>
      </w:r>
      <w:r>
        <w:rPr>
          <w:lang w:val="en_US" w:bidi="en_US"/>
        </w:rPr>
        <w:t xml:space="preserve"> In this context the word </w:t>
      </w:r>
      <w:r>
        <w:rPr>
          <w:i/>
          <w:lang w:val="en_US" w:bidi="en_US"/>
        </w:rPr>
        <w:t>believe</w:t>
      </w:r>
      <w:r>
        <w:rPr>
          <w:lang w:val="en_US" w:bidi="en_US"/>
        </w:rPr>
        <w:t xml:space="preserve"> refers to accepting that a statement is true. For more information about this sense of </w:t>
      </w:r>
      <w:r>
        <w:rPr>
          <w:i/>
          <w:lang w:val="en_US" w:bidi="en_US"/>
        </w:rPr>
        <w:t>believe</w:t>
      </w:r>
      <w:r>
        <w:rPr>
          <w:lang w:val="en_US" w:bidi="en_US"/>
        </w:rPr>
        <w:t>, see believe, Meaning 1, in the Glossary.</w:t>
      </w:r>
      <w:r>
        <w:rPr>
          <w:lang w:val="en_US" w:bidi="en_US"/>
        </w:rPr>
      </w:r>
      <w:r>
        <w:rPr>
          <w:lang w:val="en_US" w:bidi="en_US"/>
        </w:rPr>
      </w:r>
    </w:p>
    <w:p>
      <w:pPr/>
      <w:r>
        <w:rPr>
          <w:lang w:val="en_US" w:bidi="en_US"/>
        </w:rPr>
      </w:r>
    </w:p>
    <w:p>
      <w:pPr>
        <w:pStyle w:val="Heading2"/>
      </w:pPr>
      <w:r>
        <w:rPr>
          <w:lang w:val="en_US" w:bidi="en_US"/>
        </w:rPr>
        <w:t>Luke 22:68</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22:68</w:t>
      </w:r>
    </w:p>
    <w:p>
      <w:pPr/>
      <w:r>
        <w:rPr>
          <w:lang w:val="en_US" w:bidi="en_US"/>
        </w:rPr>
      </w:r>
      <w:r>
        <w:rPr>
          <w:b/>
          <w:lang w:val="en_US" w:bidi="en_US"/>
        </w:rPr>
        <w:t>And if I ask you a question, you will not answer.</w:t>
      </w:r>
    </w:p>
    <w:p>
      <w:pPr>
        <w:pStyle w:val="ListBullet"/>
        <w:spacing w:line="240" w:lineRule="auto"/>
        <w:ind w:left="720"/>
      </w:pPr>
      <w:r>
        <w:rPr>
          <w:lang w:val="en_US" w:bidi="en_US"/>
        </w:rPr>
      </w:r>
      <w:r>
        <w:rPr>
          <w:lang w:val="en_US" w:bidi="en_US"/>
        </w:rPr>
        <w:t>And if I ask you</w:t>
      </w:r>
      <w:r>
        <w:rPr>
          <w:vertAlign w:val="superscript"/>
          <w:lang w:val="en_US" w:bidi="en_US"/>
        </w:rPr>
        <w:t>(plur)</w:t>
      </w:r>
      <w:r>
        <w:rPr>
          <w:lang w:val="en_US" w:bidi="en_US"/>
        </w:rPr>
        <w:t xml:space="preserve"> </w:t>
      </w:r>
      <w:r>
        <w:rPr>
          <w:lang w:val="en_US" w:bidi="en_US"/>
        </w:rPr>
        <w:t>a question</w:t>
      </w:r>
      <w:r>
        <w:rPr>
          <w:lang w:val="en_US" w:bidi="en_US"/>
        </w:rPr>
        <w:t>, you will not answer me.</w:t>
      </w:r>
    </w:p>
    <w:p>
      <w:pPr>
        <w:pStyle w:val="ListBullet"/>
        <w:spacing w:line="240" w:lineRule="auto"/>
        <w:ind w:left="720"/>
      </w:pPr>
      <w:r>
        <w:rPr>
          <w:lang w:val="en_US" w:bidi="en_US"/>
        </w:rPr>
      </w:r>
      <w:r>
        <w:rPr>
          <w:lang w:val="en_US" w:bidi="en_US"/>
        </w:rPr>
        <w:t>But if I ask you</w:t>
      </w:r>
      <w:r>
        <w:rPr>
          <w:vertAlign w:val="superscript"/>
          <w:lang w:val="en_US" w:bidi="en_US"/>
        </w:rPr>
        <w:t>(plur)</w:t>
      </w:r>
      <w:r>
        <w:rPr>
          <w:lang w:val="en_US" w:bidi="en_US"/>
        </w:rPr>
        <w:t xml:space="preserve"> </w:t>
      </w:r>
      <w:r>
        <w:rPr>
          <w:lang w:val="en_US" w:bidi="en_US"/>
        </w:rPr>
        <w:t>what your question means</w:t>
      </w:r>
      <w:r>
        <w:rPr>
          <w:lang w:val="en_US" w:bidi="en_US"/>
        </w:rPr>
        <w:t>, you will not answer.</w:t>
      </w:r>
    </w:p>
    <w:p>
      <w:pPr>
        <w:pStyle w:val="ListBullet"/>
        <w:spacing w:line="240" w:lineRule="auto"/>
        <w:ind w:left="720"/>
      </w:pPr>
      <w:r>
        <w:rPr>
          <w:lang w:val="en_US" w:bidi="en_US"/>
        </w:rPr>
      </w:r>
      <w:r>
        <w:rPr>
          <w:lang w:val="en_US" w:bidi="en_US"/>
        </w:rPr>
        <w:t>Also if I ask you</w:t>
      </w:r>
      <w:r>
        <w:rPr>
          <w:vertAlign w:val="superscript"/>
          <w:lang w:val="en_US" w:bidi="en_US"/>
        </w:rPr>
        <w:t>(plur)</w:t>
      </w:r>
      <w:r>
        <w:rPr>
          <w:lang w:val="en_US" w:bidi="en_US"/>
        </w:rPr>
        <w:t xml:space="preserve"> </w:t>
      </w:r>
      <w:r>
        <w:rPr>
          <w:lang w:val="en_US" w:bidi="en_US"/>
        </w:rPr>
        <w:t>a question about the Messiah/Christ</w:t>
      </w:r>
      <w:r>
        <w:rPr>
          <w:lang w:val="en_US" w:bidi="en_US"/>
        </w:rPr>
        <w:t>, you will not answer it.</w:t>
      </w:r>
    </w:p>
    <w:p>
      <w:pPr/>
      <w:r>
        <w:rPr>
          <w:lang w:val="en_US" w:bidi="en_US"/>
        </w:rPr>
      </w:r>
      <w:r>
        <w:rPr>
          <w:b/>
          <w:lang w:val="en_US" w:bidi="en_US"/>
        </w:rPr>
        <w:t>if I ask you a question:</w:t>
      </w:r>
      <w:r>
        <w:rPr>
          <w:lang w:val="en_US" w:bidi="en_US"/>
        </w:rPr>
        <w:t xml:space="preserve"> Jesus did not say what questions the council members would not answer. So it is good to translate the clause </w:t>
      </w:r>
      <w:r>
        <w:rPr>
          <w:i/>
          <w:lang w:val="en_US" w:bidi="en_US"/>
        </w:rPr>
        <w:t>if I ask you</w:t>
      </w:r>
      <w:r>
        <w:rPr>
          <w:lang w:val="en_US" w:bidi="en_US"/>
        </w:rPr>
        <w:t xml:space="preserve"> in a general way. For example:</w:t>
      </w:r>
    </w:p>
    <w:p>
      <w:pPr/>
      <w:r>
        <w:rPr>
          <w:lang w:val="en_US" w:bidi="en_US"/>
        </w:rPr>
      </w:r>
      <w:r>
        <w:rPr>
          <w:lang w:val="en_US" w:bidi="en_US"/>
        </w:rPr>
        <w:t>if I ask you a question (NLT)</w:t>
      </w:r>
    </w:p>
    <w:p>
      <w:pPr/>
      <w:r>
        <w:rPr>
          <w:lang w:val="en_US" w:bidi="en_US"/>
        </w:rPr>
      </w:r>
      <w:r>
        <w:rPr>
          <w:lang w:val="en_US" w:bidi="en_US"/>
        </w:rPr>
        <w:t>if I question you (NRSV)</w:t>
      </w:r>
    </w:p>
    <w:p>
      <w:pPr/>
      <w:r>
        <w:rPr>
          <w:lang w:val="en_US" w:bidi="en_US"/>
        </w:rPr>
      </w:r>
      <w:r>
        <w:rPr>
          <w:lang w:val="en_US" w:bidi="en_US"/>
        </w:rPr>
        <w:t>However, in some languages a general translation may imply a wrong meaning here. It is likely that Jesus referred to questions about what they knew or believed about the Messiah, as in 20:41, 44. They did not answer when he asked them that question.</w:t>
      </w:r>
    </w:p>
    <w:p>
      <w:pPr/>
      <w:r>
        <w:rPr>
          <w:lang w:val="en_US" w:bidi="en_US"/>
        </w:rPr>
      </w:r>
      <w:r>
        <w:rPr>
          <w:lang w:val="en_US" w:bidi="en_US"/>
        </w:rPr>
        <w:t>If it is necessary to supply implied information, phrase it in a general way. For example:</w:t>
      </w:r>
    </w:p>
    <w:p>
      <w:pPr/>
      <w:r>
        <w:rPr>
          <w:lang w:val="en_US" w:bidi="en_US"/>
        </w:rPr>
      </w:r>
      <w:r>
        <w:rPr>
          <w:lang w:val="en_US" w:bidi="en_US"/>
        </w:rPr>
        <w:t xml:space="preserve">if I ask you a question </w:t>
      </w:r>
      <w:r>
        <w:rPr>
          <w:lang w:val="en_US" w:bidi="en_US"/>
        </w:rPr>
        <w:t>about this</w:t>
      </w:r>
    </w:p>
    <w:p>
      <w:pPr/>
      <w:r>
        <w:rPr>
          <w:lang w:val="en_US" w:bidi="en_US"/>
        </w:rPr>
      </w:r>
      <w:r>
        <w:rPr>
          <w:lang w:val="en_US" w:bidi="en_US"/>
        </w:rPr>
        <w:t xml:space="preserve">if I ask you anything </w:t>
      </w:r>
      <w:r>
        <w:rPr>
          <w:lang w:val="en_US" w:bidi="en_US"/>
        </w:rPr>
        <w:t>about the Messiah</w:t>
      </w:r>
    </w:p>
    <w:p>
      <w:pPr/>
      <w:r>
        <w:rPr>
          <w:lang w:val="en_US" w:bidi="en_US"/>
        </w:rPr>
      </w:r>
      <w:r>
        <w:rPr>
          <w:b/>
          <w:lang w:val="en_US" w:bidi="en_US"/>
        </w:rPr>
        <w:t>you will not answer:</w:t>
      </w:r>
      <w:r>
        <w:rPr>
          <w:lang w:val="en_US" w:bidi="en_US"/>
        </w:rPr>
        <w:t xml:space="preserve"> In Greek the statement </w:t>
      </w:r>
      <w:r>
        <w:rPr>
          <w:i/>
          <w:lang w:val="en_US" w:bidi="en_US"/>
        </w:rPr>
        <w:t>you will not answer</w:t>
      </w:r>
      <w:r>
        <w:rPr>
          <w:lang w:val="en_US" w:bidi="en_US"/>
        </w:rPr>
        <w:t xml:space="preserve"> is emphatic. They would certainly not answer him. Other ways to translate this are:</w:t>
      </w:r>
    </w:p>
    <w:p>
      <w:pPr/>
      <w:r>
        <w:rPr>
          <w:lang w:val="en_US" w:bidi="en_US"/>
        </w:rPr>
      </w:r>
      <w:r>
        <w:rPr>
          <w:lang w:val="en_US" w:bidi="en_US"/>
        </w:rPr>
        <w:t>you will not answer me (JBP)</w:t>
      </w:r>
    </w:p>
    <w:p>
      <w:pPr/>
      <w:r>
        <w:rPr>
          <w:lang w:val="en_US" w:bidi="en_US"/>
        </w:rPr>
      </w:r>
      <w:r>
        <w:rPr>
          <w:lang w:val="en_US" w:bidi="en_US"/>
        </w:rPr>
        <w:t>you would not answer anyway</w:t>
      </w:r>
      <w:r>
        <w:rPr>
          <w:lang w:val="en_US" w:bidi="en_US"/>
        </w:rPr>
        <w:t>Kankanaey back translation on TW.</w:t>
      </w:r>
      <w:r>
        <w:rPr>
          <w:lang w:val="en_US" w:bidi="en_US"/>
        </w:rPr>
      </w:r>
      <w:r>
        <w:rPr>
          <w:lang w:val="en_US" w:bidi="en_US"/>
        </w:rPr>
      </w:r>
    </w:p>
    <w:p>
      <w:pPr/>
      <w:r>
        <w:rPr>
          <w:lang w:val="en_US" w:bidi="en_US"/>
        </w:rPr>
      </w:r>
    </w:p>
    <w:p>
      <w:pPr>
        <w:pStyle w:val="Heading2"/>
      </w:pPr>
      <w:r>
        <w:rPr>
          <w:lang w:val="en_US" w:bidi="en_US"/>
        </w:rPr>
        <w:t>Luke 22:69</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22:69a</w:t>
      </w:r>
    </w:p>
    <w:p>
      <w:pPr/>
      <w:r>
        <w:rPr>
          <w:lang w:val="en_US" w:bidi="en_US"/>
        </w:rPr>
      </w:r>
      <w:r>
        <w:rPr>
          <w:b/>
          <w:lang w:val="en_US" w:bidi="en_US"/>
        </w:rPr>
        <w:t>But from now on the Son of Man</w:t>
      </w:r>
    </w:p>
    <w:p>
      <w:pPr>
        <w:pStyle w:val="ListBullet"/>
        <w:spacing w:line="240" w:lineRule="auto"/>
        <w:ind w:left="720"/>
      </w:pPr>
      <w:r>
        <w:rPr>
          <w:lang w:val="en_US" w:bidi="en_US"/>
        </w:rPr>
      </w:r>
      <w:r>
        <w:rPr>
          <w:lang w:val="en_US" w:bidi="en_US"/>
        </w:rPr>
        <w:t>But very soon the Son of Man</w:t>
      </w:r>
    </w:p>
    <w:p>
      <w:pPr>
        <w:pStyle w:val="ListBullet"/>
        <w:spacing w:line="240" w:lineRule="auto"/>
        <w:ind w:left="720"/>
      </w:pPr>
      <w:r>
        <w:rPr>
          <w:lang w:val="en_US" w:bidi="en_US"/>
        </w:rPr>
      </w:r>
      <w:r>
        <w:rPr>
          <w:lang w:val="en_US" w:bidi="en_US"/>
        </w:rPr>
        <w:t xml:space="preserve">But in the immediate future </w:t>
      </w:r>
      <w:r>
        <w:rPr>
          <w:lang w:val="en_US" w:bidi="en_US"/>
        </w:rPr>
        <w:t>I</w:t>
      </w:r>
      <w:r>
        <w:rPr>
          <w:lang w:val="en_US" w:bidi="en_US"/>
        </w:rPr>
        <w:t>, the Son of Man,</w:t>
      </w:r>
    </w:p>
    <w:p>
      <w:pPr>
        <w:pStyle w:val="Heading5"/>
      </w:pPr>
      <w:r>
        <w:rPr>
          <w:lang w:val="en_US" w:bidi="en_US"/>
        </w:rPr>
        <w:t>22:69b</w:t>
      </w:r>
    </w:p>
    <w:p>
      <w:pPr/>
      <w:r>
        <w:rPr>
          <w:lang w:val="en_US" w:bidi="en_US"/>
        </w:rPr>
      </w:r>
      <w:r>
        <w:rPr>
          <w:b/>
          <w:lang w:val="en_US" w:bidi="en_US"/>
        </w:rPr>
        <w:t>will be seated at the right hand of the power of God.”</w:t>
      </w:r>
    </w:p>
    <w:p>
      <w:pPr>
        <w:pStyle w:val="ListBullet"/>
        <w:spacing w:line="240" w:lineRule="auto"/>
        <w:ind w:left="720"/>
      </w:pPr>
      <w:r>
        <w:rPr>
          <w:lang w:val="en_US" w:bidi="en_US"/>
        </w:rPr>
      </w:r>
      <w:r>
        <w:rPr>
          <w:lang w:val="en_US" w:bidi="en_US"/>
        </w:rPr>
        <w:t>will be sitting at the right side of God, the Owner of All Power!”</w:t>
      </w:r>
    </w:p>
    <w:p>
      <w:pPr>
        <w:pStyle w:val="ListBullet"/>
        <w:spacing w:line="240" w:lineRule="auto"/>
        <w:ind w:left="720"/>
      </w:pPr>
      <w:r>
        <w:rPr>
          <w:lang w:val="en_US" w:bidi="en_US"/>
        </w:rPr>
      </w:r>
      <w:r>
        <w:rPr>
          <w:lang w:val="en_US" w:bidi="en_US"/>
        </w:rPr>
        <w:t xml:space="preserve">will be with/beside God, the All-Powerful One, on his right </w:t>
      </w:r>
      <w:r>
        <w:rPr>
          <w:lang w:val="en_US" w:bidi="en_US"/>
        </w:rPr>
        <w:t>sharing his authority</w:t>
      </w:r>
      <w:r>
        <w:rPr>
          <w:lang w:val="en_US" w:bidi="en_US"/>
        </w:rPr>
        <w:t>.”</w:t>
      </w:r>
    </w:p>
    <w:p>
      <w:pPr>
        <w:pStyle w:val="Heading5"/>
      </w:pPr>
      <w:r>
        <w:rPr>
          <w:lang w:val="en_US" w:bidi="en_US"/>
        </w:rPr>
        <w:t>22:69</w:t>
      </w:r>
    </w:p>
    <w:p>
      <w:pPr/>
      <w:r>
        <w:rPr>
          <w:lang w:val="en_US" w:bidi="en_US"/>
        </w:rPr>
      </w:r>
      <w:r>
        <w:rPr>
          <w:b/>
          <w:lang w:val="en_US" w:bidi="en_US"/>
        </w:rPr>
        <w:t>from now on:</w:t>
      </w:r>
      <w:r>
        <w:rPr>
          <w:lang w:val="en_US" w:bidi="en_US"/>
        </w:rPr>
        <w:t xml:space="preserve"> The phrase </w:t>
      </w:r>
      <w:r>
        <w:rPr>
          <w:i/>
          <w:lang w:val="en_US" w:bidi="en_US"/>
        </w:rPr>
        <w:t>from now on</w:t>
      </w:r>
      <w:r>
        <w:rPr>
          <w:lang w:val="en_US" w:bidi="en_US"/>
        </w:rPr>
        <w:t xml:space="preserve"> can refer to that particular moment or to the time period that would begin very soon. Other ways to translate this phrase are:</w:t>
      </w:r>
    </w:p>
    <w:p>
      <w:pPr/>
      <w:r>
        <w:rPr>
          <w:lang w:val="en_US" w:bidi="en_US"/>
        </w:rPr>
      </w:r>
      <w:r>
        <w:rPr>
          <w:lang w:val="en_US" w:bidi="en_US"/>
        </w:rPr>
        <w:t>the day will come soon when</w:t>
      </w:r>
      <w:r>
        <w:rPr>
          <w:lang w:val="en_US" w:bidi="en_US"/>
        </w:rPr>
        <w:t>Western Bukidnon Manobo back translation on TW.</w:t>
      </w:r>
    </w:p>
    <w:p>
      <w:pPr/>
      <w:r>
        <w:rPr>
          <w:lang w:val="en_US" w:bidi="en_US"/>
        </w:rPr>
      </w:r>
      <w:r>
        <w:rPr>
          <w:lang w:val="en_US" w:bidi="en_US"/>
        </w:rPr>
        <w:t>very soon now</w:t>
      </w:r>
    </w:p>
    <w:p>
      <w:pPr/>
      <w:r>
        <w:rPr>
          <w:lang w:val="en_US" w:bidi="en_US"/>
        </w:rPr>
      </w:r>
      <w:r>
        <w:rPr>
          <w:lang w:val="en_US" w:bidi="en_US"/>
        </w:rPr>
        <w:t>in the immediate future</w:t>
      </w:r>
    </w:p>
    <w:p>
      <w:pPr/>
      <w:r>
        <w:rPr>
          <w:lang w:val="en_US" w:bidi="en_US"/>
        </w:rPr>
      </w:r>
      <w:r>
        <w:rPr>
          <w:b/>
          <w:lang w:val="en_US" w:bidi="en_US"/>
        </w:rPr>
        <w:t>the Son of Man:</w:t>
      </w:r>
      <w:r>
        <w:rPr>
          <w:lang w:val="en_US" w:bidi="en_US"/>
        </w:rPr>
        <w:t xml:space="preserve"> Here Jesus used the title </w:t>
      </w:r>
      <w:r>
        <w:rPr>
          <w:i/>
          <w:lang w:val="en_US" w:bidi="en_US"/>
        </w:rPr>
        <w:t>the Son of Man</w:t>
      </w:r>
      <w:r>
        <w:rPr>
          <w:lang w:val="en_US" w:bidi="en_US"/>
        </w:rPr>
        <w:t xml:space="preserve"> to refer to himself, as he often did. The Jewish leaders knew that </w:t>
      </w:r>
      <w:r>
        <w:rPr>
          <w:i/>
          <w:lang w:val="en_US" w:bidi="en_US"/>
        </w:rPr>
        <w:t>the Son of Man</w:t>
      </w:r>
      <w:r>
        <w:rPr>
          <w:lang w:val="en_US" w:bidi="en_US"/>
        </w:rPr>
        <w:t xml:space="preserve"> was another term for the Messiah. In many languages it will be necessary to make explicit that Jesus referred to himself. For example:</w:t>
      </w:r>
    </w:p>
    <w:p>
      <w:pPr/>
      <w:r>
        <w:rPr>
          <w:lang w:val="en_US" w:bidi="en_US"/>
        </w:rPr>
      </w:r>
      <w:r>
        <w:rPr>
          <w:lang w:val="en_US" w:bidi="en_US"/>
        </w:rPr>
        <w:t>I, the Son of Mankind</w:t>
      </w:r>
      <w:r>
        <w:rPr>
          <w:lang w:val="en_US" w:bidi="en_US"/>
        </w:rPr>
        <w:t>Yakan back translation on TW.</w:t>
      </w:r>
    </w:p>
    <w:p>
      <w:pPr/>
      <w:r>
        <w:rPr>
          <w:lang w:val="en_US" w:bidi="en_US"/>
        </w:rPr>
      </w:r>
      <w:r>
        <w:rPr>
          <w:lang w:val="en_US" w:bidi="en_US"/>
        </w:rPr>
        <w:t>I, the prophesied older sibling of mankind</w:t>
      </w:r>
      <w:r>
        <w:rPr>
          <w:lang w:val="en_US" w:bidi="en_US"/>
        </w:rPr>
        <w:t>Western Bukidnon Manobo back translation on TW.</w:t>
      </w:r>
    </w:p>
    <w:p>
      <w:pPr/>
      <w:r>
        <w:rPr>
          <w:lang w:val="en_US" w:bidi="en_US"/>
        </w:rPr>
      </w:r>
      <w:r>
        <w:rPr>
          <w:lang w:val="en_US" w:bidi="en_US"/>
        </w:rPr>
        <w:t xml:space="preserve">The phrase </w:t>
      </w:r>
      <w:r>
        <w:rPr>
          <w:i/>
          <w:lang w:val="en_US" w:bidi="en_US"/>
        </w:rPr>
        <w:t>Son of Man</w:t>
      </w:r>
      <w:r>
        <w:rPr>
          <w:lang w:val="en_US" w:bidi="en_US"/>
        </w:rPr>
        <w:t xml:space="preserve"> also occurred in 17:22. You should translate the term in the same way here. For translation suggestions, see the note on 17:22a–b.</w:t>
      </w:r>
    </w:p>
    <w:p>
      <w:pPr/>
      <w:r>
        <w:rPr>
          <w:lang w:val="en_US" w:bidi="en_US"/>
        </w:rPr>
      </w:r>
      <w:r>
        <w:rPr>
          <w:b/>
          <w:lang w:val="en_US" w:bidi="en_US"/>
        </w:rPr>
        <w:t>will be seated at the right hand of the power of God:</w:t>
      </w:r>
      <w:r>
        <w:rPr>
          <w:lang w:val="en_US" w:bidi="en_US"/>
        </w:rPr>
        <w:t xml:space="preserve"> The </w:t>
      </w:r>
      <w:r>
        <w:rPr>
          <w:i/>
          <w:lang w:val="en_US" w:bidi="en_US"/>
        </w:rPr>
        <w:t>right hand</w:t>
      </w:r>
      <w:r>
        <w:rPr>
          <w:lang w:val="en_US" w:bidi="en_US"/>
        </w:rPr>
        <w:t xml:space="preserve"> of God refers to the place of special honor and authority next to God. In the culture of that time, the seat at the right of the king was the place of highest honor next to him. That person shared the authority and honor of the king.</w:t>
      </w:r>
    </w:p>
    <w:p>
      <w:pPr/>
      <w:r>
        <w:rPr>
          <w:lang w:val="en_US" w:bidi="en_US"/>
        </w:rPr>
      </w:r>
      <w:r>
        <w:rPr>
          <w:lang w:val="en_US" w:bidi="en_US"/>
        </w:rPr>
        <w:t xml:space="preserve">If the </w:t>
      </w:r>
      <w:r>
        <w:rPr>
          <w:i/>
          <w:lang w:val="en_US" w:bidi="en_US"/>
        </w:rPr>
        <w:t>right hand</w:t>
      </w:r>
      <w:r>
        <w:rPr>
          <w:lang w:val="en_US" w:bidi="en_US"/>
        </w:rPr>
        <w:t xml:space="preserve"> of God does not symbolize honor and authority in your culture, you may need to make this explicit. For example:</w:t>
      </w:r>
    </w:p>
    <w:p>
      <w:pPr/>
      <w:r>
        <w:rPr>
          <w:lang w:val="en_US" w:bidi="en_US"/>
        </w:rPr>
      </w:r>
      <w:r>
        <w:rPr>
          <w:lang w:val="en_US" w:bidi="en_US"/>
        </w:rPr>
        <w:t>will be sitting in the place of honor and authority at the right side of God, the All-Powerful</w:t>
      </w:r>
    </w:p>
    <w:p>
      <w:pPr/>
      <w:r>
        <w:rPr>
          <w:lang w:val="en_US" w:bidi="en_US"/>
        </w:rPr>
      </w:r>
      <w:r>
        <w:rPr>
          <w:b/>
          <w:lang w:val="en_US" w:bidi="en_US"/>
        </w:rPr>
        <w:t>of the power of God:</w:t>
      </w:r>
      <w:r>
        <w:rPr>
          <w:lang w:val="en_US" w:bidi="en_US"/>
        </w:rPr>
        <w:t xml:space="preserve"> The Greek phrase that the BSB literally translates as </w:t>
      </w:r>
      <w:r>
        <w:rPr>
          <w:i/>
          <w:lang w:val="en_US" w:bidi="en_US"/>
        </w:rPr>
        <w:t>of the power of God</w:t>
      </w:r>
      <w:r>
        <w:rPr>
          <w:lang w:val="en_US" w:bidi="en_US"/>
        </w:rPr>
        <w:t xml:space="preserve"> indicates that God has all power. It can be translated as a title or as a description. For example:</w:t>
      </w:r>
    </w:p>
    <w:p>
      <w:pPr/>
      <w:r>
        <w:rPr>
          <w:lang w:val="en_US" w:bidi="en_US"/>
        </w:rPr>
      </w:r>
      <w:r>
        <w:rPr>
          <w:lang w:val="en_US" w:bidi="en_US"/>
        </w:rPr>
        <w:t>of Almighty God (GNT)</w:t>
      </w:r>
    </w:p>
    <w:p>
      <w:pPr/>
      <w:r>
        <w:rPr>
          <w:lang w:val="en_US" w:bidi="en_US"/>
        </w:rPr>
      </w:r>
      <w:r>
        <w:rPr>
          <w:lang w:val="en_US" w:bidi="en_US"/>
        </w:rPr>
        <w:t>of God All-Powerful (CEV)</w:t>
      </w:r>
    </w:p>
    <w:p>
      <w:pPr/>
      <w:r>
        <w:rPr>
          <w:lang w:val="en_US" w:bidi="en_US"/>
        </w:rPr>
      </w:r>
      <w:r>
        <w:rPr>
          <w:lang w:val="en_US" w:bidi="en_US"/>
        </w:rPr>
        <w:t>of the powerful God (NCV)</w:t>
      </w:r>
    </w:p>
    <w:p>
      <w:pPr/>
      <w:r>
        <w:rPr>
          <w:lang w:val="en_US" w:bidi="en_US"/>
        </w:rPr>
      </w:r>
      <w:r>
        <w:rPr>
          <w:lang w:val="en_US" w:bidi="en_US"/>
        </w:rPr>
        <w:t>of God, who has all power</w:t>
      </w:r>
    </w:p>
    <w:p>
      <w:pPr/>
      <w:r>
        <w:rPr>
          <w:lang w:val="en_US" w:bidi="en_US"/>
        </w:rPr>
      </w:r>
      <w:r>
        <w:rPr>
          <w:lang w:val="en_US" w:bidi="en_US"/>
        </w:rPr>
        <w:t>This phrase does not imply that there are other gods who are not powerful. Try to translate in a way that does not imply that.</w:t>
      </w:r>
      <w:r>
        <w:rPr>
          <w:lang w:val="en_US" w:bidi="en_US"/>
        </w:rPr>
      </w:r>
      <w:r>
        <w:rPr>
          <w:lang w:val="en_US" w:bidi="en_US"/>
        </w:rPr>
      </w:r>
    </w:p>
    <w:p>
      <w:pPr/>
      <w:r>
        <w:rPr>
          <w:lang w:val="en_US" w:bidi="en_US"/>
        </w:rPr>
      </w:r>
    </w:p>
    <w:p>
      <w:pPr>
        <w:pStyle w:val="Heading2"/>
      </w:pPr>
      <w:r>
        <w:rPr>
          <w:lang w:val="en_US" w:bidi="en_US"/>
        </w:rPr>
        <w:t>Luke 22:70</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22:70a</w:t>
      </w:r>
    </w:p>
    <w:p>
      <w:pPr/>
      <w:r>
        <w:rPr>
          <w:lang w:val="en_US" w:bidi="en_US"/>
        </w:rPr>
      </w:r>
      <w:r>
        <w:rPr>
          <w:b/>
          <w:lang w:val="en_US" w:bidi="en_US"/>
        </w:rPr>
        <w:t>So they all asked, “Are You then the Son of God?”</w:t>
      </w:r>
    </w:p>
    <w:p>
      <w:pPr>
        <w:pStyle w:val="ListBullet"/>
        <w:spacing w:line="240" w:lineRule="auto"/>
        <w:ind w:left="720"/>
      </w:pPr>
      <w:r>
        <w:rPr>
          <w:lang w:val="en_US" w:bidi="en_US"/>
        </w:rPr>
      </w:r>
      <w:r>
        <w:rPr>
          <w:lang w:val="en_US" w:bidi="en_US"/>
        </w:rPr>
        <w:t xml:space="preserve">¶ Then they all asked </w:t>
      </w:r>
      <w:r>
        <w:rPr>
          <w:lang w:val="en_US" w:bidi="en_US"/>
        </w:rPr>
        <w:t>Jesus</w:t>
      </w:r>
      <w:r>
        <w:rPr>
          <w:lang w:val="en_US" w:bidi="en_US"/>
        </w:rPr>
        <w:t>, “So are you</w:t>
      </w:r>
      <w:r>
        <w:rPr>
          <w:vertAlign w:val="superscript"/>
          <w:lang w:val="en_US" w:bidi="en_US"/>
        </w:rPr>
        <w:t>(sing)</w:t>
      </w:r>
      <w:r>
        <w:rPr>
          <w:lang w:val="en_US" w:bidi="en_US"/>
        </w:rPr>
        <w:t xml:space="preserve"> yourself the Son of God?”</w:t>
      </w:r>
    </w:p>
    <w:p>
      <w:pPr>
        <w:pStyle w:val="ListBullet"/>
        <w:spacing w:line="240" w:lineRule="auto"/>
        <w:ind w:left="720"/>
      </w:pPr>
      <w:r>
        <w:rPr>
          <w:lang w:val="en_US" w:bidi="en_US"/>
        </w:rPr>
      </w:r>
      <w:r>
        <w:rPr>
          <w:lang w:val="en_US" w:bidi="en_US"/>
        </w:rPr>
        <w:t xml:space="preserve">¶ So they all said </w:t>
      </w:r>
      <w:r>
        <w:rPr>
          <w:lang w:val="en_US" w:bidi="en_US"/>
        </w:rPr>
        <w:t>to him</w:t>
      </w:r>
      <w:r>
        <w:rPr>
          <w:lang w:val="en_US" w:bidi="en_US"/>
        </w:rPr>
        <w:t>, “Then are you</w:t>
      </w:r>
      <w:r>
        <w:rPr>
          <w:vertAlign w:val="superscript"/>
          <w:lang w:val="en_US" w:bidi="en_US"/>
        </w:rPr>
        <w:t>(sing)</w:t>
      </w:r>
      <w:r>
        <w:rPr>
          <w:lang w:val="en_US" w:bidi="en_US"/>
        </w:rPr>
        <w:t xml:space="preserve"> the Son of God?”</w:t>
      </w:r>
    </w:p>
    <w:p>
      <w:pPr/>
      <w:r>
        <w:rPr>
          <w:lang w:val="en_US" w:bidi="en_US"/>
        </w:rPr>
      </w:r>
      <w:r>
        <w:rPr>
          <w:b/>
          <w:lang w:val="en_US" w:bidi="en_US"/>
        </w:rPr>
        <w:t>So they all asked:</w:t>
      </w:r>
      <w:r>
        <w:rPr>
          <w:lang w:val="en_US" w:bidi="en_US"/>
        </w:rPr>
        <w:t xml:space="preserve"> The phrase </w:t>
      </w:r>
      <w:r>
        <w:rPr>
          <w:i/>
          <w:lang w:val="en_US" w:bidi="en_US"/>
        </w:rPr>
        <w:t>So they all asked</w:t>
      </w:r>
      <w:r>
        <w:rPr>
          <w:lang w:val="en_US" w:bidi="en_US"/>
        </w:rPr>
        <w:t xml:space="preserve"> indicates that all the men in the council asked Jesus this question together.</w:t>
      </w:r>
    </w:p>
    <w:p>
      <w:pPr/>
      <w:r>
        <w:rPr>
          <w:lang w:val="en_US" w:bidi="en_US"/>
        </w:rPr>
      </w:r>
      <w:r>
        <w:rPr>
          <w:b/>
          <w:lang w:val="en_US" w:bidi="en_US"/>
        </w:rPr>
        <w:t>Are You then the Son of God?:</w:t>
      </w:r>
      <w:r>
        <w:rPr>
          <w:lang w:val="en_US" w:bidi="en_US"/>
        </w:rPr>
        <w:t xml:space="preserve"> The Greek question that the BSB translates as </w:t>
      </w:r>
      <w:r>
        <w:rPr>
          <w:i/>
          <w:lang w:val="en_US" w:bidi="en_US"/>
        </w:rPr>
        <w:t>Are You then the Son of God?</w:t>
      </w:r>
      <w:r>
        <w:rPr>
          <w:lang w:val="en_US" w:bidi="en_US"/>
        </w:rPr>
        <w:t xml:space="preserve"> expects the answer “Yes.” The people asking the question all hoped that Jesus would say “yes.” Then they could say that he was wrongfully claiming to be divine. To the Jews, this would be blasphemy, and the punishment would be death.</w:t>
      </w:r>
    </w:p>
    <w:p>
      <w:pPr/>
      <w:r>
        <w:rPr>
          <w:lang w:val="en_US" w:bidi="en_US"/>
        </w:rPr>
      </w:r>
      <w:r>
        <w:rPr>
          <w:b/>
          <w:lang w:val="en_US" w:bidi="en_US"/>
        </w:rPr>
        <w:t>Son of God:</w:t>
      </w:r>
      <w:r>
        <w:rPr>
          <w:lang w:val="en_US" w:bidi="en_US"/>
        </w:rPr>
        <w:t xml:space="preserve"> The Bible uses the title </w:t>
      </w:r>
      <w:r>
        <w:rPr>
          <w:i/>
          <w:lang w:val="en_US" w:bidi="en_US"/>
        </w:rPr>
        <w:t>Son of God</w:t>
      </w:r>
      <w:r>
        <w:rPr>
          <w:lang w:val="en_US" w:bidi="en_US"/>
        </w:rPr>
        <w:t xml:space="preserve"> to express the fact that Jesus has the same nature as God and that he comes from God. God does not have a physical body, and he did not create/produce Jesus the way a human father produces a son. Jesus existed eternally as the Son with his Father.</w:t>
      </w:r>
    </w:p>
    <w:p>
      <w:pPr>
        <w:pStyle w:val="Heading5"/>
      </w:pPr>
      <w:r>
        <w:rPr>
          <w:lang w:val="en_US" w:bidi="en_US"/>
        </w:rPr>
        <w:t>22:70b</w:t>
      </w:r>
    </w:p>
    <w:p>
      <w:pPr/>
      <w:r>
        <w:rPr>
          <w:lang w:val="en_US" w:bidi="en_US"/>
        </w:rPr>
      </w:r>
      <w:r>
        <w:rPr>
          <w:b/>
          <w:lang w:val="en_US" w:bidi="en_US"/>
        </w:rPr>
        <w:t>He replied, “You say that I am.”</w:t>
      </w:r>
    </w:p>
    <w:p>
      <w:pPr>
        <w:pStyle w:val="ListBullet"/>
        <w:spacing w:line="240" w:lineRule="auto"/>
        <w:ind w:left="720"/>
      </w:pPr>
      <w:r>
        <w:rPr>
          <w:lang w:val="en_US" w:bidi="en_US"/>
        </w:rPr>
      </w:r>
      <w:r>
        <w:rPr>
          <w:lang w:val="en_US" w:bidi="en_US"/>
        </w:rPr>
        <w:t>And Jesus said, “You</w:t>
      </w:r>
      <w:r>
        <w:rPr>
          <w:vertAlign w:val="superscript"/>
          <w:lang w:val="en_US" w:bidi="en_US"/>
        </w:rPr>
        <w:t>(plur)</w:t>
      </w:r>
      <w:r>
        <w:rPr>
          <w:lang w:val="en_US" w:bidi="en_US"/>
        </w:rPr>
        <w:t xml:space="preserve"> have rightly said that I am.”</w:t>
      </w:r>
    </w:p>
    <w:p>
      <w:pPr>
        <w:pStyle w:val="ListBullet"/>
        <w:spacing w:line="240" w:lineRule="auto"/>
        <w:ind w:left="720"/>
      </w:pPr>
      <w:r>
        <w:rPr>
          <w:lang w:val="en_US" w:bidi="en_US"/>
        </w:rPr>
      </w:r>
      <w:r>
        <w:rPr>
          <w:lang w:val="en_US" w:bidi="en_US"/>
        </w:rPr>
        <w:t>Jesus replied, “It is as you</w:t>
      </w:r>
      <w:r>
        <w:rPr>
          <w:vertAlign w:val="superscript"/>
          <w:lang w:val="en_US" w:bidi="en_US"/>
        </w:rPr>
        <w:t>(plur)</w:t>
      </w:r>
      <w:r>
        <w:rPr>
          <w:lang w:val="en_US" w:bidi="en_US"/>
        </w:rPr>
        <w:t xml:space="preserve"> say.”</w:t>
      </w:r>
    </w:p>
    <w:p>
      <w:pPr>
        <w:pStyle w:val="ListBullet"/>
        <w:spacing w:line="240" w:lineRule="auto"/>
        <w:ind w:left="720"/>
      </w:pPr>
      <w:r>
        <w:rPr>
          <w:lang w:val="en_US" w:bidi="en_US"/>
        </w:rPr>
      </w:r>
      <w:r>
        <w:rPr>
          <w:lang w:val="en_US" w:bidi="en_US"/>
        </w:rPr>
        <w:t>Jesus answered them, “What you</w:t>
      </w:r>
      <w:r>
        <w:rPr>
          <w:vertAlign w:val="superscript"/>
          <w:lang w:val="en_US" w:bidi="en_US"/>
        </w:rPr>
        <w:t>(plur)</w:t>
      </w:r>
      <w:r>
        <w:rPr>
          <w:lang w:val="en_US" w:bidi="en_US"/>
        </w:rPr>
        <w:t xml:space="preserve"> have said is true.”</w:t>
      </w:r>
    </w:p>
    <w:p>
      <w:pPr/>
      <w:r>
        <w:rPr>
          <w:lang w:val="en_US" w:bidi="en_US"/>
        </w:rPr>
      </w:r>
      <w:r>
        <w:rPr>
          <w:b/>
          <w:lang w:val="en_US" w:bidi="en_US"/>
        </w:rPr>
        <w:t>You say that I am:</w:t>
      </w:r>
      <w:r>
        <w:rPr>
          <w:lang w:val="en_US" w:bidi="en_US"/>
        </w:rPr>
        <w:t xml:space="preserve"> The BSB literally represents the Greek here. The words </w:t>
      </w:r>
      <w:r>
        <w:rPr>
          <w:i/>
          <w:lang w:val="en_US" w:bidi="en_US"/>
        </w:rPr>
        <w:t>You</w:t>
      </w:r>
      <w:r>
        <w:rPr>
          <w:lang w:val="en_US" w:bidi="en_US"/>
        </w:rPr>
        <w:t xml:space="preserve"> and </w:t>
      </w:r>
      <w:r>
        <w:rPr>
          <w:i/>
          <w:lang w:val="en_US" w:bidi="en_US"/>
        </w:rPr>
        <w:t>I</w:t>
      </w:r>
      <w:r>
        <w:rPr>
          <w:lang w:val="en_US" w:bidi="en_US"/>
        </w:rPr>
        <w:t xml:space="preserve"> are both emphatic. Jesus used this emphatic statement to agree that he is the Son of God.</w:t>
      </w:r>
      <w:r>
        <w:rPr>
          <w:lang w:val="en_US" w:bidi="en_US"/>
        </w:rPr>
        <w:t>Almost all Bible scholars agree that Jesus affirmed here that he is the Son of God. They agree that Jesus’ response is not a denial of that fact.</w:t>
      </w:r>
      <w:r>
        <w:rPr>
          <w:lang w:val="en_US" w:bidi="en_US"/>
        </w:rPr>
        <w:t xml:space="preserve"> Some Bible scholars question whether he agreed directly</w:t>
      </w:r>
      <w:r>
        <w:rPr>
          <w:lang w:val="en_US" w:bidi="en_US"/>
        </w:rPr>
        <w:t>Commentators who follow this view are Arndt, Evans, Godet, Lenski, Green, Hendriksen, Robertson, and Geldenhuys. Evans (p. 335) says, “Israel’s religious leaders have made a proper confession, but they are blind to the significance of it.” Versions that make this view explicit are NIV, NASB, NLT96, GW, and JBP.</w:t>
      </w:r>
      <w:r>
        <w:rPr>
          <w:lang w:val="en_US" w:bidi="en_US"/>
        </w:rPr>
        <w:t xml:space="preserve"> or indirectly.</w:t>
      </w:r>
      <w:r>
        <w:rPr>
          <w:lang w:val="en_US" w:bidi="en_US"/>
        </w:rPr>
        <w:t>Commentators who follow this view are Bock, Fitzmyer, Johnson, Marshall, Morris, and Stein. Stein (p. 571) interprets it to mean, “You have worded the question, and I will not deny that I am, but I would have worded it somewhat differently.” However, he also says, “For Luke, Jesus’ answer was an affirmation, for elsewhere he taught that Jesus is the Son of God.” Bock (p. 362) says, “Jesus’ answer is both a positive reply and a type of circumlocution; in effect, he says, ‘I will not deny it, but I would mean it a little differently from the way you mean it.’ No English version makes such a circumlocution explicit. Nolland (p. 1111) suggests, “The words are yours, but I admit the identification” as a possible wording for this viewpoint. The NET has this note: “Jesus’ reply, ‘You say that I am,’ was not a denial, but a way of giving a qualified positive response: ‘You have said it, but I do not quite mean what you think.’ However, there is no evidence here that Jesus was reluctant to answer their question directly because they may not have had the same understanding as he did.</w:t>
      </w:r>
      <w:r>
        <w:rPr>
          <w:lang w:val="en_US" w:bidi="en_US"/>
        </w:rPr>
        <w:t xml:space="preserve"> The context indicates that Jesus agreed directly.</w:t>
      </w:r>
      <w:r>
        <w:rPr>
          <w:lang w:val="en_US" w:bidi="en_US"/>
        </w:rPr>
        <w:t>In 22:71 the elders interpreted Jesus’ answer as a direct agreement that he is God’s Son, so they angrily condemned him. The parallel verse in Mark 14:62 is even more direct, literally “I am.”</w:t>
      </w:r>
      <w:r>
        <w:rPr>
          <w:lang w:val="en_US" w:bidi="en_US"/>
        </w:rPr>
        <w:t xml:space="preserve"> He had just said in 22:69 that he would sit at God’s right side.</w:t>
      </w:r>
    </w:p>
    <w:p>
      <w:pPr/>
      <w:r>
        <w:rPr>
          <w:lang w:val="en_US" w:bidi="en_US"/>
        </w:rPr>
      </w:r>
      <w:r>
        <w:rPr>
          <w:lang w:val="en_US" w:bidi="en_US"/>
        </w:rPr>
        <w:t>Some English versions translate the statement in a literal way that is ambiguous.</w:t>
      </w:r>
      <w:r>
        <w:rPr>
          <w:lang w:val="en_US" w:bidi="en_US"/>
        </w:rPr>
        <w:t>Versions that are ambiguous are: BSB, GNT, RSV, ESV, CEV, REB, NCV, NET, NLT, and KJV. Reiling and Swellengrebel point out, “A too literal rendering may easily suggest that Jesus has another, or no opinion on the matter. To avoid this some versions give slightly adjusted renderings such as, ‘you say rightly, I am he’ (Jerusalem), ‘as you say: I am He’ (Balinese), ‘as you said to me, I am that’ (Kapauku).”</w:t>
      </w:r>
      <w:r>
        <w:rPr>
          <w:lang w:val="en_US" w:bidi="en_US"/>
        </w:rPr>
        <w:t xml:space="preserve"> In some languages a literal translation wrongly implies that Jesus denied that he was the Son of God. Be careful to translate Jesus’ statement as agreement, not as a denial.</w:t>
      </w:r>
    </w:p>
    <w:p>
      <w:pPr/>
      <w:r>
        <w:rPr>
          <w:lang w:val="en_US" w:bidi="en_US"/>
        </w:rPr>
      </w:r>
      <w:r>
        <w:rPr>
          <w:lang w:val="en_US" w:bidi="en_US"/>
        </w:rPr>
        <w:t>Some ways to translate this agreement are:</w:t>
      </w:r>
    </w:p>
    <w:p>
      <w:pPr/>
      <w:r>
        <w:rPr>
          <w:lang w:val="en_US" w:bidi="en_US"/>
        </w:rPr>
      </w:r>
      <w:r>
        <w:rPr>
          <w:lang w:val="en_US" w:bidi="en_US"/>
        </w:rPr>
        <w:t>You’re right to say that I am. (GW)</w:t>
      </w:r>
    </w:p>
    <w:p>
      <w:pPr/>
      <w:r>
        <w:rPr>
          <w:lang w:val="en_US" w:bidi="en_US"/>
        </w:rPr>
      </w:r>
      <w:r>
        <w:rPr>
          <w:lang w:val="en_US" w:bidi="en_US"/>
        </w:rPr>
        <w:t xml:space="preserve">Yes, you yourselves have correctly said that I am </w:t>
      </w:r>
      <w:r>
        <w:rPr>
          <w:lang w:val="en_US" w:bidi="en_US"/>
        </w:rPr>
        <w:t>the Son of God</w:t>
      </w:r>
      <w:r>
        <w:rPr>
          <w:lang w:val="en_US" w:bidi="en_US"/>
        </w:rPr>
        <w:t>.</w:t>
      </w:r>
    </w:p>
    <w:p>
      <w:pPr/>
      <w:r>
        <w:rPr>
          <w:lang w:val="en_US" w:bidi="en_US"/>
        </w:rPr>
      </w:r>
      <w:r>
        <w:rPr>
          <w:lang w:val="en_US" w:bidi="en_US"/>
        </w:rPr>
        <w:t xml:space="preserve">You have understood what I said. </w:t>
      </w:r>
      <w:r>
        <w:rPr>
          <w:lang w:val="en_US" w:bidi="en_US"/>
        </w:rPr>
        <w:t>Yes,</w:t>
      </w:r>
      <w:r>
        <w:rPr>
          <w:lang w:val="en_US" w:bidi="en_US"/>
        </w:rPr>
        <w:t xml:space="preserve"> I am.</w:t>
      </w:r>
      <w:r>
        <w:rPr>
          <w:lang w:val="en_US" w:bidi="en_US"/>
        </w:rPr>
      </w:r>
      <w:r>
        <w:rPr>
          <w:lang w:val="en_US" w:bidi="en_US"/>
        </w:rPr>
      </w:r>
    </w:p>
    <w:p>
      <w:pPr/>
      <w:r>
        <w:rPr>
          <w:lang w:val="en_US" w:bidi="en_US"/>
        </w:rPr>
      </w:r>
    </w:p>
    <w:p>
      <w:pPr>
        <w:pStyle w:val="Heading2"/>
      </w:pPr>
      <w:r>
        <w:rPr>
          <w:lang w:val="en_US" w:bidi="en_US"/>
        </w:rPr>
        <w:t>Luke 22:71</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22:71a</w:t>
      </w:r>
    </w:p>
    <w:p>
      <w:pPr/>
      <w:r>
        <w:rPr>
          <w:lang w:val="en_US" w:bidi="en_US"/>
        </w:rPr>
      </w:r>
      <w:r>
        <w:rPr>
          <w:b/>
          <w:lang w:val="en_US" w:bidi="en_US"/>
        </w:rPr>
        <w:t>“Why do we need any more testimony?” they declared.</w:t>
      </w:r>
    </w:p>
    <w:p>
      <w:pPr>
        <w:pStyle w:val="ListBullet"/>
        <w:spacing w:line="240" w:lineRule="auto"/>
        <w:ind w:left="720"/>
      </w:pPr>
      <w:r>
        <w:rPr>
          <w:lang w:val="en_US" w:bidi="en_US"/>
        </w:rPr>
      </w:r>
      <w:r>
        <w:rPr>
          <w:lang w:val="en_US" w:bidi="en_US"/>
        </w:rPr>
        <w:t xml:space="preserve">Then they asked </w:t>
      </w:r>
      <w:r>
        <w:rPr>
          <w:lang w:val="en_US" w:bidi="en_US"/>
        </w:rPr>
        <w:t>one another</w:t>
      </w:r>
      <w:r>
        <w:rPr>
          <w:lang w:val="en_US" w:bidi="en_US"/>
        </w:rPr>
        <w:t>, “Why should we look for any other witnesses?</w:t>
      </w:r>
    </w:p>
    <w:p>
      <w:pPr>
        <w:pStyle w:val="ListBullet"/>
        <w:spacing w:line="240" w:lineRule="auto"/>
        <w:ind w:left="720"/>
      </w:pPr>
      <w:r>
        <w:rPr>
          <w:lang w:val="en_US" w:bidi="en_US"/>
        </w:rPr>
      </w:r>
      <w:r>
        <w:rPr>
          <w:lang w:val="en_US" w:bidi="en_US"/>
        </w:rPr>
        <w:t>When they heard that, they said, “Now we</w:t>
      </w:r>
      <w:r>
        <w:rPr>
          <w:vertAlign w:val="superscript"/>
          <w:lang w:val="en_US" w:bidi="en_US"/>
        </w:rPr>
        <w:t>(incl)</w:t>
      </w:r>
      <w:r>
        <w:rPr>
          <w:lang w:val="en_US" w:bidi="en_US"/>
        </w:rPr>
        <w:t xml:space="preserve"> do not need any more witnesses </w:t>
      </w:r>
      <w:r>
        <w:rPr>
          <w:lang w:val="en_US" w:bidi="en_US"/>
        </w:rPr>
        <w:t>to prove that he is guilty</w:t>
      </w:r>
      <w:r>
        <w:rPr>
          <w:lang w:val="en_US" w:bidi="en_US"/>
        </w:rPr>
        <w:t>.</w:t>
      </w:r>
    </w:p>
    <w:p>
      <w:pPr/>
      <w:r>
        <w:rPr>
          <w:lang w:val="en_US" w:bidi="en_US"/>
        </w:rPr>
      </w:r>
      <w:r>
        <w:rPr>
          <w:b/>
          <w:lang w:val="en_US" w:bidi="en_US"/>
        </w:rPr>
        <w:t>“Why do we need any more testimony?” they declared:</w:t>
      </w:r>
      <w:r>
        <w:rPr>
          <w:lang w:val="en_US" w:bidi="en_US"/>
        </w:rPr>
        <w:t xml:space="preserve"> The Greek words that the BSB translates as </w:t>
      </w:r>
      <w:r>
        <w:rPr>
          <w:i/>
          <w:lang w:val="en_US" w:bidi="en_US"/>
        </w:rPr>
        <w:t>they declared</w:t>
      </w:r>
      <w:r>
        <w:rPr>
          <w:lang w:val="en_US" w:bidi="en_US"/>
        </w:rPr>
        <w:t xml:space="preserve"> are literally “but/and they said.” The BSB places these words in the middle of what the council of the elders said. This is good English style. However, in some languages, it may be necessary to put these words where they are in the Greek, at the beginning of 22:71a. For example:</w:t>
      </w:r>
    </w:p>
    <w:p>
      <w:pPr/>
      <w:r>
        <w:rPr>
          <w:lang w:val="en_US" w:bidi="en_US"/>
        </w:rPr>
      </w:r>
      <w:r>
        <w:rPr>
          <w:lang w:val="en_US" w:bidi="en_US"/>
        </w:rPr>
        <w:t>Then they said, “Why do we need any more testimony?” (NIV)</w:t>
      </w:r>
    </w:p>
    <w:p>
      <w:pPr/>
      <w:r>
        <w:rPr>
          <w:lang w:val="en_US" w:bidi="en_US"/>
        </w:rPr>
      </w:r>
      <w:r>
        <w:rPr>
          <w:lang w:val="en_US" w:bidi="en_US"/>
        </w:rPr>
        <w:t>Place them where it is natural in your language.</w:t>
      </w:r>
    </w:p>
    <w:p>
      <w:pPr/>
      <w:r>
        <w:rPr>
          <w:lang w:val="en_US" w:bidi="en_US"/>
        </w:rPr>
      </w:r>
      <w:r>
        <w:rPr>
          <w:b/>
          <w:lang w:val="en_US" w:bidi="en_US"/>
        </w:rPr>
        <w:t>Why do we need any more testimony?:</w:t>
      </w:r>
      <w:r>
        <w:rPr>
          <w:lang w:val="en_US" w:bidi="en_US"/>
        </w:rPr>
        <w:t xml:space="preserve"> This is a rhetorical question. It implies that Jesus’ answer was enough to condemn him. So they did not need any other witnesses to give testimony against him. The council members said this to emphasize that they did not need anyone else to testify against Jesus.</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Why do we need other witnesses? (NLT)</w:t>
      </w:r>
      <w:r>
        <w:rPr>
          <w:lang w:val="en_US" w:bidi="en_US"/>
        </w:rPr>
        <w:t>What further evidence do we need? (REB)</w:t>
      </w:r>
    </w:p>
    <w:p>
      <w:pPr>
        <w:pStyle w:val="ListBullet"/>
        <w:spacing w:line="240" w:lineRule="auto"/>
        <w:ind w:left="720"/>
      </w:pPr>
      <w:r>
        <w:rPr>
          <w:lang w:val="en_US" w:bidi="en_US"/>
        </w:rPr>
      </w:r>
      <w:r>
        <w:rPr>
          <w:lang w:val="en_US" w:bidi="en_US"/>
        </w:rPr>
        <w:t>As a statement. For example:</w:t>
      </w:r>
      <w:r>
        <w:rPr>
          <w:lang w:val="en_US" w:bidi="en_US"/>
        </w:rPr>
        <w:t xml:space="preserve">We do not need any more evidence </w:t>
      </w:r>
      <w:r>
        <w:rPr>
          <w:lang w:val="en_US" w:bidi="en_US"/>
        </w:rPr>
        <w:t>against him</w:t>
      </w:r>
      <w:r>
        <w:rPr>
          <w:lang w:val="en_US" w:bidi="en_US"/>
        </w:rPr>
        <w:t>.</w:t>
      </w:r>
      <w:r>
        <w:rPr>
          <w:lang w:val="en_US" w:bidi="en_US"/>
        </w:rPr>
        <w:t xml:space="preserve">That statement of his is all we need </w:t>
      </w:r>
      <w:r>
        <w:rPr>
          <w:lang w:val="en_US" w:bidi="en_US"/>
        </w:rPr>
        <w:t>to execute him</w:t>
      </w:r>
      <w:r>
        <w:rPr>
          <w:lang w:val="en_US" w:bidi="en_US"/>
        </w:rPr>
        <w:t>!</w:t>
      </w:r>
    </w:p>
    <w:p>
      <w:pPr/>
      <w:r>
        <w:rPr>
          <w:lang w:val="en_US" w:bidi="en_US"/>
        </w:rPr>
      </w:r>
      <w:r>
        <w:rPr>
          <w:lang w:val="en_US" w:bidi="en_US"/>
        </w:rPr>
        <w:t>Translate this emphasis in a way that is natural in your language.</w:t>
      </w:r>
    </w:p>
    <w:p>
      <w:pPr>
        <w:pStyle w:val="Heading5"/>
      </w:pPr>
      <w:r>
        <w:rPr>
          <w:lang w:val="en_US" w:bidi="en_US"/>
        </w:rPr>
        <w:t>22:71b</w:t>
      </w:r>
    </w:p>
    <w:p>
      <w:pPr/>
      <w:r>
        <w:rPr>
          <w:lang w:val="en_US" w:bidi="en_US"/>
        </w:rPr>
      </w:r>
      <w:r>
        <w:rPr>
          <w:b/>
          <w:lang w:val="en_US" w:bidi="en_US"/>
        </w:rPr>
        <w:t>“We have heard it for ourselves from His own lips.”</w:t>
      </w:r>
    </w:p>
    <w:p>
      <w:pPr>
        <w:pStyle w:val="ListBullet"/>
        <w:spacing w:line="240" w:lineRule="auto"/>
        <w:ind w:left="720"/>
      </w:pPr>
      <w:r>
        <w:rPr>
          <w:lang w:val="en_US" w:bidi="en_US"/>
        </w:rPr>
      </w:r>
      <w:r>
        <w:rPr>
          <w:lang w:val="en_US" w:bidi="en_US"/>
        </w:rPr>
        <w:t xml:space="preserve">We have heard </w:t>
      </w:r>
      <w:r>
        <w:rPr>
          <w:lang w:val="en_US" w:bidi="en_US"/>
        </w:rPr>
        <w:t>proof of his guilt</w:t>
      </w:r>
      <w:r>
        <w:rPr>
          <w:lang w:val="en_US" w:bidi="en_US"/>
        </w:rPr>
        <w:t xml:space="preserve"> coming from his own mouth.”</w:t>
      </w:r>
    </w:p>
    <w:p>
      <w:pPr>
        <w:pStyle w:val="ListBullet"/>
        <w:spacing w:line="240" w:lineRule="auto"/>
        <w:ind w:left="720"/>
      </w:pPr>
      <w:r>
        <w:rPr>
          <w:lang w:val="en_US" w:bidi="en_US"/>
        </w:rPr>
      </w:r>
      <w:r>
        <w:rPr>
          <w:lang w:val="en_US" w:bidi="en_US"/>
        </w:rPr>
        <w:t xml:space="preserve">We have heard him </w:t>
      </w:r>
      <w:r>
        <w:rPr>
          <w:lang w:val="en_US" w:bidi="en_US"/>
        </w:rPr>
        <w:t>condemn himself</w:t>
      </w:r>
      <w:r>
        <w:rPr>
          <w:lang w:val="en_US" w:bidi="en_US"/>
        </w:rPr>
        <w:t xml:space="preserve"> by his own words.”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have heard him testify against himself!”</w:t>
      </w:r>
    </w:p>
    <w:p>
      <w:pPr>
        <w:pStyle w:val="ListBullet"/>
        <w:spacing w:line="240" w:lineRule="auto"/>
        <w:ind w:left="720"/>
      </w:pPr>
      <w:r>
        <w:rPr>
          <w:lang w:val="en_US" w:bidi="en_US"/>
        </w:rPr>
      </w:r>
      <w:r>
        <w:rPr>
          <w:lang w:val="en_US" w:bidi="en_US"/>
        </w:rPr>
        <w:t>The words that just came</w:t>
      </w:r>
      <w:r>
        <w:rPr>
          <w:lang w:val="en_US" w:bidi="en_US"/>
        </w:rPr>
        <w:t xml:space="preserve"> from his own mouth are enough </w:t>
      </w:r>
      <w:r>
        <w:rPr>
          <w:lang w:val="en_US" w:bidi="en_US"/>
        </w:rPr>
        <w:t>to condemn him</w:t>
      </w:r>
      <w:r>
        <w:rPr>
          <w:lang w:val="en_US" w:bidi="en_US"/>
        </w:rPr>
        <w:t>!”</w:t>
      </w:r>
    </w:p>
    <w:p>
      <w:pPr/>
      <w:r>
        <w:rPr>
          <w:lang w:val="en_US" w:bidi="en_US"/>
        </w:rPr>
      </w:r>
      <w:r>
        <w:rPr>
          <w:b/>
          <w:lang w:val="en_US" w:bidi="en_US"/>
        </w:rPr>
        <w:t>We have heard it for ourselves from His own lips:</w:t>
      </w:r>
      <w:r>
        <w:rPr>
          <w:lang w:val="en_US" w:bidi="en_US"/>
        </w:rPr>
        <w:t xml:space="preserve"> The Jewish leaders indicated here that what they just heard Jesus say proved that he was guilty. When he said that he was the Son of God, they thought that was all they needed to show that he deserved to be executed. Other ways to say this are:</w:t>
      </w:r>
    </w:p>
    <w:p>
      <w:pPr/>
      <w:r>
        <w:rPr>
          <w:lang w:val="en_US" w:bidi="en_US"/>
        </w:rPr>
      </w:r>
      <w:r>
        <w:rPr>
          <w:lang w:val="en_US" w:bidi="en_US"/>
        </w:rPr>
        <w:t>We’ve heard him say it ourselves. (GW)</w:t>
      </w:r>
    </w:p>
    <w:p>
      <w:pPr/>
      <w:r>
        <w:rPr>
          <w:lang w:val="en_US" w:bidi="en_US"/>
        </w:rPr>
      </w:r>
      <w:r>
        <w:rPr>
          <w:lang w:val="en_US" w:bidi="en_US"/>
        </w:rPr>
        <w:t>We have heard him condemn himself by his own words.</w:t>
      </w:r>
    </w:p>
    <w:p>
      <w:pPr/>
      <w:r>
        <w:rPr>
          <w:lang w:val="en_US" w:bidi="en_US"/>
        </w:rPr>
      </w:r>
      <w:r>
        <w:rPr>
          <w:b/>
          <w:lang w:val="en_US" w:bidi="en_US"/>
        </w:rPr>
        <w:t>We:</w:t>
      </w:r>
      <w:r>
        <w:rPr>
          <w:lang w:val="en_US" w:bidi="en_US"/>
        </w:rPr>
        <w:t xml:space="preserve"> In this verse </w:t>
      </w:r>
      <w:r>
        <w:rPr>
          <w:i/>
          <w:lang w:val="en_US" w:bidi="en_US"/>
        </w:rPr>
        <w:t>We</w:t>
      </w:r>
      <w:r>
        <w:rPr>
          <w:lang w:val="en_US" w:bidi="en_US"/>
        </w:rPr>
        <w:t xml:space="preserve"> is emphatic. They did not need any other witnesses to confirm what they themselves had heard. In some languages the statement itself expresses this emphasis. In other languages there may be another natural way to express it. Here is another way to translate this:</w:t>
      </w:r>
    </w:p>
    <w:p>
      <w:pPr/>
      <w:r>
        <w:rPr>
          <w:lang w:val="en_US" w:bidi="en_US"/>
        </w:rPr>
      </w:r>
      <w:r>
        <w:rPr>
          <w:lang w:val="en_US" w:bidi="en_US"/>
        </w:rPr>
        <w:t>We ourselves have heard what he said! (GNT)</w:t>
      </w:r>
    </w:p>
    <w:p>
      <w:pPr/>
      <w:r>
        <w:rPr>
          <w:lang w:val="en_US" w:bidi="en_US"/>
        </w:rPr>
      </w:r>
      <w:r>
        <w:rPr>
          <w:b/>
          <w:lang w:val="en_US" w:bidi="en_US"/>
        </w:rPr>
        <w:t>from His own lips:</w:t>
      </w:r>
      <w:r>
        <w:rPr>
          <w:lang w:val="en_US" w:bidi="en_US"/>
        </w:rPr>
        <w:t xml:space="preserve"> This is an idiom. It refers emphatically to something that Jesus himself said. Some ways to translate this idiom are:</w:t>
      </w:r>
    </w:p>
    <w:p>
      <w:pPr>
        <w:pStyle w:val="ListBullet"/>
        <w:spacing w:line="240" w:lineRule="auto"/>
        <w:ind w:left="720"/>
      </w:pPr>
      <w:r>
        <w:rPr>
          <w:lang w:val="en_US" w:bidi="en_US"/>
        </w:rPr>
      </w:r>
      <w:r>
        <w:rPr>
          <w:lang w:val="en_US" w:bidi="en_US"/>
        </w:rPr>
        <w:t>Use a similar idiom in your language. For example, another English idiom is:</w:t>
      </w:r>
      <w:r>
        <w:rPr>
          <w:lang w:val="en_US" w:bidi="en_US"/>
        </w:rPr>
        <w:t>from his own mouth</w:t>
      </w:r>
    </w:p>
    <w:p>
      <w:pPr>
        <w:pStyle w:val="ListBullet"/>
        <w:spacing w:line="240" w:lineRule="auto"/>
        <w:ind w:left="720"/>
      </w:pPr>
      <w:r>
        <w:rPr>
          <w:lang w:val="en_US" w:bidi="en_US"/>
        </w:rPr>
      </w:r>
      <w:r>
        <w:rPr>
          <w:lang w:val="en_US" w:bidi="en_US"/>
        </w:rPr>
        <w:t>Translate the meaning directly. For example:</w:t>
      </w:r>
      <w:r>
        <w:rPr>
          <w:lang w:val="en_US" w:bidi="en_US"/>
        </w:rPr>
        <w:t>He said it himself! (CEV)</w:t>
      </w:r>
      <w:r>
        <w:rPr>
          <w:lang w:val="en_US" w:bidi="en_US"/>
        </w:rPr>
      </w:r>
      <w:r>
        <w:rPr>
          <w:lang w:val="en_US" w:bidi="en_US"/>
        </w:rPr>
      </w:r>
    </w:p>
    <w:p>
      <w:pPr/>
      <w:r>
        <w:rPr>
          <w:lang w:val="en_US" w:bidi="en_US"/>
        </w:rPr>
      </w:r>
    </w:p>
    <w:p>
      <w:pPr>
        <w:pStyle w:val="Heading2"/>
      </w:pPr>
      <w:r>
        <w:rPr>
          <w:lang w:val="en_US" w:bidi="en_US"/>
        </w:rPr>
        <w:t>Luke 23:1</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23:1a</w:t>
      </w:r>
    </w:p>
    <w:p>
      <w:pPr/>
      <w:r>
        <w:rPr>
          <w:lang w:val="en_US" w:bidi="en_US"/>
        </w:rPr>
      </w:r>
      <w:r>
        <w:rPr>
          <w:b/>
          <w:lang w:val="en_US" w:bidi="en_US"/>
        </w:rPr>
        <w:t>Then the whole council rose</w:t>
      </w:r>
    </w:p>
    <w:p>
      <w:pPr>
        <w:pStyle w:val="ListBullet"/>
        <w:spacing w:line="240" w:lineRule="auto"/>
        <w:ind w:left="720"/>
      </w:pPr>
      <w:r>
        <w:rPr>
          <w:lang w:val="en_US" w:bidi="en_US"/>
        </w:rPr>
      </w:r>
      <w:r>
        <w:rPr>
          <w:lang w:val="en_US" w:bidi="en_US"/>
        </w:rPr>
        <w:t xml:space="preserve">¶ Then all the high court/council </w:t>
      </w:r>
      <w:r>
        <w:rPr>
          <w:lang w:val="en_US" w:bidi="en_US"/>
        </w:rPr>
        <w:t>of the Jewish people</w:t>
      </w:r>
      <w:r>
        <w:rPr>
          <w:lang w:val="en_US" w:bidi="en_US"/>
        </w:rPr>
        <w:t xml:space="preserve"> stood/got up</w:t>
      </w:r>
    </w:p>
    <w:p>
      <w:pPr>
        <w:pStyle w:val="ListBullet"/>
        <w:spacing w:line="240" w:lineRule="auto"/>
        <w:ind w:left="720"/>
      </w:pPr>
      <w:r>
        <w:rPr>
          <w:lang w:val="en_US" w:bidi="en_US"/>
        </w:rPr>
      </w:r>
      <w:r>
        <w:rPr>
          <w:lang w:val="en_US" w:bidi="en_US"/>
        </w:rPr>
        <w:t>¶ Then all the council members</w:t>
      </w:r>
    </w:p>
    <w:p>
      <w:pPr>
        <w:pStyle w:val="Heading5"/>
      </w:pPr>
      <w:r>
        <w:rPr>
          <w:lang w:val="en_US" w:bidi="en_US"/>
        </w:rPr>
        <w:t>23:1b</w:t>
      </w:r>
    </w:p>
    <w:p>
      <w:pPr/>
      <w:r>
        <w:rPr>
          <w:lang w:val="en_US" w:bidi="en_US"/>
        </w:rPr>
      </w:r>
      <w:r>
        <w:rPr>
          <w:b/>
          <w:lang w:val="en_US" w:bidi="en_US"/>
        </w:rPr>
        <w:t>and led Jesus away to Pilate.</w:t>
      </w:r>
    </w:p>
    <w:p>
      <w:pPr>
        <w:pStyle w:val="ListBullet"/>
        <w:spacing w:line="240" w:lineRule="auto"/>
        <w:ind w:left="720"/>
      </w:pPr>
      <w:r>
        <w:rPr>
          <w:lang w:val="en_US" w:bidi="en_US"/>
        </w:rPr>
      </w:r>
      <w:r>
        <w:rPr>
          <w:lang w:val="en_US" w:bidi="en_US"/>
        </w:rPr>
        <w:t xml:space="preserve">and took Jesus to </w:t>
      </w:r>
      <w:r>
        <w:rPr>
          <w:lang w:val="en_US" w:bidi="en_US"/>
        </w:rPr>
        <w:t>Governor</w:t>
      </w:r>
      <w:r>
        <w:rPr>
          <w:lang w:val="en_US" w:bidi="en_US"/>
        </w:rPr>
        <w:t xml:space="preserve"> Pilate.</w:t>
      </w:r>
    </w:p>
    <w:p>
      <w:pPr>
        <w:pStyle w:val="ListBullet"/>
        <w:spacing w:line="240" w:lineRule="auto"/>
        <w:ind w:left="720"/>
      </w:pPr>
      <w:r>
        <w:rPr>
          <w:lang w:val="en_US" w:bidi="en_US"/>
        </w:rPr>
      </w:r>
      <w:r>
        <w:rPr>
          <w:lang w:val="en_US" w:bidi="en_US"/>
        </w:rPr>
        <w:t xml:space="preserve">led/brought Jesus to </w:t>
      </w:r>
      <w:r>
        <w:rPr>
          <w:lang w:val="en_US" w:bidi="en_US"/>
        </w:rPr>
        <w:t>the Roman governor</w:t>
      </w:r>
      <w:r>
        <w:rPr>
          <w:lang w:val="en_US" w:bidi="en_US"/>
        </w:rPr>
        <w:t xml:space="preserve">, </w:t>
      </w:r>
      <w:r>
        <w:rPr>
          <w:lang w:val="en_US" w:bidi="en_US"/>
        </w:rPr>
        <w:t>whose name was</w:t>
      </w:r>
      <w:r>
        <w:rPr>
          <w:lang w:val="en_US" w:bidi="en_US"/>
        </w:rPr>
        <w:t xml:space="preserve"> Pilate.</w:t>
      </w:r>
    </w:p>
    <w:p>
      <w:pPr>
        <w:pStyle w:val="Heading5"/>
      </w:pPr>
      <w:r>
        <w:rPr>
          <w:lang w:val="en_US" w:bidi="en_US"/>
        </w:rPr>
        <w:t>23:1a–b</w:t>
      </w:r>
    </w:p>
    <w:p>
      <w:pPr/>
      <w:r>
        <w:rPr>
          <w:lang w:val="en_US" w:bidi="en_US"/>
        </w:rPr>
      </w:r>
      <w:r>
        <w:rPr>
          <w:b/>
          <w:lang w:val="en_US" w:bidi="en_US"/>
        </w:rPr>
        <w:t>Then the whole council rose and led Jesus away to Pilate:</w:t>
      </w:r>
      <w:r>
        <w:rPr>
          <w:lang w:val="en_US" w:bidi="en_US"/>
        </w:rPr>
        <w:t xml:space="preserve"> This clause tells what the council members did after they decided that Jesus was guilty in 22:71. They took Jesus to Pilate. The word </w:t>
      </w:r>
      <w:r>
        <w:rPr>
          <w:i/>
          <w:lang w:val="en_US" w:bidi="en_US"/>
        </w:rPr>
        <w:t>rose</w:t>
      </w:r>
      <w:r>
        <w:rPr>
          <w:lang w:val="en_US" w:bidi="en_US"/>
        </w:rPr>
        <w:t xml:space="preserve"> emphasizes that action. It is used in a similar way in 4:29, where the BSB translates it as “got up.” Another way to translate the clause is:</w:t>
      </w:r>
    </w:p>
    <w:p>
      <w:pPr/>
      <w:r>
        <w:rPr>
          <w:lang w:val="en_US" w:bidi="en_US"/>
        </w:rPr>
      </w:r>
      <w:r>
        <w:rPr>
          <w:lang w:val="en_US" w:bidi="en_US"/>
        </w:rPr>
        <w:t>Then the entire assembly stood up and took him to Pilate. (GW)</w:t>
      </w:r>
    </w:p>
    <w:p>
      <w:pPr/>
      <w:r>
        <w:rPr>
          <w:lang w:val="en_US" w:bidi="en_US"/>
        </w:rPr>
      </w:r>
      <w:r>
        <w:rPr>
          <w:lang w:val="en_US" w:bidi="en_US"/>
        </w:rPr>
        <w:t>In some languages there may be an idiom to translate this. For example:</w:t>
      </w:r>
    </w:p>
    <w:p>
      <w:pPr/>
      <w:r>
        <w:rPr>
          <w:lang w:val="en_US" w:bidi="en_US"/>
        </w:rPr>
      </w:r>
      <w:r>
        <w:rPr>
          <w:lang w:val="en_US" w:bidi="en_US"/>
        </w:rPr>
        <w:t xml:space="preserve">Then they all </w:t>
      </w:r>
      <w:r>
        <w:rPr>
          <w:u w:val="single"/>
          <w:lang w:val="en_US" w:bidi="en_US"/>
        </w:rPr>
        <w:t>jumped to their feet</w:t>
      </w:r>
      <w:r>
        <w:rPr>
          <w:lang w:val="en_US" w:bidi="en_US"/>
        </w:rPr>
        <w:t xml:space="preserve"> and took him away to Pilate.</w:t>
      </w:r>
    </w:p>
    <w:p>
      <w:pPr/>
      <w:r>
        <w:rPr>
          <w:lang w:val="en_US" w:bidi="en_US"/>
        </w:rPr>
      </w:r>
      <w:r>
        <w:rPr>
          <w:lang w:val="en_US" w:bidi="en_US"/>
        </w:rPr>
        <w:t xml:space="preserve">In some languages it may not be natural to use a verb like </w:t>
      </w:r>
      <w:r>
        <w:rPr>
          <w:i/>
          <w:lang w:val="en_US" w:bidi="en_US"/>
        </w:rPr>
        <w:t>rose</w:t>
      </w:r>
      <w:r>
        <w:rPr>
          <w:lang w:val="en_US" w:bidi="en_US"/>
        </w:rPr>
        <w:t xml:space="preserve"> or “stood” here, since it is already implied by the next action. For example:</w:t>
      </w:r>
    </w:p>
    <w:p>
      <w:pPr/>
      <w:r>
        <w:rPr>
          <w:lang w:val="en_US" w:bidi="en_US"/>
        </w:rPr>
      </w:r>
      <w:r>
        <w:rPr>
          <w:lang w:val="en_US" w:bidi="en_US"/>
        </w:rPr>
        <w:t>Then the entire council took Jesus to Pilate (NLT)</w:t>
      </w:r>
    </w:p>
    <w:p>
      <w:pPr/>
      <w:r>
        <w:rPr>
          <w:lang w:val="en_US" w:bidi="en_US"/>
        </w:rPr>
      </w:r>
      <w:r>
        <w:rPr>
          <w:lang w:val="en_US" w:bidi="en_US"/>
        </w:rPr>
        <w:t>Translate the statement in a natural way in your language.</w:t>
      </w:r>
    </w:p>
    <w:p>
      <w:pPr/>
      <w:r>
        <w:rPr>
          <w:lang w:val="en_US" w:bidi="en_US"/>
        </w:rPr>
      </w:r>
      <w:r>
        <w:rPr>
          <w:b/>
          <w:lang w:val="en_US" w:bidi="en_US"/>
        </w:rPr>
        <w:t>the whole council:</w:t>
      </w:r>
      <w:r>
        <w:rPr>
          <w:lang w:val="en_US" w:bidi="en_US"/>
        </w:rPr>
        <w:t xml:space="preserve"> The Greek phrase that the BSB translates as </w:t>
      </w:r>
      <w:r>
        <w:rPr>
          <w:i/>
          <w:lang w:val="en_US" w:bidi="en_US"/>
        </w:rPr>
        <w:t>the whole council</w:t>
      </w:r>
      <w:r>
        <w:rPr>
          <w:lang w:val="en_US" w:bidi="en_US"/>
        </w:rPr>
        <w:t xml:space="preserve"> is literally “the whole crowd of them.” It refers to the entire group that was present in 22:71. This group was the Jewish council (Sanhedrin). It included all the Jewish leaders who were at the meeting in 22:66.</w:t>
      </w:r>
    </w:p>
    <w:p>
      <w:pPr/>
      <w:r>
        <w:rPr>
          <w:lang w:val="en_US" w:bidi="en_US"/>
        </w:rPr>
      </w:r>
      <w:r>
        <w:rPr>
          <w:lang w:val="en_US" w:bidi="en_US"/>
        </w:rPr>
        <w:t>Refer back to the council in 22:71 in a natural way in your language. You should not imply that Luke referred to a different assembly here. For example:</w:t>
      </w:r>
    </w:p>
    <w:p>
      <w:pPr/>
      <w:r>
        <w:rPr>
          <w:lang w:val="en_US" w:bidi="en_US"/>
        </w:rPr>
      </w:r>
      <w:r>
        <w:rPr>
          <w:lang w:val="en_US" w:bidi="en_US"/>
        </w:rPr>
        <w:t>Then the whole group of them (NET)</w:t>
      </w:r>
    </w:p>
    <w:p>
      <w:pPr/>
      <w:r>
        <w:rPr>
          <w:lang w:val="en_US" w:bidi="en_US"/>
        </w:rPr>
      </w:r>
      <w:r>
        <w:rPr>
          <w:lang w:val="en_US" w:bidi="en_US"/>
        </w:rPr>
        <w:t>Then they all</w:t>
      </w:r>
      <w:r>
        <w:rPr>
          <w:lang w:val="en_US" w:bidi="en_US"/>
        </w:rPr>
        <w:t>Kankanaey back translation on TW.</w:t>
      </w:r>
    </w:p>
    <w:p>
      <w:pPr/>
      <w:r>
        <w:rPr>
          <w:lang w:val="en_US" w:bidi="en_US"/>
        </w:rPr>
      </w:r>
      <w:r>
        <w:rPr>
          <w:b/>
          <w:lang w:val="en_US" w:bidi="en_US"/>
        </w:rPr>
        <w:t>led Jesus away to Pilate:</w:t>
      </w:r>
      <w:r>
        <w:rPr>
          <w:lang w:val="en_US" w:bidi="en_US"/>
        </w:rPr>
        <w:t xml:space="preserve"> The Greek phrase that the BSB translates as </w:t>
      </w:r>
      <w:r>
        <w:rPr>
          <w:i/>
          <w:lang w:val="en_US" w:bidi="en_US"/>
        </w:rPr>
        <w:t>led Jesus away to Pilate</w:t>
      </w:r>
      <w:r>
        <w:rPr>
          <w:lang w:val="en_US" w:bidi="en_US"/>
        </w:rPr>
        <w:t xml:space="preserve"> is more literally “led/brought him before Pilate.” In this context, the members of the council led Jesus to Pilate so that Pilate would judge him. Use a natural phrase in your language to indicate this. Other ways to translate this phrase are:</w:t>
      </w:r>
    </w:p>
    <w:p>
      <w:pPr/>
      <w:r>
        <w:rPr>
          <w:lang w:val="en_US" w:bidi="en_US"/>
        </w:rPr>
      </w:r>
      <w:r>
        <w:rPr>
          <w:lang w:val="en_US" w:bidi="en_US"/>
        </w:rPr>
        <w:t>brought Jesus before Pilate (NRSV)</w:t>
      </w:r>
    </w:p>
    <w:p>
      <w:pPr/>
      <w:r>
        <w:rPr>
          <w:lang w:val="en_US" w:bidi="en_US"/>
        </w:rPr>
      </w:r>
      <w:r>
        <w:rPr>
          <w:lang w:val="en_US" w:bidi="en_US"/>
        </w:rPr>
        <w:t>took Jesus to Governor Pilate so that he might judge him</w:t>
      </w:r>
      <w:r>
        <w:rPr>
          <w:lang w:val="en_US" w:bidi="en_US"/>
        </w:rPr>
        <w:t>Western Bukidnon Manobo back translation on TW.</w:t>
      </w:r>
    </w:p>
    <w:p>
      <w:pPr/>
      <w:r>
        <w:rPr>
          <w:lang w:val="en_US" w:bidi="en_US"/>
        </w:rPr>
      </w:r>
      <w:r>
        <w:rPr>
          <w:b/>
          <w:lang w:val="en_US" w:bidi="en_US"/>
        </w:rPr>
        <w:t>Pilate:</w:t>
      </w:r>
      <w:r>
        <w:rPr>
          <w:lang w:val="en_US" w:bidi="en_US"/>
        </w:rPr>
        <w:t xml:space="preserve"> The name </w:t>
      </w:r>
      <w:r>
        <w:rPr>
          <w:i/>
          <w:lang w:val="en_US" w:bidi="en_US"/>
        </w:rPr>
        <w:t>Pilate</w:t>
      </w:r>
      <w:r>
        <w:rPr>
          <w:lang w:val="en_US" w:bidi="en_US"/>
        </w:rPr>
        <w:t xml:space="preserve"> refers here to Pontius Pilate, who was the Roman governor of the district of Judea. He was mentioned along with his title in 3:1. It may be helpful to include this title here. For example:</w:t>
      </w:r>
    </w:p>
    <w:p>
      <w:pPr/>
      <w:r>
        <w:rPr>
          <w:lang w:val="en_US" w:bidi="en_US"/>
        </w:rPr>
      </w:r>
      <w:r>
        <w:rPr>
          <w:lang w:val="en_US" w:bidi="en_US"/>
        </w:rPr>
        <w:t>Governor Pilate</w:t>
      </w:r>
    </w:p>
    <w:p>
      <w:pPr/>
      <w:r>
        <w:rPr>
          <w:lang w:val="en_US" w:bidi="en_US"/>
        </w:rPr>
      </w:r>
      <w:r>
        <w:rPr>
          <w:lang w:val="en_US" w:bidi="en_US"/>
        </w:rPr>
        <w:t>Pilate, the Roman governor (NLT)</w:t>
      </w:r>
      <w:r>
        <w:rPr>
          <w:lang w:val="en_US" w:bidi="en_US"/>
        </w:rPr>
      </w:r>
      <w:r>
        <w:rPr>
          <w:lang w:val="en_US" w:bidi="en_US"/>
        </w:rPr>
      </w:r>
    </w:p>
    <w:p>
      <w:pPr/>
      <w:r>
        <w:rPr>
          <w:lang w:val="en_US" w:bidi="en_US"/>
        </w:rPr>
      </w:r>
    </w:p>
    <w:p>
      <w:pPr>
        <w:pStyle w:val="Heading2"/>
      </w:pPr>
      <w:r>
        <w:rPr>
          <w:lang w:val="en_US" w:bidi="en_US"/>
        </w:rPr>
        <w:t>Luke 23:2</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23:2a</w:t>
      </w:r>
    </w:p>
    <w:p>
      <w:pPr/>
      <w:r>
        <w:rPr>
          <w:lang w:val="en_US" w:bidi="en_US"/>
        </w:rPr>
      </w:r>
      <w:r>
        <w:rPr>
          <w:b/>
          <w:lang w:val="en_US" w:bidi="en_US"/>
        </w:rPr>
        <w:t>And they began to accuse Him, saying,</w:t>
      </w:r>
    </w:p>
    <w:p>
      <w:pPr>
        <w:pStyle w:val="ListBullet"/>
        <w:spacing w:line="240" w:lineRule="auto"/>
        <w:ind w:left="720"/>
      </w:pPr>
      <w:r>
        <w:rPr>
          <w:lang w:val="en_US" w:bidi="en_US"/>
        </w:rPr>
      </w:r>
      <w:r>
        <w:rPr>
          <w:lang w:val="en_US" w:bidi="en_US"/>
        </w:rPr>
        <w:t xml:space="preserve">Then/There they started telling </w:t>
      </w:r>
      <w:r>
        <w:rPr>
          <w:lang w:val="en_US" w:bidi="en_US"/>
        </w:rPr>
        <w:t>Pilate</w:t>
      </w:r>
      <w:r>
        <w:rPr>
          <w:lang w:val="en_US" w:bidi="en_US"/>
        </w:rPr>
        <w:t xml:space="preserve"> their accusations against Jesus, saying,</w:t>
      </w:r>
    </w:p>
    <w:p>
      <w:pPr>
        <w:pStyle w:val="ListBullet"/>
        <w:spacing w:line="240" w:lineRule="auto"/>
        <w:ind w:left="720"/>
      </w:pPr>
      <w:r>
        <w:rPr>
          <w:lang w:val="en_US" w:bidi="en_US"/>
        </w:rPr>
      </w:r>
      <w:r>
        <w:rPr>
          <w:lang w:val="en_US" w:bidi="en_US"/>
        </w:rPr>
        <w:t xml:space="preserve">When </w:t>
      </w:r>
      <w:r>
        <w:rPr>
          <w:lang w:val="en_US" w:bidi="en_US"/>
        </w:rPr>
        <w:t>they arrived there</w:t>
      </w:r>
      <w:r>
        <w:rPr>
          <w:lang w:val="en_US" w:bidi="en_US"/>
        </w:rPr>
        <w:t xml:space="preserve">, they told </w:t>
      </w:r>
      <w:r>
        <w:rPr>
          <w:lang w:val="en_US" w:bidi="en_US"/>
        </w:rPr>
        <w:t>Pilate</w:t>
      </w:r>
      <w:r>
        <w:rPr>
          <w:lang w:val="en_US" w:bidi="en_US"/>
        </w:rPr>
        <w:t xml:space="preserve"> why they had brought Jesus </w:t>
      </w:r>
      <w:r>
        <w:rPr>
          <w:lang w:val="en_US" w:bidi="en_US"/>
        </w:rPr>
        <w:t>to him</w:t>
      </w:r>
      <w:r>
        <w:rPr>
          <w:lang w:val="en_US" w:bidi="en_US"/>
        </w:rPr>
        <w:t xml:space="preserve"> to be judged. They said,</w:t>
      </w:r>
    </w:p>
    <w:p>
      <w:pPr/>
      <w:r>
        <w:rPr>
          <w:lang w:val="en_US" w:bidi="en_US"/>
        </w:rPr>
      </w:r>
      <w:r>
        <w:rPr>
          <w:b/>
          <w:lang w:val="en_US" w:bidi="en_US"/>
        </w:rPr>
        <w:t>And:</w:t>
      </w:r>
      <w:r>
        <w:rPr>
          <w:lang w:val="en_US" w:bidi="en_US"/>
        </w:rPr>
        <w:t xml:space="preserve"> This verse begins with a common Greek conjunction that the BSB translates as </w:t>
      </w:r>
      <w:r>
        <w:rPr>
          <w:i/>
          <w:lang w:val="en_US" w:bidi="en_US"/>
        </w:rPr>
        <w:t>And</w:t>
      </w:r>
      <w:r>
        <w:rPr>
          <w:lang w:val="en_US" w:bidi="en_US"/>
        </w:rPr>
        <w:t>. It introduces what the council members did when they reached the place where Pilate was. In some languages it may be necessary to indicate that they arrived there. For example:</w:t>
      </w:r>
    </w:p>
    <w:p>
      <w:pPr/>
      <w:r>
        <w:rPr>
          <w:lang w:val="en_US" w:bidi="en_US"/>
        </w:rPr>
      </w:r>
      <w:r>
        <w:rPr>
          <w:lang w:val="en_US" w:bidi="en_US"/>
        </w:rPr>
        <w:t xml:space="preserve">When they arrived </w:t>
      </w:r>
      <w:r>
        <w:rPr>
          <w:lang w:val="en_US" w:bidi="en_US"/>
        </w:rPr>
        <w:t>at Pilate’s court</w:t>
      </w:r>
    </w:p>
    <w:p>
      <w:pPr/>
      <w:r>
        <w:rPr>
          <w:lang w:val="en_US" w:bidi="en_US"/>
        </w:rPr>
      </w:r>
      <w:r>
        <w:rPr>
          <w:lang w:val="en_US" w:bidi="en_US"/>
        </w:rPr>
        <w:t>There</w:t>
      </w:r>
    </w:p>
    <w:p>
      <w:pPr/>
      <w:r>
        <w:rPr>
          <w:lang w:val="en_US" w:bidi="en_US"/>
        </w:rPr>
      </w:r>
      <w:r>
        <w:rPr>
          <w:b/>
          <w:lang w:val="en_US" w:bidi="en_US"/>
        </w:rPr>
        <w:t>they began to accuse Him:</w:t>
      </w:r>
      <w:r>
        <w:rPr>
          <w:lang w:val="en_US" w:bidi="en_US"/>
        </w:rPr>
        <w:t xml:space="preserve"> The clause </w:t>
      </w:r>
      <w:r>
        <w:rPr>
          <w:i/>
          <w:lang w:val="en_US" w:bidi="en_US"/>
        </w:rPr>
        <w:t>they began to accuse Him</w:t>
      </w:r>
      <w:r>
        <w:rPr>
          <w:lang w:val="en_US" w:bidi="en_US"/>
        </w:rPr>
        <w:t xml:space="preserve"> indicates that the council members started to accuse Jesus of doing wrong. They brought formal charges against him. They told Pilate some untrue things about Jesus because they wanted Pilate to condemn him and execute him. Some other ways to translate the clause are:</w:t>
      </w:r>
    </w:p>
    <w:p>
      <w:pPr/>
      <w:r>
        <w:rPr>
          <w:lang w:val="en_US" w:bidi="en_US"/>
        </w:rPr>
      </w:r>
      <w:r>
        <w:rPr>
          <w:lang w:val="en_US" w:bidi="en_US"/>
        </w:rPr>
        <w:t xml:space="preserve">they started to tell </w:t>
      </w:r>
      <w:r>
        <w:rPr>
          <w:lang w:val="en_US" w:bidi="en_US"/>
        </w:rPr>
        <w:t>Pilate</w:t>
      </w:r>
      <w:r>
        <w:rPr>
          <w:lang w:val="en_US" w:bidi="en_US"/>
        </w:rPr>
        <w:t xml:space="preserve"> their accusations against Jesus</w:t>
      </w:r>
    </w:p>
    <w:p>
      <w:pPr/>
      <w:r>
        <w:rPr>
          <w:lang w:val="en_US" w:bidi="en_US"/>
        </w:rPr>
      </w:r>
      <w:r>
        <w:rPr>
          <w:lang w:val="en_US" w:bidi="en_US"/>
        </w:rPr>
        <w:t>they accused Jesus</w:t>
      </w:r>
    </w:p>
    <w:p>
      <w:pPr/>
      <w:r>
        <w:rPr>
          <w:lang w:val="en_US" w:bidi="en_US"/>
        </w:rPr>
      </w:r>
      <w:r>
        <w:rPr>
          <w:lang w:val="en_US" w:bidi="en_US"/>
        </w:rPr>
        <w:t>In some languages there are special ways to introduce formal charges against someone. For example:</w:t>
      </w:r>
    </w:p>
    <w:p>
      <w:pPr/>
      <w:r>
        <w:rPr>
          <w:lang w:val="en_US" w:bidi="en_US"/>
        </w:rPr>
      </w:r>
      <w:r>
        <w:rPr>
          <w:lang w:val="en_US" w:bidi="en_US"/>
        </w:rPr>
        <w:t>They filed-charges-against-him</w:t>
      </w:r>
      <w:r>
        <w:rPr>
          <w:lang w:val="en_US" w:bidi="en_US"/>
        </w:rPr>
        <w:t>Kankanaey back translation on TW.</w:t>
      </w:r>
    </w:p>
    <w:p>
      <w:pPr/>
      <w:r>
        <w:rPr>
          <w:lang w:val="en_US" w:bidi="en_US"/>
        </w:rPr>
      </w:r>
      <w:r>
        <w:rPr>
          <w:lang w:val="en_US" w:bidi="en_US"/>
        </w:rPr>
        <w:t>They opened the case against him (REB)</w:t>
      </w:r>
    </w:p>
    <w:p>
      <w:pPr/>
      <w:r>
        <w:rPr>
          <w:lang w:val="en_US" w:bidi="en_US"/>
        </w:rPr>
      </w:r>
      <w:r>
        <w:rPr>
          <w:lang w:val="en_US" w:bidi="en_US"/>
        </w:rPr>
        <w:t>Translate this clause in a natural way in your language. If you have a special way to refer to bringing legal charges against someone, you may be able to use it here.</w:t>
      </w:r>
    </w:p>
    <w:p>
      <w:pPr/>
      <w:r>
        <w:rPr>
          <w:lang w:val="en_US" w:bidi="en_US"/>
        </w:rPr>
      </w:r>
      <w:r>
        <w:rPr>
          <w:b/>
          <w:lang w:val="en_US" w:bidi="en_US"/>
        </w:rPr>
        <w:t>saying:</w:t>
      </w:r>
      <w:r>
        <w:rPr>
          <w:lang w:val="en_US" w:bidi="en_US"/>
        </w:rPr>
        <w:t xml:space="preserve"> The verb </w:t>
      </w:r>
      <w:r>
        <w:rPr>
          <w:i/>
          <w:lang w:val="en_US" w:bidi="en_US"/>
        </w:rPr>
        <w:t>saying</w:t>
      </w:r>
      <w:r>
        <w:rPr>
          <w:lang w:val="en_US" w:bidi="en_US"/>
        </w:rPr>
        <w:t xml:space="preserve"> introduces the specific things that the council members said to accuse Jesus. These were formal accusations that they told Governor Pilate. Introduce this accusations in a natural way in your language Some other ways to introduce them in English are:</w:t>
      </w:r>
    </w:p>
    <w:p>
      <w:pPr/>
      <w:r>
        <w:rPr>
          <w:lang w:val="en_US" w:bidi="en_US"/>
        </w:rPr>
      </w:r>
      <w:r>
        <w:rPr>
          <w:lang w:val="en_US" w:bidi="en_US"/>
        </w:rPr>
        <w:t xml:space="preserve">They said to </w:t>
      </w:r>
      <w:r>
        <w:rPr>
          <w:lang w:val="en_US" w:bidi="en_US"/>
        </w:rPr>
        <w:t>Governor Pilate</w:t>
      </w:r>
    </w:p>
    <w:p>
      <w:pPr/>
      <w:r>
        <w:rPr>
          <w:lang w:val="en_US" w:bidi="en_US"/>
        </w:rPr>
      </w:r>
      <w:r>
        <w:rPr>
          <w:lang w:val="en_US" w:bidi="en_US"/>
        </w:rPr>
        <w:t>They declared</w:t>
      </w:r>
    </w:p>
    <w:p>
      <w:pPr/>
      <w:r>
        <w:rPr>
          <w:lang w:val="en_US" w:bidi="en_US"/>
        </w:rPr>
      </w:r>
      <w:r>
        <w:rPr>
          <w:lang w:val="en_US" w:bidi="en_US"/>
        </w:rPr>
        <w:t>The three statements in 23:2b–d are connected with the common Greek conjunction that is often translated as “and.” They can be translated as three separate accusations or as three accusations separated by commas (as in the BSB).</w:t>
      </w:r>
      <w:r>
        <w:rPr>
          <w:lang w:val="en_US" w:bidi="en_US"/>
        </w:rPr>
        <w:t>Some commentators consider the statements in 23:2c and 23:2d to be specific examples of how Jesus was misleading the people (23:2b), but many commentators consider the statements in 23:2b–d to be three separate charges.</w:t>
      </w:r>
    </w:p>
    <w:p>
      <w:pPr>
        <w:pStyle w:val="Heading5"/>
      </w:pPr>
      <w:r>
        <w:rPr>
          <w:lang w:val="en_US" w:bidi="en_US"/>
        </w:rPr>
        <w:t>23:2b</w:t>
      </w:r>
    </w:p>
    <w:p>
      <w:pPr/>
      <w:r>
        <w:rPr>
          <w:lang w:val="en_US" w:bidi="en_US"/>
        </w:rPr>
      </w:r>
      <w:r>
        <w:rPr>
          <w:b/>
          <w:lang w:val="en_US" w:bidi="en_US"/>
        </w:rPr>
        <w:t>“We found this man subverting our nation,</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discovered that this person is causing trouble among our</w:t>
      </w:r>
      <w:r>
        <w:rPr>
          <w:vertAlign w:val="superscript"/>
          <w:lang w:val="en_US" w:bidi="en_US"/>
        </w:rPr>
        <w:t>(excl)</w:t>
      </w:r>
      <w:r>
        <w:rPr>
          <w:lang w:val="en_US" w:bidi="en_US"/>
        </w:rPr>
        <w:t xml:space="preserve"> people.</w:t>
      </w:r>
    </w:p>
    <w:p>
      <w:pPr>
        <w:pStyle w:val="ListBullet"/>
        <w:spacing w:line="240" w:lineRule="auto"/>
        <w:ind w:left="720"/>
      </w:pPr>
      <w:r>
        <w:rPr>
          <w:lang w:val="en_US" w:bidi="en_US"/>
        </w:rPr>
      </w:r>
      <w:r>
        <w:rPr>
          <w:lang w:val="en_US" w:bidi="en_US"/>
        </w:rPr>
        <w:t>“</w:t>
      </w:r>
      <w:r>
        <w:rPr>
          <w:lang w:val="en_US" w:bidi="en_US"/>
        </w:rPr>
        <w:t>Governor Pilate,</w:t>
      </w:r>
      <w:r>
        <w:rPr>
          <w:lang w:val="en_US" w:bidi="en_US"/>
        </w:rPr>
        <w:t xml:space="preserve"> we</w:t>
      </w:r>
      <w:r>
        <w:rPr>
          <w:vertAlign w:val="superscript"/>
          <w:lang w:val="en_US" w:bidi="en_US"/>
        </w:rPr>
        <w:t>(excl)</w:t>
      </w:r>
      <w:r>
        <w:rPr>
          <w:lang w:val="en_US" w:bidi="en_US"/>
        </w:rPr>
        <w:t xml:space="preserve"> heard this </w:t>
      </w:r>
      <w:r>
        <w:rPr>
          <w:lang w:val="en_US" w:bidi="en_US"/>
        </w:rPr>
        <w:t>Jesus</w:t>
      </w:r>
      <w:r>
        <w:rPr>
          <w:lang w:val="en_US" w:bidi="en_US"/>
        </w:rPr>
        <w:t xml:space="preserve"> telling/influencing our</w:t>
      </w:r>
      <w:r>
        <w:rPr>
          <w:vertAlign w:val="superscript"/>
          <w:lang w:val="en_US" w:bidi="en_US"/>
        </w:rPr>
        <w:t>(excl)</w:t>
      </w:r>
      <w:r>
        <w:rPr>
          <w:lang w:val="en_US" w:bidi="en_US"/>
        </w:rPr>
        <w:t xml:space="preserve"> people to oppose </w:t>
      </w:r>
      <w:r>
        <w:rPr>
          <w:lang w:val="en_US" w:bidi="en_US"/>
        </w:rPr>
        <w:t>the government</w:t>
      </w:r>
      <w:r>
        <w:rPr>
          <w:lang w:val="en_US" w:bidi="en_US"/>
        </w:rPr>
        <w:t>.</w:t>
      </w:r>
    </w:p>
    <w:p>
      <w:pPr/>
      <w:r>
        <w:rPr>
          <w:lang w:val="en_US" w:bidi="en_US"/>
        </w:rPr>
      </w:r>
      <w:r>
        <w:rPr>
          <w:lang w:val="en_US" w:bidi="en_US"/>
        </w:rPr>
        <w:t>In this part of the verse the Jewish leaders made their first formal charge against Jesus. They were speaking respectfully to an important government leader. In some languages there may be a special way to address Pilate respectfully or to introduce their speech. For example:</w:t>
      </w:r>
    </w:p>
    <w:p>
      <w:pPr/>
      <w:r>
        <w:rPr>
          <w:lang w:val="en_US" w:bidi="en_US"/>
        </w:rPr>
      </w:r>
      <w:r>
        <w:rPr>
          <w:lang w:val="en_US" w:bidi="en_US"/>
        </w:rPr>
        <w:t>We greet you, Governor Pilate.</w:t>
      </w:r>
    </w:p>
    <w:p>
      <w:pPr/>
      <w:r>
        <w:rPr>
          <w:lang w:val="en_US" w:bidi="en_US"/>
        </w:rPr>
      </w:r>
      <w:r>
        <w:rPr>
          <w:lang w:val="en_US" w:bidi="en_US"/>
        </w:rPr>
        <w:t>Begin the speech in a respectful way in your language.</w:t>
      </w:r>
    </w:p>
    <w:p>
      <w:pPr/>
      <w:r>
        <w:rPr>
          <w:lang w:val="en_US" w:bidi="en_US"/>
        </w:rPr>
      </w:r>
      <w:r>
        <w:rPr>
          <w:b/>
          <w:lang w:val="en_US" w:bidi="en_US"/>
        </w:rPr>
        <w:t>We found this man subverting our nation:</w:t>
      </w:r>
      <w:r>
        <w:rPr>
          <w:lang w:val="en_US" w:bidi="en_US"/>
        </w:rPr>
        <w:t xml:space="preserve"> Here the Jewish leaders told Pilate that they had discovered Jesus subverting their people. The word </w:t>
      </w:r>
      <w:r>
        <w:rPr>
          <w:i/>
          <w:lang w:val="en_US" w:bidi="en_US"/>
        </w:rPr>
        <w:t>subverting</w:t>
      </w:r>
      <w:r>
        <w:rPr>
          <w:lang w:val="en_US" w:bidi="en_US"/>
        </w:rPr>
        <w:t xml:space="preserve"> implies that Jesus was influencing the people to oppose the Roman government. This was a serious charge against Jesus, but it was not true.</w:t>
      </w:r>
    </w:p>
    <w:p>
      <w:pPr/>
      <w:r>
        <w:rPr>
          <w:lang w:val="en_US" w:bidi="en_US"/>
        </w:rPr>
      </w:r>
      <w:r>
        <w:rPr>
          <w:lang w:val="en_US" w:bidi="en_US"/>
        </w:rPr>
        <w:t>Some other ways to translate this clause are:</w:t>
      </w:r>
    </w:p>
    <w:p>
      <w:pPr/>
      <w:r>
        <w:rPr>
          <w:lang w:val="en_US" w:bidi="en_US"/>
        </w:rPr>
      </w:r>
      <w:r>
        <w:rPr>
          <w:lang w:val="en_US" w:bidi="en_US"/>
        </w:rPr>
        <w:t>We found this man inciting our people to revolt (NJB)</w:t>
      </w:r>
    </w:p>
    <w:p>
      <w:pPr/>
      <w:r>
        <w:rPr>
          <w:lang w:val="en_US" w:bidi="en_US"/>
        </w:rPr>
      </w:r>
      <w:r>
        <w:rPr>
          <w:lang w:val="en_US" w:bidi="en_US"/>
        </w:rPr>
        <w:t>We have investigated this person, and we know that he’s causing trouble in our town</w:t>
      </w:r>
      <w:r>
        <w:rPr>
          <w:lang w:val="en_US" w:bidi="en_US"/>
        </w:rPr>
        <w:t>Western Bukidnon Manobo back translation on TW.</w:t>
      </w:r>
    </w:p>
    <w:p>
      <w:pPr/>
      <w:r>
        <w:rPr>
          <w:lang w:val="en_US" w:bidi="en_US"/>
        </w:rPr>
      </w:r>
      <w:r>
        <w:rPr>
          <w:lang w:val="en_US" w:bidi="en_US"/>
        </w:rPr>
        <w:t>We caught this person in the act of persuading our countrymen the Jews to riot/revolt.</w:t>
      </w:r>
      <w:r>
        <w:rPr>
          <w:lang w:val="en_US" w:bidi="en_US"/>
        </w:rPr>
        <w:t>Kankanaey back translation on TW.</w:t>
      </w:r>
    </w:p>
    <w:p>
      <w:pPr/>
      <w:r>
        <w:rPr>
          <w:lang w:val="en_US" w:bidi="en_US"/>
        </w:rPr>
      </w:r>
      <w:r>
        <w:rPr>
          <w:lang w:val="en_US" w:bidi="en_US"/>
        </w:rPr>
        <w:t>We heard/discovered this man telling our people to be rebellious</w:t>
      </w:r>
      <w:r>
        <w:rPr>
          <w:lang w:val="en_US" w:bidi="en_US"/>
        </w:rPr>
        <w:t xml:space="preserve">The phrase “We found” probably implies that the leaders heard Jesus say the rebellious things, but it may also imply that they investigated by asking other people. Plummer (p. 520) says, “Whether </w:t>
      </w:r>
      <w:r>
        <w:rPr>
          <w:i/>
          <w:lang w:val="en_US" w:bidi="en_US"/>
        </w:rPr>
        <w:t>heuramen</w:t>
      </w:r>
      <w:r>
        <w:rPr>
          <w:lang w:val="en_US" w:bidi="en_US"/>
        </w:rPr>
        <w:t xml:space="preserve"> [‘we found’] refers to ‘catching in the act’ or to ‘discovering by investigation’ is not certain.” In the Gospel of Luke there are many examples of the Jewish leaders listening to Jesus and asking him questions.</w:t>
      </w:r>
    </w:p>
    <w:p>
      <w:pPr/>
      <w:r>
        <w:rPr>
          <w:lang w:val="en_US" w:bidi="en_US"/>
        </w:rPr>
      </w:r>
      <w:r>
        <w:rPr>
          <w:lang w:val="en_US" w:bidi="en_US"/>
        </w:rPr>
        <w:t>Translate the leaders’ false accusation in a way that is natural in your language.</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refers here to the Jewish council members. It does not include Pilate or anyone else who was present.</w:t>
      </w:r>
    </w:p>
    <w:p>
      <w:pPr/>
      <w:r>
        <w:rPr>
          <w:lang w:val="en_US" w:bidi="en_US"/>
        </w:rPr>
      </w:r>
      <w:r>
        <w:rPr>
          <w:b/>
          <w:lang w:val="en_US" w:bidi="en_US"/>
        </w:rPr>
        <w:t>found:</w:t>
      </w:r>
      <w:r>
        <w:rPr>
          <w:lang w:val="en_US" w:bidi="en_US"/>
        </w:rPr>
        <w:t xml:space="preserve"> In this context the verb </w:t>
      </w:r>
      <w:r>
        <w:rPr>
          <w:i/>
          <w:lang w:val="en_US" w:bidi="en_US"/>
        </w:rPr>
        <w:t>found</w:t>
      </w:r>
      <w:r>
        <w:rPr>
          <w:lang w:val="en_US" w:bidi="en_US"/>
        </w:rPr>
        <w:t xml:space="preserve"> means “have discovered.” It probably implies that the leaders heard and saw what Jesus did. It may also imply that they investigated by asking other people.</w:t>
      </w:r>
    </w:p>
    <w:p>
      <w:pPr/>
      <w:r>
        <w:rPr>
          <w:lang w:val="en_US" w:bidi="en_US"/>
        </w:rPr>
      </w:r>
      <w:r>
        <w:rPr>
          <w:b/>
          <w:lang w:val="en_US" w:bidi="en_US"/>
        </w:rPr>
        <w:t>this man:</w:t>
      </w:r>
      <w:r>
        <w:rPr>
          <w:lang w:val="en_US" w:bidi="en_US"/>
        </w:rPr>
        <w:t xml:space="preserve"> The Greek word that the BSB translates as </w:t>
      </w:r>
      <w:r>
        <w:rPr>
          <w:i/>
          <w:lang w:val="en_US" w:bidi="en_US"/>
        </w:rPr>
        <w:t>this man</w:t>
      </w:r>
      <w:r>
        <w:rPr>
          <w:lang w:val="en_US" w:bidi="en_US"/>
        </w:rPr>
        <w:t xml:space="preserve"> means “this one.” It was a disrespectful way to refer to Jesus, and it is emphasized in the sentence.</w:t>
      </w:r>
      <w:r>
        <w:rPr>
          <w:lang w:val="en_US" w:bidi="en_US"/>
        </w:rPr>
        <w:t xml:space="preserve">For more information, see Levinsohn, </w:t>
      </w:r>
      <w:r>
        <w:rPr>
          <w:i/>
          <w:lang w:val="en_US" w:bidi="en_US"/>
        </w:rPr>
        <w:t>Discourse Features of New Testament Greek</w:t>
      </w:r>
      <w:r>
        <w:rPr>
          <w:lang w:val="en_US" w:bidi="en_US"/>
        </w:rPr>
        <w:t>, p. 37.</w:t>
      </w:r>
      <w:r>
        <w:rPr>
          <w:lang w:val="en_US" w:bidi="en_US"/>
        </w:rPr>
        <w:t xml:space="preserve"> Another way to translate this disrespect in English is:</w:t>
      </w:r>
    </w:p>
    <w:p>
      <w:pPr/>
      <w:r>
        <w:rPr>
          <w:lang w:val="en_US" w:bidi="en_US"/>
        </w:rPr>
      </w:r>
      <w:r>
        <w:rPr>
          <w:lang w:val="en_US" w:bidi="en_US"/>
        </w:rPr>
        <w:t>this fellow</w:t>
      </w:r>
    </w:p>
    <w:p>
      <w:pPr/>
      <w:r>
        <w:rPr>
          <w:lang w:val="en_US" w:bidi="en_US"/>
        </w:rPr>
      </w:r>
      <w:r>
        <w:rPr>
          <w:lang w:val="en_US" w:bidi="en_US"/>
        </w:rPr>
        <w:t>Use a natural way in your language to express the disrespect.</w:t>
      </w:r>
    </w:p>
    <w:p>
      <w:pPr/>
      <w:r>
        <w:rPr>
          <w:lang w:val="en_US" w:bidi="en_US"/>
        </w:rPr>
      </w:r>
      <w:r>
        <w:rPr>
          <w:b/>
          <w:lang w:val="en_US" w:bidi="en_US"/>
        </w:rPr>
        <w:t>subverting:</w:t>
      </w:r>
      <w:r>
        <w:rPr>
          <w:lang w:val="en_US" w:bidi="en_US"/>
        </w:rPr>
        <w:t xml:space="preserve"> The Greek word that the BSB translates as </w:t>
      </w:r>
      <w:r>
        <w:rPr>
          <w:i/>
          <w:lang w:val="en_US" w:bidi="en_US"/>
        </w:rPr>
        <w:t>subverting</w:t>
      </w:r>
      <w:r>
        <w:rPr>
          <w:lang w:val="en_US" w:bidi="en_US"/>
        </w:rPr>
        <w:t xml:space="preserve"> means “misleading, perverting.”</w:t>
      </w:r>
      <w:r>
        <w:rPr>
          <w:lang w:val="en_US" w:bidi="en_US"/>
        </w:rPr>
        <w:t xml:space="preserve">See </w:t>
      </w:r>
      <w:r>
        <w:rPr>
          <w:i/>
          <w:lang w:val="en_US" w:bidi="en_US"/>
        </w:rPr>
        <w:t>diastrephō</w:t>
      </w:r>
      <w:r>
        <w:rPr>
          <w:lang w:val="en_US" w:bidi="en_US"/>
        </w:rPr>
        <w:t>, senses 2 and 3, BDAG, p. 237.</w:t>
      </w:r>
      <w:r>
        <w:rPr>
          <w:lang w:val="en_US" w:bidi="en_US"/>
        </w:rPr>
        <w:t xml:space="preserve"> It implies that Jesus was telling the Jewish people to oppose the Roman government. That was not true. If your language has an idiom that expresses the meaning of </w:t>
      </w:r>
      <w:r>
        <w:rPr>
          <w:i/>
          <w:lang w:val="en_US" w:bidi="en_US"/>
        </w:rPr>
        <w:t>subverting</w:t>
      </w:r>
      <w:r>
        <w:rPr>
          <w:lang w:val="en_US" w:bidi="en_US"/>
        </w:rPr>
        <w:t>, you may be able to use it here. Here is another way to translate this:</w:t>
      </w:r>
    </w:p>
    <w:p>
      <w:pPr/>
      <w:r>
        <w:rPr>
          <w:lang w:val="en_US" w:bidi="en_US"/>
        </w:rPr>
      </w:r>
      <w:r>
        <w:rPr>
          <w:lang w:val="en_US" w:bidi="en_US"/>
        </w:rPr>
        <w:t>stirs up trouble (GW)</w:t>
      </w:r>
    </w:p>
    <w:p>
      <w:pPr/>
      <w:r>
        <w:rPr>
          <w:lang w:val="en_US" w:bidi="en_US"/>
        </w:rPr>
      </w:r>
      <w:r>
        <w:rPr>
          <w:b/>
          <w:lang w:val="en_US" w:bidi="en_US"/>
        </w:rPr>
        <w:t>our nation:</w:t>
      </w:r>
      <w:r>
        <w:rPr>
          <w:lang w:val="en_US" w:bidi="en_US"/>
        </w:rPr>
        <w:t xml:space="preserve"> The council members used the phrase </w:t>
      </w:r>
      <w:r>
        <w:rPr>
          <w:i/>
          <w:lang w:val="en_US" w:bidi="en_US"/>
        </w:rPr>
        <w:t>our nation</w:t>
      </w:r>
      <w:r>
        <w:rPr>
          <w:lang w:val="en_US" w:bidi="en_US"/>
        </w:rPr>
        <w:t xml:space="preserve"> to refer to the Jewish people. They were Jews, but Pilate was not a Jew. Use an appropriate form to translate the phrase in your language. For example:</w:t>
      </w:r>
    </w:p>
    <w:p>
      <w:pPr/>
      <w:r>
        <w:rPr>
          <w:lang w:val="en_US" w:bidi="en_US"/>
        </w:rPr>
      </w:r>
      <w:r>
        <w:rPr>
          <w:lang w:val="en_US" w:bidi="en_US"/>
        </w:rPr>
        <w:t>our</w:t>
      </w:r>
      <w:r>
        <w:rPr>
          <w:vertAlign w:val="superscript"/>
          <w:lang w:val="en_US" w:bidi="en_US"/>
        </w:rPr>
        <w:t>(excl)</w:t>
      </w:r>
      <w:r>
        <w:rPr>
          <w:lang w:val="en_US" w:bidi="en_US"/>
        </w:rPr>
        <w:t xml:space="preserve"> people</w:t>
      </w:r>
    </w:p>
    <w:p>
      <w:pPr>
        <w:pStyle w:val="Heading5"/>
      </w:pPr>
      <w:r>
        <w:rPr>
          <w:lang w:val="en_US" w:bidi="en_US"/>
        </w:rPr>
        <w:t>23:2c</w:t>
      </w:r>
    </w:p>
    <w:p>
      <w:pPr/>
      <w:r>
        <w:rPr>
          <w:lang w:val="en_US" w:bidi="en_US"/>
        </w:rPr>
      </w:r>
      <w:r>
        <w:rPr>
          <w:b/>
          <w:lang w:val="en_US" w:bidi="en_US"/>
        </w:rPr>
        <w:t>forbidding payment of taxes to Caesar,</w:t>
      </w:r>
    </w:p>
    <w:p>
      <w:pPr>
        <w:pStyle w:val="ListBullet"/>
        <w:spacing w:line="240" w:lineRule="auto"/>
        <w:ind w:left="720"/>
      </w:pPr>
      <w:r>
        <w:rPr>
          <w:lang w:val="en_US" w:bidi="en_US"/>
        </w:rPr>
      </w:r>
      <w:r>
        <w:rPr>
          <w:lang w:val="en_US" w:bidi="en_US"/>
        </w:rPr>
        <w:t>He says that it is wrong to pay taxes to the emperor,</w:t>
      </w:r>
    </w:p>
    <w:p>
      <w:pPr>
        <w:pStyle w:val="ListBullet"/>
        <w:spacing w:line="240" w:lineRule="auto"/>
        <w:ind w:left="720"/>
      </w:pPr>
      <w:r>
        <w:rPr>
          <w:lang w:val="en_US" w:bidi="en_US"/>
        </w:rPr>
      </w:r>
      <w:r>
        <w:rPr>
          <w:lang w:val="en_US" w:bidi="en_US"/>
        </w:rPr>
        <w:t>He tells us</w:t>
      </w:r>
      <w:r>
        <w:rPr>
          <w:vertAlign w:val="superscript"/>
          <w:lang w:val="en_US" w:bidi="en_US"/>
        </w:rPr>
        <w:t>(excl)</w:t>
      </w:r>
      <w:r>
        <w:rPr>
          <w:lang w:val="en_US" w:bidi="en_US"/>
        </w:rPr>
        <w:t xml:space="preserve"> not to pay taxes to the Roman high king/ruler,</w:t>
      </w:r>
    </w:p>
    <w:p>
      <w:pPr/>
      <w:r>
        <w:rPr>
          <w:lang w:val="en_US" w:bidi="en_US"/>
        </w:rPr>
      </w:r>
      <w:r>
        <w:rPr>
          <w:b/>
          <w:lang w:val="en_US" w:bidi="en_US"/>
        </w:rPr>
        <w:t>forbidding payment of taxes to Caesar:</w:t>
      </w:r>
      <w:r>
        <w:rPr>
          <w:lang w:val="en_US" w:bidi="en_US"/>
        </w:rPr>
        <w:t xml:space="preserve"> Here the council members lied to Pilate. They said that Jesus told people that they should not pay taxes to Caesar. This statement was false, as 20:25 shows.</w:t>
      </w:r>
    </w:p>
    <w:p>
      <w:pPr/>
      <w:r>
        <w:rPr>
          <w:lang w:val="en_US" w:bidi="en_US"/>
        </w:rPr>
      </w:r>
      <w:r>
        <w:rPr>
          <w:lang w:val="en_US" w:bidi="en_US"/>
        </w:rPr>
        <w:t>Some other ways to translate this false statement are:</w:t>
      </w:r>
    </w:p>
    <w:p>
      <w:pPr/>
      <w:r>
        <w:rPr>
          <w:lang w:val="en_US" w:bidi="en_US"/>
        </w:rPr>
      </w:r>
      <w:r>
        <w:rPr>
          <w:lang w:val="en_US" w:bidi="en_US"/>
        </w:rPr>
        <w:t>He has been saying that we</w:t>
      </w:r>
      <w:r>
        <w:rPr>
          <w:vertAlign w:val="superscript"/>
          <w:lang w:val="en_US" w:bidi="en_US"/>
        </w:rPr>
        <w:t>(excl)</w:t>
      </w:r>
      <w:r>
        <w:rPr>
          <w:lang w:val="en_US" w:bidi="en_US"/>
        </w:rPr>
        <w:t xml:space="preserve"> should not pay taxes to Caesar</w:t>
      </w:r>
    </w:p>
    <w:p>
      <w:pPr/>
      <w:r>
        <w:rPr>
          <w:lang w:val="en_US" w:bidi="en_US"/>
        </w:rPr>
      </w:r>
      <w:r>
        <w:rPr>
          <w:lang w:val="en_US" w:bidi="en_US"/>
        </w:rPr>
        <w:t>telling them not to pay taxes to the Emperor (GNT)</w:t>
      </w:r>
    </w:p>
    <w:p>
      <w:pPr/>
      <w:r>
        <w:rPr>
          <w:lang w:val="en_US" w:bidi="en_US"/>
        </w:rPr>
      </w:r>
      <w:r>
        <w:rPr>
          <w:lang w:val="en_US" w:bidi="en_US"/>
        </w:rPr>
        <w:t>he stops/hinders people from paying taxes to Caesar</w:t>
      </w:r>
    </w:p>
    <w:p>
      <w:pPr/>
      <w:r>
        <w:rPr>
          <w:lang w:val="en_US" w:bidi="en_US"/>
        </w:rPr>
      </w:r>
      <w:r>
        <w:rPr>
          <w:b/>
          <w:lang w:val="en_US" w:bidi="en_US"/>
        </w:rPr>
        <w:t>Caesar:</w:t>
      </w:r>
      <w:r>
        <w:rPr>
          <w:lang w:val="en_US" w:bidi="en_US"/>
        </w:rPr>
        <w:t xml:space="preserve"> </w:t>
      </w:r>
      <w:r>
        <w:rPr>
          <w:i/>
          <w:lang w:val="en_US" w:bidi="en_US"/>
        </w:rPr>
        <w:t>Caesar</w:t>
      </w:r>
      <w:r>
        <w:rPr>
          <w:lang w:val="en_US" w:bidi="en_US"/>
        </w:rPr>
        <w:t xml:space="preserve"> was the title given to all the Roman emperors. For more information, see the note at 20:22.</w:t>
      </w:r>
    </w:p>
    <w:p>
      <w:pPr>
        <w:pStyle w:val="Heading5"/>
      </w:pPr>
      <w:r>
        <w:rPr>
          <w:lang w:val="en_US" w:bidi="en_US"/>
        </w:rPr>
        <w:t>23:2d</w:t>
      </w:r>
    </w:p>
    <w:p>
      <w:pPr/>
      <w:r>
        <w:rPr>
          <w:lang w:val="en_US" w:bidi="en_US"/>
        </w:rPr>
      </w:r>
      <w:r>
        <w:rPr>
          <w:b/>
          <w:lang w:val="en_US" w:bidi="en_US"/>
        </w:rPr>
        <w:t>and proclaiming Himself to be Christ, a King.”</w:t>
      </w:r>
    </w:p>
    <w:p>
      <w:pPr>
        <w:pStyle w:val="ListBullet"/>
        <w:spacing w:line="240" w:lineRule="auto"/>
        <w:ind w:left="720"/>
      </w:pPr>
      <w:r>
        <w:rPr>
          <w:lang w:val="en_US" w:bidi="en_US"/>
        </w:rPr>
      </w:r>
      <w:r>
        <w:rPr>
          <w:lang w:val="en_US" w:bidi="en_US"/>
        </w:rPr>
        <w:t xml:space="preserve">and he </w:t>
      </w:r>
      <w:r>
        <w:rPr>
          <w:lang w:val="en_US" w:bidi="en_US"/>
        </w:rPr>
        <w:t>falsely</w:t>
      </w:r>
      <w:r>
        <w:rPr>
          <w:lang w:val="en_US" w:bidi="en_US"/>
        </w:rPr>
        <w:t xml:space="preserve"> says that he is the Messiah, a king!”</w:t>
      </w:r>
    </w:p>
    <w:p>
      <w:pPr>
        <w:pStyle w:val="ListBullet"/>
        <w:spacing w:line="240" w:lineRule="auto"/>
        <w:ind w:left="720"/>
      </w:pPr>
      <w:r>
        <w:rPr>
          <w:lang w:val="en_US" w:bidi="en_US"/>
        </w:rPr>
      </w:r>
      <w:r>
        <w:rPr>
          <w:lang w:val="en_US" w:bidi="en_US"/>
        </w:rPr>
        <w:t xml:space="preserve">and he declares that he is the Christ, </w:t>
      </w:r>
      <w:r>
        <w:rPr>
          <w:lang w:val="en_US" w:bidi="en_US"/>
        </w:rPr>
        <w:t>the one whom God sent to be</w:t>
      </w:r>
      <w:r>
        <w:rPr>
          <w:lang w:val="en_US" w:bidi="en_US"/>
        </w:rPr>
        <w:t xml:space="preserve"> </w:t>
      </w:r>
      <w:r>
        <w:rPr>
          <w:lang w:val="en_US" w:bidi="en_US"/>
        </w:rPr>
        <w:t>our</w:t>
      </w:r>
      <w:r>
        <w:rPr>
          <w:vertAlign w:val="superscript"/>
          <w:lang w:val="en_US" w:bidi="en_US"/>
        </w:rPr>
        <w:t>(excl)</w:t>
      </w:r>
      <w:r>
        <w:rPr>
          <w:lang w:val="en_US" w:bidi="en_US"/>
        </w:rPr>
        <w:t xml:space="preserve"> king.”</w:t>
      </w:r>
    </w:p>
    <w:p>
      <w:pPr/>
      <w:r>
        <w:rPr>
          <w:lang w:val="en_US" w:bidi="en_US"/>
        </w:rPr>
      </w:r>
      <w:r>
        <w:rPr>
          <w:b/>
          <w:lang w:val="en_US" w:bidi="en_US"/>
        </w:rPr>
        <w:t>proclaiming Himself to be Christ:</w:t>
      </w:r>
      <w:r>
        <w:rPr>
          <w:lang w:val="en_US" w:bidi="en_US"/>
        </w:rPr>
        <w:t xml:space="preserve"> The Greek word that the BSB translates as </w:t>
      </w:r>
      <w:r>
        <w:rPr>
          <w:i/>
          <w:lang w:val="en_US" w:bidi="en_US"/>
        </w:rPr>
        <w:t>proclaiming</w:t>
      </w:r>
      <w:r>
        <w:rPr>
          <w:lang w:val="en_US" w:bidi="en_US"/>
        </w:rPr>
        <w:t xml:space="preserve"> is more literally “saying.” The Jewish leaders were telling Pilate what Jesus said about himself. They told Pilate that Jesus called himself </w:t>
      </w:r>
      <w:r>
        <w:rPr>
          <w:i/>
          <w:lang w:val="en_US" w:bidi="en_US"/>
        </w:rPr>
        <w:t>Christ</w:t>
      </w:r>
      <w:r>
        <w:rPr>
          <w:lang w:val="en_US" w:bidi="en_US"/>
        </w:rPr>
        <w:t>. The Jewish leaders did not believe that Jesus was the Christ. In some languages it may be helpful to make this clear by saying:</w:t>
      </w:r>
    </w:p>
    <w:p>
      <w:pPr/>
      <w:r>
        <w:rPr>
          <w:lang w:val="en_US" w:bidi="en_US"/>
        </w:rPr>
      </w:r>
      <w:r>
        <w:rPr>
          <w:lang w:val="en_US" w:bidi="en_US"/>
        </w:rPr>
        <w:t>he falsely</w:t>
      </w:r>
      <w:r>
        <w:rPr>
          <w:lang w:val="en_US" w:bidi="en_US"/>
        </w:rPr>
        <w:t xml:space="preserve"> says that he is Christ</w:t>
      </w:r>
    </w:p>
    <w:p>
      <w:pPr/>
      <w:r>
        <w:rPr>
          <w:lang w:val="en_US" w:bidi="en_US"/>
        </w:rPr>
      </w:r>
      <w:r>
        <w:rPr>
          <w:b/>
          <w:lang w:val="en_US" w:bidi="en_US"/>
        </w:rPr>
        <w:t>Christ, a King:</w:t>
      </w:r>
      <w:r>
        <w:rPr>
          <w:lang w:val="en_US" w:bidi="en_US"/>
        </w:rPr>
        <w:t xml:space="preserve"> The Greek phrase that the BSB translates as </w:t>
      </w:r>
      <w:r>
        <w:rPr>
          <w:i/>
          <w:lang w:val="en_US" w:bidi="en_US"/>
        </w:rPr>
        <w:t>Christ, a King</w:t>
      </w:r>
      <w:r>
        <w:rPr>
          <w:lang w:val="en_US" w:bidi="en_US"/>
        </w:rPr>
        <w:t xml:space="preserve"> is literally “Christ king.” The Jewish leaders added the word </w:t>
      </w:r>
      <w:r>
        <w:rPr>
          <w:i/>
          <w:lang w:val="en_US" w:bidi="en_US"/>
        </w:rPr>
        <w:t>King</w:t>
      </w:r>
      <w:r>
        <w:rPr>
          <w:lang w:val="en_US" w:bidi="en_US"/>
        </w:rPr>
        <w:t xml:space="preserve"> to explain or emphasize the meaning of the title </w:t>
      </w:r>
      <w:r>
        <w:rPr>
          <w:i/>
          <w:lang w:val="en_US" w:bidi="en_US"/>
        </w:rPr>
        <w:t>Christ</w:t>
      </w:r>
      <w:r>
        <w:rPr>
          <w:lang w:val="en_US" w:bidi="en_US"/>
        </w:rPr>
        <w:t xml:space="preserve"> to Pilate. They may have thought that because Pilate was not Jewish, he might not know the meaning that Jewish people gave to the word </w:t>
      </w:r>
      <w:r>
        <w:rPr>
          <w:i/>
          <w:lang w:val="en_US" w:bidi="en_US"/>
        </w:rPr>
        <w:t>Christ</w:t>
      </w:r>
      <w:r>
        <w:rPr>
          <w:lang w:val="en_US" w:bidi="en_US"/>
        </w:rPr>
        <w:t>.</w:t>
      </w:r>
    </w:p>
    <w:p>
      <w:pPr/>
      <w:r>
        <w:rPr>
          <w:lang w:val="en_US" w:bidi="en_US"/>
        </w:rPr>
      </w:r>
      <w:r>
        <w:rPr>
          <w:lang w:val="en_US" w:bidi="en_US"/>
        </w:rPr>
        <w:t xml:space="preserve">In some languages it is necessary to make the connection between </w:t>
      </w:r>
      <w:r>
        <w:rPr>
          <w:i/>
          <w:lang w:val="en_US" w:bidi="en_US"/>
        </w:rPr>
        <w:t>Christ</w:t>
      </w:r>
      <w:r>
        <w:rPr>
          <w:lang w:val="en_US" w:bidi="en_US"/>
        </w:rPr>
        <w:t xml:space="preserve"> and </w:t>
      </w:r>
      <w:r>
        <w:rPr>
          <w:i/>
          <w:lang w:val="en_US" w:bidi="en_US"/>
        </w:rPr>
        <w:t>King</w:t>
      </w:r>
      <w:r>
        <w:rPr>
          <w:lang w:val="en_US" w:bidi="en_US"/>
        </w:rPr>
        <w:t xml:space="preserve"> more explicit. For example:</w:t>
      </w:r>
    </w:p>
    <w:p>
      <w:pPr/>
      <w:r>
        <w:rPr>
          <w:lang w:val="en_US" w:bidi="en_US"/>
        </w:rPr>
      </w:r>
      <w:r>
        <w:rPr>
          <w:lang w:val="en_US" w:bidi="en_US"/>
        </w:rPr>
        <w:t>Christ, meaning “king”</w:t>
      </w:r>
    </w:p>
    <w:p>
      <w:pPr/>
      <w:r>
        <w:rPr>
          <w:lang w:val="en_US" w:bidi="en_US"/>
        </w:rPr>
      </w:r>
      <w:r>
        <w:rPr>
          <w:lang w:val="en_US" w:bidi="en_US"/>
        </w:rPr>
        <w:t>Since the Jews referred to a specifically Jewish king, you may need to indicate that here. It also provides the implied connection with Pilate’s question in 23:3a, “Are you the king of the Jews?” For example:</w:t>
      </w:r>
    </w:p>
    <w:p>
      <w:pPr/>
      <w:r>
        <w:rPr>
          <w:lang w:val="en_US" w:bidi="en_US"/>
        </w:rPr>
      </w:r>
      <w:r>
        <w:rPr>
          <w:lang w:val="en_US" w:bidi="en_US"/>
        </w:rPr>
        <w:t>Messiah, our king (CEV)</w:t>
      </w:r>
    </w:p>
    <w:p>
      <w:pPr/>
      <w:r>
        <w:rPr>
          <w:lang w:val="en_US" w:bidi="en_US"/>
        </w:rPr>
      </w:r>
      <w:r>
        <w:rPr>
          <w:b/>
          <w:lang w:val="en_US" w:bidi="en_US"/>
        </w:rPr>
        <w:t>Christ:</w:t>
      </w:r>
      <w:r>
        <w:rPr>
          <w:lang w:val="en_US" w:bidi="en_US"/>
        </w:rPr>
        <w:t xml:space="preserve"> The Jews used the title </w:t>
      </w:r>
      <w:r>
        <w:rPr>
          <w:i/>
          <w:lang w:val="en_US" w:bidi="en_US"/>
        </w:rPr>
        <w:t>Christ</w:t>
      </w:r>
      <w:r>
        <w:rPr>
          <w:lang w:val="en_US" w:bidi="en_US"/>
        </w:rPr>
        <w:t xml:space="preserve"> to refer to the person whom God had appointed and promised to send as king and savior. The title </w:t>
      </w:r>
      <w:r>
        <w:rPr>
          <w:i/>
          <w:lang w:val="en_US" w:bidi="en_US"/>
        </w:rPr>
        <w:t>Christ</w:t>
      </w:r>
      <w:r>
        <w:rPr>
          <w:lang w:val="en_US" w:bidi="en_US"/>
        </w:rPr>
        <w:t xml:space="preserve"> is the Greek translation of the Hebrew word “Messiah,” and the two words have the same meaning.</w:t>
      </w:r>
    </w:p>
    <w:p>
      <w:pPr/>
      <w:r>
        <w:rPr>
          <w:lang w:val="en_US" w:bidi="en_US"/>
        </w:rPr>
      </w:r>
      <w:r>
        <w:rPr>
          <w:lang w:val="en_US" w:bidi="en_US"/>
        </w:rPr>
        <w:t>Some ways to translate Christ in this context are:</w:t>
      </w:r>
    </w:p>
    <w:p>
      <w:pPr>
        <w:pStyle w:val="ListBullet"/>
        <w:spacing w:line="240" w:lineRule="auto"/>
        <w:ind w:left="720"/>
      </w:pPr>
      <w:r>
        <w:rPr>
          <w:lang w:val="en_US" w:bidi="en_US"/>
        </w:rPr>
      </w:r>
      <w:r>
        <w:rPr>
          <w:lang w:val="en_US" w:bidi="en_US"/>
        </w:rPr>
        <w:t xml:space="preserve">Use a title or a descriptive phrase in your language that has the same meaning as </w:t>
      </w:r>
      <w:r>
        <w:rPr>
          <w:i/>
          <w:lang w:val="en_US" w:bidi="en_US"/>
        </w:rPr>
        <w:t>Christ</w:t>
      </w:r>
      <w:r>
        <w:rPr>
          <w:lang w:val="en_US" w:bidi="en_US"/>
        </w:rPr>
        <w:t>. For example:</w:t>
      </w:r>
      <w:r>
        <w:rPr>
          <w:lang w:val="en_US" w:bidi="en_US"/>
        </w:rPr>
        <w:t>Messiah</w:t>
      </w:r>
      <w:r>
        <w:rPr>
          <w:lang w:val="en_US" w:bidi="en_US"/>
        </w:rPr>
        <w:t>Promised Deliverer</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include a phrase that explains the meaning. For example:</w:t>
      </w:r>
      <w:r>
        <w:rPr>
          <w:lang w:val="en_US" w:bidi="en_US"/>
        </w:rPr>
        <w:t>Christ, the appointed one</w:t>
      </w:r>
      <w:r>
        <w:rPr>
          <w:lang w:val="en_US" w:bidi="en_US"/>
        </w:rPr>
        <w:t>Cristo, the Savior whom God promised to send</w:t>
      </w:r>
      <w:r>
        <w:rPr>
          <w:lang w:val="en_US" w:bidi="en_US"/>
        </w:rPr>
        <w:t xml:space="preserve">the Christ who comes from God </w:t>
      </w:r>
      <w:r>
        <w:rPr>
          <w:i/>
          <w:lang w:val="en_US" w:bidi="en_US"/>
        </w:rPr>
        <w:t>If you usually use this option to translate Christ, you may want to shorten the phrase that explains the meaning. Or you may want to substitute the word “king” for the usual phrase.</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indicate in some way that it is a title. For example:</w:t>
      </w:r>
      <w:r>
        <w:rPr>
          <w:lang w:val="en_US" w:bidi="en_US"/>
        </w:rPr>
        <w:t>the Christ</w:t>
      </w:r>
      <w:r>
        <w:rPr>
          <w:lang w:val="en_US" w:bidi="en_US"/>
        </w:rPr>
        <w:t>the Kirisita</w:t>
      </w:r>
    </w:p>
    <w:p>
      <w:pPr/>
      <w:r>
        <w:rPr>
          <w:lang w:val="en_US" w:bidi="en_US"/>
        </w:rPr>
      </w:r>
      <w:r>
        <w:rPr>
          <w:lang w:val="en_US" w:bidi="en_US"/>
        </w:rPr>
        <w:t xml:space="preserve">The title </w:t>
      </w:r>
      <w:r>
        <w:rPr>
          <w:i/>
          <w:lang w:val="en_US" w:bidi="en_US"/>
        </w:rPr>
        <w:t>Christ</w:t>
      </w:r>
      <w:r>
        <w:rPr>
          <w:lang w:val="en_US" w:bidi="en_US"/>
        </w:rPr>
        <w:t xml:space="preserve"> also occurred in 20:41. Most of the information in the note at 20:41b is repeated here. For more information, see Christ, in the Glossary.</w:t>
      </w:r>
      <w:r>
        <w:rPr>
          <w:lang w:val="en_US" w:bidi="en_US"/>
        </w:rPr>
      </w:r>
      <w:r>
        <w:rPr>
          <w:lang w:val="en_US" w:bidi="en_US"/>
        </w:rPr>
      </w:r>
    </w:p>
    <w:p>
      <w:pPr/>
      <w:r>
        <w:rPr>
          <w:lang w:val="en_US" w:bidi="en_US"/>
        </w:rPr>
      </w:r>
    </w:p>
    <w:p>
      <w:pPr>
        <w:pStyle w:val="Heading2"/>
      </w:pPr>
      <w:r>
        <w:rPr>
          <w:lang w:val="en_US" w:bidi="en_US"/>
        </w:rPr>
        <w:t>Luke 23:3</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23:3a</w:t>
      </w:r>
    </w:p>
    <w:p>
      <w:pPr/>
      <w:r>
        <w:rPr>
          <w:lang w:val="en_US" w:bidi="en_US"/>
        </w:rPr>
      </w:r>
      <w:r>
        <w:rPr>
          <w:b/>
          <w:lang w:val="en_US" w:bidi="en_US"/>
        </w:rPr>
        <w:t>So Pilate asked Him, “Are You the King of the Jews?”</w:t>
      </w:r>
    </w:p>
    <w:p>
      <w:pPr>
        <w:pStyle w:val="ListBullet"/>
        <w:spacing w:line="240" w:lineRule="auto"/>
        <w:ind w:left="720"/>
      </w:pPr>
      <w:r>
        <w:rPr>
          <w:lang w:val="en_US" w:bidi="en_US"/>
        </w:rPr>
      </w:r>
      <w:r>
        <w:rPr>
          <w:lang w:val="en_US" w:bidi="en_US"/>
        </w:rPr>
        <w:t>So Pilate asked Jesus, “Are you</w:t>
      </w:r>
      <w:r>
        <w:rPr>
          <w:vertAlign w:val="superscript"/>
          <w:lang w:val="en_US" w:bidi="en_US"/>
        </w:rPr>
        <w:t>(sing)</w:t>
      </w:r>
      <w:r>
        <w:rPr>
          <w:lang w:val="en_US" w:bidi="en_US"/>
        </w:rPr>
        <w:t xml:space="preserve"> really the king of the Jews?”</w:t>
      </w:r>
    </w:p>
    <w:p>
      <w:pPr>
        <w:pStyle w:val="ListBullet"/>
        <w:spacing w:line="240" w:lineRule="auto"/>
        <w:ind w:left="720"/>
      </w:pPr>
      <w:r>
        <w:rPr>
          <w:lang w:val="en_US" w:bidi="en_US"/>
        </w:rPr>
      </w:r>
      <w:r>
        <w:rPr>
          <w:lang w:val="en_US" w:bidi="en_US"/>
        </w:rPr>
        <w:t>Then Pilate asked Jesus, “So you</w:t>
      </w:r>
      <w:r>
        <w:rPr>
          <w:vertAlign w:val="superscript"/>
          <w:lang w:val="en_US" w:bidi="en_US"/>
        </w:rPr>
        <w:t>(sing)</w:t>
      </w:r>
      <w:r>
        <w:rPr>
          <w:lang w:val="en_US" w:bidi="en_US"/>
        </w:rPr>
        <w:t xml:space="preserve"> are the king of the Jews, are you?”</w:t>
      </w:r>
    </w:p>
    <w:p>
      <w:pPr/>
      <w:r>
        <w:rPr>
          <w:lang w:val="en_US" w:bidi="en_US"/>
        </w:rPr>
      </w:r>
      <w:r>
        <w:rPr>
          <w:b/>
          <w:lang w:val="en_US" w:bidi="en_US"/>
        </w:rPr>
        <w:t>So Pilate asked Him:</w:t>
      </w:r>
      <w:r>
        <w:rPr>
          <w:lang w:val="en_US" w:bidi="en_US"/>
        </w:rPr>
        <w:t xml:space="preserve"> This clause indicates that after Pilate heard the charges against Jesus, he asked Jesus the question in this verse. Some other ways to introduce this question are:</w:t>
      </w:r>
    </w:p>
    <w:p>
      <w:pPr/>
      <w:r>
        <w:rPr>
          <w:lang w:val="en_US" w:bidi="en_US"/>
        </w:rPr>
      </w:r>
      <w:r>
        <w:rPr>
          <w:lang w:val="en_US" w:bidi="en_US"/>
        </w:rPr>
        <w:t>Then Pilate asked him (NRSV)</w:t>
      </w:r>
    </w:p>
    <w:p>
      <w:pPr/>
      <w:r>
        <w:rPr>
          <w:lang w:val="en_US" w:bidi="en_US"/>
        </w:rPr>
      </w:r>
      <w:r>
        <w:rPr>
          <w:lang w:val="en_US" w:bidi="en_US"/>
        </w:rPr>
        <w:t>Pilate asked Jesus (CEV)</w:t>
      </w:r>
    </w:p>
    <w:p>
      <w:pPr/>
      <w:r>
        <w:rPr>
          <w:lang w:val="en_US" w:bidi="en_US"/>
        </w:rPr>
      </w:r>
      <w:r>
        <w:rPr>
          <w:lang w:val="en_US" w:bidi="en_US"/>
        </w:rPr>
        <w:t xml:space="preserve">When Pilate </w:t>
      </w:r>
      <w:r>
        <w:rPr>
          <w:lang w:val="en_US" w:bidi="en_US"/>
        </w:rPr>
        <w:t>heard these charges</w:t>
      </w:r>
      <w:r>
        <w:rPr>
          <w:lang w:val="en_US" w:bidi="en_US"/>
        </w:rPr>
        <w:t>, he asked Jesus</w:t>
      </w:r>
    </w:p>
    <w:p>
      <w:pPr/>
      <w:r>
        <w:rPr>
          <w:lang w:val="en_US" w:bidi="en_US"/>
        </w:rPr>
      </w:r>
      <w:r>
        <w:rPr>
          <w:b/>
          <w:lang w:val="en_US" w:bidi="en_US"/>
        </w:rPr>
        <w:t>Are You the King of the Jews?:</w:t>
      </w:r>
      <w:r>
        <w:rPr>
          <w:lang w:val="en_US" w:bidi="en_US"/>
        </w:rPr>
        <w:t xml:space="preserve"> Here Pilate asked Jesus about the accusation of the Jews in 23:2d. He was asking if Jesus really claimed to be the king of the Jews, as the leaders had said. Some other ways to translate the question are:</w:t>
      </w:r>
    </w:p>
    <w:p>
      <w:pPr/>
      <w:r>
        <w:rPr>
          <w:lang w:val="en_US" w:bidi="en_US"/>
        </w:rPr>
      </w:r>
      <w:r>
        <w:rPr>
          <w:lang w:val="en_US" w:bidi="en_US"/>
        </w:rPr>
        <w:t>Are you really the king of the Jews?</w:t>
      </w:r>
    </w:p>
    <w:p>
      <w:pPr/>
      <w:r>
        <w:rPr>
          <w:lang w:val="en_US" w:bidi="en_US"/>
        </w:rPr>
      </w:r>
      <w:r>
        <w:rPr>
          <w:lang w:val="en_US" w:bidi="en_US"/>
        </w:rPr>
        <w:t>Is it true that you are the king of the Jews?</w:t>
      </w:r>
    </w:p>
    <w:p>
      <w:pPr/>
      <w:r>
        <w:rPr>
          <w:lang w:val="en_US" w:bidi="en_US"/>
        </w:rPr>
      </w:r>
      <w:r>
        <w:rPr>
          <w:lang w:val="en_US" w:bidi="en_US"/>
        </w:rPr>
        <w:t xml:space="preserve">In Greek the word </w:t>
      </w:r>
      <w:r>
        <w:rPr>
          <w:i/>
          <w:lang w:val="en_US" w:bidi="en_US"/>
        </w:rPr>
        <w:t>You</w:t>
      </w:r>
      <w:r>
        <w:rPr>
          <w:lang w:val="en_US" w:bidi="en_US"/>
        </w:rPr>
        <w:t xml:space="preserve"> is emphatic. It implies here that Pilate was mocking Jesus by implying that he did not seem like a king.</w:t>
      </w:r>
      <w:r>
        <w:rPr>
          <w:lang w:val="en_US" w:bidi="en_US"/>
        </w:rPr>
        <w:t>The previous night Jesus had been beaten and mistreated, so he was bruised, and his clothes were probably dirty and maybe torn. He probably had not slept much, if at all. Parallel passages indicate that he was also bound.</w:t>
      </w:r>
      <w:r>
        <w:rPr>
          <w:lang w:val="en_US" w:bidi="en_US"/>
        </w:rPr>
        <w:t xml:space="preserve"> If possible, it is good to imply that mocking attitude in your translation. Another way to translate it in English is:</w:t>
      </w:r>
    </w:p>
    <w:p>
      <w:pPr/>
      <w:r>
        <w:rPr>
          <w:lang w:val="en_US" w:bidi="en_US"/>
        </w:rPr>
      </w:r>
      <w:r>
        <w:rPr>
          <w:lang w:val="en_US" w:bidi="en_US"/>
        </w:rPr>
        <w:t>So you are the king of the Jews, are you?</w:t>
      </w:r>
    </w:p>
    <w:p>
      <w:pPr/>
      <w:r>
        <w:rPr>
          <w:lang w:val="en_US" w:bidi="en_US"/>
        </w:rPr>
      </w:r>
      <w:r>
        <w:rPr>
          <w:lang w:val="en_US" w:bidi="en_US"/>
        </w:rPr>
        <w:t>Translate the question in a natural way in your language.</w:t>
      </w:r>
    </w:p>
    <w:p>
      <w:pPr/>
      <w:r>
        <w:rPr>
          <w:lang w:val="en_US" w:bidi="en_US"/>
        </w:rPr>
      </w:r>
      <w:r>
        <w:rPr>
          <w:b/>
          <w:lang w:val="en_US" w:bidi="en_US"/>
        </w:rPr>
        <w:t>the King of the Jews:</w:t>
      </w:r>
      <w:r>
        <w:rPr>
          <w:lang w:val="en_US" w:bidi="en_US"/>
        </w:rPr>
        <w:t xml:space="preserve"> The phrase </w:t>
      </w:r>
      <w:r>
        <w:rPr>
          <w:i/>
          <w:lang w:val="en_US" w:bidi="en_US"/>
        </w:rPr>
        <w:t>the King of the Jews</w:t>
      </w:r>
      <w:r>
        <w:rPr>
          <w:lang w:val="en_US" w:bidi="en_US"/>
        </w:rPr>
        <w:t xml:space="preserve"> means “the ruler of the Jewish people.” Some other ways to translate it are:</w:t>
      </w:r>
    </w:p>
    <w:p>
      <w:pPr/>
      <w:r>
        <w:rPr>
          <w:lang w:val="en_US" w:bidi="en_US"/>
        </w:rPr>
      </w:r>
      <w:r>
        <w:rPr>
          <w:lang w:val="en_US" w:bidi="en_US"/>
        </w:rPr>
        <w:t>king/ruler of the Jewish people</w:t>
      </w:r>
    </w:p>
    <w:p>
      <w:pPr/>
      <w:r>
        <w:rPr>
          <w:lang w:val="en_US" w:bidi="en_US"/>
        </w:rPr>
      </w:r>
      <w:r>
        <w:rPr>
          <w:lang w:val="en_US" w:bidi="en_US"/>
        </w:rPr>
        <w:t>one who rules the Jewish people</w:t>
      </w:r>
    </w:p>
    <w:p>
      <w:pPr/>
      <w:r>
        <w:rPr>
          <w:lang w:val="en_US" w:bidi="en_US"/>
        </w:rPr>
      </w:r>
      <w:r>
        <w:rPr>
          <w:b/>
          <w:lang w:val="en_US" w:bidi="en_US"/>
        </w:rPr>
        <w:t>Jews:</w:t>
      </w:r>
      <w:r>
        <w:rPr>
          <w:lang w:val="en_US" w:bidi="en_US"/>
        </w:rPr>
        <w:t xml:space="preserve"> The word </w:t>
      </w:r>
      <w:r>
        <w:rPr>
          <w:i/>
          <w:lang w:val="en_US" w:bidi="en_US"/>
        </w:rPr>
        <w:t>Jews</w:t>
      </w:r>
      <w:r>
        <w:rPr>
          <w:lang w:val="en_US" w:bidi="en_US"/>
        </w:rPr>
        <w:t xml:space="preserve"> appears in 7:3, where the BSB translated it as “Jewish.” You could write it in a similar way here.</w:t>
      </w:r>
    </w:p>
    <w:p>
      <w:pPr>
        <w:pStyle w:val="Heading5"/>
      </w:pPr>
      <w:r>
        <w:rPr>
          <w:lang w:val="en_US" w:bidi="en_US"/>
        </w:rPr>
        <w:t>23:3b</w:t>
      </w:r>
    </w:p>
    <w:p>
      <w:pPr/>
      <w:r>
        <w:rPr>
          <w:lang w:val="en_US" w:bidi="en_US"/>
        </w:rPr>
      </w:r>
      <w:r>
        <w:rPr>
          <w:b/>
          <w:lang w:val="en_US" w:bidi="en_US"/>
        </w:rPr>
        <w:t>“You have said so,” Jesus replied.</w:t>
      </w:r>
    </w:p>
    <w:p>
      <w:pPr>
        <w:pStyle w:val="ListBullet"/>
        <w:spacing w:line="240" w:lineRule="auto"/>
        <w:ind w:left="720"/>
      </w:pPr>
      <w:r>
        <w:rPr>
          <w:lang w:val="en_US" w:bidi="en_US"/>
        </w:rPr>
      </w:r>
      <w:r>
        <w:rPr>
          <w:lang w:val="en_US" w:bidi="en_US"/>
        </w:rPr>
        <w:t>Jesus answered, “What you</w:t>
      </w:r>
      <w:r>
        <w:rPr>
          <w:vertAlign w:val="superscript"/>
          <w:lang w:val="en_US" w:bidi="en_US"/>
        </w:rPr>
        <w:t>(sing)</w:t>
      </w:r>
      <w:r>
        <w:rPr>
          <w:lang w:val="en_US" w:bidi="en_US"/>
        </w:rPr>
        <w:t xml:space="preserve"> have said is right/correct.”</w:t>
      </w:r>
    </w:p>
    <w:p>
      <w:pPr>
        <w:pStyle w:val="ListBullet"/>
        <w:spacing w:line="240" w:lineRule="auto"/>
        <w:ind w:left="720"/>
      </w:pPr>
      <w:r>
        <w:rPr>
          <w:lang w:val="en_US" w:bidi="en_US"/>
        </w:rPr>
      </w:r>
      <w:r>
        <w:rPr>
          <w:lang w:val="en_US" w:bidi="en_US"/>
        </w:rPr>
        <w:t>Then Jesus replied to Pilate, saying, “Yes, I am, just as you</w:t>
      </w:r>
      <w:r>
        <w:rPr>
          <w:vertAlign w:val="superscript"/>
          <w:lang w:val="en_US" w:bidi="en_US"/>
        </w:rPr>
        <w:t>(sing)</w:t>
      </w:r>
      <w:r>
        <w:rPr>
          <w:lang w:val="en_US" w:bidi="en_US"/>
        </w:rPr>
        <w:t xml:space="preserve"> say.”</w:t>
      </w:r>
    </w:p>
    <w:p>
      <w:pPr/>
      <w:r>
        <w:rPr>
          <w:lang w:val="en_US" w:bidi="en_US"/>
        </w:rPr>
      </w:r>
      <w:r>
        <w:rPr>
          <w:b/>
          <w:lang w:val="en_US" w:bidi="en_US"/>
        </w:rPr>
        <w:t>You have said so:</w:t>
      </w:r>
      <w:r>
        <w:rPr>
          <w:lang w:val="en_US" w:bidi="en_US"/>
        </w:rPr>
        <w:t xml:space="preserve"> The Greek clause that the BSB translates as </w:t>
      </w:r>
      <w:r>
        <w:rPr>
          <w:i/>
          <w:lang w:val="en_US" w:bidi="en_US"/>
        </w:rPr>
        <w:t>You have said so</w:t>
      </w:r>
      <w:r>
        <w:rPr>
          <w:lang w:val="en_US" w:bidi="en_US"/>
        </w:rPr>
        <w:t xml:space="preserve"> is literally “You</w:t>
      </w:r>
      <w:r>
        <w:rPr>
          <w:vertAlign w:val="superscript"/>
          <w:lang w:val="en_US" w:bidi="en_US"/>
        </w:rPr>
        <w:t>(sing)</w:t>
      </w:r>
      <w:r>
        <w:rPr>
          <w:lang w:val="en_US" w:bidi="en_US"/>
        </w:rPr>
        <w:t xml:space="preserve"> are saying </w:t>
      </w:r>
      <w:r>
        <w:rPr>
          <w:lang w:val="en_US" w:bidi="en_US"/>
        </w:rPr>
        <w:t>it</w:t>
      </w:r>
      <w:r>
        <w:rPr>
          <w:lang w:val="en_US" w:bidi="en_US"/>
        </w:rPr>
        <w:t>.” Jesus agreed that he was the king of the Jews.</w:t>
      </w:r>
      <w:r>
        <w:rPr>
          <w:lang w:val="en_US" w:bidi="en_US"/>
        </w:rPr>
        <w:t>Jesus’ answer here was similar to his answer to the Jewish council in 22:70b, but there is an important difference. In 22:70b Jesus directly agreed that he is the Son of God. Here in 23:3, Jesus knew that when Pilate used the word “king” in his question, he implied that Jesus wanted to rebel against the Roman government. So Jesus agreed more indirectly. In John 18:33–37 he explained to Pilate that his kingdom was not an earthly one.</w:t>
      </w:r>
      <w:r>
        <w:rPr>
          <w:lang w:val="en_US" w:bidi="en_US"/>
        </w:rPr>
        <w:t xml:space="preserve"> He was not denying it. However, Jesus was not rebelling against the Roman government. In John 18:33 Jesus said that his kingdom “is not of this world.” For this reason, some English versions, like the BSB, translate Jesus’ answer as an indirect agreement. Other versions translate the answer as a direct agreement. For example:</w:t>
      </w:r>
    </w:p>
    <w:p>
      <w:pPr/>
      <w:r>
        <w:rPr>
          <w:lang w:val="en_US" w:bidi="en_US"/>
        </w:rPr>
      </w:r>
      <w:r>
        <w:rPr>
          <w:lang w:val="en_US" w:bidi="en_US"/>
        </w:rPr>
        <w:t>Yes, it is as you say (NIV)</w:t>
      </w:r>
    </w:p>
    <w:p>
      <w:pPr/>
      <w:r>
        <w:rPr>
          <w:lang w:val="en_US" w:bidi="en_US"/>
        </w:rPr>
      </w:r>
      <w:r>
        <w:rPr>
          <w:lang w:val="en_US" w:bidi="en_US"/>
        </w:rPr>
        <w:t>Some other ways to translate the clause are:</w:t>
      </w:r>
    </w:p>
    <w:p>
      <w:pPr/>
      <w:r>
        <w:rPr>
          <w:lang w:val="en_US" w:bidi="en_US"/>
        </w:rPr>
      </w:r>
      <w:r>
        <w:rPr>
          <w:lang w:val="en_US" w:bidi="en_US"/>
        </w:rPr>
        <w:t>It is as you say. (NASB)</w:t>
      </w:r>
    </w:p>
    <w:p>
      <w:pPr/>
      <w:r>
        <w:rPr>
          <w:lang w:val="en_US" w:bidi="en_US"/>
        </w:rPr>
      </w:r>
      <w:r>
        <w:rPr>
          <w:lang w:val="en_US" w:bidi="en_US"/>
        </w:rPr>
        <w:t>You say correctly.</w:t>
      </w:r>
    </w:p>
    <w:p>
      <w:pPr/>
      <w:r>
        <w:rPr>
          <w:lang w:val="en_US" w:bidi="en_US"/>
        </w:rPr>
      </w:r>
      <w:r>
        <w:rPr>
          <w:lang w:val="en_US" w:bidi="en_US"/>
        </w:rPr>
        <w:t>Yes, I am, as you say.</w:t>
      </w:r>
    </w:p>
    <w:p>
      <w:pPr/>
      <w:r>
        <w:rPr>
          <w:lang w:val="en_US" w:bidi="en_US"/>
        </w:rPr>
      </w:r>
      <w:r>
        <w:rPr>
          <w:b/>
          <w:lang w:val="en_US" w:bidi="en_US"/>
        </w:rPr>
        <w:t>Jesus replied:</w:t>
      </w:r>
      <w:r>
        <w:rPr>
          <w:lang w:val="en_US" w:bidi="en_US"/>
        </w:rPr>
        <w:t xml:space="preserve"> The Greek phrase that the BSB translates as </w:t>
      </w:r>
      <w:r>
        <w:rPr>
          <w:i/>
          <w:lang w:val="en_US" w:bidi="en_US"/>
        </w:rPr>
        <w:t>Jesus replied</w:t>
      </w:r>
      <w:r>
        <w:rPr>
          <w:lang w:val="en_US" w:bidi="en_US"/>
        </w:rPr>
        <w:t xml:space="preserve"> comes at the beginning of 23:3b. It is more literally, “and having answered him, he said.” Place this phrase where it is natural in your language. If you place it at the beginning of 23:3b, translate the connection with 23:3a in a natural way in your language. For example:</w:t>
      </w:r>
    </w:p>
    <w:p>
      <w:pPr/>
      <w:r>
        <w:rPr>
          <w:lang w:val="en_US" w:bidi="en_US"/>
        </w:rPr>
      </w:r>
      <w:r>
        <w:rPr>
          <w:lang w:val="en_US" w:bidi="en_US"/>
        </w:rPr>
        <w:t>Then Jesus answered him, saying</w:t>
      </w:r>
      <w:r>
        <w:rPr>
          <w:lang w:val="en_US" w:bidi="en_US"/>
        </w:rPr>
      </w:r>
      <w:r>
        <w:rPr>
          <w:lang w:val="en_US" w:bidi="en_US"/>
        </w:rPr>
      </w:r>
    </w:p>
    <w:p>
      <w:pPr/>
      <w:r>
        <w:rPr>
          <w:lang w:val="en_US" w:bidi="en_US"/>
        </w:rPr>
      </w:r>
    </w:p>
    <w:p>
      <w:pPr>
        <w:pStyle w:val="Heading2"/>
      </w:pPr>
      <w:r>
        <w:rPr>
          <w:lang w:val="en_US" w:bidi="en_US"/>
        </w:rPr>
        <w:t>Luke 23:4</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23:4a</w:t>
      </w:r>
    </w:p>
    <w:p>
      <w:pPr/>
      <w:r>
        <w:rPr>
          <w:lang w:val="en_US" w:bidi="en_US"/>
        </w:rPr>
      </w:r>
      <w:r>
        <w:rPr>
          <w:b/>
          <w:lang w:val="en_US" w:bidi="en_US"/>
        </w:rPr>
        <w:t>Then Pilate said to the chief priests and the crowds,</w:t>
      </w:r>
    </w:p>
    <w:p>
      <w:pPr>
        <w:pStyle w:val="ListBullet"/>
        <w:spacing w:line="240" w:lineRule="auto"/>
        <w:ind w:left="720"/>
      </w:pPr>
      <w:r>
        <w:rPr>
          <w:lang w:val="en_US" w:bidi="en_US"/>
        </w:rPr>
      </w:r>
      <w:r>
        <w:rPr>
          <w:lang w:val="en_US" w:bidi="en_US"/>
        </w:rPr>
        <w:t>¶ Then Pilate said to the leaders of the priests and to the people,</w:t>
      </w:r>
    </w:p>
    <w:p>
      <w:pPr>
        <w:pStyle w:val="ListBullet"/>
        <w:spacing w:line="240" w:lineRule="auto"/>
        <w:ind w:left="720"/>
      </w:pPr>
      <w:r>
        <w:rPr>
          <w:lang w:val="en_US" w:bidi="en_US"/>
        </w:rPr>
      </w:r>
      <w:r>
        <w:rPr>
          <w:lang w:val="en_US" w:bidi="en_US"/>
        </w:rPr>
        <w:t xml:space="preserve">¶ After </w:t>
      </w:r>
      <w:r>
        <w:rPr>
          <w:lang w:val="en_US" w:bidi="en_US"/>
        </w:rPr>
        <w:t>Pilate questioned Jesus</w:t>
      </w:r>
      <w:r>
        <w:rPr>
          <w:lang w:val="en_US" w:bidi="en_US"/>
        </w:rPr>
        <w:t xml:space="preserve">, he told the leading priests and the </w:t>
      </w:r>
      <w:r>
        <w:rPr>
          <w:lang w:val="en_US" w:bidi="en_US"/>
        </w:rPr>
        <w:t>other</w:t>
      </w:r>
      <w:r>
        <w:rPr>
          <w:lang w:val="en_US" w:bidi="en_US"/>
        </w:rPr>
        <w:t xml:space="preserve"> people </w:t>
      </w:r>
      <w:r>
        <w:rPr>
          <w:lang w:val="en_US" w:bidi="en_US"/>
        </w:rPr>
        <w:t>who were there</w:t>
      </w:r>
      <w:r>
        <w:rPr>
          <w:lang w:val="en_US" w:bidi="en_US"/>
        </w:rPr>
        <w:t>,</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can be translated in several ways, including “then,” “and,” or “but.” The context implies that some time passed between 23:3 and 23:4. During this time, Pilate probably asked Jesus more questions.</w:t>
      </w:r>
      <w:r>
        <w:rPr>
          <w:lang w:val="en_US" w:bidi="en_US"/>
        </w:rPr>
        <w:t>The parallel passage in John tells more about what Pilate and Jesus said to each other. The passages in Matthew and Mark also imply that Pilate asked Jesus more questions.</w:t>
      </w:r>
      <w:r>
        <w:rPr>
          <w:lang w:val="en_US" w:bidi="en_US"/>
        </w:rPr>
        <w:t xml:space="preserve"> In some languages it may be necessary to indicate that some time passed. For example:</w:t>
      </w:r>
    </w:p>
    <w:p>
      <w:pPr/>
      <w:r>
        <w:rPr>
          <w:lang w:val="en_US" w:bidi="en_US"/>
        </w:rPr>
      </w:r>
      <w:r>
        <w:rPr>
          <w:lang w:val="en_US" w:bidi="en_US"/>
        </w:rPr>
        <w:t>After that</w:t>
      </w:r>
    </w:p>
    <w:p>
      <w:pPr/>
      <w:r>
        <w:rPr>
          <w:lang w:val="en_US" w:bidi="en_US"/>
        </w:rPr>
      </w:r>
      <w:r>
        <w:rPr>
          <w:lang w:val="en_US" w:bidi="en_US"/>
        </w:rPr>
        <w:t xml:space="preserve">When </w:t>
      </w:r>
      <w:r>
        <w:rPr>
          <w:lang w:val="en_US" w:bidi="en_US"/>
        </w:rPr>
        <w:t>Pilate finished asking Jesus questions</w:t>
      </w:r>
    </w:p>
    <w:p>
      <w:pPr/>
      <w:r>
        <w:rPr>
          <w:lang w:val="en_US" w:bidi="en_US"/>
        </w:rPr>
      </w:r>
      <w:r>
        <w:rPr>
          <w:b/>
          <w:lang w:val="en_US" w:bidi="en_US"/>
        </w:rPr>
        <w:t>Pilate said to the chief priests and the crowds:</w:t>
      </w:r>
      <w:r>
        <w:rPr>
          <w:lang w:val="en_US" w:bidi="en_US"/>
        </w:rPr>
        <w:t xml:space="preserve"> This clause introduces what Pilate decided after he questioned Jesus. Pilate told this decision publicly to all the people who were gathered there.</w:t>
      </w:r>
    </w:p>
    <w:p>
      <w:pPr/>
      <w:r>
        <w:rPr>
          <w:lang w:val="en_US" w:bidi="en_US"/>
        </w:rPr>
      </w:r>
      <w:r>
        <w:rPr>
          <w:lang w:val="en_US" w:bidi="en_US"/>
        </w:rPr>
        <w:t>Another way to introduce his words are:</w:t>
      </w:r>
    </w:p>
    <w:p>
      <w:pPr/>
      <w:r>
        <w:rPr>
          <w:lang w:val="en_US" w:bidi="en_US"/>
        </w:rPr>
      </w:r>
      <w:r>
        <w:rPr>
          <w:lang w:val="en_US" w:bidi="en_US"/>
        </w:rPr>
        <w:t>Then Pilate announced to the chief priests and the crowd (NIV)</w:t>
      </w:r>
    </w:p>
    <w:p>
      <w:pPr/>
      <w:r>
        <w:rPr>
          <w:lang w:val="en_US" w:bidi="en_US"/>
        </w:rPr>
      </w:r>
      <w:r>
        <w:rPr>
          <w:b/>
          <w:lang w:val="en_US" w:bidi="en_US"/>
        </w:rPr>
        <w:t>the chief priests and the crowds:</w:t>
      </w:r>
      <w:r>
        <w:rPr>
          <w:lang w:val="en_US" w:bidi="en_US"/>
        </w:rPr>
        <w:t xml:space="preserve"> The </w:t>
      </w:r>
      <w:r>
        <w:rPr>
          <w:i/>
          <w:lang w:val="en_US" w:bidi="en_US"/>
        </w:rPr>
        <w:t>chief priests and the crowds</w:t>
      </w:r>
      <w:r>
        <w:rPr>
          <w:lang w:val="en_US" w:bidi="en_US"/>
        </w:rPr>
        <w:t xml:space="preserve"> are mentioned here for the first time in this chapter. The </w:t>
      </w:r>
      <w:r>
        <w:rPr>
          <w:i/>
          <w:lang w:val="en_US" w:bidi="en_US"/>
        </w:rPr>
        <w:t>chief priests</w:t>
      </w:r>
      <w:r>
        <w:rPr>
          <w:lang w:val="en_US" w:bidi="en_US"/>
        </w:rPr>
        <w:t xml:space="preserve"> were important members of the Jewish council. The phrase </w:t>
      </w:r>
      <w:r>
        <w:rPr>
          <w:i/>
          <w:lang w:val="en_US" w:bidi="en_US"/>
        </w:rPr>
        <w:t>the crowds</w:t>
      </w:r>
      <w:r>
        <w:rPr>
          <w:lang w:val="en_US" w:bidi="en_US"/>
        </w:rPr>
        <w:t xml:space="preserve"> probably implies that many people had gathered there to see what was happening. Introduce them here in a natural way in your language. Some ways to do that in English are:</w:t>
      </w:r>
    </w:p>
    <w:p>
      <w:pPr/>
      <w:r>
        <w:rPr>
          <w:lang w:val="en_US" w:bidi="en_US"/>
        </w:rPr>
      </w:r>
      <w:r>
        <w:rPr>
          <w:lang w:val="en_US" w:bidi="en_US"/>
        </w:rPr>
        <w:t xml:space="preserve">the chief priests and all the many other people </w:t>
      </w:r>
      <w:r>
        <w:rPr>
          <w:lang w:val="en_US" w:bidi="en_US"/>
        </w:rPr>
        <w:t>who had gathered there</w:t>
      </w:r>
    </w:p>
    <w:p>
      <w:pPr/>
      <w:r>
        <w:rPr>
          <w:lang w:val="en_US" w:bidi="en_US"/>
        </w:rPr>
      </w:r>
      <w:r>
        <w:rPr>
          <w:lang w:val="en_US" w:bidi="en_US"/>
        </w:rPr>
        <w:t xml:space="preserve">the leading priests </w:t>
      </w:r>
      <w:r>
        <w:rPr>
          <w:lang w:val="en_US" w:bidi="en_US"/>
        </w:rPr>
        <w:t>and other Jewish council members</w:t>
      </w:r>
      <w:r>
        <w:rPr>
          <w:lang w:val="en_US" w:bidi="en_US"/>
        </w:rPr>
        <w:t xml:space="preserve"> and to the many other people who had come. He said</w:t>
      </w:r>
    </w:p>
    <w:p>
      <w:pPr/>
      <w:r>
        <w:rPr>
          <w:lang w:val="en_US" w:bidi="en_US"/>
        </w:rPr>
      </w:r>
      <w:r>
        <w:rPr>
          <w:lang w:val="en_US" w:bidi="en_US"/>
        </w:rPr>
        <w:t>Introduce the statement in a natural way in your language.</w:t>
      </w:r>
    </w:p>
    <w:p>
      <w:pPr/>
      <w:r>
        <w:rPr>
          <w:lang w:val="en_US" w:bidi="en_US"/>
        </w:rPr>
      </w:r>
      <w:r>
        <w:rPr>
          <w:b/>
          <w:lang w:val="en_US" w:bidi="en_US"/>
        </w:rPr>
        <w:t>chief priests:</w:t>
      </w:r>
      <w:r>
        <w:rPr>
          <w:lang w:val="en_US" w:bidi="en_US"/>
        </w:rPr>
        <w:t xml:space="preserve"> The term </w:t>
      </w:r>
      <w:r>
        <w:rPr>
          <w:i/>
          <w:lang w:val="en_US" w:bidi="en_US"/>
        </w:rPr>
        <w:t>chief priests</w:t>
      </w:r>
      <w:r>
        <w:rPr>
          <w:lang w:val="en_US" w:bidi="en_US"/>
        </w:rPr>
        <w:t xml:space="preserve"> occurred in 22:66. You should translate it in the same way here. For more information and translation advice, see the note at 19:47b–d.</w:t>
      </w:r>
    </w:p>
    <w:p>
      <w:pPr>
        <w:pStyle w:val="Heading5"/>
      </w:pPr>
      <w:r>
        <w:rPr>
          <w:lang w:val="en_US" w:bidi="en_US"/>
        </w:rPr>
        <w:t>23:4b</w:t>
      </w:r>
    </w:p>
    <w:p>
      <w:pPr/>
      <w:r>
        <w:rPr>
          <w:lang w:val="en_US" w:bidi="en_US"/>
        </w:rPr>
      </w:r>
      <w:r>
        <w:rPr>
          <w:b/>
          <w:lang w:val="en_US" w:bidi="en_US"/>
        </w:rPr>
        <w:t>“I find no basis for a charge against this man.”</w:t>
      </w:r>
    </w:p>
    <w:p>
      <w:pPr>
        <w:pStyle w:val="ListBullet"/>
        <w:spacing w:line="240" w:lineRule="auto"/>
        <w:ind w:left="720"/>
      </w:pPr>
      <w:r>
        <w:rPr>
          <w:lang w:val="en_US" w:bidi="en_US"/>
        </w:rPr>
      </w:r>
      <w:r>
        <w:rPr>
          <w:lang w:val="en_US" w:bidi="en_US"/>
        </w:rPr>
        <w:t>“I did not discover any reason to charge/accuse this man.”</w:t>
      </w:r>
    </w:p>
    <w:p>
      <w:pPr>
        <w:pStyle w:val="ListBullet"/>
        <w:spacing w:line="240" w:lineRule="auto"/>
        <w:ind w:left="720"/>
      </w:pPr>
      <w:r>
        <w:rPr>
          <w:lang w:val="en_US" w:bidi="en_US"/>
        </w:rPr>
      </w:r>
      <w:r>
        <w:rPr>
          <w:lang w:val="en_US" w:bidi="en_US"/>
        </w:rPr>
        <w:t>“I see/perceive no reason to say that this man is guilty of a crime.”</w:t>
      </w:r>
    </w:p>
    <w:p>
      <w:pPr/>
      <w:r>
        <w:rPr>
          <w:lang w:val="en_US" w:bidi="en_US"/>
        </w:rPr>
      </w:r>
      <w:r>
        <w:rPr>
          <w:b/>
          <w:lang w:val="en_US" w:bidi="en_US"/>
        </w:rPr>
        <w:t>I find no basis for a charge against this man:</w:t>
      </w:r>
      <w:r>
        <w:rPr>
          <w:lang w:val="en_US" w:bidi="en_US"/>
        </w:rPr>
        <w:t xml:space="preserve"> In Greek this clause is more literally, “I find no cause/basis in this man.” It indicates that Pilate did not discover any reason to condemn Jesus. Pilate had questioned Jesus and decided that Jesus was not guilty.</w:t>
      </w:r>
    </w:p>
    <w:p>
      <w:pPr/>
      <w:r>
        <w:rPr>
          <w:lang w:val="en_US" w:bidi="en_US"/>
        </w:rPr>
      </w:r>
      <w:r>
        <w:rPr>
          <w:lang w:val="en_US" w:bidi="en_US"/>
        </w:rPr>
        <w:t>Some other ways to translate the clause are:</w:t>
      </w:r>
    </w:p>
    <w:p>
      <w:pPr/>
      <w:r>
        <w:rPr>
          <w:lang w:val="en_US" w:bidi="en_US"/>
        </w:rPr>
      </w:r>
      <w:r>
        <w:rPr>
          <w:lang w:val="en_US" w:bidi="en_US"/>
        </w:rPr>
        <w:t>I find no reason to condemn this man. (GNT)</w:t>
      </w:r>
    </w:p>
    <w:p>
      <w:pPr/>
      <w:r>
        <w:rPr>
          <w:lang w:val="en_US" w:bidi="en_US"/>
        </w:rPr>
      </w:r>
      <w:r>
        <w:rPr>
          <w:lang w:val="en_US" w:bidi="en_US"/>
        </w:rPr>
        <w:t>I find no basis for an accusation against this man. (NET)</w:t>
      </w:r>
    </w:p>
    <w:p>
      <w:pPr/>
      <w:r>
        <w:rPr>
          <w:lang w:val="en_US" w:bidi="en_US"/>
        </w:rPr>
      </w:r>
      <w:r>
        <w:rPr>
          <w:lang w:val="en_US" w:bidi="en_US"/>
        </w:rPr>
        <w:t xml:space="preserve">The word </w:t>
      </w:r>
      <w:r>
        <w:rPr>
          <w:i/>
          <w:lang w:val="en_US" w:bidi="en_US"/>
        </w:rPr>
        <w:t>no</w:t>
      </w:r>
      <w:r>
        <w:rPr>
          <w:lang w:val="en_US" w:bidi="en_US"/>
        </w:rPr>
        <w:t xml:space="preserve"> is emphasized in the clause. It indicates that there was no basis at all for a charge against Jesus. Another way to emphasize it in English is:</w:t>
      </w:r>
    </w:p>
    <w:p>
      <w:pPr/>
      <w:r>
        <w:rPr>
          <w:lang w:val="en_US" w:bidi="en_US"/>
        </w:rPr>
      </w:r>
      <w:r>
        <w:rPr>
          <w:lang w:val="en_US" w:bidi="en_US"/>
        </w:rPr>
        <w:t>There is no cause that I have heard/seen to charge this man.</w:t>
      </w:r>
    </w:p>
    <w:p>
      <w:pPr/>
      <w:r>
        <w:rPr>
          <w:lang w:val="en_US" w:bidi="en_US"/>
        </w:rPr>
      </w:r>
      <w:r>
        <w:rPr>
          <w:lang w:val="en_US" w:bidi="en_US"/>
        </w:rPr>
        <w:t>Emphasize Pilate’s conclusion in a natural way in your language.</w:t>
      </w:r>
      <w:r>
        <w:rPr>
          <w:lang w:val="en_US" w:bidi="en_US"/>
        </w:rPr>
      </w:r>
      <w:r>
        <w:rPr>
          <w:lang w:val="en_US" w:bidi="en_US"/>
        </w:rPr>
      </w:r>
    </w:p>
    <w:p>
      <w:pPr/>
      <w:r>
        <w:rPr>
          <w:lang w:val="en_US" w:bidi="en_US"/>
        </w:rPr>
      </w:r>
    </w:p>
    <w:p>
      <w:pPr>
        <w:pStyle w:val="Heading2"/>
      </w:pPr>
      <w:r>
        <w:rPr>
          <w:lang w:val="en_US" w:bidi="en_US"/>
        </w:rPr>
        <w:t>Luke 23:5</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23:5a</w:t>
      </w:r>
    </w:p>
    <w:p>
      <w:pPr/>
      <w:r>
        <w:rPr>
          <w:lang w:val="en_US" w:bidi="en_US"/>
        </w:rPr>
      </w:r>
      <w:r>
        <w:rPr>
          <w:b/>
          <w:lang w:val="en_US" w:bidi="en_US"/>
        </w:rPr>
        <w:t>But they kept insisting,</w:t>
      </w:r>
    </w:p>
    <w:p>
      <w:pPr>
        <w:pStyle w:val="ListBullet"/>
        <w:spacing w:line="240" w:lineRule="auto"/>
        <w:ind w:left="720"/>
      </w:pPr>
      <w:r>
        <w:rPr>
          <w:lang w:val="en_US" w:bidi="en_US"/>
        </w:rPr>
      </w:r>
      <w:r>
        <w:rPr>
          <w:lang w:val="en_US" w:bidi="en_US"/>
        </w:rPr>
        <w:t>But they declared more insistently/urgently,</w:t>
      </w:r>
    </w:p>
    <w:p>
      <w:pPr>
        <w:pStyle w:val="ListBullet"/>
        <w:spacing w:line="240" w:lineRule="auto"/>
        <w:ind w:left="720"/>
      </w:pPr>
      <w:r>
        <w:rPr>
          <w:lang w:val="en_US" w:bidi="en_US"/>
        </w:rPr>
      </w:r>
      <w:r>
        <w:rPr>
          <w:lang w:val="en_US" w:bidi="en_US"/>
        </w:rPr>
        <w:t xml:space="preserve">But </w:t>
      </w:r>
      <w:r>
        <w:rPr>
          <w:lang w:val="en_US" w:bidi="en_US"/>
        </w:rPr>
        <w:t>the leaders</w:t>
      </w:r>
      <w:r>
        <w:rPr>
          <w:lang w:val="en_US" w:bidi="en_US"/>
        </w:rPr>
        <w:t xml:space="preserve"> persisted </w:t>
      </w:r>
      <w:r>
        <w:rPr>
          <w:lang w:val="en_US" w:bidi="en_US"/>
        </w:rPr>
        <w:t>in accusing Jesus</w:t>
      </w:r>
      <w:r>
        <w:rPr>
          <w:lang w:val="en_US" w:bidi="en_US"/>
        </w:rPr>
        <w:t>. They said,</w:t>
      </w:r>
    </w:p>
    <w:p>
      <w:pPr/>
      <w:r>
        <w:rPr>
          <w:lang w:val="en_US" w:bidi="en_US"/>
        </w:rPr>
      </w:r>
      <w:r>
        <w:rPr>
          <w:b/>
          <w:lang w:val="en_US" w:bidi="en_US"/>
        </w:rPr>
        <w:t>But they kept insisting:</w:t>
      </w:r>
      <w:r>
        <w:rPr>
          <w:lang w:val="en_US" w:bidi="en_US"/>
        </w:rPr>
        <w:t xml:space="preserve"> This phrase introduces the response that the Jewish leaders made to Pilate’s statement in 23:4. The leaders did not accept his decision. The Greek word that the BSB translates as </w:t>
      </w:r>
      <w:r>
        <w:rPr>
          <w:i/>
          <w:lang w:val="en_US" w:bidi="en_US"/>
        </w:rPr>
        <w:t>kept insisting</w:t>
      </w:r>
      <w:r>
        <w:rPr>
          <w:lang w:val="en_US" w:bidi="en_US"/>
        </w:rPr>
        <w:t xml:space="preserve"> indicates that they persisted in accusing Jesus. They gave more details about their accusations against him.</w:t>
      </w:r>
      <w:r>
        <w:rPr>
          <w:lang w:val="en_US" w:bidi="en_US"/>
        </w:rPr>
        <w:t>BDAG (p. 383) says that in the intransitive the verb means to “grow strong in the sense of having additional resources or being persistent in doing something.” This would fit the sense in this verse of the leaders insisting on their charges by giving more details.</w:t>
      </w:r>
      <w:r>
        <w:rPr>
          <w:lang w:val="en_US" w:bidi="en_US"/>
        </w:rPr>
        <w:t xml:space="preserve"> The word </w:t>
      </w:r>
      <w:r>
        <w:rPr>
          <w:i/>
          <w:lang w:val="en_US" w:bidi="en_US"/>
        </w:rPr>
        <w:t>insisting</w:t>
      </w:r>
      <w:r>
        <w:rPr>
          <w:lang w:val="en_US" w:bidi="en_US"/>
        </w:rPr>
        <w:t xml:space="preserve"> does not imply that they spoke disrespectfully or loudly.</w:t>
      </w:r>
    </w:p>
    <w:p>
      <w:pPr/>
      <w:r>
        <w:rPr>
          <w:lang w:val="en_US" w:bidi="en_US"/>
        </w:rPr>
      </w:r>
      <w:r>
        <w:rPr>
          <w:lang w:val="en_US" w:bidi="en_US"/>
        </w:rPr>
        <w:t>Some other ways to introduce this response are:</w:t>
      </w:r>
    </w:p>
    <w:p>
      <w:pPr/>
      <w:r>
        <w:rPr>
          <w:lang w:val="en_US" w:bidi="en_US"/>
        </w:rPr>
      </w:r>
      <w:r>
        <w:rPr>
          <w:lang w:val="en_US" w:bidi="en_US"/>
        </w:rPr>
        <w:t>But they persisted in saying (NET)</w:t>
      </w:r>
    </w:p>
    <w:p>
      <w:pPr/>
      <w:r>
        <w:rPr>
          <w:lang w:val="en_US" w:bidi="en_US"/>
        </w:rPr>
      </w:r>
      <w:r>
        <w:rPr>
          <w:lang w:val="en_US" w:bidi="en_US"/>
        </w:rPr>
        <w:t>But they pressed their charge, saying (JBP)</w:t>
      </w:r>
    </w:p>
    <w:p>
      <w:pPr/>
      <w:r>
        <w:rPr>
          <w:lang w:val="en_US" w:bidi="en_US"/>
        </w:rPr>
      </w:r>
      <w:r>
        <w:rPr>
          <w:lang w:val="en_US" w:bidi="en_US"/>
        </w:rPr>
        <w:t>But they still insisted saying</w:t>
      </w:r>
      <w:r>
        <w:rPr>
          <w:lang w:val="en_US" w:bidi="en_US"/>
        </w:rPr>
        <w:t>Kankanaey back translation on TW.</w:t>
      </w:r>
    </w:p>
    <w:p>
      <w:pPr/>
      <w:r>
        <w:rPr>
          <w:lang w:val="en_US" w:bidi="en_US"/>
        </w:rPr>
      </w:r>
      <w:r>
        <w:rPr>
          <w:b/>
          <w:lang w:val="en_US" w:bidi="en_US"/>
        </w:rPr>
        <w:t>they:</w:t>
      </w:r>
      <w:r>
        <w:rPr>
          <w:lang w:val="en_US" w:bidi="en_US"/>
        </w:rPr>
        <w:t xml:space="preserve"> The word </w:t>
      </w:r>
      <w:r>
        <w:rPr>
          <w:i/>
          <w:lang w:val="en_US" w:bidi="en_US"/>
        </w:rPr>
        <w:t>they</w:t>
      </w:r>
      <w:r>
        <w:rPr>
          <w:lang w:val="en_US" w:bidi="en_US"/>
        </w:rPr>
        <w:t xml:space="preserve"> refers to the chief priests and the other people who accused Jesus (23:4). The priests may have spoken to Pilate for the whole council, which was mentioned in 23:1. Other people in the council may also have spoken. In some languages it may be helpful to use a general term here. For example:</w:t>
      </w:r>
    </w:p>
    <w:p>
      <w:pPr/>
      <w:r>
        <w:rPr>
          <w:lang w:val="en_US" w:bidi="en_US"/>
        </w:rPr>
      </w:r>
      <w:r>
        <w:rPr>
          <w:lang w:val="en_US" w:bidi="en_US"/>
        </w:rPr>
        <w:t>Jesus’ accusers</w:t>
      </w:r>
    </w:p>
    <w:p>
      <w:pPr/>
      <w:r>
        <w:rPr>
          <w:lang w:val="en_US" w:bidi="en_US"/>
        </w:rPr>
      </w:r>
      <w:r>
        <w:rPr>
          <w:lang w:val="en_US" w:bidi="en_US"/>
        </w:rPr>
        <w:t>Refer to them in a natural way in your language.</w:t>
      </w:r>
    </w:p>
    <w:p>
      <w:pPr>
        <w:pStyle w:val="Heading5"/>
      </w:pPr>
      <w:r>
        <w:rPr>
          <w:lang w:val="en_US" w:bidi="en_US"/>
        </w:rPr>
        <w:t>23:5b</w:t>
      </w:r>
    </w:p>
    <w:p>
      <w:pPr/>
      <w:r>
        <w:rPr>
          <w:lang w:val="en_US" w:bidi="en_US"/>
        </w:rPr>
      </w:r>
      <w:r>
        <w:rPr>
          <w:b/>
          <w:lang w:val="en_US" w:bidi="en_US"/>
        </w:rPr>
        <w:t>“He stirs up the people all over Judea with His teaching.</w:t>
      </w:r>
    </w:p>
    <w:p>
      <w:pPr>
        <w:pStyle w:val="ListBullet"/>
        <w:spacing w:line="240" w:lineRule="auto"/>
        <w:ind w:left="720"/>
      </w:pPr>
      <w:r>
        <w:rPr>
          <w:lang w:val="en_US" w:bidi="en_US"/>
        </w:rPr>
      </w:r>
      <w:r>
        <w:rPr>
          <w:lang w:val="en_US" w:bidi="en_US"/>
        </w:rPr>
        <w:t xml:space="preserve">“He causes trouble throughout Judea by what he teaches </w:t>
      </w:r>
      <w:r>
        <w:rPr>
          <w:lang w:val="en_US" w:bidi="en_US"/>
        </w:rPr>
        <w:t>people</w:t>
      </w:r>
      <w:r>
        <w:rPr>
          <w:lang w:val="en_US" w:bidi="en_US"/>
        </w:rPr>
        <w:t>.</w:t>
      </w:r>
    </w:p>
    <w:p>
      <w:pPr>
        <w:pStyle w:val="ListBullet"/>
        <w:spacing w:line="240" w:lineRule="auto"/>
        <w:ind w:left="720"/>
      </w:pPr>
      <w:r>
        <w:rPr>
          <w:lang w:val="en_US" w:bidi="en_US"/>
        </w:rPr>
      </w:r>
      <w:r>
        <w:rPr>
          <w:lang w:val="en_US" w:bidi="en_US"/>
        </w:rPr>
        <w:t>“Through his teaching, he has incited/encouraged people in the whole country of Judea to rebel,</w:t>
      </w:r>
    </w:p>
    <w:p>
      <w:pPr>
        <w:pStyle w:val="Heading5"/>
      </w:pPr>
      <w:r>
        <w:rPr>
          <w:lang w:val="en_US" w:bidi="en_US"/>
        </w:rPr>
        <w:t>23:5b–c</w:t>
      </w:r>
    </w:p>
    <w:p>
      <w:pPr/>
      <w:r>
        <w:rPr>
          <w:lang w:val="en_US" w:bidi="en_US"/>
        </w:rPr>
      </w:r>
      <w:r>
        <w:rPr>
          <w:b/>
          <w:lang w:val="en_US" w:bidi="en_US"/>
        </w:rPr>
        <w:t>He stirs up the people…with His teaching:</w:t>
      </w:r>
      <w:r>
        <w:rPr>
          <w:lang w:val="en_US" w:bidi="en_US"/>
        </w:rPr>
        <w:t xml:space="preserve"> The statement </w:t>
      </w:r>
      <w:r>
        <w:rPr>
          <w:i/>
          <w:lang w:val="en_US" w:bidi="en_US"/>
        </w:rPr>
        <w:t>He stirs up the people…with His teaching</w:t>
      </w:r>
      <w:r>
        <w:rPr>
          <w:lang w:val="en_US" w:bidi="en_US"/>
        </w:rPr>
        <w:t xml:space="preserve"> has a similar meaning as the statement in 23:2b (“subverting our nation”). It implies that when Jesus taught people, he influenced them to rebel against the Roman government. The Jewish leaders used the statement to persist in their accusation against Jesus. The Greek word that the BSB translates as </w:t>
      </w:r>
      <w:r>
        <w:rPr>
          <w:i/>
          <w:lang w:val="en_US" w:bidi="en_US"/>
        </w:rPr>
        <w:t>stirs up</w:t>
      </w:r>
      <w:r>
        <w:rPr>
          <w:lang w:val="en_US" w:bidi="en_US"/>
        </w:rPr>
        <w:t xml:space="preserve"> is an idiom. In this context it means “causes [people] to be disturbed.” It also occurs in Mark 15:11.</w:t>
      </w:r>
    </w:p>
    <w:p>
      <w:pPr/>
      <w:r>
        <w:rPr>
          <w:lang w:val="en_US" w:bidi="en_US"/>
        </w:rPr>
      </w:r>
      <w:r>
        <w:rPr>
          <w:lang w:val="en_US" w:bidi="en_US"/>
        </w:rPr>
        <w:t>Some other ways to translate this clause are:</w:t>
      </w:r>
    </w:p>
    <w:p>
      <w:pPr/>
      <w:r>
        <w:rPr>
          <w:lang w:val="en_US" w:bidi="en_US"/>
        </w:rPr>
      </w:r>
      <w:r>
        <w:rPr>
          <w:lang w:val="en_US" w:bidi="en_US"/>
        </w:rPr>
        <w:t>By his teaching, he has disturbed/agitated the people…to make trouble</w:t>
      </w:r>
    </w:p>
    <w:p>
      <w:pPr/>
      <w:r>
        <w:rPr>
          <w:lang w:val="en_US" w:bidi="en_US"/>
        </w:rPr>
      </w:r>
      <w:r>
        <w:rPr>
          <w:lang w:val="en_US" w:bidi="en_US"/>
        </w:rPr>
        <w:t>In his teaching he arouses people…to rebel</w:t>
      </w:r>
    </w:p>
    <w:p>
      <w:pPr/>
      <w:r>
        <w:rPr>
          <w:lang w:val="en_US" w:bidi="en_US"/>
        </w:rPr>
      </w:r>
      <w:r>
        <w:rPr>
          <w:lang w:val="en_US" w:bidi="en_US"/>
        </w:rPr>
        <w:t>The things he teaches stir up the people</w:t>
      </w:r>
    </w:p>
    <w:p>
      <w:pPr/>
      <w:r>
        <w:rPr>
          <w:lang w:val="en_US" w:bidi="en_US"/>
        </w:rPr>
      </w:r>
      <w:r>
        <w:rPr>
          <w:b/>
          <w:lang w:val="en_US" w:bidi="en_US"/>
        </w:rPr>
        <w:t>all over Judea:</w:t>
      </w:r>
      <w:r>
        <w:rPr>
          <w:lang w:val="en_US" w:bidi="en_US"/>
        </w:rPr>
        <w:t xml:space="preserve"> The phrase </w:t>
      </w:r>
      <w:r>
        <w:rPr>
          <w:i/>
          <w:lang w:val="en_US" w:bidi="en_US"/>
        </w:rPr>
        <w:t>all over Judea</w:t>
      </w:r>
      <w:r>
        <w:rPr>
          <w:lang w:val="en_US" w:bidi="en_US"/>
        </w:rPr>
        <w:t xml:space="preserve"> refers to the entire land of Judea. The word </w:t>
      </w:r>
      <w:r>
        <w:rPr>
          <w:i/>
          <w:lang w:val="en_US" w:bidi="en_US"/>
        </w:rPr>
        <w:t>Judea</w:t>
      </w:r>
      <w:r>
        <w:rPr>
          <w:lang w:val="en_US" w:bidi="en_US"/>
        </w:rPr>
        <w:t xml:space="preserve"> can be interpreted in two different ways here:</w:t>
      </w:r>
    </w:p>
    <w:p>
      <w:pPr>
        <w:pStyle w:val="ListNumber"/>
        <w:numPr>
          <w:ilvl w:val="0"/>
          <w:numId w:val="361"/>
        </w:numPr>
        <w:spacing w:line="240" w:lineRule="auto"/>
        <w:ind w:left="720"/>
      </w:pPr>
      <w:r>
        <w:rPr>
          <w:lang w:val="en_US" w:bidi="en_US"/>
        </w:rPr>
      </w:r>
      <w:r>
        <w:rPr>
          <w:lang w:val="en_US" w:bidi="en_US"/>
        </w:rPr>
        <w:t>It referred to all the land where the majority of the population were Jews.</w:t>
      </w:r>
    </w:p>
    <w:p>
      <w:pPr>
        <w:pStyle w:val="ListNumber"/>
        <w:spacing w:line="240" w:lineRule="auto"/>
        <w:ind w:left="720"/>
      </w:pPr>
      <w:r>
        <w:rPr>
          <w:lang w:val="en_US" w:bidi="en_US"/>
        </w:rPr>
      </w:r>
      <w:r>
        <w:rPr>
          <w:lang w:val="en_US" w:bidi="en_US"/>
        </w:rPr>
        <w:t xml:space="preserve">It referred to the Roman province named </w:t>
      </w:r>
      <w:r>
        <w:rPr>
          <w:i/>
          <w:lang w:val="en_US" w:bidi="en_US"/>
        </w:rPr>
        <w:t>Judea</w:t>
      </w:r>
      <w:r>
        <w:rPr>
          <w:lang w:val="en_US" w:bidi="en_US"/>
        </w:rPr>
        <w:t>. Pilate was the governor of this province.</w:t>
      </w:r>
    </w:p>
    <w:p>
      <w:pPr/>
      <w:r>
        <w:rPr>
          <w:lang w:val="en_US" w:bidi="en_US"/>
        </w:rPr>
      </w:r>
      <w:r>
        <w:rPr>
          <w:lang w:val="en_US" w:bidi="en_US"/>
        </w:rPr>
        <w:t xml:space="preserve">English versions are ambiguous. It is recommended that you follow interpretation (1). It fits the context, since the leaders said that Jesus started his teaching in Galilee (23:5c) and had stirred up people </w:t>
      </w:r>
      <w:r>
        <w:rPr>
          <w:i/>
          <w:lang w:val="en_US" w:bidi="en_US"/>
        </w:rPr>
        <w:t>all over Judea</w:t>
      </w:r>
      <w:r>
        <w:rPr>
          <w:lang w:val="en_US" w:bidi="en_US"/>
        </w:rPr>
        <w:t>.</w:t>
      </w:r>
    </w:p>
    <w:p>
      <w:pPr>
        <w:pStyle w:val="Heading5"/>
      </w:pPr>
      <w:r>
        <w:rPr>
          <w:lang w:val="en_US" w:bidi="en_US"/>
        </w:rPr>
        <w:t>23:5c</w:t>
      </w:r>
    </w:p>
    <w:p>
      <w:pPr/>
      <w:r>
        <w:rPr>
          <w:lang w:val="en_US" w:bidi="en_US"/>
        </w:rPr>
      </w:r>
      <w:r>
        <w:rPr>
          <w:b/>
          <w:lang w:val="en_US" w:bidi="en_US"/>
        </w:rPr>
        <w:t>He began in Galilee and has come all the way here.”</w:t>
      </w:r>
    </w:p>
    <w:p>
      <w:pPr>
        <w:pStyle w:val="ListBullet"/>
        <w:spacing w:line="240" w:lineRule="auto"/>
        <w:ind w:left="720"/>
      </w:pPr>
      <w:r>
        <w:rPr>
          <w:lang w:val="en_US" w:bidi="en_US"/>
        </w:rPr>
      </w:r>
      <w:r>
        <w:rPr>
          <w:lang w:val="en_US" w:bidi="en_US"/>
        </w:rPr>
        <w:t xml:space="preserve">He started </w:t>
      </w:r>
      <w:r>
        <w:rPr>
          <w:lang w:val="en_US" w:bidi="en_US"/>
        </w:rPr>
        <w:t>teaching like that</w:t>
      </w:r>
      <w:r>
        <w:rPr>
          <w:lang w:val="en_US" w:bidi="en_US"/>
        </w:rPr>
        <w:t xml:space="preserve"> in Galilee and has continued all the way here.”</w:t>
      </w:r>
    </w:p>
    <w:p>
      <w:pPr>
        <w:pStyle w:val="ListBullet"/>
        <w:spacing w:line="240" w:lineRule="auto"/>
        <w:ind w:left="720"/>
      </w:pPr>
      <w:r>
        <w:rPr>
          <w:lang w:val="en_US" w:bidi="en_US"/>
        </w:rPr>
      </w:r>
      <w:r>
        <w:rPr>
          <w:lang w:val="en_US" w:bidi="en_US"/>
        </w:rPr>
        <w:t xml:space="preserve">from </w:t>
      </w:r>
      <w:r>
        <w:rPr>
          <w:lang w:val="en_US" w:bidi="en_US"/>
        </w:rPr>
        <w:t>the region of</w:t>
      </w:r>
      <w:r>
        <w:rPr>
          <w:lang w:val="en_US" w:bidi="en_US"/>
        </w:rPr>
        <w:t xml:space="preserve"> Galilee, where he began, and reaching as far as this </w:t>
      </w:r>
      <w:r>
        <w:rPr>
          <w:lang w:val="en_US" w:bidi="en_US"/>
        </w:rPr>
        <w:t>city of Jerusalem</w:t>
      </w:r>
      <w:r>
        <w:rPr>
          <w:lang w:val="en_US" w:bidi="en_US"/>
        </w:rPr>
        <w:t>.”</w:t>
      </w:r>
    </w:p>
    <w:p>
      <w:pPr/>
      <w:r>
        <w:rPr>
          <w:lang w:val="en_US" w:bidi="en_US"/>
        </w:rPr>
      </w:r>
      <w:r>
        <w:rPr>
          <w:b/>
          <w:lang w:val="en_US" w:bidi="en_US"/>
        </w:rPr>
        <w:t>He began in Galilee and has come all the way here:</w:t>
      </w:r>
      <w:r>
        <w:rPr>
          <w:lang w:val="en_US" w:bidi="en_US"/>
        </w:rPr>
        <w:t xml:space="preserve"> Here the Jewish leaders told Pilate that Jesus had begun his teaching in Galilee and had continued his teaching all the way to Jerusalem. Galilee is in the north of the country, and Jerusalem is in the south in the province of Judea. The leaders implied that Jesus had been causing trouble throughout the country by what he had been teaching the people. Some other ways to translate this statement are:</w:t>
      </w:r>
    </w:p>
    <w:p>
      <w:pPr/>
      <w:r>
        <w:rPr>
          <w:lang w:val="en_US" w:bidi="en_US"/>
        </w:rPr>
      </w:r>
      <w:r>
        <w:rPr>
          <w:lang w:val="en_US" w:bidi="en_US"/>
        </w:rPr>
        <w:t>He started in Galilee and has come here. (GW)</w:t>
      </w:r>
    </w:p>
    <w:p>
      <w:pPr/>
      <w:r>
        <w:rPr>
          <w:lang w:val="en_US" w:bidi="en_US"/>
        </w:rPr>
      </w:r>
      <w:r>
        <w:rPr>
          <w:lang w:val="en_US" w:bidi="en_US"/>
        </w:rPr>
        <w:t>…all the way from Galilee to this place. (JBP)</w:t>
      </w:r>
      <w:r>
        <w:rPr>
          <w:lang w:val="en_US" w:bidi="en_US"/>
        </w:rPr>
      </w:r>
      <w:r>
        <w:rPr>
          <w:lang w:val="en_US" w:bidi="en_US"/>
        </w:rPr>
      </w:r>
    </w:p>
    <w:p>
      <w:pPr/>
      <w:r>
        <w:rPr>
          <w:lang w:val="en_US" w:bidi="en_US"/>
        </w:rPr>
      </w:r>
    </w:p>
    <w:p>
      <w:pPr>
        <w:pStyle w:val="Heading2"/>
      </w:pPr>
      <w:r>
        <w:rPr>
          <w:lang w:val="en_US" w:bidi="en_US"/>
        </w:rPr>
        <w:t>Luke 23:6</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23:6a</w:t>
      </w:r>
    </w:p>
    <w:p>
      <w:pPr/>
      <w:r>
        <w:rPr>
          <w:lang w:val="en_US" w:bidi="en_US"/>
        </w:rPr>
      </w:r>
      <w:r>
        <w:rPr>
          <w:b/>
          <w:lang w:val="en_US" w:bidi="en_US"/>
        </w:rPr>
        <w:t>When Pilate heard this, he asked</w:t>
      </w:r>
    </w:p>
    <w:p>
      <w:pPr>
        <w:pStyle w:val="ListBullet"/>
        <w:spacing w:line="240" w:lineRule="auto"/>
        <w:ind w:left="720"/>
      </w:pPr>
      <w:r>
        <w:rPr>
          <w:lang w:val="en_US" w:bidi="en_US"/>
        </w:rPr>
      </w:r>
      <w:r>
        <w:rPr>
          <w:lang w:val="en_US" w:bidi="en_US"/>
        </w:rPr>
        <w:t>¶ When Pilate heard that, he asked</w:t>
      </w:r>
    </w:p>
    <w:p>
      <w:pPr>
        <w:pStyle w:val="ListBullet"/>
        <w:spacing w:line="240" w:lineRule="auto"/>
        <w:ind w:left="720"/>
      </w:pPr>
      <w:r>
        <w:rPr>
          <w:lang w:val="en_US" w:bidi="en_US"/>
        </w:rPr>
      </w:r>
      <w:r>
        <w:rPr>
          <w:lang w:val="en_US" w:bidi="en_US"/>
        </w:rPr>
        <w:t xml:space="preserve">¶ Then Pilate asked </w:t>
      </w:r>
      <w:r>
        <w:rPr>
          <w:lang w:val="en_US" w:bidi="en_US"/>
        </w:rPr>
        <w:t>them</w:t>
      </w:r>
      <w:r>
        <w:rPr>
          <w:lang w:val="en_US" w:bidi="en_US"/>
        </w:rPr>
        <w:t>,</w:t>
      </w:r>
    </w:p>
    <w:p>
      <w:pPr>
        <w:pStyle w:val="ListBullet"/>
        <w:spacing w:line="240" w:lineRule="auto"/>
        <w:ind w:left="720"/>
      </w:pPr>
      <w:r>
        <w:rPr>
          <w:lang w:val="en_US" w:bidi="en_US"/>
        </w:rPr>
      </w:r>
      <w:r>
        <w:rPr>
          <w:lang w:val="en_US" w:bidi="en_US"/>
        </w:rPr>
        <w:t xml:space="preserve">¶ Because the </w:t>
      </w:r>
      <w:r>
        <w:rPr>
          <w:lang w:val="en_US" w:bidi="en_US"/>
        </w:rPr>
        <w:t>Jewish leaders</w:t>
      </w:r>
      <w:r>
        <w:rPr>
          <w:lang w:val="en_US" w:bidi="en_US"/>
        </w:rPr>
        <w:t xml:space="preserve"> said </w:t>
      </w:r>
      <w:r>
        <w:rPr>
          <w:lang w:val="en_US" w:bidi="en_US"/>
        </w:rPr>
        <w:t>that Jesus started teaching in Galilee</w:t>
      </w:r>
      <w:r>
        <w:rPr>
          <w:lang w:val="en_US" w:bidi="en_US"/>
        </w:rPr>
        <w:t>, Pilate asked,</w:t>
      </w:r>
    </w:p>
    <w:p>
      <w:pPr>
        <w:pStyle w:val="Heading5"/>
      </w:pPr>
      <w:r>
        <w:rPr>
          <w:lang w:val="en_US" w:bidi="en_US"/>
        </w:rPr>
        <w:t>23:6b</w:t>
      </w:r>
    </w:p>
    <w:p>
      <w:pPr/>
      <w:r>
        <w:rPr>
          <w:lang w:val="en_US" w:bidi="en_US"/>
        </w:rPr>
      </w:r>
      <w:r>
        <w:rPr>
          <w:b/>
          <w:lang w:val="en_US" w:bidi="en_US"/>
        </w:rPr>
        <w:t>if the man was a Galilean.</w:t>
      </w:r>
    </w:p>
    <w:p>
      <w:pPr>
        <w:pStyle w:val="ListBullet"/>
        <w:spacing w:line="240" w:lineRule="auto"/>
        <w:ind w:left="720"/>
      </w:pPr>
      <w:r>
        <w:rPr>
          <w:lang w:val="en_US" w:bidi="en_US"/>
        </w:rPr>
      </w:r>
      <w:r>
        <w:rPr>
          <w:lang w:val="en_US" w:bidi="en_US"/>
        </w:rPr>
        <w:t>if Jesus was a resident/citizen of Galilee.</w:t>
      </w:r>
    </w:p>
    <w:p>
      <w:pPr>
        <w:pStyle w:val="ListBullet"/>
        <w:spacing w:line="240" w:lineRule="auto"/>
        <w:ind w:left="720"/>
      </w:pPr>
      <w:r>
        <w:rPr>
          <w:lang w:val="en_US" w:bidi="en_US"/>
        </w:rPr>
      </w:r>
      <w:r>
        <w:rPr>
          <w:lang w:val="en_US" w:bidi="en_US"/>
        </w:rPr>
        <w:t>“Does this man live/reside in Galilee?”</w:t>
      </w:r>
    </w:p>
    <w:p>
      <w:pPr>
        <w:pStyle w:val="ListBullet"/>
        <w:spacing w:line="240" w:lineRule="auto"/>
        <w:ind w:left="720"/>
      </w:pPr>
      <w:r>
        <w:rPr>
          <w:lang w:val="en_US" w:bidi="en_US"/>
        </w:rPr>
      </w:r>
      <w:r>
        <w:rPr>
          <w:lang w:val="en_US" w:bidi="en_US"/>
        </w:rPr>
        <w:t xml:space="preserve">“So does he live in </w:t>
      </w:r>
      <w:r>
        <w:rPr>
          <w:lang w:val="en_US" w:bidi="en_US"/>
        </w:rPr>
        <w:t>the region/province of</w:t>
      </w:r>
      <w:r>
        <w:rPr>
          <w:lang w:val="en_US" w:bidi="en_US"/>
        </w:rPr>
        <w:t xml:space="preserve"> Galilee?”</w:t>
      </w:r>
    </w:p>
    <w:p>
      <w:pPr>
        <w:pStyle w:val="Heading5"/>
      </w:pPr>
      <w:r>
        <w:rPr>
          <w:lang w:val="en_US" w:bidi="en_US"/>
        </w:rPr>
        <w:t>23:6a–b</w:t>
      </w:r>
    </w:p>
    <w:p>
      <w:pPr/>
      <w:r>
        <w:rPr>
          <w:lang w:val="en_US" w:bidi="en_US"/>
        </w:rPr>
      </w:r>
      <w:r>
        <w:rPr>
          <w:b/>
          <w:lang w:val="en_US" w:bidi="en_US"/>
        </w:rPr>
        <w:t>When Pilate heard this:</w:t>
      </w:r>
      <w:r>
        <w:rPr>
          <w:lang w:val="en_US" w:bidi="en_US"/>
        </w:rPr>
        <w:t xml:space="preserve"> The Greek phrase that the BSB translates as </w:t>
      </w:r>
      <w:r>
        <w:rPr>
          <w:i/>
          <w:lang w:val="en_US" w:bidi="en_US"/>
        </w:rPr>
        <w:t>When Pilate heard this</w:t>
      </w:r>
      <w:r>
        <w:rPr>
          <w:lang w:val="en_US" w:bidi="en_US"/>
        </w:rPr>
        <w:t xml:space="preserve"> is more literally “and</w:t>
      </w:r>
      <w:r>
        <w:rPr>
          <w:lang w:val="en_US" w:bidi="en_US"/>
        </w:rPr>
        <w:t xml:space="preserve">The NET translates this conjunction </w:t>
      </w:r>
      <w:r>
        <w:rPr>
          <w:i/>
          <w:lang w:val="en_US" w:bidi="en_US"/>
        </w:rPr>
        <w:t>de</w:t>
      </w:r>
      <w:r>
        <w:rPr>
          <w:lang w:val="en_US" w:bidi="en_US"/>
        </w:rPr>
        <w:t xml:space="preserve"> as “Now.” The BSB and most other English versions do not translate it.</w:t>
      </w:r>
      <w:r>
        <w:rPr>
          <w:lang w:val="en_US" w:bidi="en_US"/>
        </w:rPr>
        <w:t xml:space="preserve"> having heard.” It refers to what Pilate heard the Jewish leaders say about Jesus in 23:5c. They said that Jesus started his teaching in Galilee. That was the basis for the question that Pilate asked them in 23:6b. Some other ways to translate the phrase are:</w:t>
      </w:r>
    </w:p>
    <w:p>
      <w:pPr/>
      <w:r>
        <w:rPr>
          <w:lang w:val="en_US" w:bidi="en_US"/>
        </w:rPr>
      </w:r>
      <w:r>
        <w:rPr>
          <w:lang w:val="en_US" w:bidi="en_US"/>
        </w:rPr>
        <w:t>When Pilate heard this (GNT)</w:t>
      </w:r>
    </w:p>
    <w:p>
      <w:pPr/>
      <w:r>
        <w:rPr>
          <w:lang w:val="en_US" w:bidi="en_US"/>
        </w:rPr>
      </w:r>
      <w:r>
        <w:rPr>
          <w:lang w:val="en_US" w:bidi="en_US"/>
        </w:rPr>
        <w:t xml:space="preserve">After hearing what </w:t>
      </w:r>
      <w:r>
        <w:rPr>
          <w:lang w:val="en_US" w:bidi="en_US"/>
        </w:rPr>
        <w:t>the Jewish leaders said</w:t>
      </w:r>
    </w:p>
    <w:p>
      <w:pPr/>
      <w:r>
        <w:rPr>
          <w:lang w:val="en_US" w:bidi="en_US"/>
        </w:rPr>
      </w:r>
      <w:r>
        <w:rPr>
          <w:lang w:val="en_US" w:bidi="en_US"/>
        </w:rPr>
        <w:t xml:space="preserve">When </w:t>
      </w:r>
      <w:r>
        <w:rPr>
          <w:lang w:val="en_US" w:bidi="en_US"/>
        </w:rPr>
        <w:t>the Jewish leaders said</w:t>
      </w:r>
      <w:r>
        <w:rPr>
          <w:lang w:val="en_US" w:bidi="en_US"/>
        </w:rPr>
        <w:t xml:space="preserve"> that, Pilate…</w:t>
      </w:r>
    </w:p>
    <w:p>
      <w:pPr/>
      <w:r>
        <w:rPr>
          <w:lang w:val="en_US" w:bidi="en_US"/>
        </w:rPr>
      </w:r>
      <w:r>
        <w:rPr>
          <w:b/>
          <w:lang w:val="en_US" w:bidi="en_US"/>
        </w:rPr>
        <w:t>he asked if the man was a Galilean:</w:t>
      </w:r>
      <w:r>
        <w:rPr>
          <w:lang w:val="en_US" w:bidi="en_US"/>
        </w:rPr>
        <w:t xml:space="preserve"> This clause uses indirect speech. Pilate asked the Jewish leaders if Jesus was a </w:t>
      </w:r>
      <w:r>
        <w:rPr>
          <w:i/>
          <w:lang w:val="en_US" w:bidi="en_US"/>
        </w:rPr>
        <w:t>Galilean</w:t>
      </w:r>
      <w:r>
        <w:rPr>
          <w:lang w:val="en_US" w:bidi="en_US"/>
        </w:rPr>
        <w:t xml:space="preserve">. In some languages, it may not be natural for Luke to refer to Jesus as </w:t>
      </w:r>
      <w:r>
        <w:rPr>
          <w:i/>
          <w:lang w:val="en_US" w:bidi="en_US"/>
        </w:rPr>
        <w:t>the man</w:t>
      </w:r>
      <w:r>
        <w:rPr>
          <w:lang w:val="en_US" w:bidi="en_US"/>
        </w:rPr>
        <w:t>. If that is true in your language, some other ways to translate it are:</w:t>
      </w:r>
    </w:p>
    <w:p>
      <w:pPr>
        <w:pStyle w:val="ListBullet"/>
        <w:spacing w:line="240" w:lineRule="auto"/>
        <w:ind w:left="720"/>
      </w:pPr>
      <w:r>
        <w:rPr>
          <w:lang w:val="en_US" w:bidi="en_US"/>
        </w:rPr>
      </w:r>
      <w:r>
        <w:rPr>
          <w:lang w:val="en_US" w:bidi="en_US"/>
        </w:rPr>
        <w:t>Use direct speech. For example:</w:t>
      </w:r>
      <w:r>
        <w:rPr>
          <w:lang w:val="en_US" w:bidi="en_US"/>
        </w:rPr>
        <w:t>Pilate asked, “Is the man a Galilean?”</w:t>
      </w:r>
    </w:p>
    <w:p>
      <w:pPr>
        <w:pStyle w:val="ListBullet"/>
        <w:spacing w:line="240" w:lineRule="auto"/>
        <w:ind w:left="720"/>
      </w:pPr>
      <w:r>
        <w:rPr>
          <w:lang w:val="en_US" w:bidi="en_US"/>
        </w:rPr>
      </w:r>
      <w:r>
        <w:rPr>
          <w:lang w:val="en_US" w:bidi="en_US"/>
        </w:rPr>
        <w:t>Make explicit that Pilate was referring to Jesus. For example:</w:t>
      </w:r>
      <w:r>
        <w:rPr>
          <w:lang w:val="en_US" w:bidi="en_US"/>
        </w:rPr>
        <w:t>Pilate asked if Jesus was a Galilean.</w:t>
      </w:r>
    </w:p>
    <w:p>
      <w:pPr/>
      <w:r>
        <w:rPr>
          <w:lang w:val="en_US" w:bidi="en_US"/>
        </w:rPr>
      </w:r>
      <w:r>
        <w:rPr>
          <w:lang w:val="en_US" w:bidi="en_US"/>
        </w:rPr>
        <w:t>Translate Pilate’s question in a natural way in your language.</w:t>
      </w:r>
    </w:p>
    <w:p>
      <w:pPr/>
      <w:r>
        <w:rPr>
          <w:lang w:val="en_US" w:bidi="en_US"/>
        </w:rPr>
      </w:r>
      <w:r>
        <w:rPr>
          <w:b/>
          <w:lang w:val="en_US" w:bidi="en_US"/>
        </w:rPr>
        <w:t>if the man was a Galilean:</w:t>
      </w:r>
      <w:r>
        <w:rPr>
          <w:lang w:val="en_US" w:bidi="en_US"/>
        </w:rPr>
        <w:t xml:space="preserve"> The phrase </w:t>
      </w:r>
      <w:r>
        <w:rPr>
          <w:i/>
          <w:lang w:val="en_US" w:bidi="en_US"/>
        </w:rPr>
        <w:t>a Galilean</w:t>
      </w:r>
      <w:r>
        <w:rPr>
          <w:lang w:val="en_US" w:bidi="en_US"/>
        </w:rPr>
        <w:t xml:space="preserve"> refers here to a person who was a legal resident of the district of Galilee. Jesus was not born in Galilee, but he lived there for many years as a child and as a man. Some other ways to translate the question are:</w:t>
      </w:r>
    </w:p>
    <w:p>
      <w:pPr/>
      <w:r>
        <w:rPr>
          <w:lang w:val="en_US" w:bidi="en_US"/>
        </w:rPr>
      </w:r>
      <w:r>
        <w:rPr>
          <w:lang w:val="en_US" w:bidi="en_US"/>
        </w:rPr>
        <w:t>if Jesus lived in Galilee</w:t>
      </w:r>
    </w:p>
    <w:p>
      <w:pPr/>
      <w:r>
        <w:rPr>
          <w:lang w:val="en_US" w:bidi="en_US"/>
        </w:rPr>
      </w:r>
      <w:r>
        <w:rPr>
          <w:lang w:val="en_US" w:bidi="en_US"/>
        </w:rPr>
        <w:t>Is he a Galilee citizen/person?</w:t>
      </w:r>
    </w:p>
    <w:p>
      <w:pPr/>
      <w:r>
        <w:rPr>
          <w:lang w:val="en_US" w:bidi="en_US"/>
        </w:rPr>
      </w:r>
      <w:r>
        <w:rPr>
          <w:lang w:val="en_US" w:bidi="en_US"/>
        </w:rPr>
        <w:t>Does he come from Galilee?</w:t>
      </w:r>
    </w:p>
    <w:p>
      <w:pPr/>
      <w:r>
        <w:rPr>
          <w:lang w:val="en_US" w:bidi="en_US"/>
        </w:rPr>
      </w:r>
      <w:r>
        <w:rPr>
          <w:lang w:val="en_US" w:bidi="en_US"/>
        </w:rPr>
        <w:t xml:space="preserve">The term </w:t>
      </w:r>
      <w:r>
        <w:rPr>
          <w:i/>
          <w:lang w:val="en_US" w:bidi="en_US"/>
        </w:rPr>
        <w:t>a Galilean</w:t>
      </w:r>
      <w:r>
        <w:rPr>
          <w:lang w:val="en_US" w:bidi="en_US"/>
        </w:rPr>
        <w:t xml:space="preserve"> also occurs in 22:59c. You may be able to translate it in the same way here. However, in this context Pilate was using the term in a legal sense, so you may need to translate it in a different way here.</w:t>
      </w:r>
    </w:p>
    <w:p>
      <w:pPr/>
      <w:r>
        <w:rPr>
          <w:lang w:val="en_US" w:bidi="en_US"/>
        </w:rPr>
      </w:r>
      <w:r>
        <w:rPr>
          <w:b/>
          <w:lang w:val="en_US" w:bidi="en_US"/>
        </w:rPr>
        <w:t>the man:</w:t>
      </w:r>
      <w:r>
        <w:rPr>
          <w:lang w:val="en_US" w:bidi="en_US"/>
        </w:rPr>
        <w:t xml:space="preserve"> Some Bible scholars think that the phrase </w:t>
      </w:r>
      <w:r>
        <w:rPr>
          <w:i/>
          <w:lang w:val="en_US" w:bidi="en_US"/>
        </w:rPr>
        <w:t>the man</w:t>
      </w:r>
      <w:r>
        <w:rPr>
          <w:lang w:val="en_US" w:bidi="en_US"/>
        </w:rPr>
        <w:t xml:space="preserve"> may be a disrespectful way to refer to Jesus. However, it is not necessary to assume that.</w:t>
      </w:r>
      <w:r>
        <w:rPr>
          <w:lang w:val="en_US" w:bidi="en_US"/>
        </w:rPr>
        <w:t>Reiling and Swellengrebel (p. 717) say that it “may have here a depreciatory sense, but this is not necessary.”</w:t>
      </w:r>
      <w:r>
        <w:rPr>
          <w:lang w:val="en_US" w:bidi="en_US"/>
        </w:rPr>
        <w:t xml:space="preserve"> Translate in a way that refers clearly to Jesus.</w:t>
      </w:r>
      <w:r>
        <w:rPr>
          <w:lang w:val="en_US" w:bidi="en_US"/>
        </w:rPr>
      </w:r>
      <w:r>
        <w:rPr>
          <w:lang w:val="en_US" w:bidi="en_US"/>
        </w:rPr>
      </w:r>
    </w:p>
    <w:p>
      <w:pPr/>
      <w:r>
        <w:rPr>
          <w:lang w:val="en_US" w:bidi="en_US"/>
        </w:rPr>
      </w:r>
    </w:p>
    <w:p>
      <w:pPr>
        <w:pStyle w:val="Heading2"/>
      </w:pPr>
      <w:r>
        <w:rPr>
          <w:lang w:val="en_US" w:bidi="en_US"/>
        </w:rPr>
        <w:t>Luke 23:7</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23:7a</w:t>
      </w:r>
    </w:p>
    <w:p>
      <w:pPr/>
      <w:r>
        <w:rPr>
          <w:lang w:val="en_US" w:bidi="en_US"/>
        </w:rPr>
      </w:r>
      <w:r>
        <w:rPr>
          <w:b/>
          <w:lang w:val="en_US" w:bidi="en_US"/>
        </w:rPr>
        <w:t>And learning that Jesus was under Herod’s jurisdiction,</w:t>
      </w:r>
    </w:p>
    <w:p>
      <w:pPr>
        <w:pStyle w:val="ListBullet"/>
        <w:spacing w:line="240" w:lineRule="auto"/>
        <w:ind w:left="720"/>
      </w:pPr>
      <w:r>
        <w:rPr>
          <w:lang w:val="en_US" w:bidi="en_US"/>
        </w:rPr>
      </w:r>
      <w:r>
        <w:rPr>
          <w:lang w:val="en_US" w:bidi="en_US"/>
        </w:rPr>
        <w:t xml:space="preserve">When Pilate realized/heard that Jesus </w:t>
      </w:r>
      <w:r>
        <w:rPr>
          <w:lang w:val="en_US" w:bidi="en_US"/>
        </w:rPr>
        <w:t>came from Galilee</w:t>
      </w:r>
      <w:r>
        <w:rPr>
          <w:lang w:val="en_US" w:bidi="en_US"/>
        </w:rPr>
        <w:t>, the area that Herod ruled,</w:t>
      </w:r>
    </w:p>
    <w:p>
      <w:pPr>
        <w:pStyle w:val="ListBullet"/>
        <w:spacing w:line="240" w:lineRule="auto"/>
        <w:ind w:left="720"/>
      </w:pPr>
      <w:r>
        <w:rPr>
          <w:lang w:val="en_US" w:bidi="en_US"/>
        </w:rPr>
      </w:r>
      <w:r>
        <w:rPr>
          <w:lang w:val="en_US" w:bidi="en_US"/>
        </w:rPr>
        <w:t xml:space="preserve">When </w:t>
      </w:r>
      <w:r>
        <w:rPr>
          <w:lang w:val="en_US" w:bidi="en_US"/>
        </w:rPr>
        <w:t>they said, “Yes”</w:t>
      </w:r>
      <w:r>
        <w:rPr>
          <w:lang w:val="en_US" w:bidi="en_US"/>
        </w:rPr>
        <w:t xml:space="preserve">, Pilate knew that Jesus was under the authority of Herod </w:t>
      </w:r>
      <w:r>
        <w:rPr>
          <w:lang w:val="en_US" w:bidi="en_US"/>
        </w:rPr>
        <w:t>Antipas</w:t>
      </w:r>
      <w:r>
        <w:rPr>
          <w:lang w:val="en_US" w:bidi="en_US"/>
        </w:rPr>
        <w:t>,</w:t>
      </w:r>
    </w:p>
    <w:p>
      <w:pPr/>
      <w:r>
        <w:rPr>
          <w:lang w:val="en_US" w:bidi="en_US"/>
        </w:rPr>
      </w:r>
      <w:r>
        <w:rPr>
          <w:b/>
          <w:lang w:val="en_US" w:bidi="en_US"/>
        </w:rPr>
        <w:t>And learning that Jesus was under Herod’s jurisdiction:</w:t>
      </w:r>
      <w:r>
        <w:rPr>
          <w:lang w:val="en_US" w:bidi="en_US"/>
        </w:rPr>
        <w:t xml:space="preserve"> Two important facts are implied in 23:7a:</w:t>
      </w:r>
    </w:p>
    <w:p>
      <w:pPr>
        <w:pStyle w:val="ListNumber"/>
        <w:numPr>
          <w:ilvl w:val="0"/>
          <w:numId w:val="362"/>
        </w:numPr>
        <w:spacing w:line="240" w:lineRule="auto"/>
        <w:ind w:left="720"/>
      </w:pPr>
      <w:r>
        <w:rPr>
          <w:lang w:val="en_US" w:bidi="en_US"/>
        </w:rPr>
      </w:r>
      <w:r>
        <w:rPr>
          <w:lang w:val="en_US" w:bidi="en_US"/>
        </w:rPr>
        <w:t>The Jewish leaders answered Pilate’s question and affirmed that Jesus was a Galilean.</w:t>
      </w:r>
    </w:p>
    <w:p>
      <w:pPr>
        <w:pStyle w:val="ListNumber"/>
        <w:spacing w:line="240" w:lineRule="auto"/>
        <w:ind w:left="720"/>
      </w:pPr>
      <w:r>
        <w:rPr>
          <w:lang w:val="en_US" w:bidi="en_US"/>
        </w:rPr>
      </w:r>
      <w:r>
        <w:rPr>
          <w:lang w:val="en_US" w:bidi="en_US"/>
        </w:rPr>
        <w:t xml:space="preserve">The ruler of Galilee, </w:t>
      </w:r>
      <w:r>
        <w:rPr>
          <w:i/>
          <w:lang w:val="en_US" w:bidi="en_US"/>
        </w:rPr>
        <w:t>Herod</w:t>
      </w:r>
      <w:r>
        <w:rPr>
          <w:lang w:val="en_US" w:bidi="en_US"/>
        </w:rPr>
        <w:t>, had authority (</w:t>
      </w:r>
      <w:r>
        <w:rPr>
          <w:i/>
          <w:lang w:val="en_US" w:bidi="en_US"/>
        </w:rPr>
        <w:t>jurisdiction</w:t>
      </w:r>
      <w:r>
        <w:rPr>
          <w:lang w:val="en_US" w:bidi="en_US"/>
        </w:rPr>
        <w:t>) over Jesus because Jesus was from Galilee.</w:t>
      </w:r>
    </w:p>
    <w:p>
      <w:pPr/>
      <w:r>
        <w:rPr>
          <w:lang w:val="en_US" w:bidi="en_US"/>
        </w:rPr>
      </w:r>
      <w:r>
        <w:rPr>
          <w:lang w:val="en_US" w:bidi="en_US"/>
        </w:rPr>
        <w:t>In some languages it may be necessary to make one or both of these facts explicit. If this is true in your language, remember that Pilate learned only fact (a) from the council members. He learned that Jesus was a Galilean. Pilate already knew that Herod was the ruler of Galilee.</w:t>
      </w:r>
    </w:p>
    <w:p>
      <w:pPr/>
      <w:r>
        <w:rPr>
          <w:lang w:val="en_US" w:bidi="en_US"/>
        </w:rPr>
      </w:r>
      <w:r>
        <w:rPr>
          <w:lang w:val="en_US" w:bidi="en_US"/>
        </w:rPr>
        <w:t>One way to make the information explicit is:</w:t>
      </w:r>
    </w:p>
    <w:p>
      <w:pPr/>
      <w:r>
        <w:rPr>
          <w:lang w:val="en_US" w:bidi="en_US"/>
        </w:rPr>
      </w:r>
      <w:r>
        <w:rPr>
          <w:lang w:val="en_US" w:bidi="en_US"/>
        </w:rPr>
        <w:t xml:space="preserve">Pilate learned </w:t>
      </w:r>
      <w:r>
        <w:rPr>
          <w:lang w:val="en_US" w:bidi="en_US"/>
        </w:rPr>
        <w:t>from them</w:t>
      </w:r>
      <w:r>
        <w:rPr>
          <w:lang w:val="en_US" w:bidi="en_US"/>
        </w:rPr>
        <w:t xml:space="preserve"> that Jesus was </w:t>
      </w:r>
      <w:r>
        <w:rPr>
          <w:lang w:val="en_US" w:bidi="en_US"/>
        </w:rPr>
        <w:t>indeed a Galilean. As a Galilean,</w:t>
      </w:r>
      <w:r>
        <w:rPr>
          <w:lang w:val="en_US" w:bidi="en_US"/>
        </w:rPr>
        <w:t xml:space="preserve"> he was under the jurisdiction of </w:t>
      </w:r>
      <w:r>
        <w:rPr>
          <w:lang w:val="en_US" w:bidi="en_US"/>
        </w:rPr>
        <w:t>Ruler</w:t>
      </w:r>
      <w:r>
        <w:rPr>
          <w:lang w:val="en_US" w:bidi="en_US"/>
        </w:rPr>
        <w:t xml:space="preserve"> Herod. So…</w:t>
      </w:r>
    </w:p>
    <w:p>
      <w:pPr/>
      <w:r>
        <w:rPr>
          <w:lang w:val="en_US" w:bidi="en_US"/>
        </w:rPr>
      </w:r>
      <w:r>
        <w:rPr>
          <w:lang w:val="en_US" w:bidi="en_US"/>
        </w:rPr>
        <w:t>For another way of supplying this information, see the General Comment on 23:7a–b below.</w:t>
      </w:r>
    </w:p>
    <w:p>
      <w:pPr/>
      <w:r>
        <w:rPr>
          <w:lang w:val="en_US" w:bidi="en_US"/>
        </w:rPr>
      </w:r>
      <w:r>
        <w:rPr>
          <w:b/>
          <w:lang w:val="en_US" w:bidi="en_US"/>
        </w:rPr>
        <w:t>And learning:</w:t>
      </w:r>
      <w:r>
        <w:rPr>
          <w:lang w:val="en_US" w:bidi="en_US"/>
        </w:rPr>
        <w:t xml:space="preserve"> In this context the word </w:t>
      </w:r>
      <w:r>
        <w:rPr>
          <w:i/>
          <w:lang w:val="en_US" w:bidi="en_US"/>
        </w:rPr>
        <w:t>learning</w:t>
      </w:r>
      <w:r>
        <w:rPr>
          <w:lang w:val="en_US" w:bidi="en_US"/>
        </w:rPr>
        <w:t xml:space="preserve"> implies that people told Pilate the answer to his question. He did not learn about it from studying. Probably the Jewish leaders answered his question and told Pilate that Jesus was a Galilean. Some other ways to translate this are:</w:t>
      </w:r>
    </w:p>
    <w:p>
      <w:pPr/>
      <w:r>
        <w:rPr>
          <w:lang w:val="en_US" w:bidi="en_US"/>
        </w:rPr>
      </w:r>
      <w:r>
        <w:rPr>
          <w:lang w:val="en_US" w:bidi="en_US"/>
        </w:rPr>
        <w:t>When they said that he was (NLT)</w:t>
      </w:r>
    </w:p>
    <w:p>
      <w:pPr/>
      <w:r>
        <w:rPr>
          <w:lang w:val="en_US" w:bidi="en_US"/>
        </w:rPr>
      </w:r>
      <w:r>
        <w:rPr>
          <w:lang w:val="en_US" w:bidi="en_US"/>
        </w:rPr>
        <w:t>When Pilate knew/discovered that Jesus was</w:t>
      </w:r>
    </w:p>
    <w:p>
      <w:pPr/>
      <w:r>
        <w:rPr>
          <w:lang w:val="en_US" w:bidi="en_US"/>
        </w:rPr>
      </w:r>
      <w:r>
        <w:rPr>
          <w:b/>
          <w:lang w:val="en_US" w:bidi="en_US"/>
        </w:rPr>
        <w:t>Jesus was under Herod’s jurisdiction:</w:t>
      </w:r>
      <w:r>
        <w:rPr>
          <w:lang w:val="en_US" w:bidi="en_US"/>
        </w:rPr>
        <w:t xml:space="preserve"> The Greek phrase that the BSB translates as </w:t>
      </w:r>
      <w:r>
        <w:rPr>
          <w:i/>
          <w:lang w:val="en_US" w:bidi="en_US"/>
        </w:rPr>
        <w:t>Herod’s jurisdiction</w:t>
      </w:r>
      <w:r>
        <w:rPr>
          <w:lang w:val="en_US" w:bidi="en_US"/>
        </w:rPr>
        <w:t xml:space="preserve"> refers here to the area and people that Herod had authority to rule. Some other ways to translate the clause </w:t>
      </w:r>
      <w:r>
        <w:rPr>
          <w:i/>
          <w:lang w:val="en_US" w:bidi="en_US"/>
        </w:rPr>
        <w:t>Jesus was under Herod’s jurisdiction</w:t>
      </w:r>
      <w:r>
        <w:rPr>
          <w:lang w:val="en_US" w:bidi="en_US"/>
        </w:rPr>
        <w:t xml:space="preserve"> are:</w:t>
      </w:r>
    </w:p>
    <w:p>
      <w:pPr/>
      <w:r>
        <w:rPr>
          <w:lang w:val="en_US" w:bidi="en_US"/>
        </w:rPr>
      </w:r>
      <w:r>
        <w:rPr>
          <w:lang w:val="en_US" w:bidi="en_US"/>
        </w:rPr>
        <w:t>Jesus was from the region ruled by Herod (GNT)</w:t>
      </w:r>
    </w:p>
    <w:p>
      <w:pPr/>
      <w:r>
        <w:rPr>
          <w:lang w:val="en_US" w:bidi="en_US"/>
        </w:rPr>
      </w:r>
      <w:r>
        <w:rPr>
          <w:lang w:val="en_US" w:bidi="en_US"/>
        </w:rPr>
        <w:t>Jesus was under Herod’s authority (NCV)</w:t>
      </w:r>
    </w:p>
    <w:p>
      <w:pPr/>
      <w:r>
        <w:rPr>
          <w:lang w:val="en_US" w:bidi="en_US"/>
        </w:rPr>
      </w:r>
      <w:r>
        <w:rPr>
          <w:b/>
          <w:lang w:val="en_US" w:bidi="en_US"/>
        </w:rPr>
        <w:t>Herod’s:</w:t>
      </w:r>
      <w:r>
        <w:rPr>
          <w:lang w:val="en_US" w:bidi="en_US"/>
        </w:rPr>
        <w:t xml:space="preserve"> The name </w:t>
      </w:r>
      <w:r>
        <w:rPr>
          <w:i/>
          <w:lang w:val="en_US" w:bidi="en_US"/>
        </w:rPr>
        <w:t>Herod</w:t>
      </w:r>
      <w:r>
        <w:rPr>
          <w:lang w:val="en_US" w:bidi="en_US"/>
        </w:rPr>
        <w:t xml:space="preserve"> refers here to Herod Antipas, the ruler of Galilee. He was mentioned in 3:1, where the BSB translates his title literally as “tetrarch.” He was not the same Herod as King Herod in Matthew 2:1. If you need to supply a title for Herod, some suggestions are:</w:t>
      </w:r>
    </w:p>
    <w:p>
      <w:pPr/>
      <w:r>
        <w:rPr>
          <w:lang w:val="en_US" w:bidi="en_US"/>
        </w:rPr>
      </w:r>
      <w:r>
        <w:rPr>
          <w:lang w:val="en_US" w:bidi="en_US"/>
        </w:rPr>
        <w:t>Governor Herod</w:t>
      </w:r>
    </w:p>
    <w:p>
      <w:pPr/>
      <w:r>
        <w:rPr>
          <w:lang w:val="en_US" w:bidi="en_US"/>
        </w:rPr>
      </w:r>
      <w:r>
        <w:rPr>
          <w:lang w:val="en_US" w:bidi="en_US"/>
        </w:rPr>
        <w:t>Ruler Herod</w:t>
      </w:r>
    </w:p>
    <w:p>
      <w:pPr>
        <w:pStyle w:val="Heading5"/>
      </w:pPr>
      <w:r>
        <w:rPr>
          <w:lang w:val="en_US" w:bidi="en_US"/>
        </w:rPr>
        <w:t>23:7b</w:t>
      </w:r>
    </w:p>
    <w:p>
      <w:pPr/>
      <w:r>
        <w:rPr>
          <w:lang w:val="en_US" w:bidi="en_US"/>
        </w:rPr>
      </w:r>
      <w:r>
        <w:rPr>
          <w:b/>
          <w:lang w:val="en_US" w:bidi="en_US"/>
        </w:rPr>
        <w:t>he sent Him to Herod,</w:t>
      </w:r>
    </w:p>
    <w:p>
      <w:pPr>
        <w:pStyle w:val="ListBullet"/>
        <w:spacing w:line="240" w:lineRule="auto"/>
        <w:ind w:left="720"/>
      </w:pPr>
      <w:r>
        <w:rPr>
          <w:lang w:val="en_US" w:bidi="en_US"/>
        </w:rPr>
      </w:r>
      <w:r>
        <w:rPr>
          <w:lang w:val="en_US" w:bidi="en_US"/>
        </w:rPr>
        <w:t>he sent Jesus to Herod.</w:t>
      </w:r>
    </w:p>
    <w:p>
      <w:pPr>
        <w:pStyle w:val="ListBullet"/>
        <w:spacing w:line="240" w:lineRule="auto"/>
        <w:ind w:left="720"/>
      </w:pPr>
      <w:r>
        <w:rPr>
          <w:lang w:val="en_US" w:bidi="en_US"/>
        </w:rPr>
      </w:r>
      <w:r>
        <w:rPr>
          <w:lang w:val="en_US" w:bidi="en_US"/>
        </w:rPr>
        <w:t xml:space="preserve">and/so he told </w:t>
      </w:r>
      <w:r>
        <w:rPr>
          <w:lang w:val="en_US" w:bidi="en_US"/>
        </w:rPr>
        <w:t>his men</w:t>
      </w:r>
      <w:r>
        <w:rPr>
          <w:lang w:val="en_US" w:bidi="en_US"/>
        </w:rPr>
        <w:t xml:space="preserve"> to take Jesus to Herod </w:t>
      </w:r>
      <w:r>
        <w:rPr>
          <w:lang w:val="en_US" w:bidi="en_US"/>
        </w:rPr>
        <w:t>for judgment</w:t>
      </w:r>
      <w:r>
        <w:rPr>
          <w:lang w:val="en_US" w:bidi="en_US"/>
        </w:rPr>
        <w:t>.</w:t>
      </w:r>
    </w:p>
    <w:p>
      <w:pPr/>
      <w:r>
        <w:rPr>
          <w:lang w:val="en_US" w:bidi="en_US"/>
        </w:rPr>
      </w:r>
      <w:r>
        <w:rPr>
          <w:b/>
          <w:lang w:val="en_US" w:bidi="en_US"/>
        </w:rPr>
        <w:t>he sent Him to Herod:</w:t>
      </w:r>
      <w:r>
        <w:rPr>
          <w:lang w:val="en_US" w:bidi="en_US"/>
        </w:rPr>
        <w:t xml:space="preserve"> The clause </w:t>
      </w:r>
      <w:r>
        <w:rPr>
          <w:i/>
          <w:lang w:val="en_US" w:bidi="en_US"/>
        </w:rPr>
        <w:t>he sent Him to Herod</w:t>
      </w:r>
      <w:r>
        <w:rPr>
          <w:lang w:val="en_US" w:bidi="en_US"/>
        </w:rPr>
        <w:t xml:space="preserve"> indicates that Pilate sent Jesus to be judged by Ruler Herod.</w:t>
      </w:r>
      <w:r>
        <w:rPr>
          <w:lang w:val="en_US" w:bidi="en_US"/>
        </w:rPr>
        <w:t>This verse does not imply that Herod was a more important ruler than Pilate.</w:t>
      </w:r>
      <w:r>
        <w:rPr>
          <w:lang w:val="en_US" w:bidi="en_US"/>
        </w:rPr>
        <w:t xml:space="preserve"> It implies that Pilate told his soldiers to take Jesus to Herod. Some other ways to translate this clause are:</w:t>
      </w:r>
    </w:p>
    <w:p>
      <w:pPr/>
      <w:r>
        <w:rPr>
          <w:lang w:val="en_US" w:bidi="en_US"/>
        </w:rPr>
      </w:r>
      <w:r>
        <w:rPr>
          <w:lang w:val="en_US" w:bidi="en_US"/>
        </w:rPr>
        <w:t>he commanded Isa to be brought to King Herod</w:t>
      </w:r>
      <w:r>
        <w:rPr>
          <w:lang w:val="en_US" w:bidi="en_US"/>
        </w:rPr>
        <w:t>Yakan back translation on TW.</w:t>
      </w:r>
    </w:p>
    <w:p>
      <w:pPr/>
      <w:r>
        <w:rPr>
          <w:lang w:val="en_US" w:bidi="en_US"/>
        </w:rPr>
      </w:r>
      <w:r>
        <w:rPr>
          <w:lang w:val="en_US" w:bidi="en_US"/>
        </w:rPr>
        <w:t>Pilatus ordered people to take Yesus to…Herodes</w:t>
      </w:r>
      <w:r>
        <w:rPr>
          <w:lang w:val="en_US" w:bidi="en_US"/>
        </w:rPr>
        <w:t>Uma back translation on TW.</w:t>
      </w:r>
    </w:p>
    <w:p>
      <w:pPr>
        <w:pStyle w:val="Heading6"/>
      </w:pPr>
      <w:r>
        <w:rPr>
          <w:b/>
          <w:lang w:val="en_US" w:bidi="en_US"/>
        </w:rPr>
        <w:t>General Comment on 23:7a–b</w:t>
      </w:r>
    </w:p>
    <w:p>
      <w:pPr/>
      <w:r>
        <w:rPr>
          <w:lang w:val="en_US" w:bidi="en_US"/>
        </w:rPr>
      </w:r>
      <w:r>
        <w:rPr>
          <w:lang w:val="en_US" w:bidi="en_US"/>
        </w:rPr>
        <w:t>In some languages it may be helpful to change the order of information in this verse. For example:</w:t>
      </w:r>
    </w:p>
    <w:p>
      <w:pPr/>
      <w:r>
        <w:rPr>
          <w:lang w:val="en_US" w:bidi="en_US"/>
        </w:rPr>
      </w:r>
      <w:r>
        <w:rPr>
          <w:vertAlign w:val="superscript"/>
          <w:lang w:val="en_US" w:bidi="en_US"/>
        </w:rPr>
        <w:t>7a</w:t>
      </w:r>
      <w:r>
        <w:rPr>
          <w:lang w:val="en_US" w:bidi="en_US"/>
        </w:rPr>
        <w:t xml:space="preserve">When they answered that he was, </w:t>
      </w:r>
      <w:r>
        <w:rPr>
          <w:vertAlign w:val="superscript"/>
          <w:lang w:val="en_US" w:bidi="en_US"/>
        </w:rPr>
        <w:t>7b</w:t>
      </w:r>
      <w:r>
        <w:rPr>
          <w:lang w:val="en_US" w:bidi="en_US"/>
        </w:rPr>
        <w:t xml:space="preserve">Pilate sent him to Herod Antipas, </w:t>
      </w:r>
      <w:r>
        <w:rPr>
          <w:vertAlign w:val="superscript"/>
          <w:lang w:val="en_US" w:bidi="en_US"/>
        </w:rPr>
        <w:t>7a</w:t>
      </w:r>
      <w:r>
        <w:rPr>
          <w:lang w:val="en_US" w:bidi="en_US"/>
        </w:rPr>
        <w:t>because Galilee was under Herod’s jurisdiction (NLT96)</w:t>
      </w:r>
    </w:p>
    <w:p>
      <w:pPr>
        <w:pStyle w:val="Heading5"/>
      </w:pPr>
      <w:r>
        <w:rPr>
          <w:lang w:val="en_US" w:bidi="en_US"/>
        </w:rPr>
        <w:t>23:7c</w:t>
      </w:r>
    </w:p>
    <w:p>
      <w:pPr/>
      <w:r>
        <w:rPr>
          <w:lang w:val="en_US" w:bidi="en_US"/>
        </w:rPr>
      </w:r>
      <w:r>
        <w:rPr>
          <w:b/>
          <w:lang w:val="en_US" w:bidi="en_US"/>
        </w:rPr>
        <w:t>who himself was in Jerusalem at that time.</w:t>
      </w:r>
    </w:p>
    <w:p>
      <w:pPr>
        <w:pStyle w:val="ListBullet"/>
        <w:spacing w:line="240" w:lineRule="auto"/>
        <w:ind w:left="720"/>
      </w:pPr>
      <w:r>
        <w:rPr>
          <w:lang w:val="en_US" w:bidi="en_US"/>
        </w:rPr>
      </w:r>
      <w:r>
        <w:rPr>
          <w:lang w:val="en_US" w:bidi="en_US"/>
        </w:rPr>
        <w:t>During that time, Herod was also in Jerusalem.</w:t>
      </w:r>
    </w:p>
    <w:p>
      <w:pPr>
        <w:pStyle w:val="ListBullet"/>
        <w:spacing w:line="240" w:lineRule="auto"/>
        <w:ind w:left="720"/>
      </w:pPr>
      <w:r>
        <w:rPr>
          <w:lang w:val="en_US" w:bidi="en_US"/>
        </w:rPr>
      </w:r>
      <w:r>
        <w:rPr>
          <w:lang w:val="en_US" w:bidi="en_US"/>
        </w:rPr>
        <w:t xml:space="preserve">Like </w:t>
      </w:r>
      <w:r>
        <w:rPr>
          <w:lang w:val="en_US" w:bidi="en_US"/>
        </w:rPr>
        <w:t>Pilate</w:t>
      </w:r>
      <w:r>
        <w:rPr>
          <w:lang w:val="en_US" w:bidi="en_US"/>
        </w:rPr>
        <w:t xml:space="preserve">, </w:t>
      </w:r>
      <w:r>
        <w:rPr>
          <w:lang w:val="en_US" w:bidi="en_US"/>
        </w:rPr>
        <w:t>Herod</w:t>
      </w:r>
      <w:r>
        <w:rPr>
          <w:lang w:val="en_US" w:bidi="en_US"/>
        </w:rPr>
        <w:t xml:space="preserve"> was visiting </w:t>
      </w:r>
      <w:r>
        <w:rPr>
          <w:lang w:val="en_US" w:bidi="en_US"/>
        </w:rPr>
        <w:t>the city of</w:t>
      </w:r>
      <w:r>
        <w:rPr>
          <w:lang w:val="en_US" w:bidi="en_US"/>
        </w:rPr>
        <w:t xml:space="preserve"> Jerusalem at that time.</w:t>
      </w:r>
    </w:p>
    <w:p>
      <w:pPr/>
      <w:r>
        <w:rPr>
          <w:lang w:val="en_US" w:bidi="en_US"/>
        </w:rPr>
      </w:r>
      <w:r>
        <w:rPr>
          <w:b/>
          <w:lang w:val="en_US" w:bidi="en_US"/>
        </w:rPr>
        <w:t>who himself was in Jerusalem at that time:</w:t>
      </w:r>
      <w:r>
        <w:rPr>
          <w:lang w:val="en_US" w:bidi="en_US"/>
        </w:rPr>
        <w:t xml:space="preserve"> This clause implies that both Herod and Pilate had come to Jerusalem from other places. Neither Herod nor Pilate normally lived in Jerusalem. They had come there for a short time, maybe because of the Passover Feast. However, each of them had a big palace in Jerusalem. Other ways to translate the clause are:</w:t>
      </w:r>
    </w:p>
    <w:p>
      <w:pPr/>
      <w:r>
        <w:rPr>
          <w:lang w:val="en_US" w:bidi="en_US"/>
        </w:rPr>
      </w:r>
      <w:r>
        <w:rPr>
          <w:lang w:val="en_US" w:bidi="en_US"/>
        </w:rPr>
        <w:t>during that time he was also there in Jerusalem</w:t>
      </w:r>
    </w:p>
    <w:p>
      <w:pPr/>
      <w:r>
        <w:rPr>
          <w:lang w:val="en_US" w:bidi="en_US"/>
        </w:rPr>
      </w:r>
      <w:r>
        <w:rPr>
          <w:lang w:val="en_US" w:bidi="en_US"/>
        </w:rPr>
        <w:t>it happened that Herod was also in Jerusalem then</w:t>
      </w:r>
      <w:r>
        <w:rPr>
          <w:lang w:val="en_US" w:bidi="en_US"/>
        </w:rPr>
      </w:r>
      <w:r>
        <w:rPr>
          <w:lang w:val="en_US" w:bidi="en_US"/>
        </w:rPr>
      </w:r>
    </w:p>
    <w:p>
      <w:pPr/>
      <w:r>
        <w:rPr>
          <w:lang w:val="en_US" w:bidi="en_US"/>
        </w:rPr>
      </w:r>
    </w:p>
    <w:p>
      <w:pPr>
        <w:pStyle w:val="Heading2"/>
      </w:pPr>
      <w:r>
        <w:rPr>
          <w:lang w:val="en_US" w:bidi="en_US"/>
        </w:rPr>
        <w:t>Luke 23:8</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23:8a</w:t>
      </w:r>
    </w:p>
    <w:p>
      <w:pPr/>
      <w:r>
        <w:rPr>
          <w:lang w:val="en_US" w:bidi="en_US"/>
        </w:rPr>
      </w:r>
      <w:r>
        <w:rPr>
          <w:b/>
          <w:lang w:val="en_US" w:bidi="en_US"/>
        </w:rPr>
        <w:t>When Herod saw Jesus, he was greatly pleased.</w:t>
      </w:r>
    </w:p>
    <w:p>
      <w:pPr>
        <w:pStyle w:val="ListBullet"/>
        <w:spacing w:line="240" w:lineRule="auto"/>
        <w:ind w:left="720"/>
      </w:pPr>
      <w:r>
        <w:rPr>
          <w:lang w:val="en_US" w:bidi="en_US"/>
        </w:rPr>
      </w:r>
      <w:r>
        <w:rPr>
          <w:lang w:val="en_US" w:bidi="en_US"/>
        </w:rPr>
        <w:t>¶ And seeing Jesus, Herod became very happy</w:t>
      </w:r>
    </w:p>
    <w:p>
      <w:pPr>
        <w:pStyle w:val="ListBullet"/>
        <w:spacing w:line="240" w:lineRule="auto"/>
        <w:ind w:left="720"/>
      </w:pPr>
      <w:r>
        <w:rPr>
          <w:lang w:val="en_US" w:bidi="en_US"/>
        </w:rPr>
      </w:r>
      <w:r>
        <w:rPr>
          <w:lang w:val="en_US" w:bidi="en_US"/>
        </w:rPr>
        <w:t xml:space="preserve">¶ When </w:t>
      </w:r>
      <w:r>
        <w:rPr>
          <w:lang w:val="en_US" w:bidi="en_US"/>
        </w:rPr>
        <w:t>the men brought</w:t>
      </w:r>
      <w:r>
        <w:rPr>
          <w:lang w:val="en_US" w:bidi="en_US"/>
        </w:rPr>
        <w:t xml:space="preserve"> Jesus to Herod, Herod was delighted to see him.</w:t>
      </w:r>
    </w:p>
    <w:p>
      <w:pPr/>
      <w:r>
        <w:rPr>
          <w:lang w:val="en_US" w:bidi="en_US"/>
        </w:rPr>
      </w:r>
      <w:r>
        <w:rPr>
          <w:b/>
          <w:lang w:val="en_US" w:bidi="en_US"/>
        </w:rPr>
        <w:t>When Herod saw Jesus, he was greatly pleased:</w:t>
      </w:r>
      <w:r>
        <w:rPr>
          <w:lang w:val="en_US" w:bidi="en_US"/>
        </w:rPr>
        <w:t xml:space="preserve"> When Jesus was brought to Herod, Herod was delighted to see him. Some other ways to translate this statement are:</w:t>
      </w:r>
    </w:p>
    <w:p>
      <w:pPr/>
      <w:r>
        <w:rPr>
          <w:lang w:val="en_US" w:bidi="en_US"/>
        </w:rPr>
      </w:r>
      <w:r>
        <w:rPr>
          <w:lang w:val="en_US" w:bidi="en_US"/>
        </w:rPr>
        <w:t>Herod was very pleased when he saw Jesus (GNT)</w:t>
      </w:r>
    </w:p>
    <w:p>
      <w:pPr/>
      <w:r>
        <w:rPr>
          <w:lang w:val="en_US" w:bidi="en_US"/>
        </w:rPr>
      </w:r>
      <w:r>
        <w:rPr>
          <w:lang w:val="en_US" w:bidi="en_US"/>
        </w:rPr>
        <w:t>Herod was delighted at the opportunity to see Jesus (NLT)</w:t>
      </w:r>
    </w:p>
    <w:p>
      <w:pPr>
        <w:pStyle w:val="Heading5"/>
      </w:pPr>
      <w:r>
        <w:rPr>
          <w:lang w:val="en_US" w:bidi="en_US"/>
        </w:rPr>
        <w:t>23:8b</w:t>
      </w:r>
    </w:p>
    <w:p>
      <w:pPr/>
      <w:r>
        <w:rPr>
          <w:lang w:val="en_US" w:bidi="en_US"/>
        </w:rPr>
      </w:r>
      <w:r>
        <w:rPr>
          <w:b/>
          <w:lang w:val="en_US" w:bidi="en_US"/>
        </w:rPr>
        <w:t>He had wanted to see Him for a long time,</w:t>
      </w:r>
    </w:p>
    <w:p>
      <w:pPr>
        <w:pStyle w:val="ListBullet"/>
        <w:spacing w:line="240" w:lineRule="auto"/>
        <w:ind w:left="720"/>
      </w:pPr>
      <w:r>
        <w:rPr>
          <w:lang w:val="en_US" w:bidi="en_US"/>
        </w:rPr>
      </w:r>
      <w:r>
        <w:rPr>
          <w:lang w:val="en_US" w:bidi="en_US"/>
        </w:rPr>
        <w:t>because he had long wanted to see Jesus.</w:t>
      </w:r>
    </w:p>
    <w:p>
      <w:pPr>
        <w:pStyle w:val="ListBullet"/>
        <w:spacing w:line="240" w:lineRule="auto"/>
        <w:ind w:left="720"/>
      </w:pPr>
      <w:r>
        <w:rPr>
          <w:lang w:val="en_US" w:bidi="en_US"/>
        </w:rPr>
      </w:r>
      <w:r>
        <w:rPr>
          <w:lang w:val="en_US" w:bidi="en_US"/>
        </w:rPr>
        <w:t>For some years/time he had been wishing to meet Jesus.</w:t>
      </w:r>
    </w:p>
    <w:p>
      <w:pPr>
        <w:pStyle w:val="Heading5"/>
      </w:pPr>
      <w:r>
        <w:rPr>
          <w:lang w:val="en_US" w:bidi="en_US"/>
        </w:rPr>
        <w:t>23:8c</w:t>
      </w:r>
    </w:p>
    <w:p>
      <w:pPr/>
      <w:r>
        <w:rPr>
          <w:lang w:val="en_US" w:bidi="en_US"/>
        </w:rPr>
      </w:r>
      <w:r>
        <w:rPr>
          <w:b/>
          <w:lang w:val="en_US" w:bidi="en_US"/>
        </w:rPr>
        <w:t>because he had heard about Him</w:t>
      </w:r>
    </w:p>
    <w:p>
      <w:pPr>
        <w:pStyle w:val="ListBullet"/>
        <w:spacing w:line="240" w:lineRule="auto"/>
        <w:ind w:left="720"/>
      </w:pPr>
      <w:r>
        <w:rPr>
          <w:lang w:val="en_US" w:bidi="en_US"/>
        </w:rPr>
      </w:r>
      <w:r>
        <w:rPr>
          <w:lang w:val="en_US" w:bidi="en_US"/>
        </w:rPr>
        <w:t>The things that Herod had heard about Jesus</w:t>
      </w:r>
    </w:p>
    <w:p>
      <w:pPr>
        <w:pStyle w:val="ListBullet"/>
        <w:spacing w:line="240" w:lineRule="auto"/>
        <w:ind w:left="720"/>
      </w:pPr>
      <w:r>
        <w:rPr>
          <w:lang w:val="en_US" w:bidi="en_US"/>
        </w:rPr>
      </w:r>
      <w:r>
        <w:rPr>
          <w:lang w:val="en_US" w:bidi="en_US"/>
        </w:rPr>
        <w:t>Herod had heard about him,</w:t>
      </w:r>
    </w:p>
    <w:p>
      <w:pPr>
        <w:pStyle w:val="Heading5"/>
      </w:pPr>
      <w:r>
        <w:rPr>
          <w:lang w:val="en_US" w:bidi="en_US"/>
        </w:rPr>
        <w:t>23:8d</w:t>
      </w:r>
    </w:p>
    <w:p>
      <w:pPr/>
      <w:r>
        <w:rPr>
          <w:lang w:val="en_US" w:bidi="en_US"/>
        </w:rPr>
      </w:r>
      <w:r>
        <w:rPr>
          <w:b/>
          <w:lang w:val="en_US" w:bidi="en_US"/>
        </w:rPr>
        <w:t>and was hoping to see Him perform a miracle.</w:t>
      </w:r>
    </w:p>
    <w:p>
      <w:pPr>
        <w:pStyle w:val="ListBullet"/>
        <w:spacing w:line="240" w:lineRule="auto"/>
        <w:ind w:left="720"/>
      </w:pPr>
      <w:r>
        <w:rPr>
          <w:lang w:val="en_US" w:bidi="en_US"/>
        </w:rPr>
      </w:r>
      <w:r>
        <w:rPr>
          <w:lang w:val="en_US" w:bidi="en_US"/>
        </w:rPr>
        <w:t>made him hope that Jesus would do a miracle.</w:t>
      </w:r>
    </w:p>
    <w:p>
      <w:pPr>
        <w:pStyle w:val="ListBullet"/>
        <w:spacing w:line="240" w:lineRule="auto"/>
        <w:ind w:left="720"/>
      </w:pPr>
      <w:r>
        <w:rPr>
          <w:lang w:val="en_US" w:bidi="en_US"/>
        </w:rPr>
      </w:r>
      <w:r>
        <w:rPr>
          <w:lang w:val="en_US" w:bidi="en_US"/>
        </w:rPr>
        <w:t>and he wanted to see Jesus do an amazing deed/sign.</w:t>
      </w:r>
    </w:p>
    <w:p>
      <w:pPr>
        <w:pStyle w:val="Heading5"/>
      </w:pPr>
      <w:r>
        <w:rPr>
          <w:lang w:val="en_US" w:bidi="en_US"/>
        </w:rPr>
        <w:t>23:8b–d</w:t>
      </w:r>
    </w:p>
    <w:p>
      <w:pPr/>
      <w:r>
        <w:rPr>
          <w:lang w:val="en_US" w:bidi="en_US"/>
        </w:rPr>
      </w:r>
      <w:r>
        <w:rPr>
          <w:lang w:val="en_US" w:bidi="en_US"/>
        </w:rPr>
        <w:t>In the Greek text, 23:8b begins with a conjunction that is often translated as “because.” For example:</w:t>
      </w:r>
    </w:p>
    <w:p>
      <w:pPr/>
      <w:r>
        <w:rPr>
          <w:lang w:val="en_US" w:bidi="en_US"/>
        </w:rPr>
      </w:r>
      <w:r>
        <w:rPr>
          <w:lang w:val="en_US" w:bidi="en_US"/>
        </w:rPr>
        <w:t>because for a long time he had been wanting to see him (NIV)</w:t>
      </w:r>
    </w:p>
    <w:p>
      <w:pPr/>
      <w:r>
        <w:rPr>
          <w:lang w:val="en_US" w:bidi="en_US"/>
        </w:rPr>
      </w:r>
      <w:r>
        <w:rPr>
          <w:lang w:val="en_US" w:bidi="en_US"/>
        </w:rPr>
        <w:t>The BSB does not translate this word. It leaves the connection between 23:8a and 23:8b implicit. This conjunction introduces a reason or explanation. In 23:8b–d, Luke explained why Herod was so happy to see Jesus. Herod had heard about Jesus and wanted to see him perform a miracle, so Herod had hoped to see Jesus for a long time. Translate these connections in a natural way in your language.</w:t>
      </w:r>
    </w:p>
    <w:p>
      <w:pPr/>
      <w:r>
        <w:rPr>
          <w:lang w:val="en_US" w:bidi="en_US"/>
        </w:rPr>
      </w:r>
      <w:r>
        <w:rPr>
          <w:lang w:val="en_US" w:bidi="en_US"/>
        </w:rPr>
        <w:t>In some languages it may be helpful to change the order of information in this verse. See the General Comment on 23:8a–d below for suggestions.</w:t>
      </w:r>
    </w:p>
    <w:p>
      <w:pPr/>
      <w:r>
        <w:rPr>
          <w:lang w:val="en_US" w:bidi="en_US"/>
        </w:rPr>
      </w:r>
      <w:r>
        <w:rPr>
          <w:b/>
          <w:lang w:val="en_US" w:bidi="en_US"/>
        </w:rPr>
        <w:t>He had wanted to see Him for a long time:</w:t>
      </w:r>
      <w:r>
        <w:rPr>
          <w:lang w:val="en_US" w:bidi="en_US"/>
        </w:rPr>
        <w:t xml:space="preserve"> The phrase </w:t>
      </w:r>
      <w:r>
        <w:rPr>
          <w:i/>
          <w:lang w:val="en_US" w:bidi="en_US"/>
        </w:rPr>
        <w:t>for a long time</w:t>
      </w:r>
      <w:r>
        <w:rPr>
          <w:lang w:val="en_US" w:bidi="en_US"/>
        </w:rPr>
        <w:t xml:space="preserve"> in this context probably refers to the two or three preceding years of Jesus’ ministry. Jesus had done many miracles during that time. As 9:9 indicates, Herod had heard about those miracles. That is why Herod wanted to see Jesus, as 23:8c–d says.</w:t>
      </w:r>
    </w:p>
    <w:p>
      <w:pPr/>
      <w:r>
        <w:rPr>
          <w:lang w:val="en_US" w:bidi="en_US"/>
        </w:rPr>
      </w:r>
      <w:r>
        <w:rPr>
          <w:b/>
          <w:lang w:val="en_US" w:bidi="en_US"/>
        </w:rPr>
        <w:t>he had heard about Him and was hoping to see Him perform a miracle:</w:t>
      </w:r>
      <w:r>
        <w:rPr>
          <w:lang w:val="en_US" w:bidi="en_US"/>
        </w:rPr>
        <w:t xml:space="preserve"> This statement tells the reason that Herod wanted to see Jesus. Herod had heard other people say that Jesus did miracles, so Herod wanted to see him do such a </w:t>
      </w:r>
      <w:r>
        <w:rPr>
          <w:i/>
          <w:lang w:val="en_US" w:bidi="en_US"/>
        </w:rPr>
        <w:t>miracle</w:t>
      </w:r>
      <w:r>
        <w:rPr>
          <w:lang w:val="en_US" w:bidi="en_US"/>
        </w:rPr>
        <w:t>. Some other ways to translate this statement are:</w:t>
      </w:r>
    </w:p>
    <w:p>
      <w:pPr/>
      <w:r>
        <w:rPr>
          <w:lang w:val="en_US" w:bidi="en_US"/>
        </w:rPr>
      </w:r>
      <w:r>
        <w:rPr>
          <w:lang w:val="en_US" w:bidi="en_US"/>
        </w:rPr>
        <w:t>He had heard many things about Jesus and hoped to see him work a miracle. (CEV)</w:t>
      </w:r>
    </w:p>
    <w:p>
      <w:pPr/>
      <w:r>
        <w:rPr>
          <w:lang w:val="en_US" w:bidi="en_US"/>
        </w:rPr>
      </w:r>
      <w:r>
        <w:rPr>
          <w:lang w:val="en_US" w:bidi="en_US"/>
        </w:rPr>
        <w:t>because he had heard people say that Jesus did amazing things/deeds, and Herod hoped to see him do something like that</w:t>
      </w:r>
    </w:p>
    <w:p>
      <w:pPr/>
      <w:r>
        <w:rPr>
          <w:lang w:val="en_US" w:bidi="en_US"/>
        </w:rPr>
      </w:r>
      <w:r>
        <w:rPr>
          <w:b/>
          <w:lang w:val="en_US" w:bidi="en_US"/>
        </w:rPr>
        <w:t>perform:</w:t>
      </w:r>
      <w:r>
        <w:rPr>
          <w:lang w:val="en_US" w:bidi="en_US"/>
        </w:rPr>
        <w:t xml:space="preserve"> The verbs </w:t>
      </w:r>
      <w:r>
        <w:rPr>
          <w:i/>
          <w:lang w:val="en_US" w:bidi="en_US"/>
        </w:rPr>
        <w:t>perform</w:t>
      </w:r>
      <w:r>
        <w:rPr>
          <w:lang w:val="en_US" w:bidi="en_US"/>
        </w:rPr>
        <w:t xml:space="preserve"> or “work” are often used in English with the word “miracle.” Use an appropriate verb in your language to refer to doing a great or supernatural deed.</w:t>
      </w:r>
    </w:p>
    <w:p>
      <w:pPr/>
      <w:r>
        <w:rPr>
          <w:lang w:val="en_US" w:bidi="en_US"/>
        </w:rPr>
      </w:r>
      <w:r>
        <w:rPr>
          <w:b/>
          <w:lang w:val="en_US" w:bidi="en_US"/>
        </w:rPr>
        <w:t>a miracle:</w:t>
      </w:r>
      <w:r>
        <w:rPr>
          <w:lang w:val="en_US" w:bidi="en_US"/>
        </w:rPr>
        <w:t xml:space="preserve"> The Greek phrase that the BSB translates as </w:t>
      </w:r>
      <w:r>
        <w:rPr>
          <w:i/>
          <w:lang w:val="en_US" w:bidi="en_US"/>
        </w:rPr>
        <w:t>a miracle</w:t>
      </w:r>
      <w:r>
        <w:rPr>
          <w:lang w:val="en_US" w:bidi="en_US"/>
        </w:rPr>
        <w:t xml:space="preserve"> is literally “some sign.” The word “sign” often refers to a miracle that shows that a person is from God. However, in this context Herod probably used this word in a general way to refer to an amazing deed. The word “some” indicates that the type of sign was not specified. The phrase </w:t>
      </w:r>
      <w:r>
        <w:rPr>
          <w:i/>
          <w:lang w:val="en_US" w:bidi="en_US"/>
        </w:rPr>
        <w:t>a miracle</w:t>
      </w:r>
      <w:r>
        <w:rPr>
          <w:lang w:val="en_US" w:bidi="en_US"/>
        </w:rPr>
        <w:t xml:space="preserve"> could refer to any type of great or amazing deed.</w:t>
      </w:r>
    </w:p>
    <w:p>
      <w:pPr>
        <w:pStyle w:val="Heading6"/>
      </w:pPr>
      <w:r>
        <w:rPr>
          <w:b/>
          <w:lang w:val="en_US" w:bidi="en_US"/>
        </w:rPr>
        <w:t>General Comment on 23:8a–d</w:t>
      </w:r>
    </w:p>
    <w:p>
      <w:pPr/>
      <w:r>
        <w:rPr>
          <w:lang w:val="en_US" w:bidi="en_US"/>
        </w:rPr>
      </w:r>
      <w:r>
        <w:rPr>
          <w:lang w:val="en_US" w:bidi="en_US"/>
        </w:rPr>
        <w:t>This verse explains why Herod wanted to see Jesus. The explanation has several parts. In some languages it may be more natural to change the order of some of the parts. For example:</w:t>
      </w:r>
    </w:p>
    <w:p>
      <w:pPr/>
      <w:r>
        <w:rPr>
          <w:lang w:val="en_US" w:bidi="en_US"/>
        </w:rPr>
      </w:r>
      <w:r>
        <w:rPr>
          <w:vertAlign w:val="superscript"/>
          <w:lang w:val="en_US" w:bidi="en_US"/>
        </w:rPr>
        <w:t>8a</w:t>
      </w:r>
      <w:r>
        <w:rPr>
          <w:lang w:val="en_US" w:bidi="en_US"/>
        </w:rPr>
        <w:t xml:space="preserve">Herod was very glad to see Jesus, </w:t>
      </w:r>
      <w:r>
        <w:rPr>
          <w:vertAlign w:val="superscript"/>
          <w:lang w:val="en_US" w:bidi="en_US"/>
        </w:rPr>
        <w:t>8c</w:t>
      </w:r>
      <w:r>
        <w:rPr>
          <w:lang w:val="en_US" w:bidi="en_US"/>
        </w:rPr>
        <w:t xml:space="preserve">for he had heard about Jesus </w:t>
      </w:r>
      <w:r>
        <w:rPr>
          <w:vertAlign w:val="superscript"/>
          <w:lang w:val="en_US" w:bidi="en_US"/>
        </w:rPr>
        <w:t>8b</w:t>
      </w:r>
      <w:r>
        <w:rPr>
          <w:lang w:val="en_US" w:bidi="en_US"/>
        </w:rPr>
        <w:t xml:space="preserve">and had wanted to see him for quite some time. </w:t>
      </w:r>
      <w:r>
        <w:rPr>
          <w:vertAlign w:val="superscript"/>
          <w:lang w:val="en_US" w:bidi="en_US"/>
        </w:rPr>
        <w:t>8d</w:t>
      </w:r>
      <w:r>
        <w:rPr>
          <w:lang w:val="en_US" w:bidi="en_US"/>
        </w:rPr>
        <w:t>He was hoping to see Jesus perform some sign.</w:t>
      </w:r>
      <w:r>
        <w:rPr>
          <w:lang w:val="en_US" w:bidi="en_US"/>
        </w:rPr>
        <w:t>Common English Bible.</w:t>
      </w:r>
    </w:p>
    <w:p>
      <w:pPr/>
      <w:r>
        <w:rPr>
          <w:lang w:val="en_US" w:bidi="en_US"/>
        </w:rPr>
      </w:r>
      <w:r>
        <w:rPr>
          <w:lang w:val="en_US" w:bidi="en_US"/>
        </w:rPr>
        <w:t>In some languages it may be helpful to combine parts of the verse. For example:</w:t>
      </w:r>
    </w:p>
    <w:p>
      <w:pPr/>
      <w:r>
        <w:rPr>
          <w:lang w:val="en_US" w:bidi="en_US"/>
        </w:rPr>
      </w:r>
      <w:r>
        <w:rPr>
          <w:vertAlign w:val="superscript"/>
          <w:lang w:val="en_US" w:bidi="en_US"/>
        </w:rPr>
        <w:t>8a</w:t>
      </w:r>
      <w:r>
        <w:rPr>
          <w:lang w:val="en_US" w:bidi="en_US"/>
        </w:rPr>
        <w:t xml:space="preserve">Herod was delighted at the opportunity to see Jesus, </w:t>
      </w:r>
      <w:r>
        <w:rPr>
          <w:vertAlign w:val="superscript"/>
          <w:lang w:val="en_US" w:bidi="en_US"/>
        </w:rPr>
        <w:t>8c</w:t>
      </w:r>
      <w:r>
        <w:rPr>
          <w:lang w:val="en_US" w:bidi="en_US"/>
        </w:rPr>
        <w:t xml:space="preserve">because he had heard about him </w:t>
      </w:r>
      <w:r>
        <w:rPr>
          <w:vertAlign w:val="superscript"/>
          <w:lang w:val="en_US" w:bidi="en_US"/>
        </w:rPr>
        <w:t>8b,d</w:t>
      </w:r>
      <w:r>
        <w:rPr>
          <w:lang w:val="en_US" w:bidi="en_US"/>
        </w:rPr>
        <w:t>and had been hoping for a long time to see him perform a miracle. (NLT)</w:t>
      </w:r>
    </w:p>
    <w:p>
      <w:pPr/>
      <w:r>
        <w:rPr>
          <w:lang w:val="en_US" w:bidi="en_US"/>
        </w:rPr>
      </w:r>
      <w:r>
        <w:rPr>
          <w:lang w:val="en_US" w:bidi="en_US"/>
        </w:rPr>
        <w:t>Translate the connections in a natural way in your language.</w:t>
      </w:r>
      <w:r>
        <w:rPr>
          <w:lang w:val="en_US" w:bidi="en_US"/>
        </w:rPr>
      </w:r>
      <w:r>
        <w:rPr>
          <w:lang w:val="en_US" w:bidi="en_US"/>
        </w:rPr>
      </w:r>
    </w:p>
    <w:p>
      <w:pPr/>
      <w:r>
        <w:rPr>
          <w:lang w:val="en_US" w:bidi="en_US"/>
        </w:rPr>
      </w:r>
    </w:p>
    <w:p>
      <w:pPr>
        <w:pStyle w:val="Heading2"/>
      </w:pPr>
      <w:r>
        <w:rPr>
          <w:lang w:val="en_US" w:bidi="en_US"/>
        </w:rPr>
        <w:t>Luke 23:9</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23:9a</w:t>
      </w:r>
    </w:p>
    <w:p>
      <w:pPr/>
      <w:r>
        <w:rPr>
          <w:lang w:val="en_US" w:bidi="en_US"/>
        </w:rPr>
      </w:r>
      <w:r>
        <w:rPr>
          <w:b/>
          <w:lang w:val="en_US" w:bidi="en_US"/>
        </w:rPr>
        <w:t>Herod questioned Jesus at great length,</w:t>
      </w:r>
    </w:p>
    <w:p>
      <w:pPr>
        <w:pStyle w:val="ListBullet"/>
        <w:spacing w:line="240" w:lineRule="auto"/>
        <w:ind w:left="720"/>
      </w:pPr>
      <w:r>
        <w:rPr>
          <w:lang w:val="en_US" w:bidi="en_US"/>
        </w:rPr>
      </w:r>
      <w:r>
        <w:rPr>
          <w:lang w:val="en_US" w:bidi="en_US"/>
        </w:rPr>
        <w:t>Herod asked Jesus many questions,</w:t>
      </w:r>
    </w:p>
    <w:p>
      <w:pPr>
        <w:pStyle w:val="ListBullet"/>
        <w:spacing w:line="240" w:lineRule="auto"/>
        <w:ind w:left="720"/>
      </w:pPr>
      <w:r>
        <w:rPr>
          <w:lang w:val="en_US" w:bidi="en_US"/>
        </w:rPr>
      </w:r>
      <w:r>
        <w:rPr>
          <w:lang w:val="en_US" w:bidi="en_US"/>
        </w:rPr>
        <w:t xml:space="preserve">So he kept asking Jesus questions </w:t>
      </w:r>
      <w:r>
        <w:rPr>
          <w:lang w:val="en_US" w:bidi="en_US"/>
        </w:rPr>
        <w:t>for a long time</w:t>
      </w:r>
      <w:r>
        <w:rPr>
          <w:lang w:val="en_US" w:bidi="en_US"/>
        </w:rPr>
        <w:t>,</w:t>
      </w:r>
    </w:p>
    <w:p>
      <w:pPr/>
      <w:r>
        <w:rPr>
          <w:lang w:val="en_US" w:bidi="en_US"/>
        </w:rPr>
      </w:r>
      <w:r>
        <w:rPr>
          <w:b/>
          <w:lang w:val="en_US" w:bidi="en_US"/>
        </w:rPr>
        <w:t>Herod questioned Jesus at great length:</w:t>
      </w:r>
      <w:r>
        <w:rPr>
          <w:lang w:val="en_US" w:bidi="en_US"/>
        </w:rPr>
        <w:t xml:space="preserve"> The Greek clause that the BSB translates as </w:t>
      </w:r>
      <w:r>
        <w:rPr>
          <w:i/>
          <w:lang w:val="en_US" w:bidi="en_US"/>
        </w:rPr>
        <w:t>Herod questioned Jesus at great length</w:t>
      </w:r>
      <w:r>
        <w:rPr>
          <w:lang w:val="en_US" w:bidi="en_US"/>
        </w:rPr>
        <w:t xml:space="preserve"> is more literally “and he was asking/questioning him with many words.” It indicates that Herod asked Jesus many questions. Herod probably continued to ask Jesus questions for some time.</w:t>
      </w:r>
    </w:p>
    <w:p>
      <w:pPr/>
      <w:r>
        <w:rPr>
          <w:lang w:val="en_US" w:bidi="en_US"/>
        </w:rPr>
      </w:r>
      <w:r>
        <w:rPr>
          <w:lang w:val="en_US" w:bidi="en_US"/>
        </w:rPr>
        <w:t>Some other ways to translate the clause are:</w:t>
      </w:r>
    </w:p>
    <w:p>
      <w:pPr/>
      <w:r>
        <w:rPr>
          <w:lang w:val="en_US" w:bidi="en_US"/>
        </w:rPr>
      </w:r>
      <w:r>
        <w:rPr>
          <w:lang w:val="en_US" w:bidi="en_US"/>
        </w:rPr>
        <w:t>Herod asked Jesus many questions (GNT)</w:t>
      </w:r>
    </w:p>
    <w:p>
      <w:pPr/>
      <w:r>
        <w:rPr>
          <w:lang w:val="en_US" w:bidi="en_US"/>
        </w:rPr>
      </w:r>
      <w:r>
        <w:rPr>
          <w:lang w:val="en_US" w:bidi="en_US"/>
        </w:rPr>
        <w:t>So Herod questioned him at considerable length (NET)</w:t>
      </w:r>
    </w:p>
    <w:p>
      <w:pPr/>
      <w:r>
        <w:rPr>
          <w:lang w:val="en_US" w:bidi="en_US"/>
        </w:rPr>
      </w:r>
      <w:r>
        <w:rPr>
          <w:lang w:val="en_US" w:bidi="en_US"/>
        </w:rPr>
        <w:t>He asked Jesus question after question (NLT)</w:t>
      </w:r>
    </w:p>
    <w:p>
      <w:pPr/>
      <w:r>
        <w:rPr>
          <w:lang w:val="en_US" w:bidi="en_US"/>
        </w:rPr>
      </w:r>
      <w:r>
        <w:rPr>
          <w:lang w:val="en_US" w:bidi="en_US"/>
        </w:rPr>
        <w:t>The text does not say what the questions were. They were probably about the accusations that the Jewish leaders made against Jesus. The leaders continued to accuse Jesus in 23:10. If it is necessary to indicate the type of questions that Herod asked, refer to them in a general way that fits the context. For example:</w:t>
      </w:r>
    </w:p>
    <w:p>
      <w:pPr/>
      <w:r>
        <w:rPr>
          <w:lang w:val="en_US" w:bidi="en_US"/>
        </w:rPr>
      </w:r>
      <w:r>
        <w:rPr>
          <w:lang w:val="en_US" w:bidi="en_US"/>
        </w:rPr>
        <w:t xml:space="preserve">He asked Jesus many questions </w:t>
      </w:r>
      <w:r>
        <w:rPr>
          <w:lang w:val="en_US" w:bidi="en_US"/>
        </w:rPr>
        <w:t>about what he/Jesus had been doing</w:t>
      </w:r>
      <w:r>
        <w:rPr>
          <w:lang w:val="en_US" w:bidi="en_US"/>
        </w:rPr>
        <w:t>.</w:t>
      </w:r>
    </w:p>
    <w:p>
      <w:pPr/>
      <w:r>
        <w:rPr>
          <w:lang w:val="en_US" w:bidi="en_US"/>
        </w:rPr>
      </w:r>
      <w:r>
        <w:rPr>
          <w:lang w:val="en_US" w:bidi="en_US"/>
        </w:rPr>
        <w:t xml:space="preserve">He questioned Jesus </w:t>
      </w:r>
      <w:r>
        <w:rPr>
          <w:lang w:val="en_US" w:bidi="en_US"/>
        </w:rPr>
        <w:t>about the accusations/case against him</w:t>
      </w:r>
      <w:r>
        <w:rPr>
          <w:lang w:val="en_US" w:bidi="en_US"/>
        </w:rPr>
        <w:t>.</w:t>
      </w:r>
    </w:p>
    <w:p>
      <w:pPr>
        <w:pStyle w:val="Heading5"/>
      </w:pPr>
      <w:r>
        <w:rPr>
          <w:lang w:val="en_US" w:bidi="en_US"/>
        </w:rPr>
        <w:t>23:9b</w:t>
      </w:r>
    </w:p>
    <w:p>
      <w:pPr/>
      <w:r>
        <w:rPr>
          <w:lang w:val="en_US" w:bidi="en_US"/>
        </w:rPr>
      </w:r>
      <w:r>
        <w:rPr>
          <w:b/>
          <w:lang w:val="en_US" w:bidi="en_US"/>
        </w:rPr>
        <w:t>but He gave no answer.</w:t>
      </w:r>
    </w:p>
    <w:p>
      <w:pPr>
        <w:pStyle w:val="ListBullet"/>
        <w:spacing w:line="240" w:lineRule="auto"/>
        <w:ind w:left="720"/>
      </w:pPr>
      <w:r>
        <w:rPr>
          <w:lang w:val="en_US" w:bidi="en_US"/>
        </w:rPr>
      </w:r>
      <w:r>
        <w:rPr>
          <w:lang w:val="en_US" w:bidi="en_US"/>
        </w:rPr>
        <w:t>but Jesus did not answer him at all.</w:t>
      </w:r>
    </w:p>
    <w:p>
      <w:pPr>
        <w:pStyle w:val="ListBullet"/>
        <w:spacing w:line="240" w:lineRule="auto"/>
        <w:ind w:left="720"/>
      </w:pPr>
      <w:r>
        <w:rPr>
          <w:lang w:val="en_US" w:bidi="en_US"/>
        </w:rPr>
      </w:r>
      <w:r>
        <w:rPr>
          <w:lang w:val="en_US" w:bidi="en_US"/>
        </w:rPr>
        <w:t>but Jesus did not reply.</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statement that contrasts with what was expected. Herod expected Jesus to answer his questions, but Jesus said nothing in reply.</w:t>
      </w:r>
    </w:p>
    <w:p>
      <w:pPr/>
      <w:r>
        <w:rPr>
          <w:lang w:val="en_US" w:bidi="en_US"/>
        </w:rPr>
      </w:r>
      <w:r>
        <w:rPr>
          <w:b/>
          <w:lang w:val="en_US" w:bidi="en_US"/>
        </w:rPr>
        <w:t>He gave no answer:</w:t>
      </w:r>
      <w:r>
        <w:rPr>
          <w:lang w:val="en_US" w:bidi="en_US"/>
        </w:rPr>
        <w:t xml:space="preserve"> The clause </w:t>
      </w:r>
      <w:r>
        <w:rPr>
          <w:i/>
          <w:lang w:val="en_US" w:bidi="en_US"/>
        </w:rPr>
        <w:t>He gave no answer</w:t>
      </w:r>
      <w:r>
        <w:rPr>
          <w:lang w:val="en_US" w:bidi="en_US"/>
        </w:rPr>
        <w:t xml:space="preserve"> indicates that Jesus said nothing at all. He did not answer the questions. This statement is emphatic.</w:t>
      </w:r>
      <w:r>
        <w:rPr>
          <w:lang w:val="en_US" w:bidi="en_US"/>
        </w:rPr>
        <w:t xml:space="preserve">The word </w:t>
      </w:r>
      <w:r>
        <w:rPr>
          <w:i/>
          <w:lang w:val="en_US" w:bidi="en_US"/>
        </w:rPr>
        <w:t>ouden</w:t>
      </w:r>
      <w:r>
        <w:rPr>
          <w:lang w:val="en_US" w:bidi="en_US"/>
        </w:rPr>
        <w:t xml:space="preserve"> (“nothing”) is placed before the main verb, emphasizing the absence of any answer. See Levinsohn, </w:t>
      </w:r>
      <w:r>
        <w:rPr>
          <w:i/>
          <w:lang w:val="en_US" w:bidi="en_US"/>
        </w:rPr>
        <w:t>Discourse Features of New Testament Greek</w:t>
      </w:r>
      <w:r>
        <w:rPr>
          <w:lang w:val="en_US" w:bidi="en_US"/>
        </w:rPr>
        <w:t>, p. 29.</w:t>
      </w:r>
      <w:r>
        <w:rPr>
          <w:lang w:val="en_US" w:bidi="en_US"/>
        </w:rPr>
        <w:t xml:space="preserve"> Jesus probably did not answer because he knew that Herod did not ask the questions with good motives. Jesus also knew that it was God’s will that he should die to save his people.</w:t>
      </w:r>
      <w:r>
        <w:rPr>
          <w:lang w:val="en_US" w:bidi="en_US"/>
        </w:rPr>
        <w:t>Many Bible scholars think that this statement refers to the prophecy in Isaiah 53:7. Nolland (p. 1123) says, “There can be little doubt that Jesus’ silence is to be seen as a fulfillment of Isaiah 53:7.” He suggests several reasons for Jesus’ silence: “Jesus disdains the charges as not deserving of an answer. Certainly the silence makes clear that Jesus is not concerned to placate his accusers. But perhaps best is the idea that Jesus accepts as God’s will the suffering to which the charges against him will lead.” (p. 1124)</w:t>
      </w:r>
      <w:r>
        <w:rPr>
          <w:lang w:val="en_US" w:bidi="en_US"/>
        </w:rPr>
        <w:t xml:space="preserve"> Try not to translate this statement in a way that implies that Jesus is guilty.</w:t>
      </w:r>
    </w:p>
    <w:p>
      <w:pPr/>
      <w:r>
        <w:rPr>
          <w:lang w:val="en_US" w:bidi="en_US"/>
        </w:rPr>
      </w:r>
      <w:r>
        <w:rPr>
          <w:lang w:val="en_US" w:bidi="en_US"/>
        </w:rPr>
        <w:t>Some other ways to translate it are:</w:t>
      </w:r>
    </w:p>
    <w:p>
      <w:pPr/>
      <w:r>
        <w:rPr>
          <w:lang w:val="en_US" w:bidi="en_US"/>
        </w:rPr>
      </w:r>
      <w:r>
        <w:rPr>
          <w:lang w:val="en_US" w:bidi="en_US"/>
        </w:rPr>
        <w:t>Jesus refused to answer (NLT)</w:t>
      </w:r>
    </w:p>
    <w:p>
      <w:pPr/>
      <w:r>
        <w:rPr>
          <w:lang w:val="en_US" w:bidi="en_US"/>
        </w:rPr>
      </w:r>
      <w:r>
        <w:rPr>
          <w:lang w:val="en_US" w:bidi="en_US"/>
        </w:rPr>
        <w:t>Jesus wouldn’t answer him (GW)</w:t>
      </w:r>
      <w:r>
        <w:rPr>
          <w:lang w:val="en_US" w:bidi="en_US"/>
        </w:rPr>
      </w:r>
      <w:r>
        <w:rPr>
          <w:lang w:val="en_US" w:bidi="en_US"/>
        </w:rPr>
      </w:r>
    </w:p>
    <w:p>
      <w:pPr/>
      <w:r>
        <w:rPr>
          <w:lang w:val="en_US" w:bidi="en_US"/>
        </w:rPr>
      </w:r>
    </w:p>
    <w:p>
      <w:pPr>
        <w:pStyle w:val="Heading2"/>
      </w:pPr>
      <w:r>
        <w:rPr>
          <w:lang w:val="en_US" w:bidi="en_US"/>
        </w:rPr>
        <w:t>Luke 23:10</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23:10a</w:t>
      </w:r>
    </w:p>
    <w:p>
      <w:pPr/>
      <w:r>
        <w:rPr>
          <w:lang w:val="en_US" w:bidi="en_US"/>
        </w:rPr>
      </w:r>
      <w:r>
        <w:rPr>
          <w:b/>
          <w:lang w:val="en_US" w:bidi="en_US"/>
        </w:rPr>
        <w:t>Meanwhile, the chief priests and scribes stood there,</w:t>
      </w:r>
    </w:p>
    <w:p>
      <w:pPr>
        <w:pStyle w:val="ListBullet"/>
        <w:spacing w:line="240" w:lineRule="auto"/>
        <w:ind w:left="720"/>
      </w:pPr>
      <w:r>
        <w:rPr>
          <w:lang w:val="en_US" w:bidi="en_US"/>
        </w:rPr>
      </w:r>
      <w:r>
        <w:rPr>
          <w:lang w:val="en_US" w:bidi="en_US"/>
        </w:rPr>
        <w:t>The leaders of the priests and the teachers of the law stood there</w:t>
      </w:r>
    </w:p>
    <w:p>
      <w:pPr>
        <w:pStyle w:val="ListBullet"/>
        <w:spacing w:line="240" w:lineRule="auto"/>
        <w:ind w:left="720"/>
      </w:pPr>
      <w:r>
        <w:rPr>
          <w:lang w:val="en_US" w:bidi="en_US"/>
        </w:rPr>
      </w:r>
      <w:r>
        <w:rPr>
          <w:lang w:val="en_US" w:bidi="en_US"/>
        </w:rPr>
        <w:t>Jesus’ accusers from the Jewish council</w:t>
      </w:r>
      <w:r>
        <w:rPr>
          <w:lang w:val="en_US" w:bidi="en_US"/>
        </w:rPr>
        <w:t xml:space="preserve"> were also standing there. These leading priests and teachers of the law</w:t>
      </w:r>
    </w:p>
    <w:p>
      <w:pPr/>
      <w:r>
        <w:rPr>
          <w:lang w:val="en_US" w:bidi="en_US"/>
        </w:rPr>
      </w:r>
      <w:r>
        <w:rPr>
          <w:b/>
          <w:lang w:val="en_US" w:bidi="en_US"/>
        </w:rPr>
        <w:t>Meanwhile, the chief priests and scribes stood there:</w:t>
      </w:r>
      <w:r>
        <w:rPr>
          <w:lang w:val="en_US" w:bidi="en_US"/>
        </w:rPr>
        <w:t xml:space="preserve"> The chief priests and the scribes were present while Herod questioned Jesus. The context implies that they had come with Pilate’s men when they brought Jesus to Herod. They came to make their accusations against Jesus to Herod. In some languages it may be necessary to introduce them in a special way. For example:</w:t>
      </w:r>
    </w:p>
    <w:p>
      <w:pPr/>
      <w:r>
        <w:rPr>
          <w:lang w:val="en_US" w:bidi="en_US"/>
        </w:rPr>
      </w:r>
      <w:r>
        <w:rPr>
          <w:lang w:val="en_US" w:bidi="en_US"/>
        </w:rPr>
        <w:t>Jesus’ accusers,</w:t>
      </w:r>
      <w:r>
        <w:rPr>
          <w:lang w:val="en_US" w:bidi="en_US"/>
        </w:rPr>
        <w:t xml:space="preserve"> the chief priests and the scribes, were also there. They stood…</w:t>
      </w:r>
    </w:p>
    <w:p>
      <w:pPr/>
      <w:r>
        <w:rPr>
          <w:lang w:val="en_US" w:bidi="en_US"/>
        </w:rPr>
      </w:r>
      <w:r>
        <w:rPr>
          <w:lang w:val="en_US" w:bidi="en_US"/>
        </w:rPr>
        <w:t xml:space="preserve">The chief priests and scribes </w:t>
      </w:r>
      <w:r>
        <w:rPr>
          <w:lang w:val="en_US" w:bidi="en_US"/>
        </w:rPr>
        <w:t>who had come to accuse him</w:t>
      </w:r>
      <w:r>
        <w:rPr>
          <w:lang w:val="en_US" w:bidi="en_US"/>
        </w:rPr>
        <w:t xml:space="preserve"> were standing there.</w:t>
      </w:r>
    </w:p>
    <w:p>
      <w:pPr/>
      <w:r>
        <w:rPr>
          <w:lang w:val="en_US" w:bidi="en_US"/>
        </w:rPr>
      </w:r>
      <w:r>
        <w:rPr>
          <w:b/>
          <w:lang w:val="en_US" w:bidi="en_US"/>
        </w:rPr>
        <w:t>chief priests:</w:t>
      </w:r>
      <w:r>
        <w:rPr>
          <w:lang w:val="en_US" w:bidi="en_US"/>
        </w:rPr>
        <w:t xml:space="preserve"> The term </w:t>
      </w:r>
      <w:r>
        <w:rPr>
          <w:i/>
          <w:lang w:val="en_US" w:bidi="en_US"/>
        </w:rPr>
        <w:t>chief priests</w:t>
      </w:r>
      <w:r>
        <w:rPr>
          <w:lang w:val="en_US" w:bidi="en_US"/>
        </w:rPr>
        <w:t xml:space="preserve"> occurred in 19:47. For more information and translation suggestions, see the note at 19:47b–d.</w:t>
      </w:r>
    </w:p>
    <w:p>
      <w:pPr/>
      <w:r>
        <w:rPr>
          <w:lang w:val="en_US" w:bidi="en_US"/>
        </w:rPr>
      </w:r>
      <w:r>
        <w:rPr>
          <w:b/>
          <w:lang w:val="en_US" w:bidi="en_US"/>
        </w:rPr>
        <w:t>scribes:</w:t>
      </w:r>
      <w:r>
        <w:rPr>
          <w:lang w:val="en_US" w:bidi="en_US"/>
        </w:rPr>
        <w:t xml:space="preserve"> The term </w:t>
      </w:r>
      <w:r>
        <w:rPr>
          <w:i/>
          <w:lang w:val="en_US" w:bidi="en_US"/>
        </w:rPr>
        <w:t>scribes</w:t>
      </w:r>
      <w:r>
        <w:rPr>
          <w:lang w:val="en_US" w:bidi="en_US"/>
        </w:rPr>
        <w:t xml:space="preserve"> occurred in 19:47. For more information and translation suggestions, see the note at 19:47b–d.</w:t>
      </w:r>
    </w:p>
    <w:p>
      <w:pPr>
        <w:pStyle w:val="Heading5"/>
      </w:pPr>
      <w:r>
        <w:rPr>
          <w:lang w:val="en_US" w:bidi="en_US"/>
        </w:rPr>
        <w:t>23:10b</w:t>
      </w:r>
    </w:p>
    <w:p>
      <w:pPr/>
      <w:r>
        <w:rPr>
          <w:lang w:val="en_US" w:bidi="en_US"/>
        </w:rPr>
      </w:r>
      <w:r>
        <w:rPr>
          <w:b/>
          <w:lang w:val="en_US" w:bidi="en_US"/>
        </w:rPr>
        <w:t>vehemently accusing Him.</w:t>
      </w:r>
    </w:p>
    <w:p>
      <w:pPr>
        <w:pStyle w:val="ListBullet"/>
        <w:spacing w:line="240" w:lineRule="auto"/>
        <w:ind w:left="720"/>
      </w:pPr>
      <w:r>
        <w:rPr>
          <w:lang w:val="en_US" w:bidi="en_US"/>
        </w:rPr>
      </w:r>
      <w:r>
        <w:rPr>
          <w:lang w:val="en_US" w:bidi="en_US"/>
        </w:rPr>
        <w:t>and strongly/forcefully accused Jesus.</w:t>
      </w:r>
    </w:p>
    <w:p>
      <w:pPr>
        <w:pStyle w:val="ListBullet"/>
        <w:spacing w:line="240" w:lineRule="auto"/>
        <w:ind w:left="720"/>
      </w:pPr>
      <w:r>
        <w:rPr>
          <w:lang w:val="en_US" w:bidi="en_US"/>
        </w:rPr>
      </w:r>
      <w:r>
        <w:rPr>
          <w:lang w:val="en_US" w:bidi="en_US"/>
        </w:rPr>
        <w:t>were very harsh as they made accusations against him.</w:t>
      </w:r>
    </w:p>
    <w:p>
      <w:pPr>
        <w:pStyle w:val="ListBullet"/>
        <w:spacing w:line="240" w:lineRule="auto"/>
        <w:ind w:left="720"/>
      </w:pPr>
      <w:r>
        <w:rPr>
          <w:lang w:val="en_US" w:bidi="en_US"/>
        </w:rPr>
      </w:r>
      <w:r>
        <w:rPr>
          <w:lang w:val="en_US" w:bidi="en_US"/>
        </w:rPr>
        <w:t>loudly insisted that Jesus was guilty.</w:t>
      </w:r>
    </w:p>
    <w:p>
      <w:pPr/>
      <w:r>
        <w:rPr>
          <w:lang w:val="en_US" w:bidi="en_US"/>
        </w:rPr>
      </w:r>
      <w:r>
        <w:rPr>
          <w:b/>
          <w:lang w:val="en_US" w:bidi="en_US"/>
        </w:rPr>
        <w:t>vehemently accusing Him:</w:t>
      </w:r>
      <w:r>
        <w:rPr>
          <w:lang w:val="en_US" w:bidi="en_US"/>
        </w:rPr>
        <w:t xml:space="preserve"> The Greek word that the BSB translates as </w:t>
      </w:r>
      <w:r>
        <w:rPr>
          <w:i/>
          <w:lang w:val="en_US" w:bidi="en_US"/>
        </w:rPr>
        <w:t>vehemently</w:t>
      </w:r>
      <w:r>
        <w:rPr>
          <w:lang w:val="en_US" w:bidi="en_US"/>
        </w:rPr>
        <w:t xml:space="preserve"> means “forcefully, vigorously.” The chief priests and scribes spoke very strongly and angrily, as they falsely accused Jesus. Some other ways to translate the phrase </w:t>
      </w:r>
      <w:r>
        <w:rPr>
          <w:i/>
          <w:lang w:val="en_US" w:bidi="en_US"/>
        </w:rPr>
        <w:t>vehemently accusing Him</w:t>
      </w:r>
      <w:r>
        <w:rPr>
          <w:lang w:val="en_US" w:bidi="en_US"/>
        </w:rPr>
        <w:t xml:space="preserve"> are:</w:t>
      </w:r>
    </w:p>
    <w:p>
      <w:pPr/>
      <w:r>
        <w:rPr>
          <w:lang w:val="en_US" w:bidi="en_US"/>
        </w:rPr>
      </w:r>
      <w:r>
        <w:rPr>
          <w:lang w:val="en_US" w:bidi="en_US"/>
        </w:rPr>
        <w:t>shouted their accusations against Jesus (GW)</w:t>
      </w:r>
    </w:p>
    <w:p>
      <w:pPr/>
      <w:r>
        <w:rPr>
          <w:lang w:val="en_US" w:bidi="en_US"/>
        </w:rPr>
      </w:r>
      <w:r>
        <w:rPr>
          <w:lang w:val="en_US" w:bidi="en_US"/>
        </w:rPr>
        <w:t>their words were very harsh accusing Yesus to Herodes</w:t>
      </w:r>
      <w:r>
        <w:rPr>
          <w:lang w:val="en_US" w:bidi="en_US"/>
        </w:rPr>
        <w:t>Uma back translation on TW.</w:t>
      </w:r>
    </w:p>
    <w:p>
      <w:pPr/>
      <w:r>
        <w:rPr>
          <w:lang w:val="en_US" w:bidi="en_US"/>
        </w:rPr>
      </w:r>
      <w:r>
        <w:rPr>
          <w:lang w:val="en_US" w:bidi="en_US"/>
        </w:rPr>
        <w:t>they continued to forcefully make/press charges against Jesus</w:t>
      </w:r>
    </w:p>
    <w:p>
      <w:pPr/>
      <w:r>
        <w:rPr>
          <w:lang w:val="en_US" w:bidi="en_US"/>
        </w:rPr>
      </w:r>
      <w:r>
        <w:rPr>
          <w:lang w:val="en_US" w:bidi="en_US"/>
        </w:rPr>
        <w:t>In some languages there may be an idiom to describe this action. For example:</w:t>
      </w:r>
    </w:p>
    <w:p>
      <w:pPr/>
      <w:r>
        <w:rPr>
          <w:lang w:val="en_US" w:bidi="en_US"/>
        </w:rPr>
      </w:r>
      <w:r>
        <w:rPr>
          <w:lang w:val="en_US" w:bidi="en_US"/>
        </w:rPr>
        <w:t>their breath was very hot in their accusing Jesus</w:t>
      </w:r>
      <w:r>
        <w:rPr>
          <w:lang w:val="en_US" w:bidi="en_US"/>
        </w:rPr>
        <w:t>Western Bukidnon Manobo back translation on TW.</w:t>
      </w:r>
    </w:p>
    <w:p>
      <w:pPr/>
      <w:r>
        <w:rPr>
          <w:lang w:val="en_US" w:bidi="en_US"/>
        </w:rPr>
      </w:r>
      <w:r>
        <w:rPr>
          <w:b/>
          <w:lang w:val="en_US" w:bidi="en_US"/>
        </w:rPr>
        <w:t>accusing Him:</w:t>
      </w:r>
      <w:r>
        <w:rPr>
          <w:lang w:val="en_US" w:bidi="en_US"/>
        </w:rPr>
        <w:t xml:space="preserve"> In some languages it may be necessary to specify the type of accusation. If this is true in your language, some ways to do this are:</w:t>
      </w:r>
    </w:p>
    <w:p>
      <w:pPr>
        <w:pStyle w:val="ListBullet"/>
        <w:spacing w:line="240" w:lineRule="auto"/>
        <w:ind w:left="720"/>
      </w:pPr>
      <w:r>
        <w:rPr>
          <w:lang w:val="en_US" w:bidi="en_US"/>
        </w:rPr>
      </w:r>
      <w:r>
        <w:rPr>
          <w:lang w:val="en_US" w:bidi="en_US"/>
        </w:rPr>
        <w:t>Use a general phrase. For example:</w:t>
      </w:r>
      <w:r>
        <w:rPr>
          <w:lang w:val="en_US" w:bidi="en_US"/>
        </w:rPr>
        <w:t xml:space="preserve">accusing Him </w:t>
      </w:r>
      <w:r>
        <w:rPr>
          <w:lang w:val="en_US" w:bidi="en_US"/>
        </w:rPr>
        <w:t>of many things</w:t>
      </w:r>
    </w:p>
    <w:p>
      <w:pPr>
        <w:pStyle w:val="ListBullet"/>
        <w:spacing w:line="240" w:lineRule="auto"/>
        <w:ind w:left="720"/>
      </w:pPr>
      <w:r>
        <w:rPr>
          <w:lang w:val="en_US" w:bidi="en_US"/>
        </w:rPr>
      </w:r>
      <w:r>
        <w:rPr>
          <w:lang w:val="en_US" w:bidi="en_US"/>
        </w:rPr>
        <w:t>Supply a phrase that is similar to the accusations in 23:2. For example:</w:t>
      </w:r>
      <w:r>
        <w:rPr>
          <w:lang w:val="en_US" w:bidi="en_US"/>
        </w:rPr>
        <w:t xml:space="preserve">accusing Him </w:t>
      </w:r>
      <w:r>
        <w:rPr>
          <w:lang w:val="en_US" w:bidi="en_US"/>
        </w:rPr>
        <w:t>of opposing the government</w:t>
      </w:r>
      <w:r>
        <w:rPr>
          <w:lang w:val="en_US" w:bidi="en_US"/>
        </w:rPr>
      </w:r>
      <w:r>
        <w:rPr>
          <w:lang w:val="en_US" w:bidi="en_US"/>
        </w:rPr>
      </w:r>
    </w:p>
    <w:p>
      <w:pPr/>
      <w:r>
        <w:rPr>
          <w:lang w:val="en_US" w:bidi="en_US"/>
        </w:rPr>
      </w:r>
    </w:p>
    <w:p>
      <w:pPr>
        <w:pStyle w:val="Heading2"/>
      </w:pPr>
      <w:r>
        <w:rPr>
          <w:lang w:val="en_US" w:bidi="en_US"/>
        </w:rPr>
        <w:t>Luke 23:11</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23:11a</w:t>
      </w:r>
    </w:p>
    <w:p>
      <w:pPr/>
      <w:r>
        <w:rPr>
          <w:lang w:val="en_US" w:bidi="en_US"/>
        </w:rPr>
      </w:r>
      <w:r>
        <w:rPr>
          <w:b/>
          <w:lang w:val="en_US" w:bidi="en_US"/>
        </w:rPr>
        <w:t>And even Herod and his soldiers ridiculed</w:t>
      </w:r>
    </w:p>
    <w:p>
      <w:pPr>
        <w:pStyle w:val="ListBullet"/>
        <w:spacing w:line="240" w:lineRule="auto"/>
        <w:ind w:left="720"/>
      </w:pPr>
      <w:r>
        <w:rPr>
          <w:lang w:val="en_US" w:bidi="en_US"/>
        </w:rPr>
      </w:r>
      <w:r>
        <w:rPr>
          <w:lang w:val="en_US" w:bidi="en_US"/>
        </w:rPr>
        <w:t>And Herod, along with his soldiers, scornfully insulted Jesus</w:t>
      </w:r>
    </w:p>
    <w:p>
      <w:pPr>
        <w:pStyle w:val="ListBullet"/>
        <w:spacing w:line="240" w:lineRule="auto"/>
        <w:ind w:left="720"/>
      </w:pPr>
      <w:r>
        <w:rPr>
          <w:lang w:val="en_US" w:bidi="en_US"/>
        </w:rPr>
      </w:r>
      <w:r>
        <w:rPr>
          <w:lang w:val="en_US" w:bidi="en_US"/>
        </w:rPr>
        <w:t xml:space="preserve">Then Herod and his </w:t>
      </w:r>
      <w:r>
        <w:rPr>
          <w:lang w:val="en_US" w:bidi="en_US"/>
        </w:rPr>
        <w:t>military</w:t>
      </w:r>
      <w:r>
        <w:rPr>
          <w:lang w:val="en_US" w:bidi="en_US"/>
        </w:rPr>
        <w:t xml:space="preserve"> guards showed their contempt for Jesus.</w:t>
      </w:r>
    </w:p>
    <w:p>
      <w:pPr/>
      <w:r>
        <w:rPr>
          <w:lang w:val="en_US" w:bidi="en_US"/>
        </w:rPr>
      </w:r>
      <w:r>
        <w:rPr>
          <w:b/>
          <w:lang w:val="en_US" w:bidi="en_US"/>
        </w:rPr>
        <w:t>Herod and his soldiers:</w:t>
      </w:r>
      <w:r>
        <w:rPr>
          <w:lang w:val="en_US" w:bidi="en_US"/>
        </w:rPr>
        <w:t xml:space="preserve"> In this verse there are three actions: ridiculing (23:11a), mocking (23:11b), and dressing Jesus in a robe (23:11c). The Greek phrase that the BSB translates as </w:t>
      </w:r>
      <w:r>
        <w:rPr>
          <w:i/>
          <w:lang w:val="en_US" w:bidi="en_US"/>
        </w:rPr>
        <w:t>Herod and his soldiers</w:t>
      </w:r>
      <w:r>
        <w:rPr>
          <w:lang w:val="en_US" w:bidi="en_US"/>
        </w:rPr>
        <w:t xml:space="preserve"> is literally “Herod with his soldiers,” as in the RSV. This phrase implies that Herod was the person who began and led these actions. The soldiers joined in the first two actions of mocking and ridiculing Jesus. Herod probably provided the robe and ordered the soldiers to dress Jesus in it. Herod was the person who sent Jesus back to Pilate. Another way to translate these actions are:</w:t>
      </w:r>
    </w:p>
    <w:p>
      <w:pPr/>
      <w:r>
        <w:rPr>
          <w:lang w:val="en_US" w:bidi="en_US"/>
        </w:rPr>
      </w:r>
      <w:r>
        <w:rPr>
          <w:lang w:val="en_US" w:bidi="en_US"/>
        </w:rPr>
        <w:t>Herod and his soldiers treated Jesus with contempt and made fun of him. They put a colorful robe on him and sent him back to Pilate.</w:t>
      </w:r>
    </w:p>
    <w:p>
      <w:pPr/>
      <w:r>
        <w:rPr>
          <w:lang w:val="en_US" w:bidi="en_US"/>
        </w:rPr>
      </w:r>
      <w:r>
        <w:rPr>
          <w:lang w:val="en_US" w:bidi="en_US"/>
        </w:rPr>
        <w:t>In some languages it may be necessary to be more specific about the roles that Herod and his soldiers had in these actions. For example:</w:t>
      </w:r>
    </w:p>
    <w:p>
      <w:pPr/>
      <w:r>
        <w:rPr>
          <w:lang w:val="en_US" w:bidi="en_US"/>
        </w:rPr>
      </w:r>
      <w:r>
        <w:rPr>
          <w:lang w:val="en_US" w:bidi="en_US"/>
        </w:rPr>
        <w:t>Herod, along with his soldiers, mocked and ridiculed Jesus. Then Herod caused him to be dressed in a beautiful robe and sent him back to Pilate.</w:t>
      </w:r>
    </w:p>
    <w:p>
      <w:pPr/>
      <w:r>
        <w:rPr>
          <w:lang w:val="en_US" w:bidi="en_US"/>
        </w:rPr>
      </w:r>
      <w:r>
        <w:rPr>
          <w:b/>
          <w:lang w:val="en_US" w:bidi="en_US"/>
        </w:rPr>
        <w:t>his soldiers:</w:t>
      </w:r>
      <w:r>
        <w:rPr>
          <w:lang w:val="en_US" w:bidi="en_US"/>
        </w:rPr>
        <w:t xml:space="preserve"> The phrase </w:t>
      </w:r>
      <w:r>
        <w:rPr>
          <w:i/>
          <w:lang w:val="en_US" w:bidi="en_US"/>
        </w:rPr>
        <w:t>his soldiers</w:t>
      </w:r>
      <w:r>
        <w:rPr>
          <w:lang w:val="en_US" w:bidi="en_US"/>
        </w:rPr>
        <w:t xml:space="preserve"> refers here to a small group of military men. It was not a large army. These soldiers were probably Herod’s guards, who traveled with Herod to protect him. Use an appropriate term in your language.</w:t>
      </w:r>
    </w:p>
    <w:p>
      <w:pPr/>
      <w:r>
        <w:rPr>
          <w:lang w:val="en_US" w:bidi="en_US"/>
        </w:rPr>
      </w:r>
      <w:r>
        <w:rPr>
          <w:b/>
          <w:lang w:val="en_US" w:bidi="en_US"/>
        </w:rPr>
        <w:t>ridiculed:</w:t>
      </w:r>
      <w:r>
        <w:rPr>
          <w:lang w:val="en_US" w:bidi="en_US"/>
        </w:rPr>
        <w:t xml:space="preserve"> The Greek word that the BSB translates as </w:t>
      </w:r>
      <w:r>
        <w:rPr>
          <w:i/>
          <w:lang w:val="en_US" w:bidi="en_US"/>
        </w:rPr>
        <w:t>ridiculed</w:t>
      </w:r>
      <w:r>
        <w:rPr>
          <w:lang w:val="en_US" w:bidi="en_US"/>
        </w:rPr>
        <w:t xml:space="preserve"> indicates that Herod and his soldiers thought that Jesus was not worthy to be respected. That is why they treated him with contempt.</w:t>
      </w:r>
      <w:r>
        <w:rPr>
          <w:lang w:val="en_US" w:bidi="en_US"/>
        </w:rPr>
        <w:t>BDAG (pp. 352) lists the use here in 23:11 under meaning 3: “to regard another as of no significance and therefore worthy of maltreatment.”</w:t>
      </w:r>
      <w:r>
        <w:rPr>
          <w:lang w:val="en_US" w:bidi="en_US"/>
        </w:rPr>
        <w:t xml:space="preserve"> Some other ways to translate it in this context are:</w:t>
      </w:r>
    </w:p>
    <w:p>
      <w:pPr/>
      <w:r>
        <w:rPr>
          <w:lang w:val="en_US" w:bidi="en_US"/>
        </w:rPr>
      </w:r>
      <w:r>
        <w:rPr>
          <w:lang w:val="en_US" w:bidi="en_US"/>
        </w:rPr>
        <w:t>treated Jesus with contempt (GW)</w:t>
      </w:r>
    </w:p>
    <w:p>
      <w:pPr/>
      <w:r>
        <w:rPr>
          <w:lang w:val="en_US" w:bidi="en_US"/>
        </w:rPr>
      </w:r>
      <w:r>
        <w:rPr>
          <w:lang w:val="en_US" w:bidi="en_US"/>
        </w:rPr>
        <w:t>laughing-at</w:t>
      </w:r>
      <w:r>
        <w:rPr>
          <w:lang w:val="en_US" w:bidi="en_US"/>
        </w:rPr>
        <w:t>Kankanaey back translation on TW.</w:t>
      </w:r>
    </w:p>
    <w:p>
      <w:pPr>
        <w:pStyle w:val="Heading5"/>
      </w:pPr>
      <w:r>
        <w:rPr>
          <w:lang w:val="en_US" w:bidi="en_US"/>
        </w:rPr>
        <w:t>23:11b</w:t>
      </w:r>
    </w:p>
    <w:p>
      <w:pPr/>
      <w:r>
        <w:rPr>
          <w:lang w:val="en_US" w:bidi="en_US"/>
        </w:rPr>
      </w:r>
      <w:r>
        <w:rPr>
          <w:b/>
          <w:lang w:val="en_US" w:bidi="en_US"/>
        </w:rPr>
        <w:t>and mocked Him.</w:t>
      </w:r>
    </w:p>
    <w:p>
      <w:pPr>
        <w:pStyle w:val="ListBullet"/>
        <w:spacing w:line="240" w:lineRule="auto"/>
        <w:ind w:left="720"/>
      </w:pPr>
      <w:r>
        <w:rPr>
          <w:lang w:val="en_US" w:bidi="en_US"/>
        </w:rPr>
      </w:r>
      <w:r>
        <w:rPr>
          <w:lang w:val="en_US" w:bidi="en_US"/>
        </w:rPr>
        <w:t>and laughed at him.</w:t>
      </w:r>
    </w:p>
    <w:p>
      <w:pPr>
        <w:pStyle w:val="ListBullet"/>
        <w:spacing w:line="240" w:lineRule="auto"/>
        <w:ind w:left="720"/>
      </w:pPr>
      <w:r>
        <w:rPr>
          <w:lang w:val="en_US" w:bidi="en_US"/>
        </w:rPr>
      </w:r>
      <w:r>
        <w:rPr>
          <w:lang w:val="en_US" w:bidi="en_US"/>
        </w:rPr>
        <w:t>They made fun of him.</w:t>
      </w:r>
    </w:p>
    <w:p>
      <w:pPr/>
      <w:r>
        <w:rPr>
          <w:lang w:val="en_US" w:bidi="en_US"/>
        </w:rPr>
      </w:r>
      <w:r>
        <w:rPr>
          <w:b/>
          <w:lang w:val="en_US" w:bidi="en_US"/>
        </w:rPr>
        <w:t>mocked:</w:t>
      </w:r>
      <w:r>
        <w:rPr>
          <w:lang w:val="en_US" w:bidi="en_US"/>
        </w:rPr>
        <w:t xml:space="preserve"> The word </w:t>
      </w:r>
      <w:r>
        <w:rPr>
          <w:i/>
          <w:lang w:val="en_US" w:bidi="en_US"/>
        </w:rPr>
        <w:t>mocked</w:t>
      </w:r>
      <w:r>
        <w:rPr>
          <w:lang w:val="en_US" w:bidi="en_US"/>
        </w:rPr>
        <w:t xml:space="preserve"> indicates that they made fun of Jesus. They insulted him with both words and actions. Some other ways to translate it are:</w:t>
      </w:r>
    </w:p>
    <w:p>
      <w:pPr/>
      <w:r>
        <w:rPr>
          <w:lang w:val="en_US" w:bidi="en_US"/>
        </w:rPr>
      </w:r>
      <w:r>
        <w:rPr>
          <w:lang w:val="en_US" w:bidi="en_US"/>
        </w:rPr>
        <w:t>insulted him</w:t>
      </w:r>
    </w:p>
    <w:p>
      <w:pPr/>
      <w:r>
        <w:rPr>
          <w:lang w:val="en_US" w:bidi="en_US"/>
        </w:rPr>
      </w:r>
      <w:r>
        <w:rPr>
          <w:lang w:val="en_US" w:bidi="en_US"/>
        </w:rPr>
        <w:t>treated him shamefully</w:t>
      </w:r>
      <w:r>
        <w:rPr>
          <w:lang w:val="en_US" w:bidi="en_US"/>
        </w:rPr>
        <w:t>Western Bukidnon Manobo back translation on TW.</w:t>
      </w:r>
    </w:p>
    <w:p>
      <w:pPr/>
      <w:r>
        <w:rPr>
          <w:lang w:val="en_US" w:bidi="en_US"/>
        </w:rPr>
      </w:r>
      <w:r>
        <w:rPr>
          <w:lang w:val="en_US" w:bidi="en_US"/>
        </w:rPr>
        <w:t>made fun of him (GW)</w:t>
      </w:r>
    </w:p>
    <w:p>
      <w:pPr/>
      <w:r>
        <w:rPr>
          <w:lang w:val="en_US" w:bidi="en_US"/>
        </w:rPr>
      </w:r>
      <w:r>
        <w:rPr>
          <w:lang w:val="en_US" w:bidi="en_US"/>
        </w:rPr>
        <w:t>This word also occurred in 22:63. You can translate it in the same way or a similar way here.</w:t>
      </w:r>
    </w:p>
    <w:p>
      <w:pPr>
        <w:pStyle w:val="Heading5"/>
      </w:pPr>
      <w:r>
        <w:rPr>
          <w:lang w:val="en_US" w:bidi="en_US"/>
        </w:rPr>
        <w:t>23:11c</w:t>
      </w:r>
    </w:p>
    <w:p>
      <w:pPr/>
      <w:r>
        <w:rPr>
          <w:lang w:val="en_US" w:bidi="en_US"/>
        </w:rPr>
      </w:r>
      <w:r>
        <w:rPr>
          <w:b/>
          <w:lang w:val="en_US" w:bidi="en_US"/>
        </w:rPr>
        <w:t>Dressing Him in a fine robe,</w:t>
      </w:r>
    </w:p>
    <w:p>
      <w:pPr>
        <w:pStyle w:val="ListBullet"/>
        <w:spacing w:line="240" w:lineRule="auto"/>
        <w:ind w:left="720"/>
      </w:pPr>
      <w:r>
        <w:rPr>
          <w:lang w:val="en_US" w:bidi="en_US"/>
        </w:rPr>
      </w:r>
      <w:r>
        <w:rPr>
          <w:lang w:val="en_US" w:bidi="en_US"/>
        </w:rPr>
        <w:t>They put a majestic/royal robe on him,</w:t>
      </w:r>
    </w:p>
    <w:p>
      <w:pPr>
        <w:pStyle w:val="ListBullet"/>
        <w:spacing w:line="240" w:lineRule="auto"/>
        <w:ind w:left="720"/>
      </w:pPr>
      <w:r>
        <w:rPr>
          <w:lang w:val="en_US" w:bidi="en_US"/>
        </w:rPr>
      </w:r>
      <w:r>
        <w:rPr>
          <w:lang w:val="en_US" w:bidi="en_US"/>
        </w:rPr>
        <w:t xml:space="preserve">Then Herod </w:t>
      </w:r>
      <w:r>
        <w:rPr>
          <w:lang w:val="en_US" w:bidi="en_US"/>
        </w:rPr>
        <w:t>ordered them to</w:t>
      </w:r>
      <w:r>
        <w:rPr>
          <w:lang w:val="en_US" w:bidi="en_US"/>
        </w:rPr>
        <w:t xml:space="preserve"> clothe/put him in a king’s robe,</w:t>
      </w:r>
    </w:p>
    <w:p>
      <w:pPr/>
      <w:r>
        <w:rPr>
          <w:lang w:val="en_US" w:bidi="en_US"/>
        </w:rPr>
      </w:r>
      <w:r>
        <w:rPr>
          <w:b/>
          <w:lang w:val="en_US" w:bidi="en_US"/>
        </w:rPr>
        <w:t>Dressing Him in a fine robe:</w:t>
      </w:r>
      <w:r>
        <w:rPr>
          <w:lang w:val="en_US" w:bidi="en_US"/>
        </w:rPr>
        <w:t xml:space="preserve"> The subject of the verb </w:t>
      </w:r>
      <w:r>
        <w:rPr>
          <w:i/>
          <w:lang w:val="en_US" w:bidi="en_US"/>
        </w:rPr>
        <w:t>Dressing</w:t>
      </w:r>
      <w:r>
        <w:rPr>
          <w:lang w:val="en_US" w:bidi="en_US"/>
        </w:rPr>
        <w:t xml:space="preserve"> is the same as that of the verbs in 23:11a, “Herod and/with his soldiers.” Probably Herod provided the elegant robe and ordered his soldiers to dress Jesus in it. Herod and his soldiers put the robe on Jesus to mock him. They implied that he was not at all fit to be a king. The phrase </w:t>
      </w:r>
      <w:r>
        <w:rPr>
          <w:i/>
          <w:lang w:val="en_US" w:bidi="en_US"/>
        </w:rPr>
        <w:t>Dressing Him</w:t>
      </w:r>
      <w:r>
        <w:rPr>
          <w:lang w:val="en_US" w:bidi="en_US"/>
        </w:rPr>
        <w:t xml:space="preserve"> indicates that they put the robe on Jesus. Other ways to translate this clause are:</w:t>
      </w:r>
    </w:p>
    <w:p>
      <w:pPr/>
      <w:r>
        <w:rPr>
          <w:lang w:val="en_US" w:bidi="en_US"/>
        </w:rPr>
      </w:r>
      <w:r>
        <w:rPr>
          <w:lang w:val="en_US" w:bidi="en_US"/>
        </w:rPr>
        <w:t>They dressed him in a fine robe like that which kings wear</w:t>
      </w:r>
      <w:r>
        <w:rPr>
          <w:lang w:val="en_US" w:bidi="en_US"/>
        </w:rPr>
        <w:t>Kankanaey back translation on TW.</w:t>
      </w:r>
    </w:p>
    <w:p>
      <w:pPr/>
      <w:r>
        <w:rPr>
          <w:lang w:val="en_US" w:bidi="en_US"/>
        </w:rPr>
      </w:r>
      <w:r>
        <w:rPr>
          <w:lang w:val="en_US" w:bidi="en_US"/>
        </w:rPr>
        <w:t>They dressed him in very good clothing as if he were a king</w:t>
      </w:r>
      <w:r>
        <w:rPr>
          <w:lang w:val="en_US" w:bidi="en_US"/>
        </w:rPr>
        <w:t>Western Bukidnon Manobo back translation on TW.</w:t>
      </w:r>
    </w:p>
    <w:p>
      <w:pPr/>
      <w:r>
        <w:rPr>
          <w:lang w:val="en_US" w:bidi="en_US"/>
        </w:rPr>
      </w:r>
      <w:r>
        <w:rPr>
          <w:lang w:val="en_US" w:bidi="en_US"/>
        </w:rPr>
        <w:t>Finally, they put a royal robe on him (NLT)</w:t>
      </w:r>
    </w:p>
    <w:p>
      <w:pPr/>
      <w:r>
        <w:rPr>
          <w:lang w:val="en_US" w:bidi="en_US"/>
        </w:rPr>
      </w:r>
      <w:r>
        <w:rPr>
          <w:b/>
          <w:lang w:val="en_US" w:bidi="en_US"/>
        </w:rPr>
        <w:t>a fine robe:</w:t>
      </w:r>
      <w:r>
        <w:rPr>
          <w:lang w:val="en_US" w:bidi="en_US"/>
        </w:rPr>
        <w:t xml:space="preserve"> The Greek phrase that the BSB translates as </w:t>
      </w:r>
      <w:r>
        <w:rPr>
          <w:i/>
          <w:lang w:val="en_US" w:bidi="en_US"/>
        </w:rPr>
        <w:t>a fine robe</w:t>
      </w:r>
      <w:r>
        <w:rPr>
          <w:lang w:val="en_US" w:bidi="en_US"/>
        </w:rPr>
        <w:t xml:space="preserve"> is literally “bright/shining clothing.” In that culture, this type of clothing was worn by rich or important men. It was clothing that a king might wear. (In Mark 15:17 and John 19:2, Pilate’s soldiers dressed Jesus in a purple robe, which was also something that a king might wear.) For translation suggestions, see the examples in the preceding note.</w:t>
      </w:r>
    </w:p>
    <w:p>
      <w:pPr>
        <w:pStyle w:val="Heading5"/>
      </w:pPr>
      <w:r>
        <w:rPr>
          <w:lang w:val="en_US" w:bidi="en_US"/>
        </w:rPr>
        <w:t>23:11d</w:t>
      </w:r>
    </w:p>
    <w:p>
      <w:pPr/>
      <w:r>
        <w:rPr>
          <w:lang w:val="en_US" w:bidi="en_US"/>
        </w:rPr>
      </w:r>
      <w:r>
        <w:rPr>
          <w:b/>
          <w:lang w:val="en_US" w:bidi="en_US"/>
        </w:rPr>
        <w:t>they sent Him back to Pilate.</w:t>
      </w:r>
    </w:p>
    <w:p>
      <w:pPr>
        <w:pStyle w:val="ListBullet"/>
        <w:spacing w:line="240" w:lineRule="auto"/>
        <w:ind w:left="720"/>
      </w:pPr>
      <w:r>
        <w:rPr>
          <w:lang w:val="en_US" w:bidi="en_US"/>
        </w:rPr>
      </w:r>
      <w:r>
        <w:rPr>
          <w:lang w:val="en_US" w:bidi="en_US"/>
        </w:rPr>
        <w:t>and then Herod sent him back to Pilate.</w:t>
      </w:r>
    </w:p>
    <w:p>
      <w:pPr>
        <w:pStyle w:val="ListBullet"/>
        <w:spacing w:line="240" w:lineRule="auto"/>
        <w:ind w:left="720"/>
      </w:pPr>
      <w:r>
        <w:rPr>
          <w:lang w:val="en_US" w:bidi="en_US"/>
        </w:rPr>
      </w:r>
      <w:r>
        <w:rPr>
          <w:lang w:val="en_US" w:bidi="en_US"/>
        </w:rPr>
        <w:t xml:space="preserve">and he </w:t>
      </w:r>
      <w:r>
        <w:rPr>
          <w:lang w:val="en_US" w:bidi="en_US"/>
        </w:rPr>
        <w:t>told</w:t>
      </w:r>
      <w:r>
        <w:rPr>
          <w:lang w:val="en_US" w:bidi="en_US"/>
        </w:rPr>
        <w:t xml:space="preserve"> </w:t>
      </w:r>
      <w:r>
        <w:rPr>
          <w:lang w:val="en_US" w:bidi="en_US"/>
        </w:rPr>
        <w:t>some of his men</w:t>
      </w:r>
      <w:r>
        <w:rPr>
          <w:lang w:val="en_US" w:bidi="en_US"/>
        </w:rPr>
        <w:t xml:space="preserve"> to return/take him to Governor Pilate.</w:t>
      </w:r>
    </w:p>
    <w:p>
      <w:pPr/>
      <w:r>
        <w:rPr>
          <w:lang w:val="en_US" w:bidi="en_US"/>
        </w:rPr>
      </w:r>
      <w:r>
        <w:rPr>
          <w:b/>
          <w:lang w:val="en_US" w:bidi="en_US"/>
        </w:rPr>
        <w:t>they sent Him back to Pilate:</w:t>
      </w:r>
      <w:r>
        <w:rPr>
          <w:lang w:val="en_US" w:bidi="en_US"/>
        </w:rPr>
        <w:t xml:space="preserve"> The Greek verb that the BSB translates as </w:t>
      </w:r>
      <w:r>
        <w:rPr>
          <w:i/>
          <w:lang w:val="en_US" w:bidi="en_US"/>
        </w:rPr>
        <w:t>they sent</w:t>
      </w:r>
      <w:r>
        <w:rPr>
          <w:lang w:val="en_US" w:bidi="en_US"/>
        </w:rPr>
        <w:t xml:space="preserve"> is literally “he sent.” The implied subject is the same as in 23:11a, “Herod and/with his soldiers.” Herod told his soldiers to lead Jesus, as a prisoner, back to Pilate. Translate this action in a natural way in your language.</w:t>
      </w:r>
      <w:r>
        <w:rPr>
          <w:lang w:val="en_US" w:bidi="en_US"/>
        </w:rPr>
      </w:r>
      <w:r>
        <w:rPr>
          <w:lang w:val="en_US" w:bidi="en_US"/>
        </w:rPr>
      </w:r>
    </w:p>
    <w:p>
      <w:pPr/>
      <w:r>
        <w:rPr>
          <w:lang w:val="en_US" w:bidi="en_US"/>
        </w:rPr>
      </w:r>
    </w:p>
    <w:p>
      <w:pPr>
        <w:pStyle w:val="Heading2"/>
      </w:pPr>
      <w:r>
        <w:rPr>
          <w:lang w:val="en_US" w:bidi="en_US"/>
        </w:rPr>
        <w:t>Luke 23:12</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23:12a–b</w:t>
      </w:r>
    </w:p>
    <w:p>
      <w:pPr/>
      <w:r>
        <w:rPr>
          <w:lang w:val="en_US" w:bidi="en_US"/>
        </w:rPr>
      </w:r>
      <w:r>
        <w:rPr>
          <w:b/>
          <w:lang w:val="en_US" w:bidi="en_US"/>
        </w:rPr>
        <w:t>That day Herod and Pilate became friends; before this time they had been enemies:</w:t>
      </w:r>
      <w:r>
        <w:rPr>
          <w:lang w:val="en_US" w:bidi="en_US"/>
        </w:rPr>
        <w:t xml:space="preserve"> This verse tells about a change in the way Herod and Pilate acted toward each other. Before Herod and Pilate had to judge Jesus, they were </w:t>
      </w:r>
      <w:r>
        <w:rPr>
          <w:i/>
          <w:lang w:val="en_US" w:bidi="en_US"/>
        </w:rPr>
        <w:t>enemies</w:t>
      </w:r>
      <w:r>
        <w:rPr>
          <w:lang w:val="en_US" w:bidi="en_US"/>
        </w:rPr>
        <w:t xml:space="preserve">. They did not cooperate with each other. After Herod returned Jesus to Pilate for judgment, Pilate and Herod became </w:t>
      </w:r>
      <w:r>
        <w:rPr>
          <w:i/>
          <w:lang w:val="en_US" w:bidi="en_US"/>
        </w:rPr>
        <w:t>friends</w:t>
      </w:r>
      <w:r>
        <w:rPr>
          <w:lang w:val="en_US" w:bidi="en_US"/>
        </w:rPr>
        <w:t xml:space="preserve">. The clause in 23:12a is the result of what happened on </w:t>
      </w:r>
      <w:r>
        <w:rPr>
          <w:i/>
          <w:lang w:val="en_US" w:bidi="en_US"/>
        </w:rPr>
        <w:t>That day</w:t>
      </w:r>
      <w:r>
        <w:rPr>
          <w:lang w:val="en_US" w:bidi="en_US"/>
        </w:rPr>
        <w:t xml:space="preserve"> when Herod sent Jesus back to Pilate (23:11d).</w:t>
      </w:r>
    </w:p>
    <w:p>
      <w:pPr/>
      <w:r>
        <w:rPr>
          <w:lang w:val="en_US" w:bidi="en_US"/>
        </w:rPr>
      </w:r>
      <w:r>
        <w:rPr>
          <w:lang w:val="en_US" w:bidi="en_US"/>
        </w:rPr>
        <w:t>Some other ways to translate this connection are:</w:t>
      </w:r>
    </w:p>
    <w:p>
      <w:pPr/>
      <w:r>
        <w:rPr>
          <w:lang w:val="en_US" w:bidi="en_US"/>
        </w:rPr>
      </w:r>
      <w:r>
        <w:rPr>
          <w:lang w:val="en_US" w:bidi="en_US"/>
        </w:rPr>
        <w:t>So Herod and Pilate became friends that day. They had been enemies before this. (GW)</w:t>
      </w:r>
    </w:p>
    <w:p>
      <w:pPr/>
      <w:r>
        <w:rPr>
          <w:lang w:val="en_US" w:bidi="en_US"/>
        </w:rPr>
      </w:r>
      <w:r>
        <w:rPr>
          <w:lang w:val="en_US" w:bidi="en_US"/>
        </w:rPr>
        <w:t>That same day Herod and Pilate became friends, even though they had been enemies before this. (CEV)</w:t>
      </w:r>
    </w:p>
    <w:p>
      <w:pPr/>
      <w:r>
        <w:rPr>
          <w:lang w:val="en_US" w:bidi="en_US"/>
        </w:rPr>
      </w:r>
      <w:r>
        <w:rPr>
          <w:lang w:val="en_US" w:bidi="en_US"/>
        </w:rPr>
        <w:t>On that day Herodes and Pilatus made peace, whereas before they disagreed.</w:t>
      </w:r>
      <w:r>
        <w:rPr>
          <w:lang w:val="en_US" w:bidi="en_US"/>
        </w:rPr>
        <w:t>Uma back translation on TW.</w:t>
      </w:r>
    </w:p>
    <w:p>
      <w:pPr/>
      <w:r>
        <w:rPr>
          <w:lang w:val="en_US" w:bidi="en_US"/>
        </w:rPr>
      </w:r>
      <w:r>
        <w:rPr>
          <w:lang w:val="en_US" w:bidi="en_US"/>
        </w:rPr>
        <w:t>In some languages it may be more natural to change the order of clauses in this verse. See the General Comment on 23:12a–b below for an example.</w:t>
      </w:r>
    </w:p>
    <w:p>
      <w:pPr>
        <w:pStyle w:val="Heading5"/>
      </w:pPr>
      <w:r>
        <w:rPr>
          <w:lang w:val="en_US" w:bidi="en_US"/>
        </w:rPr>
        <w:t>23:12a</w:t>
      </w:r>
    </w:p>
    <w:p>
      <w:pPr/>
      <w:r>
        <w:rPr>
          <w:lang w:val="en_US" w:bidi="en_US"/>
        </w:rPr>
      </w:r>
      <w:r>
        <w:rPr>
          <w:b/>
          <w:lang w:val="en_US" w:bidi="en_US"/>
        </w:rPr>
        <w:t>That day Herod and Pilate became friends;</w:t>
      </w:r>
    </w:p>
    <w:p>
      <w:pPr>
        <w:pStyle w:val="ListBullet"/>
        <w:spacing w:line="240" w:lineRule="auto"/>
        <w:ind w:left="720"/>
      </w:pPr>
      <w:r>
        <w:rPr>
          <w:lang w:val="en_US" w:bidi="en_US"/>
        </w:rPr>
      </w:r>
      <w:r>
        <w:rPr>
          <w:lang w:val="en_US" w:bidi="en_US"/>
        </w:rPr>
        <w:t>That day Herod and Pilate became friends/allies.</w:t>
      </w:r>
    </w:p>
    <w:p>
      <w:pPr>
        <w:pStyle w:val="ListBullet"/>
        <w:spacing w:line="240" w:lineRule="auto"/>
        <w:ind w:left="720"/>
      </w:pPr>
      <w:r>
        <w:rPr>
          <w:lang w:val="en_US" w:bidi="en_US"/>
        </w:rPr>
      </w:r>
      <w:r>
        <w:rPr>
          <w:lang w:val="en_US" w:bidi="en_US"/>
        </w:rPr>
        <w:t>That was the day that Herod and Pilate were reconciled.</w:t>
      </w:r>
    </w:p>
    <w:p>
      <w:pPr/>
      <w:r>
        <w:rPr>
          <w:lang w:val="en_US" w:bidi="en_US"/>
        </w:rPr>
      </w:r>
      <w:r>
        <w:rPr>
          <w:b/>
          <w:lang w:val="en_US" w:bidi="en_US"/>
        </w:rPr>
        <w:t>That day:</w:t>
      </w:r>
      <w:r>
        <w:rPr>
          <w:lang w:val="en_US" w:bidi="en_US"/>
        </w:rPr>
        <w:t xml:space="preserve"> The phrase </w:t>
      </w:r>
      <w:r>
        <w:rPr>
          <w:i/>
          <w:lang w:val="en_US" w:bidi="en_US"/>
        </w:rPr>
        <w:t>That day</w:t>
      </w:r>
      <w:r>
        <w:rPr>
          <w:lang w:val="en_US" w:bidi="en_US"/>
        </w:rPr>
        <w:t xml:space="preserve"> refers to the day when Herod sent Jesus back to Pilate. In this verse the phrase is emphatic. Some ways to translate the emphasis in English are:</w:t>
      </w:r>
    </w:p>
    <w:p>
      <w:pPr/>
      <w:r>
        <w:rPr>
          <w:lang w:val="en_US" w:bidi="en_US"/>
        </w:rPr>
      </w:r>
      <w:r>
        <w:rPr>
          <w:lang w:val="en_US" w:bidi="en_US"/>
        </w:rPr>
        <w:t>On that very day (GNT)</w:t>
      </w:r>
    </w:p>
    <w:p>
      <w:pPr/>
      <w:r>
        <w:rPr>
          <w:lang w:val="en_US" w:bidi="en_US"/>
        </w:rPr>
      </w:r>
      <w:r>
        <w:rPr>
          <w:lang w:val="en_US" w:bidi="en_US"/>
        </w:rPr>
        <w:t>That same day (CEV)</w:t>
      </w:r>
    </w:p>
    <w:p>
      <w:pPr/>
      <w:r>
        <w:rPr>
          <w:lang w:val="en_US" w:bidi="en_US"/>
        </w:rPr>
      </w:r>
      <w:r>
        <w:rPr>
          <w:lang w:val="en_US" w:bidi="en_US"/>
        </w:rPr>
        <w:t>Refer to that day in a natural way in your language.</w:t>
      </w:r>
    </w:p>
    <w:p>
      <w:pPr/>
      <w:r>
        <w:rPr>
          <w:lang w:val="en_US" w:bidi="en_US"/>
        </w:rPr>
      </w:r>
      <w:r>
        <w:rPr>
          <w:b/>
          <w:lang w:val="en_US" w:bidi="en_US"/>
        </w:rPr>
        <w:t>became friends:</w:t>
      </w:r>
      <w:r>
        <w:rPr>
          <w:lang w:val="en_US" w:bidi="en_US"/>
        </w:rPr>
        <w:t xml:space="preserve"> Here the word </w:t>
      </w:r>
      <w:r>
        <w:rPr>
          <w:i/>
          <w:lang w:val="en_US" w:bidi="en_US"/>
        </w:rPr>
        <w:t>friends</w:t>
      </w:r>
      <w:r>
        <w:rPr>
          <w:lang w:val="en_US" w:bidi="en_US"/>
        </w:rPr>
        <w:t xml:space="preserve"> is used about political rulers. In that context, </w:t>
      </w:r>
      <w:r>
        <w:rPr>
          <w:i/>
          <w:lang w:val="en_US" w:bidi="en_US"/>
        </w:rPr>
        <w:t>friends</w:t>
      </w:r>
      <w:r>
        <w:rPr>
          <w:lang w:val="en_US" w:bidi="en_US"/>
        </w:rPr>
        <w:t xml:space="preserve"> refers to rulers who cooperate with each other as they rule their people. It does not refer to people who like each other and help each other in private ways. Some ways to translate </w:t>
      </w:r>
      <w:r>
        <w:rPr>
          <w:i/>
          <w:lang w:val="en_US" w:bidi="en_US"/>
        </w:rPr>
        <w:t>became friends</w:t>
      </w:r>
      <w:r>
        <w:rPr>
          <w:lang w:val="en_US" w:bidi="en_US"/>
        </w:rPr>
        <w:t xml:space="preserve"> in this context are:</w:t>
      </w:r>
    </w:p>
    <w:p>
      <w:pPr/>
      <w:r>
        <w:rPr>
          <w:lang w:val="en_US" w:bidi="en_US"/>
        </w:rPr>
      </w:r>
      <w:r>
        <w:rPr>
          <w:lang w:val="en_US" w:bidi="en_US"/>
        </w:rPr>
        <w:t>became allies</w:t>
      </w:r>
    </w:p>
    <w:p>
      <w:pPr/>
      <w:r>
        <w:rPr>
          <w:lang w:val="en_US" w:bidi="en_US"/>
        </w:rPr>
      </w:r>
      <w:r>
        <w:rPr>
          <w:lang w:val="en_US" w:bidi="en_US"/>
        </w:rPr>
        <w:t>were reconciled</w:t>
      </w:r>
    </w:p>
    <w:p>
      <w:pPr/>
      <w:r>
        <w:rPr>
          <w:lang w:val="en_US" w:bidi="en_US"/>
        </w:rPr>
      </w:r>
      <w:r>
        <w:rPr>
          <w:lang w:val="en_US" w:bidi="en_US"/>
        </w:rPr>
        <w:t>began to cooperate with each other</w:t>
      </w:r>
    </w:p>
    <w:p>
      <w:pPr>
        <w:pStyle w:val="Heading5"/>
      </w:pPr>
      <w:r>
        <w:rPr>
          <w:lang w:val="en_US" w:bidi="en_US"/>
        </w:rPr>
        <w:t>23:12b</w:t>
      </w:r>
    </w:p>
    <w:p>
      <w:pPr/>
      <w:r>
        <w:rPr>
          <w:lang w:val="en_US" w:bidi="en_US"/>
        </w:rPr>
      </w:r>
      <w:r>
        <w:rPr>
          <w:b/>
          <w:lang w:val="en_US" w:bidi="en_US"/>
        </w:rPr>
        <w:t>before this time they had been enemies.</w:t>
      </w:r>
    </w:p>
    <w:p>
      <w:pPr>
        <w:pStyle w:val="ListBullet"/>
        <w:spacing w:line="240" w:lineRule="auto"/>
        <w:ind w:left="720"/>
      </w:pPr>
      <w:r>
        <w:rPr>
          <w:lang w:val="en_US" w:bidi="en_US"/>
        </w:rPr>
      </w:r>
      <w:r>
        <w:rPr>
          <w:lang w:val="en_US" w:bidi="en_US"/>
        </w:rPr>
        <w:t xml:space="preserve">Before that day, they were </w:t>
      </w:r>
      <w:r>
        <w:rPr>
          <w:lang w:val="en_US" w:bidi="en_US"/>
        </w:rPr>
        <w:t>political</w:t>
      </w:r>
      <w:r>
        <w:rPr>
          <w:lang w:val="en_US" w:bidi="en_US"/>
        </w:rPr>
        <w:t xml:space="preserve"> enemies/rivals.</w:t>
      </w:r>
    </w:p>
    <w:p>
      <w:pPr>
        <w:pStyle w:val="ListBullet"/>
        <w:spacing w:line="240" w:lineRule="auto"/>
        <w:ind w:left="720"/>
      </w:pPr>
      <w:r>
        <w:rPr>
          <w:lang w:val="en_US" w:bidi="en_US"/>
        </w:rPr>
      </w:r>
      <w:r>
        <w:rPr>
          <w:lang w:val="en_US" w:bidi="en_US"/>
        </w:rPr>
        <w:t>Previously they had opposed each other.</w:t>
      </w:r>
    </w:p>
    <w:p>
      <w:pPr/>
      <w:r>
        <w:rPr>
          <w:lang w:val="en_US" w:bidi="en_US"/>
        </w:rPr>
      </w:r>
      <w:r>
        <w:rPr>
          <w:b/>
          <w:lang w:val="en_US" w:bidi="en_US"/>
        </w:rPr>
        <w:t>before this time:</w:t>
      </w:r>
      <w:r>
        <w:rPr>
          <w:lang w:val="en_US" w:bidi="en_US"/>
        </w:rPr>
        <w:t xml:space="preserve"> The Greek phrase that the BSB translates as </w:t>
      </w:r>
      <w:r>
        <w:rPr>
          <w:i/>
          <w:lang w:val="en_US" w:bidi="en_US"/>
        </w:rPr>
        <w:t>before this</w:t>
      </w:r>
      <w:r>
        <w:rPr>
          <w:lang w:val="en_US" w:bidi="en_US"/>
        </w:rPr>
        <w:t xml:space="preserve"> literally means “previously.” It refers to the time before Herod sent Jesus back to Pilate. Refer to that previous time in a natural way in your language.</w:t>
      </w:r>
    </w:p>
    <w:p>
      <w:pPr/>
      <w:r>
        <w:rPr>
          <w:lang w:val="en_US" w:bidi="en_US"/>
        </w:rPr>
      </w:r>
      <w:r>
        <w:rPr>
          <w:b/>
          <w:lang w:val="en_US" w:bidi="en_US"/>
        </w:rPr>
        <w:t>they had been enemies:</w:t>
      </w:r>
      <w:r>
        <w:rPr>
          <w:lang w:val="en_US" w:bidi="en_US"/>
        </w:rPr>
        <w:t xml:space="preserve"> In this context the word </w:t>
      </w:r>
      <w:r>
        <w:rPr>
          <w:i/>
          <w:lang w:val="en_US" w:bidi="en_US"/>
        </w:rPr>
        <w:t>enemies</w:t>
      </w:r>
      <w:r>
        <w:rPr>
          <w:lang w:val="en_US" w:bidi="en_US"/>
        </w:rPr>
        <w:t xml:space="preserve"> refers to rulers who do not cooperate with each other. They oppose each other because of political reasons. The word does not imply that Herod and Pilate were at war. It also does not imply that they wanted to kill each other or hurt each other physically or by spiritual means.</w:t>
      </w:r>
    </w:p>
    <w:p>
      <w:pPr/>
      <w:r>
        <w:rPr>
          <w:lang w:val="en_US" w:bidi="en_US"/>
        </w:rPr>
      </w:r>
      <w:r>
        <w:rPr>
          <w:lang w:val="en_US" w:bidi="en_US"/>
        </w:rPr>
        <w:t>Use a natural way in your language to refer to a political rival. Some ways to do this in English are:</w:t>
      </w:r>
    </w:p>
    <w:p>
      <w:pPr/>
      <w:r>
        <w:rPr>
          <w:lang w:val="en_US" w:bidi="en_US"/>
        </w:rPr>
      </w:r>
      <w:r>
        <w:rPr>
          <w:lang w:val="en_US" w:bidi="en_US"/>
        </w:rPr>
        <w:t>they opposed each other</w:t>
      </w:r>
    </w:p>
    <w:p>
      <w:pPr/>
      <w:r>
        <w:rPr>
          <w:lang w:val="en_US" w:bidi="en_US"/>
        </w:rPr>
      </w:r>
      <w:r>
        <w:rPr>
          <w:lang w:val="en_US" w:bidi="en_US"/>
        </w:rPr>
        <w:t xml:space="preserve">they were </w:t>
      </w:r>
      <w:r>
        <w:rPr>
          <w:lang w:val="en_US" w:bidi="en_US"/>
        </w:rPr>
        <w:t>political</w:t>
      </w:r>
      <w:r>
        <w:rPr>
          <w:lang w:val="en_US" w:bidi="en_US"/>
        </w:rPr>
        <w:t xml:space="preserve"> rivals</w:t>
      </w:r>
    </w:p>
    <w:p>
      <w:pPr/>
      <w:r>
        <w:rPr>
          <w:lang w:val="en_US" w:bidi="en_US"/>
        </w:rPr>
      </w:r>
      <w:r>
        <w:rPr>
          <w:lang w:val="en_US" w:bidi="en_US"/>
        </w:rPr>
        <w:t>they were not peaceful toward each other</w:t>
      </w:r>
      <w:r>
        <w:rPr>
          <w:lang w:val="en_US" w:bidi="en_US"/>
        </w:rPr>
        <w:t>Western Bukidnon Manobo back translation on TW.</w:t>
      </w:r>
    </w:p>
    <w:p>
      <w:pPr>
        <w:pStyle w:val="Heading6"/>
      </w:pPr>
      <w:r>
        <w:rPr>
          <w:b/>
          <w:lang w:val="en_US" w:bidi="en_US"/>
        </w:rPr>
        <w:t>General Comment on 23:12a–b</w:t>
      </w:r>
    </w:p>
    <w:p>
      <w:pPr/>
      <w:r>
        <w:rPr>
          <w:lang w:val="en_US" w:bidi="en_US"/>
        </w:rPr>
      </w:r>
      <w:r>
        <w:rPr>
          <w:lang w:val="en_US" w:bidi="en_US"/>
        </w:rPr>
        <w:t>In some languages it may be necessary to reverse the order of 23:12a and 23:12b. For example:</w:t>
      </w:r>
    </w:p>
    <w:p>
      <w:pPr/>
      <w:r>
        <w:rPr>
          <w:lang w:val="en_US" w:bidi="en_US"/>
        </w:rPr>
      </w:r>
      <w:r>
        <w:rPr>
          <w:vertAlign w:val="superscript"/>
          <w:lang w:val="en_US" w:bidi="en_US"/>
        </w:rPr>
        <w:t>23b</w:t>
      </w:r>
      <w:r>
        <w:rPr>
          <w:lang w:val="en_US" w:bidi="en_US"/>
        </w:rPr>
        <w:t xml:space="preserve">And though Herod and Pilate had been enemies before, </w:t>
      </w:r>
      <w:r>
        <w:rPr>
          <w:vertAlign w:val="superscript"/>
          <w:lang w:val="en_US" w:bidi="en_US"/>
        </w:rPr>
        <w:t>12a</w:t>
      </w:r>
      <w:r>
        <w:rPr>
          <w:lang w:val="en_US" w:bidi="en_US"/>
        </w:rPr>
        <w:t>they were reconciled that same day. (NJB)</w:t>
      </w:r>
    </w:p>
    <w:p>
      <w:pPr/>
      <w:r>
        <w:rPr>
          <w:lang w:val="en_US" w:bidi="en_US"/>
        </w:rPr>
      </w:r>
      <w:r>
        <w:rPr>
          <w:vertAlign w:val="superscript"/>
          <w:lang w:val="en_US" w:bidi="en_US"/>
        </w:rPr>
        <w:t>12b</w:t>
      </w:r>
      <w:r>
        <w:rPr>
          <w:lang w:val="en_US" w:bidi="en_US"/>
        </w:rPr>
        <w:t xml:space="preserve">In the past, Pilate and Herod had always been enemies, </w:t>
      </w:r>
      <w:r>
        <w:rPr>
          <w:vertAlign w:val="superscript"/>
          <w:lang w:val="en_US" w:bidi="en_US"/>
        </w:rPr>
        <w:t>12a</w:t>
      </w:r>
      <w:r>
        <w:rPr>
          <w:lang w:val="en_US" w:bidi="en_US"/>
        </w:rPr>
        <w:t>but on that day they became friends. (NCV)</w:t>
      </w:r>
      <w:r>
        <w:rPr>
          <w:lang w:val="en_US" w:bidi="en_US"/>
        </w:rPr>
      </w:r>
      <w:r>
        <w:rPr>
          <w:lang w:val="en_US" w:bidi="en_US"/>
        </w:rPr>
      </w:r>
    </w:p>
    <w:p>
      <w:pPr/>
      <w:r>
        <w:rPr>
          <w:lang w:val="en_US" w:bidi="en_US"/>
        </w:rPr>
      </w:r>
    </w:p>
    <w:p>
      <w:pPr>
        <w:pStyle w:val="Heading2"/>
      </w:pPr>
      <w:r>
        <w:rPr>
          <w:lang w:val="en_US" w:bidi="en_US"/>
        </w:rPr>
        <w:t>Luke 23:13</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23:13a</w:t>
      </w:r>
    </w:p>
    <w:p>
      <w:pPr/>
      <w:r>
        <w:rPr>
          <w:lang w:val="en_US" w:bidi="en_US"/>
        </w:rPr>
      </w:r>
      <w:r>
        <w:rPr>
          <w:b/>
          <w:lang w:val="en_US" w:bidi="en_US"/>
        </w:rPr>
        <w:t>Then Pilate called together</w:t>
      </w:r>
    </w:p>
    <w:p>
      <w:pPr>
        <w:pStyle w:val="ListBullet"/>
        <w:spacing w:line="240" w:lineRule="auto"/>
        <w:ind w:left="720"/>
      </w:pPr>
      <w:r>
        <w:rPr>
          <w:lang w:val="en_US" w:bidi="en_US"/>
        </w:rPr>
      </w:r>
      <w:r>
        <w:rPr>
          <w:lang w:val="en_US" w:bidi="en_US"/>
        </w:rPr>
        <w:t>¶ Then Pilate sent messages to call</w:t>
      </w:r>
    </w:p>
    <w:p>
      <w:pPr>
        <w:pStyle w:val="ListBullet"/>
        <w:spacing w:line="240" w:lineRule="auto"/>
        <w:ind w:left="720"/>
      </w:pPr>
      <w:r>
        <w:rPr>
          <w:lang w:val="en_US" w:bidi="en_US"/>
        </w:rPr>
      </w:r>
      <w:r>
        <w:rPr>
          <w:lang w:val="en_US" w:bidi="en_US"/>
        </w:rPr>
        <w:t xml:space="preserve">¶ After </w:t>
      </w:r>
      <w:r>
        <w:rPr>
          <w:lang w:val="en_US" w:bidi="en_US"/>
        </w:rPr>
        <w:t>Herod’s men brought Jesus to Pilate</w:t>
      </w:r>
      <w:r>
        <w:rPr>
          <w:lang w:val="en_US" w:bidi="en_US"/>
        </w:rPr>
        <w:t>, Pilate sent people to tell</w:t>
      </w:r>
    </w:p>
    <w:p>
      <w:pPr>
        <w:pStyle w:val="Heading5"/>
      </w:pPr>
      <w:r>
        <w:rPr>
          <w:lang w:val="en_US" w:bidi="en_US"/>
        </w:rPr>
        <w:t>23:13b</w:t>
      </w:r>
    </w:p>
    <w:p>
      <w:pPr/>
      <w:r>
        <w:rPr>
          <w:lang w:val="en_US" w:bidi="en_US"/>
        </w:rPr>
      </w:r>
      <w:r>
        <w:rPr>
          <w:b/>
          <w:lang w:val="en_US" w:bidi="en_US"/>
        </w:rPr>
        <w:t>the chief priests, the rulers, and the people,</w:t>
      </w:r>
    </w:p>
    <w:p>
      <w:pPr>
        <w:pStyle w:val="ListBullet"/>
        <w:spacing w:line="240" w:lineRule="auto"/>
        <w:ind w:left="720"/>
      </w:pPr>
      <w:r>
        <w:rPr>
          <w:lang w:val="en_US" w:bidi="en_US"/>
        </w:rPr>
      </w:r>
      <w:r>
        <w:rPr>
          <w:lang w:val="en_US" w:bidi="en_US"/>
        </w:rPr>
        <w:t xml:space="preserve">the leading/ruling priests, the elders, and other </w:t>
      </w:r>
      <w:r>
        <w:rPr>
          <w:lang w:val="en_US" w:bidi="en_US"/>
        </w:rPr>
        <w:t>Jewish</w:t>
      </w:r>
      <w:r>
        <w:rPr>
          <w:lang w:val="en_US" w:bidi="en_US"/>
        </w:rPr>
        <w:t xml:space="preserve"> people.</w:t>
      </w:r>
    </w:p>
    <w:p>
      <w:pPr>
        <w:pStyle w:val="ListBullet"/>
        <w:spacing w:line="240" w:lineRule="auto"/>
        <w:ind w:left="720"/>
      </w:pPr>
      <w:r>
        <w:rPr>
          <w:lang w:val="en_US" w:bidi="en_US"/>
        </w:rPr>
      </w:r>
      <w:r>
        <w:rPr>
          <w:lang w:val="en_US" w:bidi="en_US"/>
        </w:rPr>
        <w:t xml:space="preserve">the leaders among the priests, the other council members, and other </w:t>
      </w:r>
      <w:r>
        <w:rPr>
          <w:lang w:val="en_US" w:bidi="en_US"/>
        </w:rPr>
        <w:t>Jewish</w:t>
      </w:r>
      <w:r>
        <w:rPr>
          <w:lang w:val="en_US" w:bidi="en_US"/>
        </w:rPr>
        <w:t xml:space="preserve"> people </w:t>
      </w:r>
      <w:r>
        <w:rPr>
          <w:lang w:val="en_US" w:bidi="en_US"/>
        </w:rPr>
        <w:t>to come</w:t>
      </w:r>
      <w:r>
        <w:rPr>
          <w:lang w:val="en_US" w:bidi="en_US"/>
        </w:rPr>
        <w:t xml:space="preserve"> </w:t>
      </w:r>
      <w:r>
        <w:rPr>
          <w:lang w:val="en_US" w:bidi="en_US"/>
        </w:rPr>
        <w:t>to him</w:t>
      </w:r>
      <w:r>
        <w:rPr>
          <w:lang w:val="en_US" w:bidi="en_US"/>
        </w:rPr>
        <w:t>.</w:t>
      </w:r>
    </w:p>
    <w:p>
      <w:pPr>
        <w:pStyle w:val="Heading5"/>
      </w:pPr>
      <w:r>
        <w:rPr>
          <w:lang w:val="en_US" w:bidi="en_US"/>
        </w:rPr>
        <w:t>23:13a–c</w:t>
      </w:r>
    </w:p>
    <w:p>
      <w:pPr/>
      <w:r>
        <w:rPr>
          <w:lang w:val="en_US" w:bidi="en_US"/>
        </w:rPr>
      </w:r>
      <w:r>
        <w:rPr>
          <w:lang w:val="en_US" w:bidi="en_US"/>
        </w:rPr>
        <w:t>This verse begins after Herod’s men brought Jesus back to Pilate. It tells what Pilate did next in Jesus’ trial after Herod sent Jesus back to him. Verse 12 is background information. In many languages there is a special way to continue a story after this type of information. Continue the story in a natural way in your language. Some ways to connect this verse to the preceding section are:</w:t>
      </w:r>
    </w:p>
    <w:p>
      <w:pPr/>
      <w:r>
        <w:rPr>
          <w:lang w:val="en_US" w:bidi="en_US"/>
        </w:rPr>
      </w:r>
      <w:r>
        <w:rPr>
          <w:lang w:val="en_US" w:bidi="en_US"/>
        </w:rPr>
        <w:t>Then (GW)</w:t>
      </w:r>
    </w:p>
    <w:p>
      <w:pPr/>
      <w:r>
        <w:rPr>
          <w:lang w:val="en_US" w:bidi="en_US"/>
        </w:rPr>
      </w:r>
      <w:r>
        <w:rPr>
          <w:lang w:val="en_US" w:bidi="en_US"/>
        </w:rPr>
        <w:t xml:space="preserve">After </w:t>
      </w:r>
      <w:r>
        <w:rPr>
          <w:lang w:val="en_US" w:bidi="en_US"/>
        </w:rPr>
        <w:t>Herod’s men arrived with Jesus</w:t>
      </w:r>
    </w:p>
    <w:p>
      <w:pPr/>
      <w:r>
        <w:rPr>
          <w:lang w:val="en_US" w:bidi="en_US"/>
        </w:rPr>
      </w:r>
      <w:r>
        <w:rPr>
          <w:lang w:val="en_US" w:bidi="en_US"/>
        </w:rPr>
        <w:t xml:space="preserve">So </w:t>
      </w:r>
      <w:r>
        <w:rPr>
          <w:lang w:val="en_US" w:bidi="en_US"/>
        </w:rPr>
        <w:t>when Jesus was returned to Pilate</w:t>
      </w:r>
    </w:p>
    <w:p>
      <w:pPr/>
      <w:r>
        <w:rPr>
          <w:lang w:val="en_US" w:bidi="en_US"/>
        </w:rPr>
      </w:r>
      <w:r>
        <w:rPr>
          <w:b/>
          <w:lang w:val="en_US" w:bidi="en_US"/>
        </w:rPr>
        <w:t>Then Pilate called together the chief priests, the rulers, and the people:</w:t>
      </w:r>
      <w:r>
        <w:rPr>
          <w:lang w:val="en_US" w:bidi="en_US"/>
        </w:rPr>
        <w:t xml:space="preserve"> The phrase </w:t>
      </w:r>
      <w:r>
        <w:rPr>
          <w:i/>
          <w:lang w:val="en_US" w:bidi="en_US"/>
        </w:rPr>
        <w:t>called together</w:t>
      </w:r>
      <w:r>
        <w:rPr>
          <w:lang w:val="en_US" w:bidi="en_US"/>
        </w:rPr>
        <w:t xml:space="preserve"> indicates here that Pilate sent messengers to tell people to come to him. The </w:t>
      </w:r>
      <w:r>
        <w:rPr>
          <w:i/>
          <w:lang w:val="en_US" w:bidi="en_US"/>
        </w:rPr>
        <w:t>chief priests</w:t>
      </w:r>
      <w:r>
        <w:rPr>
          <w:lang w:val="en_US" w:bidi="en_US"/>
        </w:rPr>
        <w:t xml:space="preserve"> and </w:t>
      </w:r>
      <w:r>
        <w:rPr>
          <w:i/>
          <w:lang w:val="en_US" w:bidi="en_US"/>
        </w:rPr>
        <w:t>the rulers</w:t>
      </w:r>
      <w:r>
        <w:rPr>
          <w:lang w:val="en_US" w:bidi="en_US"/>
        </w:rPr>
        <w:t xml:space="preserve"> were members of the council who first brought Jesus to Pilate. They also accused Jesus to Herod. These accusers may have been nearby waiting until Pilate was ready to continue with Jesus’ trial or they may have gone to their homes for a while. The people may have been part of the crowd in 23:4.</w:t>
      </w:r>
    </w:p>
    <w:p>
      <w:pPr/>
      <w:r>
        <w:rPr>
          <w:lang w:val="en_US" w:bidi="en_US"/>
        </w:rPr>
      </w:r>
      <w:r>
        <w:rPr>
          <w:lang w:val="en_US" w:bidi="en_US"/>
        </w:rPr>
        <w:t>Some other ways to translate the verse are:</w:t>
      </w:r>
    </w:p>
    <w:p>
      <w:pPr/>
      <w:r>
        <w:rPr>
          <w:lang w:val="en_US" w:bidi="en_US"/>
        </w:rPr>
      </w:r>
      <w:r>
        <w:rPr>
          <w:lang w:val="en_US" w:bidi="en_US"/>
        </w:rPr>
        <w:t>Pilate sent messengers to tell the chief priests, the rulers, and the people to come.</w:t>
      </w:r>
    </w:p>
    <w:p>
      <w:pPr/>
      <w:r>
        <w:rPr>
          <w:lang w:val="en_US" w:bidi="en_US"/>
        </w:rPr>
      </w:r>
      <w:r>
        <w:rPr>
          <w:lang w:val="en_US" w:bidi="en_US"/>
        </w:rPr>
        <w:t>Pilate gave orders to summon the chief priests, rulers, and people.</w:t>
      </w:r>
    </w:p>
    <w:p>
      <w:pPr/>
      <w:r>
        <w:rPr>
          <w:lang w:val="en_US" w:bidi="en_US"/>
        </w:rPr>
      </w:r>
      <w:r>
        <w:rPr>
          <w:b/>
          <w:lang w:val="en_US" w:bidi="en_US"/>
        </w:rPr>
        <w:t>the chief priests:</w:t>
      </w:r>
      <w:r>
        <w:rPr>
          <w:lang w:val="en_US" w:bidi="en_US"/>
        </w:rPr>
        <w:t xml:space="preserve"> This term occurred in 23:4.</w:t>
      </w:r>
    </w:p>
    <w:p>
      <w:pPr/>
      <w:r>
        <w:rPr>
          <w:lang w:val="en_US" w:bidi="en_US"/>
        </w:rPr>
      </w:r>
      <w:r>
        <w:rPr>
          <w:b/>
          <w:lang w:val="en_US" w:bidi="en_US"/>
        </w:rPr>
        <w:t>the rulers:</w:t>
      </w:r>
      <w:r>
        <w:rPr>
          <w:lang w:val="en_US" w:bidi="en_US"/>
        </w:rPr>
        <w:t xml:space="preserve"> The phrase </w:t>
      </w:r>
      <w:r>
        <w:rPr>
          <w:i/>
          <w:lang w:val="en_US" w:bidi="en_US"/>
        </w:rPr>
        <w:t>the rulers</w:t>
      </w:r>
      <w:r>
        <w:rPr>
          <w:lang w:val="en_US" w:bidi="en_US"/>
        </w:rPr>
        <w:t xml:space="preserve"> probably refers to the same group as the phrase “the elders” in 19:47. You may be able to translate it in the same way here. These men were members of the Jewish council who were not priests. Since the priests were also </w:t>
      </w:r>
      <w:r>
        <w:rPr>
          <w:i/>
          <w:lang w:val="en_US" w:bidi="en_US"/>
        </w:rPr>
        <w:t>rulers</w:t>
      </w:r>
      <w:r>
        <w:rPr>
          <w:lang w:val="en_US" w:bidi="en_US"/>
        </w:rPr>
        <w:t xml:space="preserve"> (leaders), it may be necessary to indicate that here. For example:</w:t>
      </w:r>
    </w:p>
    <w:p>
      <w:pPr/>
      <w:r>
        <w:rPr>
          <w:lang w:val="en_US" w:bidi="en_US"/>
        </w:rPr>
      </w:r>
      <w:r>
        <w:rPr>
          <w:lang w:val="en_US" w:bidi="en_US"/>
        </w:rPr>
        <w:t>and other leaders</w:t>
      </w:r>
    </w:p>
    <w:p>
      <w:pPr/>
      <w:r>
        <w:rPr>
          <w:lang w:val="en_US" w:bidi="en_US"/>
        </w:rPr>
      </w:r>
      <w:r>
        <w:rPr>
          <w:lang w:val="en_US" w:bidi="en_US"/>
        </w:rPr>
        <w:t>See the note at 19:47b–d for more information.</w:t>
      </w:r>
    </w:p>
    <w:p>
      <w:pPr/>
      <w:r>
        <w:rPr>
          <w:lang w:val="en_US" w:bidi="en_US"/>
        </w:rPr>
      </w:r>
      <w:r>
        <w:rPr>
          <w:b/>
          <w:lang w:val="en_US" w:bidi="en_US"/>
        </w:rPr>
        <w:t>the people:</w:t>
      </w:r>
      <w:r>
        <w:rPr>
          <w:lang w:val="en_US" w:bidi="en_US"/>
        </w:rPr>
        <w:t xml:space="preserve"> The text does not specify exactly who the phrase </w:t>
      </w:r>
      <w:r>
        <w:rPr>
          <w:i/>
          <w:lang w:val="en_US" w:bidi="en_US"/>
        </w:rPr>
        <w:t>the people</w:t>
      </w:r>
      <w:r>
        <w:rPr>
          <w:lang w:val="en_US" w:bidi="en_US"/>
        </w:rPr>
        <w:t xml:space="preserve"> refers to. They were probably Jewish people who lived in Jerusalem. The context implies that they were supporters of the chief priests and other council members. They may have been people from the crowd that had gathered in 23:4.</w:t>
      </w:r>
    </w:p>
    <w:p>
      <w:pPr/>
      <w:r>
        <w:rPr>
          <w:lang w:val="en_US" w:bidi="en_US"/>
        </w:rPr>
      </w:r>
      <w:r>
        <w:rPr>
          <w:lang w:val="en_US" w:bidi="en_US"/>
        </w:rPr>
        <w:t xml:space="preserve">The word </w:t>
      </w:r>
      <w:r>
        <w:rPr>
          <w:i/>
          <w:lang w:val="en_US" w:bidi="en_US"/>
        </w:rPr>
        <w:t>the</w:t>
      </w:r>
      <w:r>
        <w:rPr>
          <w:lang w:val="en_US" w:bidi="en_US"/>
        </w:rPr>
        <w:t xml:space="preserve"> does not necessarily imply here that </w:t>
      </w:r>
      <w:r>
        <w:rPr>
          <w:i/>
          <w:lang w:val="en_US" w:bidi="en_US"/>
        </w:rPr>
        <w:t>the people</w:t>
      </w:r>
      <w:r>
        <w:rPr>
          <w:lang w:val="en_US" w:bidi="en_US"/>
        </w:rPr>
        <w:t xml:space="preserve"> refers back to a particular group of people. It may imply that Pilate considered them to be representatives of ordinary Jewish people. Some ways to translate this phrase are:</w:t>
      </w:r>
    </w:p>
    <w:p>
      <w:pPr/>
      <w:r>
        <w:rPr>
          <w:lang w:val="en_US" w:bidi="en_US"/>
        </w:rPr>
      </w:r>
      <w:r>
        <w:rPr>
          <w:lang w:val="en_US" w:bidi="en_US"/>
        </w:rPr>
        <w:t>other people</w:t>
      </w:r>
    </w:p>
    <w:p>
      <w:pPr/>
      <w:r>
        <w:rPr>
          <w:lang w:val="en_US" w:bidi="en_US"/>
        </w:rPr>
      </w:r>
      <w:r>
        <w:rPr>
          <w:lang w:val="en_US" w:bidi="en_US"/>
        </w:rPr>
        <w:t xml:space="preserve">other </w:t>
      </w:r>
      <w:r>
        <w:rPr>
          <w:lang w:val="en_US" w:bidi="en_US"/>
        </w:rPr>
        <w:t>Jewish</w:t>
      </w:r>
      <w:r>
        <w:rPr>
          <w:lang w:val="en_US" w:bidi="en_US"/>
        </w:rPr>
        <w:t xml:space="preserve"> people</w:t>
      </w:r>
      <w:r>
        <w:rPr>
          <w:lang w:val="en_US" w:bidi="en_US"/>
        </w:rPr>
      </w:r>
      <w:r>
        <w:rPr>
          <w:lang w:val="en_US" w:bidi="en_US"/>
        </w:rPr>
      </w:r>
    </w:p>
    <w:p>
      <w:pPr/>
      <w:r>
        <w:rPr>
          <w:lang w:val="en_US" w:bidi="en_US"/>
        </w:rPr>
      </w:r>
    </w:p>
    <w:p>
      <w:pPr>
        <w:pStyle w:val="Heading2"/>
      </w:pPr>
      <w:r>
        <w:rPr>
          <w:lang w:val="en_US" w:bidi="en_US"/>
        </w:rPr>
        <w:t>Luke 23:14</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23:14a</w:t>
      </w:r>
    </w:p>
    <w:p>
      <w:pPr/>
      <w:r>
        <w:rPr>
          <w:lang w:val="en_US" w:bidi="en_US"/>
        </w:rPr>
      </w:r>
      <w:r>
        <w:rPr>
          <w:b/>
          <w:lang w:val="en_US" w:bidi="en_US"/>
        </w:rPr>
        <w:t>and said to them, “You brought me this man</w:t>
      </w:r>
    </w:p>
    <w:p>
      <w:pPr>
        <w:pStyle w:val="ListBullet"/>
        <w:spacing w:line="240" w:lineRule="auto"/>
        <w:ind w:left="720"/>
      </w:pPr>
      <w:r>
        <w:rPr>
          <w:lang w:val="en_US" w:bidi="en_US"/>
        </w:rPr>
      </w:r>
      <w:r>
        <w:rPr>
          <w:lang w:val="en_US" w:bidi="en_US"/>
        </w:rPr>
        <w:t>He said to them, “You</w:t>
      </w:r>
      <w:r>
        <w:rPr>
          <w:vertAlign w:val="superscript"/>
          <w:lang w:val="en_US" w:bidi="en_US"/>
        </w:rPr>
        <w:t>(plur)</w:t>
      </w:r>
      <w:r>
        <w:rPr>
          <w:lang w:val="en_US" w:bidi="en_US"/>
        </w:rPr>
        <w:t xml:space="preserve"> brought this man before me,</w:t>
      </w:r>
    </w:p>
    <w:p>
      <w:pPr>
        <w:pStyle w:val="ListBullet"/>
        <w:spacing w:line="240" w:lineRule="auto"/>
        <w:ind w:left="720"/>
      </w:pPr>
      <w:r>
        <w:rPr>
          <w:lang w:val="en_US" w:bidi="en_US"/>
        </w:rPr>
      </w:r>
      <w:r>
        <w:rPr>
          <w:lang w:val="en_US" w:bidi="en_US"/>
        </w:rPr>
        <w:t>When they came,</w:t>
      </w:r>
      <w:r>
        <w:rPr>
          <w:lang w:val="en_US" w:bidi="en_US"/>
        </w:rPr>
        <w:t xml:space="preserve"> he told them, “You</w:t>
      </w:r>
      <w:r>
        <w:rPr>
          <w:vertAlign w:val="superscript"/>
          <w:lang w:val="en_US" w:bidi="en_US"/>
        </w:rPr>
        <w:t>(plur)</w:t>
      </w:r>
      <w:r>
        <w:rPr>
          <w:lang w:val="en_US" w:bidi="en_US"/>
        </w:rPr>
        <w:t xml:space="preserve"> accused this man to me,</w:t>
      </w:r>
    </w:p>
    <w:p>
      <w:pPr>
        <w:pStyle w:val="Heading5"/>
      </w:pPr>
      <w:r>
        <w:rPr>
          <w:lang w:val="en_US" w:bidi="en_US"/>
        </w:rPr>
        <w:t>23:14b</w:t>
      </w:r>
    </w:p>
    <w:p>
      <w:pPr/>
      <w:r>
        <w:rPr>
          <w:lang w:val="en_US" w:bidi="en_US"/>
        </w:rPr>
      </w:r>
      <w:r>
        <w:rPr>
          <w:b/>
          <w:lang w:val="en_US" w:bidi="en_US"/>
        </w:rPr>
        <w:t>as one who was inciting the people to rebellion.</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claimed/said that he was causing trouble among the people.</w:t>
      </w:r>
    </w:p>
    <w:p>
      <w:pPr>
        <w:pStyle w:val="ListBullet"/>
        <w:spacing w:line="240" w:lineRule="auto"/>
        <w:ind w:left="720"/>
      </w:pPr>
      <w:r>
        <w:rPr>
          <w:lang w:val="en_US" w:bidi="en_US"/>
        </w:rPr>
      </w:r>
      <w:r>
        <w:rPr>
          <w:lang w:val="en_US" w:bidi="en_US"/>
        </w:rPr>
        <w:t xml:space="preserve">saying that he told/influenced the </w:t>
      </w:r>
      <w:r>
        <w:rPr>
          <w:lang w:val="en_US" w:bidi="en_US"/>
        </w:rPr>
        <w:t>Jewish</w:t>
      </w:r>
      <w:r>
        <w:rPr>
          <w:lang w:val="en_US" w:bidi="en_US"/>
        </w:rPr>
        <w:t xml:space="preserve"> people to oppose the </w:t>
      </w:r>
      <w:r>
        <w:rPr>
          <w:lang w:val="en_US" w:bidi="en_US"/>
        </w:rPr>
        <w:t>Roman</w:t>
      </w:r>
      <w:r>
        <w:rPr>
          <w:lang w:val="en_US" w:bidi="en_US"/>
        </w:rPr>
        <w:t xml:space="preserve"> government.</w:t>
      </w:r>
    </w:p>
    <w:p>
      <w:pPr>
        <w:pStyle w:val="Heading5"/>
      </w:pPr>
      <w:r>
        <w:rPr>
          <w:lang w:val="en_US" w:bidi="en_US"/>
        </w:rPr>
        <w:t>23:14a–b</w:t>
      </w:r>
    </w:p>
    <w:p>
      <w:pPr/>
      <w:r>
        <w:rPr>
          <w:lang w:val="en_US" w:bidi="en_US"/>
        </w:rPr>
      </w:r>
      <w:r>
        <w:rPr>
          <w:b/>
          <w:lang w:val="en_US" w:bidi="en_US"/>
        </w:rPr>
        <w:t>and said to them:</w:t>
      </w:r>
      <w:r>
        <w:rPr>
          <w:lang w:val="en_US" w:bidi="en_US"/>
        </w:rPr>
        <w:t xml:space="preserve"> When the leaders arrived, Pilate spoke to them. Connect this verse to 23:13 in a natural way in your language. Some other ways to do this are:</w:t>
      </w:r>
    </w:p>
    <w:p>
      <w:pPr/>
      <w:r>
        <w:rPr>
          <w:lang w:val="en_US" w:bidi="en_US"/>
        </w:rPr>
      </w:r>
      <w:r>
        <w:rPr>
          <w:lang w:val="en_US" w:bidi="en_US"/>
        </w:rPr>
        <w:t>When they came,</w:t>
      </w:r>
      <w:r>
        <w:rPr>
          <w:lang w:val="en_US" w:bidi="en_US"/>
        </w:rPr>
        <w:t xml:space="preserve"> he spoke to them, saying</w:t>
      </w:r>
    </w:p>
    <w:p>
      <w:pPr/>
      <w:r>
        <w:rPr>
          <w:lang w:val="en_US" w:bidi="en_US"/>
        </w:rPr>
      </w:r>
      <w:r>
        <w:rPr>
          <w:lang w:val="en_US" w:bidi="en_US"/>
        </w:rPr>
        <w:t>After they arrived,</w:t>
      </w:r>
      <w:r>
        <w:rPr>
          <w:lang w:val="en_US" w:bidi="en_US"/>
        </w:rPr>
        <w:t xml:space="preserve"> he told them</w:t>
      </w:r>
    </w:p>
    <w:p>
      <w:pPr/>
      <w:r>
        <w:rPr>
          <w:lang w:val="en_US" w:bidi="en_US"/>
        </w:rPr>
      </w:r>
      <w:r>
        <w:rPr>
          <w:b/>
          <w:lang w:val="en_US" w:bidi="en_US"/>
        </w:rPr>
        <w:t>You brought me this man:</w:t>
      </w:r>
      <w:r>
        <w:rPr>
          <w:lang w:val="en_US" w:bidi="en_US"/>
        </w:rPr>
        <w:t xml:space="preserve"> The phrase </w:t>
      </w:r>
      <w:r>
        <w:rPr>
          <w:i/>
          <w:lang w:val="en_US" w:bidi="en_US"/>
        </w:rPr>
        <w:t>You brought me this man</w:t>
      </w:r>
      <w:r>
        <w:rPr>
          <w:lang w:val="en_US" w:bidi="en_US"/>
        </w:rPr>
        <w:t xml:space="preserve"> refers to the Jewish leaders bringing Jesus to Pilate for judgment. In some languages there may be a special way to describe this. For example:</w:t>
      </w:r>
    </w:p>
    <w:p>
      <w:pPr/>
      <w:r>
        <w:rPr>
          <w:lang w:val="en_US" w:bidi="en_US"/>
        </w:rPr>
      </w:r>
      <w:r>
        <w:rPr>
          <w:lang w:val="en_US" w:bidi="en_US"/>
        </w:rPr>
        <w:t>You have charged this-one before me</w:t>
      </w:r>
      <w:r>
        <w:rPr>
          <w:lang w:val="en_US" w:bidi="en_US"/>
        </w:rPr>
        <w:t>Kankanaey back translation on TW.</w:t>
      </w:r>
    </w:p>
    <w:p>
      <w:pPr/>
      <w:r>
        <w:rPr>
          <w:lang w:val="en_US" w:bidi="en_US"/>
        </w:rPr>
      </w:r>
      <w:r>
        <w:rPr>
          <w:lang w:val="en_US" w:bidi="en_US"/>
        </w:rPr>
        <w:t>You came to me, accusing this man</w:t>
      </w:r>
    </w:p>
    <w:p>
      <w:pPr/>
      <w:r>
        <w:rPr>
          <w:lang w:val="en_US" w:bidi="en_US"/>
        </w:rPr>
      </w:r>
      <w:r>
        <w:rPr>
          <w:lang w:val="en_US" w:bidi="en_US"/>
        </w:rPr>
        <w:t>Translate this meaning in a natural way in your language.</w:t>
      </w:r>
    </w:p>
    <w:p>
      <w:pPr/>
      <w:r>
        <w:rPr>
          <w:lang w:val="en_US" w:bidi="en_US"/>
        </w:rPr>
      </w:r>
      <w:r>
        <w:rPr>
          <w:b/>
          <w:lang w:val="en_US" w:bidi="en_US"/>
        </w:rPr>
        <w:t>as one who was inciting the people to rebellion:</w:t>
      </w:r>
      <w:r>
        <w:rPr>
          <w:lang w:val="en_US" w:bidi="en_US"/>
        </w:rPr>
        <w:t xml:space="preserve"> The Greek phrase that the BSB translates as </w:t>
      </w:r>
      <w:r>
        <w:rPr>
          <w:i/>
          <w:lang w:val="en_US" w:bidi="en_US"/>
        </w:rPr>
        <w:t>as one who was inciting the people to rebellion</w:t>
      </w:r>
      <w:r>
        <w:rPr>
          <w:lang w:val="en_US" w:bidi="en_US"/>
        </w:rPr>
        <w:t xml:space="preserve"> is more literally “as perverting/misleading the people.” Here Pilate was repeating the charge that the Jewish leaders made against Jesus in 23:2,5. The phrase has the same meaning here as the phrase “subverting our nation” in 23:2b.</w:t>
      </w:r>
      <w:r>
        <w:rPr>
          <w:lang w:val="en_US" w:bidi="en_US"/>
        </w:rPr>
        <w:t>The verb “perverting/misleading” is related to the verb in 23:2 that was translated as “subverting.” The two verbs have basically the same meaning in this chapter.</w:t>
      </w:r>
      <w:r>
        <w:rPr>
          <w:lang w:val="en_US" w:bidi="en_US"/>
        </w:rPr>
        <w:t xml:space="preserve"> You may translate it in a similar way. For example:</w:t>
      </w:r>
    </w:p>
    <w:p>
      <w:pPr/>
      <w:r>
        <w:rPr>
          <w:lang w:val="en_US" w:bidi="en_US"/>
        </w:rPr>
      </w:r>
      <w:r>
        <w:rPr>
          <w:lang w:val="en_US" w:bidi="en_US"/>
        </w:rPr>
        <w:t>and you say that he has influenced the people to oppose the government</w:t>
      </w:r>
      <w:r>
        <w:rPr>
          <w:lang w:val="en_US" w:bidi="en_US"/>
        </w:rPr>
        <w:t>Yakan back translation on TW.</w:t>
      </w:r>
    </w:p>
    <w:p>
      <w:pPr/>
      <w:r>
        <w:rPr>
          <w:lang w:val="en_US" w:bidi="en_US"/>
        </w:rPr>
      </w:r>
      <w:r>
        <w:rPr>
          <w:lang w:val="en_US" w:bidi="en_US"/>
        </w:rPr>
        <w:t>accusing him of leading a revolt (NLT)</w:t>
      </w:r>
    </w:p>
    <w:p>
      <w:pPr>
        <w:pStyle w:val="Heading5"/>
      </w:pPr>
      <w:r>
        <w:rPr>
          <w:lang w:val="en_US" w:bidi="en_US"/>
        </w:rPr>
        <w:t>23:14c–d</w:t>
      </w:r>
    </w:p>
    <w:p>
      <w:pPr/>
      <w:r>
        <w:rPr>
          <w:lang w:val="en_US" w:bidi="en_US"/>
        </w:rPr>
      </w:r>
      <w:r>
        <w:rPr>
          <w:lang w:val="en_US" w:bidi="en_US"/>
        </w:rPr>
        <w:t>In 23:14c–d Pilate told the Jewish leaders his decision about the charge against Jesus. In Greek, this decision begins with a phrase that is more literally, “and look/listen!” It indicates that the people should pay special attention to the next statement.</w:t>
      </w:r>
      <w:r>
        <w:rPr>
          <w:lang w:val="en_US" w:bidi="en_US"/>
        </w:rPr>
        <w:t>It may also imply here that this statement was not the decision that the people expected.</w:t>
      </w:r>
      <w:r>
        <w:rPr>
          <w:lang w:val="en_US" w:bidi="en_US"/>
        </w:rPr>
        <w:t xml:space="preserve"> Pilate was about to announce that he had examined Jesus and decided that there was no basis for their charges against him.</w:t>
      </w:r>
    </w:p>
    <w:p>
      <w:pPr/>
      <w:r>
        <w:rPr>
          <w:lang w:val="en_US" w:bidi="en_US"/>
        </w:rPr>
      </w:r>
      <w:r>
        <w:rPr>
          <w:lang w:val="en_US" w:bidi="en_US"/>
        </w:rPr>
        <w:t>Use a natural way in your language to emphasize that a statement is very important. Some ways to do this in English are:</w:t>
      </w:r>
    </w:p>
    <w:p>
      <w:pPr/>
      <w:r>
        <w:rPr>
          <w:lang w:val="en_US" w:bidi="en_US"/>
        </w:rPr>
      </w:r>
      <w:r>
        <w:rPr>
          <w:lang w:val="en_US" w:bidi="en_US"/>
        </w:rPr>
        <w:t>Listen carefully!</w:t>
      </w:r>
    </w:p>
    <w:p>
      <w:pPr/>
      <w:r>
        <w:rPr>
          <w:lang w:val="en_US" w:bidi="en_US"/>
        </w:rPr>
      </w:r>
      <w:r>
        <w:rPr>
          <w:lang w:val="en_US" w:bidi="en_US"/>
        </w:rPr>
        <w:t>Pay attention to this:</w:t>
      </w:r>
    </w:p>
    <w:p>
      <w:pPr/>
      <w:r>
        <w:rPr>
          <w:lang w:val="en_US" w:bidi="en_US"/>
        </w:rPr>
      </w:r>
      <w:r>
        <w:rPr>
          <w:lang w:val="en_US" w:bidi="en_US"/>
        </w:rPr>
        <w:t>I want you all to realize that… (JBP)</w:t>
      </w:r>
    </w:p>
    <w:p>
      <w:pPr/>
      <w:r>
        <w:rPr>
          <w:lang w:val="en_US" w:bidi="en_US"/>
        </w:rPr>
      </w:r>
      <w:r>
        <w:rPr>
          <w:lang w:val="en_US" w:bidi="en_US"/>
        </w:rPr>
        <w:t>See the General Comment on 23:14c–d at the end of 23:14d for other examples. In some languages it may be more natural to put this emphasis at the beginning of 23:14d.</w:t>
      </w:r>
    </w:p>
    <w:p>
      <w:pPr>
        <w:pStyle w:val="Heading5"/>
      </w:pPr>
      <w:r>
        <w:rPr>
          <w:lang w:val="en_US" w:bidi="en_US"/>
        </w:rPr>
        <w:t>23:14c</w:t>
      </w:r>
    </w:p>
    <w:p>
      <w:pPr/>
      <w:r>
        <w:rPr>
          <w:lang w:val="en_US" w:bidi="en_US"/>
        </w:rPr>
      </w:r>
      <w:r>
        <w:rPr>
          <w:b/>
          <w:lang w:val="en_US" w:bidi="en_US"/>
        </w:rPr>
        <w:t>I have examined Him here in your presence</w:t>
      </w:r>
    </w:p>
    <w:p>
      <w:pPr>
        <w:pStyle w:val="ListBullet"/>
        <w:spacing w:line="240" w:lineRule="auto"/>
        <w:ind w:left="720"/>
      </w:pPr>
      <w:r>
        <w:rPr>
          <w:lang w:val="en_US" w:bidi="en_US"/>
        </w:rPr>
      </w:r>
      <w:r>
        <w:rPr>
          <w:lang w:val="en_US" w:bidi="en_US"/>
        </w:rPr>
        <w:t xml:space="preserve">Now I have asked him </w:t>
      </w:r>
      <w:r>
        <w:rPr>
          <w:lang w:val="en_US" w:bidi="en_US"/>
        </w:rPr>
        <w:t>about this</w:t>
      </w:r>
      <w:r>
        <w:rPr>
          <w:lang w:val="en_US" w:bidi="en_US"/>
        </w:rPr>
        <w:t xml:space="preserve"> in front of you all,</w:t>
      </w:r>
    </w:p>
    <w:p>
      <w:pPr>
        <w:pStyle w:val="ListBullet"/>
        <w:spacing w:line="240" w:lineRule="auto"/>
        <w:ind w:left="720"/>
      </w:pPr>
      <w:r>
        <w:rPr>
          <w:lang w:val="en_US" w:bidi="en_US"/>
        </w:rPr>
      </w:r>
      <w:r>
        <w:rPr>
          <w:lang w:val="en_US" w:bidi="en_US"/>
        </w:rPr>
        <w:t>I questioned him while you</w:t>
      </w:r>
      <w:r>
        <w:rPr>
          <w:vertAlign w:val="superscript"/>
          <w:lang w:val="en_US" w:bidi="en_US"/>
        </w:rPr>
        <w:t>(plur)</w:t>
      </w:r>
      <w:r>
        <w:rPr>
          <w:lang w:val="en_US" w:bidi="en_US"/>
        </w:rPr>
        <w:t xml:space="preserve"> were also here/present,</w:t>
      </w:r>
    </w:p>
    <w:p>
      <w:pPr/>
      <w:r>
        <w:rPr>
          <w:lang w:val="en_US" w:bidi="en_US"/>
        </w:rPr>
      </w:r>
      <w:r>
        <w:rPr>
          <w:b/>
          <w:lang w:val="en_US" w:bidi="en_US"/>
        </w:rPr>
        <w:t>I have examined Him here in your presence:</w:t>
      </w:r>
      <w:r>
        <w:rPr>
          <w:lang w:val="en_US" w:bidi="en_US"/>
        </w:rPr>
        <w:t xml:space="preserve"> The Greek phrase that the BSB translates as </w:t>
      </w:r>
      <w:r>
        <w:rPr>
          <w:i/>
          <w:lang w:val="en_US" w:bidi="en_US"/>
        </w:rPr>
        <w:t>I have examined Him here in your presence</w:t>
      </w:r>
      <w:r>
        <w:rPr>
          <w:lang w:val="en_US" w:bidi="en_US"/>
        </w:rPr>
        <w:t xml:space="preserve"> is more literally “I before you having-examined.” It indicates that the Jewish leaders were there listening when Pilate asked Jesus questions about their accusations against him. Some other ways to translate this statement are:</w:t>
      </w:r>
    </w:p>
    <w:p>
      <w:pPr/>
      <w:r>
        <w:rPr>
          <w:lang w:val="en_US" w:bidi="en_US"/>
        </w:rPr>
      </w:r>
      <w:r>
        <w:rPr>
          <w:lang w:val="en_US" w:bidi="en_US"/>
        </w:rPr>
        <w:t>I have questioned him before you all (NCV)</w:t>
      </w:r>
    </w:p>
    <w:p>
      <w:pPr/>
      <w:r>
        <w:rPr>
          <w:lang w:val="en_US" w:bidi="en_US"/>
        </w:rPr>
      </w:r>
      <w:r>
        <w:rPr>
          <w:lang w:val="en_US" w:bidi="en_US"/>
        </w:rPr>
        <w:t>You were listening as I asked him questions about the charges</w:t>
      </w:r>
    </w:p>
    <w:p>
      <w:pPr/>
      <w:r>
        <w:rPr>
          <w:lang w:val="en_US" w:bidi="en_US"/>
        </w:rPr>
      </w:r>
      <w:r>
        <w:rPr>
          <w:lang w:val="en_US" w:bidi="en_US"/>
        </w:rPr>
        <w:t>Now having examined him in your hearing</w:t>
      </w:r>
    </w:p>
    <w:p>
      <w:pPr/>
      <w:r>
        <w:rPr>
          <w:lang w:val="en_US" w:bidi="en_US"/>
        </w:rPr>
      </w:r>
      <w:r>
        <w:rPr>
          <w:lang w:val="en_US" w:bidi="en_US"/>
        </w:rPr>
        <w:t>Use a natural way in your language to describe questioning a person to determine whether he is guilty or innocent.</w:t>
      </w:r>
    </w:p>
    <w:p>
      <w:pPr/>
      <w:r>
        <w:rPr>
          <w:lang w:val="en_US" w:bidi="en_US"/>
        </w:rPr>
      </w:r>
      <w:r>
        <w:rPr>
          <w:b/>
          <w:lang w:val="en_US" w:bidi="en_US"/>
        </w:rPr>
        <w:t>I:</w:t>
      </w:r>
      <w:r>
        <w:rPr>
          <w:lang w:val="en_US" w:bidi="en_US"/>
        </w:rPr>
        <w:t xml:space="preserve"> In 23:14c–d the word </w:t>
      </w:r>
      <w:r>
        <w:rPr>
          <w:i/>
          <w:lang w:val="en_US" w:bidi="en_US"/>
        </w:rPr>
        <w:t>I</w:t>
      </w:r>
      <w:r>
        <w:rPr>
          <w:lang w:val="en_US" w:bidi="en_US"/>
        </w:rPr>
        <w:t xml:space="preserve"> is emphatic. It probably emphasizes that Pilate himself investigated the charges by questioning Jesus. His own investigation was one of his reasons for deciding that Jesus was innocent. In 23:15 he says that Herod also investigated Jesus and did not condemn him. This was another reason to decide that Jesus was innocent. Translate this emphasis in a natural way in your language.</w:t>
      </w:r>
    </w:p>
    <w:p>
      <w:pPr>
        <w:pStyle w:val="Heading5"/>
      </w:pPr>
      <w:r>
        <w:rPr>
          <w:lang w:val="en_US" w:bidi="en_US"/>
        </w:rPr>
        <w:t>23:14d</w:t>
      </w:r>
    </w:p>
    <w:p>
      <w:pPr/>
      <w:r>
        <w:rPr>
          <w:lang w:val="en_US" w:bidi="en_US"/>
        </w:rPr>
      </w:r>
      <w:r>
        <w:rPr>
          <w:b/>
          <w:lang w:val="en_US" w:bidi="en_US"/>
        </w:rPr>
        <w:t>and found Him not guilty of your charges against Him.</w:t>
      </w:r>
    </w:p>
    <w:p>
      <w:pPr>
        <w:pStyle w:val="ListBullet"/>
        <w:spacing w:line="240" w:lineRule="auto"/>
        <w:ind w:left="720"/>
      </w:pPr>
      <w:r>
        <w:rPr>
          <w:lang w:val="en_US" w:bidi="en_US"/>
        </w:rPr>
      </w:r>
      <w:r>
        <w:rPr>
          <w:lang w:val="en_US" w:bidi="en_US"/>
        </w:rPr>
        <w:t>and listen! I did not discover any basis/support for what you</w:t>
      </w:r>
      <w:r>
        <w:rPr>
          <w:vertAlign w:val="superscript"/>
          <w:lang w:val="en_US" w:bidi="en_US"/>
        </w:rPr>
        <w:t>(plur)</w:t>
      </w:r>
      <w:r>
        <w:rPr>
          <w:lang w:val="en_US" w:bidi="en_US"/>
        </w:rPr>
        <w:t xml:space="preserve"> said against him.</w:t>
      </w:r>
    </w:p>
    <w:p>
      <w:pPr>
        <w:pStyle w:val="ListBullet"/>
        <w:spacing w:line="240" w:lineRule="auto"/>
        <w:ind w:left="720"/>
      </w:pPr>
      <w:r>
        <w:rPr>
          <w:lang w:val="en_US" w:bidi="en_US"/>
        </w:rPr>
      </w:r>
      <w:r>
        <w:rPr>
          <w:lang w:val="en_US" w:bidi="en_US"/>
        </w:rPr>
        <w:t xml:space="preserve">and here </w:t>
      </w:r>
      <w:r>
        <w:rPr>
          <w:lang w:val="en_US" w:bidi="en_US"/>
        </w:rPr>
        <w:t>is my decision</w:t>
      </w:r>
      <w:r>
        <w:rPr>
          <w:lang w:val="en_US" w:bidi="en_US"/>
        </w:rPr>
        <w:t>: There is no evidence that he is guilty of what you</w:t>
      </w:r>
      <w:r>
        <w:rPr>
          <w:vertAlign w:val="superscript"/>
          <w:lang w:val="en_US" w:bidi="en_US"/>
        </w:rPr>
        <w:t>(plur)</w:t>
      </w:r>
      <w:r>
        <w:rPr>
          <w:lang w:val="en_US" w:bidi="en_US"/>
        </w:rPr>
        <w:t xml:space="preserve"> accuse him.</w:t>
      </w:r>
    </w:p>
    <w:p>
      <w:pPr/>
      <w:r>
        <w:rPr>
          <w:lang w:val="en_US" w:bidi="en_US"/>
        </w:rPr>
      </w:r>
      <w:r>
        <w:rPr>
          <w:b/>
          <w:lang w:val="en_US" w:bidi="en_US"/>
        </w:rPr>
        <w:t>found Him not guilty of your charges against Him:</w:t>
      </w:r>
      <w:r>
        <w:rPr>
          <w:lang w:val="en_US" w:bidi="en_US"/>
        </w:rPr>
        <w:t xml:space="preserve"> The Greek phrase that the BSB translates as </w:t>
      </w:r>
      <w:r>
        <w:rPr>
          <w:i/>
          <w:lang w:val="en_US" w:bidi="en_US"/>
        </w:rPr>
        <w:t>found Him not guilty of your charges against Him</w:t>
      </w:r>
      <w:r>
        <w:rPr>
          <w:lang w:val="en_US" w:bidi="en_US"/>
        </w:rPr>
        <w:t xml:space="preserve"> is more literally “have not found in this man any cause/basis for what you accuse him.” It is very similar to the statement in 23:4. It means that Pilate did not find/discover any support for their accusations against Jesus. There was no evidence that Jesus had done anything to arouse the Jewish people to rebel against the Roman government.</w:t>
      </w:r>
    </w:p>
    <w:p>
      <w:pPr/>
      <w:r>
        <w:rPr>
          <w:lang w:val="en_US" w:bidi="en_US"/>
        </w:rPr>
      </w:r>
      <w:r>
        <w:rPr>
          <w:lang w:val="en_US" w:bidi="en_US"/>
        </w:rPr>
        <w:t>Other ways to translate this phrase are:</w:t>
      </w:r>
    </w:p>
    <w:p>
      <w:pPr/>
      <w:r>
        <w:rPr>
          <w:lang w:val="en_US" w:bidi="en_US"/>
        </w:rPr>
      </w:r>
      <w:r>
        <w:rPr>
          <w:lang w:val="en_US" w:bidi="en_US"/>
        </w:rPr>
        <w:t>I have not found him guilty of any of the crimes you accuse him of (GNT)</w:t>
      </w:r>
    </w:p>
    <w:p>
      <w:pPr/>
      <w:r>
        <w:rPr>
          <w:lang w:val="en_US" w:bidi="en_US"/>
        </w:rPr>
      </w:r>
      <w:r>
        <w:rPr>
          <w:lang w:val="en_US" w:bidi="en_US"/>
        </w:rPr>
        <w:t>and found nothing in him to support your charges (REB)</w:t>
      </w:r>
    </w:p>
    <w:p>
      <w:pPr/>
      <w:r>
        <w:rPr>
          <w:lang w:val="en_US" w:bidi="en_US"/>
        </w:rPr>
      </w:r>
      <w:r>
        <w:rPr>
          <w:lang w:val="en_US" w:bidi="en_US"/>
        </w:rPr>
        <w:t>and find him innocent (NLT)</w:t>
      </w:r>
    </w:p>
    <w:p>
      <w:pPr>
        <w:pStyle w:val="Heading6"/>
      </w:pPr>
      <w:r>
        <w:rPr>
          <w:b/>
          <w:lang w:val="en_US" w:bidi="en_US"/>
        </w:rPr>
        <w:t>General Comment on 23:14c–d</w:t>
      </w:r>
    </w:p>
    <w:p>
      <w:pPr/>
      <w:r>
        <w:rPr>
          <w:lang w:val="en_US" w:bidi="en_US"/>
        </w:rPr>
      </w:r>
      <w:r>
        <w:rPr>
          <w:lang w:val="en_US" w:bidi="en_US"/>
        </w:rPr>
        <w:t>In Greek Pilate’s conclusion about Jesus in 23:14c–d is emphasized. Some ways to translate this emphasis are:</w:t>
      </w:r>
    </w:p>
    <w:p>
      <w:pPr/>
      <w:r>
        <w:rPr>
          <w:lang w:val="en_US" w:bidi="en_US"/>
        </w:rPr>
      </w:r>
      <w:r>
        <w:rPr>
          <w:lang w:val="en_US" w:bidi="en_US"/>
        </w:rPr>
        <w:t>Now that I have examined him in your presence, listen to my decision: there is no evidence/support for your charges against him.</w:t>
      </w:r>
    </w:p>
    <w:p>
      <w:pPr/>
      <w:r>
        <w:rPr>
          <w:lang w:val="en_US" w:bidi="en_US"/>
        </w:rPr>
      </w:r>
      <w:r>
        <w:rPr>
          <w:lang w:val="en_US" w:bidi="en_US"/>
        </w:rPr>
        <w:t>You have all heard me question him. Now I have concluded that he is not guilty of anything that you have accused him of doing.</w:t>
      </w:r>
    </w:p>
    <w:p>
      <w:pPr/>
      <w:r>
        <w:rPr>
          <w:lang w:val="en_US" w:bidi="en_US"/>
        </w:rPr>
      </w:r>
      <w:r>
        <w:rPr>
          <w:lang w:val="en_US" w:bidi="en_US"/>
        </w:rPr>
        <w:t>Translate 23:14c–d in a natural and emphatic way in your language.</w:t>
      </w:r>
      <w:r>
        <w:rPr>
          <w:lang w:val="en_US" w:bidi="en_US"/>
        </w:rPr>
      </w:r>
      <w:r>
        <w:rPr>
          <w:lang w:val="en_US" w:bidi="en_US"/>
        </w:rPr>
      </w:r>
    </w:p>
    <w:p>
      <w:pPr/>
      <w:r>
        <w:rPr>
          <w:lang w:val="en_US" w:bidi="en_US"/>
        </w:rPr>
      </w:r>
    </w:p>
    <w:p>
      <w:pPr>
        <w:pStyle w:val="Heading2"/>
      </w:pPr>
      <w:r>
        <w:rPr>
          <w:lang w:val="en_US" w:bidi="en_US"/>
        </w:rPr>
        <w:t>Luke 23:15</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23:15a</w:t>
      </w:r>
    </w:p>
    <w:p>
      <w:pPr/>
      <w:r>
        <w:rPr>
          <w:lang w:val="en_US" w:bidi="en_US"/>
        </w:rPr>
      </w:r>
      <w:r>
        <w:rPr>
          <w:b/>
          <w:lang w:val="en_US" w:bidi="en_US"/>
        </w:rPr>
        <w:t>Neither has Herod,</w:t>
      </w:r>
    </w:p>
    <w:p>
      <w:pPr>
        <w:pStyle w:val="ListBullet"/>
        <w:spacing w:line="240" w:lineRule="auto"/>
        <w:ind w:left="720"/>
      </w:pPr>
      <w:r>
        <w:rPr>
          <w:lang w:val="en_US" w:bidi="en_US"/>
        </w:rPr>
      </w:r>
      <w:r>
        <w:rPr>
          <w:lang w:val="en_US" w:bidi="en_US"/>
        </w:rPr>
        <w:t xml:space="preserve">Herod made the same </w:t>
      </w:r>
      <w:r>
        <w:rPr>
          <w:lang w:val="en_US" w:bidi="en_US"/>
        </w:rPr>
        <w:t>decision</w:t>
      </w:r>
      <w:r>
        <w:rPr>
          <w:lang w:val="en_US" w:bidi="en_US"/>
        </w:rPr>
        <w:t>,</w:t>
      </w:r>
    </w:p>
    <w:p>
      <w:pPr>
        <w:pStyle w:val="ListBullet"/>
        <w:spacing w:line="240" w:lineRule="auto"/>
        <w:ind w:left="720"/>
      </w:pPr>
      <w:r>
        <w:rPr>
          <w:lang w:val="en_US" w:bidi="en_US"/>
        </w:rPr>
      </w:r>
      <w:r>
        <w:rPr>
          <w:lang w:val="en_US" w:bidi="en_US"/>
        </w:rPr>
        <w:t xml:space="preserve">Herod also did not </w:t>
      </w:r>
      <w:r>
        <w:rPr>
          <w:lang w:val="en_US" w:bidi="en_US"/>
        </w:rPr>
        <w:t>discover anything to show that he had committed a crime</w:t>
      </w:r>
      <w:r>
        <w:rPr>
          <w:lang w:val="en_US" w:bidi="en_US"/>
        </w:rPr>
        <w:t>.</w:t>
      </w:r>
    </w:p>
    <w:p>
      <w:pPr>
        <w:pStyle w:val="ListBullet"/>
        <w:spacing w:line="240" w:lineRule="auto"/>
        <w:ind w:left="720"/>
      </w:pPr>
      <w:r>
        <w:rPr>
          <w:lang w:val="en_US" w:bidi="en_US"/>
        </w:rPr>
      </w:r>
      <w:r>
        <w:rPr>
          <w:lang w:val="en_US" w:bidi="en_US"/>
        </w:rPr>
        <w:t xml:space="preserve">Even Herod did not </w:t>
      </w:r>
      <w:r>
        <w:rPr>
          <w:lang w:val="en_US" w:bidi="en_US"/>
        </w:rPr>
        <w:t>find/see any evidence for the charges</w:t>
      </w:r>
      <w:r>
        <w:rPr>
          <w:lang w:val="en_US" w:bidi="en_US"/>
        </w:rPr>
        <w:t>,</w:t>
      </w:r>
    </w:p>
    <w:p>
      <w:pPr/>
      <w:r>
        <w:rPr>
          <w:lang w:val="en_US" w:bidi="en_US"/>
        </w:rPr>
      </w:r>
      <w:r>
        <w:rPr>
          <w:b/>
          <w:lang w:val="en_US" w:bidi="en_US"/>
        </w:rPr>
        <w:t>Neither has Herod:</w:t>
      </w:r>
      <w:r>
        <w:rPr>
          <w:lang w:val="en_US" w:bidi="en_US"/>
        </w:rPr>
        <w:t xml:space="preserve"> The Greek phrase that the BSB translates as </w:t>
      </w:r>
      <w:r>
        <w:rPr>
          <w:i/>
          <w:lang w:val="en_US" w:bidi="en_US"/>
        </w:rPr>
        <w:t>Neither has Herod</w:t>
      </w:r>
      <w:r>
        <w:rPr>
          <w:lang w:val="en_US" w:bidi="en_US"/>
        </w:rPr>
        <w:t xml:space="preserve"> is more literally “but neither/even Herod.” This phrase is emphatic. It provides further support for Pilate’s statement in 23:14 that he did not discover any basis for the charges against Jesus. It indicates that like Pilate, Herod did not find any basis for the charges. Some other ways to translate it are:</w:t>
      </w:r>
    </w:p>
    <w:p>
      <w:pPr/>
      <w:r>
        <w:rPr>
          <w:lang w:val="en_US" w:bidi="en_US"/>
        </w:rPr>
      </w:r>
      <w:r>
        <w:rPr>
          <w:lang w:val="en_US" w:bidi="en_US"/>
        </w:rPr>
        <w:t xml:space="preserve">Herod also </w:t>
      </w:r>
      <w:r>
        <w:rPr>
          <w:lang w:val="en_US" w:bidi="en_US"/>
        </w:rPr>
        <w:t>found</w:t>
      </w:r>
      <w:r>
        <w:rPr>
          <w:lang w:val="en_US" w:bidi="en_US"/>
        </w:rPr>
        <w:t xml:space="preserve"> nothing</w:t>
      </w:r>
    </w:p>
    <w:p>
      <w:pPr/>
      <w:r>
        <w:rPr>
          <w:lang w:val="en_US" w:bidi="en_US"/>
        </w:rPr>
      </w:r>
      <w:r>
        <w:rPr>
          <w:lang w:val="en_US" w:bidi="en_US"/>
        </w:rPr>
        <w:t>Herod came to the same conclusion (NLT)</w:t>
      </w:r>
    </w:p>
    <w:p>
      <w:pPr/>
      <w:r>
        <w:rPr>
          <w:lang w:val="en_US" w:bidi="en_US"/>
        </w:rPr>
      </w:r>
      <w:r>
        <w:rPr>
          <w:lang w:val="en_US" w:bidi="en_US"/>
        </w:rPr>
        <w:t>And even Herod, the same also</w:t>
      </w:r>
      <w:r>
        <w:rPr>
          <w:lang w:val="en_US" w:bidi="en_US"/>
        </w:rPr>
        <w:t>Yakan back translation on TW.</w:t>
      </w:r>
    </w:p>
    <w:p>
      <w:pPr/>
      <w:r>
        <w:rPr>
          <w:lang w:val="en_US" w:bidi="en_US"/>
        </w:rPr>
      </w:r>
      <w:r>
        <w:rPr>
          <w:lang w:val="en_US" w:bidi="en_US"/>
        </w:rPr>
        <w:t>In some languages it may be necessary to make the statement more explicit. For example:</w:t>
      </w:r>
    </w:p>
    <w:p>
      <w:pPr/>
      <w:r>
        <w:rPr>
          <w:lang w:val="en_US" w:bidi="en_US"/>
        </w:rPr>
      </w:r>
      <w:r>
        <w:rPr>
          <w:lang w:val="en_US" w:bidi="en_US"/>
        </w:rPr>
        <w:t>And Herod also could not find any wrong/crime that he had done</w:t>
      </w:r>
    </w:p>
    <w:p>
      <w:pPr/>
      <w:r>
        <w:rPr>
          <w:lang w:val="en_US" w:bidi="en_US"/>
        </w:rPr>
      </w:r>
      <w:r>
        <w:rPr>
          <w:lang w:val="en_US" w:bidi="en_US"/>
        </w:rPr>
        <w:t>Herod didn’t find him guilty either (CEV)</w:t>
      </w:r>
    </w:p>
    <w:p>
      <w:pPr>
        <w:pStyle w:val="Heading5"/>
      </w:pPr>
      <w:r>
        <w:rPr>
          <w:lang w:val="en_US" w:bidi="en_US"/>
        </w:rPr>
        <w:t>23:15b</w:t>
      </w:r>
    </w:p>
    <w:p>
      <w:pPr/>
      <w:r>
        <w:rPr>
          <w:lang w:val="en_US" w:bidi="en_US"/>
        </w:rPr>
      </w:r>
      <w:r>
        <w:rPr>
          <w:b/>
          <w:lang w:val="en_US" w:bidi="en_US"/>
        </w:rPr>
        <w:t>for he sent Him back to us.</w:t>
      </w:r>
    </w:p>
    <w:p>
      <w:pPr>
        <w:pStyle w:val="ListBullet"/>
        <w:spacing w:line="240" w:lineRule="auto"/>
        <w:ind w:left="720"/>
      </w:pPr>
      <w:r>
        <w:rPr>
          <w:lang w:val="en_US" w:bidi="en_US"/>
        </w:rPr>
      </w:r>
      <w:r>
        <w:rPr>
          <w:lang w:val="en_US" w:bidi="en_US"/>
        </w:rPr>
        <w:t>since he returned him to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That is why he has sent him to us</w:t>
      </w:r>
      <w:r>
        <w:rPr>
          <w:vertAlign w:val="superscript"/>
          <w:lang w:val="en_US" w:bidi="en_US"/>
        </w:rPr>
        <w:t>(incl)</w:t>
      </w:r>
      <w:r>
        <w:rPr>
          <w:lang w:val="en_US" w:bidi="en_US"/>
        </w:rPr>
        <w:t xml:space="preserve"> again.</w:t>
      </w:r>
    </w:p>
    <w:p>
      <w:pPr>
        <w:pStyle w:val="ListBullet"/>
        <w:spacing w:line="240" w:lineRule="auto"/>
        <w:ind w:left="720"/>
      </w:pPr>
      <w:r>
        <w:rPr>
          <w:lang w:val="en_US" w:bidi="en_US"/>
        </w:rPr>
      </w:r>
      <w:r>
        <w:rPr>
          <w:lang w:val="en_US" w:bidi="en_US"/>
        </w:rPr>
        <w:t>so he has sent him back here to us</w:t>
      </w:r>
      <w:r>
        <w:rPr>
          <w:vertAlign w:val="superscript"/>
          <w:lang w:val="en_US" w:bidi="en_US"/>
        </w:rPr>
        <w:t>(incl)</w:t>
      </w:r>
      <w:r>
        <w:rPr>
          <w:lang w:val="en_US" w:bidi="en_US"/>
        </w:rPr>
        <w:t xml:space="preserve">, </w:t>
      </w:r>
      <w:r>
        <w:rPr>
          <w:lang w:val="en_US" w:bidi="en_US"/>
        </w:rPr>
        <w:t>without punishing him</w:t>
      </w:r>
      <w:r>
        <w:rPr>
          <w:lang w:val="en_US" w:bidi="en_US"/>
        </w:rPr>
        <w:t>.</w:t>
      </w:r>
    </w:p>
    <w:p>
      <w:pPr/>
      <w:r>
        <w:rPr>
          <w:lang w:val="en_US" w:bidi="en_US"/>
        </w:rPr>
      </w:r>
      <w:r>
        <w:rPr>
          <w:b/>
          <w:lang w:val="en_US" w:bidi="en_US"/>
        </w:rPr>
        <w:t>for he sent Him back to us:</w:t>
      </w:r>
      <w:r>
        <w:rPr>
          <w:lang w:val="en_US" w:bidi="en_US"/>
        </w:rPr>
        <w:t xml:space="preserve"> </w:t>
      </w:r>
      <w:r>
        <w:rPr>
          <w:lang w:val="en_US" w:bidi="en_US"/>
        </w:rPr>
        <w:t>Some Greek manuscripts and the KJV have “for I sent you to him.” The earliest Greek texts have “for he sent him back to us.” It is recommended that you follow the earliest texts and the majority of English versions. This text naturally fits the context.</w:t>
      </w:r>
      <w:r>
        <w:rPr>
          <w:lang w:val="en_US" w:bidi="en_US"/>
        </w:rPr>
        <w:t xml:space="preserve"> This statement explains how Pilate knew that Herod also had not found Jesus guilty of any crime. When Herod returned Jesus to Pilate, he probably implied that Jesus was innocent. Otherwise, Herod would have caused him to be punished. Some other ways to translate this explanation are:</w:t>
      </w:r>
    </w:p>
    <w:p>
      <w:pPr/>
      <w:r>
        <w:rPr>
          <w:lang w:val="en_US" w:bidi="en_US"/>
        </w:rPr>
      </w:r>
      <w:r>
        <w:rPr>
          <w:lang w:val="en_US" w:bidi="en_US"/>
        </w:rPr>
        <w:t>So he sent this man back to us. (GW)</w:t>
      </w:r>
    </w:p>
    <w:p>
      <w:pPr/>
      <w:r>
        <w:rPr>
          <w:lang w:val="en_US" w:bidi="en_US"/>
        </w:rPr>
      </w:r>
      <w:r>
        <w:rPr>
          <w:lang w:val="en_US" w:bidi="en_US"/>
        </w:rPr>
        <w:t>That is why he returned him to us.</w:t>
      </w:r>
    </w:p>
    <w:p>
      <w:pPr/>
      <w:r>
        <w:rPr>
          <w:lang w:val="en_US" w:bidi="en_US"/>
        </w:rPr>
      </w:r>
      <w:r>
        <w:rPr>
          <w:b/>
          <w:lang w:val="en_US" w:bidi="en_US"/>
        </w:rPr>
        <w:t>us:</w:t>
      </w:r>
      <w:r>
        <w:rPr>
          <w:lang w:val="en_US" w:bidi="en_US"/>
        </w:rPr>
        <w:t xml:space="preserve"> The word </w:t>
      </w:r>
      <w:r>
        <w:rPr>
          <w:i/>
          <w:lang w:val="en_US" w:bidi="en_US"/>
        </w:rPr>
        <w:t>us</w:t>
      </w:r>
      <w:r>
        <w:rPr>
          <w:lang w:val="en_US" w:bidi="en_US"/>
        </w:rPr>
        <w:t xml:space="preserve"> refers here to Pilate and the Jewish leaders who were accusing Jesus.</w:t>
      </w:r>
    </w:p>
    <w:p>
      <w:pPr>
        <w:pStyle w:val="Heading5"/>
      </w:pPr>
      <w:r>
        <w:rPr>
          <w:lang w:val="en_US" w:bidi="en_US"/>
        </w:rPr>
        <w:t>23:15c</w:t>
      </w:r>
    </w:p>
    <w:p>
      <w:pPr/>
      <w:r>
        <w:rPr>
          <w:lang w:val="en_US" w:bidi="en_US"/>
        </w:rPr>
      </w:r>
      <w:r>
        <w:rPr>
          <w:b/>
          <w:lang w:val="en_US" w:bidi="en_US"/>
        </w:rPr>
        <w:t>As you can see, He has done nothing deserving of death.</w:t>
      </w:r>
    </w:p>
    <w:p>
      <w:pPr>
        <w:pStyle w:val="ListBullet"/>
        <w:spacing w:line="240" w:lineRule="auto"/>
        <w:ind w:left="720"/>
      </w:pPr>
      <w:r>
        <w:rPr>
          <w:lang w:val="en_US" w:bidi="en_US"/>
        </w:rPr>
      </w:r>
      <w:r>
        <w:rPr>
          <w:lang w:val="en_US" w:bidi="en_US"/>
        </w:rPr>
        <w:t>It is clear that he/Jesus has not done anything for which I should sentence him to die.</w:t>
      </w:r>
    </w:p>
    <w:p>
      <w:pPr>
        <w:pStyle w:val="ListBullet"/>
        <w:spacing w:line="240" w:lineRule="auto"/>
        <w:ind w:left="720"/>
      </w:pPr>
      <w:r>
        <w:rPr>
          <w:lang w:val="en_US" w:bidi="en_US"/>
        </w:rPr>
      </w:r>
      <w:r>
        <w:rPr>
          <w:lang w:val="en_US" w:bidi="en_US"/>
        </w:rPr>
        <w:t>Certainly/Obviously, Jesus has not done anything for which he deserves to be executed/killed.</w:t>
      </w:r>
    </w:p>
    <w:p>
      <w:pPr/>
      <w:r>
        <w:rPr>
          <w:lang w:val="en_US" w:bidi="en_US"/>
        </w:rPr>
      </w:r>
      <w:r>
        <w:rPr>
          <w:b/>
          <w:lang w:val="en_US" w:bidi="en_US"/>
        </w:rPr>
        <w:t>As you can see:</w:t>
      </w:r>
      <w:r>
        <w:rPr>
          <w:lang w:val="en_US" w:bidi="en_US"/>
        </w:rPr>
        <w:t xml:space="preserve"> The Greek phrase that the BSB translates as </w:t>
      </w:r>
      <w:r>
        <w:rPr>
          <w:i/>
          <w:lang w:val="en_US" w:bidi="en_US"/>
        </w:rPr>
        <w:t>As you can see</w:t>
      </w:r>
      <w:r>
        <w:rPr>
          <w:lang w:val="en_US" w:bidi="en_US"/>
        </w:rPr>
        <w:t xml:space="preserve"> is more literally “and look.” This same phrase occurred in 23:14c. It emphasizes the following statement. Here it emphasizes that Pilate’s next statement is obviously true: Jesus obviously did not deserve to be punished by death. Some other ways to emphasize the statement are:</w:t>
      </w:r>
    </w:p>
    <w:p>
      <w:pPr/>
      <w:r>
        <w:rPr>
          <w:lang w:val="en_US" w:bidi="en_US"/>
        </w:rPr>
      </w:r>
      <w:r>
        <w:rPr>
          <w:lang w:val="en_US" w:bidi="en_US"/>
        </w:rPr>
        <w:t>Clearly (REB)</w:t>
      </w:r>
    </w:p>
    <w:p>
      <w:pPr/>
      <w:r>
        <w:rPr>
          <w:lang w:val="en_US" w:bidi="en_US"/>
        </w:rPr>
      </w:r>
      <w:r>
        <w:rPr>
          <w:lang w:val="en_US" w:bidi="en_US"/>
        </w:rPr>
        <w:t>Look (NET)</w:t>
      </w:r>
    </w:p>
    <w:p>
      <w:pPr/>
      <w:r>
        <w:rPr>
          <w:lang w:val="en_US" w:bidi="en_US"/>
        </w:rPr>
      </w:r>
      <w:r>
        <w:rPr>
          <w:lang w:val="en_US" w:bidi="en_US"/>
        </w:rPr>
        <w:t>It is obvious/evident that…</w:t>
      </w:r>
    </w:p>
    <w:p>
      <w:pPr/>
      <w:r>
        <w:rPr>
          <w:lang w:val="en_US" w:bidi="en_US"/>
        </w:rPr>
      </w:r>
      <w:r>
        <w:rPr>
          <w:lang w:val="en_US" w:bidi="en_US"/>
        </w:rPr>
        <w:t>Translate this emphasis in a natural way in your language.</w:t>
      </w:r>
    </w:p>
    <w:p>
      <w:pPr/>
      <w:r>
        <w:rPr>
          <w:lang w:val="en_US" w:bidi="en_US"/>
        </w:rPr>
      </w:r>
      <w:r>
        <w:rPr>
          <w:b/>
          <w:lang w:val="en_US" w:bidi="en_US"/>
        </w:rPr>
        <w:t>He has done nothing deserving of death:</w:t>
      </w:r>
      <w:r>
        <w:rPr>
          <w:lang w:val="en_US" w:bidi="en_US"/>
        </w:rPr>
        <w:t xml:space="preserve"> Pilate indicated here that Jesus did not deserve to be executed. He did not do any crime that Roman law would punish with death. Pilate had no reason to execute Jesus. Some other ways to translate this are:</w:t>
      </w:r>
    </w:p>
    <w:p>
      <w:pPr/>
      <w:r>
        <w:rPr>
          <w:lang w:val="en_US" w:bidi="en_US"/>
        </w:rPr>
      </w:r>
      <w:r>
        <w:rPr>
          <w:lang w:val="en_US" w:bidi="en_US"/>
        </w:rPr>
        <w:t>…he has done nothing to deserve the death penalty. (JBP)</w:t>
      </w:r>
    </w:p>
    <w:p>
      <w:pPr/>
      <w:r>
        <w:rPr>
          <w:lang w:val="en_US" w:bidi="en_US"/>
        </w:rPr>
      </w:r>
      <w:r>
        <w:rPr>
          <w:lang w:val="en_US" w:bidi="en_US"/>
        </w:rPr>
        <w:t>This man doesn’t deserve to be put to death! (CEV)</w:t>
      </w:r>
    </w:p>
    <w:p>
      <w:pPr/>
      <w:r>
        <w:rPr>
          <w:lang w:val="en_US" w:bidi="en_US"/>
        </w:rPr>
      </w:r>
      <w:r>
        <w:rPr>
          <w:lang w:val="en_US" w:bidi="en_US"/>
        </w:rPr>
        <w:t>This person has not done anything for which it is appropriate to condemn him to death.</w:t>
      </w:r>
      <w:r>
        <w:rPr>
          <w:lang w:val="en_US" w:bidi="en_US"/>
        </w:rPr>
        <w:t>Uma back translation on TW.</w:t>
      </w:r>
      <w:r>
        <w:rPr>
          <w:lang w:val="en_US" w:bidi="en_US"/>
        </w:rPr>
      </w:r>
      <w:r>
        <w:rPr>
          <w:lang w:val="en_US" w:bidi="en_US"/>
        </w:rPr>
      </w:r>
    </w:p>
    <w:p>
      <w:pPr/>
      <w:r>
        <w:rPr>
          <w:lang w:val="en_US" w:bidi="en_US"/>
        </w:rPr>
      </w:r>
    </w:p>
    <w:p>
      <w:pPr>
        <w:pStyle w:val="Heading2"/>
      </w:pPr>
      <w:r>
        <w:rPr>
          <w:lang w:val="en_US" w:bidi="en_US"/>
        </w:rPr>
        <w:t>Luke 23:16</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23:16</w:t>
      </w:r>
    </w:p>
    <w:p>
      <w:pPr/>
      <w:r>
        <w:rPr>
          <w:lang w:val="en_US" w:bidi="en_US"/>
        </w:rPr>
      </w:r>
      <w:r>
        <w:rPr>
          <w:b/>
          <w:lang w:val="en_US" w:bidi="en_US"/>
        </w:rPr>
        <w:t>Therefore I will punish Him and release Him.”</w:t>
      </w:r>
    </w:p>
    <w:p>
      <w:pPr>
        <w:pStyle w:val="ListBullet"/>
        <w:spacing w:line="240" w:lineRule="auto"/>
        <w:ind w:left="720"/>
      </w:pPr>
      <w:r>
        <w:rPr>
          <w:lang w:val="en_US" w:bidi="en_US"/>
        </w:rPr>
      </w:r>
      <w:r>
        <w:rPr>
          <w:lang w:val="en_US" w:bidi="en_US"/>
        </w:rPr>
        <w:t xml:space="preserve">So I will </w:t>
      </w:r>
      <w:r>
        <w:rPr>
          <w:lang w:val="en_US" w:bidi="en_US"/>
        </w:rPr>
        <w:t>just</w:t>
      </w:r>
      <w:r>
        <w:rPr>
          <w:lang w:val="en_US" w:bidi="en_US"/>
        </w:rPr>
        <w:t xml:space="preserve"> </w:t>
      </w:r>
      <w:r>
        <w:rPr>
          <w:lang w:val="en_US" w:bidi="en_US"/>
        </w:rPr>
        <w:t>order</w:t>
      </w:r>
      <w:r>
        <w:rPr>
          <w:lang w:val="en_US" w:bidi="en_US"/>
        </w:rPr>
        <w:t xml:space="preserve"> him to be whipped, and then I will release him.”</w:t>
      </w:r>
    </w:p>
    <w:p>
      <w:pPr>
        <w:pStyle w:val="ListBullet"/>
        <w:spacing w:line="240" w:lineRule="auto"/>
        <w:ind w:left="720"/>
      </w:pPr>
      <w:r>
        <w:rPr>
          <w:lang w:val="en_US" w:bidi="en_US"/>
        </w:rPr>
      </w:r>
      <w:r>
        <w:rPr>
          <w:lang w:val="en_US" w:bidi="en_US"/>
        </w:rPr>
        <w:t xml:space="preserve">So I will </w:t>
      </w:r>
      <w:r>
        <w:rPr>
          <w:lang w:val="en_US" w:bidi="en_US"/>
        </w:rPr>
        <w:t>tell my soldiers only to</w:t>
      </w:r>
      <w:r>
        <w:rPr>
          <w:lang w:val="en_US" w:bidi="en_US"/>
        </w:rPr>
        <w:t xml:space="preserve"> whip/beat him, and then I will allow him to go free.”</w:t>
      </w:r>
    </w:p>
    <w:p>
      <w:pPr/>
      <w:r>
        <w:rPr>
          <w:lang w:val="en_US" w:bidi="en_US"/>
        </w:rPr>
      </w:r>
      <w:r>
        <w:rPr>
          <w:b/>
          <w:lang w:val="en_US" w:bidi="en_US"/>
        </w:rPr>
        <w:t>Therefore I will punish Him and release Him:</w:t>
      </w:r>
      <w:r>
        <w:rPr>
          <w:lang w:val="en_US" w:bidi="en_US"/>
        </w:rPr>
        <w:t xml:space="preserve"> As a result of the reasons in 23:14–15, Pilate decided that he would just punish Jesus and then let him go free. He would not execute Jesus. Pilate thought that if he punished Jesus in a less severe way, the Jewish leaders would be satisfied and not demand that Jesus be killed.</w:t>
      </w:r>
    </w:p>
    <w:p>
      <w:pPr/>
      <w:r>
        <w:rPr>
          <w:lang w:val="en_US" w:bidi="en_US"/>
        </w:rPr>
      </w:r>
      <w:r>
        <w:rPr>
          <w:lang w:val="en_US" w:bidi="en_US"/>
        </w:rPr>
        <w:t>Your translation should not imply that Pilate punished Jesus because of his innocence. In some languages it may be helpful to indicate more explicitly that the punishment was easy in contrast to death. For example:</w:t>
      </w:r>
    </w:p>
    <w:p>
      <w:pPr/>
      <w:r>
        <w:rPr>
          <w:lang w:val="en_US" w:bidi="en_US"/>
        </w:rPr>
      </w:r>
      <w:r>
        <w:rPr>
          <w:lang w:val="en_US" w:bidi="en_US"/>
        </w:rPr>
        <w:t>So I will only/just punish him and then I will set him free.</w:t>
      </w:r>
    </w:p>
    <w:p>
      <w:pPr/>
      <w:r>
        <w:rPr>
          <w:lang w:val="en_US" w:bidi="en_US"/>
        </w:rPr>
      </w:r>
      <w:r>
        <w:rPr>
          <w:lang w:val="en_US" w:bidi="en_US"/>
        </w:rPr>
        <w:t>So after I punish Him, I will release Him</w:t>
      </w:r>
    </w:p>
    <w:p>
      <w:pPr/>
      <w:r>
        <w:rPr>
          <w:lang w:val="en_US" w:bidi="en_US"/>
        </w:rPr>
      </w:r>
      <w:r>
        <w:rPr>
          <w:b/>
          <w:lang w:val="en_US" w:bidi="en_US"/>
        </w:rPr>
        <w:t>Therefore:</w:t>
      </w:r>
      <w:r>
        <w:rPr>
          <w:lang w:val="en_US" w:bidi="en_US"/>
        </w:rPr>
        <w:t xml:space="preserve"> The Greek conjunction that the BSB translates as </w:t>
      </w:r>
      <w:r>
        <w:rPr>
          <w:i/>
          <w:lang w:val="en_US" w:bidi="en_US"/>
        </w:rPr>
        <w:t>Therefore</w:t>
      </w:r>
      <w:r>
        <w:rPr>
          <w:lang w:val="en_US" w:bidi="en_US"/>
        </w:rPr>
        <w:t xml:space="preserve"> introduces what Pilate decided to do as a result of the facts in 23:14–15. Other English versions introduce this result with “So.” Some versions do not use a conjunction. Introduce Pilate’s decision in a way that is natural in your language.</w:t>
      </w:r>
    </w:p>
    <w:p>
      <w:pPr/>
      <w:r>
        <w:rPr>
          <w:lang w:val="en_US" w:bidi="en_US"/>
        </w:rPr>
      </w:r>
      <w:r>
        <w:rPr>
          <w:b/>
          <w:lang w:val="en_US" w:bidi="en_US"/>
        </w:rPr>
        <w:t>I will punish Him:</w:t>
      </w:r>
      <w:r>
        <w:rPr>
          <w:lang w:val="en_US" w:bidi="en_US"/>
        </w:rPr>
        <w:t xml:space="preserve"> In this context the Greek word that the BSB translates as </w:t>
      </w:r>
      <w:r>
        <w:rPr>
          <w:i/>
          <w:lang w:val="en_US" w:bidi="en_US"/>
        </w:rPr>
        <w:t>punish</w:t>
      </w:r>
      <w:r>
        <w:rPr>
          <w:lang w:val="en_US" w:bidi="en_US"/>
        </w:rPr>
        <w:t xml:space="preserve"> means “discipline, train.” In this context it indicates that Pilate would order Jesus to be whipped. The Romans usually whipped anyone who was accused of a crime, even if that person was not guilty. They hoped that the whipping would make the person try to avoid being accused of a crime again. This would also avoid trouble for the government. Another way to translate it is:</w:t>
      </w:r>
    </w:p>
    <w:p>
      <w:pPr/>
      <w:r>
        <w:rPr>
          <w:lang w:val="en_US" w:bidi="en_US"/>
        </w:rPr>
      </w:r>
      <w:r>
        <w:rPr>
          <w:lang w:val="en_US" w:bidi="en_US"/>
        </w:rPr>
        <w:t>I will just beat/whip him</w:t>
      </w:r>
      <w:r>
        <w:rPr>
          <w:lang w:val="en_US" w:bidi="en_US"/>
        </w:rPr>
        <w:t>Uma back translation on TW.</w:t>
      </w:r>
    </w:p>
    <w:p>
      <w:pPr/>
      <w:r>
        <w:rPr>
          <w:lang w:val="en_US" w:bidi="en_US"/>
        </w:rPr>
      </w:r>
      <w:r>
        <w:rPr>
          <w:lang w:val="en_US" w:bidi="en_US"/>
        </w:rPr>
        <w:t>Pilate did not imply here that he would whip Jesus himself. In many languages it is necessary to indicate that he would cause or order others to do it. For example:</w:t>
      </w:r>
    </w:p>
    <w:p>
      <w:pPr/>
      <w:r>
        <w:rPr>
          <w:lang w:val="en_US" w:bidi="en_US"/>
        </w:rPr>
      </w:r>
      <w:r>
        <w:rPr>
          <w:lang w:val="en_US" w:bidi="en_US"/>
        </w:rPr>
        <w:t>I will command that he be whipped</w:t>
      </w:r>
    </w:p>
    <w:p>
      <w:pPr/>
      <w:r>
        <w:rPr>
          <w:lang w:val="en_US" w:bidi="en_US"/>
        </w:rPr>
      </w:r>
      <w:r>
        <w:rPr>
          <w:lang w:val="en_US" w:bidi="en_US"/>
        </w:rPr>
        <w:t xml:space="preserve">I will order/command </w:t>
      </w:r>
      <w:r>
        <w:rPr>
          <w:lang w:val="en_US" w:bidi="en_US"/>
        </w:rPr>
        <w:t>my men</w:t>
      </w:r>
      <w:r>
        <w:rPr>
          <w:lang w:val="en_US" w:bidi="en_US"/>
        </w:rPr>
        <w:t xml:space="preserve"> to punish/whip him.</w:t>
      </w:r>
    </w:p>
    <w:p>
      <w:pPr/>
      <w:r>
        <w:rPr>
          <w:lang w:val="en_US" w:bidi="en_US"/>
        </w:rPr>
      </w:r>
      <w:r>
        <w:rPr>
          <w:b/>
          <w:lang w:val="en_US" w:bidi="en_US"/>
        </w:rPr>
        <w:t>release Him:</w:t>
      </w:r>
      <w:r>
        <w:rPr>
          <w:lang w:val="en_US" w:bidi="en_US"/>
        </w:rPr>
        <w:t xml:space="preserve"> The Greek word that the BSB translates as </w:t>
      </w:r>
      <w:r>
        <w:rPr>
          <w:i/>
          <w:lang w:val="en_US" w:bidi="en_US"/>
        </w:rPr>
        <w:t>release</w:t>
      </w:r>
      <w:r>
        <w:rPr>
          <w:lang w:val="en_US" w:bidi="en_US"/>
        </w:rPr>
        <w:t xml:space="preserve"> is used in a special way here to mean “pardon/release a prisoner.” It implies that the prisoner will be freed. Some other ways to translate the phrase </w:t>
      </w:r>
      <w:r>
        <w:rPr>
          <w:i/>
          <w:lang w:val="en_US" w:bidi="en_US"/>
        </w:rPr>
        <w:t>release Him</w:t>
      </w:r>
      <w:r>
        <w:rPr>
          <w:lang w:val="en_US" w:bidi="en_US"/>
        </w:rPr>
        <w:t xml:space="preserve"> are:</w:t>
      </w:r>
    </w:p>
    <w:p>
      <w:pPr/>
      <w:r>
        <w:rPr>
          <w:lang w:val="en_US" w:bidi="en_US"/>
        </w:rPr>
      </w:r>
      <w:r>
        <w:rPr>
          <w:lang w:val="en_US" w:bidi="en_US"/>
        </w:rPr>
        <w:t>let him go (GNT)</w:t>
      </w:r>
    </w:p>
    <w:p>
      <w:pPr/>
      <w:r>
        <w:rPr>
          <w:lang w:val="en_US" w:bidi="en_US"/>
        </w:rPr>
      </w:r>
      <w:r>
        <w:rPr>
          <w:lang w:val="en_US" w:bidi="en_US"/>
        </w:rPr>
        <w:t>set him free</w:t>
      </w:r>
    </w:p>
    <w:p>
      <w:pPr/>
      <w:r>
        <w:rPr>
          <w:lang w:val="en_US" w:bidi="en_US"/>
        </w:rPr>
      </w:r>
      <w:r>
        <w:rPr>
          <w:lang w:val="en_US" w:bidi="en_US"/>
        </w:rPr>
        <w:t>Use a natural way in your language to refer to releasing a prisoner.</w:t>
      </w:r>
      <w:r>
        <w:rPr>
          <w:lang w:val="en_US" w:bidi="en_US"/>
        </w:rPr>
      </w:r>
      <w:r>
        <w:rPr>
          <w:lang w:val="en_US" w:bidi="en_US"/>
        </w:rPr>
      </w:r>
    </w:p>
    <w:p>
      <w:pPr/>
      <w:r>
        <w:rPr>
          <w:lang w:val="en_US" w:bidi="en_US"/>
        </w:rPr>
      </w:r>
    </w:p>
    <w:p>
      <w:pPr>
        <w:pStyle w:val="Heading2"/>
      </w:pPr>
      <w:r>
        <w:rPr>
          <w:lang w:val="en_US" w:bidi="en_US"/>
        </w:rPr>
        <w:t>Luke 23:17</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23:17</w:t>
      </w:r>
    </w:p>
    <w:p>
      <w:pPr/>
      <w:r>
        <w:rPr>
          <w:lang w:val="en_US" w:bidi="en_US"/>
        </w:rPr>
      </w:r>
      <w:r>
        <w:rPr>
          <w:b/>
          <w:lang w:val="en_US" w:bidi="en_US"/>
        </w:rPr>
        <w:t>Now Pilate was obligated to release to the people one prisoner at the feast.]]</w:t>
      </w:r>
    </w:p>
    <w:p>
      <w:pPr>
        <w:pStyle w:val="ListBullet"/>
        <w:spacing w:line="240" w:lineRule="auto"/>
        <w:ind w:left="720"/>
      </w:pPr>
      <w:r>
        <w:rPr>
          <w:lang w:val="en_US" w:bidi="en_US"/>
        </w:rPr>
      </w:r>
      <w:r>
        <w:rPr>
          <w:lang w:val="en_US" w:bidi="en_US"/>
        </w:rPr>
        <w:t xml:space="preserve">[[¶ </w:t>
      </w:r>
      <w:r>
        <w:rPr>
          <w:lang w:val="en_US" w:bidi="en_US"/>
        </w:rPr>
        <w:t>Pilate said this</w:t>
      </w:r>
      <w:r>
        <w:rPr>
          <w:lang w:val="en_US" w:bidi="en_US"/>
        </w:rPr>
        <w:t xml:space="preserve"> because he was required to release a </w:t>
      </w:r>
      <w:r>
        <w:rPr>
          <w:lang w:val="en_US" w:bidi="en_US"/>
        </w:rPr>
        <w:t>Jewish</w:t>
      </w:r>
      <w:r>
        <w:rPr>
          <w:lang w:val="en_US" w:bidi="en_US"/>
        </w:rPr>
        <w:t xml:space="preserve"> prisoner for them at the festival.]]</w:t>
      </w:r>
    </w:p>
    <w:p>
      <w:pPr>
        <w:pStyle w:val="ListBullet"/>
        <w:spacing w:line="240" w:lineRule="auto"/>
        <w:ind w:left="720"/>
      </w:pPr>
      <w:r>
        <w:rPr>
          <w:lang w:val="en_US" w:bidi="en_US"/>
        </w:rPr>
      </w:r>
      <w:r>
        <w:rPr>
          <w:lang w:val="en_US" w:bidi="en_US"/>
        </w:rPr>
        <w:t xml:space="preserve">[[¶ </w:t>
      </w:r>
      <w:r>
        <w:rPr>
          <w:lang w:val="en_US" w:bidi="en_US"/>
        </w:rPr>
        <w:t>During Pilate’s rule,</w:t>
      </w:r>
      <w:r>
        <w:rPr>
          <w:lang w:val="en_US" w:bidi="en_US"/>
        </w:rPr>
        <w:t xml:space="preserve"> </w:t>
      </w:r>
      <w:r>
        <w:rPr>
          <w:lang w:val="en_US" w:bidi="en_US"/>
        </w:rPr>
        <w:t>there was a custom that</w:t>
      </w:r>
      <w:r>
        <w:rPr>
          <w:lang w:val="en_US" w:bidi="en_US"/>
        </w:rPr>
        <w:t xml:space="preserve"> he must release one of the </w:t>
      </w:r>
      <w:r>
        <w:rPr>
          <w:lang w:val="en_US" w:bidi="en_US"/>
        </w:rPr>
        <w:t>Jewish</w:t>
      </w:r>
      <w:r>
        <w:rPr>
          <w:lang w:val="en_US" w:bidi="en_US"/>
        </w:rPr>
        <w:t xml:space="preserve"> prisoners for them at the </w:t>
      </w:r>
      <w:r>
        <w:rPr>
          <w:lang w:val="en_US" w:bidi="en_US"/>
        </w:rPr>
        <w:t>Passover</w:t>
      </w:r>
      <w:r>
        <w:rPr>
          <w:lang w:val="en_US" w:bidi="en_US"/>
        </w:rPr>
        <w:t xml:space="preserve"> celebration.]]</w:t>
      </w:r>
    </w:p>
    <w:p>
      <w:pPr/>
      <w:r>
        <w:rPr>
          <w:lang w:val="en_US" w:bidi="en_US"/>
        </w:rPr>
      </w:r>
      <w:r>
        <w:rPr>
          <w:lang w:val="en_US" w:bidi="en_US"/>
        </w:rPr>
        <w:t>There is a textual issue concerning 23:17. The majority of Bible scholars think that 23:17 was probably not present in the original manuscript written by Luke. It was probably added later as background information.</w:t>
      </w:r>
      <w:r>
        <w:rPr>
          <w:lang w:val="en_US" w:bidi="en_US"/>
        </w:rPr>
        <w:t>There is support for both its absence and its presence in a number of ancient Greek manuscripts. The noticeable variation in the wording of the verse is evidence that it was added in some of those manuscripts to explain why the people wanted Pilate to release Barabbas.</w:t>
      </w:r>
      <w:r>
        <w:rPr>
          <w:lang w:val="en_US" w:bidi="en_US"/>
        </w:rPr>
        <w:t xml:space="preserve"> It explains what the people said in 23:18. They shouted that Barabbas should be set free. This information is in Matthew 27:15 and Mark 15:6.</w:t>
      </w:r>
    </w:p>
    <w:p>
      <w:pPr/>
      <w:r>
        <w:rPr>
          <w:lang w:val="en_US" w:bidi="en_US"/>
        </w:rPr>
      </w:r>
      <w:r>
        <w:rPr>
          <w:lang w:val="en_US" w:bidi="en_US"/>
        </w:rPr>
        <w:t>There are two main options for translating this verse:</w:t>
      </w:r>
    </w:p>
    <w:p>
      <w:pPr>
        <w:pStyle w:val="ListBullet"/>
        <w:spacing w:line="240" w:lineRule="auto"/>
        <w:ind w:left="720"/>
      </w:pPr>
      <w:r>
        <w:rPr>
          <w:lang w:val="en_US" w:bidi="en_US"/>
        </w:rPr>
      </w:r>
      <w:r>
        <w:rPr>
          <w:lang w:val="en_US" w:bidi="en_US"/>
        </w:rPr>
        <w:t>Put a translation of the verse in a footnote. For example, the GW has this footnote:</w:t>
      </w:r>
      <w:r>
        <w:rPr>
          <w:lang w:val="en_US" w:bidi="en_US"/>
        </w:rPr>
        <w:t xml:space="preserve">Some manuscripts and translations add verse 17: “At every Passover festival the governor had to set someone free for them.” (GW) </w:t>
      </w:r>
      <w:r>
        <w:rPr>
          <w:i/>
          <w:lang w:val="en_US" w:bidi="en_US"/>
        </w:rPr>
        <w:t>If you use this option, as most English versions do, you may want to include the verse number for 17 with the number at the beginning of 23:18. For example:</w:t>
      </w:r>
      <w:r>
        <w:rPr>
          <w:vertAlign w:val="superscript"/>
          <w:lang w:val="en_US" w:bidi="en_US"/>
        </w:rPr>
        <w:t>17–18</w:t>
      </w:r>
      <w:r>
        <w:rPr>
          <w:lang w:val="en_US" w:bidi="en_US"/>
        </w:rPr>
        <w:t>With one voice…</w:t>
      </w:r>
    </w:p>
    <w:p>
      <w:pPr>
        <w:pStyle w:val="ListBullet"/>
        <w:spacing w:line="240" w:lineRule="auto"/>
        <w:ind w:left="720"/>
      </w:pPr>
      <w:r>
        <w:rPr>
          <w:lang w:val="en_US" w:bidi="en_US"/>
        </w:rPr>
      </w:r>
      <w:r>
        <w:rPr>
          <w:lang w:val="en_US" w:bidi="en_US"/>
        </w:rPr>
        <w:t>Put the verse in brackets in the text. Here is one way to translate this:</w:t>
      </w:r>
      <w:r>
        <w:rPr>
          <w:vertAlign w:val="superscript"/>
          <w:lang w:val="en_US" w:bidi="en_US"/>
        </w:rPr>
        <w:t>17</w:t>
      </w:r>
      <w:r>
        <w:rPr>
          <w:lang w:val="en_US" w:bidi="en_US"/>
        </w:rPr>
        <w:t>[Now he was obliged to release to them at the feast one prisoner.] (NASB)</w:t>
      </w:r>
    </w:p>
    <w:p>
      <w:pPr/>
      <w:r>
        <w:rPr>
          <w:lang w:val="en_US" w:bidi="en_US"/>
        </w:rPr>
      </w:r>
      <w:r>
        <w:rPr>
          <w:lang w:val="en_US" w:bidi="en_US"/>
        </w:rPr>
        <w:t>If the national language version includes 23:17 without brackets in the text, you may decide to follow it. If you do this, it is good to include a footnote to explain that this verse is not present in some of the oldest Greek manuscripts of Luke.</w:t>
      </w:r>
    </w:p>
    <w:p>
      <w:pPr/>
      <w:r>
        <w:rPr>
          <w:lang w:val="en_US" w:bidi="en_US"/>
        </w:rPr>
      </w:r>
      <w:r>
        <w:rPr>
          <w:lang w:val="en_US" w:bidi="en_US"/>
        </w:rPr>
        <w:t>The words in the Display and in the following notes come from the BSB footnote.</w:t>
      </w:r>
    </w:p>
    <w:p>
      <w:pPr/>
      <w:r>
        <w:rPr>
          <w:lang w:val="en_US" w:bidi="en_US"/>
        </w:rPr>
      </w:r>
      <w:r>
        <w:rPr>
          <w:b/>
          <w:lang w:val="en_US" w:bidi="en_US"/>
        </w:rPr>
        <w:t>Now Pilate was obligated to release to the people one prisoner at the feast:</w:t>
      </w:r>
      <w:r>
        <w:rPr>
          <w:lang w:val="en_US" w:bidi="en_US"/>
        </w:rPr>
        <w:t xml:space="preserve"> This statement is background information. The BSB indicates that with the word </w:t>
      </w:r>
      <w:r>
        <w:rPr>
          <w:i/>
          <w:lang w:val="en_US" w:bidi="en_US"/>
        </w:rPr>
        <w:t>Now</w:t>
      </w:r>
      <w:r>
        <w:rPr>
          <w:lang w:val="en_US" w:bidi="en_US"/>
        </w:rPr>
        <w:t xml:space="preserve">. The word </w:t>
      </w:r>
      <w:r>
        <w:rPr>
          <w:i/>
          <w:lang w:val="en_US" w:bidi="en_US"/>
        </w:rPr>
        <w:t>Now</w:t>
      </w:r>
      <w:r>
        <w:rPr>
          <w:lang w:val="en_US" w:bidi="en_US"/>
        </w:rPr>
        <w:t xml:space="preserve"> is not a time word in this context. Introduce the background information in a natural way in your language.</w:t>
      </w:r>
    </w:p>
    <w:p>
      <w:pPr/>
      <w:r>
        <w:rPr>
          <w:lang w:val="en_US" w:bidi="en_US"/>
        </w:rPr>
      </w:r>
      <w:r>
        <w:rPr>
          <w:lang w:val="en_US" w:bidi="en_US"/>
        </w:rPr>
        <w:t>This statement contains implied information. Pilate was holding some Jews as prisoners. There was a custom that Pilate had to set one of those prisoners free on the Feast of Passover. Some other ways to translate this verse are:</w:t>
      </w:r>
    </w:p>
    <w:p>
      <w:pPr/>
      <w:r>
        <w:rPr>
          <w:lang w:val="en_US" w:bidi="en_US"/>
        </w:rPr>
      </w:r>
      <w:r>
        <w:rPr>
          <w:lang w:val="en_US" w:bidi="en_US"/>
        </w:rPr>
        <w:t>Now it was necessary for him to release one prisoner to them during the Passover celebration.</w:t>
      </w:r>
    </w:p>
    <w:p>
      <w:pPr/>
      <w:r>
        <w:rPr>
          <w:lang w:val="en_US" w:bidi="en_US"/>
        </w:rPr>
      </w:r>
      <w:r>
        <w:rPr>
          <w:lang w:val="en_US" w:bidi="en_US"/>
        </w:rPr>
        <w:t>Pilate said this because</w:t>
      </w:r>
      <w:r>
        <w:rPr>
          <w:lang w:val="en_US" w:bidi="en_US"/>
        </w:rPr>
        <w:t xml:space="preserve"> it was a custom that he must release one </w:t>
      </w:r>
      <w:r>
        <w:rPr>
          <w:lang w:val="en_US" w:bidi="en_US"/>
        </w:rPr>
        <w:t>Jewish</w:t>
      </w:r>
      <w:r>
        <w:rPr>
          <w:lang w:val="en_US" w:bidi="en_US"/>
        </w:rPr>
        <w:t xml:space="preserve"> prisoner for them during the time that </w:t>
      </w:r>
      <w:r>
        <w:rPr>
          <w:lang w:val="en_US" w:bidi="en_US"/>
        </w:rPr>
        <w:t>the Jews celebrated</w:t>
      </w:r>
      <w:r>
        <w:rPr>
          <w:lang w:val="en_US" w:bidi="en_US"/>
        </w:rPr>
        <w:t xml:space="preserve"> their Passover festival.</w:t>
      </w:r>
    </w:p>
    <w:p>
      <w:pPr/>
      <w:r>
        <w:rPr>
          <w:lang w:val="en_US" w:bidi="en_US"/>
        </w:rPr>
      </w:r>
      <w:r>
        <w:rPr>
          <w:b/>
          <w:lang w:val="en_US" w:bidi="en_US"/>
        </w:rPr>
        <w:t>the feast:</w:t>
      </w:r>
      <w:r>
        <w:rPr>
          <w:lang w:val="en_US" w:bidi="en_US"/>
        </w:rPr>
        <w:t xml:space="preserve"> The term </w:t>
      </w:r>
      <w:r>
        <w:rPr>
          <w:i/>
          <w:lang w:val="en_US" w:bidi="en_US"/>
        </w:rPr>
        <w:t>the feast</w:t>
      </w:r>
      <w:r>
        <w:rPr>
          <w:lang w:val="en_US" w:bidi="en_US"/>
        </w:rPr>
        <w:t xml:space="preserve"> refers here to the Passover </w:t>
      </w:r>
      <w:r>
        <w:rPr>
          <w:i/>
          <w:lang w:val="en_US" w:bidi="en_US"/>
        </w:rPr>
        <w:t>feast</w:t>
      </w:r>
      <w:r>
        <w:rPr>
          <w:lang w:val="en_US" w:bidi="en_US"/>
        </w:rPr>
        <w:t>. See the notes at 22:1a–b for translation suggestions.</w:t>
      </w:r>
      <w:r>
        <w:rPr>
          <w:lang w:val="en_US" w:bidi="en_US"/>
        </w:rPr>
      </w:r>
      <w:r>
        <w:rPr>
          <w:lang w:val="en_US" w:bidi="en_US"/>
        </w:rPr>
      </w:r>
    </w:p>
    <w:p>
      <w:pPr/>
      <w:r>
        <w:rPr>
          <w:lang w:val="en_US" w:bidi="en_US"/>
        </w:rPr>
      </w:r>
    </w:p>
    <w:p>
      <w:pPr>
        <w:pStyle w:val="Heading2"/>
      </w:pPr>
      <w:r>
        <w:rPr>
          <w:lang w:val="en_US" w:bidi="en_US"/>
        </w:rPr>
        <w:t>Luke 23:18</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23:18a</w:t>
      </w:r>
    </w:p>
    <w:p>
      <w:pPr/>
      <w:r>
        <w:rPr>
          <w:lang w:val="en_US" w:bidi="en_US"/>
        </w:rPr>
      </w:r>
      <w:r>
        <w:rPr>
          <w:b/>
          <w:lang w:val="en_US" w:bidi="en_US"/>
        </w:rPr>
        <w:t>But they all cried out in unison: “Away with this man!</w:t>
      </w:r>
    </w:p>
    <w:p>
      <w:pPr>
        <w:pStyle w:val="ListBullet"/>
        <w:spacing w:line="240" w:lineRule="auto"/>
        <w:ind w:left="720"/>
      </w:pPr>
      <w:r>
        <w:rPr>
          <w:lang w:val="en_US" w:bidi="en_US"/>
        </w:rPr>
      </w:r>
      <w:r>
        <w:rPr>
          <w:lang w:val="en_US" w:bidi="en_US"/>
        </w:rPr>
        <w:t>They all shouted together, “Execute/Kill</w:t>
      </w:r>
      <w:r>
        <w:rPr>
          <w:vertAlign w:val="superscript"/>
          <w:lang w:val="en_US" w:bidi="en_US"/>
        </w:rPr>
        <w:t>(sing)</w:t>
      </w:r>
      <w:r>
        <w:rPr>
          <w:lang w:val="en_US" w:bidi="en_US"/>
        </w:rPr>
        <w:t xml:space="preserve"> this man </w:t>
      </w:r>
      <w:r>
        <w:rPr>
          <w:lang w:val="en_US" w:bidi="en_US"/>
        </w:rPr>
        <w:t>Jesus</w:t>
      </w:r>
      <w:r>
        <w:rPr>
          <w:lang w:val="en_US" w:bidi="en_US"/>
        </w:rPr>
        <w:t>!</w:t>
      </w:r>
    </w:p>
    <w:p>
      <w:pPr>
        <w:pStyle w:val="ListBullet"/>
        <w:spacing w:line="240" w:lineRule="auto"/>
        <w:ind w:left="720"/>
      </w:pPr>
      <w:r>
        <w:rPr>
          <w:lang w:val="en_US" w:bidi="en_US"/>
        </w:rPr>
      </w:r>
      <w:r>
        <w:rPr>
          <w:lang w:val="en_US" w:bidi="en_US"/>
        </w:rPr>
        <w:t>The crowd shouted together, “Take</w:t>
      </w:r>
      <w:r>
        <w:rPr>
          <w:vertAlign w:val="superscript"/>
          <w:lang w:val="en_US" w:bidi="en_US"/>
        </w:rPr>
        <w:t>(sing)</w:t>
      </w:r>
      <w:r>
        <w:rPr>
          <w:lang w:val="en_US" w:bidi="en_US"/>
        </w:rPr>
        <w:t xml:space="preserve"> this man away </w:t>
      </w:r>
      <w:r>
        <w:rPr>
          <w:lang w:val="en_US" w:bidi="en_US"/>
        </w:rPr>
        <w:t>and kill him</w:t>
      </w:r>
      <w:r>
        <w:rPr>
          <w:lang w:val="en_US" w:bidi="en_US"/>
        </w:rPr>
        <w:t>!</w:t>
      </w:r>
    </w:p>
    <w:p>
      <w:pPr/>
      <w:r>
        <w:rPr>
          <w:lang w:val="en_US" w:bidi="en_US"/>
        </w:rPr>
      </w:r>
      <w:r>
        <w:rPr>
          <w:b/>
          <w:lang w:val="en_US" w:bidi="en_US"/>
        </w:rPr>
        <w:t>But they all cried out in unison:</w:t>
      </w:r>
      <w:r>
        <w:rPr>
          <w:lang w:val="en_US" w:bidi="en_US"/>
        </w:rPr>
        <w:t xml:space="preserve"> The phrase </w:t>
      </w:r>
      <w:r>
        <w:rPr>
          <w:i/>
          <w:lang w:val="en_US" w:bidi="en_US"/>
        </w:rPr>
        <w:t>they all cried out in unison</w:t>
      </w:r>
      <w:r>
        <w:rPr>
          <w:lang w:val="en_US" w:bidi="en_US"/>
        </w:rPr>
        <w:t xml:space="preserve"> indicates that the people shouted together the same thing. Here is another way to translate this:</w:t>
      </w:r>
    </w:p>
    <w:p>
      <w:pPr/>
      <w:r>
        <w:rPr>
          <w:lang w:val="en_US" w:bidi="en_US"/>
        </w:rPr>
      </w:r>
      <w:r>
        <w:rPr>
          <w:lang w:val="en_US" w:bidi="en_US"/>
        </w:rPr>
        <w:t>But there was a general outcry. (REB)</w:t>
      </w:r>
    </w:p>
    <w:p>
      <w:pPr/>
      <w:r>
        <w:rPr>
          <w:lang w:val="en_US" w:bidi="en_US"/>
        </w:rPr>
      </w:r>
      <w:r>
        <w:rPr>
          <w:b/>
          <w:lang w:val="en_US" w:bidi="en_US"/>
        </w:rPr>
        <w:t>they:</w:t>
      </w:r>
      <w:r>
        <w:rPr>
          <w:lang w:val="en_US" w:bidi="en_US"/>
        </w:rPr>
        <w:t xml:space="preserve"> The word </w:t>
      </w:r>
      <w:r>
        <w:rPr>
          <w:i/>
          <w:lang w:val="en_US" w:bidi="en_US"/>
        </w:rPr>
        <w:t>they</w:t>
      </w:r>
      <w:r>
        <w:rPr>
          <w:lang w:val="en_US" w:bidi="en_US"/>
        </w:rPr>
        <w:t xml:space="preserve"> probably refers back to “the chief priests, the rulers, and the people” in 23:13. Refer back to them here in a natural way in your language. Other ways to refer back to them are:</w:t>
      </w:r>
    </w:p>
    <w:p>
      <w:pPr/>
      <w:r>
        <w:rPr>
          <w:lang w:val="en_US" w:bidi="en_US"/>
        </w:rPr>
      </w:r>
      <w:r>
        <w:rPr>
          <w:lang w:val="en_US" w:bidi="en_US"/>
        </w:rPr>
        <w:t>the crowd and their leaders</w:t>
      </w:r>
    </w:p>
    <w:p>
      <w:pPr/>
      <w:r>
        <w:rPr>
          <w:lang w:val="en_US" w:bidi="en_US"/>
        </w:rPr>
      </w:r>
      <w:r>
        <w:rPr>
          <w:lang w:val="en_US" w:bidi="en_US"/>
        </w:rPr>
        <w:t>the people (NCV)</w:t>
      </w:r>
    </w:p>
    <w:p>
      <w:pPr/>
      <w:r>
        <w:rPr>
          <w:lang w:val="en_US" w:bidi="en_US"/>
        </w:rPr>
      </w:r>
      <w:r>
        <w:rPr>
          <w:b/>
          <w:lang w:val="en_US" w:bidi="en_US"/>
        </w:rPr>
        <w:t>Away with this man:</w:t>
      </w:r>
      <w:r>
        <w:rPr>
          <w:lang w:val="en_US" w:bidi="en_US"/>
        </w:rPr>
        <w:t xml:space="preserve"> The Greek clause that the BSB translates as </w:t>
      </w:r>
      <w:r>
        <w:rPr>
          <w:i/>
          <w:lang w:val="en_US" w:bidi="en_US"/>
        </w:rPr>
        <w:t>Away with this man</w:t>
      </w:r>
      <w:r>
        <w:rPr>
          <w:lang w:val="en_US" w:bidi="en_US"/>
        </w:rPr>
        <w:t xml:space="preserve"> is more literally “take away this one.” In this context it is used as an idiom to mean “Get rid of this man!” or “Kill this man!”</w:t>
      </w:r>
    </w:p>
    <w:p>
      <w:pPr/>
      <w:r>
        <w:rPr>
          <w:lang w:val="en_US" w:bidi="en_US"/>
        </w:rPr>
      </w:r>
      <w:r>
        <w:rPr>
          <w:lang w:val="en_US" w:bidi="en_US"/>
        </w:rPr>
        <w:t>Some ways to translate the idiom are:</w:t>
      </w:r>
    </w:p>
    <w:p>
      <w:pPr>
        <w:pStyle w:val="ListBullet"/>
        <w:spacing w:line="240" w:lineRule="auto"/>
        <w:ind w:left="720"/>
      </w:pPr>
      <w:r>
        <w:rPr>
          <w:lang w:val="en_US" w:bidi="en_US"/>
        </w:rPr>
      </w:r>
      <w:r>
        <w:rPr>
          <w:lang w:val="en_US" w:bidi="en_US"/>
        </w:rPr>
        <w:t>Translate the meaning of the idiom. For example:</w:t>
      </w:r>
      <w:r>
        <w:rPr>
          <w:lang w:val="en_US" w:bidi="en_US"/>
        </w:rPr>
        <w:t>Kill him (NLT)</w:t>
      </w:r>
      <w:r>
        <w:rPr>
          <w:lang w:val="en_US" w:bidi="en_US"/>
        </w:rPr>
        <w:t>Execute him</w:t>
      </w:r>
    </w:p>
    <w:p>
      <w:pPr>
        <w:pStyle w:val="ListBullet"/>
        <w:spacing w:line="240" w:lineRule="auto"/>
        <w:ind w:left="720"/>
      </w:pPr>
      <w:r>
        <w:rPr>
          <w:lang w:val="en_US" w:bidi="en_US"/>
        </w:rPr>
      </w:r>
      <w:r>
        <w:rPr>
          <w:lang w:val="en_US" w:bidi="en_US"/>
        </w:rPr>
        <w:t>Translate the Greek idiom literally and give the meaning. For example:</w:t>
      </w:r>
      <w:r>
        <w:rPr>
          <w:lang w:val="en_US" w:bidi="en_US"/>
        </w:rPr>
        <w:t xml:space="preserve">Take this man away </w:t>
      </w:r>
      <w:r>
        <w:rPr>
          <w:lang w:val="en_US" w:bidi="en_US"/>
        </w:rPr>
        <w:t>and kill him</w:t>
      </w:r>
      <w:r>
        <w:rPr>
          <w:lang w:val="en_US" w:bidi="en_US"/>
        </w:rPr>
        <w:t>!</w:t>
      </w:r>
    </w:p>
    <w:p>
      <w:pPr>
        <w:pStyle w:val="ListBullet"/>
        <w:spacing w:line="240" w:lineRule="auto"/>
        <w:ind w:left="720"/>
      </w:pPr>
      <w:r>
        <w:rPr>
          <w:lang w:val="en_US" w:bidi="en_US"/>
        </w:rPr>
      </w:r>
      <w:r>
        <w:rPr>
          <w:lang w:val="en_US" w:bidi="en_US"/>
        </w:rPr>
        <w:t>Use an idiom from your language that means “kill him” or “execute him.”</w:t>
      </w:r>
    </w:p>
    <w:p>
      <w:pPr>
        <w:pStyle w:val="ListBullet"/>
        <w:spacing w:line="240" w:lineRule="auto"/>
        <w:ind w:left="720"/>
      </w:pPr>
      <w:r>
        <w:rPr>
          <w:lang w:val="en_US" w:bidi="en_US"/>
        </w:rPr>
      </w:r>
      <w:r>
        <w:rPr>
          <w:lang w:val="en_US" w:bidi="en_US"/>
        </w:rPr>
        <w:t>Translate the meaning of the idiom in a clear and natural way in your language.</w:t>
      </w:r>
    </w:p>
    <w:p>
      <w:pPr/>
      <w:r>
        <w:rPr>
          <w:lang w:val="en_US" w:bidi="en_US"/>
        </w:rPr>
      </w:r>
      <w:r>
        <w:rPr>
          <w:b/>
          <w:lang w:val="en_US" w:bidi="en_US"/>
        </w:rPr>
        <w:t>this man:</w:t>
      </w:r>
      <w:r>
        <w:rPr>
          <w:lang w:val="en_US" w:bidi="en_US"/>
        </w:rPr>
        <w:t xml:space="preserve"> The Greek word that the BSB translates as </w:t>
      </w:r>
      <w:r>
        <w:rPr>
          <w:i/>
          <w:lang w:val="en_US" w:bidi="en_US"/>
        </w:rPr>
        <w:t>this man</w:t>
      </w:r>
      <w:r>
        <w:rPr>
          <w:lang w:val="en_US" w:bidi="en_US"/>
        </w:rPr>
        <w:t xml:space="preserve"> literally means “this one.” Here it was a disrespectful way to refer to Jesus. It is good to use an expression in your language that also implies disrespect.</w:t>
      </w:r>
    </w:p>
    <w:p>
      <w:pPr>
        <w:pStyle w:val="Heading5"/>
      </w:pPr>
      <w:r>
        <w:rPr>
          <w:lang w:val="en_US" w:bidi="en_US"/>
        </w:rPr>
        <w:t>23:18b</w:t>
      </w:r>
    </w:p>
    <w:p>
      <w:pPr/>
      <w:r>
        <w:rPr>
          <w:lang w:val="en_US" w:bidi="en_US"/>
        </w:rPr>
      </w:r>
      <w:r>
        <w:rPr>
          <w:b/>
          <w:lang w:val="en_US" w:bidi="en_US"/>
        </w:rPr>
        <w:t>Release Barabbas to us!”</w:t>
      </w:r>
    </w:p>
    <w:p>
      <w:pPr>
        <w:pStyle w:val="ListBullet"/>
        <w:spacing w:line="240" w:lineRule="auto"/>
        <w:ind w:left="720"/>
      </w:pPr>
      <w:r>
        <w:rPr>
          <w:lang w:val="en_US" w:bidi="en_US"/>
        </w:rPr>
      </w:r>
      <w:r>
        <w:rPr>
          <w:lang w:val="en_US" w:bidi="en_US"/>
        </w:rPr>
        <w:t>Free Barabbas for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 xml:space="preserve">Barabbas </w:t>
      </w:r>
      <w:r>
        <w:rPr>
          <w:lang w:val="en_US" w:bidi="en_US"/>
        </w:rPr>
        <w:t>is the man</w:t>
      </w:r>
      <w:r>
        <w:rPr>
          <w:lang w:val="en_US" w:bidi="en_US"/>
        </w:rPr>
        <w:t xml:space="preserve"> we</w:t>
      </w:r>
      <w:r>
        <w:rPr>
          <w:vertAlign w:val="superscript"/>
          <w:lang w:val="en_US" w:bidi="en_US"/>
        </w:rPr>
        <w:t>(excl)</w:t>
      </w:r>
      <w:r>
        <w:rPr>
          <w:lang w:val="en_US" w:bidi="en_US"/>
        </w:rPr>
        <w:t xml:space="preserve"> want you</w:t>
      </w:r>
      <w:r>
        <w:rPr>
          <w:vertAlign w:val="superscript"/>
          <w:lang w:val="en_US" w:bidi="en_US"/>
        </w:rPr>
        <w:t>(sing)</w:t>
      </w:r>
      <w:r>
        <w:rPr>
          <w:lang w:val="en_US" w:bidi="en_US"/>
        </w:rPr>
        <w:t xml:space="preserve"> to release!”</w:t>
      </w:r>
    </w:p>
    <w:p>
      <w:pPr/>
      <w:r>
        <w:rPr>
          <w:lang w:val="en_US" w:bidi="en_US"/>
        </w:rPr>
      </w:r>
      <w:r>
        <w:rPr>
          <w:b/>
          <w:lang w:val="en_US" w:bidi="en_US"/>
        </w:rPr>
        <w:t>Release Barabbas to us:</w:t>
      </w:r>
      <w:r>
        <w:rPr>
          <w:lang w:val="en_US" w:bidi="en_US"/>
        </w:rPr>
        <w:t xml:space="preserve"> Some background information is implied here. At the time when Pilate was governor of Judea, there was a custom that he must release one of the Jewish prisoners during the time of the Passover festival.</w:t>
      </w:r>
      <w:r>
        <w:rPr>
          <w:lang w:val="en_US" w:bidi="en_US"/>
        </w:rPr>
        <w:t>This is also explained in Translator’s Notes on Mark 9–16, in the notes at 15:6a–b.</w:t>
      </w:r>
      <w:r>
        <w:rPr>
          <w:lang w:val="en_US" w:bidi="en_US"/>
        </w:rPr>
        <w:t xml:space="preserve"> When the Jewish people said, </w:t>
      </w:r>
      <w:r>
        <w:rPr>
          <w:i/>
          <w:lang w:val="en_US" w:bidi="en_US"/>
        </w:rPr>
        <w:t>Release Barabbas to us</w:t>
      </w:r>
      <w:r>
        <w:rPr>
          <w:lang w:val="en_US" w:bidi="en_US"/>
        </w:rPr>
        <w:t>, they were asking Pilate to fulfill that custom by setting Barabbas free instead of Jesus.</w:t>
      </w:r>
    </w:p>
    <w:p>
      <w:pPr/>
      <w:r>
        <w:rPr>
          <w:lang w:val="en_US" w:bidi="en_US"/>
        </w:rPr>
      </w:r>
      <w:r>
        <w:rPr>
          <w:lang w:val="en_US" w:bidi="en_US"/>
        </w:rPr>
        <w:t>Some other ways to translate this clause are:</w:t>
      </w:r>
    </w:p>
    <w:p>
      <w:pPr/>
      <w:r>
        <w:rPr>
          <w:lang w:val="en_US" w:bidi="en_US"/>
        </w:rPr>
      </w:r>
      <w:r>
        <w:rPr>
          <w:lang w:val="en_US" w:bidi="en_US"/>
        </w:rPr>
        <w:t>Set Barabbas free for us! (GNT)</w:t>
      </w:r>
    </w:p>
    <w:p>
      <w:pPr/>
      <w:r>
        <w:rPr>
          <w:lang w:val="en_US" w:bidi="en_US"/>
        </w:rPr>
      </w:r>
      <w:r>
        <w:rPr>
          <w:lang w:val="en_US" w:bidi="en_US"/>
        </w:rPr>
        <w:t>Barabbas is the one we want you to release!</w:t>
      </w:r>
      <w:r>
        <w:rPr>
          <w:lang w:val="en_US" w:bidi="en_US"/>
        </w:rPr>
        <w:t>Kankanaey back translation on TW.</w:t>
      </w:r>
    </w:p>
    <w:p>
      <w:pPr/>
      <w:r>
        <w:rPr>
          <w:lang w:val="en_US" w:bidi="en_US"/>
        </w:rPr>
      </w:r>
      <w:r>
        <w:rPr>
          <w:lang w:val="en_US" w:bidi="en_US"/>
        </w:rPr>
        <w:t>Instead of him,</w:t>
      </w:r>
      <w:r>
        <w:rPr>
          <w:lang w:val="en_US" w:bidi="en_US"/>
        </w:rPr>
        <w:t xml:space="preserve"> we want Barabbas to be freed!</w:t>
      </w:r>
      <w:r>
        <w:rPr>
          <w:lang w:val="en_US" w:bidi="en_US"/>
        </w:rPr>
      </w:r>
      <w:r>
        <w:rPr>
          <w:lang w:val="en_US" w:bidi="en_US"/>
        </w:rPr>
      </w:r>
    </w:p>
    <w:p>
      <w:pPr/>
      <w:r>
        <w:rPr>
          <w:lang w:val="en_US" w:bidi="en_US"/>
        </w:rPr>
      </w:r>
    </w:p>
    <w:p>
      <w:pPr>
        <w:pStyle w:val="Heading2"/>
      </w:pPr>
      <w:r>
        <w:rPr>
          <w:lang w:val="en_US" w:bidi="en_US"/>
        </w:rPr>
        <w:t>Luke 23:19</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23:19</w:t>
      </w:r>
    </w:p>
    <w:p>
      <w:pPr/>
      <w:r>
        <w:rPr>
          <w:lang w:val="en_US" w:bidi="en_US"/>
        </w:rPr>
      </w:r>
      <w:r>
        <w:rPr>
          <w:lang w:val="en_US" w:bidi="en_US"/>
        </w:rPr>
        <w:t>In this verse Luke gave background information about Barabbas. He continued the main story in 23:20. That is why the BSB puts 23:19 in parentheses. The RSV uses a dash to separate this verse from 23:18. Use a natural way in your language to show that 23:19 is background information.</w:t>
      </w:r>
    </w:p>
    <w:p>
      <w:pPr>
        <w:pStyle w:val="Heading5"/>
      </w:pPr>
      <w:r>
        <w:rPr>
          <w:lang w:val="en_US" w:bidi="en_US"/>
        </w:rPr>
        <w:t>23:19a</w:t>
      </w:r>
    </w:p>
    <w:p>
      <w:pPr/>
      <w:r>
        <w:rPr>
          <w:lang w:val="en_US" w:bidi="en_US"/>
        </w:rPr>
      </w:r>
      <w:r>
        <w:rPr>
          <w:b/>
          <w:lang w:val="en_US" w:bidi="en_US"/>
        </w:rPr>
        <w:t>(Barabbas had been imprisoned</w:t>
      </w:r>
    </w:p>
    <w:p>
      <w:pPr>
        <w:pStyle w:val="ListBullet"/>
        <w:spacing w:line="240" w:lineRule="auto"/>
        <w:ind w:left="720"/>
      </w:pPr>
      <w:r>
        <w:rPr>
          <w:lang w:val="en_US" w:bidi="en_US"/>
        </w:rPr>
      </w:r>
      <w:r>
        <w:rPr>
          <w:lang w:val="en_US" w:bidi="en_US"/>
        </w:rPr>
        <w:t>Barabbas was imprisoned/confined</w:t>
      </w:r>
    </w:p>
    <w:p>
      <w:pPr>
        <w:pStyle w:val="ListBullet"/>
        <w:spacing w:line="240" w:lineRule="auto"/>
        <w:ind w:left="720"/>
      </w:pPr>
      <w:r>
        <w:rPr>
          <w:lang w:val="en_US" w:bidi="en_US"/>
        </w:rPr>
      </w:r>
      <w:r>
        <w:rPr>
          <w:lang w:val="en_US" w:bidi="en_US"/>
        </w:rPr>
        <w:t>They/Soldiers</w:t>
      </w:r>
      <w:r>
        <w:rPr>
          <w:lang w:val="en_US" w:bidi="en_US"/>
        </w:rPr>
        <w:t xml:space="preserve"> had put Barabbas in prison</w:t>
      </w:r>
    </w:p>
    <w:p>
      <w:pPr>
        <w:pStyle w:val="ListBullet"/>
        <w:spacing w:line="240" w:lineRule="auto"/>
        <w:ind w:left="720"/>
      </w:pPr>
      <w:r>
        <w:rPr>
          <w:lang w:val="en_US" w:bidi="en_US"/>
        </w:rPr>
      </w:r>
      <w:r>
        <w:rPr>
          <w:lang w:val="en_US" w:bidi="en_US"/>
        </w:rPr>
        <w:t>Barabbas was in prison/jail</w:t>
      </w:r>
    </w:p>
    <w:p>
      <w:pPr/>
      <w:r>
        <w:rPr>
          <w:lang w:val="en_US" w:bidi="en_US"/>
        </w:rPr>
      </w:r>
      <w:r>
        <w:rPr>
          <w:b/>
          <w:lang w:val="en_US" w:bidi="en_US"/>
        </w:rPr>
        <w:t>Barabbas had been imprisoned:</w:t>
      </w:r>
      <w:r>
        <w:rPr>
          <w:lang w:val="en_US" w:bidi="en_US"/>
        </w:rPr>
        <w:t xml:space="preserve"> The Greek phrase that the BSB translates as </w:t>
      </w:r>
      <w:r>
        <w:rPr>
          <w:i/>
          <w:lang w:val="en_US" w:bidi="en_US"/>
        </w:rPr>
        <w:t>had been imprisoned</w:t>
      </w:r>
      <w:r>
        <w:rPr>
          <w:lang w:val="en_US" w:bidi="en_US"/>
        </w:rPr>
        <w:t xml:space="preserve"> is an idiom that means “was put in prison.” The clause is passive. In some languages it may be more natural to translate it without using a passive verb. For example:</w:t>
      </w:r>
    </w:p>
    <w:p>
      <w:pPr/>
      <w:r>
        <w:rPr>
          <w:lang w:val="en_US" w:bidi="en_US"/>
        </w:rPr>
      </w:r>
      <w:r>
        <w:rPr>
          <w:lang w:val="en_US" w:bidi="en_US"/>
        </w:rPr>
        <w:t>Barabbas was in prison (NLT)</w:t>
      </w:r>
    </w:p>
    <w:p>
      <w:pPr/>
      <w:r>
        <w:rPr>
          <w:lang w:val="en_US" w:bidi="en_US"/>
        </w:rPr>
      </w:r>
      <w:r>
        <w:rPr>
          <w:lang w:val="en_US" w:bidi="en_US"/>
        </w:rPr>
        <w:t>If you must indicate who put Barabbas in prison, use an appropriate subject in your language. For example:</w:t>
      </w:r>
    </w:p>
    <w:p>
      <w:pPr/>
      <w:r>
        <w:rPr>
          <w:lang w:val="en_US" w:bidi="en_US"/>
        </w:rPr>
      </w:r>
      <w:r>
        <w:rPr>
          <w:lang w:val="en_US" w:bidi="en_US"/>
        </w:rPr>
        <w:t>Officers</w:t>
      </w:r>
      <w:r>
        <w:rPr>
          <w:lang w:val="en_US" w:bidi="en_US"/>
        </w:rPr>
        <w:t xml:space="preserve"> had put Barabbas in prison</w:t>
      </w:r>
    </w:p>
    <w:p>
      <w:pPr/>
      <w:r>
        <w:rPr>
          <w:lang w:val="en_US" w:bidi="en_US"/>
        </w:rPr>
      </w:r>
      <w:r>
        <w:rPr>
          <w:lang w:val="en_US" w:bidi="en_US"/>
        </w:rPr>
        <w:t>Pilate’s men</w:t>
      </w:r>
      <w:r>
        <w:rPr>
          <w:lang w:val="en_US" w:bidi="en_US"/>
        </w:rPr>
        <w:t xml:space="preserve"> had imprisoned Barabbas</w:t>
      </w:r>
    </w:p>
    <w:p>
      <w:pPr>
        <w:pStyle w:val="Heading5"/>
      </w:pPr>
      <w:r>
        <w:rPr>
          <w:lang w:val="en_US" w:bidi="en_US"/>
        </w:rPr>
        <w:t>23:19b</w:t>
      </w:r>
    </w:p>
    <w:p>
      <w:pPr/>
      <w:r>
        <w:rPr>
          <w:lang w:val="en_US" w:bidi="en_US"/>
        </w:rPr>
      </w:r>
      <w:r>
        <w:rPr>
          <w:b/>
          <w:lang w:val="en_US" w:bidi="en_US"/>
        </w:rPr>
        <w:t>for an insurrection in the city,</w:t>
      </w:r>
    </w:p>
    <w:p>
      <w:pPr>
        <w:pStyle w:val="ListBullet"/>
        <w:spacing w:line="240" w:lineRule="auto"/>
        <w:ind w:left="720"/>
      </w:pPr>
      <w:r>
        <w:rPr>
          <w:lang w:val="en_US" w:bidi="en_US"/>
        </w:rPr>
      </w:r>
      <w:r>
        <w:rPr>
          <w:lang w:val="en_US" w:bidi="en_US"/>
        </w:rPr>
        <w:t xml:space="preserve">for fighting in a riot/revolt </w:t>
      </w:r>
      <w:r>
        <w:rPr>
          <w:lang w:val="en_US" w:bidi="en_US"/>
        </w:rPr>
        <w:t>that had occurred/happened</w:t>
      </w:r>
      <w:r>
        <w:rPr>
          <w:lang w:val="en_US" w:bidi="en_US"/>
        </w:rPr>
        <w:t xml:space="preserve"> in the city </w:t>
      </w:r>
      <w:r>
        <w:rPr>
          <w:lang w:val="en_US" w:bidi="en_US"/>
        </w:rPr>
        <w:t>of Jerusalem</w:t>
      </w:r>
      <w:r>
        <w:rPr>
          <w:lang w:val="en_US" w:bidi="en_US"/>
        </w:rPr>
        <w:t>,</w:t>
      </w:r>
    </w:p>
    <w:p>
      <w:pPr>
        <w:pStyle w:val="ListBullet"/>
        <w:spacing w:line="240" w:lineRule="auto"/>
        <w:ind w:left="720"/>
      </w:pPr>
      <w:r>
        <w:rPr>
          <w:lang w:val="en_US" w:bidi="en_US"/>
        </w:rPr>
      </w:r>
      <w:r>
        <w:rPr>
          <w:lang w:val="en_US" w:bidi="en_US"/>
        </w:rPr>
        <w:t xml:space="preserve">because he had rioted </w:t>
      </w:r>
      <w:r>
        <w:rPr>
          <w:lang w:val="en_US" w:bidi="en_US"/>
        </w:rPr>
        <w:t>with others</w:t>
      </w:r>
      <w:r>
        <w:rPr>
          <w:lang w:val="en_US" w:bidi="en_US"/>
        </w:rPr>
        <w:t xml:space="preserve"> in </w:t>
      </w:r>
      <w:r>
        <w:rPr>
          <w:lang w:val="en_US" w:bidi="en_US"/>
        </w:rPr>
        <w:t>Jerusalem</w:t>
      </w:r>
    </w:p>
    <w:p>
      <w:pPr>
        <w:pStyle w:val="Heading5"/>
      </w:pPr>
      <w:r>
        <w:rPr>
          <w:lang w:val="en_US" w:bidi="en_US"/>
        </w:rPr>
        <w:t>23:19c</w:t>
      </w:r>
    </w:p>
    <w:p>
      <w:pPr/>
      <w:r>
        <w:rPr>
          <w:lang w:val="en_US" w:bidi="en_US"/>
        </w:rPr>
      </w:r>
      <w:r>
        <w:rPr>
          <w:b/>
          <w:lang w:val="en_US" w:bidi="en_US"/>
        </w:rPr>
        <w:t>and for murder.)</w:t>
      </w:r>
    </w:p>
    <w:p>
      <w:pPr>
        <w:pStyle w:val="ListBullet"/>
        <w:spacing w:line="240" w:lineRule="auto"/>
        <w:ind w:left="720"/>
      </w:pPr>
      <w:r>
        <w:rPr>
          <w:lang w:val="en_US" w:bidi="en_US"/>
        </w:rPr>
      </w:r>
      <w:r>
        <w:rPr>
          <w:lang w:val="en_US" w:bidi="en_US"/>
        </w:rPr>
        <w:t xml:space="preserve">and for murdering/killing </w:t>
      </w:r>
      <w:r>
        <w:rPr>
          <w:lang w:val="en_US" w:bidi="en_US"/>
        </w:rPr>
        <w:t>someone</w:t>
      </w:r>
      <w:r>
        <w:rPr>
          <w:lang w:val="en_US" w:bidi="en_US"/>
        </w:rPr>
        <w:t>.</w:t>
      </w:r>
    </w:p>
    <w:p>
      <w:pPr>
        <w:pStyle w:val="ListBullet"/>
        <w:spacing w:line="240" w:lineRule="auto"/>
        <w:ind w:left="720"/>
      </w:pPr>
      <w:r>
        <w:rPr>
          <w:lang w:val="en_US" w:bidi="en_US"/>
        </w:rPr>
      </w:r>
      <w:r>
        <w:rPr>
          <w:lang w:val="en_US" w:bidi="en_US"/>
        </w:rPr>
        <w:t xml:space="preserve">and because he had murdered </w:t>
      </w:r>
      <w:r>
        <w:rPr>
          <w:lang w:val="en_US" w:bidi="en_US"/>
        </w:rPr>
        <w:t>someone</w:t>
      </w:r>
      <w:r>
        <w:rPr>
          <w:lang w:val="en_US" w:bidi="en_US"/>
        </w:rPr>
        <w:t>.</w:t>
      </w:r>
    </w:p>
    <w:p>
      <w:pPr>
        <w:pStyle w:val="Heading5"/>
      </w:pPr>
      <w:r>
        <w:rPr>
          <w:lang w:val="en_US" w:bidi="en_US"/>
        </w:rPr>
        <w:t>23:19b–c</w:t>
      </w:r>
    </w:p>
    <w:p>
      <w:pPr/>
      <w:r>
        <w:rPr>
          <w:lang w:val="en_US" w:bidi="en_US"/>
        </w:rPr>
      </w:r>
      <w:r>
        <w:rPr>
          <w:b/>
          <w:lang w:val="en_US" w:bidi="en_US"/>
        </w:rPr>
        <w:t>for an insurrection in the city, and for murder:</w:t>
      </w:r>
      <w:r>
        <w:rPr>
          <w:lang w:val="en_US" w:bidi="en_US"/>
        </w:rPr>
        <w:t xml:space="preserve"> The phrases </w:t>
      </w:r>
      <w:r>
        <w:rPr>
          <w:i/>
          <w:lang w:val="en_US" w:bidi="en_US"/>
        </w:rPr>
        <w:t>for an insurrection in the city</w:t>
      </w:r>
      <w:r>
        <w:rPr>
          <w:lang w:val="en_US" w:bidi="en_US"/>
        </w:rPr>
        <w:t xml:space="preserve"> and </w:t>
      </w:r>
      <w:r>
        <w:rPr>
          <w:i/>
          <w:lang w:val="en_US" w:bidi="en_US"/>
        </w:rPr>
        <w:t>for murder</w:t>
      </w:r>
      <w:r>
        <w:rPr>
          <w:lang w:val="en_US" w:bidi="en_US"/>
        </w:rPr>
        <w:t xml:space="preserve"> tell the reasons why Barabbas was put in prison. The phrase </w:t>
      </w:r>
      <w:r>
        <w:rPr>
          <w:i/>
          <w:lang w:val="en_US" w:bidi="en_US"/>
        </w:rPr>
        <w:t>for an insurrection</w:t>
      </w:r>
      <w:r>
        <w:rPr>
          <w:lang w:val="en_US" w:bidi="en_US"/>
        </w:rPr>
        <w:t xml:space="preserve"> probably indicates here that Barabbas fought along with other people against the government. This fight happened in the city of Jerusalem. It is not clear whether Barabbas started this fight or whether he was just one of the fighters. He also murdered someone. Another way to translate these reasons are:</w:t>
      </w:r>
    </w:p>
    <w:p>
      <w:pPr/>
      <w:r>
        <w:rPr>
          <w:lang w:val="en_US" w:bidi="en_US"/>
        </w:rPr>
      </w:r>
      <w:r>
        <w:rPr>
          <w:lang w:val="en_US" w:bidi="en_US"/>
        </w:rPr>
        <w:t>because of his part in an insurrection/rebellion in the city and because he committed murder</w:t>
      </w:r>
    </w:p>
    <w:p>
      <w:pPr/>
      <w:r>
        <w:rPr>
          <w:lang w:val="en_US" w:bidi="en_US"/>
        </w:rPr>
      </w:r>
      <w:r>
        <w:rPr>
          <w:lang w:val="en_US" w:bidi="en_US"/>
        </w:rPr>
        <w:t xml:space="preserve">because he fought in a riot in the city and he murdered </w:t>
      </w:r>
      <w:r>
        <w:rPr>
          <w:lang w:val="en_US" w:bidi="en_US"/>
        </w:rPr>
        <w:t>someone</w:t>
      </w:r>
    </w:p>
    <w:p>
      <w:pPr/>
      <w:r>
        <w:rPr>
          <w:lang w:val="en_US" w:bidi="en_US"/>
        </w:rPr>
      </w:r>
      <w:r>
        <w:rPr>
          <w:b/>
          <w:lang w:val="en_US" w:bidi="en_US"/>
        </w:rPr>
        <w:t>an insurrection in the city:</w:t>
      </w:r>
      <w:r>
        <w:rPr>
          <w:lang w:val="en_US" w:bidi="en_US"/>
        </w:rPr>
        <w:t xml:space="preserve"> The Greek phrase that the BSB translates as </w:t>
      </w:r>
      <w:r>
        <w:rPr>
          <w:i/>
          <w:lang w:val="en_US" w:bidi="en_US"/>
        </w:rPr>
        <w:t>an insurrection in the city</w:t>
      </w:r>
      <w:r>
        <w:rPr>
          <w:lang w:val="en_US" w:bidi="en_US"/>
        </w:rPr>
        <w:t xml:space="preserve"> literally means “a riot/rebellion that happened in the city.” The word </w:t>
      </w:r>
      <w:r>
        <w:rPr>
          <w:i/>
          <w:lang w:val="en_US" w:bidi="en_US"/>
        </w:rPr>
        <w:t>insurrection</w:t>
      </w:r>
      <w:r>
        <w:rPr>
          <w:lang w:val="en_US" w:bidi="en_US"/>
        </w:rPr>
        <w:t xml:space="preserve"> implies that men were fighting against the government.</w:t>
      </w:r>
      <w:r>
        <w:rPr>
          <w:lang w:val="en_US" w:bidi="en_US"/>
        </w:rPr>
        <w:t xml:space="preserve">See BDAG (p. 940) </w:t>
      </w:r>
      <w:r>
        <w:rPr>
          <w:i/>
          <w:lang w:val="en_US" w:bidi="en_US"/>
        </w:rPr>
        <w:t>stasis</w:t>
      </w:r>
      <w:r>
        <w:rPr>
          <w:lang w:val="en_US" w:bidi="en_US"/>
        </w:rPr>
        <w:t xml:space="preserve">, meaning 2: “movement toward a (new) state of affairs, </w:t>
      </w:r>
      <w:r>
        <w:rPr>
          <w:i/>
          <w:lang w:val="en_US" w:bidi="en_US"/>
        </w:rPr>
        <w:t>uprising, riot, revolt, rebellion</w:t>
      </w:r>
      <w:r>
        <w:rPr>
          <w:lang w:val="en_US" w:bidi="en_US"/>
        </w:rPr>
        <w:t>….against the civil authority….”</w:t>
      </w:r>
      <w:r>
        <w:rPr>
          <w:lang w:val="en_US" w:bidi="en_US"/>
        </w:rPr>
        <w:t xml:space="preserve"> It is likely that these men were Jews who were fighting against Roman soldiers. Those soldiers probably worked for the Roman government in the city of Jerusalem.</w:t>
      </w:r>
    </w:p>
    <w:p>
      <w:pPr/>
      <w:r>
        <w:rPr>
          <w:lang w:val="en_US" w:bidi="en_US"/>
        </w:rPr>
      </w:r>
      <w:r>
        <w:rPr>
          <w:lang w:val="en_US" w:bidi="en_US"/>
        </w:rPr>
        <w:t xml:space="preserve">Some other ways to translate the phrase </w:t>
      </w:r>
      <w:r>
        <w:rPr>
          <w:i/>
          <w:lang w:val="en_US" w:bidi="en_US"/>
        </w:rPr>
        <w:t>an insurrection in the city</w:t>
      </w:r>
      <w:r>
        <w:rPr>
          <w:lang w:val="en_US" w:bidi="en_US"/>
        </w:rPr>
        <w:t xml:space="preserve"> are:</w:t>
      </w:r>
    </w:p>
    <w:p>
      <w:pPr/>
      <w:r>
        <w:rPr>
          <w:lang w:val="en_US" w:bidi="en_US"/>
        </w:rPr>
      </w:r>
      <w:r>
        <w:rPr>
          <w:lang w:val="en_US" w:bidi="en_US"/>
        </w:rPr>
        <w:t>he and others in the city fought against the government</w:t>
      </w:r>
    </w:p>
    <w:p>
      <w:pPr/>
      <w:r>
        <w:rPr>
          <w:lang w:val="en_US" w:bidi="en_US"/>
        </w:rPr>
      </w:r>
      <w:r>
        <w:rPr>
          <w:lang w:val="en_US" w:bidi="en_US"/>
        </w:rPr>
        <w:t>a riot in Jerusalem</w:t>
      </w:r>
    </w:p>
    <w:p>
      <w:pPr/>
      <w:r>
        <w:rPr>
          <w:lang w:val="en_US" w:bidi="en_US"/>
        </w:rPr>
      </w:r>
      <w:r>
        <w:rPr>
          <w:b/>
          <w:lang w:val="en_US" w:bidi="en_US"/>
        </w:rPr>
        <w:t>murder:</w:t>
      </w:r>
      <w:r>
        <w:rPr>
          <w:lang w:val="en_US" w:bidi="en_US"/>
        </w:rPr>
        <w:t xml:space="preserve"> The word </w:t>
      </w:r>
      <w:r>
        <w:rPr>
          <w:i/>
          <w:lang w:val="en_US" w:bidi="en_US"/>
        </w:rPr>
        <w:t>murder</w:t>
      </w:r>
      <w:r>
        <w:rPr>
          <w:lang w:val="en_US" w:bidi="en_US"/>
        </w:rPr>
        <w:t xml:space="preserve"> indicates here that Barabbas unlawfully killed someone.</w:t>
      </w:r>
    </w:p>
    <w:p>
      <w:pPr>
        <w:pStyle w:val="Heading6"/>
      </w:pPr>
      <w:r>
        <w:rPr>
          <w:b/>
          <w:lang w:val="en_US" w:bidi="en_US"/>
        </w:rPr>
        <w:t>General Comment on 23:19a–c</w:t>
      </w:r>
    </w:p>
    <w:p>
      <w:pPr/>
      <w:r>
        <w:rPr>
          <w:lang w:val="en_US" w:bidi="en_US"/>
        </w:rPr>
      </w:r>
      <w:r>
        <w:rPr>
          <w:lang w:val="en_US" w:bidi="en_US"/>
        </w:rPr>
        <w:t>In this verse 23:19b–c is the reason for 23:19a. In some languages it may be more natural to put the reason at the beginning of the verse. For example:</w:t>
      </w:r>
    </w:p>
    <w:p>
      <w:pPr/>
      <w:r>
        <w:rPr>
          <w:lang w:val="en_US" w:bidi="en_US"/>
        </w:rPr>
      </w:r>
      <w:r>
        <w:rPr>
          <w:vertAlign w:val="superscript"/>
          <w:lang w:val="en_US" w:bidi="en_US"/>
        </w:rPr>
        <w:t>19b</w:t>
      </w:r>
      <w:r>
        <w:rPr>
          <w:lang w:val="en_US" w:bidi="en_US"/>
        </w:rPr>
        <w:t xml:space="preserve">Barabbas had taken part in a riot in the city </w:t>
      </w:r>
      <w:r>
        <w:rPr>
          <w:vertAlign w:val="superscript"/>
          <w:lang w:val="en_US" w:bidi="en_US"/>
        </w:rPr>
        <w:t>19c</w:t>
      </w:r>
      <w:r>
        <w:rPr>
          <w:lang w:val="en_US" w:bidi="en_US"/>
        </w:rPr>
        <w:t xml:space="preserve">and had murdered someone. </w:t>
      </w:r>
      <w:r>
        <w:rPr>
          <w:vertAlign w:val="superscript"/>
          <w:lang w:val="en_US" w:bidi="en_US"/>
        </w:rPr>
        <w:t>19a</w:t>
      </w:r>
      <w:r>
        <w:rPr>
          <w:lang w:val="en_US" w:bidi="en_US"/>
        </w:rPr>
        <w:t>That is why he was put in prison.</w:t>
      </w:r>
      <w:r>
        <w:rPr>
          <w:lang w:val="en_US" w:bidi="en_US"/>
        </w:rPr>
      </w:r>
      <w:r>
        <w:rPr>
          <w:lang w:val="en_US" w:bidi="en_US"/>
        </w:rPr>
      </w:r>
    </w:p>
    <w:p>
      <w:pPr/>
      <w:r>
        <w:rPr>
          <w:lang w:val="en_US" w:bidi="en_US"/>
        </w:rPr>
      </w:r>
    </w:p>
    <w:p>
      <w:pPr>
        <w:pStyle w:val="Heading2"/>
      </w:pPr>
      <w:r>
        <w:rPr>
          <w:lang w:val="en_US" w:bidi="en_US"/>
        </w:rPr>
        <w:t>Luke 23:20</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23:20</w:t>
      </w:r>
    </w:p>
    <w:p>
      <w:pPr/>
      <w:r>
        <w:rPr>
          <w:lang w:val="en_US" w:bidi="en_US"/>
        </w:rPr>
      </w:r>
      <w:r>
        <w:rPr>
          <w:b/>
          <w:lang w:val="en_US" w:bidi="en_US"/>
        </w:rPr>
        <w:t>Wanting to release Jesus, Pilate addressed them again,</w:t>
      </w:r>
    </w:p>
    <w:p>
      <w:pPr>
        <w:pStyle w:val="ListBullet"/>
        <w:spacing w:line="240" w:lineRule="auto"/>
        <w:ind w:left="720"/>
      </w:pPr>
      <w:r>
        <w:rPr>
          <w:lang w:val="en_US" w:bidi="en_US"/>
        </w:rPr>
      </w:r>
      <w:r>
        <w:rPr>
          <w:lang w:val="en_US" w:bidi="en_US"/>
        </w:rPr>
        <w:t>Pilate wanted to release Jesus, so he appealed/spoke to the people again.</w:t>
      </w:r>
    </w:p>
    <w:p>
      <w:pPr>
        <w:pStyle w:val="ListBullet"/>
        <w:spacing w:line="240" w:lineRule="auto"/>
        <w:ind w:left="720"/>
      </w:pPr>
      <w:r>
        <w:rPr>
          <w:lang w:val="en_US" w:bidi="en_US"/>
        </w:rPr>
      </w:r>
      <w:r>
        <w:rPr>
          <w:lang w:val="en_US" w:bidi="en_US"/>
        </w:rPr>
        <w:t xml:space="preserve">Again Pilate talked to the people </w:t>
      </w:r>
      <w:r>
        <w:rPr>
          <w:lang w:val="en_US" w:bidi="en_US"/>
        </w:rPr>
        <w:t>about Jesus</w:t>
      </w:r>
      <w:r>
        <w:rPr>
          <w:lang w:val="en_US" w:bidi="en_US"/>
        </w:rPr>
        <w:t xml:space="preserve"> because Pilate wanted to free him.</w:t>
      </w:r>
    </w:p>
    <w:p>
      <w:pPr/>
      <w:r>
        <w:rPr>
          <w:lang w:val="en_US" w:bidi="en_US"/>
        </w:rPr>
      </w:r>
      <w:r>
        <w:rPr>
          <w:b/>
          <w:lang w:val="en_US" w:bidi="en_US"/>
        </w:rPr>
        <w:t>Wanting to release Jesus, Pilate addressed them again:</w:t>
      </w:r>
      <w:r>
        <w:rPr>
          <w:lang w:val="en_US" w:bidi="en_US"/>
        </w:rPr>
        <w:t xml:space="preserve"> The Greek phrase that the BSB translates as </w:t>
      </w:r>
      <w:r>
        <w:rPr>
          <w:i/>
          <w:lang w:val="en_US" w:bidi="en_US"/>
        </w:rPr>
        <w:t>Wanting to release Jesus</w:t>
      </w:r>
      <w:r>
        <w:rPr>
          <w:lang w:val="en_US" w:bidi="en_US"/>
        </w:rPr>
        <w:t xml:space="preserve"> gives the reason why Pilate appealed to the people again. He spoke to them again about Jesus, because he wanted to let him go free. In Greek the word order is different, as in the NLT:</w:t>
      </w:r>
    </w:p>
    <w:p>
      <w:pPr/>
      <w:r>
        <w:rPr>
          <w:lang w:val="en_US" w:bidi="en_US"/>
        </w:rPr>
      </w:r>
      <w:r>
        <w:rPr>
          <w:lang w:val="en_US" w:bidi="en_US"/>
        </w:rPr>
        <w:t>Pilate argued with them, because he wanted to release Jesus. (NLT)</w:t>
      </w:r>
    </w:p>
    <w:p>
      <w:pPr/>
      <w:r>
        <w:rPr>
          <w:lang w:val="en_US" w:bidi="en_US"/>
        </w:rPr>
      </w:r>
      <w:r>
        <w:rPr>
          <w:lang w:val="en_US" w:bidi="en_US"/>
        </w:rPr>
        <w:t>Use a natural order in your language. The context implies that Pilate wanted to release Jesus because Pilate knew that Jesus was innocent. In some languages it may be necessary to include this implied information. For example:</w:t>
      </w:r>
    </w:p>
    <w:p>
      <w:pPr/>
      <w:r>
        <w:rPr>
          <w:lang w:val="en_US" w:bidi="en_US"/>
        </w:rPr>
      </w:r>
      <w:r>
        <w:rPr>
          <w:lang w:val="en_US" w:bidi="en_US"/>
        </w:rPr>
        <w:t xml:space="preserve">Pilate </w:t>
      </w:r>
      <w:r>
        <w:rPr>
          <w:lang w:val="en_US" w:bidi="en_US"/>
        </w:rPr>
        <w:t>knew that Jesus was innocent and</w:t>
      </w:r>
      <w:r>
        <w:rPr>
          <w:lang w:val="en_US" w:bidi="en_US"/>
        </w:rPr>
        <w:t xml:space="preserve"> wanted to release him, so he spoke to the people again.</w:t>
      </w:r>
    </w:p>
    <w:p>
      <w:pPr/>
      <w:r>
        <w:rPr>
          <w:lang w:val="en_US" w:bidi="en_US"/>
        </w:rPr>
      </w:r>
      <w:r>
        <w:rPr>
          <w:b/>
          <w:lang w:val="en_US" w:bidi="en_US"/>
        </w:rPr>
        <w:t>Pilate addressed them again:</w:t>
      </w:r>
      <w:r>
        <w:rPr>
          <w:lang w:val="en_US" w:bidi="en_US"/>
        </w:rPr>
        <w:t xml:space="preserve"> The Greek word that the BSB translates as </w:t>
      </w:r>
      <w:r>
        <w:rPr>
          <w:i/>
          <w:lang w:val="en_US" w:bidi="en_US"/>
        </w:rPr>
        <w:t>addressed</w:t>
      </w:r>
      <w:r>
        <w:rPr>
          <w:lang w:val="en_US" w:bidi="en_US"/>
        </w:rPr>
        <w:t xml:space="preserve"> literally means “called to,” or “talked to.” Pilate called out to the people. The text does not indicate exactly what he said. He may have said the same thing he had said in 23:14–16.</w:t>
      </w:r>
      <w:r>
        <w:rPr>
          <w:lang w:val="en_US" w:bidi="en_US"/>
        </w:rPr>
      </w:r>
      <w:r>
        <w:rPr>
          <w:lang w:val="en_US" w:bidi="en_US"/>
        </w:rPr>
      </w:r>
    </w:p>
    <w:p>
      <w:pPr/>
      <w:r>
        <w:rPr>
          <w:lang w:val="en_US" w:bidi="en_US"/>
        </w:rPr>
      </w:r>
    </w:p>
    <w:p>
      <w:pPr>
        <w:pStyle w:val="Heading2"/>
      </w:pPr>
      <w:r>
        <w:rPr>
          <w:lang w:val="en_US" w:bidi="en_US"/>
        </w:rPr>
        <w:t>Luke 23:21</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23:21a</w:t>
      </w:r>
    </w:p>
    <w:p>
      <w:pPr/>
      <w:r>
        <w:rPr>
          <w:lang w:val="en_US" w:bidi="en_US"/>
        </w:rPr>
      </w:r>
      <w:r>
        <w:rPr>
          <w:b/>
          <w:lang w:val="en_US" w:bidi="en_US"/>
        </w:rPr>
        <w:t>but they kept shouting,</w:t>
      </w:r>
    </w:p>
    <w:p>
      <w:pPr>
        <w:pStyle w:val="ListBullet"/>
        <w:spacing w:line="240" w:lineRule="auto"/>
        <w:ind w:left="720"/>
      </w:pPr>
      <w:r>
        <w:rPr>
          <w:lang w:val="en_US" w:bidi="en_US"/>
        </w:rPr>
      </w:r>
      <w:r>
        <w:rPr>
          <w:lang w:val="en_US" w:bidi="en_US"/>
        </w:rPr>
        <w:t>But they shouted repeatedly,</w:t>
      </w:r>
    </w:p>
    <w:p>
      <w:pPr>
        <w:pStyle w:val="ListBullet"/>
        <w:spacing w:line="240" w:lineRule="auto"/>
        <w:ind w:left="720"/>
      </w:pPr>
      <w:r>
        <w:rPr>
          <w:lang w:val="en_US" w:bidi="en_US"/>
        </w:rPr>
      </w:r>
      <w:r>
        <w:rPr>
          <w:lang w:val="en_US" w:bidi="en_US"/>
        </w:rPr>
        <w:t>But they continued to yell/call,</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statement by the people that directly and strongly contrasts with what Pilate had hoped and wanted in 23:20. Instead of releasing Jesus, the people wanted Pilate to have Jesus crucified.</w:t>
      </w:r>
    </w:p>
    <w:p>
      <w:pPr/>
      <w:r>
        <w:rPr>
          <w:lang w:val="en_US" w:bidi="en_US"/>
        </w:rPr>
      </w:r>
      <w:r>
        <w:rPr>
          <w:b/>
          <w:lang w:val="en_US" w:bidi="en_US"/>
        </w:rPr>
        <w:t>they kept shouting:</w:t>
      </w:r>
      <w:r>
        <w:rPr>
          <w:lang w:val="en_US" w:bidi="en_US"/>
        </w:rPr>
        <w:t xml:space="preserve"> The Greek word that the BSB translates as </w:t>
      </w:r>
      <w:r>
        <w:rPr>
          <w:i/>
          <w:lang w:val="en_US" w:bidi="en_US"/>
        </w:rPr>
        <w:t>they kept shouting</w:t>
      </w:r>
      <w:r>
        <w:rPr>
          <w:lang w:val="en_US" w:bidi="en_US"/>
        </w:rPr>
        <w:t xml:space="preserve"> indicates that the people continued to shout for some time. They yelled the same words many times. They were shouting these words back to Pilate as their answer to him. Some other ways to translate this are:</w:t>
      </w:r>
    </w:p>
    <w:p>
      <w:pPr/>
      <w:r>
        <w:rPr>
          <w:lang w:val="en_US" w:bidi="en_US"/>
        </w:rPr>
      </w:r>
      <w:r>
        <w:rPr>
          <w:lang w:val="en_US" w:bidi="en_US"/>
        </w:rPr>
        <w:t>they repeatedly shouted</w:t>
      </w:r>
      <w:r>
        <w:rPr>
          <w:lang w:val="en_US" w:bidi="en_US"/>
        </w:rPr>
        <w:t>Kankanaey back translation on TW.</w:t>
      </w:r>
    </w:p>
    <w:p>
      <w:pPr/>
      <w:r>
        <w:rPr>
          <w:lang w:val="en_US" w:bidi="en_US"/>
        </w:rPr>
      </w:r>
      <w:r>
        <w:rPr>
          <w:lang w:val="en_US" w:bidi="en_US"/>
        </w:rPr>
        <w:t>they just continued to yell/call again and again</w:t>
      </w:r>
    </w:p>
    <w:p>
      <w:pPr/>
      <w:r>
        <w:rPr>
          <w:lang w:val="en_US" w:bidi="en_US"/>
        </w:rPr>
      </w:r>
      <w:r>
        <w:rPr>
          <w:lang w:val="en_US" w:bidi="en_US"/>
        </w:rPr>
        <w:t xml:space="preserve">they </w:t>
      </w:r>
      <w:r>
        <w:rPr>
          <w:lang w:val="en_US" w:bidi="en_US"/>
        </w:rPr>
        <w:t>answered</w:t>
      </w:r>
      <w:r>
        <w:rPr>
          <w:lang w:val="en_US" w:bidi="en_US"/>
        </w:rPr>
        <w:t xml:space="preserve"> </w:t>
      </w:r>
      <w:r>
        <w:rPr>
          <w:lang w:val="en_US" w:bidi="en_US"/>
        </w:rPr>
        <w:t>him</w:t>
      </w:r>
      <w:r>
        <w:rPr>
          <w:lang w:val="en_US" w:bidi="en_US"/>
        </w:rPr>
        <w:t>, shouting over and over</w:t>
      </w:r>
    </w:p>
    <w:p>
      <w:pPr>
        <w:pStyle w:val="Heading5"/>
      </w:pPr>
      <w:r>
        <w:rPr>
          <w:lang w:val="en_US" w:bidi="en_US"/>
        </w:rPr>
        <w:t>23:21b</w:t>
      </w:r>
    </w:p>
    <w:p>
      <w:pPr/>
      <w:r>
        <w:rPr>
          <w:lang w:val="en_US" w:bidi="en_US"/>
        </w:rPr>
      </w:r>
      <w:r>
        <w:rPr>
          <w:b/>
          <w:lang w:val="en_US" w:bidi="en_US"/>
        </w:rPr>
        <w:t>“Crucify Him! Crucify Him!”</w:t>
      </w:r>
    </w:p>
    <w:p>
      <w:pPr>
        <w:pStyle w:val="ListBullet"/>
        <w:spacing w:line="240" w:lineRule="auto"/>
        <w:ind w:left="720"/>
      </w:pPr>
      <w:r>
        <w:rPr>
          <w:lang w:val="en_US" w:bidi="en_US"/>
        </w:rPr>
      </w:r>
      <w:r>
        <w:rPr>
          <w:lang w:val="en_US" w:bidi="en_US"/>
        </w:rPr>
        <w:t>“Put/Nail</w:t>
      </w:r>
      <w:r>
        <w:rPr>
          <w:vertAlign w:val="superscript"/>
          <w:lang w:val="en_US" w:bidi="en_US"/>
        </w:rPr>
        <w:t>(sing)</w:t>
      </w:r>
      <w:r>
        <w:rPr>
          <w:lang w:val="en_US" w:bidi="en_US"/>
        </w:rPr>
        <w:t xml:space="preserve"> him on a cross to die! Put/Nail</w:t>
      </w:r>
      <w:r>
        <w:rPr>
          <w:vertAlign w:val="superscript"/>
          <w:lang w:val="en_US" w:bidi="en_US"/>
        </w:rPr>
        <w:t>(sing)</w:t>
      </w:r>
      <w:r>
        <w:rPr>
          <w:lang w:val="en_US" w:bidi="en_US"/>
        </w:rPr>
        <w:t xml:space="preserve"> him on a cross to die!”</w:t>
      </w:r>
    </w:p>
    <w:p>
      <w:pPr>
        <w:pStyle w:val="ListBullet"/>
        <w:spacing w:line="240" w:lineRule="auto"/>
        <w:ind w:left="720"/>
      </w:pPr>
      <w:r>
        <w:rPr>
          <w:lang w:val="en_US" w:bidi="en_US"/>
        </w:rPr>
      </w:r>
      <w:r>
        <w:rPr>
          <w:lang w:val="en_US" w:bidi="en_US"/>
        </w:rPr>
        <w:t>“Execute/Kill</w:t>
      </w:r>
      <w:r>
        <w:rPr>
          <w:vertAlign w:val="superscript"/>
          <w:lang w:val="en_US" w:bidi="en_US"/>
        </w:rPr>
        <w:t>(sing)</w:t>
      </w:r>
      <w:r>
        <w:rPr>
          <w:lang w:val="en_US" w:bidi="en_US"/>
        </w:rPr>
        <w:t xml:space="preserve"> him on a death post!”</w:t>
      </w:r>
    </w:p>
    <w:p>
      <w:pPr/>
      <w:r>
        <w:rPr>
          <w:lang w:val="en_US" w:bidi="en_US"/>
        </w:rPr>
      </w:r>
      <w:r>
        <w:rPr>
          <w:b/>
          <w:lang w:val="en_US" w:bidi="en_US"/>
        </w:rPr>
        <w:t>Crucify Him! Crucify Him!:</w:t>
      </w:r>
      <w:r>
        <w:rPr>
          <w:lang w:val="en_US" w:bidi="en_US"/>
        </w:rPr>
        <w:t xml:space="preserve"> The phrase </w:t>
      </w:r>
      <w:r>
        <w:rPr>
          <w:i/>
          <w:lang w:val="en_US" w:bidi="en_US"/>
        </w:rPr>
        <w:t>Crucify Him!</w:t>
      </w:r>
      <w:r>
        <w:rPr>
          <w:lang w:val="en_US" w:bidi="en_US"/>
        </w:rPr>
        <w:t xml:space="preserve"> is repeated for emphasis. The people were urgently demanding that Pilate crucify Jesus. In some languages it may be more natural to say it only once and emphasize it in a different way. This is especially true if the term for </w:t>
      </w:r>
      <w:r>
        <w:rPr>
          <w:i/>
          <w:lang w:val="en_US" w:bidi="en_US"/>
        </w:rPr>
        <w:t>Crucify</w:t>
      </w:r>
      <w:r>
        <w:rPr>
          <w:lang w:val="en_US" w:bidi="en_US"/>
        </w:rPr>
        <w:t xml:space="preserve"> has several words.</w:t>
      </w:r>
    </w:p>
    <w:p>
      <w:pPr/>
      <w:r>
        <w:rPr>
          <w:lang w:val="en_US" w:bidi="en_US"/>
        </w:rPr>
      </w:r>
      <w:r>
        <w:rPr>
          <w:lang w:val="en_US" w:bidi="en_US"/>
        </w:rPr>
        <w:t>Here the crowd did not expect Pilate to crucify Jesus himself. He would order his soldiers to do it. In some languages it may be necessary to make this clear. For example:</w:t>
      </w:r>
    </w:p>
    <w:p>
      <w:pPr/>
      <w:r>
        <w:rPr>
          <w:lang w:val="en_US" w:bidi="en_US"/>
        </w:rPr>
      </w:r>
      <w:r>
        <w:rPr>
          <w:lang w:val="en_US" w:bidi="en_US"/>
        </w:rPr>
        <w:t>Cause him to be killed/executed on a cross!</w:t>
      </w:r>
    </w:p>
    <w:p>
      <w:pPr/>
      <w:r>
        <w:rPr>
          <w:lang w:val="en_US" w:bidi="en_US"/>
        </w:rPr>
      </w:r>
      <w:r>
        <w:rPr>
          <w:lang w:val="en_US" w:bidi="en_US"/>
        </w:rPr>
        <w:t>Order</w:t>
      </w:r>
      <w:r>
        <w:rPr>
          <w:lang w:val="en_US" w:bidi="en_US"/>
        </w:rPr>
        <w:t xml:space="preserve"> </w:t>
      </w:r>
      <w:r>
        <w:rPr>
          <w:vertAlign w:val="superscript"/>
          <w:lang w:val="en_US" w:bidi="en_US"/>
        </w:rPr>
        <w:t>(sing)</w:t>
      </w:r>
      <w:r>
        <w:rPr>
          <w:lang w:val="en_US" w:bidi="en_US"/>
        </w:rPr>
        <w:t xml:space="preserve"> </w:t>
      </w:r>
      <w:r>
        <w:rPr>
          <w:lang w:val="en_US" w:bidi="en_US"/>
        </w:rPr>
        <w:t>your soldiers to</w:t>
      </w:r>
      <w:r>
        <w:rPr>
          <w:lang w:val="en_US" w:bidi="en_US"/>
        </w:rPr>
        <w:t xml:space="preserve"> nail/fasten him to a cross to kill him!</w:t>
      </w:r>
    </w:p>
    <w:p>
      <w:pPr/>
      <w:r>
        <w:rPr>
          <w:lang w:val="en_US" w:bidi="en_US"/>
        </w:rPr>
      </w:r>
      <w:r>
        <w:rPr>
          <w:b/>
          <w:lang w:val="en_US" w:bidi="en_US"/>
        </w:rPr>
        <w:t>Crucify Him:</w:t>
      </w:r>
      <w:r>
        <w:rPr>
          <w:lang w:val="en_US" w:bidi="en_US"/>
        </w:rPr>
        <w:t xml:space="preserve"> The word </w:t>
      </w:r>
      <w:r>
        <w:rPr>
          <w:i/>
          <w:lang w:val="en_US" w:bidi="en_US"/>
        </w:rPr>
        <w:t>Crucify</w:t>
      </w:r>
      <w:r>
        <w:rPr>
          <w:lang w:val="en_US" w:bidi="en_US"/>
        </w:rPr>
        <w:t xml:space="preserve"> (and “crucifixion”) refers to a method that Romans used to execute criminals. They nailed or tied the living criminal to a stake or to two large beams of wood that were joined in the form of a cross (+). They set the cross upright in the ground. Then they left the criminal on the cross until he died. Crucifixion was a slow and painful death.</w:t>
      </w:r>
    </w:p>
    <w:p>
      <w:pPr/>
      <w:r>
        <w:rPr>
          <w:lang w:val="en_US" w:bidi="en_US"/>
        </w:rPr>
      </w:r>
      <w:r>
        <w:rPr>
          <w:lang w:val="en_US" w:bidi="en_US"/>
        </w:rPr>
        <w:t xml:space="preserve">Some ways to translate </w:t>
      </w:r>
      <w:r>
        <w:rPr>
          <w:i/>
          <w:lang w:val="en_US" w:bidi="en_US"/>
        </w:rPr>
        <w:t>Crucify Him</w:t>
      </w:r>
      <w:r>
        <w:rPr>
          <w:lang w:val="en_US" w:bidi="en_US"/>
        </w:rPr>
        <w:t xml:space="preserve"> are:</w:t>
      </w:r>
    </w:p>
    <w:p>
      <w:pPr/>
      <w:r>
        <w:rPr>
          <w:lang w:val="en_US" w:bidi="en_US"/>
        </w:rPr>
      </w:r>
      <w:r>
        <w:rPr>
          <w:lang w:val="en_US" w:bidi="en_US"/>
        </w:rPr>
        <w:t>Kill him on a cross!</w:t>
      </w:r>
    </w:p>
    <w:p>
      <w:pPr/>
      <w:r>
        <w:rPr>
          <w:lang w:val="en_US" w:bidi="en_US"/>
        </w:rPr>
      </w:r>
      <w:r>
        <w:rPr>
          <w:lang w:val="en_US" w:bidi="en_US"/>
        </w:rPr>
        <w:t>Nail him to the cross/post so that he dies!</w:t>
      </w:r>
    </w:p>
    <w:p>
      <w:pPr/>
      <w:r>
        <w:rPr>
          <w:lang w:val="en_US" w:bidi="en_US"/>
        </w:rPr>
      </w:r>
      <w:r>
        <w:rPr>
          <w:lang w:val="en_US" w:bidi="en_US"/>
        </w:rPr>
        <w:t xml:space="preserve">In some languages the term for </w:t>
      </w:r>
      <w:r>
        <w:rPr>
          <w:i/>
          <w:lang w:val="en_US" w:bidi="en_US"/>
        </w:rPr>
        <w:t>Crucify</w:t>
      </w:r>
      <w:r>
        <w:rPr>
          <w:lang w:val="en_US" w:bidi="en_US"/>
        </w:rPr>
        <w:t xml:space="preserve"> will need to include a word for “cross.” Some ways to translate the word “cross” are:</w:t>
      </w:r>
    </w:p>
    <w:p>
      <w:pPr/>
      <w:r>
        <w:rPr>
          <w:lang w:val="en_US" w:bidi="en_US"/>
        </w:rPr>
      </w:r>
      <w:r>
        <w:rPr>
          <w:lang w:val="en_US" w:bidi="en_US"/>
        </w:rPr>
        <w:t>plank/wood of death</w:t>
      </w:r>
    </w:p>
    <w:p>
      <w:pPr/>
      <w:r>
        <w:rPr>
          <w:lang w:val="en_US" w:bidi="en_US"/>
        </w:rPr>
      </w:r>
      <w:r>
        <w:rPr>
          <w:lang w:val="en_US" w:bidi="en_US"/>
        </w:rPr>
        <w:t>crossed-beam(s) of death</w:t>
      </w:r>
    </w:p>
    <w:p>
      <w:pPr/>
      <w:r>
        <w:rPr>
          <w:lang w:val="en_US" w:bidi="en_US"/>
        </w:rPr>
      </w:r>
      <w:r>
        <w:rPr>
          <w:lang w:val="en_US" w:bidi="en_US"/>
        </w:rPr>
        <w:t>a tree for killing people</w:t>
      </w:r>
    </w:p>
    <w:p>
      <w:pPr/>
      <w:r>
        <w:rPr>
          <w:lang w:val="en_US" w:bidi="en_US"/>
        </w:rPr>
      </w:r>
      <w:r>
        <w:rPr>
          <w:lang w:val="en_US" w:bidi="en_US"/>
        </w:rPr>
        <w:t xml:space="preserve">a stake/post to which they fasten/nail someone </w:t>
      </w:r>
      <w:r>
        <w:rPr>
          <w:lang w:val="en_US" w:bidi="en_US"/>
        </w:rPr>
        <w:t>to kill him</w:t>
      </w:r>
    </w:p>
    <w:p>
      <w:pPr/>
      <w:r>
        <w:rPr>
          <w:lang w:val="en_US" w:bidi="en_US"/>
        </w:rPr>
      </w:r>
      <w:r>
        <w:rPr>
          <w:lang w:val="en_US" w:bidi="en_US"/>
        </w:rPr>
        <w:t>You may want to include a footnote to explain more about crucifixion. For example:</w:t>
      </w:r>
    </w:p>
    <w:p>
      <w:pPr/>
      <w:r>
        <w:rPr>
          <w:lang w:val="en_US" w:bidi="en_US"/>
        </w:rPr>
      </w:r>
      <w:r>
        <w:rPr>
          <w:lang w:val="en_US" w:bidi="en_US"/>
        </w:rPr>
        <w:t>One Roman method to execute a criminal was to crucify him. They crossed two large pieces of wood and joined them together. Then soldiers nailed or tied the criminal’s arms to one piece of wood and his feet to the other. They set the cross upright and allowed him to die a slow and painful death on it.</w:t>
      </w:r>
      <w:r>
        <w:rPr>
          <w:lang w:val="en_US" w:bidi="en_US"/>
        </w:rPr>
      </w:r>
      <w:r>
        <w:rPr>
          <w:lang w:val="en_US" w:bidi="en_US"/>
        </w:rPr>
      </w:r>
    </w:p>
    <w:p>
      <w:pPr/>
      <w:r>
        <w:rPr>
          <w:lang w:val="en_US" w:bidi="en_US"/>
        </w:rPr>
      </w:r>
    </w:p>
    <w:p>
      <w:pPr>
        <w:pStyle w:val="Heading2"/>
      </w:pPr>
      <w:r>
        <w:rPr>
          <w:lang w:val="en_US" w:bidi="en_US"/>
        </w:rPr>
        <w:t>Luke 23:22</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23:22a</w:t>
      </w:r>
    </w:p>
    <w:p>
      <w:pPr/>
      <w:r>
        <w:rPr>
          <w:lang w:val="en_US" w:bidi="en_US"/>
        </w:rPr>
      </w:r>
      <w:r>
        <w:rPr>
          <w:b/>
          <w:lang w:val="en_US" w:bidi="en_US"/>
        </w:rPr>
        <w:t>A third time he said to them,</w:t>
      </w:r>
    </w:p>
    <w:p>
      <w:pPr>
        <w:pStyle w:val="ListBullet"/>
        <w:spacing w:line="240" w:lineRule="auto"/>
        <w:ind w:left="720"/>
      </w:pPr>
      <w:r>
        <w:rPr>
          <w:lang w:val="en_US" w:bidi="en_US"/>
        </w:rPr>
      </w:r>
      <w:r>
        <w:rPr>
          <w:lang w:val="en_US" w:bidi="en_US"/>
        </w:rPr>
        <w:t>Then Pilate spoke to them a third time, saying,</w:t>
      </w:r>
    </w:p>
    <w:p>
      <w:pPr>
        <w:pStyle w:val="ListBullet"/>
        <w:spacing w:line="240" w:lineRule="auto"/>
        <w:ind w:left="720"/>
      </w:pPr>
      <w:r>
        <w:rPr>
          <w:lang w:val="en_US" w:bidi="en_US"/>
        </w:rPr>
      </w:r>
      <w:r>
        <w:rPr>
          <w:lang w:val="en_US" w:bidi="en_US"/>
        </w:rPr>
        <w:t xml:space="preserve">Again Pilate appealed to them </w:t>
      </w:r>
      <w:r>
        <w:rPr>
          <w:lang w:val="en_US" w:bidi="en_US"/>
        </w:rPr>
        <w:t>about Jesus</w:t>
      </w:r>
      <w:r>
        <w:rPr>
          <w:lang w:val="en_US" w:bidi="en_US"/>
        </w:rPr>
        <w:t xml:space="preserve"> for the third time. He said,</w:t>
      </w:r>
    </w:p>
    <w:p>
      <w:pPr/>
      <w:r>
        <w:rPr>
          <w:lang w:val="en_US" w:bidi="en_US"/>
        </w:rPr>
      </w:r>
      <w:r>
        <w:rPr>
          <w:b/>
          <w:lang w:val="en_US" w:bidi="en_US"/>
        </w:rPr>
        <w:t>A third time he said to them:</w:t>
      </w:r>
      <w:r>
        <w:rPr>
          <w:lang w:val="en_US" w:bidi="en_US"/>
        </w:rPr>
        <w:t xml:space="preserve"> The phrase </w:t>
      </w:r>
      <w:r>
        <w:rPr>
          <w:i/>
          <w:lang w:val="en_US" w:bidi="en_US"/>
        </w:rPr>
        <w:t>A third time</w:t>
      </w:r>
      <w:r>
        <w:rPr>
          <w:lang w:val="en_US" w:bidi="en_US"/>
        </w:rPr>
        <w:t xml:space="preserve"> indicates that Pilate had already appealed to the crowd twice about Jesus (in 23:14 and 23:20).</w:t>
      </w:r>
      <w:r>
        <w:rPr>
          <w:lang w:val="en_US" w:bidi="en_US"/>
        </w:rPr>
        <w:t>Pilate also mentioned Jesus’ innocence in 23:4, but the three times referred to in 23:22 are probably the three successive times after Jesus returned from Herod.</w:t>
      </w:r>
      <w:r>
        <w:rPr>
          <w:lang w:val="en_US" w:bidi="en_US"/>
        </w:rPr>
        <w:t xml:space="preserve"> He had told them that Jesus was innocent and did not deserve the death penalty. When he repeated these facts to the people in this verse, it was the third time that he had told them those things.</w:t>
      </w:r>
    </w:p>
    <w:p>
      <w:pPr/>
      <w:r>
        <w:rPr>
          <w:lang w:val="en_US" w:bidi="en_US"/>
        </w:rPr>
      </w:r>
      <w:r>
        <w:rPr>
          <w:lang w:val="en_US" w:bidi="en_US"/>
        </w:rPr>
        <w:t>Some other ways to translate this part of the verse are:</w:t>
      </w:r>
    </w:p>
    <w:p>
      <w:pPr/>
      <w:r>
        <w:rPr>
          <w:lang w:val="en_US" w:bidi="en_US"/>
        </w:rPr>
      </w:r>
      <w:r>
        <w:rPr>
          <w:lang w:val="en_US" w:bidi="en_US"/>
        </w:rPr>
        <w:t>Then Pilate said to them a third time</w:t>
      </w:r>
    </w:p>
    <w:p>
      <w:pPr/>
      <w:r>
        <w:rPr>
          <w:lang w:val="en_US" w:bidi="en_US"/>
        </w:rPr>
      </w:r>
      <w:r>
        <w:rPr>
          <w:lang w:val="en_US" w:bidi="en_US"/>
        </w:rPr>
        <w:t>Pilate had already appealed to the people twice. But he appealed to them again and asked</w:t>
      </w:r>
    </w:p>
    <w:p>
      <w:pPr>
        <w:pStyle w:val="Heading5"/>
      </w:pPr>
      <w:r>
        <w:rPr>
          <w:lang w:val="en_US" w:bidi="en_US"/>
        </w:rPr>
        <w:t>23:22b</w:t>
      </w:r>
    </w:p>
    <w:p>
      <w:pPr/>
      <w:r>
        <w:rPr>
          <w:lang w:val="en_US" w:bidi="en_US"/>
        </w:rPr>
      </w:r>
      <w:r>
        <w:rPr>
          <w:b/>
          <w:lang w:val="en_US" w:bidi="en_US"/>
        </w:rPr>
        <w:t>“What evil has this man done?</w:t>
      </w:r>
    </w:p>
    <w:p>
      <w:pPr>
        <w:pStyle w:val="ListBullet"/>
        <w:spacing w:line="240" w:lineRule="auto"/>
        <w:ind w:left="720"/>
      </w:pPr>
      <w:r>
        <w:rPr>
          <w:lang w:val="en_US" w:bidi="en_US"/>
        </w:rPr>
      </w:r>
      <w:r>
        <w:rPr>
          <w:lang w:val="en_US" w:bidi="en_US"/>
        </w:rPr>
        <w:t>“Why? What is the crime that he has done?</w:t>
      </w:r>
    </w:p>
    <w:p>
      <w:pPr>
        <w:pStyle w:val="ListBullet"/>
        <w:spacing w:line="240" w:lineRule="auto"/>
        <w:ind w:left="720"/>
      </w:pPr>
      <w:r>
        <w:rPr>
          <w:lang w:val="en_US" w:bidi="en_US"/>
        </w:rPr>
      </w:r>
      <w:r>
        <w:rPr>
          <w:lang w:val="en_US" w:bidi="en_US"/>
        </w:rPr>
        <w:t>“But what wrong/evil thing has this man done?</w:t>
      </w:r>
    </w:p>
    <w:p>
      <w:pPr>
        <w:pStyle w:val="ListBullet"/>
        <w:spacing w:line="240" w:lineRule="auto"/>
        <w:ind w:left="720"/>
      </w:pPr>
      <w:r>
        <w:rPr>
          <w:lang w:val="en_US" w:bidi="en_US"/>
        </w:rPr>
      </w:r>
      <w:r>
        <w:rPr>
          <w:lang w:val="en_US" w:bidi="en_US"/>
        </w:rPr>
        <w:t>“Then tell/show me what offense he has done/committed.</w:t>
      </w:r>
    </w:p>
    <w:p>
      <w:pPr/>
      <w:r>
        <w:rPr>
          <w:lang w:val="en_US" w:bidi="en_US"/>
        </w:rPr>
      </w:r>
      <w:r>
        <w:rPr>
          <w:lang w:val="en_US" w:bidi="en_US"/>
        </w:rPr>
        <w:t>In Greek, 23:22b begins with a conjunction that is often translated as “for.” It introduces an argument against what the crowd wanted to do. It implies that there is no reason to crucify Jesus, so many English versions translate it as “Why,” as in the NIV. The GNT translates it as “But.” The BSB does not translate this word, so translate it in a natural way in your language.</w:t>
      </w:r>
    </w:p>
    <w:p>
      <w:pPr/>
      <w:r>
        <w:rPr>
          <w:lang w:val="en_US" w:bidi="en_US"/>
        </w:rPr>
      </w:r>
      <w:r>
        <w:rPr>
          <w:b/>
          <w:lang w:val="en_US" w:bidi="en_US"/>
        </w:rPr>
        <w:t>What evil has this man done?:</w:t>
      </w:r>
      <w:r>
        <w:rPr>
          <w:lang w:val="en_US" w:bidi="en_US"/>
        </w:rPr>
        <w:t xml:space="preserve"> Here Pilate asked the people to tell him what crime Jesus had done. There are two ways to translate the question:</w:t>
      </w:r>
    </w:p>
    <w:p>
      <w:pPr>
        <w:pStyle w:val="ListBullet"/>
        <w:spacing w:line="240" w:lineRule="auto"/>
        <w:ind w:left="720"/>
      </w:pPr>
      <w:r>
        <w:rPr>
          <w:lang w:val="en_US" w:bidi="en_US"/>
        </w:rPr>
      </w:r>
      <w:r>
        <w:rPr>
          <w:lang w:val="en_US" w:bidi="en_US"/>
        </w:rPr>
        <w:t>Translate it as a question. For example:</w:t>
      </w:r>
      <w:r>
        <w:rPr>
          <w:lang w:val="en_US" w:bidi="en_US"/>
        </w:rPr>
        <w:t>What is his crime, then? (JBP)</w:t>
      </w:r>
      <w:r>
        <w:rPr>
          <w:lang w:val="en_US" w:bidi="en_US"/>
        </w:rPr>
        <w:t>What has he done wrong? (GW)</w:t>
      </w:r>
      <w:r>
        <w:rPr>
          <w:lang w:val="en_US" w:bidi="en_US"/>
        </w:rPr>
        <w:t>…what evil has this man done? (NASB)</w:t>
      </w:r>
    </w:p>
    <w:p>
      <w:pPr>
        <w:pStyle w:val="ListBullet"/>
        <w:spacing w:line="240" w:lineRule="auto"/>
        <w:ind w:left="720"/>
      </w:pPr>
      <w:r>
        <w:rPr>
          <w:lang w:val="en_US" w:bidi="en_US"/>
        </w:rPr>
      </w:r>
      <w:r>
        <w:rPr>
          <w:lang w:val="en_US" w:bidi="en_US"/>
        </w:rPr>
        <w:t>Translate it as a command or demand. For example:</w:t>
      </w:r>
      <w:r>
        <w:rPr>
          <w:lang w:val="en_US" w:bidi="en_US"/>
        </w:rPr>
        <w:t>Tell me what crime he has done then.</w:t>
      </w:r>
      <w:r>
        <w:rPr>
          <w:lang w:val="en_US" w:bidi="en_US"/>
        </w:rPr>
        <w:t>You must tell me what bad thing he has done.</w:t>
      </w:r>
    </w:p>
    <w:p>
      <w:pPr/>
      <w:r>
        <w:rPr>
          <w:lang w:val="en_US" w:bidi="en_US"/>
        </w:rPr>
      </w:r>
      <w:r>
        <w:rPr>
          <w:lang w:val="en_US" w:bidi="en_US"/>
        </w:rPr>
        <w:t>Translate Pilate’s words in a way that fits this context in your language.</w:t>
      </w:r>
    </w:p>
    <w:p>
      <w:pPr/>
      <w:r>
        <w:rPr>
          <w:lang w:val="en_US" w:bidi="en_US"/>
        </w:rPr>
      </w:r>
      <w:r>
        <w:rPr>
          <w:b/>
          <w:lang w:val="en_US" w:bidi="en_US"/>
        </w:rPr>
        <w:t>evil:</w:t>
      </w:r>
      <w:r>
        <w:rPr>
          <w:lang w:val="en_US" w:bidi="en_US"/>
        </w:rPr>
        <w:t xml:space="preserve"> The Greek word that the BSB translates as </w:t>
      </w:r>
      <w:r>
        <w:rPr>
          <w:i/>
          <w:lang w:val="en_US" w:bidi="en_US"/>
        </w:rPr>
        <w:t>evil</w:t>
      </w:r>
      <w:r>
        <w:rPr>
          <w:lang w:val="en_US" w:bidi="en_US"/>
        </w:rPr>
        <w:t xml:space="preserve"> is a general word that refers to anything wrong or evil. In this context it refers to bad or wrong behavior that was against Roman law. See the examples in the preceding note for translation suggestions.</w:t>
      </w:r>
    </w:p>
    <w:p>
      <w:pPr>
        <w:pStyle w:val="Heading5"/>
      </w:pPr>
      <w:r>
        <w:rPr>
          <w:lang w:val="en_US" w:bidi="en_US"/>
        </w:rPr>
        <w:t>23:22c</w:t>
      </w:r>
    </w:p>
    <w:p>
      <w:pPr/>
      <w:r>
        <w:rPr>
          <w:lang w:val="en_US" w:bidi="en_US"/>
        </w:rPr>
      </w:r>
      <w:r>
        <w:rPr>
          <w:b/>
          <w:lang w:val="en_US" w:bidi="en_US"/>
        </w:rPr>
        <w:t>I have found in Him no offense worthy of death.</w:t>
      </w:r>
    </w:p>
    <w:p>
      <w:pPr>
        <w:pStyle w:val="ListBullet"/>
        <w:spacing w:line="240" w:lineRule="auto"/>
        <w:ind w:left="720"/>
      </w:pPr>
      <w:r>
        <w:rPr>
          <w:lang w:val="en_US" w:bidi="en_US"/>
        </w:rPr>
      </w:r>
      <w:r>
        <w:rPr>
          <w:lang w:val="en_US" w:bidi="en_US"/>
        </w:rPr>
        <w:t>I see/know no reason to sentence him to die.</w:t>
      </w:r>
    </w:p>
    <w:p>
      <w:pPr>
        <w:pStyle w:val="ListBullet"/>
        <w:spacing w:line="240" w:lineRule="auto"/>
        <w:ind w:left="720"/>
      </w:pPr>
      <w:r>
        <w:rPr>
          <w:lang w:val="en_US" w:bidi="en_US"/>
        </w:rPr>
      </w:r>
      <w:r>
        <w:rPr>
          <w:lang w:val="en_US" w:bidi="en_US"/>
        </w:rPr>
        <w:t>I have not heard/discovered any evidence to show that he deserves death.</w:t>
      </w:r>
    </w:p>
    <w:p>
      <w:pPr/>
      <w:r>
        <w:rPr>
          <w:lang w:val="en_US" w:bidi="en_US"/>
        </w:rPr>
      </w:r>
      <w:r>
        <w:rPr>
          <w:b/>
          <w:lang w:val="en_US" w:bidi="en_US"/>
        </w:rPr>
        <w:t>I have found in Him no offense worthy of death:</w:t>
      </w:r>
      <w:r>
        <w:rPr>
          <w:lang w:val="en_US" w:bidi="en_US"/>
        </w:rPr>
        <w:t xml:space="preserve"> This statement is similar to what Pilate said in 23:4 and 23:15. It indicates that Pilate had not discovered any reason to execute Jesus. The phrase </w:t>
      </w:r>
      <w:r>
        <w:rPr>
          <w:i/>
          <w:lang w:val="en_US" w:bidi="en_US"/>
        </w:rPr>
        <w:t>no offense worthy</w:t>
      </w:r>
      <w:r>
        <w:rPr>
          <w:lang w:val="en_US" w:bidi="en_US"/>
        </w:rPr>
        <w:t xml:space="preserve"> are the same words that the BSB translated as “no basis” in 23:4. Other ways to translate the statement are:</w:t>
      </w:r>
    </w:p>
    <w:p>
      <w:pPr/>
      <w:r>
        <w:rPr>
          <w:lang w:val="en_US" w:bidi="en_US"/>
        </w:rPr>
      </w:r>
      <w:r>
        <w:rPr>
          <w:lang w:val="en_US" w:bidi="en_US"/>
        </w:rPr>
        <w:t>I cannot find anything he has done to deserve death! (GNT)</w:t>
      </w:r>
    </w:p>
    <w:p>
      <w:pPr/>
      <w:r>
        <w:rPr>
          <w:lang w:val="en_US" w:bidi="en_US"/>
        </w:rPr>
      </w:r>
      <w:r>
        <w:rPr>
          <w:lang w:val="en_US" w:bidi="en_US"/>
        </w:rPr>
        <w:t>I have found no reason to sentence him to death. (NLT)</w:t>
      </w:r>
    </w:p>
    <w:p>
      <w:pPr/>
      <w:r>
        <w:rPr>
          <w:lang w:val="en_US" w:bidi="en_US"/>
        </w:rPr>
      </w:r>
      <w:r>
        <w:rPr>
          <w:lang w:val="en_US" w:bidi="en_US"/>
        </w:rPr>
        <w:t>See the notes on 23:4b and 23:15c for more information and translation suggestions.</w:t>
      </w:r>
    </w:p>
    <w:p>
      <w:pPr>
        <w:pStyle w:val="Heading5"/>
      </w:pPr>
      <w:r>
        <w:rPr>
          <w:lang w:val="en_US" w:bidi="en_US"/>
        </w:rPr>
        <w:t>23:22d</w:t>
      </w:r>
    </w:p>
    <w:p>
      <w:pPr/>
      <w:r>
        <w:rPr>
          <w:lang w:val="en_US" w:bidi="en_US"/>
        </w:rPr>
      </w:r>
      <w:r>
        <w:rPr>
          <w:b/>
          <w:lang w:val="en_US" w:bidi="en_US"/>
        </w:rPr>
        <w:t>So after I punish Him, I will release Him.”</w:t>
      </w:r>
    </w:p>
    <w:p>
      <w:pPr>
        <w:pStyle w:val="ListBullet"/>
        <w:spacing w:line="240" w:lineRule="auto"/>
        <w:ind w:left="720"/>
      </w:pPr>
      <w:r>
        <w:rPr>
          <w:lang w:val="en_US" w:bidi="en_US"/>
        </w:rPr>
      </w:r>
      <w:r>
        <w:rPr>
          <w:lang w:val="en_US" w:bidi="en_US"/>
        </w:rPr>
        <w:t>So I will just order him to be whipped, and then I will release him.”</w:t>
      </w:r>
    </w:p>
    <w:p>
      <w:pPr>
        <w:pStyle w:val="ListBullet"/>
        <w:spacing w:line="240" w:lineRule="auto"/>
        <w:ind w:left="720"/>
      </w:pPr>
      <w:r>
        <w:rPr>
          <w:lang w:val="en_US" w:bidi="en_US"/>
        </w:rPr>
      </w:r>
      <w:r>
        <w:rPr>
          <w:lang w:val="en_US" w:bidi="en_US"/>
        </w:rPr>
        <w:t xml:space="preserve">So I will </w:t>
      </w:r>
      <w:r>
        <w:rPr>
          <w:lang w:val="en_US" w:bidi="en_US"/>
        </w:rPr>
        <w:t>tell my soldiers only to</w:t>
      </w:r>
      <w:r>
        <w:rPr>
          <w:lang w:val="en_US" w:bidi="en_US"/>
        </w:rPr>
        <w:t xml:space="preserve"> whip/beat him, and then I will allow him to go free.”</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introduces the logical result of Pilate’s statement in 23:22c. The NIV translates this conjunction as “Therefore.” You should introduce this logical result in a way that is natural in your language.</w:t>
      </w:r>
    </w:p>
    <w:p>
      <w:pPr/>
      <w:r>
        <w:rPr>
          <w:lang w:val="en_US" w:bidi="en_US"/>
        </w:rPr>
      </w:r>
      <w:r>
        <w:rPr>
          <w:b/>
          <w:lang w:val="en_US" w:bidi="en_US"/>
        </w:rPr>
        <w:t>after I punish Him, I will release Him:</w:t>
      </w:r>
      <w:r>
        <w:rPr>
          <w:lang w:val="en_US" w:bidi="en_US"/>
        </w:rPr>
        <w:t xml:space="preserve"> In Greek this statement is the same as what Pilate said in 23:16, though the BSB translates it slightly differently here. You may translate it in the same way or a similar way as you did in 23:16. See the notes at 23:16 for more information and translation suggestions.</w:t>
      </w:r>
      <w:r>
        <w:rPr>
          <w:lang w:val="en_US" w:bidi="en_US"/>
        </w:rPr>
      </w:r>
      <w:r>
        <w:rPr>
          <w:lang w:val="en_US" w:bidi="en_US"/>
        </w:rPr>
      </w:r>
    </w:p>
    <w:p>
      <w:pPr/>
      <w:r>
        <w:rPr>
          <w:lang w:val="en_US" w:bidi="en_US"/>
        </w:rPr>
      </w:r>
    </w:p>
    <w:p>
      <w:pPr>
        <w:pStyle w:val="Heading2"/>
      </w:pPr>
      <w:r>
        <w:rPr>
          <w:lang w:val="en_US" w:bidi="en_US"/>
        </w:rPr>
        <w:t>Luke 23:23</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23:23a</w:t>
      </w:r>
    </w:p>
    <w:p>
      <w:pPr/>
      <w:r>
        <w:rPr>
          <w:lang w:val="en_US" w:bidi="en_US"/>
        </w:rPr>
      </w:r>
      <w:r>
        <w:rPr>
          <w:b/>
          <w:lang w:val="en_US" w:bidi="en_US"/>
        </w:rPr>
        <w:t>But they were insistent, demanding with loud voices</w:t>
      </w:r>
    </w:p>
    <w:p>
      <w:pPr>
        <w:pStyle w:val="ListBullet"/>
        <w:spacing w:line="240" w:lineRule="auto"/>
        <w:ind w:left="720"/>
      </w:pPr>
      <w:r>
        <w:rPr>
          <w:lang w:val="en_US" w:bidi="en_US"/>
        </w:rPr>
      </w:r>
      <w:r>
        <w:rPr>
          <w:lang w:val="en_US" w:bidi="en_US"/>
        </w:rPr>
        <w:t>But they persisted, shouting out their demand</w:t>
      </w:r>
    </w:p>
    <w:p>
      <w:pPr>
        <w:pStyle w:val="ListBullet"/>
        <w:spacing w:line="240" w:lineRule="auto"/>
        <w:ind w:left="720"/>
      </w:pPr>
      <w:r>
        <w:rPr>
          <w:lang w:val="en_US" w:bidi="en_US"/>
        </w:rPr>
      </w:r>
      <w:r>
        <w:rPr>
          <w:lang w:val="en_US" w:bidi="en_US"/>
        </w:rPr>
        <w:t>But they kept on yelling, and they persisted in their demands</w:t>
      </w:r>
    </w:p>
    <w:p>
      <w:pPr>
        <w:pStyle w:val="ListBullet"/>
        <w:spacing w:line="240" w:lineRule="auto"/>
        <w:ind w:left="720"/>
      </w:pPr>
      <w:r>
        <w:rPr>
          <w:lang w:val="en_US" w:bidi="en_US"/>
        </w:rPr>
      </w:r>
      <w:r>
        <w:rPr>
          <w:lang w:val="en_US" w:bidi="en_US"/>
        </w:rPr>
        <w:t xml:space="preserve">But they kept shouting loudly </w:t>
      </w:r>
      <w:r>
        <w:rPr>
          <w:lang w:val="en_US" w:bidi="en_US"/>
        </w:rPr>
        <w:t>to Pilate</w:t>
      </w:r>
      <w:r>
        <w:rPr>
          <w:lang w:val="en_US" w:bidi="en_US"/>
        </w:rPr>
        <w:t>,</w:t>
      </w:r>
    </w:p>
    <w:p>
      <w:pPr>
        <w:pStyle w:val="Heading5"/>
      </w:pPr>
      <w:r>
        <w:rPr>
          <w:lang w:val="en_US" w:bidi="en_US"/>
        </w:rPr>
        <w:t>23:23b</w:t>
      </w:r>
    </w:p>
    <w:p>
      <w:pPr/>
      <w:r>
        <w:rPr>
          <w:lang w:val="en_US" w:bidi="en_US"/>
        </w:rPr>
      </w:r>
      <w:r>
        <w:rPr>
          <w:b/>
          <w:lang w:val="en_US" w:bidi="en_US"/>
        </w:rPr>
        <w:t>for Jesus to be crucified.</w:t>
      </w:r>
    </w:p>
    <w:p>
      <w:pPr>
        <w:pStyle w:val="ListBullet"/>
        <w:spacing w:line="240" w:lineRule="auto"/>
        <w:ind w:left="720"/>
      </w:pPr>
      <w:r>
        <w:rPr>
          <w:lang w:val="en_US" w:bidi="en_US"/>
        </w:rPr>
      </w:r>
      <w:r>
        <w:rPr>
          <w:lang w:val="en_US" w:bidi="en_US"/>
        </w:rPr>
        <w:t>that Jesus must be put/nailed on a cross to die.</w:t>
      </w:r>
    </w:p>
    <w:p>
      <w:pPr>
        <w:pStyle w:val="ListBullet"/>
        <w:spacing w:line="240" w:lineRule="auto"/>
        <w:ind w:left="720"/>
      </w:pPr>
      <w:r>
        <w:rPr>
          <w:lang w:val="en_US" w:bidi="en_US"/>
        </w:rPr>
      </w:r>
      <w:r>
        <w:rPr>
          <w:lang w:val="en_US" w:bidi="en_US"/>
        </w:rPr>
        <w:t xml:space="preserve">that </w:t>
      </w:r>
      <w:r>
        <w:rPr>
          <w:lang w:val="en_US" w:bidi="en_US"/>
        </w:rPr>
        <w:t>Pilate give the order for</w:t>
      </w:r>
      <w:r>
        <w:rPr>
          <w:lang w:val="en_US" w:bidi="en_US"/>
        </w:rPr>
        <w:t xml:space="preserve"> Jesus to be killed/executed on a death post.</w:t>
      </w:r>
    </w:p>
    <w:p>
      <w:pPr>
        <w:pStyle w:val="ListBullet"/>
        <w:spacing w:line="240" w:lineRule="auto"/>
        <w:ind w:left="720"/>
      </w:pPr>
      <w:r>
        <w:rPr>
          <w:lang w:val="en_US" w:bidi="en_US"/>
        </w:rPr>
      </w:r>
      <w:r>
        <w:rPr>
          <w:lang w:val="en_US" w:bidi="en_US"/>
        </w:rPr>
        <w:t>“Execute/Kill</w:t>
      </w:r>
      <w:r>
        <w:rPr>
          <w:vertAlign w:val="superscript"/>
          <w:lang w:val="en_US" w:bidi="en_US"/>
        </w:rPr>
        <w:t>(sing)</w:t>
      </w:r>
      <w:r>
        <w:rPr>
          <w:lang w:val="en_US" w:bidi="en_US"/>
        </w:rPr>
        <w:t xml:space="preserve"> him on a death post!”</w:t>
      </w:r>
    </w:p>
    <w:p>
      <w:pPr>
        <w:pStyle w:val="Heading5"/>
      </w:pPr>
      <w:r>
        <w:rPr>
          <w:lang w:val="en_US" w:bidi="en_US"/>
        </w:rPr>
        <w:t>23:23a–b</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strong contrast between what Pilate said in 23:22d and what the people continued to demand. Pilate wanted to release Jesus, but the people demanded that he order Jesus to be crucified. Indicate this contrast between 23:23a and 23:22d in a way that is natural in your language.</w:t>
      </w:r>
    </w:p>
    <w:p>
      <w:pPr/>
      <w:r>
        <w:rPr>
          <w:lang w:val="en_US" w:bidi="en_US"/>
        </w:rPr>
      </w:r>
      <w:r>
        <w:rPr>
          <w:b/>
          <w:lang w:val="en_US" w:bidi="en_US"/>
        </w:rPr>
        <w:t>they were insistent, demanding with loud voices for Jesus to be crucified:</w:t>
      </w:r>
      <w:r>
        <w:rPr>
          <w:lang w:val="en_US" w:bidi="en_US"/>
        </w:rPr>
        <w:t xml:space="preserve"> This statement indicates that the people continued to loudly demand that Jesus be crucified. Some ways to translate the statement in English are:</w:t>
      </w:r>
    </w:p>
    <w:p>
      <w:pPr/>
      <w:r>
        <w:rPr>
          <w:lang w:val="en_US" w:bidi="en_US"/>
        </w:rPr>
      </w:r>
      <w:r>
        <w:rPr>
          <w:lang w:val="en_US" w:bidi="en_US"/>
        </w:rPr>
        <w:t>they kept urgently demanding with loud shouts that he should be crucified (NRSV)</w:t>
      </w:r>
    </w:p>
    <w:p>
      <w:pPr/>
      <w:r>
        <w:rPr>
          <w:lang w:val="en_US" w:bidi="en_US"/>
        </w:rPr>
      </w:r>
      <w:r>
        <w:rPr>
          <w:lang w:val="en_US" w:bidi="en_US"/>
        </w:rPr>
        <w:t>the crowd pressured Pilate. They shouted that Jesus had to be crucified (GW)</w:t>
      </w:r>
    </w:p>
    <w:p>
      <w:pPr/>
      <w:r>
        <w:rPr>
          <w:lang w:val="en_US" w:bidi="en_US"/>
        </w:rPr>
      </w:r>
      <w:r>
        <w:rPr>
          <w:lang w:val="en_US" w:bidi="en_US"/>
        </w:rPr>
        <w:t>the mob shouted louder and louder, demanding that Jesus be crucified (NLT)</w:t>
      </w:r>
    </w:p>
    <w:p>
      <w:pPr/>
      <w:r>
        <w:rPr>
          <w:lang w:val="en_US" w:bidi="en_US"/>
        </w:rPr>
      </w:r>
      <w:r>
        <w:rPr>
          <w:lang w:val="en_US" w:bidi="en_US"/>
        </w:rPr>
        <w:t>Some languages use an idiom to describe people shouting loud demands like this. For example:</w:t>
      </w:r>
    </w:p>
    <w:p>
      <w:pPr/>
      <w:r>
        <w:rPr>
          <w:lang w:val="en_US" w:bidi="en_US"/>
        </w:rPr>
      </w:r>
      <w:r>
        <w:rPr>
          <w:lang w:val="en_US" w:bidi="en_US"/>
        </w:rPr>
        <w:t>they kept on shouting at the top of their voices that Jesus should be crucified (GNT)</w:t>
      </w:r>
    </w:p>
    <w:p>
      <w:pPr/>
      <w:r>
        <w:rPr>
          <w:lang w:val="en_US" w:bidi="en_US"/>
        </w:rPr>
      </w:r>
      <w:r>
        <w:rPr>
          <w:lang w:val="en_US" w:bidi="en_US"/>
        </w:rPr>
        <w:t>In some languages it may be more natural to use direct speech for the people’s shouts. For example:</w:t>
      </w:r>
    </w:p>
    <w:p>
      <w:pPr/>
      <w:r>
        <w:rPr>
          <w:lang w:val="en_US" w:bidi="en_US"/>
        </w:rPr>
      </w:r>
      <w:r>
        <w:rPr>
          <w:lang w:val="en_US" w:bidi="en_US"/>
        </w:rPr>
        <w:t>they continued to shout again and again, “Crucify him! He must be crucified!”</w:t>
      </w:r>
    </w:p>
    <w:p>
      <w:pPr/>
      <w:r>
        <w:rPr>
          <w:lang w:val="en_US" w:bidi="en_US"/>
        </w:rPr>
      </w:r>
      <w:r>
        <w:rPr>
          <w:b/>
          <w:lang w:val="en_US" w:bidi="en_US"/>
        </w:rPr>
        <w:t>for Jesus to be crucified:</w:t>
      </w:r>
      <w:r>
        <w:rPr>
          <w:lang w:val="en_US" w:bidi="en_US"/>
        </w:rPr>
        <w:t xml:space="preserve"> The clause </w:t>
      </w:r>
      <w:r>
        <w:rPr>
          <w:i/>
          <w:lang w:val="en_US" w:bidi="en_US"/>
        </w:rPr>
        <w:t>to be crucified</w:t>
      </w:r>
      <w:r>
        <w:rPr>
          <w:lang w:val="en_US" w:bidi="en_US"/>
        </w:rPr>
        <w:t xml:space="preserve"> is passive. In some languages it may be more natural to translate it as an active clause and supply a subject. For example:</w:t>
      </w:r>
    </w:p>
    <w:p>
      <w:pPr/>
      <w:r>
        <w:rPr>
          <w:lang w:val="en_US" w:bidi="en_US"/>
        </w:rPr>
      </w:r>
      <w:r>
        <w:rPr>
          <w:lang w:val="en_US" w:bidi="en_US"/>
        </w:rPr>
        <w:t xml:space="preserve">that </w:t>
      </w:r>
      <w:r>
        <w:rPr>
          <w:lang w:val="en_US" w:bidi="en_US"/>
        </w:rPr>
        <w:t>he/Pilate order his soldiers</w:t>
      </w:r>
      <w:r>
        <w:rPr>
          <w:lang w:val="en_US" w:bidi="en_US"/>
        </w:rPr>
        <w:t xml:space="preserve"> to crucify Jesus</w:t>
      </w:r>
    </w:p>
    <w:p>
      <w:pPr/>
      <w:r>
        <w:rPr>
          <w:lang w:val="en_US" w:bidi="en_US"/>
        </w:rPr>
      </w:r>
      <w:r>
        <w:rPr>
          <w:lang w:val="en_US" w:bidi="en_US"/>
        </w:rPr>
        <w:t xml:space="preserve">that </w:t>
      </w:r>
      <w:r>
        <w:rPr>
          <w:lang w:val="en_US" w:bidi="en_US"/>
        </w:rPr>
        <w:t>Pilate must sentence</w:t>
      </w:r>
      <w:r>
        <w:rPr>
          <w:lang w:val="en_US" w:bidi="en_US"/>
        </w:rPr>
        <w:t xml:space="preserve"> Jesus to die by crucifixion</w:t>
      </w:r>
    </w:p>
    <w:p>
      <w:pPr/>
      <w:r>
        <w:rPr>
          <w:lang w:val="en_US" w:bidi="en_US"/>
        </w:rPr>
      </w:r>
      <w:r>
        <w:rPr>
          <w:b/>
          <w:lang w:val="en_US" w:bidi="en_US"/>
        </w:rPr>
        <w:t>crucified:</w:t>
      </w:r>
      <w:r>
        <w:rPr>
          <w:lang w:val="en_US" w:bidi="en_US"/>
        </w:rPr>
        <w:t xml:space="preserve"> See the note on “Crucify him” in 23:21b for translation suggestions.</w:t>
      </w:r>
    </w:p>
    <w:p>
      <w:pPr>
        <w:pStyle w:val="Heading5"/>
      </w:pPr>
      <w:r>
        <w:rPr>
          <w:lang w:val="en_US" w:bidi="en_US"/>
        </w:rPr>
        <w:t>23:23c</w:t>
      </w:r>
    </w:p>
    <w:p>
      <w:pPr/>
      <w:r>
        <w:rPr>
          <w:lang w:val="en_US" w:bidi="en_US"/>
        </w:rPr>
      </w:r>
      <w:r>
        <w:rPr>
          <w:b/>
          <w:lang w:val="en_US" w:bidi="en_US"/>
        </w:rPr>
        <w:t>And their clamor prevailed.</w:t>
      </w:r>
    </w:p>
    <w:p>
      <w:pPr>
        <w:pStyle w:val="ListBullet"/>
        <w:spacing w:line="240" w:lineRule="auto"/>
        <w:ind w:left="720"/>
      </w:pPr>
      <w:r>
        <w:rPr>
          <w:lang w:val="en_US" w:bidi="en_US"/>
        </w:rPr>
      </w:r>
      <w:r>
        <w:rPr>
          <w:lang w:val="en_US" w:bidi="en_US"/>
        </w:rPr>
        <w:t xml:space="preserve">After </w:t>
      </w:r>
      <w:r>
        <w:rPr>
          <w:lang w:val="en_US" w:bidi="en_US"/>
        </w:rPr>
        <w:t>awhile</w:t>
      </w:r>
      <w:r>
        <w:rPr>
          <w:lang w:val="en_US" w:bidi="en_US"/>
        </w:rPr>
        <w:t xml:space="preserve"> they succeeded by their shouting,</w:t>
      </w:r>
    </w:p>
    <w:p>
      <w:pPr>
        <w:pStyle w:val="ListBullet"/>
        <w:spacing w:line="240" w:lineRule="auto"/>
        <w:ind w:left="720"/>
      </w:pPr>
      <w:r>
        <w:rPr>
          <w:lang w:val="en_US" w:bidi="en_US"/>
        </w:rPr>
      </w:r>
      <w:r>
        <w:rPr>
          <w:lang w:val="en_US" w:bidi="en_US"/>
        </w:rPr>
        <w:t xml:space="preserve">And </w:t>
      </w:r>
      <w:r>
        <w:rPr>
          <w:lang w:val="en_US" w:bidi="en_US"/>
        </w:rPr>
        <w:t>finally</w:t>
      </w:r>
      <w:r>
        <w:rPr>
          <w:lang w:val="en_US" w:bidi="en_US"/>
        </w:rPr>
        <w:t xml:space="preserve"> Pilate could not resist their loud shouts any longer,</w:t>
      </w:r>
    </w:p>
    <w:p>
      <w:pPr/>
      <w:r>
        <w:rPr>
          <w:lang w:val="en_US" w:bidi="en_US"/>
        </w:rPr>
      </w:r>
      <w:r>
        <w:rPr>
          <w:b/>
          <w:lang w:val="en_US" w:bidi="en_US"/>
        </w:rPr>
        <w:t>And their clamor prevailed:</w:t>
      </w:r>
      <w:r>
        <w:rPr>
          <w:lang w:val="en_US" w:bidi="en_US"/>
        </w:rPr>
        <w:t xml:space="preserve"> The clause </w:t>
      </w:r>
      <w:r>
        <w:rPr>
          <w:i/>
          <w:lang w:val="en_US" w:bidi="en_US"/>
        </w:rPr>
        <w:t>And their clamor prevailed</w:t>
      </w:r>
      <w:r>
        <w:rPr>
          <w:lang w:val="en_US" w:bidi="en_US"/>
        </w:rPr>
        <w:t xml:space="preserve"> indicates that the people shouted so much that Pilate finally decided to do what they wanted. He was not able to continue to resist their demand. Other ways to translate this are:</w:t>
      </w:r>
    </w:p>
    <w:p>
      <w:pPr/>
      <w:r>
        <w:rPr>
          <w:lang w:val="en_US" w:bidi="en_US"/>
        </w:rPr>
      </w:r>
      <w:r>
        <w:rPr>
          <w:lang w:val="en_US" w:bidi="en_US"/>
        </w:rPr>
        <w:t>finally their shouting succeeded (GNT)</w:t>
      </w:r>
    </w:p>
    <w:p>
      <w:pPr/>
      <w:r>
        <w:rPr>
          <w:lang w:val="en_US" w:bidi="en_US"/>
        </w:rPr>
      </w:r>
      <w:r>
        <w:rPr>
          <w:lang w:val="en_US" w:bidi="en_US"/>
        </w:rPr>
        <w:t>after a long while, Pilate could no longer resist their shouting</w:t>
      </w:r>
    </w:p>
    <w:p>
      <w:pPr/>
      <w:r>
        <w:rPr>
          <w:lang w:val="en_US" w:bidi="en_US"/>
        </w:rPr>
      </w:r>
      <w:r>
        <w:rPr>
          <w:lang w:val="en_US" w:bidi="en_US"/>
        </w:rPr>
        <w:t>In some languages there may be an idiom to describe this. Translate it in a natural way in your language.</w:t>
      </w:r>
      <w:r>
        <w:rPr>
          <w:lang w:val="en_US" w:bidi="en_US"/>
        </w:rPr>
      </w:r>
      <w:r>
        <w:rPr>
          <w:lang w:val="en_US" w:bidi="en_US"/>
        </w:rPr>
      </w:r>
    </w:p>
    <w:p>
      <w:pPr/>
      <w:r>
        <w:rPr>
          <w:lang w:val="en_US" w:bidi="en_US"/>
        </w:rPr>
      </w:r>
    </w:p>
    <w:p>
      <w:pPr>
        <w:pStyle w:val="Heading2"/>
      </w:pPr>
      <w:r>
        <w:rPr>
          <w:lang w:val="en_US" w:bidi="en_US"/>
        </w:rPr>
        <w:t>Luke 23:24</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23:24</w:t>
      </w:r>
    </w:p>
    <w:p>
      <w:pPr/>
      <w:r>
        <w:rPr>
          <w:lang w:val="en_US" w:bidi="en_US"/>
        </w:rPr>
      </w:r>
      <w:r>
        <w:rPr>
          <w:b/>
          <w:lang w:val="en_US" w:bidi="en_US"/>
        </w:rPr>
        <w:t>So Pilate sentenced that their demand be met.</w:t>
      </w:r>
    </w:p>
    <w:p>
      <w:pPr>
        <w:pStyle w:val="ListBullet"/>
        <w:spacing w:line="240" w:lineRule="auto"/>
        <w:ind w:left="720"/>
      </w:pPr>
      <w:r>
        <w:rPr>
          <w:lang w:val="en_US" w:bidi="en_US"/>
        </w:rPr>
      </w:r>
      <w:r>
        <w:rPr>
          <w:lang w:val="en_US" w:bidi="en_US"/>
        </w:rPr>
        <w:t>and Pilate decided to do what they demanded.</w:t>
      </w:r>
    </w:p>
    <w:p>
      <w:pPr>
        <w:pStyle w:val="ListBullet"/>
        <w:spacing w:line="240" w:lineRule="auto"/>
        <w:ind w:left="720"/>
      </w:pPr>
      <w:r>
        <w:rPr>
          <w:lang w:val="en_US" w:bidi="en_US"/>
        </w:rPr>
      </w:r>
      <w:r>
        <w:rPr>
          <w:lang w:val="en_US" w:bidi="en_US"/>
        </w:rPr>
        <w:t xml:space="preserve">so he decided to agree to what they wanted </w:t>
      </w:r>
      <w:r>
        <w:rPr>
          <w:lang w:val="en_US" w:bidi="en_US"/>
        </w:rPr>
        <w:t>and order Jesus to be executed/killed</w:t>
      </w:r>
      <w:r>
        <w:rPr>
          <w:lang w:val="en_US" w:bidi="en_US"/>
        </w:rPr>
        <w:t>.</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is the common conjunction that is often translated as “and.” Here it introduces what Pilate did when he could not resist their shouting. Connect this verse to 23:23c in a natural way in your language.</w:t>
      </w:r>
    </w:p>
    <w:p>
      <w:pPr/>
      <w:r>
        <w:rPr>
          <w:lang w:val="en_US" w:bidi="en_US"/>
        </w:rPr>
      </w:r>
      <w:r>
        <w:rPr>
          <w:b/>
          <w:lang w:val="en_US" w:bidi="en_US"/>
        </w:rPr>
        <w:t>Pilate sentenced that their demand be met:</w:t>
      </w:r>
      <w:r>
        <w:rPr>
          <w:lang w:val="en_US" w:bidi="en_US"/>
        </w:rPr>
        <w:t xml:space="preserve"> The Greek verb that the BSB translates as </w:t>
      </w:r>
      <w:r>
        <w:rPr>
          <w:i/>
          <w:lang w:val="en_US" w:bidi="en_US"/>
        </w:rPr>
        <w:t>sentenced</w:t>
      </w:r>
      <w:r>
        <w:rPr>
          <w:lang w:val="en_US" w:bidi="en_US"/>
        </w:rPr>
        <w:t xml:space="preserve"> occurs only here in the New Testament.</w:t>
      </w:r>
      <w:r>
        <w:rPr>
          <w:lang w:val="en_US" w:bidi="en_US"/>
        </w:rPr>
        <w:t>The only other two times it occurs in the Greek Bible (2 Maccabees 4:47 and 3 Maccabees 4:2) also involve a miscarriage of justice.</w:t>
      </w:r>
      <w:r>
        <w:rPr>
          <w:lang w:val="en_US" w:bidi="en_US"/>
        </w:rPr>
        <w:t xml:space="preserve"> In this context Pilate made a legal decision that he would do what the people demanded. Some other ways to translate this meaning here are:</w:t>
      </w:r>
    </w:p>
    <w:p>
      <w:pPr/>
      <w:r>
        <w:rPr>
          <w:lang w:val="en_US" w:bidi="en_US"/>
        </w:rPr>
      </w:r>
      <w:r>
        <w:rPr>
          <w:lang w:val="en_US" w:bidi="en_US"/>
        </w:rPr>
        <w:t>Pilate decided to do what they wanted/demanded.</w:t>
      </w:r>
    </w:p>
    <w:p>
      <w:pPr/>
      <w:r>
        <w:rPr>
          <w:lang w:val="en_US" w:bidi="en_US"/>
        </w:rPr>
      </w:r>
      <w:r>
        <w:rPr>
          <w:lang w:val="en_US" w:bidi="en_US"/>
        </w:rPr>
        <w:t>Pilate gave his verdict that their demand should be granted. (NRSV)</w:t>
      </w:r>
    </w:p>
    <w:p>
      <w:pPr/>
      <w:r>
        <w:rPr>
          <w:lang w:val="en_US" w:bidi="en_US"/>
        </w:rPr>
      </w:r>
      <w:r>
        <w:rPr>
          <w:lang w:val="en_US" w:bidi="en_US"/>
        </w:rPr>
        <w:t>Pilate pronounced the official decision that their request should be granted. (JBP)</w:t>
      </w:r>
    </w:p>
    <w:p>
      <w:pPr/>
      <w:r>
        <w:rPr>
          <w:lang w:val="en_US" w:bidi="en_US"/>
        </w:rPr>
      </w:r>
      <w:r>
        <w:rPr>
          <w:lang w:val="en_US" w:bidi="en_US"/>
        </w:rPr>
        <w:t>In some languages it may be helpful to make explicit again what the people demanded. For example:</w:t>
      </w:r>
    </w:p>
    <w:p>
      <w:pPr/>
      <w:r>
        <w:rPr>
          <w:lang w:val="en_US" w:bidi="en_US"/>
        </w:rPr>
      </w:r>
      <w:r>
        <w:rPr>
          <w:lang w:val="en_US" w:bidi="en_US"/>
        </w:rPr>
        <w:t>So Pilate sentenced Jesus to die as they demanded. (NLT)</w:t>
      </w:r>
    </w:p>
    <w:p>
      <w:pPr/>
      <w:r>
        <w:rPr>
          <w:lang w:val="en_US" w:bidi="en_US"/>
        </w:rPr>
      </w:r>
      <w:r>
        <w:rPr>
          <w:lang w:val="en_US" w:bidi="en_US"/>
        </w:rPr>
        <w:t>So Pilate passed the sentence on Jesus that they were asking for. (GNT)</w:t>
      </w:r>
    </w:p>
    <w:p>
      <w:pPr/>
      <w:r>
        <w:rPr>
          <w:lang w:val="en_US" w:bidi="en_US"/>
        </w:rPr>
      </w:r>
      <w:r>
        <w:rPr>
          <w:lang w:val="en_US" w:bidi="en_US"/>
        </w:rPr>
        <w:t>Pilate agreed to their request and condemned Jesus to death.</w:t>
      </w:r>
    </w:p>
    <w:p>
      <w:pPr>
        <w:pStyle w:val="Heading6"/>
      </w:pPr>
      <w:r>
        <w:rPr>
          <w:b/>
          <w:lang w:val="en_US" w:bidi="en_US"/>
        </w:rPr>
        <w:t>General Comment on 23:23c–24</w:t>
      </w:r>
    </w:p>
    <w:p>
      <w:pPr/>
      <w:r>
        <w:rPr>
          <w:lang w:val="en_US" w:bidi="en_US"/>
        </w:rPr>
      </w:r>
      <w:r>
        <w:rPr>
          <w:lang w:val="en_US" w:bidi="en_US"/>
        </w:rPr>
        <w:t>In some languages it may be helpful to combine 23:23c and 23:24 into one sentence. For example:</w:t>
      </w:r>
    </w:p>
    <w:p>
      <w:pPr/>
      <w:r>
        <w:rPr>
          <w:lang w:val="en_US" w:bidi="en_US"/>
        </w:rPr>
      </w:r>
      <w:r>
        <w:rPr>
          <w:vertAlign w:val="superscript"/>
          <w:lang w:val="en_US" w:bidi="en_US"/>
        </w:rPr>
        <w:t>23c</w:t>
      </w:r>
      <w:r>
        <w:rPr>
          <w:lang w:val="en_US" w:bidi="en_US"/>
        </w:rPr>
        <w:t xml:space="preserve">Their yelling became so loud that </w:t>
      </w:r>
      <w:r>
        <w:rPr>
          <w:vertAlign w:val="superscript"/>
          <w:lang w:val="en_US" w:bidi="en_US"/>
        </w:rPr>
        <w:t>24</w:t>
      </w:r>
      <w:r>
        <w:rPr>
          <w:lang w:val="en_US" w:bidi="en_US"/>
        </w:rPr>
        <w:t>Pilate decided to give them what they wanted. (NCV)</w:t>
      </w:r>
      <w:r>
        <w:rPr>
          <w:lang w:val="en_US" w:bidi="en_US"/>
        </w:rPr>
      </w:r>
      <w:r>
        <w:rPr>
          <w:lang w:val="en_US" w:bidi="en_US"/>
        </w:rPr>
      </w:r>
    </w:p>
    <w:p>
      <w:pPr/>
      <w:r>
        <w:rPr>
          <w:lang w:val="en_US" w:bidi="en_US"/>
        </w:rPr>
      </w:r>
    </w:p>
    <w:p>
      <w:pPr>
        <w:pStyle w:val="Heading2"/>
      </w:pPr>
      <w:r>
        <w:rPr>
          <w:lang w:val="en_US" w:bidi="en_US"/>
        </w:rPr>
        <w:t>Luke 23:25</w:t>
      </w:r>
      <w:r>
        <w:rPr>
          <w:lang w:val="en_US" w:bidi="en_US"/>
        </w:rPr>
      </w:r>
    </w:p>
    <w:p>
      <w:pPr>
        <w:pStyle w:val="Heading4"/>
      </w:pPr>
      <w:r>
        <w:rPr>
          <w:lang w:val="en_US" w:bidi="en_US"/>
        </w:rPr>
        <w:t>Section 22:66–23:25: Leaders put Jesus on trial and condemned him to die</w:t>
      </w:r>
    </w:p>
    <w:p>
      <w:pPr/>
      <w:r>
        <w:rPr>
          <w:lang w:val="en_US" w:bidi="en_US"/>
        </w:rPr>
      </w:r>
      <w:r>
        <w:rPr>
          <w:lang w:val="en_US" w:bidi="en_US"/>
        </w:rPr>
        <w:t>Luke indicates that Jesus had several trials. These trials can also be considered to be several parts of the same trial. Luke recorded the details of four of these trials. The chart here lists them according to who was leading at each trial:</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22:66–71</w:t>
            </w:r>
          </w:p>
        </w:tc>
        <w:tc>
          <w:tcPr>
            <w:tcW w:type="dxa" w:w="4680"/>
          </w:tcPr>
          <w:p>
            <w:pPr/>
            <w:r>
              <w:rPr>
                <w:lang w:val="en_US" w:bidi="en_US"/>
              </w:rPr>
            </w:r>
            <w:r>
              <w:rPr>
                <w:lang w:val="en_US" w:bidi="en_US"/>
              </w:rPr>
              <w:t>the Jewish council</w:t>
            </w:r>
          </w:p>
        </w:tc>
      </w:tr>
      <w:tr>
        <w:tc>
          <w:tcPr>
            <w:tcW w:type="dxa" w:w="4680"/>
          </w:tcPr>
          <w:p>
            <w:pPr/>
            <w:r>
              <w:rPr>
                <w:lang w:val="en_US" w:bidi="en_US"/>
              </w:rPr>
            </w:r>
            <w:r>
              <w:rPr>
                <w:lang w:val="en_US" w:bidi="en_US"/>
              </w:rPr>
              <w:t>23:1–5</w:t>
            </w:r>
          </w:p>
        </w:tc>
        <w:tc>
          <w:tcPr>
            <w:tcW w:type="dxa" w:w="4680"/>
          </w:tcPr>
          <w:p>
            <w:pPr/>
            <w:r>
              <w:rPr>
                <w:lang w:val="en_US" w:bidi="en_US"/>
              </w:rPr>
            </w:r>
            <w:r>
              <w:rPr>
                <w:lang w:val="en_US" w:bidi="en_US"/>
              </w:rPr>
              <w:t>Pilate</w:t>
            </w:r>
          </w:p>
        </w:tc>
      </w:tr>
      <w:tr>
        <w:tc>
          <w:tcPr>
            <w:tcW w:type="dxa" w:w="4680"/>
          </w:tcPr>
          <w:p>
            <w:pPr/>
            <w:r>
              <w:rPr>
                <w:lang w:val="en_US" w:bidi="en_US"/>
              </w:rPr>
            </w:r>
            <w:r>
              <w:rPr>
                <w:lang w:val="en_US" w:bidi="en_US"/>
              </w:rPr>
              <w:t>23:6–12</w:t>
            </w:r>
          </w:p>
        </w:tc>
        <w:tc>
          <w:tcPr>
            <w:tcW w:type="dxa" w:w="4680"/>
          </w:tcPr>
          <w:p>
            <w:pPr/>
            <w:r>
              <w:rPr>
                <w:lang w:val="en_US" w:bidi="en_US"/>
              </w:rPr>
            </w:r>
            <w:r>
              <w:rPr>
                <w:lang w:val="en_US" w:bidi="en_US"/>
              </w:rPr>
              <w:t>Herod</w:t>
            </w:r>
          </w:p>
        </w:tc>
      </w:tr>
      <w:tr>
        <w:tc>
          <w:tcPr>
            <w:tcW w:type="dxa" w:w="4680"/>
          </w:tcPr>
          <w:p>
            <w:pPr/>
            <w:r>
              <w:rPr>
                <w:lang w:val="en_US" w:bidi="en_US"/>
              </w:rPr>
            </w:r>
            <w:r>
              <w:rPr>
                <w:lang w:val="en_US" w:bidi="en_US"/>
              </w:rPr>
              <w:t>23:13–25</w:t>
            </w:r>
          </w:p>
        </w:tc>
        <w:tc>
          <w:tcPr>
            <w:tcW w:type="dxa" w:w="4680"/>
          </w:tcPr>
          <w:p>
            <w:pPr/>
            <w:r>
              <w:rPr>
                <w:lang w:val="en_US" w:bidi="en_US"/>
              </w:rPr>
            </w:r>
            <w:r>
              <w:rPr>
                <w:lang w:val="en_US" w:bidi="en_US"/>
              </w:rPr>
              <w:t>Pilate again</w:t>
            </w:r>
          </w:p>
        </w:tc>
      </w:tr>
    </w:tbl>
    <w:p>
      <w:pPr/>
      <w:r>
        <w:rPr>
          <w:lang w:val="en_US" w:bidi="en_US"/>
        </w:rPr>
      </w:r>
      <w:r>
        <w:rPr>
          <w:lang w:val="en_US" w:bidi="en_US"/>
        </w:rPr>
        <w:t>In all of Jesus’ trials, there was no one who could prove that Jesus had broken any law of God or man. However, even though he had not done anything wrong, the Roman governor Pilate sentenced him to die on a cross.</w:t>
      </w:r>
    </w:p>
    <w:p>
      <w:pPr/>
      <w:r>
        <w:rPr>
          <w:lang w:val="en_US" w:bidi="en_US"/>
        </w:rPr>
      </w:r>
      <w:r>
        <w:rPr>
          <w:lang w:val="en_US" w:bidi="en_US"/>
        </w:rPr>
        <w:t>The Notes suggest a section heading for each of the trials in the chart. However, you may decide to have one heading for Section Group 22:66–23:25 like the one suggested in the Section Group box above. Another example of a heading for this section group is:</w:t>
      </w:r>
    </w:p>
    <w:p>
      <w:pPr/>
      <w:r>
        <w:rPr>
          <w:lang w:val="en_US" w:bidi="en_US"/>
        </w:rPr>
      </w:r>
      <w:r>
        <w:rPr>
          <w:lang w:val="en_US" w:bidi="en_US"/>
        </w:rPr>
        <w:t>The leaders tried and condemned Jesus</w:t>
      </w:r>
    </w:p>
    <w:p>
      <w:pPr>
        <w:pStyle w:val="Heading5"/>
      </w:pPr>
      <w:r>
        <w:rPr>
          <w:lang w:val="en_US" w:bidi="en_US"/>
        </w:rPr>
        <w:t>23:25a</w:t>
      </w:r>
    </w:p>
    <w:p>
      <w:pPr/>
      <w:r>
        <w:rPr>
          <w:lang w:val="en_US" w:bidi="en_US"/>
        </w:rPr>
      </w:r>
      <w:r>
        <w:rPr>
          <w:b/>
          <w:lang w:val="en_US" w:bidi="en_US"/>
        </w:rPr>
        <w:t>As they had requested,</w:t>
      </w:r>
    </w:p>
    <w:p>
      <w:pPr>
        <w:pStyle w:val="ListBullet"/>
        <w:spacing w:line="240" w:lineRule="auto"/>
        <w:ind w:left="720"/>
      </w:pPr>
      <w:r>
        <w:rPr>
          <w:lang w:val="en_US" w:bidi="en_US"/>
        </w:rPr>
      </w:r>
      <w:r>
        <w:rPr>
          <w:lang w:val="en_US" w:bidi="en_US"/>
        </w:rPr>
        <w:t xml:space="preserve">This was the man whom the people had asked </w:t>
      </w:r>
      <w:r>
        <w:rPr>
          <w:lang w:val="en_US" w:bidi="en_US"/>
        </w:rPr>
        <w:t>Pilate to free</w:t>
      </w:r>
      <w:r>
        <w:rPr>
          <w:lang w:val="en_US" w:bidi="en_US"/>
        </w:rPr>
        <w:t>.</w:t>
      </w:r>
    </w:p>
    <w:p>
      <w:pPr>
        <w:pStyle w:val="ListBullet"/>
        <w:spacing w:line="240" w:lineRule="auto"/>
        <w:ind w:left="720"/>
      </w:pPr>
      <w:r>
        <w:rPr>
          <w:lang w:val="en_US" w:bidi="en_US"/>
        </w:rPr>
      </w:r>
      <w:r>
        <w:rPr>
          <w:lang w:val="en_US" w:bidi="en_US"/>
        </w:rPr>
        <w:t xml:space="preserve">This Barabbas was the man that the crowd asked </w:t>
      </w:r>
      <w:r>
        <w:rPr>
          <w:lang w:val="en_US" w:bidi="en_US"/>
        </w:rPr>
        <w:t>Pilate to release</w:t>
      </w:r>
      <w:r>
        <w:rPr>
          <w:lang w:val="en_US" w:bidi="en_US"/>
        </w:rPr>
        <w:t xml:space="preserve"> for </w:t>
      </w:r>
      <w:r>
        <w:rPr>
          <w:lang w:val="en_US" w:bidi="en_US"/>
        </w:rPr>
        <w:t>them</w:t>
      </w:r>
      <w:r>
        <w:rPr>
          <w:lang w:val="en_US" w:bidi="en_US"/>
        </w:rPr>
        <w:t xml:space="preserve"> </w:t>
      </w:r>
      <w:r>
        <w:rPr>
          <w:lang w:val="en_US" w:bidi="en_US"/>
        </w:rPr>
        <w:t>at Passover</w:t>
      </w:r>
      <w:r>
        <w:rPr>
          <w:lang w:val="en_US" w:bidi="en_US"/>
        </w:rPr>
        <w:t>.</w:t>
      </w:r>
    </w:p>
    <w:p>
      <w:pPr>
        <w:pStyle w:val="Heading5"/>
      </w:pPr>
      <w:r>
        <w:rPr>
          <w:lang w:val="en_US" w:bidi="en_US"/>
        </w:rPr>
        <w:t>23:25b</w:t>
      </w:r>
    </w:p>
    <w:p>
      <w:pPr/>
      <w:r>
        <w:rPr>
          <w:lang w:val="en_US" w:bidi="en_US"/>
        </w:rPr>
      </w:r>
      <w:r>
        <w:rPr>
          <w:b/>
          <w:lang w:val="en_US" w:bidi="en_US"/>
        </w:rPr>
        <w:t>he released the one</w:t>
      </w:r>
    </w:p>
    <w:p>
      <w:pPr>
        <w:pStyle w:val="ListBullet"/>
        <w:spacing w:line="240" w:lineRule="auto"/>
        <w:ind w:left="720"/>
      </w:pPr>
      <w:r>
        <w:rPr>
          <w:lang w:val="en_US" w:bidi="en_US"/>
        </w:rPr>
      </w:r>
      <w:r>
        <w:rPr>
          <w:lang w:val="en_US" w:bidi="en_US"/>
        </w:rPr>
        <w:t>He freed the man</w:t>
      </w:r>
    </w:p>
    <w:p>
      <w:pPr>
        <w:pStyle w:val="ListBullet"/>
        <w:spacing w:line="240" w:lineRule="auto"/>
        <w:ind w:left="720"/>
      </w:pPr>
      <w:r>
        <w:rPr>
          <w:lang w:val="en_US" w:bidi="en_US"/>
        </w:rPr>
      </w:r>
      <w:r>
        <w:rPr>
          <w:lang w:val="en_US" w:bidi="en_US"/>
        </w:rPr>
        <w:t xml:space="preserve">He </w:t>
      </w:r>
      <w:r>
        <w:rPr>
          <w:lang w:val="en_US" w:bidi="en_US"/>
        </w:rPr>
        <w:t>ordered his men/soldiers to</w:t>
      </w:r>
      <w:r>
        <w:rPr>
          <w:lang w:val="en_US" w:bidi="en_US"/>
        </w:rPr>
        <w:t xml:space="preserve"> release the man </w:t>
      </w:r>
      <w:r>
        <w:rPr>
          <w:lang w:val="en_US" w:bidi="en_US"/>
        </w:rPr>
        <w:t>named Barabbas</w:t>
      </w:r>
      <w:r>
        <w:rPr>
          <w:lang w:val="en_US" w:bidi="en_US"/>
        </w:rPr>
        <w:t>.</w:t>
      </w:r>
    </w:p>
    <w:p>
      <w:pPr>
        <w:pStyle w:val="Heading5"/>
      </w:pPr>
      <w:r>
        <w:rPr>
          <w:lang w:val="en_US" w:bidi="en_US"/>
        </w:rPr>
        <w:t>23:25c</w:t>
      </w:r>
    </w:p>
    <w:p>
      <w:pPr/>
      <w:r>
        <w:rPr>
          <w:lang w:val="en_US" w:bidi="en_US"/>
        </w:rPr>
      </w:r>
      <w:r>
        <w:rPr>
          <w:b/>
          <w:lang w:val="en_US" w:bidi="en_US"/>
        </w:rPr>
        <w:t>imprisoned</w:t>
      </w:r>
    </w:p>
    <w:p>
      <w:pPr>
        <w:pStyle w:val="ListBullet"/>
        <w:spacing w:line="240" w:lineRule="auto"/>
        <w:ind w:left="720"/>
      </w:pPr>
      <w:r>
        <w:rPr>
          <w:lang w:val="en_US" w:bidi="en_US"/>
        </w:rPr>
      </w:r>
      <w:r>
        <w:rPr>
          <w:lang w:val="en_US" w:bidi="en_US"/>
        </w:rPr>
        <w:t>who was imprisoned/confined</w:t>
      </w:r>
    </w:p>
    <w:p>
      <w:pPr>
        <w:pStyle w:val="ListBullet"/>
        <w:spacing w:line="240" w:lineRule="auto"/>
        <w:ind w:left="720"/>
      </w:pPr>
      <w:r>
        <w:rPr>
          <w:lang w:val="en_US" w:bidi="en_US"/>
        </w:rPr>
      </w:r>
      <w:r>
        <w:rPr>
          <w:lang w:val="en_US" w:bidi="en_US"/>
        </w:rPr>
        <w:t>They/Soldiers</w:t>
      </w:r>
      <w:r>
        <w:rPr>
          <w:lang w:val="en_US" w:bidi="en_US"/>
        </w:rPr>
        <w:t xml:space="preserve"> had put Barabbas in prison</w:t>
      </w:r>
    </w:p>
    <w:p>
      <w:pPr>
        <w:pStyle w:val="ListBullet"/>
        <w:spacing w:line="240" w:lineRule="auto"/>
        <w:ind w:left="720"/>
      </w:pPr>
      <w:r>
        <w:rPr>
          <w:lang w:val="en_US" w:bidi="en_US"/>
        </w:rPr>
      </w:r>
      <w:r>
        <w:rPr>
          <w:lang w:val="en_US" w:bidi="en_US"/>
        </w:rPr>
        <w:t>Barabbas was in prison/jail</w:t>
      </w:r>
    </w:p>
    <w:p>
      <w:pPr>
        <w:pStyle w:val="Heading5"/>
      </w:pPr>
      <w:r>
        <w:rPr>
          <w:lang w:val="en_US" w:bidi="en_US"/>
        </w:rPr>
        <w:t>23:25d</w:t>
      </w:r>
    </w:p>
    <w:p>
      <w:pPr/>
      <w:r>
        <w:rPr>
          <w:lang w:val="en_US" w:bidi="en_US"/>
        </w:rPr>
      </w:r>
      <w:r>
        <w:rPr>
          <w:b/>
          <w:lang w:val="en_US" w:bidi="en_US"/>
        </w:rPr>
        <w:t>for insurrection and murder,</w:t>
      </w:r>
    </w:p>
    <w:p>
      <w:pPr>
        <w:pStyle w:val="ListBullet"/>
        <w:spacing w:line="240" w:lineRule="auto"/>
        <w:ind w:left="720"/>
      </w:pPr>
      <w:r>
        <w:rPr>
          <w:lang w:val="en_US" w:bidi="en_US"/>
        </w:rPr>
      </w:r>
      <w:r>
        <w:rPr>
          <w:lang w:val="en_US" w:bidi="en_US"/>
        </w:rPr>
        <w:t xml:space="preserve">for fighting in a riot/revolt and for murdering/killing </w:t>
      </w:r>
      <w:r>
        <w:rPr>
          <w:lang w:val="en_US" w:bidi="en_US"/>
        </w:rPr>
        <w:t>someone</w:t>
      </w:r>
      <w:r>
        <w:rPr>
          <w:lang w:val="en_US" w:bidi="en_US"/>
        </w:rPr>
        <w:t>.</w:t>
      </w:r>
    </w:p>
    <w:p>
      <w:pPr>
        <w:pStyle w:val="ListBullet"/>
        <w:spacing w:line="240" w:lineRule="auto"/>
        <w:ind w:left="720"/>
      </w:pPr>
      <w:r>
        <w:rPr>
          <w:lang w:val="en_US" w:bidi="en_US"/>
        </w:rPr>
      </w:r>
      <w:r>
        <w:rPr>
          <w:lang w:val="en_US" w:bidi="en_US"/>
        </w:rPr>
        <w:t xml:space="preserve">because he had rioted </w:t>
      </w:r>
      <w:r>
        <w:rPr>
          <w:lang w:val="en_US" w:bidi="en_US"/>
        </w:rPr>
        <w:t>with others</w:t>
      </w:r>
      <w:r>
        <w:rPr>
          <w:lang w:val="en_US" w:bidi="en_US"/>
        </w:rPr>
        <w:t xml:space="preserve"> and because he had murdered </w:t>
      </w:r>
      <w:r>
        <w:rPr>
          <w:lang w:val="en_US" w:bidi="en_US"/>
        </w:rPr>
        <w:t>someone</w:t>
      </w:r>
      <w:r>
        <w:rPr>
          <w:lang w:val="en_US" w:bidi="en_US"/>
        </w:rPr>
        <w:t>.</w:t>
      </w:r>
    </w:p>
    <w:p>
      <w:pPr>
        <w:pStyle w:val="Heading5"/>
      </w:pPr>
      <w:r>
        <w:rPr>
          <w:lang w:val="en_US" w:bidi="en_US"/>
        </w:rPr>
        <w:t>23:25a–d</w:t>
      </w:r>
    </w:p>
    <w:p>
      <w:pPr/>
      <w:r>
        <w:rPr>
          <w:lang w:val="en_US" w:bidi="en_US"/>
        </w:rPr>
      </w:r>
      <w:r>
        <w:rPr>
          <w:b/>
          <w:lang w:val="en_US" w:bidi="en_US"/>
        </w:rPr>
        <w:t>he released the one imprisoned for insurrection and murder:</w:t>
      </w:r>
      <w:r>
        <w:rPr>
          <w:lang w:val="en_US" w:bidi="en_US"/>
        </w:rPr>
        <w:t xml:space="preserve"> This statement indicates that Pilate released the man that the people asked him to release in 23:18. This man was named Barabbas. As 23:19 said, he was in prison for insurrection and murder.</w:t>
      </w:r>
    </w:p>
    <w:p>
      <w:pPr/>
      <w:r>
        <w:rPr>
          <w:lang w:val="en_US" w:bidi="en_US"/>
        </w:rPr>
      </w:r>
      <w:r>
        <w:rPr>
          <w:lang w:val="en_US" w:bidi="en_US"/>
        </w:rPr>
        <w:t>In some languages it may be helpful to supply the name Barabbas here. For example:</w:t>
      </w:r>
    </w:p>
    <w:p>
      <w:pPr/>
      <w:r>
        <w:rPr>
          <w:lang w:val="en_US" w:bidi="en_US"/>
        </w:rPr>
      </w:r>
      <w:r>
        <w:rPr>
          <w:lang w:val="en_US" w:bidi="en_US"/>
        </w:rPr>
        <w:t>He freed Barabbas, who had been put in prison for rioting and murdering, because that’s what they wanted. (GW)</w:t>
      </w:r>
    </w:p>
    <w:p>
      <w:pPr>
        <w:pStyle w:val="Heading5"/>
      </w:pPr>
      <w:r>
        <w:rPr>
          <w:lang w:val="en_US" w:bidi="en_US"/>
        </w:rPr>
        <w:t>23:25e</w:t>
      </w:r>
    </w:p>
    <w:p>
      <w:pPr/>
      <w:r>
        <w:rPr>
          <w:lang w:val="en_US" w:bidi="en_US"/>
        </w:rPr>
      </w:r>
      <w:r>
        <w:rPr>
          <w:b/>
          <w:lang w:val="en_US" w:bidi="en_US"/>
        </w:rPr>
        <w:t>and handed Jesus over to their will.</w:t>
      </w:r>
    </w:p>
    <w:p>
      <w:pPr>
        <w:pStyle w:val="ListBullet"/>
        <w:spacing w:line="240" w:lineRule="auto"/>
        <w:ind w:left="720"/>
      </w:pPr>
      <w:r>
        <w:rPr>
          <w:lang w:val="en_US" w:bidi="en_US"/>
        </w:rPr>
      </w:r>
      <w:r>
        <w:rPr>
          <w:lang w:val="en_US" w:bidi="en_US"/>
        </w:rPr>
        <w:t>But as for Jesus, Pilate gave him up for the people’s will to be done to him.</w:t>
      </w:r>
    </w:p>
    <w:p>
      <w:pPr>
        <w:pStyle w:val="ListBullet"/>
        <w:spacing w:line="240" w:lineRule="auto"/>
        <w:ind w:left="720"/>
      </w:pPr>
      <w:r>
        <w:rPr>
          <w:lang w:val="en_US" w:bidi="en_US"/>
        </w:rPr>
      </w:r>
      <w:r>
        <w:rPr>
          <w:lang w:val="en_US" w:bidi="en_US"/>
        </w:rPr>
        <w:t xml:space="preserve">Then Pilate took Jesus and gave him to his soldiers/men </w:t>
      </w:r>
      <w:r>
        <w:rPr>
          <w:lang w:val="en_US" w:bidi="en_US"/>
        </w:rPr>
        <w:t>to execute/kill him</w:t>
      </w:r>
      <w:r>
        <w:rPr>
          <w:lang w:val="en_US" w:bidi="en_US"/>
        </w:rPr>
        <w:t>, just as the people/crowd wanted.</w:t>
      </w:r>
    </w:p>
    <w:p>
      <w:pPr/>
      <w:r>
        <w:rPr>
          <w:lang w:val="en_US" w:bidi="en_US"/>
        </w:rPr>
      </w:r>
      <w:r>
        <w:rPr>
          <w:b/>
          <w:lang w:val="en_US" w:bidi="en_US"/>
        </w:rPr>
        <w:t>and handed Jesus:</w:t>
      </w:r>
      <w:r>
        <w:rPr>
          <w:lang w:val="en_US" w:bidi="en_US"/>
        </w:rPr>
        <w:t xml:space="preserve"> The Greek conjunction that the BSB translates as </w:t>
      </w:r>
      <w:r>
        <w:rPr>
          <w:i/>
          <w:lang w:val="en_US" w:bidi="en_US"/>
        </w:rPr>
        <w:t>and</w:t>
      </w:r>
      <w:r>
        <w:rPr>
          <w:lang w:val="en_US" w:bidi="en_US"/>
        </w:rPr>
        <w:t xml:space="preserve"> introduces a contrast between what Pilate did for Barabbas in this verse and what he did to Jesus. The word </w:t>
      </w:r>
      <w:r>
        <w:rPr>
          <w:i/>
          <w:lang w:val="en_US" w:bidi="en_US"/>
        </w:rPr>
        <w:t>Jesus</w:t>
      </w:r>
      <w:r>
        <w:rPr>
          <w:lang w:val="en_US" w:bidi="en_US"/>
        </w:rPr>
        <w:t xml:space="preserve"> is emphasized in Greek. One way to translate this contrast is:</w:t>
      </w:r>
    </w:p>
    <w:p>
      <w:pPr/>
      <w:r>
        <w:rPr>
          <w:lang w:val="en_US" w:bidi="en_US"/>
        </w:rPr>
      </w:r>
      <w:r>
        <w:rPr>
          <w:lang w:val="en_US" w:bidi="en_US"/>
        </w:rPr>
        <w:t>But as for Jesus</w:t>
      </w:r>
    </w:p>
    <w:p>
      <w:pPr/>
      <w:r>
        <w:rPr>
          <w:lang w:val="en_US" w:bidi="en_US"/>
        </w:rPr>
      </w:r>
      <w:r>
        <w:rPr>
          <w:lang w:val="en_US" w:bidi="en_US"/>
        </w:rPr>
        <w:t>Translate the contrast in a way that is natural in your language.</w:t>
      </w:r>
    </w:p>
    <w:p>
      <w:pPr/>
      <w:r>
        <w:rPr>
          <w:lang w:val="en_US" w:bidi="en_US"/>
        </w:rPr>
      </w:r>
      <w:r>
        <w:rPr>
          <w:b/>
          <w:lang w:val="en_US" w:bidi="en_US"/>
        </w:rPr>
        <w:t>over to their will:</w:t>
      </w:r>
      <w:r>
        <w:rPr>
          <w:lang w:val="en_US" w:bidi="en_US"/>
        </w:rPr>
        <w:t xml:space="preserve"> The Greek clause that the BSB translates as </w:t>
      </w:r>
      <w:r>
        <w:rPr>
          <w:i/>
          <w:lang w:val="en_US" w:bidi="en_US"/>
        </w:rPr>
        <w:t>over to their will</w:t>
      </w:r>
      <w:r>
        <w:rPr>
          <w:lang w:val="en_US" w:bidi="en_US"/>
        </w:rPr>
        <w:t xml:space="preserve"> indicates that Pilate gave Jesus into the control of other people. He allowed them to do what they wanted with Jesus. The word </w:t>
      </w:r>
      <w:r>
        <w:rPr>
          <w:i/>
          <w:lang w:val="en_US" w:bidi="en_US"/>
        </w:rPr>
        <w:t>their</w:t>
      </w:r>
      <w:r>
        <w:rPr>
          <w:lang w:val="en_US" w:bidi="en_US"/>
        </w:rPr>
        <w:t xml:space="preserve"> refers to the Jewish people and their leaders. They wanted Jesus to be executed/killed.</w:t>
      </w:r>
    </w:p>
    <w:p>
      <w:pPr/>
      <w:r>
        <w:rPr>
          <w:lang w:val="en_US" w:bidi="en_US"/>
        </w:rPr>
      </w:r>
      <w:r>
        <w:rPr>
          <w:lang w:val="en_US" w:bidi="en_US"/>
        </w:rPr>
        <w:t>The context implies that Pilate ordered his soldiers to take Jesus and execute him, as the Jewish people wanted. It does not imply that the Jewish people were in charge of the execution.</w:t>
      </w:r>
    </w:p>
    <w:p>
      <w:pPr/>
      <w:r>
        <w:rPr>
          <w:lang w:val="en_US" w:bidi="en_US"/>
        </w:rPr>
      </w:r>
      <w:r>
        <w:rPr>
          <w:lang w:val="en_US" w:bidi="en_US"/>
        </w:rPr>
        <w:t>Some other ways to translate this part of the verse are:</w:t>
      </w:r>
    </w:p>
    <w:p>
      <w:pPr/>
      <w:r>
        <w:rPr>
          <w:lang w:val="en_US" w:bidi="en_US"/>
        </w:rPr>
      </w:r>
      <w:r>
        <w:rPr>
          <w:lang w:val="en_US" w:bidi="en_US"/>
        </w:rPr>
        <w:t xml:space="preserve">Then Pilate allowed Jesus to be taken away so that he would be </w:t>
      </w:r>
      <w:r>
        <w:rPr>
          <w:lang w:val="en_US" w:bidi="en_US"/>
        </w:rPr>
        <w:t>killed</w:t>
      </w:r>
      <w:r>
        <w:rPr>
          <w:lang w:val="en_US" w:bidi="en_US"/>
        </w:rPr>
        <w:t xml:space="preserve"> as they wanted.</w:t>
      </w:r>
    </w:p>
    <w:p>
      <w:pPr/>
      <w:r>
        <w:rPr>
          <w:lang w:val="en_US" w:bidi="en_US"/>
        </w:rPr>
      </w:r>
      <w:r>
        <w:rPr>
          <w:lang w:val="en_US" w:bidi="en_US"/>
        </w:rPr>
        <w:t>But Isa was handed over to the soldiers so that the will of the people would be done.</w:t>
      </w:r>
      <w:r>
        <w:rPr>
          <w:lang w:val="en_US" w:bidi="en_US"/>
        </w:rPr>
        <w:t>Yakan back translation on TW.</w:t>
      </w:r>
      <w:r>
        <w:rPr>
          <w:lang w:val="en_US" w:bidi="en_US"/>
        </w:rPr>
      </w:r>
      <w:r>
        <w:rPr>
          <w:lang w:val="en_US" w:bidi="en_US"/>
        </w:rPr>
      </w:r>
    </w:p>
    <w:p>
      <w:pPr/>
      <w:r>
        <w:rPr>
          <w:lang w:val="en_US" w:bidi="en_US"/>
        </w:rPr>
      </w:r>
    </w:p>
    <w:p>
      <w:pPr>
        <w:pStyle w:val="Heading2"/>
      </w:pPr>
      <w:r>
        <w:rPr>
          <w:lang w:val="en_US" w:bidi="en_US"/>
        </w:rPr>
        <w:t>Luke 23:26</w:t>
      </w:r>
      <w:r>
        <w:rPr>
          <w:lang w:val="en_US" w:bidi="en_US"/>
        </w:rPr>
      </w:r>
    </w:p>
    <w:p>
      <w:pPr>
        <w:pStyle w:val="Heading4"/>
      </w:pPr>
      <w:r>
        <w:rPr>
          <w:lang w:val="en_US" w:bidi="en_US"/>
        </w:rPr>
        <w:t>Section 23:26–43: Soldiers nailed Jesus to a cross</w:t>
      </w:r>
    </w:p>
    <w:p>
      <w:pPr/>
      <w:r>
        <w:rPr>
          <w:lang w:val="en_US" w:bidi="en_US"/>
        </w:rPr>
      </w:r>
      <w:r>
        <w:rPr>
          <w:lang w:val="en_US" w:bidi="en_US"/>
        </w:rP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pPr/>
      <w:r>
        <w:rPr>
          <w:lang w:val="en_US" w:bidi="en_US"/>
        </w:rPr>
      </w:r>
      <w:r>
        <w:rPr>
          <w:lang w:val="en_US" w:bidi="en_US"/>
        </w:rPr>
        <w:t>Other examples of headings for this section are:</w:t>
      </w:r>
    </w:p>
    <w:p>
      <w:pPr/>
      <w:r>
        <w:rPr>
          <w:lang w:val="en_US" w:bidi="en_US"/>
        </w:rPr>
      </w:r>
      <w:r>
        <w:rPr>
          <w:lang w:val="en_US" w:bidi="en_US"/>
        </w:rPr>
        <w:t>The Crucifixion (NIV)</w:t>
      </w:r>
    </w:p>
    <w:p>
      <w:pPr/>
      <w:r>
        <w:rPr>
          <w:lang w:val="en_US" w:bidi="en_US"/>
        </w:rPr>
      </w:r>
      <w:r>
        <w:rPr>
          <w:lang w:val="en_US" w:bidi="en_US"/>
        </w:rPr>
        <w:t>Jesus Is Nailed to a Cross (CEV)</w:t>
      </w:r>
    </w:p>
    <w:p>
      <w:pPr/>
      <w:r>
        <w:rPr>
          <w:lang w:val="en_US" w:bidi="en_US"/>
        </w:rPr>
      </w:r>
      <w:r>
        <w:rPr>
          <w:lang w:val="en_US" w:bidi="en_US"/>
        </w:rPr>
        <w:t>Roman soldiers nailed Jesus to a cross</w:t>
      </w:r>
    </w:p>
    <w:p>
      <w:pPr/>
      <w:r>
        <w:rPr>
          <w:lang w:val="en_US" w:bidi="en_US"/>
        </w:rPr>
      </w:r>
      <w:r>
        <w:rPr>
          <w:lang w:val="en_US" w:bidi="en_US"/>
        </w:rPr>
        <w:t>There are parallel passages for this section in Matthew 27:31–44, Mark 15:21–32, and John 19:17–27.</w:t>
      </w:r>
    </w:p>
    <w:p>
      <w:pPr>
        <w:pStyle w:val="Heading5"/>
      </w:pPr>
      <w:r>
        <w:rPr>
          <w:lang w:val="en_US" w:bidi="en_US"/>
        </w:rPr>
        <w:t>23:26a</w:t>
      </w:r>
    </w:p>
    <w:p>
      <w:pPr/>
      <w:r>
        <w:rPr>
          <w:lang w:val="en_US" w:bidi="en_US"/>
        </w:rPr>
      </w:r>
      <w:r>
        <w:rPr>
          <w:b/>
          <w:lang w:val="en_US" w:bidi="en_US"/>
        </w:rPr>
        <w:t>As the soldiers led Him away,</w:t>
      </w:r>
    </w:p>
    <w:p>
      <w:pPr>
        <w:pStyle w:val="ListBullet"/>
        <w:spacing w:line="240" w:lineRule="auto"/>
        <w:ind w:left="720"/>
      </w:pPr>
      <w:r>
        <w:rPr>
          <w:lang w:val="en_US" w:bidi="en_US"/>
        </w:rPr>
      </w:r>
      <w:r>
        <w:rPr>
          <w:lang w:val="en_US" w:bidi="en_US"/>
        </w:rPr>
        <w:t xml:space="preserve">¶ As </w:t>
      </w:r>
      <w:r>
        <w:rPr>
          <w:lang w:val="en_US" w:bidi="en_US"/>
        </w:rPr>
        <w:t>Pilate’s men/soldiers</w:t>
      </w:r>
      <w:r>
        <w:rPr>
          <w:lang w:val="en_US" w:bidi="en_US"/>
        </w:rPr>
        <w:t xml:space="preserve"> led </w:t>
      </w:r>
      <w:r>
        <w:rPr>
          <w:lang w:val="en_US" w:bidi="en_US"/>
        </w:rPr>
        <w:t>Jesus</w:t>
      </w:r>
      <w:r>
        <w:rPr>
          <w:lang w:val="en_US" w:bidi="en_US"/>
        </w:rPr>
        <w:t xml:space="preserve"> away </w:t>
      </w:r>
      <w:r>
        <w:rPr>
          <w:lang w:val="en_US" w:bidi="en_US"/>
        </w:rPr>
        <w:t>from there</w:t>
      </w:r>
      <w:r>
        <w:rPr>
          <w:lang w:val="en_US" w:bidi="en_US"/>
        </w:rPr>
        <w:t>,</w:t>
      </w:r>
    </w:p>
    <w:p>
      <w:pPr>
        <w:pStyle w:val="ListBullet"/>
        <w:spacing w:line="240" w:lineRule="auto"/>
        <w:ind w:left="720"/>
      </w:pPr>
      <w:r>
        <w:rPr>
          <w:lang w:val="en_US" w:bidi="en_US"/>
        </w:rPr>
      </w:r>
      <w:r>
        <w:rPr>
          <w:lang w:val="en_US" w:bidi="en_US"/>
        </w:rPr>
        <w:t xml:space="preserve">¶ Then </w:t>
      </w:r>
      <w:r>
        <w:rPr>
          <w:lang w:val="en_US" w:bidi="en_US"/>
        </w:rPr>
        <w:t>the soldiers</w:t>
      </w:r>
      <w:r>
        <w:rPr>
          <w:lang w:val="en_US" w:bidi="en_US"/>
        </w:rPr>
        <w:t xml:space="preserve"> took Jesus away </w:t>
      </w:r>
      <w:r>
        <w:rPr>
          <w:lang w:val="en_US" w:bidi="en_US"/>
        </w:rPr>
        <w:t>to crucify/kill him</w:t>
      </w:r>
      <w:r>
        <w:rPr>
          <w:lang w:val="en_US" w:bidi="en_US"/>
        </w:rPr>
        <w:t>. As they were on the way,</w:t>
      </w:r>
    </w:p>
    <w:p>
      <w:pPr/>
      <w:r>
        <w:rPr>
          <w:lang w:val="en_US" w:bidi="en_US"/>
        </w:rPr>
      </w:r>
      <w:r>
        <w:rPr>
          <w:b/>
          <w:lang w:val="en_US" w:bidi="en_US"/>
        </w:rPr>
        <w:t>As the soldiers led Him away:</w:t>
      </w:r>
      <w:r>
        <w:rPr>
          <w:lang w:val="en_US" w:bidi="en_US"/>
        </w:rPr>
        <w:t xml:space="preserve"> This clause introduces something that happened while Pilate’s soldiers were leading Jesus away to be crucified. Some other ways to translate the clause are:</w:t>
      </w:r>
    </w:p>
    <w:p>
      <w:pPr/>
      <w:r>
        <w:rPr>
          <w:lang w:val="en_US" w:bidi="en_US"/>
        </w:rPr>
      </w:r>
      <w:r>
        <w:rPr>
          <w:lang w:val="en_US" w:bidi="en_US"/>
        </w:rPr>
        <w:t>From there, they took Yesus outside the town, and on the way…</w:t>
      </w:r>
      <w:r>
        <w:rPr>
          <w:lang w:val="en_US" w:bidi="en_US"/>
        </w:rPr>
        <w:t>Uma back translation on TW.</w:t>
      </w:r>
    </w:p>
    <w:p>
      <w:pPr/>
      <w:r>
        <w:rPr>
          <w:lang w:val="en_US" w:bidi="en_US"/>
        </w:rPr>
      </w:r>
      <w:r>
        <w:rPr>
          <w:lang w:val="en_US" w:bidi="en_US"/>
        </w:rPr>
        <w:t xml:space="preserve">Then they began to lead Jesus out </w:t>
      </w:r>
      <w:r>
        <w:rPr>
          <w:lang w:val="en_US" w:bidi="en_US"/>
        </w:rPr>
        <w:t>of the city</w:t>
      </w:r>
      <w:r>
        <w:rPr>
          <w:lang w:val="en_US" w:bidi="en_US"/>
        </w:rPr>
        <w:t xml:space="preserve"> </w:t>
      </w:r>
      <w:r>
        <w:rPr>
          <w:lang w:val="en_US" w:bidi="en_US"/>
        </w:rPr>
        <w:t>to crucify him</w:t>
      </w:r>
      <w:r>
        <w:rPr>
          <w:lang w:val="en_US" w:bidi="en_US"/>
        </w:rPr>
        <w:t>. As they were walking there…</w:t>
      </w:r>
    </w:p>
    <w:p>
      <w:pPr/>
      <w:r>
        <w:rPr>
          <w:lang w:val="en_US" w:bidi="en_US"/>
        </w:rPr>
      </w:r>
      <w:r>
        <w:rPr>
          <w:b/>
          <w:lang w:val="en_US" w:bidi="en_US"/>
        </w:rPr>
        <w:t>the soldiers led Him away:</w:t>
      </w:r>
      <w:r>
        <w:rPr>
          <w:lang w:val="en_US" w:bidi="en_US"/>
        </w:rPr>
        <w:t xml:space="preserve"> Here the phrase </w:t>
      </w:r>
      <w:r>
        <w:rPr>
          <w:i/>
          <w:lang w:val="en_US" w:bidi="en_US"/>
        </w:rPr>
        <w:t>the soldiers</w:t>
      </w:r>
      <w:r>
        <w:rPr>
          <w:lang w:val="en_US" w:bidi="en_US"/>
        </w:rPr>
        <w:t xml:space="preserve"> refers to Pilate’s soldiers. These soldiers led Jesus away from his trial at Pilate’s house. They were taking Jesus as a prisoner to his execution. Some other ways to translate </w:t>
      </w:r>
      <w:r>
        <w:rPr>
          <w:i/>
          <w:lang w:val="en_US" w:bidi="en_US"/>
        </w:rPr>
        <w:t>the soldiers led Him away</w:t>
      </w:r>
      <w:r>
        <w:rPr>
          <w:lang w:val="en_US" w:bidi="en_US"/>
        </w:rPr>
        <w:t xml:space="preserve"> are:</w:t>
      </w:r>
    </w:p>
    <w:p>
      <w:pPr/>
      <w:r>
        <w:rPr>
          <w:lang w:val="en_US" w:bidi="en_US"/>
        </w:rPr>
      </w:r>
      <w:r>
        <w:rPr>
          <w:lang w:val="en_US" w:bidi="en_US"/>
        </w:rPr>
        <w:t>the soldiers led Jesus away (GW)</w:t>
      </w:r>
    </w:p>
    <w:p>
      <w:pPr/>
      <w:r>
        <w:rPr>
          <w:lang w:val="en_US" w:bidi="en_US"/>
        </w:rPr>
      </w:r>
      <w:r>
        <w:rPr>
          <w:lang w:val="en_US" w:bidi="en_US"/>
        </w:rPr>
        <w:t>Jesus was being led away (CEV)</w:t>
      </w:r>
    </w:p>
    <w:p>
      <w:pPr>
        <w:pStyle w:val="Heading5"/>
      </w:pPr>
      <w:r>
        <w:rPr>
          <w:lang w:val="en_US" w:bidi="en_US"/>
        </w:rPr>
        <w:t>23:26b</w:t>
      </w:r>
    </w:p>
    <w:p>
      <w:pPr/>
      <w:r>
        <w:rPr>
          <w:lang w:val="en_US" w:bidi="en_US"/>
        </w:rPr>
      </w:r>
      <w:r>
        <w:rPr>
          <w:b/>
          <w:lang w:val="en_US" w:bidi="en_US"/>
        </w:rPr>
        <w:t>they seized Simon of Cyrene</w:t>
      </w:r>
    </w:p>
    <w:p>
      <w:pPr>
        <w:pStyle w:val="ListBullet"/>
        <w:spacing w:line="240" w:lineRule="auto"/>
        <w:ind w:left="720"/>
      </w:pPr>
      <w:r>
        <w:rPr>
          <w:lang w:val="en_US" w:bidi="en_US"/>
        </w:rPr>
      </w:r>
      <w:r>
        <w:rPr>
          <w:lang w:val="en_US" w:bidi="en_US"/>
        </w:rPr>
        <w:t xml:space="preserve">they grabbed </w:t>
      </w:r>
      <w:r>
        <w:rPr>
          <w:lang w:val="en_US" w:bidi="en_US"/>
        </w:rPr>
        <w:t>a certain man called</w:t>
      </w:r>
      <w:r>
        <w:rPr>
          <w:lang w:val="en_US" w:bidi="en_US"/>
        </w:rPr>
        <w:t xml:space="preserve"> Simon who was a Cyrene person/native.</w:t>
      </w:r>
    </w:p>
    <w:p>
      <w:pPr>
        <w:pStyle w:val="ListBullet"/>
        <w:spacing w:line="240" w:lineRule="auto"/>
        <w:ind w:left="720"/>
      </w:pPr>
      <w:r>
        <w:rPr>
          <w:lang w:val="en_US" w:bidi="en_US"/>
        </w:rPr>
      </w:r>
      <w:r>
        <w:rPr>
          <w:lang w:val="en_US" w:bidi="en_US"/>
        </w:rPr>
        <w:t xml:space="preserve">they saw/met a man named Simon. He was from </w:t>
      </w:r>
      <w:r>
        <w:rPr>
          <w:lang w:val="en_US" w:bidi="en_US"/>
        </w:rPr>
        <w:t>the town of</w:t>
      </w:r>
      <w:r>
        <w:rPr>
          <w:lang w:val="en_US" w:bidi="en_US"/>
        </w:rPr>
        <w:t xml:space="preserve"> Cyrene.</w:t>
      </w:r>
    </w:p>
    <w:p>
      <w:pPr>
        <w:pStyle w:val="Heading5"/>
      </w:pPr>
      <w:r>
        <w:rPr>
          <w:lang w:val="en_US" w:bidi="en_US"/>
        </w:rPr>
        <w:t>23:26b–c</w:t>
      </w:r>
    </w:p>
    <w:p>
      <w:pPr/>
      <w:r>
        <w:rPr>
          <w:lang w:val="en_US" w:bidi="en_US"/>
        </w:rPr>
      </w:r>
      <w:r>
        <w:rPr>
          <w:b/>
          <w:lang w:val="en_US" w:bidi="en_US"/>
        </w:rPr>
        <w:t>they seized Simon:</w:t>
      </w:r>
      <w:r>
        <w:rPr>
          <w:lang w:val="en_US" w:bidi="en_US"/>
        </w:rPr>
        <w:t xml:space="preserve"> The Greek word that the BSB translates as </w:t>
      </w:r>
      <w:r>
        <w:rPr>
          <w:i/>
          <w:lang w:val="en_US" w:bidi="en_US"/>
        </w:rPr>
        <w:t>seized</w:t>
      </w:r>
      <w:r>
        <w:rPr>
          <w:lang w:val="en_US" w:bidi="en_US"/>
        </w:rPr>
        <w:t xml:space="preserve"> means “to grasp/grab.” The soldiers grabbed Simon so that they could force him to do something. Some other ways to translate </w:t>
      </w:r>
      <w:r>
        <w:rPr>
          <w:i/>
          <w:lang w:val="en_US" w:bidi="en_US"/>
        </w:rPr>
        <w:t>they seized Simon</w:t>
      </w:r>
      <w:r>
        <w:rPr>
          <w:lang w:val="en_US" w:bidi="en_US"/>
        </w:rPr>
        <w:t xml:space="preserve"> are:</w:t>
      </w:r>
    </w:p>
    <w:p>
      <w:pPr/>
      <w:r>
        <w:rPr>
          <w:lang w:val="en_US" w:bidi="en_US"/>
        </w:rPr>
      </w:r>
      <w:r>
        <w:rPr>
          <w:lang w:val="en_US" w:bidi="en_US"/>
        </w:rPr>
        <w:t>some soldiers grabbed hold of…Simon (CEV)</w:t>
      </w:r>
    </w:p>
    <w:p>
      <w:pPr/>
      <w:r>
        <w:rPr>
          <w:lang w:val="en_US" w:bidi="en_US"/>
        </w:rPr>
      </w:r>
      <w:r>
        <w:rPr>
          <w:lang w:val="en_US" w:bidi="en_US"/>
        </w:rPr>
        <w:t>they met…Simon…They caught him</w:t>
      </w:r>
      <w:r>
        <w:rPr>
          <w:lang w:val="en_US" w:bidi="en_US"/>
        </w:rPr>
        <w:t>Kankanaey back translation on TW.</w:t>
      </w:r>
    </w:p>
    <w:p>
      <w:pPr/>
      <w:r>
        <w:rPr>
          <w:lang w:val="en_US" w:bidi="en_US"/>
        </w:rPr>
      </w:r>
      <w:r>
        <w:rPr>
          <w:b/>
          <w:lang w:val="en_US" w:bidi="en_US"/>
        </w:rPr>
        <w:t>Simon of Cyrene:</w:t>
      </w:r>
      <w:r>
        <w:rPr>
          <w:lang w:val="en_US" w:bidi="en_US"/>
        </w:rPr>
        <w:t xml:space="preserve"> This man named </w:t>
      </w:r>
      <w:r>
        <w:rPr>
          <w:i/>
          <w:lang w:val="en_US" w:bidi="en_US"/>
        </w:rPr>
        <w:t>Simon</w:t>
      </w:r>
      <w:r>
        <w:rPr>
          <w:lang w:val="en_US" w:bidi="en_US"/>
        </w:rPr>
        <w:t xml:space="preserve"> is mentioned here for the first time in the book of Luke. In some languages there is a special way to introduce a new person and give background information about him. For example:</w:t>
      </w:r>
    </w:p>
    <w:p>
      <w:pPr/>
      <w:r>
        <w:rPr>
          <w:lang w:val="en_US" w:bidi="en_US"/>
        </w:rPr>
      </w:r>
      <w:r>
        <w:rPr>
          <w:lang w:val="en_US" w:bidi="en_US"/>
        </w:rPr>
        <w:t>they met a man from Cyrene, named Simon.</w:t>
      </w:r>
      <w:r>
        <w:rPr>
          <w:lang w:val="en_US" w:bidi="en_US"/>
        </w:rPr>
        <w:t>Western Bukidnon Manobo back translation on TW.</w:t>
      </w:r>
    </w:p>
    <w:p>
      <w:pPr/>
      <w:r>
        <w:rPr>
          <w:lang w:val="en_US" w:bidi="en_US"/>
        </w:rPr>
      </w:r>
      <w:r>
        <w:rPr>
          <w:lang w:val="en_US" w:bidi="en_US"/>
        </w:rPr>
        <w:t>It may also be more natural to give all the background information about Simon before telling what he did. See the General Comment on 23:26a–e at the end of 23:26e for examples.</w:t>
      </w:r>
    </w:p>
    <w:p>
      <w:pPr/>
      <w:r>
        <w:rPr>
          <w:lang w:val="en_US" w:bidi="en_US"/>
        </w:rPr>
      </w:r>
      <w:r>
        <w:rPr>
          <w:b/>
          <w:lang w:val="en_US" w:bidi="en_US"/>
        </w:rPr>
        <w:t>Cyrene:</w:t>
      </w:r>
      <w:r>
        <w:rPr>
          <w:lang w:val="en_US" w:bidi="en_US"/>
        </w:rPr>
        <w:t xml:space="preserve"> </w:t>
      </w:r>
      <w:r>
        <w:rPr>
          <w:i/>
          <w:lang w:val="en_US" w:bidi="en_US"/>
        </w:rPr>
        <w:t>Cyrene</w:t>
      </w:r>
      <w:r>
        <w:rPr>
          <w:lang w:val="en_US" w:bidi="en_US"/>
        </w:rPr>
        <w:t xml:space="preserve"> was a town on the coast of north Africa. In some languages it may be helpful to indicate in the text that Cyrene refers to a place. For example:</w:t>
      </w:r>
    </w:p>
    <w:p>
      <w:pPr/>
      <w:r>
        <w:rPr>
          <w:lang w:val="en_US" w:bidi="en_US"/>
        </w:rPr>
      </w:r>
      <w:r>
        <w:rPr>
          <w:lang w:val="en_US" w:bidi="en_US"/>
        </w:rPr>
        <w:t>the town of</w:t>
      </w:r>
      <w:r>
        <w:rPr>
          <w:lang w:val="en_US" w:bidi="en_US"/>
        </w:rPr>
        <w:t xml:space="preserve"> Cyrene</w:t>
      </w:r>
    </w:p>
    <w:p>
      <w:pPr/>
      <w:r>
        <w:rPr>
          <w:lang w:val="en_US" w:bidi="en_US"/>
        </w:rPr>
      </w:r>
      <w:r>
        <w:rPr>
          <w:lang w:val="en_US" w:bidi="en_US"/>
        </w:rPr>
        <w:t>the place called Cyrene</w:t>
      </w:r>
    </w:p>
    <w:p>
      <w:pPr>
        <w:pStyle w:val="Heading5"/>
      </w:pPr>
      <w:r>
        <w:rPr>
          <w:lang w:val="en_US" w:bidi="en_US"/>
        </w:rPr>
        <w:t>23:26c</w:t>
      </w:r>
    </w:p>
    <w:p>
      <w:pPr/>
      <w:r>
        <w:rPr>
          <w:lang w:val="en_US" w:bidi="en_US"/>
        </w:rPr>
      </w:r>
      <w:r>
        <w:rPr>
          <w:b/>
          <w:lang w:val="en_US" w:bidi="en_US"/>
        </w:rPr>
        <w:t>on his way in from the country,</w:t>
      </w:r>
    </w:p>
    <w:p>
      <w:pPr>
        <w:pStyle w:val="ListBullet"/>
        <w:spacing w:line="240" w:lineRule="auto"/>
        <w:ind w:left="720"/>
      </w:pPr>
      <w:r>
        <w:rPr>
          <w:lang w:val="en_US" w:bidi="en_US"/>
        </w:rPr>
      </w:r>
      <w:r>
        <w:rPr>
          <w:lang w:val="en_US" w:bidi="en_US"/>
        </w:rPr>
        <w:t xml:space="preserve">He was coming into </w:t>
      </w:r>
      <w:r>
        <w:rPr>
          <w:lang w:val="en_US" w:bidi="en_US"/>
        </w:rPr>
        <w:t>Jerusalem</w:t>
      </w:r>
      <w:r>
        <w:rPr>
          <w:lang w:val="en_US" w:bidi="en_US"/>
        </w:rPr>
        <w:t xml:space="preserve"> from the countryside.</w:t>
      </w:r>
    </w:p>
    <w:p>
      <w:pPr>
        <w:pStyle w:val="ListBullet"/>
        <w:spacing w:line="240" w:lineRule="auto"/>
        <w:ind w:left="720"/>
      </w:pPr>
      <w:r>
        <w:rPr>
          <w:lang w:val="en_US" w:bidi="en_US"/>
        </w:rPr>
      </w:r>
      <w:r>
        <w:rPr>
          <w:lang w:val="en_US" w:bidi="en_US"/>
        </w:rPr>
        <w:t xml:space="preserve">He was coming from the fields and at that moment was entering </w:t>
      </w:r>
      <w:r>
        <w:rPr>
          <w:lang w:val="en_US" w:bidi="en_US"/>
        </w:rPr>
        <w:t>the city of Jerusalem</w:t>
      </w:r>
      <w:r>
        <w:rPr>
          <w:lang w:val="en_US" w:bidi="en_US"/>
        </w:rPr>
        <w:t>.</w:t>
      </w:r>
    </w:p>
    <w:p>
      <w:pPr/>
      <w:r>
        <w:rPr>
          <w:lang w:val="en_US" w:bidi="en_US"/>
        </w:rPr>
      </w:r>
      <w:r>
        <w:rPr>
          <w:b/>
          <w:lang w:val="en_US" w:bidi="en_US"/>
        </w:rPr>
        <w:t>on his way in from the country:</w:t>
      </w:r>
      <w:r>
        <w:rPr>
          <w:lang w:val="en_US" w:bidi="en_US"/>
        </w:rPr>
        <w:t xml:space="preserve"> This clause tells more background information about Simon. Simon had come from the countryside and at that moment was coming/going into the city of Jerusalem. Other ways to translate the clause are:</w:t>
      </w:r>
    </w:p>
    <w:p>
      <w:pPr/>
      <w:r>
        <w:rPr>
          <w:lang w:val="en_US" w:bidi="en_US"/>
        </w:rPr>
      </w:r>
      <w:r>
        <w:rPr>
          <w:lang w:val="en_US" w:bidi="en_US"/>
        </w:rPr>
        <w:t>Simon was coming into Jerusalem (GW)</w:t>
      </w:r>
    </w:p>
    <w:p>
      <w:pPr/>
      <w:r>
        <w:rPr>
          <w:lang w:val="en_US" w:bidi="en_US"/>
        </w:rPr>
      </w:r>
      <w:r>
        <w:rPr>
          <w:lang w:val="en_US" w:bidi="en_US"/>
        </w:rPr>
        <w:t>was coming in from the fields (NCV)</w:t>
      </w:r>
    </w:p>
    <w:p>
      <w:pPr/>
      <w:r>
        <w:rPr>
          <w:lang w:val="en_US" w:bidi="en_US"/>
        </w:rPr>
      </w:r>
      <w:r>
        <w:rPr>
          <w:lang w:val="en_US" w:bidi="en_US"/>
        </w:rPr>
        <w:t>on his way in from the country (REB)</w:t>
      </w:r>
    </w:p>
    <w:p>
      <w:pPr/>
      <w:r>
        <w:rPr>
          <w:lang w:val="en_US" w:bidi="en_US"/>
        </w:rPr>
      </w:r>
      <w:r>
        <w:rPr>
          <w:b/>
          <w:lang w:val="en_US" w:bidi="en_US"/>
        </w:rPr>
        <w:t>from the country:</w:t>
      </w:r>
      <w:r>
        <w:rPr>
          <w:lang w:val="en_US" w:bidi="en_US"/>
        </w:rPr>
        <w:t xml:space="preserve"> The phrase </w:t>
      </w:r>
      <w:r>
        <w:rPr>
          <w:i/>
          <w:lang w:val="en_US" w:bidi="en_US"/>
        </w:rPr>
        <w:t>from the country</w:t>
      </w:r>
      <w:r>
        <w:rPr>
          <w:lang w:val="en_US" w:bidi="en_US"/>
        </w:rPr>
        <w:t xml:space="preserve"> refers to fields or small villages and towns. It contrasts with the city. In this context the phrase does not indicate that Simon had been working in his field or farm. The name Simon is Jewish. Work was forbidden to a Jew during an important festival like Passover. Translate the phrase in an appropriate way in your language.</w:t>
      </w:r>
    </w:p>
    <w:p>
      <w:pPr>
        <w:pStyle w:val="Heading5"/>
      </w:pPr>
      <w:r>
        <w:rPr>
          <w:lang w:val="en_US" w:bidi="en_US"/>
        </w:rPr>
        <w:t>23:26d</w:t>
      </w:r>
    </w:p>
    <w:p>
      <w:pPr/>
      <w:r>
        <w:rPr>
          <w:lang w:val="en_US" w:bidi="en_US"/>
        </w:rPr>
      </w:r>
      <w:r>
        <w:rPr>
          <w:b/>
          <w:lang w:val="en_US" w:bidi="en_US"/>
        </w:rPr>
        <w:t>and put the cross on him</w:t>
      </w:r>
    </w:p>
    <w:p>
      <w:pPr>
        <w:pStyle w:val="ListBullet"/>
        <w:spacing w:line="240" w:lineRule="auto"/>
        <w:ind w:left="720"/>
      </w:pPr>
      <w:r>
        <w:rPr>
          <w:lang w:val="en_US" w:bidi="en_US"/>
        </w:rPr>
      </w:r>
      <w:r>
        <w:rPr>
          <w:lang w:val="en_US" w:bidi="en_US"/>
        </w:rPr>
        <w:t>The soldiers</w:t>
      </w:r>
      <w:r>
        <w:rPr>
          <w:lang w:val="en_US" w:bidi="en_US"/>
        </w:rPr>
        <w:t xml:space="preserve"> put the cross on Simon</w:t>
      </w:r>
    </w:p>
    <w:p>
      <w:pPr>
        <w:pStyle w:val="ListBullet"/>
        <w:spacing w:line="240" w:lineRule="auto"/>
        <w:ind w:left="720"/>
      </w:pPr>
      <w:r>
        <w:rPr>
          <w:lang w:val="en_US" w:bidi="en_US"/>
        </w:rPr>
      </w:r>
      <w:r>
        <w:rPr>
          <w:lang w:val="en_US" w:bidi="en_US"/>
        </w:rPr>
        <w:t>When the soldiers saw him,</w:t>
      </w:r>
      <w:r>
        <w:rPr>
          <w:lang w:val="en_US" w:bidi="en_US"/>
        </w:rPr>
        <w:t xml:space="preserve"> they took him and put the large cross beam on his </w:t>
      </w:r>
      <w:r>
        <w:rPr>
          <w:lang w:val="en_US" w:bidi="en_US"/>
        </w:rPr>
        <w:t>back/shoulders</w:t>
      </w:r>
      <w:r>
        <w:rPr>
          <w:lang w:val="en_US" w:bidi="en_US"/>
        </w:rPr>
        <w:t>.</w:t>
      </w:r>
    </w:p>
    <w:p>
      <w:pPr/>
      <w:r>
        <w:rPr>
          <w:lang w:val="en_US" w:bidi="en_US"/>
        </w:rPr>
      </w:r>
      <w:r>
        <w:rPr>
          <w:b/>
          <w:lang w:val="en_US" w:bidi="en_US"/>
        </w:rPr>
        <w:t>put the cross on him:</w:t>
      </w:r>
      <w:r>
        <w:rPr>
          <w:lang w:val="en_US" w:bidi="en_US"/>
        </w:rPr>
        <w:t xml:space="preserve"> The phrase </w:t>
      </w:r>
      <w:r>
        <w:rPr>
          <w:i/>
          <w:lang w:val="en_US" w:bidi="en_US"/>
        </w:rPr>
        <w:t>the cross</w:t>
      </w:r>
      <w:r>
        <w:rPr>
          <w:lang w:val="en_US" w:bidi="en_US"/>
        </w:rPr>
        <w:t xml:space="preserve"> refers here to the cross to which Jesus would be nailed to die. Usually criminals were forced to carry one of the large beams of their own cross. They carried it to the place where they would be nailed to it.</w:t>
      </w:r>
    </w:p>
    <w:p>
      <w:pPr/>
      <w:r>
        <w:rPr>
          <w:lang w:val="en_US" w:bidi="en_US"/>
        </w:rPr>
      </w:r>
      <w:r>
        <w:rPr>
          <w:lang w:val="en_US" w:bidi="en_US"/>
        </w:rPr>
        <w:t xml:space="preserve">In this context the soldiers forced Simon to carry the cross for Jesus. They put the cross on Simon’s shoulders. Some ways to translate </w:t>
      </w:r>
      <w:r>
        <w:rPr>
          <w:i/>
          <w:lang w:val="en_US" w:bidi="en_US"/>
        </w:rPr>
        <w:t>put the cross on him</w:t>
      </w:r>
      <w:r>
        <w:rPr>
          <w:lang w:val="en_US" w:bidi="en_US"/>
        </w:rPr>
        <w:t xml:space="preserve"> are:</w:t>
      </w:r>
    </w:p>
    <w:p>
      <w:pPr/>
      <w:r>
        <w:rPr>
          <w:lang w:val="en_US" w:bidi="en_US"/>
        </w:rPr>
      </w:r>
      <w:r>
        <w:rPr>
          <w:lang w:val="en_US" w:bidi="en_US"/>
        </w:rPr>
        <w:t>laid the cross on him (NRSV)</w:t>
      </w:r>
    </w:p>
    <w:p>
      <w:pPr/>
      <w:r>
        <w:rPr>
          <w:lang w:val="en_US" w:bidi="en_US"/>
        </w:rPr>
      </w:r>
      <w:r>
        <w:rPr>
          <w:lang w:val="en_US" w:bidi="en_US"/>
        </w:rPr>
        <w:t>placed the cross on his back/shoulders</w:t>
      </w:r>
    </w:p>
    <w:p>
      <w:pPr/>
      <w:r>
        <w:rPr>
          <w:lang w:val="en_US" w:bidi="en_US"/>
        </w:rPr>
      </w:r>
      <w:r>
        <w:rPr>
          <w:lang w:val="en_US" w:bidi="en_US"/>
        </w:rPr>
        <w:t xml:space="preserve">commanded/forced him to carry the cross </w:t>
      </w:r>
      <w:r>
        <w:rPr>
          <w:lang w:val="en_US" w:bidi="en_US"/>
        </w:rPr>
        <w:t>that Jesus was carrying</w:t>
      </w:r>
    </w:p>
    <w:p>
      <w:pPr/>
      <w:r>
        <w:rPr>
          <w:lang w:val="en_US" w:bidi="en_US"/>
        </w:rPr>
      </w:r>
      <w:r>
        <w:rPr>
          <w:b/>
          <w:lang w:val="en_US" w:bidi="en_US"/>
        </w:rPr>
        <w:t>cross:</w:t>
      </w:r>
      <w:r>
        <w:rPr>
          <w:lang w:val="en_US" w:bidi="en_US"/>
        </w:rPr>
        <w:t xml:space="preserve"> The word </w:t>
      </w:r>
      <w:r>
        <w:rPr>
          <w:i/>
          <w:lang w:val="en_US" w:bidi="en_US"/>
        </w:rPr>
        <w:t>cross</w:t>
      </w:r>
      <w:r>
        <w:rPr>
          <w:lang w:val="en_US" w:bidi="en_US"/>
        </w:rPr>
        <w:t xml:space="preserve"> refers to two large beams of wood that were joined in the form of a cross (</w:t>
      </w:r>
      <w:r>
        <w:rPr>
          <w:b/>
          <w:lang w:val="en_US" w:bidi="en_US"/>
        </w:rPr>
        <w:t>+</w:t>
      </w:r>
      <w:r>
        <w:rPr>
          <w:lang w:val="en_US" w:bidi="en_US"/>
        </w:rPr>
        <w:t xml:space="preserve"> or </w:t>
      </w:r>
      <w:r>
        <w:rPr>
          <w:b/>
          <w:lang w:val="en_US" w:bidi="en_US"/>
        </w:rPr>
        <w:t>✝</w:t>
      </w:r>
      <w:r>
        <w:rPr>
          <w:lang w:val="en_US" w:bidi="en_US"/>
        </w:rPr>
        <w:t xml:space="preserve"> or sometimes a </w:t>
      </w:r>
      <w:r>
        <w:rPr>
          <w:b/>
          <w:lang w:val="en_US" w:bidi="en_US"/>
        </w:rPr>
        <w:t>T</w:t>
      </w:r>
      <w:r>
        <w:rPr>
          <w:lang w:val="en_US" w:bidi="en_US"/>
        </w:rPr>
        <w:t xml:space="preserve">). In many languages there may be no word for </w:t>
      </w:r>
      <w:r>
        <w:rPr>
          <w:i/>
          <w:lang w:val="en_US" w:bidi="en_US"/>
        </w:rPr>
        <w:t>cross</w:t>
      </w:r>
      <w:r>
        <w:rPr>
          <w:lang w:val="en_US" w:bidi="en_US"/>
        </w:rPr>
        <w:t>. If that is true in your language, you may need to use a descriptive phrase. For example:</w:t>
      </w:r>
    </w:p>
    <w:p>
      <w:pPr/>
      <w:r>
        <w:rPr>
          <w:lang w:val="en_US" w:bidi="en_US"/>
        </w:rPr>
      </w:r>
      <w:r>
        <w:rPr>
          <w:lang w:val="en_US" w:bidi="en_US"/>
        </w:rPr>
        <w:t>board/wood of death</w:t>
      </w:r>
    </w:p>
    <w:p>
      <w:pPr/>
      <w:r>
        <w:rPr>
          <w:lang w:val="en_US" w:bidi="en_US"/>
        </w:rPr>
      </w:r>
      <w:r>
        <w:rPr>
          <w:lang w:val="en_US" w:bidi="en_US"/>
        </w:rPr>
        <w:t>crossed-beam(s) of death</w:t>
      </w:r>
    </w:p>
    <w:p>
      <w:pPr/>
      <w:r>
        <w:rPr>
          <w:lang w:val="en_US" w:bidi="en_US"/>
        </w:rPr>
      </w:r>
      <w:r>
        <w:rPr>
          <w:lang w:val="en_US" w:bidi="en_US"/>
        </w:rPr>
        <w:t>a tree for killing people</w:t>
      </w:r>
    </w:p>
    <w:p>
      <w:pPr/>
      <w:r>
        <w:rPr>
          <w:lang w:val="en_US" w:bidi="en_US"/>
        </w:rPr>
      </w:r>
      <w:r>
        <w:rPr>
          <w:lang w:val="en_US" w:bidi="en_US"/>
        </w:rPr>
        <w:t>a stake/plank to which they fasten/nail someone to kill him</w:t>
      </w:r>
    </w:p>
    <w:p>
      <w:pPr/>
      <w:r>
        <w:rPr>
          <w:lang w:val="en_US" w:bidi="en_US"/>
        </w:rPr>
      </w:r>
      <w:r>
        <w:rPr>
          <w:lang w:val="en_US" w:bidi="en_US"/>
        </w:rPr>
        <w:t xml:space="preserve">See how you translated </w:t>
      </w:r>
      <w:r>
        <w:rPr>
          <w:i/>
          <w:lang w:val="en_US" w:bidi="en_US"/>
        </w:rPr>
        <w:t>cross</w:t>
      </w:r>
      <w:r>
        <w:rPr>
          <w:lang w:val="en_US" w:bidi="en_US"/>
        </w:rPr>
        <w:t xml:space="preserve"> at 14:27.</w:t>
      </w:r>
    </w:p>
    <w:p>
      <w:pPr>
        <w:pStyle w:val="Heading5"/>
      </w:pPr>
      <w:r>
        <w:rPr>
          <w:lang w:val="en_US" w:bidi="en_US"/>
        </w:rPr>
        <w:t>23:26e</w:t>
      </w:r>
    </w:p>
    <w:p>
      <w:pPr/>
      <w:r>
        <w:rPr>
          <w:lang w:val="en_US" w:bidi="en_US"/>
        </w:rPr>
      </w:r>
      <w:r>
        <w:rPr>
          <w:b/>
          <w:lang w:val="en_US" w:bidi="en_US"/>
        </w:rPr>
        <w:t>to carry behind Jesus.</w:t>
      </w:r>
    </w:p>
    <w:p>
      <w:pPr>
        <w:pStyle w:val="ListBullet"/>
        <w:spacing w:line="240" w:lineRule="auto"/>
        <w:ind w:left="720"/>
      </w:pPr>
      <w:r>
        <w:rPr>
          <w:lang w:val="en_US" w:bidi="en_US"/>
        </w:rPr>
      </w:r>
      <w:r>
        <w:rPr>
          <w:lang w:val="en_US" w:bidi="en_US"/>
        </w:rPr>
        <w:t>and forced him to carry it and walk behind Jesus.</w:t>
      </w:r>
    </w:p>
    <w:p>
      <w:pPr>
        <w:pStyle w:val="ListBullet"/>
        <w:spacing w:line="240" w:lineRule="auto"/>
        <w:ind w:left="720"/>
      </w:pPr>
      <w:r>
        <w:rPr>
          <w:lang w:val="en_US" w:bidi="en_US"/>
        </w:rPr>
      </w:r>
      <w:r>
        <w:rPr>
          <w:lang w:val="en_US" w:bidi="en_US"/>
        </w:rPr>
        <w:t xml:space="preserve">They ordered/forced him to carry it and follow Jesus </w:t>
      </w:r>
      <w:r>
        <w:rPr>
          <w:lang w:val="en_US" w:bidi="en_US"/>
        </w:rPr>
        <w:t>to the place of execution</w:t>
      </w:r>
      <w:r>
        <w:rPr>
          <w:lang w:val="en_US" w:bidi="en_US"/>
        </w:rPr>
        <w:t>.</w:t>
      </w:r>
    </w:p>
    <w:p>
      <w:pPr/>
      <w:r>
        <w:rPr>
          <w:lang w:val="en_US" w:bidi="en_US"/>
        </w:rPr>
      </w:r>
      <w:r>
        <w:rPr>
          <w:b/>
          <w:lang w:val="en_US" w:bidi="en_US"/>
        </w:rPr>
        <w:t>to carry behind Jesus:</w:t>
      </w:r>
      <w:r>
        <w:rPr>
          <w:lang w:val="en_US" w:bidi="en_US"/>
        </w:rPr>
        <w:t xml:space="preserve"> The soldiers forced Simon to walk behind Jesus while he (Simon) carried the cross. Another way to translate this is:</w:t>
      </w:r>
    </w:p>
    <w:p>
      <w:pPr/>
      <w:r>
        <w:rPr>
          <w:lang w:val="en_US" w:bidi="en_US"/>
        </w:rPr>
      </w:r>
      <w:r>
        <w:rPr>
          <w:lang w:val="en_US" w:bidi="en_US"/>
        </w:rPr>
        <w:t>forced him to carry the cross, then they had him follow Jesus</w:t>
      </w:r>
      <w:r>
        <w:rPr>
          <w:lang w:val="en_US" w:bidi="en_US"/>
        </w:rPr>
        <w:t>Kankanaey back translation on TW.</w:t>
      </w:r>
    </w:p>
    <w:p>
      <w:pPr>
        <w:pStyle w:val="Heading6"/>
      </w:pPr>
      <w:r>
        <w:rPr>
          <w:b/>
          <w:lang w:val="en_US" w:bidi="en_US"/>
        </w:rPr>
        <w:t>General Comment on 23:26a–e</w:t>
      </w:r>
    </w:p>
    <w:p>
      <w:pPr/>
      <w:r>
        <w:rPr>
          <w:lang w:val="en_US" w:bidi="en_US"/>
        </w:rPr>
      </w:r>
      <w:r>
        <w:rPr>
          <w:lang w:val="en_US" w:bidi="en_US"/>
        </w:rPr>
        <w:t>This verse gives background information about Simon and also tells about his part in the events of Jesus’ crucifixion. It may be more natural to give all the background information about Simon before telling what he did. For example:</w:t>
      </w:r>
    </w:p>
    <w:p>
      <w:pPr/>
      <w:r>
        <w:rPr>
          <w:lang w:val="en_US" w:bidi="en_US"/>
        </w:rPr>
      </w:r>
      <w:r>
        <w:rPr>
          <w:vertAlign w:val="superscript"/>
          <w:lang w:val="en_US" w:bidi="en_US"/>
        </w:rPr>
        <w:t>26a</w:t>
      </w:r>
      <w:r>
        <w:rPr>
          <w:lang w:val="en_US" w:bidi="en_US"/>
        </w:rPr>
        <w:t xml:space="preserve">The soldiers led Jesus away, and as they were going, </w:t>
      </w:r>
      <w:r>
        <w:rPr>
          <w:vertAlign w:val="superscript"/>
          <w:lang w:val="en_US" w:bidi="en_US"/>
        </w:rPr>
        <w:t>26b</w:t>
      </w:r>
      <w:r>
        <w:rPr>
          <w:lang w:val="en_US" w:bidi="en_US"/>
        </w:rPr>
        <w:t xml:space="preserve">they met a man from Cyrene named Simon </w:t>
      </w:r>
      <w:r>
        <w:rPr>
          <w:vertAlign w:val="superscript"/>
          <w:lang w:val="en_US" w:bidi="en_US"/>
        </w:rPr>
        <w:t>26c</w:t>
      </w:r>
      <w:r>
        <w:rPr>
          <w:lang w:val="en_US" w:bidi="en_US"/>
        </w:rPr>
        <w:t xml:space="preserve">who was coming into the city from the country. </w:t>
      </w:r>
      <w:r>
        <w:rPr>
          <w:vertAlign w:val="superscript"/>
          <w:lang w:val="en_US" w:bidi="en_US"/>
        </w:rPr>
        <w:t>26b</w:t>
      </w:r>
      <w:r>
        <w:rPr>
          <w:lang w:val="en_US" w:bidi="en_US"/>
        </w:rPr>
        <w:t xml:space="preserve">They seized him, </w:t>
      </w:r>
      <w:r>
        <w:rPr>
          <w:vertAlign w:val="superscript"/>
          <w:lang w:val="en_US" w:bidi="en_US"/>
        </w:rPr>
        <w:t>26d</w:t>
      </w:r>
      <w:r>
        <w:rPr>
          <w:lang w:val="en_US" w:bidi="en_US"/>
        </w:rPr>
        <w:t xml:space="preserve">put the cross on him, </w:t>
      </w:r>
      <w:r>
        <w:rPr>
          <w:vertAlign w:val="superscript"/>
          <w:lang w:val="en_US" w:bidi="en_US"/>
        </w:rPr>
        <w:t>26e</w:t>
      </w:r>
      <w:r>
        <w:rPr>
          <w:lang w:val="en_US" w:bidi="en_US"/>
        </w:rPr>
        <w:t>and made him carry it behind Jesus.</w:t>
      </w:r>
      <w:r>
        <w:rPr>
          <w:lang w:val="en_US" w:bidi="en_US"/>
        </w:rPr>
      </w:r>
      <w:r>
        <w:rPr>
          <w:lang w:val="en_US" w:bidi="en_US"/>
        </w:rPr>
      </w:r>
    </w:p>
    <w:p>
      <w:pPr/>
      <w:r>
        <w:rPr>
          <w:lang w:val="en_US" w:bidi="en_US"/>
        </w:rPr>
      </w:r>
    </w:p>
    <w:p>
      <w:pPr>
        <w:pStyle w:val="Heading2"/>
      </w:pPr>
      <w:r>
        <w:rPr>
          <w:lang w:val="en_US" w:bidi="en_US"/>
        </w:rPr>
        <w:t>Luke 23:27</w:t>
      </w:r>
      <w:r>
        <w:rPr>
          <w:lang w:val="en_US" w:bidi="en_US"/>
        </w:rPr>
      </w:r>
    </w:p>
    <w:p>
      <w:pPr>
        <w:pStyle w:val="Heading4"/>
      </w:pPr>
      <w:r>
        <w:rPr>
          <w:lang w:val="en_US" w:bidi="en_US"/>
        </w:rPr>
        <w:t>Section 23:26–43: Soldiers nailed Jesus to a cross</w:t>
      </w:r>
    </w:p>
    <w:p>
      <w:pPr/>
      <w:r>
        <w:rPr>
          <w:lang w:val="en_US" w:bidi="en_US"/>
        </w:rPr>
      </w:r>
      <w:r>
        <w:rPr>
          <w:lang w:val="en_US" w:bidi="en_US"/>
        </w:rP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pPr/>
      <w:r>
        <w:rPr>
          <w:lang w:val="en_US" w:bidi="en_US"/>
        </w:rPr>
      </w:r>
      <w:r>
        <w:rPr>
          <w:lang w:val="en_US" w:bidi="en_US"/>
        </w:rPr>
        <w:t>Other examples of headings for this section are:</w:t>
      </w:r>
    </w:p>
    <w:p>
      <w:pPr/>
      <w:r>
        <w:rPr>
          <w:lang w:val="en_US" w:bidi="en_US"/>
        </w:rPr>
      </w:r>
      <w:r>
        <w:rPr>
          <w:lang w:val="en_US" w:bidi="en_US"/>
        </w:rPr>
        <w:t>The Crucifixion (NIV)</w:t>
      </w:r>
    </w:p>
    <w:p>
      <w:pPr/>
      <w:r>
        <w:rPr>
          <w:lang w:val="en_US" w:bidi="en_US"/>
        </w:rPr>
      </w:r>
      <w:r>
        <w:rPr>
          <w:lang w:val="en_US" w:bidi="en_US"/>
        </w:rPr>
        <w:t>Jesus Is Nailed to a Cross (CEV)</w:t>
      </w:r>
    </w:p>
    <w:p>
      <w:pPr/>
      <w:r>
        <w:rPr>
          <w:lang w:val="en_US" w:bidi="en_US"/>
        </w:rPr>
      </w:r>
      <w:r>
        <w:rPr>
          <w:lang w:val="en_US" w:bidi="en_US"/>
        </w:rPr>
        <w:t>Roman soldiers nailed Jesus to a cross</w:t>
      </w:r>
    </w:p>
    <w:p>
      <w:pPr/>
      <w:r>
        <w:rPr>
          <w:lang w:val="en_US" w:bidi="en_US"/>
        </w:rPr>
      </w:r>
      <w:r>
        <w:rPr>
          <w:lang w:val="en_US" w:bidi="en_US"/>
        </w:rPr>
        <w:t>There are parallel passages for this section in Matthew 27:31–44, Mark 15:21–32, and John 19:17–27.</w:t>
      </w:r>
    </w:p>
    <w:p>
      <w:pPr>
        <w:pStyle w:val="Heading5"/>
      </w:pPr>
      <w:r>
        <w:rPr>
          <w:lang w:val="en_US" w:bidi="en_US"/>
        </w:rPr>
        <w:t>23:27a</w:t>
      </w:r>
    </w:p>
    <w:p>
      <w:pPr/>
      <w:r>
        <w:rPr>
          <w:lang w:val="en_US" w:bidi="en_US"/>
        </w:rPr>
      </w:r>
      <w:r>
        <w:rPr>
          <w:b/>
          <w:lang w:val="en_US" w:bidi="en_US"/>
        </w:rPr>
        <w:t>A great number of people followed Him,</w:t>
      </w:r>
    </w:p>
    <w:p>
      <w:pPr>
        <w:pStyle w:val="ListBullet"/>
        <w:spacing w:line="240" w:lineRule="auto"/>
        <w:ind w:left="720"/>
      </w:pPr>
      <w:r>
        <w:rPr>
          <w:lang w:val="en_US" w:bidi="en_US"/>
        </w:rPr>
      </w:r>
      <w:r>
        <w:rPr>
          <w:lang w:val="en_US" w:bidi="en_US"/>
        </w:rPr>
        <w:t>Many people walked along with Jesus.</w:t>
      </w:r>
    </w:p>
    <w:p>
      <w:pPr>
        <w:pStyle w:val="ListBullet"/>
        <w:spacing w:line="240" w:lineRule="auto"/>
        <w:ind w:left="720"/>
      </w:pPr>
      <w:r>
        <w:rPr>
          <w:lang w:val="en_US" w:bidi="en_US"/>
        </w:rPr>
      </w:r>
      <w:r>
        <w:rPr>
          <w:lang w:val="en_US" w:bidi="en_US"/>
        </w:rPr>
        <w:t xml:space="preserve">A large crowd followed Jesus </w:t>
      </w:r>
      <w:r>
        <w:rPr>
          <w:lang w:val="en_US" w:bidi="en_US"/>
        </w:rPr>
        <w:t>to the place where the soldiers would crucify him</w:t>
      </w:r>
      <w:r>
        <w:rPr>
          <w:lang w:val="en_US" w:bidi="en_US"/>
        </w:rPr>
        <w:t>.</w:t>
      </w:r>
    </w:p>
    <w:p>
      <w:pPr/>
      <w:r>
        <w:rPr>
          <w:lang w:val="en_US" w:bidi="en_US"/>
        </w:rPr>
      </w:r>
      <w:r>
        <w:rPr>
          <w:b/>
          <w:lang w:val="en_US" w:bidi="en_US"/>
        </w:rPr>
        <w:t>A great number of people followed Him:</w:t>
      </w:r>
      <w:r>
        <w:rPr>
          <w:lang w:val="en_US" w:bidi="en_US"/>
        </w:rPr>
        <w:t xml:space="preserve"> This clause indicates that many people went along with Jesus. It does not imply that they were following him as disciples. Many of them may have come to watch the crucifixion because of curiosity or because they wanted to mock Jesus. Some other ways to translate the clause are:</w:t>
      </w:r>
    </w:p>
    <w:p>
      <w:pPr/>
      <w:r>
        <w:rPr>
          <w:lang w:val="en_US" w:bidi="en_US"/>
        </w:rPr>
      </w:r>
      <w:r>
        <w:rPr>
          <w:lang w:val="en_US" w:bidi="en_US"/>
        </w:rPr>
        <w:t>A large crowd followed Jesus. (GW)</w:t>
      </w:r>
    </w:p>
    <w:p>
      <w:pPr/>
      <w:r>
        <w:rPr>
          <w:lang w:val="en_US" w:bidi="en_US"/>
        </w:rPr>
      </w:r>
      <w:r>
        <w:rPr>
          <w:lang w:val="en_US" w:bidi="en_US"/>
        </w:rPr>
        <w:t>And while they were taking Jesus, there were many people who went along.</w:t>
      </w:r>
      <w:r>
        <w:rPr>
          <w:lang w:val="en_US" w:bidi="en_US"/>
        </w:rPr>
        <w:t>Western Bukidnon Manobo back translation on TW.</w:t>
      </w:r>
    </w:p>
    <w:p>
      <w:pPr>
        <w:pStyle w:val="Heading5"/>
      </w:pPr>
      <w:r>
        <w:rPr>
          <w:lang w:val="en_US" w:bidi="en_US"/>
        </w:rPr>
        <w:t>23:27b</w:t>
      </w:r>
    </w:p>
    <w:p>
      <w:pPr/>
      <w:r>
        <w:rPr>
          <w:lang w:val="en_US" w:bidi="en_US"/>
        </w:rPr>
      </w:r>
      <w:r>
        <w:rPr>
          <w:b/>
          <w:lang w:val="en_US" w:bidi="en_US"/>
        </w:rPr>
        <w:t>including women who kept mourning and wailing for Him.</w:t>
      </w:r>
    </w:p>
    <w:p>
      <w:pPr>
        <w:pStyle w:val="ListBullet"/>
        <w:spacing w:line="240" w:lineRule="auto"/>
        <w:ind w:left="720"/>
      </w:pPr>
      <w:r>
        <w:rPr>
          <w:lang w:val="en_US" w:bidi="en_US"/>
        </w:rPr>
      </w:r>
      <w:r>
        <w:rPr>
          <w:lang w:val="en_US" w:bidi="en_US"/>
        </w:rPr>
        <w:t>Among them were women who were mourning and weeping for him.</w:t>
      </w:r>
    </w:p>
    <w:p>
      <w:pPr>
        <w:pStyle w:val="ListBullet"/>
        <w:spacing w:line="240" w:lineRule="auto"/>
        <w:ind w:left="720"/>
      </w:pPr>
      <w:r>
        <w:rPr>
          <w:lang w:val="en_US" w:bidi="en_US"/>
        </w:rPr>
      </w:r>
      <w:r>
        <w:rPr>
          <w:lang w:val="en_US" w:bidi="en_US"/>
        </w:rPr>
        <w:t xml:space="preserve">There were also some women in the crowd. They mourned loudly because Jesus </w:t>
      </w:r>
      <w:r>
        <w:rPr>
          <w:lang w:val="en_US" w:bidi="en_US"/>
        </w:rPr>
        <w:t>was going to die</w:t>
      </w:r>
      <w:r>
        <w:rPr>
          <w:lang w:val="en_US" w:bidi="en_US"/>
        </w:rPr>
        <w:t>.</w:t>
      </w:r>
    </w:p>
    <w:p>
      <w:pPr/>
      <w:r>
        <w:rPr>
          <w:lang w:val="en_US" w:bidi="en_US"/>
        </w:rPr>
      </w:r>
      <w:r>
        <w:rPr>
          <w:b/>
          <w:lang w:val="en_US" w:bidi="en_US"/>
        </w:rPr>
        <w:t>including women who kept mourning and wailing for Him:</w:t>
      </w:r>
      <w:r>
        <w:rPr>
          <w:lang w:val="en_US" w:bidi="en_US"/>
        </w:rPr>
        <w:t xml:space="preserve"> This part of the verse indicates that some women were also in the crowd walking with Jesus. These women were mourning and wailing because Jesus was going to be killed. Some other ways to translate it are:</w:t>
      </w:r>
    </w:p>
    <w:p>
      <w:pPr/>
      <w:r>
        <w:rPr>
          <w:lang w:val="en_US" w:bidi="en_US"/>
        </w:rPr>
      </w:r>
      <w:r>
        <w:rPr>
          <w:lang w:val="en_US" w:bidi="en_US"/>
        </w:rPr>
        <w:t>among them were some women who were weeping and wailing for him (GNT)</w:t>
      </w:r>
    </w:p>
    <w:p>
      <w:pPr/>
      <w:r>
        <w:rPr>
          <w:lang w:val="en_US" w:bidi="en_US"/>
        </w:rPr>
      </w:r>
      <w:r>
        <w:rPr>
          <w:lang w:val="en_US" w:bidi="en_US"/>
        </w:rPr>
        <w:t>including many grief-stricken women (NLT)</w:t>
      </w:r>
    </w:p>
    <w:p>
      <w:pPr/>
      <w:r>
        <w:rPr>
          <w:lang w:val="en_US" w:bidi="en_US"/>
        </w:rPr>
      </w:r>
      <w:r>
        <w:rPr>
          <w:lang w:val="en_US" w:bidi="en_US"/>
        </w:rPr>
        <w:t xml:space="preserve">Some women were also following him. Those women cried and wept/wailed because of </w:t>
      </w:r>
      <w:r>
        <w:rPr>
          <w:lang w:val="en_US" w:bidi="en_US"/>
        </w:rPr>
        <w:t>his coming death/execution</w:t>
      </w:r>
      <w:r>
        <w:rPr>
          <w:lang w:val="en_US" w:bidi="en_US"/>
        </w:rPr>
        <w:t>.</w:t>
      </w:r>
    </w:p>
    <w:p>
      <w:pPr/>
      <w:r>
        <w:rPr>
          <w:lang w:val="en_US" w:bidi="en_US"/>
        </w:rPr>
      </w:r>
      <w:r>
        <w:rPr>
          <w:b/>
          <w:lang w:val="en_US" w:bidi="en_US"/>
        </w:rPr>
        <w:t>kept mourning and wailing for Him:</w:t>
      </w:r>
      <w:r>
        <w:rPr>
          <w:lang w:val="en_US" w:bidi="en_US"/>
        </w:rPr>
        <w:t xml:space="preserve"> The word </w:t>
      </w:r>
      <w:r>
        <w:rPr>
          <w:i/>
          <w:lang w:val="en_US" w:bidi="en_US"/>
        </w:rPr>
        <w:t>mourning</w:t>
      </w:r>
      <w:r>
        <w:rPr>
          <w:lang w:val="en_US" w:bidi="en_US"/>
        </w:rPr>
        <w:t xml:space="preserve"> sometimes refers to using a specific action to express sorrow for someone.</w:t>
      </w:r>
      <w:r>
        <w:rPr>
          <w:lang w:val="en_US" w:bidi="en_US"/>
        </w:rPr>
        <w:t xml:space="preserve">This Greek word often refers to a person beating his own breast/chest to express his sorrow over another person’s death. When it is followed by an accusative form, as it is here, it means “to mourn” for that person. See </w:t>
      </w:r>
      <w:r>
        <w:rPr>
          <w:i/>
          <w:lang w:val="en_US" w:bidi="en_US"/>
        </w:rPr>
        <w:t>koptomai</w:t>
      </w:r>
      <w:r>
        <w:rPr>
          <w:lang w:val="en_US" w:bidi="en_US"/>
        </w:rPr>
        <w:t>, sense 2, BDAG, p. 559.</w:t>
      </w:r>
      <w:r>
        <w:rPr>
          <w:lang w:val="en_US" w:bidi="en_US"/>
        </w:rPr>
        <w:t xml:space="preserve"> Here it is used in a general way to mean “mourned for” Jesus. The word </w:t>
      </w:r>
      <w:r>
        <w:rPr>
          <w:i/>
          <w:lang w:val="en_US" w:bidi="en_US"/>
        </w:rPr>
        <w:t>wailing</w:t>
      </w:r>
      <w:r>
        <w:rPr>
          <w:lang w:val="en_US" w:bidi="en_US"/>
        </w:rPr>
        <w:t xml:space="preserve"> refers to expressing sorrow through words, for example, in a song, exclamation, or other lament.</w:t>
      </w:r>
      <w:r>
        <w:rPr>
          <w:lang w:val="en_US" w:bidi="en_US"/>
        </w:rPr>
        <w:t>Bock (p. 1844) says, “</w:t>
      </w:r>
      <w:r>
        <w:rPr>
          <w:i/>
          <w:lang w:val="en_US" w:bidi="en_US"/>
        </w:rPr>
        <w:t>threneō</w:t>
      </w:r>
      <w:r>
        <w:rPr>
          <w:lang w:val="en_US" w:bidi="en_US"/>
        </w:rPr>
        <w:t xml:space="preserve"> refers to verbal mourning or dirge singing.” See also </w:t>
      </w:r>
      <w:r>
        <w:rPr>
          <w:i/>
          <w:lang w:val="en_US" w:bidi="en_US"/>
        </w:rPr>
        <w:t>threneō</w:t>
      </w:r>
      <w:r>
        <w:rPr>
          <w:lang w:val="en_US" w:bidi="en_US"/>
        </w:rPr>
        <w:t>, BDAG, p. 458.</w:t>
      </w:r>
      <w:r>
        <w:rPr>
          <w:lang w:val="en_US" w:bidi="en_US"/>
        </w:rPr>
        <w:t xml:space="preserve"> Some other ways to translate </w:t>
      </w:r>
      <w:r>
        <w:rPr>
          <w:i/>
          <w:lang w:val="en_US" w:bidi="en_US"/>
        </w:rPr>
        <w:t>mourning and wailing for Him</w:t>
      </w:r>
      <w:r>
        <w:rPr>
          <w:lang w:val="en_US" w:bidi="en_US"/>
        </w:rPr>
        <w:t xml:space="preserve"> are:</w:t>
      </w:r>
    </w:p>
    <w:p>
      <w:pPr>
        <w:pStyle w:val="ListBullet"/>
        <w:spacing w:line="240" w:lineRule="auto"/>
        <w:ind w:left="720"/>
      </w:pPr>
      <w:r>
        <w:rPr>
          <w:lang w:val="en_US" w:bidi="en_US"/>
        </w:rPr>
      </w:r>
      <w:r>
        <w:rPr>
          <w:lang w:val="en_US" w:bidi="en_US"/>
        </w:rPr>
        <w:t>Translate both words in a general way that includes different types of mourning. For example:</w:t>
      </w:r>
      <w:r>
        <w:rPr>
          <w:lang w:val="en_US" w:bidi="en_US"/>
        </w:rPr>
        <w:t>mourned and lamented for him (NJB)</w:t>
      </w:r>
    </w:p>
    <w:p>
      <w:pPr>
        <w:pStyle w:val="ListBullet"/>
        <w:spacing w:line="240" w:lineRule="auto"/>
        <w:ind w:left="720"/>
      </w:pPr>
      <w:r>
        <w:rPr>
          <w:lang w:val="en_US" w:bidi="en_US"/>
        </w:rPr>
      </w:r>
      <w:r>
        <w:rPr>
          <w:lang w:val="en_US" w:bidi="en_US"/>
        </w:rPr>
        <w:t>Translate one or both of the words with a specific action that expresses mourning in your culture. For example:</w:t>
      </w:r>
      <w:r>
        <w:rPr>
          <w:lang w:val="en_US" w:bidi="en_US"/>
        </w:rPr>
        <w:t>weeping and wailing for him (GNT)</w:t>
      </w:r>
      <w:r>
        <w:rPr>
          <w:lang w:val="en_US" w:bidi="en_US"/>
        </w:rPr>
        <w:t>cried and sang funeral songs for him (GW)</w:t>
      </w:r>
    </w:p>
    <w:p>
      <w:pPr>
        <w:pStyle w:val="ListBullet"/>
        <w:spacing w:line="240" w:lineRule="auto"/>
        <w:ind w:left="720"/>
      </w:pPr>
      <w:r>
        <w:rPr>
          <w:lang w:val="en_US" w:bidi="en_US"/>
        </w:rPr>
      </w:r>
      <w:r>
        <w:rPr>
          <w:lang w:val="en_US" w:bidi="en_US"/>
        </w:rPr>
        <w:t xml:space="preserve">Translate the phrase </w:t>
      </w:r>
      <w:r>
        <w:rPr>
          <w:i/>
          <w:lang w:val="en_US" w:bidi="en_US"/>
        </w:rPr>
        <w:t>mourning and wailing</w:t>
      </w:r>
      <w:r>
        <w:rPr>
          <w:lang w:val="en_US" w:bidi="en_US"/>
        </w:rPr>
        <w:t xml:space="preserve"> as one action. For example:</w:t>
      </w:r>
      <w:r>
        <w:rPr>
          <w:lang w:val="en_US" w:bidi="en_US"/>
        </w:rPr>
        <w:t>mourning loudly/deeply for him (TRT)</w:t>
      </w:r>
    </w:p>
    <w:p>
      <w:pPr/>
      <w:r>
        <w:rPr>
          <w:lang w:val="en_US" w:bidi="en_US"/>
        </w:rPr>
      </w:r>
      <w:r>
        <w:rPr>
          <w:lang w:val="en_US" w:bidi="en_US"/>
        </w:rPr>
        <w:t>Translate the phrase in a natural way in your language.</w:t>
      </w:r>
      <w:r>
        <w:rPr>
          <w:lang w:val="en_US" w:bidi="en_US"/>
        </w:rPr>
      </w:r>
      <w:r>
        <w:rPr>
          <w:lang w:val="en_US" w:bidi="en_US"/>
        </w:rPr>
      </w:r>
    </w:p>
    <w:p>
      <w:pPr/>
      <w:r>
        <w:rPr>
          <w:lang w:val="en_US" w:bidi="en_US"/>
        </w:rPr>
      </w:r>
    </w:p>
    <w:p>
      <w:pPr>
        <w:pStyle w:val="Heading2"/>
      </w:pPr>
      <w:r>
        <w:rPr>
          <w:lang w:val="en_US" w:bidi="en_US"/>
        </w:rPr>
        <w:t>Luke 23:28</w:t>
      </w:r>
      <w:r>
        <w:rPr>
          <w:lang w:val="en_US" w:bidi="en_US"/>
        </w:rPr>
      </w:r>
    </w:p>
    <w:p>
      <w:pPr>
        <w:pStyle w:val="Heading4"/>
      </w:pPr>
      <w:r>
        <w:rPr>
          <w:lang w:val="en_US" w:bidi="en_US"/>
        </w:rPr>
        <w:t>Section 23:26–43: Soldiers nailed Jesus to a cross</w:t>
      </w:r>
    </w:p>
    <w:p>
      <w:pPr/>
      <w:r>
        <w:rPr>
          <w:lang w:val="en_US" w:bidi="en_US"/>
        </w:rPr>
      </w:r>
      <w:r>
        <w:rPr>
          <w:lang w:val="en_US" w:bidi="en_US"/>
        </w:rP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pPr/>
      <w:r>
        <w:rPr>
          <w:lang w:val="en_US" w:bidi="en_US"/>
        </w:rPr>
      </w:r>
      <w:r>
        <w:rPr>
          <w:lang w:val="en_US" w:bidi="en_US"/>
        </w:rPr>
        <w:t>Other examples of headings for this section are:</w:t>
      </w:r>
    </w:p>
    <w:p>
      <w:pPr/>
      <w:r>
        <w:rPr>
          <w:lang w:val="en_US" w:bidi="en_US"/>
        </w:rPr>
      </w:r>
      <w:r>
        <w:rPr>
          <w:lang w:val="en_US" w:bidi="en_US"/>
        </w:rPr>
        <w:t>The Crucifixion (NIV)</w:t>
      </w:r>
    </w:p>
    <w:p>
      <w:pPr/>
      <w:r>
        <w:rPr>
          <w:lang w:val="en_US" w:bidi="en_US"/>
        </w:rPr>
      </w:r>
      <w:r>
        <w:rPr>
          <w:lang w:val="en_US" w:bidi="en_US"/>
        </w:rPr>
        <w:t>Jesus Is Nailed to a Cross (CEV)</w:t>
      </w:r>
    </w:p>
    <w:p>
      <w:pPr/>
      <w:r>
        <w:rPr>
          <w:lang w:val="en_US" w:bidi="en_US"/>
        </w:rPr>
      </w:r>
      <w:r>
        <w:rPr>
          <w:lang w:val="en_US" w:bidi="en_US"/>
        </w:rPr>
        <w:t>Roman soldiers nailed Jesus to a cross</w:t>
      </w:r>
    </w:p>
    <w:p>
      <w:pPr/>
      <w:r>
        <w:rPr>
          <w:lang w:val="en_US" w:bidi="en_US"/>
        </w:rPr>
      </w:r>
      <w:r>
        <w:rPr>
          <w:lang w:val="en_US" w:bidi="en_US"/>
        </w:rPr>
        <w:t>There are parallel passages for this section in Matthew 27:31–44, Mark 15:21–32, and John 19:17–27.</w:t>
      </w:r>
    </w:p>
    <w:p>
      <w:pPr>
        <w:pStyle w:val="Heading5"/>
      </w:pPr>
      <w:r>
        <w:rPr>
          <w:lang w:val="en_US" w:bidi="en_US"/>
        </w:rPr>
        <w:t>23:28a</w:t>
      </w:r>
    </w:p>
    <w:p>
      <w:pPr/>
      <w:r>
        <w:rPr>
          <w:lang w:val="en_US" w:bidi="en_US"/>
        </w:rPr>
      </w:r>
      <w:r>
        <w:rPr>
          <w:b/>
          <w:lang w:val="en_US" w:bidi="en_US"/>
        </w:rPr>
        <w:t>But Jesus turned to them and said, “Daughters of Jerusalem,</w:t>
      </w:r>
    </w:p>
    <w:p>
      <w:pPr>
        <w:pStyle w:val="ListBullet"/>
        <w:spacing w:line="240" w:lineRule="auto"/>
        <w:ind w:left="720"/>
      </w:pPr>
      <w:r>
        <w:rPr>
          <w:lang w:val="en_US" w:bidi="en_US"/>
        </w:rPr>
      </w:r>
      <w:r>
        <w:rPr>
          <w:lang w:val="en_US" w:bidi="en_US"/>
        </w:rPr>
        <w:t>But Jesus turned to them and said, “Women from/of Jerusalem,</w:t>
      </w:r>
    </w:p>
    <w:p>
      <w:pPr>
        <w:pStyle w:val="ListBullet"/>
        <w:spacing w:line="240" w:lineRule="auto"/>
        <w:ind w:left="720"/>
      </w:pPr>
      <w:r>
        <w:rPr>
          <w:lang w:val="en_US" w:bidi="en_US"/>
        </w:rPr>
      </w:r>
      <w:r>
        <w:rPr>
          <w:lang w:val="en_US" w:bidi="en_US"/>
        </w:rPr>
        <w:t>Jesus turned toward them and said to them, “Jerusalem women,</w:t>
      </w:r>
    </w:p>
    <w:p>
      <w:pPr>
        <w:pStyle w:val="ListBullet"/>
        <w:spacing w:line="240" w:lineRule="auto"/>
        <w:ind w:left="720"/>
      </w:pPr>
      <w:r>
        <w:rPr>
          <w:lang w:val="en_US" w:bidi="en_US"/>
        </w:rPr>
      </w:r>
      <w:r>
        <w:rPr>
          <w:lang w:val="en_US" w:bidi="en_US"/>
        </w:rPr>
        <w:t>Turning to face them, Jesus said, “You</w:t>
      </w:r>
      <w:r>
        <w:rPr>
          <w:vertAlign w:val="superscript"/>
          <w:lang w:val="en_US" w:bidi="en_US"/>
        </w:rPr>
        <w:t>(plur)</w:t>
      </w:r>
      <w:r>
        <w:rPr>
          <w:lang w:val="en_US" w:bidi="en_US"/>
        </w:rPr>
        <w:t xml:space="preserve"> Jerusalem women</w:t>
      </w:r>
    </w:p>
    <w:p>
      <w:pPr/>
      <w:r>
        <w:rPr>
          <w:lang w:val="en_US" w:bidi="en_US"/>
        </w:rPr>
      </w:r>
      <w:r>
        <w:rPr>
          <w:b/>
          <w:lang w:val="en_US" w:bidi="en_US"/>
        </w:rPr>
        <w:t>But Jesus turned to them and said:</w:t>
      </w:r>
      <w:r>
        <w:rPr>
          <w:lang w:val="en_US" w:bidi="en_US"/>
        </w:rPr>
        <w:t xml:space="preserve"> The clause </w:t>
      </w:r>
      <w:r>
        <w:rPr>
          <w:i/>
          <w:lang w:val="en_US" w:bidi="en_US"/>
        </w:rPr>
        <w:t>Jesus turned to them and said</w:t>
      </w:r>
      <w:r>
        <w:rPr>
          <w:lang w:val="en_US" w:bidi="en_US"/>
        </w:rPr>
        <w:t xml:space="preserve"> introduces what Jesus said to the women who mourned for him. The phrase </w:t>
      </w:r>
      <w:r>
        <w:rPr>
          <w:i/>
          <w:lang w:val="en_US" w:bidi="en_US"/>
        </w:rPr>
        <w:t>Jesus turned</w:t>
      </w:r>
      <w:r>
        <w:rPr>
          <w:lang w:val="en_US" w:bidi="en_US"/>
        </w:rPr>
        <w:t xml:space="preserve"> indicates that Jesus turned toward them. It does not indicate that he turned to look behind him or go in a different direction.</w:t>
      </w:r>
    </w:p>
    <w:p>
      <w:pPr/>
      <w:r>
        <w:rPr>
          <w:lang w:val="en_US" w:bidi="en_US"/>
        </w:rPr>
      </w:r>
      <w:r>
        <w:rPr>
          <w:lang w:val="en_US" w:bidi="en_US"/>
        </w:rPr>
        <w:t>Some other ways to translate the clause are:</w:t>
      </w:r>
    </w:p>
    <w:p>
      <w:pPr/>
      <w:r>
        <w:rPr>
          <w:lang w:val="en_US" w:bidi="en_US"/>
        </w:rPr>
      </w:r>
      <w:r>
        <w:rPr>
          <w:lang w:val="en_US" w:bidi="en_US"/>
        </w:rPr>
        <w:t>Jesus turned to them and said (GW)</w:t>
      </w:r>
    </w:p>
    <w:p>
      <w:pPr/>
      <w:r>
        <w:rPr>
          <w:lang w:val="en_US" w:bidi="en_US"/>
        </w:rPr>
      </w:r>
      <w:r>
        <w:rPr>
          <w:lang w:val="en_US" w:bidi="en_US"/>
        </w:rPr>
        <w:t>Jesus turned-to-face them and said</w:t>
      </w:r>
      <w:r>
        <w:rPr>
          <w:lang w:val="en_US" w:bidi="en_US"/>
        </w:rPr>
        <w:t>Kankanaey back translation on TW.</w:t>
      </w:r>
    </w:p>
    <w:p>
      <w:pPr/>
      <w:r>
        <w:rPr>
          <w:lang w:val="en_US" w:bidi="en_US"/>
        </w:rPr>
      </w:r>
      <w:r>
        <w:rPr>
          <w:b/>
          <w:lang w:val="en_US" w:bidi="en_US"/>
        </w:rPr>
        <w:t>Daughters of Jerusalem:</w:t>
      </w:r>
      <w:r>
        <w:rPr>
          <w:lang w:val="en_US" w:bidi="en_US"/>
        </w:rPr>
        <w:t xml:space="preserve"> Jesus addressed the women as </w:t>
      </w:r>
      <w:r>
        <w:rPr>
          <w:i/>
          <w:lang w:val="en_US" w:bidi="en_US"/>
        </w:rPr>
        <w:t>Daughters of Jerusalem</w:t>
      </w:r>
      <w:r>
        <w:rPr>
          <w:lang w:val="en_US" w:bidi="en_US"/>
        </w:rPr>
        <w:t>. This phrase indicates that the women lived in Jerusalem.</w:t>
      </w:r>
      <w:r>
        <w:rPr>
          <w:lang w:val="en_US" w:bidi="en_US"/>
        </w:rPr>
        <w:t>Bock (p. 1844) suggests that this address is “tender.” However, the support for this is not sufficient to indicate it in a translation. The term “daughters of Jerusalem” is used elsewhere in Scripture only in Song of Solomon in the OT. Nolland (p. 1137) indicates that its use in Song of Solomon is probably not similar to its use here. A singular form, “Daughter of Jerusalem” is used in various places, including Zechariah 9:9, Zephaniah 3:14, and Micah 4:8. It is used in a similar way with “Daughter of Babel” in Psalm 137:8, which says, “O Daughter of Babylon, doomed to destruction, blessed is he who repays you as you have done to us.” There the term “Daughter of Babylon” is used in a figurative way to address the whole nation of Babylon. Some commentators think that the term “Daughters of Jerusalem” is used in a similar way here to represent not only the women but the inhabitants of Jerusalem as a whole. Since Jesus was addressing particular women, the usage is different. Jesus addresses them directly (not figuratively) as real people. However, it is true that these particular women are not the only ones who will be affected by the coming judgment on Jerusalem. They are a representative group of the other people in Jerusalem who will suffer in the judgment.</w:t>
      </w:r>
      <w:r>
        <w:rPr>
          <w:lang w:val="en_US" w:bidi="en_US"/>
        </w:rPr>
        <w:t xml:space="preserve"> These women were not among Jesus’ family members and probably not his close friends. Use a natural way in your language to address women from a particular place. For example:</w:t>
      </w:r>
    </w:p>
    <w:p>
      <w:pPr/>
      <w:r>
        <w:rPr>
          <w:lang w:val="en_US" w:bidi="en_US"/>
        </w:rPr>
      </w:r>
      <w:r>
        <w:rPr>
          <w:lang w:val="en_US" w:bidi="en_US"/>
        </w:rPr>
        <w:t>Women from Jerusalem</w:t>
      </w:r>
    </w:p>
    <w:p>
      <w:pPr/>
      <w:r>
        <w:rPr>
          <w:lang w:val="en_US" w:bidi="en_US"/>
        </w:rPr>
      </w:r>
      <w:r>
        <w:rPr>
          <w:lang w:val="en_US" w:bidi="en_US"/>
        </w:rPr>
        <w:t>Jerusalem women</w:t>
      </w:r>
    </w:p>
    <w:p>
      <w:pPr/>
      <w:r>
        <w:rPr>
          <w:lang w:val="en_US" w:bidi="en_US"/>
        </w:rPr>
      </w:r>
      <w:r>
        <w:rPr>
          <w:lang w:val="en_US" w:bidi="en_US"/>
        </w:rPr>
        <w:t>In other languages it may be strange or rude to use a direct address like this for the women. If that is true in your language, you should translate it in a different way. For example:</w:t>
      </w:r>
    </w:p>
    <w:p>
      <w:pPr/>
      <w:r>
        <w:rPr>
          <w:lang w:val="en_US" w:bidi="en_US"/>
        </w:rPr>
      </w:r>
      <w:r>
        <w:rPr>
          <w:lang w:val="en_US" w:bidi="en_US"/>
        </w:rPr>
        <w:t>As for you women from Jerusalem</w:t>
      </w:r>
    </w:p>
    <w:p>
      <w:pPr/>
      <w:r>
        <w:rPr>
          <w:lang w:val="en_US" w:bidi="en_US"/>
        </w:rPr>
      </w:r>
      <w:r>
        <w:rPr>
          <w:lang w:val="en_US" w:bidi="en_US"/>
        </w:rPr>
        <w:t>You women from this city of Jerusalem should not be weeping for me</w:t>
      </w:r>
    </w:p>
    <w:p>
      <w:pPr>
        <w:pStyle w:val="Heading5"/>
      </w:pPr>
      <w:r>
        <w:rPr>
          <w:lang w:val="en_US" w:bidi="en_US"/>
        </w:rPr>
        <w:t>23:28b</w:t>
      </w:r>
    </w:p>
    <w:p>
      <w:pPr/>
      <w:r>
        <w:rPr>
          <w:lang w:val="en_US" w:bidi="en_US"/>
        </w:rPr>
      </w:r>
      <w:r>
        <w:rPr>
          <w:b/>
          <w:lang w:val="en_US" w:bidi="en_US"/>
        </w:rPr>
        <w:t>do not weep for Me,</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cry for/over me.</w:t>
      </w:r>
    </w:p>
    <w:p>
      <w:pPr>
        <w:pStyle w:val="ListBullet"/>
        <w:spacing w:line="240" w:lineRule="auto"/>
        <w:ind w:left="720"/>
      </w:pPr>
      <w:r>
        <w:rPr>
          <w:lang w:val="en_US" w:bidi="en_US"/>
        </w:rPr>
      </w:r>
      <w:r>
        <w:rPr>
          <w:lang w:val="en_US" w:bidi="en_US"/>
        </w:rPr>
        <w:t>instead of weeping about me,</w:t>
      </w:r>
    </w:p>
    <w:p>
      <w:pPr>
        <w:pStyle w:val="ListBullet"/>
        <w:spacing w:line="240" w:lineRule="auto"/>
        <w:ind w:left="720"/>
      </w:pPr>
      <w:r>
        <w:rPr>
          <w:lang w:val="en_US" w:bidi="en_US"/>
        </w:rPr>
      </w:r>
      <w:r>
        <w:rPr>
          <w:lang w:val="en_US" w:bidi="en_US"/>
        </w:rPr>
        <w:t xml:space="preserve">are mourning over </w:t>
      </w:r>
      <w:r>
        <w:rPr>
          <w:lang w:val="en_US" w:bidi="en_US"/>
        </w:rPr>
        <w:t>what will happen to</w:t>
      </w:r>
      <w:r>
        <w:rPr>
          <w:lang w:val="en_US" w:bidi="en_US"/>
        </w:rPr>
        <w:t xml:space="preserve"> me,</w:t>
      </w:r>
    </w:p>
    <w:p>
      <w:pPr>
        <w:pStyle w:val="Heading5"/>
      </w:pPr>
      <w:r>
        <w:rPr>
          <w:lang w:val="en_US" w:bidi="en_US"/>
        </w:rPr>
        <w:t>23:28b–c</w:t>
      </w:r>
    </w:p>
    <w:p>
      <w:pPr/>
      <w:r>
        <w:rPr>
          <w:lang w:val="en_US" w:bidi="en_US"/>
        </w:rPr>
      </w:r>
      <w:r>
        <w:rPr>
          <w:b/>
          <w:lang w:val="en_US" w:bidi="en_US"/>
        </w:rPr>
        <w:t>do not weep for Me, but weep for yourselves and for your children:</w:t>
      </w:r>
      <w:r>
        <w:rPr>
          <w:lang w:val="en_US" w:bidi="en_US"/>
        </w:rPr>
        <w:t xml:space="preserve"> The two commands here contrast with each other. Jesus indicated that instead of weeping for him, the women should weep for themselves and their children. This statement is a warning that the people of Jerusalem will soon suffer terribly.</w:t>
      </w:r>
    </w:p>
    <w:p>
      <w:pPr/>
      <w:r>
        <w:rPr>
          <w:lang w:val="en_US" w:bidi="en_US"/>
        </w:rPr>
      </w:r>
      <w:r>
        <w:rPr>
          <w:lang w:val="en_US" w:bidi="en_US"/>
        </w:rPr>
        <w:t>Jesus used this statement to emphasize that there was a greater reason for the women to weep for themselves than for him. He probably did not mean that it was wrong to weep for him at all. Translate this warning in a natural way in your language.</w:t>
      </w:r>
    </w:p>
    <w:p>
      <w:pPr/>
      <w:r>
        <w:rPr>
          <w:lang w:val="en_US" w:bidi="en_US"/>
        </w:rPr>
      </w:r>
      <w:r>
        <w:rPr>
          <w:lang w:val="en_US" w:bidi="en_US"/>
        </w:rPr>
        <w:t>Some other ways to translate this in English are:</w:t>
      </w:r>
    </w:p>
    <w:p>
      <w:pPr/>
      <w:r>
        <w:rPr>
          <w:lang w:val="en_US" w:bidi="en_US"/>
        </w:rPr>
      </w:r>
      <w:r>
        <w:rPr>
          <w:lang w:val="en_US" w:bidi="en_US"/>
        </w:rPr>
        <w:t>it should not be me that you are crying-for but rather yourselves and your children</w:t>
      </w:r>
      <w:r>
        <w:rPr>
          <w:lang w:val="en_US" w:bidi="en_US"/>
        </w:rPr>
        <w:t>Kankanaey back translation on TW.</w:t>
      </w:r>
    </w:p>
    <w:p>
      <w:pPr/>
      <w:r>
        <w:rPr>
          <w:lang w:val="en_US" w:bidi="en_US"/>
        </w:rPr>
      </w:r>
      <w:r>
        <w:rPr>
          <w:lang w:val="en_US" w:bidi="en_US"/>
        </w:rPr>
        <w:t>do not cry for me. It is better that you cry for yourselves and your children.</w:t>
      </w:r>
      <w:r>
        <w:rPr>
          <w:lang w:val="en_US" w:bidi="en_US"/>
        </w:rPr>
        <w:t>Uma back translation on TW.</w:t>
      </w:r>
    </w:p>
    <w:p>
      <w:pPr>
        <w:pStyle w:val="Heading5"/>
      </w:pPr>
      <w:r>
        <w:rPr>
          <w:lang w:val="en_US" w:bidi="en_US"/>
        </w:rPr>
        <w:t>23:28c</w:t>
      </w:r>
    </w:p>
    <w:p>
      <w:pPr/>
      <w:r>
        <w:rPr>
          <w:lang w:val="en_US" w:bidi="en_US"/>
        </w:rPr>
      </w:r>
      <w:r>
        <w:rPr>
          <w:b/>
          <w:lang w:val="en_US" w:bidi="en_US"/>
        </w:rPr>
        <w:t>but weep for yourselves and for your children.</w:t>
      </w:r>
    </w:p>
    <w:p>
      <w:pPr>
        <w:pStyle w:val="ListBullet"/>
        <w:spacing w:line="240" w:lineRule="auto"/>
        <w:ind w:left="720"/>
      </w:pPr>
      <w:r>
        <w:rPr>
          <w:lang w:val="en_US" w:bidi="en_US"/>
        </w:rPr>
      </w:r>
      <w:r>
        <w:rPr>
          <w:lang w:val="en_US" w:bidi="en_US"/>
        </w:rPr>
        <w:t>Cry rather for/over yourselves and your</w:t>
      </w:r>
      <w:r>
        <w:rPr>
          <w:vertAlign w:val="superscript"/>
          <w:lang w:val="en_US" w:bidi="en_US"/>
        </w:rPr>
        <w:t>(plur)</w:t>
      </w:r>
      <w:r>
        <w:rPr>
          <w:lang w:val="en_US" w:bidi="en_US"/>
        </w:rPr>
        <w:t xml:space="preserve"> children,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weep about yourselves and your children.</w:t>
      </w:r>
    </w:p>
    <w:p>
      <w:pPr>
        <w:pStyle w:val="ListBullet"/>
        <w:spacing w:line="240" w:lineRule="auto"/>
        <w:ind w:left="720"/>
      </w:pPr>
      <w:r>
        <w:rPr>
          <w:lang w:val="en_US" w:bidi="en_US"/>
        </w:rPr>
      </w:r>
      <w:r>
        <w:rPr>
          <w:lang w:val="en_US" w:bidi="en_US"/>
        </w:rPr>
        <w:t>but instead, you</w:t>
      </w:r>
      <w:r>
        <w:rPr>
          <w:vertAlign w:val="superscript"/>
          <w:lang w:val="en_US" w:bidi="en_US"/>
        </w:rPr>
        <w:t>(plur)</w:t>
      </w:r>
      <w:r>
        <w:rPr>
          <w:lang w:val="en_US" w:bidi="en_US"/>
        </w:rPr>
        <w:t xml:space="preserve"> should mourn over </w:t>
      </w:r>
      <w:r>
        <w:rPr>
          <w:lang w:val="en_US" w:bidi="en_US"/>
        </w:rPr>
        <w:t>what will happen to</w:t>
      </w:r>
      <w:r>
        <w:rPr>
          <w:lang w:val="en_US" w:bidi="en_US"/>
        </w:rPr>
        <w:t xml:space="preserve"> you and your children.</w:t>
      </w:r>
    </w:p>
    <w:p>
      <w:pPr/>
      <w:r>
        <w:rPr>
          <w:lang w:val="en_US" w:bidi="en_US"/>
        </w:rPr>
      </w:r>
      <w:r>
        <w:rPr>
          <w:b/>
          <w:lang w:val="en_US" w:bidi="en_US"/>
        </w:rPr>
        <w:t>but:</w:t>
      </w:r>
      <w:r>
        <w:rPr>
          <w:lang w:val="en_US" w:bidi="en_US"/>
        </w:rPr>
        <w:t xml:space="preserve"> In Greek, 23:28c begins with a conjunction that the BSB translates as </w:t>
      </w:r>
      <w:r>
        <w:rPr>
          <w:i/>
          <w:lang w:val="en_US" w:bidi="en_US"/>
        </w:rPr>
        <w:t>but</w:t>
      </w:r>
      <w:r>
        <w:rPr>
          <w:lang w:val="en_US" w:bidi="en_US"/>
        </w:rPr>
        <w:t>. This conjunction indicates a contrast between what Jesus said here and what he said in 23:28b. Many English versions translate this word as “but.” Another way to translate this is:</w:t>
      </w:r>
    </w:p>
    <w:p>
      <w:pPr/>
      <w:r>
        <w:rPr>
          <w:lang w:val="en_US" w:bidi="en_US"/>
        </w:rPr>
      </w:r>
      <w:r>
        <w:rPr>
          <w:lang w:val="en_US" w:bidi="en_US"/>
        </w:rPr>
        <w:t>Rather (GW)</w:t>
      </w:r>
    </w:p>
    <w:p>
      <w:pPr/>
      <w:r>
        <w:rPr>
          <w:lang w:val="en_US" w:bidi="en_US"/>
        </w:rPr>
      </w:r>
      <w:r>
        <w:rPr>
          <w:lang w:val="en_US" w:bidi="en_US"/>
        </w:rPr>
        <w:t>Some versions indicate the contrast without a conjunction:</w:t>
      </w:r>
    </w:p>
    <w:p>
      <w:pPr/>
      <w:r>
        <w:rPr>
          <w:lang w:val="en_US" w:bidi="en_US"/>
        </w:rPr>
      </w:r>
      <w:r>
        <w:rPr>
          <w:vertAlign w:val="superscript"/>
          <w:lang w:val="en_US" w:bidi="en_US"/>
        </w:rPr>
        <w:t>28b</w:t>
      </w:r>
      <w:r>
        <w:rPr>
          <w:lang w:val="en_US" w:bidi="en_US"/>
        </w:rPr>
        <w:t xml:space="preserve">do not weep for me; </w:t>
      </w:r>
      <w:r>
        <w:rPr>
          <w:vertAlign w:val="superscript"/>
          <w:lang w:val="en_US" w:bidi="en_US"/>
        </w:rPr>
        <w:t>28c</w:t>
      </w:r>
      <w:r>
        <w:rPr>
          <w:lang w:val="en_US" w:bidi="en_US"/>
        </w:rPr>
        <w:t>weep for yourselves (NIV)</w:t>
      </w:r>
    </w:p>
    <w:p>
      <w:pPr/>
      <w:r>
        <w:rPr>
          <w:lang w:val="en_US" w:bidi="en_US"/>
        </w:rPr>
      </w:r>
      <w:r>
        <w:rPr>
          <w:lang w:val="en_US" w:bidi="en_US"/>
        </w:rPr>
        <w:t>Show this contrast in a way that is natural in your language.</w:t>
      </w:r>
    </w:p>
    <w:p>
      <w:pPr/>
      <w:r>
        <w:rPr>
          <w:lang w:val="en_US" w:bidi="en_US"/>
        </w:rPr>
      </w:r>
      <w:r>
        <w:rPr>
          <w:b/>
          <w:lang w:val="en_US" w:bidi="en_US"/>
        </w:rPr>
        <w:t>weep for yourselves and for your children:</w:t>
      </w:r>
      <w:r>
        <w:rPr>
          <w:lang w:val="en_US" w:bidi="en_US"/>
        </w:rPr>
        <w:t xml:space="preserve"> In the context of 23:29–31, this command is a warning. Jesus implied that the women should weep because they and their children will suffer terribly. (They will suffer like this when God punishes the city of Jerusalem for rejecting Jesus.) In some languages it may be helpful to indicate clearly that Jesus was warning them. For example:</w:t>
      </w:r>
    </w:p>
    <w:p>
      <w:pPr/>
      <w:r>
        <w:rPr>
          <w:lang w:val="en_US" w:bidi="en_US"/>
        </w:rPr>
      </w:r>
      <w:r>
        <w:rPr>
          <w:lang w:val="en_US" w:bidi="en_US"/>
        </w:rPr>
        <w:t>but rather the thing that you should cry about, is what’s going to happen to you and your children.</w:t>
      </w:r>
      <w:r>
        <w:rPr>
          <w:lang w:val="en_US" w:bidi="en_US"/>
        </w:rPr>
        <w:t>Western Bukidnon Manobo back translation on TW.</w:t>
      </w:r>
      <w:r>
        <w:rPr>
          <w:lang w:val="en_US" w:bidi="en_US"/>
        </w:rPr>
      </w:r>
      <w:r>
        <w:rPr>
          <w:lang w:val="en_US" w:bidi="en_US"/>
        </w:rPr>
      </w:r>
    </w:p>
    <w:p>
      <w:pPr/>
      <w:r>
        <w:rPr>
          <w:lang w:val="en_US" w:bidi="en_US"/>
        </w:rPr>
      </w:r>
    </w:p>
    <w:p>
      <w:pPr>
        <w:pStyle w:val="Heading2"/>
      </w:pPr>
      <w:r>
        <w:rPr>
          <w:lang w:val="en_US" w:bidi="en_US"/>
        </w:rPr>
        <w:t>Luke 23:29</w:t>
      </w:r>
      <w:r>
        <w:rPr>
          <w:lang w:val="en_US" w:bidi="en_US"/>
        </w:rPr>
      </w:r>
    </w:p>
    <w:p>
      <w:pPr>
        <w:pStyle w:val="Heading4"/>
      </w:pPr>
      <w:r>
        <w:rPr>
          <w:lang w:val="en_US" w:bidi="en_US"/>
        </w:rPr>
        <w:t>Section 23:26–43: Soldiers nailed Jesus to a cross</w:t>
      </w:r>
    </w:p>
    <w:p>
      <w:pPr/>
      <w:r>
        <w:rPr>
          <w:lang w:val="en_US" w:bidi="en_US"/>
        </w:rPr>
      </w:r>
      <w:r>
        <w:rPr>
          <w:lang w:val="en_US" w:bidi="en_US"/>
        </w:rP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pPr/>
      <w:r>
        <w:rPr>
          <w:lang w:val="en_US" w:bidi="en_US"/>
        </w:rPr>
      </w:r>
      <w:r>
        <w:rPr>
          <w:lang w:val="en_US" w:bidi="en_US"/>
        </w:rPr>
        <w:t>Other examples of headings for this section are:</w:t>
      </w:r>
    </w:p>
    <w:p>
      <w:pPr/>
      <w:r>
        <w:rPr>
          <w:lang w:val="en_US" w:bidi="en_US"/>
        </w:rPr>
      </w:r>
      <w:r>
        <w:rPr>
          <w:lang w:val="en_US" w:bidi="en_US"/>
        </w:rPr>
        <w:t>The Crucifixion (NIV)</w:t>
      </w:r>
    </w:p>
    <w:p>
      <w:pPr/>
      <w:r>
        <w:rPr>
          <w:lang w:val="en_US" w:bidi="en_US"/>
        </w:rPr>
      </w:r>
      <w:r>
        <w:rPr>
          <w:lang w:val="en_US" w:bidi="en_US"/>
        </w:rPr>
        <w:t>Jesus Is Nailed to a Cross (CEV)</w:t>
      </w:r>
    </w:p>
    <w:p>
      <w:pPr/>
      <w:r>
        <w:rPr>
          <w:lang w:val="en_US" w:bidi="en_US"/>
        </w:rPr>
      </w:r>
      <w:r>
        <w:rPr>
          <w:lang w:val="en_US" w:bidi="en_US"/>
        </w:rPr>
        <w:t>Roman soldiers nailed Jesus to a cross</w:t>
      </w:r>
    </w:p>
    <w:p>
      <w:pPr/>
      <w:r>
        <w:rPr>
          <w:lang w:val="en_US" w:bidi="en_US"/>
        </w:rPr>
      </w:r>
      <w:r>
        <w:rPr>
          <w:lang w:val="en_US" w:bidi="en_US"/>
        </w:rPr>
        <w:t>There are parallel passages for this section in Matthew 27:31–44, Mark 15:21–32, and John 19:17–27.</w:t>
      </w:r>
    </w:p>
    <w:p>
      <w:pPr>
        <w:pStyle w:val="Heading5"/>
      </w:pPr>
      <w:r>
        <w:rPr>
          <w:lang w:val="en_US" w:bidi="en_US"/>
        </w:rPr>
        <w:t>23:29a</w:t>
      </w:r>
    </w:p>
    <w:p>
      <w:pPr/>
      <w:r>
        <w:rPr>
          <w:lang w:val="en_US" w:bidi="en_US"/>
        </w:rPr>
      </w:r>
      <w:r>
        <w:rPr>
          <w:b/>
          <w:lang w:val="en_US" w:bidi="en_US"/>
        </w:rPr>
        <w:t>Look, the days are coming</w:t>
      </w:r>
    </w:p>
    <w:p>
      <w:pPr>
        <w:pStyle w:val="ListBullet"/>
        <w:spacing w:line="240" w:lineRule="auto"/>
        <w:ind w:left="720"/>
      </w:pPr>
      <w:r>
        <w:rPr>
          <w:lang w:val="en_US" w:bidi="en_US"/>
        </w:rPr>
      </w:r>
      <w:r>
        <w:rPr>
          <w:lang w:val="en_US" w:bidi="en_US"/>
        </w:rPr>
        <w:t>because the time is coming</w:t>
      </w:r>
    </w:p>
    <w:p>
      <w:pPr>
        <w:pStyle w:val="ListBullet"/>
        <w:spacing w:line="240" w:lineRule="auto"/>
        <w:ind w:left="720"/>
      </w:pPr>
      <w:r>
        <w:rPr>
          <w:lang w:val="en_US" w:bidi="en_US"/>
        </w:rPr>
      </w:r>
      <w:r>
        <w:rPr>
          <w:lang w:val="en_US" w:bidi="en_US"/>
        </w:rPr>
        <w:t>I tell you</w:t>
      </w:r>
      <w:r>
        <w:rPr>
          <w:vertAlign w:val="superscript"/>
          <w:lang w:val="en_US" w:bidi="en_US"/>
        </w:rPr>
        <w:t>(plur)</w:t>
      </w:r>
      <w:r>
        <w:rPr>
          <w:lang w:val="en_US" w:bidi="en_US"/>
        </w:rPr>
        <w:t xml:space="preserve"> </w:t>
      </w:r>
      <w:r>
        <w:rPr>
          <w:lang w:val="en_US" w:bidi="en_US"/>
        </w:rPr>
        <w:t>this</w:t>
      </w:r>
      <w:r>
        <w:rPr>
          <w:lang w:val="en_US" w:bidi="en_US"/>
        </w:rPr>
        <w:t xml:space="preserve"> because someday</w:t>
      </w:r>
    </w:p>
    <w:p>
      <w:pPr/>
      <w:r>
        <w:rPr>
          <w:lang w:val="en_US" w:bidi="en_US"/>
        </w:rPr>
      </w:r>
      <w:r>
        <w:rPr>
          <w:b/>
          <w:lang w:val="en_US" w:bidi="en_US"/>
        </w:rPr>
        <w:t>Look, the days are coming:</w:t>
      </w:r>
      <w:r>
        <w:rPr>
          <w:lang w:val="en_US" w:bidi="en_US"/>
        </w:rPr>
        <w:t xml:space="preserve"> The Greek phrase that the BSB translates as </w:t>
      </w:r>
      <w:r>
        <w:rPr>
          <w:i/>
          <w:lang w:val="en_US" w:bidi="en_US"/>
        </w:rPr>
        <w:t>Look, the days are coming</w:t>
      </w:r>
      <w:r>
        <w:rPr>
          <w:lang w:val="en_US" w:bidi="en_US"/>
        </w:rPr>
        <w:t xml:space="preserve"> is more literally “because look, days are coming.” It introduces the reason the women should cry for themselves and for their children in 23:28c. They should cry because of what will happen at a time in the future. Jesus probably used the word </w:t>
      </w:r>
      <w:r>
        <w:rPr>
          <w:i/>
          <w:lang w:val="en_US" w:bidi="en_US"/>
        </w:rPr>
        <w:t>Look</w:t>
      </w:r>
      <w:r>
        <w:rPr>
          <w:lang w:val="en_US" w:bidi="en_US"/>
        </w:rPr>
        <w:t xml:space="preserve"> here to emphasize that his prediction was certain to happen. Some ways to translate this certain prediction are:</w:t>
      </w:r>
    </w:p>
    <w:p>
      <w:pPr>
        <w:pStyle w:val="ListBullet"/>
        <w:spacing w:line="240" w:lineRule="auto"/>
        <w:ind w:left="720"/>
      </w:pPr>
      <w:r>
        <w:rPr>
          <w:lang w:val="en_US" w:bidi="en_US"/>
        </w:rPr>
      </w:r>
      <w:r>
        <w:rPr>
          <w:lang w:val="en_US" w:bidi="en_US"/>
        </w:rPr>
        <w:t>Indicate certainty at the beginning of the clause. For example:</w:t>
      </w:r>
      <w:r>
        <w:rPr>
          <w:lang w:val="en_US" w:bidi="en_US"/>
        </w:rPr>
        <w:t>for indeed, the days are coming (NAB)</w:t>
      </w:r>
      <w:r>
        <w:rPr>
          <w:lang w:val="en_US" w:bidi="en_US"/>
        </w:rPr>
        <w:t>For this is certain: The days are coming (NET)</w:t>
      </w:r>
    </w:p>
    <w:p>
      <w:pPr>
        <w:pStyle w:val="ListBullet"/>
        <w:spacing w:line="240" w:lineRule="auto"/>
        <w:ind w:left="720"/>
      </w:pPr>
      <w:r>
        <w:rPr>
          <w:lang w:val="en_US" w:bidi="en_US"/>
        </w:rPr>
      </w:r>
      <w:r>
        <w:rPr>
          <w:lang w:val="en_US" w:bidi="en_US"/>
        </w:rPr>
        <w:t>Indicate certainty within the clause itself. For example:</w:t>
      </w:r>
      <w:r>
        <w:rPr>
          <w:lang w:val="en_US" w:bidi="en_US"/>
        </w:rPr>
        <w:t>For look, the days are surely coming (NJB)</w:t>
      </w:r>
      <w:r>
        <w:rPr>
          <w:lang w:val="en_US" w:bidi="en_US"/>
        </w:rPr>
        <w:t>because it will certainly happen that</w:t>
      </w:r>
    </w:p>
    <w:p>
      <w:pPr>
        <w:pStyle w:val="ListBullet"/>
        <w:spacing w:line="240" w:lineRule="auto"/>
        <w:ind w:left="720"/>
      </w:pPr>
      <w:r>
        <w:rPr>
          <w:lang w:val="en_US" w:bidi="en_US"/>
        </w:rPr>
      </w:r>
      <w:r>
        <w:rPr>
          <w:lang w:val="en_US" w:bidi="en_US"/>
        </w:rPr>
        <w:t>Do not indicate certainty in an explicit way. For example:</w:t>
      </w:r>
      <w:r>
        <w:rPr>
          <w:lang w:val="en_US" w:bidi="en_US"/>
        </w:rPr>
        <w:t>The time is coming when (GW)</w:t>
      </w:r>
      <w:r>
        <w:rPr>
          <w:lang w:val="en_US" w:bidi="en_US"/>
        </w:rPr>
        <w:t>Someday (CEV)</w:t>
      </w:r>
    </w:p>
    <w:p>
      <w:pPr/>
      <w:r>
        <w:rPr>
          <w:lang w:val="en_US" w:bidi="en_US"/>
        </w:rPr>
      </w:r>
      <w:r>
        <w:rPr>
          <w:lang w:val="en_US" w:bidi="en_US"/>
        </w:rPr>
        <w:t xml:space="preserve">Translate the phrase in a natural way in your language. A similar phrase occurs in 17:22 without the word </w:t>
      </w:r>
      <w:r>
        <w:rPr>
          <w:i/>
          <w:lang w:val="en_US" w:bidi="en_US"/>
        </w:rPr>
        <w:t>Look</w:t>
      </w:r>
      <w:r>
        <w:rPr>
          <w:lang w:val="en_US" w:bidi="en_US"/>
        </w:rPr>
        <w:t>.</w:t>
      </w:r>
    </w:p>
    <w:p>
      <w:pPr/>
      <w:r>
        <w:rPr>
          <w:lang w:val="en_US" w:bidi="en_US"/>
        </w:rPr>
      </w:r>
      <w:r>
        <w:rPr>
          <w:lang w:val="en_US" w:bidi="en_US"/>
        </w:rPr>
        <w:t>In this verse Jesus predicted an event that would happen sometime after his death. He probably referred to the time when the Romans would destroy Jerusalem (in A.D. 70). At that time, the Jewish people suffered terribly. For some translations it may be helpful to include this information in a footnote. For example:</w:t>
      </w:r>
    </w:p>
    <w:p>
      <w:pPr/>
      <w:r>
        <w:rPr>
          <w:lang w:val="en_US" w:bidi="en_US"/>
        </w:rPr>
      </w:r>
      <w:r>
        <w:rPr>
          <w:lang w:val="en_US" w:bidi="en_US"/>
        </w:rPr>
        <w:t>Such a time came in A.D. 70. A Roman army besieged and destroyed Jerusalem and killed many Jewish people.</w:t>
      </w:r>
    </w:p>
    <w:p>
      <w:pPr>
        <w:pStyle w:val="Heading5"/>
      </w:pPr>
      <w:r>
        <w:rPr>
          <w:lang w:val="en_US" w:bidi="en_US"/>
        </w:rPr>
        <w:t>23:29b</w:t>
      </w:r>
    </w:p>
    <w:p>
      <w:pPr/>
      <w:r>
        <w:rPr>
          <w:lang w:val="en_US" w:bidi="en_US"/>
        </w:rPr>
      </w:r>
      <w:r>
        <w:rPr>
          <w:b/>
          <w:lang w:val="en_US" w:bidi="en_US"/>
        </w:rPr>
        <w:t>when people will say,</w:t>
      </w:r>
    </w:p>
    <w:p>
      <w:pPr>
        <w:pStyle w:val="ListBullet"/>
        <w:spacing w:line="240" w:lineRule="auto"/>
        <w:ind w:left="720"/>
      </w:pPr>
      <w:r>
        <w:rPr>
          <w:lang w:val="en_US" w:bidi="en_US"/>
        </w:rPr>
      </w:r>
      <w:r>
        <w:rPr>
          <w:lang w:val="en_US" w:bidi="en_US"/>
        </w:rPr>
        <w:t>when they will say,</w:t>
      </w:r>
    </w:p>
    <w:p>
      <w:pPr>
        <w:pStyle w:val="ListBullet"/>
        <w:spacing w:line="240" w:lineRule="auto"/>
        <w:ind w:left="720"/>
      </w:pPr>
      <w:r>
        <w:rPr>
          <w:lang w:val="en_US" w:bidi="en_US"/>
        </w:rPr>
      </w:r>
      <w:r>
        <w:rPr>
          <w:lang w:val="en_US" w:bidi="en_US"/>
        </w:rPr>
        <w:t>people will say,</w:t>
      </w:r>
    </w:p>
    <w:p>
      <w:pPr>
        <w:pStyle w:val="ListBullet"/>
        <w:spacing w:line="240" w:lineRule="auto"/>
        <w:ind w:left="720"/>
      </w:pPr>
      <w:r>
        <w:rPr>
          <w:lang w:val="en_US" w:bidi="en_US"/>
        </w:rPr>
      </w:r>
      <w:r>
        <w:rPr>
          <w:lang w:val="en_US" w:bidi="en_US"/>
        </w:rPr>
        <w:t>people will say that</w:t>
      </w:r>
    </w:p>
    <w:p>
      <w:pPr/>
      <w:r>
        <w:rPr>
          <w:lang w:val="en_US" w:bidi="en_US"/>
        </w:rPr>
      </w:r>
      <w:r>
        <w:rPr>
          <w:b/>
          <w:lang w:val="en_US" w:bidi="en_US"/>
        </w:rPr>
        <w:t>people will say:</w:t>
      </w:r>
      <w:r>
        <w:rPr>
          <w:lang w:val="en_US" w:bidi="en_US"/>
        </w:rPr>
        <w:t xml:space="preserve"> The Greek verb that the BSB translates as </w:t>
      </w:r>
      <w:r>
        <w:rPr>
          <w:i/>
          <w:lang w:val="en_US" w:bidi="en_US"/>
        </w:rPr>
        <w:t>people will say</w:t>
      </w:r>
      <w:r>
        <w:rPr>
          <w:lang w:val="en_US" w:bidi="en_US"/>
        </w:rPr>
        <w:t xml:space="preserve"> is literally “they will say.” The phrase refers to people in general. It probably refers mainly to the people who will be in the city of Jerusalem at the terrible time that Jesus predicted. However, it could refer to anyone who talks about that situation. Use a natural way in your language to introduce what some people will say at that time. In some languages it may be more natural to use indirect speech to tell what the people will say. For example:</w:t>
      </w:r>
    </w:p>
    <w:p>
      <w:pPr/>
      <w:r>
        <w:rPr>
          <w:lang w:val="en_US" w:bidi="en_US"/>
        </w:rPr>
      </w:r>
      <w:r>
        <w:rPr>
          <w:lang w:val="en_US" w:bidi="en_US"/>
        </w:rPr>
        <w:t>people will say that…</w:t>
      </w:r>
    </w:p>
    <w:p>
      <w:pPr>
        <w:pStyle w:val="Heading5"/>
      </w:pPr>
      <w:r>
        <w:rPr>
          <w:lang w:val="en_US" w:bidi="en_US"/>
        </w:rPr>
        <w:t>23:29c</w:t>
      </w:r>
    </w:p>
    <w:p>
      <w:pPr/>
      <w:r>
        <w:rPr>
          <w:lang w:val="en_US" w:bidi="en_US"/>
        </w:rPr>
      </w:r>
      <w:r>
        <w:rPr>
          <w:b/>
          <w:lang w:val="en_US" w:bidi="en_US"/>
        </w:rPr>
        <w:t>‘Blessed are the barren women,</w:t>
      </w:r>
    </w:p>
    <w:p>
      <w:pPr>
        <w:pStyle w:val="ListBullet"/>
        <w:spacing w:line="240" w:lineRule="auto"/>
        <w:ind w:left="720"/>
      </w:pPr>
      <w:r>
        <w:rPr>
          <w:lang w:val="en_US" w:bidi="en_US"/>
        </w:rPr>
      </w:r>
      <w:r>
        <w:rPr>
          <w:lang w:val="en_US" w:bidi="en_US"/>
        </w:rPr>
        <w:t>‘The women without children are the fortunate/favored ones,</w:t>
      </w:r>
    </w:p>
    <w:p>
      <w:pPr>
        <w:pStyle w:val="ListBullet"/>
        <w:spacing w:line="240" w:lineRule="auto"/>
        <w:ind w:left="720"/>
      </w:pPr>
      <w:r>
        <w:rPr>
          <w:lang w:val="en_US" w:bidi="en_US"/>
        </w:rPr>
      </w:r>
      <w:r>
        <w:rPr>
          <w:lang w:val="en_US" w:bidi="en_US"/>
        </w:rPr>
        <w:t>‘How good it is for the women who do/can not have any children!</w:t>
      </w:r>
    </w:p>
    <w:p>
      <w:pPr>
        <w:pStyle w:val="ListBullet"/>
        <w:spacing w:line="240" w:lineRule="auto"/>
        <w:ind w:left="720"/>
      </w:pPr>
      <w:r>
        <w:rPr>
          <w:lang w:val="en_US" w:bidi="en_US"/>
        </w:rPr>
      </w:r>
      <w:r>
        <w:rPr>
          <w:lang w:val="en_US" w:bidi="en_US"/>
        </w:rPr>
        <w:t xml:space="preserve">it is better to be barren/childless </w:t>
      </w:r>
      <w:r>
        <w:rPr>
          <w:lang w:val="en_US" w:bidi="en_US"/>
        </w:rPr>
        <w:t>than to be a mother</w:t>
      </w:r>
      <w:r>
        <w:rPr>
          <w:lang w:val="en_US" w:bidi="en_US"/>
        </w:rPr>
        <w:t>.</w:t>
      </w:r>
    </w:p>
    <w:p>
      <w:pPr>
        <w:pStyle w:val="Heading5"/>
      </w:pPr>
      <w:r>
        <w:rPr>
          <w:lang w:val="en_US" w:bidi="en_US"/>
        </w:rPr>
        <w:t>23:29d</w:t>
      </w:r>
    </w:p>
    <w:p>
      <w:pPr/>
      <w:r>
        <w:rPr>
          <w:lang w:val="en_US" w:bidi="en_US"/>
        </w:rPr>
      </w:r>
      <w:r>
        <w:rPr>
          <w:b/>
          <w:lang w:val="en_US" w:bidi="en_US"/>
        </w:rPr>
        <w:t>the wombs that never bore,</w:t>
      </w:r>
    </w:p>
    <w:p>
      <w:pPr>
        <w:pStyle w:val="ListBullet"/>
        <w:spacing w:line="240" w:lineRule="auto"/>
        <w:ind w:left="720"/>
      </w:pPr>
      <w:r>
        <w:rPr>
          <w:lang w:val="en_US" w:bidi="en_US"/>
        </w:rPr>
      </w:r>
      <w:r>
        <w:rPr>
          <w:lang w:val="en_US" w:bidi="en_US"/>
        </w:rPr>
        <w:t>those women who never gave birth</w:t>
      </w:r>
    </w:p>
    <w:p>
      <w:pPr>
        <w:pStyle w:val="ListBullet"/>
        <w:spacing w:line="240" w:lineRule="auto"/>
        <w:ind w:left="720"/>
      </w:pPr>
      <w:r>
        <w:rPr>
          <w:lang w:val="en_US" w:bidi="en_US"/>
        </w:rPr>
      </w:r>
      <w:r>
        <w:rPr>
          <w:lang w:val="en_US" w:bidi="en_US"/>
        </w:rPr>
        <w:t>The women who have never given birth to a baby</w:t>
      </w:r>
    </w:p>
    <w:p>
      <w:pPr>
        <w:pStyle w:val="ListBullet"/>
        <w:spacing w:line="240" w:lineRule="auto"/>
        <w:ind w:left="720"/>
      </w:pPr>
      <w:r>
        <w:rPr>
          <w:lang w:val="en_US" w:bidi="en_US"/>
        </w:rPr>
      </w:r>
      <w:r>
        <w:rPr>
          <w:lang w:val="en_US" w:bidi="en_US"/>
        </w:rPr>
        <w:t>They will say that it is better to have never had a baby</w:t>
      </w:r>
    </w:p>
    <w:p>
      <w:pPr>
        <w:pStyle w:val="Heading5"/>
      </w:pPr>
      <w:r>
        <w:rPr>
          <w:lang w:val="en_US" w:bidi="en_US"/>
        </w:rPr>
        <w:t>23:29e</w:t>
      </w:r>
    </w:p>
    <w:p>
      <w:pPr/>
      <w:r>
        <w:rPr>
          <w:lang w:val="en_US" w:bidi="en_US"/>
        </w:rPr>
      </w:r>
      <w:r>
        <w:rPr>
          <w:b/>
          <w:lang w:val="en_US" w:bidi="en_US"/>
        </w:rPr>
        <w:t>and breasts that never nursed!’</w:t>
      </w:r>
    </w:p>
    <w:p>
      <w:pPr>
        <w:pStyle w:val="ListBullet"/>
        <w:spacing w:line="240" w:lineRule="auto"/>
        <w:ind w:left="720"/>
      </w:pPr>
      <w:r>
        <w:rPr>
          <w:lang w:val="en_US" w:bidi="en_US"/>
        </w:rPr>
      </w:r>
      <w:r>
        <w:rPr>
          <w:lang w:val="en_US" w:bidi="en_US"/>
        </w:rPr>
        <w:t>or breast-fed a child!’</w:t>
      </w:r>
    </w:p>
    <w:p>
      <w:pPr>
        <w:pStyle w:val="ListBullet"/>
        <w:spacing w:line="240" w:lineRule="auto"/>
        <w:ind w:left="720"/>
      </w:pPr>
      <w:r>
        <w:rPr>
          <w:lang w:val="en_US" w:bidi="en_US"/>
        </w:rPr>
      </w:r>
      <w:r>
        <w:rPr>
          <w:lang w:val="en_US" w:bidi="en_US"/>
        </w:rPr>
        <w:t>or held an infant to their breasts are the ones that are fortunate.’</w:t>
      </w:r>
    </w:p>
    <w:p>
      <w:pPr>
        <w:pStyle w:val="ListBullet"/>
        <w:spacing w:line="240" w:lineRule="auto"/>
        <w:ind w:left="720"/>
      </w:pPr>
      <w:r>
        <w:rPr>
          <w:lang w:val="en_US" w:bidi="en_US"/>
        </w:rPr>
      </w:r>
      <w:r>
        <w:rPr>
          <w:lang w:val="en_US" w:bidi="en_US"/>
        </w:rPr>
        <w:t>or nursed a little one.</w:t>
      </w:r>
    </w:p>
    <w:p>
      <w:pPr>
        <w:pStyle w:val="Heading5"/>
      </w:pPr>
      <w:r>
        <w:rPr>
          <w:lang w:val="en_US" w:bidi="en_US"/>
        </w:rPr>
        <w:t>23:29c–e</w:t>
      </w:r>
    </w:p>
    <w:p>
      <w:pPr/>
      <w:r>
        <w:rPr>
          <w:lang w:val="en_US" w:bidi="en_US"/>
        </w:rPr>
      </w:r>
      <w:r>
        <w:rPr>
          <w:b/>
          <w:lang w:val="en_US" w:bidi="en_US"/>
        </w:rPr>
        <w:t>‘Blessed are the barren women, the wombs that never bore, and breasts that never nursed!’:</w:t>
      </w:r>
      <w:r>
        <w:rPr>
          <w:lang w:val="en_US" w:bidi="en_US"/>
        </w:rPr>
        <w:t xml:space="preserve"> Here Jesus gave an example of what people will say during the future time of suffering. Normally Jewish people considered a woman who had many children to be </w:t>
      </w:r>
      <w:r>
        <w:rPr>
          <w:i/>
          <w:lang w:val="en_US" w:bidi="en_US"/>
        </w:rPr>
        <w:t>Blessed</w:t>
      </w:r>
      <w:r>
        <w:rPr>
          <w:lang w:val="en_US" w:bidi="en_US"/>
        </w:rPr>
        <w:t>. But in that future time, the children of Jerusalem will suffer in terrible ways. Then the people will think that it is better for people who do not have children. They do not have the grief of seeing their children suffer or die.</w:t>
      </w:r>
    </w:p>
    <w:p>
      <w:pPr/>
      <w:r>
        <w:rPr>
          <w:lang w:val="en_US" w:bidi="en_US"/>
        </w:rPr>
      </w:r>
      <w:r>
        <w:rPr>
          <w:lang w:val="en_US" w:bidi="en_US"/>
        </w:rPr>
        <w:t>In some languages it may be necessary to make the reason for the saying more explicit. For example:</w:t>
      </w:r>
    </w:p>
    <w:p>
      <w:pPr/>
      <w:r>
        <w:rPr>
          <w:lang w:val="en_US" w:bidi="en_US"/>
        </w:rPr>
      </w:r>
      <w:r>
        <w:rPr>
          <w:lang w:val="en_US" w:bidi="en_US"/>
        </w:rPr>
        <w:t xml:space="preserve">It is good/blessed not to have children </w:t>
      </w:r>
      <w:r>
        <w:rPr>
          <w:lang w:val="en_US" w:bidi="en_US"/>
        </w:rPr>
        <w:t>during this terrible time</w:t>
      </w:r>
      <w:r>
        <w:rPr>
          <w:lang w:val="en_US" w:bidi="en_US"/>
        </w:rPr>
        <w:t>. It is good/blessed never to have had a child or nursed a baby.</w:t>
      </w:r>
    </w:p>
    <w:p>
      <w:pPr/>
      <w:r>
        <w:rPr>
          <w:lang w:val="en_US" w:bidi="en_US"/>
        </w:rPr>
      </w:r>
      <w:r>
        <w:rPr>
          <w:lang w:val="en_US" w:bidi="en_US"/>
        </w:rPr>
        <w:t>In this time of suffering,</w:t>
      </w:r>
      <w:r>
        <w:rPr>
          <w:lang w:val="en_US" w:bidi="en_US"/>
        </w:rPr>
        <w:t xml:space="preserve"> barren women are </w:t>
      </w:r>
      <w:r>
        <w:rPr>
          <w:lang w:val="en_US" w:bidi="en_US"/>
        </w:rPr>
        <w:t>more</w:t>
      </w:r>
      <w:r>
        <w:rPr>
          <w:lang w:val="en_US" w:bidi="en_US"/>
        </w:rPr>
        <w:t xml:space="preserve"> fortunate/blessed </w:t>
      </w:r>
      <w:r>
        <w:rPr>
          <w:lang w:val="en_US" w:bidi="en_US"/>
        </w:rPr>
        <w:t>than mothers</w:t>
      </w:r>
      <w:r>
        <w:rPr>
          <w:lang w:val="en_US" w:bidi="en_US"/>
        </w:rPr>
        <w:t>! It is better never to have given birth or nursed a baby!</w:t>
      </w:r>
    </w:p>
    <w:p>
      <w:pPr/>
      <w:r>
        <w:rPr>
          <w:lang w:val="en_US" w:bidi="en_US"/>
        </w:rPr>
      </w:r>
      <w:r>
        <w:rPr>
          <w:b/>
          <w:lang w:val="en_US" w:bidi="en_US"/>
        </w:rPr>
        <w:t>Blessed:</w:t>
      </w:r>
      <w:r>
        <w:rPr>
          <w:lang w:val="en_US" w:bidi="en_US"/>
        </w:rPr>
        <w:t xml:space="preserve"> The Greek word that the BSB translates as </w:t>
      </w:r>
      <w:r>
        <w:rPr>
          <w:i/>
          <w:lang w:val="en_US" w:bidi="en_US"/>
        </w:rPr>
        <w:t>Blessed</w:t>
      </w:r>
      <w:r>
        <w:rPr>
          <w:lang w:val="en_US" w:bidi="en_US"/>
        </w:rPr>
        <w:t xml:space="preserve"> describes a person who is in a good situation. In the Bible, the good situation usually results from God showing favor/kindness to the person. Some other ways to translate this word are:</w:t>
      </w:r>
    </w:p>
    <w:p>
      <w:pPr/>
      <w:r>
        <w:rPr>
          <w:lang w:val="en_US" w:bidi="en_US"/>
        </w:rPr>
      </w:r>
      <w:r>
        <w:rPr>
          <w:lang w:val="en_US" w:bidi="en_US"/>
        </w:rPr>
        <w:t>How good it is for…</w:t>
      </w:r>
    </w:p>
    <w:p>
      <w:pPr/>
      <w:r>
        <w:rPr>
          <w:lang w:val="en_US" w:bidi="en_US"/>
        </w:rPr>
      </w:r>
      <w:r>
        <w:rPr>
          <w:lang w:val="en_US" w:bidi="en_US"/>
        </w:rPr>
        <w:t>fortunate</w:t>
      </w:r>
    </w:p>
    <w:p>
      <w:pPr/>
      <w:r>
        <w:rPr>
          <w:lang w:val="en_US" w:bidi="en_US"/>
        </w:rPr>
      </w:r>
      <w:r>
        <w:rPr>
          <w:lang w:val="en_US" w:bidi="en_US"/>
        </w:rPr>
        <w:t>Often, a person who is blessed in this sense will have good feelings like happiness. However, in this context the women did not have good feelings. But the context implies that they did not have as much grief as the women who watched their children suffer.</w:t>
      </w:r>
    </w:p>
    <w:p>
      <w:pPr/>
      <w:r>
        <w:rPr>
          <w:lang w:val="en_US" w:bidi="en_US"/>
        </w:rPr>
      </w:r>
      <w:r>
        <w:rPr>
          <w:lang w:val="en_US" w:bidi="en_US"/>
        </w:rPr>
        <w:t>For more information, see bless, Meaning 3, in the Glossary.</w:t>
      </w:r>
    </w:p>
    <w:p>
      <w:pPr/>
      <w:r>
        <w:rPr>
          <w:lang w:val="en_US" w:bidi="en_US"/>
        </w:rPr>
      </w:r>
      <w:r>
        <w:rPr>
          <w:b/>
          <w:lang w:val="en_US" w:bidi="en_US"/>
        </w:rPr>
        <w:t>the barren women, the wombs that never bore, and breasts that never nursed:</w:t>
      </w:r>
      <w:r>
        <w:rPr>
          <w:lang w:val="en_US" w:bidi="en_US"/>
        </w:rPr>
        <w:t xml:space="preserve"> Jesus used three phrases here to refer to women who have never had children. The phrase </w:t>
      </w:r>
      <w:r>
        <w:rPr>
          <w:i/>
          <w:lang w:val="en_US" w:bidi="en_US"/>
        </w:rPr>
        <w:t>the barren women</w:t>
      </w:r>
      <w:r>
        <w:rPr>
          <w:lang w:val="en_US" w:bidi="en_US"/>
        </w:rPr>
        <w:t xml:space="preserve"> has the same meaning as the phrase </w:t>
      </w:r>
      <w:r>
        <w:rPr>
          <w:i/>
          <w:lang w:val="en_US" w:bidi="en_US"/>
        </w:rPr>
        <w:t>the wombs that never bore</w:t>
      </w:r>
      <w:r>
        <w:rPr>
          <w:lang w:val="en_US" w:bidi="en_US"/>
        </w:rPr>
        <w:t xml:space="preserve">. The phrase </w:t>
      </w:r>
      <w:r>
        <w:rPr>
          <w:i/>
          <w:lang w:val="en_US" w:bidi="en_US"/>
        </w:rPr>
        <w:t>breasts that never nursed</w:t>
      </w:r>
      <w:r>
        <w:rPr>
          <w:lang w:val="en_US" w:bidi="en_US"/>
        </w:rPr>
        <w:t xml:space="preserve"> also has the same general meaning as the other two phrases in this context. These three phrases emphasize that the whole statement in 23:29 is a surprising and terrible warning.</w:t>
      </w:r>
    </w:p>
    <w:p>
      <w:pPr/>
      <w:r>
        <w:rPr>
          <w:lang w:val="en_US" w:bidi="en_US"/>
        </w:rPr>
      </w:r>
      <w:r>
        <w:rPr>
          <w:b/>
          <w:lang w:val="en_US" w:bidi="en_US"/>
        </w:rPr>
        <w:t>barren women:</w:t>
      </w:r>
      <w:r>
        <w:rPr>
          <w:lang w:val="en_US" w:bidi="en_US"/>
        </w:rPr>
        <w:t xml:space="preserve"> The Greek word that the BSB translates as </w:t>
      </w:r>
      <w:r>
        <w:rPr>
          <w:i/>
          <w:lang w:val="en_US" w:bidi="en_US"/>
        </w:rPr>
        <w:t>barren</w:t>
      </w:r>
      <w:r>
        <w:rPr>
          <w:lang w:val="en_US" w:bidi="en_US"/>
        </w:rPr>
        <w:t xml:space="preserve"> literally means “sterile” or “incapable of having children.” However, in this context the focus is on not having children at that time of suffering. Because of that, it may be more natural in some languages to use a more general term. For example:</w:t>
      </w:r>
    </w:p>
    <w:p>
      <w:pPr/>
      <w:r>
        <w:rPr>
          <w:lang w:val="en_US" w:bidi="en_US"/>
        </w:rPr>
      </w:r>
      <w:r>
        <w:rPr>
          <w:lang w:val="en_US" w:bidi="en_US"/>
        </w:rPr>
        <w:t>women who are childless (NLT)</w:t>
      </w:r>
    </w:p>
    <w:p>
      <w:pPr/>
      <w:r>
        <w:rPr>
          <w:lang w:val="en_US" w:bidi="en_US"/>
        </w:rPr>
      </w:r>
      <w:r>
        <w:rPr>
          <w:lang w:val="en_US" w:bidi="en_US"/>
        </w:rPr>
        <w:t>women who never had children (GNT)</w:t>
      </w:r>
    </w:p>
    <w:p>
      <w:pPr/>
      <w:r>
        <w:rPr>
          <w:lang w:val="en_US" w:bidi="en_US"/>
        </w:rPr>
      </w:r>
      <w:r>
        <w:rPr>
          <w:b/>
          <w:lang w:val="en_US" w:bidi="en_US"/>
        </w:rPr>
        <w:t>the wombs that never bore, and breasts that never nursed:</w:t>
      </w:r>
      <w:r>
        <w:rPr>
          <w:lang w:val="en_US" w:bidi="en_US"/>
        </w:rPr>
        <w:t xml:space="preserve"> These two phrases are figures of speech that further explain the meaning of “barren women” in 23:29c. In some languages it is not natural or appropriate to speak of </w:t>
      </w:r>
      <w:r>
        <w:rPr>
          <w:i/>
          <w:lang w:val="en_US" w:bidi="en_US"/>
        </w:rPr>
        <w:t>wombs</w:t>
      </w:r>
      <w:r>
        <w:rPr>
          <w:lang w:val="en_US" w:bidi="en_US"/>
        </w:rPr>
        <w:t xml:space="preserve"> and </w:t>
      </w:r>
      <w:r>
        <w:rPr>
          <w:i/>
          <w:lang w:val="en_US" w:bidi="en_US"/>
        </w:rPr>
        <w:t>breasts</w:t>
      </w:r>
      <w:r>
        <w:rPr>
          <w:lang w:val="en_US" w:bidi="en_US"/>
        </w:rPr>
        <w:t xml:space="preserve"> being blessed. If that is true in your language, you can speak of the </w:t>
      </w:r>
      <w:r>
        <w:rPr>
          <w:u w:val="single"/>
          <w:lang w:val="en_US" w:bidi="en_US"/>
        </w:rPr>
        <w:t>women</w:t>
      </w:r>
      <w:r>
        <w:rPr>
          <w:lang w:val="en_US" w:bidi="en_US"/>
        </w:rPr>
        <w:t xml:space="preserve"> who never bore children or nursed them. For example:</w:t>
      </w:r>
    </w:p>
    <w:p>
      <w:pPr/>
      <w:r>
        <w:rPr>
          <w:lang w:val="en_US" w:bidi="en_US"/>
        </w:rPr>
      </w:r>
      <w:r>
        <w:rPr>
          <w:lang w:val="en_US" w:bidi="en_US"/>
        </w:rPr>
        <w:t>the women…who couldn’t give birth, and who couldn’t nurse a child (GW)</w:t>
      </w:r>
    </w:p>
    <w:p>
      <w:pPr/>
      <w:r>
        <w:rPr>
          <w:lang w:val="en_US" w:bidi="en_US"/>
        </w:rPr>
      </w:r>
      <w:r>
        <w:rPr>
          <w:lang w:val="en_US" w:bidi="en_US"/>
        </w:rPr>
        <w:t>the women who cannot bear children and the women who never gave birth and gave suck</w:t>
      </w:r>
      <w:r>
        <w:rPr>
          <w:lang w:val="en_US" w:bidi="en_US"/>
        </w:rPr>
        <w:t>Yakan back translation on TW.</w:t>
      </w:r>
    </w:p>
    <w:p>
      <w:pPr>
        <w:pStyle w:val="Heading6"/>
      </w:pPr>
      <w:r>
        <w:rPr>
          <w:b/>
          <w:lang w:val="en_US" w:bidi="en_US"/>
        </w:rPr>
        <w:t>General Comment on 23:29c–e</w:t>
      </w:r>
    </w:p>
    <w:p>
      <w:pPr/>
      <w:r>
        <w:rPr>
          <w:lang w:val="en_US" w:bidi="en_US"/>
        </w:rPr>
      </w:r>
      <w:r>
        <w:rPr>
          <w:lang w:val="en_US" w:bidi="en_US"/>
        </w:rPr>
        <w:t>In some languages it may be more natural to combine one or more of the three phrases in 23:29c–e. For example, it may be helpful to combine the phrases “the barren women” and “the wombs that never bore.” For example:</w:t>
      </w:r>
    </w:p>
    <w:p>
      <w:pPr/>
      <w:r>
        <w:rPr>
          <w:lang w:val="en_US" w:bidi="en_US"/>
        </w:rPr>
      </w:r>
      <w:r>
        <w:rPr>
          <w:lang w:val="en_US" w:bidi="en_US"/>
        </w:rPr>
        <w:t>Happy are the women who cannot have children and who have no babies to nurse. (NCV)</w:t>
      </w:r>
    </w:p>
    <w:p>
      <w:pPr/>
      <w:r>
        <w:rPr>
          <w:lang w:val="en_US" w:bidi="en_US"/>
        </w:rPr>
      </w:r>
      <w:r>
        <w:rPr>
          <w:lang w:val="en_US" w:bidi="en_US"/>
        </w:rPr>
        <w:t>In some languages it may be more natural to use only one phrase. For example:</w:t>
      </w:r>
    </w:p>
    <w:p>
      <w:pPr/>
      <w:r>
        <w:rPr>
          <w:lang w:val="en_US" w:bidi="en_US"/>
        </w:rPr>
      </w:r>
      <w:r>
        <w:rPr>
          <w:lang w:val="en_US" w:bidi="en_US"/>
        </w:rPr>
        <w:t>Women who never had children are really fortunate! (CEV)</w:t>
      </w:r>
    </w:p>
    <w:p>
      <w:pPr/>
      <w:r>
        <w:rPr>
          <w:lang w:val="en_US" w:bidi="en_US"/>
        </w:rPr>
      </w:r>
      <w:r>
        <w:rPr>
          <w:lang w:val="en_US" w:bidi="en_US"/>
        </w:rPr>
        <w:t>Translate 23:29c–e in a natural way in your language.</w:t>
      </w:r>
      <w:r>
        <w:rPr>
          <w:lang w:val="en_US" w:bidi="en_US"/>
        </w:rPr>
      </w:r>
      <w:r>
        <w:rPr>
          <w:lang w:val="en_US" w:bidi="en_US"/>
        </w:rPr>
      </w:r>
    </w:p>
    <w:p>
      <w:pPr/>
      <w:r>
        <w:rPr>
          <w:lang w:val="en_US" w:bidi="en_US"/>
        </w:rPr>
      </w:r>
    </w:p>
    <w:p>
      <w:pPr>
        <w:pStyle w:val="Heading2"/>
      </w:pPr>
      <w:r>
        <w:rPr>
          <w:lang w:val="en_US" w:bidi="en_US"/>
        </w:rPr>
        <w:t>Luke 23:30</w:t>
      </w:r>
      <w:r>
        <w:rPr>
          <w:lang w:val="en_US" w:bidi="en_US"/>
        </w:rPr>
      </w:r>
    </w:p>
    <w:p>
      <w:pPr>
        <w:pStyle w:val="Heading4"/>
      </w:pPr>
      <w:r>
        <w:rPr>
          <w:lang w:val="en_US" w:bidi="en_US"/>
        </w:rPr>
        <w:t>Section 23:26–43: Soldiers nailed Jesus to a cross</w:t>
      </w:r>
    </w:p>
    <w:p>
      <w:pPr/>
      <w:r>
        <w:rPr>
          <w:lang w:val="en_US" w:bidi="en_US"/>
        </w:rPr>
      </w:r>
      <w:r>
        <w:rPr>
          <w:lang w:val="en_US" w:bidi="en_US"/>
        </w:rP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pPr/>
      <w:r>
        <w:rPr>
          <w:lang w:val="en_US" w:bidi="en_US"/>
        </w:rPr>
      </w:r>
      <w:r>
        <w:rPr>
          <w:lang w:val="en_US" w:bidi="en_US"/>
        </w:rPr>
        <w:t>Other examples of headings for this section are:</w:t>
      </w:r>
    </w:p>
    <w:p>
      <w:pPr/>
      <w:r>
        <w:rPr>
          <w:lang w:val="en_US" w:bidi="en_US"/>
        </w:rPr>
      </w:r>
      <w:r>
        <w:rPr>
          <w:lang w:val="en_US" w:bidi="en_US"/>
        </w:rPr>
        <w:t>The Crucifixion (NIV)</w:t>
      </w:r>
    </w:p>
    <w:p>
      <w:pPr/>
      <w:r>
        <w:rPr>
          <w:lang w:val="en_US" w:bidi="en_US"/>
        </w:rPr>
      </w:r>
      <w:r>
        <w:rPr>
          <w:lang w:val="en_US" w:bidi="en_US"/>
        </w:rPr>
        <w:t>Jesus Is Nailed to a Cross (CEV)</w:t>
      </w:r>
    </w:p>
    <w:p>
      <w:pPr/>
      <w:r>
        <w:rPr>
          <w:lang w:val="en_US" w:bidi="en_US"/>
        </w:rPr>
      </w:r>
      <w:r>
        <w:rPr>
          <w:lang w:val="en_US" w:bidi="en_US"/>
        </w:rPr>
        <w:t>Roman soldiers nailed Jesus to a cross</w:t>
      </w:r>
    </w:p>
    <w:p>
      <w:pPr/>
      <w:r>
        <w:rPr>
          <w:lang w:val="en_US" w:bidi="en_US"/>
        </w:rPr>
      </w:r>
      <w:r>
        <w:rPr>
          <w:lang w:val="en_US" w:bidi="en_US"/>
        </w:rPr>
        <w:t>There are parallel passages for this section in Matthew 27:31–44, Mark 15:21–32, and John 19:17–27.</w:t>
      </w:r>
    </w:p>
    <w:p>
      <w:pPr>
        <w:pStyle w:val="Heading5"/>
      </w:pPr>
      <w:r>
        <w:rPr>
          <w:lang w:val="en_US" w:bidi="en_US"/>
        </w:rPr>
        <w:t>23:30</w:t>
      </w:r>
    </w:p>
    <w:p>
      <w:pPr/>
      <w:r>
        <w:rPr>
          <w:lang w:val="en_US" w:bidi="en_US"/>
        </w:rPr>
      </w:r>
      <w:r>
        <w:rPr>
          <w:lang w:val="en_US" w:bidi="en_US"/>
        </w:rPr>
        <w:t>This verse has parallel parts. Parts a–b and c–d have the same meaning:</w:t>
      </w:r>
    </w:p>
    <w:p>
      <w:pPr/>
      <w:r>
        <w:rPr>
          <w:lang w:val="en_US" w:bidi="en_US"/>
        </w:rPr>
      </w:r>
      <w:r>
        <w:rPr>
          <w:vertAlign w:val="superscript"/>
          <w:lang w:val="en_US" w:bidi="en_US"/>
        </w:rPr>
        <w:t>a</w:t>
      </w:r>
      <w:r>
        <w:rPr>
          <w:lang w:val="en_US" w:bidi="en_US"/>
        </w:rPr>
        <w:t>At that time they will say to the mountains,</w:t>
      </w:r>
    </w:p>
    <w:p>
      <w:pPr/>
      <w:r>
        <w:rPr>
          <w:lang w:val="en_US" w:bidi="en_US"/>
        </w:rPr>
      </w:r>
      <w:r>
        <w:rPr>
          <w:vertAlign w:val="superscript"/>
          <w:lang w:val="en_US" w:bidi="en_US"/>
        </w:rPr>
        <w:t>b</w:t>
      </w:r>
      <w:r>
        <w:rPr>
          <w:lang w:val="en_US" w:bidi="en_US"/>
        </w:rPr>
        <w:t>“Fall on us!”</w:t>
      </w:r>
    </w:p>
    <w:p>
      <w:pPr/>
      <w:r>
        <w:rPr>
          <w:lang w:val="en_US" w:bidi="en_US"/>
        </w:rPr>
      </w:r>
      <w:r>
        <w:rPr>
          <w:vertAlign w:val="superscript"/>
          <w:lang w:val="en_US" w:bidi="en_US"/>
        </w:rPr>
        <w:t>c</w:t>
      </w:r>
      <w:r>
        <w:rPr>
          <w:lang w:val="en_US" w:bidi="en_US"/>
        </w:rPr>
        <w:t>and to the hills,</w:t>
      </w:r>
    </w:p>
    <w:p>
      <w:pPr/>
      <w:r>
        <w:rPr>
          <w:lang w:val="en_US" w:bidi="en_US"/>
        </w:rPr>
      </w:r>
      <w:r>
        <w:rPr>
          <w:vertAlign w:val="superscript"/>
          <w:lang w:val="en_US" w:bidi="en_US"/>
        </w:rPr>
        <w:t>d</w:t>
      </w:r>
      <w:r>
        <w:rPr>
          <w:lang w:val="en_US" w:bidi="en_US"/>
        </w:rPr>
        <w:t>“Cover us!”</w:t>
      </w:r>
    </w:p>
    <w:p>
      <w:pPr/>
      <w:r>
        <w:rPr>
          <w:lang w:val="en_US" w:bidi="en_US"/>
        </w:rPr>
      </w:r>
      <w:r>
        <w:rPr>
          <w:lang w:val="en_US" w:bidi="en_US"/>
        </w:rPr>
        <w:t>In some languages it may be more natural to combine the parallel parts so that the introductions and the two quotations are combined. For example:</w:t>
      </w:r>
    </w:p>
    <w:p>
      <w:pPr/>
      <w:r>
        <w:rPr>
          <w:lang w:val="en_US" w:bidi="en_US"/>
        </w:rPr>
      </w:r>
      <w:r>
        <w:rPr>
          <w:vertAlign w:val="superscript"/>
          <w:lang w:val="en_US" w:bidi="en_US"/>
        </w:rPr>
        <w:t>a,c</w:t>
      </w:r>
      <w:r>
        <w:rPr>
          <w:lang w:val="en_US" w:bidi="en_US"/>
        </w:rPr>
        <w:t xml:space="preserve">Then they will say to the mountains and hills, </w:t>
      </w:r>
      <w:r>
        <w:rPr>
          <w:vertAlign w:val="superscript"/>
          <w:lang w:val="en_US" w:bidi="en_US"/>
        </w:rPr>
        <w:t>b,d</w:t>
      </w:r>
      <w:r>
        <w:rPr>
          <w:lang w:val="en_US" w:bidi="en_US"/>
        </w:rPr>
        <w:t>“Fall on us and cover us!”</w:t>
      </w:r>
    </w:p>
    <w:p>
      <w:pPr/>
      <w:r>
        <w:rPr>
          <w:lang w:val="en_US" w:bidi="en_US"/>
        </w:rPr>
      </w:r>
      <w:r>
        <w:rPr>
          <w:lang w:val="en_US" w:bidi="en_US"/>
        </w:rPr>
        <w:t>At that time, people will speak to the hills like this: “Fall on us, hills! Cover us, stones!”</w:t>
      </w:r>
      <w:r>
        <w:rPr>
          <w:lang w:val="en_US" w:bidi="en_US"/>
        </w:rPr>
        <w:t>Uma back translation on TW.</w:t>
      </w:r>
    </w:p>
    <w:p>
      <w:pPr>
        <w:pStyle w:val="Heading5"/>
      </w:pPr>
      <w:r>
        <w:rPr>
          <w:lang w:val="en_US" w:bidi="en_US"/>
        </w:rPr>
        <w:t>23:30a</w:t>
      </w:r>
    </w:p>
    <w:p>
      <w:pPr/>
      <w:r>
        <w:rPr>
          <w:lang w:val="en_US" w:bidi="en_US"/>
        </w:rPr>
      </w:r>
      <w:r>
        <w:rPr>
          <w:b/>
          <w:lang w:val="en_US" w:bidi="en_US"/>
        </w:rPr>
        <w:t>At that time ‘they will say to the mountains,</w:t>
      </w:r>
    </w:p>
    <w:p>
      <w:pPr>
        <w:pStyle w:val="ListBullet"/>
        <w:spacing w:line="240" w:lineRule="auto"/>
        <w:ind w:left="720"/>
      </w:pPr>
      <w:r>
        <w:rPr>
          <w:lang w:val="en_US" w:bidi="en_US"/>
        </w:rPr>
      </w:r>
      <w:r>
        <w:rPr>
          <w:lang w:val="en_US" w:bidi="en_US"/>
        </w:rPr>
        <w:t>Then, they will begin to say to the mountains,</w:t>
      </w:r>
    </w:p>
    <w:p>
      <w:pPr>
        <w:pStyle w:val="ListBullet"/>
        <w:spacing w:line="240" w:lineRule="auto"/>
        <w:ind w:left="720"/>
      </w:pPr>
      <w:r>
        <w:rPr>
          <w:lang w:val="en_US" w:bidi="en_US"/>
        </w:rPr>
      </w:r>
      <w:r>
        <w:rPr>
          <w:lang w:val="en_US" w:bidi="en_US"/>
        </w:rPr>
        <w:t xml:space="preserve">At that time </w:t>
      </w:r>
      <w:r>
        <w:rPr>
          <w:lang w:val="en_US" w:bidi="en_US"/>
        </w:rPr>
        <w:t>as the Scripture says</w:t>
      </w:r>
      <w:r>
        <w:rPr>
          <w:lang w:val="en_US" w:bidi="en_US"/>
        </w:rPr>
        <w:t xml:space="preserve">, people will call out to the </w:t>
      </w:r>
      <w:r>
        <w:rPr>
          <w:lang w:val="en_US" w:bidi="en_US"/>
        </w:rPr>
        <w:t>stones of the</w:t>
      </w:r>
      <w:r>
        <w:rPr>
          <w:lang w:val="en_US" w:bidi="en_US"/>
        </w:rPr>
        <w:t xml:space="preserve"> mountains</w:t>
      </w:r>
    </w:p>
    <w:p>
      <w:pPr>
        <w:pStyle w:val="ListBullet"/>
        <w:spacing w:line="240" w:lineRule="auto"/>
        <w:ind w:left="720"/>
      </w:pPr>
      <w:r>
        <w:rPr>
          <w:lang w:val="en_US" w:bidi="en_US"/>
        </w:rPr>
      </w:r>
      <w:r>
        <w:rPr>
          <w:lang w:val="en_US" w:bidi="en_US"/>
        </w:rPr>
        <w:t xml:space="preserve">Then people will wish that </w:t>
      </w:r>
      <w:r>
        <w:rPr>
          <w:lang w:val="en_US" w:bidi="en_US"/>
        </w:rPr>
        <w:t>stones and dirt from</w:t>
      </w:r>
      <w:r>
        <w:rPr>
          <w:lang w:val="en_US" w:bidi="en_US"/>
        </w:rPr>
        <w:t xml:space="preserve"> the mountains and hills</w:t>
      </w:r>
    </w:p>
    <w:p>
      <w:pPr>
        <w:pStyle w:val="Heading5"/>
      </w:pPr>
      <w:r>
        <w:rPr>
          <w:lang w:val="en_US" w:bidi="en_US"/>
        </w:rPr>
        <w:t>23:30a–b</w:t>
      </w:r>
    </w:p>
    <w:p>
      <w:pPr/>
      <w:r>
        <w:rPr>
          <w:lang w:val="en_US" w:bidi="en_US"/>
        </w:rPr>
      </w:r>
      <w:r>
        <w:rPr>
          <w:b/>
          <w:lang w:val="en_US" w:bidi="en_US"/>
        </w:rPr>
        <w:t>At that time ‘they will say…’:</w:t>
      </w:r>
      <w:r>
        <w:rPr>
          <w:lang w:val="en_US" w:bidi="en_US"/>
        </w:rPr>
        <w:t xml:space="preserve"> The Greek phrase that the BSB translates as </w:t>
      </w:r>
      <w:r>
        <w:rPr>
          <w:i/>
          <w:lang w:val="en_US" w:bidi="en_US"/>
        </w:rPr>
        <w:t>At that time ‘they will say</w:t>
      </w:r>
      <w:r>
        <w:rPr>
          <w:lang w:val="en_US" w:bidi="en_US"/>
        </w:rPr>
        <w:t xml:space="preserve"> is literally “Then they will begin to say.”</w:t>
      </w:r>
      <w:r>
        <w:rPr>
          <w:lang w:val="en_US" w:bidi="en_US"/>
        </w:rPr>
        <w:t>Most scholars believe that the verb “begin” does not add significantly to the meaning of the verb “say” here.</w:t>
      </w:r>
      <w:r>
        <w:rPr>
          <w:lang w:val="en_US" w:bidi="en_US"/>
        </w:rPr>
        <w:t xml:space="preserve"> Scholars are not sure what the word “begin” adds to the meaning of the verb </w:t>
      </w:r>
      <w:r>
        <w:rPr>
          <w:i/>
          <w:lang w:val="en_US" w:bidi="en_US"/>
        </w:rPr>
        <w:t>say</w:t>
      </w:r>
      <w:r>
        <w:rPr>
          <w:lang w:val="en_US" w:bidi="en_US"/>
        </w:rPr>
        <w:t xml:space="preserve"> here. It probably emphasizes the coming time to which the phrase </w:t>
      </w:r>
      <w:r>
        <w:rPr>
          <w:i/>
          <w:lang w:val="en_US" w:bidi="en_US"/>
        </w:rPr>
        <w:t>At that time</w:t>
      </w:r>
      <w:r>
        <w:rPr>
          <w:lang w:val="en_US" w:bidi="en_US"/>
        </w:rPr>
        <w:t xml:space="preserve"> refers. For example:</w:t>
      </w:r>
    </w:p>
    <w:p>
      <w:pPr/>
      <w:r>
        <w:rPr>
          <w:lang w:val="en_US" w:bidi="en_US"/>
        </w:rPr>
      </w:r>
      <w:r>
        <w:rPr>
          <w:lang w:val="en_US" w:bidi="en_US"/>
        </w:rPr>
        <w:t>That will be the time when people will say (GNT)</w:t>
      </w:r>
    </w:p>
    <w:p>
      <w:pPr/>
      <w:r>
        <w:rPr>
          <w:lang w:val="en_US" w:bidi="en_US"/>
        </w:rPr>
      </w:r>
      <w:r>
        <w:rPr>
          <w:lang w:val="en_US" w:bidi="en_US"/>
        </w:rPr>
        <w:t>At that time everyone will say (CEV)</w:t>
      </w:r>
    </w:p>
    <w:p>
      <w:pPr/>
      <w:r>
        <w:rPr>
          <w:lang w:val="en_US" w:bidi="en_US"/>
        </w:rPr>
      </w:r>
      <w:r>
        <w:rPr>
          <w:lang w:val="en_US" w:bidi="en_US"/>
        </w:rPr>
        <w:t>Some English versions do not translate the word “begin.” Do what is natural here in your language.</w:t>
      </w:r>
    </w:p>
    <w:p>
      <w:pPr/>
      <w:r>
        <w:rPr>
          <w:lang w:val="en_US" w:bidi="en_US"/>
        </w:rPr>
      </w:r>
      <w:r>
        <w:rPr>
          <w:b/>
          <w:lang w:val="en_US" w:bidi="en_US"/>
        </w:rPr>
        <w:t>At that time:</w:t>
      </w:r>
      <w:r>
        <w:rPr>
          <w:lang w:val="en_US" w:bidi="en_US"/>
        </w:rPr>
        <w:t xml:space="preserve"> The phrase </w:t>
      </w:r>
      <w:r>
        <w:rPr>
          <w:i/>
          <w:lang w:val="en_US" w:bidi="en_US"/>
        </w:rPr>
        <w:t>At that time</w:t>
      </w:r>
      <w:r>
        <w:rPr>
          <w:lang w:val="en_US" w:bidi="en_US"/>
        </w:rPr>
        <w:t xml:space="preserve"> introduces a quotation from Hosea 10:8 in the Old Testament. In some languages it may be helpful to introduce this quotation more explicitly. For example:</w:t>
      </w:r>
    </w:p>
    <w:p>
      <w:pPr/>
      <w:r>
        <w:rPr>
          <w:lang w:val="en_US" w:bidi="en_US"/>
        </w:rPr>
      </w:r>
      <w:r>
        <w:rPr>
          <w:lang w:val="en_US" w:bidi="en_US"/>
        </w:rPr>
        <w:t xml:space="preserve">At that time, </w:t>
      </w:r>
      <w:r>
        <w:rPr>
          <w:lang w:val="en_US" w:bidi="en_US"/>
        </w:rPr>
        <w:t>as the Scripture says/prophecies</w:t>
      </w:r>
    </w:p>
    <w:p>
      <w:pPr/>
      <w:r>
        <w:rPr>
          <w:lang w:val="en_US" w:bidi="en_US"/>
        </w:rPr>
      </w:r>
      <w:r>
        <w:rPr>
          <w:lang w:val="en_US" w:bidi="en_US"/>
        </w:rPr>
        <w:t xml:space="preserve">Then </w:t>
      </w:r>
      <w:r>
        <w:rPr>
          <w:lang w:val="en_US" w:bidi="en_US"/>
        </w:rPr>
        <w:t>it will happen as a prophet wrote in God’s Word</w:t>
      </w:r>
    </w:p>
    <w:p>
      <w:pPr/>
      <w:r>
        <w:rPr>
          <w:lang w:val="en_US" w:bidi="en_US"/>
        </w:rPr>
      </w:r>
      <w:r>
        <w:rPr>
          <w:lang w:val="en_US" w:bidi="en_US"/>
        </w:rPr>
        <w:t>The BSB marks this quotation with single quote marks (‘…’) beginning in 23:30a and ending in 20:30d. You should mark this quotation in the same way as you mark other quotations from the Old Testament in your translation. You may also include a footnote or cross reference.</w:t>
      </w:r>
    </w:p>
    <w:p>
      <w:pPr/>
      <w:r>
        <w:rPr>
          <w:lang w:val="en_US" w:bidi="en_US"/>
        </w:rPr>
      </w:r>
      <w:r>
        <w:rPr>
          <w:b/>
          <w:lang w:val="en_US" w:bidi="en_US"/>
        </w:rPr>
        <w:t>they will say to the mountains, “Fall on us!”:</w:t>
      </w:r>
      <w:r>
        <w:rPr>
          <w:lang w:val="en_US" w:bidi="en_US"/>
        </w:rPr>
        <w:t xml:space="preserve"> Here Jesus predicted what the people will wish for in the future time of trouble. They will wish that the mountains and hills will fall on them. Some ways to translate the wish are:</w:t>
      </w:r>
    </w:p>
    <w:p>
      <w:pPr>
        <w:pStyle w:val="ListBullet"/>
        <w:spacing w:line="240" w:lineRule="auto"/>
        <w:ind w:left="720"/>
      </w:pPr>
      <w:r>
        <w:rPr>
          <w:lang w:val="en_US" w:bidi="en_US"/>
        </w:rPr>
      </w:r>
      <w:r>
        <w:rPr>
          <w:lang w:val="en_US" w:bidi="en_US"/>
        </w:rPr>
        <w:t>As direct speech:</w:t>
      </w:r>
      <w:r>
        <w:rPr>
          <w:lang w:val="en_US" w:bidi="en_US"/>
        </w:rPr>
        <w:t>they will beg the mountains, “Fall on us!”</w:t>
      </w:r>
      <w:r>
        <w:rPr>
          <w:lang w:val="en_US" w:bidi="en_US"/>
        </w:rPr>
        <w:t>they will call out to the mountains, “Fall on us!”</w:t>
      </w:r>
    </w:p>
    <w:p>
      <w:pPr>
        <w:pStyle w:val="ListBullet"/>
        <w:spacing w:line="240" w:lineRule="auto"/>
        <w:ind w:left="720"/>
      </w:pPr>
      <w:r>
        <w:rPr>
          <w:lang w:val="en_US" w:bidi="en_US"/>
        </w:rPr>
      </w:r>
      <w:r>
        <w:rPr>
          <w:lang w:val="en_US" w:bidi="en_US"/>
        </w:rPr>
        <w:t>As indirect speech:</w:t>
      </w:r>
      <w:r>
        <w:rPr>
          <w:lang w:val="en_US" w:bidi="en_US"/>
        </w:rPr>
        <w:t>they will beg the mountains to fall on them</w:t>
      </w:r>
    </w:p>
    <w:p>
      <w:pPr>
        <w:pStyle w:val="ListBullet"/>
        <w:spacing w:line="240" w:lineRule="auto"/>
        <w:ind w:left="720"/>
      </w:pPr>
      <w:r>
        <w:rPr>
          <w:lang w:val="en_US" w:bidi="en_US"/>
        </w:rPr>
      </w:r>
      <w:r>
        <w:rPr>
          <w:lang w:val="en_US" w:bidi="en_US"/>
        </w:rPr>
        <w:t>As a wish or hope:</w:t>
      </w:r>
      <w:r>
        <w:rPr>
          <w:lang w:val="en_US" w:bidi="en_US"/>
        </w:rPr>
        <w:t>they will wish/hope that the mountains would fall on them</w:t>
      </w:r>
    </w:p>
    <w:p>
      <w:pPr/>
      <w:r>
        <w:rPr>
          <w:lang w:val="en_US" w:bidi="en_US"/>
        </w:rPr>
      </w:r>
      <w:r>
        <w:rPr>
          <w:lang w:val="en_US" w:bidi="en_US"/>
        </w:rPr>
        <w:t>Translate the wish in a natural way in your language.</w:t>
      </w:r>
    </w:p>
    <w:p>
      <w:pPr/>
      <w:r>
        <w:rPr>
          <w:lang w:val="en_US" w:bidi="en_US"/>
        </w:rPr>
      </w:r>
      <w:r>
        <w:rPr>
          <w:b/>
          <w:lang w:val="en_US" w:bidi="en_US"/>
        </w:rPr>
        <w:t>they:</w:t>
      </w:r>
      <w:r>
        <w:rPr>
          <w:lang w:val="en_US" w:bidi="en_US"/>
        </w:rPr>
        <w:t xml:space="preserve"> The word </w:t>
      </w:r>
      <w:r>
        <w:rPr>
          <w:i/>
          <w:lang w:val="en_US" w:bidi="en_US"/>
        </w:rPr>
        <w:t>they</w:t>
      </w:r>
      <w:r>
        <w:rPr>
          <w:lang w:val="en_US" w:bidi="en_US"/>
        </w:rPr>
        <w:t xml:space="preserve"> is used in the same way as the word “people” in 23:29b. It refers to people in general, especially the people in Jerusalem. You can translate it here in the same way or a similar way as you translated “people” in 23:29b.</w:t>
      </w:r>
    </w:p>
    <w:p>
      <w:pPr>
        <w:pStyle w:val="Heading5"/>
      </w:pPr>
      <w:r>
        <w:rPr>
          <w:lang w:val="en_US" w:bidi="en_US"/>
        </w:rPr>
        <w:t>23:30b</w:t>
      </w:r>
    </w:p>
    <w:p>
      <w:pPr/>
      <w:r>
        <w:rPr>
          <w:lang w:val="en_US" w:bidi="en_US"/>
        </w:rPr>
      </w:r>
      <w:r>
        <w:rPr>
          <w:b/>
          <w:lang w:val="en_US" w:bidi="en_US"/>
        </w:rPr>
        <w:t>“Fall on us!”</w:t>
      </w:r>
    </w:p>
    <w:p>
      <w:pPr>
        <w:pStyle w:val="ListBullet"/>
        <w:spacing w:line="240" w:lineRule="auto"/>
        <w:ind w:left="720"/>
      </w:pPr>
      <w:r>
        <w:rPr>
          <w:lang w:val="en_US" w:bidi="en_US"/>
        </w:rPr>
      </w:r>
      <w:r>
        <w:rPr>
          <w:lang w:val="en_US" w:bidi="en_US"/>
        </w:rPr>
        <w:t>‘Come/Crash</w:t>
      </w:r>
      <w:r>
        <w:rPr>
          <w:vertAlign w:val="superscript"/>
          <w:lang w:val="en_US" w:bidi="en_US"/>
        </w:rPr>
        <w:t>(plur)</w:t>
      </w:r>
      <w:r>
        <w:rPr>
          <w:lang w:val="en_US" w:bidi="en_US"/>
        </w:rPr>
        <w:t xml:space="preserve"> down on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 xml:space="preserve">to descend on them </w:t>
      </w:r>
      <w:r>
        <w:rPr>
          <w:lang w:val="en_US" w:bidi="en_US"/>
        </w:rPr>
        <w:t>and kill them</w:t>
      </w:r>
      <w:r>
        <w:rPr>
          <w:lang w:val="en_US" w:bidi="en_US"/>
        </w:rPr>
        <w:t>.</w:t>
      </w:r>
    </w:p>
    <w:p>
      <w:pPr>
        <w:pStyle w:val="ListBullet"/>
        <w:spacing w:line="240" w:lineRule="auto"/>
        <w:ind w:left="720"/>
      </w:pPr>
      <w:r>
        <w:rPr>
          <w:lang w:val="en_US" w:bidi="en_US"/>
        </w:rPr>
      </w:r>
      <w:r>
        <w:rPr>
          <w:lang w:val="en_US" w:bidi="en_US"/>
        </w:rPr>
        <w:t>would slide down on them</w:t>
      </w:r>
    </w:p>
    <w:p>
      <w:pPr/>
      <w:r>
        <w:rPr>
          <w:lang w:val="en_US" w:bidi="en_US"/>
        </w:rPr>
      </w:r>
      <w:r>
        <w:rPr>
          <w:b/>
          <w:lang w:val="en_US" w:bidi="en_US"/>
        </w:rPr>
        <w:t>Fall on us!:</w:t>
      </w:r>
      <w:r>
        <w:rPr>
          <w:lang w:val="en_US" w:bidi="en_US"/>
        </w:rPr>
        <w:t xml:space="preserve"> The clause </w:t>
      </w:r>
      <w:r>
        <w:rPr>
          <w:i/>
          <w:lang w:val="en_US" w:bidi="en_US"/>
        </w:rPr>
        <w:t>Fall on us!</w:t>
      </w:r>
      <w:r>
        <w:rPr>
          <w:lang w:val="en_US" w:bidi="en_US"/>
        </w:rPr>
        <w:t xml:space="preserve"> probably indicates that people will wish that the dirt or stones of the mountains would come down on them and kill them. It implies that people will suffer so terribly that they will wish that they could die. If the mountains fell on them, they would die quickly. They would not have to endure the terrible sufferings of that time.</w:t>
      </w:r>
    </w:p>
    <w:p>
      <w:pPr/>
      <w:r>
        <w:rPr>
          <w:lang w:val="en_US" w:bidi="en_US"/>
        </w:rPr>
      </w:r>
      <w:r>
        <w:rPr>
          <w:lang w:val="en_US" w:bidi="en_US"/>
        </w:rPr>
        <w:t>In some languages people do not speak of mountains “falling.” If that is true in your language, describe it in natural way in your language. Some ways to do this are:</w:t>
      </w:r>
    </w:p>
    <w:p>
      <w:pPr/>
      <w:r>
        <w:rPr>
          <w:lang w:val="en_US" w:bidi="en_US"/>
        </w:rPr>
      </w:r>
      <w:r>
        <w:rPr>
          <w:lang w:val="en_US" w:bidi="en_US"/>
        </w:rPr>
        <w:t>will plead that the mountains will landslide in order to bury/cover them</w:t>
      </w:r>
      <w:r>
        <w:rPr>
          <w:lang w:val="en_US" w:bidi="en_US"/>
        </w:rPr>
        <w:t>Kankanaey back translation on TW.</w:t>
      </w:r>
    </w:p>
    <w:p>
      <w:pPr/>
      <w:r>
        <w:rPr>
          <w:lang w:val="en_US" w:bidi="en_US"/>
        </w:rPr>
      </w:r>
      <w:r>
        <w:rPr>
          <w:lang w:val="en_US" w:bidi="en_US"/>
        </w:rPr>
        <w:t>will say, “Why doesn’t this mountain cover me?”</w:t>
      </w:r>
      <w:r>
        <w:rPr>
          <w:lang w:val="en_US" w:bidi="en_US"/>
        </w:rPr>
        <w:t>Yakan back translation on TW.</w:t>
      </w:r>
    </w:p>
    <w:p>
      <w:pPr>
        <w:pStyle w:val="Heading5"/>
      </w:pPr>
      <w:r>
        <w:rPr>
          <w:lang w:val="en_US" w:bidi="en_US"/>
        </w:rPr>
        <w:t>23:30c</w:t>
      </w:r>
    </w:p>
    <w:p>
      <w:pPr/>
      <w:r>
        <w:rPr>
          <w:lang w:val="en_US" w:bidi="en_US"/>
        </w:rPr>
      </w:r>
      <w:r>
        <w:rPr>
          <w:b/>
          <w:lang w:val="en_US" w:bidi="en_US"/>
        </w:rPr>
        <w:t>and to the hills,</w:t>
      </w:r>
    </w:p>
    <w:p>
      <w:pPr>
        <w:pStyle w:val="ListBullet"/>
        <w:spacing w:line="240" w:lineRule="auto"/>
        <w:ind w:left="720"/>
      </w:pPr>
      <w:r>
        <w:rPr>
          <w:lang w:val="en_US" w:bidi="en_US"/>
        </w:rPr>
      </w:r>
      <w:r>
        <w:rPr>
          <w:lang w:val="en_US" w:bidi="en_US"/>
        </w:rPr>
        <w:t>and they will also say</w:t>
      </w:r>
      <w:r>
        <w:rPr>
          <w:lang w:val="en_US" w:bidi="en_US"/>
        </w:rPr>
        <w:t xml:space="preserve"> to those hills,</w:t>
      </w:r>
    </w:p>
    <w:p>
      <w:pPr>
        <w:pStyle w:val="ListBullet"/>
        <w:spacing w:line="240" w:lineRule="auto"/>
        <w:ind w:left="720"/>
      </w:pPr>
      <w:r>
        <w:rPr>
          <w:lang w:val="en_US" w:bidi="en_US"/>
        </w:rPr>
      </w:r>
      <w:r>
        <w:rPr>
          <w:lang w:val="en_US" w:bidi="en_US"/>
        </w:rPr>
        <w:t>They will plead/beg</w:t>
      </w:r>
    </w:p>
    <w:p>
      <w:pPr>
        <w:pStyle w:val="ListBullet"/>
        <w:spacing w:line="240" w:lineRule="auto"/>
        <w:ind w:left="720"/>
      </w:pPr>
      <w:r>
        <w:rPr>
          <w:lang w:val="en_US" w:bidi="en_US"/>
        </w:rPr>
      </w:r>
      <w:r>
        <w:rPr>
          <w:lang w:val="en_US" w:bidi="en_US"/>
        </w:rPr>
        <w:t>and</w:t>
      </w:r>
    </w:p>
    <w:p>
      <w:pPr>
        <w:pStyle w:val="Heading5"/>
      </w:pPr>
      <w:r>
        <w:rPr>
          <w:lang w:val="en_US" w:bidi="en_US"/>
        </w:rPr>
        <w:t>23:30d</w:t>
      </w:r>
    </w:p>
    <w:p>
      <w:pPr/>
      <w:r>
        <w:rPr>
          <w:lang w:val="en_US" w:bidi="en_US"/>
        </w:rPr>
      </w:r>
      <w:r>
        <w:rPr>
          <w:b/>
          <w:lang w:val="en_US" w:bidi="en_US"/>
        </w:rPr>
        <w:t>“Cover us!”’</w:t>
      </w:r>
    </w:p>
    <w:p>
      <w:pPr>
        <w:pStyle w:val="ListBullet"/>
        <w:spacing w:line="240" w:lineRule="auto"/>
        <w:ind w:left="720"/>
      </w:pPr>
      <w:r>
        <w:rPr>
          <w:lang w:val="en_US" w:bidi="en_US"/>
        </w:rPr>
      </w:r>
      <w:r>
        <w:rPr>
          <w:lang w:val="en_US" w:bidi="en_US"/>
        </w:rPr>
        <w:t>‘Bury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for the hills to bury them.</w:t>
      </w:r>
    </w:p>
    <w:p>
      <w:pPr>
        <w:pStyle w:val="ListBullet"/>
        <w:spacing w:line="240" w:lineRule="auto"/>
        <w:ind w:left="720"/>
      </w:pPr>
      <w:r>
        <w:rPr>
          <w:lang w:val="en_US" w:bidi="en_US"/>
        </w:rPr>
      </w:r>
      <w:r>
        <w:rPr>
          <w:lang w:val="en_US" w:bidi="en_US"/>
        </w:rPr>
        <w:t>cover them up/over.</w:t>
      </w:r>
    </w:p>
    <w:p>
      <w:pPr>
        <w:pStyle w:val="Heading5"/>
      </w:pPr>
      <w:r>
        <w:rPr>
          <w:lang w:val="en_US" w:bidi="en_US"/>
        </w:rPr>
        <w:t>23:30c–d</w:t>
      </w:r>
    </w:p>
    <w:p>
      <w:pPr/>
      <w:r>
        <w:rPr>
          <w:lang w:val="en_US" w:bidi="en_US"/>
        </w:rPr>
      </w:r>
      <w:r>
        <w:rPr>
          <w:b/>
          <w:lang w:val="en_US" w:bidi="en_US"/>
        </w:rPr>
        <w:t>and to the hills, “Cover us!”:</w:t>
      </w:r>
      <w:r>
        <w:rPr>
          <w:lang w:val="en_US" w:bidi="en_US"/>
        </w:rPr>
        <w:t xml:space="preserve"> There is an ellipsis here. The full form is, “and they will say to the hills, ‘Cover us.’” It has almost the same meaning as the wish in 23:30a–b. The difference between </w:t>
      </w:r>
      <w:r>
        <w:rPr>
          <w:i/>
          <w:lang w:val="en_US" w:bidi="en_US"/>
        </w:rPr>
        <w:t>hills</w:t>
      </w:r>
      <w:r>
        <w:rPr>
          <w:lang w:val="en_US" w:bidi="en_US"/>
        </w:rPr>
        <w:t xml:space="preserve"> and “mountains” is only that hills are smaller than mountains. If the hills covered the people, they would be buried alive and die. Another way to translate 23:30c–d is:</w:t>
      </w:r>
    </w:p>
    <w:p>
      <w:pPr/>
      <w:r>
        <w:rPr>
          <w:lang w:val="en_US" w:bidi="en_US"/>
        </w:rPr>
      </w:r>
      <w:r>
        <w:rPr>
          <w:lang w:val="en_US" w:bidi="en_US"/>
        </w:rPr>
        <w:t>And they will say also to the hill, “Cover us up.”</w:t>
      </w:r>
      <w:r>
        <w:rPr>
          <w:lang w:val="en_US" w:bidi="en_US"/>
        </w:rPr>
        <w:t>Western Bukidnon Manobo back translation on TW.</w:t>
      </w:r>
    </w:p>
    <w:p>
      <w:pPr/>
      <w:r>
        <w:rPr>
          <w:lang w:val="en_US" w:bidi="en_US"/>
        </w:rPr>
      </w:r>
      <w:r>
        <w:rPr>
          <w:lang w:val="en_US" w:bidi="en_US"/>
        </w:rPr>
        <w:t>As in 23:30a–b, Jesus predicted what the people will wish in the future. You may translate this part of the verse in a similar way as you did there. See the note on “they will say to the mountains, ‘Fall on us!’” at 23:30a–b for translation suggestions.</w:t>
      </w:r>
      <w:r>
        <w:rPr>
          <w:lang w:val="en_US" w:bidi="en_US"/>
        </w:rPr>
      </w:r>
      <w:r>
        <w:rPr>
          <w:lang w:val="en_US" w:bidi="en_US"/>
        </w:rPr>
      </w:r>
    </w:p>
    <w:p>
      <w:pPr/>
      <w:r>
        <w:rPr>
          <w:lang w:val="en_US" w:bidi="en_US"/>
        </w:rPr>
      </w:r>
    </w:p>
    <w:p>
      <w:pPr>
        <w:pStyle w:val="Heading2"/>
      </w:pPr>
      <w:r>
        <w:rPr>
          <w:lang w:val="en_US" w:bidi="en_US"/>
        </w:rPr>
        <w:t>Luke 23:31</w:t>
      </w:r>
      <w:r>
        <w:rPr>
          <w:lang w:val="en_US" w:bidi="en_US"/>
        </w:rPr>
      </w:r>
    </w:p>
    <w:p>
      <w:pPr>
        <w:pStyle w:val="Heading4"/>
      </w:pPr>
      <w:r>
        <w:rPr>
          <w:lang w:val="en_US" w:bidi="en_US"/>
        </w:rPr>
        <w:t>Section 23:26–43: Soldiers nailed Jesus to a cross</w:t>
      </w:r>
    </w:p>
    <w:p>
      <w:pPr/>
      <w:r>
        <w:rPr>
          <w:lang w:val="en_US" w:bidi="en_US"/>
        </w:rPr>
      </w:r>
      <w:r>
        <w:rPr>
          <w:lang w:val="en_US" w:bidi="en_US"/>
        </w:rP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pPr/>
      <w:r>
        <w:rPr>
          <w:lang w:val="en_US" w:bidi="en_US"/>
        </w:rPr>
      </w:r>
      <w:r>
        <w:rPr>
          <w:lang w:val="en_US" w:bidi="en_US"/>
        </w:rPr>
        <w:t>Other examples of headings for this section are:</w:t>
      </w:r>
    </w:p>
    <w:p>
      <w:pPr/>
      <w:r>
        <w:rPr>
          <w:lang w:val="en_US" w:bidi="en_US"/>
        </w:rPr>
      </w:r>
      <w:r>
        <w:rPr>
          <w:lang w:val="en_US" w:bidi="en_US"/>
        </w:rPr>
        <w:t>The Crucifixion (NIV)</w:t>
      </w:r>
    </w:p>
    <w:p>
      <w:pPr/>
      <w:r>
        <w:rPr>
          <w:lang w:val="en_US" w:bidi="en_US"/>
        </w:rPr>
      </w:r>
      <w:r>
        <w:rPr>
          <w:lang w:val="en_US" w:bidi="en_US"/>
        </w:rPr>
        <w:t>Jesus Is Nailed to a Cross (CEV)</w:t>
      </w:r>
    </w:p>
    <w:p>
      <w:pPr/>
      <w:r>
        <w:rPr>
          <w:lang w:val="en_US" w:bidi="en_US"/>
        </w:rPr>
      </w:r>
      <w:r>
        <w:rPr>
          <w:lang w:val="en_US" w:bidi="en_US"/>
        </w:rPr>
        <w:t>Roman soldiers nailed Jesus to a cross</w:t>
      </w:r>
    </w:p>
    <w:p>
      <w:pPr/>
      <w:r>
        <w:rPr>
          <w:lang w:val="en_US" w:bidi="en_US"/>
        </w:rPr>
      </w:r>
      <w:r>
        <w:rPr>
          <w:lang w:val="en_US" w:bidi="en_US"/>
        </w:rPr>
        <w:t>There are parallel passages for this section in Matthew 27:31–44, Mark 15:21–32, and John 19:17–27.</w:t>
      </w:r>
    </w:p>
    <w:p>
      <w:pPr>
        <w:pStyle w:val="Heading5"/>
      </w:pPr>
      <w:r>
        <w:rPr>
          <w:lang w:val="en_US" w:bidi="en_US"/>
        </w:rPr>
        <w:t>23:31a–b</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proverb. It gives a reason why the things that Jesus predicted in 23:29–30 were certain to happen. It also connects what Jesus said about the future in 23:30 with the suffering and death that he was enduring. Some ways to introduce it in English are:</w:t>
      </w:r>
    </w:p>
    <w:p>
      <w:pPr/>
      <w:r>
        <w:rPr>
          <w:lang w:val="en_US" w:bidi="en_US"/>
        </w:rPr>
      </w:r>
      <w:r>
        <w:rPr>
          <w:lang w:val="en_US" w:bidi="en_US"/>
        </w:rPr>
        <w:t>I say this</w:t>
      </w:r>
      <w:r>
        <w:rPr>
          <w:lang w:val="en_US" w:bidi="en_US"/>
        </w:rPr>
        <w:t xml:space="preserve"> because</w:t>
      </w:r>
    </w:p>
    <w:p>
      <w:pPr/>
      <w:r>
        <w:rPr>
          <w:lang w:val="en_US" w:bidi="en_US"/>
        </w:rPr>
      </w:r>
      <w:r>
        <w:rPr>
          <w:lang w:val="en_US" w:bidi="en_US"/>
        </w:rPr>
        <w:t>This is certain,</w:t>
      </w:r>
      <w:r>
        <w:rPr>
          <w:lang w:val="en_US" w:bidi="en_US"/>
        </w:rPr>
        <w:t xml:space="preserve"> for</w:t>
      </w:r>
    </w:p>
    <w:p>
      <w:pPr/>
      <w:r>
        <w:rPr>
          <w:lang w:val="en_US" w:bidi="en_US"/>
        </w:rPr>
      </w:r>
      <w:r>
        <w:rPr>
          <w:lang w:val="en_US" w:bidi="en_US"/>
        </w:rPr>
        <w:t xml:space="preserve">For </w:t>
      </w:r>
      <w:r>
        <w:rPr>
          <w:lang w:val="en_US" w:bidi="en_US"/>
        </w:rPr>
        <w:t>you see what is happening to me, and</w:t>
      </w:r>
    </w:p>
    <w:p>
      <w:pPr/>
      <w:r>
        <w:rPr>
          <w:lang w:val="en_US" w:bidi="en_US"/>
        </w:rPr>
      </w:r>
      <w:r>
        <w:rPr>
          <w:lang w:val="en_US" w:bidi="en_US"/>
        </w:rPr>
        <w:t>In some languages the connection may be implied without a conjunction.</w:t>
      </w:r>
    </w:p>
    <w:p>
      <w:pPr/>
      <w:r>
        <w:rPr>
          <w:lang w:val="en_US" w:bidi="en_US"/>
        </w:rPr>
      </w:r>
      <w:r>
        <w:rPr>
          <w:b/>
          <w:lang w:val="en_US" w:bidi="en_US"/>
        </w:rPr>
        <w:t>if men do these things while the tree is green, what will happen when it is dry:</w:t>
      </w:r>
      <w:r>
        <w:rPr>
          <w:lang w:val="en_US" w:bidi="en_US"/>
        </w:rPr>
        <w:t xml:space="preserve"> This saying is a type of proverb.</w:t>
      </w:r>
      <w:r>
        <w:rPr>
          <w:lang w:val="en_US" w:bidi="en_US"/>
        </w:rPr>
        <w:t xml:space="preserve">See Nunnally, “From Ezekiel 17:24 and 21:3 to Luke 23:31: A Survey of the Connecting Jewish Tradition.” </w:t>
      </w:r>
      <w:r>
        <w:rPr>
          <w:i/>
          <w:lang w:val="en_US" w:bidi="en_US"/>
        </w:rPr>
        <w:t>Jerusalem Perspective Online</w:t>
      </w:r>
      <w:r>
        <w:rPr>
          <w:lang w:val="en_US" w:bidi="en_US"/>
        </w:rPr>
        <w:t>. 2009.</w:t>
      </w:r>
      <w:r>
        <w:rPr>
          <w:lang w:val="en_US" w:bidi="en_US"/>
        </w:rPr>
        <w:t xml:space="preserve"> It is also a rhetorical question. Jesus used it as an emphatic warning to sinful people. It indicates that since Jesus suffered terribly even though he was innocent, we should expect that guilty people will suffer much more. In some languages it is more natural to emphasize the warning without using a rhetorical question. For example:</w:t>
      </w:r>
    </w:p>
    <w:p>
      <w:pPr/>
      <w:r>
        <w:rPr>
          <w:lang w:val="en_US" w:bidi="en_US"/>
        </w:rPr>
      </w:r>
      <w:r>
        <w:rPr>
          <w:lang w:val="en_US" w:bidi="en_US"/>
        </w:rPr>
        <w:t xml:space="preserve">if men do these things when a tree is green, they will </w:t>
      </w:r>
      <w:r>
        <w:rPr>
          <w:u w:val="single"/>
          <w:lang w:val="en_US" w:bidi="en_US"/>
        </w:rPr>
        <w:t>certainly do even more terrible things</w:t>
      </w:r>
      <w:r>
        <w:rPr>
          <w:lang w:val="en_US" w:bidi="en_US"/>
        </w:rPr>
        <w:t xml:space="preserve"> when it is dry</w:t>
      </w:r>
    </w:p>
    <w:p>
      <w:pPr/>
      <w:r>
        <w:rPr>
          <w:lang w:val="en_US" w:bidi="en_US"/>
        </w:rPr>
      </w:r>
      <w:r>
        <w:rPr>
          <w:lang w:val="en_US" w:bidi="en_US"/>
        </w:rPr>
        <w:t>This warning uses a metaphor. Dry wood burns faster than green wood.</w:t>
      </w:r>
      <w:r>
        <w:rPr>
          <w:lang w:val="en_US" w:bidi="en_US"/>
        </w:rPr>
        <w:t>See Marshall, p. 865.</w:t>
      </w:r>
      <w:r>
        <w:rPr>
          <w:lang w:val="en_US" w:bidi="en_US"/>
        </w:rPr>
        <w:t xml:space="preserve"> Burning is an implied metaphor for suffering or punishment. Jesus was like green wood because he did not deserve to burn (suffer). The people who rejected Jesus were like dry wood. They deserved to burn (suffer) because of their sins. In some languages a literal translation of the metaphor implies a wrong meaning. Some other ways to translate this metaphor are:</w:t>
      </w:r>
    </w:p>
    <w:p>
      <w:pPr>
        <w:pStyle w:val="ListBullet"/>
        <w:spacing w:line="240" w:lineRule="auto"/>
        <w:ind w:left="720"/>
      </w:pPr>
      <w:r>
        <w:rPr>
          <w:lang w:val="en_US" w:bidi="en_US"/>
        </w:rPr>
      </w:r>
      <w:r>
        <w:rPr>
          <w:lang w:val="en_US" w:bidi="en_US"/>
        </w:rPr>
        <w:t>Use a simile. For example:</w:t>
      </w:r>
      <w:r>
        <w:rPr>
          <w:lang w:val="en_US" w:bidi="en_US"/>
        </w:rPr>
        <w:t>if this is what they will do to me who am like not yet dried wood, surely worse is what they will do to you who are like already-dried</w:t>
      </w:r>
      <w:r>
        <w:rPr>
          <w:lang w:val="en_US" w:bidi="en_US"/>
        </w:rPr>
        <w:t>Kankanaey back translation on TW.</w:t>
      </w:r>
    </w:p>
    <w:p>
      <w:pPr>
        <w:pStyle w:val="ListBullet"/>
        <w:spacing w:line="240" w:lineRule="auto"/>
        <w:ind w:left="720"/>
      </w:pPr>
      <w:r>
        <w:rPr>
          <w:lang w:val="en_US" w:bidi="en_US"/>
        </w:rPr>
      </w:r>
      <w:r>
        <w:rPr>
          <w:lang w:val="en_US" w:bidi="en_US"/>
        </w:rPr>
        <w:t>Use a simile and make the meaning more explicit. For example:</w:t>
      </w:r>
      <w:r>
        <w:rPr>
          <w:lang w:val="en_US" w:bidi="en_US"/>
        </w:rPr>
        <w:t xml:space="preserve">if this is what they are doing to me who am like a tree that is not yet dried up </w:t>
      </w:r>
      <w:r>
        <w:rPr>
          <w:u w:val="single"/>
          <w:lang w:val="en_US" w:bidi="en_US"/>
        </w:rPr>
        <w:t>because I do not have any sin</w:t>
      </w:r>
      <w:r>
        <w:rPr>
          <w:lang w:val="en_US" w:bidi="en_US"/>
        </w:rPr>
        <w:t>, how much more is it that they will do to you who are like a tree that has already died up</w:t>
      </w:r>
      <w:r>
        <w:rPr>
          <w:lang w:val="en_US" w:bidi="en_US"/>
        </w:rPr>
        <w:t>Western Bukidnon Manobo back translation on TW.</w:t>
      </w:r>
      <w:r>
        <w:rPr>
          <w:lang w:val="en_US" w:bidi="en_US"/>
        </w:rPr>
        <w:t>as people are taking me who am like a fresh tree and putting me in the fire like this, will you who are like dry firewood be spared?</w:t>
      </w:r>
      <w:r>
        <w:rPr>
          <w:lang w:val="en_US" w:bidi="en_US"/>
        </w:rPr>
        <w:t>Back translated into English by Linda Neeley from the Gikyode New Testament.</w:t>
      </w:r>
    </w:p>
    <w:p>
      <w:pPr>
        <w:pStyle w:val="ListBullet"/>
        <w:spacing w:line="240" w:lineRule="auto"/>
        <w:ind w:left="720"/>
      </w:pPr>
      <w:r>
        <w:rPr>
          <w:lang w:val="en_US" w:bidi="en_US"/>
        </w:rPr>
      </w:r>
      <w:r>
        <w:rPr>
          <w:lang w:val="en_US" w:bidi="en_US"/>
        </w:rPr>
        <w:t>Translate both the metaphor and the meaning. For example:</w:t>
      </w:r>
      <w:r>
        <w:rPr>
          <w:lang w:val="en_US" w:bidi="en_US"/>
        </w:rPr>
        <w:t xml:space="preserve">since even a green tree </w:t>
      </w:r>
      <w:r>
        <w:rPr>
          <w:lang w:val="en_US" w:bidi="en_US"/>
        </w:rPr>
        <w:t>burns</w:t>
      </w:r>
      <w:r>
        <w:rPr>
          <w:lang w:val="en_US" w:bidi="en_US"/>
        </w:rPr>
        <w:t xml:space="preserve"> </w:t>
      </w:r>
      <w:r>
        <w:rPr>
          <w:lang w:val="en_US" w:bidi="en_US"/>
        </w:rPr>
        <w:t>and an innocent person suffers</w:t>
      </w:r>
      <w:r>
        <w:rPr>
          <w:lang w:val="en_US" w:bidi="en_US"/>
        </w:rPr>
        <w:t xml:space="preserve">, a dry tree will certainly </w:t>
      </w:r>
      <w:r>
        <w:rPr>
          <w:lang w:val="en_US" w:bidi="en_US"/>
        </w:rPr>
        <w:t>burn quickly</w:t>
      </w:r>
      <w:r>
        <w:rPr>
          <w:lang w:val="en_US" w:bidi="en_US"/>
        </w:rPr>
        <w:t xml:space="preserve"> and </w:t>
      </w:r>
      <w:r>
        <w:rPr>
          <w:lang w:val="en_US" w:bidi="en_US"/>
        </w:rPr>
        <w:t>guilty people will suffer more terribly</w:t>
      </w:r>
    </w:p>
    <w:p>
      <w:pPr>
        <w:pStyle w:val="ListBullet"/>
        <w:spacing w:line="240" w:lineRule="auto"/>
        <w:ind w:left="720"/>
      </w:pPr>
      <w:r>
        <w:rPr>
          <w:lang w:val="en_US" w:bidi="en_US"/>
        </w:rPr>
      </w:r>
      <w:r>
        <w:rPr>
          <w:lang w:val="en_US" w:bidi="en_US"/>
        </w:rPr>
        <w:t>Translate the meaning without the metaphor. For example:</w:t>
      </w:r>
      <w:r>
        <w:rPr>
          <w:lang w:val="en_US" w:bidi="en_US"/>
        </w:rPr>
        <w:t>if they do like this to a person who has no sin, they will do worse to the people who have sin on that day.</w:t>
      </w:r>
      <w:r>
        <w:rPr>
          <w:lang w:val="en_US" w:bidi="en_US"/>
        </w:rPr>
        <w:t>Yakan back translation on TW.</w:t>
      </w:r>
      <w:r>
        <w:rPr>
          <w:lang w:val="en_US" w:bidi="en_US"/>
        </w:rPr>
        <w:t xml:space="preserve">you see what is done to </w:t>
      </w:r>
      <w:r>
        <w:rPr>
          <w:lang w:val="en_US" w:bidi="en_US"/>
        </w:rPr>
        <w:t>me,</w:t>
      </w:r>
      <w:r>
        <w:rPr>
          <w:lang w:val="en_US" w:bidi="en_US"/>
        </w:rPr>
        <w:t xml:space="preserve"> an innocent person, so think about the terrible things that will be done to guilty people.</w:t>
      </w:r>
    </w:p>
    <w:p>
      <w:pPr/>
      <w:r>
        <w:rPr>
          <w:lang w:val="en_US" w:bidi="en_US"/>
        </w:rPr>
      </w:r>
      <w:r>
        <w:rPr>
          <w:lang w:val="en_US" w:bidi="en_US"/>
        </w:rPr>
        <w:t>You should translate this warning in a meaningful way in your language. Your translation should not imply that Jesus cursed the women. He did not refer to the women as dry trees. He referred to sinful men and women in general.</w:t>
      </w:r>
    </w:p>
    <w:p>
      <w:pPr>
        <w:pStyle w:val="Heading5"/>
      </w:pPr>
      <w:r>
        <w:rPr>
          <w:lang w:val="en_US" w:bidi="en_US"/>
        </w:rPr>
        <w:t>23:31a</w:t>
      </w:r>
    </w:p>
    <w:p>
      <w:pPr/>
      <w:r>
        <w:rPr>
          <w:lang w:val="en_US" w:bidi="en_US"/>
        </w:rPr>
      </w:r>
      <w:r>
        <w:rPr>
          <w:b/>
          <w:lang w:val="en_US" w:bidi="en_US"/>
        </w:rPr>
        <w:t>For if men do these things while the tree is green,</w:t>
      </w:r>
    </w:p>
    <w:p>
      <w:pPr>
        <w:pStyle w:val="ListBullet"/>
        <w:spacing w:line="240" w:lineRule="auto"/>
        <w:ind w:left="720"/>
      </w:pPr>
      <w:r>
        <w:rPr>
          <w:lang w:val="en_US" w:bidi="en_US"/>
        </w:rPr>
      </w:r>
      <w:r>
        <w:rPr>
          <w:lang w:val="en_US" w:bidi="en_US"/>
        </w:rPr>
        <w:t xml:space="preserve">For if people do these </w:t>
      </w:r>
      <w:r>
        <w:rPr>
          <w:lang w:val="en_US" w:bidi="en_US"/>
        </w:rPr>
        <w:t>terrible</w:t>
      </w:r>
      <w:r>
        <w:rPr>
          <w:lang w:val="en_US" w:bidi="en_US"/>
        </w:rPr>
        <w:t xml:space="preserve"> things to </w:t>
      </w:r>
      <w:r>
        <w:rPr>
          <w:lang w:val="en_US" w:bidi="en_US"/>
        </w:rPr>
        <w:t>me who am like</w:t>
      </w:r>
      <w:r>
        <w:rPr>
          <w:lang w:val="en_US" w:bidi="en_US"/>
        </w:rPr>
        <w:t xml:space="preserve"> a green tree,</w:t>
      </w:r>
    </w:p>
    <w:p>
      <w:pPr>
        <w:pStyle w:val="ListBullet"/>
        <w:spacing w:line="240" w:lineRule="auto"/>
        <w:ind w:left="720"/>
      </w:pPr>
      <w:r>
        <w:rPr>
          <w:lang w:val="en_US" w:bidi="en_US"/>
        </w:rPr>
      </w:r>
      <w:r>
        <w:rPr>
          <w:lang w:val="en_US" w:bidi="en_US"/>
        </w:rPr>
        <w:t xml:space="preserve">Since </w:t>
      </w:r>
      <w:r>
        <w:rPr>
          <w:lang w:val="en_US" w:bidi="en_US"/>
        </w:rPr>
        <w:t>the fire</w:t>
      </w:r>
      <w:r>
        <w:rPr>
          <w:lang w:val="en_US" w:bidi="en_US"/>
        </w:rPr>
        <w:t xml:space="preserve"> </w:t>
      </w:r>
      <w:r>
        <w:rPr>
          <w:lang w:val="en_US" w:bidi="en_US"/>
        </w:rPr>
        <w:t>of suffering/judgment</w:t>
      </w:r>
      <w:r>
        <w:rPr>
          <w:lang w:val="en_US" w:bidi="en_US"/>
        </w:rPr>
        <w:t xml:space="preserve"> </w:t>
      </w:r>
      <w:r>
        <w:rPr>
          <w:lang w:val="en_US" w:bidi="en_US"/>
        </w:rPr>
        <w:t>burns</w:t>
      </w:r>
      <w:r>
        <w:rPr>
          <w:lang w:val="en_US" w:bidi="en_US"/>
        </w:rPr>
        <w:t xml:space="preserve"> even </w:t>
      </w:r>
      <w:r>
        <w:rPr>
          <w:lang w:val="en_US" w:bidi="en_US"/>
        </w:rPr>
        <w:t>me, who am like</w:t>
      </w:r>
      <w:r>
        <w:rPr>
          <w:lang w:val="en_US" w:bidi="en_US"/>
        </w:rPr>
        <w:t xml:space="preserve"> a green tree,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see</w:t>
      </w:r>
      <w:r>
        <w:rPr>
          <w:lang w:val="en_US" w:bidi="en_US"/>
        </w:rPr>
        <w:t xml:space="preserve"> how </w:t>
      </w:r>
      <w:r>
        <w:rPr>
          <w:lang w:val="en_US" w:bidi="en_US"/>
        </w:rPr>
        <w:t>God</w:t>
      </w:r>
      <w:r>
        <w:rPr>
          <w:lang w:val="en_US" w:bidi="en_US"/>
        </w:rPr>
        <w:t xml:space="preserve"> </w:t>
      </w:r>
      <w:r>
        <w:rPr>
          <w:lang w:val="en_US" w:bidi="en_US"/>
        </w:rPr>
        <w:t>allows</w:t>
      </w:r>
      <w:r>
        <w:rPr>
          <w:lang w:val="en_US" w:bidi="en_US"/>
        </w:rPr>
        <w:t xml:space="preserve"> </w:t>
      </w:r>
      <w:r>
        <w:rPr>
          <w:lang w:val="en_US" w:bidi="en_US"/>
        </w:rPr>
        <w:t>me</w:t>
      </w:r>
      <w:r>
        <w:rPr>
          <w:lang w:val="en_US" w:bidi="en_US"/>
        </w:rPr>
        <w:t xml:space="preserve"> to suffer as an innocent person</w:t>
      </w:r>
    </w:p>
    <w:p>
      <w:pPr/>
      <w:r>
        <w:rPr>
          <w:lang w:val="en_US" w:bidi="en_US"/>
        </w:rPr>
      </w:r>
      <w:r>
        <w:rPr>
          <w:b/>
          <w:lang w:val="en_US" w:bidi="en_US"/>
        </w:rPr>
        <w:t>if men do these things:</w:t>
      </w:r>
      <w:r>
        <w:rPr>
          <w:lang w:val="en_US" w:bidi="en_US"/>
        </w:rPr>
        <w:t xml:space="preserve"> In Greek this clause is more literally:</w:t>
      </w:r>
    </w:p>
    <w:p>
      <w:pPr/>
      <w:r>
        <w:rPr>
          <w:lang w:val="en_US" w:bidi="en_US"/>
        </w:rPr>
      </w:r>
      <w:r>
        <w:rPr>
          <w:lang w:val="en_US" w:bidi="en_US"/>
        </w:rPr>
        <w:t>if they do these things (ESV)</w:t>
      </w:r>
    </w:p>
    <w:p>
      <w:pPr/>
      <w:r>
        <w:rPr>
          <w:lang w:val="en_US" w:bidi="en_US"/>
        </w:rPr>
      </w:r>
      <w:r>
        <w:rPr>
          <w:lang w:val="en_US" w:bidi="en_US"/>
        </w:rPr>
        <w:t>In this context the clause is similar to a passive clause. It does not specify who was doing those things. It may imply that God did them or caused them to happen, or it may refer to the Jews who demanded his crucifixion. It is not likely that Jesus referred to the specific Roman soldiers who did the crucifixion.</w:t>
      </w:r>
    </w:p>
    <w:p>
      <w:pPr/>
      <w:r>
        <w:rPr>
          <w:lang w:val="en_US" w:bidi="en_US"/>
        </w:rPr>
      </w:r>
      <w:r>
        <w:rPr>
          <w:lang w:val="en_US" w:bidi="en_US"/>
        </w:rPr>
        <w:t>Some other ways to translate this clause are:</w:t>
      </w:r>
    </w:p>
    <w:p>
      <w:pPr>
        <w:pStyle w:val="ListBullet"/>
        <w:spacing w:line="240" w:lineRule="auto"/>
        <w:ind w:left="720"/>
      </w:pPr>
      <w:r>
        <w:rPr>
          <w:lang w:val="en_US" w:bidi="en_US"/>
        </w:rPr>
      </w:r>
      <w:r>
        <w:rPr>
          <w:lang w:val="en_US" w:bidi="en_US"/>
        </w:rPr>
        <w:t>Use a passive clause:</w:t>
      </w:r>
      <w:r>
        <w:rPr>
          <w:lang w:val="en_US" w:bidi="en_US"/>
        </w:rPr>
        <w:t>if such things as these are done when the wood is green (GNT)</w:t>
      </w:r>
    </w:p>
    <w:p>
      <w:pPr>
        <w:pStyle w:val="ListBullet"/>
        <w:spacing w:line="240" w:lineRule="auto"/>
        <w:ind w:left="720"/>
      </w:pPr>
      <w:r>
        <w:rPr>
          <w:lang w:val="en_US" w:bidi="en_US"/>
        </w:rPr>
      </w:r>
      <w:r>
        <w:rPr>
          <w:lang w:val="en_US" w:bidi="en_US"/>
        </w:rPr>
        <w:t>Use an active clause and supply a subject. For example:</w:t>
      </w:r>
      <w:r>
        <w:rPr>
          <w:lang w:val="en_US" w:bidi="en_US"/>
        </w:rPr>
        <w:t>If people do this to a green tree (GW)</w:t>
      </w:r>
      <w:r>
        <w:rPr>
          <w:lang w:val="en_US" w:bidi="en_US"/>
        </w:rPr>
        <w:t>if they do these things (NASB)</w:t>
      </w:r>
      <w:r>
        <w:rPr>
          <w:lang w:val="en_US" w:bidi="en_US"/>
        </w:rPr>
        <w:t xml:space="preserve">if </w:t>
      </w:r>
      <w:r>
        <w:rPr>
          <w:lang w:val="en_US" w:bidi="en_US"/>
        </w:rPr>
        <w:t>fire</w:t>
      </w:r>
      <w:r>
        <w:rPr>
          <w:lang w:val="en_US" w:bidi="en_US"/>
        </w:rPr>
        <w:t xml:space="preserve"> burns even a green tree</w:t>
      </w:r>
    </w:p>
    <w:p>
      <w:pPr>
        <w:pStyle w:val="ListBullet"/>
        <w:spacing w:line="240" w:lineRule="auto"/>
        <w:ind w:left="720"/>
      </w:pPr>
      <w:r>
        <w:rPr>
          <w:lang w:val="en_US" w:bidi="en_US"/>
        </w:rPr>
      </w:r>
      <w:r>
        <w:rPr>
          <w:lang w:val="en_US" w:bidi="en_US"/>
        </w:rPr>
        <w:t>Use a clause that indicates that God allowed or caused the events to happen. For example:</w:t>
      </w:r>
      <w:r>
        <w:rPr>
          <w:lang w:val="en_US" w:bidi="en_US"/>
        </w:rPr>
        <w:t xml:space="preserve">If </w:t>
      </w:r>
      <w:r>
        <w:rPr>
          <w:lang w:val="en_US" w:bidi="en_US"/>
        </w:rPr>
        <w:t>God</w:t>
      </w:r>
      <w:r>
        <w:rPr>
          <w:lang w:val="en_US" w:bidi="en_US"/>
        </w:rPr>
        <w:t xml:space="preserve"> allows this to happen to a green tree</w:t>
      </w:r>
    </w:p>
    <w:p>
      <w:pPr/>
      <w:r>
        <w:rPr>
          <w:lang w:val="en_US" w:bidi="en_US"/>
        </w:rPr>
      </w:r>
      <w:r>
        <w:rPr>
          <w:lang w:val="en_US" w:bidi="en_US"/>
        </w:rPr>
        <w:t xml:space="preserve">In this clause the word </w:t>
      </w:r>
      <w:r>
        <w:rPr>
          <w:i/>
          <w:lang w:val="en_US" w:bidi="en_US"/>
        </w:rPr>
        <w:t>if</w:t>
      </w:r>
      <w:r>
        <w:rPr>
          <w:lang w:val="en_US" w:bidi="en_US"/>
        </w:rPr>
        <w:t xml:space="preserve"> introduces a situation that is true. It does not imply that Jesus doubted what was happening. Indicate that in a natural way in your language. Some other ways to translate it in English are:</w:t>
      </w:r>
    </w:p>
    <w:p>
      <w:pPr/>
      <w:r>
        <w:rPr>
          <w:lang w:val="en_US" w:bidi="en_US"/>
        </w:rPr>
      </w:r>
      <w:r>
        <w:rPr>
          <w:lang w:val="en_US" w:bidi="en_US"/>
        </w:rPr>
        <w:t>since people do these things</w:t>
      </w:r>
    </w:p>
    <w:p>
      <w:pPr/>
      <w:r>
        <w:rPr>
          <w:lang w:val="en_US" w:bidi="en_US"/>
        </w:rPr>
      </w:r>
      <w:r>
        <w:rPr>
          <w:lang w:val="en_US" w:bidi="en_US"/>
        </w:rPr>
        <w:t>people are doing these things…so…</w:t>
      </w:r>
    </w:p>
    <w:p>
      <w:pPr/>
      <w:r>
        <w:rPr>
          <w:lang w:val="en_US" w:bidi="en_US"/>
        </w:rPr>
      </w:r>
      <w:r>
        <w:rPr>
          <w:b/>
          <w:lang w:val="en_US" w:bidi="en_US"/>
        </w:rPr>
        <w:t>the tree:</w:t>
      </w:r>
      <w:r>
        <w:rPr>
          <w:lang w:val="en_US" w:bidi="en_US"/>
        </w:rPr>
        <w:t xml:space="preserve"> The Greek word that the BSB translates as </w:t>
      </w:r>
      <w:r>
        <w:rPr>
          <w:i/>
          <w:lang w:val="en_US" w:bidi="en_US"/>
        </w:rPr>
        <w:t>tree</w:t>
      </w:r>
      <w:r>
        <w:rPr>
          <w:lang w:val="en_US" w:bidi="en_US"/>
        </w:rPr>
        <w:t xml:space="preserve"> also means “wood,” as in the RSV, or “piece of wood.” The BSB has supplied the word </w:t>
      </w:r>
      <w:r>
        <w:rPr>
          <w:i/>
          <w:lang w:val="en_US" w:bidi="en_US"/>
        </w:rPr>
        <w:t>the</w:t>
      </w:r>
      <w:r>
        <w:rPr>
          <w:lang w:val="en_US" w:bidi="en_US"/>
        </w:rPr>
        <w:t>, which is not in the Greek text. Jesus was using a tree or piece of wood in his proverb. You should translate the word in the most appropriate way for this context in your language.</w:t>
      </w:r>
    </w:p>
    <w:p>
      <w:pPr/>
      <w:r>
        <w:rPr>
          <w:lang w:val="en_US" w:bidi="en_US"/>
        </w:rPr>
      </w:r>
      <w:r>
        <w:rPr>
          <w:b/>
          <w:lang w:val="en_US" w:bidi="en_US"/>
        </w:rPr>
        <w:t>green:</w:t>
      </w:r>
      <w:r>
        <w:rPr>
          <w:lang w:val="en_US" w:bidi="en_US"/>
        </w:rPr>
        <w:t xml:space="preserve"> The Greek word that the BSB translates as </w:t>
      </w:r>
      <w:r>
        <w:rPr>
          <w:i/>
          <w:lang w:val="en_US" w:bidi="en_US"/>
        </w:rPr>
        <w:t>green</w:t>
      </w:r>
      <w:r>
        <w:rPr>
          <w:lang w:val="en_US" w:bidi="en_US"/>
        </w:rPr>
        <w:t xml:space="preserve"> means “moist.” Here it describes a tree that is damp or fresh. Green/damp wood is not good for burning. Use a natural way in your language to describe moist trees or wood.</w:t>
      </w:r>
    </w:p>
    <w:p>
      <w:pPr>
        <w:pStyle w:val="Heading5"/>
      </w:pPr>
      <w:r>
        <w:rPr>
          <w:lang w:val="en_US" w:bidi="en_US"/>
        </w:rPr>
        <w:t>23:31b</w:t>
      </w:r>
    </w:p>
    <w:p>
      <w:pPr/>
      <w:r>
        <w:rPr>
          <w:lang w:val="en_US" w:bidi="en_US"/>
        </w:rPr>
      </w:r>
      <w:r>
        <w:rPr>
          <w:b/>
          <w:lang w:val="en_US" w:bidi="en_US"/>
        </w:rPr>
        <w:t>what will happen when it is dry?”</w:t>
      </w:r>
    </w:p>
    <w:p>
      <w:pPr>
        <w:pStyle w:val="ListBullet"/>
        <w:spacing w:line="240" w:lineRule="auto"/>
        <w:ind w:left="720"/>
      </w:pPr>
      <w:r>
        <w:rPr>
          <w:lang w:val="en_US" w:bidi="en_US"/>
        </w:rPr>
      </w:r>
      <w:r>
        <w:rPr>
          <w:lang w:val="en_US" w:bidi="en_US"/>
        </w:rPr>
        <w:t>what will happen to a dry tree?”</w:t>
      </w:r>
    </w:p>
    <w:p>
      <w:pPr>
        <w:pStyle w:val="ListBullet"/>
        <w:spacing w:line="240" w:lineRule="auto"/>
        <w:ind w:left="720"/>
      </w:pPr>
      <w:r>
        <w:rPr>
          <w:lang w:val="en_US" w:bidi="en_US"/>
        </w:rPr>
      </w:r>
      <w:r>
        <w:rPr>
          <w:lang w:val="en_US" w:bidi="en_US"/>
        </w:rPr>
        <w:t xml:space="preserve">people who are like dry trees will certainly </w:t>
      </w:r>
      <w:r>
        <w:rPr>
          <w:lang w:val="en_US" w:bidi="en_US"/>
        </w:rPr>
        <w:t>suffer</w:t>
      </w:r>
      <w:r>
        <w:rPr>
          <w:lang w:val="en_US" w:bidi="en_US"/>
        </w:rPr>
        <w:t xml:space="preserve"> much more.”</w:t>
      </w:r>
    </w:p>
    <w:p>
      <w:pPr>
        <w:pStyle w:val="ListBullet"/>
        <w:spacing w:line="240" w:lineRule="auto"/>
        <w:ind w:left="720"/>
      </w:pPr>
      <w:r>
        <w:rPr>
          <w:lang w:val="en_US" w:bidi="en_US"/>
        </w:rPr>
      </w:r>
      <w:r>
        <w:rPr>
          <w:lang w:val="en_US" w:bidi="en_US"/>
        </w:rPr>
        <w:t xml:space="preserve">so </w:t>
      </w:r>
      <w:r>
        <w:rPr>
          <w:lang w:val="en_US" w:bidi="en_US"/>
        </w:rPr>
        <w:t>you</w:t>
      </w:r>
      <w:r>
        <w:rPr>
          <w:vertAlign w:val="superscript"/>
          <w:lang w:val="en_US" w:bidi="en_US"/>
        </w:rPr>
        <w:t>(plur)</w:t>
      </w:r>
      <w:r>
        <w:rPr>
          <w:lang w:val="en_US" w:bidi="en_US"/>
        </w:rPr>
        <w:t xml:space="preserve"> </w:t>
      </w:r>
      <w:r>
        <w:rPr>
          <w:lang w:val="en_US" w:bidi="en_US"/>
        </w:rPr>
        <w:t>can be sure that</w:t>
      </w:r>
      <w:r>
        <w:rPr>
          <w:lang w:val="en_US" w:bidi="en_US"/>
        </w:rPr>
        <w:t xml:space="preserve"> the </w:t>
      </w:r>
      <w:r>
        <w:rPr>
          <w:lang w:val="en_US" w:bidi="en_US"/>
        </w:rPr>
        <w:t>suffering/punishment</w:t>
      </w:r>
      <w:r>
        <w:rPr>
          <w:lang w:val="en_US" w:bidi="en_US"/>
        </w:rPr>
        <w:t xml:space="preserve"> of a guilty/sinful person will be terrible!”</w:t>
      </w:r>
    </w:p>
    <w:p>
      <w:pPr/>
      <w:r>
        <w:rPr>
          <w:lang w:val="en_US" w:bidi="en_US"/>
        </w:rPr>
      </w:r>
      <w:r>
        <w:rPr>
          <w:b/>
          <w:lang w:val="en_US" w:bidi="en_US"/>
        </w:rPr>
        <w:t>what will happen when it is dry:</w:t>
      </w:r>
      <w:r>
        <w:rPr>
          <w:lang w:val="en_US" w:bidi="en_US"/>
        </w:rPr>
        <w:t xml:space="preserve"> The clause </w:t>
      </w:r>
      <w:r>
        <w:rPr>
          <w:i/>
          <w:lang w:val="en_US" w:bidi="en_US"/>
        </w:rPr>
        <w:t>what will happen when it is dry</w:t>
      </w:r>
      <w:r>
        <w:rPr>
          <w:lang w:val="en_US" w:bidi="en_US"/>
        </w:rPr>
        <w:t xml:space="preserve"> is a rhetorical question. It gives a conclusion from the first part of the proverb in 23:31a. Jesus was suffering terribly as an innocent person, so we can conclude that guilty people will suffer much more.</w:t>
      </w:r>
    </w:p>
    <w:p>
      <w:pPr/>
      <w:r>
        <w:rPr>
          <w:lang w:val="en_US" w:bidi="en_US"/>
        </w:rPr>
      </w:r>
      <w:r>
        <w:rPr>
          <w:lang w:val="en_US" w:bidi="en_US"/>
        </w:rPr>
        <w:t>In some languages it may be natural to translate this conclusion as a separate sentence. For example:</w:t>
      </w:r>
    </w:p>
    <w:p>
      <w:pPr/>
      <w:r>
        <w:rPr>
          <w:lang w:val="en_US" w:bidi="en_US"/>
        </w:rPr>
      </w:r>
      <w:r>
        <w:rPr>
          <w:lang w:val="en_US" w:bidi="en_US"/>
        </w:rPr>
        <w:t>So what do you think they will do to dry trees/wood?</w:t>
      </w:r>
    </w:p>
    <w:p>
      <w:pPr/>
      <w:r>
        <w:rPr>
          <w:lang w:val="en_US" w:bidi="en_US"/>
        </w:rPr>
      </w:r>
      <w:r>
        <w:rPr>
          <w:lang w:val="en_US" w:bidi="en_US"/>
        </w:rPr>
        <w:t xml:space="preserve">So </w:t>
      </w:r>
      <w:r>
        <w:rPr>
          <w:lang w:val="en_US" w:bidi="en_US"/>
        </w:rPr>
        <w:t>you can be sure that</w:t>
      </w:r>
      <w:r>
        <w:rPr>
          <w:lang w:val="en_US" w:bidi="en_US"/>
        </w:rPr>
        <w:t xml:space="preserve"> it will much worse when the tree is dry.</w:t>
      </w:r>
    </w:p>
    <w:p>
      <w:pPr/>
      <w:r>
        <w:rPr>
          <w:lang w:val="en_US" w:bidi="en_US"/>
        </w:rPr>
      </w:r>
      <w:r>
        <w:rPr>
          <w:lang w:val="en_US" w:bidi="en_US"/>
        </w:rPr>
        <w:t>See the examples in the notes at 23:31a–b. See also the examples in 23:31a. You should translate 23:31b in a way that fits with your translation of 23:31a.</w:t>
      </w:r>
    </w:p>
    <w:p>
      <w:pPr/>
      <w:r>
        <w:rPr>
          <w:lang w:val="en_US" w:bidi="en_US"/>
        </w:rPr>
      </w:r>
      <w:r>
        <w:rPr>
          <w:b/>
          <w:lang w:val="en_US" w:bidi="en_US"/>
        </w:rPr>
        <w:t>when it is dry:</w:t>
      </w:r>
      <w:r>
        <w:rPr>
          <w:lang w:val="en_US" w:bidi="en_US"/>
        </w:rPr>
        <w:t xml:space="preserve"> The Greek phrase that the BSB translates as </w:t>
      </w:r>
      <w:r>
        <w:rPr>
          <w:i/>
          <w:lang w:val="en_US" w:bidi="en_US"/>
        </w:rPr>
        <w:t>when it is dry</w:t>
      </w:r>
      <w:r>
        <w:rPr>
          <w:lang w:val="en_US" w:bidi="en_US"/>
        </w:rPr>
        <w:t xml:space="preserve"> is more literally “in the dry.” It probably refers in general to a dry tree or wood. It does not imply that the green tree/wood in 23:31a has dried up. In the proverb it probably represents sinful </w:t>
      </w:r>
      <w:r>
        <w:rPr>
          <w:u w:val="single"/>
          <w:lang w:val="en_US" w:bidi="en_US"/>
        </w:rPr>
        <w:t>people</w:t>
      </w:r>
      <w:r>
        <w:rPr>
          <w:lang w:val="en_US" w:bidi="en_US"/>
        </w:rPr>
        <w:t xml:space="preserve"> who are like dry trees that deserve burning. Another way to translate it is:</w:t>
      </w:r>
    </w:p>
    <w:p>
      <w:pPr/>
      <w:r>
        <w:rPr>
          <w:lang w:val="en_US" w:bidi="en_US"/>
        </w:rPr>
      </w:r>
      <w:r>
        <w:rPr>
          <w:lang w:val="en_US" w:bidi="en_US"/>
        </w:rPr>
        <w:t>to a dry one (GW)</w:t>
      </w:r>
      <w:r>
        <w:rPr>
          <w:lang w:val="en_US" w:bidi="en_US"/>
        </w:rPr>
      </w:r>
      <w:r>
        <w:rPr>
          <w:lang w:val="en_US" w:bidi="en_US"/>
        </w:rPr>
      </w:r>
    </w:p>
    <w:p>
      <w:pPr/>
      <w:r>
        <w:rPr>
          <w:lang w:val="en_US" w:bidi="en_US"/>
        </w:rPr>
      </w:r>
    </w:p>
    <w:p>
      <w:pPr>
        <w:pStyle w:val="Heading2"/>
      </w:pPr>
      <w:r>
        <w:rPr>
          <w:lang w:val="en_US" w:bidi="en_US"/>
        </w:rPr>
        <w:t>Luke 23:32</w:t>
      </w:r>
      <w:r>
        <w:rPr>
          <w:lang w:val="en_US" w:bidi="en_US"/>
        </w:rPr>
      </w:r>
    </w:p>
    <w:p>
      <w:pPr>
        <w:pStyle w:val="Heading4"/>
      </w:pPr>
      <w:r>
        <w:rPr>
          <w:lang w:val="en_US" w:bidi="en_US"/>
        </w:rPr>
        <w:t>Section 23:26–43: Soldiers nailed Jesus to a cross</w:t>
      </w:r>
    </w:p>
    <w:p>
      <w:pPr/>
      <w:r>
        <w:rPr>
          <w:lang w:val="en_US" w:bidi="en_US"/>
        </w:rPr>
      </w:r>
      <w:r>
        <w:rPr>
          <w:lang w:val="en_US" w:bidi="en_US"/>
        </w:rP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pPr/>
      <w:r>
        <w:rPr>
          <w:lang w:val="en_US" w:bidi="en_US"/>
        </w:rPr>
      </w:r>
      <w:r>
        <w:rPr>
          <w:lang w:val="en_US" w:bidi="en_US"/>
        </w:rPr>
        <w:t>Other examples of headings for this section are:</w:t>
      </w:r>
    </w:p>
    <w:p>
      <w:pPr/>
      <w:r>
        <w:rPr>
          <w:lang w:val="en_US" w:bidi="en_US"/>
        </w:rPr>
      </w:r>
      <w:r>
        <w:rPr>
          <w:lang w:val="en_US" w:bidi="en_US"/>
        </w:rPr>
        <w:t>The Crucifixion (NIV)</w:t>
      </w:r>
    </w:p>
    <w:p>
      <w:pPr/>
      <w:r>
        <w:rPr>
          <w:lang w:val="en_US" w:bidi="en_US"/>
        </w:rPr>
      </w:r>
      <w:r>
        <w:rPr>
          <w:lang w:val="en_US" w:bidi="en_US"/>
        </w:rPr>
        <w:t>Jesus Is Nailed to a Cross (CEV)</w:t>
      </w:r>
    </w:p>
    <w:p>
      <w:pPr/>
      <w:r>
        <w:rPr>
          <w:lang w:val="en_US" w:bidi="en_US"/>
        </w:rPr>
      </w:r>
      <w:r>
        <w:rPr>
          <w:lang w:val="en_US" w:bidi="en_US"/>
        </w:rPr>
        <w:t>Roman soldiers nailed Jesus to a cross</w:t>
      </w:r>
    </w:p>
    <w:p>
      <w:pPr/>
      <w:r>
        <w:rPr>
          <w:lang w:val="en_US" w:bidi="en_US"/>
        </w:rPr>
      </w:r>
      <w:r>
        <w:rPr>
          <w:lang w:val="en_US" w:bidi="en_US"/>
        </w:rPr>
        <w:t>There are parallel passages for this section in Matthew 27:31–44, Mark 15:21–32, and John 19:17–27.</w:t>
      </w:r>
    </w:p>
    <w:p>
      <w:pPr>
        <w:pStyle w:val="Heading5"/>
      </w:pPr>
      <w:r>
        <w:rPr>
          <w:lang w:val="en_US" w:bidi="en_US"/>
        </w:rPr>
        <w:t>23:32</w:t>
      </w:r>
    </w:p>
    <w:p>
      <w:pPr/>
      <w:r>
        <w:rPr>
          <w:lang w:val="en_US" w:bidi="en_US"/>
        </w:rPr>
      </w:r>
      <w:r>
        <w:rPr>
          <w:b/>
          <w:lang w:val="en_US" w:bidi="en_US"/>
        </w:rPr>
        <w:t>Two others, who were criminals, were also led away to be executed with Jesus.</w:t>
      </w:r>
    </w:p>
    <w:p>
      <w:pPr>
        <w:pStyle w:val="ListBullet"/>
        <w:spacing w:line="240" w:lineRule="auto"/>
        <w:ind w:left="720"/>
      </w:pPr>
      <w:r>
        <w:rPr>
          <w:lang w:val="en_US" w:bidi="en_US"/>
        </w:rPr>
      </w:r>
      <w:r>
        <w:rPr>
          <w:lang w:val="en_US" w:bidi="en_US"/>
        </w:rPr>
        <w:t>¶ There were also two criminals led out with Jesus to be put to death. (NCV)</w:t>
      </w:r>
    </w:p>
    <w:p>
      <w:pPr>
        <w:pStyle w:val="ListBullet"/>
        <w:spacing w:line="240" w:lineRule="auto"/>
        <w:ind w:left="720"/>
      </w:pPr>
      <w:r>
        <w:rPr>
          <w:lang w:val="en_US" w:bidi="en_US"/>
        </w:rPr>
      </w:r>
      <w:r>
        <w:rPr>
          <w:lang w:val="en_US" w:bidi="en_US"/>
        </w:rPr>
        <w:t xml:space="preserve">¶ As </w:t>
      </w:r>
      <w:r>
        <w:rPr>
          <w:lang w:val="en_US" w:bidi="en_US"/>
        </w:rPr>
        <w:t>soldiers</w:t>
      </w:r>
      <w:r>
        <w:rPr>
          <w:lang w:val="en_US" w:bidi="en_US"/>
        </w:rPr>
        <w:t xml:space="preserve"> led Jesus along, </w:t>
      </w:r>
      <w:r>
        <w:rPr>
          <w:lang w:val="en_US" w:bidi="en_US"/>
        </w:rPr>
        <w:t>they</w:t>
      </w:r>
      <w:r>
        <w:rPr>
          <w:lang w:val="en_US" w:bidi="en_US"/>
        </w:rPr>
        <w:t xml:space="preserve"> also led two other men to be killed at the same time. Those men were evildoers/lawbreakers.</w:t>
      </w:r>
    </w:p>
    <w:p>
      <w:pPr/>
      <w:r>
        <w:rPr>
          <w:lang w:val="en_US" w:bidi="en_US"/>
        </w:rPr>
      </w:r>
      <w:r>
        <w:rPr>
          <w:lang w:val="en_US" w:bidi="en_US"/>
        </w:rPr>
        <w:t>In Greek, 23:32 begins with a conjunction that the NJB translates as “Now.” Most English versions do not translate this conjunction. In this context the conjunction introduces background information about two other men who were led out with Jesus to be crucified. These men began to be led there before Jesus talked to the women in the preceding paragraph. Connect this information to the preceding paragraph in a way that is natural in your language.</w:t>
      </w:r>
    </w:p>
    <w:p>
      <w:pPr/>
      <w:r>
        <w:rPr>
          <w:lang w:val="en_US" w:bidi="en_US"/>
        </w:rPr>
      </w:r>
      <w:r>
        <w:rPr>
          <w:b/>
          <w:lang w:val="en_US" w:bidi="en_US"/>
        </w:rPr>
        <w:t>Two others, who were criminals, were also led away to be executed with Jesus:</w:t>
      </w:r>
      <w:r>
        <w:rPr>
          <w:lang w:val="en_US" w:bidi="en_US"/>
        </w:rPr>
        <w:t xml:space="preserve"> The two men led out with Jesus were criminals, but Jesus was not a criminal. Be sure that this is clear in your translation. Some ways to make it clear in English are:</w:t>
      </w:r>
    </w:p>
    <w:p>
      <w:pPr/>
      <w:r>
        <w:rPr>
          <w:lang w:val="en_US" w:bidi="en_US"/>
        </w:rPr>
      </w:r>
      <w:r>
        <w:rPr>
          <w:lang w:val="en_US" w:bidi="en_US"/>
        </w:rPr>
        <w:t>Two other men were also led away with Jesus to be executed. These men were both criminals.</w:t>
      </w:r>
    </w:p>
    <w:p>
      <w:pPr/>
      <w:r>
        <w:rPr>
          <w:lang w:val="en_US" w:bidi="en_US"/>
        </w:rPr>
      </w:r>
      <w:r>
        <w:rPr>
          <w:lang w:val="en_US" w:bidi="en_US"/>
        </w:rPr>
        <w:t>Two criminals were also led out with him for execution… (JBP)</w:t>
      </w:r>
    </w:p>
    <w:p>
      <w:pPr/>
      <w:r>
        <w:rPr>
          <w:lang w:val="en_US" w:bidi="en_US"/>
        </w:rPr>
      </w:r>
      <w:r>
        <w:rPr>
          <w:b/>
          <w:lang w:val="en_US" w:bidi="en_US"/>
        </w:rPr>
        <w:t>criminals:</w:t>
      </w:r>
      <w:r>
        <w:rPr>
          <w:lang w:val="en_US" w:bidi="en_US"/>
        </w:rPr>
        <w:t xml:space="preserve"> The Greek word that the BSB translates as </w:t>
      </w:r>
      <w:r>
        <w:rPr>
          <w:i/>
          <w:lang w:val="en_US" w:bidi="en_US"/>
        </w:rPr>
        <w:t>criminals</w:t>
      </w:r>
      <w:r>
        <w:rPr>
          <w:lang w:val="en_US" w:bidi="en_US"/>
        </w:rPr>
        <w:t xml:space="preserve"> is a general word that refers to people who do evil things. In this context it refers to men who had broken the laws of the country in some way. Such crimes can include robbery or rebelling against the government. The parallel passages in Matthew 27:38 and Mark 15:27 use a more specific Greek word that is often translated as “robber.”</w:t>
      </w:r>
    </w:p>
    <w:p>
      <w:pPr/>
      <w:r>
        <w:rPr>
          <w:lang w:val="en_US" w:bidi="en_US"/>
        </w:rPr>
      </w:r>
      <w:r>
        <w:rPr>
          <w:lang w:val="en_US" w:bidi="en_US"/>
        </w:rPr>
        <w:t xml:space="preserve">It is good to translate the word </w:t>
      </w:r>
      <w:r>
        <w:rPr>
          <w:i/>
          <w:lang w:val="en_US" w:bidi="en_US"/>
        </w:rPr>
        <w:t>criminals</w:t>
      </w:r>
      <w:r>
        <w:rPr>
          <w:lang w:val="en_US" w:bidi="en_US"/>
        </w:rPr>
        <w:t xml:space="preserve"> here in a general way that can include crimes like robbery. For example:</w:t>
      </w:r>
    </w:p>
    <w:p>
      <w:pPr/>
      <w:r>
        <w:rPr>
          <w:lang w:val="en_US" w:bidi="en_US"/>
        </w:rPr>
      </w:r>
      <w:r>
        <w:rPr>
          <w:lang w:val="en_US" w:bidi="en_US"/>
        </w:rPr>
        <w:t>evildoers</w:t>
      </w:r>
    </w:p>
    <w:p>
      <w:pPr/>
      <w:r>
        <w:rPr>
          <w:lang w:val="en_US" w:bidi="en_US"/>
        </w:rPr>
      </w:r>
      <w:r>
        <w:rPr>
          <w:lang w:val="en_US" w:bidi="en_US"/>
        </w:rPr>
        <w:t>lawbreakers</w:t>
      </w:r>
    </w:p>
    <w:p>
      <w:pPr/>
      <w:r>
        <w:rPr>
          <w:lang w:val="en_US" w:bidi="en_US"/>
        </w:rPr>
      </w:r>
      <w:r>
        <w:rPr>
          <w:b/>
          <w:lang w:val="en_US" w:bidi="en_US"/>
        </w:rPr>
        <w:t>were…led away to be executed with Jesus:</w:t>
      </w:r>
      <w:r>
        <w:rPr>
          <w:lang w:val="en_US" w:bidi="en_US"/>
        </w:rPr>
        <w:t xml:space="preserve"> The verbs </w:t>
      </w:r>
      <w:r>
        <w:rPr>
          <w:i/>
          <w:lang w:val="en_US" w:bidi="en_US"/>
        </w:rPr>
        <w:t>were…led away</w:t>
      </w:r>
      <w:r>
        <w:rPr>
          <w:lang w:val="en_US" w:bidi="en_US"/>
        </w:rPr>
        <w:t xml:space="preserve"> and </w:t>
      </w:r>
      <w:r>
        <w:rPr>
          <w:i/>
          <w:lang w:val="en_US" w:bidi="en_US"/>
        </w:rPr>
        <w:t>to be executed</w:t>
      </w:r>
      <w:r>
        <w:rPr>
          <w:lang w:val="en_US" w:bidi="en_US"/>
        </w:rPr>
        <w:t xml:space="preserve"> are passive verbs. Some ways to translate them are:</w:t>
      </w:r>
    </w:p>
    <w:p>
      <w:pPr>
        <w:pStyle w:val="ListBullet"/>
        <w:spacing w:line="240" w:lineRule="auto"/>
        <w:ind w:left="720"/>
      </w:pPr>
      <w:r>
        <w:rPr>
          <w:lang w:val="en_US" w:bidi="en_US"/>
        </w:rPr>
      </w:r>
      <w:r>
        <w:rPr>
          <w:lang w:val="en_US" w:bidi="en_US"/>
        </w:rPr>
        <w:t>Use one or more passive verbs. For example:</w:t>
      </w:r>
      <w:r>
        <w:rPr>
          <w:lang w:val="en_US" w:bidi="en_US"/>
        </w:rPr>
        <w:t>taken to be killed</w:t>
      </w:r>
      <w:r>
        <w:rPr>
          <w:lang w:val="en_US" w:bidi="en_US"/>
        </w:rPr>
        <w:t>Yakan back translation on TW.</w:t>
      </w:r>
      <w:r>
        <w:rPr>
          <w:lang w:val="en_US" w:bidi="en_US"/>
        </w:rPr>
        <w:t>led out…for execution (JBP)</w:t>
      </w:r>
    </w:p>
    <w:p>
      <w:pPr>
        <w:pStyle w:val="ListBullet"/>
        <w:spacing w:line="240" w:lineRule="auto"/>
        <w:ind w:left="720"/>
      </w:pPr>
      <w:r>
        <w:rPr>
          <w:lang w:val="en_US" w:bidi="en_US"/>
        </w:rPr>
      </w:r>
      <w:r>
        <w:rPr>
          <w:lang w:val="en_US" w:bidi="en_US"/>
        </w:rPr>
        <w:t>Use one or more active verbs and supply a subject like “soldiers” or “Pilate’s men.” For example:</w:t>
      </w:r>
      <w:r>
        <w:rPr>
          <w:lang w:val="en_US" w:bidi="en_US"/>
        </w:rPr>
        <w:t>soldiers</w:t>
      </w:r>
      <w:r>
        <w:rPr>
          <w:lang w:val="en_US" w:bidi="en_US"/>
        </w:rPr>
        <w:t xml:space="preserve"> led them away with </w:t>
      </w:r>
      <w:r>
        <w:rPr>
          <w:lang w:val="en_US" w:bidi="en_US"/>
        </w:rPr>
        <w:t>Jesus</w:t>
      </w:r>
      <w:r>
        <w:rPr>
          <w:lang w:val="en_US" w:bidi="en_US"/>
        </w:rPr>
        <w:t xml:space="preserve"> in order to execute them</w:t>
      </w:r>
    </w:p>
    <w:p>
      <w:pPr/>
      <w:r>
        <w:rPr>
          <w:lang w:val="en_US" w:bidi="en_US"/>
        </w:rPr>
      </w:r>
      <w:r>
        <w:rPr>
          <w:b/>
          <w:lang w:val="en_US" w:bidi="en_US"/>
        </w:rPr>
        <w:t>led away to be executed with Jesus:</w:t>
      </w:r>
      <w:r>
        <w:rPr>
          <w:lang w:val="en_US" w:bidi="en_US"/>
        </w:rPr>
        <w:t xml:space="preserve"> The Greek word that the BSB translates as </w:t>
      </w:r>
      <w:r>
        <w:rPr>
          <w:i/>
          <w:lang w:val="en_US" w:bidi="en_US"/>
        </w:rPr>
        <w:t>led away</w:t>
      </w:r>
      <w:r>
        <w:rPr>
          <w:lang w:val="en_US" w:bidi="en_US"/>
        </w:rPr>
        <w:t xml:space="preserve"> is more literally “led.” In this context it indicates that soldiers were forcing Jesus and the two other men to walk to the place of execution. The phrase </w:t>
      </w:r>
      <w:r>
        <w:rPr>
          <w:i/>
          <w:lang w:val="en_US" w:bidi="en_US"/>
        </w:rPr>
        <w:t>with Jesus</w:t>
      </w:r>
      <w:r>
        <w:rPr>
          <w:lang w:val="en_US" w:bidi="en_US"/>
        </w:rPr>
        <w:t xml:space="preserve"> indicates that the soldiers were leading Jesus and the other two men to the place at the same time. Use a natural way in your language to describe this.</w:t>
      </w:r>
      <w:r>
        <w:rPr>
          <w:lang w:val="en_US" w:bidi="en_US"/>
        </w:rPr>
      </w:r>
      <w:r>
        <w:rPr>
          <w:lang w:val="en_US" w:bidi="en_US"/>
        </w:rPr>
      </w:r>
    </w:p>
    <w:p>
      <w:pPr/>
      <w:r>
        <w:rPr>
          <w:lang w:val="en_US" w:bidi="en_US"/>
        </w:rPr>
      </w:r>
    </w:p>
    <w:p>
      <w:pPr>
        <w:pStyle w:val="Heading2"/>
      </w:pPr>
      <w:r>
        <w:rPr>
          <w:lang w:val="en_US" w:bidi="en_US"/>
        </w:rPr>
        <w:t>Luke 23:33</w:t>
      </w:r>
      <w:r>
        <w:rPr>
          <w:lang w:val="en_US" w:bidi="en_US"/>
        </w:rPr>
      </w:r>
    </w:p>
    <w:p>
      <w:pPr>
        <w:pStyle w:val="Heading4"/>
      </w:pPr>
      <w:r>
        <w:rPr>
          <w:lang w:val="en_US" w:bidi="en_US"/>
        </w:rPr>
        <w:t>Section 23:26–43: Soldiers nailed Jesus to a cross</w:t>
      </w:r>
    </w:p>
    <w:p>
      <w:pPr/>
      <w:r>
        <w:rPr>
          <w:lang w:val="en_US" w:bidi="en_US"/>
        </w:rPr>
      </w:r>
      <w:r>
        <w:rPr>
          <w:lang w:val="en_US" w:bidi="en_US"/>
        </w:rP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pPr/>
      <w:r>
        <w:rPr>
          <w:lang w:val="en_US" w:bidi="en_US"/>
        </w:rPr>
      </w:r>
      <w:r>
        <w:rPr>
          <w:lang w:val="en_US" w:bidi="en_US"/>
        </w:rPr>
        <w:t>Other examples of headings for this section are:</w:t>
      </w:r>
    </w:p>
    <w:p>
      <w:pPr/>
      <w:r>
        <w:rPr>
          <w:lang w:val="en_US" w:bidi="en_US"/>
        </w:rPr>
      </w:r>
      <w:r>
        <w:rPr>
          <w:lang w:val="en_US" w:bidi="en_US"/>
        </w:rPr>
        <w:t>The Crucifixion (NIV)</w:t>
      </w:r>
    </w:p>
    <w:p>
      <w:pPr/>
      <w:r>
        <w:rPr>
          <w:lang w:val="en_US" w:bidi="en_US"/>
        </w:rPr>
      </w:r>
      <w:r>
        <w:rPr>
          <w:lang w:val="en_US" w:bidi="en_US"/>
        </w:rPr>
        <w:t>Jesus Is Nailed to a Cross (CEV)</w:t>
      </w:r>
    </w:p>
    <w:p>
      <w:pPr/>
      <w:r>
        <w:rPr>
          <w:lang w:val="en_US" w:bidi="en_US"/>
        </w:rPr>
      </w:r>
      <w:r>
        <w:rPr>
          <w:lang w:val="en_US" w:bidi="en_US"/>
        </w:rPr>
        <w:t>Roman soldiers nailed Jesus to a cross</w:t>
      </w:r>
    </w:p>
    <w:p>
      <w:pPr/>
      <w:r>
        <w:rPr>
          <w:lang w:val="en_US" w:bidi="en_US"/>
        </w:rPr>
      </w:r>
      <w:r>
        <w:rPr>
          <w:lang w:val="en_US" w:bidi="en_US"/>
        </w:rPr>
        <w:t>There are parallel passages for this section in Matthew 27:31–44, Mark 15:21–32, and John 19:17–27.</w:t>
      </w:r>
    </w:p>
    <w:p>
      <w:pPr>
        <w:pStyle w:val="Heading5"/>
      </w:pPr>
      <w:r>
        <w:rPr>
          <w:lang w:val="en_US" w:bidi="en_US"/>
        </w:rPr>
        <w:t>23:33a</w:t>
      </w:r>
    </w:p>
    <w:p>
      <w:pPr/>
      <w:r>
        <w:rPr>
          <w:lang w:val="en_US" w:bidi="en_US"/>
        </w:rPr>
      </w:r>
      <w:r>
        <w:rPr>
          <w:b/>
          <w:lang w:val="en_US" w:bidi="en_US"/>
        </w:rPr>
        <w:t>When they came to the place called The Skull,</w:t>
      </w:r>
    </w:p>
    <w:p>
      <w:pPr>
        <w:pStyle w:val="ListBullet"/>
        <w:spacing w:line="240" w:lineRule="auto"/>
        <w:ind w:left="720"/>
      </w:pPr>
      <w:r>
        <w:rPr>
          <w:lang w:val="en_US" w:bidi="en_US"/>
        </w:rPr>
      </w:r>
      <w:r>
        <w:rPr>
          <w:lang w:val="en_US" w:bidi="en_US"/>
        </w:rPr>
        <w:t>When they arrived at the place named “Skull,”</w:t>
      </w:r>
    </w:p>
    <w:p>
      <w:pPr>
        <w:pStyle w:val="ListBullet"/>
        <w:spacing w:line="240" w:lineRule="auto"/>
        <w:ind w:left="720"/>
      </w:pPr>
      <w:r>
        <w:rPr>
          <w:lang w:val="en_US" w:bidi="en_US"/>
        </w:rPr>
      </w:r>
      <w:r>
        <w:rPr>
          <w:lang w:val="en_US" w:bidi="en_US"/>
        </w:rPr>
        <w:t xml:space="preserve">And/Finally all of them reached the place </w:t>
      </w:r>
      <w:r>
        <w:rPr>
          <w:lang w:val="en_US" w:bidi="en_US"/>
        </w:rPr>
        <w:t>that people</w:t>
      </w:r>
      <w:r>
        <w:rPr>
          <w:lang w:val="en_US" w:bidi="en_US"/>
        </w:rPr>
        <w:t xml:space="preserve"> called “the Skull.”</w:t>
      </w:r>
    </w:p>
    <w:p>
      <w:pPr/>
      <w:r>
        <w:rPr>
          <w:lang w:val="en_US" w:bidi="en_US"/>
        </w:rPr>
      </w:r>
      <w:r>
        <w:rPr>
          <w:b/>
          <w:lang w:val="en_US" w:bidi="en_US"/>
        </w:rPr>
        <w:t>When they came:</w:t>
      </w:r>
      <w:r>
        <w:rPr>
          <w:lang w:val="en_US" w:bidi="en_US"/>
        </w:rPr>
        <w:t xml:space="preserve"> The phrase </w:t>
      </w:r>
      <w:r>
        <w:rPr>
          <w:i/>
          <w:lang w:val="en_US" w:bidi="en_US"/>
        </w:rPr>
        <w:t>When they came</w:t>
      </w:r>
      <w:r>
        <w:rPr>
          <w:lang w:val="en_US" w:bidi="en_US"/>
        </w:rPr>
        <w:t xml:space="preserve"> refers to arriving at the place of crucifixion. The word </w:t>
      </w:r>
      <w:r>
        <w:rPr>
          <w:i/>
          <w:lang w:val="en_US" w:bidi="en_US"/>
        </w:rPr>
        <w:t>they</w:t>
      </w:r>
      <w:r>
        <w:rPr>
          <w:lang w:val="en_US" w:bidi="en_US"/>
        </w:rPr>
        <w:t xml:space="preserve"> may refer to the soldiers or it may refer to the whole group, including the soldiers, Jesus, the two criminals, and people who came to watch. Another way to begin 23:33 is:</w:t>
      </w:r>
    </w:p>
    <w:p>
      <w:pPr/>
      <w:r>
        <w:rPr>
          <w:lang w:val="en_US" w:bidi="en_US"/>
        </w:rPr>
      </w:r>
      <w:r>
        <w:rPr>
          <w:lang w:val="en_US" w:bidi="en_US"/>
        </w:rPr>
        <w:t>After they arrived</w:t>
      </w:r>
    </w:p>
    <w:p>
      <w:pPr/>
      <w:r>
        <w:rPr>
          <w:lang w:val="en_US" w:bidi="en_US"/>
        </w:rPr>
      </w:r>
      <w:r>
        <w:rPr>
          <w:lang w:val="en_US" w:bidi="en_US"/>
        </w:rPr>
        <w:t>Begin 23:33 in a way that is natural in your language.</w:t>
      </w:r>
    </w:p>
    <w:p>
      <w:pPr/>
      <w:r>
        <w:rPr>
          <w:lang w:val="en_US" w:bidi="en_US"/>
        </w:rPr>
      </w:r>
      <w:r>
        <w:rPr>
          <w:b/>
          <w:lang w:val="en_US" w:bidi="en_US"/>
        </w:rPr>
        <w:t>to the place called The Skull:</w:t>
      </w:r>
      <w:r>
        <w:rPr>
          <w:lang w:val="en_US" w:bidi="en_US"/>
        </w:rPr>
        <w:t xml:space="preserve"> The Greek phrase that the BSB translates as </w:t>
      </w:r>
      <w:r>
        <w:rPr>
          <w:i/>
          <w:lang w:val="en_US" w:bidi="en_US"/>
        </w:rPr>
        <w:t>called The Skull</w:t>
      </w:r>
      <w:r>
        <w:rPr>
          <w:lang w:val="en_US" w:bidi="en_US"/>
        </w:rPr>
        <w:t xml:space="preserve"> is literally “called Skull.” This was the place where the Romans crucified criminals. It is not certain why this place was called </w:t>
      </w:r>
      <w:r>
        <w:rPr>
          <w:i/>
          <w:lang w:val="en_US" w:bidi="en_US"/>
        </w:rPr>
        <w:t>Skull</w:t>
      </w:r>
      <w:r>
        <w:rPr>
          <w:lang w:val="en_US" w:bidi="en_US"/>
        </w:rPr>
        <w:t xml:space="preserve">. It may have been a hill (or near a hill) that looked like a skull, or people may have called it </w:t>
      </w:r>
      <w:r>
        <w:rPr>
          <w:i/>
          <w:lang w:val="en_US" w:bidi="en_US"/>
        </w:rPr>
        <w:t>Skull</w:t>
      </w:r>
      <w:r>
        <w:rPr>
          <w:lang w:val="en_US" w:bidi="en_US"/>
        </w:rPr>
        <w:t xml:space="preserve"> because the Romans had executed so many people there. The name does not imply that there were skulls on the ground at that place.</w:t>
      </w:r>
    </w:p>
    <w:p>
      <w:pPr/>
      <w:r>
        <w:rPr>
          <w:lang w:val="en_US" w:bidi="en_US"/>
        </w:rPr>
      </w:r>
      <w:r>
        <w:rPr>
          <w:lang w:val="en_US" w:bidi="en_US"/>
        </w:rPr>
        <w:t>In some languages it may be helpful to include a footnote. For example:</w:t>
      </w:r>
    </w:p>
    <w:p>
      <w:pPr/>
      <w:r>
        <w:rPr>
          <w:lang w:val="en_US" w:bidi="en_US"/>
        </w:rPr>
      </w:r>
      <w:r>
        <w:rPr>
          <w:lang w:val="en_US" w:bidi="en_US"/>
        </w:rPr>
        <w:t>It is not certain why this place was called “Skull.” Perhaps it was a hill (or near a hill) that looked like a skull, or possibly it was called that because the Romans had executed so many people there.</w:t>
      </w:r>
      <w:r>
        <w:rPr>
          <w:lang w:val="en_US" w:bidi="en_US"/>
        </w:rPr>
        <w:t>Adapted from the TRT.</w:t>
      </w:r>
    </w:p>
    <w:p>
      <w:pPr/>
      <w:r>
        <w:rPr>
          <w:lang w:val="en_US" w:bidi="en_US"/>
        </w:rPr>
      </w:r>
      <w:r>
        <w:rPr>
          <w:b/>
          <w:lang w:val="en_US" w:bidi="en_US"/>
        </w:rPr>
        <w:t>called The Skull:</w:t>
      </w:r>
      <w:r>
        <w:rPr>
          <w:lang w:val="en_US" w:bidi="en_US"/>
        </w:rPr>
        <w:t xml:space="preserve"> In some languages it may be necessary to say who called this place </w:t>
      </w:r>
      <w:r>
        <w:rPr>
          <w:i/>
          <w:lang w:val="en_US" w:bidi="en_US"/>
        </w:rPr>
        <w:t>Skull</w:t>
      </w:r>
      <w:r>
        <w:rPr>
          <w:lang w:val="en_US" w:bidi="en_US"/>
        </w:rPr>
        <w:t>. For example:</w:t>
      </w:r>
    </w:p>
    <w:p>
      <w:pPr/>
      <w:r>
        <w:rPr>
          <w:lang w:val="en_US" w:bidi="en_US"/>
        </w:rPr>
      </w:r>
      <w:r>
        <w:rPr>
          <w:lang w:val="en_US" w:bidi="en_US"/>
        </w:rPr>
        <w:t xml:space="preserve">the place </w:t>
      </w:r>
      <w:r>
        <w:rPr>
          <w:lang w:val="en_US" w:bidi="en_US"/>
        </w:rPr>
        <w:t>that people</w:t>
      </w:r>
      <w:r>
        <w:rPr>
          <w:lang w:val="en_US" w:bidi="en_US"/>
        </w:rPr>
        <w:t xml:space="preserve"> called “Skull”</w:t>
      </w:r>
    </w:p>
    <w:p>
      <w:pPr/>
      <w:r>
        <w:rPr>
          <w:lang w:val="en_US" w:bidi="en_US"/>
        </w:rPr>
      </w:r>
      <w:r>
        <w:rPr>
          <w:lang w:val="en_US" w:bidi="en_US"/>
        </w:rPr>
        <w:t xml:space="preserve">the place </w:t>
      </w:r>
      <w:r>
        <w:rPr>
          <w:lang w:val="en_US" w:bidi="en_US"/>
        </w:rPr>
        <w:t>that people</w:t>
      </w:r>
      <w:r>
        <w:rPr>
          <w:lang w:val="en_US" w:bidi="en_US"/>
        </w:rPr>
        <w:t xml:space="preserve"> had named “Skull </w:t>
      </w:r>
      <w:r>
        <w:rPr>
          <w:lang w:val="en_US" w:bidi="en_US"/>
        </w:rPr>
        <w:t>place</w:t>
      </w:r>
      <w:r>
        <w:rPr>
          <w:lang w:val="en_US" w:bidi="en_US"/>
        </w:rPr>
        <w:t>”</w:t>
      </w:r>
    </w:p>
    <w:p>
      <w:pPr/>
      <w:r>
        <w:rPr>
          <w:lang w:val="en_US" w:bidi="en_US"/>
        </w:rPr>
      </w:r>
      <w:r>
        <w:rPr>
          <w:b/>
          <w:lang w:val="en_US" w:bidi="en_US"/>
        </w:rPr>
        <w:t>Skull:</w:t>
      </w:r>
      <w:r>
        <w:rPr>
          <w:lang w:val="en_US" w:bidi="en_US"/>
        </w:rPr>
        <w:t xml:space="preserve"> The Greek word that the BSB translates as </w:t>
      </w:r>
      <w:r>
        <w:rPr>
          <w:i/>
          <w:lang w:val="en_US" w:bidi="en_US"/>
        </w:rPr>
        <w:t>Skull</w:t>
      </w:r>
      <w:r>
        <w:rPr>
          <w:lang w:val="en_US" w:bidi="en_US"/>
        </w:rPr>
        <w:t xml:space="preserve"> refers to the large bone of a person’s head.</w:t>
      </w:r>
      <w:r>
        <w:rPr>
          <w:lang w:val="en_US" w:bidi="en_US"/>
        </w:rPr>
        <w:t>The Aramaic name for this place is “Golgotha.” See Matthew 27:33 and Mark 15:22. The place has also been called “Calvary.” That name comes from the Latin word “Calvaria” which means “Skull.”</w:t>
      </w:r>
      <w:r>
        <w:rPr>
          <w:lang w:val="en_US" w:bidi="en_US"/>
        </w:rPr>
        <w:t xml:space="preserve"> Use an appropriate word or phrase to refer to this large bone.</w:t>
      </w:r>
    </w:p>
    <w:p>
      <w:pPr>
        <w:pStyle w:val="Heading5"/>
      </w:pPr>
      <w:r>
        <w:rPr>
          <w:lang w:val="en_US" w:bidi="en_US"/>
        </w:rPr>
        <w:t>23:33b</w:t>
      </w:r>
    </w:p>
    <w:p>
      <w:pPr/>
      <w:r>
        <w:rPr>
          <w:lang w:val="en_US" w:bidi="en_US"/>
        </w:rPr>
      </w:r>
      <w:r>
        <w:rPr>
          <w:b/>
          <w:lang w:val="en_US" w:bidi="en_US"/>
        </w:rPr>
        <w:t>they crucified Him there, along with the criminals,</w:t>
      </w:r>
    </w:p>
    <w:p>
      <w:pPr>
        <w:pStyle w:val="ListBullet"/>
        <w:spacing w:line="240" w:lineRule="auto"/>
        <w:ind w:left="720"/>
      </w:pPr>
      <w:r>
        <w:rPr>
          <w:lang w:val="en_US" w:bidi="en_US"/>
        </w:rPr>
      </w:r>
      <w:r>
        <w:rPr>
          <w:lang w:val="en_US" w:bidi="en_US"/>
        </w:rPr>
        <w:t>they crucified Jesus there, and also the criminals,</w:t>
      </w:r>
    </w:p>
    <w:p>
      <w:pPr>
        <w:pStyle w:val="ListBullet"/>
        <w:spacing w:line="240" w:lineRule="auto"/>
        <w:ind w:left="720"/>
      </w:pPr>
      <w:r>
        <w:rPr>
          <w:lang w:val="en_US" w:bidi="en_US"/>
        </w:rPr>
      </w:r>
      <w:r>
        <w:rPr>
          <w:lang w:val="en_US" w:bidi="en_US"/>
        </w:rPr>
        <w:t xml:space="preserve">That was the place where they nailed Jesus and the two evildoers/lawbreakers on death posts </w:t>
      </w:r>
      <w:r>
        <w:rPr>
          <w:lang w:val="en_US" w:bidi="en_US"/>
        </w:rPr>
        <w:t>and set the posts upright</w:t>
      </w:r>
    </w:p>
    <w:p>
      <w:pPr>
        <w:pStyle w:val="Heading5"/>
      </w:pPr>
      <w:r>
        <w:rPr>
          <w:lang w:val="en_US" w:bidi="en_US"/>
        </w:rPr>
        <w:t>23:33c</w:t>
      </w:r>
    </w:p>
    <w:p>
      <w:pPr/>
      <w:r>
        <w:rPr>
          <w:lang w:val="en_US" w:bidi="en_US"/>
        </w:rPr>
      </w:r>
      <w:r>
        <w:rPr>
          <w:b/>
          <w:lang w:val="en_US" w:bidi="en_US"/>
        </w:rPr>
        <w:t>one on His right and the other on His left.</w:t>
      </w:r>
    </w:p>
    <w:p>
      <w:pPr>
        <w:pStyle w:val="ListBullet"/>
        <w:spacing w:line="240" w:lineRule="auto"/>
        <w:ind w:left="720"/>
      </w:pPr>
      <w:r>
        <w:rPr>
          <w:lang w:val="en_US" w:bidi="en_US"/>
        </w:rPr>
      </w:r>
      <w:r>
        <w:rPr>
          <w:lang w:val="en_US" w:bidi="en_US"/>
        </w:rPr>
        <w:t xml:space="preserve">one </w:t>
      </w:r>
      <w:r>
        <w:rPr>
          <w:lang w:val="en_US" w:bidi="en_US"/>
        </w:rPr>
        <w:t>criminal</w:t>
      </w:r>
      <w:r>
        <w:rPr>
          <w:lang w:val="en_US" w:bidi="en_US"/>
        </w:rPr>
        <w:t xml:space="preserve"> at his right side, and the other </w:t>
      </w:r>
      <w:r>
        <w:rPr>
          <w:lang w:val="en_US" w:bidi="en_US"/>
        </w:rPr>
        <w:t>criminal</w:t>
      </w:r>
      <w:r>
        <w:rPr>
          <w:lang w:val="en_US" w:bidi="en_US"/>
        </w:rPr>
        <w:t xml:space="preserve"> at his left side.</w:t>
      </w:r>
    </w:p>
    <w:p>
      <w:pPr>
        <w:pStyle w:val="ListBullet"/>
        <w:spacing w:line="240" w:lineRule="auto"/>
        <w:ind w:left="720"/>
      </w:pPr>
      <w:r>
        <w:rPr>
          <w:lang w:val="en_US" w:bidi="en_US"/>
        </w:rPr>
      </w:r>
      <w:r>
        <w:rPr>
          <w:lang w:val="en_US" w:bidi="en_US"/>
        </w:rPr>
        <w:t>with Jesus on the middle post between them.</w:t>
      </w:r>
    </w:p>
    <w:p>
      <w:pPr>
        <w:pStyle w:val="Heading5"/>
      </w:pPr>
      <w:r>
        <w:rPr>
          <w:lang w:val="en_US" w:bidi="en_US"/>
        </w:rPr>
        <w:t>23:33b–c</w:t>
      </w:r>
    </w:p>
    <w:p>
      <w:pPr/>
      <w:r>
        <w:rPr>
          <w:lang w:val="en_US" w:bidi="en_US"/>
        </w:rPr>
      </w:r>
      <w:r>
        <w:rPr>
          <w:b/>
          <w:lang w:val="en_US" w:bidi="en_US"/>
        </w:rPr>
        <w:t>they crucified Him:</w:t>
      </w:r>
      <w:r>
        <w:rPr>
          <w:lang w:val="en_US" w:bidi="en_US"/>
        </w:rPr>
        <w:t xml:space="preserve"> This clause indicates that the soldiers attached Jesus to the cross. There were different ways to do that. Probably the soldiers laid the cross on the ground, laid Jesus on it, and nailed him to it. For more information, see the note on “Crucify him” at 23:21b. You should translate the term “crucify” in a similar way in both verses.</w:t>
      </w:r>
    </w:p>
    <w:p>
      <w:pPr/>
      <w:r>
        <w:rPr>
          <w:lang w:val="en_US" w:bidi="en_US"/>
        </w:rPr>
      </w:r>
      <w:r>
        <w:rPr>
          <w:lang w:val="en_US" w:bidi="en_US"/>
        </w:rPr>
        <w:t xml:space="preserve">Some other ways to translate the clause </w:t>
      </w:r>
      <w:r>
        <w:rPr>
          <w:i/>
          <w:lang w:val="en_US" w:bidi="en_US"/>
        </w:rPr>
        <w:t>they crucified Him</w:t>
      </w:r>
      <w:r>
        <w:rPr>
          <w:lang w:val="en_US" w:bidi="en_US"/>
        </w:rPr>
        <w:t xml:space="preserve"> are:</w:t>
      </w:r>
    </w:p>
    <w:p>
      <w:pPr/>
      <w:r>
        <w:rPr>
          <w:lang w:val="en_US" w:bidi="en_US"/>
        </w:rPr>
      </w:r>
      <w:r>
        <w:rPr>
          <w:lang w:val="en_US" w:bidi="en_US"/>
        </w:rPr>
        <w:t>they nailed/put him on a cross to die</w:t>
      </w:r>
    </w:p>
    <w:p>
      <w:pPr/>
      <w:r>
        <w:rPr>
          <w:lang w:val="en_US" w:bidi="en_US"/>
        </w:rPr>
      </w:r>
      <w:r>
        <w:rPr>
          <w:lang w:val="en_US" w:bidi="en_US"/>
        </w:rPr>
        <w:t xml:space="preserve">they nailed Jesus onto the post </w:t>
      </w:r>
      <w:r>
        <w:rPr>
          <w:lang w:val="en_US" w:bidi="en_US"/>
        </w:rPr>
        <w:t>and set it upright in the ground</w:t>
      </w:r>
    </w:p>
    <w:p>
      <w:pPr/>
      <w:r>
        <w:rPr>
          <w:lang w:val="en_US" w:bidi="en_US"/>
        </w:rPr>
      </w:r>
      <w:r>
        <w:rPr>
          <w:lang w:val="en_US" w:bidi="en_US"/>
        </w:rPr>
        <w:t>they nailed him to the cross (NLT)</w:t>
      </w:r>
    </w:p>
    <w:p>
      <w:pPr/>
      <w:r>
        <w:rPr>
          <w:lang w:val="en_US" w:bidi="en_US"/>
        </w:rPr>
      </w:r>
      <w:r>
        <w:rPr>
          <w:b/>
          <w:lang w:val="en_US" w:bidi="en_US"/>
        </w:rPr>
        <w:t>there:</w:t>
      </w:r>
      <w:r>
        <w:rPr>
          <w:lang w:val="en_US" w:bidi="en_US"/>
        </w:rPr>
        <w:t xml:space="preserve"> The word </w:t>
      </w:r>
      <w:r>
        <w:rPr>
          <w:i/>
          <w:lang w:val="en_US" w:bidi="en_US"/>
        </w:rPr>
        <w:t>there</w:t>
      </w:r>
      <w:r>
        <w:rPr>
          <w:lang w:val="en_US" w:bidi="en_US"/>
        </w:rPr>
        <w:t xml:space="preserve"> refers back to the “place called The Skull” in the preceding clause.</w:t>
      </w:r>
    </w:p>
    <w:p>
      <w:pPr/>
      <w:r>
        <w:rPr>
          <w:lang w:val="en_US" w:bidi="en_US"/>
        </w:rPr>
      </w:r>
      <w:r>
        <w:rPr>
          <w:b/>
          <w:lang w:val="en_US" w:bidi="en_US"/>
        </w:rPr>
        <w:t>along with the criminals, one on His right and the other on His left:</w:t>
      </w:r>
      <w:r>
        <w:rPr>
          <w:lang w:val="en_US" w:bidi="en_US"/>
        </w:rPr>
        <w:t xml:space="preserve"> The Greek phrase that the BSB translates as </w:t>
      </w:r>
      <w:r>
        <w:rPr>
          <w:i/>
          <w:lang w:val="en_US" w:bidi="en_US"/>
        </w:rPr>
        <w:t>along with the criminals</w:t>
      </w:r>
      <w:r>
        <w:rPr>
          <w:lang w:val="en_US" w:bidi="en_US"/>
        </w:rPr>
        <w:t xml:space="preserve"> is more literally “and the evildoers.” It indicates that the two criminals were also nailed to crosses. One criminal was on a cross at Jesus’ right, and the other criminal was on a cross at Jesus’ left.</w:t>
      </w:r>
    </w:p>
    <w:p>
      <w:pPr/>
      <w:r>
        <w:rPr>
          <w:lang w:val="en_US" w:bidi="en_US"/>
        </w:rPr>
      </w:r>
      <w:r>
        <w:rPr>
          <w:lang w:val="en_US" w:bidi="en_US"/>
        </w:rPr>
        <w:t>In some languages it may be helpful to translate this part of the verse as a separate sentence. Make it clear that the three men, Jesus and the two criminals, were on three separate crosses. Jesus was in the middle. For example:</w:t>
      </w:r>
    </w:p>
    <w:p>
      <w:pPr/>
      <w:r>
        <w:rPr>
          <w:lang w:val="en_US" w:bidi="en_US"/>
        </w:rPr>
      </w:r>
      <w:r>
        <w:rPr>
          <w:lang w:val="en_US" w:bidi="en_US"/>
        </w:rPr>
        <w:t>They nailed one of the criminals to a cross on Jesus’ right, and the other to a cross on his left.</w:t>
      </w:r>
      <w:r>
        <w:rPr>
          <w:lang w:val="en_US" w:bidi="en_US"/>
        </w:rPr>
      </w:r>
      <w:r>
        <w:rPr>
          <w:lang w:val="en_US" w:bidi="en_US"/>
        </w:rPr>
      </w:r>
    </w:p>
    <w:p>
      <w:pPr/>
      <w:r>
        <w:rPr>
          <w:lang w:val="en_US" w:bidi="en_US"/>
        </w:rPr>
      </w:r>
    </w:p>
    <w:p>
      <w:pPr>
        <w:pStyle w:val="Heading2"/>
      </w:pPr>
      <w:r>
        <w:rPr>
          <w:lang w:val="en_US" w:bidi="en_US"/>
        </w:rPr>
        <w:t>Luke 23:34</w:t>
      </w:r>
      <w:r>
        <w:rPr>
          <w:lang w:val="en_US" w:bidi="en_US"/>
        </w:rPr>
      </w:r>
    </w:p>
    <w:p>
      <w:pPr>
        <w:pStyle w:val="Heading4"/>
      </w:pPr>
      <w:r>
        <w:rPr>
          <w:lang w:val="en_US" w:bidi="en_US"/>
        </w:rPr>
        <w:t>Section 23:26–43: Soldiers nailed Jesus to a cross</w:t>
      </w:r>
    </w:p>
    <w:p>
      <w:pPr/>
      <w:r>
        <w:rPr>
          <w:lang w:val="en_US" w:bidi="en_US"/>
        </w:rPr>
      </w:r>
      <w:r>
        <w:rPr>
          <w:lang w:val="en_US" w:bidi="en_US"/>
        </w:rP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pPr/>
      <w:r>
        <w:rPr>
          <w:lang w:val="en_US" w:bidi="en_US"/>
        </w:rPr>
      </w:r>
      <w:r>
        <w:rPr>
          <w:lang w:val="en_US" w:bidi="en_US"/>
        </w:rPr>
        <w:t>Other examples of headings for this section are:</w:t>
      </w:r>
    </w:p>
    <w:p>
      <w:pPr/>
      <w:r>
        <w:rPr>
          <w:lang w:val="en_US" w:bidi="en_US"/>
        </w:rPr>
      </w:r>
      <w:r>
        <w:rPr>
          <w:lang w:val="en_US" w:bidi="en_US"/>
        </w:rPr>
        <w:t>The Crucifixion (NIV)</w:t>
      </w:r>
    </w:p>
    <w:p>
      <w:pPr/>
      <w:r>
        <w:rPr>
          <w:lang w:val="en_US" w:bidi="en_US"/>
        </w:rPr>
      </w:r>
      <w:r>
        <w:rPr>
          <w:lang w:val="en_US" w:bidi="en_US"/>
        </w:rPr>
        <w:t>Jesus Is Nailed to a Cross (CEV)</w:t>
      </w:r>
    </w:p>
    <w:p>
      <w:pPr/>
      <w:r>
        <w:rPr>
          <w:lang w:val="en_US" w:bidi="en_US"/>
        </w:rPr>
      </w:r>
      <w:r>
        <w:rPr>
          <w:lang w:val="en_US" w:bidi="en_US"/>
        </w:rPr>
        <w:t>Roman soldiers nailed Jesus to a cross</w:t>
      </w:r>
    </w:p>
    <w:p>
      <w:pPr/>
      <w:r>
        <w:rPr>
          <w:lang w:val="en_US" w:bidi="en_US"/>
        </w:rPr>
      </w:r>
      <w:r>
        <w:rPr>
          <w:lang w:val="en_US" w:bidi="en_US"/>
        </w:rPr>
        <w:t>There are parallel passages for this section in Matthew 27:31–44, Mark 15:21–32, and John 19:17–27.</w:t>
      </w:r>
    </w:p>
    <w:p>
      <w:pPr>
        <w:pStyle w:val="Heading5"/>
      </w:pPr>
      <w:r>
        <w:rPr>
          <w:lang w:val="en_US" w:bidi="en_US"/>
        </w:rPr>
        <w:t>23:34a–b</w:t>
      </w:r>
    </w:p>
    <w:p>
      <w:pPr/>
      <w:r>
        <w:rPr>
          <w:lang w:val="en_US" w:bidi="en_US"/>
        </w:rPr>
      </w:r>
      <w:r>
        <w:rPr>
          <w:b/>
          <w:lang w:val="en_US" w:bidi="en_US"/>
        </w:rPr>
        <w:t>Then Jesus said, “Father, forgive them, for they do not know what they are doing”:</w:t>
      </w:r>
      <w:r>
        <w:rPr>
          <w:lang w:val="en_US" w:bidi="en_US"/>
        </w:rPr>
        <w:t xml:space="preserve"> There is a textual issue here. Some Greek manuscripts do not include 23:34a–b. However, all English versions include it.</w:t>
      </w:r>
      <w:r>
        <w:rPr>
          <w:lang w:val="en_US" w:bidi="en_US"/>
        </w:rPr>
        <w:t>Most of these versions (NIV, GNT, ESV, NASB, NLT, CEV, GW, REB) include it without brackets. Only NRSV and NET use brackets. All the preceding versions include a footnote. BSB, RSV, KJV, and JBP do not use brackets or include a footnote.</w:t>
      </w:r>
      <w:r>
        <w:rPr>
          <w:lang w:val="en_US" w:bidi="en_US"/>
        </w:rPr>
        <w:t xml:space="preserve"> Most English versions also add a footnote. For example, the CEV has this note:</w:t>
      </w:r>
    </w:p>
    <w:p>
      <w:pPr/>
      <w:r>
        <w:rPr>
          <w:lang w:val="en_US" w:bidi="en_US"/>
        </w:rPr>
      </w:r>
      <w:r>
        <w:rPr>
          <w:lang w:val="en_US" w:bidi="en_US"/>
        </w:rPr>
        <w:t>These words are not in some manuscripts. (CEV)</w:t>
      </w:r>
    </w:p>
    <w:p>
      <w:pPr/>
      <w:r>
        <w:rPr>
          <w:lang w:val="en_US" w:bidi="en_US"/>
        </w:rPr>
      </w:r>
      <w:r>
        <w:rPr>
          <w:lang w:val="en_US" w:bidi="en_US"/>
        </w:rPr>
        <w:t>It is recommended that you include 23:34a–b in your translation. You may also want to include a footnote. In some languages it may be helpful to include your translation of 23:34a–b in the footnote. For example:</w:t>
      </w:r>
    </w:p>
    <w:p>
      <w:pPr/>
      <w:r>
        <w:rPr>
          <w:lang w:val="en_US" w:bidi="en_US"/>
        </w:rPr>
      </w:r>
      <w:r>
        <w:rPr>
          <w:lang w:val="en_US" w:bidi="en_US"/>
        </w:rPr>
        <w:t>Some Greek manuscripts do not have the words, “Jesus said, ‘Father, forgive them, for they do not know what they are doing.’”</w:t>
      </w:r>
    </w:p>
    <w:p>
      <w:pPr>
        <w:pStyle w:val="Heading5"/>
      </w:pPr>
      <w:r>
        <w:rPr>
          <w:lang w:val="en_US" w:bidi="en_US"/>
        </w:rPr>
        <w:t>23:34a</w:t>
      </w:r>
    </w:p>
    <w:p>
      <w:pPr/>
      <w:r>
        <w:rPr>
          <w:lang w:val="en_US" w:bidi="en_US"/>
        </w:rPr>
      </w:r>
      <w:r>
        <w:rPr>
          <w:b/>
          <w:lang w:val="en_US" w:bidi="en_US"/>
        </w:rPr>
        <w:t>Then Jesus said, “Father, forgive them,</w:t>
      </w:r>
    </w:p>
    <w:p>
      <w:pPr>
        <w:pStyle w:val="ListBullet"/>
        <w:spacing w:line="240" w:lineRule="auto"/>
        <w:ind w:left="720"/>
      </w:pPr>
      <w:r>
        <w:rPr>
          <w:lang w:val="en_US" w:bidi="en_US"/>
        </w:rPr>
      </w:r>
      <w:r>
        <w:rPr>
          <w:lang w:val="en_US" w:bidi="en_US"/>
        </w:rPr>
        <w:t>And Jesus said, “Father, forgive</w:t>
      </w:r>
      <w:r>
        <w:rPr>
          <w:vertAlign w:val="superscript"/>
          <w:lang w:val="en_US" w:bidi="en_US"/>
        </w:rPr>
        <w:t>(sing)</w:t>
      </w:r>
      <w:r>
        <w:rPr>
          <w:lang w:val="en_US" w:bidi="en_US"/>
        </w:rPr>
        <w:t xml:space="preserve"> them </w:t>
      </w:r>
      <w:r>
        <w:rPr>
          <w:lang w:val="en_US" w:bidi="en_US"/>
        </w:rPr>
        <w:t>for doing this to me</w:t>
      </w:r>
      <w:r>
        <w:rPr>
          <w:lang w:val="en_US" w:bidi="en_US"/>
        </w:rPr>
        <w:t>,</w:t>
      </w:r>
    </w:p>
    <w:p>
      <w:pPr>
        <w:pStyle w:val="ListBullet"/>
        <w:spacing w:line="240" w:lineRule="auto"/>
        <w:ind w:left="720"/>
      </w:pPr>
      <w:r>
        <w:rPr>
          <w:lang w:val="en_US" w:bidi="en_US"/>
        </w:rPr>
      </w:r>
      <w:r>
        <w:rPr>
          <w:lang w:val="en_US" w:bidi="en_US"/>
        </w:rPr>
        <w:t xml:space="preserve">Then Jesus prayed </w:t>
      </w:r>
      <w:r>
        <w:rPr>
          <w:lang w:val="en_US" w:bidi="en_US"/>
        </w:rPr>
        <w:t>for/about the people who crucified him</w:t>
      </w:r>
      <w:r>
        <w:rPr>
          <w:lang w:val="en_US" w:bidi="en_US"/>
        </w:rPr>
        <w:t xml:space="preserve">, “Father </w:t>
      </w:r>
      <w:r>
        <w:rPr>
          <w:lang w:val="en_US" w:bidi="en_US"/>
        </w:rPr>
        <w:t>God</w:t>
      </w:r>
      <w:r>
        <w:rPr>
          <w:lang w:val="en_US" w:bidi="en_US"/>
        </w:rPr>
        <w:t>, pardon them,</w:t>
      </w:r>
    </w:p>
    <w:p>
      <w:pPr>
        <w:pStyle w:val="ListBullet"/>
        <w:spacing w:line="240" w:lineRule="auto"/>
        <w:ind w:left="720"/>
      </w:pPr>
      <w:r>
        <w:rPr>
          <w:lang w:val="en_US" w:bidi="en_US"/>
        </w:rPr>
      </w:r>
      <w:r>
        <w:rPr>
          <w:lang w:val="en_US" w:bidi="en_US"/>
        </w:rPr>
        <w:t>Jesus said to God, “</w:t>
      </w:r>
      <w:r>
        <w:rPr>
          <w:lang w:val="en_US" w:bidi="en_US"/>
        </w:rPr>
        <w:t>My</w:t>
      </w:r>
      <w:r>
        <w:rPr>
          <w:lang w:val="en_US" w:bidi="en_US"/>
        </w:rPr>
        <w:t xml:space="preserve"> Father, please do not punish them for </w:t>
      </w:r>
      <w:r>
        <w:rPr>
          <w:lang w:val="en_US" w:bidi="en_US"/>
        </w:rPr>
        <w:t>crucifying me</w:t>
      </w:r>
      <w:r>
        <w:rPr>
          <w:lang w:val="en_US" w:bidi="en_US"/>
        </w:rPr>
        <w:t>,</w:t>
      </w:r>
    </w:p>
    <w:p>
      <w:pPr/>
      <w:r>
        <w:rPr>
          <w:lang w:val="en_US" w:bidi="en_US"/>
        </w:rPr>
      </w:r>
      <w:r>
        <w:rPr>
          <w:b/>
          <w:lang w:val="en_US" w:bidi="en_US"/>
        </w:rPr>
        <w:t>Then:</w:t>
      </w:r>
      <w:r>
        <w:rPr>
          <w:lang w:val="en_US" w:bidi="en_US"/>
        </w:rPr>
        <w:t xml:space="preserve"> In Greek, 23:34 begins with a conjunction that is often translated as “and” or “but.” The BSB translates this word as </w:t>
      </w:r>
      <w:r>
        <w:rPr>
          <w:i/>
          <w:lang w:val="en_US" w:bidi="en_US"/>
        </w:rPr>
        <w:t>Then</w:t>
      </w:r>
      <w:r>
        <w:rPr>
          <w:lang w:val="en_US" w:bidi="en_US"/>
        </w:rPr>
        <w:t>. It introduces what Jesus prayed when the soldiers crucified him. Connect these events in a way that is natural in your language.</w:t>
      </w:r>
    </w:p>
    <w:p>
      <w:pPr/>
      <w:r>
        <w:rPr>
          <w:lang w:val="en_US" w:bidi="en_US"/>
        </w:rPr>
      </w:r>
      <w:r>
        <w:rPr>
          <w:b/>
          <w:lang w:val="en_US" w:bidi="en_US"/>
        </w:rPr>
        <w:t>Jesus said, “Father, forgive them…”:</w:t>
      </w:r>
      <w:r>
        <w:rPr>
          <w:lang w:val="en_US" w:bidi="en_US"/>
        </w:rPr>
        <w:t xml:space="preserve"> Here Jesus prayed for the people who crucified him. This may include the Roman soldiers, the Jewish people and the Roman leaders, and even the crowd in general. The word </w:t>
      </w:r>
      <w:r>
        <w:rPr>
          <w:i/>
          <w:lang w:val="en_US" w:bidi="en_US"/>
        </w:rPr>
        <w:t>them</w:t>
      </w:r>
      <w:r>
        <w:rPr>
          <w:lang w:val="en_US" w:bidi="en_US"/>
        </w:rPr>
        <w:t xml:space="preserve"> does not refer back to the criminals who were crucified with him.</w:t>
      </w:r>
    </w:p>
    <w:p>
      <w:pPr/>
      <w:r>
        <w:rPr>
          <w:lang w:val="en_US" w:bidi="en_US"/>
        </w:rPr>
      </w:r>
      <w:r>
        <w:rPr>
          <w:lang w:val="en_US" w:bidi="en_US"/>
        </w:rPr>
        <w:t>Some ways to indicate who Jesus referred to here are:</w:t>
      </w:r>
    </w:p>
    <w:p>
      <w:pPr/>
      <w:r>
        <w:rPr>
          <w:lang w:val="en_US" w:bidi="en_US"/>
        </w:rPr>
      </w:r>
      <w:r>
        <w:rPr>
          <w:lang w:val="en_US" w:bidi="en_US"/>
        </w:rPr>
        <w:t>Jesus said, “Father, forgive these people!…” (CEV)</w:t>
      </w:r>
    </w:p>
    <w:p>
      <w:pPr/>
      <w:r>
        <w:rPr>
          <w:lang w:val="en_US" w:bidi="en_US"/>
        </w:rPr>
      </w:r>
      <w:r>
        <w:rPr>
          <w:lang w:val="en_US" w:bidi="en_US"/>
        </w:rPr>
        <w:t xml:space="preserve">Jesus prayed for those </w:t>
      </w:r>
      <w:r>
        <w:rPr>
          <w:lang w:val="en_US" w:bidi="en_US"/>
        </w:rPr>
        <w:t>who crucified him</w:t>
      </w:r>
      <w:r>
        <w:rPr>
          <w:lang w:val="en_US" w:bidi="en_US"/>
        </w:rPr>
        <w:t>, saying, “Father, forgive them…”</w:t>
      </w:r>
    </w:p>
    <w:p>
      <w:pPr/>
      <w:r>
        <w:rPr>
          <w:lang w:val="en_US" w:bidi="en_US"/>
        </w:rPr>
      </w:r>
      <w:r>
        <w:rPr>
          <w:b/>
          <w:lang w:val="en_US" w:bidi="en_US"/>
        </w:rPr>
        <w:t>Father:</w:t>
      </w:r>
      <w:r>
        <w:rPr>
          <w:lang w:val="en_US" w:bidi="en_US"/>
        </w:rPr>
        <w:t xml:space="preserve"> Here Jesus addressed God as </w:t>
      </w:r>
      <w:r>
        <w:rPr>
          <w:i/>
          <w:lang w:val="en_US" w:bidi="en_US"/>
        </w:rPr>
        <w:t>Father</w:t>
      </w:r>
      <w:r>
        <w:rPr>
          <w:lang w:val="en_US" w:bidi="en_US"/>
        </w:rPr>
        <w:t>. If it is not clear that Jesus was referring to God, you may need to make it explicit. For example:</w:t>
      </w:r>
    </w:p>
    <w:p>
      <w:pPr/>
      <w:r>
        <w:rPr>
          <w:lang w:val="en_US" w:bidi="en_US"/>
        </w:rPr>
      </w:r>
      <w:r>
        <w:rPr>
          <w:lang w:val="en_US" w:bidi="en_US"/>
        </w:rPr>
        <w:t xml:space="preserve">Father </w:t>
      </w:r>
      <w:r>
        <w:rPr>
          <w:lang w:val="en_US" w:bidi="en_US"/>
        </w:rPr>
        <w:t>God</w:t>
      </w:r>
    </w:p>
    <w:p>
      <w:pPr/>
      <w:r>
        <w:rPr>
          <w:lang w:val="en_US" w:bidi="en_US"/>
        </w:rPr>
      </w:r>
      <w:r>
        <w:rPr>
          <w:lang w:val="en_US" w:bidi="en_US"/>
        </w:rPr>
        <w:t>In some languages, it may be more natural to supply a pronoun here. For example:</w:t>
      </w:r>
    </w:p>
    <w:p>
      <w:pPr/>
      <w:r>
        <w:rPr>
          <w:lang w:val="en_US" w:bidi="en_US"/>
        </w:rPr>
      </w:r>
      <w:r>
        <w:rPr>
          <w:lang w:val="en_US" w:bidi="en_US"/>
        </w:rPr>
        <w:t>My</w:t>
      </w:r>
      <w:r>
        <w:rPr>
          <w:lang w:val="en_US" w:bidi="en_US"/>
        </w:rPr>
        <w:t xml:space="preserve"> Father</w:t>
      </w:r>
    </w:p>
    <w:p>
      <w:pPr/>
      <w:r>
        <w:rPr>
          <w:lang w:val="en_US" w:bidi="en_US"/>
        </w:rPr>
      </w:r>
      <w:r>
        <w:rPr>
          <w:b/>
          <w:lang w:val="en_US" w:bidi="en_US"/>
        </w:rPr>
        <w:t>forgive them:</w:t>
      </w:r>
      <w:r>
        <w:rPr>
          <w:lang w:val="en_US" w:bidi="en_US"/>
        </w:rPr>
        <w:t xml:space="preserve"> The phrase </w:t>
      </w:r>
      <w:r>
        <w:rPr>
          <w:i/>
          <w:lang w:val="en_US" w:bidi="en_US"/>
        </w:rPr>
        <w:t>forgive them</w:t>
      </w:r>
      <w:r>
        <w:rPr>
          <w:lang w:val="en_US" w:bidi="en_US"/>
        </w:rPr>
        <w:t xml:space="preserve"> is a prayer for God to forgive them for crucifying Jesus. In some languages it may be necessary to say what God should forgive. For example:</w:t>
      </w:r>
    </w:p>
    <w:p>
      <w:pPr/>
      <w:r>
        <w:rPr>
          <w:lang w:val="en_US" w:bidi="en_US"/>
        </w:rPr>
      </w:r>
      <w:r>
        <w:rPr>
          <w:lang w:val="en_US" w:bidi="en_US"/>
        </w:rPr>
        <w:t xml:space="preserve">forgive them </w:t>
      </w:r>
      <w:r>
        <w:rPr>
          <w:lang w:val="en_US" w:bidi="en_US"/>
        </w:rPr>
        <w:t>for what they are doing to me</w:t>
      </w:r>
    </w:p>
    <w:p>
      <w:pPr/>
      <w:r>
        <w:rPr>
          <w:lang w:val="en_US" w:bidi="en_US"/>
        </w:rPr>
      </w:r>
      <w:r>
        <w:rPr>
          <w:b/>
          <w:lang w:val="en_US" w:bidi="en_US"/>
        </w:rPr>
        <w:t>forgive:</w:t>
      </w:r>
      <w:r>
        <w:rPr>
          <w:lang w:val="en_US" w:bidi="en_US"/>
        </w:rPr>
        <w:t xml:space="preserve"> Here the Greek word that the BSB translates as </w:t>
      </w:r>
      <w:r>
        <w:rPr>
          <w:i/>
          <w:lang w:val="en_US" w:bidi="en_US"/>
        </w:rPr>
        <w:t>forgive</w:t>
      </w:r>
      <w:r>
        <w:rPr>
          <w:lang w:val="en_US" w:bidi="en_US"/>
        </w:rPr>
        <w:t xml:space="preserve"> means “pardon.” When someone pardons people who have sinned against him, he decides not to punish them or seek revenge against them. He also decides that he will not continue to be angry or resentful toward them.</w:t>
      </w:r>
    </w:p>
    <w:p>
      <w:pPr/>
      <w:r>
        <w:rPr>
          <w:lang w:val="en_US" w:bidi="en_US"/>
        </w:rPr>
      </w:r>
      <w:r>
        <w:rPr>
          <w:lang w:val="en_US" w:bidi="en_US"/>
        </w:rPr>
        <w:t xml:space="preserve">Some possible ways to translate </w:t>
      </w:r>
      <w:r>
        <w:rPr>
          <w:i/>
          <w:lang w:val="en_US" w:bidi="en_US"/>
        </w:rPr>
        <w:t>forgive</w:t>
      </w:r>
      <w:r>
        <w:rPr>
          <w:lang w:val="en_US" w:bidi="en_US"/>
        </w:rPr>
        <w:t xml:space="preserve"> are:</w:t>
      </w:r>
    </w:p>
    <w:p>
      <w:pPr/>
      <w:r>
        <w:rPr>
          <w:lang w:val="en_US" w:bidi="en_US"/>
        </w:rPr>
      </w:r>
      <w:r>
        <w:rPr>
          <w:lang w:val="en_US" w:bidi="en_US"/>
        </w:rPr>
        <w:t>pardon</w:t>
      </w:r>
    </w:p>
    <w:p>
      <w:pPr/>
      <w:r>
        <w:rPr>
          <w:lang w:val="en_US" w:bidi="en_US"/>
        </w:rPr>
      </w:r>
      <w:r>
        <w:rPr>
          <w:lang w:val="en_US" w:bidi="en_US"/>
        </w:rPr>
        <w:t>free…from the sin/punishment</w:t>
      </w:r>
    </w:p>
    <w:p>
      <w:pPr/>
      <w:r>
        <w:rPr>
          <w:lang w:val="en_US" w:bidi="en_US"/>
        </w:rPr>
      </w:r>
      <w:r>
        <w:rPr>
          <w:lang w:val="en_US" w:bidi="en_US"/>
        </w:rPr>
        <w:t>forget/cancel…wrongdoing</w:t>
      </w:r>
    </w:p>
    <w:p>
      <w:pPr/>
      <w:r>
        <w:rPr>
          <w:lang w:val="en_US" w:bidi="en_US"/>
        </w:rPr>
      </w:r>
      <w:r>
        <w:rPr>
          <w:lang w:val="en_US" w:bidi="en_US"/>
        </w:rPr>
        <w:t>The word was also used of God forgiving sins in 11:4. See how you translated it there.</w:t>
      </w:r>
    </w:p>
    <w:p>
      <w:pPr>
        <w:pStyle w:val="Heading5"/>
      </w:pPr>
      <w:r>
        <w:rPr>
          <w:lang w:val="en_US" w:bidi="en_US"/>
        </w:rPr>
        <w:t>23:34b</w:t>
      </w:r>
    </w:p>
    <w:p>
      <w:pPr/>
      <w:r>
        <w:rPr>
          <w:lang w:val="en_US" w:bidi="en_US"/>
        </w:rPr>
      </w:r>
      <w:r>
        <w:rPr>
          <w:b/>
          <w:lang w:val="en_US" w:bidi="en_US"/>
        </w:rPr>
        <w:t>for they do not know what they are doing.”</w:t>
      </w:r>
    </w:p>
    <w:p>
      <w:pPr>
        <w:pStyle w:val="ListBullet"/>
        <w:spacing w:line="240" w:lineRule="auto"/>
        <w:ind w:left="720"/>
      </w:pPr>
      <w:r>
        <w:rPr>
          <w:lang w:val="en_US" w:bidi="en_US"/>
        </w:rPr>
      </w:r>
      <w:r>
        <w:rPr>
          <w:lang w:val="en_US" w:bidi="en_US"/>
        </w:rPr>
        <w:t>because they do not understand what they are doing.”</w:t>
      </w:r>
    </w:p>
    <w:p>
      <w:pPr>
        <w:pStyle w:val="ListBullet"/>
        <w:spacing w:line="240" w:lineRule="auto"/>
        <w:ind w:left="720"/>
      </w:pPr>
      <w:r>
        <w:rPr>
          <w:lang w:val="en_US" w:bidi="en_US"/>
        </w:rPr>
      </w:r>
      <w:r>
        <w:rPr>
          <w:lang w:val="en_US" w:bidi="en_US"/>
        </w:rPr>
        <w:t xml:space="preserve">for they do not know/realize that what they are doing </w:t>
      </w:r>
      <w:r>
        <w:rPr>
          <w:lang w:val="en_US" w:bidi="en_US"/>
        </w:rPr>
        <w:t>is a terrible sin/evil</w:t>
      </w:r>
      <w:r>
        <w:rPr>
          <w:lang w:val="en_US" w:bidi="en_US"/>
        </w:rPr>
        <w:t>.”</w:t>
      </w:r>
    </w:p>
    <w:p>
      <w:pPr/>
      <w:r>
        <w:rPr>
          <w:lang w:val="en_US" w:bidi="en_US"/>
        </w:rPr>
      </w:r>
      <w:r>
        <w:rPr>
          <w:b/>
          <w:lang w:val="en_US" w:bidi="en_US"/>
        </w:rPr>
        <w:t>for they do not know what they are doing:</w:t>
      </w:r>
      <w:r>
        <w:rPr>
          <w:lang w:val="en_US" w:bidi="en_US"/>
        </w:rPr>
        <w:t xml:space="preserve"> This clause gives the reason that God should forgive the people who crucified Jesus. God should forgive them because they did not realize that they sinned by crucifying Jesus. They knew that they were crucifying him, but they did not know that it was a terrible sin. Another way to translate this reason is:</w:t>
      </w:r>
    </w:p>
    <w:p>
      <w:pPr/>
      <w:r>
        <w:rPr>
          <w:lang w:val="en_US" w:bidi="en_US"/>
        </w:rPr>
      </w:r>
      <w:r>
        <w:rPr>
          <w:lang w:val="en_US" w:bidi="en_US"/>
        </w:rPr>
        <w:t>because they don’t know what they are doing (NCV)</w:t>
      </w:r>
    </w:p>
    <w:p>
      <w:pPr/>
      <w:r>
        <w:rPr>
          <w:lang w:val="en_US" w:bidi="en_US"/>
        </w:rPr>
      </w:r>
      <w:r>
        <w:rPr>
          <w:b/>
          <w:lang w:val="en_US" w:bidi="en_US"/>
        </w:rPr>
        <w:t>know:</w:t>
      </w:r>
      <w:r>
        <w:rPr>
          <w:lang w:val="en_US" w:bidi="en_US"/>
        </w:rPr>
        <w:t xml:space="preserve"> In this context the word </w:t>
      </w:r>
      <w:r>
        <w:rPr>
          <w:i/>
          <w:lang w:val="en_US" w:bidi="en_US"/>
        </w:rPr>
        <w:t>know</w:t>
      </w:r>
      <w:r>
        <w:rPr>
          <w:lang w:val="en_US" w:bidi="en_US"/>
        </w:rPr>
        <w:t xml:space="preserve"> means “understand, realize the meaning of” an action.</w:t>
      </w:r>
      <w:r>
        <w:rPr>
          <w:lang w:val="en_US" w:bidi="en_US"/>
        </w:rPr>
        <w:t xml:space="preserve">Definition based on </w:t>
      </w:r>
      <w:r>
        <w:rPr>
          <w:i/>
          <w:lang w:val="en_US" w:bidi="en_US"/>
        </w:rPr>
        <w:t>oida</w:t>
      </w:r>
      <w:r>
        <w:rPr>
          <w:lang w:val="en_US" w:bidi="en_US"/>
        </w:rPr>
        <w:t xml:space="preserve"> meaning 4, BDAG, p. 694.</w:t>
      </w:r>
      <w:r>
        <w:rPr>
          <w:lang w:val="en_US" w:bidi="en_US"/>
        </w:rPr>
        <w:t xml:space="preserve"> The people did not realize that they were crucifying the Son of God. Some other ways to translate </w:t>
      </w:r>
      <w:r>
        <w:rPr>
          <w:i/>
          <w:lang w:val="en_US" w:bidi="en_US"/>
        </w:rPr>
        <w:t>know</w:t>
      </w:r>
      <w:r>
        <w:rPr>
          <w:lang w:val="en_US" w:bidi="en_US"/>
        </w:rPr>
        <w:t xml:space="preserve"> in this context are:</w:t>
      </w:r>
    </w:p>
    <w:p>
      <w:pPr/>
      <w:r>
        <w:rPr>
          <w:lang w:val="en_US" w:bidi="en_US"/>
        </w:rPr>
      </w:r>
      <w:r>
        <w:rPr>
          <w:lang w:val="en_US" w:bidi="en_US"/>
        </w:rPr>
        <w:t>understand</w:t>
      </w:r>
    </w:p>
    <w:p>
      <w:pPr/>
      <w:r>
        <w:rPr>
          <w:lang w:val="en_US" w:bidi="en_US"/>
        </w:rPr>
      </w:r>
      <w:r>
        <w:rPr>
          <w:lang w:val="en_US" w:bidi="en_US"/>
        </w:rPr>
        <w:t>realize</w:t>
      </w:r>
    </w:p>
    <w:p>
      <w:pPr/>
      <w:r>
        <w:rPr>
          <w:lang w:val="en_US" w:bidi="en_US"/>
        </w:rPr>
      </w:r>
      <w:r>
        <w:rPr>
          <w:b/>
          <w:lang w:val="en_US" w:bidi="en_US"/>
        </w:rPr>
        <w:t>what they are doing:</w:t>
      </w:r>
      <w:r>
        <w:rPr>
          <w:lang w:val="en_US" w:bidi="en_US"/>
        </w:rPr>
        <w:t xml:space="preserve"> The clause </w:t>
      </w:r>
      <w:r>
        <w:rPr>
          <w:i/>
          <w:lang w:val="en_US" w:bidi="en_US"/>
        </w:rPr>
        <w:t>what they are doing</w:t>
      </w:r>
      <w:r>
        <w:rPr>
          <w:lang w:val="en_US" w:bidi="en_US"/>
        </w:rPr>
        <w:t xml:space="preserve"> refers to the sin of crucifying Jesus. In some languages it may be necessary to make this more explicit. For example:</w:t>
      </w:r>
    </w:p>
    <w:p>
      <w:pPr/>
      <w:r>
        <w:rPr>
          <w:lang w:val="en_US" w:bidi="en_US"/>
        </w:rPr>
      </w:r>
      <w:r>
        <w:rPr>
          <w:lang w:val="en_US" w:bidi="en_US"/>
        </w:rPr>
        <w:t>the sin</w:t>
      </w:r>
      <w:r>
        <w:rPr>
          <w:lang w:val="en_US" w:bidi="en_US"/>
        </w:rPr>
        <w:t xml:space="preserve"> that they are doing</w:t>
      </w:r>
    </w:p>
    <w:p>
      <w:pPr>
        <w:pStyle w:val="Heading5"/>
      </w:pPr>
      <w:r>
        <w:rPr>
          <w:lang w:val="en_US" w:bidi="en_US"/>
        </w:rPr>
        <w:t>23:34c</w:t>
      </w:r>
    </w:p>
    <w:p>
      <w:pPr/>
      <w:r>
        <w:rPr>
          <w:lang w:val="en_US" w:bidi="en_US"/>
        </w:rPr>
      </w:r>
      <w:r>
        <w:rPr>
          <w:b/>
          <w:lang w:val="en_US" w:bidi="en_US"/>
        </w:rPr>
        <w:t>And they divided up His garments by casting lots.</w:t>
      </w:r>
    </w:p>
    <w:p>
      <w:pPr>
        <w:pStyle w:val="ListBullet"/>
        <w:spacing w:line="240" w:lineRule="auto"/>
        <w:ind w:left="720"/>
      </w:pPr>
      <w:r>
        <w:rPr>
          <w:lang w:val="en_US" w:bidi="en_US"/>
        </w:rPr>
      </w:r>
      <w:r>
        <w:rPr>
          <w:lang w:val="en_US" w:bidi="en_US"/>
        </w:rPr>
        <w:t xml:space="preserve">Then </w:t>
      </w:r>
      <w:r>
        <w:rPr>
          <w:lang w:val="en_US" w:bidi="en_US"/>
        </w:rPr>
        <w:t>the soldiers</w:t>
      </w:r>
      <w:r>
        <w:rPr>
          <w:lang w:val="en_US" w:bidi="en_US"/>
        </w:rPr>
        <w:t xml:space="preserve"> threw lots/dice to share his clothes among them.</w:t>
      </w:r>
    </w:p>
    <w:p>
      <w:pPr>
        <w:pStyle w:val="ListBullet"/>
        <w:spacing w:line="240" w:lineRule="auto"/>
        <w:ind w:left="720"/>
      </w:pPr>
      <w:r>
        <w:rPr>
          <w:lang w:val="en_US" w:bidi="en_US"/>
        </w:rPr>
      </w:r>
      <w:r>
        <w:rPr>
          <w:lang w:val="en_US" w:bidi="en_US"/>
        </w:rPr>
        <w:t>Meanwhile, the soldiers threw marked stones/dice to decide who would get each item of Jesus’ clothing.</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another event that happened after soldiers put Jesus on the cross. The event was not part of what Jesus said in 23:34b. Some other ways to introduce the event are:</w:t>
      </w:r>
    </w:p>
    <w:p>
      <w:pPr/>
      <w:r>
        <w:rPr>
          <w:lang w:val="en_US" w:bidi="en_US"/>
        </w:rPr>
      </w:r>
      <w:r>
        <w:rPr>
          <w:lang w:val="en_US" w:bidi="en_US"/>
        </w:rPr>
        <w:t>Meanwhile (GW)</w:t>
      </w:r>
    </w:p>
    <w:p>
      <w:pPr/>
      <w:r>
        <w:rPr>
          <w:lang w:val="en_US" w:bidi="en_US"/>
        </w:rPr>
      </w:r>
      <w:r>
        <w:rPr>
          <w:lang w:val="en_US" w:bidi="en_US"/>
        </w:rPr>
        <w:t>While the crowd stood there watching (CEV)</w:t>
      </w:r>
    </w:p>
    <w:p>
      <w:pPr/>
      <w:r>
        <w:rPr>
          <w:lang w:val="en_US" w:bidi="en_US"/>
        </w:rPr>
      </w:r>
      <w:r>
        <w:rPr>
          <w:lang w:val="en_US" w:bidi="en_US"/>
        </w:rPr>
        <w:t>As for the soldiers</w:t>
      </w:r>
      <w:r>
        <w:rPr>
          <w:lang w:val="en_US" w:bidi="en_US"/>
        </w:rPr>
        <w:t>Kankanaey back translation on TW.</w:t>
      </w:r>
    </w:p>
    <w:p>
      <w:pPr/>
      <w:r>
        <w:rPr>
          <w:lang w:val="en_US" w:bidi="en_US"/>
        </w:rPr>
      </w:r>
      <w:r>
        <w:rPr>
          <w:lang w:val="en_US" w:bidi="en_US"/>
        </w:rPr>
        <w:t>Introduce this event in a natural way in your language.</w:t>
      </w:r>
    </w:p>
    <w:p>
      <w:pPr/>
      <w:r>
        <w:rPr>
          <w:lang w:val="en_US" w:bidi="en_US"/>
        </w:rPr>
      </w:r>
      <w:r>
        <w:rPr>
          <w:b/>
          <w:lang w:val="en_US" w:bidi="en_US"/>
        </w:rPr>
        <w:t>they divided up His garments by casting lots:</w:t>
      </w:r>
      <w:r>
        <w:rPr>
          <w:lang w:val="en_US" w:bidi="en_US"/>
        </w:rPr>
        <w:t xml:space="preserve"> The phrase </w:t>
      </w:r>
      <w:r>
        <w:rPr>
          <w:i/>
          <w:lang w:val="en_US" w:bidi="en_US"/>
        </w:rPr>
        <w:t>they divided up His garments</w:t>
      </w:r>
      <w:r>
        <w:rPr>
          <w:lang w:val="en_US" w:bidi="en_US"/>
        </w:rPr>
        <w:t xml:space="preserve"> indicates that the soldiers did a certain action to decide who would get the different items of Jesus’ clothing. It does not imply that they tore his clothes into pieces and distributed the pieces among themselves.</w:t>
      </w:r>
    </w:p>
    <w:p>
      <w:pPr/>
      <w:r>
        <w:rPr>
          <w:lang w:val="en_US" w:bidi="en_US"/>
        </w:rPr>
      </w:r>
      <w:r>
        <w:rPr>
          <w:lang w:val="en_US" w:bidi="en_US"/>
        </w:rPr>
        <w:t>The Romans had a custom that the soldiers who crucified a criminal had the right to take his clothes for themselves.</w:t>
      </w:r>
      <w:r>
        <w:rPr>
          <w:lang w:val="en_US" w:bidi="en_US"/>
        </w:rPr>
        <w:t>Marshall (p. 868) says that “the executioners proceeded, according to custom…to divide out the clothes of Jesus among themselves by casting lots for them.” Jesus’ clothing probably included an outer robe, a tunic (a shirt worn under the robe), and perhaps also a belt and sandals.</w:t>
      </w:r>
      <w:r>
        <w:rPr>
          <w:lang w:val="en_US" w:bidi="en_US"/>
        </w:rPr>
        <w:t xml:space="preserve"> Jesus’ clothing included an outer robe, a tunic (a shirt worn under the robe), and probably also a belt and sandals. The soldiers decided which of them would get each piece of clothing </w:t>
      </w:r>
      <w:r>
        <w:rPr>
          <w:i/>
          <w:lang w:val="en_US" w:bidi="en_US"/>
        </w:rPr>
        <w:t>by casting lots</w:t>
      </w:r>
      <w:r>
        <w:rPr>
          <w:lang w:val="en_US" w:bidi="en_US"/>
        </w:rPr>
        <w:t>. See the next note for more information.</w:t>
      </w:r>
    </w:p>
    <w:p>
      <w:pPr/>
      <w:r>
        <w:rPr>
          <w:lang w:val="en_US" w:bidi="en_US"/>
        </w:rPr>
      </w:r>
      <w:r>
        <w:rPr>
          <w:lang w:val="en_US" w:bidi="en_US"/>
        </w:rPr>
        <w:t>Some other ways to translate this part of the verse are:</w:t>
      </w:r>
    </w:p>
    <w:p>
      <w:pPr/>
      <w:r>
        <w:rPr>
          <w:lang w:val="en_US" w:bidi="en_US"/>
        </w:rPr>
      </w:r>
      <w:r>
        <w:rPr>
          <w:lang w:val="en_US" w:bidi="en_US"/>
        </w:rPr>
        <w:t>they threw lots to decide who would get his clothes (NCV)</w:t>
      </w:r>
    </w:p>
    <w:p>
      <w:pPr/>
      <w:r>
        <w:rPr>
          <w:lang w:val="en_US" w:bidi="en_US"/>
        </w:rPr>
      </w:r>
      <w:r>
        <w:rPr>
          <w:lang w:val="en_US" w:bidi="en_US"/>
        </w:rPr>
        <w:t>they drew lots for Jesus’ clothes in order to share them out</w:t>
      </w:r>
      <w:r>
        <w:rPr>
          <w:lang w:val="en_US" w:bidi="en_US"/>
        </w:rPr>
        <w:t>Kankanaey back translation on TW.</w:t>
      </w:r>
    </w:p>
    <w:p>
      <w:pPr/>
      <w:r>
        <w:rPr>
          <w:lang w:val="en_US" w:bidi="en_US"/>
        </w:rPr>
      </w:r>
      <w:r>
        <w:rPr>
          <w:lang w:val="en_US" w:bidi="en_US"/>
        </w:rPr>
        <w:t>This action fulfilled the prophecy in Psalm 22:18. You made want to include a footnote or cross reference to this verse.</w:t>
      </w:r>
    </w:p>
    <w:p>
      <w:pPr/>
      <w:r>
        <w:rPr>
          <w:lang w:val="en_US" w:bidi="en_US"/>
        </w:rPr>
      </w:r>
      <w:r>
        <w:rPr>
          <w:b/>
          <w:lang w:val="en_US" w:bidi="en_US"/>
        </w:rPr>
        <w:t>casting lots:</w:t>
      </w:r>
      <w:r>
        <w:rPr>
          <w:lang w:val="en_US" w:bidi="en_US"/>
        </w:rPr>
        <w:t xml:space="preserve"> The phrase </w:t>
      </w:r>
      <w:r>
        <w:rPr>
          <w:i/>
          <w:lang w:val="en_US" w:bidi="en_US"/>
        </w:rPr>
        <w:t>casting lots</w:t>
      </w:r>
      <w:r>
        <w:rPr>
          <w:lang w:val="en_US" w:bidi="en_US"/>
        </w:rPr>
        <w:t xml:space="preserve"> tells what the soldiers did to decide which of them would take various items of clothing. They threw small objects, like dice, pebbles, or sticks, on the ground. Then they looked at the way these things fell. Casting lots was a custom that was used to make difficult decisions. It was a way to decide these things by chance. Another way to translate the phrase is:</w:t>
      </w:r>
    </w:p>
    <w:p>
      <w:pPr/>
      <w:r>
        <w:rPr>
          <w:lang w:val="en_US" w:bidi="en_US"/>
        </w:rPr>
      </w:r>
      <w:r>
        <w:rPr>
          <w:lang w:val="en_US" w:bidi="en_US"/>
        </w:rPr>
        <w:t>throwing dice (GNT)</w:t>
      </w:r>
    </w:p>
    <w:p>
      <w:pPr/>
      <w:r>
        <w:rPr>
          <w:lang w:val="en_US" w:bidi="en_US"/>
        </w:rPr>
      </w:r>
      <w:r>
        <w:rPr>
          <w:lang w:val="en_US" w:bidi="en_US"/>
        </w:rPr>
        <w:t>If you have a similar way to decide something by chance, consider using it here. If not, you may use a general expression. For example:</w:t>
      </w:r>
    </w:p>
    <w:p>
      <w:pPr/>
      <w:r>
        <w:rPr>
          <w:lang w:val="en_US" w:bidi="en_US"/>
        </w:rPr>
      </w:r>
      <w:r>
        <w:rPr>
          <w:lang w:val="en_US" w:bidi="en_US"/>
        </w:rPr>
        <w:t>gambled for his clothes (CEV)</w:t>
      </w:r>
    </w:p>
    <w:p>
      <w:pPr/>
      <w:r>
        <w:rPr>
          <w:lang w:val="en_US" w:bidi="en_US"/>
        </w:rPr>
      </w:r>
      <w:r>
        <w:rPr>
          <w:lang w:val="en_US" w:bidi="en_US"/>
        </w:rPr>
        <w:t>played a game of luck</w:t>
      </w:r>
      <w:r>
        <w:rPr>
          <w:lang w:val="en_US" w:bidi="en_US"/>
        </w:rPr>
      </w:r>
      <w:r>
        <w:rPr>
          <w:lang w:val="en_US" w:bidi="en_US"/>
        </w:rPr>
      </w:r>
    </w:p>
    <w:p>
      <w:pPr/>
      <w:r>
        <w:rPr>
          <w:lang w:val="en_US" w:bidi="en_US"/>
        </w:rPr>
      </w:r>
    </w:p>
    <w:p>
      <w:pPr>
        <w:pStyle w:val="Heading2"/>
      </w:pPr>
      <w:r>
        <w:rPr>
          <w:lang w:val="en_US" w:bidi="en_US"/>
        </w:rPr>
        <w:t>Luke 23:35</w:t>
      </w:r>
      <w:r>
        <w:rPr>
          <w:lang w:val="en_US" w:bidi="en_US"/>
        </w:rPr>
      </w:r>
    </w:p>
    <w:p>
      <w:pPr>
        <w:pStyle w:val="Heading4"/>
      </w:pPr>
      <w:r>
        <w:rPr>
          <w:lang w:val="en_US" w:bidi="en_US"/>
        </w:rPr>
        <w:t>Section 23:26–43: Soldiers nailed Jesus to a cross</w:t>
      </w:r>
    </w:p>
    <w:p>
      <w:pPr/>
      <w:r>
        <w:rPr>
          <w:lang w:val="en_US" w:bidi="en_US"/>
        </w:rPr>
      </w:r>
      <w:r>
        <w:rPr>
          <w:lang w:val="en_US" w:bidi="en_US"/>
        </w:rP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pPr/>
      <w:r>
        <w:rPr>
          <w:lang w:val="en_US" w:bidi="en_US"/>
        </w:rPr>
      </w:r>
      <w:r>
        <w:rPr>
          <w:lang w:val="en_US" w:bidi="en_US"/>
        </w:rPr>
        <w:t>Other examples of headings for this section are:</w:t>
      </w:r>
    </w:p>
    <w:p>
      <w:pPr/>
      <w:r>
        <w:rPr>
          <w:lang w:val="en_US" w:bidi="en_US"/>
        </w:rPr>
      </w:r>
      <w:r>
        <w:rPr>
          <w:lang w:val="en_US" w:bidi="en_US"/>
        </w:rPr>
        <w:t>The Crucifixion (NIV)</w:t>
      </w:r>
    </w:p>
    <w:p>
      <w:pPr/>
      <w:r>
        <w:rPr>
          <w:lang w:val="en_US" w:bidi="en_US"/>
        </w:rPr>
      </w:r>
      <w:r>
        <w:rPr>
          <w:lang w:val="en_US" w:bidi="en_US"/>
        </w:rPr>
        <w:t>Jesus Is Nailed to a Cross (CEV)</w:t>
      </w:r>
    </w:p>
    <w:p>
      <w:pPr/>
      <w:r>
        <w:rPr>
          <w:lang w:val="en_US" w:bidi="en_US"/>
        </w:rPr>
      </w:r>
      <w:r>
        <w:rPr>
          <w:lang w:val="en_US" w:bidi="en_US"/>
        </w:rPr>
        <w:t>Roman soldiers nailed Jesus to a cross</w:t>
      </w:r>
    </w:p>
    <w:p>
      <w:pPr/>
      <w:r>
        <w:rPr>
          <w:lang w:val="en_US" w:bidi="en_US"/>
        </w:rPr>
      </w:r>
      <w:r>
        <w:rPr>
          <w:lang w:val="en_US" w:bidi="en_US"/>
        </w:rPr>
        <w:t>There are parallel passages for this section in Matthew 27:31–44, Mark 15:21–32, and John 19:17–27.</w:t>
      </w:r>
    </w:p>
    <w:p>
      <w:pPr>
        <w:pStyle w:val="Heading5"/>
      </w:pPr>
      <w:r>
        <w:rPr>
          <w:lang w:val="en_US" w:bidi="en_US"/>
        </w:rPr>
        <w:t>23:35a</w:t>
      </w:r>
    </w:p>
    <w:p>
      <w:pPr/>
      <w:r>
        <w:rPr>
          <w:lang w:val="en_US" w:bidi="en_US"/>
        </w:rPr>
      </w:r>
      <w:r>
        <w:rPr>
          <w:b/>
          <w:lang w:val="en_US" w:bidi="en_US"/>
        </w:rPr>
        <w:t>The people stood watching,</w:t>
      </w:r>
    </w:p>
    <w:p>
      <w:pPr>
        <w:pStyle w:val="ListBullet"/>
        <w:spacing w:line="240" w:lineRule="auto"/>
        <w:ind w:left="720"/>
      </w:pPr>
      <w:r>
        <w:rPr>
          <w:lang w:val="en_US" w:bidi="en_US"/>
        </w:rPr>
      </w:r>
      <w:r>
        <w:rPr>
          <w:lang w:val="en_US" w:bidi="en_US"/>
        </w:rPr>
        <w:t xml:space="preserve">¶ While the people stood </w:t>
      </w:r>
      <w:r>
        <w:rPr>
          <w:lang w:val="en_US" w:bidi="en_US"/>
        </w:rPr>
        <w:t>there</w:t>
      </w:r>
      <w:r>
        <w:rPr>
          <w:lang w:val="en_US" w:bidi="en_US"/>
        </w:rPr>
        <w:t xml:space="preserve"> watching,</w:t>
      </w:r>
    </w:p>
    <w:p>
      <w:pPr>
        <w:pStyle w:val="ListBullet"/>
        <w:spacing w:line="240" w:lineRule="auto"/>
        <w:ind w:left="720"/>
      </w:pPr>
      <w:r>
        <w:rPr>
          <w:lang w:val="en_US" w:bidi="en_US"/>
        </w:rPr>
      </w:r>
      <w:r>
        <w:rPr>
          <w:lang w:val="en_US" w:bidi="en_US"/>
        </w:rPr>
        <w:t xml:space="preserve">¶ The people stood by watching </w:t>
      </w:r>
      <w:r>
        <w:rPr>
          <w:lang w:val="en_US" w:bidi="en_US"/>
        </w:rPr>
        <w:t>what was happening</w:t>
      </w:r>
      <w:r>
        <w:rPr>
          <w:lang w:val="en_US" w:bidi="en_US"/>
        </w:rPr>
        <w:t>,</w:t>
      </w:r>
    </w:p>
    <w:p>
      <w:pPr/>
      <w:r>
        <w:rPr>
          <w:lang w:val="en_US" w:bidi="en_US"/>
        </w:rPr>
      </w:r>
      <w:r>
        <w:rPr>
          <w:lang w:val="en_US" w:bidi="en_US"/>
        </w:rPr>
        <w:t>In Greek, 23:35a begins with a common conjunction that versions such as the RSV translate as “And.” It introduces what the people were doing during the events in the preceding paragraph. The BSB and some other English versions do not translate this conjunction. Begin this verse in a way that is natural in your language.</w:t>
      </w:r>
    </w:p>
    <w:p>
      <w:pPr/>
      <w:r>
        <w:rPr>
          <w:lang w:val="en_US" w:bidi="en_US"/>
        </w:rPr>
      </w:r>
      <w:r>
        <w:rPr>
          <w:b/>
          <w:lang w:val="en_US" w:bidi="en_US"/>
        </w:rPr>
        <w:t>The people stood watching:</w:t>
      </w:r>
      <w:r>
        <w:rPr>
          <w:lang w:val="en_US" w:bidi="en_US"/>
        </w:rPr>
        <w:t xml:space="preserve"> This clause indicates that people were standing nearby watching what was happening to Jesus. Some other ways to translate the clause are:</w:t>
      </w:r>
    </w:p>
    <w:p>
      <w:pPr/>
      <w:r>
        <w:rPr>
          <w:lang w:val="en_US" w:bidi="en_US"/>
        </w:rPr>
      </w:r>
      <w:r>
        <w:rPr>
          <w:lang w:val="en_US" w:bidi="en_US"/>
        </w:rPr>
        <w:t>The people stood there watching. (NCV)</w:t>
      </w:r>
    </w:p>
    <w:p>
      <w:pPr/>
      <w:r>
        <w:rPr>
          <w:lang w:val="en_US" w:bidi="en_US"/>
        </w:rPr>
      </w:r>
      <w:r>
        <w:rPr>
          <w:lang w:val="en_US" w:bidi="en_US"/>
        </w:rPr>
        <w:t>The crowd watched… (NLT)</w:t>
      </w:r>
    </w:p>
    <w:p>
      <w:pPr/>
      <w:r>
        <w:rPr>
          <w:lang w:val="en_US" w:bidi="en_US"/>
        </w:rPr>
      </w:r>
      <w:r>
        <w:rPr>
          <w:lang w:val="en_US" w:bidi="en_US"/>
        </w:rPr>
        <w:t>In some languages it may be necessary to make explicit what the people were watching. For example:</w:t>
      </w:r>
    </w:p>
    <w:p>
      <w:pPr/>
      <w:r>
        <w:rPr>
          <w:lang w:val="en_US" w:bidi="en_US"/>
        </w:rPr>
      </w:r>
      <w:r>
        <w:rPr>
          <w:lang w:val="en_US" w:bidi="en_US"/>
        </w:rPr>
        <w:t>The people stood nearby and watched what was happening.</w:t>
      </w:r>
    </w:p>
    <w:p>
      <w:pPr/>
      <w:r>
        <w:rPr>
          <w:lang w:val="en_US" w:bidi="en_US"/>
        </w:rPr>
      </w:r>
      <w:r>
        <w:rPr>
          <w:b/>
          <w:lang w:val="en_US" w:bidi="en_US"/>
        </w:rPr>
        <w:t>The people:</w:t>
      </w:r>
      <w:r>
        <w:rPr>
          <w:lang w:val="en_US" w:bidi="en_US"/>
        </w:rPr>
        <w:t xml:space="preserve"> The phrase </w:t>
      </w:r>
      <w:r>
        <w:rPr>
          <w:i/>
          <w:lang w:val="en_US" w:bidi="en_US"/>
        </w:rPr>
        <w:t>The people</w:t>
      </w:r>
      <w:r>
        <w:rPr>
          <w:lang w:val="en_US" w:bidi="en_US"/>
        </w:rPr>
        <w:t xml:space="preserve"> refers to people who had come to watch what was happening to Jesus. In some languages it may be necessary to introduce the people in some way. For example:</w:t>
      </w:r>
    </w:p>
    <w:p>
      <w:pPr/>
      <w:r>
        <w:rPr>
          <w:lang w:val="en_US" w:bidi="en_US"/>
        </w:rPr>
      </w:r>
      <w:r>
        <w:rPr>
          <w:lang w:val="en_US" w:bidi="en_US"/>
        </w:rPr>
        <w:t>Many people had come</w:t>
      </w:r>
    </w:p>
    <w:p>
      <w:pPr/>
      <w:r>
        <w:rPr>
          <w:lang w:val="en_US" w:bidi="en_US"/>
        </w:rPr>
      </w:r>
      <w:r>
        <w:rPr>
          <w:lang w:val="en_US" w:bidi="en_US"/>
        </w:rPr>
        <w:t>The people who were there</w:t>
      </w:r>
    </w:p>
    <w:p>
      <w:pPr>
        <w:pStyle w:val="Heading5"/>
      </w:pPr>
      <w:r>
        <w:rPr>
          <w:lang w:val="en_US" w:bidi="en_US"/>
        </w:rPr>
        <w:t>23:35b</w:t>
      </w:r>
    </w:p>
    <w:p>
      <w:pPr/>
      <w:r>
        <w:rPr>
          <w:lang w:val="en_US" w:bidi="en_US"/>
        </w:rPr>
      </w:r>
      <w:r>
        <w:rPr>
          <w:b/>
          <w:lang w:val="en_US" w:bidi="en_US"/>
        </w:rPr>
        <w:t>and the rulers sneered at Him,</w:t>
      </w:r>
    </w:p>
    <w:p>
      <w:pPr>
        <w:pStyle w:val="ListBullet"/>
        <w:spacing w:line="240" w:lineRule="auto"/>
        <w:ind w:left="720"/>
      </w:pPr>
      <w:r>
        <w:rPr>
          <w:lang w:val="en_US" w:bidi="en_US"/>
        </w:rPr>
      </w:r>
      <w:r>
        <w:rPr>
          <w:lang w:val="en_US" w:bidi="en_US"/>
        </w:rPr>
        <w:t xml:space="preserve">the </w:t>
      </w:r>
      <w:r>
        <w:rPr>
          <w:lang w:val="en_US" w:bidi="en_US"/>
        </w:rPr>
        <w:t>Jewish</w:t>
      </w:r>
      <w:r>
        <w:rPr>
          <w:lang w:val="en_US" w:bidi="en_US"/>
        </w:rPr>
        <w:t xml:space="preserve"> leaders ridiculed/mocked Jesus.</w:t>
      </w:r>
    </w:p>
    <w:p>
      <w:pPr>
        <w:pStyle w:val="ListBullet"/>
        <w:spacing w:line="240" w:lineRule="auto"/>
        <w:ind w:left="720"/>
      </w:pPr>
      <w:r>
        <w:rPr>
          <w:lang w:val="en_US" w:bidi="en_US"/>
        </w:rPr>
      </w:r>
      <w:r>
        <w:rPr>
          <w:lang w:val="en_US" w:bidi="en_US"/>
        </w:rPr>
        <w:t xml:space="preserve">and the rulers </w:t>
      </w:r>
      <w:r>
        <w:rPr>
          <w:lang w:val="en_US" w:bidi="en_US"/>
        </w:rPr>
        <w:t>standing there</w:t>
      </w:r>
      <w:r>
        <w:rPr>
          <w:lang w:val="en_US" w:bidi="en_US"/>
        </w:rPr>
        <w:t xml:space="preserve"> insulted him,</w:t>
      </w:r>
    </w:p>
    <w:p>
      <w:pPr/>
      <w:r>
        <w:rPr>
          <w:lang w:val="en_US" w:bidi="en_US"/>
        </w:rPr>
      </w:r>
      <w:r>
        <w:rPr>
          <w:b/>
          <w:lang w:val="en_US" w:bidi="en_US"/>
        </w:rPr>
        <w:t>and the rulers sneered at Him:</w:t>
      </w:r>
      <w:r>
        <w:rPr>
          <w:lang w:val="en_US" w:bidi="en_US"/>
        </w:rPr>
        <w:t xml:space="preserve"> This Greek phrase includes two common conjunctions that many English versions translate as “and” and “even.” This phrase connects what the people did in 23:35a with what the rulers did. Scholars are not sure exactly what the connection is. The three main possibilities are:</w:t>
      </w:r>
    </w:p>
    <w:p>
      <w:pPr>
        <w:pStyle w:val="ListNumber"/>
        <w:numPr>
          <w:ilvl w:val="0"/>
          <w:numId w:val="363"/>
        </w:numPr>
        <w:spacing w:line="240" w:lineRule="auto"/>
        <w:ind w:left="720"/>
      </w:pPr>
      <w:r>
        <w:rPr>
          <w:lang w:val="en_US" w:bidi="en_US"/>
        </w:rPr>
      </w:r>
      <w:r>
        <w:rPr>
          <w:lang w:val="en_US" w:bidi="en_US"/>
        </w:rPr>
        <w:t>It is a general connection that does not indicate whether the people also sneered at Jesus. For example:</w:t>
      </w:r>
      <w:r>
        <w:rPr>
          <w:lang w:val="en_US" w:bidi="en_US"/>
        </w:rPr>
        <w:t xml:space="preserve">and their rulers jeered at him (REB) </w:t>
      </w:r>
      <w:r>
        <w:rPr>
          <w:i/>
          <w:lang w:val="en_US" w:bidi="en_US"/>
        </w:rPr>
        <w:t>(BSB, GNT, REB, CEV, NLT, NCV, JBP, NIV)</w:t>
      </w:r>
      <w:r>
        <w:rPr>
          <w:i/>
          <w:lang w:val="en_US" w:bidi="en_US"/>
        </w:rPr>
        <w:t>The NIV places the word “even” before “sneered,” which seems to imply that the rulers had already mistreated Jesus and they even sneered at him as he was on the cross. This connection does not seem to imply anything about whether or not the people sneered at Jesus. Liefeld (p. 1046) also interprets the NIV rendering in this way.</w:t>
      </w:r>
    </w:p>
    <w:p>
      <w:pPr>
        <w:pStyle w:val="ListNumber"/>
        <w:spacing w:line="240" w:lineRule="auto"/>
        <w:ind w:left="720"/>
      </w:pPr>
      <w:r>
        <w:rPr>
          <w:lang w:val="en_US" w:bidi="en_US"/>
        </w:rPr>
      </w:r>
      <w:r>
        <w:rPr>
          <w:lang w:val="en_US" w:bidi="en_US"/>
        </w:rPr>
        <w:t>It implies that the rulers and also the people (23:35a) sneered at Jesus.</w:t>
      </w:r>
      <w:r>
        <w:rPr>
          <w:lang w:val="en_US" w:bidi="en_US"/>
        </w:rPr>
        <w:t>Some Greek manuscripts and the KJV add “with them” to indicate that the rulers along with the people ridiculed Jesus. However, the earliest manuscripts and most Bible scholars do not support this.</w:t>
      </w:r>
      <w:r>
        <w:rPr>
          <w:lang w:val="en_US" w:bidi="en_US"/>
        </w:rPr>
        <w:t xml:space="preserve"> For example:</w:t>
      </w:r>
      <w:r>
        <w:rPr>
          <w:lang w:val="en_US" w:bidi="en_US"/>
        </w:rPr>
        <w:t xml:space="preserve">And even the rulers were sneering at Him (NASB) </w:t>
      </w:r>
      <w:r>
        <w:rPr>
          <w:i/>
          <w:lang w:val="en_US" w:bidi="en_US"/>
        </w:rPr>
        <w:t>(NASB, KJV)</w:t>
      </w:r>
    </w:p>
    <w:p>
      <w:pPr>
        <w:pStyle w:val="ListNumber"/>
        <w:spacing w:line="240" w:lineRule="auto"/>
        <w:ind w:left="720"/>
      </w:pPr>
      <w:r>
        <w:rPr>
          <w:lang w:val="en_US" w:bidi="en_US"/>
        </w:rPr>
      </w:r>
      <w:r>
        <w:rPr>
          <w:lang w:val="en_US" w:bidi="en_US"/>
        </w:rPr>
        <w:t>It implies a contrast between the rulers and the people. The people stood watching, but the rulers sneered at him. For example:</w:t>
      </w:r>
      <w:r>
        <w:rPr>
          <w:lang w:val="en_US" w:bidi="en_US"/>
        </w:rPr>
        <w:t xml:space="preserve">but the rulers scoffed at him (RSV) </w:t>
      </w:r>
      <w:r>
        <w:rPr>
          <w:i/>
          <w:lang w:val="en_US" w:bidi="en_US"/>
        </w:rPr>
        <w:t>(RSV, GW, NET, ESV, NJB)</w:t>
      </w:r>
    </w:p>
    <w:p>
      <w:pPr/>
      <w:r>
        <w:rPr>
          <w:lang w:val="en_US" w:bidi="en_US"/>
        </w:rPr>
      </w:r>
      <w:r>
        <w:rPr>
          <w:lang w:val="en_US" w:bidi="en_US"/>
        </w:rPr>
        <w:t>It is recommended that you follow interpretation (1). The parallel passages in Matthew and Mark indicate that the people did sneer at Jesus, so interpretation (3) is unlikely, and interpretation (2) is not clearly indicated here. In this verse Luke focused on what the rulers said as they sneered at Jesus.</w:t>
      </w:r>
    </w:p>
    <w:p>
      <w:pPr/>
      <w:r>
        <w:rPr>
          <w:lang w:val="en_US" w:bidi="en_US"/>
        </w:rPr>
      </w:r>
      <w:r>
        <w:rPr>
          <w:lang w:val="en_US" w:bidi="en_US"/>
        </w:rPr>
        <w:t>Another way to translate interpretation (1) is:</w:t>
      </w:r>
    </w:p>
    <w:p>
      <w:pPr/>
      <w:r>
        <w:rPr>
          <w:lang w:val="en_US" w:bidi="en_US"/>
        </w:rPr>
      </w:r>
      <w:r>
        <w:rPr>
          <w:lang w:val="en_US" w:bidi="en_US"/>
        </w:rPr>
        <w:t>while the Jewish leaders made fun of him (GNT)</w:t>
      </w:r>
    </w:p>
    <w:p>
      <w:pPr/>
      <w:r>
        <w:rPr>
          <w:lang w:val="en_US" w:bidi="en_US"/>
        </w:rPr>
      </w:r>
      <w:r>
        <w:rPr>
          <w:b/>
          <w:lang w:val="en_US" w:bidi="en_US"/>
        </w:rPr>
        <w:t>the rulers:</w:t>
      </w:r>
      <w:r>
        <w:rPr>
          <w:lang w:val="en_US" w:bidi="en_US"/>
        </w:rPr>
        <w:t xml:space="preserve"> The word </w:t>
      </w:r>
      <w:r>
        <w:rPr>
          <w:i/>
          <w:lang w:val="en_US" w:bidi="en_US"/>
        </w:rPr>
        <w:t>rulers</w:t>
      </w:r>
      <w:r>
        <w:rPr>
          <w:lang w:val="en_US" w:bidi="en_US"/>
        </w:rPr>
        <w:t xml:space="preserve"> refers here to the leaders of the Jewish people. The word is used in a general way of all Jewish leaders, so it probably included the priests and other leaders who were members of the council. The same word was used in 23:13. See how you translated it there.</w:t>
      </w:r>
    </w:p>
    <w:p>
      <w:pPr/>
      <w:r>
        <w:rPr>
          <w:lang w:val="en_US" w:bidi="en_US"/>
        </w:rPr>
      </w:r>
      <w:r>
        <w:rPr>
          <w:b/>
          <w:lang w:val="en_US" w:bidi="en_US"/>
        </w:rPr>
        <w:t>sneered at Him:</w:t>
      </w:r>
      <w:r>
        <w:rPr>
          <w:lang w:val="en_US" w:bidi="en_US"/>
        </w:rPr>
        <w:t xml:space="preserve"> The Greek word that the BSB translates as </w:t>
      </w:r>
      <w:r>
        <w:rPr>
          <w:i/>
          <w:lang w:val="en_US" w:bidi="en_US"/>
        </w:rPr>
        <w:t>sneered at</w:t>
      </w:r>
      <w:r>
        <w:rPr>
          <w:lang w:val="en_US" w:bidi="en_US"/>
        </w:rPr>
        <w:t xml:space="preserve"> means “to ridicule” someone, especially in a way that shows contempt for the person. Some other ways to translate </w:t>
      </w:r>
      <w:r>
        <w:rPr>
          <w:i/>
          <w:lang w:val="en_US" w:bidi="en_US"/>
        </w:rPr>
        <w:t>sneered at Him</w:t>
      </w:r>
      <w:r>
        <w:rPr>
          <w:lang w:val="en_US" w:bidi="en_US"/>
        </w:rPr>
        <w:t xml:space="preserve"> are:</w:t>
      </w:r>
    </w:p>
    <w:p>
      <w:pPr/>
      <w:r>
        <w:rPr>
          <w:lang w:val="en_US" w:bidi="en_US"/>
        </w:rPr>
      </w:r>
      <w:r>
        <w:rPr>
          <w:lang w:val="en_US" w:bidi="en_US"/>
        </w:rPr>
        <w:t>scoffed at him (RSV)</w:t>
      </w:r>
    </w:p>
    <w:p>
      <w:pPr/>
      <w:r>
        <w:rPr>
          <w:lang w:val="en_US" w:bidi="en_US"/>
        </w:rPr>
      </w:r>
      <w:r>
        <w:rPr>
          <w:lang w:val="en_US" w:bidi="en_US"/>
        </w:rPr>
        <w:t>ridiculed him (NET)</w:t>
      </w:r>
    </w:p>
    <w:p>
      <w:pPr/>
      <w:r>
        <w:rPr>
          <w:lang w:val="en_US" w:bidi="en_US"/>
        </w:rPr>
      </w:r>
      <w:r>
        <w:rPr>
          <w:lang w:val="en_US" w:bidi="en_US"/>
        </w:rPr>
        <w:t>insulted him (CEV)</w:t>
      </w:r>
    </w:p>
    <w:p>
      <w:pPr/>
      <w:r>
        <w:rPr>
          <w:lang w:val="en_US" w:bidi="en_US"/>
        </w:rPr>
      </w:r>
      <w:r>
        <w:rPr>
          <w:lang w:val="en_US" w:bidi="en_US"/>
        </w:rPr>
        <w:t xml:space="preserve">A related form of the Greek word for </w:t>
      </w:r>
      <w:r>
        <w:rPr>
          <w:i/>
          <w:lang w:val="en_US" w:bidi="en_US"/>
        </w:rPr>
        <w:t>sneered</w:t>
      </w:r>
      <w:r>
        <w:rPr>
          <w:lang w:val="en_US" w:bidi="en_US"/>
        </w:rPr>
        <w:t xml:space="preserve"> refers to using the nose to ridicule someone. In other languages there may be a different gesture or idiom that is used to express ridicule.</w:t>
      </w:r>
      <w:r>
        <w:rPr>
          <w:lang w:val="en_US" w:bidi="en_US"/>
        </w:rPr>
        <w:t xml:space="preserve">The Greek word is </w:t>
      </w:r>
      <w:r>
        <w:rPr>
          <w:i/>
          <w:lang w:val="en_US" w:bidi="en_US"/>
        </w:rPr>
        <w:t>ἐκμυκτηρίζω</w:t>
      </w:r>
      <w:r>
        <w:rPr>
          <w:lang w:val="en_US" w:bidi="en_US"/>
        </w:rPr>
        <w:t xml:space="preserve">. BDAG (p. 307) indicates that “the simplex </w:t>
      </w:r>
      <w:r>
        <w:rPr>
          <w:i/>
          <w:lang w:val="en_US" w:bidi="en_US"/>
        </w:rPr>
        <w:t>μυκτηρίζω</w:t>
      </w:r>
      <w:r>
        <w:rPr>
          <w:lang w:val="en_US" w:bidi="en_US"/>
        </w:rPr>
        <w:t xml:space="preserve"> [fr. </w:t>
      </w:r>
      <w:r>
        <w:rPr>
          <w:i/>
          <w:lang w:val="en_US" w:bidi="en_US"/>
        </w:rPr>
        <w:t>μυκτήρ</w:t>
      </w:r>
      <w:r>
        <w:rPr>
          <w:lang w:val="en_US" w:bidi="en_US"/>
        </w:rPr>
        <w:t xml:space="preserve"> ‘nostril’] refers to using the nose as a means to ridicule.“</w:t>
      </w:r>
      <w:r>
        <w:rPr>
          <w:lang w:val="en_US" w:bidi="en_US"/>
        </w:rPr>
        <w:t xml:space="preserve"> Translate the phrase </w:t>
      </w:r>
      <w:r>
        <w:rPr>
          <w:i/>
          <w:lang w:val="en_US" w:bidi="en_US"/>
        </w:rPr>
        <w:t>sneered at Him</w:t>
      </w:r>
      <w:r>
        <w:rPr>
          <w:lang w:val="en_US" w:bidi="en_US"/>
        </w:rPr>
        <w:t xml:space="preserve"> in a way that is natural in your language. Some English examples are:</w:t>
      </w:r>
    </w:p>
    <w:p>
      <w:pPr/>
      <w:r>
        <w:rPr>
          <w:lang w:val="en_US" w:bidi="en_US"/>
        </w:rPr>
      </w:r>
      <w:r>
        <w:rPr>
          <w:lang w:val="en_US" w:bidi="en_US"/>
        </w:rPr>
        <w:t>made fun of Jesus (NCV)</w:t>
      </w:r>
    </w:p>
    <w:p>
      <w:pPr/>
      <w:r>
        <w:rPr>
          <w:lang w:val="en_US" w:bidi="en_US"/>
        </w:rPr>
      </w:r>
      <w:r>
        <w:rPr>
          <w:lang w:val="en_US" w:bidi="en_US"/>
        </w:rPr>
        <w:t>turned their noses up at him</w:t>
      </w:r>
    </w:p>
    <w:p>
      <w:pPr/>
      <w:r>
        <w:rPr>
          <w:lang w:val="en_US" w:bidi="en_US"/>
        </w:rPr>
      </w:r>
      <w:r>
        <w:rPr>
          <w:lang w:val="en_US" w:bidi="en_US"/>
        </w:rPr>
        <w:t>The same word was used in 16:14, where the BSB translates it as “scoffing.” See how you translated it there.</w:t>
      </w:r>
    </w:p>
    <w:p>
      <w:pPr>
        <w:pStyle w:val="Heading5"/>
      </w:pPr>
      <w:r>
        <w:rPr>
          <w:lang w:val="en_US" w:bidi="en_US"/>
        </w:rPr>
        <w:t>23:35c</w:t>
      </w:r>
    </w:p>
    <w:p>
      <w:pPr/>
      <w:r>
        <w:rPr>
          <w:lang w:val="en_US" w:bidi="en_US"/>
        </w:rPr>
      </w:r>
      <w:r>
        <w:rPr>
          <w:b/>
          <w:lang w:val="en_US" w:bidi="en_US"/>
        </w:rPr>
        <w:t>saying, “He saved others;</w:t>
      </w:r>
    </w:p>
    <w:p>
      <w:pPr>
        <w:pStyle w:val="ListBullet"/>
        <w:spacing w:line="240" w:lineRule="auto"/>
        <w:ind w:left="720"/>
      </w:pPr>
      <w:r>
        <w:rPr>
          <w:lang w:val="en_US" w:bidi="en_US"/>
        </w:rPr>
      </w:r>
      <w:r>
        <w:rPr>
          <w:lang w:val="en_US" w:bidi="en_US"/>
        </w:rPr>
        <w:t>They said, “He saved other people,</w:t>
      </w:r>
    </w:p>
    <w:p>
      <w:pPr>
        <w:pStyle w:val="ListBullet"/>
        <w:spacing w:line="240" w:lineRule="auto"/>
        <w:ind w:left="720"/>
      </w:pPr>
      <w:r>
        <w:rPr>
          <w:lang w:val="en_US" w:bidi="en_US"/>
        </w:rPr>
      </w:r>
      <w:r>
        <w:rPr>
          <w:lang w:val="en_US" w:bidi="en_US"/>
        </w:rPr>
        <w:t xml:space="preserve">saying, “If he </w:t>
      </w:r>
      <w:r>
        <w:rPr>
          <w:lang w:val="en_US" w:bidi="en_US"/>
        </w:rPr>
        <w:t>really</w:t>
      </w:r>
      <w:r>
        <w:rPr>
          <w:lang w:val="en_US" w:bidi="en_US"/>
        </w:rPr>
        <w:t xml:space="preserve"> delivered/rescued other people,</w:t>
      </w:r>
    </w:p>
    <w:p>
      <w:pPr>
        <w:pStyle w:val="Heading5"/>
      </w:pPr>
      <w:r>
        <w:rPr>
          <w:lang w:val="en_US" w:bidi="en_US"/>
        </w:rPr>
        <w:t>23:35d</w:t>
      </w:r>
    </w:p>
    <w:p>
      <w:pPr/>
      <w:r>
        <w:rPr>
          <w:lang w:val="en_US" w:bidi="en_US"/>
        </w:rPr>
      </w:r>
      <w:r>
        <w:rPr>
          <w:b/>
          <w:lang w:val="en_US" w:bidi="en_US"/>
        </w:rPr>
        <w:t>let Him save Himself</w:t>
      </w:r>
    </w:p>
    <w:p>
      <w:pPr>
        <w:pStyle w:val="ListBullet"/>
        <w:spacing w:line="240" w:lineRule="auto"/>
        <w:ind w:left="720"/>
      </w:pPr>
      <w:r>
        <w:rPr>
          <w:lang w:val="en_US" w:bidi="en_US"/>
        </w:rPr>
      </w:r>
      <w:r>
        <w:rPr>
          <w:lang w:val="en_US" w:bidi="en_US"/>
        </w:rPr>
        <w:t>so why does he not save himself? He should save himself</w:t>
      </w:r>
    </w:p>
    <w:p>
      <w:pPr>
        <w:pStyle w:val="ListBullet"/>
        <w:spacing w:line="240" w:lineRule="auto"/>
        <w:ind w:left="720"/>
      </w:pPr>
      <w:r>
        <w:rPr>
          <w:lang w:val="en_US" w:bidi="en_US"/>
        </w:rPr>
      </w:r>
      <w:r>
        <w:rPr>
          <w:lang w:val="en_US" w:bidi="en_US"/>
        </w:rPr>
        <w:t>he should deliver/rescue himself now</w:t>
      </w:r>
    </w:p>
    <w:p>
      <w:pPr>
        <w:pStyle w:val="ListBullet"/>
        <w:spacing w:line="240" w:lineRule="auto"/>
        <w:ind w:left="720"/>
      </w:pPr>
      <w:r>
        <w:rPr>
          <w:lang w:val="en_US" w:bidi="en_US"/>
        </w:rPr>
      </w:r>
      <w:r>
        <w:rPr>
          <w:lang w:val="en_US" w:bidi="en_US"/>
        </w:rPr>
        <w:t>why does he not rescue himself</w:t>
      </w:r>
    </w:p>
    <w:p>
      <w:pPr>
        <w:pStyle w:val="Heading5"/>
      </w:pPr>
      <w:r>
        <w:rPr>
          <w:lang w:val="en_US" w:bidi="en_US"/>
        </w:rPr>
        <w:t>23:35c–d</w:t>
      </w:r>
    </w:p>
    <w:p>
      <w:pPr/>
      <w:r>
        <w:rPr>
          <w:lang w:val="en_US" w:bidi="en_US"/>
        </w:rPr>
      </w:r>
      <w:r>
        <w:rPr>
          <w:b/>
          <w:lang w:val="en_US" w:bidi="en_US"/>
        </w:rPr>
        <w:t>saying:</w:t>
      </w:r>
      <w:r>
        <w:rPr>
          <w:lang w:val="en_US" w:bidi="en_US"/>
        </w:rPr>
        <w:t xml:space="preserve"> The Greek word that the BSB literally translates as </w:t>
      </w:r>
      <w:r>
        <w:rPr>
          <w:i/>
          <w:lang w:val="en_US" w:bidi="en_US"/>
        </w:rPr>
        <w:t>saying</w:t>
      </w:r>
      <w:r>
        <w:rPr>
          <w:lang w:val="en_US" w:bidi="en_US"/>
        </w:rPr>
        <w:t xml:space="preserve"> introduces what the rulers said to ridicule Jesus.</w:t>
      </w:r>
    </w:p>
    <w:p>
      <w:pPr/>
      <w:r>
        <w:rPr>
          <w:lang w:val="en_US" w:bidi="en_US"/>
        </w:rPr>
      </w:r>
      <w:r>
        <w:rPr>
          <w:b/>
          <w:lang w:val="en_US" w:bidi="en_US"/>
        </w:rPr>
        <w:t>He saved others; let Him save Himself:</w:t>
      </w:r>
      <w:r>
        <w:rPr>
          <w:lang w:val="en_US" w:bidi="en_US"/>
        </w:rPr>
        <w:t xml:space="preserve"> The Greek verb that the BSB translates as </w:t>
      </w:r>
      <w:r>
        <w:rPr>
          <w:i/>
          <w:lang w:val="en_US" w:bidi="en_US"/>
        </w:rPr>
        <w:t>saved</w:t>
      </w:r>
      <w:r>
        <w:rPr>
          <w:lang w:val="en_US" w:bidi="en_US"/>
        </w:rPr>
        <w:t xml:space="preserve"> and </w:t>
      </w:r>
      <w:r>
        <w:rPr>
          <w:i/>
          <w:lang w:val="en_US" w:bidi="en_US"/>
        </w:rPr>
        <w:t>save</w:t>
      </w:r>
      <w:r>
        <w:rPr>
          <w:lang w:val="en_US" w:bidi="en_US"/>
        </w:rPr>
        <w:t xml:space="preserve"> means “rescue.” It can refer to rescuing people from different situations, including disease, danger, demons, and death.</w:t>
      </w:r>
    </w:p>
    <w:p>
      <w:pPr/>
      <w:r>
        <w:rPr>
          <w:lang w:val="en_US" w:bidi="en_US"/>
        </w:rPr>
      </w:r>
      <w:r>
        <w:rPr>
          <w:lang w:val="en_US" w:bidi="en_US"/>
        </w:rPr>
        <w:t>In this context the rulers implied that if Jesus was able to use his power to rescue other people, he should also use that power to rescue himself from dying on the cross. Since they were mocking him, they may not have believed that he really saved others. Some other ways to translate this mocking are:</w:t>
      </w:r>
    </w:p>
    <w:p>
      <w:pPr/>
      <w:r>
        <w:rPr>
          <w:lang w:val="en_US" w:bidi="en_US"/>
        </w:rPr>
      </w:r>
      <w:r>
        <w:rPr>
          <w:lang w:val="en_US" w:bidi="en_US"/>
        </w:rPr>
        <w:t>He helped other people. He should now help himself</w:t>
      </w:r>
      <w:r>
        <w:rPr>
          <w:lang w:val="en_US" w:bidi="en_US"/>
        </w:rPr>
        <w:t>Uma back translation on TW.</w:t>
      </w:r>
    </w:p>
    <w:p>
      <w:pPr/>
      <w:r>
        <w:rPr>
          <w:lang w:val="en_US" w:bidi="en_US"/>
        </w:rPr>
      </w:r>
      <w:r>
        <w:rPr>
          <w:lang w:val="en_US" w:bidi="en_US"/>
        </w:rPr>
        <w:t>If he really saved/rescued other people, let us see him save/rescue himself</w:t>
      </w:r>
    </w:p>
    <w:p>
      <w:pPr/>
      <w:r>
        <w:rPr>
          <w:lang w:val="en_US" w:bidi="en_US"/>
        </w:rPr>
      </w:r>
      <w:r>
        <w:rPr>
          <w:lang w:val="en_US" w:bidi="en_US"/>
        </w:rPr>
        <w:t xml:space="preserve">For more information about the meaning of the verb </w:t>
      </w:r>
      <w:r>
        <w:rPr>
          <w:i/>
          <w:lang w:val="en_US" w:bidi="en_US"/>
        </w:rPr>
        <w:t>save</w:t>
      </w:r>
      <w:r>
        <w:rPr>
          <w:lang w:val="en_US" w:bidi="en_US"/>
        </w:rPr>
        <w:t>, see save, Meaning 1, in the Glossary.</w:t>
      </w:r>
    </w:p>
    <w:p>
      <w:pPr/>
      <w:r>
        <w:rPr>
          <w:lang w:val="en_US" w:bidi="en_US"/>
        </w:rPr>
      </w:r>
      <w:r>
        <w:rPr>
          <w:b/>
          <w:lang w:val="en_US" w:bidi="en_US"/>
        </w:rPr>
        <w:t>let Him save Himself:</w:t>
      </w:r>
      <w:r>
        <w:rPr>
          <w:lang w:val="en_US" w:bidi="en_US"/>
        </w:rPr>
        <w:t xml:space="preserve"> The rulers were mocking Jesus here. They did not believe that Jesus could save himself from dying on the cross, and they were glad about it. In your translation, make sure that it is clear that the rulers were mocking Jesus. They did not really want him to save himself. They were happy that he was going to die.</w:t>
      </w:r>
    </w:p>
    <w:p>
      <w:pPr>
        <w:pStyle w:val="Heading5"/>
      </w:pPr>
      <w:r>
        <w:rPr>
          <w:lang w:val="en_US" w:bidi="en_US"/>
        </w:rPr>
        <w:t>23:35e</w:t>
      </w:r>
    </w:p>
    <w:p>
      <w:pPr/>
      <w:r>
        <w:rPr>
          <w:lang w:val="en_US" w:bidi="en_US"/>
        </w:rPr>
      </w:r>
      <w:r>
        <w:rPr>
          <w:b/>
          <w:lang w:val="en_US" w:bidi="en_US"/>
        </w:rPr>
        <w:t>if He is the Christ of God, the Chosen One.”</w:t>
      </w:r>
    </w:p>
    <w:p>
      <w:pPr>
        <w:pStyle w:val="ListBullet"/>
        <w:spacing w:line="240" w:lineRule="auto"/>
        <w:ind w:left="720"/>
      </w:pPr>
      <w:r>
        <w:rPr>
          <w:lang w:val="en_US" w:bidi="en_US"/>
        </w:rPr>
      </w:r>
      <w:r>
        <w:rPr>
          <w:lang w:val="en_US" w:bidi="en_US"/>
        </w:rPr>
        <w:t>if he is the Messiah, the Chosen One of God.”</w:t>
      </w:r>
    </w:p>
    <w:p>
      <w:pPr>
        <w:pStyle w:val="ListBullet"/>
        <w:spacing w:line="240" w:lineRule="auto"/>
        <w:ind w:left="720"/>
      </w:pPr>
      <w:r>
        <w:rPr>
          <w:lang w:val="en_US" w:bidi="en_US"/>
        </w:rPr>
      </w:r>
      <w:r>
        <w:rPr>
          <w:lang w:val="en_US" w:bidi="en_US"/>
        </w:rPr>
        <w:t>and prove that he is the one whom God chose to be our</w:t>
      </w:r>
      <w:r>
        <w:rPr>
          <w:vertAlign w:val="superscript"/>
          <w:lang w:val="en_US" w:bidi="en_US"/>
        </w:rPr>
        <w:t>(incl)</w:t>
      </w:r>
      <w:r>
        <w:rPr>
          <w:lang w:val="en_US" w:bidi="en_US"/>
        </w:rPr>
        <w:t xml:space="preserve"> Savior King!”</w:t>
      </w:r>
    </w:p>
    <w:p>
      <w:pPr/>
      <w:r>
        <w:rPr>
          <w:lang w:val="en_US" w:bidi="en_US"/>
        </w:rPr>
      </w:r>
      <w:r>
        <w:rPr>
          <w:b/>
          <w:lang w:val="en_US" w:bidi="en_US"/>
        </w:rPr>
        <w:t>if He is the Christ of God:</w:t>
      </w:r>
      <w:r>
        <w:rPr>
          <w:lang w:val="en_US" w:bidi="en_US"/>
        </w:rPr>
        <w:t xml:space="preserve"> This condition implies that if Jesus was really the Christ sent by God, he should be able to save himself. It also implies that if Jesus did not save himself, it would prove that he was not the Christ. This clause is part of the way that the rulers were mocking Jesus. It implies that they did not believe that he is the Christ of God. Another way to translate this is:</w:t>
      </w:r>
    </w:p>
    <w:p>
      <w:pPr/>
      <w:r>
        <w:rPr>
          <w:lang w:val="en_US" w:bidi="en_US"/>
        </w:rPr>
      </w:r>
      <w:r>
        <w:rPr>
          <w:lang w:val="en_US" w:bidi="en_US"/>
        </w:rPr>
        <w:t>if he is really God’s Messiah (NLT)</w:t>
      </w:r>
    </w:p>
    <w:p>
      <w:pPr/>
      <w:r>
        <w:rPr>
          <w:lang w:val="en_US" w:bidi="en_US"/>
        </w:rPr>
      </w:r>
      <w:r>
        <w:rPr>
          <w:lang w:val="en_US" w:bidi="en_US"/>
        </w:rPr>
        <w:t>Translate this mocking in a natural way in your language.</w:t>
      </w:r>
    </w:p>
    <w:p>
      <w:pPr/>
      <w:r>
        <w:rPr>
          <w:lang w:val="en_US" w:bidi="en_US"/>
        </w:rPr>
      </w:r>
      <w:r>
        <w:rPr>
          <w:b/>
          <w:lang w:val="en_US" w:bidi="en_US"/>
        </w:rPr>
        <w:t>the Christ of God, the Chosen One:</w:t>
      </w:r>
      <w:r>
        <w:rPr>
          <w:lang w:val="en_US" w:bidi="en_US"/>
        </w:rPr>
        <w:t xml:space="preserve"> The phrase </w:t>
      </w:r>
      <w:r>
        <w:rPr>
          <w:i/>
          <w:lang w:val="en_US" w:bidi="en_US"/>
        </w:rPr>
        <w:t>the Christ of God, the Chosen One</w:t>
      </w:r>
      <w:r>
        <w:rPr>
          <w:lang w:val="en_US" w:bidi="en_US"/>
        </w:rPr>
        <w:t xml:space="preserve"> refers to the person whom God chose and promised to send as king and savior. The word </w:t>
      </w:r>
      <w:r>
        <w:rPr>
          <w:i/>
          <w:lang w:val="en_US" w:bidi="en_US"/>
        </w:rPr>
        <w:t>Christ</w:t>
      </w:r>
      <w:r>
        <w:rPr>
          <w:lang w:val="en_US" w:bidi="en_US"/>
        </w:rPr>
        <w:t xml:space="preserve"> is the Greek translation of the Hebrew word “Messiah,” and the two words have the same meaning.</w:t>
      </w:r>
    </w:p>
    <w:p>
      <w:pPr/>
      <w:r>
        <w:rPr>
          <w:lang w:val="en_US" w:bidi="en_US"/>
        </w:rPr>
      </w:r>
      <w:r>
        <w:rPr>
          <w:lang w:val="en_US" w:bidi="en_US"/>
        </w:rPr>
        <w:t xml:space="preserve">The title </w:t>
      </w:r>
      <w:r>
        <w:rPr>
          <w:i/>
          <w:lang w:val="en_US" w:bidi="en_US"/>
        </w:rPr>
        <w:t>Christ</w:t>
      </w:r>
      <w:r>
        <w:rPr>
          <w:lang w:val="en_US" w:bidi="en_US"/>
        </w:rPr>
        <w:t xml:space="preserve"> was used in 23:2. See the note on 23:2d for more information on how to translate it. In some languages the phrases </w:t>
      </w:r>
      <w:r>
        <w:rPr>
          <w:i/>
          <w:lang w:val="en_US" w:bidi="en_US"/>
        </w:rPr>
        <w:t>of God</w:t>
      </w:r>
      <w:r>
        <w:rPr>
          <w:lang w:val="en_US" w:bidi="en_US"/>
        </w:rPr>
        <w:t xml:space="preserve"> and </w:t>
      </w:r>
      <w:r>
        <w:rPr>
          <w:i/>
          <w:lang w:val="en_US" w:bidi="en_US"/>
        </w:rPr>
        <w:t>the Chosen One</w:t>
      </w:r>
      <w:r>
        <w:rPr>
          <w:lang w:val="en_US" w:bidi="en_US"/>
        </w:rPr>
        <w:t xml:space="preserve"> may already be included in the translation of the word Christ. You should translate the whole phrase in a natural way in your language.</w:t>
      </w:r>
      <w:r>
        <w:rPr>
          <w:lang w:val="en_US" w:bidi="en_US"/>
        </w:rPr>
        <w:t>Scholars have questioned whether the phrase “of God” goes with the word “Christ” or with the phrase “the Chosen One.” Semantically, it goes with both “Christ” and “the Chosen One,” as Marshall (p. 869) says.</w:t>
      </w:r>
      <w:r>
        <w:rPr>
          <w:lang w:val="en_US" w:bidi="en_US"/>
        </w:rPr>
        <w:t xml:space="preserve"> Some other ways to translate it are:</w:t>
      </w:r>
    </w:p>
    <w:p>
      <w:pPr/>
      <w:r>
        <w:rPr>
          <w:lang w:val="en_US" w:bidi="en_US"/>
        </w:rPr>
      </w:r>
      <w:r>
        <w:rPr>
          <w:lang w:val="en_US" w:bidi="en_US"/>
        </w:rPr>
        <w:t>the Messiah that God has chosen (GW)</w:t>
      </w:r>
    </w:p>
    <w:p>
      <w:pPr/>
      <w:r>
        <w:rPr>
          <w:lang w:val="en_US" w:bidi="en_US"/>
        </w:rPr>
      </w:r>
      <w:r>
        <w:rPr>
          <w:lang w:val="en_US" w:bidi="en_US"/>
        </w:rPr>
        <w:t>the One whom God chose to deliver/save us</w:t>
      </w:r>
    </w:p>
    <w:p>
      <w:pPr/>
      <w:r>
        <w:rPr>
          <w:lang w:val="en_US" w:bidi="en_US"/>
        </w:rPr>
      </w:r>
      <w:r>
        <w:rPr>
          <w:lang w:val="en_US" w:bidi="en_US"/>
        </w:rPr>
        <w:t>the Redeemer King chosen by God</w:t>
      </w:r>
      <w:r>
        <w:rPr>
          <w:lang w:val="en_US" w:bidi="en_US"/>
        </w:rPr>
        <w:t>Uma back translation on TW.</w:t>
      </w:r>
    </w:p>
    <w:p>
      <w:pPr/>
      <w:r>
        <w:rPr>
          <w:lang w:val="en_US" w:bidi="en_US"/>
        </w:rPr>
      </w:r>
      <w:r>
        <w:rPr>
          <w:lang w:val="en_US" w:bidi="en_US"/>
        </w:rPr>
        <w:t>For more information, see Christ in the Glossary.</w:t>
      </w:r>
    </w:p>
    <w:p>
      <w:pPr>
        <w:pStyle w:val="Heading6"/>
      </w:pPr>
      <w:r>
        <w:rPr>
          <w:b/>
          <w:lang w:val="en_US" w:bidi="en_US"/>
        </w:rPr>
        <w:t>General Comment on 23:35c–e</w:t>
      </w:r>
    </w:p>
    <w:p>
      <w:pPr/>
      <w:r>
        <w:rPr>
          <w:lang w:val="en_US" w:bidi="en_US"/>
        </w:rPr>
      </w:r>
      <w:r>
        <w:rPr>
          <w:lang w:val="en_US" w:bidi="en_US"/>
        </w:rPr>
        <w:t>In some languages it may be necessary to reorder 23:35c–e. For example:</w:t>
      </w:r>
    </w:p>
    <w:p>
      <w:pPr/>
      <w:r>
        <w:rPr>
          <w:lang w:val="en_US" w:bidi="en_US"/>
        </w:rPr>
      </w:r>
      <w:r>
        <w:rPr>
          <w:vertAlign w:val="superscript"/>
          <w:lang w:val="en_US" w:bidi="en_US"/>
        </w:rPr>
        <w:t>35c</w:t>
      </w:r>
      <w:r>
        <w:rPr>
          <w:lang w:val="en_US" w:bidi="en_US"/>
        </w:rPr>
        <w:t xml:space="preserve">He saved others. </w:t>
      </w:r>
      <w:r>
        <w:rPr>
          <w:vertAlign w:val="superscript"/>
          <w:lang w:val="en_US" w:bidi="en_US"/>
        </w:rPr>
        <w:t>35e</w:t>
      </w:r>
      <w:r>
        <w:rPr>
          <w:lang w:val="en_US" w:bidi="en_US"/>
        </w:rPr>
        <w:t xml:space="preserve">So if he is really the Christ of God, the Chosen One, </w:t>
      </w:r>
      <w:r>
        <w:rPr>
          <w:vertAlign w:val="superscript"/>
          <w:lang w:val="en_US" w:bidi="en_US"/>
        </w:rPr>
        <w:t>35d</w:t>
      </w:r>
      <w:r>
        <w:rPr>
          <w:lang w:val="en_US" w:bidi="en_US"/>
        </w:rPr>
        <w:t xml:space="preserve">he should </w:t>
      </w:r>
      <w:r>
        <w:rPr>
          <w:lang w:val="en_US" w:bidi="en_US"/>
        </w:rPr>
        <w:t>be able to</w:t>
      </w:r>
      <w:r>
        <w:rPr>
          <w:lang w:val="en_US" w:bidi="en_US"/>
        </w:rPr>
        <w:t xml:space="preserve"> save himself!</w:t>
      </w:r>
    </w:p>
    <w:p>
      <w:pPr/>
      <w:r>
        <w:rPr>
          <w:lang w:val="en_US" w:bidi="en_US"/>
        </w:rPr>
      </w:r>
      <w:r>
        <w:rPr>
          <w:lang w:val="en_US" w:bidi="en_US"/>
        </w:rPr>
        <w:t>In some languages it may be natural to express the mockery with a rhetorical question. For example:</w:t>
      </w:r>
    </w:p>
    <w:p>
      <w:pPr/>
      <w:r>
        <w:rPr>
          <w:lang w:val="en_US" w:bidi="en_US"/>
        </w:rPr>
      </w:r>
      <w:r>
        <w:rPr>
          <w:lang w:val="en_US" w:bidi="en_US"/>
        </w:rPr>
        <w:t>He rescued others, so why doesn’t he rescue himself? That will prove that he really is the Savior King that God chose for us!</w:t>
      </w:r>
      <w:r>
        <w:rPr>
          <w:lang w:val="en_US" w:bidi="en_US"/>
        </w:rPr>
      </w:r>
      <w:r>
        <w:rPr>
          <w:lang w:val="en_US" w:bidi="en_US"/>
        </w:rPr>
      </w:r>
    </w:p>
    <w:p>
      <w:pPr/>
      <w:r>
        <w:rPr>
          <w:lang w:val="en_US" w:bidi="en_US"/>
        </w:rPr>
      </w:r>
    </w:p>
    <w:p>
      <w:pPr>
        <w:pStyle w:val="Heading2"/>
      </w:pPr>
      <w:r>
        <w:rPr>
          <w:lang w:val="en_US" w:bidi="en_US"/>
        </w:rPr>
        <w:t>Luke 23:36</w:t>
      </w:r>
      <w:r>
        <w:rPr>
          <w:lang w:val="en_US" w:bidi="en_US"/>
        </w:rPr>
      </w:r>
    </w:p>
    <w:p>
      <w:pPr>
        <w:pStyle w:val="Heading4"/>
      </w:pPr>
      <w:r>
        <w:rPr>
          <w:lang w:val="en_US" w:bidi="en_US"/>
        </w:rPr>
        <w:t>Section 23:26–43: Soldiers nailed Jesus to a cross</w:t>
      </w:r>
    </w:p>
    <w:p>
      <w:pPr/>
      <w:r>
        <w:rPr>
          <w:lang w:val="en_US" w:bidi="en_US"/>
        </w:rPr>
      </w:r>
      <w:r>
        <w:rPr>
          <w:lang w:val="en_US" w:bidi="en_US"/>
        </w:rP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pPr/>
      <w:r>
        <w:rPr>
          <w:lang w:val="en_US" w:bidi="en_US"/>
        </w:rPr>
      </w:r>
      <w:r>
        <w:rPr>
          <w:lang w:val="en_US" w:bidi="en_US"/>
        </w:rPr>
        <w:t>Other examples of headings for this section are:</w:t>
      </w:r>
    </w:p>
    <w:p>
      <w:pPr/>
      <w:r>
        <w:rPr>
          <w:lang w:val="en_US" w:bidi="en_US"/>
        </w:rPr>
      </w:r>
      <w:r>
        <w:rPr>
          <w:lang w:val="en_US" w:bidi="en_US"/>
        </w:rPr>
        <w:t>The Crucifixion (NIV)</w:t>
      </w:r>
    </w:p>
    <w:p>
      <w:pPr/>
      <w:r>
        <w:rPr>
          <w:lang w:val="en_US" w:bidi="en_US"/>
        </w:rPr>
      </w:r>
      <w:r>
        <w:rPr>
          <w:lang w:val="en_US" w:bidi="en_US"/>
        </w:rPr>
        <w:t>Jesus Is Nailed to a Cross (CEV)</w:t>
      </w:r>
    </w:p>
    <w:p>
      <w:pPr/>
      <w:r>
        <w:rPr>
          <w:lang w:val="en_US" w:bidi="en_US"/>
        </w:rPr>
      </w:r>
      <w:r>
        <w:rPr>
          <w:lang w:val="en_US" w:bidi="en_US"/>
        </w:rPr>
        <w:t>Roman soldiers nailed Jesus to a cross</w:t>
      </w:r>
    </w:p>
    <w:p>
      <w:pPr/>
      <w:r>
        <w:rPr>
          <w:lang w:val="en_US" w:bidi="en_US"/>
        </w:rPr>
      </w:r>
      <w:r>
        <w:rPr>
          <w:lang w:val="en_US" w:bidi="en_US"/>
        </w:rPr>
        <w:t>There are parallel passages for this section in Matthew 27:31–44, Mark 15:21–32, and John 19:17–27.</w:t>
      </w:r>
    </w:p>
    <w:p>
      <w:pPr>
        <w:pStyle w:val="Heading5"/>
      </w:pPr>
      <w:r>
        <w:rPr>
          <w:lang w:val="en_US" w:bidi="en_US"/>
        </w:rPr>
        <w:t>23:36a</w:t>
      </w:r>
    </w:p>
    <w:p>
      <w:pPr/>
      <w:r>
        <w:rPr>
          <w:lang w:val="en_US" w:bidi="en_US"/>
        </w:rPr>
      </w:r>
      <w:r>
        <w:rPr>
          <w:b/>
          <w:lang w:val="en_US" w:bidi="en_US"/>
        </w:rPr>
        <w:t>The soldiers also mocked Him and came up</w:t>
      </w:r>
    </w:p>
    <w:p>
      <w:pPr>
        <w:pStyle w:val="ListBullet"/>
        <w:spacing w:line="240" w:lineRule="auto"/>
        <w:ind w:left="720"/>
      </w:pPr>
      <w:r>
        <w:rPr>
          <w:lang w:val="en_US" w:bidi="en_US"/>
        </w:rPr>
      </w:r>
      <w:r>
        <w:rPr>
          <w:lang w:val="en_US" w:bidi="en_US"/>
        </w:rPr>
        <w:t>The soldiers also mocked/ridiculed Jesus, coming close to him</w:t>
      </w:r>
    </w:p>
    <w:p>
      <w:pPr>
        <w:pStyle w:val="ListBullet"/>
        <w:spacing w:line="240" w:lineRule="auto"/>
        <w:ind w:left="720"/>
      </w:pPr>
      <w:r>
        <w:rPr>
          <w:lang w:val="en_US" w:bidi="en_US"/>
        </w:rPr>
      </w:r>
      <w:r>
        <w:rPr>
          <w:lang w:val="en_US" w:bidi="en_US"/>
        </w:rPr>
        <w:t>The soldiers also made fun of Jesus. They brought</w:t>
      </w:r>
    </w:p>
    <w:p>
      <w:pPr/>
      <w:r>
        <w:rPr>
          <w:lang w:val="en_US" w:bidi="en_US"/>
        </w:rPr>
      </w:r>
      <w:r>
        <w:rPr>
          <w:b/>
          <w:lang w:val="en_US" w:bidi="en_US"/>
        </w:rPr>
        <w:t>The soldiers also mocked Him and came up:</w:t>
      </w:r>
      <w:r>
        <w:rPr>
          <w:lang w:val="en_US" w:bidi="en_US"/>
        </w:rPr>
        <w:t xml:space="preserve"> In Greek this clause is more literally, “And the soldiers also ridiculed him, approaching.” It indicates that the soldiers also mocked Jesus, as the leaders did in 23:35. The phrase </w:t>
      </w:r>
      <w:r>
        <w:rPr>
          <w:i/>
          <w:lang w:val="en_US" w:bidi="en_US"/>
        </w:rPr>
        <w:t>came up</w:t>
      </w:r>
      <w:r>
        <w:rPr>
          <w:lang w:val="en_US" w:bidi="en_US"/>
        </w:rPr>
        <w:t xml:space="preserve"> means “came to, approached.” It indicates that they came to Jesus. Several English versions supply the word </w:t>
      </w:r>
      <w:r>
        <w:rPr>
          <w:i/>
          <w:lang w:val="en_US" w:bidi="en_US"/>
        </w:rPr>
        <w:t>up</w:t>
      </w:r>
      <w:r>
        <w:rPr>
          <w:lang w:val="en_US" w:bidi="en_US"/>
        </w:rPr>
        <w:t xml:space="preserve"> because it is natural here in English.</w:t>
      </w:r>
    </w:p>
    <w:p>
      <w:pPr/>
      <w:r>
        <w:rPr>
          <w:lang w:val="en_US" w:bidi="en_US"/>
        </w:rPr>
      </w:r>
      <w:r>
        <w:rPr>
          <w:lang w:val="en_US" w:bidi="en_US"/>
        </w:rPr>
        <w:t>Some other ways to translate this clause are:</w:t>
      </w:r>
    </w:p>
    <w:p>
      <w:pPr/>
      <w:r>
        <w:rPr>
          <w:lang w:val="en_US" w:bidi="en_US"/>
        </w:rPr>
      </w:r>
      <w:r>
        <w:rPr>
          <w:lang w:val="en_US" w:bidi="en_US"/>
        </w:rPr>
        <w:t>And the soldiers also mocked him, coming to him (KJV)</w:t>
      </w:r>
    </w:p>
    <w:p>
      <w:pPr/>
      <w:r>
        <w:rPr>
          <w:lang w:val="en_US" w:bidi="en_US"/>
        </w:rPr>
      </w:r>
      <w:r>
        <w:rPr>
          <w:lang w:val="en_US" w:bidi="en_US"/>
        </w:rPr>
        <w:t>The soldiers also made fun of him. They approached</w:t>
      </w:r>
      <w:r>
        <w:rPr>
          <w:lang w:val="en_US" w:bidi="en_US"/>
        </w:rPr>
        <w:t>Kankanaey back translation on TW.</w:t>
      </w:r>
    </w:p>
    <w:p>
      <w:pPr/>
      <w:r>
        <w:rPr>
          <w:lang w:val="en_US" w:bidi="en_US"/>
        </w:rPr>
      </w:r>
      <w:r>
        <w:rPr>
          <w:lang w:val="en_US" w:bidi="en_US"/>
        </w:rPr>
        <w:t>The soldiers joined in the mockery and came forward (REB)</w:t>
      </w:r>
    </w:p>
    <w:p>
      <w:pPr/>
      <w:r>
        <w:rPr>
          <w:lang w:val="en_US" w:bidi="en_US"/>
        </w:rPr>
      </w:r>
      <w:r>
        <w:rPr>
          <w:b/>
          <w:lang w:val="en_US" w:bidi="en_US"/>
        </w:rPr>
        <w:t>mocked:</w:t>
      </w:r>
      <w:r>
        <w:rPr>
          <w:lang w:val="en_US" w:bidi="en_US"/>
        </w:rPr>
        <w:t xml:space="preserve"> The word </w:t>
      </w:r>
      <w:r>
        <w:rPr>
          <w:i/>
          <w:lang w:val="en_US" w:bidi="en_US"/>
        </w:rPr>
        <w:t>mocked</w:t>
      </w:r>
      <w:r>
        <w:rPr>
          <w:lang w:val="en_US" w:bidi="en_US"/>
        </w:rPr>
        <w:t xml:space="preserve"> indicates that they ridiculed Jesus. They insulted him with both words and actions. Some other ways to translate this word are:</w:t>
      </w:r>
    </w:p>
    <w:p>
      <w:pPr/>
      <w:r>
        <w:rPr>
          <w:lang w:val="en_US" w:bidi="en_US"/>
        </w:rPr>
      </w:r>
      <w:r>
        <w:rPr>
          <w:lang w:val="en_US" w:bidi="en_US"/>
        </w:rPr>
        <w:t>ridiculed him</w:t>
      </w:r>
    </w:p>
    <w:p>
      <w:pPr/>
      <w:r>
        <w:rPr>
          <w:lang w:val="en_US" w:bidi="en_US"/>
        </w:rPr>
      </w:r>
      <w:r>
        <w:rPr>
          <w:lang w:val="en_US" w:bidi="en_US"/>
        </w:rPr>
        <w:t>made fun of him (GW)</w:t>
      </w:r>
    </w:p>
    <w:p>
      <w:pPr/>
      <w:r>
        <w:rPr>
          <w:lang w:val="en_US" w:bidi="en_US"/>
        </w:rPr>
      </w:r>
      <w:r>
        <w:rPr>
          <w:lang w:val="en_US" w:bidi="en_US"/>
        </w:rPr>
        <w:t>The same Greek word was used in 22:63b and 23:11b. You can translate it in the same or a similar way here.</w:t>
      </w:r>
    </w:p>
    <w:p>
      <w:pPr>
        <w:pStyle w:val="Heading5"/>
      </w:pPr>
      <w:r>
        <w:rPr>
          <w:lang w:val="en_US" w:bidi="en_US"/>
        </w:rPr>
        <w:t>23:36b</w:t>
      </w:r>
    </w:p>
    <w:p>
      <w:pPr/>
      <w:r>
        <w:rPr>
          <w:lang w:val="en_US" w:bidi="en_US"/>
        </w:rPr>
      </w:r>
      <w:r>
        <w:rPr>
          <w:b/>
          <w:lang w:val="en_US" w:bidi="en_US"/>
        </w:rPr>
        <w:t>to offer Him sour wine.</w:t>
      </w:r>
    </w:p>
    <w:p>
      <w:pPr>
        <w:pStyle w:val="ListBullet"/>
        <w:spacing w:line="240" w:lineRule="auto"/>
        <w:ind w:left="720"/>
      </w:pPr>
      <w:r>
        <w:rPr>
          <w:lang w:val="en_US" w:bidi="en_US"/>
        </w:rPr>
      </w:r>
      <w:r>
        <w:rPr>
          <w:lang w:val="en_US" w:bidi="en_US"/>
        </w:rPr>
        <w:t>and offering him wine/vinegar,</w:t>
      </w:r>
    </w:p>
    <w:p>
      <w:pPr>
        <w:pStyle w:val="ListBullet"/>
        <w:spacing w:line="240" w:lineRule="auto"/>
        <w:ind w:left="720"/>
      </w:pPr>
      <w:r>
        <w:rPr>
          <w:lang w:val="en_US" w:bidi="en_US"/>
        </w:rPr>
      </w:r>
      <w:r>
        <w:rPr>
          <w:lang w:val="en_US" w:bidi="en_US"/>
        </w:rPr>
        <w:t>cheap/sour wine and told him to drink some.</w:t>
      </w:r>
    </w:p>
    <w:p>
      <w:pPr>
        <w:pStyle w:val="ListBullet"/>
        <w:spacing w:line="240" w:lineRule="auto"/>
        <w:ind w:left="720"/>
      </w:pPr>
      <w:r>
        <w:rPr>
          <w:lang w:val="en_US" w:bidi="en_US"/>
        </w:rPr>
      </w:r>
      <w:r>
        <w:rPr>
          <w:lang w:val="en_US" w:bidi="en_US"/>
        </w:rPr>
        <w:t>vinegar and said, “Drink/Take</w:t>
      </w:r>
      <w:r>
        <w:rPr>
          <w:vertAlign w:val="superscript"/>
          <w:lang w:val="en_US" w:bidi="en_US"/>
        </w:rPr>
        <w:t>(sing)</w:t>
      </w:r>
      <w:r>
        <w:rPr>
          <w:lang w:val="en_US" w:bidi="en_US"/>
        </w:rPr>
        <w:t xml:space="preserve"> some </w:t>
      </w:r>
      <w:r>
        <w:rPr>
          <w:lang w:val="en_US" w:bidi="en_US"/>
        </w:rPr>
        <w:t>of this</w:t>
      </w:r>
      <w:r>
        <w:rPr>
          <w:lang w:val="en_US" w:bidi="en_US"/>
        </w:rPr>
        <w:t>!”</w:t>
      </w:r>
    </w:p>
    <w:p>
      <w:pPr/>
      <w:r>
        <w:rPr>
          <w:lang w:val="en_US" w:bidi="en_US"/>
        </w:rPr>
      </w:r>
      <w:r>
        <w:rPr>
          <w:b/>
          <w:lang w:val="en_US" w:bidi="en_US"/>
        </w:rPr>
        <w:t>to offer Him sour wine:</w:t>
      </w:r>
      <w:r>
        <w:rPr>
          <w:lang w:val="en_US" w:bidi="en_US"/>
        </w:rPr>
        <w:t xml:space="preserve"> This clause implies that the soldiers took the wine vinegar to Jesus and offered it to him. It is not clear whether they actually gave it to him. Since his arms were nailed to the cross, he could not reach out and take it. They may have dipped a sponge in the wine vinegar and offered it to him, as one person did in Mark 15.</w:t>
      </w:r>
    </w:p>
    <w:p>
      <w:pPr/>
      <w:r>
        <w:rPr>
          <w:lang w:val="en_US" w:bidi="en_US"/>
        </w:rPr>
      </w:r>
      <w:r>
        <w:rPr>
          <w:lang w:val="en_US" w:bidi="en_US"/>
        </w:rPr>
        <w:t>In this context the soldiers offered Jesus wine vinegar as a way to mock him. Psalm 69:21 says, “For my thirst they gave me vinegar to drink.”</w:t>
      </w:r>
    </w:p>
    <w:p>
      <w:pPr/>
      <w:r>
        <w:rPr>
          <w:lang w:val="en_US" w:bidi="en_US"/>
        </w:rPr>
      </w:r>
      <w:r>
        <w:rPr>
          <w:lang w:val="en_US" w:bidi="en_US"/>
        </w:rPr>
        <w:t>In some languages it may be more natural to use direct speech for the soldiers’ offer. For example:</w:t>
      </w:r>
    </w:p>
    <w:p>
      <w:pPr/>
      <w:r>
        <w:rPr>
          <w:lang w:val="en_US" w:bidi="en_US"/>
        </w:rPr>
      </w:r>
      <w:r>
        <w:rPr>
          <w:lang w:val="en_US" w:bidi="en_US"/>
        </w:rPr>
        <w:t>They brought wine vinegar and said to him, “Drink some.”</w:t>
      </w:r>
    </w:p>
    <w:p>
      <w:pPr/>
      <w:r>
        <w:rPr>
          <w:lang w:val="en_US" w:bidi="en_US"/>
        </w:rPr>
      </w:r>
      <w:r>
        <w:rPr>
          <w:b/>
          <w:lang w:val="en_US" w:bidi="en_US"/>
        </w:rPr>
        <w:t>sour wine:</w:t>
      </w:r>
      <w:r>
        <w:rPr>
          <w:lang w:val="en_US" w:bidi="en_US"/>
        </w:rPr>
        <w:t xml:space="preserve"> Scholars are not sure exactly what this </w:t>
      </w:r>
      <w:r>
        <w:rPr>
          <w:i/>
          <w:lang w:val="en_US" w:bidi="en_US"/>
        </w:rPr>
        <w:t>sour wine</w:t>
      </w:r>
      <w:r>
        <w:rPr>
          <w:lang w:val="en_US" w:bidi="en_US"/>
        </w:rPr>
        <w:t xml:space="preserve"> was. It may have been a cheap sort of sour wine. The term may have referred to a drink made from vinegar, water, and egg. Some ways to translate it here are:</w:t>
      </w:r>
    </w:p>
    <w:p>
      <w:pPr/>
      <w:r>
        <w:rPr>
          <w:lang w:val="en_US" w:bidi="en_US"/>
        </w:rPr>
      </w:r>
      <w:r>
        <w:rPr>
          <w:lang w:val="en_US" w:bidi="en_US"/>
        </w:rPr>
        <w:t>cheap wine (GNT)</w:t>
      </w:r>
    </w:p>
    <w:p>
      <w:pPr/>
      <w:r>
        <w:rPr>
          <w:lang w:val="en_US" w:bidi="en_US"/>
        </w:rPr>
      </w:r>
      <w:r>
        <w:rPr>
          <w:lang w:val="en_US" w:bidi="en_US"/>
        </w:rPr>
        <w:t>sour wine (NLT)</w:t>
      </w:r>
    </w:p>
    <w:p>
      <w:pPr/>
      <w:r>
        <w:rPr>
          <w:lang w:val="en_US" w:bidi="en_US"/>
        </w:rPr>
      </w:r>
      <w:r>
        <w:rPr>
          <w:lang w:val="en_US" w:bidi="en_US"/>
        </w:rPr>
        <w:t>some vinegar (GW)</w:t>
      </w:r>
      <w:r>
        <w:rPr>
          <w:lang w:val="en_US" w:bidi="en_US"/>
        </w:rPr>
      </w:r>
      <w:r>
        <w:rPr>
          <w:lang w:val="en_US" w:bidi="en_US"/>
        </w:rPr>
      </w:r>
    </w:p>
    <w:p>
      <w:pPr/>
      <w:r>
        <w:rPr>
          <w:lang w:val="en_US" w:bidi="en_US"/>
        </w:rPr>
      </w:r>
    </w:p>
    <w:p>
      <w:pPr>
        <w:pStyle w:val="Heading2"/>
      </w:pPr>
      <w:r>
        <w:rPr>
          <w:lang w:val="en_US" w:bidi="en_US"/>
        </w:rPr>
        <w:t>Luke 23:37</w:t>
      </w:r>
      <w:r>
        <w:rPr>
          <w:lang w:val="en_US" w:bidi="en_US"/>
        </w:rPr>
      </w:r>
    </w:p>
    <w:p>
      <w:pPr>
        <w:pStyle w:val="Heading4"/>
      </w:pPr>
      <w:r>
        <w:rPr>
          <w:lang w:val="en_US" w:bidi="en_US"/>
        </w:rPr>
        <w:t>Section 23:26–43: Soldiers nailed Jesus to a cross</w:t>
      </w:r>
    </w:p>
    <w:p>
      <w:pPr/>
      <w:r>
        <w:rPr>
          <w:lang w:val="en_US" w:bidi="en_US"/>
        </w:rPr>
      </w:r>
      <w:r>
        <w:rPr>
          <w:lang w:val="en_US" w:bidi="en_US"/>
        </w:rP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pPr/>
      <w:r>
        <w:rPr>
          <w:lang w:val="en_US" w:bidi="en_US"/>
        </w:rPr>
      </w:r>
      <w:r>
        <w:rPr>
          <w:lang w:val="en_US" w:bidi="en_US"/>
        </w:rPr>
        <w:t>Other examples of headings for this section are:</w:t>
      </w:r>
    </w:p>
    <w:p>
      <w:pPr/>
      <w:r>
        <w:rPr>
          <w:lang w:val="en_US" w:bidi="en_US"/>
        </w:rPr>
      </w:r>
      <w:r>
        <w:rPr>
          <w:lang w:val="en_US" w:bidi="en_US"/>
        </w:rPr>
        <w:t>The Crucifixion (NIV)</w:t>
      </w:r>
    </w:p>
    <w:p>
      <w:pPr/>
      <w:r>
        <w:rPr>
          <w:lang w:val="en_US" w:bidi="en_US"/>
        </w:rPr>
      </w:r>
      <w:r>
        <w:rPr>
          <w:lang w:val="en_US" w:bidi="en_US"/>
        </w:rPr>
        <w:t>Jesus Is Nailed to a Cross (CEV)</w:t>
      </w:r>
    </w:p>
    <w:p>
      <w:pPr/>
      <w:r>
        <w:rPr>
          <w:lang w:val="en_US" w:bidi="en_US"/>
        </w:rPr>
      </w:r>
      <w:r>
        <w:rPr>
          <w:lang w:val="en_US" w:bidi="en_US"/>
        </w:rPr>
        <w:t>Roman soldiers nailed Jesus to a cross</w:t>
      </w:r>
    </w:p>
    <w:p>
      <w:pPr/>
      <w:r>
        <w:rPr>
          <w:lang w:val="en_US" w:bidi="en_US"/>
        </w:rPr>
      </w:r>
      <w:r>
        <w:rPr>
          <w:lang w:val="en_US" w:bidi="en_US"/>
        </w:rPr>
        <w:t>There are parallel passages for this section in Matthew 27:31–44, Mark 15:21–32, and John 19:17–27.</w:t>
      </w:r>
    </w:p>
    <w:p>
      <w:pPr>
        <w:pStyle w:val="Heading5"/>
      </w:pPr>
      <w:r>
        <w:rPr>
          <w:lang w:val="en_US" w:bidi="en_US"/>
        </w:rPr>
        <w:t>23:37</w:t>
      </w:r>
    </w:p>
    <w:p>
      <w:pPr/>
      <w:r>
        <w:rPr>
          <w:lang w:val="en_US" w:bidi="en_US"/>
        </w:rPr>
      </w:r>
      <w:r>
        <w:rPr>
          <w:b/>
          <w:lang w:val="en_US" w:bidi="en_US"/>
        </w:rPr>
        <w:t>“If You are the King of the Jews,” they said, “save Yourself!”</w:t>
      </w:r>
    </w:p>
    <w:p>
      <w:pPr>
        <w:pStyle w:val="ListBullet"/>
        <w:spacing w:line="240" w:lineRule="auto"/>
        <w:ind w:left="720"/>
      </w:pPr>
      <w:r>
        <w:rPr>
          <w:lang w:val="en_US" w:bidi="en_US"/>
        </w:rPr>
      </w:r>
      <w:r>
        <w:rPr>
          <w:lang w:val="en_US" w:bidi="en_US"/>
        </w:rPr>
        <w:t>saying, “If you</w:t>
      </w:r>
      <w:r>
        <w:rPr>
          <w:vertAlign w:val="superscript"/>
          <w:lang w:val="en_US" w:bidi="en_US"/>
        </w:rPr>
        <w:t>(sing)</w:t>
      </w:r>
      <w:r>
        <w:rPr>
          <w:lang w:val="en_US" w:bidi="en_US"/>
        </w:rPr>
        <w:t xml:space="preserve"> are the king of the Jews, save/deliver yourself.”</w:t>
      </w:r>
    </w:p>
    <w:p>
      <w:pPr>
        <w:pStyle w:val="ListBullet"/>
        <w:spacing w:line="240" w:lineRule="auto"/>
        <w:ind w:left="720"/>
      </w:pPr>
      <w:r>
        <w:rPr>
          <w:lang w:val="en_US" w:bidi="en_US"/>
        </w:rPr>
      </w:r>
      <w:r>
        <w:rPr>
          <w:lang w:val="en_US" w:bidi="en_US"/>
        </w:rPr>
        <w:t>Then they said to him, “If you</w:t>
      </w:r>
      <w:r>
        <w:rPr>
          <w:vertAlign w:val="superscript"/>
          <w:lang w:val="en_US" w:bidi="en_US"/>
        </w:rPr>
        <w:t>(sing)</w:t>
      </w:r>
      <w:r>
        <w:rPr>
          <w:lang w:val="en_US" w:bidi="en_US"/>
        </w:rPr>
        <w:t xml:space="preserve"> are </w:t>
      </w:r>
      <w:r>
        <w:rPr>
          <w:lang w:val="en_US" w:bidi="en_US"/>
        </w:rPr>
        <w:t>really</w:t>
      </w:r>
      <w:r>
        <w:rPr>
          <w:lang w:val="en_US" w:bidi="en_US"/>
        </w:rPr>
        <w:t xml:space="preserve"> the king/ruler of the Jewish </w:t>
      </w:r>
      <w:r>
        <w:rPr>
          <w:lang w:val="en_US" w:bidi="en_US"/>
        </w:rPr>
        <w:t>people</w:t>
      </w:r>
      <w:r>
        <w:rPr>
          <w:lang w:val="en_US" w:bidi="en_US"/>
        </w:rPr>
        <w:t xml:space="preserve">, </w:t>
      </w:r>
      <w:r>
        <w:rPr>
          <w:lang w:val="en_US" w:bidi="en_US"/>
        </w:rPr>
        <w:t>prove it by</w:t>
      </w:r>
      <w:r>
        <w:rPr>
          <w:lang w:val="en_US" w:bidi="en_US"/>
        </w:rPr>
        <w:t xml:space="preserve"> saving yourself </w:t>
      </w:r>
      <w:r>
        <w:rPr>
          <w:lang w:val="en_US" w:bidi="en_US"/>
        </w:rPr>
        <w:t>from dying on the cross</w:t>
      </w:r>
      <w:r>
        <w:rPr>
          <w:lang w:val="en_US" w:bidi="en_US"/>
        </w:rPr>
        <w:t>!”</w:t>
      </w:r>
    </w:p>
    <w:p>
      <w:pPr>
        <w:pStyle w:val="ListBullet"/>
        <w:spacing w:line="240" w:lineRule="auto"/>
        <w:ind w:left="720"/>
      </w:pPr>
      <w:r>
        <w:rPr>
          <w:lang w:val="en_US" w:bidi="en_US"/>
        </w:rPr>
      </w:r>
      <w:r>
        <w:rPr>
          <w:lang w:val="en_US" w:bidi="en_US"/>
        </w:rPr>
        <w:t>They also said, “Help/Rescue yourself, if you</w:t>
      </w:r>
      <w:r>
        <w:rPr>
          <w:vertAlign w:val="superscript"/>
          <w:lang w:val="en_US" w:bidi="en_US"/>
        </w:rPr>
        <w:t>(sing)</w:t>
      </w:r>
      <w:r>
        <w:rPr>
          <w:lang w:val="en_US" w:bidi="en_US"/>
        </w:rPr>
        <w:t xml:space="preserve"> </w:t>
      </w:r>
      <w:r>
        <w:rPr>
          <w:lang w:val="en_US" w:bidi="en_US"/>
        </w:rPr>
        <w:t>really</w:t>
      </w:r>
      <w:r>
        <w:rPr>
          <w:lang w:val="en_US" w:bidi="en_US"/>
        </w:rPr>
        <w:t xml:space="preserve"> are the one who rules the Jews!”</w:t>
      </w:r>
    </w:p>
    <w:p>
      <w:pPr/>
      <w:r>
        <w:rPr>
          <w:lang w:val="en_US" w:bidi="en_US"/>
        </w:rPr>
      </w:r>
      <w:r>
        <w:rPr>
          <w:b/>
          <w:lang w:val="en_US" w:bidi="en_US"/>
        </w:rPr>
        <w:t>“If You are the King of the Jews,” they said, “save Yourself!”:</w:t>
      </w:r>
      <w:r>
        <w:rPr>
          <w:lang w:val="en_US" w:bidi="en_US"/>
        </w:rPr>
        <w:t xml:space="preserve"> The BSB places the words </w:t>
      </w:r>
      <w:r>
        <w:rPr>
          <w:i/>
          <w:lang w:val="en_US" w:bidi="en_US"/>
        </w:rPr>
        <w:t>they said</w:t>
      </w:r>
      <w:r>
        <w:rPr>
          <w:lang w:val="en_US" w:bidi="en_US"/>
        </w:rPr>
        <w:t xml:space="preserve"> in the middle of what the soldiers said to Jesus. This is good English style. However, in some languages, it may be necessary to put these words where they are in Greek, in the beginning of 23:37. For example:</w:t>
      </w:r>
    </w:p>
    <w:p>
      <w:pPr/>
      <w:r>
        <w:rPr>
          <w:lang w:val="en_US" w:bidi="en_US"/>
        </w:rPr>
      </w:r>
      <w:r>
        <w:rPr>
          <w:lang w:val="en_US" w:bidi="en_US"/>
        </w:rPr>
        <w:t>and they said, “If you are the King of the Jews, save yourself!”</w:t>
      </w:r>
    </w:p>
    <w:p>
      <w:pPr/>
      <w:r>
        <w:rPr>
          <w:lang w:val="en_US" w:bidi="en_US"/>
        </w:rPr>
      </w:r>
      <w:r>
        <w:rPr>
          <w:b/>
          <w:lang w:val="en_US" w:bidi="en_US"/>
        </w:rPr>
        <w:t>If You are the King of the Jews,…save Yourself!:</w:t>
      </w:r>
      <w:r>
        <w:rPr>
          <w:lang w:val="en_US" w:bidi="en_US"/>
        </w:rPr>
        <w:t xml:space="preserve"> Here the soldiers mocked Jesus. They challenged him to prove that he was the king of the Jews by saving himself from dying on the cross. They did not believe that he was the king of the Jews, and they felt sure that he could not save himself from death. They challenged him like that to ridicule him. Some other ways to translate it are:</w:t>
      </w:r>
    </w:p>
    <w:p>
      <w:pPr/>
      <w:r>
        <w:rPr>
          <w:lang w:val="en_US" w:bidi="en_US"/>
        </w:rPr>
      </w:r>
      <w:r>
        <w:rPr>
          <w:lang w:val="en_US" w:bidi="en_US"/>
        </w:rPr>
        <w:t>If you are really the king of the Jews, then save yourself</w:t>
      </w:r>
    </w:p>
    <w:p>
      <w:pPr/>
      <w:r>
        <w:rPr>
          <w:lang w:val="en_US" w:bidi="en_US"/>
        </w:rPr>
      </w:r>
      <w:r>
        <w:rPr>
          <w:lang w:val="en_US" w:bidi="en_US"/>
        </w:rPr>
        <w:t xml:space="preserve">Since </w:t>
      </w:r>
      <w:r>
        <w:rPr>
          <w:lang w:val="en_US" w:bidi="en_US"/>
        </w:rPr>
        <w:t>you say</w:t>
      </w:r>
      <w:r>
        <w:rPr>
          <w:lang w:val="en_US" w:bidi="en_US"/>
        </w:rPr>
        <w:t xml:space="preserve"> you are the king of the Jews, </w:t>
      </w:r>
      <w:r>
        <w:rPr>
          <w:lang w:val="en_US" w:bidi="en_US"/>
        </w:rPr>
        <w:t>prove it by</w:t>
      </w:r>
      <w:r>
        <w:rPr>
          <w:lang w:val="en_US" w:bidi="en_US"/>
        </w:rPr>
        <w:t xml:space="preserve"> saving yourself</w:t>
      </w:r>
    </w:p>
    <w:p>
      <w:pPr/>
      <w:r>
        <w:rPr>
          <w:lang w:val="en_US" w:bidi="en_US"/>
        </w:rPr>
      </w:r>
      <w:r>
        <w:rPr>
          <w:lang w:val="en_US" w:bidi="en_US"/>
        </w:rPr>
        <w:t>In some languages it may be more natural to reverse the order of the phrases in this verse. For example:</w:t>
      </w:r>
    </w:p>
    <w:p>
      <w:pPr/>
      <w:r>
        <w:rPr>
          <w:lang w:val="en_US" w:bidi="en_US"/>
        </w:rPr>
      </w:r>
      <w:r>
        <w:rPr>
          <w:lang w:val="en_US" w:bidi="en_US"/>
        </w:rPr>
        <w:t>Save yourself then if it is true that you are the king of the Jews.</w:t>
      </w:r>
      <w:r>
        <w:rPr>
          <w:lang w:val="en_US" w:bidi="en_US"/>
        </w:rPr>
        <w:t>Kankanaey back translation on TW.</w:t>
      </w:r>
    </w:p>
    <w:p>
      <w:pPr/>
      <w:r>
        <w:rPr>
          <w:lang w:val="en_US" w:bidi="en_US"/>
        </w:rPr>
      </w:r>
      <w:r>
        <w:rPr>
          <w:lang w:val="en_US" w:bidi="en_US"/>
        </w:rPr>
        <w:t>Consider how you would give a challenge like this in your language.</w:t>
      </w:r>
    </w:p>
    <w:p>
      <w:pPr/>
      <w:r>
        <w:rPr>
          <w:lang w:val="en_US" w:bidi="en_US"/>
        </w:rPr>
      </w:r>
      <w:r>
        <w:rPr>
          <w:b/>
          <w:lang w:val="en_US" w:bidi="en_US"/>
        </w:rPr>
        <w:t>the King of the Jews:</w:t>
      </w:r>
      <w:r>
        <w:rPr>
          <w:lang w:val="en_US" w:bidi="en_US"/>
        </w:rPr>
        <w:t xml:space="preserve"> The phrase </w:t>
      </w:r>
      <w:r>
        <w:rPr>
          <w:i/>
          <w:lang w:val="en_US" w:bidi="en_US"/>
        </w:rPr>
        <w:t>the King of the Jews</w:t>
      </w:r>
      <w:r>
        <w:rPr>
          <w:lang w:val="en_US" w:bidi="en_US"/>
        </w:rPr>
        <w:t xml:space="preserve"> also occurred in 23:3. You should translate it in the same way here.</w:t>
      </w:r>
    </w:p>
    <w:p>
      <w:pPr/>
      <w:r>
        <w:rPr>
          <w:lang w:val="en_US" w:bidi="en_US"/>
        </w:rPr>
      </w:r>
      <w:r>
        <w:rPr>
          <w:b/>
          <w:lang w:val="en_US" w:bidi="en_US"/>
        </w:rPr>
        <w:t>save Yourself!:</w:t>
      </w:r>
      <w:r>
        <w:rPr>
          <w:lang w:val="en_US" w:bidi="en_US"/>
        </w:rPr>
        <w:t xml:space="preserve"> Here the word </w:t>
      </w:r>
      <w:r>
        <w:rPr>
          <w:i/>
          <w:lang w:val="en_US" w:bidi="en_US"/>
        </w:rPr>
        <w:t>save</w:t>
      </w:r>
      <w:r>
        <w:rPr>
          <w:lang w:val="en_US" w:bidi="en_US"/>
        </w:rPr>
        <w:t xml:space="preserve"> refers to saving from physical death. Some other ways to translate it here are:</w:t>
      </w:r>
    </w:p>
    <w:p>
      <w:pPr/>
      <w:r>
        <w:rPr>
          <w:lang w:val="en_US" w:bidi="en_US"/>
        </w:rPr>
      </w:r>
      <w:r>
        <w:rPr>
          <w:lang w:val="en_US" w:bidi="en_US"/>
        </w:rPr>
        <w:t>deliver yourself</w:t>
      </w:r>
    </w:p>
    <w:p>
      <w:pPr/>
      <w:r>
        <w:rPr>
          <w:lang w:val="en_US" w:bidi="en_US"/>
        </w:rPr>
      </w:r>
      <w:r>
        <w:rPr>
          <w:lang w:val="en_US" w:bidi="en_US"/>
        </w:rPr>
        <w:t>help yourself</w:t>
      </w:r>
    </w:p>
    <w:p>
      <w:pPr/>
      <w:r>
        <w:rPr>
          <w:lang w:val="en_US" w:bidi="en_US"/>
        </w:rPr>
      </w:r>
      <w:r>
        <w:rPr>
          <w:lang w:val="en_US" w:bidi="en_US"/>
        </w:rPr>
        <w:t xml:space="preserve">rescue yourself </w:t>
      </w:r>
      <w:r>
        <w:rPr>
          <w:lang w:val="en_US" w:bidi="en_US"/>
        </w:rPr>
        <w:t>from dying on this cross</w:t>
      </w:r>
    </w:p>
    <w:p>
      <w:pPr/>
      <w:r>
        <w:rPr>
          <w:lang w:val="en_US" w:bidi="en_US"/>
        </w:rPr>
      </w:r>
      <w:r>
        <w:rPr>
          <w:lang w:val="en_US" w:bidi="en_US"/>
        </w:rPr>
        <w:t>For more information, see save, Meaning 1, in the Glossary.</w:t>
      </w:r>
    </w:p>
    <w:p>
      <w:pPr/>
      <w:r>
        <w:rPr>
          <w:lang w:val="en_US" w:bidi="en_US"/>
        </w:rPr>
      </w:r>
      <w:r>
        <w:rPr>
          <w:b/>
          <w:lang w:val="en_US" w:bidi="en_US"/>
        </w:rPr>
        <w:t>they said:</w:t>
      </w:r>
      <w:r>
        <w:rPr>
          <w:lang w:val="en_US" w:bidi="en_US"/>
        </w:rPr>
        <w:t xml:space="preserve"> The Greek phrase that the BSB translates as </w:t>
      </w:r>
      <w:r>
        <w:rPr>
          <w:i/>
          <w:lang w:val="en_US" w:bidi="en_US"/>
        </w:rPr>
        <w:t>they said</w:t>
      </w:r>
      <w:r>
        <w:rPr>
          <w:lang w:val="en_US" w:bidi="en_US"/>
        </w:rPr>
        <w:t xml:space="preserve"> is more literally “and saying.” It probably indicates that the soldiers said the words in this verse as they offered Jesus the wine vinegar (23:36b). What the soldiers said and did was all done to mock Jesus. Connect the actions in a natural way in your language.</w:t>
      </w:r>
      <w:r>
        <w:rPr>
          <w:lang w:val="en_US" w:bidi="en_US"/>
        </w:rPr>
      </w:r>
      <w:r>
        <w:rPr>
          <w:lang w:val="en_US" w:bidi="en_US"/>
        </w:rPr>
      </w:r>
    </w:p>
    <w:p>
      <w:pPr/>
      <w:r>
        <w:rPr>
          <w:lang w:val="en_US" w:bidi="en_US"/>
        </w:rPr>
      </w:r>
    </w:p>
    <w:p>
      <w:pPr>
        <w:pStyle w:val="Heading2"/>
      </w:pPr>
      <w:r>
        <w:rPr>
          <w:lang w:val="en_US" w:bidi="en_US"/>
        </w:rPr>
        <w:t>Luke 23:38</w:t>
      </w:r>
      <w:r>
        <w:rPr>
          <w:lang w:val="en_US" w:bidi="en_US"/>
        </w:rPr>
      </w:r>
    </w:p>
    <w:p>
      <w:pPr>
        <w:pStyle w:val="Heading4"/>
      </w:pPr>
      <w:r>
        <w:rPr>
          <w:lang w:val="en_US" w:bidi="en_US"/>
        </w:rPr>
        <w:t>Section 23:26–43: Soldiers nailed Jesus to a cross</w:t>
      </w:r>
    </w:p>
    <w:p>
      <w:pPr/>
      <w:r>
        <w:rPr>
          <w:lang w:val="en_US" w:bidi="en_US"/>
        </w:rPr>
      </w:r>
      <w:r>
        <w:rPr>
          <w:lang w:val="en_US" w:bidi="en_US"/>
        </w:rP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pPr/>
      <w:r>
        <w:rPr>
          <w:lang w:val="en_US" w:bidi="en_US"/>
        </w:rPr>
      </w:r>
      <w:r>
        <w:rPr>
          <w:lang w:val="en_US" w:bidi="en_US"/>
        </w:rPr>
        <w:t>Other examples of headings for this section are:</w:t>
      </w:r>
    </w:p>
    <w:p>
      <w:pPr/>
      <w:r>
        <w:rPr>
          <w:lang w:val="en_US" w:bidi="en_US"/>
        </w:rPr>
      </w:r>
      <w:r>
        <w:rPr>
          <w:lang w:val="en_US" w:bidi="en_US"/>
        </w:rPr>
        <w:t>The Crucifixion (NIV)</w:t>
      </w:r>
    </w:p>
    <w:p>
      <w:pPr/>
      <w:r>
        <w:rPr>
          <w:lang w:val="en_US" w:bidi="en_US"/>
        </w:rPr>
      </w:r>
      <w:r>
        <w:rPr>
          <w:lang w:val="en_US" w:bidi="en_US"/>
        </w:rPr>
        <w:t>Jesus Is Nailed to a Cross (CEV)</w:t>
      </w:r>
    </w:p>
    <w:p>
      <w:pPr/>
      <w:r>
        <w:rPr>
          <w:lang w:val="en_US" w:bidi="en_US"/>
        </w:rPr>
      </w:r>
      <w:r>
        <w:rPr>
          <w:lang w:val="en_US" w:bidi="en_US"/>
        </w:rPr>
        <w:t>Roman soldiers nailed Jesus to a cross</w:t>
      </w:r>
    </w:p>
    <w:p>
      <w:pPr/>
      <w:r>
        <w:rPr>
          <w:lang w:val="en_US" w:bidi="en_US"/>
        </w:rPr>
      </w:r>
      <w:r>
        <w:rPr>
          <w:lang w:val="en_US" w:bidi="en_US"/>
        </w:rPr>
        <w:t>There are parallel passages for this section in Matthew 27:31–44, Mark 15:21–32, and John 19:17–27.</w:t>
      </w:r>
    </w:p>
    <w:p>
      <w:pPr>
        <w:pStyle w:val="Heading5"/>
      </w:pPr>
      <w:r>
        <w:rPr>
          <w:lang w:val="en_US" w:bidi="en_US"/>
        </w:rPr>
        <w:t>23:38a</w:t>
      </w:r>
    </w:p>
    <w:p>
      <w:pPr/>
      <w:r>
        <w:rPr>
          <w:lang w:val="en_US" w:bidi="en_US"/>
        </w:rPr>
      </w:r>
      <w:r>
        <w:rPr>
          <w:b/>
          <w:lang w:val="en_US" w:bidi="en_US"/>
        </w:rPr>
        <w:t>Above Him was posted an inscription:</w:t>
      </w:r>
    </w:p>
    <w:p>
      <w:pPr>
        <w:pStyle w:val="ListBullet"/>
        <w:spacing w:line="240" w:lineRule="auto"/>
        <w:ind w:left="720"/>
      </w:pPr>
      <w:r>
        <w:rPr>
          <w:lang w:val="en_US" w:bidi="en_US"/>
        </w:rPr>
      </w:r>
      <w:r>
        <w:rPr>
          <w:lang w:val="en_US" w:bidi="en_US"/>
        </w:rPr>
        <w:t>And there was also a sign above him that said,</w:t>
      </w:r>
    </w:p>
    <w:p>
      <w:pPr>
        <w:pStyle w:val="ListBullet"/>
        <w:spacing w:line="240" w:lineRule="auto"/>
        <w:ind w:left="720"/>
      </w:pPr>
      <w:r>
        <w:rPr>
          <w:lang w:val="en_US" w:bidi="en_US"/>
        </w:rPr>
      </w:r>
      <w:r>
        <w:rPr>
          <w:lang w:val="en_US" w:bidi="en_US"/>
        </w:rPr>
        <w:t xml:space="preserve">These words were </w:t>
      </w:r>
      <w:r>
        <w:rPr>
          <w:lang w:val="en_US" w:bidi="en_US"/>
        </w:rPr>
        <w:t>on the cross</w:t>
      </w:r>
      <w:r>
        <w:rPr>
          <w:lang w:val="en_US" w:bidi="en_US"/>
        </w:rPr>
        <w:t xml:space="preserve"> above Jesus:</w:t>
      </w:r>
    </w:p>
    <w:p>
      <w:pPr>
        <w:pStyle w:val="ListBullet"/>
        <w:spacing w:line="240" w:lineRule="auto"/>
        <w:ind w:left="720"/>
      </w:pPr>
      <w:r>
        <w:rPr>
          <w:lang w:val="en_US" w:bidi="en_US"/>
        </w:rPr>
      </w:r>
      <w:r>
        <w:rPr>
          <w:lang w:val="en_US" w:bidi="en_US"/>
        </w:rPr>
        <w:t>Someone</w:t>
      </w:r>
      <w:r>
        <w:rPr>
          <w:lang w:val="en_US" w:bidi="en_US"/>
        </w:rPr>
        <w:t xml:space="preserve"> had also written </w:t>
      </w:r>
      <w:r>
        <w:rPr>
          <w:lang w:val="en_US" w:bidi="en_US"/>
        </w:rPr>
        <w:t>why they crucified Jesus</w:t>
      </w:r>
      <w:r>
        <w:rPr>
          <w:lang w:val="en_US" w:bidi="en_US"/>
        </w:rPr>
        <w:t xml:space="preserve"> on a sign </w:t>
      </w:r>
      <w:r>
        <w:rPr>
          <w:lang w:val="en_US" w:bidi="en_US"/>
        </w:rPr>
        <w:t>and caused it to be attached/nailed to the cross</w:t>
      </w:r>
      <w:r>
        <w:rPr>
          <w:lang w:val="en_US" w:bidi="en_US"/>
        </w:rPr>
        <w:t xml:space="preserve"> above his head. The sign said:</w:t>
      </w:r>
    </w:p>
    <w:p>
      <w:pPr/>
      <w:r>
        <w:rPr>
          <w:lang w:val="en_US" w:bidi="en_US"/>
        </w:rPr>
      </w:r>
      <w:r>
        <w:rPr>
          <w:lang w:val="en_US" w:bidi="en_US"/>
        </w:rPr>
        <w:t>In Greek, 23:38a begins with two common conjunctions. These conjunctions connect the sign that was placed on Jesus’ cross in 23:38 with what the soldiers said about Jesus in 23:37. The soldiers and also the sign called Jesus “the King of the Jews.” The Roman governor who wrote the sign was also mocking Jesus. He did not believe that Jesus was the king of the Jews. Another way to connect the verses is:</w:t>
      </w:r>
    </w:p>
    <w:p>
      <w:pPr/>
      <w:r>
        <w:rPr>
          <w:lang w:val="en_US" w:bidi="en_US"/>
        </w:rPr>
      </w:r>
      <w:r>
        <w:rPr>
          <w:lang w:val="en_US" w:bidi="en_US"/>
        </w:rPr>
        <w:t xml:space="preserve">There was </w:t>
      </w:r>
      <w:r>
        <w:rPr>
          <w:u w:val="single"/>
          <w:lang w:val="en_US" w:bidi="en_US"/>
        </w:rPr>
        <w:t>also</w:t>
      </w:r>
      <w:r>
        <w:rPr>
          <w:lang w:val="en_US" w:bidi="en_US"/>
        </w:rPr>
        <w:t xml:space="preserve"> an inscription over him (NRSV)</w:t>
      </w:r>
    </w:p>
    <w:p>
      <w:pPr/>
      <w:r>
        <w:rPr>
          <w:lang w:val="en_US" w:bidi="en_US"/>
        </w:rPr>
      </w:r>
      <w:r>
        <w:rPr>
          <w:lang w:val="en_US" w:bidi="en_US"/>
        </w:rPr>
        <w:t>In some languages it may not be natural to use a conjunction. Remember that the Roman governor had already written the sign and attached it before the soldiers mocked Jesus. In some languages it may be natural to translate it as background information.</w:t>
      </w:r>
    </w:p>
    <w:p>
      <w:pPr/>
      <w:r>
        <w:rPr>
          <w:lang w:val="en_US" w:bidi="en_US"/>
        </w:rPr>
      </w:r>
      <w:r>
        <w:rPr>
          <w:lang w:val="en_US" w:bidi="en_US"/>
        </w:rPr>
        <w:t>Connect these verses in a way that is natural in your language.</w:t>
      </w:r>
    </w:p>
    <w:p>
      <w:pPr/>
      <w:r>
        <w:rPr>
          <w:lang w:val="en_US" w:bidi="en_US"/>
        </w:rPr>
      </w:r>
      <w:r>
        <w:rPr>
          <w:b/>
          <w:lang w:val="en_US" w:bidi="en_US"/>
        </w:rPr>
        <w:t>Above Him was posted an inscription:</w:t>
      </w:r>
      <w:r>
        <w:rPr>
          <w:lang w:val="en_US" w:bidi="en_US"/>
        </w:rPr>
        <w:t xml:space="preserve"> The clause </w:t>
      </w:r>
      <w:r>
        <w:rPr>
          <w:i/>
          <w:lang w:val="en_US" w:bidi="en_US"/>
        </w:rPr>
        <w:t>Above Him was posted an inscription</w:t>
      </w:r>
      <w:r>
        <w:rPr>
          <w:lang w:val="en_US" w:bidi="en_US"/>
        </w:rPr>
        <w:t xml:space="preserve"> indicates that a sign was attached to the top of Jesus’ cross above his head. John 19:19 indicates that the Roman governor Pilate wrote the sign. It was a Roman custom to put such a sign on a cross to indicate why the person was being crucified. Pilate did not believe that Jesus was the King of the Jews, and the sign was another way to mock Jesus.</w:t>
      </w:r>
    </w:p>
    <w:p>
      <w:pPr/>
      <w:r>
        <w:rPr>
          <w:lang w:val="en_US" w:bidi="en_US"/>
        </w:rPr>
      </w:r>
      <w:r>
        <w:rPr>
          <w:lang w:val="en_US" w:bidi="en_US"/>
        </w:rPr>
        <w:t>Some other ways to translate this clause are:</w:t>
      </w:r>
    </w:p>
    <w:p>
      <w:pPr/>
      <w:r>
        <w:rPr>
          <w:lang w:val="en_US" w:bidi="en_US"/>
        </w:rPr>
      </w:r>
      <w:r>
        <w:rPr>
          <w:lang w:val="en_US" w:bidi="en_US"/>
        </w:rPr>
        <w:t>Above him were written these words (GNT)</w:t>
      </w:r>
    </w:p>
    <w:p>
      <w:pPr/>
      <w:r>
        <w:rPr>
          <w:lang w:val="en_US" w:bidi="en_US"/>
        </w:rPr>
      </w:r>
      <w:r>
        <w:rPr>
          <w:lang w:val="en_US" w:bidi="en_US"/>
        </w:rPr>
        <w:t>Someone</w:t>
      </w:r>
      <w:r>
        <w:rPr>
          <w:lang w:val="en_US" w:bidi="en_US"/>
        </w:rPr>
        <w:t xml:space="preserve"> had also written something on a sign and placed it above him</w:t>
      </w:r>
    </w:p>
    <w:p>
      <w:pPr/>
      <w:r>
        <w:rPr>
          <w:lang w:val="en_US" w:bidi="en_US"/>
        </w:rPr>
      </w:r>
      <w:r>
        <w:rPr>
          <w:lang w:val="en_US" w:bidi="en_US"/>
        </w:rPr>
        <w:t>there was also a message written on a board and nailed to the cross</w:t>
      </w:r>
    </w:p>
    <w:p>
      <w:pPr/>
      <w:r>
        <w:rPr>
          <w:lang w:val="en_US" w:bidi="en_US"/>
        </w:rPr>
      </w:r>
      <w:r>
        <w:rPr>
          <w:b/>
          <w:lang w:val="en_US" w:bidi="en_US"/>
        </w:rPr>
        <w:t>Above Him:</w:t>
      </w:r>
      <w:r>
        <w:rPr>
          <w:lang w:val="en_US" w:bidi="en_US"/>
        </w:rPr>
        <w:t xml:space="preserve"> In this context </w:t>
      </w:r>
      <w:r>
        <w:rPr>
          <w:i/>
          <w:lang w:val="en_US" w:bidi="en_US"/>
        </w:rPr>
        <w:t>Above Him</w:t>
      </w:r>
      <w:r>
        <w:rPr>
          <w:lang w:val="en_US" w:bidi="en_US"/>
        </w:rPr>
        <w:t xml:space="preserve"> refers to a place on the cross, above Jesus’ head. When the Romans condemned someone to die on a cross, they wrote his crime on a paper or a piece of wood. When they crucified that person, they nailed the paper or piece of wood above his head on the cross for other people to read. Some other ways to translate </w:t>
      </w:r>
      <w:r>
        <w:rPr>
          <w:i/>
          <w:lang w:val="en_US" w:bidi="en_US"/>
        </w:rPr>
        <w:t>Above Him</w:t>
      </w:r>
      <w:r>
        <w:rPr>
          <w:lang w:val="en_US" w:bidi="en_US"/>
        </w:rPr>
        <w:t xml:space="preserve"> are:</w:t>
      </w:r>
    </w:p>
    <w:p>
      <w:pPr/>
      <w:r>
        <w:rPr>
          <w:lang w:val="en_US" w:bidi="en_US"/>
        </w:rPr>
      </w:r>
      <w:r>
        <w:rPr>
          <w:lang w:val="en_US" w:bidi="en_US"/>
        </w:rPr>
        <w:t>At the top of the cross (NCV)</w:t>
      </w:r>
    </w:p>
    <w:p>
      <w:pPr/>
      <w:r>
        <w:rPr>
          <w:lang w:val="en_US" w:bidi="en_US"/>
        </w:rPr>
      </w:r>
      <w:r>
        <w:rPr>
          <w:lang w:val="en_US" w:bidi="en_US"/>
        </w:rPr>
        <w:t>above Jesus’ head (TRT)</w:t>
      </w:r>
    </w:p>
    <w:p>
      <w:pPr/>
      <w:r>
        <w:rPr>
          <w:lang w:val="en_US" w:bidi="en_US"/>
        </w:rPr>
      </w:r>
      <w:r>
        <w:rPr>
          <w:b/>
          <w:lang w:val="en_US" w:bidi="en_US"/>
        </w:rPr>
        <w:t>was posted:</w:t>
      </w:r>
      <w:r>
        <w:rPr>
          <w:lang w:val="en_US" w:bidi="en_US"/>
        </w:rPr>
        <w:t xml:space="preserve"> </w:t>
      </w:r>
      <w:r>
        <w:rPr>
          <w:lang w:val="en_US" w:bidi="en_US"/>
        </w:rPr>
        <w:t>A number of Greek manuscripts include the words “in the letters/writing of Greek and Roman, and Hebrew.” The KJV follows these manuscripts. However, some important Greek manuscripts do not include them, so all other English versions on TW also do not include them. The words are probably based on John 19:20 and inserted by copyists. It is recommended that you follow the majority of Greek manuscripts and English versions and not include them.</w:t>
      </w:r>
      <w:r>
        <w:rPr>
          <w:lang w:val="en_US" w:bidi="en_US"/>
        </w:rPr>
        <w:t xml:space="preserve"> The phrase </w:t>
      </w:r>
      <w:r>
        <w:rPr>
          <w:i/>
          <w:lang w:val="en_US" w:bidi="en_US"/>
        </w:rPr>
        <w:t>was posted</w:t>
      </w:r>
      <w:r>
        <w:rPr>
          <w:lang w:val="en_US" w:bidi="en_US"/>
        </w:rPr>
        <w:t xml:space="preserve"> introduces the words that were written on the sign above Jesus’ head. Some other ways to introduce them are:</w:t>
      </w:r>
    </w:p>
    <w:p>
      <w:pPr/>
      <w:r>
        <w:rPr>
          <w:lang w:val="en_US" w:bidi="en_US"/>
        </w:rPr>
      </w:r>
      <w:r>
        <w:rPr>
          <w:lang w:val="en_US" w:bidi="en_US"/>
        </w:rPr>
        <w:t>It said (GW)</w:t>
      </w:r>
    </w:p>
    <w:p>
      <w:pPr/>
      <w:r>
        <w:rPr>
          <w:lang w:val="en_US" w:bidi="en_US"/>
        </w:rPr>
      </w:r>
      <w:r>
        <w:rPr>
          <w:lang w:val="en_US" w:bidi="en_US"/>
        </w:rPr>
        <w:t>The words were</w:t>
      </w:r>
    </w:p>
    <w:p>
      <w:pPr/>
      <w:r>
        <w:rPr>
          <w:lang w:val="en_US" w:bidi="en_US"/>
        </w:rPr>
      </w:r>
      <w:r>
        <w:rPr>
          <w:lang w:val="en_US" w:bidi="en_US"/>
        </w:rPr>
        <w:t>with these words: (NLT)</w:t>
      </w:r>
    </w:p>
    <w:p>
      <w:pPr/>
      <w:r>
        <w:rPr>
          <w:lang w:val="en_US" w:bidi="en_US"/>
        </w:rPr>
      </w:r>
      <w:r>
        <w:rPr>
          <w:lang w:val="en_US" w:bidi="en_US"/>
        </w:rPr>
        <w:t>Introduce the words on the sign in a natural way in your language.</w:t>
      </w:r>
    </w:p>
    <w:p>
      <w:pPr>
        <w:pStyle w:val="Heading5"/>
      </w:pPr>
      <w:r>
        <w:rPr>
          <w:lang w:val="en_US" w:bidi="en_US"/>
        </w:rPr>
        <w:t>23:38b</w:t>
      </w:r>
    </w:p>
    <w:p>
      <w:pPr/>
      <w:r>
        <w:rPr>
          <w:lang w:val="en_US" w:bidi="en_US"/>
        </w:rPr>
      </w:r>
      <w:r>
        <w:rPr>
          <w:b/>
          <w:lang w:val="en_US" w:bidi="en_US"/>
        </w:rPr>
        <w:t>THIS IS THE KING OF THE JEWS.</w:t>
      </w:r>
    </w:p>
    <w:p>
      <w:pPr>
        <w:pStyle w:val="ListBullet"/>
        <w:spacing w:line="240" w:lineRule="auto"/>
        <w:ind w:left="720"/>
      </w:pPr>
      <w:r>
        <w:rPr>
          <w:lang w:val="en_US" w:bidi="en_US"/>
        </w:rPr>
      </w:r>
      <w:r>
        <w:rPr>
          <w:lang w:val="en_US" w:bidi="en_US"/>
        </w:rPr>
        <w:t>“This one/man is King of the Jews.”</w:t>
      </w:r>
    </w:p>
    <w:p>
      <w:pPr>
        <w:pStyle w:val="ListBullet"/>
        <w:spacing w:line="240" w:lineRule="auto"/>
        <w:ind w:left="720"/>
      </w:pPr>
      <w:r>
        <w:rPr>
          <w:lang w:val="en_US" w:bidi="en_US"/>
        </w:rPr>
      </w:r>
      <w:r>
        <w:rPr>
          <w:lang w:val="en_US" w:bidi="en_US"/>
        </w:rPr>
        <w:t>“Here is the King/Ruler of the Jewish people.”</w:t>
      </w:r>
    </w:p>
    <w:p>
      <w:pPr>
        <w:pStyle w:val="ListBullet"/>
        <w:spacing w:line="240" w:lineRule="auto"/>
        <w:ind w:left="720"/>
      </w:pPr>
      <w:r>
        <w:rPr>
          <w:lang w:val="en_US" w:bidi="en_US"/>
        </w:rPr>
      </w:r>
      <w:r>
        <w:rPr>
          <w:lang w:val="en_US" w:bidi="en_US"/>
        </w:rPr>
        <w:t>“The King of the Jews.”</w:t>
      </w:r>
    </w:p>
    <w:p>
      <w:pPr/>
      <w:r>
        <w:rPr>
          <w:lang w:val="en_US" w:bidi="en_US"/>
        </w:rPr>
      </w:r>
      <w:r>
        <w:rPr>
          <w:b/>
          <w:lang w:val="en_US" w:bidi="en_US"/>
        </w:rPr>
        <w:t>THIS IS THE KING OF THE JEWS:</w:t>
      </w:r>
      <w:r>
        <w:rPr>
          <w:lang w:val="en_US" w:bidi="en_US"/>
        </w:rPr>
        <w:t xml:space="preserve"> The Greek clause that the BSB translates as </w:t>
      </w:r>
      <w:r>
        <w:rPr>
          <w:i/>
          <w:lang w:val="en_US" w:bidi="en_US"/>
        </w:rPr>
        <w:t>THIS IS THE KING OF THE JEWS</w:t>
      </w:r>
      <w:r>
        <w:rPr>
          <w:lang w:val="en_US" w:bidi="en_US"/>
        </w:rPr>
        <w:t xml:space="preserve"> is more literally “the king of the Jews (is) this (one).” It implies that Jesus was crucified because he claimed to be the king of the Jewish people. The word “this” is a disrespectful way to refer to a person. Some other ways to translate this clause are:</w:t>
      </w:r>
    </w:p>
    <w:p>
      <w:pPr/>
      <w:r>
        <w:rPr>
          <w:lang w:val="en_US" w:bidi="en_US"/>
        </w:rPr>
      </w:r>
      <w:r>
        <w:rPr>
          <w:lang w:val="en_US" w:bidi="en_US"/>
        </w:rPr>
        <w:t>This one is the Jews’ king</w:t>
      </w:r>
    </w:p>
    <w:p>
      <w:pPr/>
      <w:r>
        <w:rPr>
          <w:lang w:val="en_US" w:bidi="en_US"/>
        </w:rPr>
      </w:r>
      <w:r>
        <w:rPr>
          <w:lang w:val="en_US" w:bidi="en_US"/>
        </w:rPr>
        <w:t>THIS IS THE KING OF/OVER THE JEWISH PEOPLE (TRT)</w:t>
      </w:r>
    </w:p>
    <w:p>
      <w:pPr/>
      <w:r>
        <w:rPr>
          <w:lang w:val="en_US" w:bidi="en_US"/>
        </w:rPr>
      </w:r>
      <w:r>
        <w:rPr>
          <w:lang w:val="en_US" w:bidi="en_US"/>
        </w:rPr>
        <w:t>Some English versions write these words in capital letters because it was a common way at that time to write inscriptions. If that is not true in your language, you may use small letters, as most English versions do.</w:t>
      </w:r>
    </w:p>
    <w:p>
      <w:pPr/>
      <w:r>
        <w:rPr>
          <w:lang w:val="en_US" w:bidi="en_US"/>
        </w:rPr>
      </w:r>
      <w:r>
        <w:rPr>
          <w:lang w:val="en_US" w:bidi="en_US"/>
        </w:rPr>
        <w:t>There is a parallel passage at John 19:19–21 that gives more information about this written notice.</w:t>
      </w:r>
      <w:r>
        <w:rPr>
          <w:lang w:val="en_US" w:bidi="en_US"/>
        </w:rPr>
      </w:r>
      <w:r>
        <w:rPr>
          <w:lang w:val="en_US" w:bidi="en_US"/>
        </w:rPr>
      </w:r>
    </w:p>
    <w:p>
      <w:pPr/>
      <w:r>
        <w:rPr>
          <w:lang w:val="en_US" w:bidi="en_US"/>
        </w:rPr>
      </w:r>
    </w:p>
    <w:p>
      <w:pPr>
        <w:pStyle w:val="Heading2"/>
      </w:pPr>
      <w:r>
        <w:rPr>
          <w:lang w:val="en_US" w:bidi="en_US"/>
        </w:rPr>
        <w:t>Luke 23:39</w:t>
      </w:r>
      <w:r>
        <w:rPr>
          <w:lang w:val="en_US" w:bidi="en_US"/>
        </w:rPr>
      </w:r>
    </w:p>
    <w:p>
      <w:pPr>
        <w:pStyle w:val="Heading4"/>
      </w:pPr>
      <w:r>
        <w:rPr>
          <w:lang w:val="en_US" w:bidi="en_US"/>
        </w:rPr>
        <w:t>Section 23:26–43: Soldiers nailed Jesus to a cross</w:t>
      </w:r>
    </w:p>
    <w:p>
      <w:pPr/>
      <w:r>
        <w:rPr>
          <w:lang w:val="en_US" w:bidi="en_US"/>
        </w:rPr>
      </w:r>
      <w:r>
        <w:rPr>
          <w:lang w:val="en_US" w:bidi="en_US"/>
        </w:rP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pPr/>
      <w:r>
        <w:rPr>
          <w:lang w:val="en_US" w:bidi="en_US"/>
        </w:rPr>
      </w:r>
      <w:r>
        <w:rPr>
          <w:lang w:val="en_US" w:bidi="en_US"/>
        </w:rPr>
        <w:t>Other examples of headings for this section are:</w:t>
      </w:r>
    </w:p>
    <w:p>
      <w:pPr/>
      <w:r>
        <w:rPr>
          <w:lang w:val="en_US" w:bidi="en_US"/>
        </w:rPr>
      </w:r>
      <w:r>
        <w:rPr>
          <w:lang w:val="en_US" w:bidi="en_US"/>
        </w:rPr>
        <w:t>The Crucifixion (NIV)</w:t>
      </w:r>
    </w:p>
    <w:p>
      <w:pPr/>
      <w:r>
        <w:rPr>
          <w:lang w:val="en_US" w:bidi="en_US"/>
        </w:rPr>
      </w:r>
      <w:r>
        <w:rPr>
          <w:lang w:val="en_US" w:bidi="en_US"/>
        </w:rPr>
        <w:t>Jesus Is Nailed to a Cross (CEV)</w:t>
      </w:r>
    </w:p>
    <w:p>
      <w:pPr/>
      <w:r>
        <w:rPr>
          <w:lang w:val="en_US" w:bidi="en_US"/>
        </w:rPr>
      </w:r>
      <w:r>
        <w:rPr>
          <w:lang w:val="en_US" w:bidi="en_US"/>
        </w:rPr>
        <w:t>Roman soldiers nailed Jesus to a cross</w:t>
      </w:r>
    </w:p>
    <w:p>
      <w:pPr/>
      <w:r>
        <w:rPr>
          <w:lang w:val="en_US" w:bidi="en_US"/>
        </w:rPr>
      </w:r>
      <w:r>
        <w:rPr>
          <w:lang w:val="en_US" w:bidi="en_US"/>
        </w:rPr>
        <w:t>There are parallel passages for this section in Matthew 27:31–44, Mark 15:21–32, and John 19:17–27.</w:t>
      </w:r>
    </w:p>
    <w:p>
      <w:pPr>
        <w:pStyle w:val="Heading5"/>
      </w:pPr>
      <w:r>
        <w:rPr>
          <w:lang w:val="en_US" w:bidi="en_US"/>
        </w:rPr>
        <w:t>23:39a</w:t>
      </w:r>
    </w:p>
    <w:p>
      <w:pPr/>
      <w:r>
        <w:rPr>
          <w:lang w:val="en_US" w:bidi="en_US"/>
        </w:rPr>
      </w:r>
      <w:r>
        <w:rPr>
          <w:b/>
          <w:lang w:val="en_US" w:bidi="en_US"/>
        </w:rPr>
        <w:t>One of the criminals who hung there heaped abuse on Him.</w:t>
      </w:r>
    </w:p>
    <w:p>
      <w:pPr>
        <w:pStyle w:val="ListBullet"/>
        <w:spacing w:line="240" w:lineRule="auto"/>
        <w:ind w:left="720"/>
      </w:pPr>
      <w:r>
        <w:rPr>
          <w:lang w:val="en_US" w:bidi="en_US"/>
        </w:rPr>
      </w:r>
      <w:r>
        <w:rPr>
          <w:lang w:val="en_US" w:bidi="en_US"/>
        </w:rPr>
        <w:t xml:space="preserve">¶ One of the criminals who hung </w:t>
      </w:r>
      <w:r>
        <w:rPr>
          <w:lang w:val="en_US" w:bidi="en_US"/>
        </w:rPr>
        <w:t>near Jesus</w:t>
      </w:r>
      <w:r>
        <w:rPr>
          <w:lang w:val="en_US" w:bidi="en_US"/>
        </w:rPr>
        <w:t xml:space="preserve"> began to insult him. He said </w:t>
      </w:r>
      <w:r>
        <w:rPr>
          <w:lang w:val="en_US" w:bidi="en_US"/>
        </w:rPr>
        <w:t>mockingly</w:t>
      </w:r>
      <w:r>
        <w:rPr>
          <w:lang w:val="en_US" w:bidi="en_US"/>
        </w:rPr>
        <w:t>,</w:t>
      </w:r>
    </w:p>
    <w:p>
      <w:pPr>
        <w:pStyle w:val="ListBullet"/>
        <w:spacing w:line="240" w:lineRule="auto"/>
        <w:ind w:left="720"/>
      </w:pPr>
      <w:r>
        <w:rPr>
          <w:lang w:val="en_US" w:bidi="en_US"/>
        </w:rPr>
      </w:r>
      <w:r>
        <w:rPr>
          <w:lang w:val="en_US" w:bidi="en_US"/>
        </w:rPr>
        <w:t>¶ After the soldiers mocked Jesus, the criminal on one of the nearby crosses also insulted/scorned Jesus. He shouted,</w:t>
      </w:r>
    </w:p>
    <w:p>
      <w:pPr/>
      <w:r>
        <w:rPr>
          <w:lang w:val="en_US" w:bidi="en_US"/>
        </w:rPr>
      </w:r>
      <w:r>
        <w:rPr>
          <w:lang w:val="en_US" w:bidi="en_US"/>
        </w:rPr>
        <w:t>In Greek, 23:39 begins with a common conjunction that is often translated as “And” or “But.” It introduces what happened after the soldiers mocked Jesus in 23:37. The event in 23:38 is background information that happened before the event in 23:37. In some languages there is a special way to return to a story after giving background information. Do this in a natural way in your language.</w:t>
      </w:r>
    </w:p>
    <w:p>
      <w:pPr/>
      <w:r>
        <w:rPr>
          <w:lang w:val="en_US" w:bidi="en_US"/>
        </w:rPr>
      </w:r>
      <w:r>
        <w:rPr>
          <w:lang w:val="en_US" w:bidi="en_US"/>
        </w:rPr>
        <w:t>In some languages it may be necessary to repeat information from 23:37. For example:</w:t>
      </w:r>
    </w:p>
    <w:p>
      <w:pPr/>
      <w:r>
        <w:rPr>
          <w:lang w:val="en_US" w:bidi="en_US"/>
        </w:rPr>
      </w:r>
      <w:r>
        <w:rPr>
          <w:lang w:val="en_US" w:bidi="en_US"/>
        </w:rPr>
        <w:t xml:space="preserve">After </w:t>
      </w:r>
      <w:r>
        <w:rPr>
          <w:lang w:val="en_US" w:bidi="en_US"/>
        </w:rPr>
        <w:t>the soldiers mocked Jesus</w:t>
      </w:r>
    </w:p>
    <w:p>
      <w:pPr/>
      <w:r>
        <w:rPr>
          <w:lang w:val="en_US" w:bidi="en_US"/>
        </w:rPr>
      </w:r>
      <w:r>
        <w:rPr>
          <w:b/>
          <w:lang w:val="en_US" w:bidi="en_US"/>
        </w:rPr>
        <w:t>One of the criminals who hung there:</w:t>
      </w:r>
      <w:r>
        <w:rPr>
          <w:lang w:val="en_US" w:bidi="en_US"/>
        </w:rPr>
        <w:t xml:space="preserve"> This phrase refers to one of the two men on crosses beside Jesus. The word </w:t>
      </w:r>
      <w:r>
        <w:rPr>
          <w:i/>
          <w:lang w:val="en_US" w:bidi="en_US"/>
        </w:rPr>
        <w:t>hung</w:t>
      </w:r>
      <w:r>
        <w:rPr>
          <w:lang w:val="en_US" w:bidi="en_US"/>
        </w:rPr>
        <w:t xml:space="preserve"> describes how the men’s bodies were hanging from the nails in their hands/arms. Other ways to translate this are:</w:t>
      </w:r>
    </w:p>
    <w:p>
      <w:pPr/>
      <w:r>
        <w:rPr>
          <w:lang w:val="en_US" w:bidi="en_US"/>
        </w:rPr>
      </w:r>
      <w:r>
        <w:rPr>
          <w:lang w:val="en_US" w:bidi="en_US"/>
        </w:rPr>
        <w:t>One of the criminals hanging beside him (NLT)</w:t>
      </w:r>
    </w:p>
    <w:p>
      <w:pPr/>
      <w:r>
        <w:rPr>
          <w:lang w:val="en_US" w:bidi="en_US"/>
        </w:rPr>
      </w:r>
      <w:r>
        <w:rPr>
          <w:lang w:val="en_US" w:bidi="en_US"/>
        </w:rPr>
        <w:t>One of the evildoers who was crucified beside him</w:t>
      </w:r>
    </w:p>
    <w:p>
      <w:pPr/>
      <w:r>
        <w:rPr>
          <w:lang w:val="en_US" w:bidi="en_US"/>
        </w:rPr>
      </w:r>
      <w:r>
        <w:rPr>
          <w:lang w:val="en_US" w:bidi="en_US"/>
        </w:rPr>
        <w:t>One of the criminals on a cross next to him</w:t>
      </w:r>
    </w:p>
    <w:p>
      <w:pPr/>
      <w:r>
        <w:rPr>
          <w:lang w:val="en_US" w:bidi="en_US"/>
        </w:rPr>
      </w:r>
      <w:r>
        <w:rPr>
          <w:b/>
          <w:lang w:val="en_US" w:bidi="en_US"/>
        </w:rPr>
        <w:t>criminals:</w:t>
      </w:r>
      <w:r>
        <w:rPr>
          <w:lang w:val="en_US" w:bidi="en_US"/>
        </w:rPr>
        <w:t xml:space="preserve"> The word </w:t>
      </w:r>
      <w:r>
        <w:rPr>
          <w:i/>
          <w:lang w:val="en_US" w:bidi="en_US"/>
        </w:rPr>
        <w:t>criminals</w:t>
      </w:r>
      <w:r>
        <w:rPr>
          <w:lang w:val="en_US" w:bidi="en_US"/>
        </w:rPr>
        <w:t xml:space="preserve"> occurred in 23:32. You may translate it in the same way here.</w:t>
      </w:r>
    </w:p>
    <w:p>
      <w:pPr/>
      <w:r>
        <w:rPr>
          <w:lang w:val="en_US" w:bidi="en_US"/>
        </w:rPr>
      </w:r>
      <w:r>
        <w:rPr>
          <w:b/>
          <w:lang w:val="en_US" w:bidi="en_US"/>
        </w:rPr>
        <w:t>heaped abuse on Him:</w:t>
      </w:r>
      <w:r>
        <w:rPr>
          <w:lang w:val="en_US" w:bidi="en_US"/>
        </w:rPr>
        <w:t xml:space="preserve"> The Greek phrase that the BSB translates as the English idiom </w:t>
      </w:r>
      <w:r>
        <w:rPr>
          <w:i/>
          <w:lang w:val="en_US" w:bidi="en_US"/>
        </w:rPr>
        <w:t>heaped abuse on Him</w:t>
      </w:r>
      <w:r>
        <w:rPr>
          <w:lang w:val="en_US" w:bidi="en_US"/>
        </w:rPr>
        <w:t xml:space="preserve"> is literally “was blaspheming him, saying.” The verb “blaspheming” often refers to speaking against God, but it can also refer to speaking against a person, especially to insulting the person. Other ways to translate this are:</w:t>
      </w:r>
    </w:p>
    <w:p>
      <w:pPr/>
      <w:r>
        <w:rPr>
          <w:lang w:val="en_US" w:bidi="en_US"/>
        </w:rPr>
      </w:r>
      <w:r>
        <w:rPr>
          <w:lang w:val="en_US" w:bidi="en_US"/>
        </w:rPr>
        <w:t>insulted Jesus (GW)</w:t>
      </w:r>
    </w:p>
    <w:p>
      <w:pPr/>
      <w:r>
        <w:rPr>
          <w:lang w:val="en_US" w:bidi="en_US"/>
        </w:rPr>
      </w:r>
      <w:r>
        <w:rPr>
          <w:lang w:val="en_US" w:bidi="en_US"/>
        </w:rPr>
        <w:t>scoffed (NLT)</w:t>
      </w:r>
    </w:p>
    <w:p>
      <w:pPr/>
      <w:r>
        <w:rPr>
          <w:lang w:val="en_US" w:bidi="en_US"/>
        </w:rPr>
      </w:r>
      <w:r>
        <w:rPr>
          <w:lang w:val="en_US" w:bidi="en_US"/>
        </w:rPr>
        <w:t>The criminal insulted Jesus by saying the words in 23:39b. Some ways to indicate this are:</w:t>
      </w:r>
    </w:p>
    <w:p>
      <w:pPr/>
      <w:r>
        <w:rPr>
          <w:lang w:val="en_US" w:bidi="en_US"/>
        </w:rPr>
      </w:r>
      <w:r>
        <w:rPr>
          <w:lang w:val="en_US" w:bidi="en_US"/>
        </w:rPr>
        <w:t>He insulted him by saying</w:t>
      </w:r>
    </w:p>
    <w:p>
      <w:pPr/>
      <w:r>
        <w:rPr>
          <w:lang w:val="en_US" w:bidi="en_US"/>
        </w:rPr>
      </w:r>
      <w:r>
        <w:rPr>
          <w:lang w:val="en_US" w:bidi="en_US"/>
        </w:rPr>
        <w:t>He began to shout insults at him. He said</w:t>
      </w:r>
    </w:p>
    <w:p>
      <w:pPr>
        <w:pStyle w:val="Heading5"/>
      </w:pPr>
      <w:r>
        <w:rPr>
          <w:lang w:val="en_US" w:bidi="en_US"/>
        </w:rPr>
        <w:t>23:39b</w:t>
      </w:r>
    </w:p>
    <w:p>
      <w:pPr/>
      <w:r>
        <w:rPr>
          <w:lang w:val="en_US" w:bidi="en_US"/>
        </w:rPr>
      </w:r>
      <w:r>
        <w:rPr>
          <w:b/>
          <w:lang w:val="en_US" w:bidi="en_US"/>
        </w:rPr>
        <w:t>“Are You not the Christ?” he said. “Save Yourself and us!”</w:t>
      </w:r>
    </w:p>
    <w:p>
      <w:pPr>
        <w:pStyle w:val="ListBullet"/>
        <w:spacing w:line="240" w:lineRule="auto"/>
        <w:ind w:left="720"/>
      </w:pPr>
      <w:r>
        <w:rPr>
          <w:lang w:val="en_US" w:bidi="en_US"/>
        </w:rPr>
      </w:r>
      <w:r>
        <w:rPr>
          <w:lang w:val="en_US" w:bidi="en_US"/>
        </w:rPr>
        <w:t>“Are you</w:t>
      </w:r>
      <w:r>
        <w:rPr>
          <w:vertAlign w:val="superscript"/>
          <w:lang w:val="en_US" w:bidi="en_US"/>
        </w:rPr>
        <w:t>(sing)</w:t>
      </w:r>
      <w:r>
        <w:rPr>
          <w:lang w:val="en_US" w:bidi="en_US"/>
        </w:rPr>
        <w:t xml:space="preserve"> not the Messiah? </w:t>
      </w:r>
      <w:r>
        <w:rPr>
          <w:lang w:val="en_US" w:bidi="en_US"/>
        </w:rPr>
        <w:t>If you are, then</w:t>
      </w:r>
      <w:r>
        <w:rPr>
          <w:lang w:val="en_US" w:bidi="en_US"/>
        </w:rPr>
        <w:t xml:space="preserve"> save yourself and us</w:t>
      </w:r>
      <w:r>
        <w:rPr>
          <w:vertAlign w:val="superscript"/>
          <w:lang w:val="en_US" w:bidi="en_US"/>
        </w:rPr>
        <w:t>(dual/excl)</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claim to be the Messiah! So, save yourself and us</w:t>
      </w:r>
      <w:r>
        <w:rPr>
          <w:vertAlign w:val="superscript"/>
          <w:lang w:val="en_US" w:bidi="en_US"/>
        </w:rPr>
        <w:t>(dual/excl)</w:t>
      </w:r>
      <w:r>
        <w:rPr>
          <w:lang w:val="en_US" w:bidi="en_US"/>
        </w:rPr>
        <w:t xml:space="preserve"> too!”</w:t>
      </w:r>
    </w:p>
    <w:p>
      <w:pPr/>
      <w:r>
        <w:rPr>
          <w:lang w:val="en_US" w:bidi="en_US"/>
        </w:rPr>
      </w:r>
      <w:r>
        <w:rPr>
          <w:b/>
          <w:lang w:val="en_US" w:bidi="en_US"/>
        </w:rPr>
        <w:t>“Are You not the Christ?” he said. “Save Yourself and us!”:</w:t>
      </w:r>
      <w:r>
        <w:rPr>
          <w:lang w:val="en_US" w:bidi="en_US"/>
        </w:rPr>
        <w:t xml:space="preserve"> The Greek word that the BSB translates as </w:t>
      </w:r>
      <w:r>
        <w:rPr>
          <w:i/>
          <w:lang w:val="en_US" w:bidi="en_US"/>
        </w:rPr>
        <w:t>he said</w:t>
      </w:r>
      <w:r>
        <w:rPr>
          <w:lang w:val="en_US" w:bidi="en_US"/>
        </w:rPr>
        <w:t xml:space="preserve"> is literally “saying.” It occurs at the beginning of 23:39b. The BSB has places these words in the middle of what the criminal said to Jesus. This is good English style. However, in some languages, it may be necessary to put these words at the beginning of this clause. For example.</w:t>
      </w:r>
    </w:p>
    <w:p>
      <w:pPr/>
      <w:r>
        <w:rPr>
          <w:lang w:val="en_US" w:bidi="en_US"/>
        </w:rPr>
      </w:r>
      <w:r>
        <w:rPr>
          <w:lang w:val="en_US" w:bidi="en_US"/>
        </w:rPr>
        <w:t>saying, “Are you not the Christ? Save yourself and us!”</w:t>
      </w:r>
    </w:p>
    <w:p>
      <w:pPr/>
      <w:r>
        <w:rPr>
          <w:lang w:val="en_US" w:bidi="en_US"/>
        </w:rPr>
      </w:r>
      <w:r>
        <w:rPr>
          <w:lang w:val="en_US" w:bidi="en_US"/>
        </w:rPr>
        <w:t>Place this word where it will most naturally introduce speech in your language.</w:t>
      </w:r>
    </w:p>
    <w:p>
      <w:pPr/>
      <w:r>
        <w:rPr>
          <w:lang w:val="en_US" w:bidi="en_US"/>
        </w:rPr>
      </w:r>
      <w:r>
        <w:rPr>
          <w:lang w:val="en_US" w:bidi="en_US"/>
        </w:rPr>
        <w:t xml:space="preserve">The clause </w:t>
      </w:r>
      <w:r>
        <w:rPr>
          <w:i/>
          <w:lang w:val="en_US" w:bidi="en_US"/>
        </w:rPr>
        <w:t>Are You not the Christ?</w:t>
      </w:r>
      <w:r>
        <w:rPr>
          <w:lang w:val="en_US" w:bidi="en_US"/>
        </w:rPr>
        <w:t xml:space="preserve"> is a rhetorical question. The man on the cross used it to mock Jesus. He did not believe that Jesus was really the Christ. He also used the question to introduce the demand </w:t>
      </w:r>
      <w:r>
        <w:rPr>
          <w:i/>
          <w:lang w:val="en_US" w:bidi="en_US"/>
        </w:rPr>
        <w:t>Save Yourself and us</w:t>
      </w:r>
      <w:r>
        <w:rPr>
          <w:lang w:val="en_US" w:bidi="en_US"/>
        </w:rPr>
        <w:t>. Like the question, the demand was also used to mock Jesus. The criminal did not believe that Jesus could save himself or them.</w:t>
      </w:r>
    </w:p>
    <w:p>
      <w:pPr/>
      <w:r>
        <w:rPr>
          <w:lang w:val="en_US" w:bidi="en_US"/>
        </w:rPr>
      </w:r>
      <w:r>
        <w:rPr>
          <w:lang w:val="en_US" w:bidi="en_US"/>
        </w:rPr>
        <w:t>Some ways to translate this mockery are:</w:t>
      </w:r>
    </w:p>
    <w:p>
      <w:pPr>
        <w:pStyle w:val="ListBullet"/>
        <w:spacing w:line="240" w:lineRule="auto"/>
        <w:ind w:left="720"/>
      </w:pPr>
      <w:r>
        <w:rPr>
          <w:lang w:val="en_US" w:bidi="en_US"/>
        </w:rPr>
      </w:r>
      <w:r>
        <w:rPr>
          <w:lang w:val="en_US" w:bidi="en_US"/>
        </w:rPr>
        <w:t>As a rhetorical question and demand. For example:</w:t>
      </w:r>
      <w:r>
        <w:rPr>
          <w:lang w:val="en_US" w:bidi="en_US"/>
        </w:rPr>
        <w:t>So you’re really the Messiah, are you? Well, save yourself and us! (GW)</w:t>
      </w:r>
      <w:r>
        <w:rPr>
          <w:lang w:val="en_US" w:bidi="en_US"/>
        </w:rPr>
        <w:t>Are you not the Christ? Save yourself and us as well. (NJB)</w:t>
      </w:r>
      <w:r>
        <w:rPr>
          <w:lang w:val="en_US" w:bidi="en_US"/>
        </w:rPr>
        <w:t xml:space="preserve">You </w:t>
      </w:r>
      <w:r>
        <w:rPr>
          <w:lang w:val="en_US" w:bidi="en_US"/>
        </w:rPr>
        <w:t>claim</w:t>
      </w:r>
      <w:r>
        <w:rPr>
          <w:lang w:val="en_US" w:bidi="en_US"/>
        </w:rPr>
        <w:t xml:space="preserve"> to be the Christ, don’t you ? Then/So save yourself and us.</w:t>
      </w:r>
    </w:p>
    <w:p>
      <w:pPr>
        <w:pStyle w:val="ListBullet"/>
        <w:spacing w:line="240" w:lineRule="auto"/>
        <w:ind w:left="720"/>
      </w:pPr>
      <w:r>
        <w:rPr>
          <w:lang w:val="en_US" w:bidi="en_US"/>
        </w:rPr>
      </w:r>
      <w:r>
        <w:rPr>
          <w:lang w:val="en_US" w:bidi="en_US"/>
        </w:rPr>
        <w:t>As a statement or introduction and demand. For example:</w:t>
      </w:r>
      <w:r>
        <w:rPr>
          <w:lang w:val="en_US" w:bidi="en_US"/>
        </w:rPr>
        <w:t>Since you are the Christ, save yourself and us!</w:t>
      </w:r>
      <w:r>
        <w:rPr>
          <w:lang w:val="en_US" w:bidi="en_US"/>
        </w:rPr>
        <w:t>You say/claim that you are the Christ. Then/So save yourself and us!</w:t>
      </w:r>
    </w:p>
    <w:p>
      <w:pPr>
        <w:pStyle w:val="ListBullet"/>
        <w:spacing w:line="240" w:lineRule="auto"/>
        <w:ind w:left="720"/>
      </w:pPr>
      <w:r>
        <w:rPr>
          <w:lang w:val="en_US" w:bidi="en_US"/>
        </w:rPr>
      </w:r>
      <w:r>
        <w:rPr>
          <w:lang w:val="en_US" w:bidi="en_US"/>
        </w:rPr>
        <w:t>As two rhetorical questions that express scorn and demand. For example:</w:t>
      </w:r>
      <w:r>
        <w:rPr>
          <w:lang w:val="en_US" w:bidi="en_US"/>
        </w:rPr>
        <w:t>You are the Christ, aren’t you? So why do you not save yourself and us?</w:t>
      </w:r>
    </w:p>
    <w:p>
      <w:pPr/>
      <w:r>
        <w:rPr>
          <w:lang w:val="en_US" w:bidi="en_US"/>
        </w:rPr>
      </w:r>
      <w:r>
        <w:rPr>
          <w:lang w:val="en_US" w:bidi="en_US"/>
        </w:rPr>
        <w:t>There are many ways to express this mockery. Translate it in a way that is natural in your language.</w:t>
      </w:r>
    </w:p>
    <w:p>
      <w:pPr/>
      <w:r>
        <w:rPr>
          <w:lang w:val="en_US" w:bidi="en_US"/>
        </w:rPr>
      </w:r>
      <w:r>
        <w:rPr>
          <w:b/>
          <w:lang w:val="en_US" w:bidi="en_US"/>
        </w:rPr>
        <w:t>the Christ:</w:t>
      </w:r>
      <w:r>
        <w:rPr>
          <w:lang w:val="en_US" w:bidi="en_US"/>
        </w:rPr>
        <w:t xml:space="preserve"> The word </w:t>
      </w:r>
      <w:r>
        <w:rPr>
          <w:i/>
          <w:lang w:val="en_US" w:bidi="en_US"/>
        </w:rPr>
        <w:t>Christ</w:t>
      </w:r>
      <w:r>
        <w:rPr>
          <w:lang w:val="en_US" w:bidi="en_US"/>
        </w:rPr>
        <w:t xml:space="preserve"> was used in 23:35 and 23:2. See how you translated it there.</w:t>
      </w:r>
    </w:p>
    <w:p>
      <w:pPr/>
      <w:r>
        <w:rPr>
          <w:lang w:val="en_US" w:bidi="en_US"/>
        </w:rPr>
      </w:r>
      <w:r>
        <w:rPr>
          <w:b/>
          <w:lang w:val="en_US" w:bidi="en_US"/>
        </w:rPr>
        <w:t>Save:</w:t>
      </w:r>
      <w:r>
        <w:rPr>
          <w:lang w:val="en_US" w:bidi="en_US"/>
        </w:rPr>
        <w:t xml:space="preserve"> The word </w:t>
      </w:r>
      <w:r>
        <w:rPr>
          <w:i/>
          <w:lang w:val="en_US" w:bidi="en_US"/>
        </w:rPr>
        <w:t>Save</w:t>
      </w:r>
      <w:r>
        <w:rPr>
          <w:lang w:val="en_US" w:bidi="en_US"/>
        </w:rPr>
        <w:t xml:space="preserve"> is used in the same way here as in 23:35.</w:t>
      </w:r>
    </w:p>
    <w:p>
      <w:pPr/>
      <w:r>
        <w:rPr>
          <w:lang w:val="en_US" w:bidi="en_US"/>
        </w:rPr>
      </w:r>
      <w:r>
        <w:rPr>
          <w:b/>
          <w:lang w:val="en_US" w:bidi="en_US"/>
        </w:rPr>
        <w:t>Yourself and us:</w:t>
      </w:r>
      <w:r>
        <w:rPr>
          <w:lang w:val="en_US" w:bidi="en_US"/>
        </w:rPr>
        <w:t xml:space="preserve"> The word </w:t>
      </w:r>
      <w:r>
        <w:rPr>
          <w:i/>
          <w:lang w:val="en_US" w:bidi="en_US"/>
        </w:rPr>
        <w:t>Yourself</w:t>
      </w:r>
      <w:r>
        <w:rPr>
          <w:lang w:val="en_US" w:bidi="en_US"/>
        </w:rPr>
        <w:t xml:space="preserve"> refers to Jesus. The word </w:t>
      </w:r>
      <w:r>
        <w:rPr>
          <w:i/>
          <w:lang w:val="en_US" w:bidi="en_US"/>
        </w:rPr>
        <w:t>us</w:t>
      </w:r>
      <w:r>
        <w:rPr>
          <w:lang w:val="en_US" w:bidi="en_US"/>
        </w:rPr>
        <w:t xml:space="preserve"> refers to the two criminals who were crucified on each side of him. In some languages it may be necessary to refer to the criminals more specifically. For example:</w:t>
      </w:r>
    </w:p>
    <w:p>
      <w:pPr/>
      <w:r>
        <w:rPr>
          <w:lang w:val="en_US" w:bidi="en_US"/>
        </w:rPr>
      </w:r>
      <w:r>
        <w:rPr>
          <w:lang w:val="en_US" w:bidi="en_US"/>
        </w:rPr>
        <w:t xml:space="preserve">yourself and us </w:t>
      </w:r>
      <w:r>
        <w:rPr>
          <w:lang w:val="en_US" w:bidi="en_US"/>
        </w:rPr>
        <w:t>two</w:t>
      </w:r>
      <w:r>
        <w:rPr>
          <w:lang w:val="en_US" w:bidi="en_US"/>
        </w:rPr>
        <w:t xml:space="preserve"> </w:t>
      </w:r>
      <w:r>
        <w:rPr>
          <w:lang w:val="en_US" w:bidi="en_US"/>
        </w:rPr>
        <w:t>beside you</w:t>
      </w:r>
    </w:p>
    <w:p>
      <w:pPr/>
      <w:r>
        <w:rPr>
          <w:lang w:val="en_US" w:bidi="en_US"/>
        </w:rPr>
      </w:r>
      <w:r>
        <w:rPr>
          <w:lang w:val="en_US" w:bidi="en_US"/>
        </w:rPr>
        <w:t>See save, Meaning 1, in the Glossary.</w:t>
      </w:r>
      <w:r>
        <w:rPr>
          <w:lang w:val="en_US" w:bidi="en_US"/>
        </w:rPr>
      </w:r>
      <w:r>
        <w:rPr>
          <w:lang w:val="en_US" w:bidi="en_US"/>
        </w:rPr>
      </w:r>
    </w:p>
    <w:p>
      <w:pPr/>
      <w:r>
        <w:rPr>
          <w:lang w:val="en_US" w:bidi="en_US"/>
        </w:rPr>
      </w:r>
    </w:p>
    <w:p>
      <w:pPr>
        <w:pStyle w:val="Heading2"/>
      </w:pPr>
      <w:r>
        <w:rPr>
          <w:lang w:val="en_US" w:bidi="en_US"/>
        </w:rPr>
        <w:t>Luke 23:40</w:t>
      </w:r>
      <w:r>
        <w:rPr>
          <w:lang w:val="en_US" w:bidi="en_US"/>
        </w:rPr>
      </w:r>
    </w:p>
    <w:p>
      <w:pPr>
        <w:pStyle w:val="Heading4"/>
      </w:pPr>
      <w:r>
        <w:rPr>
          <w:lang w:val="en_US" w:bidi="en_US"/>
        </w:rPr>
        <w:t>Section 23:26–43: Soldiers nailed Jesus to a cross</w:t>
      </w:r>
    </w:p>
    <w:p>
      <w:pPr/>
      <w:r>
        <w:rPr>
          <w:lang w:val="en_US" w:bidi="en_US"/>
        </w:rPr>
      </w:r>
      <w:r>
        <w:rPr>
          <w:lang w:val="en_US" w:bidi="en_US"/>
        </w:rP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pPr/>
      <w:r>
        <w:rPr>
          <w:lang w:val="en_US" w:bidi="en_US"/>
        </w:rPr>
      </w:r>
      <w:r>
        <w:rPr>
          <w:lang w:val="en_US" w:bidi="en_US"/>
        </w:rPr>
        <w:t>Other examples of headings for this section are:</w:t>
      </w:r>
    </w:p>
    <w:p>
      <w:pPr/>
      <w:r>
        <w:rPr>
          <w:lang w:val="en_US" w:bidi="en_US"/>
        </w:rPr>
      </w:r>
      <w:r>
        <w:rPr>
          <w:lang w:val="en_US" w:bidi="en_US"/>
        </w:rPr>
        <w:t>The Crucifixion (NIV)</w:t>
      </w:r>
    </w:p>
    <w:p>
      <w:pPr/>
      <w:r>
        <w:rPr>
          <w:lang w:val="en_US" w:bidi="en_US"/>
        </w:rPr>
      </w:r>
      <w:r>
        <w:rPr>
          <w:lang w:val="en_US" w:bidi="en_US"/>
        </w:rPr>
        <w:t>Jesus Is Nailed to a Cross (CEV)</w:t>
      </w:r>
    </w:p>
    <w:p>
      <w:pPr/>
      <w:r>
        <w:rPr>
          <w:lang w:val="en_US" w:bidi="en_US"/>
        </w:rPr>
      </w:r>
      <w:r>
        <w:rPr>
          <w:lang w:val="en_US" w:bidi="en_US"/>
        </w:rPr>
        <w:t>Roman soldiers nailed Jesus to a cross</w:t>
      </w:r>
    </w:p>
    <w:p>
      <w:pPr/>
      <w:r>
        <w:rPr>
          <w:lang w:val="en_US" w:bidi="en_US"/>
        </w:rPr>
      </w:r>
      <w:r>
        <w:rPr>
          <w:lang w:val="en_US" w:bidi="en_US"/>
        </w:rPr>
        <w:t>There are parallel passages for this section in Matthew 27:31–44, Mark 15:21–32, and John 19:17–27.</w:t>
      </w:r>
    </w:p>
    <w:p>
      <w:pPr>
        <w:pStyle w:val="Heading5"/>
      </w:pPr>
      <w:r>
        <w:rPr>
          <w:lang w:val="en_US" w:bidi="en_US"/>
        </w:rPr>
        <w:t>23:40a</w:t>
      </w:r>
    </w:p>
    <w:p>
      <w:pPr/>
      <w:r>
        <w:rPr>
          <w:lang w:val="en_US" w:bidi="en_US"/>
        </w:rPr>
      </w:r>
      <w:r>
        <w:rPr>
          <w:b/>
          <w:lang w:val="en_US" w:bidi="en_US"/>
        </w:rPr>
        <w:t>But the other one rebuked him,</w:t>
      </w:r>
    </w:p>
    <w:p>
      <w:pPr>
        <w:pStyle w:val="ListBullet"/>
        <w:spacing w:line="240" w:lineRule="auto"/>
        <w:ind w:left="720"/>
      </w:pPr>
      <w:r>
        <w:rPr>
          <w:lang w:val="en_US" w:bidi="en_US"/>
        </w:rPr>
      </w:r>
      <w:r>
        <w:rPr>
          <w:lang w:val="en_US" w:bidi="en_US"/>
        </w:rPr>
        <w:t xml:space="preserve">But the other criminal </w:t>
      </w:r>
      <w:r>
        <w:rPr>
          <w:lang w:val="en_US" w:bidi="en_US"/>
        </w:rPr>
        <w:t>hanging there</w:t>
      </w:r>
      <w:r>
        <w:rPr>
          <w:lang w:val="en_US" w:bidi="en_US"/>
        </w:rPr>
        <w:t xml:space="preserve"> rebuked/reproached that criminal,</w:t>
      </w:r>
    </w:p>
    <w:p>
      <w:pPr>
        <w:pStyle w:val="ListBullet"/>
        <w:spacing w:line="240" w:lineRule="auto"/>
        <w:ind w:left="720"/>
      </w:pPr>
      <w:r>
        <w:rPr>
          <w:lang w:val="en_US" w:bidi="en_US"/>
        </w:rPr>
      </w:r>
      <w:r>
        <w:rPr>
          <w:lang w:val="en_US" w:bidi="en_US"/>
        </w:rPr>
        <w:t>But then the other evildoer warned/scolded him.</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with the criminal’s mocking in 23:39. Translate the contrast in a natural way in your language.</w:t>
      </w:r>
    </w:p>
    <w:p>
      <w:pPr/>
      <w:r>
        <w:rPr>
          <w:lang w:val="en_US" w:bidi="en_US"/>
        </w:rPr>
      </w:r>
      <w:r>
        <w:rPr>
          <w:b/>
          <w:lang w:val="en_US" w:bidi="en_US"/>
        </w:rPr>
        <w:t>the other one rebuked him:</w:t>
      </w:r>
      <w:r>
        <w:rPr>
          <w:lang w:val="en_US" w:bidi="en_US"/>
        </w:rPr>
        <w:t xml:space="preserve"> This clause indicates that the other evildoer on a nearby cross rebuked the criminal who mocked Jesus. This rebuke is quoted in 23:40b–41. The rebuke also implies a warning that God may punish the man for mocking Jesus because Jesus was innocent. Some other ways to translate the clause are:</w:t>
      </w:r>
    </w:p>
    <w:p>
      <w:pPr/>
      <w:r>
        <w:rPr>
          <w:lang w:val="en_US" w:bidi="en_US"/>
        </w:rPr>
      </w:r>
      <w:r>
        <w:rPr>
          <w:lang w:val="en_US" w:bidi="en_US"/>
        </w:rPr>
        <w:t>the other criminal scolded him (GW)</w:t>
      </w:r>
    </w:p>
    <w:p>
      <w:pPr/>
      <w:r>
        <w:rPr>
          <w:lang w:val="en_US" w:bidi="en_US"/>
        </w:rPr>
      </w:r>
      <w:r>
        <w:rPr>
          <w:lang w:val="en_US" w:bidi="en_US"/>
        </w:rPr>
        <w:t>…the other criminal responded with a stern warning. He said</w:t>
      </w:r>
    </w:p>
    <w:p>
      <w:pPr/>
      <w:r>
        <w:rPr>
          <w:lang w:val="en_US" w:bidi="en_US"/>
        </w:rPr>
      </w:r>
      <w:r>
        <w:rPr>
          <w:b/>
          <w:lang w:val="en_US" w:bidi="en_US"/>
        </w:rPr>
        <w:t>the other one:</w:t>
      </w:r>
      <w:r>
        <w:rPr>
          <w:lang w:val="en_US" w:bidi="en_US"/>
        </w:rPr>
        <w:t xml:space="preserve"> The phrase </w:t>
      </w:r>
      <w:r>
        <w:rPr>
          <w:i/>
          <w:lang w:val="en_US" w:bidi="en_US"/>
        </w:rPr>
        <w:t>the other one</w:t>
      </w:r>
      <w:r>
        <w:rPr>
          <w:lang w:val="en_US" w:bidi="en_US"/>
        </w:rPr>
        <w:t xml:space="preserve"> refers to the other evildoer who was crucified on the other side of Jesus. He was mentioned in 23:32. Refer to him here in a clear way in your language.</w:t>
      </w:r>
    </w:p>
    <w:p>
      <w:pPr/>
      <w:r>
        <w:rPr>
          <w:lang w:val="en_US" w:bidi="en_US"/>
        </w:rPr>
      </w:r>
      <w:r>
        <w:rPr>
          <w:b/>
          <w:lang w:val="en_US" w:bidi="en_US"/>
        </w:rPr>
        <w:t>rebuked him:</w:t>
      </w:r>
      <w:r>
        <w:rPr>
          <w:lang w:val="en_US" w:bidi="en_US"/>
        </w:rPr>
        <w:t xml:space="preserve"> The Greek word that the BSB translates as </w:t>
      </w:r>
      <w:r>
        <w:rPr>
          <w:i/>
          <w:lang w:val="en_US" w:bidi="en_US"/>
        </w:rPr>
        <w:t>rebuked</w:t>
      </w:r>
      <w:r>
        <w:rPr>
          <w:lang w:val="en_US" w:bidi="en_US"/>
        </w:rPr>
        <w:t xml:space="preserve"> means “expressed strong disapproval” or “warned.” The other criminal near Jesus rebuked the mocking criminal. He told him why he was wrong to mock Jesus like that. The phrase </w:t>
      </w:r>
      <w:r>
        <w:rPr>
          <w:i/>
          <w:lang w:val="en_US" w:bidi="en_US"/>
        </w:rPr>
        <w:t>rebuked him</w:t>
      </w:r>
      <w:r>
        <w:rPr>
          <w:lang w:val="en_US" w:bidi="en_US"/>
        </w:rPr>
        <w:t xml:space="preserve"> introduces and describes the quote in 23:40b–c. Introduce it in a natural way in your language.</w:t>
      </w:r>
    </w:p>
    <w:p>
      <w:pPr/>
      <w:r>
        <w:rPr>
          <w:lang w:val="en_US" w:bidi="en_US"/>
        </w:rPr>
      </w:r>
      <w:r>
        <w:rPr>
          <w:lang w:val="en_US" w:bidi="en_US"/>
        </w:rPr>
        <w:t xml:space="preserve">In some languages the meaning of </w:t>
      </w:r>
      <w:r>
        <w:rPr>
          <w:i/>
          <w:lang w:val="en_US" w:bidi="en_US"/>
        </w:rPr>
        <w:t>rebuked</w:t>
      </w:r>
      <w:r>
        <w:rPr>
          <w:lang w:val="en_US" w:bidi="en_US"/>
        </w:rPr>
        <w:t xml:space="preserve"> must be translated inside the quote itself. For example:</w:t>
      </w:r>
    </w:p>
    <w:p>
      <w:pPr/>
      <w:r>
        <w:rPr>
          <w:lang w:val="en_US" w:bidi="en_US"/>
        </w:rPr>
      </w:r>
      <w:r>
        <w:rPr>
          <w:lang w:val="en_US" w:bidi="en_US"/>
        </w:rPr>
        <w:t>said to him, “You should not say that!”</w:t>
      </w:r>
    </w:p>
    <w:p>
      <w:pPr>
        <w:pStyle w:val="Heading5"/>
      </w:pPr>
      <w:r>
        <w:rPr>
          <w:lang w:val="en_US" w:bidi="en_US"/>
        </w:rPr>
        <w:t>23:40b</w:t>
      </w:r>
    </w:p>
    <w:p>
      <w:pPr/>
      <w:r>
        <w:rPr>
          <w:lang w:val="en_US" w:bidi="en_US"/>
        </w:rPr>
      </w:r>
      <w:r>
        <w:rPr>
          <w:b/>
          <w:lang w:val="en_US" w:bidi="en_US"/>
        </w:rPr>
        <w:t>saying, “Do you not even fear God,</w:t>
      </w:r>
    </w:p>
    <w:p>
      <w:pPr>
        <w:pStyle w:val="ListBullet"/>
        <w:spacing w:line="240" w:lineRule="auto"/>
        <w:ind w:left="720"/>
      </w:pPr>
      <w:r>
        <w:rPr>
          <w:lang w:val="en_US" w:bidi="en_US"/>
        </w:rPr>
      </w:r>
      <w:r>
        <w:rPr>
          <w:lang w:val="en_US" w:bidi="en_US"/>
        </w:rPr>
        <w:t>saying, “Should you</w:t>
      </w:r>
      <w:r>
        <w:rPr>
          <w:vertAlign w:val="superscript"/>
          <w:lang w:val="en_US" w:bidi="en_US"/>
        </w:rPr>
        <w:t>(sing)</w:t>
      </w:r>
      <w:r>
        <w:rPr>
          <w:lang w:val="en_US" w:bidi="en_US"/>
        </w:rPr>
        <w:t xml:space="preserve"> not fear/respect God,</w:t>
      </w:r>
    </w:p>
    <w:p>
      <w:pPr>
        <w:pStyle w:val="ListBullet"/>
        <w:spacing w:line="240" w:lineRule="auto"/>
        <w:ind w:left="720"/>
      </w:pPr>
      <w:r>
        <w:rPr>
          <w:lang w:val="en_US" w:bidi="en_US"/>
        </w:rPr>
      </w:r>
      <w:r>
        <w:rPr>
          <w:lang w:val="en_US" w:bidi="en_US"/>
        </w:rPr>
        <w:t>He said, “Why do you</w:t>
      </w:r>
      <w:r>
        <w:rPr>
          <w:vertAlign w:val="superscript"/>
          <w:lang w:val="en_US" w:bidi="en_US"/>
        </w:rPr>
        <w:t>(sing)</w:t>
      </w:r>
      <w:r>
        <w:rPr>
          <w:lang w:val="en_US" w:bidi="en_US"/>
        </w:rPr>
        <w:t xml:space="preserve"> </w:t>
      </w:r>
      <w:r>
        <w:rPr>
          <w:lang w:val="en_US" w:bidi="en_US"/>
        </w:rPr>
        <w:t>say those evil things</w:t>
      </w:r>
      <w:r>
        <w:rPr>
          <w:lang w:val="en_US" w:bidi="en_US"/>
        </w:rPr>
        <w:t>? You</w:t>
      </w:r>
      <w:r>
        <w:rPr>
          <w:vertAlign w:val="superscript"/>
          <w:lang w:val="en_US" w:bidi="en_US"/>
        </w:rPr>
        <w:t>(sing)</w:t>
      </w:r>
      <w:r>
        <w:rPr>
          <w:lang w:val="en_US" w:bidi="en_US"/>
        </w:rPr>
        <w:t xml:space="preserve"> should reverence God.</w:t>
      </w:r>
    </w:p>
    <w:p>
      <w:pPr>
        <w:pStyle w:val="Heading5"/>
      </w:pPr>
      <w:r>
        <w:rPr>
          <w:lang w:val="en_US" w:bidi="en_US"/>
        </w:rPr>
        <w:t>23:40c</w:t>
      </w:r>
    </w:p>
    <w:p>
      <w:pPr/>
      <w:r>
        <w:rPr>
          <w:lang w:val="en_US" w:bidi="en_US"/>
        </w:rPr>
      </w:r>
      <w:r>
        <w:rPr>
          <w:b/>
          <w:lang w:val="en_US" w:bidi="en_US"/>
        </w:rPr>
        <w:t>since you are under the same judgment?</w:t>
      </w:r>
    </w:p>
    <w:p>
      <w:pPr>
        <w:pStyle w:val="ListBullet"/>
        <w:spacing w:line="240" w:lineRule="auto"/>
        <w:ind w:left="720"/>
      </w:pPr>
      <w:r>
        <w:rPr>
          <w:lang w:val="en_US" w:bidi="en_US"/>
        </w:rPr>
      </w:r>
      <w:r>
        <w:rPr>
          <w:lang w:val="en_US" w:bidi="en_US"/>
        </w:rPr>
        <w:t>since you</w:t>
      </w:r>
      <w:r>
        <w:rPr>
          <w:vertAlign w:val="superscript"/>
          <w:lang w:val="en_US" w:bidi="en_US"/>
        </w:rPr>
        <w:t>(sing)</w:t>
      </w:r>
      <w:r>
        <w:rPr>
          <w:lang w:val="en_US" w:bidi="en_US"/>
        </w:rPr>
        <w:t xml:space="preserve"> have been sentenced </w:t>
      </w:r>
      <w:r>
        <w:rPr>
          <w:lang w:val="en_US" w:bidi="en_US"/>
        </w:rPr>
        <w:t>to die</w:t>
      </w:r>
      <w:r>
        <w:rPr>
          <w:lang w:val="en_US" w:bidi="en_US"/>
        </w:rPr>
        <w:t xml:space="preserve"> just as </w:t>
      </w:r>
      <w:r>
        <w:rPr>
          <w:lang w:val="en_US" w:bidi="en_US"/>
        </w:rPr>
        <w:t>he</w:t>
      </w:r>
      <w:r>
        <w:rPr>
          <w:lang w:val="en_US" w:bidi="en_US"/>
        </w:rPr>
        <w:t xml:space="preserve"> has </w:t>
      </w:r>
      <w:r>
        <w:rPr>
          <w:lang w:val="en_US" w:bidi="en_US"/>
        </w:rPr>
        <w:t>been sentenced to die</w:t>
      </w:r>
      <w:r>
        <w:rPr>
          <w:lang w:val="en_US" w:bidi="en_US"/>
        </w:rPr>
        <w:t>?</w:t>
      </w:r>
    </w:p>
    <w:p>
      <w:pPr>
        <w:pStyle w:val="ListBullet"/>
        <w:spacing w:line="240" w:lineRule="auto"/>
        <w:ind w:left="720"/>
      </w:pPr>
      <w:r>
        <w:rPr>
          <w:lang w:val="en_US" w:bidi="en_US"/>
        </w:rPr>
      </w:r>
      <w:r>
        <w:rPr>
          <w:lang w:val="en_US" w:bidi="en_US"/>
        </w:rPr>
        <w:t>for you</w:t>
      </w:r>
      <w:r>
        <w:rPr>
          <w:vertAlign w:val="superscript"/>
          <w:lang w:val="en_US" w:bidi="en_US"/>
        </w:rPr>
        <w:t>(sing)</w:t>
      </w:r>
      <w:r>
        <w:rPr>
          <w:lang w:val="en_US" w:bidi="en_US"/>
        </w:rPr>
        <w:t xml:space="preserve"> are dying </w:t>
      </w:r>
      <w:r>
        <w:rPr>
          <w:lang w:val="en_US" w:bidi="en_US"/>
        </w:rPr>
        <w:t>on a cross</w:t>
      </w:r>
      <w:r>
        <w:rPr>
          <w:lang w:val="en_US" w:bidi="en_US"/>
        </w:rPr>
        <w:t xml:space="preserve"> just like he/Jesus is.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he, </w:t>
      </w:r>
      <w:r>
        <w:rPr>
          <w:lang w:val="en_US" w:bidi="en_US"/>
        </w:rPr>
        <w:t>and I</w:t>
      </w:r>
      <w:r>
        <w:rPr>
          <w:lang w:val="en_US" w:bidi="en_US"/>
        </w:rPr>
        <w:t xml:space="preserve"> are all </w:t>
      </w:r>
      <w:r>
        <w:rPr>
          <w:lang w:val="en_US" w:bidi="en_US"/>
        </w:rPr>
        <w:t>dying</w:t>
      </w:r>
      <w:r>
        <w:rPr>
          <w:lang w:val="en_US" w:bidi="en_US"/>
        </w:rPr>
        <w:t>, as the judge decided.</w:t>
      </w:r>
    </w:p>
    <w:p>
      <w:pPr>
        <w:pStyle w:val="Heading5"/>
      </w:pPr>
      <w:r>
        <w:rPr>
          <w:lang w:val="en_US" w:bidi="en_US"/>
        </w:rPr>
        <w:t>23:40b–c</w:t>
      </w:r>
    </w:p>
    <w:p>
      <w:pPr/>
      <w:r>
        <w:rPr>
          <w:lang w:val="en_US" w:bidi="en_US"/>
        </w:rPr>
      </w:r>
      <w:r>
        <w:rPr>
          <w:b/>
          <w:lang w:val="en_US" w:bidi="en_US"/>
        </w:rPr>
        <w:t>saying:</w:t>
      </w:r>
      <w:r>
        <w:rPr>
          <w:lang w:val="en_US" w:bidi="en_US"/>
        </w:rPr>
        <w:t xml:space="preserve"> The Greek word that the BSB literally translates as </w:t>
      </w:r>
      <w:r>
        <w:rPr>
          <w:i/>
          <w:lang w:val="en_US" w:bidi="en_US"/>
        </w:rPr>
        <w:t>saying</w:t>
      </w:r>
      <w:r>
        <w:rPr>
          <w:lang w:val="en_US" w:bidi="en_US"/>
        </w:rPr>
        <w:t xml:space="preserve"> introduces the rebuke in 40:b-c. Some English versions put the phrase in the middle of the quote. Place it where it is natural in your language.</w:t>
      </w:r>
    </w:p>
    <w:p>
      <w:pPr/>
      <w:r>
        <w:rPr>
          <w:lang w:val="en_US" w:bidi="en_US"/>
        </w:rPr>
      </w:r>
      <w:r>
        <w:rPr>
          <w:b/>
          <w:lang w:val="en_US" w:bidi="en_US"/>
        </w:rPr>
        <w:t>Do you not even fear God, since you are under the same judgment?:</w:t>
      </w:r>
      <w:r>
        <w:rPr>
          <w:lang w:val="en_US" w:bidi="en_US"/>
        </w:rPr>
        <w:t xml:space="preserve"> This is a rhetorical question. It expresses a rebuke. The other criminal rebuked the one who mocked Jesus. The way that criminal mocked Jesus showed that he did not fear God. Usually a person who was sentenced to die should think seriously about getting ready to go to God.</w:t>
      </w:r>
    </w:p>
    <w:p>
      <w:pPr/>
      <w:r>
        <w:rPr>
          <w:lang w:val="en_US" w:bidi="en_US"/>
        </w:rPr>
      </w:r>
      <w:r>
        <w:rPr>
          <w:lang w:val="en_US" w:bidi="en_US"/>
        </w:rPr>
        <w:t>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Why do you</w:t>
      </w:r>
      <w:r>
        <w:rPr>
          <w:vertAlign w:val="superscript"/>
          <w:lang w:val="en_US" w:bidi="en_US"/>
        </w:rPr>
        <w:t>(sing)</w:t>
      </w:r>
      <w:r>
        <w:rPr>
          <w:lang w:val="en_US" w:bidi="en_US"/>
        </w:rPr>
        <w:t xml:space="preserve"> not fear God, since you have received the same sentence?</w:t>
      </w:r>
      <w:r>
        <w:rPr>
          <w:lang w:val="en_US" w:bidi="en_US"/>
        </w:rPr>
        <w:t>Why do you speak like that? Is it that you are not afraid of God? All three of us have the same judgment.</w:t>
      </w:r>
      <w:r>
        <w:rPr>
          <w:lang w:val="en_US" w:bidi="en_US"/>
        </w:rPr>
        <w:t>Yakan back translation on TW.</w:t>
      </w:r>
    </w:p>
    <w:p>
      <w:pPr>
        <w:pStyle w:val="ListBullet"/>
        <w:spacing w:line="240" w:lineRule="auto"/>
        <w:ind w:left="720"/>
      </w:pPr>
      <w:r>
        <w:rPr>
          <w:lang w:val="en_US" w:bidi="en_US"/>
        </w:rPr>
      </w:r>
      <w:r>
        <w:rPr>
          <w:lang w:val="en_US" w:bidi="en_US"/>
        </w:rPr>
        <w:t>As a statement or exclamation. For example:</w:t>
      </w:r>
      <w:r>
        <w:rPr>
          <w:lang w:val="en_US" w:bidi="en_US"/>
        </w:rPr>
        <w:t xml:space="preserve">You should respect/fear God because you are condemned </w:t>
      </w:r>
      <w:r>
        <w:rPr>
          <w:lang w:val="en_US" w:bidi="en_US"/>
        </w:rPr>
        <w:t>to die</w:t>
      </w:r>
      <w:r>
        <w:rPr>
          <w:lang w:val="en_US" w:bidi="en_US"/>
        </w:rPr>
        <w:t xml:space="preserve"> just as this man is.</w:t>
      </w:r>
    </w:p>
    <w:p>
      <w:pPr/>
      <w:r>
        <w:rPr>
          <w:lang w:val="en_US" w:bidi="en_US"/>
        </w:rPr>
      </w:r>
      <w:r>
        <w:rPr>
          <w:lang w:val="en_US" w:bidi="en_US"/>
        </w:rPr>
        <w:t>Translate this rebuke in a way that is natural in your language.</w:t>
      </w:r>
    </w:p>
    <w:p>
      <w:pPr/>
      <w:r>
        <w:rPr>
          <w:lang w:val="en_US" w:bidi="en_US"/>
        </w:rPr>
      </w:r>
      <w:r>
        <w:rPr>
          <w:b/>
          <w:lang w:val="en_US" w:bidi="en_US"/>
        </w:rPr>
        <w:t>fear God:</w:t>
      </w:r>
      <w:r>
        <w:rPr>
          <w:lang w:val="en_US" w:bidi="en_US"/>
        </w:rPr>
        <w:t xml:space="preserve"> The Greek phrase that the BSB translates as </w:t>
      </w:r>
      <w:r>
        <w:rPr>
          <w:i/>
          <w:lang w:val="en_US" w:bidi="en_US"/>
        </w:rPr>
        <w:t>fear God</w:t>
      </w:r>
      <w:r>
        <w:rPr>
          <w:lang w:val="en_US" w:bidi="en_US"/>
        </w:rPr>
        <w:t xml:space="preserve"> refers here to the type of fear, respect, and reverence that is appropriate for a person to have for God. The phrase was also used in 18:4 about the judge who did not fear God. See the examples in the preceding note for translation suggestions.</w:t>
      </w:r>
    </w:p>
    <w:p>
      <w:pPr/>
      <w:r>
        <w:rPr>
          <w:lang w:val="en_US" w:bidi="en_US"/>
        </w:rPr>
      </w:r>
      <w:r>
        <w:rPr>
          <w:b/>
          <w:lang w:val="en_US" w:bidi="en_US"/>
        </w:rPr>
        <w:t>since you are under the same judgment:</w:t>
      </w:r>
      <w:r>
        <w:rPr>
          <w:lang w:val="en_US" w:bidi="en_US"/>
        </w:rPr>
        <w:t xml:space="preserve"> This clause gives a reason why the mocking criminal should fear God. Like Jesus, he was sentenced to die. Therefore it is implied that he was about to go to God and be judged by him. Some other ways to translate this clause are:</w:t>
      </w:r>
    </w:p>
    <w:p>
      <w:pPr/>
      <w:r>
        <w:rPr>
          <w:lang w:val="en_US" w:bidi="en_US"/>
        </w:rPr>
      </w:r>
      <w:r>
        <w:rPr>
          <w:lang w:val="en_US" w:bidi="en_US"/>
        </w:rPr>
        <w:t>You received the same sentence he did. (GNT)</w:t>
      </w:r>
    </w:p>
    <w:p>
      <w:pPr/>
      <w:r>
        <w:rPr>
          <w:lang w:val="en_US" w:bidi="en_US"/>
        </w:rPr>
      </w:r>
      <w:r>
        <w:rPr>
          <w:lang w:val="en_US" w:bidi="en_US"/>
        </w:rPr>
        <w:t>Aren’t you getting the same punishment as this man? (CEV)</w:t>
      </w:r>
    </w:p>
    <w:p>
      <w:pPr/>
      <w:r>
        <w:rPr>
          <w:lang w:val="en_US" w:bidi="en_US"/>
        </w:rPr>
      </w:r>
      <w:r>
        <w:rPr>
          <w:lang w:val="en_US" w:bidi="en_US"/>
        </w:rPr>
        <w:t>The criminal who was speaking also received the same sentence. In some languages it may be necessary to make that explicit. For example:</w:t>
      </w:r>
    </w:p>
    <w:p>
      <w:pPr/>
      <w:r>
        <w:rPr>
          <w:lang w:val="en_US" w:bidi="en_US"/>
        </w:rPr>
      </w:r>
      <w:r>
        <w:rPr>
          <w:lang w:val="en_US" w:bidi="en_US"/>
        </w:rPr>
        <w:t>We three are all dying, as a judge decided.</w:t>
      </w:r>
    </w:p>
    <w:p>
      <w:pPr/>
      <w:r>
        <w:rPr>
          <w:lang w:val="en_US" w:bidi="en_US"/>
        </w:rPr>
      </w:r>
      <w:r>
        <w:rPr>
          <w:b/>
          <w:lang w:val="en_US" w:bidi="en_US"/>
        </w:rPr>
        <w:t>under the same judgment:</w:t>
      </w:r>
      <w:r>
        <w:rPr>
          <w:lang w:val="en_US" w:bidi="en_US"/>
        </w:rPr>
        <w:t xml:space="preserve"> The Greek phrase that the BSB translates as </w:t>
      </w:r>
      <w:r>
        <w:rPr>
          <w:i/>
          <w:lang w:val="en_US" w:bidi="en_US"/>
        </w:rPr>
        <w:t>under the same judgment</w:t>
      </w:r>
      <w:r>
        <w:rPr>
          <w:lang w:val="en_US" w:bidi="en_US"/>
        </w:rPr>
        <w:t xml:space="preserve"> is more literally “in the same judgment.” The word judgment refers here to the decision of a judge about how a person should be punished. In this context the Roman judge decided that Jesus and the two evildoers must be punished by death. Some other ways to translate it are:</w:t>
      </w:r>
    </w:p>
    <w:p>
      <w:pPr/>
      <w:r>
        <w:rPr>
          <w:lang w:val="en_US" w:bidi="en_US"/>
        </w:rPr>
      </w:r>
      <w:r>
        <w:rPr>
          <w:lang w:val="en_US" w:bidi="en_US"/>
        </w:rPr>
        <w:t>being punished in the same way</w:t>
      </w:r>
    </w:p>
    <w:p>
      <w:pPr/>
      <w:r>
        <w:rPr>
          <w:lang w:val="en_US" w:bidi="en_US"/>
        </w:rPr>
      </w:r>
      <w:r>
        <w:rPr>
          <w:lang w:val="en_US" w:bidi="en_US"/>
        </w:rPr>
        <w:t>enduring/getting the same punishment</w:t>
      </w:r>
    </w:p>
    <w:p>
      <w:pPr>
        <w:pStyle w:val="Heading6"/>
      </w:pPr>
      <w:r>
        <w:rPr>
          <w:b/>
          <w:lang w:val="en_US" w:bidi="en_US"/>
        </w:rPr>
        <w:t>General Comment on 23:40b–c</w:t>
      </w:r>
    </w:p>
    <w:p>
      <w:pPr/>
      <w:r>
        <w:rPr>
          <w:lang w:val="en_US" w:bidi="en_US"/>
        </w:rPr>
      </w:r>
      <w:r>
        <w:rPr>
          <w:lang w:val="en_US" w:bidi="en_US"/>
        </w:rPr>
        <w:t>In some languages it may be more natural to reverse the order of 23:40b and 23:40c. For example:</w:t>
      </w:r>
    </w:p>
    <w:p>
      <w:pPr/>
      <w:r>
        <w:rPr>
          <w:lang w:val="en_US" w:bidi="en_US"/>
        </w:rPr>
      </w:r>
      <w:r>
        <w:rPr>
          <w:vertAlign w:val="superscript"/>
          <w:lang w:val="en_US" w:bidi="en_US"/>
        </w:rPr>
        <w:t>40c</w:t>
      </w:r>
      <w:r>
        <w:rPr>
          <w:lang w:val="en_US" w:bidi="en_US"/>
        </w:rPr>
        <w:t>Since you</w:t>
      </w:r>
      <w:r>
        <w:rPr>
          <w:vertAlign w:val="superscript"/>
          <w:lang w:val="en_US" w:bidi="en_US"/>
        </w:rPr>
        <w:t>(sing)</w:t>
      </w:r>
      <w:r>
        <w:rPr>
          <w:lang w:val="en_US" w:bidi="en_US"/>
        </w:rPr>
        <w:t xml:space="preserve"> have been condemned </w:t>
      </w:r>
      <w:r>
        <w:rPr>
          <w:lang w:val="en_US" w:bidi="en_US"/>
        </w:rPr>
        <w:t>to die</w:t>
      </w:r>
      <w:r>
        <w:rPr>
          <w:lang w:val="en_US" w:bidi="en_US"/>
        </w:rPr>
        <w:t xml:space="preserve"> just as he has been, </w:t>
      </w:r>
      <w:r>
        <w:rPr>
          <w:vertAlign w:val="superscript"/>
          <w:lang w:val="en_US" w:bidi="en_US"/>
        </w:rPr>
        <w:t>40b</w:t>
      </w:r>
      <w:r>
        <w:rPr>
          <w:lang w:val="en_US" w:bidi="en_US"/>
        </w:rPr>
        <w:t>you should fear God.</w:t>
      </w:r>
      <w:r>
        <w:rPr>
          <w:lang w:val="en_US" w:bidi="en_US"/>
        </w:rPr>
      </w:r>
      <w:r>
        <w:rPr>
          <w:lang w:val="en_US" w:bidi="en_US"/>
        </w:rPr>
      </w:r>
    </w:p>
    <w:p>
      <w:pPr/>
      <w:r>
        <w:rPr>
          <w:lang w:val="en_US" w:bidi="en_US"/>
        </w:rPr>
      </w:r>
    </w:p>
    <w:p>
      <w:pPr>
        <w:pStyle w:val="Heading2"/>
      </w:pPr>
      <w:r>
        <w:rPr>
          <w:lang w:val="en_US" w:bidi="en_US"/>
        </w:rPr>
        <w:t>Luke 23:41</w:t>
      </w:r>
      <w:r>
        <w:rPr>
          <w:lang w:val="en_US" w:bidi="en_US"/>
        </w:rPr>
      </w:r>
    </w:p>
    <w:p>
      <w:pPr>
        <w:pStyle w:val="Heading4"/>
      </w:pPr>
      <w:r>
        <w:rPr>
          <w:lang w:val="en_US" w:bidi="en_US"/>
        </w:rPr>
        <w:t>Section 23:26–43: Soldiers nailed Jesus to a cross</w:t>
      </w:r>
    </w:p>
    <w:p>
      <w:pPr/>
      <w:r>
        <w:rPr>
          <w:lang w:val="en_US" w:bidi="en_US"/>
        </w:rPr>
      </w:r>
      <w:r>
        <w:rPr>
          <w:lang w:val="en_US" w:bidi="en_US"/>
        </w:rP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pPr/>
      <w:r>
        <w:rPr>
          <w:lang w:val="en_US" w:bidi="en_US"/>
        </w:rPr>
      </w:r>
      <w:r>
        <w:rPr>
          <w:lang w:val="en_US" w:bidi="en_US"/>
        </w:rPr>
        <w:t>Other examples of headings for this section are:</w:t>
      </w:r>
    </w:p>
    <w:p>
      <w:pPr/>
      <w:r>
        <w:rPr>
          <w:lang w:val="en_US" w:bidi="en_US"/>
        </w:rPr>
      </w:r>
      <w:r>
        <w:rPr>
          <w:lang w:val="en_US" w:bidi="en_US"/>
        </w:rPr>
        <w:t>The Crucifixion (NIV)</w:t>
      </w:r>
    </w:p>
    <w:p>
      <w:pPr/>
      <w:r>
        <w:rPr>
          <w:lang w:val="en_US" w:bidi="en_US"/>
        </w:rPr>
      </w:r>
      <w:r>
        <w:rPr>
          <w:lang w:val="en_US" w:bidi="en_US"/>
        </w:rPr>
        <w:t>Jesus Is Nailed to a Cross (CEV)</w:t>
      </w:r>
    </w:p>
    <w:p>
      <w:pPr/>
      <w:r>
        <w:rPr>
          <w:lang w:val="en_US" w:bidi="en_US"/>
        </w:rPr>
      </w:r>
      <w:r>
        <w:rPr>
          <w:lang w:val="en_US" w:bidi="en_US"/>
        </w:rPr>
        <w:t>Roman soldiers nailed Jesus to a cross</w:t>
      </w:r>
    </w:p>
    <w:p>
      <w:pPr/>
      <w:r>
        <w:rPr>
          <w:lang w:val="en_US" w:bidi="en_US"/>
        </w:rPr>
      </w:r>
      <w:r>
        <w:rPr>
          <w:lang w:val="en_US" w:bidi="en_US"/>
        </w:rPr>
        <w:t>There are parallel passages for this section in Matthew 27:31–44, Mark 15:21–32, and John 19:17–27.</w:t>
      </w:r>
    </w:p>
    <w:p>
      <w:pPr>
        <w:pStyle w:val="Heading5"/>
      </w:pPr>
      <w:r>
        <w:rPr>
          <w:lang w:val="en_US" w:bidi="en_US"/>
        </w:rPr>
        <w:t>23:41a</w:t>
      </w:r>
    </w:p>
    <w:p>
      <w:pPr/>
      <w:r>
        <w:rPr>
          <w:lang w:val="en_US" w:bidi="en_US"/>
        </w:rPr>
      </w:r>
      <w:r>
        <w:rPr>
          <w:b/>
          <w:lang w:val="en_US" w:bidi="en_US"/>
        </w:rPr>
        <w:t>We are punished justly,</w:t>
      </w:r>
    </w:p>
    <w:p>
      <w:pPr>
        <w:pStyle w:val="ListBullet"/>
        <w:spacing w:line="240" w:lineRule="auto"/>
        <w:ind w:left="720"/>
      </w:pPr>
      <w:r>
        <w:rPr>
          <w:lang w:val="en_US" w:bidi="en_US"/>
        </w:rPr>
      </w:r>
      <w:r>
        <w:rPr>
          <w:lang w:val="en_US" w:bidi="en_US"/>
        </w:rPr>
        <w:t xml:space="preserve">We </w:t>
      </w:r>
      <w:r>
        <w:rPr>
          <w:lang w:val="en_US" w:bidi="en_US"/>
        </w:rPr>
        <w:t>two</w:t>
      </w:r>
      <w:r>
        <w:rPr>
          <w:lang w:val="en_US" w:bidi="en_US"/>
        </w:rPr>
        <w:t xml:space="preserve"> are being punished rightly/fairly,</w:t>
      </w:r>
    </w:p>
    <w:p>
      <w:pPr>
        <w:pStyle w:val="ListBullet"/>
        <w:spacing w:line="240" w:lineRule="auto"/>
        <w:ind w:left="720"/>
      </w:pPr>
      <w:r>
        <w:rPr>
          <w:lang w:val="en_US" w:bidi="en_US"/>
        </w:rPr>
      </w:r>
      <w:r>
        <w:rPr>
          <w:lang w:val="en_US" w:bidi="en_US"/>
        </w:rPr>
        <w:t>They are right to punish us</w:t>
      </w:r>
      <w:r>
        <w:rPr>
          <w:vertAlign w:val="superscript"/>
          <w:lang w:val="en_US" w:bidi="en_US"/>
        </w:rPr>
        <w:t>(dual/incl)</w:t>
      </w:r>
      <w:r>
        <w:rPr>
          <w:lang w:val="en_US" w:bidi="en_US"/>
        </w:rPr>
        <w:t>,</w:t>
      </w:r>
    </w:p>
    <w:p>
      <w:pPr>
        <w:pStyle w:val="ListBullet"/>
        <w:spacing w:line="240" w:lineRule="auto"/>
        <w:ind w:left="720"/>
      </w:pPr>
      <w:r>
        <w:rPr>
          <w:lang w:val="en_US" w:bidi="en_US"/>
        </w:rPr>
      </w:r>
      <w:r>
        <w:rPr>
          <w:lang w:val="en_US" w:bidi="en_US"/>
        </w:rPr>
        <w:t>Our</w:t>
      </w:r>
      <w:r>
        <w:rPr>
          <w:vertAlign w:val="superscript"/>
          <w:lang w:val="en_US" w:bidi="en_US"/>
        </w:rPr>
        <w:t>(dual/incl)</w:t>
      </w:r>
      <w:r>
        <w:rPr>
          <w:lang w:val="en_US" w:bidi="en_US"/>
        </w:rPr>
        <w:t xml:space="preserve"> punishment is just/fair</w:t>
      </w:r>
    </w:p>
    <w:p>
      <w:pPr/>
      <w:r>
        <w:rPr>
          <w:lang w:val="en_US" w:bidi="en_US"/>
        </w:rPr>
      </w:r>
      <w:r>
        <w:rPr>
          <w:b/>
          <w:lang w:val="en_US" w:bidi="en_US"/>
        </w:rPr>
        <w:t>We are punished justly:</w:t>
      </w:r>
      <w:r>
        <w:rPr>
          <w:lang w:val="en_US" w:bidi="en_US"/>
        </w:rPr>
        <w:t xml:space="preserve"> The Greek phrase that the BSB translates as </w:t>
      </w:r>
      <w:r>
        <w:rPr>
          <w:i/>
          <w:lang w:val="en_US" w:bidi="en_US"/>
        </w:rPr>
        <w:t>We are punished justly</w:t>
      </w:r>
      <w:r>
        <w:rPr>
          <w:lang w:val="en_US" w:bidi="en_US"/>
        </w:rPr>
        <w:t xml:space="preserve"> is literally “And we indeed justly,” as in several English versions. It means that the Romans had sentenced the two criminals rightly and fairly for what they had done. They had disobeyed the law, and they were being punished as the law required. Some other ways to translate this are:</w:t>
      </w:r>
    </w:p>
    <w:p>
      <w:pPr/>
      <w:r>
        <w:rPr>
          <w:lang w:val="en_US" w:bidi="en_US"/>
        </w:rPr>
      </w:r>
      <w:r>
        <w:rPr>
          <w:lang w:val="en_US" w:bidi="en_US"/>
        </w:rPr>
        <w:t>Our punishment is fair. (GW)</w:t>
      </w:r>
    </w:p>
    <w:p>
      <w:pPr/>
      <w:r>
        <w:rPr>
          <w:lang w:val="en_US" w:bidi="en_US"/>
        </w:rPr>
      </w:r>
      <w:r>
        <w:rPr>
          <w:lang w:val="en_US" w:bidi="en_US"/>
        </w:rPr>
        <w:t>But we two deserve to be punished like this.</w:t>
      </w:r>
    </w:p>
    <w:p>
      <w:pPr>
        <w:pStyle w:val="Heading5"/>
      </w:pPr>
      <w:r>
        <w:rPr>
          <w:lang w:val="en_US" w:bidi="en_US"/>
        </w:rPr>
        <w:t>23:41b</w:t>
      </w:r>
    </w:p>
    <w:p>
      <w:pPr/>
      <w:r>
        <w:rPr>
          <w:lang w:val="en_US" w:bidi="en_US"/>
        </w:rPr>
      </w:r>
      <w:r>
        <w:rPr>
          <w:b/>
          <w:lang w:val="en_US" w:bidi="en_US"/>
        </w:rPr>
        <w:t>for we are receiving what our actions deserve.</w:t>
      </w:r>
    </w:p>
    <w:p>
      <w:pPr>
        <w:pStyle w:val="ListBullet"/>
        <w:spacing w:line="240" w:lineRule="auto"/>
        <w:ind w:left="720"/>
      </w:pPr>
      <w:r>
        <w:rPr>
          <w:lang w:val="en_US" w:bidi="en_US"/>
        </w:rPr>
      </w:r>
      <w:r>
        <w:rPr>
          <w:lang w:val="en_US" w:bidi="en_US"/>
        </w:rPr>
        <w:t>for we</w:t>
      </w:r>
      <w:r>
        <w:rPr>
          <w:vertAlign w:val="superscript"/>
          <w:lang w:val="en_US" w:bidi="en_US"/>
        </w:rPr>
        <w:t>(dual/incl)</w:t>
      </w:r>
      <w:r>
        <w:rPr>
          <w:lang w:val="en_US" w:bidi="en_US"/>
        </w:rPr>
        <w:t xml:space="preserve"> have done </w:t>
      </w:r>
      <w:r>
        <w:rPr>
          <w:lang w:val="en_US" w:bidi="en_US"/>
        </w:rPr>
        <w:t>wrong</w:t>
      </w:r>
      <w:r>
        <w:rPr>
          <w:lang w:val="en_US" w:bidi="en_US"/>
        </w:rPr>
        <w:t xml:space="preserve"> actions, and deserve this punishment.</w:t>
      </w:r>
    </w:p>
    <w:p>
      <w:pPr>
        <w:pStyle w:val="ListBullet"/>
        <w:spacing w:line="240" w:lineRule="auto"/>
        <w:ind w:left="720"/>
      </w:pPr>
      <w:r>
        <w:rPr>
          <w:lang w:val="en_US" w:bidi="en_US"/>
        </w:rPr>
      </w:r>
      <w:r>
        <w:rPr>
          <w:lang w:val="en_US" w:bidi="en_US"/>
        </w:rPr>
        <w:t>because we</w:t>
      </w:r>
      <w:r>
        <w:rPr>
          <w:vertAlign w:val="superscript"/>
          <w:lang w:val="en_US" w:bidi="en_US"/>
        </w:rPr>
        <w:t>(dual/incl)</w:t>
      </w:r>
      <w:r>
        <w:rPr>
          <w:lang w:val="en_US" w:bidi="en_US"/>
        </w:rPr>
        <w:t xml:space="preserve"> deserve to be punished for the bad/evil things that we have done.</w:t>
      </w:r>
    </w:p>
    <w:p>
      <w:pPr/>
      <w:r>
        <w:rPr>
          <w:lang w:val="en_US" w:bidi="en_US"/>
        </w:rPr>
      </w:r>
      <w:r>
        <w:rPr>
          <w:b/>
          <w:lang w:val="en_US" w:bidi="en_US"/>
        </w:rPr>
        <w:t>for we are receiving what our actions deserve:</w:t>
      </w:r>
      <w:r>
        <w:rPr>
          <w:lang w:val="en_US" w:bidi="en_US"/>
        </w:rPr>
        <w:t xml:space="preserve"> This clause tells the reason why the second criminal said that he and the other criminal were punished justly. They had done evil deeds so they deserved to be punished by death. The pronoun </w:t>
      </w:r>
      <w:r>
        <w:rPr>
          <w:i/>
          <w:lang w:val="en_US" w:bidi="en_US"/>
        </w:rPr>
        <w:t>we</w:t>
      </w:r>
      <w:r>
        <w:rPr>
          <w:lang w:val="en_US" w:bidi="en_US"/>
        </w:rPr>
        <w:t xml:space="preserve"> refers here to the two criminals in contrast to Jesus. It does not include Jesus. Some other ways to translate this are:</w:t>
      </w:r>
    </w:p>
    <w:p>
      <w:pPr/>
      <w:r>
        <w:rPr>
          <w:lang w:val="en_US" w:bidi="en_US"/>
        </w:rPr>
      </w:r>
      <w:r>
        <w:rPr>
          <w:lang w:val="en_US" w:bidi="en_US"/>
        </w:rPr>
        <w:t xml:space="preserve">because we </w:t>
      </w:r>
      <w:r>
        <w:rPr>
          <w:lang w:val="en_US" w:bidi="en_US"/>
        </w:rPr>
        <w:t>two</w:t>
      </w:r>
      <w:r>
        <w:rPr>
          <w:lang w:val="en_US" w:bidi="en_US"/>
        </w:rPr>
        <w:t xml:space="preserve"> are getting/receiving the punishment that our</w:t>
      </w:r>
      <w:r>
        <w:rPr>
          <w:vertAlign w:val="superscript"/>
          <w:lang w:val="en_US" w:bidi="en_US"/>
        </w:rPr>
        <w:t>(incl)</w:t>
      </w:r>
      <w:r>
        <w:rPr>
          <w:lang w:val="en_US" w:bidi="en_US"/>
        </w:rPr>
        <w:t xml:space="preserve"> deeds deserve</w:t>
      </w:r>
    </w:p>
    <w:p>
      <w:pPr/>
      <w:r>
        <w:rPr>
          <w:lang w:val="en_US" w:bidi="en_US"/>
        </w:rPr>
      </w:r>
      <w:r>
        <w:rPr>
          <w:lang w:val="en_US" w:bidi="en_US"/>
        </w:rPr>
        <w:t xml:space="preserve">for </w:t>
      </w:r>
      <w:r>
        <w:rPr>
          <w:lang w:val="en_US" w:bidi="en_US"/>
        </w:rPr>
        <w:t>the two of</w:t>
      </w:r>
      <w:r>
        <w:rPr>
          <w:lang w:val="en_US" w:bidi="en_US"/>
        </w:rPr>
        <w:t xml:space="preserve"> us are </w:t>
      </w:r>
      <w:r>
        <w:rPr>
          <w:lang w:val="en_US" w:bidi="en_US"/>
        </w:rPr>
        <w:t>being punished</w:t>
      </w:r>
      <w:r>
        <w:rPr>
          <w:lang w:val="en_US" w:bidi="en_US"/>
        </w:rPr>
        <w:t xml:space="preserve"> fairly because we did evil deeds</w:t>
      </w:r>
    </w:p>
    <w:p>
      <w:pPr/>
      <w:r>
        <w:rPr>
          <w:lang w:val="en_US" w:bidi="en_US"/>
        </w:rPr>
      </w:r>
      <w:r>
        <w:rPr>
          <w:lang w:val="en_US" w:bidi="en_US"/>
        </w:rPr>
        <w:t>In some languages it may be necessary to say who punished them. For example:</w:t>
      </w:r>
    </w:p>
    <w:p>
      <w:pPr/>
      <w:r>
        <w:rPr>
          <w:lang w:val="en_US" w:bidi="en_US"/>
        </w:rPr>
      </w:r>
      <w:r>
        <w:rPr>
          <w:lang w:val="en_US" w:bidi="en_US"/>
        </w:rPr>
        <w:t>The Romans</w:t>
      </w:r>
      <w:r>
        <w:rPr>
          <w:lang w:val="en_US" w:bidi="en_US"/>
        </w:rPr>
        <w:t xml:space="preserve"> are punishing us </w:t>
      </w:r>
      <w:r>
        <w:rPr>
          <w:lang w:val="en_US" w:bidi="en_US"/>
        </w:rPr>
        <w:t>two</w:t>
      </w:r>
      <w:r>
        <w:rPr>
          <w:lang w:val="en_US" w:bidi="en_US"/>
        </w:rPr>
        <w:t xml:space="preserve"> in the way our deeds deserve.</w:t>
      </w:r>
    </w:p>
    <w:p>
      <w:pPr>
        <w:pStyle w:val="Heading6"/>
      </w:pPr>
      <w:r>
        <w:rPr>
          <w:b/>
          <w:lang w:val="en_US" w:bidi="en_US"/>
        </w:rPr>
        <w:t>General Comment on 23:41a–b</w:t>
      </w:r>
    </w:p>
    <w:p>
      <w:pPr/>
      <w:r>
        <w:rPr>
          <w:lang w:val="en_US" w:bidi="en_US"/>
        </w:rPr>
      </w:r>
      <w:r>
        <w:rPr>
          <w:lang w:val="en_US" w:bidi="en_US"/>
        </w:rPr>
        <w:t>In some languages it may be more natural to change the order of 23:41a and 23:41b. For example:</w:t>
      </w:r>
    </w:p>
    <w:p>
      <w:pPr/>
      <w:r>
        <w:rPr>
          <w:lang w:val="en_US" w:bidi="en_US"/>
        </w:rPr>
      </w:r>
      <w:r>
        <w:rPr>
          <w:lang w:val="en_US" w:bidi="en_US"/>
        </w:rPr>
        <w:t xml:space="preserve">for </w:t>
      </w:r>
      <w:r>
        <w:rPr>
          <w:vertAlign w:val="superscript"/>
          <w:lang w:val="en_US" w:bidi="en_US"/>
        </w:rPr>
        <w:t>41b</w:t>
      </w:r>
      <w:r>
        <w:rPr>
          <w:lang w:val="en_US" w:bidi="en_US"/>
        </w:rPr>
        <w:t xml:space="preserve">we two have done </w:t>
      </w:r>
      <w:r>
        <w:rPr>
          <w:lang w:val="en_US" w:bidi="en_US"/>
        </w:rPr>
        <w:t>evil</w:t>
      </w:r>
      <w:r>
        <w:rPr>
          <w:lang w:val="en_US" w:bidi="en_US"/>
        </w:rPr>
        <w:t xml:space="preserve"> </w:t>
      </w:r>
      <w:r>
        <w:rPr>
          <w:vertAlign w:val="superscript"/>
          <w:lang w:val="en_US" w:bidi="en_US"/>
        </w:rPr>
        <w:t>41a</w:t>
      </w:r>
      <w:r>
        <w:rPr>
          <w:lang w:val="en_US" w:bidi="en_US"/>
        </w:rPr>
        <w:t>so we</w:t>
      </w:r>
      <w:r>
        <w:rPr>
          <w:vertAlign w:val="superscript"/>
          <w:lang w:val="en_US" w:bidi="en_US"/>
        </w:rPr>
        <w:t>(incl)</w:t>
      </w:r>
      <w:r>
        <w:rPr>
          <w:lang w:val="en_US" w:bidi="en_US"/>
        </w:rPr>
        <w:t xml:space="preserve"> deserve this </w:t>
      </w:r>
      <w:r>
        <w:rPr>
          <w:lang w:val="en_US" w:bidi="en_US"/>
        </w:rPr>
        <w:t>punishment</w:t>
      </w:r>
    </w:p>
    <w:p>
      <w:pPr>
        <w:pStyle w:val="Heading5"/>
      </w:pPr>
      <w:r>
        <w:rPr>
          <w:lang w:val="en_US" w:bidi="en_US"/>
        </w:rPr>
        <w:t>23:41c</w:t>
      </w:r>
    </w:p>
    <w:p>
      <w:pPr/>
      <w:r>
        <w:rPr>
          <w:lang w:val="en_US" w:bidi="en_US"/>
        </w:rPr>
      </w:r>
      <w:r>
        <w:rPr>
          <w:b/>
          <w:lang w:val="en_US" w:bidi="en_US"/>
        </w:rPr>
        <w:t>But this man has done nothing wrong.”</w:t>
      </w:r>
    </w:p>
    <w:p>
      <w:pPr>
        <w:pStyle w:val="ListBullet"/>
        <w:spacing w:line="240" w:lineRule="auto"/>
        <w:ind w:left="720"/>
      </w:pPr>
      <w:r>
        <w:rPr>
          <w:lang w:val="en_US" w:bidi="en_US"/>
        </w:rPr>
      </w:r>
      <w:r>
        <w:rPr>
          <w:lang w:val="en_US" w:bidi="en_US"/>
        </w:rPr>
        <w:t>But this man has not done anything wrong.”</w:t>
      </w:r>
    </w:p>
    <w:p>
      <w:pPr>
        <w:pStyle w:val="ListBullet"/>
        <w:spacing w:line="240" w:lineRule="auto"/>
        <w:ind w:left="720"/>
      </w:pPr>
      <w:r>
        <w:rPr>
          <w:lang w:val="en_US" w:bidi="en_US"/>
        </w:rPr>
      </w:r>
      <w:r>
        <w:rPr>
          <w:lang w:val="en_US" w:bidi="en_US"/>
        </w:rPr>
        <w:t xml:space="preserve">But this man </w:t>
      </w:r>
      <w:r>
        <w:rPr>
          <w:lang w:val="en_US" w:bidi="en_US"/>
        </w:rPr>
        <w:t>Jesus</w:t>
      </w:r>
      <w:r>
        <w:rPr>
          <w:lang w:val="en_US" w:bidi="en_US"/>
        </w:rPr>
        <w:t xml:space="preserve"> has done nothing evil, </w:t>
      </w:r>
      <w:r>
        <w:rPr>
          <w:lang w:val="en_US" w:bidi="en_US"/>
        </w:rPr>
        <w:t>and he does not deserve to be punished</w:t>
      </w:r>
      <w:r>
        <w:rPr>
          <w:lang w:val="en_US" w:bidi="en_US"/>
        </w:rPr>
        <w:t>.”</w:t>
      </w:r>
    </w:p>
    <w:p>
      <w:pPr/>
      <w:r>
        <w:rPr>
          <w:lang w:val="en_US" w:bidi="en_US"/>
        </w:rPr>
      </w:r>
      <w:r>
        <w:rPr>
          <w:b/>
          <w:lang w:val="en_US" w:bidi="en_US"/>
        </w:rPr>
        <w:t>But this man:</w:t>
      </w:r>
      <w:r>
        <w:rPr>
          <w:lang w:val="en_US" w:bidi="en_US"/>
        </w:rPr>
        <w:t xml:space="preserve"> The Greek phrase that the BSB translates as </w:t>
      </w:r>
      <w:r>
        <w:rPr>
          <w:i/>
          <w:lang w:val="en_US" w:bidi="en_US"/>
        </w:rPr>
        <w:t>But this man</w:t>
      </w:r>
      <w:r>
        <w:rPr>
          <w:lang w:val="en_US" w:bidi="en_US"/>
        </w:rPr>
        <w:t xml:space="preserve"> indicates a strong contrast between Jesus and the two criminals. Indicate the contrast in a natural way in your language.</w:t>
      </w:r>
    </w:p>
    <w:p>
      <w:pPr/>
      <w:r>
        <w:rPr>
          <w:lang w:val="en_US" w:bidi="en_US"/>
        </w:rPr>
      </w:r>
      <w:r>
        <w:rPr>
          <w:b/>
          <w:lang w:val="en_US" w:bidi="en_US"/>
        </w:rPr>
        <w:t>this man:</w:t>
      </w:r>
      <w:r>
        <w:rPr>
          <w:lang w:val="en_US" w:bidi="en_US"/>
        </w:rPr>
        <w:t xml:space="preserve"> In this context the phrase </w:t>
      </w:r>
      <w:r>
        <w:rPr>
          <w:i/>
          <w:lang w:val="en_US" w:bidi="en_US"/>
        </w:rPr>
        <w:t>this man</w:t>
      </w:r>
      <w:r>
        <w:rPr>
          <w:lang w:val="en_US" w:bidi="en_US"/>
        </w:rPr>
        <w:t xml:space="preserve"> identifies Jesus in contrast to the two criminals. It is not a disrespectful way to refer to Jesus. In your translation, use a respectful way to refer to someone who has been mentioned earlier.</w:t>
      </w:r>
    </w:p>
    <w:p>
      <w:pPr/>
      <w:r>
        <w:rPr>
          <w:lang w:val="en_US" w:bidi="en_US"/>
        </w:rPr>
      </w:r>
      <w:r>
        <w:rPr>
          <w:b/>
          <w:lang w:val="en_US" w:bidi="en_US"/>
        </w:rPr>
        <w:t>has done nothing wrong:</w:t>
      </w:r>
      <w:r>
        <w:rPr>
          <w:lang w:val="en_US" w:bidi="en_US"/>
        </w:rPr>
        <w:t xml:space="preserve"> This phrase indicates that Jesus did not do anything that he should not have done. The Greek word that the BSB translates as wrong is literally “out of place.” It refers here to something that is not right in a moral sense.</w:t>
      </w:r>
    </w:p>
    <w:p>
      <w:pPr/>
      <w:r>
        <w:rPr>
          <w:lang w:val="en_US" w:bidi="en_US"/>
        </w:rPr>
      </w:r>
      <w:r>
        <w:rPr>
          <w:lang w:val="en_US" w:bidi="en_US"/>
        </w:rPr>
        <w:t>The criminal implied that Jesus was different from him and the other criminal. Jesus did not do anything that deserved punishment. The phrase contrasts with 23:41a–b in which the two other men were justly punished for their crimes.</w:t>
      </w:r>
    </w:p>
    <w:p>
      <w:pPr/>
      <w:r>
        <w:rPr>
          <w:lang w:val="en_US" w:bidi="en_US"/>
        </w:rPr>
      </w:r>
      <w:r>
        <w:rPr>
          <w:lang w:val="en_US" w:bidi="en_US"/>
        </w:rPr>
        <w:t>Some other ways to translate this phrase are:</w:t>
      </w:r>
    </w:p>
    <w:p>
      <w:pPr/>
      <w:r>
        <w:rPr>
          <w:lang w:val="en_US" w:bidi="en_US"/>
        </w:rPr>
      </w:r>
      <w:r>
        <w:rPr>
          <w:lang w:val="en_US" w:bidi="en_US"/>
        </w:rPr>
        <w:t>has done nothing bad</w:t>
      </w:r>
      <w:r>
        <w:rPr>
          <w:lang w:val="en_US" w:bidi="en_US"/>
        </w:rPr>
        <w:t>Yakan back translation on TW.</w:t>
      </w:r>
    </w:p>
    <w:p>
      <w:pPr/>
      <w:r>
        <w:rPr>
          <w:lang w:val="en_US" w:bidi="en_US"/>
        </w:rPr>
      </w:r>
      <w:r>
        <w:rPr>
          <w:lang w:val="en_US" w:bidi="en_US"/>
        </w:rPr>
        <w:t>is completely innocent (TRT)</w:t>
      </w:r>
      <w:r>
        <w:rPr>
          <w:lang w:val="en_US" w:bidi="en_US"/>
        </w:rPr>
      </w:r>
      <w:r>
        <w:rPr>
          <w:lang w:val="en_US" w:bidi="en_US"/>
        </w:rPr>
      </w:r>
    </w:p>
    <w:p>
      <w:pPr/>
      <w:r>
        <w:rPr>
          <w:lang w:val="en_US" w:bidi="en_US"/>
        </w:rPr>
      </w:r>
    </w:p>
    <w:p>
      <w:pPr>
        <w:pStyle w:val="Heading2"/>
      </w:pPr>
      <w:r>
        <w:rPr>
          <w:lang w:val="en_US" w:bidi="en_US"/>
        </w:rPr>
        <w:t>Luke 23:42</w:t>
      </w:r>
      <w:r>
        <w:rPr>
          <w:lang w:val="en_US" w:bidi="en_US"/>
        </w:rPr>
      </w:r>
    </w:p>
    <w:p>
      <w:pPr>
        <w:pStyle w:val="Heading4"/>
      </w:pPr>
      <w:r>
        <w:rPr>
          <w:lang w:val="en_US" w:bidi="en_US"/>
        </w:rPr>
        <w:t>Section 23:26–43: Soldiers nailed Jesus to a cross</w:t>
      </w:r>
    </w:p>
    <w:p>
      <w:pPr/>
      <w:r>
        <w:rPr>
          <w:lang w:val="en_US" w:bidi="en_US"/>
        </w:rPr>
      </w:r>
      <w:r>
        <w:rPr>
          <w:lang w:val="en_US" w:bidi="en_US"/>
        </w:rP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pPr/>
      <w:r>
        <w:rPr>
          <w:lang w:val="en_US" w:bidi="en_US"/>
        </w:rPr>
      </w:r>
      <w:r>
        <w:rPr>
          <w:lang w:val="en_US" w:bidi="en_US"/>
        </w:rPr>
        <w:t>Other examples of headings for this section are:</w:t>
      </w:r>
    </w:p>
    <w:p>
      <w:pPr/>
      <w:r>
        <w:rPr>
          <w:lang w:val="en_US" w:bidi="en_US"/>
        </w:rPr>
      </w:r>
      <w:r>
        <w:rPr>
          <w:lang w:val="en_US" w:bidi="en_US"/>
        </w:rPr>
        <w:t>The Crucifixion (NIV)</w:t>
      </w:r>
    </w:p>
    <w:p>
      <w:pPr/>
      <w:r>
        <w:rPr>
          <w:lang w:val="en_US" w:bidi="en_US"/>
        </w:rPr>
      </w:r>
      <w:r>
        <w:rPr>
          <w:lang w:val="en_US" w:bidi="en_US"/>
        </w:rPr>
        <w:t>Jesus Is Nailed to a Cross (CEV)</w:t>
      </w:r>
    </w:p>
    <w:p>
      <w:pPr/>
      <w:r>
        <w:rPr>
          <w:lang w:val="en_US" w:bidi="en_US"/>
        </w:rPr>
      </w:r>
      <w:r>
        <w:rPr>
          <w:lang w:val="en_US" w:bidi="en_US"/>
        </w:rPr>
        <w:t>Roman soldiers nailed Jesus to a cross</w:t>
      </w:r>
    </w:p>
    <w:p>
      <w:pPr/>
      <w:r>
        <w:rPr>
          <w:lang w:val="en_US" w:bidi="en_US"/>
        </w:rPr>
      </w:r>
      <w:r>
        <w:rPr>
          <w:lang w:val="en_US" w:bidi="en_US"/>
        </w:rPr>
        <w:t>There are parallel passages for this section in Matthew 27:31–44, Mark 15:21–32, and John 19:17–27.</w:t>
      </w:r>
    </w:p>
    <w:p>
      <w:pPr>
        <w:pStyle w:val="Heading5"/>
      </w:pPr>
      <w:r>
        <w:rPr>
          <w:lang w:val="en_US" w:bidi="en_US"/>
        </w:rPr>
        <w:t>23:42</w:t>
      </w:r>
    </w:p>
    <w:p>
      <w:pPr/>
      <w:r>
        <w:rPr>
          <w:lang w:val="en_US" w:bidi="en_US"/>
        </w:rPr>
      </w:r>
      <w:r>
        <w:rPr>
          <w:b/>
          <w:lang w:val="en_US" w:bidi="en_US"/>
        </w:rPr>
        <w:t>Then he said, “Jesus, remember me when You come into Your kingdom!”</w:t>
      </w:r>
    </w:p>
    <w:p>
      <w:pPr>
        <w:pStyle w:val="ListBullet"/>
        <w:spacing w:line="240" w:lineRule="auto"/>
        <w:ind w:left="720"/>
      </w:pPr>
      <w:r>
        <w:rPr>
          <w:lang w:val="en_US" w:bidi="en_US"/>
        </w:rPr>
      </w:r>
      <w:r>
        <w:rPr>
          <w:lang w:val="en_US" w:bidi="en_US"/>
        </w:rPr>
        <w:t>Then he said, “Jesus, remember me kindly when you rule as king.”</w:t>
      </w:r>
    </w:p>
    <w:p>
      <w:pPr>
        <w:pStyle w:val="ListBullet"/>
        <w:spacing w:line="240" w:lineRule="auto"/>
        <w:ind w:left="720"/>
      </w:pPr>
      <w:r>
        <w:rPr>
          <w:lang w:val="en_US" w:bidi="en_US"/>
        </w:rPr>
      </w:r>
      <w:r>
        <w:rPr>
          <w:lang w:val="en_US" w:bidi="en_US"/>
        </w:rPr>
        <w:t xml:space="preserve">He </w:t>
      </w:r>
      <w:r>
        <w:rPr>
          <w:lang w:val="en_US" w:bidi="en_US"/>
        </w:rPr>
        <w:t>turned</w:t>
      </w:r>
      <w:r>
        <w:rPr>
          <w:lang w:val="en_US" w:bidi="en_US"/>
        </w:rPr>
        <w:t xml:space="preserve"> to Jesus and said, “</w:t>
      </w:r>
      <w:r>
        <w:rPr>
          <w:lang w:val="en_US" w:bidi="en_US"/>
        </w:rPr>
        <w:t>Lord</w:t>
      </w:r>
      <w:r>
        <w:rPr>
          <w:lang w:val="en_US" w:bidi="en_US"/>
        </w:rPr>
        <w:t xml:space="preserve">, when you begin to rule as king, think of me </w:t>
      </w:r>
      <w:r>
        <w:rPr>
          <w:lang w:val="en_US" w:bidi="en_US"/>
        </w:rPr>
        <w:t>and be merciful/kind to me</w:t>
      </w:r>
      <w:r>
        <w:rPr>
          <w:lang w:val="en_US" w:bidi="en_US"/>
        </w:rPr>
        <w:t>.”</w:t>
      </w:r>
    </w:p>
    <w:p>
      <w:pPr/>
      <w:r>
        <w:rPr>
          <w:lang w:val="en_US" w:bidi="en_US"/>
        </w:rPr>
      </w:r>
      <w:r>
        <w:rPr>
          <w:b/>
          <w:lang w:val="en_US" w:bidi="en_US"/>
        </w:rPr>
        <w:t>Then he said, “Jesus, remember me when You come into Your kingdom!”:</w:t>
      </w:r>
      <w:r>
        <w:rPr>
          <w:lang w:val="en_US" w:bidi="en_US"/>
        </w:rPr>
        <w:t xml:space="preserve"> The same criminal continued to speak, but here he spoke to Jesus, instead of to the other criminal. He addressed Jesus by name. In this context the man was being very respectful to Jesus. He implied that he believed that Jesus was the Messiah and that he would rule as king.</w:t>
      </w:r>
    </w:p>
    <w:p>
      <w:pPr/>
      <w:r>
        <w:rPr>
          <w:lang w:val="en_US" w:bidi="en_US"/>
        </w:rPr>
      </w:r>
      <w:r>
        <w:rPr>
          <w:lang w:val="en_US" w:bidi="en_US"/>
        </w:rPr>
        <w:t>In some languages it may be disrespectful or unnatural for the man to address Jesus by name. If this is true in your language, you may be able to use another respectful form of address that is appropriate for a great leader. You should express the request in a respectful way. For example:</w:t>
      </w:r>
    </w:p>
    <w:p>
      <w:pPr/>
      <w:r>
        <w:rPr>
          <w:lang w:val="en_US" w:bidi="en_US"/>
        </w:rPr>
      </w:r>
      <w:r>
        <w:rPr>
          <w:lang w:val="en_US" w:bidi="en_US"/>
        </w:rPr>
        <w:t>Then he said to Jesus, “Please remember me…”</w:t>
      </w:r>
    </w:p>
    <w:p>
      <w:pPr/>
      <w:r>
        <w:rPr>
          <w:lang w:val="en_US" w:bidi="en_US"/>
        </w:rPr>
      </w:r>
      <w:r>
        <w:rPr>
          <w:lang w:val="en_US" w:bidi="en_US"/>
        </w:rPr>
        <w:t>Then he said to Jesus, “Lord/Sir, please remember me…”</w:t>
      </w:r>
    </w:p>
    <w:p>
      <w:pPr/>
      <w:r>
        <w:rPr>
          <w:lang w:val="en_US" w:bidi="en_US"/>
        </w:rPr>
      </w:r>
      <w:r>
        <w:rPr>
          <w:b/>
          <w:lang w:val="en_US" w:bidi="en_US"/>
        </w:rPr>
        <w:t>remember me:</w:t>
      </w:r>
      <w:r>
        <w:rPr>
          <w:lang w:val="en_US" w:bidi="en_US"/>
        </w:rPr>
        <w:t xml:space="preserve"> The Greek word that the BSB translates as </w:t>
      </w:r>
      <w:r>
        <w:rPr>
          <w:i/>
          <w:lang w:val="en_US" w:bidi="en_US"/>
        </w:rPr>
        <w:t>remember</w:t>
      </w:r>
      <w:r>
        <w:rPr>
          <w:lang w:val="en_US" w:bidi="en_US"/>
        </w:rPr>
        <w:t xml:space="preserve"> can be used in several ways. Here </w:t>
      </w:r>
      <w:r>
        <w:rPr>
          <w:i/>
          <w:lang w:val="en_US" w:bidi="en_US"/>
        </w:rPr>
        <w:t>remember me</w:t>
      </w:r>
      <w:r>
        <w:rPr>
          <w:lang w:val="en_US" w:bidi="en_US"/>
        </w:rPr>
        <w:t xml:space="preserve"> means “keep thinking about me,” “care for me.” The man on the cross was asking Jesus to show him favor and kindness in his future kingdom. Some other ways to translate </w:t>
      </w:r>
      <w:r>
        <w:rPr>
          <w:i/>
          <w:lang w:val="en_US" w:bidi="en_US"/>
        </w:rPr>
        <w:t>remember me</w:t>
      </w:r>
      <w:r>
        <w:rPr>
          <w:lang w:val="en_US" w:bidi="en_US"/>
        </w:rPr>
        <w:t xml:space="preserve"> are:</w:t>
      </w:r>
    </w:p>
    <w:p>
      <w:pPr/>
      <w:r>
        <w:rPr>
          <w:lang w:val="en_US" w:bidi="en_US"/>
        </w:rPr>
      </w:r>
      <w:r>
        <w:rPr>
          <w:lang w:val="en_US" w:bidi="en_US"/>
        </w:rPr>
        <w:t>think about me</w:t>
      </w:r>
    </w:p>
    <w:p>
      <w:pPr/>
      <w:r>
        <w:rPr>
          <w:lang w:val="en_US" w:bidi="en_US"/>
        </w:rPr>
      </w:r>
      <w:r>
        <w:rPr>
          <w:lang w:val="en_US" w:bidi="en_US"/>
        </w:rPr>
        <w:t>think of me and be gracious to me (TRT)</w:t>
      </w:r>
    </w:p>
    <w:p>
      <w:pPr/>
      <w:r>
        <w:rPr>
          <w:lang w:val="en_US" w:bidi="en_US"/>
        </w:rPr>
      </w:r>
      <w:r>
        <w:rPr>
          <w:lang w:val="en_US" w:bidi="en_US"/>
        </w:rPr>
        <w:t xml:space="preserve">remember me </w:t>
      </w:r>
      <w:r>
        <w:rPr>
          <w:lang w:val="en_US" w:bidi="en_US"/>
        </w:rPr>
        <w:t>and treat me with kindness/mercy</w:t>
      </w:r>
    </w:p>
    <w:p>
      <w:pPr/>
      <w:r>
        <w:rPr>
          <w:lang w:val="en_US" w:bidi="en_US"/>
        </w:rPr>
      </w:r>
      <w:r>
        <w:rPr>
          <w:b/>
          <w:lang w:val="en_US" w:bidi="en_US"/>
        </w:rPr>
        <w:t>when You come into Your kingdom!:</w:t>
      </w:r>
      <w:r>
        <w:rPr>
          <w:lang w:val="en_US" w:bidi="en_US"/>
        </w:rPr>
        <w:t xml:space="preserve"> The phrase </w:t>
      </w:r>
      <w:r>
        <w:rPr>
          <w:i/>
          <w:lang w:val="en_US" w:bidi="en_US"/>
        </w:rPr>
        <w:t>when You come into Your kingdom</w:t>
      </w:r>
      <w:r>
        <w:rPr>
          <w:lang w:val="en_US" w:bidi="en_US"/>
        </w:rPr>
        <w:t>There is a textual issue here that involves the Greek word that the BSB translates as “into.” Some Greek manuscripts have “in.” This difference probably does not affect the meaning in a crucial way. Some commentators have seen a difference in whether the phrase refers to the kingdom in heaven or whether it refers to the time when Jesus will come to earth again and establish the kingdom here. The man referred to the future kingdom when the Messiah will rule. Probably the verse does not imply anything about where this kingdom will be.</w:t>
      </w:r>
      <w:r>
        <w:rPr>
          <w:lang w:val="en_US" w:bidi="en_US"/>
        </w:rPr>
        <w:t xml:space="preserve"> refers to the time when Jesus will rule as the Messiah King. Some other ways to translate this are:</w:t>
      </w:r>
    </w:p>
    <w:p>
      <w:pPr/>
      <w:r>
        <w:rPr>
          <w:lang w:val="en_US" w:bidi="en_US"/>
        </w:rPr>
      </w:r>
      <w:r>
        <w:rPr>
          <w:lang w:val="en_US" w:bidi="en_US"/>
        </w:rPr>
        <w:t>when you come into power (CEV)</w:t>
      </w:r>
    </w:p>
    <w:p>
      <w:pPr/>
      <w:r>
        <w:rPr>
          <w:lang w:val="en_US" w:bidi="en_US"/>
        </w:rPr>
      </w:r>
      <w:r>
        <w:rPr>
          <w:lang w:val="en_US" w:bidi="en_US"/>
        </w:rPr>
        <w:t>when you rule as king</w:t>
      </w:r>
      <w:r>
        <w:rPr>
          <w:lang w:val="en_US" w:bidi="en_US"/>
        </w:rPr>
      </w:r>
      <w:r>
        <w:rPr>
          <w:lang w:val="en_US" w:bidi="en_US"/>
        </w:rPr>
      </w:r>
    </w:p>
    <w:p>
      <w:pPr/>
      <w:r>
        <w:rPr>
          <w:lang w:val="en_US" w:bidi="en_US"/>
        </w:rPr>
      </w:r>
    </w:p>
    <w:p>
      <w:pPr>
        <w:pStyle w:val="Heading2"/>
      </w:pPr>
      <w:r>
        <w:rPr>
          <w:lang w:val="en_US" w:bidi="en_US"/>
        </w:rPr>
        <w:t>Luke 23:43</w:t>
      </w:r>
      <w:r>
        <w:rPr>
          <w:lang w:val="en_US" w:bidi="en_US"/>
        </w:rPr>
      </w:r>
    </w:p>
    <w:p>
      <w:pPr>
        <w:pStyle w:val="Heading4"/>
      </w:pPr>
      <w:r>
        <w:rPr>
          <w:lang w:val="en_US" w:bidi="en_US"/>
        </w:rPr>
        <w:t>Section 23:26–43: Soldiers nailed Jesus to a cross</w:t>
      </w:r>
    </w:p>
    <w:p>
      <w:pPr/>
      <w:r>
        <w:rPr>
          <w:lang w:val="en_US" w:bidi="en_US"/>
        </w:rPr>
      </w:r>
      <w:r>
        <w:rPr>
          <w:lang w:val="en_US" w:bidi="en_US"/>
        </w:rPr>
        <w:t>In this section the Roman soldiers did what their commander Pontius Pilate had ordered them to do. They led Jesus outside the town to the place where they crucified criminals. There they nailed Jesus on a cross. They did the same to two other men, who were criminals. Then they made the three men hang there until they died. The Jewish leaders, the soldiers, and even one of the criminals mocked Jesus. But the other criminal believed in him.</w:t>
      </w:r>
    </w:p>
    <w:p>
      <w:pPr/>
      <w:r>
        <w:rPr>
          <w:lang w:val="en_US" w:bidi="en_US"/>
        </w:rPr>
      </w:r>
      <w:r>
        <w:rPr>
          <w:lang w:val="en_US" w:bidi="en_US"/>
        </w:rPr>
        <w:t>Other examples of headings for this section are:</w:t>
      </w:r>
    </w:p>
    <w:p>
      <w:pPr/>
      <w:r>
        <w:rPr>
          <w:lang w:val="en_US" w:bidi="en_US"/>
        </w:rPr>
      </w:r>
      <w:r>
        <w:rPr>
          <w:lang w:val="en_US" w:bidi="en_US"/>
        </w:rPr>
        <w:t>The Crucifixion (NIV)</w:t>
      </w:r>
    </w:p>
    <w:p>
      <w:pPr/>
      <w:r>
        <w:rPr>
          <w:lang w:val="en_US" w:bidi="en_US"/>
        </w:rPr>
      </w:r>
      <w:r>
        <w:rPr>
          <w:lang w:val="en_US" w:bidi="en_US"/>
        </w:rPr>
        <w:t>Jesus Is Nailed to a Cross (CEV)</w:t>
      </w:r>
    </w:p>
    <w:p>
      <w:pPr/>
      <w:r>
        <w:rPr>
          <w:lang w:val="en_US" w:bidi="en_US"/>
        </w:rPr>
      </w:r>
      <w:r>
        <w:rPr>
          <w:lang w:val="en_US" w:bidi="en_US"/>
        </w:rPr>
        <w:t>Roman soldiers nailed Jesus to a cross</w:t>
      </w:r>
    </w:p>
    <w:p>
      <w:pPr/>
      <w:r>
        <w:rPr>
          <w:lang w:val="en_US" w:bidi="en_US"/>
        </w:rPr>
      </w:r>
      <w:r>
        <w:rPr>
          <w:lang w:val="en_US" w:bidi="en_US"/>
        </w:rPr>
        <w:t>There are parallel passages for this section in Matthew 27:31–44, Mark 15:21–32, and John 19:17–27.</w:t>
      </w:r>
    </w:p>
    <w:p>
      <w:pPr>
        <w:pStyle w:val="Heading5"/>
      </w:pPr>
      <w:r>
        <w:rPr>
          <w:lang w:val="en_US" w:bidi="en_US"/>
        </w:rPr>
        <w:t>23:43a</w:t>
      </w:r>
    </w:p>
    <w:p>
      <w:pPr/>
      <w:r>
        <w:rPr>
          <w:lang w:val="en_US" w:bidi="en_US"/>
        </w:rPr>
      </w:r>
      <w:r>
        <w:rPr>
          <w:b/>
          <w:lang w:val="en_US" w:bidi="en_US"/>
        </w:rPr>
        <w:t>And Jesus said to him, “Truly I tell you,</w:t>
      </w:r>
    </w:p>
    <w:p>
      <w:pPr>
        <w:pStyle w:val="ListBullet"/>
        <w:spacing w:line="240" w:lineRule="auto"/>
        <w:ind w:left="720"/>
      </w:pPr>
      <w:r>
        <w:rPr>
          <w:lang w:val="en_US" w:bidi="en_US"/>
        </w:rPr>
      </w:r>
      <w:r>
        <w:rPr>
          <w:lang w:val="en_US" w:bidi="en_US"/>
        </w:rPr>
        <w:t>And Jesus said to him, “I assure/promise you</w:t>
      </w:r>
      <w:r>
        <w:rPr>
          <w:vertAlign w:val="superscript"/>
          <w:lang w:val="en_US" w:bidi="en_US"/>
        </w:rPr>
        <w:t>(sing)</w:t>
      </w:r>
      <w:r>
        <w:rPr>
          <w:lang w:val="en_US" w:bidi="en_US"/>
        </w:rPr>
        <w:t xml:space="preserve"> this:</w:t>
      </w:r>
    </w:p>
    <w:p>
      <w:pPr>
        <w:pStyle w:val="ListBullet"/>
        <w:spacing w:line="240" w:lineRule="auto"/>
        <w:ind w:left="720"/>
      </w:pPr>
      <w:r>
        <w:rPr>
          <w:lang w:val="en_US" w:bidi="en_US"/>
        </w:rPr>
      </w:r>
      <w:r>
        <w:rPr>
          <w:lang w:val="en_US" w:bidi="en_US"/>
        </w:rPr>
        <w:t>Then Jesus replied, “You</w:t>
      </w:r>
      <w:r>
        <w:rPr>
          <w:vertAlign w:val="superscript"/>
          <w:lang w:val="en_US" w:bidi="en_US"/>
        </w:rPr>
        <w:t>(sing)</w:t>
      </w:r>
      <w:r>
        <w:rPr>
          <w:lang w:val="en_US" w:bidi="en_US"/>
        </w:rPr>
        <w:t xml:space="preserve"> can be sure of this:</w:t>
      </w:r>
    </w:p>
    <w:p>
      <w:pPr/>
      <w:r>
        <w:rPr>
          <w:lang w:val="en_US" w:bidi="en_US"/>
        </w:rPr>
      </w:r>
      <w:r>
        <w:rPr>
          <w:b/>
          <w:lang w:val="en_US" w:bidi="en_US"/>
        </w:rPr>
        <w:t>Truly I tell you:</w:t>
      </w:r>
      <w:r>
        <w:rPr>
          <w:lang w:val="en_US" w:bidi="en_US"/>
        </w:rPr>
        <w:t xml:space="preserve"> The clause that the BSB translates as </w:t>
      </w:r>
      <w:r>
        <w:rPr>
          <w:i/>
          <w:lang w:val="en_US" w:bidi="en_US"/>
        </w:rPr>
        <w:t>Truly I tell you</w:t>
      </w:r>
      <w:r>
        <w:rPr>
          <w:lang w:val="en_US" w:bidi="en_US"/>
        </w:rPr>
        <w:t xml:space="preserve"> occurs five times previously in Luke. Jesus used it to introduce a statement that he wanted to emphasize. It indicates that the statement is important and reliable. Jesus wanted the man on the cross to listen carefully and trust what he was about to say. Some ways to translate it here are:</w:t>
      </w:r>
    </w:p>
    <w:p>
      <w:pPr/>
      <w:r>
        <w:rPr>
          <w:lang w:val="en_US" w:bidi="en_US"/>
        </w:rPr>
      </w:r>
      <w:r>
        <w:rPr>
          <w:lang w:val="en_US" w:bidi="en_US"/>
        </w:rPr>
        <w:t>I promise you that (GNT)</w:t>
      </w:r>
    </w:p>
    <w:p>
      <w:pPr/>
      <w:r>
        <w:rPr>
          <w:lang w:val="en_US" w:bidi="en_US"/>
        </w:rPr>
      </w:r>
      <w:r>
        <w:rPr>
          <w:lang w:val="en_US" w:bidi="en_US"/>
        </w:rPr>
        <w:t>I assure you (NLT)</w:t>
      </w:r>
    </w:p>
    <w:p>
      <w:pPr/>
      <w:r>
        <w:rPr>
          <w:lang w:val="en_US" w:bidi="en_US"/>
        </w:rPr>
      </w:r>
      <w:r>
        <w:rPr>
          <w:lang w:val="en_US" w:bidi="en_US"/>
        </w:rPr>
        <w:t>You can be sure of this:</w:t>
      </w:r>
    </w:p>
    <w:p>
      <w:pPr/>
      <w:r>
        <w:rPr>
          <w:lang w:val="en_US" w:bidi="en_US"/>
        </w:rPr>
      </w:r>
      <w:r>
        <w:rPr>
          <w:lang w:val="en_US" w:bidi="en_US"/>
        </w:rPr>
        <w:t>For more information and translation examples, see the note on 18:17a. You may also want to refer to how you translated this clause in 4:24, 12:37, 18:17, and 18:29.</w:t>
      </w:r>
    </w:p>
    <w:p>
      <w:pPr>
        <w:pStyle w:val="Heading5"/>
      </w:pPr>
      <w:r>
        <w:rPr>
          <w:lang w:val="en_US" w:bidi="en_US"/>
        </w:rPr>
        <w:t>23:43b</w:t>
      </w:r>
    </w:p>
    <w:p>
      <w:pPr/>
      <w:r>
        <w:rPr>
          <w:lang w:val="en_US" w:bidi="en_US"/>
        </w:rPr>
      </w:r>
      <w:r>
        <w:rPr>
          <w:b/>
          <w:lang w:val="en_US" w:bidi="en_US"/>
        </w:rPr>
        <w:t>today you will be with Me in Paradise.”</w:t>
      </w:r>
    </w:p>
    <w:p>
      <w:pPr>
        <w:pStyle w:val="ListBullet"/>
        <w:spacing w:line="240" w:lineRule="auto"/>
        <w:ind w:left="720"/>
      </w:pPr>
      <w:r>
        <w:rPr>
          <w:lang w:val="en_US" w:bidi="en_US"/>
        </w:rPr>
      </w:r>
      <w:r>
        <w:rPr>
          <w:lang w:val="en_US" w:bidi="en_US"/>
        </w:rPr>
        <w:t>Today you</w:t>
      </w:r>
      <w:r>
        <w:rPr>
          <w:vertAlign w:val="superscript"/>
          <w:lang w:val="en_US" w:bidi="en_US"/>
        </w:rPr>
        <w:t>(sing)</w:t>
      </w:r>
      <w:r>
        <w:rPr>
          <w:lang w:val="en_US" w:bidi="en_US"/>
        </w:rPr>
        <w:t xml:space="preserve"> will be in paradise/heaven with me!”</w:t>
      </w:r>
    </w:p>
    <w:p>
      <w:pPr>
        <w:pStyle w:val="ListBullet"/>
        <w:spacing w:line="240" w:lineRule="auto"/>
        <w:ind w:left="720"/>
      </w:pPr>
      <w:r>
        <w:rPr>
          <w:lang w:val="en_US" w:bidi="en_US"/>
        </w:rPr>
      </w:r>
      <w:r>
        <w:rPr>
          <w:lang w:val="en_US" w:bidi="en_US"/>
        </w:rPr>
        <w:t>Today you</w:t>
      </w:r>
      <w:r>
        <w:rPr>
          <w:vertAlign w:val="superscript"/>
          <w:lang w:val="en_US" w:bidi="en_US"/>
        </w:rPr>
        <w:t>(sing)</w:t>
      </w:r>
      <w:r>
        <w:rPr>
          <w:lang w:val="en_US" w:bidi="en_US"/>
        </w:rPr>
        <w:t xml:space="preserve"> will be with me in God’s beautiful/wonderful home.”</w:t>
      </w:r>
    </w:p>
    <w:p>
      <w:pPr/>
      <w:r>
        <w:rPr>
          <w:lang w:val="en_US" w:bidi="en_US"/>
        </w:rPr>
      </w:r>
      <w:r>
        <w:rPr>
          <w:b/>
          <w:lang w:val="en_US" w:bidi="en_US"/>
        </w:rPr>
        <w:t>today you will be with Me in Paradise:</w:t>
      </w:r>
      <w:r>
        <w:rPr>
          <w:lang w:val="en_US" w:bidi="en_US"/>
        </w:rPr>
        <w:t xml:space="preserve"> Here Jesus promised that he and the criminal would be together in paradise that same day. Both of them would die that day, and then they would enter paradise. In the Greek clause the words </w:t>
      </w:r>
      <w:r>
        <w:rPr>
          <w:i/>
          <w:lang w:val="en_US" w:bidi="en_US"/>
        </w:rPr>
        <w:t>today</w:t>
      </w:r>
      <w:r>
        <w:rPr>
          <w:lang w:val="en_US" w:bidi="en_US"/>
        </w:rPr>
        <w:t xml:space="preserve"> and </w:t>
      </w:r>
      <w:r>
        <w:rPr>
          <w:i/>
          <w:lang w:val="en_US" w:bidi="en_US"/>
        </w:rPr>
        <w:t>with Me</w:t>
      </w:r>
      <w:r>
        <w:rPr>
          <w:lang w:val="en_US" w:bidi="en_US"/>
        </w:rPr>
        <w:t xml:space="preserve"> are emphasized. Some other ways to translate the clause are:</w:t>
      </w:r>
    </w:p>
    <w:p>
      <w:pPr/>
      <w:r>
        <w:rPr>
          <w:lang w:val="en_US" w:bidi="en_US"/>
        </w:rPr>
      </w:r>
      <w:r>
        <w:rPr>
          <w:lang w:val="en_US" w:bidi="en_US"/>
        </w:rPr>
        <w:t>this very day you will be with me in paradise (JBP)</w:t>
      </w:r>
    </w:p>
    <w:p>
      <w:pPr/>
      <w:r>
        <w:rPr>
          <w:lang w:val="en_US" w:bidi="en_US"/>
        </w:rPr>
      </w:r>
      <w:r>
        <w:rPr>
          <w:lang w:val="en_US" w:bidi="en_US"/>
        </w:rPr>
        <w:t>today you and I will be together in the land of those made immortal</w:t>
      </w:r>
      <w:r>
        <w:rPr>
          <w:lang w:val="en_US" w:bidi="en_US"/>
        </w:rPr>
        <w:t>Western Bukidnon Manobo back translation on TW.</w:t>
      </w:r>
    </w:p>
    <w:p>
      <w:pPr/>
      <w:r>
        <w:rPr>
          <w:lang w:val="en_US" w:bidi="en_US"/>
        </w:rPr>
      </w:r>
      <w:r>
        <w:rPr>
          <w:b/>
          <w:lang w:val="en_US" w:bidi="en_US"/>
        </w:rPr>
        <w:t>today:</w:t>
      </w:r>
      <w:r>
        <w:rPr>
          <w:lang w:val="en_US" w:bidi="en_US"/>
        </w:rPr>
        <w:t xml:space="preserve"> A Jewish day ended at sunset, and a new day began. Jesus and the criminal did die before sunset and went to paradise.</w:t>
      </w:r>
    </w:p>
    <w:p>
      <w:pPr/>
      <w:r>
        <w:rPr>
          <w:lang w:val="en_US" w:bidi="en_US"/>
        </w:rPr>
      </w:r>
      <w:r>
        <w:rPr>
          <w:b/>
          <w:lang w:val="en_US" w:bidi="en_US"/>
        </w:rPr>
        <w:t>Paradise:</w:t>
      </w:r>
      <w:r>
        <w:rPr>
          <w:lang w:val="en_US" w:bidi="en_US"/>
        </w:rPr>
        <w:t xml:space="preserve"> The Greek word that the BSB translates as </w:t>
      </w:r>
      <w:r>
        <w:rPr>
          <w:i/>
          <w:lang w:val="en_US" w:bidi="en_US"/>
        </w:rPr>
        <w:t>Paradise</w:t>
      </w:r>
      <w:r>
        <w:rPr>
          <w:lang w:val="en_US" w:bidi="en_US"/>
        </w:rPr>
        <w:t xml:space="preserve"> refers to a place of happiness where people who love God go when they die. In this context its meaning is similar to the meaning of the Greek word that is used for “heaven,” the place where God lives. The English and Greek words for </w:t>
      </w:r>
      <w:r>
        <w:rPr>
          <w:i/>
          <w:lang w:val="en_US" w:bidi="en_US"/>
        </w:rPr>
        <w:t>Paradise</w:t>
      </w:r>
      <w:r>
        <w:rPr>
          <w:lang w:val="en_US" w:bidi="en_US"/>
        </w:rPr>
        <w:t xml:space="preserve"> came from the Hebrew word that can refer to a beautiful garden with many fruit trees.</w:t>
      </w:r>
    </w:p>
    <w:p>
      <w:pPr/>
      <w:r>
        <w:rPr>
          <w:lang w:val="en_US" w:bidi="en_US"/>
        </w:rPr>
      </w:r>
      <w:r>
        <w:rPr>
          <w:lang w:val="en_US" w:bidi="en_US"/>
        </w:rPr>
        <w:t>Some other ways to translate it are:</w:t>
      </w:r>
    </w:p>
    <w:p>
      <w:pPr/>
      <w:r>
        <w:rPr>
          <w:lang w:val="en_US" w:bidi="en_US"/>
        </w:rPr>
      </w:r>
      <w:r>
        <w:rPr>
          <w:lang w:val="en_US" w:bidi="en_US"/>
        </w:rPr>
        <w:t>the beautiful place where people stay with God</w:t>
      </w:r>
    </w:p>
    <w:p>
      <w:pPr/>
      <w:r>
        <w:rPr>
          <w:lang w:val="en_US" w:bidi="en_US"/>
        </w:rPr>
      </w:r>
      <w:r>
        <w:rPr>
          <w:lang w:val="en_US" w:bidi="en_US"/>
        </w:rPr>
        <w:t>the wonderful/glorious home of God</w:t>
      </w:r>
      <w:r>
        <w:rPr>
          <w:lang w:val="en_US" w:bidi="en_US"/>
        </w:rPr>
      </w:r>
      <w:r>
        <w:rPr>
          <w:lang w:val="en_US" w:bidi="en_US"/>
        </w:rPr>
      </w:r>
    </w:p>
    <w:p>
      <w:pPr/>
      <w:r>
        <w:rPr>
          <w:lang w:val="en_US" w:bidi="en_US"/>
        </w:rPr>
      </w:r>
    </w:p>
    <w:p>
      <w:pPr>
        <w:pStyle w:val="Heading2"/>
      </w:pPr>
      <w:r>
        <w:rPr>
          <w:lang w:val="en_US" w:bidi="en_US"/>
        </w:rPr>
        <w:t>Luke 23:44</w:t>
      </w:r>
      <w:r>
        <w:rPr>
          <w:lang w:val="en_US" w:bidi="en_US"/>
        </w:rPr>
      </w:r>
    </w:p>
    <w:p>
      <w:pPr>
        <w:pStyle w:val="Heading4"/>
      </w:pPr>
      <w:r>
        <w:rPr>
          <w:lang w:val="en_US" w:bidi="en_US"/>
        </w:rPr>
        <w:t>Section 23:44–49: Jesus died</w:t>
      </w:r>
    </w:p>
    <w:p>
      <w:pPr/>
      <w:r>
        <w:rPr>
          <w:lang w:val="en_US" w:bidi="en_US"/>
        </w:rPr>
      </w:r>
      <w:r>
        <w:rPr>
          <w:lang w:val="en_US" w:bidi="en_US"/>
        </w:rPr>
        <w:t>While Jesus was on the cross, it became dark. The curtain in the temple ripped into two pieces. Jesus gave his spirit up to God his Father and died. One of the Roman soldiers saw and heard all that happened. As a result, he believed that Jesus was a righteous man. When the people saw that, they were sorry that Jesus was crucified. The way Jesus lived and the way he died showed many people that he was an innocent man. Examples of other headings for this section are:</w:t>
      </w:r>
    </w:p>
    <w:p>
      <w:pPr/>
      <w:r>
        <w:rPr>
          <w:lang w:val="en_US" w:bidi="en_US"/>
        </w:rPr>
      </w:r>
      <w:r>
        <w:rPr>
          <w:lang w:val="en_US" w:bidi="en_US"/>
        </w:rPr>
        <w:t>The Death of Jesus (GNT)</w:t>
      </w:r>
    </w:p>
    <w:p>
      <w:pPr/>
      <w:r>
        <w:rPr>
          <w:lang w:val="en_US" w:bidi="en_US"/>
        </w:rPr>
      </w:r>
      <w:r>
        <w:rPr>
          <w:lang w:val="en_US" w:bidi="en_US"/>
        </w:rPr>
        <w:t>Jesus died</w:t>
      </w:r>
    </w:p>
    <w:p>
      <w:pPr/>
      <w:r>
        <w:rPr>
          <w:lang w:val="en_US" w:bidi="en_US"/>
        </w:rPr>
      </w:r>
      <w:r>
        <w:rPr>
          <w:lang w:val="en_US" w:bidi="en_US"/>
        </w:rPr>
        <w:t>Parallel passages for this section are in Matthew 27:45–56, Mark 15:33–41, and John 19:28–30.</w:t>
      </w:r>
    </w:p>
    <w:p>
      <w:pPr>
        <w:pStyle w:val="Heading5"/>
      </w:pPr>
      <w:r>
        <w:rPr>
          <w:lang w:val="en_US" w:bidi="en_US"/>
        </w:rPr>
        <w:t>23:44a</w:t>
      </w:r>
    </w:p>
    <w:p>
      <w:pPr/>
      <w:r>
        <w:rPr>
          <w:lang w:val="en_US" w:bidi="en_US"/>
        </w:rPr>
      </w:r>
      <w:r>
        <w:rPr>
          <w:b/>
          <w:lang w:val="en_US" w:bidi="en_US"/>
        </w:rPr>
        <w:t>It was now about the sixth hour,</w:t>
      </w:r>
    </w:p>
    <w:p>
      <w:pPr>
        <w:pStyle w:val="ListBullet"/>
        <w:spacing w:line="240" w:lineRule="auto"/>
        <w:ind w:left="720"/>
      </w:pPr>
      <w:r>
        <w:rPr>
          <w:lang w:val="en_US" w:bidi="en_US"/>
        </w:rPr>
      </w:r>
      <w:r>
        <w:rPr>
          <w:lang w:val="en_US" w:bidi="en_US"/>
        </w:rPr>
        <w:t>¶ By this time it was about noon,</w:t>
      </w:r>
    </w:p>
    <w:p>
      <w:pPr>
        <w:pStyle w:val="ListBullet"/>
        <w:spacing w:line="240" w:lineRule="auto"/>
        <w:ind w:left="720"/>
      </w:pPr>
      <w:r>
        <w:rPr>
          <w:lang w:val="en_US" w:bidi="en_US"/>
        </w:rPr>
      </w:r>
      <w:r>
        <w:rPr>
          <w:lang w:val="en_US" w:bidi="en_US"/>
        </w:rPr>
        <w:t>¶ At that time it was midday.</w:t>
      </w:r>
    </w:p>
    <w:p>
      <w:pPr/>
      <w:r>
        <w:rPr>
          <w:lang w:val="en_US" w:bidi="en_US"/>
        </w:rPr>
      </w:r>
      <w:r>
        <w:rPr>
          <w:b/>
          <w:lang w:val="en_US" w:bidi="en_US"/>
        </w:rPr>
        <w:t>It was now:</w:t>
      </w:r>
      <w:r>
        <w:rPr>
          <w:lang w:val="en_US" w:bidi="en_US"/>
        </w:rPr>
        <w:t xml:space="preserve"> The Greek phrase that the BSB translates as </w:t>
      </w:r>
      <w:r>
        <w:rPr>
          <w:i/>
          <w:lang w:val="en_US" w:bidi="en_US"/>
        </w:rPr>
        <w:t>It was now</w:t>
      </w:r>
      <w:r>
        <w:rPr>
          <w:lang w:val="en_US" w:bidi="en_US"/>
        </w:rPr>
        <w:t xml:space="preserve"> is literally, “And it was already.” It implies that some time had gone by. It also introduces a phrase that indicates the time when the events in this paragraph began. Introduce that phrase in a natural way in your language. Some ways to introduce it in English are:</w:t>
      </w:r>
    </w:p>
    <w:p>
      <w:pPr/>
      <w:r>
        <w:rPr>
          <w:lang w:val="en_US" w:bidi="en_US"/>
        </w:rPr>
      </w:r>
      <w:r>
        <w:rPr>
          <w:lang w:val="en_US" w:bidi="en_US"/>
        </w:rPr>
        <w:t>By now it was (REB)</w:t>
      </w:r>
    </w:p>
    <w:p>
      <w:pPr/>
      <w:r>
        <w:rPr>
          <w:lang w:val="en_US" w:bidi="en_US"/>
        </w:rPr>
      </w:r>
      <w:r>
        <w:rPr>
          <w:lang w:val="en_US" w:bidi="en_US"/>
        </w:rPr>
        <w:t>By this time it was (NLT)</w:t>
      </w:r>
    </w:p>
    <w:p>
      <w:pPr/>
      <w:r>
        <w:rPr>
          <w:lang w:val="en_US" w:bidi="en_US"/>
        </w:rPr>
      </w:r>
      <w:r>
        <w:rPr>
          <w:b/>
          <w:lang w:val="en_US" w:bidi="en_US"/>
        </w:rPr>
        <w:t>the sixth hour:</w:t>
      </w:r>
      <w:r>
        <w:rPr>
          <w:lang w:val="en_US" w:bidi="en_US"/>
        </w:rPr>
        <w:t xml:space="preserve"> The first hour of daylight was about six o’clock in the morning, so </w:t>
      </w:r>
      <w:r>
        <w:rPr>
          <w:i/>
          <w:lang w:val="en_US" w:bidi="en_US"/>
        </w:rPr>
        <w:t>the sixth hour</w:t>
      </w:r>
      <w:r>
        <w:rPr>
          <w:lang w:val="en_US" w:bidi="en_US"/>
        </w:rPr>
        <w:t xml:space="preserve"> would be about noon (twelve o’clock midday). Do not translate this literally unless the people you are writing for would understand that </w:t>
      </w:r>
      <w:r>
        <w:rPr>
          <w:i/>
          <w:lang w:val="en_US" w:bidi="en_US"/>
        </w:rPr>
        <w:t>the sixth hour</w:t>
      </w:r>
      <w:r>
        <w:rPr>
          <w:lang w:val="en_US" w:bidi="en_US"/>
        </w:rPr>
        <w:t xml:space="preserve"> means midday. Instead, use the time reference that is natural in your language. Some other ways to translate this are:</w:t>
      </w:r>
    </w:p>
    <w:p>
      <w:pPr/>
      <w:r>
        <w:rPr>
          <w:lang w:val="en_US" w:bidi="en_US"/>
        </w:rPr>
      </w:r>
      <w:r>
        <w:rPr>
          <w:lang w:val="en_US" w:bidi="en_US"/>
        </w:rPr>
        <w:t>midday</w:t>
      </w:r>
    </w:p>
    <w:p>
      <w:pPr/>
      <w:r>
        <w:rPr>
          <w:lang w:val="en_US" w:bidi="en_US"/>
        </w:rPr>
      </w:r>
      <w:r>
        <w:rPr>
          <w:lang w:val="en_US" w:bidi="en_US"/>
        </w:rPr>
        <w:t>the sun was high in the sky</w:t>
      </w:r>
    </w:p>
    <w:p>
      <w:pPr/>
      <w:r>
        <w:rPr>
          <w:lang w:val="en_US" w:bidi="en_US"/>
        </w:rPr>
      </w:r>
      <w:r>
        <w:rPr>
          <w:lang w:val="en_US" w:bidi="en_US"/>
        </w:rPr>
        <w:t>Around noon (GW)</w:t>
      </w:r>
    </w:p>
    <w:p>
      <w:pPr>
        <w:pStyle w:val="Heading5"/>
      </w:pPr>
      <w:r>
        <w:rPr>
          <w:lang w:val="en_US" w:bidi="en_US"/>
        </w:rPr>
        <w:t>23:44b</w:t>
      </w:r>
    </w:p>
    <w:p>
      <w:pPr/>
      <w:r>
        <w:rPr>
          <w:lang w:val="en_US" w:bidi="en_US"/>
        </w:rPr>
      </w:r>
      <w:r>
        <w:rPr>
          <w:b/>
          <w:lang w:val="en_US" w:bidi="en_US"/>
        </w:rPr>
        <w:t>and darkness came over all the land until the ninth hour.</w:t>
      </w:r>
    </w:p>
    <w:p>
      <w:pPr>
        <w:pStyle w:val="ListBullet"/>
        <w:spacing w:line="240" w:lineRule="auto"/>
        <w:ind w:left="720"/>
      </w:pPr>
      <w:r>
        <w:rPr>
          <w:lang w:val="en_US" w:bidi="en_US"/>
        </w:rPr>
      </w:r>
      <w:r>
        <w:rPr>
          <w:lang w:val="en_US" w:bidi="en_US"/>
        </w:rPr>
        <w:t>and the whole land became dark until the middle of the afternoon,</w:t>
      </w:r>
    </w:p>
    <w:p>
      <w:pPr>
        <w:pStyle w:val="ListBullet"/>
        <w:spacing w:line="240" w:lineRule="auto"/>
        <w:ind w:left="720"/>
      </w:pPr>
      <w:r>
        <w:rPr>
          <w:lang w:val="en_US" w:bidi="en_US"/>
        </w:rPr>
      </w:r>
      <w:r>
        <w:rPr>
          <w:lang w:val="en_US" w:bidi="en_US"/>
        </w:rPr>
        <w:t xml:space="preserve">The whole country fell into darkness until </w:t>
      </w:r>
      <w:r>
        <w:rPr>
          <w:lang w:val="en_US" w:bidi="en_US"/>
        </w:rPr>
        <w:t>about</w:t>
      </w:r>
      <w:r>
        <w:rPr>
          <w:lang w:val="en_US" w:bidi="en_US"/>
        </w:rPr>
        <w:t xml:space="preserve"> three o’clock in the afternoon,</w:t>
      </w:r>
    </w:p>
    <w:p>
      <w:pPr>
        <w:pStyle w:val="ListBullet"/>
        <w:spacing w:line="240" w:lineRule="auto"/>
        <w:ind w:left="720"/>
      </w:pPr>
      <w:r>
        <w:rPr>
          <w:lang w:val="en_US" w:bidi="en_US"/>
        </w:rPr>
      </w:r>
      <w:r>
        <w:rPr>
          <w:lang w:val="en_US" w:bidi="en_US"/>
        </w:rPr>
        <w:t>It became dark and for three hours it remained dark all over the land,</w:t>
      </w:r>
    </w:p>
    <w:p>
      <w:pPr/>
      <w:r>
        <w:rPr>
          <w:lang w:val="en_US" w:bidi="en_US"/>
        </w:rPr>
      </w:r>
      <w:r>
        <w:rPr>
          <w:b/>
          <w:lang w:val="en_US" w:bidi="en_US"/>
        </w:rPr>
        <w:t>darkness came over all the land until the ninth hour:</w:t>
      </w:r>
      <w:r>
        <w:rPr>
          <w:lang w:val="en_US" w:bidi="en_US"/>
        </w:rPr>
        <w:t xml:space="preserve"> This clause indicates that from noon until about three o’clock, it was dark. Some other ways to translate the clause are:</w:t>
      </w:r>
    </w:p>
    <w:p>
      <w:pPr/>
      <w:r>
        <w:rPr>
          <w:lang w:val="en_US" w:bidi="en_US"/>
        </w:rPr>
      </w:r>
      <w:r>
        <w:rPr>
          <w:lang w:val="en_US" w:bidi="en_US"/>
        </w:rPr>
        <w:t>darkness came over the entire land and lasted until three in the afternoon (GW)</w:t>
      </w:r>
    </w:p>
    <w:p>
      <w:pPr/>
      <w:r>
        <w:rPr>
          <w:lang w:val="en_US" w:bidi="en_US"/>
        </w:rPr>
      </w:r>
      <w:r>
        <w:rPr>
          <w:lang w:val="en_US" w:bidi="en_US"/>
        </w:rPr>
        <w:t>the entire country became dark until three o’clock</w:t>
      </w:r>
      <w:r>
        <w:rPr>
          <w:lang w:val="en_US" w:bidi="en_US"/>
        </w:rPr>
        <w:t>Kankanaey back translation on TW.</w:t>
      </w:r>
    </w:p>
    <w:p>
      <w:pPr/>
      <w:r>
        <w:rPr>
          <w:lang w:val="en_US" w:bidi="en_US"/>
        </w:rPr>
      </w:r>
      <w:r>
        <w:rPr>
          <w:b/>
          <w:lang w:val="en_US" w:bidi="en_US"/>
        </w:rPr>
        <w:t>all the land:</w:t>
      </w:r>
      <w:r>
        <w:rPr>
          <w:lang w:val="en_US" w:bidi="en_US"/>
        </w:rPr>
        <w:t xml:space="preserve"> The Greek word that the BSB translates as </w:t>
      </w:r>
      <w:r>
        <w:rPr>
          <w:i/>
          <w:lang w:val="en_US" w:bidi="en_US"/>
        </w:rPr>
        <w:t>land</w:t>
      </w:r>
      <w:r>
        <w:rPr>
          <w:lang w:val="en_US" w:bidi="en_US"/>
        </w:rPr>
        <w:t xml:space="preserve"> can refer to a region, a country, or to the whole earth. In this context it probably refers to the land or country where Jesus was dying on the cross. No one knows exactly how much land was affected by the darkness. It is not clear if the entire land of Israel became dark, or if other countries were also affected. It is good to use a general term in your language.</w:t>
      </w:r>
    </w:p>
    <w:p>
      <w:pPr/>
      <w:r>
        <w:rPr>
          <w:lang w:val="en_US" w:bidi="en_US"/>
        </w:rPr>
      </w:r>
      <w:r>
        <w:rPr>
          <w:b/>
          <w:lang w:val="en_US" w:bidi="en_US"/>
        </w:rPr>
        <w:t>until the ninth hour:</w:t>
      </w:r>
      <w:r>
        <w:rPr>
          <w:lang w:val="en_US" w:bidi="en_US"/>
        </w:rPr>
        <w:t xml:space="preserve"> The phrase </w:t>
      </w:r>
      <w:r>
        <w:rPr>
          <w:i/>
          <w:lang w:val="en_US" w:bidi="en_US"/>
        </w:rPr>
        <w:t>the ninth hour</w:t>
      </w:r>
      <w:r>
        <w:rPr>
          <w:lang w:val="en_US" w:bidi="en_US"/>
        </w:rPr>
        <w:t xml:space="preserve"> refers to about three o’clock in the afternoon. It is the time about halfway between noon and sunset. Many languages have idiomatic ways to refer to different times of day. Refer to this time in a natural way in your language. Some other ways to translate the phrase are:</w:t>
      </w:r>
    </w:p>
    <w:p>
      <w:pPr/>
      <w:r>
        <w:rPr>
          <w:lang w:val="en_US" w:bidi="en_US"/>
        </w:rPr>
      </w:r>
      <w:r>
        <w:rPr>
          <w:lang w:val="en_US" w:bidi="en_US"/>
        </w:rPr>
        <w:t>until the middle of the afternoon (CEV)</w:t>
      </w:r>
    </w:p>
    <w:p>
      <w:pPr/>
      <w:r>
        <w:rPr>
          <w:lang w:val="en_US" w:bidi="en_US"/>
        </w:rPr>
      </w:r>
      <w:r>
        <w:rPr>
          <w:lang w:val="en_US" w:bidi="en_US"/>
        </w:rPr>
        <w:t>until about three hours before sunset</w:t>
      </w:r>
    </w:p>
    <w:p>
      <w:pPr/>
      <w:r>
        <w:rPr>
          <w:lang w:val="en_US" w:bidi="en_US"/>
        </w:rPr>
      </w:r>
      <w:r>
        <w:rPr>
          <w:lang w:val="en_US" w:bidi="en_US"/>
        </w:rPr>
        <w:t>until three o’clock in the afternoon</w:t>
      </w:r>
      <w:r>
        <w:rPr>
          <w:lang w:val="en_US" w:bidi="en_US"/>
        </w:rPr>
        <w:t>Yakan back translation on TW.</w:t>
      </w:r>
      <w:r>
        <w:rPr>
          <w:lang w:val="en_US" w:bidi="en_US"/>
        </w:rPr>
      </w:r>
      <w:r>
        <w:rPr>
          <w:lang w:val="en_US" w:bidi="en_US"/>
        </w:rPr>
      </w:r>
    </w:p>
    <w:p>
      <w:pPr/>
      <w:r>
        <w:rPr>
          <w:lang w:val="en_US" w:bidi="en_US"/>
        </w:rPr>
      </w:r>
    </w:p>
    <w:p>
      <w:pPr>
        <w:pStyle w:val="Heading2"/>
      </w:pPr>
      <w:r>
        <w:rPr>
          <w:lang w:val="en_US" w:bidi="en_US"/>
        </w:rPr>
        <w:t>Luke 23:45</w:t>
      </w:r>
      <w:r>
        <w:rPr>
          <w:lang w:val="en_US" w:bidi="en_US"/>
        </w:rPr>
      </w:r>
    </w:p>
    <w:p>
      <w:pPr>
        <w:pStyle w:val="Heading4"/>
      </w:pPr>
      <w:r>
        <w:rPr>
          <w:lang w:val="en_US" w:bidi="en_US"/>
        </w:rPr>
        <w:t>Section 23:44–49: Jesus died</w:t>
      </w:r>
    </w:p>
    <w:p>
      <w:pPr/>
      <w:r>
        <w:rPr>
          <w:lang w:val="en_US" w:bidi="en_US"/>
        </w:rPr>
      </w:r>
      <w:r>
        <w:rPr>
          <w:lang w:val="en_US" w:bidi="en_US"/>
        </w:rPr>
        <w:t>While Jesus was on the cross, it became dark. The curtain in the temple ripped into two pieces. Jesus gave his spirit up to God his Father and died. One of the Roman soldiers saw and heard all that happened. As a result, he believed that Jesus was a righteous man. When the people saw that, they were sorry that Jesus was crucified. The way Jesus lived and the way he died showed many people that he was an innocent man. Examples of other headings for this section are:</w:t>
      </w:r>
    </w:p>
    <w:p>
      <w:pPr/>
      <w:r>
        <w:rPr>
          <w:lang w:val="en_US" w:bidi="en_US"/>
        </w:rPr>
      </w:r>
      <w:r>
        <w:rPr>
          <w:lang w:val="en_US" w:bidi="en_US"/>
        </w:rPr>
        <w:t>The Death of Jesus (GNT)</w:t>
      </w:r>
    </w:p>
    <w:p>
      <w:pPr/>
      <w:r>
        <w:rPr>
          <w:lang w:val="en_US" w:bidi="en_US"/>
        </w:rPr>
      </w:r>
      <w:r>
        <w:rPr>
          <w:lang w:val="en_US" w:bidi="en_US"/>
        </w:rPr>
        <w:t>Jesus died</w:t>
      </w:r>
    </w:p>
    <w:p>
      <w:pPr/>
      <w:r>
        <w:rPr>
          <w:lang w:val="en_US" w:bidi="en_US"/>
        </w:rPr>
      </w:r>
      <w:r>
        <w:rPr>
          <w:lang w:val="en_US" w:bidi="en_US"/>
        </w:rPr>
        <w:t>Parallel passages for this section are in Matthew 27:45–56, Mark 15:33–41, and John 19:28–30.</w:t>
      </w:r>
    </w:p>
    <w:p>
      <w:pPr>
        <w:pStyle w:val="Heading5"/>
      </w:pPr>
      <w:r>
        <w:rPr>
          <w:lang w:val="en_US" w:bidi="en_US"/>
        </w:rPr>
        <w:t>23:45a</w:t>
      </w:r>
    </w:p>
    <w:p>
      <w:pPr/>
      <w:r>
        <w:rPr>
          <w:lang w:val="en_US" w:bidi="en_US"/>
        </w:rPr>
      </w:r>
      <w:r>
        <w:rPr>
          <w:b/>
          <w:lang w:val="en_US" w:bidi="en_US"/>
        </w:rPr>
        <w:t>The sun was darkened,</w:t>
      </w:r>
    </w:p>
    <w:p>
      <w:pPr>
        <w:pStyle w:val="ListBullet"/>
        <w:spacing w:line="240" w:lineRule="auto"/>
        <w:ind w:left="720"/>
      </w:pPr>
      <w:r>
        <w:rPr>
          <w:lang w:val="en_US" w:bidi="en_US"/>
        </w:rPr>
      </w:r>
      <w:r>
        <w:rPr>
          <w:lang w:val="en_US" w:bidi="en_US"/>
        </w:rPr>
        <w:t>because the sun failed to shine.</w:t>
      </w:r>
    </w:p>
    <w:p>
      <w:pPr>
        <w:pStyle w:val="ListBullet"/>
        <w:spacing w:line="240" w:lineRule="auto"/>
        <w:ind w:left="720"/>
      </w:pPr>
      <w:r>
        <w:rPr>
          <w:lang w:val="en_US" w:bidi="en_US"/>
        </w:rPr>
      </w:r>
      <w:r>
        <w:rPr>
          <w:lang w:val="en_US" w:bidi="en_US"/>
        </w:rPr>
        <w:t xml:space="preserve">because the sun had stopped shining </w:t>
      </w:r>
      <w:r>
        <w:rPr>
          <w:lang w:val="en_US" w:bidi="en_US"/>
        </w:rPr>
        <w:t>where they were</w:t>
      </w:r>
      <w:r>
        <w:rPr>
          <w:lang w:val="en_US" w:bidi="en_US"/>
        </w:rPr>
        <w:t>.</w:t>
      </w:r>
    </w:p>
    <w:p>
      <w:pPr>
        <w:pStyle w:val="ListBullet"/>
        <w:spacing w:line="240" w:lineRule="auto"/>
        <w:ind w:left="720"/>
      </w:pPr>
      <w:r>
        <w:rPr>
          <w:lang w:val="en_US" w:bidi="en_US"/>
        </w:rPr>
      </w:r>
      <w:r>
        <w:rPr>
          <w:lang w:val="en_US" w:bidi="en_US"/>
        </w:rPr>
        <w:t>for the sun did not shine.</w:t>
      </w:r>
    </w:p>
    <w:p>
      <w:pPr/>
      <w:r>
        <w:rPr>
          <w:lang w:val="en_US" w:bidi="en_US"/>
        </w:rPr>
      </w:r>
      <w:r>
        <w:rPr>
          <w:b/>
          <w:lang w:val="en_US" w:bidi="en_US"/>
        </w:rPr>
        <w:t>The sun was darkened:</w:t>
      </w:r>
      <w:r>
        <w:rPr>
          <w:lang w:val="en_US" w:bidi="en_US"/>
        </w:rPr>
        <w:t xml:space="preserve"> The Greek phrase that the BSB translates as </w:t>
      </w:r>
      <w:r>
        <w:rPr>
          <w:i/>
          <w:lang w:val="en_US" w:bidi="en_US"/>
        </w:rPr>
        <w:t>The sun was darkened</w:t>
      </w:r>
      <w:r>
        <w:rPr>
          <w:lang w:val="en_US" w:bidi="en_US"/>
        </w:rPr>
        <w:t xml:space="preserve"> is literally “the sun’s light having failed.” This clause gives the reason or cause for the darkness in 23:44. It became dark because the sun stopped shining. Some other ways to translate the clause are:</w:t>
      </w:r>
    </w:p>
    <w:p>
      <w:pPr/>
      <w:r>
        <w:rPr>
          <w:lang w:val="en_US" w:bidi="en_US"/>
        </w:rPr>
      </w:r>
      <w:r>
        <w:rPr>
          <w:lang w:val="en_US" w:bidi="en_US"/>
        </w:rPr>
        <w:t>because the sun did not shine (NCV)</w:t>
      </w:r>
    </w:p>
    <w:p>
      <w:pPr/>
      <w:r>
        <w:rPr>
          <w:lang w:val="en_US" w:bidi="en_US"/>
        </w:rPr>
      </w:r>
      <w:r>
        <w:rPr>
          <w:lang w:val="en_US" w:bidi="en_US"/>
        </w:rPr>
        <w:t>The light from the sun was gone. (NLT)</w:t>
      </w:r>
    </w:p>
    <w:p>
      <w:pPr/>
      <w:r>
        <w:rPr>
          <w:lang w:val="en_US" w:bidi="en_US"/>
        </w:rPr>
      </w:r>
      <w:r>
        <w:rPr>
          <w:lang w:val="en_US" w:bidi="en_US"/>
        </w:rPr>
        <w:t>In some languages it may be more natural to put this reason clause before the result in 23:44. You may also decide to include this clause in 23:44, as some English versions do. See the General Comment on 23:44–45 below for examples.</w:t>
      </w:r>
    </w:p>
    <w:p>
      <w:pPr/>
      <w:r>
        <w:rPr>
          <w:lang w:val="en_US" w:bidi="en_US"/>
        </w:rPr>
      </w:r>
      <w:r>
        <w:rPr>
          <w:lang w:val="en_US" w:bidi="en_US"/>
        </w:rPr>
        <w:t>This phrase not necessarily mean that the sun had no light at all during that time. God may have caused something to block the light of the sun so that it could not shine on part of the earth. Then the land became dark. However, this was not an eclipse. Bible scholars do not know what caused this darkness.</w:t>
      </w:r>
      <w:r>
        <w:rPr>
          <w:lang w:val="en_US" w:bidi="en_US"/>
        </w:rPr>
        <w:t>When the moon comes between the earth and the sun, it hides the light of the sun for a short time and causes the land to become dark. People call this an eclipse of the sun. But a true eclipse of the sun could not have happened at that time of the month, because the moon was on the opposite side of the earth from the sun. The Passover was at the time of the full moon. Also, an eclipse of the sun would last only a few minutes, but this darkness lasted for three hours.</w:t>
      </w:r>
    </w:p>
    <w:p>
      <w:pPr>
        <w:pStyle w:val="Heading6"/>
      </w:pPr>
      <w:r>
        <w:rPr>
          <w:b/>
          <w:lang w:val="en_US" w:bidi="en_US"/>
        </w:rPr>
        <w:t>General Comment on 23:44–45</w:t>
      </w:r>
    </w:p>
    <w:p>
      <w:pPr/>
      <w:r>
        <w:rPr>
          <w:lang w:val="en_US" w:bidi="en_US"/>
        </w:rPr>
      </w:r>
      <w:r>
        <w:rPr>
          <w:lang w:val="en_US" w:bidi="en_US"/>
        </w:rPr>
        <w:t>There is a close connection between 23:44b and 23:45a. The sun stopped shining (23:45a), and that caused the land to become dark (23:44b). Some languages may need to change the order of clauses so that the cause in 23:45 comes before the result in 23:44. For example:</w:t>
      </w:r>
    </w:p>
    <w:p>
      <w:pPr/>
      <w:r>
        <w:rPr>
          <w:lang w:val="en_US" w:bidi="en_US"/>
        </w:rPr>
      </w:r>
      <w:r>
        <w:rPr>
          <w:vertAlign w:val="superscript"/>
          <w:lang w:val="en_US" w:bidi="en_US"/>
        </w:rPr>
        <w:t>44a</w:t>
      </w:r>
      <w:r>
        <w:rPr>
          <w:lang w:val="en_US" w:bidi="en_US"/>
        </w:rPr>
        <w:t xml:space="preserve">It was now about the sixth hour </w:t>
      </w:r>
      <w:r>
        <w:rPr>
          <w:vertAlign w:val="superscript"/>
          <w:lang w:val="en_US" w:bidi="en_US"/>
        </w:rPr>
        <w:t>45a</w:t>
      </w:r>
      <w:r>
        <w:rPr>
          <w:lang w:val="en_US" w:bidi="en_US"/>
        </w:rPr>
        <w:t xml:space="preserve">and the sun’s light failed, </w:t>
      </w:r>
      <w:r>
        <w:rPr>
          <w:vertAlign w:val="superscript"/>
          <w:lang w:val="en_US" w:bidi="en_US"/>
        </w:rPr>
        <w:t>44b</w:t>
      </w:r>
      <w:r>
        <w:rPr>
          <w:lang w:val="en_US" w:bidi="en_US"/>
        </w:rPr>
        <w:t>so that darkness came over the whole land until the ninth hour. (NJB)</w:t>
      </w:r>
    </w:p>
    <w:p>
      <w:pPr/>
      <w:r>
        <w:rPr>
          <w:lang w:val="en_US" w:bidi="en_US"/>
        </w:rPr>
      </w:r>
      <w:r>
        <w:rPr>
          <w:lang w:val="en_US" w:bidi="en_US"/>
        </w:rPr>
        <w:t>In some languages it may be helpful to combine 23:44–45. For example:</w:t>
      </w:r>
    </w:p>
    <w:p>
      <w:pPr/>
      <w:r>
        <w:rPr>
          <w:lang w:val="en_US" w:bidi="en_US"/>
        </w:rPr>
      </w:r>
      <w:r>
        <w:rPr>
          <w:vertAlign w:val="superscript"/>
          <w:lang w:val="en_US" w:bidi="en_US"/>
        </w:rPr>
        <w:t>44–45</w:t>
      </w:r>
      <w:r>
        <w:rPr>
          <w:lang w:val="en_US" w:bidi="en_US"/>
        </w:rPr>
        <w:t>It was about twelve o’clock when the sun stopped shining and darkness covered the whole country until three o’clock…. (GNT)</w:t>
      </w:r>
    </w:p>
    <w:p>
      <w:pPr/>
      <w:r>
        <w:rPr>
          <w:lang w:val="en_US" w:bidi="en_US"/>
        </w:rPr>
      </w:r>
      <w:r>
        <w:rPr>
          <w:lang w:val="en_US" w:bidi="en_US"/>
        </w:rPr>
        <w:t>In some other languages it may be better to include 23:45a in 23:44 without changing the verse numbers. For example:</w:t>
      </w:r>
    </w:p>
    <w:p>
      <w:pPr/>
      <w:r>
        <w:rPr>
          <w:lang w:val="en_US" w:bidi="en_US"/>
        </w:rPr>
      </w:r>
      <w:r>
        <w:rPr>
          <w:vertAlign w:val="superscript"/>
          <w:lang w:val="en_US" w:bidi="en_US"/>
        </w:rPr>
        <w:t>44</w:t>
      </w:r>
      <w:r>
        <w:rPr>
          <w:lang w:val="en_US" w:bidi="en_US"/>
        </w:rPr>
        <w:t>When it was about twelve o’clock, the sun suddenly-stopped shining and the entire country became dark until three o’clock.</w:t>
      </w:r>
      <w:r>
        <w:rPr>
          <w:lang w:val="en_US" w:bidi="en_US"/>
        </w:rPr>
        <w:t>Kankanaey back translation on TW.</w:t>
      </w:r>
    </w:p>
    <w:p>
      <w:pPr/>
      <w:r>
        <w:rPr>
          <w:lang w:val="en_US" w:bidi="en_US"/>
        </w:rPr>
      </w:r>
      <w:r>
        <w:rPr>
          <w:lang w:val="en_US" w:bidi="en_US"/>
        </w:rPr>
        <w:t>You should order 23:44b–45a in a way that is natural in your language.</w:t>
      </w:r>
    </w:p>
    <w:p>
      <w:pPr>
        <w:pStyle w:val="Heading5"/>
      </w:pPr>
      <w:r>
        <w:rPr>
          <w:lang w:val="en_US" w:bidi="en_US"/>
        </w:rPr>
        <w:t>23:45b</w:t>
      </w:r>
    </w:p>
    <w:p>
      <w:pPr/>
      <w:r>
        <w:rPr>
          <w:lang w:val="en_US" w:bidi="en_US"/>
        </w:rPr>
      </w:r>
      <w:r>
        <w:rPr>
          <w:b/>
          <w:lang w:val="en_US" w:bidi="en_US"/>
        </w:rPr>
        <w:t>and the veil of the temple was torn down the middle.</w:t>
      </w:r>
    </w:p>
    <w:p>
      <w:pPr>
        <w:pStyle w:val="ListBullet"/>
        <w:spacing w:line="240" w:lineRule="auto"/>
        <w:ind w:left="720"/>
      </w:pPr>
      <w:r>
        <w:rPr>
          <w:lang w:val="en_US" w:bidi="en_US"/>
        </w:rPr>
      </w:r>
      <w:r>
        <w:rPr>
          <w:lang w:val="en_US" w:bidi="en_US"/>
        </w:rPr>
        <w:t>And the curtain in the temple was split/torn into two pieces.</w:t>
      </w:r>
    </w:p>
    <w:p>
      <w:pPr>
        <w:pStyle w:val="ListBullet"/>
        <w:spacing w:line="240" w:lineRule="auto"/>
        <w:ind w:left="720"/>
      </w:pPr>
      <w:r>
        <w:rPr>
          <w:lang w:val="en_US" w:bidi="en_US"/>
        </w:rPr>
      </w:r>
      <w:r>
        <w:rPr>
          <w:lang w:val="en_US" w:bidi="en_US"/>
        </w:rPr>
        <w:t>During that time,</w:t>
      </w:r>
      <w:r>
        <w:rPr>
          <w:lang w:val="en_US" w:bidi="en_US"/>
        </w:rPr>
        <w:t xml:space="preserve"> the cloth door/divider in the temple tore/ripped down the middle into two parts.</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connects the tearing of the veil/curtain of the temple into two parts with the darkness that came upon the land in 23:44–45a. At some time during this darkness the veil/curtain in the temple was torn in two. In some languages a conjunction is not necessary. Connect the events in a natural way in your language.</w:t>
      </w:r>
    </w:p>
    <w:p>
      <w:pPr/>
      <w:r>
        <w:rPr>
          <w:lang w:val="en_US" w:bidi="en_US"/>
        </w:rPr>
      </w:r>
      <w:r>
        <w:rPr>
          <w:b/>
          <w:lang w:val="en_US" w:bidi="en_US"/>
        </w:rPr>
        <w:t>the veil of the temple:</w:t>
      </w:r>
      <w:r>
        <w:rPr>
          <w:lang w:val="en_US" w:bidi="en_US"/>
        </w:rPr>
        <w:t xml:space="preserve"> The phrase </w:t>
      </w:r>
      <w:r>
        <w:rPr>
          <w:i/>
          <w:lang w:val="en_US" w:bidi="en_US"/>
        </w:rPr>
        <w:t>the veil of the temple</w:t>
      </w:r>
      <w:r>
        <w:rPr>
          <w:lang w:val="en_US" w:bidi="en_US"/>
        </w:rPr>
        <w:t xml:space="preserve"> refers to the large, thick curtain that hung in the temple. It divided a very holy place from the rest of the temple. It either hung at the entrance to the temple building or between two rooms in the temple building. (These two rooms are called “The Holy Place” and “The Holy of Holies.”)</w:t>
      </w:r>
      <w:r>
        <w:rPr>
          <w:lang w:val="en_US" w:bidi="en_US"/>
        </w:rPr>
        <w:t>In the commentaries there is much discussion of which of these two curtains is intended. Some scholars favor the outer curtain because of its more public aspect. The inner curtain is favored by others because of references to it in Hebrews (6:19, 9:3; 10:19–20) and because the Greek word used here is more consistently used of the inner curtain. In the end, the choice of curtain does not greatly affect the sense. The tearing of either curtain would speak of the destruction of the temple and OT system and symbolically show that a new way has been opened for man to approach God.</w:t>
      </w:r>
      <w:r>
        <w:rPr>
          <w:lang w:val="en_US" w:bidi="en_US"/>
        </w:rPr>
        <w:t xml:space="preserve"> This curtain was possibly as much as twenty-five meters tall.</w:t>
      </w:r>
    </w:p>
    <w:p>
      <w:pPr/>
      <w:r>
        <w:rPr>
          <w:lang w:val="en_US" w:bidi="en_US"/>
        </w:rPr>
      </w:r>
      <w:r>
        <w:rPr>
          <w:lang w:val="en_US" w:bidi="en_US"/>
        </w:rPr>
        <w:t>Some other ways to translate this are:</w:t>
      </w:r>
    </w:p>
    <w:p>
      <w:pPr/>
      <w:r>
        <w:rPr>
          <w:lang w:val="en_US" w:bidi="en_US"/>
        </w:rPr>
      </w:r>
      <w:r>
        <w:rPr>
          <w:lang w:val="en_US" w:bidi="en_US"/>
        </w:rPr>
        <w:t>heavy</w:t>
      </w:r>
      <w:r>
        <w:rPr>
          <w:lang w:val="en_US" w:bidi="en_US"/>
        </w:rPr>
        <w:t xml:space="preserve"> cloth door</w:t>
      </w:r>
    </w:p>
    <w:p>
      <w:pPr/>
      <w:r>
        <w:rPr>
          <w:lang w:val="en_US" w:bidi="en_US"/>
        </w:rPr>
      </w:r>
      <w:r>
        <w:rPr>
          <w:lang w:val="en_US" w:bidi="en_US"/>
        </w:rPr>
        <w:t>cloth divider</w:t>
      </w:r>
    </w:p>
    <w:p>
      <w:pPr/>
      <w:r>
        <w:rPr>
          <w:lang w:val="en_US" w:bidi="en_US"/>
        </w:rPr>
      </w:r>
      <w:r>
        <w:rPr>
          <w:lang w:val="en_US" w:bidi="en_US"/>
        </w:rPr>
        <w:t>the thick cloth that makes/acts-as a wall in the temple</w:t>
      </w:r>
      <w:r>
        <w:rPr>
          <w:lang w:val="en_US" w:bidi="en_US"/>
        </w:rPr>
        <w:t>Yakan back translation on TW.</w:t>
      </w:r>
    </w:p>
    <w:p>
      <w:pPr/>
      <w:r>
        <w:rPr>
          <w:lang w:val="en_US" w:bidi="en_US"/>
        </w:rPr>
      </w:r>
      <w:r>
        <w:rPr>
          <w:b/>
          <w:lang w:val="en_US" w:bidi="en_US"/>
        </w:rPr>
        <w:t>temple:</w:t>
      </w:r>
      <w:r>
        <w:rPr>
          <w:lang w:val="en_US" w:bidi="en_US"/>
        </w:rPr>
        <w:t xml:space="preserve"> Here the word </w:t>
      </w:r>
      <w:r>
        <w:rPr>
          <w:i/>
          <w:lang w:val="en_US" w:bidi="en_US"/>
        </w:rPr>
        <w:t>temple</w:t>
      </w:r>
      <w:r>
        <w:rPr>
          <w:lang w:val="en_US" w:bidi="en_US"/>
        </w:rPr>
        <w:t xml:space="preserve"> refers to the main building of the temple. See temple, Meaning 2, in the Glossary.</w:t>
      </w:r>
    </w:p>
    <w:p>
      <w:pPr/>
      <w:r>
        <w:rPr>
          <w:lang w:val="en_US" w:bidi="en_US"/>
        </w:rPr>
      </w:r>
      <w:r>
        <w:rPr>
          <w:b/>
          <w:lang w:val="en_US" w:bidi="en_US"/>
        </w:rPr>
        <w:t>was torn down the middle:</w:t>
      </w:r>
      <w:r>
        <w:rPr>
          <w:lang w:val="en_US" w:bidi="en_US"/>
        </w:rPr>
        <w:t xml:space="preserve"> The Greek phrase that the BSB translates as </w:t>
      </w:r>
      <w:r>
        <w:rPr>
          <w:i/>
          <w:lang w:val="en_US" w:bidi="en_US"/>
        </w:rPr>
        <w:t>was torn down the middle</w:t>
      </w:r>
      <w:r>
        <w:rPr>
          <w:lang w:val="en_US" w:bidi="en_US"/>
        </w:rPr>
        <w:t xml:space="preserve"> indicates that the curtain was split down the middle into two parts. According to Matthew 27:51 and Mark 15:38 this curtain split apart from top to bottom.</w:t>
      </w:r>
    </w:p>
    <w:p>
      <w:pPr/>
      <w:r>
        <w:rPr>
          <w:lang w:val="en_US" w:bidi="en_US"/>
        </w:rPr>
      </w:r>
      <w:r>
        <w:rPr>
          <w:lang w:val="en_US" w:bidi="en_US"/>
        </w:rPr>
        <w:t xml:space="preserve">The verb </w:t>
      </w:r>
      <w:r>
        <w:rPr>
          <w:i/>
          <w:lang w:val="en_US" w:bidi="en_US"/>
        </w:rPr>
        <w:t>was torn</w:t>
      </w:r>
      <w:r>
        <w:rPr>
          <w:lang w:val="en_US" w:bidi="en_US"/>
        </w:rPr>
        <w:t xml:space="preserve"> is passive. The text probably implies that God caused the curtain to tear like that. In some languages it may be more natural to translate the clause without a passive verb. For example:</w:t>
      </w:r>
    </w:p>
    <w:p>
      <w:pPr/>
      <w:r>
        <w:rPr>
          <w:lang w:val="en_US" w:bidi="en_US"/>
        </w:rPr>
      </w:r>
      <w:r>
        <w:rPr>
          <w:lang w:val="en_US" w:bidi="en_US"/>
        </w:rPr>
        <w:t>tore into two parts</w:t>
      </w:r>
    </w:p>
    <w:p>
      <w:pPr/>
      <w:r>
        <w:rPr>
          <w:lang w:val="en_US" w:bidi="en_US"/>
        </w:rPr>
      </w:r>
      <w:r>
        <w:rPr>
          <w:lang w:val="en_US" w:bidi="en_US"/>
        </w:rPr>
        <w:t>ripped down the middle</w:t>
      </w:r>
      <w:r>
        <w:rPr>
          <w:lang w:val="en_US" w:bidi="en_US"/>
        </w:rPr>
      </w:r>
      <w:r>
        <w:rPr>
          <w:lang w:val="en_US" w:bidi="en_US"/>
        </w:rPr>
      </w:r>
    </w:p>
    <w:p>
      <w:pPr/>
      <w:r>
        <w:rPr>
          <w:lang w:val="en_US" w:bidi="en_US"/>
        </w:rPr>
      </w:r>
    </w:p>
    <w:p>
      <w:pPr>
        <w:pStyle w:val="Heading2"/>
      </w:pPr>
      <w:r>
        <w:rPr>
          <w:lang w:val="en_US" w:bidi="en_US"/>
        </w:rPr>
        <w:t>Luke 23:46</w:t>
      </w:r>
      <w:r>
        <w:rPr>
          <w:lang w:val="en_US" w:bidi="en_US"/>
        </w:rPr>
      </w:r>
    </w:p>
    <w:p>
      <w:pPr>
        <w:pStyle w:val="Heading4"/>
      </w:pPr>
      <w:r>
        <w:rPr>
          <w:lang w:val="en_US" w:bidi="en_US"/>
        </w:rPr>
        <w:t>Section 23:44–49: Jesus died</w:t>
      </w:r>
    </w:p>
    <w:p>
      <w:pPr/>
      <w:r>
        <w:rPr>
          <w:lang w:val="en_US" w:bidi="en_US"/>
        </w:rPr>
      </w:r>
      <w:r>
        <w:rPr>
          <w:lang w:val="en_US" w:bidi="en_US"/>
        </w:rPr>
        <w:t>While Jesus was on the cross, it became dark. The curtain in the temple ripped into two pieces. Jesus gave his spirit up to God his Father and died. One of the Roman soldiers saw and heard all that happened. As a result, he believed that Jesus was a righteous man. When the people saw that, they were sorry that Jesus was crucified. The way Jesus lived and the way he died showed many people that he was an innocent man. Examples of other headings for this section are:</w:t>
      </w:r>
    </w:p>
    <w:p>
      <w:pPr/>
      <w:r>
        <w:rPr>
          <w:lang w:val="en_US" w:bidi="en_US"/>
        </w:rPr>
      </w:r>
      <w:r>
        <w:rPr>
          <w:lang w:val="en_US" w:bidi="en_US"/>
        </w:rPr>
        <w:t>The Death of Jesus (GNT)</w:t>
      </w:r>
    </w:p>
    <w:p>
      <w:pPr/>
      <w:r>
        <w:rPr>
          <w:lang w:val="en_US" w:bidi="en_US"/>
        </w:rPr>
      </w:r>
      <w:r>
        <w:rPr>
          <w:lang w:val="en_US" w:bidi="en_US"/>
        </w:rPr>
        <w:t>Jesus died</w:t>
      </w:r>
    </w:p>
    <w:p>
      <w:pPr/>
      <w:r>
        <w:rPr>
          <w:lang w:val="en_US" w:bidi="en_US"/>
        </w:rPr>
      </w:r>
      <w:r>
        <w:rPr>
          <w:lang w:val="en_US" w:bidi="en_US"/>
        </w:rPr>
        <w:t>Parallel passages for this section are in Matthew 27:45–56, Mark 15:33–41, and John 19:28–30.</w:t>
      </w:r>
    </w:p>
    <w:p>
      <w:pPr>
        <w:pStyle w:val="Heading5"/>
      </w:pPr>
      <w:r>
        <w:rPr>
          <w:lang w:val="en_US" w:bidi="en_US"/>
        </w:rPr>
        <w:t>23:46a</w:t>
      </w:r>
    </w:p>
    <w:p>
      <w:pPr/>
      <w:r>
        <w:rPr>
          <w:lang w:val="en_US" w:bidi="en_US"/>
        </w:rPr>
      </w:r>
      <w:r>
        <w:rPr>
          <w:b/>
          <w:lang w:val="en_US" w:bidi="en_US"/>
        </w:rPr>
        <w:t>Then Jesus called out in a loud voice,</w:t>
      </w:r>
    </w:p>
    <w:p>
      <w:pPr>
        <w:pStyle w:val="ListBullet"/>
        <w:spacing w:line="240" w:lineRule="auto"/>
        <w:ind w:left="720"/>
      </w:pPr>
      <w:r>
        <w:rPr>
          <w:lang w:val="en_US" w:bidi="en_US"/>
        </w:rPr>
      </w:r>
      <w:r>
        <w:rPr>
          <w:lang w:val="en_US" w:bidi="en_US"/>
        </w:rPr>
        <w:t xml:space="preserve">Jesus called loudly </w:t>
      </w:r>
      <w:r>
        <w:rPr>
          <w:lang w:val="en_US" w:bidi="en_US"/>
        </w:rPr>
        <w:t>to God</w:t>
      </w:r>
      <w:r>
        <w:rPr>
          <w:lang w:val="en_US" w:bidi="en_US"/>
        </w:rPr>
        <w:t>,</w:t>
      </w:r>
    </w:p>
    <w:p>
      <w:pPr>
        <w:pStyle w:val="ListBullet"/>
        <w:spacing w:line="240" w:lineRule="auto"/>
        <w:ind w:left="720"/>
      </w:pPr>
      <w:r>
        <w:rPr>
          <w:lang w:val="en_US" w:bidi="en_US"/>
        </w:rPr>
      </w:r>
      <w:r>
        <w:rPr>
          <w:lang w:val="en_US" w:bidi="en_US"/>
        </w:rPr>
        <w:t>After that, Jesus prayed loudly, saying,</w:t>
      </w:r>
    </w:p>
    <w:p>
      <w:pPr/>
      <w:r>
        <w:rPr>
          <w:lang w:val="en_US" w:bidi="en_US"/>
        </w:rPr>
      </w:r>
      <w:r>
        <w:rPr>
          <w:b/>
          <w:lang w:val="en_US" w:bidi="en_US"/>
        </w:rPr>
        <w:t>Then Jesus called out in a loud voice:</w:t>
      </w:r>
      <w:r>
        <w:rPr>
          <w:lang w:val="en_US" w:bidi="en_US"/>
        </w:rPr>
        <w:t xml:space="preserve"> This clause introduces the words that Jesus called out to God as he died. In Greek the clause begins with the common conjunction that is often translated as “and.” The BSB translates this conjunction as </w:t>
      </w:r>
      <w:r>
        <w:rPr>
          <w:i/>
          <w:lang w:val="en_US" w:bidi="en_US"/>
        </w:rPr>
        <w:t>Then</w:t>
      </w:r>
      <w:r>
        <w:rPr>
          <w:lang w:val="en_US" w:bidi="en_US"/>
        </w:rPr>
        <w:t xml:space="preserve">. The phrase that the BSB translates </w:t>
      </w:r>
      <w:r>
        <w:rPr>
          <w:i/>
          <w:lang w:val="en_US" w:bidi="en_US"/>
        </w:rPr>
        <w:t>in a loud voice</w:t>
      </w:r>
      <w:r>
        <w:rPr>
          <w:lang w:val="en_US" w:bidi="en_US"/>
        </w:rPr>
        <w:t xml:space="preserve"> indicates that Jesus said or shouted the words loudly. The phrase does not imply that he was angry.</w:t>
      </w:r>
    </w:p>
    <w:p>
      <w:pPr/>
      <w:r>
        <w:rPr>
          <w:lang w:val="en_US" w:bidi="en_US"/>
        </w:rPr>
      </w:r>
      <w:r>
        <w:rPr>
          <w:lang w:val="en_US" w:bidi="en_US"/>
        </w:rPr>
        <w:t>Some other says to translate the clause are:</w:t>
      </w:r>
    </w:p>
    <w:p>
      <w:pPr/>
      <w:r>
        <w:rPr>
          <w:lang w:val="en_US" w:bidi="en_US"/>
        </w:rPr>
      </w:r>
      <w:r>
        <w:rPr>
          <w:lang w:val="en_US" w:bidi="en_US"/>
        </w:rPr>
        <w:t>Then Jesus, calling out with a loud voice, said (NET)</w:t>
      </w:r>
    </w:p>
    <w:p>
      <w:pPr/>
      <w:r>
        <w:rPr>
          <w:lang w:val="en_US" w:bidi="en_US"/>
        </w:rPr>
      </w:r>
      <w:r>
        <w:rPr>
          <w:lang w:val="en_US" w:bidi="en_US"/>
        </w:rPr>
        <w:t>After this, Jesus prayed loudly to God, saying</w:t>
      </w:r>
    </w:p>
    <w:p>
      <w:pPr>
        <w:pStyle w:val="Heading5"/>
      </w:pPr>
      <w:r>
        <w:rPr>
          <w:lang w:val="en_US" w:bidi="en_US"/>
        </w:rPr>
        <w:t>23:46b</w:t>
      </w:r>
    </w:p>
    <w:p>
      <w:pPr/>
      <w:r>
        <w:rPr>
          <w:lang w:val="en_US" w:bidi="en_US"/>
        </w:rPr>
      </w:r>
      <w:r>
        <w:rPr>
          <w:b/>
          <w:lang w:val="en_US" w:bidi="en_US"/>
        </w:rPr>
        <w:t>“Father, into Your hands I commit My Spirit.”</w:t>
      </w:r>
    </w:p>
    <w:p>
      <w:pPr>
        <w:pStyle w:val="ListBullet"/>
        <w:spacing w:line="240" w:lineRule="auto"/>
        <w:ind w:left="720"/>
      </w:pPr>
      <w:r>
        <w:rPr>
          <w:lang w:val="en_US" w:bidi="en_US"/>
        </w:rPr>
      </w:r>
      <w:r>
        <w:rPr>
          <w:lang w:val="en_US" w:bidi="en_US"/>
        </w:rPr>
        <w:t>“Father, I give/entrust my spirit/life 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w:t>
      </w:r>
      <w:r>
        <w:rPr>
          <w:lang w:val="en_US" w:bidi="en_US"/>
        </w:rPr>
        <w:t>My</w:t>
      </w:r>
      <w:r>
        <w:rPr>
          <w:lang w:val="en_US" w:bidi="en_US"/>
        </w:rPr>
        <w:t xml:space="preserve"> Father, I entrust myself to you</w:t>
      </w:r>
      <w:r>
        <w:rPr>
          <w:vertAlign w:val="superscript"/>
          <w:lang w:val="en_US" w:bidi="en_US"/>
        </w:rPr>
        <w:t>(sing)</w:t>
      </w:r>
      <w:r>
        <w:rPr>
          <w:lang w:val="en_US" w:bidi="en_US"/>
        </w:rPr>
        <w:t>!”</w:t>
      </w:r>
    </w:p>
    <w:p>
      <w:pPr/>
      <w:r>
        <w:rPr>
          <w:lang w:val="en_US" w:bidi="en_US"/>
        </w:rPr>
      </w:r>
      <w:r>
        <w:rPr>
          <w:b/>
          <w:lang w:val="en_US" w:bidi="en_US"/>
        </w:rPr>
        <w:t>Father:</w:t>
      </w:r>
      <w:r>
        <w:rPr>
          <w:lang w:val="en_US" w:bidi="en_US"/>
        </w:rPr>
        <w:t xml:space="preserve"> Here Jesus prayed to God. He addressed God as Father. In some languages it may be helpful to make this explicit. For example:</w:t>
      </w:r>
    </w:p>
    <w:p>
      <w:pPr/>
      <w:r>
        <w:rPr>
          <w:lang w:val="en_US" w:bidi="en_US"/>
        </w:rPr>
      </w:r>
      <w:r>
        <w:rPr>
          <w:lang w:val="en_US" w:bidi="en_US"/>
        </w:rPr>
        <w:t xml:space="preserve">Father </w:t>
      </w:r>
      <w:r>
        <w:rPr>
          <w:lang w:val="en_US" w:bidi="en_US"/>
        </w:rPr>
        <w:t>God</w:t>
      </w:r>
    </w:p>
    <w:p>
      <w:pPr/>
      <w:r>
        <w:rPr>
          <w:lang w:val="en_US" w:bidi="en_US"/>
        </w:rPr>
      </w:r>
      <w:r>
        <w:rPr>
          <w:lang w:val="en_US" w:bidi="en_US"/>
        </w:rPr>
        <w:t>God</w:t>
      </w:r>
      <w:r>
        <w:rPr>
          <w:lang w:val="en_US" w:bidi="en_US"/>
        </w:rPr>
        <w:t xml:space="preserve"> </w:t>
      </w:r>
      <w:r>
        <w:rPr>
          <w:lang w:val="en_US" w:bidi="en_US"/>
        </w:rPr>
        <w:t>my</w:t>
      </w:r>
      <w:r>
        <w:rPr>
          <w:lang w:val="en_US" w:bidi="en_US"/>
        </w:rPr>
        <w:t xml:space="preserve"> Father</w:t>
      </w:r>
    </w:p>
    <w:p>
      <w:pPr/>
      <w:r>
        <w:rPr>
          <w:lang w:val="en_US" w:bidi="en_US"/>
        </w:rPr>
      </w:r>
      <w:r>
        <w:rPr>
          <w:b/>
          <w:lang w:val="en_US" w:bidi="en_US"/>
        </w:rPr>
        <w:t>into Your hands I commit My Spirit:</w:t>
      </w:r>
      <w:r>
        <w:rPr>
          <w:lang w:val="en_US" w:bidi="en_US"/>
        </w:rPr>
        <w:t xml:space="preserve"> In this prayer Jesus entrusted his spirit to God to care for him and protect him. The phrase </w:t>
      </w:r>
      <w:r>
        <w:rPr>
          <w:i/>
          <w:lang w:val="en_US" w:bidi="en_US"/>
        </w:rPr>
        <w:t>into Your hands</w:t>
      </w:r>
      <w:r>
        <w:rPr>
          <w:lang w:val="en_US" w:bidi="en_US"/>
        </w:rPr>
        <w:t xml:space="preserve"> is a metaphor. It represents God himself or his loving care. Some other ways to translate the prayer are:</w:t>
      </w:r>
    </w:p>
    <w:p>
      <w:pPr/>
      <w:r>
        <w:rPr>
          <w:lang w:val="en_US" w:bidi="en_US"/>
        </w:rPr>
      </w:r>
      <w:r>
        <w:rPr>
          <w:lang w:val="en_US" w:bidi="en_US"/>
        </w:rPr>
        <w:t>into your hands I entrust my spirit (GW)</w:t>
      </w:r>
    </w:p>
    <w:p>
      <w:pPr/>
      <w:r>
        <w:rPr>
          <w:lang w:val="en_US" w:bidi="en_US"/>
        </w:rPr>
      </w:r>
      <w:r>
        <w:rPr>
          <w:lang w:val="en_US" w:bidi="en_US"/>
        </w:rPr>
        <w:t>I commit my spirit into your care</w:t>
      </w:r>
    </w:p>
    <w:p>
      <w:pPr/>
      <w:r>
        <w:rPr>
          <w:lang w:val="en_US" w:bidi="en_US"/>
        </w:rPr>
      </w:r>
      <w:r>
        <w:rPr>
          <w:lang w:val="en_US" w:bidi="en_US"/>
        </w:rPr>
        <w:t>I give my soul into your holding/power</w:t>
      </w:r>
      <w:r>
        <w:rPr>
          <w:lang w:val="en_US" w:bidi="en_US"/>
        </w:rPr>
        <w:t>Yakan back translation on TW.</w:t>
      </w:r>
    </w:p>
    <w:p>
      <w:pPr/>
      <w:r>
        <w:rPr>
          <w:lang w:val="en_US" w:bidi="en_US"/>
        </w:rPr>
      </w:r>
      <w:r>
        <w:rPr>
          <w:b/>
          <w:lang w:val="en_US" w:bidi="en_US"/>
        </w:rPr>
        <w:t>My Spirit:</w:t>
      </w:r>
      <w:r>
        <w:rPr>
          <w:lang w:val="en_US" w:bidi="en_US"/>
        </w:rPr>
        <w:t xml:space="preserve"> The phrase </w:t>
      </w:r>
      <w:r>
        <w:rPr>
          <w:i/>
          <w:lang w:val="en_US" w:bidi="en_US"/>
        </w:rPr>
        <w:t>My Spirit</w:t>
      </w:r>
      <w:r>
        <w:rPr>
          <w:lang w:val="en_US" w:bidi="en_US"/>
        </w:rPr>
        <w:t xml:space="preserve"> refers to Jesus himself but does not include his physical body. He was about to leave his body and go to God. Express this in a natural way in your language. For example:</w:t>
      </w:r>
    </w:p>
    <w:p>
      <w:pPr/>
      <w:r>
        <w:rPr>
          <w:lang w:val="en_US" w:bidi="en_US"/>
        </w:rPr>
      </w:r>
      <w:r>
        <w:rPr>
          <w:lang w:val="en_US" w:bidi="en_US"/>
        </w:rPr>
        <w:t>I put myself in your hands! (CEV)</w:t>
      </w:r>
    </w:p>
    <w:p>
      <w:pPr/>
      <w:r>
        <w:rPr>
          <w:lang w:val="en_US" w:bidi="en_US"/>
        </w:rPr>
      </w:r>
      <w:r>
        <w:rPr>
          <w:lang w:val="en_US" w:bidi="en_US"/>
        </w:rPr>
        <w:t>I entrust myself to you.</w:t>
      </w:r>
    </w:p>
    <w:p>
      <w:pPr/>
      <w:r>
        <w:rPr>
          <w:lang w:val="en_US" w:bidi="en_US"/>
        </w:rPr>
      </w:r>
      <w:r>
        <w:rPr>
          <w:lang w:val="en_US" w:bidi="en_US"/>
        </w:rPr>
        <w:t>I give you my life. (NCV)</w:t>
      </w:r>
    </w:p>
    <w:p>
      <w:pPr>
        <w:pStyle w:val="Heading5"/>
      </w:pPr>
      <w:r>
        <w:rPr>
          <w:lang w:val="en_US" w:bidi="en_US"/>
        </w:rPr>
        <w:t>23:46c</w:t>
      </w:r>
    </w:p>
    <w:p>
      <w:pPr/>
      <w:r>
        <w:rPr>
          <w:lang w:val="en_US" w:bidi="en_US"/>
        </w:rPr>
      </w:r>
      <w:r>
        <w:rPr>
          <w:b/>
          <w:lang w:val="en_US" w:bidi="en_US"/>
        </w:rPr>
        <w:t>And when He had said this, He breathed His last.</w:t>
      </w:r>
    </w:p>
    <w:p>
      <w:pPr>
        <w:pStyle w:val="ListBullet"/>
        <w:spacing w:line="240" w:lineRule="auto"/>
        <w:ind w:left="720"/>
      </w:pPr>
      <w:r>
        <w:rPr>
          <w:lang w:val="en_US" w:bidi="en_US"/>
        </w:rPr>
      </w:r>
      <w:r>
        <w:rPr>
          <w:lang w:val="en_US" w:bidi="en_US"/>
        </w:rPr>
        <w:t xml:space="preserve">After saying this, he breathed his last </w:t>
      </w:r>
      <w:r>
        <w:rPr>
          <w:lang w:val="en_US" w:bidi="en_US"/>
        </w:rPr>
        <w:t>breath</w:t>
      </w:r>
      <w:r>
        <w:rPr>
          <w:lang w:val="en_US" w:bidi="en_US"/>
        </w:rPr>
        <w:t xml:space="preserve"> </w:t>
      </w:r>
      <w:r>
        <w:rPr>
          <w:lang w:val="en_US" w:bidi="en_US"/>
        </w:rPr>
        <w:t>and died</w:t>
      </w:r>
      <w:r>
        <w:rPr>
          <w:lang w:val="en_US" w:bidi="en_US"/>
        </w:rPr>
        <w:t>.</w:t>
      </w:r>
    </w:p>
    <w:p>
      <w:pPr>
        <w:pStyle w:val="ListBullet"/>
        <w:spacing w:line="240" w:lineRule="auto"/>
        <w:ind w:left="720"/>
      </w:pPr>
      <w:r>
        <w:rPr>
          <w:lang w:val="en_US" w:bidi="en_US"/>
        </w:rPr>
      </w:r>
      <w:r>
        <w:rPr>
          <w:lang w:val="en_US" w:bidi="en_US"/>
        </w:rPr>
        <w:t>As soon as he said this, he died.</w:t>
      </w:r>
    </w:p>
    <w:p>
      <w:pPr/>
      <w:r>
        <w:rPr>
          <w:lang w:val="en_US" w:bidi="en_US"/>
        </w:rPr>
      </w:r>
      <w:r>
        <w:rPr>
          <w:b/>
          <w:lang w:val="en_US" w:bidi="en_US"/>
        </w:rPr>
        <w:t>He breathed His last:</w:t>
      </w:r>
      <w:r>
        <w:rPr>
          <w:lang w:val="en_US" w:bidi="en_US"/>
        </w:rPr>
        <w:t xml:space="preserve"> The Greek word that the BSB translates as </w:t>
      </w:r>
      <w:r>
        <w:rPr>
          <w:i/>
          <w:lang w:val="en_US" w:bidi="en_US"/>
        </w:rPr>
        <w:t>He breathed His last</w:t>
      </w:r>
      <w:r>
        <w:rPr>
          <w:lang w:val="en_US" w:bidi="en_US"/>
        </w:rPr>
        <w:t xml:space="preserve"> means “he died.” Translate that meaning in a natural way in your language for this context. If you have a gentle way in your language to say that someone has died, you may be able to use it here.</w:t>
      </w:r>
      <w:r>
        <w:rPr>
          <w:lang w:val="en_US" w:bidi="en_US"/>
        </w:rPr>
      </w:r>
      <w:r>
        <w:rPr>
          <w:lang w:val="en_US" w:bidi="en_US"/>
        </w:rPr>
      </w:r>
    </w:p>
    <w:p>
      <w:pPr/>
      <w:r>
        <w:rPr>
          <w:lang w:val="en_US" w:bidi="en_US"/>
        </w:rPr>
      </w:r>
    </w:p>
    <w:p>
      <w:pPr>
        <w:pStyle w:val="Heading2"/>
      </w:pPr>
      <w:r>
        <w:rPr>
          <w:lang w:val="en_US" w:bidi="en_US"/>
        </w:rPr>
        <w:t>Luke 23:47</w:t>
      </w:r>
      <w:r>
        <w:rPr>
          <w:lang w:val="en_US" w:bidi="en_US"/>
        </w:rPr>
      </w:r>
    </w:p>
    <w:p>
      <w:pPr>
        <w:pStyle w:val="Heading4"/>
      </w:pPr>
      <w:r>
        <w:rPr>
          <w:lang w:val="en_US" w:bidi="en_US"/>
        </w:rPr>
        <w:t>Section 23:44–49: Jesus died</w:t>
      </w:r>
    </w:p>
    <w:p>
      <w:pPr/>
      <w:r>
        <w:rPr>
          <w:lang w:val="en_US" w:bidi="en_US"/>
        </w:rPr>
      </w:r>
      <w:r>
        <w:rPr>
          <w:lang w:val="en_US" w:bidi="en_US"/>
        </w:rPr>
        <w:t>While Jesus was on the cross, it became dark. The curtain in the temple ripped into two pieces. Jesus gave his spirit up to God his Father and died. One of the Roman soldiers saw and heard all that happened. As a result, he believed that Jesus was a righteous man. When the people saw that, they were sorry that Jesus was crucified. The way Jesus lived and the way he died showed many people that he was an innocent man. Examples of other headings for this section are:</w:t>
      </w:r>
    </w:p>
    <w:p>
      <w:pPr/>
      <w:r>
        <w:rPr>
          <w:lang w:val="en_US" w:bidi="en_US"/>
        </w:rPr>
      </w:r>
      <w:r>
        <w:rPr>
          <w:lang w:val="en_US" w:bidi="en_US"/>
        </w:rPr>
        <w:t>The Death of Jesus (GNT)</w:t>
      </w:r>
    </w:p>
    <w:p>
      <w:pPr/>
      <w:r>
        <w:rPr>
          <w:lang w:val="en_US" w:bidi="en_US"/>
        </w:rPr>
      </w:r>
      <w:r>
        <w:rPr>
          <w:lang w:val="en_US" w:bidi="en_US"/>
        </w:rPr>
        <w:t>Jesus died</w:t>
      </w:r>
    </w:p>
    <w:p>
      <w:pPr/>
      <w:r>
        <w:rPr>
          <w:lang w:val="en_US" w:bidi="en_US"/>
        </w:rPr>
      </w:r>
      <w:r>
        <w:rPr>
          <w:lang w:val="en_US" w:bidi="en_US"/>
        </w:rPr>
        <w:t>Parallel passages for this section are in Matthew 27:45–56, Mark 15:33–41, and John 19:28–30.</w:t>
      </w:r>
    </w:p>
    <w:p>
      <w:pPr>
        <w:pStyle w:val="Heading5"/>
      </w:pPr>
      <w:r>
        <w:rPr>
          <w:lang w:val="en_US" w:bidi="en_US"/>
        </w:rPr>
        <w:t>23:47a</w:t>
      </w:r>
    </w:p>
    <w:p>
      <w:pPr/>
      <w:r>
        <w:rPr>
          <w:lang w:val="en_US" w:bidi="en_US"/>
        </w:rPr>
      </w:r>
      <w:r>
        <w:rPr>
          <w:b/>
          <w:lang w:val="en_US" w:bidi="en_US"/>
        </w:rPr>
        <w:t>When the centurion saw what had happened, he gave glory to God,</w:t>
      </w:r>
    </w:p>
    <w:p>
      <w:pPr>
        <w:pStyle w:val="ListBullet"/>
        <w:spacing w:line="240" w:lineRule="auto"/>
        <w:ind w:left="720"/>
      </w:pPr>
      <w:r>
        <w:rPr>
          <w:lang w:val="en_US" w:bidi="en_US"/>
        </w:rPr>
      </w:r>
      <w:r>
        <w:rPr>
          <w:lang w:val="en_US" w:bidi="en_US"/>
        </w:rPr>
        <w:t xml:space="preserve">The centurion saw </w:t>
      </w:r>
      <w:r>
        <w:rPr>
          <w:lang w:val="en_US" w:bidi="en_US"/>
        </w:rPr>
        <w:t>all</w:t>
      </w:r>
      <w:r>
        <w:rPr>
          <w:lang w:val="en_US" w:bidi="en_US"/>
        </w:rPr>
        <w:t xml:space="preserve"> that had happened. Then/So he praised God</w:t>
      </w:r>
    </w:p>
    <w:p>
      <w:pPr>
        <w:pStyle w:val="ListBullet"/>
        <w:spacing w:line="240" w:lineRule="auto"/>
        <w:ind w:left="720"/>
      </w:pPr>
      <w:r>
        <w:rPr>
          <w:lang w:val="en_US" w:bidi="en_US"/>
        </w:rPr>
      </w:r>
      <w:r>
        <w:rPr>
          <w:lang w:val="en_US" w:bidi="en_US"/>
        </w:rPr>
        <w:t xml:space="preserve">The Roman officer saw </w:t>
      </w:r>
      <w:r>
        <w:rPr>
          <w:lang w:val="en_US" w:bidi="en_US"/>
        </w:rPr>
        <w:t>how Jesus died</w:t>
      </w:r>
      <w:r>
        <w:rPr>
          <w:lang w:val="en_US" w:bidi="en_US"/>
        </w:rPr>
        <w:t>. As a result, he glorified God</w:t>
      </w:r>
    </w:p>
    <w:p>
      <w:pPr>
        <w:pStyle w:val="Heading5"/>
      </w:pPr>
      <w:r>
        <w:rPr>
          <w:lang w:val="en_US" w:bidi="en_US"/>
        </w:rPr>
        <w:t>23:47b</w:t>
      </w:r>
    </w:p>
    <w:p>
      <w:pPr/>
      <w:r>
        <w:rPr>
          <w:lang w:val="en_US" w:bidi="en_US"/>
        </w:rPr>
      </w:r>
      <w:r>
        <w:rPr>
          <w:b/>
          <w:lang w:val="en_US" w:bidi="en_US"/>
        </w:rPr>
        <w:t>saying, “Surely this was a righteous man.”</w:t>
      </w:r>
    </w:p>
    <w:p>
      <w:pPr>
        <w:pStyle w:val="ListBullet"/>
        <w:spacing w:line="240" w:lineRule="auto"/>
        <w:ind w:left="720"/>
      </w:pPr>
      <w:r>
        <w:rPr>
          <w:lang w:val="en_US" w:bidi="en_US"/>
        </w:rPr>
      </w:r>
      <w:r>
        <w:rPr>
          <w:lang w:val="en_US" w:bidi="en_US"/>
        </w:rPr>
        <w:t>saying, “Certainly, this man was a righteous/innocent person.”</w:t>
      </w:r>
    </w:p>
    <w:p>
      <w:pPr>
        <w:pStyle w:val="ListBullet"/>
        <w:spacing w:line="240" w:lineRule="auto"/>
        <w:ind w:left="720"/>
      </w:pPr>
      <w:r>
        <w:rPr>
          <w:lang w:val="en_US" w:bidi="en_US"/>
        </w:rPr>
      </w:r>
      <w:r>
        <w:rPr>
          <w:lang w:val="en_US" w:bidi="en_US"/>
        </w:rPr>
        <w:t xml:space="preserve">and said </w:t>
      </w:r>
      <w:r>
        <w:rPr>
          <w:lang w:val="en_US" w:bidi="en_US"/>
        </w:rPr>
        <w:t>about Jesus</w:t>
      </w:r>
      <w:r>
        <w:rPr>
          <w:lang w:val="en_US" w:bidi="en_US"/>
        </w:rPr>
        <w:t>, “He really/truly was an innocent man.”</w:t>
      </w:r>
    </w:p>
    <w:p>
      <w:pPr>
        <w:pStyle w:val="Heading5"/>
      </w:pPr>
      <w:r>
        <w:rPr>
          <w:lang w:val="en_US" w:bidi="en_US"/>
        </w:rPr>
        <w:t>23:47a–b</w:t>
      </w:r>
    </w:p>
    <w:p>
      <w:pPr/>
      <w:r>
        <w:rPr>
          <w:lang w:val="en_US" w:bidi="en_US"/>
        </w:rPr>
      </w:r>
      <w:r>
        <w:rPr>
          <w:b/>
          <w:lang w:val="en_US" w:bidi="en_US"/>
        </w:rPr>
        <w:t>the centurion:</w:t>
      </w:r>
      <w:r>
        <w:rPr>
          <w:lang w:val="en_US" w:bidi="en_US"/>
        </w:rPr>
        <w:t xml:space="preserve"> A </w:t>
      </w:r>
      <w:r>
        <w:rPr>
          <w:i/>
          <w:lang w:val="en_US" w:bidi="en_US"/>
        </w:rPr>
        <w:t>centurion</w:t>
      </w:r>
      <w:r>
        <w:rPr>
          <w:lang w:val="en_US" w:bidi="en_US"/>
        </w:rPr>
        <w:t xml:space="preserve"> was a Roman officer who was the leader over one hundred Roman soldiers. The centurion in this verse was probably the officer in charge of crucifying the three men, including Jesus. Some other ways to translate the phrase </w:t>
      </w:r>
      <w:r>
        <w:rPr>
          <w:i/>
          <w:lang w:val="en_US" w:bidi="en_US"/>
        </w:rPr>
        <w:t>the centurion</w:t>
      </w:r>
      <w:r>
        <w:rPr>
          <w:lang w:val="en_US" w:bidi="en_US"/>
        </w:rPr>
        <w:t xml:space="preserve"> are:</w:t>
      </w:r>
    </w:p>
    <w:p>
      <w:pPr/>
      <w:r>
        <w:rPr>
          <w:lang w:val="en_US" w:bidi="en_US"/>
        </w:rPr>
      </w:r>
      <w:r>
        <w:rPr>
          <w:lang w:val="en_US" w:bidi="en_US"/>
        </w:rPr>
        <w:t>the captain of the soldiers</w:t>
      </w:r>
    </w:p>
    <w:p>
      <w:pPr/>
      <w:r>
        <w:rPr>
          <w:lang w:val="en_US" w:bidi="en_US"/>
        </w:rPr>
      </w:r>
      <w:r>
        <w:rPr>
          <w:lang w:val="en_US" w:bidi="en_US"/>
        </w:rPr>
        <w:t>the Roman officer (CEV)</w:t>
      </w:r>
    </w:p>
    <w:p>
      <w:pPr/>
      <w:r>
        <w:rPr>
          <w:lang w:val="en_US" w:bidi="en_US"/>
        </w:rPr>
      </w:r>
      <w:r>
        <w:rPr>
          <w:lang w:val="en_US" w:bidi="en_US"/>
        </w:rPr>
        <w:t>the captain of the Roman soldiers handling the executions (NLT96)</w:t>
      </w:r>
    </w:p>
    <w:p>
      <w:pPr/>
      <w:r>
        <w:rPr>
          <w:lang w:val="en_US" w:bidi="en_US"/>
        </w:rPr>
      </w:r>
      <w:r>
        <w:rPr>
          <w:lang w:val="en_US" w:bidi="en_US"/>
        </w:rPr>
        <w:t>This is the first time that the centurion has been mentioned. In some languages it may be necessary to introduce him in some way. For example:</w:t>
      </w:r>
    </w:p>
    <w:p>
      <w:pPr/>
      <w:r>
        <w:rPr>
          <w:lang w:val="en_US" w:bidi="en_US"/>
        </w:rPr>
      </w:r>
      <w:r>
        <w:rPr>
          <w:lang w:val="en_US" w:bidi="en_US"/>
        </w:rPr>
        <w:t>The captain of the soldiers who crucified Jesus was standing there.</w:t>
      </w:r>
    </w:p>
    <w:p>
      <w:pPr/>
      <w:r>
        <w:rPr>
          <w:lang w:val="en_US" w:bidi="en_US"/>
        </w:rPr>
      </w:r>
      <w:r>
        <w:rPr>
          <w:b/>
          <w:lang w:val="en_US" w:bidi="en_US"/>
        </w:rPr>
        <w:t>saw what had happened:</w:t>
      </w:r>
      <w:r>
        <w:rPr>
          <w:lang w:val="en_US" w:bidi="en_US"/>
        </w:rPr>
        <w:t xml:space="preserve"> The phrase </w:t>
      </w:r>
      <w:r>
        <w:rPr>
          <w:i/>
          <w:lang w:val="en_US" w:bidi="en_US"/>
        </w:rPr>
        <w:t>saw what had happened</w:t>
      </w:r>
      <w:r>
        <w:rPr>
          <w:lang w:val="en_US" w:bidi="en_US"/>
        </w:rPr>
        <w:t xml:space="preserve"> refers especially to seeing how Jesus died trusting God. It probably also includes the darkness that came while Jesus was on the cross, and it may include the tearing of the temple curtain. This Roman officer had probably been with Jesus from his trial until he died. So the phrase </w:t>
      </w:r>
      <w:r>
        <w:rPr>
          <w:i/>
          <w:lang w:val="en_US" w:bidi="en_US"/>
        </w:rPr>
        <w:t>what had happened</w:t>
      </w:r>
      <w:r>
        <w:rPr>
          <w:lang w:val="en_US" w:bidi="en_US"/>
        </w:rPr>
        <w:t xml:space="preserve"> may include all the events that happened to Jesus during that time. It is good to translate it with a general expression.</w:t>
      </w:r>
    </w:p>
    <w:p>
      <w:pPr/>
      <w:r>
        <w:rPr>
          <w:lang w:val="en_US" w:bidi="en_US"/>
        </w:rPr>
      </w:r>
      <w:r>
        <w:rPr>
          <w:b/>
          <w:lang w:val="en_US" w:bidi="en_US"/>
        </w:rPr>
        <w:t>he gave glory to God, saying:</w:t>
      </w:r>
      <w:r>
        <w:rPr>
          <w:lang w:val="en_US" w:bidi="en_US"/>
        </w:rPr>
        <w:t xml:space="preserve"> The centurion praised God by saying the words in 23:47b that Jesus was a righteous man. Your translation should not imply that he praised God because Jesus died. Some other ways to translate the phrase </w:t>
      </w:r>
      <w:r>
        <w:rPr>
          <w:i/>
          <w:lang w:val="en_US" w:bidi="en_US"/>
        </w:rPr>
        <w:t>he gave glory to God, saying</w:t>
      </w:r>
      <w:r>
        <w:rPr>
          <w:lang w:val="en_US" w:bidi="en_US"/>
        </w:rPr>
        <w:t xml:space="preserve"> are:</w:t>
      </w:r>
    </w:p>
    <w:p>
      <w:pPr/>
      <w:r>
        <w:rPr>
          <w:lang w:val="en_US" w:bidi="en_US"/>
        </w:rPr>
      </w:r>
      <w:r>
        <w:rPr>
          <w:lang w:val="en_US" w:bidi="en_US"/>
        </w:rPr>
        <w:t>he praised God, saying (ESV)</w:t>
      </w:r>
    </w:p>
    <w:p>
      <w:pPr/>
      <w:r>
        <w:rPr>
          <w:lang w:val="en_US" w:bidi="en_US"/>
        </w:rPr>
      </w:r>
      <w:r>
        <w:rPr>
          <w:lang w:val="en_US" w:bidi="en_US"/>
        </w:rPr>
        <w:t>he worshiped God and said (NLT)</w:t>
      </w:r>
    </w:p>
    <w:p>
      <w:pPr/>
      <w:r>
        <w:rPr>
          <w:lang w:val="en_US" w:bidi="en_US"/>
        </w:rPr>
      </w:r>
      <w:r>
        <w:rPr>
          <w:b/>
          <w:lang w:val="en_US" w:bidi="en_US"/>
        </w:rPr>
        <w:t>Surely this was a righteous man:</w:t>
      </w:r>
      <w:r>
        <w:rPr>
          <w:lang w:val="en_US" w:bidi="en_US"/>
        </w:rPr>
        <w:t xml:space="preserve"> This statement indicates that the centurion was sure that Jesus was a righteous person. In this context the word probably implies two meanings:</w:t>
      </w:r>
    </w:p>
    <w:p>
      <w:pPr>
        <w:pStyle w:val="ListNumber"/>
        <w:numPr>
          <w:ilvl w:val="0"/>
          <w:numId w:val="364"/>
        </w:numPr>
        <w:spacing w:line="240" w:lineRule="auto"/>
        <w:ind w:left="720"/>
      </w:pPr>
      <w:r>
        <w:rPr>
          <w:lang w:val="en_US" w:bidi="en_US"/>
        </w:rPr>
      </w:r>
      <w:r>
        <w:rPr>
          <w:lang w:val="en_US" w:bidi="en_US"/>
        </w:rPr>
        <w:t>It implies that the centurion now knew that Jesus was innocent of any crime. For example:</w:t>
      </w:r>
      <w:r>
        <w:rPr>
          <w:lang w:val="en_US" w:bidi="en_US"/>
        </w:rPr>
        <w:t xml:space="preserve">Certainly, this man was innocent! (GW) </w:t>
      </w:r>
      <w:r>
        <w:rPr>
          <w:i/>
          <w:lang w:val="en_US" w:bidi="en_US"/>
        </w:rPr>
        <w:t>(See RSV, BSB, ESV, GW, NET, NLT, REB, and NASB.)</w:t>
      </w:r>
    </w:p>
    <w:p>
      <w:pPr>
        <w:pStyle w:val="ListNumber"/>
        <w:spacing w:line="240" w:lineRule="auto"/>
        <w:ind w:left="720"/>
      </w:pPr>
      <w:r>
        <w:rPr>
          <w:lang w:val="en_US" w:bidi="en_US"/>
        </w:rPr>
      </w:r>
      <w:r>
        <w:rPr>
          <w:lang w:val="en_US" w:bidi="en_US"/>
        </w:rPr>
        <w:t>It implies that the centurion now knew that Jesus was a good person who did what was right. For example:</w:t>
      </w:r>
      <w:r>
        <w:rPr>
          <w:lang w:val="en_US" w:bidi="en_US"/>
        </w:rPr>
        <w:t xml:space="preserve">Certainly he was a good man! (GNT) </w:t>
      </w:r>
      <w:r>
        <w:rPr>
          <w:i/>
          <w:lang w:val="en_US" w:bidi="en_US"/>
        </w:rPr>
        <w:t>(NIV, GNT, CEV, NCV, JBP, KJV)</w:t>
      </w:r>
    </w:p>
    <w:p>
      <w:pPr/>
      <w:r>
        <w:rPr>
          <w:lang w:val="en_US" w:bidi="en_US"/>
        </w:rPr>
      </w:r>
      <w:r>
        <w:rPr>
          <w:lang w:val="en_US" w:bidi="en_US"/>
        </w:rPr>
        <w:t>Both translations are acceptable. This chapter emphasizes Jesus’ innocence. It is also mentioned in 23:4, 23:14, 23:15 (twice), 23:22, and 23:41.</w:t>
      </w:r>
      <w:r>
        <w:rPr>
          <w:lang w:val="en_US" w:bidi="en_US"/>
        </w:rPr>
        <w:t>Bock (p. 1863–64) says, “In this legal context, the more natural meaning is ‘innocent,’ since numerous confessions of Jesus’ innocence have preceded this scene….This seventh confession of innocence is the ultimate commentary on these events.” Here are the statements of Jesus’ innocence from the BSB: 1) In 23:4 Pilate said, “I find no basis for a charge against this man.” In 23:14–15 Pilate said, “…I have examined Him here in your presence and found Him not guilty of your charges against Him. Neither has Herod, for he sent Him back to us. As you can see, He has done nothing deserving of death.” In 23:22, Pilate said, “What evil has this man done? I have found in Him no offense worthy of death.” In 23:41 one of the criminals said, “…this man has done nothing wrong.”</w:t>
      </w:r>
      <w:r>
        <w:rPr>
          <w:lang w:val="en_US" w:bidi="en_US"/>
        </w:rPr>
        <w:t xml:space="preserve"> Other ways to translate the statement are:</w:t>
      </w:r>
    </w:p>
    <w:p>
      <w:pPr/>
      <w:r>
        <w:rPr>
          <w:lang w:val="en_US" w:bidi="en_US"/>
        </w:rPr>
      </w:r>
      <w:r>
        <w:rPr>
          <w:lang w:val="en_US" w:bidi="en_US"/>
        </w:rPr>
        <w:t>It is really true that this man had not done anything wrong!</w:t>
      </w:r>
      <w:r>
        <w:rPr>
          <w:lang w:val="en_US" w:bidi="en_US"/>
        </w:rPr>
        <w:t>Based on the Western Bukidnon Manobo translation on TW.</w:t>
      </w:r>
    </w:p>
    <w:p>
      <w:pPr/>
      <w:r>
        <w:rPr>
          <w:lang w:val="en_US" w:bidi="en_US"/>
        </w:rPr>
      </w:r>
      <w:r>
        <w:rPr>
          <w:lang w:val="en_US" w:bidi="en_US"/>
        </w:rPr>
        <w:t xml:space="preserve">This man was definitely a person who obeyed/pleased </w:t>
      </w:r>
      <w:r>
        <w:rPr>
          <w:lang w:val="en_US" w:bidi="en_US"/>
        </w:rPr>
        <w:t>God</w:t>
      </w:r>
    </w:p>
    <w:p>
      <w:pPr/>
      <w:r>
        <w:rPr>
          <w:lang w:val="en_US" w:bidi="en_US"/>
        </w:rPr>
      </w:r>
      <w:r>
        <w:rPr>
          <w:b/>
          <w:lang w:val="en_US" w:bidi="en_US"/>
        </w:rPr>
        <w:t>Surely:</w:t>
      </w:r>
      <w:r>
        <w:rPr>
          <w:lang w:val="en_US" w:bidi="en_US"/>
        </w:rPr>
        <w:t xml:space="preserve"> The Greek word that the BSB translates as </w:t>
      </w:r>
      <w:r>
        <w:rPr>
          <w:i/>
          <w:lang w:val="en_US" w:bidi="en_US"/>
        </w:rPr>
        <w:t>Surely</w:t>
      </w:r>
      <w:r>
        <w:rPr>
          <w:lang w:val="en_US" w:bidi="en_US"/>
        </w:rPr>
        <w:t xml:space="preserve"> means “really, truly, certainly.” It indicates that the centurion was sure that what he was saying about Jesus was true. He was convinced that Jesus was a righteous man.</w:t>
      </w:r>
    </w:p>
    <w:p>
      <w:pPr/>
      <w:r>
        <w:rPr>
          <w:lang w:val="en_US" w:bidi="en_US"/>
        </w:rPr>
      </w:r>
      <w:r>
        <w:rPr>
          <w:b/>
          <w:lang w:val="en_US" w:bidi="en_US"/>
        </w:rPr>
        <w:t>a righteous man:</w:t>
      </w:r>
      <w:r>
        <w:rPr>
          <w:lang w:val="en_US" w:bidi="en_US"/>
        </w:rPr>
        <w:t xml:space="preserve"> The Greek word that the BSB translates as </w:t>
      </w:r>
      <w:r>
        <w:rPr>
          <w:i/>
          <w:lang w:val="en_US" w:bidi="en_US"/>
        </w:rPr>
        <w:t>righteous</w:t>
      </w:r>
      <w:r>
        <w:rPr>
          <w:lang w:val="en_US" w:bidi="en_US"/>
        </w:rPr>
        <w:t xml:space="preserve"> also has the meanings “just” and “innocent.” The phrase </w:t>
      </w:r>
      <w:r>
        <w:rPr>
          <w:i/>
          <w:lang w:val="en_US" w:bidi="en_US"/>
        </w:rPr>
        <w:t>a righteous man</w:t>
      </w:r>
      <w:r>
        <w:rPr>
          <w:lang w:val="en_US" w:bidi="en_US"/>
        </w:rPr>
        <w:t xml:space="preserve"> usually refers to a person who lives according to God’s standards. The centurion saw from the way Jesus died that he was a good man who had committed no crime. He also saw that Jesus prayed and trusted himself to God.</w:t>
      </w:r>
    </w:p>
    <w:p>
      <w:pPr/>
      <w:r>
        <w:rPr>
          <w:lang w:val="en_US" w:bidi="en_US"/>
        </w:rPr>
      </w:r>
      <w:r>
        <w:rPr>
          <w:lang w:val="en_US" w:bidi="en_US"/>
        </w:rPr>
        <w:t>A form of the word “righteous” occurs in 18:9. In some languages you may want to translate the word in a similar way here. You should translate this clause in a way that is natural in this context. Some other ways to translate it are:</w:t>
      </w:r>
    </w:p>
    <w:p>
      <w:pPr/>
      <w:r>
        <w:rPr>
          <w:lang w:val="en_US" w:bidi="en_US"/>
        </w:rPr>
      </w:r>
      <w:r>
        <w:rPr>
          <w:lang w:val="en_US" w:bidi="en_US"/>
        </w:rPr>
        <w:t>an innocent person</w:t>
      </w:r>
    </w:p>
    <w:p>
      <w:pPr/>
      <w:r>
        <w:rPr>
          <w:lang w:val="en_US" w:bidi="en_US"/>
        </w:rPr>
      </w:r>
      <w:r>
        <w:rPr>
          <w:lang w:val="en_US" w:bidi="en_US"/>
        </w:rPr>
        <w:t>a man who obeys God’s law</w:t>
      </w:r>
    </w:p>
    <w:p>
      <w:pPr/>
      <w:r>
        <w:rPr>
          <w:lang w:val="en_US" w:bidi="en_US"/>
        </w:rPr>
      </w:r>
      <w:r>
        <w:rPr>
          <w:lang w:val="en_US" w:bidi="en_US"/>
        </w:rPr>
        <w:t>a person who does what is right</w:t>
      </w:r>
    </w:p>
    <w:p>
      <w:pPr/>
      <w:r>
        <w:rPr>
          <w:lang w:val="en_US" w:bidi="en_US"/>
        </w:rPr>
      </w:r>
      <w:r>
        <w:rPr>
          <w:lang w:val="en_US" w:bidi="en_US"/>
        </w:rPr>
        <w:t>In some languages people use an idiom to express this meaning. For example:</w:t>
      </w:r>
    </w:p>
    <w:p>
      <w:pPr/>
      <w:r>
        <w:rPr>
          <w:lang w:val="en_US" w:bidi="en_US"/>
        </w:rPr>
      </w:r>
      <w:r>
        <w:rPr>
          <w:lang w:val="en_US" w:bidi="en_US"/>
        </w:rPr>
        <w:t>a man who follows a straight path</w:t>
      </w:r>
    </w:p>
    <w:p>
      <w:pPr/>
      <w:r>
        <w:rPr>
          <w:lang w:val="en_US" w:bidi="en_US"/>
        </w:rPr>
      </w:r>
      <w:r>
        <w:rPr>
          <w:lang w:val="en_US" w:bidi="en_US"/>
        </w:rPr>
        <w:t>an upright person</w:t>
      </w:r>
      <w:r>
        <w:rPr>
          <w:lang w:val="en_US" w:bidi="en_US"/>
        </w:rPr>
      </w:r>
      <w:r>
        <w:rPr>
          <w:lang w:val="en_US" w:bidi="en_US"/>
        </w:rPr>
      </w:r>
    </w:p>
    <w:p>
      <w:pPr/>
      <w:r>
        <w:rPr>
          <w:lang w:val="en_US" w:bidi="en_US"/>
        </w:rPr>
      </w:r>
    </w:p>
    <w:p>
      <w:pPr>
        <w:pStyle w:val="Heading2"/>
      </w:pPr>
      <w:r>
        <w:rPr>
          <w:lang w:val="en_US" w:bidi="en_US"/>
        </w:rPr>
        <w:t>Luke 23:48</w:t>
      </w:r>
      <w:r>
        <w:rPr>
          <w:lang w:val="en_US" w:bidi="en_US"/>
        </w:rPr>
      </w:r>
    </w:p>
    <w:p>
      <w:pPr>
        <w:pStyle w:val="Heading4"/>
      </w:pPr>
      <w:r>
        <w:rPr>
          <w:lang w:val="en_US" w:bidi="en_US"/>
        </w:rPr>
        <w:t>Section 23:44–49: Jesus died</w:t>
      </w:r>
    </w:p>
    <w:p>
      <w:pPr/>
      <w:r>
        <w:rPr>
          <w:lang w:val="en_US" w:bidi="en_US"/>
        </w:rPr>
      </w:r>
      <w:r>
        <w:rPr>
          <w:lang w:val="en_US" w:bidi="en_US"/>
        </w:rPr>
        <w:t>While Jesus was on the cross, it became dark. The curtain in the temple ripped into two pieces. Jesus gave his spirit up to God his Father and died. One of the Roman soldiers saw and heard all that happened. As a result, he believed that Jesus was a righteous man. When the people saw that, they were sorry that Jesus was crucified. The way Jesus lived and the way he died showed many people that he was an innocent man. Examples of other headings for this section are:</w:t>
      </w:r>
    </w:p>
    <w:p>
      <w:pPr/>
      <w:r>
        <w:rPr>
          <w:lang w:val="en_US" w:bidi="en_US"/>
        </w:rPr>
      </w:r>
      <w:r>
        <w:rPr>
          <w:lang w:val="en_US" w:bidi="en_US"/>
        </w:rPr>
        <w:t>The Death of Jesus (GNT)</w:t>
      </w:r>
    </w:p>
    <w:p>
      <w:pPr/>
      <w:r>
        <w:rPr>
          <w:lang w:val="en_US" w:bidi="en_US"/>
        </w:rPr>
      </w:r>
      <w:r>
        <w:rPr>
          <w:lang w:val="en_US" w:bidi="en_US"/>
        </w:rPr>
        <w:t>Jesus died</w:t>
      </w:r>
    </w:p>
    <w:p>
      <w:pPr/>
      <w:r>
        <w:rPr>
          <w:lang w:val="en_US" w:bidi="en_US"/>
        </w:rPr>
      </w:r>
      <w:r>
        <w:rPr>
          <w:lang w:val="en_US" w:bidi="en_US"/>
        </w:rPr>
        <w:t>Parallel passages for this section are in Matthew 27:45–56, Mark 15:33–41, and John 19:28–30.</w:t>
      </w:r>
    </w:p>
    <w:p>
      <w:pPr>
        <w:pStyle w:val="Heading5"/>
      </w:pPr>
      <w:r>
        <w:rPr>
          <w:lang w:val="en_US" w:bidi="en_US"/>
        </w:rPr>
        <w:t>23:48a</w:t>
      </w:r>
    </w:p>
    <w:p>
      <w:pPr/>
      <w:r>
        <w:rPr>
          <w:lang w:val="en_US" w:bidi="en_US"/>
        </w:rPr>
      </w:r>
      <w:r>
        <w:rPr>
          <w:b/>
          <w:lang w:val="en_US" w:bidi="en_US"/>
        </w:rPr>
        <w:t>And when all the people who had gathered for this spectacle saw what had happened,</w:t>
      </w:r>
    </w:p>
    <w:p>
      <w:pPr>
        <w:pStyle w:val="ListBullet"/>
        <w:spacing w:line="240" w:lineRule="auto"/>
        <w:ind w:left="720"/>
      </w:pPr>
      <w:r>
        <w:rPr>
          <w:lang w:val="en_US" w:bidi="en_US"/>
        </w:rPr>
      </w:r>
      <w:r>
        <w:rPr>
          <w:lang w:val="en_US" w:bidi="en_US"/>
        </w:rPr>
        <w:t>A crowd of people had come to watch the men die, and they saw what happened.</w:t>
      </w:r>
    </w:p>
    <w:p>
      <w:pPr>
        <w:pStyle w:val="ListBullet"/>
        <w:spacing w:line="240" w:lineRule="auto"/>
        <w:ind w:left="720"/>
      </w:pPr>
      <w:r>
        <w:rPr>
          <w:lang w:val="en_US" w:bidi="en_US"/>
        </w:rPr>
      </w:r>
      <w:r>
        <w:rPr>
          <w:lang w:val="en_US" w:bidi="en_US"/>
        </w:rPr>
        <w:t xml:space="preserve">Many people were there to see the </w:t>
      </w:r>
      <w:r>
        <w:rPr>
          <w:lang w:val="en_US" w:bidi="en_US"/>
        </w:rPr>
        <w:t>crucifixion/events</w:t>
      </w:r>
      <w:r>
        <w:rPr>
          <w:lang w:val="en_US" w:bidi="en_US"/>
        </w:rPr>
        <w:t>. When they saw all that happened,</w:t>
      </w:r>
    </w:p>
    <w:p>
      <w:pPr/>
      <w:r>
        <w:rPr>
          <w:lang w:val="en_US" w:bidi="en_US"/>
        </w:rPr>
      </w:r>
      <w:r>
        <w:rPr>
          <w:b/>
          <w:lang w:val="en_US" w:bidi="en_US"/>
        </w:rPr>
        <w:t>And when all the people who had gathered for this spectacle saw what had happened:</w:t>
      </w:r>
      <w:r>
        <w:rPr>
          <w:lang w:val="en_US" w:bidi="en_US"/>
        </w:rPr>
        <w:t xml:space="preserve"> This part of the verse refers to the crowd of people who came to watch the crucifixion. In some languages it may be necessary to divide 23:48a into two separate sentences. For example:</w:t>
      </w:r>
    </w:p>
    <w:p>
      <w:pPr/>
      <w:r>
        <w:rPr>
          <w:lang w:val="en_US" w:bidi="en_US"/>
        </w:rPr>
      </w:r>
      <w:r>
        <w:rPr>
          <w:lang w:val="en_US" w:bidi="en_US"/>
        </w:rPr>
        <w:t>Many people had gathered to witness this sight. When they saw what took place….</w:t>
      </w:r>
    </w:p>
    <w:p>
      <w:pPr/>
      <w:r>
        <w:rPr>
          <w:lang w:val="en_US" w:bidi="en_US"/>
        </w:rPr>
      </w:r>
      <w:r>
        <w:rPr>
          <w:b/>
          <w:lang w:val="en_US" w:bidi="en_US"/>
        </w:rPr>
        <w:t>for this spectacle:</w:t>
      </w:r>
      <w:r>
        <w:rPr>
          <w:lang w:val="en_US" w:bidi="en_US"/>
        </w:rPr>
        <w:t xml:space="preserve"> The Greek phrase that the BSB translates as </w:t>
      </w:r>
      <w:r>
        <w:rPr>
          <w:i/>
          <w:lang w:val="en_US" w:bidi="en_US"/>
        </w:rPr>
        <w:t>for this spectacle</w:t>
      </w:r>
      <w:r>
        <w:rPr>
          <w:lang w:val="en_US" w:bidi="en_US"/>
        </w:rPr>
        <w:t xml:space="preserve"> is more literally “at the spectacle, show.” The word </w:t>
      </w:r>
      <w:r>
        <w:rPr>
          <w:i/>
          <w:lang w:val="en_US" w:bidi="en_US"/>
        </w:rPr>
        <w:t>spectacle</w:t>
      </w:r>
      <w:r>
        <w:rPr>
          <w:lang w:val="en_US" w:bidi="en_US"/>
        </w:rPr>
        <w:t xml:space="preserve"> can refer to any public event that people come to watch. Here it refers to the execution of Jesus and the other two men.</w:t>
      </w:r>
    </w:p>
    <w:p>
      <w:pPr/>
      <w:r>
        <w:rPr>
          <w:lang w:val="en_US" w:bidi="en_US"/>
        </w:rPr>
      </w:r>
      <w:r>
        <w:rPr>
          <w:lang w:val="en_US" w:bidi="en_US"/>
        </w:rPr>
        <w:t>In some languages it may be necessary to make the meaning more explicit. For example:</w:t>
      </w:r>
    </w:p>
    <w:p>
      <w:pPr/>
      <w:r>
        <w:rPr>
          <w:lang w:val="en_US" w:bidi="en_US"/>
        </w:rPr>
      </w:r>
      <w:r>
        <w:rPr>
          <w:lang w:val="en_US" w:bidi="en_US"/>
        </w:rPr>
        <w:t>to see the crucifixion (NLT)</w:t>
      </w:r>
    </w:p>
    <w:p>
      <w:pPr/>
      <w:r>
        <w:rPr>
          <w:lang w:val="en_US" w:bidi="en_US"/>
        </w:rPr>
      </w:r>
      <w:r>
        <w:rPr>
          <w:lang w:val="en_US" w:bidi="en_US"/>
        </w:rPr>
        <w:t>to watch</w:t>
      </w:r>
    </w:p>
    <w:p>
      <w:pPr/>
      <w:r>
        <w:rPr>
          <w:lang w:val="en_US" w:bidi="en_US"/>
        </w:rPr>
      </w:r>
      <w:r>
        <w:rPr>
          <w:b/>
          <w:lang w:val="en_US" w:bidi="en_US"/>
        </w:rPr>
        <w:t>saw what had happened:</w:t>
      </w:r>
      <w:r>
        <w:rPr>
          <w:lang w:val="en_US" w:bidi="en_US"/>
        </w:rPr>
        <w:t xml:space="preserve"> The phrase </w:t>
      </w:r>
      <w:r>
        <w:rPr>
          <w:i/>
          <w:lang w:val="en_US" w:bidi="en_US"/>
        </w:rPr>
        <w:t>saw what had happened</w:t>
      </w:r>
      <w:r>
        <w:rPr>
          <w:lang w:val="en_US" w:bidi="en_US"/>
        </w:rPr>
        <w:t xml:space="preserve"> refers in general to the things that happened when Jesus and the men were crucified. Other ways to translate it are:</w:t>
      </w:r>
    </w:p>
    <w:p>
      <w:pPr/>
      <w:r>
        <w:rPr>
          <w:lang w:val="en_US" w:bidi="en_US"/>
        </w:rPr>
      </w:r>
      <w:r>
        <w:rPr>
          <w:lang w:val="en_US" w:bidi="en_US"/>
        </w:rPr>
        <w:t>saw what happened (GNT)</w:t>
      </w:r>
    </w:p>
    <w:p>
      <w:pPr/>
      <w:r>
        <w:rPr>
          <w:lang w:val="en_US" w:bidi="en_US"/>
        </w:rPr>
      </w:r>
      <w:r>
        <w:rPr>
          <w:lang w:val="en_US" w:bidi="en_US"/>
        </w:rPr>
        <w:t>observed all that occurred there</w:t>
      </w:r>
    </w:p>
    <w:p>
      <w:pPr/>
      <w:r>
        <w:rPr>
          <w:lang w:val="en_US" w:bidi="en_US"/>
        </w:rPr>
      </w:r>
      <w:r>
        <w:rPr>
          <w:lang w:val="en_US" w:bidi="en_US"/>
        </w:rPr>
        <w:t xml:space="preserve">saw </w:t>
      </w:r>
      <w:r>
        <w:rPr>
          <w:lang w:val="en_US" w:bidi="en_US"/>
        </w:rPr>
        <w:t>and heard</w:t>
      </w:r>
      <w:r>
        <w:rPr>
          <w:lang w:val="en_US" w:bidi="en_US"/>
        </w:rPr>
        <w:t xml:space="preserve"> what happened there</w:t>
      </w:r>
    </w:p>
    <w:p>
      <w:pPr>
        <w:pStyle w:val="Heading5"/>
      </w:pPr>
      <w:r>
        <w:rPr>
          <w:lang w:val="en_US" w:bidi="en_US"/>
        </w:rPr>
        <w:t>23:48b</w:t>
      </w:r>
    </w:p>
    <w:p>
      <w:pPr/>
      <w:r>
        <w:rPr>
          <w:lang w:val="en_US" w:bidi="en_US"/>
        </w:rPr>
      </w:r>
      <w:r>
        <w:rPr>
          <w:b/>
          <w:lang w:val="en_US" w:bidi="en_US"/>
        </w:rPr>
        <w:t>they returned home beating their breasts.</w:t>
      </w:r>
    </w:p>
    <w:p>
      <w:pPr>
        <w:pStyle w:val="ListBullet"/>
        <w:spacing w:line="240" w:lineRule="auto"/>
        <w:ind w:left="720"/>
      </w:pPr>
      <w:r>
        <w:rPr>
          <w:lang w:val="en_US" w:bidi="en_US"/>
        </w:rPr>
      </w:r>
      <w:r>
        <w:rPr>
          <w:lang w:val="en_US" w:bidi="en_US"/>
        </w:rPr>
        <w:t xml:space="preserve">They </w:t>
      </w:r>
      <w:r>
        <w:rPr>
          <w:lang w:val="en_US" w:bidi="en_US"/>
        </w:rPr>
        <w:t>were so distressed that they</w:t>
      </w:r>
      <w:r>
        <w:rPr>
          <w:lang w:val="en_US" w:bidi="en_US"/>
        </w:rPr>
        <w:t xml:space="preserve"> beat their chests as they went </w:t>
      </w:r>
      <w:r>
        <w:rPr>
          <w:lang w:val="en_US" w:bidi="en_US"/>
        </w:rPr>
        <w:t>home</w:t>
      </w:r>
      <w:r>
        <w:rPr>
          <w:lang w:val="en_US" w:bidi="en_US"/>
        </w:rPr>
        <w:t>.</w:t>
      </w:r>
    </w:p>
    <w:p>
      <w:pPr>
        <w:pStyle w:val="ListBullet"/>
        <w:spacing w:line="240" w:lineRule="auto"/>
        <w:ind w:left="720"/>
      </w:pPr>
      <w:r>
        <w:rPr>
          <w:lang w:val="en_US" w:bidi="en_US"/>
        </w:rPr>
      </w:r>
      <w:r>
        <w:rPr>
          <w:lang w:val="en_US" w:bidi="en_US"/>
        </w:rPr>
        <w:t>they left, mourning and wailing in grief.</w:t>
      </w:r>
    </w:p>
    <w:p>
      <w:pPr/>
      <w:r>
        <w:rPr>
          <w:lang w:val="en_US" w:bidi="en_US"/>
        </w:rPr>
      </w:r>
      <w:r>
        <w:rPr>
          <w:b/>
          <w:lang w:val="en_US" w:bidi="en_US"/>
        </w:rPr>
        <w:t>they returned home beating their breasts:</w:t>
      </w:r>
      <w:r>
        <w:rPr>
          <w:lang w:val="en_US" w:bidi="en_US"/>
        </w:rPr>
        <w:t xml:space="preserve"> In that culture people beat their chests/breasts with their fists to show sorrow and distress. The people at the crucifixion were distressed because of what happened to Jesus. They realized that Jesus was innocent, and he did not deserve to suffer so terribly. As they left, they mourned over this by beating their chests.</w:t>
      </w:r>
    </w:p>
    <w:p>
      <w:pPr/>
      <w:r>
        <w:rPr>
          <w:lang w:val="en_US" w:bidi="en_US"/>
        </w:rPr>
      </w:r>
      <w:r>
        <w:rPr>
          <w:lang w:val="en_US" w:bidi="en_US"/>
        </w:rPr>
        <w:t>In some cultures, beating the chest does not have this meaning. If that is true in your culture, some other ways to translate it are:</w:t>
      </w:r>
    </w:p>
    <w:p>
      <w:pPr>
        <w:pStyle w:val="ListBullet"/>
        <w:spacing w:line="240" w:lineRule="auto"/>
        <w:ind w:left="720"/>
      </w:pPr>
      <w:r>
        <w:rPr>
          <w:lang w:val="en_US" w:bidi="en_US"/>
        </w:rPr>
      </w:r>
      <w:r>
        <w:rPr>
          <w:lang w:val="en_US" w:bidi="en_US"/>
        </w:rPr>
        <w:t>Translate the action and indicate the meaning. For example:</w:t>
      </w:r>
      <w:r>
        <w:rPr>
          <w:lang w:val="en_US" w:bidi="en_US"/>
        </w:rPr>
        <w:t>they felt so distressed that they beat their chests</w:t>
      </w:r>
      <w:r>
        <w:rPr>
          <w:lang w:val="en_US" w:bidi="en_US"/>
        </w:rPr>
        <w:t>beating their chests because they were so sad (NCV)</w:t>
      </w:r>
    </w:p>
    <w:p>
      <w:pPr>
        <w:pStyle w:val="ListBullet"/>
        <w:spacing w:line="240" w:lineRule="auto"/>
        <w:ind w:left="720"/>
      </w:pPr>
      <w:r>
        <w:rPr>
          <w:lang w:val="en_US" w:bidi="en_US"/>
        </w:rPr>
      </w:r>
      <w:r>
        <w:rPr>
          <w:lang w:val="en_US" w:bidi="en_US"/>
        </w:rPr>
        <w:t>Translate the meaning without the action. For example:</w:t>
      </w:r>
      <w:r>
        <w:rPr>
          <w:lang w:val="en_US" w:bidi="en_US"/>
        </w:rPr>
        <w:t>they felt brokenhearted and went home (CEV)</w:t>
      </w:r>
      <w:r>
        <w:rPr>
          <w:lang w:val="en_US" w:bidi="en_US"/>
        </w:rPr>
        <w:t>they left, mourning greatly/deeply</w:t>
      </w:r>
      <w:r>
        <w:rPr>
          <w:lang w:val="en_US" w:bidi="en_US"/>
        </w:rPr>
        <w:t>they…went home in deep distress (JBP)</w:t>
      </w:r>
    </w:p>
    <w:p>
      <w:pPr>
        <w:pStyle w:val="ListBullet"/>
        <w:spacing w:line="240" w:lineRule="auto"/>
        <w:ind w:left="720"/>
      </w:pPr>
      <w:r>
        <w:rPr>
          <w:lang w:val="en_US" w:bidi="en_US"/>
        </w:rPr>
      </w:r>
      <w:r>
        <w:rPr>
          <w:lang w:val="en_US" w:bidi="en_US"/>
        </w:rPr>
        <w:t>Substitute an action that has the right meaning in your culture. For example:</w:t>
      </w:r>
      <w:r>
        <w:rPr>
          <w:lang w:val="en_US" w:bidi="en_US"/>
        </w:rPr>
        <w:t xml:space="preserve">They left, </w:t>
      </w:r>
      <w:r>
        <w:rPr>
          <w:lang w:val="en_US" w:bidi="en_US"/>
        </w:rPr>
        <w:t>wailing</w:t>
      </w:r>
      <w:r>
        <w:rPr>
          <w:lang w:val="en_US" w:bidi="en_US"/>
        </w:rPr>
        <w:t xml:space="preserve"> in sorrow</w:t>
      </w:r>
    </w:p>
    <w:p>
      <w:pPr/>
      <w:r>
        <w:rPr>
          <w:lang w:val="en_US" w:bidi="en_US"/>
        </w:rPr>
      </w:r>
      <w:r>
        <w:rPr>
          <w:lang w:val="en_US" w:bidi="en_US"/>
        </w:rPr>
        <w:t>Translate the meaning in a natural way in your language for this context.</w:t>
      </w:r>
      <w:r>
        <w:rPr>
          <w:lang w:val="en_US" w:bidi="en_US"/>
        </w:rPr>
      </w:r>
      <w:r>
        <w:rPr>
          <w:lang w:val="en_US" w:bidi="en_US"/>
        </w:rPr>
      </w:r>
    </w:p>
    <w:p>
      <w:pPr/>
      <w:r>
        <w:rPr>
          <w:lang w:val="en_US" w:bidi="en_US"/>
        </w:rPr>
      </w:r>
    </w:p>
    <w:p>
      <w:pPr>
        <w:pStyle w:val="Heading2"/>
      </w:pPr>
      <w:r>
        <w:rPr>
          <w:lang w:val="en_US" w:bidi="en_US"/>
        </w:rPr>
        <w:t>Luke 23:49</w:t>
      </w:r>
      <w:r>
        <w:rPr>
          <w:lang w:val="en_US" w:bidi="en_US"/>
        </w:rPr>
      </w:r>
    </w:p>
    <w:p>
      <w:pPr>
        <w:pStyle w:val="Heading4"/>
      </w:pPr>
      <w:r>
        <w:rPr>
          <w:lang w:val="en_US" w:bidi="en_US"/>
        </w:rPr>
        <w:t>Section 23:44–49: Jesus died</w:t>
      </w:r>
    </w:p>
    <w:p>
      <w:pPr/>
      <w:r>
        <w:rPr>
          <w:lang w:val="en_US" w:bidi="en_US"/>
        </w:rPr>
      </w:r>
      <w:r>
        <w:rPr>
          <w:lang w:val="en_US" w:bidi="en_US"/>
        </w:rPr>
        <w:t>While Jesus was on the cross, it became dark. The curtain in the temple ripped into two pieces. Jesus gave his spirit up to God his Father and died. One of the Roman soldiers saw and heard all that happened. As a result, he believed that Jesus was a righteous man. When the people saw that, they were sorry that Jesus was crucified. The way Jesus lived and the way he died showed many people that he was an innocent man. Examples of other headings for this section are:</w:t>
      </w:r>
    </w:p>
    <w:p>
      <w:pPr/>
      <w:r>
        <w:rPr>
          <w:lang w:val="en_US" w:bidi="en_US"/>
        </w:rPr>
      </w:r>
      <w:r>
        <w:rPr>
          <w:lang w:val="en_US" w:bidi="en_US"/>
        </w:rPr>
        <w:t>The Death of Jesus (GNT)</w:t>
      </w:r>
    </w:p>
    <w:p>
      <w:pPr/>
      <w:r>
        <w:rPr>
          <w:lang w:val="en_US" w:bidi="en_US"/>
        </w:rPr>
      </w:r>
      <w:r>
        <w:rPr>
          <w:lang w:val="en_US" w:bidi="en_US"/>
        </w:rPr>
        <w:t>Jesus died</w:t>
      </w:r>
    </w:p>
    <w:p>
      <w:pPr/>
      <w:r>
        <w:rPr>
          <w:lang w:val="en_US" w:bidi="en_US"/>
        </w:rPr>
      </w:r>
      <w:r>
        <w:rPr>
          <w:lang w:val="en_US" w:bidi="en_US"/>
        </w:rPr>
        <w:t>Parallel passages for this section are in Matthew 27:45–56, Mark 15:33–41, and John 19:28–30.</w:t>
      </w:r>
    </w:p>
    <w:p>
      <w:pPr>
        <w:pStyle w:val="Heading5"/>
      </w:pPr>
      <w:r>
        <w:rPr>
          <w:lang w:val="en_US" w:bidi="en_US"/>
        </w:rPr>
        <w:t>23:49a</w:t>
      </w:r>
    </w:p>
    <w:p>
      <w:pPr/>
      <w:r>
        <w:rPr>
          <w:lang w:val="en_US" w:bidi="en_US"/>
        </w:rPr>
      </w:r>
      <w:r>
        <w:rPr>
          <w:b/>
          <w:lang w:val="en_US" w:bidi="en_US"/>
        </w:rPr>
        <w:t>But all those who knew Jesus,</w:t>
      </w:r>
    </w:p>
    <w:p>
      <w:pPr>
        <w:pStyle w:val="ListBullet"/>
        <w:spacing w:line="240" w:lineRule="auto"/>
        <w:ind w:left="720"/>
      </w:pPr>
      <w:r>
        <w:rPr>
          <w:lang w:val="en_US" w:bidi="en_US"/>
        </w:rPr>
      </w:r>
      <w:r>
        <w:rPr>
          <w:lang w:val="en_US" w:bidi="en_US"/>
        </w:rPr>
        <w:t>But all Jesus’ friends</w:t>
      </w:r>
    </w:p>
    <w:p>
      <w:pPr>
        <w:pStyle w:val="ListBullet"/>
        <w:spacing w:line="240" w:lineRule="auto"/>
        <w:ind w:left="720"/>
      </w:pPr>
      <w:r>
        <w:rPr>
          <w:lang w:val="en_US" w:bidi="en_US"/>
        </w:rPr>
      </w:r>
      <w:r>
        <w:rPr>
          <w:lang w:val="en_US" w:bidi="en_US"/>
        </w:rPr>
        <w:t xml:space="preserve">The people who knew Jesus well </w:t>
      </w:r>
      <w:r>
        <w:rPr>
          <w:lang w:val="en_US" w:bidi="en_US"/>
        </w:rPr>
        <w:t>did not leave with them</w:t>
      </w:r>
      <w:r>
        <w:rPr>
          <w:lang w:val="en_US" w:bidi="en_US"/>
        </w:rPr>
        <w:t>.</w:t>
      </w:r>
    </w:p>
    <w:p>
      <w:pPr/>
      <w:r>
        <w:rPr>
          <w:lang w:val="en_US" w:bidi="en_US"/>
        </w:rPr>
      </w:r>
      <w:r>
        <w:rPr>
          <w:b/>
          <w:lang w:val="en_US" w:bidi="en_US"/>
        </w:rPr>
        <w:t>But all those who knew Jesus:</w:t>
      </w:r>
      <w:r>
        <w:rPr>
          <w:lang w:val="en_US" w:bidi="en_US"/>
        </w:rPr>
        <w:t xml:space="preserve"> The Greek conjunction that the BSB translates as </w:t>
      </w:r>
      <w:r>
        <w:rPr>
          <w:i/>
          <w:lang w:val="en_US" w:bidi="en_US"/>
        </w:rPr>
        <w:t>But</w:t>
      </w:r>
      <w:r>
        <w:rPr>
          <w:lang w:val="en_US" w:bidi="en_US"/>
        </w:rPr>
        <w:t xml:space="preserve"> can also be translated as “And.” However, here it probably introduces a contrast between the people who went away in 23:48 and the people who knew Jesus. Some English versions do not have a conjunction here. Introduce the people who knew Jesus in a natural way in your language.</w:t>
      </w:r>
    </w:p>
    <w:p>
      <w:pPr/>
      <w:r>
        <w:rPr>
          <w:lang w:val="en_US" w:bidi="en_US"/>
        </w:rPr>
      </w:r>
      <w:r>
        <w:rPr>
          <w:b/>
          <w:lang w:val="en_US" w:bidi="en_US"/>
        </w:rPr>
        <w:t>all those who knew Jesus:</w:t>
      </w:r>
      <w:r>
        <w:rPr>
          <w:lang w:val="en_US" w:bidi="en_US"/>
        </w:rPr>
        <w:t xml:space="preserve"> The phrase </w:t>
      </w:r>
      <w:r>
        <w:rPr>
          <w:i/>
          <w:lang w:val="en_US" w:bidi="en_US"/>
        </w:rPr>
        <w:t>all those who knew Jesus</w:t>
      </w:r>
      <w:r>
        <w:rPr>
          <w:lang w:val="en_US" w:bidi="en_US"/>
        </w:rPr>
        <w:t xml:space="preserve"> refers to the people who knew Jesus personally. They were friends who were there at the crucifixion. Some other ways to translate the phrase are:</w:t>
      </w:r>
    </w:p>
    <w:p>
      <w:pPr/>
      <w:r>
        <w:rPr>
          <w:lang w:val="en_US" w:bidi="en_US"/>
        </w:rPr>
      </w:r>
      <w:r>
        <w:rPr>
          <w:lang w:val="en_US" w:bidi="en_US"/>
        </w:rPr>
        <w:t>All his friends (GW)</w:t>
      </w:r>
    </w:p>
    <w:p>
      <w:pPr/>
      <w:r>
        <w:rPr>
          <w:lang w:val="en_US" w:bidi="en_US"/>
        </w:rPr>
      </w:r>
      <w:r>
        <w:rPr>
          <w:lang w:val="en_US" w:bidi="en_US"/>
        </w:rPr>
        <w:t>All those who knew Jesus personally (GNT)</w:t>
      </w:r>
    </w:p>
    <w:p>
      <w:pPr/>
      <w:r>
        <w:rPr>
          <w:lang w:val="en_US" w:bidi="en_US"/>
        </w:rPr>
      </w:r>
      <w:r>
        <w:rPr>
          <w:lang w:val="en_US" w:bidi="en_US"/>
        </w:rPr>
        <w:t>all his acquaintances (RSV)</w:t>
      </w:r>
    </w:p>
    <w:p>
      <w:pPr/>
      <w:r>
        <w:rPr>
          <w:lang w:val="en_US" w:bidi="en_US"/>
        </w:rPr>
      </w:r>
      <w:r>
        <w:rPr>
          <w:lang w:val="en_US" w:bidi="en_US"/>
        </w:rPr>
        <w:t xml:space="preserve">The word </w:t>
      </w:r>
      <w:r>
        <w:rPr>
          <w:i/>
          <w:lang w:val="en_US" w:bidi="en_US"/>
        </w:rPr>
        <w:t>all</w:t>
      </w:r>
      <w:r>
        <w:rPr>
          <w:lang w:val="en_US" w:bidi="en_US"/>
        </w:rPr>
        <w:t xml:space="preserve"> does not imply that every friend of Jesus was there. It distinguishes this group of friends from the other people there. One way to make this clear in English is:</w:t>
      </w:r>
    </w:p>
    <w:p>
      <w:pPr/>
      <w:r>
        <w:rPr>
          <w:lang w:val="en_US" w:bidi="en_US"/>
        </w:rPr>
      </w:r>
      <w:r>
        <w:rPr>
          <w:lang w:val="en_US" w:bidi="en_US"/>
        </w:rPr>
        <w:t>His friends had all been standing at a distance (REB)</w:t>
      </w:r>
    </w:p>
    <w:p>
      <w:pPr/>
      <w:r>
        <w:rPr>
          <w:lang w:val="en_US" w:bidi="en_US"/>
        </w:rPr>
      </w:r>
      <w:r>
        <w:rPr>
          <w:lang w:val="en_US" w:bidi="en_US"/>
        </w:rPr>
        <w:t xml:space="preserve">In some languages it may be more natural not to include the word </w:t>
      </w:r>
      <w:r>
        <w:rPr>
          <w:i/>
          <w:lang w:val="en_US" w:bidi="en_US"/>
        </w:rPr>
        <w:t>all</w:t>
      </w:r>
      <w:r>
        <w:rPr>
          <w:lang w:val="en_US" w:bidi="en_US"/>
        </w:rPr>
        <w:t xml:space="preserve"> here. For example:</w:t>
      </w:r>
    </w:p>
    <w:p>
      <w:pPr/>
      <w:r>
        <w:rPr>
          <w:lang w:val="en_US" w:bidi="en_US"/>
        </w:rPr>
      </w:r>
      <w:r>
        <w:rPr>
          <w:lang w:val="en_US" w:bidi="en_US"/>
        </w:rPr>
        <w:t>those who were close friends of Jesus (NCV)</w:t>
      </w:r>
    </w:p>
    <w:p>
      <w:pPr/>
      <w:r>
        <w:rPr>
          <w:lang w:val="en_US" w:bidi="en_US"/>
        </w:rPr>
      </w:r>
      <w:r>
        <w:rPr>
          <w:lang w:val="en_US" w:bidi="en_US"/>
        </w:rPr>
        <w:t>Jesus’ friends (NLT)</w:t>
      </w:r>
    </w:p>
    <w:p>
      <w:pPr>
        <w:pStyle w:val="Heading5"/>
      </w:pPr>
      <w:r>
        <w:rPr>
          <w:lang w:val="en_US" w:bidi="en_US"/>
        </w:rPr>
        <w:t>23:49b</w:t>
      </w:r>
    </w:p>
    <w:p>
      <w:pPr/>
      <w:r>
        <w:rPr>
          <w:lang w:val="en_US" w:bidi="en_US"/>
        </w:rPr>
      </w:r>
      <w:r>
        <w:rPr>
          <w:b/>
          <w:lang w:val="en_US" w:bidi="en_US"/>
        </w:rPr>
        <w:t>including the women who had followed Him from Galilee,</w:t>
      </w:r>
    </w:p>
    <w:p>
      <w:pPr>
        <w:pStyle w:val="ListBullet"/>
        <w:spacing w:line="240" w:lineRule="auto"/>
        <w:ind w:left="720"/>
      </w:pPr>
      <w:r>
        <w:rPr>
          <w:lang w:val="en_US" w:bidi="en_US"/>
        </w:rPr>
      </w:r>
      <w:r>
        <w:rPr>
          <w:lang w:val="en_US" w:bidi="en_US"/>
        </w:rPr>
        <w:t>and the women who came with him from Galilee,</w:t>
      </w:r>
    </w:p>
    <w:p>
      <w:pPr>
        <w:pStyle w:val="ListBullet"/>
        <w:spacing w:line="240" w:lineRule="auto"/>
        <w:ind w:left="720"/>
      </w:pPr>
      <w:r>
        <w:rPr>
          <w:lang w:val="en_US" w:bidi="en_US"/>
        </w:rPr>
      </w:r>
      <w:r>
        <w:rPr>
          <w:lang w:val="en_US" w:bidi="en_US"/>
        </w:rPr>
        <w:t xml:space="preserve">Among them were some women who accompanied him </w:t>
      </w:r>
      <w:r>
        <w:rPr>
          <w:lang w:val="en_US" w:bidi="en_US"/>
        </w:rPr>
        <w:t>to Jerusalem</w:t>
      </w:r>
      <w:r>
        <w:rPr>
          <w:lang w:val="en_US" w:bidi="en_US"/>
        </w:rPr>
        <w:t xml:space="preserve"> from </w:t>
      </w:r>
      <w:r>
        <w:rPr>
          <w:lang w:val="en_US" w:bidi="en_US"/>
        </w:rPr>
        <w:t>the region/province of</w:t>
      </w:r>
      <w:r>
        <w:rPr>
          <w:lang w:val="en_US" w:bidi="en_US"/>
        </w:rPr>
        <w:t xml:space="preserve"> Galilee.</w:t>
      </w:r>
    </w:p>
    <w:p>
      <w:pPr/>
      <w:r>
        <w:rPr>
          <w:lang w:val="en_US" w:bidi="en_US"/>
        </w:rPr>
      </w:r>
      <w:r>
        <w:rPr>
          <w:b/>
          <w:lang w:val="en_US" w:bidi="en_US"/>
        </w:rPr>
        <w:t>including the women:</w:t>
      </w:r>
      <w:r>
        <w:rPr>
          <w:lang w:val="en_US" w:bidi="en_US"/>
        </w:rPr>
        <w:t xml:space="preserve"> The Greek phrase that the BSB translates as </w:t>
      </w:r>
      <w:r>
        <w:rPr>
          <w:i/>
          <w:lang w:val="en_US" w:bidi="en_US"/>
        </w:rPr>
        <w:t>including the women</w:t>
      </w:r>
      <w:r>
        <w:rPr>
          <w:lang w:val="en_US" w:bidi="en_US"/>
        </w:rPr>
        <w:t xml:space="preserve"> is literally “and the women.” It implies that the women were among the other people there who knew Jesus well.</w:t>
      </w:r>
    </w:p>
    <w:p>
      <w:pPr/>
      <w:r>
        <w:rPr>
          <w:lang w:val="en_US" w:bidi="en_US"/>
        </w:rPr>
      </w:r>
      <w:r>
        <w:rPr>
          <w:lang w:val="en_US" w:bidi="en_US"/>
        </w:rPr>
        <w:t>Connect this phrase with 23:49a in a natural way in your language. In some languages it is not appropriate to refer to women as “close friends” of a male leader. Your translation should not imply an immoral relationship.</w:t>
      </w:r>
    </w:p>
    <w:p>
      <w:pPr/>
      <w:r>
        <w:rPr>
          <w:lang w:val="en_US" w:bidi="en_US"/>
        </w:rPr>
      </w:r>
      <w:r>
        <w:rPr>
          <w:lang w:val="en_US" w:bidi="en_US"/>
        </w:rPr>
        <w:t>In some languages it may be natural to change the order of clauses in this verse. See the General Comment on 23:49a–c below for an example.</w:t>
      </w:r>
    </w:p>
    <w:p>
      <w:pPr/>
      <w:r>
        <w:rPr>
          <w:lang w:val="en_US" w:bidi="en_US"/>
        </w:rPr>
      </w:r>
      <w:r>
        <w:rPr>
          <w:b/>
          <w:lang w:val="en_US" w:bidi="en_US"/>
        </w:rPr>
        <w:t>who had followed Him from Galilee:</w:t>
      </w:r>
      <w:r>
        <w:rPr>
          <w:lang w:val="en_US" w:bidi="en_US"/>
        </w:rPr>
        <w:t xml:space="preserve"> This phrase refers to women who had been with Jesus in Galilee. (See 8:2–3.) They had come with him and his other followers to Jerusalem. Some other ways to translate the phrase are:</w:t>
      </w:r>
    </w:p>
    <w:p>
      <w:pPr/>
      <w:r>
        <w:rPr>
          <w:lang w:val="en_US" w:bidi="en_US"/>
        </w:rPr>
      </w:r>
      <w:r>
        <w:rPr>
          <w:lang w:val="en_US" w:bidi="en_US"/>
        </w:rPr>
        <w:t>who had come with him from Galilee (CEV)</w:t>
      </w:r>
    </w:p>
    <w:p>
      <w:pPr/>
      <w:r>
        <w:rPr>
          <w:lang w:val="en_US" w:bidi="en_US"/>
        </w:rPr>
      </w:r>
      <w:r>
        <w:rPr>
          <w:lang w:val="en_US" w:bidi="en_US"/>
        </w:rPr>
        <w:t>who had accompanied him from Galilee (REB)</w:t>
      </w:r>
    </w:p>
    <w:p>
      <w:pPr>
        <w:pStyle w:val="Heading5"/>
      </w:pPr>
      <w:r>
        <w:rPr>
          <w:lang w:val="en_US" w:bidi="en_US"/>
        </w:rPr>
        <w:t>23:49c</w:t>
      </w:r>
    </w:p>
    <w:p>
      <w:pPr/>
      <w:r>
        <w:rPr>
          <w:lang w:val="en_US" w:bidi="en_US"/>
        </w:rPr>
      </w:r>
      <w:r>
        <w:rPr>
          <w:b/>
          <w:lang w:val="en_US" w:bidi="en_US"/>
        </w:rPr>
        <w:t>stood at a distance watching these things.</w:t>
      </w:r>
    </w:p>
    <w:p>
      <w:pPr>
        <w:pStyle w:val="ListBullet"/>
        <w:spacing w:line="240" w:lineRule="auto"/>
        <w:ind w:left="720"/>
      </w:pPr>
      <w:r>
        <w:rPr>
          <w:lang w:val="en_US" w:bidi="en_US"/>
        </w:rPr>
      </w:r>
      <w:r>
        <w:rPr>
          <w:lang w:val="en_US" w:bidi="en_US"/>
        </w:rPr>
        <w:t>stood some distance away and watched what happened.</w:t>
      </w:r>
    </w:p>
    <w:p>
      <w:pPr>
        <w:pStyle w:val="ListBullet"/>
        <w:spacing w:line="240" w:lineRule="auto"/>
        <w:ind w:left="720"/>
      </w:pPr>
      <w:r>
        <w:rPr>
          <w:lang w:val="en_US" w:bidi="en_US"/>
        </w:rPr>
      </w:r>
      <w:r>
        <w:rPr>
          <w:lang w:val="en_US" w:bidi="en_US"/>
        </w:rPr>
        <w:t xml:space="preserve">These people </w:t>
      </w:r>
      <w:r>
        <w:rPr>
          <w:lang w:val="en_US" w:bidi="en_US"/>
        </w:rPr>
        <w:t>continued to</w:t>
      </w:r>
      <w:r>
        <w:rPr>
          <w:lang w:val="en_US" w:bidi="en_US"/>
        </w:rPr>
        <w:t xml:space="preserve"> watch from a distance.</w:t>
      </w:r>
    </w:p>
    <w:p>
      <w:pPr/>
      <w:r>
        <w:rPr>
          <w:lang w:val="en_US" w:bidi="en_US"/>
        </w:rPr>
      </w:r>
      <w:r>
        <w:rPr>
          <w:b/>
          <w:lang w:val="en_US" w:bidi="en_US"/>
        </w:rPr>
        <w:t>stood at a distance:</w:t>
      </w:r>
      <w:r>
        <w:rPr>
          <w:lang w:val="en_US" w:bidi="en_US"/>
        </w:rPr>
        <w:t xml:space="preserve"> The phrase </w:t>
      </w:r>
      <w:r>
        <w:rPr>
          <w:i/>
          <w:lang w:val="en_US" w:bidi="en_US"/>
        </w:rPr>
        <w:t>stood at a distance</w:t>
      </w:r>
      <w:r>
        <w:rPr>
          <w:lang w:val="en_US" w:bidi="en_US"/>
        </w:rPr>
        <w:t xml:space="preserve"> indicates that Jesus’ friends were standing some distance away from Jesus. They were close enough to see and hear what happened, but they were not very near him. Probably the soldiers kept friends from coming too near. Describe this distance in a natural way in your language.</w:t>
      </w:r>
    </w:p>
    <w:p>
      <w:pPr/>
      <w:r>
        <w:rPr>
          <w:lang w:val="en_US" w:bidi="en_US"/>
        </w:rPr>
      </w:r>
      <w:r>
        <w:rPr>
          <w:b/>
          <w:lang w:val="en_US" w:bidi="en_US"/>
        </w:rPr>
        <w:t>watching these things:</w:t>
      </w:r>
      <w:r>
        <w:rPr>
          <w:lang w:val="en_US" w:bidi="en_US"/>
        </w:rPr>
        <w:t xml:space="preserve"> The phrase </w:t>
      </w:r>
      <w:r>
        <w:rPr>
          <w:i/>
          <w:lang w:val="en_US" w:bidi="en_US"/>
        </w:rPr>
        <w:t>watching these things</w:t>
      </w:r>
      <w:r>
        <w:rPr>
          <w:lang w:val="en_US" w:bidi="en_US"/>
        </w:rPr>
        <w:t xml:space="preserve"> indicates here that Jesus’ friends and the women were watching all that was happening. They saw it and paid attention to it. Another way to translate the phrase is:</w:t>
      </w:r>
    </w:p>
    <w:p>
      <w:pPr/>
      <w:r>
        <w:rPr>
          <w:lang w:val="en_US" w:bidi="en_US"/>
        </w:rPr>
      </w:r>
      <w:r>
        <w:rPr>
          <w:lang w:val="en_US" w:bidi="en_US"/>
        </w:rPr>
        <w:t>seeing/watching what was happening</w:t>
      </w:r>
    </w:p>
    <w:p>
      <w:pPr>
        <w:pStyle w:val="Heading6"/>
      </w:pPr>
      <w:r>
        <w:rPr>
          <w:b/>
          <w:lang w:val="en_US" w:bidi="en_US"/>
        </w:rPr>
        <w:t>General Comment on 23:49a–c</w:t>
      </w:r>
    </w:p>
    <w:p>
      <w:pPr/>
      <w:r>
        <w:rPr>
          <w:lang w:val="en_US" w:bidi="en_US"/>
        </w:rPr>
      </w:r>
      <w:r>
        <w:rPr>
          <w:lang w:val="en_US" w:bidi="en_US"/>
        </w:rPr>
        <w:t>In some languages it may be more natural to reorder the information in this verse. For example:</w:t>
      </w:r>
    </w:p>
    <w:p>
      <w:pPr/>
      <w:r>
        <w:rPr>
          <w:lang w:val="en_US" w:bidi="en_US"/>
        </w:rPr>
      </w:r>
      <w:r>
        <w:rPr>
          <w:vertAlign w:val="superscript"/>
          <w:lang w:val="en_US" w:bidi="en_US"/>
        </w:rPr>
        <w:t>49a</w:t>
      </w:r>
      <w:r>
        <w:rPr>
          <w:lang w:val="en_US" w:bidi="en_US"/>
        </w:rPr>
        <w:t xml:space="preserve">But all those who had known Jesus personally </w:t>
      </w:r>
      <w:r>
        <w:rPr>
          <w:vertAlign w:val="superscript"/>
          <w:lang w:val="en_US" w:bidi="en_US"/>
        </w:rPr>
        <w:t>49c</w:t>
      </w:r>
      <w:r>
        <w:rPr>
          <w:lang w:val="en_US" w:bidi="en_US"/>
        </w:rPr>
        <w:t xml:space="preserve">stood at a distance and watched what happened. </w:t>
      </w:r>
      <w:r>
        <w:rPr>
          <w:vertAlign w:val="superscript"/>
          <w:lang w:val="en_US" w:bidi="en_US"/>
        </w:rPr>
        <w:t>49b</w:t>
      </w:r>
      <w:r>
        <w:rPr>
          <w:lang w:val="en_US" w:bidi="en_US"/>
        </w:rPr>
        <w:t>Among them were the women who had followed him from Galilee.</w:t>
      </w:r>
      <w:r>
        <w:rPr>
          <w:lang w:val="en_US" w:bidi="en_US"/>
        </w:rPr>
      </w:r>
      <w:r>
        <w:rPr>
          <w:lang w:val="en_US" w:bidi="en_US"/>
        </w:rPr>
      </w:r>
    </w:p>
    <w:p>
      <w:pPr/>
      <w:r>
        <w:rPr>
          <w:lang w:val="en_US" w:bidi="en_US"/>
        </w:rPr>
      </w:r>
    </w:p>
    <w:p>
      <w:pPr>
        <w:pStyle w:val="Heading2"/>
      </w:pPr>
      <w:r>
        <w:rPr>
          <w:lang w:val="en_US" w:bidi="en_US"/>
        </w:rPr>
        <w:t>Luke 23:50</w:t>
      </w:r>
      <w:r>
        <w:rPr>
          <w:lang w:val="en_US" w:bidi="en_US"/>
        </w:rPr>
      </w:r>
    </w:p>
    <w:p>
      <w:pPr>
        <w:pStyle w:val="Heading4"/>
      </w:pPr>
      <w:r>
        <w:rPr>
          <w:lang w:val="en_US" w:bidi="en_US"/>
        </w:rPr>
        <w:t>Section 23:50–56: Jesus was buried</w:t>
      </w:r>
    </w:p>
    <w:p>
      <w:pPr/>
      <w:r>
        <w:rPr>
          <w:lang w:val="en_US" w:bidi="en_US"/>
        </w:rPr>
      </w:r>
      <w:r>
        <w:rPr>
          <w:lang w:val="en_US" w:bidi="en_US"/>
        </w:rPr>
        <w:t>This section tells about how people buried Jesus’ body. Sometimes the Romans did not allow the body of a crucified person to be buried.</w:t>
      </w:r>
      <w:r>
        <w:rPr>
          <w:lang w:val="en_US" w:bidi="en_US"/>
        </w:rPr>
        <w:t>Nolland (p. 1166) says, “The bodies of condemned criminals were not always released for burial, especially in cases of treason….For the body to have stayed on the cross overnight would have been a violation of Jewish custom (for the most part, the Romans seem to have shown a sensitivity to this).”</w:t>
      </w:r>
      <w:r>
        <w:rPr>
          <w:lang w:val="en_US" w:bidi="en_US"/>
        </w:rPr>
        <w:t xml:space="preserve"> But for the Jews, a proper burial was important. It was their custom to bury the body on the same day that a person died. A respected Jewish man named Joseph decided that Jesus must have a proper burial. So Joseph went to Pilate and asked permission to take Jesus’ body and bury it.</w:t>
      </w:r>
    </w:p>
    <w:p>
      <w:pPr/>
      <w:r>
        <w:rPr>
          <w:lang w:val="en_US" w:bidi="en_US"/>
        </w:rPr>
      </w:r>
      <w:r>
        <w:rPr>
          <w:lang w:val="en_US" w:bidi="en_US"/>
        </w:rPr>
        <w:t>The Sabbath Day began just a few hours after Jesus died. On the Sabbath it was forbidden to move a dead body. So Joseph had to act quickly in all that he did.</w:t>
      </w:r>
    </w:p>
    <w:p>
      <w:pPr/>
      <w:r>
        <w:rPr>
          <w:lang w:val="en_US" w:bidi="en_US"/>
        </w:rPr>
      </w:r>
      <w:r>
        <w:rPr>
          <w:lang w:val="en_US" w:bidi="en_US"/>
        </w:rPr>
        <w:t>Examples of other headings for this section are:</w:t>
      </w:r>
    </w:p>
    <w:p>
      <w:pPr/>
      <w:r>
        <w:rPr>
          <w:lang w:val="en_US" w:bidi="en_US"/>
        </w:rPr>
      </w:r>
      <w:r>
        <w:rPr>
          <w:lang w:val="en_US" w:bidi="en_US"/>
        </w:rPr>
        <w:t>The Burial of Jesus (GNT)</w:t>
      </w:r>
    </w:p>
    <w:p>
      <w:pPr/>
      <w:r>
        <w:rPr>
          <w:lang w:val="en_US" w:bidi="en_US"/>
        </w:rPr>
      </w:r>
      <w:r>
        <w:rPr>
          <w:lang w:val="en_US" w:bidi="en_US"/>
        </w:rPr>
        <w:t>Jesus Is Buried (CEV)</w:t>
      </w:r>
    </w:p>
    <w:p>
      <w:pPr/>
      <w:r>
        <w:rPr>
          <w:lang w:val="en_US" w:bidi="en_US"/>
        </w:rPr>
      </w:r>
      <w:r>
        <w:rPr>
          <w:lang w:val="en_US" w:bidi="en_US"/>
        </w:rPr>
        <w:t>Joseph buried Jesus’ body</w:t>
      </w:r>
    </w:p>
    <w:p>
      <w:pPr/>
      <w:r>
        <w:rPr>
          <w:lang w:val="en_US" w:bidi="en_US"/>
        </w:rPr>
      </w:r>
      <w:r>
        <w:rPr>
          <w:lang w:val="en_US" w:bidi="en_US"/>
        </w:rPr>
        <w:t>Jesus’ corpse was placed in a burial cave</w:t>
      </w:r>
    </w:p>
    <w:p>
      <w:pPr/>
      <w:r>
        <w:rPr>
          <w:lang w:val="en_US" w:bidi="en_US"/>
        </w:rPr>
      </w:r>
      <w:r>
        <w:rPr>
          <w:lang w:val="en_US" w:bidi="en_US"/>
        </w:rPr>
        <w:t>Parallel passages for this section are found in Matthew 27:57–61, Mark 15:42–47, and John 19:38–42.</w:t>
      </w:r>
    </w:p>
    <w:p>
      <w:pPr>
        <w:pStyle w:val="Heading5"/>
      </w:pPr>
      <w:r>
        <w:rPr>
          <w:lang w:val="en_US" w:bidi="en_US"/>
        </w:rPr>
        <w:t>23:50–51</w:t>
      </w:r>
    </w:p>
    <w:p>
      <w:pPr/>
      <w:r>
        <w:rPr>
          <w:lang w:val="en_US" w:bidi="en_US"/>
        </w:rPr>
      </w:r>
      <w:r>
        <w:rPr>
          <w:lang w:val="en_US" w:bidi="en_US"/>
        </w:rPr>
        <w:t>Verses 50–51 give background information about Joseph and about his relationship to the Jewish Council. In some languages it may be more natural to arrange the information in a different order. See the General Comment on 23:50–51 at the end of 23:51c for examples of how to reorder these verses.</w:t>
      </w:r>
    </w:p>
    <w:p>
      <w:pPr>
        <w:pStyle w:val="Heading5"/>
      </w:pPr>
      <w:r>
        <w:rPr>
          <w:lang w:val="en_US" w:bidi="en_US"/>
        </w:rPr>
        <w:t>23:50a</w:t>
      </w:r>
    </w:p>
    <w:p>
      <w:pPr/>
      <w:r>
        <w:rPr>
          <w:lang w:val="en_US" w:bidi="en_US"/>
        </w:rPr>
      </w:r>
      <w:r>
        <w:rPr>
          <w:b/>
          <w:lang w:val="en_US" w:bidi="en_US"/>
        </w:rPr>
        <w:t>Now there was a Council member named Joseph,</w:t>
      </w:r>
    </w:p>
    <w:p>
      <w:pPr>
        <w:pStyle w:val="ListBullet"/>
        <w:spacing w:line="240" w:lineRule="auto"/>
        <w:ind w:left="720"/>
      </w:pPr>
      <w:r>
        <w:rPr>
          <w:lang w:val="en_US" w:bidi="en_US"/>
        </w:rPr>
      </w:r>
      <w:r>
        <w:rPr>
          <w:lang w:val="en_US" w:bidi="en_US"/>
        </w:rPr>
        <w:t xml:space="preserve">¶ There was </w:t>
      </w:r>
      <w:r>
        <w:rPr>
          <w:lang w:val="en_US" w:bidi="en_US"/>
        </w:rPr>
        <w:t>there</w:t>
      </w:r>
      <w:r>
        <w:rPr>
          <w:lang w:val="en_US" w:bidi="en_US"/>
        </w:rPr>
        <w:t xml:space="preserve"> a member of the high court of the </w:t>
      </w:r>
      <w:r>
        <w:rPr>
          <w:lang w:val="en_US" w:bidi="en_US"/>
        </w:rPr>
        <w:t>Jewish</w:t>
      </w:r>
      <w:r>
        <w:rPr>
          <w:lang w:val="en_US" w:bidi="en_US"/>
        </w:rPr>
        <w:t xml:space="preserve"> people, whose name was Joseph.</w:t>
      </w:r>
    </w:p>
    <w:p>
      <w:pPr>
        <w:pStyle w:val="ListBullet"/>
        <w:spacing w:line="240" w:lineRule="auto"/>
        <w:ind w:left="720"/>
      </w:pPr>
      <w:r>
        <w:rPr>
          <w:lang w:val="en_US" w:bidi="en_US"/>
        </w:rPr>
      </w:r>
      <w:r>
        <w:rPr>
          <w:lang w:val="en_US" w:bidi="en_US"/>
        </w:rPr>
        <w:t xml:space="preserve">¶ </w:t>
      </w:r>
      <w:r>
        <w:rPr>
          <w:lang w:val="en_US" w:bidi="en_US"/>
        </w:rPr>
        <w:t>At that time</w:t>
      </w:r>
      <w:r>
        <w:rPr>
          <w:lang w:val="en_US" w:bidi="en_US"/>
        </w:rPr>
        <w:t xml:space="preserve"> a man named Joseph, one of the </w:t>
      </w:r>
      <w:r>
        <w:rPr>
          <w:lang w:val="en_US" w:bidi="en_US"/>
        </w:rPr>
        <w:t>Jewish</w:t>
      </w:r>
      <w:r>
        <w:rPr>
          <w:lang w:val="en_US" w:bidi="en_US"/>
        </w:rPr>
        <w:t xml:space="preserve"> leaders/elders, was there,</w:t>
      </w:r>
    </w:p>
    <w:p>
      <w:pPr/>
      <w:r>
        <w:rPr>
          <w:lang w:val="en_US" w:bidi="en_US"/>
        </w:rPr>
      </w:r>
      <w:r>
        <w:rPr>
          <w:b/>
          <w:lang w:val="en_US" w:bidi="en_US"/>
        </w:rPr>
        <w:t>Now there was a Council member named Joseph:</w:t>
      </w:r>
      <w:r>
        <w:rPr>
          <w:lang w:val="en_US" w:bidi="en_US"/>
        </w:rPr>
        <w:t xml:space="preserve"> This clause introduces Joseph. The Greek phrase that the BSB translates as </w:t>
      </w:r>
      <w:r>
        <w:rPr>
          <w:i/>
          <w:lang w:val="en_US" w:bidi="en_US"/>
        </w:rPr>
        <w:t>Now</w:t>
      </w:r>
      <w:r>
        <w:rPr>
          <w:lang w:val="en_US" w:bidi="en_US"/>
        </w:rPr>
        <w:t xml:space="preserve"> is more literally “and see/look!” It is a way to introduce Joseph as an important person in the story of Jesus. Some other ways to introduce him are:</w:t>
      </w:r>
    </w:p>
    <w:p>
      <w:pPr/>
      <w:r>
        <w:rPr>
          <w:lang w:val="en_US" w:bidi="en_US"/>
        </w:rPr>
      </w:r>
      <w:r>
        <w:rPr>
          <w:lang w:val="en_US" w:bidi="en_US"/>
        </w:rPr>
        <w:t>And listen! there was a man named Joseph.</w:t>
      </w:r>
    </w:p>
    <w:p>
      <w:pPr/>
      <w:r>
        <w:rPr>
          <w:lang w:val="en_US" w:bidi="en_US"/>
        </w:rPr>
      </w:r>
      <w:r>
        <w:rPr>
          <w:lang w:val="en_US" w:bidi="en_US"/>
        </w:rPr>
        <w:t>There was also a man called Joseph there.</w:t>
      </w:r>
    </w:p>
    <w:p>
      <w:pPr/>
      <w:r>
        <w:rPr>
          <w:lang w:val="en_US" w:bidi="en_US"/>
        </w:rPr>
      </w:r>
      <w:r>
        <w:rPr>
          <w:lang w:val="en_US" w:bidi="en_US"/>
        </w:rPr>
        <w:t>Introduce Joseph in a natural way in your language.</w:t>
      </w:r>
    </w:p>
    <w:p>
      <w:pPr/>
      <w:r>
        <w:rPr>
          <w:lang w:val="en_US" w:bidi="en_US"/>
        </w:rPr>
      </w:r>
      <w:r>
        <w:rPr>
          <w:b/>
          <w:lang w:val="en_US" w:bidi="en_US"/>
        </w:rPr>
        <w:t>a Council member named Joseph:</w:t>
      </w:r>
      <w:r>
        <w:rPr>
          <w:lang w:val="en_US" w:bidi="en_US"/>
        </w:rPr>
        <w:t xml:space="preserve"> The phrase </w:t>
      </w:r>
      <w:r>
        <w:rPr>
          <w:i/>
          <w:lang w:val="en_US" w:bidi="en_US"/>
        </w:rPr>
        <w:t>a Council member</w:t>
      </w:r>
      <w:r>
        <w:rPr>
          <w:lang w:val="en_US" w:bidi="en_US"/>
        </w:rPr>
        <w:t xml:space="preserve"> describes Joseph. Joseph was one of the leaders who met together as the Jewish Council. In some languages it may be more natural to use a complete clause. For example:</w:t>
      </w:r>
    </w:p>
    <w:p>
      <w:pPr/>
      <w:r>
        <w:rPr>
          <w:lang w:val="en_US" w:bidi="en_US"/>
        </w:rPr>
      </w:r>
      <w:r>
        <w:rPr>
          <w:lang w:val="en_US" w:bidi="en_US"/>
        </w:rPr>
        <w:t>a man named Joseph…. He was a member of the council (ESV)</w:t>
      </w:r>
    </w:p>
    <w:p>
      <w:pPr/>
      <w:r>
        <w:rPr>
          <w:lang w:val="en_US" w:bidi="en_US"/>
        </w:rPr>
      </w:r>
      <w:r>
        <w:rPr>
          <w:b/>
          <w:lang w:val="en_US" w:bidi="en_US"/>
        </w:rPr>
        <w:t>Council:</w:t>
      </w:r>
      <w:r>
        <w:rPr>
          <w:lang w:val="en_US" w:bidi="en_US"/>
        </w:rPr>
        <w:t xml:space="preserve"> The </w:t>
      </w:r>
      <w:r>
        <w:rPr>
          <w:i/>
          <w:lang w:val="en_US" w:bidi="en_US"/>
        </w:rPr>
        <w:t>Council</w:t>
      </w:r>
      <w:r>
        <w:rPr>
          <w:lang w:val="en_US" w:bidi="en_US"/>
        </w:rPr>
        <w:t xml:space="preserve"> made many decisions for the Jewish people. It was also the highest court among them. It was discussed in the note on 22:66a–b. See how you translated “the council” in 22:66.</w:t>
      </w:r>
    </w:p>
    <w:p>
      <w:pPr>
        <w:pStyle w:val="Heading5"/>
      </w:pPr>
      <w:r>
        <w:rPr>
          <w:lang w:val="en_US" w:bidi="en_US"/>
        </w:rPr>
        <w:t>23:50b</w:t>
      </w:r>
    </w:p>
    <w:p>
      <w:pPr/>
      <w:r>
        <w:rPr>
          <w:lang w:val="en_US" w:bidi="en_US"/>
        </w:rPr>
      </w:r>
      <w:r>
        <w:rPr>
          <w:b/>
          <w:lang w:val="en_US" w:bidi="en_US"/>
        </w:rPr>
        <w:t>a good and righteous man,</w:t>
      </w:r>
    </w:p>
    <w:p>
      <w:pPr>
        <w:pStyle w:val="ListBullet"/>
        <w:spacing w:line="240" w:lineRule="auto"/>
        <w:ind w:left="720"/>
      </w:pPr>
      <w:r>
        <w:rPr>
          <w:lang w:val="en_US" w:bidi="en_US"/>
        </w:rPr>
      </w:r>
      <w:r>
        <w:rPr>
          <w:lang w:val="en_US" w:bidi="en_US"/>
        </w:rPr>
        <w:t>He was a good man who did what is right.</w:t>
      </w:r>
    </w:p>
    <w:p>
      <w:pPr>
        <w:pStyle w:val="ListBullet"/>
        <w:spacing w:line="240" w:lineRule="auto"/>
        <w:ind w:left="720"/>
      </w:pPr>
      <w:r>
        <w:rPr>
          <w:lang w:val="en_US" w:bidi="en_US"/>
        </w:rPr>
      </w:r>
      <w:r>
        <w:rPr>
          <w:lang w:val="en_US" w:bidi="en_US"/>
        </w:rPr>
        <w:t>but</w:t>
      </w:r>
      <w:r>
        <w:rPr>
          <w:lang w:val="en_US" w:bidi="en_US"/>
        </w:rPr>
        <w:t xml:space="preserve"> he was a truly good person.</w:t>
      </w:r>
    </w:p>
    <w:p>
      <w:pPr/>
      <w:r>
        <w:rPr>
          <w:lang w:val="en_US" w:bidi="en_US"/>
        </w:rPr>
      </w:r>
      <w:r>
        <w:rPr>
          <w:lang w:val="en_US" w:bidi="en_US"/>
        </w:rPr>
        <w:t>This part of the verse praises Joseph as a good man. This seems to contrast with the statement in 23:50a that he was a member of the Council, since the Council condemned Jesus. Verse 51 explains that Joseph did not agree that Jesus should be condemned. In some languages it may be natural to use a contrast connector here in 23:50b. Connect the verses in a natural way in your language.</w:t>
      </w:r>
    </w:p>
    <w:p>
      <w:pPr/>
      <w:r>
        <w:rPr>
          <w:lang w:val="en_US" w:bidi="en_US"/>
        </w:rPr>
      </w:r>
      <w:r>
        <w:rPr>
          <w:b/>
          <w:lang w:val="en_US" w:bidi="en_US"/>
        </w:rPr>
        <w:t>a good and righteous man:</w:t>
      </w:r>
      <w:r>
        <w:rPr>
          <w:lang w:val="en_US" w:bidi="en_US"/>
        </w:rPr>
        <w:t xml:space="preserve"> The phrase </w:t>
      </w:r>
      <w:r>
        <w:rPr>
          <w:i/>
          <w:lang w:val="en_US" w:bidi="en_US"/>
        </w:rPr>
        <w:t>a good and righteous man</w:t>
      </w:r>
      <w:r>
        <w:rPr>
          <w:lang w:val="en_US" w:bidi="en_US"/>
        </w:rPr>
        <w:t xml:space="preserve"> indicates that Joseph was a good person who did what is right. The Greek word that the BSB translates as </w:t>
      </w:r>
      <w:r>
        <w:rPr>
          <w:i/>
          <w:lang w:val="en_US" w:bidi="en_US"/>
        </w:rPr>
        <w:t>righteous</w:t>
      </w:r>
      <w:r>
        <w:rPr>
          <w:lang w:val="en_US" w:bidi="en_US"/>
        </w:rPr>
        <w:t xml:space="preserve"> means “righteous, just.” Some other ways to translate </w:t>
      </w:r>
      <w:r>
        <w:rPr>
          <w:i/>
          <w:lang w:val="en_US" w:bidi="en_US"/>
        </w:rPr>
        <w:t>a good and righteous man</w:t>
      </w:r>
      <w:r>
        <w:rPr>
          <w:lang w:val="en_US" w:bidi="en_US"/>
        </w:rPr>
        <w:t xml:space="preserve"> are:</w:t>
      </w:r>
    </w:p>
    <w:p>
      <w:pPr/>
      <w:r>
        <w:rPr>
          <w:lang w:val="en_US" w:bidi="en_US"/>
        </w:rPr>
      </w:r>
      <w:r>
        <w:rPr>
          <w:lang w:val="en_US" w:bidi="en_US"/>
        </w:rPr>
        <w:t>He was a good man and his conduct was straight/righteous.</w:t>
      </w:r>
      <w:r>
        <w:rPr>
          <w:lang w:val="en_US" w:bidi="en_US"/>
        </w:rPr>
        <w:t>Yakan back translation on TW.</w:t>
      </w:r>
    </w:p>
    <w:p>
      <w:pPr/>
      <w:r>
        <w:rPr>
          <w:lang w:val="en_US" w:bidi="en_US"/>
        </w:rPr>
      </w:r>
      <w:r>
        <w:rPr>
          <w:lang w:val="en_US" w:bidi="en_US"/>
        </w:rPr>
        <w:t>He was a good person, and he did what was right</w:t>
      </w:r>
    </w:p>
    <w:p>
      <w:pPr/>
      <w:r>
        <w:rPr>
          <w:lang w:val="en_US" w:bidi="en_US"/>
        </w:rPr>
      </w:r>
      <w:r>
        <w:rPr>
          <w:lang w:val="en_US" w:bidi="en_US"/>
        </w:rPr>
        <w:t xml:space="preserve">In this context, the words </w:t>
      </w:r>
      <w:r>
        <w:rPr>
          <w:i/>
          <w:lang w:val="en_US" w:bidi="en_US"/>
        </w:rPr>
        <w:t>good</w:t>
      </w:r>
      <w:r>
        <w:rPr>
          <w:lang w:val="en_US" w:bidi="en_US"/>
        </w:rPr>
        <w:t xml:space="preserve"> and </w:t>
      </w:r>
      <w:r>
        <w:rPr>
          <w:i/>
          <w:lang w:val="en_US" w:bidi="en_US"/>
        </w:rPr>
        <w:t>righteous</w:t>
      </w:r>
      <w:r>
        <w:rPr>
          <w:lang w:val="en_US" w:bidi="en_US"/>
        </w:rPr>
        <w:t xml:space="preserve"> have similar meanings. In some languages it may be more natural to translate them with a single phrase. For example:</w:t>
      </w:r>
    </w:p>
    <w:p>
      <w:pPr/>
      <w:r>
        <w:rPr>
          <w:lang w:val="en_US" w:bidi="en_US"/>
        </w:rPr>
      </w:r>
      <w:r>
        <w:rPr>
          <w:lang w:val="en_US" w:bidi="en_US"/>
        </w:rPr>
        <w:t>a truly good man</w:t>
      </w:r>
      <w:r>
        <w:rPr>
          <w:lang w:val="en_US" w:bidi="en_US"/>
        </w:rPr>
      </w:r>
      <w:r>
        <w:rPr>
          <w:lang w:val="en_US" w:bidi="en_US"/>
        </w:rPr>
      </w:r>
    </w:p>
    <w:p>
      <w:pPr/>
      <w:r>
        <w:rPr>
          <w:lang w:val="en_US" w:bidi="en_US"/>
        </w:rPr>
      </w:r>
    </w:p>
    <w:p>
      <w:pPr>
        <w:pStyle w:val="Heading2"/>
      </w:pPr>
      <w:r>
        <w:rPr>
          <w:lang w:val="en_US" w:bidi="en_US"/>
        </w:rPr>
        <w:t>Luke 23:51</w:t>
      </w:r>
      <w:r>
        <w:rPr>
          <w:lang w:val="en_US" w:bidi="en_US"/>
        </w:rPr>
      </w:r>
    </w:p>
    <w:p>
      <w:pPr>
        <w:pStyle w:val="Heading4"/>
      </w:pPr>
      <w:r>
        <w:rPr>
          <w:lang w:val="en_US" w:bidi="en_US"/>
        </w:rPr>
        <w:t>Section 23:50–56: Jesus was buried</w:t>
      </w:r>
    </w:p>
    <w:p>
      <w:pPr/>
      <w:r>
        <w:rPr>
          <w:lang w:val="en_US" w:bidi="en_US"/>
        </w:rPr>
      </w:r>
      <w:r>
        <w:rPr>
          <w:lang w:val="en_US" w:bidi="en_US"/>
        </w:rPr>
        <w:t>This section tells about how people buried Jesus’ body. Sometimes the Romans did not allow the body of a crucified person to be buried.</w:t>
      </w:r>
      <w:r>
        <w:rPr>
          <w:lang w:val="en_US" w:bidi="en_US"/>
        </w:rPr>
        <w:t>Nolland (p. 1166) says, “The bodies of condemned criminals were not always released for burial, especially in cases of treason….For the body to have stayed on the cross overnight would have been a violation of Jewish custom (for the most part, the Romans seem to have shown a sensitivity to this).”</w:t>
      </w:r>
      <w:r>
        <w:rPr>
          <w:lang w:val="en_US" w:bidi="en_US"/>
        </w:rPr>
        <w:t xml:space="preserve"> But for the Jews, a proper burial was important. It was their custom to bury the body on the same day that a person died. A respected Jewish man named Joseph decided that Jesus must have a proper burial. So Joseph went to Pilate and asked permission to take Jesus’ body and bury it.</w:t>
      </w:r>
    </w:p>
    <w:p>
      <w:pPr/>
      <w:r>
        <w:rPr>
          <w:lang w:val="en_US" w:bidi="en_US"/>
        </w:rPr>
      </w:r>
      <w:r>
        <w:rPr>
          <w:lang w:val="en_US" w:bidi="en_US"/>
        </w:rPr>
        <w:t>The Sabbath Day began just a few hours after Jesus died. On the Sabbath it was forbidden to move a dead body. So Joseph had to act quickly in all that he did.</w:t>
      </w:r>
    </w:p>
    <w:p>
      <w:pPr/>
      <w:r>
        <w:rPr>
          <w:lang w:val="en_US" w:bidi="en_US"/>
        </w:rPr>
      </w:r>
      <w:r>
        <w:rPr>
          <w:lang w:val="en_US" w:bidi="en_US"/>
        </w:rPr>
        <w:t>Examples of other headings for this section are:</w:t>
      </w:r>
    </w:p>
    <w:p>
      <w:pPr/>
      <w:r>
        <w:rPr>
          <w:lang w:val="en_US" w:bidi="en_US"/>
        </w:rPr>
      </w:r>
      <w:r>
        <w:rPr>
          <w:lang w:val="en_US" w:bidi="en_US"/>
        </w:rPr>
        <w:t>The Burial of Jesus (GNT)</w:t>
      </w:r>
    </w:p>
    <w:p>
      <w:pPr/>
      <w:r>
        <w:rPr>
          <w:lang w:val="en_US" w:bidi="en_US"/>
        </w:rPr>
      </w:r>
      <w:r>
        <w:rPr>
          <w:lang w:val="en_US" w:bidi="en_US"/>
        </w:rPr>
        <w:t>Jesus Is Buried (CEV)</w:t>
      </w:r>
    </w:p>
    <w:p>
      <w:pPr/>
      <w:r>
        <w:rPr>
          <w:lang w:val="en_US" w:bidi="en_US"/>
        </w:rPr>
      </w:r>
      <w:r>
        <w:rPr>
          <w:lang w:val="en_US" w:bidi="en_US"/>
        </w:rPr>
        <w:t>Joseph buried Jesus’ body</w:t>
      </w:r>
    </w:p>
    <w:p>
      <w:pPr/>
      <w:r>
        <w:rPr>
          <w:lang w:val="en_US" w:bidi="en_US"/>
        </w:rPr>
      </w:r>
      <w:r>
        <w:rPr>
          <w:lang w:val="en_US" w:bidi="en_US"/>
        </w:rPr>
        <w:t>Jesus’ corpse was placed in a burial cave</w:t>
      </w:r>
    </w:p>
    <w:p>
      <w:pPr/>
      <w:r>
        <w:rPr>
          <w:lang w:val="en_US" w:bidi="en_US"/>
        </w:rPr>
      </w:r>
      <w:r>
        <w:rPr>
          <w:lang w:val="en_US" w:bidi="en_US"/>
        </w:rPr>
        <w:t>Parallel passages for this section are found in Matthew 27:57–61, Mark 15:42–47, and John 19:38–42.</w:t>
      </w:r>
    </w:p>
    <w:p>
      <w:pPr>
        <w:pStyle w:val="Heading5"/>
      </w:pPr>
      <w:r>
        <w:rPr>
          <w:lang w:val="en_US" w:bidi="en_US"/>
        </w:rPr>
        <w:t>23:51a</w:t>
      </w:r>
    </w:p>
    <w:p>
      <w:pPr/>
      <w:r>
        <w:rPr>
          <w:lang w:val="en_US" w:bidi="en_US"/>
        </w:rPr>
      </w:r>
      <w:r>
        <w:rPr>
          <w:b/>
          <w:lang w:val="en_US" w:bidi="en_US"/>
        </w:rPr>
        <w:t>who had not consented to their decision or action.</w:t>
      </w:r>
    </w:p>
    <w:p>
      <w:pPr>
        <w:pStyle w:val="ListBullet"/>
        <w:spacing w:line="240" w:lineRule="auto"/>
        <w:ind w:left="720"/>
      </w:pPr>
      <w:r>
        <w:rPr>
          <w:lang w:val="en_US" w:bidi="en_US"/>
        </w:rPr>
      </w:r>
      <w:r>
        <w:rPr>
          <w:lang w:val="en_US" w:bidi="en_US"/>
        </w:rPr>
        <w:t xml:space="preserve">He did not consent to the plans/decision and actions of the court </w:t>
      </w:r>
      <w:r>
        <w:rPr>
          <w:lang w:val="en_US" w:bidi="en_US"/>
        </w:rPr>
        <w:t>against Jesus</w:t>
      </w:r>
      <w:r>
        <w:rPr>
          <w:lang w:val="en_US" w:bidi="en_US"/>
        </w:rPr>
        <w:t>.</w:t>
      </w:r>
    </w:p>
    <w:p>
      <w:pPr>
        <w:pStyle w:val="ListBullet"/>
        <w:spacing w:line="240" w:lineRule="auto"/>
        <w:ind w:left="720"/>
      </w:pPr>
      <w:r>
        <w:rPr>
          <w:lang w:val="en_US" w:bidi="en_US"/>
        </w:rPr>
      </w:r>
      <w:r>
        <w:rPr>
          <w:lang w:val="en_US" w:bidi="en_US"/>
        </w:rPr>
        <w:t>The other Jewish leaders/elders said that Jesus must be executed</w:t>
      </w:r>
      <w:r>
        <w:rPr>
          <w:lang w:val="en_US" w:bidi="en_US"/>
        </w:rPr>
        <w:t>, but he did not agree with them.</w:t>
      </w:r>
    </w:p>
    <w:p>
      <w:pPr/>
      <w:r>
        <w:rPr>
          <w:lang w:val="en_US" w:bidi="en_US"/>
        </w:rPr>
      </w:r>
      <w:r>
        <w:rPr>
          <w:b/>
          <w:lang w:val="en_US" w:bidi="en_US"/>
        </w:rPr>
        <w:t>who had not consented to their decision or action:</w:t>
      </w:r>
      <w:r>
        <w:rPr>
          <w:lang w:val="en_US" w:bidi="en_US"/>
        </w:rPr>
        <w:t xml:space="preserve"> This clause indicates that Joseph did not agree with what the other council members decided and did against Jesus. In some languages it may be necessary to indicate which </w:t>
      </w:r>
      <w:r>
        <w:rPr>
          <w:i/>
          <w:lang w:val="en_US" w:bidi="en_US"/>
        </w:rPr>
        <w:t>decision</w:t>
      </w:r>
      <w:r>
        <w:rPr>
          <w:lang w:val="en_US" w:bidi="en_US"/>
        </w:rPr>
        <w:t xml:space="preserve"> and </w:t>
      </w:r>
      <w:r>
        <w:rPr>
          <w:i/>
          <w:lang w:val="en_US" w:bidi="en_US"/>
        </w:rPr>
        <w:t>action</w:t>
      </w:r>
      <w:r>
        <w:rPr>
          <w:lang w:val="en_US" w:bidi="en_US"/>
        </w:rPr>
        <w:t xml:space="preserve"> the clause refers to. For example:</w:t>
      </w:r>
    </w:p>
    <w:p>
      <w:pPr/>
      <w:r>
        <w:rPr>
          <w:lang w:val="en_US" w:bidi="en_US"/>
        </w:rPr>
      </w:r>
      <w:r>
        <w:rPr>
          <w:lang w:val="en_US" w:bidi="en_US"/>
        </w:rPr>
        <w:t xml:space="preserve">he had not agreed to the other leaders’ plans and actions </w:t>
      </w:r>
      <w:r>
        <w:rPr>
          <w:u w:val="single"/>
          <w:lang w:val="en_US" w:bidi="en_US"/>
        </w:rPr>
        <w:t>against Jesus</w:t>
      </w:r>
      <w:r>
        <w:rPr>
          <w:lang w:val="en_US" w:bidi="en_US"/>
        </w:rPr>
        <w:t xml:space="preserve"> (NCV)</w:t>
      </w:r>
    </w:p>
    <w:p>
      <w:pPr/>
      <w:r>
        <w:rPr>
          <w:lang w:val="en_US" w:bidi="en_US"/>
        </w:rPr>
      </w:r>
      <w:r>
        <w:rPr>
          <w:lang w:val="en_US" w:bidi="en_US"/>
        </w:rPr>
        <w:t xml:space="preserve">In some languages it may be more natural to translate the words </w:t>
      </w:r>
      <w:r>
        <w:rPr>
          <w:i/>
          <w:lang w:val="en_US" w:bidi="en_US"/>
        </w:rPr>
        <w:t>decision</w:t>
      </w:r>
      <w:r>
        <w:rPr>
          <w:lang w:val="en_US" w:bidi="en_US"/>
        </w:rPr>
        <w:t xml:space="preserve"> and </w:t>
      </w:r>
      <w:r>
        <w:rPr>
          <w:i/>
          <w:lang w:val="en_US" w:bidi="en_US"/>
        </w:rPr>
        <w:t>action</w:t>
      </w:r>
      <w:r>
        <w:rPr>
          <w:lang w:val="en_US" w:bidi="en_US"/>
        </w:rPr>
        <w:t xml:space="preserve"> as verbs. For example:</w:t>
      </w:r>
    </w:p>
    <w:p>
      <w:pPr/>
      <w:r>
        <w:rPr>
          <w:lang w:val="en_US" w:bidi="en_US"/>
        </w:rPr>
      </w:r>
      <w:r>
        <w:rPr>
          <w:lang w:val="en_US" w:bidi="en_US"/>
        </w:rPr>
        <w:t xml:space="preserve">he did not agree with what the other council members </w:t>
      </w:r>
      <w:r>
        <w:rPr>
          <w:u w:val="single"/>
          <w:lang w:val="en_US" w:bidi="en_US"/>
        </w:rPr>
        <w:t>planned</w:t>
      </w:r>
      <w:r>
        <w:rPr>
          <w:lang w:val="en_US" w:bidi="en_US"/>
        </w:rPr>
        <w:t xml:space="preserve"> </w:t>
      </w:r>
      <w:r>
        <w:rPr>
          <w:lang w:val="en_US" w:bidi="en_US"/>
        </w:rPr>
        <w:t>against Jesus</w:t>
      </w:r>
      <w:r>
        <w:rPr>
          <w:lang w:val="en_US" w:bidi="en_US"/>
        </w:rPr>
        <w:t xml:space="preserve">, and he did not join them in what they </w:t>
      </w:r>
      <w:r>
        <w:rPr>
          <w:u w:val="single"/>
          <w:lang w:val="en_US" w:bidi="en_US"/>
        </w:rPr>
        <w:t>did</w:t>
      </w:r>
      <w:r>
        <w:rPr>
          <w:lang w:val="en_US" w:bidi="en_US"/>
        </w:rPr>
        <w:t xml:space="preserve"> </w:t>
      </w:r>
      <w:r>
        <w:rPr>
          <w:lang w:val="en_US" w:bidi="en_US"/>
        </w:rPr>
        <w:t>to him</w:t>
      </w:r>
    </w:p>
    <w:p>
      <w:pPr/>
      <w:r>
        <w:rPr>
          <w:lang w:val="en_US" w:bidi="en_US"/>
        </w:rPr>
      </w:r>
      <w:r>
        <w:rPr>
          <w:lang w:val="en_US" w:bidi="en_US"/>
        </w:rPr>
        <w:t xml:space="preserve">he did not agree with the other council members in </w:t>
      </w:r>
      <w:r>
        <w:rPr>
          <w:u w:val="single"/>
          <w:lang w:val="en_US" w:bidi="en_US"/>
        </w:rPr>
        <w:t>deciding</w:t>
      </w:r>
      <w:r>
        <w:rPr>
          <w:lang w:val="en_US" w:bidi="en_US"/>
        </w:rPr>
        <w:t xml:space="preserve"> </w:t>
      </w:r>
      <w:r>
        <w:rPr>
          <w:lang w:val="en_US" w:bidi="en_US"/>
        </w:rPr>
        <w:t>that Jesus should die</w:t>
      </w:r>
      <w:r>
        <w:rPr>
          <w:lang w:val="en_US" w:bidi="en_US"/>
        </w:rPr>
        <w:t xml:space="preserve"> or in </w:t>
      </w:r>
      <w:r>
        <w:rPr>
          <w:u w:val="single"/>
          <w:lang w:val="en_US" w:bidi="en_US"/>
        </w:rPr>
        <w:t>causing</w:t>
      </w:r>
      <w:r>
        <w:rPr>
          <w:lang w:val="en_US" w:bidi="en_US"/>
        </w:rPr>
        <w:t xml:space="preserve"> </w:t>
      </w:r>
      <w:r>
        <w:rPr>
          <w:lang w:val="en_US" w:bidi="en_US"/>
        </w:rPr>
        <w:t>him to be killed</w:t>
      </w:r>
    </w:p>
    <w:p>
      <w:pPr/>
      <w:r>
        <w:rPr>
          <w:lang w:val="en_US" w:bidi="en_US"/>
        </w:rPr>
      </w:r>
      <w:r>
        <w:rPr>
          <w:b/>
          <w:lang w:val="en_US" w:bidi="en_US"/>
        </w:rPr>
        <w:t>decision:</w:t>
      </w:r>
      <w:r>
        <w:rPr>
          <w:lang w:val="en_US" w:bidi="en_US"/>
        </w:rPr>
        <w:t xml:space="preserve"> The Greek word that the BSB translates as </w:t>
      </w:r>
      <w:r>
        <w:rPr>
          <w:i/>
          <w:lang w:val="en_US" w:bidi="en_US"/>
        </w:rPr>
        <w:t>decision</w:t>
      </w:r>
      <w:r>
        <w:rPr>
          <w:lang w:val="en_US" w:bidi="en_US"/>
        </w:rPr>
        <w:t xml:space="preserve"> can refer to either a decision or a plan. In this context the Council decided that Jesus was guilty and that he should be executed. They planned to ask Pilate to execute/kill him. Joseph did not agree with this plan or decision. See the translation examples in the note above.</w:t>
      </w:r>
    </w:p>
    <w:p>
      <w:pPr/>
      <w:r>
        <w:rPr>
          <w:lang w:val="en_US" w:bidi="en_US"/>
        </w:rPr>
      </w:r>
      <w:r>
        <w:rPr>
          <w:b/>
          <w:lang w:val="en_US" w:bidi="en_US"/>
        </w:rPr>
        <w:t>action:</w:t>
      </w:r>
      <w:r>
        <w:rPr>
          <w:lang w:val="en_US" w:bidi="en_US"/>
        </w:rPr>
        <w:t xml:space="preserve"> The word </w:t>
      </w:r>
      <w:r>
        <w:rPr>
          <w:i/>
          <w:lang w:val="en_US" w:bidi="en_US"/>
        </w:rPr>
        <w:t>action</w:t>
      </w:r>
      <w:r>
        <w:rPr>
          <w:lang w:val="en_US" w:bidi="en_US"/>
        </w:rPr>
        <w:t xml:space="preserve"> refers here to what the Jewish leaders did against Jesus. They accused him to Pilate and asked Pilate to crucify him. In that way, they caused Jesus to be killed. Joseph did not agree that they should do that.</w:t>
      </w:r>
    </w:p>
    <w:p>
      <w:pPr>
        <w:pStyle w:val="Heading5"/>
      </w:pPr>
      <w:r>
        <w:rPr>
          <w:lang w:val="en_US" w:bidi="en_US"/>
        </w:rPr>
        <w:t>23:51b</w:t>
      </w:r>
    </w:p>
    <w:p>
      <w:pPr/>
      <w:r>
        <w:rPr>
          <w:lang w:val="en_US" w:bidi="en_US"/>
        </w:rPr>
      </w:r>
      <w:r>
        <w:rPr>
          <w:b/>
          <w:lang w:val="en_US" w:bidi="en_US"/>
        </w:rPr>
        <w:t>He was from the Judean town of Arimathea,</w:t>
      </w:r>
    </w:p>
    <w:p>
      <w:pPr>
        <w:pStyle w:val="ListBullet"/>
        <w:spacing w:line="240" w:lineRule="auto"/>
        <w:ind w:left="720"/>
      </w:pPr>
      <w:r>
        <w:rPr>
          <w:lang w:val="en_US" w:bidi="en_US"/>
        </w:rPr>
      </w:r>
      <w:r>
        <w:rPr>
          <w:lang w:val="en_US" w:bidi="en_US"/>
        </w:rPr>
        <w:t>Joseph came from Arimathea, a town in Judea.</w:t>
      </w:r>
    </w:p>
    <w:p>
      <w:pPr>
        <w:pStyle w:val="ListBullet"/>
        <w:spacing w:line="240" w:lineRule="auto"/>
        <w:ind w:left="720"/>
      </w:pPr>
      <w:r>
        <w:rPr>
          <w:lang w:val="en_US" w:bidi="en_US"/>
        </w:rPr>
      </w:r>
      <w:r>
        <w:rPr>
          <w:lang w:val="en_US" w:bidi="en_US"/>
        </w:rPr>
        <w:t xml:space="preserve">His home town was Arimathea, which was located in </w:t>
      </w:r>
      <w:r>
        <w:rPr>
          <w:lang w:val="en_US" w:bidi="en_US"/>
        </w:rPr>
        <w:t>the region/province of</w:t>
      </w:r>
      <w:r>
        <w:rPr>
          <w:lang w:val="en_US" w:bidi="en_US"/>
        </w:rPr>
        <w:t xml:space="preserve"> Judea.</w:t>
      </w:r>
    </w:p>
    <w:p>
      <w:pPr/>
      <w:r>
        <w:rPr>
          <w:lang w:val="en_US" w:bidi="en_US"/>
        </w:rPr>
      </w:r>
      <w:r>
        <w:rPr>
          <w:b/>
          <w:lang w:val="en_US" w:bidi="en_US"/>
        </w:rPr>
        <w:t>He was from the Judean town of Arimathea:</w:t>
      </w:r>
      <w:r>
        <w:rPr>
          <w:lang w:val="en_US" w:bidi="en_US"/>
        </w:rPr>
        <w:t xml:space="preserve"> </w:t>
      </w:r>
      <w:r>
        <w:rPr>
          <w:i/>
          <w:lang w:val="en_US" w:bidi="en_US"/>
        </w:rPr>
        <w:t>Arimathea</w:t>
      </w:r>
      <w:r>
        <w:rPr>
          <w:lang w:val="en_US" w:bidi="en_US"/>
        </w:rPr>
        <w:t xml:space="preserve"> was the name of Joseph’s home town. Scholars think it may be the same town as Ramah in the Old Testament. That town was about twenty miles northwest of Jerusalem. Luke called it a Jewish town because it probably was part of the district of Judea at the time Jesus died. Here is another way to translate this:</w:t>
      </w:r>
    </w:p>
    <w:p>
      <w:pPr/>
      <w:r>
        <w:rPr>
          <w:lang w:val="en_US" w:bidi="en_US"/>
        </w:rPr>
      </w:r>
      <w:r>
        <w:rPr>
          <w:lang w:val="en_US" w:bidi="en_US"/>
        </w:rPr>
        <w:t>He was from the Jewish town of Arimathea (NCV)</w:t>
      </w:r>
    </w:p>
    <w:p>
      <w:pPr>
        <w:pStyle w:val="Heading5"/>
      </w:pPr>
      <w:r>
        <w:rPr>
          <w:lang w:val="en_US" w:bidi="en_US"/>
        </w:rPr>
        <w:t>23:51c</w:t>
      </w:r>
    </w:p>
    <w:p>
      <w:pPr/>
      <w:r>
        <w:rPr>
          <w:lang w:val="en_US" w:bidi="en_US"/>
        </w:rPr>
      </w:r>
      <w:r>
        <w:rPr>
          <w:b/>
          <w:lang w:val="en_US" w:bidi="en_US"/>
        </w:rPr>
        <w:t>and was waiting for the kingdom of God.</w:t>
      </w:r>
    </w:p>
    <w:p>
      <w:pPr>
        <w:pStyle w:val="ListBullet"/>
        <w:spacing w:line="240" w:lineRule="auto"/>
        <w:ind w:left="720"/>
      </w:pPr>
      <w:r>
        <w:rPr>
          <w:lang w:val="en_US" w:bidi="en_US"/>
        </w:rPr>
      </w:r>
      <w:r>
        <w:rPr>
          <w:lang w:val="en_US" w:bidi="en_US"/>
        </w:rPr>
        <w:t xml:space="preserve">He was expecting God’s rule/reign </w:t>
      </w:r>
      <w:r>
        <w:rPr>
          <w:lang w:val="en_US" w:bidi="en_US"/>
        </w:rPr>
        <w:t>to begin</w:t>
      </w:r>
      <w:r>
        <w:rPr>
          <w:lang w:val="en_US" w:bidi="en_US"/>
        </w:rPr>
        <w:t>.</w:t>
      </w:r>
    </w:p>
    <w:p>
      <w:pPr>
        <w:pStyle w:val="ListBullet"/>
        <w:spacing w:line="240" w:lineRule="auto"/>
        <w:ind w:left="720"/>
      </w:pPr>
      <w:r>
        <w:rPr>
          <w:lang w:val="en_US" w:bidi="en_US"/>
        </w:rPr>
      </w:r>
      <w:r>
        <w:rPr>
          <w:lang w:val="en_US" w:bidi="en_US"/>
        </w:rPr>
        <w:t xml:space="preserve">He was eager for God to </w:t>
      </w:r>
      <w:r>
        <w:rPr>
          <w:lang w:val="en_US" w:bidi="en_US"/>
        </w:rPr>
        <w:t>send the Messiah/Christ to</w:t>
      </w:r>
      <w:r>
        <w:rPr>
          <w:lang w:val="en_US" w:bidi="en_US"/>
        </w:rPr>
        <w:t xml:space="preserve"> establish his reign </w:t>
      </w:r>
      <w:r>
        <w:rPr>
          <w:lang w:val="en_US" w:bidi="en_US"/>
        </w:rPr>
        <w:t>over all people</w:t>
      </w:r>
      <w:r>
        <w:rPr>
          <w:lang w:val="en_US" w:bidi="en_US"/>
        </w:rPr>
        <w:t>.</w:t>
      </w:r>
    </w:p>
    <w:p>
      <w:pPr>
        <w:pStyle w:val="ListBullet"/>
        <w:spacing w:line="240" w:lineRule="auto"/>
        <w:ind w:left="720"/>
      </w:pPr>
      <w:r>
        <w:rPr>
          <w:lang w:val="en_US" w:bidi="en_US"/>
        </w:rPr>
      </w:r>
      <w:r>
        <w:rPr>
          <w:lang w:val="en_US" w:bidi="en_US"/>
        </w:rPr>
        <w:t xml:space="preserve">He </w:t>
      </w:r>
      <w:r>
        <w:rPr>
          <w:lang w:val="en_US" w:bidi="en_US"/>
        </w:rPr>
        <w:t>continually</w:t>
      </w:r>
      <w:r>
        <w:rPr>
          <w:lang w:val="en_US" w:bidi="en_US"/>
        </w:rPr>
        <w:t xml:space="preserve"> hoped/waited for </w:t>
      </w:r>
      <w:r>
        <w:rPr>
          <w:lang w:val="en_US" w:bidi="en_US"/>
        </w:rPr>
        <w:t>the time</w:t>
      </w:r>
      <w:r>
        <w:rPr>
          <w:lang w:val="en_US" w:bidi="en_US"/>
        </w:rPr>
        <w:t xml:space="preserve"> when God would rule </w:t>
      </w:r>
      <w:r>
        <w:rPr>
          <w:lang w:val="en_US" w:bidi="en_US"/>
        </w:rPr>
        <w:t>all people</w:t>
      </w:r>
      <w:r>
        <w:rPr>
          <w:lang w:val="en_US" w:bidi="en_US"/>
        </w:rPr>
        <w:t xml:space="preserve"> as king.</w:t>
      </w:r>
    </w:p>
    <w:p>
      <w:pPr/>
      <w:r>
        <w:rPr>
          <w:lang w:val="en_US" w:bidi="en_US"/>
        </w:rPr>
      </w:r>
      <w:r>
        <w:rPr>
          <w:b/>
          <w:lang w:val="en_US" w:bidi="en_US"/>
        </w:rPr>
        <w:t>and was waiting for the kingdom of God:</w:t>
      </w:r>
      <w:r>
        <w:rPr>
          <w:lang w:val="en_US" w:bidi="en_US"/>
        </w:rPr>
        <w:t xml:space="preserve"> In this context the word </w:t>
      </w:r>
      <w:r>
        <w:rPr>
          <w:i/>
          <w:lang w:val="en_US" w:bidi="en_US"/>
        </w:rPr>
        <w:t>waiting</w:t>
      </w:r>
      <w:r>
        <w:rPr>
          <w:lang w:val="en_US" w:bidi="en_US"/>
        </w:rPr>
        <w:t xml:space="preserve"> means “hopefully expecting.” Joseph expected and desired the kingdom of God. The phrase </w:t>
      </w:r>
      <w:r>
        <w:rPr>
          <w:i/>
          <w:lang w:val="en_US" w:bidi="en_US"/>
        </w:rPr>
        <w:t>kingdom of God</w:t>
      </w:r>
      <w:r>
        <w:rPr>
          <w:lang w:val="en_US" w:bidi="en_US"/>
        </w:rPr>
        <w:t xml:space="preserve"> refers to God’s activity of ruling and caring for his people as their king. It does not refer to a land or territory that he rules over.</w:t>
      </w:r>
    </w:p>
    <w:p>
      <w:pPr/>
      <w:r>
        <w:rPr>
          <w:lang w:val="en_US" w:bidi="en_US"/>
        </w:rPr>
      </w:r>
      <w:r>
        <w:rPr>
          <w:lang w:val="en_US" w:bidi="en_US"/>
        </w:rPr>
        <w:t xml:space="preserve">Some ways to translate </w:t>
      </w:r>
      <w:r>
        <w:rPr>
          <w:i/>
          <w:lang w:val="en_US" w:bidi="en_US"/>
        </w:rPr>
        <w:t>was waiting for the kingdom of God</w:t>
      </w:r>
      <w:r>
        <w:rPr>
          <w:lang w:val="en_US" w:bidi="en_US"/>
        </w:rPr>
        <w:t xml:space="preserve"> are:</w:t>
      </w:r>
    </w:p>
    <w:p>
      <w:pPr/>
      <w:r>
        <w:rPr>
          <w:lang w:val="en_US" w:bidi="en_US"/>
        </w:rPr>
      </w:r>
      <w:r>
        <w:rPr>
          <w:lang w:val="en_US" w:bidi="en_US"/>
        </w:rPr>
        <w:t>he was expecting God’s rule/reign</w:t>
      </w:r>
    </w:p>
    <w:p>
      <w:pPr/>
      <w:r>
        <w:rPr>
          <w:lang w:val="en_US" w:bidi="en_US"/>
        </w:rPr>
      </w:r>
      <w:r>
        <w:rPr>
          <w:lang w:val="en_US" w:bidi="en_US"/>
        </w:rPr>
        <w:t>he hoped/waited for the time when God will rule</w:t>
      </w:r>
    </w:p>
    <w:p>
      <w:pPr/>
      <w:r>
        <w:rPr>
          <w:lang w:val="en_US" w:bidi="en_US"/>
        </w:rPr>
      </w:r>
      <w:r>
        <w:rPr>
          <w:lang w:val="en_US" w:bidi="en_US"/>
        </w:rPr>
        <w:t>In some languages there may be an idiom to describe this. For example:</w:t>
      </w:r>
    </w:p>
    <w:p>
      <w:pPr/>
      <w:r>
        <w:rPr>
          <w:lang w:val="en_US" w:bidi="en_US"/>
        </w:rPr>
      </w:r>
      <w:r>
        <w:rPr>
          <w:lang w:val="en_US" w:bidi="en_US"/>
        </w:rPr>
        <w:t xml:space="preserve">he </w:t>
      </w:r>
      <w:r>
        <w:rPr>
          <w:u w:val="single"/>
          <w:lang w:val="en_US" w:bidi="en_US"/>
        </w:rPr>
        <w:t>set his heart on</w:t>
      </w:r>
      <w:r>
        <w:rPr>
          <w:lang w:val="en_US" w:bidi="en_US"/>
        </w:rPr>
        <w:t xml:space="preserve"> the time when God will protect/deliver his people as their king</w:t>
      </w:r>
    </w:p>
    <w:p>
      <w:pPr/>
      <w:r>
        <w:rPr>
          <w:lang w:val="en_US" w:bidi="en_US"/>
        </w:rPr>
      </w:r>
      <w:r>
        <w:rPr>
          <w:lang w:val="en_US" w:bidi="en_US"/>
        </w:rPr>
        <w:t xml:space="preserve">he </w:t>
      </w:r>
      <w:r>
        <w:rPr>
          <w:u w:val="single"/>
          <w:lang w:val="en_US" w:bidi="en_US"/>
        </w:rPr>
        <w:t>was looking forward to</w:t>
      </w:r>
      <w:r>
        <w:rPr>
          <w:lang w:val="en_US" w:bidi="en_US"/>
        </w:rPr>
        <w:t xml:space="preserve"> the time when God will rule all people (TRT)</w:t>
      </w:r>
    </w:p>
    <w:p>
      <w:pPr/>
      <w:r>
        <w:rPr>
          <w:lang w:val="en_US" w:bidi="en_US"/>
        </w:rPr>
      </w:r>
      <w:r>
        <w:rPr>
          <w:lang w:val="en_US" w:bidi="en_US"/>
        </w:rPr>
        <w:t>Many Jewish people were expecting God to send his Messiah to establish God’s reign on earth. This context implies that Joseph also expected the Messiah. He may have believed that Jesus was the Messiah. In some languages it may be helpful to make this explicit. For example:</w:t>
      </w:r>
    </w:p>
    <w:p>
      <w:pPr/>
      <w:r>
        <w:rPr>
          <w:lang w:val="en_US" w:bidi="en_US"/>
        </w:rPr>
      </w:r>
      <w:r>
        <w:rPr>
          <w:lang w:val="en_US" w:bidi="en_US"/>
        </w:rPr>
        <w:t xml:space="preserve">He was waiting for </w:t>
      </w:r>
      <w:r>
        <w:rPr>
          <w:lang w:val="en_US" w:bidi="en_US"/>
        </w:rPr>
        <w:t>the Messiah/Christ to establish</w:t>
      </w:r>
      <w:r>
        <w:rPr>
          <w:lang w:val="en_US" w:bidi="en_US"/>
        </w:rPr>
        <w:t xml:space="preserve"> God’s chieftaincy/rule</w:t>
      </w:r>
    </w:p>
    <w:p>
      <w:pPr/>
      <w:r>
        <w:rPr>
          <w:lang w:val="en_US" w:bidi="en_US"/>
        </w:rPr>
      </w:r>
      <w:r>
        <w:rPr>
          <w:lang w:val="en_US" w:bidi="en_US"/>
        </w:rPr>
        <w:t>He was…expecting God to send his anointed one and reveal his kingship</w:t>
      </w:r>
      <w:r>
        <w:rPr>
          <w:lang w:val="en_US" w:bidi="en_US"/>
        </w:rPr>
        <w:t>CONNOT on TW.</w:t>
      </w:r>
    </w:p>
    <w:p>
      <w:pPr/>
      <w:r>
        <w:rPr>
          <w:lang w:val="en_US" w:bidi="en_US"/>
        </w:rPr>
      </w:r>
      <w:r>
        <w:rPr>
          <w:lang w:val="en_US" w:bidi="en_US"/>
        </w:rPr>
        <w:t>For more help on how to translate 23:51c, see the notes on 17:20a–b and kingdom of God in the Glossary.</w:t>
      </w:r>
    </w:p>
    <w:p>
      <w:pPr>
        <w:pStyle w:val="Heading6"/>
      </w:pPr>
      <w:r>
        <w:rPr>
          <w:b/>
          <w:lang w:val="en_US" w:bidi="en_US"/>
        </w:rPr>
        <w:t>General Comment on 23:50–51</w:t>
      </w:r>
    </w:p>
    <w:p>
      <w:pPr/>
      <w:r>
        <w:rPr>
          <w:lang w:val="en_US" w:bidi="en_US"/>
        </w:rPr>
      </w:r>
      <w:r>
        <w:rPr>
          <w:lang w:val="en_US" w:bidi="en_US"/>
        </w:rPr>
        <w:t>In some languages it may be more natural to change the order of information in these two verses. It may be better to translate the background information about Joseph before saying how he disagreed with the Jewish council. For example:</w:t>
      </w:r>
    </w:p>
    <w:p>
      <w:pPr/>
      <w:r>
        <w:rPr>
          <w:lang w:val="en_US" w:bidi="en_US"/>
        </w:rPr>
      </w:r>
      <w:r>
        <w:rPr>
          <w:vertAlign w:val="superscript"/>
          <w:lang w:val="en_US" w:bidi="en_US"/>
        </w:rPr>
        <w:t>50a</w:t>
      </w:r>
      <w:r>
        <w:rPr>
          <w:lang w:val="en_US" w:bidi="en_US"/>
        </w:rPr>
        <w:t xml:space="preserve">One of the council members was Joseph </w:t>
      </w:r>
      <w:r>
        <w:rPr>
          <w:vertAlign w:val="superscript"/>
          <w:lang w:val="en_US" w:bidi="en_US"/>
        </w:rPr>
        <w:t>51b</w:t>
      </w:r>
      <w:r>
        <w:rPr>
          <w:lang w:val="en_US" w:bidi="en_US"/>
        </w:rPr>
        <w:t xml:space="preserve">from the town of Arimathea in Judea. </w:t>
      </w:r>
      <w:r>
        <w:rPr>
          <w:vertAlign w:val="superscript"/>
          <w:lang w:val="en_US" w:bidi="en_US"/>
        </w:rPr>
        <w:t>50b</w:t>
      </w:r>
      <w:r>
        <w:rPr>
          <w:lang w:val="en_US" w:bidi="en_US"/>
        </w:rPr>
        <w:t xml:space="preserve">He was a good and righteous man </w:t>
      </w:r>
      <w:r>
        <w:rPr>
          <w:vertAlign w:val="superscript"/>
          <w:lang w:val="en_US" w:bidi="en_US"/>
        </w:rPr>
        <w:t>51c</w:t>
      </w:r>
      <w:r>
        <w:rPr>
          <w:lang w:val="en_US" w:bidi="en_US"/>
        </w:rPr>
        <w:t xml:space="preserve">who was waiting </w:t>
      </w:r>
      <w:r>
        <w:rPr>
          <w:lang w:val="en_US" w:bidi="en_US"/>
        </w:rPr>
        <w:t>expectantly</w:t>
      </w:r>
      <w:r>
        <w:rPr>
          <w:lang w:val="en_US" w:bidi="en_US"/>
        </w:rPr>
        <w:t xml:space="preserve"> for the kingdom of God </w:t>
      </w:r>
      <w:r>
        <w:rPr>
          <w:lang w:val="en_US" w:bidi="en_US"/>
        </w:rPr>
        <w:t>to come</w:t>
      </w:r>
      <w:r>
        <w:rPr>
          <w:lang w:val="en_US" w:bidi="en_US"/>
        </w:rPr>
        <w:t xml:space="preserve">. </w:t>
      </w:r>
      <w:r>
        <w:rPr>
          <w:vertAlign w:val="superscript"/>
          <w:lang w:val="en_US" w:bidi="en_US"/>
        </w:rPr>
        <w:t>51a</w:t>
      </w:r>
      <w:r>
        <w:rPr>
          <w:lang w:val="en_US" w:bidi="en_US"/>
        </w:rPr>
        <w:t>He had not agreed with what the rest of the Council had decided to do or with what they had done.</w:t>
      </w:r>
    </w:p>
    <w:p>
      <w:pPr/>
      <w:r>
        <w:rPr>
          <w:lang w:val="en_US" w:bidi="en_US"/>
        </w:rPr>
      </w:r>
      <w:r>
        <w:rPr>
          <w:lang w:val="en_US" w:bidi="en_US"/>
        </w:rPr>
        <w:t>Here is another way to reorder these verses:</w:t>
      </w:r>
    </w:p>
    <w:p>
      <w:pPr/>
      <w:r>
        <w:rPr>
          <w:lang w:val="en_US" w:bidi="en_US"/>
        </w:rPr>
      </w:r>
      <w:r>
        <w:rPr>
          <w:vertAlign w:val="superscript"/>
          <w:lang w:val="en_US" w:bidi="en_US"/>
        </w:rPr>
        <w:t>50a</w:t>
      </w:r>
      <w:r>
        <w:rPr>
          <w:lang w:val="en_US" w:bidi="en_US"/>
        </w:rPr>
        <w:t xml:space="preserve">There was a man named Joseph </w:t>
      </w:r>
      <w:r>
        <w:rPr>
          <w:vertAlign w:val="superscript"/>
          <w:lang w:val="en_US" w:bidi="en_US"/>
        </w:rPr>
        <w:t>51b</w:t>
      </w:r>
      <w:r>
        <w:rPr>
          <w:lang w:val="en_US" w:bidi="en_US"/>
        </w:rPr>
        <w:t xml:space="preserve">from Arimathea, a town in Judea. </w:t>
      </w:r>
      <w:r>
        <w:rPr>
          <w:vertAlign w:val="superscript"/>
          <w:lang w:val="en_US" w:bidi="en_US"/>
        </w:rPr>
        <w:t>50b</w:t>
      </w:r>
      <w:r>
        <w:rPr>
          <w:lang w:val="en_US" w:bidi="en_US"/>
        </w:rPr>
        <w:t xml:space="preserve">He was a good and honorable man, </w:t>
      </w:r>
      <w:r>
        <w:rPr>
          <w:vertAlign w:val="superscript"/>
          <w:lang w:val="en_US" w:bidi="en_US"/>
        </w:rPr>
        <w:t>51c</w:t>
      </w:r>
      <w:r>
        <w:rPr>
          <w:lang w:val="en_US" w:bidi="en_US"/>
        </w:rPr>
        <w:t xml:space="preserve">who was waiting for the coming of the Kingdom of God. </w:t>
      </w:r>
      <w:r>
        <w:rPr>
          <w:vertAlign w:val="superscript"/>
          <w:lang w:val="en_US" w:bidi="en_US"/>
        </w:rPr>
        <w:t>50a</w:t>
      </w:r>
      <w:r>
        <w:rPr>
          <w:lang w:val="en_US" w:bidi="en_US"/>
        </w:rPr>
        <w:t xml:space="preserve">Although he was a member of the Council, </w:t>
      </w:r>
      <w:r>
        <w:rPr>
          <w:vertAlign w:val="superscript"/>
          <w:lang w:val="en_US" w:bidi="en_US"/>
        </w:rPr>
        <w:t>51a</w:t>
      </w:r>
      <w:r>
        <w:rPr>
          <w:lang w:val="en_US" w:bidi="en_US"/>
        </w:rPr>
        <w:t>he had not agreed with their decision and action. (GNT)</w:t>
      </w:r>
    </w:p>
    <w:p>
      <w:pPr/>
      <w:r>
        <w:rPr>
          <w:lang w:val="en_US" w:bidi="en_US"/>
        </w:rPr>
      </w:r>
      <w:r>
        <w:rPr>
          <w:lang w:val="en_US" w:bidi="en_US"/>
        </w:rPr>
        <w:t>Translate the information in a natural order in your language.</w:t>
      </w:r>
      <w:r>
        <w:rPr>
          <w:lang w:val="en_US" w:bidi="en_US"/>
        </w:rPr>
      </w:r>
      <w:r>
        <w:rPr>
          <w:lang w:val="en_US" w:bidi="en_US"/>
        </w:rPr>
      </w:r>
    </w:p>
    <w:p>
      <w:pPr/>
      <w:r>
        <w:rPr>
          <w:lang w:val="en_US" w:bidi="en_US"/>
        </w:rPr>
      </w:r>
    </w:p>
    <w:p>
      <w:pPr>
        <w:pStyle w:val="Heading2"/>
      </w:pPr>
      <w:r>
        <w:rPr>
          <w:lang w:val="en_US" w:bidi="en_US"/>
        </w:rPr>
        <w:t>Luke 23:52</w:t>
      </w:r>
      <w:r>
        <w:rPr>
          <w:lang w:val="en_US" w:bidi="en_US"/>
        </w:rPr>
      </w:r>
    </w:p>
    <w:p>
      <w:pPr>
        <w:pStyle w:val="Heading4"/>
      </w:pPr>
      <w:r>
        <w:rPr>
          <w:lang w:val="en_US" w:bidi="en_US"/>
        </w:rPr>
        <w:t>Section 23:50–56: Jesus was buried</w:t>
      </w:r>
    </w:p>
    <w:p>
      <w:pPr/>
      <w:r>
        <w:rPr>
          <w:lang w:val="en_US" w:bidi="en_US"/>
        </w:rPr>
      </w:r>
      <w:r>
        <w:rPr>
          <w:lang w:val="en_US" w:bidi="en_US"/>
        </w:rPr>
        <w:t>This section tells about how people buried Jesus’ body. Sometimes the Romans did not allow the body of a crucified person to be buried.</w:t>
      </w:r>
      <w:r>
        <w:rPr>
          <w:lang w:val="en_US" w:bidi="en_US"/>
        </w:rPr>
        <w:t>Nolland (p. 1166) says, “The bodies of condemned criminals were not always released for burial, especially in cases of treason….For the body to have stayed on the cross overnight would have been a violation of Jewish custom (for the most part, the Romans seem to have shown a sensitivity to this).”</w:t>
      </w:r>
      <w:r>
        <w:rPr>
          <w:lang w:val="en_US" w:bidi="en_US"/>
        </w:rPr>
        <w:t xml:space="preserve"> But for the Jews, a proper burial was important. It was their custom to bury the body on the same day that a person died. A respected Jewish man named Joseph decided that Jesus must have a proper burial. So Joseph went to Pilate and asked permission to take Jesus’ body and bury it.</w:t>
      </w:r>
    </w:p>
    <w:p>
      <w:pPr/>
      <w:r>
        <w:rPr>
          <w:lang w:val="en_US" w:bidi="en_US"/>
        </w:rPr>
      </w:r>
      <w:r>
        <w:rPr>
          <w:lang w:val="en_US" w:bidi="en_US"/>
        </w:rPr>
        <w:t>The Sabbath Day began just a few hours after Jesus died. On the Sabbath it was forbidden to move a dead body. So Joseph had to act quickly in all that he did.</w:t>
      </w:r>
    </w:p>
    <w:p>
      <w:pPr/>
      <w:r>
        <w:rPr>
          <w:lang w:val="en_US" w:bidi="en_US"/>
        </w:rPr>
      </w:r>
      <w:r>
        <w:rPr>
          <w:lang w:val="en_US" w:bidi="en_US"/>
        </w:rPr>
        <w:t>Examples of other headings for this section are:</w:t>
      </w:r>
    </w:p>
    <w:p>
      <w:pPr/>
      <w:r>
        <w:rPr>
          <w:lang w:val="en_US" w:bidi="en_US"/>
        </w:rPr>
      </w:r>
      <w:r>
        <w:rPr>
          <w:lang w:val="en_US" w:bidi="en_US"/>
        </w:rPr>
        <w:t>The Burial of Jesus (GNT)</w:t>
      </w:r>
    </w:p>
    <w:p>
      <w:pPr/>
      <w:r>
        <w:rPr>
          <w:lang w:val="en_US" w:bidi="en_US"/>
        </w:rPr>
      </w:r>
      <w:r>
        <w:rPr>
          <w:lang w:val="en_US" w:bidi="en_US"/>
        </w:rPr>
        <w:t>Jesus Is Buried (CEV)</w:t>
      </w:r>
    </w:p>
    <w:p>
      <w:pPr/>
      <w:r>
        <w:rPr>
          <w:lang w:val="en_US" w:bidi="en_US"/>
        </w:rPr>
      </w:r>
      <w:r>
        <w:rPr>
          <w:lang w:val="en_US" w:bidi="en_US"/>
        </w:rPr>
        <w:t>Joseph buried Jesus’ body</w:t>
      </w:r>
    </w:p>
    <w:p>
      <w:pPr/>
      <w:r>
        <w:rPr>
          <w:lang w:val="en_US" w:bidi="en_US"/>
        </w:rPr>
      </w:r>
      <w:r>
        <w:rPr>
          <w:lang w:val="en_US" w:bidi="en_US"/>
        </w:rPr>
        <w:t>Jesus’ corpse was placed in a burial cave</w:t>
      </w:r>
    </w:p>
    <w:p>
      <w:pPr/>
      <w:r>
        <w:rPr>
          <w:lang w:val="en_US" w:bidi="en_US"/>
        </w:rPr>
      </w:r>
      <w:r>
        <w:rPr>
          <w:lang w:val="en_US" w:bidi="en_US"/>
        </w:rPr>
        <w:t>Parallel passages for this section are found in Matthew 27:57–61, Mark 15:42–47, and John 19:38–42.</w:t>
      </w:r>
    </w:p>
    <w:p>
      <w:pPr>
        <w:pStyle w:val="Heading5"/>
      </w:pPr>
      <w:r>
        <w:rPr>
          <w:lang w:val="en_US" w:bidi="en_US"/>
        </w:rPr>
        <w:t>23:52a</w:t>
      </w:r>
    </w:p>
    <w:p>
      <w:pPr/>
      <w:r>
        <w:rPr>
          <w:lang w:val="en_US" w:bidi="en_US"/>
        </w:rPr>
      </w:r>
      <w:r>
        <w:rPr>
          <w:b/>
          <w:lang w:val="en_US" w:bidi="en_US"/>
        </w:rPr>
        <w:t>He went to Pilate</w:t>
      </w:r>
    </w:p>
    <w:p>
      <w:pPr>
        <w:pStyle w:val="ListBullet"/>
        <w:spacing w:line="240" w:lineRule="auto"/>
        <w:ind w:left="720"/>
      </w:pPr>
      <w:r>
        <w:rPr>
          <w:lang w:val="en_US" w:bidi="en_US"/>
        </w:rPr>
      </w:r>
      <w:r>
        <w:rPr>
          <w:lang w:val="en_US" w:bidi="en_US"/>
        </w:rPr>
        <w:t>This man Joseph went to Pilate</w:t>
      </w:r>
    </w:p>
    <w:p>
      <w:pPr>
        <w:pStyle w:val="ListBullet"/>
        <w:spacing w:line="240" w:lineRule="auto"/>
        <w:ind w:left="720"/>
      </w:pPr>
      <w:r>
        <w:rPr>
          <w:lang w:val="en_US" w:bidi="en_US"/>
        </w:rPr>
      </w:r>
      <w:r>
        <w:rPr>
          <w:lang w:val="en_US" w:bidi="en_US"/>
        </w:rPr>
        <w:t>After Jesus died,</w:t>
      </w:r>
      <w:r>
        <w:rPr>
          <w:lang w:val="en_US" w:bidi="en_US"/>
        </w:rPr>
        <w:t xml:space="preserve"> Joseph went to Pilate, </w:t>
      </w:r>
      <w:r>
        <w:rPr>
          <w:lang w:val="en_US" w:bidi="en_US"/>
        </w:rPr>
        <w:t>the Roman governor</w:t>
      </w:r>
    </w:p>
    <w:p>
      <w:pPr>
        <w:pStyle w:val="ListBullet"/>
        <w:spacing w:line="240" w:lineRule="auto"/>
        <w:ind w:left="720"/>
      </w:pPr>
      <w:r>
        <w:rPr>
          <w:lang w:val="en_US" w:bidi="en_US"/>
        </w:rPr>
      </w:r>
      <w:r>
        <w:rPr>
          <w:lang w:val="en_US" w:bidi="en_US"/>
        </w:rPr>
        <w:t xml:space="preserve">This Joseph went to </w:t>
      </w:r>
      <w:r>
        <w:rPr>
          <w:lang w:val="en_US" w:bidi="en_US"/>
        </w:rPr>
        <w:t>Governor</w:t>
      </w:r>
      <w:r>
        <w:rPr>
          <w:lang w:val="en_US" w:bidi="en_US"/>
        </w:rPr>
        <w:t xml:space="preserve"> Pilate</w:t>
      </w:r>
    </w:p>
    <w:p>
      <w:pPr>
        <w:pStyle w:val="Heading5"/>
      </w:pPr>
      <w:r>
        <w:rPr>
          <w:lang w:val="en_US" w:bidi="en_US"/>
        </w:rPr>
        <w:t>23:52b</w:t>
      </w:r>
    </w:p>
    <w:p>
      <w:pPr/>
      <w:r>
        <w:rPr>
          <w:lang w:val="en_US" w:bidi="en_US"/>
        </w:rPr>
      </w:r>
      <w:r>
        <w:rPr>
          <w:b/>
          <w:lang w:val="en_US" w:bidi="en_US"/>
        </w:rPr>
        <w:t>to ask for the body of Jesus.</w:t>
      </w:r>
    </w:p>
    <w:p>
      <w:pPr>
        <w:pStyle w:val="ListBullet"/>
        <w:spacing w:line="240" w:lineRule="auto"/>
        <w:ind w:left="720"/>
      </w:pPr>
      <w:r>
        <w:rPr>
          <w:lang w:val="en_US" w:bidi="en_US"/>
        </w:rPr>
      </w:r>
      <w:r>
        <w:rPr>
          <w:lang w:val="en_US" w:bidi="en_US"/>
        </w:rPr>
        <w:t xml:space="preserve">and asked </w:t>
      </w:r>
      <w:r>
        <w:rPr>
          <w:lang w:val="en_US" w:bidi="en_US"/>
        </w:rPr>
        <w:t>Pilate</w:t>
      </w:r>
      <w:r>
        <w:rPr>
          <w:lang w:val="en_US" w:bidi="en_US"/>
        </w:rPr>
        <w:t xml:space="preserve"> to let him have/take Jesus’ body </w:t>
      </w:r>
      <w:r>
        <w:rPr>
          <w:lang w:val="en_US" w:bidi="en_US"/>
        </w:rPr>
        <w:t>for burial</w:t>
      </w:r>
      <w:r>
        <w:rPr>
          <w:lang w:val="en_US" w:bidi="en_US"/>
        </w:rPr>
        <w:t>.</w:t>
      </w:r>
    </w:p>
    <w:p>
      <w:pPr>
        <w:pStyle w:val="ListBullet"/>
        <w:spacing w:line="240" w:lineRule="auto"/>
        <w:ind w:left="720"/>
      </w:pPr>
      <w:r>
        <w:rPr>
          <w:lang w:val="en_US" w:bidi="en_US"/>
        </w:rPr>
      </w:r>
      <w:r>
        <w:rPr>
          <w:lang w:val="en_US" w:bidi="en_US"/>
        </w:rPr>
        <w:t xml:space="preserve">and asked Pilate to allow him to take Jesus’ body </w:t>
      </w:r>
      <w:r>
        <w:rPr>
          <w:lang w:val="en_US" w:bidi="en_US"/>
        </w:rPr>
        <w:t>and bury it</w:t>
      </w:r>
      <w:r>
        <w:rPr>
          <w:lang w:val="en_US" w:bidi="en_US"/>
        </w:rPr>
        <w:t xml:space="preserve">. </w:t>
      </w:r>
      <w:r>
        <w:rPr>
          <w:lang w:val="en_US" w:bidi="en_US"/>
        </w:rPr>
        <w:t>And Pilate agreed.</w:t>
      </w:r>
    </w:p>
    <w:p>
      <w:pPr>
        <w:pStyle w:val="ListBullet"/>
        <w:spacing w:line="240" w:lineRule="auto"/>
        <w:ind w:left="720"/>
      </w:pPr>
      <w:r>
        <w:rPr>
          <w:lang w:val="en_US" w:bidi="en_US"/>
        </w:rPr>
      </w:r>
      <w:r>
        <w:rPr>
          <w:lang w:val="en_US" w:bidi="en_US"/>
        </w:rPr>
        <w:t>and requested/said, “Sir, please allow</w:t>
      </w:r>
      <w:r>
        <w:rPr>
          <w:vertAlign w:val="superscript"/>
          <w:lang w:val="en_US" w:bidi="en_US"/>
        </w:rPr>
        <w:t>(sing)</w:t>
      </w:r>
      <w:r>
        <w:rPr>
          <w:lang w:val="en_US" w:bidi="en_US"/>
        </w:rPr>
        <w:t xml:space="preserve"> me to take Jesus’ corpse </w:t>
      </w:r>
      <w:r>
        <w:rPr>
          <w:lang w:val="en_US" w:bidi="en_US"/>
        </w:rPr>
        <w:t>so I may bury it</w:t>
      </w:r>
      <w:r>
        <w:rPr>
          <w:lang w:val="en_US" w:bidi="en_US"/>
        </w:rPr>
        <w:t xml:space="preserve">.” </w:t>
      </w:r>
      <w:r>
        <w:rPr>
          <w:lang w:val="en_US" w:bidi="en_US"/>
        </w:rPr>
        <w:t>Pilate replied, “You</w:t>
      </w:r>
      <w:r>
        <w:rPr>
          <w:vertAlign w:val="superscript"/>
          <w:lang w:val="en_US" w:bidi="en_US"/>
        </w:rPr>
        <w:t>(sing)</w:t>
      </w:r>
      <w:r>
        <w:rPr>
          <w:lang w:val="en_US" w:bidi="en_US"/>
        </w:rPr>
        <w:t xml:space="preserve"> </w:t>
      </w:r>
      <w:r>
        <w:rPr>
          <w:lang w:val="en_US" w:bidi="en_US"/>
        </w:rPr>
        <w:t>may do that.”</w:t>
      </w:r>
    </w:p>
    <w:p>
      <w:pPr>
        <w:pStyle w:val="Heading5"/>
      </w:pPr>
      <w:r>
        <w:rPr>
          <w:lang w:val="en_US" w:bidi="en_US"/>
        </w:rPr>
        <w:t>23:52a–b</w:t>
      </w:r>
    </w:p>
    <w:p>
      <w:pPr/>
      <w:r>
        <w:rPr>
          <w:lang w:val="en_US" w:bidi="en_US"/>
        </w:rPr>
      </w:r>
      <w:r>
        <w:rPr>
          <w:b/>
          <w:lang w:val="en_US" w:bidi="en_US"/>
        </w:rPr>
        <w:t>He went to Pilate:</w:t>
      </w:r>
      <w:r>
        <w:rPr>
          <w:lang w:val="en_US" w:bidi="en_US"/>
        </w:rPr>
        <w:t xml:space="preserve"> The phrase </w:t>
      </w:r>
      <w:r>
        <w:rPr>
          <w:i/>
          <w:lang w:val="en_US" w:bidi="en_US"/>
        </w:rPr>
        <w:t>He went to Pilate</w:t>
      </w:r>
      <w:r>
        <w:rPr>
          <w:lang w:val="en_US" w:bidi="en_US"/>
        </w:rPr>
        <w:t xml:space="preserve"> indicates that Joseph went to Governor Pilate to make a formal request. He did this after Jesus had died. Connect this request to 23:51 in a natural way in your language. In some languages it may be helpful to use a time phrase. For example:</w:t>
      </w:r>
    </w:p>
    <w:p>
      <w:pPr/>
      <w:r>
        <w:rPr>
          <w:lang w:val="en_US" w:bidi="en_US"/>
        </w:rPr>
      </w:r>
      <w:r>
        <w:rPr>
          <w:lang w:val="en_US" w:bidi="en_US"/>
        </w:rPr>
        <w:t>After Jesus died,</w:t>
      </w:r>
      <w:r>
        <w:rPr>
          <w:lang w:val="en_US" w:bidi="en_US"/>
        </w:rPr>
        <w:t xml:space="preserve"> Joseph went to Governor Pilate</w:t>
      </w:r>
    </w:p>
    <w:p>
      <w:pPr/>
      <w:r>
        <w:rPr>
          <w:lang w:val="en_US" w:bidi="en_US"/>
        </w:rPr>
      </w:r>
      <w:r>
        <w:rPr>
          <w:lang w:val="en_US" w:bidi="en_US"/>
        </w:rPr>
        <w:t>Introduce Joseph’s request in a natural way in your language.</w:t>
      </w:r>
    </w:p>
    <w:p>
      <w:pPr/>
      <w:r>
        <w:rPr>
          <w:lang w:val="en_US" w:bidi="en_US"/>
        </w:rPr>
      </w:r>
      <w:r>
        <w:rPr>
          <w:b/>
          <w:lang w:val="en_US" w:bidi="en_US"/>
        </w:rPr>
        <w:t>to ask for the body of Jesus:</w:t>
      </w:r>
      <w:r>
        <w:rPr>
          <w:lang w:val="en_US" w:bidi="en_US"/>
        </w:rPr>
        <w:t xml:space="preserve"> The clause </w:t>
      </w:r>
      <w:r>
        <w:rPr>
          <w:i/>
          <w:lang w:val="en_US" w:bidi="en_US"/>
        </w:rPr>
        <w:t>to ask for the body of Jesus</w:t>
      </w:r>
      <w:r>
        <w:rPr>
          <w:lang w:val="en_US" w:bidi="en_US"/>
        </w:rPr>
        <w:t xml:space="preserve"> indicates that Joseph asked Pilate for permission to take Jesus’ body down from the cross so that he could bury it. Another way to translate this is:</w:t>
      </w:r>
    </w:p>
    <w:p>
      <w:pPr/>
      <w:r>
        <w:rPr>
          <w:lang w:val="en_US" w:bidi="en_US"/>
        </w:rPr>
      </w:r>
      <w:r>
        <w:rPr>
          <w:lang w:val="en_US" w:bidi="en_US"/>
        </w:rPr>
        <w:t>he begged/requested Pilate to allow him to take Jesus’ corpse and bury it</w:t>
      </w:r>
    </w:p>
    <w:p>
      <w:pPr/>
      <w:r>
        <w:rPr>
          <w:lang w:val="en_US" w:bidi="en_US"/>
        </w:rPr>
      </w:r>
      <w:r>
        <w:rPr>
          <w:lang w:val="en_US" w:bidi="en_US"/>
        </w:rPr>
        <w:t>The context indicates that Pilate gave him that permission. In some languages it may be necessary to make that explicit. For example:</w:t>
      </w:r>
    </w:p>
    <w:p>
      <w:pPr/>
      <w:r>
        <w:rPr>
          <w:lang w:val="en_US" w:bidi="en_US"/>
        </w:rPr>
      </w:r>
      <w:r>
        <w:rPr>
          <w:lang w:val="en_US" w:bidi="en_US"/>
        </w:rPr>
        <w:t xml:space="preserve">he asked Governor Pilate to allow him to bury Jesus’ body. </w:t>
      </w:r>
      <w:r>
        <w:rPr>
          <w:lang w:val="en_US" w:bidi="en_US"/>
        </w:rPr>
        <w:t>Pilate agreed</w:t>
      </w:r>
    </w:p>
    <w:p>
      <w:pPr/>
      <w:r>
        <w:rPr>
          <w:lang w:val="en_US" w:bidi="en_US"/>
        </w:rPr>
      </w:r>
      <w:r>
        <w:rPr>
          <w:lang w:val="en_US" w:bidi="en_US"/>
        </w:rPr>
        <w:t>In some languages it may be more natural to use direct speech. For example:</w:t>
      </w:r>
    </w:p>
    <w:p>
      <w:pPr/>
      <w:r>
        <w:rPr>
          <w:lang w:val="en_US" w:bidi="en_US"/>
        </w:rPr>
      </w:r>
      <w:r>
        <w:rPr>
          <w:lang w:val="en_US" w:bidi="en_US"/>
        </w:rPr>
        <w:t xml:space="preserve">he said to Pilate, “Please allow me to take Jesus’ body and bury it.” </w:t>
      </w:r>
      <w:r>
        <w:rPr>
          <w:lang w:val="en_US" w:bidi="en_US"/>
        </w:rPr>
        <w:t>Pilate said, “You may do that.”</w:t>
      </w:r>
      <w:r>
        <w:rPr>
          <w:lang w:val="en_US" w:bidi="en_US"/>
        </w:rPr>
      </w:r>
      <w:r>
        <w:rPr>
          <w:lang w:val="en_US" w:bidi="en_US"/>
        </w:rPr>
      </w:r>
    </w:p>
    <w:p>
      <w:pPr/>
      <w:r>
        <w:rPr>
          <w:lang w:val="en_US" w:bidi="en_US"/>
        </w:rPr>
      </w:r>
    </w:p>
    <w:p>
      <w:pPr>
        <w:pStyle w:val="Heading2"/>
      </w:pPr>
      <w:r>
        <w:rPr>
          <w:lang w:val="en_US" w:bidi="en_US"/>
        </w:rPr>
        <w:t>Luke 23:53</w:t>
      </w:r>
      <w:r>
        <w:rPr>
          <w:lang w:val="en_US" w:bidi="en_US"/>
        </w:rPr>
      </w:r>
    </w:p>
    <w:p>
      <w:pPr>
        <w:pStyle w:val="Heading4"/>
      </w:pPr>
      <w:r>
        <w:rPr>
          <w:lang w:val="en_US" w:bidi="en_US"/>
        </w:rPr>
        <w:t>Section 23:50–56: Jesus was buried</w:t>
      </w:r>
    </w:p>
    <w:p>
      <w:pPr/>
      <w:r>
        <w:rPr>
          <w:lang w:val="en_US" w:bidi="en_US"/>
        </w:rPr>
      </w:r>
      <w:r>
        <w:rPr>
          <w:lang w:val="en_US" w:bidi="en_US"/>
        </w:rPr>
        <w:t>This section tells about how people buried Jesus’ body. Sometimes the Romans did not allow the body of a crucified person to be buried.</w:t>
      </w:r>
      <w:r>
        <w:rPr>
          <w:lang w:val="en_US" w:bidi="en_US"/>
        </w:rPr>
        <w:t>Nolland (p. 1166) says, “The bodies of condemned criminals were not always released for burial, especially in cases of treason….For the body to have stayed on the cross overnight would have been a violation of Jewish custom (for the most part, the Romans seem to have shown a sensitivity to this).”</w:t>
      </w:r>
      <w:r>
        <w:rPr>
          <w:lang w:val="en_US" w:bidi="en_US"/>
        </w:rPr>
        <w:t xml:space="preserve"> But for the Jews, a proper burial was important. It was their custom to bury the body on the same day that a person died. A respected Jewish man named Joseph decided that Jesus must have a proper burial. So Joseph went to Pilate and asked permission to take Jesus’ body and bury it.</w:t>
      </w:r>
    </w:p>
    <w:p>
      <w:pPr/>
      <w:r>
        <w:rPr>
          <w:lang w:val="en_US" w:bidi="en_US"/>
        </w:rPr>
      </w:r>
      <w:r>
        <w:rPr>
          <w:lang w:val="en_US" w:bidi="en_US"/>
        </w:rPr>
        <w:t>The Sabbath Day began just a few hours after Jesus died. On the Sabbath it was forbidden to move a dead body. So Joseph had to act quickly in all that he did.</w:t>
      </w:r>
    </w:p>
    <w:p>
      <w:pPr/>
      <w:r>
        <w:rPr>
          <w:lang w:val="en_US" w:bidi="en_US"/>
        </w:rPr>
      </w:r>
      <w:r>
        <w:rPr>
          <w:lang w:val="en_US" w:bidi="en_US"/>
        </w:rPr>
        <w:t>Examples of other headings for this section are:</w:t>
      </w:r>
    </w:p>
    <w:p>
      <w:pPr/>
      <w:r>
        <w:rPr>
          <w:lang w:val="en_US" w:bidi="en_US"/>
        </w:rPr>
      </w:r>
      <w:r>
        <w:rPr>
          <w:lang w:val="en_US" w:bidi="en_US"/>
        </w:rPr>
        <w:t>The Burial of Jesus (GNT)</w:t>
      </w:r>
    </w:p>
    <w:p>
      <w:pPr/>
      <w:r>
        <w:rPr>
          <w:lang w:val="en_US" w:bidi="en_US"/>
        </w:rPr>
      </w:r>
      <w:r>
        <w:rPr>
          <w:lang w:val="en_US" w:bidi="en_US"/>
        </w:rPr>
        <w:t>Jesus Is Buried (CEV)</w:t>
      </w:r>
    </w:p>
    <w:p>
      <w:pPr/>
      <w:r>
        <w:rPr>
          <w:lang w:val="en_US" w:bidi="en_US"/>
        </w:rPr>
      </w:r>
      <w:r>
        <w:rPr>
          <w:lang w:val="en_US" w:bidi="en_US"/>
        </w:rPr>
        <w:t>Joseph buried Jesus’ body</w:t>
      </w:r>
    </w:p>
    <w:p>
      <w:pPr/>
      <w:r>
        <w:rPr>
          <w:lang w:val="en_US" w:bidi="en_US"/>
        </w:rPr>
      </w:r>
      <w:r>
        <w:rPr>
          <w:lang w:val="en_US" w:bidi="en_US"/>
        </w:rPr>
        <w:t>Jesus’ corpse was placed in a burial cave</w:t>
      </w:r>
    </w:p>
    <w:p>
      <w:pPr/>
      <w:r>
        <w:rPr>
          <w:lang w:val="en_US" w:bidi="en_US"/>
        </w:rPr>
      </w:r>
      <w:r>
        <w:rPr>
          <w:lang w:val="en_US" w:bidi="en_US"/>
        </w:rPr>
        <w:t>Parallel passages for this section are found in Matthew 27:57–61, Mark 15:42–47, and John 19:38–42.</w:t>
      </w:r>
    </w:p>
    <w:p>
      <w:pPr>
        <w:pStyle w:val="Heading5"/>
      </w:pPr>
      <w:r>
        <w:rPr>
          <w:lang w:val="en_US" w:bidi="en_US"/>
        </w:rPr>
        <w:t>23:53a</w:t>
      </w:r>
    </w:p>
    <w:p>
      <w:pPr/>
      <w:r>
        <w:rPr>
          <w:lang w:val="en_US" w:bidi="en_US"/>
        </w:rPr>
      </w:r>
      <w:r>
        <w:rPr>
          <w:b/>
          <w:lang w:val="en_US" w:bidi="en_US"/>
        </w:rPr>
        <w:t>Then he took it down,</w:t>
      </w:r>
    </w:p>
    <w:p>
      <w:pPr>
        <w:pStyle w:val="ListBullet"/>
        <w:spacing w:line="240" w:lineRule="auto"/>
        <w:ind w:left="720"/>
      </w:pPr>
      <w:r>
        <w:rPr>
          <w:lang w:val="en_US" w:bidi="en_US"/>
        </w:rPr>
      </w:r>
      <w:r>
        <w:rPr>
          <w:lang w:val="en_US" w:bidi="en_US"/>
        </w:rPr>
        <w:t xml:space="preserve">Then Joseph </w:t>
      </w:r>
      <w:r>
        <w:rPr>
          <w:lang w:val="en_US" w:bidi="en_US"/>
        </w:rPr>
        <w:t>went and</w:t>
      </w:r>
      <w:r>
        <w:rPr>
          <w:lang w:val="en_US" w:bidi="en_US"/>
        </w:rPr>
        <w:t xml:space="preserve"> took Jesus’ body down </w:t>
      </w:r>
      <w:r>
        <w:rPr>
          <w:lang w:val="en_US" w:bidi="en_US"/>
        </w:rPr>
        <w:t>from the cross</w:t>
      </w:r>
      <w:r>
        <w:rPr>
          <w:lang w:val="en_US" w:bidi="en_US"/>
        </w:rPr>
        <w:t>.</w:t>
      </w:r>
    </w:p>
    <w:p>
      <w:pPr>
        <w:pStyle w:val="ListBullet"/>
        <w:spacing w:line="240" w:lineRule="auto"/>
        <w:ind w:left="720"/>
      </w:pPr>
      <w:r>
        <w:rPr>
          <w:lang w:val="en_US" w:bidi="en_US"/>
        </w:rPr>
      </w:r>
      <w:r>
        <w:rPr>
          <w:lang w:val="en_US" w:bidi="en_US"/>
        </w:rPr>
        <w:t xml:space="preserve">So Joseph </w:t>
      </w:r>
      <w:r>
        <w:rPr>
          <w:lang w:val="en_US" w:bidi="en_US"/>
        </w:rPr>
        <w:t>returned</w:t>
      </w:r>
      <w:r>
        <w:rPr>
          <w:lang w:val="en_US" w:bidi="en_US"/>
        </w:rPr>
        <w:t xml:space="preserve"> </w:t>
      </w:r>
      <w:r>
        <w:rPr>
          <w:lang w:val="en_US" w:bidi="en_US"/>
        </w:rPr>
        <w:t>to the cross and</w:t>
      </w:r>
      <w:r>
        <w:rPr>
          <w:lang w:val="en_US" w:bidi="en_US"/>
        </w:rPr>
        <w:t xml:space="preserve"> removed Jesus’ body/corpse.</w:t>
      </w:r>
    </w:p>
    <w:p>
      <w:pPr/>
      <w:r>
        <w:rPr>
          <w:lang w:val="en_US" w:bidi="en_US"/>
        </w:rPr>
      </w:r>
      <w:r>
        <w:rPr>
          <w:b/>
          <w:lang w:val="en_US" w:bidi="en_US"/>
        </w:rPr>
        <w:t>Then he took it down:</w:t>
      </w:r>
      <w:r>
        <w:rPr>
          <w:lang w:val="en_US" w:bidi="en_US"/>
        </w:rPr>
        <w:t xml:space="preserve"> The clause </w:t>
      </w:r>
      <w:r>
        <w:rPr>
          <w:i/>
          <w:lang w:val="en_US" w:bidi="en_US"/>
        </w:rPr>
        <w:t>Then he took it down</w:t>
      </w:r>
      <w:r>
        <w:rPr>
          <w:lang w:val="en_US" w:bidi="en_US"/>
        </w:rPr>
        <w:t xml:space="preserve"> implies that Joseph went to the place where Jesus was crucified and took Jesus’ body down from the cross. Joseph did not do that by himself. John 19:39–40 indicates that Nicodemus helped him, and other people also may have helped. Joseph may have asked some of his servants to help also.</w:t>
      </w:r>
    </w:p>
    <w:p>
      <w:pPr/>
      <w:r>
        <w:rPr>
          <w:lang w:val="en_US" w:bidi="en_US"/>
        </w:rPr>
      </w:r>
      <w:r>
        <w:rPr>
          <w:lang w:val="en_US" w:bidi="en_US"/>
        </w:rPr>
        <w:t>Some other ways to translate this part of the verse are:</w:t>
      </w:r>
    </w:p>
    <w:p>
      <w:pPr/>
      <w:r>
        <w:rPr>
          <w:lang w:val="en_US" w:bidi="en_US"/>
        </w:rPr>
      </w:r>
      <w:r>
        <w:rPr>
          <w:lang w:val="en_US" w:bidi="en_US"/>
        </w:rPr>
        <w:t>Then he went and lowered it from the cross</w:t>
      </w:r>
      <w:r>
        <w:rPr>
          <w:lang w:val="en_US" w:bidi="en_US"/>
        </w:rPr>
        <w:t>Kankanaey back translation on TW.</w:t>
      </w:r>
    </w:p>
    <w:p>
      <w:pPr/>
      <w:r>
        <w:rPr>
          <w:lang w:val="en_US" w:bidi="en_US"/>
        </w:rPr>
      </w:r>
      <w:r>
        <w:rPr>
          <w:lang w:val="en_US" w:bidi="en_US"/>
        </w:rPr>
        <w:t>He took the body down from the cross (CEV)</w:t>
      </w:r>
    </w:p>
    <w:p>
      <w:pPr/>
      <w:r>
        <w:rPr>
          <w:lang w:val="en_US" w:bidi="en_US"/>
        </w:rPr>
      </w:r>
      <w:r>
        <w:rPr>
          <w:lang w:val="en_US" w:bidi="en_US"/>
        </w:rPr>
        <w:t xml:space="preserve">Joseph </w:t>
      </w:r>
      <w:r>
        <w:rPr>
          <w:lang w:val="en_US" w:bidi="en_US"/>
        </w:rPr>
        <w:t>with the help of other men</w:t>
      </w:r>
      <w:r>
        <w:rPr>
          <w:lang w:val="en_US" w:bidi="en_US"/>
        </w:rPr>
        <w:t xml:space="preserve"> took his body down </w:t>
      </w:r>
      <w:r>
        <w:rPr>
          <w:lang w:val="en_US" w:bidi="en_US"/>
        </w:rPr>
        <w:t>from the cross</w:t>
      </w:r>
    </w:p>
    <w:p>
      <w:pPr/>
      <w:r>
        <w:rPr>
          <w:lang w:val="en_US" w:bidi="en_US"/>
        </w:rPr>
      </w:r>
      <w:r>
        <w:rPr>
          <w:lang w:val="en_US" w:bidi="en_US"/>
        </w:rPr>
        <w:t>Translate this clause in a clear way in your language.</w:t>
      </w:r>
    </w:p>
    <w:p>
      <w:pPr>
        <w:pStyle w:val="Heading5"/>
      </w:pPr>
      <w:r>
        <w:rPr>
          <w:lang w:val="en_US" w:bidi="en_US"/>
        </w:rPr>
        <w:t>23:53b</w:t>
      </w:r>
    </w:p>
    <w:p>
      <w:pPr/>
      <w:r>
        <w:rPr>
          <w:lang w:val="en_US" w:bidi="en_US"/>
        </w:rPr>
      </w:r>
      <w:r>
        <w:rPr>
          <w:b/>
          <w:lang w:val="en_US" w:bidi="en_US"/>
        </w:rPr>
        <w:t>wrapped it in a linen cloth,</w:t>
      </w:r>
    </w:p>
    <w:p>
      <w:pPr>
        <w:pStyle w:val="ListBullet"/>
        <w:spacing w:line="240" w:lineRule="auto"/>
        <w:ind w:left="720"/>
      </w:pPr>
      <w:r>
        <w:rPr>
          <w:lang w:val="en_US" w:bidi="en_US"/>
        </w:rPr>
      </w:r>
      <w:r>
        <w:rPr>
          <w:lang w:val="en_US" w:bidi="en_US"/>
        </w:rPr>
        <w:t>He wrapped the body in linen cloth.</w:t>
      </w:r>
    </w:p>
    <w:p>
      <w:pPr>
        <w:pStyle w:val="ListBullet"/>
        <w:spacing w:line="240" w:lineRule="auto"/>
        <w:ind w:left="720"/>
      </w:pPr>
      <w:r>
        <w:rPr>
          <w:lang w:val="en_US" w:bidi="en_US"/>
        </w:rPr>
      </w:r>
      <w:r>
        <w:rPr>
          <w:lang w:val="en_US" w:bidi="en_US"/>
        </w:rPr>
        <w:t xml:space="preserve">He took </w:t>
      </w:r>
      <w:r>
        <w:rPr>
          <w:lang w:val="en_US" w:bidi="en_US"/>
        </w:rPr>
        <w:t>long strips of</w:t>
      </w:r>
      <w:r>
        <w:rPr>
          <w:lang w:val="en_US" w:bidi="en_US"/>
        </w:rPr>
        <w:t xml:space="preserve"> fine/good cloth and wrapped them around the body/corpse.</w:t>
      </w:r>
    </w:p>
    <w:p>
      <w:pPr/>
      <w:r>
        <w:rPr>
          <w:lang w:val="en_US" w:bidi="en_US"/>
        </w:rPr>
      </w:r>
      <w:r>
        <w:rPr>
          <w:b/>
          <w:lang w:val="en_US" w:bidi="en_US"/>
        </w:rPr>
        <w:t>wrapped it in a linen cloth:</w:t>
      </w:r>
      <w:r>
        <w:rPr>
          <w:lang w:val="en_US" w:bidi="en_US"/>
        </w:rPr>
        <w:t xml:space="preserve"> It was a Jewish custom to wrap a dead person’s body in a cloth before burying it. The word </w:t>
      </w:r>
      <w:r>
        <w:rPr>
          <w:i/>
          <w:lang w:val="en_US" w:bidi="en_US"/>
        </w:rPr>
        <w:t>wrapped</w:t>
      </w:r>
      <w:r>
        <w:rPr>
          <w:lang w:val="en_US" w:bidi="en_US"/>
        </w:rPr>
        <w:t xml:space="preserve"> in this context indicates that Joseph and his helpers wrapped the cloth around the body many times. The cloth was first cut into strips, and then the strips were wrapped around the body. At times, a whole linen cloth (a “shroud”) was also placed around the wrapped corpse.</w:t>
      </w:r>
    </w:p>
    <w:p>
      <w:pPr/>
      <w:r>
        <w:rPr>
          <w:lang w:val="en_US" w:bidi="en_US"/>
        </w:rPr>
      </w:r>
      <w:r>
        <w:rPr>
          <w:lang w:val="en_US" w:bidi="en_US"/>
        </w:rPr>
        <w:t>Some other ways to translate this are:</w:t>
      </w:r>
    </w:p>
    <w:p>
      <w:pPr/>
      <w:r>
        <w:rPr>
          <w:lang w:val="en_US" w:bidi="en_US"/>
        </w:rPr>
      </w:r>
      <w:r>
        <w:rPr>
          <w:lang w:val="en_US" w:bidi="en_US"/>
        </w:rPr>
        <w:t>wrapped linen cloth around the body/corpse</w:t>
      </w:r>
    </w:p>
    <w:p>
      <w:pPr/>
      <w:r>
        <w:rPr>
          <w:lang w:val="en_US" w:bidi="en_US"/>
        </w:rPr>
      </w:r>
      <w:r>
        <w:rPr>
          <w:lang w:val="en_US" w:bidi="en_US"/>
        </w:rPr>
        <w:t xml:space="preserve">wrapped him/it in </w:t>
      </w:r>
      <w:r>
        <w:rPr>
          <w:lang w:val="en_US" w:bidi="en_US"/>
        </w:rPr>
        <w:t>strips of</w:t>
      </w:r>
      <w:r>
        <w:rPr>
          <w:lang w:val="en_US" w:bidi="en_US"/>
        </w:rPr>
        <w:t xml:space="preserve"> the linen/cloth</w:t>
      </w:r>
    </w:p>
    <w:p>
      <w:pPr/>
      <w:r>
        <w:rPr>
          <w:lang w:val="en_US" w:bidi="en_US"/>
        </w:rPr>
      </w:r>
      <w:r>
        <w:rPr>
          <w:lang w:val="en_US" w:bidi="en_US"/>
        </w:rPr>
        <w:t>took linen cloth and wrapped it around the body</w:t>
      </w:r>
    </w:p>
    <w:p>
      <w:pPr/>
      <w:r>
        <w:rPr>
          <w:lang w:val="en_US" w:bidi="en_US"/>
        </w:rPr>
      </w:r>
      <w:r>
        <w:rPr>
          <w:lang w:val="en_US" w:bidi="en_US"/>
        </w:rPr>
        <w:t>shrouded it</w:t>
      </w:r>
      <w:r>
        <w:rPr>
          <w:lang w:val="en_US" w:bidi="en_US"/>
        </w:rPr>
        <w:t>Yakan back translation on TW.</w:t>
      </w:r>
    </w:p>
    <w:p>
      <w:pPr/>
      <w:r>
        <w:rPr>
          <w:lang w:val="en_US" w:bidi="en_US"/>
        </w:rPr>
      </w:r>
      <w:r>
        <w:rPr>
          <w:b/>
          <w:lang w:val="en_US" w:bidi="en_US"/>
        </w:rPr>
        <w:t>a linen cloth:</w:t>
      </w:r>
      <w:r>
        <w:rPr>
          <w:lang w:val="en_US" w:bidi="en_US"/>
        </w:rPr>
        <w:t xml:space="preserve"> </w:t>
      </w:r>
      <w:r>
        <w:rPr>
          <w:i/>
          <w:lang w:val="en_US" w:bidi="en_US"/>
        </w:rPr>
        <w:t>linen cloth</w:t>
      </w:r>
      <w:r>
        <w:rPr>
          <w:lang w:val="en_US" w:bidi="en_US"/>
        </w:rPr>
        <w:t xml:space="preserve"> is a fabric that is woven from thread made out of the fibers of the flax plant. It was an expensive, good quality fabric. It was normally white or cream-colored. In some areas linen cloth is unknown. If that is true in your area, you may use a more general term. For example:</w:t>
      </w:r>
    </w:p>
    <w:p>
      <w:pPr/>
      <w:r>
        <w:rPr>
          <w:lang w:val="en_US" w:bidi="en_US"/>
        </w:rPr>
      </w:r>
      <w:r>
        <w:rPr>
          <w:lang w:val="en_US" w:bidi="en_US"/>
        </w:rPr>
        <w:t>fine cloth (CEV)</w:t>
      </w:r>
    </w:p>
    <w:p>
      <w:pPr/>
      <w:r>
        <w:rPr>
          <w:lang w:val="en_US" w:bidi="en_US"/>
        </w:rPr>
      </w:r>
      <w:r>
        <w:rPr>
          <w:lang w:val="en_US" w:bidi="en_US"/>
        </w:rPr>
        <w:t>cloth (NCV)</w:t>
      </w:r>
    </w:p>
    <w:p>
      <w:pPr>
        <w:pStyle w:val="Heading5"/>
      </w:pPr>
      <w:r>
        <w:rPr>
          <w:lang w:val="en_US" w:bidi="en_US"/>
        </w:rPr>
        <w:t>23:53c</w:t>
      </w:r>
    </w:p>
    <w:p>
      <w:pPr/>
      <w:r>
        <w:rPr>
          <w:lang w:val="en_US" w:bidi="en_US"/>
        </w:rPr>
      </w:r>
      <w:r>
        <w:rPr>
          <w:b/>
          <w:lang w:val="en_US" w:bidi="en_US"/>
        </w:rPr>
        <w:t>and placed it in a tomb cut into the rock,</w:t>
      </w:r>
    </w:p>
    <w:p>
      <w:pPr>
        <w:pStyle w:val="ListBullet"/>
        <w:spacing w:line="240" w:lineRule="auto"/>
        <w:ind w:left="720"/>
      </w:pPr>
      <w:r>
        <w:rPr>
          <w:lang w:val="en_US" w:bidi="en_US"/>
        </w:rPr>
      </w:r>
      <w:r>
        <w:rPr>
          <w:lang w:val="en_US" w:bidi="en_US"/>
        </w:rPr>
        <w:t>Then he put it in a cave/tomb that was carved into solid rock.</w:t>
      </w:r>
    </w:p>
    <w:p>
      <w:pPr>
        <w:pStyle w:val="ListBullet"/>
        <w:spacing w:line="240" w:lineRule="auto"/>
        <w:ind w:left="720"/>
      </w:pPr>
      <w:r>
        <w:rPr>
          <w:lang w:val="en_US" w:bidi="en_US"/>
        </w:rPr>
      </w:r>
      <w:r>
        <w:rPr>
          <w:lang w:val="en_US" w:bidi="en_US"/>
        </w:rPr>
        <w:t xml:space="preserve">He placed it in a burial place </w:t>
      </w:r>
      <w:r>
        <w:rPr>
          <w:lang w:val="en_US" w:bidi="en_US"/>
        </w:rPr>
        <w:t>that people had</w:t>
      </w:r>
      <w:r>
        <w:rPr>
          <w:lang w:val="en_US" w:bidi="en_US"/>
        </w:rPr>
        <w:t xml:space="preserve"> dug out of the rocky </w:t>
      </w:r>
      <w:r>
        <w:rPr>
          <w:lang w:val="en_US" w:bidi="en_US"/>
        </w:rPr>
        <w:t>hillside</w:t>
      </w:r>
      <w:r>
        <w:rPr>
          <w:lang w:val="en_US" w:bidi="en_US"/>
        </w:rPr>
        <w:t>.</w:t>
      </w:r>
    </w:p>
    <w:p>
      <w:pPr>
        <w:pStyle w:val="ListBullet"/>
        <w:spacing w:line="240" w:lineRule="auto"/>
        <w:ind w:left="720"/>
      </w:pPr>
      <w:r>
        <w:rPr>
          <w:lang w:val="en_US" w:bidi="en_US"/>
        </w:rPr>
      </w:r>
      <w:r>
        <w:rPr>
          <w:lang w:val="en_US" w:bidi="en_US"/>
        </w:rPr>
        <w:t xml:space="preserve">He put the body/corpse in a tomb </w:t>
      </w:r>
      <w:r>
        <w:rPr>
          <w:lang w:val="en_US" w:bidi="en_US"/>
        </w:rPr>
        <w:t>that someone/people had</w:t>
      </w:r>
      <w:r>
        <w:rPr>
          <w:lang w:val="en_US" w:bidi="en_US"/>
        </w:rPr>
        <w:t xml:space="preserve"> chipped out of the rocky </w:t>
      </w:r>
      <w:r>
        <w:rPr>
          <w:lang w:val="en_US" w:bidi="en_US"/>
        </w:rPr>
        <w:t>hill</w:t>
      </w:r>
      <w:r>
        <w:rPr>
          <w:lang w:val="en_US" w:bidi="en_US"/>
        </w:rPr>
        <w:t>.</w:t>
      </w:r>
    </w:p>
    <w:p>
      <w:pPr>
        <w:pStyle w:val="Heading5"/>
      </w:pPr>
      <w:r>
        <w:rPr>
          <w:lang w:val="en_US" w:bidi="en_US"/>
        </w:rPr>
        <w:t>23:53d</w:t>
      </w:r>
    </w:p>
    <w:p>
      <w:pPr/>
      <w:r>
        <w:rPr>
          <w:lang w:val="en_US" w:bidi="en_US"/>
        </w:rPr>
      </w:r>
      <w:r>
        <w:rPr>
          <w:b/>
          <w:lang w:val="en_US" w:bidi="en_US"/>
        </w:rPr>
        <w:t>where no one had yet been laid.</w:t>
      </w:r>
    </w:p>
    <w:p>
      <w:pPr>
        <w:pStyle w:val="ListBullet"/>
        <w:spacing w:line="240" w:lineRule="auto"/>
        <w:ind w:left="720"/>
      </w:pPr>
      <w:r>
        <w:rPr>
          <w:lang w:val="en_US" w:bidi="en_US"/>
        </w:rPr>
      </w:r>
      <w:r>
        <w:rPr>
          <w:lang w:val="en_US" w:bidi="en_US"/>
        </w:rPr>
        <w:t>No body/corpse had ever been placed there before.</w:t>
      </w:r>
    </w:p>
    <w:p>
      <w:pPr>
        <w:pStyle w:val="ListBullet"/>
        <w:spacing w:line="240" w:lineRule="auto"/>
        <w:ind w:left="720"/>
      </w:pPr>
      <w:r>
        <w:rPr>
          <w:lang w:val="en_US" w:bidi="en_US"/>
        </w:rPr>
      </w:r>
      <w:r>
        <w:rPr>
          <w:lang w:val="en_US" w:bidi="en_US"/>
        </w:rPr>
        <w:t>No one had used that place to bury any other corpse.</w:t>
      </w:r>
    </w:p>
    <w:p>
      <w:pPr>
        <w:pStyle w:val="ListBullet"/>
        <w:spacing w:line="240" w:lineRule="auto"/>
        <w:ind w:left="720"/>
      </w:pPr>
      <w:r>
        <w:rPr>
          <w:lang w:val="en_US" w:bidi="en_US"/>
        </w:rPr>
      </w:r>
      <w:r>
        <w:rPr>
          <w:lang w:val="en_US" w:bidi="en_US"/>
        </w:rPr>
        <w:t>It was a new tomb where no dead person had been buried.</w:t>
      </w:r>
    </w:p>
    <w:p>
      <w:pPr>
        <w:pStyle w:val="Heading5"/>
      </w:pPr>
      <w:r>
        <w:rPr>
          <w:lang w:val="en_US" w:bidi="en_US"/>
        </w:rPr>
        <w:t>23:53c–d</w:t>
      </w:r>
    </w:p>
    <w:p>
      <w:pPr/>
      <w:r>
        <w:rPr>
          <w:lang w:val="en_US" w:bidi="en_US"/>
        </w:rPr>
      </w:r>
      <w:r>
        <w:rPr>
          <w:b/>
          <w:lang w:val="en_US" w:bidi="en_US"/>
        </w:rPr>
        <w:t>and placed it in a tomb cut into the rock:</w:t>
      </w:r>
      <w:r>
        <w:rPr>
          <w:lang w:val="en_US" w:bidi="en_US"/>
        </w:rPr>
        <w:t xml:space="preserve"> The phrase </w:t>
      </w:r>
      <w:r>
        <w:rPr>
          <w:i/>
          <w:lang w:val="en_US" w:bidi="en_US"/>
        </w:rPr>
        <w:t>a tomb cut into the rock</w:t>
      </w:r>
      <w:r>
        <w:rPr>
          <w:lang w:val="en_US" w:bidi="en_US"/>
        </w:rPr>
        <w:t xml:space="preserve"> describes the type of grave into which Joseph put Jesus’ body. This </w:t>
      </w:r>
      <w:r>
        <w:rPr>
          <w:i/>
          <w:lang w:val="en_US" w:bidi="en_US"/>
        </w:rPr>
        <w:t>tomb</w:t>
      </w:r>
      <w:r>
        <w:rPr>
          <w:lang w:val="en_US" w:bidi="en_US"/>
        </w:rPr>
        <w:t xml:space="preserve"> was like a cave. Some men had dug it in a solid mass of rock. It was not a hole that men dug in the ground. Such tombs were often dug into a hillside of solid rock.</w:t>
      </w:r>
    </w:p>
    <w:p>
      <w:pPr/>
      <w:r>
        <w:rPr>
          <w:lang w:val="en_US" w:bidi="en_US"/>
        </w:rPr>
      </w:r>
      <w:r>
        <w:rPr>
          <w:lang w:val="en_US" w:bidi="en_US"/>
        </w:rPr>
        <w:t>Some other ways to translate this phrase are:</w:t>
      </w:r>
    </w:p>
    <w:p>
      <w:pPr/>
      <w:r>
        <w:rPr>
          <w:lang w:val="en_US" w:bidi="en_US"/>
        </w:rPr>
      </w:r>
      <w:r>
        <w:rPr>
          <w:lang w:val="en_US" w:bidi="en_US"/>
        </w:rPr>
        <w:t>placed-it-inside a cave that had been chipped-from rock</w:t>
      </w:r>
      <w:r>
        <w:rPr>
          <w:lang w:val="en_US" w:bidi="en_US"/>
        </w:rPr>
        <w:t>Kankanaey back translation on TW.</w:t>
      </w:r>
    </w:p>
    <w:p>
      <w:pPr/>
      <w:r>
        <w:rPr>
          <w:lang w:val="en_US" w:bidi="en_US"/>
        </w:rPr>
      </w:r>
      <w:r>
        <w:rPr>
          <w:lang w:val="en_US" w:bidi="en_US"/>
        </w:rPr>
        <w:t xml:space="preserve">laid it in a tomb that was carved into </w:t>
      </w:r>
      <w:r>
        <w:rPr>
          <w:lang w:val="en_US" w:bidi="en_US"/>
        </w:rPr>
        <w:t>a hill of</w:t>
      </w:r>
      <w:r>
        <w:rPr>
          <w:lang w:val="en_US" w:bidi="en_US"/>
        </w:rPr>
        <w:t xml:space="preserve"> rock</w:t>
      </w:r>
    </w:p>
    <w:p>
      <w:pPr/>
      <w:r>
        <w:rPr>
          <w:lang w:val="en_US" w:bidi="en_US"/>
        </w:rPr>
      </w:r>
      <w:r>
        <w:rPr>
          <w:lang w:val="en_US" w:bidi="en_US"/>
        </w:rPr>
        <w:t>In some languages it is more natural to introduce the cave before saying that Jesus’ body was buried there. For example:</w:t>
      </w:r>
    </w:p>
    <w:p>
      <w:pPr/>
      <w:r>
        <w:rPr>
          <w:lang w:val="en_US" w:bidi="en_US"/>
        </w:rPr>
      </w:r>
      <w:r>
        <w:rPr>
          <w:lang w:val="en_US" w:bidi="en_US"/>
        </w:rPr>
        <w:t>And there was a burial cave dug out of a limestone cliff…. And there Joseph placed the body of Jesus</w:t>
      </w:r>
      <w:r>
        <w:rPr>
          <w:lang w:val="en_US" w:bidi="en_US"/>
        </w:rPr>
        <w:t>Western Bukidnon Manobo back translation on TW.</w:t>
      </w:r>
    </w:p>
    <w:p>
      <w:pPr/>
      <w:r>
        <w:rPr>
          <w:lang w:val="en_US" w:bidi="en_US"/>
        </w:rPr>
      </w:r>
      <w:r>
        <w:rPr>
          <w:b/>
          <w:lang w:val="en_US" w:bidi="en_US"/>
        </w:rPr>
        <w:t>cut into the rock:</w:t>
      </w:r>
      <w:r>
        <w:rPr>
          <w:lang w:val="en_US" w:bidi="en_US"/>
        </w:rPr>
        <w:t xml:space="preserve"> The Greek word that the BSB translates as </w:t>
      </w:r>
      <w:r>
        <w:rPr>
          <w:i/>
          <w:lang w:val="en_US" w:bidi="en_US"/>
        </w:rPr>
        <w:t>cut</w:t>
      </w:r>
      <w:r>
        <w:rPr>
          <w:lang w:val="en_US" w:bidi="en_US"/>
        </w:rPr>
        <w:t xml:space="preserve"> is a descriptive word. It is not a verb. However, in some languages it may be necessary to translate it as a verb. If you use an active verb, you may need to supply a general subject. For example:</w:t>
      </w:r>
    </w:p>
    <w:p>
      <w:pPr/>
      <w:r>
        <w:rPr>
          <w:lang w:val="en_US" w:bidi="en_US"/>
        </w:rPr>
      </w:r>
      <w:r>
        <w:rPr>
          <w:lang w:val="en_US" w:bidi="en_US"/>
        </w:rPr>
        <w:t xml:space="preserve">that </w:t>
      </w:r>
      <w:r>
        <w:rPr>
          <w:lang w:val="en_US" w:bidi="en_US"/>
        </w:rPr>
        <w:t>someone/people</w:t>
      </w:r>
      <w:r>
        <w:rPr>
          <w:lang w:val="en_US" w:bidi="en_US"/>
        </w:rPr>
        <w:t xml:space="preserve"> cut/carved out of the rock</w:t>
      </w:r>
    </w:p>
    <w:p>
      <w:pPr/>
      <w:r>
        <w:rPr>
          <w:lang w:val="en_US" w:bidi="en_US"/>
        </w:rPr>
      </w:r>
      <w:r>
        <w:rPr>
          <w:b/>
          <w:lang w:val="en_US" w:bidi="en_US"/>
        </w:rPr>
        <w:t>where no one had yet been laid:</w:t>
      </w:r>
      <w:r>
        <w:rPr>
          <w:lang w:val="en_US" w:bidi="en_US"/>
        </w:rPr>
        <w:t xml:space="preserve"> This phrase indicates that no dead body had ever been placed in the tomb where they buried Jesus. That type of tomb was usually large enough for several dead bodies. It was also large enough for several people to enter carrying a dead body.</w:t>
      </w:r>
    </w:p>
    <w:p>
      <w:pPr/>
      <w:r>
        <w:rPr>
          <w:lang w:val="en_US" w:bidi="en_US"/>
        </w:rPr>
      </w:r>
      <w:r>
        <w:rPr>
          <w:lang w:val="en_US" w:bidi="en_US"/>
        </w:rPr>
        <w:t>Some other ways to translate this phrase are:</w:t>
      </w:r>
    </w:p>
    <w:p>
      <w:pPr/>
      <w:r>
        <w:rPr>
          <w:lang w:val="en_US" w:bidi="en_US"/>
        </w:rPr>
      </w:r>
      <w:r>
        <w:rPr>
          <w:lang w:val="en_US" w:bidi="en_US"/>
        </w:rPr>
        <w:t>That grave was still new; it had never yet been used as a burial place.</w:t>
      </w:r>
      <w:r>
        <w:rPr>
          <w:lang w:val="en_US" w:bidi="en_US"/>
        </w:rPr>
        <w:t>Uma back translation on TW.</w:t>
      </w:r>
    </w:p>
    <w:p>
      <w:pPr/>
      <w:r>
        <w:rPr>
          <w:lang w:val="en_US" w:bidi="en_US"/>
        </w:rPr>
      </w:r>
      <w:r>
        <w:rPr>
          <w:lang w:val="en_US" w:bidi="en_US"/>
        </w:rPr>
        <w:t>This tomb had never been used before. (NCV)</w:t>
      </w:r>
    </w:p>
    <w:p>
      <w:pPr/>
      <w:r>
        <w:rPr>
          <w:lang w:val="en_US" w:bidi="en_US"/>
        </w:rPr>
      </w:r>
      <w:r>
        <w:rPr>
          <w:lang w:val="en_US" w:bidi="en_US"/>
        </w:rPr>
        <w:t>The parallel passage in Matthew 27:60 indicates that this tomb was Joseph’s own tomb. He had already told men to make this tomb for himself before he knew when Jesus would die.</w:t>
      </w:r>
      <w:r>
        <w:rPr>
          <w:lang w:val="en_US" w:bidi="en_US"/>
        </w:rPr>
        <w:t>The parallel passage in Matthew 27:60 also says: “he rolled a great stone across the entrance to the tomb and went away.” He did this to close the hole to the tomb, which was somewhat like a door. The stone was large and round, so people could roll it. (See 24:2.) It was big enough to cover the door or entrance to the tomb.</w:t>
      </w:r>
      <w:r>
        <w:rPr>
          <w:lang w:val="en_US" w:bidi="en_US"/>
        </w:rPr>
      </w:r>
      <w:r>
        <w:rPr>
          <w:lang w:val="en_US" w:bidi="en_US"/>
        </w:rPr>
      </w:r>
    </w:p>
    <w:p>
      <w:pPr/>
      <w:r>
        <w:rPr>
          <w:lang w:val="en_US" w:bidi="en_US"/>
        </w:rPr>
      </w:r>
    </w:p>
    <w:p>
      <w:pPr>
        <w:pStyle w:val="Heading2"/>
      </w:pPr>
      <w:r>
        <w:rPr>
          <w:lang w:val="en_US" w:bidi="en_US"/>
        </w:rPr>
        <w:t>Luke 23:54</w:t>
      </w:r>
      <w:r>
        <w:rPr>
          <w:lang w:val="en_US" w:bidi="en_US"/>
        </w:rPr>
      </w:r>
    </w:p>
    <w:p>
      <w:pPr>
        <w:pStyle w:val="Heading4"/>
      </w:pPr>
      <w:r>
        <w:rPr>
          <w:lang w:val="en_US" w:bidi="en_US"/>
        </w:rPr>
        <w:t>Section 23:50–56: Jesus was buried</w:t>
      </w:r>
    </w:p>
    <w:p>
      <w:pPr/>
      <w:r>
        <w:rPr>
          <w:lang w:val="en_US" w:bidi="en_US"/>
        </w:rPr>
      </w:r>
      <w:r>
        <w:rPr>
          <w:lang w:val="en_US" w:bidi="en_US"/>
        </w:rPr>
        <w:t>This section tells about how people buried Jesus’ body. Sometimes the Romans did not allow the body of a crucified person to be buried.</w:t>
      </w:r>
      <w:r>
        <w:rPr>
          <w:lang w:val="en_US" w:bidi="en_US"/>
        </w:rPr>
        <w:t>Nolland (p. 1166) says, “The bodies of condemned criminals were not always released for burial, especially in cases of treason….For the body to have stayed on the cross overnight would have been a violation of Jewish custom (for the most part, the Romans seem to have shown a sensitivity to this).”</w:t>
      </w:r>
      <w:r>
        <w:rPr>
          <w:lang w:val="en_US" w:bidi="en_US"/>
        </w:rPr>
        <w:t xml:space="preserve"> But for the Jews, a proper burial was important. It was their custom to bury the body on the same day that a person died. A respected Jewish man named Joseph decided that Jesus must have a proper burial. So Joseph went to Pilate and asked permission to take Jesus’ body and bury it.</w:t>
      </w:r>
    </w:p>
    <w:p>
      <w:pPr/>
      <w:r>
        <w:rPr>
          <w:lang w:val="en_US" w:bidi="en_US"/>
        </w:rPr>
      </w:r>
      <w:r>
        <w:rPr>
          <w:lang w:val="en_US" w:bidi="en_US"/>
        </w:rPr>
        <w:t>The Sabbath Day began just a few hours after Jesus died. On the Sabbath it was forbidden to move a dead body. So Joseph had to act quickly in all that he did.</w:t>
      </w:r>
    </w:p>
    <w:p>
      <w:pPr/>
      <w:r>
        <w:rPr>
          <w:lang w:val="en_US" w:bidi="en_US"/>
        </w:rPr>
      </w:r>
      <w:r>
        <w:rPr>
          <w:lang w:val="en_US" w:bidi="en_US"/>
        </w:rPr>
        <w:t>Examples of other headings for this section are:</w:t>
      </w:r>
    </w:p>
    <w:p>
      <w:pPr/>
      <w:r>
        <w:rPr>
          <w:lang w:val="en_US" w:bidi="en_US"/>
        </w:rPr>
      </w:r>
      <w:r>
        <w:rPr>
          <w:lang w:val="en_US" w:bidi="en_US"/>
        </w:rPr>
        <w:t>The Burial of Jesus (GNT)</w:t>
      </w:r>
    </w:p>
    <w:p>
      <w:pPr/>
      <w:r>
        <w:rPr>
          <w:lang w:val="en_US" w:bidi="en_US"/>
        </w:rPr>
      </w:r>
      <w:r>
        <w:rPr>
          <w:lang w:val="en_US" w:bidi="en_US"/>
        </w:rPr>
        <w:t>Jesus Is Buried (CEV)</w:t>
      </w:r>
    </w:p>
    <w:p>
      <w:pPr/>
      <w:r>
        <w:rPr>
          <w:lang w:val="en_US" w:bidi="en_US"/>
        </w:rPr>
      </w:r>
      <w:r>
        <w:rPr>
          <w:lang w:val="en_US" w:bidi="en_US"/>
        </w:rPr>
        <w:t>Joseph buried Jesus’ body</w:t>
      </w:r>
    </w:p>
    <w:p>
      <w:pPr/>
      <w:r>
        <w:rPr>
          <w:lang w:val="en_US" w:bidi="en_US"/>
        </w:rPr>
      </w:r>
      <w:r>
        <w:rPr>
          <w:lang w:val="en_US" w:bidi="en_US"/>
        </w:rPr>
        <w:t>Jesus’ corpse was placed in a burial cave</w:t>
      </w:r>
    </w:p>
    <w:p>
      <w:pPr/>
      <w:r>
        <w:rPr>
          <w:lang w:val="en_US" w:bidi="en_US"/>
        </w:rPr>
      </w:r>
      <w:r>
        <w:rPr>
          <w:lang w:val="en_US" w:bidi="en_US"/>
        </w:rPr>
        <w:t>Parallel passages for this section are found in Matthew 27:57–61, Mark 15:42–47, and John 19:38–42.</w:t>
      </w:r>
    </w:p>
    <w:p>
      <w:pPr>
        <w:pStyle w:val="Heading5"/>
      </w:pPr>
      <w:r>
        <w:rPr>
          <w:lang w:val="en_US" w:bidi="en_US"/>
        </w:rPr>
        <w:t>23:54a</w:t>
      </w:r>
    </w:p>
    <w:p>
      <w:pPr/>
      <w:r>
        <w:rPr>
          <w:lang w:val="en_US" w:bidi="en_US"/>
        </w:rPr>
      </w:r>
      <w:r>
        <w:rPr>
          <w:b/>
          <w:lang w:val="en_US" w:bidi="en_US"/>
        </w:rPr>
        <w:t>It was Preparation Day,</w:t>
      </w:r>
    </w:p>
    <w:p>
      <w:pPr>
        <w:pStyle w:val="ListBullet"/>
        <w:spacing w:line="240" w:lineRule="auto"/>
        <w:ind w:left="720"/>
      </w:pPr>
      <w:r>
        <w:rPr>
          <w:lang w:val="en_US" w:bidi="en_US"/>
        </w:rPr>
      </w:r>
      <w:r>
        <w:rPr>
          <w:lang w:val="en_US" w:bidi="en_US"/>
        </w:rPr>
        <w:t xml:space="preserve">That day was the day when </w:t>
      </w:r>
      <w:r>
        <w:rPr>
          <w:lang w:val="en_US" w:bidi="en_US"/>
        </w:rPr>
        <w:t>people</w:t>
      </w:r>
      <w:r>
        <w:rPr>
          <w:lang w:val="en_US" w:bidi="en_US"/>
        </w:rPr>
        <w:t xml:space="preserve"> prepared </w:t>
      </w:r>
      <w:r>
        <w:rPr>
          <w:lang w:val="en_US" w:bidi="en_US"/>
        </w:rPr>
        <w:t>for the Sabbath day</w:t>
      </w:r>
      <w:r>
        <w:rPr>
          <w:lang w:val="en_US" w:bidi="en_US"/>
        </w:rPr>
        <w:t>,</w:t>
      </w:r>
    </w:p>
    <w:p>
      <w:pPr>
        <w:pStyle w:val="ListBullet"/>
        <w:spacing w:line="240" w:lineRule="auto"/>
        <w:ind w:left="720"/>
      </w:pPr>
      <w:r>
        <w:rPr>
          <w:lang w:val="en_US" w:bidi="en_US"/>
        </w:rPr>
      </w:r>
      <w:r>
        <w:rPr>
          <w:lang w:val="en_US" w:bidi="en_US"/>
        </w:rPr>
        <w:t xml:space="preserve">At the time </w:t>
      </w:r>
      <w:r>
        <w:rPr>
          <w:lang w:val="en_US" w:bidi="en_US"/>
        </w:rPr>
        <w:t>when Jesus was buried</w:t>
      </w:r>
      <w:r>
        <w:rPr>
          <w:lang w:val="en_US" w:bidi="en_US"/>
        </w:rPr>
        <w:t xml:space="preserve">, </w:t>
      </w:r>
      <w:r>
        <w:rPr>
          <w:lang w:val="en_US" w:bidi="en_US"/>
        </w:rPr>
        <w:t>people</w:t>
      </w:r>
      <w:r>
        <w:rPr>
          <w:lang w:val="en_US" w:bidi="en_US"/>
        </w:rPr>
        <w:t xml:space="preserve"> were preparing </w:t>
      </w:r>
      <w:r>
        <w:rPr>
          <w:lang w:val="en_US" w:bidi="en_US"/>
        </w:rPr>
        <w:t>for the Jewish rest day</w:t>
      </w:r>
      <w:r>
        <w:rPr>
          <w:lang w:val="en_US" w:bidi="en_US"/>
        </w:rPr>
        <w:t>.</w:t>
      </w:r>
    </w:p>
    <w:p>
      <w:pPr>
        <w:pStyle w:val="Heading5"/>
      </w:pPr>
      <w:r>
        <w:rPr>
          <w:lang w:val="en_US" w:bidi="en_US"/>
        </w:rPr>
        <w:t>23:54b</w:t>
      </w:r>
    </w:p>
    <w:p>
      <w:pPr/>
      <w:r>
        <w:rPr>
          <w:lang w:val="en_US" w:bidi="en_US"/>
        </w:rPr>
      </w:r>
      <w:r>
        <w:rPr>
          <w:b/>
          <w:lang w:val="en_US" w:bidi="en_US"/>
        </w:rPr>
        <w:t>and the Sabbath was beginning.</w:t>
      </w:r>
    </w:p>
    <w:p>
      <w:pPr>
        <w:pStyle w:val="ListBullet"/>
        <w:spacing w:line="240" w:lineRule="auto"/>
        <w:ind w:left="720"/>
      </w:pPr>
      <w:r>
        <w:rPr>
          <w:lang w:val="en_US" w:bidi="en_US"/>
        </w:rPr>
      </w:r>
      <w:r>
        <w:rPr>
          <w:lang w:val="en_US" w:bidi="en_US"/>
        </w:rPr>
        <w:t>and it was nearly time for the Sabbath day to begin.</w:t>
      </w:r>
    </w:p>
    <w:p>
      <w:pPr>
        <w:pStyle w:val="ListBullet"/>
        <w:spacing w:line="240" w:lineRule="auto"/>
        <w:ind w:left="720"/>
      </w:pPr>
      <w:r>
        <w:rPr>
          <w:lang w:val="en_US" w:bidi="en_US"/>
        </w:rPr>
      </w:r>
      <w:r>
        <w:rPr>
          <w:lang w:val="en_US" w:bidi="en_US"/>
        </w:rPr>
        <w:t xml:space="preserve">The rest day would begin </w:t>
      </w:r>
      <w:r>
        <w:rPr>
          <w:lang w:val="en_US" w:bidi="en_US"/>
        </w:rPr>
        <w:t>at sunset that evening</w:t>
      </w:r>
      <w:r>
        <w:rPr>
          <w:lang w:val="en_US" w:bidi="en_US"/>
        </w:rPr>
        <w:t>.</w:t>
      </w:r>
    </w:p>
    <w:p>
      <w:pPr>
        <w:pStyle w:val="Heading5"/>
      </w:pPr>
      <w:r>
        <w:rPr>
          <w:lang w:val="en_US" w:bidi="en_US"/>
        </w:rPr>
        <w:t>23:54a–b</w:t>
      </w:r>
    </w:p>
    <w:p>
      <w:pPr/>
      <w:r>
        <w:rPr>
          <w:lang w:val="en_US" w:bidi="en_US"/>
        </w:rPr>
      </w:r>
      <w:r>
        <w:rPr>
          <w:b/>
          <w:lang w:val="en_US" w:bidi="en_US"/>
        </w:rPr>
        <w:t>It was Preparation Day, and the Sabbath was beginning:</w:t>
      </w:r>
      <w:r>
        <w:rPr>
          <w:lang w:val="en_US" w:bidi="en_US"/>
        </w:rPr>
        <w:t xml:space="preserve"> This is background information. </w:t>
      </w:r>
      <w:r>
        <w:rPr>
          <w:i/>
          <w:lang w:val="en_US" w:bidi="en_US"/>
        </w:rPr>
        <w:t>Preparation Day</w:t>
      </w:r>
      <w:r>
        <w:rPr>
          <w:lang w:val="en_US" w:bidi="en_US"/>
        </w:rPr>
        <w:t xml:space="preserve"> was the day that preceded the Jewish Sabbath day. On the Sabbath, no one could cook food or do any work. So on Preparation Day, people had to prepare food and other things for the Sabbath. </w:t>
      </w:r>
      <w:r>
        <w:rPr>
          <w:i/>
          <w:lang w:val="en_US" w:bidi="en_US"/>
        </w:rPr>
        <w:t>Preparation Day</w:t>
      </w:r>
      <w:r>
        <w:rPr>
          <w:lang w:val="en_US" w:bidi="en_US"/>
        </w:rPr>
        <w:t xml:space="preserve"> began on Thursday at sunset and continued until Friday at sunset.</w:t>
      </w:r>
    </w:p>
    <w:p>
      <w:pPr/>
      <w:r>
        <w:rPr>
          <w:lang w:val="en_US" w:bidi="en_US"/>
        </w:rPr>
      </w:r>
      <w:r>
        <w:rPr>
          <w:lang w:val="en_US" w:bidi="en_US"/>
        </w:rPr>
        <w:t xml:space="preserve">In some languages it may be necessary to translate </w:t>
      </w:r>
      <w:r>
        <w:rPr>
          <w:i/>
          <w:lang w:val="en_US" w:bidi="en_US"/>
        </w:rPr>
        <w:t>Preparation</w:t>
      </w:r>
      <w:r>
        <w:rPr>
          <w:lang w:val="en_US" w:bidi="en_US"/>
        </w:rPr>
        <w:t xml:space="preserve"> as a verb. For example:</w:t>
      </w:r>
    </w:p>
    <w:p>
      <w:pPr/>
      <w:r>
        <w:rPr>
          <w:lang w:val="en_US" w:bidi="en_US"/>
        </w:rPr>
      </w:r>
      <w:r>
        <w:rPr>
          <w:lang w:val="en_US" w:bidi="en_US"/>
        </w:rPr>
        <w:t>It was the day people prepared for the Sabbath, which was about to begin.</w:t>
      </w:r>
    </w:p>
    <w:p>
      <w:pPr/>
      <w:r>
        <w:rPr>
          <w:lang w:val="en_US" w:bidi="en_US"/>
        </w:rPr>
      </w:r>
      <w:r>
        <w:rPr>
          <w:lang w:val="en_US" w:bidi="en_US"/>
        </w:rPr>
        <w:t>It was forbidden to move a dead body on the Sabbath. The Sabbath began on Friday at sunset and continued until Saturday at sunset. Since Jesus died on Friday afternoon, Joseph had only a short time to bury the body before the Sabbath day began. You may want to include some of this information in a footnote. For example:</w:t>
      </w:r>
    </w:p>
    <w:p>
      <w:pPr/>
      <w:r>
        <w:rPr>
          <w:lang w:val="en_US" w:bidi="en_US"/>
        </w:rPr>
      </w:r>
      <w:r>
        <w:rPr>
          <w:lang w:val="en_US" w:bidi="en_US"/>
        </w:rPr>
        <w:t>According to Jewish law, people could not move a dead body on the Sabbath day. So Joseph had to bury the body quickly before the Sabbath day began at sunset.</w:t>
      </w:r>
    </w:p>
    <w:p>
      <w:pPr/>
      <w:r>
        <w:rPr>
          <w:lang w:val="en_US" w:bidi="en_US"/>
        </w:rPr>
      </w:r>
      <w:r>
        <w:rPr>
          <w:b/>
          <w:lang w:val="en_US" w:bidi="en_US"/>
        </w:rPr>
        <w:t>Sabbath:</w:t>
      </w:r>
      <w:r>
        <w:rPr>
          <w:lang w:val="en_US" w:bidi="en_US"/>
        </w:rPr>
        <w:t xml:space="preserve"> The word </w:t>
      </w:r>
      <w:r>
        <w:rPr>
          <w:i/>
          <w:lang w:val="en_US" w:bidi="en_US"/>
        </w:rPr>
        <w:t>Sabbath</w:t>
      </w:r>
      <w:r>
        <w:rPr>
          <w:lang w:val="en_US" w:bidi="en_US"/>
        </w:rPr>
        <w:t xml:space="preserve"> is the name of the seventh and last day of the week for the Jews. This was the special day in the week when they rested and worshiped God. It was against the Jewish religious law to do any work on the Sabbath (Deuteronomy 5:12–15). Some ways to translate </w:t>
      </w:r>
      <w:r>
        <w:rPr>
          <w:i/>
          <w:lang w:val="en_US" w:bidi="en_US"/>
        </w:rPr>
        <w:t>Sabbath</w:t>
      </w:r>
      <w:r>
        <w:rPr>
          <w:lang w:val="en_US" w:bidi="en_US"/>
        </w:rPr>
        <w:t xml:space="preserve"> are:</w:t>
      </w:r>
    </w:p>
    <w:p>
      <w:pPr/>
      <w:r>
        <w:rPr>
          <w:lang w:val="en_US" w:bidi="en_US"/>
        </w:rPr>
      </w:r>
      <w:r>
        <w:rPr>
          <w:lang w:val="en_US" w:bidi="en_US"/>
        </w:rPr>
        <w:t xml:space="preserve">the </w:t>
      </w:r>
      <w:r>
        <w:rPr>
          <w:lang w:val="en_US" w:bidi="en_US"/>
        </w:rPr>
        <w:t>Jewish</w:t>
      </w:r>
      <w:r>
        <w:rPr>
          <w:lang w:val="en_US" w:bidi="en_US"/>
        </w:rPr>
        <w:t xml:space="preserve"> rest day</w:t>
      </w:r>
    </w:p>
    <w:p>
      <w:pPr/>
      <w:r>
        <w:rPr>
          <w:lang w:val="en_US" w:bidi="en_US"/>
        </w:rPr>
      </w:r>
      <w:r>
        <w:rPr>
          <w:lang w:val="en_US" w:bidi="en_US"/>
        </w:rPr>
        <w:t>the day for resting</w:t>
      </w:r>
    </w:p>
    <w:p>
      <w:pPr/>
      <w:r>
        <w:rPr>
          <w:lang w:val="en_US" w:bidi="en_US"/>
        </w:rPr>
      </w:r>
      <w:r>
        <w:rPr>
          <w:lang w:val="en_US" w:bidi="en_US"/>
        </w:rPr>
        <w:t>the day to rest and worship God</w:t>
      </w:r>
    </w:p>
    <w:p>
      <w:pPr/>
      <w:r>
        <w:rPr>
          <w:lang w:val="en_US" w:bidi="en_US"/>
        </w:rPr>
      </w:r>
      <w:r>
        <w:rPr>
          <w:lang w:val="en_US" w:bidi="en_US"/>
        </w:rPr>
        <w:t xml:space="preserve">If the word </w:t>
      </w:r>
      <w:r>
        <w:rPr>
          <w:i/>
          <w:lang w:val="en_US" w:bidi="en_US"/>
        </w:rPr>
        <w:t>Sabbath</w:t>
      </w:r>
      <w:r>
        <w:rPr>
          <w:lang w:val="en_US" w:bidi="en_US"/>
        </w:rPr>
        <w:t xml:space="preserve"> is already known in your area, you may write it according to the sounds of your language. You may also want to include a phrase to explain the meaning. For example:</w:t>
      </w:r>
    </w:p>
    <w:p>
      <w:pPr/>
      <w:r>
        <w:rPr>
          <w:lang w:val="en_US" w:bidi="en_US"/>
        </w:rPr>
      </w:r>
      <w:r>
        <w:rPr>
          <w:lang w:val="en_US" w:bidi="en_US"/>
        </w:rPr>
        <w:t xml:space="preserve">the Sabat, the </w:t>
      </w:r>
      <w:r>
        <w:rPr>
          <w:lang w:val="en_US" w:bidi="en_US"/>
        </w:rPr>
        <w:t>Jews’</w:t>
      </w:r>
      <w:r>
        <w:rPr>
          <w:lang w:val="en_US" w:bidi="en_US"/>
        </w:rPr>
        <w:t xml:space="preserve"> rest day</w:t>
      </w:r>
    </w:p>
    <w:p>
      <w:pPr/>
      <w:r>
        <w:rPr>
          <w:lang w:val="en_US" w:bidi="en_US"/>
        </w:rPr>
      </w:r>
      <w:r>
        <w:rPr>
          <w:lang w:val="en_US" w:bidi="en_US"/>
        </w:rPr>
        <w:t>The Jewish Sabbath should not be confused with Sunday, the day when most Christians rest and worship. You may want to include a footnote to give more information. For example:</w:t>
      </w:r>
    </w:p>
    <w:p>
      <w:pPr/>
      <w:r>
        <w:rPr>
          <w:lang w:val="en_US" w:bidi="en_US"/>
        </w:rPr>
      </w:r>
      <w:r>
        <w:rPr>
          <w:lang w:val="en_US" w:bidi="en_US"/>
        </w:rPr>
        <w:t>The Sabbath is a name for the day of the week when the Jews rested from work and worshiped God.</w:t>
      </w:r>
    </w:p>
    <w:p>
      <w:pPr/>
      <w:r>
        <w:rPr>
          <w:lang w:val="en_US" w:bidi="en_US"/>
        </w:rPr>
      </w:r>
      <w:r>
        <w:rPr>
          <w:lang w:val="en_US" w:bidi="en_US"/>
        </w:rPr>
        <w:t xml:space="preserve">See how you translated </w:t>
      </w:r>
      <w:r>
        <w:rPr>
          <w:i/>
          <w:lang w:val="en_US" w:bidi="en_US"/>
        </w:rPr>
        <w:t>Sabbath</w:t>
      </w:r>
      <w:r>
        <w:rPr>
          <w:lang w:val="en_US" w:bidi="en_US"/>
        </w:rPr>
        <w:t xml:space="preserve"> at 4:16.</w:t>
      </w:r>
      <w:r>
        <w:rPr>
          <w:lang w:val="en_US" w:bidi="en_US"/>
        </w:rPr>
      </w:r>
      <w:r>
        <w:rPr>
          <w:lang w:val="en_US" w:bidi="en_US"/>
        </w:rPr>
      </w:r>
    </w:p>
    <w:p>
      <w:pPr/>
      <w:r>
        <w:rPr>
          <w:lang w:val="en_US" w:bidi="en_US"/>
        </w:rPr>
      </w:r>
    </w:p>
    <w:p>
      <w:pPr>
        <w:pStyle w:val="Heading2"/>
      </w:pPr>
      <w:r>
        <w:rPr>
          <w:lang w:val="en_US" w:bidi="en_US"/>
        </w:rPr>
        <w:t>Luke 23:55</w:t>
      </w:r>
      <w:r>
        <w:rPr>
          <w:lang w:val="en_US" w:bidi="en_US"/>
        </w:rPr>
      </w:r>
    </w:p>
    <w:p>
      <w:pPr>
        <w:pStyle w:val="Heading4"/>
      </w:pPr>
      <w:r>
        <w:rPr>
          <w:lang w:val="en_US" w:bidi="en_US"/>
        </w:rPr>
        <w:t>Section 23:50–56: Jesus was buried</w:t>
      </w:r>
    </w:p>
    <w:p>
      <w:pPr/>
      <w:r>
        <w:rPr>
          <w:lang w:val="en_US" w:bidi="en_US"/>
        </w:rPr>
      </w:r>
      <w:r>
        <w:rPr>
          <w:lang w:val="en_US" w:bidi="en_US"/>
        </w:rPr>
        <w:t>This section tells about how people buried Jesus’ body. Sometimes the Romans did not allow the body of a crucified person to be buried.</w:t>
      </w:r>
      <w:r>
        <w:rPr>
          <w:lang w:val="en_US" w:bidi="en_US"/>
        </w:rPr>
        <w:t>Nolland (p. 1166) says, “The bodies of condemned criminals were not always released for burial, especially in cases of treason….For the body to have stayed on the cross overnight would have been a violation of Jewish custom (for the most part, the Romans seem to have shown a sensitivity to this).”</w:t>
      </w:r>
      <w:r>
        <w:rPr>
          <w:lang w:val="en_US" w:bidi="en_US"/>
        </w:rPr>
        <w:t xml:space="preserve"> But for the Jews, a proper burial was important. It was their custom to bury the body on the same day that a person died. A respected Jewish man named Joseph decided that Jesus must have a proper burial. So Joseph went to Pilate and asked permission to take Jesus’ body and bury it.</w:t>
      </w:r>
    </w:p>
    <w:p>
      <w:pPr/>
      <w:r>
        <w:rPr>
          <w:lang w:val="en_US" w:bidi="en_US"/>
        </w:rPr>
      </w:r>
      <w:r>
        <w:rPr>
          <w:lang w:val="en_US" w:bidi="en_US"/>
        </w:rPr>
        <w:t>The Sabbath Day began just a few hours after Jesus died. On the Sabbath it was forbidden to move a dead body. So Joseph had to act quickly in all that he did.</w:t>
      </w:r>
    </w:p>
    <w:p>
      <w:pPr/>
      <w:r>
        <w:rPr>
          <w:lang w:val="en_US" w:bidi="en_US"/>
        </w:rPr>
      </w:r>
      <w:r>
        <w:rPr>
          <w:lang w:val="en_US" w:bidi="en_US"/>
        </w:rPr>
        <w:t>Examples of other headings for this section are:</w:t>
      </w:r>
    </w:p>
    <w:p>
      <w:pPr/>
      <w:r>
        <w:rPr>
          <w:lang w:val="en_US" w:bidi="en_US"/>
        </w:rPr>
      </w:r>
      <w:r>
        <w:rPr>
          <w:lang w:val="en_US" w:bidi="en_US"/>
        </w:rPr>
        <w:t>The Burial of Jesus (GNT)</w:t>
      </w:r>
    </w:p>
    <w:p>
      <w:pPr/>
      <w:r>
        <w:rPr>
          <w:lang w:val="en_US" w:bidi="en_US"/>
        </w:rPr>
      </w:r>
      <w:r>
        <w:rPr>
          <w:lang w:val="en_US" w:bidi="en_US"/>
        </w:rPr>
        <w:t>Jesus Is Buried (CEV)</w:t>
      </w:r>
    </w:p>
    <w:p>
      <w:pPr/>
      <w:r>
        <w:rPr>
          <w:lang w:val="en_US" w:bidi="en_US"/>
        </w:rPr>
      </w:r>
      <w:r>
        <w:rPr>
          <w:lang w:val="en_US" w:bidi="en_US"/>
        </w:rPr>
        <w:t>Joseph buried Jesus’ body</w:t>
      </w:r>
    </w:p>
    <w:p>
      <w:pPr/>
      <w:r>
        <w:rPr>
          <w:lang w:val="en_US" w:bidi="en_US"/>
        </w:rPr>
      </w:r>
      <w:r>
        <w:rPr>
          <w:lang w:val="en_US" w:bidi="en_US"/>
        </w:rPr>
        <w:t>Jesus’ corpse was placed in a burial cave</w:t>
      </w:r>
    </w:p>
    <w:p>
      <w:pPr/>
      <w:r>
        <w:rPr>
          <w:lang w:val="en_US" w:bidi="en_US"/>
        </w:rPr>
      </w:r>
      <w:r>
        <w:rPr>
          <w:lang w:val="en_US" w:bidi="en_US"/>
        </w:rPr>
        <w:t>Parallel passages for this section are found in Matthew 27:57–61, Mark 15:42–47, and John 19:38–42.</w:t>
      </w:r>
    </w:p>
    <w:p>
      <w:pPr>
        <w:pStyle w:val="Heading5"/>
      </w:pPr>
      <w:r>
        <w:rPr>
          <w:lang w:val="en_US" w:bidi="en_US"/>
        </w:rPr>
        <w:t>23:55a</w:t>
      </w:r>
    </w:p>
    <w:p>
      <w:pPr/>
      <w:r>
        <w:rPr>
          <w:lang w:val="en_US" w:bidi="en_US"/>
        </w:rPr>
      </w:r>
      <w:r>
        <w:rPr>
          <w:b/>
          <w:lang w:val="en_US" w:bidi="en_US"/>
        </w:rPr>
        <w:t>The women who had come with Jesus from Galilee</w:t>
      </w:r>
    </w:p>
    <w:p>
      <w:pPr>
        <w:pStyle w:val="ListBullet"/>
        <w:spacing w:line="240" w:lineRule="auto"/>
        <w:ind w:left="720"/>
      </w:pPr>
      <w:r>
        <w:rPr>
          <w:lang w:val="en_US" w:bidi="en_US"/>
        </w:rPr>
      </w:r>
      <w:r>
        <w:rPr>
          <w:lang w:val="en_US" w:bidi="en_US"/>
        </w:rPr>
        <w:t>¶ Those women who came with Jesus from Galilee</w:t>
      </w:r>
    </w:p>
    <w:p>
      <w:pPr>
        <w:pStyle w:val="ListBullet"/>
        <w:spacing w:line="240" w:lineRule="auto"/>
        <w:ind w:left="720"/>
      </w:pPr>
      <w:r>
        <w:rPr>
          <w:lang w:val="en_US" w:bidi="en_US"/>
        </w:rPr>
      </w:r>
      <w:r>
        <w:rPr>
          <w:lang w:val="en_US" w:bidi="en_US"/>
        </w:rPr>
        <w:t xml:space="preserve">¶ The women who came </w:t>
      </w:r>
      <w:r>
        <w:rPr>
          <w:lang w:val="en_US" w:bidi="en_US"/>
        </w:rPr>
        <w:t>to the city</w:t>
      </w:r>
      <w:r>
        <w:rPr>
          <w:lang w:val="en_US" w:bidi="en_US"/>
        </w:rPr>
        <w:t xml:space="preserve"> with Jesus from </w:t>
      </w:r>
      <w:r>
        <w:rPr>
          <w:lang w:val="en_US" w:bidi="en_US"/>
        </w:rPr>
        <w:t>the region/province of</w:t>
      </w:r>
      <w:r>
        <w:rPr>
          <w:lang w:val="en_US" w:bidi="en_US"/>
        </w:rPr>
        <w:t xml:space="preserve"> Galilee</w:t>
      </w:r>
    </w:p>
    <w:p>
      <w:pPr/>
      <w:r>
        <w:rPr>
          <w:lang w:val="en_US" w:bidi="en_US"/>
        </w:rPr>
      </w:r>
      <w:r>
        <w:rPr>
          <w:b/>
          <w:lang w:val="en_US" w:bidi="en_US"/>
        </w:rPr>
        <w:t>The women who had come with Jesus from Galilee:</w:t>
      </w:r>
      <w:r>
        <w:rPr>
          <w:lang w:val="en_US" w:bidi="en_US"/>
        </w:rPr>
        <w:t xml:space="preserve"> This phrase refers to the same women who were mentioned in 23:49. There the BSB refers to them as “the women who had followed Him from Galilee.” Refer back to them in the way that is natural in your language.</w:t>
      </w:r>
    </w:p>
    <w:p>
      <w:pPr>
        <w:pStyle w:val="Heading5"/>
      </w:pPr>
      <w:r>
        <w:rPr>
          <w:lang w:val="en_US" w:bidi="en_US"/>
        </w:rPr>
        <w:t>23:55b</w:t>
      </w:r>
    </w:p>
    <w:p>
      <w:pPr/>
      <w:r>
        <w:rPr>
          <w:lang w:val="en_US" w:bidi="en_US"/>
        </w:rPr>
      </w:r>
      <w:r>
        <w:rPr>
          <w:b/>
          <w:lang w:val="en_US" w:bidi="en_US"/>
        </w:rPr>
        <w:t>followed,</w:t>
      </w:r>
    </w:p>
    <w:p>
      <w:pPr>
        <w:pStyle w:val="ListBullet"/>
        <w:spacing w:line="240" w:lineRule="auto"/>
        <w:ind w:left="720"/>
      </w:pPr>
      <w:r>
        <w:rPr>
          <w:lang w:val="en_US" w:bidi="en_US"/>
        </w:rPr>
      </w:r>
      <w:r>
        <w:rPr>
          <w:lang w:val="en_US" w:bidi="en_US"/>
        </w:rPr>
        <w:t>went with Joseph.</w:t>
      </w:r>
    </w:p>
    <w:p>
      <w:pPr>
        <w:pStyle w:val="ListBullet"/>
        <w:spacing w:line="240" w:lineRule="auto"/>
        <w:ind w:left="720"/>
      </w:pPr>
      <w:r>
        <w:rPr>
          <w:lang w:val="en_US" w:bidi="en_US"/>
        </w:rPr>
      </w:r>
      <w:r>
        <w:rPr>
          <w:lang w:val="en_US" w:bidi="en_US"/>
        </w:rPr>
        <w:t xml:space="preserve">had followed Joseph </w:t>
      </w:r>
      <w:r>
        <w:rPr>
          <w:lang w:val="en_US" w:bidi="en_US"/>
        </w:rPr>
        <w:t>to the tomb</w:t>
      </w:r>
      <w:r>
        <w:rPr>
          <w:lang w:val="en_US" w:bidi="en_US"/>
        </w:rPr>
        <w:t>.</w:t>
      </w:r>
    </w:p>
    <w:p>
      <w:pPr/>
      <w:r>
        <w:rPr>
          <w:lang w:val="en_US" w:bidi="en_US"/>
        </w:rPr>
      </w:r>
      <w:r>
        <w:rPr>
          <w:b/>
          <w:lang w:val="en_US" w:bidi="en_US"/>
        </w:rPr>
        <w:t>followed:</w:t>
      </w:r>
      <w:r>
        <w:rPr>
          <w:lang w:val="en_US" w:bidi="en_US"/>
        </w:rPr>
        <w:t xml:space="preserve"> The verb </w:t>
      </w:r>
      <w:r>
        <w:rPr>
          <w:i/>
          <w:lang w:val="en_US" w:bidi="en_US"/>
        </w:rPr>
        <w:t>followed</w:t>
      </w:r>
      <w:r>
        <w:rPr>
          <w:lang w:val="en_US" w:bidi="en_US"/>
        </w:rPr>
        <w:t xml:space="preserve"> indicates that the women accompanied Joseph when he went to the tomb in 23:53. In some languages it may be necessary to say explicitly where the women went, or where Joseph went. Some other ways to translate it are:</w:t>
      </w:r>
    </w:p>
    <w:p>
      <w:pPr/>
      <w:r>
        <w:rPr>
          <w:lang w:val="en_US" w:bidi="en_US"/>
        </w:rPr>
      </w:r>
      <w:r>
        <w:rPr>
          <w:lang w:val="en_US" w:bidi="en_US"/>
        </w:rPr>
        <w:t xml:space="preserve">had followed Joseph </w:t>
      </w:r>
      <w:r>
        <w:rPr>
          <w:lang w:val="en_US" w:bidi="en_US"/>
        </w:rPr>
        <w:t>to the tomb</w:t>
      </w:r>
    </w:p>
    <w:p>
      <w:pPr/>
      <w:r>
        <w:rPr>
          <w:lang w:val="en_US" w:bidi="en_US"/>
        </w:rPr>
      </w:r>
      <w:r>
        <w:rPr>
          <w:lang w:val="en_US" w:bidi="en_US"/>
        </w:rPr>
        <w:t>followed closely behind Joseph (GW)</w:t>
      </w:r>
    </w:p>
    <w:p>
      <w:pPr/>
      <w:r>
        <w:rPr>
          <w:lang w:val="en_US" w:bidi="en_US"/>
        </w:rPr>
      </w:r>
      <w:r>
        <w:rPr>
          <w:lang w:val="en_US" w:bidi="en_US"/>
        </w:rPr>
        <w:t>went with Joseph (GNT)</w:t>
      </w:r>
    </w:p>
    <w:p>
      <w:pPr>
        <w:pStyle w:val="Heading5"/>
      </w:pPr>
      <w:r>
        <w:rPr>
          <w:lang w:val="en_US" w:bidi="en_US"/>
        </w:rPr>
        <w:t>23:55c</w:t>
      </w:r>
    </w:p>
    <w:p>
      <w:pPr/>
      <w:r>
        <w:rPr>
          <w:lang w:val="en_US" w:bidi="en_US"/>
        </w:rPr>
      </w:r>
      <w:r>
        <w:rPr>
          <w:b/>
          <w:lang w:val="en_US" w:bidi="en_US"/>
        </w:rPr>
        <w:t>and they saw the tomb and how His body was placed.</w:t>
      </w:r>
    </w:p>
    <w:p>
      <w:pPr>
        <w:pStyle w:val="ListBullet"/>
        <w:spacing w:line="240" w:lineRule="auto"/>
        <w:ind w:left="720"/>
      </w:pPr>
      <w:r>
        <w:rPr>
          <w:lang w:val="en_US" w:bidi="en_US"/>
        </w:rPr>
      </w:r>
      <w:r>
        <w:rPr>
          <w:lang w:val="en_US" w:bidi="en_US"/>
        </w:rPr>
        <w:t>They saw the tomb and observed how Jesus’ body was placed in it.</w:t>
      </w:r>
    </w:p>
    <w:p>
      <w:pPr>
        <w:pStyle w:val="ListBullet"/>
        <w:spacing w:line="240" w:lineRule="auto"/>
        <w:ind w:left="720"/>
      </w:pPr>
      <w:r>
        <w:rPr>
          <w:lang w:val="en_US" w:bidi="en_US"/>
        </w:rPr>
      </w:r>
      <w:r>
        <w:rPr>
          <w:lang w:val="en_US" w:bidi="en_US"/>
        </w:rPr>
        <w:t xml:space="preserve">They saw how </w:t>
      </w:r>
      <w:r>
        <w:rPr>
          <w:lang w:val="en_US" w:bidi="en_US"/>
        </w:rPr>
        <w:t>the men</w:t>
      </w:r>
      <w:r>
        <w:rPr>
          <w:lang w:val="en_US" w:bidi="en_US"/>
        </w:rPr>
        <w:t xml:space="preserve"> laid Jesus’ body in the tomb.</w:t>
      </w:r>
    </w:p>
    <w:p>
      <w:pPr/>
      <w:r>
        <w:rPr>
          <w:lang w:val="en_US" w:bidi="en_US"/>
        </w:rPr>
      </w:r>
      <w:r>
        <w:rPr>
          <w:b/>
          <w:lang w:val="en_US" w:bidi="en_US"/>
        </w:rPr>
        <w:t>and they saw the tomb and how His body was placed:</w:t>
      </w:r>
      <w:r>
        <w:rPr>
          <w:lang w:val="en_US" w:bidi="en_US"/>
        </w:rPr>
        <w:t xml:space="preserve"> This clause indicates that the women went all the way to the tomb with Joseph and saw it. They also saw how Jesus’ body was laid in the tomb. The text does not necessarily imply that the women went into the tomb. It implies that the tomb was still open and the women were able to look inside and see Jesus’ body.</w:t>
      </w:r>
    </w:p>
    <w:p>
      <w:pPr/>
      <w:r>
        <w:rPr>
          <w:lang w:val="en_US" w:bidi="en_US"/>
        </w:rPr>
      </w:r>
      <w:r>
        <w:rPr>
          <w:lang w:val="en_US" w:bidi="en_US"/>
        </w:rPr>
        <w:t>In some languages it may be necessary to say that the women arrived at the place where the tomb was before saying that they saw it. Notice that Joseph as well as the women arrived and saw the tomb. Luke mentioned only the women because they are in focus here. The women observed the location of the tomb carefully because they planned to return to it on Sunday morning.</w:t>
      </w:r>
      <w:r>
        <w:rPr>
          <w:lang w:val="en_US" w:bidi="en_US"/>
        </w:rPr>
        <w:t>After Jesus rose from the dead, his opponents wanted to say that he did not really rise from the dead. Some said that maybe the women went to the wrong tomb on Sunday morning. This verse shows that the women knew very well where the tomb was, and when they went back there on Sunday, Jesus was no longer there.</w:t>
      </w:r>
    </w:p>
    <w:p>
      <w:pPr/>
      <w:r>
        <w:rPr>
          <w:lang w:val="en_US" w:bidi="en_US"/>
        </w:rPr>
      </w:r>
      <w:r>
        <w:rPr>
          <w:lang w:val="en_US" w:bidi="en_US"/>
        </w:rPr>
        <w:t>Some other ways to translate the clause are:</w:t>
      </w:r>
    </w:p>
    <w:p>
      <w:pPr/>
      <w:r>
        <w:rPr>
          <w:lang w:val="en_US" w:bidi="en_US"/>
        </w:rPr>
      </w:r>
      <w:r>
        <w:rPr>
          <w:lang w:val="en_US" w:bidi="en_US"/>
        </w:rPr>
        <w:t>When the women got there,</w:t>
      </w:r>
      <w:r>
        <w:rPr>
          <w:lang w:val="en_US" w:bidi="en_US"/>
        </w:rPr>
        <w:t xml:space="preserve"> they saw the tomb and how Jesus’ body was placed in it.</w:t>
      </w:r>
    </w:p>
    <w:p>
      <w:pPr/>
      <w:r>
        <w:rPr>
          <w:lang w:val="en_US" w:bidi="en_US"/>
        </w:rPr>
      </w:r>
      <w:r>
        <w:rPr>
          <w:lang w:val="en_US" w:bidi="en_US"/>
        </w:rPr>
        <w:t>They observed the tomb and how his body was laid in it. (GW)</w:t>
      </w:r>
      <w:r>
        <w:rPr>
          <w:lang w:val="en_US" w:bidi="en_US"/>
        </w:rPr>
      </w:r>
      <w:r>
        <w:rPr>
          <w:lang w:val="en_US" w:bidi="en_US"/>
        </w:rPr>
      </w:r>
    </w:p>
    <w:p>
      <w:pPr/>
      <w:r>
        <w:rPr>
          <w:lang w:val="en_US" w:bidi="en_US"/>
        </w:rPr>
      </w:r>
    </w:p>
    <w:p>
      <w:pPr>
        <w:pStyle w:val="Heading2"/>
      </w:pPr>
      <w:r>
        <w:rPr>
          <w:lang w:val="en_US" w:bidi="en_US"/>
        </w:rPr>
        <w:t>Luke 23:56</w:t>
      </w:r>
      <w:r>
        <w:rPr>
          <w:lang w:val="en_US" w:bidi="en_US"/>
        </w:rPr>
      </w:r>
    </w:p>
    <w:p>
      <w:pPr>
        <w:pStyle w:val="Heading4"/>
      </w:pPr>
      <w:r>
        <w:rPr>
          <w:lang w:val="en_US" w:bidi="en_US"/>
        </w:rPr>
        <w:t>Section 23:50–56: Jesus was buried</w:t>
      </w:r>
    </w:p>
    <w:p>
      <w:pPr/>
      <w:r>
        <w:rPr>
          <w:lang w:val="en_US" w:bidi="en_US"/>
        </w:rPr>
      </w:r>
      <w:r>
        <w:rPr>
          <w:lang w:val="en_US" w:bidi="en_US"/>
        </w:rPr>
        <w:t>This section tells about how people buried Jesus’ body. Sometimes the Romans did not allow the body of a crucified person to be buried.</w:t>
      </w:r>
      <w:r>
        <w:rPr>
          <w:lang w:val="en_US" w:bidi="en_US"/>
        </w:rPr>
        <w:t>Nolland (p. 1166) says, “The bodies of condemned criminals were not always released for burial, especially in cases of treason….For the body to have stayed on the cross overnight would have been a violation of Jewish custom (for the most part, the Romans seem to have shown a sensitivity to this).”</w:t>
      </w:r>
      <w:r>
        <w:rPr>
          <w:lang w:val="en_US" w:bidi="en_US"/>
        </w:rPr>
        <w:t xml:space="preserve"> But for the Jews, a proper burial was important. It was their custom to bury the body on the same day that a person died. A respected Jewish man named Joseph decided that Jesus must have a proper burial. So Joseph went to Pilate and asked permission to take Jesus’ body and bury it.</w:t>
      </w:r>
    </w:p>
    <w:p>
      <w:pPr/>
      <w:r>
        <w:rPr>
          <w:lang w:val="en_US" w:bidi="en_US"/>
        </w:rPr>
      </w:r>
      <w:r>
        <w:rPr>
          <w:lang w:val="en_US" w:bidi="en_US"/>
        </w:rPr>
        <w:t>The Sabbath Day began just a few hours after Jesus died. On the Sabbath it was forbidden to move a dead body. So Joseph had to act quickly in all that he did.</w:t>
      </w:r>
    </w:p>
    <w:p>
      <w:pPr/>
      <w:r>
        <w:rPr>
          <w:lang w:val="en_US" w:bidi="en_US"/>
        </w:rPr>
      </w:r>
      <w:r>
        <w:rPr>
          <w:lang w:val="en_US" w:bidi="en_US"/>
        </w:rPr>
        <w:t>Examples of other headings for this section are:</w:t>
      </w:r>
    </w:p>
    <w:p>
      <w:pPr/>
      <w:r>
        <w:rPr>
          <w:lang w:val="en_US" w:bidi="en_US"/>
        </w:rPr>
      </w:r>
      <w:r>
        <w:rPr>
          <w:lang w:val="en_US" w:bidi="en_US"/>
        </w:rPr>
        <w:t>The Burial of Jesus (GNT)</w:t>
      </w:r>
    </w:p>
    <w:p>
      <w:pPr/>
      <w:r>
        <w:rPr>
          <w:lang w:val="en_US" w:bidi="en_US"/>
        </w:rPr>
      </w:r>
      <w:r>
        <w:rPr>
          <w:lang w:val="en_US" w:bidi="en_US"/>
        </w:rPr>
        <w:t>Jesus Is Buried (CEV)</w:t>
      </w:r>
    </w:p>
    <w:p>
      <w:pPr/>
      <w:r>
        <w:rPr>
          <w:lang w:val="en_US" w:bidi="en_US"/>
        </w:rPr>
      </w:r>
      <w:r>
        <w:rPr>
          <w:lang w:val="en_US" w:bidi="en_US"/>
        </w:rPr>
        <w:t>Joseph buried Jesus’ body</w:t>
      </w:r>
    </w:p>
    <w:p>
      <w:pPr/>
      <w:r>
        <w:rPr>
          <w:lang w:val="en_US" w:bidi="en_US"/>
        </w:rPr>
      </w:r>
      <w:r>
        <w:rPr>
          <w:lang w:val="en_US" w:bidi="en_US"/>
        </w:rPr>
        <w:t>Jesus’ corpse was placed in a burial cave</w:t>
      </w:r>
    </w:p>
    <w:p>
      <w:pPr/>
      <w:r>
        <w:rPr>
          <w:lang w:val="en_US" w:bidi="en_US"/>
        </w:rPr>
      </w:r>
      <w:r>
        <w:rPr>
          <w:lang w:val="en_US" w:bidi="en_US"/>
        </w:rPr>
        <w:t>Parallel passages for this section are found in Matthew 27:57–61, Mark 15:42–47, and John 19:38–42.</w:t>
      </w:r>
    </w:p>
    <w:p>
      <w:pPr>
        <w:pStyle w:val="Heading5"/>
      </w:pPr>
      <w:r>
        <w:rPr>
          <w:lang w:val="en_US" w:bidi="en_US"/>
        </w:rPr>
        <w:t>23:56a</w:t>
      </w:r>
    </w:p>
    <w:p>
      <w:pPr/>
      <w:r>
        <w:rPr>
          <w:lang w:val="en_US" w:bidi="en_US"/>
        </w:rPr>
      </w:r>
      <w:r>
        <w:rPr>
          <w:b/>
          <w:lang w:val="en_US" w:bidi="en_US"/>
        </w:rPr>
        <w:t>Then they returned</w:t>
      </w:r>
    </w:p>
    <w:p>
      <w:pPr>
        <w:pStyle w:val="ListBullet"/>
        <w:spacing w:line="240" w:lineRule="auto"/>
        <w:ind w:left="720"/>
      </w:pPr>
      <w:r>
        <w:rPr>
          <w:lang w:val="en_US" w:bidi="en_US"/>
        </w:rPr>
      </w:r>
      <w:r>
        <w:rPr>
          <w:lang w:val="en_US" w:bidi="en_US"/>
        </w:rPr>
        <w:t xml:space="preserve">Then they returned </w:t>
      </w:r>
      <w:r>
        <w:rPr>
          <w:lang w:val="en_US" w:bidi="en_US"/>
        </w:rPr>
        <w:t>to Jerusalem</w:t>
      </w:r>
      <w:r>
        <w:rPr>
          <w:lang w:val="en_US" w:bidi="en_US"/>
        </w:rPr>
        <w:t>,</w:t>
      </w:r>
    </w:p>
    <w:p>
      <w:pPr>
        <w:pStyle w:val="ListBullet"/>
        <w:spacing w:line="240" w:lineRule="auto"/>
        <w:ind w:left="720"/>
      </w:pPr>
      <w:r>
        <w:rPr>
          <w:lang w:val="en_US" w:bidi="en_US"/>
        </w:rPr>
      </w:r>
      <w:r>
        <w:rPr>
          <w:lang w:val="en_US" w:bidi="en_US"/>
        </w:rPr>
        <w:t xml:space="preserve">Then they went back </w:t>
      </w:r>
      <w:r>
        <w:rPr>
          <w:lang w:val="en_US" w:bidi="en_US"/>
        </w:rPr>
        <w:t>to where they were staying in Jerusalem</w:t>
      </w:r>
      <w:r>
        <w:rPr>
          <w:lang w:val="en_US" w:bidi="en_US"/>
        </w:rPr>
        <w:t>.</w:t>
      </w:r>
    </w:p>
    <w:p>
      <w:pPr/>
      <w:r>
        <w:rPr>
          <w:lang w:val="en_US" w:bidi="en_US"/>
        </w:rPr>
      </w:r>
      <w:r>
        <w:rPr>
          <w:b/>
          <w:lang w:val="en_US" w:bidi="en_US"/>
        </w:rPr>
        <w:t>Then they returned:</w:t>
      </w:r>
      <w:r>
        <w:rPr>
          <w:lang w:val="en_US" w:bidi="en_US"/>
        </w:rPr>
        <w:t xml:space="preserve"> The Greek verb that the BSB literally translates as </w:t>
      </w:r>
      <w:r>
        <w:rPr>
          <w:i/>
          <w:lang w:val="en_US" w:bidi="en_US"/>
        </w:rPr>
        <w:t>Then they returned</w:t>
      </w:r>
      <w:r>
        <w:rPr>
          <w:lang w:val="en_US" w:bidi="en_US"/>
        </w:rPr>
        <w:t xml:space="preserve"> indicates that the women went back to the place where they were staying in Jerusalem or the surrounding area. They did not go back to their homes in Galilee at this time. Some other ways to translate the clause </w:t>
      </w:r>
      <w:r>
        <w:rPr>
          <w:i/>
          <w:lang w:val="en_US" w:bidi="en_US"/>
        </w:rPr>
        <w:t>Then they returned</w:t>
      </w:r>
      <w:r>
        <w:rPr>
          <w:lang w:val="en_US" w:bidi="en_US"/>
        </w:rPr>
        <w:t xml:space="preserve"> are:</w:t>
      </w:r>
    </w:p>
    <w:p>
      <w:pPr/>
      <w:r>
        <w:rPr>
          <w:lang w:val="en_US" w:bidi="en_US"/>
        </w:rPr>
      </w:r>
      <w:r>
        <w:rPr>
          <w:lang w:val="en_US" w:bidi="en_US"/>
        </w:rPr>
        <w:t>Then they went back to the city (GW)</w:t>
      </w:r>
    </w:p>
    <w:p>
      <w:pPr/>
      <w:r>
        <w:rPr>
          <w:lang w:val="en_US" w:bidi="en_US"/>
        </w:rPr>
      </w:r>
      <w:r>
        <w:rPr>
          <w:lang w:val="en_US" w:bidi="en_US"/>
        </w:rPr>
        <w:t>After that, they returned to the town</w:t>
      </w:r>
      <w:r>
        <w:rPr>
          <w:lang w:val="en_US" w:bidi="en_US"/>
        </w:rPr>
        <w:t>Uma back translation on TW.</w:t>
      </w:r>
    </w:p>
    <w:p>
      <w:pPr/>
      <w:r>
        <w:rPr>
          <w:lang w:val="en_US" w:bidi="en_US"/>
        </w:rPr>
      </w:r>
      <w:r>
        <w:rPr>
          <w:lang w:val="en_US" w:bidi="en_US"/>
        </w:rPr>
        <w:t>Then the women left (NCV)</w:t>
      </w:r>
    </w:p>
    <w:p>
      <w:pPr>
        <w:pStyle w:val="Heading5"/>
      </w:pPr>
      <w:r>
        <w:rPr>
          <w:lang w:val="en_US" w:bidi="en_US"/>
        </w:rPr>
        <w:t>23:56b</w:t>
      </w:r>
    </w:p>
    <w:p>
      <w:pPr/>
      <w:r>
        <w:rPr>
          <w:lang w:val="en_US" w:bidi="en_US"/>
        </w:rPr>
      </w:r>
      <w:r>
        <w:rPr>
          <w:b/>
          <w:lang w:val="en_US" w:bidi="en_US"/>
        </w:rPr>
        <w:t>to prepare spices and perfumes.</w:t>
      </w:r>
    </w:p>
    <w:p>
      <w:pPr>
        <w:pStyle w:val="ListBullet"/>
        <w:spacing w:line="240" w:lineRule="auto"/>
        <w:ind w:left="720"/>
      </w:pPr>
      <w:r>
        <w:rPr>
          <w:lang w:val="en_US" w:bidi="en_US"/>
        </w:rPr>
      </w:r>
      <w:r>
        <w:rPr>
          <w:lang w:val="en_US" w:bidi="en_US"/>
        </w:rPr>
        <w:t xml:space="preserve">and they prepared fragrant ointments and oils </w:t>
      </w:r>
      <w:r>
        <w:rPr>
          <w:lang w:val="en_US" w:bidi="en_US"/>
        </w:rPr>
        <w:t>for anointing Jesus’ body</w:t>
      </w:r>
      <w:r>
        <w:rPr>
          <w:lang w:val="en_US" w:bidi="en_US"/>
        </w:rPr>
        <w:t>.</w:t>
      </w:r>
    </w:p>
    <w:p>
      <w:pPr>
        <w:pStyle w:val="ListBullet"/>
        <w:spacing w:line="240" w:lineRule="auto"/>
        <w:ind w:left="720"/>
      </w:pPr>
      <w:r>
        <w:rPr>
          <w:lang w:val="en_US" w:bidi="en_US"/>
        </w:rPr>
      </w:r>
      <w:r>
        <w:rPr>
          <w:lang w:val="en_US" w:bidi="en_US"/>
        </w:rPr>
        <w:t xml:space="preserve">They prepared sweet-smelling burial oils/ointments </w:t>
      </w:r>
      <w:r>
        <w:rPr>
          <w:lang w:val="en_US" w:bidi="en_US"/>
        </w:rPr>
        <w:t>to rub/smear on the corpse of Jesus</w:t>
      </w:r>
      <w:r>
        <w:rPr>
          <w:lang w:val="en_US" w:bidi="en_US"/>
        </w:rPr>
        <w:t>.</w:t>
      </w:r>
    </w:p>
    <w:p>
      <w:pPr/>
      <w:r>
        <w:rPr>
          <w:lang w:val="en_US" w:bidi="en_US"/>
        </w:rPr>
      </w:r>
      <w:r>
        <w:rPr>
          <w:b/>
          <w:lang w:val="en_US" w:bidi="en_US"/>
        </w:rPr>
        <w:t>to prepare spices and perfumes:</w:t>
      </w:r>
      <w:r>
        <w:rPr>
          <w:lang w:val="en_US" w:bidi="en_US"/>
        </w:rPr>
        <w:t xml:space="preserve"> This phrase indicates that the women prepared sweet-smelling substances to use to anoint Jesus’ body. Luke did not indicate how the women prepared them.</w:t>
      </w:r>
    </w:p>
    <w:p>
      <w:pPr/>
      <w:r>
        <w:rPr>
          <w:lang w:val="en_US" w:bidi="en_US"/>
        </w:rPr>
      </w:r>
      <w:r>
        <w:rPr>
          <w:lang w:val="en_US" w:bidi="en_US"/>
        </w:rPr>
        <w:t>The women were planning to put the spices and perfumes on Jesus’ body after the Sabbath. It was a custom of the Jews to do this to a corpse before burial. They did this in order to honor the one who had died and to preserve the body for a while.</w:t>
      </w:r>
    </w:p>
    <w:p>
      <w:pPr/>
      <w:r>
        <w:rPr>
          <w:lang w:val="en_US" w:bidi="en_US"/>
        </w:rPr>
      </w:r>
      <w:r>
        <w:rPr>
          <w:lang w:val="en_US" w:bidi="en_US"/>
        </w:rPr>
        <w:t>Translate the phrase in a natural way in your language.</w:t>
      </w:r>
    </w:p>
    <w:p>
      <w:pPr/>
      <w:r>
        <w:rPr>
          <w:lang w:val="en_US" w:bidi="en_US"/>
        </w:rPr>
      </w:r>
      <w:r>
        <w:rPr>
          <w:b/>
          <w:lang w:val="en_US" w:bidi="en_US"/>
        </w:rPr>
        <w:t>spices and perfumes:</w:t>
      </w:r>
      <w:r>
        <w:rPr>
          <w:lang w:val="en_US" w:bidi="en_US"/>
        </w:rPr>
        <w:t xml:space="preserve"> In this context the words </w:t>
      </w:r>
      <w:r>
        <w:rPr>
          <w:i/>
          <w:lang w:val="en_US" w:bidi="en_US"/>
        </w:rPr>
        <w:t>spices</w:t>
      </w:r>
      <w:r>
        <w:rPr>
          <w:lang w:val="en_US" w:bidi="en_US"/>
        </w:rPr>
        <w:t xml:space="preserve"> and </w:t>
      </w:r>
      <w:r>
        <w:rPr>
          <w:i/>
          <w:lang w:val="en_US" w:bidi="en_US"/>
        </w:rPr>
        <w:t>perfumes</w:t>
      </w:r>
      <w:r>
        <w:rPr>
          <w:lang w:val="en_US" w:bidi="en_US"/>
        </w:rPr>
        <w:t xml:space="preserve"> have a similar meaning. They refer to sweet-smelling substances that were often used to anoint a dead body. The sweet smell of these substances helped to hide the smell of decay. The substances used in this way were probably some type of fragrant salve, oil, or ointment. They were not the same spices that were used in food.</w:t>
      </w:r>
    </w:p>
    <w:p>
      <w:pPr/>
      <w:r>
        <w:rPr>
          <w:lang w:val="en_US" w:bidi="en_US"/>
        </w:rPr>
      </w:r>
      <w:r>
        <w:rPr>
          <w:lang w:val="en_US" w:bidi="en_US"/>
        </w:rPr>
        <w:t>In some languages it may be more natural to use one general term to describe such burial spices/perfumes. For example:</w:t>
      </w:r>
    </w:p>
    <w:p>
      <w:pPr/>
      <w:r>
        <w:rPr>
          <w:lang w:val="en_US" w:bidi="en_US"/>
        </w:rPr>
      </w:r>
      <w:r>
        <w:rPr>
          <w:lang w:val="en_US" w:bidi="en_US"/>
        </w:rPr>
        <w:t>fragrant anointing oils</w:t>
      </w:r>
    </w:p>
    <w:p>
      <w:pPr/>
      <w:r>
        <w:rPr>
          <w:lang w:val="en_US" w:bidi="en_US"/>
        </w:rPr>
      </w:r>
      <w:r>
        <w:rPr>
          <w:lang w:val="en_US" w:bidi="en_US"/>
        </w:rPr>
        <w:t>sweet-smelling burial perfumes</w:t>
      </w:r>
    </w:p>
    <w:p>
      <w:pPr/>
      <w:r>
        <w:rPr>
          <w:lang w:val="en_US" w:bidi="en_US"/>
        </w:rPr>
      </w:r>
      <w:r>
        <w:rPr>
          <w:b/>
          <w:lang w:val="en_US" w:bidi="en_US"/>
        </w:rPr>
        <w:t>spices:</w:t>
      </w:r>
      <w:r>
        <w:rPr>
          <w:lang w:val="en_US" w:bidi="en_US"/>
        </w:rPr>
        <w:t xml:space="preserve"> The Greek word that the BSB translates as </w:t>
      </w:r>
      <w:r>
        <w:rPr>
          <w:i/>
          <w:lang w:val="en_US" w:bidi="en_US"/>
        </w:rPr>
        <w:t>spices</w:t>
      </w:r>
      <w:r>
        <w:rPr>
          <w:lang w:val="en_US" w:bidi="en_US"/>
        </w:rPr>
        <w:t xml:space="preserve"> can refer to any kind of fragrant substance.</w:t>
      </w:r>
      <w:r>
        <w:rPr>
          <w:i/>
          <w:lang w:val="en_US" w:bidi="en_US"/>
        </w:rPr>
        <w:t>arōma</w:t>
      </w:r>
      <w:r>
        <w:rPr>
          <w:lang w:val="en_US" w:bidi="en_US"/>
        </w:rPr>
        <w:t>, BDAG, p. 140.</w:t>
      </w:r>
      <w:r>
        <w:rPr>
          <w:lang w:val="en_US" w:bidi="en_US"/>
        </w:rPr>
        <w:t xml:space="preserve"> Here the word probably refers to some type of fragrant ointment.</w:t>
      </w:r>
    </w:p>
    <w:p>
      <w:pPr/>
      <w:r>
        <w:rPr>
          <w:lang w:val="en_US" w:bidi="en_US"/>
        </w:rPr>
      </w:r>
      <w:r>
        <w:rPr>
          <w:b/>
          <w:lang w:val="en_US" w:bidi="en_US"/>
        </w:rPr>
        <w:t>perfumes:</w:t>
      </w:r>
      <w:r>
        <w:rPr>
          <w:lang w:val="en_US" w:bidi="en_US"/>
        </w:rPr>
        <w:t xml:space="preserve"> The Greek word that the BSB translates as </w:t>
      </w:r>
      <w:r>
        <w:rPr>
          <w:i/>
          <w:lang w:val="en_US" w:bidi="en_US"/>
        </w:rPr>
        <w:t>perfumes</w:t>
      </w:r>
      <w:r>
        <w:rPr>
          <w:lang w:val="en_US" w:bidi="en_US"/>
        </w:rPr>
        <w:t xml:space="preserve"> means “ointments, perfumes.”</w:t>
      </w:r>
      <w:r>
        <w:rPr>
          <w:i/>
          <w:lang w:val="en_US" w:bidi="en_US"/>
        </w:rPr>
        <w:t>mura</w:t>
      </w:r>
      <w:r>
        <w:rPr>
          <w:lang w:val="en_US" w:bidi="en_US"/>
        </w:rPr>
        <w:t>, BDAG, p. 661.</w:t>
      </w:r>
      <w:r>
        <w:rPr>
          <w:lang w:val="en_US" w:bidi="en_US"/>
        </w:rPr>
        <w:t xml:space="preserve"> The word often referred to expensive oils that smelled very sweet.</w:t>
      </w:r>
    </w:p>
    <w:p>
      <w:pPr>
        <w:pStyle w:val="Heading5"/>
      </w:pPr>
      <w:r>
        <w:rPr>
          <w:lang w:val="en_US" w:bidi="en_US"/>
        </w:rPr>
        <w:t>23:56c</w:t>
      </w:r>
    </w:p>
    <w:p>
      <w:pPr/>
      <w:r>
        <w:rPr>
          <w:lang w:val="en_US" w:bidi="en_US"/>
        </w:rPr>
      </w:r>
      <w:r>
        <w:rPr>
          <w:b/>
          <w:lang w:val="en_US" w:bidi="en_US"/>
        </w:rPr>
        <w:t>And they rested on the Sabbath, according to the commandment.</w:t>
      </w:r>
    </w:p>
    <w:p>
      <w:pPr>
        <w:pStyle w:val="ListBullet"/>
        <w:spacing w:line="240" w:lineRule="auto"/>
        <w:ind w:left="720"/>
      </w:pPr>
      <w:r>
        <w:rPr>
          <w:lang w:val="en_US" w:bidi="en_US"/>
        </w:rPr>
      </w:r>
      <w:r>
        <w:rPr>
          <w:lang w:val="en_US" w:bidi="en_US"/>
        </w:rPr>
        <w:t xml:space="preserve">Then they rested on the Sabbath </w:t>
      </w:r>
      <w:r>
        <w:rPr>
          <w:lang w:val="en_US" w:bidi="en_US"/>
        </w:rPr>
        <w:t>day</w:t>
      </w:r>
      <w:r>
        <w:rPr>
          <w:lang w:val="en_US" w:bidi="en_US"/>
        </w:rPr>
        <w:t xml:space="preserve"> in order to obey </w:t>
      </w:r>
      <w:r>
        <w:rPr>
          <w:lang w:val="en_US" w:bidi="en_US"/>
        </w:rPr>
        <w:t>God’s</w:t>
      </w:r>
      <w:r>
        <w:rPr>
          <w:lang w:val="en_US" w:bidi="en_US"/>
        </w:rPr>
        <w:t xml:space="preserve"> commandment </w:t>
      </w:r>
      <w:r>
        <w:rPr>
          <w:lang w:val="en_US" w:bidi="en_US"/>
        </w:rPr>
        <w:t>about that</w:t>
      </w:r>
      <w:r>
        <w:rPr>
          <w:lang w:val="en_US" w:bidi="en_US"/>
        </w:rPr>
        <w:t>.</w:t>
      </w:r>
    </w:p>
    <w:p>
      <w:pPr>
        <w:pStyle w:val="ListBullet"/>
        <w:spacing w:line="240" w:lineRule="auto"/>
        <w:ind w:left="720"/>
      </w:pPr>
      <w:r>
        <w:rPr>
          <w:lang w:val="en_US" w:bidi="en_US"/>
        </w:rPr>
      </w:r>
      <w:r>
        <w:rPr>
          <w:lang w:val="en_US" w:bidi="en_US"/>
        </w:rPr>
        <w:t xml:space="preserve">But they rested on the </w:t>
      </w:r>
      <w:r>
        <w:rPr>
          <w:lang w:val="en_US" w:bidi="en_US"/>
        </w:rPr>
        <w:t>Jewish</w:t>
      </w:r>
      <w:r>
        <w:rPr>
          <w:lang w:val="en_US" w:bidi="en_US"/>
        </w:rPr>
        <w:t xml:space="preserve"> rest day, as the Law </w:t>
      </w:r>
      <w:r>
        <w:rPr>
          <w:lang w:val="en_US" w:bidi="en_US"/>
        </w:rPr>
        <w:t>of Moses</w:t>
      </w:r>
      <w:r>
        <w:rPr>
          <w:lang w:val="en_US" w:bidi="en_US"/>
        </w:rPr>
        <w:t xml:space="preserve"> said they should do.</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is a common conjunction that is often translated as “and.” Here it introduces what the women did next. After they prepared spices and perfumes to anoint Jesus’ body, they rested on the Sabbath. They did not return immediately to the tomb, so there is an implied contrast with 23:56b. For example:</w:t>
      </w:r>
    </w:p>
    <w:p>
      <w:pPr/>
      <w:r>
        <w:rPr>
          <w:lang w:val="en_US" w:bidi="en_US"/>
        </w:rPr>
      </w:r>
      <w:r>
        <w:rPr>
          <w:lang w:val="en_US" w:bidi="en_US"/>
        </w:rPr>
        <w:t>But (NIV)</w:t>
      </w:r>
    </w:p>
    <w:p>
      <w:pPr/>
      <w:r>
        <w:rPr>
          <w:lang w:val="en_US" w:bidi="en_US"/>
        </w:rPr>
      </w:r>
      <w:r>
        <w:rPr>
          <w:lang w:val="en_US" w:bidi="en_US"/>
        </w:rPr>
        <w:t>In some languages a conjunction is not needed. You should begin 23:56c in a way that is natural in your language.</w:t>
      </w:r>
    </w:p>
    <w:p>
      <w:pPr/>
      <w:r>
        <w:rPr>
          <w:lang w:val="en_US" w:bidi="en_US"/>
        </w:rPr>
      </w:r>
      <w:r>
        <w:rPr>
          <w:b/>
          <w:lang w:val="en_US" w:bidi="en_US"/>
        </w:rPr>
        <w:t>they rested on the Sabbath:</w:t>
      </w:r>
      <w:r>
        <w:rPr>
          <w:lang w:val="en_US" w:bidi="en_US"/>
        </w:rPr>
        <w:t xml:space="preserve"> This clause indicates that at sunset on Friday the women began to celebrate the Sabbath day. The Sabbath was the day when the Jews rested and worshiped. So the women did not go back to the tomb to anoint Jesus’ body until that day was over. See how you translated Sabbath in 23:54.</w:t>
      </w:r>
    </w:p>
    <w:p>
      <w:pPr/>
      <w:r>
        <w:rPr>
          <w:lang w:val="en_US" w:bidi="en_US"/>
        </w:rPr>
      </w:r>
      <w:r>
        <w:rPr>
          <w:b/>
          <w:lang w:val="en_US" w:bidi="en_US"/>
        </w:rPr>
        <w:t>according to the commandment:</w:t>
      </w:r>
      <w:r>
        <w:rPr>
          <w:lang w:val="en_US" w:bidi="en_US"/>
        </w:rPr>
        <w:t xml:space="preserve"> The women rested in order to obey the commandment. The phrase </w:t>
      </w:r>
      <w:r>
        <w:rPr>
          <w:i/>
          <w:lang w:val="en_US" w:bidi="en_US"/>
        </w:rPr>
        <w:t>the commandment</w:t>
      </w:r>
      <w:r>
        <w:rPr>
          <w:lang w:val="en_US" w:bidi="en_US"/>
        </w:rPr>
        <w:t xml:space="preserve"> refers to the command about the Sabbath in the Law of Moses. It is one of the Ten Commandments that God told Moses to give to all the Jewish people. God said that they must keep the Sabbath (seventh) day holy and do no work on that day. See Deuteronomy 5:12–15.</w:t>
      </w:r>
    </w:p>
    <w:p>
      <w:pPr/>
      <w:r>
        <w:rPr>
          <w:lang w:val="en_US" w:bidi="en_US"/>
        </w:rPr>
      </w:r>
      <w:r>
        <w:rPr>
          <w:lang w:val="en_US" w:bidi="en_US"/>
        </w:rPr>
        <w:t xml:space="preserve">Some other ways to translate the phrase </w:t>
      </w:r>
      <w:r>
        <w:rPr>
          <w:i/>
          <w:lang w:val="en_US" w:bidi="en_US"/>
        </w:rPr>
        <w:t>according to the commandment</w:t>
      </w:r>
      <w:r>
        <w:rPr>
          <w:lang w:val="en_US" w:bidi="en_US"/>
        </w:rPr>
        <w:t xml:space="preserve"> are:</w:t>
      </w:r>
    </w:p>
    <w:p>
      <w:pPr/>
      <w:r>
        <w:rPr>
          <w:lang w:val="en_US" w:bidi="en_US"/>
        </w:rPr>
      </w:r>
      <w:r>
        <w:rPr>
          <w:lang w:val="en_US" w:bidi="en_US"/>
        </w:rPr>
        <w:t>as the Law commanded (GNT)</w:t>
      </w:r>
    </w:p>
    <w:p>
      <w:pPr/>
      <w:r>
        <w:rPr>
          <w:lang w:val="en_US" w:bidi="en_US"/>
        </w:rPr>
      </w:r>
      <w:r>
        <w:rPr>
          <w:lang w:val="en_US" w:bidi="en_US"/>
        </w:rPr>
        <w:t>as required by the law (NLT)</w:t>
      </w:r>
    </w:p>
    <w:p>
      <w:pPr/>
      <w:r>
        <w:rPr>
          <w:lang w:val="en_US" w:bidi="en_US"/>
        </w:rPr>
      </w:r>
      <w:r>
        <w:rPr>
          <w:lang w:val="en_US" w:bidi="en_US"/>
        </w:rPr>
        <w:t xml:space="preserve">as </w:t>
      </w:r>
      <w:r>
        <w:rPr>
          <w:lang w:val="en_US" w:bidi="en_US"/>
        </w:rPr>
        <w:t>God</w:t>
      </w:r>
      <w:r>
        <w:rPr>
          <w:lang w:val="en_US" w:bidi="en_US"/>
        </w:rPr>
        <w:t xml:space="preserve"> commanded in the Law</w:t>
      </w:r>
    </w:p>
    <w:p>
      <w:pPr/>
      <w:r>
        <w:rPr>
          <w:lang w:val="en_US" w:bidi="en_US"/>
        </w:rPr>
      </w:r>
      <w:r>
        <w:rPr>
          <w:lang w:val="en_US" w:bidi="en_US"/>
        </w:rPr>
        <w:t>This final division in the Gospel of Luke begins just after Jesus rose from the dead. It tells what happened when women came to Jesus’ tomb very early on Sunday morning after the Sabbath. Angels told them that he was alive again. This division also tells about Jesus coming to two disciples as they walked to a village on that same Sunday. Then it tells about his appearing to a group of his followers that included the eleven apostles. The division ends with his going up to heaven.</w:t>
      </w:r>
    </w:p>
    <w:p>
      <w:pPr/>
      <w:r>
        <w:rPr>
          <w:lang w:val="en_US" w:bidi="en_US"/>
        </w:rPr>
      </w:r>
      <w:r>
        <w:rPr>
          <w:lang w:val="en_US" w:bidi="en_US"/>
        </w:rPr>
        <w:t>There are different ways to divide this division into sections. The Notes have these sections: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24:1–12</w:t>
            </w:r>
          </w:p>
        </w:tc>
        <w:tc>
          <w:tcPr>
            <w:tcW w:type="dxa" w:w="4680"/>
          </w:tcPr>
          <w:p>
            <w:pPr/>
            <w:r>
              <w:rPr>
                <w:lang w:val="en_US" w:bidi="en_US"/>
              </w:rPr>
            </w:r>
            <w:r>
              <w:rPr>
                <w:lang w:val="en_US" w:bidi="en_US"/>
              </w:rPr>
              <w:t>Jesus rose from the dead</w:t>
            </w:r>
          </w:p>
        </w:tc>
      </w:tr>
      <w:tr>
        <w:tc>
          <w:tcPr>
            <w:tcW w:type="dxa" w:w="4680"/>
          </w:tcPr>
          <w:p>
            <w:pPr/>
            <w:r>
              <w:rPr>
                <w:lang w:val="en_US" w:bidi="en_US"/>
              </w:rPr>
            </w:r>
            <w:r>
              <w:rPr>
                <w:lang w:val="en_US" w:bidi="en_US"/>
              </w:rPr>
              <w:t>24:13–35</w:t>
            </w:r>
          </w:p>
        </w:tc>
        <w:tc>
          <w:tcPr>
            <w:tcW w:type="dxa" w:w="4680"/>
          </w:tcPr>
          <w:p>
            <w:pPr/>
            <w:r>
              <w:rPr>
                <w:lang w:val="en_US" w:bidi="en_US"/>
              </w:rPr>
            </w:r>
            <w:r>
              <w:rPr>
                <w:lang w:val="en_US" w:bidi="en_US"/>
              </w:rPr>
              <w:t>Jesus came to two disciples on the road to Emmaus</w:t>
            </w:r>
          </w:p>
        </w:tc>
      </w:tr>
      <w:tr>
        <w:tc>
          <w:tcPr>
            <w:tcW w:type="dxa" w:w="4680"/>
          </w:tcPr>
          <w:p>
            <w:pPr/>
            <w:r>
              <w:rPr>
                <w:lang w:val="en_US" w:bidi="en_US"/>
              </w:rPr>
            </w:r>
            <w:r>
              <w:rPr>
                <w:lang w:val="en_US" w:bidi="en_US"/>
              </w:rPr>
              <w:t>24:36–43</w:t>
            </w:r>
          </w:p>
        </w:tc>
        <w:tc>
          <w:tcPr>
            <w:tcW w:type="dxa" w:w="4680"/>
          </w:tcPr>
          <w:p>
            <w:pPr/>
            <w:r>
              <w:rPr>
                <w:lang w:val="en_US" w:bidi="en_US"/>
              </w:rPr>
            </w:r>
            <w:r>
              <w:rPr>
                <w:lang w:val="en_US" w:bidi="en_US"/>
              </w:rPr>
              <w:t>Jesus appeared to his followers</w:t>
            </w:r>
          </w:p>
        </w:tc>
      </w:tr>
      <w:tr>
        <w:tc>
          <w:tcPr>
            <w:tcW w:type="dxa" w:w="4680"/>
          </w:tcPr>
          <w:p>
            <w:pPr/>
            <w:r>
              <w:rPr>
                <w:lang w:val="en_US" w:bidi="en_US"/>
              </w:rPr>
            </w:r>
            <w:r>
              <w:rPr>
                <w:lang w:val="en_US" w:bidi="en_US"/>
              </w:rPr>
              <w:t>24:44–49</w:t>
            </w:r>
          </w:p>
        </w:tc>
        <w:tc>
          <w:tcPr>
            <w:tcW w:type="dxa" w:w="4680"/>
          </w:tcPr>
          <w:p>
            <w:pPr/>
            <w:r>
              <w:rPr>
                <w:lang w:val="en_US" w:bidi="en_US"/>
              </w:rPr>
            </w:r>
            <w:r>
              <w:rPr>
                <w:lang w:val="en_US" w:bidi="en_US"/>
              </w:rPr>
              <w:t>Jesus gave final instructions to his followers</w:t>
            </w:r>
          </w:p>
        </w:tc>
      </w:tr>
      <w:tr>
        <w:tc>
          <w:tcPr>
            <w:tcW w:type="dxa" w:w="4680"/>
          </w:tcPr>
          <w:p>
            <w:pPr/>
            <w:r>
              <w:rPr>
                <w:lang w:val="en_US" w:bidi="en_US"/>
              </w:rPr>
            </w:r>
            <w:r>
              <w:rPr>
                <w:lang w:val="en_US" w:bidi="en_US"/>
              </w:rPr>
              <w:t>24:50–53</w:t>
            </w:r>
          </w:p>
        </w:tc>
        <w:tc>
          <w:tcPr>
            <w:tcW w:type="dxa" w:w="4680"/>
          </w:tcPr>
          <w:p>
            <w:pPr/>
            <w:r>
              <w:rPr>
                <w:lang w:val="en_US" w:bidi="en_US"/>
              </w:rPr>
            </w:r>
            <w:r>
              <w:rPr>
                <w:lang w:val="en_US" w:bidi="en_US"/>
              </w:rPr>
              <w:t>Jesus went up to heaven</w:t>
            </w:r>
          </w:p>
        </w:tc>
      </w:tr>
    </w:tbl>
    <w:p>
      <w:pPr/>
      <w:r>
        <w:rPr>
          <w:lang w:val="en_US" w:bidi="en_US"/>
        </w:rPr>
      </w:r>
      <w:r>
        <w:rPr>
          <w:lang w:val="en_US" w:bidi="en_US"/>
        </w:rPr>
        <w:t>Consider how to divide this division into sections in the most helpful way for your language.</w:t>
      </w:r>
      <w:r>
        <w:rPr>
          <w:lang w:val="en_US" w:bidi="en_US"/>
        </w:rPr>
      </w:r>
      <w:r>
        <w:rPr>
          <w:lang w:val="en_US" w:bidi="en_US"/>
        </w:rPr>
      </w:r>
    </w:p>
    <w:p>
      <w:pPr/>
      <w:r>
        <w:rPr>
          <w:lang w:val="en_US" w:bidi="en_US"/>
        </w:rPr>
      </w:r>
    </w:p>
    <w:p>
      <w:pPr>
        <w:pStyle w:val="Heading2"/>
      </w:pPr>
      <w:r>
        <w:rPr>
          <w:lang w:val="en_US" w:bidi="en_US"/>
        </w:rPr>
        <w:t>Luke 24:1</w:t>
      </w:r>
      <w:r>
        <w:rPr>
          <w:lang w:val="en_US" w:bidi="en_US"/>
        </w:rPr>
      </w:r>
    </w:p>
    <w:p>
      <w:pPr>
        <w:pStyle w:val="Heading4"/>
      </w:pPr>
      <w:r>
        <w:rPr>
          <w:lang w:val="en_US" w:bidi="en_US"/>
        </w:rPr>
        <w:t>Section 24:1–12: Jesus rose from the dead</w:t>
      </w:r>
    </w:p>
    <w:p>
      <w:pPr/>
      <w:r>
        <w:rPr>
          <w:lang w:val="en_US" w:bidi="en_US"/>
        </w:rPr>
      </w:r>
      <w:r>
        <w:rPr>
          <w:lang w:val="en_US" w:bidi="en_US"/>
        </w:rP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pPr/>
      <w:r>
        <w:rPr>
          <w:lang w:val="en_US" w:bidi="en_US"/>
        </w:rPr>
      </w:r>
      <w:r>
        <w:rPr>
          <w:lang w:val="en_US" w:bidi="en_US"/>
        </w:rP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pPr/>
      <w:r>
        <w:rPr>
          <w:lang w:val="en_US" w:bidi="en_US"/>
        </w:rPr>
      </w:r>
      <w:r>
        <w:rPr>
          <w:lang w:val="en_US" w:bidi="en_US"/>
        </w:rPr>
        <w:t>The first people who came to Jesus’ tomb were women, so they were the ones who heard the good news from the angels. When they went and told his followers, the followers did not believe the women.</w:t>
      </w:r>
    </w:p>
    <w:p>
      <w:pPr/>
      <w:r>
        <w:rPr>
          <w:lang w:val="en_US" w:bidi="en_US"/>
        </w:rPr>
      </w:r>
      <w:r>
        <w:rPr>
          <w:lang w:val="en_US" w:bidi="en_US"/>
        </w:rPr>
        <w:t>Some examples of other headings for this section are:</w:t>
      </w:r>
    </w:p>
    <w:p>
      <w:pPr/>
      <w:r>
        <w:rPr>
          <w:lang w:val="en_US" w:bidi="en_US"/>
        </w:rPr>
      </w:r>
      <w:r>
        <w:rPr>
          <w:lang w:val="en_US" w:bidi="en_US"/>
        </w:rPr>
        <w:t>Jesus Comes Back to Life (GW)</w:t>
      </w:r>
    </w:p>
    <w:p>
      <w:pPr/>
      <w:r>
        <w:rPr>
          <w:lang w:val="en_US" w:bidi="en_US"/>
        </w:rPr>
      </w:r>
      <w:r>
        <w:rPr>
          <w:lang w:val="en_US" w:bidi="en_US"/>
        </w:rPr>
        <w:t>The Resurrection of Jesus (NRSV)</w:t>
      </w:r>
    </w:p>
    <w:p>
      <w:pPr/>
      <w:r>
        <w:rPr>
          <w:lang w:val="en_US" w:bidi="en_US"/>
        </w:rPr>
      </w:r>
      <w:r>
        <w:rPr>
          <w:lang w:val="en_US" w:bidi="en_US"/>
        </w:rPr>
        <w:t>Jesus Is Alive (CEV)</w:t>
      </w:r>
    </w:p>
    <w:p>
      <w:pPr/>
      <w:r>
        <w:rPr>
          <w:lang w:val="en_US" w:bidi="en_US"/>
        </w:rPr>
      </w:r>
      <w:r>
        <w:rPr>
          <w:lang w:val="en_US" w:bidi="en_US"/>
        </w:rPr>
        <w:t>There are parallel passages for this section in Matthew 28:1–10, Mark 16:1–8, and John 20:1–10.</w:t>
      </w:r>
    </w:p>
    <w:p>
      <w:pPr>
        <w:pStyle w:val="Heading5"/>
      </w:pPr>
      <w:r>
        <w:rPr>
          <w:lang w:val="en_US" w:bidi="en_US"/>
        </w:rPr>
        <w:t>24:1a</w:t>
      </w:r>
    </w:p>
    <w:p>
      <w:pPr/>
      <w:r>
        <w:rPr>
          <w:lang w:val="en_US" w:bidi="en_US"/>
        </w:rPr>
      </w:r>
      <w:r>
        <w:rPr>
          <w:b/>
          <w:lang w:val="en_US" w:bidi="en_US"/>
        </w:rPr>
        <w:t>On the first day of the week, very early in the morning,</w:t>
      </w:r>
    </w:p>
    <w:p>
      <w:pPr>
        <w:pStyle w:val="ListBullet"/>
        <w:spacing w:line="240" w:lineRule="auto"/>
        <w:ind w:left="720"/>
      </w:pPr>
      <w:r>
        <w:rPr>
          <w:lang w:val="en_US" w:bidi="en_US"/>
        </w:rPr>
      </w:r>
      <w:r>
        <w:rPr>
          <w:lang w:val="en_US" w:bidi="en_US"/>
        </w:rPr>
        <w:t>¶ As the sun began to rise on the first day of the week,</w:t>
      </w:r>
    </w:p>
    <w:p>
      <w:pPr>
        <w:pStyle w:val="ListBullet"/>
        <w:spacing w:line="240" w:lineRule="auto"/>
        <w:ind w:left="720"/>
      </w:pPr>
      <w:r>
        <w:rPr>
          <w:lang w:val="en_US" w:bidi="en_US"/>
        </w:rPr>
      </w:r>
      <w:r>
        <w:rPr>
          <w:lang w:val="en_US" w:bidi="en_US"/>
        </w:rPr>
        <w:t>¶ Then very early on Sunday morning,</w:t>
      </w:r>
    </w:p>
    <w:p>
      <w:pPr>
        <w:pStyle w:val="ListBullet"/>
        <w:spacing w:line="240" w:lineRule="auto"/>
        <w:ind w:left="720"/>
      </w:pPr>
      <w:r>
        <w:rPr>
          <w:lang w:val="en_US" w:bidi="en_US"/>
        </w:rPr>
      </w:r>
      <w:r>
        <w:rPr>
          <w:lang w:val="en_US" w:bidi="en_US"/>
        </w:rPr>
        <w:t xml:space="preserve">¶ But </w:t>
      </w:r>
      <w:r>
        <w:rPr>
          <w:lang w:val="en_US" w:bidi="en_US"/>
        </w:rPr>
        <w:t>when the Sabbath was over,</w:t>
      </w:r>
      <w:r>
        <w:rPr>
          <w:lang w:val="en_US" w:bidi="en_US"/>
        </w:rPr>
        <w:t xml:space="preserve"> at dawn the next morning,</w:t>
      </w:r>
    </w:p>
    <w:p>
      <w:pPr/>
      <w:r>
        <w:rPr>
          <w:lang w:val="en_US" w:bidi="en_US"/>
        </w:rPr>
      </w:r>
      <w:r>
        <w:rPr>
          <w:lang w:val="en_US" w:bidi="en_US"/>
        </w:rPr>
        <w:t>In the Greek text, 24:1a begins with a common conjunction that is translated in different ways. Here it introduces what the women did after the Sabbath (23:56c). They had to rest on the Sabbath, but they returned to the tomb very early the next morning. Connect the verses in a way that is natural in your language. In some languages a conjunction is not needed.</w:t>
      </w:r>
    </w:p>
    <w:p>
      <w:pPr/>
      <w:r>
        <w:rPr>
          <w:lang w:val="en_US" w:bidi="en_US"/>
        </w:rPr>
      </w:r>
      <w:r>
        <w:rPr>
          <w:b/>
          <w:lang w:val="en_US" w:bidi="en_US"/>
        </w:rPr>
        <w:t>On the first day of the week:</w:t>
      </w:r>
      <w:r>
        <w:rPr>
          <w:lang w:val="en_US" w:bidi="en_US"/>
        </w:rPr>
        <w:t xml:space="preserve"> The Jews consider the day after the Sabbath to be </w:t>
      </w:r>
      <w:r>
        <w:rPr>
          <w:i/>
          <w:lang w:val="en_US" w:bidi="en_US"/>
        </w:rPr>
        <w:t>the first day of the week</w:t>
      </w:r>
      <w:r>
        <w:rPr>
          <w:lang w:val="en_US" w:bidi="en_US"/>
        </w:rPr>
        <w:t>. Since the Sabbath is on Saturday, the first day of the week is called Sunday in English. In some cultures Sunday is not considered the first day of the week. If that is true in your culture, you may need to include a footnote about this. For example:</w:t>
      </w:r>
    </w:p>
    <w:p>
      <w:pPr/>
      <w:r>
        <w:rPr>
          <w:lang w:val="en_US" w:bidi="en_US"/>
        </w:rPr>
      </w:r>
      <w:r>
        <w:rPr>
          <w:lang w:val="en_US" w:bidi="en_US"/>
        </w:rPr>
        <w:t>The Jews considered Sunday to be the first day of the week.</w:t>
      </w:r>
    </w:p>
    <w:p>
      <w:pPr/>
      <w:r>
        <w:rPr>
          <w:lang w:val="en_US" w:bidi="en_US"/>
        </w:rPr>
      </w:r>
      <w:r>
        <w:rPr>
          <w:lang w:val="en_US" w:bidi="en_US"/>
        </w:rPr>
        <w:t>In some languages it may be helpful to include the word Sunday in the translation, as several English versions do. For example:</w:t>
      </w:r>
    </w:p>
    <w:p>
      <w:pPr/>
      <w:r>
        <w:rPr>
          <w:lang w:val="en_US" w:bidi="en_US"/>
        </w:rPr>
      </w:r>
      <w:r>
        <w:rPr>
          <w:lang w:val="en_US" w:bidi="en_US"/>
        </w:rPr>
        <w:t>on Sunday morning (GW)</w:t>
      </w:r>
    </w:p>
    <w:p>
      <w:pPr/>
      <w:r>
        <w:rPr>
          <w:lang w:val="en_US" w:bidi="en_US"/>
        </w:rPr>
      </w:r>
      <w:r>
        <w:rPr>
          <w:b/>
          <w:lang w:val="en_US" w:bidi="en_US"/>
        </w:rPr>
        <w:t>very early in the morning:</w:t>
      </w:r>
      <w:r>
        <w:rPr>
          <w:lang w:val="en_US" w:bidi="en_US"/>
        </w:rPr>
        <w:t xml:space="preserve"> The phrase </w:t>
      </w:r>
      <w:r>
        <w:rPr>
          <w:i/>
          <w:lang w:val="en_US" w:bidi="en_US"/>
        </w:rPr>
        <w:t>very early in the morning</w:t>
      </w:r>
      <w:r>
        <w:rPr>
          <w:lang w:val="en_US" w:bidi="en_US"/>
        </w:rPr>
        <w:t xml:space="preserve"> probably refers to the time before the sun rises when there is a little light. The women probably started walking to the tomb as soon as it was light enough for them to see. Use a natural way in your language to refer to this time of day. Another way to translate the phrase in English is:</w:t>
      </w:r>
    </w:p>
    <w:p>
      <w:pPr/>
      <w:r>
        <w:rPr>
          <w:lang w:val="en_US" w:bidi="en_US"/>
        </w:rPr>
      </w:r>
      <w:r>
        <w:rPr>
          <w:lang w:val="en_US" w:bidi="en_US"/>
        </w:rPr>
        <w:t>at early dawn (NET)</w:t>
      </w:r>
    </w:p>
    <w:p>
      <w:pPr>
        <w:pStyle w:val="Heading5"/>
      </w:pPr>
      <w:r>
        <w:rPr>
          <w:lang w:val="en_US" w:bidi="en_US"/>
        </w:rPr>
        <w:t>24:1b</w:t>
      </w:r>
    </w:p>
    <w:p>
      <w:pPr/>
      <w:r>
        <w:rPr>
          <w:lang w:val="en_US" w:bidi="en_US"/>
        </w:rPr>
      </w:r>
      <w:r>
        <w:rPr>
          <w:b/>
          <w:lang w:val="en_US" w:bidi="en_US"/>
        </w:rPr>
        <w:t>the women came to the tomb,</w:t>
      </w:r>
    </w:p>
    <w:p>
      <w:pPr>
        <w:pStyle w:val="ListBullet"/>
        <w:spacing w:line="240" w:lineRule="auto"/>
        <w:ind w:left="720"/>
      </w:pPr>
      <w:r>
        <w:rPr>
          <w:lang w:val="en_US" w:bidi="en_US"/>
        </w:rPr>
      </w:r>
      <w:r>
        <w:rPr>
          <w:lang w:val="en_US" w:bidi="en_US"/>
        </w:rPr>
        <w:t xml:space="preserve">the women went to </w:t>
      </w:r>
      <w:r>
        <w:rPr>
          <w:lang w:val="en_US" w:bidi="en_US"/>
        </w:rPr>
        <w:t>Jesus’</w:t>
      </w:r>
      <w:r>
        <w:rPr>
          <w:lang w:val="en_US" w:bidi="en_US"/>
        </w:rPr>
        <w:t xml:space="preserve"> tomb.</w:t>
      </w:r>
    </w:p>
    <w:p>
      <w:pPr>
        <w:pStyle w:val="ListBullet"/>
        <w:spacing w:line="240" w:lineRule="auto"/>
        <w:ind w:left="720"/>
      </w:pPr>
      <w:r>
        <w:rPr>
          <w:lang w:val="en_US" w:bidi="en_US"/>
        </w:rPr>
      </w:r>
      <w:r>
        <w:rPr>
          <w:lang w:val="en_US" w:bidi="en_US"/>
        </w:rPr>
        <w:t>the women gathered the sweet-smelling burial oils that they had made ready.</w:t>
      </w:r>
    </w:p>
    <w:p>
      <w:pPr>
        <w:pStyle w:val="Heading5"/>
      </w:pPr>
      <w:r>
        <w:rPr>
          <w:lang w:val="en_US" w:bidi="en_US"/>
        </w:rPr>
        <w:t>24:1c</w:t>
      </w:r>
    </w:p>
    <w:p>
      <w:pPr/>
      <w:r>
        <w:rPr>
          <w:lang w:val="en_US" w:bidi="en_US"/>
        </w:rPr>
      </w:r>
      <w:r>
        <w:rPr>
          <w:b/>
          <w:lang w:val="en_US" w:bidi="en_US"/>
        </w:rPr>
        <w:t>bringing the spices they had prepared.</w:t>
      </w:r>
    </w:p>
    <w:p>
      <w:pPr>
        <w:pStyle w:val="ListBullet"/>
        <w:spacing w:line="240" w:lineRule="auto"/>
        <w:ind w:left="720"/>
      </w:pPr>
      <w:r>
        <w:rPr>
          <w:lang w:val="en_US" w:bidi="en_US"/>
        </w:rPr>
      </w:r>
      <w:r>
        <w:rPr>
          <w:lang w:val="en_US" w:bidi="en_US"/>
        </w:rPr>
        <w:t>and they took the spices/ointments that they had prepared.</w:t>
      </w:r>
    </w:p>
    <w:p>
      <w:pPr>
        <w:pStyle w:val="ListBullet"/>
        <w:spacing w:line="240" w:lineRule="auto"/>
        <w:ind w:left="720"/>
      </w:pPr>
      <w:r>
        <w:rPr>
          <w:lang w:val="en_US" w:bidi="en_US"/>
        </w:rPr>
      </w:r>
      <w:r>
        <w:rPr>
          <w:lang w:val="en_US" w:bidi="en_US"/>
        </w:rPr>
        <w:t xml:space="preserve">Then they went to the place/tomb </w:t>
      </w:r>
      <w:r>
        <w:rPr>
          <w:lang w:val="en_US" w:bidi="en_US"/>
        </w:rPr>
        <w:t>where people buried Jesus’ corpse/body</w:t>
      </w:r>
      <w:r>
        <w:rPr>
          <w:lang w:val="en_US" w:bidi="en_US"/>
        </w:rPr>
        <w:t>.</w:t>
      </w:r>
    </w:p>
    <w:p>
      <w:pPr>
        <w:pStyle w:val="Heading5"/>
      </w:pPr>
      <w:r>
        <w:rPr>
          <w:lang w:val="en_US" w:bidi="en_US"/>
        </w:rPr>
        <w:t>24:1b–c</w:t>
      </w:r>
    </w:p>
    <w:p>
      <w:pPr/>
      <w:r>
        <w:rPr>
          <w:lang w:val="en_US" w:bidi="en_US"/>
        </w:rPr>
      </w:r>
      <w:r>
        <w:rPr>
          <w:b/>
          <w:lang w:val="en_US" w:bidi="en_US"/>
        </w:rPr>
        <w:t>the women came to the tomb, bringing the spices they had prepared:</w:t>
      </w:r>
      <w:r>
        <w:rPr>
          <w:lang w:val="en_US" w:bidi="en_US"/>
        </w:rPr>
        <w:t xml:space="preserve"> In Greek this statement is more literally, “to the tomb they came bringing spices that they prepared.” It indicates that the women went to Jesus’ tomb, and they brought spices with them. Some other ways to translate the statement are:</w:t>
      </w:r>
    </w:p>
    <w:p>
      <w:pPr/>
      <w:r>
        <w:rPr>
          <w:lang w:val="en_US" w:bidi="en_US"/>
        </w:rPr>
      </w:r>
      <w:r>
        <w:rPr>
          <w:lang w:val="en_US" w:bidi="en_US"/>
        </w:rPr>
        <w:t>…the women came to the tomb, bringing the spices they had prepared. (NCV)</w:t>
      </w:r>
    </w:p>
    <w:p>
      <w:pPr/>
      <w:r>
        <w:rPr>
          <w:lang w:val="en_US" w:bidi="en_US"/>
        </w:rPr>
      </w:r>
      <w:r>
        <w:rPr>
          <w:lang w:val="en_US" w:bidi="en_US"/>
        </w:rPr>
        <w:t>…the women went to the tomb. They were carrying the spices that they had prepared. (GW)</w:t>
      </w:r>
    </w:p>
    <w:p>
      <w:pPr/>
      <w:r>
        <w:rPr>
          <w:lang w:val="en_US" w:bidi="en_US"/>
        </w:rPr>
      </w:r>
      <w:r>
        <w:rPr>
          <w:b/>
          <w:lang w:val="en_US" w:bidi="en_US"/>
        </w:rPr>
        <w:t>the women:</w:t>
      </w:r>
      <w:r>
        <w:rPr>
          <w:lang w:val="en_US" w:bidi="en_US"/>
        </w:rPr>
        <w:t xml:space="preserve"> The women who went to the tomb had come with Jesus from Galilee. They were mentioned in 23:55a. Some of them are named in 24:10. Refer to them here in a natural way in your language. Another way to refer to them is:</w:t>
      </w:r>
    </w:p>
    <w:p>
      <w:pPr/>
      <w:r>
        <w:rPr>
          <w:lang w:val="en_US" w:bidi="en_US"/>
        </w:rPr>
      </w:r>
      <w:r>
        <w:rPr>
          <w:lang w:val="en_US" w:bidi="en_US"/>
        </w:rPr>
        <w:t>those women</w:t>
      </w:r>
    </w:p>
    <w:p>
      <w:pPr/>
      <w:r>
        <w:rPr>
          <w:lang w:val="en_US" w:bidi="en_US"/>
        </w:rPr>
      </w:r>
      <w:r>
        <w:rPr>
          <w:b/>
          <w:lang w:val="en_US" w:bidi="en_US"/>
        </w:rPr>
        <w:t>came to the tomb:</w:t>
      </w:r>
      <w:r>
        <w:rPr>
          <w:lang w:val="en_US" w:bidi="en_US"/>
        </w:rPr>
        <w:t xml:space="preserve"> The women returned to the tomb where Jesus’ body was laid. (See 23:55c.) You should translate the word </w:t>
      </w:r>
      <w:r>
        <w:rPr>
          <w:i/>
          <w:lang w:val="en_US" w:bidi="en_US"/>
        </w:rPr>
        <w:t>tomb</w:t>
      </w:r>
      <w:r>
        <w:rPr>
          <w:lang w:val="en_US" w:bidi="en_US"/>
        </w:rPr>
        <w:t xml:space="preserve"> in the same way as you did there.</w:t>
      </w:r>
    </w:p>
    <w:p>
      <w:pPr/>
      <w:r>
        <w:rPr>
          <w:lang w:val="en_US" w:bidi="en_US"/>
        </w:rPr>
      </w:r>
      <w:r>
        <w:rPr>
          <w:lang w:val="en_US" w:bidi="en_US"/>
        </w:rPr>
        <w:t xml:space="preserve">This is the first time that the </w:t>
      </w:r>
      <w:r>
        <w:rPr>
          <w:i/>
          <w:lang w:val="en_US" w:bidi="en_US"/>
        </w:rPr>
        <w:t>tomb</w:t>
      </w:r>
      <w:r>
        <w:rPr>
          <w:lang w:val="en_US" w:bidi="en_US"/>
        </w:rPr>
        <w:t xml:space="preserve"> has been mentioned in this section. In some languages it may be natural to refer to it with a more specific phrase. For example:</w:t>
      </w:r>
    </w:p>
    <w:p>
      <w:pPr/>
      <w:r>
        <w:rPr>
          <w:lang w:val="en_US" w:bidi="en_US"/>
        </w:rPr>
      </w:r>
      <w:r>
        <w:rPr>
          <w:lang w:val="en_US" w:bidi="en_US"/>
        </w:rPr>
        <w:t xml:space="preserve">and they returned to the tomb </w:t>
      </w:r>
      <w:r>
        <w:rPr>
          <w:lang w:val="en_US" w:bidi="en_US"/>
        </w:rPr>
        <w:t>where Jesus had been buried</w:t>
      </w:r>
    </w:p>
    <w:p>
      <w:pPr/>
      <w:r>
        <w:rPr>
          <w:lang w:val="en_US" w:bidi="en_US"/>
        </w:rPr>
      </w:r>
      <w:r>
        <w:rPr>
          <w:lang w:val="en_US" w:bidi="en_US"/>
        </w:rPr>
        <w:t xml:space="preserve">and went again to that grave/place </w:t>
      </w:r>
      <w:r>
        <w:rPr>
          <w:lang w:val="en_US" w:bidi="en_US"/>
        </w:rPr>
        <w:t>where people/they laid Jesus’ body</w:t>
      </w:r>
    </w:p>
    <w:p>
      <w:pPr/>
      <w:r>
        <w:rPr>
          <w:lang w:val="en_US" w:bidi="en_US"/>
        </w:rPr>
      </w:r>
      <w:r>
        <w:rPr>
          <w:b/>
          <w:lang w:val="en_US" w:bidi="en_US"/>
        </w:rPr>
        <w:t>the spices they had prepared:</w:t>
      </w:r>
      <w:r>
        <w:rPr>
          <w:lang w:val="en_US" w:bidi="en_US"/>
        </w:rPr>
        <w:t xml:space="preserve"> The phrase </w:t>
      </w:r>
      <w:r>
        <w:rPr>
          <w:i/>
          <w:lang w:val="en_US" w:bidi="en_US"/>
        </w:rPr>
        <w:t>the spices they had prepared</w:t>
      </w:r>
      <w:r>
        <w:rPr>
          <w:lang w:val="en_US" w:bidi="en_US"/>
        </w:rPr>
        <w:t xml:space="preserve"> refers to the fragrant ointments and oils that the women had prepared before the Sabbath. These spices were mentioned in 23:56. See the notes at 23:56b, and translate the phrase in a similar way here.</w:t>
      </w:r>
    </w:p>
    <w:p>
      <w:pPr>
        <w:pStyle w:val="Heading6"/>
      </w:pPr>
      <w:r>
        <w:rPr>
          <w:b/>
          <w:lang w:val="en_US" w:bidi="en_US"/>
        </w:rPr>
        <w:t>General Comment on 24:1b–c</w:t>
      </w:r>
    </w:p>
    <w:p>
      <w:pPr/>
      <w:r>
        <w:rPr>
          <w:lang w:val="en_US" w:bidi="en_US"/>
        </w:rPr>
      </w:r>
      <w:r>
        <w:rPr>
          <w:lang w:val="en_US" w:bidi="en_US"/>
        </w:rPr>
        <w:t>The BSB follows the order of the Greek text. However, in some languages, it may be more natural to reverse the order of 24:1b and 24:1c. For example:</w:t>
      </w:r>
    </w:p>
    <w:p>
      <w:pPr/>
      <w:r>
        <w:rPr>
          <w:lang w:val="en_US" w:bidi="en_US"/>
        </w:rPr>
      </w:r>
      <w:r>
        <w:rPr>
          <w:vertAlign w:val="superscript"/>
          <w:lang w:val="en_US" w:bidi="en_US"/>
        </w:rPr>
        <w:t>1c</w:t>
      </w:r>
      <w:r>
        <w:rPr>
          <w:lang w:val="en_US" w:bidi="en_US"/>
        </w:rPr>
        <w:t xml:space="preserve">the women took the spice they had prepared, </w:t>
      </w:r>
      <w:r>
        <w:rPr>
          <w:vertAlign w:val="superscript"/>
          <w:lang w:val="en_US" w:bidi="en_US"/>
        </w:rPr>
        <w:t>1b</w:t>
      </w:r>
      <w:r>
        <w:rPr>
          <w:lang w:val="en_US" w:bidi="en_US"/>
        </w:rPr>
        <w:t>and went to the tomb (NIV)</w:t>
      </w:r>
      <w:r>
        <w:rPr>
          <w:lang w:val="en_US" w:bidi="en_US"/>
        </w:rPr>
      </w:r>
      <w:r>
        <w:rPr>
          <w:lang w:val="en_US" w:bidi="en_US"/>
        </w:rPr>
      </w:r>
    </w:p>
    <w:p>
      <w:pPr/>
      <w:r>
        <w:rPr>
          <w:lang w:val="en_US" w:bidi="en_US"/>
        </w:rPr>
      </w:r>
    </w:p>
    <w:p>
      <w:pPr>
        <w:pStyle w:val="Heading2"/>
      </w:pPr>
      <w:r>
        <w:rPr>
          <w:lang w:val="en_US" w:bidi="en_US"/>
        </w:rPr>
        <w:t>Luke 24:2</w:t>
      </w:r>
      <w:r>
        <w:rPr>
          <w:lang w:val="en_US" w:bidi="en_US"/>
        </w:rPr>
      </w:r>
    </w:p>
    <w:p>
      <w:pPr>
        <w:pStyle w:val="Heading4"/>
      </w:pPr>
      <w:r>
        <w:rPr>
          <w:lang w:val="en_US" w:bidi="en_US"/>
        </w:rPr>
        <w:t>Section 24:1–12: Jesus rose from the dead</w:t>
      </w:r>
    </w:p>
    <w:p>
      <w:pPr/>
      <w:r>
        <w:rPr>
          <w:lang w:val="en_US" w:bidi="en_US"/>
        </w:rPr>
      </w:r>
      <w:r>
        <w:rPr>
          <w:lang w:val="en_US" w:bidi="en_US"/>
        </w:rP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pPr/>
      <w:r>
        <w:rPr>
          <w:lang w:val="en_US" w:bidi="en_US"/>
        </w:rPr>
      </w:r>
      <w:r>
        <w:rPr>
          <w:lang w:val="en_US" w:bidi="en_US"/>
        </w:rP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pPr/>
      <w:r>
        <w:rPr>
          <w:lang w:val="en_US" w:bidi="en_US"/>
        </w:rPr>
      </w:r>
      <w:r>
        <w:rPr>
          <w:lang w:val="en_US" w:bidi="en_US"/>
        </w:rPr>
        <w:t>The first people who came to Jesus’ tomb were women, so they were the ones who heard the good news from the angels. When they went and told his followers, the followers did not believe the women.</w:t>
      </w:r>
    </w:p>
    <w:p>
      <w:pPr/>
      <w:r>
        <w:rPr>
          <w:lang w:val="en_US" w:bidi="en_US"/>
        </w:rPr>
      </w:r>
      <w:r>
        <w:rPr>
          <w:lang w:val="en_US" w:bidi="en_US"/>
        </w:rPr>
        <w:t>Some examples of other headings for this section are:</w:t>
      </w:r>
    </w:p>
    <w:p>
      <w:pPr/>
      <w:r>
        <w:rPr>
          <w:lang w:val="en_US" w:bidi="en_US"/>
        </w:rPr>
      </w:r>
      <w:r>
        <w:rPr>
          <w:lang w:val="en_US" w:bidi="en_US"/>
        </w:rPr>
        <w:t>Jesus Comes Back to Life (GW)</w:t>
      </w:r>
    </w:p>
    <w:p>
      <w:pPr/>
      <w:r>
        <w:rPr>
          <w:lang w:val="en_US" w:bidi="en_US"/>
        </w:rPr>
      </w:r>
      <w:r>
        <w:rPr>
          <w:lang w:val="en_US" w:bidi="en_US"/>
        </w:rPr>
        <w:t>The Resurrection of Jesus (NRSV)</w:t>
      </w:r>
    </w:p>
    <w:p>
      <w:pPr/>
      <w:r>
        <w:rPr>
          <w:lang w:val="en_US" w:bidi="en_US"/>
        </w:rPr>
      </w:r>
      <w:r>
        <w:rPr>
          <w:lang w:val="en_US" w:bidi="en_US"/>
        </w:rPr>
        <w:t>Jesus Is Alive (CEV)</w:t>
      </w:r>
    </w:p>
    <w:p>
      <w:pPr/>
      <w:r>
        <w:rPr>
          <w:lang w:val="en_US" w:bidi="en_US"/>
        </w:rPr>
      </w:r>
      <w:r>
        <w:rPr>
          <w:lang w:val="en_US" w:bidi="en_US"/>
        </w:rPr>
        <w:t>There are parallel passages for this section in Matthew 28:1–10, Mark 16:1–8, and John 20:1–10.</w:t>
      </w:r>
    </w:p>
    <w:p>
      <w:pPr>
        <w:pStyle w:val="Heading5"/>
      </w:pPr>
      <w:r>
        <w:rPr>
          <w:lang w:val="en_US" w:bidi="en_US"/>
        </w:rPr>
        <w:t>24:2</w:t>
      </w:r>
    </w:p>
    <w:p>
      <w:pPr/>
      <w:r>
        <w:rPr>
          <w:lang w:val="en_US" w:bidi="en_US"/>
        </w:rPr>
      </w:r>
      <w:r>
        <w:rPr>
          <w:b/>
          <w:lang w:val="en_US" w:bidi="en_US"/>
        </w:rPr>
        <w:t>They found the stone rolled away from the tomb,</w:t>
      </w:r>
    </w:p>
    <w:p>
      <w:pPr>
        <w:pStyle w:val="ListBullet"/>
        <w:spacing w:line="240" w:lineRule="auto"/>
        <w:ind w:left="720"/>
      </w:pPr>
      <w:r>
        <w:rPr>
          <w:lang w:val="en_US" w:bidi="en_US"/>
        </w:rPr>
      </w:r>
      <w:r>
        <w:rPr>
          <w:lang w:val="en_US" w:bidi="en_US"/>
        </w:rPr>
        <w:t xml:space="preserve">Then they saw that the stone </w:t>
      </w:r>
      <w:r>
        <w:rPr>
          <w:lang w:val="en_US" w:bidi="en_US"/>
        </w:rPr>
        <w:t>that had blocked the entrance</w:t>
      </w:r>
      <w:r>
        <w:rPr>
          <w:lang w:val="en_US" w:bidi="en_US"/>
        </w:rPr>
        <w:t xml:space="preserve"> was rolled away.</w:t>
      </w:r>
    </w:p>
    <w:p>
      <w:pPr>
        <w:pStyle w:val="ListBullet"/>
        <w:spacing w:line="240" w:lineRule="auto"/>
        <w:ind w:left="720"/>
      </w:pPr>
      <w:r>
        <w:rPr>
          <w:lang w:val="en_US" w:bidi="en_US"/>
        </w:rPr>
      </w:r>
      <w:r>
        <w:rPr>
          <w:lang w:val="en_US" w:bidi="en_US"/>
        </w:rPr>
        <w:t>When they arrived,</w:t>
      </w:r>
      <w:r>
        <w:rPr>
          <w:lang w:val="en_US" w:bidi="en_US"/>
        </w:rPr>
        <w:t xml:space="preserve"> they realized that </w:t>
      </w:r>
      <w:r>
        <w:rPr>
          <w:lang w:val="en_US" w:bidi="en_US"/>
        </w:rPr>
        <w:t>someone</w:t>
      </w:r>
      <w:r>
        <w:rPr>
          <w:lang w:val="en_US" w:bidi="en_US"/>
        </w:rPr>
        <w:t xml:space="preserve"> had removed the </w:t>
      </w:r>
      <w:r>
        <w:rPr>
          <w:lang w:val="en_US" w:bidi="en_US"/>
        </w:rPr>
        <w:t>big, heavy</w:t>
      </w:r>
      <w:r>
        <w:rPr>
          <w:lang w:val="en_US" w:bidi="en_US"/>
        </w:rPr>
        <w:t xml:space="preserve"> stone from </w:t>
      </w:r>
      <w:r>
        <w:rPr>
          <w:lang w:val="en_US" w:bidi="en_US"/>
        </w:rPr>
        <w:t>the entry/opening to</w:t>
      </w:r>
      <w:r>
        <w:rPr>
          <w:lang w:val="en_US" w:bidi="en_US"/>
        </w:rPr>
        <w:t xml:space="preserve"> the place/tomb.</w:t>
      </w:r>
    </w:p>
    <w:p>
      <w:pPr/>
      <w:r>
        <w:rPr>
          <w:lang w:val="en_US" w:bidi="en_US"/>
        </w:rPr>
      </w:r>
      <w:r>
        <w:rPr>
          <w:lang w:val="en_US" w:bidi="en_US"/>
        </w:rPr>
        <w:t>In the Greek text, 24:2 begins with a common conjunction that can be translated in different ways. The BSB and some other English versions do not translate this conjunction. It introduces what the women saw when they arrived at the tomb. They did not expect to see that the heavy stone at the entrance of the tomb had been rolled away. Some other ways to introduce the verse are:</w:t>
      </w:r>
    </w:p>
    <w:p>
      <w:pPr/>
      <w:r>
        <w:rPr>
          <w:lang w:val="en_US" w:bidi="en_US"/>
        </w:rPr>
      </w:r>
      <w:r>
        <w:rPr>
          <w:lang w:val="en_US" w:bidi="en_US"/>
        </w:rPr>
        <w:t>When they arrived there</w:t>
      </w:r>
    </w:p>
    <w:p>
      <w:pPr/>
      <w:r>
        <w:rPr>
          <w:lang w:val="en_US" w:bidi="en_US"/>
        </w:rPr>
      </w:r>
      <w:r>
        <w:rPr>
          <w:lang w:val="en_US" w:bidi="en_US"/>
        </w:rPr>
        <w:t>As they approached the tomb</w:t>
      </w:r>
    </w:p>
    <w:p>
      <w:pPr/>
      <w:r>
        <w:rPr>
          <w:lang w:val="en_US" w:bidi="en_US"/>
        </w:rPr>
      </w:r>
      <w:r>
        <w:rPr>
          <w:lang w:val="en_US" w:bidi="en_US"/>
        </w:rPr>
        <w:t>Begin the verse in a way that is natural in your language.</w:t>
      </w:r>
    </w:p>
    <w:p>
      <w:pPr/>
      <w:r>
        <w:rPr>
          <w:lang w:val="en_US" w:bidi="en_US"/>
        </w:rPr>
      </w:r>
      <w:r>
        <w:rPr>
          <w:b/>
          <w:lang w:val="en_US" w:bidi="en_US"/>
        </w:rPr>
        <w:t>They found the stone rolled away from the tomb:</w:t>
      </w:r>
      <w:r>
        <w:rPr>
          <w:lang w:val="en_US" w:bidi="en_US"/>
        </w:rPr>
        <w:t xml:space="preserve"> There is implied information here that is based on a Jewish burial custom. It was common for Jewish tombs to be closed with a large, heavy stone at the entrance. This verse implies that Jesus’ tomb was closed with a stone like that. The stone blocked the entrance so that no human or animal could disturb Jesus’ body. In some languages it may be necessary to give implied information about the stone. For example:</w:t>
      </w:r>
    </w:p>
    <w:p>
      <w:pPr/>
      <w:r>
        <w:rPr>
          <w:lang w:val="en_US" w:bidi="en_US"/>
        </w:rPr>
      </w:r>
      <w:r>
        <w:rPr>
          <w:lang w:val="en_US" w:bidi="en_US"/>
        </w:rPr>
        <w:t xml:space="preserve">They found that the stone </w:t>
      </w:r>
      <w:r>
        <w:rPr>
          <w:lang w:val="en_US" w:bidi="en_US"/>
        </w:rPr>
        <w:t>that had blocked</w:t>
      </w:r>
      <w:r>
        <w:rPr>
          <w:lang w:val="en_US" w:bidi="en_US"/>
        </w:rPr>
        <w:t xml:space="preserve"> the tomb </w:t>
      </w:r>
      <w:r>
        <w:rPr>
          <w:lang w:val="en_US" w:bidi="en_US"/>
        </w:rPr>
        <w:t>entrance</w:t>
      </w:r>
      <w:r>
        <w:rPr>
          <w:lang w:val="en_US" w:bidi="en_US"/>
        </w:rPr>
        <w:t xml:space="preserve"> had been rolled aside/away.</w:t>
      </w:r>
    </w:p>
    <w:p>
      <w:pPr/>
      <w:r>
        <w:rPr>
          <w:lang w:val="en_US" w:bidi="en_US"/>
        </w:rPr>
      </w:r>
      <w:r>
        <w:rPr>
          <w:lang w:val="en_US" w:bidi="en_US"/>
        </w:rPr>
        <w:t xml:space="preserve">They saw that </w:t>
      </w:r>
      <w:r>
        <w:rPr>
          <w:lang w:val="en_US" w:bidi="en_US"/>
        </w:rPr>
        <w:t>someone</w:t>
      </w:r>
      <w:r>
        <w:rPr>
          <w:lang w:val="en_US" w:bidi="en_US"/>
        </w:rPr>
        <w:t xml:space="preserve"> had rolled the </w:t>
      </w:r>
      <w:r>
        <w:rPr>
          <w:lang w:val="en_US" w:bidi="en_US"/>
        </w:rPr>
        <w:t>big, heavy</w:t>
      </w:r>
      <w:r>
        <w:rPr>
          <w:lang w:val="en_US" w:bidi="en_US"/>
        </w:rPr>
        <w:t xml:space="preserve"> stone from the entrance to the tomb.</w:t>
      </w:r>
    </w:p>
    <w:p>
      <w:pPr/>
      <w:r>
        <w:rPr>
          <w:lang w:val="en_US" w:bidi="en_US"/>
        </w:rPr>
      </w:r>
      <w:r>
        <w:rPr>
          <w:lang w:val="en_US" w:bidi="en_US"/>
        </w:rPr>
        <w:t>You may also want to include more information about the stone in a footnote. For example, the TRT suggests this footnote:</w:t>
      </w:r>
    </w:p>
    <w:p>
      <w:pPr/>
      <w:r>
        <w:rPr>
          <w:lang w:val="en_US" w:bidi="en_US"/>
        </w:rPr>
      </w:r>
      <w:r>
        <w:rPr>
          <w:lang w:val="en_US" w:bidi="en_US"/>
        </w:rPr>
        <w:t>A large disc-shaped stone was used to close the entrance/doorway of a tomb. According to Matthew 27:66, Jesus’ tomb was also sealed and guarded by soldiers. (TRT)</w:t>
      </w:r>
    </w:p>
    <w:p>
      <w:pPr/>
      <w:r>
        <w:rPr>
          <w:lang w:val="en_US" w:bidi="en_US"/>
        </w:rPr>
      </w:r>
      <w:r>
        <w:rPr>
          <w:b/>
          <w:lang w:val="en_US" w:bidi="en_US"/>
        </w:rPr>
        <w:t>rolled away from the tomb:</w:t>
      </w:r>
      <w:r>
        <w:rPr>
          <w:lang w:val="en_US" w:bidi="en_US"/>
        </w:rPr>
        <w:t xml:space="preserve"> The phrase </w:t>
      </w:r>
      <w:r>
        <w:rPr>
          <w:i/>
          <w:lang w:val="en_US" w:bidi="en_US"/>
        </w:rPr>
        <w:t>rolled away from the tomb</w:t>
      </w:r>
      <w:r>
        <w:rPr>
          <w:lang w:val="en_US" w:bidi="en_US"/>
        </w:rPr>
        <w:t xml:space="preserve"> indicates that someone had pushed the stone away from the entrance to the tomb. The edges of the stone were rounded so that it could roll when strong people pushed it. Matthew 28:2 indicates that the stone was still near the tomb, so your translation should not imply that it was taken away from the area or that it disappeared.</w:t>
      </w:r>
    </w:p>
    <w:p>
      <w:pPr/>
      <w:r>
        <w:rPr>
          <w:lang w:val="en_US" w:bidi="en_US"/>
        </w:rPr>
      </w:r>
      <w:r>
        <w:rPr>
          <w:lang w:val="en_US" w:bidi="en_US"/>
        </w:rPr>
        <w:t xml:space="preserve">In some languages it may not be natural to use a verb like </w:t>
      </w:r>
      <w:r>
        <w:rPr>
          <w:i/>
          <w:lang w:val="en_US" w:bidi="en_US"/>
        </w:rPr>
        <w:t>rolled</w:t>
      </w:r>
      <w:r>
        <w:rPr>
          <w:lang w:val="en_US" w:bidi="en_US"/>
        </w:rPr>
        <w:t xml:space="preserve"> in this context. If that is true in your language, you may use a more general expression. For example:</w:t>
      </w:r>
    </w:p>
    <w:p>
      <w:pPr/>
      <w:r>
        <w:rPr>
          <w:lang w:val="en_US" w:bidi="en_US"/>
        </w:rPr>
      </w:r>
      <w:r>
        <w:rPr>
          <w:lang w:val="en_US" w:bidi="en_US"/>
        </w:rPr>
        <w:t>moved to the side of the tomb</w:t>
      </w:r>
    </w:p>
    <w:p>
      <w:pPr/>
      <w:r>
        <w:rPr>
          <w:lang w:val="en_US" w:bidi="en_US"/>
        </w:rPr>
      </w:r>
      <w:r>
        <w:rPr>
          <w:lang w:val="en_US" w:bidi="en_US"/>
        </w:rPr>
        <w:t>removed from the entrance to the tomb</w:t>
      </w:r>
    </w:p>
    <w:p>
      <w:pPr/>
      <w:r>
        <w:rPr>
          <w:lang w:val="en_US" w:bidi="en_US"/>
        </w:rPr>
      </w:r>
      <w:r>
        <w:rPr>
          <w:lang w:val="en_US" w:bidi="en_US"/>
        </w:rPr>
        <w:t>Matthew 28:2 also indicates that an angel rolled the stone away from the entrance of the tomb. You should not make that information explicit in your translation here, but you may want to mention it in a footnote or cross reference. For example, the TRT suggests this footnote:</w:t>
      </w:r>
    </w:p>
    <w:p>
      <w:pPr/>
      <w:r>
        <w:rPr>
          <w:lang w:val="en_US" w:bidi="en_US"/>
        </w:rPr>
      </w:r>
      <w:r>
        <w:rPr>
          <w:lang w:val="en_US" w:bidi="en_US"/>
        </w:rPr>
        <w:t>According to Matthew 28:2, an angel rolled the stone away from the entrance/doorway to the tomb. (TRT)</w:t>
      </w:r>
      <w:r>
        <w:rPr>
          <w:lang w:val="en_US" w:bidi="en_US"/>
        </w:rPr>
      </w:r>
      <w:r>
        <w:rPr>
          <w:lang w:val="en_US" w:bidi="en_US"/>
        </w:rPr>
      </w:r>
    </w:p>
    <w:p>
      <w:pPr/>
      <w:r>
        <w:rPr>
          <w:lang w:val="en_US" w:bidi="en_US"/>
        </w:rPr>
      </w:r>
    </w:p>
    <w:p>
      <w:pPr>
        <w:pStyle w:val="Heading2"/>
      </w:pPr>
      <w:r>
        <w:rPr>
          <w:lang w:val="en_US" w:bidi="en_US"/>
        </w:rPr>
        <w:t>Luke 24:3</w:t>
      </w:r>
      <w:r>
        <w:rPr>
          <w:lang w:val="en_US" w:bidi="en_US"/>
        </w:rPr>
      </w:r>
    </w:p>
    <w:p>
      <w:pPr>
        <w:pStyle w:val="Heading4"/>
      </w:pPr>
      <w:r>
        <w:rPr>
          <w:lang w:val="en_US" w:bidi="en_US"/>
        </w:rPr>
        <w:t>Section 24:1–12: Jesus rose from the dead</w:t>
      </w:r>
    </w:p>
    <w:p>
      <w:pPr/>
      <w:r>
        <w:rPr>
          <w:lang w:val="en_US" w:bidi="en_US"/>
        </w:rPr>
      </w:r>
      <w:r>
        <w:rPr>
          <w:lang w:val="en_US" w:bidi="en_US"/>
        </w:rP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pPr/>
      <w:r>
        <w:rPr>
          <w:lang w:val="en_US" w:bidi="en_US"/>
        </w:rPr>
      </w:r>
      <w:r>
        <w:rPr>
          <w:lang w:val="en_US" w:bidi="en_US"/>
        </w:rP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pPr/>
      <w:r>
        <w:rPr>
          <w:lang w:val="en_US" w:bidi="en_US"/>
        </w:rPr>
      </w:r>
      <w:r>
        <w:rPr>
          <w:lang w:val="en_US" w:bidi="en_US"/>
        </w:rPr>
        <w:t>The first people who came to Jesus’ tomb were women, so they were the ones who heard the good news from the angels. When they went and told his followers, the followers did not believe the women.</w:t>
      </w:r>
    </w:p>
    <w:p>
      <w:pPr/>
      <w:r>
        <w:rPr>
          <w:lang w:val="en_US" w:bidi="en_US"/>
        </w:rPr>
      </w:r>
      <w:r>
        <w:rPr>
          <w:lang w:val="en_US" w:bidi="en_US"/>
        </w:rPr>
        <w:t>Some examples of other headings for this section are:</w:t>
      </w:r>
    </w:p>
    <w:p>
      <w:pPr/>
      <w:r>
        <w:rPr>
          <w:lang w:val="en_US" w:bidi="en_US"/>
        </w:rPr>
      </w:r>
      <w:r>
        <w:rPr>
          <w:lang w:val="en_US" w:bidi="en_US"/>
        </w:rPr>
        <w:t>Jesus Comes Back to Life (GW)</w:t>
      </w:r>
    </w:p>
    <w:p>
      <w:pPr/>
      <w:r>
        <w:rPr>
          <w:lang w:val="en_US" w:bidi="en_US"/>
        </w:rPr>
      </w:r>
      <w:r>
        <w:rPr>
          <w:lang w:val="en_US" w:bidi="en_US"/>
        </w:rPr>
        <w:t>The Resurrection of Jesus (NRSV)</w:t>
      </w:r>
    </w:p>
    <w:p>
      <w:pPr/>
      <w:r>
        <w:rPr>
          <w:lang w:val="en_US" w:bidi="en_US"/>
        </w:rPr>
      </w:r>
      <w:r>
        <w:rPr>
          <w:lang w:val="en_US" w:bidi="en_US"/>
        </w:rPr>
        <w:t>Jesus Is Alive (CEV)</w:t>
      </w:r>
    </w:p>
    <w:p>
      <w:pPr/>
      <w:r>
        <w:rPr>
          <w:lang w:val="en_US" w:bidi="en_US"/>
        </w:rPr>
      </w:r>
      <w:r>
        <w:rPr>
          <w:lang w:val="en_US" w:bidi="en_US"/>
        </w:rPr>
        <w:t>There are parallel passages for this section in Matthew 28:1–10, Mark 16:1–8, and John 20:1–10.</w:t>
      </w:r>
    </w:p>
    <w:p>
      <w:pPr>
        <w:pStyle w:val="Heading5"/>
      </w:pPr>
      <w:r>
        <w:rPr>
          <w:lang w:val="en_US" w:bidi="en_US"/>
        </w:rPr>
        <w:t>24:3a</w:t>
      </w:r>
    </w:p>
    <w:p>
      <w:pPr/>
      <w:r>
        <w:rPr>
          <w:lang w:val="en_US" w:bidi="en_US"/>
        </w:rPr>
      </w:r>
      <w:r>
        <w:rPr>
          <w:b/>
          <w:lang w:val="en_US" w:bidi="en_US"/>
        </w:rPr>
        <w:t>but when they entered,</w:t>
      </w:r>
    </w:p>
    <w:p>
      <w:pPr>
        <w:pStyle w:val="ListBullet"/>
        <w:spacing w:line="240" w:lineRule="auto"/>
        <w:ind w:left="720"/>
      </w:pPr>
      <w:r>
        <w:rPr>
          <w:lang w:val="en_US" w:bidi="en_US"/>
        </w:rPr>
      </w:r>
      <w:r>
        <w:rPr>
          <w:lang w:val="en_US" w:bidi="en_US"/>
        </w:rPr>
        <w:t xml:space="preserve">So they went into </w:t>
      </w:r>
      <w:r>
        <w:rPr>
          <w:lang w:val="en_US" w:bidi="en_US"/>
        </w:rPr>
        <w:t>the tomb</w:t>
      </w:r>
      <w:r>
        <w:rPr>
          <w:lang w:val="en_US" w:bidi="en_US"/>
        </w:rPr>
        <w:t>, but</w:t>
      </w:r>
    </w:p>
    <w:p>
      <w:pPr>
        <w:pStyle w:val="ListBullet"/>
        <w:spacing w:line="240" w:lineRule="auto"/>
        <w:ind w:left="720"/>
      </w:pPr>
      <w:r>
        <w:rPr>
          <w:lang w:val="en_US" w:bidi="en_US"/>
        </w:rPr>
      </w:r>
      <w:r>
        <w:rPr>
          <w:lang w:val="en_US" w:bidi="en_US"/>
        </w:rPr>
        <w:t xml:space="preserve">When they entered </w:t>
      </w:r>
      <w:r>
        <w:rPr>
          <w:lang w:val="en_US" w:bidi="en_US"/>
        </w:rPr>
        <w:t>the place/tomb</w:t>
      </w:r>
      <w:r>
        <w:rPr>
          <w:lang w:val="en_US" w:bidi="en_US"/>
        </w:rPr>
        <w:t>,</w:t>
      </w:r>
    </w:p>
    <w:p>
      <w:pPr/>
      <w:r>
        <w:rPr>
          <w:lang w:val="en_US" w:bidi="en_US"/>
        </w:rPr>
      </w:r>
      <w:r>
        <w:rPr>
          <w:b/>
          <w:lang w:val="en_US" w:bidi="en_US"/>
        </w:rPr>
        <w:t>but when they entered:</w:t>
      </w:r>
      <w:r>
        <w:rPr>
          <w:lang w:val="en_US" w:bidi="en_US"/>
        </w:rPr>
        <w:t xml:space="preserve"> This clause introduces the fact that they did not find Jesus’ body (24:3b). That contrasts with what the women expected. Translate the contrast in a natural way in your language.</w:t>
      </w:r>
    </w:p>
    <w:p>
      <w:pPr/>
      <w:r>
        <w:rPr>
          <w:lang w:val="en_US" w:bidi="en_US"/>
        </w:rPr>
      </w:r>
      <w:r>
        <w:rPr>
          <w:b/>
          <w:lang w:val="en_US" w:bidi="en_US"/>
        </w:rPr>
        <w:t>they entered:</w:t>
      </w:r>
      <w:r>
        <w:rPr>
          <w:lang w:val="en_US" w:bidi="en_US"/>
        </w:rPr>
        <w:t xml:space="preserve"> The phrase </w:t>
      </w:r>
      <w:r>
        <w:rPr>
          <w:i/>
          <w:lang w:val="en_US" w:bidi="en_US"/>
        </w:rPr>
        <w:t>they entered</w:t>
      </w:r>
      <w:r>
        <w:rPr>
          <w:lang w:val="en_US" w:bidi="en_US"/>
        </w:rPr>
        <w:t xml:space="preserve"> implies that the women entered </w:t>
      </w:r>
      <w:r>
        <w:rPr>
          <w:u w:val="single"/>
          <w:lang w:val="en_US" w:bidi="en_US"/>
        </w:rPr>
        <w:t>the tomb</w:t>
      </w:r>
      <w:r>
        <w:rPr>
          <w:lang w:val="en_US" w:bidi="en_US"/>
        </w:rPr>
        <w:t>. Since the tomb was a cave, several women could probably enter it at the same time.</w:t>
      </w:r>
    </w:p>
    <w:p>
      <w:pPr/>
      <w:r>
        <w:rPr>
          <w:lang w:val="en_US" w:bidi="en_US"/>
        </w:rPr>
      </w:r>
      <w:r>
        <w:rPr>
          <w:lang w:val="en_US" w:bidi="en_US"/>
        </w:rPr>
        <w:t>In some languages it may be necessary to make it explicit that the women entered the tomb. For example:</w:t>
      </w:r>
    </w:p>
    <w:p>
      <w:pPr/>
      <w:r>
        <w:rPr>
          <w:lang w:val="en_US" w:bidi="en_US"/>
        </w:rPr>
      </w:r>
      <w:r>
        <w:rPr>
          <w:lang w:val="en_US" w:bidi="en_US"/>
        </w:rPr>
        <w:t xml:space="preserve">when they went into </w:t>
      </w:r>
      <w:r>
        <w:rPr>
          <w:lang w:val="en_US" w:bidi="en_US"/>
        </w:rPr>
        <w:t>the tomb</w:t>
      </w:r>
    </w:p>
    <w:p>
      <w:pPr>
        <w:pStyle w:val="Heading5"/>
      </w:pPr>
      <w:r>
        <w:rPr>
          <w:lang w:val="en_US" w:bidi="en_US"/>
        </w:rPr>
        <w:t>24:3b</w:t>
      </w:r>
    </w:p>
    <w:p>
      <w:pPr/>
      <w:r>
        <w:rPr>
          <w:lang w:val="en_US" w:bidi="en_US"/>
        </w:rPr>
      </w:r>
      <w:r>
        <w:rPr>
          <w:b/>
          <w:lang w:val="en_US" w:bidi="en_US"/>
        </w:rPr>
        <w:t>they did not find the body of the Lord Jesus.</w:t>
      </w:r>
    </w:p>
    <w:p>
      <w:pPr>
        <w:pStyle w:val="ListBullet"/>
        <w:spacing w:line="240" w:lineRule="auto"/>
        <w:ind w:left="720"/>
      </w:pPr>
      <w:r>
        <w:rPr>
          <w:lang w:val="en_US" w:bidi="en_US"/>
        </w:rPr>
      </w:r>
      <w:r>
        <w:rPr>
          <w:lang w:val="en_US" w:bidi="en_US"/>
        </w:rPr>
        <w:t>they did not see the body of the Lord Jesus.</w:t>
      </w:r>
    </w:p>
    <w:p>
      <w:pPr>
        <w:pStyle w:val="ListBullet"/>
        <w:spacing w:line="240" w:lineRule="auto"/>
        <w:ind w:left="720"/>
      </w:pPr>
      <w:r>
        <w:rPr>
          <w:lang w:val="en_US" w:bidi="en_US"/>
        </w:rPr>
      </w:r>
      <w:r>
        <w:rPr>
          <w:lang w:val="en_US" w:bidi="en_US"/>
        </w:rPr>
        <w:t>the Lord Jesus’ corpse was not there.</w:t>
      </w:r>
    </w:p>
    <w:p>
      <w:pPr/>
      <w:r>
        <w:rPr>
          <w:lang w:val="en_US" w:bidi="en_US"/>
        </w:rPr>
      </w:r>
      <w:r>
        <w:rPr>
          <w:b/>
          <w:lang w:val="en_US" w:bidi="en_US"/>
        </w:rPr>
        <w:t>they did not find the body of the Lord Jesus:</w:t>
      </w:r>
      <w:r>
        <w:rPr>
          <w:lang w:val="en_US" w:bidi="en_US"/>
        </w:rPr>
        <w:t xml:space="preserve"> This clause indicates that the women did not see Jesus’ corpse there. His body was not where the women had seen it after he died. They could not find his body in the tomb at all. It was gone.</w:t>
      </w:r>
    </w:p>
    <w:p>
      <w:pPr/>
      <w:r>
        <w:rPr>
          <w:lang w:val="en_US" w:bidi="en_US"/>
        </w:rPr>
      </w:r>
      <w:r>
        <w:rPr>
          <w:lang w:val="en_US" w:bidi="en_US"/>
        </w:rPr>
        <w:t>Some other ways to translate this clause are:</w:t>
      </w:r>
    </w:p>
    <w:p>
      <w:pPr/>
      <w:r>
        <w:rPr>
          <w:lang w:val="en_US" w:bidi="en_US"/>
        </w:rPr>
      </w:r>
      <w:r>
        <w:rPr>
          <w:lang w:val="en_US" w:bidi="en_US"/>
        </w:rPr>
        <w:t>they saw that the body/corpse of the Lord Jesus was not there</w:t>
      </w:r>
    </w:p>
    <w:p>
      <w:pPr/>
      <w:r>
        <w:rPr>
          <w:lang w:val="en_US" w:bidi="en_US"/>
        </w:rPr>
      </w:r>
      <w:r>
        <w:rPr>
          <w:lang w:val="en_US" w:bidi="en_US"/>
        </w:rPr>
        <w:t>they looked for the body of the Lord Jesus, but it was not there</w:t>
      </w:r>
    </w:p>
    <w:p>
      <w:pPr/>
      <w:r>
        <w:rPr>
          <w:lang w:val="en_US" w:bidi="en_US"/>
        </w:rPr>
      </w:r>
      <w:r>
        <w:rPr>
          <w:b/>
          <w:lang w:val="en_US" w:bidi="en_US"/>
        </w:rPr>
        <w:t>the body of the Lord Jesus:</w:t>
      </w:r>
      <w:r>
        <w:rPr>
          <w:lang w:val="en_US" w:bidi="en_US"/>
        </w:rPr>
        <w:t xml:space="preserve"> There is a textual issue here:</w:t>
      </w:r>
    </w:p>
    <w:p>
      <w:pPr>
        <w:pStyle w:val="ListNumber"/>
        <w:numPr>
          <w:ilvl w:val="0"/>
          <w:numId w:val="365"/>
        </w:numPr>
        <w:spacing w:line="240" w:lineRule="auto"/>
        <w:ind w:left="720"/>
      </w:pPr>
      <w:r>
        <w:rPr>
          <w:lang w:val="en_US" w:bidi="en_US"/>
        </w:rPr>
      </w:r>
      <w:r>
        <w:rPr>
          <w:lang w:val="en_US" w:bidi="en_US"/>
        </w:rPr>
        <w:t xml:space="preserve">Many Greek manuscripts include the words </w:t>
      </w:r>
      <w:r>
        <w:rPr>
          <w:i/>
          <w:lang w:val="en_US" w:bidi="en_US"/>
        </w:rPr>
        <w:t>of the Lord Jesus</w:t>
      </w:r>
      <w:r>
        <w:rPr>
          <w:lang w:val="en_US" w:bidi="en_US"/>
        </w:rPr>
        <w:t>. Here is another way to translate this:</w:t>
      </w:r>
      <w:r>
        <w:rPr>
          <w:lang w:val="en_US" w:bidi="en_US"/>
        </w:rPr>
        <w:t xml:space="preserve">they did not find the body of the Lord Jesus (GNT) </w:t>
      </w:r>
      <w:r>
        <w:rPr>
          <w:i/>
          <w:lang w:val="en_US" w:bidi="en_US"/>
        </w:rPr>
        <w:t>(BSB, KJV, NASB, NIV, NJB, GNT, REB, NET, GW, ESV, NLT, CEV, NCV, JBP)</w:t>
      </w:r>
    </w:p>
    <w:p>
      <w:pPr>
        <w:pStyle w:val="ListNumber"/>
        <w:spacing w:line="240" w:lineRule="auto"/>
        <w:ind w:left="720"/>
      </w:pPr>
      <w:r>
        <w:rPr>
          <w:lang w:val="en_US" w:bidi="en_US"/>
        </w:rPr>
      </w:r>
      <w:r>
        <w:rPr>
          <w:lang w:val="en_US" w:bidi="en_US"/>
        </w:rPr>
        <w:t xml:space="preserve">Some Greek manuscripts do not include the words </w:t>
      </w:r>
      <w:r>
        <w:rPr>
          <w:i/>
          <w:lang w:val="en_US" w:bidi="en_US"/>
        </w:rPr>
        <w:t>of the Lord Jesus</w:t>
      </w:r>
      <w:r>
        <w:rPr>
          <w:lang w:val="en_US" w:bidi="en_US"/>
        </w:rPr>
        <w:t>.</w:t>
      </w:r>
      <w:r>
        <w:rPr>
          <w:lang w:val="en_US" w:bidi="en_US"/>
        </w:rPr>
        <w:t>Some other manuscripts have “of Jesus.” No English version on TW follows this textual option.</w:t>
      </w:r>
      <w:r>
        <w:rPr>
          <w:lang w:val="en_US" w:bidi="en_US"/>
        </w:rPr>
        <w:t xml:space="preserve"> For example:</w:t>
      </w:r>
      <w:r>
        <w:rPr>
          <w:lang w:val="en_US" w:bidi="en_US"/>
        </w:rPr>
        <w:t xml:space="preserve">they did not find the body (RSV) </w:t>
      </w:r>
      <w:r>
        <w:rPr>
          <w:i/>
          <w:lang w:val="en_US" w:bidi="en_US"/>
        </w:rPr>
        <w:t>(RSV, NRSV)</w:t>
      </w:r>
    </w:p>
    <w:p>
      <w:pPr/>
      <w:r>
        <w:rPr>
          <w:lang w:val="en_US" w:bidi="en_US"/>
        </w:rPr>
      </w:r>
      <w:r>
        <w:rPr>
          <w:lang w:val="en_US" w:bidi="en_US"/>
        </w:rPr>
        <w:t>It is recommended that you follow option (1), since it has the best manuscript support.</w:t>
      </w:r>
      <w:r>
        <w:rPr>
          <w:lang w:val="en_US" w:bidi="en_US"/>
        </w:rPr>
        <w:t>The UBS 4</w:t>
      </w:r>
      <w:r>
        <w:rPr>
          <w:vertAlign w:val="superscript"/>
          <w:lang w:val="en_US" w:bidi="en_US"/>
        </w:rPr>
        <w:t>th</w:t>
      </w:r>
      <w:r>
        <w:rPr>
          <w:lang w:val="en_US" w:bidi="en_US"/>
        </w:rPr>
        <w:t xml:space="preserve"> Edition Greek NT includes these words with a B rating, indicating that the text is almost certain. (For information on this rating system, see p. 3 in the introduction.)</w:t>
      </w:r>
      <w:r>
        <w:rPr>
          <w:lang w:val="en_US" w:bidi="en_US"/>
        </w:rPr>
        <w:t xml:space="preserve"> Also, nearly every English version follows this option.</w:t>
      </w:r>
      <w:r>
        <w:rPr>
          <w:lang w:val="en_US" w:bidi="en_US"/>
        </w:rPr>
      </w:r>
      <w:r>
        <w:rPr>
          <w:lang w:val="en_US" w:bidi="en_US"/>
        </w:rPr>
      </w:r>
    </w:p>
    <w:p>
      <w:pPr/>
      <w:r>
        <w:rPr>
          <w:lang w:val="en_US" w:bidi="en_US"/>
        </w:rPr>
      </w:r>
    </w:p>
    <w:p>
      <w:pPr>
        <w:pStyle w:val="Heading2"/>
      </w:pPr>
      <w:r>
        <w:rPr>
          <w:lang w:val="en_US" w:bidi="en_US"/>
        </w:rPr>
        <w:t>Luke 24:4</w:t>
      </w:r>
      <w:r>
        <w:rPr>
          <w:lang w:val="en_US" w:bidi="en_US"/>
        </w:rPr>
      </w:r>
    </w:p>
    <w:p>
      <w:pPr>
        <w:pStyle w:val="Heading4"/>
      </w:pPr>
      <w:r>
        <w:rPr>
          <w:lang w:val="en_US" w:bidi="en_US"/>
        </w:rPr>
        <w:t>Section 24:1–12: Jesus rose from the dead</w:t>
      </w:r>
    </w:p>
    <w:p>
      <w:pPr/>
      <w:r>
        <w:rPr>
          <w:lang w:val="en_US" w:bidi="en_US"/>
        </w:rPr>
      </w:r>
      <w:r>
        <w:rPr>
          <w:lang w:val="en_US" w:bidi="en_US"/>
        </w:rP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pPr/>
      <w:r>
        <w:rPr>
          <w:lang w:val="en_US" w:bidi="en_US"/>
        </w:rPr>
      </w:r>
      <w:r>
        <w:rPr>
          <w:lang w:val="en_US" w:bidi="en_US"/>
        </w:rP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pPr/>
      <w:r>
        <w:rPr>
          <w:lang w:val="en_US" w:bidi="en_US"/>
        </w:rPr>
      </w:r>
      <w:r>
        <w:rPr>
          <w:lang w:val="en_US" w:bidi="en_US"/>
        </w:rPr>
        <w:t>The first people who came to Jesus’ tomb were women, so they were the ones who heard the good news from the angels. When they went and told his followers, the followers did not believe the women.</w:t>
      </w:r>
    </w:p>
    <w:p>
      <w:pPr/>
      <w:r>
        <w:rPr>
          <w:lang w:val="en_US" w:bidi="en_US"/>
        </w:rPr>
      </w:r>
      <w:r>
        <w:rPr>
          <w:lang w:val="en_US" w:bidi="en_US"/>
        </w:rPr>
        <w:t>Some examples of other headings for this section are:</w:t>
      </w:r>
    </w:p>
    <w:p>
      <w:pPr/>
      <w:r>
        <w:rPr>
          <w:lang w:val="en_US" w:bidi="en_US"/>
        </w:rPr>
      </w:r>
      <w:r>
        <w:rPr>
          <w:lang w:val="en_US" w:bidi="en_US"/>
        </w:rPr>
        <w:t>Jesus Comes Back to Life (GW)</w:t>
      </w:r>
    </w:p>
    <w:p>
      <w:pPr/>
      <w:r>
        <w:rPr>
          <w:lang w:val="en_US" w:bidi="en_US"/>
        </w:rPr>
      </w:r>
      <w:r>
        <w:rPr>
          <w:lang w:val="en_US" w:bidi="en_US"/>
        </w:rPr>
        <w:t>The Resurrection of Jesus (NRSV)</w:t>
      </w:r>
    </w:p>
    <w:p>
      <w:pPr/>
      <w:r>
        <w:rPr>
          <w:lang w:val="en_US" w:bidi="en_US"/>
        </w:rPr>
      </w:r>
      <w:r>
        <w:rPr>
          <w:lang w:val="en_US" w:bidi="en_US"/>
        </w:rPr>
        <w:t>Jesus Is Alive (CEV)</w:t>
      </w:r>
    </w:p>
    <w:p>
      <w:pPr/>
      <w:r>
        <w:rPr>
          <w:lang w:val="en_US" w:bidi="en_US"/>
        </w:rPr>
      </w:r>
      <w:r>
        <w:rPr>
          <w:lang w:val="en_US" w:bidi="en_US"/>
        </w:rPr>
        <w:t>There are parallel passages for this section in Matthew 28:1–10, Mark 16:1–8, and John 20:1–10.</w:t>
      </w:r>
    </w:p>
    <w:p>
      <w:pPr>
        <w:pStyle w:val="Heading5"/>
      </w:pPr>
      <w:r>
        <w:rPr>
          <w:lang w:val="en_US" w:bidi="en_US"/>
        </w:rPr>
        <w:t>24:4a</w:t>
      </w:r>
    </w:p>
    <w:p>
      <w:pPr/>
      <w:r>
        <w:rPr>
          <w:lang w:val="en_US" w:bidi="en_US"/>
        </w:rPr>
      </w:r>
      <w:r>
        <w:rPr>
          <w:b/>
          <w:lang w:val="en_US" w:bidi="en_US"/>
        </w:rPr>
        <w:t>While they were puzzling over this,</w:t>
      </w:r>
    </w:p>
    <w:p>
      <w:pPr>
        <w:pStyle w:val="ListBullet"/>
        <w:spacing w:line="240" w:lineRule="auto"/>
        <w:ind w:left="720"/>
      </w:pPr>
      <w:r>
        <w:rPr>
          <w:lang w:val="en_US" w:bidi="en_US"/>
        </w:rPr>
      </w:r>
      <w:r>
        <w:rPr>
          <w:lang w:val="en_US" w:bidi="en_US"/>
        </w:rPr>
        <w:t>And then while they were perplexed about this,</w:t>
      </w:r>
    </w:p>
    <w:p>
      <w:pPr>
        <w:pStyle w:val="ListBullet"/>
        <w:spacing w:line="240" w:lineRule="auto"/>
        <w:ind w:left="720"/>
      </w:pPr>
      <w:r>
        <w:rPr>
          <w:lang w:val="en_US" w:bidi="en_US"/>
        </w:rPr>
      </w:r>
      <w:r>
        <w:rPr>
          <w:lang w:val="en_US" w:bidi="en_US"/>
        </w:rPr>
        <w:t>They did not know what to think.</w:t>
      </w:r>
    </w:p>
    <w:p>
      <w:pPr/>
      <w:r>
        <w:rPr>
          <w:lang w:val="en_US" w:bidi="en_US"/>
        </w:rPr>
      </w:r>
      <w:r>
        <w:rPr>
          <w:lang w:val="en_US" w:bidi="en_US"/>
        </w:rPr>
        <w:t>In the Greek text, 24:4a begins with a phrase that literally means “And it happened.” Luke used this phrase to connect 24:4a with 24:3b and to introduce what was about to happen in 24:4b. You should connect 24:4a with 24:3b in a way that is natural in your language.</w:t>
      </w:r>
    </w:p>
    <w:p>
      <w:pPr/>
      <w:r>
        <w:rPr>
          <w:lang w:val="en_US" w:bidi="en_US"/>
        </w:rPr>
      </w:r>
      <w:r>
        <w:rPr>
          <w:b/>
          <w:lang w:val="en_US" w:bidi="en_US"/>
        </w:rPr>
        <w:t>While they were puzzling over this:</w:t>
      </w:r>
      <w:r>
        <w:rPr>
          <w:lang w:val="en_US" w:bidi="en_US"/>
        </w:rPr>
        <w:t xml:space="preserve"> The Greek phrase that the BSB translates as </w:t>
      </w:r>
      <w:r>
        <w:rPr>
          <w:i/>
          <w:lang w:val="en_US" w:bidi="en_US"/>
        </w:rPr>
        <w:t>they were puzzling</w:t>
      </w:r>
      <w:r>
        <w:rPr>
          <w:lang w:val="en_US" w:bidi="en_US"/>
        </w:rPr>
        <w:t xml:space="preserve"> means that the women were perplexed and confused. The phrase </w:t>
      </w:r>
      <w:r>
        <w:rPr>
          <w:i/>
          <w:lang w:val="en_US" w:bidi="en_US"/>
        </w:rPr>
        <w:t>over this</w:t>
      </w:r>
      <w:r>
        <w:rPr>
          <w:lang w:val="en_US" w:bidi="en_US"/>
        </w:rPr>
        <w:t xml:space="preserve"> tells what caused them to be confused. They could not imagine where Jesus’ body might be. Some other ways to translate this are:</w:t>
      </w:r>
    </w:p>
    <w:p>
      <w:pPr/>
      <w:r>
        <w:rPr>
          <w:lang w:val="en_US" w:bidi="en_US"/>
        </w:rPr>
      </w:r>
      <w:r>
        <w:rPr>
          <w:lang w:val="en_US" w:bidi="en_US"/>
        </w:rPr>
        <w:t>Then they were troubled and amazed about that</w:t>
      </w:r>
    </w:p>
    <w:p>
      <w:pPr/>
      <w:r>
        <w:rPr>
          <w:lang w:val="en_US" w:bidi="en_US"/>
        </w:rPr>
      </w:r>
      <w:r>
        <w:rPr>
          <w:lang w:val="en_US" w:bidi="en_US"/>
        </w:rPr>
        <w:t xml:space="preserve">As they were totally confused about </w:t>
      </w:r>
      <w:r>
        <w:rPr>
          <w:lang w:val="en_US" w:bidi="en_US"/>
        </w:rPr>
        <w:t>where his body could be</w:t>
      </w:r>
    </w:p>
    <w:p>
      <w:pPr/>
      <w:r>
        <w:rPr>
          <w:lang w:val="en_US" w:bidi="en_US"/>
        </w:rPr>
      </w:r>
      <w:r>
        <w:rPr>
          <w:lang w:val="en_US" w:bidi="en_US"/>
        </w:rPr>
        <w:t>That caused them to be confused/amazed</w:t>
      </w:r>
    </w:p>
    <w:p>
      <w:pPr/>
      <w:r>
        <w:rPr>
          <w:lang w:val="en_US" w:bidi="en_US"/>
        </w:rPr>
      </w:r>
      <w:r>
        <w:rPr>
          <w:lang w:val="en_US" w:bidi="en_US"/>
        </w:rPr>
        <w:t>In some languages there is an idiom for this meaning. For example:</w:t>
      </w:r>
    </w:p>
    <w:p>
      <w:pPr/>
      <w:r>
        <w:rPr>
          <w:lang w:val="en_US" w:bidi="en_US"/>
        </w:rPr>
      </w:r>
      <w:r>
        <w:rPr>
          <w:lang w:val="en_US" w:bidi="en_US"/>
        </w:rPr>
        <w:t xml:space="preserve">While they stood </w:t>
      </w:r>
      <w:r>
        <w:rPr>
          <w:u w:val="single"/>
          <w:lang w:val="en_US" w:bidi="en_US"/>
        </w:rPr>
        <w:t>utterly at a loss</w:t>
      </w:r>
      <w:r>
        <w:rPr>
          <w:lang w:val="en_US" w:bidi="en_US"/>
        </w:rPr>
        <w:t xml:space="preserve"> (REB)</w:t>
      </w:r>
    </w:p>
    <w:p>
      <w:pPr>
        <w:pStyle w:val="Heading5"/>
      </w:pPr>
      <w:r>
        <w:rPr>
          <w:lang w:val="en_US" w:bidi="en_US"/>
        </w:rPr>
        <w:t>24:4b</w:t>
      </w:r>
    </w:p>
    <w:p>
      <w:pPr/>
      <w:r>
        <w:rPr>
          <w:lang w:val="en_US" w:bidi="en_US"/>
        </w:rPr>
      </w:r>
      <w:r>
        <w:rPr>
          <w:b/>
          <w:lang w:val="en_US" w:bidi="en_US"/>
        </w:rPr>
        <w:t>suddenly two men in radiant apparel stood beside them.</w:t>
      </w:r>
    </w:p>
    <w:p>
      <w:pPr>
        <w:pStyle w:val="ListBullet"/>
        <w:spacing w:line="240" w:lineRule="auto"/>
        <w:ind w:left="720"/>
      </w:pPr>
      <w:r>
        <w:rPr>
          <w:lang w:val="en_US" w:bidi="en_US"/>
        </w:rPr>
      </w:r>
      <w:r>
        <w:rPr>
          <w:lang w:val="en_US" w:bidi="en_US"/>
        </w:rPr>
        <w:t>look/listen, two men in shining clothes stood next to them.</w:t>
      </w:r>
    </w:p>
    <w:p>
      <w:pPr>
        <w:pStyle w:val="ListBullet"/>
        <w:spacing w:line="240" w:lineRule="auto"/>
        <w:ind w:left="720"/>
      </w:pPr>
      <w:r>
        <w:rPr>
          <w:lang w:val="en_US" w:bidi="en_US"/>
        </w:rPr>
      </w:r>
      <w:r>
        <w:rPr>
          <w:lang w:val="en_US" w:bidi="en_US"/>
        </w:rPr>
        <w:t xml:space="preserve">Then suddenly two men appeared beside them! </w:t>
      </w:r>
      <w:r>
        <w:rPr>
          <w:lang w:val="en_US" w:bidi="en_US"/>
        </w:rPr>
        <w:t>The men were wearing</w:t>
      </w:r>
      <w:r>
        <w:rPr>
          <w:lang w:val="en_US" w:bidi="en_US"/>
        </w:rPr>
        <w:t xml:space="preserve"> clothes that were dazzling/bright like lightning.</w:t>
      </w:r>
    </w:p>
    <w:p>
      <w:pPr/>
      <w:r>
        <w:rPr>
          <w:lang w:val="en_US" w:bidi="en_US"/>
        </w:rPr>
      </w:r>
      <w:r>
        <w:rPr>
          <w:b/>
          <w:lang w:val="en_US" w:bidi="en_US"/>
        </w:rPr>
        <w:t>suddenly two men in radiant apparel stood beside them:</w:t>
      </w:r>
      <w:r>
        <w:rPr>
          <w:lang w:val="en_US" w:bidi="en_US"/>
        </w:rPr>
        <w:t xml:space="preserve"> This clause implies that the </w:t>
      </w:r>
      <w:r>
        <w:rPr>
          <w:i/>
          <w:lang w:val="en_US" w:bidi="en_US"/>
        </w:rPr>
        <w:t>two men</w:t>
      </w:r>
      <w:r>
        <w:rPr>
          <w:lang w:val="en_US" w:bidi="en_US"/>
        </w:rPr>
        <w:t xml:space="preserve"> were not ordinary people by saying that their clothes gleamed like lightning. In 24:23 the women described the two men as “angels” when they told the disciples about them.</w:t>
      </w:r>
    </w:p>
    <w:p>
      <w:pPr/>
      <w:r>
        <w:rPr>
          <w:lang w:val="en_US" w:bidi="en_US"/>
        </w:rPr>
      </w:r>
      <w:r>
        <w:rPr>
          <w:lang w:val="en_US" w:bidi="en_US"/>
        </w:rPr>
        <w:t>In some languages it may be helpful to translate this part of the verse as two separate clauses. For example:</w:t>
      </w:r>
    </w:p>
    <w:p>
      <w:pPr/>
      <w:r>
        <w:rPr>
          <w:lang w:val="en_US" w:bidi="en_US"/>
        </w:rPr>
      </w:r>
      <w:r>
        <w:rPr>
          <w:lang w:val="en_US" w:bidi="en_US"/>
        </w:rPr>
        <w:t>suddenly two men stood beside them. The men were wearing clothes that gleamed like lightning.</w:t>
      </w:r>
    </w:p>
    <w:p>
      <w:pPr/>
      <w:r>
        <w:rPr>
          <w:lang w:val="en_US" w:bidi="en_US"/>
        </w:rPr>
      </w:r>
      <w:r>
        <w:rPr>
          <w:b/>
          <w:lang w:val="en_US" w:bidi="en_US"/>
        </w:rPr>
        <w:t>suddenly two men…stood beside them:</w:t>
      </w:r>
      <w:r>
        <w:rPr>
          <w:lang w:val="en_US" w:bidi="en_US"/>
        </w:rPr>
        <w:t xml:space="preserve"> In this context the Greek phrase</w:t>
      </w:r>
      <w:r>
        <w:rPr>
          <w:i/>
          <w:lang w:val="en_US" w:bidi="en_US"/>
        </w:rPr>
        <w:t>kai</w:t>
      </w:r>
      <w:r>
        <w:rPr>
          <w:lang w:val="en_US" w:bidi="en_US"/>
        </w:rPr>
        <w:t xml:space="preserve"> </w:t>
      </w:r>
      <w:r>
        <w:rPr>
          <w:i/>
          <w:lang w:val="en_US" w:bidi="en_US"/>
        </w:rPr>
        <w:t>idou</w:t>
      </w:r>
      <w:r>
        <w:rPr>
          <w:lang w:val="en_US" w:bidi="en_US"/>
        </w:rPr>
        <w:t xml:space="preserve"> that the BSB translates as </w:t>
      </w:r>
      <w:r>
        <w:rPr>
          <w:i/>
          <w:lang w:val="en_US" w:bidi="en_US"/>
        </w:rPr>
        <w:t>suddenly</w:t>
      </w:r>
      <w:r>
        <w:rPr>
          <w:lang w:val="en_US" w:bidi="en_US"/>
        </w:rPr>
        <w:t xml:space="preserve"> introduces something that is surprising or unexpected. The women were startled as they became aware of the presence of two men. The women did not see or hear these men come. Some other ways to translate this phrase in English are:</w:t>
      </w:r>
    </w:p>
    <w:p>
      <w:pPr/>
      <w:r>
        <w:rPr>
          <w:lang w:val="en_US" w:bidi="en_US"/>
        </w:rPr>
      </w:r>
      <w:r>
        <w:rPr>
          <w:lang w:val="en_US" w:bidi="en_US"/>
        </w:rPr>
        <w:t>all at once two men appeared, standing beside them</w:t>
      </w:r>
    </w:p>
    <w:p>
      <w:pPr/>
      <w:r>
        <w:rPr>
          <w:lang w:val="en_US" w:bidi="en_US"/>
        </w:rPr>
      </w:r>
      <w:r>
        <w:rPr>
          <w:lang w:val="en_US" w:bidi="en_US"/>
        </w:rPr>
        <w:t>unexpectedly two men…stood beside them</w:t>
      </w:r>
    </w:p>
    <w:p>
      <w:pPr/>
      <w:r>
        <w:rPr>
          <w:lang w:val="en_US" w:bidi="en_US"/>
        </w:rPr>
      </w:r>
      <w:r>
        <w:rPr>
          <w:b/>
          <w:lang w:val="en_US" w:bidi="en_US"/>
        </w:rPr>
        <w:t>in radiant apparel:</w:t>
      </w:r>
      <w:r>
        <w:rPr>
          <w:lang w:val="en_US" w:bidi="en_US"/>
        </w:rPr>
        <w:t xml:space="preserve"> The Greek word that the BSB translates as </w:t>
      </w:r>
      <w:r>
        <w:rPr>
          <w:i/>
          <w:lang w:val="en_US" w:bidi="en_US"/>
        </w:rPr>
        <w:t>radiant</w:t>
      </w:r>
      <w:r>
        <w:rPr>
          <w:lang w:val="en_US" w:bidi="en_US"/>
        </w:rPr>
        <w:t xml:space="preserve"> means “dazzling, bright.” The same word can be used to describe flashes of lightning (as in 17:24). The Greek word that the BSB translates as </w:t>
      </w:r>
      <w:r>
        <w:rPr>
          <w:i/>
          <w:lang w:val="en_US" w:bidi="en_US"/>
        </w:rPr>
        <w:t>apparel</w:t>
      </w:r>
      <w:r>
        <w:rPr>
          <w:lang w:val="en_US" w:bidi="en_US"/>
        </w:rPr>
        <w:t xml:space="preserve"> refers to clothing. In this context these words indicate that the angels’ clothes were bright and shining. A form of this word was also used in 9:29 to describe Jesus’ clothing during his transfiguration. You may be able to translate it in a similar way here.</w:t>
      </w:r>
    </w:p>
    <w:p>
      <w:pPr/>
      <w:r>
        <w:rPr>
          <w:lang w:val="en_US" w:bidi="en_US"/>
        </w:rPr>
      </w:r>
      <w:r>
        <w:rPr>
          <w:lang w:val="en_US" w:bidi="en_US"/>
        </w:rPr>
        <w:t xml:space="preserve">Some other ways to translate </w:t>
      </w:r>
      <w:r>
        <w:rPr>
          <w:i/>
          <w:lang w:val="en_US" w:bidi="en_US"/>
        </w:rPr>
        <w:t>in radiant apparel</w:t>
      </w:r>
      <w:r>
        <w:rPr>
          <w:lang w:val="en_US" w:bidi="en_US"/>
        </w:rPr>
        <w:t xml:space="preserve"> are:</w:t>
      </w:r>
    </w:p>
    <w:p>
      <w:pPr/>
      <w:r>
        <w:rPr>
          <w:lang w:val="en_US" w:bidi="en_US"/>
        </w:rPr>
      </w:r>
      <w:r>
        <w:rPr>
          <w:lang w:val="en_US" w:bidi="en_US"/>
        </w:rPr>
        <w:t>in bright, shining clothes</w:t>
      </w:r>
    </w:p>
    <w:p>
      <w:pPr/>
      <w:r>
        <w:rPr>
          <w:lang w:val="en_US" w:bidi="en_US"/>
        </w:rPr>
      </w:r>
      <w:r>
        <w:rPr>
          <w:lang w:val="en_US" w:bidi="en_US"/>
        </w:rPr>
        <w:t>clothed in dazzling robes (NLT)</w:t>
      </w:r>
    </w:p>
    <w:p>
      <w:pPr/>
      <w:r>
        <w:rPr>
          <w:lang w:val="en_US" w:bidi="en_US"/>
        </w:rPr>
      </w:r>
      <w:r>
        <w:rPr>
          <w:lang w:val="en_US" w:bidi="en_US"/>
        </w:rPr>
        <w:t>wearing clothes that were as bright as lightning</w:t>
      </w:r>
      <w:r>
        <w:rPr>
          <w:lang w:val="en_US" w:bidi="en_US"/>
        </w:rPr>
      </w:r>
      <w:r>
        <w:rPr>
          <w:lang w:val="en_US" w:bidi="en_US"/>
        </w:rPr>
      </w:r>
    </w:p>
    <w:p>
      <w:pPr/>
      <w:r>
        <w:rPr>
          <w:lang w:val="en_US" w:bidi="en_US"/>
        </w:rPr>
      </w:r>
    </w:p>
    <w:p>
      <w:pPr>
        <w:pStyle w:val="Heading2"/>
      </w:pPr>
      <w:r>
        <w:rPr>
          <w:lang w:val="en_US" w:bidi="en_US"/>
        </w:rPr>
        <w:t>Luke 24:5</w:t>
      </w:r>
      <w:r>
        <w:rPr>
          <w:lang w:val="en_US" w:bidi="en_US"/>
        </w:rPr>
      </w:r>
    </w:p>
    <w:p>
      <w:pPr>
        <w:pStyle w:val="Heading4"/>
      </w:pPr>
      <w:r>
        <w:rPr>
          <w:lang w:val="en_US" w:bidi="en_US"/>
        </w:rPr>
        <w:t>Section 24:1–12: Jesus rose from the dead</w:t>
      </w:r>
    </w:p>
    <w:p>
      <w:pPr/>
      <w:r>
        <w:rPr>
          <w:lang w:val="en_US" w:bidi="en_US"/>
        </w:rPr>
      </w:r>
      <w:r>
        <w:rPr>
          <w:lang w:val="en_US" w:bidi="en_US"/>
        </w:rP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pPr/>
      <w:r>
        <w:rPr>
          <w:lang w:val="en_US" w:bidi="en_US"/>
        </w:rPr>
      </w:r>
      <w:r>
        <w:rPr>
          <w:lang w:val="en_US" w:bidi="en_US"/>
        </w:rP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pPr/>
      <w:r>
        <w:rPr>
          <w:lang w:val="en_US" w:bidi="en_US"/>
        </w:rPr>
      </w:r>
      <w:r>
        <w:rPr>
          <w:lang w:val="en_US" w:bidi="en_US"/>
        </w:rPr>
        <w:t>The first people who came to Jesus’ tomb were women, so they were the ones who heard the good news from the angels. When they went and told his followers, the followers did not believe the women.</w:t>
      </w:r>
    </w:p>
    <w:p>
      <w:pPr/>
      <w:r>
        <w:rPr>
          <w:lang w:val="en_US" w:bidi="en_US"/>
        </w:rPr>
      </w:r>
      <w:r>
        <w:rPr>
          <w:lang w:val="en_US" w:bidi="en_US"/>
        </w:rPr>
        <w:t>Some examples of other headings for this section are:</w:t>
      </w:r>
    </w:p>
    <w:p>
      <w:pPr/>
      <w:r>
        <w:rPr>
          <w:lang w:val="en_US" w:bidi="en_US"/>
        </w:rPr>
      </w:r>
      <w:r>
        <w:rPr>
          <w:lang w:val="en_US" w:bidi="en_US"/>
        </w:rPr>
        <w:t>Jesus Comes Back to Life (GW)</w:t>
      </w:r>
    </w:p>
    <w:p>
      <w:pPr/>
      <w:r>
        <w:rPr>
          <w:lang w:val="en_US" w:bidi="en_US"/>
        </w:rPr>
      </w:r>
      <w:r>
        <w:rPr>
          <w:lang w:val="en_US" w:bidi="en_US"/>
        </w:rPr>
        <w:t>The Resurrection of Jesus (NRSV)</w:t>
      </w:r>
    </w:p>
    <w:p>
      <w:pPr/>
      <w:r>
        <w:rPr>
          <w:lang w:val="en_US" w:bidi="en_US"/>
        </w:rPr>
      </w:r>
      <w:r>
        <w:rPr>
          <w:lang w:val="en_US" w:bidi="en_US"/>
        </w:rPr>
        <w:t>Jesus Is Alive (CEV)</w:t>
      </w:r>
    </w:p>
    <w:p>
      <w:pPr/>
      <w:r>
        <w:rPr>
          <w:lang w:val="en_US" w:bidi="en_US"/>
        </w:rPr>
      </w:r>
      <w:r>
        <w:rPr>
          <w:lang w:val="en_US" w:bidi="en_US"/>
        </w:rPr>
        <w:t>There are parallel passages for this section in Matthew 28:1–10, Mark 16:1–8, and John 20:1–10.</w:t>
      </w:r>
    </w:p>
    <w:p>
      <w:pPr>
        <w:pStyle w:val="Heading5"/>
      </w:pPr>
      <w:r>
        <w:rPr>
          <w:lang w:val="en_US" w:bidi="en_US"/>
        </w:rPr>
        <w:t>24:5a</w:t>
      </w:r>
    </w:p>
    <w:p>
      <w:pPr/>
      <w:r>
        <w:rPr>
          <w:lang w:val="en_US" w:bidi="en_US"/>
        </w:rPr>
      </w:r>
      <w:r>
        <w:rPr>
          <w:b/>
          <w:lang w:val="en_US" w:bidi="en_US"/>
        </w:rPr>
        <w:t>As the women bowed their faces to the ground in terror,</w:t>
      </w:r>
    </w:p>
    <w:p>
      <w:pPr>
        <w:pStyle w:val="ListBullet"/>
        <w:spacing w:line="240" w:lineRule="auto"/>
        <w:ind w:left="720"/>
      </w:pPr>
      <w:r>
        <w:rPr>
          <w:lang w:val="en_US" w:bidi="en_US"/>
        </w:rPr>
      </w:r>
      <w:r>
        <w:rPr>
          <w:lang w:val="en_US" w:bidi="en_US"/>
        </w:rPr>
        <w:t>The women were terrified and bowed their heads to the ground.</w:t>
      </w:r>
    </w:p>
    <w:p>
      <w:pPr>
        <w:pStyle w:val="ListBullet"/>
        <w:spacing w:line="240" w:lineRule="auto"/>
        <w:ind w:left="720"/>
      </w:pPr>
      <w:r>
        <w:rPr>
          <w:lang w:val="en_US" w:bidi="en_US"/>
        </w:rPr>
      </w:r>
      <w:r>
        <w:rPr>
          <w:lang w:val="en_US" w:bidi="en_US"/>
        </w:rPr>
        <w:t xml:space="preserve">The women became afraid and they bowed low </w:t>
      </w:r>
      <w:r>
        <w:rPr>
          <w:lang w:val="en_US" w:bidi="en_US"/>
        </w:rPr>
        <w:t>in respect</w:t>
      </w:r>
      <w:r>
        <w:rPr>
          <w:lang w:val="en_US" w:bidi="en_US"/>
        </w:rPr>
        <w:t>.</w:t>
      </w:r>
    </w:p>
    <w:p>
      <w:pPr>
        <w:pStyle w:val="ListBullet"/>
        <w:spacing w:line="240" w:lineRule="auto"/>
        <w:ind w:left="720"/>
      </w:pPr>
      <w:r>
        <w:rPr>
          <w:lang w:val="en_US" w:bidi="en_US"/>
        </w:rPr>
      </w:r>
      <w:r>
        <w:rPr>
          <w:lang w:val="en_US" w:bidi="en_US"/>
        </w:rPr>
        <w:t>The women were frightened and looked down at the ground as they bowed to the men.</w:t>
      </w:r>
    </w:p>
    <w:p>
      <w:pPr/>
      <w:r>
        <w:rPr>
          <w:lang w:val="en_US" w:bidi="en_US"/>
        </w:rPr>
      </w:r>
      <w:r>
        <w:rPr>
          <w:b/>
          <w:lang w:val="en_US" w:bidi="en_US"/>
        </w:rPr>
        <w:t>As:</w:t>
      </w:r>
      <w:r>
        <w:rPr>
          <w:lang w:val="en_US" w:bidi="en_US"/>
        </w:rPr>
        <w:t xml:space="preserve"> In the Greek text, 24:5a begins with an common conjunction that is often translated as “and” or “but” (as in the NIV). The BSB translates it as </w:t>
      </w:r>
      <w:r>
        <w:rPr>
          <w:i/>
          <w:lang w:val="en_US" w:bidi="en_US"/>
        </w:rPr>
        <w:t>As</w:t>
      </w:r>
      <w:r>
        <w:rPr>
          <w:lang w:val="en_US" w:bidi="en_US"/>
        </w:rPr>
        <w:t>. Here it introduces what the men said when the women bowed to them. Other ways to translate it are:</w:t>
      </w:r>
    </w:p>
    <w:p>
      <w:pPr/>
      <w:r>
        <w:rPr>
          <w:lang w:val="en_US" w:bidi="en_US"/>
        </w:rPr>
      </w:r>
      <w:r>
        <w:rPr>
          <w:lang w:val="en_US" w:bidi="en_US"/>
        </w:rPr>
        <w:t>Then (NLT)</w:t>
      </w:r>
    </w:p>
    <w:p>
      <w:pPr/>
      <w:r>
        <w:rPr>
          <w:lang w:val="en_US" w:bidi="en_US"/>
        </w:rPr>
      </w:r>
      <w:r>
        <w:rPr>
          <w:lang w:val="en_US" w:bidi="en_US"/>
        </w:rPr>
        <w:t>but (NIV)</w:t>
      </w:r>
    </w:p>
    <w:p>
      <w:pPr/>
      <w:r>
        <w:rPr>
          <w:lang w:val="en_US" w:bidi="en_US"/>
        </w:rPr>
      </w:r>
      <w:r>
        <w:rPr>
          <w:lang w:val="en_US" w:bidi="en_US"/>
        </w:rPr>
        <w:t>Some versions do not have a conjunction. Connect this part of the verse with 24:5b in a natural way in your language.</w:t>
      </w:r>
    </w:p>
    <w:p>
      <w:pPr/>
      <w:r>
        <w:rPr>
          <w:lang w:val="en_US" w:bidi="en_US"/>
        </w:rPr>
      </w:r>
      <w:r>
        <w:rPr>
          <w:b/>
          <w:lang w:val="en_US" w:bidi="en_US"/>
        </w:rPr>
        <w:t>the women bowed their faces to the ground:</w:t>
      </w:r>
      <w:r>
        <w:rPr>
          <w:lang w:val="en_US" w:bidi="en_US"/>
        </w:rPr>
        <w:t xml:space="preserve"> The Greek phrase that the BSB literally translates as </w:t>
      </w:r>
      <w:r>
        <w:rPr>
          <w:i/>
          <w:lang w:val="en_US" w:bidi="en_US"/>
        </w:rPr>
        <w:t>bowed their faces to the ground</w:t>
      </w:r>
      <w:r>
        <w:rPr>
          <w:lang w:val="en_US" w:bidi="en_US"/>
        </w:rPr>
        <w:t xml:space="preserve"> is likely an idiom. It is not clear in this context whether they bent only their heads or whether they also bowed down or knelt. In this context the action probably showed both fear and respect.</w:t>
      </w:r>
      <w:r>
        <w:rPr>
          <w:lang w:val="en_US" w:bidi="en_US"/>
        </w:rPr>
        <w:t>Probably the women responded to the “men” as supernatural visitors and were bowing in fear and respect. Bock (p. 1890) says, “bowing is a sign of recognition of the presence of heavenly beings and divine messengers.” Green, Morris, Stein, Hendriksen, and Arndt also follow this view. However, Nolland, Marshall, and TH seem to indicate that the women bowed or lowered their heads only because of their fear or desire to avoid the bright light of the men’s clothes. Bock (p. 1890) specifically disagrees with Marshall, saying, “They do not bow simply to avoid the bright light, since turning away would accomplish that goal.”</w:t>
      </w:r>
    </w:p>
    <w:p>
      <w:pPr/>
      <w:r>
        <w:rPr>
          <w:lang w:val="en_US" w:bidi="en_US"/>
        </w:rPr>
      </w:r>
      <w:r>
        <w:rPr>
          <w:lang w:val="en_US" w:bidi="en_US"/>
        </w:rPr>
        <w:t>Some other ways to translate this action are:</w:t>
      </w:r>
    </w:p>
    <w:p>
      <w:pPr/>
      <w:r>
        <w:rPr>
          <w:lang w:val="en_US" w:bidi="en_US"/>
        </w:rPr>
      </w:r>
      <w:r>
        <w:rPr>
          <w:lang w:val="en_US" w:bidi="en_US"/>
        </w:rPr>
        <w:t>the women bowed down to the ground (GNT)</w:t>
      </w:r>
    </w:p>
    <w:p>
      <w:pPr/>
      <w:r>
        <w:rPr>
          <w:lang w:val="en_US" w:bidi="en_US"/>
        </w:rPr>
      </w:r>
      <w:r>
        <w:rPr>
          <w:lang w:val="en_US" w:bidi="en_US"/>
        </w:rPr>
        <w:t>the women bowed their heads to the ground (NJB)</w:t>
      </w:r>
    </w:p>
    <w:p>
      <w:pPr/>
      <w:r>
        <w:rPr>
          <w:lang w:val="en_US" w:bidi="en_US"/>
        </w:rPr>
      </w:r>
      <w:r>
        <w:rPr>
          <w:lang w:val="en_US" w:bidi="en_US"/>
        </w:rPr>
        <w:t xml:space="preserve">they bowed </w:t>
      </w:r>
      <w:r>
        <w:rPr>
          <w:lang w:val="en_US" w:bidi="en_US"/>
        </w:rPr>
        <w:t>to show respect</w:t>
      </w:r>
      <w:r>
        <w:rPr>
          <w:lang w:val="en_US" w:bidi="en_US"/>
        </w:rPr>
        <w:t xml:space="preserve"> (TRT)</w:t>
      </w:r>
    </w:p>
    <w:p>
      <w:pPr/>
      <w:r>
        <w:rPr>
          <w:lang w:val="en_US" w:bidi="en_US"/>
        </w:rPr>
      </w:r>
      <w:r>
        <w:rPr>
          <w:lang w:val="en_US" w:bidi="en_US"/>
        </w:rPr>
        <w:t>Translate the action in a way that communicates respect or fear in your culture.</w:t>
      </w:r>
    </w:p>
    <w:p>
      <w:pPr/>
      <w:r>
        <w:rPr>
          <w:lang w:val="en_US" w:bidi="en_US"/>
        </w:rPr>
      </w:r>
      <w:r>
        <w:rPr>
          <w:b/>
          <w:lang w:val="en_US" w:bidi="en_US"/>
        </w:rPr>
        <w:t>in terror:</w:t>
      </w:r>
      <w:r>
        <w:rPr>
          <w:lang w:val="en_US" w:bidi="en_US"/>
        </w:rPr>
        <w:t xml:space="preserve"> The phrase </w:t>
      </w:r>
      <w:r>
        <w:rPr>
          <w:i/>
          <w:lang w:val="en_US" w:bidi="en_US"/>
        </w:rPr>
        <w:t>in terror</w:t>
      </w:r>
      <w:r>
        <w:rPr>
          <w:lang w:val="en_US" w:bidi="en_US"/>
        </w:rPr>
        <w:t xml:space="preserve"> indicates that the women were very afraid. Some ways to translate it are:</w:t>
      </w:r>
    </w:p>
    <w:p>
      <w:pPr/>
      <w:r>
        <w:rPr>
          <w:lang w:val="en_US" w:bidi="en_US"/>
        </w:rPr>
      </w:r>
      <w:r>
        <w:rPr>
          <w:lang w:val="en_US" w:bidi="en_US"/>
        </w:rPr>
        <w:t>The women were very afraid (NCV)</w:t>
      </w:r>
    </w:p>
    <w:p>
      <w:pPr/>
      <w:r>
        <w:rPr>
          <w:lang w:val="en_US" w:bidi="en_US"/>
        </w:rPr>
      </w:r>
      <w:r>
        <w:rPr>
          <w:lang w:val="en_US" w:bidi="en_US"/>
        </w:rPr>
        <w:t>The women were terrified (GW)</w:t>
      </w:r>
    </w:p>
    <w:p>
      <w:pPr/>
      <w:r>
        <w:rPr>
          <w:lang w:val="en_US" w:bidi="en_US"/>
        </w:rPr>
      </w:r>
      <w:r>
        <w:rPr>
          <w:lang w:val="en_US" w:bidi="en_US"/>
        </w:rPr>
        <w:t>Full of fear (GNT)</w:t>
      </w:r>
    </w:p>
    <w:p>
      <w:pPr>
        <w:pStyle w:val="Heading5"/>
      </w:pPr>
      <w:r>
        <w:rPr>
          <w:lang w:val="en_US" w:bidi="en_US"/>
        </w:rPr>
        <w:t>24:5b</w:t>
      </w:r>
    </w:p>
    <w:p>
      <w:pPr/>
      <w:r>
        <w:rPr>
          <w:lang w:val="en_US" w:bidi="en_US"/>
        </w:rPr>
      </w:r>
      <w:r>
        <w:rPr>
          <w:b/>
          <w:lang w:val="en_US" w:bidi="en_US"/>
        </w:rPr>
        <w:t>the two men asked them,</w:t>
      </w:r>
    </w:p>
    <w:p>
      <w:pPr>
        <w:pStyle w:val="ListBullet"/>
        <w:spacing w:line="240" w:lineRule="auto"/>
        <w:ind w:left="720"/>
      </w:pPr>
      <w:r>
        <w:rPr>
          <w:lang w:val="en_US" w:bidi="en_US"/>
        </w:rPr>
      </w:r>
      <w:r>
        <w:rPr>
          <w:lang w:val="en_US" w:bidi="en_US"/>
        </w:rPr>
        <w:t>Then the men asked them,</w:t>
      </w:r>
    </w:p>
    <w:p>
      <w:pPr>
        <w:pStyle w:val="ListBullet"/>
        <w:spacing w:line="240" w:lineRule="auto"/>
        <w:ind w:left="720"/>
      </w:pPr>
      <w:r>
        <w:rPr>
          <w:lang w:val="en_US" w:bidi="en_US"/>
        </w:rPr>
      </w:r>
      <w:r>
        <w:rPr>
          <w:lang w:val="en_US" w:bidi="en_US"/>
        </w:rPr>
        <w:t>But/And the men said to them,</w:t>
      </w:r>
    </w:p>
    <w:p>
      <w:pPr/>
      <w:r>
        <w:rPr>
          <w:lang w:val="en_US" w:bidi="en_US"/>
        </w:rPr>
      </w:r>
      <w:r>
        <w:rPr>
          <w:b/>
          <w:lang w:val="en_US" w:bidi="en_US"/>
        </w:rPr>
        <w:t>the two men asked them:</w:t>
      </w:r>
      <w:r>
        <w:rPr>
          <w:lang w:val="en_US" w:bidi="en_US"/>
        </w:rPr>
        <w:t xml:space="preserve"> This clause introduces a rhetorical question that the men asked the women. Use a natural verb in your language. Some other ways to translate the clause in English are:</w:t>
      </w:r>
    </w:p>
    <w:p>
      <w:pPr/>
      <w:r>
        <w:rPr>
          <w:lang w:val="en_US" w:bidi="en_US"/>
        </w:rPr>
      </w:r>
      <w:r>
        <w:rPr>
          <w:lang w:val="en_US" w:bidi="en_US"/>
        </w:rPr>
        <w:t>The men asked the women (GW)</w:t>
      </w:r>
    </w:p>
    <w:p>
      <w:pPr/>
      <w:r>
        <w:rPr>
          <w:lang w:val="en_US" w:bidi="en_US"/>
        </w:rPr>
      </w:r>
      <w:r>
        <w:rPr>
          <w:lang w:val="en_US" w:bidi="en_US"/>
        </w:rPr>
        <w:t>the men said (REB)</w:t>
      </w:r>
    </w:p>
    <w:p>
      <w:pPr>
        <w:pStyle w:val="Heading5"/>
      </w:pPr>
      <w:r>
        <w:rPr>
          <w:lang w:val="en_US" w:bidi="en_US"/>
        </w:rPr>
        <w:t>24:5c</w:t>
      </w:r>
    </w:p>
    <w:p>
      <w:pPr/>
      <w:r>
        <w:rPr>
          <w:lang w:val="en_US" w:bidi="en_US"/>
        </w:rPr>
      </w:r>
      <w:r>
        <w:rPr>
          <w:b/>
          <w:lang w:val="en_US" w:bidi="en_US"/>
        </w:rPr>
        <w:t>“Why do you look for the living among the dead?</w:t>
      </w:r>
    </w:p>
    <w:p>
      <w:pPr>
        <w:pStyle w:val="ListBullet"/>
        <w:spacing w:line="240" w:lineRule="auto"/>
        <w:ind w:left="720"/>
      </w:pPr>
      <w:r>
        <w:rPr>
          <w:lang w:val="en_US" w:bidi="en_US"/>
        </w:rPr>
      </w:r>
      <w:r>
        <w:rPr>
          <w:lang w:val="en_US" w:bidi="en_US"/>
        </w:rPr>
        <w:t>“Why are you</w:t>
      </w:r>
      <w:r>
        <w:rPr>
          <w:vertAlign w:val="superscript"/>
          <w:lang w:val="en_US" w:bidi="en_US"/>
        </w:rPr>
        <w:t>(plur)</w:t>
      </w:r>
      <w:r>
        <w:rPr>
          <w:lang w:val="en_US" w:bidi="en_US"/>
        </w:rPr>
        <w:t xml:space="preserve"> looking/seeking for a living </w:t>
      </w:r>
      <w:r>
        <w:rPr>
          <w:lang w:val="en_US" w:bidi="en_US"/>
        </w:rPr>
        <w:t>person</w:t>
      </w:r>
      <w:r>
        <w:rPr>
          <w:lang w:val="en_US" w:bidi="en_US"/>
        </w:rPr>
        <w:t xml:space="preserve"> among the dead?</w:t>
      </w:r>
    </w:p>
    <w:p>
      <w:pPr>
        <w:pStyle w:val="ListBullet"/>
        <w:spacing w:line="240" w:lineRule="auto"/>
        <w:ind w:left="720"/>
      </w:pPr>
      <w:r>
        <w:rPr>
          <w:lang w:val="en_US" w:bidi="en_US"/>
        </w:rPr>
      </w:r>
      <w:r>
        <w:rPr>
          <w:lang w:val="en_US" w:bidi="en_US"/>
        </w:rPr>
        <w:t xml:space="preserve">“Do not look among dead </w:t>
      </w:r>
      <w:r>
        <w:rPr>
          <w:lang w:val="en_US" w:bidi="en_US"/>
        </w:rPr>
        <w:t>people</w:t>
      </w:r>
      <w:r>
        <w:rPr>
          <w:lang w:val="en_US" w:bidi="en_US"/>
        </w:rPr>
        <w:t xml:space="preserve"> for </w:t>
      </w:r>
      <w:r>
        <w:rPr>
          <w:lang w:val="en_US" w:bidi="en_US"/>
        </w:rPr>
        <w:t>someone who is</w:t>
      </w:r>
      <w:r>
        <w:rPr>
          <w:lang w:val="en_US" w:bidi="en_US"/>
        </w:rPr>
        <w:t xml:space="preserve"> alive!</w:t>
      </w:r>
    </w:p>
    <w:p>
      <w:pPr>
        <w:pStyle w:val="ListBullet"/>
        <w:spacing w:line="240" w:lineRule="auto"/>
        <w:ind w:left="720"/>
      </w:pPr>
      <w:r>
        <w:rPr>
          <w:lang w:val="en_US" w:bidi="en_US"/>
        </w:rPr>
      </w:r>
      <w:r>
        <w:rPr>
          <w:lang w:val="en_US" w:bidi="en_US"/>
        </w:rPr>
        <w:t xml:space="preserve">“It is useless to seek the living </w:t>
      </w:r>
      <w:r>
        <w:rPr>
          <w:lang w:val="en_US" w:bidi="en_US"/>
        </w:rPr>
        <w:t>one</w:t>
      </w:r>
      <w:r>
        <w:rPr>
          <w:lang w:val="en_US" w:bidi="en_US"/>
        </w:rPr>
        <w:t xml:space="preserve"> in a place for dead </w:t>
      </w:r>
      <w:r>
        <w:rPr>
          <w:lang w:val="en_US" w:bidi="en_US"/>
        </w:rPr>
        <w:t>people</w:t>
      </w:r>
      <w:r>
        <w:rPr>
          <w:lang w:val="en_US" w:bidi="en_US"/>
        </w:rPr>
        <w:t>!</w:t>
      </w:r>
    </w:p>
    <w:p>
      <w:pPr/>
      <w:r>
        <w:rPr>
          <w:lang w:val="en_US" w:bidi="en_US"/>
        </w:rPr>
      </w:r>
      <w:r>
        <w:rPr>
          <w:b/>
          <w:lang w:val="en_US" w:bidi="en_US"/>
        </w:rPr>
        <w:t>Why do you look for the living among the dead?:</w:t>
      </w:r>
      <w:r>
        <w:rPr>
          <w:lang w:val="en_US" w:bidi="en_US"/>
        </w:rPr>
        <w:t xml:space="preserve"> This is a rhetorical question. The men used it as a mild rebuke to the women. The men were saying that it was useless for the women to look for a live person in a tomb. The question implies that Jesus was alive, and therefore the women did not need to look for him in a tomb.</w:t>
      </w:r>
    </w:p>
    <w:p>
      <w:pPr/>
      <w:r>
        <w:rPr>
          <w:lang w:val="en_US" w:bidi="en_US"/>
        </w:rPr>
      </w:r>
      <w:r>
        <w:rPr>
          <w:lang w:val="en_US" w:bidi="en_US"/>
        </w:rPr>
        <w:t>Some ways to translate this mild rebuke are:</w:t>
      </w:r>
    </w:p>
    <w:p>
      <w:pPr>
        <w:pStyle w:val="ListBullet"/>
        <w:spacing w:line="240" w:lineRule="auto"/>
        <w:ind w:left="720"/>
      </w:pPr>
      <w:r>
        <w:rPr>
          <w:lang w:val="en_US" w:bidi="en_US"/>
        </w:rPr>
      </w:r>
      <w:r>
        <w:rPr>
          <w:lang w:val="en_US" w:bidi="en_US"/>
        </w:rPr>
        <w:t>As a rhetorical question. For example:</w:t>
      </w:r>
      <w:r>
        <w:rPr>
          <w:lang w:val="en_US" w:bidi="en_US"/>
        </w:rPr>
        <w:t>Why are you looking among the dead for one who is alive? (GNT)</w:t>
      </w:r>
      <w:r>
        <w:rPr>
          <w:lang w:val="en_US" w:bidi="en_US"/>
        </w:rPr>
        <w:t>Should you search for a living person in this place for the dead?</w:t>
      </w:r>
    </w:p>
    <w:p>
      <w:pPr>
        <w:pStyle w:val="ListBullet"/>
        <w:spacing w:line="240" w:lineRule="auto"/>
        <w:ind w:left="720"/>
      </w:pPr>
      <w:r>
        <w:rPr>
          <w:lang w:val="en_US" w:bidi="en_US"/>
        </w:rPr>
      </w:r>
      <w:r>
        <w:rPr>
          <w:lang w:val="en_US" w:bidi="en_US"/>
        </w:rPr>
        <w:t>As a statement. For example:</w:t>
      </w:r>
      <w:r>
        <w:rPr>
          <w:lang w:val="en_US" w:bidi="en_US"/>
        </w:rPr>
        <w:t>It is useless for you to look in the place of the dead for someone/one who is alive!</w:t>
      </w:r>
    </w:p>
    <w:p>
      <w:pPr/>
      <w:r>
        <w:rPr>
          <w:lang w:val="en_US" w:bidi="en_US"/>
        </w:rPr>
      </w:r>
      <w:r>
        <w:rPr>
          <w:lang w:val="en_US" w:bidi="en_US"/>
        </w:rPr>
        <w:t>Translate this mild rebuke in a way that is natural in your language.</w:t>
      </w:r>
    </w:p>
    <w:p>
      <w:pPr/>
      <w:r>
        <w:rPr>
          <w:lang w:val="en_US" w:bidi="en_US"/>
        </w:rPr>
      </w:r>
      <w:r>
        <w:rPr>
          <w:b/>
          <w:lang w:val="en_US" w:bidi="en_US"/>
        </w:rPr>
        <w:t>the living:</w:t>
      </w:r>
      <w:r>
        <w:rPr>
          <w:lang w:val="en_US" w:bidi="en_US"/>
        </w:rPr>
        <w:t xml:space="preserve"> The Greek phrase that the BSB translates as </w:t>
      </w:r>
      <w:r>
        <w:rPr>
          <w:i/>
          <w:lang w:val="en_US" w:bidi="en_US"/>
        </w:rPr>
        <w:t>the living</w:t>
      </w:r>
      <w:r>
        <w:rPr>
          <w:lang w:val="en_US" w:bidi="en_US"/>
        </w:rPr>
        <w:t xml:space="preserve"> refers to Jesus. It indicates that Jesus was alive. This is clear from the Greek text, which uses a singular form. Other ways to translate the phrase are:</w:t>
      </w:r>
    </w:p>
    <w:p>
      <w:pPr/>
      <w:r>
        <w:rPr>
          <w:lang w:val="en_US" w:bidi="en_US"/>
        </w:rPr>
      </w:r>
      <w:r>
        <w:rPr>
          <w:lang w:val="en_US" w:bidi="en_US"/>
        </w:rPr>
        <w:t>someone who is alive (CEV)</w:t>
      </w:r>
    </w:p>
    <w:p>
      <w:pPr/>
      <w:r>
        <w:rPr>
          <w:lang w:val="en_US" w:bidi="en_US"/>
        </w:rPr>
      </w:r>
      <w:r>
        <w:rPr>
          <w:lang w:val="en_US" w:bidi="en_US"/>
        </w:rPr>
        <w:t>the living one (GW)</w:t>
      </w:r>
    </w:p>
    <w:p>
      <w:pPr/>
      <w:r>
        <w:rPr>
          <w:lang w:val="en_US" w:bidi="en_US"/>
        </w:rPr>
      </w:r>
      <w:r>
        <w:rPr>
          <w:b/>
          <w:lang w:val="en_US" w:bidi="en_US"/>
        </w:rPr>
        <w:t>among the dead:</w:t>
      </w:r>
      <w:r>
        <w:rPr>
          <w:lang w:val="en_US" w:bidi="en_US"/>
        </w:rPr>
        <w:t xml:space="preserve"> The phrase </w:t>
      </w:r>
      <w:r>
        <w:rPr>
          <w:i/>
          <w:lang w:val="en_US" w:bidi="en_US"/>
        </w:rPr>
        <w:t>the dead</w:t>
      </w:r>
      <w:r>
        <w:rPr>
          <w:lang w:val="en_US" w:bidi="en_US"/>
        </w:rPr>
        <w:t xml:space="preserve"> refers to dead people. The Greek text uses a plural form. The phrase </w:t>
      </w:r>
      <w:r>
        <w:rPr>
          <w:i/>
          <w:lang w:val="en_US" w:bidi="en_US"/>
        </w:rPr>
        <w:t>among the dead</w:t>
      </w:r>
      <w:r>
        <w:rPr>
          <w:lang w:val="en_US" w:bidi="en_US"/>
        </w:rPr>
        <w:t xml:space="preserve"> implies that they should not be looking in a tomb, the place for burying dead people, to find a living person.</w:t>
      </w:r>
      <w:r>
        <w:rPr>
          <w:lang w:val="en_US" w:bidi="en_US"/>
        </w:rPr>
      </w:r>
      <w:r>
        <w:rPr>
          <w:lang w:val="en_US" w:bidi="en_US"/>
        </w:rPr>
      </w:r>
    </w:p>
    <w:p>
      <w:pPr/>
      <w:r>
        <w:rPr>
          <w:lang w:val="en_US" w:bidi="en_US"/>
        </w:rPr>
      </w:r>
    </w:p>
    <w:p>
      <w:pPr>
        <w:pStyle w:val="Heading2"/>
      </w:pPr>
      <w:r>
        <w:rPr>
          <w:lang w:val="en_US" w:bidi="en_US"/>
        </w:rPr>
        <w:t>Luke 24:6</w:t>
      </w:r>
      <w:r>
        <w:rPr>
          <w:lang w:val="en_US" w:bidi="en_US"/>
        </w:rPr>
      </w:r>
    </w:p>
    <w:p>
      <w:pPr>
        <w:pStyle w:val="Heading4"/>
      </w:pPr>
      <w:r>
        <w:rPr>
          <w:lang w:val="en_US" w:bidi="en_US"/>
        </w:rPr>
        <w:t>Section 24:1–12: Jesus rose from the dead</w:t>
      </w:r>
    </w:p>
    <w:p>
      <w:pPr/>
      <w:r>
        <w:rPr>
          <w:lang w:val="en_US" w:bidi="en_US"/>
        </w:rPr>
      </w:r>
      <w:r>
        <w:rPr>
          <w:lang w:val="en_US" w:bidi="en_US"/>
        </w:rP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pPr/>
      <w:r>
        <w:rPr>
          <w:lang w:val="en_US" w:bidi="en_US"/>
        </w:rPr>
      </w:r>
      <w:r>
        <w:rPr>
          <w:lang w:val="en_US" w:bidi="en_US"/>
        </w:rP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pPr/>
      <w:r>
        <w:rPr>
          <w:lang w:val="en_US" w:bidi="en_US"/>
        </w:rPr>
      </w:r>
      <w:r>
        <w:rPr>
          <w:lang w:val="en_US" w:bidi="en_US"/>
        </w:rPr>
        <w:t>The first people who came to Jesus’ tomb were women, so they were the ones who heard the good news from the angels. When they went and told his followers, the followers did not believe the women.</w:t>
      </w:r>
    </w:p>
    <w:p>
      <w:pPr/>
      <w:r>
        <w:rPr>
          <w:lang w:val="en_US" w:bidi="en_US"/>
        </w:rPr>
      </w:r>
      <w:r>
        <w:rPr>
          <w:lang w:val="en_US" w:bidi="en_US"/>
        </w:rPr>
        <w:t>Some examples of other headings for this section are:</w:t>
      </w:r>
    </w:p>
    <w:p>
      <w:pPr/>
      <w:r>
        <w:rPr>
          <w:lang w:val="en_US" w:bidi="en_US"/>
        </w:rPr>
      </w:r>
      <w:r>
        <w:rPr>
          <w:lang w:val="en_US" w:bidi="en_US"/>
        </w:rPr>
        <w:t>Jesus Comes Back to Life (GW)</w:t>
      </w:r>
    </w:p>
    <w:p>
      <w:pPr/>
      <w:r>
        <w:rPr>
          <w:lang w:val="en_US" w:bidi="en_US"/>
        </w:rPr>
      </w:r>
      <w:r>
        <w:rPr>
          <w:lang w:val="en_US" w:bidi="en_US"/>
        </w:rPr>
        <w:t>The Resurrection of Jesus (NRSV)</w:t>
      </w:r>
    </w:p>
    <w:p>
      <w:pPr/>
      <w:r>
        <w:rPr>
          <w:lang w:val="en_US" w:bidi="en_US"/>
        </w:rPr>
      </w:r>
      <w:r>
        <w:rPr>
          <w:lang w:val="en_US" w:bidi="en_US"/>
        </w:rPr>
        <w:t>Jesus Is Alive (CEV)</w:t>
      </w:r>
    </w:p>
    <w:p>
      <w:pPr/>
      <w:r>
        <w:rPr>
          <w:lang w:val="en_US" w:bidi="en_US"/>
        </w:rPr>
      </w:r>
      <w:r>
        <w:rPr>
          <w:lang w:val="en_US" w:bidi="en_US"/>
        </w:rPr>
        <w:t>There are parallel passages for this section in Matthew 28:1–10, Mark 16:1–8, and John 20:1–10.</w:t>
      </w:r>
    </w:p>
    <w:p>
      <w:pPr>
        <w:pStyle w:val="Heading5"/>
      </w:pPr>
      <w:r>
        <w:rPr>
          <w:lang w:val="en_US" w:bidi="en_US"/>
        </w:rPr>
        <w:t>24:6</w:t>
      </w:r>
    </w:p>
    <w:p>
      <w:pPr/>
      <w:r>
        <w:rPr>
          <w:lang w:val="en_US" w:bidi="en_US"/>
        </w:rPr>
      </w:r>
      <w:r>
        <w:rPr>
          <w:b/>
          <w:lang w:val="en_US" w:bidi="en_US"/>
        </w:rPr>
        <w:t>He is not here; He has risen:</w:t>
      </w:r>
      <w:r>
        <w:rPr>
          <w:lang w:val="en_US" w:bidi="en_US"/>
        </w:rPr>
        <w:t xml:space="preserve"> There is a textual issue concerning the words </w:t>
      </w:r>
      <w:r>
        <w:rPr>
          <w:i/>
          <w:lang w:val="en_US" w:bidi="en_US"/>
        </w:rPr>
        <w:t>He is not here; He has risen</w:t>
      </w:r>
      <w:r>
        <w:rPr>
          <w:lang w:val="en_US" w:bidi="en_US"/>
        </w:rPr>
        <w:t>:</w:t>
      </w:r>
    </w:p>
    <w:p>
      <w:pPr>
        <w:pStyle w:val="ListNumber"/>
        <w:numPr>
          <w:ilvl w:val="0"/>
          <w:numId w:val="366"/>
        </w:numPr>
        <w:spacing w:line="240" w:lineRule="auto"/>
        <w:ind w:left="720"/>
      </w:pPr>
      <w:r>
        <w:rPr>
          <w:lang w:val="en_US" w:bidi="en_US"/>
        </w:rPr>
      </w:r>
      <w:r>
        <w:rPr>
          <w:lang w:val="en_US" w:bidi="en_US"/>
        </w:rPr>
        <w:t>Some Greek manuscripts have these words. For example:</w:t>
      </w:r>
      <w:r>
        <w:rPr>
          <w:lang w:val="en_US" w:bidi="en_US"/>
        </w:rPr>
        <w:t xml:space="preserve">Jesus isn’t here! He has been raised from death. (CEV) </w:t>
      </w:r>
      <w:r>
        <w:rPr>
          <w:i/>
          <w:lang w:val="en_US" w:bidi="en_US"/>
        </w:rPr>
        <w:t>(BSB, NIV, NASB, NRSV, NJB, GNT, NET, NLT, CEV, NCV, ESV, GW, KJV, JBP)</w:t>
      </w:r>
    </w:p>
    <w:p>
      <w:pPr>
        <w:pStyle w:val="ListNumber"/>
        <w:spacing w:line="240" w:lineRule="auto"/>
        <w:ind w:left="720"/>
      </w:pPr>
      <w:r>
        <w:rPr>
          <w:lang w:val="en_US" w:bidi="en_US"/>
        </w:rPr>
      </w:r>
      <w:r>
        <w:rPr>
          <w:lang w:val="en_US" w:bidi="en_US"/>
        </w:rPr>
        <w:t xml:space="preserve">Other Greek manuscripts do not have these words. </w:t>
      </w:r>
      <w:r>
        <w:rPr>
          <w:i/>
          <w:lang w:val="en_US" w:bidi="en_US"/>
        </w:rPr>
        <w:t>(RSV, REB)</w:t>
      </w:r>
    </w:p>
    <w:p>
      <w:pPr/>
      <w:r>
        <w:rPr>
          <w:lang w:val="en_US" w:bidi="en_US"/>
        </w:rPr>
      </w:r>
      <w:r>
        <w:rPr>
          <w:lang w:val="en_US" w:bidi="en_US"/>
        </w:rPr>
        <w:t>It is recommended that you follow option (1). It is supported by the great majority of ancient Greek manuscripts.</w:t>
      </w:r>
      <w:r>
        <w:rPr>
          <w:lang w:val="en_US" w:bidi="en_US"/>
        </w:rPr>
        <w:t>The UBS 4</w:t>
      </w:r>
      <w:r>
        <w:rPr>
          <w:vertAlign w:val="superscript"/>
          <w:lang w:val="en_US" w:bidi="en_US"/>
        </w:rPr>
        <w:t>th</w:t>
      </w:r>
      <w:r>
        <w:rPr>
          <w:lang w:val="en_US" w:bidi="en_US"/>
        </w:rPr>
        <w:t xml:space="preserve"> Edition Greek NT includes these words with a B rating, indicating that the text is almost certain. (For information on this rating system, see p. 3 in the introduction.)</w:t>
      </w:r>
      <w:r>
        <w:rPr>
          <w:lang w:val="en_US" w:bidi="en_US"/>
        </w:rPr>
        <w:t xml:space="preserve"> Also, most English versions support this option.</w:t>
      </w:r>
    </w:p>
    <w:p>
      <w:pPr>
        <w:pStyle w:val="Heading5"/>
      </w:pPr>
      <w:r>
        <w:rPr>
          <w:lang w:val="en_US" w:bidi="en_US"/>
        </w:rPr>
        <w:t>24:6a</w:t>
      </w:r>
    </w:p>
    <w:p>
      <w:pPr/>
      <w:r>
        <w:rPr>
          <w:lang w:val="en_US" w:bidi="en_US"/>
        </w:rPr>
      </w:r>
      <w:r>
        <w:rPr>
          <w:b/>
          <w:lang w:val="en_US" w:bidi="en_US"/>
        </w:rPr>
        <w:t>He is not here;</w:t>
      </w:r>
    </w:p>
    <w:p>
      <w:pPr>
        <w:pStyle w:val="ListBullet"/>
        <w:spacing w:line="240" w:lineRule="auto"/>
        <w:ind w:left="720"/>
      </w:pPr>
      <w:r>
        <w:rPr>
          <w:lang w:val="en_US" w:bidi="en_US"/>
        </w:rPr>
      </w:r>
      <w:r>
        <w:rPr>
          <w:lang w:val="en_US" w:bidi="en_US"/>
        </w:rPr>
        <w:t xml:space="preserve">He/Jesus is no </w:t>
      </w:r>
      <w:r>
        <w:rPr>
          <w:lang w:val="en_US" w:bidi="en_US"/>
        </w:rPr>
        <w:t>longer</w:t>
      </w:r>
      <w:r>
        <w:rPr>
          <w:lang w:val="en_US" w:bidi="en_US"/>
        </w:rPr>
        <w:t xml:space="preserve"> here.</w:t>
      </w:r>
    </w:p>
    <w:p>
      <w:pPr>
        <w:pStyle w:val="ListBullet"/>
        <w:spacing w:line="240" w:lineRule="auto"/>
        <w:ind w:left="720"/>
      </w:pPr>
      <w:r>
        <w:rPr>
          <w:lang w:val="en_US" w:bidi="en_US"/>
        </w:rPr>
      </w:r>
      <w:r>
        <w:rPr>
          <w:lang w:val="en_US" w:bidi="en_US"/>
        </w:rPr>
        <w:t xml:space="preserve">He is not here </w:t>
      </w:r>
      <w:r>
        <w:rPr>
          <w:lang w:val="en_US" w:bidi="en_US"/>
        </w:rPr>
        <w:t>in the tomb</w:t>
      </w:r>
      <w:r>
        <w:rPr>
          <w:lang w:val="en_US" w:bidi="en_US"/>
        </w:rPr>
        <w:t>.</w:t>
      </w:r>
    </w:p>
    <w:p>
      <w:pPr/>
      <w:r>
        <w:rPr>
          <w:lang w:val="en_US" w:bidi="en_US"/>
        </w:rPr>
      </w:r>
      <w:r>
        <w:rPr>
          <w:b/>
          <w:lang w:val="en_US" w:bidi="en_US"/>
        </w:rPr>
        <w:t>He is not here:</w:t>
      </w:r>
      <w:r>
        <w:rPr>
          <w:lang w:val="en_US" w:bidi="en_US"/>
        </w:rPr>
        <w:t xml:space="preserve"> The phrase </w:t>
      </w:r>
      <w:r>
        <w:rPr>
          <w:i/>
          <w:lang w:val="en_US" w:bidi="en_US"/>
        </w:rPr>
        <w:t>He is not here</w:t>
      </w:r>
      <w:r>
        <w:rPr>
          <w:lang w:val="en_US" w:bidi="en_US"/>
        </w:rPr>
        <w:t xml:space="preserve"> indicates that Jesus was not there in the tomb. Other ways to translate this are:</w:t>
      </w:r>
    </w:p>
    <w:p>
      <w:pPr/>
      <w:r>
        <w:rPr>
          <w:lang w:val="en_US" w:bidi="en_US"/>
        </w:rPr>
      </w:r>
      <w:r>
        <w:rPr>
          <w:lang w:val="en_US" w:bidi="en_US"/>
        </w:rPr>
        <w:t>He is no longer here</w:t>
      </w:r>
    </w:p>
    <w:p>
      <w:pPr/>
      <w:r>
        <w:rPr>
          <w:lang w:val="en_US" w:bidi="en_US"/>
        </w:rPr>
      </w:r>
      <w:r>
        <w:rPr>
          <w:lang w:val="en_US" w:bidi="en_US"/>
        </w:rPr>
        <w:t xml:space="preserve">Jesus is not here </w:t>
      </w:r>
      <w:r>
        <w:rPr>
          <w:lang w:val="en_US" w:bidi="en_US"/>
        </w:rPr>
        <w:t>in the tomb</w:t>
      </w:r>
      <w:r>
        <w:rPr>
          <w:lang w:val="en_US" w:bidi="en_US"/>
        </w:rPr>
        <w:t xml:space="preserve"> anymore!</w:t>
      </w:r>
    </w:p>
    <w:p>
      <w:pPr>
        <w:pStyle w:val="Heading5"/>
      </w:pPr>
      <w:r>
        <w:rPr>
          <w:lang w:val="en_US" w:bidi="en_US"/>
        </w:rPr>
        <w:t>24:6b</w:t>
      </w:r>
    </w:p>
    <w:p>
      <w:pPr/>
      <w:r>
        <w:rPr>
          <w:lang w:val="en_US" w:bidi="en_US"/>
        </w:rPr>
      </w:r>
      <w:r>
        <w:rPr>
          <w:b/>
          <w:lang w:val="en_US" w:bidi="en_US"/>
        </w:rPr>
        <w:t>He has risen!</w:t>
      </w:r>
    </w:p>
    <w:p>
      <w:pPr>
        <w:pStyle w:val="ListBullet"/>
        <w:spacing w:line="240" w:lineRule="auto"/>
        <w:ind w:left="720"/>
      </w:pPr>
      <w:r>
        <w:rPr>
          <w:lang w:val="en_US" w:bidi="en_US"/>
        </w:rPr>
      </w:r>
      <w:r>
        <w:rPr>
          <w:lang w:val="en_US" w:bidi="en_US"/>
        </w:rPr>
        <w:t>He has been raised/resurrected!</w:t>
      </w:r>
    </w:p>
    <w:p>
      <w:pPr>
        <w:pStyle w:val="ListBullet"/>
        <w:spacing w:line="240" w:lineRule="auto"/>
        <w:ind w:left="720"/>
      </w:pPr>
      <w:r>
        <w:rPr>
          <w:lang w:val="en_US" w:bidi="en_US"/>
        </w:rPr>
      </w:r>
      <w:r>
        <w:rPr>
          <w:lang w:val="en_US" w:bidi="en_US"/>
        </w:rPr>
        <w:t>He is alive again.</w:t>
      </w:r>
    </w:p>
    <w:p>
      <w:pPr>
        <w:pStyle w:val="ListBullet"/>
        <w:spacing w:line="240" w:lineRule="auto"/>
        <w:ind w:left="720"/>
      </w:pPr>
      <w:r>
        <w:rPr>
          <w:lang w:val="en_US" w:bidi="en_US"/>
        </w:rPr>
      </w:r>
      <w:r>
        <w:rPr>
          <w:lang w:val="en_US" w:bidi="en_US"/>
        </w:rPr>
        <w:t>God</w:t>
      </w:r>
      <w:r>
        <w:rPr>
          <w:lang w:val="en_US" w:bidi="en_US"/>
        </w:rPr>
        <w:t xml:space="preserve"> </w:t>
      </w:r>
      <w:r>
        <w:rPr>
          <w:lang w:val="en_US" w:bidi="en_US"/>
        </w:rPr>
        <w:t>has caused</w:t>
      </w:r>
      <w:r>
        <w:rPr>
          <w:lang w:val="en_US" w:bidi="en_US"/>
        </w:rPr>
        <w:t xml:space="preserve"> him to live again.</w:t>
      </w:r>
    </w:p>
    <w:p>
      <w:pPr/>
      <w:r>
        <w:rPr>
          <w:lang w:val="en_US" w:bidi="en_US"/>
        </w:rPr>
      </w:r>
      <w:r>
        <w:rPr>
          <w:lang w:val="en_US" w:bidi="en_US"/>
        </w:rPr>
        <w:t>In Greek this part of the verse begins with a conjunction</w:t>
      </w:r>
      <w:r>
        <w:rPr>
          <w:i/>
          <w:lang w:val="en_US" w:bidi="en_US"/>
        </w:rPr>
        <w:t>alla</w:t>
      </w:r>
      <w:r>
        <w:rPr>
          <w:lang w:val="en_US" w:bidi="en_US"/>
        </w:rPr>
        <w:t>. This conjunction is not present in some Greek manuscripts, but its inclusion has strong manuscript support. However, whether or not the conjunction is present, there is obviously a strong semantic contrast.</w:t>
      </w:r>
      <w:r>
        <w:rPr>
          <w:lang w:val="en_US" w:bidi="en_US"/>
        </w:rPr>
        <w:t xml:space="preserve"> that indicates a contrast between 24:6a and 24:6b. Jesus was no longer in the tomb, </w:t>
      </w:r>
      <w:r>
        <w:rPr>
          <w:u w:val="single"/>
          <w:lang w:val="en_US" w:bidi="en_US"/>
        </w:rPr>
        <w:t>instead</w:t>
      </w:r>
      <w:r>
        <w:rPr>
          <w:lang w:val="en_US" w:bidi="en_US"/>
        </w:rPr>
        <w:t xml:space="preserve"> he had come back to life. In English, this contrast is implied without a conjunction, but some versions also have a conjunction. For example:</w:t>
      </w:r>
    </w:p>
    <w:p>
      <w:pPr/>
      <w:r>
        <w:rPr>
          <w:lang w:val="en_US" w:bidi="en_US"/>
        </w:rPr>
      </w:r>
      <w:r>
        <w:rPr>
          <w:lang w:val="en_US" w:bidi="en_US"/>
        </w:rPr>
        <w:t>He is not here, but has been raised! (NET)</w:t>
      </w:r>
    </w:p>
    <w:p>
      <w:pPr/>
      <w:r>
        <w:rPr>
          <w:lang w:val="en_US" w:bidi="en_US"/>
        </w:rPr>
      </w:r>
      <w:r>
        <w:rPr>
          <w:lang w:val="en_US" w:bidi="en_US"/>
        </w:rPr>
        <w:t>There is another implied connection between 24:6a and 24:6b. The phrase “He has risen” in 24:6b explains why Jesus was no longer in the tomb. In some languages it may be helpful to make this connection explicit. For example:</w:t>
      </w:r>
    </w:p>
    <w:p>
      <w:pPr/>
      <w:r>
        <w:rPr>
          <w:lang w:val="en_US" w:bidi="en_US"/>
        </w:rPr>
      </w:r>
      <w:r>
        <w:rPr>
          <w:lang w:val="en_US" w:bidi="en_US"/>
        </w:rPr>
        <w:t xml:space="preserve">He’s no longer here, </w:t>
      </w:r>
      <w:r>
        <w:rPr>
          <w:u w:val="single"/>
          <w:lang w:val="en_US" w:bidi="en_US"/>
        </w:rPr>
        <w:t>because</w:t>
      </w:r>
      <w:r>
        <w:rPr>
          <w:lang w:val="en_US" w:bidi="en_US"/>
        </w:rPr>
        <w:t xml:space="preserve"> he has risen from the dead.</w:t>
      </w:r>
    </w:p>
    <w:p>
      <w:pPr/>
      <w:r>
        <w:rPr>
          <w:lang w:val="en_US" w:bidi="en_US"/>
        </w:rPr>
      </w:r>
      <w:r>
        <w:rPr>
          <w:b/>
          <w:lang w:val="en_US" w:bidi="en_US"/>
        </w:rPr>
        <w:t>He has risen:</w:t>
      </w:r>
      <w:r>
        <w:rPr>
          <w:lang w:val="en_US" w:bidi="en_US"/>
        </w:rPr>
        <w:t xml:space="preserve"> The Greek verb that the BSB translates as </w:t>
      </w:r>
      <w:r>
        <w:rPr>
          <w:i/>
          <w:lang w:val="en_US" w:bidi="en_US"/>
        </w:rPr>
        <w:t>has risen</w:t>
      </w:r>
      <w:r>
        <w:rPr>
          <w:lang w:val="en_US" w:bidi="en_US"/>
        </w:rPr>
        <w:t xml:space="preserve"> is passive, literally “has been raised.” It is God who raised him from death. That statement means that God caused him to live again. It also implies the active meaning “Jesus lives again,” or “Jesus rose </w:t>
      </w:r>
      <w:r>
        <w:rPr>
          <w:lang w:val="en_US" w:bidi="en_US"/>
        </w:rPr>
        <w:t>from death</w:t>
      </w:r>
      <w:r>
        <w:rPr>
          <w:lang w:val="en_US" w:bidi="en_US"/>
        </w:rPr>
        <w:t>.”</w:t>
      </w:r>
    </w:p>
    <w:p>
      <w:pPr/>
      <w:r>
        <w:rPr>
          <w:lang w:val="en_US" w:bidi="en_US"/>
        </w:rPr>
      </w:r>
      <w:r>
        <w:rPr>
          <w:lang w:val="en_US" w:bidi="en_US"/>
        </w:rPr>
        <w:t xml:space="preserve">The statement </w:t>
      </w:r>
      <w:r>
        <w:rPr>
          <w:i/>
          <w:lang w:val="en_US" w:bidi="en_US"/>
        </w:rPr>
        <w:t>He has risen</w:t>
      </w:r>
      <w:r>
        <w:rPr>
          <w:lang w:val="en_US" w:bidi="en_US"/>
        </w:rPr>
        <w:t xml:space="preserve"> indicates that Jesus’ body and spirit were both alive. He was not a ghost, since he was living again in his body. Be sure to translate this statement in a way that clearly shows that Jesus came alive again as a real human being.</w:t>
      </w:r>
    </w:p>
    <w:p>
      <w:pPr/>
      <w:r>
        <w:rPr>
          <w:lang w:val="en_US" w:bidi="en_US"/>
        </w:rPr>
      </w:r>
      <w:r>
        <w:rPr>
          <w:lang w:val="en_US" w:bidi="en_US"/>
        </w:rPr>
        <w:t>There are several ways to translate this statement:</w:t>
      </w:r>
    </w:p>
    <w:p>
      <w:pPr>
        <w:pStyle w:val="ListBullet"/>
        <w:spacing w:line="240" w:lineRule="auto"/>
        <w:ind w:left="720"/>
      </w:pPr>
      <w:r>
        <w:rPr>
          <w:lang w:val="en_US" w:bidi="en_US"/>
        </w:rPr>
      </w:r>
      <w:r>
        <w:rPr>
          <w:lang w:val="en_US" w:bidi="en_US"/>
        </w:rPr>
        <w:t>Use a passive clause. For example:</w:t>
      </w:r>
      <w:r>
        <w:rPr>
          <w:lang w:val="en_US" w:bidi="en_US"/>
        </w:rPr>
        <w:t>He has been raised from death. (CEV)</w:t>
      </w:r>
      <w:r>
        <w:rPr>
          <w:lang w:val="en_US" w:bidi="en_US"/>
        </w:rPr>
        <w:t>He has been brought back to life! (GW)</w:t>
      </w:r>
    </w:p>
    <w:p>
      <w:pPr>
        <w:pStyle w:val="ListBullet"/>
        <w:spacing w:line="240" w:lineRule="auto"/>
        <w:ind w:left="720"/>
      </w:pPr>
      <w:r>
        <w:rPr>
          <w:lang w:val="en_US" w:bidi="en_US"/>
        </w:rPr>
      </w:r>
      <w:r>
        <w:rPr>
          <w:lang w:val="en_US" w:bidi="en_US"/>
        </w:rPr>
        <w:t>Use a clause that emphasizes Jesus’ life. For example:</w:t>
      </w:r>
      <w:r>
        <w:rPr>
          <w:lang w:val="en_US" w:bidi="en_US"/>
        </w:rPr>
        <w:t>He lives again!</w:t>
      </w:r>
    </w:p>
    <w:p>
      <w:pPr>
        <w:pStyle w:val="ListBullet"/>
        <w:spacing w:line="240" w:lineRule="auto"/>
        <w:ind w:left="720"/>
      </w:pPr>
      <w:r>
        <w:rPr>
          <w:lang w:val="en_US" w:bidi="en_US"/>
        </w:rPr>
      </w:r>
      <w:r>
        <w:rPr>
          <w:lang w:val="en_US" w:bidi="en_US"/>
        </w:rPr>
        <w:t>Use an active verb and supply God as the subject. For example:</w:t>
      </w:r>
      <w:r>
        <w:rPr>
          <w:lang w:val="en_US" w:bidi="en_US"/>
        </w:rPr>
        <w:t>God</w:t>
      </w:r>
      <w:r>
        <w:rPr>
          <w:lang w:val="en_US" w:bidi="en_US"/>
        </w:rPr>
        <w:t xml:space="preserve"> has raised him to life.</w:t>
      </w:r>
      <w:r>
        <w:rPr>
          <w:lang w:val="en_US" w:bidi="en_US"/>
        </w:rPr>
        <w:t>God</w:t>
      </w:r>
      <w:r>
        <w:rPr>
          <w:lang w:val="en_US" w:bidi="en_US"/>
        </w:rPr>
        <w:t xml:space="preserve"> has caused him to live again.</w:t>
      </w:r>
    </w:p>
    <w:p>
      <w:pPr/>
      <w:r>
        <w:rPr>
          <w:lang w:val="en_US" w:bidi="en_US"/>
        </w:rPr>
      </w:r>
      <w:r>
        <w:rPr>
          <w:lang w:val="en_US" w:bidi="en_US"/>
        </w:rPr>
        <w:t>This is a very important statement. Translate it in a natural and emphatic way in your language.</w:t>
      </w:r>
    </w:p>
    <w:p>
      <w:pPr>
        <w:pStyle w:val="Heading5"/>
      </w:pPr>
      <w:r>
        <w:rPr>
          <w:lang w:val="en_US" w:bidi="en_US"/>
        </w:rPr>
        <w:t>24:6c</w:t>
      </w:r>
    </w:p>
    <w:p>
      <w:pPr/>
      <w:r>
        <w:rPr>
          <w:lang w:val="en_US" w:bidi="en_US"/>
        </w:rPr>
      </w:r>
      <w:r>
        <w:rPr>
          <w:b/>
          <w:lang w:val="en_US" w:bidi="en_US"/>
        </w:rPr>
        <w:t>Remember how He told you</w:t>
      </w:r>
    </w:p>
    <w:p>
      <w:pPr>
        <w:pStyle w:val="ListBullet"/>
        <w:spacing w:line="240" w:lineRule="auto"/>
        <w:ind w:left="720"/>
      </w:pPr>
      <w:r>
        <w:rPr>
          <w:lang w:val="en_US" w:bidi="en_US"/>
        </w:rPr>
      </w:r>
      <w:r>
        <w:rPr>
          <w:lang w:val="en_US" w:bidi="en_US"/>
        </w:rPr>
        <w:t>Remember what he told you</w:t>
      </w:r>
      <w:r>
        <w:rPr>
          <w:vertAlign w:val="superscript"/>
          <w:lang w:val="en_US" w:bidi="en_US"/>
        </w:rPr>
        <w:t>(plur)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recall what he said to you</w:t>
      </w:r>
    </w:p>
    <w:p>
      <w:pPr/>
      <w:r>
        <w:rPr>
          <w:lang w:val="en_US" w:bidi="en_US"/>
        </w:rPr>
      </w:r>
      <w:r>
        <w:rPr>
          <w:b/>
          <w:lang w:val="en_US" w:bidi="en_US"/>
        </w:rPr>
        <w:t>Remember how He told you:</w:t>
      </w:r>
      <w:r>
        <w:rPr>
          <w:lang w:val="en_US" w:bidi="en_US"/>
        </w:rPr>
        <w:t xml:space="preserve"> The phrase </w:t>
      </w:r>
      <w:r>
        <w:rPr>
          <w:i/>
          <w:lang w:val="en_US" w:bidi="en_US"/>
        </w:rPr>
        <w:t>Remember how He told you</w:t>
      </w:r>
      <w:r>
        <w:rPr>
          <w:lang w:val="en_US" w:bidi="en_US"/>
        </w:rPr>
        <w:t xml:space="preserve"> introduces what Jesus said to the women sometime before his death. The men quoted what Jesus said in 24:7. They quoted this to remind the women of what Jesus had told them. Another way to translate the phrase is:</w:t>
      </w:r>
    </w:p>
    <w:p>
      <w:pPr/>
      <w:r>
        <w:rPr>
          <w:lang w:val="en_US" w:bidi="en_US"/>
        </w:rPr>
      </w:r>
      <w:r>
        <w:rPr>
          <w:lang w:val="en_US" w:bidi="en_US"/>
        </w:rPr>
        <w:t>Remember what he said to you (GNT)</w:t>
      </w:r>
    </w:p>
    <w:p>
      <w:pPr>
        <w:pStyle w:val="Heading5"/>
      </w:pPr>
      <w:r>
        <w:rPr>
          <w:lang w:val="en_US" w:bidi="en_US"/>
        </w:rPr>
        <w:t>24:6d</w:t>
      </w:r>
    </w:p>
    <w:p>
      <w:pPr/>
      <w:r>
        <w:rPr>
          <w:lang w:val="en_US" w:bidi="en_US"/>
        </w:rPr>
      </w:r>
      <w:r>
        <w:rPr>
          <w:b/>
          <w:lang w:val="en_US" w:bidi="en_US"/>
        </w:rPr>
        <w:t>while He was still in Galilee:</w:t>
      </w:r>
    </w:p>
    <w:p>
      <w:pPr>
        <w:pStyle w:val="ListBullet"/>
        <w:spacing w:line="240" w:lineRule="auto"/>
        <w:ind w:left="720"/>
      </w:pPr>
      <w:r>
        <w:rPr>
          <w:lang w:val="en_US" w:bidi="en_US"/>
        </w:rPr>
      </w:r>
      <w:r>
        <w:rPr>
          <w:lang w:val="en_US" w:bidi="en_US"/>
        </w:rPr>
        <w:t>while he and you</w:t>
      </w:r>
      <w:r>
        <w:rPr>
          <w:vertAlign w:val="superscript"/>
          <w:lang w:val="en_US" w:bidi="en_US"/>
        </w:rPr>
        <w:t>(plur)</w:t>
      </w:r>
      <w:r>
        <w:rPr>
          <w:lang w:val="en_US" w:bidi="en_US"/>
        </w:rPr>
        <w:t xml:space="preserve"> were still in Galilee.</w:t>
      </w:r>
    </w:p>
    <w:p>
      <w:pPr>
        <w:pStyle w:val="ListBullet"/>
        <w:spacing w:line="240" w:lineRule="auto"/>
        <w:ind w:left="720"/>
      </w:pPr>
      <w:r>
        <w:rPr>
          <w:lang w:val="en_US" w:bidi="en_US"/>
        </w:rPr>
      </w:r>
      <w:r>
        <w:rPr>
          <w:lang w:val="en_US" w:bidi="en_US"/>
        </w:rPr>
        <w:t>when he was still with you</w:t>
      </w:r>
      <w:r>
        <w:rPr>
          <w:vertAlign w:val="superscript"/>
          <w:lang w:val="en_US" w:bidi="en_US"/>
        </w:rPr>
        <w:t>(plur)</w:t>
      </w:r>
      <w:r>
        <w:rPr>
          <w:lang w:val="en_US" w:bidi="en_US"/>
        </w:rPr>
        <w:t xml:space="preserve"> in </w:t>
      </w:r>
      <w:r>
        <w:rPr>
          <w:lang w:val="en_US" w:bidi="en_US"/>
        </w:rPr>
        <w:t>the region/province of</w:t>
      </w:r>
      <w:r>
        <w:rPr>
          <w:lang w:val="en_US" w:bidi="en_US"/>
        </w:rPr>
        <w:t xml:space="preserve"> Galilee.</w:t>
      </w:r>
    </w:p>
    <w:p>
      <w:pPr/>
      <w:r>
        <w:rPr>
          <w:lang w:val="en_US" w:bidi="en_US"/>
        </w:rPr>
      </w:r>
      <w:r>
        <w:rPr>
          <w:b/>
          <w:lang w:val="en_US" w:bidi="en_US"/>
        </w:rPr>
        <w:t>while He was still in Galilee:</w:t>
      </w:r>
      <w:r>
        <w:rPr>
          <w:lang w:val="en_US" w:bidi="en_US"/>
        </w:rPr>
        <w:t xml:space="preserve"> Some English versions word the Greek clause that the BSB translates literally as </w:t>
      </w:r>
      <w:r>
        <w:rPr>
          <w:i/>
          <w:lang w:val="en_US" w:bidi="en_US"/>
        </w:rPr>
        <w:t>while He was still in Galilee</w:t>
      </w:r>
      <w:r>
        <w:rPr>
          <w:lang w:val="en_US" w:bidi="en_US"/>
        </w:rPr>
        <w:t xml:space="preserve"> in a way that makes clear that the women were also in Galilee at that time.</w:t>
      </w:r>
      <w:r>
        <w:rPr>
          <w:lang w:val="en_US" w:bidi="en_US"/>
        </w:rPr>
        <w:t>The angels probably referred to what Jesus said to his disciples in 9:22. The angels’ statement implies that these women had also been among Jesus’ disciples at that time.</w:t>
      </w:r>
      <w:r>
        <w:rPr>
          <w:lang w:val="en_US" w:bidi="en_US"/>
        </w:rPr>
        <w:t xml:space="preserve"> For example:</w:t>
      </w:r>
    </w:p>
    <w:p>
      <w:pPr/>
      <w:r>
        <w:rPr>
          <w:lang w:val="en_US" w:bidi="en_US"/>
        </w:rPr>
      </w:r>
      <w:r>
        <w:rPr>
          <w:lang w:val="en_US" w:bidi="en_US"/>
        </w:rPr>
        <w:t>while he was still with you in Galilee (NIV)</w:t>
      </w:r>
    </w:p>
    <w:p>
      <w:pPr/>
      <w:r>
        <w:rPr>
          <w:lang w:val="en_US" w:bidi="en_US"/>
        </w:rPr>
      </w:r>
      <w:r>
        <w:rPr>
          <w:lang w:val="en_US" w:bidi="en_US"/>
        </w:rPr>
        <w:t>when you were all still in Galilee</w:t>
      </w:r>
    </w:p>
    <w:p>
      <w:pPr>
        <w:pStyle w:val="Heading6"/>
      </w:pPr>
      <w:r>
        <w:rPr>
          <w:b/>
          <w:lang w:val="en_US" w:bidi="en_US"/>
        </w:rPr>
        <w:t>General Comment on 24:6c–d</w:t>
      </w:r>
    </w:p>
    <w:p>
      <w:pPr/>
      <w:r>
        <w:rPr>
          <w:lang w:val="en_US" w:bidi="en_US"/>
        </w:rPr>
      </w:r>
      <w:r>
        <w:rPr>
          <w:lang w:val="en_US" w:bidi="en_US"/>
        </w:rPr>
        <w:t>In some languages it may be helpful to reorder the clauses in 24:6c and 24:6d. For example:</w:t>
      </w:r>
    </w:p>
    <w:p>
      <w:pPr/>
      <w:r>
        <w:rPr>
          <w:lang w:val="en_US" w:bidi="en_US"/>
        </w:rPr>
      </w:r>
      <w:r>
        <w:rPr>
          <w:vertAlign w:val="superscript"/>
          <w:lang w:val="en_US" w:bidi="en_US"/>
        </w:rPr>
        <w:t>6c</w:t>
      </w:r>
      <w:r>
        <w:rPr>
          <w:lang w:val="en_US" w:bidi="en_US"/>
        </w:rPr>
        <w:t xml:space="preserve">Remember how </w:t>
      </w:r>
      <w:r>
        <w:rPr>
          <w:vertAlign w:val="superscript"/>
          <w:lang w:val="en_US" w:bidi="en_US"/>
        </w:rPr>
        <w:t>6d</w:t>
      </w:r>
      <w:r>
        <w:rPr>
          <w:lang w:val="en_US" w:bidi="en_US"/>
        </w:rPr>
        <w:t xml:space="preserve">when he was still in Galilee </w:t>
      </w:r>
      <w:r>
        <w:rPr>
          <w:vertAlign w:val="superscript"/>
          <w:lang w:val="en_US" w:bidi="en_US"/>
        </w:rPr>
        <w:t>6c</w:t>
      </w:r>
      <w:r>
        <w:rPr>
          <w:lang w:val="en_US" w:bidi="en_US"/>
        </w:rPr>
        <w:t>he told you</w:t>
      </w:r>
      <w:r>
        <w:rPr>
          <w:lang w:val="en_US" w:bidi="en_US"/>
        </w:rPr>
      </w:r>
      <w:r>
        <w:rPr>
          <w:lang w:val="en_US" w:bidi="en_US"/>
        </w:rPr>
      </w:r>
    </w:p>
    <w:p>
      <w:pPr/>
      <w:r>
        <w:rPr>
          <w:lang w:val="en_US" w:bidi="en_US"/>
        </w:rPr>
      </w:r>
    </w:p>
    <w:p>
      <w:pPr>
        <w:pStyle w:val="Heading2"/>
      </w:pPr>
      <w:r>
        <w:rPr>
          <w:lang w:val="en_US" w:bidi="en_US"/>
        </w:rPr>
        <w:t>Luke 24:7</w:t>
      </w:r>
      <w:r>
        <w:rPr>
          <w:lang w:val="en_US" w:bidi="en_US"/>
        </w:rPr>
      </w:r>
    </w:p>
    <w:p>
      <w:pPr>
        <w:pStyle w:val="Heading4"/>
      </w:pPr>
      <w:r>
        <w:rPr>
          <w:lang w:val="en_US" w:bidi="en_US"/>
        </w:rPr>
        <w:t>Section 24:1–12: Jesus rose from the dead</w:t>
      </w:r>
    </w:p>
    <w:p>
      <w:pPr/>
      <w:r>
        <w:rPr>
          <w:lang w:val="en_US" w:bidi="en_US"/>
        </w:rPr>
      </w:r>
      <w:r>
        <w:rPr>
          <w:lang w:val="en_US" w:bidi="en_US"/>
        </w:rP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pPr/>
      <w:r>
        <w:rPr>
          <w:lang w:val="en_US" w:bidi="en_US"/>
        </w:rPr>
      </w:r>
      <w:r>
        <w:rPr>
          <w:lang w:val="en_US" w:bidi="en_US"/>
        </w:rP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pPr/>
      <w:r>
        <w:rPr>
          <w:lang w:val="en_US" w:bidi="en_US"/>
        </w:rPr>
      </w:r>
      <w:r>
        <w:rPr>
          <w:lang w:val="en_US" w:bidi="en_US"/>
        </w:rPr>
        <w:t>The first people who came to Jesus’ tomb were women, so they were the ones who heard the good news from the angels. When they went and told his followers, the followers did not believe the women.</w:t>
      </w:r>
    </w:p>
    <w:p>
      <w:pPr/>
      <w:r>
        <w:rPr>
          <w:lang w:val="en_US" w:bidi="en_US"/>
        </w:rPr>
      </w:r>
      <w:r>
        <w:rPr>
          <w:lang w:val="en_US" w:bidi="en_US"/>
        </w:rPr>
        <w:t>Some examples of other headings for this section are:</w:t>
      </w:r>
    </w:p>
    <w:p>
      <w:pPr/>
      <w:r>
        <w:rPr>
          <w:lang w:val="en_US" w:bidi="en_US"/>
        </w:rPr>
      </w:r>
      <w:r>
        <w:rPr>
          <w:lang w:val="en_US" w:bidi="en_US"/>
        </w:rPr>
        <w:t>Jesus Comes Back to Life (GW)</w:t>
      </w:r>
    </w:p>
    <w:p>
      <w:pPr/>
      <w:r>
        <w:rPr>
          <w:lang w:val="en_US" w:bidi="en_US"/>
        </w:rPr>
      </w:r>
      <w:r>
        <w:rPr>
          <w:lang w:val="en_US" w:bidi="en_US"/>
        </w:rPr>
        <w:t>The Resurrection of Jesus (NRSV)</w:t>
      </w:r>
    </w:p>
    <w:p>
      <w:pPr/>
      <w:r>
        <w:rPr>
          <w:lang w:val="en_US" w:bidi="en_US"/>
        </w:rPr>
      </w:r>
      <w:r>
        <w:rPr>
          <w:lang w:val="en_US" w:bidi="en_US"/>
        </w:rPr>
        <w:t>Jesus Is Alive (CEV)</w:t>
      </w:r>
    </w:p>
    <w:p>
      <w:pPr/>
      <w:r>
        <w:rPr>
          <w:lang w:val="en_US" w:bidi="en_US"/>
        </w:rPr>
      </w:r>
      <w:r>
        <w:rPr>
          <w:lang w:val="en_US" w:bidi="en_US"/>
        </w:rPr>
        <w:t>There are parallel passages for this section in Matthew 28:1–10, Mark 16:1–8, and John 20:1–10.</w:t>
      </w:r>
    </w:p>
    <w:p>
      <w:pPr>
        <w:pStyle w:val="Heading5"/>
      </w:pPr>
      <w:r>
        <w:rPr>
          <w:lang w:val="en_US" w:bidi="en_US"/>
        </w:rPr>
        <w:t>24:7a</w:t>
      </w:r>
    </w:p>
    <w:p>
      <w:pPr/>
      <w:r>
        <w:rPr>
          <w:lang w:val="en_US" w:bidi="en_US"/>
        </w:rPr>
      </w:r>
      <w:r>
        <w:rPr>
          <w:b/>
          <w:lang w:val="en_US" w:bidi="en_US"/>
        </w:rPr>
        <w:t>‘The Son of Man must be delivered into the hands of sinful men,</w:t>
      </w:r>
    </w:p>
    <w:p>
      <w:pPr>
        <w:pStyle w:val="ListBullet"/>
        <w:spacing w:line="240" w:lineRule="auto"/>
        <w:ind w:left="720"/>
      </w:pPr>
      <w:r>
        <w:rPr>
          <w:lang w:val="en_US" w:bidi="en_US"/>
        </w:rPr>
      </w:r>
      <w:r>
        <w:rPr>
          <w:lang w:val="en_US" w:bidi="en_US"/>
        </w:rPr>
        <w:t xml:space="preserve">He said, ‘It is necessary that </w:t>
      </w:r>
      <w:r>
        <w:rPr>
          <w:lang w:val="en_US" w:bidi="en_US"/>
        </w:rPr>
        <w:t>I,</w:t>
      </w:r>
      <w:r>
        <w:rPr>
          <w:lang w:val="en_US" w:bidi="en_US"/>
        </w:rPr>
        <w:t xml:space="preserve"> the Son of Man, be handed over to sinners</w:t>
      </w:r>
    </w:p>
    <w:p>
      <w:pPr>
        <w:pStyle w:val="ListBullet"/>
        <w:spacing w:line="240" w:lineRule="auto"/>
        <w:ind w:left="720"/>
      </w:pPr>
      <w:r>
        <w:rPr>
          <w:lang w:val="en_US" w:bidi="en_US"/>
        </w:rPr>
      </w:r>
      <w:r>
        <w:rPr>
          <w:lang w:val="en_US" w:bidi="en_US"/>
        </w:rPr>
        <w:t xml:space="preserve">He said that </w:t>
      </w:r>
      <w:r>
        <w:rPr>
          <w:lang w:val="en_US" w:bidi="en_US"/>
        </w:rPr>
        <w:t>he,</w:t>
      </w:r>
      <w:r>
        <w:rPr>
          <w:lang w:val="en_US" w:bidi="en_US"/>
        </w:rPr>
        <w:t xml:space="preserve"> the Son of Man, must be put into the power of sinful people.</w:t>
      </w:r>
    </w:p>
    <w:p>
      <w:pPr>
        <w:pStyle w:val="ListBullet"/>
        <w:spacing w:line="240" w:lineRule="auto"/>
        <w:ind w:left="720"/>
      </w:pPr>
      <w:r>
        <w:rPr>
          <w:lang w:val="en_US" w:bidi="en_US"/>
        </w:rPr>
      </w:r>
      <w:r>
        <w:rPr>
          <w:lang w:val="en_US" w:bidi="en_US"/>
        </w:rPr>
        <w:t>He said, ‘</w:t>
      </w:r>
      <w:r>
        <w:rPr>
          <w:lang w:val="en_US" w:bidi="en_US"/>
        </w:rPr>
        <w:t>God</w:t>
      </w:r>
      <w:r>
        <w:rPr>
          <w:lang w:val="en_US" w:bidi="en_US"/>
        </w:rPr>
        <w:t xml:space="preserve"> determined/decided that </w:t>
      </w:r>
      <w:r>
        <w:rPr>
          <w:lang w:val="en_US" w:bidi="en_US"/>
        </w:rPr>
        <w:t>people</w:t>
      </w:r>
      <w:r>
        <w:rPr>
          <w:lang w:val="en_US" w:bidi="en_US"/>
        </w:rPr>
        <w:t xml:space="preserve"> will give </w:t>
      </w:r>
      <w:r>
        <w:rPr>
          <w:lang w:val="en_US" w:bidi="en_US"/>
        </w:rPr>
        <w:t>me,</w:t>
      </w:r>
      <w:r>
        <w:rPr>
          <w:lang w:val="en_US" w:bidi="en_US"/>
        </w:rPr>
        <w:t xml:space="preserve"> the Son of Man into the hands/control of evildoers,</w:t>
      </w:r>
    </w:p>
    <w:p>
      <w:pPr/>
      <w:r>
        <w:rPr>
          <w:lang w:val="en_US" w:bidi="en_US"/>
        </w:rPr>
      </w:r>
      <w:r>
        <w:rPr>
          <w:lang w:val="en_US" w:bidi="en_US"/>
        </w:rPr>
        <w:t>In the Greek text this verse begins with a word that means “saying.” It introduces the words of Jesus that the men quoted. These were words that Jesus had said in the past.</w:t>
      </w:r>
      <w:r>
        <w:rPr>
          <w:lang w:val="en_US" w:bidi="en_US"/>
        </w:rPr>
        <w:t>These words are not quoted in this exact form in Luke. but a similar quote is found in Luke 9:22. Jesus predicted his death and resurrection a number of times, and it is likely that the angels were summarizing what he said.</w:t>
      </w:r>
      <w:r>
        <w:rPr>
          <w:lang w:val="en_US" w:bidi="en_US"/>
        </w:rPr>
        <w:t xml:space="preserve"> You should introduce them in a natural way in your language. Some ways to introduce them are:</w:t>
      </w:r>
    </w:p>
    <w:p>
      <w:pPr/>
      <w:r>
        <w:rPr>
          <w:lang w:val="en_US" w:bidi="en_US"/>
        </w:rPr>
      </w:r>
      <w:r>
        <w:rPr>
          <w:lang w:val="en_US" w:bidi="en_US"/>
        </w:rPr>
        <w:t>He said (GW)</w:t>
      </w:r>
    </w:p>
    <w:p>
      <w:pPr/>
      <w:r>
        <w:rPr>
          <w:lang w:val="en_US" w:bidi="en_US"/>
        </w:rPr>
      </w:r>
      <w:r>
        <w:rPr>
          <w:lang w:val="en_US" w:bidi="en_US"/>
        </w:rPr>
        <w:t>saying</w:t>
      </w:r>
    </w:p>
    <w:p>
      <w:pPr/>
      <w:r>
        <w:rPr>
          <w:lang w:val="en_US" w:bidi="en_US"/>
        </w:rPr>
      </w:r>
      <w:r>
        <w:rPr>
          <w:lang w:val="en_US" w:bidi="en_US"/>
        </w:rPr>
        <w:t>In some languages it may be more natural to translate the quote as indirect speech. See the General Comment on 24:7a–c at the end of 24:7c for examples.</w:t>
      </w:r>
    </w:p>
    <w:p>
      <w:pPr/>
      <w:r>
        <w:rPr>
          <w:lang w:val="en_US" w:bidi="en_US"/>
        </w:rPr>
      </w:r>
      <w:r>
        <w:rPr>
          <w:b/>
          <w:lang w:val="en_US" w:bidi="en_US"/>
        </w:rPr>
        <w:t>The Son of Man must be delivered into the hands of sinful men:</w:t>
      </w:r>
      <w:r>
        <w:rPr>
          <w:lang w:val="en_US" w:bidi="en_US"/>
        </w:rPr>
        <w:t xml:space="preserve"> In Greek this clause is more literally, “it is necessary for the Son of Man to be delivered into the hands of sinners.” In the Bible the verb “it is necessary” usually implies that God has already decided that a certain action must happen. In this context God had decided that the Son of Man must be put into the power/control of sinful men. Some other ways to make this clear are:</w:t>
      </w:r>
    </w:p>
    <w:p>
      <w:pPr/>
      <w:r>
        <w:rPr>
          <w:lang w:val="en_US" w:bidi="en_US"/>
        </w:rPr>
      </w:r>
      <w:r>
        <w:rPr>
          <w:lang w:val="en_US" w:bidi="en_US"/>
        </w:rPr>
        <w:t>it is necessary for the Son of Man to be handed over to sinners</w:t>
      </w:r>
    </w:p>
    <w:p>
      <w:pPr/>
      <w:r>
        <w:rPr>
          <w:lang w:val="en_US" w:bidi="en_US"/>
        </w:rPr>
      </w:r>
      <w:r>
        <w:rPr>
          <w:lang w:val="en_US" w:bidi="en_US"/>
        </w:rPr>
        <w:t>God</w:t>
      </w:r>
      <w:r>
        <w:rPr>
          <w:lang w:val="en_US" w:bidi="en_US"/>
        </w:rPr>
        <w:t xml:space="preserve"> has determined/decided that the Son of Man will be handed over to sinners</w:t>
      </w:r>
    </w:p>
    <w:p>
      <w:pPr/>
      <w:r>
        <w:rPr>
          <w:lang w:val="en_US" w:bidi="en_US"/>
        </w:rPr>
      </w:r>
      <w:r>
        <w:rPr>
          <w:lang w:val="en_US" w:bidi="en_US"/>
        </w:rPr>
        <w:t>In 18:32 Jesus mentioned that he would be delivered into the power of the Gentiles, but in Greek the statement there does not include the verb “it is necessary.”</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occurs often in Luke. It occurs for the first time in 5:24. You should translate it in the same way as you did there. See the note on </w:t>
      </w:r>
      <w:r>
        <w:rPr>
          <w:i/>
          <w:lang w:val="en_US" w:bidi="en_US"/>
        </w:rPr>
        <w:t>The Son of Man</w:t>
      </w:r>
      <w:r>
        <w:rPr>
          <w:lang w:val="en_US" w:bidi="en_US"/>
        </w:rPr>
        <w:t xml:space="preserve"> at 17:22a–b for more information and translation suggestions.</w:t>
      </w:r>
    </w:p>
    <w:p>
      <w:pPr/>
      <w:r>
        <w:rPr>
          <w:lang w:val="en_US" w:bidi="en_US"/>
        </w:rPr>
      </w:r>
      <w:r>
        <w:rPr>
          <w:lang w:val="en_US" w:bidi="en_US"/>
        </w:rPr>
        <w:t>In this context the angel was quoting something that Jesus had said about himself. In some languages it may be necessary to use a form such as “I” or “me” in the quote to indicate that Jesus was referring to himself. For example:</w:t>
      </w:r>
    </w:p>
    <w:p>
      <w:pPr/>
      <w:r>
        <w:rPr>
          <w:lang w:val="en_US" w:bidi="en_US"/>
        </w:rPr>
      </w:r>
      <w:r>
        <w:rPr>
          <w:lang w:val="en_US" w:bidi="en_US"/>
        </w:rPr>
        <w:t>I/me, the Son of Man</w:t>
      </w:r>
    </w:p>
    <w:p>
      <w:pPr/>
      <w:r>
        <w:rPr>
          <w:lang w:val="en_US" w:bidi="en_US"/>
        </w:rPr>
      </w:r>
      <w:r>
        <w:rPr>
          <w:lang w:val="en_US" w:bidi="en_US"/>
        </w:rPr>
        <w:t>If you translate the quote as indirect speech, use an appropriate way to indicate that Jesus was referring to himself. For example:</w:t>
      </w:r>
    </w:p>
    <w:p>
      <w:pPr/>
      <w:r>
        <w:rPr>
          <w:lang w:val="en_US" w:bidi="en_US"/>
        </w:rPr>
      </w:r>
      <w:r>
        <w:rPr>
          <w:lang w:val="en_US" w:bidi="en_US"/>
        </w:rPr>
        <w:t>he/him, the Son of Man</w:t>
      </w:r>
    </w:p>
    <w:p>
      <w:pPr/>
      <w:r>
        <w:rPr>
          <w:lang w:val="en_US" w:bidi="en_US"/>
        </w:rPr>
      </w:r>
      <w:r>
        <w:rPr>
          <w:lang w:val="en_US" w:bidi="en_US"/>
        </w:rPr>
        <w:t>See also “Son of Man” in KBT for more information.</w:t>
      </w:r>
    </w:p>
    <w:p>
      <w:pPr/>
      <w:r>
        <w:rPr>
          <w:lang w:val="en_US" w:bidi="en_US"/>
        </w:rPr>
      </w:r>
      <w:r>
        <w:rPr>
          <w:b/>
          <w:lang w:val="en_US" w:bidi="en_US"/>
        </w:rPr>
        <w:t>must be delivered:</w:t>
      </w:r>
      <w:r>
        <w:rPr>
          <w:lang w:val="en_US" w:bidi="en_US"/>
        </w:rPr>
        <w:t xml:space="preserve"> The verb </w:t>
      </w:r>
      <w:r>
        <w:rPr>
          <w:i/>
          <w:lang w:val="en_US" w:bidi="en_US"/>
        </w:rPr>
        <w:t>must be delivered</w:t>
      </w:r>
      <w:r>
        <w:rPr>
          <w:lang w:val="en_US" w:bidi="en_US"/>
        </w:rPr>
        <w:t xml:space="preserve"> is passive. Some ways to translate it in this verse are:</w:t>
      </w:r>
    </w:p>
    <w:p>
      <w:pPr>
        <w:pStyle w:val="ListBullet"/>
        <w:spacing w:line="240" w:lineRule="auto"/>
        <w:ind w:left="720"/>
      </w:pPr>
      <w:r>
        <w:rPr>
          <w:lang w:val="en_US" w:bidi="en_US"/>
        </w:rPr>
      </w:r>
      <w:r>
        <w:rPr>
          <w:lang w:val="en_US" w:bidi="en_US"/>
        </w:rPr>
        <w:t>Use a passive verb. For example:</w:t>
      </w:r>
      <w:r>
        <w:rPr>
          <w:lang w:val="en_US" w:bidi="en_US"/>
        </w:rPr>
        <w:t>The Son of Man must be handed over to sinful people (GW)</w:t>
      </w:r>
    </w:p>
    <w:p>
      <w:pPr>
        <w:pStyle w:val="ListBullet"/>
        <w:spacing w:line="240" w:lineRule="auto"/>
        <w:ind w:left="720"/>
      </w:pPr>
      <w:r>
        <w:rPr>
          <w:lang w:val="en_US" w:bidi="en_US"/>
        </w:rPr>
      </w:r>
      <w:r>
        <w:rPr>
          <w:lang w:val="en_US" w:bidi="en_US"/>
        </w:rPr>
        <w:t>Use an active verb and supply a subject. This subject should be either God or an impersonal subject. For example:</w:t>
      </w:r>
      <w:r>
        <w:rPr>
          <w:lang w:val="en_US" w:bidi="en_US"/>
        </w:rPr>
        <w:t>God</w:t>
      </w:r>
      <w:r>
        <w:rPr>
          <w:lang w:val="en_US" w:bidi="en_US"/>
        </w:rPr>
        <w:t xml:space="preserve"> has decided to put/give the Son of Man into the power of sinners</w:t>
      </w:r>
      <w:r>
        <w:rPr>
          <w:lang w:val="en_US" w:bidi="en_US"/>
        </w:rPr>
        <w:t xml:space="preserve">It is necessary that </w:t>
      </w:r>
      <w:r>
        <w:rPr>
          <w:lang w:val="en_US" w:bidi="en_US"/>
        </w:rPr>
        <w:t>someone/they</w:t>
      </w:r>
      <w:r>
        <w:rPr>
          <w:lang w:val="en_US" w:bidi="en_US"/>
        </w:rPr>
        <w:t xml:space="preserve"> give the Son of Man into the power of sinners.</w:t>
      </w:r>
    </w:p>
    <w:p>
      <w:pPr/>
      <w:r>
        <w:rPr>
          <w:lang w:val="en_US" w:bidi="en_US"/>
        </w:rPr>
      </w:r>
      <w:r>
        <w:rPr>
          <w:b/>
          <w:lang w:val="en_US" w:bidi="en_US"/>
        </w:rPr>
        <w:t>sinful men:</w:t>
      </w:r>
      <w:r>
        <w:rPr>
          <w:lang w:val="en_US" w:bidi="en_US"/>
        </w:rPr>
        <w:t xml:space="preserve"> The Greek phrase that the BSB translates as </w:t>
      </w:r>
      <w:r>
        <w:rPr>
          <w:i/>
          <w:lang w:val="en_US" w:bidi="en_US"/>
        </w:rPr>
        <w:t>sinful men</w:t>
      </w:r>
      <w:r>
        <w:rPr>
          <w:lang w:val="en_US" w:bidi="en_US"/>
        </w:rPr>
        <w:t xml:space="preserve"> is more literally “sinful people.” It refers to people who habitually do things that are against God’s will. This includes acts, thoughts, and attitudes. These sinners violate God’s standard of what is right and good. They also fail to do and think the things that please him.</w:t>
      </w:r>
    </w:p>
    <w:p>
      <w:pPr/>
      <w:r>
        <w:rPr>
          <w:lang w:val="en_US" w:bidi="en_US"/>
        </w:rPr>
      </w:r>
      <w:r>
        <w:rPr>
          <w:lang w:val="en_US" w:bidi="en_US"/>
        </w:rPr>
        <w:t xml:space="preserve">Here </w:t>
      </w:r>
      <w:r>
        <w:rPr>
          <w:i/>
          <w:lang w:val="en_US" w:bidi="en_US"/>
        </w:rPr>
        <w:t>sinful men</w:t>
      </w:r>
      <w:r>
        <w:rPr>
          <w:lang w:val="en_US" w:bidi="en_US"/>
        </w:rPr>
        <w:t xml:space="preserve"> refers especially to the men to whom Judas betrayed Jesus. Then those men caused Jesus to be crucified (24:7b).</w:t>
      </w:r>
    </w:p>
    <w:p>
      <w:pPr/>
      <w:r>
        <w:rPr>
          <w:lang w:val="en_US" w:bidi="en_US"/>
        </w:rPr>
      </w:r>
      <w:r>
        <w:rPr>
          <w:lang w:val="en_US" w:bidi="en_US"/>
        </w:rPr>
        <w:t>Other ways to translate it are:</w:t>
      </w:r>
    </w:p>
    <w:p>
      <w:pPr/>
      <w:r>
        <w:rPr>
          <w:lang w:val="en_US" w:bidi="en_US"/>
        </w:rPr>
      </w:r>
      <w:r>
        <w:rPr>
          <w:lang w:val="en_US" w:bidi="en_US"/>
        </w:rPr>
        <w:t>sinners</w:t>
      </w:r>
    </w:p>
    <w:p>
      <w:pPr/>
      <w:r>
        <w:rPr>
          <w:lang w:val="en_US" w:bidi="en_US"/>
        </w:rPr>
      </w:r>
      <w:r>
        <w:rPr>
          <w:lang w:val="en_US" w:bidi="en_US"/>
        </w:rPr>
        <w:t>evildoers</w:t>
      </w:r>
    </w:p>
    <w:p>
      <w:pPr>
        <w:pStyle w:val="Heading5"/>
      </w:pPr>
      <w:r>
        <w:rPr>
          <w:lang w:val="en_US" w:bidi="en_US"/>
        </w:rPr>
        <w:t>24:7b</w:t>
      </w:r>
    </w:p>
    <w:p>
      <w:pPr/>
      <w:r>
        <w:rPr>
          <w:lang w:val="en_US" w:bidi="en_US"/>
        </w:rPr>
      </w:r>
      <w:r>
        <w:rPr>
          <w:b/>
          <w:lang w:val="en_US" w:bidi="en_US"/>
        </w:rPr>
        <w:t>and be crucified,</w:t>
      </w:r>
    </w:p>
    <w:p>
      <w:pPr>
        <w:pStyle w:val="ListBullet"/>
        <w:spacing w:line="240" w:lineRule="auto"/>
        <w:ind w:left="720"/>
      </w:pPr>
      <w:r>
        <w:rPr>
          <w:lang w:val="en_US" w:bidi="en_US"/>
        </w:rPr>
      </w:r>
      <w:r>
        <w:rPr>
          <w:lang w:val="en_US" w:bidi="en_US"/>
        </w:rPr>
        <w:t>and be nailed on a cross to die.</w:t>
      </w:r>
    </w:p>
    <w:p>
      <w:pPr>
        <w:pStyle w:val="ListBullet"/>
        <w:spacing w:line="240" w:lineRule="auto"/>
        <w:ind w:left="720"/>
      </w:pPr>
      <w:r>
        <w:rPr>
          <w:lang w:val="en_US" w:bidi="en_US"/>
        </w:rPr>
      </w:r>
      <w:r>
        <w:rPr>
          <w:lang w:val="en_US" w:bidi="en_US"/>
        </w:rPr>
        <w:t>They</w:t>
      </w:r>
      <w:r>
        <w:rPr>
          <w:lang w:val="en_US" w:bidi="en_US"/>
        </w:rPr>
        <w:t xml:space="preserve"> must kill/execute him on a death post,</w:t>
      </w:r>
    </w:p>
    <w:p>
      <w:pPr>
        <w:pStyle w:val="ListBullet"/>
        <w:spacing w:line="240" w:lineRule="auto"/>
        <w:ind w:left="720"/>
      </w:pPr>
      <w:r>
        <w:rPr>
          <w:lang w:val="en_US" w:bidi="en_US"/>
        </w:rPr>
      </w:r>
      <w:r>
        <w:rPr>
          <w:lang w:val="en_US" w:bidi="en_US"/>
        </w:rPr>
        <w:t xml:space="preserve">and </w:t>
      </w:r>
      <w:r>
        <w:rPr>
          <w:lang w:val="en_US" w:bidi="en_US"/>
        </w:rPr>
        <w:t>they</w:t>
      </w:r>
      <w:r>
        <w:rPr>
          <w:lang w:val="en_US" w:bidi="en_US"/>
        </w:rPr>
        <w:t xml:space="preserve"> will kill me,</w:t>
      </w:r>
    </w:p>
    <w:p>
      <w:pPr/>
      <w:r>
        <w:rPr>
          <w:lang w:val="en_US" w:bidi="en_US"/>
        </w:rPr>
      </w:r>
      <w:r>
        <w:rPr>
          <w:b/>
          <w:lang w:val="en_US" w:bidi="en_US"/>
        </w:rPr>
        <w:t>be crucified:</w:t>
      </w:r>
      <w:r>
        <w:rPr>
          <w:lang w:val="en_US" w:bidi="en_US"/>
        </w:rPr>
        <w:t xml:space="preserve"> The Greek verb that the BSB translates as </w:t>
      </w:r>
      <w:r>
        <w:rPr>
          <w:i/>
          <w:lang w:val="en_US" w:bidi="en_US"/>
        </w:rPr>
        <w:t>be crucified</w:t>
      </w:r>
      <w:r>
        <w:rPr>
          <w:lang w:val="en_US" w:bidi="en_US"/>
        </w:rPr>
        <w:t xml:space="preserve"> is passive. The implied subject of the verb is the “sinful men” in 24:7a. In some languages it is more natural to use an active verb. For example:</w:t>
      </w:r>
    </w:p>
    <w:p>
      <w:pPr/>
      <w:r>
        <w:rPr>
          <w:lang w:val="en_US" w:bidi="en_US"/>
        </w:rPr>
      </w:r>
      <w:r>
        <w:rPr>
          <w:lang w:val="en_US" w:bidi="en_US"/>
        </w:rPr>
        <w:t>they will crucify him/me</w:t>
      </w:r>
    </w:p>
    <w:p>
      <w:pPr/>
      <w:r>
        <w:rPr>
          <w:lang w:val="en_US" w:bidi="en_US"/>
        </w:rPr>
      </w:r>
      <w:r>
        <w:rPr>
          <w:lang w:val="en_US" w:bidi="en_US"/>
        </w:rPr>
        <w:t>those sinners will crucify him/me</w:t>
      </w:r>
    </w:p>
    <w:p>
      <w:pPr/>
      <w:r>
        <w:rPr>
          <w:lang w:val="en_US" w:bidi="en_US"/>
        </w:rPr>
      </w:r>
      <w:r>
        <w:rPr>
          <w:lang w:val="en_US" w:bidi="en_US"/>
        </w:rPr>
        <w:t>For information on translating the verb “crucify,” see the note at 23:21b.</w:t>
      </w:r>
    </w:p>
    <w:p>
      <w:pPr>
        <w:pStyle w:val="Heading5"/>
      </w:pPr>
      <w:r>
        <w:rPr>
          <w:lang w:val="en_US" w:bidi="en_US"/>
        </w:rPr>
        <w:t>24:7c</w:t>
      </w:r>
    </w:p>
    <w:p>
      <w:pPr/>
      <w:r>
        <w:rPr>
          <w:lang w:val="en_US" w:bidi="en_US"/>
        </w:rPr>
      </w:r>
      <w:r>
        <w:rPr>
          <w:b/>
          <w:lang w:val="en_US" w:bidi="en_US"/>
        </w:rPr>
        <w:t>and on the third day rise again.’”</w:t>
      </w:r>
    </w:p>
    <w:p>
      <w:pPr>
        <w:pStyle w:val="ListBullet"/>
        <w:spacing w:line="240" w:lineRule="auto"/>
        <w:ind w:left="720"/>
      </w:pPr>
      <w:r>
        <w:rPr>
          <w:lang w:val="en_US" w:bidi="en_US"/>
        </w:rPr>
      </w:r>
      <w:r>
        <w:rPr>
          <w:lang w:val="en_US" w:bidi="en_US"/>
        </w:rPr>
        <w:t xml:space="preserve">Then in three days </w:t>
      </w:r>
      <w:r>
        <w:rPr>
          <w:lang w:val="en_US" w:bidi="en_US"/>
        </w:rPr>
        <w:t>I</w:t>
      </w:r>
      <w:r>
        <w:rPr>
          <w:lang w:val="en_US" w:bidi="en_US"/>
        </w:rPr>
        <w:t xml:space="preserve"> will be raised/resurrected.’”</w:t>
      </w:r>
    </w:p>
    <w:p>
      <w:pPr>
        <w:pStyle w:val="ListBullet"/>
        <w:spacing w:line="240" w:lineRule="auto"/>
        <w:ind w:left="720"/>
      </w:pPr>
      <w:r>
        <w:rPr>
          <w:lang w:val="en_US" w:bidi="en_US"/>
        </w:rPr>
      </w:r>
      <w:r>
        <w:rPr>
          <w:lang w:val="en_US" w:bidi="en_US"/>
        </w:rPr>
        <w:t>but he must live again in three days.”</w:t>
      </w:r>
    </w:p>
    <w:p>
      <w:pPr>
        <w:pStyle w:val="ListBullet"/>
        <w:spacing w:line="240" w:lineRule="auto"/>
        <w:ind w:left="720"/>
      </w:pPr>
      <w:r>
        <w:rPr>
          <w:lang w:val="en_US" w:bidi="en_US"/>
        </w:rPr>
      </w:r>
      <w:r>
        <w:rPr>
          <w:lang w:val="en_US" w:bidi="en_US"/>
        </w:rPr>
        <w:t xml:space="preserve">but </w:t>
      </w:r>
      <w:r>
        <w:rPr>
          <w:lang w:val="en_US" w:bidi="en_US"/>
        </w:rPr>
        <w:t>God will cause</w:t>
      </w:r>
      <w:r>
        <w:rPr>
          <w:lang w:val="en_US" w:bidi="en_US"/>
        </w:rPr>
        <w:t xml:space="preserve"> me to live again on the third day.’”</w:t>
      </w:r>
    </w:p>
    <w:p>
      <w:pPr/>
      <w:r>
        <w:rPr>
          <w:lang w:val="en_US" w:bidi="en_US"/>
        </w:rPr>
      </w:r>
      <w:r>
        <w:rPr>
          <w:b/>
          <w:lang w:val="en_US" w:bidi="en_US"/>
        </w:rPr>
        <w:t>on the third day:</w:t>
      </w:r>
      <w:r>
        <w:rPr>
          <w:lang w:val="en_US" w:bidi="en_US"/>
        </w:rPr>
        <w:t xml:space="preserve"> The phrase </w:t>
      </w:r>
      <w:r>
        <w:rPr>
          <w:i/>
          <w:lang w:val="en_US" w:bidi="en_US"/>
        </w:rPr>
        <w:t>on the third day</w:t>
      </w:r>
      <w:r>
        <w:rPr>
          <w:lang w:val="en_US" w:bidi="en_US"/>
        </w:rPr>
        <w:t xml:space="preserve"> refers to the third day after Jesus was crucified. When the Jews counted time, they counted part of a day as a whole day. Jesus was buried on the first day (Friday), he was in the tomb all of the second day (Saturday). Then he rose from the dead on the third day (Sunday) before daybreak. (A Jewish day began at sundown, so the first day of the week began at sundown on Saturday night.)</w:t>
      </w:r>
    </w:p>
    <w:p>
      <w:pPr/>
      <w:r>
        <w:rPr>
          <w:lang w:val="en_US" w:bidi="en_US"/>
        </w:rPr>
      </w:r>
      <w:r>
        <w:rPr>
          <w:lang w:val="en_US" w:bidi="en_US"/>
        </w:rPr>
        <w:t xml:space="preserve">Translate the meaning of </w:t>
      </w:r>
      <w:r>
        <w:rPr>
          <w:i/>
          <w:lang w:val="en_US" w:bidi="en_US"/>
        </w:rPr>
        <w:t>on the third day</w:t>
      </w:r>
      <w:r>
        <w:rPr>
          <w:lang w:val="en_US" w:bidi="en_US"/>
        </w:rPr>
        <w:t xml:space="preserve"> in a way that is natural in your language.</w:t>
      </w:r>
    </w:p>
    <w:p>
      <w:pPr/>
      <w:r>
        <w:rPr>
          <w:lang w:val="en_US" w:bidi="en_US"/>
        </w:rPr>
      </w:r>
      <w:r>
        <w:rPr>
          <w:b/>
          <w:lang w:val="en_US" w:bidi="en_US"/>
        </w:rPr>
        <w:t>rise again:</w:t>
      </w:r>
      <w:r>
        <w:rPr>
          <w:lang w:val="en_US" w:bidi="en_US"/>
        </w:rPr>
        <w:t xml:space="preserve"> The Greek verb that the BSB translates as </w:t>
      </w:r>
      <w:r>
        <w:rPr>
          <w:i/>
          <w:lang w:val="en_US" w:bidi="en_US"/>
        </w:rPr>
        <w:t>rise again</w:t>
      </w:r>
      <w:r>
        <w:rPr>
          <w:lang w:val="en_US" w:bidi="en_US"/>
        </w:rPr>
        <w:t xml:space="preserve"> means “rise/live again.” This passive form of the verb was also used in 24:6b. See the note there.</w:t>
      </w:r>
    </w:p>
    <w:p>
      <w:pPr>
        <w:pStyle w:val="Heading6"/>
      </w:pPr>
      <w:r>
        <w:rPr>
          <w:b/>
          <w:lang w:val="en_US" w:bidi="en_US"/>
        </w:rPr>
        <w:t>General Comment on 24:7a–c</w:t>
      </w:r>
    </w:p>
    <w:p>
      <w:pPr/>
      <w:r>
        <w:rPr>
          <w:lang w:val="en_US" w:bidi="en_US"/>
        </w:rPr>
      </w:r>
      <w:r>
        <w:rPr>
          <w:lang w:val="en_US" w:bidi="en_US"/>
        </w:rPr>
        <w:t>In some languages it may be more natural to translate the quote in 24:7 as indirect speech. For example:</w:t>
      </w:r>
    </w:p>
    <w:p>
      <w:pPr/>
      <w:r>
        <w:rPr>
          <w:lang w:val="en_US" w:bidi="en_US"/>
        </w:rPr>
      </w:r>
      <w:r>
        <w:rPr>
          <w:lang w:val="en_US" w:bidi="en_US"/>
        </w:rPr>
        <w:t>…that the Son of Man must be handed over to sinners, and be crucified, and on the third day rise again. (NRSV)</w:t>
      </w:r>
    </w:p>
    <w:p>
      <w:pPr/>
      <w:r>
        <w:rPr>
          <w:lang w:val="en_US" w:bidi="en_US"/>
        </w:rPr>
      </w:r>
      <w:r>
        <w:rPr>
          <w:lang w:val="en_US" w:bidi="en_US"/>
        </w:rPr>
        <w:t>He said that he the Son of Man must be betrayed into the hands of sinful people, be crucified, and rise to life on the third day.</w:t>
      </w:r>
      <w:r>
        <w:rPr>
          <w:lang w:val="en_US" w:bidi="en_US"/>
        </w:rPr>
      </w:r>
      <w:r>
        <w:rPr>
          <w:lang w:val="en_US" w:bidi="en_US"/>
        </w:rPr>
      </w:r>
    </w:p>
    <w:p>
      <w:pPr/>
      <w:r>
        <w:rPr>
          <w:lang w:val="en_US" w:bidi="en_US"/>
        </w:rPr>
      </w:r>
    </w:p>
    <w:p>
      <w:pPr>
        <w:pStyle w:val="Heading2"/>
      </w:pPr>
      <w:r>
        <w:rPr>
          <w:lang w:val="en_US" w:bidi="en_US"/>
        </w:rPr>
        <w:t>Luke 24:8</w:t>
      </w:r>
      <w:r>
        <w:rPr>
          <w:lang w:val="en_US" w:bidi="en_US"/>
        </w:rPr>
      </w:r>
    </w:p>
    <w:p>
      <w:pPr>
        <w:pStyle w:val="Heading4"/>
      </w:pPr>
      <w:r>
        <w:rPr>
          <w:lang w:val="en_US" w:bidi="en_US"/>
        </w:rPr>
        <w:t>Section 24:1–12: Jesus rose from the dead</w:t>
      </w:r>
    </w:p>
    <w:p>
      <w:pPr/>
      <w:r>
        <w:rPr>
          <w:lang w:val="en_US" w:bidi="en_US"/>
        </w:rPr>
      </w:r>
      <w:r>
        <w:rPr>
          <w:lang w:val="en_US" w:bidi="en_US"/>
        </w:rP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pPr/>
      <w:r>
        <w:rPr>
          <w:lang w:val="en_US" w:bidi="en_US"/>
        </w:rPr>
      </w:r>
      <w:r>
        <w:rPr>
          <w:lang w:val="en_US" w:bidi="en_US"/>
        </w:rP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pPr/>
      <w:r>
        <w:rPr>
          <w:lang w:val="en_US" w:bidi="en_US"/>
        </w:rPr>
      </w:r>
      <w:r>
        <w:rPr>
          <w:lang w:val="en_US" w:bidi="en_US"/>
        </w:rPr>
        <w:t>The first people who came to Jesus’ tomb were women, so they were the ones who heard the good news from the angels. When they went and told his followers, the followers did not believe the women.</w:t>
      </w:r>
    </w:p>
    <w:p>
      <w:pPr/>
      <w:r>
        <w:rPr>
          <w:lang w:val="en_US" w:bidi="en_US"/>
        </w:rPr>
      </w:r>
      <w:r>
        <w:rPr>
          <w:lang w:val="en_US" w:bidi="en_US"/>
        </w:rPr>
        <w:t>Some examples of other headings for this section are:</w:t>
      </w:r>
    </w:p>
    <w:p>
      <w:pPr/>
      <w:r>
        <w:rPr>
          <w:lang w:val="en_US" w:bidi="en_US"/>
        </w:rPr>
      </w:r>
      <w:r>
        <w:rPr>
          <w:lang w:val="en_US" w:bidi="en_US"/>
        </w:rPr>
        <w:t>Jesus Comes Back to Life (GW)</w:t>
      </w:r>
    </w:p>
    <w:p>
      <w:pPr/>
      <w:r>
        <w:rPr>
          <w:lang w:val="en_US" w:bidi="en_US"/>
        </w:rPr>
      </w:r>
      <w:r>
        <w:rPr>
          <w:lang w:val="en_US" w:bidi="en_US"/>
        </w:rPr>
        <w:t>The Resurrection of Jesus (NRSV)</w:t>
      </w:r>
    </w:p>
    <w:p>
      <w:pPr/>
      <w:r>
        <w:rPr>
          <w:lang w:val="en_US" w:bidi="en_US"/>
        </w:rPr>
      </w:r>
      <w:r>
        <w:rPr>
          <w:lang w:val="en_US" w:bidi="en_US"/>
        </w:rPr>
        <w:t>Jesus Is Alive (CEV)</w:t>
      </w:r>
    </w:p>
    <w:p>
      <w:pPr/>
      <w:r>
        <w:rPr>
          <w:lang w:val="en_US" w:bidi="en_US"/>
        </w:rPr>
      </w:r>
      <w:r>
        <w:rPr>
          <w:lang w:val="en_US" w:bidi="en_US"/>
        </w:rPr>
        <w:t>There are parallel passages for this section in Matthew 28:1–10, Mark 16:1–8, and John 20:1–10.</w:t>
      </w:r>
    </w:p>
    <w:p>
      <w:pPr>
        <w:pStyle w:val="Heading5"/>
      </w:pPr>
      <w:r>
        <w:rPr>
          <w:lang w:val="en_US" w:bidi="en_US"/>
        </w:rPr>
        <w:t>24:8</w:t>
      </w:r>
    </w:p>
    <w:p>
      <w:pPr/>
      <w:r>
        <w:rPr>
          <w:lang w:val="en_US" w:bidi="en_US"/>
        </w:rPr>
      </w:r>
      <w:r>
        <w:rPr>
          <w:b/>
          <w:lang w:val="en_US" w:bidi="en_US"/>
        </w:rPr>
        <w:t>Then they remembered His words.</w:t>
      </w:r>
    </w:p>
    <w:p>
      <w:pPr>
        <w:pStyle w:val="ListBullet"/>
        <w:spacing w:line="240" w:lineRule="auto"/>
        <w:ind w:left="720"/>
      </w:pPr>
      <w:r>
        <w:rPr>
          <w:lang w:val="en_US" w:bidi="en_US"/>
        </w:rPr>
      </w:r>
      <w:r>
        <w:rPr>
          <w:lang w:val="en_US" w:bidi="en_US"/>
        </w:rPr>
        <w:t xml:space="preserve">Then the women remembered that Jesus had told </w:t>
      </w:r>
      <w:r>
        <w:rPr>
          <w:lang w:val="en_US" w:bidi="en_US"/>
        </w:rPr>
        <w:t>them</w:t>
      </w:r>
      <w:r>
        <w:rPr>
          <w:lang w:val="en_US" w:bidi="en_US"/>
        </w:rPr>
        <w:t xml:space="preserve"> those things.</w:t>
      </w:r>
    </w:p>
    <w:p>
      <w:pPr>
        <w:pStyle w:val="ListBullet"/>
        <w:spacing w:line="240" w:lineRule="auto"/>
        <w:ind w:left="720"/>
      </w:pPr>
      <w:r>
        <w:rPr>
          <w:lang w:val="en_US" w:bidi="en_US"/>
        </w:rPr>
      </w:r>
      <w:r>
        <w:rPr>
          <w:lang w:val="en_US" w:bidi="en_US"/>
        </w:rPr>
        <w:t>After the men said that,</w:t>
      </w:r>
      <w:r>
        <w:rPr>
          <w:lang w:val="en_US" w:bidi="en_US"/>
        </w:rPr>
        <w:t xml:space="preserve"> the women recalled that Jesus did say those words.</w:t>
      </w:r>
    </w:p>
    <w:p>
      <w:pPr/>
      <w:r>
        <w:rPr>
          <w:lang w:val="en_US" w:bidi="en_US"/>
        </w:rPr>
      </w:r>
      <w:r>
        <w:rPr>
          <w:b/>
          <w:lang w:val="en_US" w:bidi="en_US"/>
        </w:rPr>
        <w:t>Then they remembered His words:</w:t>
      </w:r>
      <w:r>
        <w:rPr>
          <w:lang w:val="en_US" w:bidi="en_US"/>
        </w:rPr>
        <w:t xml:space="preserve"> The clause </w:t>
      </w:r>
      <w:r>
        <w:rPr>
          <w:i/>
          <w:lang w:val="en_US" w:bidi="en_US"/>
        </w:rPr>
        <w:t>Then they remembered His words</w:t>
      </w:r>
      <w:r>
        <w:rPr>
          <w:lang w:val="en_US" w:bidi="en_US"/>
        </w:rPr>
        <w:t xml:space="preserve"> indicates that after the angels repeated what Jesus had told them before, the women remembered that Jesus had said that. Some other ways to translate the clause are:</w:t>
      </w:r>
    </w:p>
    <w:p>
      <w:pPr/>
      <w:r>
        <w:rPr>
          <w:lang w:val="en_US" w:bidi="en_US"/>
        </w:rPr>
      </w:r>
      <w:r>
        <w:rPr>
          <w:lang w:val="en_US" w:bidi="en_US"/>
        </w:rPr>
        <w:t>the women remembered what Jesus had told them (GW)</w:t>
      </w:r>
    </w:p>
    <w:p>
      <w:pPr/>
      <w:r>
        <w:rPr>
          <w:lang w:val="en_US" w:bidi="en_US"/>
        </w:rPr>
      </w:r>
      <w:r>
        <w:rPr>
          <w:lang w:val="en_US" w:bidi="en_US"/>
        </w:rPr>
        <w:t>they remembered what Jesus had said (CEV)</w:t>
      </w:r>
      <w:r>
        <w:rPr>
          <w:lang w:val="en_US" w:bidi="en_US"/>
        </w:rPr>
      </w:r>
      <w:r>
        <w:rPr>
          <w:lang w:val="en_US" w:bidi="en_US"/>
        </w:rPr>
      </w:r>
    </w:p>
    <w:p>
      <w:pPr/>
      <w:r>
        <w:rPr>
          <w:lang w:val="en_US" w:bidi="en_US"/>
        </w:rPr>
      </w:r>
    </w:p>
    <w:p>
      <w:pPr>
        <w:pStyle w:val="Heading2"/>
      </w:pPr>
      <w:r>
        <w:rPr>
          <w:lang w:val="en_US" w:bidi="en_US"/>
        </w:rPr>
        <w:t>Luke 24:9</w:t>
      </w:r>
      <w:r>
        <w:rPr>
          <w:lang w:val="en_US" w:bidi="en_US"/>
        </w:rPr>
      </w:r>
    </w:p>
    <w:p>
      <w:pPr>
        <w:pStyle w:val="Heading4"/>
      </w:pPr>
      <w:r>
        <w:rPr>
          <w:lang w:val="en_US" w:bidi="en_US"/>
        </w:rPr>
        <w:t>Section 24:1–12: Jesus rose from the dead</w:t>
      </w:r>
    </w:p>
    <w:p>
      <w:pPr/>
      <w:r>
        <w:rPr>
          <w:lang w:val="en_US" w:bidi="en_US"/>
        </w:rPr>
      </w:r>
      <w:r>
        <w:rPr>
          <w:lang w:val="en_US" w:bidi="en_US"/>
        </w:rP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pPr/>
      <w:r>
        <w:rPr>
          <w:lang w:val="en_US" w:bidi="en_US"/>
        </w:rPr>
      </w:r>
      <w:r>
        <w:rPr>
          <w:lang w:val="en_US" w:bidi="en_US"/>
        </w:rP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pPr/>
      <w:r>
        <w:rPr>
          <w:lang w:val="en_US" w:bidi="en_US"/>
        </w:rPr>
      </w:r>
      <w:r>
        <w:rPr>
          <w:lang w:val="en_US" w:bidi="en_US"/>
        </w:rPr>
        <w:t>The first people who came to Jesus’ tomb were women, so they were the ones who heard the good news from the angels. When they went and told his followers, the followers did not believe the women.</w:t>
      </w:r>
    </w:p>
    <w:p>
      <w:pPr/>
      <w:r>
        <w:rPr>
          <w:lang w:val="en_US" w:bidi="en_US"/>
        </w:rPr>
      </w:r>
      <w:r>
        <w:rPr>
          <w:lang w:val="en_US" w:bidi="en_US"/>
        </w:rPr>
        <w:t>Some examples of other headings for this section are:</w:t>
      </w:r>
    </w:p>
    <w:p>
      <w:pPr/>
      <w:r>
        <w:rPr>
          <w:lang w:val="en_US" w:bidi="en_US"/>
        </w:rPr>
      </w:r>
      <w:r>
        <w:rPr>
          <w:lang w:val="en_US" w:bidi="en_US"/>
        </w:rPr>
        <w:t>Jesus Comes Back to Life (GW)</w:t>
      </w:r>
    </w:p>
    <w:p>
      <w:pPr/>
      <w:r>
        <w:rPr>
          <w:lang w:val="en_US" w:bidi="en_US"/>
        </w:rPr>
      </w:r>
      <w:r>
        <w:rPr>
          <w:lang w:val="en_US" w:bidi="en_US"/>
        </w:rPr>
        <w:t>The Resurrection of Jesus (NRSV)</w:t>
      </w:r>
    </w:p>
    <w:p>
      <w:pPr/>
      <w:r>
        <w:rPr>
          <w:lang w:val="en_US" w:bidi="en_US"/>
        </w:rPr>
      </w:r>
      <w:r>
        <w:rPr>
          <w:lang w:val="en_US" w:bidi="en_US"/>
        </w:rPr>
        <w:t>Jesus Is Alive (CEV)</w:t>
      </w:r>
    </w:p>
    <w:p>
      <w:pPr/>
      <w:r>
        <w:rPr>
          <w:lang w:val="en_US" w:bidi="en_US"/>
        </w:rPr>
      </w:r>
      <w:r>
        <w:rPr>
          <w:lang w:val="en_US" w:bidi="en_US"/>
        </w:rPr>
        <w:t>There are parallel passages for this section in Matthew 28:1–10, Mark 16:1–8, and John 20:1–10.</w:t>
      </w:r>
    </w:p>
    <w:p>
      <w:pPr>
        <w:pStyle w:val="Heading5"/>
      </w:pPr>
      <w:r>
        <w:rPr>
          <w:lang w:val="en_US" w:bidi="en_US"/>
        </w:rPr>
        <w:t>24:9a</w:t>
      </w:r>
    </w:p>
    <w:p>
      <w:pPr/>
      <w:r>
        <w:rPr>
          <w:lang w:val="en_US" w:bidi="en_US"/>
        </w:rPr>
      </w:r>
      <w:r>
        <w:rPr>
          <w:b/>
          <w:lang w:val="en_US" w:bidi="en_US"/>
        </w:rPr>
        <w:t>And when they returned from the tomb,</w:t>
      </w:r>
    </w:p>
    <w:p>
      <w:pPr>
        <w:pStyle w:val="ListBullet"/>
        <w:spacing w:line="240" w:lineRule="auto"/>
        <w:ind w:left="720"/>
      </w:pPr>
      <w:r>
        <w:rPr>
          <w:lang w:val="en_US" w:bidi="en_US"/>
        </w:rPr>
      </w:r>
      <w:r>
        <w:rPr>
          <w:lang w:val="en_US" w:bidi="en_US"/>
        </w:rPr>
        <w:t>¶ After that, the women returned from the tomb,</w:t>
      </w:r>
    </w:p>
    <w:p>
      <w:pPr>
        <w:pStyle w:val="ListBullet"/>
        <w:spacing w:line="240" w:lineRule="auto"/>
        <w:ind w:left="720"/>
      </w:pPr>
      <w:r>
        <w:rPr>
          <w:lang w:val="en_US" w:bidi="en_US"/>
        </w:rPr>
      </w:r>
      <w:r>
        <w:rPr>
          <w:lang w:val="en_US" w:bidi="en_US"/>
        </w:rPr>
        <w:t xml:space="preserve">¶ Then the women left the tomb/place and returned </w:t>
      </w:r>
      <w:r>
        <w:rPr>
          <w:lang w:val="en_US" w:bidi="en_US"/>
        </w:rPr>
        <w:t>to the city</w:t>
      </w:r>
      <w:r>
        <w:rPr>
          <w:lang w:val="en_US" w:bidi="en_US"/>
        </w:rPr>
        <w:t>.</w:t>
      </w:r>
    </w:p>
    <w:p>
      <w:pPr/>
      <w:r>
        <w:rPr>
          <w:lang w:val="en_US" w:bidi="en_US"/>
        </w:rPr>
      </w:r>
      <w:r>
        <w:rPr>
          <w:b/>
          <w:lang w:val="en_US" w:bidi="en_US"/>
        </w:rPr>
        <w:t>And when they returned from the tomb:</w:t>
      </w:r>
      <w:r>
        <w:rPr>
          <w:lang w:val="en_US" w:bidi="en_US"/>
        </w:rPr>
        <w:t xml:space="preserve"> In Greek, this part of the verse is more literally “and having returned from the tomb.” It introduces what the women did after they heard what the angels said in 24:8. The women left the tomb and returned to the city of Jerusalem to tell Jesus’ apostles.</w:t>
      </w:r>
    </w:p>
    <w:p>
      <w:pPr/>
      <w:r>
        <w:rPr>
          <w:lang w:val="en_US" w:bidi="en_US"/>
        </w:rPr>
      </w:r>
      <w:r>
        <w:rPr>
          <w:lang w:val="en_US" w:bidi="en_US"/>
        </w:rPr>
        <w:t>Some other ways to translate 24:9a are:</w:t>
      </w:r>
    </w:p>
    <w:p>
      <w:pPr/>
      <w:r>
        <w:rPr>
          <w:lang w:val="en_US" w:bidi="en_US"/>
        </w:rPr>
      </w:r>
      <w:r>
        <w:rPr>
          <w:lang w:val="en_US" w:bidi="en_US"/>
        </w:rPr>
        <w:t>The women left the tomb and went back to the city. (GW)</w:t>
      </w:r>
    </w:p>
    <w:p>
      <w:pPr/>
      <w:r>
        <w:rPr>
          <w:lang w:val="en_US" w:bidi="en_US"/>
        </w:rPr>
      </w:r>
      <w:r>
        <w:rPr>
          <w:lang w:val="en_US" w:bidi="en_US"/>
        </w:rPr>
        <w:t>So they rushed back from the tomb… (NLT)</w:t>
      </w:r>
    </w:p>
    <w:p>
      <w:pPr/>
      <w:r>
        <w:rPr>
          <w:lang w:val="en_US" w:bidi="en_US"/>
        </w:rPr>
      </w:r>
      <w:r>
        <w:rPr>
          <w:lang w:val="en_US" w:bidi="en_US"/>
        </w:rPr>
        <w:t>Then the women returned from the tomb.</w:t>
      </w:r>
    </w:p>
    <w:p>
      <w:pPr/>
      <w:r>
        <w:rPr>
          <w:lang w:val="en_US" w:bidi="en_US"/>
        </w:rPr>
      </w:r>
      <w:r>
        <w:rPr>
          <w:lang w:val="en_US" w:bidi="en_US"/>
        </w:rPr>
        <w:t>Some English versions include 24:9–10 in the preceding paragraph. Some even connect 24:9 to 24:8, as the BSB does. For example:</w:t>
      </w:r>
    </w:p>
    <w:p>
      <w:pPr/>
      <w:r>
        <w:rPr>
          <w:lang w:val="en_US" w:bidi="en_US"/>
        </w:rPr>
      </w:r>
      <w:r>
        <w:rPr>
          <w:lang w:val="en_US" w:bidi="en_US"/>
        </w:rPr>
        <w:t>and when they returned from the tomb (NET)</w:t>
      </w:r>
    </w:p>
    <w:p>
      <w:pPr/>
      <w:r>
        <w:rPr>
          <w:lang w:val="en_US" w:bidi="en_US"/>
        </w:rPr>
      </w:r>
      <w:r>
        <w:rPr>
          <w:lang w:val="en_US" w:bidi="en_US"/>
        </w:rPr>
        <w:t>Connect this information to 24:8 and 24:9b in a natural way in your language.</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women who went to the tomb and saw the angels in 24:1–8. Some of their names are mentioned in 24:10a. In some languages it may be helpful to put their names here in 24:9a. See the General Comment on 24:9–10 at the end of 24:10c for a suggestion on reordering information in these verses.</w:t>
      </w:r>
    </w:p>
    <w:p>
      <w:pPr>
        <w:pStyle w:val="Heading5"/>
      </w:pPr>
      <w:r>
        <w:rPr>
          <w:lang w:val="en_US" w:bidi="en_US"/>
        </w:rPr>
        <w:t>24:9b</w:t>
      </w:r>
    </w:p>
    <w:p>
      <w:pPr/>
      <w:r>
        <w:rPr>
          <w:lang w:val="en_US" w:bidi="en_US"/>
        </w:rPr>
      </w:r>
      <w:r>
        <w:rPr>
          <w:b/>
          <w:lang w:val="en_US" w:bidi="en_US"/>
        </w:rPr>
        <w:t>they reported all these things to the Eleven and to all the others.</w:t>
      </w:r>
    </w:p>
    <w:p>
      <w:pPr>
        <w:pStyle w:val="ListBullet"/>
        <w:spacing w:line="240" w:lineRule="auto"/>
        <w:ind w:left="720"/>
      </w:pPr>
      <w:r>
        <w:rPr>
          <w:lang w:val="en_US" w:bidi="en_US"/>
        </w:rPr>
      </w:r>
      <w:r>
        <w:rPr>
          <w:lang w:val="en_US" w:bidi="en_US"/>
        </w:rPr>
        <w:t xml:space="preserve">and </w:t>
      </w:r>
      <w:r>
        <w:rPr>
          <w:lang w:val="en_US" w:bidi="en_US"/>
        </w:rPr>
        <w:t>went to</w:t>
      </w:r>
      <w:r>
        <w:rPr>
          <w:lang w:val="en_US" w:bidi="en_US"/>
        </w:rPr>
        <w:t xml:space="preserve"> tell all this to the eleven </w:t>
      </w:r>
      <w:r>
        <w:rPr>
          <w:lang w:val="en_US" w:bidi="en_US"/>
        </w:rPr>
        <w:t>apostles</w:t>
      </w:r>
      <w:r>
        <w:rPr>
          <w:lang w:val="en_US" w:bidi="en_US"/>
        </w:rPr>
        <w:t xml:space="preserve"> and all Jesus’ other </w:t>
      </w:r>
      <w:r>
        <w:rPr>
          <w:lang w:val="en_US" w:bidi="en_US"/>
        </w:rPr>
        <w:t>followers</w:t>
      </w:r>
      <w:r>
        <w:rPr>
          <w:lang w:val="en_US" w:bidi="en_US"/>
        </w:rPr>
        <w:t>.</w:t>
      </w:r>
    </w:p>
    <w:p>
      <w:pPr>
        <w:pStyle w:val="ListBullet"/>
        <w:spacing w:line="240" w:lineRule="auto"/>
        <w:ind w:left="720"/>
      </w:pPr>
      <w:r>
        <w:rPr>
          <w:lang w:val="en_US" w:bidi="en_US"/>
        </w:rPr>
      </w:r>
      <w:r>
        <w:rPr>
          <w:lang w:val="en_US" w:bidi="en_US"/>
        </w:rPr>
        <w:t>There</w:t>
      </w:r>
      <w:r>
        <w:rPr>
          <w:lang w:val="en_US" w:bidi="en_US"/>
        </w:rPr>
        <w:t xml:space="preserve"> they told Jesus’ eleven </w:t>
      </w:r>
      <w:r>
        <w:rPr>
          <w:lang w:val="en_US" w:bidi="en_US"/>
        </w:rPr>
        <w:t>apostles</w:t>
      </w:r>
      <w:r>
        <w:rPr>
          <w:lang w:val="en_US" w:bidi="en_US"/>
        </w:rPr>
        <w:t xml:space="preserve"> and all the other </w:t>
      </w:r>
      <w:r>
        <w:rPr>
          <w:lang w:val="en_US" w:bidi="en_US"/>
        </w:rPr>
        <w:t>disciples/believers</w:t>
      </w:r>
      <w:r>
        <w:rPr>
          <w:lang w:val="en_US" w:bidi="en_US"/>
        </w:rPr>
        <w:t xml:space="preserve"> everything that had happened.</w:t>
      </w:r>
    </w:p>
    <w:p>
      <w:pPr/>
      <w:r>
        <w:rPr>
          <w:lang w:val="en_US" w:bidi="en_US"/>
        </w:rPr>
      </w:r>
      <w:r>
        <w:rPr>
          <w:b/>
          <w:lang w:val="en_US" w:bidi="en_US"/>
        </w:rPr>
        <w:t>they reported all these things to the Eleven and to all the others:</w:t>
      </w:r>
      <w:r>
        <w:rPr>
          <w:lang w:val="en_US" w:bidi="en_US"/>
        </w:rPr>
        <w:t xml:space="preserve"> The phrase </w:t>
      </w:r>
      <w:r>
        <w:rPr>
          <w:i/>
          <w:lang w:val="en_US" w:bidi="en_US"/>
        </w:rPr>
        <w:t>all these things</w:t>
      </w:r>
      <w:r>
        <w:rPr>
          <w:lang w:val="en_US" w:bidi="en_US"/>
        </w:rPr>
        <w:t xml:space="preserve"> refers to everything that the women saw and heard when they went to the tomb. It does not refer only to what the angels told them. Some other ways to translate the clause are:</w:t>
      </w:r>
    </w:p>
    <w:p>
      <w:pPr/>
      <w:r>
        <w:rPr>
          <w:lang w:val="en_US" w:bidi="en_US"/>
        </w:rPr>
      </w:r>
      <w:r>
        <w:rPr>
          <w:lang w:val="en_US" w:bidi="en_US"/>
        </w:rPr>
        <w:t>they told all this to Jesus’ eleven apostles and to all the others</w:t>
      </w:r>
    </w:p>
    <w:p>
      <w:pPr/>
      <w:r>
        <w:rPr>
          <w:lang w:val="en_US" w:bidi="en_US"/>
        </w:rPr>
      </w:r>
      <w:r>
        <w:rPr>
          <w:lang w:val="en_US" w:bidi="en_US"/>
        </w:rPr>
        <w:t>they went to Jesus’ eleven apostles and the others and told them all that had happened</w:t>
      </w:r>
    </w:p>
    <w:p>
      <w:pPr/>
      <w:r>
        <w:rPr>
          <w:lang w:val="en_US" w:bidi="en_US"/>
        </w:rPr>
      </w:r>
      <w:r>
        <w:rPr>
          <w:b/>
          <w:lang w:val="en_US" w:bidi="en_US"/>
        </w:rPr>
        <w:t>the Eleven:</w:t>
      </w:r>
      <w:r>
        <w:rPr>
          <w:lang w:val="en_US" w:bidi="en_US"/>
        </w:rPr>
        <w:t xml:space="preserve"> The phrase </w:t>
      </w:r>
      <w:r>
        <w:rPr>
          <w:i/>
          <w:lang w:val="en_US" w:bidi="en_US"/>
        </w:rPr>
        <w:t>the Eleven</w:t>
      </w:r>
      <w:r>
        <w:rPr>
          <w:lang w:val="en_US" w:bidi="en_US"/>
        </w:rPr>
        <w:t xml:space="preserve"> refers to Jesus’ apostles. There were now only eleven apostles instead of twelve, because Judas Iscariot was no longer among them. After he betrayed Jesus, he did not continue as an apostle. In some languages it may be necessary to supply the word “apostles” here, as some English versions do. For example:</w:t>
      </w:r>
    </w:p>
    <w:p>
      <w:pPr/>
      <w:r>
        <w:rPr>
          <w:lang w:val="en_US" w:bidi="en_US"/>
        </w:rPr>
      </w:r>
      <w:r>
        <w:rPr>
          <w:lang w:val="en_US" w:bidi="en_US"/>
        </w:rPr>
        <w:t>the eleven apostles (GW)</w:t>
      </w:r>
    </w:p>
    <w:p>
      <w:pPr/>
      <w:r>
        <w:rPr>
          <w:lang w:val="en_US" w:bidi="en_US"/>
        </w:rPr>
      </w:r>
      <w:r>
        <w:rPr>
          <w:b/>
          <w:lang w:val="en_US" w:bidi="en_US"/>
        </w:rPr>
        <w:t>all the others:</w:t>
      </w:r>
      <w:r>
        <w:rPr>
          <w:lang w:val="en_US" w:bidi="en_US"/>
        </w:rPr>
        <w:t xml:space="preserve"> The phrase </w:t>
      </w:r>
      <w:r>
        <w:rPr>
          <w:i/>
          <w:lang w:val="en_US" w:bidi="en_US"/>
        </w:rPr>
        <w:t>all the others</w:t>
      </w:r>
      <w:r>
        <w:rPr>
          <w:lang w:val="en_US" w:bidi="en_US"/>
        </w:rPr>
        <w:t xml:space="preserve"> refers to other people who followed Jesus. The phrase does not specify exactly which people are included. The text may refer to those who were gathered with the apostles at that time, or it may include other followers in Jerusalem. Other Scriptures indicate that many of Jesus’ followers and family members stayed together in Jerusalem after he died.</w:t>
      </w:r>
    </w:p>
    <w:p>
      <w:pPr/>
      <w:r>
        <w:rPr>
          <w:lang w:val="en_US" w:bidi="en_US"/>
        </w:rPr>
      </w:r>
      <w:r>
        <w:rPr>
          <w:lang w:val="en_US" w:bidi="en_US"/>
        </w:rPr>
        <w:t>Some other ways to translate the phrase are:</w:t>
      </w:r>
    </w:p>
    <w:p>
      <w:pPr/>
      <w:r>
        <w:rPr>
          <w:lang w:val="en_US" w:bidi="en_US"/>
        </w:rPr>
      </w:r>
      <w:r>
        <w:rPr>
          <w:lang w:val="en_US" w:bidi="en_US"/>
        </w:rPr>
        <w:t>all his other followers</w:t>
      </w:r>
    </w:p>
    <w:p>
      <w:pPr/>
      <w:r>
        <w:rPr>
          <w:lang w:val="en_US" w:bidi="en_US"/>
        </w:rPr>
      </w:r>
      <w:r>
        <w:rPr>
          <w:lang w:val="en_US" w:bidi="en_US"/>
        </w:rPr>
        <w:t>all the rest (RSV)</w:t>
      </w:r>
      <w:r>
        <w:rPr>
          <w:lang w:val="en_US" w:bidi="en_US"/>
        </w:rPr>
      </w:r>
      <w:r>
        <w:rPr>
          <w:lang w:val="en_US" w:bidi="en_US"/>
        </w:rPr>
      </w:r>
    </w:p>
    <w:p>
      <w:pPr/>
      <w:r>
        <w:rPr>
          <w:lang w:val="en_US" w:bidi="en_US"/>
        </w:rPr>
      </w:r>
    </w:p>
    <w:p>
      <w:pPr>
        <w:pStyle w:val="Heading2"/>
      </w:pPr>
      <w:r>
        <w:rPr>
          <w:lang w:val="en_US" w:bidi="en_US"/>
        </w:rPr>
        <w:t>Luke 24:10</w:t>
      </w:r>
      <w:r>
        <w:rPr>
          <w:lang w:val="en_US" w:bidi="en_US"/>
        </w:rPr>
      </w:r>
    </w:p>
    <w:p>
      <w:pPr>
        <w:pStyle w:val="Heading4"/>
      </w:pPr>
      <w:r>
        <w:rPr>
          <w:lang w:val="en_US" w:bidi="en_US"/>
        </w:rPr>
        <w:t>Section 24:1–12: Jesus rose from the dead</w:t>
      </w:r>
    </w:p>
    <w:p>
      <w:pPr/>
      <w:r>
        <w:rPr>
          <w:lang w:val="en_US" w:bidi="en_US"/>
        </w:rPr>
      </w:r>
      <w:r>
        <w:rPr>
          <w:lang w:val="en_US" w:bidi="en_US"/>
        </w:rP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pPr/>
      <w:r>
        <w:rPr>
          <w:lang w:val="en_US" w:bidi="en_US"/>
        </w:rPr>
      </w:r>
      <w:r>
        <w:rPr>
          <w:lang w:val="en_US" w:bidi="en_US"/>
        </w:rP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pPr/>
      <w:r>
        <w:rPr>
          <w:lang w:val="en_US" w:bidi="en_US"/>
        </w:rPr>
      </w:r>
      <w:r>
        <w:rPr>
          <w:lang w:val="en_US" w:bidi="en_US"/>
        </w:rPr>
        <w:t>The first people who came to Jesus’ tomb were women, so they were the ones who heard the good news from the angels. When they went and told his followers, the followers did not believe the women.</w:t>
      </w:r>
    </w:p>
    <w:p>
      <w:pPr/>
      <w:r>
        <w:rPr>
          <w:lang w:val="en_US" w:bidi="en_US"/>
        </w:rPr>
      </w:r>
      <w:r>
        <w:rPr>
          <w:lang w:val="en_US" w:bidi="en_US"/>
        </w:rPr>
        <w:t>Some examples of other headings for this section are:</w:t>
      </w:r>
    </w:p>
    <w:p>
      <w:pPr/>
      <w:r>
        <w:rPr>
          <w:lang w:val="en_US" w:bidi="en_US"/>
        </w:rPr>
      </w:r>
      <w:r>
        <w:rPr>
          <w:lang w:val="en_US" w:bidi="en_US"/>
        </w:rPr>
        <w:t>Jesus Comes Back to Life (GW)</w:t>
      </w:r>
    </w:p>
    <w:p>
      <w:pPr/>
      <w:r>
        <w:rPr>
          <w:lang w:val="en_US" w:bidi="en_US"/>
        </w:rPr>
      </w:r>
      <w:r>
        <w:rPr>
          <w:lang w:val="en_US" w:bidi="en_US"/>
        </w:rPr>
        <w:t>The Resurrection of Jesus (NRSV)</w:t>
      </w:r>
    </w:p>
    <w:p>
      <w:pPr/>
      <w:r>
        <w:rPr>
          <w:lang w:val="en_US" w:bidi="en_US"/>
        </w:rPr>
      </w:r>
      <w:r>
        <w:rPr>
          <w:lang w:val="en_US" w:bidi="en_US"/>
        </w:rPr>
        <w:t>Jesus Is Alive (CEV)</w:t>
      </w:r>
    </w:p>
    <w:p>
      <w:pPr/>
      <w:r>
        <w:rPr>
          <w:lang w:val="en_US" w:bidi="en_US"/>
        </w:rPr>
      </w:r>
      <w:r>
        <w:rPr>
          <w:lang w:val="en_US" w:bidi="en_US"/>
        </w:rPr>
        <w:t>There are parallel passages for this section in Matthew 28:1–10, Mark 16:1–8, and John 20:1–10.</w:t>
      </w:r>
    </w:p>
    <w:p>
      <w:pPr>
        <w:pStyle w:val="Heading5"/>
      </w:pPr>
      <w:r>
        <w:rPr>
          <w:lang w:val="en_US" w:bidi="en_US"/>
        </w:rPr>
        <w:t>24:10a</w:t>
      </w:r>
    </w:p>
    <w:p>
      <w:pPr/>
      <w:r>
        <w:rPr>
          <w:lang w:val="en_US" w:bidi="en_US"/>
        </w:rPr>
      </w:r>
      <w:r>
        <w:rPr>
          <w:b/>
          <w:lang w:val="en_US" w:bidi="en_US"/>
        </w:rPr>
        <w:t>It was Mary Magdalene, Joanna, Mary the mother of James,</w:t>
      </w:r>
    </w:p>
    <w:p>
      <w:pPr>
        <w:pStyle w:val="ListBullet"/>
        <w:spacing w:line="240" w:lineRule="auto"/>
        <w:ind w:left="720"/>
      </w:pPr>
      <w:r>
        <w:rPr>
          <w:lang w:val="en_US" w:bidi="en_US"/>
        </w:rPr>
      </w:r>
      <w:r>
        <w:rPr>
          <w:lang w:val="en_US" w:bidi="en_US"/>
        </w:rPr>
        <w:t>Those women</w:t>
      </w:r>
      <w:r>
        <w:rPr>
          <w:lang w:val="en_US" w:bidi="en_US"/>
        </w:rPr>
        <w:t xml:space="preserve"> were Mary Magdalene, Joanna, Mary the mother of James,</w:t>
      </w:r>
    </w:p>
    <w:p>
      <w:pPr>
        <w:pStyle w:val="ListBullet"/>
        <w:spacing w:line="240" w:lineRule="auto"/>
        <w:ind w:left="720"/>
      </w:pPr>
      <w:r>
        <w:rPr>
          <w:lang w:val="en_US" w:bidi="en_US"/>
        </w:rPr>
      </w:r>
      <w:r>
        <w:rPr>
          <w:lang w:val="en_US" w:bidi="en_US"/>
        </w:rPr>
        <w:t xml:space="preserve">The </w:t>
      </w:r>
      <w:r>
        <w:rPr>
          <w:lang w:val="en_US" w:bidi="en_US"/>
        </w:rPr>
        <w:t>names of the</w:t>
      </w:r>
      <w:r>
        <w:rPr>
          <w:lang w:val="en_US" w:bidi="en_US"/>
        </w:rPr>
        <w:t xml:space="preserve"> women </w:t>
      </w:r>
      <w:r>
        <w:rPr>
          <w:lang w:val="en_US" w:bidi="en_US"/>
        </w:rPr>
        <w:t>who told them this</w:t>
      </w:r>
      <w:r>
        <w:rPr>
          <w:lang w:val="en_US" w:bidi="en_US"/>
        </w:rPr>
        <w:t xml:space="preserve"> were Mary Magdalene, Joanna, and James’ mother Mary.</w:t>
      </w:r>
    </w:p>
    <w:p>
      <w:pPr/>
      <w:r>
        <w:rPr>
          <w:lang w:val="en_US" w:bidi="en_US"/>
        </w:rPr>
      </w:r>
      <w:r>
        <w:rPr>
          <w:b/>
          <w:lang w:val="en_US" w:bidi="en_US"/>
        </w:rPr>
        <w:t>It was:</w:t>
      </w:r>
      <w:r>
        <w:rPr>
          <w:lang w:val="en_US" w:bidi="en_US"/>
        </w:rPr>
        <w:t xml:space="preserve"> The phrase </w:t>
      </w:r>
      <w:r>
        <w:rPr>
          <w:i/>
          <w:lang w:val="en_US" w:bidi="en_US"/>
        </w:rPr>
        <w:t>It was</w:t>
      </w:r>
      <w:r>
        <w:rPr>
          <w:lang w:val="en_US" w:bidi="en_US"/>
        </w:rPr>
        <w:t xml:space="preserve"> introduces the list of the women who told Jesus’ followers what happened at the tomb. Introduce this list in a natural way in your language.</w:t>
      </w:r>
    </w:p>
    <w:p>
      <w:pPr/>
      <w:r>
        <w:rPr>
          <w:lang w:val="en_US" w:bidi="en_US"/>
        </w:rPr>
      </w:r>
      <w:r>
        <w:rPr>
          <w:b/>
          <w:lang w:val="en_US" w:bidi="en_US"/>
        </w:rPr>
        <w:t>Mary Magdalene:</w:t>
      </w:r>
      <w:r>
        <w:rPr>
          <w:lang w:val="en_US" w:bidi="en_US"/>
        </w:rPr>
        <w:t xml:space="preserve"> The phrase </w:t>
      </w:r>
      <w:r>
        <w:rPr>
          <w:i/>
          <w:lang w:val="en_US" w:bidi="en_US"/>
        </w:rPr>
        <w:t>Mary Magdalene</w:t>
      </w:r>
      <w:r>
        <w:rPr>
          <w:lang w:val="en_US" w:bidi="en_US"/>
        </w:rPr>
        <w:t xml:space="preserve"> means “Mary who came from Magdala.” The name Mary was common in New Testament times. The term </w:t>
      </w:r>
      <w:r>
        <w:rPr>
          <w:i/>
          <w:lang w:val="en_US" w:bidi="en_US"/>
        </w:rPr>
        <w:t>Magdalene</w:t>
      </w:r>
      <w:r>
        <w:rPr>
          <w:lang w:val="en_US" w:bidi="en_US"/>
        </w:rPr>
        <w:t xml:space="preserve"> distinguished this Mary from other women who had the same name. This name was also mentioned in 8:2. Other ways to translate the phrase are:</w:t>
      </w:r>
    </w:p>
    <w:p>
      <w:pPr/>
      <w:r>
        <w:rPr>
          <w:lang w:val="en_US" w:bidi="en_US"/>
        </w:rPr>
      </w:r>
      <w:r>
        <w:rPr>
          <w:lang w:val="en_US" w:bidi="en_US"/>
        </w:rPr>
        <w:t>Mary from Magdala (GW)</w:t>
      </w:r>
    </w:p>
    <w:p>
      <w:pPr/>
      <w:r>
        <w:rPr>
          <w:lang w:val="en_US" w:bidi="en_US"/>
        </w:rPr>
      </w:r>
      <w:r>
        <w:rPr>
          <w:lang w:val="en_US" w:bidi="en_US"/>
        </w:rPr>
        <w:t>Mary of Magdala (NJB)</w:t>
      </w:r>
    </w:p>
    <w:p>
      <w:pPr/>
      <w:r>
        <w:rPr>
          <w:lang w:val="en_US" w:bidi="en_US"/>
        </w:rPr>
      </w:r>
      <w:r>
        <w:rPr>
          <w:b/>
          <w:lang w:val="en_US" w:bidi="en_US"/>
        </w:rPr>
        <w:t>Joanna:</w:t>
      </w:r>
      <w:r>
        <w:rPr>
          <w:lang w:val="en_US" w:bidi="en_US"/>
        </w:rPr>
        <w:t xml:space="preserve"> The name </w:t>
      </w:r>
      <w:r>
        <w:rPr>
          <w:i/>
          <w:lang w:val="en_US" w:bidi="en_US"/>
        </w:rPr>
        <w:t>Joanna</w:t>
      </w:r>
      <w:r>
        <w:rPr>
          <w:lang w:val="en_US" w:bidi="en_US"/>
        </w:rPr>
        <w:t xml:space="preserve"> also occurs in 8:3.</w:t>
      </w:r>
    </w:p>
    <w:p>
      <w:pPr/>
      <w:r>
        <w:rPr>
          <w:lang w:val="en_US" w:bidi="en_US"/>
        </w:rPr>
      </w:r>
      <w:r>
        <w:rPr>
          <w:b/>
          <w:lang w:val="en_US" w:bidi="en_US"/>
        </w:rPr>
        <w:t>Mary the mother of James:</w:t>
      </w:r>
      <w:r>
        <w:rPr>
          <w:lang w:val="en_US" w:bidi="en_US"/>
        </w:rPr>
        <w:t xml:space="preserve"> This Mary was the mother of a man named James, whom the disciples knew. She was probably the same woman who was mentioned in Mark 15:40.</w:t>
      </w:r>
    </w:p>
    <w:p>
      <w:pPr>
        <w:pStyle w:val="Heading5"/>
      </w:pPr>
      <w:r>
        <w:rPr>
          <w:lang w:val="en_US" w:bidi="en_US"/>
        </w:rPr>
        <w:t>24:10b</w:t>
      </w:r>
    </w:p>
    <w:p>
      <w:pPr/>
      <w:r>
        <w:rPr>
          <w:lang w:val="en_US" w:bidi="en_US"/>
        </w:rPr>
      </w:r>
      <w:r>
        <w:rPr>
          <w:b/>
          <w:lang w:val="en_US" w:bidi="en_US"/>
        </w:rPr>
        <w:t>and the other women with them</w:t>
      </w:r>
    </w:p>
    <w:p>
      <w:pPr>
        <w:pStyle w:val="ListBullet"/>
        <w:spacing w:line="240" w:lineRule="auto"/>
        <w:ind w:left="720"/>
      </w:pPr>
      <w:r>
        <w:rPr>
          <w:lang w:val="en_US" w:bidi="en_US"/>
        </w:rPr>
      </w:r>
      <w:r>
        <w:rPr>
          <w:lang w:val="en_US" w:bidi="en_US"/>
        </w:rPr>
        <w:t>and some others who accompanied them.</w:t>
      </w:r>
    </w:p>
    <w:p>
      <w:pPr>
        <w:pStyle w:val="ListBullet"/>
        <w:spacing w:line="240" w:lineRule="auto"/>
        <w:ind w:left="720"/>
      </w:pPr>
      <w:r>
        <w:rPr>
          <w:lang w:val="en_US" w:bidi="en_US"/>
        </w:rPr>
      </w:r>
      <w:r>
        <w:rPr>
          <w:lang w:val="en_US" w:bidi="en_US"/>
        </w:rPr>
        <w:t>There were also other women who went with them.</w:t>
      </w:r>
    </w:p>
    <w:p>
      <w:pPr/>
      <w:r>
        <w:rPr>
          <w:lang w:val="en_US" w:bidi="en_US"/>
        </w:rPr>
      </w:r>
      <w:r>
        <w:rPr>
          <w:b/>
          <w:lang w:val="en_US" w:bidi="en_US"/>
        </w:rPr>
        <w:t>the other women with them:</w:t>
      </w:r>
      <w:r>
        <w:rPr>
          <w:lang w:val="en_US" w:bidi="en_US"/>
        </w:rPr>
        <w:t xml:space="preserve"> The phrase </w:t>
      </w:r>
      <w:r>
        <w:rPr>
          <w:i/>
          <w:lang w:val="en_US" w:bidi="en_US"/>
        </w:rPr>
        <w:t>the other women with them</w:t>
      </w:r>
      <w:r>
        <w:rPr>
          <w:lang w:val="en_US" w:bidi="en_US"/>
        </w:rPr>
        <w:t xml:space="preserve"> refers to other women who went to the tomb with the two Marys and Joanna.</w:t>
      </w:r>
    </w:p>
    <w:p>
      <w:pPr>
        <w:pStyle w:val="Heading5"/>
      </w:pPr>
      <w:r>
        <w:rPr>
          <w:lang w:val="en_US" w:bidi="en_US"/>
        </w:rPr>
        <w:t>24:10c</w:t>
      </w:r>
    </w:p>
    <w:p>
      <w:pPr/>
      <w:r>
        <w:rPr>
          <w:lang w:val="en_US" w:bidi="en_US"/>
        </w:rPr>
      </w:r>
      <w:r>
        <w:rPr>
          <w:b/>
          <w:lang w:val="en_US" w:bidi="en_US"/>
        </w:rPr>
        <w:t>who told this to the apostles.</w:t>
      </w:r>
    </w:p>
    <w:p>
      <w:pPr>
        <w:pStyle w:val="ListBullet"/>
        <w:spacing w:line="240" w:lineRule="auto"/>
        <w:ind w:left="720"/>
      </w:pPr>
      <w:r>
        <w:rPr>
          <w:lang w:val="en_US" w:bidi="en_US"/>
        </w:rPr>
      </w:r>
      <w:r>
        <w:rPr>
          <w:lang w:val="en_US" w:bidi="en_US"/>
        </w:rPr>
        <w:t>These were the women who told this to the apostles.</w:t>
      </w:r>
    </w:p>
    <w:p>
      <w:pPr>
        <w:pStyle w:val="ListBullet"/>
        <w:spacing w:line="240" w:lineRule="auto"/>
        <w:ind w:left="720"/>
      </w:pPr>
      <w:r>
        <w:rPr>
          <w:lang w:val="en_US" w:bidi="en_US"/>
        </w:rPr>
      </w:r>
      <w:r>
        <w:rPr>
          <w:lang w:val="en_US" w:bidi="en_US"/>
        </w:rPr>
        <w:t>All</w:t>
      </w:r>
      <w:r>
        <w:rPr>
          <w:lang w:val="en_US" w:bidi="en_US"/>
        </w:rPr>
        <w:t xml:space="preserve"> these women reported to the apostles what had happened.</w:t>
      </w:r>
    </w:p>
    <w:p>
      <w:pPr/>
      <w:r>
        <w:rPr>
          <w:lang w:val="en_US" w:bidi="en_US"/>
        </w:rPr>
      </w:r>
      <w:r>
        <w:rPr>
          <w:b/>
          <w:lang w:val="en_US" w:bidi="en_US"/>
        </w:rPr>
        <w:t>who told this to the apostles:</w:t>
      </w:r>
      <w:r>
        <w:rPr>
          <w:lang w:val="en_US" w:bidi="en_US"/>
        </w:rPr>
        <w:t xml:space="preserve"> The form of the Greek verb that the BSB translates as </w:t>
      </w:r>
      <w:r>
        <w:rPr>
          <w:i/>
          <w:lang w:val="en_US" w:bidi="en_US"/>
        </w:rPr>
        <w:t>told</w:t>
      </w:r>
      <w:r>
        <w:rPr>
          <w:lang w:val="en_US" w:bidi="en_US"/>
        </w:rPr>
        <w:t xml:space="preserve"> suggests that the women probably told the apostles many things about what had happened. The word </w:t>
      </w:r>
      <w:r>
        <w:rPr>
          <w:i/>
          <w:lang w:val="en_US" w:bidi="en_US"/>
        </w:rPr>
        <w:t>this</w:t>
      </w:r>
      <w:r>
        <w:rPr>
          <w:lang w:val="en_US" w:bidi="en_US"/>
        </w:rPr>
        <w:t xml:space="preserve"> refers back to the phrase “all the things” in 24:9b.</w:t>
      </w:r>
    </w:p>
    <w:p>
      <w:pPr/>
      <w:r>
        <w:rPr>
          <w:lang w:val="en_US" w:bidi="en_US"/>
        </w:rPr>
      </w:r>
      <w:r>
        <w:rPr>
          <w:b/>
          <w:lang w:val="en_US" w:bidi="en_US"/>
        </w:rPr>
        <w:t>apostles:</w:t>
      </w:r>
      <w:r>
        <w:rPr>
          <w:lang w:val="en_US" w:bidi="en_US"/>
        </w:rPr>
        <w:t xml:space="preserve"> The Greek word that the BSB translates as </w:t>
      </w:r>
      <w:r>
        <w:rPr>
          <w:i/>
          <w:lang w:val="en_US" w:bidi="en_US"/>
        </w:rPr>
        <w:t>apostles</w:t>
      </w:r>
      <w:r>
        <w:rPr>
          <w:lang w:val="en_US" w:bidi="en_US"/>
        </w:rPr>
        <w:t xml:space="preserve"> occurred in 17:5. In this context it refers to the same people as the phrase “the Eleven” in 24:9b. Refer back to them in a natural way in your language.</w:t>
      </w:r>
    </w:p>
    <w:p>
      <w:pPr/>
      <w:r>
        <w:rPr>
          <w:lang w:val="en_US" w:bidi="en_US"/>
        </w:rPr>
      </w:r>
      <w:r>
        <w:rPr>
          <w:lang w:val="en_US" w:bidi="en_US"/>
        </w:rPr>
        <w:t xml:space="preserve">For more information and translation suggestions for the word </w:t>
      </w:r>
      <w:r>
        <w:rPr>
          <w:i/>
          <w:lang w:val="en_US" w:bidi="en_US"/>
        </w:rPr>
        <w:t>apostles</w:t>
      </w:r>
      <w:r>
        <w:rPr>
          <w:lang w:val="en_US" w:bidi="en_US"/>
        </w:rPr>
        <w:t>, see the note on 17:5.</w:t>
      </w:r>
    </w:p>
    <w:p>
      <w:pPr>
        <w:pStyle w:val="Heading6"/>
      </w:pPr>
      <w:r>
        <w:rPr>
          <w:b/>
          <w:lang w:val="en_US" w:bidi="en_US"/>
        </w:rPr>
        <w:t>General Comment on 24:9–10</w:t>
      </w:r>
    </w:p>
    <w:p>
      <w:pPr/>
      <w:r>
        <w:rPr>
          <w:lang w:val="en_US" w:bidi="en_US"/>
        </w:rPr>
      </w:r>
      <w:r>
        <w:rPr>
          <w:lang w:val="en_US" w:bidi="en_US"/>
        </w:rPr>
        <w:t>In some languages it may be natural to reorder these verses in order to put the names of the women earlier in the account. For example:</w:t>
      </w:r>
    </w:p>
    <w:p>
      <w:pPr/>
      <w:r>
        <w:rPr>
          <w:lang w:val="en_US" w:bidi="en_US"/>
        </w:rPr>
      </w:r>
      <w:r>
        <w:rPr>
          <w:vertAlign w:val="superscript"/>
          <w:lang w:val="en_US" w:bidi="en_US"/>
        </w:rPr>
        <w:t>10</w:t>
      </w:r>
      <w:r>
        <w:rPr>
          <w:lang w:val="en_US" w:bidi="en_US"/>
        </w:rPr>
        <w:t xml:space="preserve">When Mary Magdalene, Joanna, Mary the mother of James and the other women with them </w:t>
      </w:r>
      <w:r>
        <w:rPr>
          <w:vertAlign w:val="superscript"/>
          <w:lang w:val="en_US" w:bidi="en_US"/>
        </w:rPr>
        <w:t>9a</w:t>
      </w:r>
      <w:r>
        <w:rPr>
          <w:lang w:val="en_US" w:bidi="en_US"/>
        </w:rPr>
        <w:t xml:space="preserve">came back from the tomb, </w:t>
      </w:r>
      <w:r>
        <w:rPr>
          <w:vertAlign w:val="superscript"/>
          <w:lang w:val="en_US" w:bidi="en_US"/>
        </w:rPr>
        <w:t>9b</w:t>
      </w:r>
      <w:r>
        <w:rPr>
          <w:lang w:val="en_US" w:bidi="en_US"/>
        </w:rPr>
        <w:t>they told all these things to the eleven apostles and the others.</w:t>
      </w:r>
    </w:p>
    <w:p>
      <w:pPr/>
      <w:r>
        <w:rPr>
          <w:lang w:val="en_US" w:bidi="en_US"/>
        </w:rPr>
      </w:r>
      <w:r>
        <w:rPr>
          <w:lang w:val="en_US" w:bidi="en_US"/>
        </w:rPr>
        <w:t>If you reorder the verses like this, you may want to put both verse numbers at the beginning of the verses. For example:</w:t>
      </w:r>
    </w:p>
    <w:p>
      <w:pPr/>
      <w:r>
        <w:rPr>
          <w:lang w:val="en_US" w:bidi="en_US"/>
        </w:rPr>
      </w:r>
      <w:r>
        <w:rPr>
          <w:vertAlign w:val="superscript"/>
          <w:lang w:val="en_US" w:bidi="en_US"/>
        </w:rPr>
        <w:t>9–10</w:t>
      </w:r>
      <w:r>
        <w:rPr>
          <w:lang w:val="en_US" w:bidi="en_US"/>
        </w:rPr>
        <w:t>Mary Magdalene, Joanna, Mary the mother of James, and some other women were the ones who had gone to the tomb. When they returned, they told the eleven apostles and the others what had happened. (CEV)</w:t>
      </w:r>
      <w:r>
        <w:rPr>
          <w:lang w:val="en_US" w:bidi="en_US"/>
        </w:rPr>
      </w:r>
      <w:r>
        <w:rPr>
          <w:lang w:val="en_US" w:bidi="en_US"/>
        </w:rPr>
      </w:r>
    </w:p>
    <w:p>
      <w:pPr/>
      <w:r>
        <w:rPr>
          <w:lang w:val="en_US" w:bidi="en_US"/>
        </w:rPr>
      </w:r>
    </w:p>
    <w:p>
      <w:pPr>
        <w:pStyle w:val="Heading2"/>
      </w:pPr>
      <w:r>
        <w:rPr>
          <w:lang w:val="en_US" w:bidi="en_US"/>
        </w:rPr>
        <w:t>Luke 24:11</w:t>
      </w:r>
      <w:r>
        <w:rPr>
          <w:lang w:val="en_US" w:bidi="en_US"/>
        </w:rPr>
      </w:r>
    </w:p>
    <w:p>
      <w:pPr>
        <w:pStyle w:val="Heading4"/>
      </w:pPr>
      <w:r>
        <w:rPr>
          <w:lang w:val="en_US" w:bidi="en_US"/>
        </w:rPr>
        <w:t>Section 24:1–12: Jesus rose from the dead</w:t>
      </w:r>
    </w:p>
    <w:p>
      <w:pPr/>
      <w:r>
        <w:rPr>
          <w:lang w:val="en_US" w:bidi="en_US"/>
        </w:rPr>
      </w:r>
      <w:r>
        <w:rPr>
          <w:lang w:val="en_US" w:bidi="en_US"/>
        </w:rP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pPr/>
      <w:r>
        <w:rPr>
          <w:lang w:val="en_US" w:bidi="en_US"/>
        </w:rPr>
      </w:r>
      <w:r>
        <w:rPr>
          <w:lang w:val="en_US" w:bidi="en_US"/>
        </w:rP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pPr/>
      <w:r>
        <w:rPr>
          <w:lang w:val="en_US" w:bidi="en_US"/>
        </w:rPr>
      </w:r>
      <w:r>
        <w:rPr>
          <w:lang w:val="en_US" w:bidi="en_US"/>
        </w:rPr>
        <w:t>The first people who came to Jesus’ tomb were women, so they were the ones who heard the good news from the angels. When they went and told his followers, the followers did not believe the women.</w:t>
      </w:r>
    </w:p>
    <w:p>
      <w:pPr/>
      <w:r>
        <w:rPr>
          <w:lang w:val="en_US" w:bidi="en_US"/>
        </w:rPr>
      </w:r>
      <w:r>
        <w:rPr>
          <w:lang w:val="en_US" w:bidi="en_US"/>
        </w:rPr>
        <w:t>Some examples of other headings for this section are:</w:t>
      </w:r>
    </w:p>
    <w:p>
      <w:pPr/>
      <w:r>
        <w:rPr>
          <w:lang w:val="en_US" w:bidi="en_US"/>
        </w:rPr>
      </w:r>
      <w:r>
        <w:rPr>
          <w:lang w:val="en_US" w:bidi="en_US"/>
        </w:rPr>
        <w:t>Jesus Comes Back to Life (GW)</w:t>
      </w:r>
    </w:p>
    <w:p>
      <w:pPr/>
      <w:r>
        <w:rPr>
          <w:lang w:val="en_US" w:bidi="en_US"/>
        </w:rPr>
      </w:r>
      <w:r>
        <w:rPr>
          <w:lang w:val="en_US" w:bidi="en_US"/>
        </w:rPr>
        <w:t>The Resurrection of Jesus (NRSV)</w:t>
      </w:r>
    </w:p>
    <w:p>
      <w:pPr/>
      <w:r>
        <w:rPr>
          <w:lang w:val="en_US" w:bidi="en_US"/>
        </w:rPr>
      </w:r>
      <w:r>
        <w:rPr>
          <w:lang w:val="en_US" w:bidi="en_US"/>
        </w:rPr>
        <w:t>Jesus Is Alive (CEV)</w:t>
      </w:r>
    </w:p>
    <w:p>
      <w:pPr/>
      <w:r>
        <w:rPr>
          <w:lang w:val="en_US" w:bidi="en_US"/>
        </w:rPr>
      </w:r>
      <w:r>
        <w:rPr>
          <w:lang w:val="en_US" w:bidi="en_US"/>
        </w:rPr>
        <w:t>There are parallel passages for this section in Matthew 28:1–10, Mark 16:1–8, and John 20:1–10.</w:t>
      </w:r>
    </w:p>
    <w:p>
      <w:pPr>
        <w:pStyle w:val="Heading5"/>
      </w:pPr>
      <w:r>
        <w:rPr>
          <w:lang w:val="en_US" w:bidi="en_US"/>
        </w:rPr>
        <w:t>24:11a</w:t>
      </w:r>
    </w:p>
    <w:p>
      <w:pPr/>
      <w:r>
        <w:rPr>
          <w:lang w:val="en_US" w:bidi="en_US"/>
        </w:rPr>
      </w:r>
      <w:r>
        <w:rPr>
          <w:b/>
          <w:lang w:val="en_US" w:bidi="en_US"/>
        </w:rPr>
        <w:t>But their words seemed like nonsense to them,</w:t>
      </w:r>
    </w:p>
    <w:p>
      <w:pPr>
        <w:pStyle w:val="ListBullet"/>
        <w:spacing w:line="240" w:lineRule="auto"/>
        <w:ind w:left="720"/>
      </w:pPr>
      <w:r>
        <w:rPr>
          <w:lang w:val="en_US" w:bidi="en_US"/>
        </w:rPr>
      </w:r>
      <w:r>
        <w:rPr>
          <w:lang w:val="en_US" w:bidi="en_US"/>
        </w:rPr>
        <w:t xml:space="preserve">For what </w:t>
      </w:r>
      <w:r>
        <w:rPr>
          <w:lang w:val="en_US" w:bidi="en_US"/>
        </w:rPr>
        <w:t>the women</w:t>
      </w:r>
      <w:r>
        <w:rPr>
          <w:lang w:val="en_US" w:bidi="en_US"/>
        </w:rPr>
        <w:t xml:space="preserve"> said was/sounded like a silly story to them.</w:t>
      </w:r>
    </w:p>
    <w:p>
      <w:pPr>
        <w:pStyle w:val="ListBullet"/>
        <w:spacing w:line="240" w:lineRule="auto"/>
        <w:ind w:left="720"/>
      </w:pPr>
      <w:r>
        <w:rPr>
          <w:lang w:val="en_US" w:bidi="en_US"/>
        </w:rPr>
      </w:r>
      <w:r>
        <w:rPr>
          <w:lang w:val="en_US" w:bidi="en_US"/>
        </w:rPr>
        <w:t xml:space="preserve">What </w:t>
      </w:r>
      <w:r>
        <w:rPr>
          <w:lang w:val="en_US" w:bidi="en_US"/>
        </w:rPr>
        <w:t>the women</w:t>
      </w:r>
      <w:r>
        <w:rPr>
          <w:lang w:val="en_US" w:bidi="en_US"/>
        </w:rPr>
        <w:t xml:space="preserve"> said did not seem sensible at all to them.</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is more often translated as “and.” Here it introduces the apostles’ response to what the women said. In English it is natural to begin it with </w:t>
      </w:r>
      <w:r>
        <w:rPr>
          <w:i/>
          <w:lang w:val="en_US" w:bidi="en_US"/>
        </w:rPr>
        <w:t>But</w:t>
      </w:r>
      <w:r>
        <w:rPr>
          <w:lang w:val="en_US" w:bidi="en_US"/>
        </w:rPr>
        <w:t xml:space="preserve"> because the apostles did not believe them, as the women might have expected. In many languages there may be a more natural way to introduce the apostles’ response to what the women said. Introduce their response in a natural way in your language.</w:t>
      </w:r>
    </w:p>
    <w:p>
      <w:pPr/>
      <w:r>
        <w:rPr>
          <w:lang w:val="en_US" w:bidi="en_US"/>
        </w:rPr>
      </w:r>
      <w:r>
        <w:rPr>
          <w:b/>
          <w:lang w:val="en_US" w:bidi="en_US"/>
        </w:rPr>
        <w:t>their words seemed like nonsense to them:</w:t>
      </w:r>
      <w:r>
        <w:rPr>
          <w:lang w:val="en_US" w:bidi="en_US"/>
        </w:rPr>
        <w:t xml:space="preserve"> The clause </w:t>
      </w:r>
      <w:r>
        <w:rPr>
          <w:i/>
          <w:lang w:val="en_US" w:bidi="en_US"/>
        </w:rPr>
        <w:t>their words seemed like nonsense</w:t>
      </w:r>
      <w:r>
        <w:rPr>
          <w:lang w:val="en_US" w:bidi="en_US"/>
        </w:rPr>
        <w:t xml:space="preserve"> indicates that what the women said seemed too impossible to be true. The apostles thought that what they said was not sensible. It seemed like a foolish story. Some other ways to translate this clause are:</w:t>
      </w:r>
    </w:p>
    <w:p>
      <w:pPr/>
      <w:r>
        <w:rPr>
          <w:lang w:val="en_US" w:bidi="en_US"/>
        </w:rPr>
      </w:r>
      <w:r>
        <w:rPr>
          <w:lang w:val="en_US" w:bidi="en_US"/>
        </w:rPr>
        <w:t>The apostles thought that the women’s story didn’t make any sense (GW)</w:t>
      </w:r>
    </w:p>
    <w:p>
      <w:pPr/>
      <w:r>
        <w:rPr>
          <w:lang w:val="en_US" w:bidi="en_US"/>
        </w:rPr>
      </w:r>
      <w:r>
        <w:rPr>
          <w:lang w:val="en_US" w:bidi="en_US"/>
        </w:rPr>
        <w:t>their words seemed like a foolish story to them (TRT)</w:t>
      </w:r>
    </w:p>
    <w:p>
      <w:pPr/>
      <w:r>
        <w:rPr>
          <w:lang w:val="en_US" w:bidi="en_US"/>
        </w:rPr>
      </w:r>
      <w:r>
        <w:rPr>
          <w:b/>
          <w:lang w:val="en_US" w:bidi="en_US"/>
        </w:rPr>
        <w:t>nonsense:</w:t>
      </w:r>
      <w:r>
        <w:rPr>
          <w:lang w:val="en_US" w:bidi="en_US"/>
        </w:rPr>
        <w:t xml:space="preserve"> The Greek word that the BSB translates as </w:t>
      </w:r>
      <w:r>
        <w:rPr>
          <w:i/>
          <w:lang w:val="en_US" w:bidi="en_US"/>
        </w:rPr>
        <w:t>nonsense</w:t>
      </w:r>
      <w:r>
        <w:rPr>
          <w:lang w:val="en_US" w:bidi="en_US"/>
        </w:rPr>
        <w:t xml:space="preserve"> refers to words that are not true or sensible. It describes statements that are considered absurd, ridiculous, or unbelievable. In some languages there is an idiom that expresses this meaning. Consider how you describe such a report or story in your language. Here is another way to translate this:</w:t>
      </w:r>
    </w:p>
    <w:p>
      <w:pPr/>
      <w:r>
        <w:rPr>
          <w:lang w:val="en_US" w:bidi="en_US"/>
        </w:rPr>
      </w:r>
      <w:r>
        <w:rPr>
          <w:lang w:val="en_US" w:bidi="en_US"/>
        </w:rPr>
        <w:t>an idle tale (RSV)</w:t>
      </w:r>
    </w:p>
    <w:p>
      <w:pPr>
        <w:pStyle w:val="Heading5"/>
      </w:pPr>
      <w:r>
        <w:rPr>
          <w:lang w:val="en_US" w:bidi="en_US"/>
        </w:rPr>
        <w:t>24:11b</w:t>
      </w:r>
    </w:p>
    <w:p>
      <w:pPr/>
      <w:r>
        <w:rPr>
          <w:lang w:val="en_US" w:bidi="en_US"/>
        </w:rPr>
      </w:r>
      <w:r>
        <w:rPr>
          <w:b/>
          <w:lang w:val="en_US" w:bidi="en_US"/>
        </w:rPr>
        <w:t>and they did not believe the women.</w:t>
      </w:r>
    </w:p>
    <w:p>
      <w:pPr>
        <w:pStyle w:val="ListBullet"/>
        <w:spacing w:line="240" w:lineRule="auto"/>
        <w:ind w:left="720"/>
      </w:pPr>
      <w:r>
        <w:rPr>
          <w:lang w:val="en_US" w:bidi="en_US"/>
        </w:rPr>
      </w:r>
      <w:r>
        <w:rPr>
          <w:lang w:val="en_US" w:bidi="en_US"/>
        </w:rPr>
        <w:t xml:space="preserve">But the </w:t>
      </w:r>
      <w:r>
        <w:rPr>
          <w:lang w:val="en_US" w:bidi="en_US"/>
        </w:rPr>
        <w:t>apostles</w:t>
      </w:r>
      <w:r>
        <w:rPr>
          <w:lang w:val="en_US" w:bidi="en_US"/>
        </w:rPr>
        <w:t xml:space="preserve"> did not believe what the women told them.</w:t>
      </w:r>
    </w:p>
    <w:p>
      <w:pPr>
        <w:pStyle w:val="ListBullet"/>
        <w:spacing w:line="240" w:lineRule="auto"/>
        <w:ind w:left="720"/>
      </w:pPr>
      <w:r>
        <w:rPr>
          <w:lang w:val="en_US" w:bidi="en_US"/>
        </w:rPr>
      </w:r>
      <w:r>
        <w:rPr>
          <w:lang w:val="en_US" w:bidi="en_US"/>
        </w:rPr>
        <w:t>but they did not believe the women’s report/words.</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implies that 24:11b is the reason or result of the apostles’ impression of the women’s words. They did not believe the women’s report </w:t>
      </w:r>
      <w:r>
        <w:rPr>
          <w:u w:val="single"/>
          <w:lang w:val="en_US" w:bidi="en_US"/>
        </w:rPr>
        <w:t>because</w:t>
      </w:r>
      <w:r>
        <w:rPr>
          <w:lang w:val="en_US" w:bidi="en_US"/>
        </w:rPr>
        <w:t xml:space="preserve"> it did not seem sensible. (See the example below in the General Comment on 24:11a–b.)</w:t>
      </w:r>
    </w:p>
    <w:p>
      <w:pPr/>
      <w:r>
        <w:rPr>
          <w:lang w:val="en_US" w:bidi="en_US"/>
        </w:rPr>
      </w:r>
      <w:r>
        <w:rPr>
          <w:lang w:val="en_US" w:bidi="en_US"/>
        </w:rPr>
        <w:t>Connect the clauses in 24:11a–b in a natural way in your language.</w:t>
      </w:r>
    </w:p>
    <w:p>
      <w:pPr/>
      <w:r>
        <w:rPr>
          <w:lang w:val="en_US" w:bidi="en_US"/>
        </w:rPr>
      </w:r>
      <w:r>
        <w:rPr>
          <w:b/>
          <w:lang w:val="en_US" w:bidi="en_US"/>
        </w:rPr>
        <w:t>they did not believe the women:</w:t>
      </w:r>
      <w:r>
        <w:rPr>
          <w:lang w:val="en_US" w:bidi="en_US"/>
        </w:rPr>
        <w:t xml:space="preserve"> The clause </w:t>
      </w:r>
      <w:r>
        <w:rPr>
          <w:i/>
          <w:lang w:val="en_US" w:bidi="en_US"/>
        </w:rPr>
        <w:t>they did not believe the women</w:t>
      </w:r>
      <w:r>
        <w:rPr>
          <w:lang w:val="en_US" w:bidi="en_US"/>
        </w:rPr>
        <w:t xml:space="preserve"> indicates that the apostles did not believe what the women told them. They did not believe that men in shining clothes told them that Jesus was alive again. Some other ways to translate the clause are:</w:t>
      </w:r>
    </w:p>
    <w:p>
      <w:pPr/>
      <w:r>
        <w:rPr>
          <w:lang w:val="en_US" w:bidi="en_US"/>
        </w:rPr>
      </w:r>
      <w:r>
        <w:rPr>
          <w:lang w:val="en_US" w:bidi="en_US"/>
        </w:rPr>
        <w:t>the apostles did not believe what the women said</w:t>
      </w:r>
    </w:p>
    <w:p>
      <w:pPr/>
      <w:r>
        <w:rPr>
          <w:lang w:val="en_US" w:bidi="en_US"/>
        </w:rPr>
      </w:r>
      <w:r>
        <w:rPr>
          <w:lang w:val="en_US" w:bidi="en_US"/>
        </w:rPr>
        <w:t>they would not believe them (REB)</w:t>
      </w:r>
    </w:p>
    <w:p>
      <w:pPr/>
      <w:r>
        <w:rPr>
          <w:lang w:val="en_US" w:bidi="en_US"/>
        </w:rPr>
      </w:r>
      <w:r>
        <w:rPr>
          <w:lang w:val="en_US" w:bidi="en_US"/>
        </w:rPr>
        <w:t xml:space="preserve">For more information about using the word </w:t>
      </w:r>
      <w:r>
        <w:rPr>
          <w:i/>
          <w:lang w:val="en_US" w:bidi="en_US"/>
        </w:rPr>
        <w:t>believe</w:t>
      </w:r>
      <w:r>
        <w:rPr>
          <w:lang w:val="en_US" w:bidi="en_US"/>
        </w:rPr>
        <w:t xml:space="preserve"> in this sense, see believe, Meaning 1, in the Glossary.</w:t>
      </w:r>
    </w:p>
    <w:p>
      <w:pPr>
        <w:pStyle w:val="Heading6"/>
      </w:pPr>
      <w:r>
        <w:rPr>
          <w:b/>
          <w:lang w:val="en_US" w:bidi="en_US"/>
        </w:rPr>
        <w:t>General Comment on 24:11a–b</w:t>
      </w:r>
    </w:p>
    <w:p>
      <w:pPr/>
      <w:r>
        <w:rPr>
          <w:lang w:val="en_US" w:bidi="en_US"/>
        </w:rPr>
      </w:r>
      <w:r>
        <w:rPr>
          <w:lang w:val="en_US" w:bidi="en_US"/>
        </w:rPr>
        <w:t>Some English versions change the Greek order of clauses in 24:11a–b. Both 24:11a and 24:11b tell how the apostles responded to the women’s story. The apostles did not believe them (24:11a), and the women’s story seemed like nonsense (24:11b). Some English versions translate 24:11b as the reason that the apostles did not believe the women, and 24:11a as the result. Other versions translate the clauses as two different ways to express the same unbelief. Either translation is acceptable.</w:t>
      </w:r>
    </w:p>
    <w:p>
      <w:pPr/>
      <w:r>
        <w:rPr>
          <w:lang w:val="en_US" w:bidi="en_US"/>
        </w:rPr>
      </w:r>
      <w:r>
        <w:rPr>
          <w:lang w:val="en_US" w:bidi="en_US"/>
        </w:rPr>
        <w:t>In some languages it may be more natural to reverse the order of the Greek clauses. For example:</w:t>
      </w:r>
    </w:p>
    <w:p>
      <w:pPr/>
      <w:r>
        <w:rPr>
          <w:lang w:val="en_US" w:bidi="en_US"/>
        </w:rPr>
      </w:r>
      <w:r>
        <w:rPr>
          <w:vertAlign w:val="superscript"/>
          <w:lang w:val="en_US" w:bidi="en_US"/>
        </w:rPr>
        <w:t>24b</w:t>
      </w:r>
      <w:r>
        <w:rPr>
          <w:lang w:val="en_US" w:bidi="en_US"/>
        </w:rPr>
        <w:t xml:space="preserve">But they did not believe the women, </w:t>
      </w:r>
      <w:r>
        <w:rPr>
          <w:vertAlign w:val="superscript"/>
          <w:lang w:val="en_US" w:bidi="en_US"/>
        </w:rPr>
        <w:t>24a</w:t>
      </w:r>
      <w:r>
        <w:rPr>
          <w:lang w:val="en_US" w:bidi="en_US"/>
        </w:rPr>
        <w:t>because their words seems like nonsense (NIV)</w:t>
      </w:r>
      <w:r>
        <w:rPr>
          <w:lang w:val="en_US" w:bidi="en_US"/>
        </w:rPr>
      </w:r>
      <w:r>
        <w:rPr>
          <w:lang w:val="en_US" w:bidi="en_US"/>
        </w:rPr>
      </w:r>
    </w:p>
    <w:p>
      <w:pPr/>
      <w:r>
        <w:rPr>
          <w:lang w:val="en_US" w:bidi="en_US"/>
        </w:rPr>
      </w:r>
    </w:p>
    <w:p>
      <w:pPr>
        <w:pStyle w:val="Heading2"/>
      </w:pPr>
      <w:r>
        <w:rPr>
          <w:lang w:val="en_US" w:bidi="en_US"/>
        </w:rPr>
        <w:t>Luke 24:12</w:t>
      </w:r>
      <w:r>
        <w:rPr>
          <w:lang w:val="en_US" w:bidi="en_US"/>
        </w:rPr>
      </w:r>
    </w:p>
    <w:p>
      <w:pPr>
        <w:pStyle w:val="Heading4"/>
      </w:pPr>
      <w:r>
        <w:rPr>
          <w:lang w:val="en_US" w:bidi="en_US"/>
        </w:rPr>
        <w:t>Section 24:1–12: Jesus rose from the dead</w:t>
      </w:r>
    </w:p>
    <w:p>
      <w:pPr/>
      <w:r>
        <w:rPr>
          <w:lang w:val="en_US" w:bidi="en_US"/>
        </w:rPr>
      </w:r>
      <w:r>
        <w:rPr>
          <w:lang w:val="en_US" w:bidi="en_US"/>
        </w:rPr>
        <w:t>In this section, Luke wrote about what happened when Jesus rose from the dead. In 23:55 some women saw where his dead body was laid in the tomb. In 24:1 they returned to the tomb to rub Jesus’ body with ointments. When they came, two angels said to the women, “He has risen!”</w:t>
      </w:r>
    </w:p>
    <w:p>
      <w:pPr/>
      <w:r>
        <w:rPr>
          <w:lang w:val="en_US" w:bidi="en_US"/>
        </w:rPr>
      </w:r>
      <w:r>
        <w:rPr>
          <w:lang w:val="en_US" w:bidi="en_US"/>
        </w:rPr>
        <w:t>This section shows that Jesus’ body was alive again, as well as his spirit. The strips of cloth that the women used to wrap his body were lying by themselves in the tomb. Be sure to translate this section in a way that clearly shows that Jesus came alive again as a real human being.</w:t>
      </w:r>
    </w:p>
    <w:p>
      <w:pPr/>
      <w:r>
        <w:rPr>
          <w:lang w:val="en_US" w:bidi="en_US"/>
        </w:rPr>
      </w:r>
      <w:r>
        <w:rPr>
          <w:lang w:val="en_US" w:bidi="en_US"/>
        </w:rPr>
        <w:t>The first people who came to Jesus’ tomb were women, so they were the ones who heard the good news from the angels. When they went and told his followers, the followers did not believe the women.</w:t>
      </w:r>
    </w:p>
    <w:p>
      <w:pPr/>
      <w:r>
        <w:rPr>
          <w:lang w:val="en_US" w:bidi="en_US"/>
        </w:rPr>
      </w:r>
      <w:r>
        <w:rPr>
          <w:lang w:val="en_US" w:bidi="en_US"/>
        </w:rPr>
        <w:t>Some examples of other headings for this section are:</w:t>
      </w:r>
    </w:p>
    <w:p>
      <w:pPr/>
      <w:r>
        <w:rPr>
          <w:lang w:val="en_US" w:bidi="en_US"/>
        </w:rPr>
      </w:r>
      <w:r>
        <w:rPr>
          <w:lang w:val="en_US" w:bidi="en_US"/>
        </w:rPr>
        <w:t>Jesus Comes Back to Life (GW)</w:t>
      </w:r>
    </w:p>
    <w:p>
      <w:pPr/>
      <w:r>
        <w:rPr>
          <w:lang w:val="en_US" w:bidi="en_US"/>
        </w:rPr>
      </w:r>
      <w:r>
        <w:rPr>
          <w:lang w:val="en_US" w:bidi="en_US"/>
        </w:rPr>
        <w:t>The Resurrection of Jesus (NRSV)</w:t>
      </w:r>
    </w:p>
    <w:p>
      <w:pPr/>
      <w:r>
        <w:rPr>
          <w:lang w:val="en_US" w:bidi="en_US"/>
        </w:rPr>
      </w:r>
      <w:r>
        <w:rPr>
          <w:lang w:val="en_US" w:bidi="en_US"/>
        </w:rPr>
        <w:t>Jesus Is Alive (CEV)</w:t>
      </w:r>
    </w:p>
    <w:p>
      <w:pPr/>
      <w:r>
        <w:rPr>
          <w:lang w:val="en_US" w:bidi="en_US"/>
        </w:rPr>
      </w:r>
      <w:r>
        <w:rPr>
          <w:lang w:val="en_US" w:bidi="en_US"/>
        </w:rPr>
        <w:t>There are parallel passages for this section in Matthew 28:1–10, Mark 16:1–8, and John 20:1–10.</w:t>
      </w:r>
    </w:p>
    <w:p>
      <w:pPr>
        <w:pStyle w:val="Heading5"/>
      </w:pPr>
      <w:r>
        <w:rPr>
          <w:lang w:val="en_US" w:bidi="en_US"/>
        </w:rPr>
        <w:t>24:12</w:t>
      </w:r>
    </w:p>
    <w:p>
      <w:pPr/>
      <w:r>
        <w:rPr>
          <w:lang w:val="en_US" w:bidi="en_US"/>
        </w:rPr>
      </w:r>
      <w:r>
        <w:rPr>
          <w:lang w:val="en_US" w:bidi="en_US"/>
        </w:rPr>
        <w:t>There is a textual issue concerning this verse:</w:t>
      </w:r>
    </w:p>
    <w:p>
      <w:pPr>
        <w:pStyle w:val="ListNumber"/>
        <w:numPr>
          <w:ilvl w:val="0"/>
          <w:numId w:val="367"/>
        </w:numPr>
        <w:spacing w:line="240" w:lineRule="auto"/>
        <w:ind w:left="720"/>
      </w:pPr>
      <w:r>
        <w:rPr>
          <w:lang w:val="en_US" w:bidi="en_US"/>
        </w:rPr>
      </w:r>
      <w:r>
        <w:rPr>
          <w:lang w:val="en_US" w:bidi="en_US"/>
        </w:rPr>
        <w:t xml:space="preserve">Some Greek manuscripts include this verse. </w:t>
      </w:r>
      <w:r>
        <w:rPr>
          <w:i/>
          <w:lang w:val="en_US" w:bidi="en_US"/>
        </w:rPr>
        <w:t>(BSB, KJV, NASB, NRSV, NJB, NET, GW, NLT, GNT, CEV, NCV, ESV, NIV, JBP)</w:t>
      </w:r>
    </w:p>
    <w:p>
      <w:pPr>
        <w:pStyle w:val="ListNumber"/>
        <w:spacing w:line="240" w:lineRule="auto"/>
        <w:ind w:left="720"/>
      </w:pPr>
      <w:r>
        <w:rPr>
          <w:lang w:val="en_US" w:bidi="en_US"/>
        </w:rPr>
      </w:r>
      <w:r>
        <w:rPr>
          <w:lang w:val="en_US" w:bidi="en_US"/>
        </w:rPr>
        <w:t xml:space="preserve">Other Greek manuscripts do not include this verse. </w:t>
      </w:r>
      <w:r>
        <w:rPr>
          <w:i/>
          <w:lang w:val="en_US" w:bidi="en_US"/>
        </w:rPr>
        <w:t>(RSV, REB)</w:t>
      </w:r>
    </w:p>
    <w:p>
      <w:pPr/>
      <w:r>
        <w:rPr>
          <w:lang w:val="en_US" w:bidi="en_US"/>
        </w:rPr>
      </w:r>
      <w:r>
        <w:rPr>
          <w:lang w:val="en_US" w:bidi="en_US"/>
        </w:rPr>
        <w:t>It is strongly recommended that you follow option (1) and include this verse. It is present in the great majority of Greek manuscripts</w:t>
      </w:r>
      <w:r>
        <w:rPr>
          <w:lang w:val="en_US" w:bidi="en_US"/>
        </w:rPr>
        <w:t>The UBS 4</w:t>
      </w:r>
      <w:r>
        <w:rPr>
          <w:vertAlign w:val="superscript"/>
          <w:lang w:val="en_US" w:bidi="en_US"/>
        </w:rPr>
        <w:t>th</w:t>
      </w:r>
      <w:r>
        <w:rPr>
          <w:lang w:val="en_US" w:bidi="en_US"/>
        </w:rPr>
        <w:t xml:space="preserve"> Edition Greek NT includes these words with a B rating, indicating that the text is almost certain. (For information on this rating system, see p. 3 in the introduction.)</w:t>
      </w:r>
      <w:r>
        <w:rPr>
          <w:lang w:val="en_US" w:bidi="en_US"/>
        </w:rPr>
        <w:t xml:space="preserve"> and English versions.</w:t>
      </w:r>
    </w:p>
    <w:p>
      <w:pPr>
        <w:pStyle w:val="Heading5"/>
      </w:pPr>
      <w:r>
        <w:rPr>
          <w:lang w:val="en_US" w:bidi="en_US"/>
        </w:rPr>
        <w:t>24:12a</w:t>
      </w:r>
    </w:p>
    <w:p>
      <w:pPr/>
      <w:r>
        <w:rPr>
          <w:lang w:val="en_US" w:bidi="en_US"/>
        </w:rPr>
      </w:r>
      <w:r>
        <w:rPr>
          <w:b/>
          <w:lang w:val="en_US" w:bidi="en_US"/>
        </w:rPr>
        <w:t>Peter, however, got up and ran to the tomb.</w:t>
      </w:r>
    </w:p>
    <w:p>
      <w:pPr>
        <w:pStyle w:val="ListBullet"/>
        <w:spacing w:line="240" w:lineRule="auto"/>
        <w:ind w:left="720"/>
      </w:pPr>
      <w:r>
        <w:rPr>
          <w:lang w:val="en_US" w:bidi="en_US"/>
        </w:rPr>
      </w:r>
      <w:r>
        <w:rPr>
          <w:lang w:val="en_US" w:bidi="en_US"/>
        </w:rPr>
        <w:t>But Peter quickly rose/left and ran to the tomb.</w:t>
      </w:r>
    </w:p>
    <w:p>
      <w:pPr>
        <w:pStyle w:val="ListBullet"/>
        <w:spacing w:line="240" w:lineRule="auto"/>
        <w:ind w:left="720"/>
      </w:pPr>
      <w:r>
        <w:rPr>
          <w:lang w:val="en_US" w:bidi="en_US"/>
        </w:rPr>
      </w:r>
      <w:r>
        <w:rPr>
          <w:lang w:val="en_US" w:bidi="en_US"/>
        </w:rPr>
        <w:t xml:space="preserve">However, Peter immediately ran to the tomb </w:t>
      </w:r>
      <w:r>
        <w:rPr>
          <w:lang w:val="en_US" w:bidi="en_US"/>
        </w:rPr>
        <w:t>anyway</w:t>
      </w:r>
      <w:r>
        <w:rPr>
          <w:lang w:val="en_US" w:bidi="en_US"/>
        </w:rPr>
        <w:t>.</w:t>
      </w:r>
    </w:p>
    <w:p>
      <w:pPr/>
      <w:r>
        <w:rPr>
          <w:lang w:val="en_US" w:bidi="en_US"/>
        </w:rPr>
      </w:r>
      <w:r>
        <w:rPr>
          <w:b/>
          <w:lang w:val="en_US" w:bidi="en_US"/>
        </w:rPr>
        <w:t>Peter, however, got up and ran to the tomb:</w:t>
      </w:r>
      <w:r>
        <w:rPr>
          <w:lang w:val="en_US" w:bidi="en_US"/>
        </w:rPr>
        <w:t xml:space="preserve"> This clause tells what Peter did in contrast to the other apostles. Because of what the women said, Peter decided to go to the tomb himself. Translate the contrast in a natural way in your language.</w:t>
      </w:r>
    </w:p>
    <w:p>
      <w:pPr/>
      <w:r>
        <w:rPr>
          <w:lang w:val="en_US" w:bidi="en_US"/>
        </w:rPr>
      </w:r>
      <w:r>
        <w:rPr>
          <w:b/>
          <w:lang w:val="en_US" w:bidi="en_US"/>
        </w:rPr>
        <w:t>Peter…got up and ran to the tomb:</w:t>
      </w:r>
      <w:r>
        <w:rPr>
          <w:lang w:val="en_US" w:bidi="en_US"/>
        </w:rPr>
        <w:t xml:space="preserve"> This clause indicates that Peter was so eager to see what had happened that he ran to the tomb. The phrase </w:t>
      </w:r>
      <w:r>
        <w:rPr>
          <w:i/>
          <w:lang w:val="en_US" w:bidi="en_US"/>
        </w:rPr>
        <w:t>got up</w:t>
      </w:r>
      <w:r>
        <w:rPr>
          <w:lang w:val="en_US" w:bidi="en_US"/>
        </w:rPr>
        <w:t xml:space="preserve"> is implied in the action </w:t>
      </w:r>
      <w:r>
        <w:rPr>
          <w:i/>
          <w:lang w:val="en_US" w:bidi="en_US"/>
        </w:rPr>
        <w:t>ran</w:t>
      </w:r>
      <w:r>
        <w:rPr>
          <w:lang w:val="en_US" w:bidi="en_US"/>
        </w:rPr>
        <w:t>, and some English versions do not translate it. In Greek it adds emphasis to Peter’s eagerness. Express his eagerness in a natural way in your language.</w:t>
      </w:r>
    </w:p>
    <w:p>
      <w:pPr/>
      <w:r>
        <w:rPr>
          <w:lang w:val="en_US" w:bidi="en_US"/>
        </w:rPr>
      </w:r>
      <w:r>
        <w:rPr>
          <w:lang w:val="en_US" w:bidi="en_US"/>
        </w:rPr>
        <w:t>Some other ways to translate this clause are:</w:t>
      </w:r>
    </w:p>
    <w:p>
      <w:pPr/>
      <w:r>
        <w:rPr>
          <w:lang w:val="en_US" w:bidi="en_US"/>
        </w:rPr>
      </w:r>
      <w:r>
        <w:rPr>
          <w:lang w:val="en_US" w:bidi="en_US"/>
        </w:rPr>
        <w:t>However, Peter jumped up and ran to the tomb to look. (NLT)</w:t>
      </w:r>
    </w:p>
    <w:p>
      <w:pPr/>
      <w:r>
        <w:rPr>
          <w:lang w:val="en_US" w:bidi="en_US"/>
        </w:rPr>
      </w:r>
      <w:r>
        <w:rPr>
          <w:lang w:val="en_US" w:bidi="en_US"/>
        </w:rPr>
        <w:t>But Peter ran to the tomb. (CEV)</w:t>
      </w:r>
    </w:p>
    <w:p>
      <w:pPr/>
      <w:r>
        <w:rPr>
          <w:lang w:val="en_US" w:bidi="en_US"/>
        </w:rPr>
      </w:r>
      <w:r>
        <w:rPr>
          <w:lang w:val="en_US" w:bidi="en_US"/>
        </w:rPr>
        <w:t>But as for Peter, he left quickly and hurried to the tomb to look.</w:t>
      </w:r>
    </w:p>
    <w:p>
      <w:pPr>
        <w:pStyle w:val="Heading5"/>
      </w:pPr>
      <w:r>
        <w:rPr>
          <w:lang w:val="en_US" w:bidi="en_US"/>
        </w:rPr>
        <w:t>24:12b</w:t>
      </w:r>
    </w:p>
    <w:p>
      <w:pPr/>
      <w:r>
        <w:rPr>
          <w:lang w:val="en_US" w:bidi="en_US"/>
        </w:rPr>
      </w:r>
      <w:r>
        <w:rPr>
          <w:b/>
          <w:lang w:val="en_US" w:bidi="en_US"/>
        </w:rPr>
        <w:t>And after bending down and seeing</w:t>
      </w:r>
    </w:p>
    <w:p>
      <w:pPr>
        <w:pStyle w:val="ListBullet"/>
        <w:spacing w:line="240" w:lineRule="auto"/>
        <w:ind w:left="720"/>
      </w:pPr>
      <w:r>
        <w:rPr>
          <w:lang w:val="en_US" w:bidi="en_US"/>
        </w:rPr>
      </w:r>
      <w:r>
        <w:rPr>
          <w:lang w:val="en_US" w:bidi="en_US"/>
        </w:rPr>
        <w:t xml:space="preserve">When he stooped </w:t>
      </w:r>
      <w:r>
        <w:rPr>
          <w:lang w:val="en_US" w:bidi="en_US"/>
        </w:rPr>
        <w:t>and looked in</w:t>
      </w:r>
      <w:r>
        <w:rPr>
          <w:lang w:val="en_US" w:bidi="en_US"/>
        </w:rPr>
        <w:t>, he saw</w:t>
      </w:r>
    </w:p>
    <w:p>
      <w:pPr>
        <w:pStyle w:val="ListBullet"/>
        <w:spacing w:line="240" w:lineRule="auto"/>
        <w:ind w:left="720"/>
      </w:pPr>
      <w:r>
        <w:rPr>
          <w:lang w:val="en_US" w:bidi="en_US"/>
        </w:rPr>
      </w:r>
      <w:r>
        <w:rPr>
          <w:lang w:val="en_US" w:bidi="en_US"/>
        </w:rPr>
        <w:t>When he reached the entrance,</w:t>
      </w:r>
      <w:r>
        <w:rPr>
          <w:lang w:val="en_US" w:bidi="en_US"/>
        </w:rPr>
        <w:t xml:space="preserve"> he bent down and saw</w:t>
      </w:r>
    </w:p>
    <w:p>
      <w:pPr>
        <w:pStyle w:val="Heading5"/>
      </w:pPr>
      <w:r>
        <w:rPr>
          <w:lang w:val="en_US" w:bidi="en_US"/>
        </w:rPr>
        <w:t>24:12c</w:t>
      </w:r>
    </w:p>
    <w:p>
      <w:pPr/>
      <w:r>
        <w:rPr>
          <w:lang w:val="en_US" w:bidi="en_US"/>
        </w:rPr>
      </w:r>
      <w:r>
        <w:rPr>
          <w:b/>
          <w:lang w:val="en_US" w:bidi="en_US"/>
        </w:rPr>
        <w:t>only the linen cloths,</w:t>
      </w:r>
    </w:p>
    <w:p>
      <w:pPr>
        <w:pStyle w:val="ListBullet"/>
        <w:spacing w:line="240" w:lineRule="auto"/>
        <w:ind w:left="720"/>
      </w:pPr>
      <w:r>
        <w:rPr>
          <w:lang w:val="en_US" w:bidi="en_US"/>
        </w:rPr>
      </w:r>
      <w:r>
        <w:rPr>
          <w:lang w:val="en_US" w:bidi="en_US"/>
        </w:rPr>
        <w:t xml:space="preserve">the strips of linen </w:t>
      </w:r>
      <w:r>
        <w:rPr>
          <w:lang w:val="en_US" w:bidi="en_US"/>
        </w:rPr>
        <w:t>cloth</w:t>
      </w:r>
      <w:r>
        <w:rPr>
          <w:lang w:val="en_US" w:bidi="en_US"/>
        </w:rPr>
        <w:t xml:space="preserve"> </w:t>
      </w:r>
      <w:r>
        <w:rPr>
          <w:lang w:val="en_US" w:bidi="en_US"/>
        </w:rPr>
        <w:t>that had been around Jesus’ corpse</w:t>
      </w:r>
      <w:r>
        <w:rPr>
          <w:lang w:val="en_US" w:bidi="en_US"/>
        </w:rPr>
        <w:t>, but they were lying alone/empty.</w:t>
      </w:r>
    </w:p>
    <w:p>
      <w:pPr>
        <w:pStyle w:val="ListBullet"/>
        <w:spacing w:line="240" w:lineRule="auto"/>
        <w:ind w:left="720"/>
      </w:pPr>
      <w:r>
        <w:rPr>
          <w:lang w:val="en_US" w:bidi="en_US"/>
        </w:rPr>
      </w:r>
      <w:r>
        <w:rPr>
          <w:lang w:val="en_US" w:bidi="en_US"/>
        </w:rPr>
        <w:t xml:space="preserve">the pieces of fine/good cloth </w:t>
      </w:r>
      <w:r>
        <w:rPr>
          <w:lang w:val="en_US" w:bidi="en_US"/>
        </w:rPr>
        <w:t>that people had wrapped around Jesus’ body</w:t>
      </w:r>
      <w:r>
        <w:rPr>
          <w:lang w:val="en_US" w:bidi="en_US"/>
        </w:rPr>
        <w:t xml:space="preserve">. They were lying there by themselves </w:t>
      </w:r>
      <w:r>
        <w:rPr>
          <w:lang w:val="en_US" w:bidi="en_US"/>
        </w:rPr>
        <w:t>but his body was not there</w:t>
      </w:r>
      <w:r>
        <w:rPr>
          <w:lang w:val="en_US" w:bidi="en_US"/>
        </w:rPr>
        <w:t>!</w:t>
      </w:r>
    </w:p>
    <w:p>
      <w:pPr>
        <w:pStyle w:val="Heading5"/>
      </w:pPr>
      <w:r>
        <w:rPr>
          <w:lang w:val="en_US" w:bidi="en_US"/>
        </w:rPr>
        <w:t>24:12b–c</w:t>
      </w:r>
    </w:p>
    <w:p>
      <w:pPr/>
      <w:r>
        <w:rPr>
          <w:lang w:val="en_US" w:bidi="en_US"/>
        </w:rPr>
      </w:r>
      <w:r>
        <w:rPr>
          <w:lang w:val="en_US" w:bidi="en_US"/>
        </w:rPr>
        <w:t>This part of the verse tells what Peter did when he arrived at the tomb. In some languages it may be necessary to say that he arrived there. For example:</w:t>
      </w:r>
    </w:p>
    <w:p>
      <w:pPr/>
      <w:r>
        <w:rPr>
          <w:lang w:val="en_US" w:bidi="en_US"/>
        </w:rPr>
      </w:r>
      <w:r>
        <w:rPr>
          <w:lang w:val="en_US" w:bidi="en_US"/>
        </w:rPr>
        <w:t>When he arrived</w:t>
      </w:r>
    </w:p>
    <w:p>
      <w:pPr/>
      <w:r>
        <w:rPr>
          <w:lang w:val="en_US" w:bidi="en_US"/>
        </w:rPr>
      </w:r>
      <w:r>
        <w:rPr>
          <w:lang w:val="en_US" w:bidi="en_US"/>
        </w:rPr>
        <w:t>There</w:t>
      </w:r>
    </w:p>
    <w:p>
      <w:pPr/>
      <w:r>
        <w:rPr>
          <w:lang w:val="en_US" w:bidi="en_US"/>
        </w:rPr>
      </w:r>
      <w:r>
        <w:rPr>
          <w:b/>
          <w:lang w:val="en_US" w:bidi="en_US"/>
        </w:rPr>
        <w:t>after bending down:</w:t>
      </w:r>
      <w:r>
        <w:rPr>
          <w:lang w:val="en_US" w:bidi="en_US"/>
        </w:rPr>
        <w:t xml:space="preserve"> The phrase </w:t>
      </w:r>
      <w:r>
        <w:rPr>
          <w:i/>
          <w:lang w:val="en_US" w:bidi="en_US"/>
        </w:rPr>
        <w:t>bending down</w:t>
      </w:r>
      <w:r>
        <w:rPr>
          <w:lang w:val="en_US" w:bidi="en_US"/>
        </w:rPr>
        <w:t xml:space="preserve"> implies that Peter bent or stooped down in order to see into the tomb. The opening was probably not as tall as an ordinary door. In some languages it may be necessary to make the purpose for bending explicit. For example:</w:t>
      </w:r>
    </w:p>
    <w:p>
      <w:pPr/>
      <w:r>
        <w:rPr>
          <w:lang w:val="en_US" w:bidi="en_US"/>
        </w:rPr>
      </w:r>
      <w:r>
        <w:rPr>
          <w:lang w:val="en_US" w:bidi="en_US"/>
        </w:rPr>
        <w:t xml:space="preserve">Peter bent down </w:t>
      </w:r>
      <w:r>
        <w:rPr>
          <w:lang w:val="en_US" w:bidi="en_US"/>
        </w:rPr>
        <w:t>to look inside the tomb</w:t>
      </w:r>
      <w:r>
        <w:rPr>
          <w:lang w:val="en_US" w:bidi="en_US"/>
        </w:rPr>
        <w:t>.</w:t>
      </w:r>
    </w:p>
    <w:p>
      <w:pPr/>
      <w:r>
        <w:rPr>
          <w:lang w:val="en_US" w:bidi="en_US"/>
        </w:rPr>
      </w:r>
      <w:r>
        <w:rPr>
          <w:lang w:val="en_US" w:bidi="en_US"/>
        </w:rPr>
        <w:t xml:space="preserve">Stooping </w:t>
      </w:r>
      <w:r>
        <w:rPr>
          <w:lang w:val="en_US" w:bidi="en_US"/>
        </w:rPr>
        <w:t>to look into the tomb</w:t>
      </w:r>
    </w:p>
    <w:p>
      <w:pPr/>
      <w:r>
        <w:rPr>
          <w:lang w:val="en_US" w:bidi="en_US"/>
        </w:rPr>
      </w:r>
      <w:r>
        <w:rPr>
          <w:b/>
          <w:lang w:val="en_US" w:bidi="en_US"/>
        </w:rPr>
        <w:t>and seeing only the linen cloths:</w:t>
      </w:r>
      <w:r>
        <w:rPr>
          <w:lang w:val="en_US" w:bidi="en_US"/>
        </w:rPr>
        <w:t xml:space="preserve"> The phrase </w:t>
      </w:r>
      <w:r>
        <w:rPr>
          <w:i/>
          <w:lang w:val="en_US" w:bidi="en_US"/>
        </w:rPr>
        <w:t>the linen cloths</w:t>
      </w:r>
      <w:r>
        <w:rPr>
          <w:lang w:val="en_US" w:bidi="en_US"/>
        </w:rPr>
        <w:t xml:space="preserve"> refers to the linen cloths that people had wrapped around Jesus’ body. These cloths were still there in the tomb, but they were alone. Jesus’ body was not there.</w:t>
      </w:r>
    </w:p>
    <w:p>
      <w:pPr/>
      <w:r>
        <w:rPr>
          <w:lang w:val="en_US" w:bidi="en_US"/>
        </w:rPr>
      </w:r>
      <w:r>
        <w:rPr>
          <w:lang w:val="en_US" w:bidi="en_US"/>
        </w:rPr>
        <w:t>These cloths were mentioned in 23:53b. In that verse a different, singular word is used, but it refers to the same linen cloth. Refer to the cloths here in a way that indicates that they were mentioned earlier. For example:</w:t>
      </w:r>
    </w:p>
    <w:p>
      <w:pPr/>
      <w:r>
        <w:rPr>
          <w:lang w:val="en_US" w:bidi="en_US"/>
        </w:rPr>
      </w:r>
      <w:r>
        <w:rPr>
          <w:lang w:val="en_US" w:bidi="en_US"/>
        </w:rPr>
        <w:t>he saw only the cloth that Jesus’ body had been wrapped in (NCV)</w:t>
      </w:r>
    </w:p>
    <w:p>
      <w:pPr/>
      <w:r>
        <w:rPr>
          <w:lang w:val="en_US" w:bidi="en_US"/>
        </w:rPr>
      </w:r>
      <w:r>
        <w:rPr>
          <w:lang w:val="en_US" w:bidi="en_US"/>
        </w:rPr>
        <w:t>saw only the strips of linen (GW)</w:t>
      </w:r>
    </w:p>
    <w:p>
      <w:pPr/>
      <w:r>
        <w:rPr>
          <w:lang w:val="en_US" w:bidi="en_US"/>
        </w:rPr>
      </w:r>
      <w:r>
        <w:rPr>
          <w:lang w:val="en_US" w:bidi="en_US"/>
        </w:rPr>
        <w:t>saw the empty linen wrappings (NLT)</w:t>
      </w:r>
    </w:p>
    <w:p>
      <w:pPr>
        <w:pStyle w:val="Heading5"/>
      </w:pPr>
      <w:r>
        <w:rPr>
          <w:lang w:val="en_US" w:bidi="en_US"/>
        </w:rPr>
        <w:t>24:12d</w:t>
      </w:r>
    </w:p>
    <w:p>
      <w:pPr/>
      <w:r>
        <w:rPr>
          <w:lang w:val="en_US" w:bidi="en_US"/>
        </w:rPr>
      </w:r>
      <w:r>
        <w:rPr>
          <w:b/>
          <w:lang w:val="en_US" w:bidi="en_US"/>
        </w:rPr>
        <w:t>he went away, wondering to himself what had happened.</w:t>
      </w:r>
    </w:p>
    <w:p>
      <w:pPr>
        <w:pStyle w:val="ListBullet"/>
        <w:spacing w:line="240" w:lineRule="auto"/>
        <w:ind w:left="720"/>
      </w:pPr>
      <w:r>
        <w:rPr>
          <w:lang w:val="en_US" w:bidi="en_US"/>
        </w:rPr>
      </w:r>
      <w:r>
        <w:rPr>
          <w:lang w:val="en_US" w:bidi="en_US"/>
        </w:rPr>
        <w:t>Then Peter went home, wondering what had actually happened.</w:t>
      </w:r>
    </w:p>
    <w:p>
      <w:pPr>
        <w:pStyle w:val="ListBullet"/>
        <w:spacing w:line="240" w:lineRule="auto"/>
        <w:ind w:left="720"/>
      </w:pPr>
      <w:r>
        <w:rPr>
          <w:lang w:val="en_US" w:bidi="en_US"/>
        </w:rPr>
      </w:r>
      <w:r>
        <w:rPr>
          <w:lang w:val="en_US" w:bidi="en_US"/>
        </w:rPr>
        <w:t xml:space="preserve">Then Peter returned to his lodging place. He </w:t>
      </w:r>
      <w:r>
        <w:rPr>
          <w:lang w:val="en_US" w:bidi="en_US"/>
        </w:rPr>
        <w:t>was amazed and</w:t>
      </w:r>
      <w:r>
        <w:rPr>
          <w:lang w:val="en_US" w:bidi="en_US"/>
        </w:rPr>
        <w:t xml:space="preserve"> kept thinking/speculating about what had happened.</w:t>
      </w:r>
    </w:p>
    <w:p>
      <w:pPr/>
      <w:r>
        <w:rPr>
          <w:lang w:val="en_US" w:bidi="en_US"/>
        </w:rPr>
      </w:r>
      <w:r>
        <w:rPr>
          <w:b/>
          <w:lang w:val="en_US" w:bidi="en_US"/>
        </w:rPr>
        <w:t>he went away, wondering to himself what had happened:</w:t>
      </w:r>
      <w:r>
        <w:rPr>
          <w:lang w:val="en_US" w:bidi="en_US"/>
        </w:rPr>
        <w:t xml:space="preserve"> There are two ways to interpret the Greek phrase that the BSB translates as </w:t>
      </w:r>
      <w:r>
        <w:rPr>
          <w:i/>
          <w:lang w:val="en_US" w:bidi="en_US"/>
        </w:rPr>
        <w:t>to himself</w:t>
      </w:r>
      <w:r>
        <w:rPr>
          <w:lang w:val="en_US" w:bidi="en_US"/>
        </w:rPr>
        <w:t xml:space="preserve"> in this context:</w:t>
      </w:r>
    </w:p>
    <w:p>
      <w:pPr>
        <w:pStyle w:val="ListNumber"/>
        <w:numPr>
          <w:ilvl w:val="0"/>
          <w:numId w:val="368"/>
        </w:numPr>
        <w:spacing w:line="240" w:lineRule="auto"/>
        <w:ind w:left="720"/>
      </w:pPr>
      <w:r>
        <w:rPr>
          <w:lang w:val="en_US" w:bidi="en_US"/>
        </w:rPr>
      </w:r>
      <w:r>
        <w:rPr>
          <w:lang w:val="en_US" w:bidi="en_US"/>
        </w:rPr>
        <w:t xml:space="preserve">It goes with the verb </w:t>
      </w:r>
      <w:r>
        <w:rPr>
          <w:i/>
          <w:lang w:val="en_US" w:bidi="en_US"/>
        </w:rPr>
        <w:t>went away</w:t>
      </w:r>
      <w:r>
        <w:rPr>
          <w:lang w:val="en_US" w:bidi="en_US"/>
        </w:rPr>
        <w:t xml:space="preserve"> and implies that he went home (or to where he was staying in Jerusalem). For example:</w:t>
      </w:r>
      <w:r>
        <w:rPr>
          <w:lang w:val="en_US" w:bidi="en_US"/>
        </w:rPr>
        <w:t xml:space="preserve">Then he went back home amazed at what had happened. (GNT) </w:t>
      </w:r>
      <w:r>
        <w:rPr>
          <w:i/>
          <w:lang w:val="en_US" w:bidi="en_US"/>
        </w:rPr>
        <w:t>(GNT, NRSV, NET, NASB, ESV, JBP, NCV, NLT, NJB)</w:t>
      </w:r>
    </w:p>
    <w:p>
      <w:pPr>
        <w:pStyle w:val="ListNumber"/>
        <w:spacing w:line="240" w:lineRule="auto"/>
        <w:ind w:left="720"/>
      </w:pPr>
      <w:r>
        <w:rPr>
          <w:lang w:val="en_US" w:bidi="en_US"/>
        </w:rPr>
      </w:r>
      <w:r>
        <w:rPr>
          <w:lang w:val="en_US" w:bidi="en_US"/>
        </w:rPr>
        <w:t xml:space="preserve">It goes with the word </w:t>
      </w:r>
      <w:r>
        <w:rPr>
          <w:i/>
          <w:lang w:val="en_US" w:bidi="en_US"/>
        </w:rPr>
        <w:t>wondering</w:t>
      </w:r>
      <w:r>
        <w:rPr>
          <w:lang w:val="en_US" w:bidi="en_US"/>
        </w:rPr>
        <w:t xml:space="preserve"> and is redundant. It may emphasize his amazement. For example:</w:t>
      </w:r>
      <w:r>
        <w:rPr>
          <w:lang w:val="en_US" w:bidi="en_US"/>
        </w:rPr>
        <w:t xml:space="preserve">and he went away, wondering to himself what had happened (NIV) </w:t>
      </w:r>
      <w:r>
        <w:rPr>
          <w:i/>
          <w:lang w:val="en_US" w:bidi="en_US"/>
        </w:rPr>
        <w:t>(BSB, NIV, KJV, possibly CEV and GW, which do not translate the phrase)</w:t>
      </w:r>
    </w:p>
    <w:p>
      <w:pPr/>
      <w:r>
        <w:rPr>
          <w:lang w:val="en_US" w:bidi="en_US"/>
        </w:rPr>
      </w:r>
      <w:r>
        <w:rPr>
          <w:lang w:val="en_US" w:bidi="en_US"/>
        </w:rPr>
        <w:t>It is recommended that you follow interpretation (1), along with most English versions. This interpretation also fits with the parallel verse in John 20:10, which says that the Peter (and John) went back home.</w:t>
      </w:r>
    </w:p>
    <w:p>
      <w:pPr/>
      <w:r>
        <w:rPr>
          <w:lang w:val="en_US" w:bidi="en_US"/>
        </w:rPr>
      </w:r>
      <w:r>
        <w:rPr>
          <w:b/>
          <w:lang w:val="en_US" w:bidi="en_US"/>
        </w:rPr>
        <w:t>wondering…what had happened:</w:t>
      </w:r>
      <w:r>
        <w:rPr>
          <w:lang w:val="en_US" w:bidi="en_US"/>
        </w:rPr>
        <w:t xml:space="preserve"> The phrase </w:t>
      </w:r>
      <w:r>
        <w:rPr>
          <w:i/>
          <w:lang w:val="en_US" w:bidi="en_US"/>
        </w:rPr>
        <w:t>wondering…what had happened</w:t>
      </w:r>
      <w:r>
        <w:rPr>
          <w:lang w:val="en_US" w:bidi="en_US"/>
        </w:rPr>
        <w:t xml:space="preserve"> indicates that Peter was amazed that the tomb was empty. He was also amazed that the linen cloths that wrapped Jesus’ body were lying empty. He did not know what had happened to cause that. This seems to imply that Peter did not yet believe that Jesus was alive again. The phrase probably implies that Peter kept thinking about what could have happened. Some ways to translate the phrase are:</w:t>
      </w:r>
    </w:p>
    <w:p>
      <w:pPr/>
      <w:r>
        <w:rPr>
          <w:lang w:val="en_US" w:bidi="en_US"/>
        </w:rPr>
      </w:r>
      <w:r>
        <w:rPr>
          <w:lang w:val="en_US" w:bidi="en_US"/>
        </w:rPr>
        <w:t>amazed at what had happened (GNT)</w:t>
      </w:r>
    </w:p>
    <w:p>
      <w:pPr/>
      <w:r>
        <w:rPr>
          <w:lang w:val="en_US" w:bidi="en_US"/>
        </w:rPr>
      </w:r>
      <w:r>
        <w:rPr>
          <w:lang w:val="en_US" w:bidi="en_US"/>
        </w:rPr>
        <w:t>he really wondered about the happenings</w:t>
      </w:r>
      <w:r>
        <w:rPr>
          <w:lang w:val="en_US" w:bidi="en_US"/>
        </w:rPr>
        <w:t>Yakan back translation on TW.</w:t>
      </w:r>
    </w:p>
    <w:p>
      <w:pPr/>
      <w:r>
        <w:rPr>
          <w:lang w:val="en_US" w:bidi="en_US"/>
        </w:rPr>
      </w:r>
      <w:r>
        <w:rPr>
          <w:lang w:val="en_US" w:bidi="en_US"/>
        </w:rPr>
        <w:t xml:space="preserve">In some languages there may be an idiom to describe this type of </w:t>
      </w:r>
      <w:r>
        <w:rPr>
          <w:i/>
          <w:lang w:val="en_US" w:bidi="en_US"/>
        </w:rPr>
        <w:t>wondering</w:t>
      </w:r>
      <w:r>
        <w:rPr>
          <w:lang w:val="en_US" w:bidi="en_US"/>
        </w:rPr>
        <w:t>. For example:</w:t>
      </w:r>
    </w:p>
    <w:p>
      <w:pPr/>
      <w:r>
        <w:rPr>
          <w:lang w:val="en_US" w:bidi="en_US"/>
        </w:rPr>
      </w:r>
      <w:r>
        <w:rPr>
          <w:lang w:val="en_US" w:bidi="en_US"/>
        </w:rPr>
        <w:t>searching and searching in his mind as to what had happened</w:t>
      </w:r>
      <w:r>
        <w:rPr>
          <w:lang w:val="en_US" w:bidi="en_US"/>
        </w:rPr>
        <w:t>Kankanaey back translation on TW.</w:t>
      </w:r>
    </w:p>
    <w:p>
      <w:pPr/>
      <w:r>
        <w:rPr>
          <w:lang w:val="en_US" w:bidi="en_US"/>
        </w:rPr>
      </w:r>
      <w:r>
        <w:rPr>
          <w:lang w:val="en_US" w:bidi="en_US"/>
        </w:rPr>
        <w:t>In some languages it may be necessary to make explicit what Peter was wondering about. For example:</w:t>
      </w:r>
    </w:p>
    <w:p>
      <w:pPr/>
      <w:r>
        <w:rPr>
          <w:lang w:val="en_US" w:bidi="en_US"/>
        </w:rPr>
      </w:r>
      <w:r>
        <w:rPr>
          <w:lang w:val="en_US" w:bidi="en_US"/>
        </w:rPr>
        <w:t>very surprised, wondering why the body of Jesus was not there</w:t>
      </w:r>
      <w:r>
        <w:rPr>
          <w:lang w:val="en_US" w:bidi="en_US"/>
        </w:rPr>
      </w:r>
      <w:r>
        <w:rPr>
          <w:lang w:val="en_US" w:bidi="en_US"/>
        </w:rPr>
      </w:r>
    </w:p>
    <w:p>
      <w:pPr/>
      <w:r>
        <w:rPr>
          <w:lang w:val="en_US" w:bidi="en_US"/>
        </w:rPr>
      </w:r>
    </w:p>
    <w:p>
      <w:pPr>
        <w:pStyle w:val="Heading2"/>
      </w:pPr>
      <w:r>
        <w:rPr>
          <w:lang w:val="en_US" w:bidi="en_US"/>
        </w:rPr>
        <w:t>Luke 24:13</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24:13a</w:t>
      </w:r>
    </w:p>
    <w:p>
      <w:pPr/>
      <w:r>
        <w:rPr>
          <w:lang w:val="en_US" w:bidi="en_US"/>
        </w:rPr>
      </w:r>
      <w:r>
        <w:rPr>
          <w:b/>
          <w:lang w:val="en_US" w:bidi="en_US"/>
        </w:rPr>
        <w:t>That same day two of them</w:t>
      </w:r>
    </w:p>
    <w:p>
      <w:pPr>
        <w:pStyle w:val="ListBullet"/>
        <w:spacing w:line="240" w:lineRule="auto"/>
        <w:ind w:left="720"/>
      </w:pPr>
      <w:r>
        <w:rPr>
          <w:lang w:val="en_US" w:bidi="en_US"/>
        </w:rPr>
      </w:r>
      <w:r>
        <w:rPr>
          <w:lang w:val="en_US" w:bidi="en_US"/>
        </w:rPr>
        <w:t>¶ Then later that same day two of the others</w:t>
      </w:r>
    </w:p>
    <w:p>
      <w:pPr>
        <w:pStyle w:val="ListBullet"/>
        <w:spacing w:line="240" w:lineRule="auto"/>
        <w:ind w:left="720"/>
      </w:pPr>
      <w:r>
        <w:rPr>
          <w:lang w:val="en_US" w:bidi="en_US"/>
        </w:rPr>
      </w:r>
      <w:r>
        <w:rPr>
          <w:lang w:val="en_US" w:bidi="en_US"/>
        </w:rPr>
        <w:t xml:space="preserve">¶ And on that same </w:t>
      </w:r>
      <w:r>
        <w:rPr>
          <w:lang w:val="en_US" w:bidi="en_US"/>
        </w:rPr>
        <w:t>Sunday</w:t>
      </w:r>
      <w:r>
        <w:rPr>
          <w:lang w:val="en_US" w:bidi="en_US"/>
        </w:rPr>
        <w:t xml:space="preserve">, two of </w:t>
      </w:r>
      <w:r>
        <w:rPr>
          <w:lang w:val="en_US" w:bidi="en_US"/>
        </w:rPr>
        <w:t>Jesus’</w:t>
      </w:r>
      <w:r>
        <w:rPr>
          <w:lang w:val="en_US" w:bidi="en_US"/>
        </w:rPr>
        <w:t xml:space="preserve"> other </w:t>
      </w:r>
      <w:r>
        <w:rPr>
          <w:lang w:val="en_US" w:bidi="en_US"/>
        </w:rPr>
        <w:t>followers</w:t>
      </w:r>
    </w:p>
    <w:p>
      <w:pPr/>
      <w:r>
        <w:rPr>
          <w:lang w:val="en_US" w:bidi="en_US"/>
        </w:rPr>
      </w:r>
      <w:r>
        <w:rPr>
          <w:lang w:val="en_US" w:bidi="en_US"/>
        </w:rPr>
        <w:t>The Greek text of 24:13a begins with a common conjunction and that is often translated as “and.” Versions such as the CSB, NET, and NIV translate this word as “Now.” It introduces a new event and two people in the event. These people are two of the “others” (24:9) who heard the women tell about seeing angels at Jesus’ tomb.</w:t>
      </w:r>
    </w:p>
    <w:p>
      <w:pPr/>
      <w:r>
        <w:rPr>
          <w:lang w:val="en_US" w:bidi="en_US"/>
        </w:rPr>
      </w:r>
      <w:r>
        <w:rPr>
          <w:lang w:val="en_US" w:bidi="en_US"/>
        </w:rPr>
        <w:t>This conjunction is followed by a Greek word that means “look!” or “behold!” Versions such as the NASB translate these two Greek words as “And behold.” This way of introducing the event probably indicates that it is important in the longer story of Jesus’ resurrection.</w:t>
      </w:r>
    </w:p>
    <w:p>
      <w:pPr/>
      <w:r>
        <w:rPr>
          <w:lang w:val="en_US" w:bidi="en_US"/>
        </w:rPr>
      </w:r>
      <w:r>
        <w:rPr>
          <w:lang w:val="en_US" w:bidi="en_US"/>
        </w:rPr>
        <w:t>The BSB and some other English versions do not translate this introductory phrase explicitly. You should introduce the new event/story and the disciples in a way that is natural in your language. Some other ways to do this are:</w:t>
      </w:r>
    </w:p>
    <w:p>
      <w:pPr/>
      <w:r>
        <w:rPr>
          <w:lang w:val="en_US" w:bidi="en_US"/>
        </w:rPr>
      </w:r>
      <w:r>
        <w:rPr>
          <w:lang w:val="en_US" w:bidi="en_US"/>
        </w:rPr>
        <w:t>And it happened</w:t>
      </w:r>
    </w:p>
    <w:p>
      <w:pPr/>
      <w:r>
        <w:rPr>
          <w:lang w:val="en_US" w:bidi="en_US"/>
        </w:rPr>
      </w:r>
      <w:r>
        <w:rPr>
          <w:lang w:val="en_US" w:bidi="en_US"/>
        </w:rPr>
        <w:t>And then</w:t>
      </w:r>
    </w:p>
    <w:p>
      <w:pPr/>
      <w:r>
        <w:rPr>
          <w:lang w:val="en_US" w:bidi="en_US"/>
        </w:rPr>
      </w:r>
      <w:r>
        <w:rPr>
          <w:lang w:val="en_US" w:bidi="en_US"/>
        </w:rPr>
        <w:t>After that, listen!</w:t>
      </w:r>
    </w:p>
    <w:p>
      <w:pPr/>
      <w:r>
        <w:rPr>
          <w:lang w:val="en_US" w:bidi="en_US"/>
        </w:rPr>
      </w:r>
      <w:r>
        <w:rPr>
          <w:b/>
          <w:lang w:val="en_US" w:bidi="en_US"/>
        </w:rPr>
        <w:t>That same day:</w:t>
      </w:r>
      <w:r>
        <w:rPr>
          <w:lang w:val="en_US" w:bidi="en_US"/>
        </w:rPr>
        <w:t xml:space="preserve"> The phrase </w:t>
      </w:r>
      <w:r>
        <w:rPr>
          <w:i/>
          <w:lang w:val="en_US" w:bidi="en_US"/>
        </w:rPr>
        <w:t>That same day</w:t>
      </w:r>
      <w:r>
        <w:rPr>
          <w:lang w:val="en_US" w:bidi="en_US"/>
        </w:rPr>
        <w:t xml:space="preserve"> refers to the same day that the women told the disciples what they saw and heard at Jesus’ tomb. That day was Sunday, the same day that Jesus became alive again. Refer to it here in a clear way in your language.</w:t>
      </w:r>
    </w:p>
    <w:p>
      <w:pPr/>
      <w:r>
        <w:rPr>
          <w:lang w:val="en_US" w:bidi="en_US"/>
        </w:rPr>
      </w:r>
      <w:r>
        <w:rPr>
          <w:b/>
          <w:lang w:val="en_US" w:bidi="en_US"/>
        </w:rPr>
        <w:t>two of them:</w:t>
      </w:r>
      <w:r>
        <w:rPr>
          <w:lang w:val="en_US" w:bidi="en_US"/>
        </w:rPr>
        <w:t xml:space="preserve"> The phrase </w:t>
      </w:r>
      <w:r>
        <w:rPr>
          <w:i/>
          <w:lang w:val="en_US" w:bidi="en_US"/>
        </w:rPr>
        <w:t>two of them</w:t>
      </w:r>
      <w:r>
        <w:rPr>
          <w:lang w:val="en_US" w:bidi="en_US"/>
        </w:rPr>
        <w:t xml:space="preserve"> refers to two of Jesus’ followers. These were two of the “others” who were mentioned in 24:9. They were not among the eleven apostles. The name of one of them was Cleopas (24:18), who was a man. The second disciple could have been either another man or Cleopas’ wife. Some other ways to translate the phrase </w:t>
      </w:r>
      <w:r>
        <w:rPr>
          <w:i/>
          <w:lang w:val="en_US" w:bidi="en_US"/>
        </w:rPr>
        <w:t>two of them</w:t>
      </w:r>
      <w:r>
        <w:rPr>
          <w:lang w:val="en_US" w:bidi="en_US"/>
        </w:rPr>
        <w:t xml:space="preserve"> are:</w:t>
      </w:r>
    </w:p>
    <w:p>
      <w:pPr/>
      <w:r>
        <w:rPr>
          <w:lang w:val="en_US" w:bidi="en_US"/>
        </w:rPr>
      </w:r>
      <w:r>
        <w:rPr>
          <w:lang w:val="en_US" w:bidi="en_US"/>
        </w:rPr>
        <w:t>two of Jesus’ followers (GNT)</w:t>
      </w:r>
    </w:p>
    <w:p>
      <w:pPr/>
      <w:r>
        <w:rPr>
          <w:lang w:val="en_US" w:bidi="en_US"/>
        </w:rPr>
      </w:r>
      <w:r>
        <w:rPr>
          <w:lang w:val="en_US" w:bidi="en_US"/>
        </w:rPr>
        <w:t xml:space="preserve">two of the others </w:t>
      </w:r>
      <w:r>
        <w:rPr>
          <w:lang w:val="en_US" w:bidi="en_US"/>
        </w:rPr>
        <w:t>who heard what the women said</w:t>
      </w:r>
    </w:p>
    <w:p>
      <w:pPr>
        <w:pStyle w:val="Heading5"/>
      </w:pPr>
      <w:r>
        <w:rPr>
          <w:lang w:val="en_US" w:bidi="en_US"/>
        </w:rPr>
        <w:t>24:13b</w:t>
      </w:r>
    </w:p>
    <w:p>
      <w:pPr/>
      <w:r>
        <w:rPr>
          <w:lang w:val="en_US" w:bidi="en_US"/>
        </w:rPr>
      </w:r>
      <w:r>
        <w:rPr>
          <w:b/>
          <w:lang w:val="en_US" w:bidi="en_US"/>
        </w:rPr>
        <w:t>were going to a village called Emmaus,</w:t>
      </w:r>
    </w:p>
    <w:p>
      <w:pPr>
        <w:pStyle w:val="ListBullet"/>
        <w:spacing w:line="240" w:lineRule="auto"/>
        <w:ind w:left="720"/>
      </w:pPr>
      <w:r>
        <w:rPr>
          <w:lang w:val="en_US" w:bidi="en_US"/>
        </w:rPr>
      </w:r>
      <w:r>
        <w:rPr>
          <w:lang w:val="en_US" w:bidi="en_US"/>
        </w:rPr>
        <w:t>were traveling/walking to a village called Emmaus.</w:t>
      </w:r>
    </w:p>
    <w:p>
      <w:pPr>
        <w:pStyle w:val="ListBullet"/>
        <w:spacing w:line="240" w:lineRule="auto"/>
        <w:ind w:left="720"/>
      </w:pPr>
      <w:r>
        <w:rPr>
          <w:lang w:val="en_US" w:bidi="en_US"/>
        </w:rPr>
      </w:r>
      <w:r>
        <w:rPr>
          <w:lang w:val="en_US" w:bidi="en_US"/>
        </w:rPr>
        <w:t>left</w:t>
      </w:r>
      <w:r>
        <w:rPr>
          <w:lang w:val="en_US" w:bidi="en_US"/>
        </w:rPr>
        <w:t xml:space="preserve"> to go to Emmaus village.</w:t>
      </w:r>
    </w:p>
    <w:p>
      <w:pPr/>
      <w:r>
        <w:rPr>
          <w:lang w:val="en_US" w:bidi="en_US"/>
        </w:rPr>
      </w:r>
      <w:r>
        <w:rPr>
          <w:b/>
          <w:lang w:val="en_US" w:bidi="en_US"/>
        </w:rPr>
        <w:t>were going to a village called Emmaus:</w:t>
      </w:r>
      <w:r>
        <w:rPr>
          <w:lang w:val="en_US" w:bidi="en_US"/>
        </w:rPr>
        <w:t xml:space="preserve"> Jesus’ two followers were walking from the city of Jerusalem to Emmaus. Emmaus was a village (small town). Other ways to translate this phrase are:</w:t>
      </w:r>
    </w:p>
    <w:p>
      <w:pPr/>
      <w:r>
        <w:rPr>
          <w:lang w:val="en_US" w:bidi="en_US"/>
        </w:rPr>
      </w:r>
      <w:r>
        <w:rPr>
          <w:lang w:val="en_US" w:bidi="en_US"/>
        </w:rPr>
        <w:t>were walking to the village of Emmaus (NLT)</w:t>
      </w:r>
    </w:p>
    <w:p>
      <w:pPr/>
      <w:r>
        <w:rPr>
          <w:lang w:val="en_US" w:bidi="en_US"/>
        </w:rPr>
      </w:r>
      <w:r>
        <w:rPr>
          <w:lang w:val="en_US" w:bidi="en_US"/>
        </w:rPr>
        <w:t>were on their way to a village called Emmaus (NET)</w:t>
      </w:r>
    </w:p>
    <w:p>
      <w:pPr/>
      <w:r>
        <w:rPr>
          <w:lang w:val="en_US" w:bidi="en_US"/>
        </w:rPr>
      </w:r>
      <w:r>
        <w:rPr>
          <w:lang w:val="en_US" w:bidi="en_US"/>
        </w:rPr>
        <w:t>were going to a town named Emmaus (NCV)</w:t>
      </w:r>
    </w:p>
    <w:p>
      <w:pPr>
        <w:pStyle w:val="Heading5"/>
      </w:pPr>
      <w:r>
        <w:rPr>
          <w:lang w:val="en_US" w:bidi="en_US"/>
        </w:rPr>
        <w:t>24:13c</w:t>
      </w:r>
    </w:p>
    <w:p>
      <w:pPr/>
      <w:r>
        <w:rPr>
          <w:lang w:val="en_US" w:bidi="en_US"/>
        </w:rPr>
      </w:r>
      <w:r>
        <w:rPr>
          <w:b/>
          <w:lang w:val="en_US" w:bidi="en_US"/>
        </w:rPr>
        <w:t>about seven miles from Jerusalem.</w:t>
      </w:r>
    </w:p>
    <w:p>
      <w:pPr>
        <w:pStyle w:val="ListBullet"/>
        <w:spacing w:line="240" w:lineRule="auto"/>
        <w:ind w:left="720"/>
      </w:pPr>
      <w:r>
        <w:rPr>
          <w:lang w:val="en_US" w:bidi="en_US"/>
        </w:rPr>
      </w:r>
      <w:r>
        <w:rPr>
          <w:lang w:val="en_US" w:bidi="en_US"/>
        </w:rPr>
        <w:t>This village was about eleven kilometers from Jerusalem.</w:t>
      </w:r>
    </w:p>
    <w:p>
      <w:pPr>
        <w:pStyle w:val="ListBullet"/>
        <w:spacing w:line="240" w:lineRule="auto"/>
        <w:ind w:left="720"/>
      </w:pPr>
      <w:r>
        <w:rPr>
          <w:lang w:val="en_US" w:bidi="en_US"/>
        </w:rPr>
      </w:r>
      <w:r>
        <w:rPr>
          <w:lang w:val="en_US" w:bidi="en_US"/>
        </w:rPr>
        <w:t xml:space="preserve">It took </w:t>
      </w:r>
      <w:r>
        <w:rPr>
          <w:lang w:val="en_US" w:bidi="en_US"/>
        </w:rPr>
        <w:t>about two hours to walk there</w:t>
      </w:r>
      <w:r>
        <w:rPr>
          <w:lang w:val="en_US" w:bidi="en_US"/>
        </w:rPr>
        <w:t xml:space="preserve"> from </w:t>
      </w:r>
      <w:r>
        <w:rPr>
          <w:lang w:val="en_US" w:bidi="en_US"/>
        </w:rPr>
        <w:t>the city of</w:t>
      </w:r>
      <w:r>
        <w:rPr>
          <w:lang w:val="en_US" w:bidi="en_US"/>
        </w:rPr>
        <w:t xml:space="preserve"> Jerusalem.</w:t>
      </w:r>
    </w:p>
    <w:p>
      <w:pPr/>
      <w:r>
        <w:rPr>
          <w:lang w:val="en_US" w:bidi="en_US"/>
        </w:rPr>
      </w:r>
      <w:r>
        <w:rPr>
          <w:b/>
          <w:lang w:val="en_US" w:bidi="en_US"/>
        </w:rPr>
        <w:t>about seven miles from Jerusalem:</w:t>
      </w:r>
      <w:r>
        <w:rPr>
          <w:lang w:val="en_US" w:bidi="en_US"/>
        </w:rPr>
        <w:t xml:space="preserve"> </w:t>
      </w:r>
      <w:r>
        <w:rPr>
          <w:i/>
          <w:lang w:val="en_US" w:bidi="en_US"/>
        </w:rPr>
        <w:t>seven</w:t>
      </w:r>
      <w:r>
        <w:rPr>
          <w:lang w:val="en_US" w:bidi="en_US"/>
        </w:rPr>
        <w:t xml:space="preserve"> miles is about the same distance as eleven kilometers. Jesus’ followers would probably take about two hours to walk this distance. Use the method for measuring distance that is natural in your language. For example:</w:t>
      </w:r>
    </w:p>
    <w:p>
      <w:pPr/>
      <w:r>
        <w:rPr>
          <w:lang w:val="en_US" w:bidi="en_US"/>
        </w:rPr>
      </w:r>
      <w:r>
        <w:rPr>
          <w:lang w:val="en_US" w:bidi="en_US"/>
        </w:rPr>
        <w:t>a two-hour walk from Jerusalem</w:t>
      </w:r>
      <w:r>
        <w:rPr>
          <w:lang w:val="en_US" w:bidi="en_US"/>
        </w:rPr>
      </w:r>
      <w:r>
        <w:rPr>
          <w:lang w:val="en_US" w:bidi="en_US"/>
        </w:rPr>
      </w:r>
    </w:p>
    <w:p>
      <w:pPr/>
      <w:r>
        <w:rPr>
          <w:lang w:val="en_US" w:bidi="en_US"/>
        </w:rPr>
      </w:r>
    </w:p>
    <w:p>
      <w:pPr>
        <w:pStyle w:val="Heading2"/>
      </w:pPr>
      <w:r>
        <w:rPr>
          <w:lang w:val="en_US" w:bidi="en_US"/>
        </w:rPr>
        <w:t>Luke 24:14</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24:14</w:t>
      </w:r>
    </w:p>
    <w:p>
      <w:pPr/>
      <w:r>
        <w:rPr>
          <w:lang w:val="en_US" w:bidi="en_US"/>
        </w:rPr>
      </w:r>
      <w:r>
        <w:rPr>
          <w:b/>
          <w:lang w:val="en_US" w:bidi="en_US"/>
        </w:rPr>
        <w:t>They were talking with each other about everything that had happened.</w:t>
      </w:r>
    </w:p>
    <w:p>
      <w:pPr>
        <w:pStyle w:val="ListBullet"/>
        <w:spacing w:line="240" w:lineRule="auto"/>
        <w:ind w:left="720"/>
      </w:pPr>
      <w:r>
        <w:rPr>
          <w:lang w:val="en_US" w:bidi="en_US"/>
        </w:rPr>
      </w:r>
      <w:r>
        <w:rPr>
          <w:lang w:val="en_US" w:bidi="en_US"/>
        </w:rPr>
        <w:t>As they walked,</w:t>
      </w:r>
      <w:r>
        <w:rPr>
          <w:lang w:val="en_US" w:bidi="en_US"/>
        </w:rPr>
        <w:t xml:space="preserve"> they talked/conversed about all that had </w:t>
      </w:r>
      <w:r>
        <w:rPr>
          <w:lang w:val="en_US" w:bidi="en_US"/>
        </w:rPr>
        <w:t>recently</w:t>
      </w:r>
      <w:r>
        <w:rPr>
          <w:lang w:val="en_US" w:bidi="en_US"/>
        </w:rPr>
        <w:t xml:space="preserve"> happened.</w:t>
      </w:r>
    </w:p>
    <w:p>
      <w:pPr>
        <w:pStyle w:val="ListBullet"/>
        <w:spacing w:line="240" w:lineRule="auto"/>
        <w:ind w:left="720"/>
      </w:pPr>
      <w:r>
        <w:rPr>
          <w:lang w:val="en_US" w:bidi="en_US"/>
        </w:rPr>
      </w:r>
      <w:r>
        <w:rPr>
          <w:lang w:val="en_US" w:bidi="en_US"/>
        </w:rPr>
        <w:t>On the way,</w:t>
      </w:r>
      <w:r>
        <w:rPr>
          <w:lang w:val="en_US" w:bidi="en_US"/>
        </w:rPr>
        <w:t xml:space="preserve"> they</w:t>
      </w:r>
      <w:r>
        <w:rPr>
          <w:vertAlign w:val="superscript"/>
          <w:lang w:val="en_US" w:bidi="en_US"/>
        </w:rPr>
        <w:t>(dual)</w:t>
      </w:r>
      <w:r>
        <w:rPr>
          <w:lang w:val="en_US" w:bidi="en_US"/>
        </w:rPr>
        <w:t xml:space="preserve"> were talking about the events that had happened </w:t>
      </w:r>
      <w:r>
        <w:rPr>
          <w:lang w:val="en_US" w:bidi="en_US"/>
        </w:rPr>
        <w:t>in the past few days</w:t>
      </w:r>
      <w:r>
        <w:rPr>
          <w:lang w:val="en_US" w:bidi="en_US"/>
        </w:rPr>
        <w:t>.</w:t>
      </w:r>
    </w:p>
    <w:p>
      <w:pPr/>
      <w:r>
        <w:rPr>
          <w:lang w:val="en_US" w:bidi="en_US"/>
        </w:rPr>
      </w:r>
      <w:r>
        <w:rPr>
          <w:b/>
          <w:lang w:val="en_US" w:bidi="en_US"/>
        </w:rPr>
        <w:t>They were talking with each other about everything that had happened:</w:t>
      </w:r>
      <w:r>
        <w:rPr>
          <w:lang w:val="en_US" w:bidi="en_US"/>
        </w:rPr>
        <w:t xml:space="preserve"> This verse indicates that the two disciples were conversing about events that had happened during the past few days in Jerusalem. Those events included the things that they repeated to Jesus in 24:19–24. They talked about Jesus’ arrest and crucifixion and the reports that he was now alive.</w:t>
      </w:r>
    </w:p>
    <w:p>
      <w:pPr/>
      <w:r>
        <w:rPr>
          <w:lang w:val="en_US" w:bidi="en_US"/>
        </w:rPr>
      </w:r>
      <w:r>
        <w:rPr>
          <w:lang w:val="en_US" w:bidi="en_US"/>
        </w:rPr>
        <w:t>They were talking about these things as they walked along. In some languages it may be helpful to make that clear. For example:</w:t>
      </w:r>
    </w:p>
    <w:p>
      <w:pPr/>
      <w:r>
        <w:rPr>
          <w:lang w:val="en_US" w:bidi="en_US"/>
        </w:rPr>
      </w:r>
      <w:r>
        <w:rPr>
          <w:lang w:val="en_US" w:bidi="en_US"/>
        </w:rPr>
        <w:t>On their way they were talking to each other about the things that had recently happened.</w:t>
      </w:r>
    </w:p>
    <w:p>
      <w:pPr/>
      <w:r>
        <w:rPr>
          <w:lang w:val="en_US" w:bidi="en_US"/>
        </w:rPr>
      </w:r>
      <w:r>
        <w:rPr>
          <w:lang w:val="en_US" w:bidi="en_US"/>
        </w:rPr>
        <w:t>As they were walking, they talked about all the things that had been happening.</w:t>
      </w:r>
      <w:r>
        <w:rPr>
          <w:lang w:val="en_US" w:bidi="en_US"/>
        </w:rPr>
      </w:r>
      <w:r>
        <w:rPr>
          <w:lang w:val="en_US" w:bidi="en_US"/>
        </w:rPr>
      </w:r>
    </w:p>
    <w:p>
      <w:pPr/>
      <w:r>
        <w:rPr>
          <w:lang w:val="en_US" w:bidi="en_US"/>
        </w:rPr>
      </w:r>
    </w:p>
    <w:p>
      <w:pPr>
        <w:pStyle w:val="Heading2"/>
      </w:pPr>
      <w:r>
        <w:rPr>
          <w:lang w:val="en_US" w:bidi="en_US"/>
        </w:rPr>
        <w:t>Luke 24:15</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24:15a</w:t>
      </w:r>
    </w:p>
    <w:p>
      <w:pPr/>
      <w:r>
        <w:rPr>
          <w:lang w:val="en_US" w:bidi="en_US"/>
        </w:rPr>
      </w:r>
      <w:r>
        <w:rPr>
          <w:b/>
          <w:lang w:val="en_US" w:bidi="en_US"/>
        </w:rPr>
        <w:t>And as they talked and deliberated,</w:t>
      </w:r>
    </w:p>
    <w:p>
      <w:pPr>
        <w:pStyle w:val="ListBullet"/>
        <w:spacing w:line="240" w:lineRule="auto"/>
        <w:ind w:left="720"/>
      </w:pPr>
      <w:r>
        <w:rPr>
          <w:lang w:val="en_US" w:bidi="en_US"/>
        </w:rPr>
      </w:r>
      <w:r>
        <w:rPr>
          <w:lang w:val="en_US" w:bidi="en_US"/>
        </w:rPr>
        <w:t>While they were talking/conversing and debating like that,</w:t>
      </w:r>
    </w:p>
    <w:p>
      <w:pPr>
        <w:pStyle w:val="ListBullet"/>
        <w:spacing w:line="240" w:lineRule="auto"/>
        <w:ind w:left="720"/>
      </w:pPr>
      <w:r>
        <w:rPr>
          <w:lang w:val="en_US" w:bidi="en_US"/>
        </w:rPr>
      </w:r>
      <w:r>
        <w:rPr>
          <w:lang w:val="en_US" w:bidi="en_US"/>
        </w:rPr>
        <w:t>And then</w:t>
      </w:r>
    </w:p>
    <w:p>
      <w:pPr/>
      <w:r>
        <w:rPr>
          <w:lang w:val="en_US" w:bidi="en_US"/>
        </w:rPr>
      </w:r>
      <w:r>
        <w:rPr>
          <w:b/>
          <w:lang w:val="en_US" w:bidi="en_US"/>
        </w:rPr>
        <w:t>And as they talked and deliberated:</w:t>
      </w:r>
      <w:r>
        <w:rPr>
          <w:lang w:val="en_US" w:bidi="en_US"/>
        </w:rPr>
        <w:t xml:space="preserve"> In Greek this clause is more literally “and it happened in their talking and discussing.” This clause introduces the very important fact in 24:15b that Jesus came and walked with them! This clause in 24:15a creates suspense by repeating information from 24:14. It also uses two verbs with similar meanings: </w:t>
      </w:r>
      <w:r>
        <w:rPr>
          <w:i/>
          <w:lang w:val="en_US" w:bidi="en_US"/>
        </w:rPr>
        <w:t>talked</w:t>
      </w:r>
      <w:r>
        <w:rPr>
          <w:lang w:val="en_US" w:bidi="en_US"/>
        </w:rPr>
        <w:t xml:space="preserve"> and </w:t>
      </w:r>
      <w:r>
        <w:rPr>
          <w:i/>
          <w:lang w:val="en_US" w:bidi="en_US"/>
        </w:rPr>
        <w:t>deliberated</w:t>
      </w:r>
      <w:r>
        <w:rPr>
          <w:lang w:val="en_US" w:bidi="en_US"/>
        </w:rPr>
        <w:t>.</w:t>
      </w:r>
    </w:p>
    <w:p>
      <w:pPr/>
      <w:r>
        <w:rPr>
          <w:lang w:val="en_US" w:bidi="en_US"/>
        </w:rPr>
      </w:r>
      <w:r>
        <w:rPr>
          <w:lang w:val="en_US" w:bidi="en_US"/>
        </w:rPr>
        <w:t>In some languages repetition does not create suspense. If that is true in your language, you may want to create the suspense in a different way. For example:</w:t>
      </w:r>
    </w:p>
    <w:p>
      <w:pPr/>
      <w:r>
        <w:rPr>
          <w:lang w:val="en_US" w:bidi="en_US"/>
        </w:rPr>
      </w:r>
      <w:r>
        <w:rPr>
          <w:lang w:val="en_US" w:bidi="en_US"/>
        </w:rPr>
        <w:t>Suddenly (NLT96)</w:t>
      </w:r>
    </w:p>
    <w:p>
      <w:pPr/>
      <w:r>
        <w:rPr>
          <w:lang w:val="en_US" w:bidi="en_US"/>
        </w:rPr>
      </w:r>
      <w:r>
        <w:rPr>
          <w:lang w:val="en_US" w:bidi="en_US"/>
        </w:rPr>
        <w:t>Other ways to translate it are:</w:t>
      </w:r>
    </w:p>
    <w:p>
      <w:pPr/>
      <w:r>
        <w:rPr>
          <w:lang w:val="en_US" w:bidi="en_US"/>
        </w:rPr>
      </w:r>
      <w:r>
        <w:rPr>
          <w:lang w:val="en_US" w:bidi="en_US"/>
        </w:rPr>
        <w:t>While they were talking (GW)</w:t>
      </w:r>
    </w:p>
    <w:p>
      <w:pPr/>
      <w:r>
        <w:rPr>
          <w:lang w:val="en_US" w:bidi="en_US"/>
        </w:rPr>
      </w:r>
      <w:r>
        <w:rPr>
          <w:lang w:val="en_US" w:bidi="en_US"/>
        </w:rPr>
        <w:t>Then as they talked and discussed all these things</w:t>
      </w:r>
    </w:p>
    <w:p>
      <w:pPr/>
      <w:r>
        <w:rPr>
          <w:lang w:val="en_US" w:bidi="en_US"/>
        </w:rPr>
      </w:r>
      <w:r>
        <w:rPr>
          <w:lang w:val="en_US" w:bidi="en_US"/>
        </w:rPr>
        <w:t>Introduce the important event in 24:15b in a natural way in your language.</w:t>
      </w:r>
    </w:p>
    <w:p>
      <w:pPr/>
      <w:r>
        <w:rPr>
          <w:lang w:val="en_US" w:bidi="en_US"/>
        </w:rPr>
      </w:r>
      <w:r>
        <w:rPr>
          <w:b/>
          <w:lang w:val="en_US" w:bidi="en_US"/>
        </w:rPr>
        <w:t>talked and deliberated:</w:t>
      </w:r>
      <w:r>
        <w:rPr>
          <w:lang w:val="en_US" w:bidi="en_US"/>
        </w:rPr>
        <w:t xml:space="preserve"> Here Jesus’ followers continued their discussion from 24:14. Some English versions supply the object “these things” to indicate that. In some languages, as in Greek, it may not be necessary to have an object.</w:t>
      </w:r>
    </w:p>
    <w:p>
      <w:pPr/>
      <w:r>
        <w:rPr>
          <w:lang w:val="en_US" w:bidi="en_US"/>
        </w:rPr>
      </w:r>
      <w:r>
        <w:rPr>
          <w:lang w:val="en_US" w:bidi="en_US"/>
        </w:rPr>
        <w:t xml:space="preserve">The Greek word that the BSB translates as </w:t>
      </w:r>
      <w:r>
        <w:rPr>
          <w:i/>
          <w:lang w:val="en_US" w:bidi="en_US"/>
        </w:rPr>
        <w:t>deliberated</w:t>
      </w:r>
      <w:r>
        <w:rPr>
          <w:lang w:val="en_US" w:bidi="en_US"/>
        </w:rPr>
        <w:t xml:space="preserve"> refers to conversing in a lively way about something. It often refers to arguing or debating. Some other ways to translate </w:t>
      </w:r>
      <w:r>
        <w:rPr>
          <w:i/>
          <w:lang w:val="en_US" w:bidi="en_US"/>
        </w:rPr>
        <w:t>talked and deliberated</w:t>
      </w:r>
      <w:r>
        <w:rPr>
          <w:lang w:val="en_US" w:bidi="en_US"/>
        </w:rPr>
        <w:t xml:space="preserve"> are:</w:t>
      </w:r>
    </w:p>
    <w:p>
      <w:pPr/>
      <w:r>
        <w:rPr>
          <w:lang w:val="en_US" w:bidi="en_US"/>
        </w:rPr>
      </w:r>
      <w:r>
        <w:rPr>
          <w:lang w:val="en_US" w:bidi="en_US"/>
        </w:rPr>
        <w:t>were talking and debating</w:t>
      </w:r>
    </w:p>
    <w:p>
      <w:pPr/>
      <w:r>
        <w:rPr>
          <w:lang w:val="en_US" w:bidi="en_US"/>
        </w:rPr>
      </w:r>
      <w:r>
        <w:rPr>
          <w:lang w:val="en_US" w:bidi="en_US"/>
        </w:rPr>
        <w:t>conversing</w:t>
      </w:r>
    </w:p>
    <w:p>
      <w:pPr>
        <w:pStyle w:val="Heading5"/>
      </w:pPr>
      <w:r>
        <w:rPr>
          <w:lang w:val="en_US" w:bidi="en_US"/>
        </w:rPr>
        <w:t>24:15b</w:t>
      </w:r>
    </w:p>
    <w:p>
      <w:pPr/>
      <w:r>
        <w:rPr>
          <w:lang w:val="en_US" w:bidi="en_US"/>
        </w:rPr>
      </w:r>
      <w:r>
        <w:rPr>
          <w:b/>
          <w:lang w:val="en_US" w:bidi="en_US"/>
        </w:rPr>
        <w:t>Jesus Himself came up and walked along with them.</w:t>
      </w:r>
    </w:p>
    <w:p>
      <w:pPr>
        <w:pStyle w:val="ListBullet"/>
        <w:spacing w:line="240" w:lineRule="auto"/>
        <w:ind w:left="720"/>
      </w:pPr>
      <w:r>
        <w:rPr>
          <w:lang w:val="en_US" w:bidi="en_US"/>
        </w:rPr>
      </w:r>
      <w:r>
        <w:rPr>
          <w:lang w:val="en_US" w:bidi="en_US"/>
        </w:rPr>
        <w:t>Jesus himself came near and walked with them,</w:t>
      </w:r>
    </w:p>
    <w:p>
      <w:pPr>
        <w:pStyle w:val="ListBullet"/>
        <w:spacing w:line="240" w:lineRule="auto"/>
        <w:ind w:left="720"/>
      </w:pPr>
      <w:r>
        <w:rPr>
          <w:lang w:val="en_US" w:bidi="en_US"/>
        </w:rPr>
      </w:r>
      <w:r>
        <w:rPr>
          <w:lang w:val="en_US" w:bidi="en_US"/>
        </w:rPr>
        <w:t>Jesus in person approached them and began to walk with them.</w:t>
      </w:r>
    </w:p>
    <w:p>
      <w:pPr/>
      <w:r>
        <w:rPr>
          <w:lang w:val="en_US" w:bidi="en_US"/>
        </w:rPr>
      </w:r>
      <w:r>
        <w:rPr>
          <w:b/>
          <w:lang w:val="en_US" w:bidi="en_US"/>
        </w:rPr>
        <w:t>Jesus Himself came up and walked along with them:</w:t>
      </w:r>
      <w:r>
        <w:rPr>
          <w:lang w:val="en_US" w:bidi="en_US"/>
        </w:rPr>
        <w:t xml:space="preserve"> This clause indicates that Jesus began walking with his two followers in a natural way. They did not notice anything unusual. He may have overtaken them from behind or come onto the main road from a side road. There is nothing in the text to imply that Jesus appeared miraculously. Some other ways to translate the clause are:</w:t>
      </w:r>
    </w:p>
    <w:p>
      <w:pPr/>
      <w:r>
        <w:rPr>
          <w:lang w:val="en_US" w:bidi="en_US"/>
        </w:rPr>
      </w:r>
      <w:r>
        <w:rPr>
          <w:lang w:val="en_US" w:bidi="en_US"/>
        </w:rPr>
        <w:t>Jesus approached them and began walking with them (GW)</w:t>
      </w:r>
    </w:p>
    <w:p>
      <w:pPr/>
      <w:r>
        <w:rPr>
          <w:lang w:val="en_US" w:bidi="en_US"/>
        </w:rPr>
      </w:r>
      <w:r>
        <w:rPr>
          <w:lang w:val="en_US" w:bidi="en_US"/>
        </w:rPr>
        <w:t>Jesus himself came near and began walking with them (NCV)</w:t>
      </w:r>
    </w:p>
    <w:p>
      <w:pPr/>
      <w:r>
        <w:rPr>
          <w:lang w:val="en_US" w:bidi="en_US"/>
        </w:rPr>
      </w:r>
      <w:r>
        <w:rPr>
          <w:b/>
          <w:lang w:val="en_US" w:bidi="en_US"/>
        </w:rPr>
        <w:t>Jesus Himself:</w:t>
      </w:r>
      <w:r>
        <w:rPr>
          <w:lang w:val="en_US" w:bidi="en_US"/>
        </w:rPr>
        <w:t xml:space="preserve"> Here the word </w:t>
      </w:r>
      <w:r>
        <w:rPr>
          <w:i/>
          <w:lang w:val="en_US" w:bidi="en_US"/>
        </w:rPr>
        <w:t>Himself</w:t>
      </w:r>
      <w:r>
        <w:rPr>
          <w:lang w:val="en_US" w:bidi="en_US"/>
        </w:rPr>
        <w:t xml:space="preserve"> emphasizes that Jesus, the very person they were talking about, was the one who joined them. Some English versions do not include this emphasis. Do what is natural for your language in this context.</w:t>
      </w:r>
      <w:r>
        <w:rPr>
          <w:lang w:val="en_US" w:bidi="en_US"/>
        </w:rPr>
      </w:r>
      <w:r>
        <w:rPr>
          <w:lang w:val="en_US" w:bidi="en_US"/>
        </w:rPr>
      </w:r>
    </w:p>
    <w:p>
      <w:pPr/>
      <w:r>
        <w:rPr>
          <w:lang w:val="en_US" w:bidi="en_US"/>
        </w:rPr>
      </w:r>
    </w:p>
    <w:p>
      <w:pPr>
        <w:pStyle w:val="Heading2"/>
      </w:pPr>
      <w:r>
        <w:rPr>
          <w:lang w:val="en_US" w:bidi="en_US"/>
        </w:rPr>
        <w:t>Luke 24:16</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24:16</w:t>
      </w:r>
    </w:p>
    <w:p>
      <w:pPr/>
      <w:r>
        <w:rPr>
          <w:lang w:val="en_US" w:bidi="en_US"/>
        </w:rPr>
      </w:r>
      <w:r>
        <w:rPr>
          <w:b/>
          <w:lang w:val="en_US" w:bidi="en_US"/>
        </w:rPr>
        <w:t>But their eyes were kept from recognizing Him.</w:t>
      </w:r>
    </w:p>
    <w:p>
      <w:pPr>
        <w:pStyle w:val="ListBullet"/>
        <w:spacing w:line="240" w:lineRule="auto"/>
        <w:ind w:left="720"/>
      </w:pPr>
      <w:r>
        <w:rPr>
          <w:lang w:val="en_US" w:bidi="en_US"/>
        </w:rPr>
      </w:r>
      <w:r>
        <w:rPr>
          <w:lang w:val="en_US" w:bidi="en_US"/>
        </w:rPr>
        <w:t xml:space="preserve">but </w:t>
      </w:r>
      <w:r>
        <w:rPr>
          <w:lang w:val="en_US" w:bidi="en_US"/>
        </w:rPr>
        <w:t>something</w:t>
      </w:r>
      <w:r>
        <w:rPr>
          <w:lang w:val="en_US" w:bidi="en_US"/>
        </w:rPr>
        <w:t xml:space="preserve"> kept them from seeing/realizing who he was.</w:t>
      </w:r>
    </w:p>
    <w:p>
      <w:pPr>
        <w:pStyle w:val="ListBullet"/>
        <w:spacing w:line="240" w:lineRule="auto"/>
        <w:ind w:left="720"/>
      </w:pPr>
      <w:r>
        <w:rPr>
          <w:lang w:val="en_US" w:bidi="en_US"/>
        </w:rPr>
      </w:r>
      <w:r>
        <w:rPr>
          <w:lang w:val="en_US" w:bidi="en_US"/>
        </w:rPr>
        <w:t xml:space="preserve">But </w:t>
      </w:r>
      <w:r>
        <w:rPr>
          <w:lang w:val="en_US" w:bidi="en_US"/>
        </w:rPr>
        <w:t>God</w:t>
      </w:r>
      <w:r>
        <w:rPr>
          <w:lang w:val="en_US" w:bidi="en_US"/>
        </w:rPr>
        <w:t xml:space="preserve"> prevented them</w:t>
      </w:r>
      <w:r>
        <w:rPr>
          <w:vertAlign w:val="superscript"/>
          <w:lang w:val="en_US" w:bidi="en_US"/>
        </w:rPr>
        <w:t>(dual)</w:t>
      </w:r>
      <w:r>
        <w:rPr>
          <w:lang w:val="en_US" w:bidi="en_US"/>
        </w:rPr>
        <w:t xml:space="preserve"> from knowing that he/it was Jesus.</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is a common conjunction that can be translated in different ways. Here it introduces a situation that is unexpected. The men were followers of Jesus, but they did not recognize him. Introduce this unexpected situation in a natural way in your language.</w:t>
      </w:r>
    </w:p>
    <w:p>
      <w:pPr/>
      <w:r>
        <w:rPr>
          <w:lang w:val="en_US" w:bidi="en_US"/>
        </w:rPr>
      </w:r>
      <w:r>
        <w:rPr>
          <w:b/>
          <w:lang w:val="en_US" w:bidi="en_US"/>
        </w:rPr>
        <w:t>their eyes were kept from recognizing Him:</w:t>
      </w:r>
      <w:r>
        <w:rPr>
          <w:lang w:val="en_US" w:bidi="en_US"/>
        </w:rPr>
        <w:t xml:space="preserve"> The Greek clause that the BSB translates as </w:t>
      </w:r>
      <w:r>
        <w:rPr>
          <w:i/>
          <w:lang w:val="en_US" w:bidi="en_US"/>
        </w:rPr>
        <w:t>their eyes were kept from recognizing Him</w:t>
      </w:r>
      <w:r>
        <w:rPr>
          <w:lang w:val="en_US" w:bidi="en_US"/>
        </w:rPr>
        <w:t xml:space="preserve"> is literally “their eyes were prevented from recognizing him.” It indicates that although Jesus’ followers saw him, they did not know him. Something caused them not to realize that he was Jesus.</w:t>
      </w:r>
    </w:p>
    <w:p>
      <w:pPr/>
      <w:r>
        <w:rPr>
          <w:lang w:val="en_US" w:bidi="en_US"/>
        </w:rPr>
      </w:r>
      <w:r>
        <w:rPr>
          <w:lang w:val="en_US" w:bidi="en_US"/>
        </w:rPr>
        <w:t>The clause is passive. It does not specify what caused Jesus’ followers not to recognize him. Probably the most likely possibility is that God caused it. There are several ways to translate the clause:</w:t>
      </w:r>
    </w:p>
    <w:p>
      <w:pPr>
        <w:pStyle w:val="ListBullet"/>
        <w:spacing w:line="240" w:lineRule="auto"/>
        <w:ind w:left="720"/>
      </w:pPr>
      <w:r>
        <w:rPr>
          <w:lang w:val="en_US" w:bidi="en_US"/>
        </w:rPr>
      </w:r>
      <w:r>
        <w:rPr>
          <w:lang w:val="en_US" w:bidi="en_US"/>
        </w:rPr>
        <w:t>Use a passive clause. For example:</w:t>
      </w:r>
      <w:r>
        <w:rPr>
          <w:lang w:val="en_US" w:bidi="en_US"/>
        </w:rPr>
        <w:t>but they were kept from recognizing him (NCV)</w:t>
      </w:r>
    </w:p>
    <w:p>
      <w:pPr>
        <w:pStyle w:val="ListBullet"/>
        <w:spacing w:line="240" w:lineRule="auto"/>
        <w:ind w:left="720"/>
      </w:pPr>
      <w:r>
        <w:rPr>
          <w:lang w:val="en_US" w:bidi="en_US"/>
        </w:rPr>
      </w:r>
      <w:r>
        <w:rPr>
          <w:lang w:val="en_US" w:bidi="en_US"/>
        </w:rPr>
        <w:t>Use an active clause and supply “God” as the subject. For example:</w:t>
      </w:r>
      <w:r>
        <w:rPr>
          <w:lang w:val="en_US" w:bidi="en_US"/>
        </w:rPr>
        <w:t>But God kept them from recognizing him (NLT)</w:t>
      </w:r>
    </w:p>
    <w:p>
      <w:pPr>
        <w:pStyle w:val="ListBullet"/>
        <w:spacing w:line="240" w:lineRule="auto"/>
        <w:ind w:left="720"/>
      </w:pPr>
      <w:r>
        <w:rPr>
          <w:lang w:val="en_US" w:bidi="en_US"/>
        </w:rPr>
      </w:r>
      <w:r>
        <w:rPr>
          <w:lang w:val="en_US" w:bidi="en_US"/>
        </w:rPr>
        <w:t>Translate in a more general way. For example:</w:t>
      </w:r>
      <w:r>
        <w:rPr>
          <w:lang w:val="en_US" w:bidi="en_US"/>
        </w:rPr>
        <w:t>Although they saw him, they didn’t recognize him. (GW)</w:t>
      </w:r>
      <w:r>
        <w:rPr>
          <w:lang w:val="en_US" w:bidi="en_US"/>
        </w:rPr>
        <w:t>but something prevented them from recognizing him. (REB)</w:t>
      </w:r>
    </w:p>
    <w:p>
      <w:pPr/>
      <w:r>
        <w:rPr>
          <w:lang w:val="en_US" w:bidi="en_US"/>
        </w:rPr>
      </w:r>
      <w:r>
        <w:rPr>
          <w:lang w:val="en_US" w:bidi="en_US"/>
        </w:rPr>
        <w:t>Translate the clause in a natural way in your language. In some languages there may be an idiom to translate the Greek idiom “their eyes were prevented from recognizing him.” For example:</w:t>
      </w:r>
    </w:p>
    <w:p>
      <w:pPr/>
      <w:r>
        <w:rPr>
          <w:lang w:val="en_US" w:bidi="en_US"/>
        </w:rPr>
      </w:r>
      <w:r>
        <w:rPr>
          <w:lang w:val="en_US" w:bidi="en_US"/>
        </w:rPr>
        <w:t>they did not recognize him because it was as if their eyes were blind</w:t>
      </w:r>
      <w:r>
        <w:rPr>
          <w:lang w:val="en_US" w:bidi="en_US"/>
        </w:rPr>
        <w:t>Kankanaey back translation on TW.</w:t>
      </w:r>
      <w:r>
        <w:rPr>
          <w:lang w:val="en_US" w:bidi="en_US"/>
        </w:rPr>
      </w:r>
      <w:r>
        <w:rPr>
          <w:lang w:val="en_US" w:bidi="en_US"/>
        </w:rPr>
      </w:r>
    </w:p>
    <w:p>
      <w:pPr/>
      <w:r>
        <w:rPr>
          <w:lang w:val="en_US" w:bidi="en_US"/>
        </w:rPr>
      </w:r>
    </w:p>
    <w:p>
      <w:pPr>
        <w:pStyle w:val="Heading2"/>
      </w:pPr>
      <w:r>
        <w:rPr>
          <w:lang w:val="en_US" w:bidi="en_US"/>
        </w:rPr>
        <w:t>Luke 24:17</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24:17a</w:t>
      </w:r>
    </w:p>
    <w:p>
      <w:pPr/>
      <w:r>
        <w:rPr>
          <w:lang w:val="en_US" w:bidi="en_US"/>
        </w:rPr>
      </w:r>
      <w:r>
        <w:rPr>
          <w:b/>
          <w:lang w:val="en_US" w:bidi="en_US"/>
        </w:rPr>
        <w:t>He asked them, “What are you discussing so intently</w:t>
      </w:r>
    </w:p>
    <w:p>
      <w:pPr>
        <w:pStyle w:val="ListBullet"/>
        <w:spacing w:line="240" w:lineRule="auto"/>
        <w:ind w:left="720"/>
      </w:pPr>
      <w:r>
        <w:rPr>
          <w:lang w:val="en_US" w:bidi="en_US"/>
        </w:rPr>
      </w:r>
      <w:r>
        <w:rPr>
          <w:lang w:val="en_US" w:bidi="en_US"/>
        </w:rPr>
        <w:t>Jesus asked them, “What are you</w:t>
      </w:r>
      <w:r>
        <w:rPr>
          <w:vertAlign w:val="superscript"/>
          <w:lang w:val="en_US" w:bidi="en_US"/>
        </w:rPr>
        <w:t>(plur)</w:t>
      </w:r>
      <w:r>
        <w:rPr>
          <w:lang w:val="en_US" w:bidi="en_US"/>
        </w:rPr>
        <w:t xml:space="preserve"> talking about </w:t>
      </w:r>
      <w:r>
        <w:rPr>
          <w:lang w:val="en_US" w:bidi="en_US"/>
        </w:rPr>
        <w:t>so intently/earnestly</w:t>
      </w:r>
    </w:p>
    <w:p>
      <w:pPr>
        <w:pStyle w:val="ListBullet"/>
        <w:spacing w:line="240" w:lineRule="auto"/>
        <w:ind w:left="720"/>
      </w:pPr>
      <w:r>
        <w:rPr>
          <w:lang w:val="en_US" w:bidi="en_US"/>
        </w:rPr>
      </w:r>
      <w:r>
        <w:rPr>
          <w:lang w:val="en_US" w:bidi="en_US"/>
        </w:rPr>
        <w:t>Then Jesus asked them, “What are you</w:t>
      </w:r>
      <w:r>
        <w:rPr>
          <w:vertAlign w:val="superscript"/>
          <w:lang w:val="en_US" w:bidi="en_US"/>
        </w:rPr>
        <w:t>(dual)</w:t>
      </w:r>
      <w:r>
        <w:rPr>
          <w:lang w:val="en_US" w:bidi="en_US"/>
        </w:rPr>
        <w:t xml:space="preserve"> debating/discussing</w:t>
      </w:r>
    </w:p>
    <w:p>
      <w:pPr>
        <w:pStyle w:val="Heading5"/>
      </w:pPr>
      <w:r>
        <w:rPr>
          <w:lang w:val="en_US" w:bidi="en_US"/>
        </w:rPr>
        <w:t>24:17b</w:t>
      </w:r>
    </w:p>
    <w:p>
      <w:pPr/>
      <w:r>
        <w:rPr>
          <w:lang w:val="en_US" w:bidi="en_US"/>
        </w:rPr>
      </w:r>
      <w:r>
        <w:rPr>
          <w:b/>
          <w:lang w:val="en_US" w:bidi="en_US"/>
        </w:rPr>
        <w:t>as you walk along?”</w:t>
      </w:r>
    </w:p>
    <w:p>
      <w:pPr>
        <w:pStyle w:val="ListBullet"/>
        <w:spacing w:line="240" w:lineRule="auto"/>
        <w:ind w:left="720"/>
      </w:pPr>
      <w:r>
        <w:rPr>
          <w:lang w:val="en_US" w:bidi="en_US"/>
        </w:rPr>
      </w:r>
      <w:r>
        <w:rPr>
          <w:lang w:val="en_US" w:bidi="en_US"/>
        </w:rPr>
        <w:t>as you are walking?”</w:t>
      </w:r>
    </w:p>
    <w:p>
      <w:pPr>
        <w:pStyle w:val="ListBullet"/>
        <w:spacing w:line="240" w:lineRule="auto"/>
        <w:ind w:left="720"/>
      </w:pPr>
      <w:r>
        <w:rPr>
          <w:lang w:val="en_US" w:bidi="en_US"/>
        </w:rPr>
      </w:r>
      <w:r>
        <w:rPr>
          <w:lang w:val="en_US" w:bidi="en_US"/>
        </w:rPr>
        <w:t>while you walk?”</w:t>
      </w:r>
    </w:p>
    <w:p>
      <w:pPr>
        <w:pStyle w:val="Heading5"/>
      </w:pPr>
      <w:r>
        <w:rPr>
          <w:lang w:val="en_US" w:bidi="en_US"/>
        </w:rPr>
        <w:t>24:17a–b</w:t>
      </w:r>
    </w:p>
    <w:p>
      <w:pPr/>
      <w:r>
        <w:rPr>
          <w:lang w:val="en_US" w:bidi="en_US"/>
        </w:rPr>
      </w:r>
      <w:r>
        <w:rPr>
          <w:b/>
          <w:lang w:val="en_US" w:bidi="en_US"/>
        </w:rPr>
        <w:t>He asked them, “What are you discussing so intently…?”:</w:t>
      </w:r>
      <w:r>
        <w:rPr>
          <w:lang w:val="en_US" w:bidi="en_US"/>
        </w:rPr>
        <w:t xml:space="preserve"> In Greek this question is more literally, “What words are these that you are exchanging with each other…?” Jesus was asking them to explain the topic that they were discussing. He already knew the answer to his question. The question was a way for him to join the discussion. The context shows that the two disciples also knew that Jesus had heard some of their discussion.</w:t>
      </w:r>
    </w:p>
    <w:p>
      <w:pPr/>
      <w:r>
        <w:rPr>
          <w:lang w:val="en_US" w:bidi="en_US"/>
        </w:rPr>
      </w:r>
      <w:r>
        <w:rPr>
          <w:lang w:val="en_US" w:bidi="en_US"/>
        </w:rPr>
        <w:t>Some other ways to translate this question are:</w:t>
      </w:r>
    </w:p>
    <w:p>
      <w:pPr/>
      <w:r>
        <w:rPr>
          <w:lang w:val="en_US" w:bidi="en_US"/>
        </w:rPr>
      </w:r>
      <w:r>
        <w:rPr>
          <w:lang w:val="en_US" w:bidi="en_US"/>
        </w:rPr>
        <w:t>Then he said to them, “What are these matters you are discussing so intently…?” (NET)</w:t>
      </w:r>
    </w:p>
    <w:p>
      <w:pPr/>
      <w:r>
        <w:rPr>
          <w:lang w:val="en_US" w:bidi="en_US"/>
        </w:rPr>
      </w:r>
      <w:r>
        <w:rPr>
          <w:lang w:val="en_US" w:bidi="en_US"/>
        </w:rPr>
        <w:t>He asked them, “What is it you are debating…?” (REB)</w:t>
      </w:r>
    </w:p>
    <w:p>
      <w:pPr/>
      <w:r>
        <w:rPr>
          <w:lang w:val="en_US" w:bidi="en_US"/>
        </w:rPr>
      </w:r>
      <w:r>
        <w:rPr>
          <w:b/>
          <w:lang w:val="en_US" w:bidi="en_US"/>
        </w:rPr>
        <w:t>discussing so intently as you walk along:</w:t>
      </w:r>
      <w:r>
        <w:rPr>
          <w:lang w:val="en_US" w:bidi="en_US"/>
        </w:rPr>
        <w:t xml:space="preserve"> The Greek word that the BSB translates as </w:t>
      </w:r>
      <w:r>
        <w:rPr>
          <w:i/>
          <w:lang w:val="en_US" w:bidi="en_US"/>
        </w:rPr>
        <w:t>discussing</w:t>
      </w:r>
      <w:r>
        <w:rPr>
          <w:lang w:val="en_US" w:bidi="en_US"/>
        </w:rPr>
        <w:t xml:space="preserve"> literally means “throwing back and forth.” This is a figurative way to indicate that the discussion was excited, and both disciples were saying things and asking each other questions. They were having this conversation as they walked on the road, and Jesus had heard at least part of their discussion. Describe this type of conversation on the road in a natural way in your language.</w:t>
      </w:r>
    </w:p>
    <w:p>
      <w:pPr>
        <w:pStyle w:val="Heading5"/>
      </w:pPr>
      <w:r>
        <w:rPr>
          <w:lang w:val="en_US" w:bidi="en_US"/>
        </w:rPr>
        <w:t>24:17c</w:t>
      </w:r>
    </w:p>
    <w:p>
      <w:pPr/>
      <w:r>
        <w:rPr>
          <w:lang w:val="en_US" w:bidi="en_US"/>
        </w:rPr>
      </w:r>
      <w:r>
        <w:rPr>
          <w:b/>
          <w:lang w:val="en_US" w:bidi="en_US"/>
        </w:rPr>
        <w:t>They stood still, with sadness on their faces.</w:t>
      </w:r>
    </w:p>
    <w:p>
      <w:pPr>
        <w:pStyle w:val="ListBullet"/>
        <w:spacing w:line="240" w:lineRule="auto"/>
        <w:ind w:left="720"/>
      </w:pPr>
      <w:r>
        <w:rPr>
          <w:lang w:val="en_US" w:bidi="en_US"/>
        </w:rPr>
      </w:r>
      <w:r>
        <w:rPr>
          <w:lang w:val="en_US" w:bidi="en_US"/>
        </w:rPr>
        <w:t>They stopped walking, and their faces showed that they were very sad.</w:t>
      </w:r>
    </w:p>
    <w:p>
      <w:pPr>
        <w:pStyle w:val="ListBullet"/>
        <w:spacing w:line="240" w:lineRule="auto"/>
        <w:ind w:left="720"/>
      </w:pPr>
      <w:r>
        <w:rPr>
          <w:lang w:val="en_US" w:bidi="en_US"/>
        </w:rPr>
      </w:r>
      <w:r>
        <w:rPr>
          <w:lang w:val="en_US" w:bidi="en_US"/>
        </w:rPr>
        <w:t>The two disciples</w:t>
      </w:r>
      <w:r>
        <w:rPr>
          <w:lang w:val="en_US" w:bidi="en_US"/>
        </w:rPr>
        <w:t xml:space="preserve"> paused in their walk, looking grief-stricken.</w:t>
      </w:r>
    </w:p>
    <w:p>
      <w:pPr/>
      <w:r>
        <w:rPr>
          <w:lang w:val="en_US" w:bidi="en_US"/>
        </w:rPr>
      </w:r>
      <w:r>
        <w:rPr>
          <w:b/>
          <w:lang w:val="en_US" w:bidi="en_US"/>
        </w:rPr>
        <w:t>They stood still:</w:t>
      </w:r>
      <w:r>
        <w:rPr>
          <w:lang w:val="en_US" w:bidi="en_US"/>
        </w:rPr>
        <w:t xml:space="preserve"> The two disciples had been walking along, but when Jesus asked this question, they stopped walking for a little while. Some other ways to translate </w:t>
      </w:r>
      <w:r>
        <w:rPr>
          <w:i/>
          <w:lang w:val="en_US" w:bidi="en_US"/>
        </w:rPr>
        <w:t>They stood still</w:t>
      </w:r>
      <w:r>
        <w:rPr>
          <w:lang w:val="en_US" w:bidi="en_US"/>
        </w:rPr>
        <w:t xml:space="preserve"> are:</w:t>
      </w:r>
    </w:p>
    <w:p>
      <w:pPr/>
      <w:r>
        <w:rPr>
          <w:lang w:val="en_US" w:bidi="en_US"/>
        </w:rPr>
      </w:r>
      <w:r>
        <w:rPr>
          <w:lang w:val="en_US" w:bidi="en_US"/>
        </w:rPr>
        <w:t>They stopped walking</w:t>
      </w:r>
    </w:p>
    <w:p>
      <w:pPr/>
      <w:r>
        <w:rPr>
          <w:lang w:val="en_US" w:bidi="en_US"/>
        </w:rPr>
      </w:r>
      <w:r>
        <w:rPr>
          <w:lang w:val="en_US" w:bidi="en_US"/>
        </w:rPr>
        <w:t>Then they stood there</w:t>
      </w:r>
    </w:p>
    <w:p>
      <w:pPr/>
      <w:r>
        <w:rPr>
          <w:lang w:val="en_US" w:bidi="en_US"/>
        </w:rPr>
      </w:r>
      <w:r>
        <w:rPr>
          <w:b/>
          <w:lang w:val="en_US" w:bidi="en_US"/>
        </w:rPr>
        <w:t>with sadness on their faces:</w:t>
      </w:r>
      <w:r>
        <w:rPr>
          <w:lang w:val="en_US" w:bidi="en_US"/>
        </w:rPr>
        <w:t xml:space="preserve"> The Greek word that the BSB translates as </w:t>
      </w:r>
      <w:r>
        <w:rPr>
          <w:i/>
          <w:lang w:val="en_US" w:bidi="en_US"/>
        </w:rPr>
        <w:t>with sadness on their faces</w:t>
      </w:r>
      <w:r>
        <w:rPr>
          <w:lang w:val="en_US" w:bidi="en_US"/>
        </w:rPr>
        <w:t xml:space="preserve"> indicates that the two men looked sad. Use a natural way in your language to describe a person who is very sad. The two disciples were looking sad because they were thinking about how Jesus had been crucified and buried. Some other ways to translate it in English are:</w:t>
      </w:r>
    </w:p>
    <w:p>
      <w:pPr/>
      <w:r>
        <w:rPr>
          <w:lang w:val="en_US" w:bidi="en_US"/>
        </w:rPr>
      </w:r>
      <w:r>
        <w:rPr>
          <w:lang w:val="en_US" w:bidi="en_US"/>
        </w:rPr>
        <w:t>and looked very sad (GW)</w:t>
      </w:r>
    </w:p>
    <w:p>
      <w:pPr/>
      <w:r>
        <w:rPr>
          <w:lang w:val="en_US" w:bidi="en_US"/>
        </w:rPr>
      </w:r>
      <w:r>
        <w:rPr>
          <w:lang w:val="en_US" w:bidi="en_US"/>
        </w:rPr>
        <w:t>it was obvious from their faces/eyes that they were sad</w:t>
      </w:r>
    </w:p>
    <w:p>
      <w:pPr/>
      <w:r>
        <w:rPr>
          <w:lang w:val="en_US" w:bidi="en_US"/>
        </w:rPr>
      </w:r>
      <w:r>
        <w:rPr>
          <w:lang w:val="en_US" w:bidi="en_US"/>
        </w:rPr>
        <w:t>looking sad and gloomy (CEV)</w:t>
      </w:r>
    </w:p>
    <w:p>
      <w:pPr/>
      <w:r>
        <w:rPr>
          <w:lang w:val="en_US" w:bidi="en_US"/>
        </w:rPr>
      </w:r>
      <w:r>
        <w:rPr>
          <w:lang w:val="en_US" w:bidi="en_US"/>
        </w:rPr>
        <w:t>In some languages there is an idiom to describe this. For example:</w:t>
      </w:r>
    </w:p>
    <w:p>
      <w:pPr/>
      <w:r>
        <w:rPr>
          <w:lang w:val="en_US" w:bidi="en_US"/>
        </w:rPr>
      </w:r>
      <w:r>
        <w:rPr>
          <w:lang w:val="en_US" w:bidi="en_US"/>
        </w:rPr>
        <w:t>sadness written across their faces (NLT)</w:t>
      </w:r>
    </w:p>
    <w:p>
      <w:pPr/>
      <w:r>
        <w:rPr>
          <w:lang w:val="en_US" w:bidi="en_US"/>
        </w:rPr>
      </w:r>
      <w:r>
        <w:rPr>
          <w:lang w:val="en_US" w:bidi="en_US"/>
        </w:rPr>
        <w:t>their faces drawn with misery (JBP)</w:t>
      </w:r>
      <w:r>
        <w:rPr>
          <w:lang w:val="en_US" w:bidi="en_US"/>
        </w:rPr>
      </w:r>
      <w:r>
        <w:rPr>
          <w:lang w:val="en_US" w:bidi="en_US"/>
        </w:rPr>
      </w:r>
    </w:p>
    <w:p>
      <w:pPr/>
      <w:r>
        <w:rPr>
          <w:lang w:val="en_US" w:bidi="en_US"/>
        </w:rPr>
      </w:r>
    </w:p>
    <w:p>
      <w:pPr>
        <w:pStyle w:val="Heading2"/>
      </w:pPr>
      <w:r>
        <w:rPr>
          <w:lang w:val="en_US" w:bidi="en_US"/>
        </w:rPr>
        <w:t>Luke 24:18</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24:18a</w:t>
      </w:r>
    </w:p>
    <w:p>
      <w:pPr/>
      <w:r>
        <w:rPr>
          <w:lang w:val="en_US" w:bidi="en_US"/>
        </w:rPr>
      </w:r>
      <w:r>
        <w:rPr>
          <w:b/>
          <w:lang w:val="en_US" w:bidi="en_US"/>
        </w:rPr>
        <w:t>One of them, named Cleopas, asked Him,</w:t>
      </w:r>
    </w:p>
    <w:p>
      <w:pPr>
        <w:pStyle w:val="ListBullet"/>
        <w:spacing w:line="240" w:lineRule="auto"/>
        <w:ind w:left="720"/>
      </w:pPr>
      <w:r>
        <w:rPr>
          <w:lang w:val="en_US" w:bidi="en_US"/>
        </w:rPr>
      </w:r>
      <w:r>
        <w:rPr>
          <w:lang w:val="en_US" w:bidi="en_US"/>
        </w:rPr>
        <w:t xml:space="preserve">One </w:t>
      </w:r>
      <w:r>
        <w:rPr>
          <w:lang w:val="en_US" w:bidi="en_US"/>
        </w:rPr>
        <w:t>of the two disciples</w:t>
      </w:r>
      <w:r>
        <w:rPr>
          <w:lang w:val="en_US" w:bidi="en_US"/>
        </w:rPr>
        <w:t>, whose name was Cleopas, said to Jesus,</w:t>
      </w:r>
    </w:p>
    <w:p>
      <w:pPr>
        <w:pStyle w:val="ListBullet"/>
        <w:spacing w:line="240" w:lineRule="auto"/>
        <w:ind w:left="720"/>
      </w:pPr>
      <w:r>
        <w:rPr>
          <w:lang w:val="en_US" w:bidi="en_US"/>
        </w:rPr>
      </w:r>
      <w:r>
        <w:rPr>
          <w:lang w:val="en_US" w:bidi="en_US"/>
        </w:rPr>
        <w:t>One of them was called/named Cleopas. He said to Jesus,</w:t>
      </w:r>
    </w:p>
    <w:p>
      <w:pPr/>
      <w:r>
        <w:rPr>
          <w:lang w:val="en_US" w:bidi="en_US"/>
        </w:rPr>
      </w:r>
      <w:r>
        <w:rPr>
          <w:b/>
          <w:lang w:val="en_US" w:bidi="en_US"/>
        </w:rPr>
        <w:t>One of them, named Cleopas:</w:t>
      </w:r>
      <w:r>
        <w:rPr>
          <w:lang w:val="en_US" w:bidi="en_US"/>
        </w:rPr>
        <w:t xml:space="preserve"> </w:t>
      </w:r>
      <w:r>
        <w:rPr>
          <w:i/>
          <w:lang w:val="en_US" w:bidi="en_US"/>
        </w:rPr>
        <w:t>Cleopas</w:t>
      </w:r>
      <w:r>
        <w:rPr>
          <w:lang w:val="en_US" w:bidi="en_US"/>
        </w:rPr>
        <w:t xml:space="preserve"> is a man’s name. Transliterate it according to the sounds of your language. The text does not give the name of the other disciple. These two disciples were introduced in 24:13.</w:t>
      </w:r>
    </w:p>
    <w:p>
      <w:pPr/>
      <w:r>
        <w:rPr>
          <w:lang w:val="en_US" w:bidi="en_US"/>
        </w:rPr>
      </w:r>
      <w:r>
        <w:rPr>
          <w:b/>
          <w:lang w:val="en_US" w:bidi="en_US"/>
        </w:rPr>
        <w:t>asked Him:</w:t>
      </w:r>
      <w:r>
        <w:rPr>
          <w:lang w:val="en_US" w:bidi="en_US"/>
        </w:rPr>
        <w:t xml:space="preserve"> The word </w:t>
      </w:r>
      <w:r>
        <w:rPr>
          <w:i/>
          <w:lang w:val="en_US" w:bidi="en_US"/>
        </w:rPr>
        <w:t>Him</w:t>
      </w:r>
      <w:r>
        <w:rPr>
          <w:lang w:val="en_US" w:bidi="en_US"/>
        </w:rPr>
        <w:t xml:space="preserve"> refers to Jesus. However, the question shows that Cleopas did not recognize Jesus. Some other ways to introduce the question are:</w:t>
      </w:r>
    </w:p>
    <w:p>
      <w:pPr/>
      <w:r>
        <w:rPr>
          <w:lang w:val="en_US" w:bidi="en_US"/>
        </w:rPr>
      </w:r>
      <w:r>
        <w:rPr>
          <w:lang w:val="en_US" w:bidi="en_US"/>
        </w:rPr>
        <w:t>replied (GW)</w:t>
      </w:r>
    </w:p>
    <w:p>
      <w:pPr/>
      <w:r>
        <w:rPr>
          <w:lang w:val="en_US" w:bidi="en_US"/>
        </w:rPr>
      </w:r>
      <w:r>
        <w:rPr>
          <w:lang w:val="en_US" w:bidi="en_US"/>
        </w:rPr>
        <w:t>asked Jesus (CEV)</w:t>
      </w:r>
    </w:p>
    <w:p>
      <w:pPr>
        <w:pStyle w:val="Heading5"/>
      </w:pPr>
      <w:r>
        <w:rPr>
          <w:lang w:val="en_US" w:bidi="en_US"/>
        </w:rPr>
        <w:t>24:18b</w:t>
      </w:r>
    </w:p>
    <w:p>
      <w:pPr/>
      <w:r>
        <w:rPr>
          <w:lang w:val="en_US" w:bidi="en_US"/>
        </w:rPr>
      </w:r>
      <w:r>
        <w:rPr>
          <w:b/>
          <w:lang w:val="en_US" w:bidi="en_US"/>
        </w:rPr>
        <w:t>“Are You the only visitor to Jerusalem</w:t>
      </w:r>
    </w:p>
    <w:p>
      <w:pPr>
        <w:pStyle w:val="ListBullet"/>
        <w:spacing w:line="240" w:lineRule="auto"/>
        <w:ind w:left="720"/>
      </w:pPr>
      <w:r>
        <w:rPr>
          <w:lang w:val="en_US" w:bidi="en_US"/>
        </w:rPr>
      </w:r>
      <w:r>
        <w:rPr>
          <w:lang w:val="en_US" w:bidi="en_US"/>
        </w:rPr>
        <w:t>“Are you</w:t>
      </w:r>
      <w:r>
        <w:rPr>
          <w:vertAlign w:val="superscript"/>
          <w:lang w:val="en_US" w:bidi="en_US"/>
        </w:rPr>
        <w:t>(sing)</w:t>
      </w:r>
      <w:r>
        <w:rPr>
          <w:lang w:val="en_US" w:bidi="en_US"/>
        </w:rPr>
        <w:t xml:space="preserve"> the only stranger in Jerusalem</w:t>
      </w:r>
    </w:p>
    <w:p>
      <w:pPr>
        <w:pStyle w:val="ListBullet"/>
        <w:spacing w:line="240" w:lineRule="auto"/>
        <w:ind w:left="720"/>
      </w:pPr>
      <w:r>
        <w:rPr>
          <w:lang w:val="en_US" w:bidi="en_US"/>
        </w:rPr>
      </w:r>
      <w:r>
        <w:rPr>
          <w:lang w:val="en_US" w:bidi="en_US"/>
        </w:rPr>
        <w:t>“Surely you</w:t>
      </w:r>
      <w:r>
        <w:rPr>
          <w:vertAlign w:val="superscript"/>
          <w:lang w:val="en_US" w:bidi="en_US"/>
        </w:rPr>
        <w:t>(sing)</w:t>
      </w:r>
      <w:r>
        <w:rPr>
          <w:lang w:val="en_US" w:bidi="en_US"/>
        </w:rPr>
        <w:t xml:space="preserve"> are the only person staying in </w:t>
      </w:r>
      <w:r>
        <w:rPr>
          <w:lang w:val="en_US" w:bidi="en_US"/>
        </w:rPr>
        <w:t>the city of</w:t>
      </w:r>
      <w:r>
        <w:rPr>
          <w:lang w:val="en_US" w:bidi="en_US"/>
        </w:rPr>
        <w:t xml:space="preserve"> Jerusalem</w:t>
      </w:r>
    </w:p>
    <w:p>
      <w:pPr>
        <w:pStyle w:val="ListBullet"/>
        <w:spacing w:line="240" w:lineRule="auto"/>
        <w:ind w:left="720"/>
      </w:pPr>
      <w:r>
        <w:rPr>
          <w:lang w:val="en_US" w:bidi="en_US"/>
        </w:rPr>
      </w:r>
      <w:r>
        <w:rPr>
          <w:lang w:val="en_US" w:bidi="en_US"/>
        </w:rPr>
        <w:t>“How did it happen that you</w:t>
      </w:r>
      <w:r>
        <w:rPr>
          <w:vertAlign w:val="superscript"/>
          <w:lang w:val="en_US" w:bidi="en_US"/>
        </w:rPr>
        <w:t>(sing)</w:t>
      </w:r>
      <w:r>
        <w:rPr>
          <w:lang w:val="en_US" w:bidi="en_US"/>
        </w:rPr>
        <w:t xml:space="preserve"> were visiting/staying in Jerusalem but you alone</w:t>
      </w:r>
    </w:p>
    <w:p>
      <w:pPr>
        <w:pStyle w:val="Heading5"/>
      </w:pPr>
      <w:r>
        <w:rPr>
          <w:lang w:val="en_US" w:bidi="en_US"/>
        </w:rPr>
        <w:t>24:18c</w:t>
      </w:r>
    </w:p>
    <w:p>
      <w:pPr/>
      <w:r>
        <w:rPr>
          <w:lang w:val="en_US" w:bidi="en_US"/>
        </w:rPr>
      </w:r>
      <w:r>
        <w:rPr>
          <w:b/>
          <w:lang w:val="en_US" w:bidi="en_US"/>
        </w:rPr>
        <w:t>who does not know the things that have happened there in recent days?”</w:t>
      </w:r>
    </w:p>
    <w:p>
      <w:pPr>
        <w:pStyle w:val="ListBullet"/>
        <w:spacing w:line="240" w:lineRule="auto"/>
        <w:ind w:left="720"/>
      </w:pPr>
      <w:r>
        <w:rPr>
          <w:lang w:val="en_US" w:bidi="en_US"/>
        </w:rPr>
      </w:r>
      <w:r>
        <w:rPr>
          <w:lang w:val="en_US" w:bidi="en_US"/>
        </w:rPr>
        <w:t xml:space="preserve">who does not know about the events that have been happening there in the </w:t>
      </w:r>
      <w:r>
        <w:rPr>
          <w:lang w:val="en_US" w:bidi="en_US"/>
        </w:rPr>
        <w:t>past few</w:t>
      </w:r>
      <w:r>
        <w:rPr>
          <w:lang w:val="en_US" w:bidi="en_US"/>
        </w:rPr>
        <w:t xml:space="preserve"> days?”</w:t>
      </w:r>
    </w:p>
    <w:p>
      <w:pPr>
        <w:pStyle w:val="ListBullet"/>
        <w:spacing w:line="240" w:lineRule="auto"/>
        <w:ind w:left="720"/>
      </w:pPr>
      <w:r>
        <w:rPr>
          <w:lang w:val="en_US" w:bidi="en_US"/>
        </w:rPr>
      </w:r>
      <w:r>
        <w:rPr>
          <w:lang w:val="en_US" w:bidi="en_US"/>
        </w:rPr>
        <w:t>who has not learned/heard about what just happened there!”</w:t>
      </w:r>
    </w:p>
    <w:p>
      <w:pPr>
        <w:pStyle w:val="ListBullet"/>
        <w:spacing w:line="240" w:lineRule="auto"/>
        <w:ind w:left="720"/>
      </w:pPr>
      <w:r>
        <w:rPr>
          <w:lang w:val="en_US" w:bidi="en_US"/>
        </w:rPr>
      </w:r>
      <w:r>
        <w:rPr>
          <w:lang w:val="en_US" w:bidi="en_US"/>
        </w:rPr>
        <w:t>do not know what has just happened there?”</w:t>
      </w:r>
    </w:p>
    <w:p>
      <w:pPr>
        <w:pStyle w:val="Heading5"/>
      </w:pPr>
      <w:r>
        <w:rPr>
          <w:lang w:val="en_US" w:bidi="en_US"/>
        </w:rPr>
        <w:t>24:18b–c</w:t>
      </w:r>
    </w:p>
    <w:p>
      <w:pPr/>
      <w:r>
        <w:rPr>
          <w:lang w:val="en_US" w:bidi="en_US"/>
        </w:rPr>
      </w:r>
      <w:r>
        <w:rPr>
          <w:b/>
          <w:lang w:val="en_US" w:bidi="en_US"/>
        </w:rPr>
        <w:t>Are You the only visitor to Jerusalem who does not know the things that have happened there in recent days?:</w:t>
      </w:r>
      <w:r>
        <w:rPr>
          <w:lang w:val="en_US" w:bidi="en_US"/>
        </w:rPr>
        <w:t xml:space="preserve"> In Greek this is a rhetorical question that expresses surprise. The beginning of the question is more literally, “Are you alone visiting in Jerusalem and…?” The word “you” is emphasized. This indicates that Cleopas was surprised that Jesus did not know about the events that he and his companion were discussing. It implies that everyone else in Jerusalem knew about those events.</w:t>
      </w:r>
    </w:p>
    <w:p>
      <w:pPr/>
      <w:r>
        <w:rPr>
          <w:lang w:val="en_US" w:bidi="en_US"/>
        </w:rPr>
      </w:r>
      <w:r>
        <w:rPr>
          <w:lang w:val="en_US" w:bidi="en_US"/>
        </w:rPr>
        <w:t>Some ways to translate this surprise are:</w:t>
      </w:r>
    </w:p>
    <w:p>
      <w:pPr>
        <w:pStyle w:val="ListBullet"/>
        <w:spacing w:line="240" w:lineRule="auto"/>
        <w:ind w:left="720"/>
      </w:pPr>
      <w:r>
        <w:rPr>
          <w:lang w:val="en_US" w:bidi="en_US"/>
        </w:rPr>
      </w:r>
      <w:r>
        <w:rPr>
          <w:lang w:val="en_US" w:bidi="en_US"/>
        </w:rPr>
        <w:t>As a rhetorical question. For example:</w:t>
      </w:r>
      <w:r>
        <w:rPr>
          <w:lang w:val="en_US" w:bidi="en_US"/>
        </w:rPr>
        <w:t>Are you the only visitor in Jerusalem who doesn’t know the things that have been happening there these last few days? (GNT)</w:t>
      </w:r>
    </w:p>
    <w:p>
      <w:pPr>
        <w:pStyle w:val="ListBullet"/>
        <w:spacing w:line="240" w:lineRule="auto"/>
        <w:ind w:left="720"/>
      </w:pPr>
      <w:r>
        <w:rPr>
          <w:lang w:val="en_US" w:bidi="en_US"/>
        </w:rPr>
      </w:r>
      <w:r>
        <w:rPr>
          <w:lang w:val="en_US" w:bidi="en_US"/>
        </w:rPr>
        <w:t>As a statement. For example:</w:t>
      </w:r>
      <w:r>
        <w:rPr>
          <w:lang w:val="en_US" w:bidi="en_US"/>
        </w:rPr>
        <w:t>You must be the only person staying in Jerusalem who does not know the things that have been happening there these last few days. (NJB)</w:t>
      </w:r>
    </w:p>
    <w:p>
      <w:pPr/>
      <w:r>
        <w:rPr>
          <w:lang w:val="en_US" w:bidi="en_US"/>
        </w:rPr>
      </w:r>
      <w:r>
        <w:rPr>
          <w:lang w:val="en_US" w:bidi="en_US"/>
        </w:rPr>
        <w:t>Translate this surprise in a way that is natural in your language.</w:t>
      </w:r>
    </w:p>
    <w:p>
      <w:pPr/>
      <w:r>
        <w:rPr>
          <w:lang w:val="en_US" w:bidi="en_US"/>
        </w:rPr>
      </w:r>
      <w:r>
        <w:rPr>
          <w:b/>
          <w:lang w:val="en_US" w:bidi="en_US"/>
        </w:rPr>
        <w:t>the things that have happened there in recent days:</w:t>
      </w:r>
      <w:r>
        <w:rPr>
          <w:lang w:val="en_US" w:bidi="en_US"/>
        </w:rPr>
        <w:t xml:space="preserve"> This phrase refers to the events that happened to Jesus, especially the events listed in 24:20. The phrase </w:t>
      </w:r>
      <w:r>
        <w:rPr>
          <w:i/>
          <w:lang w:val="en_US" w:bidi="en_US"/>
        </w:rPr>
        <w:t>in recent days</w:t>
      </w:r>
      <w:r>
        <w:rPr>
          <w:lang w:val="en_US" w:bidi="en_US"/>
        </w:rPr>
        <w:t xml:space="preserve"> refers to the events of the last week of Jesus’ life, especially to Jesus’ trial and crucifixion. Some other ways to translate it are:</w:t>
      </w:r>
    </w:p>
    <w:p>
      <w:pPr/>
      <w:r>
        <w:rPr>
          <w:lang w:val="en_US" w:bidi="en_US"/>
        </w:rPr>
      </w:r>
      <w:r>
        <w:rPr>
          <w:lang w:val="en_US" w:bidi="en_US"/>
        </w:rPr>
        <w:t>what has happened there in the last few days (REB)</w:t>
      </w:r>
    </w:p>
    <w:p>
      <w:pPr/>
      <w:r>
        <w:rPr>
          <w:lang w:val="en_US" w:bidi="en_US"/>
        </w:rPr>
      </w:r>
      <w:r>
        <w:rPr>
          <w:lang w:val="en_US" w:bidi="en_US"/>
        </w:rPr>
        <w:t>what has happened recently (GW)</w:t>
      </w:r>
      <w:r>
        <w:rPr>
          <w:lang w:val="en_US" w:bidi="en_US"/>
        </w:rPr>
      </w:r>
      <w:r>
        <w:rPr>
          <w:lang w:val="en_US" w:bidi="en_US"/>
        </w:rPr>
      </w:r>
    </w:p>
    <w:p>
      <w:pPr/>
      <w:r>
        <w:rPr>
          <w:lang w:val="en_US" w:bidi="en_US"/>
        </w:rPr>
      </w:r>
    </w:p>
    <w:p>
      <w:pPr>
        <w:pStyle w:val="Heading2"/>
      </w:pPr>
      <w:r>
        <w:rPr>
          <w:lang w:val="en_US" w:bidi="en_US"/>
        </w:rPr>
        <w:t>Luke 24:19</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24:19a</w:t>
      </w:r>
    </w:p>
    <w:p>
      <w:pPr/>
      <w:r>
        <w:rPr>
          <w:lang w:val="en_US" w:bidi="en_US"/>
        </w:rPr>
      </w:r>
      <w:r>
        <w:rPr>
          <w:b/>
          <w:lang w:val="en_US" w:bidi="en_US"/>
        </w:rPr>
        <w:t>“What things?” He asked.</w:t>
      </w:r>
    </w:p>
    <w:p>
      <w:pPr>
        <w:pStyle w:val="ListBullet"/>
        <w:spacing w:line="240" w:lineRule="auto"/>
        <w:ind w:left="720"/>
      </w:pPr>
      <w:r>
        <w:rPr>
          <w:lang w:val="en_US" w:bidi="en_US"/>
        </w:rPr>
      </w:r>
      <w:r>
        <w:rPr>
          <w:lang w:val="en_US" w:bidi="en_US"/>
        </w:rPr>
        <w:t>¶ Then Jesus asked them, “What events?”</w:t>
      </w:r>
    </w:p>
    <w:p>
      <w:pPr>
        <w:pStyle w:val="ListBullet"/>
        <w:spacing w:line="240" w:lineRule="auto"/>
        <w:ind w:left="720"/>
      </w:pPr>
      <w:r>
        <w:rPr>
          <w:lang w:val="en_US" w:bidi="en_US"/>
        </w:rPr>
      </w:r>
      <w:r>
        <w:rPr>
          <w:lang w:val="en_US" w:bidi="en_US"/>
        </w:rPr>
        <w:t>¶ Jesus replied, “</w:t>
      </w:r>
      <w:r>
        <w:rPr>
          <w:lang w:val="en_US" w:bidi="en_US"/>
        </w:rPr>
        <w:t>So</w:t>
      </w:r>
      <w:r>
        <w:rPr>
          <w:lang w:val="en_US" w:bidi="en_US"/>
        </w:rPr>
        <w:t xml:space="preserve"> what happened?”</w:t>
      </w:r>
    </w:p>
    <w:p>
      <w:pPr>
        <w:pStyle w:val="ListBullet"/>
        <w:spacing w:line="240" w:lineRule="auto"/>
        <w:ind w:left="720"/>
      </w:pPr>
      <w:r>
        <w:rPr>
          <w:lang w:val="en_US" w:bidi="en_US"/>
        </w:rPr>
      </w:r>
      <w:r>
        <w:rPr>
          <w:lang w:val="en_US" w:bidi="en_US"/>
        </w:rPr>
        <w:t>¶ Then Jesus said, “So tell me what happened.”</w:t>
      </w:r>
    </w:p>
    <w:p>
      <w:pPr/>
      <w:r>
        <w:rPr>
          <w:lang w:val="en_US" w:bidi="en_US"/>
        </w:rPr>
      </w:r>
      <w:r>
        <w:rPr>
          <w:b/>
          <w:lang w:val="en_US" w:bidi="en_US"/>
        </w:rPr>
        <w:t>What things?:</w:t>
      </w:r>
      <w:r>
        <w:rPr>
          <w:lang w:val="en_US" w:bidi="en_US"/>
        </w:rPr>
        <w:t xml:space="preserve"> The Greek word that the BSB translates as </w:t>
      </w:r>
      <w:r>
        <w:rPr>
          <w:i/>
          <w:lang w:val="en_US" w:bidi="en_US"/>
        </w:rPr>
        <w:t>What things?</w:t>
      </w:r>
      <w:r>
        <w:rPr>
          <w:lang w:val="en_US" w:bidi="en_US"/>
        </w:rPr>
        <w:t xml:space="preserve"> is a plural form of the question word “What?” Jesus used the question to ask Cleopas which events he was referring to in 24:18. In some languages it is necessary to make this question more explicit. For example:</w:t>
      </w:r>
    </w:p>
    <w:p>
      <w:pPr/>
      <w:r>
        <w:rPr>
          <w:lang w:val="en_US" w:bidi="en_US"/>
        </w:rPr>
      </w:r>
      <w:r>
        <w:rPr>
          <w:lang w:val="en_US" w:bidi="en_US"/>
        </w:rPr>
        <w:t xml:space="preserve">What things </w:t>
      </w:r>
      <w:r>
        <w:rPr>
          <w:lang w:val="en_US" w:bidi="en_US"/>
        </w:rPr>
        <w:t>have happened</w:t>
      </w:r>
      <w:r>
        <w:rPr>
          <w:lang w:val="en_US" w:bidi="en_US"/>
        </w:rPr>
        <w:t>?</w:t>
      </w:r>
    </w:p>
    <w:p>
      <w:pPr/>
      <w:r>
        <w:rPr>
          <w:lang w:val="en_US" w:bidi="en_US"/>
        </w:rPr>
      </w:r>
      <w:r>
        <w:rPr>
          <w:lang w:val="en_US" w:bidi="en_US"/>
        </w:rPr>
        <w:t xml:space="preserve">Which events </w:t>
      </w:r>
      <w:r>
        <w:rPr>
          <w:lang w:val="en_US" w:bidi="en_US"/>
        </w:rPr>
        <w:t>are you</w:t>
      </w:r>
      <w:r>
        <w:rPr>
          <w:vertAlign w:val="superscript"/>
          <w:lang w:val="en_US" w:bidi="en_US"/>
        </w:rPr>
        <w:t>(plur)</w:t>
      </w:r>
      <w:r>
        <w:rPr>
          <w:lang w:val="en_US" w:bidi="en_US"/>
        </w:rPr>
        <w:t xml:space="preserve"> </w:t>
      </w:r>
      <w:r>
        <w:rPr>
          <w:lang w:val="en_US" w:bidi="en_US"/>
        </w:rPr>
        <w:t>talking about</w:t>
      </w:r>
      <w:r>
        <w:rPr>
          <w:lang w:val="en_US" w:bidi="en_US"/>
        </w:rPr>
        <w:t>?</w:t>
      </w:r>
    </w:p>
    <w:p>
      <w:pPr/>
      <w:r>
        <w:rPr>
          <w:lang w:val="en_US" w:bidi="en_US"/>
        </w:rPr>
      </w:r>
      <w:r>
        <w:rPr>
          <w:lang w:val="en_US" w:bidi="en_US"/>
        </w:rPr>
        <w:t>In other languages, a short question is natural, but a different word or phrase may be used. For example:</w:t>
      </w:r>
    </w:p>
    <w:p>
      <w:pPr/>
      <w:r>
        <w:rPr>
          <w:lang w:val="en_US" w:bidi="en_US"/>
        </w:rPr>
      </w:r>
      <w:r>
        <w:rPr>
          <w:lang w:val="en_US" w:bidi="en_US"/>
        </w:rPr>
        <w:t>Which?</w:t>
      </w:r>
    </w:p>
    <w:p>
      <w:pPr/>
      <w:r>
        <w:rPr>
          <w:lang w:val="en_US" w:bidi="en_US"/>
        </w:rPr>
      </w:r>
      <w:r>
        <w:rPr>
          <w:lang w:val="en_US" w:bidi="en_US"/>
        </w:rPr>
        <w:t>What happened? (GW)</w:t>
      </w:r>
    </w:p>
    <w:p>
      <w:pPr/>
      <w:r>
        <w:rPr>
          <w:lang w:val="en_US" w:bidi="en_US"/>
        </w:rPr>
      </w:r>
      <w:r>
        <w:rPr>
          <w:lang w:val="en_US" w:bidi="en_US"/>
        </w:rPr>
        <w:t>Translate the question in a natural way in your language.</w:t>
      </w:r>
    </w:p>
    <w:p>
      <w:pPr/>
      <w:r>
        <w:rPr>
          <w:lang w:val="en_US" w:bidi="en_US"/>
        </w:rPr>
      </w:r>
      <w:r>
        <w:rPr>
          <w:b/>
          <w:lang w:val="en_US" w:bidi="en_US"/>
        </w:rPr>
        <w:t>He asked:</w:t>
      </w:r>
      <w:r>
        <w:rPr>
          <w:lang w:val="en_US" w:bidi="en_US"/>
        </w:rPr>
        <w:t xml:space="preserve"> The Greek phrase that the BSB translates as </w:t>
      </w:r>
      <w:r>
        <w:rPr>
          <w:i/>
          <w:lang w:val="en_US" w:bidi="en_US"/>
        </w:rPr>
        <w:t>He asked</w:t>
      </w:r>
      <w:r>
        <w:rPr>
          <w:lang w:val="en_US" w:bidi="en_US"/>
        </w:rPr>
        <w:t xml:space="preserve"> is literally “and he said to them.” It begins this verse. Translate it in a natural way and place it where it is natural in your language.</w:t>
      </w:r>
    </w:p>
    <w:p>
      <w:pPr>
        <w:pStyle w:val="Heading5"/>
      </w:pPr>
      <w:r>
        <w:rPr>
          <w:lang w:val="en_US" w:bidi="en_US"/>
        </w:rPr>
        <w:t>24:19b</w:t>
      </w:r>
    </w:p>
    <w:p>
      <w:pPr/>
      <w:r>
        <w:rPr>
          <w:lang w:val="en_US" w:bidi="en_US"/>
        </w:rPr>
      </w:r>
      <w:r>
        <w:rPr>
          <w:b/>
          <w:lang w:val="en_US" w:bidi="en_US"/>
        </w:rPr>
        <w:t>“The events involving Jesus of Nazareth,” they answered.</w:t>
      </w:r>
    </w:p>
    <w:p>
      <w:pPr>
        <w:pStyle w:val="ListBullet"/>
        <w:spacing w:line="240" w:lineRule="auto"/>
        <w:ind w:left="720"/>
      </w:pPr>
      <w:r>
        <w:rPr>
          <w:lang w:val="en_US" w:bidi="en_US"/>
        </w:rPr>
      </w:r>
      <w:r>
        <w:rPr>
          <w:lang w:val="en_US" w:bidi="en_US"/>
        </w:rPr>
        <w:t>They answered, “</w:t>
      </w:r>
      <w:r>
        <w:rPr>
          <w:lang w:val="en_US" w:bidi="en_US"/>
        </w:rPr>
        <w:t>The events</w:t>
      </w:r>
      <w:r>
        <w:rPr>
          <w:lang w:val="en_US" w:bidi="en_US"/>
        </w:rPr>
        <w:t xml:space="preserve"> concerning Jesus from </w:t>
      </w:r>
      <w:r>
        <w:rPr>
          <w:lang w:val="en_US" w:bidi="en_US"/>
        </w:rPr>
        <w:t>the town of</w:t>
      </w:r>
      <w:r>
        <w:rPr>
          <w:lang w:val="en_US" w:bidi="en_US"/>
        </w:rPr>
        <w:t xml:space="preserve"> Nazareth.</w:t>
      </w:r>
    </w:p>
    <w:p>
      <w:pPr>
        <w:pStyle w:val="ListBullet"/>
        <w:spacing w:line="240" w:lineRule="auto"/>
        <w:ind w:left="720"/>
      </w:pPr>
      <w:r>
        <w:rPr>
          <w:lang w:val="en_US" w:bidi="en_US"/>
        </w:rPr>
      </w:r>
      <w:r>
        <w:rPr>
          <w:lang w:val="en_US" w:bidi="en_US"/>
        </w:rPr>
        <w:t>They said to him, “We were discussing what happened to Jesus from Nazareth. (GW)</w:t>
      </w:r>
    </w:p>
    <w:p>
      <w:pPr/>
      <w:r>
        <w:rPr>
          <w:lang w:val="en_US" w:bidi="en_US"/>
        </w:rPr>
      </w:r>
      <w:r>
        <w:rPr>
          <w:b/>
          <w:lang w:val="en_US" w:bidi="en_US"/>
        </w:rPr>
        <w:t>The events involving Jesus of Nazareth:</w:t>
      </w:r>
      <w:r>
        <w:rPr>
          <w:lang w:val="en_US" w:bidi="en_US"/>
        </w:rPr>
        <w:t xml:space="preserve"> The Greek phrase that the BSB translates as </w:t>
      </w:r>
      <w:r>
        <w:rPr>
          <w:i/>
          <w:lang w:val="en_US" w:bidi="en_US"/>
        </w:rPr>
        <w:t>The events involving Jesus of Nazareth</w:t>
      </w:r>
      <w:r>
        <w:rPr>
          <w:lang w:val="en_US" w:bidi="en_US"/>
        </w:rPr>
        <w:t xml:space="preserve"> is more literally “the things about Jesus of Nazareth.” In some languages it may be natural to translate this answer as a complete sentence. For example:</w:t>
      </w:r>
    </w:p>
    <w:p>
      <w:pPr/>
      <w:r>
        <w:rPr>
          <w:lang w:val="en_US" w:bidi="en_US"/>
        </w:rPr>
      </w:r>
      <w:r>
        <w:rPr>
          <w:lang w:val="en_US" w:bidi="en_US"/>
        </w:rPr>
        <w:t>We</w:t>
      </w:r>
      <w:r>
        <w:rPr>
          <w:lang w:val="en_US" w:bidi="en_US"/>
        </w:rPr>
        <w:t xml:space="preserve"> </w:t>
      </w:r>
      <w:r>
        <w:rPr>
          <w:vertAlign w:val="superscript"/>
          <w:lang w:val="en_US" w:bidi="en_US"/>
        </w:rPr>
        <w:t>(dual/excl)</w:t>
      </w:r>
      <w:r>
        <w:rPr>
          <w:lang w:val="en_US" w:bidi="en_US"/>
        </w:rPr>
        <w:t xml:space="preserve"> </w:t>
      </w:r>
      <w:r>
        <w:rPr>
          <w:lang w:val="en_US" w:bidi="en_US"/>
        </w:rPr>
        <w:t>are talking</w:t>
      </w:r>
      <w:r>
        <w:rPr>
          <w:lang w:val="en_US" w:bidi="en_US"/>
        </w:rPr>
        <w:t xml:space="preserve"> about the things/events </w:t>
      </w:r>
      <w:r>
        <w:rPr>
          <w:lang w:val="en_US" w:bidi="en_US"/>
        </w:rPr>
        <w:t>that happened to</w:t>
      </w:r>
      <w:r>
        <w:rPr>
          <w:lang w:val="en_US" w:bidi="en_US"/>
        </w:rPr>
        <w:t xml:space="preserve"> Jesus from Nazareth.</w:t>
      </w:r>
    </w:p>
    <w:p>
      <w:pPr/>
      <w:r>
        <w:rPr>
          <w:lang w:val="en_US" w:bidi="en_US"/>
        </w:rPr>
      </w:r>
      <w:r>
        <w:rPr>
          <w:b/>
          <w:lang w:val="en_US" w:bidi="en_US"/>
        </w:rPr>
        <w:t>Jesus of Nazareth:</w:t>
      </w:r>
      <w:r>
        <w:rPr>
          <w:lang w:val="en_US" w:bidi="en_US"/>
        </w:rPr>
        <w:t xml:space="preserve"> The phrase </w:t>
      </w:r>
      <w:r>
        <w:rPr>
          <w:i/>
          <w:lang w:val="en_US" w:bidi="en_US"/>
        </w:rPr>
        <w:t>Jesus of Nazareth</w:t>
      </w:r>
      <w:r>
        <w:rPr>
          <w:lang w:val="en_US" w:bidi="en_US"/>
        </w:rPr>
        <w:t xml:space="preserve"> means “Jesus who is from the town of Nazareth.” The phrase </w:t>
      </w:r>
      <w:r>
        <w:rPr>
          <w:i/>
          <w:lang w:val="en_US" w:bidi="en_US"/>
        </w:rPr>
        <w:t>of Nazareth</w:t>
      </w:r>
      <w:r>
        <w:rPr>
          <w:lang w:val="en_US" w:bidi="en_US"/>
        </w:rPr>
        <w:t xml:space="preserve"> (literally “the Nazarene”) distinguished him from other men who were also named </w:t>
      </w:r>
      <w:r>
        <w:rPr>
          <w:i/>
          <w:lang w:val="en_US" w:bidi="en_US"/>
        </w:rPr>
        <w:t>Jesus</w:t>
      </w:r>
      <w:r>
        <w:rPr>
          <w:lang w:val="en_US" w:bidi="en_US"/>
        </w:rPr>
        <w:t xml:space="preserve">. He was the man named </w:t>
      </w:r>
      <w:r>
        <w:rPr>
          <w:i/>
          <w:lang w:val="en_US" w:bidi="en_US"/>
        </w:rPr>
        <w:t>Jesus</w:t>
      </w:r>
      <w:r>
        <w:rPr>
          <w:lang w:val="en_US" w:bidi="en_US"/>
        </w:rPr>
        <w:t xml:space="preserve"> who was from Nazareth. The phrase </w:t>
      </w:r>
      <w:r>
        <w:rPr>
          <w:i/>
          <w:lang w:val="en_US" w:bidi="en_US"/>
        </w:rPr>
        <w:t>Jesus of Nazareth</w:t>
      </w:r>
      <w:r>
        <w:rPr>
          <w:lang w:val="en_US" w:bidi="en_US"/>
        </w:rPr>
        <w:t xml:space="preserve"> also occurred in 18:37. You should translate it in a similar way here.</w:t>
      </w:r>
    </w:p>
    <w:p>
      <w:pPr/>
      <w:r>
        <w:rPr>
          <w:lang w:val="en_US" w:bidi="en_US"/>
        </w:rPr>
      </w:r>
      <w:r>
        <w:rPr>
          <w:b/>
          <w:lang w:val="en_US" w:bidi="en_US"/>
        </w:rPr>
        <w:t>they answered:</w:t>
      </w:r>
      <w:r>
        <w:rPr>
          <w:lang w:val="en_US" w:bidi="en_US"/>
        </w:rPr>
        <w:t xml:space="preserve"> The Greek phrase that the BSB translates as </w:t>
      </w:r>
      <w:r>
        <w:rPr>
          <w:i/>
          <w:lang w:val="en_US" w:bidi="en_US"/>
        </w:rPr>
        <w:t>they answered</w:t>
      </w:r>
      <w:r>
        <w:rPr>
          <w:lang w:val="en_US" w:bidi="en_US"/>
        </w:rPr>
        <w:t xml:space="preserve"> is literally, “and they said to him.” It occurs at the beginning of 24:19b. Place it where it is natural in your language.</w:t>
      </w:r>
    </w:p>
    <w:p>
      <w:pPr/>
      <w:r>
        <w:rPr>
          <w:lang w:val="en_US" w:bidi="en_US"/>
        </w:rPr>
      </w:r>
      <w:r>
        <w:rPr>
          <w:lang w:val="en_US" w:bidi="en_US"/>
        </w:rPr>
        <w:t>This phrase introduces what the two disciples said in 24:19c–24. It does not imply that both disciples spoke at the same time in unison. It probably implies that each disciple said some of the statements. It also implies that the two disciples agreed in what they told Jesus. Use a phrase that implies this in your language.</w:t>
      </w:r>
    </w:p>
    <w:p>
      <w:pPr>
        <w:pStyle w:val="Heading5"/>
      </w:pPr>
      <w:r>
        <w:rPr>
          <w:lang w:val="en_US" w:bidi="en_US"/>
        </w:rPr>
        <w:t>24:19c</w:t>
      </w:r>
    </w:p>
    <w:p>
      <w:pPr/>
      <w:r>
        <w:rPr>
          <w:lang w:val="en_US" w:bidi="en_US"/>
        </w:rPr>
      </w:r>
      <w:r>
        <w:rPr>
          <w:b/>
          <w:lang w:val="en_US" w:bidi="en_US"/>
        </w:rPr>
        <w:t>“This man was a prophet, powerful in speech and action</w:t>
      </w:r>
    </w:p>
    <w:p>
      <w:pPr>
        <w:pStyle w:val="ListBullet"/>
        <w:spacing w:line="240" w:lineRule="auto"/>
        <w:ind w:left="720"/>
      </w:pPr>
      <w:r>
        <w:rPr>
          <w:lang w:val="en_US" w:bidi="en_US"/>
        </w:rPr>
      </w:r>
      <w:r>
        <w:rPr>
          <w:lang w:val="en_US" w:bidi="en_US"/>
        </w:rPr>
        <w:t>He was a prophet, and his message and his deeds/actions were powerful</w:t>
      </w:r>
    </w:p>
    <w:p>
      <w:pPr>
        <w:pStyle w:val="ListBullet"/>
        <w:spacing w:line="240" w:lineRule="auto"/>
        <w:ind w:left="720"/>
      </w:pPr>
      <w:r>
        <w:rPr>
          <w:lang w:val="en_US" w:bidi="en_US"/>
        </w:rPr>
      </w:r>
      <w:r>
        <w:rPr>
          <w:lang w:val="en_US" w:bidi="en_US"/>
        </w:rPr>
        <w:t xml:space="preserve">He was a prophet, and </w:t>
      </w:r>
      <w:r>
        <w:rPr>
          <w:lang w:val="en_US" w:bidi="en_US"/>
        </w:rPr>
        <w:t>God</w:t>
      </w:r>
      <w:r>
        <w:rPr>
          <w:lang w:val="en_US" w:bidi="en_US"/>
        </w:rPr>
        <w:t xml:space="preserve"> </w:t>
      </w:r>
      <w:r>
        <w:rPr>
          <w:lang w:val="en_US" w:bidi="en_US"/>
        </w:rPr>
        <w:t>gave</w:t>
      </w:r>
      <w:r>
        <w:rPr>
          <w:lang w:val="en_US" w:bidi="en_US"/>
        </w:rPr>
        <w:t xml:space="preserve"> him power/authority to teach </w:t>
      </w:r>
      <w:r>
        <w:rPr>
          <w:lang w:val="en_US" w:bidi="en_US"/>
        </w:rPr>
        <w:t>people</w:t>
      </w:r>
      <w:r>
        <w:rPr>
          <w:lang w:val="en_US" w:bidi="en_US"/>
        </w:rPr>
        <w:t xml:space="preserve"> and do great deeds/miracles.</w:t>
      </w:r>
    </w:p>
    <w:p>
      <w:pPr/>
      <w:r>
        <w:rPr>
          <w:lang w:val="en_US" w:bidi="en_US"/>
        </w:rPr>
      </w:r>
      <w:r>
        <w:rPr>
          <w:b/>
          <w:lang w:val="en_US" w:bidi="en_US"/>
        </w:rPr>
        <w:t>This man was a prophet, powerful in speech and action:</w:t>
      </w:r>
      <w:r>
        <w:rPr>
          <w:lang w:val="en_US" w:bidi="en_US"/>
        </w:rPr>
        <w:t xml:space="preserve"> This statement implies that Jesus was </w:t>
      </w:r>
      <w:r>
        <w:rPr>
          <w:i/>
          <w:lang w:val="en_US" w:bidi="en_US"/>
        </w:rPr>
        <w:t>powerful in speech and action</w:t>
      </w:r>
      <w:r>
        <w:rPr>
          <w:lang w:val="en_US" w:bidi="en_US"/>
        </w:rPr>
        <w:t xml:space="preserve"> because he was a prophet from God. God gave him authority to speak for him and to do things by his power. The things that Jesus said and did affected people powerfully. For example, he healed sick people, made blind people see, calmed a storm, and raised a child from death. He commanded demons to leave people and the demons obeyed. He spoke with such wisdom that none of his enemies was able to prove him wrong.</w:t>
      </w:r>
    </w:p>
    <w:p>
      <w:pPr/>
      <w:r>
        <w:rPr>
          <w:lang w:val="en_US" w:bidi="en_US"/>
        </w:rPr>
      </w:r>
      <w:r>
        <w:rPr>
          <w:lang w:val="en_US" w:bidi="en_US"/>
        </w:rPr>
        <w:t>Some ways to translate this statement are:</w:t>
      </w:r>
    </w:p>
    <w:p>
      <w:pPr/>
      <w:r>
        <w:rPr>
          <w:lang w:val="en_US" w:bidi="en_US"/>
        </w:rPr>
      </w:r>
      <w:r>
        <w:rPr>
          <w:lang w:val="en_US" w:bidi="en_US"/>
        </w:rPr>
        <w:t>By what he did and said he showed that he was a powerful prophet (CEV)</w:t>
      </w:r>
    </w:p>
    <w:p>
      <w:pPr/>
      <w:r>
        <w:rPr>
          <w:lang w:val="en_US" w:bidi="en_US"/>
        </w:rPr>
      </w:r>
      <w:r>
        <w:rPr>
          <w:lang w:val="en_US" w:bidi="en_US"/>
        </w:rPr>
        <w:t>He was a prophet of God…He had great power to teach and he had great power also to do miracles.</w:t>
      </w:r>
      <w:r>
        <w:rPr>
          <w:lang w:val="en_US" w:bidi="en_US"/>
        </w:rPr>
        <w:t>Western Bukidnon Manobo back translation on TW.</w:t>
      </w:r>
    </w:p>
    <w:p>
      <w:pPr/>
      <w:r>
        <w:rPr>
          <w:lang w:val="en_US" w:bidi="en_US"/>
        </w:rPr>
      </w:r>
      <w:r>
        <w:rPr>
          <w:lang w:val="en_US" w:bidi="en_US"/>
        </w:rPr>
        <w:t>God sent</w:t>
      </w:r>
      <w:r>
        <w:rPr>
          <w:lang w:val="en_US" w:bidi="en_US"/>
        </w:rPr>
        <w:t xml:space="preserve"> him as a prophet. He used the authority God gave him to do powerful </w:t>
      </w:r>
      <w:r>
        <w:rPr>
          <w:lang w:val="en_US" w:bidi="en_US"/>
        </w:rPr>
        <w:t>good</w:t>
      </w:r>
      <w:r>
        <w:rPr>
          <w:lang w:val="en_US" w:bidi="en_US"/>
        </w:rPr>
        <w:t xml:space="preserve"> works and speak </w:t>
      </w:r>
      <w:r>
        <w:rPr>
          <w:lang w:val="en_US" w:bidi="en_US"/>
        </w:rPr>
        <w:t>God’s</w:t>
      </w:r>
      <w:r>
        <w:rPr>
          <w:lang w:val="en_US" w:bidi="en_US"/>
        </w:rPr>
        <w:t xml:space="preserve"> message/words</w:t>
      </w:r>
    </w:p>
    <w:p>
      <w:pPr/>
      <w:r>
        <w:rPr>
          <w:lang w:val="en_US" w:bidi="en_US"/>
        </w:rPr>
      </w:r>
      <w:r>
        <w:rPr>
          <w:b/>
          <w:lang w:val="en_US" w:bidi="en_US"/>
        </w:rPr>
        <w:t>a prophet:</w:t>
      </w:r>
      <w:r>
        <w:rPr>
          <w:lang w:val="en_US" w:bidi="en_US"/>
        </w:rPr>
        <w:t xml:space="preserve"> A </w:t>
      </w:r>
      <w:r>
        <w:rPr>
          <w:i/>
          <w:lang w:val="en_US" w:bidi="en_US"/>
        </w:rPr>
        <w:t>prophet</w:t>
      </w:r>
      <w:r>
        <w:rPr>
          <w:lang w:val="en_US" w:bidi="en_US"/>
        </w:rPr>
        <w:t xml:space="preserve"> is a man who speaks on behalf of God. He tells people what God reveals to him. The disciples implied that Jesus was a prophet like the prophets in the Old Testament. Some other ways to translate </w:t>
      </w:r>
      <w:r>
        <w:rPr>
          <w:i/>
          <w:lang w:val="en_US" w:bidi="en_US"/>
        </w:rPr>
        <w:t>prophet</w:t>
      </w:r>
      <w:r>
        <w:rPr>
          <w:lang w:val="en_US" w:bidi="en_US"/>
        </w:rPr>
        <w:t xml:space="preserve"> in this context are:</w:t>
      </w:r>
    </w:p>
    <w:p>
      <w:pPr/>
      <w:r>
        <w:rPr>
          <w:lang w:val="en_US" w:bidi="en_US"/>
        </w:rPr>
      </w:r>
      <w:r>
        <w:rPr>
          <w:lang w:val="en_US" w:bidi="en_US"/>
        </w:rPr>
        <w:t>a spokesman for God</w:t>
      </w:r>
    </w:p>
    <w:p>
      <w:pPr/>
      <w:r>
        <w:rPr>
          <w:lang w:val="en_US" w:bidi="en_US"/>
        </w:rPr>
      </w:r>
      <w:r>
        <w:rPr>
          <w:lang w:val="en_US" w:bidi="en_US"/>
        </w:rPr>
        <w:t>God’s message-speaker</w:t>
      </w:r>
    </w:p>
    <w:p>
      <w:pPr/>
      <w:r>
        <w:rPr>
          <w:lang w:val="en_US" w:bidi="en_US"/>
        </w:rPr>
      </w:r>
      <w:r>
        <w:rPr>
          <w:lang w:val="en_US" w:bidi="en_US"/>
        </w:rPr>
        <w:t>a person who spoke with God’s authority</w:t>
      </w:r>
    </w:p>
    <w:p>
      <w:pPr/>
      <w:r>
        <w:rPr>
          <w:lang w:val="en_US" w:bidi="en_US"/>
        </w:rPr>
      </w:r>
      <w:r>
        <w:rPr>
          <w:lang w:val="en_US" w:bidi="en_US"/>
        </w:rPr>
        <w:t xml:space="preserve">The word </w:t>
      </w:r>
      <w:r>
        <w:rPr>
          <w:i/>
          <w:lang w:val="en_US" w:bidi="en_US"/>
        </w:rPr>
        <w:t>prophet</w:t>
      </w:r>
      <w:r>
        <w:rPr>
          <w:lang w:val="en_US" w:bidi="en_US"/>
        </w:rPr>
        <w:t xml:space="preserve"> also occurred in 20:6, where it referred to John the Baptist. See how you translated it there. For more information, see prophet in the Glossary.</w:t>
      </w:r>
    </w:p>
    <w:p>
      <w:pPr/>
      <w:r>
        <w:rPr>
          <w:lang w:val="en_US" w:bidi="en_US"/>
        </w:rPr>
      </w:r>
      <w:r>
        <w:rPr>
          <w:b/>
          <w:lang w:val="en_US" w:bidi="en_US"/>
        </w:rPr>
        <w:t>speech and action:</w:t>
      </w:r>
      <w:r>
        <w:rPr>
          <w:lang w:val="en_US" w:bidi="en_US"/>
        </w:rPr>
        <w:t xml:space="preserve"> In Greek this phrase is literally “deed and word.” Use the order that is natural in your language.</w:t>
      </w:r>
    </w:p>
    <w:p>
      <w:pPr>
        <w:pStyle w:val="Heading5"/>
      </w:pPr>
      <w:r>
        <w:rPr>
          <w:lang w:val="en_US" w:bidi="en_US"/>
        </w:rPr>
        <w:t>24:19d</w:t>
      </w:r>
    </w:p>
    <w:p>
      <w:pPr/>
      <w:r>
        <w:rPr>
          <w:lang w:val="en_US" w:bidi="en_US"/>
        </w:rPr>
      </w:r>
      <w:r>
        <w:rPr>
          <w:b/>
          <w:lang w:val="en_US" w:bidi="en_US"/>
        </w:rPr>
        <w:t>before God and all the people.</w:t>
      </w:r>
    </w:p>
    <w:p>
      <w:pPr>
        <w:pStyle w:val="ListBullet"/>
        <w:spacing w:line="240" w:lineRule="auto"/>
        <w:ind w:left="720"/>
      </w:pPr>
      <w:r>
        <w:rPr>
          <w:lang w:val="en_US" w:bidi="en_US"/>
        </w:rPr>
      </w:r>
      <w:r>
        <w:rPr>
          <w:lang w:val="en_US" w:bidi="en_US"/>
        </w:rPr>
        <w:t>in the opinion/estimation of God and all the people.</w:t>
      </w:r>
    </w:p>
    <w:p>
      <w:pPr>
        <w:pStyle w:val="ListBullet"/>
        <w:spacing w:line="240" w:lineRule="auto"/>
        <w:ind w:left="720"/>
      </w:pPr>
      <w:r>
        <w:rPr>
          <w:lang w:val="en_US" w:bidi="en_US"/>
        </w:rPr>
      </w:r>
      <w:r>
        <w:rPr>
          <w:lang w:val="en_US" w:bidi="en_US"/>
        </w:rPr>
        <w:t>God approved him, and many people accepted/believed him.</w:t>
      </w:r>
    </w:p>
    <w:p>
      <w:pPr/>
      <w:r>
        <w:rPr>
          <w:lang w:val="en_US" w:bidi="en_US"/>
        </w:rPr>
      </w:r>
      <w:r>
        <w:rPr>
          <w:b/>
          <w:lang w:val="en_US" w:bidi="en_US"/>
        </w:rPr>
        <w:t>before God and all the people:</w:t>
      </w:r>
      <w:r>
        <w:rPr>
          <w:lang w:val="en_US" w:bidi="en_US"/>
        </w:rPr>
        <w:t xml:space="preserve"> The Greek phrase that the BSB translates as </w:t>
      </w:r>
      <w:r>
        <w:rPr>
          <w:i/>
          <w:lang w:val="en_US" w:bidi="en_US"/>
        </w:rPr>
        <w:t>before God and all the people</w:t>
      </w:r>
      <w:r>
        <w:rPr>
          <w:lang w:val="en_US" w:bidi="en_US"/>
        </w:rPr>
        <w:t xml:space="preserve"> means “in the opinion of God and all the people.” In this verse it indicates that God and all the people believed that Jesus was a prophet who was powerful in his deeds and words. Other ways to translate this phrase are:</w:t>
      </w:r>
    </w:p>
    <w:p>
      <w:pPr/>
      <w:r>
        <w:rPr>
          <w:lang w:val="en_US" w:bidi="en_US"/>
        </w:rPr>
      </w:r>
      <w:r>
        <w:rPr>
          <w:lang w:val="en_US" w:bidi="en_US"/>
        </w:rPr>
        <w:t>in the estimation/opinion of God and all the people</w:t>
      </w:r>
    </w:p>
    <w:p>
      <w:pPr/>
      <w:r>
        <w:rPr>
          <w:lang w:val="en_US" w:bidi="en_US"/>
        </w:rPr>
      </w:r>
      <w:r>
        <w:rPr>
          <w:lang w:val="en_US" w:bidi="en_US"/>
        </w:rPr>
        <w:t>from God’s viewpoint and the viewpoint of the people</w:t>
      </w:r>
    </w:p>
    <w:p>
      <w:pPr/>
      <w:r>
        <w:rPr>
          <w:lang w:val="en_US" w:bidi="en_US"/>
        </w:rPr>
      </w:r>
      <w:r>
        <w:rPr>
          <w:lang w:val="en_US" w:bidi="en_US"/>
        </w:rPr>
        <w:t>In some languages it may be more natural to translate this meaning with a clause or verb phrase. This clause may be either active or passive. For example:</w:t>
      </w:r>
    </w:p>
    <w:p>
      <w:pPr/>
      <w:r>
        <w:rPr>
          <w:lang w:val="en_US" w:bidi="en_US"/>
        </w:rPr>
      </w:r>
      <w:r>
        <w:rPr>
          <w:lang w:val="en_US" w:bidi="en_US"/>
        </w:rPr>
        <w:t>who pleased God and all the people (CEV)</w:t>
      </w:r>
    </w:p>
    <w:p>
      <w:pPr/>
      <w:r>
        <w:rPr>
          <w:lang w:val="en_US" w:bidi="en_US"/>
        </w:rPr>
      </w:r>
      <w:r>
        <w:rPr>
          <w:lang w:val="en_US" w:bidi="en_US"/>
        </w:rPr>
        <w:t>who was approved/respected by God and all the people</w:t>
      </w:r>
    </w:p>
    <w:p>
      <w:pPr/>
      <w:r>
        <w:rPr>
          <w:lang w:val="en_US" w:bidi="en_US"/>
        </w:rPr>
      </w:r>
      <w:r>
        <w:rPr>
          <w:lang w:val="en_US" w:bidi="en_US"/>
        </w:rPr>
        <w:t>In some languages it may necessary to use one phrase to describe God’s viewpoint and a different phrase to describe the viewpoint of the people. For example:</w:t>
      </w:r>
    </w:p>
    <w:p>
      <w:pPr/>
      <w:r>
        <w:rPr>
          <w:lang w:val="en_US" w:bidi="en_US"/>
        </w:rPr>
      </w:r>
      <w:r>
        <w:rPr>
          <w:lang w:val="en_US" w:bidi="en_US"/>
        </w:rPr>
        <w:t>God approved him, and the people respected/accepted him.</w:t>
      </w:r>
    </w:p>
    <w:p>
      <w:pPr/>
      <w:r>
        <w:rPr>
          <w:lang w:val="en_US" w:bidi="en_US"/>
        </w:rPr>
      </w:r>
      <w:r>
        <w:rPr>
          <w:lang w:val="en_US" w:bidi="en_US"/>
        </w:rPr>
        <w:t>In some languages it may be necessary to change the order of 24:19c and 24:19d. See the General Comment on 24:19c–d for an example.</w:t>
      </w:r>
    </w:p>
    <w:p>
      <w:pPr/>
      <w:r>
        <w:rPr>
          <w:lang w:val="en_US" w:bidi="en_US"/>
        </w:rPr>
      </w:r>
      <w:r>
        <w:rPr>
          <w:b/>
          <w:lang w:val="en_US" w:bidi="en_US"/>
        </w:rPr>
        <w:t>before…all the people:</w:t>
      </w:r>
      <w:r>
        <w:rPr>
          <w:lang w:val="en_US" w:bidi="en_US"/>
        </w:rPr>
        <w:t xml:space="preserve"> The phrase </w:t>
      </w:r>
      <w:r>
        <w:rPr>
          <w:i/>
          <w:lang w:val="en_US" w:bidi="en_US"/>
        </w:rPr>
        <w:t>all the people</w:t>
      </w:r>
      <w:r>
        <w:rPr>
          <w:lang w:val="en_US" w:bidi="en_US"/>
        </w:rPr>
        <w:t xml:space="preserve"> refers here to the Jewish people. The disciples used it to indicate that many Jewish people thought that Jesus was a mighty prophet. The disciples did not mean that literally all the Jewish people thought that. The statement refers to the people in general. It indicates that many of the Jewish people admitted that Jesus had great authority. Another way to translate this is:</w:t>
      </w:r>
    </w:p>
    <w:p>
      <w:pPr/>
      <w:r>
        <w:rPr>
          <w:lang w:val="en_US" w:bidi="en_US"/>
        </w:rPr>
      </w:r>
      <w:r>
        <w:rPr>
          <w:lang w:val="en_US" w:bidi="en_US"/>
        </w:rPr>
        <w:t>in the judgment/minds of the people</w:t>
      </w:r>
    </w:p>
    <w:p>
      <w:pPr>
        <w:pStyle w:val="Heading6"/>
      </w:pPr>
      <w:r>
        <w:rPr>
          <w:b/>
          <w:lang w:val="en_US" w:bidi="en_US"/>
        </w:rPr>
        <w:t>General Comment on 24:19c–d</w:t>
      </w:r>
    </w:p>
    <w:p>
      <w:pPr/>
      <w:r>
        <w:rPr>
          <w:lang w:val="en_US" w:bidi="en_US"/>
        </w:rPr>
      </w:r>
      <w:r>
        <w:rPr>
          <w:lang w:val="en_US" w:bidi="en_US"/>
        </w:rPr>
        <w:t>In some languages it may be necessary to reverse the order of 24:19c and 24:19d. For example:</w:t>
      </w:r>
    </w:p>
    <w:p>
      <w:pPr/>
      <w:r>
        <w:rPr>
          <w:lang w:val="en_US" w:bidi="en_US"/>
        </w:rPr>
      </w:r>
      <w:r>
        <w:rPr>
          <w:vertAlign w:val="superscript"/>
          <w:lang w:val="en_US" w:bidi="en_US"/>
        </w:rPr>
        <w:t>19d</w:t>
      </w:r>
      <w:r>
        <w:rPr>
          <w:lang w:val="en_US" w:bidi="en_US"/>
        </w:rPr>
        <w:t xml:space="preserve">Both God and people esteemed him </w:t>
      </w:r>
      <w:r>
        <w:rPr>
          <w:vertAlign w:val="superscript"/>
          <w:lang w:val="en_US" w:bidi="en_US"/>
        </w:rPr>
        <w:t>19c</w:t>
      </w:r>
      <w:r>
        <w:rPr>
          <w:lang w:val="en_US" w:bidi="en_US"/>
        </w:rPr>
        <w:t>as a prophet powerful in both deed and word.</w:t>
      </w:r>
    </w:p>
    <w:p>
      <w:pPr/>
      <w:r>
        <w:rPr>
          <w:lang w:val="en_US" w:bidi="en_US"/>
        </w:rPr>
      </w:r>
      <w:r>
        <w:rPr>
          <w:vertAlign w:val="superscript"/>
          <w:lang w:val="en_US" w:bidi="en_US"/>
        </w:rPr>
        <w:t>19d</w:t>
      </w:r>
      <w:r>
        <w:rPr>
          <w:lang w:val="en_US" w:bidi="en_US"/>
        </w:rPr>
        <w:t xml:space="preserve">considered by God and by all the people </w:t>
      </w:r>
      <w:r>
        <w:rPr>
          <w:vertAlign w:val="superscript"/>
          <w:lang w:val="en_US" w:bidi="en_US"/>
        </w:rPr>
        <w:t>19c</w:t>
      </w:r>
      <w:r>
        <w:rPr>
          <w:lang w:val="en_US" w:bidi="en_US"/>
        </w:rPr>
        <w:t>to be powerful in everything he said and did. (GNT)</w:t>
      </w:r>
    </w:p>
    <w:p>
      <w:pPr/>
      <w:r>
        <w:rPr>
          <w:lang w:val="en_US" w:bidi="en_US"/>
        </w:rPr>
      </w:r>
      <w:r>
        <w:rPr>
          <w:lang w:val="en_US" w:bidi="en_US"/>
        </w:rPr>
        <w:t>Notice that the first example uses an active verb, and the second example uses a passive verb.</w:t>
      </w:r>
      <w:r>
        <w:rPr>
          <w:lang w:val="en_US" w:bidi="en_US"/>
        </w:rPr>
      </w:r>
      <w:r>
        <w:rPr>
          <w:lang w:val="en_US" w:bidi="en_US"/>
        </w:rPr>
      </w:r>
    </w:p>
    <w:p>
      <w:pPr/>
      <w:r>
        <w:rPr>
          <w:lang w:val="en_US" w:bidi="en_US"/>
        </w:rPr>
      </w:r>
    </w:p>
    <w:p>
      <w:pPr>
        <w:pStyle w:val="Heading2"/>
      </w:pPr>
      <w:r>
        <w:rPr>
          <w:lang w:val="en_US" w:bidi="en_US"/>
        </w:rPr>
        <w:t>Luke 24:20</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24:20a</w:t>
      </w:r>
    </w:p>
    <w:p>
      <w:pPr/>
      <w:r>
        <w:rPr>
          <w:lang w:val="en_US" w:bidi="en_US"/>
        </w:rPr>
      </w:r>
      <w:r>
        <w:rPr>
          <w:b/>
          <w:lang w:val="en_US" w:bidi="en_US"/>
        </w:rPr>
        <w:t>Our chief priests and rulers</w:t>
      </w:r>
    </w:p>
    <w:p>
      <w:pPr>
        <w:pStyle w:val="ListBullet"/>
        <w:spacing w:line="240" w:lineRule="auto"/>
        <w:ind w:left="720"/>
      </w:pPr>
      <w:r>
        <w:rPr>
          <w:lang w:val="en_US" w:bidi="en_US"/>
        </w:rPr>
      </w:r>
      <w:r>
        <w:rPr>
          <w:lang w:val="en_US" w:bidi="en_US"/>
        </w:rPr>
        <w:t>The leaders of the priests and our</w:t>
      </w:r>
      <w:r>
        <w:rPr>
          <w:vertAlign w:val="superscript"/>
          <w:lang w:val="en_US" w:bidi="en_US"/>
        </w:rPr>
        <w:t>(incl)</w:t>
      </w:r>
      <w:r>
        <w:rPr>
          <w:lang w:val="en_US" w:bidi="en_US"/>
        </w:rPr>
        <w:t xml:space="preserve"> </w:t>
      </w:r>
      <w:r>
        <w:rPr>
          <w:lang w:val="en_US" w:bidi="en_US"/>
        </w:rPr>
        <w:t>other</w:t>
      </w:r>
      <w:r>
        <w:rPr>
          <w:lang w:val="en_US" w:bidi="en_US"/>
        </w:rPr>
        <w:t xml:space="preserve"> leaders</w:t>
      </w:r>
    </w:p>
    <w:p>
      <w:pPr>
        <w:pStyle w:val="ListBullet"/>
        <w:spacing w:line="240" w:lineRule="auto"/>
        <w:ind w:left="720"/>
      </w:pPr>
      <w:r>
        <w:rPr>
          <w:lang w:val="en_US" w:bidi="en_US"/>
        </w:rPr>
      </w:r>
      <w:r>
        <w:rPr>
          <w:lang w:val="en_US" w:bidi="en_US"/>
        </w:rPr>
        <w:t>But</w:t>
      </w:r>
      <w:r>
        <w:rPr>
          <w:lang w:val="en_US" w:bidi="en_US"/>
        </w:rPr>
        <w:t xml:space="preserve"> our leading priests and other leaders/elders</w:t>
      </w:r>
    </w:p>
    <w:p>
      <w:pPr/>
      <w:r>
        <w:rPr>
          <w:lang w:val="en_US" w:bidi="en_US"/>
        </w:rPr>
      </w:r>
      <w:r>
        <w:rPr>
          <w:b/>
          <w:lang w:val="en_US" w:bidi="en_US"/>
        </w:rPr>
        <w:t>Our chief priests and rulers:</w:t>
      </w:r>
      <w:r>
        <w:rPr>
          <w:lang w:val="en_US" w:bidi="en_US"/>
        </w:rPr>
        <w:t xml:space="preserve"> The phrase </w:t>
      </w:r>
      <w:r>
        <w:rPr>
          <w:i/>
          <w:lang w:val="en_US" w:bidi="en_US"/>
        </w:rPr>
        <w:t>Our chief priests and rulers</w:t>
      </w:r>
      <w:r>
        <w:rPr>
          <w:lang w:val="en_US" w:bidi="en_US"/>
        </w:rPr>
        <w:t xml:space="preserve"> refers to the religious leaders of the Jewish people. The chief priests and the other rulers belonged to the council (the Sanhedrin), which was mentioned in chapter 23. The chief priests were among the Jewish rulers. Be sure to make that clear in your translation. One way to do that in English is:</w:t>
      </w:r>
    </w:p>
    <w:p>
      <w:pPr/>
      <w:r>
        <w:rPr>
          <w:lang w:val="en_US" w:bidi="en_US"/>
        </w:rPr>
      </w:r>
      <w:r>
        <w:rPr>
          <w:lang w:val="en_US" w:bidi="en_US"/>
        </w:rPr>
        <w:t>Our</w:t>
      </w:r>
      <w:r>
        <w:rPr>
          <w:vertAlign w:val="superscript"/>
          <w:lang w:val="en_US" w:bidi="en_US"/>
        </w:rPr>
        <w:t>(incl)</w:t>
      </w:r>
      <w:r>
        <w:rPr>
          <w:lang w:val="en_US" w:bidi="en_US"/>
        </w:rPr>
        <w:t xml:space="preserve"> chief priests and </w:t>
      </w:r>
      <w:r>
        <w:rPr>
          <w:lang w:val="en_US" w:bidi="en_US"/>
        </w:rPr>
        <w:t>other</w:t>
      </w:r>
      <w:r>
        <w:rPr>
          <w:lang w:val="en_US" w:bidi="en_US"/>
        </w:rPr>
        <w:t xml:space="preserve"> rulers/leaders</w:t>
      </w:r>
    </w:p>
    <w:p>
      <w:pPr/>
      <w:r>
        <w:rPr>
          <w:lang w:val="en_US" w:bidi="en_US"/>
        </w:rPr>
      </w:r>
      <w:r>
        <w:rPr>
          <w:lang w:val="en_US" w:bidi="en_US"/>
        </w:rPr>
        <w:t xml:space="preserve">For help in translating </w:t>
      </w:r>
      <w:r>
        <w:rPr>
          <w:i/>
          <w:lang w:val="en_US" w:bidi="en_US"/>
        </w:rPr>
        <w:t>chief priests</w:t>
      </w:r>
      <w:r>
        <w:rPr>
          <w:lang w:val="en_US" w:bidi="en_US"/>
        </w:rPr>
        <w:t xml:space="preserve"> see the note at 19:47b–d, and for </w:t>
      </w:r>
      <w:r>
        <w:rPr>
          <w:i/>
          <w:lang w:val="en_US" w:bidi="en_US"/>
        </w:rPr>
        <w:t>rulers</w:t>
      </w:r>
      <w:r>
        <w:rPr>
          <w:lang w:val="en_US" w:bidi="en_US"/>
        </w:rPr>
        <w:t xml:space="preserve"> see the note at 23:13a–c.</w:t>
      </w:r>
    </w:p>
    <w:p>
      <w:pPr>
        <w:pStyle w:val="Heading5"/>
      </w:pPr>
      <w:r>
        <w:rPr>
          <w:lang w:val="en_US" w:bidi="en_US"/>
        </w:rPr>
        <w:t>24:20b</w:t>
      </w:r>
    </w:p>
    <w:p>
      <w:pPr/>
      <w:r>
        <w:rPr>
          <w:lang w:val="en_US" w:bidi="en_US"/>
        </w:rPr>
      </w:r>
      <w:r>
        <w:rPr>
          <w:b/>
          <w:lang w:val="en_US" w:bidi="en_US"/>
        </w:rPr>
        <w:t>delivered Him up to the sentence of death,</w:t>
      </w:r>
    </w:p>
    <w:p>
      <w:pPr>
        <w:pStyle w:val="ListBullet"/>
        <w:spacing w:line="240" w:lineRule="auto"/>
        <w:ind w:left="720"/>
      </w:pPr>
      <w:r>
        <w:rPr>
          <w:lang w:val="en_US" w:bidi="en_US"/>
        </w:rPr>
      </w:r>
      <w:r>
        <w:rPr>
          <w:lang w:val="en_US" w:bidi="en_US"/>
        </w:rPr>
        <w:t>took/accused him and demanded that he be executed.</w:t>
      </w:r>
    </w:p>
    <w:p>
      <w:pPr>
        <w:pStyle w:val="ListBullet"/>
        <w:spacing w:line="240" w:lineRule="auto"/>
        <w:ind w:left="720"/>
      </w:pPr>
      <w:r>
        <w:rPr>
          <w:lang w:val="en_US" w:bidi="en_US"/>
        </w:rPr>
      </w:r>
      <w:r>
        <w:rPr>
          <w:lang w:val="en_US" w:bidi="en_US"/>
        </w:rPr>
        <w:t xml:space="preserve">charged/accused him to </w:t>
      </w:r>
      <w:r>
        <w:rPr>
          <w:lang w:val="en_US" w:bidi="en_US"/>
        </w:rPr>
        <w:t>the Romans</w:t>
      </w:r>
      <w:r>
        <w:rPr>
          <w:lang w:val="en_US" w:bidi="en_US"/>
        </w:rPr>
        <w:t xml:space="preserve"> so that </w:t>
      </w:r>
      <w:r>
        <w:rPr>
          <w:lang w:val="en_US" w:bidi="en_US"/>
        </w:rPr>
        <w:t>they</w:t>
      </w:r>
      <w:r>
        <w:rPr>
          <w:lang w:val="en_US" w:bidi="en_US"/>
        </w:rPr>
        <w:t xml:space="preserve"> condemned him to die,</w:t>
      </w:r>
    </w:p>
    <w:p>
      <w:pPr>
        <w:pStyle w:val="ListBullet"/>
        <w:spacing w:line="240" w:lineRule="auto"/>
        <w:ind w:left="720"/>
      </w:pPr>
      <w:r>
        <w:rPr>
          <w:lang w:val="en_US" w:bidi="en_US"/>
        </w:rPr>
      </w:r>
      <w:r>
        <w:rPr>
          <w:lang w:val="en_US" w:bidi="en_US"/>
        </w:rPr>
        <w:t xml:space="preserve">took him </w:t>
      </w:r>
      <w:r>
        <w:rPr>
          <w:lang w:val="en_US" w:bidi="en_US"/>
        </w:rPr>
        <w:t>to the Roman authorities</w:t>
      </w:r>
      <w:r>
        <w:rPr>
          <w:lang w:val="en_US" w:bidi="en_US"/>
        </w:rPr>
        <w:t xml:space="preserve">. They accused him </w:t>
      </w:r>
      <w:r>
        <w:rPr>
          <w:lang w:val="en_US" w:bidi="en_US"/>
        </w:rPr>
        <w:t>of serious crimes</w:t>
      </w:r>
      <w:r>
        <w:rPr>
          <w:lang w:val="en_US" w:bidi="en_US"/>
        </w:rPr>
        <w:t xml:space="preserve"> so that </w:t>
      </w:r>
      <w:r>
        <w:rPr>
          <w:lang w:val="en_US" w:bidi="en_US"/>
        </w:rPr>
        <w:t>the Romans</w:t>
      </w:r>
      <w:r>
        <w:rPr>
          <w:lang w:val="en_US" w:bidi="en_US"/>
        </w:rPr>
        <w:t xml:space="preserve"> decided that he must die,</w:t>
      </w:r>
    </w:p>
    <w:p>
      <w:pPr/>
      <w:r>
        <w:rPr>
          <w:lang w:val="en_US" w:bidi="en_US"/>
        </w:rPr>
      </w:r>
      <w:r>
        <w:rPr>
          <w:b/>
          <w:lang w:val="en_US" w:bidi="en_US"/>
        </w:rPr>
        <w:t>delivered Him up to the sentence of death:</w:t>
      </w:r>
      <w:r>
        <w:rPr>
          <w:lang w:val="en_US" w:bidi="en_US"/>
        </w:rPr>
        <w:t xml:space="preserve"> The phrase </w:t>
      </w:r>
      <w:r>
        <w:rPr>
          <w:i/>
          <w:lang w:val="en_US" w:bidi="en_US"/>
        </w:rPr>
        <w:t>delivered Him up</w:t>
      </w:r>
      <w:r>
        <w:rPr>
          <w:lang w:val="en_US" w:bidi="en_US"/>
        </w:rPr>
        <w:t xml:space="preserve"> implies here that the Jewish leaders accused Jesus to the Roman governor. The phrase </w:t>
      </w:r>
      <w:r>
        <w:rPr>
          <w:i/>
          <w:lang w:val="en_US" w:bidi="en_US"/>
        </w:rPr>
        <w:t>to the sentence of death</w:t>
      </w:r>
      <w:r>
        <w:rPr>
          <w:lang w:val="en_US" w:bidi="en_US"/>
        </w:rPr>
        <w:t xml:space="preserve"> indicates that the leaders demanded that the governor condemn Jesus to die. For more information, see 23:10–11 and 23:20. Some other ways to translate these actions are:</w:t>
      </w:r>
    </w:p>
    <w:p>
      <w:pPr/>
      <w:r>
        <w:rPr>
          <w:lang w:val="en_US" w:bidi="en_US"/>
        </w:rPr>
      </w:r>
      <w:r>
        <w:rPr>
          <w:lang w:val="en_US" w:bidi="en_US"/>
        </w:rPr>
        <w:t>had him arrested and sentenced to die (CEV)</w:t>
      </w:r>
    </w:p>
    <w:p>
      <w:pPr/>
      <w:r>
        <w:rPr>
          <w:lang w:val="en_US" w:bidi="en_US"/>
        </w:rPr>
      </w:r>
      <w:r>
        <w:rPr>
          <w:lang w:val="en_US" w:bidi="en_US"/>
        </w:rPr>
        <w:t xml:space="preserve">handed Jesus over </w:t>
      </w:r>
      <w:r>
        <w:rPr>
          <w:lang w:val="en_US" w:bidi="en_US"/>
        </w:rPr>
        <w:t>to the Roman rulers for them</w:t>
      </w:r>
      <w:r>
        <w:rPr>
          <w:lang w:val="en_US" w:bidi="en_US"/>
        </w:rPr>
        <w:t xml:space="preserve"> to sentence him to death</w:t>
      </w:r>
    </w:p>
    <w:p>
      <w:pPr/>
      <w:r>
        <w:rPr>
          <w:lang w:val="en_US" w:bidi="en_US"/>
        </w:rPr>
      </w:r>
      <w:r>
        <w:rPr>
          <w:lang w:val="en_US" w:bidi="en_US"/>
        </w:rPr>
        <w:t xml:space="preserve">accused/took him </w:t>
      </w:r>
      <w:r>
        <w:rPr>
          <w:lang w:val="en_US" w:bidi="en_US"/>
        </w:rPr>
        <w:t>to the Romans</w:t>
      </w:r>
      <w:r>
        <w:rPr>
          <w:lang w:val="en_US" w:bidi="en_US"/>
        </w:rPr>
        <w:t xml:space="preserve"> and demanded that </w:t>
      </w:r>
      <w:r>
        <w:rPr>
          <w:lang w:val="en_US" w:bidi="en_US"/>
        </w:rPr>
        <w:t>they</w:t>
      </w:r>
      <w:r>
        <w:rPr>
          <w:lang w:val="en_US" w:bidi="en_US"/>
        </w:rPr>
        <w:t xml:space="preserve"> condemn him to die</w:t>
      </w:r>
    </w:p>
    <w:p>
      <w:pPr>
        <w:pStyle w:val="Heading5"/>
      </w:pPr>
      <w:r>
        <w:rPr>
          <w:lang w:val="en_US" w:bidi="en_US"/>
        </w:rPr>
        <w:t>24:20c</w:t>
      </w:r>
    </w:p>
    <w:p>
      <w:pPr/>
      <w:r>
        <w:rPr>
          <w:lang w:val="en_US" w:bidi="en_US"/>
        </w:rPr>
      </w:r>
      <w:r>
        <w:rPr>
          <w:b/>
          <w:lang w:val="en_US" w:bidi="en_US"/>
        </w:rPr>
        <w:t>and they crucified Him.</w:t>
      </w:r>
    </w:p>
    <w:p>
      <w:pPr>
        <w:pStyle w:val="ListBullet"/>
        <w:spacing w:line="240" w:lineRule="auto"/>
        <w:ind w:left="720"/>
      </w:pPr>
      <w:r>
        <w:rPr>
          <w:lang w:val="en_US" w:bidi="en_US"/>
        </w:rPr>
      </w:r>
      <w:r>
        <w:rPr>
          <w:lang w:val="en_US" w:bidi="en_US"/>
        </w:rPr>
        <w:t xml:space="preserve">Then they </w:t>
      </w:r>
      <w:r>
        <w:rPr>
          <w:lang w:val="en_US" w:bidi="en_US"/>
        </w:rPr>
        <w:t>caused</w:t>
      </w:r>
      <w:r>
        <w:rPr>
          <w:lang w:val="en_US" w:bidi="en_US"/>
        </w:rPr>
        <w:t xml:space="preserve"> him to be crucified.</w:t>
      </w:r>
    </w:p>
    <w:p>
      <w:pPr>
        <w:pStyle w:val="ListBullet"/>
        <w:spacing w:line="240" w:lineRule="auto"/>
        <w:ind w:left="720"/>
      </w:pPr>
      <w:r>
        <w:rPr>
          <w:lang w:val="en_US" w:bidi="en_US"/>
        </w:rPr>
      </w:r>
      <w:r>
        <w:rPr>
          <w:lang w:val="en_US" w:bidi="en_US"/>
        </w:rPr>
        <w:t>and they killed him on a cross.</w:t>
      </w:r>
    </w:p>
    <w:p>
      <w:pPr/>
      <w:r>
        <w:rPr>
          <w:lang w:val="en_US" w:bidi="en_US"/>
        </w:rPr>
      </w:r>
      <w:r>
        <w:rPr>
          <w:b/>
          <w:lang w:val="en_US" w:bidi="en_US"/>
        </w:rPr>
        <w:t>and they crucified Him:</w:t>
      </w:r>
      <w:r>
        <w:rPr>
          <w:lang w:val="en_US" w:bidi="en_US"/>
        </w:rPr>
        <w:t xml:space="preserve"> The word </w:t>
      </w:r>
      <w:r>
        <w:rPr>
          <w:i/>
          <w:lang w:val="en_US" w:bidi="en_US"/>
        </w:rPr>
        <w:t>they</w:t>
      </w:r>
      <w:r>
        <w:rPr>
          <w:lang w:val="en_US" w:bidi="en_US"/>
        </w:rPr>
        <w:t xml:space="preserve"> refers here to the chief priests and Jewish rulers. Although the Roman soldiers actually nailed Jesus to the cross, the Jewish rulers were the people who caused Jesus to be crucified. In some languages In some languages it may be necessary to make this explicit in some way. For example:</w:t>
      </w:r>
    </w:p>
    <w:p>
      <w:pPr/>
      <w:r>
        <w:rPr>
          <w:lang w:val="en_US" w:bidi="en_US"/>
        </w:rPr>
      </w:r>
      <w:r>
        <w:rPr>
          <w:lang w:val="en_US" w:bidi="en_US"/>
        </w:rPr>
        <w:t xml:space="preserve">and they </w:t>
      </w:r>
      <w:r>
        <w:rPr>
          <w:lang w:val="en_US" w:bidi="en_US"/>
        </w:rPr>
        <w:t>caused</w:t>
      </w:r>
      <w:r>
        <w:rPr>
          <w:lang w:val="en_US" w:bidi="en_US"/>
        </w:rPr>
        <w:t xml:space="preserve"> him to be crucified</w:t>
      </w:r>
    </w:p>
    <w:p>
      <w:pPr/>
      <w:r>
        <w:rPr>
          <w:lang w:val="en_US" w:bidi="en_US"/>
        </w:rPr>
      </w:r>
      <w:r>
        <w:rPr>
          <w:lang w:val="en_US" w:bidi="en_US"/>
        </w:rPr>
        <w:t xml:space="preserve">For help in translating </w:t>
      </w:r>
      <w:r>
        <w:rPr>
          <w:i/>
          <w:lang w:val="en_US" w:bidi="en_US"/>
        </w:rPr>
        <w:t>crucified</w:t>
      </w:r>
      <w:r>
        <w:rPr>
          <w:lang w:val="en_US" w:bidi="en_US"/>
        </w:rPr>
        <w:t>, see the note at 23:21b.</w:t>
      </w:r>
      <w:r>
        <w:rPr>
          <w:lang w:val="en_US" w:bidi="en_US"/>
        </w:rPr>
      </w:r>
      <w:r>
        <w:rPr>
          <w:lang w:val="en_US" w:bidi="en_US"/>
        </w:rPr>
      </w:r>
    </w:p>
    <w:p>
      <w:pPr/>
      <w:r>
        <w:rPr>
          <w:lang w:val="en_US" w:bidi="en_US"/>
        </w:rPr>
      </w:r>
    </w:p>
    <w:p>
      <w:pPr>
        <w:pStyle w:val="Heading2"/>
      </w:pPr>
      <w:r>
        <w:rPr>
          <w:lang w:val="en_US" w:bidi="en_US"/>
        </w:rPr>
        <w:t>Luke 24:21</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24:21a</w:t>
      </w:r>
    </w:p>
    <w:p>
      <w:pPr/>
      <w:r>
        <w:rPr>
          <w:lang w:val="en_US" w:bidi="en_US"/>
        </w:rPr>
      </w:r>
      <w:r>
        <w:rPr>
          <w:b/>
          <w:lang w:val="en_US" w:bidi="en_US"/>
        </w:rPr>
        <w:t>But we were hoping He was</w:t>
      </w:r>
    </w:p>
    <w:p>
      <w:pPr>
        <w:pStyle w:val="ListBullet"/>
        <w:spacing w:line="240" w:lineRule="auto"/>
        <w:ind w:left="720"/>
      </w:pPr>
      <w:r>
        <w:rPr>
          <w:lang w:val="en_US" w:bidi="en_US"/>
        </w:rPr>
      </w:r>
      <w:r>
        <w:rPr>
          <w:lang w:val="en_US" w:bidi="en_US"/>
        </w:rPr>
        <w:t>But we</w:t>
      </w:r>
      <w:r>
        <w:rPr>
          <w:vertAlign w:val="superscript"/>
          <w:lang w:val="en_US" w:bidi="en_US"/>
        </w:rPr>
        <w:t>(excl)</w:t>
      </w:r>
      <w:r>
        <w:rPr>
          <w:lang w:val="en_US" w:bidi="en_US"/>
        </w:rPr>
        <w:t xml:space="preserve"> hoped that he was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were expecting him to be the one</w:t>
      </w:r>
    </w:p>
    <w:p>
      <w:pPr>
        <w:pStyle w:val="Heading5"/>
      </w:pPr>
      <w:r>
        <w:rPr>
          <w:lang w:val="en_US" w:bidi="en_US"/>
        </w:rPr>
        <w:t>24:21b</w:t>
      </w:r>
    </w:p>
    <w:p>
      <w:pPr/>
      <w:r>
        <w:rPr>
          <w:lang w:val="en_US" w:bidi="en_US"/>
        </w:rPr>
      </w:r>
      <w:r>
        <w:rPr>
          <w:b/>
          <w:lang w:val="en_US" w:bidi="en_US"/>
        </w:rPr>
        <w:t>the One who would redeem Israel.</w:t>
      </w:r>
    </w:p>
    <w:p>
      <w:pPr>
        <w:pStyle w:val="ListBullet"/>
        <w:spacing w:line="240" w:lineRule="auto"/>
        <w:ind w:left="720"/>
      </w:pPr>
      <w:r>
        <w:rPr>
          <w:lang w:val="en_US" w:bidi="en_US"/>
        </w:rPr>
      </w:r>
      <w:r>
        <w:rPr>
          <w:lang w:val="en_US" w:bidi="en_US"/>
        </w:rPr>
        <w:t>the person who would soon free us</w:t>
      </w:r>
      <w:r>
        <w:rPr>
          <w:vertAlign w:val="superscript"/>
          <w:lang w:val="en_US" w:bidi="en_US"/>
        </w:rPr>
        <w:t>(excl)</w:t>
      </w:r>
      <w:r>
        <w:rPr>
          <w:lang w:val="en_US" w:bidi="en_US"/>
        </w:rPr>
        <w:t xml:space="preserve"> descendants of Israel.</w:t>
      </w:r>
    </w:p>
    <w:p>
      <w:pPr>
        <w:pStyle w:val="ListBullet"/>
        <w:spacing w:line="240" w:lineRule="auto"/>
        <w:ind w:left="720"/>
      </w:pPr>
      <w:r>
        <w:rPr>
          <w:lang w:val="en_US" w:bidi="en_US"/>
        </w:rPr>
      </w:r>
      <w:r>
        <w:rPr>
          <w:lang w:val="en_US" w:bidi="en_US"/>
        </w:rPr>
        <w:t>whom God had promised to send</w:t>
      </w:r>
      <w:r>
        <w:rPr>
          <w:lang w:val="en_US" w:bidi="en_US"/>
        </w:rPr>
        <w:t xml:space="preserve"> to save/deliver us</w:t>
      </w:r>
      <w:r>
        <w:rPr>
          <w:vertAlign w:val="superscript"/>
          <w:lang w:val="en_US" w:bidi="en_US"/>
        </w:rPr>
        <w:t>(incl)</w:t>
      </w:r>
      <w:r>
        <w:rPr>
          <w:lang w:val="en_US" w:bidi="en_US"/>
        </w:rPr>
        <w:t xml:space="preserve"> Israel people </w:t>
      </w:r>
      <w:r>
        <w:rPr>
          <w:lang w:val="en_US" w:bidi="en_US"/>
        </w:rPr>
        <w:t>from our enemies</w:t>
      </w:r>
      <w:r>
        <w:rPr>
          <w:lang w:val="en_US" w:bidi="en_US"/>
        </w:rPr>
        <w:t>.</w:t>
      </w:r>
    </w:p>
    <w:p>
      <w:pPr>
        <w:pStyle w:val="Heading5"/>
      </w:pPr>
      <w:r>
        <w:rPr>
          <w:lang w:val="en_US" w:bidi="en_US"/>
        </w:rPr>
        <w:t>24:21a–b</w:t>
      </w:r>
    </w:p>
    <w:p>
      <w:pPr/>
      <w:r>
        <w:rPr>
          <w:lang w:val="en_US" w:bidi="en_US"/>
        </w:rPr>
      </w:r>
      <w:r>
        <w:rPr>
          <w:b/>
          <w:lang w:val="en_US" w:bidi="en_US"/>
        </w:rPr>
        <w:t>But we:</w:t>
      </w:r>
      <w:r>
        <w:rPr>
          <w:lang w:val="en_US" w:bidi="en_US"/>
        </w:rPr>
        <w:t xml:space="preserve"> The Greek phrase that the BSB translates as </w:t>
      </w:r>
      <w:r>
        <w:rPr>
          <w:i/>
          <w:lang w:val="en_US" w:bidi="en_US"/>
        </w:rPr>
        <w:t>But we</w:t>
      </w:r>
      <w:r>
        <w:rPr>
          <w:lang w:val="en_US" w:bidi="en_US"/>
        </w:rPr>
        <w:t xml:space="preserve"> refers to the two disciples in contrast to their leaders. This phrase is emphatic. Show this emphasis and contrast in a way that is natural in your language.</w:t>
      </w:r>
    </w:p>
    <w:p>
      <w:pPr/>
      <w:r>
        <w:rPr>
          <w:lang w:val="en_US" w:bidi="en_US"/>
        </w:rPr>
      </w:r>
      <w:r>
        <w:rPr>
          <w:lang w:val="en_US" w:bidi="en_US"/>
        </w:rPr>
        <w:t xml:space="preserve">The pronoun </w:t>
      </w:r>
      <w:r>
        <w:rPr>
          <w:i/>
          <w:lang w:val="en_US" w:bidi="en_US"/>
        </w:rPr>
        <w:t>we</w:t>
      </w:r>
      <w:r>
        <w:rPr>
          <w:lang w:val="en_US" w:bidi="en_US"/>
        </w:rPr>
        <w:t xml:space="preserve"> does </w:t>
      </w:r>
      <w:r>
        <w:rPr>
          <w:u w:val="single"/>
          <w:lang w:val="en_US" w:bidi="en_US"/>
        </w:rPr>
        <w:t>not</w:t>
      </w:r>
      <w:r>
        <w:rPr>
          <w:lang w:val="en_US" w:bidi="en_US"/>
        </w:rPr>
        <w:t xml:space="preserve"> include the one to whom they were speaking (Jesus). The two disciples thought that he was a stranger who did not know anything about Jesus.</w:t>
      </w:r>
    </w:p>
    <w:p>
      <w:pPr/>
      <w:r>
        <w:rPr>
          <w:lang w:val="en_US" w:bidi="en_US"/>
        </w:rPr>
      </w:r>
      <w:r>
        <w:rPr>
          <w:b/>
          <w:lang w:val="en_US" w:bidi="en_US"/>
        </w:rPr>
        <w:t>we were hoping He was the One who would redeem Israel:</w:t>
      </w:r>
      <w:r>
        <w:rPr>
          <w:lang w:val="en_US" w:bidi="en_US"/>
        </w:rPr>
        <w:t xml:space="preserve"> This statement indicates that before Jesus died the two disciples hoped that he would redeem Israel. In the Old Testament God promised through his prophets that he would send a Messiah to redeem his people Israel. In Jesus’ lifetime the people of Israel expected the Messiah to free them from being ruled by the Romans.</w:t>
      </w:r>
    </w:p>
    <w:p>
      <w:pPr/>
      <w:r>
        <w:rPr>
          <w:lang w:val="en_US" w:bidi="en_US"/>
        </w:rPr>
      </w:r>
      <w:r>
        <w:rPr>
          <w:lang w:val="en_US" w:bidi="en_US"/>
        </w:rPr>
        <w:t>Other ways to translate this statement are:</w:t>
      </w:r>
    </w:p>
    <w:p>
      <w:pPr/>
      <w:r>
        <w:rPr>
          <w:lang w:val="en_US" w:bidi="en_US"/>
        </w:rPr>
      </w:r>
      <w:r>
        <w:rPr>
          <w:lang w:val="en_US" w:bidi="en_US"/>
        </w:rPr>
        <w:t>We had hoped he was the Messiah who had come to rescue Israel. (NLT)</w:t>
      </w:r>
    </w:p>
    <w:p>
      <w:pPr/>
      <w:r>
        <w:rPr>
          <w:lang w:val="en_US" w:bidi="en_US"/>
        </w:rPr>
      </w:r>
      <w:r>
        <w:rPr>
          <w:lang w:val="en_US" w:bidi="en_US"/>
        </w:rPr>
        <w:t>But we were hoping that it was He who was going to redeem Israel. (NASB)</w:t>
      </w:r>
    </w:p>
    <w:p>
      <w:pPr/>
      <w:r>
        <w:rPr>
          <w:lang w:val="en_US" w:bidi="en_US"/>
        </w:rPr>
      </w:r>
      <w:r>
        <w:rPr>
          <w:lang w:val="en_US" w:bidi="en_US"/>
        </w:rPr>
        <w:t>We had hoped that he would be the one to set Israel free! (CEV)</w:t>
      </w:r>
    </w:p>
    <w:p>
      <w:pPr/>
      <w:r>
        <w:rPr>
          <w:lang w:val="en_US" w:bidi="en_US"/>
        </w:rPr>
      </w:r>
      <w:r>
        <w:rPr>
          <w:lang w:val="en_US" w:bidi="en_US"/>
        </w:rPr>
        <w:t>In some languages it may be necessary to add implied information. For example:</w:t>
      </w:r>
    </w:p>
    <w:p>
      <w:pPr/>
      <w:r>
        <w:rPr>
          <w:lang w:val="en_US" w:bidi="en_US"/>
        </w:rPr>
      </w:r>
      <w:r>
        <w:rPr>
          <w:lang w:val="en_US" w:bidi="en_US"/>
        </w:rPr>
        <w:t xml:space="preserve">the One </w:t>
      </w:r>
      <w:r>
        <w:rPr>
          <w:lang w:val="en_US" w:bidi="en_US"/>
        </w:rPr>
        <w:t>whom God had promised to send</w:t>
      </w:r>
      <w:r>
        <w:rPr>
          <w:lang w:val="en_US" w:bidi="en_US"/>
        </w:rPr>
        <w:t xml:space="preserve"> to redeem/rescue </w:t>
      </w:r>
      <w:r>
        <w:rPr>
          <w:lang w:val="en_US" w:bidi="en_US"/>
        </w:rPr>
        <w:t>his people</w:t>
      </w:r>
      <w:r>
        <w:rPr>
          <w:lang w:val="en_US" w:bidi="en_US"/>
        </w:rPr>
        <w:t xml:space="preserve"> Israel</w:t>
      </w:r>
    </w:p>
    <w:p>
      <w:pPr/>
      <w:r>
        <w:rPr>
          <w:lang w:val="en_US" w:bidi="en_US"/>
        </w:rPr>
      </w:r>
      <w:r>
        <w:rPr>
          <w:b/>
          <w:lang w:val="en_US" w:bidi="en_US"/>
        </w:rPr>
        <w:t>would:</w:t>
      </w:r>
      <w:r>
        <w:rPr>
          <w:lang w:val="en_US" w:bidi="en_US"/>
        </w:rPr>
        <w:t xml:space="preserve"> In this context the Greek phrase that the BSB translates as </w:t>
      </w:r>
      <w:r>
        <w:rPr>
          <w:i/>
          <w:lang w:val="en_US" w:bidi="en_US"/>
        </w:rPr>
        <w:t>would</w:t>
      </w:r>
      <w:r>
        <w:rPr>
          <w:lang w:val="en_US" w:bidi="en_US"/>
        </w:rPr>
        <w:t xml:space="preserve"> means “was about to.” The disciples were expecting that Jesus would </w:t>
      </w:r>
      <w:r>
        <w:rPr>
          <w:u w:val="single"/>
          <w:lang w:val="en_US" w:bidi="en_US"/>
        </w:rPr>
        <w:t>soon</w:t>
      </w:r>
      <w:r>
        <w:rPr>
          <w:lang w:val="en_US" w:bidi="en_US"/>
        </w:rPr>
        <w:t xml:space="preserve"> redeem Israel.</w:t>
      </w:r>
    </w:p>
    <w:p>
      <w:pPr/>
      <w:r>
        <w:rPr>
          <w:lang w:val="en_US" w:bidi="en_US"/>
        </w:rPr>
      </w:r>
      <w:r>
        <w:rPr>
          <w:b/>
          <w:lang w:val="en_US" w:bidi="en_US"/>
        </w:rPr>
        <w:t>redeem Israel:</w:t>
      </w:r>
      <w:r>
        <w:rPr>
          <w:lang w:val="en_US" w:bidi="en_US"/>
        </w:rPr>
        <w:t xml:space="preserve"> The word </w:t>
      </w:r>
      <w:r>
        <w:rPr>
          <w:i/>
          <w:lang w:val="en_US" w:bidi="en_US"/>
        </w:rPr>
        <w:t>redeem</w:t>
      </w:r>
      <w:r>
        <w:rPr>
          <w:lang w:val="en_US" w:bidi="en_US"/>
        </w:rPr>
        <w:t xml:space="preserve"> in this context means “to set free, deliver.” In this context it implies that the people of Israel expected a deliverer (redeemer), who would free them from their enemies. Some ways to translate the phrase </w:t>
      </w:r>
      <w:r>
        <w:rPr>
          <w:i/>
          <w:lang w:val="en_US" w:bidi="en_US"/>
        </w:rPr>
        <w:t>redeem Israel</w:t>
      </w:r>
      <w:r>
        <w:rPr>
          <w:lang w:val="en_US" w:bidi="en_US"/>
        </w:rPr>
        <w:t xml:space="preserve"> here are:</w:t>
      </w:r>
    </w:p>
    <w:p>
      <w:pPr/>
      <w:r>
        <w:rPr>
          <w:lang w:val="en_US" w:bidi="en_US"/>
        </w:rPr>
      </w:r>
      <w:r>
        <w:rPr>
          <w:lang w:val="en_US" w:bidi="en_US"/>
        </w:rPr>
        <w:t>rescue Israel (NLT)</w:t>
      </w:r>
    </w:p>
    <w:p>
      <w:pPr/>
      <w:r>
        <w:rPr>
          <w:lang w:val="en_US" w:bidi="en_US"/>
        </w:rPr>
      </w:r>
      <w:r>
        <w:rPr>
          <w:lang w:val="en_US" w:bidi="en_US"/>
        </w:rPr>
        <w:t>to set the descendants/people of Israel free</w:t>
      </w:r>
    </w:p>
    <w:p>
      <w:pPr/>
      <w:r>
        <w:rPr>
          <w:lang w:val="en_US" w:bidi="en_US"/>
        </w:rPr>
      </w:r>
      <w:r>
        <w:rPr>
          <w:b/>
          <w:lang w:val="en_US" w:bidi="en_US"/>
        </w:rPr>
        <w:t>redeem:</w:t>
      </w:r>
      <w:r>
        <w:rPr>
          <w:lang w:val="en_US" w:bidi="en_US"/>
        </w:rPr>
        <w:t xml:space="preserve"> The word “redeemed” occurred in 1:68. See how you translated it there.</w:t>
      </w:r>
    </w:p>
    <w:p>
      <w:pPr/>
      <w:r>
        <w:rPr>
          <w:lang w:val="en_US" w:bidi="en_US"/>
        </w:rPr>
      </w:r>
      <w:r>
        <w:rPr>
          <w:b/>
          <w:lang w:val="en_US" w:bidi="en_US"/>
        </w:rPr>
        <w:t>Israel:</w:t>
      </w:r>
      <w:r>
        <w:rPr>
          <w:lang w:val="en_US" w:bidi="en_US"/>
        </w:rPr>
        <w:t xml:space="preserve"> In this context the word </w:t>
      </w:r>
      <w:r>
        <w:rPr>
          <w:i/>
          <w:lang w:val="en_US" w:bidi="en_US"/>
        </w:rPr>
        <w:t>Israel</w:t>
      </w:r>
      <w:r>
        <w:rPr>
          <w:lang w:val="en_US" w:bidi="en_US"/>
        </w:rPr>
        <w:t xml:space="preserve"> refers to the descendants of the Israel (who was also named Jacob). The two disciples themselves were descendants of Israel. Although they did not recognize Jesus, they assumed that he also was a Jew (a descendant of Israel). In some languages it may be necessary to indicate that the speakers and hearer were also Israelites. For example:</w:t>
      </w:r>
    </w:p>
    <w:p>
      <w:pPr/>
      <w:r>
        <w:rPr>
          <w:lang w:val="en_US" w:bidi="en_US"/>
        </w:rPr>
      </w:r>
      <w:r>
        <w:rPr>
          <w:lang w:val="en_US" w:bidi="en_US"/>
        </w:rPr>
        <w:t>us the descendants of Israel</w:t>
      </w:r>
    </w:p>
    <w:p>
      <w:pPr>
        <w:pStyle w:val="Heading5"/>
      </w:pPr>
      <w:r>
        <w:rPr>
          <w:lang w:val="en_US" w:bidi="en_US"/>
        </w:rPr>
        <w:t>24:21c</w:t>
      </w:r>
    </w:p>
    <w:p>
      <w:pPr/>
      <w:r>
        <w:rPr>
          <w:lang w:val="en_US" w:bidi="en_US"/>
        </w:rPr>
      </w:r>
      <w:r>
        <w:rPr>
          <w:b/>
          <w:lang w:val="en_US" w:bidi="en_US"/>
        </w:rPr>
        <w:t>And besides all this, it is the third day since these things took place.</w:t>
      </w:r>
    </w:p>
    <w:p>
      <w:pPr>
        <w:pStyle w:val="ListBullet"/>
        <w:spacing w:line="240" w:lineRule="auto"/>
        <w:ind w:left="720"/>
      </w:pPr>
      <w:r>
        <w:rPr>
          <w:lang w:val="en_US" w:bidi="en_US"/>
        </w:rPr>
      </w:r>
      <w:r>
        <w:rPr>
          <w:lang w:val="en_US" w:bidi="en_US"/>
        </w:rPr>
        <w:t>And besides, today is the third day since all this happened,</w:t>
      </w:r>
    </w:p>
    <w:p>
      <w:pPr>
        <w:pStyle w:val="ListBullet"/>
        <w:spacing w:line="240" w:lineRule="auto"/>
        <w:ind w:left="720"/>
      </w:pPr>
      <w:r>
        <w:rPr>
          <w:lang w:val="en_US" w:bidi="en_US"/>
        </w:rPr>
      </w:r>
      <w:r>
        <w:rPr>
          <w:lang w:val="en_US" w:bidi="en_US"/>
        </w:rPr>
        <w:t>But/However, those things happened three days ago.</w:t>
      </w:r>
    </w:p>
    <w:p>
      <w:pPr/>
      <w:r>
        <w:rPr>
          <w:lang w:val="en_US" w:bidi="en_US"/>
        </w:rPr>
      </w:r>
      <w:r>
        <w:rPr>
          <w:b/>
          <w:lang w:val="en_US" w:bidi="en_US"/>
        </w:rPr>
        <w:t>And besides all this:</w:t>
      </w:r>
      <w:r>
        <w:rPr>
          <w:lang w:val="en_US" w:bidi="en_US"/>
        </w:rPr>
        <w:t xml:space="preserve"> The Greek phrase that the BSB translates as </w:t>
      </w:r>
      <w:r>
        <w:rPr>
          <w:i/>
          <w:lang w:val="en_US" w:bidi="en_US"/>
        </w:rPr>
        <w:t>And besides all this</w:t>
      </w:r>
      <w:r>
        <w:rPr>
          <w:lang w:val="en_US" w:bidi="en_US"/>
        </w:rPr>
        <w:t xml:space="preserve"> is emphatic. It introduces another fact that disturbed the two disciples in addition to all the facts in 24:20–21b. It implies that the final fact is like a climax to the list. It also implies that all these disturbing facts contrasted with the hope that the disciples expressed in 24:21a–b. Introduce 24:21c in a natural way in your language. Some other ways to translate this phrase in English are:</w:t>
      </w:r>
    </w:p>
    <w:p>
      <w:pPr/>
      <w:r>
        <w:rPr>
          <w:lang w:val="en_US" w:bidi="en_US"/>
        </w:rPr>
      </w:r>
      <w:r>
        <w:rPr>
          <w:lang w:val="en_US" w:bidi="en_US"/>
        </w:rPr>
        <w:t>and that is not all</w:t>
      </w:r>
    </w:p>
    <w:p>
      <w:pPr/>
      <w:r>
        <w:rPr>
          <w:lang w:val="en_US" w:bidi="en_US"/>
        </w:rPr>
      </w:r>
      <w:r>
        <w:rPr>
          <w:lang w:val="en_US" w:bidi="en_US"/>
        </w:rPr>
        <w:t>And what is more (NIV)</w:t>
      </w:r>
    </w:p>
    <w:p>
      <w:pPr/>
      <w:r>
        <w:rPr>
          <w:lang w:val="en_US" w:bidi="en_US"/>
        </w:rPr>
      </w:r>
      <w:r>
        <w:rPr>
          <w:lang w:val="en_US" w:bidi="en_US"/>
        </w:rPr>
        <w:t>however</w:t>
      </w:r>
    </w:p>
    <w:p>
      <w:pPr/>
      <w:r>
        <w:rPr>
          <w:lang w:val="en_US" w:bidi="en_US"/>
        </w:rPr>
      </w:r>
      <w:r>
        <w:rPr>
          <w:lang w:val="en_US" w:bidi="en_US"/>
        </w:rPr>
        <w:t>Not only this, but (NET)</w:t>
      </w:r>
    </w:p>
    <w:p>
      <w:pPr/>
      <w:r>
        <w:rPr>
          <w:lang w:val="en_US" w:bidi="en_US"/>
        </w:rPr>
      </w:r>
      <w:r>
        <w:rPr>
          <w:b/>
          <w:lang w:val="en_US" w:bidi="en_US"/>
        </w:rPr>
        <w:t>it is the third day since these things took place:</w:t>
      </w:r>
      <w:r>
        <w:rPr>
          <w:lang w:val="en_US" w:bidi="en_US"/>
        </w:rPr>
        <w:t xml:space="preserve"> </w:t>
      </w:r>
      <w:r>
        <w:rPr>
          <w:lang w:val="en_US" w:bidi="en_US"/>
        </w:rPr>
        <w:t>Carlton (TRT, p. 463) writes, “Some Jews believed that after a person died, his soul stayed near the body for three days. After that, there was no hope/chance that the person would come back to life. See a similar situation after Lazarus died in John 11:17–39.”</w:t>
      </w:r>
      <w:r>
        <w:rPr>
          <w:lang w:val="en_US" w:bidi="en_US"/>
        </w:rPr>
        <w:t xml:space="preserve"> This clause indicates that Jesus was condemned and crucified three days before. The disciples implied that because this amount of time had passed, the situation was more hopeless. Some ways to translate the clause are:</w:t>
      </w:r>
    </w:p>
    <w:p>
      <w:pPr/>
      <w:r>
        <w:rPr>
          <w:lang w:val="en_US" w:bidi="en_US"/>
        </w:rPr>
      </w:r>
      <w:r>
        <w:rPr>
          <w:lang w:val="en_US" w:bidi="en_US"/>
        </w:rPr>
        <w:t>this is now the third day since it happened (GNT)</w:t>
      </w:r>
    </w:p>
    <w:p>
      <w:pPr/>
      <w:r>
        <w:rPr>
          <w:lang w:val="en_US" w:bidi="en_US"/>
        </w:rPr>
      </w:r>
      <w:r>
        <w:rPr>
          <w:lang w:val="en_US" w:bidi="en_US"/>
        </w:rPr>
        <w:t>it has already been three days since this happened</w:t>
      </w:r>
    </w:p>
    <w:p>
      <w:pPr/>
      <w:r>
        <w:rPr>
          <w:lang w:val="en_US" w:bidi="en_US"/>
        </w:rPr>
      </w:r>
      <w:r>
        <w:rPr>
          <w:lang w:val="en_US" w:bidi="en_US"/>
        </w:rPr>
        <w:t>this happened three days ago</w:t>
      </w:r>
      <w:r>
        <w:rPr>
          <w:lang w:val="en_US" w:bidi="en_US"/>
        </w:rPr>
      </w:r>
      <w:r>
        <w:rPr>
          <w:lang w:val="en_US" w:bidi="en_US"/>
        </w:rPr>
      </w:r>
    </w:p>
    <w:p>
      <w:pPr/>
      <w:r>
        <w:rPr>
          <w:lang w:val="en_US" w:bidi="en_US"/>
        </w:rPr>
      </w:r>
    </w:p>
    <w:p>
      <w:pPr>
        <w:pStyle w:val="Heading2"/>
      </w:pPr>
      <w:r>
        <w:rPr>
          <w:lang w:val="en_US" w:bidi="en_US"/>
        </w:rPr>
        <w:t>Luke 24:22</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24:22a</w:t>
      </w:r>
    </w:p>
    <w:p>
      <w:pPr/>
      <w:r>
        <w:rPr>
          <w:lang w:val="en_US" w:bidi="en_US"/>
        </w:rPr>
      </w:r>
      <w:r>
        <w:rPr>
          <w:b/>
          <w:lang w:val="en_US" w:bidi="en_US"/>
        </w:rPr>
        <w:t>Furthermore, some of our women astounded us.</w:t>
      </w:r>
    </w:p>
    <w:p>
      <w:pPr>
        <w:pStyle w:val="ListBullet"/>
        <w:spacing w:line="240" w:lineRule="auto"/>
        <w:ind w:left="720"/>
      </w:pPr>
      <w:r>
        <w:rPr>
          <w:lang w:val="en_US" w:bidi="en_US"/>
        </w:rPr>
      </w:r>
      <w:r>
        <w:rPr>
          <w:lang w:val="en_US" w:bidi="en_US"/>
        </w:rPr>
        <w:t>and some women among us</w:t>
      </w:r>
      <w:r>
        <w:rPr>
          <w:vertAlign w:val="superscript"/>
          <w:lang w:val="en_US" w:bidi="en_US"/>
        </w:rPr>
        <w:t>(excl)</w:t>
      </w:r>
      <w:r>
        <w:rPr>
          <w:lang w:val="en_US" w:bidi="en_US"/>
        </w:rPr>
        <w:t xml:space="preserve"> have astonished us more/again.</w:t>
      </w:r>
    </w:p>
    <w:p>
      <w:pPr>
        <w:pStyle w:val="ListBullet"/>
        <w:spacing w:line="240" w:lineRule="auto"/>
        <w:ind w:left="720"/>
      </w:pPr>
      <w:r>
        <w:rPr>
          <w:lang w:val="en_US" w:bidi="en_US"/>
        </w:rPr>
      </w:r>
      <w:r>
        <w:rPr>
          <w:lang w:val="en_US" w:bidi="en_US"/>
        </w:rPr>
        <w:t>And now, some women in our</w:t>
      </w:r>
      <w:r>
        <w:rPr>
          <w:vertAlign w:val="superscript"/>
          <w:lang w:val="en_US" w:bidi="en_US"/>
        </w:rPr>
        <w:t>(excl)</w:t>
      </w:r>
      <w:r>
        <w:rPr>
          <w:lang w:val="en_US" w:bidi="en_US"/>
        </w:rPr>
        <w:t xml:space="preserve"> </w:t>
      </w:r>
      <w:r>
        <w:rPr>
          <w:lang w:val="en_US" w:bidi="en_US"/>
        </w:rPr>
        <w:t>group</w:t>
      </w:r>
      <w:r>
        <w:rPr>
          <w:lang w:val="en_US" w:bidi="en_US"/>
        </w:rPr>
        <w:t xml:space="preserve"> have </w:t>
      </w:r>
      <w:r>
        <w:rPr>
          <w:lang w:val="en_US" w:bidi="en_US"/>
        </w:rPr>
        <w:t>told</w:t>
      </w:r>
      <w:r>
        <w:rPr>
          <w:lang w:val="en_US" w:bidi="en_US"/>
        </w:rPr>
        <w:t xml:space="preserve"> us </w:t>
      </w:r>
      <w:r>
        <w:rPr>
          <w:lang w:val="en_US" w:bidi="en_US"/>
        </w:rPr>
        <w:t>things that</w:t>
      </w:r>
      <w:r>
        <w:rPr>
          <w:lang w:val="en_US" w:bidi="en_US"/>
        </w:rPr>
        <w:t xml:space="preserve"> amazed us.</w:t>
      </w:r>
    </w:p>
    <w:p>
      <w:pPr/>
      <w:r>
        <w:rPr>
          <w:lang w:val="en_US" w:bidi="en_US"/>
        </w:rPr>
      </w:r>
      <w:r>
        <w:rPr>
          <w:b/>
          <w:lang w:val="en_US" w:bidi="en_US"/>
        </w:rPr>
        <w:t>Furthermore:</w:t>
      </w:r>
      <w:r>
        <w:rPr>
          <w:lang w:val="en_US" w:bidi="en_US"/>
        </w:rPr>
        <w:t xml:space="preserve"> The Greek phrase that the BSB translates as </w:t>
      </w:r>
      <w:r>
        <w:rPr>
          <w:i/>
          <w:lang w:val="en_US" w:bidi="en_US"/>
        </w:rPr>
        <w:t>Furthermore</w:t>
      </w:r>
      <w:r>
        <w:rPr>
          <w:lang w:val="en_US" w:bidi="en_US"/>
        </w:rPr>
        <w:t xml:space="preserve"> introduces another event that caused the disciples to become more confused than they were before. The phrase continues the thought from 24:21c. “Not only was it three days since those things happened, </w:t>
      </w:r>
      <w:r>
        <w:rPr>
          <w:u w:val="single"/>
          <w:lang w:val="en_US" w:bidi="en_US"/>
        </w:rPr>
        <w:t>but also</w:t>
      </w:r>
      <w:r>
        <w:rPr>
          <w:lang w:val="en_US" w:bidi="en_US"/>
        </w:rPr>
        <w:t>….” Connect this verse to 24:21 in a natural way in your language. In some languages a conjunction is not needed.</w:t>
      </w:r>
    </w:p>
    <w:p>
      <w:pPr/>
      <w:r>
        <w:rPr>
          <w:lang w:val="en_US" w:bidi="en_US"/>
        </w:rPr>
      </w:r>
      <w:r>
        <w:rPr>
          <w:lang w:val="en_US" w:bidi="en_US"/>
        </w:rPr>
        <w:t>Some other ways to introduce it in English are:</w:t>
      </w:r>
    </w:p>
    <w:p>
      <w:pPr/>
      <w:r>
        <w:rPr>
          <w:lang w:val="en_US" w:bidi="en_US"/>
        </w:rPr>
      </w:r>
      <w:r>
        <w:rPr>
          <w:lang w:val="en_US" w:bidi="en_US"/>
        </w:rPr>
        <w:t>and now (REB)</w:t>
      </w:r>
    </w:p>
    <w:p>
      <w:pPr/>
      <w:r>
        <w:rPr>
          <w:lang w:val="en_US" w:bidi="en_US"/>
        </w:rPr>
      </w:r>
      <w:r>
        <w:rPr>
          <w:lang w:val="en_US" w:bidi="en_US"/>
        </w:rPr>
        <w:t>Furthermore (NET)</w:t>
      </w:r>
    </w:p>
    <w:p>
      <w:pPr/>
      <w:r>
        <w:rPr>
          <w:lang w:val="en_US" w:bidi="en_US"/>
        </w:rPr>
      </w:r>
      <w:r>
        <w:rPr>
          <w:lang w:val="en_US" w:bidi="en_US"/>
        </w:rPr>
        <w:t>Then (NLT)</w:t>
      </w:r>
    </w:p>
    <w:p>
      <w:pPr/>
      <w:r>
        <w:rPr>
          <w:lang w:val="en_US" w:bidi="en_US"/>
        </w:rPr>
      </w:r>
      <w:r>
        <w:rPr>
          <w:b/>
          <w:lang w:val="en_US" w:bidi="en_US"/>
        </w:rPr>
        <w:t>some of our women astounded us:</w:t>
      </w:r>
      <w:r>
        <w:rPr>
          <w:lang w:val="en_US" w:bidi="en_US"/>
        </w:rPr>
        <w:t xml:space="preserve"> The disciples were amazed as a result of the news that the women told them in 24:23. The disciples were not surprised that the women went to the tomb (24:22b). Be sure to make this connection clear in your language.</w:t>
      </w:r>
    </w:p>
    <w:p>
      <w:pPr/>
      <w:r>
        <w:rPr>
          <w:lang w:val="en_US" w:bidi="en_US"/>
        </w:rPr>
      </w:r>
      <w:r>
        <w:rPr>
          <w:lang w:val="en_US" w:bidi="en_US"/>
        </w:rPr>
        <w:t>Some other ways to translate this clause are:</w:t>
      </w:r>
    </w:p>
    <w:p>
      <w:pPr/>
      <w:r>
        <w:rPr>
          <w:lang w:val="en_US" w:bidi="en_US"/>
        </w:rPr>
      </w:r>
      <w:r>
        <w:rPr>
          <w:lang w:val="en_US" w:bidi="en_US"/>
        </w:rPr>
        <w:t>Some women in our group told us amazing things.</w:t>
      </w:r>
    </w:p>
    <w:p>
      <w:pPr/>
      <w:r>
        <w:rPr>
          <w:lang w:val="en_US" w:bidi="en_US"/>
        </w:rPr>
      </w:r>
      <w:r>
        <w:rPr>
          <w:lang w:val="en_US" w:bidi="en_US"/>
        </w:rPr>
        <w:t>And we were amazed earlier this morning because of what some women among us said.</w:t>
      </w:r>
    </w:p>
    <w:p>
      <w:pPr/>
      <w:r>
        <w:rPr>
          <w:lang w:val="en_US" w:bidi="en_US"/>
        </w:rPr>
      </w:r>
      <w:r>
        <w:rPr>
          <w:lang w:val="en_US" w:bidi="en_US"/>
        </w:rPr>
        <w:t>In some languages it is necessary to translate the order of events in this verse in a different way. See the General Comment on 24:22a–b below. In other languages it may be helpful to combine 24:22–23 to translate the events in the order that they happened. See the General Comment on 24:22–23 at the end of 24:23b–c for examples.</w:t>
      </w:r>
    </w:p>
    <w:p>
      <w:pPr/>
      <w:r>
        <w:rPr>
          <w:lang w:val="en_US" w:bidi="en_US"/>
        </w:rPr>
      </w:r>
      <w:r>
        <w:rPr>
          <w:b/>
          <w:lang w:val="en_US" w:bidi="en_US"/>
        </w:rPr>
        <w:t>some of our women:</w:t>
      </w:r>
      <w:r>
        <w:rPr>
          <w:lang w:val="en_US" w:bidi="en_US"/>
        </w:rPr>
        <w:t xml:space="preserve"> The phrase </w:t>
      </w:r>
      <w:r>
        <w:rPr>
          <w:i/>
          <w:lang w:val="en_US" w:bidi="en_US"/>
        </w:rPr>
        <w:t>some of our women</w:t>
      </w:r>
      <w:r>
        <w:rPr>
          <w:lang w:val="en_US" w:bidi="en_US"/>
        </w:rPr>
        <w:t xml:space="preserve"> refers to some women from the group of Jesus’ followers. The word </w:t>
      </w:r>
      <w:r>
        <w:rPr>
          <w:i/>
          <w:lang w:val="en_US" w:bidi="en_US"/>
        </w:rPr>
        <w:t>our</w:t>
      </w:r>
      <w:r>
        <w:rPr>
          <w:lang w:val="en_US" w:bidi="en_US"/>
        </w:rPr>
        <w:t xml:space="preserve"> does not include Jesus. Other ways to translate the phrase are:</w:t>
      </w:r>
    </w:p>
    <w:p>
      <w:pPr/>
      <w:r>
        <w:rPr>
          <w:lang w:val="en_US" w:bidi="en_US"/>
        </w:rPr>
      </w:r>
      <w:r>
        <w:rPr>
          <w:lang w:val="en_US" w:bidi="en_US"/>
        </w:rPr>
        <w:t>Some of the women in our</w:t>
      </w:r>
      <w:r>
        <w:rPr>
          <w:vertAlign w:val="superscript"/>
          <w:lang w:val="en_US" w:bidi="en_US"/>
        </w:rPr>
        <w:t>(excl)</w:t>
      </w:r>
      <w:r>
        <w:rPr>
          <w:lang w:val="en_US" w:bidi="en_US"/>
        </w:rPr>
        <w:t xml:space="preserve"> group</w:t>
      </w:r>
    </w:p>
    <w:p>
      <w:pPr/>
      <w:r>
        <w:rPr>
          <w:lang w:val="en_US" w:bidi="en_US"/>
        </w:rPr>
      </w:r>
      <w:r>
        <w:rPr>
          <w:lang w:val="en_US" w:bidi="en_US"/>
        </w:rPr>
        <w:t>some women among us (NASB)</w:t>
      </w:r>
    </w:p>
    <w:p>
      <w:pPr>
        <w:pStyle w:val="Heading5"/>
      </w:pPr>
      <w:r>
        <w:rPr>
          <w:lang w:val="en_US" w:bidi="en_US"/>
        </w:rPr>
        <w:t>24:22b</w:t>
      </w:r>
    </w:p>
    <w:p>
      <w:pPr/>
      <w:r>
        <w:rPr>
          <w:lang w:val="en_US" w:bidi="en_US"/>
        </w:rPr>
      </w:r>
      <w:r>
        <w:rPr>
          <w:b/>
          <w:lang w:val="en_US" w:bidi="en_US"/>
        </w:rPr>
        <w:t>They were at the tomb early this morning,</w:t>
      </w:r>
    </w:p>
    <w:p>
      <w:pPr>
        <w:pStyle w:val="ListBullet"/>
        <w:spacing w:line="240" w:lineRule="auto"/>
        <w:ind w:left="720"/>
      </w:pPr>
      <w:r>
        <w:rPr>
          <w:lang w:val="en_US" w:bidi="en_US"/>
        </w:rPr>
      </w:r>
      <w:r>
        <w:rPr>
          <w:lang w:val="en_US" w:bidi="en_US"/>
        </w:rPr>
        <w:t>They went to the/Jesus’ tomb at dawn this morning,</w:t>
      </w:r>
    </w:p>
    <w:p>
      <w:pPr>
        <w:pStyle w:val="ListBullet"/>
        <w:spacing w:line="240" w:lineRule="auto"/>
        <w:ind w:left="720"/>
      </w:pPr>
      <w:r>
        <w:rPr>
          <w:lang w:val="en_US" w:bidi="en_US"/>
        </w:rPr>
      </w:r>
      <w:r>
        <w:rPr>
          <w:lang w:val="en_US" w:bidi="en_US"/>
        </w:rPr>
        <w:t>Early this morning when they went to the tomb/place where Jesus was buried,</w:t>
      </w:r>
    </w:p>
    <w:p>
      <w:pPr/>
      <w:r>
        <w:rPr>
          <w:lang w:val="en_US" w:bidi="en_US"/>
        </w:rPr>
      </w:r>
      <w:r>
        <w:rPr>
          <w:b/>
          <w:lang w:val="en_US" w:bidi="en_US"/>
        </w:rPr>
        <w:t>They were at the tomb early this morning:</w:t>
      </w:r>
      <w:r>
        <w:rPr>
          <w:lang w:val="en_US" w:bidi="en_US"/>
        </w:rPr>
        <w:t xml:space="preserve"> The women went to the tomb around dawn on Sunday morning. The two disciples were talking to Jesus in the late afternoon of that same day.</w:t>
      </w:r>
    </w:p>
    <w:p>
      <w:pPr/>
      <w:r>
        <w:rPr>
          <w:lang w:val="en_US" w:bidi="en_US"/>
        </w:rPr>
      </w:r>
      <w:r>
        <w:rPr>
          <w:lang w:val="en_US" w:bidi="en_US"/>
        </w:rPr>
        <w:t>Some other ways to translate this part of the verse are:</w:t>
      </w:r>
    </w:p>
    <w:p>
      <w:pPr/>
      <w:r>
        <w:rPr>
          <w:lang w:val="en_US" w:bidi="en_US"/>
        </w:rPr>
      </w:r>
      <w:r>
        <w:rPr>
          <w:lang w:val="en_US" w:bidi="en_US"/>
        </w:rPr>
        <w:t>they went at dawn to the tomb (GNT)</w:t>
      </w:r>
    </w:p>
    <w:p>
      <w:pPr/>
      <w:r>
        <w:rPr>
          <w:lang w:val="en_US" w:bidi="en_US"/>
        </w:rPr>
      </w:r>
      <w:r>
        <w:rPr>
          <w:lang w:val="en_US" w:bidi="en_US"/>
        </w:rPr>
        <w:t>They were at the tomb early this morning (NET)</w:t>
      </w:r>
    </w:p>
    <w:p>
      <w:pPr>
        <w:pStyle w:val="Heading6"/>
      </w:pPr>
      <w:r>
        <w:rPr>
          <w:b/>
          <w:lang w:val="en_US" w:bidi="en_US"/>
        </w:rPr>
        <w:t>General Comment on 24:22a–b</w:t>
      </w:r>
    </w:p>
    <w:p>
      <w:pPr/>
      <w:r>
        <w:rPr>
          <w:lang w:val="en_US" w:bidi="en_US"/>
        </w:rPr>
      </w:r>
      <w:r>
        <w:rPr>
          <w:lang w:val="en_US" w:bidi="en_US"/>
        </w:rPr>
        <w:t>In some languages it may be more natural to translate the order of clauses in this verse in a different way. For example:</w:t>
      </w:r>
    </w:p>
    <w:p>
      <w:pPr/>
      <w:r>
        <w:rPr>
          <w:lang w:val="en_US" w:bidi="en_US"/>
        </w:rPr>
      </w:r>
      <w:r>
        <w:rPr>
          <w:vertAlign w:val="superscript"/>
          <w:lang w:val="en_US" w:bidi="en_US"/>
        </w:rPr>
        <w:t>22b</w:t>
      </w:r>
      <w:r>
        <w:rPr>
          <w:lang w:val="en_US" w:bidi="en_US"/>
        </w:rPr>
        <w:t xml:space="preserve">Then some women from our group of his followers were at his tomb early this morning, </w:t>
      </w:r>
      <w:r>
        <w:rPr>
          <w:vertAlign w:val="superscript"/>
          <w:lang w:val="en_US" w:bidi="en_US"/>
        </w:rPr>
        <w:t>22a</w:t>
      </w:r>
      <w:r>
        <w:rPr>
          <w:lang w:val="en_US" w:bidi="en_US"/>
        </w:rPr>
        <w:t>and they came back with an amazing report. (NLT)</w:t>
      </w:r>
    </w:p>
    <w:p>
      <w:pPr/>
      <w:r>
        <w:rPr>
          <w:lang w:val="en_US" w:bidi="en_US"/>
        </w:rPr>
      </w:r>
      <w:r>
        <w:rPr>
          <w:lang w:val="en_US" w:bidi="en_US"/>
        </w:rPr>
        <w:t>Translate the events in a natural order in your language.</w:t>
      </w:r>
      <w:r>
        <w:rPr>
          <w:lang w:val="en_US" w:bidi="en_US"/>
        </w:rPr>
      </w:r>
      <w:r>
        <w:rPr>
          <w:lang w:val="en_US" w:bidi="en_US"/>
        </w:rPr>
      </w:r>
    </w:p>
    <w:p>
      <w:pPr/>
      <w:r>
        <w:rPr>
          <w:lang w:val="en_US" w:bidi="en_US"/>
        </w:rPr>
      </w:r>
    </w:p>
    <w:p>
      <w:pPr>
        <w:pStyle w:val="Heading2"/>
      </w:pPr>
      <w:r>
        <w:rPr>
          <w:lang w:val="en_US" w:bidi="en_US"/>
        </w:rPr>
        <w:t>Luke 24:23</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24:23a</w:t>
      </w:r>
    </w:p>
    <w:p>
      <w:pPr/>
      <w:r>
        <w:rPr>
          <w:lang w:val="en_US" w:bidi="en_US"/>
        </w:rPr>
      </w:r>
      <w:r>
        <w:rPr>
          <w:b/>
          <w:lang w:val="en_US" w:bidi="en_US"/>
        </w:rPr>
        <w:t>but they did not find His body.</w:t>
      </w:r>
    </w:p>
    <w:p>
      <w:pPr>
        <w:pStyle w:val="ListBullet"/>
        <w:spacing w:line="240" w:lineRule="auto"/>
        <w:ind w:left="720"/>
      </w:pPr>
      <w:r>
        <w:rPr>
          <w:lang w:val="en_US" w:bidi="en_US"/>
        </w:rPr>
      </w:r>
      <w:r>
        <w:rPr>
          <w:lang w:val="en_US" w:bidi="en_US"/>
        </w:rPr>
        <w:t>but they did not find/see his body there.</w:t>
      </w:r>
    </w:p>
    <w:p>
      <w:pPr>
        <w:pStyle w:val="ListBullet"/>
        <w:spacing w:line="240" w:lineRule="auto"/>
        <w:ind w:left="720"/>
      </w:pPr>
      <w:r>
        <w:rPr>
          <w:lang w:val="en_US" w:bidi="en_US"/>
        </w:rPr>
      </w:r>
      <w:r>
        <w:rPr>
          <w:lang w:val="en_US" w:bidi="en_US"/>
        </w:rPr>
        <w:t>his body/corpse was not there.</w:t>
      </w:r>
    </w:p>
    <w:p>
      <w:pPr/>
      <w:r>
        <w:rPr>
          <w:lang w:val="en_US" w:bidi="en_US"/>
        </w:rPr>
      </w:r>
      <w:r>
        <w:rPr>
          <w:b/>
          <w:lang w:val="en_US" w:bidi="en_US"/>
        </w:rPr>
        <w:t>but they did not find His body:</w:t>
      </w:r>
      <w:r>
        <w:rPr>
          <w:lang w:val="en_US" w:bidi="en_US"/>
        </w:rPr>
        <w:t xml:space="preserve"> The disciples implied here that the women did not find Jesus’ body because it was not there. They did not imply that the women should have searched for it more carefully. Some other ways to translate this clause are:</w:t>
      </w:r>
    </w:p>
    <w:p>
      <w:pPr/>
      <w:r>
        <w:rPr>
          <w:lang w:val="en_US" w:bidi="en_US"/>
        </w:rPr>
      </w:r>
      <w:r>
        <w:rPr>
          <w:lang w:val="en_US" w:bidi="en_US"/>
        </w:rPr>
        <w:t>when they did not find his corpse</w:t>
      </w:r>
    </w:p>
    <w:p>
      <w:pPr/>
      <w:r>
        <w:rPr>
          <w:lang w:val="en_US" w:bidi="en_US"/>
        </w:rPr>
      </w:r>
      <w:r>
        <w:rPr>
          <w:lang w:val="en_US" w:bidi="en_US"/>
        </w:rPr>
        <w:t>They said his body was missing (NLT)</w:t>
      </w:r>
    </w:p>
    <w:p>
      <w:pPr>
        <w:pStyle w:val="Heading5"/>
      </w:pPr>
      <w:r>
        <w:rPr>
          <w:lang w:val="en_US" w:bidi="en_US"/>
        </w:rPr>
        <w:t>24:23b</w:t>
      </w:r>
    </w:p>
    <w:p>
      <w:pPr/>
      <w:r>
        <w:rPr>
          <w:lang w:val="en_US" w:bidi="en_US"/>
        </w:rPr>
      </w:r>
      <w:r>
        <w:rPr>
          <w:b/>
          <w:lang w:val="en_US" w:bidi="en_US"/>
        </w:rPr>
        <w:t>They came and told us they had seen a vision of angels,</w:t>
      </w:r>
    </w:p>
    <w:p>
      <w:pPr>
        <w:pStyle w:val="ListBullet"/>
        <w:spacing w:line="240" w:lineRule="auto"/>
        <w:ind w:left="720"/>
      </w:pPr>
      <w:r>
        <w:rPr>
          <w:lang w:val="en_US" w:bidi="en_US"/>
        </w:rPr>
      </w:r>
      <w:r>
        <w:rPr>
          <w:lang w:val="en_US" w:bidi="en_US"/>
        </w:rPr>
        <w:t>Then</w:t>
      </w:r>
      <w:r>
        <w:rPr>
          <w:lang w:val="en_US" w:bidi="en_US"/>
        </w:rPr>
        <w:t xml:space="preserve"> the women came to us</w:t>
      </w:r>
      <w:r>
        <w:rPr>
          <w:vertAlign w:val="superscript"/>
          <w:lang w:val="en_US" w:bidi="en_US"/>
        </w:rPr>
        <w:t>(excl)</w:t>
      </w:r>
      <w:r>
        <w:rPr>
          <w:lang w:val="en_US" w:bidi="en_US"/>
        </w:rPr>
        <w:t>. They said/reported that they had seen angels,</w:t>
      </w:r>
    </w:p>
    <w:p>
      <w:pPr>
        <w:pStyle w:val="ListBullet"/>
        <w:spacing w:line="240" w:lineRule="auto"/>
        <w:ind w:left="720"/>
      </w:pPr>
      <w:r>
        <w:rPr>
          <w:lang w:val="en_US" w:bidi="en_US"/>
        </w:rPr>
      </w:r>
      <w:r>
        <w:rPr>
          <w:lang w:val="en_US" w:bidi="en_US"/>
        </w:rPr>
        <w:t>After that,</w:t>
      </w:r>
      <w:r>
        <w:rPr>
          <w:lang w:val="en_US" w:bidi="en_US"/>
        </w:rPr>
        <w:t xml:space="preserve"> they came to us</w:t>
      </w:r>
      <w:r>
        <w:rPr>
          <w:vertAlign w:val="superscript"/>
          <w:lang w:val="en_US" w:bidi="en_US"/>
        </w:rPr>
        <w:t>(excl)</w:t>
      </w:r>
      <w:r>
        <w:rPr>
          <w:lang w:val="en_US" w:bidi="en_US"/>
        </w:rPr>
        <w:t xml:space="preserve">. They told us that angels </w:t>
      </w:r>
      <w:r>
        <w:rPr>
          <w:lang w:val="en_US" w:bidi="en_US"/>
        </w:rPr>
        <w:t>from heaven/God</w:t>
      </w:r>
      <w:r>
        <w:rPr>
          <w:lang w:val="en_US" w:bidi="en_US"/>
        </w:rPr>
        <w:t xml:space="preserve"> appeared to them</w:t>
      </w:r>
    </w:p>
    <w:p>
      <w:pPr>
        <w:pStyle w:val="Heading5"/>
      </w:pPr>
      <w:r>
        <w:rPr>
          <w:lang w:val="en_US" w:bidi="en_US"/>
        </w:rPr>
        <w:t>24:23c</w:t>
      </w:r>
    </w:p>
    <w:p>
      <w:pPr/>
      <w:r>
        <w:rPr>
          <w:lang w:val="en_US" w:bidi="en_US"/>
        </w:rPr>
      </w:r>
      <w:r>
        <w:rPr>
          <w:b/>
          <w:lang w:val="en_US" w:bidi="en_US"/>
        </w:rPr>
        <w:t>who said that Jesus was alive.</w:t>
      </w:r>
    </w:p>
    <w:p>
      <w:pPr>
        <w:pStyle w:val="ListBullet"/>
        <w:spacing w:line="240" w:lineRule="auto"/>
        <w:ind w:left="720"/>
      </w:pPr>
      <w:r>
        <w:rPr>
          <w:lang w:val="en_US" w:bidi="en_US"/>
        </w:rPr>
      </w:r>
      <w:r>
        <w:rPr>
          <w:lang w:val="en_US" w:bidi="en_US"/>
        </w:rPr>
        <w:t>and the angels said that Jesus is alive.</w:t>
      </w:r>
    </w:p>
    <w:p>
      <w:pPr>
        <w:pStyle w:val="ListBullet"/>
        <w:spacing w:line="240" w:lineRule="auto"/>
        <w:ind w:left="720"/>
      </w:pPr>
      <w:r>
        <w:rPr>
          <w:lang w:val="en_US" w:bidi="en_US"/>
        </w:rPr>
      </w:r>
      <w:r>
        <w:rPr>
          <w:lang w:val="en_US" w:bidi="en_US"/>
        </w:rPr>
        <w:t xml:space="preserve">and told them that </w:t>
      </w:r>
      <w:r>
        <w:rPr>
          <w:lang w:val="en_US" w:bidi="en_US"/>
        </w:rPr>
        <w:t>now</w:t>
      </w:r>
      <w:r>
        <w:rPr>
          <w:lang w:val="en_US" w:bidi="en_US"/>
        </w:rPr>
        <w:t xml:space="preserve"> Jesus lives.</w:t>
      </w:r>
    </w:p>
    <w:p>
      <w:pPr>
        <w:pStyle w:val="Heading5"/>
      </w:pPr>
      <w:r>
        <w:rPr>
          <w:lang w:val="en_US" w:bidi="en_US"/>
        </w:rPr>
        <w:t>24:23b–c</w:t>
      </w:r>
    </w:p>
    <w:p>
      <w:pPr/>
      <w:r>
        <w:rPr>
          <w:lang w:val="en_US" w:bidi="en_US"/>
        </w:rPr>
      </w:r>
      <w:r>
        <w:rPr>
          <w:b/>
          <w:lang w:val="en_US" w:bidi="en_US"/>
        </w:rPr>
        <w:t>They came and told us:</w:t>
      </w:r>
      <w:r>
        <w:rPr>
          <w:lang w:val="en_US" w:bidi="en_US"/>
        </w:rPr>
        <w:t xml:space="preserve"> The phrase </w:t>
      </w:r>
      <w:r>
        <w:rPr>
          <w:i/>
          <w:lang w:val="en_US" w:bidi="en_US"/>
        </w:rPr>
        <w:t>They came and told us</w:t>
      </w:r>
      <w:r>
        <w:rPr>
          <w:lang w:val="en_US" w:bidi="en_US"/>
        </w:rPr>
        <w:t xml:space="preserve"> implies that when the women left the tomb, they went to Jesus’ disciples to tell them what they saw there. Some other ways to translate the clause are:</w:t>
      </w:r>
    </w:p>
    <w:p>
      <w:pPr/>
      <w:r>
        <w:rPr>
          <w:lang w:val="en_US" w:bidi="en_US"/>
        </w:rPr>
      </w:r>
      <w:r>
        <w:rPr>
          <w:lang w:val="en_US" w:bidi="en_US"/>
        </w:rPr>
        <w:t>They came to us and said</w:t>
      </w:r>
    </w:p>
    <w:p>
      <w:pPr/>
      <w:r>
        <w:rPr>
          <w:lang w:val="en_US" w:bidi="en_US"/>
        </w:rPr>
      </w:r>
      <w:r>
        <w:rPr>
          <w:lang w:val="en_US" w:bidi="en_US"/>
        </w:rPr>
        <w:t xml:space="preserve">Then they came back </w:t>
      </w:r>
      <w:r>
        <w:rPr>
          <w:lang w:val="en_US" w:bidi="en_US"/>
        </w:rPr>
        <w:t>to our group</w:t>
      </w:r>
      <w:r>
        <w:rPr>
          <w:lang w:val="en_US" w:bidi="en_US"/>
        </w:rPr>
        <w:t xml:space="preserve"> and told us</w:t>
      </w:r>
    </w:p>
    <w:p>
      <w:pPr/>
      <w:r>
        <w:rPr>
          <w:lang w:val="en_US" w:bidi="en_US"/>
        </w:rPr>
      </w:r>
      <w:r>
        <w:rPr>
          <w:b/>
          <w:lang w:val="en_US" w:bidi="en_US"/>
        </w:rPr>
        <w:t>told us:</w:t>
      </w:r>
      <w:r>
        <w:rPr>
          <w:lang w:val="en_US" w:bidi="en_US"/>
        </w:rPr>
        <w:t xml:space="preserve"> The BSB supplies the word </w:t>
      </w:r>
      <w:r>
        <w:rPr>
          <w:i/>
          <w:lang w:val="en_US" w:bidi="en_US"/>
        </w:rPr>
        <w:t>us</w:t>
      </w:r>
      <w:r>
        <w:rPr>
          <w:lang w:val="en_US" w:bidi="en_US"/>
        </w:rPr>
        <w:t xml:space="preserve"> here. It refers to the group of Jesus’ followers whom the women told about going to his tomb. It does not refer only to the two disciples who were walking with Jesus. It does not include the person (Jesus) to whom they are speaking.</w:t>
      </w:r>
    </w:p>
    <w:p>
      <w:pPr/>
      <w:r>
        <w:rPr>
          <w:lang w:val="en_US" w:bidi="en_US"/>
        </w:rPr>
      </w:r>
      <w:r>
        <w:rPr>
          <w:b/>
          <w:lang w:val="en_US" w:bidi="en_US"/>
        </w:rPr>
        <w:t>they had seen a vision of angels:</w:t>
      </w:r>
      <w:r>
        <w:rPr>
          <w:lang w:val="en_US" w:bidi="en_US"/>
        </w:rPr>
        <w:t xml:space="preserve"> This clause is another way to say “they had seen angels.” In this context the word </w:t>
      </w:r>
      <w:r>
        <w:rPr>
          <w:i/>
          <w:lang w:val="en_US" w:bidi="en_US"/>
        </w:rPr>
        <w:t>vision</w:t>
      </w:r>
      <w:r>
        <w:rPr>
          <w:lang w:val="en_US" w:bidi="en_US"/>
        </w:rPr>
        <w:t xml:space="preserve"> implies that the angels were sent from God. They normally live in heaven with God, and people do not usually see them. The word </w:t>
      </w:r>
      <w:r>
        <w:rPr>
          <w:i/>
          <w:lang w:val="en_US" w:bidi="en_US"/>
        </w:rPr>
        <w:t>vision</w:t>
      </w:r>
      <w:r>
        <w:rPr>
          <w:lang w:val="en_US" w:bidi="en_US"/>
        </w:rPr>
        <w:t xml:space="preserve"> does not imply here that the women were asleep or in a trance. Another way to translate the clause is:</w:t>
      </w:r>
    </w:p>
    <w:p>
      <w:pPr/>
      <w:r>
        <w:rPr>
          <w:lang w:val="en_US" w:bidi="en_US"/>
        </w:rPr>
      </w:r>
      <w:r>
        <w:rPr>
          <w:lang w:val="en_US" w:bidi="en_US"/>
        </w:rPr>
        <w:t>they had seen angels (NLT)</w:t>
      </w:r>
    </w:p>
    <w:p>
      <w:pPr/>
      <w:r>
        <w:rPr>
          <w:lang w:val="en_US" w:bidi="en_US"/>
        </w:rPr>
      </w:r>
      <w:r>
        <w:rPr>
          <w:b/>
          <w:lang w:val="en_US" w:bidi="en_US"/>
        </w:rPr>
        <w:t>angels:</w:t>
      </w:r>
      <w:r>
        <w:rPr>
          <w:lang w:val="en_US" w:bidi="en_US"/>
        </w:rPr>
        <w:t xml:space="preserve"> The word “angel” occurred in 22:43. For more information and translation suggestions, see the notes at 22:43a. See also angel, Meaning 1, in the Glossary.</w:t>
      </w:r>
    </w:p>
    <w:p>
      <w:pPr>
        <w:pStyle w:val="Heading6"/>
      </w:pPr>
      <w:r>
        <w:rPr>
          <w:b/>
          <w:lang w:val="en_US" w:bidi="en_US"/>
        </w:rPr>
        <w:t>General Comment on 24:22–23</w:t>
      </w:r>
    </w:p>
    <w:p>
      <w:pPr/>
      <w:r>
        <w:rPr>
          <w:lang w:val="en_US" w:bidi="en_US"/>
        </w:rPr>
      </w:r>
      <w:r>
        <w:rPr>
          <w:lang w:val="en_US" w:bidi="en_US"/>
        </w:rPr>
        <w:t>In some languages it may be more natural to translate the order of events in these verses in a different way. For example:</w:t>
      </w:r>
    </w:p>
    <w:p>
      <w:pPr/>
      <w:r>
        <w:rPr>
          <w:lang w:val="en_US" w:bidi="en_US"/>
        </w:rPr>
      </w:r>
      <w:r>
        <w:rPr>
          <w:vertAlign w:val="superscript"/>
          <w:lang w:val="en_US" w:bidi="en_US"/>
        </w:rPr>
        <w:t>22b</w:t>
      </w:r>
      <w:r>
        <w:rPr>
          <w:lang w:val="en_US" w:bidi="en_US"/>
        </w:rPr>
        <w:t xml:space="preserve">Then early this morning some women among us went to his tomb </w:t>
      </w:r>
      <w:r>
        <w:rPr>
          <w:vertAlign w:val="superscript"/>
          <w:lang w:val="en_US" w:bidi="en_US"/>
        </w:rPr>
        <w:t>23a</w:t>
      </w:r>
      <w:r>
        <w:rPr>
          <w:lang w:val="en_US" w:bidi="en_US"/>
        </w:rPr>
        <w:t xml:space="preserve">but did not find his body. </w:t>
      </w:r>
      <w:r>
        <w:rPr>
          <w:vertAlign w:val="superscript"/>
          <w:lang w:val="en_US" w:bidi="en_US"/>
        </w:rPr>
        <w:t>22a</w:t>
      </w:r>
      <w:r>
        <w:rPr>
          <w:lang w:val="en_US" w:bidi="en_US"/>
        </w:rPr>
        <w:t xml:space="preserve">They returned to us with an amazing story. </w:t>
      </w:r>
      <w:r>
        <w:rPr>
          <w:vertAlign w:val="superscript"/>
          <w:lang w:val="en_US" w:bidi="en_US"/>
        </w:rPr>
        <w:t>23b</w:t>
      </w:r>
      <w:r>
        <w:rPr>
          <w:lang w:val="en_US" w:bidi="en_US"/>
        </w:rPr>
        <w:t xml:space="preserve">They said they saw angels </w:t>
      </w:r>
      <w:r>
        <w:rPr>
          <w:vertAlign w:val="superscript"/>
          <w:lang w:val="en_US" w:bidi="en_US"/>
        </w:rPr>
        <w:t>23c</w:t>
      </w:r>
      <w:r>
        <w:rPr>
          <w:lang w:val="en_US" w:bidi="en_US"/>
        </w:rPr>
        <w:t>who said he was alive.</w:t>
      </w:r>
    </w:p>
    <w:p>
      <w:pPr/>
      <w:r>
        <w:rPr>
          <w:lang w:val="en_US" w:bidi="en_US"/>
        </w:rPr>
      </w:r>
      <w:r>
        <w:rPr>
          <w:lang w:val="en_US" w:bidi="en_US"/>
        </w:rPr>
        <w:t>Translate the information in these verses in a natural order in your language. If you combine the verses, you may put both verse numbers at the beginning of the verse. For example:</w:t>
      </w:r>
    </w:p>
    <w:p>
      <w:pPr/>
      <w:r>
        <w:rPr>
          <w:lang w:val="en_US" w:bidi="en_US"/>
        </w:rPr>
      </w:r>
      <w:r>
        <w:rPr>
          <w:vertAlign w:val="superscript"/>
          <w:lang w:val="en_US" w:bidi="en_US"/>
        </w:rPr>
        <w:t>22–23</w:t>
      </w:r>
      <w:r>
        <w:rPr>
          <w:lang w:val="en_US" w:bidi="en_US"/>
        </w:rPr>
        <w:t>And then this morning some women in our group went to the tomb. They said that they did not find his body, but they saw angels who said he was alive! We were amazed when the women said that.</w:t>
      </w:r>
      <w:r>
        <w:rPr>
          <w:lang w:val="en_US" w:bidi="en_US"/>
        </w:rPr>
      </w:r>
      <w:r>
        <w:rPr>
          <w:lang w:val="en_US" w:bidi="en_US"/>
        </w:rPr>
      </w:r>
    </w:p>
    <w:p>
      <w:pPr/>
      <w:r>
        <w:rPr>
          <w:lang w:val="en_US" w:bidi="en_US"/>
        </w:rPr>
      </w:r>
    </w:p>
    <w:p>
      <w:pPr>
        <w:pStyle w:val="Heading2"/>
      </w:pPr>
      <w:r>
        <w:rPr>
          <w:lang w:val="en_US" w:bidi="en_US"/>
        </w:rPr>
        <w:t>Luke 24:24</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24:24a</w:t>
      </w:r>
    </w:p>
    <w:p>
      <w:pPr/>
      <w:r>
        <w:rPr>
          <w:lang w:val="en_US" w:bidi="en_US"/>
        </w:rPr>
      </w:r>
      <w:r>
        <w:rPr>
          <w:b/>
          <w:lang w:val="en_US" w:bidi="en_US"/>
        </w:rPr>
        <w:t>Then some of our companions went to the tomb</w:t>
      </w:r>
    </w:p>
    <w:p>
      <w:pPr>
        <w:pStyle w:val="ListBullet"/>
        <w:spacing w:line="240" w:lineRule="auto"/>
        <w:ind w:left="720"/>
      </w:pPr>
      <w:r>
        <w:rPr>
          <w:lang w:val="en_US" w:bidi="en_US"/>
        </w:rPr>
      </w:r>
      <w:r>
        <w:rPr>
          <w:lang w:val="en_US" w:bidi="en_US"/>
        </w:rPr>
        <w:t xml:space="preserve">Then some of </w:t>
      </w:r>
      <w:r>
        <w:rPr>
          <w:lang w:val="en_US" w:bidi="en_US"/>
        </w:rPr>
        <w:t>the men in</w:t>
      </w:r>
      <w:r>
        <w:rPr>
          <w:lang w:val="en_US" w:bidi="en_US"/>
        </w:rPr>
        <w:t xml:space="preserve"> our</w:t>
      </w:r>
      <w:r>
        <w:rPr>
          <w:vertAlign w:val="superscript"/>
          <w:lang w:val="en_US" w:bidi="en_US"/>
        </w:rPr>
        <w:t>(excl)</w:t>
      </w:r>
      <w:r>
        <w:rPr>
          <w:lang w:val="en_US" w:bidi="en_US"/>
        </w:rPr>
        <w:t xml:space="preserve"> group went to the tomb,</w:t>
      </w:r>
    </w:p>
    <w:p>
      <w:pPr>
        <w:pStyle w:val="ListBullet"/>
        <w:spacing w:line="240" w:lineRule="auto"/>
        <w:ind w:left="720"/>
      </w:pPr>
      <w:r>
        <w:rPr>
          <w:lang w:val="en_US" w:bidi="en_US"/>
        </w:rPr>
      </w:r>
      <w:r>
        <w:rPr>
          <w:lang w:val="en_US" w:bidi="en_US"/>
        </w:rPr>
        <w:t>After that, some among us</w:t>
      </w:r>
      <w:r>
        <w:rPr>
          <w:vertAlign w:val="superscript"/>
          <w:lang w:val="en_US" w:bidi="en_US"/>
        </w:rPr>
        <w:t>(excl)</w:t>
      </w:r>
      <w:r>
        <w:rPr>
          <w:lang w:val="en_US" w:bidi="en_US"/>
        </w:rPr>
        <w:t xml:space="preserve"> went to the tomb.</w:t>
      </w:r>
    </w:p>
    <w:p>
      <w:pPr/>
      <w:r>
        <w:rPr>
          <w:lang w:val="en_US" w:bidi="en_US"/>
        </w:rPr>
      </w:r>
      <w:r>
        <w:rPr>
          <w:b/>
          <w:lang w:val="en_US" w:bidi="en_US"/>
        </w:rPr>
        <w:t>Then some of our companions went to the tomb:</w:t>
      </w:r>
      <w:r>
        <w:rPr>
          <w:lang w:val="en_US" w:bidi="en_US"/>
        </w:rPr>
        <w:t xml:space="preserve"> The phrase </w:t>
      </w:r>
      <w:r>
        <w:rPr>
          <w:i/>
          <w:lang w:val="en_US" w:bidi="en_US"/>
        </w:rPr>
        <w:t>some of our companions</w:t>
      </w:r>
      <w:r>
        <w:rPr>
          <w:lang w:val="en_US" w:bidi="en_US"/>
        </w:rPr>
        <w:t xml:space="preserve"> refers to their male companions who were also followers of Jesus. These companions also heard the women’s report. The parallel passage in John 20:3–9 suggests that the phrase refers to Peter and John.</w:t>
      </w:r>
    </w:p>
    <w:p>
      <w:pPr/>
      <w:r>
        <w:rPr>
          <w:lang w:val="en_US" w:bidi="en_US"/>
        </w:rPr>
      </w:r>
      <w:r>
        <w:rPr>
          <w:lang w:val="en_US" w:bidi="en_US"/>
        </w:rPr>
        <w:t>Some other ways to translate this part of the verse are:</w:t>
      </w:r>
    </w:p>
    <w:p>
      <w:pPr/>
      <w:r>
        <w:rPr>
          <w:lang w:val="en_US" w:bidi="en_US"/>
        </w:rPr>
      </w:r>
      <w:r>
        <w:rPr>
          <w:lang w:val="en_US" w:bidi="en_US"/>
        </w:rPr>
        <w:t>Some of our men went to the tomb (GW)</w:t>
      </w:r>
    </w:p>
    <w:p>
      <w:pPr/>
      <w:r>
        <w:rPr>
          <w:lang w:val="en_US" w:bidi="en_US"/>
        </w:rPr>
      </w:r>
      <w:r>
        <w:rPr>
          <w:lang w:val="en_US" w:bidi="en_US"/>
        </w:rPr>
        <w:t>Then some of those who were with us went to the tomb (NET)</w:t>
      </w:r>
    </w:p>
    <w:p>
      <w:pPr/>
      <w:r>
        <w:rPr>
          <w:lang w:val="en_US" w:bidi="en_US"/>
        </w:rPr>
      </w:r>
      <w:r>
        <w:rPr>
          <w:lang w:val="en_US" w:bidi="en_US"/>
        </w:rPr>
        <w:t>So some of our group went to the tomb (NCV)</w:t>
      </w:r>
    </w:p>
    <w:p>
      <w:pPr>
        <w:pStyle w:val="Heading5"/>
      </w:pPr>
      <w:r>
        <w:rPr>
          <w:lang w:val="en_US" w:bidi="en_US"/>
        </w:rPr>
        <w:t>24:24b</w:t>
      </w:r>
    </w:p>
    <w:p>
      <w:pPr/>
      <w:r>
        <w:rPr>
          <w:lang w:val="en_US" w:bidi="en_US"/>
        </w:rPr>
      </w:r>
      <w:r>
        <w:rPr>
          <w:b/>
          <w:lang w:val="en_US" w:bidi="en_US"/>
        </w:rPr>
        <w:t>and found it just as the women had described.</w:t>
      </w:r>
    </w:p>
    <w:p>
      <w:pPr>
        <w:pStyle w:val="ListBullet"/>
        <w:spacing w:line="240" w:lineRule="auto"/>
        <w:ind w:left="720"/>
      </w:pPr>
      <w:r>
        <w:rPr>
          <w:lang w:val="en_US" w:bidi="en_US"/>
        </w:rPr>
      </w:r>
      <w:r>
        <w:rPr>
          <w:lang w:val="en_US" w:bidi="en_US"/>
        </w:rPr>
        <w:t xml:space="preserve">and they found that it was </w:t>
      </w:r>
      <w:r>
        <w:rPr>
          <w:lang w:val="en_US" w:bidi="en_US"/>
        </w:rPr>
        <w:t>empty,</w:t>
      </w:r>
      <w:r>
        <w:rPr>
          <w:lang w:val="en_US" w:bidi="en_US"/>
        </w:rPr>
        <w:t xml:space="preserve"> just as the women said,</w:t>
      </w:r>
    </w:p>
    <w:p>
      <w:pPr>
        <w:pStyle w:val="ListBullet"/>
        <w:spacing w:line="240" w:lineRule="auto"/>
        <w:ind w:left="720"/>
      </w:pPr>
      <w:r>
        <w:rPr>
          <w:lang w:val="en_US" w:bidi="en_US"/>
        </w:rPr>
      </w:r>
      <w:r>
        <w:rPr>
          <w:lang w:val="en_US" w:bidi="en_US"/>
        </w:rPr>
        <w:t xml:space="preserve">They saw that </w:t>
      </w:r>
      <w:r>
        <w:rPr>
          <w:lang w:val="en_US" w:bidi="en_US"/>
        </w:rPr>
        <w:t>Jesus’ body was gone</w:t>
      </w:r>
      <w:r>
        <w:rPr>
          <w:lang w:val="en_US" w:bidi="en_US"/>
        </w:rPr>
        <w:t>, just as the women had told us</w:t>
      </w:r>
      <w:r>
        <w:rPr>
          <w:vertAlign w:val="superscript"/>
          <w:lang w:val="en_US" w:bidi="en_US"/>
        </w:rPr>
        <w:t>(excl)</w:t>
      </w:r>
      <w:r>
        <w:rPr>
          <w:lang w:val="en_US" w:bidi="en_US"/>
        </w:rPr>
        <w:t>,</w:t>
      </w:r>
    </w:p>
    <w:p>
      <w:pPr/>
      <w:r>
        <w:rPr>
          <w:lang w:val="en_US" w:bidi="en_US"/>
        </w:rPr>
      </w:r>
      <w:r>
        <w:rPr>
          <w:b/>
          <w:lang w:val="en_US" w:bidi="en_US"/>
        </w:rPr>
        <w:t>and found it just as the women had described:</w:t>
      </w:r>
      <w:r>
        <w:rPr>
          <w:lang w:val="en_US" w:bidi="en_US"/>
        </w:rPr>
        <w:t xml:space="preserve"> When the men from the group of disciples went to the tomb, they saw that the women were right. Specifically, they saw that the tomb was empty. Jesus’ body was no longer there. Then they understood that what the women had told them about the tomb was true.</w:t>
      </w:r>
    </w:p>
    <w:p>
      <w:pPr/>
      <w:r>
        <w:rPr>
          <w:lang w:val="en_US" w:bidi="en_US"/>
        </w:rPr>
      </w:r>
      <w:r>
        <w:rPr>
          <w:lang w:val="en_US" w:bidi="en_US"/>
        </w:rPr>
        <w:t>Some other ways to translate this clause are:</w:t>
      </w:r>
    </w:p>
    <w:p>
      <w:pPr/>
      <w:r>
        <w:rPr>
          <w:lang w:val="en_US" w:bidi="en_US"/>
        </w:rPr>
      </w:r>
      <w:r>
        <w:rPr>
          <w:lang w:val="en_US" w:bidi="en_US"/>
        </w:rPr>
        <w:t>and found it empty, as the women had said (GW)</w:t>
      </w:r>
    </w:p>
    <w:p>
      <w:pPr/>
      <w:r>
        <w:rPr>
          <w:lang w:val="en_US" w:bidi="en_US"/>
        </w:rPr>
      </w:r>
      <w:r>
        <w:rPr>
          <w:lang w:val="en_US" w:bidi="en_US"/>
        </w:rPr>
        <w:t>They saw that Jesus’ body was not there, just as the women had told them</w:t>
      </w:r>
    </w:p>
    <w:p>
      <w:pPr>
        <w:pStyle w:val="Heading5"/>
      </w:pPr>
      <w:r>
        <w:rPr>
          <w:lang w:val="en_US" w:bidi="en_US"/>
        </w:rPr>
        <w:t>24:24c</w:t>
      </w:r>
    </w:p>
    <w:p>
      <w:pPr/>
      <w:r>
        <w:rPr>
          <w:lang w:val="en_US" w:bidi="en_US"/>
        </w:rPr>
      </w:r>
      <w:r>
        <w:rPr>
          <w:b/>
          <w:lang w:val="en_US" w:bidi="en_US"/>
        </w:rPr>
        <w:t>But Him they did not see.”</w:t>
      </w:r>
    </w:p>
    <w:p>
      <w:pPr>
        <w:pStyle w:val="ListBullet"/>
        <w:spacing w:line="240" w:lineRule="auto"/>
        <w:ind w:left="720"/>
      </w:pPr>
      <w:r>
        <w:rPr>
          <w:lang w:val="en_US" w:bidi="en_US"/>
        </w:rPr>
      </w:r>
      <w:r>
        <w:rPr>
          <w:lang w:val="en_US" w:bidi="en_US"/>
        </w:rPr>
        <w:t>but they did not see Jesus.”</w:t>
      </w:r>
    </w:p>
    <w:p>
      <w:pPr>
        <w:pStyle w:val="ListBullet"/>
        <w:spacing w:line="240" w:lineRule="auto"/>
        <w:ind w:left="720"/>
      </w:pPr>
      <w:r>
        <w:rPr>
          <w:lang w:val="en_US" w:bidi="en_US"/>
        </w:rPr>
      </w:r>
      <w:r>
        <w:rPr>
          <w:lang w:val="en_US" w:bidi="en_US"/>
        </w:rPr>
        <w:t>but as for Jesus, they did not see him.”</w:t>
      </w:r>
    </w:p>
    <w:p>
      <w:pPr/>
      <w:r>
        <w:rPr>
          <w:lang w:val="en_US" w:bidi="en_US"/>
        </w:rPr>
      </w:r>
      <w:r>
        <w:rPr>
          <w:b/>
          <w:lang w:val="en_US" w:bidi="en_US"/>
        </w:rPr>
        <w:t>But Him they did not see:</w:t>
      </w:r>
      <w:r>
        <w:rPr>
          <w:lang w:val="en_US" w:bidi="en_US"/>
        </w:rPr>
        <w:t xml:space="preserve"> The clause </w:t>
      </w:r>
      <w:r>
        <w:rPr>
          <w:i/>
          <w:lang w:val="en_US" w:bidi="en_US"/>
        </w:rPr>
        <w:t>But Him they did not see</w:t>
      </w:r>
      <w:r>
        <w:rPr>
          <w:lang w:val="en_US" w:bidi="en_US"/>
        </w:rPr>
        <w:t xml:space="preserve"> indicates that the men did not see Jesus. It implies that they wanted or expected to see Jesus. They were puzzled when they saw only the empty tomb. This caused the disciples to wonder what had happened.</w:t>
      </w:r>
    </w:p>
    <w:p>
      <w:pPr/>
      <w:r>
        <w:rPr>
          <w:lang w:val="en_US" w:bidi="en_US"/>
        </w:rPr>
      </w:r>
      <w:r>
        <w:rPr>
          <w:lang w:val="en_US" w:bidi="en_US"/>
        </w:rPr>
        <w:t>Some other ways to translate this clause are:</w:t>
      </w:r>
    </w:p>
    <w:p>
      <w:pPr/>
      <w:r>
        <w:rPr>
          <w:lang w:val="en_US" w:bidi="en_US"/>
        </w:rPr>
      </w:r>
      <w:r>
        <w:rPr>
          <w:lang w:val="en_US" w:bidi="en_US"/>
        </w:rPr>
        <w:t>but they did not see him (NET)</w:t>
      </w:r>
    </w:p>
    <w:p>
      <w:pPr/>
      <w:r>
        <w:rPr>
          <w:lang w:val="en_US" w:bidi="en_US"/>
        </w:rPr>
      </w:r>
      <w:r>
        <w:rPr>
          <w:lang w:val="en_US" w:bidi="en_US"/>
        </w:rPr>
        <w:t>but they did not see Jesus (NCV)</w:t>
      </w:r>
      <w:r>
        <w:rPr>
          <w:lang w:val="en_US" w:bidi="en_US"/>
        </w:rPr>
      </w:r>
      <w:r>
        <w:rPr>
          <w:lang w:val="en_US" w:bidi="en_US"/>
        </w:rPr>
      </w:r>
    </w:p>
    <w:p>
      <w:pPr/>
      <w:r>
        <w:rPr>
          <w:lang w:val="en_US" w:bidi="en_US"/>
        </w:rPr>
      </w:r>
    </w:p>
    <w:p>
      <w:pPr>
        <w:pStyle w:val="Heading2"/>
      </w:pPr>
      <w:r>
        <w:rPr>
          <w:lang w:val="en_US" w:bidi="en_US"/>
        </w:rPr>
        <w:t>Luke 24:25</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24:25a</w:t>
      </w:r>
    </w:p>
    <w:p>
      <w:pPr/>
      <w:r>
        <w:rPr>
          <w:lang w:val="en_US" w:bidi="en_US"/>
        </w:rPr>
      </w:r>
      <w:r>
        <w:rPr>
          <w:b/>
          <w:lang w:val="en_US" w:bidi="en_US"/>
        </w:rPr>
        <w:t>Then Jesus said to them, “O foolish ones,</w:t>
      </w:r>
    </w:p>
    <w:p>
      <w:pPr>
        <w:pStyle w:val="ListBullet"/>
        <w:spacing w:line="240" w:lineRule="auto"/>
        <w:ind w:left="720"/>
      </w:pPr>
      <w:r>
        <w:rPr>
          <w:lang w:val="en_US" w:bidi="en_US"/>
        </w:rPr>
      </w:r>
      <w:r>
        <w:rPr>
          <w:lang w:val="en_US" w:bidi="en_US"/>
        </w:rPr>
        <w:t>¶ Then Jesus said to them, “Oh, you</w:t>
      </w:r>
      <w:r>
        <w:rPr>
          <w:vertAlign w:val="superscript"/>
          <w:lang w:val="en_US" w:bidi="en_US"/>
        </w:rPr>
        <w:t>(plur)</w:t>
      </w:r>
      <w:r>
        <w:rPr>
          <w:lang w:val="en_US" w:bidi="en_US"/>
        </w:rPr>
        <w:t xml:space="preserve"> are so foolish!</w:t>
      </w:r>
    </w:p>
    <w:p>
      <w:pPr>
        <w:pStyle w:val="ListBullet"/>
        <w:spacing w:line="240" w:lineRule="auto"/>
        <w:ind w:left="720"/>
      </w:pPr>
      <w:r>
        <w:rPr>
          <w:lang w:val="en_US" w:bidi="en_US"/>
        </w:rPr>
      </w:r>
      <w:r>
        <w:rPr>
          <w:lang w:val="en_US" w:bidi="en_US"/>
        </w:rPr>
        <w:t>¶ Jesus said to them</w:t>
      </w:r>
      <w:r>
        <w:rPr>
          <w:vertAlign w:val="superscript"/>
          <w:lang w:val="en_US" w:bidi="en_US"/>
        </w:rPr>
        <w:t>(dual)</w:t>
      </w:r>
      <w:r>
        <w:rPr>
          <w:lang w:val="en_US" w:bidi="en_US"/>
        </w:rPr>
        <w:t>, “Do</w:t>
      </w:r>
      <w:r>
        <w:rPr>
          <w:vertAlign w:val="superscript"/>
          <w:lang w:val="en_US" w:bidi="en_US"/>
        </w:rPr>
        <w:t>(dual)</w:t>
      </w:r>
      <w:r>
        <w:rPr>
          <w:lang w:val="en_US" w:bidi="en_US"/>
        </w:rPr>
        <w:t xml:space="preserve"> not refuse to comprehend/think!</w:t>
      </w:r>
    </w:p>
    <w:p>
      <w:pPr>
        <w:pStyle w:val="ListBullet"/>
        <w:spacing w:line="240" w:lineRule="auto"/>
        <w:ind w:left="720"/>
      </w:pPr>
      <w:r>
        <w:rPr>
          <w:lang w:val="en_US" w:bidi="en_US"/>
        </w:rPr>
      </w:r>
      <w:r>
        <w:rPr>
          <w:lang w:val="en_US" w:bidi="en_US"/>
        </w:rPr>
        <w:t>¶ Jesus replied, “Why are you</w:t>
      </w:r>
      <w:r>
        <w:rPr>
          <w:vertAlign w:val="superscript"/>
          <w:lang w:val="en_US" w:bidi="en_US"/>
        </w:rPr>
        <w:t>(dual)</w:t>
      </w:r>
      <w:r>
        <w:rPr>
          <w:lang w:val="en_US" w:bidi="en_US"/>
        </w:rPr>
        <w:t xml:space="preserve"> unwilling to understand </w:t>
      </w:r>
      <w:r>
        <w:rPr>
          <w:lang w:val="en_US" w:bidi="en_US"/>
        </w:rPr>
        <w:t>this</w:t>
      </w:r>
      <w:r>
        <w:rPr>
          <w:lang w:val="en_US" w:bidi="en_US"/>
        </w:rPr>
        <w:t>?</w:t>
      </w:r>
    </w:p>
    <w:p>
      <w:pPr/>
      <w:r>
        <w:rPr>
          <w:lang w:val="en_US" w:bidi="en_US"/>
        </w:rPr>
      </w:r>
      <w:r>
        <w:rPr>
          <w:b/>
          <w:lang w:val="en_US" w:bidi="en_US"/>
        </w:rPr>
        <w:t>Then Jesus said to them:</w:t>
      </w:r>
      <w:r>
        <w:rPr>
          <w:lang w:val="en_US" w:bidi="en_US"/>
        </w:rPr>
        <w:t xml:space="preserve"> The clause </w:t>
      </w:r>
      <w:r>
        <w:rPr>
          <w:i/>
          <w:lang w:val="en_US" w:bidi="en_US"/>
        </w:rPr>
        <w:t>Jesus said to them</w:t>
      </w:r>
      <w:r>
        <w:rPr>
          <w:lang w:val="en_US" w:bidi="en_US"/>
        </w:rPr>
        <w:t xml:space="preserve"> introduces Jesus’ response to the two men. Jesus responded with a mild rebuke. It is important to understand this response before you translate the introduction to it. Then you will be able to introduce it in an appropriate way in your language. Some ways to introduce the response in English are:</w:t>
      </w:r>
    </w:p>
    <w:p>
      <w:pPr/>
      <w:r>
        <w:rPr>
          <w:lang w:val="en_US" w:bidi="en_US"/>
        </w:rPr>
      </w:r>
      <w:r>
        <w:rPr>
          <w:lang w:val="en_US" w:bidi="en_US"/>
        </w:rPr>
        <w:t>Then Jesus said to them (GW)</w:t>
      </w:r>
    </w:p>
    <w:p>
      <w:pPr/>
      <w:r>
        <w:rPr>
          <w:lang w:val="en_US" w:bidi="en_US"/>
        </w:rPr>
      </w:r>
      <w:r>
        <w:rPr>
          <w:lang w:val="en_US" w:bidi="en_US"/>
        </w:rPr>
        <w:t>And then Jesus replied</w:t>
      </w:r>
    </w:p>
    <w:p>
      <w:pPr/>
      <w:r>
        <w:rPr>
          <w:lang w:val="en_US" w:bidi="en_US"/>
        </w:rPr>
      </w:r>
      <w:r>
        <w:rPr>
          <w:b/>
          <w:lang w:val="en_US" w:bidi="en_US"/>
        </w:rPr>
        <w:t>O foolish ones:</w:t>
      </w:r>
      <w:r>
        <w:rPr>
          <w:lang w:val="en_US" w:bidi="en_US"/>
        </w:rPr>
        <w:t xml:space="preserve"> The BSB literally represents the Greek text (“Oh foolish-(ones/men)!”). This is a mild rebuke. It expresses disappointment in a friendly way. Jesus was disappointed that they did not understand what had happened. Other ways to translate the expression </w:t>
      </w:r>
      <w:r>
        <w:rPr>
          <w:i/>
          <w:lang w:val="en_US" w:bidi="en_US"/>
        </w:rPr>
        <w:t>O foolish ones</w:t>
      </w:r>
      <w:r>
        <w:rPr>
          <w:lang w:val="en_US" w:bidi="en_US"/>
        </w:rPr>
        <w:t xml:space="preserve"> are:</w:t>
      </w:r>
    </w:p>
    <w:p>
      <w:pPr/>
      <w:r>
        <w:rPr>
          <w:lang w:val="en_US" w:bidi="en_US"/>
        </w:rPr>
      </w:r>
      <w:r>
        <w:rPr>
          <w:lang w:val="en_US" w:bidi="en_US"/>
        </w:rPr>
        <w:t>You are such foolish people! (NLT96)</w:t>
      </w:r>
    </w:p>
    <w:p>
      <w:pPr/>
      <w:r>
        <w:rPr>
          <w:lang w:val="en_US" w:bidi="en_US"/>
        </w:rPr>
      </w:r>
      <w:r>
        <w:rPr>
          <w:lang w:val="en_US" w:bidi="en_US"/>
        </w:rPr>
        <w:t>Oh, how foolish you are… (NRSV)</w:t>
      </w:r>
    </w:p>
    <w:p>
      <w:pPr/>
      <w:r>
        <w:rPr>
          <w:lang w:val="en_US" w:bidi="en_US"/>
        </w:rPr>
      </w:r>
      <w:r>
        <w:rPr>
          <w:lang w:val="en_US" w:bidi="en_US"/>
        </w:rPr>
        <w:t>In some languages it may be natural to use a rhetorical question to express this mild rebuke, especially since 24:26 is a rhetorical question. For example:</w:t>
      </w:r>
    </w:p>
    <w:p>
      <w:pPr/>
      <w:r>
        <w:rPr>
          <w:lang w:val="en_US" w:bidi="en_US"/>
        </w:rPr>
      </w:r>
      <w:r>
        <w:rPr>
          <w:lang w:val="en_US" w:bidi="en_US"/>
        </w:rPr>
        <w:t>Why are you being so foolish?</w:t>
      </w:r>
    </w:p>
    <w:p>
      <w:pPr/>
      <w:r>
        <w:rPr>
          <w:lang w:val="en_US" w:bidi="en_US"/>
        </w:rPr>
      </w:r>
      <w:r>
        <w:rPr>
          <w:b/>
          <w:lang w:val="en_US" w:bidi="en_US"/>
        </w:rPr>
        <w:t>foolish ones:</w:t>
      </w:r>
      <w:r>
        <w:rPr>
          <w:lang w:val="en_US" w:bidi="en_US"/>
        </w:rPr>
        <w:t xml:space="preserve"> The word </w:t>
      </w:r>
      <w:r>
        <w:rPr>
          <w:i/>
          <w:lang w:val="en_US" w:bidi="en_US"/>
        </w:rPr>
        <w:t>foolish</w:t>
      </w:r>
      <w:r>
        <w:rPr>
          <w:lang w:val="en_US" w:bidi="en_US"/>
        </w:rPr>
        <w:t xml:space="preserve"> refers to people who refuse to use their minds to understand important truth that they ought to know. They have enough intelligence to understand, but they do not use that intelligence. Some other ways to translate the word </w:t>
      </w:r>
      <w:r>
        <w:rPr>
          <w:i/>
          <w:lang w:val="en_US" w:bidi="en_US"/>
        </w:rPr>
        <w:t>foolish</w:t>
      </w:r>
      <w:r>
        <w:rPr>
          <w:lang w:val="en_US" w:bidi="en_US"/>
        </w:rPr>
        <w:t xml:space="preserve"> in this context are:</w:t>
      </w:r>
    </w:p>
    <w:p>
      <w:pPr/>
      <w:r>
        <w:rPr>
          <w:lang w:val="en_US" w:bidi="en_US"/>
        </w:rPr>
      </w:r>
      <w:r>
        <w:rPr>
          <w:lang w:val="en_US" w:bidi="en_US"/>
        </w:rPr>
        <w:t>How dull you are! (REB)</w:t>
      </w:r>
    </w:p>
    <w:p>
      <w:pPr/>
      <w:r>
        <w:rPr>
          <w:lang w:val="en_US" w:bidi="en_US"/>
        </w:rPr>
      </w:r>
      <w:r>
        <w:rPr>
          <w:lang w:val="en_US" w:bidi="en_US"/>
        </w:rPr>
        <w:t>Why do you refuse to think?</w:t>
      </w:r>
    </w:p>
    <w:p>
      <w:pPr/>
      <w:r>
        <w:rPr>
          <w:lang w:val="en_US" w:bidi="en_US"/>
        </w:rPr>
      </w:r>
      <w:r>
        <w:rPr>
          <w:lang w:val="en_US" w:bidi="en_US"/>
        </w:rPr>
        <w:t>In some languages there may be an idiom or other special expression that fits here. For example:</w:t>
      </w:r>
    </w:p>
    <w:p>
      <w:pPr/>
      <w:r>
        <w:rPr>
          <w:lang w:val="en_US" w:bidi="en_US"/>
        </w:rPr>
      </w:r>
      <w:r>
        <w:rPr>
          <w:lang w:val="en_US" w:bidi="en_US"/>
        </w:rPr>
        <w:t>Oh…you whose thoughts are lacking!</w:t>
      </w:r>
      <w:r>
        <w:rPr>
          <w:lang w:val="en_US" w:bidi="en_US"/>
        </w:rPr>
        <w:t>Kankanaey back translation on TW.</w:t>
      </w:r>
    </w:p>
    <w:p>
      <w:pPr/>
      <w:r>
        <w:rPr>
          <w:lang w:val="en_US" w:bidi="en_US"/>
        </w:rPr>
      </w:r>
      <w:r>
        <w:rPr>
          <w:lang w:val="en_US" w:bidi="en_US"/>
        </w:rPr>
        <w:t>If you use a special expression like this, be sure to check it with other people to see that it communicates the right meaning in this context.</w:t>
      </w:r>
    </w:p>
    <w:p>
      <w:pPr>
        <w:pStyle w:val="Heading5"/>
      </w:pPr>
      <w:r>
        <w:rPr>
          <w:lang w:val="en_US" w:bidi="en_US"/>
        </w:rPr>
        <w:t>24:25b</w:t>
      </w:r>
    </w:p>
    <w:p>
      <w:pPr/>
      <w:r>
        <w:rPr>
          <w:lang w:val="en_US" w:bidi="en_US"/>
        </w:rPr>
      </w:r>
      <w:r>
        <w:rPr>
          <w:b/>
          <w:lang w:val="en_US" w:bidi="en_US"/>
        </w:rPr>
        <w:t>how slow are your hearts to believe all that the prophets have spoken!</w:t>
      </w:r>
    </w:p>
    <w:p>
      <w:pPr>
        <w:pStyle w:val="ListBullet"/>
        <w:spacing w:line="240" w:lineRule="auto"/>
        <w:ind w:left="720"/>
      </w:pPr>
      <w:r>
        <w:rPr>
          <w:lang w:val="en_US" w:bidi="en_US"/>
        </w:rPr>
      </w:r>
      <w:r>
        <w:rPr>
          <w:lang w:val="en_US" w:bidi="en_US"/>
        </w:rPr>
        <w:t>You</w:t>
      </w:r>
      <w:r>
        <w:rPr>
          <w:vertAlign w:val="superscript"/>
          <w:lang w:val="en_US" w:bidi="en_US"/>
        </w:rPr>
        <w:t>(dual)</w:t>
      </w:r>
      <w:r>
        <w:rPr>
          <w:lang w:val="en_US" w:bidi="en_US"/>
        </w:rPr>
        <w:t xml:space="preserve"> are so slow to believe all that the prophets have said!</w:t>
      </w:r>
    </w:p>
    <w:p>
      <w:pPr>
        <w:pStyle w:val="ListBullet"/>
        <w:spacing w:line="240" w:lineRule="auto"/>
        <w:ind w:left="720"/>
      </w:pPr>
      <w:r>
        <w:rPr>
          <w:lang w:val="en_US" w:bidi="en_US"/>
        </w:rPr>
      </w:r>
      <w:r>
        <w:rPr>
          <w:lang w:val="en_US" w:bidi="en_US"/>
        </w:rPr>
        <w:t>Do</w:t>
      </w:r>
      <w:r>
        <w:rPr>
          <w:vertAlign w:val="superscript"/>
          <w:lang w:val="en_US" w:bidi="en_US"/>
        </w:rPr>
        <w:t>(dual)</w:t>
      </w:r>
      <w:r>
        <w:rPr>
          <w:lang w:val="en_US" w:bidi="en_US"/>
        </w:rPr>
        <w:t xml:space="preserve"> not hesitate anymore to believe everything that </w:t>
      </w:r>
      <w:r>
        <w:rPr>
          <w:lang w:val="en_US" w:bidi="en_US"/>
        </w:rPr>
        <w:t>God’s</w:t>
      </w:r>
      <w:r>
        <w:rPr>
          <w:lang w:val="en_US" w:bidi="en_US"/>
        </w:rPr>
        <w:t xml:space="preserve"> prophets predicted/said would happen.</w:t>
      </w:r>
    </w:p>
    <w:p>
      <w:pPr>
        <w:pStyle w:val="ListBullet"/>
        <w:spacing w:line="240" w:lineRule="auto"/>
        <w:ind w:left="720"/>
      </w:pPr>
      <w:r>
        <w:rPr>
          <w:lang w:val="en_US" w:bidi="en_US"/>
        </w:rPr>
      </w:r>
      <w:r>
        <w:rPr>
          <w:lang w:val="en_US" w:bidi="en_US"/>
        </w:rPr>
        <w:t xml:space="preserve">Why are you so reluctant to trust all that the prophets said </w:t>
      </w:r>
      <w:r>
        <w:rPr>
          <w:lang w:val="en_US" w:bidi="en_US"/>
        </w:rPr>
        <w:t>about this</w:t>
      </w:r>
      <w:r>
        <w:rPr>
          <w:lang w:val="en_US" w:bidi="en_US"/>
        </w:rPr>
        <w:t xml:space="preserve"> </w:t>
      </w:r>
      <w:r>
        <w:rPr>
          <w:lang w:val="en_US" w:bidi="en_US"/>
        </w:rPr>
        <w:t>in the Scriptures</w:t>
      </w:r>
      <w:r>
        <w:rPr>
          <w:lang w:val="en_US" w:bidi="en_US"/>
        </w:rPr>
        <w:t>?</w:t>
      </w:r>
    </w:p>
    <w:p>
      <w:pPr/>
      <w:r>
        <w:rPr>
          <w:lang w:val="en_US" w:bidi="en_US"/>
        </w:rPr>
      </w:r>
      <w:r>
        <w:rPr>
          <w:b/>
          <w:lang w:val="en_US" w:bidi="en_US"/>
        </w:rPr>
        <w:t>how slow are your hearts to believe:</w:t>
      </w:r>
      <w:r>
        <w:rPr>
          <w:lang w:val="en_US" w:bidi="en_US"/>
        </w:rPr>
        <w:t xml:space="preserve"> The Greek expression that the BSB translates as </w:t>
      </w:r>
      <w:r>
        <w:rPr>
          <w:i/>
          <w:lang w:val="en_US" w:bidi="en_US"/>
        </w:rPr>
        <w:t>how slow are your hearts to believe</w:t>
      </w:r>
      <w:r>
        <w:rPr>
          <w:lang w:val="en_US" w:bidi="en_US"/>
        </w:rPr>
        <w:t xml:space="preserve"> is an idiom. It indicates that a person is reluctant or unwilling to believe. Other ways to translate this reluctance to believe are:</w:t>
      </w:r>
    </w:p>
    <w:p>
      <w:pPr/>
      <w:r>
        <w:rPr>
          <w:lang w:val="en_US" w:bidi="en_US"/>
        </w:rPr>
      </w:r>
      <w:r>
        <w:rPr>
          <w:lang w:val="en_US" w:bidi="en_US"/>
        </w:rPr>
        <w:t>unwilling to believe</w:t>
      </w:r>
    </w:p>
    <w:p>
      <w:pPr/>
      <w:r>
        <w:rPr>
          <w:lang w:val="en_US" w:bidi="en_US"/>
        </w:rPr>
      </w:r>
      <w:r>
        <w:rPr>
          <w:lang w:val="en_US" w:bidi="en_US"/>
        </w:rPr>
        <w:t>slow/reluctant to believe</w:t>
      </w:r>
    </w:p>
    <w:p>
      <w:pPr/>
      <w:r>
        <w:rPr>
          <w:lang w:val="en_US" w:bidi="en_US"/>
        </w:rPr>
      </w:r>
      <w:r>
        <w:rPr>
          <w:lang w:val="en_US" w:bidi="en_US"/>
        </w:rPr>
        <w:t>In some languages it may be helpful to begin a separate clause at 24:25b. For example:</w:t>
      </w:r>
    </w:p>
    <w:p>
      <w:pPr/>
      <w:r>
        <w:rPr>
          <w:lang w:val="en_US" w:bidi="en_US"/>
        </w:rPr>
      </w:r>
      <w:r>
        <w:rPr>
          <w:lang w:val="en_US" w:bidi="en_US"/>
        </w:rPr>
        <w:t>Why is it so difficult for you to believe?</w:t>
      </w:r>
      <w:r>
        <w:rPr>
          <w:lang w:val="en_US" w:bidi="en_US"/>
        </w:rPr>
        <w:t>Western Bukidnon Manobo back translation on TW.</w:t>
      </w:r>
    </w:p>
    <w:p>
      <w:pPr/>
      <w:r>
        <w:rPr>
          <w:lang w:val="en_US" w:bidi="en_US"/>
        </w:rPr>
      </w:r>
      <w:r>
        <w:rPr>
          <w:lang w:val="en_US" w:bidi="en_US"/>
        </w:rPr>
        <w:t>You find it so hard to believe… (NLT)</w:t>
      </w:r>
    </w:p>
    <w:p>
      <w:pPr/>
      <w:r>
        <w:rPr>
          <w:lang w:val="en_US" w:bidi="en_US"/>
        </w:rPr>
      </w:r>
      <w:r>
        <w:rPr>
          <w:b/>
          <w:lang w:val="en_US" w:bidi="en_US"/>
        </w:rPr>
        <w:t>hearts:</w:t>
      </w:r>
      <w:r>
        <w:rPr>
          <w:lang w:val="en_US" w:bidi="en_US"/>
        </w:rPr>
        <w:t xml:space="preserve"> The word </w:t>
      </w:r>
      <w:r>
        <w:rPr>
          <w:i/>
          <w:lang w:val="en_US" w:bidi="en_US"/>
        </w:rPr>
        <w:t>hearts</w:t>
      </w:r>
      <w:r>
        <w:rPr>
          <w:lang w:val="en_US" w:bidi="en_US"/>
        </w:rPr>
        <w:t xml:space="preserve"> is used in a special way here to refer to the spiritual part of a person. Jewish people spoke of people believing with their </w:t>
      </w:r>
      <w:r>
        <w:rPr>
          <w:i/>
          <w:lang w:val="en_US" w:bidi="en_US"/>
        </w:rPr>
        <w:t>hearts</w:t>
      </w:r>
      <w:r>
        <w:rPr>
          <w:lang w:val="en_US" w:bidi="en_US"/>
        </w:rPr>
        <w:t>. They also spoke of the heart as the part of themselves that they used to understand, love, and make decisions and commitments.</w:t>
      </w:r>
    </w:p>
    <w:p>
      <w:pPr/>
      <w:r>
        <w:rPr>
          <w:lang w:val="en_US" w:bidi="en_US"/>
        </w:rPr>
      </w:r>
      <w:r>
        <w:rPr>
          <w:lang w:val="en_US" w:bidi="en_US"/>
        </w:rPr>
        <w:t>In some languages people use a different part of the body to speak of believing. In other languages it is not necessary to refer to a part of the body. Use an appropriate way in your language to speak of believing.</w:t>
      </w:r>
    </w:p>
    <w:p>
      <w:pPr/>
      <w:r>
        <w:rPr>
          <w:lang w:val="en_US" w:bidi="en_US"/>
        </w:rPr>
      </w:r>
      <w:r>
        <w:rPr>
          <w:b/>
          <w:lang w:val="en_US" w:bidi="en_US"/>
        </w:rPr>
        <w:t>to believe all that the prophets have spoken:</w:t>
      </w:r>
      <w:r>
        <w:rPr>
          <w:lang w:val="en_US" w:bidi="en_US"/>
        </w:rPr>
        <w:t xml:space="preserve"> The word </w:t>
      </w:r>
      <w:r>
        <w:rPr>
          <w:i/>
          <w:lang w:val="en_US" w:bidi="en_US"/>
        </w:rPr>
        <w:t>believe</w:t>
      </w:r>
      <w:r>
        <w:rPr>
          <w:lang w:val="en_US" w:bidi="en_US"/>
        </w:rPr>
        <w:t xml:space="preserve"> refers here to accepting that what the prophets said was true. The disciples did not have confidence that what the prophets said would really happen.</w:t>
      </w:r>
    </w:p>
    <w:p>
      <w:pPr/>
      <w:r>
        <w:rPr>
          <w:lang w:val="en_US" w:bidi="en_US"/>
        </w:rPr>
      </w:r>
      <w:r>
        <w:rPr>
          <w:lang w:val="en_US" w:bidi="en_US"/>
        </w:rPr>
        <w:t xml:space="preserve">The word </w:t>
      </w:r>
      <w:r>
        <w:rPr>
          <w:i/>
          <w:lang w:val="en_US" w:bidi="en_US"/>
        </w:rPr>
        <w:t>believe</w:t>
      </w:r>
      <w:r>
        <w:rPr>
          <w:lang w:val="en_US" w:bidi="en_US"/>
        </w:rPr>
        <w:t xml:space="preserve"> occurred with this meaning also in 22:67. For more information, see believe, Meaning 1, in the Glossary.</w:t>
      </w:r>
    </w:p>
    <w:p>
      <w:pPr/>
      <w:r>
        <w:rPr>
          <w:lang w:val="en_US" w:bidi="en_US"/>
        </w:rPr>
      </w:r>
      <w:r>
        <w:rPr>
          <w:b/>
          <w:lang w:val="en_US" w:bidi="en_US"/>
        </w:rPr>
        <w:t>all that the prophets have spoken:</w:t>
      </w:r>
      <w:r>
        <w:rPr>
          <w:lang w:val="en_US" w:bidi="en_US"/>
        </w:rPr>
        <w:t xml:space="preserve"> This phrase refers specifically to what God’s prophets predicted about the Messiah. Those prophets told people many things that would happen to him. Those things were written in the OT Scriptures. Some other ways to translate this phrase are:</w:t>
      </w:r>
    </w:p>
    <w:p>
      <w:pPr/>
      <w:r>
        <w:rPr>
          <w:lang w:val="en_US" w:bidi="en_US"/>
        </w:rPr>
      </w:r>
      <w:r>
        <w:rPr>
          <w:lang w:val="en_US" w:bidi="en_US"/>
        </w:rPr>
        <w:t>everything the prophets said (GNT)</w:t>
      </w:r>
    </w:p>
    <w:p>
      <w:pPr/>
      <w:r>
        <w:rPr>
          <w:lang w:val="en_US" w:bidi="en_US"/>
        </w:rPr>
      </w:r>
      <w:r>
        <w:rPr>
          <w:lang w:val="en_US" w:bidi="en_US"/>
        </w:rPr>
        <w:t>all that the prophets wrote in the Scriptures (NLT)</w:t>
      </w:r>
    </w:p>
    <w:p>
      <w:pPr/>
      <w:r>
        <w:rPr>
          <w:lang w:val="en_US" w:bidi="en_US"/>
        </w:rPr>
      </w:r>
      <w:r>
        <w:rPr>
          <w:b/>
          <w:lang w:val="en_US" w:bidi="en_US"/>
        </w:rPr>
        <w:t>prophets:</w:t>
      </w:r>
      <w:r>
        <w:rPr>
          <w:lang w:val="en_US" w:bidi="en_US"/>
        </w:rPr>
        <w:t xml:space="preserve"> The word “prophet” occurred in 24:19, where it referred to Jesus himself. See the note there for more information and translation suggestions. See also prophet in the Glossary.</w:t>
      </w:r>
      <w:r>
        <w:rPr>
          <w:lang w:val="en_US" w:bidi="en_US"/>
        </w:rPr>
      </w:r>
      <w:r>
        <w:rPr>
          <w:lang w:val="en_US" w:bidi="en_US"/>
        </w:rPr>
      </w:r>
    </w:p>
    <w:p>
      <w:pPr/>
      <w:r>
        <w:rPr>
          <w:lang w:val="en_US" w:bidi="en_US"/>
        </w:rPr>
      </w:r>
    </w:p>
    <w:p>
      <w:pPr>
        <w:pStyle w:val="Heading2"/>
      </w:pPr>
      <w:r>
        <w:rPr>
          <w:lang w:val="en_US" w:bidi="en_US"/>
        </w:rPr>
        <w:t>Luke 24:26</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24:26a–b</w:t>
      </w:r>
    </w:p>
    <w:p>
      <w:pPr/>
      <w:r>
        <w:rPr>
          <w:lang w:val="en_US" w:bidi="en_US"/>
        </w:rPr>
      </w:r>
      <w:r>
        <w:rPr>
          <w:b/>
          <w:lang w:val="en_US" w:bidi="en_US"/>
        </w:rPr>
        <w:t>Was it not necessary for the Christ to suffer these things and then to enter His glory?:</w:t>
      </w:r>
      <w:r>
        <w:rPr>
          <w:lang w:val="en_US" w:bidi="en_US"/>
        </w:rPr>
        <w:t xml:space="preserve"> This is a rhetorical question. It emphasizes the necessity for the Christ to suffer and then enter his glory. It also implies that the two disciples should have known about this already. They should have understood that these sufferings were necessary before the Christ entered his glory. Some ways to translate this question are:</w:t>
      </w:r>
    </w:p>
    <w:p>
      <w:pPr>
        <w:pStyle w:val="ListBullet"/>
        <w:spacing w:line="240" w:lineRule="auto"/>
        <w:ind w:left="720"/>
      </w:pPr>
      <w:r>
        <w:rPr>
          <w:lang w:val="en_US" w:bidi="en_US"/>
        </w:rPr>
      </w:r>
      <w:r>
        <w:rPr>
          <w:lang w:val="en_US" w:bidi="en_US"/>
        </w:rPr>
        <w:t>As a rhetorical question. For example:</w:t>
      </w:r>
      <w:r>
        <w:rPr>
          <w:lang w:val="en_US" w:bidi="en_US"/>
        </w:rPr>
        <w:t>Was it not necessary that the Christ should suffer before entering into his glory? (NJB)</w:t>
      </w:r>
      <w:r>
        <w:rPr>
          <w:lang w:val="en_US" w:bidi="en_US"/>
        </w:rPr>
        <w:t xml:space="preserve">Did not the Christ need to suffer </w:t>
      </w:r>
      <w:r>
        <w:rPr>
          <w:lang w:val="en_US" w:bidi="en_US"/>
        </w:rPr>
        <w:t>and die</w:t>
      </w:r>
      <w:r>
        <w:rPr>
          <w:lang w:val="en_US" w:bidi="en_US"/>
        </w:rPr>
        <w:t xml:space="preserve"> like that before he entered his glory?</w:t>
      </w:r>
    </w:p>
    <w:p>
      <w:pPr>
        <w:pStyle w:val="ListBullet"/>
        <w:spacing w:line="240" w:lineRule="auto"/>
        <w:ind w:left="720"/>
      </w:pPr>
      <w:r>
        <w:rPr>
          <w:lang w:val="en_US" w:bidi="en_US"/>
        </w:rPr>
      </w:r>
      <w:r>
        <w:rPr>
          <w:lang w:val="en_US" w:bidi="en_US"/>
        </w:rPr>
        <w:t>As a statement. For example:</w:t>
      </w:r>
      <w:r>
        <w:rPr>
          <w:lang w:val="en_US" w:bidi="en_US"/>
        </w:rPr>
        <w:t>As the prophets said,</w:t>
      </w:r>
      <w:r>
        <w:rPr>
          <w:lang w:val="en_US" w:bidi="en_US"/>
        </w:rPr>
        <w:t xml:space="preserve"> it was necessary for the Christ to suffer these things before he entered his glory.</w:t>
      </w:r>
      <w:r>
        <w:rPr>
          <w:lang w:val="en_US" w:bidi="en_US"/>
        </w:rPr>
        <w:t>You ought to understand that the Messiah had to suffer first, and only after that, be honored.</w:t>
      </w:r>
      <w:r>
        <w:rPr>
          <w:lang w:val="en_US" w:bidi="en_US"/>
        </w:rPr>
        <w:t>They said that the Christ must suffer these things before he enters his glory. (NCV)</w:t>
      </w:r>
    </w:p>
    <w:p>
      <w:pPr/>
      <w:r>
        <w:rPr>
          <w:lang w:val="en_US" w:bidi="en_US"/>
        </w:rPr>
      </w:r>
      <w:r>
        <w:rPr>
          <w:lang w:val="en_US" w:bidi="en_US"/>
        </w:rPr>
        <w:t>Translate the question and what it implies in a way that is natural in your language.</w:t>
      </w:r>
    </w:p>
    <w:p>
      <w:pPr/>
      <w:r>
        <w:rPr>
          <w:lang w:val="en_US" w:bidi="en_US"/>
        </w:rPr>
      </w:r>
      <w:r>
        <w:rPr>
          <w:lang w:val="en_US" w:bidi="en_US"/>
        </w:rPr>
        <w:t>In some languages it may be more natural to change the order of 24:26a and 24:26b. See the General Comment on 24:26a–b at the end of 24:26b for an example.</w:t>
      </w:r>
    </w:p>
    <w:p>
      <w:pPr>
        <w:pStyle w:val="Heading5"/>
      </w:pPr>
      <w:r>
        <w:rPr>
          <w:lang w:val="en_US" w:bidi="en_US"/>
        </w:rPr>
        <w:t>24:26a</w:t>
      </w:r>
    </w:p>
    <w:p>
      <w:pPr/>
      <w:r>
        <w:rPr>
          <w:lang w:val="en_US" w:bidi="en_US"/>
        </w:rPr>
      </w:r>
      <w:r>
        <w:rPr>
          <w:b/>
          <w:lang w:val="en_US" w:bidi="en_US"/>
        </w:rPr>
        <w:t>Was it not necessary for the Christ to suffer these things</w:t>
      </w:r>
    </w:p>
    <w:p>
      <w:pPr>
        <w:pStyle w:val="ListBullet"/>
        <w:spacing w:line="240" w:lineRule="auto"/>
        <w:ind w:left="720"/>
      </w:pPr>
      <w:r>
        <w:rPr>
          <w:lang w:val="en_US" w:bidi="en_US"/>
        </w:rPr>
      </w:r>
      <w:r>
        <w:rPr>
          <w:lang w:val="en_US" w:bidi="en_US"/>
        </w:rPr>
        <w:t>Why</w:t>
      </w:r>
      <w:r>
        <w:rPr>
          <w:lang w:val="en_US" w:bidi="en_US"/>
        </w:rPr>
        <w:t xml:space="preserve"> did </w:t>
      </w:r>
      <w:r>
        <w:rPr>
          <w:lang w:val="en_US" w:bidi="en_US"/>
        </w:rPr>
        <w:t>you</w:t>
      </w:r>
      <w:r>
        <w:rPr>
          <w:vertAlign w:val="superscript"/>
          <w:lang w:val="en_US" w:bidi="en_US"/>
        </w:rPr>
        <w:t>(plur)</w:t>
      </w:r>
      <w:r>
        <w:rPr>
          <w:lang w:val="en_US" w:bidi="en_US"/>
        </w:rPr>
        <w:t xml:space="preserve"> not </w:t>
      </w:r>
      <w:r>
        <w:rPr>
          <w:lang w:val="en_US" w:bidi="en_US"/>
        </w:rPr>
        <w:t>understand</w:t>
      </w:r>
      <w:r>
        <w:rPr>
          <w:lang w:val="en_US" w:bidi="en_US"/>
        </w:rPr>
        <w:t xml:space="preserve"> that the Christ had to suffer those things</w:t>
      </w:r>
    </w:p>
    <w:p>
      <w:pPr>
        <w:pStyle w:val="ListBullet"/>
        <w:spacing w:line="240" w:lineRule="auto"/>
        <w:ind w:left="720"/>
      </w:pPr>
      <w:r>
        <w:rPr>
          <w:lang w:val="en_US" w:bidi="en_US"/>
        </w:rPr>
      </w:r>
      <w:r>
        <w:rPr>
          <w:lang w:val="en_US" w:bidi="en_US"/>
        </w:rPr>
        <w:t>You should have known that</w:t>
      </w:r>
      <w:r>
        <w:rPr>
          <w:lang w:val="en_US" w:bidi="en_US"/>
        </w:rPr>
        <w:t xml:space="preserve"> it was necessary for the Messiah to suffer in this way</w:t>
      </w:r>
    </w:p>
    <w:p>
      <w:pPr>
        <w:pStyle w:val="ListBullet"/>
        <w:spacing w:line="240" w:lineRule="auto"/>
        <w:ind w:left="720"/>
      </w:pPr>
      <w:r>
        <w:rPr>
          <w:lang w:val="en_US" w:bidi="en_US"/>
        </w:rPr>
      </w:r>
      <w:r>
        <w:rPr>
          <w:lang w:val="en_US" w:bidi="en_US"/>
        </w:rPr>
        <w:t>They clearly predicted</w:t>
      </w:r>
      <w:r>
        <w:rPr>
          <w:lang w:val="en_US" w:bidi="en_US"/>
        </w:rPr>
        <w:t xml:space="preserve"> that the Christ/Messiah must suffer </w:t>
      </w:r>
      <w:r>
        <w:rPr>
          <w:lang w:val="en_US" w:bidi="en_US"/>
        </w:rPr>
        <w:t>and die</w:t>
      </w:r>
      <w:r>
        <w:rPr>
          <w:lang w:val="en_US" w:bidi="en_US"/>
        </w:rPr>
        <w:t xml:space="preserve"> as he did,</w:t>
      </w:r>
    </w:p>
    <w:p>
      <w:pPr/>
      <w:r>
        <w:rPr>
          <w:lang w:val="en_US" w:bidi="en_US"/>
        </w:rPr>
      </w:r>
      <w:r>
        <w:rPr>
          <w:b/>
          <w:lang w:val="en_US" w:bidi="en_US"/>
        </w:rPr>
        <w:t>Was it not necessary for the Christ:</w:t>
      </w:r>
      <w:r>
        <w:rPr>
          <w:lang w:val="en_US" w:bidi="en_US"/>
        </w:rPr>
        <w:t xml:space="preserve"> The word </w:t>
      </w:r>
      <w:r>
        <w:rPr>
          <w:i/>
          <w:lang w:val="en_US" w:bidi="en_US"/>
        </w:rPr>
        <w:t>necessary</w:t>
      </w:r>
      <w:r>
        <w:rPr>
          <w:lang w:val="en_US" w:bidi="en_US"/>
        </w:rPr>
        <w:t xml:space="preserve"> indicates here that God had already determined what the Christ must do. God decided what must happen to the Christ. Then the prophets had predicted that those things would happen. A similar meaning occurred in 24:7, where the BSB translated it as “must.”</w:t>
      </w:r>
    </w:p>
    <w:p>
      <w:pPr/>
      <w:r>
        <w:rPr>
          <w:lang w:val="en_US" w:bidi="en_US"/>
        </w:rPr>
      </w:r>
      <w:r>
        <w:rPr>
          <w:lang w:val="en_US" w:bidi="en_US"/>
        </w:rPr>
        <w:t>Some ways to translate it in this context are:</w:t>
      </w:r>
    </w:p>
    <w:p>
      <w:pPr/>
      <w:r>
        <w:rPr>
          <w:lang w:val="en_US" w:bidi="en_US"/>
        </w:rPr>
      </w:r>
      <w:r>
        <w:rPr>
          <w:lang w:val="en_US" w:bidi="en_US"/>
        </w:rPr>
        <w:t xml:space="preserve">It was determined </w:t>
      </w:r>
      <w:r>
        <w:rPr>
          <w:lang w:val="en_US" w:bidi="en_US"/>
        </w:rPr>
        <w:t>by God</w:t>
      </w:r>
      <w:r>
        <w:rPr>
          <w:lang w:val="en_US" w:bidi="en_US"/>
        </w:rPr>
        <w:t xml:space="preserve"> that the Christ must…</w:t>
      </w:r>
    </w:p>
    <w:p>
      <w:pPr/>
      <w:r>
        <w:rPr>
          <w:lang w:val="en_US" w:bidi="en_US"/>
        </w:rPr>
      </w:r>
      <w:r>
        <w:rPr>
          <w:lang w:val="en_US" w:bidi="en_US"/>
        </w:rPr>
        <w:t>Was it not necessary for the Messiah to…? (GNT)</w:t>
      </w:r>
    </w:p>
    <w:p>
      <w:pPr/>
      <w:r>
        <w:rPr>
          <w:lang w:val="en_US" w:bidi="en_US"/>
        </w:rPr>
      </w:r>
      <w:r>
        <w:rPr>
          <w:lang w:val="en_US" w:bidi="en_US"/>
        </w:rPr>
        <w:t>See the examples in the preceding note for more translation suggestions.</w:t>
      </w:r>
    </w:p>
    <w:p>
      <w:pPr/>
      <w:r>
        <w:rPr>
          <w:lang w:val="en_US" w:bidi="en_US"/>
        </w:rPr>
      </w:r>
      <w:r>
        <w:rPr>
          <w:b/>
          <w:lang w:val="en_US" w:bidi="en_US"/>
        </w:rPr>
        <w:t>the Christ:</w:t>
      </w:r>
      <w:r>
        <w:rPr>
          <w:lang w:val="en_US" w:bidi="en_US"/>
        </w:rPr>
        <w:t xml:space="preserve"> Here the word </w:t>
      </w:r>
      <w:r>
        <w:rPr>
          <w:i/>
          <w:lang w:val="en_US" w:bidi="en_US"/>
        </w:rPr>
        <w:t>Christ</w:t>
      </w:r>
      <w:r>
        <w:rPr>
          <w:lang w:val="en_US" w:bidi="en_US"/>
        </w:rPr>
        <w:t xml:space="preserve"> is used as a title. The Jews used this title to refer to the person whom God had appointed and promised to send as king and savior. The title </w:t>
      </w:r>
      <w:r>
        <w:rPr>
          <w:i/>
          <w:lang w:val="en_US" w:bidi="en_US"/>
        </w:rPr>
        <w:t>Christ</w:t>
      </w:r>
      <w:r>
        <w:rPr>
          <w:lang w:val="en_US" w:bidi="en_US"/>
        </w:rPr>
        <w:t xml:space="preserve"> is the Greek translation of the Hebrew word “Messiah,” and the two words have the same meaning.</w:t>
      </w:r>
    </w:p>
    <w:p>
      <w:pPr/>
      <w:r>
        <w:rPr>
          <w:lang w:val="en_US" w:bidi="en_US"/>
        </w:rPr>
      </w:r>
      <w:r>
        <w:rPr>
          <w:lang w:val="en_US" w:bidi="en_US"/>
        </w:rPr>
        <w:t>For more information, see the note at 20:41b also Christ in the Glossary.</w:t>
      </w:r>
    </w:p>
    <w:p>
      <w:pPr/>
      <w:r>
        <w:rPr>
          <w:lang w:val="en_US" w:bidi="en_US"/>
        </w:rPr>
      </w:r>
      <w:r>
        <w:rPr>
          <w:b/>
          <w:lang w:val="en_US" w:bidi="en_US"/>
        </w:rPr>
        <w:t>to suffer these things:</w:t>
      </w:r>
      <w:r>
        <w:rPr>
          <w:lang w:val="en_US" w:bidi="en_US"/>
        </w:rPr>
        <w:t xml:space="preserve"> The phrase </w:t>
      </w:r>
      <w:r>
        <w:rPr>
          <w:i/>
          <w:lang w:val="en_US" w:bidi="en_US"/>
        </w:rPr>
        <w:t>these things</w:t>
      </w:r>
      <w:r>
        <w:rPr>
          <w:lang w:val="en_US" w:bidi="en_US"/>
        </w:rPr>
        <w:t xml:space="preserve"> refers to the events that were summarized in 24:20. Jesus was condemned by the chief priests and other Jewish leaders, tried by the Romans, and crucified. Some other ways to refer to these sufferings here are:</w:t>
      </w:r>
    </w:p>
    <w:p>
      <w:pPr/>
      <w:r>
        <w:rPr>
          <w:lang w:val="en_US" w:bidi="en_US"/>
        </w:rPr>
      </w:r>
      <w:r>
        <w:rPr>
          <w:lang w:val="en_US" w:bidi="en_US"/>
        </w:rPr>
        <w:t>to suffer in this way (REB)</w:t>
      </w:r>
    </w:p>
    <w:p>
      <w:pPr/>
      <w:r>
        <w:rPr>
          <w:lang w:val="en_US" w:bidi="en_US"/>
        </w:rPr>
      </w:r>
      <w:r>
        <w:rPr>
          <w:lang w:val="en_US" w:bidi="en_US"/>
        </w:rPr>
        <w:t>to suffer (CEV)</w:t>
      </w:r>
    </w:p>
    <w:p>
      <w:pPr/>
      <w:r>
        <w:rPr>
          <w:lang w:val="en_US" w:bidi="en_US"/>
        </w:rPr>
      </w:r>
      <w:r>
        <w:rPr>
          <w:lang w:val="en_US" w:bidi="en_US"/>
        </w:rPr>
        <w:t>experience such persecution</w:t>
      </w:r>
    </w:p>
    <w:p>
      <w:pPr>
        <w:pStyle w:val="Heading5"/>
      </w:pPr>
      <w:r>
        <w:rPr>
          <w:lang w:val="en_US" w:bidi="en_US"/>
        </w:rPr>
        <w:t>24:26b</w:t>
      </w:r>
    </w:p>
    <w:p>
      <w:pPr/>
      <w:r>
        <w:rPr>
          <w:lang w:val="en_US" w:bidi="en_US"/>
        </w:rPr>
      </w:r>
      <w:r>
        <w:rPr>
          <w:b/>
          <w:lang w:val="en_US" w:bidi="en_US"/>
        </w:rPr>
        <w:t>and then to enter His glory?”</w:t>
      </w:r>
    </w:p>
    <w:p>
      <w:pPr>
        <w:pStyle w:val="ListBullet"/>
        <w:spacing w:line="240" w:lineRule="auto"/>
        <w:ind w:left="720"/>
      </w:pPr>
      <w:r>
        <w:rPr>
          <w:lang w:val="en_US" w:bidi="en_US"/>
        </w:rPr>
      </w:r>
      <w:r>
        <w:rPr>
          <w:lang w:val="en_US" w:bidi="en_US"/>
        </w:rPr>
        <w:t xml:space="preserve">before he began his glorious </w:t>
      </w:r>
      <w:r>
        <w:rPr>
          <w:lang w:val="en_US" w:bidi="en_US"/>
        </w:rPr>
        <w:t>reign/rule</w:t>
      </w:r>
      <w:r>
        <w:rPr>
          <w:lang w:val="en_US" w:bidi="en_US"/>
        </w:rPr>
        <w:t>?”</w:t>
      </w:r>
    </w:p>
    <w:p>
      <w:pPr>
        <w:pStyle w:val="ListBullet"/>
        <w:spacing w:line="240" w:lineRule="auto"/>
        <w:ind w:left="720"/>
      </w:pPr>
      <w:r>
        <w:rPr>
          <w:lang w:val="en_US" w:bidi="en_US"/>
        </w:rPr>
      </w:r>
      <w:r>
        <w:rPr>
          <w:lang w:val="en_US" w:bidi="en_US"/>
        </w:rPr>
        <w:t xml:space="preserve">before </w:t>
      </w:r>
      <w:r>
        <w:rPr>
          <w:lang w:val="en_US" w:bidi="en_US"/>
        </w:rPr>
        <w:t>God</w:t>
      </w:r>
      <w:r>
        <w:rPr>
          <w:lang w:val="en_US" w:bidi="en_US"/>
        </w:rPr>
        <w:t xml:space="preserve"> glorified him.”</w:t>
      </w:r>
    </w:p>
    <w:p>
      <w:pPr>
        <w:pStyle w:val="ListBullet"/>
        <w:spacing w:line="240" w:lineRule="auto"/>
        <w:ind w:left="720"/>
      </w:pPr>
      <w:r>
        <w:rPr>
          <w:lang w:val="en_US" w:bidi="en_US"/>
        </w:rPr>
      </w:r>
      <w:r>
        <w:rPr>
          <w:lang w:val="en_US" w:bidi="en_US"/>
        </w:rPr>
        <w:t>and only then receive the majesty/splendor that he deserves.”</w:t>
      </w:r>
    </w:p>
    <w:p>
      <w:pPr/>
      <w:r>
        <w:rPr>
          <w:lang w:val="en_US" w:bidi="en_US"/>
        </w:rPr>
      </w:r>
      <w:r>
        <w:rPr>
          <w:b/>
          <w:lang w:val="en_US" w:bidi="en_US"/>
        </w:rPr>
        <w:t>and then to enter His glory:</w:t>
      </w:r>
      <w:r>
        <w:rPr>
          <w:lang w:val="en_US" w:bidi="en_US"/>
        </w:rPr>
        <w:t xml:space="preserve"> The Greek conjunction that the BSB translates as </w:t>
      </w:r>
      <w:r>
        <w:rPr>
          <w:i/>
          <w:lang w:val="en_US" w:bidi="en_US"/>
        </w:rPr>
        <w:t>and then</w:t>
      </w:r>
      <w:r>
        <w:rPr>
          <w:lang w:val="en_US" w:bidi="en_US"/>
        </w:rPr>
        <w:t xml:space="preserve"> introduces the result of Christ’s suffering. The suffering was necessary for him to enter his glory. It is clear in this context that he would enter his glory only after he suffered. You should translate this connection in a clear way in your language. Other ways to translate it in English are:</w:t>
      </w:r>
    </w:p>
    <w:p>
      <w:pPr/>
      <w:r>
        <w:rPr>
          <w:lang w:val="en_US" w:bidi="en_US"/>
        </w:rPr>
      </w:r>
      <w:r>
        <w:rPr>
          <w:lang w:val="en_US" w:bidi="en_US"/>
        </w:rPr>
        <w:t>and after that, enter his glory</w:t>
      </w:r>
    </w:p>
    <w:p>
      <w:pPr/>
      <w:r>
        <w:rPr>
          <w:lang w:val="en_US" w:bidi="en_US"/>
        </w:rPr>
      </w:r>
      <w:r>
        <w:rPr>
          <w:lang w:val="en_US" w:bidi="en_US"/>
        </w:rPr>
        <w:t>before entering his glory (NLT)</w:t>
      </w:r>
    </w:p>
    <w:p>
      <w:pPr/>
      <w:r>
        <w:rPr>
          <w:lang w:val="en_US" w:bidi="en_US"/>
        </w:rPr>
      </w:r>
      <w:r>
        <w:rPr>
          <w:lang w:val="en_US" w:bidi="en_US"/>
        </w:rPr>
        <w:t>You should connect 24:26b with 24:26a in a way that is natural in your language.</w:t>
      </w:r>
    </w:p>
    <w:p>
      <w:pPr/>
      <w:r>
        <w:rPr>
          <w:lang w:val="en_US" w:bidi="en_US"/>
        </w:rPr>
      </w:r>
      <w:r>
        <w:rPr>
          <w:b/>
          <w:lang w:val="en_US" w:bidi="en_US"/>
        </w:rPr>
        <w:t>to enter His glory:</w:t>
      </w:r>
      <w:r>
        <w:rPr>
          <w:lang w:val="en_US" w:bidi="en_US"/>
        </w:rPr>
        <w:t xml:space="preserve"> The Greek phrase that the BSB translates literally as </w:t>
      </w:r>
      <w:r>
        <w:rPr>
          <w:i/>
          <w:lang w:val="en_US" w:bidi="en_US"/>
        </w:rPr>
        <w:t>to enter His glory</w:t>
      </w:r>
      <w:r>
        <w:rPr>
          <w:lang w:val="en_US" w:bidi="en_US"/>
        </w:rPr>
        <w:t xml:space="preserve"> refers to Jesus receiving honor and authority to rule with God. God had promised to raise Jesus from the dead and give him power and authority to rule over everything. The phrase </w:t>
      </w:r>
      <w:r>
        <w:rPr>
          <w:i/>
          <w:lang w:val="en_US" w:bidi="en_US"/>
        </w:rPr>
        <w:t>His glory</w:t>
      </w:r>
      <w:r>
        <w:rPr>
          <w:lang w:val="en_US" w:bidi="en_US"/>
        </w:rPr>
        <w:t xml:space="preserve"> refers to this authority and the great majesty and splendor it implies.</w:t>
      </w:r>
    </w:p>
    <w:p>
      <w:pPr/>
      <w:r>
        <w:rPr>
          <w:lang w:val="en_US" w:bidi="en_US"/>
        </w:rPr>
      </w:r>
      <w:r>
        <w:rPr>
          <w:lang w:val="en_US" w:bidi="en_US"/>
        </w:rPr>
        <w:t>Some other ways to translate this phrase are:</w:t>
      </w:r>
    </w:p>
    <w:p>
      <w:pPr/>
      <w:r>
        <w:rPr>
          <w:lang w:val="en_US" w:bidi="en_US"/>
        </w:rPr>
      </w:r>
      <w:r>
        <w:rPr>
          <w:lang w:val="en_US" w:bidi="en_US"/>
        </w:rPr>
        <w:t>receiving his honor/authority</w:t>
      </w:r>
    </w:p>
    <w:p>
      <w:pPr/>
      <w:r>
        <w:rPr>
          <w:lang w:val="en_US" w:bidi="en_US"/>
        </w:rPr>
      </w:r>
      <w:r>
        <w:rPr>
          <w:lang w:val="en_US" w:bidi="en_US"/>
        </w:rPr>
        <w:t>ruling over everything</w:t>
      </w:r>
    </w:p>
    <w:p>
      <w:pPr/>
      <w:r>
        <w:rPr>
          <w:lang w:val="en_US" w:bidi="en_US"/>
        </w:rPr>
      </w:r>
      <w:r>
        <w:rPr>
          <w:lang w:val="en_US" w:bidi="en_US"/>
        </w:rPr>
        <w:t>beginning his majestic reign</w:t>
      </w:r>
    </w:p>
    <w:p>
      <w:pPr/>
      <w:r>
        <w:rPr>
          <w:lang w:val="en_US" w:bidi="en_US"/>
        </w:rPr>
      </w:r>
      <w:r>
        <w:rPr>
          <w:b/>
          <w:lang w:val="en_US" w:bidi="en_US"/>
        </w:rPr>
        <w:t>His glory:</w:t>
      </w:r>
      <w:r>
        <w:rPr>
          <w:lang w:val="en_US" w:bidi="en_US"/>
        </w:rPr>
        <w:t xml:space="preserve"> The phrase </w:t>
      </w:r>
      <w:r>
        <w:rPr>
          <w:i/>
          <w:lang w:val="en_US" w:bidi="en_US"/>
        </w:rPr>
        <w:t>His glory</w:t>
      </w:r>
      <w:r>
        <w:rPr>
          <w:lang w:val="en_US" w:bidi="en_US"/>
        </w:rPr>
        <w:t xml:space="preserve"> refers to the glory/honor that Jesus deserves and that God promised him. Some other ways to translate this phrase are:</w:t>
      </w:r>
    </w:p>
    <w:p>
      <w:pPr/>
      <w:r>
        <w:rPr>
          <w:lang w:val="en_US" w:bidi="en_US"/>
        </w:rPr>
      </w:r>
      <w:r>
        <w:rPr>
          <w:lang w:val="en_US" w:bidi="en_US"/>
        </w:rPr>
        <w:t xml:space="preserve">the glory/honor that he </w:t>
      </w:r>
      <w:r>
        <w:rPr>
          <w:lang w:val="en_US" w:bidi="en_US"/>
        </w:rPr>
        <w:t>deserves</w:t>
      </w:r>
    </w:p>
    <w:p>
      <w:pPr/>
      <w:r>
        <w:rPr>
          <w:lang w:val="en_US" w:bidi="en_US"/>
        </w:rPr>
      </w:r>
      <w:r>
        <w:rPr>
          <w:lang w:val="en_US" w:bidi="en_US"/>
        </w:rPr>
        <w:t xml:space="preserve">the glory/power that </w:t>
      </w:r>
      <w:r>
        <w:rPr>
          <w:lang w:val="en_US" w:bidi="en_US"/>
        </w:rPr>
        <w:t>God</w:t>
      </w:r>
      <w:r>
        <w:rPr>
          <w:lang w:val="en_US" w:bidi="en_US"/>
        </w:rPr>
        <w:t xml:space="preserve"> </w:t>
      </w:r>
      <w:r>
        <w:rPr>
          <w:lang w:val="en_US" w:bidi="en_US"/>
        </w:rPr>
        <w:t>planned</w:t>
      </w:r>
      <w:r>
        <w:rPr>
          <w:lang w:val="en_US" w:bidi="en_US"/>
        </w:rPr>
        <w:t xml:space="preserve"> for him</w:t>
      </w:r>
    </w:p>
    <w:p>
      <w:pPr>
        <w:pStyle w:val="Heading6"/>
      </w:pPr>
      <w:r>
        <w:rPr>
          <w:b/>
          <w:lang w:val="en_US" w:bidi="en_US"/>
        </w:rPr>
        <w:t>General Comment on 24:26a–b</w:t>
      </w:r>
    </w:p>
    <w:p>
      <w:pPr/>
      <w:r>
        <w:rPr>
          <w:lang w:val="en_US" w:bidi="en_US"/>
        </w:rPr>
      </w:r>
      <w:r>
        <w:rPr>
          <w:lang w:val="en_US" w:bidi="en_US"/>
        </w:rPr>
        <w:t>In some languages it may be more natural to reverse the order of clauses in this verse. For example:</w:t>
      </w:r>
    </w:p>
    <w:p>
      <w:pPr/>
      <w:r>
        <w:rPr>
          <w:lang w:val="en_US" w:bidi="en_US"/>
        </w:rPr>
      </w:r>
      <w:r>
        <w:rPr>
          <w:vertAlign w:val="superscript"/>
          <w:lang w:val="en_US" w:bidi="en_US"/>
        </w:rPr>
        <w:t>26b</w:t>
      </w:r>
      <w:r>
        <w:rPr>
          <w:lang w:val="en_US" w:bidi="en_US"/>
        </w:rPr>
        <w:t xml:space="preserve">Before receiving glory/majesty </w:t>
      </w:r>
      <w:r>
        <w:rPr>
          <w:lang w:val="en_US" w:bidi="en_US"/>
        </w:rPr>
        <w:t>as King</w:t>
      </w:r>
      <w:r>
        <w:rPr>
          <w:lang w:val="en_US" w:bidi="en_US"/>
        </w:rPr>
        <w:t xml:space="preserve">, </w:t>
      </w:r>
      <w:r>
        <w:rPr>
          <w:vertAlign w:val="superscript"/>
          <w:lang w:val="en_US" w:bidi="en_US"/>
        </w:rPr>
        <w:t>26a</w:t>
      </w:r>
      <w:r>
        <w:rPr>
          <w:lang w:val="en_US" w:bidi="en_US"/>
        </w:rPr>
        <w:t>the Messiah would have to suffer all these things.</w:t>
      </w:r>
    </w:p>
    <w:p>
      <w:pPr/>
      <w:r>
        <w:rPr>
          <w:lang w:val="en_US" w:bidi="en_US"/>
        </w:rPr>
      </w:r>
      <w:r>
        <w:rPr>
          <w:lang w:val="en_US" w:bidi="en_US"/>
        </w:rPr>
        <w:t>Translate the clauses in a natural order in your language.</w:t>
      </w:r>
      <w:r>
        <w:rPr>
          <w:lang w:val="en_US" w:bidi="en_US"/>
        </w:rPr>
      </w:r>
      <w:r>
        <w:rPr>
          <w:lang w:val="en_US" w:bidi="en_US"/>
        </w:rPr>
      </w:r>
    </w:p>
    <w:p>
      <w:pPr/>
      <w:r>
        <w:rPr>
          <w:lang w:val="en_US" w:bidi="en_US"/>
        </w:rPr>
      </w:r>
    </w:p>
    <w:p>
      <w:pPr>
        <w:pStyle w:val="Heading2"/>
      </w:pPr>
      <w:r>
        <w:rPr>
          <w:lang w:val="en_US" w:bidi="en_US"/>
        </w:rPr>
        <w:t>Luke 24:27</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24:27a</w:t>
      </w:r>
    </w:p>
    <w:p>
      <w:pPr/>
      <w:r>
        <w:rPr>
          <w:lang w:val="en_US" w:bidi="en_US"/>
        </w:rPr>
      </w:r>
      <w:r>
        <w:rPr>
          <w:b/>
          <w:lang w:val="en_US" w:bidi="en_US"/>
        </w:rPr>
        <w:t>And beginning with Moses</w:t>
      </w:r>
    </w:p>
    <w:p>
      <w:pPr>
        <w:pStyle w:val="ListBullet"/>
        <w:spacing w:line="240" w:lineRule="auto"/>
        <w:ind w:left="720"/>
      </w:pPr>
      <w:r>
        <w:rPr>
          <w:lang w:val="en_US" w:bidi="en_US"/>
        </w:rPr>
      </w:r>
      <w:r>
        <w:rPr>
          <w:lang w:val="en_US" w:bidi="en_US"/>
        </w:rPr>
        <w:t xml:space="preserve">Then </w:t>
      </w:r>
      <w:r>
        <w:rPr>
          <w:lang w:val="en_US" w:bidi="en_US"/>
        </w:rPr>
        <w:t>Jesus</w:t>
      </w:r>
      <w:r>
        <w:rPr>
          <w:lang w:val="en_US" w:bidi="en_US"/>
        </w:rPr>
        <w:t xml:space="preserve"> began with </w:t>
      </w:r>
      <w:r>
        <w:rPr>
          <w:lang w:val="en_US" w:bidi="en_US"/>
        </w:rPr>
        <w:t>the writings of</w:t>
      </w:r>
      <w:r>
        <w:rPr>
          <w:lang w:val="en_US" w:bidi="en_US"/>
        </w:rPr>
        <w:t xml:space="preserve"> Moses,</w:t>
      </w:r>
    </w:p>
    <w:p>
      <w:pPr>
        <w:pStyle w:val="ListBullet"/>
        <w:spacing w:line="240" w:lineRule="auto"/>
        <w:ind w:left="720"/>
      </w:pPr>
      <w:r>
        <w:rPr>
          <w:lang w:val="en_US" w:bidi="en_US"/>
        </w:rPr>
      </w:r>
      <w:r>
        <w:rPr>
          <w:lang w:val="en_US" w:bidi="en_US"/>
        </w:rPr>
        <w:t xml:space="preserve">Then Jesus began </w:t>
      </w:r>
      <w:r>
        <w:rPr>
          <w:lang w:val="en_US" w:bidi="en_US"/>
        </w:rPr>
        <w:t>to explain this by</w:t>
      </w:r>
      <w:r>
        <w:rPr>
          <w:lang w:val="en_US" w:bidi="en_US"/>
        </w:rPr>
        <w:t xml:space="preserve"> using </w:t>
      </w:r>
      <w:r>
        <w:rPr>
          <w:lang w:val="en_US" w:bidi="en_US"/>
        </w:rPr>
        <w:t>what</w:t>
      </w:r>
      <w:r>
        <w:rPr>
          <w:lang w:val="en_US" w:bidi="en_US"/>
        </w:rPr>
        <w:t xml:space="preserve"> Moses</w:t>
      </w:r>
    </w:p>
    <w:p>
      <w:pPr>
        <w:pStyle w:val="Heading5"/>
      </w:pPr>
      <w:r>
        <w:rPr>
          <w:lang w:val="en_US" w:bidi="en_US"/>
        </w:rPr>
        <w:t>24:27b</w:t>
      </w:r>
    </w:p>
    <w:p>
      <w:pPr/>
      <w:r>
        <w:rPr>
          <w:lang w:val="en_US" w:bidi="en_US"/>
        </w:rPr>
      </w:r>
      <w:r>
        <w:rPr>
          <w:b/>
          <w:lang w:val="en_US" w:bidi="en_US"/>
        </w:rPr>
        <w:t>and all the Prophets,</w:t>
      </w:r>
    </w:p>
    <w:p>
      <w:pPr>
        <w:pStyle w:val="ListBullet"/>
        <w:spacing w:line="240" w:lineRule="auto"/>
        <w:ind w:left="720"/>
      </w:pPr>
      <w:r>
        <w:rPr>
          <w:lang w:val="en_US" w:bidi="en_US"/>
        </w:rPr>
      </w:r>
      <w:r>
        <w:rPr>
          <w:lang w:val="en_US" w:bidi="en_US"/>
        </w:rPr>
        <w:t xml:space="preserve">and he </w:t>
      </w:r>
      <w:r>
        <w:rPr>
          <w:lang w:val="en_US" w:bidi="en_US"/>
        </w:rPr>
        <w:t>continued through</w:t>
      </w:r>
      <w:r>
        <w:rPr>
          <w:lang w:val="en_US" w:bidi="en_US"/>
        </w:rPr>
        <w:t xml:space="preserve"> all the </w:t>
      </w:r>
      <w:r>
        <w:rPr>
          <w:lang w:val="en_US" w:bidi="en_US"/>
        </w:rPr>
        <w:t>writings of the other</w:t>
      </w:r>
      <w:r>
        <w:rPr>
          <w:lang w:val="en_US" w:bidi="en_US"/>
        </w:rPr>
        <w:t xml:space="preserve"> prophets,</w:t>
      </w:r>
    </w:p>
    <w:p>
      <w:pPr>
        <w:pStyle w:val="ListBullet"/>
        <w:spacing w:line="240" w:lineRule="auto"/>
        <w:ind w:left="720"/>
      </w:pPr>
      <w:r>
        <w:rPr>
          <w:lang w:val="en_US" w:bidi="en_US"/>
        </w:rPr>
      </w:r>
      <w:r>
        <w:rPr>
          <w:lang w:val="en_US" w:bidi="en_US"/>
        </w:rPr>
        <w:t xml:space="preserve">and all the other prophets </w:t>
      </w:r>
      <w:r>
        <w:rPr>
          <w:lang w:val="en_US" w:bidi="en_US"/>
        </w:rPr>
        <w:t>wrote</w:t>
      </w:r>
    </w:p>
    <w:p>
      <w:pPr>
        <w:pStyle w:val="Heading5"/>
      </w:pPr>
      <w:r>
        <w:rPr>
          <w:lang w:val="en_US" w:bidi="en_US"/>
        </w:rPr>
        <w:t>24:27c</w:t>
      </w:r>
    </w:p>
    <w:p>
      <w:pPr/>
      <w:r>
        <w:rPr>
          <w:lang w:val="en_US" w:bidi="en_US"/>
        </w:rPr>
      </w:r>
      <w:r>
        <w:rPr>
          <w:b/>
          <w:lang w:val="en_US" w:bidi="en_US"/>
        </w:rPr>
        <w:t>He explained to them</w:t>
      </w:r>
    </w:p>
    <w:p>
      <w:pPr>
        <w:pStyle w:val="ListBullet"/>
        <w:spacing w:line="240" w:lineRule="auto"/>
        <w:ind w:left="720"/>
      </w:pPr>
      <w:r>
        <w:rPr>
          <w:lang w:val="en_US" w:bidi="en_US"/>
        </w:rPr>
      </w:r>
      <w:r>
        <w:rPr>
          <w:lang w:val="en_US" w:bidi="en_US"/>
        </w:rPr>
        <w:t>explaining to the disciples</w:t>
      </w:r>
    </w:p>
    <w:p>
      <w:pPr>
        <w:pStyle w:val="ListBullet"/>
        <w:spacing w:line="240" w:lineRule="auto"/>
        <w:ind w:left="720"/>
      </w:pPr>
      <w:r>
        <w:rPr>
          <w:lang w:val="en_US" w:bidi="en_US"/>
        </w:rPr>
      </w:r>
      <w:r>
        <w:rPr>
          <w:lang w:val="en_US" w:bidi="en_US"/>
        </w:rPr>
        <w:t>to help them understand the meaning of</w:t>
      </w:r>
    </w:p>
    <w:p>
      <w:pPr>
        <w:pStyle w:val="Heading5"/>
      </w:pPr>
      <w:r>
        <w:rPr>
          <w:lang w:val="en_US" w:bidi="en_US"/>
        </w:rPr>
        <w:t>24:27a–c</w:t>
      </w:r>
    </w:p>
    <w:p>
      <w:pPr/>
      <w:r>
        <w:rPr>
          <w:lang w:val="en_US" w:bidi="en_US"/>
        </w:rPr>
      </w:r>
      <w:r>
        <w:rPr>
          <w:lang w:val="en_US" w:bidi="en_US"/>
        </w:rPr>
        <w:t>This verse summarizes what Jesus explained to the disciples about his statement in 24:26. He explained how the Scriptures show that the Messiah must suffer before entering his glory.</w:t>
      </w:r>
    </w:p>
    <w:p>
      <w:pPr/>
      <w:r>
        <w:rPr>
          <w:lang w:val="en_US" w:bidi="en_US"/>
        </w:rPr>
      </w:r>
      <w:r>
        <w:rPr>
          <w:lang w:val="en_US" w:bidi="en_US"/>
        </w:rPr>
        <w:t>In some languages it may be helpful to reverse the order of clauses in this verse. See the General Comment on 24:27a–d at the end of 24:27d for translation suggestions.</w:t>
      </w:r>
    </w:p>
    <w:p>
      <w:pPr/>
      <w:r>
        <w:rPr>
          <w:lang w:val="en_US" w:bidi="en_US"/>
        </w:rPr>
      </w:r>
      <w:r>
        <w:rPr>
          <w:b/>
          <w:lang w:val="en_US" w:bidi="en_US"/>
        </w:rPr>
        <w:t>And beginning with Moses and all the Prophets, He explained to them:</w:t>
      </w:r>
      <w:r>
        <w:rPr>
          <w:lang w:val="en_US" w:bidi="en_US"/>
        </w:rPr>
        <w:t xml:space="preserve"> The phrase </w:t>
      </w:r>
      <w:r>
        <w:rPr>
          <w:i/>
          <w:lang w:val="en_US" w:bidi="en_US"/>
        </w:rPr>
        <w:t>And beginning with Moses and all the Prophets</w:t>
      </w:r>
      <w:r>
        <w:rPr>
          <w:lang w:val="en_US" w:bidi="en_US"/>
        </w:rPr>
        <w:t xml:space="preserve"> tells how Jesus began to explain what the Scriptures said about him (the Christ), as summarized in 24:26. He began to explain this by using the writings of Moses. Then he continued by using the writings of the other prophets. In his explanation, Jesus showed how all these writings teach that the Christ must suffer before entering his glory. Some other ways to translate this phrase are:</w:t>
      </w:r>
    </w:p>
    <w:p>
      <w:pPr/>
      <w:r>
        <w:rPr>
          <w:lang w:val="en_US" w:bidi="en_US"/>
        </w:rPr>
      </w:r>
      <w:r>
        <w:rPr>
          <w:lang w:val="en_US" w:bidi="en_US"/>
        </w:rPr>
        <w:t>he began with Moses’ Teachings and the Prophets to explain to them (GW)</w:t>
      </w:r>
    </w:p>
    <w:p>
      <w:pPr/>
      <w:r>
        <w:rPr>
          <w:lang w:val="en_US" w:bidi="en_US"/>
        </w:rPr>
      </w:r>
      <w:r>
        <w:rPr>
          <w:lang w:val="en_US" w:bidi="en_US"/>
        </w:rPr>
        <w:t>starting with what Moses and all the prophets had said about him, Jesus began to explain (NCV)</w:t>
      </w:r>
    </w:p>
    <w:p>
      <w:pPr/>
      <w:r>
        <w:rPr>
          <w:lang w:val="en_US" w:bidi="en_US"/>
        </w:rPr>
      </w:r>
      <w:r>
        <w:rPr>
          <w:b/>
          <w:lang w:val="en_US" w:bidi="en_US"/>
        </w:rPr>
        <w:t>beginning with Moses and all the Prophets:</w:t>
      </w:r>
      <w:r>
        <w:rPr>
          <w:lang w:val="en_US" w:bidi="en_US"/>
        </w:rPr>
        <w:t xml:space="preserve"> In this context the phrase </w:t>
      </w:r>
      <w:r>
        <w:rPr>
          <w:i/>
          <w:lang w:val="en_US" w:bidi="en_US"/>
        </w:rPr>
        <w:t>Moses and all the Prophets</w:t>
      </w:r>
      <w:r>
        <w:rPr>
          <w:lang w:val="en_US" w:bidi="en_US"/>
        </w:rPr>
        <w:t xml:space="preserve"> is probably a short way to refer to the Old Testament. It is also used in this way at 16:29.</w:t>
      </w:r>
      <w:r>
        <w:rPr>
          <w:lang w:val="en_US" w:bidi="en_US"/>
        </w:rPr>
        <w:t>See also Acts 26:22 and Acts 28:23.</w:t>
      </w:r>
      <w:r>
        <w:rPr>
          <w:lang w:val="en_US" w:bidi="en_US"/>
        </w:rPr>
        <w:t xml:space="preserve"> However, because of the phrase </w:t>
      </w:r>
      <w:r>
        <w:rPr>
          <w:i/>
          <w:lang w:val="en_US" w:bidi="en_US"/>
        </w:rPr>
        <w:t>beginning with</w:t>
      </w:r>
      <w:r>
        <w:rPr>
          <w:lang w:val="en_US" w:bidi="en_US"/>
        </w:rPr>
        <w:t>, some Bible scholars believe that Jesus began with the books of Moses and the Prophets and then went on to the other Scriptures, such as the Psalms. Either interpretation is acceptable.</w:t>
      </w:r>
    </w:p>
    <w:p>
      <w:pPr/>
      <w:r>
        <w:rPr>
          <w:lang w:val="en_US" w:bidi="en_US"/>
        </w:rPr>
      </w:r>
      <w:r>
        <w:rPr>
          <w:lang w:val="en_US" w:bidi="en_US"/>
        </w:rPr>
        <w:t>Moses was also a prophet (Acts 3:21–22), so translate in a way that will imply that. For example:</w:t>
      </w:r>
    </w:p>
    <w:p>
      <w:pPr/>
      <w:r>
        <w:rPr>
          <w:lang w:val="en_US" w:bidi="en_US"/>
        </w:rPr>
      </w:r>
      <w:r>
        <w:rPr>
          <w:lang w:val="en_US" w:bidi="en_US"/>
        </w:rPr>
        <w:t xml:space="preserve">Moses and all the </w:t>
      </w:r>
      <w:r>
        <w:rPr>
          <w:lang w:val="en_US" w:bidi="en_US"/>
        </w:rPr>
        <w:t>other</w:t>
      </w:r>
      <w:r>
        <w:rPr>
          <w:lang w:val="en_US" w:bidi="en_US"/>
        </w:rPr>
        <w:t xml:space="preserve"> prophets</w:t>
      </w:r>
    </w:p>
    <w:p>
      <w:pPr/>
      <w:r>
        <w:rPr>
          <w:lang w:val="en_US" w:bidi="en_US"/>
        </w:rPr>
      </w:r>
      <w:r>
        <w:rPr>
          <w:lang w:val="en_US" w:bidi="en_US"/>
        </w:rPr>
        <w:t>The books of the prophets were also mentioned in 18:31. See the notes at 18:31c. For more information, see prophet in the Glossary.</w:t>
      </w:r>
    </w:p>
    <w:p>
      <w:pPr/>
      <w:r>
        <w:rPr>
          <w:lang w:val="en_US" w:bidi="en_US"/>
        </w:rPr>
      </w:r>
      <w:r>
        <w:rPr>
          <w:b/>
          <w:lang w:val="en_US" w:bidi="en_US"/>
        </w:rPr>
        <w:t>He explained:</w:t>
      </w:r>
      <w:r>
        <w:rPr>
          <w:lang w:val="en_US" w:bidi="en_US"/>
        </w:rPr>
        <w:t xml:space="preserve"> The Greek verb that the BSB translates as </w:t>
      </w:r>
      <w:r>
        <w:rPr>
          <w:i/>
          <w:lang w:val="en_US" w:bidi="en_US"/>
        </w:rPr>
        <w:t>explained</w:t>
      </w:r>
      <w:r>
        <w:rPr>
          <w:lang w:val="en_US" w:bidi="en_US"/>
        </w:rPr>
        <w:t xml:space="preserve"> means to interpret so as to make the meaning clear.</w:t>
      </w:r>
    </w:p>
    <w:p>
      <w:pPr>
        <w:pStyle w:val="Heading5"/>
      </w:pPr>
      <w:r>
        <w:rPr>
          <w:lang w:val="en_US" w:bidi="en_US"/>
        </w:rPr>
        <w:t>24:27d</w:t>
      </w:r>
    </w:p>
    <w:p>
      <w:pPr/>
      <w:r>
        <w:rPr>
          <w:lang w:val="en_US" w:bidi="en_US"/>
        </w:rPr>
      </w:r>
      <w:r>
        <w:rPr>
          <w:b/>
          <w:lang w:val="en_US" w:bidi="en_US"/>
        </w:rPr>
        <w:t>what was written in all the Scriptures about Himself.</w:t>
      </w:r>
    </w:p>
    <w:p>
      <w:pPr>
        <w:pStyle w:val="ListBullet"/>
        <w:spacing w:line="240" w:lineRule="auto"/>
        <w:ind w:left="720"/>
      </w:pPr>
      <w:r>
        <w:rPr>
          <w:lang w:val="en_US" w:bidi="en_US"/>
        </w:rPr>
      </w:r>
      <w:r>
        <w:rPr>
          <w:lang w:val="en_US" w:bidi="en_US"/>
        </w:rPr>
        <w:t>all that the Scriptures said about himself.</w:t>
      </w:r>
    </w:p>
    <w:p>
      <w:pPr>
        <w:pStyle w:val="ListBullet"/>
        <w:spacing w:line="240" w:lineRule="auto"/>
        <w:ind w:left="720"/>
      </w:pPr>
      <w:r>
        <w:rPr>
          <w:lang w:val="en_US" w:bidi="en_US"/>
        </w:rPr>
      </w:r>
      <w:r>
        <w:rPr>
          <w:lang w:val="en_US" w:bidi="en_US"/>
        </w:rPr>
        <w:t>everything that was written in God’s Word about the Christ/Messiah.</w:t>
      </w:r>
    </w:p>
    <w:p>
      <w:pPr/>
      <w:r>
        <w:rPr>
          <w:lang w:val="en_US" w:bidi="en_US"/>
        </w:rPr>
      </w:r>
      <w:r>
        <w:rPr>
          <w:b/>
          <w:lang w:val="en_US" w:bidi="en_US"/>
        </w:rPr>
        <w:t>what was written in all the Scriptures about Himself:</w:t>
      </w:r>
      <w:r>
        <w:rPr>
          <w:lang w:val="en_US" w:bidi="en_US"/>
        </w:rPr>
        <w:t xml:space="preserve"> This clause indicates that Jesus chose Scriptures that spoke of the Christ. These were the Scriptures that he explained to the disciples. The verb </w:t>
      </w:r>
      <w:r>
        <w:rPr>
          <w:i/>
          <w:lang w:val="en_US" w:bidi="en_US"/>
        </w:rPr>
        <w:t>was written</w:t>
      </w:r>
      <w:r>
        <w:rPr>
          <w:lang w:val="en_US" w:bidi="en_US"/>
        </w:rPr>
        <w:t xml:space="preserve"> is passive. In some languages it may be natural to use an active verb. For example:</w:t>
      </w:r>
    </w:p>
    <w:p>
      <w:pPr/>
      <w:r>
        <w:rPr>
          <w:lang w:val="en_US" w:bidi="en_US"/>
        </w:rPr>
      </w:r>
      <w:r>
        <w:rPr>
          <w:lang w:val="en_US" w:bidi="en_US"/>
        </w:rPr>
        <w:t>what all the Scriptures said concerning himself</w:t>
      </w:r>
    </w:p>
    <w:p>
      <w:pPr/>
      <w:r>
        <w:rPr>
          <w:lang w:val="en_US" w:bidi="en_US"/>
        </w:rPr>
      </w:r>
      <w:r>
        <w:rPr>
          <w:b/>
          <w:lang w:val="en_US" w:bidi="en_US"/>
        </w:rPr>
        <w:t>the Scriptures:</w:t>
      </w:r>
      <w:r>
        <w:rPr>
          <w:lang w:val="en_US" w:bidi="en_US"/>
        </w:rPr>
        <w:t xml:space="preserve"> The phrase </w:t>
      </w:r>
      <w:r>
        <w:rPr>
          <w:i/>
          <w:lang w:val="en_US" w:bidi="en_US"/>
        </w:rPr>
        <w:t>the Scriptures</w:t>
      </w:r>
      <w:r>
        <w:rPr>
          <w:lang w:val="en_US" w:bidi="en_US"/>
        </w:rPr>
        <w:t xml:space="preserve"> is used in a special way in the New Testament. It refers to words that God directed someone to write. Such writings had authority because God guided a person to write them. In the New Testament the word </w:t>
      </w:r>
      <w:r>
        <w:rPr>
          <w:i/>
          <w:lang w:val="en_US" w:bidi="en_US"/>
        </w:rPr>
        <w:t>Scriptures</w:t>
      </w:r>
      <w:r>
        <w:rPr>
          <w:lang w:val="en_US" w:bidi="en_US"/>
        </w:rPr>
        <w:t xml:space="preserve"> usually refers to something that was written in the Old Testament. Some other ways to translate the phrase </w:t>
      </w:r>
      <w:r>
        <w:rPr>
          <w:i/>
          <w:lang w:val="en_US" w:bidi="en_US"/>
        </w:rPr>
        <w:t>the Scriptures</w:t>
      </w:r>
      <w:r>
        <w:rPr>
          <w:lang w:val="en_US" w:bidi="en_US"/>
        </w:rPr>
        <w:t xml:space="preserve"> are:</w:t>
      </w:r>
    </w:p>
    <w:p>
      <w:pPr/>
      <w:r>
        <w:rPr>
          <w:lang w:val="en_US" w:bidi="en_US"/>
        </w:rPr>
      </w:r>
      <w:r>
        <w:rPr>
          <w:lang w:val="en_US" w:bidi="en_US"/>
        </w:rPr>
        <w:t>God’s written words</w:t>
      </w:r>
    </w:p>
    <w:p>
      <w:pPr/>
      <w:r>
        <w:rPr>
          <w:lang w:val="en_US" w:bidi="en_US"/>
        </w:rPr>
      </w:r>
      <w:r>
        <w:rPr>
          <w:lang w:val="en_US" w:bidi="en_US"/>
        </w:rPr>
        <w:t>God’s book/word</w:t>
      </w:r>
    </w:p>
    <w:p>
      <w:pPr/>
      <w:r>
        <w:rPr>
          <w:lang w:val="en_US" w:bidi="en_US"/>
        </w:rPr>
      </w:r>
      <w:r>
        <w:rPr>
          <w:b/>
          <w:lang w:val="en_US" w:bidi="en_US"/>
        </w:rPr>
        <w:t>about Himself:</w:t>
      </w:r>
      <w:r>
        <w:rPr>
          <w:lang w:val="en_US" w:bidi="en_US"/>
        </w:rPr>
        <w:t xml:space="preserve"> The word </w:t>
      </w:r>
      <w:r>
        <w:rPr>
          <w:i/>
          <w:lang w:val="en_US" w:bidi="en_US"/>
        </w:rPr>
        <w:t>Himself</w:t>
      </w:r>
      <w:r>
        <w:rPr>
          <w:lang w:val="en_US" w:bidi="en_US"/>
        </w:rPr>
        <w:t xml:space="preserve"> refers to the Christ/Messiah, who was Jesus. However, Jesus did not yet tell the disciples that he was talking about himself as the Christ. He used forms that are normally used to refer to a different person because he was not yet ready to reveal his identity to them.</w:t>
      </w:r>
    </w:p>
    <w:p>
      <w:pPr/>
      <w:r>
        <w:rPr>
          <w:lang w:val="en_US" w:bidi="en_US"/>
        </w:rPr>
      </w:r>
      <w:r>
        <w:rPr>
          <w:lang w:val="en_US" w:bidi="en_US"/>
        </w:rPr>
        <w:t>In some languages a literal translation may imply that at that time Jesus told the disciples that he was the Christ. If that is true in your language, you should translate in a different way. For example:</w:t>
      </w:r>
    </w:p>
    <w:p>
      <w:pPr/>
      <w:r>
        <w:rPr>
          <w:lang w:val="en_US" w:bidi="en_US"/>
        </w:rPr>
      </w:r>
      <w:r>
        <w:rPr>
          <w:lang w:val="en_US" w:bidi="en_US"/>
        </w:rPr>
        <w:t>concerning the Christ/Messiah</w:t>
      </w:r>
    </w:p>
    <w:p>
      <w:pPr>
        <w:pStyle w:val="Heading6"/>
      </w:pPr>
      <w:r>
        <w:rPr>
          <w:b/>
          <w:lang w:val="en_US" w:bidi="en_US"/>
        </w:rPr>
        <w:t>General Comment on 24:27a–d</w:t>
      </w:r>
    </w:p>
    <w:p>
      <w:pPr/>
      <w:r>
        <w:rPr>
          <w:lang w:val="en_US" w:bidi="en_US"/>
        </w:rPr>
      </w:r>
      <w:r>
        <w:rPr>
          <w:lang w:val="en_US" w:bidi="en_US"/>
        </w:rPr>
        <w:t>In some languages it may be natural to reorder this verse. Two ways to do this are:</w:t>
      </w:r>
    </w:p>
    <w:p>
      <w:pPr/>
      <w:r>
        <w:rPr>
          <w:lang w:val="en_US" w:bidi="en_US"/>
        </w:rPr>
      </w:r>
      <w:r>
        <w:rPr>
          <w:vertAlign w:val="superscript"/>
          <w:lang w:val="en_US" w:bidi="en_US"/>
        </w:rPr>
        <w:t>27c</w:t>
      </w:r>
      <w:r>
        <w:rPr>
          <w:lang w:val="en_US" w:bidi="en_US"/>
        </w:rPr>
        <w:t xml:space="preserve">Jesus then began to explain to them </w:t>
      </w:r>
      <w:r>
        <w:rPr>
          <w:vertAlign w:val="superscript"/>
          <w:lang w:val="en_US" w:bidi="en_US"/>
        </w:rPr>
        <w:t>27d</w:t>
      </w:r>
      <w:r>
        <w:rPr>
          <w:lang w:val="en_US" w:bidi="en_US"/>
        </w:rPr>
        <w:t xml:space="preserve">what all the Scriptures said about himself. </w:t>
      </w:r>
      <w:r>
        <w:rPr>
          <w:vertAlign w:val="superscript"/>
          <w:lang w:val="en_US" w:bidi="en_US"/>
        </w:rPr>
        <w:t>27a</w:t>
      </w:r>
      <w:r>
        <w:rPr>
          <w:lang w:val="en_US" w:bidi="en_US"/>
        </w:rPr>
        <w:t xml:space="preserve">He started with </w:t>
      </w:r>
      <w:r>
        <w:rPr>
          <w:lang w:val="en_US" w:bidi="en_US"/>
        </w:rPr>
        <w:t>the books of</w:t>
      </w:r>
      <w:r>
        <w:rPr>
          <w:lang w:val="en_US" w:bidi="en_US"/>
        </w:rPr>
        <w:t xml:space="preserve"> Moses </w:t>
      </w:r>
      <w:r>
        <w:rPr>
          <w:vertAlign w:val="superscript"/>
          <w:lang w:val="en_US" w:bidi="en_US"/>
        </w:rPr>
        <w:t>27b</w:t>
      </w:r>
      <w:r>
        <w:rPr>
          <w:lang w:val="en_US" w:bidi="en_US"/>
        </w:rPr>
        <w:t>and continued on through the books of all the other Prophets.</w:t>
      </w:r>
    </w:p>
    <w:p>
      <w:pPr/>
      <w:r>
        <w:rPr>
          <w:lang w:val="en_US" w:bidi="en_US"/>
        </w:rPr>
      </w:r>
      <w:r>
        <w:rPr>
          <w:vertAlign w:val="superscript"/>
          <w:lang w:val="en_US" w:bidi="en_US"/>
        </w:rPr>
        <w:t>27a</w:t>
      </w:r>
      <w:r>
        <w:rPr>
          <w:lang w:val="en_US" w:bidi="en_US"/>
        </w:rPr>
        <w:t xml:space="preserve">Then Jesus began by explaining what Moses had written about him, </w:t>
      </w:r>
      <w:r>
        <w:rPr>
          <w:vertAlign w:val="superscript"/>
          <w:lang w:val="en_US" w:bidi="en_US"/>
        </w:rPr>
        <w:t>27c</w:t>
      </w:r>
      <w:r>
        <w:rPr>
          <w:lang w:val="en_US" w:bidi="en_US"/>
        </w:rPr>
        <w:t xml:space="preserve">and he continued explaining </w:t>
      </w:r>
      <w:r>
        <w:rPr>
          <w:vertAlign w:val="superscript"/>
          <w:lang w:val="en_US" w:bidi="en_US"/>
        </w:rPr>
        <w:t>27b</w:t>
      </w:r>
      <w:r>
        <w:rPr>
          <w:lang w:val="en_US" w:bidi="en_US"/>
        </w:rPr>
        <w:t xml:space="preserve">what all the other prophets in the rest of the Scriptures </w:t>
      </w:r>
      <w:r>
        <w:rPr>
          <w:vertAlign w:val="superscript"/>
          <w:lang w:val="en_US" w:bidi="en_US"/>
        </w:rPr>
        <w:t>27d</w:t>
      </w:r>
      <w:r>
        <w:rPr>
          <w:lang w:val="en_US" w:bidi="en_US"/>
        </w:rPr>
        <w:t>had written about him.</w:t>
      </w:r>
      <w:r>
        <w:rPr>
          <w:lang w:val="en_US" w:bidi="en_US"/>
        </w:rPr>
      </w:r>
      <w:r>
        <w:rPr>
          <w:lang w:val="en_US" w:bidi="en_US"/>
        </w:rPr>
      </w:r>
    </w:p>
    <w:p>
      <w:pPr/>
      <w:r>
        <w:rPr>
          <w:lang w:val="en_US" w:bidi="en_US"/>
        </w:rPr>
      </w:r>
    </w:p>
    <w:p>
      <w:pPr>
        <w:pStyle w:val="Heading2"/>
      </w:pPr>
      <w:r>
        <w:rPr>
          <w:lang w:val="en_US" w:bidi="en_US"/>
        </w:rPr>
        <w:t>Luke 24:28</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24:28a</w:t>
      </w:r>
    </w:p>
    <w:p>
      <w:pPr/>
      <w:r>
        <w:rPr>
          <w:lang w:val="en_US" w:bidi="en_US"/>
        </w:rPr>
      </w:r>
      <w:r>
        <w:rPr>
          <w:b/>
          <w:lang w:val="en_US" w:bidi="en_US"/>
        </w:rPr>
        <w:t>As they approached the village where they were headed,</w:t>
      </w:r>
    </w:p>
    <w:p>
      <w:pPr>
        <w:pStyle w:val="ListBullet"/>
        <w:spacing w:line="240" w:lineRule="auto"/>
        <w:ind w:left="720"/>
      </w:pPr>
      <w:r>
        <w:rPr>
          <w:lang w:val="en_US" w:bidi="en_US"/>
        </w:rPr>
      </w:r>
      <w:r>
        <w:rPr>
          <w:lang w:val="en_US" w:bidi="en_US"/>
        </w:rPr>
        <w:t>¶ As they</w:t>
      </w:r>
      <w:r>
        <w:rPr>
          <w:vertAlign w:val="superscript"/>
          <w:lang w:val="en_US" w:bidi="en_US"/>
        </w:rPr>
        <w:t>(plur)</w:t>
      </w:r>
      <w:r>
        <w:rPr>
          <w:lang w:val="en_US" w:bidi="en_US"/>
        </w:rPr>
        <w:t xml:space="preserve"> reached the village where the </w:t>
      </w:r>
      <w:r>
        <w:rPr>
          <w:lang w:val="en_US" w:bidi="en_US"/>
        </w:rPr>
        <w:t>disciples</w:t>
      </w:r>
      <w:r>
        <w:rPr>
          <w:lang w:val="en_US" w:bidi="en_US"/>
        </w:rPr>
        <w:t xml:space="preserve"> were going/headed,</w:t>
      </w:r>
    </w:p>
    <w:p>
      <w:pPr>
        <w:pStyle w:val="ListBullet"/>
        <w:spacing w:line="240" w:lineRule="auto"/>
        <w:ind w:left="720"/>
      </w:pPr>
      <w:r>
        <w:rPr>
          <w:lang w:val="en_US" w:bidi="en_US"/>
        </w:rPr>
      </w:r>
      <w:r>
        <w:rPr>
          <w:lang w:val="en_US" w:bidi="en_US"/>
        </w:rPr>
        <w:t>¶ By this time they</w:t>
      </w:r>
      <w:r>
        <w:rPr>
          <w:vertAlign w:val="superscript"/>
          <w:lang w:val="en_US" w:bidi="en_US"/>
        </w:rPr>
        <w:t>(three)</w:t>
      </w:r>
      <w:r>
        <w:rPr>
          <w:lang w:val="en_US" w:bidi="en_US"/>
        </w:rPr>
        <w:t xml:space="preserve"> were coming near the village that they</w:t>
      </w:r>
      <w:r>
        <w:rPr>
          <w:vertAlign w:val="superscript"/>
          <w:lang w:val="en_US" w:bidi="en_US"/>
        </w:rPr>
        <w:t>(dual)</w:t>
      </w:r>
      <w:r>
        <w:rPr>
          <w:lang w:val="en_US" w:bidi="en_US"/>
        </w:rPr>
        <w:t xml:space="preserve"> were going to.</w:t>
      </w:r>
    </w:p>
    <w:p>
      <w:pPr/>
      <w:r>
        <w:rPr>
          <w:lang w:val="en_US" w:bidi="en_US"/>
        </w:rPr>
      </w:r>
      <w:r>
        <w:rPr>
          <w:b/>
          <w:lang w:val="en_US" w:bidi="en_US"/>
        </w:rPr>
        <w:t>As they approached the village where they were headed:</w:t>
      </w:r>
      <w:r>
        <w:rPr>
          <w:lang w:val="en_US" w:bidi="en_US"/>
        </w:rPr>
        <w:t xml:space="preserve"> This clause tells about the progress of the men’s journey. It also introduces the next event, which happened while Jesus was talking to them. Other ways to translate the clause are:</w:t>
      </w:r>
    </w:p>
    <w:p>
      <w:pPr/>
      <w:r>
        <w:rPr>
          <w:lang w:val="en_US" w:bidi="en_US"/>
        </w:rPr>
      </w:r>
      <w:r>
        <w:rPr>
          <w:lang w:val="en_US" w:bidi="en_US"/>
        </w:rPr>
        <w:t>By this time they were nearing Emmaus (NLT)</w:t>
      </w:r>
    </w:p>
    <w:p>
      <w:pPr/>
      <w:r>
        <w:rPr>
          <w:lang w:val="en_US" w:bidi="en_US"/>
        </w:rPr>
      </w:r>
      <w:r>
        <w:rPr>
          <w:lang w:val="en_US" w:bidi="en_US"/>
        </w:rPr>
        <w:t>So they approached the village where they were going</w:t>
      </w:r>
    </w:p>
    <w:p>
      <w:pPr/>
      <w:r>
        <w:rPr>
          <w:lang w:val="en_US" w:bidi="en_US"/>
        </w:rPr>
      </w:r>
      <w:r>
        <w:rPr>
          <w:lang w:val="en_US" w:bidi="en_US"/>
        </w:rPr>
        <w:t>After a while, they came near the village to which they were going</w:t>
      </w:r>
    </w:p>
    <w:p>
      <w:pPr/>
      <w:r>
        <w:rPr>
          <w:lang w:val="en_US" w:bidi="en_US"/>
        </w:rPr>
      </w:r>
      <w:r>
        <w:rPr>
          <w:b/>
          <w:lang w:val="en_US" w:bidi="en_US"/>
        </w:rPr>
        <w:t>they approached…they were headed:</w:t>
      </w:r>
      <w:r>
        <w:rPr>
          <w:lang w:val="en_US" w:bidi="en_US"/>
        </w:rPr>
        <w:t xml:space="preserve"> The phrase </w:t>
      </w:r>
      <w:r>
        <w:rPr>
          <w:i/>
          <w:lang w:val="en_US" w:bidi="en_US"/>
        </w:rPr>
        <w:t>they approached</w:t>
      </w:r>
      <w:r>
        <w:rPr>
          <w:lang w:val="en_US" w:bidi="en_US"/>
        </w:rPr>
        <w:t xml:space="preserve"> indicates that the </w:t>
      </w:r>
      <w:r>
        <w:rPr>
          <w:u w:val="single"/>
          <w:lang w:val="en_US" w:bidi="en_US"/>
        </w:rPr>
        <w:t>three</w:t>
      </w:r>
      <w:r>
        <w:rPr>
          <w:lang w:val="en_US" w:bidi="en_US"/>
        </w:rPr>
        <w:t xml:space="preserve"> travelers, including Jesus, were coming near the village. However, the phrase </w:t>
      </w:r>
      <w:r>
        <w:rPr>
          <w:i/>
          <w:lang w:val="en_US" w:bidi="en_US"/>
        </w:rPr>
        <w:t>they were headed</w:t>
      </w:r>
      <w:r>
        <w:rPr>
          <w:lang w:val="en_US" w:bidi="en_US"/>
        </w:rPr>
        <w:t xml:space="preserve"> probably refers only to the two disciples, who lived in the village. In some languages it may be helpful to make this clear. For example:</w:t>
      </w:r>
    </w:p>
    <w:p>
      <w:pPr/>
      <w:r>
        <w:rPr>
          <w:lang w:val="en_US" w:bidi="en_US"/>
        </w:rPr>
      </w:r>
      <w:r>
        <w:rPr>
          <w:lang w:val="en_US" w:bidi="en_US"/>
        </w:rPr>
        <w:t xml:space="preserve">As they </w:t>
      </w:r>
      <w:r>
        <w:rPr>
          <w:lang w:val="en_US" w:bidi="en_US"/>
        </w:rPr>
        <w:t>all/three</w:t>
      </w:r>
      <w:r>
        <w:rPr>
          <w:lang w:val="en_US" w:bidi="en_US"/>
        </w:rPr>
        <w:t xml:space="preserve"> approached the village where the </w:t>
      </w:r>
      <w:r>
        <w:rPr>
          <w:lang w:val="en_US" w:bidi="en_US"/>
        </w:rPr>
        <w:t>two disciples</w:t>
      </w:r>
      <w:r>
        <w:rPr>
          <w:lang w:val="en_US" w:bidi="en_US"/>
        </w:rPr>
        <w:t xml:space="preserve"> were heading/stopping</w:t>
      </w:r>
    </w:p>
    <w:p>
      <w:pPr/>
      <w:r>
        <w:rPr>
          <w:lang w:val="en_US" w:bidi="en_US"/>
        </w:rPr>
      </w:r>
      <w:r>
        <w:rPr>
          <w:b/>
          <w:lang w:val="en_US" w:bidi="en_US"/>
        </w:rPr>
        <w:t>the village where they were headed:</w:t>
      </w:r>
      <w:r>
        <w:rPr>
          <w:lang w:val="en_US" w:bidi="en_US"/>
        </w:rPr>
        <w:t xml:space="preserve"> The phrase </w:t>
      </w:r>
      <w:r>
        <w:rPr>
          <w:i/>
          <w:lang w:val="en_US" w:bidi="en_US"/>
        </w:rPr>
        <w:t>the village where they were headed</w:t>
      </w:r>
      <w:r>
        <w:rPr>
          <w:lang w:val="en_US" w:bidi="en_US"/>
        </w:rPr>
        <w:t xml:space="preserve"> refers to the village of Emmaus. It was mentioned by name in 24:13. Refer to it here in a natural way in your language.</w:t>
      </w:r>
    </w:p>
    <w:p>
      <w:pPr>
        <w:pStyle w:val="Heading5"/>
      </w:pPr>
      <w:r>
        <w:rPr>
          <w:lang w:val="en_US" w:bidi="en_US"/>
        </w:rPr>
        <w:t>24:28b</w:t>
      </w:r>
    </w:p>
    <w:p>
      <w:pPr/>
      <w:r>
        <w:rPr>
          <w:lang w:val="en_US" w:bidi="en_US"/>
        </w:rPr>
      </w:r>
      <w:r>
        <w:rPr>
          <w:b/>
          <w:lang w:val="en_US" w:bidi="en_US"/>
        </w:rPr>
        <w:t>He seemed to be going farther.</w:t>
      </w:r>
    </w:p>
    <w:p>
      <w:pPr>
        <w:pStyle w:val="ListBullet"/>
        <w:spacing w:line="240" w:lineRule="auto"/>
        <w:ind w:left="720"/>
      </w:pPr>
      <w:r>
        <w:rPr>
          <w:lang w:val="en_US" w:bidi="en_US"/>
        </w:rPr>
      </w:r>
      <w:r>
        <w:rPr>
          <w:lang w:val="en_US" w:bidi="en_US"/>
        </w:rPr>
        <w:t>Jesus continued walking as if he were going further down that road.</w:t>
      </w:r>
    </w:p>
    <w:p>
      <w:pPr>
        <w:pStyle w:val="ListBullet"/>
        <w:spacing w:line="240" w:lineRule="auto"/>
        <w:ind w:left="720"/>
      </w:pPr>
      <w:r>
        <w:rPr>
          <w:lang w:val="en_US" w:bidi="en_US"/>
        </w:rPr>
      </w:r>
      <w:r>
        <w:rPr>
          <w:lang w:val="en_US" w:bidi="en_US"/>
        </w:rPr>
        <w:t>But</w:t>
      </w:r>
      <w:r>
        <w:rPr>
          <w:lang w:val="en_US" w:bidi="en_US"/>
        </w:rPr>
        <w:t xml:space="preserve"> it seemed/looked as if Jesus was going to continue his journey.</w:t>
      </w:r>
    </w:p>
    <w:p>
      <w:pPr/>
      <w:r>
        <w:rPr>
          <w:lang w:val="en_US" w:bidi="en_US"/>
        </w:rPr>
      </w:r>
      <w:r>
        <w:rPr>
          <w:b/>
          <w:lang w:val="en_US" w:bidi="en_US"/>
        </w:rPr>
        <w:t>He seemed to be going farther:</w:t>
      </w:r>
      <w:r>
        <w:rPr>
          <w:lang w:val="en_US" w:bidi="en_US"/>
        </w:rPr>
        <w:t xml:space="preserve"> The clause </w:t>
      </w:r>
      <w:r>
        <w:rPr>
          <w:i/>
          <w:lang w:val="en_US" w:bidi="en_US"/>
        </w:rPr>
        <w:t>He seemed to be going farther</w:t>
      </w:r>
      <w:r>
        <w:rPr>
          <w:lang w:val="en_US" w:bidi="en_US"/>
        </w:rPr>
        <w:t xml:space="preserve"> indicates that the disciples thought that Jesus intended to continue his journey. Jews often invited fellow Jews who were traveling to eat or lodge with them. It would not have been usual for Jesus to come with them if they had not invited him. It is best not to translate in a way that implies that Jesus was trying to deceive them.</w:t>
      </w:r>
    </w:p>
    <w:p>
      <w:pPr/>
      <w:r>
        <w:rPr>
          <w:lang w:val="en_US" w:bidi="en_US"/>
        </w:rPr>
      </w:r>
      <w:r>
        <w:rPr>
          <w:lang w:val="en_US" w:bidi="en_US"/>
        </w:rPr>
        <w:t>Some other ways to translate the clause are:</w:t>
      </w:r>
    </w:p>
    <w:p>
      <w:pPr/>
      <w:r>
        <w:rPr>
          <w:lang w:val="en_US" w:bidi="en_US"/>
        </w:rPr>
      </w:r>
      <w:r>
        <w:rPr>
          <w:lang w:val="en_US" w:bidi="en_US"/>
        </w:rPr>
        <w:t>Jesus seemed to be going farther (CEV)</w:t>
      </w:r>
    </w:p>
    <w:p>
      <w:pPr/>
      <w:r>
        <w:rPr>
          <w:lang w:val="en_US" w:bidi="en_US"/>
        </w:rPr>
      </w:r>
      <w:r>
        <w:rPr>
          <w:lang w:val="en_US" w:bidi="en_US"/>
        </w:rPr>
        <w:t>he walked ahead as if he were going on (NRSV)</w:t>
      </w:r>
      <w:r>
        <w:rPr>
          <w:lang w:val="en_US" w:bidi="en_US"/>
        </w:rPr>
      </w:r>
      <w:r>
        <w:rPr>
          <w:lang w:val="en_US" w:bidi="en_US"/>
        </w:rPr>
      </w:r>
    </w:p>
    <w:p>
      <w:pPr/>
      <w:r>
        <w:rPr>
          <w:lang w:val="en_US" w:bidi="en_US"/>
        </w:rPr>
      </w:r>
    </w:p>
    <w:p>
      <w:pPr>
        <w:pStyle w:val="Heading2"/>
      </w:pPr>
      <w:r>
        <w:rPr>
          <w:lang w:val="en_US" w:bidi="en_US"/>
        </w:rPr>
        <w:t>Luke 24:29</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24:29a</w:t>
      </w:r>
    </w:p>
    <w:p>
      <w:pPr/>
      <w:r>
        <w:rPr>
          <w:lang w:val="en_US" w:bidi="en_US"/>
        </w:rPr>
      </w:r>
      <w:r>
        <w:rPr>
          <w:b/>
          <w:lang w:val="en_US" w:bidi="en_US"/>
        </w:rPr>
        <w:t>But they pleaded with Him,</w:t>
      </w:r>
    </w:p>
    <w:p>
      <w:pPr>
        <w:pStyle w:val="ListBullet"/>
        <w:spacing w:line="240" w:lineRule="auto"/>
        <w:ind w:left="720"/>
      </w:pPr>
      <w:r>
        <w:rPr>
          <w:lang w:val="en_US" w:bidi="en_US"/>
        </w:rPr>
      </w:r>
      <w:r>
        <w:rPr>
          <w:lang w:val="en_US" w:bidi="en_US"/>
        </w:rPr>
        <w:t>But they</w:t>
      </w:r>
      <w:r>
        <w:rPr>
          <w:vertAlign w:val="superscript"/>
          <w:lang w:val="en_US" w:bidi="en_US"/>
        </w:rPr>
        <w:t>(dual)</w:t>
      </w:r>
      <w:r>
        <w:rPr>
          <w:lang w:val="en_US" w:bidi="en_US"/>
        </w:rPr>
        <w:t xml:space="preserve"> pleaded with him, saying,</w:t>
      </w:r>
    </w:p>
    <w:p>
      <w:pPr>
        <w:pStyle w:val="ListBullet"/>
        <w:spacing w:line="240" w:lineRule="auto"/>
        <w:ind w:left="720"/>
      </w:pPr>
      <w:r>
        <w:rPr>
          <w:lang w:val="en_US" w:bidi="en_US"/>
        </w:rPr>
      </w:r>
      <w:r>
        <w:rPr>
          <w:lang w:val="en_US" w:bidi="en_US"/>
        </w:rPr>
        <w:t>Then/And they urged him</w:t>
      </w:r>
    </w:p>
    <w:p>
      <w:pPr>
        <w:pStyle w:val="Heading5"/>
      </w:pPr>
      <w:r>
        <w:rPr>
          <w:lang w:val="en_US" w:bidi="en_US"/>
        </w:rPr>
        <w:t>24:29b</w:t>
      </w:r>
    </w:p>
    <w:p>
      <w:pPr/>
      <w:r>
        <w:rPr>
          <w:lang w:val="en_US" w:bidi="en_US"/>
        </w:rPr>
      </w:r>
      <w:r>
        <w:rPr>
          <w:b/>
          <w:lang w:val="en_US" w:bidi="en_US"/>
        </w:rPr>
        <w:t>“Stay with us,</w:t>
      </w:r>
    </w:p>
    <w:p>
      <w:pPr>
        <w:pStyle w:val="ListBullet"/>
        <w:spacing w:line="240" w:lineRule="auto"/>
        <w:ind w:left="720"/>
      </w:pPr>
      <w:r>
        <w:rPr>
          <w:lang w:val="en_US" w:bidi="en_US"/>
        </w:rPr>
      </w:r>
      <w:r>
        <w:rPr>
          <w:lang w:val="en_US" w:bidi="en_US"/>
        </w:rPr>
        <w:t>“</w:t>
      </w:r>
      <w:r>
        <w:rPr>
          <w:lang w:val="en_US" w:bidi="en_US"/>
        </w:rPr>
        <w:t>Please</w:t>
      </w:r>
      <w:r>
        <w:rPr>
          <w:lang w:val="en_US" w:bidi="en_US"/>
        </w:rPr>
        <w:t xml:space="preserve"> stay </w:t>
      </w:r>
      <w:r>
        <w:rPr>
          <w:lang w:val="en_US" w:bidi="en_US"/>
        </w:rPr>
        <w:t>overnight</w:t>
      </w:r>
      <w:r>
        <w:rPr>
          <w:lang w:val="en_US" w:bidi="en_US"/>
        </w:rPr>
        <w:t xml:space="preserve"> with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to come with them</w:t>
      </w:r>
      <w:r>
        <w:rPr>
          <w:vertAlign w:val="superscript"/>
          <w:lang w:val="en_US" w:bidi="en_US"/>
        </w:rPr>
        <w:t>(dual)</w:t>
      </w:r>
      <w:r>
        <w:rPr>
          <w:lang w:val="en_US" w:bidi="en_US"/>
        </w:rPr>
        <w:t xml:space="preserve"> and stay at their </w:t>
      </w:r>
      <w:r>
        <w:rPr>
          <w:lang w:val="en_US" w:bidi="en_US"/>
        </w:rPr>
        <w:t>house</w:t>
      </w:r>
      <w:r>
        <w:rPr>
          <w:lang w:val="en_US" w:bidi="en_US"/>
        </w:rPr>
        <w:t>,</w:t>
      </w:r>
    </w:p>
    <w:p>
      <w:pPr>
        <w:pStyle w:val="Heading5"/>
      </w:pPr>
      <w:r>
        <w:rPr>
          <w:lang w:val="en_US" w:bidi="en_US"/>
        </w:rPr>
        <w:t>24:29a–b</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is often translated as “and.” It introduces what the disciples did when they saw that Jesus seemed to be going further. They urged Jesus to stay with them. In some languages a conjunction is not needed. Connect this verse to the preceding one in a natural way in your language.</w:t>
      </w:r>
    </w:p>
    <w:p>
      <w:pPr/>
      <w:r>
        <w:rPr>
          <w:lang w:val="en_US" w:bidi="en_US"/>
        </w:rPr>
      </w:r>
      <w:r>
        <w:rPr>
          <w:b/>
          <w:lang w:val="en_US" w:bidi="en_US"/>
        </w:rPr>
        <w:t>they pleaded with Him, “Stay with us…”:</w:t>
      </w:r>
      <w:r>
        <w:rPr>
          <w:lang w:val="en_US" w:bidi="en_US"/>
        </w:rPr>
        <w:t xml:space="preserve"> This clause implies that the two disciples urged Jesus to come to their home and stay with them overnight. In Greek the quotation </w:t>
      </w:r>
      <w:r>
        <w:rPr>
          <w:i/>
          <w:lang w:val="en_US" w:bidi="en_US"/>
        </w:rPr>
        <w:t>Stay with us</w:t>
      </w:r>
      <w:r>
        <w:rPr>
          <w:lang w:val="en_US" w:bidi="en_US"/>
        </w:rPr>
        <w:t xml:space="preserve"> is introduced with a word that means “saying.” There are two ways to translate the quotation:</w:t>
      </w:r>
    </w:p>
    <w:p>
      <w:pPr>
        <w:pStyle w:val="ListBullet"/>
        <w:spacing w:line="240" w:lineRule="auto"/>
        <w:ind w:left="720"/>
      </w:pPr>
      <w:r>
        <w:rPr>
          <w:lang w:val="en_US" w:bidi="en_US"/>
        </w:rPr>
      </w:r>
      <w:r>
        <w:rPr>
          <w:lang w:val="en_US" w:bidi="en_US"/>
        </w:rPr>
        <w:t>Use direct speech. For example:</w:t>
      </w:r>
      <w:r>
        <w:rPr>
          <w:lang w:val="en_US" w:bidi="en_US"/>
        </w:rPr>
        <w:t>they urged Him, saying, “Stay with us…”</w:t>
      </w:r>
      <w:r>
        <w:rPr>
          <w:lang w:val="en_US" w:bidi="en_US"/>
        </w:rPr>
        <w:t>they begged him, “Stay the night with us…” (NLT)</w:t>
      </w:r>
    </w:p>
    <w:p>
      <w:pPr>
        <w:pStyle w:val="ListBullet"/>
        <w:spacing w:line="240" w:lineRule="auto"/>
        <w:ind w:left="720"/>
      </w:pPr>
      <w:r>
        <w:rPr>
          <w:lang w:val="en_US" w:bidi="en_US"/>
        </w:rPr>
      </w:r>
      <w:r>
        <w:rPr>
          <w:lang w:val="en_US" w:bidi="en_US"/>
        </w:rPr>
        <w:t>Use indirect speech. For example:</w:t>
      </w:r>
      <w:r>
        <w:rPr>
          <w:lang w:val="en_US" w:bidi="en_US"/>
        </w:rPr>
        <w:t>they pleaded that he would stay with them</w:t>
      </w:r>
      <w:r>
        <w:rPr>
          <w:lang w:val="en_US" w:bidi="en_US"/>
        </w:rPr>
        <w:t>they begged him to stay the night with them (NLT96)</w:t>
      </w:r>
    </w:p>
    <w:p>
      <w:pPr/>
      <w:r>
        <w:rPr>
          <w:lang w:val="en_US" w:bidi="en_US"/>
        </w:rPr>
      </w:r>
      <w:r>
        <w:rPr>
          <w:lang w:val="en_US" w:bidi="en_US"/>
        </w:rPr>
        <w:t>Use a natural way in your language for people to invite someone to come and stay overnight as a guest in their home.</w:t>
      </w:r>
    </w:p>
    <w:p>
      <w:pPr/>
      <w:r>
        <w:rPr>
          <w:lang w:val="en_US" w:bidi="en_US"/>
        </w:rPr>
      </w:r>
      <w:r>
        <w:rPr>
          <w:b/>
          <w:lang w:val="en_US" w:bidi="en_US"/>
        </w:rPr>
        <w:t>us:</w:t>
      </w:r>
      <w:r>
        <w:rPr>
          <w:lang w:val="en_US" w:bidi="en_US"/>
        </w:rPr>
        <w:t xml:space="preserve"> The word </w:t>
      </w:r>
      <w:r>
        <w:rPr>
          <w:i/>
          <w:lang w:val="en_US" w:bidi="en_US"/>
        </w:rPr>
        <w:t>us</w:t>
      </w:r>
      <w:r>
        <w:rPr>
          <w:lang w:val="en_US" w:bidi="en_US"/>
        </w:rPr>
        <w:t xml:space="preserve"> refers to the two men with whom Jesus was walking.</w:t>
      </w:r>
    </w:p>
    <w:p>
      <w:pPr>
        <w:pStyle w:val="Heading5"/>
      </w:pPr>
      <w:r>
        <w:rPr>
          <w:lang w:val="en_US" w:bidi="en_US"/>
        </w:rPr>
        <w:t>24:29c</w:t>
      </w:r>
    </w:p>
    <w:p>
      <w:pPr/>
      <w:r>
        <w:rPr>
          <w:lang w:val="en_US" w:bidi="en_US"/>
        </w:rPr>
      </w:r>
      <w:r>
        <w:rPr>
          <w:b/>
          <w:lang w:val="en_US" w:bidi="en_US"/>
        </w:rPr>
        <w:t>for it is nearly evening</w:t>
      </w:r>
    </w:p>
    <w:p>
      <w:pPr>
        <w:pStyle w:val="ListBullet"/>
        <w:spacing w:line="240" w:lineRule="auto"/>
        <w:ind w:left="720"/>
      </w:pPr>
      <w:r>
        <w:rPr>
          <w:lang w:val="en_US" w:bidi="en_US"/>
        </w:rPr>
      </w:r>
      <w:r>
        <w:rPr>
          <w:lang w:val="en_US" w:bidi="en_US"/>
        </w:rPr>
        <w:t>for it is almost evening.</w:t>
      </w:r>
    </w:p>
    <w:p>
      <w:pPr>
        <w:pStyle w:val="ListBullet"/>
        <w:spacing w:line="240" w:lineRule="auto"/>
        <w:ind w:left="720"/>
      </w:pPr>
      <w:r>
        <w:rPr>
          <w:lang w:val="en_US" w:bidi="en_US"/>
        </w:rPr>
      </w:r>
      <w:r>
        <w:rPr>
          <w:lang w:val="en_US" w:bidi="en_US"/>
        </w:rPr>
        <w:t>because it was getting toward sunset,</w:t>
      </w:r>
    </w:p>
    <w:p>
      <w:pPr>
        <w:pStyle w:val="Heading5"/>
      </w:pPr>
      <w:r>
        <w:rPr>
          <w:lang w:val="en_US" w:bidi="en_US"/>
        </w:rPr>
        <w:t>24:29d</w:t>
      </w:r>
    </w:p>
    <w:p>
      <w:pPr/>
      <w:r>
        <w:rPr>
          <w:lang w:val="en_US" w:bidi="en_US"/>
        </w:rPr>
      </w:r>
      <w:r>
        <w:rPr>
          <w:b/>
          <w:lang w:val="en_US" w:bidi="en_US"/>
        </w:rPr>
        <w:t>and the day is almost over.”</w:t>
      </w:r>
    </w:p>
    <w:p>
      <w:pPr>
        <w:pStyle w:val="ListBullet"/>
        <w:spacing w:line="240" w:lineRule="auto"/>
        <w:ind w:left="720"/>
      </w:pPr>
      <w:r>
        <w:rPr>
          <w:lang w:val="en_US" w:bidi="en_US"/>
        </w:rPr>
      </w:r>
      <w:r>
        <w:rPr>
          <w:lang w:val="en_US" w:bidi="en_US"/>
        </w:rPr>
        <w:t>The day will soon come to an end.”</w:t>
      </w:r>
    </w:p>
    <w:p>
      <w:pPr>
        <w:pStyle w:val="ListBullet"/>
        <w:spacing w:line="240" w:lineRule="auto"/>
        <w:ind w:left="720"/>
      </w:pPr>
      <w:r>
        <w:rPr>
          <w:lang w:val="en_US" w:bidi="en_US"/>
        </w:rPr>
      </w:r>
      <w:r>
        <w:rPr>
          <w:lang w:val="en_US" w:bidi="en_US"/>
        </w:rPr>
        <w:t>and it would soon be dark.</w:t>
      </w:r>
    </w:p>
    <w:p>
      <w:pPr>
        <w:pStyle w:val="Heading5"/>
      </w:pPr>
      <w:r>
        <w:rPr>
          <w:lang w:val="en_US" w:bidi="en_US"/>
        </w:rPr>
        <w:t>24:29c–d</w:t>
      </w:r>
    </w:p>
    <w:p>
      <w:pPr/>
      <w:r>
        <w:rPr>
          <w:lang w:val="en_US" w:bidi="en_US"/>
        </w:rPr>
      </w:r>
      <w:r>
        <w:rPr>
          <w:b/>
          <w:lang w:val="en_US" w:bidi="en_US"/>
        </w:rPr>
        <w:t>for it is nearly evening and the day is almost over:</w:t>
      </w:r>
      <w:r>
        <w:rPr>
          <w:lang w:val="en_US" w:bidi="en_US"/>
        </w:rPr>
        <w:t xml:space="preserve"> Here the word </w:t>
      </w:r>
      <w:r>
        <w:rPr>
          <w:i/>
          <w:lang w:val="en_US" w:bidi="en_US"/>
        </w:rPr>
        <w:t>for</w:t>
      </w:r>
      <w:r>
        <w:rPr>
          <w:lang w:val="en_US" w:bidi="en_US"/>
        </w:rPr>
        <w:t xml:space="preserve"> introduces the disciples’ reason for inviting Jesus to stay at their house. The disciples emphasized the reason by saying it in two different ways. The clauses </w:t>
      </w:r>
      <w:r>
        <w:rPr>
          <w:i/>
          <w:lang w:val="en_US" w:bidi="en_US"/>
        </w:rPr>
        <w:t>it is nearly evening</w:t>
      </w:r>
      <w:r>
        <w:rPr>
          <w:lang w:val="en_US" w:bidi="en_US"/>
        </w:rPr>
        <w:t xml:space="preserve"> and </w:t>
      </w:r>
      <w:r>
        <w:rPr>
          <w:i/>
          <w:lang w:val="en_US" w:bidi="en_US"/>
        </w:rPr>
        <w:t>the day is almost over</w:t>
      </w:r>
      <w:r>
        <w:rPr>
          <w:lang w:val="en_US" w:bidi="en_US"/>
        </w:rPr>
        <w:t xml:space="preserve"> have the same meaning. They indicate that evening was coming, and it would soon be dark. It was dangerous to travel on the roads in the dark.</w:t>
      </w:r>
    </w:p>
    <w:p>
      <w:pPr/>
      <w:r>
        <w:rPr>
          <w:lang w:val="en_US" w:bidi="en_US"/>
        </w:rPr>
      </w:r>
      <w:r>
        <w:rPr>
          <w:lang w:val="en_US" w:bidi="en_US"/>
        </w:rPr>
        <w:t>Some other ways to translate this reason are:</w:t>
      </w:r>
    </w:p>
    <w:p>
      <w:pPr/>
      <w:r>
        <w:rPr>
          <w:lang w:val="en_US" w:bidi="en_US"/>
        </w:rPr>
      </w:r>
      <w:r>
        <w:rPr>
          <w:lang w:val="en_US" w:bidi="en_US"/>
        </w:rPr>
        <w:t>since it is getting late (NLT)</w:t>
      </w:r>
    </w:p>
    <w:p>
      <w:pPr/>
      <w:r>
        <w:rPr>
          <w:lang w:val="en_US" w:bidi="en_US"/>
        </w:rPr>
      </w:r>
      <w:r>
        <w:rPr>
          <w:lang w:val="en_US" w:bidi="en_US"/>
        </w:rPr>
        <w:t>because it is late; it is almost night (NCV)</w:t>
      </w:r>
    </w:p>
    <w:p>
      <w:pPr/>
      <w:r>
        <w:rPr>
          <w:lang w:val="en_US" w:bidi="en_US"/>
        </w:rPr>
      </w:r>
      <w:r>
        <w:rPr>
          <w:lang w:val="en_US" w:bidi="en_US"/>
        </w:rPr>
        <w:t>the day is almost over and it is getting dark (GNT)</w:t>
      </w:r>
    </w:p>
    <w:p>
      <w:pPr/>
      <w:r>
        <w:rPr>
          <w:lang w:val="en_US" w:bidi="en_US"/>
        </w:rPr>
      </w:r>
      <w:r>
        <w:rPr>
          <w:lang w:val="en_US" w:bidi="en_US"/>
        </w:rPr>
        <w:t>In some languages it may be natural to say this reason only once. For example:</w:t>
      </w:r>
    </w:p>
    <w:p>
      <w:pPr/>
      <w:r>
        <w:rPr>
          <w:lang w:val="en_US" w:bidi="en_US"/>
        </w:rPr>
      </w:r>
      <w:r>
        <w:rPr>
          <w:lang w:val="en_US" w:bidi="en_US"/>
        </w:rPr>
        <w:t>It will soon be dark.</w:t>
      </w:r>
    </w:p>
    <w:p>
      <w:pPr/>
      <w:r>
        <w:rPr>
          <w:lang w:val="en_US" w:bidi="en_US"/>
        </w:rPr>
      </w:r>
      <w:r>
        <w:rPr>
          <w:lang w:val="en_US" w:bidi="en_US"/>
        </w:rPr>
        <w:t>See also the General Comment on 24:29a–e below for another translation suggestion.</w:t>
      </w:r>
    </w:p>
    <w:p>
      <w:pPr>
        <w:pStyle w:val="Heading5"/>
      </w:pPr>
      <w:r>
        <w:rPr>
          <w:lang w:val="en_US" w:bidi="en_US"/>
        </w:rPr>
        <w:t>24:29e</w:t>
      </w:r>
    </w:p>
    <w:p>
      <w:pPr/>
      <w:r>
        <w:rPr>
          <w:lang w:val="en_US" w:bidi="en_US"/>
        </w:rPr>
      </w:r>
      <w:r>
        <w:rPr>
          <w:b/>
          <w:lang w:val="en_US" w:bidi="en_US"/>
        </w:rPr>
        <w:t>So He went in to stay with them.</w:t>
      </w:r>
    </w:p>
    <w:p>
      <w:pPr>
        <w:pStyle w:val="ListBullet"/>
        <w:spacing w:line="240" w:lineRule="auto"/>
        <w:ind w:left="720"/>
      </w:pPr>
      <w:r>
        <w:rPr>
          <w:lang w:val="en_US" w:bidi="en_US"/>
        </w:rPr>
      </w:r>
      <w:r>
        <w:rPr>
          <w:lang w:val="en_US" w:bidi="en_US"/>
        </w:rPr>
        <w:t xml:space="preserve">And/Then Jesus went in with them to stay </w:t>
      </w:r>
      <w:r>
        <w:rPr>
          <w:lang w:val="en_US" w:bidi="en_US"/>
        </w:rPr>
        <w:t>awhile</w:t>
      </w:r>
      <w:r>
        <w:rPr>
          <w:lang w:val="en_US" w:bidi="en_US"/>
        </w:rPr>
        <w:t>.</w:t>
      </w:r>
    </w:p>
    <w:p>
      <w:pPr>
        <w:pStyle w:val="ListBullet"/>
        <w:spacing w:line="240" w:lineRule="auto"/>
        <w:ind w:left="720"/>
      </w:pPr>
      <w:r>
        <w:rPr>
          <w:lang w:val="en_US" w:bidi="en_US"/>
        </w:rPr>
      </w:r>
      <w:r>
        <w:rPr>
          <w:lang w:val="en_US" w:bidi="en_US"/>
        </w:rPr>
        <w:t xml:space="preserve">So he/Jesus came into </w:t>
      </w:r>
      <w:r>
        <w:rPr>
          <w:lang w:val="en_US" w:bidi="en_US"/>
        </w:rPr>
        <w:t>their house</w:t>
      </w:r>
      <w:r>
        <w:rPr>
          <w:lang w:val="en_US" w:bidi="en_US"/>
        </w:rPr>
        <w:t xml:space="preserve"> with them</w:t>
      </w:r>
      <w:r>
        <w:rPr>
          <w:vertAlign w:val="superscript"/>
          <w:lang w:val="en_US" w:bidi="en_US"/>
        </w:rPr>
        <w:t>(dual)</w:t>
      </w:r>
      <w:r>
        <w:rPr>
          <w:lang w:val="en_US" w:bidi="en_US"/>
        </w:rPr>
        <w:t>.</w:t>
      </w:r>
    </w:p>
    <w:p>
      <w:pPr>
        <w:pStyle w:val="ListBullet"/>
        <w:spacing w:line="240" w:lineRule="auto"/>
        <w:ind w:left="720"/>
      </w:pPr>
      <w:r>
        <w:rPr>
          <w:lang w:val="en_US" w:bidi="en_US"/>
        </w:rPr>
      </w:r>
      <w:r>
        <w:rPr>
          <w:lang w:val="en_US" w:bidi="en_US"/>
        </w:rPr>
        <w:t>So he went home with them. (NLT)</w:t>
      </w:r>
    </w:p>
    <w:p>
      <w:pPr/>
      <w:r>
        <w:rPr>
          <w:lang w:val="en_US" w:bidi="en_US"/>
        </w:rPr>
      </w:r>
      <w:r>
        <w:rPr>
          <w:b/>
          <w:lang w:val="en_US" w:bidi="en_US"/>
        </w:rPr>
        <w:t>So He went in to stay with them:</w:t>
      </w:r>
      <w:r>
        <w:rPr>
          <w:lang w:val="en_US" w:bidi="en_US"/>
        </w:rPr>
        <w:t xml:space="preserve"> This clause tells the result of the disciples’ urging. Jesus went with them to their house and came into it to stay awhile with them. Verse 31 shows that he actually did not stay for the whole night. Some other ways to translate the clause are:</w:t>
      </w:r>
    </w:p>
    <w:p>
      <w:pPr/>
      <w:r>
        <w:rPr>
          <w:lang w:val="en_US" w:bidi="en_US"/>
        </w:rPr>
      </w:r>
      <w:r>
        <w:rPr>
          <w:lang w:val="en_US" w:bidi="en_US"/>
        </w:rPr>
        <w:t>And/Then he went to stay with them.</w:t>
      </w:r>
    </w:p>
    <w:p>
      <w:pPr/>
      <w:r>
        <w:rPr>
          <w:lang w:val="en_US" w:bidi="en_US"/>
        </w:rPr>
      </w:r>
      <w:r>
        <w:rPr>
          <w:lang w:val="en_US" w:bidi="en_US"/>
        </w:rPr>
        <w:t xml:space="preserve">When they said that, Jesus </w:t>
      </w:r>
      <w:r>
        <w:rPr>
          <w:lang w:val="en_US" w:bidi="en_US"/>
        </w:rPr>
        <w:t>went with them to their house and</w:t>
      </w:r>
      <w:r>
        <w:rPr>
          <w:lang w:val="en_US" w:bidi="en_US"/>
        </w:rPr>
        <w:t xml:space="preserve"> came in to stay </w:t>
      </w:r>
      <w:r>
        <w:rPr>
          <w:lang w:val="en_US" w:bidi="en_US"/>
        </w:rPr>
        <w:t>awhile</w:t>
      </w:r>
      <w:r>
        <w:rPr>
          <w:lang w:val="en_US" w:bidi="en_US"/>
        </w:rPr>
        <w:t>.</w:t>
      </w:r>
    </w:p>
    <w:p>
      <w:pPr/>
      <w:r>
        <w:rPr>
          <w:lang w:val="en_US" w:bidi="en_US"/>
        </w:rPr>
      </w:r>
      <w:r>
        <w:rPr>
          <w:lang w:val="en_US" w:bidi="en_US"/>
        </w:rPr>
        <w:t>So Jesus went into the house to stay with them. (CEV)</w:t>
      </w:r>
    </w:p>
    <w:p>
      <w:pPr>
        <w:pStyle w:val="Heading6"/>
      </w:pPr>
      <w:r>
        <w:rPr>
          <w:b/>
          <w:lang w:val="en_US" w:bidi="en_US"/>
        </w:rPr>
        <w:t>General Comment on 24:29a–e</w:t>
      </w:r>
    </w:p>
    <w:p>
      <w:pPr/>
      <w:r>
        <w:rPr>
          <w:lang w:val="en_US" w:bidi="en_US"/>
        </w:rPr>
      </w:r>
      <w:r>
        <w:rPr>
          <w:lang w:val="en_US" w:bidi="en_US"/>
        </w:rPr>
        <w:t>In this verse the disciples asked Jesus to stay with them in 24:29b before they gave the reason for their request in 24:29c–d. In some languages it is more natural to change the order so that the reason comes before their request. For example:</w:t>
      </w:r>
    </w:p>
    <w:p>
      <w:pPr/>
      <w:r>
        <w:rPr>
          <w:lang w:val="en_US" w:bidi="en_US"/>
        </w:rPr>
      </w:r>
      <w:r>
        <w:rPr>
          <w:vertAlign w:val="superscript"/>
          <w:lang w:val="en_US" w:bidi="en_US"/>
        </w:rPr>
        <w:t>29a</w:t>
      </w:r>
      <w:r>
        <w:rPr>
          <w:lang w:val="en_US" w:bidi="en_US"/>
        </w:rPr>
        <w:t xml:space="preserve">But they pleaded with him, saying, </w:t>
      </w:r>
      <w:r>
        <w:rPr>
          <w:vertAlign w:val="superscript"/>
          <w:lang w:val="en_US" w:bidi="en_US"/>
        </w:rPr>
        <w:t>29c</w:t>
      </w:r>
      <w:r>
        <w:rPr>
          <w:lang w:val="en_US" w:bidi="en_US"/>
        </w:rPr>
        <w:t xml:space="preserve">“The sun will soon set, </w:t>
      </w:r>
      <w:r>
        <w:rPr>
          <w:vertAlign w:val="superscript"/>
          <w:lang w:val="en_US" w:bidi="en_US"/>
        </w:rPr>
        <w:t>29d</w:t>
      </w:r>
      <w:r>
        <w:rPr>
          <w:lang w:val="en_US" w:bidi="en_US"/>
        </w:rPr>
        <w:t xml:space="preserve">and it will be dark, </w:t>
      </w:r>
      <w:r>
        <w:rPr>
          <w:vertAlign w:val="superscript"/>
          <w:lang w:val="en_US" w:bidi="en_US"/>
        </w:rPr>
        <w:t>29b</w:t>
      </w:r>
      <w:r>
        <w:rPr>
          <w:lang w:val="en_US" w:bidi="en_US"/>
        </w:rPr>
        <w:t xml:space="preserve">so please stay with us.” </w:t>
      </w:r>
      <w:r>
        <w:rPr>
          <w:vertAlign w:val="superscript"/>
          <w:lang w:val="en_US" w:bidi="en_US"/>
        </w:rPr>
        <w:t>29e</w:t>
      </w:r>
      <w:r>
        <w:rPr>
          <w:lang w:val="en_US" w:bidi="en_US"/>
        </w:rPr>
        <w:t>So Jesus went in to stay with them.</w:t>
      </w:r>
      <w:r>
        <w:rPr>
          <w:lang w:val="en_US" w:bidi="en_US"/>
        </w:rPr>
      </w:r>
      <w:r>
        <w:rPr>
          <w:lang w:val="en_US" w:bidi="en_US"/>
        </w:rPr>
      </w:r>
    </w:p>
    <w:p>
      <w:pPr/>
      <w:r>
        <w:rPr>
          <w:lang w:val="en_US" w:bidi="en_US"/>
        </w:rPr>
      </w:r>
    </w:p>
    <w:p>
      <w:pPr>
        <w:pStyle w:val="Heading2"/>
      </w:pPr>
      <w:r>
        <w:rPr>
          <w:lang w:val="en_US" w:bidi="en_US"/>
        </w:rPr>
        <w:t>Luke 24:30</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24:30a</w:t>
      </w:r>
    </w:p>
    <w:p>
      <w:pPr/>
      <w:r>
        <w:rPr>
          <w:lang w:val="en_US" w:bidi="en_US"/>
        </w:rPr>
      </w:r>
      <w:r>
        <w:rPr>
          <w:b/>
          <w:lang w:val="en_US" w:bidi="en_US"/>
        </w:rPr>
        <w:t>While He was reclining at the table with them,</w:t>
      </w:r>
    </w:p>
    <w:p>
      <w:pPr>
        <w:pStyle w:val="ListBullet"/>
        <w:spacing w:line="240" w:lineRule="auto"/>
        <w:ind w:left="720"/>
      </w:pPr>
      <w:r>
        <w:rPr>
          <w:lang w:val="en_US" w:bidi="en_US"/>
        </w:rPr>
      </w:r>
      <w:r>
        <w:rPr>
          <w:lang w:val="en_US" w:bidi="en_US"/>
        </w:rPr>
        <w:t>When it was time to eat with them,</w:t>
      </w:r>
    </w:p>
    <w:p>
      <w:pPr>
        <w:pStyle w:val="ListBullet"/>
        <w:spacing w:line="240" w:lineRule="auto"/>
        <w:ind w:left="720"/>
      </w:pPr>
      <w:r>
        <w:rPr>
          <w:lang w:val="en_US" w:bidi="en_US"/>
        </w:rPr>
      </w:r>
      <w:r>
        <w:rPr>
          <w:lang w:val="en_US" w:bidi="en_US"/>
        </w:rPr>
        <w:t>After awhile, he sat down to eat with them</w:t>
      </w:r>
      <w:r>
        <w:rPr>
          <w:vertAlign w:val="superscript"/>
          <w:lang w:val="en_US" w:bidi="en_US"/>
        </w:rPr>
        <w:t>(dual)</w:t>
      </w:r>
      <w:r>
        <w:rPr>
          <w:lang w:val="en_US" w:bidi="en_US"/>
        </w:rPr>
        <w:t>,</w:t>
      </w:r>
    </w:p>
    <w:p>
      <w:pPr/>
      <w:r>
        <w:rPr>
          <w:lang w:val="en_US" w:bidi="en_US"/>
        </w:rPr>
      </w:r>
      <w:r>
        <w:rPr>
          <w:lang w:val="en_US" w:bidi="en_US"/>
        </w:rPr>
        <w:t>In Greek, 24:30a begins with a phrase that means “Then/And it happened that.” Luke used this phrase to introduce what happened in this verse. In this context the phrase may imply that some time passed before they sat down to eat. It may also imply that the events in 24:30b–c are important in this section. Introduce the verse in a natural way in your language.</w:t>
      </w:r>
    </w:p>
    <w:p>
      <w:pPr/>
      <w:r>
        <w:rPr>
          <w:lang w:val="en_US" w:bidi="en_US"/>
        </w:rPr>
      </w:r>
      <w:r>
        <w:rPr>
          <w:b/>
          <w:lang w:val="en_US" w:bidi="en_US"/>
        </w:rPr>
        <w:t>While He was reclining at the table with them:</w:t>
      </w:r>
      <w:r>
        <w:rPr>
          <w:lang w:val="en_US" w:bidi="en_US"/>
        </w:rPr>
        <w:t xml:space="preserve"> The clause that the BSB translates as </w:t>
      </w:r>
      <w:r>
        <w:rPr>
          <w:i/>
          <w:lang w:val="en_US" w:bidi="en_US"/>
        </w:rPr>
        <w:t>He was reclining at the table with them</w:t>
      </w:r>
      <w:r>
        <w:rPr>
          <w:lang w:val="en_US" w:bidi="en_US"/>
        </w:rPr>
        <w:t xml:space="preserve"> indicates that Jesus was about to eat with his two followers.</w:t>
      </w:r>
      <w:r>
        <w:rPr>
          <w:lang w:val="en_US" w:bidi="en_US"/>
        </w:rPr>
        <w:t>This clause is more literally “he was reclining with them.” In that culture people often lay down around a low table to eat a formal meal. However, the word “reclining” is also used as a more general expression for eating together. It was used this way in 9:14–15, where Jesus fed a crowd of more than 5000 people. It is also used in 7:36 and 14:8. If people in your culture do not recline to eat, it is best to use a natural way in your language to refer to eating together.</w:t>
      </w:r>
      <w:r>
        <w:rPr>
          <w:lang w:val="en_US" w:bidi="en_US"/>
        </w:rPr>
        <w:t xml:space="preserve"> In Greek there is no word for </w:t>
      </w:r>
      <w:r>
        <w:rPr>
          <w:i/>
          <w:lang w:val="en_US" w:bidi="en_US"/>
        </w:rPr>
        <w:t>table</w:t>
      </w:r>
      <w:r>
        <w:rPr>
          <w:lang w:val="en_US" w:bidi="en_US"/>
        </w:rPr>
        <w:t xml:space="preserve"> here, but it is fine to include it if it is natural in your language. Some other ways to translate the clause are:</w:t>
      </w:r>
    </w:p>
    <w:p>
      <w:pPr/>
      <w:r>
        <w:rPr>
          <w:lang w:val="en_US" w:bidi="en_US"/>
        </w:rPr>
      </w:r>
      <w:r>
        <w:rPr>
          <w:lang w:val="en_US" w:bidi="en_US"/>
        </w:rPr>
        <w:t>While he was at the table with them (GW)</w:t>
      </w:r>
    </w:p>
    <w:p>
      <w:pPr/>
      <w:r>
        <w:rPr>
          <w:lang w:val="en_US" w:bidi="en_US"/>
        </w:rPr>
      </w:r>
      <w:r>
        <w:rPr>
          <w:lang w:val="en_US" w:bidi="en_US"/>
        </w:rPr>
        <w:t>After a while, as he was about to eat with them</w:t>
      </w:r>
    </w:p>
    <w:p>
      <w:pPr/>
      <w:r>
        <w:rPr>
          <w:lang w:val="en_US" w:bidi="en_US"/>
        </w:rPr>
      </w:r>
      <w:r>
        <w:rPr>
          <w:lang w:val="en_US" w:bidi="en_US"/>
        </w:rPr>
        <w:t>He sat down to eat with them (GNT)</w:t>
      </w:r>
    </w:p>
    <w:p>
      <w:pPr>
        <w:pStyle w:val="Heading5"/>
      </w:pPr>
      <w:r>
        <w:rPr>
          <w:lang w:val="en_US" w:bidi="en_US"/>
        </w:rPr>
        <w:t>24:30b</w:t>
      </w:r>
    </w:p>
    <w:p>
      <w:pPr/>
      <w:r>
        <w:rPr>
          <w:lang w:val="en_US" w:bidi="en_US"/>
        </w:rPr>
      </w:r>
      <w:r>
        <w:rPr>
          <w:b/>
          <w:lang w:val="en_US" w:bidi="en_US"/>
        </w:rPr>
        <w:t>He took bread, spoke a blessing</w:t>
      </w:r>
    </w:p>
    <w:p>
      <w:pPr>
        <w:pStyle w:val="ListBullet"/>
        <w:spacing w:line="240" w:lineRule="auto"/>
        <w:ind w:left="720"/>
      </w:pPr>
      <w:r>
        <w:rPr>
          <w:lang w:val="en_US" w:bidi="en_US"/>
        </w:rPr>
      </w:r>
      <w:r>
        <w:rPr>
          <w:lang w:val="en_US" w:bidi="en_US"/>
        </w:rPr>
        <w:t xml:space="preserve">Jesus, taking </w:t>
      </w:r>
      <w:r>
        <w:rPr>
          <w:lang w:val="en_US" w:bidi="en_US"/>
        </w:rPr>
        <w:t>some</w:t>
      </w:r>
      <w:r>
        <w:rPr>
          <w:lang w:val="en_US" w:bidi="en_US"/>
        </w:rPr>
        <w:t xml:space="preserve"> bread </w:t>
      </w:r>
      <w:r>
        <w:rPr>
          <w:lang w:val="en_US" w:bidi="en_US"/>
        </w:rPr>
        <w:t>in his hands</w:t>
      </w:r>
      <w:r>
        <w:rPr>
          <w:lang w:val="en_US" w:bidi="en_US"/>
        </w:rPr>
        <w:t xml:space="preserve">, thanked </w:t>
      </w:r>
      <w:r>
        <w:rPr>
          <w:lang w:val="en_US" w:bidi="en_US"/>
        </w:rPr>
        <w:t>God</w:t>
      </w:r>
      <w:r>
        <w:rPr>
          <w:lang w:val="en_US" w:bidi="en_US"/>
        </w:rPr>
        <w:t>,</w:t>
      </w:r>
    </w:p>
    <w:p>
      <w:pPr>
        <w:pStyle w:val="ListBullet"/>
        <w:spacing w:line="240" w:lineRule="auto"/>
        <w:ind w:left="720"/>
      </w:pPr>
      <w:r>
        <w:rPr>
          <w:lang w:val="en_US" w:bidi="en_US"/>
        </w:rPr>
      </w:r>
      <w:r>
        <w:rPr>
          <w:lang w:val="en_US" w:bidi="en_US"/>
        </w:rPr>
        <w:t xml:space="preserve">and taking/lifting </w:t>
      </w:r>
      <w:r>
        <w:rPr>
          <w:lang w:val="en_US" w:bidi="en_US"/>
        </w:rPr>
        <w:t>a loaf of</w:t>
      </w:r>
      <w:r>
        <w:rPr>
          <w:lang w:val="en_US" w:bidi="en_US"/>
        </w:rPr>
        <w:t xml:space="preserve"> bread </w:t>
      </w:r>
      <w:r>
        <w:rPr>
          <w:lang w:val="en_US" w:bidi="en_US"/>
        </w:rPr>
        <w:t>from the table</w:t>
      </w:r>
      <w:r>
        <w:rPr>
          <w:lang w:val="en_US" w:bidi="en_US"/>
        </w:rPr>
        <w:t xml:space="preserve">, he thanked </w:t>
      </w:r>
      <w:r>
        <w:rPr>
          <w:lang w:val="en_US" w:bidi="en_US"/>
        </w:rPr>
        <w:t>God</w:t>
      </w:r>
      <w:r>
        <w:rPr>
          <w:lang w:val="en_US" w:bidi="en_US"/>
        </w:rPr>
        <w:t xml:space="preserve"> </w:t>
      </w:r>
      <w:r>
        <w:rPr>
          <w:lang w:val="en_US" w:bidi="en_US"/>
        </w:rPr>
        <w:t>for it</w:t>
      </w:r>
      <w:r>
        <w:rPr>
          <w:lang w:val="en_US" w:bidi="en_US"/>
        </w:rPr>
        <w:t>.</w:t>
      </w:r>
    </w:p>
    <w:p>
      <w:pPr>
        <w:pStyle w:val="Heading5"/>
      </w:pPr>
      <w:r>
        <w:rPr>
          <w:lang w:val="en_US" w:bidi="en_US"/>
        </w:rPr>
        <w:t>24:30b–c</w:t>
      </w:r>
    </w:p>
    <w:p>
      <w:pPr/>
      <w:r>
        <w:rPr>
          <w:lang w:val="en_US" w:bidi="en_US"/>
        </w:rPr>
      </w:r>
      <w:r>
        <w:rPr>
          <w:lang w:val="en_US" w:bidi="en_US"/>
        </w:rPr>
        <w:t>The four actions in 24:30b–c are very similar to the ones in 9:16 and 22:19. In 9:16 where Jesus fed more than five thousand people, he did these actions. He did them again in 22:19 when he gave the bread to his disciples at the Passover meal. You should translate 24:30b–c in a way similar to the way you translated those verses.</w:t>
      </w:r>
    </w:p>
    <w:p>
      <w:pPr/>
      <w:r>
        <w:rPr>
          <w:lang w:val="en_US" w:bidi="en_US"/>
        </w:rPr>
      </w:r>
      <w:r>
        <w:rPr>
          <w:lang w:val="en_US" w:bidi="en_US"/>
        </w:rPr>
        <w:t>In the context of 24:30, Jesus was a guest in the disciples’ house. It was the custom for the host to thank God for the bread and then distribute it. The disciples probably asked Jesus to do this to honor him. They realized that he was a religious teacher because he had explained the Scriptures to them (24:27).</w:t>
      </w:r>
    </w:p>
    <w:p>
      <w:pPr/>
      <w:r>
        <w:rPr>
          <w:lang w:val="en_US" w:bidi="en_US"/>
        </w:rPr>
      </w:r>
      <w:r>
        <w:rPr>
          <w:b/>
          <w:lang w:val="en_US" w:bidi="en_US"/>
        </w:rPr>
        <w:t>He took bread:</w:t>
      </w:r>
      <w:r>
        <w:rPr>
          <w:lang w:val="en_US" w:bidi="en_US"/>
        </w:rPr>
        <w:t xml:space="preserve"> The clause </w:t>
      </w:r>
      <w:r>
        <w:rPr>
          <w:i/>
          <w:lang w:val="en_US" w:bidi="en_US"/>
        </w:rPr>
        <w:t>He took bread</w:t>
      </w:r>
      <w:r>
        <w:rPr>
          <w:lang w:val="en_US" w:bidi="en_US"/>
        </w:rPr>
        <w:t xml:space="preserve"> indicates that Jesus took bread from the table and lifted it in his hands. Some other ways to translate it are:</w:t>
      </w:r>
    </w:p>
    <w:p>
      <w:pPr/>
      <w:r>
        <w:rPr>
          <w:lang w:val="en_US" w:bidi="en_US"/>
        </w:rPr>
      </w:r>
      <w:r>
        <w:rPr>
          <w:lang w:val="en_US" w:bidi="en_US"/>
        </w:rPr>
        <w:t xml:space="preserve">He took some bread </w:t>
      </w:r>
      <w:r>
        <w:rPr>
          <w:lang w:val="en_US" w:bidi="en_US"/>
        </w:rPr>
        <w:t>in his hands</w:t>
      </w:r>
    </w:p>
    <w:p>
      <w:pPr/>
      <w:r>
        <w:rPr>
          <w:lang w:val="en_US" w:bidi="en_US"/>
        </w:rPr>
      </w:r>
      <w:r>
        <w:rPr>
          <w:lang w:val="en_US" w:bidi="en_US"/>
        </w:rPr>
        <w:t xml:space="preserve">He took bread </w:t>
      </w:r>
      <w:r>
        <w:rPr>
          <w:lang w:val="en_US" w:bidi="en_US"/>
        </w:rPr>
        <w:t>from the table</w:t>
      </w:r>
    </w:p>
    <w:p>
      <w:pPr/>
      <w:r>
        <w:rPr>
          <w:lang w:val="en_US" w:bidi="en_US"/>
        </w:rPr>
      </w:r>
      <w:r>
        <w:rPr>
          <w:lang w:val="en_US" w:bidi="en_US"/>
        </w:rPr>
        <w:t>He took a loaf of bread</w:t>
      </w:r>
    </w:p>
    <w:p>
      <w:pPr/>
      <w:r>
        <w:rPr>
          <w:lang w:val="en_US" w:bidi="en_US"/>
        </w:rPr>
      </w:r>
      <w:r>
        <w:rPr>
          <w:lang w:val="en_US" w:bidi="en_US"/>
        </w:rPr>
        <w:t>This same phrase occurs in 22:19. You may translate it in a similar way here.</w:t>
      </w:r>
    </w:p>
    <w:p>
      <w:pPr/>
      <w:r>
        <w:rPr>
          <w:lang w:val="en_US" w:bidi="en_US"/>
        </w:rPr>
      </w:r>
      <w:r>
        <w:rPr>
          <w:b/>
          <w:lang w:val="en_US" w:bidi="en_US"/>
        </w:rPr>
        <w:t>bread:</w:t>
      </w:r>
      <w:r>
        <w:rPr>
          <w:lang w:val="en_US" w:bidi="en_US"/>
        </w:rPr>
        <w:t xml:space="preserve"> The text does not specify what type of bread was used here. It may have been unleavened bread as it was in 22:19. However, since the festivals of Passover and Unleavened Bread were over, it may not have been unleavened. If you have a general word for </w:t>
      </w:r>
      <w:r>
        <w:rPr>
          <w:i/>
          <w:lang w:val="en_US" w:bidi="en_US"/>
        </w:rPr>
        <w:t>bread</w:t>
      </w:r>
      <w:r>
        <w:rPr>
          <w:lang w:val="en_US" w:bidi="en_US"/>
        </w:rPr>
        <w:t>, you may use it here.</w:t>
      </w:r>
    </w:p>
    <w:p>
      <w:pPr/>
      <w:r>
        <w:rPr>
          <w:lang w:val="en_US" w:bidi="en_US"/>
        </w:rPr>
      </w:r>
      <w:r>
        <w:rPr>
          <w:b/>
          <w:lang w:val="en_US" w:bidi="en_US"/>
        </w:rPr>
        <w:t>spoke a blessing:</w:t>
      </w:r>
      <w:r>
        <w:rPr>
          <w:lang w:val="en_US" w:bidi="en_US"/>
        </w:rPr>
        <w:t xml:space="preserve"> The Greek word that the BSB translates as </w:t>
      </w:r>
      <w:r>
        <w:rPr>
          <w:i/>
          <w:lang w:val="en_US" w:bidi="en_US"/>
        </w:rPr>
        <w:t>spoke a blessing</w:t>
      </w:r>
      <w:r>
        <w:rPr>
          <w:lang w:val="en_US" w:bidi="en_US"/>
        </w:rPr>
        <w:t xml:space="preserve"> is literally “blessed,” as in 9:16. It is different from the word that the BSB translated as “gave thanks” in 22:19. However, it refers to the same action. It indicates that Jesus prayed to God and thanked him for the bread. He may have said a special blessing over it. Some other ways to translate the word here are:</w:t>
      </w:r>
    </w:p>
    <w:p>
      <w:pPr/>
      <w:r>
        <w:rPr>
          <w:lang w:val="en_US" w:bidi="en_US"/>
        </w:rPr>
      </w:r>
      <w:r>
        <w:rPr>
          <w:lang w:val="en_US" w:bidi="en_US"/>
        </w:rPr>
        <w:t>when he had thanked God for it</w:t>
      </w:r>
    </w:p>
    <w:p>
      <w:pPr/>
      <w:r>
        <w:rPr>
          <w:lang w:val="en_US" w:bidi="en_US"/>
        </w:rPr>
      </w:r>
      <w:r>
        <w:rPr>
          <w:lang w:val="en_US" w:bidi="en_US"/>
        </w:rPr>
        <w:t>spoke a prayer of thanksgiving</w:t>
      </w:r>
    </w:p>
    <w:p>
      <w:pPr/>
      <w:r>
        <w:rPr>
          <w:lang w:val="en_US" w:bidi="en_US"/>
        </w:rPr>
      </w:r>
      <w:r>
        <w:rPr>
          <w:lang w:val="en_US" w:bidi="en_US"/>
        </w:rPr>
        <w:t>For more information, see bless, Meaning 5, in the Glossary.</w:t>
      </w:r>
    </w:p>
    <w:p>
      <w:pPr>
        <w:pStyle w:val="Heading5"/>
      </w:pPr>
      <w:r>
        <w:rPr>
          <w:lang w:val="en_US" w:bidi="en_US"/>
        </w:rPr>
        <w:t>24:30c</w:t>
      </w:r>
    </w:p>
    <w:p>
      <w:pPr/>
      <w:r>
        <w:rPr>
          <w:lang w:val="en_US" w:bidi="en_US"/>
        </w:rPr>
      </w:r>
      <w:r>
        <w:rPr>
          <w:b/>
          <w:lang w:val="en_US" w:bidi="en_US"/>
        </w:rPr>
        <w:t>and broke it, and gave it to them.</w:t>
      </w:r>
    </w:p>
    <w:p>
      <w:pPr>
        <w:pStyle w:val="ListBullet"/>
        <w:spacing w:line="240" w:lineRule="auto"/>
        <w:ind w:left="720"/>
      </w:pPr>
      <w:r>
        <w:rPr>
          <w:lang w:val="en_US" w:bidi="en_US"/>
        </w:rPr>
      </w:r>
      <w:r>
        <w:rPr>
          <w:lang w:val="en_US" w:bidi="en_US"/>
        </w:rPr>
        <w:t>and after breaking/tearing it, he began to give it to them.</w:t>
      </w:r>
    </w:p>
    <w:p>
      <w:pPr>
        <w:pStyle w:val="ListBullet"/>
        <w:spacing w:line="240" w:lineRule="auto"/>
        <w:ind w:left="720"/>
      </w:pPr>
      <w:r>
        <w:rPr>
          <w:lang w:val="en_US" w:bidi="en_US"/>
        </w:rPr>
      </w:r>
      <w:r>
        <w:rPr>
          <w:lang w:val="en_US" w:bidi="en_US"/>
        </w:rPr>
        <w:t>Then he broke the bread/loaf and offered/gave it to them</w:t>
      </w:r>
      <w:r>
        <w:rPr>
          <w:vertAlign w:val="superscript"/>
          <w:lang w:val="en_US" w:bidi="en_US"/>
        </w:rPr>
        <w:t>(dual)</w:t>
      </w:r>
      <w:r>
        <w:rPr>
          <w:lang w:val="en_US" w:bidi="en_US"/>
        </w:rPr>
        <w:t>.</w:t>
      </w:r>
    </w:p>
    <w:p>
      <w:pPr/>
      <w:r>
        <w:rPr>
          <w:lang w:val="en_US" w:bidi="en_US"/>
        </w:rPr>
      </w:r>
      <w:r>
        <w:rPr>
          <w:b/>
          <w:lang w:val="en_US" w:bidi="en_US"/>
        </w:rPr>
        <w:t>and broke it:</w:t>
      </w:r>
      <w:r>
        <w:rPr>
          <w:lang w:val="en_US" w:bidi="en_US"/>
        </w:rPr>
        <w:t xml:space="preserve"> The Greek verb that the BSB translates as </w:t>
      </w:r>
      <w:r>
        <w:rPr>
          <w:i/>
          <w:lang w:val="en_US" w:bidi="en_US"/>
        </w:rPr>
        <w:t>broke</w:t>
      </w:r>
      <w:r>
        <w:rPr>
          <w:lang w:val="en_US" w:bidi="en_US"/>
        </w:rPr>
        <w:t xml:space="preserve"> refers to dividing or tearing bread into two or more parts. Jesus used his hands to break the bread, rather than a knife. In that culture, it was the custom for the host to divide bread into several pieces to distribute to the guests. The two disciples had probably asked Jesus to take this role. Translate it in a similar way as you did in 22:19.</w:t>
      </w:r>
    </w:p>
    <w:p>
      <w:pPr/>
      <w:r>
        <w:rPr>
          <w:lang w:val="en_US" w:bidi="en_US"/>
        </w:rPr>
      </w:r>
      <w:r>
        <w:rPr>
          <w:b/>
          <w:lang w:val="en_US" w:bidi="en_US"/>
        </w:rPr>
        <w:t>and gave it to them:</w:t>
      </w:r>
      <w:r>
        <w:rPr>
          <w:lang w:val="en_US" w:bidi="en_US"/>
        </w:rPr>
        <w:t xml:space="preserve"> The phrase </w:t>
      </w:r>
      <w:r>
        <w:rPr>
          <w:i/>
          <w:lang w:val="en_US" w:bidi="en_US"/>
        </w:rPr>
        <w:t>and gave it to them</w:t>
      </w:r>
      <w:r>
        <w:rPr>
          <w:lang w:val="en_US" w:bidi="en_US"/>
        </w:rPr>
        <w:t xml:space="preserve"> indicates that Jesus was handing the pieces of bread to the disciples when they recognized him (24:31).</w:t>
      </w:r>
      <w:r>
        <w:rPr>
          <w:lang w:val="en_US" w:bidi="en_US"/>
        </w:rPr>
        <w:t>Luke did not specify what caused the disciples to recognize Jesus when he gave them the bread. Morris (p. 371) suggests that it may have been something about the way that Jesus did the familiar action “or perhaps they saw the nail-marks in Jesus’ hands for the first time. Or perhaps it was just God’s time.” Marshall (p. 898) says that the language of 24:30 “points irresistibly to the action of Jesus at the last supper (and at the feeding of the multitudes), and serves to identify the stranger to the disciples; their eyes are opened…by God to see the significance of the action and thus to recognise Jesus (contrast 24:16).”</w:t>
      </w:r>
      <w:r>
        <w:rPr>
          <w:lang w:val="en_US" w:bidi="en_US"/>
        </w:rPr>
        <w:t xml:space="preserve"> Some English versions supply the word “began” to imply the connection between these actions. Some other ways to translate the phrase are:</w:t>
      </w:r>
    </w:p>
    <w:p>
      <w:pPr/>
      <w:r>
        <w:rPr>
          <w:lang w:val="en_US" w:bidi="en_US"/>
        </w:rPr>
      </w:r>
      <w:r>
        <w:rPr>
          <w:lang w:val="en_US" w:bidi="en_US"/>
        </w:rPr>
        <w:t>Then he gave it to them. (CEV)</w:t>
      </w:r>
    </w:p>
    <w:p>
      <w:pPr/>
      <w:r>
        <w:rPr>
          <w:lang w:val="en_US" w:bidi="en_US"/>
        </w:rPr>
      </w:r>
      <w:r>
        <w:rPr>
          <w:lang w:val="en_US" w:bidi="en_US"/>
        </w:rPr>
        <w:t>and offered it to them (REB)</w:t>
      </w:r>
    </w:p>
    <w:p>
      <w:pPr/>
      <w:r>
        <w:rPr>
          <w:lang w:val="en_US" w:bidi="en_US"/>
        </w:rPr>
      </w:r>
      <w:r>
        <w:rPr>
          <w:lang w:val="en_US" w:bidi="en_US"/>
        </w:rPr>
        <w:t>and began giving it to them (NASB)</w:t>
      </w:r>
      <w:r>
        <w:rPr>
          <w:lang w:val="en_US" w:bidi="en_US"/>
        </w:rPr>
      </w:r>
      <w:r>
        <w:rPr>
          <w:lang w:val="en_US" w:bidi="en_US"/>
        </w:rPr>
      </w:r>
    </w:p>
    <w:p>
      <w:pPr/>
      <w:r>
        <w:rPr>
          <w:lang w:val="en_US" w:bidi="en_US"/>
        </w:rPr>
      </w:r>
    </w:p>
    <w:p>
      <w:pPr>
        <w:pStyle w:val="Heading2"/>
      </w:pPr>
      <w:r>
        <w:rPr>
          <w:lang w:val="en_US" w:bidi="en_US"/>
        </w:rPr>
        <w:t>Luke 24:31</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24:31a</w:t>
      </w:r>
    </w:p>
    <w:p>
      <w:pPr/>
      <w:r>
        <w:rPr>
          <w:lang w:val="en_US" w:bidi="en_US"/>
        </w:rPr>
      </w:r>
      <w:r>
        <w:rPr>
          <w:b/>
          <w:lang w:val="en_US" w:bidi="en_US"/>
        </w:rPr>
        <w:t>Then their eyes were opened</w:t>
      </w:r>
    </w:p>
    <w:p>
      <w:pPr>
        <w:pStyle w:val="ListBullet"/>
        <w:spacing w:line="240" w:lineRule="auto"/>
        <w:ind w:left="720"/>
      </w:pPr>
      <w:r>
        <w:rPr>
          <w:lang w:val="en_US" w:bidi="en_US"/>
        </w:rPr>
      </w:r>
      <w:r>
        <w:rPr>
          <w:lang w:val="en_US" w:bidi="en_US"/>
        </w:rPr>
        <w:t>Then their minds/eyes became clear,</w:t>
      </w:r>
    </w:p>
    <w:p>
      <w:pPr>
        <w:pStyle w:val="ListBullet"/>
        <w:spacing w:line="240" w:lineRule="auto"/>
        <w:ind w:left="720"/>
      </w:pPr>
      <w:r>
        <w:rPr>
          <w:lang w:val="en_US" w:bidi="en_US"/>
        </w:rPr>
      </w:r>
      <w:r>
        <w:rPr>
          <w:lang w:val="en_US" w:bidi="en_US"/>
        </w:rPr>
        <w:t xml:space="preserve">Then </w:t>
      </w:r>
      <w:r>
        <w:rPr>
          <w:lang w:val="en_US" w:bidi="en_US"/>
        </w:rPr>
        <w:t>God</w:t>
      </w:r>
      <w:r>
        <w:rPr>
          <w:lang w:val="en_US" w:bidi="en_US"/>
        </w:rPr>
        <w:t xml:space="preserve"> made them</w:t>
      </w:r>
      <w:r>
        <w:rPr>
          <w:vertAlign w:val="superscript"/>
          <w:lang w:val="en_US" w:bidi="en_US"/>
        </w:rPr>
        <w:t>(dual)</w:t>
      </w:r>
      <w:r>
        <w:rPr>
          <w:lang w:val="en_US" w:bidi="en_US"/>
        </w:rPr>
        <w:t xml:space="preserve"> able to recognize him,</w:t>
      </w:r>
    </w:p>
    <w:p>
      <w:pPr>
        <w:pStyle w:val="Heading5"/>
      </w:pPr>
      <w:r>
        <w:rPr>
          <w:lang w:val="en_US" w:bidi="en_US"/>
        </w:rPr>
        <w:t>24:31b</w:t>
      </w:r>
    </w:p>
    <w:p>
      <w:pPr/>
      <w:r>
        <w:rPr>
          <w:lang w:val="en_US" w:bidi="en_US"/>
        </w:rPr>
      </w:r>
      <w:r>
        <w:rPr>
          <w:b/>
          <w:lang w:val="en_US" w:bidi="en_US"/>
        </w:rPr>
        <w:t>and they recognized Jesus—</w:t>
      </w:r>
    </w:p>
    <w:p>
      <w:pPr>
        <w:pStyle w:val="ListBullet"/>
        <w:spacing w:line="240" w:lineRule="auto"/>
        <w:ind w:left="720"/>
      </w:pPr>
      <w:r>
        <w:rPr>
          <w:lang w:val="en_US" w:bidi="en_US"/>
        </w:rPr>
      </w:r>
      <w:r>
        <w:rPr>
          <w:lang w:val="en_US" w:bidi="en_US"/>
        </w:rPr>
        <w:t>and they realized who he was.</w:t>
      </w:r>
    </w:p>
    <w:p>
      <w:pPr>
        <w:pStyle w:val="ListBullet"/>
        <w:spacing w:line="240" w:lineRule="auto"/>
        <w:ind w:left="720"/>
      </w:pPr>
      <w:r>
        <w:rPr>
          <w:lang w:val="en_US" w:bidi="en_US"/>
        </w:rPr>
      </w:r>
      <w:r>
        <w:rPr>
          <w:lang w:val="en_US" w:bidi="en_US"/>
        </w:rPr>
        <w:t>and they knew that it was Jesus.</w:t>
      </w:r>
    </w:p>
    <w:p>
      <w:pPr>
        <w:pStyle w:val="Heading5"/>
      </w:pPr>
      <w:r>
        <w:rPr>
          <w:lang w:val="en_US" w:bidi="en_US"/>
        </w:rPr>
        <w:t>24:31a–b</w:t>
      </w:r>
    </w:p>
    <w:p>
      <w:pPr/>
      <w:r>
        <w:rPr>
          <w:lang w:val="en_US" w:bidi="en_US"/>
        </w:rPr>
      </w:r>
      <w:r>
        <w:rPr>
          <w:b/>
          <w:lang w:val="en_US" w:bidi="en_US"/>
        </w:rPr>
        <w:t>Then their eyes were opened and they recognized Jesus:</w:t>
      </w:r>
      <w:r>
        <w:rPr>
          <w:lang w:val="en_US" w:bidi="en_US"/>
        </w:rPr>
        <w:t xml:space="preserve"> These two clauses have similar meanings. They tell what happened when Jesus gave them the bread. The clause </w:t>
      </w:r>
      <w:r>
        <w:rPr>
          <w:i/>
          <w:lang w:val="en_US" w:bidi="en_US"/>
        </w:rPr>
        <w:t>Then their eyes were opened</w:t>
      </w:r>
      <w:r>
        <w:rPr>
          <w:lang w:val="en_US" w:bidi="en_US"/>
        </w:rPr>
        <w:t xml:space="preserve"> indicates that suddenly the disciples became able to recognize Jesus. The clause </w:t>
      </w:r>
      <w:r>
        <w:rPr>
          <w:i/>
          <w:lang w:val="en_US" w:bidi="en_US"/>
        </w:rPr>
        <w:t>they recognized Jesus</w:t>
      </w:r>
      <w:r>
        <w:rPr>
          <w:lang w:val="en_US" w:bidi="en_US"/>
        </w:rPr>
        <w:t xml:space="preserve"> is the result. Another way to translate the clauses is:</w:t>
      </w:r>
    </w:p>
    <w:p>
      <w:pPr/>
      <w:r>
        <w:rPr>
          <w:lang w:val="en_US" w:bidi="en_US"/>
        </w:rPr>
      </w:r>
      <w:r>
        <w:rPr>
          <w:vertAlign w:val="superscript"/>
          <w:lang w:val="en_US" w:bidi="en_US"/>
        </w:rPr>
        <w:t>31a</w:t>
      </w:r>
      <w:r>
        <w:rPr>
          <w:lang w:val="en_US" w:bidi="en_US"/>
        </w:rPr>
        <w:t xml:space="preserve">Suddenly they were able to recognize Jesus, </w:t>
      </w:r>
      <w:r>
        <w:rPr>
          <w:vertAlign w:val="superscript"/>
          <w:lang w:val="en_US" w:bidi="en_US"/>
        </w:rPr>
        <w:t>31b</w:t>
      </w:r>
      <w:r>
        <w:rPr>
          <w:lang w:val="en_US" w:bidi="en_US"/>
        </w:rPr>
        <w:t>and they knew him.</w:t>
      </w:r>
    </w:p>
    <w:p>
      <w:pPr/>
      <w:r>
        <w:rPr>
          <w:lang w:val="en_US" w:bidi="en_US"/>
        </w:rPr>
      </w:r>
      <w:r>
        <w:rPr>
          <w:lang w:val="en_US" w:bidi="en_US"/>
        </w:rPr>
        <w:t>In some languages it may be more natural to combine these clauses. For example:</w:t>
      </w:r>
    </w:p>
    <w:p>
      <w:pPr/>
      <w:r>
        <w:rPr>
          <w:lang w:val="en_US" w:bidi="en_US"/>
        </w:rPr>
      </w:r>
      <w:r>
        <w:rPr>
          <w:lang w:val="en_US" w:bidi="en_US"/>
        </w:rPr>
        <w:t>And then, they were allowed to recognize Jesus. (NCV)</w:t>
      </w:r>
    </w:p>
    <w:p>
      <w:pPr/>
      <w:r>
        <w:rPr>
          <w:lang w:val="en_US" w:bidi="en_US"/>
        </w:rPr>
      </w:r>
      <w:r>
        <w:rPr>
          <w:lang w:val="en_US" w:bidi="en_US"/>
        </w:rPr>
        <w:t>At once they knew who he was (CEV)</w:t>
      </w:r>
    </w:p>
    <w:p>
      <w:pPr/>
      <w:r>
        <w:rPr>
          <w:lang w:val="en_US" w:bidi="en_US"/>
        </w:rPr>
      </w:r>
      <w:r>
        <w:rPr>
          <w:b/>
          <w:lang w:val="en_US" w:bidi="en_US"/>
        </w:rPr>
        <w:t>their eyes were opened:</w:t>
      </w:r>
      <w:r>
        <w:rPr>
          <w:lang w:val="en_US" w:bidi="en_US"/>
        </w:rPr>
        <w:t xml:space="preserve"> The clause </w:t>
      </w:r>
      <w:r>
        <w:rPr>
          <w:i/>
          <w:lang w:val="en_US" w:bidi="en_US"/>
        </w:rPr>
        <w:t>their eyes were opened</w:t>
      </w:r>
      <w:r>
        <w:rPr>
          <w:lang w:val="en_US" w:bidi="en_US"/>
        </w:rPr>
        <w:t xml:space="preserve"> is a metaphor. It indicates that the two disciples became able to recognize Jesus. The verb </w:t>
      </w:r>
      <w:r>
        <w:rPr>
          <w:i/>
          <w:lang w:val="en_US" w:bidi="en_US"/>
        </w:rPr>
        <w:t>were opened</w:t>
      </w:r>
      <w:r>
        <w:rPr>
          <w:lang w:val="en_US" w:bidi="en_US"/>
        </w:rPr>
        <w:t xml:space="preserve"> is passive. It probably implies that God enabled them to recognize him. Refer to 24:16, where the passive verb probably implied that God prevented the disciples from recognizing Jesus.</w:t>
      </w:r>
    </w:p>
    <w:p>
      <w:pPr/>
      <w:r>
        <w:rPr>
          <w:lang w:val="en_US" w:bidi="en_US"/>
        </w:rPr>
      </w:r>
      <w:r>
        <w:rPr>
          <w:lang w:val="en_US" w:bidi="en_US"/>
        </w:rPr>
        <w:t>In some languages a literal translation of the metaphor may have the wrong meaning. If that is true in your language, some other ways to translate it are:</w:t>
      </w:r>
    </w:p>
    <w:p>
      <w:pPr>
        <w:pStyle w:val="ListBullet"/>
        <w:spacing w:line="240" w:lineRule="auto"/>
        <w:ind w:left="720"/>
      </w:pPr>
      <w:r>
        <w:rPr>
          <w:lang w:val="en_US" w:bidi="en_US"/>
        </w:rPr>
      </w:r>
      <w:r>
        <w:rPr>
          <w:lang w:val="en_US" w:bidi="en_US"/>
        </w:rPr>
        <w:t>Use a simile. For example:</w:t>
      </w:r>
      <w:r>
        <w:rPr>
          <w:lang w:val="en_US" w:bidi="en_US"/>
        </w:rPr>
        <w:t>Then it was as if their eyes/mind cleared</w:t>
      </w:r>
    </w:p>
    <w:p>
      <w:pPr>
        <w:pStyle w:val="ListBullet"/>
        <w:spacing w:line="240" w:lineRule="auto"/>
        <w:ind w:left="720"/>
      </w:pPr>
      <w:r>
        <w:rPr>
          <w:lang w:val="en_US" w:bidi="en_US"/>
        </w:rPr>
      </w:r>
      <w:r>
        <w:rPr>
          <w:lang w:val="en_US" w:bidi="en_US"/>
        </w:rPr>
        <w:t>Translate the meaning without the metaphor. For example:</w:t>
      </w:r>
      <w:r>
        <w:rPr>
          <w:lang w:val="en_US" w:bidi="en_US"/>
        </w:rPr>
        <w:t>At that moment they became aware</w:t>
      </w:r>
    </w:p>
    <w:p>
      <w:pPr>
        <w:pStyle w:val="ListBullet"/>
        <w:spacing w:line="240" w:lineRule="auto"/>
        <w:ind w:left="720"/>
      </w:pPr>
      <w:r>
        <w:rPr>
          <w:lang w:val="en_US" w:bidi="en_US"/>
        </w:rPr>
      </w:r>
      <w:r>
        <w:rPr>
          <w:lang w:val="en_US" w:bidi="en_US"/>
        </w:rPr>
        <w:t>Use an active verb and supply God as the subject, or indicate that God caused it. For example:</w:t>
      </w:r>
      <w:r>
        <w:rPr>
          <w:lang w:val="en_US" w:bidi="en_US"/>
        </w:rPr>
        <w:t>God</w:t>
      </w:r>
      <w:r>
        <w:rPr>
          <w:lang w:val="en_US" w:bidi="en_US"/>
        </w:rPr>
        <w:t xml:space="preserve"> caused them to realize</w:t>
      </w:r>
    </w:p>
    <w:p>
      <w:pPr/>
      <w:r>
        <w:rPr>
          <w:lang w:val="en_US" w:bidi="en_US"/>
        </w:rPr>
      </w:r>
      <w:r>
        <w:rPr>
          <w:lang w:val="en_US" w:bidi="en_US"/>
        </w:rPr>
        <w:t>Translate the clause in a natural way in your language.</w:t>
      </w:r>
    </w:p>
    <w:p>
      <w:pPr>
        <w:pStyle w:val="Heading5"/>
      </w:pPr>
      <w:r>
        <w:rPr>
          <w:lang w:val="en_US" w:bidi="en_US"/>
        </w:rPr>
        <w:t>24:31c</w:t>
      </w:r>
    </w:p>
    <w:p>
      <w:pPr/>
      <w:r>
        <w:rPr>
          <w:lang w:val="en_US" w:bidi="en_US"/>
        </w:rPr>
      </w:r>
      <w:r>
        <w:rPr>
          <w:b/>
          <w:lang w:val="en_US" w:bidi="en_US"/>
        </w:rPr>
        <w:t>and He disappeared from their sight.</w:t>
      </w:r>
    </w:p>
    <w:p>
      <w:pPr>
        <w:pStyle w:val="ListBullet"/>
        <w:spacing w:line="240" w:lineRule="auto"/>
        <w:ind w:left="720"/>
      </w:pPr>
      <w:r>
        <w:rPr>
          <w:lang w:val="en_US" w:bidi="en_US"/>
        </w:rPr>
      </w:r>
      <w:r>
        <w:rPr>
          <w:lang w:val="en_US" w:bidi="en_US"/>
        </w:rPr>
        <w:t>Then suddenly he vanished/disappeared.</w:t>
      </w:r>
    </w:p>
    <w:p>
      <w:pPr>
        <w:pStyle w:val="ListBullet"/>
        <w:spacing w:line="240" w:lineRule="auto"/>
        <w:ind w:left="720"/>
      </w:pPr>
      <w:r>
        <w:rPr>
          <w:lang w:val="en_US" w:bidi="en_US"/>
        </w:rPr>
      </w:r>
      <w:r>
        <w:rPr>
          <w:lang w:val="en_US" w:bidi="en_US"/>
        </w:rPr>
        <w:t xml:space="preserve">But as soon as </w:t>
      </w:r>
      <w:r>
        <w:rPr>
          <w:lang w:val="en_US" w:bidi="en_US"/>
        </w:rPr>
        <w:t>they</w:t>
      </w:r>
      <w:r>
        <w:rPr>
          <w:vertAlign w:val="superscript"/>
          <w:lang w:val="en_US" w:bidi="en_US"/>
        </w:rPr>
        <w:t>(dual)</w:t>
      </w:r>
      <w:r>
        <w:rPr>
          <w:lang w:val="en_US" w:bidi="en_US"/>
        </w:rPr>
        <w:t xml:space="preserve"> </w:t>
      </w:r>
      <w:r>
        <w:rPr>
          <w:lang w:val="en_US" w:bidi="en_US"/>
        </w:rPr>
        <w:t>recognized him</w:t>
      </w:r>
      <w:r>
        <w:rPr>
          <w:lang w:val="en_US" w:bidi="en_US"/>
        </w:rPr>
        <w:t>, he became invisible to them</w:t>
      </w:r>
      <w:r>
        <w:rPr>
          <w:vertAlign w:val="superscript"/>
          <w:lang w:val="en_US" w:bidi="en_US"/>
        </w:rPr>
        <w:t>(dual)</w:t>
      </w:r>
      <w:r>
        <w:rPr>
          <w:lang w:val="en_US" w:bidi="en_US"/>
        </w:rPr>
        <w:t>.</w:t>
      </w:r>
    </w:p>
    <w:p>
      <w:pPr/>
      <w:r>
        <w:rPr>
          <w:lang w:val="en_US" w:bidi="en_US"/>
        </w:rPr>
      </w:r>
      <w:r>
        <w:rPr>
          <w:b/>
          <w:lang w:val="en_US" w:bidi="en_US"/>
        </w:rPr>
        <w:t>and He disappeared from their sight:</w:t>
      </w:r>
      <w:r>
        <w:rPr>
          <w:lang w:val="en_US" w:bidi="en_US"/>
        </w:rPr>
        <w:t xml:space="preserve"> The clause </w:t>
      </w:r>
      <w:r>
        <w:rPr>
          <w:i/>
          <w:lang w:val="en_US" w:bidi="en_US"/>
        </w:rPr>
        <w:t>and He disappeared from their sight</w:t>
      </w:r>
      <w:r>
        <w:rPr>
          <w:lang w:val="en_US" w:bidi="en_US"/>
        </w:rPr>
        <w:t xml:space="preserve"> indicates that after the disciples recognized Jesus in 24:31b, they could not see him anymore. This clause implies that Jesus left them in a way that they could not see. Other ways to say this are:</w:t>
      </w:r>
    </w:p>
    <w:p>
      <w:pPr/>
      <w:r>
        <w:rPr>
          <w:lang w:val="en_US" w:bidi="en_US"/>
        </w:rPr>
      </w:r>
      <w:r>
        <w:rPr>
          <w:lang w:val="en_US" w:bidi="en_US"/>
        </w:rPr>
        <w:t>he vanished from their sight (ESV)</w:t>
      </w:r>
    </w:p>
    <w:p>
      <w:pPr/>
      <w:r>
        <w:rPr>
          <w:lang w:val="en_US" w:bidi="en_US"/>
        </w:rPr>
      </w:r>
      <w:r>
        <w:rPr>
          <w:lang w:val="en_US" w:bidi="en_US"/>
        </w:rPr>
        <w:t xml:space="preserve">he </w:t>
      </w:r>
      <w:r>
        <w:rPr>
          <w:lang w:val="en_US" w:bidi="en_US"/>
        </w:rPr>
        <w:t>suddenly</w:t>
      </w:r>
      <w:r>
        <w:rPr>
          <w:lang w:val="en_US" w:bidi="en_US"/>
        </w:rPr>
        <w:t xml:space="preserve"> became invisible to them</w:t>
      </w:r>
      <w:r>
        <w:rPr>
          <w:lang w:val="en_US" w:bidi="en_US"/>
        </w:rPr>
      </w:r>
      <w:r>
        <w:rPr>
          <w:lang w:val="en_US" w:bidi="en_US"/>
        </w:rPr>
      </w:r>
    </w:p>
    <w:p>
      <w:pPr/>
      <w:r>
        <w:rPr>
          <w:lang w:val="en_US" w:bidi="en_US"/>
        </w:rPr>
      </w:r>
    </w:p>
    <w:p>
      <w:pPr>
        <w:pStyle w:val="Heading2"/>
      </w:pPr>
      <w:r>
        <w:rPr>
          <w:lang w:val="en_US" w:bidi="en_US"/>
        </w:rPr>
        <w:t>Luke 24:32</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24:32a</w:t>
      </w:r>
    </w:p>
    <w:p>
      <w:pPr/>
      <w:r>
        <w:rPr>
          <w:lang w:val="en_US" w:bidi="en_US"/>
        </w:rPr>
      </w:r>
      <w:r>
        <w:rPr>
          <w:b/>
          <w:lang w:val="en_US" w:bidi="en_US"/>
        </w:rPr>
        <w:t>They asked each other,</w:t>
      </w:r>
    </w:p>
    <w:p>
      <w:pPr>
        <w:pStyle w:val="ListBullet"/>
        <w:spacing w:line="240" w:lineRule="auto"/>
        <w:ind w:left="720"/>
      </w:pPr>
      <w:r>
        <w:rPr>
          <w:lang w:val="en_US" w:bidi="en_US"/>
        </w:rPr>
      </w:r>
      <w:r>
        <w:rPr>
          <w:lang w:val="en_US" w:bidi="en_US"/>
        </w:rPr>
        <w:t>And they said to each other,</w:t>
      </w:r>
    </w:p>
    <w:p>
      <w:pPr>
        <w:pStyle w:val="ListBullet"/>
        <w:spacing w:line="240" w:lineRule="auto"/>
        <w:ind w:left="720"/>
      </w:pPr>
      <w:r>
        <w:rPr>
          <w:lang w:val="en_US" w:bidi="en_US"/>
        </w:rPr>
      </w:r>
      <w:r>
        <w:rPr>
          <w:lang w:val="en_US" w:bidi="en_US"/>
        </w:rPr>
        <w:t>Then they</w:t>
      </w:r>
      <w:r>
        <w:rPr>
          <w:vertAlign w:val="superscript"/>
          <w:lang w:val="en_US" w:bidi="en_US"/>
        </w:rPr>
        <w:t>(dual)</w:t>
      </w:r>
      <w:r>
        <w:rPr>
          <w:lang w:val="en_US" w:bidi="en_US"/>
        </w:rPr>
        <w:t xml:space="preserve"> talked about this with each other, saying,</w:t>
      </w:r>
    </w:p>
    <w:p>
      <w:pPr>
        <w:pStyle w:val="ListBullet"/>
        <w:spacing w:line="240" w:lineRule="auto"/>
        <w:ind w:left="720"/>
      </w:pPr>
      <w:r>
        <w:rPr>
          <w:lang w:val="en_US" w:bidi="en_US"/>
        </w:rPr>
      </w:r>
      <w:r>
        <w:rPr>
          <w:lang w:val="en_US" w:bidi="en_US"/>
        </w:rPr>
        <w:t>And they exclaimed,</w:t>
      </w:r>
    </w:p>
    <w:p>
      <w:pPr/>
      <w:r>
        <w:rPr>
          <w:lang w:val="en_US" w:bidi="en_US"/>
        </w:rPr>
      </w:r>
      <w:r>
        <w:rPr>
          <w:b/>
          <w:lang w:val="en_US" w:bidi="en_US"/>
        </w:rPr>
        <w:t>They asked each other:</w:t>
      </w:r>
      <w:r>
        <w:rPr>
          <w:lang w:val="en_US" w:bidi="en_US"/>
        </w:rPr>
        <w:t xml:space="preserve"> The Greek clause that the BSB translates as </w:t>
      </w:r>
      <w:r>
        <w:rPr>
          <w:i/>
          <w:lang w:val="en_US" w:bidi="en_US"/>
        </w:rPr>
        <w:t>They asked each other</w:t>
      </w:r>
      <w:r>
        <w:rPr>
          <w:lang w:val="en_US" w:bidi="en_US"/>
        </w:rPr>
        <w:t xml:space="preserve"> is literally, “and they said to each-other.” It introduces a rhetorical question. Probably one of them asked the question, and the other agreed. Introduce this rhetorical question in natural way in your language. Some other ways to introduce it in English are:</w:t>
      </w:r>
    </w:p>
    <w:p>
      <w:pPr/>
      <w:r>
        <w:rPr>
          <w:lang w:val="en_US" w:bidi="en_US"/>
        </w:rPr>
      </w:r>
      <w:r>
        <w:rPr>
          <w:lang w:val="en_US" w:bidi="en_US"/>
        </w:rPr>
        <w:t>They exclaimed to each other</w:t>
      </w:r>
    </w:p>
    <w:p>
      <w:pPr/>
      <w:r>
        <w:rPr>
          <w:lang w:val="en_US" w:bidi="en_US"/>
        </w:rPr>
      </w:r>
      <w:r>
        <w:rPr>
          <w:lang w:val="en_US" w:bidi="en_US"/>
        </w:rPr>
        <w:t>They said to each other (GNT)</w:t>
      </w:r>
    </w:p>
    <w:p>
      <w:pPr>
        <w:pStyle w:val="Heading5"/>
      </w:pPr>
      <w:r>
        <w:rPr>
          <w:lang w:val="en_US" w:bidi="en_US"/>
        </w:rPr>
        <w:t>24:32b</w:t>
      </w:r>
    </w:p>
    <w:p>
      <w:pPr/>
      <w:r>
        <w:rPr>
          <w:lang w:val="en_US" w:bidi="en_US"/>
        </w:rPr>
      </w:r>
      <w:r>
        <w:rPr>
          <w:b/>
          <w:lang w:val="en_US" w:bidi="en_US"/>
        </w:rPr>
        <w:t>“Were not our hearts burning within us</w:t>
      </w:r>
    </w:p>
    <w:p>
      <w:pPr>
        <w:pStyle w:val="ListBullet"/>
        <w:spacing w:line="240" w:lineRule="auto"/>
        <w:ind w:left="720"/>
      </w:pPr>
      <w:r>
        <w:rPr>
          <w:lang w:val="en_US" w:bidi="en_US"/>
        </w:rPr>
      </w:r>
      <w:r>
        <w:rPr>
          <w:lang w:val="en_US" w:bidi="en_US"/>
        </w:rPr>
        <w:t>“How can we describe the burning joy/excitement we felt</w:t>
      </w:r>
    </w:p>
    <w:p>
      <w:pPr>
        <w:pStyle w:val="ListBullet"/>
        <w:spacing w:line="240" w:lineRule="auto"/>
        <w:ind w:left="720"/>
      </w:pPr>
      <w:r>
        <w:rPr>
          <w:lang w:val="en_US" w:bidi="en_US"/>
        </w:rPr>
      </w:r>
      <w:r>
        <w:rPr>
          <w:lang w:val="en_US" w:bidi="en_US"/>
        </w:rPr>
        <w:t>“Now we</w:t>
      </w:r>
      <w:r>
        <w:rPr>
          <w:vertAlign w:val="superscript"/>
          <w:lang w:val="en_US" w:bidi="en_US"/>
        </w:rPr>
        <w:t>(incl)</w:t>
      </w:r>
      <w:r>
        <w:rPr>
          <w:lang w:val="en_US" w:bidi="en_US"/>
        </w:rPr>
        <w:t xml:space="preserve"> know why we were so stirred/awed</w:t>
      </w:r>
    </w:p>
    <w:p>
      <w:pPr>
        <w:pStyle w:val="ListBullet"/>
        <w:spacing w:line="240" w:lineRule="auto"/>
        <w:ind w:left="720"/>
      </w:pPr>
      <w:r>
        <w:rPr>
          <w:lang w:val="en_US" w:bidi="en_US"/>
        </w:rPr>
      </w:r>
      <w:r>
        <w:rPr>
          <w:lang w:val="en_US" w:bidi="en_US"/>
        </w:rPr>
        <w:t>“How awesome/amazing it was</w:t>
      </w:r>
    </w:p>
    <w:p>
      <w:pPr/>
      <w:r>
        <w:rPr>
          <w:lang w:val="en_US" w:bidi="en_US"/>
        </w:rPr>
      </w:r>
      <w:r>
        <w:rPr>
          <w:b/>
          <w:lang w:val="en_US" w:bidi="en_US"/>
        </w:rPr>
        <w:t>Were not our hearts burning within us…?:</w:t>
      </w:r>
      <w:r>
        <w:rPr>
          <w:lang w:val="en_US" w:bidi="en_US"/>
        </w:rPr>
        <w:t xml:space="preserve"> This is a rhetorical question. It emphasizes the disciples’ feelings as Jesus talked to them. They had intense feelings, which probably included awe, joy, hope, and excitement. The phrase </w:t>
      </w:r>
      <w:r>
        <w:rPr>
          <w:i/>
          <w:lang w:val="en_US" w:bidi="en_US"/>
        </w:rPr>
        <w:t>our hearts burning</w:t>
      </w:r>
      <w:r>
        <w:rPr>
          <w:lang w:val="en_US" w:bidi="en_US"/>
        </w:rPr>
        <w:t xml:space="preserve"> is a figurative way to describe their feelings as Jesus explained the Scriptures to them.</w:t>
      </w:r>
    </w:p>
    <w:p>
      <w:pPr/>
      <w:r>
        <w:rPr>
          <w:lang w:val="en_US" w:bidi="en_US"/>
        </w:rPr>
      </w:r>
      <w:r>
        <w:rPr>
          <w:lang w:val="en_US" w:bidi="en_US"/>
        </w:rPr>
        <w:t>Some ways to translate these intense feelings are:</w:t>
      </w:r>
    </w:p>
    <w:p>
      <w:pPr>
        <w:pStyle w:val="ListBullet"/>
        <w:spacing w:line="240" w:lineRule="auto"/>
        <w:ind w:left="720"/>
      </w:pPr>
      <w:r>
        <w:rPr>
          <w:lang w:val="en_US" w:bidi="en_US"/>
        </w:rPr>
      </w:r>
      <w:r>
        <w:rPr>
          <w:lang w:val="en_US" w:bidi="en_US"/>
        </w:rPr>
        <w:t>As a rhetorical question. For example:</w:t>
      </w:r>
      <w:r>
        <w:rPr>
          <w:lang w:val="en_US" w:bidi="en_US"/>
        </w:rPr>
        <w:t>Weren’t our hearts glowing…? (JBP)</w:t>
      </w:r>
    </w:p>
    <w:p>
      <w:pPr>
        <w:pStyle w:val="ListBullet"/>
        <w:spacing w:line="240" w:lineRule="auto"/>
        <w:ind w:left="720"/>
      </w:pPr>
      <w:r>
        <w:rPr>
          <w:lang w:val="en_US" w:bidi="en_US"/>
        </w:rPr>
      </w:r>
      <w:r>
        <w:rPr>
          <w:lang w:val="en_US" w:bidi="en_US"/>
        </w:rPr>
        <w:t>As a statement or realization. For example:</w:t>
      </w:r>
      <w:r>
        <w:rPr>
          <w:lang w:val="en_US" w:bidi="en_US"/>
        </w:rPr>
        <w:t xml:space="preserve">So that’s why we felt such burning/shining </w:t>
      </w:r>
      <w:r>
        <w:rPr>
          <w:lang w:val="en_US" w:bidi="en_US"/>
        </w:rPr>
        <w:t>joy</w:t>
      </w:r>
      <w:r>
        <w:rPr>
          <w:lang w:val="en_US" w:bidi="en_US"/>
        </w:rPr>
        <w:t xml:space="preserve"> in our hearts</w:t>
      </w:r>
      <w:r>
        <w:rPr>
          <w:lang w:val="en_US" w:bidi="en_US"/>
        </w:rPr>
        <w:t xml:space="preserve">Our hearts were blazing </w:t>
      </w:r>
      <w:r>
        <w:rPr>
          <w:lang w:val="en_US" w:bidi="en_US"/>
        </w:rPr>
        <w:t>with joy/awe</w:t>
      </w:r>
    </w:p>
    <w:p>
      <w:pPr>
        <w:pStyle w:val="ListBullet"/>
        <w:spacing w:line="240" w:lineRule="auto"/>
        <w:ind w:left="720"/>
      </w:pPr>
      <w:r>
        <w:rPr>
          <w:lang w:val="en_US" w:bidi="en_US"/>
        </w:rPr>
      </w:r>
      <w:r>
        <w:rPr>
          <w:lang w:val="en_US" w:bidi="en_US"/>
        </w:rPr>
        <w:t>As an exclamation. For example:</w:t>
      </w:r>
      <w:r>
        <w:rPr>
          <w:lang w:val="en_US" w:bidi="en_US"/>
        </w:rPr>
        <w:t xml:space="preserve">No wonder we felt such </w:t>
      </w:r>
      <w:r>
        <w:rPr>
          <w:lang w:val="en_US" w:bidi="en_US"/>
        </w:rPr>
        <w:t>joy/awe</w:t>
      </w:r>
      <w:r>
        <w:rPr>
          <w:lang w:val="en_US" w:bidi="en_US"/>
        </w:rPr>
        <w:t xml:space="preserve"> burning in us…!</w:t>
      </w:r>
    </w:p>
    <w:p>
      <w:pPr/>
      <w:r>
        <w:rPr>
          <w:lang w:val="en_US" w:bidi="en_US"/>
        </w:rPr>
      </w:r>
      <w:r>
        <w:rPr>
          <w:lang w:val="en_US" w:bidi="en_US"/>
        </w:rPr>
        <w:t>Translate this emphatic joy and excitement in a way that is natural in your language.</w:t>
      </w:r>
    </w:p>
    <w:p>
      <w:pPr/>
      <w:r>
        <w:rPr>
          <w:lang w:val="en_US" w:bidi="en_US"/>
        </w:rPr>
      </w:r>
      <w:r>
        <w:rPr>
          <w:b/>
          <w:lang w:val="en_US" w:bidi="en_US"/>
        </w:rPr>
        <w:t>our hearts burning within us:</w:t>
      </w:r>
      <w:r>
        <w:rPr>
          <w:lang w:val="en_US" w:bidi="en_US"/>
        </w:rPr>
        <w:t xml:space="preserve"> The phrase </w:t>
      </w:r>
      <w:r>
        <w:rPr>
          <w:i/>
          <w:lang w:val="en_US" w:bidi="en_US"/>
        </w:rPr>
        <w:t>our hearts burning within us</w:t>
      </w:r>
      <w:r>
        <w:rPr>
          <w:lang w:val="en_US" w:bidi="en_US"/>
        </w:rPr>
        <w:t xml:space="preserve"> is a figure of speech. It describes very strong, good feelings. These feelings can include joy, awe, love, hope, and excitement. However, in some languages “fire” or “burning hearts” may imply anger or misery. If a literal translation implies a wrong meaning in your language, you should translate it in a different way. Some other ways to translate it are:</w:t>
      </w:r>
    </w:p>
    <w:p>
      <w:pPr>
        <w:pStyle w:val="ListBullet"/>
        <w:spacing w:line="240" w:lineRule="auto"/>
        <w:ind w:left="720"/>
      </w:pPr>
      <w:r>
        <w:rPr>
          <w:lang w:val="en_US" w:bidi="en_US"/>
        </w:rPr>
      </w:r>
      <w:r>
        <w:rPr>
          <w:lang w:val="en_US" w:bidi="en_US"/>
        </w:rPr>
        <w:t>Use a simile. For example:</w:t>
      </w:r>
      <w:r>
        <w:rPr>
          <w:lang w:val="en_US" w:bidi="en_US"/>
        </w:rPr>
        <w:t xml:space="preserve">our joy was like a </w:t>
      </w:r>
      <w:r>
        <w:rPr>
          <w:lang w:val="en_US" w:bidi="en_US"/>
        </w:rPr>
        <w:t>beautiful</w:t>
      </w:r>
      <w:r>
        <w:rPr>
          <w:lang w:val="en_US" w:bidi="en_US"/>
        </w:rPr>
        <w:t xml:space="preserve"> fire in us</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we (two) felt great/strong awe/comfort</w:t>
      </w:r>
      <w:r>
        <w:rPr>
          <w:lang w:val="en_US" w:bidi="en_US"/>
        </w:rPr>
        <w:t>how thrilled we were</w:t>
      </w:r>
    </w:p>
    <w:p>
      <w:pPr>
        <w:pStyle w:val="ListBullet"/>
        <w:spacing w:line="240" w:lineRule="auto"/>
        <w:ind w:left="720"/>
      </w:pPr>
      <w:r>
        <w:rPr>
          <w:lang w:val="en_US" w:bidi="en_US"/>
        </w:rPr>
      </w:r>
      <w:r>
        <w:rPr>
          <w:lang w:val="en_US" w:bidi="en_US"/>
        </w:rPr>
        <w:t>Use a figure of speech that has the same meaning in your language. For example:</w:t>
      </w:r>
      <w:r>
        <w:rPr>
          <w:lang w:val="en_US" w:bidi="en_US"/>
        </w:rPr>
        <w:t>we were deeply moved</w:t>
      </w:r>
      <w:r>
        <w:rPr>
          <w:lang w:val="en_US" w:bidi="en_US"/>
        </w:rPr>
        <w:t>we were so stirred up</w:t>
      </w:r>
    </w:p>
    <w:p>
      <w:pPr/>
      <w:r>
        <w:rPr>
          <w:lang w:val="en_US" w:bidi="en_US"/>
        </w:rPr>
      </w:r>
      <w:r>
        <w:rPr>
          <w:lang w:val="en_US" w:bidi="en_US"/>
        </w:rPr>
        <w:t>Translate the meaning in a natural way in your language.</w:t>
      </w:r>
    </w:p>
    <w:p>
      <w:pPr>
        <w:pStyle w:val="Heading5"/>
      </w:pPr>
      <w:r>
        <w:rPr>
          <w:lang w:val="en_US" w:bidi="en_US"/>
        </w:rPr>
        <w:t>24:32c</w:t>
      </w:r>
    </w:p>
    <w:p>
      <w:pPr/>
      <w:r>
        <w:rPr>
          <w:lang w:val="en_US" w:bidi="en_US"/>
        </w:rPr>
      </w:r>
      <w:r>
        <w:rPr>
          <w:b/>
          <w:lang w:val="en_US" w:bidi="en_US"/>
        </w:rPr>
        <w:t>as He spoke with us on the road and opened the Scriptures to us?”</w:t>
      </w:r>
    </w:p>
    <w:p>
      <w:pPr>
        <w:pStyle w:val="ListBullet"/>
        <w:spacing w:line="240" w:lineRule="auto"/>
        <w:ind w:left="720"/>
      </w:pPr>
      <w:r>
        <w:rPr>
          <w:lang w:val="en_US" w:bidi="en_US"/>
        </w:rPr>
      </w:r>
      <w:r>
        <w:rPr>
          <w:lang w:val="en_US" w:bidi="en_US"/>
        </w:rPr>
        <w:t>while he talked to us</w:t>
      </w:r>
      <w:r>
        <w:rPr>
          <w:vertAlign w:val="superscript"/>
          <w:lang w:val="en_US" w:bidi="en_US"/>
        </w:rPr>
        <w:t>(incl)</w:t>
      </w:r>
      <w:r>
        <w:rPr>
          <w:lang w:val="en_US" w:bidi="en_US"/>
        </w:rPr>
        <w:t xml:space="preserve"> on the road and explained the Scriptures to us?”</w:t>
      </w:r>
    </w:p>
    <w:p>
      <w:pPr>
        <w:pStyle w:val="ListBullet"/>
        <w:spacing w:line="240" w:lineRule="auto"/>
        <w:ind w:left="720"/>
      </w:pPr>
      <w:r>
        <w:rPr>
          <w:lang w:val="en_US" w:bidi="en_US"/>
        </w:rPr>
      </w:r>
      <w:r>
        <w:rPr>
          <w:lang w:val="en_US" w:bidi="en_US"/>
        </w:rPr>
        <w:t>as he talked with us</w:t>
      </w:r>
      <w:r>
        <w:rPr>
          <w:vertAlign w:val="superscript"/>
          <w:lang w:val="en_US" w:bidi="en_US"/>
        </w:rPr>
        <w:t>(incl)</w:t>
      </w:r>
      <w:r>
        <w:rPr>
          <w:lang w:val="en_US" w:bidi="en_US"/>
        </w:rPr>
        <w:t xml:space="preserve"> on the way </w:t>
      </w:r>
      <w:r>
        <w:rPr>
          <w:lang w:val="en_US" w:bidi="en_US"/>
        </w:rPr>
        <w:t>here</w:t>
      </w:r>
      <w:r>
        <w:rPr>
          <w:lang w:val="en_US" w:bidi="en_US"/>
        </w:rPr>
        <w:t xml:space="preserve"> and helped us understand what is written in God’s book/word!”</w:t>
      </w:r>
    </w:p>
    <w:p>
      <w:pPr>
        <w:pStyle w:val="ListBullet"/>
        <w:spacing w:line="240" w:lineRule="auto"/>
        <w:ind w:left="720"/>
      </w:pPr>
      <w:r>
        <w:rPr>
          <w:lang w:val="en_US" w:bidi="en_US"/>
        </w:rPr>
      </w:r>
      <w:r>
        <w:rPr>
          <w:lang w:val="en_US" w:bidi="en_US"/>
        </w:rPr>
        <w:t>to hear him explaining God’s word to us</w:t>
      </w:r>
      <w:r>
        <w:rPr>
          <w:vertAlign w:val="superscript"/>
          <w:lang w:val="en_US" w:bidi="en_US"/>
        </w:rPr>
        <w:t>(dual/incl)</w:t>
      </w:r>
      <w:r>
        <w:rPr>
          <w:lang w:val="en_US" w:bidi="en_US"/>
        </w:rPr>
        <w:t xml:space="preserve"> during the/</w:t>
      </w:r>
      <w:r>
        <w:rPr>
          <w:lang w:val="en_US" w:bidi="en_US"/>
        </w:rPr>
        <w:t>our</w:t>
      </w:r>
      <w:r>
        <w:rPr>
          <w:lang w:val="en_US" w:bidi="en_US"/>
        </w:rPr>
        <w:t xml:space="preserve"> journey </w:t>
      </w:r>
      <w:r>
        <w:rPr>
          <w:lang w:val="en_US" w:bidi="en_US"/>
        </w:rPr>
        <w:t>here</w:t>
      </w:r>
      <w:r>
        <w:rPr>
          <w:lang w:val="en_US" w:bidi="en_US"/>
        </w:rPr>
        <w:t>!”</w:t>
      </w:r>
    </w:p>
    <w:p>
      <w:pPr/>
      <w:r>
        <w:rPr>
          <w:lang w:val="en_US" w:bidi="en_US"/>
        </w:rPr>
      </w:r>
      <w:r>
        <w:rPr>
          <w:lang w:val="en_US" w:bidi="en_US"/>
        </w:rPr>
        <w:t>The clause in 24:32c gives the reason for the disciples’ feeling of joy and excitement in 24:32b. In some languages it is more natural to give this reason before the result in 24:32b. See the General Comment on 24:32a–c below for an example.</w:t>
      </w:r>
    </w:p>
    <w:p>
      <w:pPr/>
      <w:r>
        <w:rPr>
          <w:lang w:val="en_US" w:bidi="en_US"/>
        </w:rPr>
      </w:r>
      <w:r>
        <w:rPr>
          <w:b/>
          <w:lang w:val="en_US" w:bidi="en_US"/>
        </w:rPr>
        <w:t>as He spoke with us on the road and opened the Scriptures to us:</w:t>
      </w:r>
      <w:r>
        <w:rPr>
          <w:lang w:val="en_US" w:bidi="en_US"/>
        </w:rPr>
        <w:t xml:space="preserve"> This statement indicates that as Jesus talked to the two disciples, he helped them to understand the meaning of the Scriptures. In some languages it may be more natural to translate the phrases </w:t>
      </w:r>
      <w:r>
        <w:rPr>
          <w:i/>
          <w:lang w:val="en_US" w:bidi="en_US"/>
        </w:rPr>
        <w:t>spoke with us</w:t>
      </w:r>
      <w:r>
        <w:rPr>
          <w:lang w:val="en_US" w:bidi="en_US"/>
        </w:rPr>
        <w:t xml:space="preserve"> and </w:t>
      </w:r>
      <w:r>
        <w:rPr>
          <w:i/>
          <w:lang w:val="en_US" w:bidi="en_US"/>
        </w:rPr>
        <w:t>opened the Scriptures to us</w:t>
      </w:r>
      <w:r>
        <w:rPr>
          <w:lang w:val="en_US" w:bidi="en_US"/>
        </w:rPr>
        <w:t xml:space="preserve"> with one phrase. For example:</w:t>
      </w:r>
    </w:p>
    <w:p>
      <w:pPr/>
      <w:r>
        <w:rPr>
          <w:lang w:val="en_US" w:bidi="en_US"/>
        </w:rPr>
      </w:r>
      <w:r>
        <w:rPr>
          <w:lang w:val="en_US" w:bidi="en_US"/>
        </w:rPr>
        <w:t>while he was explaining to us the written word of God</w:t>
      </w:r>
      <w:r>
        <w:rPr>
          <w:lang w:val="en_US" w:bidi="en_US"/>
        </w:rPr>
        <w:t>Kankanaey back translation on TW.</w:t>
      </w:r>
    </w:p>
    <w:p>
      <w:pPr/>
      <w:r>
        <w:rPr>
          <w:lang w:val="en_US" w:bidi="en_US"/>
        </w:rPr>
      </w:r>
      <w:r>
        <w:rPr>
          <w:b/>
          <w:lang w:val="en_US" w:bidi="en_US"/>
        </w:rPr>
        <w:t>on the road:</w:t>
      </w:r>
      <w:r>
        <w:rPr>
          <w:lang w:val="en_US" w:bidi="en_US"/>
        </w:rPr>
        <w:t xml:space="preserve"> The phrase </w:t>
      </w:r>
      <w:r>
        <w:rPr>
          <w:i/>
          <w:lang w:val="en_US" w:bidi="en_US"/>
        </w:rPr>
        <w:t>on the road</w:t>
      </w:r>
      <w:r>
        <w:rPr>
          <w:lang w:val="en_US" w:bidi="en_US"/>
        </w:rPr>
        <w:t xml:space="preserve"> refers to the walk/journey toward Emmaus. Other ways to translate it are:</w:t>
      </w:r>
    </w:p>
    <w:p>
      <w:pPr/>
      <w:r>
        <w:rPr>
          <w:lang w:val="en_US" w:bidi="en_US"/>
        </w:rPr>
      </w:r>
      <w:r>
        <w:rPr>
          <w:lang w:val="en_US" w:bidi="en_US"/>
        </w:rPr>
        <w:t>while we were walking</w:t>
      </w:r>
    </w:p>
    <w:p>
      <w:pPr/>
      <w:r>
        <w:rPr>
          <w:lang w:val="en_US" w:bidi="en_US"/>
        </w:rPr>
      </w:r>
      <w:r>
        <w:rPr>
          <w:lang w:val="en_US" w:bidi="en_US"/>
        </w:rPr>
        <w:t>during our journey here</w:t>
      </w:r>
    </w:p>
    <w:p>
      <w:pPr/>
      <w:r>
        <w:rPr>
          <w:lang w:val="en_US" w:bidi="en_US"/>
        </w:rPr>
      </w:r>
      <w:r>
        <w:rPr>
          <w:b/>
          <w:lang w:val="en_US" w:bidi="en_US"/>
        </w:rPr>
        <w:t>opened the Scriptures to us:</w:t>
      </w:r>
      <w:r>
        <w:rPr>
          <w:lang w:val="en_US" w:bidi="en_US"/>
        </w:rPr>
        <w:t xml:space="preserve"> The Greek phrase that the BSB translates as </w:t>
      </w:r>
      <w:r>
        <w:rPr>
          <w:i/>
          <w:lang w:val="en_US" w:bidi="en_US"/>
        </w:rPr>
        <w:t>opened the Scriptures</w:t>
      </w:r>
      <w:r>
        <w:rPr>
          <w:lang w:val="en_US" w:bidi="en_US"/>
        </w:rPr>
        <w:t xml:space="preserve"> is an idiom. It means “explained the Scriptures.” It indicates that Jesus taught the two disciples from the OT Scriptures and explained the meaning so they could understand it. It does not imply that Jesus opened the pages of a book. It also does not indicate that Jesus had a copy of the Scriptures with him. Jesus was teaching the men from his own memory and knowledge of what the Scriptures mean.</w:t>
      </w:r>
    </w:p>
    <w:p>
      <w:pPr/>
      <w:r>
        <w:rPr>
          <w:lang w:val="en_US" w:bidi="en_US"/>
        </w:rPr>
      </w:r>
      <w:r>
        <w:rPr>
          <w:lang w:val="en_US" w:bidi="en_US"/>
        </w:rPr>
        <w:t>Other ways to translate this phrase are:</w:t>
      </w:r>
    </w:p>
    <w:p>
      <w:pPr/>
      <w:r>
        <w:rPr>
          <w:lang w:val="en_US" w:bidi="en_US"/>
        </w:rPr>
      </w:r>
      <w:r>
        <w:rPr>
          <w:lang w:val="en_US" w:bidi="en_US"/>
        </w:rPr>
        <w:t>explained the Scriptures to us (GNT)</w:t>
      </w:r>
    </w:p>
    <w:p>
      <w:pPr/>
      <w:r>
        <w:rPr>
          <w:lang w:val="en_US" w:bidi="en_US"/>
        </w:rPr>
      </w:r>
      <w:r>
        <w:rPr>
          <w:lang w:val="en_US" w:bidi="en_US"/>
        </w:rPr>
        <w:t>helped us understand the Scriptures</w:t>
      </w:r>
    </w:p>
    <w:p>
      <w:pPr/>
      <w:r>
        <w:rPr>
          <w:lang w:val="en_US" w:bidi="en_US"/>
        </w:rPr>
      </w:r>
      <w:r>
        <w:rPr>
          <w:b/>
          <w:lang w:val="en_US" w:bidi="en_US"/>
        </w:rPr>
        <w:t>Scriptures:</w:t>
      </w:r>
      <w:r>
        <w:rPr>
          <w:lang w:val="en_US" w:bidi="en_US"/>
        </w:rPr>
        <w:t xml:space="preserve"> For help in translating the word </w:t>
      </w:r>
      <w:r>
        <w:rPr>
          <w:i/>
          <w:lang w:val="en_US" w:bidi="en_US"/>
        </w:rPr>
        <w:t>Scriptures</w:t>
      </w:r>
      <w:r>
        <w:rPr>
          <w:lang w:val="en_US" w:bidi="en_US"/>
        </w:rPr>
        <w:t>, see the note at 24:27d.</w:t>
      </w:r>
    </w:p>
    <w:p>
      <w:pPr>
        <w:pStyle w:val="Heading6"/>
      </w:pPr>
      <w:r>
        <w:rPr>
          <w:b/>
          <w:lang w:val="en_US" w:bidi="en_US"/>
        </w:rPr>
        <w:t>General Comment on 24:32a–c</w:t>
      </w:r>
    </w:p>
    <w:p>
      <w:pPr/>
      <w:r>
        <w:rPr>
          <w:lang w:val="en_US" w:bidi="en_US"/>
        </w:rPr>
      </w:r>
      <w:r>
        <w:rPr>
          <w:lang w:val="en_US" w:bidi="en_US"/>
        </w:rPr>
        <w:t>In some languages it may be more natural to change the order of clauses in this verse. For example:</w:t>
      </w:r>
    </w:p>
    <w:p>
      <w:pPr/>
      <w:r>
        <w:rPr>
          <w:lang w:val="en_US" w:bidi="en_US"/>
        </w:rPr>
      </w:r>
      <w:r>
        <w:rPr>
          <w:vertAlign w:val="superscript"/>
          <w:lang w:val="en_US" w:bidi="en_US"/>
        </w:rPr>
        <w:t>32a</w:t>
      </w:r>
      <w:r>
        <w:rPr>
          <w:lang w:val="en_US" w:bidi="en_US"/>
        </w:rPr>
        <w:t xml:space="preserve">They said to each other, </w:t>
      </w:r>
      <w:r>
        <w:rPr>
          <w:vertAlign w:val="superscript"/>
          <w:lang w:val="en_US" w:bidi="en_US"/>
        </w:rPr>
        <w:t>32c</w:t>
      </w:r>
      <w:r>
        <w:rPr>
          <w:lang w:val="en_US" w:bidi="en_US"/>
        </w:rPr>
        <w:t xml:space="preserve">“When he talked with us along the road and explained the Scriptures to us, </w:t>
      </w:r>
      <w:r>
        <w:rPr>
          <w:vertAlign w:val="superscript"/>
          <w:lang w:val="en_US" w:bidi="en_US"/>
        </w:rPr>
        <w:t>32b</w:t>
      </w:r>
      <w:r>
        <w:rPr>
          <w:lang w:val="en_US" w:bidi="en_US"/>
        </w:rPr>
        <w:t>didn’t it warm our hearts?” (CEV)</w:t>
      </w:r>
    </w:p>
    <w:p>
      <w:pPr/>
      <w:r>
        <w:rPr>
          <w:lang w:val="en_US" w:bidi="en_US"/>
        </w:rPr>
      </w:r>
      <w:r>
        <w:rPr>
          <w:lang w:val="en_US" w:bidi="en_US"/>
        </w:rPr>
        <w:t>Use an order that is natural in your language.</w:t>
      </w:r>
      <w:r>
        <w:rPr>
          <w:lang w:val="en_US" w:bidi="en_US"/>
        </w:rPr>
      </w:r>
      <w:r>
        <w:rPr>
          <w:lang w:val="en_US" w:bidi="en_US"/>
        </w:rPr>
      </w:r>
    </w:p>
    <w:p>
      <w:pPr/>
      <w:r>
        <w:rPr>
          <w:lang w:val="en_US" w:bidi="en_US"/>
        </w:rPr>
      </w:r>
    </w:p>
    <w:p>
      <w:pPr>
        <w:pStyle w:val="Heading2"/>
      </w:pPr>
      <w:r>
        <w:rPr>
          <w:lang w:val="en_US" w:bidi="en_US"/>
        </w:rPr>
        <w:t>Luke 24:33</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24:33a</w:t>
      </w:r>
    </w:p>
    <w:p>
      <w:pPr/>
      <w:r>
        <w:rPr>
          <w:lang w:val="en_US" w:bidi="en_US"/>
        </w:rPr>
      </w:r>
      <w:r>
        <w:rPr>
          <w:b/>
          <w:lang w:val="en_US" w:bidi="en_US"/>
        </w:rPr>
        <w:t>And they got up that very hour and returned to Jerusalem.</w:t>
      </w:r>
    </w:p>
    <w:p>
      <w:pPr>
        <w:pStyle w:val="ListBullet"/>
        <w:spacing w:line="240" w:lineRule="auto"/>
        <w:ind w:left="720"/>
      </w:pPr>
      <w:r>
        <w:rPr>
          <w:lang w:val="en_US" w:bidi="en_US"/>
        </w:rPr>
      </w:r>
      <w:r>
        <w:rPr>
          <w:lang w:val="en_US" w:bidi="en_US"/>
        </w:rPr>
        <w:t xml:space="preserve">Immediately they got up </w:t>
      </w:r>
      <w:r>
        <w:rPr>
          <w:lang w:val="en_US" w:bidi="en_US"/>
        </w:rPr>
        <w:t>from the table</w:t>
      </w:r>
      <w:r>
        <w:rPr>
          <w:lang w:val="en_US" w:bidi="en_US"/>
        </w:rPr>
        <w:t xml:space="preserve"> and went back to Jerusalem.</w:t>
      </w:r>
    </w:p>
    <w:p>
      <w:pPr>
        <w:pStyle w:val="ListBullet"/>
        <w:spacing w:line="240" w:lineRule="auto"/>
        <w:ind w:left="720"/>
      </w:pPr>
      <w:r>
        <w:rPr>
          <w:lang w:val="en_US" w:bidi="en_US"/>
        </w:rPr>
      </w:r>
      <w:r>
        <w:rPr>
          <w:lang w:val="en_US" w:bidi="en_US"/>
        </w:rPr>
        <w:t xml:space="preserve">Then the two disciples quickly </w:t>
      </w:r>
      <w:r>
        <w:rPr>
          <w:lang w:val="en_US" w:bidi="en_US"/>
        </w:rPr>
        <w:t>left their meal</w:t>
      </w:r>
      <w:r>
        <w:rPr>
          <w:lang w:val="en_US" w:bidi="en_US"/>
        </w:rPr>
        <w:t xml:space="preserve"> and walked back to </w:t>
      </w:r>
      <w:r>
        <w:rPr>
          <w:lang w:val="en_US" w:bidi="en_US"/>
        </w:rPr>
        <w:t>the city of</w:t>
      </w:r>
      <w:r>
        <w:rPr>
          <w:lang w:val="en_US" w:bidi="en_US"/>
        </w:rPr>
        <w:t xml:space="preserve"> Jerusalem.</w:t>
      </w:r>
    </w:p>
    <w:p>
      <w:pPr/>
      <w:r>
        <w:rPr>
          <w:lang w:val="en_US" w:bidi="en_US"/>
        </w:rPr>
      </w:r>
      <w:r>
        <w:rPr>
          <w:b/>
          <w:lang w:val="en_US" w:bidi="en_US"/>
        </w:rPr>
        <w:t>And they got up that very hour and returned to Jerusalem:</w:t>
      </w:r>
      <w:r>
        <w:rPr>
          <w:lang w:val="en_US" w:bidi="en_US"/>
        </w:rPr>
        <w:t xml:space="preserve"> The Greek sentence that the BSB translates as </w:t>
      </w:r>
      <w:r>
        <w:rPr>
          <w:i/>
          <w:lang w:val="en_US" w:bidi="en_US"/>
        </w:rPr>
        <w:t>they got up that very hour and returned</w:t>
      </w:r>
      <w:r>
        <w:rPr>
          <w:lang w:val="en_US" w:bidi="en_US"/>
        </w:rPr>
        <w:t xml:space="preserve"> is literally “Having arisen the very same hour/moment, they returned.” The phrase “the very same hour/moment” emphasizes that the two disciples got up immediately and returned to Jerusalem. They did not wait even an hour. They felt it was urgent to give this news to the other followers of Jesus.</w:t>
      </w:r>
    </w:p>
    <w:p>
      <w:pPr/>
      <w:r>
        <w:rPr>
          <w:lang w:val="en_US" w:bidi="en_US"/>
        </w:rPr>
      </w:r>
      <w:r>
        <w:rPr>
          <w:lang w:val="en_US" w:bidi="en_US"/>
        </w:rPr>
        <w:t>Some other ways to translate this part of the verse are:</w:t>
      </w:r>
    </w:p>
    <w:p>
      <w:pPr/>
      <w:r>
        <w:rPr>
          <w:lang w:val="en_US" w:bidi="en_US"/>
        </w:rPr>
      </w:r>
      <w:r>
        <w:rPr>
          <w:lang w:val="en_US" w:bidi="en_US"/>
        </w:rPr>
        <w:t>So they set out at once and returned to Jerusalem. (NAB)</w:t>
      </w:r>
    </w:p>
    <w:p>
      <w:pPr/>
      <w:r>
        <w:rPr>
          <w:lang w:val="en_US" w:bidi="en_US"/>
        </w:rPr>
      </w:r>
      <w:r>
        <w:rPr>
          <w:lang w:val="en_US" w:bidi="en_US"/>
        </w:rPr>
        <w:t>And they got to their feet without delay and turned back to Jerusalem. (JBP)</w:t>
      </w:r>
    </w:p>
    <w:p>
      <w:pPr/>
      <w:r>
        <w:rPr>
          <w:lang w:val="en_US" w:bidi="en_US"/>
        </w:rPr>
      </w:r>
      <w:r>
        <w:rPr>
          <w:lang w:val="en_US" w:bidi="en_US"/>
        </w:rPr>
        <w:t>So they got right up and returned to Jerusalem. (CEV)</w:t>
      </w:r>
    </w:p>
    <w:p>
      <w:pPr>
        <w:pStyle w:val="Heading5"/>
      </w:pPr>
      <w:r>
        <w:rPr>
          <w:lang w:val="en_US" w:bidi="en_US"/>
        </w:rPr>
        <w:t>24:33b</w:t>
      </w:r>
    </w:p>
    <w:p>
      <w:pPr/>
      <w:r>
        <w:rPr>
          <w:lang w:val="en_US" w:bidi="en_US"/>
        </w:rPr>
      </w:r>
      <w:r>
        <w:rPr>
          <w:b/>
          <w:lang w:val="en_US" w:bidi="en_US"/>
        </w:rPr>
        <w:t>There they found</w:t>
      </w:r>
    </w:p>
    <w:p>
      <w:pPr>
        <w:pStyle w:val="ListBullet"/>
        <w:spacing w:line="240" w:lineRule="auto"/>
        <w:ind w:left="720"/>
      </w:pPr>
      <w:r>
        <w:rPr>
          <w:lang w:val="en_US" w:bidi="en_US"/>
        </w:rPr>
      </w:r>
      <w:r>
        <w:rPr>
          <w:lang w:val="en_US" w:bidi="en_US"/>
        </w:rPr>
        <w:t>When they arrived in the city,</w:t>
      </w:r>
      <w:r>
        <w:rPr>
          <w:lang w:val="en_US" w:bidi="en_US"/>
        </w:rPr>
        <w:t xml:space="preserve"> they went/came to the place where</w:t>
      </w:r>
    </w:p>
    <w:p>
      <w:pPr>
        <w:pStyle w:val="ListBullet"/>
        <w:spacing w:line="240" w:lineRule="auto"/>
        <w:ind w:left="720"/>
      </w:pPr>
      <w:r>
        <w:rPr>
          <w:lang w:val="en_US" w:bidi="en_US"/>
        </w:rPr>
      </w:r>
      <w:r>
        <w:rPr>
          <w:lang w:val="en_US" w:bidi="en_US"/>
        </w:rPr>
        <w:t>There they</w:t>
      </w:r>
      <w:r>
        <w:rPr>
          <w:vertAlign w:val="superscript"/>
          <w:lang w:val="en_US" w:bidi="en_US"/>
        </w:rPr>
        <w:t>(dual)</w:t>
      </w:r>
      <w:r>
        <w:rPr>
          <w:lang w:val="en_US" w:bidi="en_US"/>
        </w:rPr>
        <w:t xml:space="preserve"> found that</w:t>
      </w:r>
    </w:p>
    <w:p>
      <w:pPr>
        <w:pStyle w:val="Heading5"/>
      </w:pPr>
      <w:r>
        <w:rPr>
          <w:lang w:val="en_US" w:bidi="en_US"/>
        </w:rPr>
        <w:t>24:33c</w:t>
      </w:r>
    </w:p>
    <w:p>
      <w:pPr/>
      <w:r>
        <w:rPr>
          <w:lang w:val="en_US" w:bidi="en_US"/>
        </w:rPr>
      </w:r>
      <w:r>
        <w:rPr>
          <w:b/>
          <w:lang w:val="en_US" w:bidi="en_US"/>
        </w:rPr>
        <w:t>the Eleven and those with them, gathered together</w:t>
      </w:r>
    </w:p>
    <w:p>
      <w:pPr>
        <w:pStyle w:val="ListBullet"/>
        <w:spacing w:line="240" w:lineRule="auto"/>
        <w:ind w:left="720"/>
      </w:pPr>
      <w:r>
        <w:rPr>
          <w:lang w:val="en_US" w:bidi="en_US"/>
        </w:rPr>
      </w:r>
      <w:r>
        <w:rPr>
          <w:lang w:val="en_US" w:bidi="en_US"/>
        </w:rPr>
        <w:t xml:space="preserve">the eleven </w:t>
      </w:r>
      <w:r>
        <w:rPr>
          <w:lang w:val="en_US" w:bidi="en_US"/>
        </w:rPr>
        <w:t>apostles</w:t>
      </w:r>
      <w:r>
        <w:rPr>
          <w:lang w:val="en_US" w:bidi="en_US"/>
        </w:rPr>
        <w:t xml:space="preserve"> and other </w:t>
      </w:r>
      <w:r>
        <w:rPr>
          <w:lang w:val="en_US" w:bidi="en_US"/>
        </w:rPr>
        <w:t>followers of Jesus</w:t>
      </w:r>
      <w:r>
        <w:rPr>
          <w:lang w:val="en_US" w:bidi="en_US"/>
        </w:rPr>
        <w:t xml:space="preserve"> had gathered.</w:t>
      </w:r>
    </w:p>
    <w:p>
      <w:pPr>
        <w:pStyle w:val="ListBullet"/>
        <w:spacing w:line="240" w:lineRule="auto"/>
        <w:ind w:left="720"/>
      </w:pPr>
      <w:r>
        <w:rPr>
          <w:lang w:val="en_US" w:bidi="en_US"/>
        </w:rPr>
      </w:r>
      <w:r>
        <w:rPr>
          <w:lang w:val="en_US" w:bidi="en_US"/>
        </w:rPr>
        <w:t xml:space="preserve">the eleven </w:t>
      </w:r>
      <w:r>
        <w:rPr>
          <w:lang w:val="en_US" w:bidi="en_US"/>
        </w:rPr>
        <w:t>apostles</w:t>
      </w:r>
      <w:r>
        <w:rPr>
          <w:lang w:val="en_US" w:bidi="en_US"/>
        </w:rPr>
        <w:t xml:space="preserve"> and other </w:t>
      </w:r>
      <w:r>
        <w:rPr>
          <w:lang w:val="en_US" w:bidi="en_US"/>
        </w:rPr>
        <w:t>followers of Jesus</w:t>
      </w:r>
      <w:r>
        <w:rPr>
          <w:lang w:val="en_US" w:bidi="en_US"/>
        </w:rPr>
        <w:t xml:space="preserve"> were together.</w:t>
      </w:r>
    </w:p>
    <w:p>
      <w:pPr>
        <w:pStyle w:val="Heading5"/>
      </w:pPr>
      <w:r>
        <w:rPr>
          <w:lang w:val="en_US" w:bidi="en_US"/>
        </w:rPr>
        <w:t>24:33b–c</w:t>
      </w:r>
    </w:p>
    <w:p>
      <w:pPr/>
      <w:r>
        <w:rPr>
          <w:lang w:val="en_US" w:bidi="en_US"/>
        </w:rPr>
      </w:r>
      <w:r>
        <w:rPr>
          <w:b/>
          <w:lang w:val="en_US" w:bidi="en_US"/>
        </w:rPr>
        <w:t>There they found the Eleven and those with them, gathered together:</w:t>
      </w:r>
      <w:r>
        <w:rPr>
          <w:lang w:val="en_US" w:bidi="en_US"/>
        </w:rPr>
        <w:t xml:space="preserve"> This clause implies that when the two disciples arrived in Jerusalem, they went to the place where they expected Jesus’ apostles and other followers to be. Just as they expected, the eleven apostles and the others were gathered there. Some other ways to translate the clause are:</w:t>
      </w:r>
    </w:p>
    <w:p>
      <w:pPr/>
      <w:r>
        <w:rPr>
          <w:lang w:val="en_US" w:bidi="en_US"/>
        </w:rPr>
      </w:r>
      <w:r>
        <w:rPr>
          <w:lang w:val="en_US" w:bidi="en_US"/>
        </w:rPr>
        <w:t>There they found the eleven apostles and others gathered (NCV)</w:t>
      </w:r>
    </w:p>
    <w:p>
      <w:pPr/>
      <w:r>
        <w:rPr>
          <w:lang w:val="en_US" w:bidi="en_US"/>
        </w:rPr>
      </w:r>
      <w:r>
        <w:rPr>
          <w:lang w:val="en_US" w:bidi="en_US"/>
        </w:rPr>
        <w:t>There they found that the eleven and the rest of the company had assembled (REB)</w:t>
      </w:r>
    </w:p>
    <w:p>
      <w:pPr/>
      <w:r>
        <w:rPr>
          <w:lang w:val="en_US" w:bidi="en_US"/>
        </w:rPr>
      </w:r>
      <w:r>
        <w:rPr>
          <w:lang w:val="en_US" w:bidi="en_US"/>
        </w:rPr>
        <w:t>and met with the eleven disciples of Jesus and his other companions who had/were gathered</w:t>
      </w:r>
    </w:p>
    <w:p>
      <w:pPr/>
      <w:r>
        <w:rPr>
          <w:lang w:val="en_US" w:bidi="en_US"/>
        </w:rPr>
      </w:r>
      <w:r>
        <w:rPr>
          <w:b/>
          <w:lang w:val="en_US" w:bidi="en_US"/>
        </w:rPr>
        <w:t>the Eleven:</w:t>
      </w:r>
      <w:r>
        <w:rPr>
          <w:lang w:val="en_US" w:bidi="en_US"/>
        </w:rPr>
        <w:t xml:space="preserve"> The phrase </w:t>
      </w:r>
      <w:r>
        <w:rPr>
          <w:i/>
          <w:lang w:val="en_US" w:bidi="en_US"/>
        </w:rPr>
        <w:t>the Eleven</w:t>
      </w:r>
      <w:r>
        <w:rPr>
          <w:lang w:val="en_US" w:bidi="en_US"/>
        </w:rPr>
        <w:t xml:space="preserve"> refers to the group of Jesus’ apostles. See the note on 24:9b for more information. After Judas died (Matthew 27:1–5), the disciples changed the name of this group from “the Twelve” to </w:t>
      </w:r>
      <w:r>
        <w:rPr>
          <w:i/>
          <w:lang w:val="en_US" w:bidi="en_US"/>
        </w:rPr>
        <w:t>the Eleven</w:t>
      </w:r>
      <w:r>
        <w:rPr>
          <w:lang w:val="en_US" w:bidi="en_US"/>
        </w:rPr>
        <w:t>. The phrase is a way to refer to the group as a whole. It does not necessarily imply that all eleven apostles were in that particular gathering. This gathering may have been the same as the one in John 20:24 when Thomas was not there.</w:t>
      </w:r>
    </w:p>
    <w:p>
      <w:pPr/>
      <w:r>
        <w:rPr>
          <w:lang w:val="en_US" w:bidi="en_US"/>
        </w:rPr>
      </w:r>
      <w:r>
        <w:rPr>
          <w:lang w:val="en_US" w:bidi="en_US"/>
        </w:rPr>
        <w:t xml:space="preserve">Another way to translate </w:t>
      </w:r>
      <w:r>
        <w:rPr>
          <w:i/>
          <w:lang w:val="en_US" w:bidi="en_US"/>
        </w:rPr>
        <w:t>the Eleven</w:t>
      </w:r>
      <w:r>
        <w:rPr>
          <w:lang w:val="en_US" w:bidi="en_US"/>
        </w:rPr>
        <w:t xml:space="preserve"> is:</w:t>
      </w:r>
    </w:p>
    <w:p>
      <w:pPr/>
      <w:r>
        <w:rPr>
          <w:lang w:val="en_US" w:bidi="en_US"/>
        </w:rPr>
      </w:r>
      <w:r>
        <w:rPr>
          <w:lang w:val="en_US" w:bidi="en_US"/>
        </w:rPr>
        <w:t>the eleven apostles (NCV)</w:t>
      </w:r>
    </w:p>
    <w:p>
      <w:pPr/>
      <w:r>
        <w:rPr>
          <w:lang w:val="en_US" w:bidi="en_US"/>
        </w:rPr>
      </w:r>
      <w:r>
        <w:rPr>
          <w:b/>
          <w:lang w:val="en_US" w:bidi="en_US"/>
        </w:rPr>
        <w:t>those with them:</w:t>
      </w:r>
      <w:r>
        <w:rPr>
          <w:lang w:val="en_US" w:bidi="en_US"/>
        </w:rPr>
        <w:t xml:space="preserve"> The Greek phrase that the BSB translates as </w:t>
      </w:r>
      <w:r>
        <w:rPr>
          <w:i/>
          <w:lang w:val="en_US" w:bidi="en_US"/>
        </w:rPr>
        <w:t>those with them</w:t>
      </w:r>
      <w:r>
        <w:rPr>
          <w:lang w:val="en_US" w:bidi="en_US"/>
        </w:rPr>
        <w:t xml:space="preserve"> refers to the larger group of Jesus’ followers mentioned as “all the others” in 24:9b. The group included both men and women.</w:t>
      </w:r>
      <w:r>
        <w:rPr>
          <w:lang w:val="en_US" w:bidi="en_US"/>
        </w:rPr>
      </w:r>
      <w:r>
        <w:rPr>
          <w:lang w:val="en_US" w:bidi="en_US"/>
        </w:rPr>
      </w:r>
    </w:p>
    <w:p>
      <w:pPr/>
      <w:r>
        <w:rPr>
          <w:lang w:val="en_US" w:bidi="en_US"/>
        </w:rPr>
      </w:r>
    </w:p>
    <w:p>
      <w:pPr>
        <w:pStyle w:val="Heading2"/>
      </w:pPr>
      <w:r>
        <w:rPr>
          <w:lang w:val="en_US" w:bidi="en_US"/>
        </w:rPr>
        <w:t>Luke 24:34</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24:34a</w:t>
      </w:r>
    </w:p>
    <w:p>
      <w:pPr/>
      <w:r>
        <w:rPr>
          <w:lang w:val="en_US" w:bidi="en_US"/>
        </w:rPr>
      </w:r>
      <w:r>
        <w:rPr>
          <w:b/>
          <w:lang w:val="en_US" w:bidi="en_US"/>
        </w:rPr>
        <w:t>and saying,</w:t>
      </w:r>
    </w:p>
    <w:p>
      <w:pPr>
        <w:pStyle w:val="ListBullet"/>
        <w:spacing w:line="240" w:lineRule="auto"/>
        <w:ind w:left="720"/>
      </w:pPr>
      <w:r>
        <w:rPr>
          <w:lang w:val="en_US" w:bidi="en_US"/>
        </w:rPr>
      </w:r>
      <w:r>
        <w:rPr>
          <w:lang w:val="en_US" w:bidi="en_US"/>
        </w:rPr>
        <w:t>The apostles and the others</w:t>
      </w:r>
      <w:r>
        <w:rPr>
          <w:lang w:val="en_US" w:bidi="en_US"/>
        </w:rPr>
        <w:t xml:space="preserve"> were saying,</w:t>
      </w:r>
    </w:p>
    <w:p>
      <w:pPr>
        <w:pStyle w:val="ListBullet"/>
        <w:spacing w:line="240" w:lineRule="auto"/>
        <w:ind w:left="720"/>
      </w:pPr>
      <w:r>
        <w:rPr>
          <w:lang w:val="en_US" w:bidi="en_US"/>
        </w:rPr>
      </w:r>
      <w:r>
        <w:rPr>
          <w:lang w:val="en_US" w:bidi="en_US"/>
        </w:rPr>
        <w:t>As soon as they arrived</w:t>
      </w:r>
      <w:r>
        <w:rPr>
          <w:lang w:val="en_US" w:bidi="en_US"/>
        </w:rPr>
        <w:t xml:space="preserve"> </w:t>
      </w:r>
      <w:r>
        <w:rPr>
          <w:lang w:val="en_US" w:bidi="en_US"/>
        </w:rPr>
        <w:t>everyone</w:t>
      </w:r>
      <w:r>
        <w:rPr>
          <w:lang w:val="en_US" w:bidi="en_US"/>
        </w:rPr>
        <w:t xml:space="preserve"> </w:t>
      </w:r>
      <w:r>
        <w:rPr>
          <w:lang w:val="en_US" w:bidi="en_US"/>
        </w:rPr>
        <w:t>began</w:t>
      </w:r>
      <w:r>
        <w:rPr>
          <w:lang w:val="en_US" w:bidi="en_US"/>
        </w:rPr>
        <w:t xml:space="preserve"> saying </w:t>
      </w:r>
      <w:r>
        <w:rPr>
          <w:lang w:val="en_US" w:bidi="en_US"/>
        </w:rPr>
        <w:t>to them</w:t>
      </w:r>
      <w:r>
        <w:rPr>
          <w:vertAlign w:val="superscript"/>
          <w:lang w:val="en_US" w:bidi="en_US"/>
        </w:rPr>
        <w:t>(dual)</w:t>
      </w:r>
      <w:r>
        <w:rPr>
          <w:lang w:val="en_US" w:bidi="en_US"/>
        </w:rPr>
        <w:t>,</w:t>
      </w:r>
    </w:p>
    <w:p>
      <w:pPr/>
      <w:r>
        <w:rPr>
          <w:lang w:val="en_US" w:bidi="en_US"/>
        </w:rPr>
      </w:r>
      <w:r>
        <w:rPr>
          <w:b/>
          <w:lang w:val="en_US" w:bidi="en_US"/>
        </w:rPr>
        <w:t>saying:</w:t>
      </w:r>
      <w:r>
        <w:rPr>
          <w:lang w:val="en_US" w:bidi="en_US"/>
        </w:rPr>
        <w:t xml:space="preserve"> The word </w:t>
      </w:r>
      <w:r>
        <w:rPr>
          <w:i/>
          <w:lang w:val="en_US" w:bidi="en_US"/>
        </w:rPr>
        <w:t>saying</w:t>
      </w:r>
      <w:r>
        <w:rPr>
          <w:lang w:val="en_US" w:bidi="en_US"/>
        </w:rPr>
        <w:t xml:space="preserve"> introduces what the group said to the two disciples in 24:34a–b. The group was probably already discussing those things with each other. As soon as the two disciples arrived, the group began telling them that news. The quotations here in 24:34 are probably a summary of what different people in the group said.</w:t>
      </w:r>
    </w:p>
    <w:p>
      <w:pPr/>
      <w:r>
        <w:rPr>
          <w:lang w:val="en_US" w:bidi="en_US"/>
        </w:rPr>
      </w:r>
      <w:r>
        <w:rPr>
          <w:lang w:val="en_US" w:bidi="en_US"/>
        </w:rPr>
        <w:t>Some other ways to introduce what they said are:</w:t>
      </w:r>
    </w:p>
    <w:p>
      <w:pPr/>
      <w:r>
        <w:rPr>
          <w:lang w:val="en_US" w:bidi="en_US"/>
        </w:rPr>
      </w:r>
      <w:r>
        <w:rPr>
          <w:lang w:val="en_US" w:bidi="en_US"/>
        </w:rPr>
        <w:t>They were saying (GW)</w:t>
      </w:r>
    </w:p>
    <w:p>
      <w:pPr/>
      <w:r>
        <w:rPr>
          <w:lang w:val="en_US" w:bidi="en_US"/>
        </w:rPr>
      </w:r>
      <w:r>
        <w:rPr>
          <w:lang w:val="en_US" w:bidi="en_US"/>
        </w:rPr>
        <w:t>They began to tell them</w:t>
      </w:r>
    </w:p>
    <w:p>
      <w:pPr/>
      <w:r>
        <w:rPr>
          <w:lang w:val="en_US" w:bidi="en_US"/>
        </w:rPr>
      </w:r>
      <w:r>
        <w:rPr>
          <w:lang w:val="en_US" w:bidi="en_US"/>
        </w:rPr>
        <w:t>Introduce the quotation in a natural way in your language. In some languages it may be more natural to use indirect speech. See the General Comment on 24:34a–c at the end of 24:34c for an example.</w:t>
      </w:r>
    </w:p>
    <w:p>
      <w:pPr>
        <w:pStyle w:val="Heading5"/>
      </w:pPr>
      <w:r>
        <w:rPr>
          <w:lang w:val="en_US" w:bidi="en_US"/>
        </w:rPr>
        <w:t>24:34b</w:t>
      </w:r>
    </w:p>
    <w:p>
      <w:pPr/>
      <w:r>
        <w:rPr>
          <w:lang w:val="en_US" w:bidi="en_US"/>
        </w:rPr>
      </w:r>
      <w:r>
        <w:rPr>
          <w:b/>
          <w:lang w:val="en_US" w:bidi="en_US"/>
        </w:rPr>
        <w:t>“The Lord has indeed risen</w:t>
      </w:r>
    </w:p>
    <w:p>
      <w:pPr>
        <w:pStyle w:val="ListBullet"/>
        <w:spacing w:line="240" w:lineRule="auto"/>
        <w:ind w:left="720"/>
      </w:pPr>
      <w:r>
        <w:rPr>
          <w:lang w:val="en_US" w:bidi="en_US"/>
        </w:rPr>
      </w:r>
      <w:r>
        <w:rPr>
          <w:lang w:val="en_US" w:bidi="en_US"/>
        </w:rPr>
        <w:t>“The Lord has indeed been raised/resurrected!</w:t>
      </w:r>
    </w:p>
    <w:p>
      <w:pPr>
        <w:pStyle w:val="ListBullet"/>
        <w:spacing w:line="240" w:lineRule="auto"/>
        <w:ind w:left="720"/>
      </w:pPr>
      <w:r>
        <w:rPr>
          <w:lang w:val="en_US" w:bidi="en_US"/>
        </w:rPr>
      </w:r>
      <w:r>
        <w:rPr>
          <w:lang w:val="en_US" w:bidi="en_US"/>
        </w:rPr>
        <w:t>“The Lord is truly alive again!</w:t>
      </w:r>
    </w:p>
    <w:p>
      <w:pPr>
        <w:pStyle w:val="ListBullet"/>
        <w:spacing w:line="240" w:lineRule="auto"/>
        <w:ind w:left="720"/>
      </w:pPr>
      <w:r>
        <w:rPr>
          <w:lang w:val="en_US" w:bidi="en_US"/>
        </w:rPr>
      </w:r>
      <w:r>
        <w:rPr>
          <w:lang w:val="en_US" w:bidi="en_US"/>
        </w:rPr>
        <w:t>“</w:t>
      </w:r>
      <w:r>
        <w:rPr>
          <w:lang w:val="en_US" w:bidi="en_US"/>
        </w:rPr>
        <w:t>What we heard earlier</w:t>
      </w:r>
      <w:r>
        <w:rPr>
          <w:lang w:val="en_US" w:bidi="en_US"/>
        </w:rPr>
        <w:t xml:space="preserve"> is really true! </w:t>
      </w:r>
      <w:r>
        <w:rPr>
          <w:lang w:val="en_US" w:bidi="en_US"/>
        </w:rPr>
        <w:t>God</w:t>
      </w:r>
      <w:r>
        <w:rPr>
          <w:lang w:val="en_US" w:bidi="en_US"/>
        </w:rPr>
        <w:t xml:space="preserve"> </w:t>
      </w:r>
      <w:r>
        <w:rPr>
          <w:lang w:val="en_US" w:bidi="en_US"/>
        </w:rPr>
        <w:t>has caused</w:t>
      </w:r>
      <w:r>
        <w:rPr>
          <w:lang w:val="en_US" w:bidi="en_US"/>
        </w:rPr>
        <w:t xml:space="preserve"> our Lord to live again!</w:t>
      </w:r>
    </w:p>
    <w:p>
      <w:pPr/>
      <w:r>
        <w:rPr>
          <w:lang w:val="en_US" w:bidi="en_US"/>
        </w:rPr>
      </w:r>
      <w:r>
        <w:rPr>
          <w:b/>
          <w:lang w:val="en_US" w:bidi="en_US"/>
        </w:rPr>
        <w:t>The Lord has indeed risen:</w:t>
      </w:r>
      <w:r>
        <w:rPr>
          <w:lang w:val="en_US" w:bidi="en_US"/>
        </w:rPr>
        <w:t xml:space="preserve"> The Greek phrase that the BSB translates as </w:t>
      </w:r>
      <w:r>
        <w:rPr>
          <w:i/>
          <w:lang w:val="en_US" w:bidi="en_US"/>
        </w:rPr>
        <w:t>The Lord has indeed risen</w:t>
      </w:r>
      <w:r>
        <w:rPr>
          <w:lang w:val="en_US" w:bidi="en_US"/>
        </w:rPr>
        <w:t xml:space="preserve"> is literally “The Lord has really/certainly risen.” This statement by the larger group of disciples confirmed that what the women had earlier told them was true. It implies that they now had further evidence that Jesus had come back to life. Some other ways to translate this statement are:</w:t>
      </w:r>
    </w:p>
    <w:p>
      <w:pPr/>
      <w:r>
        <w:rPr>
          <w:lang w:val="en_US" w:bidi="en_US"/>
        </w:rPr>
      </w:r>
      <w:r>
        <w:rPr>
          <w:lang w:val="en_US" w:bidi="en_US"/>
        </w:rPr>
        <w:t>The Lord has really come back to life… (GW)</w:t>
      </w:r>
    </w:p>
    <w:p>
      <w:pPr/>
      <w:r>
        <w:rPr>
          <w:lang w:val="en_US" w:bidi="en_US"/>
        </w:rPr>
      </w:r>
      <w:r>
        <w:rPr>
          <w:lang w:val="en_US" w:bidi="en_US"/>
        </w:rPr>
        <w:t>The Lord has really risen! (NLT)</w:t>
      </w:r>
    </w:p>
    <w:p>
      <w:pPr/>
      <w:r>
        <w:rPr>
          <w:lang w:val="en_US" w:bidi="en_US"/>
        </w:rPr>
      </w:r>
      <w:r>
        <w:rPr>
          <w:b/>
          <w:lang w:val="en_US" w:bidi="en_US"/>
        </w:rPr>
        <w:t>The Lord has…risen:</w:t>
      </w:r>
      <w:r>
        <w:rPr>
          <w:lang w:val="en_US" w:bidi="en_US"/>
        </w:rPr>
        <w:t xml:space="preserve"> The clause </w:t>
      </w:r>
      <w:r>
        <w:rPr>
          <w:i/>
          <w:lang w:val="en_US" w:bidi="en_US"/>
        </w:rPr>
        <w:t>The Lord has…risen</w:t>
      </w:r>
      <w:r>
        <w:rPr>
          <w:lang w:val="en_US" w:bidi="en_US"/>
        </w:rPr>
        <w:t xml:space="preserve"> indicates that the Lord Jesus had been dead, but now he was alive. The Greek verb that the BSB translates as </w:t>
      </w:r>
      <w:r>
        <w:rPr>
          <w:i/>
          <w:lang w:val="en_US" w:bidi="en_US"/>
        </w:rPr>
        <w:t>has…risen</w:t>
      </w:r>
      <w:r>
        <w:rPr>
          <w:lang w:val="en_US" w:bidi="en_US"/>
        </w:rPr>
        <w:t xml:space="preserve"> occurred in 24:6. It is good to translate it in the same way here. For more information, see the note at 24:6b.</w:t>
      </w:r>
    </w:p>
    <w:p>
      <w:pPr/>
      <w:r>
        <w:rPr>
          <w:lang w:val="en_US" w:bidi="en_US"/>
        </w:rPr>
      </w:r>
      <w:r>
        <w:rPr>
          <w:b/>
          <w:lang w:val="en_US" w:bidi="en_US"/>
        </w:rPr>
        <w:t>Lord:</w:t>
      </w:r>
      <w:r>
        <w:rPr>
          <w:lang w:val="en_US" w:bidi="en_US"/>
        </w:rPr>
        <w:t xml:space="preserve"> The word </w:t>
      </w:r>
      <w:r>
        <w:rPr>
          <w:i/>
          <w:lang w:val="en_US" w:bidi="en_US"/>
        </w:rPr>
        <w:t>Lord</w:t>
      </w:r>
      <w:r>
        <w:rPr>
          <w:lang w:val="en_US" w:bidi="en_US"/>
        </w:rPr>
        <w:t xml:space="preserve"> refers here to Jesus. In some languages it may be necessary to refer to him more explicitly. For example:</w:t>
      </w:r>
    </w:p>
    <w:p>
      <w:pPr/>
      <w:r>
        <w:rPr>
          <w:lang w:val="en_US" w:bidi="en_US"/>
        </w:rPr>
      </w:r>
      <w:r>
        <w:rPr>
          <w:lang w:val="en_US" w:bidi="en_US"/>
        </w:rPr>
        <w:t xml:space="preserve">the Lord </w:t>
      </w:r>
      <w:r>
        <w:rPr>
          <w:lang w:val="en_US" w:bidi="en_US"/>
        </w:rPr>
        <w:t>Jesus</w:t>
      </w:r>
    </w:p>
    <w:p>
      <w:pPr/>
      <w:r>
        <w:rPr>
          <w:lang w:val="en_US" w:bidi="en_US"/>
        </w:rPr>
      </w:r>
      <w:r>
        <w:rPr>
          <w:lang w:val="en_US" w:bidi="en_US"/>
        </w:rPr>
        <w:t xml:space="preserve">our Lord </w:t>
      </w:r>
      <w:r>
        <w:rPr>
          <w:lang w:val="en_US" w:bidi="en_US"/>
        </w:rPr>
        <w:t>Jesus</w:t>
      </w:r>
    </w:p>
    <w:p>
      <w:pPr/>
      <w:r>
        <w:rPr>
          <w:lang w:val="en_US" w:bidi="en_US"/>
        </w:rPr>
      </w:r>
      <w:r>
        <w:rPr>
          <w:lang w:val="en_US" w:bidi="en_US"/>
        </w:rPr>
        <w:t>For more information, see Lord, Context 3, in the Glossary.</w:t>
      </w:r>
    </w:p>
    <w:p>
      <w:pPr>
        <w:pStyle w:val="Heading5"/>
      </w:pPr>
      <w:r>
        <w:rPr>
          <w:lang w:val="en_US" w:bidi="en_US"/>
        </w:rPr>
        <w:t>24:34c</w:t>
      </w:r>
    </w:p>
    <w:p>
      <w:pPr/>
      <w:r>
        <w:rPr>
          <w:lang w:val="en_US" w:bidi="en_US"/>
        </w:rPr>
      </w:r>
      <w:r>
        <w:rPr>
          <w:b/>
          <w:lang w:val="en_US" w:bidi="en_US"/>
        </w:rPr>
        <w:t>and has appeared to Simon!”</w:t>
      </w:r>
    </w:p>
    <w:p>
      <w:pPr>
        <w:pStyle w:val="ListBullet"/>
        <w:spacing w:line="240" w:lineRule="auto"/>
        <w:ind w:left="720"/>
      </w:pPr>
      <w:r>
        <w:rPr>
          <w:lang w:val="en_US" w:bidi="en_US"/>
        </w:rPr>
      </w:r>
      <w:r>
        <w:rPr>
          <w:lang w:val="en_US" w:bidi="en_US"/>
        </w:rPr>
        <w:t xml:space="preserve">He has appeared to Simon </w:t>
      </w:r>
      <w:r>
        <w:rPr>
          <w:lang w:val="en_US" w:bidi="en_US"/>
        </w:rPr>
        <w:t>Peter</w:t>
      </w:r>
      <w:r>
        <w:rPr>
          <w:lang w:val="en_US" w:bidi="en_US"/>
        </w:rPr>
        <w:t>!”</w:t>
      </w:r>
    </w:p>
    <w:p>
      <w:pPr>
        <w:pStyle w:val="ListBullet"/>
        <w:spacing w:line="240" w:lineRule="auto"/>
        <w:ind w:left="720"/>
      </w:pPr>
      <w:r>
        <w:rPr>
          <w:lang w:val="en_US" w:bidi="en_US"/>
        </w:rPr>
      </w:r>
      <w:r>
        <w:rPr>
          <w:lang w:val="en_US" w:bidi="en_US"/>
        </w:rPr>
        <w:t xml:space="preserve">Simon has seen him </w:t>
      </w:r>
      <w:r>
        <w:rPr>
          <w:lang w:val="en_US" w:bidi="en_US"/>
        </w:rPr>
        <w:t>with his own eyes</w:t>
      </w:r>
      <w:r>
        <w:rPr>
          <w:lang w:val="en_US" w:bidi="en_US"/>
        </w:rPr>
        <w:t>!”</w:t>
      </w:r>
    </w:p>
    <w:p>
      <w:pPr/>
      <w:r>
        <w:rPr>
          <w:lang w:val="en_US" w:bidi="en_US"/>
        </w:rPr>
      </w:r>
      <w:r>
        <w:rPr>
          <w:b/>
          <w:lang w:val="en_US" w:bidi="en_US"/>
        </w:rPr>
        <w:t>and has appeared to Simon:</w:t>
      </w:r>
      <w:r>
        <w:rPr>
          <w:lang w:val="en_US" w:bidi="en_US"/>
        </w:rPr>
        <w:t xml:space="preserve"> This clause indicates that Jesus had come to Simon and Simon had seen him. The verse implies that Simon had told the others that he had seen Jesus. When Simon told them about it, they believed that Jesus really was alive. This happened on the same Sunday when Jesus came back to life. Other ways to say </w:t>
      </w:r>
      <w:r>
        <w:rPr>
          <w:i/>
          <w:lang w:val="en_US" w:bidi="en_US"/>
        </w:rPr>
        <w:t>has appeared to Simon</w:t>
      </w:r>
      <w:r>
        <w:rPr>
          <w:lang w:val="en_US" w:bidi="en_US"/>
        </w:rPr>
        <w:t xml:space="preserve"> are:</w:t>
      </w:r>
    </w:p>
    <w:p>
      <w:pPr/>
      <w:r>
        <w:rPr>
          <w:lang w:val="en_US" w:bidi="en_US"/>
        </w:rPr>
      </w:r>
      <w:r>
        <w:rPr>
          <w:lang w:val="en_US" w:bidi="en_US"/>
        </w:rPr>
        <w:t xml:space="preserve">Simon has seen him </w:t>
      </w:r>
      <w:r>
        <w:rPr>
          <w:lang w:val="en_US" w:bidi="en_US"/>
        </w:rPr>
        <w:t>with his own eyes</w:t>
      </w:r>
      <w:r>
        <w:rPr>
          <w:lang w:val="en_US" w:bidi="en_US"/>
        </w:rPr>
        <w:t>!</w:t>
      </w:r>
    </w:p>
    <w:p>
      <w:pPr/>
      <w:r>
        <w:rPr>
          <w:lang w:val="en_US" w:bidi="en_US"/>
        </w:rPr>
      </w:r>
      <w:r>
        <w:rPr>
          <w:lang w:val="en_US" w:bidi="en_US"/>
        </w:rPr>
        <w:t>He has been seen by Simon.</w:t>
      </w:r>
    </w:p>
    <w:p>
      <w:pPr/>
      <w:r>
        <w:rPr>
          <w:lang w:val="en_US" w:bidi="en_US"/>
        </w:rPr>
      </w:r>
      <w:r>
        <w:rPr>
          <w:lang w:val="en_US" w:bidi="en_US"/>
        </w:rPr>
        <w:t>He came to Simon, and Simon saw him.</w:t>
      </w:r>
    </w:p>
    <w:p>
      <w:pPr/>
      <w:r>
        <w:rPr>
          <w:lang w:val="en_US" w:bidi="en_US"/>
        </w:rPr>
      </w:r>
      <w:r>
        <w:rPr>
          <w:b/>
          <w:lang w:val="en_US" w:bidi="en_US"/>
        </w:rPr>
        <w:t>Simon:</w:t>
      </w:r>
      <w:r>
        <w:rPr>
          <w:lang w:val="en_US" w:bidi="en_US"/>
        </w:rPr>
        <w:t xml:space="preserve"> </w:t>
      </w:r>
      <w:r>
        <w:rPr>
          <w:i/>
          <w:lang w:val="en_US" w:bidi="en_US"/>
        </w:rPr>
        <w:t>Simon</w:t>
      </w:r>
      <w:r>
        <w:rPr>
          <w:lang w:val="en_US" w:bidi="en_US"/>
        </w:rPr>
        <w:t xml:space="preserve"> was the other name for the apostle Peter.</w:t>
      </w:r>
    </w:p>
    <w:p>
      <w:pPr>
        <w:pStyle w:val="Heading6"/>
      </w:pPr>
      <w:r>
        <w:rPr>
          <w:b/>
          <w:lang w:val="en_US" w:bidi="en_US"/>
        </w:rPr>
        <w:t>General Comment on 24:34a–c</w:t>
      </w:r>
    </w:p>
    <w:p>
      <w:pPr/>
      <w:r>
        <w:rPr>
          <w:lang w:val="en_US" w:bidi="en_US"/>
        </w:rPr>
      </w:r>
      <w:r>
        <w:rPr>
          <w:lang w:val="en_US" w:bidi="en_US"/>
        </w:rPr>
        <w:t>In some languages it is more natural to translate the quotation in this verse as indirect speech. For example:</w:t>
      </w:r>
    </w:p>
    <w:p>
      <w:pPr/>
      <w:r>
        <w:rPr>
          <w:lang w:val="en_US" w:bidi="en_US"/>
        </w:rPr>
      </w:r>
      <w:r>
        <w:rPr>
          <w:lang w:val="en_US" w:bidi="en_US"/>
        </w:rPr>
        <w:t>They told the two disciples that the Lord was really alive and had appeared to Simon.</w:t>
      </w:r>
      <w:r>
        <w:rPr>
          <w:lang w:val="en_US" w:bidi="en_US"/>
        </w:rPr>
      </w:r>
      <w:r>
        <w:rPr>
          <w:lang w:val="en_US" w:bidi="en_US"/>
        </w:rPr>
      </w:r>
    </w:p>
    <w:p>
      <w:pPr/>
      <w:r>
        <w:rPr>
          <w:lang w:val="en_US" w:bidi="en_US"/>
        </w:rPr>
      </w:r>
    </w:p>
    <w:p>
      <w:pPr>
        <w:pStyle w:val="Heading2"/>
      </w:pPr>
      <w:r>
        <w:rPr>
          <w:lang w:val="en_US" w:bidi="en_US"/>
        </w:rPr>
        <w:t>Luke 24:35</w:t>
      </w:r>
      <w:r>
        <w:rPr>
          <w:lang w:val="en_US" w:bidi="en_US"/>
        </w:rPr>
      </w:r>
    </w:p>
    <w:p>
      <w:pPr>
        <w:pStyle w:val="Heading4"/>
      </w:pPr>
      <w:r>
        <w:rPr>
          <w:lang w:val="en_US" w:bidi="en_US"/>
        </w:rPr>
        <w:t>Section 24:13–35: Jesus came to two disciples on the road to Emmaus</w:t>
      </w:r>
    </w:p>
    <w:p>
      <w:pPr/>
      <w:r>
        <w:rPr>
          <w:lang w:val="en_US" w:bidi="en_US"/>
        </w:rPr>
      </w:r>
      <w:r>
        <w:rPr>
          <w:lang w:val="en_US" w:bidi="en_US"/>
        </w:rPr>
        <w:t>The author told how two of Jesus’ disciples saw Jesus on the road to the village of Emmaus, but they did not know that he was Jesus. He talked with them and reminded them that God’s prophets had said that the Messiah would die and rise again. They invited him into their home. As he sat at the table with them, God caused them to realize that this man himself was Jesus, who had become alive again. Jesus disappeared, and the two disciples went quickly back to Jerusalem and told the other disciples that they had seen the Lord.</w:t>
      </w:r>
    </w:p>
    <w:p>
      <w:pPr/>
      <w:r>
        <w:rPr>
          <w:lang w:val="en_US" w:bidi="en_US"/>
        </w:rPr>
      </w:r>
      <w:r>
        <w:rPr>
          <w:lang w:val="en_US" w:bidi="en_US"/>
        </w:rPr>
        <w:t>The account in this section does not occur elsewhere in Scripture. Some other examples of headings for this section are:</w:t>
      </w:r>
    </w:p>
    <w:p>
      <w:pPr/>
      <w:r>
        <w:rPr>
          <w:lang w:val="en_US" w:bidi="en_US"/>
        </w:rPr>
      </w:r>
      <w:r>
        <w:rPr>
          <w:lang w:val="en_US" w:bidi="en_US"/>
        </w:rPr>
        <w:t>Jesus Appears to Two Disciples (CEV)</w:t>
      </w:r>
    </w:p>
    <w:p>
      <w:pPr/>
      <w:r>
        <w:rPr>
          <w:lang w:val="en_US" w:bidi="en_US"/>
        </w:rPr>
      </w:r>
      <w:r>
        <w:rPr>
          <w:lang w:val="en_US" w:bidi="en_US"/>
        </w:rPr>
        <w:t>The Walk to Emmaus (NLT)</w:t>
      </w:r>
    </w:p>
    <w:p>
      <w:pPr>
        <w:pStyle w:val="Heading5"/>
      </w:pPr>
      <w:r>
        <w:rPr>
          <w:lang w:val="en_US" w:bidi="en_US"/>
        </w:rPr>
        <w:t>24:35a</w:t>
      </w:r>
    </w:p>
    <w:p>
      <w:pPr/>
      <w:r>
        <w:rPr>
          <w:lang w:val="en_US" w:bidi="en_US"/>
        </w:rPr>
      </w:r>
      <w:r>
        <w:rPr>
          <w:b/>
          <w:lang w:val="en_US" w:bidi="en_US"/>
        </w:rPr>
        <w:t>Then the two told what had happened</w:t>
      </w:r>
    </w:p>
    <w:p>
      <w:pPr>
        <w:pStyle w:val="ListBullet"/>
        <w:spacing w:line="240" w:lineRule="auto"/>
        <w:ind w:left="720"/>
      </w:pPr>
      <w:r>
        <w:rPr>
          <w:lang w:val="en_US" w:bidi="en_US"/>
        </w:rPr>
      </w:r>
      <w:r>
        <w:rPr>
          <w:lang w:val="en_US" w:bidi="en_US"/>
        </w:rPr>
        <w:t xml:space="preserve">Then the two </w:t>
      </w:r>
      <w:r>
        <w:rPr>
          <w:lang w:val="en_US" w:bidi="en_US"/>
        </w:rPr>
        <w:t>disciples</w:t>
      </w:r>
      <w:r>
        <w:rPr>
          <w:lang w:val="en_US" w:bidi="en_US"/>
        </w:rPr>
        <w:t xml:space="preserve"> told them what happened</w:t>
      </w:r>
    </w:p>
    <w:p>
      <w:pPr>
        <w:pStyle w:val="ListBullet"/>
        <w:spacing w:line="240" w:lineRule="auto"/>
        <w:ind w:left="720"/>
      </w:pPr>
      <w:r>
        <w:rPr>
          <w:lang w:val="en_US" w:bidi="en_US"/>
        </w:rPr>
      </w:r>
      <w:r>
        <w:rPr>
          <w:lang w:val="en_US" w:bidi="en_US"/>
        </w:rPr>
        <w:t xml:space="preserve">Then the two </w:t>
      </w:r>
      <w:r>
        <w:rPr>
          <w:lang w:val="en_US" w:bidi="en_US"/>
        </w:rPr>
        <w:t>disciples</w:t>
      </w:r>
      <w:r>
        <w:rPr>
          <w:lang w:val="en_US" w:bidi="en_US"/>
        </w:rPr>
        <w:t xml:space="preserve"> told them that </w:t>
      </w:r>
      <w:r>
        <w:rPr>
          <w:lang w:val="en_US" w:bidi="en_US"/>
        </w:rPr>
        <w:t>Jesus came and talked with them</w:t>
      </w:r>
    </w:p>
    <w:p>
      <w:pPr>
        <w:pStyle w:val="Heading5"/>
      </w:pPr>
      <w:r>
        <w:rPr>
          <w:lang w:val="en_US" w:bidi="en_US"/>
        </w:rPr>
        <w:t>24:35b</w:t>
      </w:r>
    </w:p>
    <w:p>
      <w:pPr/>
      <w:r>
        <w:rPr>
          <w:lang w:val="en_US" w:bidi="en_US"/>
        </w:rPr>
      </w:r>
      <w:r>
        <w:rPr>
          <w:b/>
          <w:lang w:val="en_US" w:bidi="en_US"/>
        </w:rPr>
        <w:t>on the road,</w:t>
      </w:r>
    </w:p>
    <w:p>
      <w:pPr>
        <w:pStyle w:val="ListBullet"/>
        <w:spacing w:line="240" w:lineRule="auto"/>
        <w:ind w:left="720"/>
      </w:pPr>
      <w:r>
        <w:rPr>
          <w:lang w:val="en_US" w:bidi="en_US"/>
        </w:rPr>
      </w:r>
      <w:r>
        <w:rPr>
          <w:lang w:val="en_US" w:bidi="en_US"/>
        </w:rPr>
        <w:t>as they walked on the road.</w:t>
      </w:r>
    </w:p>
    <w:p>
      <w:pPr>
        <w:pStyle w:val="ListBullet"/>
        <w:spacing w:line="240" w:lineRule="auto"/>
        <w:ind w:left="720"/>
      </w:pPr>
      <w:r>
        <w:rPr>
          <w:lang w:val="en_US" w:bidi="en_US"/>
        </w:rPr>
      </w:r>
      <w:r>
        <w:rPr>
          <w:lang w:val="en_US" w:bidi="en_US"/>
        </w:rPr>
        <w:t xml:space="preserve">on their journey </w:t>
      </w:r>
      <w:r>
        <w:rPr>
          <w:lang w:val="en_US" w:bidi="en_US"/>
        </w:rPr>
        <w:t>to Emmaus</w:t>
      </w:r>
      <w:r>
        <w:rPr>
          <w:lang w:val="en_US" w:bidi="en_US"/>
        </w:rPr>
        <w:t>,</w:t>
      </w:r>
    </w:p>
    <w:p>
      <w:pPr>
        <w:pStyle w:val="Heading5"/>
      </w:pPr>
      <w:r>
        <w:rPr>
          <w:lang w:val="en_US" w:bidi="en_US"/>
        </w:rPr>
        <w:t>24:35a–b</w:t>
      </w:r>
    </w:p>
    <w:p>
      <w:pPr/>
      <w:r>
        <w:rPr>
          <w:lang w:val="en_US" w:bidi="en_US"/>
        </w:rPr>
      </w:r>
      <w:r>
        <w:rPr>
          <w:b/>
          <w:lang w:val="en_US" w:bidi="en_US"/>
        </w:rPr>
        <w:t>Then the two:</w:t>
      </w:r>
      <w:r>
        <w:rPr>
          <w:lang w:val="en_US" w:bidi="en_US"/>
        </w:rPr>
        <w:t xml:space="preserve"> The Greek phrase that the BSB translates as </w:t>
      </w:r>
      <w:r>
        <w:rPr>
          <w:i/>
          <w:lang w:val="en_US" w:bidi="en_US"/>
        </w:rPr>
        <w:t>Then the two</w:t>
      </w:r>
      <w:r>
        <w:rPr>
          <w:lang w:val="en_US" w:bidi="en_US"/>
        </w:rPr>
        <w:t xml:space="preserve"> is more literally “and they.” The word “they” is emphatic. It refers to the two followers from Emmaus. The phrase “and they” indicates that the focus has shifted to those two followers. It was their turn to tell their news to the group of apostles and other disciples of Jesus.</w:t>
      </w:r>
    </w:p>
    <w:p>
      <w:pPr/>
      <w:r>
        <w:rPr>
          <w:lang w:val="en_US" w:bidi="en_US"/>
        </w:rPr>
      </w:r>
      <w:r>
        <w:rPr>
          <w:lang w:val="en_US" w:bidi="en_US"/>
        </w:rPr>
        <w:t>English versions refer to the two disciples from Emmaus here in different ways. For example:</w:t>
      </w:r>
    </w:p>
    <w:p>
      <w:pPr/>
      <w:r>
        <w:rPr>
          <w:lang w:val="en_US" w:bidi="en_US"/>
        </w:rPr>
      </w:r>
      <w:r>
        <w:rPr>
          <w:lang w:val="en_US" w:bidi="en_US"/>
        </w:rPr>
        <w:t>Then the disciples from Emmaus (CEV)</w:t>
      </w:r>
    </w:p>
    <w:p>
      <w:pPr/>
      <w:r>
        <w:rPr>
          <w:lang w:val="en_US" w:bidi="en_US"/>
        </w:rPr>
      </w:r>
      <w:r>
        <w:rPr>
          <w:lang w:val="en_US" w:bidi="en_US"/>
        </w:rPr>
        <w:t>Then the two followers (NCV)</w:t>
      </w:r>
    </w:p>
    <w:p>
      <w:pPr/>
      <w:r>
        <w:rPr>
          <w:lang w:val="en_US" w:bidi="en_US"/>
        </w:rPr>
      </w:r>
      <w:r>
        <w:rPr>
          <w:lang w:val="en_US" w:bidi="en_US"/>
        </w:rPr>
        <w:t>And those two</w:t>
      </w:r>
    </w:p>
    <w:p>
      <w:pPr/>
      <w:r>
        <w:rPr>
          <w:lang w:val="en_US" w:bidi="en_US"/>
        </w:rPr>
      </w:r>
      <w:r>
        <w:rPr>
          <w:b/>
          <w:lang w:val="en_US" w:bidi="en_US"/>
        </w:rPr>
        <w:t>told what had happened on the road:</w:t>
      </w:r>
      <w:r>
        <w:rPr>
          <w:lang w:val="en_US" w:bidi="en_US"/>
        </w:rPr>
        <w:t xml:space="preserve"> The phrase </w:t>
      </w:r>
      <w:r>
        <w:rPr>
          <w:i/>
          <w:lang w:val="en_US" w:bidi="en_US"/>
        </w:rPr>
        <w:t>told what had happened</w:t>
      </w:r>
      <w:r>
        <w:rPr>
          <w:lang w:val="en_US" w:bidi="en_US"/>
        </w:rPr>
        <w:t xml:space="preserve"> indicates that the two disciples informed the group about the events that they had experienced. Here it refers specifically to seeing and talking to Jesus on the road. Use a natural phrase in your language to refer to this. Some other ways to translate it in English are:</w:t>
      </w:r>
    </w:p>
    <w:p>
      <w:pPr/>
      <w:r>
        <w:rPr>
          <w:lang w:val="en_US" w:bidi="en_US"/>
        </w:rPr>
      </w:r>
      <w:r>
        <w:rPr>
          <w:lang w:val="en_US" w:bidi="en_US"/>
        </w:rPr>
        <w:t>began to relate their experiences on the road (NASB)</w:t>
      </w:r>
    </w:p>
    <w:p>
      <w:pPr/>
      <w:r>
        <w:rPr>
          <w:lang w:val="en_US" w:bidi="en_US"/>
        </w:rPr>
      </w:r>
      <w:r>
        <w:rPr>
          <w:lang w:val="en_US" w:bidi="en_US"/>
        </w:rPr>
        <w:t>told their story of how Jesus had appeared to them as they were walking along the road (NLT)</w:t>
      </w:r>
    </w:p>
    <w:p>
      <w:pPr/>
      <w:r>
        <w:rPr>
          <w:lang w:val="en_US" w:bidi="en_US"/>
        </w:rPr>
      </w:r>
      <w:r>
        <w:rPr>
          <w:lang w:val="en_US" w:bidi="en_US"/>
        </w:rPr>
        <w:t>described what had happened on their journey (REB)</w:t>
      </w:r>
    </w:p>
    <w:p>
      <w:pPr/>
      <w:r>
        <w:rPr>
          <w:lang w:val="en_US" w:bidi="en_US"/>
        </w:rPr>
      </w:r>
      <w:r>
        <w:rPr>
          <w:b/>
          <w:lang w:val="en_US" w:bidi="en_US"/>
        </w:rPr>
        <w:t>on the road:</w:t>
      </w:r>
      <w:r>
        <w:rPr>
          <w:lang w:val="en_US" w:bidi="en_US"/>
        </w:rPr>
        <w:t xml:space="preserve"> The phrase </w:t>
      </w:r>
      <w:r>
        <w:rPr>
          <w:i/>
          <w:lang w:val="en_US" w:bidi="en_US"/>
        </w:rPr>
        <w:t>on the road</w:t>
      </w:r>
      <w:r>
        <w:rPr>
          <w:lang w:val="en_US" w:bidi="en_US"/>
        </w:rPr>
        <w:t xml:space="preserve"> means “during the journey” or “while they were walking along.” It is the same phrase that was translated as “on the road” in 24:32. See how you translated it there, but use a natural phrase in this context.</w:t>
      </w:r>
    </w:p>
    <w:p>
      <w:pPr>
        <w:pStyle w:val="Heading5"/>
      </w:pPr>
      <w:r>
        <w:rPr>
          <w:lang w:val="en_US" w:bidi="en_US"/>
        </w:rPr>
        <w:t>24:35c</w:t>
      </w:r>
    </w:p>
    <w:p>
      <w:pPr/>
      <w:r>
        <w:rPr>
          <w:lang w:val="en_US" w:bidi="en_US"/>
        </w:rPr>
      </w:r>
      <w:r>
        <w:rPr>
          <w:b/>
          <w:lang w:val="en_US" w:bidi="en_US"/>
        </w:rPr>
        <w:t>and how they had recognized Jesus</w:t>
      </w:r>
    </w:p>
    <w:p>
      <w:pPr>
        <w:pStyle w:val="ListBullet"/>
        <w:spacing w:line="240" w:lineRule="auto"/>
        <w:ind w:left="720"/>
      </w:pPr>
      <w:r>
        <w:rPr>
          <w:lang w:val="en_US" w:bidi="en_US"/>
        </w:rPr>
      </w:r>
      <w:r>
        <w:rPr>
          <w:lang w:val="en_US" w:bidi="en_US"/>
        </w:rPr>
        <w:t>They told how they realized that it was Jesus</w:t>
      </w:r>
    </w:p>
    <w:p>
      <w:pPr>
        <w:pStyle w:val="ListBullet"/>
        <w:spacing w:line="240" w:lineRule="auto"/>
        <w:ind w:left="720"/>
      </w:pPr>
      <w:r>
        <w:rPr>
          <w:lang w:val="en_US" w:bidi="en_US"/>
        </w:rPr>
      </w:r>
      <w:r>
        <w:rPr>
          <w:lang w:val="en_US" w:bidi="en_US"/>
        </w:rPr>
        <w:t>but they only recognized/knew him</w:t>
      </w:r>
    </w:p>
    <w:p>
      <w:pPr/>
      <w:r>
        <w:rPr>
          <w:lang w:val="en_US" w:bidi="en_US"/>
        </w:rPr>
      </w:r>
      <w:r>
        <w:rPr>
          <w:b/>
          <w:lang w:val="en_US" w:bidi="en_US"/>
        </w:rPr>
        <w:t>how they had recognized Jesus:</w:t>
      </w:r>
      <w:r>
        <w:rPr>
          <w:lang w:val="en_US" w:bidi="en_US"/>
        </w:rPr>
        <w:t xml:space="preserve"> In Greek this clause is literally, “how he-was-made-known to them.” This clause is passive. Some ways to translate it are:</w:t>
      </w:r>
    </w:p>
    <w:p>
      <w:pPr>
        <w:pStyle w:val="ListBullet"/>
        <w:spacing w:line="240" w:lineRule="auto"/>
        <w:ind w:left="720"/>
      </w:pPr>
      <w:r>
        <w:rPr>
          <w:lang w:val="en_US" w:bidi="en_US"/>
        </w:rPr>
      </w:r>
      <w:r>
        <w:rPr>
          <w:lang w:val="en_US" w:bidi="en_US"/>
        </w:rPr>
        <w:t>As a passive clause. For example:</w:t>
      </w:r>
      <w:r>
        <w:rPr>
          <w:lang w:val="en_US" w:bidi="en_US"/>
        </w:rPr>
        <w:t>how he was known to them (RSV)</w:t>
      </w:r>
    </w:p>
    <w:p>
      <w:pPr>
        <w:pStyle w:val="ListBullet"/>
        <w:spacing w:line="240" w:lineRule="auto"/>
        <w:ind w:left="720"/>
      </w:pPr>
      <w:r>
        <w:rPr>
          <w:lang w:val="en_US" w:bidi="en_US"/>
        </w:rPr>
      </w:r>
      <w:r>
        <w:rPr>
          <w:lang w:val="en_US" w:bidi="en_US"/>
        </w:rPr>
        <w:t>As an active clause, as the BSB does. For example:</w:t>
      </w:r>
      <w:r>
        <w:rPr>
          <w:lang w:val="en_US" w:bidi="en_US"/>
        </w:rPr>
        <w:t>how they had recognized him (NLT)</w:t>
      </w:r>
    </w:p>
    <w:p>
      <w:pPr/>
      <w:r>
        <w:rPr>
          <w:lang w:val="en_US" w:bidi="en_US"/>
        </w:rPr>
      </w:r>
      <w:r>
        <w:rPr>
          <w:lang w:val="en_US" w:bidi="en_US"/>
        </w:rPr>
        <w:t>Translate the clause in a natural way in your language.</w:t>
      </w:r>
    </w:p>
    <w:p>
      <w:pPr/>
      <w:r>
        <w:rPr>
          <w:lang w:val="en_US" w:bidi="en_US"/>
        </w:rPr>
      </w:r>
      <w:r>
        <w:rPr>
          <w:b/>
          <w:lang w:val="en_US" w:bidi="en_US"/>
        </w:rPr>
        <w:t>they had recognized Jesus:</w:t>
      </w:r>
      <w:r>
        <w:rPr>
          <w:lang w:val="en_US" w:bidi="en_US"/>
        </w:rPr>
        <w:t xml:space="preserve"> The Greek phrase that the BSB translates as </w:t>
      </w:r>
      <w:r>
        <w:rPr>
          <w:i/>
          <w:lang w:val="en_US" w:bidi="en_US"/>
        </w:rPr>
        <w:t>they had recognized Jesus</w:t>
      </w:r>
      <w:r>
        <w:rPr>
          <w:lang w:val="en_US" w:bidi="en_US"/>
        </w:rPr>
        <w:t xml:space="preserve"> is more literally “he-was-recognized.” English versions refer to him in different ways in this phrase.</w:t>
      </w:r>
      <w:r>
        <w:rPr>
          <w:lang w:val="en_US" w:bidi="en_US"/>
        </w:rPr>
        <w:t>The text referred to him as “Lord” in 24:34. However, it referred to him as “Jesus” in 24:15, when he first came to the Emmaus disciples. After that, he is referred to as “he.”</w:t>
      </w:r>
      <w:r>
        <w:rPr>
          <w:lang w:val="en_US" w:bidi="en_US"/>
        </w:rPr>
        <w:t xml:space="preserve"> For example:</w:t>
      </w:r>
    </w:p>
    <w:p>
      <w:pPr/>
      <w:r>
        <w:rPr>
          <w:lang w:val="en_US" w:bidi="en_US"/>
        </w:rPr>
      </w:r>
      <w:r>
        <w:rPr>
          <w:lang w:val="en_US" w:bidi="en_US"/>
        </w:rPr>
        <w:t>they had recognized the Lord (GNT)</w:t>
      </w:r>
    </w:p>
    <w:p>
      <w:pPr/>
      <w:r>
        <w:rPr>
          <w:lang w:val="en_US" w:bidi="en_US"/>
        </w:rPr>
      </w:r>
      <w:r>
        <w:rPr>
          <w:lang w:val="en_US" w:bidi="en_US"/>
        </w:rPr>
        <w:t>they had recognized Jesus (GW)</w:t>
      </w:r>
    </w:p>
    <w:p>
      <w:pPr/>
      <w:r>
        <w:rPr>
          <w:lang w:val="en_US" w:bidi="en_US"/>
        </w:rPr>
      </w:r>
      <w:r>
        <w:rPr>
          <w:lang w:val="en_US" w:bidi="en_US"/>
        </w:rPr>
        <w:t>He was recognized by them (NASB)</w:t>
      </w:r>
    </w:p>
    <w:p>
      <w:pPr/>
      <w:r>
        <w:rPr>
          <w:lang w:val="en_US" w:bidi="en_US"/>
        </w:rPr>
      </w:r>
      <w:r>
        <w:rPr>
          <w:lang w:val="en_US" w:bidi="en_US"/>
        </w:rPr>
        <w:t>Refer to him here in a clear and natural way in your language.</w:t>
      </w:r>
    </w:p>
    <w:p>
      <w:pPr>
        <w:pStyle w:val="Heading5"/>
      </w:pPr>
      <w:r>
        <w:rPr>
          <w:lang w:val="en_US" w:bidi="en_US"/>
        </w:rPr>
        <w:t>24:35d</w:t>
      </w:r>
    </w:p>
    <w:p>
      <w:pPr/>
      <w:r>
        <w:rPr>
          <w:lang w:val="en_US" w:bidi="en_US"/>
        </w:rPr>
      </w:r>
      <w:r>
        <w:rPr>
          <w:b/>
          <w:lang w:val="en_US" w:bidi="en_US"/>
        </w:rPr>
        <w:t>in the breaking of the bread.</w:t>
      </w:r>
    </w:p>
    <w:p>
      <w:pPr>
        <w:pStyle w:val="ListBullet"/>
        <w:spacing w:line="240" w:lineRule="auto"/>
        <w:ind w:left="720"/>
      </w:pPr>
      <w:r>
        <w:rPr>
          <w:lang w:val="en_US" w:bidi="en_US"/>
        </w:rPr>
      </w:r>
      <w:r>
        <w:rPr>
          <w:lang w:val="en_US" w:bidi="en_US"/>
        </w:rPr>
        <w:t xml:space="preserve">as he broke the bread </w:t>
      </w:r>
      <w:r>
        <w:rPr>
          <w:lang w:val="en_US" w:bidi="en_US"/>
        </w:rPr>
        <w:t>for them</w:t>
      </w:r>
      <w:r>
        <w:rPr>
          <w:lang w:val="en_US" w:bidi="en_US"/>
        </w:rPr>
        <w:t>.</w:t>
      </w:r>
    </w:p>
    <w:p>
      <w:pPr>
        <w:pStyle w:val="ListBullet"/>
        <w:spacing w:line="240" w:lineRule="auto"/>
        <w:ind w:left="720"/>
      </w:pPr>
      <w:r>
        <w:rPr>
          <w:lang w:val="en_US" w:bidi="en_US"/>
        </w:rPr>
      </w:r>
      <w:r>
        <w:rPr>
          <w:lang w:val="en_US" w:bidi="en_US"/>
        </w:rPr>
        <w:t xml:space="preserve">as he was breaking/tearing the bread </w:t>
      </w:r>
      <w:r>
        <w:rPr>
          <w:lang w:val="en_US" w:bidi="en_US"/>
        </w:rPr>
        <w:t>into portions/pieces</w:t>
      </w:r>
      <w:r>
        <w:rPr>
          <w:lang w:val="en_US" w:bidi="en_US"/>
        </w:rPr>
        <w:t xml:space="preserve"> </w:t>
      </w:r>
      <w:r>
        <w:rPr>
          <w:lang w:val="en_US" w:bidi="en_US"/>
        </w:rPr>
        <w:t>for them</w:t>
      </w:r>
      <w:r>
        <w:rPr>
          <w:lang w:val="en_US" w:bidi="en_US"/>
        </w:rPr>
        <w:t>.</w:t>
      </w:r>
    </w:p>
    <w:p>
      <w:pPr/>
      <w:r>
        <w:rPr>
          <w:lang w:val="en_US" w:bidi="en_US"/>
        </w:rPr>
      </w:r>
      <w:r>
        <w:rPr>
          <w:b/>
          <w:lang w:val="en_US" w:bidi="en_US"/>
        </w:rPr>
        <w:t>in the breaking of the bread:</w:t>
      </w:r>
      <w:r>
        <w:rPr>
          <w:lang w:val="en_US" w:bidi="en_US"/>
        </w:rPr>
        <w:t xml:space="preserve"> The BSB literally represents the Greek of this clause. This phrase tells what caused the two disciples to recognize Jesus. It refers back to the action in 24:30, where Jesus broke some bread and gave it to them. It is good to translate the action in a similar way here, so that readers can recognize it as the same action. Some other ways to translate it are:</w:t>
      </w:r>
    </w:p>
    <w:p>
      <w:pPr/>
      <w:r>
        <w:rPr>
          <w:lang w:val="en_US" w:bidi="en_US"/>
        </w:rPr>
      </w:r>
      <w:r>
        <w:rPr>
          <w:lang w:val="en_US" w:bidi="en_US"/>
        </w:rPr>
        <w:t>as he was breaking the bread (NLT96)</w:t>
      </w:r>
    </w:p>
    <w:p>
      <w:pPr/>
      <w:r>
        <w:rPr>
          <w:lang w:val="en_US" w:bidi="en_US"/>
        </w:rPr>
      </w:r>
      <w:r>
        <w:rPr>
          <w:lang w:val="en_US" w:bidi="en_US"/>
        </w:rPr>
        <w:t>when he tore the bread</w:t>
      </w:r>
    </w:p>
    <w:p>
      <w:pPr/>
      <w:r>
        <w:rPr>
          <w:lang w:val="en_US" w:bidi="en_US"/>
        </w:rPr>
      </w:r>
      <w:r>
        <w:rPr>
          <w:lang w:val="en_US" w:bidi="en_US"/>
        </w:rPr>
        <w:t>Refer back to this action in a natural way in your language.</w:t>
      </w:r>
      <w:r>
        <w:rPr>
          <w:lang w:val="en_US" w:bidi="en_US"/>
        </w:rPr>
      </w:r>
      <w:r>
        <w:rPr>
          <w:lang w:val="en_US" w:bidi="en_US"/>
        </w:rPr>
      </w:r>
    </w:p>
    <w:p>
      <w:pPr/>
      <w:r>
        <w:rPr>
          <w:lang w:val="en_US" w:bidi="en_US"/>
        </w:rPr>
      </w:r>
    </w:p>
    <w:p>
      <w:pPr>
        <w:pStyle w:val="Heading2"/>
      </w:pPr>
      <w:r>
        <w:rPr>
          <w:lang w:val="en_US" w:bidi="en_US"/>
        </w:rPr>
        <w:t>Luke 24:36</w:t>
      </w:r>
      <w:r>
        <w:rPr>
          <w:lang w:val="en_US" w:bidi="en_US"/>
        </w:rPr>
      </w:r>
    </w:p>
    <w:p>
      <w:pPr>
        <w:pStyle w:val="Heading4"/>
      </w:pPr>
      <w:r>
        <w:rPr>
          <w:lang w:val="en_US" w:bidi="en_US"/>
        </w:rPr>
        <w:t>Section 24:36–43: Jesus appeared to his followers</w:t>
      </w:r>
    </w:p>
    <w:p>
      <w:pPr/>
      <w:r>
        <w:rPr>
          <w:lang w:val="en_US" w:bidi="en_US"/>
        </w:rPr>
      </w:r>
      <w:r>
        <w:rPr>
          <w:lang w:val="en_US" w:bidi="en_US"/>
        </w:rPr>
        <w:t>This section tells about another time when Jesus appeared to people after he rose from the dead. Jesus had already appeared to Simon (24:34) and to the two men on the road to Emmaus. In this section Jesus appeared to all eleven apostles and those who were with them. He ate with them and proved that he really was alive.</w:t>
      </w:r>
    </w:p>
    <w:p>
      <w:pPr/>
      <w:r>
        <w:rPr>
          <w:lang w:val="en_US" w:bidi="en_US"/>
        </w:rPr>
      </w:r>
      <w:r>
        <w:rPr>
          <w:lang w:val="en_US" w:bidi="en_US"/>
        </w:rPr>
        <w:t>Some examples of other headings for this section are:</w:t>
      </w:r>
    </w:p>
    <w:p>
      <w:pPr/>
      <w:r>
        <w:rPr>
          <w:lang w:val="en_US" w:bidi="en_US"/>
        </w:rPr>
      </w:r>
      <w:r>
        <w:rPr>
          <w:lang w:val="en_US" w:bidi="en_US"/>
        </w:rPr>
        <w:t>Jesus Appears to His Followers (NCV)</w:t>
      </w:r>
    </w:p>
    <w:p>
      <w:pPr/>
      <w:r>
        <w:rPr>
          <w:lang w:val="en_US" w:bidi="en_US"/>
        </w:rPr>
      </w:r>
      <w:r>
        <w:rPr>
          <w:lang w:val="en_US" w:bidi="en_US"/>
        </w:rPr>
        <w:t>Jesus showed his followers that he was alive</w:t>
      </w:r>
    </w:p>
    <w:p>
      <w:pPr/>
      <w:r>
        <w:rPr>
          <w:lang w:val="en_US" w:bidi="en_US"/>
        </w:rPr>
      </w:r>
      <w:r>
        <w:rPr>
          <w:lang w:val="en_US" w:bidi="en_US"/>
        </w:rPr>
        <w:t>There are parallel passages for this section in Mark 16:14, John 20:19–23, and Acts 1:4–5.</w:t>
      </w:r>
    </w:p>
    <w:p>
      <w:pPr>
        <w:pStyle w:val="Heading5"/>
      </w:pPr>
      <w:r>
        <w:rPr>
          <w:lang w:val="en_US" w:bidi="en_US"/>
        </w:rPr>
        <w:t>24:36a</w:t>
      </w:r>
    </w:p>
    <w:p>
      <w:pPr/>
      <w:r>
        <w:rPr>
          <w:lang w:val="en_US" w:bidi="en_US"/>
        </w:rPr>
      </w:r>
      <w:r>
        <w:rPr>
          <w:b/>
          <w:lang w:val="en_US" w:bidi="en_US"/>
        </w:rPr>
        <w:t>While they were describing these events,</w:t>
      </w:r>
    </w:p>
    <w:p>
      <w:pPr>
        <w:pStyle w:val="ListBullet"/>
        <w:spacing w:line="240" w:lineRule="auto"/>
        <w:ind w:left="720"/>
      </w:pPr>
      <w:r>
        <w:rPr>
          <w:lang w:val="en_US" w:bidi="en_US"/>
        </w:rPr>
      </w:r>
      <w:r>
        <w:rPr>
          <w:lang w:val="en_US" w:bidi="en_US"/>
        </w:rPr>
        <w:t>¶ As they were saying these things,</w:t>
      </w:r>
    </w:p>
    <w:p>
      <w:pPr>
        <w:pStyle w:val="ListBullet"/>
        <w:spacing w:line="240" w:lineRule="auto"/>
        <w:ind w:left="720"/>
      </w:pPr>
      <w:r>
        <w:rPr>
          <w:lang w:val="en_US" w:bidi="en_US"/>
        </w:rPr>
      </w:r>
      <w:r>
        <w:rPr>
          <w:lang w:val="en_US" w:bidi="en_US"/>
        </w:rPr>
        <w:t>¶ They</w:t>
      </w:r>
      <w:r>
        <w:rPr>
          <w:vertAlign w:val="superscript"/>
          <w:lang w:val="en_US" w:bidi="en_US"/>
        </w:rPr>
        <w:t>(dual)</w:t>
      </w:r>
      <w:r>
        <w:rPr>
          <w:lang w:val="en_US" w:bidi="en_US"/>
        </w:rPr>
        <w:t xml:space="preserve"> were still talking about this when </w:t>
      </w:r>
      <w:r>
        <w:rPr>
          <w:lang w:val="en_US" w:bidi="en_US"/>
        </w:rPr>
        <w:t>suddenly</w:t>
      </w:r>
    </w:p>
    <w:p>
      <w:pPr>
        <w:pStyle w:val="ListBullet"/>
        <w:spacing w:line="240" w:lineRule="auto"/>
        <w:ind w:left="720"/>
      </w:pPr>
      <w:r>
        <w:rPr>
          <w:lang w:val="en_US" w:bidi="en_US"/>
        </w:rPr>
      </w:r>
      <w:r>
        <w:rPr>
          <w:lang w:val="en_US" w:bidi="en_US"/>
        </w:rPr>
        <w:t>¶ As they spoke about that,</w:t>
      </w:r>
    </w:p>
    <w:p>
      <w:pPr/>
      <w:r>
        <w:rPr>
          <w:lang w:val="en_US" w:bidi="en_US"/>
        </w:rPr>
      </w:r>
      <w:r>
        <w:rPr>
          <w:b/>
          <w:lang w:val="en_US" w:bidi="en_US"/>
        </w:rPr>
        <w:t>While they were describing these events:</w:t>
      </w:r>
      <w:r>
        <w:rPr>
          <w:lang w:val="en_US" w:bidi="en_US"/>
        </w:rPr>
        <w:t xml:space="preserve"> This clause introduces the very important event in 24:36b: Jesus appeared to all his followers when they were gathered together. He appeared as the two disciples were speaking in 24:35. Consider how you would introduce an important event like this in your language.</w:t>
      </w:r>
    </w:p>
    <w:p>
      <w:pPr/>
      <w:r>
        <w:rPr>
          <w:lang w:val="en_US" w:bidi="en_US"/>
        </w:rPr>
      </w:r>
      <w:r>
        <w:rPr>
          <w:lang w:val="en_US" w:bidi="en_US"/>
        </w:rPr>
        <w:t>Some ways to introduce the event in English are:</w:t>
      </w:r>
    </w:p>
    <w:p>
      <w:pPr/>
      <w:r>
        <w:rPr>
          <w:lang w:val="en_US" w:bidi="en_US"/>
        </w:rPr>
      </w:r>
      <w:r>
        <w:rPr>
          <w:lang w:val="en_US" w:bidi="en_US"/>
        </w:rPr>
        <w:t xml:space="preserve">They were still talking about this when </w:t>
      </w:r>
      <w:r>
        <w:rPr>
          <w:lang w:val="en_US" w:bidi="en_US"/>
        </w:rPr>
        <w:t>suddenly</w:t>
      </w:r>
    </w:p>
    <w:p>
      <w:pPr/>
      <w:r>
        <w:rPr>
          <w:lang w:val="en_US" w:bidi="en_US"/>
        </w:rPr>
      </w:r>
      <w:r>
        <w:rPr>
          <w:lang w:val="en_US" w:bidi="en_US"/>
        </w:rPr>
        <w:t>As they were talking about all this (REB)</w:t>
      </w:r>
    </w:p>
    <w:p>
      <w:pPr/>
      <w:r>
        <w:rPr>
          <w:lang w:val="en_US" w:bidi="en_US"/>
        </w:rPr>
      </w:r>
      <w:r>
        <w:rPr>
          <w:lang w:val="en_US" w:bidi="en_US"/>
        </w:rPr>
        <w:t>And just as they were telling about it (NLT)</w:t>
      </w:r>
    </w:p>
    <w:p>
      <w:pPr/>
      <w:r>
        <w:rPr>
          <w:lang w:val="en_US" w:bidi="en_US"/>
        </w:rPr>
      </w:r>
      <w:r>
        <w:rPr>
          <w:lang w:val="en_US" w:bidi="en_US"/>
        </w:rPr>
        <w:t>Introduce 24:36b in a way that is natural in your language.</w:t>
      </w:r>
    </w:p>
    <w:p>
      <w:pPr>
        <w:pStyle w:val="Heading5"/>
      </w:pPr>
      <w:r>
        <w:rPr>
          <w:lang w:val="en_US" w:bidi="en_US"/>
        </w:rPr>
        <w:t>24:36b</w:t>
      </w:r>
    </w:p>
    <w:p>
      <w:pPr/>
      <w:r>
        <w:rPr>
          <w:lang w:val="en_US" w:bidi="en_US"/>
        </w:rPr>
      </w:r>
      <w:r>
        <w:rPr>
          <w:b/>
          <w:lang w:val="en_US" w:bidi="en_US"/>
        </w:rPr>
        <w:t>Jesus Himself stood among them</w:t>
      </w:r>
    </w:p>
    <w:p>
      <w:pPr>
        <w:pStyle w:val="ListBullet"/>
        <w:spacing w:line="240" w:lineRule="auto"/>
        <w:ind w:left="720"/>
      </w:pPr>
      <w:r>
        <w:rPr>
          <w:lang w:val="en_US" w:bidi="en_US"/>
        </w:rPr>
      </w:r>
      <w:r>
        <w:rPr>
          <w:lang w:val="en_US" w:bidi="en_US"/>
        </w:rPr>
        <w:t xml:space="preserve">he/Jesus himself </w:t>
      </w:r>
      <w:r>
        <w:rPr>
          <w:lang w:val="en_US" w:bidi="en_US"/>
        </w:rPr>
        <w:t>appeared and</w:t>
      </w:r>
      <w:r>
        <w:rPr>
          <w:lang w:val="en_US" w:bidi="en_US"/>
        </w:rPr>
        <w:t xml:space="preserve"> stood among his followers.</w:t>
      </w:r>
    </w:p>
    <w:p>
      <w:pPr>
        <w:pStyle w:val="ListBullet"/>
        <w:spacing w:line="240" w:lineRule="auto"/>
        <w:ind w:left="720"/>
      </w:pPr>
      <w:r>
        <w:rPr>
          <w:lang w:val="en_US" w:bidi="en_US"/>
        </w:rPr>
      </w:r>
      <w:r>
        <w:rPr>
          <w:lang w:val="en_US" w:bidi="en_US"/>
        </w:rPr>
        <w:t xml:space="preserve">his followers saw </w:t>
      </w:r>
      <w:r>
        <w:rPr>
          <w:lang w:val="en_US" w:bidi="en_US"/>
        </w:rPr>
        <w:t>the Lord</w:t>
      </w:r>
      <w:r>
        <w:rPr>
          <w:lang w:val="en_US" w:bidi="en_US"/>
        </w:rPr>
        <w:t xml:space="preserve"> Jesus himself. He was standing </w:t>
      </w:r>
      <w:r>
        <w:rPr>
          <w:lang w:val="en_US" w:bidi="en_US"/>
        </w:rPr>
        <w:t>there</w:t>
      </w:r>
      <w:r>
        <w:rPr>
          <w:lang w:val="en_US" w:bidi="en_US"/>
        </w:rPr>
        <w:t xml:space="preserve"> with them.</w:t>
      </w:r>
    </w:p>
    <w:p>
      <w:pPr>
        <w:pStyle w:val="ListBullet"/>
        <w:spacing w:line="240" w:lineRule="auto"/>
        <w:ind w:left="720"/>
      </w:pPr>
      <w:r>
        <w:rPr>
          <w:lang w:val="en_US" w:bidi="en_US"/>
        </w:rPr>
      </w:r>
      <w:r>
        <w:rPr>
          <w:lang w:val="en_US" w:bidi="en_US"/>
        </w:rPr>
        <w:t>suddenly</w:t>
      </w:r>
      <w:r>
        <w:rPr>
          <w:lang w:val="en_US" w:bidi="en_US"/>
        </w:rPr>
        <w:t xml:space="preserve"> Jesus was standing there among his followers.</w:t>
      </w:r>
    </w:p>
    <w:p>
      <w:pPr/>
      <w:r>
        <w:rPr>
          <w:lang w:val="en_US" w:bidi="en_US"/>
        </w:rPr>
      </w:r>
      <w:r>
        <w:rPr>
          <w:b/>
          <w:lang w:val="en_US" w:bidi="en_US"/>
        </w:rPr>
        <w:t>Jesus Himself stood among them:</w:t>
      </w:r>
      <w:r>
        <w:rPr>
          <w:lang w:val="en_US" w:bidi="en_US"/>
        </w:rPr>
        <w:t xml:space="preserve"> The phrase </w:t>
      </w:r>
      <w:r>
        <w:rPr>
          <w:i/>
          <w:lang w:val="en_US" w:bidi="en_US"/>
        </w:rPr>
        <w:t>Jesus Himself</w:t>
      </w:r>
      <w:r>
        <w:rPr>
          <w:lang w:val="en_US" w:bidi="en_US"/>
        </w:rPr>
        <w:t xml:space="preserve"> is more literally “he himself,” as in the NJB. The phrase “he himself” is emphatic. It emphasizes that just as the disciples spoke about Jesus, he himself was there with all of them. Some other ways to translate the clause </w:t>
      </w:r>
      <w:r>
        <w:rPr>
          <w:i/>
          <w:lang w:val="en_US" w:bidi="en_US"/>
        </w:rPr>
        <w:t>Jesus Himself stood among them</w:t>
      </w:r>
      <w:r>
        <w:rPr>
          <w:lang w:val="en_US" w:bidi="en_US"/>
        </w:rPr>
        <w:t xml:space="preserve"> are:</w:t>
      </w:r>
    </w:p>
    <w:p>
      <w:pPr/>
      <w:r>
        <w:rPr>
          <w:lang w:val="en_US" w:bidi="en_US"/>
        </w:rPr>
      </w:r>
      <w:r>
        <w:rPr>
          <w:lang w:val="en_US" w:bidi="en_US"/>
        </w:rPr>
        <w:t>Jesus himself was suddenly standing there among them (NLT)</w:t>
      </w:r>
    </w:p>
    <w:p>
      <w:pPr/>
      <w:r>
        <w:rPr>
          <w:lang w:val="en_US" w:bidi="en_US"/>
        </w:rPr>
      </w:r>
      <w:r>
        <w:rPr>
          <w:lang w:val="en_US" w:bidi="en_US"/>
        </w:rPr>
        <w:t>suddenly the Lord himself stood among them (GNT)</w:t>
      </w:r>
    </w:p>
    <w:p>
      <w:pPr/>
      <w:r>
        <w:rPr>
          <w:lang w:val="en_US" w:bidi="en_US"/>
        </w:rPr>
      </w:r>
      <w:r>
        <w:rPr>
          <w:lang w:val="en_US" w:bidi="en_US"/>
        </w:rPr>
        <w:t>there he was, standing among them (REB)</w:t>
      </w:r>
    </w:p>
    <w:p>
      <w:pPr/>
      <w:r>
        <w:rPr>
          <w:lang w:val="en_US" w:bidi="en_US"/>
        </w:rPr>
      </w:r>
      <w:r>
        <w:rPr>
          <w:lang w:val="en_US" w:bidi="en_US"/>
        </w:rPr>
        <w:t xml:space="preserve">English versions translate the phrase “he himself” in different ways. Some use these pronouns, and others use the name </w:t>
      </w:r>
      <w:r>
        <w:rPr>
          <w:i/>
          <w:lang w:val="en_US" w:bidi="en_US"/>
        </w:rPr>
        <w:t>Jesus</w:t>
      </w:r>
      <w:r>
        <w:rPr>
          <w:lang w:val="en_US" w:bidi="en_US"/>
        </w:rPr>
        <w:t>. The GNT (see example above) has “the Lord.” This phrase refers back to 24:35, especially to the phrase “they had recognized Jesus.” See how you translated it there.</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everyone present, not just to the two disciples from Emmaus.</w:t>
      </w:r>
    </w:p>
    <w:p>
      <w:pPr>
        <w:pStyle w:val="Heading5"/>
      </w:pPr>
      <w:r>
        <w:rPr>
          <w:lang w:val="en_US" w:bidi="en_US"/>
        </w:rPr>
        <w:t>24:36c</w:t>
      </w:r>
    </w:p>
    <w:p>
      <w:pPr/>
      <w:r>
        <w:rPr>
          <w:lang w:val="en_US" w:bidi="en_US"/>
        </w:rPr>
      </w:r>
      <w:r>
        <w:rPr>
          <w:b/>
          <w:lang w:val="en_US" w:bidi="en_US"/>
        </w:rPr>
        <w:t>and said, “Peace be with you.”</w:t>
      </w:r>
    </w:p>
    <w:p>
      <w:pPr>
        <w:pStyle w:val="ListBullet"/>
        <w:spacing w:line="240" w:lineRule="auto"/>
        <w:ind w:left="720"/>
      </w:pPr>
      <w:r>
        <w:rPr>
          <w:lang w:val="en_US" w:bidi="en_US"/>
        </w:rPr>
      </w:r>
      <w:r>
        <w:rPr>
          <w:lang w:val="en_US" w:bidi="en_US"/>
        </w:rPr>
        <w:t>And he said to them, “Receive</w:t>
      </w:r>
      <w:r>
        <w:rPr>
          <w:vertAlign w:val="superscript"/>
          <w:lang w:val="en_US" w:bidi="en_US"/>
        </w:rPr>
        <w:t>(plur)</w:t>
      </w:r>
      <w:r>
        <w:rPr>
          <w:lang w:val="en_US" w:bidi="en_US"/>
        </w:rPr>
        <w:t xml:space="preserve"> peace/well-being </w:t>
      </w:r>
      <w:r>
        <w:rPr>
          <w:lang w:val="en_US" w:bidi="en_US"/>
        </w:rPr>
        <w:t>from God</w:t>
      </w:r>
      <w:r>
        <w:rPr>
          <w:lang w:val="en_US" w:bidi="en_US"/>
        </w:rPr>
        <w:t>.”</w:t>
      </w:r>
    </w:p>
    <w:p>
      <w:pPr>
        <w:pStyle w:val="ListBullet"/>
        <w:spacing w:line="240" w:lineRule="auto"/>
        <w:ind w:left="720"/>
      </w:pPr>
      <w:r>
        <w:rPr>
          <w:lang w:val="en_US" w:bidi="en_US"/>
        </w:rPr>
      </w:r>
      <w:r>
        <w:rPr>
          <w:lang w:val="en_US" w:bidi="en_US"/>
        </w:rPr>
        <w:t>And he said, “</w:t>
      </w:r>
      <w:r>
        <w:rPr>
          <w:lang w:val="en_US" w:bidi="en_US"/>
        </w:rPr>
        <w:t>May God</w:t>
      </w:r>
      <w:r>
        <w:rPr>
          <w:lang w:val="en_US" w:bidi="en_US"/>
        </w:rPr>
        <w:t xml:space="preserve"> bless/prosper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He said to them, “</w:t>
      </w:r>
      <w:r>
        <w:rPr>
          <w:lang w:val="en_US" w:bidi="en_US"/>
        </w:rPr>
        <w:t>I give</w:t>
      </w:r>
      <w:r>
        <w:rPr>
          <w:lang w:val="en_US" w:bidi="en_US"/>
        </w:rPr>
        <w:t xml:space="preserve"> you</w:t>
      </w:r>
      <w:r>
        <w:rPr>
          <w:vertAlign w:val="superscript"/>
          <w:lang w:val="en_US" w:bidi="en_US"/>
        </w:rPr>
        <w:t>(plur)</w:t>
      </w:r>
      <w:r>
        <w:rPr>
          <w:lang w:val="en_US" w:bidi="en_US"/>
        </w:rPr>
        <w:t xml:space="preserve"> blessing/well-being from God.”</w:t>
      </w:r>
    </w:p>
    <w:p>
      <w:pPr/>
      <w:r>
        <w:rPr>
          <w:lang w:val="en_US" w:bidi="en_US"/>
        </w:rPr>
      </w:r>
      <w:r>
        <w:rPr>
          <w:lang w:val="en_US" w:bidi="en_US"/>
        </w:rPr>
        <w:t>There is a textual issue concerning the clause in this part of the verse:</w:t>
      </w:r>
    </w:p>
    <w:p>
      <w:pPr>
        <w:pStyle w:val="ListNumber"/>
        <w:numPr>
          <w:ilvl w:val="0"/>
          <w:numId w:val="369"/>
        </w:numPr>
        <w:spacing w:line="240" w:lineRule="auto"/>
        <w:ind w:left="720"/>
      </w:pPr>
      <w:r>
        <w:rPr>
          <w:lang w:val="en_US" w:bidi="en_US"/>
        </w:rPr>
      </w:r>
      <w:r>
        <w:rPr>
          <w:lang w:val="en_US" w:bidi="en_US"/>
        </w:rPr>
        <w:t>Most Greek manuscripts include 24:36c. For example:</w:t>
      </w:r>
      <w:r>
        <w:rPr>
          <w:lang w:val="en_US" w:bidi="en_US"/>
        </w:rPr>
        <w:t xml:space="preserve">and said to them, “Peace be with you.” (NIV) </w:t>
      </w:r>
      <w:r>
        <w:rPr>
          <w:i/>
          <w:lang w:val="en_US" w:bidi="en_US"/>
        </w:rPr>
        <w:t>(BSB, NIV, NRSV, GNT, NJB, NET, ESV, GW, NLT, NCV, CEV, KJV, JBP)</w:t>
      </w:r>
    </w:p>
    <w:p>
      <w:pPr>
        <w:pStyle w:val="ListNumber"/>
        <w:spacing w:line="240" w:lineRule="auto"/>
        <w:ind w:left="720"/>
      </w:pPr>
      <w:r>
        <w:rPr>
          <w:lang w:val="en_US" w:bidi="en_US"/>
        </w:rPr>
      </w:r>
      <w:r>
        <w:rPr>
          <w:lang w:val="en_US" w:bidi="en_US"/>
        </w:rPr>
        <w:t xml:space="preserve">A few Greek manuscripts do not include 24:36c. </w:t>
      </w:r>
      <w:r>
        <w:rPr>
          <w:i/>
          <w:lang w:val="en_US" w:bidi="en_US"/>
        </w:rPr>
        <w:t>(RSV, NASB, REB)</w:t>
      </w:r>
    </w:p>
    <w:p>
      <w:pPr/>
      <w:r>
        <w:rPr>
          <w:lang w:val="en_US" w:bidi="en_US"/>
        </w:rPr>
      </w:r>
      <w:r>
        <w:rPr>
          <w:lang w:val="en_US" w:bidi="en_US"/>
        </w:rPr>
        <w:t>It is recommended that you follow option (1). It has early and strong manuscript support,</w:t>
      </w:r>
      <w:r>
        <w:rPr>
          <w:lang w:val="en_US" w:bidi="en_US"/>
        </w:rPr>
        <w:t>The UBS 4</w:t>
      </w:r>
      <w:r>
        <w:rPr>
          <w:vertAlign w:val="superscript"/>
          <w:lang w:val="en_US" w:bidi="en_US"/>
        </w:rPr>
        <w:t>th</w:t>
      </w:r>
      <w:r>
        <w:rPr>
          <w:lang w:val="en_US" w:bidi="en_US"/>
        </w:rPr>
        <w:t xml:space="preserve"> Edition Greek NT includes these words with a B rating, indicating that the text is almost certain. (For information on this rating system, see p. 3 in the introduction.)</w:t>
      </w:r>
      <w:r>
        <w:rPr>
          <w:lang w:val="en_US" w:bidi="en_US"/>
        </w:rPr>
        <w:t xml:space="preserve"> and the majority of English versions follow this option.</w:t>
      </w:r>
    </w:p>
    <w:p>
      <w:pPr/>
      <w:r>
        <w:rPr>
          <w:lang w:val="en_US" w:bidi="en_US"/>
        </w:rPr>
      </w:r>
      <w:r>
        <w:rPr>
          <w:b/>
          <w:lang w:val="en_US" w:bidi="en_US"/>
        </w:rPr>
        <w:t>and said, “Peace be with you”:</w:t>
      </w:r>
      <w:r>
        <w:rPr>
          <w:lang w:val="en_US" w:bidi="en_US"/>
        </w:rPr>
        <w:t xml:space="preserve"> The Greek phrase that the BSB translates as </w:t>
      </w:r>
      <w:r>
        <w:rPr>
          <w:i/>
          <w:lang w:val="en_US" w:bidi="en_US"/>
        </w:rPr>
        <w:t>Peace be with you</w:t>
      </w:r>
      <w:r>
        <w:rPr>
          <w:lang w:val="en_US" w:bidi="en_US"/>
        </w:rPr>
        <w:t xml:space="preserve"> is literally “Peace to you.” This was a common way to greet others in Jesus’ time. The greeting implies that Jesus was asking God to bless his disciples by giving them peace.</w:t>
      </w:r>
    </w:p>
    <w:p>
      <w:pPr/>
      <w:r>
        <w:rPr>
          <w:lang w:val="en_US" w:bidi="en_US"/>
        </w:rPr>
      </w:r>
      <w:r>
        <w:rPr>
          <w:lang w:val="en_US" w:bidi="en_US"/>
        </w:rPr>
        <w:t>Some other ways to translate the greeting are:</w:t>
      </w:r>
    </w:p>
    <w:p>
      <w:pPr/>
      <w:r>
        <w:rPr>
          <w:lang w:val="en_US" w:bidi="en_US"/>
        </w:rPr>
      </w:r>
      <w:r>
        <w:rPr>
          <w:lang w:val="en_US" w:bidi="en_US"/>
        </w:rPr>
        <w:t xml:space="preserve">and greeted them, “May </w:t>
      </w:r>
      <w:r>
        <w:rPr>
          <w:lang w:val="en_US" w:bidi="en_US"/>
        </w:rPr>
        <w:t>God’s</w:t>
      </w:r>
      <w:r>
        <w:rPr>
          <w:lang w:val="en_US" w:bidi="en_US"/>
        </w:rPr>
        <w:t xml:space="preserve"> peace be with you”</w:t>
      </w:r>
    </w:p>
    <w:p>
      <w:pPr/>
      <w:r>
        <w:rPr>
          <w:lang w:val="en_US" w:bidi="en_US"/>
        </w:rPr>
      </w:r>
      <w:r>
        <w:rPr>
          <w:lang w:val="en_US" w:bidi="en_US"/>
        </w:rPr>
        <w:t xml:space="preserve">He blessed them, saying, “May </w:t>
      </w:r>
      <w:r>
        <w:rPr>
          <w:lang w:val="en_US" w:bidi="en_US"/>
        </w:rPr>
        <w:t>God</w:t>
      </w:r>
      <w:r>
        <w:rPr>
          <w:lang w:val="en_US" w:bidi="en_US"/>
        </w:rPr>
        <w:t xml:space="preserve"> bless/prosper you.”</w:t>
      </w:r>
    </w:p>
    <w:p>
      <w:pPr/>
      <w:r>
        <w:rPr>
          <w:lang w:val="en_US" w:bidi="en_US"/>
        </w:rPr>
      </w:r>
      <w:r>
        <w:rPr>
          <w:lang w:val="en_US" w:bidi="en_US"/>
        </w:rPr>
        <w:t>In some languages it may be more natural to translate 24:36c as indirect speech. For example:</w:t>
      </w:r>
    </w:p>
    <w:p>
      <w:pPr/>
      <w:r>
        <w:rPr>
          <w:lang w:val="en_US" w:bidi="en_US"/>
        </w:rPr>
      </w:r>
      <w:r>
        <w:rPr>
          <w:lang w:val="en_US" w:bidi="en_US"/>
        </w:rPr>
        <w:t>and greeted them with a blessing of peace</w:t>
      </w:r>
    </w:p>
    <w:p>
      <w:pPr/>
      <w:r>
        <w:rPr>
          <w:lang w:val="en_US" w:bidi="en_US"/>
        </w:rPr>
      </w:r>
      <w:r>
        <w:rPr>
          <w:lang w:val="en_US" w:bidi="en_US"/>
        </w:rPr>
        <w:t xml:space="preserve">If you have a greeting that expresses the same meaning as the phrase </w:t>
      </w:r>
      <w:r>
        <w:rPr>
          <w:i/>
          <w:lang w:val="en_US" w:bidi="en_US"/>
        </w:rPr>
        <w:t>Peace be with you</w:t>
      </w:r>
      <w:r>
        <w:rPr>
          <w:lang w:val="en_US" w:bidi="en_US"/>
        </w:rPr>
        <w:t>, you should consider using it here.</w:t>
      </w:r>
    </w:p>
    <w:p>
      <w:pPr/>
      <w:r>
        <w:rPr>
          <w:lang w:val="en_US" w:bidi="en_US"/>
        </w:rPr>
      </w:r>
      <w:r>
        <w:rPr>
          <w:lang w:val="en_US" w:bidi="en_US"/>
        </w:rPr>
        <w:t>A similar greeting occurred in 10:5. See how you translated it there. See also peace, Meaning 5, in the Glossary.</w:t>
      </w:r>
    </w:p>
    <w:p>
      <w:pPr/>
      <w:r>
        <w:rPr>
          <w:lang w:val="en_US" w:bidi="en_US"/>
        </w:rPr>
      </w:r>
      <w:r>
        <w:rPr>
          <w:b/>
          <w:lang w:val="en_US" w:bidi="en_US"/>
        </w:rPr>
        <w:t>Peace:</w:t>
      </w:r>
      <w:r>
        <w:rPr>
          <w:lang w:val="en_US" w:bidi="en_US"/>
        </w:rPr>
        <w:t xml:space="preserve"> The Jewish people used the word </w:t>
      </w:r>
      <w:r>
        <w:rPr>
          <w:i/>
          <w:lang w:val="en_US" w:bidi="en_US"/>
        </w:rPr>
        <w:t>Peace</w:t>
      </w:r>
      <w:r>
        <w:rPr>
          <w:lang w:val="en_US" w:bidi="en_US"/>
        </w:rPr>
        <w:t xml:space="preserve"> to refer to a condition of well-being, health, and prosperity. In this condition people are living in harmony with God and people. They are not in conflict or at war with them. All of these blessings come from God for those who trust him.</w:t>
      </w:r>
    </w:p>
    <w:p>
      <w:pPr/>
      <w:r>
        <w:rPr>
          <w:lang w:val="en_US" w:bidi="en_US"/>
        </w:rPr>
      </w:r>
      <w:r>
        <w:rPr>
          <w:lang w:val="en_US" w:bidi="en_US"/>
        </w:rPr>
        <w:t>Some languages will have one way to describe not being in conflict or at war and a different way to describe general well-being and blessing. If that is true in your language, the term for general well-being fits this context better. In some languages there is an idiom to describe this meaning.</w:t>
      </w:r>
    </w:p>
    <w:p>
      <w:pPr/>
      <w:r>
        <w:rPr>
          <w:lang w:val="en_US" w:bidi="en_US"/>
        </w:rPr>
      </w:r>
      <w:r>
        <w:rPr>
          <w:lang w:val="en_US" w:bidi="en_US"/>
        </w:rPr>
        <w:t>See the note on “peace” at 19:42b for more information. See also peace, Meaning 1, in the Glossary.</w:t>
      </w:r>
      <w:r>
        <w:rPr>
          <w:lang w:val="en_US" w:bidi="en_US"/>
        </w:rPr>
      </w:r>
      <w:r>
        <w:rPr>
          <w:lang w:val="en_US" w:bidi="en_US"/>
        </w:rPr>
      </w:r>
    </w:p>
    <w:p>
      <w:pPr/>
      <w:r>
        <w:rPr>
          <w:lang w:val="en_US" w:bidi="en_US"/>
        </w:rPr>
      </w:r>
    </w:p>
    <w:p>
      <w:pPr>
        <w:pStyle w:val="Heading2"/>
      </w:pPr>
      <w:r>
        <w:rPr>
          <w:lang w:val="en_US" w:bidi="en_US"/>
        </w:rPr>
        <w:t>Luke 24:37</w:t>
      </w:r>
      <w:r>
        <w:rPr>
          <w:lang w:val="en_US" w:bidi="en_US"/>
        </w:rPr>
      </w:r>
    </w:p>
    <w:p>
      <w:pPr>
        <w:pStyle w:val="Heading4"/>
      </w:pPr>
      <w:r>
        <w:rPr>
          <w:lang w:val="en_US" w:bidi="en_US"/>
        </w:rPr>
        <w:t>Section 24:36–43: Jesus appeared to his followers</w:t>
      </w:r>
    </w:p>
    <w:p>
      <w:pPr/>
      <w:r>
        <w:rPr>
          <w:lang w:val="en_US" w:bidi="en_US"/>
        </w:rPr>
      </w:r>
      <w:r>
        <w:rPr>
          <w:lang w:val="en_US" w:bidi="en_US"/>
        </w:rPr>
        <w:t>This section tells about another time when Jesus appeared to people after he rose from the dead. Jesus had already appeared to Simon (24:34) and to the two men on the road to Emmaus. In this section Jesus appeared to all eleven apostles and those who were with them. He ate with them and proved that he really was alive.</w:t>
      </w:r>
    </w:p>
    <w:p>
      <w:pPr/>
      <w:r>
        <w:rPr>
          <w:lang w:val="en_US" w:bidi="en_US"/>
        </w:rPr>
      </w:r>
      <w:r>
        <w:rPr>
          <w:lang w:val="en_US" w:bidi="en_US"/>
        </w:rPr>
        <w:t>Some examples of other headings for this section are:</w:t>
      </w:r>
    </w:p>
    <w:p>
      <w:pPr/>
      <w:r>
        <w:rPr>
          <w:lang w:val="en_US" w:bidi="en_US"/>
        </w:rPr>
      </w:r>
      <w:r>
        <w:rPr>
          <w:lang w:val="en_US" w:bidi="en_US"/>
        </w:rPr>
        <w:t>Jesus Appears to His Followers (NCV)</w:t>
      </w:r>
    </w:p>
    <w:p>
      <w:pPr/>
      <w:r>
        <w:rPr>
          <w:lang w:val="en_US" w:bidi="en_US"/>
        </w:rPr>
      </w:r>
      <w:r>
        <w:rPr>
          <w:lang w:val="en_US" w:bidi="en_US"/>
        </w:rPr>
        <w:t>Jesus showed his followers that he was alive</w:t>
      </w:r>
    </w:p>
    <w:p>
      <w:pPr/>
      <w:r>
        <w:rPr>
          <w:lang w:val="en_US" w:bidi="en_US"/>
        </w:rPr>
      </w:r>
      <w:r>
        <w:rPr>
          <w:lang w:val="en_US" w:bidi="en_US"/>
        </w:rPr>
        <w:t>There are parallel passages for this section in Mark 16:14, John 20:19–23, and Acts 1:4–5.</w:t>
      </w:r>
    </w:p>
    <w:p>
      <w:pPr>
        <w:pStyle w:val="Heading5"/>
      </w:pPr>
      <w:r>
        <w:rPr>
          <w:lang w:val="en_US" w:bidi="en_US"/>
        </w:rPr>
        <w:t>24:37</w:t>
      </w:r>
    </w:p>
    <w:p>
      <w:pPr/>
      <w:r>
        <w:rPr>
          <w:lang w:val="en_US" w:bidi="en_US"/>
        </w:rPr>
      </w:r>
      <w:r>
        <w:rPr>
          <w:lang w:val="en_US" w:bidi="en_US"/>
        </w:rPr>
        <w:t>This verse tells the reactions of Jesus’ followers when he suddenly appeared to them. They did not rejoice immediately, because they were afraid. The reason for their fear was that they thought they were seeing Jesus’ ghost (24:37b). In some languages it is more natural to change the order of 24:37a and 24:37b so that the reason for the fear comes first. For example:</w:t>
      </w:r>
    </w:p>
    <w:p>
      <w:pPr/>
      <w:r>
        <w:rPr>
          <w:lang w:val="en_US" w:bidi="en_US"/>
        </w:rPr>
      </w:r>
      <w:r>
        <w:rPr>
          <w:vertAlign w:val="superscript"/>
          <w:lang w:val="en_US" w:bidi="en_US"/>
        </w:rPr>
        <w:t>37b</w:t>
      </w:r>
      <w:r>
        <w:rPr>
          <w:lang w:val="en_US" w:bidi="en_US"/>
        </w:rPr>
        <w:t xml:space="preserve">but they thought he was a ghost, </w:t>
      </w:r>
      <w:r>
        <w:rPr>
          <w:vertAlign w:val="superscript"/>
          <w:lang w:val="en_US" w:bidi="en_US"/>
        </w:rPr>
        <w:t>37a</w:t>
      </w:r>
      <w:r>
        <w:rPr>
          <w:lang w:val="en_US" w:bidi="en_US"/>
        </w:rPr>
        <w:t>so they were terrified</w:t>
      </w:r>
    </w:p>
    <w:p>
      <w:pPr/>
      <w:r>
        <w:rPr>
          <w:lang w:val="en_US" w:bidi="en_US"/>
        </w:rPr>
      </w:r>
      <w:r>
        <w:rPr>
          <w:lang w:val="en_US" w:bidi="en_US"/>
        </w:rPr>
        <w:t>See the General Comment on 24:37a–b at the end of 24:37b for another example.</w:t>
      </w:r>
    </w:p>
    <w:p>
      <w:pPr>
        <w:pStyle w:val="Heading5"/>
      </w:pPr>
      <w:r>
        <w:rPr>
          <w:lang w:val="en_US" w:bidi="en_US"/>
        </w:rPr>
        <w:t>24:37a</w:t>
      </w:r>
    </w:p>
    <w:p>
      <w:pPr/>
      <w:r>
        <w:rPr>
          <w:lang w:val="en_US" w:bidi="en_US"/>
        </w:rPr>
      </w:r>
      <w:r>
        <w:rPr>
          <w:b/>
          <w:lang w:val="en_US" w:bidi="en_US"/>
        </w:rPr>
        <w:t>But they were startled and frightened,</w:t>
      </w:r>
    </w:p>
    <w:p>
      <w:pPr>
        <w:pStyle w:val="ListBullet"/>
        <w:spacing w:line="240" w:lineRule="auto"/>
        <w:ind w:left="720"/>
      </w:pPr>
      <w:r>
        <w:rPr>
          <w:lang w:val="en_US" w:bidi="en_US"/>
        </w:rPr>
      </w:r>
      <w:r>
        <w:rPr>
          <w:lang w:val="en_US" w:bidi="en_US"/>
        </w:rPr>
        <w:t>They were alarmed and very frightened</w:t>
      </w:r>
    </w:p>
    <w:p>
      <w:pPr>
        <w:pStyle w:val="ListBullet"/>
        <w:spacing w:line="240" w:lineRule="auto"/>
        <w:ind w:left="720"/>
      </w:pPr>
      <w:r>
        <w:rPr>
          <w:lang w:val="en_US" w:bidi="en_US"/>
        </w:rPr>
      </w:r>
      <w:r>
        <w:rPr>
          <w:lang w:val="en_US" w:bidi="en_US"/>
        </w:rPr>
        <w:t>His followers were afraid/terrified,</w:t>
      </w:r>
    </w:p>
    <w:p>
      <w:pPr/>
      <w:r>
        <w:rPr>
          <w:lang w:val="en_US" w:bidi="en_US"/>
        </w:rPr>
      </w:r>
      <w:r>
        <w:rPr>
          <w:b/>
          <w:lang w:val="en_US" w:bidi="en_US"/>
        </w:rPr>
        <w:t>But:</w:t>
      </w:r>
      <w:r>
        <w:rPr>
          <w:lang w:val="en_US" w:bidi="en_US"/>
        </w:rPr>
        <w:t xml:space="preserve"> In Greek this verse begins with a conjunction that the BSB translates as </w:t>
      </w:r>
      <w:r>
        <w:rPr>
          <w:i/>
          <w:lang w:val="en_US" w:bidi="en_US"/>
        </w:rPr>
        <w:t>But</w:t>
      </w:r>
      <w:r>
        <w:rPr>
          <w:lang w:val="en_US" w:bidi="en_US"/>
        </w:rPr>
        <w:t>. It introduces how the disciples felt when Jesus appeared to them. Many English versions do not have a conjunction here. Do what is natural in your language. In some languages it may be natural to introduce the verse with a clause. For example:</w:t>
      </w:r>
    </w:p>
    <w:p>
      <w:pPr/>
      <w:r>
        <w:rPr>
          <w:lang w:val="en_US" w:bidi="en_US"/>
        </w:rPr>
      </w:r>
      <w:r>
        <w:rPr>
          <w:lang w:val="en_US" w:bidi="en_US"/>
        </w:rPr>
        <w:t>When they saw him</w:t>
      </w:r>
    </w:p>
    <w:p>
      <w:pPr/>
      <w:r>
        <w:rPr>
          <w:lang w:val="en_US" w:bidi="en_US"/>
        </w:rPr>
      </w:r>
      <w:r>
        <w:rPr>
          <w:b/>
          <w:lang w:val="en_US" w:bidi="en_US"/>
        </w:rPr>
        <w:t>they were startled and frightened:</w:t>
      </w:r>
      <w:r>
        <w:rPr>
          <w:lang w:val="en_US" w:bidi="en_US"/>
        </w:rPr>
        <w:t xml:space="preserve"> The Greek words that the BSB translates as </w:t>
      </w:r>
      <w:r>
        <w:rPr>
          <w:i/>
          <w:lang w:val="en_US" w:bidi="en_US"/>
        </w:rPr>
        <w:t>they were startled</w:t>
      </w:r>
      <w:r>
        <w:rPr>
          <w:lang w:val="en_US" w:bidi="en_US"/>
        </w:rPr>
        <w:t xml:space="preserve"> and </w:t>
      </w:r>
      <w:r>
        <w:rPr>
          <w:i/>
          <w:lang w:val="en_US" w:bidi="en_US"/>
        </w:rPr>
        <w:t>frightened</w:t>
      </w:r>
      <w:r>
        <w:rPr>
          <w:lang w:val="en_US" w:bidi="en_US"/>
        </w:rPr>
        <w:t xml:space="preserve"> are very similar in meaning. The Greek word for </w:t>
      </w:r>
      <w:r>
        <w:rPr>
          <w:i/>
          <w:lang w:val="en_US" w:bidi="en_US"/>
        </w:rPr>
        <w:t>startled</w:t>
      </w:r>
      <w:r>
        <w:rPr>
          <w:lang w:val="en_US" w:bidi="en_US"/>
        </w:rPr>
        <w:t xml:space="preserve"> probably indicates that the disciples felt shocked when they saw Jesus so suddenly. The word for </w:t>
      </w:r>
      <w:r>
        <w:rPr>
          <w:i/>
          <w:lang w:val="en_US" w:bidi="en_US"/>
        </w:rPr>
        <w:t>frightened</w:t>
      </w:r>
      <w:r>
        <w:rPr>
          <w:lang w:val="en_US" w:bidi="en_US"/>
        </w:rPr>
        <w:t xml:space="preserve"> refers to the fear that they felt because they thought that they were seeing a ghost. They did not realize that they were seeing the living Jesus himself.</w:t>
      </w:r>
    </w:p>
    <w:p>
      <w:pPr/>
      <w:r>
        <w:rPr>
          <w:lang w:val="en_US" w:bidi="en_US"/>
        </w:rPr>
      </w:r>
      <w:r>
        <w:rPr>
          <w:lang w:val="en_US" w:bidi="en_US"/>
        </w:rPr>
        <w:t>Luke used these two words together to emphasize the disciples’ surprise and fear when Jesus suddenly appeared to them. In some languages it may be more natural to express their reaction in a different way. Some other ways to describe their reaction are:</w:t>
      </w:r>
    </w:p>
    <w:p>
      <w:pPr/>
      <w:r>
        <w:rPr>
          <w:lang w:val="en_US" w:bidi="en_US"/>
        </w:rPr>
      </w:r>
      <w:r>
        <w:rPr>
          <w:lang w:val="en_US" w:bidi="en_US"/>
        </w:rPr>
        <w:t>And they were very much afraid</w:t>
      </w:r>
    </w:p>
    <w:p>
      <w:pPr/>
      <w:r>
        <w:rPr>
          <w:lang w:val="en_US" w:bidi="en_US"/>
        </w:rPr>
      </w:r>
      <w:r>
        <w:rPr>
          <w:lang w:val="en_US" w:bidi="en_US"/>
        </w:rPr>
        <w:t>But they were startled and their fear was excessive</w:t>
      </w:r>
    </w:p>
    <w:p>
      <w:pPr/>
      <w:r>
        <w:rPr>
          <w:lang w:val="en_US" w:bidi="en_US"/>
        </w:rPr>
      </w:r>
      <w:r>
        <w:rPr>
          <w:lang w:val="en_US" w:bidi="en_US"/>
        </w:rPr>
        <w:t>They were terrified</w:t>
      </w:r>
    </w:p>
    <w:p>
      <w:pPr>
        <w:pStyle w:val="Heading5"/>
      </w:pPr>
      <w:r>
        <w:rPr>
          <w:lang w:val="en_US" w:bidi="en_US"/>
        </w:rPr>
        <w:t>24:37b</w:t>
      </w:r>
    </w:p>
    <w:p>
      <w:pPr/>
      <w:r>
        <w:rPr>
          <w:lang w:val="en_US" w:bidi="en_US"/>
        </w:rPr>
      </w:r>
      <w:r>
        <w:rPr>
          <w:b/>
          <w:lang w:val="en_US" w:bidi="en_US"/>
        </w:rPr>
        <w:t>thinking they had seen a spirit.</w:t>
      </w:r>
    </w:p>
    <w:p>
      <w:pPr>
        <w:pStyle w:val="ListBullet"/>
        <w:spacing w:line="240" w:lineRule="auto"/>
        <w:ind w:left="720"/>
      </w:pPr>
      <w:r>
        <w:rPr>
          <w:lang w:val="en_US" w:bidi="en_US"/>
        </w:rPr>
      </w:r>
      <w:r>
        <w:rPr>
          <w:lang w:val="en_US" w:bidi="en_US"/>
        </w:rPr>
        <w:t>because they thought that they were looking at a ghost/spirit.</w:t>
      </w:r>
    </w:p>
    <w:p>
      <w:pPr>
        <w:pStyle w:val="ListBullet"/>
        <w:spacing w:line="240" w:lineRule="auto"/>
        <w:ind w:left="720"/>
      </w:pPr>
      <w:r>
        <w:rPr>
          <w:lang w:val="en_US" w:bidi="en_US"/>
        </w:rPr>
      </w:r>
      <w:r>
        <w:rPr>
          <w:lang w:val="en_US" w:bidi="en_US"/>
        </w:rPr>
        <w:t xml:space="preserve">for they thought/assumed that he was the spirit </w:t>
      </w:r>
      <w:r>
        <w:rPr>
          <w:lang w:val="en_US" w:bidi="en_US"/>
        </w:rPr>
        <w:t>of a dead person</w:t>
      </w:r>
      <w:r>
        <w:rPr>
          <w:lang w:val="en_US" w:bidi="en_US"/>
        </w:rPr>
        <w:t>.</w:t>
      </w:r>
    </w:p>
    <w:p>
      <w:pPr/>
      <w:r>
        <w:rPr>
          <w:lang w:val="en_US" w:bidi="en_US"/>
        </w:rPr>
      </w:r>
      <w:r>
        <w:rPr>
          <w:b/>
          <w:lang w:val="en_US" w:bidi="en_US"/>
        </w:rPr>
        <w:t>thinking they had seen a spirit:</w:t>
      </w:r>
      <w:r>
        <w:rPr>
          <w:lang w:val="en_US" w:bidi="en_US"/>
        </w:rPr>
        <w:t xml:space="preserve"> The phrase </w:t>
      </w:r>
      <w:r>
        <w:rPr>
          <w:i/>
          <w:lang w:val="en_US" w:bidi="en_US"/>
        </w:rPr>
        <w:t>thinking they had seen a spirit</w:t>
      </w:r>
      <w:r>
        <w:rPr>
          <w:lang w:val="en_US" w:bidi="en_US"/>
        </w:rPr>
        <w:t xml:space="preserve"> in the reason that the disciples were afraid. Another way to translate it is:</w:t>
      </w:r>
    </w:p>
    <w:p>
      <w:pPr/>
      <w:r>
        <w:rPr>
          <w:lang w:val="en_US" w:bidi="en_US"/>
        </w:rPr>
      </w:r>
      <w:r>
        <w:rPr>
          <w:lang w:val="en_US" w:bidi="en_US"/>
        </w:rPr>
        <w:t>because they thought they were seeing a ghost (CEV)</w:t>
      </w:r>
    </w:p>
    <w:p>
      <w:pPr/>
      <w:r>
        <w:rPr>
          <w:lang w:val="en_US" w:bidi="en_US"/>
        </w:rPr>
      </w:r>
      <w:r>
        <w:rPr>
          <w:lang w:val="en_US" w:bidi="en_US"/>
        </w:rPr>
        <w:t>Translate this reason in a natural way in your language.</w:t>
      </w:r>
    </w:p>
    <w:p>
      <w:pPr/>
      <w:r>
        <w:rPr>
          <w:lang w:val="en_US" w:bidi="en_US"/>
        </w:rPr>
      </w:r>
      <w:r>
        <w:rPr>
          <w:b/>
          <w:lang w:val="en_US" w:bidi="en_US"/>
        </w:rPr>
        <w:t>thinking:</w:t>
      </w:r>
      <w:r>
        <w:rPr>
          <w:lang w:val="en_US" w:bidi="en_US"/>
        </w:rPr>
        <w:t xml:space="preserve"> The disciples were wrong in what they were thinking. Jesus was not a ghost, as they feared. In some languages it is good to use a word or phrase that implies a wrong thought or belief. For example:</w:t>
      </w:r>
    </w:p>
    <w:p>
      <w:pPr/>
      <w:r>
        <w:rPr>
          <w:lang w:val="en_US" w:bidi="en_US"/>
        </w:rPr>
      </w:r>
      <w:r>
        <w:rPr>
          <w:lang w:val="en_US" w:bidi="en_US"/>
        </w:rPr>
        <w:t>assuming</w:t>
      </w:r>
    </w:p>
    <w:p>
      <w:pPr/>
      <w:r>
        <w:rPr>
          <w:lang w:val="en_US" w:bidi="en_US"/>
        </w:rPr>
      </w:r>
      <w:r>
        <w:rPr>
          <w:lang w:val="en_US" w:bidi="en_US"/>
        </w:rPr>
        <w:t>wrongly</w:t>
      </w:r>
      <w:r>
        <w:rPr>
          <w:lang w:val="en_US" w:bidi="en_US"/>
        </w:rPr>
        <w:t xml:space="preserve"> thinking</w:t>
      </w:r>
    </w:p>
    <w:p>
      <w:pPr/>
      <w:r>
        <w:rPr>
          <w:lang w:val="en_US" w:bidi="en_US"/>
        </w:rPr>
      </w:r>
      <w:r>
        <w:rPr>
          <w:b/>
          <w:lang w:val="en_US" w:bidi="en_US"/>
        </w:rPr>
        <w:t>a spirit:</w:t>
      </w:r>
      <w:r>
        <w:rPr>
          <w:lang w:val="en_US" w:bidi="en_US"/>
        </w:rPr>
        <w:t xml:space="preserve"> The Greek word that the BSB translates as </w:t>
      </w:r>
      <w:r>
        <w:rPr>
          <w:i/>
          <w:lang w:val="en_US" w:bidi="en_US"/>
        </w:rPr>
        <w:t>a spirit</w:t>
      </w:r>
      <w:r>
        <w:rPr>
          <w:lang w:val="en_US" w:bidi="en_US"/>
        </w:rPr>
        <w:t xml:space="preserve"> refers to the spirit of a dead person. It does not refer here to an evil spirit. Use the appropriate word to refer to it in your language.</w:t>
      </w:r>
    </w:p>
    <w:p>
      <w:pPr>
        <w:pStyle w:val="Heading6"/>
      </w:pPr>
      <w:r>
        <w:rPr>
          <w:b/>
          <w:lang w:val="en_US" w:bidi="en_US"/>
        </w:rPr>
        <w:t>General Comment on 24:37a–b</w:t>
      </w:r>
    </w:p>
    <w:p>
      <w:pPr/>
      <w:r>
        <w:rPr>
          <w:lang w:val="en_US" w:bidi="en_US"/>
        </w:rPr>
      </w:r>
      <w:r>
        <w:rPr>
          <w:lang w:val="en_US" w:bidi="en_US"/>
        </w:rPr>
        <w:t>In this verse 24:37b is the reason for the result in 24:37a. In some languages it may be more natural to change the order of these clauses. For example:</w:t>
      </w:r>
    </w:p>
    <w:p>
      <w:pPr/>
      <w:r>
        <w:rPr>
          <w:lang w:val="en_US" w:bidi="en_US"/>
        </w:rPr>
      </w:r>
      <w:r>
        <w:rPr>
          <w:vertAlign w:val="superscript"/>
          <w:lang w:val="en_US" w:bidi="en_US"/>
        </w:rPr>
        <w:t>37b</w:t>
      </w:r>
      <w:r>
        <w:rPr>
          <w:lang w:val="en_US" w:bidi="en_US"/>
        </w:rPr>
        <w:t xml:space="preserve">Because they thought he was a spirit, </w:t>
      </w:r>
      <w:r>
        <w:rPr>
          <w:vertAlign w:val="superscript"/>
          <w:lang w:val="en_US" w:bidi="en_US"/>
        </w:rPr>
        <w:t>37a</w:t>
      </w:r>
      <w:r>
        <w:rPr>
          <w:lang w:val="en_US" w:bidi="en_US"/>
        </w:rPr>
        <w:t>they were startled and afraid.</w:t>
      </w:r>
      <w:r>
        <w:rPr>
          <w:lang w:val="en_US" w:bidi="en_US"/>
        </w:rPr>
      </w:r>
      <w:r>
        <w:rPr>
          <w:lang w:val="en_US" w:bidi="en_US"/>
        </w:rPr>
      </w:r>
    </w:p>
    <w:p>
      <w:pPr/>
      <w:r>
        <w:rPr>
          <w:lang w:val="en_US" w:bidi="en_US"/>
        </w:rPr>
      </w:r>
    </w:p>
    <w:p>
      <w:pPr>
        <w:pStyle w:val="Heading2"/>
      </w:pPr>
      <w:r>
        <w:rPr>
          <w:lang w:val="en_US" w:bidi="en_US"/>
        </w:rPr>
        <w:t>Luke 24:38</w:t>
      </w:r>
      <w:r>
        <w:rPr>
          <w:lang w:val="en_US" w:bidi="en_US"/>
        </w:rPr>
      </w:r>
    </w:p>
    <w:p>
      <w:pPr>
        <w:pStyle w:val="Heading4"/>
      </w:pPr>
      <w:r>
        <w:rPr>
          <w:lang w:val="en_US" w:bidi="en_US"/>
        </w:rPr>
        <w:t>Section 24:36–43: Jesus appeared to his followers</w:t>
      </w:r>
    </w:p>
    <w:p>
      <w:pPr/>
      <w:r>
        <w:rPr>
          <w:lang w:val="en_US" w:bidi="en_US"/>
        </w:rPr>
      </w:r>
      <w:r>
        <w:rPr>
          <w:lang w:val="en_US" w:bidi="en_US"/>
        </w:rPr>
        <w:t>This section tells about another time when Jesus appeared to people after he rose from the dead. Jesus had already appeared to Simon (24:34) and to the two men on the road to Emmaus. In this section Jesus appeared to all eleven apostles and those who were with them. He ate with them and proved that he really was alive.</w:t>
      </w:r>
    </w:p>
    <w:p>
      <w:pPr/>
      <w:r>
        <w:rPr>
          <w:lang w:val="en_US" w:bidi="en_US"/>
        </w:rPr>
      </w:r>
      <w:r>
        <w:rPr>
          <w:lang w:val="en_US" w:bidi="en_US"/>
        </w:rPr>
        <w:t>Some examples of other headings for this section are:</w:t>
      </w:r>
    </w:p>
    <w:p>
      <w:pPr/>
      <w:r>
        <w:rPr>
          <w:lang w:val="en_US" w:bidi="en_US"/>
        </w:rPr>
      </w:r>
      <w:r>
        <w:rPr>
          <w:lang w:val="en_US" w:bidi="en_US"/>
        </w:rPr>
        <w:t>Jesus Appears to His Followers (NCV)</w:t>
      </w:r>
    </w:p>
    <w:p>
      <w:pPr/>
      <w:r>
        <w:rPr>
          <w:lang w:val="en_US" w:bidi="en_US"/>
        </w:rPr>
      </w:r>
      <w:r>
        <w:rPr>
          <w:lang w:val="en_US" w:bidi="en_US"/>
        </w:rPr>
        <w:t>Jesus showed his followers that he was alive</w:t>
      </w:r>
    </w:p>
    <w:p>
      <w:pPr/>
      <w:r>
        <w:rPr>
          <w:lang w:val="en_US" w:bidi="en_US"/>
        </w:rPr>
      </w:r>
      <w:r>
        <w:rPr>
          <w:lang w:val="en_US" w:bidi="en_US"/>
        </w:rPr>
        <w:t>There are parallel passages for this section in Mark 16:14, John 20:19–23, and Acts 1:4–5.</w:t>
      </w:r>
    </w:p>
    <w:p>
      <w:pPr>
        <w:pStyle w:val="Heading5"/>
      </w:pPr>
      <w:r>
        <w:rPr>
          <w:lang w:val="en_US" w:bidi="en_US"/>
        </w:rPr>
        <w:t>24:38a</w:t>
      </w:r>
    </w:p>
    <w:p>
      <w:pPr/>
      <w:r>
        <w:rPr>
          <w:lang w:val="en_US" w:bidi="en_US"/>
        </w:rPr>
      </w:r>
      <w:r>
        <w:rPr>
          <w:b/>
          <w:lang w:val="en_US" w:bidi="en_US"/>
        </w:rPr>
        <w:t>“Why are you troubled,” Jesus asked,</w:t>
      </w:r>
    </w:p>
    <w:p>
      <w:pPr>
        <w:pStyle w:val="ListBullet"/>
        <w:spacing w:line="240" w:lineRule="auto"/>
        <w:ind w:left="720"/>
      </w:pPr>
      <w:r>
        <w:rPr>
          <w:lang w:val="en_US" w:bidi="en_US"/>
        </w:rPr>
      </w:r>
      <w:r>
        <w:rPr>
          <w:lang w:val="en_US" w:bidi="en_US"/>
        </w:rPr>
        <w:t>Then</w:t>
      </w:r>
      <w:r>
        <w:rPr>
          <w:lang w:val="en_US" w:bidi="en_US"/>
        </w:rPr>
        <w:t xml:space="preserve"> he said to them, “Why are you</w:t>
      </w:r>
      <w:r>
        <w:rPr>
          <w:vertAlign w:val="superscript"/>
          <w:lang w:val="en_US" w:bidi="en_US"/>
        </w:rPr>
        <w:t>(plur)</w:t>
      </w:r>
      <w:r>
        <w:rPr>
          <w:lang w:val="en_US" w:bidi="en_US"/>
        </w:rPr>
        <w:t xml:space="preserve"> so alarmed/frightened?</w:t>
      </w:r>
    </w:p>
    <w:p>
      <w:pPr>
        <w:pStyle w:val="ListBullet"/>
        <w:spacing w:line="240" w:lineRule="auto"/>
        <w:ind w:left="720"/>
      </w:pPr>
      <w:r>
        <w:rPr>
          <w:lang w:val="en_US" w:bidi="en_US"/>
        </w:rPr>
      </w:r>
      <w:r>
        <w:rPr>
          <w:lang w:val="en_US" w:bidi="en_US"/>
        </w:rPr>
        <w:t>So</w:t>
      </w:r>
      <w:r>
        <w:rPr>
          <w:lang w:val="en_US" w:bidi="en_US"/>
        </w:rPr>
        <w:t xml:space="preserve"> he said to them, “There is no need for you</w:t>
      </w:r>
      <w:r>
        <w:rPr>
          <w:vertAlign w:val="superscript"/>
          <w:lang w:val="en_US" w:bidi="en_US"/>
        </w:rPr>
        <w:t>(plur)</w:t>
      </w:r>
      <w:r>
        <w:rPr>
          <w:lang w:val="en_US" w:bidi="en_US"/>
        </w:rPr>
        <w:t xml:space="preserve"> to be troubled/afraid.</w:t>
      </w:r>
    </w:p>
    <w:p>
      <w:pPr/>
      <w:r>
        <w:rPr>
          <w:lang w:val="en_US" w:bidi="en_US"/>
        </w:rPr>
      </w:r>
      <w:r>
        <w:rPr>
          <w:b/>
          <w:lang w:val="en_US" w:bidi="en_US"/>
        </w:rPr>
        <w:t>“Why are you troubled,” Jesus asked:</w:t>
      </w:r>
      <w:r>
        <w:rPr>
          <w:lang w:val="en_US" w:bidi="en_US"/>
        </w:rPr>
        <w:t xml:space="preserve"> The Greek words that the BSB translates as </w:t>
      </w:r>
      <w:r>
        <w:rPr>
          <w:i/>
          <w:lang w:val="en_US" w:bidi="en_US"/>
        </w:rPr>
        <w:t>Jesus asked</w:t>
      </w:r>
      <w:r>
        <w:rPr>
          <w:lang w:val="en_US" w:bidi="en_US"/>
        </w:rPr>
        <w:t xml:space="preserve"> are more literally “and he said to them.” The BSB places these words in the middle of what Jesus said. This is good English style. However, in some languages, it may be necessary to put these words where they are in the Greek, at the beginning of 24:38a. For example:</w:t>
      </w:r>
    </w:p>
    <w:p>
      <w:pPr/>
      <w:r>
        <w:rPr>
          <w:lang w:val="en_US" w:bidi="en_US"/>
        </w:rPr>
      </w:r>
      <w:r>
        <w:rPr>
          <w:lang w:val="en_US" w:bidi="en_US"/>
        </w:rPr>
        <w:t>He said to them, “Why are you troubled…” (NIV)</w:t>
      </w:r>
    </w:p>
    <w:p>
      <w:pPr/>
      <w:r>
        <w:rPr>
          <w:lang w:val="en_US" w:bidi="en_US"/>
        </w:rPr>
      </w:r>
      <w:r>
        <w:rPr>
          <w:b/>
          <w:lang w:val="en_US" w:bidi="en_US"/>
        </w:rPr>
        <w:t>Why are you troubled:</w:t>
      </w:r>
      <w:r>
        <w:rPr>
          <w:lang w:val="en_US" w:bidi="en_US"/>
        </w:rPr>
        <w:t xml:space="preserve"> This is a rhetorical question. It indicates that there was no reason for the disciples to be troubled. It is a gentle way to say that they should not be troubled. Some ways to translate the rhetorical question are:</w:t>
      </w:r>
    </w:p>
    <w:p>
      <w:pPr>
        <w:pStyle w:val="ListBullet"/>
        <w:spacing w:line="240" w:lineRule="auto"/>
        <w:ind w:left="720"/>
      </w:pPr>
      <w:r>
        <w:rPr>
          <w:lang w:val="en_US" w:bidi="en_US"/>
        </w:rPr>
      </w:r>
      <w:r>
        <w:rPr>
          <w:lang w:val="en_US" w:bidi="en_US"/>
        </w:rPr>
        <w:t>As a rhetorical question. For example:</w:t>
      </w:r>
      <w:r>
        <w:rPr>
          <w:lang w:val="en_US" w:bidi="en_US"/>
        </w:rPr>
        <w:t>How is it that you are troubled/frightened?</w:t>
      </w:r>
      <w:r>
        <w:rPr>
          <w:lang w:val="en_US" w:bidi="en_US"/>
        </w:rPr>
        <w:t xml:space="preserve">Is there any reason for you to be afraid? </w:t>
      </w:r>
      <w:r>
        <w:rPr>
          <w:lang w:val="en_US" w:bidi="en_US"/>
        </w:rPr>
        <w:t>No!</w:t>
      </w:r>
    </w:p>
    <w:p>
      <w:pPr>
        <w:pStyle w:val="ListBullet"/>
        <w:spacing w:line="240" w:lineRule="auto"/>
        <w:ind w:left="720"/>
      </w:pPr>
      <w:r>
        <w:rPr>
          <w:lang w:val="en_US" w:bidi="en_US"/>
        </w:rPr>
      </w:r>
      <w:r>
        <w:rPr>
          <w:lang w:val="en_US" w:bidi="en_US"/>
        </w:rPr>
        <w:t>As a statement or command. For example:</w:t>
      </w:r>
      <w:r>
        <w:rPr>
          <w:lang w:val="en_US" w:bidi="en_US"/>
        </w:rPr>
        <w:t>There is no reason for you to be afraid.</w:t>
      </w:r>
      <w:r>
        <w:rPr>
          <w:lang w:val="en_US" w:bidi="en_US"/>
        </w:rPr>
        <w:t>Do not be troubled/frightened.</w:t>
      </w:r>
    </w:p>
    <w:p>
      <w:pPr/>
      <w:r>
        <w:rPr>
          <w:lang w:val="en_US" w:bidi="en_US"/>
        </w:rPr>
      </w:r>
      <w:r>
        <w:rPr>
          <w:lang w:val="en_US" w:bidi="en_US"/>
        </w:rPr>
        <w:t>Translate the meaning in a way that is natural in your language.</w:t>
      </w:r>
    </w:p>
    <w:p>
      <w:pPr/>
      <w:r>
        <w:rPr>
          <w:lang w:val="en_US" w:bidi="en_US"/>
        </w:rPr>
      </w:r>
      <w:r>
        <w:rPr>
          <w:b/>
          <w:lang w:val="en_US" w:bidi="en_US"/>
        </w:rPr>
        <w:t>Jesus asked:</w:t>
      </w:r>
      <w:r>
        <w:rPr>
          <w:lang w:val="en_US" w:bidi="en_US"/>
        </w:rPr>
        <w:t xml:space="preserve"> This clause introduces Jesus’ response to the disciples’ fear. Jesus asked them two rhetorical questions. Some other ways to introduce these questions are:</w:t>
      </w:r>
    </w:p>
    <w:p>
      <w:pPr/>
      <w:r>
        <w:rPr>
          <w:lang w:val="en_US" w:bidi="en_US"/>
        </w:rPr>
      </w:r>
      <w:r>
        <w:rPr>
          <w:lang w:val="en_US" w:bidi="en_US"/>
        </w:rPr>
        <w:t>Then he said to them (NET)</w:t>
      </w:r>
    </w:p>
    <w:p>
      <w:pPr/>
      <w:r>
        <w:rPr>
          <w:lang w:val="en_US" w:bidi="en_US"/>
        </w:rPr>
      </w:r>
      <w:r>
        <w:rPr>
          <w:lang w:val="en_US" w:bidi="en_US"/>
        </w:rPr>
        <w:t>But Jesus said (CEV)</w:t>
      </w:r>
    </w:p>
    <w:p>
      <w:pPr/>
      <w:r>
        <w:rPr>
          <w:lang w:val="en_US" w:bidi="en_US"/>
        </w:rPr>
      </w:r>
      <w:r>
        <w:rPr>
          <w:lang w:val="en_US" w:bidi="en_US"/>
        </w:rPr>
        <w:t>He asked them (GW)</w:t>
      </w:r>
    </w:p>
    <w:p>
      <w:pPr/>
      <w:r>
        <w:rPr>
          <w:lang w:val="en_US" w:bidi="en_US"/>
        </w:rPr>
      </w:r>
      <w:r>
        <w:rPr>
          <w:lang w:val="en_US" w:bidi="en_US"/>
        </w:rPr>
        <w:t>Notice that the CEV example begins with “But.” This implies that the disciples’ fear contrasts with the faith and joy that they should be feeling when they saw Jesus. Introduce the rhetorical questions in a natural way in your language.</w:t>
      </w:r>
    </w:p>
    <w:p>
      <w:pPr>
        <w:pStyle w:val="Heading5"/>
      </w:pPr>
      <w:r>
        <w:rPr>
          <w:lang w:val="en_US" w:bidi="en_US"/>
        </w:rPr>
        <w:t>24:38b</w:t>
      </w:r>
    </w:p>
    <w:p>
      <w:pPr/>
      <w:r>
        <w:rPr>
          <w:lang w:val="en_US" w:bidi="en_US"/>
        </w:rPr>
      </w:r>
      <w:r>
        <w:rPr>
          <w:b/>
          <w:lang w:val="en_US" w:bidi="en_US"/>
        </w:rPr>
        <w:t>“and why do doubts arise in your hearts?</w:t>
      </w:r>
    </w:p>
    <w:p>
      <w:pPr>
        <w:pStyle w:val="ListBullet"/>
        <w:spacing w:line="240" w:lineRule="auto"/>
        <w:ind w:left="720"/>
      </w:pPr>
      <w:r>
        <w:rPr>
          <w:lang w:val="en_US" w:bidi="en_US"/>
        </w:rPr>
      </w:r>
      <w:r>
        <w:rPr>
          <w:lang w:val="en_US" w:bidi="en_US"/>
        </w:rPr>
        <w:t>Is there any reason for you</w:t>
      </w:r>
      <w:r>
        <w:rPr>
          <w:vertAlign w:val="superscript"/>
          <w:lang w:val="en_US" w:bidi="en_US"/>
        </w:rPr>
        <w:t>(plur)</w:t>
      </w:r>
      <w:r>
        <w:rPr>
          <w:lang w:val="en_US" w:bidi="en_US"/>
        </w:rPr>
        <w:t xml:space="preserve"> to have these doubts?</w:t>
      </w:r>
    </w:p>
    <w:p>
      <w:pPr>
        <w:pStyle w:val="ListBullet"/>
        <w:spacing w:line="240" w:lineRule="auto"/>
        <w:ind w:left="720"/>
      </w:pPr>
      <w:r>
        <w:rPr>
          <w:lang w:val="en_US" w:bidi="en_US"/>
        </w:rPr>
      </w:r>
      <w:r>
        <w:rPr>
          <w:lang w:val="en_US" w:bidi="en_US"/>
        </w:rPr>
        <w:t>There is no need for you</w:t>
      </w:r>
      <w:r>
        <w:rPr>
          <w:vertAlign w:val="superscript"/>
          <w:lang w:val="en_US" w:bidi="en_US"/>
        </w:rPr>
        <w:t>(plur)</w:t>
      </w:r>
      <w:r>
        <w:rPr>
          <w:lang w:val="en_US" w:bidi="en_US"/>
        </w:rPr>
        <w:t xml:space="preserve"> to </w:t>
      </w:r>
      <w:r>
        <w:rPr>
          <w:lang w:val="en_US" w:bidi="en_US"/>
        </w:rPr>
        <w:t>continue to</w:t>
      </w:r>
      <w:r>
        <w:rPr>
          <w:lang w:val="en_US" w:bidi="en_US"/>
        </w:rPr>
        <w:t xml:space="preserve"> doubt </w:t>
      </w:r>
      <w:r>
        <w:rPr>
          <w:lang w:val="en_US" w:bidi="en_US"/>
        </w:rPr>
        <w:t>that I have come back to life</w:t>
      </w:r>
      <w:r>
        <w:rPr>
          <w:lang w:val="en_US" w:bidi="en_US"/>
        </w:rPr>
        <w:t>.</w:t>
      </w:r>
    </w:p>
    <w:p>
      <w:pPr/>
      <w:r>
        <w:rPr>
          <w:lang w:val="en_US" w:bidi="en_US"/>
        </w:rPr>
      </w:r>
      <w:r>
        <w:rPr>
          <w:b/>
          <w:lang w:val="en_US" w:bidi="en_US"/>
        </w:rPr>
        <w:t>and why do doubts arise in your hearts?:</w:t>
      </w:r>
      <w:r>
        <w:rPr>
          <w:lang w:val="en_US" w:bidi="en_US"/>
        </w:rPr>
        <w:t xml:space="preserve"> This is a rhetorical question. It implies that there was no reason to doubt that he was really alive. They could now see him with their own eyes. It is a gentle way to say that they should stop doubting that he is alive.</w:t>
      </w:r>
    </w:p>
    <w:p>
      <w:pPr/>
      <w:r>
        <w:rPr>
          <w:lang w:val="en_US" w:bidi="en_US"/>
        </w:rPr>
      </w:r>
      <w:r>
        <w:rPr>
          <w:lang w:val="en_US" w:bidi="en_US"/>
        </w:rPr>
        <w:t>Some ways to translate this rhetorical question are:</w:t>
      </w:r>
    </w:p>
    <w:p>
      <w:pPr>
        <w:pStyle w:val="ListBullet"/>
        <w:spacing w:line="240" w:lineRule="auto"/>
        <w:ind w:left="720"/>
      </w:pPr>
      <w:r>
        <w:rPr>
          <w:lang w:val="en_US" w:bidi="en_US"/>
        </w:rPr>
      </w:r>
      <w:r>
        <w:rPr>
          <w:lang w:val="en_US" w:bidi="en_US"/>
        </w:rPr>
        <w:t>As a rhetorical question. For example:</w:t>
      </w:r>
      <w:r>
        <w:rPr>
          <w:lang w:val="en_US" w:bidi="en_US"/>
        </w:rPr>
        <w:t>How is it that you have these doubts?</w:t>
      </w:r>
      <w:r>
        <w:rPr>
          <w:lang w:val="en_US" w:bidi="en_US"/>
        </w:rPr>
        <w:t xml:space="preserve">Is there any reason for you to doubt </w:t>
      </w:r>
      <w:r>
        <w:rPr>
          <w:lang w:val="en_US" w:bidi="en_US"/>
        </w:rPr>
        <w:t>me</w:t>
      </w:r>
      <w:r>
        <w:rPr>
          <w:lang w:val="en_US" w:bidi="en_US"/>
        </w:rPr>
        <w:t>?</w:t>
      </w:r>
    </w:p>
    <w:p>
      <w:pPr>
        <w:pStyle w:val="ListBullet"/>
        <w:spacing w:line="240" w:lineRule="auto"/>
        <w:ind w:left="720"/>
      </w:pPr>
      <w:r>
        <w:rPr>
          <w:lang w:val="en_US" w:bidi="en_US"/>
        </w:rPr>
      </w:r>
      <w:r>
        <w:rPr>
          <w:lang w:val="en_US" w:bidi="en_US"/>
        </w:rPr>
        <w:t>As a statement or command. For example:</w:t>
      </w:r>
      <w:r>
        <w:rPr>
          <w:lang w:val="en_US" w:bidi="en_US"/>
        </w:rPr>
        <w:t>There is no reason for you to have these doubts.</w:t>
      </w:r>
      <w:r>
        <w:rPr>
          <w:lang w:val="en_US" w:bidi="en_US"/>
        </w:rPr>
        <w:t xml:space="preserve">Do not continue to doubt </w:t>
      </w:r>
      <w:r>
        <w:rPr>
          <w:lang w:val="en_US" w:bidi="en_US"/>
        </w:rPr>
        <w:t>that I am alive</w:t>
      </w:r>
      <w:r>
        <w:rPr>
          <w:lang w:val="en_US" w:bidi="en_US"/>
        </w:rPr>
        <w:t>.</w:t>
      </w:r>
    </w:p>
    <w:p>
      <w:pPr/>
      <w:r>
        <w:rPr>
          <w:lang w:val="en_US" w:bidi="en_US"/>
        </w:rPr>
      </w:r>
      <w:r>
        <w:rPr>
          <w:lang w:val="en_US" w:bidi="en_US"/>
        </w:rPr>
        <w:t>Translate the meaning in a way that is natural in your language.</w:t>
      </w:r>
    </w:p>
    <w:p>
      <w:pPr/>
      <w:r>
        <w:rPr>
          <w:lang w:val="en_US" w:bidi="en_US"/>
        </w:rPr>
      </w:r>
      <w:r>
        <w:rPr>
          <w:b/>
          <w:lang w:val="en_US" w:bidi="en_US"/>
        </w:rPr>
        <w:t>doubts arise in your hearts:</w:t>
      </w:r>
      <w:r>
        <w:rPr>
          <w:lang w:val="en_US" w:bidi="en_US"/>
        </w:rPr>
        <w:t xml:space="preserve"> The Greek phrase that the BSB translates as </w:t>
      </w:r>
      <w:r>
        <w:rPr>
          <w:i/>
          <w:lang w:val="en_US" w:bidi="en_US"/>
        </w:rPr>
        <w:t>doubts arise in your hearts</w:t>
      </w:r>
      <w:r>
        <w:rPr>
          <w:lang w:val="en_US" w:bidi="en_US"/>
        </w:rPr>
        <w:t xml:space="preserve"> is an idiom. It has the same meaning as the verb “doubt.” Some ways to translate it are:</w:t>
      </w:r>
    </w:p>
    <w:p>
      <w:pPr>
        <w:pStyle w:val="ListBullet"/>
        <w:spacing w:line="240" w:lineRule="auto"/>
        <w:ind w:left="720"/>
      </w:pPr>
      <w:r>
        <w:rPr>
          <w:lang w:val="en_US" w:bidi="en_US"/>
        </w:rPr>
      </w:r>
      <w:r>
        <w:rPr>
          <w:lang w:val="en_US" w:bidi="en_US"/>
        </w:rPr>
        <w:t>Translate the meaning directly without using an idiom. For example:</w:t>
      </w:r>
      <w:r>
        <w:rPr>
          <w:lang w:val="en_US" w:bidi="en_US"/>
        </w:rPr>
        <w:t>you doubt (CEV)</w:t>
      </w:r>
      <w:r>
        <w:rPr>
          <w:lang w:val="en_US" w:bidi="en_US"/>
        </w:rPr>
        <w:t>you doubt what you see (NCV)</w:t>
      </w:r>
    </w:p>
    <w:p>
      <w:pPr>
        <w:pStyle w:val="ListBullet"/>
        <w:spacing w:line="240" w:lineRule="auto"/>
        <w:ind w:left="720"/>
      </w:pPr>
      <w:r>
        <w:rPr>
          <w:lang w:val="en_US" w:bidi="en_US"/>
        </w:rPr>
      </w:r>
      <w:r>
        <w:rPr>
          <w:lang w:val="en_US" w:bidi="en_US"/>
        </w:rPr>
        <w:t>Use an idiom that has the same meaning in your language. For example:</w:t>
      </w:r>
      <w:r>
        <w:rPr>
          <w:lang w:val="en_US" w:bidi="en_US"/>
        </w:rPr>
        <w:t>your hearts filled with doubt (NLT)</w:t>
      </w:r>
    </w:p>
    <w:p>
      <w:pPr/>
      <w:r>
        <w:rPr>
          <w:lang w:val="en_US" w:bidi="en_US"/>
        </w:rPr>
      </w:r>
      <w:r>
        <w:rPr>
          <w:lang w:val="en_US" w:bidi="en_US"/>
        </w:rPr>
        <w:t>Translate the meaning in a natural way in your language.</w:t>
      </w:r>
      <w:r>
        <w:rPr>
          <w:lang w:val="en_US" w:bidi="en_US"/>
        </w:rPr>
      </w:r>
      <w:r>
        <w:rPr>
          <w:lang w:val="en_US" w:bidi="en_US"/>
        </w:rPr>
      </w:r>
    </w:p>
    <w:p>
      <w:pPr/>
      <w:r>
        <w:rPr>
          <w:lang w:val="en_US" w:bidi="en_US"/>
        </w:rPr>
      </w:r>
    </w:p>
    <w:p>
      <w:pPr>
        <w:pStyle w:val="Heading2"/>
      </w:pPr>
      <w:r>
        <w:rPr>
          <w:lang w:val="en_US" w:bidi="en_US"/>
        </w:rPr>
        <w:t>Luke 24:39</w:t>
      </w:r>
      <w:r>
        <w:rPr>
          <w:lang w:val="en_US" w:bidi="en_US"/>
        </w:rPr>
      </w:r>
    </w:p>
    <w:p>
      <w:pPr>
        <w:pStyle w:val="Heading4"/>
      </w:pPr>
      <w:r>
        <w:rPr>
          <w:lang w:val="en_US" w:bidi="en_US"/>
        </w:rPr>
        <w:t>Section 24:36–43: Jesus appeared to his followers</w:t>
      </w:r>
    </w:p>
    <w:p>
      <w:pPr/>
      <w:r>
        <w:rPr>
          <w:lang w:val="en_US" w:bidi="en_US"/>
        </w:rPr>
      </w:r>
      <w:r>
        <w:rPr>
          <w:lang w:val="en_US" w:bidi="en_US"/>
        </w:rPr>
        <w:t>This section tells about another time when Jesus appeared to people after he rose from the dead. Jesus had already appeared to Simon (24:34) and to the two men on the road to Emmaus. In this section Jesus appeared to all eleven apostles and those who were with them. He ate with them and proved that he really was alive.</w:t>
      </w:r>
    </w:p>
    <w:p>
      <w:pPr/>
      <w:r>
        <w:rPr>
          <w:lang w:val="en_US" w:bidi="en_US"/>
        </w:rPr>
      </w:r>
      <w:r>
        <w:rPr>
          <w:lang w:val="en_US" w:bidi="en_US"/>
        </w:rPr>
        <w:t>Some examples of other headings for this section are:</w:t>
      </w:r>
    </w:p>
    <w:p>
      <w:pPr/>
      <w:r>
        <w:rPr>
          <w:lang w:val="en_US" w:bidi="en_US"/>
        </w:rPr>
      </w:r>
      <w:r>
        <w:rPr>
          <w:lang w:val="en_US" w:bidi="en_US"/>
        </w:rPr>
        <w:t>Jesus Appears to His Followers (NCV)</w:t>
      </w:r>
    </w:p>
    <w:p>
      <w:pPr/>
      <w:r>
        <w:rPr>
          <w:lang w:val="en_US" w:bidi="en_US"/>
        </w:rPr>
      </w:r>
      <w:r>
        <w:rPr>
          <w:lang w:val="en_US" w:bidi="en_US"/>
        </w:rPr>
        <w:t>Jesus showed his followers that he was alive</w:t>
      </w:r>
    </w:p>
    <w:p>
      <w:pPr/>
      <w:r>
        <w:rPr>
          <w:lang w:val="en_US" w:bidi="en_US"/>
        </w:rPr>
      </w:r>
      <w:r>
        <w:rPr>
          <w:lang w:val="en_US" w:bidi="en_US"/>
        </w:rPr>
        <w:t>There are parallel passages for this section in Mark 16:14, John 20:19–23, and Acts 1:4–5.</w:t>
      </w:r>
    </w:p>
    <w:p>
      <w:pPr>
        <w:pStyle w:val="Heading5"/>
      </w:pPr>
      <w:r>
        <w:rPr>
          <w:lang w:val="en_US" w:bidi="en_US"/>
        </w:rPr>
        <w:t>24:39a</w:t>
      </w:r>
    </w:p>
    <w:p>
      <w:pPr/>
      <w:r>
        <w:rPr>
          <w:lang w:val="en_US" w:bidi="en_US"/>
        </w:rPr>
      </w:r>
      <w:r>
        <w:rPr>
          <w:b/>
          <w:lang w:val="en_US" w:bidi="en_US"/>
        </w:rPr>
        <w:t>Look at My hands and My feet.</w:t>
      </w:r>
    </w:p>
    <w:p>
      <w:pPr>
        <w:pStyle w:val="ListBullet"/>
        <w:spacing w:line="240" w:lineRule="auto"/>
        <w:ind w:left="720"/>
      </w:pPr>
      <w:r>
        <w:rPr>
          <w:lang w:val="en_US" w:bidi="en_US"/>
        </w:rPr>
      </w:r>
      <w:r>
        <w:rPr>
          <w:lang w:val="en_US" w:bidi="en_US"/>
        </w:rPr>
        <w:t>Look</w:t>
      </w:r>
      <w:r>
        <w:rPr>
          <w:vertAlign w:val="superscript"/>
          <w:lang w:val="en_US" w:bidi="en_US"/>
        </w:rPr>
        <w:t>(plur)</w:t>
      </w:r>
      <w:r>
        <w:rPr>
          <w:lang w:val="en_US" w:bidi="en_US"/>
        </w:rPr>
        <w:t xml:space="preserve"> at my hands and feet.</w:t>
      </w:r>
    </w:p>
    <w:p>
      <w:pPr>
        <w:pStyle w:val="ListBullet"/>
        <w:spacing w:line="240" w:lineRule="auto"/>
        <w:ind w:left="720"/>
      </w:pPr>
      <w:r>
        <w:rPr>
          <w:lang w:val="en_US" w:bidi="en_US"/>
        </w:rPr>
      </w:r>
      <w:r>
        <w:rPr>
          <w:lang w:val="en_US" w:bidi="en_US"/>
        </w:rPr>
        <w:t>Examine/See</w:t>
      </w:r>
      <w:r>
        <w:rPr>
          <w:vertAlign w:val="superscript"/>
          <w:lang w:val="en_US" w:bidi="en_US"/>
        </w:rPr>
        <w:t>(plur)</w:t>
      </w:r>
      <w:r>
        <w:rPr>
          <w:lang w:val="en_US" w:bidi="en_US"/>
        </w:rPr>
        <w:t xml:space="preserve"> </w:t>
      </w:r>
      <w:r>
        <w:rPr>
          <w:lang w:val="en_US" w:bidi="en_US"/>
        </w:rPr>
        <w:t>the scars</w:t>
      </w:r>
      <w:r>
        <w:rPr>
          <w:lang w:val="en_US" w:bidi="en_US"/>
        </w:rPr>
        <w:t xml:space="preserve"> on my hands and feet.</w:t>
      </w:r>
    </w:p>
    <w:p>
      <w:pPr/>
      <w:r>
        <w:rPr>
          <w:lang w:val="en_US" w:bidi="en_US"/>
        </w:rPr>
      </w:r>
      <w:r>
        <w:rPr>
          <w:b/>
          <w:lang w:val="en_US" w:bidi="en_US"/>
        </w:rPr>
        <w:t>Look at My hands and My feet:</w:t>
      </w:r>
      <w:r>
        <w:rPr>
          <w:lang w:val="en_US" w:bidi="en_US"/>
        </w:rPr>
        <w:t xml:space="preserve"> Here Jesus told his followers to look at his hands and his feet so that they would recognize him. John 20:25–27 makes explicit that his hands and feet still had scars. These scars came from the wounds that the soldiers made when they nailed his hands and feet to the cross. Those scars clearly proved that he was Jesus. Some other ways to translate this clause are:</w:t>
      </w:r>
    </w:p>
    <w:p>
      <w:pPr/>
      <w:r>
        <w:rPr>
          <w:lang w:val="en_US" w:bidi="en_US"/>
        </w:rPr>
      </w:r>
      <w:r>
        <w:rPr>
          <w:lang w:val="en_US" w:bidi="en_US"/>
        </w:rPr>
        <w:t>Look at my hands. Look at my feet. (NLT)</w:t>
      </w:r>
    </w:p>
    <w:p>
      <w:pPr/>
      <w:r>
        <w:rPr>
          <w:lang w:val="en_US" w:bidi="en_US"/>
        </w:rPr>
      </w:r>
      <w:r>
        <w:rPr>
          <w:lang w:val="en_US" w:bidi="en_US"/>
        </w:rPr>
        <w:t>See the scars on my hands and my feet.</w:t>
      </w:r>
      <w:r>
        <w:rPr>
          <w:lang w:val="en_US" w:bidi="en_US"/>
        </w:rPr>
        <w:t>Uma back translation on TW.</w:t>
      </w:r>
    </w:p>
    <w:p>
      <w:pPr>
        <w:pStyle w:val="Heading5"/>
      </w:pPr>
      <w:r>
        <w:rPr>
          <w:lang w:val="en_US" w:bidi="en_US"/>
        </w:rPr>
        <w:t>24:39b</w:t>
      </w:r>
    </w:p>
    <w:p>
      <w:pPr/>
      <w:r>
        <w:rPr>
          <w:lang w:val="en_US" w:bidi="en_US"/>
        </w:rPr>
      </w:r>
      <w:r>
        <w:rPr>
          <w:b/>
          <w:lang w:val="en_US" w:bidi="en_US"/>
        </w:rPr>
        <w:t>It is I Myself.</w:t>
      </w:r>
    </w:p>
    <w:p>
      <w:pPr>
        <w:pStyle w:val="ListBullet"/>
        <w:spacing w:line="240" w:lineRule="auto"/>
        <w:ind w:left="720"/>
      </w:pPr>
      <w:r>
        <w:rPr>
          <w:lang w:val="en_US" w:bidi="en_US"/>
        </w:rPr>
      </w:r>
      <w:r>
        <w:rPr>
          <w:lang w:val="en_US" w:bidi="en_US"/>
        </w:rPr>
        <w:t xml:space="preserve">I myself am </w:t>
      </w:r>
      <w:r>
        <w:rPr>
          <w:lang w:val="en_US" w:bidi="en_US"/>
        </w:rPr>
        <w:t>here</w:t>
      </w:r>
      <w:r>
        <w:rPr>
          <w:lang w:val="en_US" w:bidi="en_US"/>
        </w:rPr>
        <w:t>!</w:t>
      </w:r>
    </w:p>
    <w:p>
      <w:pPr>
        <w:pStyle w:val="ListBullet"/>
        <w:spacing w:line="240" w:lineRule="auto"/>
        <w:ind w:left="720"/>
      </w:pPr>
      <w:r>
        <w:rPr>
          <w:lang w:val="en_US" w:bidi="en_US"/>
        </w:rPr>
      </w:r>
      <w:r>
        <w:rPr>
          <w:lang w:val="en_US" w:bidi="en_US"/>
        </w:rPr>
        <w:t xml:space="preserve">It is really me, </w:t>
      </w:r>
      <w:r>
        <w:rPr>
          <w:lang w:val="en_US" w:bidi="en_US"/>
        </w:rPr>
        <w:t>not a ghost/spirit</w:t>
      </w:r>
      <w:r>
        <w:rPr>
          <w:lang w:val="en_US" w:bidi="en_US"/>
        </w:rPr>
        <w:t>!</w:t>
      </w:r>
    </w:p>
    <w:p>
      <w:pPr/>
      <w:r>
        <w:rPr>
          <w:lang w:val="en_US" w:bidi="en_US"/>
        </w:rPr>
      </w:r>
      <w:r>
        <w:rPr>
          <w:b/>
          <w:lang w:val="en_US" w:bidi="en_US"/>
        </w:rPr>
        <w:t>It is I Myself:</w:t>
      </w:r>
      <w:r>
        <w:rPr>
          <w:lang w:val="en_US" w:bidi="en_US"/>
        </w:rPr>
        <w:t xml:space="preserve"> Jesus used the statement </w:t>
      </w:r>
      <w:r>
        <w:rPr>
          <w:i/>
          <w:lang w:val="en_US" w:bidi="en_US"/>
        </w:rPr>
        <w:t>It is I Myself</w:t>
      </w:r>
      <w:r>
        <w:rPr>
          <w:lang w:val="en_US" w:bidi="en_US"/>
        </w:rPr>
        <w:t xml:space="preserve"> to assure his disciples that he was really the same Jesus whom they had known before. This statement implies the reason for Jesus’ commands in 24:39a and 24:39c. He wanted his disciples to look at his hands and feet and to touch him so that they would know that he was a real person, not a ghost.</w:t>
      </w:r>
    </w:p>
    <w:p>
      <w:pPr/>
      <w:r>
        <w:rPr>
          <w:lang w:val="en_US" w:bidi="en_US"/>
        </w:rPr>
      </w:r>
      <w:r>
        <w:rPr>
          <w:lang w:val="en_US" w:bidi="en_US"/>
        </w:rPr>
        <w:t>Translate this reassurance in a natural way in your language. You should also connect it to 24:39a in a natural way. Some other ways to do this in English are:</w:t>
      </w:r>
    </w:p>
    <w:p>
      <w:pPr/>
      <w:r>
        <w:rPr>
          <w:lang w:val="en_US" w:bidi="en_US"/>
        </w:rPr>
      </w:r>
      <w:r>
        <w:rPr>
          <w:lang w:val="en_US" w:bidi="en_US"/>
        </w:rPr>
        <w:t>and see that it’s really me (GW)</w:t>
      </w:r>
    </w:p>
    <w:p>
      <w:pPr/>
      <w:r>
        <w:rPr>
          <w:lang w:val="en_US" w:bidi="en_US"/>
        </w:rPr>
      </w:r>
      <w:r>
        <w:rPr>
          <w:lang w:val="en_US" w:bidi="en_US"/>
        </w:rPr>
        <w:t>so that you will believe that it is truly I</w:t>
      </w:r>
      <w:r>
        <w:rPr>
          <w:lang w:val="en_US" w:bidi="en_US"/>
        </w:rPr>
        <w:t>Kankanaey back translation on TW.</w:t>
      </w:r>
    </w:p>
    <w:p>
      <w:pPr/>
      <w:r>
        <w:rPr>
          <w:lang w:val="en_US" w:bidi="en_US"/>
        </w:rPr>
      </w:r>
      <w:r>
        <w:rPr>
          <w:lang w:val="en_US" w:bidi="en_US"/>
        </w:rPr>
        <w:t>and know that I myself am here</w:t>
      </w:r>
    </w:p>
    <w:p>
      <w:pPr>
        <w:pStyle w:val="Heading5"/>
      </w:pPr>
      <w:r>
        <w:rPr>
          <w:lang w:val="en_US" w:bidi="en_US"/>
        </w:rPr>
        <w:t>24:39c</w:t>
      </w:r>
    </w:p>
    <w:p>
      <w:pPr/>
      <w:r>
        <w:rPr>
          <w:lang w:val="en_US" w:bidi="en_US"/>
        </w:rPr>
      </w:r>
      <w:r>
        <w:rPr>
          <w:b/>
          <w:lang w:val="en_US" w:bidi="en_US"/>
        </w:rPr>
        <w:t>Touch Me and see—</w:t>
      </w:r>
    </w:p>
    <w:p>
      <w:pPr>
        <w:pStyle w:val="ListBullet"/>
        <w:spacing w:line="240" w:lineRule="auto"/>
        <w:ind w:left="720"/>
      </w:pPr>
      <w:r>
        <w:rPr>
          <w:lang w:val="en_US" w:bidi="en_US"/>
        </w:rPr>
      </w:r>
      <w:r>
        <w:rPr>
          <w:lang w:val="en_US" w:bidi="en_US"/>
        </w:rPr>
        <w:t xml:space="preserve">Touch me and know </w:t>
      </w:r>
      <w:r>
        <w:rPr>
          <w:lang w:val="en_US" w:bidi="en_US"/>
        </w:rPr>
        <w:t>for yourselves that I am real</w:t>
      </w:r>
      <w:r>
        <w:rPr>
          <w:lang w:val="en_US" w:bidi="en_US"/>
        </w:rPr>
        <w:t>.</w:t>
      </w:r>
    </w:p>
    <w:p>
      <w:pPr>
        <w:pStyle w:val="ListBullet"/>
        <w:spacing w:line="240" w:lineRule="auto"/>
        <w:ind w:left="720"/>
      </w:pPr>
      <w:r>
        <w:rPr>
          <w:lang w:val="en_US" w:bidi="en_US"/>
        </w:rPr>
      </w:r>
      <w:r>
        <w:rPr>
          <w:lang w:val="en_US" w:bidi="en_US"/>
        </w:rPr>
        <w:t>Feel me so that you</w:t>
      </w:r>
      <w:r>
        <w:rPr>
          <w:vertAlign w:val="superscript"/>
          <w:lang w:val="en_US" w:bidi="en_US"/>
        </w:rPr>
        <w:t>(plur)</w:t>
      </w:r>
      <w:r>
        <w:rPr>
          <w:lang w:val="en_US" w:bidi="en_US"/>
        </w:rPr>
        <w:t xml:space="preserve"> can be sure</w:t>
      </w:r>
    </w:p>
    <w:p>
      <w:pPr/>
      <w:r>
        <w:rPr>
          <w:lang w:val="en_US" w:bidi="en_US"/>
        </w:rPr>
      </w:r>
      <w:r>
        <w:rPr>
          <w:b/>
          <w:lang w:val="en_US" w:bidi="en_US"/>
        </w:rPr>
        <w:t>Touch Me and see:</w:t>
      </w:r>
      <w:r>
        <w:rPr>
          <w:lang w:val="en_US" w:bidi="en_US"/>
        </w:rPr>
        <w:t xml:space="preserve"> The clause </w:t>
      </w:r>
      <w:r>
        <w:rPr>
          <w:i/>
          <w:lang w:val="en_US" w:bidi="en_US"/>
        </w:rPr>
        <w:t>Touch Me and see</w:t>
      </w:r>
      <w:r>
        <w:rPr>
          <w:lang w:val="en_US" w:bidi="en_US"/>
        </w:rPr>
        <w:t xml:space="preserve"> indicates here that Jesus wanted his disciples to feel him so that they could be sure that he was a living person. Then they would know that he had a real body. He was not a ghost/spirit. Some other ways to translate this clause are:</w:t>
      </w:r>
    </w:p>
    <w:p>
      <w:pPr/>
      <w:r>
        <w:rPr>
          <w:lang w:val="en_US" w:bidi="en_US"/>
        </w:rPr>
      </w:r>
      <w:r>
        <w:rPr>
          <w:lang w:val="en_US" w:bidi="en_US"/>
        </w:rPr>
        <w:t>Touch me and find out for yourselves (CEV)</w:t>
      </w:r>
    </w:p>
    <w:p>
      <w:pPr/>
      <w:r>
        <w:rPr>
          <w:lang w:val="en_US" w:bidi="en_US"/>
        </w:rPr>
      </w:r>
      <w:r>
        <w:rPr>
          <w:lang w:val="en_US" w:bidi="en_US"/>
        </w:rPr>
        <w:t>Feel me so that you will be sure/satisfied</w:t>
      </w:r>
    </w:p>
    <w:p>
      <w:pPr/>
      <w:r>
        <w:rPr>
          <w:lang w:val="en_US" w:bidi="en_US"/>
        </w:rPr>
      </w:r>
      <w:r>
        <w:rPr>
          <w:lang w:val="en_US" w:bidi="en_US"/>
        </w:rPr>
        <w:t>Touch me and make sure that I am not a ghost (NLT)</w:t>
      </w:r>
    </w:p>
    <w:p>
      <w:pPr/>
      <w:r>
        <w:rPr>
          <w:lang w:val="en_US" w:bidi="en_US"/>
        </w:rPr>
      </w:r>
      <w:r>
        <w:rPr>
          <w:lang w:val="en_US" w:bidi="en_US"/>
        </w:rPr>
        <w:t>Feel me, and you will know (GNT)</w:t>
      </w:r>
    </w:p>
    <w:p>
      <w:pPr>
        <w:pStyle w:val="Heading5"/>
      </w:pPr>
      <w:r>
        <w:rPr>
          <w:lang w:val="en_US" w:bidi="en_US"/>
        </w:rPr>
        <w:t>24:39d</w:t>
      </w:r>
    </w:p>
    <w:p>
      <w:pPr/>
      <w:r>
        <w:rPr>
          <w:lang w:val="en_US" w:bidi="en_US"/>
        </w:rPr>
      </w:r>
      <w:r>
        <w:rPr>
          <w:b/>
          <w:lang w:val="en_US" w:bidi="en_US"/>
        </w:rPr>
        <w:t>for a spirit does not have flesh and bones,</w:t>
      </w:r>
    </w:p>
    <w:p>
      <w:pPr>
        <w:pStyle w:val="ListBullet"/>
        <w:spacing w:line="240" w:lineRule="auto"/>
        <w:ind w:left="720"/>
      </w:pPr>
      <w:r>
        <w:rPr>
          <w:lang w:val="en_US" w:bidi="en_US"/>
        </w:rPr>
      </w:r>
      <w:r>
        <w:rPr>
          <w:lang w:val="en_US" w:bidi="en_US"/>
        </w:rPr>
        <w:t xml:space="preserve">A ghost does not have </w:t>
      </w:r>
      <w:r>
        <w:rPr>
          <w:lang w:val="en_US" w:bidi="en_US"/>
        </w:rPr>
        <w:t>a body made of</w:t>
      </w:r>
      <w:r>
        <w:rPr>
          <w:lang w:val="en_US" w:bidi="en_US"/>
        </w:rPr>
        <w:t xml:space="preserve"> flesh and bones,</w:t>
      </w:r>
    </w:p>
    <w:p>
      <w:pPr>
        <w:pStyle w:val="ListBullet"/>
        <w:spacing w:line="240" w:lineRule="auto"/>
        <w:ind w:left="720"/>
      </w:pPr>
      <w:r>
        <w:rPr>
          <w:lang w:val="en_US" w:bidi="en_US"/>
        </w:rPr>
      </w:r>
      <w:r>
        <w:rPr>
          <w:lang w:val="en_US" w:bidi="en_US"/>
        </w:rPr>
        <w:t xml:space="preserve">that </w:t>
      </w:r>
      <w:r>
        <w:rPr>
          <w:lang w:val="en_US" w:bidi="en_US"/>
        </w:rPr>
        <w:t>I am not a ghost/spirit</w:t>
      </w:r>
      <w:r>
        <w:rPr>
          <w:lang w:val="en_US" w:bidi="en_US"/>
        </w:rPr>
        <w:t xml:space="preserve">. </w:t>
      </w:r>
      <w:r>
        <w:rPr>
          <w:lang w:val="en_US" w:bidi="en_US"/>
        </w:rPr>
        <w:t>You</w:t>
      </w:r>
      <w:r>
        <w:rPr>
          <w:vertAlign w:val="superscript"/>
          <w:lang w:val="en_US" w:bidi="en_US"/>
        </w:rPr>
        <w:t>(plur)</w:t>
      </w:r>
      <w:r>
        <w:rPr>
          <w:lang w:val="en_US" w:bidi="en_US"/>
        </w:rPr>
        <w:t xml:space="preserve"> </w:t>
      </w:r>
      <w:r>
        <w:rPr>
          <w:lang w:val="en_US" w:bidi="en_US"/>
        </w:rPr>
        <w:t>know that</w:t>
      </w:r>
      <w:r>
        <w:rPr>
          <w:lang w:val="en_US" w:bidi="en_US"/>
        </w:rPr>
        <w:t xml:space="preserve"> a ghost/spirit does not have a real body</w:t>
      </w:r>
    </w:p>
    <w:p>
      <w:pPr>
        <w:pStyle w:val="Heading5"/>
      </w:pPr>
      <w:r>
        <w:rPr>
          <w:lang w:val="en_US" w:bidi="en_US"/>
        </w:rPr>
        <w:t>24:39e</w:t>
      </w:r>
    </w:p>
    <w:p>
      <w:pPr/>
      <w:r>
        <w:rPr>
          <w:lang w:val="en_US" w:bidi="en_US"/>
        </w:rPr>
      </w:r>
      <w:r>
        <w:rPr>
          <w:b/>
          <w:lang w:val="en_US" w:bidi="en_US"/>
        </w:rPr>
        <w:t>as you see I have.”</w:t>
      </w:r>
    </w:p>
    <w:p>
      <w:pPr>
        <w:pStyle w:val="ListBullet"/>
        <w:spacing w:line="240" w:lineRule="auto"/>
        <w:ind w:left="720"/>
      </w:pPr>
      <w:r>
        <w:rPr>
          <w:lang w:val="en_US" w:bidi="en_US"/>
        </w:rPr>
      </w:r>
      <w:r>
        <w:rPr>
          <w:lang w:val="en_US" w:bidi="en_US"/>
        </w:rPr>
        <w:t>as you</w:t>
      </w:r>
      <w:r>
        <w:rPr>
          <w:vertAlign w:val="superscript"/>
          <w:lang w:val="en_US" w:bidi="en_US"/>
        </w:rPr>
        <w:t>(plur)</w:t>
      </w:r>
      <w:r>
        <w:rPr>
          <w:lang w:val="en_US" w:bidi="en_US"/>
        </w:rPr>
        <w:t xml:space="preserve"> can see that I have.”</w:t>
      </w:r>
    </w:p>
    <w:p>
      <w:pPr>
        <w:pStyle w:val="ListBullet"/>
        <w:spacing w:line="240" w:lineRule="auto"/>
        <w:ind w:left="720"/>
      </w:pPr>
      <w:r>
        <w:rPr>
          <w:lang w:val="en_US" w:bidi="en_US"/>
        </w:rPr>
      </w:r>
      <w:r>
        <w:rPr>
          <w:lang w:val="en_US" w:bidi="en_US"/>
        </w:rPr>
        <w:t>like I have.”</w:t>
      </w:r>
    </w:p>
    <w:p>
      <w:pPr>
        <w:pStyle w:val="Heading5"/>
      </w:pPr>
      <w:r>
        <w:rPr>
          <w:lang w:val="en_US" w:bidi="en_US"/>
        </w:rPr>
        <w:t>24:39d–e</w:t>
      </w:r>
    </w:p>
    <w:p>
      <w:pPr/>
      <w:r>
        <w:rPr>
          <w:lang w:val="en_US" w:bidi="en_US"/>
        </w:rPr>
      </w:r>
      <w:r>
        <w:rPr>
          <w:b/>
          <w:lang w:val="en_US" w:bidi="en_US"/>
        </w:rPr>
        <w:t>for a spirit does not have flesh and bones, as you see I have:</w:t>
      </w:r>
      <w:r>
        <w:rPr>
          <w:lang w:val="en_US" w:bidi="en_US"/>
        </w:rPr>
        <w:t xml:space="preserve"> In Greek 24:39d begins with a word that is often translated as “because.” The BSB translates this word as </w:t>
      </w:r>
      <w:r>
        <w:rPr>
          <w:i/>
          <w:lang w:val="en_US" w:bidi="en_US"/>
        </w:rPr>
        <w:t>for</w:t>
      </w:r>
      <w:r>
        <w:rPr>
          <w:lang w:val="en_US" w:bidi="en_US"/>
        </w:rPr>
        <w:t xml:space="preserve">. Here it introduces an explanation for 24:39c. Jesus explained why he wanted his disciples to touch him. He wanted them to know that he was not a </w:t>
      </w:r>
      <w:r>
        <w:rPr>
          <w:i/>
          <w:lang w:val="en_US" w:bidi="en_US"/>
        </w:rPr>
        <w:t>spirit</w:t>
      </w:r>
      <w:r>
        <w:rPr>
          <w:lang w:val="en_US" w:bidi="en_US"/>
        </w:rPr>
        <w:t xml:space="preserve">. Jesus contrasted himself with a ghost/spirit. A </w:t>
      </w:r>
      <w:r>
        <w:rPr>
          <w:i/>
          <w:lang w:val="en_US" w:bidi="en_US"/>
        </w:rPr>
        <w:t>spirit</w:t>
      </w:r>
      <w:r>
        <w:rPr>
          <w:lang w:val="en_US" w:bidi="en_US"/>
        </w:rPr>
        <w:t xml:space="preserve"> does not have real </w:t>
      </w:r>
      <w:r>
        <w:rPr>
          <w:i/>
          <w:lang w:val="en_US" w:bidi="en_US"/>
        </w:rPr>
        <w:t>flesh and bones</w:t>
      </w:r>
      <w:r>
        <w:rPr>
          <w:lang w:val="en_US" w:bidi="en_US"/>
        </w:rPr>
        <w:t xml:space="preserve"> that a human can touch/feel, but Jesus had them. When the disciples touched him, they would feel his </w:t>
      </w:r>
      <w:r>
        <w:rPr>
          <w:i/>
          <w:lang w:val="en_US" w:bidi="en_US"/>
        </w:rPr>
        <w:t>flesh and bones</w:t>
      </w:r>
      <w:r>
        <w:rPr>
          <w:lang w:val="en_US" w:bidi="en_US"/>
        </w:rPr>
        <w:t>.</w:t>
      </w:r>
    </w:p>
    <w:p>
      <w:pPr/>
      <w:r>
        <w:rPr>
          <w:lang w:val="en_US" w:bidi="en_US"/>
        </w:rPr>
      </w:r>
      <w:r>
        <w:rPr>
          <w:lang w:val="en_US" w:bidi="en_US"/>
        </w:rPr>
        <w:t>Some other ways to translate the explanation in English are:</w:t>
      </w:r>
    </w:p>
    <w:p>
      <w:pPr/>
      <w:r>
        <w:rPr>
          <w:lang w:val="en_US" w:bidi="en_US"/>
        </w:rPr>
      </w:r>
      <w:r>
        <w:rPr>
          <w:lang w:val="en_US" w:bidi="en_US"/>
        </w:rPr>
        <w:t>for a ghost doesn’t have flesh and bones, as you can see I have (GNT)</w:t>
      </w:r>
    </w:p>
    <w:p>
      <w:pPr/>
      <w:r>
        <w:rPr>
          <w:lang w:val="en_US" w:bidi="en_US"/>
        </w:rPr>
      </w:r>
      <w:r>
        <w:rPr>
          <w:lang w:val="en_US" w:bidi="en_US"/>
        </w:rPr>
        <w:t>because a ghost has no skin or bones, but you can see that I have them</w:t>
      </w:r>
    </w:p>
    <w:p>
      <w:pPr/>
      <w:r>
        <w:rPr>
          <w:lang w:val="en_US" w:bidi="en_US"/>
        </w:rPr>
      </w:r>
      <w:r>
        <w:rPr>
          <w:lang w:val="en_US" w:bidi="en_US"/>
        </w:rPr>
        <w:t>Translate this explanation in a clear way in your language. See the General Comment on 24:39a–e below for a suggestion about how to reorder parts of this verse.</w:t>
      </w:r>
    </w:p>
    <w:p>
      <w:pPr/>
      <w:r>
        <w:rPr>
          <w:lang w:val="en_US" w:bidi="en_US"/>
        </w:rPr>
      </w:r>
      <w:r>
        <w:rPr>
          <w:b/>
          <w:lang w:val="en_US" w:bidi="en_US"/>
        </w:rPr>
        <w:t>for a spirit does not have flesh and bones:</w:t>
      </w:r>
      <w:r>
        <w:rPr>
          <w:lang w:val="en_US" w:bidi="en_US"/>
        </w:rPr>
        <w:t xml:space="preserve"> The phrase </w:t>
      </w:r>
      <w:r>
        <w:rPr>
          <w:i/>
          <w:lang w:val="en_US" w:bidi="en_US"/>
        </w:rPr>
        <w:t>flesh and bones</w:t>
      </w:r>
      <w:r>
        <w:rPr>
          <w:lang w:val="en_US" w:bidi="en_US"/>
        </w:rPr>
        <w:t xml:space="preserve"> is another way to refer to a real physical body. Languages have different ways to refer to this, and you may use a natural expression in your language. Some other ways to translate it in English are:</w:t>
      </w:r>
    </w:p>
    <w:p>
      <w:pPr/>
      <w:r>
        <w:rPr>
          <w:lang w:val="en_US" w:bidi="en_US"/>
        </w:rPr>
      </w:r>
      <w:r>
        <w:rPr>
          <w:lang w:val="en_US" w:bidi="en_US"/>
        </w:rPr>
        <w:t>a ghost does not have a living body (NCV)</w:t>
      </w:r>
    </w:p>
    <w:p>
      <w:pPr/>
      <w:r>
        <w:rPr>
          <w:lang w:val="en_US" w:bidi="en_US"/>
        </w:rPr>
      </w:r>
      <w:r>
        <w:rPr>
          <w:lang w:val="en_US" w:bidi="en_US"/>
        </w:rPr>
        <w:t>ghosts don’t have bodies (NLT)</w:t>
      </w:r>
    </w:p>
    <w:p>
      <w:pPr/>
      <w:r>
        <w:rPr>
          <w:lang w:val="en_US" w:bidi="en_US"/>
        </w:rPr>
      </w:r>
      <w:r>
        <w:rPr>
          <w:lang w:val="en_US" w:bidi="en_US"/>
        </w:rPr>
        <w:t>a ghost does not have real skin or bones</w:t>
      </w:r>
    </w:p>
    <w:p>
      <w:pPr/>
      <w:r>
        <w:rPr>
          <w:lang w:val="en_US" w:bidi="en_US"/>
        </w:rPr>
      </w:r>
      <w:r>
        <w:rPr>
          <w:b/>
          <w:lang w:val="en_US" w:bidi="en_US"/>
        </w:rPr>
        <w:t>as you see I have:</w:t>
      </w:r>
      <w:r>
        <w:rPr>
          <w:lang w:val="en_US" w:bidi="en_US"/>
        </w:rPr>
        <w:t xml:space="preserve"> The clause </w:t>
      </w:r>
      <w:r>
        <w:rPr>
          <w:i/>
          <w:lang w:val="en_US" w:bidi="en_US"/>
        </w:rPr>
        <w:t>as you see I have</w:t>
      </w:r>
      <w:r>
        <w:rPr>
          <w:lang w:val="en_US" w:bidi="en_US"/>
        </w:rPr>
        <w:t xml:space="preserve"> contrasts Jesus with ghosts/spirits. The disciples could see that Jesus had a body with flesh and bones. Another way to translate this contrast is:</w:t>
      </w:r>
    </w:p>
    <w:p>
      <w:pPr/>
      <w:r>
        <w:rPr>
          <w:lang w:val="en_US" w:bidi="en_US"/>
        </w:rPr>
      </w:r>
      <w:r>
        <w:rPr>
          <w:lang w:val="en_US" w:bidi="en_US"/>
        </w:rPr>
        <w:t>but you can see that I do have a real body</w:t>
      </w:r>
    </w:p>
    <w:p>
      <w:pPr>
        <w:pStyle w:val="Heading6"/>
      </w:pPr>
      <w:r>
        <w:rPr>
          <w:b/>
          <w:lang w:val="en_US" w:bidi="en_US"/>
        </w:rPr>
        <w:t>General Comment on 24:39a–e</w:t>
      </w:r>
    </w:p>
    <w:p>
      <w:pPr/>
      <w:r>
        <w:rPr>
          <w:lang w:val="en_US" w:bidi="en_US"/>
        </w:rPr>
      </w:r>
      <w:r>
        <w:rPr>
          <w:lang w:val="en_US" w:bidi="en_US"/>
        </w:rPr>
        <w:t>In some languages it is more natural to change the order of some clauses in this verse. For example:</w:t>
      </w:r>
    </w:p>
    <w:p>
      <w:pPr/>
      <w:r>
        <w:rPr>
          <w:lang w:val="en_US" w:bidi="en_US"/>
        </w:rPr>
      </w:r>
      <w:r>
        <w:rPr>
          <w:vertAlign w:val="superscript"/>
          <w:lang w:val="en_US" w:bidi="en_US"/>
        </w:rPr>
        <w:t>39b</w:t>
      </w:r>
      <w:r>
        <w:rPr>
          <w:lang w:val="en_US" w:bidi="en_US"/>
        </w:rPr>
        <w:t xml:space="preserve">It is I myself! </w:t>
      </w:r>
      <w:r>
        <w:rPr>
          <w:vertAlign w:val="superscript"/>
          <w:lang w:val="en_US" w:bidi="en_US"/>
        </w:rPr>
        <w:t>39a</w:t>
      </w:r>
      <w:r>
        <w:rPr>
          <w:lang w:val="en_US" w:bidi="en_US"/>
        </w:rPr>
        <w:t xml:space="preserve">Look at my hands and my feet, </w:t>
      </w:r>
      <w:r>
        <w:rPr>
          <w:vertAlign w:val="superscript"/>
          <w:lang w:val="en_US" w:bidi="en_US"/>
        </w:rPr>
        <w:t>39c</w:t>
      </w:r>
      <w:r>
        <w:rPr>
          <w:lang w:val="en_US" w:bidi="en_US"/>
        </w:rPr>
        <w:t xml:space="preserve">and touch me. </w:t>
      </w:r>
      <w:r>
        <w:rPr>
          <w:vertAlign w:val="superscript"/>
          <w:lang w:val="en_US" w:bidi="en_US"/>
        </w:rPr>
        <w:t>39e</w:t>
      </w:r>
      <w:r>
        <w:rPr>
          <w:lang w:val="en_US" w:bidi="en_US"/>
        </w:rPr>
        <w:t xml:space="preserve">You can see that I have real flesh and bones, </w:t>
      </w:r>
      <w:r>
        <w:rPr>
          <w:vertAlign w:val="superscript"/>
          <w:lang w:val="en_US" w:bidi="en_US"/>
        </w:rPr>
        <w:t>39d</w:t>
      </w:r>
      <w:r>
        <w:rPr>
          <w:lang w:val="en_US" w:bidi="en_US"/>
        </w:rPr>
        <w:t>not like a spirit/ghost!</w:t>
      </w:r>
    </w:p>
    <w:p>
      <w:pPr/>
      <w:r>
        <w:rPr>
          <w:lang w:val="en_US" w:bidi="en_US"/>
        </w:rPr>
      </w:r>
      <w:r>
        <w:rPr>
          <w:lang w:val="en_US" w:bidi="en_US"/>
        </w:rPr>
        <w:t>Translate what Jesus said in this verse in a natural order in your language.</w:t>
      </w:r>
      <w:r>
        <w:rPr>
          <w:lang w:val="en_US" w:bidi="en_US"/>
        </w:rPr>
      </w:r>
      <w:r>
        <w:rPr>
          <w:lang w:val="en_US" w:bidi="en_US"/>
        </w:rPr>
      </w:r>
    </w:p>
    <w:p>
      <w:pPr/>
      <w:r>
        <w:rPr>
          <w:lang w:val="en_US" w:bidi="en_US"/>
        </w:rPr>
      </w:r>
    </w:p>
    <w:p>
      <w:pPr>
        <w:pStyle w:val="Heading2"/>
      </w:pPr>
      <w:r>
        <w:rPr>
          <w:lang w:val="en_US" w:bidi="en_US"/>
        </w:rPr>
        <w:t>Luke 24:40</w:t>
      </w:r>
      <w:r>
        <w:rPr>
          <w:lang w:val="en_US" w:bidi="en_US"/>
        </w:rPr>
      </w:r>
    </w:p>
    <w:p>
      <w:pPr>
        <w:pStyle w:val="Heading4"/>
      </w:pPr>
      <w:r>
        <w:rPr>
          <w:lang w:val="en_US" w:bidi="en_US"/>
        </w:rPr>
        <w:t>Section 24:36–43: Jesus appeared to his followers</w:t>
      </w:r>
    </w:p>
    <w:p>
      <w:pPr/>
      <w:r>
        <w:rPr>
          <w:lang w:val="en_US" w:bidi="en_US"/>
        </w:rPr>
      </w:r>
      <w:r>
        <w:rPr>
          <w:lang w:val="en_US" w:bidi="en_US"/>
        </w:rPr>
        <w:t>This section tells about another time when Jesus appeared to people after he rose from the dead. Jesus had already appeared to Simon (24:34) and to the two men on the road to Emmaus. In this section Jesus appeared to all eleven apostles and those who were with them. He ate with them and proved that he really was alive.</w:t>
      </w:r>
    </w:p>
    <w:p>
      <w:pPr/>
      <w:r>
        <w:rPr>
          <w:lang w:val="en_US" w:bidi="en_US"/>
        </w:rPr>
      </w:r>
      <w:r>
        <w:rPr>
          <w:lang w:val="en_US" w:bidi="en_US"/>
        </w:rPr>
        <w:t>Some examples of other headings for this section are:</w:t>
      </w:r>
    </w:p>
    <w:p>
      <w:pPr/>
      <w:r>
        <w:rPr>
          <w:lang w:val="en_US" w:bidi="en_US"/>
        </w:rPr>
      </w:r>
      <w:r>
        <w:rPr>
          <w:lang w:val="en_US" w:bidi="en_US"/>
        </w:rPr>
        <w:t>Jesus Appears to His Followers (NCV)</w:t>
      </w:r>
    </w:p>
    <w:p>
      <w:pPr/>
      <w:r>
        <w:rPr>
          <w:lang w:val="en_US" w:bidi="en_US"/>
        </w:rPr>
      </w:r>
      <w:r>
        <w:rPr>
          <w:lang w:val="en_US" w:bidi="en_US"/>
        </w:rPr>
        <w:t>Jesus showed his followers that he was alive</w:t>
      </w:r>
    </w:p>
    <w:p>
      <w:pPr/>
      <w:r>
        <w:rPr>
          <w:lang w:val="en_US" w:bidi="en_US"/>
        </w:rPr>
      </w:r>
      <w:r>
        <w:rPr>
          <w:lang w:val="en_US" w:bidi="en_US"/>
        </w:rPr>
        <w:t>There are parallel passages for this section in Mark 16:14, John 20:19–23, and Acts 1:4–5.</w:t>
      </w:r>
    </w:p>
    <w:p>
      <w:pPr>
        <w:pStyle w:val="Heading5"/>
      </w:pPr>
      <w:r>
        <w:rPr>
          <w:lang w:val="en_US" w:bidi="en_US"/>
        </w:rPr>
        <w:t>24:40</w:t>
      </w:r>
    </w:p>
    <w:p>
      <w:pPr/>
      <w:r>
        <w:rPr>
          <w:lang w:val="en_US" w:bidi="en_US"/>
        </w:rPr>
      </w:r>
      <w:r>
        <w:rPr>
          <w:b/>
          <w:lang w:val="en_US" w:bidi="en_US"/>
        </w:rPr>
        <w:t>And when He had said this, He showed them His hands and feet.</w:t>
      </w:r>
    </w:p>
    <w:p>
      <w:pPr>
        <w:pStyle w:val="ListBullet"/>
        <w:spacing w:line="240" w:lineRule="auto"/>
        <w:ind w:left="720"/>
      </w:pPr>
      <w:r>
        <w:rPr>
          <w:lang w:val="en_US" w:bidi="en_US"/>
        </w:rPr>
      </w:r>
      <w:r>
        <w:rPr>
          <w:lang w:val="en_US" w:bidi="en_US"/>
        </w:rPr>
        <w:t>¶ After he said that, he showed them his hands and feet.</w:t>
      </w:r>
    </w:p>
    <w:p>
      <w:pPr>
        <w:pStyle w:val="ListBullet"/>
        <w:spacing w:line="240" w:lineRule="auto"/>
        <w:ind w:left="720"/>
      </w:pPr>
      <w:r>
        <w:rPr>
          <w:lang w:val="en_US" w:bidi="en_US"/>
        </w:rPr>
      </w:r>
      <w:r>
        <w:rPr>
          <w:lang w:val="en_US" w:bidi="en_US"/>
        </w:rPr>
        <w:t xml:space="preserve">¶ As Jesus was saying this, he showed them </w:t>
      </w:r>
      <w:r>
        <w:rPr>
          <w:lang w:val="en_US" w:bidi="en_US"/>
        </w:rPr>
        <w:t>the wounds in</w:t>
      </w:r>
      <w:r>
        <w:rPr>
          <w:lang w:val="en_US" w:bidi="en_US"/>
        </w:rPr>
        <w:t xml:space="preserve"> his hands and feet,</w:t>
      </w:r>
    </w:p>
    <w:p>
      <w:pPr>
        <w:pStyle w:val="ListBullet"/>
        <w:spacing w:line="240" w:lineRule="auto"/>
        <w:ind w:left="720"/>
      </w:pPr>
      <w:r>
        <w:rPr>
          <w:lang w:val="en_US" w:bidi="en_US"/>
        </w:rPr>
      </w:r>
      <w:r>
        <w:rPr>
          <w:lang w:val="en_US" w:bidi="en_US"/>
        </w:rPr>
        <w:t xml:space="preserve">¶ Then Jesus showed them </w:t>
      </w:r>
      <w:r>
        <w:rPr>
          <w:lang w:val="en_US" w:bidi="en_US"/>
        </w:rPr>
        <w:t>the scars on</w:t>
      </w:r>
      <w:r>
        <w:rPr>
          <w:lang w:val="en_US" w:bidi="en_US"/>
        </w:rPr>
        <w:t xml:space="preserve"> his hands and feet.</w:t>
      </w:r>
    </w:p>
    <w:p>
      <w:pPr/>
      <w:r>
        <w:rPr>
          <w:lang w:val="en_US" w:bidi="en_US"/>
        </w:rPr>
      </w:r>
      <w:r>
        <w:rPr>
          <w:lang w:val="en_US" w:bidi="en_US"/>
        </w:rPr>
        <w:t>There is a textual issue here:</w:t>
      </w:r>
    </w:p>
    <w:p>
      <w:pPr>
        <w:pStyle w:val="ListNumber"/>
        <w:numPr>
          <w:ilvl w:val="0"/>
          <w:numId w:val="370"/>
        </w:numPr>
        <w:spacing w:line="240" w:lineRule="auto"/>
        <w:ind w:left="720"/>
      </w:pPr>
      <w:r>
        <w:rPr>
          <w:lang w:val="en_US" w:bidi="en_US"/>
        </w:rPr>
      </w:r>
      <w:r>
        <w:rPr>
          <w:lang w:val="en_US" w:bidi="en_US"/>
        </w:rPr>
        <w:t>Most Greek manuscripts contain this verse. For example:</w:t>
      </w:r>
      <w:r>
        <w:rPr>
          <w:lang w:val="en_US" w:bidi="en_US"/>
        </w:rPr>
        <w:t xml:space="preserve">As he spoke, he showed them his hands and his feet. (NLT) </w:t>
      </w:r>
      <w:r>
        <w:rPr>
          <w:i/>
          <w:lang w:val="en_US" w:bidi="en_US"/>
        </w:rPr>
        <w:t>(BSB, NIV, KJV, NASB, NJB, NRSV, NET, GW, NLT, CEV, NCV, GNT, ESV)</w:t>
      </w:r>
    </w:p>
    <w:p>
      <w:pPr>
        <w:pStyle w:val="ListNumber"/>
        <w:spacing w:line="240" w:lineRule="auto"/>
        <w:ind w:left="720"/>
      </w:pPr>
      <w:r>
        <w:rPr>
          <w:lang w:val="en_US" w:bidi="en_US"/>
        </w:rPr>
      </w:r>
      <w:r>
        <w:rPr>
          <w:lang w:val="en_US" w:bidi="en_US"/>
        </w:rPr>
        <w:t xml:space="preserve">Some Greek manuscripts do not contain this verse. </w:t>
      </w:r>
      <w:r>
        <w:rPr>
          <w:i/>
          <w:lang w:val="en_US" w:bidi="en_US"/>
        </w:rPr>
        <w:t>(RSV, REB, JBP)</w:t>
      </w:r>
    </w:p>
    <w:p>
      <w:pPr/>
      <w:r>
        <w:rPr>
          <w:lang w:val="en_US" w:bidi="en_US"/>
        </w:rPr>
      </w:r>
      <w:r>
        <w:rPr>
          <w:lang w:val="en_US" w:bidi="en_US"/>
        </w:rPr>
        <w:t>It is recommended that you follow option (1) and include this verse. It has early and strong manuscript support, and the majority of English versions follow this option.</w:t>
      </w:r>
      <w:r>
        <w:rPr>
          <w:lang w:val="en_US" w:bidi="en_US"/>
        </w:rPr>
        <w:t>The Greek NT includes this verse with a B rating, indicating that the text is almost certain. (For information on this rating system, see p. 3 in the introduction.) For more information, see Metzger, pp. 160–61.</w:t>
      </w:r>
    </w:p>
    <w:p>
      <w:pPr/>
      <w:r>
        <w:rPr>
          <w:lang w:val="en_US" w:bidi="en_US"/>
        </w:rPr>
      </w:r>
      <w:r>
        <w:rPr>
          <w:b/>
          <w:lang w:val="en_US" w:bidi="en_US"/>
        </w:rPr>
        <w:t>And when He had said this:</w:t>
      </w:r>
      <w:r>
        <w:rPr>
          <w:lang w:val="en_US" w:bidi="en_US"/>
        </w:rPr>
        <w:t xml:space="preserve"> The Greek clause that the BSB translates as </w:t>
      </w:r>
      <w:r>
        <w:rPr>
          <w:i/>
          <w:lang w:val="en_US" w:bidi="en_US"/>
        </w:rPr>
        <w:t>And when He had said this</w:t>
      </w:r>
      <w:r>
        <w:rPr>
          <w:lang w:val="en_US" w:bidi="en_US"/>
        </w:rPr>
        <w:t xml:space="preserve"> is more literally “and saying this” or “and having said this.” It introduces what Jesus did as he said the words in 24:39 (or immediately after he said those words). He showed the disciples his hands and feet. Some other ways to introduce the next action are:</w:t>
      </w:r>
    </w:p>
    <w:p>
      <w:pPr/>
      <w:r>
        <w:rPr>
          <w:lang w:val="en_US" w:bidi="en_US"/>
        </w:rPr>
      </w:r>
      <w:r>
        <w:rPr>
          <w:lang w:val="en_US" w:bidi="en_US"/>
        </w:rPr>
        <w:t>As he said this (GW)</w:t>
      </w:r>
    </w:p>
    <w:p>
      <w:pPr/>
      <w:r>
        <w:rPr>
          <w:lang w:val="en_US" w:bidi="en_US"/>
        </w:rPr>
      </w:r>
      <w:r>
        <w:rPr>
          <w:lang w:val="en_US" w:bidi="en_US"/>
        </w:rPr>
        <w:t>After Jesus said this (CEV)</w:t>
      </w:r>
    </w:p>
    <w:p>
      <w:pPr/>
      <w:r>
        <w:rPr>
          <w:lang w:val="en_US" w:bidi="en_US"/>
        </w:rPr>
      </w:r>
      <w:r>
        <w:rPr>
          <w:b/>
          <w:lang w:val="en_US" w:bidi="en_US"/>
        </w:rPr>
        <w:t>He showed them His hands and feet:</w:t>
      </w:r>
      <w:r>
        <w:rPr>
          <w:lang w:val="en_US" w:bidi="en_US"/>
        </w:rPr>
        <w:t xml:space="preserve"> This clause indicates that Jesus held out his hands and feet so that the disciples could clearly see the wounds in them. Some other ways to translate this clause are:</w:t>
      </w:r>
    </w:p>
    <w:p>
      <w:pPr/>
      <w:r>
        <w:rPr>
          <w:lang w:val="en_US" w:bidi="en_US"/>
        </w:rPr>
      </w:r>
      <w:r>
        <w:rPr>
          <w:lang w:val="en_US" w:bidi="en_US"/>
        </w:rPr>
        <w:t>…he held out his hands for them to see, and he showed them his feet. (NLT96)</w:t>
      </w:r>
    </w:p>
    <w:p>
      <w:pPr/>
      <w:r>
        <w:rPr>
          <w:lang w:val="en_US" w:bidi="en_US"/>
        </w:rPr>
      </w:r>
      <w:r>
        <w:rPr>
          <w:lang w:val="en_US" w:bidi="en_US"/>
        </w:rPr>
        <w:t>And he showed them where the nails had passed through his hands and feet.</w:t>
      </w:r>
      <w:r>
        <w:rPr>
          <w:lang w:val="en_US" w:bidi="en_US"/>
        </w:rPr>
        <w:t>Western Bukidnon Manobo back translation on TW.</w:t>
      </w:r>
      <w:r>
        <w:rPr>
          <w:lang w:val="en_US" w:bidi="en_US"/>
        </w:rPr>
      </w:r>
      <w:r>
        <w:rPr>
          <w:lang w:val="en_US" w:bidi="en_US"/>
        </w:rPr>
      </w:r>
    </w:p>
    <w:p>
      <w:pPr/>
      <w:r>
        <w:rPr>
          <w:lang w:val="en_US" w:bidi="en_US"/>
        </w:rPr>
      </w:r>
    </w:p>
    <w:p>
      <w:pPr>
        <w:pStyle w:val="Heading2"/>
      </w:pPr>
      <w:r>
        <w:rPr>
          <w:lang w:val="en_US" w:bidi="en_US"/>
        </w:rPr>
        <w:t>Luke 24:41</w:t>
      </w:r>
      <w:r>
        <w:rPr>
          <w:lang w:val="en_US" w:bidi="en_US"/>
        </w:rPr>
      </w:r>
    </w:p>
    <w:p>
      <w:pPr>
        <w:pStyle w:val="Heading4"/>
      </w:pPr>
      <w:r>
        <w:rPr>
          <w:lang w:val="en_US" w:bidi="en_US"/>
        </w:rPr>
        <w:t>Section 24:36–43: Jesus appeared to his followers</w:t>
      </w:r>
    </w:p>
    <w:p>
      <w:pPr/>
      <w:r>
        <w:rPr>
          <w:lang w:val="en_US" w:bidi="en_US"/>
        </w:rPr>
      </w:r>
      <w:r>
        <w:rPr>
          <w:lang w:val="en_US" w:bidi="en_US"/>
        </w:rPr>
        <w:t>This section tells about another time when Jesus appeared to people after he rose from the dead. Jesus had already appeared to Simon (24:34) and to the two men on the road to Emmaus. In this section Jesus appeared to all eleven apostles and those who were with them. He ate with them and proved that he really was alive.</w:t>
      </w:r>
    </w:p>
    <w:p>
      <w:pPr/>
      <w:r>
        <w:rPr>
          <w:lang w:val="en_US" w:bidi="en_US"/>
        </w:rPr>
      </w:r>
      <w:r>
        <w:rPr>
          <w:lang w:val="en_US" w:bidi="en_US"/>
        </w:rPr>
        <w:t>Some examples of other headings for this section are:</w:t>
      </w:r>
    </w:p>
    <w:p>
      <w:pPr/>
      <w:r>
        <w:rPr>
          <w:lang w:val="en_US" w:bidi="en_US"/>
        </w:rPr>
      </w:r>
      <w:r>
        <w:rPr>
          <w:lang w:val="en_US" w:bidi="en_US"/>
        </w:rPr>
        <w:t>Jesus Appears to His Followers (NCV)</w:t>
      </w:r>
    </w:p>
    <w:p>
      <w:pPr/>
      <w:r>
        <w:rPr>
          <w:lang w:val="en_US" w:bidi="en_US"/>
        </w:rPr>
      </w:r>
      <w:r>
        <w:rPr>
          <w:lang w:val="en_US" w:bidi="en_US"/>
        </w:rPr>
        <w:t>Jesus showed his followers that he was alive</w:t>
      </w:r>
    </w:p>
    <w:p>
      <w:pPr/>
      <w:r>
        <w:rPr>
          <w:lang w:val="en_US" w:bidi="en_US"/>
        </w:rPr>
      </w:r>
      <w:r>
        <w:rPr>
          <w:lang w:val="en_US" w:bidi="en_US"/>
        </w:rPr>
        <w:t>There are parallel passages for this section in Mark 16:14, John 20:19–23, and Acts 1:4–5.</w:t>
      </w:r>
    </w:p>
    <w:p>
      <w:pPr>
        <w:pStyle w:val="Heading5"/>
      </w:pPr>
      <w:r>
        <w:rPr>
          <w:lang w:val="en_US" w:bidi="en_US"/>
        </w:rPr>
        <w:t>24:41a</w:t>
      </w:r>
    </w:p>
    <w:p>
      <w:pPr/>
      <w:r>
        <w:rPr>
          <w:lang w:val="en_US" w:bidi="en_US"/>
        </w:rPr>
      </w:r>
      <w:r>
        <w:rPr>
          <w:b/>
          <w:lang w:val="en_US" w:bidi="en_US"/>
        </w:rPr>
        <w:t>While they were still in disbelief because of their joy and amazement,</w:t>
      </w:r>
    </w:p>
    <w:p>
      <w:pPr>
        <w:pStyle w:val="ListBullet"/>
        <w:spacing w:line="240" w:lineRule="auto"/>
        <w:ind w:left="720"/>
      </w:pPr>
      <w:r>
        <w:rPr>
          <w:lang w:val="en_US" w:bidi="en_US"/>
        </w:rPr>
      </w:r>
      <w:r>
        <w:rPr>
          <w:lang w:val="en_US" w:bidi="en_US"/>
        </w:rPr>
        <w:t>Then they were so happy and amazed that they did not completely believe it,</w:t>
      </w:r>
    </w:p>
    <w:p>
      <w:pPr>
        <w:pStyle w:val="ListBullet"/>
        <w:spacing w:line="240" w:lineRule="auto"/>
        <w:ind w:left="720"/>
      </w:pPr>
      <w:r>
        <w:rPr>
          <w:lang w:val="en_US" w:bidi="en_US"/>
        </w:rPr>
      </w:r>
      <w:r>
        <w:rPr>
          <w:lang w:val="en_US" w:bidi="en_US"/>
        </w:rPr>
        <w:t xml:space="preserve">but they could not believe </w:t>
      </w:r>
      <w:r>
        <w:rPr>
          <w:lang w:val="en_US" w:bidi="en_US"/>
        </w:rPr>
        <w:t>that he was really alive</w:t>
      </w:r>
      <w:r>
        <w:rPr>
          <w:lang w:val="en_US" w:bidi="en_US"/>
        </w:rPr>
        <w:t xml:space="preserve"> because they were too astonished and glad/joyful.</w:t>
      </w:r>
    </w:p>
    <w:p>
      <w:pPr>
        <w:pStyle w:val="ListBullet"/>
        <w:spacing w:line="240" w:lineRule="auto"/>
        <w:ind w:left="720"/>
      </w:pPr>
      <w:r>
        <w:rPr>
          <w:lang w:val="en_US" w:bidi="en_US"/>
        </w:rPr>
      </w:r>
      <w:r>
        <w:rPr>
          <w:lang w:val="en_US" w:bidi="en_US"/>
        </w:rPr>
        <w:t xml:space="preserve">When </w:t>
      </w:r>
      <w:r>
        <w:rPr>
          <w:lang w:val="en_US" w:bidi="en_US"/>
        </w:rPr>
        <w:t>they saw his wounds,</w:t>
      </w:r>
      <w:r>
        <w:rPr>
          <w:lang w:val="en_US" w:bidi="en_US"/>
        </w:rPr>
        <w:t xml:space="preserve"> they still could not believe because their joy and wonder </w:t>
      </w:r>
      <w:r>
        <w:rPr>
          <w:lang w:val="en_US" w:bidi="en_US"/>
        </w:rPr>
        <w:t>were so great</w:t>
      </w:r>
      <w:r>
        <w:rPr>
          <w:lang w:val="en_US" w:bidi="en_US"/>
        </w:rPr>
        <w:t>.</w:t>
      </w:r>
    </w:p>
    <w:p>
      <w:pPr/>
      <w:r>
        <w:rPr>
          <w:lang w:val="en_US" w:bidi="en_US"/>
        </w:rPr>
      </w:r>
      <w:r>
        <w:rPr>
          <w:b/>
          <w:lang w:val="en_US" w:bidi="en_US"/>
        </w:rPr>
        <w:t>While they were still in disbelief because of their joy and amazement:</w:t>
      </w:r>
      <w:r>
        <w:rPr>
          <w:lang w:val="en_US" w:bidi="en_US"/>
        </w:rPr>
        <w:t xml:space="preserve"> This clause tells how the disciples reacted when they heard what Jesus said and looked at his wounds (24:38–40). They were exceedingly joyful and amazed that they were seeing Jesus alive again. They were starting to believe, but it seemed too good to be true.</w:t>
      </w:r>
    </w:p>
    <w:p>
      <w:pPr/>
      <w:r>
        <w:rPr>
          <w:lang w:val="en_US" w:bidi="en_US"/>
        </w:rPr>
      </w:r>
      <w:r>
        <w:rPr>
          <w:lang w:val="en_US" w:bidi="en_US"/>
        </w:rPr>
        <w:t>Describe these feelings in a natural way in your language. Some other ways to translate this clause are:</w:t>
      </w:r>
    </w:p>
    <w:p>
      <w:pPr/>
      <w:r>
        <w:rPr>
          <w:lang w:val="en_US" w:bidi="en_US"/>
        </w:rPr>
      </w:r>
      <w:r>
        <w:rPr>
          <w:lang w:val="en_US" w:bidi="en_US"/>
        </w:rPr>
        <w:t>The disciples were so glad and amazed that they could not believe it. (CEV)</w:t>
      </w:r>
    </w:p>
    <w:p>
      <w:pPr/>
      <w:r>
        <w:rPr>
          <w:lang w:val="en_US" w:bidi="en_US"/>
        </w:rPr>
      </w:r>
      <w:r>
        <w:rPr>
          <w:lang w:val="en_US" w:bidi="en_US"/>
        </w:rPr>
        <w:t>The disciples were overcome with joy and amazement because this seemed too good to be true. (GW)</w:t>
      </w:r>
    </w:p>
    <w:p>
      <w:pPr/>
      <w:r>
        <w:rPr>
          <w:lang w:val="en_US" w:bidi="en_US"/>
        </w:rPr>
      </w:r>
      <w:r>
        <w:rPr>
          <w:lang w:val="en_US" w:bidi="en_US"/>
        </w:rPr>
        <w:t>They still could not believe it because they were so joyful and amazed.</w:t>
      </w:r>
    </w:p>
    <w:p>
      <w:pPr/>
      <w:r>
        <w:rPr>
          <w:lang w:val="en_US" w:bidi="en_US"/>
        </w:rPr>
      </w:r>
      <w:r>
        <w:rPr>
          <w:b/>
          <w:lang w:val="en_US" w:bidi="en_US"/>
        </w:rPr>
        <w:t>they were…in disbelief:</w:t>
      </w:r>
      <w:r>
        <w:rPr>
          <w:lang w:val="en_US" w:bidi="en_US"/>
        </w:rPr>
        <w:t xml:space="preserve"> In this context the phrase </w:t>
      </w:r>
      <w:r>
        <w:rPr>
          <w:i/>
          <w:lang w:val="en_US" w:bidi="en_US"/>
        </w:rPr>
        <w:t>in disbelief</w:t>
      </w:r>
      <w:r>
        <w:rPr>
          <w:lang w:val="en_US" w:bidi="en_US"/>
        </w:rPr>
        <w:t xml:space="preserve"> refers to believing that Jesus was really alive and they were seeing him. Some other ways to translate this phrase are:</w:t>
      </w:r>
    </w:p>
    <w:p>
      <w:pPr/>
      <w:r>
        <w:rPr>
          <w:lang w:val="en_US" w:bidi="en_US"/>
        </w:rPr>
      </w:r>
      <w:r>
        <w:rPr>
          <w:lang w:val="en_US" w:bidi="en_US"/>
        </w:rPr>
        <w:t>They could scarcely believe that it was really He</w:t>
      </w:r>
      <w:r>
        <w:rPr>
          <w:lang w:val="en_US" w:bidi="en_US"/>
        </w:rPr>
        <w:t>Uma back translation on TW.</w:t>
      </w:r>
    </w:p>
    <w:p>
      <w:pPr/>
      <w:r>
        <w:rPr>
          <w:lang w:val="en_US" w:bidi="en_US"/>
        </w:rPr>
      </w:r>
      <w:r>
        <w:rPr>
          <w:lang w:val="en_US" w:bidi="en_US"/>
        </w:rPr>
        <w:t>they could not believe that it was actually true</w:t>
      </w:r>
    </w:p>
    <w:p>
      <w:pPr/>
      <w:r>
        <w:rPr>
          <w:lang w:val="en_US" w:bidi="en_US"/>
        </w:rPr>
      </w:r>
      <w:r>
        <w:rPr>
          <w:lang w:val="en_US" w:bidi="en_US"/>
        </w:rPr>
        <w:t>they struggled to believe that he was really alive</w:t>
      </w:r>
    </w:p>
    <w:p>
      <w:pPr/>
      <w:r>
        <w:rPr>
          <w:lang w:val="en_US" w:bidi="en_US"/>
        </w:rPr>
      </w:r>
      <w:r>
        <w:rPr>
          <w:lang w:val="en_US" w:bidi="en_US"/>
        </w:rPr>
        <w:t>For more information on translating this sense of “believe,” see believe, Meaning 1, in the Glossary.</w:t>
      </w:r>
    </w:p>
    <w:p>
      <w:pPr/>
      <w:r>
        <w:rPr>
          <w:lang w:val="en_US" w:bidi="en_US"/>
        </w:rPr>
      </w:r>
      <w:r>
        <w:rPr>
          <w:b/>
          <w:lang w:val="en_US" w:bidi="en_US"/>
        </w:rPr>
        <w:t>still:</w:t>
      </w:r>
      <w:r>
        <w:rPr>
          <w:lang w:val="en_US" w:bidi="en_US"/>
        </w:rPr>
        <w:t xml:space="preserve"> In this context the word </w:t>
      </w:r>
      <w:r>
        <w:rPr>
          <w:i/>
          <w:lang w:val="en_US" w:bidi="en_US"/>
        </w:rPr>
        <w:t>still</w:t>
      </w:r>
      <w:r>
        <w:rPr>
          <w:lang w:val="en_US" w:bidi="en_US"/>
        </w:rPr>
        <w:t xml:space="preserve"> refers to the time immediately after the disciples saw Jesus’ wounds in 24:40. Even after they saw his wounds, they still did not completely believe that he was alive. Languages have different ways to imply the meaning </w:t>
      </w:r>
      <w:r>
        <w:rPr>
          <w:i/>
          <w:lang w:val="en_US" w:bidi="en_US"/>
        </w:rPr>
        <w:t>still</w:t>
      </w:r>
      <w:r>
        <w:rPr>
          <w:lang w:val="en_US" w:bidi="en_US"/>
        </w:rPr>
        <w:t>, and some languages indicate it by a verb form. In some languages it is not necessary to translate it as a separate word, since it is implied by the context. Do what is natural in your language.</w:t>
      </w:r>
    </w:p>
    <w:p>
      <w:pPr/>
      <w:r>
        <w:rPr>
          <w:lang w:val="en_US" w:bidi="en_US"/>
        </w:rPr>
      </w:r>
      <w:r>
        <w:rPr>
          <w:b/>
          <w:lang w:val="en_US" w:bidi="en_US"/>
        </w:rPr>
        <w:t>joy:</w:t>
      </w:r>
      <w:r>
        <w:rPr>
          <w:lang w:val="en_US" w:bidi="en_US"/>
        </w:rPr>
        <w:t xml:space="preserve"> The Greek word that the BSB translates as </w:t>
      </w:r>
      <w:r>
        <w:rPr>
          <w:i/>
          <w:lang w:val="en_US" w:bidi="en_US"/>
        </w:rPr>
        <w:t>joy</w:t>
      </w:r>
      <w:r>
        <w:rPr>
          <w:lang w:val="en_US" w:bidi="en_US"/>
        </w:rPr>
        <w:t xml:space="preserve"> refers to great gladness and happiness. Some languages have an idiomatic way to express this meaning. Use a natural way in your language to express great, overwhelming joy. Some other ways to translate it in English are:</w:t>
      </w:r>
    </w:p>
    <w:p>
      <w:pPr/>
      <w:r>
        <w:rPr>
          <w:lang w:val="en_US" w:bidi="en_US"/>
        </w:rPr>
      </w:r>
      <w:r>
        <w:rPr>
          <w:lang w:val="en_US" w:bidi="en_US"/>
        </w:rPr>
        <w:t>very glad</w:t>
      </w:r>
    </w:p>
    <w:p>
      <w:pPr/>
      <w:r>
        <w:rPr>
          <w:lang w:val="en_US" w:bidi="en_US"/>
        </w:rPr>
      </w:r>
      <w:r>
        <w:rPr>
          <w:lang w:val="en_US" w:bidi="en_US"/>
        </w:rPr>
        <w:t>their hearts were dancing</w:t>
      </w:r>
    </w:p>
    <w:p>
      <w:pPr/>
      <w:r>
        <w:rPr>
          <w:lang w:val="en_US" w:bidi="en_US"/>
        </w:rPr>
      </w:r>
      <w:r>
        <w:rPr>
          <w:lang w:val="en_US" w:bidi="en_US"/>
        </w:rPr>
        <w:t>they were full of joy</w:t>
      </w:r>
    </w:p>
    <w:p>
      <w:pPr/>
      <w:r>
        <w:rPr>
          <w:lang w:val="en_US" w:bidi="en_US"/>
        </w:rPr>
      </w:r>
      <w:r>
        <w:rPr>
          <w:b/>
          <w:lang w:val="en_US" w:bidi="en_US"/>
        </w:rPr>
        <w:t>amazement:</w:t>
      </w:r>
      <w:r>
        <w:rPr>
          <w:lang w:val="en_US" w:bidi="en_US"/>
        </w:rPr>
        <w:t xml:space="preserve"> The Greek word that the BSB translates as </w:t>
      </w:r>
      <w:r>
        <w:rPr>
          <w:i/>
          <w:lang w:val="en_US" w:bidi="en_US"/>
        </w:rPr>
        <w:t>amazement</w:t>
      </w:r>
      <w:r>
        <w:rPr>
          <w:lang w:val="en_US" w:bidi="en_US"/>
        </w:rPr>
        <w:t xml:space="preserve"> is more literally “being-amazed.” It refers to feeling extremely surprised by something that is too wonderful to understand. Some languages have an idiomatic way to express this meaning. In this context the cause of the amazement is very good and joyful. Use a natural way in your language to express this type of amazement. Some other ways to express it in English are:</w:t>
      </w:r>
    </w:p>
    <w:p>
      <w:pPr/>
      <w:r>
        <w:rPr>
          <w:lang w:val="en_US" w:bidi="en_US"/>
        </w:rPr>
      </w:r>
      <w:r>
        <w:rPr>
          <w:lang w:val="en_US" w:bidi="en_US"/>
        </w:rPr>
        <w:t>filled with…wonder (NLT)</w:t>
      </w:r>
    </w:p>
    <w:p>
      <w:pPr/>
      <w:r>
        <w:rPr>
          <w:lang w:val="en_US" w:bidi="en_US"/>
        </w:rPr>
      </w:r>
      <w:r>
        <w:rPr>
          <w:lang w:val="en_US" w:bidi="en_US"/>
        </w:rPr>
        <w:t>exceedingly amazed</w:t>
      </w:r>
    </w:p>
    <w:p>
      <w:pPr>
        <w:pStyle w:val="Heading5"/>
      </w:pPr>
      <w:r>
        <w:rPr>
          <w:lang w:val="en_US" w:bidi="en_US"/>
        </w:rPr>
        <w:t>24:41b</w:t>
      </w:r>
    </w:p>
    <w:p>
      <w:pPr/>
      <w:r>
        <w:rPr>
          <w:lang w:val="en_US" w:bidi="en_US"/>
        </w:rPr>
      </w:r>
      <w:r>
        <w:rPr>
          <w:b/>
          <w:lang w:val="en_US" w:bidi="en_US"/>
        </w:rPr>
        <w:t>He asked them, “Do you have anything here to eat?”</w:t>
      </w:r>
    </w:p>
    <w:p>
      <w:pPr>
        <w:pStyle w:val="ListBullet"/>
        <w:spacing w:line="240" w:lineRule="auto"/>
        <w:ind w:left="720"/>
      </w:pPr>
      <w:r>
        <w:rPr>
          <w:lang w:val="en_US" w:bidi="en_US"/>
        </w:rPr>
      </w:r>
      <w:r>
        <w:rPr>
          <w:lang w:val="en_US" w:bidi="en_US"/>
        </w:rPr>
        <w:t>so</w:t>
      </w:r>
      <w:r>
        <w:rPr>
          <w:lang w:val="en_US" w:bidi="en_US"/>
        </w:rPr>
        <w:t xml:space="preserve"> he asked them, “Is there any food here?”</w:t>
      </w:r>
    </w:p>
    <w:p>
      <w:pPr>
        <w:pStyle w:val="ListBullet"/>
        <w:spacing w:line="240" w:lineRule="auto"/>
        <w:ind w:left="720"/>
      </w:pPr>
      <w:r>
        <w:rPr>
          <w:lang w:val="en_US" w:bidi="en_US"/>
        </w:rPr>
      </w:r>
      <w:r>
        <w:rPr>
          <w:lang w:val="en_US" w:bidi="en_US"/>
        </w:rPr>
        <w:t>Then he/Jesus said to them, “</w:t>
      </w:r>
      <w:r>
        <w:rPr>
          <w:lang w:val="en_US" w:bidi="en_US"/>
        </w:rPr>
        <w:t>Please</w:t>
      </w:r>
      <w:r>
        <w:rPr>
          <w:lang w:val="en_US" w:bidi="en_US"/>
        </w:rPr>
        <w:t xml:space="preserve"> give</w:t>
      </w:r>
      <w:r>
        <w:rPr>
          <w:vertAlign w:val="superscript"/>
          <w:lang w:val="en_US" w:bidi="en_US"/>
        </w:rPr>
        <w:t>(plur)</w:t>
      </w:r>
      <w:r>
        <w:rPr>
          <w:lang w:val="en_US" w:bidi="en_US"/>
        </w:rPr>
        <w:t xml:space="preserve"> me something to eat.”</w:t>
      </w:r>
    </w:p>
    <w:p>
      <w:pPr>
        <w:pStyle w:val="ListBullet"/>
        <w:spacing w:line="240" w:lineRule="auto"/>
        <w:ind w:left="720"/>
      </w:pPr>
      <w:r>
        <w:rPr>
          <w:lang w:val="en_US" w:bidi="en_US"/>
        </w:rPr>
      </w:r>
      <w:r>
        <w:rPr>
          <w:lang w:val="en_US" w:bidi="en_US"/>
        </w:rPr>
        <w:t>So Jesus asked them for something to eat,</w:t>
      </w:r>
    </w:p>
    <w:p>
      <w:pPr/>
      <w:r>
        <w:rPr>
          <w:lang w:val="en_US" w:bidi="en_US"/>
        </w:rPr>
      </w:r>
      <w:r>
        <w:rPr>
          <w:b/>
          <w:lang w:val="en_US" w:bidi="en_US"/>
        </w:rPr>
        <w:t>He asked them:</w:t>
      </w:r>
      <w:r>
        <w:rPr>
          <w:lang w:val="en_US" w:bidi="en_US"/>
        </w:rPr>
        <w:t xml:space="preserve"> The clause </w:t>
      </w:r>
      <w:r>
        <w:rPr>
          <w:i/>
          <w:lang w:val="en_US" w:bidi="en_US"/>
        </w:rPr>
        <w:t>He asked them</w:t>
      </w:r>
      <w:r>
        <w:rPr>
          <w:lang w:val="en_US" w:bidi="en_US"/>
        </w:rPr>
        <w:t xml:space="preserve"> introduces the question that Jesus asked his disciples. In some languages it may be natural to make explicit the connection between this question and the disciples’ feelings in 24:41a. For example:</w:t>
      </w:r>
    </w:p>
    <w:p>
      <w:pPr/>
      <w:r>
        <w:rPr>
          <w:lang w:val="en_US" w:bidi="en_US"/>
        </w:rPr>
      </w:r>
      <w:r>
        <w:rPr>
          <w:lang w:val="en_US" w:bidi="en_US"/>
        </w:rPr>
        <w:t>Then he asked them (NLT)</w:t>
      </w:r>
    </w:p>
    <w:p>
      <w:pPr/>
      <w:r>
        <w:rPr>
          <w:lang w:val="en_US" w:bidi="en_US"/>
        </w:rPr>
      </w:r>
      <w:r>
        <w:rPr>
          <w:lang w:val="en_US" w:bidi="en_US"/>
        </w:rPr>
        <w:t>so he asked them (GNT)</w:t>
      </w:r>
    </w:p>
    <w:p>
      <w:pPr/>
      <w:r>
        <w:rPr>
          <w:lang w:val="en_US" w:bidi="en_US"/>
        </w:rPr>
      </w:r>
      <w:r>
        <w:rPr>
          <w:lang w:val="en_US" w:bidi="en_US"/>
        </w:rPr>
        <w:t>Connect 24:41a and 24:41b in a way that is natural in your language.</w:t>
      </w:r>
    </w:p>
    <w:p>
      <w:pPr/>
      <w:r>
        <w:rPr>
          <w:lang w:val="en_US" w:bidi="en_US"/>
        </w:rPr>
      </w:r>
      <w:r>
        <w:rPr>
          <w:b/>
          <w:lang w:val="en_US" w:bidi="en_US"/>
        </w:rPr>
        <w:t>Do you have anything here to eat?:</w:t>
      </w:r>
      <w:r>
        <w:rPr>
          <w:lang w:val="en_US" w:bidi="en_US"/>
        </w:rPr>
        <w:t xml:space="preserve"> Jesus asked this question because he wanted to show his disciples that he was really alive by eating something. He wanted to prove to them that he had a real body and could eat food. He was not a ghost. In some languages it may be more natural to use a polite request or command in this context. Some other ways to translate the question are:</w:t>
      </w:r>
    </w:p>
    <w:p>
      <w:pPr/>
      <w:r>
        <w:rPr>
          <w:lang w:val="en_US" w:bidi="en_US"/>
        </w:rPr>
      </w:r>
      <w:r>
        <w:rPr>
          <w:lang w:val="en_US" w:bidi="en_US"/>
        </w:rPr>
        <w:t>Please bring/give me something to eat.</w:t>
      </w:r>
    </w:p>
    <w:p>
      <w:pPr/>
      <w:r>
        <w:rPr>
          <w:lang w:val="en_US" w:bidi="en_US"/>
        </w:rPr>
      </w:r>
      <w:r>
        <w:rPr>
          <w:lang w:val="en_US" w:bidi="en_US"/>
        </w:rPr>
        <w:t>Is there food here?</w:t>
      </w:r>
    </w:p>
    <w:p>
      <w:pPr/>
      <w:r>
        <w:rPr>
          <w:lang w:val="en_US" w:bidi="en_US"/>
        </w:rPr>
      </w:r>
      <w:r>
        <w:rPr>
          <w:lang w:val="en_US" w:bidi="en_US"/>
        </w:rPr>
        <w:t>Could you bring me something to eat?</w:t>
      </w:r>
    </w:p>
    <w:p>
      <w:pPr/>
      <w:r>
        <w:rPr>
          <w:lang w:val="en_US" w:bidi="en_US"/>
        </w:rPr>
      </w:r>
      <w:r>
        <w:rPr>
          <w:lang w:val="en_US" w:bidi="en_US"/>
        </w:rPr>
        <w:t>Translate it in a way that implies the right meaning in your language.</w:t>
      </w:r>
    </w:p>
    <w:p>
      <w:pPr/>
      <w:r>
        <w:rPr>
          <w:lang w:val="en_US" w:bidi="en_US"/>
        </w:rPr>
      </w:r>
      <w:r>
        <w:rPr>
          <w:b/>
          <w:lang w:val="en_US" w:bidi="en_US"/>
        </w:rPr>
        <w:t>here:</w:t>
      </w:r>
      <w:r>
        <w:rPr>
          <w:lang w:val="en_US" w:bidi="en_US"/>
        </w:rPr>
        <w:t xml:space="preserve"> The word </w:t>
      </w:r>
      <w:r>
        <w:rPr>
          <w:i/>
          <w:lang w:val="en_US" w:bidi="en_US"/>
        </w:rPr>
        <w:t>here</w:t>
      </w:r>
      <w:r>
        <w:rPr>
          <w:lang w:val="en_US" w:bidi="en_US"/>
        </w:rPr>
        <w:t xml:space="preserve"> refers to the room or house where the disciples were gathered.</w:t>
      </w:r>
      <w:r>
        <w:rPr>
          <w:lang w:val="en_US" w:bidi="en_US"/>
        </w:rPr>
      </w:r>
      <w:r>
        <w:rPr>
          <w:lang w:val="en_US" w:bidi="en_US"/>
        </w:rPr>
      </w:r>
    </w:p>
    <w:p>
      <w:pPr/>
      <w:r>
        <w:rPr>
          <w:lang w:val="en_US" w:bidi="en_US"/>
        </w:rPr>
      </w:r>
    </w:p>
    <w:p>
      <w:pPr>
        <w:pStyle w:val="Heading2"/>
      </w:pPr>
      <w:r>
        <w:rPr>
          <w:lang w:val="en_US" w:bidi="en_US"/>
        </w:rPr>
        <w:t>Luke 24:42</w:t>
      </w:r>
      <w:r>
        <w:rPr>
          <w:lang w:val="en_US" w:bidi="en_US"/>
        </w:rPr>
      </w:r>
    </w:p>
    <w:p>
      <w:pPr>
        <w:pStyle w:val="Heading4"/>
      </w:pPr>
      <w:r>
        <w:rPr>
          <w:lang w:val="en_US" w:bidi="en_US"/>
        </w:rPr>
        <w:t>Section 24:36–43: Jesus appeared to his followers</w:t>
      </w:r>
    </w:p>
    <w:p>
      <w:pPr/>
      <w:r>
        <w:rPr>
          <w:lang w:val="en_US" w:bidi="en_US"/>
        </w:rPr>
      </w:r>
      <w:r>
        <w:rPr>
          <w:lang w:val="en_US" w:bidi="en_US"/>
        </w:rPr>
        <w:t>This section tells about another time when Jesus appeared to people after he rose from the dead. Jesus had already appeared to Simon (24:34) and to the two men on the road to Emmaus. In this section Jesus appeared to all eleven apostles and those who were with them. He ate with them and proved that he really was alive.</w:t>
      </w:r>
    </w:p>
    <w:p>
      <w:pPr/>
      <w:r>
        <w:rPr>
          <w:lang w:val="en_US" w:bidi="en_US"/>
        </w:rPr>
      </w:r>
      <w:r>
        <w:rPr>
          <w:lang w:val="en_US" w:bidi="en_US"/>
        </w:rPr>
        <w:t>Some examples of other headings for this section are:</w:t>
      </w:r>
    </w:p>
    <w:p>
      <w:pPr/>
      <w:r>
        <w:rPr>
          <w:lang w:val="en_US" w:bidi="en_US"/>
        </w:rPr>
      </w:r>
      <w:r>
        <w:rPr>
          <w:lang w:val="en_US" w:bidi="en_US"/>
        </w:rPr>
        <w:t>Jesus Appears to His Followers (NCV)</w:t>
      </w:r>
    </w:p>
    <w:p>
      <w:pPr/>
      <w:r>
        <w:rPr>
          <w:lang w:val="en_US" w:bidi="en_US"/>
        </w:rPr>
      </w:r>
      <w:r>
        <w:rPr>
          <w:lang w:val="en_US" w:bidi="en_US"/>
        </w:rPr>
        <w:t>Jesus showed his followers that he was alive</w:t>
      </w:r>
    </w:p>
    <w:p>
      <w:pPr/>
      <w:r>
        <w:rPr>
          <w:lang w:val="en_US" w:bidi="en_US"/>
        </w:rPr>
      </w:r>
      <w:r>
        <w:rPr>
          <w:lang w:val="en_US" w:bidi="en_US"/>
        </w:rPr>
        <w:t>There are parallel passages for this section in Mark 16:14, John 20:19–23, and Acts 1:4–5.</w:t>
      </w:r>
    </w:p>
    <w:p>
      <w:pPr>
        <w:pStyle w:val="Heading5"/>
      </w:pPr>
      <w:r>
        <w:rPr>
          <w:lang w:val="en_US" w:bidi="en_US"/>
        </w:rPr>
        <w:t>24:42</w:t>
      </w:r>
    </w:p>
    <w:p>
      <w:pPr/>
      <w:r>
        <w:rPr>
          <w:lang w:val="en_US" w:bidi="en_US"/>
        </w:rPr>
      </w:r>
      <w:r>
        <w:rPr>
          <w:b/>
          <w:lang w:val="en_US" w:bidi="en_US"/>
        </w:rPr>
        <w:t>So they gave Him a piece of broiled fish,</w:t>
      </w:r>
    </w:p>
    <w:p>
      <w:pPr>
        <w:pStyle w:val="ListBullet"/>
        <w:spacing w:line="240" w:lineRule="auto"/>
        <w:ind w:left="720"/>
      </w:pPr>
      <w:r>
        <w:rPr>
          <w:lang w:val="en_US" w:bidi="en_US"/>
        </w:rPr>
      </w:r>
      <w:r>
        <w:rPr>
          <w:lang w:val="en_US" w:bidi="en_US"/>
        </w:rPr>
        <w:t>And they gave him a portion of broiled fish.</w:t>
      </w:r>
    </w:p>
    <w:p>
      <w:pPr>
        <w:pStyle w:val="ListBullet"/>
        <w:spacing w:line="240" w:lineRule="auto"/>
        <w:ind w:left="720"/>
      </w:pPr>
      <w:r>
        <w:rPr>
          <w:lang w:val="en_US" w:bidi="en_US"/>
        </w:rPr>
      </w:r>
      <w:r>
        <w:rPr>
          <w:lang w:val="en_US" w:bidi="en_US"/>
        </w:rPr>
        <w:t xml:space="preserve">So his followers brought him some fish that </w:t>
      </w:r>
      <w:r>
        <w:rPr>
          <w:lang w:val="en_US" w:bidi="en_US"/>
        </w:rPr>
        <w:t>someone</w:t>
      </w:r>
      <w:r>
        <w:rPr>
          <w:lang w:val="en_US" w:bidi="en_US"/>
        </w:rPr>
        <w:t xml:space="preserve"> had roasted.</w:t>
      </w:r>
    </w:p>
    <w:p>
      <w:pPr>
        <w:pStyle w:val="ListBullet"/>
        <w:spacing w:line="240" w:lineRule="auto"/>
        <w:ind w:left="720"/>
      </w:pPr>
      <w:r>
        <w:rPr>
          <w:lang w:val="en_US" w:bidi="en_US"/>
        </w:rPr>
      </w:r>
      <w:r>
        <w:rPr>
          <w:lang w:val="en_US" w:bidi="en_US"/>
        </w:rPr>
        <w:t>and his followers brought him a piece of cooked fish.</w:t>
      </w:r>
    </w:p>
    <w:p>
      <w:pPr/>
      <w:r>
        <w:rPr>
          <w:lang w:val="en_US" w:bidi="en_US"/>
        </w:rPr>
      </w:r>
      <w:r>
        <w:rPr>
          <w:b/>
          <w:lang w:val="en_US" w:bidi="en_US"/>
        </w:rPr>
        <w:t>So they gave Him a piece of broiled fish:</w:t>
      </w:r>
      <w:r>
        <w:rPr>
          <w:lang w:val="en_US" w:bidi="en_US"/>
        </w:rPr>
        <w:t xml:space="preserve"> The disciples brought Jesus part of a broiled fish to eat. The phrase </w:t>
      </w:r>
      <w:r>
        <w:rPr>
          <w:i/>
          <w:lang w:val="en_US" w:bidi="en_US"/>
        </w:rPr>
        <w:t>broiled fish</w:t>
      </w:r>
      <w:r>
        <w:rPr>
          <w:lang w:val="en_US" w:bidi="en_US"/>
        </w:rPr>
        <w:t xml:space="preserve"> refers to fish that someone had cooked by grilling or roasting it over a fire or hot coals. This detail is given to indicate that the fish was cooked. It was not raw. Another way to translate the verse is:</w:t>
      </w:r>
    </w:p>
    <w:p>
      <w:pPr/>
      <w:r>
        <w:rPr>
          <w:lang w:val="en_US" w:bidi="en_US"/>
        </w:rPr>
      </w:r>
      <w:r>
        <w:rPr>
          <w:lang w:val="en_US" w:bidi="en_US"/>
        </w:rPr>
        <w:t>They brought him part of a cooked/prepared fish</w:t>
      </w:r>
      <w:r>
        <w:rPr>
          <w:lang w:val="en_US" w:bidi="en_US"/>
        </w:rPr>
      </w:r>
      <w:r>
        <w:rPr>
          <w:lang w:val="en_US" w:bidi="en_US"/>
        </w:rPr>
      </w:r>
    </w:p>
    <w:p>
      <w:pPr/>
      <w:r>
        <w:rPr>
          <w:lang w:val="en_US" w:bidi="en_US"/>
        </w:rPr>
      </w:r>
    </w:p>
    <w:p>
      <w:pPr>
        <w:pStyle w:val="Heading2"/>
      </w:pPr>
      <w:r>
        <w:rPr>
          <w:lang w:val="en_US" w:bidi="en_US"/>
        </w:rPr>
        <w:t>Luke 24:43</w:t>
      </w:r>
      <w:r>
        <w:rPr>
          <w:lang w:val="en_US" w:bidi="en_US"/>
        </w:rPr>
      </w:r>
    </w:p>
    <w:p>
      <w:pPr>
        <w:pStyle w:val="Heading4"/>
      </w:pPr>
      <w:r>
        <w:rPr>
          <w:lang w:val="en_US" w:bidi="en_US"/>
        </w:rPr>
        <w:t>Section 24:36–43: Jesus appeared to his followers</w:t>
      </w:r>
    </w:p>
    <w:p>
      <w:pPr/>
      <w:r>
        <w:rPr>
          <w:lang w:val="en_US" w:bidi="en_US"/>
        </w:rPr>
      </w:r>
      <w:r>
        <w:rPr>
          <w:lang w:val="en_US" w:bidi="en_US"/>
        </w:rPr>
        <w:t>This section tells about another time when Jesus appeared to people after he rose from the dead. Jesus had already appeared to Simon (24:34) and to the two men on the road to Emmaus. In this section Jesus appeared to all eleven apostles and those who were with them. He ate with them and proved that he really was alive.</w:t>
      </w:r>
    </w:p>
    <w:p>
      <w:pPr/>
      <w:r>
        <w:rPr>
          <w:lang w:val="en_US" w:bidi="en_US"/>
        </w:rPr>
      </w:r>
      <w:r>
        <w:rPr>
          <w:lang w:val="en_US" w:bidi="en_US"/>
        </w:rPr>
        <w:t>Some examples of other headings for this section are:</w:t>
      </w:r>
    </w:p>
    <w:p>
      <w:pPr/>
      <w:r>
        <w:rPr>
          <w:lang w:val="en_US" w:bidi="en_US"/>
        </w:rPr>
      </w:r>
      <w:r>
        <w:rPr>
          <w:lang w:val="en_US" w:bidi="en_US"/>
        </w:rPr>
        <w:t>Jesus Appears to His Followers (NCV)</w:t>
      </w:r>
    </w:p>
    <w:p>
      <w:pPr/>
      <w:r>
        <w:rPr>
          <w:lang w:val="en_US" w:bidi="en_US"/>
        </w:rPr>
      </w:r>
      <w:r>
        <w:rPr>
          <w:lang w:val="en_US" w:bidi="en_US"/>
        </w:rPr>
        <w:t>Jesus showed his followers that he was alive</w:t>
      </w:r>
    </w:p>
    <w:p>
      <w:pPr/>
      <w:r>
        <w:rPr>
          <w:lang w:val="en_US" w:bidi="en_US"/>
        </w:rPr>
      </w:r>
      <w:r>
        <w:rPr>
          <w:lang w:val="en_US" w:bidi="en_US"/>
        </w:rPr>
        <w:t>There are parallel passages for this section in Mark 16:14, John 20:19–23, and Acts 1:4–5.</w:t>
      </w:r>
    </w:p>
    <w:p>
      <w:pPr>
        <w:pStyle w:val="Heading5"/>
      </w:pPr>
      <w:r>
        <w:rPr>
          <w:lang w:val="en_US" w:bidi="en_US"/>
        </w:rPr>
        <w:t>24:43</w:t>
      </w:r>
    </w:p>
    <w:p>
      <w:pPr/>
      <w:r>
        <w:rPr>
          <w:lang w:val="en_US" w:bidi="en_US"/>
        </w:rPr>
      </w:r>
      <w:r>
        <w:rPr>
          <w:b/>
          <w:lang w:val="en_US" w:bidi="en_US"/>
        </w:rPr>
        <w:t>and He took it and ate it in front of them.</w:t>
      </w:r>
    </w:p>
    <w:p>
      <w:pPr>
        <w:pStyle w:val="ListBullet"/>
        <w:spacing w:line="240" w:lineRule="auto"/>
        <w:ind w:left="720"/>
      </w:pPr>
      <w:r>
        <w:rPr>
          <w:lang w:val="en_US" w:bidi="en_US"/>
        </w:rPr>
      </w:r>
      <w:r>
        <w:rPr>
          <w:lang w:val="en_US" w:bidi="en_US"/>
        </w:rPr>
        <w:t>He took it and ate it as the disciples watched him.</w:t>
      </w:r>
    </w:p>
    <w:p>
      <w:pPr>
        <w:pStyle w:val="ListBullet"/>
        <w:spacing w:line="240" w:lineRule="auto"/>
        <w:ind w:left="720"/>
      </w:pPr>
      <w:r>
        <w:rPr>
          <w:lang w:val="en_US" w:bidi="en_US"/>
        </w:rPr>
      </w:r>
      <w:r>
        <w:rPr>
          <w:lang w:val="en_US" w:bidi="en_US"/>
        </w:rPr>
        <w:t xml:space="preserve">Then as they were </w:t>
      </w:r>
      <w:r>
        <w:rPr>
          <w:lang w:val="en_US" w:bidi="en_US"/>
        </w:rPr>
        <w:t>all</w:t>
      </w:r>
      <w:r>
        <w:rPr>
          <w:lang w:val="en_US" w:bidi="en_US"/>
        </w:rPr>
        <w:t xml:space="preserve"> watching him, he accepted it and ate it.</w:t>
      </w:r>
    </w:p>
    <w:p>
      <w:pPr/>
      <w:r>
        <w:rPr>
          <w:lang w:val="en_US" w:bidi="en_US"/>
        </w:rPr>
      </w:r>
      <w:r>
        <w:rPr>
          <w:b/>
          <w:lang w:val="en_US" w:bidi="en_US"/>
        </w:rPr>
        <w:t>and He took it and ate it in front of them:</w:t>
      </w:r>
      <w:r>
        <w:rPr>
          <w:lang w:val="en_US" w:bidi="en_US"/>
        </w:rPr>
        <w:t xml:space="preserve"> This verse indicates that Jesus ate the fish, and the disciples watched him. Some other ways to translate it are:</w:t>
      </w:r>
    </w:p>
    <w:p>
      <w:pPr/>
      <w:r>
        <w:rPr>
          <w:lang w:val="en_US" w:bidi="en_US"/>
        </w:rPr>
      </w:r>
      <w:r>
        <w:rPr>
          <w:lang w:val="en_US" w:bidi="en_US"/>
        </w:rPr>
        <w:t>He took it and ate it while they watched him. (GW)</w:t>
      </w:r>
    </w:p>
    <w:p>
      <w:pPr/>
      <w:r>
        <w:rPr>
          <w:lang w:val="en_US" w:bidi="en_US"/>
        </w:rPr>
      </w:r>
      <w:r>
        <w:rPr>
          <w:lang w:val="en_US" w:bidi="en_US"/>
        </w:rPr>
        <w:t>While the followers watched, Jesus took the fish and ate it. (NCV)</w:t>
      </w:r>
    </w:p>
    <w:p>
      <w:pPr/>
      <w:r>
        <w:rPr>
          <w:lang w:val="en_US" w:bidi="en_US"/>
        </w:rPr>
      </w:r>
      <w:r>
        <w:rPr>
          <w:lang w:val="en_US" w:bidi="en_US"/>
        </w:rPr>
        <w:t>The context indicates that Jesus ate the fish to show his disciples that he was really alive. He was not a ghost. In some languages it may be necessary to make this explicit. For example:</w:t>
      </w:r>
    </w:p>
    <w:p>
      <w:pPr/>
      <w:r>
        <w:rPr>
          <w:lang w:val="en_US" w:bidi="en_US"/>
        </w:rPr>
      </w:r>
      <w:r>
        <w:rPr>
          <w:lang w:val="en_US" w:bidi="en_US"/>
        </w:rPr>
        <w:t>He accepted it and ate it, so that they could see that he was not a ghost.</w:t>
      </w:r>
      <w:r>
        <w:rPr>
          <w:lang w:val="en_US" w:bidi="en_US"/>
        </w:rPr>
        <w:t>Uma back translation on TW.</w:t>
      </w:r>
      <w:r>
        <w:rPr>
          <w:lang w:val="en_US" w:bidi="en_US"/>
        </w:rPr>
      </w:r>
      <w:r>
        <w:rPr>
          <w:lang w:val="en_US" w:bidi="en_US"/>
        </w:rPr>
      </w:r>
    </w:p>
    <w:p>
      <w:pPr/>
      <w:r>
        <w:rPr>
          <w:lang w:val="en_US" w:bidi="en_US"/>
        </w:rPr>
      </w:r>
    </w:p>
    <w:p>
      <w:pPr>
        <w:pStyle w:val="Heading2"/>
      </w:pPr>
      <w:r>
        <w:rPr>
          <w:lang w:val="en_US" w:bidi="en_US"/>
        </w:rPr>
        <w:t>Luke 24:44</w:t>
      </w:r>
      <w:r>
        <w:rPr>
          <w:lang w:val="en_US" w:bidi="en_US"/>
        </w:rPr>
      </w:r>
    </w:p>
    <w:p>
      <w:pPr>
        <w:pStyle w:val="Heading4"/>
      </w:pPr>
      <w:r>
        <w:rPr>
          <w:lang w:val="en_US" w:bidi="en_US"/>
        </w:rPr>
        <w:t>Section 24:44–49: Jesus gave final instructions to his followers</w:t>
      </w:r>
    </w:p>
    <w:p>
      <w:pPr/>
      <w:r>
        <w:rPr>
          <w:lang w:val="en_US" w:bidi="en_US"/>
        </w:rPr>
      </w:r>
      <w:r>
        <w:rPr>
          <w:lang w:val="en_US" w:bidi="en_US"/>
        </w:rPr>
        <w:t>In this section Jesus helped his followers to understand the things that were written about him in the Scriptures. He reminded his followers that they had seen these things happen. They had to spread this good news so that people of all countries would repent and believe in him. Then he told his followers that they would receive power to preach those things, as God had promised. He told them that they must wait in Jerusalem until they received this power.</w:t>
      </w:r>
    </w:p>
    <w:p>
      <w:pPr/>
      <w:r>
        <w:rPr>
          <w:lang w:val="en_US" w:bidi="en_US"/>
        </w:rPr>
      </w:r>
      <w:r>
        <w:rPr>
          <w:lang w:val="en_US" w:bidi="en_US"/>
        </w:rPr>
        <w:t>Scholars have different opinions about when Jesus spoke the words in this section. It is likely that he spoke them after some days had passed and he was about to go back to heaven. The words may also be a summary of things that Jesus said to his followers during the forty days when he was with them after his resurrection. Parallel passages show that it is unlikely that Jesus spoke all of these words on the same day that he rose from the dead.</w:t>
      </w:r>
      <w:r>
        <w:rPr>
          <w:lang w:val="en_US" w:bidi="en_US"/>
        </w:rPr>
        <w:t>For example, the events in John 21 show that the disciples did leave Jerusalem and go to Galilee. If Jesus had told them on his resurrection day that they should not leave Jerusalem (24:49), it is unlikely that they would have gone there.</w:t>
      </w:r>
    </w:p>
    <w:p>
      <w:pPr/>
      <w:r>
        <w:rPr>
          <w:lang w:val="en_US" w:bidi="en_US"/>
        </w:rPr>
      </w:r>
      <w:r>
        <w:rPr>
          <w:lang w:val="en_US" w:bidi="en_US"/>
        </w:rPr>
        <w:t>Some other examples of headings for this section are:</w:t>
      </w:r>
    </w:p>
    <w:p>
      <w:pPr/>
      <w:r>
        <w:rPr>
          <w:lang w:val="en_US" w:bidi="en_US"/>
        </w:rPr>
      </w:r>
      <w:r>
        <w:rPr>
          <w:lang w:val="en_US" w:bidi="en_US"/>
        </w:rPr>
        <w:t>Jesus’ Final Commission (NET)</w:t>
      </w:r>
    </w:p>
    <w:p>
      <w:pPr/>
      <w:r>
        <w:rPr>
          <w:lang w:val="en_US" w:bidi="en_US"/>
        </w:rPr>
      </w:r>
      <w:r>
        <w:rPr>
          <w:lang w:val="en_US" w:bidi="en_US"/>
        </w:rPr>
        <w:t>Jesus’ followers must preach about him to all nations</w:t>
      </w:r>
    </w:p>
    <w:p>
      <w:pPr/>
      <w:r>
        <w:rPr>
          <w:lang w:val="en_US" w:bidi="en_US"/>
        </w:rPr>
      </w:r>
      <w:r>
        <w:rPr>
          <w:lang w:val="en_US" w:bidi="en_US"/>
        </w:rPr>
        <w:t>There are parallel passages for this section in Matthew 28:16–20, Mark 16:15–18, and Acts 1:6–8.</w:t>
      </w:r>
    </w:p>
    <w:p>
      <w:pPr>
        <w:pStyle w:val="Heading5"/>
      </w:pPr>
      <w:r>
        <w:rPr>
          <w:lang w:val="en_US" w:bidi="en_US"/>
        </w:rPr>
        <w:t>24:44a</w:t>
      </w:r>
    </w:p>
    <w:p>
      <w:pPr/>
      <w:r>
        <w:rPr>
          <w:lang w:val="en_US" w:bidi="en_US"/>
        </w:rPr>
      </w:r>
      <w:r>
        <w:rPr>
          <w:b/>
          <w:lang w:val="en_US" w:bidi="en_US"/>
        </w:rPr>
        <w:t>Jesus said to them,</w:t>
      </w:r>
    </w:p>
    <w:p>
      <w:pPr>
        <w:pStyle w:val="ListBullet"/>
        <w:spacing w:line="240" w:lineRule="auto"/>
        <w:ind w:left="720"/>
      </w:pPr>
      <w:r>
        <w:rPr>
          <w:lang w:val="en_US" w:bidi="en_US"/>
        </w:rPr>
      </w:r>
      <w:r>
        <w:rPr>
          <w:lang w:val="en_US" w:bidi="en_US"/>
        </w:rPr>
        <w:t>¶ And/Then Jesus said to them,</w:t>
      </w:r>
    </w:p>
    <w:p>
      <w:pPr>
        <w:pStyle w:val="ListBullet"/>
        <w:spacing w:line="240" w:lineRule="auto"/>
        <w:ind w:left="720"/>
      </w:pPr>
      <w:r>
        <w:rPr>
          <w:lang w:val="en_US" w:bidi="en_US"/>
        </w:rPr>
      </w:r>
      <w:r>
        <w:rPr>
          <w:lang w:val="en_US" w:bidi="en_US"/>
        </w:rPr>
        <w:t>¶ After that, Jesus said to his followers,</w:t>
      </w:r>
    </w:p>
    <w:p>
      <w:pPr/>
      <w:r>
        <w:rPr>
          <w:lang w:val="en_US" w:bidi="en_US"/>
        </w:rPr>
      </w:r>
      <w:r>
        <w:rPr>
          <w:b/>
          <w:lang w:val="en_US" w:bidi="en_US"/>
        </w:rPr>
        <w:t>Jesus said to them:</w:t>
      </w:r>
      <w:r>
        <w:rPr>
          <w:lang w:val="en_US" w:bidi="en_US"/>
        </w:rPr>
        <w:t xml:space="preserve"> In Greek this clause begins with a conjunction. In this context it introduces events that probably happened some days after the events in the preceding section. Some other ways to introduce these events are:</w:t>
      </w:r>
    </w:p>
    <w:p>
      <w:pPr/>
      <w:r>
        <w:rPr>
          <w:lang w:val="en_US" w:bidi="en_US"/>
        </w:rPr>
      </w:r>
      <w:r>
        <w:rPr>
          <w:lang w:val="en_US" w:bidi="en_US"/>
        </w:rPr>
        <w:t>After that, Jesus said to his followers</w:t>
      </w:r>
    </w:p>
    <w:p>
      <w:pPr/>
      <w:r>
        <w:rPr>
          <w:lang w:val="en_US" w:bidi="en_US"/>
        </w:rPr>
      </w:r>
      <w:r>
        <w:rPr>
          <w:lang w:val="en_US" w:bidi="en_US"/>
        </w:rPr>
        <w:t>Jesus also said to them</w:t>
      </w:r>
    </w:p>
    <w:p>
      <w:pPr/>
      <w:r>
        <w:rPr>
          <w:lang w:val="en_US" w:bidi="en_US"/>
        </w:rPr>
      </w:r>
      <w:r>
        <w:rPr>
          <w:lang w:val="en_US" w:bidi="en_US"/>
        </w:rPr>
        <w:t>Introduce the section in a natural way in your language.</w:t>
      </w:r>
    </w:p>
    <w:p>
      <w:pPr>
        <w:pStyle w:val="Heading5"/>
      </w:pPr>
      <w:r>
        <w:rPr>
          <w:lang w:val="en_US" w:bidi="en_US"/>
        </w:rPr>
        <w:t>24:44b</w:t>
      </w:r>
    </w:p>
    <w:p>
      <w:pPr/>
      <w:r>
        <w:rPr>
          <w:lang w:val="en_US" w:bidi="en_US"/>
        </w:rPr>
      </w:r>
      <w:r>
        <w:rPr>
          <w:b/>
          <w:lang w:val="en_US" w:bidi="en_US"/>
        </w:rPr>
        <w:t>“These are the words I spoke to you while I was still with you:</w:t>
      </w:r>
    </w:p>
    <w:p>
      <w:pPr>
        <w:pStyle w:val="ListBullet"/>
        <w:spacing w:line="240" w:lineRule="auto"/>
        <w:ind w:left="720"/>
      </w:pPr>
      <w:r>
        <w:rPr>
          <w:lang w:val="en_US" w:bidi="en_US"/>
        </w:rPr>
      </w:r>
      <w:r>
        <w:rPr>
          <w:lang w:val="en_US" w:bidi="en_US"/>
        </w:rPr>
        <w:t>“While I was still with you</w:t>
      </w:r>
      <w:r>
        <w:rPr>
          <w:vertAlign w:val="superscript"/>
          <w:lang w:val="en_US" w:bidi="en_US"/>
        </w:rPr>
        <w:t>(plur)</w:t>
      </w:r>
      <w:r>
        <w:rPr>
          <w:lang w:val="en_US" w:bidi="en_US"/>
        </w:rPr>
        <w:t xml:space="preserve"> </w:t>
      </w:r>
      <w:r>
        <w:rPr>
          <w:lang w:val="en_US" w:bidi="en_US"/>
        </w:rPr>
        <w:t>before I died,</w:t>
      </w:r>
      <w:r>
        <w:rPr>
          <w:lang w:val="en_US" w:bidi="en_US"/>
        </w:rPr>
        <w:t xml:space="preserve"> I told you that</w:t>
      </w:r>
    </w:p>
    <w:p>
      <w:pPr>
        <w:pStyle w:val="ListBullet"/>
        <w:spacing w:line="240" w:lineRule="auto"/>
        <w:ind w:left="720"/>
      </w:pPr>
      <w:r>
        <w:rPr>
          <w:lang w:val="en_US" w:bidi="en_US"/>
        </w:rPr>
      </w:r>
      <w:r>
        <w:rPr>
          <w:lang w:val="en_US" w:bidi="en_US"/>
        </w:rPr>
        <w:t>“These events/matters are what I told you about when I was living among you.</w:t>
      </w:r>
    </w:p>
    <w:p>
      <w:pPr/>
      <w:r>
        <w:rPr>
          <w:lang w:val="en_US" w:bidi="en_US"/>
        </w:rPr>
      </w:r>
      <w:r>
        <w:rPr>
          <w:b/>
          <w:lang w:val="en_US" w:bidi="en_US"/>
        </w:rPr>
        <w:t>These are the words I spoke to you:</w:t>
      </w:r>
      <w:r>
        <w:rPr>
          <w:lang w:val="en_US" w:bidi="en_US"/>
        </w:rPr>
        <w:t xml:space="preserve"> The Greek clause that the BSB translates as </w:t>
      </w:r>
      <w:r>
        <w:rPr>
          <w:i/>
          <w:lang w:val="en_US" w:bidi="en_US"/>
        </w:rPr>
        <w:t>These are the words I spoke to you</w:t>
      </w:r>
      <w:r>
        <w:rPr>
          <w:lang w:val="en_US" w:bidi="en_US"/>
        </w:rPr>
        <w:t xml:space="preserve"> is more literally, “These are my words/matters that I spoke to you.” This clause implies that what Jesus had told them earlier was happening. (For an example of what he had told them, see 18:31–33.)</w:t>
      </w:r>
    </w:p>
    <w:p>
      <w:pPr/>
      <w:r>
        <w:rPr>
          <w:lang w:val="en_US" w:bidi="en_US"/>
        </w:rPr>
      </w:r>
      <w:r>
        <w:rPr>
          <w:lang w:val="en_US" w:bidi="en_US"/>
        </w:rPr>
        <w:t>Some other ways to translate this part of the verse are:</w:t>
      </w:r>
    </w:p>
    <w:p>
      <w:pPr/>
      <w:r>
        <w:rPr>
          <w:lang w:val="en_US" w:bidi="en_US"/>
        </w:rPr>
      </w:r>
      <w:r>
        <w:rPr>
          <w:lang w:val="en_US" w:bidi="en_US"/>
        </w:rPr>
        <w:t>These things that have happened, it is exactly what I had been telling you</w:t>
      </w:r>
      <w:r>
        <w:rPr>
          <w:lang w:val="en_US" w:bidi="en_US"/>
        </w:rPr>
        <w:t>Kankanaey back translation on TW.</w:t>
      </w:r>
    </w:p>
    <w:p>
      <w:pPr/>
      <w:r>
        <w:rPr>
          <w:lang w:val="en_US" w:bidi="en_US"/>
        </w:rPr>
      </w:r>
      <w:r>
        <w:rPr>
          <w:lang w:val="en_US" w:bidi="en_US"/>
        </w:rPr>
        <w:t>Here and now are fulfilled the words that I told you (JBP)</w:t>
      </w:r>
    </w:p>
    <w:p>
      <w:pPr/>
      <w:r>
        <w:rPr>
          <w:lang w:val="en_US" w:bidi="en_US"/>
        </w:rPr>
      </w:r>
      <w:r>
        <w:rPr>
          <w:b/>
          <w:lang w:val="en_US" w:bidi="en_US"/>
        </w:rPr>
        <w:t>while I was still with you:</w:t>
      </w:r>
      <w:r>
        <w:rPr>
          <w:lang w:val="en_US" w:bidi="en_US"/>
        </w:rPr>
        <w:t xml:space="preserve"> The clause </w:t>
      </w:r>
      <w:r>
        <w:rPr>
          <w:i/>
          <w:lang w:val="en_US" w:bidi="en_US"/>
        </w:rPr>
        <w:t>while I was still with you</w:t>
      </w:r>
      <w:r>
        <w:rPr>
          <w:lang w:val="en_US" w:bidi="en_US"/>
        </w:rPr>
        <w:t xml:space="preserve"> refers to the time when Jesus lived among them before his death. Jesus was with them as he was speaking, but he was no longer with them all the time as he had been before. Some other ways to translate this clause are:</w:t>
      </w:r>
    </w:p>
    <w:p>
      <w:pPr/>
      <w:r>
        <w:rPr>
          <w:lang w:val="en_US" w:bidi="en_US"/>
        </w:rPr>
      </w:r>
      <w:r>
        <w:rPr>
          <w:lang w:val="en_US" w:bidi="en_US"/>
        </w:rPr>
        <w:t>When I was with you before (NLT)</w:t>
      </w:r>
    </w:p>
    <w:p>
      <w:pPr/>
      <w:r>
        <w:rPr>
          <w:lang w:val="en_US" w:bidi="en_US"/>
        </w:rPr>
      </w:r>
      <w:r>
        <w:rPr>
          <w:lang w:val="en_US" w:bidi="en_US"/>
        </w:rPr>
        <w:t>before when I was living among you</w:t>
      </w:r>
    </w:p>
    <w:p>
      <w:pPr>
        <w:pStyle w:val="Heading5"/>
      </w:pPr>
      <w:r>
        <w:rPr>
          <w:lang w:val="en_US" w:bidi="en_US"/>
        </w:rPr>
        <w:t>24:44c</w:t>
      </w:r>
    </w:p>
    <w:p>
      <w:pPr/>
      <w:r>
        <w:rPr>
          <w:lang w:val="en_US" w:bidi="en_US"/>
        </w:rPr>
      </w:r>
      <w:r>
        <w:rPr>
          <w:b/>
          <w:lang w:val="en_US" w:bidi="en_US"/>
        </w:rPr>
        <w:t>Everything must be fulfilled that is written about Me</w:t>
      </w:r>
    </w:p>
    <w:p>
      <w:pPr>
        <w:pStyle w:val="ListBullet"/>
        <w:spacing w:line="240" w:lineRule="auto"/>
        <w:ind w:left="720"/>
      </w:pPr>
      <w:r>
        <w:rPr>
          <w:lang w:val="en_US" w:bidi="en_US"/>
        </w:rPr>
      </w:r>
      <w:r>
        <w:rPr>
          <w:lang w:val="en_US" w:bidi="en_US"/>
        </w:rPr>
        <w:t>all the words that were written about me must truly happen,</w:t>
      </w:r>
    </w:p>
    <w:p>
      <w:pPr>
        <w:pStyle w:val="ListBullet"/>
        <w:spacing w:line="240" w:lineRule="auto"/>
        <w:ind w:left="720"/>
      </w:pPr>
      <w:r>
        <w:rPr>
          <w:lang w:val="en_US" w:bidi="en_US"/>
        </w:rPr>
      </w:r>
      <w:r>
        <w:rPr>
          <w:lang w:val="en_US" w:bidi="en_US"/>
        </w:rPr>
        <w:t>As I said,</w:t>
      </w:r>
      <w:r>
        <w:rPr>
          <w:lang w:val="en_US" w:bidi="en_US"/>
        </w:rPr>
        <w:t xml:space="preserve"> all the prophecies about me in God’s Word must come true.</w:t>
      </w:r>
    </w:p>
    <w:p>
      <w:pPr/>
      <w:r>
        <w:rPr>
          <w:lang w:val="en_US" w:bidi="en_US"/>
        </w:rPr>
      </w:r>
      <w:r>
        <w:rPr>
          <w:b/>
          <w:lang w:val="en_US" w:bidi="en_US"/>
        </w:rPr>
        <w:t>Everything must be fulfilled that is written about Me:</w:t>
      </w:r>
      <w:r>
        <w:rPr>
          <w:lang w:val="en_US" w:bidi="en_US"/>
        </w:rPr>
        <w:t xml:space="preserve"> The phrase </w:t>
      </w:r>
      <w:r>
        <w:rPr>
          <w:i/>
          <w:lang w:val="en_US" w:bidi="en_US"/>
        </w:rPr>
        <w:t>Everything must be fulfilled</w:t>
      </w:r>
      <w:r>
        <w:rPr>
          <w:lang w:val="en_US" w:bidi="en_US"/>
        </w:rPr>
        <w:t xml:space="preserve"> means “It is necessary that everything happen.” It was necessary because God had already determined that everything that was prophesied in the OT Scriptures about the Messiah would truly happen.</w:t>
      </w:r>
    </w:p>
    <w:p>
      <w:pPr/>
      <w:r>
        <w:rPr>
          <w:lang w:val="en_US" w:bidi="en_US"/>
        </w:rPr>
      </w:r>
      <w:r>
        <w:rPr>
          <w:lang w:val="en_US" w:bidi="en_US"/>
        </w:rPr>
        <w:t>In 22:37 Jesus also talked about the Scriptures concerning him being fulfilled. See how you translated that verse. For more information, see also the notes at 22:37b, 22:37c, and 22:37d.</w:t>
      </w:r>
    </w:p>
    <w:p>
      <w:pPr/>
      <w:r>
        <w:rPr>
          <w:lang w:val="en_US" w:bidi="en_US"/>
        </w:rPr>
      </w:r>
      <w:r>
        <w:rPr>
          <w:lang w:val="en_US" w:bidi="en_US"/>
        </w:rPr>
        <w:t>Some other ways to translate this part of the verse are:</w:t>
      </w:r>
    </w:p>
    <w:p>
      <w:pPr/>
      <w:r>
        <w:rPr>
          <w:lang w:val="en_US" w:bidi="en_US"/>
        </w:rPr>
      </w:r>
      <w:r>
        <w:rPr>
          <w:lang w:val="en_US" w:bidi="en_US"/>
        </w:rPr>
        <w:t>It is necessary for everything that was written about me to happen</w:t>
      </w:r>
    </w:p>
    <w:p>
      <w:pPr/>
      <w:r>
        <w:rPr>
          <w:lang w:val="en_US" w:bidi="en_US"/>
        </w:rPr>
      </w:r>
      <w:r>
        <w:rPr>
          <w:lang w:val="en_US" w:bidi="en_US"/>
        </w:rPr>
        <w:t>God</w:t>
      </w:r>
      <w:r>
        <w:rPr>
          <w:lang w:val="en_US" w:bidi="en_US"/>
        </w:rPr>
        <w:t xml:space="preserve"> decided/determined that all the things/words written about me will truly happen</w:t>
      </w:r>
    </w:p>
    <w:p>
      <w:pPr/>
      <w:r>
        <w:rPr>
          <w:lang w:val="en_US" w:bidi="en_US"/>
        </w:rPr>
      </w:r>
      <w:r>
        <w:rPr>
          <w:lang w:val="en_US" w:bidi="en_US"/>
        </w:rPr>
        <w:t>everything written about me…had to come true (GNT)</w:t>
      </w:r>
    </w:p>
    <w:p>
      <w:pPr/>
      <w:r>
        <w:rPr>
          <w:lang w:val="en_US" w:bidi="en_US"/>
        </w:rPr>
      </w:r>
      <w:r>
        <w:rPr>
          <w:b/>
          <w:lang w:val="en_US" w:bidi="en_US"/>
        </w:rPr>
        <w:t>that is written:</w:t>
      </w:r>
      <w:r>
        <w:rPr>
          <w:lang w:val="en_US" w:bidi="en_US"/>
        </w:rPr>
        <w:t xml:space="preserve"> The phrase </w:t>
      </w:r>
      <w:r>
        <w:rPr>
          <w:i/>
          <w:lang w:val="en_US" w:bidi="en_US"/>
        </w:rPr>
        <w:t>that is written</w:t>
      </w:r>
      <w:r>
        <w:rPr>
          <w:lang w:val="en_US" w:bidi="en_US"/>
        </w:rPr>
        <w:t xml:space="preserve"> or “it is written” is used in a special way in the New Testament. It refers to words written in the Scriptures. These words had authority because God guided people to write them. In the New Testament the phrase “it is written” usually refers to something that was written in the OT.</w:t>
      </w:r>
    </w:p>
    <w:p>
      <w:pPr/>
      <w:r>
        <w:rPr>
          <w:lang w:val="en_US" w:bidi="en_US"/>
        </w:rPr>
      </w:r>
      <w:r>
        <w:rPr>
          <w:lang w:val="en_US" w:bidi="en_US"/>
        </w:rPr>
        <w:t xml:space="preserve">Your translation should indicate or imply that the phrase </w:t>
      </w:r>
      <w:r>
        <w:rPr>
          <w:i/>
          <w:lang w:val="en_US" w:bidi="en_US"/>
        </w:rPr>
        <w:t>that is written</w:t>
      </w:r>
      <w:r>
        <w:rPr>
          <w:lang w:val="en_US" w:bidi="en_US"/>
        </w:rPr>
        <w:t xml:space="preserve"> refers to the Scriptures. In some languages you may want to include your translation of “the Scriptures” in this phrase. For example:</w:t>
      </w:r>
    </w:p>
    <w:p>
      <w:pPr/>
      <w:r>
        <w:rPr>
          <w:lang w:val="en_US" w:bidi="en_US"/>
        </w:rPr>
      </w:r>
      <w:r>
        <w:rPr>
          <w:lang w:val="en_US" w:bidi="en_US"/>
        </w:rPr>
        <w:t>that is written in God’s book/word</w:t>
      </w:r>
    </w:p>
    <w:p>
      <w:pPr/>
      <w:r>
        <w:rPr>
          <w:lang w:val="en_US" w:bidi="en_US"/>
        </w:rPr>
      </w:r>
      <w:r>
        <w:rPr>
          <w:lang w:val="en_US" w:bidi="en_US"/>
        </w:rPr>
        <w:t>The phrase “the Scriptures” occurs in 24:27. See how you translated it there. See also the following note on 24:44d for an example of how to refer to specific parts of the Scriptures.</w:t>
      </w:r>
    </w:p>
    <w:p>
      <w:pPr>
        <w:pStyle w:val="Heading5"/>
      </w:pPr>
      <w:r>
        <w:rPr>
          <w:lang w:val="en_US" w:bidi="en_US"/>
        </w:rPr>
        <w:t>24:44d</w:t>
      </w:r>
    </w:p>
    <w:p>
      <w:pPr/>
      <w:r>
        <w:rPr>
          <w:lang w:val="en_US" w:bidi="en_US"/>
        </w:rPr>
      </w:r>
      <w:r>
        <w:rPr>
          <w:b/>
          <w:lang w:val="en_US" w:bidi="en_US"/>
        </w:rPr>
        <w:t>in the Law of Moses, the Prophets, and the Psalms.”</w:t>
      </w:r>
    </w:p>
    <w:p>
      <w:pPr>
        <w:pStyle w:val="ListBullet"/>
        <w:spacing w:line="240" w:lineRule="auto"/>
        <w:ind w:left="720"/>
      </w:pPr>
      <w:r>
        <w:rPr>
          <w:lang w:val="en_US" w:bidi="en_US"/>
        </w:rPr>
      </w:r>
      <w:r>
        <w:rPr>
          <w:lang w:val="en_US" w:bidi="en_US"/>
        </w:rPr>
        <w:t>including the words</w:t>
      </w:r>
      <w:r>
        <w:rPr>
          <w:lang w:val="en_US" w:bidi="en_US"/>
        </w:rPr>
        <w:t xml:space="preserve"> in the Law of Moses, the Prophets, and the Psalms.”</w:t>
      </w:r>
    </w:p>
    <w:p>
      <w:pPr>
        <w:pStyle w:val="ListBullet"/>
        <w:spacing w:line="240" w:lineRule="auto"/>
        <w:ind w:left="720"/>
      </w:pPr>
      <w:r>
        <w:rPr>
          <w:lang w:val="en_US" w:bidi="en_US"/>
        </w:rPr>
      </w:r>
      <w:r>
        <w:rPr>
          <w:lang w:val="en_US" w:bidi="en_US"/>
        </w:rPr>
        <w:t>All these prophecies</w:t>
      </w:r>
      <w:r>
        <w:rPr>
          <w:lang w:val="en_US" w:bidi="en_US"/>
        </w:rPr>
        <w:t xml:space="preserve"> in the Law </w:t>
      </w:r>
      <w:r>
        <w:rPr>
          <w:lang w:val="en_US" w:bidi="en_US"/>
        </w:rPr>
        <w:t>books</w:t>
      </w:r>
      <w:r>
        <w:rPr>
          <w:lang w:val="en_US" w:bidi="en_US"/>
        </w:rPr>
        <w:t xml:space="preserve"> of Moses, in </w:t>
      </w:r>
      <w:r>
        <w:rPr>
          <w:lang w:val="en_US" w:bidi="en_US"/>
        </w:rPr>
        <w:t>the writings/books of</w:t>
      </w:r>
      <w:r>
        <w:rPr>
          <w:lang w:val="en_US" w:bidi="en_US"/>
        </w:rPr>
        <w:t xml:space="preserve"> the Prophets, and in the Psalms </w:t>
      </w:r>
      <w:r>
        <w:rPr>
          <w:lang w:val="en_US" w:bidi="en_US"/>
        </w:rPr>
        <w:t>will happen</w:t>
      </w:r>
      <w:r>
        <w:rPr>
          <w:lang w:val="en_US" w:bidi="en_US"/>
        </w:rPr>
        <w:t>.”</w:t>
      </w:r>
    </w:p>
    <w:p>
      <w:pPr/>
      <w:r>
        <w:rPr>
          <w:lang w:val="en_US" w:bidi="en_US"/>
        </w:rPr>
      </w:r>
      <w:r>
        <w:rPr>
          <w:b/>
          <w:lang w:val="en_US" w:bidi="en_US"/>
        </w:rPr>
        <w:t>in the Law of Moses, the Prophets, and the Psalms:</w:t>
      </w:r>
      <w:r>
        <w:rPr>
          <w:lang w:val="en_US" w:bidi="en_US"/>
        </w:rPr>
        <w:t xml:space="preserve"> The three main sections of the OT Scriptures were </w:t>
      </w:r>
      <w:r>
        <w:rPr>
          <w:i/>
          <w:lang w:val="en_US" w:bidi="en_US"/>
        </w:rPr>
        <w:t>the Law</w:t>
      </w:r>
      <w:r>
        <w:rPr>
          <w:lang w:val="en_US" w:bidi="en_US"/>
        </w:rPr>
        <w:t xml:space="preserve">, </w:t>
      </w:r>
      <w:r>
        <w:rPr>
          <w:i/>
          <w:lang w:val="en_US" w:bidi="en_US"/>
        </w:rPr>
        <w:t>the Prophets</w:t>
      </w:r>
      <w:r>
        <w:rPr>
          <w:lang w:val="en_US" w:bidi="en_US"/>
        </w:rPr>
        <w:t>, and “the Writings.” These three sections together make up the entire Old Testament. For more information about this, see the notes on 24:27a–c. In this verse Jesus was probably referring to all of the OT Scriptures.</w:t>
      </w:r>
    </w:p>
    <w:p>
      <w:pPr/>
      <w:r>
        <w:rPr>
          <w:lang w:val="en_US" w:bidi="en_US"/>
        </w:rPr>
      </w:r>
      <w:r>
        <w:rPr>
          <w:lang w:val="en_US" w:bidi="en_US"/>
        </w:rPr>
        <w:t>In some languages it may be helpful to translate 24:44d as a separate sentence or clause. For example:</w:t>
      </w:r>
    </w:p>
    <w:p>
      <w:pPr/>
      <w:r>
        <w:rPr>
          <w:lang w:val="en_US" w:bidi="en_US"/>
        </w:rPr>
      </w:r>
      <w:r>
        <w:rPr>
          <w:lang w:val="en_US" w:bidi="en_US"/>
        </w:rPr>
        <w:t>These Scriptures are</w:t>
      </w:r>
      <w:r>
        <w:rPr>
          <w:lang w:val="en_US" w:bidi="en_US"/>
        </w:rPr>
        <w:t xml:space="preserve"> the Law of Moses, the Prophets, and the Psalms.</w:t>
      </w:r>
    </w:p>
    <w:p>
      <w:pPr/>
      <w:r>
        <w:rPr>
          <w:lang w:val="en_US" w:bidi="en_US"/>
        </w:rPr>
      </w:r>
      <w:r>
        <w:rPr>
          <w:lang w:val="en_US" w:bidi="en_US"/>
        </w:rPr>
        <w:t>These writings about me are found in</w:t>
      </w:r>
      <w:r>
        <w:rPr>
          <w:lang w:val="en_US" w:bidi="en_US"/>
        </w:rPr>
        <w:t xml:space="preserve"> the Law of Moses, the Prophets, and the Psalms.</w:t>
      </w:r>
    </w:p>
    <w:p>
      <w:pPr/>
      <w:r>
        <w:rPr>
          <w:lang w:val="en_US" w:bidi="en_US"/>
        </w:rPr>
      </w:r>
      <w:r>
        <w:rPr>
          <w:b/>
          <w:lang w:val="en_US" w:bidi="en_US"/>
        </w:rPr>
        <w:t>the Law of Moses:</w:t>
      </w:r>
      <w:r>
        <w:rPr>
          <w:lang w:val="en_US" w:bidi="en_US"/>
        </w:rPr>
        <w:t xml:space="preserve"> The phrase </w:t>
      </w:r>
      <w:r>
        <w:rPr>
          <w:i/>
          <w:lang w:val="en_US" w:bidi="en_US"/>
        </w:rPr>
        <w:t>the Law of Moses</w:t>
      </w:r>
      <w:r>
        <w:rPr>
          <w:lang w:val="en_US" w:bidi="en_US"/>
        </w:rPr>
        <w:t xml:space="preserve"> refers to the first five books of the Old Testament. They contain the laws that God gave to the Israelites through Moses. See how you translated this phrase in 2:22.</w:t>
      </w:r>
    </w:p>
    <w:p>
      <w:pPr/>
      <w:r>
        <w:rPr>
          <w:lang w:val="en_US" w:bidi="en_US"/>
        </w:rPr>
      </w:r>
      <w:r>
        <w:rPr>
          <w:b/>
          <w:lang w:val="en_US" w:bidi="en_US"/>
        </w:rPr>
        <w:t>the Prophets:</w:t>
      </w:r>
      <w:r>
        <w:rPr>
          <w:lang w:val="en_US" w:bidi="en_US"/>
        </w:rPr>
        <w:t xml:space="preserve"> The phrase </w:t>
      </w:r>
      <w:r>
        <w:rPr>
          <w:i/>
          <w:lang w:val="en_US" w:bidi="en_US"/>
        </w:rPr>
        <w:t>the Prophets</w:t>
      </w:r>
      <w:r>
        <w:rPr>
          <w:lang w:val="en_US" w:bidi="en_US"/>
        </w:rPr>
        <w:t xml:space="preserve"> refers to the books of the Old Testament that were associated with a prophet. For more discussion of </w:t>
      </w:r>
      <w:r>
        <w:rPr>
          <w:i/>
          <w:lang w:val="en_US" w:bidi="en_US"/>
        </w:rPr>
        <w:t>the Prophets</w:t>
      </w:r>
      <w:r>
        <w:rPr>
          <w:lang w:val="en_US" w:bidi="en_US"/>
        </w:rPr>
        <w:t xml:space="preserve"> as a section of Scripture, see “prophet,” sense 1(b), in KBT.</w:t>
      </w:r>
    </w:p>
    <w:p>
      <w:pPr/>
      <w:r>
        <w:rPr>
          <w:lang w:val="en_US" w:bidi="en_US"/>
        </w:rPr>
      </w:r>
      <w:r>
        <w:rPr>
          <w:b/>
          <w:lang w:val="en_US" w:bidi="en_US"/>
        </w:rPr>
        <w:t>the Psalms:</w:t>
      </w:r>
      <w:r>
        <w:rPr>
          <w:lang w:val="en_US" w:bidi="en_US"/>
        </w:rPr>
        <w:t xml:space="preserve"> The </w:t>
      </w:r>
      <w:r>
        <w:rPr>
          <w:i/>
          <w:lang w:val="en_US" w:bidi="en_US"/>
        </w:rPr>
        <w:t>Psalms</w:t>
      </w:r>
      <w:r>
        <w:rPr>
          <w:lang w:val="en_US" w:bidi="en_US"/>
        </w:rPr>
        <w:t xml:space="preserve"> is the first book in the section of the Old Testament that some people call “the Writings.” Here it may represent the third section of the Hebrew Scriptures. However, in this context you may use the same name as you called the book of Psalms in the Old Testament.</w:t>
      </w:r>
      <w:r>
        <w:rPr>
          <w:lang w:val="en_US" w:bidi="en_US"/>
        </w:rPr>
      </w:r>
      <w:r>
        <w:rPr>
          <w:lang w:val="en_US" w:bidi="en_US"/>
        </w:rPr>
      </w:r>
    </w:p>
    <w:p>
      <w:pPr/>
      <w:r>
        <w:rPr>
          <w:lang w:val="en_US" w:bidi="en_US"/>
        </w:rPr>
      </w:r>
    </w:p>
    <w:p>
      <w:pPr>
        <w:pStyle w:val="Heading2"/>
      </w:pPr>
      <w:r>
        <w:rPr>
          <w:lang w:val="en_US" w:bidi="en_US"/>
        </w:rPr>
        <w:t>Luke 24:45</w:t>
      </w:r>
      <w:r>
        <w:rPr>
          <w:lang w:val="en_US" w:bidi="en_US"/>
        </w:rPr>
      </w:r>
    </w:p>
    <w:p>
      <w:pPr>
        <w:pStyle w:val="Heading4"/>
      </w:pPr>
      <w:r>
        <w:rPr>
          <w:lang w:val="en_US" w:bidi="en_US"/>
        </w:rPr>
        <w:t>Section 24:44–49: Jesus gave final instructions to his followers</w:t>
      </w:r>
    </w:p>
    <w:p>
      <w:pPr/>
      <w:r>
        <w:rPr>
          <w:lang w:val="en_US" w:bidi="en_US"/>
        </w:rPr>
      </w:r>
      <w:r>
        <w:rPr>
          <w:lang w:val="en_US" w:bidi="en_US"/>
        </w:rPr>
        <w:t>In this section Jesus helped his followers to understand the things that were written about him in the Scriptures. He reminded his followers that they had seen these things happen. They had to spread this good news so that people of all countries would repent and believe in him. Then he told his followers that they would receive power to preach those things, as God had promised. He told them that they must wait in Jerusalem until they received this power.</w:t>
      </w:r>
    </w:p>
    <w:p>
      <w:pPr/>
      <w:r>
        <w:rPr>
          <w:lang w:val="en_US" w:bidi="en_US"/>
        </w:rPr>
      </w:r>
      <w:r>
        <w:rPr>
          <w:lang w:val="en_US" w:bidi="en_US"/>
        </w:rPr>
        <w:t>Scholars have different opinions about when Jesus spoke the words in this section. It is likely that he spoke them after some days had passed and he was about to go back to heaven. The words may also be a summary of things that Jesus said to his followers during the forty days when he was with them after his resurrection. Parallel passages show that it is unlikely that Jesus spoke all of these words on the same day that he rose from the dead.</w:t>
      </w:r>
      <w:r>
        <w:rPr>
          <w:lang w:val="en_US" w:bidi="en_US"/>
        </w:rPr>
        <w:t>For example, the events in John 21 show that the disciples did leave Jerusalem and go to Galilee. If Jesus had told them on his resurrection day that they should not leave Jerusalem (24:49), it is unlikely that they would have gone there.</w:t>
      </w:r>
    </w:p>
    <w:p>
      <w:pPr/>
      <w:r>
        <w:rPr>
          <w:lang w:val="en_US" w:bidi="en_US"/>
        </w:rPr>
      </w:r>
      <w:r>
        <w:rPr>
          <w:lang w:val="en_US" w:bidi="en_US"/>
        </w:rPr>
        <w:t>Some other examples of headings for this section are:</w:t>
      </w:r>
    </w:p>
    <w:p>
      <w:pPr/>
      <w:r>
        <w:rPr>
          <w:lang w:val="en_US" w:bidi="en_US"/>
        </w:rPr>
      </w:r>
      <w:r>
        <w:rPr>
          <w:lang w:val="en_US" w:bidi="en_US"/>
        </w:rPr>
        <w:t>Jesus’ Final Commission (NET)</w:t>
      </w:r>
    </w:p>
    <w:p>
      <w:pPr/>
      <w:r>
        <w:rPr>
          <w:lang w:val="en_US" w:bidi="en_US"/>
        </w:rPr>
      </w:r>
      <w:r>
        <w:rPr>
          <w:lang w:val="en_US" w:bidi="en_US"/>
        </w:rPr>
        <w:t>Jesus’ followers must preach about him to all nations</w:t>
      </w:r>
    </w:p>
    <w:p>
      <w:pPr/>
      <w:r>
        <w:rPr>
          <w:lang w:val="en_US" w:bidi="en_US"/>
        </w:rPr>
      </w:r>
      <w:r>
        <w:rPr>
          <w:lang w:val="en_US" w:bidi="en_US"/>
        </w:rPr>
        <w:t>There are parallel passages for this section in Matthew 28:16–20, Mark 16:15–18, and Acts 1:6–8.</w:t>
      </w:r>
    </w:p>
    <w:p>
      <w:pPr>
        <w:pStyle w:val="Heading5"/>
      </w:pPr>
      <w:r>
        <w:rPr>
          <w:lang w:val="en_US" w:bidi="en_US"/>
        </w:rPr>
        <w:t>24:45</w:t>
      </w:r>
    </w:p>
    <w:p>
      <w:pPr/>
      <w:r>
        <w:rPr>
          <w:lang w:val="en_US" w:bidi="en_US"/>
        </w:rPr>
      </w:r>
      <w:r>
        <w:rPr>
          <w:b/>
          <w:lang w:val="en_US" w:bidi="en_US"/>
        </w:rPr>
        <w:t>Then He opened their minds to understand the Scriptures.</w:t>
      </w:r>
    </w:p>
    <w:p>
      <w:pPr>
        <w:pStyle w:val="ListBullet"/>
        <w:spacing w:line="240" w:lineRule="auto"/>
        <w:ind w:left="720"/>
      </w:pPr>
      <w:r>
        <w:rPr>
          <w:lang w:val="en_US" w:bidi="en_US"/>
        </w:rPr>
      </w:r>
      <w:r>
        <w:rPr>
          <w:lang w:val="en_US" w:bidi="en_US"/>
        </w:rPr>
        <w:t>Then he/Jesus caused them to be able to understand the Scriptures.</w:t>
      </w:r>
    </w:p>
    <w:p>
      <w:pPr>
        <w:pStyle w:val="ListBullet"/>
        <w:spacing w:line="240" w:lineRule="auto"/>
        <w:ind w:left="720"/>
      </w:pPr>
      <w:r>
        <w:rPr>
          <w:lang w:val="en_US" w:bidi="en_US"/>
        </w:rPr>
      </w:r>
      <w:r>
        <w:rPr>
          <w:lang w:val="en_US" w:bidi="en_US"/>
        </w:rPr>
        <w:t>Then he explained the meaning of the Scriptures so that they could understand them,</w:t>
      </w:r>
    </w:p>
    <w:p>
      <w:pPr>
        <w:pStyle w:val="ListBullet"/>
        <w:spacing w:line="240" w:lineRule="auto"/>
        <w:ind w:left="720"/>
      </w:pPr>
      <w:r>
        <w:rPr>
          <w:lang w:val="en_US" w:bidi="en_US"/>
        </w:rPr>
      </w:r>
      <w:r>
        <w:rPr>
          <w:lang w:val="en_US" w:bidi="en_US"/>
        </w:rPr>
        <w:t>And he began to help them understand the Scriptures.</w:t>
      </w:r>
    </w:p>
    <w:p>
      <w:pPr/>
      <w:r>
        <w:rPr>
          <w:lang w:val="en_US" w:bidi="en_US"/>
        </w:rPr>
      </w:r>
      <w:r>
        <w:rPr>
          <w:b/>
          <w:lang w:val="en_US" w:bidi="en_US"/>
        </w:rPr>
        <w:t>Then He opened their minds to understand the Scriptures:</w:t>
      </w:r>
      <w:r>
        <w:rPr>
          <w:lang w:val="en_US" w:bidi="en_US"/>
        </w:rPr>
        <w:t xml:space="preserve"> The Greek phrase that the BSB translates literally as </w:t>
      </w:r>
      <w:r>
        <w:rPr>
          <w:i/>
          <w:lang w:val="en_US" w:bidi="en_US"/>
        </w:rPr>
        <w:t>He opened their minds</w:t>
      </w:r>
      <w:r>
        <w:rPr>
          <w:lang w:val="en_US" w:bidi="en_US"/>
        </w:rPr>
        <w:t xml:space="preserve"> is an idiom. It means that Jesus caused the disciples to be able to understand. Jesus did that by explaining the OT Scriptures to them. The context indicates that he helped them understand the prophecies about himself in the Scriptures. His explanation here was probably similar to what he said to the two disciples from Emmaus in 24:27. Some other ways to translate the statement are:</w:t>
      </w:r>
    </w:p>
    <w:p>
      <w:pPr/>
      <w:r>
        <w:rPr>
          <w:lang w:val="en_US" w:bidi="en_US"/>
        </w:rPr>
      </w:r>
      <w:r>
        <w:rPr>
          <w:lang w:val="en_US" w:bidi="en_US"/>
        </w:rPr>
        <w:t>Then he explained the meaning of the Scriptures to them.</w:t>
      </w:r>
    </w:p>
    <w:p>
      <w:pPr/>
      <w:r>
        <w:rPr>
          <w:lang w:val="en_US" w:bidi="en_US"/>
        </w:rPr>
      </w:r>
      <w:r>
        <w:rPr>
          <w:lang w:val="en_US" w:bidi="en_US"/>
        </w:rPr>
        <w:t>Then he helped them understand the Scriptures. (CEV)</w:t>
      </w:r>
    </w:p>
    <w:p>
      <w:pPr/>
      <w:r>
        <w:rPr>
          <w:lang w:val="en_US" w:bidi="en_US"/>
        </w:rPr>
      </w:r>
      <w:r>
        <w:rPr>
          <w:lang w:val="en_US" w:bidi="en_US"/>
        </w:rPr>
        <w:t>And then he showed them the meaning of all those things written in the Word of God.</w:t>
      </w:r>
      <w:r>
        <w:rPr>
          <w:lang w:val="en_US" w:bidi="en_US"/>
        </w:rPr>
        <w:t>Western Bukidnon Manobo back translation on TW.</w:t>
      </w:r>
    </w:p>
    <w:p>
      <w:pPr/>
      <w:r>
        <w:rPr>
          <w:lang w:val="en_US" w:bidi="en_US"/>
        </w:rPr>
      </w:r>
      <w:r>
        <w:rPr>
          <w:lang w:val="en_US" w:bidi="en_US"/>
        </w:rPr>
        <w:t>In some languages there may be a different idiom to express this meaning. Translate it in a natural way in your language.</w:t>
      </w:r>
    </w:p>
    <w:p>
      <w:pPr/>
      <w:r>
        <w:rPr>
          <w:lang w:val="en_US" w:bidi="en_US"/>
        </w:rPr>
      </w:r>
      <w:r>
        <w:rPr>
          <w:b/>
          <w:lang w:val="en_US" w:bidi="en_US"/>
        </w:rPr>
        <w:t>the Scriptures:</w:t>
      </w:r>
      <w:r>
        <w:rPr>
          <w:lang w:val="en_US" w:bidi="en_US"/>
        </w:rPr>
        <w:t xml:space="preserve"> Here the phrase </w:t>
      </w:r>
      <w:r>
        <w:rPr>
          <w:i/>
          <w:lang w:val="en_US" w:bidi="en_US"/>
        </w:rPr>
        <w:t>the Scriptures</w:t>
      </w:r>
      <w:r>
        <w:rPr>
          <w:lang w:val="en_US" w:bidi="en_US"/>
        </w:rPr>
        <w:t xml:space="preserve"> refers especially to prophecies that were written about the Messiah/Christ long before Christ was born. In some languages it is helpful to indicate that these things were written long ago as prophecies. For example:</w:t>
      </w:r>
    </w:p>
    <w:p>
      <w:pPr/>
      <w:r>
        <w:rPr>
          <w:lang w:val="en_US" w:bidi="en_US"/>
        </w:rPr>
      </w:r>
      <w:r>
        <w:rPr>
          <w:lang w:val="en_US" w:bidi="en_US"/>
        </w:rPr>
        <w:t xml:space="preserve">what </w:t>
      </w:r>
      <w:r>
        <w:rPr>
          <w:lang w:val="en_US" w:bidi="en_US"/>
        </w:rPr>
        <w:t>people</w:t>
      </w:r>
      <w:r>
        <w:rPr>
          <w:lang w:val="en_US" w:bidi="en_US"/>
        </w:rPr>
        <w:t xml:space="preserve"> wrote </w:t>
      </w:r>
      <w:r>
        <w:rPr>
          <w:lang w:val="en_US" w:bidi="en_US"/>
        </w:rPr>
        <w:t>long ago</w:t>
      </w:r>
      <w:r>
        <w:rPr>
          <w:lang w:val="en_US" w:bidi="en_US"/>
        </w:rPr>
        <w:t xml:space="preserve"> in God’s Word</w:t>
      </w:r>
      <w:r>
        <w:rPr>
          <w:lang w:val="en_US" w:bidi="en_US"/>
        </w:rPr>
      </w:r>
      <w:r>
        <w:rPr>
          <w:lang w:val="en_US" w:bidi="en_US"/>
        </w:rPr>
      </w:r>
    </w:p>
    <w:p>
      <w:pPr/>
      <w:r>
        <w:rPr>
          <w:lang w:val="en_US" w:bidi="en_US"/>
        </w:rPr>
      </w:r>
    </w:p>
    <w:p>
      <w:pPr>
        <w:pStyle w:val="Heading2"/>
      </w:pPr>
      <w:r>
        <w:rPr>
          <w:lang w:val="en_US" w:bidi="en_US"/>
        </w:rPr>
        <w:t>Luke 24:46</w:t>
      </w:r>
      <w:r>
        <w:rPr>
          <w:lang w:val="en_US" w:bidi="en_US"/>
        </w:rPr>
      </w:r>
    </w:p>
    <w:p>
      <w:pPr>
        <w:pStyle w:val="Heading4"/>
      </w:pPr>
      <w:r>
        <w:rPr>
          <w:lang w:val="en_US" w:bidi="en_US"/>
        </w:rPr>
        <w:t>Section 24:44–49: Jesus gave final instructions to his followers</w:t>
      </w:r>
    </w:p>
    <w:p>
      <w:pPr/>
      <w:r>
        <w:rPr>
          <w:lang w:val="en_US" w:bidi="en_US"/>
        </w:rPr>
      </w:r>
      <w:r>
        <w:rPr>
          <w:lang w:val="en_US" w:bidi="en_US"/>
        </w:rPr>
        <w:t>In this section Jesus helped his followers to understand the things that were written about him in the Scriptures. He reminded his followers that they had seen these things happen. They had to spread this good news so that people of all countries would repent and believe in him. Then he told his followers that they would receive power to preach those things, as God had promised. He told them that they must wait in Jerusalem until they received this power.</w:t>
      </w:r>
    </w:p>
    <w:p>
      <w:pPr/>
      <w:r>
        <w:rPr>
          <w:lang w:val="en_US" w:bidi="en_US"/>
        </w:rPr>
      </w:r>
      <w:r>
        <w:rPr>
          <w:lang w:val="en_US" w:bidi="en_US"/>
        </w:rPr>
        <w:t>Scholars have different opinions about when Jesus spoke the words in this section. It is likely that he spoke them after some days had passed and he was about to go back to heaven. The words may also be a summary of things that Jesus said to his followers during the forty days when he was with them after his resurrection. Parallel passages show that it is unlikely that Jesus spoke all of these words on the same day that he rose from the dead.</w:t>
      </w:r>
      <w:r>
        <w:rPr>
          <w:lang w:val="en_US" w:bidi="en_US"/>
        </w:rPr>
        <w:t>For example, the events in John 21 show that the disciples did leave Jerusalem and go to Galilee. If Jesus had told them on his resurrection day that they should not leave Jerusalem (24:49), it is unlikely that they would have gone there.</w:t>
      </w:r>
    </w:p>
    <w:p>
      <w:pPr/>
      <w:r>
        <w:rPr>
          <w:lang w:val="en_US" w:bidi="en_US"/>
        </w:rPr>
      </w:r>
      <w:r>
        <w:rPr>
          <w:lang w:val="en_US" w:bidi="en_US"/>
        </w:rPr>
        <w:t>Some other examples of headings for this section are:</w:t>
      </w:r>
    </w:p>
    <w:p>
      <w:pPr/>
      <w:r>
        <w:rPr>
          <w:lang w:val="en_US" w:bidi="en_US"/>
        </w:rPr>
      </w:r>
      <w:r>
        <w:rPr>
          <w:lang w:val="en_US" w:bidi="en_US"/>
        </w:rPr>
        <w:t>Jesus’ Final Commission (NET)</w:t>
      </w:r>
    </w:p>
    <w:p>
      <w:pPr/>
      <w:r>
        <w:rPr>
          <w:lang w:val="en_US" w:bidi="en_US"/>
        </w:rPr>
      </w:r>
      <w:r>
        <w:rPr>
          <w:lang w:val="en_US" w:bidi="en_US"/>
        </w:rPr>
        <w:t>Jesus’ followers must preach about him to all nations</w:t>
      </w:r>
    </w:p>
    <w:p>
      <w:pPr/>
      <w:r>
        <w:rPr>
          <w:lang w:val="en_US" w:bidi="en_US"/>
        </w:rPr>
      </w:r>
      <w:r>
        <w:rPr>
          <w:lang w:val="en_US" w:bidi="en_US"/>
        </w:rPr>
        <w:t>There are parallel passages for this section in Matthew 28:16–20, Mark 16:15–18, and Acts 1:6–8.</w:t>
      </w:r>
    </w:p>
    <w:p>
      <w:pPr>
        <w:pStyle w:val="Heading5"/>
      </w:pPr>
      <w:r>
        <w:rPr>
          <w:lang w:val="en_US" w:bidi="en_US"/>
        </w:rPr>
        <w:t>24:46a</w:t>
      </w:r>
    </w:p>
    <w:p>
      <w:pPr/>
      <w:r>
        <w:rPr>
          <w:lang w:val="en_US" w:bidi="en_US"/>
        </w:rPr>
      </w:r>
      <w:r>
        <w:rPr>
          <w:b/>
          <w:lang w:val="en_US" w:bidi="en_US"/>
        </w:rPr>
        <w:t>And He told them, “This is what is written:</w:t>
      </w:r>
    </w:p>
    <w:p>
      <w:pPr>
        <w:pStyle w:val="ListBullet"/>
        <w:spacing w:line="240" w:lineRule="auto"/>
        <w:ind w:left="720"/>
      </w:pPr>
      <w:r>
        <w:rPr>
          <w:lang w:val="en_US" w:bidi="en_US"/>
        </w:rPr>
      </w:r>
      <w:r>
        <w:rPr>
          <w:lang w:val="en_US" w:bidi="en_US"/>
        </w:rPr>
        <w:t>He told them, “This is what the Scriptures say:</w:t>
      </w:r>
    </w:p>
    <w:p>
      <w:pPr>
        <w:pStyle w:val="ListBullet"/>
        <w:spacing w:line="240" w:lineRule="auto"/>
        <w:ind w:left="720"/>
      </w:pPr>
      <w:r>
        <w:rPr>
          <w:lang w:val="en_US" w:bidi="en_US"/>
        </w:rPr>
      </w:r>
      <w:r>
        <w:rPr>
          <w:lang w:val="en_US" w:bidi="en_US"/>
        </w:rPr>
        <w:t xml:space="preserve">saying, “In God’s Word </w:t>
      </w:r>
      <w:r>
        <w:rPr>
          <w:lang w:val="en_US" w:bidi="en_US"/>
        </w:rPr>
        <w:t>they</w:t>
      </w:r>
      <w:r>
        <w:rPr>
          <w:lang w:val="en_US" w:bidi="en_US"/>
        </w:rPr>
        <w:t xml:space="preserve"> wrote </w:t>
      </w:r>
      <w:r>
        <w:rPr>
          <w:lang w:val="en_US" w:bidi="en_US"/>
        </w:rPr>
        <w:t>about me</w:t>
      </w:r>
      <w:r>
        <w:rPr>
          <w:lang w:val="en_US" w:bidi="en_US"/>
        </w:rPr>
        <w:t>,</w:t>
      </w:r>
    </w:p>
    <w:p>
      <w:pPr>
        <w:pStyle w:val="ListBullet"/>
        <w:spacing w:line="240" w:lineRule="auto"/>
        <w:ind w:left="720"/>
      </w:pPr>
      <w:r>
        <w:rPr>
          <w:lang w:val="en_US" w:bidi="en_US"/>
        </w:rPr>
      </w:r>
      <w:r>
        <w:rPr>
          <w:lang w:val="en_US" w:bidi="en_US"/>
        </w:rPr>
        <w:t xml:space="preserve">He explained that </w:t>
      </w:r>
      <w:r>
        <w:rPr>
          <w:lang w:val="en_US" w:bidi="en_US"/>
        </w:rPr>
        <w:t>God caused</w:t>
      </w:r>
      <w:r>
        <w:rPr>
          <w:lang w:val="en_US" w:bidi="en_US"/>
        </w:rPr>
        <w:t xml:space="preserve"> </w:t>
      </w:r>
      <w:r>
        <w:rPr>
          <w:lang w:val="en_US" w:bidi="en_US"/>
        </w:rPr>
        <w:t>people</w:t>
      </w:r>
      <w:r>
        <w:rPr>
          <w:lang w:val="en_US" w:bidi="en_US"/>
        </w:rPr>
        <w:t xml:space="preserve"> to write that</w:t>
      </w:r>
    </w:p>
    <w:p>
      <w:pPr/>
      <w:r>
        <w:rPr>
          <w:lang w:val="en_US" w:bidi="en_US"/>
        </w:rPr>
      </w:r>
      <w:r>
        <w:rPr>
          <w:b/>
          <w:lang w:val="en_US" w:bidi="en_US"/>
        </w:rPr>
        <w:t>And He told them, “This is what is written…”:</w:t>
      </w:r>
      <w:r>
        <w:rPr>
          <w:lang w:val="en_US" w:bidi="en_US"/>
        </w:rPr>
        <w:t xml:space="preserve"> This part of the verse introduces Jesus’ explanation in 24:46b–24:47. This explanation is probably a summary of what Jesus told them as he explained the Scriptures to them in 24:45. In his explanation he referred to various sections in the Hebrew Scriptures. He summarized what the Scriptures said, rather than quoting the actual words.</w:t>
      </w:r>
    </w:p>
    <w:p>
      <w:pPr/>
      <w:r>
        <w:rPr>
          <w:lang w:val="en_US" w:bidi="en_US"/>
        </w:rPr>
      </w:r>
      <w:r>
        <w:rPr>
          <w:lang w:val="en_US" w:bidi="en_US"/>
        </w:rPr>
        <w:t>Some other ways to introduce the explanation are:</w:t>
      </w:r>
    </w:p>
    <w:p>
      <w:pPr/>
      <w:r>
        <w:rPr>
          <w:lang w:val="en_US" w:bidi="en_US"/>
        </w:rPr>
      </w:r>
      <w:r>
        <w:rPr>
          <w:lang w:val="en_US" w:bidi="en_US"/>
        </w:rPr>
        <w:t>Then he said to them, “This is what the Scriptures say…”</w:t>
      </w:r>
    </w:p>
    <w:p>
      <w:pPr/>
      <w:r>
        <w:rPr>
          <w:lang w:val="en_US" w:bidi="en_US"/>
        </w:rPr>
      </w:r>
      <w:r>
        <w:rPr>
          <w:lang w:val="en_US" w:bidi="en_US"/>
        </w:rPr>
        <w:t>He said, “In the Holy Book it is written…”</w:t>
      </w:r>
      <w:r>
        <w:rPr>
          <w:lang w:val="en_US" w:bidi="en_US"/>
        </w:rPr>
        <w:t>Uma back translation on TW.</w:t>
      </w:r>
    </w:p>
    <w:p>
      <w:pPr/>
      <w:r>
        <w:rPr>
          <w:lang w:val="en_US" w:bidi="en_US"/>
        </w:rPr>
      </w:r>
      <w:r>
        <w:rPr>
          <w:lang w:val="en_US" w:bidi="en_US"/>
        </w:rPr>
        <w:t>See the General Comment on 24:46a–c below for an example of using an indirect quotation here.</w:t>
      </w:r>
    </w:p>
    <w:p>
      <w:pPr>
        <w:pStyle w:val="Heading5"/>
      </w:pPr>
      <w:r>
        <w:rPr>
          <w:lang w:val="en_US" w:bidi="en_US"/>
        </w:rPr>
        <w:t>24:46b</w:t>
      </w:r>
    </w:p>
    <w:p>
      <w:pPr/>
      <w:r>
        <w:rPr>
          <w:lang w:val="en_US" w:bidi="en_US"/>
        </w:rPr>
      </w:r>
      <w:r>
        <w:rPr>
          <w:b/>
          <w:lang w:val="en_US" w:bidi="en_US"/>
        </w:rPr>
        <w:t>The Christ will suffer</w:t>
      </w:r>
    </w:p>
    <w:p>
      <w:pPr>
        <w:pStyle w:val="ListBullet"/>
        <w:spacing w:line="240" w:lineRule="auto"/>
        <w:ind w:left="720"/>
      </w:pPr>
      <w:r>
        <w:rPr>
          <w:lang w:val="en_US" w:bidi="en_US"/>
        </w:rPr>
      </w:r>
      <w:r>
        <w:rPr>
          <w:lang w:val="en_US" w:bidi="en_US"/>
        </w:rPr>
        <w:t xml:space="preserve">‘The Christ will suffer </w:t>
      </w:r>
      <w:r>
        <w:rPr>
          <w:lang w:val="en_US" w:bidi="en_US"/>
        </w:rPr>
        <w:t>and die</w:t>
      </w:r>
      <w:r>
        <w:rPr>
          <w:lang w:val="en_US" w:bidi="en_US"/>
        </w:rPr>
        <w:t>,</w:t>
      </w:r>
    </w:p>
    <w:p>
      <w:pPr>
        <w:pStyle w:val="ListBullet"/>
        <w:spacing w:line="240" w:lineRule="auto"/>
        <w:ind w:left="720"/>
      </w:pPr>
      <w:r>
        <w:rPr>
          <w:lang w:val="en_US" w:bidi="en_US"/>
        </w:rPr>
      </w:r>
      <w:r>
        <w:rPr>
          <w:lang w:val="en_US" w:bidi="en_US"/>
        </w:rPr>
        <w:t xml:space="preserve">‘The Messiah must endure suffering/agony </w:t>
      </w:r>
      <w:r>
        <w:rPr>
          <w:lang w:val="en_US" w:bidi="en_US"/>
        </w:rPr>
        <w:t>and die</w:t>
      </w:r>
      <w:r>
        <w:rPr>
          <w:lang w:val="en_US" w:bidi="en_US"/>
        </w:rPr>
        <w:t>,</w:t>
      </w:r>
    </w:p>
    <w:p>
      <w:pPr>
        <w:pStyle w:val="ListBullet"/>
        <w:spacing w:line="240" w:lineRule="auto"/>
        <w:ind w:left="720"/>
      </w:pPr>
      <w:r>
        <w:rPr>
          <w:lang w:val="en_US" w:bidi="en_US"/>
        </w:rPr>
      </w:r>
      <w:r>
        <w:rPr>
          <w:lang w:val="en_US" w:bidi="en_US"/>
        </w:rPr>
        <w:t xml:space="preserve">he, the Messiah, must suffer </w:t>
      </w:r>
      <w:r>
        <w:rPr>
          <w:lang w:val="en_US" w:bidi="en_US"/>
        </w:rPr>
        <w:t>greatly</w:t>
      </w:r>
      <w:r>
        <w:rPr>
          <w:lang w:val="en_US" w:bidi="en_US"/>
        </w:rPr>
        <w:t xml:space="preserve"> </w:t>
      </w:r>
      <w:r>
        <w:rPr>
          <w:lang w:val="en_US" w:bidi="en_US"/>
        </w:rPr>
        <w:t>and be killed</w:t>
      </w:r>
      <w:r>
        <w:rPr>
          <w:lang w:val="en_US" w:bidi="en_US"/>
        </w:rPr>
        <w:t>,</w:t>
      </w:r>
    </w:p>
    <w:p>
      <w:pPr/>
      <w:r>
        <w:rPr>
          <w:lang w:val="en_US" w:bidi="en_US"/>
        </w:rPr>
      </w:r>
      <w:r>
        <w:rPr>
          <w:b/>
          <w:lang w:val="en_US" w:bidi="en_US"/>
        </w:rPr>
        <w:t>The Christ will suffer:</w:t>
      </w:r>
      <w:r>
        <w:rPr>
          <w:lang w:val="en_US" w:bidi="en_US"/>
        </w:rPr>
        <w:t xml:space="preserve"> The phrase </w:t>
      </w:r>
      <w:r>
        <w:rPr>
          <w:i/>
          <w:lang w:val="en_US" w:bidi="en_US"/>
        </w:rPr>
        <w:t>will suffer</w:t>
      </w:r>
      <w:r>
        <w:rPr>
          <w:lang w:val="en_US" w:bidi="en_US"/>
        </w:rPr>
        <w:t xml:space="preserve"> refers here to the suffering that led to the Christ’s death. His death is also implied in 24:46c. In some languages it may be necessary to make his death explicit here. For example:</w:t>
      </w:r>
    </w:p>
    <w:p>
      <w:pPr/>
      <w:r>
        <w:rPr>
          <w:lang w:val="en_US" w:bidi="en_US"/>
        </w:rPr>
      </w:r>
      <w:r>
        <w:rPr>
          <w:lang w:val="en_US" w:bidi="en_US"/>
        </w:rPr>
        <w:t>that the Messiah would suffer and die (NLT)</w:t>
      </w:r>
    </w:p>
    <w:p>
      <w:pPr/>
      <w:r>
        <w:rPr>
          <w:lang w:val="en_US" w:bidi="en_US"/>
        </w:rPr>
      </w:r>
      <w:r>
        <w:rPr>
          <w:b/>
          <w:lang w:val="en_US" w:bidi="en_US"/>
        </w:rPr>
        <w:t>The Christ:</w:t>
      </w:r>
      <w:r>
        <w:rPr>
          <w:lang w:val="en_US" w:bidi="en_US"/>
        </w:rPr>
        <w:t xml:space="preserve"> The Jews used this title to refer to the person whom God had appointed and promised to send as king and savior. The title </w:t>
      </w:r>
      <w:r>
        <w:rPr>
          <w:i/>
          <w:lang w:val="en_US" w:bidi="en_US"/>
        </w:rPr>
        <w:t>Christ</w:t>
      </w:r>
      <w:r>
        <w:rPr>
          <w:lang w:val="en_US" w:bidi="en_US"/>
        </w:rPr>
        <w:t xml:space="preserve"> is the Greek translation of the Hebrew word “Messiah,” and the two words have the same meaning. This title also occurred in 20:41. For more information and translation suggestions, see the note at 20:41b. See also Christ in the Glossary.</w:t>
      </w:r>
    </w:p>
    <w:p>
      <w:pPr>
        <w:pStyle w:val="Heading5"/>
      </w:pPr>
      <w:r>
        <w:rPr>
          <w:lang w:val="en_US" w:bidi="en_US"/>
        </w:rPr>
        <w:t>24:46c</w:t>
      </w:r>
    </w:p>
    <w:p>
      <w:pPr/>
      <w:r>
        <w:rPr>
          <w:lang w:val="en_US" w:bidi="en_US"/>
        </w:rPr>
      </w:r>
      <w:r>
        <w:rPr>
          <w:b/>
          <w:lang w:val="en_US" w:bidi="en_US"/>
        </w:rPr>
        <w:t>and rise from the dead on the third day,</w:t>
      </w:r>
    </w:p>
    <w:p>
      <w:pPr>
        <w:pStyle w:val="ListBullet"/>
        <w:spacing w:line="240" w:lineRule="auto"/>
        <w:ind w:left="720"/>
      </w:pPr>
      <w:r>
        <w:rPr>
          <w:lang w:val="en_US" w:bidi="en_US"/>
        </w:rPr>
      </w:r>
      <w:r>
        <w:rPr>
          <w:lang w:val="en_US" w:bidi="en_US"/>
        </w:rPr>
        <w:t>and on the third day he will be raised/resurrected.</w:t>
      </w:r>
    </w:p>
    <w:p>
      <w:pPr>
        <w:pStyle w:val="ListBullet"/>
        <w:spacing w:line="240" w:lineRule="auto"/>
        <w:ind w:left="720"/>
      </w:pPr>
      <w:r>
        <w:rPr>
          <w:lang w:val="en_US" w:bidi="en_US"/>
        </w:rPr>
      </w:r>
      <w:r>
        <w:rPr>
          <w:lang w:val="en_US" w:bidi="en_US"/>
        </w:rPr>
        <w:t>but/and he must live again on the third day.’</w:t>
      </w:r>
    </w:p>
    <w:p>
      <w:pPr>
        <w:pStyle w:val="ListBullet"/>
        <w:spacing w:line="240" w:lineRule="auto"/>
        <w:ind w:left="720"/>
      </w:pPr>
      <w:r>
        <w:rPr>
          <w:lang w:val="en_US" w:bidi="en_US"/>
        </w:rPr>
      </w:r>
      <w:r>
        <w:rPr>
          <w:lang w:val="en_US" w:bidi="en_US"/>
        </w:rPr>
        <w:t>but after three days God would cause him to live again.</w:t>
      </w:r>
    </w:p>
    <w:p>
      <w:pPr/>
      <w:r>
        <w:rPr>
          <w:lang w:val="en_US" w:bidi="en_US"/>
        </w:rPr>
      </w:r>
      <w:r>
        <w:rPr>
          <w:b/>
          <w:lang w:val="en_US" w:bidi="en_US"/>
        </w:rPr>
        <w:t>and rise from the dead on the third day:</w:t>
      </w:r>
      <w:r>
        <w:rPr>
          <w:lang w:val="en_US" w:bidi="en_US"/>
        </w:rPr>
        <w:t xml:space="preserve"> This clause is very similar to 24:7. You may translate it in a similar way here.</w:t>
      </w:r>
    </w:p>
    <w:p>
      <w:pPr>
        <w:pStyle w:val="Heading6"/>
      </w:pPr>
      <w:r>
        <w:rPr>
          <w:b/>
          <w:lang w:val="en_US" w:bidi="en_US"/>
        </w:rPr>
        <w:t>General Comment on 24:46a–c</w:t>
      </w:r>
    </w:p>
    <w:p>
      <w:pPr/>
      <w:r>
        <w:rPr>
          <w:lang w:val="en_US" w:bidi="en_US"/>
        </w:rPr>
      </w:r>
      <w:r>
        <w:rPr>
          <w:lang w:val="en_US" w:bidi="en_US"/>
        </w:rPr>
        <w:t>In some languages it may be more natural to use indirect speech for the quotation in 24:46. For example:</w:t>
      </w:r>
    </w:p>
    <w:p>
      <w:pPr/>
      <w:r>
        <w:rPr>
          <w:lang w:val="en_US" w:bidi="en_US"/>
        </w:rPr>
      </w:r>
      <w:r>
        <w:rPr>
          <w:lang w:val="en_US" w:bidi="en_US"/>
        </w:rPr>
        <w:t>He explained that the Scriptures prophesied that he, the Messiah, must suffer and die but after three days he would live again.</w:t>
      </w:r>
      <w:r>
        <w:rPr>
          <w:lang w:val="en_US" w:bidi="en_US"/>
        </w:rPr>
      </w:r>
      <w:r>
        <w:rPr>
          <w:lang w:val="en_US" w:bidi="en_US"/>
        </w:rPr>
      </w:r>
    </w:p>
    <w:p>
      <w:pPr/>
      <w:r>
        <w:rPr>
          <w:lang w:val="en_US" w:bidi="en_US"/>
        </w:rPr>
      </w:r>
    </w:p>
    <w:p>
      <w:pPr>
        <w:pStyle w:val="Heading2"/>
      </w:pPr>
      <w:r>
        <w:rPr>
          <w:lang w:val="en_US" w:bidi="en_US"/>
        </w:rPr>
        <w:t>Luke 24:47</w:t>
      </w:r>
      <w:r>
        <w:rPr>
          <w:lang w:val="en_US" w:bidi="en_US"/>
        </w:rPr>
      </w:r>
    </w:p>
    <w:p>
      <w:pPr>
        <w:pStyle w:val="Heading4"/>
      </w:pPr>
      <w:r>
        <w:rPr>
          <w:lang w:val="en_US" w:bidi="en_US"/>
        </w:rPr>
        <w:t>Section 24:44–49: Jesus gave final instructions to his followers</w:t>
      </w:r>
    </w:p>
    <w:p>
      <w:pPr/>
      <w:r>
        <w:rPr>
          <w:lang w:val="en_US" w:bidi="en_US"/>
        </w:rPr>
      </w:r>
      <w:r>
        <w:rPr>
          <w:lang w:val="en_US" w:bidi="en_US"/>
        </w:rPr>
        <w:t>In this section Jesus helped his followers to understand the things that were written about him in the Scriptures. He reminded his followers that they had seen these things happen. They had to spread this good news so that people of all countries would repent and believe in him. Then he told his followers that they would receive power to preach those things, as God had promised. He told them that they must wait in Jerusalem until they received this power.</w:t>
      </w:r>
    </w:p>
    <w:p>
      <w:pPr/>
      <w:r>
        <w:rPr>
          <w:lang w:val="en_US" w:bidi="en_US"/>
        </w:rPr>
      </w:r>
      <w:r>
        <w:rPr>
          <w:lang w:val="en_US" w:bidi="en_US"/>
        </w:rPr>
        <w:t>Scholars have different opinions about when Jesus spoke the words in this section. It is likely that he spoke them after some days had passed and he was about to go back to heaven. The words may also be a summary of things that Jesus said to his followers during the forty days when he was with them after his resurrection. Parallel passages show that it is unlikely that Jesus spoke all of these words on the same day that he rose from the dead.</w:t>
      </w:r>
      <w:r>
        <w:rPr>
          <w:lang w:val="en_US" w:bidi="en_US"/>
        </w:rPr>
        <w:t>For example, the events in John 21 show that the disciples did leave Jerusalem and go to Galilee. If Jesus had told them on his resurrection day that they should not leave Jerusalem (24:49), it is unlikely that they would have gone there.</w:t>
      </w:r>
    </w:p>
    <w:p>
      <w:pPr/>
      <w:r>
        <w:rPr>
          <w:lang w:val="en_US" w:bidi="en_US"/>
        </w:rPr>
      </w:r>
      <w:r>
        <w:rPr>
          <w:lang w:val="en_US" w:bidi="en_US"/>
        </w:rPr>
        <w:t>Some other examples of headings for this section are:</w:t>
      </w:r>
    </w:p>
    <w:p>
      <w:pPr/>
      <w:r>
        <w:rPr>
          <w:lang w:val="en_US" w:bidi="en_US"/>
        </w:rPr>
      </w:r>
      <w:r>
        <w:rPr>
          <w:lang w:val="en_US" w:bidi="en_US"/>
        </w:rPr>
        <w:t>Jesus’ Final Commission (NET)</w:t>
      </w:r>
    </w:p>
    <w:p>
      <w:pPr/>
      <w:r>
        <w:rPr>
          <w:lang w:val="en_US" w:bidi="en_US"/>
        </w:rPr>
      </w:r>
      <w:r>
        <w:rPr>
          <w:lang w:val="en_US" w:bidi="en_US"/>
        </w:rPr>
        <w:t>Jesus’ followers must preach about him to all nations</w:t>
      </w:r>
    </w:p>
    <w:p>
      <w:pPr/>
      <w:r>
        <w:rPr>
          <w:lang w:val="en_US" w:bidi="en_US"/>
        </w:rPr>
      </w:r>
      <w:r>
        <w:rPr>
          <w:lang w:val="en_US" w:bidi="en_US"/>
        </w:rPr>
        <w:t>There are parallel passages for this section in Matthew 28:16–20, Mark 16:15–18, and Acts 1:6–8.</w:t>
      </w:r>
    </w:p>
    <w:p>
      <w:pPr>
        <w:pStyle w:val="Heading5"/>
      </w:pPr>
      <w:r>
        <w:rPr>
          <w:lang w:val="en_US" w:bidi="en_US"/>
        </w:rPr>
        <w:t>24:47a</w:t>
      </w:r>
    </w:p>
    <w:p>
      <w:pPr/>
      <w:r>
        <w:rPr>
          <w:lang w:val="en_US" w:bidi="en_US"/>
        </w:rPr>
      </w:r>
      <w:r>
        <w:rPr>
          <w:b/>
          <w:lang w:val="en_US" w:bidi="en_US"/>
        </w:rPr>
        <w:t>and in His name repentance and forgiveness of sins will be proclaimed</w:t>
      </w:r>
    </w:p>
    <w:p>
      <w:pPr>
        <w:pStyle w:val="ListBullet"/>
        <w:spacing w:line="240" w:lineRule="auto"/>
        <w:ind w:left="720"/>
      </w:pPr>
      <w:r>
        <w:rPr>
          <w:lang w:val="en_US" w:bidi="en_US"/>
        </w:rPr>
      </w:r>
      <w:r>
        <w:rPr>
          <w:lang w:val="en_US" w:bidi="en_US"/>
        </w:rPr>
        <w:t xml:space="preserve">Then/And in his name </w:t>
      </w:r>
      <w:r>
        <w:rPr>
          <w:lang w:val="en_US" w:bidi="en_US"/>
        </w:rPr>
        <w:t>people</w:t>
      </w:r>
      <w:r>
        <w:rPr>
          <w:lang w:val="en_US" w:bidi="en_US"/>
        </w:rPr>
        <w:t xml:space="preserve"> will proclaim </w:t>
      </w:r>
      <w:r>
        <w:rPr>
          <w:lang w:val="en_US" w:bidi="en_US"/>
        </w:rPr>
        <w:t>the message of</w:t>
      </w:r>
      <w:r>
        <w:rPr>
          <w:lang w:val="en_US" w:bidi="en_US"/>
        </w:rPr>
        <w:t xml:space="preserve"> repentance as the way to be forgiven for sins.</w:t>
      </w:r>
    </w:p>
    <w:p>
      <w:pPr>
        <w:pStyle w:val="ListBullet"/>
        <w:spacing w:line="240" w:lineRule="auto"/>
        <w:ind w:left="720"/>
      </w:pPr>
      <w:r>
        <w:rPr>
          <w:lang w:val="en_US" w:bidi="en_US"/>
        </w:rPr>
      </w:r>
      <w:r>
        <w:rPr>
          <w:lang w:val="en_US" w:bidi="en_US"/>
        </w:rPr>
        <w:t>The Scriptures also say</w:t>
      </w:r>
      <w:r>
        <w:rPr>
          <w:lang w:val="en_US" w:bidi="en_US"/>
        </w:rPr>
        <w:t xml:space="preserve"> that the Messiah’s </w:t>
      </w:r>
      <w:r>
        <w:rPr>
          <w:lang w:val="en_US" w:bidi="en_US"/>
        </w:rPr>
        <w:t>followers</w:t>
      </w:r>
      <w:r>
        <w:rPr>
          <w:lang w:val="en_US" w:bidi="en_US"/>
        </w:rPr>
        <w:t xml:space="preserve"> will declare in his name that </w:t>
      </w:r>
      <w:r>
        <w:rPr>
          <w:lang w:val="en_US" w:bidi="en_US"/>
        </w:rPr>
        <w:t>all people</w:t>
      </w:r>
      <w:r>
        <w:rPr>
          <w:lang w:val="en_US" w:bidi="en_US"/>
        </w:rPr>
        <w:t xml:space="preserve"> must repent and then they will be forgiven.</w:t>
      </w:r>
    </w:p>
    <w:p>
      <w:pPr>
        <w:pStyle w:val="ListBullet"/>
        <w:spacing w:line="240" w:lineRule="auto"/>
        <w:ind w:left="720"/>
      </w:pPr>
      <w:r>
        <w:rPr>
          <w:lang w:val="en_US" w:bidi="en_US"/>
        </w:rPr>
      </w:r>
      <w:r>
        <w:rPr>
          <w:lang w:val="en_US" w:bidi="en_US"/>
        </w:rPr>
        <w:t xml:space="preserve">With the authority of the Messiah/Christ, his followers must tell </w:t>
      </w:r>
      <w:r>
        <w:rPr>
          <w:lang w:val="en_US" w:bidi="en_US"/>
        </w:rPr>
        <w:t>people</w:t>
      </w:r>
      <w:r>
        <w:rPr>
          <w:lang w:val="en_US" w:bidi="en_US"/>
        </w:rPr>
        <w:t xml:space="preserve"> to turn to God and change the way they think and act so that God will forgive the wrong/evil they have done.</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another event that was prophesied in the Scriptures. Other ways to introduce it are:</w:t>
      </w:r>
    </w:p>
    <w:p>
      <w:pPr/>
      <w:r>
        <w:rPr>
          <w:lang w:val="en_US" w:bidi="en_US"/>
        </w:rPr>
      </w:r>
      <w:r>
        <w:rPr>
          <w:lang w:val="en_US" w:bidi="en_US"/>
        </w:rPr>
        <w:t>Then</w:t>
      </w:r>
    </w:p>
    <w:p>
      <w:pPr/>
      <w:r>
        <w:rPr>
          <w:lang w:val="en_US" w:bidi="en_US"/>
        </w:rPr>
      </w:r>
      <w:r>
        <w:rPr>
          <w:lang w:val="en_US" w:bidi="en_US"/>
        </w:rPr>
        <w:t>It is also written that</w:t>
      </w:r>
    </w:p>
    <w:p>
      <w:pPr/>
      <w:r>
        <w:rPr>
          <w:lang w:val="en_US" w:bidi="en_US"/>
        </w:rPr>
      </w:r>
      <w:r>
        <w:rPr>
          <w:lang w:val="en_US" w:bidi="en_US"/>
        </w:rPr>
        <w:t>The Scriptures also say that</w:t>
      </w:r>
    </w:p>
    <w:p>
      <w:pPr/>
      <w:r>
        <w:rPr>
          <w:lang w:val="en_US" w:bidi="en_US"/>
        </w:rPr>
      </w:r>
      <w:r>
        <w:rPr>
          <w:lang w:val="en_US" w:bidi="en_US"/>
        </w:rPr>
        <w:t>Connect 24:47a to the preceding verse in a way that is natural in your language.</w:t>
      </w:r>
    </w:p>
    <w:p>
      <w:pPr/>
      <w:r>
        <w:rPr>
          <w:lang w:val="en_US" w:bidi="en_US"/>
        </w:rPr>
      </w:r>
      <w:r>
        <w:rPr>
          <w:b/>
          <w:lang w:val="en_US" w:bidi="en_US"/>
        </w:rPr>
        <w:t>in His name repentance and forgiveness of sins will be proclaimed:</w:t>
      </w:r>
      <w:r>
        <w:rPr>
          <w:lang w:val="en_US" w:bidi="en_US"/>
        </w:rPr>
        <w:t xml:space="preserve"> In Greek this clause is more literally, “to be preached in his name repentance for forgiveness of sins.” This clause is passive. In some languages it may be necessary to translate it in an active way. For example:</w:t>
      </w:r>
    </w:p>
    <w:p>
      <w:pPr/>
      <w:r>
        <w:rPr>
          <w:lang w:val="en_US" w:bidi="en_US"/>
        </w:rPr>
      </w:r>
      <w:r>
        <w:rPr>
          <w:lang w:val="en_US" w:bidi="en_US"/>
        </w:rPr>
        <w:t>In the Messiah’s name, his followers will preach to other people about repentance and forgiveness of sins</w:t>
      </w:r>
    </w:p>
    <w:p>
      <w:pPr/>
      <w:r>
        <w:rPr>
          <w:lang w:val="en_US" w:bidi="en_US"/>
        </w:rPr>
      </w:r>
      <w:r>
        <w:rPr>
          <w:lang w:val="en_US" w:bidi="en_US"/>
        </w:rPr>
        <w:t>In some languages it may be more natural to use direct speech to tell what the Messiah’s followers must preach. For example:</w:t>
      </w:r>
    </w:p>
    <w:p>
      <w:pPr/>
      <w:r>
        <w:rPr>
          <w:lang w:val="en_US" w:bidi="en_US"/>
        </w:rPr>
      </w:r>
      <w:r>
        <w:rPr>
          <w:lang w:val="en_US" w:bidi="en_US"/>
        </w:rPr>
        <w:t>With the Messiah’s authority, they will tell people: “Repent of your sins and God will forgive you.”</w:t>
      </w:r>
    </w:p>
    <w:p>
      <w:pPr/>
      <w:r>
        <w:rPr>
          <w:lang w:val="en_US" w:bidi="en_US"/>
        </w:rPr>
      </w:r>
      <w:r>
        <w:rPr>
          <w:b/>
          <w:lang w:val="en_US" w:bidi="en_US"/>
        </w:rPr>
        <w:t>in His name:</w:t>
      </w:r>
      <w:r>
        <w:rPr>
          <w:lang w:val="en_US" w:bidi="en_US"/>
        </w:rPr>
        <w:t xml:space="preserve"> The Greek phrase that the BSB translates as </w:t>
      </w:r>
      <w:r>
        <w:rPr>
          <w:i/>
          <w:lang w:val="en_US" w:bidi="en_US"/>
        </w:rPr>
        <w:t>in His name</w:t>
      </w:r>
      <w:r>
        <w:rPr>
          <w:lang w:val="en_US" w:bidi="en_US"/>
        </w:rPr>
        <w:t xml:space="preserve"> means “with/using his authority.” The phrase </w:t>
      </w:r>
      <w:r>
        <w:rPr>
          <w:i/>
          <w:lang w:val="en_US" w:bidi="en_US"/>
        </w:rPr>
        <w:t>His name</w:t>
      </w:r>
      <w:r>
        <w:rPr>
          <w:lang w:val="en_US" w:bidi="en_US"/>
        </w:rPr>
        <w:t xml:space="preserve"> refers to the authority of the Messiah/Christ, who was mentioned in 24:46. The Messiah/Christ will give his followers authority to preach about repentance for forgiveness of sins.</w:t>
      </w:r>
      <w:r>
        <w:rPr>
          <w:lang w:val="en_US" w:bidi="en_US"/>
        </w:rPr>
        <w:t>Nolland (p. 1219) mentions the possibility that “in his name” might be linked with “forgiveness of sins,” indicating that the forgiveness is offered through Jesus. The fact of forgiveness through Jesus is true, but it is not the point here, and no English version on TW follows that interpretation.</w:t>
      </w:r>
      <w:r>
        <w:rPr>
          <w:lang w:val="en_US" w:bidi="en_US"/>
        </w:rPr>
        <w:t xml:space="preserve"> They will preach as his representatives. The phrase </w:t>
      </w:r>
      <w:r>
        <w:rPr>
          <w:i/>
          <w:lang w:val="en_US" w:bidi="en_US"/>
        </w:rPr>
        <w:t>in His name</w:t>
      </w:r>
      <w:r>
        <w:rPr>
          <w:lang w:val="en_US" w:bidi="en_US"/>
        </w:rPr>
        <w:t xml:space="preserve"> is emphasized in this clause.</w:t>
      </w:r>
    </w:p>
    <w:p>
      <w:pPr/>
      <w:r>
        <w:rPr>
          <w:lang w:val="en_US" w:bidi="en_US"/>
        </w:rPr>
      </w:r>
      <w:r>
        <w:rPr>
          <w:lang w:val="en_US" w:bidi="en_US"/>
        </w:rPr>
        <w:t xml:space="preserve">Some other ways to translate </w:t>
      </w:r>
      <w:r>
        <w:rPr>
          <w:i/>
          <w:lang w:val="en_US" w:bidi="en_US"/>
        </w:rPr>
        <w:t>in His name</w:t>
      </w:r>
      <w:r>
        <w:rPr>
          <w:lang w:val="en_US" w:bidi="en_US"/>
        </w:rPr>
        <w:t xml:space="preserve"> here are:</w:t>
      </w:r>
    </w:p>
    <w:p>
      <w:pPr/>
      <w:r>
        <w:rPr>
          <w:lang w:val="en_US" w:bidi="en_US"/>
        </w:rPr>
      </w:r>
      <w:r>
        <w:rPr>
          <w:lang w:val="en_US" w:bidi="en_US"/>
        </w:rPr>
        <w:t>with the Messiah’s authority</w:t>
      </w:r>
    </w:p>
    <w:p>
      <w:pPr/>
      <w:r>
        <w:rPr>
          <w:lang w:val="en_US" w:bidi="en_US"/>
        </w:rPr>
      </w:r>
      <w:r>
        <w:rPr>
          <w:lang w:val="en_US" w:bidi="en_US"/>
        </w:rPr>
        <w:t>by the authority of Christ</w:t>
      </w:r>
    </w:p>
    <w:p>
      <w:pPr/>
      <w:r>
        <w:rPr>
          <w:lang w:val="en_US" w:bidi="en_US"/>
        </w:rPr>
      </w:r>
      <w:r>
        <w:rPr>
          <w:b/>
          <w:lang w:val="en_US" w:bidi="en_US"/>
        </w:rPr>
        <w:t>repentance and forgiveness of sins:</w:t>
      </w:r>
      <w:r>
        <w:rPr>
          <w:lang w:val="en_US" w:bidi="en_US"/>
        </w:rPr>
        <w:t xml:space="preserve"> The phrase </w:t>
      </w:r>
      <w:r>
        <w:rPr>
          <w:i/>
          <w:lang w:val="en_US" w:bidi="en_US"/>
        </w:rPr>
        <w:t>repentance and forgiveness of sins</w:t>
      </w:r>
      <w:r>
        <w:rPr>
          <w:lang w:val="en_US" w:bidi="en_US"/>
        </w:rPr>
        <w:t xml:space="preserve"> indicates that people must repent of their sins so that God will forgive them. God’s forgiveness is a result of their repentance, and many English versions make this connection more explicit.</w:t>
      </w:r>
      <w:r>
        <w:rPr>
          <w:lang w:val="en_US" w:bidi="en_US"/>
        </w:rPr>
        <w:t xml:space="preserve">There is a textual issue that relates to this connection: (1) Some Greek manuscripts have “repentance </w:t>
      </w:r>
      <w:r>
        <w:rPr>
          <w:u w:val="single"/>
          <w:lang w:val="en_US" w:bidi="en_US"/>
        </w:rPr>
        <w:t>for</w:t>
      </w:r>
      <w:r>
        <w:rPr>
          <w:lang w:val="en_US" w:bidi="en_US"/>
        </w:rPr>
        <w:t xml:space="preserve"> forgiveness of sins.” These manuscripts are followed explicitly by NIV2011, GW, NLT, NLT96, NJB, CEV, NET, NASB, and REB. (2) Other Greek manuscripts have “repentance </w:t>
      </w:r>
      <w:r>
        <w:rPr>
          <w:u w:val="single"/>
          <w:lang w:val="en_US" w:bidi="en_US"/>
        </w:rPr>
        <w:t>and</w:t>
      </w:r>
      <w:r>
        <w:rPr>
          <w:lang w:val="en_US" w:bidi="en_US"/>
        </w:rPr>
        <w:t xml:space="preserve"> forgiveness of sins.” These manuscripts are followed explicitly by BSB, NIV, RSV, ESV, KJV, NCV, and GNT. Option (1) is recommended as the option that has the earliest manuscript support. The UBS 4</w:t>
      </w:r>
      <w:r>
        <w:rPr>
          <w:vertAlign w:val="superscript"/>
          <w:lang w:val="en_US" w:bidi="en_US"/>
        </w:rPr>
        <w:t>th</w:t>
      </w:r>
      <w:r>
        <w:rPr>
          <w:lang w:val="en_US" w:bidi="en_US"/>
        </w:rPr>
        <w:t xml:space="preserve"> ed. Greek NT gives “repentance unto/for the forgiveness of sins” a B rating. Translators should realize that after deciding on the text, they must translate this semantic connection in a natural way. It is likely that the conjunction “and” implies a result connection in this context, just as a conjunction that expresses result more explicitly.</w:t>
      </w:r>
      <w:r>
        <w:rPr>
          <w:lang w:val="en_US" w:bidi="en_US"/>
        </w:rPr>
        <w:t xml:space="preserve"> In some languages it may be necessary to translate the actions of </w:t>
      </w:r>
      <w:r>
        <w:rPr>
          <w:i/>
          <w:lang w:val="en_US" w:bidi="en_US"/>
        </w:rPr>
        <w:t>repentance</w:t>
      </w:r>
      <w:r>
        <w:rPr>
          <w:lang w:val="en_US" w:bidi="en_US"/>
        </w:rPr>
        <w:t xml:space="preserve"> and </w:t>
      </w:r>
      <w:r>
        <w:rPr>
          <w:i/>
          <w:lang w:val="en_US" w:bidi="en_US"/>
        </w:rPr>
        <w:t>forgiveness</w:t>
      </w:r>
      <w:r>
        <w:rPr>
          <w:lang w:val="en_US" w:bidi="en_US"/>
        </w:rPr>
        <w:t xml:space="preserve"> as clauses and to indicate who will repent and who will forgive them. For example:</w:t>
      </w:r>
    </w:p>
    <w:p>
      <w:pPr/>
      <w:r>
        <w:rPr>
          <w:lang w:val="en_US" w:bidi="en_US"/>
        </w:rPr>
      </w:r>
      <w:r>
        <w:rPr>
          <w:lang w:val="en_US" w:bidi="en_US"/>
        </w:rPr>
        <w:t>that when people repent of their sins, God will forgive them</w:t>
      </w:r>
    </w:p>
    <w:p>
      <w:pPr/>
      <w:r>
        <w:rPr>
          <w:lang w:val="en_US" w:bidi="en_US"/>
        </w:rPr>
      </w:r>
      <w:r>
        <w:rPr>
          <w:b/>
          <w:lang w:val="en_US" w:bidi="en_US"/>
        </w:rPr>
        <w:t>repentance:</w:t>
      </w:r>
      <w:r>
        <w:rPr>
          <w:lang w:val="en_US" w:bidi="en_US"/>
        </w:rPr>
        <w:t xml:space="preserve"> The Greek word that the BSB translates as </w:t>
      </w:r>
      <w:r>
        <w:rPr>
          <w:i/>
          <w:lang w:val="en_US" w:bidi="en_US"/>
        </w:rPr>
        <w:t>repentance</w:t>
      </w:r>
      <w:r>
        <w:rPr>
          <w:lang w:val="en_US" w:bidi="en_US"/>
        </w:rPr>
        <w:t xml:space="preserve"> means for a person “to change his/her mind, heart, or will.” In the Bible, it refers specifically to a person changing his mind and heart about sin and about God. When a person repents, he is sorry for his past sins. He decides to stop sinning and obey God.</w:t>
      </w:r>
    </w:p>
    <w:p>
      <w:pPr/>
      <w:r>
        <w:rPr>
          <w:lang w:val="en_US" w:bidi="en_US"/>
        </w:rPr>
      </w:r>
      <w:r>
        <w:rPr>
          <w:lang w:val="en_US" w:bidi="en_US"/>
        </w:rPr>
        <w:t xml:space="preserve">Some ways to translate </w:t>
      </w:r>
      <w:r>
        <w:rPr>
          <w:i/>
          <w:lang w:val="en_US" w:bidi="en_US"/>
        </w:rPr>
        <w:t>repentance</w:t>
      </w:r>
      <w:r>
        <w:rPr>
          <w:lang w:val="en_US" w:bidi="en_US"/>
        </w:rPr>
        <w:t xml:space="preserve"> in this context are:</w:t>
      </w:r>
    </w:p>
    <w:p>
      <w:pPr/>
      <w:r>
        <w:rPr>
          <w:lang w:val="en_US" w:bidi="en_US"/>
        </w:rPr>
      </w:r>
      <w:r>
        <w:rPr>
          <w:lang w:val="en_US" w:bidi="en_US"/>
        </w:rPr>
        <w:t>change their thinking/mind/heart</w:t>
      </w:r>
    </w:p>
    <w:p>
      <w:pPr/>
      <w:r>
        <w:rPr>
          <w:lang w:val="en_US" w:bidi="en_US"/>
        </w:rPr>
      </w:r>
      <w:r>
        <w:rPr>
          <w:lang w:val="en_US" w:bidi="en_US"/>
        </w:rPr>
        <w:t>reject their sins</w:t>
      </w:r>
    </w:p>
    <w:p>
      <w:pPr/>
      <w:r>
        <w:rPr>
          <w:lang w:val="en_US" w:bidi="en_US"/>
        </w:rPr>
      </w:r>
      <w:r>
        <w:rPr>
          <w:lang w:val="en_US" w:bidi="en_US"/>
        </w:rPr>
        <w:t>In some languages, you may have an idiom for this type of change. For example:</w:t>
      </w:r>
    </w:p>
    <w:p>
      <w:pPr/>
      <w:r>
        <w:rPr>
          <w:lang w:val="en_US" w:bidi="en_US"/>
        </w:rPr>
      </w:r>
      <w:r>
        <w:rPr>
          <w:lang w:val="en_US" w:bidi="en_US"/>
        </w:rPr>
        <w:t>turn from sin to God</w:t>
      </w:r>
    </w:p>
    <w:p>
      <w:pPr/>
      <w:r>
        <w:rPr>
          <w:lang w:val="en_US" w:bidi="en_US"/>
        </w:rPr>
      </w:r>
      <w:r>
        <w:rPr>
          <w:lang w:val="en_US" w:bidi="en_US"/>
        </w:rPr>
        <w:t>leave their sinning behind</w:t>
      </w:r>
    </w:p>
    <w:p>
      <w:pPr/>
      <w:r>
        <w:rPr>
          <w:lang w:val="en_US" w:bidi="en_US"/>
        </w:rPr>
      </w:r>
      <w:r>
        <w:rPr>
          <w:b/>
          <w:lang w:val="en_US" w:bidi="en_US"/>
        </w:rPr>
        <w:t>forgiveness:</w:t>
      </w:r>
      <w:r>
        <w:rPr>
          <w:lang w:val="en_US" w:bidi="en_US"/>
        </w:rPr>
        <w:t xml:space="preserve"> The Greek word that the BSB translates as </w:t>
      </w:r>
      <w:r>
        <w:rPr>
          <w:i/>
          <w:lang w:val="en_US" w:bidi="en_US"/>
        </w:rPr>
        <w:t>forgiveness</w:t>
      </w:r>
      <w:r>
        <w:rPr>
          <w:lang w:val="en_US" w:bidi="en_US"/>
        </w:rPr>
        <w:t xml:space="preserve"> refers to God pardoning or removing the guilt of people’s sins. God cancels their guilt and treats them as though they had never offended him. Some ways to translate this are:</w:t>
      </w:r>
    </w:p>
    <w:p>
      <w:pPr/>
      <w:r>
        <w:rPr>
          <w:lang w:val="en_US" w:bidi="en_US"/>
        </w:rPr>
      </w:r>
      <w:r>
        <w:rPr>
          <w:lang w:val="en_US" w:bidi="en_US"/>
        </w:rPr>
        <w:t>pardoning of sins</w:t>
      </w:r>
    </w:p>
    <w:p>
      <w:pPr/>
      <w:r>
        <w:rPr>
          <w:lang w:val="en_US" w:bidi="en_US"/>
        </w:rPr>
      </w:r>
      <w:r>
        <w:rPr>
          <w:lang w:val="en_US" w:bidi="en_US"/>
        </w:rPr>
        <w:t>canceling sins/guilt</w:t>
      </w:r>
    </w:p>
    <w:p>
      <w:pPr/>
      <w:r>
        <w:rPr>
          <w:lang w:val="en_US" w:bidi="en_US"/>
        </w:rPr>
      </w:r>
      <w:r>
        <w:rPr>
          <w:lang w:val="en_US" w:bidi="en_US"/>
        </w:rPr>
        <w:t xml:space="preserve">release </w:t>
      </w:r>
      <w:r>
        <w:rPr>
          <w:lang w:val="en_US" w:bidi="en_US"/>
        </w:rPr>
        <w:t>people</w:t>
      </w:r>
      <w:r>
        <w:rPr>
          <w:lang w:val="en_US" w:bidi="en_US"/>
        </w:rPr>
        <w:t xml:space="preserve"> from </w:t>
      </w:r>
      <w:r>
        <w:rPr>
          <w:lang w:val="en_US" w:bidi="en_US"/>
        </w:rPr>
        <w:t>the bad consequence</w:t>
      </w:r>
      <w:r>
        <w:rPr>
          <w:lang w:val="en_US" w:bidi="en_US"/>
        </w:rPr>
        <w:t xml:space="preserve"> of </w:t>
      </w:r>
      <w:r>
        <w:rPr>
          <w:lang w:val="en_US" w:bidi="en_US"/>
        </w:rPr>
        <w:t>their</w:t>
      </w:r>
      <w:r>
        <w:rPr>
          <w:lang w:val="en_US" w:bidi="en_US"/>
        </w:rPr>
        <w:t xml:space="preserve"> sins</w:t>
      </w:r>
    </w:p>
    <w:p>
      <w:pPr/>
      <w:r>
        <w:rPr>
          <w:lang w:val="en_US" w:bidi="en_US"/>
        </w:rPr>
      </w:r>
      <w:r>
        <w:rPr>
          <w:lang w:val="en_US" w:bidi="en_US"/>
        </w:rPr>
        <w:t>In many languages there may be an idiom to refer to forgiving sins. For example:</w:t>
      </w:r>
    </w:p>
    <w:p>
      <w:pPr/>
      <w:r>
        <w:rPr>
          <w:lang w:val="en_US" w:bidi="en_US"/>
        </w:rPr>
      </w:r>
      <w:r>
        <w:rPr>
          <w:lang w:val="en_US" w:bidi="en_US"/>
        </w:rPr>
        <w:t>erase sins/guilt</w:t>
      </w:r>
    </w:p>
    <w:p>
      <w:pPr/>
      <w:r>
        <w:rPr>
          <w:lang w:val="en_US" w:bidi="en_US"/>
        </w:rPr>
      </w:r>
      <w:r>
        <w:rPr>
          <w:lang w:val="en_US" w:bidi="en_US"/>
        </w:rPr>
        <w:t xml:space="preserve">wiping away </w:t>
      </w:r>
      <w:r>
        <w:rPr>
          <w:lang w:val="en_US" w:bidi="en_US"/>
        </w:rPr>
        <w:t>people’s</w:t>
      </w:r>
      <w:r>
        <w:rPr>
          <w:lang w:val="en_US" w:bidi="en_US"/>
        </w:rPr>
        <w:t xml:space="preserve"> sins</w:t>
      </w:r>
    </w:p>
    <w:p>
      <w:pPr/>
      <w:r>
        <w:rPr>
          <w:lang w:val="en_US" w:bidi="en_US"/>
        </w:rPr>
      </w:r>
      <w:r>
        <w:rPr>
          <w:b/>
          <w:lang w:val="en_US" w:bidi="en_US"/>
        </w:rPr>
        <w:t>sins:</w:t>
      </w:r>
      <w:r>
        <w:rPr>
          <w:lang w:val="en_US" w:bidi="en_US"/>
        </w:rPr>
        <w:t xml:space="preserve"> The Greek word that English versions translate as </w:t>
      </w:r>
      <w:r>
        <w:rPr>
          <w:i/>
          <w:lang w:val="en_US" w:bidi="en_US"/>
        </w:rPr>
        <w:t>sins</w:t>
      </w:r>
      <w:r>
        <w:rPr>
          <w:lang w:val="en_US" w:bidi="en_US"/>
        </w:rPr>
        <w:t xml:space="preserve"> refers to anything that people do or do not do that is against God’s will. This includes acts, thoughts, and attitudes that break God’s laws or are contrary to what God wants or approves.</w:t>
      </w:r>
      <w:r>
        <w:rPr>
          <w:lang w:val="en_US" w:bidi="en_US"/>
        </w:rPr>
        <w:t>In Greek, the verb that English versions translate as “sin” is also a term that is used in archery to mean “miss the target.” When a person sins, he “misses” the target, that is, he fails to reach God’s standard.</w:t>
      </w:r>
      <w:r>
        <w:rPr>
          <w:lang w:val="en_US" w:bidi="en_US"/>
        </w:rPr>
        <w:t xml:space="preserve"> A person also sins when he does not do what God wants him to do.</w:t>
      </w:r>
    </w:p>
    <w:p>
      <w:pPr/>
      <w:r>
        <w:rPr>
          <w:lang w:val="en_US" w:bidi="en_US"/>
        </w:rPr>
      </w:r>
      <w:r>
        <w:rPr>
          <w:lang w:val="en_US" w:bidi="en_US"/>
        </w:rPr>
        <w:t xml:space="preserve">You should translate </w:t>
      </w:r>
      <w:r>
        <w:rPr>
          <w:i/>
          <w:lang w:val="en_US" w:bidi="en_US"/>
        </w:rPr>
        <w:t>sins</w:t>
      </w:r>
      <w:r>
        <w:rPr>
          <w:lang w:val="en_US" w:bidi="en_US"/>
        </w:rPr>
        <w:t xml:space="preserve"> with a general term that can include any wrongdoing against God or another person. Here are some problems to avoid:</w:t>
      </w:r>
    </w:p>
    <w:p>
      <w:pPr>
        <w:pStyle w:val="ListNumber"/>
        <w:numPr>
          <w:ilvl w:val="0"/>
          <w:numId w:val="371"/>
        </w:numPr>
        <w:spacing w:line="240" w:lineRule="auto"/>
        <w:ind w:left="720"/>
      </w:pPr>
      <w:r>
        <w:rPr>
          <w:lang w:val="en_US" w:bidi="en_US"/>
        </w:rPr>
      </w:r>
      <w:r>
        <w:rPr>
          <w:lang w:val="en_US" w:bidi="en_US"/>
        </w:rPr>
        <w:t>The term should not imply that only serious crimes like murder or stealing are sins. Other offenses like gossip and greed are also sins.</w:t>
      </w:r>
    </w:p>
    <w:p>
      <w:pPr>
        <w:pStyle w:val="ListNumber"/>
        <w:spacing w:line="240" w:lineRule="auto"/>
        <w:ind w:left="720"/>
      </w:pPr>
      <w:r>
        <w:rPr>
          <w:lang w:val="en_US" w:bidi="en_US"/>
        </w:rPr>
      </w:r>
      <w:r>
        <w:rPr>
          <w:lang w:val="en_US" w:bidi="en_US"/>
        </w:rPr>
        <w:t>The term should not include accidents or mistakes that are not against God’s will.</w:t>
      </w:r>
    </w:p>
    <w:p>
      <w:pPr/>
      <w:r>
        <w:rPr>
          <w:lang w:val="en_US" w:bidi="en_US"/>
        </w:rPr>
      </w:r>
      <w:r>
        <w:rPr>
          <w:lang w:val="en_US" w:bidi="en_US"/>
        </w:rPr>
        <w:t xml:space="preserve">Some ways to translate </w:t>
      </w:r>
      <w:r>
        <w:rPr>
          <w:i/>
          <w:lang w:val="en_US" w:bidi="en_US"/>
        </w:rPr>
        <w:t>sins</w:t>
      </w:r>
      <w:r>
        <w:rPr>
          <w:lang w:val="en_US" w:bidi="en_US"/>
        </w:rPr>
        <w:t xml:space="preserve"> are:</w:t>
      </w:r>
    </w:p>
    <w:p>
      <w:pPr/>
      <w:r>
        <w:rPr>
          <w:lang w:val="en_US" w:bidi="en_US"/>
        </w:rPr>
      </w:r>
      <w:r>
        <w:rPr>
          <w:lang w:val="en_US" w:bidi="en_US"/>
        </w:rPr>
        <w:t>wrong acts</w:t>
      </w:r>
    </w:p>
    <w:p>
      <w:pPr/>
      <w:r>
        <w:rPr>
          <w:lang w:val="en_US" w:bidi="en_US"/>
        </w:rPr>
      </w:r>
      <w:r>
        <w:rPr>
          <w:lang w:val="en_US" w:bidi="en_US"/>
        </w:rPr>
        <w:t>evil deeds</w:t>
      </w:r>
    </w:p>
    <w:p>
      <w:pPr/>
      <w:r>
        <w:rPr>
          <w:lang w:val="en_US" w:bidi="en_US"/>
        </w:rPr>
      </w:r>
      <w:r>
        <w:rPr>
          <w:lang w:val="en_US" w:bidi="en_US"/>
        </w:rPr>
        <w:t xml:space="preserve">In some languages it may be more natural to translate </w:t>
      </w:r>
      <w:r>
        <w:rPr>
          <w:i/>
          <w:lang w:val="en_US" w:bidi="en_US"/>
        </w:rPr>
        <w:t>sins</w:t>
      </w:r>
      <w:r>
        <w:rPr>
          <w:lang w:val="en_US" w:bidi="en_US"/>
        </w:rPr>
        <w:t xml:space="preserve"> with a phrase that includes a verb. For example:</w:t>
      </w:r>
    </w:p>
    <w:p>
      <w:pPr/>
      <w:r>
        <w:rPr>
          <w:lang w:val="en_US" w:bidi="en_US"/>
        </w:rPr>
      </w:r>
      <w:r>
        <w:rPr>
          <w:lang w:val="en_US" w:bidi="en_US"/>
        </w:rPr>
        <w:t>doing evil/wrong</w:t>
      </w:r>
    </w:p>
    <w:p>
      <w:pPr/>
      <w:r>
        <w:rPr>
          <w:lang w:val="en_US" w:bidi="en_US"/>
        </w:rPr>
      </w:r>
      <w:r>
        <w:rPr>
          <w:lang w:val="en_US" w:bidi="en_US"/>
        </w:rPr>
        <w:t xml:space="preserve">The word </w:t>
      </w:r>
      <w:r>
        <w:rPr>
          <w:i/>
          <w:lang w:val="en_US" w:bidi="en_US"/>
        </w:rPr>
        <w:t>sins</w:t>
      </w:r>
      <w:r>
        <w:rPr>
          <w:lang w:val="en_US" w:bidi="en_US"/>
        </w:rPr>
        <w:t xml:space="preserve"> also occurs in 7:47 and 11:4.</w:t>
      </w:r>
    </w:p>
    <w:p>
      <w:pPr/>
      <w:r>
        <w:rPr>
          <w:lang w:val="en_US" w:bidi="en_US"/>
        </w:rPr>
      </w:r>
      <w:r>
        <w:rPr>
          <w:b/>
          <w:lang w:val="en_US" w:bidi="en_US"/>
        </w:rPr>
        <w:t>proclaimed:</w:t>
      </w:r>
      <w:r>
        <w:rPr>
          <w:lang w:val="en_US" w:bidi="en_US"/>
        </w:rPr>
        <w:t xml:space="preserve"> The Greek word that the BSB translates as </w:t>
      </w:r>
      <w:r>
        <w:rPr>
          <w:i/>
          <w:lang w:val="en_US" w:bidi="en_US"/>
        </w:rPr>
        <w:t>proclaimed</w:t>
      </w:r>
      <w:r>
        <w:rPr>
          <w:lang w:val="en_US" w:bidi="en_US"/>
        </w:rPr>
        <w:t xml:space="preserve"> means to publicly tell people something important. The word should not only refer to what a preacher does in church. Some other ways to translate </w:t>
      </w:r>
      <w:r>
        <w:rPr>
          <w:i/>
          <w:lang w:val="en_US" w:bidi="en_US"/>
        </w:rPr>
        <w:t>proclaimed</w:t>
      </w:r>
      <w:r>
        <w:rPr>
          <w:lang w:val="en_US" w:bidi="en_US"/>
        </w:rPr>
        <w:t xml:space="preserve"> are:</w:t>
      </w:r>
    </w:p>
    <w:p>
      <w:pPr/>
      <w:r>
        <w:rPr>
          <w:lang w:val="en_US" w:bidi="en_US"/>
        </w:rPr>
      </w:r>
      <w:r>
        <w:rPr>
          <w:lang w:val="en_US" w:bidi="en_US"/>
        </w:rPr>
        <w:t>announced</w:t>
      </w:r>
    </w:p>
    <w:p>
      <w:pPr/>
      <w:r>
        <w:rPr>
          <w:lang w:val="en_US" w:bidi="en_US"/>
        </w:rPr>
      </w:r>
      <w:r>
        <w:rPr>
          <w:lang w:val="en_US" w:bidi="en_US"/>
        </w:rPr>
        <w:t>proclaimed</w:t>
      </w:r>
    </w:p>
    <w:p>
      <w:pPr/>
      <w:r>
        <w:rPr>
          <w:lang w:val="en_US" w:bidi="en_US"/>
        </w:rPr>
      </w:r>
      <w:r>
        <w:rPr>
          <w:lang w:val="en_US" w:bidi="en_US"/>
        </w:rPr>
        <w:t>tell people</w:t>
      </w:r>
    </w:p>
    <w:p>
      <w:pPr>
        <w:pStyle w:val="Heading5"/>
      </w:pPr>
      <w:r>
        <w:rPr>
          <w:lang w:val="en_US" w:bidi="en_US"/>
        </w:rPr>
        <w:t>24:47b</w:t>
      </w:r>
    </w:p>
    <w:p>
      <w:pPr/>
      <w:r>
        <w:rPr>
          <w:lang w:val="en_US" w:bidi="en_US"/>
        </w:rPr>
      </w:r>
      <w:r>
        <w:rPr>
          <w:b/>
          <w:lang w:val="en_US" w:bidi="en_US"/>
        </w:rPr>
        <w:t>to all nations,</w:t>
      </w:r>
    </w:p>
    <w:p>
      <w:pPr>
        <w:pStyle w:val="ListBullet"/>
        <w:spacing w:line="240" w:lineRule="auto"/>
        <w:ind w:left="720"/>
      </w:pPr>
      <w:r>
        <w:rPr>
          <w:lang w:val="en_US" w:bidi="en_US"/>
        </w:rPr>
      </w:r>
      <w:r>
        <w:rPr>
          <w:lang w:val="en_US" w:bidi="en_US"/>
        </w:rPr>
        <w:t>This message will/must be proclaimed</w:t>
      </w:r>
      <w:r>
        <w:rPr>
          <w:lang w:val="en_US" w:bidi="en_US"/>
        </w:rPr>
        <w:t xml:space="preserve"> to every nation,</w:t>
      </w:r>
    </w:p>
    <w:p>
      <w:pPr>
        <w:pStyle w:val="ListBullet"/>
        <w:spacing w:line="240" w:lineRule="auto"/>
        <w:ind w:left="720"/>
      </w:pPr>
      <w:r>
        <w:rPr>
          <w:lang w:val="en_US" w:bidi="en_US"/>
        </w:rPr>
      </w:r>
      <w:r>
        <w:rPr>
          <w:lang w:val="en_US" w:bidi="en_US"/>
        </w:rPr>
        <w:t>They must tell this</w:t>
      </w:r>
      <w:r>
        <w:rPr>
          <w:lang w:val="en_US" w:bidi="en_US"/>
        </w:rPr>
        <w:t xml:space="preserve"> to </w:t>
      </w:r>
      <w:r>
        <w:rPr>
          <w:lang w:val="en_US" w:bidi="en_US"/>
        </w:rPr>
        <w:t>people of</w:t>
      </w:r>
      <w:r>
        <w:rPr>
          <w:lang w:val="en_US" w:bidi="en_US"/>
        </w:rPr>
        <w:t xml:space="preserve"> all ethnic/people groups,</w:t>
      </w:r>
    </w:p>
    <w:p>
      <w:pPr/>
      <w:r>
        <w:rPr>
          <w:lang w:val="en_US" w:bidi="en_US"/>
        </w:rPr>
      </w:r>
      <w:r>
        <w:rPr>
          <w:b/>
          <w:lang w:val="en_US" w:bidi="en_US"/>
        </w:rPr>
        <w:t>to all nations:</w:t>
      </w:r>
      <w:r>
        <w:rPr>
          <w:lang w:val="en_US" w:bidi="en_US"/>
        </w:rPr>
        <w:t xml:space="preserve"> The Greek word that the BSB translates as </w:t>
      </w:r>
      <w:r>
        <w:rPr>
          <w:i/>
          <w:lang w:val="en_US" w:bidi="en_US"/>
        </w:rPr>
        <w:t>nations</w:t>
      </w:r>
      <w:r>
        <w:rPr>
          <w:lang w:val="en_US" w:bidi="en_US"/>
        </w:rPr>
        <w:t xml:space="preserve"> refers to ethnic groups or people groups rather than to political states or geographic regions.</w:t>
      </w:r>
      <w:r>
        <w:rPr>
          <w:lang w:val="en_US" w:bidi="en_US"/>
        </w:rPr>
        <w:t>An ethnic group is a group of people who consider themselves a group because they share the same physical appearance, language, religion, culture, and history, or because they share two or more of these things. Jesus was not talking mainly about nations as territories of land with borders around them that one government rules, although this is what a modern person usually thinks of when he hears the word “nation.” In modern times it is very common for borders of countries to pass directly through an area where an ethnic group lives, so that the ethnic group (in the way that Luke was using the Greek word) lives in two “nations” (in the way that a modern person often uses the word).</w:t>
      </w:r>
      <w:r>
        <w:rPr>
          <w:lang w:val="en_US" w:bidi="en_US"/>
        </w:rPr>
        <w:t xml:space="preserve"> Jesus was sending his disciples to preach the message to all the different groups of people on earth.</w:t>
      </w:r>
    </w:p>
    <w:p>
      <w:pPr>
        <w:pStyle w:val="Heading5"/>
      </w:pPr>
      <w:r>
        <w:rPr>
          <w:lang w:val="en_US" w:bidi="en_US"/>
        </w:rPr>
        <w:t>24:47c</w:t>
      </w:r>
    </w:p>
    <w:p>
      <w:pPr/>
      <w:r>
        <w:rPr>
          <w:lang w:val="en_US" w:bidi="en_US"/>
        </w:rPr>
      </w:r>
      <w:r>
        <w:rPr>
          <w:b/>
          <w:lang w:val="en_US" w:bidi="en_US"/>
        </w:rPr>
        <w:t>beginning in Jerusalem.</w:t>
      </w:r>
    </w:p>
    <w:p>
      <w:pPr>
        <w:pStyle w:val="ListBullet"/>
        <w:spacing w:line="240" w:lineRule="auto"/>
        <w:ind w:left="720"/>
      </w:pPr>
      <w:r>
        <w:rPr>
          <w:lang w:val="en_US" w:bidi="en_US"/>
        </w:rPr>
      </w:r>
      <w:r>
        <w:rPr>
          <w:lang w:val="en_US" w:bidi="en_US"/>
        </w:rPr>
        <w:t xml:space="preserve">starting from </w:t>
      </w:r>
      <w:r>
        <w:rPr>
          <w:lang w:val="en_US" w:bidi="en_US"/>
        </w:rPr>
        <w:t>the city of</w:t>
      </w:r>
      <w:r>
        <w:rPr>
          <w:lang w:val="en_US" w:bidi="en_US"/>
        </w:rPr>
        <w:t xml:space="preserve"> Jerusalem.</w:t>
      </w:r>
    </w:p>
    <w:p>
      <w:pPr>
        <w:pStyle w:val="ListBullet"/>
        <w:spacing w:line="240" w:lineRule="auto"/>
        <w:ind w:left="720"/>
      </w:pPr>
      <w:r>
        <w:rPr>
          <w:lang w:val="en_US" w:bidi="en_US"/>
        </w:rPr>
      </w:r>
      <w:r>
        <w:rPr>
          <w:lang w:val="en_US" w:bidi="en_US"/>
        </w:rPr>
        <w:t>and they must</w:t>
      </w:r>
      <w:r>
        <w:rPr>
          <w:lang w:val="en_US" w:bidi="en_US"/>
        </w:rPr>
        <w:t xml:space="preserve"> begin in </w:t>
      </w:r>
      <w:r>
        <w:rPr>
          <w:lang w:val="en_US" w:bidi="en_US"/>
        </w:rPr>
        <w:t>the city of</w:t>
      </w:r>
      <w:r>
        <w:rPr>
          <w:lang w:val="en_US" w:bidi="en_US"/>
        </w:rPr>
        <w:t xml:space="preserve"> Jerusalem.</w:t>
      </w:r>
    </w:p>
    <w:p>
      <w:pPr/>
      <w:r>
        <w:rPr>
          <w:lang w:val="en_US" w:bidi="en_US"/>
        </w:rPr>
      </w:r>
      <w:r>
        <w:rPr>
          <w:b/>
          <w:lang w:val="en_US" w:bidi="en_US"/>
        </w:rPr>
        <w:t>beginning in Jerusalem:</w:t>
      </w:r>
      <w:r>
        <w:rPr>
          <w:lang w:val="en_US" w:bidi="en_US"/>
        </w:rPr>
        <w:t xml:space="preserve"> Here Jesus told his followers that he wanted them to begin preaching this message in the city of Jerusalem. Then they would also go to other places, as Acts 1:8 indicates. Some other ways to translate this phrase are:</w:t>
      </w:r>
    </w:p>
    <w:p>
      <w:pPr/>
      <w:r>
        <w:rPr>
          <w:lang w:val="en_US" w:bidi="en_US"/>
        </w:rPr>
      </w:r>
      <w:r>
        <w:rPr>
          <w:lang w:val="en_US" w:bidi="en_US"/>
        </w:rPr>
        <w:t>You must begin to proclaim it in Jerusalem.</w:t>
      </w:r>
    </w:p>
    <w:p>
      <w:pPr/>
      <w:r>
        <w:rPr>
          <w:lang w:val="en_US" w:bidi="en_US"/>
        </w:rPr>
      </w:r>
      <w:r>
        <w:rPr>
          <w:lang w:val="en_US" w:bidi="en_US"/>
        </w:rPr>
        <w:t>Start this preaching in Jerusalem.</w:t>
      </w:r>
    </w:p>
    <w:p>
      <w:pPr>
        <w:pStyle w:val="Heading6"/>
      </w:pPr>
      <w:r>
        <w:rPr>
          <w:b/>
          <w:lang w:val="en_US" w:bidi="en_US"/>
        </w:rPr>
        <w:t>General Comment on 24:46–47</w:t>
      </w:r>
    </w:p>
    <w:p>
      <w:pPr/>
      <w:r>
        <w:rPr>
          <w:lang w:val="en_US" w:bidi="en_US"/>
        </w:rPr>
      </w:r>
      <w:r>
        <w:rPr>
          <w:lang w:val="en_US" w:bidi="en_US"/>
        </w:rPr>
        <w:t>In 24:46–47 Jesus summarized some prophecies in the OT Scriptures. At the time Jesus was speaking, some of the events had already happened (24:46b), and some had not yet happened (24:47). In your translation of these verses, it is important to use appropriate verb forms to make this clear. For example:</w:t>
      </w:r>
    </w:p>
    <w:p>
      <w:pPr/>
      <w:r>
        <w:rPr>
          <w:lang w:val="en_US" w:bidi="en_US"/>
        </w:rPr>
      </w:r>
      <w:r>
        <w:rPr>
          <w:lang w:val="en_US" w:bidi="en_US"/>
        </w:rPr>
        <w:t xml:space="preserve">Jesus told them, “It is written in the Scriptures that the Messiah </w:t>
      </w:r>
      <w:r>
        <w:rPr>
          <w:u w:val="single"/>
          <w:lang w:val="en_US" w:bidi="en_US"/>
        </w:rPr>
        <w:t>had to</w:t>
      </w:r>
      <w:r>
        <w:rPr>
          <w:lang w:val="en_US" w:bidi="en_US"/>
        </w:rPr>
        <w:t xml:space="preserve"> suffer and rise again on the third day. </w:t>
      </w:r>
      <w:r>
        <w:rPr>
          <w:lang w:val="en_US" w:bidi="en_US"/>
        </w:rPr>
        <w:t>It is also written</w:t>
      </w:r>
      <w:r>
        <w:rPr>
          <w:lang w:val="en_US" w:bidi="en_US"/>
        </w:rPr>
        <w:t xml:space="preserve"> that repentance and forgiveness </w:t>
      </w:r>
      <w:r>
        <w:rPr>
          <w:u w:val="single"/>
          <w:lang w:val="en_US" w:bidi="en_US"/>
        </w:rPr>
        <w:t>will be</w:t>
      </w:r>
      <w:r>
        <w:rPr>
          <w:lang w:val="en_US" w:bidi="en_US"/>
        </w:rPr>
        <w:t xml:space="preserve"> preached in his name to all the nations, beginning in Jerusalem.”</w:t>
      </w:r>
      <w:r>
        <w:rPr>
          <w:lang w:val="en_US" w:bidi="en_US"/>
        </w:rPr>
      </w:r>
      <w:r>
        <w:rPr>
          <w:lang w:val="en_US" w:bidi="en_US"/>
        </w:rPr>
      </w:r>
    </w:p>
    <w:p>
      <w:pPr/>
      <w:r>
        <w:rPr>
          <w:lang w:val="en_US" w:bidi="en_US"/>
        </w:rPr>
      </w:r>
    </w:p>
    <w:p>
      <w:pPr>
        <w:pStyle w:val="Heading2"/>
      </w:pPr>
      <w:r>
        <w:rPr>
          <w:lang w:val="en_US" w:bidi="en_US"/>
        </w:rPr>
        <w:t>Luke 24:48</w:t>
      </w:r>
      <w:r>
        <w:rPr>
          <w:lang w:val="en_US" w:bidi="en_US"/>
        </w:rPr>
      </w:r>
    </w:p>
    <w:p>
      <w:pPr>
        <w:pStyle w:val="Heading4"/>
      </w:pPr>
      <w:r>
        <w:rPr>
          <w:lang w:val="en_US" w:bidi="en_US"/>
        </w:rPr>
        <w:t>Section 24:44–49: Jesus gave final instructions to his followers</w:t>
      </w:r>
    </w:p>
    <w:p>
      <w:pPr/>
      <w:r>
        <w:rPr>
          <w:lang w:val="en_US" w:bidi="en_US"/>
        </w:rPr>
      </w:r>
      <w:r>
        <w:rPr>
          <w:lang w:val="en_US" w:bidi="en_US"/>
        </w:rPr>
        <w:t>In this section Jesus helped his followers to understand the things that were written about him in the Scriptures. He reminded his followers that they had seen these things happen. They had to spread this good news so that people of all countries would repent and believe in him. Then he told his followers that they would receive power to preach those things, as God had promised. He told them that they must wait in Jerusalem until they received this power.</w:t>
      </w:r>
    </w:p>
    <w:p>
      <w:pPr/>
      <w:r>
        <w:rPr>
          <w:lang w:val="en_US" w:bidi="en_US"/>
        </w:rPr>
      </w:r>
      <w:r>
        <w:rPr>
          <w:lang w:val="en_US" w:bidi="en_US"/>
        </w:rPr>
        <w:t>Scholars have different opinions about when Jesus spoke the words in this section. It is likely that he spoke them after some days had passed and he was about to go back to heaven. The words may also be a summary of things that Jesus said to his followers during the forty days when he was with them after his resurrection. Parallel passages show that it is unlikely that Jesus spoke all of these words on the same day that he rose from the dead.</w:t>
      </w:r>
      <w:r>
        <w:rPr>
          <w:lang w:val="en_US" w:bidi="en_US"/>
        </w:rPr>
        <w:t>For example, the events in John 21 show that the disciples did leave Jerusalem and go to Galilee. If Jesus had told them on his resurrection day that they should not leave Jerusalem (24:49), it is unlikely that they would have gone there.</w:t>
      </w:r>
    </w:p>
    <w:p>
      <w:pPr/>
      <w:r>
        <w:rPr>
          <w:lang w:val="en_US" w:bidi="en_US"/>
        </w:rPr>
      </w:r>
      <w:r>
        <w:rPr>
          <w:lang w:val="en_US" w:bidi="en_US"/>
        </w:rPr>
        <w:t>Some other examples of headings for this section are:</w:t>
      </w:r>
    </w:p>
    <w:p>
      <w:pPr/>
      <w:r>
        <w:rPr>
          <w:lang w:val="en_US" w:bidi="en_US"/>
        </w:rPr>
      </w:r>
      <w:r>
        <w:rPr>
          <w:lang w:val="en_US" w:bidi="en_US"/>
        </w:rPr>
        <w:t>Jesus’ Final Commission (NET)</w:t>
      </w:r>
    </w:p>
    <w:p>
      <w:pPr/>
      <w:r>
        <w:rPr>
          <w:lang w:val="en_US" w:bidi="en_US"/>
        </w:rPr>
      </w:r>
      <w:r>
        <w:rPr>
          <w:lang w:val="en_US" w:bidi="en_US"/>
        </w:rPr>
        <w:t>Jesus’ followers must preach about him to all nations</w:t>
      </w:r>
    </w:p>
    <w:p>
      <w:pPr/>
      <w:r>
        <w:rPr>
          <w:lang w:val="en_US" w:bidi="en_US"/>
        </w:rPr>
      </w:r>
      <w:r>
        <w:rPr>
          <w:lang w:val="en_US" w:bidi="en_US"/>
        </w:rPr>
        <w:t>There are parallel passages for this section in Matthew 28:16–20, Mark 16:15–18, and Acts 1:6–8.</w:t>
      </w:r>
    </w:p>
    <w:p>
      <w:pPr>
        <w:pStyle w:val="Heading5"/>
      </w:pPr>
      <w:r>
        <w:rPr>
          <w:lang w:val="en_US" w:bidi="en_US"/>
        </w:rPr>
        <w:t>24:48–49</w:t>
      </w:r>
    </w:p>
    <w:p>
      <w:pPr/>
      <w:r>
        <w:rPr>
          <w:lang w:val="en_US" w:bidi="en_US"/>
        </w:rPr>
      </w:r>
      <w:r>
        <w:rPr>
          <w:lang w:val="en_US" w:bidi="en_US"/>
        </w:rPr>
        <w:t xml:space="preserve">In 24:48–49 Jesus told his followers what they must do. Then he told them what he would do. Then he focused again on what his followers must do. Each part of the verse begins by referring to Jesus or his followers in an emphatic way. </w:t>
      </w:r>
      <w:r>
        <w:rPr>
          <w:u w:val="single"/>
          <w:lang w:val="en_US" w:bidi="en_US"/>
        </w:rPr>
        <w:t>They</w:t>
      </w:r>
      <w:r>
        <w:rPr>
          <w:lang w:val="en_US" w:bidi="en_US"/>
        </w:rPr>
        <w:t xml:space="preserve"> (24:48) will be his witnesses. </w:t>
      </w:r>
      <w:r>
        <w:rPr>
          <w:u w:val="single"/>
          <w:lang w:val="en_US" w:bidi="en_US"/>
        </w:rPr>
        <w:t>He</w:t>
      </w:r>
      <w:r>
        <w:rPr>
          <w:lang w:val="en_US" w:bidi="en_US"/>
        </w:rPr>
        <w:t xml:space="preserve"> (24:49a) will send the Holy Spirit to them. But </w:t>
      </w:r>
      <w:r>
        <w:rPr>
          <w:u w:val="single"/>
          <w:lang w:val="en_US" w:bidi="en_US"/>
        </w:rPr>
        <w:t>they</w:t>
      </w:r>
      <w:r>
        <w:rPr>
          <w:lang w:val="en_US" w:bidi="en_US"/>
        </w:rPr>
        <w:t xml:space="preserve"> (24:49b) must stay in the city and wait to receive the Holy Spirit. This emphasis indicates the change of focus. Indicate this change of focus in a natural way in your language.</w:t>
      </w:r>
    </w:p>
    <w:p>
      <w:pPr>
        <w:pStyle w:val="Heading5"/>
      </w:pPr>
      <w:r>
        <w:rPr>
          <w:lang w:val="en_US" w:bidi="en_US"/>
        </w:rPr>
        <w:t>24:48</w:t>
      </w:r>
    </w:p>
    <w:p>
      <w:pPr/>
      <w:r>
        <w:rPr>
          <w:lang w:val="en_US" w:bidi="en_US"/>
        </w:rPr>
      </w:r>
      <w:r>
        <w:rPr>
          <w:b/>
          <w:lang w:val="en_US" w:bidi="en_US"/>
        </w:rPr>
        <w:t>You are witnesses of these things.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be witnesses to </w:t>
      </w:r>
      <w:r>
        <w:rPr>
          <w:lang w:val="en_US" w:bidi="en_US"/>
        </w:rPr>
        <w:t>tell others</w:t>
      </w:r>
      <w:r>
        <w:rPr>
          <w:lang w:val="en_US" w:bidi="en_US"/>
        </w:rPr>
        <w:t xml:space="preserve"> </w:t>
      </w:r>
      <w:r>
        <w:rPr>
          <w:lang w:val="en_US" w:bidi="en_US"/>
        </w:rPr>
        <w:t>all</w:t>
      </w:r>
      <w:r>
        <w:rPr>
          <w:lang w:val="en_US" w:bidi="en_US"/>
        </w:rPr>
        <w:t xml:space="preserve"> this.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seen and heard these things. </w:t>
      </w:r>
      <w:r>
        <w:rPr>
          <w:lang w:val="en_US" w:bidi="en_US"/>
        </w:rPr>
        <w:t>I appoint</w:t>
      </w:r>
      <w:r>
        <w:rPr>
          <w:lang w:val="en_US" w:bidi="en_US"/>
        </w:rPr>
        <w:t xml:space="preserve"> you my messengers </w:t>
      </w:r>
      <w:r>
        <w:rPr>
          <w:lang w:val="en_US" w:bidi="en_US"/>
        </w:rPr>
        <w:t>to declare it to others</w:t>
      </w:r>
      <w:r>
        <w:rPr>
          <w:lang w:val="en_US" w:bidi="en_US"/>
        </w:rPr>
        <w:t>.</w:t>
      </w:r>
    </w:p>
    <w:p>
      <w:pPr/>
      <w:r>
        <w:rPr>
          <w:lang w:val="en_US" w:bidi="en_US"/>
        </w:rPr>
      </w:r>
      <w:r>
        <w:rPr>
          <w:b/>
          <w:lang w:val="en_US" w:bidi="en_US"/>
        </w:rPr>
        <w:t>You are witnesses of these things:</w:t>
      </w:r>
      <w:r>
        <w:rPr>
          <w:lang w:val="en_US" w:bidi="en_US"/>
        </w:rPr>
        <w:t xml:space="preserve"> This clause indicates that Jesus wanted his followers to tell other people about his suffering, death, and resurrection. It also indicates that they are his witnesses to proclaim his message about repentance for forgiveness of sins (24:46–47).</w:t>
      </w:r>
    </w:p>
    <w:p>
      <w:pPr/>
      <w:r>
        <w:rPr>
          <w:lang w:val="en_US" w:bidi="en_US"/>
        </w:rPr>
      </w:r>
      <w:r>
        <w:rPr>
          <w:lang w:val="en_US" w:bidi="en_US"/>
        </w:rPr>
        <w:t>Some other ways to translate the clause are:</w:t>
      </w:r>
    </w:p>
    <w:p>
      <w:pPr/>
      <w:r>
        <w:rPr>
          <w:lang w:val="en_US" w:bidi="en_US"/>
        </w:rPr>
      </w:r>
      <w:r>
        <w:rPr>
          <w:lang w:val="en_US" w:bidi="en_US"/>
        </w:rPr>
        <w:t>You have seen these things happen, and you must tell others.</w:t>
      </w:r>
    </w:p>
    <w:p>
      <w:pPr/>
      <w:r>
        <w:rPr>
          <w:lang w:val="en_US" w:bidi="en_US"/>
        </w:rPr>
      </w:r>
      <w:r>
        <w:rPr>
          <w:lang w:val="en_US" w:bidi="en_US"/>
        </w:rPr>
        <w:t>…you must tell everything that has happened. (CEV)</w:t>
      </w:r>
    </w:p>
    <w:p>
      <w:pPr/>
      <w:r>
        <w:rPr>
          <w:lang w:val="en_US" w:bidi="en_US"/>
        </w:rPr>
      </w:r>
      <w:r>
        <w:rPr>
          <w:lang w:val="en_US" w:bidi="en_US"/>
        </w:rPr>
        <w:t>I appoint/send</w:t>
      </w:r>
      <w:r>
        <w:rPr>
          <w:lang w:val="en_US" w:bidi="en_US"/>
        </w:rPr>
        <w:t xml:space="preserve"> you as my witnesses to tell others about these things.</w:t>
      </w:r>
    </w:p>
    <w:p>
      <w:pPr/>
      <w:r>
        <w:rPr>
          <w:lang w:val="en_US" w:bidi="en_US"/>
        </w:rPr>
      </w:r>
      <w:r>
        <w:rPr>
          <w:lang w:val="en_US" w:bidi="en_US"/>
        </w:rPr>
        <w:t xml:space="preserve">The word </w:t>
      </w:r>
      <w:r>
        <w:rPr>
          <w:i/>
          <w:lang w:val="en_US" w:bidi="en_US"/>
        </w:rPr>
        <w:t>You</w:t>
      </w:r>
      <w:r>
        <w:rPr>
          <w:lang w:val="en_US" w:bidi="en_US"/>
        </w:rPr>
        <w:t xml:space="preserve"> is emphatic in the clause. Some other ways to translate the emphasis in English are:</w:t>
      </w:r>
    </w:p>
    <w:p>
      <w:pPr/>
      <w:r>
        <w:rPr>
          <w:lang w:val="en_US" w:bidi="en_US"/>
        </w:rPr>
      </w:r>
      <w:r>
        <w:rPr>
          <w:lang w:val="en_US" w:bidi="en_US"/>
        </w:rPr>
        <w:t>You yourselves are witnesses of all these things.</w:t>
      </w:r>
    </w:p>
    <w:p>
      <w:pPr/>
      <w:r>
        <w:rPr>
          <w:lang w:val="en_US" w:bidi="en_US"/>
        </w:rPr>
      </w:r>
      <w:r>
        <w:rPr>
          <w:lang w:val="en_US" w:bidi="en_US"/>
        </w:rPr>
        <w:t>You have witnessed these things yourselves, and you must tell others about them.</w:t>
      </w:r>
    </w:p>
    <w:p>
      <w:pPr/>
      <w:r>
        <w:rPr>
          <w:lang w:val="en_US" w:bidi="en_US"/>
        </w:rPr>
      </w:r>
      <w:r>
        <w:rPr>
          <w:b/>
          <w:lang w:val="en_US" w:bidi="en_US"/>
        </w:rPr>
        <w:t>witnesses:</w:t>
      </w:r>
      <w:r>
        <w:rPr>
          <w:lang w:val="en_US" w:bidi="en_US"/>
        </w:rPr>
        <w:t xml:space="preserve"> The Greek word that the BSB translates as </w:t>
      </w:r>
      <w:r>
        <w:rPr>
          <w:i/>
          <w:lang w:val="en_US" w:bidi="en_US"/>
        </w:rPr>
        <w:t>witnesses</w:t>
      </w:r>
      <w:r>
        <w:rPr>
          <w:lang w:val="en_US" w:bidi="en_US"/>
        </w:rPr>
        <w:t xml:space="preserve"> refers to people who tell others what they have seen and heard. It does not refer only to someone who gives legal testimony in a court case. Jesus’ followers must tell what they saw of his death and resurrection They must also tell others the message that they heard him explain to them.</w:t>
      </w:r>
    </w:p>
    <w:p>
      <w:pPr/>
      <w:r>
        <w:rPr>
          <w:lang w:val="en_US" w:bidi="en_US"/>
        </w:rPr>
      </w:r>
      <w:r>
        <w:rPr>
          <w:b/>
          <w:lang w:val="en_US" w:bidi="en_US"/>
        </w:rPr>
        <w:t>these things:</w:t>
      </w:r>
      <w:r>
        <w:rPr>
          <w:lang w:val="en_US" w:bidi="en_US"/>
        </w:rPr>
        <w:t xml:space="preserve"> The phrase </w:t>
      </w:r>
      <w:r>
        <w:rPr>
          <w:i/>
          <w:lang w:val="en_US" w:bidi="en_US"/>
        </w:rPr>
        <w:t>these things</w:t>
      </w:r>
      <w:r>
        <w:rPr>
          <w:lang w:val="en_US" w:bidi="en_US"/>
        </w:rPr>
        <w:t xml:space="preserve"> refers to Jesus’ suffering, death, and resurrection. Jesus explained to them that his death and resurrection fulfilled the Scriptures. They saw those events and heard him explain them. Jesus wanted them to tell others about what they saw and to also explain those events, as he had explained the events to them. Refer to </w:t>
      </w:r>
      <w:r>
        <w:rPr>
          <w:i/>
          <w:lang w:val="en_US" w:bidi="en_US"/>
        </w:rPr>
        <w:t>these things</w:t>
      </w:r>
      <w:r>
        <w:rPr>
          <w:lang w:val="en_US" w:bidi="en_US"/>
        </w:rPr>
        <w:t xml:space="preserve"> in a natural way in your language.</w:t>
      </w:r>
      <w:r>
        <w:rPr>
          <w:lang w:val="en_US" w:bidi="en_US"/>
        </w:rPr>
      </w:r>
      <w:r>
        <w:rPr>
          <w:lang w:val="en_US" w:bidi="en_US"/>
        </w:rPr>
      </w:r>
    </w:p>
    <w:p>
      <w:pPr/>
      <w:r>
        <w:rPr>
          <w:lang w:val="en_US" w:bidi="en_US"/>
        </w:rPr>
      </w:r>
    </w:p>
    <w:p>
      <w:pPr>
        <w:pStyle w:val="Heading2"/>
      </w:pPr>
      <w:r>
        <w:rPr>
          <w:lang w:val="en_US" w:bidi="en_US"/>
        </w:rPr>
        <w:t>Luke 24:49</w:t>
      </w:r>
      <w:r>
        <w:rPr>
          <w:lang w:val="en_US" w:bidi="en_US"/>
        </w:rPr>
      </w:r>
    </w:p>
    <w:p>
      <w:pPr>
        <w:pStyle w:val="Heading4"/>
      </w:pPr>
      <w:r>
        <w:rPr>
          <w:lang w:val="en_US" w:bidi="en_US"/>
        </w:rPr>
        <w:t>Section 24:44–49: Jesus gave final instructions to his followers</w:t>
      </w:r>
    </w:p>
    <w:p>
      <w:pPr/>
      <w:r>
        <w:rPr>
          <w:lang w:val="en_US" w:bidi="en_US"/>
        </w:rPr>
      </w:r>
      <w:r>
        <w:rPr>
          <w:lang w:val="en_US" w:bidi="en_US"/>
        </w:rPr>
        <w:t>In this section Jesus helped his followers to understand the things that were written about him in the Scriptures. He reminded his followers that they had seen these things happen. They had to spread this good news so that people of all countries would repent and believe in him. Then he told his followers that they would receive power to preach those things, as God had promised. He told them that they must wait in Jerusalem until they received this power.</w:t>
      </w:r>
    </w:p>
    <w:p>
      <w:pPr/>
      <w:r>
        <w:rPr>
          <w:lang w:val="en_US" w:bidi="en_US"/>
        </w:rPr>
      </w:r>
      <w:r>
        <w:rPr>
          <w:lang w:val="en_US" w:bidi="en_US"/>
        </w:rPr>
        <w:t>Scholars have different opinions about when Jesus spoke the words in this section. It is likely that he spoke them after some days had passed and he was about to go back to heaven. The words may also be a summary of things that Jesus said to his followers during the forty days when he was with them after his resurrection. Parallel passages show that it is unlikely that Jesus spoke all of these words on the same day that he rose from the dead.</w:t>
      </w:r>
      <w:r>
        <w:rPr>
          <w:lang w:val="en_US" w:bidi="en_US"/>
        </w:rPr>
        <w:t>For example, the events in John 21 show that the disciples did leave Jerusalem and go to Galilee. If Jesus had told them on his resurrection day that they should not leave Jerusalem (24:49), it is unlikely that they would have gone there.</w:t>
      </w:r>
    </w:p>
    <w:p>
      <w:pPr/>
      <w:r>
        <w:rPr>
          <w:lang w:val="en_US" w:bidi="en_US"/>
        </w:rPr>
      </w:r>
      <w:r>
        <w:rPr>
          <w:lang w:val="en_US" w:bidi="en_US"/>
        </w:rPr>
        <w:t>Some other examples of headings for this section are:</w:t>
      </w:r>
    </w:p>
    <w:p>
      <w:pPr/>
      <w:r>
        <w:rPr>
          <w:lang w:val="en_US" w:bidi="en_US"/>
        </w:rPr>
      </w:r>
      <w:r>
        <w:rPr>
          <w:lang w:val="en_US" w:bidi="en_US"/>
        </w:rPr>
        <w:t>Jesus’ Final Commission (NET)</w:t>
      </w:r>
    </w:p>
    <w:p>
      <w:pPr/>
      <w:r>
        <w:rPr>
          <w:lang w:val="en_US" w:bidi="en_US"/>
        </w:rPr>
      </w:r>
      <w:r>
        <w:rPr>
          <w:lang w:val="en_US" w:bidi="en_US"/>
        </w:rPr>
        <w:t>Jesus’ followers must preach about him to all nations</w:t>
      </w:r>
    </w:p>
    <w:p>
      <w:pPr/>
      <w:r>
        <w:rPr>
          <w:lang w:val="en_US" w:bidi="en_US"/>
        </w:rPr>
      </w:r>
      <w:r>
        <w:rPr>
          <w:lang w:val="en_US" w:bidi="en_US"/>
        </w:rPr>
        <w:t>There are parallel passages for this section in Matthew 28:16–20, Mark 16:15–18, and Acts 1:6–8.</w:t>
      </w:r>
    </w:p>
    <w:p>
      <w:pPr>
        <w:pStyle w:val="Heading5"/>
      </w:pPr>
      <w:r>
        <w:rPr>
          <w:lang w:val="en_US" w:bidi="en_US"/>
        </w:rPr>
        <w:t>24:49a</w:t>
      </w:r>
    </w:p>
    <w:p>
      <w:pPr/>
      <w:r>
        <w:rPr>
          <w:lang w:val="en_US" w:bidi="en_US"/>
        </w:rPr>
      </w:r>
      <w:r>
        <w:rPr>
          <w:b/>
          <w:lang w:val="en_US" w:bidi="en_US"/>
        </w:rPr>
        <w:t>And behold, I am sending the promise of My Father upon you.</w:t>
      </w:r>
    </w:p>
    <w:p>
      <w:pPr>
        <w:pStyle w:val="ListBullet"/>
        <w:spacing w:line="240" w:lineRule="auto"/>
        <w:ind w:left="720"/>
      </w:pPr>
      <w:r>
        <w:rPr>
          <w:lang w:val="en_US" w:bidi="en_US"/>
        </w:rPr>
      </w:r>
      <w:r>
        <w:rPr>
          <w:lang w:val="en_US" w:bidi="en_US"/>
        </w:rPr>
        <w:t>And now I send you</w:t>
      </w:r>
      <w:r>
        <w:rPr>
          <w:vertAlign w:val="superscript"/>
          <w:lang w:val="en_US" w:bidi="en_US"/>
        </w:rPr>
        <w:t>(plur)</w:t>
      </w:r>
      <w:r>
        <w:rPr>
          <w:lang w:val="en_US" w:bidi="en_US"/>
        </w:rPr>
        <w:t xml:space="preserve"> the one whom my Father promised,</w:t>
      </w:r>
    </w:p>
    <w:p>
      <w:pPr>
        <w:pStyle w:val="ListBullet"/>
        <w:spacing w:line="240" w:lineRule="auto"/>
        <w:ind w:left="720"/>
      </w:pPr>
      <w:r>
        <w:rPr>
          <w:lang w:val="en_US" w:bidi="en_US"/>
        </w:rPr>
      </w:r>
      <w:r>
        <w:rPr>
          <w:lang w:val="en_US" w:bidi="en_US"/>
        </w:rPr>
        <w:t xml:space="preserve">So </w:t>
      </w:r>
      <w:r>
        <w:rPr>
          <w:lang w:val="en_US" w:bidi="en_US"/>
        </w:rPr>
        <w:t>very soon</w:t>
      </w:r>
      <w:r>
        <w:rPr>
          <w:lang w:val="en_US" w:bidi="en_US"/>
        </w:rPr>
        <w:t xml:space="preserve"> I will send to you</w:t>
      </w:r>
      <w:r>
        <w:rPr>
          <w:vertAlign w:val="superscript"/>
          <w:lang w:val="en_US" w:bidi="en_US"/>
        </w:rPr>
        <w:t>(plur)</w:t>
      </w:r>
      <w:r>
        <w:rPr>
          <w:lang w:val="en_US" w:bidi="en_US"/>
        </w:rPr>
        <w:t xml:space="preserve"> </w:t>
      </w:r>
      <w:r>
        <w:rPr>
          <w:lang w:val="en_US" w:bidi="en_US"/>
        </w:rPr>
        <w:t>the Holy Spirit</w:t>
      </w:r>
      <w:r>
        <w:rPr>
          <w:lang w:val="en_US" w:bidi="en_US"/>
        </w:rPr>
        <w:t xml:space="preserve">. My Father </w:t>
      </w:r>
      <w:r>
        <w:rPr>
          <w:lang w:val="en_US" w:bidi="en_US"/>
        </w:rPr>
        <w:t>God</w:t>
      </w:r>
      <w:r>
        <w:rPr>
          <w:lang w:val="en_US" w:bidi="en_US"/>
        </w:rPr>
        <w:t xml:space="preserve"> already said that </w:t>
      </w:r>
      <w:r>
        <w:rPr>
          <w:lang w:val="en_US" w:bidi="en_US"/>
        </w:rPr>
        <w:t>he will cause</w:t>
      </w:r>
      <w:r>
        <w:rPr>
          <w:lang w:val="en_US" w:bidi="en_US"/>
        </w:rPr>
        <w:t xml:space="preserve"> </w:t>
      </w:r>
      <w:r>
        <w:rPr>
          <w:lang w:val="en_US" w:bidi="en_US"/>
        </w:rPr>
        <w:t>his Spirit</w:t>
      </w:r>
      <w:r>
        <w:rPr>
          <w:lang w:val="en_US" w:bidi="en_US"/>
        </w:rPr>
        <w:t xml:space="preserve"> </w:t>
      </w:r>
      <w:r>
        <w:rPr>
          <w:lang w:val="en_US" w:bidi="en_US"/>
        </w:rPr>
        <w:t>to help</w:t>
      </w:r>
      <w:r>
        <w:rPr>
          <w:lang w:val="en_US" w:bidi="en_US"/>
        </w:rPr>
        <w:t xml:space="preserve"> </w:t>
      </w:r>
      <w:r>
        <w:rPr>
          <w:lang w:val="en_US" w:bidi="en_US"/>
        </w:rPr>
        <w:t>you</w:t>
      </w:r>
      <w:r>
        <w:rPr>
          <w:lang w:val="en_US" w:bidi="en_US"/>
        </w:rPr>
        <w:t>.</w:t>
      </w:r>
    </w:p>
    <w:p>
      <w:pPr/>
      <w:r>
        <w:rPr>
          <w:lang w:val="en_US" w:bidi="en_US"/>
        </w:rPr>
      </w:r>
      <w:r>
        <w:rPr>
          <w:b/>
          <w:lang w:val="en_US" w:bidi="en_US"/>
        </w:rPr>
        <w:t>And behold:</w:t>
      </w:r>
      <w:r>
        <w:rPr>
          <w:lang w:val="en_US" w:bidi="en_US"/>
        </w:rPr>
        <w:t xml:space="preserve"> In Greek, 24:49a begins with the common phrase that the BSB translates as </w:t>
      </w:r>
      <w:r>
        <w:rPr>
          <w:i/>
          <w:lang w:val="en_US" w:bidi="en_US"/>
        </w:rPr>
        <w:t>And behold</w:t>
      </w:r>
      <w:r>
        <w:rPr>
          <w:lang w:val="en_US" w:bidi="en_US"/>
        </w:rPr>
        <w:t>. Some other English versions do not translate this phrase.</w:t>
      </w:r>
      <w:r>
        <w:rPr>
          <w:lang w:val="en_US" w:bidi="en_US"/>
        </w:rPr>
        <w:t>There is a textual issue concerning this phrase. Some Greek manuscripts do not have the word that the NET translates as “look.” There is strong evidence for both textual readings. The Greek NT includes the word in brackets with a C rating, indicating that the committee had difficulty making the decision.</w:t>
      </w:r>
      <w:r>
        <w:rPr>
          <w:lang w:val="en_US" w:bidi="en_US"/>
        </w:rPr>
        <w:t xml:space="preserve"> In this context the phrase implies that what Jesus was about to say was important, and he wanted his followers to pay special attention to it. It does not imply that his followers were not already listening to him. Other ways to translate this phrase are:</w:t>
      </w:r>
    </w:p>
    <w:p>
      <w:pPr/>
      <w:r>
        <w:rPr>
          <w:lang w:val="en_US" w:bidi="en_US"/>
        </w:rPr>
      </w:r>
      <w:r>
        <w:rPr>
          <w:lang w:val="en_US" w:bidi="en_US"/>
        </w:rPr>
        <w:t>And now (NLT)</w:t>
      </w:r>
    </w:p>
    <w:p>
      <w:pPr/>
      <w:r>
        <w:rPr>
          <w:lang w:val="en_US" w:bidi="en_US"/>
        </w:rPr>
      </w:r>
      <w:r>
        <w:rPr>
          <w:lang w:val="en_US" w:bidi="en_US"/>
        </w:rPr>
        <w:t>And see (NRSV)</w:t>
      </w:r>
    </w:p>
    <w:p>
      <w:pPr/>
      <w:r>
        <w:rPr>
          <w:lang w:val="en_US" w:bidi="en_US"/>
        </w:rPr>
      </w:r>
      <w:r>
        <w:rPr>
          <w:lang w:val="en_US" w:bidi="en_US"/>
        </w:rPr>
        <w:t>Introduce this verse in a way that is natural in your language.</w:t>
      </w:r>
    </w:p>
    <w:p>
      <w:pPr/>
      <w:r>
        <w:rPr>
          <w:lang w:val="en_US" w:bidi="en_US"/>
        </w:rPr>
      </w:r>
      <w:r>
        <w:rPr>
          <w:b/>
          <w:lang w:val="en_US" w:bidi="en_US"/>
        </w:rPr>
        <w:t>I am sending the promise of My Father upon you:</w:t>
      </w:r>
      <w:r>
        <w:rPr>
          <w:lang w:val="en_US" w:bidi="en_US"/>
        </w:rPr>
        <w:t xml:space="preserve"> The BSB literally represents the Greek of this phrase. The </w:t>
      </w:r>
      <w:r>
        <w:rPr>
          <w:i/>
          <w:lang w:val="en_US" w:bidi="en_US"/>
        </w:rPr>
        <w:t>promise</w:t>
      </w:r>
      <w:r>
        <w:rPr>
          <w:lang w:val="en_US" w:bidi="en_US"/>
        </w:rPr>
        <w:t xml:space="preserve"> that Jesus referred to here is the Holy Spirit. He will send the Holy Spirit to help his followers be his witnesses.</w:t>
      </w:r>
    </w:p>
    <w:p>
      <w:pPr/>
      <w:r>
        <w:rPr>
          <w:lang w:val="en_US" w:bidi="en_US"/>
        </w:rPr>
      </w:r>
      <w:r>
        <w:rPr>
          <w:lang w:val="en_US" w:bidi="en_US"/>
        </w:rPr>
        <w:t>The Holy Spirit is one of the three persons of the Trinity. In some languages it may be important to refer to him as a personal being, rather than an object. For example:</w:t>
      </w:r>
    </w:p>
    <w:p>
      <w:pPr/>
      <w:r>
        <w:rPr>
          <w:lang w:val="en_US" w:bidi="en_US"/>
        </w:rPr>
      </w:r>
      <w:r>
        <w:rPr>
          <w:lang w:val="en_US" w:bidi="en_US"/>
        </w:rPr>
        <w:t>I will send you the one whom my Father has promised.</w:t>
      </w:r>
    </w:p>
    <w:p>
      <w:pPr/>
      <w:r>
        <w:rPr>
          <w:lang w:val="en_US" w:bidi="en_US"/>
        </w:rPr>
      </w:r>
      <w:r>
        <w:rPr>
          <w:lang w:val="en_US" w:bidi="en_US"/>
        </w:rPr>
        <w:t>I…will send the-one my Father promised so that he will descend to you.</w:t>
      </w:r>
      <w:r>
        <w:rPr>
          <w:lang w:val="en_US" w:bidi="en_US"/>
        </w:rPr>
        <w:t>Kankanaey back translation on TW.</w:t>
      </w:r>
    </w:p>
    <w:p>
      <w:pPr/>
      <w:r>
        <w:rPr>
          <w:lang w:val="en_US" w:bidi="en_US"/>
        </w:rPr>
      </w:r>
      <w:r>
        <w:rPr>
          <w:lang w:val="en_US" w:bidi="en_US"/>
        </w:rPr>
        <w:t>In other languages it may be necessary to make explicit that Jesus referred to the Holy Spirit. For example:</w:t>
      </w:r>
    </w:p>
    <w:p>
      <w:pPr/>
      <w:r>
        <w:rPr>
          <w:lang w:val="en_US" w:bidi="en_US"/>
        </w:rPr>
      </w:r>
      <w:r>
        <w:rPr>
          <w:lang w:val="en_US" w:bidi="en_US"/>
        </w:rPr>
        <w:t>And now I will send the Holy Spirit, just as my Father promised. (NLT)</w:t>
      </w:r>
    </w:p>
    <w:p>
      <w:pPr/>
      <w:r>
        <w:rPr>
          <w:lang w:val="en_US" w:bidi="en_US"/>
        </w:rPr>
      </w:r>
      <w:r>
        <w:rPr>
          <w:lang w:val="en_US" w:bidi="en_US"/>
        </w:rPr>
        <w:t>For similar promises about the Holy Spirit, see 12:12, John 14:16–17, and Joel 2:28–29.</w:t>
      </w:r>
    </w:p>
    <w:p>
      <w:pPr/>
      <w:r>
        <w:rPr>
          <w:lang w:val="en_US" w:bidi="en_US"/>
        </w:rPr>
      </w:r>
      <w:r>
        <w:rPr>
          <w:b/>
          <w:lang w:val="en_US" w:bidi="en_US"/>
        </w:rPr>
        <w:t>I am sending:</w:t>
      </w:r>
      <w:r>
        <w:rPr>
          <w:lang w:val="en_US" w:bidi="en_US"/>
        </w:rPr>
        <w:t xml:space="preserve"> The Greek phrase that the BSB translates literally as </w:t>
      </w:r>
      <w:r>
        <w:rPr>
          <w:i/>
          <w:lang w:val="en_US" w:bidi="en_US"/>
        </w:rPr>
        <w:t>I am sending</w:t>
      </w:r>
      <w:r>
        <w:rPr>
          <w:lang w:val="en_US" w:bidi="en_US"/>
        </w:rPr>
        <w:t xml:space="preserve"> refers to an action that Jesus will soon do. The pronoun </w:t>
      </w:r>
      <w:r>
        <w:rPr>
          <w:i/>
          <w:lang w:val="en_US" w:bidi="en_US"/>
        </w:rPr>
        <w:t>I</w:t>
      </w:r>
      <w:r>
        <w:rPr>
          <w:lang w:val="en_US" w:bidi="en_US"/>
        </w:rPr>
        <w:t xml:space="preserve"> is emphatic here. Other ways to translate this phrase in English are:</w:t>
      </w:r>
    </w:p>
    <w:p>
      <w:pPr/>
      <w:r>
        <w:rPr>
          <w:lang w:val="en_US" w:bidi="en_US"/>
        </w:rPr>
      </w:r>
      <w:r>
        <w:rPr>
          <w:lang w:val="en_US" w:bidi="en_US"/>
        </w:rPr>
        <w:t>As for me, I will soon send</w:t>
      </w:r>
    </w:p>
    <w:p>
      <w:pPr/>
      <w:r>
        <w:rPr>
          <w:lang w:val="en_US" w:bidi="en_US"/>
        </w:rPr>
      </w:r>
      <w:r>
        <w:rPr>
          <w:lang w:val="en_US" w:bidi="en_US"/>
        </w:rPr>
        <w:t>I am sending (NRSV)</w:t>
      </w:r>
    </w:p>
    <w:p>
      <w:pPr/>
      <w:r>
        <w:rPr>
          <w:lang w:val="en_US" w:bidi="en_US"/>
        </w:rPr>
      </w:r>
      <w:r>
        <w:rPr>
          <w:lang w:val="en_US" w:bidi="en_US"/>
        </w:rPr>
        <w:t>Translate the timing of the action in a natural way in your language.</w:t>
      </w:r>
    </w:p>
    <w:p>
      <w:pPr/>
      <w:r>
        <w:rPr>
          <w:lang w:val="en_US" w:bidi="en_US"/>
        </w:rPr>
      </w:r>
      <w:r>
        <w:rPr>
          <w:b/>
          <w:lang w:val="en_US" w:bidi="en_US"/>
        </w:rPr>
        <w:t>the promise of My Father upon you:</w:t>
      </w:r>
      <w:r>
        <w:rPr>
          <w:lang w:val="en_US" w:bidi="en_US"/>
        </w:rPr>
        <w:t xml:space="preserve"> This clause indicates that God had already assured them that he would send the Holy Spirit to them. The text does not indicate when God made that promise.</w:t>
      </w:r>
    </w:p>
    <w:p>
      <w:pPr/>
      <w:r>
        <w:rPr>
          <w:lang w:val="en_US" w:bidi="en_US"/>
        </w:rPr>
      </w:r>
      <w:r>
        <w:rPr>
          <w:b/>
          <w:lang w:val="en_US" w:bidi="en_US"/>
        </w:rPr>
        <w:t>My Father:</w:t>
      </w:r>
      <w:r>
        <w:rPr>
          <w:lang w:val="en_US" w:bidi="en_US"/>
        </w:rPr>
        <w:t xml:space="preserve"> Jesus used the phrase </w:t>
      </w:r>
      <w:r>
        <w:rPr>
          <w:i/>
          <w:lang w:val="en_US" w:bidi="en_US"/>
        </w:rPr>
        <w:t>My Father</w:t>
      </w:r>
      <w:r>
        <w:rPr>
          <w:lang w:val="en_US" w:bidi="en_US"/>
        </w:rPr>
        <w:t xml:space="preserve"> to refer to God. In some languages it may be necessary to make this explicit:</w:t>
      </w:r>
    </w:p>
    <w:p>
      <w:pPr/>
      <w:r>
        <w:rPr>
          <w:lang w:val="en_US" w:bidi="en_US"/>
        </w:rPr>
      </w:r>
      <w:r>
        <w:rPr>
          <w:lang w:val="en_US" w:bidi="en_US"/>
        </w:rPr>
        <w:t xml:space="preserve">my Father </w:t>
      </w:r>
      <w:r>
        <w:rPr>
          <w:lang w:val="en_US" w:bidi="en_US"/>
        </w:rPr>
        <w:t>God</w:t>
      </w:r>
    </w:p>
    <w:p>
      <w:pPr/>
      <w:r>
        <w:rPr>
          <w:lang w:val="en_US" w:bidi="en_US"/>
        </w:rPr>
      </w:r>
      <w:r>
        <w:rPr>
          <w:lang w:val="en_US" w:bidi="en_US"/>
        </w:rPr>
        <w:t>God</w:t>
      </w:r>
      <w:r>
        <w:rPr>
          <w:lang w:val="en_US" w:bidi="en_US"/>
        </w:rPr>
        <w:t xml:space="preserve"> my Father</w:t>
      </w:r>
    </w:p>
    <w:p>
      <w:pPr>
        <w:pStyle w:val="Heading5"/>
      </w:pPr>
      <w:r>
        <w:rPr>
          <w:lang w:val="en_US" w:bidi="en_US"/>
        </w:rPr>
        <w:t>24:49b</w:t>
      </w:r>
    </w:p>
    <w:p>
      <w:pPr/>
      <w:r>
        <w:rPr>
          <w:lang w:val="en_US" w:bidi="en_US"/>
        </w:rPr>
      </w:r>
      <w:r>
        <w:rPr>
          <w:b/>
          <w:lang w:val="en_US" w:bidi="en_US"/>
        </w:rPr>
        <w:t>But remain in the city until you have been clothed with power from on high.”</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must stay in </w:t>
      </w:r>
      <w:r>
        <w:rPr>
          <w:lang w:val="en_US" w:bidi="en_US"/>
        </w:rPr>
        <w:t>this</w:t>
      </w:r>
      <w:r>
        <w:rPr>
          <w:lang w:val="en_US" w:bidi="en_US"/>
        </w:rPr>
        <w:t xml:space="preserve"> city until God empowers you </w:t>
      </w:r>
      <w:r>
        <w:rPr>
          <w:lang w:val="en_US" w:bidi="en_US"/>
        </w:rPr>
        <w:t>with his Spirit</w:t>
      </w:r>
      <w:r>
        <w:rPr>
          <w:lang w:val="en_US" w:bidi="en_US"/>
        </w:rPr>
        <w:t>.”</w:t>
      </w:r>
    </w:p>
    <w:p>
      <w:pPr>
        <w:pStyle w:val="ListBullet"/>
        <w:spacing w:line="240" w:lineRule="auto"/>
        <w:ind w:left="720"/>
      </w:pPr>
      <w:r>
        <w:rPr>
          <w:lang w:val="en_US" w:bidi="en_US"/>
        </w:rPr>
      </w:r>
      <w:r>
        <w:rPr>
          <w:lang w:val="en_US" w:bidi="en_US"/>
        </w:rPr>
        <w:t>So</w:t>
      </w:r>
      <w:r>
        <w:rPr>
          <w:lang w:val="en_US" w:bidi="en_US"/>
        </w:rPr>
        <w:t xml:space="preserve"> </w:t>
      </w:r>
      <w:r>
        <w:rPr>
          <w:lang w:val="en_US" w:bidi="en_US"/>
        </w:rPr>
        <w:t>continue to</w:t>
      </w:r>
      <w:r>
        <w:rPr>
          <w:lang w:val="en_US" w:bidi="en_US"/>
        </w:rPr>
        <w:t xml:space="preserve"> stay </w:t>
      </w:r>
      <w:r>
        <w:rPr>
          <w:lang w:val="en_US" w:bidi="en_US"/>
        </w:rPr>
        <w:t>here in Jerusalem</w:t>
      </w:r>
      <w:r>
        <w:rPr>
          <w:lang w:val="en_US" w:bidi="en_US"/>
        </w:rPr>
        <w:t xml:space="preserve"> until you</w:t>
      </w:r>
      <w:r>
        <w:rPr>
          <w:vertAlign w:val="superscript"/>
          <w:lang w:val="en_US" w:bidi="en_US"/>
        </w:rPr>
        <w:t>(plur)</w:t>
      </w:r>
      <w:r>
        <w:rPr>
          <w:lang w:val="en_US" w:bidi="en_US"/>
        </w:rPr>
        <w:t xml:space="preserve"> receive </w:t>
      </w:r>
      <w:r>
        <w:rPr>
          <w:lang w:val="en_US" w:bidi="en_US"/>
        </w:rPr>
        <w:t>this</w:t>
      </w:r>
      <w:r>
        <w:rPr>
          <w:lang w:val="en_US" w:bidi="en_US"/>
        </w:rPr>
        <w:t xml:space="preserve"> power from God.”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between what Jesus will do (24:49a) and what he wanted his followers to do. They must wait until they received the help he promised before leaving the city. In Greek the conjunction is followed by an emphatic “you.” The clause in 24:49b also expresses what they should do as a result of what Jesus said he will do. Versions such as the NRSV introduce it with “so.” Introduce 24:49b in a natural way in your language.</w:t>
      </w:r>
    </w:p>
    <w:p>
      <w:pPr/>
      <w:r>
        <w:rPr>
          <w:lang w:val="en_US" w:bidi="en_US"/>
        </w:rPr>
      </w:r>
      <w:r>
        <w:rPr>
          <w:b/>
          <w:lang w:val="en_US" w:bidi="en_US"/>
        </w:rPr>
        <w:t>remain in the city:</w:t>
      </w:r>
      <w:r>
        <w:rPr>
          <w:lang w:val="en_US" w:bidi="en_US"/>
        </w:rPr>
        <w:t xml:space="preserve"> The clause </w:t>
      </w:r>
      <w:r>
        <w:rPr>
          <w:i/>
          <w:lang w:val="en_US" w:bidi="en_US"/>
        </w:rPr>
        <w:t>remain in the city</w:t>
      </w:r>
      <w:r>
        <w:rPr>
          <w:lang w:val="en_US" w:bidi="en_US"/>
        </w:rPr>
        <w:t xml:space="preserve"> indicates that Jesus’ followers should remain in Jerusalem. Jesus did not want the disciples to leave Jerusalem and go home to Galilee. He wanted them to wait in Jerusalem until they received the one whom he had promised. Some other way to translate this clause are:</w:t>
      </w:r>
    </w:p>
    <w:p>
      <w:pPr/>
      <w:r>
        <w:rPr>
          <w:lang w:val="en_US" w:bidi="en_US"/>
        </w:rPr>
      </w:r>
      <w:r>
        <w:rPr>
          <w:lang w:val="en_US" w:bidi="en_US"/>
        </w:rPr>
        <w:t>you must wait in the city (GNT)</w:t>
      </w:r>
    </w:p>
    <w:p>
      <w:pPr/>
      <w:r>
        <w:rPr>
          <w:lang w:val="en_US" w:bidi="en_US"/>
        </w:rPr>
      </w:r>
      <w:r>
        <w:rPr>
          <w:lang w:val="en_US" w:bidi="en_US"/>
        </w:rPr>
        <w:t>wait here in this city (REB)</w:t>
      </w:r>
    </w:p>
    <w:p>
      <w:pPr/>
      <w:r>
        <w:rPr>
          <w:lang w:val="en_US" w:bidi="en_US"/>
        </w:rPr>
      </w:r>
      <w:r>
        <w:rPr>
          <w:b/>
          <w:lang w:val="en_US" w:bidi="en_US"/>
        </w:rPr>
        <w:t>until you have been clothed with power from on high:</w:t>
      </w:r>
      <w:r>
        <w:rPr>
          <w:lang w:val="en_US" w:bidi="en_US"/>
        </w:rPr>
        <w:t xml:space="preserve"> This clause means, “until you receive power from God/heaven.” The context implies that they should use this power to tell people about Jesus’ death and resurrection.</w:t>
      </w:r>
    </w:p>
    <w:p>
      <w:pPr/>
      <w:r>
        <w:rPr>
          <w:lang w:val="en_US" w:bidi="en_US"/>
        </w:rPr>
      </w:r>
      <w:r>
        <w:rPr>
          <w:lang w:val="en_US" w:bidi="en_US"/>
        </w:rPr>
        <w:t xml:space="preserve">The phrase </w:t>
      </w:r>
      <w:r>
        <w:rPr>
          <w:i/>
          <w:lang w:val="en_US" w:bidi="en_US"/>
        </w:rPr>
        <w:t>clothed with power from on high</w:t>
      </w:r>
      <w:r>
        <w:rPr>
          <w:lang w:val="en_US" w:bidi="en_US"/>
        </w:rPr>
        <w:t xml:space="preserve"> is a metaphor. It does not indicate that Jesus’ followers will be covered with power in a literal way. Some ways to translate this metaphor are:</w:t>
      </w:r>
    </w:p>
    <w:p>
      <w:pPr>
        <w:pStyle w:val="ListBullet"/>
        <w:spacing w:line="240" w:lineRule="auto"/>
        <w:ind w:left="720"/>
      </w:pPr>
      <w:r>
        <w:rPr>
          <w:lang w:val="en_US" w:bidi="en_US"/>
        </w:rPr>
      </w:r>
      <w:r>
        <w:rPr>
          <w:lang w:val="en_US" w:bidi="en_US"/>
        </w:rPr>
        <w:t>Use a metaphor that has the same meaning in your language. For example:</w:t>
      </w:r>
      <w:r>
        <w:rPr>
          <w:lang w:val="en_US" w:bidi="en_US"/>
        </w:rPr>
        <w:t>until you are armed with power from above (REB)</w:t>
      </w:r>
      <w:r>
        <w:rPr>
          <w:lang w:val="en_US" w:bidi="en_US"/>
        </w:rPr>
        <w:t>until you are equipped with power from heaven/God</w:t>
      </w:r>
      <w:r>
        <w:rPr>
          <w:lang w:val="en_US" w:bidi="en_US"/>
        </w:rPr>
        <w:t>until the power from above comes down upon you (GNT)</w:t>
      </w:r>
    </w:p>
    <w:p>
      <w:pPr>
        <w:pStyle w:val="ListBullet"/>
        <w:spacing w:line="240" w:lineRule="auto"/>
        <w:ind w:left="720"/>
      </w:pPr>
      <w:r>
        <w:rPr>
          <w:lang w:val="en_US" w:bidi="en_US"/>
        </w:rPr>
      </w:r>
      <w:r>
        <w:rPr>
          <w:lang w:val="en_US" w:bidi="en_US"/>
        </w:rPr>
        <w:t>Translate the meaning without the metaphor. For example:</w:t>
      </w:r>
      <w:r>
        <w:rPr>
          <w:lang w:val="en_US" w:bidi="en_US"/>
        </w:rPr>
        <w:t>until you receive power from God/heaven</w:t>
      </w:r>
      <w:r>
        <w:rPr>
          <w:lang w:val="en_US" w:bidi="en_US"/>
        </w:rPr>
        <w:t xml:space="preserve">until you are empowered </w:t>
      </w:r>
      <w:r>
        <w:rPr>
          <w:lang w:val="en_US" w:bidi="en_US"/>
        </w:rPr>
        <w:t>by/with the Holy Spirit</w:t>
      </w:r>
    </w:p>
    <w:p>
      <w:pPr>
        <w:pStyle w:val="ListBullet"/>
        <w:spacing w:line="240" w:lineRule="auto"/>
        <w:ind w:left="720"/>
      </w:pPr>
      <w:r>
        <w:rPr>
          <w:lang w:val="en_US" w:bidi="en_US"/>
        </w:rPr>
      </w:r>
      <w:r>
        <w:rPr>
          <w:lang w:val="en_US" w:bidi="en_US"/>
        </w:rPr>
        <w:t>Translate the metaphor in this clause in a natural way in your language.</w:t>
      </w:r>
    </w:p>
    <w:p>
      <w:pPr/>
      <w:r>
        <w:rPr>
          <w:lang w:val="en_US" w:bidi="en_US"/>
        </w:rPr>
      </w:r>
      <w:r>
        <w:rPr>
          <w:lang w:val="en_US" w:bidi="en_US"/>
        </w:rPr>
        <w:t>The clause is passive. In some languages it may be more natural to translate it as active. For example:</w:t>
      </w:r>
    </w:p>
    <w:p>
      <w:pPr/>
      <w:r>
        <w:rPr>
          <w:lang w:val="en_US" w:bidi="en_US"/>
        </w:rPr>
      </w:r>
      <w:r>
        <w:rPr>
          <w:lang w:val="en_US" w:bidi="en_US"/>
        </w:rPr>
        <w:t>until God empowers you</w:t>
      </w:r>
    </w:p>
    <w:p>
      <w:pPr/>
      <w:r>
        <w:rPr>
          <w:lang w:val="en_US" w:bidi="en_US"/>
        </w:rPr>
      </w:r>
      <w:r>
        <w:rPr>
          <w:lang w:val="en_US" w:bidi="en_US"/>
        </w:rPr>
        <w:t>until the Holy Spirit comes and fills you with power from heaven (NLT)</w:t>
      </w:r>
    </w:p>
    <w:p>
      <w:pPr/>
      <w:r>
        <w:rPr>
          <w:lang w:val="en_US" w:bidi="en_US"/>
        </w:rPr>
      </w:r>
      <w:r>
        <w:rPr>
          <w:lang w:val="en_US" w:bidi="en_US"/>
        </w:rPr>
        <w:t>See also the statement in Acts 1:8, which refers to the Holy Spirit coming on Jesus’ disciples.</w:t>
      </w:r>
      <w:r>
        <w:rPr>
          <w:lang w:val="en_US" w:bidi="en_US"/>
        </w:rPr>
      </w:r>
      <w:r>
        <w:rPr>
          <w:lang w:val="en_US" w:bidi="en_US"/>
        </w:rPr>
      </w:r>
    </w:p>
    <w:p>
      <w:pPr/>
      <w:r>
        <w:rPr>
          <w:lang w:val="en_US" w:bidi="en_US"/>
        </w:rPr>
      </w:r>
    </w:p>
    <w:p>
      <w:pPr>
        <w:pStyle w:val="Heading2"/>
      </w:pPr>
      <w:r>
        <w:rPr>
          <w:lang w:val="en_US" w:bidi="en_US"/>
        </w:rPr>
        <w:t>Luke 24:50</w:t>
      </w:r>
      <w:r>
        <w:rPr>
          <w:lang w:val="en_US" w:bidi="en_US"/>
        </w:rPr>
      </w:r>
    </w:p>
    <w:p>
      <w:pPr>
        <w:pStyle w:val="Heading4"/>
      </w:pPr>
      <w:r>
        <w:rPr>
          <w:lang w:val="en_US" w:bidi="en_US"/>
        </w:rPr>
        <w:t>Section 24:50–53: Jesus went up to heaven</w:t>
      </w:r>
    </w:p>
    <w:p>
      <w:pPr/>
      <w:r>
        <w:rPr>
          <w:lang w:val="en_US" w:bidi="en_US"/>
        </w:rPr>
      </w:r>
      <w:r>
        <w:rPr>
          <w:lang w:val="en_US" w:bidi="en_US"/>
        </w:rPr>
        <w:t>In this section Jesus blessed his followers, and then God took him up to heaven. This happened forty days after Jesus became alive again. Luke wrote about this same event in Acts 1:9–11.</w:t>
      </w:r>
    </w:p>
    <w:p>
      <w:pPr/>
      <w:r>
        <w:rPr>
          <w:lang w:val="en_US" w:bidi="en_US"/>
        </w:rPr>
      </w:r>
      <w:r>
        <w:rPr>
          <w:lang w:val="en_US" w:bidi="en_US"/>
        </w:rPr>
        <w:t>Some examples of other headings for this section are:</w:t>
      </w:r>
    </w:p>
    <w:p>
      <w:pPr/>
      <w:r>
        <w:rPr>
          <w:lang w:val="en_US" w:bidi="en_US"/>
        </w:rPr>
      </w:r>
      <w:r>
        <w:rPr>
          <w:lang w:val="en_US" w:bidi="en_US"/>
        </w:rPr>
        <w:t>Jesus Returns to Heaven (CEV)</w:t>
      </w:r>
    </w:p>
    <w:p>
      <w:pPr/>
      <w:r>
        <w:rPr>
          <w:lang w:val="en_US" w:bidi="en_US"/>
        </w:rPr>
      </w:r>
      <w:r>
        <w:rPr>
          <w:lang w:val="en_US" w:bidi="en_US"/>
        </w:rPr>
        <w:t>Jesus Is Taken Up to Heaven (GNT)</w:t>
      </w:r>
    </w:p>
    <w:p>
      <w:pPr/>
      <w:r>
        <w:rPr>
          <w:lang w:val="en_US" w:bidi="en_US"/>
        </w:rPr>
      </w:r>
      <w:r>
        <w:rPr>
          <w:lang w:val="en_US" w:bidi="en_US"/>
        </w:rPr>
        <w:t>The Ascension (NLT)</w:t>
      </w:r>
    </w:p>
    <w:p>
      <w:pPr/>
      <w:r>
        <w:rPr>
          <w:lang w:val="en_US" w:bidi="en_US"/>
        </w:rPr>
      </w:r>
      <w:r>
        <w:rPr>
          <w:lang w:val="en_US" w:bidi="en_US"/>
        </w:rPr>
        <w:t>There are parallel passages for this section in Mark 16:19–20 and Acts 1:9–11.</w:t>
      </w:r>
    </w:p>
    <w:p>
      <w:pPr>
        <w:pStyle w:val="Heading5"/>
      </w:pPr>
      <w:r>
        <w:rPr>
          <w:lang w:val="en_US" w:bidi="en_US"/>
        </w:rPr>
        <w:t>24:50a</w:t>
      </w:r>
    </w:p>
    <w:p>
      <w:pPr/>
      <w:r>
        <w:rPr>
          <w:lang w:val="en_US" w:bidi="en_US"/>
        </w:rPr>
      </w:r>
      <w:r>
        <w:rPr>
          <w:b/>
          <w:lang w:val="en_US" w:bidi="en_US"/>
        </w:rPr>
        <w:t>When Jesus had led them out as far as Bethany,</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led them out </w:t>
      </w:r>
      <w:r>
        <w:rPr>
          <w:lang w:val="en_US" w:bidi="en_US"/>
        </w:rPr>
        <w:t>of Jerusalem</w:t>
      </w:r>
      <w:r>
        <w:rPr>
          <w:lang w:val="en_US" w:bidi="en_US"/>
        </w:rPr>
        <w:t xml:space="preserve"> as far as Bethany.</w:t>
      </w:r>
    </w:p>
    <w:p>
      <w:pPr>
        <w:pStyle w:val="ListBullet"/>
        <w:spacing w:line="240" w:lineRule="auto"/>
        <w:ind w:left="720"/>
      </w:pPr>
      <w:r>
        <w:rPr>
          <w:lang w:val="en_US" w:bidi="en_US"/>
        </w:rPr>
      </w:r>
      <w:r>
        <w:rPr>
          <w:lang w:val="en_US" w:bidi="en_US"/>
        </w:rPr>
        <w:t xml:space="preserve">¶ After this, Jesus led his followers out </w:t>
      </w:r>
      <w:r>
        <w:rPr>
          <w:lang w:val="en_US" w:bidi="en_US"/>
        </w:rPr>
        <w:t>of the city</w:t>
      </w:r>
      <w:r>
        <w:rPr>
          <w:lang w:val="en_US" w:bidi="en_US"/>
        </w:rPr>
        <w:t xml:space="preserve"> to a place near </w:t>
      </w:r>
      <w:r>
        <w:rPr>
          <w:lang w:val="en_US" w:bidi="en_US"/>
        </w:rPr>
        <w:t>the village of</w:t>
      </w:r>
      <w:r>
        <w:rPr>
          <w:lang w:val="en_US" w:bidi="en_US"/>
        </w:rPr>
        <w:t xml:space="preserve"> Bethany.</w:t>
      </w:r>
    </w:p>
    <w:p>
      <w:pPr/>
      <w:r>
        <w:rPr>
          <w:lang w:val="en_US" w:bidi="en_US"/>
        </w:rPr>
      </w:r>
      <w:r>
        <w:rPr>
          <w:b/>
          <w:lang w:val="en_US" w:bidi="en_US"/>
        </w:rPr>
        <w:t>When</w:t>
      </w:r>
      <w:r>
        <w:rPr>
          <w:lang w:val="en_US" w:bidi="en_US"/>
        </w:rPr>
        <w:t xml:space="preserve"> In Greek this verse begins with a conjunction that many English versions translate as “Then.” It introduces an event that happened sometime after Jesus gave his followers instructions in 24:44–49. Some English versions do not begin the section with a conjunction. The BSB introduces it with a clause that begins with </w:t>
      </w:r>
      <w:r>
        <w:rPr>
          <w:i/>
          <w:lang w:val="en_US" w:bidi="en_US"/>
        </w:rPr>
        <w:t>When</w:t>
      </w:r>
      <w:r>
        <w:rPr>
          <w:lang w:val="en_US" w:bidi="en_US"/>
        </w:rPr>
        <w:t>. Another way to translate this is:</w:t>
      </w:r>
    </w:p>
    <w:p>
      <w:pPr/>
      <w:r>
        <w:rPr>
          <w:lang w:val="en_US" w:bidi="en_US"/>
        </w:rPr>
      </w:r>
      <w:r>
        <w:rPr>
          <w:lang w:val="en_US" w:bidi="en_US"/>
        </w:rPr>
        <w:t>After that</w:t>
      </w:r>
    </w:p>
    <w:p>
      <w:pPr/>
      <w:r>
        <w:rPr>
          <w:lang w:val="en_US" w:bidi="en_US"/>
        </w:rPr>
      </w:r>
      <w:r>
        <w:rPr>
          <w:lang w:val="en_US" w:bidi="en_US"/>
        </w:rPr>
        <w:t>Begin the section in a natural way in your language.</w:t>
      </w:r>
    </w:p>
    <w:p>
      <w:pPr/>
      <w:r>
        <w:rPr>
          <w:lang w:val="en_US" w:bidi="en_US"/>
        </w:rPr>
      </w:r>
      <w:r>
        <w:rPr>
          <w:b/>
          <w:lang w:val="en_US" w:bidi="en_US"/>
        </w:rPr>
        <w:t>Jesus had led them out as far as Bethany:</w:t>
      </w:r>
      <w:r>
        <w:rPr>
          <w:lang w:val="en_US" w:bidi="en_US"/>
        </w:rPr>
        <w:t xml:space="preserve"> This clause indicates that Jesus led his followers out of the city of Jerusalem to a place near the small town of Bethany. Some other ways to translate the clause are:</w:t>
      </w:r>
    </w:p>
    <w:p>
      <w:pPr/>
      <w:r>
        <w:rPr>
          <w:lang w:val="en_US" w:bidi="en_US"/>
        </w:rPr>
      </w:r>
      <w:r>
        <w:rPr>
          <w:lang w:val="en_US" w:bidi="en_US"/>
        </w:rPr>
        <w:t>Jesus took them to a place near Bethany (GW)</w:t>
      </w:r>
    </w:p>
    <w:p>
      <w:pPr/>
      <w:r>
        <w:rPr>
          <w:lang w:val="en_US" w:bidi="en_US"/>
        </w:rPr>
      </w:r>
      <w:r>
        <w:rPr>
          <w:lang w:val="en_US" w:bidi="en_US"/>
        </w:rPr>
        <w:t>he took them out as far as the outskirts of Bethany (NJB)</w:t>
      </w:r>
    </w:p>
    <w:p>
      <w:pPr/>
      <w:r>
        <w:rPr>
          <w:lang w:val="en_US" w:bidi="en_US"/>
        </w:rPr>
      </w:r>
      <w:r>
        <w:rPr>
          <w:lang w:val="en_US" w:bidi="en_US"/>
        </w:rPr>
        <w:t>Jesus led his followers out of the city, going as far as the village/town called Bethany.</w:t>
      </w:r>
    </w:p>
    <w:p>
      <w:pPr/>
      <w:r>
        <w:rPr>
          <w:lang w:val="en_US" w:bidi="en_US"/>
        </w:rPr>
      </w:r>
      <w:r>
        <w:rPr>
          <w:b/>
          <w:lang w:val="en_US" w:bidi="en_US"/>
        </w:rPr>
        <w:t>as far as Bethany:</w:t>
      </w:r>
      <w:r>
        <w:rPr>
          <w:lang w:val="en_US" w:bidi="en_US"/>
        </w:rPr>
        <w:t xml:space="preserve"> The phrase that the BSB translates as </w:t>
      </w:r>
      <w:r>
        <w:rPr>
          <w:i/>
          <w:lang w:val="en_US" w:bidi="en_US"/>
        </w:rPr>
        <w:t>as far as Bethany</w:t>
      </w:r>
      <w:r>
        <w:rPr>
          <w:lang w:val="en_US" w:bidi="en_US"/>
        </w:rPr>
        <w:t xml:space="preserve"> can be translated in different ways. It means “up to,” “as far as,” or “near.” Here it probably indicates that Jesus and his followers came near Bethany but did not enter into the village itself. Bethany was a village on the side of the Mount of Olives. It was also mentioned in 19:29. For more information, see the note on “Bethphage and Bethany” at 19:29a.</w:t>
      </w:r>
    </w:p>
    <w:p>
      <w:pPr>
        <w:pStyle w:val="Heading5"/>
      </w:pPr>
      <w:r>
        <w:rPr>
          <w:lang w:val="en_US" w:bidi="en_US"/>
        </w:rPr>
        <w:t>24:50b</w:t>
      </w:r>
    </w:p>
    <w:p>
      <w:pPr/>
      <w:r>
        <w:rPr>
          <w:lang w:val="en_US" w:bidi="en_US"/>
        </w:rPr>
      </w:r>
      <w:r>
        <w:rPr>
          <w:b/>
          <w:lang w:val="en_US" w:bidi="en_US"/>
        </w:rPr>
        <w:t>He lifted up His hands and blessed them.</w:t>
      </w:r>
    </w:p>
    <w:p>
      <w:pPr>
        <w:pStyle w:val="ListBullet"/>
        <w:spacing w:line="240" w:lineRule="auto"/>
        <w:ind w:left="720"/>
      </w:pPr>
      <w:r>
        <w:rPr>
          <w:lang w:val="en_US" w:bidi="en_US"/>
        </w:rPr>
      </w:r>
      <w:r>
        <w:rPr>
          <w:lang w:val="en_US" w:bidi="en_US"/>
        </w:rPr>
        <w:t>When they arrived,</w:t>
      </w:r>
      <w:r>
        <w:rPr>
          <w:lang w:val="en_US" w:bidi="en_US"/>
        </w:rPr>
        <w:t xml:space="preserve"> he raised his hands and blessed them.</w:t>
      </w:r>
    </w:p>
    <w:p>
      <w:pPr>
        <w:pStyle w:val="ListBullet"/>
        <w:spacing w:line="240" w:lineRule="auto"/>
        <w:ind w:left="720"/>
      </w:pPr>
      <w:r>
        <w:rPr>
          <w:lang w:val="en_US" w:bidi="en_US"/>
        </w:rPr>
      </w:r>
      <w:r>
        <w:rPr>
          <w:lang w:val="en_US" w:bidi="en_US"/>
        </w:rPr>
        <w:t>Then he lifted his hands and prayed that God would bless/favor them.</w:t>
      </w:r>
    </w:p>
    <w:p>
      <w:pPr>
        <w:pStyle w:val="ListBullet"/>
        <w:spacing w:line="240" w:lineRule="auto"/>
        <w:ind w:left="720"/>
      </w:pPr>
      <w:r>
        <w:rPr>
          <w:lang w:val="en_US" w:bidi="en_US"/>
        </w:rPr>
      </w:r>
      <w:r>
        <w:rPr>
          <w:lang w:val="en_US" w:bidi="en_US"/>
        </w:rPr>
        <w:t>There</w:t>
      </w:r>
      <w:r>
        <w:rPr>
          <w:lang w:val="en_US" w:bidi="en_US"/>
        </w:rPr>
        <w:t xml:space="preserve"> he raised/held his arms </w:t>
      </w:r>
      <w:r>
        <w:rPr>
          <w:lang w:val="en_US" w:bidi="en_US"/>
        </w:rPr>
        <w:t>over them</w:t>
      </w:r>
      <w:r>
        <w:rPr>
          <w:lang w:val="en_US" w:bidi="en_US"/>
        </w:rPr>
        <w:t xml:space="preserve"> and gave them God’s blessing.</w:t>
      </w:r>
    </w:p>
    <w:p>
      <w:pPr/>
      <w:r>
        <w:rPr>
          <w:lang w:val="en_US" w:bidi="en_US"/>
        </w:rPr>
      </w:r>
      <w:r>
        <w:rPr>
          <w:b/>
          <w:lang w:val="en_US" w:bidi="en_US"/>
        </w:rPr>
        <w:t>He lifted up His hands and blessed them:</w:t>
      </w:r>
      <w:r>
        <w:rPr>
          <w:lang w:val="en_US" w:bidi="en_US"/>
        </w:rPr>
        <w:t xml:space="preserve"> The action </w:t>
      </w:r>
      <w:r>
        <w:rPr>
          <w:i/>
          <w:lang w:val="en_US" w:bidi="en_US"/>
        </w:rPr>
        <w:t>He lifted up His hands</w:t>
      </w:r>
      <w:r>
        <w:rPr>
          <w:lang w:val="en_US" w:bidi="en_US"/>
        </w:rPr>
        <w:t xml:space="preserve"> was a gesture that priests used when they blessed the Jewish people. Here Jesus used it to show that he was blessing his followers. Some other ways to translate this action are:</w:t>
      </w:r>
    </w:p>
    <w:p>
      <w:pPr/>
      <w:r>
        <w:rPr>
          <w:lang w:val="en_US" w:bidi="en_US"/>
        </w:rPr>
      </w:r>
      <w:r>
        <w:rPr>
          <w:lang w:val="en_US" w:bidi="en_US"/>
        </w:rPr>
        <w:t>he raised his hands to bless them</w:t>
      </w:r>
    </w:p>
    <w:p>
      <w:pPr/>
      <w:r>
        <w:rPr>
          <w:lang w:val="en_US" w:bidi="en_US"/>
        </w:rPr>
      </w:r>
      <w:r>
        <w:rPr>
          <w:lang w:val="en_US" w:bidi="en_US"/>
        </w:rPr>
        <w:t xml:space="preserve">lifting his hand </w:t>
      </w:r>
      <w:r>
        <w:rPr>
          <w:lang w:val="en_US" w:bidi="en_US"/>
        </w:rPr>
        <w:t>toward the sky</w:t>
      </w:r>
      <w:r>
        <w:rPr>
          <w:lang w:val="en_US" w:bidi="en_US"/>
        </w:rPr>
        <w:t>, he blessed them</w:t>
      </w:r>
    </w:p>
    <w:p>
      <w:pPr/>
      <w:r>
        <w:rPr>
          <w:lang w:val="en_US" w:bidi="en_US"/>
        </w:rPr>
      </w:r>
      <w:r>
        <w:rPr>
          <w:lang w:val="en_US" w:bidi="en_US"/>
        </w:rPr>
        <w:t>and blessed them with uplifted hands (REB)</w:t>
      </w:r>
    </w:p>
    <w:p>
      <w:pPr/>
      <w:r>
        <w:rPr>
          <w:lang w:val="en_US" w:bidi="en_US"/>
        </w:rPr>
      </w:r>
      <w:r>
        <w:rPr>
          <w:b/>
          <w:lang w:val="en_US" w:bidi="en_US"/>
        </w:rPr>
        <w:t>blessed them:</w:t>
      </w:r>
      <w:r>
        <w:rPr>
          <w:lang w:val="en_US" w:bidi="en_US"/>
        </w:rPr>
        <w:t xml:space="preserve"> The phrase </w:t>
      </w:r>
      <w:r>
        <w:rPr>
          <w:i/>
          <w:lang w:val="en_US" w:bidi="en_US"/>
        </w:rPr>
        <w:t>blessed them</w:t>
      </w:r>
      <w:r>
        <w:rPr>
          <w:lang w:val="en_US" w:bidi="en_US"/>
        </w:rPr>
        <w:t xml:space="preserve"> indicates that Jesus gave God’s blessing his followers. The phrase implies that he prayed that God would give them peace, welfare, and power to do his will. He spoke with authority, because he knew that God would act according to what he said.</w:t>
      </w:r>
      <w:r>
        <w:rPr>
          <w:lang w:val="en_US" w:bidi="en_US"/>
        </w:rPr>
        <w:t>This act of blessing is more than mere well-wishing. It is an effective impartation of welfare, peace, and power.</w:t>
      </w:r>
    </w:p>
    <w:p>
      <w:pPr/>
      <w:r>
        <w:rPr>
          <w:lang w:val="en_US" w:bidi="en_US"/>
        </w:rPr>
      </w:r>
      <w:r>
        <w:rPr>
          <w:lang w:val="en_US" w:bidi="en_US"/>
        </w:rPr>
        <w:t>Some other ways to translate this are:</w:t>
      </w:r>
    </w:p>
    <w:p>
      <w:pPr/>
      <w:r>
        <w:rPr>
          <w:lang w:val="en_US" w:bidi="en_US"/>
        </w:rPr>
      </w:r>
      <w:r>
        <w:rPr>
          <w:lang w:val="en_US" w:bidi="en_US"/>
        </w:rPr>
        <w:t>gave them God’s blessing/favor</w:t>
      </w:r>
    </w:p>
    <w:p>
      <w:pPr/>
      <w:r>
        <w:rPr>
          <w:lang w:val="en_US" w:bidi="en_US"/>
        </w:rPr>
      </w:r>
      <w:r>
        <w:rPr>
          <w:lang w:val="en_US" w:bidi="en_US"/>
        </w:rPr>
        <w:t>asked God to bless them</w:t>
      </w:r>
    </w:p>
    <w:p>
      <w:pPr/>
      <w:r>
        <w:rPr>
          <w:lang w:val="en_US" w:bidi="en_US"/>
        </w:rPr>
      </w:r>
      <w:r>
        <w:rPr>
          <w:lang w:val="en_US" w:bidi="en_US"/>
        </w:rPr>
        <w:t>asked God to help/empower them</w:t>
      </w:r>
    </w:p>
    <w:p>
      <w:pPr/>
      <w:r>
        <w:rPr>
          <w:lang w:val="en_US" w:bidi="en_US"/>
        </w:rPr>
      </w:r>
      <w:r>
        <w:rPr>
          <w:lang w:val="en_US" w:bidi="en_US"/>
        </w:rPr>
        <w:t>In some languages it may be natural to use a direct quote here. For example:</w:t>
      </w:r>
    </w:p>
    <w:p>
      <w:pPr/>
      <w:r>
        <w:rPr>
          <w:lang w:val="en_US" w:bidi="en_US"/>
        </w:rPr>
      </w:r>
      <w:r>
        <w:rPr>
          <w:lang w:val="en_US" w:bidi="en_US"/>
        </w:rPr>
        <w:t>said to God, “Bless/Empower them.”</w:t>
      </w:r>
    </w:p>
    <w:p>
      <w:pPr/>
      <w:r>
        <w:rPr>
          <w:lang w:val="en_US" w:bidi="en_US"/>
        </w:rPr>
      </w:r>
      <w:r>
        <w:rPr>
          <w:lang w:val="en_US" w:bidi="en_US"/>
        </w:rPr>
        <w:t>See bless, Meaning 1, in the Glossary.</w:t>
      </w:r>
      <w:r>
        <w:rPr>
          <w:lang w:val="en_US" w:bidi="en_US"/>
        </w:rPr>
      </w:r>
      <w:r>
        <w:rPr>
          <w:lang w:val="en_US" w:bidi="en_US"/>
        </w:rPr>
      </w:r>
    </w:p>
    <w:p>
      <w:pPr/>
      <w:r>
        <w:rPr>
          <w:lang w:val="en_US" w:bidi="en_US"/>
        </w:rPr>
      </w:r>
    </w:p>
    <w:p>
      <w:pPr>
        <w:pStyle w:val="Heading2"/>
      </w:pPr>
      <w:r>
        <w:rPr>
          <w:lang w:val="en_US" w:bidi="en_US"/>
        </w:rPr>
        <w:t>Luke 24:51</w:t>
      </w:r>
      <w:r>
        <w:rPr>
          <w:lang w:val="en_US" w:bidi="en_US"/>
        </w:rPr>
      </w:r>
    </w:p>
    <w:p>
      <w:pPr>
        <w:pStyle w:val="Heading4"/>
      </w:pPr>
      <w:r>
        <w:rPr>
          <w:lang w:val="en_US" w:bidi="en_US"/>
        </w:rPr>
        <w:t>Section 24:50–53: Jesus went up to heaven</w:t>
      </w:r>
    </w:p>
    <w:p>
      <w:pPr/>
      <w:r>
        <w:rPr>
          <w:lang w:val="en_US" w:bidi="en_US"/>
        </w:rPr>
      </w:r>
      <w:r>
        <w:rPr>
          <w:lang w:val="en_US" w:bidi="en_US"/>
        </w:rPr>
        <w:t>In this section Jesus blessed his followers, and then God took him up to heaven. This happened forty days after Jesus became alive again. Luke wrote about this same event in Acts 1:9–11.</w:t>
      </w:r>
    </w:p>
    <w:p>
      <w:pPr/>
      <w:r>
        <w:rPr>
          <w:lang w:val="en_US" w:bidi="en_US"/>
        </w:rPr>
      </w:r>
      <w:r>
        <w:rPr>
          <w:lang w:val="en_US" w:bidi="en_US"/>
        </w:rPr>
        <w:t>Some examples of other headings for this section are:</w:t>
      </w:r>
    </w:p>
    <w:p>
      <w:pPr/>
      <w:r>
        <w:rPr>
          <w:lang w:val="en_US" w:bidi="en_US"/>
        </w:rPr>
      </w:r>
      <w:r>
        <w:rPr>
          <w:lang w:val="en_US" w:bidi="en_US"/>
        </w:rPr>
        <w:t>Jesus Returns to Heaven (CEV)</w:t>
      </w:r>
    </w:p>
    <w:p>
      <w:pPr/>
      <w:r>
        <w:rPr>
          <w:lang w:val="en_US" w:bidi="en_US"/>
        </w:rPr>
      </w:r>
      <w:r>
        <w:rPr>
          <w:lang w:val="en_US" w:bidi="en_US"/>
        </w:rPr>
        <w:t>Jesus Is Taken Up to Heaven (GNT)</w:t>
      </w:r>
    </w:p>
    <w:p>
      <w:pPr/>
      <w:r>
        <w:rPr>
          <w:lang w:val="en_US" w:bidi="en_US"/>
        </w:rPr>
      </w:r>
      <w:r>
        <w:rPr>
          <w:lang w:val="en_US" w:bidi="en_US"/>
        </w:rPr>
        <w:t>The Ascension (NLT)</w:t>
      </w:r>
    </w:p>
    <w:p>
      <w:pPr/>
      <w:r>
        <w:rPr>
          <w:lang w:val="en_US" w:bidi="en_US"/>
        </w:rPr>
      </w:r>
      <w:r>
        <w:rPr>
          <w:lang w:val="en_US" w:bidi="en_US"/>
        </w:rPr>
        <w:t>There are parallel passages for this section in Mark 16:19–20 and Acts 1:9–11.</w:t>
      </w:r>
    </w:p>
    <w:p>
      <w:pPr>
        <w:pStyle w:val="Heading5"/>
      </w:pPr>
      <w:r>
        <w:rPr>
          <w:lang w:val="en_US" w:bidi="en_US"/>
        </w:rPr>
        <w:t>24:51a</w:t>
      </w:r>
    </w:p>
    <w:p>
      <w:pPr/>
      <w:r>
        <w:rPr>
          <w:lang w:val="en_US" w:bidi="en_US"/>
        </w:rPr>
      </w:r>
      <w:r>
        <w:rPr>
          <w:b/>
          <w:lang w:val="en_US" w:bidi="en_US"/>
        </w:rPr>
        <w:t>While He was blessing them,</w:t>
      </w:r>
    </w:p>
    <w:p>
      <w:pPr>
        <w:pStyle w:val="ListBullet"/>
        <w:spacing w:line="240" w:lineRule="auto"/>
        <w:ind w:left="720"/>
      </w:pPr>
      <w:r>
        <w:rPr>
          <w:lang w:val="en_US" w:bidi="en_US"/>
        </w:rPr>
      </w:r>
      <w:r>
        <w:rPr>
          <w:lang w:val="en_US" w:bidi="en_US"/>
        </w:rPr>
        <w:t>As he was blessing them,</w:t>
      </w:r>
    </w:p>
    <w:p>
      <w:pPr>
        <w:pStyle w:val="ListBullet"/>
        <w:spacing w:line="240" w:lineRule="auto"/>
        <w:ind w:left="720"/>
      </w:pPr>
      <w:r>
        <w:rPr>
          <w:lang w:val="en_US" w:bidi="en_US"/>
        </w:rPr>
      </w:r>
      <w:r>
        <w:rPr>
          <w:lang w:val="en_US" w:bidi="en_US"/>
        </w:rPr>
        <w:t>While he was praying God’s blessing for/on them,</w:t>
      </w:r>
    </w:p>
    <w:p>
      <w:pPr/>
      <w:r>
        <w:rPr>
          <w:lang w:val="en_US" w:bidi="en_US"/>
        </w:rPr>
      </w:r>
      <w:r>
        <w:rPr>
          <w:b/>
          <w:lang w:val="en_US" w:bidi="en_US"/>
        </w:rPr>
        <w:t>While He was blessing them:</w:t>
      </w:r>
      <w:r>
        <w:rPr>
          <w:lang w:val="en_US" w:bidi="en_US"/>
        </w:rPr>
        <w:t xml:space="preserve"> This statement introduces what happened at the time when Jesus was still blessing his followers. As he was blessing them, he was carried away from them into heaven. Some other ways to introduce what happened are:</w:t>
      </w:r>
    </w:p>
    <w:p>
      <w:pPr/>
      <w:r>
        <w:rPr>
          <w:lang w:val="en_US" w:bidi="en_US"/>
        </w:rPr>
      </w:r>
      <w:r>
        <w:rPr>
          <w:lang w:val="en_US" w:bidi="en_US"/>
        </w:rPr>
        <w:t>As Jesus was still blessing them</w:t>
      </w:r>
    </w:p>
    <w:p>
      <w:pPr/>
      <w:r>
        <w:rPr>
          <w:lang w:val="en_US" w:bidi="en_US"/>
        </w:rPr>
      </w:r>
      <w:r>
        <w:rPr>
          <w:lang w:val="en_US" w:bidi="en_US"/>
        </w:rPr>
        <w:t>Now during the blessing (NET)</w:t>
      </w:r>
    </w:p>
    <w:p>
      <w:pPr/>
      <w:r>
        <w:rPr>
          <w:lang w:val="en_US" w:bidi="en_US"/>
        </w:rPr>
      </w:r>
      <w:r>
        <w:rPr>
          <w:lang w:val="en_US" w:bidi="en_US"/>
        </w:rPr>
        <w:t>And it happened that as he blessed them</w:t>
      </w:r>
    </w:p>
    <w:p>
      <w:pPr>
        <w:pStyle w:val="Heading5"/>
      </w:pPr>
      <w:r>
        <w:rPr>
          <w:lang w:val="en_US" w:bidi="en_US"/>
        </w:rPr>
        <w:t>24:51b</w:t>
      </w:r>
    </w:p>
    <w:p>
      <w:pPr/>
      <w:r>
        <w:rPr>
          <w:lang w:val="en_US" w:bidi="en_US"/>
        </w:rPr>
      </w:r>
      <w:r>
        <w:rPr>
          <w:b/>
          <w:lang w:val="en_US" w:bidi="en_US"/>
        </w:rPr>
        <w:t>He left them and was carried up into heaven.</w:t>
      </w:r>
    </w:p>
    <w:p>
      <w:pPr>
        <w:pStyle w:val="ListBullet"/>
        <w:spacing w:line="240" w:lineRule="auto"/>
        <w:ind w:left="720"/>
      </w:pPr>
      <w:r>
        <w:rPr>
          <w:lang w:val="en_US" w:bidi="en_US"/>
        </w:rPr>
      </w:r>
      <w:r>
        <w:rPr>
          <w:lang w:val="en_US" w:bidi="en_US"/>
        </w:rPr>
        <w:t>he left them as he was received into heaven.</w:t>
      </w:r>
    </w:p>
    <w:p>
      <w:pPr>
        <w:pStyle w:val="ListBullet"/>
        <w:spacing w:line="240" w:lineRule="auto"/>
        <w:ind w:left="720"/>
      </w:pPr>
      <w:r>
        <w:rPr>
          <w:lang w:val="en_US" w:bidi="en_US"/>
        </w:rPr>
      </w:r>
      <w:r>
        <w:rPr>
          <w:lang w:val="en_US" w:bidi="en_US"/>
        </w:rPr>
        <w:t>God</w:t>
      </w:r>
      <w:r>
        <w:rPr>
          <w:lang w:val="en_US" w:bidi="en_US"/>
        </w:rPr>
        <w:t xml:space="preserve"> </w:t>
      </w:r>
      <w:r>
        <w:rPr>
          <w:lang w:val="en_US" w:bidi="en_US"/>
        </w:rPr>
        <w:t>began to</w:t>
      </w:r>
      <w:r>
        <w:rPr>
          <w:lang w:val="en_US" w:bidi="en_US"/>
        </w:rPr>
        <w:t xml:space="preserve"> lift/take him away from them into heaven,</w:t>
      </w:r>
    </w:p>
    <w:p>
      <w:pPr/>
      <w:r>
        <w:rPr>
          <w:lang w:val="en_US" w:bidi="en_US"/>
        </w:rPr>
      </w:r>
      <w:r>
        <w:rPr>
          <w:b/>
          <w:lang w:val="en_US" w:bidi="en_US"/>
        </w:rPr>
        <w:t>He left them and was carried up into heaven:</w:t>
      </w:r>
      <w:r>
        <w:rPr>
          <w:lang w:val="en_US" w:bidi="en_US"/>
        </w:rPr>
        <w:t xml:space="preserve"> The phrase </w:t>
      </w:r>
      <w:r>
        <w:rPr>
          <w:i/>
          <w:lang w:val="en_US" w:bidi="en_US"/>
        </w:rPr>
        <w:t>He left them and was carried up into heaven</w:t>
      </w:r>
      <w:r>
        <w:rPr>
          <w:lang w:val="en_US" w:bidi="en_US"/>
        </w:rPr>
        <w:t xml:space="preserve"> implies that Jesus left his followers as he was taken up to heaven. He probably did not walk away from them first. Another way to translate this is:</w:t>
      </w:r>
    </w:p>
    <w:p>
      <w:pPr/>
      <w:r>
        <w:rPr>
          <w:lang w:val="en_US" w:bidi="en_US"/>
        </w:rPr>
      </w:r>
      <w:r>
        <w:rPr>
          <w:lang w:val="en_US" w:bidi="en_US"/>
        </w:rPr>
        <w:t>he was lifted/carried away from them into heaven</w:t>
      </w:r>
    </w:p>
    <w:p>
      <w:pPr/>
      <w:r>
        <w:rPr>
          <w:lang w:val="en_US" w:bidi="en_US"/>
        </w:rPr>
      </w:r>
      <w:r>
        <w:rPr>
          <w:b/>
          <w:lang w:val="en_US" w:bidi="en_US"/>
        </w:rPr>
        <w:t>was carried up into heaven:</w:t>
      </w:r>
      <w:r>
        <w:rPr>
          <w:lang w:val="en_US" w:bidi="en_US"/>
        </w:rPr>
        <w:t xml:space="preserve"> The verb </w:t>
      </w:r>
      <w:r>
        <w:rPr>
          <w:i/>
          <w:lang w:val="en_US" w:bidi="en_US"/>
        </w:rPr>
        <w:t>was carried up</w:t>
      </w:r>
      <w:r>
        <w:rPr>
          <w:lang w:val="en_US" w:bidi="en_US"/>
        </w:rPr>
        <w:t xml:space="preserve"> means “was carried/lifted up.” This verb is passive. It implies here that God lifted/carried Jesus up into heaven. In some languages it may be more natural to use an active verb and indicate that God took him up. For example:</w:t>
      </w:r>
    </w:p>
    <w:p>
      <w:pPr/>
      <w:r>
        <w:rPr>
          <w:lang w:val="en_US" w:bidi="en_US"/>
        </w:rPr>
      </w:r>
      <w:r>
        <w:rPr>
          <w:lang w:val="en_US" w:bidi="en_US"/>
        </w:rPr>
        <w:t xml:space="preserve">and </w:t>
      </w:r>
      <w:r>
        <w:rPr>
          <w:lang w:val="en_US" w:bidi="en_US"/>
        </w:rPr>
        <w:t>God</w:t>
      </w:r>
      <w:r>
        <w:rPr>
          <w:lang w:val="en_US" w:bidi="en_US"/>
        </w:rPr>
        <w:t xml:space="preserve"> took him up into heaven</w:t>
      </w:r>
    </w:p>
    <w:p>
      <w:pPr/>
      <w:r>
        <w:rPr>
          <w:lang w:val="en_US" w:bidi="en_US"/>
        </w:rPr>
      </w:r>
      <w:r>
        <w:rPr>
          <w:lang w:val="en_US" w:bidi="en_US"/>
        </w:rPr>
        <w:t xml:space="preserve">and </w:t>
      </w:r>
      <w:r>
        <w:rPr>
          <w:lang w:val="en_US" w:bidi="en_US"/>
        </w:rPr>
        <w:t>God</w:t>
      </w:r>
      <w:r>
        <w:rPr>
          <w:lang w:val="en_US" w:bidi="en_US"/>
        </w:rPr>
        <w:t xml:space="preserve"> carried him into heaven</w:t>
      </w:r>
    </w:p>
    <w:p>
      <w:pPr/>
      <w:r>
        <w:rPr>
          <w:lang w:val="en_US" w:bidi="en_US"/>
        </w:rPr>
      </w:r>
      <w:r>
        <w:rPr>
          <w:b/>
          <w:lang w:val="en_US" w:bidi="en_US"/>
        </w:rPr>
        <w:t>heaven:</w:t>
      </w:r>
      <w:r>
        <w:rPr>
          <w:lang w:val="en_US" w:bidi="en_US"/>
        </w:rPr>
        <w:t xml:space="preserve"> The Greek word that the BSB translates as </w:t>
      </w:r>
      <w:r>
        <w:rPr>
          <w:i/>
          <w:lang w:val="en_US" w:bidi="en_US"/>
        </w:rPr>
        <w:t>heaven</w:t>
      </w:r>
      <w:r>
        <w:rPr>
          <w:lang w:val="en_US" w:bidi="en_US"/>
        </w:rPr>
        <w:t xml:space="preserve"> can have two meanings:</w:t>
      </w:r>
    </w:p>
    <w:p>
      <w:pPr>
        <w:pStyle w:val="ListNumber"/>
        <w:numPr>
          <w:ilvl w:val="0"/>
          <w:numId w:val="372"/>
        </w:numPr>
        <w:spacing w:line="240" w:lineRule="auto"/>
        <w:ind w:left="720"/>
      </w:pPr>
      <w:r>
        <w:rPr>
          <w:lang w:val="en_US" w:bidi="en_US"/>
        </w:rPr>
      </w:r>
      <w:r>
        <w:rPr>
          <w:lang w:val="en_US" w:bidi="en_US"/>
        </w:rPr>
        <w:t>it refers to heaven, the place of God;</w:t>
      </w:r>
    </w:p>
    <w:p>
      <w:pPr>
        <w:pStyle w:val="ListNumber"/>
        <w:spacing w:line="240" w:lineRule="auto"/>
        <w:ind w:left="720"/>
      </w:pPr>
      <w:r>
        <w:rPr>
          <w:lang w:val="en_US" w:bidi="en_US"/>
        </w:rPr>
      </w:r>
      <w:r>
        <w:rPr>
          <w:lang w:val="en_US" w:bidi="en_US"/>
        </w:rPr>
        <w:t>it refers to the sky.</w:t>
      </w:r>
    </w:p>
    <w:p>
      <w:pPr/>
      <w:r>
        <w:rPr>
          <w:lang w:val="en_US" w:bidi="en_US"/>
        </w:rPr>
      </w:r>
      <w:r>
        <w:rPr>
          <w:lang w:val="en_US" w:bidi="en_US"/>
        </w:rPr>
        <w:t>Here it refers to both. Jesus rose up into the sky and also up into the presence of God.</w:t>
      </w:r>
    </w:p>
    <w:p>
      <w:pPr/>
      <w:r>
        <w:rPr>
          <w:lang w:val="en_US" w:bidi="en_US"/>
        </w:rPr>
      </w:r>
      <w:r>
        <w:rPr>
          <w:lang w:val="en_US" w:bidi="en_US"/>
        </w:rPr>
        <w:t>See heaven, Meaning 2, in the Glossary.</w:t>
      </w:r>
      <w:r>
        <w:rPr>
          <w:lang w:val="en_US" w:bidi="en_US"/>
        </w:rPr>
      </w:r>
      <w:r>
        <w:rPr>
          <w:lang w:val="en_US" w:bidi="en_US"/>
        </w:rPr>
      </w:r>
    </w:p>
    <w:p>
      <w:pPr/>
      <w:r>
        <w:rPr>
          <w:lang w:val="en_US" w:bidi="en_US"/>
        </w:rPr>
      </w:r>
    </w:p>
    <w:p>
      <w:pPr>
        <w:pStyle w:val="Heading2"/>
      </w:pPr>
      <w:r>
        <w:rPr>
          <w:lang w:val="en_US" w:bidi="en_US"/>
        </w:rPr>
        <w:t>Luke 24:52</w:t>
      </w:r>
      <w:r>
        <w:rPr>
          <w:lang w:val="en_US" w:bidi="en_US"/>
        </w:rPr>
      </w:r>
    </w:p>
    <w:p>
      <w:pPr>
        <w:pStyle w:val="Heading4"/>
      </w:pPr>
      <w:r>
        <w:rPr>
          <w:lang w:val="en_US" w:bidi="en_US"/>
        </w:rPr>
        <w:t>Section 24:50–53: Jesus went up to heaven</w:t>
      </w:r>
    </w:p>
    <w:p>
      <w:pPr/>
      <w:r>
        <w:rPr>
          <w:lang w:val="en_US" w:bidi="en_US"/>
        </w:rPr>
      </w:r>
      <w:r>
        <w:rPr>
          <w:lang w:val="en_US" w:bidi="en_US"/>
        </w:rPr>
        <w:t>In this section Jesus blessed his followers, and then God took him up to heaven. This happened forty days after Jesus became alive again. Luke wrote about this same event in Acts 1:9–11.</w:t>
      </w:r>
    </w:p>
    <w:p>
      <w:pPr/>
      <w:r>
        <w:rPr>
          <w:lang w:val="en_US" w:bidi="en_US"/>
        </w:rPr>
      </w:r>
      <w:r>
        <w:rPr>
          <w:lang w:val="en_US" w:bidi="en_US"/>
        </w:rPr>
        <w:t>Some examples of other headings for this section are:</w:t>
      </w:r>
    </w:p>
    <w:p>
      <w:pPr/>
      <w:r>
        <w:rPr>
          <w:lang w:val="en_US" w:bidi="en_US"/>
        </w:rPr>
      </w:r>
      <w:r>
        <w:rPr>
          <w:lang w:val="en_US" w:bidi="en_US"/>
        </w:rPr>
        <w:t>Jesus Returns to Heaven (CEV)</w:t>
      </w:r>
    </w:p>
    <w:p>
      <w:pPr/>
      <w:r>
        <w:rPr>
          <w:lang w:val="en_US" w:bidi="en_US"/>
        </w:rPr>
      </w:r>
      <w:r>
        <w:rPr>
          <w:lang w:val="en_US" w:bidi="en_US"/>
        </w:rPr>
        <w:t>Jesus Is Taken Up to Heaven (GNT)</w:t>
      </w:r>
    </w:p>
    <w:p>
      <w:pPr/>
      <w:r>
        <w:rPr>
          <w:lang w:val="en_US" w:bidi="en_US"/>
        </w:rPr>
      </w:r>
      <w:r>
        <w:rPr>
          <w:lang w:val="en_US" w:bidi="en_US"/>
        </w:rPr>
        <w:t>The Ascension (NLT)</w:t>
      </w:r>
    </w:p>
    <w:p>
      <w:pPr/>
      <w:r>
        <w:rPr>
          <w:lang w:val="en_US" w:bidi="en_US"/>
        </w:rPr>
      </w:r>
      <w:r>
        <w:rPr>
          <w:lang w:val="en_US" w:bidi="en_US"/>
        </w:rPr>
        <w:t>There are parallel passages for this section in Mark 16:19–20 and Acts 1:9–11.</w:t>
      </w:r>
    </w:p>
    <w:p>
      <w:pPr>
        <w:pStyle w:val="Heading5"/>
      </w:pPr>
      <w:r>
        <w:rPr>
          <w:lang w:val="en_US" w:bidi="en_US"/>
        </w:rPr>
        <w:t>24:52a</w:t>
      </w:r>
    </w:p>
    <w:p>
      <w:pPr/>
      <w:r>
        <w:rPr>
          <w:lang w:val="en_US" w:bidi="en_US"/>
        </w:rPr>
      </w:r>
      <w:r>
        <w:rPr>
          <w:b/>
          <w:lang w:val="en_US" w:bidi="en_US"/>
        </w:rPr>
        <w:t>And they worshiped Him and</w:t>
      </w:r>
    </w:p>
    <w:p>
      <w:pPr>
        <w:pStyle w:val="ListBullet"/>
        <w:spacing w:line="240" w:lineRule="auto"/>
        <w:ind w:left="720"/>
      </w:pPr>
      <w:r>
        <w:rPr>
          <w:lang w:val="en_US" w:bidi="en_US"/>
        </w:rPr>
      </w:r>
      <w:r>
        <w:rPr>
          <w:lang w:val="en_US" w:bidi="en_US"/>
        </w:rPr>
        <w:t>Then they knelt and worshiped him.</w:t>
      </w:r>
    </w:p>
    <w:p>
      <w:pPr>
        <w:pStyle w:val="ListBullet"/>
        <w:spacing w:line="240" w:lineRule="auto"/>
        <w:ind w:left="720"/>
      </w:pPr>
      <w:r>
        <w:rPr>
          <w:lang w:val="en_US" w:bidi="en_US"/>
        </w:rPr>
      </w:r>
      <w:r>
        <w:rPr>
          <w:lang w:val="en_US" w:bidi="en_US"/>
        </w:rPr>
        <w:t>and Jesus’ followers bowed down, adoring/worshiping him.</w:t>
      </w:r>
    </w:p>
    <w:p>
      <w:pPr/>
      <w:r>
        <w:rPr>
          <w:lang w:val="en_US" w:bidi="en_US"/>
        </w:rPr>
      </w:r>
      <w:r>
        <w:rPr>
          <w:b/>
          <w:lang w:val="en_US" w:bidi="en_US"/>
        </w:rPr>
        <w:t>And they worshiped Him:</w:t>
      </w:r>
      <w:r>
        <w:rPr>
          <w:lang w:val="en_US" w:bidi="en_US"/>
        </w:rPr>
        <w:t xml:space="preserve"> </w:t>
      </w:r>
      <w:r>
        <w:rPr>
          <w:lang w:val="en_US" w:bidi="en_US"/>
        </w:rPr>
        <w:t>There is a textual issue here. Some Greek manuscripts omit the words “they worshiped him and.” The RSV and REB are the only English versions on TW that follow these manuscripts. The NRSV includes the words, as well as the BSB, NIV, GNT, NJB, NET, GW, NLT, CEV, NCV, KJV, NASB, ESV, and JBP. The Greek NT gives the inclusion of the words a B rating, indicating that the text is almost certain. It has early and strong manuscript support.</w:t>
      </w:r>
      <w:r>
        <w:rPr>
          <w:lang w:val="en_US" w:bidi="en_US"/>
        </w:rPr>
        <w:t xml:space="preserve"> In Greek this clause is more literally, “and they having worshiped him.” It indicates that before they returned to Jerusalem (24:52b), they worshiped Jesus. They probably worshiped him while they were receiving his blessing and as a result of seeing him ascend into heaven. They may also have worshiped him because Jesus had helped them understand what the Scriptures said about himself (24:45–49).</w:t>
      </w:r>
      <w:r>
        <w:rPr>
          <w:lang w:val="en_US" w:bidi="en_US"/>
        </w:rPr>
        <w:t>Marshall (p. 910) says, “The motif of an ascent leading to recognition of the divinity of the person involved is found in Hellenism…; see also Judges 13:20; Sirach 50:20–22, where the people bow in worship to receive the priestly blessing.” Bock (p. 1545–46) says, “Such worship is not surprising, given the exposition that has taken place and their increased understanding of Jesus’ role in God’s plan. It shows a key shift in the disciples’ appreciation of Jesus.”</w:t>
      </w:r>
    </w:p>
    <w:p>
      <w:pPr/>
      <w:r>
        <w:rPr>
          <w:lang w:val="en_US" w:bidi="en_US"/>
        </w:rPr>
      </w:r>
      <w:r>
        <w:rPr>
          <w:lang w:val="en_US" w:bidi="en_US"/>
        </w:rPr>
        <w:t>Some other ways to connect this action to 24:51 are:</w:t>
      </w:r>
    </w:p>
    <w:p>
      <w:pPr/>
      <w:r>
        <w:rPr>
          <w:lang w:val="en_US" w:bidi="en_US"/>
        </w:rPr>
      </w:r>
      <w:r>
        <w:rPr>
          <w:lang w:val="en_US" w:bidi="en_US"/>
        </w:rPr>
        <w:t>And they, after worshiping Him (NASB)</w:t>
      </w:r>
    </w:p>
    <w:p>
      <w:pPr/>
      <w:r>
        <w:rPr>
          <w:lang w:val="en_US" w:bidi="en_US"/>
        </w:rPr>
      </w:r>
      <w:r>
        <w:rPr>
          <w:lang w:val="en_US" w:bidi="en_US"/>
        </w:rPr>
        <w:t>The disciples worshiped him and (GW)</w:t>
      </w:r>
    </w:p>
    <w:p>
      <w:pPr/>
      <w:r>
        <w:rPr>
          <w:lang w:val="en_US" w:bidi="en_US"/>
        </w:rPr>
      </w:r>
      <w:r>
        <w:rPr>
          <w:lang w:val="en_US" w:bidi="en_US"/>
        </w:rPr>
        <w:t>So they worshiped him and (NET)</w:t>
      </w:r>
    </w:p>
    <w:p>
      <w:pPr/>
      <w:r>
        <w:rPr>
          <w:lang w:val="en_US" w:bidi="en_US"/>
        </w:rPr>
      </w:r>
      <w:r>
        <w:rPr>
          <w:b/>
          <w:lang w:val="en_US" w:bidi="en_US"/>
        </w:rPr>
        <w:t>they worshiped Him:</w:t>
      </w:r>
      <w:r>
        <w:rPr>
          <w:lang w:val="en_US" w:bidi="en_US"/>
        </w:rPr>
        <w:t xml:space="preserve"> The Greek word that the BSB translates as </w:t>
      </w:r>
      <w:r>
        <w:rPr>
          <w:i/>
          <w:lang w:val="en_US" w:bidi="en_US"/>
        </w:rPr>
        <w:t>worshiped</w:t>
      </w:r>
      <w:r>
        <w:rPr>
          <w:lang w:val="en_US" w:bidi="en_US"/>
        </w:rPr>
        <w:t xml:space="preserve"> refers to bowing, kneeling, or lying prostrate to worship and adore someone. It is a way to express reverence and respect. Some ways to translate this are:</w:t>
      </w:r>
    </w:p>
    <w:p>
      <w:pPr>
        <w:pStyle w:val="ListBullet"/>
        <w:spacing w:line="240" w:lineRule="auto"/>
        <w:ind w:left="720"/>
      </w:pPr>
      <w:r>
        <w:rPr>
          <w:lang w:val="en_US" w:bidi="en_US"/>
        </w:rPr>
      </w:r>
      <w:r>
        <w:rPr>
          <w:lang w:val="en_US" w:bidi="en_US"/>
        </w:rPr>
        <w:t>Translate the meaning, along with the bodily position that is appropriate in your language. For example:</w:t>
      </w:r>
      <w:r>
        <w:rPr>
          <w:lang w:val="en_US" w:bidi="en_US"/>
        </w:rPr>
        <w:t>They knelt and worshiped him</w:t>
      </w:r>
      <w:r>
        <w:rPr>
          <w:lang w:val="en_US" w:bidi="en_US"/>
        </w:rPr>
        <w:t>They prostrated themselves in worship/adoration</w:t>
      </w:r>
    </w:p>
    <w:p>
      <w:pPr>
        <w:pStyle w:val="ListBullet"/>
        <w:spacing w:line="240" w:lineRule="auto"/>
        <w:ind w:left="720"/>
      </w:pPr>
      <w:r>
        <w:rPr>
          <w:lang w:val="en_US" w:bidi="en_US"/>
        </w:rPr>
      </w:r>
      <w:r>
        <w:rPr>
          <w:lang w:val="en_US" w:bidi="en_US"/>
        </w:rPr>
        <w:t>Translate the meaning without specifying the bodily position. For example:</w:t>
      </w:r>
      <w:r>
        <w:rPr>
          <w:lang w:val="en_US" w:bidi="en_US"/>
        </w:rPr>
        <w:t>they adored/worshiped him</w:t>
      </w:r>
    </w:p>
    <w:p>
      <w:pPr/>
      <w:r>
        <w:rPr>
          <w:lang w:val="en_US" w:bidi="en_US"/>
        </w:rPr>
      </w:r>
      <w:r>
        <w:rPr>
          <w:lang w:val="en_US" w:bidi="en_US"/>
        </w:rPr>
        <w:t>Translate the action in a natural way in your language.</w:t>
      </w:r>
    </w:p>
    <w:p>
      <w:pPr>
        <w:pStyle w:val="Heading5"/>
      </w:pPr>
      <w:r>
        <w:rPr>
          <w:lang w:val="en_US" w:bidi="en_US"/>
        </w:rPr>
        <w:t>24:52b</w:t>
      </w:r>
    </w:p>
    <w:p>
      <w:pPr/>
      <w:r>
        <w:rPr>
          <w:lang w:val="en_US" w:bidi="en_US"/>
        </w:rPr>
      </w:r>
      <w:r>
        <w:rPr>
          <w:b/>
          <w:lang w:val="en_US" w:bidi="en_US"/>
        </w:rPr>
        <w:t>returned to Jerusalem with great joy,</w:t>
      </w:r>
    </w:p>
    <w:p>
      <w:pPr>
        <w:pStyle w:val="ListBullet"/>
        <w:spacing w:line="240" w:lineRule="auto"/>
        <w:ind w:left="720"/>
      </w:pPr>
      <w:r>
        <w:rPr>
          <w:lang w:val="en_US" w:bidi="en_US"/>
        </w:rPr>
      </w:r>
      <w:r>
        <w:rPr>
          <w:lang w:val="en_US" w:bidi="en_US"/>
        </w:rPr>
        <w:t>Then with great joy/gladness they returned to Jerusalem.</w:t>
      </w:r>
    </w:p>
    <w:p>
      <w:pPr>
        <w:pStyle w:val="ListBullet"/>
        <w:spacing w:line="240" w:lineRule="auto"/>
        <w:ind w:left="720"/>
      </w:pPr>
      <w:r>
        <w:rPr>
          <w:lang w:val="en_US" w:bidi="en_US"/>
        </w:rPr>
      </w:r>
      <w:r>
        <w:rPr>
          <w:lang w:val="en_US" w:bidi="en_US"/>
        </w:rPr>
        <w:t xml:space="preserve">After that, they went back to </w:t>
      </w:r>
      <w:r>
        <w:rPr>
          <w:lang w:val="en_US" w:bidi="en_US"/>
        </w:rPr>
        <w:t>the city of</w:t>
      </w:r>
      <w:r>
        <w:rPr>
          <w:lang w:val="en_US" w:bidi="en_US"/>
        </w:rPr>
        <w:t xml:space="preserve"> Jerusalem, rejoicing greatly,</w:t>
      </w:r>
    </w:p>
    <w:p>
      <w:pPr/>
      <w:r>
        <w:rPr>
          <w:lang w:val="en_US" w:bidi="en_US"/>
        </w:rPr>
      </w:r>
      <w:r>
        <w:rPr>
          <w:b/>
          <w:lang w:val="en_US" w:bidi="en_US"/>
        </w:rPr>
        <w:t>and returned to Jerusalem with great joy:</w:t>
      </w:r>
      <w:r>
        <w:rPr>
          <w:lang w:val="en_US" w:bidi="en_US"/>
        </w:rPr>
        <w:t xml:space="preserve"> This clause indicates that as the disciples returned to Jerusalem, they were very joyful. It implies that this joy was because of Jesus. They now knew that Jesus was really alive and had gone to God in heaven. They also believed his promise about giving them the power of the Holy Spirit to be his witnesses.</w:t>
      </w:r>
    </w:p>
    <w:p>
      <w:pPr/>
      <w:r>
        <w:rPr>
          <w:lang w:val="en_US" w:bidi="en_US"/>
        </w:rPr>
      </w:r>
      <w:r>
        <w:rPr>
          <w:lang w:val="en_US" w:bidi="en_US"/>
        </w:rPr>
        <w:t>Some other ways to translate this clause are:</w:t>
      </w:r>
    </w:p>
    <w:p>
      <w:pPr/>
      <w:r>
        <w:rPr>
          <w:lang w:val="en_US" w:bidi="en_US"/>
        </w:rPr>
      </w:r>
      <w:r>
        <w:rPr>
          <w:lang w:val="en_US" w:bidi="en_US"/>
        </w:rPr>
        <w:t>and returned to Jerusalem very happy (NCV)</w:t>
      </w:r>
    </w:p>
    <w:p>
      <w:pPr/>
      <w:r>
        <w:rPr>
          <w:lang w:val="en_US" w:bidi="en_US"/>
        </w:rPr>
      </w:r>
      <w:r>
        <w:rPr>
          <w:lang w:val="en_US" w:bidi="en_US"/>
        </w:rPr>
        <w:t>and they were full of joy as they returned to Jerusalem</w:t>
      </w:r>
    </w:p>
    <w:p>
      <w:pPr/>
      <w:r>
        <w:rPr>
          <w:lang w:val="en_US" w:bidi="en_US"/>
        </w:rPr>
      </w:r>
      <w:r>
        <w:rPr>
          <w:b/>
          <w:lang w:val="en_US" w:bidi="en_US"/>
        </w:rPr>
        <w:t>with great joy:</w:t>
      </w:r>
      <w:r>
        <w:rPr>
          <w:lang w:val="en_US" w:bidi="en_US"/>
        </w:rPr>
        <w:t xml:space="preserve"> The phrase </w:t>
      </w:r>
      <w:r>
        <w:rPr>
          <w:i/>
          <w:lang w:val="en_US" w:bidi="en_US"/>
        </w:rPr>
        <w:t>with great joy</w:t>
      </w:r>
      <w:r>
        <w:rPr>
          <w:lang w:val="en_US" w:bidi="en_US"/>
        </w:rPr>
        <w:t xml:space="preserve"> refers to being extremely joyful and happy. In some languages there may be an idiom to refer to this type of </w:t>
      </w:r>
      <w:r>
        <w:rPr>
          <w:i/>
          <w:lang w:val="en_US" w:bidi="en_US"/>
        </w:rPr>
        <w:t>great joy</w:t>
      </w:r>
      <w:r>
        <w:rPr>
          <w:lang w:val="en_US" w:bidi="en_US"/>
        </w:rPr>
        <w:t>. For example:</w:t>
      </w:r>
    </w:p>
    <w:p>
      <w:pPr/>
      <w:r>
        <w:rPr>
          <w:lang w:val="en_US" w:bidi="en_US"/>
        </w:rPr>
      </w:r>
      <w:r>
        <w:rPr>
          <w:lang w:val="en_US" w:bidi="en_US"/>
        </w:rPr>
        <w:t>full of joy</w:t>
      </w:r>
    </w:p>
    <w:p>
      <w:pPr/>
      <w:r>
        <w:rPr>
          <w:lang w:val="en_US" w:bidi="en_US"/>
        </w:rPr>
      </w:r>
      <w:r>
        <w:rPr>
          <w:lang w:val="en_US" w:bidi="en_US"/>
        </w:rPr>
        <w:t>overjoyed</w:t>
      </w:r>
    </w:p>
    <w:p>
      <w:pPr/>
      <w:r>
        <w:rPr>
          <w:lang w:val="en_US" w:bidi="en_US"/>
        </w:rPr>
      </w:r>
      <w:r>
        <w:rPr>
          <w:lang w:val="en_US" w:bidi="en_US"/>
        </w:rPr>
        <w:t>filled with great happiness/gladness</w:t>
      </w:r>
    </w:p>
    <w:p>
      <w:pPr/>
      <w:r>
        <w:rPr>
          <w:lang w:val="en_US" w:bidi="en_US"/>
        </w:rPr>
      </w:r>
      <w:r>
        <w:rPr>
          <w:lang w:val="en_US" w:bidi="en_US"/>
        </w:rPr>
        <w:t>Describe this joy in a natural way in your language.</w:t>
      </w:r>
      <w:r>
        <w:rPr>
          <w:lang w:val="en_US" w:bidi="en_US"/>
        </w:rPr>
      </w:r>
      <w:r>
        <w:rPr>
          <w:lang w:val="en_US" w:bidi="en_US"/>
        </w:rPr>
      </w:r>
    </w:p>
    <w:p>
      <w:pPr/>
      <w:r>
        <w:rPr>
          <w:lang w:val="en_US" w:bidi="en_US"/>
        </w:rPr>
      </w:r>
    </w:p>
    <w:p>
      <w:pPr>
        <w:pStyle w:val="Heading2"/>
      </w:pPr>
      <w:r>
        <w:rPr>
          <w:lang w:val="en_US" w:bidi="en_US"/>
        </w:rPr>
        <w:t>Luke 24:53</w:t>
      </w:r>
      <w:r>
        <w:rPr>
          <w:lang w:val="en_US" w:bidi="en_US"/>
        </w:rPr>
      </w:r>
    </w:p>
    <w:p>
      <w:pPr>
        <w:pStyle w:val="Heading4"/>
      </w:pPr>
      <w:r>
        <w:rPr>
          <w:lang w:val="en_US" w:bidi="en_US"/>
        </w:rPr>
        <w:t>Section 24:50–53: Jesus went up to heaven</w:t>
      </w:r>
    </w:p>
    <w:p>
      <w:pPr/>
      <w:r>
        <w:rPr>
          <w:lang w:val="en_US" w:bidi="en_US"/>
        </w:rPr>
      </w:r>
      <w:r>
        <w:rPr>
          <w:lang w:val="en_US" w:bidi="en_US"/>
        </w:rPr>
        <w:t>In this section Jesus blessed his followers, and then God took him up to heaven. This happened forty days after Jesus became alive again. Luke wrote about this same event in Acts 1:9–11.</w:t>
      </w:r>
    </w:p>
    <w:p>
      <w:pPr/>
      <w:r>
        <w:rPr>
          <w:lang w:val="en_US" w:bidi="en_US"/>
        </w:rPr>
      </w:r>
      <w:r>
        <w:rPr>
          <w:lang w:val="en_US" w:bidi="en_US"/>
        </w:rPr>
        <w:t>Some examples of other headings for this section are:</w:t>
      </w:r>
    </w:p>
    <w:p>
      <w:pPr/>
      <w:r>
        <w:rPr>
          <w:lang w:val="en_US" w:bidi="en_US"/>
        </w:rPr>
      </w:r>
      <w:r>
        <w:rPr>
          <w:lang w:val="en_US" w:bidi="en_US"/>
        </w:rPr>
        <w:t>Jesus Returns to Heaven (CEV)</w:t>
      </w:r>
    </w:p>
    <w:p>
      <w:pPr/>
      <w:r>
        <w:rPr>
          <w:lang w:val="en_US" w:bidi="en_US"/>
        </w:rPr>
      </w:r>
      <w:r>
        <w:rPr>
          <w:lang w:val="en_US" w:bidi="en_US"/>
        </w:rPr>
        <w:t>Jesus Is Taken Up to Heaven (GNT)</w:t>
      </w:r>
    </w:p>
    <w:p>
      <w:pPr/>
      <w:r>
        <w:rPr>
          <w:lang w:val="en_US" w:bidi="en_US"/>
        </w:rPr>
      </w:r>
      <w:r>
        <w:rPr>
          <w:lang w:val="en_US" w:bidi="en_US"/>
        </w:rPr>
        <w:t>The Ascension (NLT)</w:t>
      </w:r>
    </w:p>
    <w:p>
      <w:pPr/>
      <w:r>
        <w:rPr>
          <w:lang w:val="en_US" w:bidi="en_US"/>
        </w:rPr>
      </w:r>
      <w:r>
        <w:rPr>
          <w:lang w:val="en_US" w:bidi="en_US"/>
        </w:rPr>
        <w:t>There are parallel passages for this section in Mark 16:19–20 and Acts 1:9–11.</w:t>
      </w:r>
    </w:p>
    <w:p>
      <w:pPr>
        <w:pStyle w:val="Heading5"/>
      </w:pPr>
      <w:r>
        <w:rPr>
          <w:lang w:val="en_US" w:bidi="en_US"/>
        </w:rPr>
        <w:t>24:53</w:t>
      </w:r>
    </w:p>
    <w:p>
      <w:pPr/>
      <w:r>
        <w:rPr>
          <w:lang w:val="en_US" w:bidi="en_US"/>
        </w:rPr>
      </w:r>
      <w:r>
        <w:rPr>
          <w:b/>
          <w:lang w:val="en_US" w:bidi="en_US"/>
        </w:rPr>
        <w:t>praising God continually in the temple.</w:t>
      </w:r>
    </w:p>
    <w:p>
      <w:pPr>
        <w:pStyle w:val="ListBullet"/>
        <w:spacing w:line="240" w:lineRule="auto"/>
        <w:ind w:left="720"/>
      </w:pPr>
      <w:r>
        <w:rPr>
          <w:lang w:val="en_US" w:bidi="en_US"/>
        </w:rPr>
      </w:r>
      <w:r>
        <w:rPr>
          <w:lang w:val="en_US" w:bidi="en_US"/>
        </w:rPr>
        <w:t>There they continually went to the temple to praise/thank God.</w:t>
      </w:r>
    </w:p>
    <w:p>
      <w:pPr>
        <w:pStyle w:val="ListBullet"/>
        <w:spacing w:line="240" w:lineRule="auto"/>
        <w:ind w:left="720"/>
      </w:pPr>
      <w:r>
        <w:rPr>
          <w:lang w:val="en_US" w:bidi="en_US"/>
        </w:rPr>
      </w:r>
      <w:r>
        <w:rPr>
          <w:lang w:val="en_US" w:bidi="en_US"/>
        </w:rPr>
        <w:t xml:space="preserve">and every </w:t>
      </w:r>
      <w:r>
        <w:rPr>
          <w:lang w:val="en_US" w:bidi="en_US"/>
        </w:rPr>
        <w:t>day</w:t>
      </w:r>
      <w:r>
        <w:rPr>
          <w:lang w:val="en_US" w:bidi="en_US"/>
        </w:rPr>
        <w:t xml:space="preserve"> they praised God in the temple area.</w:t>
      </w:r>
    </w:p>
    <w:p>
      <w:pPr/>
      <w:r>
        <w:rPr>
          <w:lang w:val="en_US" w:bidi="en_US"/>
        </w:rPr>
      </w:r>
      <w:r>
        <w:rPr>
          <w:b/>
          <w:lang w:val="en_US" w:bidi="en_US"/>
        </w:rPr>
        <w:t>praising God continually in the temple:</w:t>
      </w:r>
      <w:r>
        <w:rPr>
          <w:lang w:val="en_US" w:bidi="en_US"/>
        </w:rPr>
        <w:t xml:space="preserve"> This clause indicates that Jesus’ followers were in the temple area very often. They probably came every day and attended all of the meetings when Jews who were in Jerusalem normally came together to worship God. The clause does not mean that they never left the temple area at all.</w:t>
      </w:r>
    </w:p>
    <w:p>
      <w:pPr/>
      <w:r>
        <w:rPr>
          <w:lang w:val="en_US" w:bidi="en_US"/>
        </w:rPr>
      </w:r>
      <w:r>
        <w:rPr>
          <w:lang w:val="en_US" w:bidi="en_US"/>
        </w:rPr>
        <w:t>Some other ways to translate the clause are:</w:t>
      </w:r>
    </w:p>
    <w:p>
      <w:pPr/>
      <w:r>
        <w:rPr>
          <w:lang w:val="en_US" w:bidi="en_US"/>
        </w:rPr>
      </w:r>
      <w:r>
        <w:rPr>
          <w:lang w:val="en_US" w:bidi="en_US"/>
        </w:rPr>
        <w:t>They went to the temple regularly/continually</w:t>
      </w:r>
    </w:p>
    <w:p>
      <w:pPr/>
      <w:r>
        <w:rPr>
          <w:lang w:val="en_US" w:bidi="en_US"/>
        </w:rPr>
      </w:r>
      <w:r>
        <w:rPr>
          <w:lang w:val="en_US" w:bidi="en_US"/>
        </w:rPr>
        <w:t>And they spent much of their time in the temple area (TRT)</w:t>
      </w:r>
    </w:p>
    <w:p>
      <w:pPr/>
      <w:r>
        <w:rPr>
          <w:lang w:val="en_US" w:bidi="en_US"/>
        </w:rPr>
      </w:r>
      <w:r>
        <w:rPr>
          <w:b/>
          <w:lang w:val="en_US" w:bidi="en_US"/>
        </w:rPr>
        <w:t>praising God:</w:t>
      </w:r>
      <w:r>
        <w:rPr>
          <w:lang w:val="en_US" w:bidi="en_US"/>
        </w:rPr>
        <w:t xml:space="preserve"> The Greek word that the BSB translates as </w:t>
      </w:r>
      <w:r>
        <w:rPr>
          <w:i/>
          <w:lang w:val="en_US" w:bidi="en_US"/>
        </w:rPr>
        <w:t>praising</w:t>
      </w:r>
      <w:r>
        <w:rPr>
          <w:lang w:val="en_US" w:bidi="en_US"/>
        </w:rPr>
        <w:t xml:space="preserve"> is literally “blessing,” as in the RSV. In this context the phrase “blessing God” indicates that Jesus’ followers were expressing gratitude and praise to God. Some other ways to translate the phrase are:</w:t>
      </w:r>
    </w:p>
    <w:p>
      <w:pPr/>
      <w:r>
        <w:rPr>
          <w:lang w:val="en_US" w:bidi="en_US"/>
        </w:rPr>
      </w:r>
      <w:r>
        <w:rPr>
          <w:lang w:val="en_US" w:bidi="en_US"/>
        </w:rPr>
        <w:t>giving thanks to God (GNT)</w:t>
      </w:r>
    </w:p>
    <w:p>
      <w:pPr/>
      <w:r>
        <w:rPr>
          <w:lang w:val="en_US" w:bidi="en_US"/>
        </w:rPr>
      </w:r>
      <w:r>
        <w:rPr>
          <w:lang w:val="en_US" w:bidi="en_US"/>
        </w:rPr>
        <w:t>where they praised God (GW)</w:t>
      </w:r>
    </w:p>
    <w:p>
      <w:pPr/>
      <w:r>
        <w:rPr>
          <w:lang w:val="en_US" w:bidi="en_US"/>
        </w:rPr>
      </w:r>
      <w:r>
        <w:rPr>
          <w:lang w:val="en_US" w:bidi="en_US"/>
        </w:rPr>
        <w:t>For more information, see bless, Meaning 4, in the Glossary.</w:t>
      </w:r>
    </w:p>
    <w:p>
      <w:pPr/>
      <w:r>
        <w:rPr>
          <w:lang w:val="en_US" w:bidi="en_US"/>
        </w:rPr>
      </w:r>
      <w:r>
        <w:rPr>
          <w:b/>
          <w:lang w:val="en_US" w:bidi="en_US"/>
        </w:rPr>
        <w:t>temple:</w:t>
      </w:r>
      <w:r>
        <w:rPr>
          <w:lang w:val="en_US" w:bidi="en_US"/>
        </w:rPr>
        <w:t xml:space="preserve"> The word </w:t>
      </w:r>
      <w:r>
        <w:rPr>
          <w:i/>
          <w:lang w:val="en_US" w:bidi="en_US"/>
        </w:rPr>
        <w:t>temple</w:t>
      </w:r>
      <w:r>
        <w:rPr>
          <w:lang w:val="en_US" w:bidi="en_US"/>
        </w:rPr>
        <w:t xml:space="preserve"> refers to the temple building and the courtyards that surrounded it. For more information and translation advice, see the note at 18:10a. See also temple, Meaning 1, in the Glossary.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 w:numId="212">
    <w:abstractNumId w:val="3"/>
    <w:lvlOverride w:ilvl="0">
      <w:startOverride w:val="1"/>
    </w:lvlOverride>
  </w:num>
  <w:num w:numId="213">
    <w:abstractNumId w:val="3"/>
    <w:lvlOverride w:ilvl="0">
      <w:startOverride w:val="1"/>
    </w:lvlOverride>
  </w:num>
  <w:num w:numId="214">
    <w:abstractNumId w:val="3"/>
    <w:lvlOverride w:ilvl="0">
      <w:startOverride w:val="1"/>
    </w:lvlOverride>
  </w:num>
  <w:num w:numId="215">
    <w:abstractNumId w:val="3"/>
    <w:lvlOverride w:ilvl="0">
      <w:startOverride w:val="1"/>
    </w:lvlOverride>
  </w:num>
  <w:num w:numId="216">
    <w:abstractNumId w:val="3"/>
    <w:lvlOverride w:ilvl="0">
      <w:startOverride w:val="1"/>
    </w:lvlOverride>
  </w:num>
  <w:num w:numId="217">
    <w:abstractNumId w:val="3"/>
    <w:lvlOverride w:ilvl="0">
      <w:startOverride w:val="1"/>
    </w:lvlOverride>
  </w:num>
  <w:num w:numId="218">
    <w:abstractNumId w:val="3"/>
    <w:lvlOverride w:ilvl="0">
      <w:startOverride w:val="1"/>
    </w:lvlOverride>
  </w:num>
  <w:num w:numId="219">
    <w:abstractNumId w:val="3"/>
    <w:lvlOverride w:ilvl="0">
      <w:startOverride w:val="1"/>
    </w:lvlOverride>
  </w:num>
  <w:num w:numId="220">
    <w:abstractNumId w:val="3"/>
    <w:lvlOverride w:ilvl="0">
      <w:startOverride w:val="1"/>
    </w:lvlOverride>
  </w:num>
  <w:num w:numId="221">
    <w:abstractNumId w:val="3"/>
    <w:lvlOverride w:ilvl="0">
      <w:startOverride w:val="1"/>
    </w:lvlOverride>
  </w:num>
  <w:num w:numId="222">
    <w:abstractNumId w:val="3"/>
    <w:lvlOverride w:ilvl="0">
      <w:startOverride w:val="1"/>
    </w:lvlOverride>
  </w:num>
  <w:num w:numId="223">
    <w:abstractNumId w:val="3"/>
    <w:lvlOverride w:ilvl="0">
      <w:startOverride w:val="1"/>
    </w:lvlOverride>
  </w:num>
  <w:num w:numId="224">
    <w:abstractNumId w:val="3"/>
    <w:lvlOverride w:ilvl="0">
      <w:startOverride w:val="1"/>
    </w:lvlOverride>
  </w:num>
  <w:num w:numId="225">
    <w:abstractNumId w:val="3"/>
    <w:lvlOverride w:ilvl="0">
      <w:startOverride w:val="1"/>
    </w:lvlOverride>
  </w:num>
  <w:num w:numId="226">
    <w:abstractNumId w:val="3"/>
    <w:lvlOverride w:ilvl="0">
      <w:startOverride w:val="1"/>
    </w:lvlOverride>
  </w:num>
  <w:num w:numId="227">
    <w:abstractNumId w:val="3"/>
    <w:lvlOverride w:ilvl="0">
      <w:startOverride w:val="1"/>
    </w:lvlOverride>
  </w:num>
  <w:num w:numId="228">
    <w:abstractNumId w:val="3"/>
    <w:lvlOverride w:ilvl="0">
      <w:startOverride w:val="1"/>
    </w:lvlOverride>
  </w:num>
  <w:num w:numId="229">
    <w:abstractNumId w:val="3"/>
    <w:lvlOverride w:ilvl="0">
      <w:startOverride w:val="1"/>
    </w:lvlOverride>
  </w:num>
  <w:num w:numId="230">
    <w:abstractNumId w:val="3"/>
    <w:lvlOverride w:ilvl="0">
      <w:startOverride w:val="1"/>
    </w:lvlOverride>
  </w:num>
  <w:num w:numId="231">
    <w:abstractNumId w:val="3"/>
    <w:lvlOverride w:ilvl="0">
      <w:startOverride w:val="1"/>
    </w:lvlOverride>
  </w:num>
  <w:num w:numId="232">
    <w:abstractNumId w:val="3"/>
    <w:lvlOverride w:ilvl="0">
      <w:startOverride w:val="1"/>
    </w:lvlOverride>
  </w:num>
  <w:num w:numId="233">
    <w:abstractNumId w:val="3"/>
    <w:lvlOverride w:ilvl="0">
      <w:startOverride w:val="1"/>
    </w:lvlOverride>
  </w:num>
  <w:num w:numId="234">
    <w:abstractNumId w:val="3"/>
    <w:lvlOverride w:ilvl="0">
      <w:startOverride w:val="1"/>
    </w:lvlOverride>
  </w:num>
  <w:num w:numId="235">
    <w:abstractNumId w:val="3"/>
    <w:lvlOverride w:ilvl="0">
      <w:startOverride w:val="1"/>
    </w:lvlOverride>
  </w:num>
  <w:num w:numId="236">
    <w:abstractNumId w:val="3"/>
    <w:lvlOverride w:ilvl="0">
      <w:startOverride w:val="1"/>
    </w:lvlOverride>
  </w:num>
  <w:num w:numId="237">
    <w:abstractNumId w:val="3"/>
    <w:lvlOverride w:ilvl="0">
      <w:startOverride w:val="1"/>
    </w:lvlOverride>
  </w:num>
  <w:num w:numId="238">
    <w:abstractNumId w:val="3"/>
    <w:lvlOverride w:ilvl="0">
      <w:startOverride w:val="1"/>
    </w:lvlOverride>
  </w:num>
  <w:num w:numId="239">
    <w:abstractNumId w:val="3"/>
    <w:lvlOverride w:ilvl="0">
      <w:startOverride w:val="1"/>
    </w:lvlOverride>
  </w:num>
  <w:num w:numId="240">
    <w:abstractNumId w:val="3"/>
    <w:lvlOverride w:ilvl="0">
      <w:startOverride w:val="1"/>
    </w:lvlOverride>
  </w:num>
  <w:num w:numId="241">
    <w:abstractNumId w:val="3"/>
    <w:lvlOverride w:ilvl="0">
      <w:startOverride w:val="1"/>
    </w:lvlOverride>
  </w:num>
  <w:num w:numId="242">
    <w:abstractNumId w:val="3"/>
    <w:lvlOverride w:ilvl="0">
      <w:startOverride w:val="1"/>
    </w:lvlOverride>
  </w:num>
  <w:num w:numId="243">
    <w:abstractNumId w:val="3"/>
    <w:lvlOverride w:ilvl="0">
      <w:startOverride w:val="1"/>
    </w:lvlOverride>
  </w:num>
  <w:num w:numId="244">
    <w:abstractNumId w:val="3"/>
    <w:lvlOverride w:ilvl="0">
      <w:startOverride w:val="1"/>
    </w:lvlOverride>
  </w:num>
  <w:num w:numId="245">
    <w:abstractNumId w:val="3"/>
    <w:lvlOverride w:ilvl="0">
      <w:startOverride w:val="1"/>
    </w:lvlOverride>
  </w:num>
  <w:num w:numId="246">
    <w:abstractNumId w:val="3"/>
    <w:lvlOverride w:ilvl="0">
      <w:startOverride w:val="1"/>
    </w:lvlOverride>
  </w:num>
  <w:num w:numId="247">
    <w:abstractNumId w:val="3"/>
    <w:lvlOverride w:ilvl="0">
      <w:startOverride w:val="1"/>
    </w:lvlOverride>
  </w:num>
  <w:num w:numId="248">
    <w:abstractNumId w:val="3"/>
    <w:lvlOverride w:ilvl="0">
      <w:startOverride w:val="1"/>
    </w:lvlOverride>
  </w:num>
  <w:num w:numId="249">
    <w:abstractNumId w:val="3"/>
    <w:lvlOverride w:ilvl="0">
      <w:startOverride w:val="1"/>
    </w:lvlOverride>
  </w:num>
  <w:num w:numId="250">
    <w:abstractNumId w:val="3"/>
    <w:lvlOverride w:ilvl="0">
      <w:startOverride w:val="1"/>
    </w:lvlOverride>
  </w:num>
  <w:num w:numId="251">
    <w:abstractNumId w:val="3"/>
    <w:lvlOverride w:ilvl="0">
      <w:startOverride w:val="1"/>
    </w:lvlOverride>
  </w:num>
  <w:num w:numId="252">
    <w:abstractNumId w:val="3"/>
    <w:lvlOverride w:ilvl="0">
      <w:startOverride w:val="1"/>
    </w:lvlOverride>
  </w:num>
  <w:num w:numId="253">
    <w:abstractNumId w:val="3"/>
    <w:lvlOverride w:ilvl="0">
      <w:startOverride w:val="1"/>
    </w:lvlOverride>
  </w:num>
  <w:num w:numId="254">
    <w:abstractNumId w:val="3"/>
    <w:lvlOverride w:ilvl="0">
      <w:startOverride w:val="1"/>
    </w:lvlOverride>
  </w:num>
  <w:num w:numId="255">
    <w:abstractNumId w:val="3"/>
    <w:lvlOverride w:ilvl="0">
      <w:startOverride w:val="1"/>
    </w:lvlOverride>
  </w:num>
  <w:num w:numId="256">
    <w:abstractNumId w:val="3"/>
    <w:lvlOverride w:ilvl="0">
      <w:startOverride w:val="1"/>
    </w:lvlOverride>
  </w:num>
  <w:num w:numId="257">
    <w:abstractNumId w:val="3"/>
    <w:lvlOverride w:ilvl="0">
      <w:startOverride w:val="1"/>
    </w:lvlOverride>
  </w:num>
  <w:num w:numId="258">
    <w:abstractNumId w:val="3"/>
    <w:lvlOverride w:ilvl="0">
      <w:startOverride w:val="1"/>
    </w:lvlOverride>
  </w:num>
  <w:num w:numId="259">
    <w:abstractNumId w:val="3"/>
    <w:lvlOverride w:ilvl="0">
      <w:startOverride w:val="1"/>
    </w:lvlOverride>
  </w:num>
  <w:num w:numId="260">
    <w:abstractNumId w:val="3"/>
    <w:lvlOverride w:ilvl="0">
      <w:startOverride w:val="1"/>
    </w:lvlOverride>
  </w:num>
  <w:num w:numId="261">
    <w:abstractNumId w:val="3"/>
    <w:lvlOverride w:ilvl="0">
      <w:startOverride w:val="1"/>
    </w:lvlOverride>
  </w:num>
  <w:num w:numId="262">
    <w:abstractNumId w:val="3"/>
    <w:lvlOverride w:ilvl="0">
      <w:startOverride w:val="1"/>
    </w:lvlOverride>
  </w:num>
  <w:num w:numId="263">
    <w:abstractNumId w:val="3"/>
    <w:lvlOverride w:ilvl="0">
      <w:startOverride w:val="1"/>
    </w:lvlOverride>
  </w:num>
  <w:num w:numId="264">
    <w:abstractNumId w:val="3"/>
    <w:lvlOverride w:ilvl="0">
      <w:startOverride w:val="1"/>
    </w:lvlOverride>
  </w:num>
  <w:num w:numId="265">
    <w:abstractNumId w:val="3"/>
    <w:lvlOverride w:ilvl="0">
      <w:startOverride w:val="1"/>
    </w:lvlOverride>
  </w:num>
  <w:num w:numId="266">
    <w:abstractNumId w:val="3"/>
    <w:lvlOverride w:ilvl="0">
      <w:startOverride w:val="1"/>
    </w:lvlOverride>
  </w:num>
  <w:num w:numId="267">
    <w:abstractNumId w:val="3"/>
    <w:lvlOverride w:ilvl="0">
      <w:startOverride w:val="1"/>
    </w:lvlOverride>
  </w:num>
  <w:num w:numId="268">
    <w:abstractNumId w:val="3"/>
    <w:lvlOverride w:ilvl="0">
      <w:startOverride w:val="1"/>
    </w:lvlOverride>
  </w:num>
  <w:num w:numId="269">
    <w:abstractNumId w:val="3"/>
    <w:lvlOverride w:ilvl="0">
      <w:startOverride w:val="1"/>
    </w:lvlOverride>
  </w:num>
  <w:num w:numId="270">
    <w:abstractNumId w:val="3"/>
    <w:lvlOverride w:ilvl="0">
      <w:startOverride w:val="1"/>
    </w:lvlOverride>
  </w:num>
  <w:num w:numId="271">
    <w:abstractNumId w:val="3"/>
    <w:lvlOverride w:ilvl="0">
      <w:startOverride w:val="1"/>
    </w:lvlOverride>
  </w:num>
  <w:num w:numId="272">
    <w:abstractNumId w:val="3"/>
    <w:lvlOverride w:ilvl="0">
      <w:startOverride w:val="1"/>
    </w:lvlOverride>
  </w:num>
  <w:num w:numId="273">
    <w:abstractNumId w:val="3"/>
    <w:lvlOverride w:ilvl="0">
      <w:startOverride w:val="1"/>
    </w:lvlOverride>
  </w:num>
  <w:num w:numId="274">
    <w:abstractNumId w:val="3"/>
    <w:lvlOverride w:ilvl="0">
      <w:startOverride w:val="1"/>
    </w:lvlOverride>
  </w:num>
  <w:num w:numId="275">
    <w:abstractNumId w:val="3"/>
    <w:lvlOverride w:ilvl="0">
      <w:startOverride w:val="1"/>
    </w:lvlOverride>
  </w:num>
  <w:num w:numId="276">
    <w:abstractNumId w:val="3"/>
    <w:lvlOverride w:ilvl="0">
      <w:startOverride w:val="1"/>
    </w:lvlOverride>
  </w:num>
  <w:num w:numId="277">
    <w:abstractNumId w:val="3"/>
    <w:lvlOverride w:ilvl="0">
      <w:startOverride w:val="1"/>
    </w:lvlOverride>
  </w:num>
  <w:num w:numId="278">
    <w:abstractNumId w:val="3"/>
    <w:lvlOverride w:ilvl="0">
      <w:startOverride w:val="1"/>
    </w:lvlOverride>
  </w:num>
  <w:num w:numId="279">
    <w:abstractNumId w:val="3"/>
    <w:lvlOverride w:ilvl="0">
      <w:startOverride w:val="1"/>
    </w:lvlOverride>
  </w:num>
  <w:num w:numId="280">
    <w:abstractNumId w:val="3"/>
    <w:lvlOverride w:ilvl="0">
      <w:startOverride w:val="1"/>
    </w:lvlOverride>
  </w:num>
  <w:num w:numId="281">
    <w:abstractNumId w:val="3"/>
    <w:lvlOverride w:ilvl="0">
      <w:startOverride w:val="1"/>
    </w:lvlOverride>
  </w:num>
  <w:num w:numId="282">
    <w:abstractNumId w:val="3"/>
    <w:lvlOverride w:ilvl="0">
      <w:startOverride w:val="1"/>
    </w:lvlOverride>
  </w:num>
  <w:num w:numId="283">
    <w:abstractNumId w:val="3"/>
    <w:lvlOverride w:ilvl="0">
      <w:startOverride w:val="1"/>
    </w:lvlOverride>
  </w:num>
  <w:num w:numId="284">
    <w:abstractNumId w:val="3"/>
    <w:lvlOverride w:ilvl="0">
      <w:startOverride w:val="1"/>
    </w:lvlOverride>
  </w:num>
  <w:num w:numId="285">
    <w:abstractNumId w:val="3"/>
    <w:lvlOverride w:ilvl="0">
      <w:startOverride w:val="1"/>
    </w:lvlOverride>
  </w:num>
  <w:num w:numId="286">
    <w:abstractNumId w:val="3"/>
    <w:lvlOverride w:ilvl="0">
      <w:startOverride w:val="1"/>
    </w:lvlOverride>
  </w:num>
  <w:num w:numId="287">
    <w:abstractNumId w:val="3"/>
    <w:lvlOverride w:ilvl="0">
      <w:startOverride w:val="1"/>
    </w:lvlOverride>
  </w:num>
  <w:num w:numId="288">
    <w:abstractNumId w:val="3"/>
    <w:lvlOverride w:ilvl="0">
      <w:startOverride w:val="1"/>
    </w:lvlOverride>
  </w:num>
  <w:num w:numId="289">
    <w:abstractNumId w:val="3"/>
    <w:lvlOverride w:ilvl="0">
      <w:startOverride w:val="1"/>
    </w:lvlOverride>
  </w:num>
  <w:num w:numId="290">
    <w:abstractNumId w:val="3"/>
    <w:lvlOverride w:ilvl="0">
      <w:startOverride w:val="1"/>
    </w:lvlOverride>
  </w:num>
  <w:num w:numId="291">
    <w:abstractNumId w:val="3"/>
    <w:lvlOverride w:ilvl="0">
      <w:startOverride w:val="1"/>
    </w:lvlOverride>
  </w:num>
  <w:num w:numId="292">
    <w:abstractNumId w:val="3"/>
    <w:lvlOverride w:ilvl="0">
      <w:startOverride w:val="1"/>
    </w:lvlOverride>
  </w:num>
  <w:num w:numId="293">
    <w:abstractNumId w:val="3"/>
    <w:lvlOverride w:ilvl="0">
      <w:startOverride w:val="1"/>
    </w:lvlOverride>
  </w:num>
  <w:num w:numId="294">
    <w:abstractNumId w:val="3"/>
    <w:lvlOverride w:ilvl="0">
      <w:startOverride w:val="1"/>
    </w:lvlOverride>
  </w:num>
  <w:num w:numId="295">
    <w:abstractNumId w:val="3"/>
    <w:lvlOverride w:ilvl="0">
      <w:startOverride w:val="1"/>
    </w:lvlOverride>
  </w:num>
  <w:num w:numId="296">
    <w:abstractNumId w:val="3"/>
    <w:lvlOverride w:ilvl="0">
      <w:startOverride w:val="1"/>
    </w:lvlOverride>
  </w:num>
  <w:num w:numId="297">
    <w:abstractNumId w:val="3"/>
    <w:lvlOverride w:ilvl="0">
      <w:startOverride w:val="1"/>
    </w:lvlOverride>
  </w:num>
  <w:num w:numId="298">
    <w:abstractNumId w:val="3"/>
    <w:lvlOverride w:ilvl="0">
      <w:startOverride w:val="1"/>
    </w:lvlOverride>
  </w:num>
  <w:num w:numId="299">
    <w:abstractNumId w:val="3"/>
    <w:lvlOverride w:ilvl="0">
      <w:startOverride w:val="1"/>
    </w:lvlOverride>
  </w:num>
  <w:num w:numId="300">
    <w:abstractNumId w:val="3"/>
    <w:lvlOverride w:ilvl="0">
      <w:startOverride w:val="1"/>
    </w:lvlOverride>
  </w:num>
  <w:num w:numId="301">
    <w:abstractNumId w:val="3"/>
    <w:lvlOverride w:ilvl="0">
      <w:startOverride w:val="1"/>
    </w:lvlOverride>
  </w:num>
  <w:num w:numId="302">
    <w:abstractNumId w:val="3"/>
    <w:lvlOverride w:ilvl="0">
      <w:startOverride w:val="1"/>
    </w:lvlOverride>
  </w:num>
  <w:num w:numId="303">
    <w:abstractNumId w:val="3"/>
    <w:lvlOverride w:ilvl="0">
      <w:startOverride w:val="1"/>
    </w:lvlOverride>
  </w:num>
  <w:num w:numId="304">
    <w:abstractNumId w:val="3"/>
    <w:lvlOverride w:ilvl="0">
      <w:startOverride w:val="1"/>
    </w:lvlOverride>
  </w:num>
  <w:num w:numId="305">
    <w:abstractNumId w:val="3"/>
    <w:lvlOverride w:ilvl="0">
      <w:startOverride w:val="1"/>
    </w:lvlOverride>
  </w:num>
  <w:num w:numId="306">
    <w:abstractNumId w:val="3"/>
    <w:lvlOverride w:ilvl="0">
      <w:startOverride w:val="1"/>
    </w:lvlOverride>
  </w:num>
  <w:num w:numId="307">
    <w:abstractNumId w:val="3"/>
    <w:lvlOverride w:ilvl="0">
      <w:startOverride w:val="1"/>
    </w:lvlOverride>
  </w:num>
  <w:num w:numId="308">
    <w:abstractNumId w:val="3"/>
    <w:lvlOverride w:ilvl="0">
      <w:startOverride w:val="1"/>
    </w:lvlOverride>
  </w:num>
  <w:num w:numId="309">
    <w:abstractNumId w:val="3"/>
    <w:lvlOverride w:ilvl="0">
      <w:startOverride w:val="1"/>
    </w:lvlOverride>
  </w:num>
  <w:num w:numId="310">
    <w:abstractNumId w:val="3"/>
    <w:lvlOverride w:ilvl="0">
      <w:startOverride w:val="1"/>
    </w:lvlOverride>
  </w:num>
  <w:num w:numId="311">
    <w:abstractNumId w:val="3"/>
    <w:lvlOverride w:ilvl="0">
      <w:startOverride w:val="1"/>
    </w:lvlOverride>
  </w:num>
  <w:num w:numId="312">
    <w:abstractNumId w:val="3"/>
    <w:lvlOverride w:ilvl="0">
      <w:startOverride w:val="1"/>
    </w:lvlOverride>
  </w:num>
  <w:num w:numId="313">
    <w:abstractNumId w:val="3"/>
    <w:lvlOverride w:ilvl="0">
      <w:startOverride w:val="1"/>
    </w:lvlOverride>
  </w:num>
  <w:num w:numId="314">
    <w:abstractNumId w:val="3"/>
    <w:lvlOverride w:ilvl="0">
      <w:startOverride w:val="1"/>
    </w:lvlOverride>
  </w:num>
  <w:num w:numId="315">
    <w:abstractNumId w:val="3"/>
    <w:lvlOverride w:ilvl="0">
      <w:startOverride w:val="1"/>
    </w:lvlOverride>
  </w:num>
  <w:num w:numId="316">
    <w:abstractNumId w:val="3"/>
    <w:lvlOverride w:ilvl="0">
      <w:startOverride w:val="1"/>
    </w:lvlOverride>
  </w:num>
  <w:num w:numId="317">
    <w:abstractNumId w:val="3"/>
    <w:lvlOverride w:ilvl="0">
      <w:startOverride w:val="1"/>
    </w:lvlOverride>
  </w:num>
  <w:num w:numId="318">
    <w:abstractNumId w:val="3"/>
    <w:lvlOverride w:ilvl="0">
      <w:startOverride w:val="1"/>
    </w:lvlOverride>
  </w:num>
  <w:num w:numId="319">
    <w:abstractNumId w:val="3"/>
    <w:lvlOverride w:ilvl="0">
      <w:startOverride w:val="1"/>
    </w:lvlOverride>
  </w:num>
  <w:num w:numId="320">
    <w:abstractNumId w:val="3"/>
    <w:lvlOverride w:ilvl="0">
      <w:startOverride w:val="1"/>
    </w:lvlOverride>
  </w:num>
  <w:num w:numId="321">
    <w:abstractNumId w:val="3"/>
    <w:lvlOverride w:ilvl="0">
      <w:startOverride w:val="1"/>
    </w:lvlOverride>
  </w:num>
  <w:num w:numId="322">
    <w:abstractNumId w:val="3"/>
    <w:lvlOverride w:ilvl="0">
      <w:startOverride w:val="1"/>
    </w:lvlOverride>
  </w:num>
  <w:num w:numId="323">
    <w:abstractNumId w:val="3"/>
    <w:lvlOverride w:ilvl="0">
      <w:startOverride w:val="1"/>
    </w:lvlOverride>
  </w:num>
  <w:num w:numId="324">
    <w:abstractNumId w:val="3"/>
    <w:lvlOverride w:ilvl="0">
      <w:startOverride w:val="1"/>
    </w:lvlOverride>
  </w:num>
  <w:num w:numId="325">
    <w:abstractNumId w:val="3"/>
    <w:lvlOverride w:ilvl="0">
      <w:startOverride w:val="1"/>
    </w:lvlOverride>
  </w:num>
  <w:num w:numId="326">
    <w:abstractNumId w:val="3"/>
    <w:lvlOverride w:ilvl="0">
      <w:startOverride w:val="1"/>
    </w:lvlOverride>
  </w:num>
  <w:num w:numId="327">
    <w:abstractNumId w:val="3"/>
    <w:lvlOverride w:ilvl="0">
      <w:startOverride w:val="1"/>
    </w:lvlOverride>
  </w:num>
  <w:num w:numId="328">
    <w:abstractNumId w:val="3"/>
    <w:lvlOverride w:ilvl="0">
      <w:startOverride w:val="1"/>
    </w:lvlOverride>
  </w:num>
  <w:num w:numId="329">
    <w:abstractNumId w:val="3"/>
    <w:lvlOverride w:ilvl="0">
      <w:startOverride w:val="1"/>
    </w:lvlOverride>
  </w:num>
  <w:num w:numId="330">
    <w:abstractNumId w:val="3"/>
    <w:lvlOverride w:ilvl="0">
      <w:startOverride w:val="1"/>
    </w:lvlOverride>
  </w:num>
  <w:num w:numId="331">
    <w:abstractNumId w:val="3"/>
    <w:lvlOverride w:ilvl="0">
      <w:startOverride w:val="1"/>
    </w:lvlOverride>
  </w:num>
  <w:num w:numId="332">
    <w:abstractNumId w:val="3"/>
    <w:lvlOverride w:ilvl="0">
      <w:startOverride w:val="1"/>
    </w:lvlOverride>
  </w:num>
  <w:num w:numId="333">
    <w:abstractNumId w:val="3"/>
    <w:lvlOverride w:ilvl="0">
      <w:startOverride w:val="1"/>
    </w:lvlOverride>
  </w:num>
  <w:num w:numId="334">
    <w:abstractNumId w:val="3"/>
    <w:lvlOverride w:ilvl="0">
      <w:startOverride w:val="1"/>
    </w:lvlOverride>
  </w:num>
  <w:num w:numId="335">
    <w:abstractNumId w:val="3"/>
    <w:lvlOverride w:ilvl="0">
      <w:startOverride w:val="1"/>
    </w:lvlOverride>
  </w:num>
  <w:num w:numId="336">
    <w:abstractNumId w:val="3"/>
    <w:lvlOverride w:ilvl="0">
      <w:startOverride w:val="1"/>
    </w:lvlOverride>
  </w:num>
  <w:num w:numId="337">
    <w:abstractNumId w:val="3"/>
    <w:lvlOverride w:ilvl="0">
      <w:startOverride w:val="1"/>
    </w:lvlOverride>
  </w:num>
  <w:num w:numId="338">
    <w:abstractNumId w:val="3"/>
    <w:lvlOverride w:ilvl="0">
      <w:startOverride w:val="1"/>
    </w:lvlOverride>
  </w:num>
  <w:num w:numId="339">
    <w:abstractNumId w:val="3"/>
    <w:lvlOverride w:ilvl="0">
      <w:startOverride w:val="1"/>
    </w:lvlOverride>
  </w:num>
  <w:num w:numId="340">
    <w:abstractNumId w:val="3"/>
    <w:lvlOverride w:ilvl="0">
      <w:startOverride w:val="1"/>
    </w:lvlOverride>
  </w:num>
  <w:num w:numId="341">
    <w:abstractNumId w:val="3"/>
    <w:lvlOverride w:ilvl="0">
      <w:startOverride w:val="1"/>
    </w:lvlOverride>
  </w:num>
  <w:num w:numId="342">
    <w:abstractNumId w:val="3"/>
    <w:lvlOverride w:ilvl="0">
      <w:startOverride w:val="1"/>
    </w:lvlOverride>
  </w:num>
  <w:num w:numId="343">
    <w:abstractNumId w:val="3"/>
    <w:lvlOverride w:ilvl="0">
      <w:startOverride w:val="1"/>
    </w:lvlOverride>
  </w:num>
  <w:num w:numId="344">
    <w:abstractNumId w:val="3"/>
    <w:lvlOverride w:ilvl="0">
      <w:startOverride w:val="1"/>
    </w:lvlOverride>
  </w:num>
  <w:num w:numId="345">
    <w:abstractNumId w:val="3"/>
    <w:lvlOverride w:ilvl="0">
      <w:startOverride w:val="1"/>
    </w:lvlOverride>
  </w:num>
  <w:num w:numId="346">
    <w:abstractNumId w:val="3"/>
    <w:lvlOverride w:ilvl="0">
      <w:startOverride w:val="1"/>
    </w:lvlOverride>
  </w:num>
  <w:num w:numId="347">
    <w:abstractNumId w:val="3"/>
    <w:lvlOverride w:ilvl="0">
      <w:startOverride w:val="1"/>
    </w:lvlOverride>
  </w:num>
  <w:num w:numId="348">
    <w:abstractNumId w:val="3"/>
    <w:lvlOverride w:ilvl="0">
      <w:startOverride w:val="1"/>
    </w:lvlOverride>
  </w:num>
  <w:num w:numId="349">
    <w:abstractNumId w:val="3"/>
    <w:lvlOverride w:ilvl="0">
      <w:startOverride w:val="1"/>
    </w:lvlOverride>
  </w:num>
  <w:num w:numId="350">
    <w:abstractNumId w:val="3"/>
    <w:lvlOverride w:ilvl="0">
      <w:startOverride w:val="1"/>
    </w:lvlOverride>
  </w:num>
  <w:num w:numId="351">
    <w:abstractNumId w:val="3"/>
    <w:lvlOverride w:ilvl="0">
      <w:startOverride w:val="1"/>
    </w:lvlOverride>
  </w:num>
  <w:num w:numId="352">
    <w:abstractNumId w:val="3"/>
    <w:lvlOverride w:ilvl="0">
      <w:startOverride w:val="1"/>
    </w:lvlOverride>
  </w:num>
  <w:num w:numId="353">
    <w:abstractNumId w:val="3"/>
    <w:lvlOverride w:ilvl="0">
      <w:startOverride w:val="1"/>
    </w:lvlOverride>
  </w:num>
  <w:num w:numId="354">
    <w:abstractNumId w:val="3"/>
    <w:lvlOverride w:ilvl="0">
      <w:startOverride w:val="1"/>
    </w:lvlOverride>
  </w:num>
  <w:num w:numId="355">
    <w:abstractNumId w:val="3"/>
    <w:lvlOverride w:ilvl="0">
      <w:startOverride w:val="1"/>
    </w:lvlOverride>
  </w:num>
  <w:num w:numId="356">
    <w:abstractNumId w:val="3"/>
    <w:lvlOverride w:ilvl="0">
      <w:startOverride w:val="1"/>
    </w:lvlOverride>
  </w:num>
  <w:num w:numId="357">
    <w:abstractNumId w:val="3"/>
    <w:lvlOverride w:ilvl="0">
      <w:startOverride w:val="1"/>
    </w:lvlOverride>
  </w:num>
  <w:num w:numId="358">
    <w:abstractNumId w:val="3"/>
    <w:lvlOverride w:ilvl="0">
      <w:startOverride w:val="1"/>
    </w:lvlOverride>
  </w:num>
  <w:num w:numId="359">
    <w:abstractNumId w:val="3"/>
    <w:lvlOverride w:ilvl="0">
      <w:startOverride w:val="1"/>
    </w:lvlOverride>
  </w:num>
  <w:num w:numId="360">
    <w:abstractNumId w:val="3"/>
    <w:lvlOverride w:ilvl="0">
      <w:startOverride w:val="1"/>
    </w:lvlOverride>
  </w:num>
  <w:num w:numId="361">
    <w:abstractNumId w:val="3"/>
    <w:lvlOverride w:ilvl="0">
      <w:startOverride w:val="1"/>
    </w:lvlOverride>
  </w:num>
  <w:num w:numId="362">
    <w:abstractNumId w:val="3"/>
    <w:lvlOverride w:ilvl="0">
      <w:startOverride w:val="1"/>
    </w:lvlOverride>
  </w:num>
  <w:num w:numId="363">
    <w:abstractNumId w:val="3"/>
    <w:lvlOverride w:ilvl="0">
      <w:startOverride w:val="1"/>
    </w:lvlOverride>
  </w:num>
  <w:num w:numId="364">
    <w:abstractNumId w:val="3"/>
    <w:lvlOverride w:ilvl="0">
      <w:startOverride w:val="1"/>
    </w:lvlOverride>
  </w:num>
  <w:num w:numId="365">
    <w:abstractNumId w:val="3"/>
    <w:lvlOverride w:ilvl="0">
      <w:startOverride w:val="1"/>
    </w:lvlOverride>
  </w:num>
  <w:num w:numId="366">
    <w:abstractNumId w:val="3"/>
    <w:lvlOverride w:ilvl="0">
      <w:startOverride w:val="1"/>
    </w:lvlOverride>
  </w:num>
  <w:num w:numId="367">
    <w:abstractNumId w:val="3"/>
    <w:lvlOverride w:ilvl="0">
      <w:startOverride w:val="1"/>
    </w:lvlOverride>
  </w:num>
  <w:num w:numId="368">
    <w:abstractNumId w:val="3"/>
    <w:lvlOverride w:ilvl="0">
      <w:startOverride w:val="1"/>
    </w:lvlOverride>
  </w:num>
  <w:num w:numId="369">
    <w:abstractNumId w:val="3"/>
    <w:lvlOverride w:ilvl="0">
      <w:startOverride w:val="1"/>
    </w:lvlOverride>
  </w:num>
  <w:num w:numId="370">
    <w:abstractNumId w:val="3"/>
    <w:lvlOverride w:ilvl="0">
      <w:startOverride w:val="1"/>
    </w:lvlOverride>
  </w:num>
  <w:num w:numId="371">
    <w:abstractNumId w:val="3"/>
    <w:lvlOverride w:ilvl="0">
      <w:startOverride w:val="1"/>
    </w:lvlOverride>
  </w:num>
  <w:num w:numId="37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